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1" simplePos="0" relativeHeight="478087168">
            <wp:simplePos x="0" y="0"/>
            <wp:positionH relativeFrom="page">
              <wp:posOffset>0</wp:posOffset>
            </wp:positionH>
            <wp:positionV relativeFrom="page">
              <wp:posOffset>0</wp:posOffset>
            </wp:positionV>
            <wp:extent cx="5486400" cy="8229600"/>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5486400" cy="8229600"/>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85"/>
        <w:ind w:left="118" w:right="0" w:firstLine="0"/>
        <w:jc w:val="left"/>
        <w:rPr>
          <w:sz w:val="66"/>
        </w:rPr>
      </w:pPr>
      <w:bookmarkStart w:name="Cover Image" w:id="1"/>
      <w:bookmarkEnd w:id="1"/>
      <w:r>
        <w:rPr/>
      </w:r>
      <w:bookmarkStart w:name="_bookmark0" w:id="2"/>
      <w:bookmarkEnd w:id="2"/>
      <w:r>
        <w:rPr/>
      </w:r>
      <w:r>
        <w:rPr>
          <w:w w:val="85"/>
          <w:sz w:val="66"/>
        </w:rPr>
        <w:t>The</w:t>
      </w:r>
      <w:r>
        <w:rPr>
          <w:spacing w:val="12"/>
          <w:sz w:val="66"/>
        </w:rPr>
        <w:t> </w:t>
      </w:r>
      <w:r>
        <w:rPr>
          <w:w w:val="85"/>
          <w:sz w:val="66"/>
        </w:rPr>
        <w:t>Ten-Day</w:t>
      </w:r>
      <w:r>
        <w:rPr>
          <w:spacing w:val="47"/>
          <w:sz w:val="66"/>
        </w:rPr>
        <w:t> </w:t>
      </w:r>
      <w:r>
        <w:rPr>
          <w:w w:val="85"/>
          <w:sz w:val="66"/>
        </w:rPr>
        <w:t>MBA,</w:t>
      </w:r>
      <w:r>
        <w:rPr>
          <w:spacing w:val="-6"/>
          <w:sz w:val="66"/>
        </w:rPr>
        <w:t> </w:t>
      </w:r>
      <w:r>
        <w:rPr>
          <w:w w:val="85"/>
          <w:sz w:val="66"/>
        </w:rPr>
        <w:t>3rd</w:t>
      </w:r>
      <w:r>
        <w:rPr>
          <w:spacing w:val="7"/>
          <w:sz w:val="66"/>
        </w:rPr>
        <w:t> </w:t>
      </w:r>
      <w:r>
        <w:rPr>
          <w:spacing w:val="-2"/>
          <w:w w:val="85"/>
          <w:sz w:val="66"/>
        </w:rPr>
        <w:t>Edition</w:t>
      </w:r>
    </w:p>
    <w:p>
      <w:pPr>
        <w:spacing w:after="0"/>
        <w:jc w:val="left"/>
        <w:rPr>
          <w:sz w:val="66"/>
        </w:rPr>
        <w:sectPr>
          <w:footerReference w:type="default" r:id="rId5"/>
          <w:type w:val="continuous"/>
          <w:pgSz w:w="8640" w:h="12960"/>
          <w:pgMar w:footer="0" w:header="0" w:top="1220" w:bottom="280" w:left="340" w:right="500"/>
          <w:pgNumType w:start="1"/>
        </w:sectPr>
      </w:pPr>
    </w:p>
    <w:p>
      <w:pPr>
        <w:pStyle w:val="BodyText"/>
        <w:rPr>
          <w:sz w:val="17"/>
        </w:rPr>
      </w:pPr>
    </w:p>
    <w:p>
      <w:pPr>
        <w:spacing w:after="0"/>
        <w:rPr>
          <w:sz w:val="17"/>
        </w:rPr>
        <w:sectPr>
          <w:pgSz w:w="8640" w:h="12960"/>
          <w:pgMar w:header="0" w:footer="0" w:top="1220" w:bottom="280" w:left="340" w:right="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1156" w:lineRule="exact" w:before="285"/>
        <w:ind w:left="469" w:right="219" w:firstLine="0"/>
        <w:jc w:val="center"/>
        <w:rPr>
          <w:rFonts w:ascii="Trebuchet MS"/>
          <w:sz w:val="110"/>
        </w:rPr>
      </w:pPr>
      <w:r>
        <w:rPr/>
        <w:pict>
          <v:group style="position:absolute;margin-left:171.667007pt;margin-top:-82.066956pt;width:109.95pt;height:99pt;mso-position-horizontal-relative:page;mso-position-vertical-relative:paragraph;z-index:-25227776" id="docshapegroup1" coordorigin="3433,-1641" coordsize="2199,1980">
            <v:shape style="position:absolute;left:3469;top:-1610;width:2121;height:1702" id="docshape2" coordorigin="3470,-1610" coordsize="2121,1702" path="m3704,25l3646,25,3697,91,3704,25xm3707,-1l3587,-1,3613,60,3646,25,3704,25,3707,-1xm3709,-28l3533,-28,3544,50,3587,-1,3707,-1,3709,-28xm3736,-925l3470,9,3533,-28,3709,-28,3799,-912,3783,-913,3767,-915,3751,-919,3736,-925xm4163,-908l4054,-791,4575,-249,5239,-554,5231,-574,4631,-574,4163,-908xm5162,-737l4631,-574,5231,-574,5162,-737xm3918,-1148l4647,-631,5591,-914,5394,-1075,4685,-1075,4657,-1087,4630,-1107,4609,-1128,4595,-1144,3918,-1148xm3783,-1099l3757,-1098,3733,-1088,3715,-1072,3705,-1050,3708,-1021,3724,-992,3747,-969,3773,-957,3806,-956,3835,-965,3857,-982,3868,-1009,3867,-1034,3856,-1054,3836,-1068,3811,-1076,3798,-1078,3808,-1098,3791,-1098,3783,-1099xm5255,-1190l4806,-1190,4815,-1182,4801,-1161,4790,-1146,4762,-1114,4725,-1084,4685,-1075,5394,-1075,5255,-1190xm4743,-1610l3776,-1250,3821,-1215,3791,-1098,3808,-1098,3850,-1186,5251,-1193,4743,-1610xm5251,-1193l4627,-1193,4630,-1189,4635,-1182,4648,-1166,4668,-1148,4692,-1138,4714,-1134,4731,-1137,4752,-1149,4786,-1175,4806,-1190,5255,-1190,5251,-1193xe" filled="true" fillcolor="#ffffff" stroked="false">
              <v:path arrowok="t"/>
              <v:fill type="solid"/>
            </v:shape>
            <v:shape style="position:absolute;left:3504;top:-32;width:233;height:169" type="#_x0000_t75" id="docshape3" stroked="false">
              <v:imagedata r:id="rId7" o:title=""/>
            </v:shape>
            <v:shape style="position:absolute;left:3453;top:-1622;width:2159;height:1651" id="docshape4" coordorigin="3453,-1621" coordsize="2159,1651" path="m3525,-12l3453,29,3730,-940,3748,-931,3769,-925,3790,-922m3810,-922l3718,-12m5252,-549l4573,-237,4041,-791,4162,-921,4633,-585m5237,-585l5252,-549m4633,-585l5168,-749,5237,-585m5611,-910l4646,-620,3887,-1158,4600,-1154,4628,-1118,4646,-1100,4663,-1091,4687,-1085m5398,-1085l5611,-910m3790,-922l3810,-924,3810,-922m4624,-1180l4622,-1183,3857,-1176,3813,-1086,3840,-1077,3863,-1061,3877,-1037,3878,-1007,3864,-976,3840,-956,3808,-947,3771,-948,3742,-960,3716,-986,3698,-1019,3695,-1052,3707,-1078,3728,-1097,3755,-1107,3784,-1109,3810,-1211,3755,-1253,4745,-1621,5279,-1183m4687,-1085l4722,-1094,4756,-1123,4782,-1153,4792,-1167m5299,-1167l5398,-1085m4792,-1167l4756,-1140,4734,-1127,4715,-1124,4690,-1128,4663,-1140,4641,-1158,4627,-1176,4622,-1183m5279,-1183l5299,-1167e" filled="false" stroked="true" strokeweight="2pt" strokecolor="#d1d3d4">
              <v:path arrowok="t"/>
              <v:stroke dashstyle="solid"/>
            </v:shape>
            <v:shapetype id="_x0000_t202" o:spt="202" coordsize="21600,21600" path="m,l,21600r21600,l21600,xe">
              <v:stroke joinstyle="miter"/>
              <v:path gradientshapeok="t" o:connecttype="rect"/>
            </v:shapetype>
            <v:shape style="position:absolute;left:3433;top:-1642;width:2199;height:1980" type="#_x0000_t202" id="docshape5" filled="false" stroked="false">
              <v:textbox inset="0,0,0,0">
                <w:txbxContent>
                  <w:p>
                    <w:pPr>
                      <w:spacing w:before="866"/>
                      <w:ind w:left="337" w:right="0" w:firstLine="0"/>
                      <w:jc w:val="left"/>
                      <w:rPr>
                        <w:b/>
                        <w:i/>
                        <w:sz w:val="94"/>
                      </w:rPr>
                    </w:pPr>
                    <w:r>
                      <w:rPr>
                        <w:b/>
                        <w:i/>
                        <w:color w:val="231F20"/>
                        <w:spacing w:val="23"/>
                        <w:w w:val="95"/>
                        <w:sz w:val="94"/>
                      </w:rPr>
                      <w:t>the</w:t>
                    </w:r>
                  </w:p>
                </w:txbxContent>
              </v:textbox>
              <w10:wrap type="none"/>
            </v:shape>
            <w10:wrap type="none"/>
          </v:group>
        </w:pict>
      </w:r>
      <w:bookmarkStart w:name="Title Page" w:id="3"/>
      <w:bookmarkEnd w:id="3"/>
      <w:r>
        <w:rPr/>
      </w:r>
      <w:r>
        <w:rPr>
          <w:rFonts w:ascii="Trebuchet MS"/>
          <w:color w:val="231F20"/>
          <w:spacing w:val="32"/>
          <w:w w:val="55"/>
          <w:sz w:val="110"/>
        </w:rPr>
        <w:t>TEN-</w:t>
      </w:r>
      <w:r>
        <w:rPr>
          <w:rFonts w:ascii="Trebuchet MS"/>
          <w:color w:val="231F20"/>
          <w:spacing w:val="-5"/>
          <w:w w:val="70"/>
          <w:sz w:val="110"/>
        </w:rPr>
        <w:t>DAY</w:t>
      </w:r>
    </w:p>
    <w:p>
      <w:pPr>
        <w:pStyle w:val="Title"/>
        <w:rPr>
          <w:i/>
        </w:rPr>
      </w:pPr>
      <w:r>
        <w:rPr>
          <w:i/>
          <w:color w:val="231F20"/>
          <w:spacing w:val="139"/>
          <w:w w:val="98"/>
        </w:rPr>
        <w:t>M</w:t>
      </w:r>
      <w:r>
        <w:rPr>
          <w:i/>
          <w:color w:val="231F20"/>
          <w:spacing w:val="139"/>
          <w:w w:val="104"/>
        </w:rPr>
        <w:t>B</w:t>
      </w:r>
      <w:r>
        <w:rPr>
          <w:i/>
          <w:color w:val="231F20"/>
          <w:spacing w:val="-5"/>
          <w:w w:val="97"/>
        </w:rPr>
        <w:t>A</w:t>
      </w:r>
    </w:p>
    <w:p>
      <w:pPr>
        <w:spacing w:before="177"/>
        <w:ind w:left="511" w:right="219" w:firstLine="0"/>
        <w:jc w:val="center"/>
        <w:rPr>
          <w:rFonts w:ascii="Arial"/>
          <w:sz w:val="28"/>
        </w:rPr>
      </w:pPr>
      <w:r>
        <w:rPr>
          <w:rFonts w:ascii="Arial"/>
          <w:color w:val="231F20"/>
          <w:spacing w:val="27"/>
          <w:w w:val="105"/>
          <w:sz w:val="28"/>
        </w:rPr>
        <w:t>3RD</w:t>
      </w:r>
      <w:r>
        <w:rPr>
          <w:rFonts w:ascii="Arial"/>
          <w:color w:val="231F20"/>
          <w:spacing w:val="64"/>
          <w:w w:val="150"/>
          <w:sz w:val="28"/>
        </w:rPr>
        <w:t> </w:t>
      </w:r>
      <w:r>
        <w:rPr>
          <w:rFonts w:ascii="Arial"/>
          <w:color w:val="231F20"/>
          <w:spacing w:val="33"/>
          <w:w w:val="105"/>
          <w:sz w:val="28"/>
        </w:rPr>
        <w:t>EDITION </w:t>
      </w:r>
    </w:p>
    <w:p>
      <w:pPr>
        <w:pStyle w:val="BodyText"/>
        <w:rPr>
          <w:rFonts w:ascii="Arial"/>
          <w:sz w:val="20"/>
        </w:rPr>
      </w:pPr>
    </w:p>
    <w:p>
      <w:pPr>
        <w:pStyle w:val="BodyText"/>
        <w:spacing w:before="6"/>
        <w:rPr>
          <w:rFonts w:ascii="Arial"/>
          <w:sz w:val="14"/>
        </w:rPr>
      </w:pPr>
      <w:r>
        <w:rPr/>
        <w:pict>
          <v:shape style="position:absolute;margin-left:179pt;margin-top:9.597265pt;width:78pt;height:.1pt;mso-position-horizontal-relative:page;mso-position-vertical-relative:paragraph;z-index:-15728128;mso-wrap-distance-left:0;mso-wrap-distance-right:0" id="docshape6" coordorigin="3580,192" coordsize="1560,0" path="m3580,192l5140,192e" filled="false" stroked="true" strokeweight="6pt" strokecolor="#d1d3d4">
            <v:path arrowok="t"/>
            <v:stroke dashstyle="solid"/>
            <w10:wrap type="topAndBottom"/>
          </v:shape>
        </w:pict>
      </w:r>
    </w:p>
    <w:p>
      <w:pPr>
        <w:pStyle w:val="BodyText"/>
        <w:spacing w:before="3"/>
        <w:rPr>
          <w:rFonts w:ascii="Arial"/>
          <w:sz w:val="32"/>
        </w:rPr>
      </w:pPr>
    </w:p>
    <w:p>
      <w:pPr>
        <w:spacing w:line="417" w:lineRule="auto" w:before="0"/>
        <w:ind w:left="2439" w:right="2186" w:hanging="2"/>
        <w:jc w:val="center"/>
        <w:rPr>
          <w:rFonts w:ascii="Arial" w:hAnsi="Arial"/>
          <w:sz w:val="20"/>
        </w:rPr>
      </w:pPr>
      <w:r>
        <w:rPr>
          <w:rFonts w:ascii="Arial" w:hAnsi="Arial"/>
          <w:color w:val="231F20"/>
          <w:w w:val="115"/>
          <w:sz w:val="20"/>
        </w:rPr>
        <w:t>A Step-by-Step Guide to Mastering the Skills Taught in </w:t>
      </w:r>
      <w:r>
        <w:rPr>
          <w:rFonts w:ascii="Arial" w:hAnsi="Arial"/>
          <w:color w:val="231F20"/>
          <w:w w:val="110"/>
          <w:sz w:val="20"/>
        </w:rPr>
        <w:t>America’s</w:t>
      </w:r>
      <w:r>
        <w:rPr>
          <w:rFonts w:ascii="Arial" w:hAnsi="Arial"/>
          <w:color w:val="231F20"/>
          <w:spacing w:val="-16"/>
          <w:w w:val="110"/>
          <w:sz w:val="20"/>
        </w:rPr>
        <w:t> </w:t>
      </w:r>
      <w:r>
        <w:rPr>
          <w:rFonts w:ascii="Arial" w:hAnsi="Arial"/>
          <w:color w:val="231F20"/>
          <w:w w:val="110"/>
          <w:sz w:val="20"/>
        </w:rPr>
        <w:t>Top</w:t>
      </w:r>
      <w:r>
        <w:rPr>
          <w:rFonts w:ascii="Arial" w:hAnsi="Arial"/>
          <w:color w:val="231F20"/>
          <w:spacing w:val="-15"/>
          <w:w w:val="110"/>
          <w:sz w:val="20"/>
        </w:rPr>
        <w:t> </w:t>
      </w:r>
      <w:r>
        <w:rPr>
          <w:rFonts w:ascii="Arial" w:hAnsi="Arial"/>
          <w:color w:val="231F20"/>
          <w:w w:val="110"/>
          <w:sz w:val="20"/>
        </w:rPr>
        <w:t>Business</w:t>
      </w:r>
      <w:r>
        <w:rPr>
          <w:rFonts w:ascii="Arial" w:hAnsi="Arial"/>
          <w:color w:val="231F20"/>
          <w:spacing w:val="-15"/>
          <w:w w:val="110"/>
          <w:sz w:val="20"/>
        </w:rPr>
        <w:t> </w:t>
      </w:r>
      <w:r>
        <w:rPr>
          <w:rFonts w:ascii="Arial" w:hAnsi="Arial"/>
          <w:color w:val="231F20"/>
          <w:w w:val="110"/>
          <w:sz w:val="20"/>
        </w:rPr>
        <w:t>Schools</w:t>
      </w:r>
    </w:p>
    <w:p>
      <w:pPr>
        <w:pStyle w:val="BodyText"/>
        <w:rPr>
          <w:rFonts w:ascii="Arial"/>
          <w:sz w:val="20"/>
        </w:rPr>
      </w:pPr>
    </w:p>
    <w:p>
      <w:pPr>
        <w:pStyle w:val="BodyText"/>
        <w:rPr>
          <w:rFonts w:ascii="Arial"/>
          <w:sz w:val="20"/>
        </w:rPr>
      </w:pPr>
    </w:p>
    <w:p>
      <w:pPr>
        <w:pStyle w:val="BodyText"/>
        <w:spacing w:before="9"/>
        <w:rPr>
          <w:rFonts w:ascii="Arial"/>
          <w:sz w:val="17"/>
        </w:rPr>
      </w:pPr>
    </w:p>
    <w:p>
      <w:pPr>
        <w:pStyle w:val="Heading1"/>
        <w:spacing w:before="0"/>
        <w:ind w:left="497"/>
        <w:rPr>
          <w:rFonts w:ascii="Times New Roman"/>
        </w:rPr>
      </w:pPr>
      <w:r>
        <w:rPr>
          <w:rFonts w:ascii="Times New Roman"/>
          <w:color w:val="231F20"/>
          <w:spacing w:val="22"/>
          <w:w w:val="105"/>
        </w:rPr>
        <w:t>Steven</w:t>
      </w:r>
      <w:r>
        <w:rPr>
          <w:rFonts w:ascii="Times New Roman"/>
          <w:color w:val="231F20"/>
          <w:spacing w:val="49"/>
          <w:w w:val="105"/>
        </w:rPr>
        <w:t> </w:t>
      </w:r>
      <w:r>
        <w:rPr>
          <w:rFonts w:ascii="Times New Roman"/>
          <w:color w:val="231F20"/>
          <w:spacing w:val="25"/>
          <w:w w:val="105"/>
        </w:rPr>
        <w:t>Silbiger</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7"/>
        </w:rPr>
      </w:pPr>
      <w:r>
        <w:rPr/>
        <w:drawing>
          <wp:anchor distT="0" distB="0" distL="0" distR="0" allowOverlap="1" layoutInCell="1" locked="0" behindDoc="0" simplePos="0" relativeHeight="2">
            <wp:simplePos x="0" y="0"/>
            <wp:positionH relativeFrom="page">
              <wp:posOffset>1554649</wp:posOffset>
            </wp:positionH>
            <wp:positionV relativeFrom="paragraph">
              <wp:posOffset>140641</wp:posOffset>
            </wp:positionV>
            <wp:extent cx="2272182" cy="253936"/>
            <wp:effectExtent l="0" t="0" r="0" b="0"/>
            <wp:wrapTopAndBottom/>
            <wp:docPr id="3" name="image3.jpeg"/>
            <wp:cNvGraphicFramePr>
              <a:graphicFrameLocks noChangeAspect="1"/>
            </wp:cNvGraphicFramePr>
            <a:graphic>
              <a:graphicData uri="http://schemas.openxmlformats.org/drawingml/2006/picture">
                <pic:pic>
                  <pic:nvPicPr>
                    <pic:cNvPr id="4" name="image3.jpeg"/>
                    <pic:cNvPicPr/>
                  </pic:nvPicPr>
                  <pic:blipFill>
                    <a:blip r:embed="rId8" cstate="print"/>
                    <a:stretch>
                      <a:fillRect/>
                    </a:stretch>
                  </pic:blipFill>
                  <pic:spPr>
                    <a:xfrm>
                      <a:off x="0" y="0"/>
                      <a:ext cx="2272182" cy="253936"/>
                    </a:xfrm>
                    <a:prstGeom prst="rect">
                      <a:avLst/>
                    </a:prstGeom>
                  </pic:spPr>
                </pic:pic>
              </a:graphicData>
            </a:graphic>
          </wp:anchor>
        </w:drawing>
      </w:r>
    </w:p>
    <w:p>
      <w:pPr>
        <w:spacing w:after="0"/>
        <w:rPr>
          <w:rFonts w:ascii="Times New Roman"/>
          <w:sz w:val="17"/>
        </w:rPr>
        <w:sectPr>
          <w:pgSz w:w="8640" w:h="12960"/>
          <w:pgMar w:header="0" w:footer="0" w:top="1180" w:bottom="280" w:left="340" w:right="500"/>
        </w:sectPr>
      </w:pPr>
    </w:p>
    <w:p>
      <w:pPr>
        <w:pStyle w:val="BodyText"/>
        <w:spacing w:before="4"/>
        <w:rPr>
          <w:rFonts w:ascii="Times New Roman"/>
          <w:sz w:val="17"/>
        </w:rPr>
      </w:pPr>
    </w:p>
    <w:p>
      <w:pPr>
        <w:spacing w:after="0"/>
        <w:rPr>
          <w:rFonts w:ascii="Times New Roman"/>
          <w:sz w:val="17"/>
        </w:rPr>
        <w:sectPr>
          <w:pgSz w:w="8640" w:h="12960"/>
          <w:pgMar w:header="0" w:footer="0" w:top="1220" w:bottom="280" w:left="340" w:right="5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2"/>
        </w:rPr>
      </w:pPr>
    </w:p>
    <w:p>
      <w:pPr>
        <w:pStyle w:val="Heading2"/>
        <w:spacing w:before="84"/>
        <w:ind w:left="3083"/>
        <w:rPr>
          <w:i/>
        </w:rPr>
      </w:pPr>
      <w:bookmarkStart w:name="Contents" w:id="4"/>
      <w:bookmarkEnd w:id="4"/>
      <w:r>
        <w:rPr>
          <w:b w:val="0"/>
          <w:i w:val="0"/>
        </w:rPr>
      </w:r>
      <w:bookmarkStart w:name="_bookmark1" w:id="5"/>
      <w:bookmarkEnd w:id="5"/>
      <w:r>
        <w:rPr>
          <w:b w:val="0"/>
          <w:i w:val="0"/>
        </w:rPr>
      </w:r>
      <w:r>
        <w:rPr>
          <w:i/>
          <w:color w:val="231F20"/>
          <w:spacing w:val="21"/>
        </w:rPr>
        <w:t>Contents</w:t>
      </w:r>
    </w:p>
    <w:p>
      <w:pPr>
        <w:pStyle w:val="BodyText"/>
        <w:spacing w:before="3"/>
        <w:rPr>
          <w:b/>
          <w:i/>
          <w:sz w:val="9"/>
        </w:rPr>
      </w:pPr>
      <w:r>
        <w:rPr/>
        <w:pict>
          <v:shape style="position:absolute;margin-left:180.25pt;margin-top:6.668262pt;width:76pt;height:.1pt;mso-position-horizontal-relative:page;mso-position-vertical-relative:paragraph;z-index:-15726592;mso-wrap-distance-left:0;mso-wrap-distance-right:0" id="docshape7" coordorigin="3605,133" coordsize="1520,0" path="m3605,133l5125,133e" filled="false" stroked="true" strokeweight="6pt" strokecolor="#d1d3d4">
            <v:path arrowok="t"/>
            <v:stroke dashstyle="solid"/>
            <w10:wrap type="topAndBottom"/>
          </v:shape>
        </w:pict>
      </w:r>
    </w:p>
    <w:p>
      <w:pPr>
        <w:pStyle w:val="BodyText"/>
        <w:rPr>
          <w:b/>
          <w:i/>
          <w:sz w:val="54"/>
        </w:rPr>
      </w:pPr>
    </w:p>
    <w:p>
      <w:pPr>
        <w:pStyle w:val="BodyText"/>
        <w:rPr>
          <w:b/>
          <w:i/>
          <w:sz w:val="62"/>
        </w:rPr>
      </w:pPr>
    </w:p>
    <w:p>
      <w:pPr>
        <w:pStyle w:val="BodyText"/>
        <w:ind w:left="3000"/>
      </w:pPr>
      <w:hyperlink w:history="true" w:anchor="_bookmark3">
        <w:r>
          <w:rPr>
            <w:color w:val="0000FF"/>
          </w:rPr>
          <w:t>Introduction,</w:t>
        </w:r>
      </w:hyperlink>
      <w:r>
        <w:rPr>
          <w:color w:val="0000FF"/>
          <w:spacing w:val="59"/>
        </w:rPr>
        <w:t>  </w:t>
      </w:r>
      <w:r>
        <w:rPr>
          <w:color w:val="231F20"/>
          <w:spacing w:val="-10"/>
        </w:rPr>
        <w:t>v</w:t>
      </w:r>
    </w:p>
    <w:p>
      <w:pPr>
        <w:tabs>
          <w:tab w:pos="2999" w:val="left" w:leader="none"/>
        </w:tabs>
        <w:spacing w:before="108"/>
        <w:ind w:left="2000" w:right="0" w:firstLine="0"/>
        <w:jc w:val="left"/>
        <w:rPr>
          <w:sz w:val="21"/>
        </w:rPr>
      </w:pPr>
      <w:hyperlink w:history="true" w:anchor="_bookmark4">
        <w:r>
          <w:rPr>
            <w:rFonts w:ascii="Trebuchet MS"/>
            <w:color w:val="0000FF"/>
            <w:w w:val="85"/>
            <w:sz w:val="24"/>
          </w:rPr>
          <w:t>DAY</w:t>
        </w:r>
        <w:r>
          <w:rPr>
            <w:rFonts w:ascii="Trebuchet MS"/>
            <w:color w:val="0000FF"/>
            <w:spacing w:val="6"/>
            <w:sz w:val="24"/>
          </w:rPr>
          <w:t> </w:t>
        </w:r>
        <w:r>
          <w:rPr>
            <w:rFonts w:ascii="Trebuchet MS"/>
            <w:color w:val="0000FF"/>
            <w:spacing w:val="-12"/>
            <w:sz w:val="24"/>
          </w:rPr>
          <w:t>1</w:t>
        </w:r>
      </w:hyperlink>
      <w:r>
        <w:rPr>
          <w:rFonts w:ascii="Trebuchet MS"/>
          <w:color w:val="0000FF"/>
          <w:sz w:val="24"/>
        </w:rPr>
        <w:tab/>
      </w:r>
      <w:r>
        <w:rPr>
          <w:color w:val="231F20"/>
          <w:sz w:val="21"/>
        </w:rPr>
        <w:t>Marketing,</w:t>
      </w:r>
      <w:r>
        <w:rPr>
          <w:color w:val="231F20"/>
          <w:spacing w:val="79"/>
          <w:sz w:val="21"/>
        </w:rPr>
        <w:t>  </w:t>
      </w:r>
      <w:r>
        <w:rPr>
          <w:color w:val="231F20"/>
          <w:spacing w:val="-10"/>
          <w:sz w:val="21"/>
        </w:rPr>
        <w:t>1</w:t>
      </w:r>
    </w:p>
    <w:p>
      <w:pPr>
        <w:tabs>
          <w:tab w:pos="2999" w:val="left" w:leader="none"/>
        </w:tabs>
        <w:spacing w:before="102"/>
        <w:ind w:left="2000" w:right="0" w:firstLine="0"/>
        <w:jc w:val="left"/>
        <w:rPr>
          <w:sz w:val="21"/>
        </w:rPr>
      </w:pPr>
      <w:hyperlink w:history="true" w:anchor="_bookmark5">
        <w:r>
          <w:rPr>
            <w:rFonts w:ascii="Trebuchet MS"/>
            <w:color w:val="0000FF"/>
            <w:w w:val="85"/>
            <w:sz w:val="24"/>
          </w:rPr>
          <w:t>DAY</w:t>
        </w:r>
        <w:r>
          <w:rPr>
            <w:rFonts w:ascii="Trebuchet MS"/>
            <w:color w:val="0000FF"/>
            <w:spacing w:val="6"/>
            <w:sz w:val="24"/>
          </w:rPr>
          <w:t> </w:t>
        </w:r>
        <w:r>
          <w:rPr>
            <w:rFonts w:ascii="Trebuchet MS"/>
            <w:color w:val="0000FF"/>
            <w:spacing w:val="-12"/>
            <w:sz w:val="24"/>
          </w:rPr>
          <w:t>2</w:t>
        </w:r>
      </w:hyperlink>
      <w:r>
        <w:rPr>
          <w:rFonts w:ascii="Trebuchet MS"/>
          <w:color w:val="0000FF"/>
          <w:sz w:val="24"/>
        </w:rPr>
        <w:tab/>
      </w:r>
      <w:r>
        <w:rPr>
          <w:color w:val="231F20"/>
          <w:sz w:val="21"/>
        </w:rPr>
        <w:t>Ethics,</w:t>
      </w:r>
      <w:r>
        <w:rPr>
          <w:color w:val="231F20"/>
          <w:spacing w:val="59"/>
          <w:sz w:val="21"/>
        </w:rPr>
        <w:t>  </w:t>
      </w:r>
      <w:r>
        <w:rPr>
          <w:color w:val="231F20"/>
          <w:spacing w:val="-5"/>
          <w:sz w:val="21"/>
        </w:rPr>
        <w:t>60</w:t>
      </w:r>
    </w:p>
    <w:p>
      <w:pPr>
        <w:tabs>
          <w:tab w:pos="2999" w:val="left" w:leader="none"/>
        </w:tabs>
        <w:spacing w:before="101"/>
        <w:ind w:left="2000" w:right="0" w:firstLine="0"/>
        <w:jc w:val="left"/>
        <w:rPr>
          <w:sz w:val="21"/>
        </w:rPr>
      </w:pPr>
      <w:hyperlink w:history="true" w:anchor="_bookmark6">
        <w:r>
          <w:rPr>
            <w:rFonts w:ascii="Trebuchet MS"/>
            <w:color w:val="0000FF"/>
            <w:w w:val="85"/>
            <w:sz w:val="24"/>
          </w:rPr>
          <w:t>DAY</w:t>
        </w:r>
        <w:r>
          <w:rPr>
            <w:rFonts w:ascii="Trebuchet MS"/>
            <w:color w:val="0000FF"/>
            <w:spacing w:val="6"/>
            <w:sz w:val="24"/>
          </w:rPr>
          <w:t> </w:t>
        </w:r>
        <w:r>
          <w:rPr>
            <w:rFonts w:ascii="Trebuchet MS"/>
            <w:color w:val="0000FF"/>
            <w:spacing w:val="-12"/>
            <w:sz w:val="24"/>
          </w:rPr>
          <w:t>3</w:t>
        </w:r>
      </w:hyperlink>
      <w:r>
        <w:rPr>
          <w:rFonts w:ascii="Trebuchet MS"/>
          <w:color w:val="0000FF"/>
          <w:sz w:val="24"/>
        </w:rPr>
        <w:tab/>
      </w:r>
      <w:r>
        <w:rPr>
          <w:color w:val="231F20"/>
          <w:sz w:val="21"/>
        </w:rPr>
        <w:t>Accounting,</w:t>
      </w:r>
      <w:r>
        <w:rPr>
          <w:color w:val="231F20"/>
          <w:spacing w:val="77"/>
          <w:sz w:val="21"/>
        </w:rPr>
        <w:t>  </w:t>
      </w:r>
      <w:r>
        <w:rPr>
          <w:color w:val="231F20"/>
          <w:spacing w:val="-5"/>
          <w:sz w:val="21"/>
        </w:rPr>
        <w:t>70</w:t>
      </w:r>
    </w:p>
    <w:p>
      <w:pPr>
        <w:pStyle w:val="BodyText"/>
        <w:tabs>
          <w:tab w:pos="2999" w:val="left" w:leader="none"/>
        </w:tabs>
        <w:spacing w:before="101"/>
        <w:ind w:left="2000"/>
      </w:pPr>
      <w:hyperlink w:history="true" w:anchor="_bookmark7">
        <w:r>
          <w:rPr>
            <w:rFonts w:ascii="Trebuchet MS"/>
            <w:color w:val="0000FF"/>
            <w:w w:val="85"/>
            <w:sz w:val="24"/>
          </w:rPr>
          <w:t>DAY</w:t>
        </w:r>
        <w:r>
          <w:rPr>
            <w:rFonts w:ascii="Trebuchet MS"/>
            <w:color w:val="0000FF"/>
            <w:spacing w:val="6"/>
            <w:sz w:val="24"/>
          </w:rPr>
          <w:t> </w:t>
        </w:r>
        <w:r>
          <w:rPr>
            <w:rFonts w:ascii="Trebuchet MS"/>
            <w:color w:val="0000FF"/>
            <w:spacing w:val="-12"/>
            <w:sz w:val="24"/>
          </w:rPr>
          <w:t>4</w:t>
        </w:r>
      </w:hyperlink>
      <w:r>
        <w:rPr>
          <w:rFonts w:ascii="Trebuchet MS"/>
          <w:color w:val="0000FF"/>
          <w:sz w:val="24"/>
        </w:rPr>
        <w:tab/>
      </w:r>
      <w:r>
        <w:rPr>
          <w:color w:val="231F20"/>
        </w:rPr>
        <w:t>Organizational</w:t>
      </w:r>
      <w:r>
        <w:rPr>
          <w:color w:val="231F20"/>
          <w:spacing w:val="29"/>
        </w:rPr>
        <w:t> </w:t>
      </w:r>
      <w:r>
        <w:rPr>
          <w:color w:val="231F20"/>
        </w:rPr>
        <w:t>Behavior,</w:t>
      </w:r>
      <w:r>
        <w:rPr>
          <w:color w:val="231F20"/>
          <w:spacing w:val="68"/>
        </w:rPr>
        <w:t>  </w:t>
      </w:r>
      <w:r>
        <w:rPr>
          <w:color w:val="231F20"/>
          <w:spacing w:val="-5"/>
        </w:rPr>
        <w:t>117</w:t>
      </w:r>
    </w:p>
    <w:p>
      <w:pPr>
        <w:pStyle w:val="BodyText"/>
        <w:tabs>
          <w:tab w:pos="2999" w:val="left" w:leader="none"/>
        </w:tabs>
        <w:spacing w:before="102"/>
        <w:ind w:left="2000"/>
      </w:pPr>
      <w:hyperlink w:history="true" w:anchor="_bookmark8">
        <w:r>
          <w:rPr>
            <w:rFonts w:ascii="Trebuchet MS"/>
            <w:color w:val="0000FF"/>
            <w:w w:val="85"/>
            <w:sz w:val="24"/>
          </w:rPr>
          <w:t>DAY</w:t>
        </w:r>
        <w:r>
          <w:rPr>
            <w:rFonts w:ascii="Trebuchet MS"/>
            <w:color w:val="0000FF"/>
            <w:spacing w:val="6"/>
            <w:sz w:val="24"/>
          </w:rPr>
          <w:t> </w:t>
        </w:r>
        <w:r>
          <w:rPr>
            <w:rFonts w:ascii="Trebuchet MS"/>
            <w:color w:val="0000FF"/>
            <w:spacing w:val="-12"/>
            <w:sz w:val="24"/>
          </w:rPr>
          <w:t>5</w:t>
        </w:r>
      </w:hyperlink>
      <w:r>
        <w:rPr>
          <w:rFonts w:ascii="Trebuchet MS"/>
          <w:color w:val="0000FF"/>
          <w:sz w:val="24"/>
        </w:rPr>
        <w:tab/>
      </w:r>
      <w:r>
        <w:rPr>
          <w:color w:val="231F20"/>
        </w:rPr>
        <w:t>Quantitative</w:t>
      </w:r>
      <w:r>
        <w:rPr>
          <w:color w:val="231F20"/>
          <w:spacing w:val="36"/>
        </w:rPr>
        <w:t> </w:t>
      </w:r>
      <w:r>
        <w:rPr>
          <w:color w:val="231F20"/>
        </w:rPr>
        <w:t>Analysis,</w:t>
      </w:r>
      <w:r>
        <w:rPr>
          <w:color w:val="231F20"/>
          <w:spacing w:val="56"/>
          <w:w w:val="150"/>
        </w:rPr>
        <w:t>  </w:t>
      </w:r>
      <w:r>
        <w:rPr>
          <w:color w:val="231F20"/>
          <w:spacing w:val="-5"/>
        </w:rPr>
        <w:t>156</w:t>
      </w:r>
    </w:p>
    <w:p>
      <w:pPr>
        <w:tabs>
          <w:tab w:pos="2999" w:val="left" w:leader="none"/>
        </w:tabs>
        <w:spacing w:before="101"/>
        <w:ind w:left="2000" w:right="0" w:firstLine="0"/>
        <w:jc w:val="left"/>
        <w:rPr>
          <w:sz w:val="21"/>
        </w:rPr>
      </w:pPr>
      <w:hyperlink w:history="true" w:anchor="_bookmark9">
        <w:r>
          <w:rPr>
            <w:rFonts w:ascii="Trebuchet MS"/>
            <w:color w:val="0000FF"/>
            <w:w w:val="85"/>
            <w:sz w:val="24"/>
          </w:rPr>
          <w:t>DAY</w:t>
        </w:r>
        <w:r>
          <w:rPr>
            <w:rFonts w:ascii="Trebuchet MS"/>
            <w:color w:val="0000FF"/>
            <w:spacing w:val="6"/>
            <w:sz w:val="24"/>
          </w:rPr>
          <w:t> </w:t>
        </w:r>
        <w:r>
          <w:rPr>
            <w:rFonts w:ascii="Trebuchet MS"/>
            <w:color w:val="0000FF"/>
            <w:spacing w:val="-12"/>
            <w:sz w:val="24"/>
          </w:rPr>
          <w:t>6</w:t>
        </w:r>
      </w:hyperlink>
      <w:r>
        <w:rPr>
          <w:rFonts w:ascii="Trebuchet MS"/>
          <w:color w:val="0000FF"/>
          <w:sz w:val="24"/>
        </w:rPr>
        <w:tab/>
      </w:r>
      <w:r>
        <w:rPr>
          <w:color w:val="231F20"/>
          <w:sz w:val="21"/>
        </w:rPr>
        <w:t>Finance,</w:t>
      </w:r>
      <w:r>
        <w:rPr>
          <w:color w:val="231F20"/>
          <w:spacing w:val="62"/>
          <w:sz w:val="21"/>
        </w:rPr>
        <w:t>  </w:t>
      </w:r>
      <w:r>
        <w:rPr>
          <w:color w:val="231F20"/>
          <w:spacing w:val="-5"/>
          <w:sz w:val="21"/>
        </w:rPr>
        <w:t>196</w:t>
      </w:r>
    </w:p>
    <w:p>
      <w:pPr>
        <w:tabs>
          <w:tab w:pos="2999" w:val="left" w:leader="none"/>
        </w:tabs>
        <w:spacing w:before="101"/>
        <w:ind w:left="2000" w:right="0" w:firstLine="0"/>
        <w:jc w:val="left"/>
        <w:rPr>
          <w:sz w:val="21"/>
        </w:rPr>
      </w:pPr>
      <w:hyperlink w:history="true" w:anchor="_bookmark10">
        <w:r>
          <w:rPr>
            <w:rFonts w:ascii="Trebuchet MS"/>
            <w:color w:val="0000FF"/>
            <w:w w:val="85"/>
            <w:sz w:val="24"/>
          </w:rPr>
          <w:t>DAY</w:t>
        </w:r>
        <w:r>
          <w:rPr>
            <w:rFonts w:ascii="Trebuchet MS"/>
            <w:color w:val="0000FF"/>
            <w:spacing w:val="6"/>
            <w:sz w:val="24"/>
          </w:rPr>
          <w:t> </w:t>
        </w:r>
        <w:r>
          <w:rPr>
            <w:rFonts w:ascii="Trebuchet MS"/>
            <w:color w:val="0000FF"/>
            <w:spacing w:val="-12"/>
            <w:sz w:val="24"/>
          </w:rPr>
          <w:t>7</w:t>
        </w:r>
      </w:hyperlink>
      <w:r>
        <w:rPr>
          <w:rFonts w:ascii="Trebuchet MS"/>
          <w:color w:val="0000FF"/>
          <w:sz w:val="24"/>
        </w:rPr>
        <w:tab/>
      </w:r>
      <w:r>
        <w:rPr>
          <w:color w:val="231F20"/>
          <w:sz w:val="21"/>
        </w:rPr>
        <w:t>Operations,</w:t>
      </w:r>
      <w:r>
        <w:rPr>
          <w:color w:val="231F20"/>
          <w:spacing w:val="71"/>
          <w:sz w:val="21"/>
        </w:rPr>
        <w:t>  </w:t>
      </w:r>
      <w:r>
        <w:rPr>
          <w:color w:val="231F20"/>
          <w:spacing w:val="-5"/>
          <w:sz w:val="21"/>
        </w:rPr>
        <w:t>251</w:t>
      </w:r>
    </w:p>
    <w:p>
      <w:pPr>
        <w:tabs>
          <w:tab w:pos="2999" w:val="left" w:leader="none"/>
        </w:tabs>
        <w:spacing w:before="101"/>
        <w:ind w:left="2000" w:right="0" w:firstLine="0"/>
        <w:jc w:val="left"/>
        <w:rPr>
          <w:sz w:val="21"/>
        </w:rPr>
      </w:pPr>
      <w:hyperlink w:history="true" w:anchor="_bookmark11">
        <w:r>
          <w:rPr>
            <w:rFonts w:ascii="Trebuchet MS"/>
            <w:color w:val="0000FF"/>
            <w:w w:val="85"/>
            <w:sz w:val="24"/>
          </w:rPr>
          <w:t>DAY</w:t>
        </w:r>
        <w:r>
          <w:rPr>
            <w:rFonts w:ascii="Trebuchet MS"/>
            <w:color w:val="0000FF"/>
            <w:spacing w:val="6"/>
            <w:sz w:val="24"/>
          </w:rPr>
          <w:t> </w:t>
        </w:r>
        <w:r>
          <w:rPr>
            <w:rFonts w:ascii="Trebuchet MS"/>
            <w:color w:val="0000FF"/>
            <w:spacing w:val="-12"/>
            <w:sz w:val="24"/>
          </w:rPr>
          <w:t>8</w:t>
        </w:r>
      </w:hyperlink>
      <w:r>
        <w:rPr>
          <w:rFonts w:ascii="Trebuchet MS"/>
          <w:color w:val="0000FF"/>
          <w:sz w:val="24"/>
        </w:rPr>
        <w:tab/>
      </w:r>
      <w:r>
        <w:rPr>
          <w:color w:val="231F20"/>
          <w:sz w:val="21"/>
        </w:rPr>
        <w:t>Economics,</w:t>
      </w:r>
      <w:r>
        <w:rPr>
          <w:color w:val="231F20"/>
          <w:spacing w:val="71"/>
          <w:sz w:val="21"/>
        </w:rPr>
        <w:t>  </w:t>
      </w:r>
      <w:r>
        <w:rPr>
          <w:color w:val="231F20"/>
          <w:spacing w:val="-5"/>
          <w:sz w:val="21"/>
        </w:rPr>
        <w:t>283</w:t>
      </w:r>
    </w:p>
    <w:p>
      <w:pPr>
        <w:tabs>
          <w:tab w:pos="2999" w:val="left" w:leader="none"/>
        </w:tabs>
        <w:spacing w:before="102"/>
        <w:ind w:left="2000" w:right="0" w:firstLine="0"/>
        <w:jc w:val="left"/>
        <w:rPr>
          <w:sz w:val="21"/>
        </w:rPr>
      </w:pPr>
      <w:hyperlink w:history="true" w:anchor="_bookmark12">
        <w:r>
          <w:rPr>
            <w:rFonts w:ascii="Trebuchet MS"/>
            <w:color w:val="0000FF"/>
            <w:w w:val="85"/>
            <w:sz w:val="24"/>
          </w:rPr>
          <w:t>DAY</w:t>
        </w:r>
        <w:r>
          <w:rPr>
            <w:rFonts w:ascii="Trebuchet MS"/>
            <w:color w:val="0000FF"/>
            <w:spacing w:val="6"/>
            <w:sz w:val="24"/>
          </w:rPr>
          <w:t> </w:t>
        </w:r>
        <w:r>
          <w:rPr>
            <w:rFonts w:ascii="Trebuchet MS"/>
            <w:color w:val="0000FF"/>
            <w:spacing w:val="-12"/>
            <w:sz w:val="24"/>
          </w:rPr>
          <w:t>9</w:t>
        </w:r>
      </w:hyperlink>
      <w:r>
        <w:rPr>
          <w:rFonts w:ascii="Trebuchet MS"/>
          <w:color w:val="0000FF"/>
          <w:sz w:val="24"/>
        </w:rPr>
        <w:tab/>
      </w:r>
      <w:r>
        <w:rPr>
          <w:color w:val="231F20"/>
          <w:sz w:val="21"/>
        </w:rPr>
        <w:t>Strategy,</w:t>
      </w:r>
      <w:r>
        <w:rPr>
          <w:color w:val="231F20"/>
          <w:spacing w:val="45"/>
          <w:sz w:val="21"/>
        </w:rPr>
        <w:t>  </w:t>
      </w:r>
      <w:r>
        <w:rPr>
          <w:color w:val="231F20"/>
          <w:spacing w:val="-5"/>
          <w:sz w:val="21"/>
        </w:rPr>
        <w:t>320</w:t>
      </w:r>
    </w:p>
    <w:p>
      <w:pPr>
        <w:tabs>
          <w:tab w:pos="2999" w:val="left" w:leader="none"/>
        </w:tabs>
        <w:spacing w:before="101"/>
        <w:ind w:left="2000" w:right="0" w:firstLine="0"/>
        <w:jc w:val="left"/>
        <w:rPr>
          <w:sz w:val="21"/>
        </w:rPr>
      </w:pPr>
      <w:hyperlink w:history="true" w:anchor="_bookmark13">
        <w:r>
          <w:rPr>
            <w:rFonts w:ascii="Trebuchet MS"/>
            <w:color w:val="0000FF"/>
            <w:w w:val="85"/>
            <w:sz w:val="24"/>
          </w:rPr>
          <w:t>DAY</w:t>
        </w:r>
        <w:r>
          <w:rPr>
            <w:rFonts w:ascii="Trebuchet MS"/>
            <w:color w:val="0000FF"/>
            <w:spacing w:val="6"/>
            <w:sz w:val="24"/>
          </w:rPr>
          <w:t> </w:t>
        </w:r>
        <w:r>
          <w:rPr>
            <w:rFonts w:ascii="Trebuchet MS"/>
            <w:color w:val="0000FF"/>
            <w:spacing w:val="-5"/>
            <w:sz w:val="24"/>
          </w:rPr>
          <w:t>10</w:t>
        </w:r>
      </w:hyperlink>
      <w:r>
        <w:rPr>
          <w:rFonts w:ascii="Trebuchet MS"/>
          <w:color w:val="0000FF"/>
          <w:sz w:val="24"/>
        </w:rPr>
        <w:tab/>
      </w:r>
      <w:r>
        <w:rPr>
          <w:color w:val="231F20"/>
          <w:sz w:val="21"/>
        </w:rPr>
        <w:t>MBA</w:t>
      </w:r>
      <w:r>
        <w:rPr>
          <w:color w:val="231F20"/>
          <w:spacing w:val="45"/>
          <w:sz w:val="21"/>
        </w:rPr>
        <w:t> </w:t>
      </w:r>
      <w:r>
        <w:rPr>
          <w:color w:val="231F20"/>
          <w:sz w:val="21"/>
        </w:rPr>
        <w:t>Minicourses,</w:t>
      </w:r>
      <w:r>
        <w:rPr>
          <w:color w:val="231F20"/>
          <w:spacing w:val="69"/>
          <w:w w:val="150"/>
          <w:sz w:val="21"/>
        </w:rPr>
        <w:t>  </w:t>
      </w:r>
      <w:r>
        <w:rPr>
          <w:color w:val="231F20"/>
          <w:spacing w:val="-5"/>
          <w:sz w:val="21"/>
        </w:rPr>
        <w:t>360</w:t>
      </w:r>
    </w:p>
    <w:p>
      <w:pPr>
        <w:pStyle w:val="BodyText"/>
        <w:spacing w:line="292" w:lineRule="auto" w:before="127"/>
        <w:ind w:left="3000" w:right="1262"/>
      </w:pPr>
      <w:hyperlink w:history="true" w:anchor="_bookmark13">
        <w:r>
          <w:rPr>
            <w:color w:val="0000FF"/>
          </w:rPr>
          <w:t>Research and Competitive </w:t>
        </w:r>
        <w:r>
          <w:rPr>
            <w:color w:val="0000FF"/>
          </w:rPr>
          <w:t>Intelligence</w:t>
        </w:r>
      </w:hyperlink>
      <w:r>
        <w:rPr>
          <w:color w:val="0000FF"/>
        </w:rPr>
        <w:t> </w:t>
      </w:r>
      <w:hyperlink w:history="true" w:anchor="_bookmark13">
        <w:r>
          <w:rPr>
            <w:color w:val="0000FF"/>
          </w:rPr>
          <w:t>Gathering,</w:t>
        </w:r>
      </w:hyperlink>
      <w:r>
        <w:rPr>
          <w:color w:val="0000FF"/>
          <w:spacing w:val="80"/>
        </w:rPr>
        <w:t> </w:t>
      </w:r>
      <w:r>
        <w:rPr>
          <w:color w:val="231F20"/>
        </w:rPr>
        <w:t>360</w:t>
      </w:r>
    </w:p>
    <w:p>
      <w:pPr>
        <w:pStyle w:val="BodyText"/>
        <w:spacing w:before="80"/>
        <w:ind w:left="467" w:right="219"/>
        <w:jc w:val="center"/>
      </w:pPr>
      <w:hyperlink w:history="true" w:anchor="_bookmark14">
        <w:r>
          <w:rPr>
            <w:color w:val="0000FF"/>
          </w:rPr>
          <w:t>Public</w:t>
        </w:r>
        <w:r>
          <w:rPr>
            <w:color w:val="0000FF"/>
            <w:spacing w:val="19"/>
          </w:rPr>
          <w:t> </w:t>
        </w:r>
        <w:r>
          <w:rPr>
            <w:color w:val="0000FF"/>
          </w:rPr>
          <w:t>Speaking,</w:t>
        </w:r>
      </w:hyperlink>
      <w:r>
        <w:rPr>
          <w:color w:val="0000FF"/>
          <w:spacing w:val="54"/>
        </w:rPr>
        <w:t>  </w:t>
      </w:r>
      <w:r>
        <w:rPr>
          <w:color w:val="231F20"/>
          <w:spacing w:val="-5"/>
        </w:rPr>
        <w:t>365</w:t>
      </w:r>
    </w:p>
    <w:p>
      <w:pPr>
        <w:pStyle w:val="BodyText"/>
        <w:spacing w:before="133"/>
        <w:ind w:left="102" w:right="219"/>
        <w:jc w:val="center"/>
      </w:pPr>
      <w:hyperlink w:history="true" w:anchor="_bookmark14">
        <w:r>
          <w:rPr>
            <w:color w:val="0000FF"/>
            <w:w w:val="105"/>
          </w:rPr>
          <w:t>Negotiating,</w:t>
        </w:r>
      </w:hyperlink>
      <w:r>
        <w:rPr>
          <w:color w:val="0000FF"/>
          <w:spacing w:val="39"/>
          <w:w w:val="105"/>
        </w:rPr>
        <w:t>  </w:t>
      </w:r>
      <w:r>
        <w:rPr>
          <w:color w:val="231F20"/>
          <w:spacing w:val="-5"/>
          <w:w w:val="105"/>
        </w:rPr>
        <w:t>365</w:t>
      </w:r>
    </w:p>
    <w:p>
      <w:pPr>
        <w:spacing w:after="0"/>
        <w:jc w:val="center"/>
        <w:sectPr>
          <w:pgSz w:w="8640" w:h="12960"/>
          <w:pgMar w:header="0" w:footer="0" w:top="1220" w:bottom="280" w:left="340" w:right="500"/>
        </w:sectPr>
      </w:pPr>
    </w:p>
    <w:p>
      <w:pPr>
        <w:pStyle w:val="BodyText"/>
        <w:spacing w:line="369" w:lineRule="auto" w:before="134"/>
        <w:ind w:left="3000"/>
      </w:pPr>
      <w:hyperlink w:history="true" w:anchor="_bookmark15">
        <w:r>
          <w:rPr>
            <w:color w:val="0000FF"/>
          </w:rPr>
          <w:t>International</w:t>
        </w:r>
        <w:r>
          <w:rPr>
            <w:color w:val="0000FF"/>
            <w:spacing w:val="-9"/>
          </w:rPr>
          <w:t> </w:t>
        </w:r>
        <w:r>
          <w:rPr>
            <w:color w:val="0000FF"/>
          </w:rPr>
          <w:t>Business,</w:t>
        </w:r>
      </w:hyperlink>
      <w:r>
        <w:rPr>
          <w:color w:val="0000FF"/>
        </w:rPr>
        <w:t> </w:t>
      </w:r>
      <w:hyperlink w:history="true" w:anchor="_bookmark16">
        <w:r>
          <w:rPr>
            <w:color w:val="0000FF"/>
          </w:rPr>
          <w:t>Business Law,</w:t>
        </w:r>
      </w:hyperlink>
      <w:r>
        <w:rPr>
          <w:color w:val="0000FF"/>
          <w:spacing w:val="80"/>
        </w:rPr>
        <w:t> </w:t>
      </w:r>
      <w:r>
        <w:rPr>
          <w:color w:val="231F20"/>
        </w:rPr>
        <w:t>367</w:t>
      </w:r>
    </w:p>
    <w:p>
      <w:pPr>
        <w:pStyle w:val="BodyText"/>
        <w:spacing w:before="2"/>
        <w:ind w:left="3000"/>
      </w:pPr>
      <w:hyperlink w:history="true" w:anchor="_bookmark17">
        <w:r>
          <w:rPr>
            <w:color w:val="0000FF"/>
          </w:rPr>
          <w:t>Business</w:t>
        </w:r>
        <w:r>
          <w:rPr>
            <w:color w:val="0000FF"/>
            <w:spacing w:val="12"/>
          </w:rPr>
          <w:t> </w:t>
        </w:r>
        <w:r>
          <w:rPr>
            <w:color w:val="0000FF"/>
          </w:rPr>
          <w:t>Writing,</w:t>
        </w:r>
      </w:hyperlink>
      <w:r>
        <w:rPr>
          <w:color w:val="0000FF"/>
          <w:spacing w:val="42"/>
        </w:rPr>
        <w:t>  </w:t>
      </w:r>
      <w:r>
        <w:rPr>
          <w:color w:val="231F20"/>
          <w:spacing w:val="-5"/>
        </w:rPr>
        <w:t>379</w:t>
      </w:r>
    </w:p>
    <w:p>
      <w:pPr>
        <w:spacing w:before="134"/>
        <w:ind w:left="100" w:right="0" w:firstLine="0"/>
        <w:jc w:val="left"/>
        <w:rPr>
          <w:sz w:val="21"/>
        </w:rPr>
      </w:pPr>
      <w:r>
        <w:rPr/>
        <w:br w:type="column"/>
      </w:r>
      <w:r>
        <w:rPr>
          <w:color w:val="231F20"/>
          <w:spacing w:val="-5"/>
          <w:sz w:val="21"/>
        </w:rPr>
        <w:t>366</w:t>
      </w:r>
    </w:p>
    <w:p>
      <w:pPr>
        <w:spacing w:after="0"/>
        <w:jc w:val="left"/>
        <w:rPr>
          <w:sz w:val="21"/>
        </w:rPr>
        <w:sectPr>
          <w:type w:val="continuous"/>
          <w:pgSz w:w="8640" w:h="12960"/>
          <w:pgMar w:header="0" w:footer="0" w:top="1220" w:bottom="280" w:left="340" w:right="500"/>
          <w:cols w:num="2" w:equalWidth="0">
            <w:col w:w="5121" w:space="40"/>
            <w:col w:w="2639"/>
          </w:cols>
        </w:sectPr>
      </w:pPr>
    </w:p>
    <w:p>
      <w:pPr>
        <w:pStyle w:val="BodyText"/>
        <w:spacing w:before="134"/>
        <w:ind w:left="3000"/>
      </w:pPr>
      <w:hyperlink w:history="true" w:anchor="_bookmark18">
        <w:r>
          <w:rPr>
            <w:color w:val="0000FF"/>
          </w:rPr>
          <w:t>Real</w:t>
        </w:r>
        <w:r>
          <w:rPr>
            <w:color w:val="0000FF"/>
            <w:spacing w:val="11"/>
          </w:rPr>
          <w:t> </w:t>
        </w:r>
        <w:r>
          <w:rPr>
            <w:color w:val="0000FF"/>
          </w:rPr>
          <w:t>Estate</w:t>
        </w:r>
        <w:r>
          <w:rPr>
            <w:color w:val="0000FF"/>
            <w:spacing w:val="11"/>
          </w:rPr>
          <w:t> </w:t>
        </w:r>
        <w:r>
          <w:rPr>
            <w:color w:val="0000FF"/>
          </w:rPr>
          <w:t>Investor,</w:t>
        </w:r>
      </w:hyperlink>
      <w:r>
        <w:rPr>
          <w:color w:val="0000FF"/>
          <w:spacing w:val="40"/>
        </w:rPr>
        <w:t>  </w:t>
      </w:r>
      <w:r>
        <w:rPr>
          <w:color w:val="231F20"/>
          <w:spacing w:val="-5"/>
        </w:rPr>
        <w:t>380</w:t>
      </w:r>
    </w:p>
    <w:p>
      <w:pPr>
        <w:pStyle w:val="BodyText"/>
        <w:spacing w:before="133"/>
        <w:ind w:left="668" w:right="219"/>
        <w:jc w:val="center"/>
      </w:pPr>
      <w:hyperlink w:history="true" w:anchor="_bookmark19">
        <w:r>
          <w:rPr>
            <w:color w:val="0000FF"/>
          </w:rPr>
          <w:t>Leadership</w:t>
        </w:r>
        <w:r>
          <w:rPr>
            <w:color w:val="0000FF"/>
            <w:spacing w:val="27"/>
          </w:rPr>
          <w:t> </w:t>
        </w:r>
        <w:r>
          <w:rPr>
            <w:color w:val="0000FF"/>
          </w:rPr>
          <w:t>Coach,</w:t>
        </w:r>
      </w:hyperlink>
      <w:r>
        <w:rPr>
          <w:color w:val="0000FF"/>
          <w:spacing w:val="66"/>
        </w:rPr>
        <w:t>  </w:t>
      </w:r>
      <w:r>
        <w:rPr>
          <w:color w:val="231F20"/>
          <w:spacing w:val="-5"/>
        </w:rPr>
        <w:t>383</w:t>
      </w:r>
    </w:p>
    <w:p>
      <w:pPr>
        <w:spacing w:after="0"/>
        <w:jc w:val="center"/>
        <w:sectPr>
          <w:type w:val="continuous"/>
          <w:pgSz w:w="8640" w:h="12960"/>
          <w:pgMar w:header="0" w:footer="0" w:top="1220" w:bottom="280" w:left="340" w:right="500"/>
        </w:sectPr>
      </w:pPr>
    </w:p>
    <w:p>
      <w:pPr>
        <w:tabs>
          <w:tab w:pos="473" w:val="left" w:leader="none"/>
        </w:tabs>
        <w:spacing w:before="67"/>
        <w:ind w:left="69" w:right="0" w:firstLine="0"/>
        <w:jc w:val="center"/>
        <w:rPr>
          <w:rFonts w:ascii="Arial"/>
          <w:sz w:val="16"/>
        </w:rPr>
      </w:pPr>
      <w:bookmarkStart w:name="_bookmark2" w:id="6"/>
      <w:bookmarkEnd w:id="6"/>
      <w:r>
        <w:rPr/>
      </w:r>
      <w:r>
        <w:rPr>
          <w:rFonts w:ascii="Arial"/>
          <w:i/>
          <w:color w:val="231F20"/>
          <w:spacing w:val="-5"/>
          <w:w w:val="105"/>
          <w:sz w:val="18"/>
        </w:rPr>
        <w:t>iv</w:t>
      </w:r>
      <w:r>
        <w:rPr>
          <w:rFonts w:ascii="Arial"/>
          <w:i/>
          <w:color w:val="231F20"/>
          <w:sz w:val="18"/>
        </w:rPr>
        <w:tab/>
      </w:r>
      <w:r>
        <w:rPr>
          <w:rFonts w:ascii="Arial"/>
          <w:color w:val="231F20"/>
          <w:w w:val="105"/>
          <w:sz w:val="16"/>
        </w:rPr>
        <w:t>C</w:t>
      </w:r>
      <w:r>
        <w:rPr>
          <w:rFonts w:ascii="Arial"/>
          <w:color w:val="231F20"/>
          <w:spacing w:val="-25"/>
          <w:w w:val="105"/>
          <w:sz w:val="16"/>
        </w:rPr>
        <w:t> </w:t>
      </w:r>
      <w:r>
        <w:rPr>
          <w:rFonts w:ascii="Arial"/>
          <w:color w:val="231F20"/>
          <w:spacing w:val="19"/>
          <w:w w:val="105"/>
          <w:sz w:val="16"/>
        </w:rPr>
        <w:t>ONTENT</w:t>
      </w:r>
      <w:r>
        <w:rPr>
          <w:rFonts w:ascii="Arial"/>
          <w:color w:val="231F20"/>
          <w:spacing w:val="-23"/>
          <w:w w:val="105"/>
          <w:sz w:val="16"/>
        </w:rPr>
        <w:t> </w:t>
      </w:r>
      <w:r>
        <w:rPr>
          <w:rFonts w:ascii="Arial"/>
          <w:color w:val="231F20"/>
          <w:spacing w:val="-10"/>
          <w:w w:val="105"/>
          <w:sz w:val="16"/>
        </w:rPr>
        <w:t>S</w:t>
      </w:r>
    </w:p>
    <w:p>
      <w:pPr>
        <w:pStyle w:val="BodyText"/>
        <w:rPr>
          <w:rFonts w:ascii="Arial"/>
          <w:sz w:val="18"/>
        </w:rPr>
      </w:pPr>
    </w:p>
    <w:p>
      <w:pPr>
        <w:pStyle w:val="BodyText"/>
        <w:spacing w:before="102"/>
        <w:ind w:left="2910"/>
      </w:pPr>
      <w:hyperlink w:history="true" w:anchor="_bookmark20">
        <w:r>
          <w:rPr>
            <w:color w:val="0000FF"/>
          </w:rPr>
          <w:t>Financial</w:t>
        </w:r>
        <w:r>
          <w:rPr>
            <w:color w:val="0000FF"/>
            <w:spacing w:val="11"/>
          </w:rPr>
          <w:t> </w:t>
        </w:r>
        <w:r>
          <w:rPr>
            <w:color w:val="0000FF"/>
          </w:rPr>
          <w:t>Planner,</w:t>
        </w:r>
      </w:hyperlink>
      <w:r>
        <w:rPr>
          <w:color w:val="0000FF"/>
          <w:spacing w:val="41"/>
        </w:rPr>
        <w:t>  </w:t>
      </w:r>
      <w:r>
        <w:rPr>
          <w:color w:val="231F20"/>
          <w:spacing w:val="-5"/>
        </w:rPr>
        <w:t>389</w:t>
      </w:r>
    </w:p>
    <w:p>
      <w:pPr>
        <w:pStyle w:val="BodyText"/>
        <w:spacing w:line="369" w:lineRule="auto" w:before="134"/>
        <w:ind w:left="1910" w:right="1262" w:firstLine="1000"/>
      </w:pPr>
      <w:hyperlink w:history="true" w:anchor="_bookmark21">
        <w:r>
          <w:rPr>
            <w:color w:val="0000FF"/>
            <w:w w:val="105"/>
          </w:rPr>
          <w:t>Ten-Day MBA Diploma,</w:t>
        </w:r>
      </w:hyperlink>
      <w:r>
        <w:rPr>
          <w:color w:val="0000FF"/>
          <w:spacing w:val="80"/>
          <w:w w:val="105"/>
        </w:rPr>
        <w:t> </w:t>
      </w:r>
      <w:r>
        <w:rPr>
          <w:color w:val="231F20"/>
          <w:w w:val="105"/>
        </w:rPr>
        <w:t>393 </w:t>
      </w:r>
      <w:hyperlink w:history="true" w:anchor="_bookmark22">
        <w:r>
          <w:rPr>
            <w:color w:val="0000FF"/>
            <w:w w:val="105"/>
          </w:rPr>
          <w:t>Appendix:</w:t>
        </w:r>
        <w:r>
          <w:rPr>
            <w:color w:val="0000FF"/>
            <w:spacing w:val="-7"/>
            <w:w w:val="105"/>
          </w:rPr>
          <w:t> </w:t>
        </w:r>
      </w:hyperlink>
      <w:r>
        <w:rPr>
          <w:w w:val="105"/>
        </w:rPr>
        <w:t>Quantitative</w:t>
      </w:r>
      <w:r>
        <w:rPr>
          <w:spacing w:val="-7"/>
          <w:w w:val="105"/>
        </w:rPr>
        <w:t> </w:t>
      </w:r>
      <w:r>
        <w:rPr>
          <w:w w:val="105"/>
        </w:rPr>
        <w:t>Analysis</w:t>
      </w:r>
      <w:r>
        <w:rPr>
          <w:spacing w:val="-7"/>
          <w:w w:val="105"/>
        </w:rPr>
        <w:t> </w:t>
      </w:r>
      <w:r>
        <w:rPr>
          <w:w w:val="105"/>
        </w:rPr>
        <w:t>Tables,</w:t>
      </w:r>
      <w:r>
        <w:rPr>
          <w:spacing w:val="77"/>
          <w:w w:val="105"/>
        </w:rPr>
        <w:t> </w:t>
      </w:r>
      <w:r>
        <w:rPr>
          <w:color w:val="231F20"/>
          <w:w w:val="105"/>
        </w:rPr>
        <w:t>395 </w:t>
      </w:r>
      <w:hyperlink w:history="true" w:anchor="_bookmark23">
        <w:r>
          <w:rPr>
            <w:color w:val="0000FF"/>
            <w:w w:val="105"/>
          </w:rPr>
          <w:t>Bibliography,</w:t>
        </w:r>
      </w:hyperlink>
      <w:r>
        <w:rPr>
          <w:color w:val="0000FF"/>
          <w:spacing w:val="80"/>
          <w:w w:val="105"/>
        </w:rPr>
        <w:t> </w:t>
      </w:r>
      <w:r>
        <w:rPr>
          <w:color w:val="231F20"/>
          <w:w w:val="105"/>
        </w:rPr>
        <w:t>399</w:t>
      </w:r>
    </w:p>
    <w:p>
      <w:pPr>
        <w:pStyle w:val="BodyText"/>
        <w:spacing w:before="2"/>
        <w:ind w:left="1910"/>
      </w:pPr>
      <w:hyperlink w:history="true" w:anchor="_bookmark24">
        <w:r>
          <w:rPr>
            <w:color w:val="0000FF"/>
            <w:w w:val="105"/>
          </w:rPr>
          <w:t>MBA</w:t>
        </w:r>
        <w:r>
          <w:rPr>
            <w:color w:val="0000FF"/>
            <w:spacing w:val="14"/>
            <w:w w:val="105"/>
          </w:rPr>
          <w:t> </w:t>
        </w:r>
        <w:r>
          <w:rPr>
            <w:color w:val="0000FF"/>
            <w:w w:val="105"/>
          </w:rPr>
          <w:t>Abbreviation</w:t>
        </w:r>
        <w:r>
          <w:rPr>
            <w:color w:val="0000FF"/>
            <w:spacing w:val="14"/>
            <w:w w:val="105"/>
          </w:rPr>
          <w:t> </w:t>
        </w:r>
        <w:r>
          <w:rPr>
            <w:color w:val="0000FF"/>
            <w:w w:val="105"/>
          </w:rPr>
          <w:t>Lexicon,</w:t>
        </w:r>
      </w:hyperlink>
      <w:r>
        <w:rPr>
          <w:color w:val="0000FF"/>
          <w:spacing w:val="46"/>
          <w:w w:val="105"/>
        </w:rPr>
        <w:t>  </w:t>
      </w:r>
      <w:r>
        <w:rPr>
          <w:color w:val="231F20"/>
          <w:spacing w:val="-5"/>
          <w:w w:val="105"/>
        </w:rPr>
        <w:t>405</w:t>
      </w:r>
    </w:p>
    <w:p>
      <w:pPr>
        <w:pStyle w:val="BodyText"/>
        <w:spacing w:before="134"/>
        <w:ind w:left="1910"/>
      </w:pPr>
      <w:hyperlink w:history="true" w:anchor="_bookmark25">
        <w:r>
          <w:rPr>
            <w:color w:val="0000FF"/>
          </w:rPr>
          <w:t>Permissions,</w:t>
        </w:r>
      </w:hyperlink>
      <w:r>
        <w:rPr>
          <w:color w:val="0000FF"/>
          <w:spacing w:val="36"/>
        </w:rPr>
        <w:t>  </w:t>
      </w:r>
      <w:r>
        <w:rPr>
          <w:color w:val="231F20"/>
          <w:spacing w:val="-5"/>
        </w:rPr>
        <w:t>407</w:t>
      </w:r>
    </w:p>
    <w:p>
      <w:pPr>
        <w:pStyle w:val="BodyText"/>
        <w:spacing w:before="134"/>
        <w:ind w:left="1910"/>
      </w:pPr>
      <w:hyperlink w:history="true" w:anchor="_bookmark26">
        <w:r>
          <w:rPr>
            <w:color w:val="0000FF"/>
            <w:w w:val="105"/>
          </w:rPr>
          <w:t>Index,</w:t>
        </w:r>
      </w:hyperlink>
      <w:r>
        <w:rPr>
          <w:color w:val="0000FF"/>
          <w:spacing w:val="39"/>
          <w:w w:val="105"/>
        </w:rPr>
        <w:t>  </w:t>
      </w:r>
      <w:r>
        <w:rPr>
          <w:color w:val="231F20"/>
          <w:spacing w:val="-5"/>
          <w:w w:val="105"/>
        </w:rPr>
        <w:t>411</w:t>
      </w:r>
    </w:p>
    <w:p>
      <w:pPr>
        <w:pStyle w:val="BodyText"/>
        <w:spacing w:before="6"/>
        <w:rPr>
          <w:sz w:val="12"/>
        </w:rPr>
      </w:pPr>
    </w:p>
    <w:p>
      <w:pPr>
        <w:pStyle w:val="BodyText"/>
        <w:spacing w:line="451" w:lineRule="auto" w:before="102"/>
        <w:ind w:left="1901" w:right="4157" w:firstLine="18"/>
      </w:pPr>
      <w:hyperlink w:history="true" w:anchor="_bookmark27">
        <w:r>
          <w:rPr>
            <w:color w:val="0000FF"/>
            <w:spacing w:val="-2"/>
          </w:rPr>
          <w:t>Acknowledgments</w:t>
        </w:r>
      </w:hyperlink>
      <w:r>
        <w:rPr>
          <w:color w:val="0000FF"/>
          <w:spacing w:val="-2"/>
        </w:rPr>
        <w:t> </w:t>
      </w:r>
      <w:hyperlink w:history="true" w:anchor="_bookmark28">
        <w:r>
          <w:rPr>
            <w:color w:val="0000FF"/>
          </w:rPr>
          <w:t>About the Author</w:t>
        </w:r>
      </w:hyperlink>
      <w:r>
        <w:rPr>
          <w:color w:val="0000FF"/>
        </w:rPr>
        <w:t> </w:t>
      </w:r>
      <w:hyperlink w:history="true" w:anchor="_bookmark29">
        <w:r>
          <w:rPr>
            <w:color w:val="0000FF"/>
            <w:spacing w:val="-2"/>
          </w:rPr>
          <w:t>Praise</w:t>
        </w:r>
      </w:hyperlink>
    </w:p>
    <w:p>
      <w:pPr>
        <w:pStyle w:val="BodyText"/>
        <w:spacing w:line="436" w:lineRule="auto"/>
        <w:ind w:left="1895" w:right="4813" w:firstLine="7"/>
      </w:pPr>
      <w:hyperlink w:history="true" w:anchor="_bookmark30">
        <w:r>
          <w:rPr>
            <w:color w:val="0000FF"/>
            <w:spacing w:val="-2"/>
            <w:w w:val="105"/>
          </w:rPr>
          <w:t>Credits</w:t>
        </w:r>
      </w:hyperlink>
      <w:r>
        <w:rPr>
          <w:color w:val="0000FF"/>
          <w:spacing w:val="-2"/>
          <w:w w:val="105"/>
        </w:rPr>
        <w:t> </w:t>
      </w:r>
      <w:hyperlink w:history="true" w:anchor="_bookmark0">
        <w:r>
          <w:rPr>
            <w:color w:val="0000FF"/>
            <w:spacing w:val="-4"/>
            <w:w w:val="105"/>
          </w:rPr>
          <w:t>Cover</w:t>
        </w:r>
      </w:hyperlink>
      <w:r>
        <w:rPr>
          <w:color w:val="0000FF"/>
          <w:spacing w:val="-4"/>
          <w:w w:val="105"/>
        </w:rPr>
        <w:t> </w:t>
      </w:r>
      <w:hyperlink w:history="true" w:anchor="_bookmark31">
        <w:r>
          <w:rPr>
            <w:color w:val="0000FF"/>
            <w:spacing w:val="-2"/>
            <w:w w:val="105"/>
          </w:rPr>
          <w:t>Copyright</w:t>
        </w:r>
      </w:hyperlink>
    </w:p>
    <w:p>
      <w:pPr>
        <w:pStyle w:val="BodyText"/>
        <w:spacing w:line="235" w:lineRule="exact"/>
        <w:ind w:left="1912"/>
      </w:pPr>
      <w:hyperlink w:history="true" w:anchor="_bookmark32">
        <w:r>
          <w:rPr>
            <w:color w:val="0000FF"/>
          </w:rPr>
          <w:t>About</w:t>
        </w:r>
        <w:r>
          <w:rPr>
            <w:color w:val="0000FF"/>
            <w:spacing w:val="25"/>
          </w:rPr>
          <w:t> </w:t>
        </w:r>
        <w:r>
          <w:rPr>
            <w:color w:val="0000FF"/>
          </w:rPr>
          <w:t>the</w:t>
        </w:r>
        <w:r>
          <w:rPr>
            <w:color w:val="0000FF"/>
            <w:spacing w:val="25"/>
          </w:rPr>
          <w:t> </w:t>
        </w:r>
        <w:r>
          <w:rPr>
            <w:color w:val="0000FF"/>
            <w:spacing w:val="-2"/>
          </w:rPr>
          <w:t>Publisher</w:t>
        </w:r>
      </w:hyperlink>
    </w:p>
    <w:p>
      <w:pPr>
        <w:spacing w:after="0" w:line="235" w:lineRule="exact"/>
        <w:sectPr>
          <w:pgSz w:w="8640" w:h="12960"/>
          <w:pgMar w:header="0" w:footer="0" w:top="660" w:bottom="280" w:left="340" w:right="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Heading2"/>
        <w:spacing w:before="83"/>
        <w:ind w:left="492" w:right="219"/>
        <w:jc w:val="center"/>
        <w:rPr>
          <w:i/>
        </w:rPr>
      </w:pPr>
      <w:bookmarkStart w:name="Introduction" w:id="7"/>
      <w:bookmarkEnd w:id="7"/>
      <w:r>
        <w:rPr>
          <w:b w:val="0"/>
          <w:i w:val="0"/>
        </w:rPr>
      </w:r>
      <w:bookmarkStart w:name="_bookmark3" w:id="8"/>
      <w:bookmarkEnd w:id="8"/>
      <w:r>
        <w:rPr>
          <w:b w:val="0"/>
          <w:i w:val="0"/>
        </w:rPr>
      </w:r>
      <w:hyperlink w:history="true" w:anchor="_bookmark1">
        <w:r>
          <w:rPr>
            <w:i/>
            <w:color w:val="0000FF"/>
            <w:spacing w:val="21"/>
            <w:w w:val="95"/>
          </w:rPr>
          <w:t>Introduction</w:t>
        </w:r>
      </w:hyperlink>
    </w:p>
    <w:p>
      <w:pPr>
        <w:pStyle w:val="BodyText"/>
        <w:spacing w:before="4"/>
        <w:rPr>
          <w:b/>
          <w:i/>
          <w:sz w:val="9"/>
        </w:rPr>
      </w:pPr>
      <w:r>
        <w:rPr/>
        <w:pict>
          <v:shape style="position:absolute;margin-left:180.25pt;margin-top:6.695117pt;width:76pt;height:.1pt;mso-position-horizontal-relative:page;mso-position-vertical-relative:paragraph;z-index:-15726080;mso-wrap-distance-left:0;mso-wrap-distance-right:0" id="docshape8" coordorigin="3605,134" coordsize="1520,0" path="m3605,134l5125,134e" filled="false" stroked="true" strokeweight="6pt" strokecolor="#d1d3d4">
            <v:path arrowok="t"/>
            <v:stroke dashstyle="solid"/>
            <w10:wrap type="topAndBottom"/>
          </v:shape>
        </w:pict>
      </w:r>
    </w:p>
    <w:p>
      <w:pPr>
        <w:pStyle w:val="BodyText"/>
        <w:rPr>
          <w:b/>
          <w:i/>
          <w:sz w:val="54"/>
        </w:rPr>
      </w:pPr>
    </w:p>
    <w:p>
      <w:pPr>
        <w:pStyle w:val="BodyText"/>
        <w:spacing w:before="10"/>
        <w:rPr>
          <w:b/>
          <w:i/>
          <w:sz w:val="56"/>
        </w:rPr>
      </w:pPr>
    </w:p>
    <w:p>
      <w:pPr>
        <w:pStyle w:val="BodyText"/>
        <w:spacing w:line="292" w:lineRule="auto" w:before="1"/>
        <w:ind w:left="920" w:right="664"/>
        <w:jc w:val="both"/>
      </w:pPr>
      <w:r>
        <w:rPr>
          <w:color w:val="231F20"/>
        </w:rPr>
        <w:t>After I earned my MBA, I had a chance to reflect on the two most </w:t>
      </w:r>
      <w:r>
        <w:rPr>
          <w:color w:val="231F20"/>
        </w:rPr>
        <w:t>ex- hausting and fulfilling years of my life. As I reviewed my course</w:t>
      </w:r>
      <w:r>
        <w:rPr>
          <w:color w:val="231F20"/>
          <w:spacing w:val="40"/>
        </w:rPr>
        <w:t> </w:t>
      </w:r>
      <w:r>
        <w:rPr>
          <w:color w:val="231F20"/>
        </w:rPr>
        <w:t>notes, I realized that the basics of an MBA education were quite sim- ple and could easily be understood by a wider audience. Thousands</w:t>
      </w:r>
      <w:r>
        <w:rPr>
          <w:color w:val="231F20"/>
          <w:spacing w:val="40"/>
        </w:rPr>
        <w:t> </w:t>
      </w:r>
      <w:r>
        <w:rPr>
          <w:color w:val="231F20"/>
        </w:rPr>
        <w:t>of </w:t>
      </w:r>
      <w:r>
        <w:rPr>
          <w:i/>
          <w:color w:val="231F20"/>
        </w:rPr>
        <w:t>Ten-Day MBA </w:t>
      </w:r>
      <w:r>
        <w:rPr>
          <w:color w:val="231F20"/>
        </w:rPr>
        <w:t>readers have proven it! Readers are applying their MBA</w:t>
      </w:r>
      <w:r>
        <w:rPr>
          <w:color w:val="231F20"/>
          <w:spacing w:val="40"/>
        </w:rPr>
        <w:t> </w:t>
      </w:r>
      <w:r>
        <w:rPr>
          <w:color w:val="231F20"/>
        </w:rPr>
        <w:t>knowledge</w:t>
      </w:r>
      <w:r>
        <w:rPr>
          <w:color w:val="231F20"/>
          <w:spacing w:val="40"/>
        </w:rPr>
        <w:t> </w:t>
      </w:r>
      <w:r>
        <w:rPr>
          <w:color w:val="231F20"/>
        </w:rPr>
        <w:t>every</w:t>
      </w:r>
      <w:r>
        <w:rPr>
          <w:color w:val="231F20"/>
          <w:spacing w:val="40"/>
        </w:rPr>
        <w:t> </w:t>
      </w:r>
      <w:r>
        <w:rPr>
          <w:color w:val="231F20"/>
        </w:rPr>
        <w:t>day</w:t>
      </w:r>
      <w:r>
        <w:rPr>
          <w:color w:val="231F20"/>
          <w:spacing w:val="40"/>
        </w:rPr>
        <w:t> </w:t>
      </w:r>
      <w:r>
        <w:rPr>
          <w:color w:val="231F20"/>
        </w:rPr>
        <w:t>to</w:t>
      </w:r>
      <w:r>
        <w:rPr>
          <w:color w:val="231F20"/>
          <w:spacing w:val="40"/>
        </w:rPr>
        <w:t> </w:t>
      </w:r>
      <w:r>
        <w:rPr>
          <w:color w:val="231F20"/>
        </w:rPr>
        <w:t>their</w:t>
      </w:r>
      <w:r>
        <w:rPr>
          <w:color w:val="231F20"/>
          <w:spacing w:val="40"/>
        </w:rPr>
        <w:t> </w:t>
      </w:r>
      <w:r>
        <w:rPr>
          <w:color w:val="231F20"/>
        </w:rPr>
        <w:t>own</w:t>
      </w:r>
      <w:r>
        <w:rPr>
          <w:color w:val="231F20"/>
          <w:spacing w:val="40"/>
        </w:rPr>
        <w:t> </w:t>
      </w:r>
      <w:r>
        <w:rPr>
          <w:color w:val="231F20"/>
        </w:rPr>
        <w:t>business</w:t>
      </w:r>
      <w:r>
        <w:rPr>
          <w:color w:val="231F20"/>
          <w:spacing w:val="40"/>
        </w:rPr>
        <w:t> </w:t>
      </w:r>
      <w:r>
        <w:rPr>
          <w:color w:val="231F20"/>
        </w:rPr>
        <w:t>situations.</w:t>
      </w:r>
      <w:r>
        <w:rPr>
          <w:color w:val="231F20"/>
          <w:spacing w:val="40"/>
        </w:rPr>
        <w:t> </w:t>
      </w:r>
      <w:r>
        <w:rPr>
          <w:color w:val="231F20"/>
        </w:rPr>
        <w:t>Not only useful in the United States, </w:t>
      </w:r>
      <w:r>
        <w:rPr>
          <w:i/>
          <w:color w:val="231F20"/>
        </w:rPr>
        <w:t>The Ten-Day MBA </w:t>
      </w:r>
      <w:r>
        <w:rPr>
          <w:color w:val="231F20"/>
        </w:rPr>
        <w:t>has been trans- lated into many languages around the world. So many people are curious about business education, including doctors, lawyers, busi- nesspeople, and aspiring MBAs. This book answers their questions. </w:t>
      </w:r>
      <w:r>
        <w:rPr>
          <w:i/>
          <w:color w:val="231F20"/>
        </w:rPr>
        <w:t>The Ten-Day MBA </w:t>
      </w:r>
      <w:r>
        <w:rPr>
          <w:color w:val="231F20"/>
        </w:rPr>
        <w:t>really delivers useful information quickly and easily. Current MBA students have written me that they even use the book</w:t>
      </w:r>
      <w:r>
        <w:rPr>
          <w:color w:val="231F20"/>
          <w:spacing w:val="40"/>
        </w:rPr>
        <w:t> </w:t>
      </w:r>
      <w:r>
        <w:rPr>
          <w:color w:val="231F20"/>
        </w:rPr>
        <w:t>to</w:t>
      </w:r>
      <w:r>
        <w:rPr>
          <w:color w:val="231F20"/>
          <w:spacing w:val="40"/>
        </w:rPr>
        <w:t> </w:t>
      </w:r>
      <w:r>
        <w:rPr>
          <w:color w:val="231F20"/>
        </w:rPr>
        <w:t>review</w:t>
      </w:r>
      <w:r>
        <w:rPr>
          <w:color w:val="231F20"/>
          <w:spacing w:val="40"/>
        </w:rPr>
        <w:t> </w:t>
      </w:r>
      <w:r>
        <w:rPr>
          <w:color w:val="231F20"/>
        </w:rPr>
        <w:t>for</w:t>
      </w:r>
      <w:r>
        <w:rPr>
          <w:color w:val="231F20"/>
          <w:spacing w:val="40"/>
        </w:rPr>
        <w:t> </w:t>
      </w:r>
      <w:r>
        <w:rPr>
          <w:color w:val="231F20"/>
        </w:rPr>
        <w:t>exams.</w:t>
      </w:r>
      <w:r>
        <w:rPr>
          <w:color w:val="231F20"/>
          <w:spacing w:val="40"/>
        </w:rPr>
        <w:t> </w:t>
      </w:r>
      <w:r>
        <w:rPr>
          <w:color w:val="231F20"/>
        </w:rPr>
        <w:t>Ten-Day</w:t>
      </w:r>
      <w:r>
        <w:rPr>
          <w:color w:val="231F20"/>
          <w:spacing w:val="40"/>
        </w:rPr>
        <w:t> </w:t>
      </w:r>
      <w:r>
        <w:rPr>
          <w:color w:val="231F20"/>
        </w:rPr>
        <w:t>MBAs</w:t>
      </w:r>
      <w:r>
        <w:rPr>
          <w:color w:val="231F20"/>
          <w:spacing w:val="40"/>
        </w:rPr>
        <w:t> </w:t>
      </w:r>
      <w:r>
        <w:rPr>
          <w:color w:val="231F20"/>
        </w:rPr>
        <w:t>are</w:t>
      </w:r>
      <w:r>
        <w:rPr>
          <w:color w:val="231F20"/>
          <w:spacing w:val="40"/>
        </w:rPr>
        <w:t> </w:t>
      </w:r>
      <w:r>
        <w:rPr>
          <w:color w:val="231F20"/>
        </w:rPr>
        <w:t>“walking</w:t>
      </w:r>
      <w:r>
        <w:rPr>
          <w:color w:val="231F20"/>
          <w:spacing w:val="40"/>
        </w:rPr>
        <w:t> </w:t>
      </w:r>
      <w:r>
        <w:rPr>
          <w:color w:val="231F20"/>
        </w:rPr>
        <w:t>the</w:t>
      </w:r>
      <w:r>
        <w:rPr>
          <w:color w:val="231F20"/>
          <w:spacing w:val="40"/>
        </w:rPr>
        <w:t> </w:t>
      </w:r>
      <w:r>
        <w:rPr>
          <w:color w:val="231F20"/>
        </w:rPr>
        <w:t>walk and talking the talk” of MBAs every business day: Executive mini- MBA programs are designed around the book. It’s proven that this book can work for you. Written for the impatient student, </w:t>
      </w:r>
      <w:r>
        <w:rPr>
          <w:i/>
          <w:color w:val="231F20"/>
        </w:rPr>
        <w:t>The Ten-</w:t>
      </w:r>
      <w:r>
        <w:rPr>
          <w:i/>
          <w:color w:val="231F20"/>
        </w:rPr>
        <w:t> Day</w:t>
      </w:r>
      <w:r>
        <w:rPr>
          <w:i/>
          <w:color w:val="231F20"/>
          <w:spacing w:val="40"/>
        </w:rPr>
        <w:t> </w:t>
      </w:r>
      <w:r>
        <w:rPr>
          <w:i/>
          <w:color w:val="231F20"/>
        </w:rPr>
        <w:t>MBA</w:t>
      </w:r>
      <w:r>
        <w:rPr>
          <w:i/>
          <w:color w:val="231F20"/>
          <w:spacing w:val="40"/>
        </w:rPr>
        <w:t> </w:t>
      </w:r>
      <w:r>
        <w:rPr>
          <w:color w:val="231F20"/>
        </w:rPr>
        <w:t>allows</w:t>
      </w:r>
      <w:r>
        <w:rPr>
          <w:color w:val="231F20"/>
          <w:spacing w:val="40"/>
        </w:rPr>
        <w:t> </w:t>
      </w:r>
      <w:r>
        <w:rPr>
          <w:color w:val="231F20"/>
        </w:rPr>
        <w:t>readers</w:t>
      </w:r>
      <w:r>
        <w:rPr>
          <w:color w:val="231F20"/>
          <w:spacing w:val="40"/>
        </w:rPr>
        <w:t> </w:t>
      </w:r>
      <w:r>
        <w:rPr>
          <w:color w:val="231F20"/>
        </w:rPr>
        <w:t>to</w:t>
      </w:r>
      <w:r>
        <w:rPr>
          <w:color w:val="231F20"/>
          <w:spacing w:val="40"/>
        </w:rPr>
        <w:t> </w:t>
      </w:r>
      <w:r>
        <w:rPr>
          <w:color w:val="231F20"/>
        </w:rPr>
        <w:t>really</w:t>
      </w:r>
      <w:r>
        <w:rPr>
          <w:color w:val="231F20"/>
          <w:spacing w:val="40"/>
        </w:rPr>
        <w:t> </w:t>
      </w:r>
      <w:r>
        <w:rPr>
          <w:color w:val="231F20"/>
        </w:rPr>
        <w:t>grasp</w:t>
      </w:r>
      <w:r>
        <w:rPr>
          <w:color w:val="231F20"/>
          <w:spacing w:val="40"/>
        </w:rPr>
        <w:t> </w:t>
      </w:r>
      <w:r>
        <w:rPr>
          <w:color w:val="231F20"/>
        </w:rPr>
        <w:t>the</w:t>
      </w:r>
      <w:r>
        <w:rPr>
          <w:color w:val="231F20"/>
          <w:spacing w:val="40"/>
        </w:rPr>
        <w:t> </w:t>
      </w:r>
      <w:r>
        <w:rPr>
          <w:color w:val="231F20"/>
        </w:rPr>
        <w:t>fundamentals</w:t>
      </w:r>
      <w:r>
        <w:rPr>
          <w:color w:val="231F20"/>
          <w:spacing w:val="40"/>
        </w:rPr>
        <w:t> </w:t>
      </w:r>
      <w:r>
        <w:rPr>
          <w:color w:val="231F20"/>
        </w:rPr>
        <w:t>of</w:t>
      </w:r>
      <w:r>
        <w:rPr>
          <w:color w:val="231F20"/>
          <w:spacing w:val="40"/>
        </w:rPr>
        <w:t> </w:t>
      </w:r>
      <w:r>
        <w:rPr>
          <w:color w:val="231F20"/>
        </w:rPr>
        <w:t>an MBA</w:t>
      </w:r>
      <w:r>
        <w:rPr>
          <w:color w:val="231F20"/>
          <w:spacing w:val="40"/>
        </w:rPr>
        <w:t> </w:t>
      </w:r>
      <w:r>
        <w:rPr>
          <w:color w:val="231F20"/>
        </w:rPr>
        <w:t>without</w:t>
      </w:r>
      <w:r>
        <w:rPr>
          <w:color w:val="231F20"/>
          <w:spacing w:val="40"/>
        </w:rPr>
        <w:t> </w:t>
      </w:r>
      <w:r>
        <w:rPr>
          <w:color w:val="231F20"/>
        </w:rPr>
        <w:t>losing</w:t>
      </w:r>
      <w:r>
        <w:rPr>
          <w:color w:val="231F20"/>
          <w:spacing w:val="40"/>
        </w:rPr>
        <w:t> </w:t>
      </w:r>
      <w:r>
        <w:rPr>
          <w:color w:val="231F20"/>
        </w:rPr>
        <w:t>two</w:t>
      </w:r>
      <w:r>
        <w:rPr>
          <w:color w:val="231F20"/>
          <w:spacing w:val="40"/>
        </w:rPr>
        <w:t> </w:t>
      </w:r>
      <w:r>
        <w:rPr>
          <w:color w:val="231F20"/>
        </w:rPr>
        <w:t>years’</w:t>
      </w:r>
      <w:r>
        <w:rPr>
          <w:color w:val="231F20"/>
          <w:spacing w:val="40"/>
        </w:rPr>
        <w:t> </w:t>
      </w:r>
      <w:r>
        <w:rPr>
          <w:color w:val="231F20"/>
        </w:rPr>
        <w:t>wages</w:t>
      </w:r>
      <w:r>
        <w:rPr>
          <w:color w:val="231F20"/>
          <w:spacing w:val="40"/>
        </w:rPr>
        <w:t> </w:t>
      </w:r>
      <w:r>
        <w:rPr>
          <w:color w:val="231F20"/>
        </w:rPr>
        <w:t>and</w:t>
      </w:r>
      <w:r>
        <w:rPr>
          <w:color w:val="231F20"/>
          <w:spacing w:val="40"/>
        </w:rPr>
        <w:t> </w:t>
      </w:r>
      <w:r>
        <w:rPr>
          <w:color w:val="231F20"/>
        </w:rPr>
        <w:t>incurring</w:t>
      </w:r>
      <w:r>
        <w:rPr>
          <w:color w:val="231F20"/>
          <w:spacing w:val="40"/>
        </w:rPr>
        <w:t> </w:t>
      </w:r>
      <w:r>
        <w:rPr>
          <w:color w:val="231F20"/>
        </w:rPr>
        <w:t>a</w:t>
      </w:r>
      <w:r>
        <w:rPr>
          <w:color w:val="231F20"/>
          <w:spacing w:val="40"/>
        </w:rPr>
        <w:t> </w:t>
      </w:r>
      <w:r>
        <w:rPr>
          <w:color w:val="231F20"/>
        </w:rPr>
        <w:t>$100,000 debt for tuition and expenses.</w:t>
      </w:r>
    </w:p>
    <w:p>
      <w:pPr>
        <w:pStyle w:val="BodyText"/>
        <w:spacing w:line="292" w:lineRule="auto"/>
        <w:ind w:left="919" w:right="666" w:firstLine="340"/>
        <w:jc w:val="both"/>
      </w:pPr>
      <w:r>
        <w:rPr>
          <w:color w:val="231F20"/>
          <w:w w:val="105"/>
        </w:rPr>
        <w:t>Prospective</w:t>
      </w:r>
      <w:r>
        <w:rPr>
          <w:color w:val="231F20"/>
          <w:spacing w:val="-7"/>
          <w:w w:val="105"/>
        </w:rPr>
        <w:t> </w:t>
      </w:r>
      <w:r>
        <w:rPr>
          <w:color w:val="231F20"/>
          <w:w w:val="105"/>
        </w:rPr>
        <w:t>MBAs</w:t>
      </w:r>
      <w:r>
        <w:rPr>
          <w:color w:val="231F20"/>
          <w:spacing w:val="-7"/>
          <w:w w:val="105"/>
        </w:rPr>
        <w:t> </w:t>
      </w:r>
      <w:r>
        <w:rPr>
          <w:color w:val="231F20"/>
          <w:w w:val="105"/>
        </w:rPr>
        <w:t>can</w:t>
      </w:r>
      <w:r>
        <w:rPr>
          <w:color w:val="231F20"/>
          <w:spacing w:val="-7"/>
          <w:w w:val="105"/>
        </w:rPr>
        <w:t> </w:t>
      </w:r>
      <w:r>
        <w:rPr>
          <w:color w:val="231F20"/>
          <w:w w:val="105"/>
        </w:rPr>
        <w:t>use</w:t>
      </w:r>
      <w:r>
        <w:rPr>
          <w:color w:val="231F20"/>
          <w:spacing w:val="-7"/>
          <w:w w:val="105"/>
        </w:rPr>
        <w:t> </w:t>
      </w:r>
      <w:r>
        <w:rPr>
          <w:color w:val="231F20"/>
          <w:w w:val="105"/>
        </w:rPr>
        <w:t>this</w:t>
      </w:r>
      <w:r>
        <w:rPr>
          <w:color w:val="231F20"/>
          <w:spacing w:val="-7"/>
          <w:w w:val="105"/>
        </w:rPr>
        <w:t> </w:t>
      </w:r>
      <w:r>
        <w:rPr>
          <w:color w:val="231F20"/>
          <w:w w:val="105"/>
        </w:rPr>
        <w:t>book</w:t>
      </w:r>
      <w:r>
        <w:rPr>
          <w:color w:val="231F20"/>
          <w:spacing w:val="-7"/>
          <w:w w:val="105"/>
        </w:rPr>
        <w:t> </w:t>
      </w:r>
      <w:r>
        <w:rPr>
          <w:color w:val="231F20"/>
          <w:w w:val="105"/>
        </w:rPr>
        <w:t>to</w:t>
      </w:r>
      <w:r>
        <w:rPr>
          <w:color w:val="231F20"/>
          <w:spacing w:val="-7"/>
          <w:w w:val="105"/>
        </w:rPr>
        <w:t> </w:t>
      </w:r>
      <w:r>
        <w:rPr>
          <w:color w:val="231F20"/>
          <w:w w:val="105"/>
        </w:rPr>
        <w:t>see</w:t>
      </w:r>
      <w:r>
        <w:rPr>
          <w:color w:val="231F20"/>
          <w:spacing w:val="-7"/>
          <w:w w:val="105"/>
        </w:rPr>
        <w:t> </w:t>
      </w:r>
      <w:r>
        <w:rPr>
          <w:color w:val="231F20"/>
          <w:w w:val="105"/>
        </w:rPr>
        <w:t>if</w:t>
      </w:r>
      <w:r>
        <w:rPr>
          <w:color w:val="231F20"/>
          <w:spacing w:val="-7"/>
          <w:w w:val="105"/>
        </w:rPr>
        <w:t> </w:t>
      </w:r>
      <w:r>
        <w:rPr>
          <w:color w:val="231F20"/>
          <w:w w:val="105"/>
        </w:rPr>
        <w:t>a</w:t>
      </w:r>
      <w:r>
        <w:rPr>
          <w:color w:val="231F20"/>
          <w:spacing w:val="-7"/>
          <w:w w:val="105"/>
        </w:rPr>
        <w:t> </w:t>
      </w:r>
      <w:r>
        <w:rPr>
          <w:color w:val="231F20"/>
          <w:w w:val="105"/>
        </w:rPr>
        <w:t>two-year</w:t>
      </w:r>
      <w:r>
        <w:rPr>
          <w:color w:val="231F20"/>
          <w:spacing w:val="-7"/>
          <w:w w:val="105"/>
        </w:rPr>
        <w:t> </w:t>
      </w:r>
      <w:r>
        <w:rPr>
          <w:color w:val="231F20"/>
          <w:w w:val="105"/>
        </w:rPr>
        <w:t>invest- ment</w:t>
      </w:r>
      <w:r>
        <w:rPr>
          <w:color w:val="231F20"/>
          <w:spacing w:val="-12"/>
          <w:w w:val="105"/>
        </w:rPr>
        <w:t> </w:t>
      </w:r>
      <w:r>
        <w:rPr>
          <w:color w:val="231F20"/>
          <w:w w:val="105"/>
        </w:rPr>
        <w:t>is</w:t>
      </w:r>
      <w:r>
        <w:rPr>
          <w:color w:val="231F20"/>
          <w:spacing w:val="-12"/>
          <w:w w:val="105"/>
        </w:rPr>
        <w:t> </w:t>
      </w:r>
      <w:r>
        <w:rPr>
          <w:color w:val="231F20"/>
          <w:w w:val="105"/>
        </w:rPr>
        <w:t>worth</w:t>
      </w:r>
      <w:r>
        <w:rPr>
          <w:color w:val="231F20"/>
          <w:spacing w:val="-12"/>
          <w:w w:val="105"/>
        </w:rPr>
        <w:t> </w:t>
      </w:r>
      <w:r>
        <w:rPr>
          <w:color w:val="231F20"/>
          <w:w w:val="105"/>
        </w:rPr>
        <w:t>their</w:t>
      </w:r>
      <w:r>
        <w:rPr>
          <w:color w:val="231F20"/>
          <w:spacing w:val="-12"/>
          <w:w w:val="105"/>
        </w:rPr>
        <w:t> </w:t>
      </w:r>
      <w:r>
        <w:rPr>
          <w:color w:val="231F20"/>
          <w:w w:val="105"/>
        </w:rPr>
        <w:t>while;</w:t>
      </w:r>
      <w:r>
        <w:rPr>
          <w:color w:val="231F20"/>
          <w:spacing w:val="-12"/>
          <w:w w:val="105"/>
        </w:rPr>
        <w:t> </w:t>
      </w:r>
      <w:r>
        <w:rPr>
          <w:color w:val="231F20"/>
          <w:w w:val="105"/>
        </w:rPr>
        <w:t>those</w:t>
      </w:r>
      <w:r>
        <w:rPr>
          <w:color w:val="231F20"/>
          <w:spacing w:val="-12"/>
          <w:w w:val="105"/>
        </w:rPr>
        <w:t> </w:t>
      </w:r>
      <w:r>
        <w:rPr>
          <w:color w:val="231F20"/>
          <w:w w:val="105"/>
        </w:rPr>
        <w:t>about</w:t>
      </w:r>
      <w:r>
        <w:rPr>
          <w:color w:val="231F20"/>
          <w:spacing w:val="-12"/>
          <w:w w:val="105"/>
        </w:rPr>
        <w:t> </w:t>
      </w:r>
      <w:r>
        <w:rPr>
          <w:color w:val="231F20"/>
          <w:w w:val="105"/>
        </w:rPr>
        <w:t>to</w:t>
      </w:r>
      <w:r>
        <w:rPr>
          <w:color w:val="231F20"/>
          <w:spacing w:val="-12"/>
          <w:w w:val="105"/>
        </w:rPr>
        <w:t> </w:t>
      </w:r>
      <w:r>
        <w:rPr>
          <w:color w:val="231F20"/>
          <w:w w:val="105"/>
        </w:rPr>
        <w:t>enter</w:t>
      </w:r>
      <w:r>
        <w:rPr>
          <w:color w:val="231F20"/>
          <w:spacing w:val="-12"/>
          <w:w w:val="105"/>
        </w:rPr>
        <w:t> </w:t>
      </w:r>
      <w:r>
        <w:rPr>
          <w:color w:val="231F20"/>
          <w:w w:val="105"/>
        </w:rPr>
        <w:t>business</w:t>
      </w:r>
      <w:r>
        <w:rPr>
          <w:color w:val="231F20"/>
          <w:spacing w:val="-12"/>
          <w:w w:val="105"/>
        </w:rPr>
        <w:t> </w:t>
      </w:r>
      <w:r>
        <w:rPr>
          <w:color w:val="231F20"/>
          <w:w w:val="105"/>
        </w:rPr>
        <w:t>school</w:t>
      </w:r>
      <w:r>
        <w:rPr>
          <w:color w:val="231F20"/>
          <w:spacing w:val="-12"/>
          <w:w w:val="105"/>
        </w:rPr>
        <w:t> </w:t>
      </w:r>
      <w:r>
        <w:rPr>
          <w:color w:val="231F20"/>
          <w:w w:val="105"/>
        </w:rPr>
        <w:t>can </w:t>
      </w:r>
      <w:r>
        <w:rPr>
          <w:color w:val="231F20"/>
        </w:rPr>
        <w:t>get a </w:t>
      </w:r>
      <w:r>
        <w:rPr>
          <w:i/>
          <w:color w:val="231F20"/>
        </w:rPr>
        <w:t>big </w:t>
      </w:r>
      <w:r>
        <w:rPr>
          <w:color w:val="231F20"/>
        </w:rPr>
        <w:t>head start on the competition; and those of you who cannot </w:t>
      </w:r>
      <w:r>
        <w:rPr>
          <w:color w:val="231F20"/>
          <w:w w:val="105"/>
        </w:rPr>
        <w:t>find the time or the money can get at least $20,000 of MBA educa- tion</w:t>
      </w:r>
      <w:r>
        <w:rPr>
          <w:color w:val="231F20"/>
          <w:spacing w:val="-8"/>
          <w:w w:val="105"/>
        </w:rPr>
        <w:t> </w:t>
      </w:r>
      <w:r>
        <w:rPr>
          <w:color w:val="231F20"/>
          <w:w w:val="105"/>
        </w:rPr>
        <w:t>at</w:t>
      </w:r>
      <w:r>
        <w:rPr>
          <w:color w:val="231F20"/>
          <w:spacing w:val="-8"/>
          <w:w w:val="105"/>
        </w:rPr>
        <w:t> </w:t>
      </w:r>
      <w:r>
        <w:rPr>
          <w:color w:val="231F20"/>
          <w:w w:val="105"/>
        </w:rPr>
        <w:t>99</w:t>
      </w:r>
      <w:r>
        <w:rPr>
          <w:color w:val="231F20"/>
          <w:spacing w:val="-8"/>
          <w:w w:val="105"/>
        </w:rPr>
        <w:t> </w:t>
      </w:r>
      <w:r>
        <w:rPr>
          <w:color w:val="231F20"/>
          <w:w w:val="105"/>
        </w:rPr>
        <w:t>percent</w:t>
      </w:r>
      <w:r>
        <w:rPr>
          <w:color w:val="231F20"/>
          <w:spacing w:val="-8"/>
          <w:w w:val="105"/>
        </w:rPr>
        <w:t> </w:t>
      </w:r>
      <w:r>
        <w:rPr>
          <w:color w:val="231F20"/>
          <w:w w:val="105"/>
        </w:rPr>
        <w:t>off</w:t>
      </w:r>
      <w:r>
        <w:rPr>
          <w:color w:val="231F20"/>
          <w:spacing w:val="-8"/>
          <w:w w:val="105"/>
        </w:rPr>
        <w:t> </w:t>
      </w:r>
      <w:r>
        <w:rPr>
          <w:color w:val="231F20"/>
          <w:w w:val="105"/>
        </w:rPr>
        <w:t>the</w:t>
      </w:r>
      <w:r>
        <w:rPr>
          <w:color w:val="231F20"/>
          <w:spacing w:val="-8"/>
          <w:w w:val="105"/>
        </w:rPr>
        <w:t> </w:t>
      </w:r>
      <w:r>
        <w:rPr>
          <w:color w:val="231F20"/>
          <w:w w:val="105"/>
        </w:rPr>
        <w:t>list</w:t>
      </w:r>
      <w:r>
        <w:rPr>
          <w:color w:val="231F20"/>
          <w:spacing w:val="-8"/>
          <w:w w:val="105"/>
        </w:rPr>
        <w:t> </w:t>
      </w:r>
      <w:r>
        <w:rPr>
          <w:color w:val="231F20"/>
          <w:w w:val="105"/>
        </w:rPr>
        <w:t>price.</w:t>
      </w:r>
      <w:r>
        <w:rPr>
          <w:color w:val="231F20"/>
          <w:spacing w:val="-8"/>
          <w:w w:val="105"/>
        </w:rPr>
        <w:t> </w:t>
      </w:r>
      <w:r>
        <w:rPr>
          <w:color w:val="231F20"/>
          <w:w w:val="105"/>
        </w:rPr>
        <w:t>Unfortunately,</w:t>
      </w:r>
      <w:r>
        <w:rPr>
          <w:color w:val="231F20"/>
          <w:spacing w:val="-8"/>
          <w:w w:val="105"/>
        </w:rPr>
        <w:t> </w:t>
      </w:r>
      <w:r>
        <w:rPr>
          <w:color w:val="231F20"/>
          <w:w w:val="105"/>
        </w:rPr>
        <w:t>this</w:t>
      </w:r>
      <w:r>
        <w:rPr>
          <w:color w:val="231F20"/>
          <w:spacing w:val="-8"/>
          <w:w w:val="105"/>
        </w:rPr>
        <w:t> </w:t>
      </w:r>
      <w:r>
        <w:rPr>
          <w:color w:val="231F20"/>
          <w:w w:val="105"/>
        </w:rPr>
        <w:t>book</w:t>
      </w:r>
      <w:r>
        <w:rPr>
          <w:color w:val="231F20"/>
          <w:spacing w:val="-8"/>
          <w:w w:val="105"/>
        </w:rPr>
        <w:t> </w:t>
      </w:r>
      <w:r>
        <w:rPr>
          <w:color w:val="231F20"/>
          <w:w w:val="105"/>
        </w:rPr>
        <w:t>cannot </w:t>
      </w:r>
      <w:r>
        <w:rPr>
          <w:color w:val="231F20"/>
        </w:rPr>
        <w:t>provide</w:t>
      </w:r>
      <w:r>
        <w:rPr>
          <w:color w:val="231F20"/>
          <w:spacing w:val="15"/>
        </w:rPr>
        <w:t> </w:t>
      </w:r>
      <w:r>
        <w:rPr>
          <w:color w:val="231F20"/>
        </w:rPr>
        <w:t>you</w:t>
      </w:r>
      <w:r>
        <w:rPr>
          <w:color w:val="231F20"/>
          <w:spacing w:val="15"/>
        </w:rPr>
        <w:t> </w:t>
      </w:r>
      <w:r>
        <w:rPr>
          <w:color w:val="231F20"/>
        </w:rPr>
        <w:t>with</w:t>
      </w:r>
      <w:r>
        <w:rPr>
          <w:color w:val="231F20"/>
          <w:spacing w:val="15"/>
        </w:rPr>
        <w:t> </w:t>
      </w:r>
      <w:r>
        <w:rPr>
          <w:color w:val="231F20"/>
        </w:rPr>
        <w:t>the</w:t>
      </w:r>
      <w:r>
        <w:rPr>
          <w:color w:val="231F20"/>
          <w:spacing w:val="16"/>
        </w:rPr>
        <w:t> </w:t>
      </w:r>
      <w:r>
        <w:rPr>
          <w:color w:val="231F20"/>
        </w:rPr>
        <w:t>friendships</w:t>
      </w:r>
      <w:r>
        <w:rPr>
          <w:color w:val="231F20"/>
          <w:spacing w:val="15"/>
        </w:rPr>
        <w:t> </w:t>
      </w:r>
      <w:r>
        <w:rPr>
          <w:color w:val="231F20"/>
        </w:rPr>
        <w:t>and</w:t>
      </w:r>
      <w:r>
        <w:rPr>
          <w:color w:val="231F20"/>
          <w:spacing w:val="15"/>
        </w:rPr>
        <w:t> </w:t>
      </w:r>
      <w:r>
        <w:rPr>
          <w:color w:val="231F20"/>
        </w:rPr>
        <w:t>lifelong</w:t>
      </w:r>
      <w:r>
        <w:rPr>
          <w:color w:val="231F20"/>
          <w:spacing w:val="15"/>
        </w:rPr>
        <w:t> </w:t>
      </w:r>
      <w:r>
        <w:rPr>
          <w:color w:val="231F20"/>
        </w:rPr>
        <w:t>business</w:t>
      </w:r>
      <w:r>
        <w:rPr>
          <w:color w:val="231F20"/>
          <w:spacing w:val="16"/>
        </w:rPr>
        <w:t> </w:t>
      </w:r>
      <w:r>
        <w:rPr>
          <w:color w:val="231F20"/>
        </w:rPr>
        <w:t>contacts</w:t>
      </w:r>
      <w:r>
        <w:rPr>
          <w:color w:val="231F20"/>
          <w:spacing w:val="15"/>
        </w:rPr>
        <w:t> </w:t>
      </w:r>
      <w:r>
        <w:rPr>
          <w:color w:val="231F20"/>
          <w:spacing w:val="-4"/>
        </w:rPr>
        <w:t>that</w:t>
      </w:r>
    </w:p>
    <w:p>
      <w:pPr>
        <w:spacing w:after="0" w:line="292" w:lineRule="auto"/>
        <w:jc w:val="both"/>
        <w:sectPr>
          <w:pgSz w:w="8640" w:h="12960"/>
          <w:pgMar w:header="0" w:footer="0" w:top="1220" w:bottom="280" w:left="340" w:right="500"/>
        </w:sectPr>
      </w:pPr>
    </w:p>
    <w:p>
      <w:pPr>
        <w:pStyle w:val="BodyText"/>
        <w:spacing w:before="10"/>
        <w:rPr>
          <w:sz w:val="17"/>
        </w:rPr>
      </w:pPr>
    </w:p>
    <w:p>
      <w:pPr>
        <w:pStyle w:val="BodyText"/>
        <w:spacing w:line="292" w:lineRule="auto" w:before="102"/>
        <w:ind w:left="830" w:right="756"/>
        <w:jc w:val="both"/>
      </w:pPr>
      <w:r>
        <w:rPr>
          <w:color w:val="231F20"/>
        </w:rPr>
        <w:t>you can develop at an elite school. However, it can impart many of</w:t>
      </w:r>
      <w:r>
        <w:rPr>
          <w:color w:val="231F20"/>
          <w:spacing w:val="40"/>
        </w:rPr>
        <w:t> </w:t>
      </w:r>
      <w:r>
        <w:rPr>
          <w:color w:val="231F20"/>
        </w:rPr>
        <w:t>the skills that make MBAs successful.</w:t>
      </w:r>
    </w:p>
    <w:p>
      <w:pPr>
        <w:pStyle w:val="BodyText"/>
        <w:spacing w:line="292" w:lineRule="auto"/>
        <w:ind w:left="829" w:right="753" w:firstLine="340"/>
        <w:jc w:val="both"/>
      </w:pPr>
      <w:r>
        <w:rPr>
          <w:i/>
          <w:color w:val="231F20"/>
        </w:rPr>
        <w:t>The Ten-Day MBA </w:t>
      </w:r>
      <w:r>
        <w:rPr>
          <w:color w:val="231F20"/>
        </w:rPr>
        <w:t>summarizes the essentials of a Top Ten MBA education. The mystique and the livelihood of the Top Ten business schools are predicated on making their curriculum appear as unique and complex as possible. Companies pay thousands of dollars to</w:t>
      </w:r>
      <w:r>
        <w:rPr>
          <w:color w:val="231F20"/>
          <w:spacing w:val="80"/>
        </w:rPr>
        <w:t> </w:t>
      </w:r>
      <w:r>
        <w:rPr>
          <w:color w:val="231F20"/>
        </w:rPr>
        <w:t>send their executives to drink from these hallowed fountains of knowledge for a few days. I spent two years of my life not only drinking from the fountain but also bathing and washing my clothes in it.</w:t>
      </w:r>
    </w:p>
    <w:p>
      <w:pPr>
        <w:pStyle w:val="BodyText"/>
        <w:spacing w:line="292" w:lineRule="auto"/>
        <w:ind w:left="829" w:right="756" w:firstLine="340"/>
        <w:jc w:val="both"/>
      </w:pPr>
      <w:r>
        <w:rPr>
          <w:color w:val="231F20"/>
          <w:spacing w:val="-2"/>
          <w:w w:val="105"/>
        </w:rPr>
        <w:t>Which</w:t>
      </w:r>
      <w:r>
        <w:rPr>
          <w:color w:val="231F20"/>
          <w:spacing w:val="-9"/>
          <w:w w:val="105"/>
        </w:rPr>
        <w:t> </w:t>
      </w:r>
      <w:r>
        <w:rPr>
          <w:color w:val="231F20"/>
          <w:spacing w:val="-2"/>
          <w:w w:val="105"/>
        </w:rPr>
        <w:t>schools</w:t>
      </w:r>
      <w:r>
        <w:rPr>
          <w:color w:val="231F20"/>
          <w:spacing w:val="-9"/>
          <w:w w:val="105"/>
        </w:rPr>
        <w:t> </w:t>
      </w:r>
      <w:r>
        <w:rPr>
          <w:color w:val="231F20"/>
          <w:spacing w:val="-2"/>
          <w:w w:val="105"/>
        </w:rPr>
        <w:t>are</w:t>
      </w:r>
      <w:r>
        <w:rPr>
          <w:color w:val="231F20"/>
          <w:spacing w:val="-9"/>
          <w:w w:val="105"/>
        </w:rPr>
        <w:t> </w:t>
      </w:r>
      <w:r>
        <w:rPr>
          <w:color w:val="231F20"/>
          <w:spacing w:val="-2"/>
          <w:w w:val="105"/>
        </w:rPr>
        <w:t>included</w:t>
      </w:r>
      <w:r>
        <w:rPr>
          <w:color w:val="231F20"/>
          <w:spacing w:val="-9"/>
          <w:w w:val="105"/>
        </w:rPr>
        <w:t> </w:t>
      </w:r>
      <w:r>
        <w:rPr>
          <w:color w:val="231F20"/>
          <w:spacing w:val="-2"/>
          <w:w w:val="105"/>
        </w:rPr>
        <w:t>in</w:t>
      </w:r>
      <w:r>
        <w:rPr>
          <w:color w:val="231F20"/>
          <w:spacing w:val="-9"/>
          <w:w w:val="105"/>
        </w:rPr>
        <w:t> </w:t>
      </w:r>
      <w:r>
        <w:rPr>
          <w:color w:val="231F20"/>
          <w:spacing w:val="-2"/>
          <w:w w:val="105"/>
        </w:rPr>
        <w:t>the</w:t>
      </w:r>
      <w:r>
        <w:rPr>
          <w:color w:val="231F20"/>
          <w:spacing w:val="-9"/>
          <w:w w:val="105"/>
        </w:rPr>
        <w:t> </w:t>
      </w:r>
      <w:r>
        <w:rPr>
          <w:color w:val="231F20"/>
          <w:spacing w:val="-2"/>
          <w:w w:val="105"/>
        </w:rPr>
        <w:t>Top</w:t>
      </w:r>
      <w:r>
        <w:rPr>
          <w:color w:val="231F20"/>
          <w:spacing w:val="-9"/>
          <w:w w:val="105"/>
        </w:rPr>
        <w:t> </w:t>
      </w:r>
      <w:r>
        <w:rPr>
          <w:color w:val="231F20"/>
          <w:spacing w:val="-2"/>
          <w:w w:val="105"/>
        </w:rPr>
        <w:t>Ten</w:t>
      </w:r>
      <w:r>
        <w:rPr>
          <w:color w:val="231F20"/>
          <w:spacing w:val="-9"/>
          <w:w w:val="105"/>
        </w:rPr>
        <w:t> </w:t>
      </w:r>
      <w:r>
        <w:rPr>
          <w:color w:val="231F20"/>
          <w:spacing w:val="-2"/>
          <w:w w:val="105"/>
        </w:rPr>
        <w:t>is</w:t>
      </w:r>
      <w:r>
        <w:rPr>
          <w:color w:val="231F20"/>
          <w:spacing w:val="-9"/>
          <w:w w:val="105"/>
        </w:rPr>
        <w:t> </w:t>
      </w:r>
      <w:r>
        <w:rPr>
          <w:color w:val="231F20"/>
          <w:spacing w:val="-2"/>
          <w:w w:val="105"/>
        </w:rPr>
        <w:t>a</w:t>
      </w:r>
      <w:r>
        <w:rPr>
          <w:color w:val="231F20"/>
          <w:spacing w:val="-9"/>
          <w:w w:val="105"/>
        </w:rPr>
        <w:t> </w:t>
      </w:r>
      <w:r>
        <w:rPr>
          <w:color w:val="231F20"/>
          <w:spacing w:val="-2"/>
          <w:w w:val="105"/>
        </w:rPr>
        <w:t>subject</w:t>
      </w:r>
      <w:r>
        <w:rPr>
          <w:color w:val="231F20"/>
          <w:spacing w:val="-9"/>
          <w:w w:val="105"/>
        </w:rPr>
        <w:t> </w:t>
      </w:r>
      <w:r>
        <w:rPr>
          <w:color w:val="231F20"/>
          <w:spacing w:val="-2"/>
          <w:w w:val="105"/>
        </w:rPr>
        <w:t>of</w:t>
      </w:r>
      <w:r>
        <w:rPr>
          <w:color w:val="231F20"/>
          <w:spacing w:val="-9"/>
          <w:w w:val="105"/>
        </w:rPr>
        <w:t> </w:t>
      </w:r>
      <w:r>
        <w:rPr>
          <w:color w:val="231F20"/>
          <w:spacing w:val="-2"/>
          <w:w w:val="105"/>
        </w:rPr>
        <w:t>consid- </w:t>
      </w:r>
      <w:r>
        <w:rPr>
          <w:color w:val="231F20"/>
        </w:rPr>
        <w:t>erable debate, as displayed by the recent rankings shown at the end </w:t>
      </w:r>
      <w:r>
        <w:rPr>
          <w:color w:val="231F20"/>
          <w:spacing w:val="-2"/>
          <w:w w:val="105"/>
        </w:rPr>
        <w:t>of</w:t>
      </w:r>
      <w:r>
        <w:rPr>
          <w:color w:val="231F20"/>
          <w:spacing w:val="-9"/>
          <w:w w:val="105"/>
        </w:rPr>
        <w:t> </w:t>
      </w:r>
      <w:r>
        <w:rPr>
          <w:color w:val="231F20"/>
          <w:spacing w:val="-2"/>
          <w:w w:val="105"/>
        </w:rPr>
        <w:t>this</w:t>
      </w:r>
      <w:r>
        <w:rPr>
          <w:color w:val="231F20"/>
          <w:spacing w:val="-9"/>
          <w:w w:val="105"/>
        </w:rPr>
        <w:t> </w:t>
      </w:r>
      <w:r>
        <w:rPr>
          <w:color w:val="231F20"/>
          <w:spacing w:val="-2"/>
          <w:w w:val="105"/>
        </w:rPr>
        <w:t>introduction.</w:t>
      </w:r>
      <w:r>
        <w:rPr>
          <w:color w:val="231F20"/>
          <w:spacing w:val="-9"/>
          <w:w w:val="105"/>
        </w:rPr>
        <w:t> </w:t>
      </w:r>
      <w:r>
        <w:rPr>
          <w:color w:val="231F20"/>
          <w:spacing w:val="-2"/>
          <w:w w:val="105"/>
        </w:rPr>
        <w:t>The</w:t>
      </w:r>
      <w:r>
        <w:rPr>
          <w:color w:val="231F20"/>
          <w:spacing w:val="-9"/>
          <w:w w:val="105"/>
        </w:rPr>
        <w:t> </w:t>
      </w:r>
      <w:r>
        <w:rPr>
          <w:color w:val="231F20"/>
          <w:spacing w:val="-2"/>
          <w:w w:val="105"/>
        </w:rPr>
        <w:t>Top</w:t>
      </w:r>
      <w:r>
        <w:rPr>
          <w:color w:val="231F20"/>
          <w:spacing w:val="-9"/>
          <w:w w:val="105"/>
        </w:rPr>
        <w:t> </w:t>
      </w:r>
      <w:r>
        <w:rPr>
          <w:color w:val="231F20"/>
          <w:spacing w:val="-2"/>
          <w:w w:val="105"/>
        </w:rPr>
        <w:t>Ten</w:t>
      </w:r>
      <w:r>
        <w:rPr>
          <w:color w:val="231F20"/>
          <w:spacing w:val="-9"/>
          <w:w w:val="105"/>
        </w:rPr>
        <w:t> </w:t>
      </w:r>
      <w:r>
        <w:rPr>
          <w:color w:val="231F20"/>
          <w:spacing w:val="-2"/>
          <w:w w:val="105"/>
        </w:rPr>
        <w:t>actually</w:t>
      </w:r>
      <w:r>
        <w:rPr>
          <w:color w:val="231F20"/>
          <w:spacing w:val="-9"/>
          <w:w w:val="105"/>
        </w:rPr>
        <w:t> </w:t>
      </w:r>
      <w:r>
        <w:rPr>
          <w:color w:val="231F20"/>
          <w:spacing w:val="-2"/>
          <w:w w:val="105"/>
        </w:rPr>
        <w:t>refers</w:t>
      </w:r>
      <w:r>
        <w:rPr>
          <w:color w:val="231F20"/>
          <w:spacing w:val="-9"/>
          <w:w w:val="105"/>
        </w:rPr>
        <w:t> </w:t>
      </w:r>
      <w:r>
        <w:rPr>
          <w:color w:val="231F20"/>
          <w:spacing w:val="-2"/>
          <w:w w:val="105"/>
        </w:rPr>
        <w:t>to</w:t>
      </w:r>
      <w:r>
        <w:rPr>
          <w:color w:val="231F20"/>
          <w:spacing w:val="-9"/>
          <w:w w:val="105"/>
        </w:rPr>
        <w:t> </w:t>
      </w:r>
      <w:r>
        <w:rPr>
          <w:color w:val="231F20"/>
          <w:spacing w:val="-2"/>
          <w:w w:val="105"/>
        </w:rPr>
        <w:t>a</w:t>
      </w:r>
      <w:r>
        <w:rPr>
          <w:color w:val="231F20"/>
          <w:spacing w:val="-9"/>
          <w:w w:val="105"/>
        </w:rPr>
        <w:t> </w:t>
      </w:r>
      <w:r>
        <w:rPr>
          <w:color w:val="231F20"/>
          <w:spacing w:val="-2"/>
          <w:w w:val="105"/>
        </w:rPr>
        <w:t>group</w:t>
      </w:r>
      <w:r>
        <w:rPr>
          <w:color w:val="231F20"/>
          <w:spacing w:val="-9"/>
          <w:w w:val="105"/>
        </w:rPr>
        <w:t> </w:t>
      </w:r>
      <w:r>
        <w:rPr>
          <w:color w:val="231F20"/>
          <w:spacing w:val="-2"/>
          <w:w w:val="105"/>
        </w:rPr>
        <w:t>of</w:t>
      </w:r>
      <w:r>
        <w:rPr>
          <w:color w:val="231F20"/>
          <w:spacing w:val="-9"/>
          <w:w w:val="105"/>
        </w:rPr>
        <w:t> </w:t>
      </w:r>
      <w:r>
        <w:rPr>
          <w:color w:val="231F20"/>
          <w:spacing w:val="-2"/>
          <w:w w:val="105"/>
        </w:rPr>
        <w:t>fifteen </w:t>
      </w:r>
      <w:r>
        <w:rPr>
          <w:color w:val="231F20"/>
          <w:w w:val="105"/>
        </w:rPr>
        <w:t>nationally</w:t>
      </w:r>
      <w:r>
        <w:rPr>
          <w:color w:val="231F20"/>
          <w:spacing w:val="-4"/>
          <w:w w:val="105"/>
        </w:rPr>
        <w:t> </w:t>
      </w:r>
      <w:r>
        <w:rPr>
          <w:color w:val="231F20"/>
          <w:w w:val="105"/>
        </w:rPr>
        <w:t>recognized</w:t>
      </w:r>
      <w:r>
        <w:rPr>
          <w:color w:val="231F20"/>
          <w:spacing w:val="-4"/>
          <w:w w:val="105"/>
        </w:rPr>
        <w:t> </w:t>
      </w:r>
      <w:r>
        <w:rPr>
          <w:color w:val="231F20"/>
          <w:w w:val="105"/>
        </w:rPr>
        <w:t>schools</w:t>
      </w:r>
      <w:r>
        <w:rPr>
          <w:color w:val="231F20"/>
          <w:spacing w:val="-4"/>
          <w:w w:val="105"/>
        </w:rPr>
        <w:t> </w:t>
      </w:r>
      <w:r>
        <w:rPr>
          <w:color w:val="231F20"/>
          <w:w w:val="105"/>
        </w:rPr>
        <w:t>that</w:t>
      </w:r>
      <w:r>
        <w:rPr>
          <w:color w:val="231F20"/>
          <w:spacing w:val="-4"/>
          <w:w w:val="105"/>
        </w:rPr>
        <w:t> </w:t>
      </w:r>
      <w:r>
        <w:rPr>
          <w:color w:val="231F20"/>
          <w:w w:val="105"/>
        </w:rPr>
        <w:t>play</w:t>
      </w:r>
      <w:r>
        <w:rPr>
          <w:color w:val="231F20"/>
          <w:spacing w:val="-4"/>
          <w:w w:val="105"/>
        </w:rPr>
        <w:t> </w:t>
      </w:r>
      <w:r>
        <w:rPr>
          <w:color w:val="231F20"/>
          <w:w w:val="105"/>
        </w:rPr>
        <w:t>musical</w:t>
      </w:r>
      <w:r>
        <w:rPr>
          <w:color w:val="231F20"/>
          <w:spacing w:val="-4"/>
          <w:w w:val="105"/>
        </w:rPr>
        <w:t> </w:t>
      </w:r>
      <w:r>
        <w:rPr>
          <w:color w:val="231F20"/>
          <w:w w:val="105"/>
        </w:rPr>
        <w:t>chairs</w:t>
      </w:r>
      <w:r>
        <w:rPr>
          <w:color w:val="231F20"/>
          <w:spacing w:val="-4"/>
          <w:w w:val="105"/>
        </w:rPr>
        <w:t> </w:t>
      </w:r>
      <w:r>
        <w:rPr>
          <w:color w:val="231F20"/>
          <w:w w:val="105"/>
        </w:rPr>
        <w:t>for</w:t>
      </w:r>
      <w:r>
        <w:rPr>
          <w:color w:val="231F20"/>
          <w:spacing w:val="-4"/>
          <w:w w:val="105"/>
        </w:rPr>
        <w:t> </w:t>
      </w:r>
      <w:r>
        <w:rPr>
          <w:color w:val="231F20"/>
          <w:w w:val="105"/>
        </w:rPr>
        <w:t>Top</w:t>
      </w:r>
      <w:r>
        <w:rPr>
          <w:color w:val="231F20"/>
          <w:spacing w:val="-4"/>
          <w:w w:val="105"/>
        </w:rPr>
        <w:t> </w:t>
      </w:r>
      <w:r>
        <w:rPr>
          <w:color w:val="231F20"/>
          <w:w w:val="105"/>
        </w:rPr>
        <w:t>Ten </w:t>
      </w:r>
      <w:r>
        <w:rPr>
          <w:color w:val="231F20"/>
          <w:spacing w:val="-2"/>
          <w:w w:val="105"/>
        </w:rPr>
        <w:t>ranking.</w:t>
      </w:r>
      <w:r>
        <w:rPr>
          <w:color w:val="231F20"/>
          <w:spacing w:val="-3"/>
          <w:w w:val="105"/>
        </w:rPr>
        <w:t> </w:t>
      </w:r>
      <w:r>
        <w:rPr>
          <w:color w:val="231F20"/>
          <w:spacing w:val="-2"/>
          <w:w w:val="105"/>
        </w:rPr>
        <w:t>They</w:t>
      </w:r>
      <w:r>
        <w:rPr>
          <w:color w:val="231F20"/>
          <w:spacing w:val="-3"/>
          <w:w w:val="105"/>
        </w:rPr>
        <w:t> </w:t>
      </w:r>
      <w:r>
        <w:rPr>
          <w:color w:val="231F20"/>
          <w:spacing w:val="-2"/>
          <w:w w:val="105"/>
        </w:rPr>
        <w:t>distinguish</w:t>
      </w:r>
      <w:r>
        <w:rPr>
          <w:color w:val="231F20"/>
          <w:spacing w:val="-3"/>
          <w:w w:val="105"/>
        </w:rPr>
        <w:t> </w:t>
      </w:r>
      <w:r>
        <w:rPr>
          <w:color w:val="231F20"/>
          <w:spacing w:val="-2"/>
          <w:w w:val="105"/>
        </w:rPr>
        <w:t>themselves</w:t>
      </w:r>
      <w:r>
        <w:rPr>
          <w:color w:val="231F20"/>
          <w:spacing w:val="-3"/>
          <w:w w:val="105"/>
        </w:rPr>
        <w:t> </w:t>
      </w:r>
      <w:r>
        <w:rPr>
          <w:color w:val="231F20"/>
          <w:spacing w:val="-2"/>
          <w:w w:val="105"/>
        </w:rPr>
        <w:t>by</w:t>
      </w:r>
      <w:r>
        <w:rPr>
          <w:color w:val="231F20"/>
          <w:spacing w:val="-3"/>
          <w:w w:val="105"/>
        </w:rPr>
        <w:t> </w:t>
      </w:r>
      <w:r>
        <w:rPr>
          <w:color w:val="231F20"/>
          <w:spacing w:val="-2"/>
          <w:w w:val="105"/>
        </w:rPr>
        <w:t>long</w:t>
      </w:r>
      <w:r>
        <w:rPr>
          <w:color w:val="231F20"/>
          <w:spacing w:val="-3"/>
          <w:w w:val="105"/>
        </w:rPr>
        <w:t> </w:t>
      </w:r>
      <w:r>
        <w:rPr>
          <w:color w:val="231F20"/>
          <w:spacing w:val="-2"/>
          <w:w w:val="105"/>
        </w:rPr>
        <w:t>application</w:t>
      </w:r>
      <w:r>
        <w:rPr>
          <w:color w:val="231F20"/>
          <w:spacing w:val="-3"/>
          <w:w w:val="105"/>
        </w:rPr>
        <w:t> </w:t>
      </w:r>
      <w:r>
        <w:rPr>
          <w:color w:val="231F20"/>
          <w:spacing w:val="-2"/>
          <w:w w:val="105"/>
        </w:rPr>
        <w:t>forms,</w:t>
      </w:r>
      <w:r>
        <w:rPr>
          <w:color w:val="231F20"/>
          <w:spacing w:val="-3"/>
          <w:w w:val="105"/>
        </w:rPr>
        <w:t> </w:t>
      </w:r>
      <w:r>
        <w:rPr>
          <w:color w:val="231F20"/>
          <w:spacing w:val="-2"/>
          <w:w w:val="105"/>
        </w:rPr>
        <w:t>ac- tive</w:t>
      </w:r>
      <w:r>
        <w:rPr>
          <w:color w:val="231F20"/>
          <w:spacing w:val="-4"/>
          <w:w w:val="105"/>
        </w:rPr>
        <w:t> </w:t>
      </w:r>
      <w:r>
        <w:rPr>
          <w:color w:val="231F20"/>
          <w:spacing w:val="-2"/>
          <w:w w:val="105"/>
        </w:rPr>
        <w:t>alumni</w:t>
      </w:r>
      <w:r>
        <w:rPr>
          <w:color w:val="231F20"/>
          <w:spacing w:val="-4"/>
          <w:w w:val="105"/>
        </w:rPr>
        <w:t> </w:t>
      </w:r>
      <w:r>
        <w:rPr>
          <w:color w:val="231F20"/>
          <w:spacing w:val="-2"/>
          <w:w w:val="105"/>
        </w:rPr>
        <w:t>networks,</w:t>
      </w:r>
      <w:r>
        <w:rPr>
          <w:color w:val="231F20"/>
          <w:spacing w:val="-4"/>
          <w:w w:val="105"/>
        </w:rPr>
        <w:t> </w:t>
      </w:r>
      <w:r>
        <w:rPr>
          <w:color w:val="231F20"/>
          <w:spacing w:val="-2"/>
          <w:w w:val="105"/>
        </w:rPr>
        <w:t>long</w:t>
      </w:r>
      <w:r>
        <w:rPr>
          <w:color w:val="231F20"/>
          <w:spacing w:val="-4"/>
          <w:w w:val="105"/>
        </w:rPr>
        <w:t> </w:t>
      </w:r>
      <w:r>
        <w:rPr>
          <w:color w:val="231F20"/>
          <w:spacing w:val="-2"/>
          <w:w w:val="105"/>
        </w:rPr>
        <w:t>lists</w:t>
      </w:r>
      <w:r>
        <w:rPr>
          <w:color w:val="231F20"/>
          <w:spacing w:val="-4"/>
          <w:w w:val="105"/>
        </w:rPr>
        <w:t> </w:t>
      </w:r>
      <w:r>
        <w:rPr>
          <w:color w:val="231F20"/>
          <w:spacing w:val="-2"/>
          <w:w w:val="105"/>
        </w:rPr>
        <w:t>of</w:t>
      </w:r>
      <w:r>
        <w:rPr>
          <w:color w:val="231F20"/>
          <w:spacing w:val="-4"/>
          <w:w w:val="105"/>
        </w:rPr>
        <w:t> </w:t>
      </w:r>
      <w:r>
        <w:rPr>
          <w:color w:val="231F20"/>
          <w:spacing w:val="-2"/>
          <w:w w:val="105"/>
        </w:rPr>
        <w:t>recruiters,</w:t>
      </w:r>
      <w:r>
        <w:rPr>
          <w:color w:val="231F20"/>
          <w:spacing w:val="-4"/>
          <w:w w:val="105"/>
        </w:rPr>
        <w:t> </w:t>
      </w:r>
      <w:r>
        <w:rPr>
          <w:color w:val="231F20"/>
          <w:spacing w:val="-2"/>
          <w:w w:val="105"/>
        </w:rPr>
        <w:t>and</w:t>
      </w:r>
      <w:r>
        <w:rPr>
          <w:color w:val="231F20"/>
          <w:spacing w:val="-4"/>
          <w:w w:val="105"/>
        </w:rPr>
        <w:t> </w:t>
      </w:r>
      <w:r>
        <w:rPr>
          <w:color w:val="231F20"/>
          <w:spacing w:val="-2"/>
          <w:w w:val="105"/>
        </w:rPr>
        <w:t>the</w:t>
      </w:r>
      <w:r>
        <w:rPr>
          <w:color w:val="231F20"/>
          <w:spacing w:val="-4"/>
          <w:w w:val="105"/>
        </w:rPr>
        <w:t> </w:t>
      </w:r>
      <w:r>
        <w:rPr>
          <w:color w:val="231F20"/>
          <w:spacing w:val="-2"/>
          <w:w w:val="105"/>
        </w:rPr>
        <w:t>ability</w:t>
      </w:r>
      <w:r>
        <w:rPr>
          <w:color w:val="231F20"/>
          <w:spacing w:val="-4"/>
          <w:w w:val="105"/>
        </w:rPr>
        <w:t> </w:t>
      </w:r>
      <w:r>
        <w:rPr>
          <w:color w:val="231F20"/>
          <w:spacing w:val="-2"/>
          <w:w w:val="105"/>
        </w:rPr>
        <w:t>of</w:t>
      </w:r>
      <w:r>
        <w:rPr>
          <w:color w:val="231F20"/>
          <w:spacing w:val="-4"/>
          <w:w w:val="105"/>
        </w:rPr>
        <w:t> </w:t>
      </w:r>
      <w:r>
        <w:rPr>
          <w:color w:val="231F20"/>
          <w:spacing w:val="-2"/>
          <w:w w:val="105"/>
        </w:rPr>
        <w:t>their </w:t>
      </w:r>
      <w:r>
        <w:rPr>
          <w:color w:val="231F20"/>
          <w:w w:val="105"/>
        </w:rPr>
        <w:t>graduates</w:t>
      </w:r>
      <w:r>
        <w:rPr>
          <w:color w:val="231F20"/>
          <w:spacing w:val="-10"/>
          <w:w w:val="105"/>
        </w:rPr>
        <w:t> </w:t>
      </w:r>
      <w:r>
        <w:rPr>
          <w:color w:val="231F20"/>
          <w:w w:val="105"/>
        </w:rPr>
        <w:t>to</w:t>
      </w:r>
      <w:r>
        <w:rPr>
          <w:color w:val="231F20"/>
          <w:spacing w:val="-10"/>
          <w:w w:val="105"/>
        </w:rPr>
        <w:t> </w:t>
      </w:r>
      <w:r>
        <w:rPr>
          <w:color w:val="231F20"/>
          <w:w w:val="105"/>
        </w:rPr>
        <w:t>demand</w:t>
      </w:r>
      <w:r>
        <w:rPr>
          <w:color w:val="231F20"/>
          <w:spacing w:val="-10"/>
          <w:w w:val="105"/>
        </w:rPr>
        <w:t> </w:t>
      </w:r>
      <w:r>
        <w:rPr>
          <w:color w:val="231F20"/>
          <w:w w:val="105"/>
        </w:rPr>
        <w:t>and</w:t>
      </w:r>
      <w:r>
        <w:rPr>
          <w:color w:val="231F20"/>
          <w:spacing w:val="-10"/>
          <w:w w:val="105"/>
        </w:rPr>
        <w:t> </w:t>
      </w:r>
      <w:r>
        <w:rPr>
          <w:color w:val="231F20"/>
          <w:w w:val="105"/>
        </w:rPr>
        <w:t>receive</w:t>
      </w:r>
      <w:r>
        <w:rPr>
          <w:color w:val="231F20"/>
          <w:spacing w:val="-10"/>
          <w:w w:val="105"/>
        </w:rPr>
        <w:t> </w:t>
      </w:r>
      <w:r>
        <w:rPr>
          <w:color w:val="231F20"/>
          <w:w w:val="105"/>
        </w:rPr>
        <w:t>outrageous</w:t>
      </w:r>
      <w:r>
        <w:rPr>
          <w:color w:val="231F20"/>
          <w:spacing w:val="-10"/>
          <w:w w:val="105"/>
        </w:rPr>
        <w:t> </w:t>
      </w:r>
      <w:r>
        <w:rPr>
          <w:color w:val="231F20"/>
          <w:w w:val="105"/>
        </w:rPr>
        <w:t>starting</w:t>
      </w:r>
      <w:r>
        <w:rPr>
          <w:color w:val="231F20"/>
          <w:spacing w:val="-10"/>
          <w:w w:val="105"/>
        </w:rPr>
        <w:t> </w:t>
      </w:r>
      <w:r>
        <w:rPr>
          <w:color w:val="231F20"/>
          <w:w w:val="105"/>
        </w:rPr>
        <w:t>salaries.</w:t>
      </w:r>
      <w:r>
        <w:rPr>
          <w:color w:val="231F20"/>
          <w:spacing w:val="-10"/>
          <w:w w:val="105"/>
        </w:rPr>
        <w:t> </w:t>
      </w:r>
      <w:r>
        <w:rPr>
          <w:color w:val="231F20"/>
          <w:w w:val="105"/>
        </w:rPr>
        <w:t>The </w:t>
      </w:r>
      <w:r>
        <w:rPr>
          <w:color w:val="231F20"/>
        </w:rPr>
        <w:t>Top Ten schools require of candidates at least two years’ work expe- rience before admission. Experienced students can enrich class dis- </w:t>
      </w:r>
      <w:r>
        <w:rPr>
          <w:color w:val="231F20"/>
          <w:w w:val="105"/>
        </w:rPr>
        <w:t>cussions</w:t>
      </w:r>
      <w:r>
        <w:rPr>
          <w:color w:val="231F20"/>
          <w:w w:val="105"/>
        </w:rPr>
        <w:t> and</w:t>
      </w:r>
      <w:r>
        <w:rPr>
          <w:color w:val="231F20"/>
          <w:w w:val="105"/>
        </w:rPr>
        <w:t> study</w:t>
      </w:r>
      <w:r>
        <w:rPr>
          <w:color w:val="231F20"/>
          <w:w w:val="105"/>
        </w:rPr>
        <w:t> groups.</w:t>
      </w:r>
      <w:r>
        <w:rPr>
          <w:color w:val="231F20"/>
          <w:w w:val="105"/>
        </w:rPr>
        <w:t> A</w:t>
      </w:r>
      <w:r>
        <w:rPr>
          <w:color w:val="231F20"/>
          <w:w w:val="105"/>
        </w:rPr>
        <w:t> great</w:t>
      </w:r>
      <w:r>
        <w:rPr>
          <w:color w:val="231F20"/>
          <w:w w:val="105"/>
        </w:rPr>
        <w:t> deal</w:t>
      </w:r>
      <w:r>
        <w:rPr>
          <w:color w:val="231F20"/>
          <w:w w:val="105"/>
        </w:rPr>
        <w:t> of</w:t>
      </w:r>
      <w:r>
        <w:rPr>
          <w:color w:val="231F20"/>
          <w:w w:val="105"/>
        </w:rPr>
        <w:t> my</w:t>
      </w:r>
      <w:r>
        <w:rPr>
          <w:color w:val="231F20"/>
          <w:w w:val="105"/>
        </w:rPr>
        <w:t> learning</w:t>
      </w:r>
      <w:r>
        <w:rPr>
          <w:color w:val="231F20"/>
          <w:w w:val="105"/>
        </w:rPr>
        <w:t> came</w:t>
      </w:r>
      <w:r>
        <w:rPr>
          <w:color w:val="231F20"/>
          <w:w w:val="105"/>
        </w:rPr>
        <w:t> from my classmates’ work experiences.</w:t>
      </w:r>
    </w:p>
    <w:p>
      <w:pPr>
        <w:pStyle w:val="BodyText"/>
        <w:spacing w:line="292" w:lineRule="auto"/>
        <w:ind w:left="829" w:right="753" w:firstLine="340"/>
        <w:jc w:val="both"/>
      </w:pPr>
      <w:r>
        <w:rPr>
          <w:color w:val="231F20"/>
        </w:rPr>
        <w:t>The Top Ten schools do not necessarily offer the best teaching, facilities, or curriculum. Reputation plays a great part in their </w:t>
      </w:r>
      <w:r>
        <w:rPr>
          <w:color w:val="231F20"/>
        </w:rPr>
        <w:t>status. A</w:t>
      </w:r>
      <w:r>
        <w:rPr>
          <w:color w:val="231F20"/>
          <w:spacing w:val="33"/>
        </w:rPr>
        <w:t> </w:t>
      </w:r>
      <w:r>
        <w:rPr>
          <w:color w:val="231F20"/>
        </w:rPr>
        <w:t>variety</w:t>
      </w:r>
      <w:r>
        <w:rPr>
          <w:color w:val="231F20"/>
          <w:spacing w:val="33"/>
        </w:rPr>
        <w:t> </w:t>
      </w:r>
      <w:r>
        <w:rPr>
          <w:color w:val="231F20"/>
        </w:rPr>
        <w:t>of</w:t>
      </w:r>
      <w:r>
        <w:rPr>
          <w:color w:val="231F20"/>
          <w:spacing w:val="33"/>
        </w:rPr>
        <w:t> </w:t>
      </w:r>
      <w:r>
        <w:rPr>
          <w:color w:val="231F20"/>
        </w:rPr>
        <w:t>rating</w:t>
      </w:r>
      <w:r>
        <w:rPr>
          <w:color w:val="231F20"/>
          <w:spacing w:val="33"/>
        </w:rPr>
        <w:t> </w:t>
      </w:r>
      <w:r>
        <w:rPr>
          <w:color w:val="231F20"/>
        </w:rPr>
        <w:t>books</w:t>
      </w:r>
      <w:r>
        <w:rPr>
          <w:color w:val="231F20"/>
          <w:spacing w:val="33"/>
        </w:rPr>
        <w:t> </w:t>
      </w:r>
      <w:r>
        <w:rPr>
          <w:color w:val="231F20"/>
        </w:rPr>
        <w:t>are</w:t>
      </w:r>
      <w:r>
        <w:rPr>
          <w:color w:val="231F20"/>
          <w:spacing w:val="33"/>
        </w:rPr>
        <w:t> </w:t>
      </w:r>
      <w:r>
        <w:rPr>
          <w:color w:val="231F20"/>
        </w:rPr>
        <w:t>available</w:t>
      </w:r>
      <w:r>
        <w:rPr>
          <w:color w:val="231F20"/>
          <w:spacing w:val="33"/>
        </w:rPr>
        <w:t> </w:t>
      </w:r>
      <w:r>
        <w:rPr>
          <w:color w:val="231F20"/>
        </w:rPr>
        <w:t>that</w:t>
      </w:r>
      <w:r>
        <w:rPr>
          <w:color w:val="231F20"/>
          <w:spacing w:val="33"/>
        </w:rPr>
        <w:t> </w:t>
      </w:r>
      <w:r>
        <w:rPr>
          <w:color w:val="231F20"/>
        </w:rPr>
        <w:t>give</w:t>
      </w:r>
      <w:r>
        <w:rPr>
          <w:color w:val="231F20"/>
          <w:spacing w:val="33"/>
        </w:rPr>
        <w:t> </w:t>
      </w:r>
      <w:r>
        <w:rPr>
          <w:color w:val="231F20"/>
        </w:rPr>
        <w:t>the</w:t>
      </w:r>
      <w:r>
        <w:rPr>
          <w:color w:val="231F20"/>
          <w:spacing w:val="33"/>
        </w:rPr>
        <w:t> </w:t>
      </w:r>
      <w:r>
        <w:rPr>
          <w:color w:val="231F20"/>
        </w:rPr>
        <w:t>“inside”</w:t>
      </w:r>
      <w:r>
        <w:rPr>
          <w:color w:val="231F20"/>
          <w:spacing w:val="33"/>
        </w:rPr>
        <w:t> </w:t>
      </w:r>
      <w:r>
        <w:rPr>
          <w:color w:val="231F20"/>
        </w:rPr>
        <w:t>story on those reputations. So many magazines and newspapers are now publishing</w:t>
      </w:r>
      <w:r>
        <w:rPr>
          <w:color w:val="231F20"/>
          <w:spacing w:val="-1"/>
        </w:rPr>
        <w:t> </w:t>
      </w:r>
      <w:r>
        <w:rPr>
          <w:color w:val="231F20"/>
        </w:rPr>
        <w:t>rankings</w:t>
      </w:r>
      <w:r>
        <w:rPr>
          <w:color w:val="231F20"/>
          <w:spacing w:val="-1"/>
        </w:rPr>
        <w:t> </w:t>
      </w:r>
      <w:r>
        <w:rPr>
          <w:color w:val="231F20"/>
        </w:rPr>
        <w:t>because</w:t>
      </w:r>
      <w:r>
        <w:rPr>
          <w:color w:val="231F20"/>
          <w:spacing w:val="-1"/>
        </w:rPr>
        <w:t> </w:t>
      </w:r>
      <w:r>
        <w:rPr>
          <w:color w:val="231F20"/>
        </w:rPr>
        <w:t>they</w:t>
      </w:r>
      <w:r>
        <w:rPr>
          <w:color w:val="231F20"/>
          <w:spacing w:val="-1"/>
        </w:rPr>
        <w:t> </w:t>
      </w:r>
      <w:r>
        <w:rPr>
          <w:color w:val="231F20"/>
        </w:rPr>
        <w:t>are</w:t>
      </w:r>
      <w:r>
        <w:rPr>
          <w:color w:val="231F20"/>
          <w:spacing w:val="-1"/>
        </w:rPr>
        <w:t> </w:t>
      </w:r>
      <w:r>
        <w:rPr>
          <w:color w:val="231F20"/>
        </w:rPr>
        <w:t>among</w:t>
      </w:r>
      <w:r>
        <w:rPr>
          <w:color w:val="231F20"/>
          <w:spacing w:val="-1"/>
        </w:rPr>
        <w:t> </w:t>
      </w:r>
      <w:r>
        <w:rPr>
          <w:color w:val="231F20"/>
        </w:rPr>
        <w:t>their</w:t>
      </w:r>
      <w:r>
        <w:rPr>
          <w:color w:val="231F20"/>
          <w:spacing w:val="-1"/>
        </w:rPr>
        <w:t> </w:t>
      </w:r>
      <w:r>
        <w:rPr>
          <w:color w:val="231F20"/>
        </w:rPr>
        <w:t>best-selling</w:t>
      </w:r>
      <w:r>
        <w:rPr>
          <w:color w:val="231F20"/>
          <w:spacing w:val="-1"/>
        </w:rPr>
        <w:t> </w:t>
      </w:r>
      <w:r>
        <w:rPr>
          <w:color w:val="231F20"/>
        </w:rPr>
        <w:t>issues. According to the 2004 </w:t>
      </w:r>
      <w:r>
        <w:rPr>
          <w:i/>
          <w:color w:val="231F20"/>
        </w:rPr>
        <w:t>Business Week </w:t>
      </w:r>
      <w:r>
        <w:rPr>
          <w:color w:val="231F20"/>
        </w:rPr>
        <w:t>poll, “racking up the highest satisfaction scores from graduates are, in descending order, Stan- ford, Northwestern, Pennsylvania, MIT, and Chicago.” The re-</w:t>
      </w:r>
      <w:r>
        <w:rPr>
          <w:color w:val="231F20"/>
          <w:spacing w:val="40"/>
        </w:rPr>
        <w:t> </w:t>
      </w:r>
      <w:r>
        <w:rPr>
          <w:color w:val="231F20"/>
        </w:rPr>
        <w:t>cruiters’ rankings, on the other hand, are Chicago, Harvard, Northwestern, Michigan, and Pennsylvania.</w:t>
      </w:r>
    </w:p>
    <w:p>
      <w:pPr>
        <w:pStyle w:val="BodyText"/>
        <w:spacing w:line="292" w:lineRule="auto"/>
        <w:ind w:left="829" w:right="753" w:firstLine="340"/>
        <w:jc w:val="both"/>
      </w:pPr>
      <w:r>
        <w:rPr>
          <w:color w:val="231F20"/>
        </w:rPr>
        <w:t>My aim is to cut to the heart of the top MBA programs’ subject matter</w:t>
      </w:r>
      <w:r>
        <w:rPr>
          <w:color w:val="231F20"/>
          <w:spacing w:val="80"/>
        </w:rPr>
        <w:t> </w:t>
      </w:r>
      <w:r>
        <w:rPr>
          <w:color w:val="231F20"/>
        </w:rPr>
        <w:t>clearly</w:t>
      </w:r>
      <w:r>
        <w:rPr>
          <w:color w:val="231F20"/>
          <w:spacing w:val="80"/>
        </w:rPr>
        <w:t> </w:t>
      </w:r>
      <w:r>
        <w:rPr>
          <w:color w:val="231F20"/>
        </w:rPr>
        <w:t>and</w:t>
      </w:r>
      <w:r>
        <w:rPr>
          <w:color w:val="231F20"/>
          <w:spacing w:val="80"/>
        </w:rPr>
        <w:t> </w:t>
      </w:r>
      <w:r>
        <w:rPr>
          <w:color w:val="231F20"/>
        </w:rPr>
        <w:t>concisely—</w:t>
      </w:r>
      <w:r>
        <w:rPr>
          <w:color w:val="231F20"/>
          <w:spacing w:val="-12"/>
        </w:rPr>
        <w:t> </w:t>
      </w:r>
      <w:r>
        <w:rPr>
          <w:color w:val="231F20"/>
        </w:rPr>
        <w:t>the</w:t>
      </w:r>
      <w:r>
        <w:rPr>
          <w:color w:val="231F20"/>
          <w:spacing w:val="80"/>
        </w:rPr>
        <w:t> </w:t>
      </w:r>
      <w:r>
        <w:rPr>
          <w:color w:val="231F20"/>
        </w:rPr>
        <w:t>way</w:t>
      </w:r>
      <w:r>
        <w:rPr>
          <w:color w:val="231F20"/>
          <w:spacing w:val="80"/>
        </w:rPr>
        <w:t> </w:t>
      </w:r>
      <w:r>
        <w:rPr>
          <w:color w:val="231F20"/>
        </w:rPr>
        <w:t>only</w:t>
      </w:r>
      <w:r>
        <w:rPr>
          <w:color w:val="231F20"/>
          <w:spacing w:val="80"/>
        </w:rPr>
        <w:t> </w:t>
      </w:r>
      <w:r>
        <w:rPr>
          <w:color w:val="231F20"/>
        </w:rPr>
        <w:t>an</w:t>
      </w:r>
      <w:r>
        <w:rPr>
          <w:color w:val="231F20"/>
          <w:spacing w:val="80"/>
        </w:rPr>
        <w:t> </w:t>
      </w:r>
      <w:r>
        <w:rPr>
          <w:color w:val="231F20"/>
        </w:rPr>
        <w:t>MBA</w:t>
      </w:r>
      <w:r>
        <w:rPr>
          <w:color w:val="231F20"/>
          <w:spacing w:val="80"/>
        </w:rPr>
        <w:t> </w:t>
      </w:r>
      <w:r>
        <w:rPr>
          <w:color w:val="231F20"/>
        </w:rPr>
        <w:t>can,</w:t>
      </w:r>
      <w:r>
        <w:rPr>
          <w:color w:val="231F20"/>
          <w:spacing w:val="80"/>
        </w:rPr>
        <w:t> </w:t>
      </w:r>
      <w:r>
        <w:rPr>
          <w:color w:val="231F20"/>
        </w:rPr>
        <w:t>and the way academics would not dare. To cover the major concepts, </w:t>
      </w:r>
      <w:r>
        <w:rPr>
          <w:color w:val="231F20"/>
        </w:rPr>
        <w:t>I</w:t>
      </w:r>
      <w:r>
        <w:rPr>
          <w:color w:val="231F20"/>
          <w:spacing w:val="40"/>
        </w:rPr>
        <w:t> </w:t>
      </w:r>
      <w:r>
        <w:rPr>
          <w:color w:val="231F20"/>
        </w:rPr>
        <w:t>use examples and outlines and summarize wherever possible. I slice through</w:t>
      </w:r>
      <w:r>
        <w:rPr>
          <w:color w:val="231F20"/>
          <w:spacing w:val="14"/>
        </w:rPr>
        <w:t> </w:t>
      </w:r>
      <w:r>
        <w:rPr>
          <w:color w:val="231F20"/>
        </w:rPr>
        <w:t>the</w:t>
      </w:r>
      <w:r>
        <w:rPr>
          <w:color w:val="231F20"/>
          <w:spacing w:val="16"/>
        </w:rPr>
        <w:t> </w:t>
      </w:r>
      <w:r>
        <w:rPr>
          <w:color w:val="231F20"/>
        </w:rPr>
        <w:t>long-winded</w:t>
      </w:r>
      <w:r>
        <w:rPr>
          <w:color w:val="231F20"/>
          <w:spacing w:val="17"/>
        </w:rPr>
        <w:t> </w:t>
      </w:r>
      <w:r>
        <w:rPr>
          <w:color w:val="231F20"/>
        </w:rPr>
        <w:t>and</w:t>
      </w:r>
      <w:r>
        <w:rPr>
          <w:color w:val="231F20"/>
          <w:spacing w:val="16"/>
        </w:rPr>
        <w:t> </w:t>
      </w:r>
      <w:r>
        <w:rPr>
          <w:color w:val="231F20"/>
        </w:rPr>
        <w:t>self-serving</w:t>
      </w:r>
      <w:r>
        <w:rPr>
          <w:color w:val="231F20"/>
          <w:spacing w:val="16"/>
        </w:rPr>
        <w:t> </w:t>
      </w:r>
      <w:r>
        <w:rPr>
          <w:color w:val="231F20"/>
        </w:rPr>
        <w:t>academic</w:t>
      </w:r>
      <w:r>
        <w:rPr>
          <w:color w:val="231F20"/>
          <w:spacing w:val="17"/>
        </w:rPr>
        <w:t> </w:t>
      </w:r>
      <w:r>
        <w:rPr>
          <w:color w:val="231F20"/>
        </w:rPr>
        <w:t>readings</w:t>
      </w:r>
      <w:r>
        <w:rPr>
          <w:color w:val="231F20"/>
          <w:spacing w:val="16"/>
        </w:rPr>
        <w:t> </w:t>
      </w:r>
      <w:r>
        <w:rPr>
          <w:color w:val="231F20"/>
        </w:rPr>
        <w:t>that</w:t>
      </w:r>
      <w:r>
        <w:rPr>
          <w:color w:val="231F20"/>
          <w:spacing w:val="17"/>
        </w:rPr>
        <w:t> </w:t>
      </w:r>
      <w:r>
        <w:rPr>
          <w:color w:val="231F20"/>
          <w:spacing w:val="-5"/>
        </w:rPr>
        <w:t>at</w:t>
      </w:r>
    </w:p>
    <w:p>
      <w:pPr>
        <w:spacing w:after="0" w:line="292" w:lineRule="auto"/>
        <w:jc w:val="both"/>
        <w:sectPr>
          <w:headerReference w:type="even" r:id="rId9"/>
          <w:headerReference w:type="default" r:id="rId10"/>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times I had to trudge through. This book contains only the pearls of wisdom buried in my thirty-two binders of cases, course </w:t>
      </w:r>
      <w:r>
        <w:rPr>
          <w:color w:val="231F20"/>
        </w:rPr>
        <w:t>materials, and notes.</w:t>
      </w:r>
    </w:p>
    <w:p>
      <w:pPr>
        <w:pStyle w:val="BodyText"/>
        <w:spacing w:line="292" w:lineRule="auto"/>
        <w:ind w:left="920" w:right="666" w:firstLine="340"/>
        <w:jc w:val="both"/>
      </w:pPr>
      <w:r>
        <w:rPr>
          <w:color w:val="231F20"/>
        </w:rPr>
        <w:t>I have no vested interest in promoting any of the business </w:t>
      </w:r>
      <w:r>
        <w:rPr>
          <w:color w:val="231F20"/>
        </w:rPr>
        <w:t>theo- ries presented in the book. Therefore, this book does not repeat the same idea over the course of two hundred pages as many popular business books tend to do. I crystallize the most important concepts in brief passages so you can learn and remember them without los- ing interest.</w:t>
      </w:r>
    </w:p>
    <w:p>
      <w:pPr>
        <w:pStyle w:val="BodyText"/>
        <w:spacing w:line="292" w:lineRule="auto"/>
        <w:ind w:left="919" w:right="665" w:firstLine="340"/>
        <w:jc w:val="both"/>
      </w:pPr>
      <w:r>
        <w:rPr>
          <w:color w:val="231F20"/>
        </w:rPr>
        <w:t>From my interviews with graduates from Wharton, Harvard, Northwestern, and other top schools, I learned that all of their pro- grams serve up the same MBA meal. Only the spices and presenta- tions of the business banquets vary.</w:t>
      </w:r>
    </w:p>
    <w:p>
      <w:pPr>
        <w:pStyle w:val="BodyText"/>
        <w:spacing w:line="292" w:lineRule="auto"/>
        <w:ind w:left="919" w:right="666" w:firstLine="340"/>
        <w:jc w:val="both"/>
      </w:pPr>
      <w:r>
        <w:rPr>
          <w:color w:val="231F20"/>
        </w:rPr>
        <w:t>The basics of MBA knowledge fall into nine disciplines. Some schools have carefully crafted their own exalted names for each sub- ject, but their unglorified names are:</w:t>
      </w:r>
    </w:p>
    <w:p>
      <w:pPr>
        <w:pStyle w:val="BodyText"/>
        <w:spacing w:before="10"/>
        <w:rPr>
          <w:sz w:val="26"/>
        </w:rPr>
      </w:pPr>
    </w:p>
    <w:p>
      <w:pPr>
        <w:spacing w:line="328" w:lineRule="auto" w:before="0"/>
        <w:ind w:left="1260" w:right="5299" w:firstLine="0"/>
        <w:jc w:val="left"/>
        <w:rPr>
          <w:rFonts w:ascii="Arial"/>
          <w:sz w:val="19"/>
        </w:rPr>
      </w:pPr>
      <w:r>
        <w:rPr>
          <w:rFonts w:ascii="Arial"/>
          <w:color w:val="231F20"/>
          <w:spacing w:val="-2"/>
          <w:w w:val="115"/>
          <w:sz w:val="19"/>
        </w:rPr>
        <w:t>Marketing Ethics Accounting</w:t>
      </w:r>
    </w:p>
    <w:p>
      <w:pPr>
        <w:spacing w:line="328" w:lineRule="auto" w:before="2"/>
        <w:ind w:left="1260" w:right="4157" w:firstLine="0"/>
        <w:jc w:val="left"/>
        <w:rPr>
          <w:rFonts w:ascii="Arial"/>
          <w:sz w:val="19"/>
        </w:rPr>
      </w:pPr>
      <w:r>
        <w:rPr>
          <w:rFonts w:ascii="Arial"/>
          <w:color w:val="231F20"/>
          <w:spacing w:val="-2"/>
          <w:w w:val="115"/>
          <w:sz w:val="19"/>
        </w:rPr>
        <w:t>Organizational</w:t>
      </w:r>
      <w:r>
        <w:rPr>
          <w:rFonts w:ascii="Arial"/>
          <w:color w:val="231F20"/>
          <w:spacing w:val="-14"/>
          <w:w w:val="115"/>
          <w:sz w:val="19"/>
        </w:rPr>
        <w:t> </w:t>
      </w:r>
      <w:r>
        <w:rPr>
          <w:rFonts w:ascii="Arial"/>
          <w:color w:val="231F20"/>
          <w:spacing w:val="-2"/>
          <w:w w:val="115"/>
          <w:sz w:val="19"/>
        </w:rPr>
        <w:t>Behavior </w:t>
      </w:r>
      <w:r>
        <w:rPr>
          <w:rFonts w:ascii="Arial"/>
          <w:color w:val="231F20"/>
          <w:w w:val="115"/>
          <w:sz w:val="19"/>
        </w:rPr>
        <w:t>Quantitative Analysis </w:t>
      </w:r>
      <w:r>
        <w:rPr>
          <w:rFonts w:ascii="Arial"/>
          <w:color w:val="231F20"/>
          <w:spacing w:val="-2"/>
          <w:w w:val="115"/>
          <w:sz w:val="19"/>
        </w:rPr>
        <w:t>Finance</w:t>
      </w:r>
    </w:p>
    <w:p>
      <w:pPr>
        <w:spacing w:line="328" w:lineRule="auto" w:before="2"/>
        <w:ind w:left="1260" w:right="5479" w:firstLine="0"/>
        <w:jc w:val="both"/>
        <w:rPr>
          <w:rFonts w:ascii="Arial"/>
          <w:sz w:val="19"/>
        </w:rPr>
      </w:pPr>
      <w:r>
        <w:rPr>
          <w:rFonts w:ascii="Arial"/>
          <w:color w:val="231F20"/>
          <w:spacing w:val="-2"/>
          <w:w w:val="115"/>
          <w:sz w:val="19"/>
        </w:rPr>
        <w:t>Operations </w:t>
      </w:r>
      <w:r>
        <w:rPr>
          <w:rFonts w:ascii="Arial"/>
          <w:color w:val="231F20"/>
          <w:spacing w:val="-2"/>
          <w:w w:val="110"/>
          <w:sz w:val="19"/>
        </w:rPr>
        <w:t>Economics </w:t>
      </w:r>
      <w:r>
        <w:rPr>
          <w:rFonts w:ascii="Arial"/>
          <w:color w:val="231F20"/>
          <w:spacing w:val="-2"/>
          <w:w w:val="115"/>
          <w:sz w:val="19"/>
        </w:rPr>
        <w:t>Strategy</w:t>
      </w:r>
    </w:p>
    <w:p>
      <w:pPr>
        <w:pStyle w:val="BodyText"/>
        <w:spacing w:before="5"/>
        <w:rPr>
          <w:rFonts w:ascii="Arial"/>
          <w:sz w:val="24"/>
        </w:rPr>
      </w:pPr>
    </w:p>
    <w:p>
      <w:pPr>
        <w:pStyle w:val="BodyText"/>
        <w:spacing w:line="292" w:lineRule="auto"/>
        <w:ind w:left="920" w:right="663" w:firstLine="340"/>
        <w:jc w:val="both"/>
      </w:pPr>
      <w:r>
        <w:rPr>
          <w:color w:val="231F20"/>
        </w:rPr>
        <w:t>The synthesis of knowledge from all of these disciplines is what makes</w:t>
      </w:r>
      <w:r>
        <w:rPr>
          <w:color w:val="231F20"/>
          <w:spacing w:val="40"/>
        </w:rPr>
        <w:t> </w:t>
      </w:r>
      <w:r>
        <w:rPr>
          <w:color w:val="231F20"/>
        </w:rPr>
        <w:t>the</w:t>
      </w:r>
      <w:r>
        <w:rPr>
          <w:color w:val="231F20"/>
          <w:spacing w:val="40"/>
        </w:rPr>
        <w:t> </w:t>
      </w:r>
      <w:r>
        <w:rPr>
          <w:color w:val="231F20"/>
        </w:rPr>
        <w:t>MBA</w:t>
      </w:r>
      <w:r>
        <w:rPr>
          <w:color w:val="231F20"/>
          <w:spacing w:val="40"/>
        </w:rPr>
        <w:t> </w:t>
      </w:r>
      <w:r>
        <w:rPr>
          <w:color w:val="231F20"/>
        </w:rPr>
        <w:t>valuable.</w:t>
      </w:r>
      <w:r>
        <w:rPr>
          <w:color w:val="231F20"/>
          <w:spacing w:val="40"/>
        </w:rPr>
        <w:t> </w:t>
      </w:r>
      <w:r>
        <w:rPr>
          <w:color w:val="231F20"/>
        </w:rPr>
        <w:t>In</w:t>
      </w:r>
      <w:r>
        <w:rPr>
          <w:color w:val="231F20"/>
          <w:spacing w:val="40"/>
        </w:rPr>
        <w:t> </w:t>
      </w:r>
      <w:r>
        <w:rPr>
          <w:color w:val="231F20"/>
        </w:rPr>
        <w:t>the</w:t>
      </w:r>
      <w:r>
        <w:rPr>
          <w:color w:val="231F20"/>
          <w:spacing w:val="40"/>
        </w:rPr>
        <w:t> </w:t>
      </w:r>
      <w:r>
        <w:rPr>
          <w:color w:val="231F20"/>
        </w:rPr>
        <w:t>case</w:t>
      </w:r>
      <w:r>
        <w:rPr>
          <w:color w:val="231F20"/>
          <w:spacing w:val="40"/>
        </w:rPr>
        <w:t> </w:t>
      </w:r>
      <w:r>
        <w:rPr>
          <w:color w:val="231F20"/>
        </w:rPr>
        <w:t>of</w:t>
      </w:r>
      <w:r>
        <w:rPr>
          <w:color w:val="231F20"/>
          <w:spacing w:val="40"/>
        </w:rPr>
        <w:t> </w:t>
      </w:r>
      <w:r>
        <w:rPr>
          <w:color w:val="231F20"/>
        </w:rPr>
        <w:t>a</w:t>
      </w:r>
      <w:r>
        <w:rPr>
          <w:color w:val="231F20"/>
          <w:spacing w:val="40"/>
        </w:rPr>
        <w:t> </w:t>
      </w:r>
      <w:r>
        <w:rPr>
          <w:color w:val="231F20"/>
        </w:rPr>
        <w:t>new</w:t>
      </w:r>
      <w:r>
        <w:rPr>
          <w:color w:val="231F20"/>
          <w:spacing w:val="40"/>
        </w:rPr>
        <w:t> </w:t>
      </w:r>
      <w:r>
        <w:rPr>
          <w:color w:val="231F20"/>
        </w:rPr>
        <w:t>product</w:t>
      </w:r>
      <w:r>
        <w:rPr>
          <w:color w:val="231F20"/>
          <w:spacing w:val="40"/>
        </w:rPr>
        <w:t> </w:t>
      </w:r>
      <w:r>
        <w:rPr>
          <w:color w:val="231F20"/>
        </w:rPr>
        <w:t>manager with an MBA, she can not only see her business challenges from </w:t>
      </w:r>
      <w:r>
        <w:rPr>
          <w:color w:val="231F20"/>
        </w:rPr>
        <w:t>a marketing perspective, but she can recognize and deal with the financial and manufacturing demands created by her new product. This coordinated, multidisciplinary approach is usually missing in undergraduate business curricula. By learning about all the MBA disciplines at once, in one book, you have the opportunity to synthe- size MBA knowledge the way you would at the best schools.</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firstLine="340"/>
        <w:jc w:val="both"/>
      </w:pPr>
      <w:r>
        <w:rPr>
          <w:color w:val="231F20"/>
        </w:rPr>
        <w:t>When</w:t>
      </w:r>
      <w:r>
        <w:rPr>
          <w:color w:val="231F20"/>
          <w:spacing w:val="40"/>
        </w:rPr>
        <w:t> </w:t>
      </w:r>
      <w:r>
        <w:rPr>
          <w:color w:val="231F20"/>
        </w:rPr>
        <w:t>MBAs</w:t>
      </w:r>
      <w:r>
        <w:rPr>
          <w:color w:val="231F20"/>
          <w:spacing w:val="40"/>
        </w:rPr>
        <w:t> </w:t>
      </w:r>
      <w:r>
        <w:rPr>
          <w:color w:val="231F20"/>
        </w:rPr>
        <w:t>congregate,</w:t>
      </w:r>
      <w:r>
        <w:rPr>
          <w:color w:val="231F20"/>
          <w:spacing w:val="40"/>
        </w:rPr>
        <w:t> </w:t>
      </w:r>
      <w:r>
        <w:rPr>
          <w:color w:val="231F20"/>
        </w:rPr>
        <w:t>we</w:t>
      </w:r>
      <w:r>
        <w:rPr>
          <w:color w:val="231F20"/>
          <w:spacing w:val="40"/>
        </w:rPr>
        <w:t> </w:t>
      </w:r>
      <w:r>
        <w:rPr>
          <w:color w:val="231F20"/>
        </w:rPr>
        <w:t>tend</w:t>
      </w:r>
      <w:r>
        <w:rPr>
          <w:color w:val="231F20"/>
          <w:spacing w:val="40"/>
        </w:rPr>
        <w:t> </w:t>
      </w:r>
      <w:r>
        <w:rPr>
          <w:color w:val="231F20"/>
        </w:rPr>
        <w:t>to</w:t>
      </w:r>
      <w:r>
        <w:rPr>
          <w:color w:val="231F20"/>
          <w:spacing w:val="40"/>
        </w:rPr>
        <w:t> </w:t>
      </w:r>
      <w:r>
        <w:rPr>
          <w:color w:val="231F20"/>
        </w:rPr>
        <w:t>engage</w:t>
      </w:r>
      <w:r>
        <w:rPr>
          <w:color w:val="231F20"/>
          <w:spacing w:val="40"/>
        </w:rPr>
        <w:t> </w:t>
      </w:r>
      <w:r>
        <w:rPr>
          <w:color w:val="231F20"/>
        </w:rPr>
        <w:t>in</w:t>
      </w:r>
      <w:r>
        <w:rPr>
          <w:color w:val="231F20"/>
          <w:spacing w:val="40"/>
        </w:rPr>
        <w:t> </w:t>
      </w:r>
      <w:r>
        <w:rPr>
          <w:color w:val="231F20"/>
        </w:rPr>
        <w:t>“MBA</w:t>
      </w:r>
      <w:r>
        <w:rPr>
          <w:color w:val="231F20"/>
          <w:spacing w:val="40"/>
        </w:rPr>
        <w:t> </w:t>
      </w:r>
      <w:r>
        <w:rPr>
          <w:color w:val="231F20"/>
        </w:rPr>
        <w:t>babble.” Our use of mystical abbreviations like NPV, SPC, and CRM is only a ruse to justify our lofty salaries and quick promotions. Please do not be intimidated. MBA jargon is easy to learn! As you read this book, you</w:t>
      </w:r>
      <w:r>
        <w:rPr>
          <w:color w:val="231F20"/>
          <w:spacing w:val="39"/>
        </w:rPr>
        <w:t> </w:t>
      </w:r>
      <w:r>
        <w:rPr>
          <w:color w:val="231F20"/>
        </w:rPr>
        <w:t>too</w:t>
      </w:r>
      <w:r>
        <w:rPr>
          <w:color w:val="231F20"/>
          <w:spacing w:val="39"/>
        </w:rPr>
        <w:t> </w:t>
      </w:r>
      <w:r>
        <w:rPr>
          <w:color w:val="231F20"/>
        </w:rPr>
        <w:t>will</w:t>
      </w:r>
      <w:r>
        <w:rPr>
          <w:color w:val="231F20"/>
          <w:spacing w:val="39"/>
        </w:rPr>
        <w:t> </w:t>
      </w:r>
      <w:r>
        <w:rPr>
          <w:color w:val="231F20"/>
        </w:rPr>
        <w:t>begin</w:t>
      </w:r>
      <w:r>
        <w:rPr>
          <w:color w:val="231F20"/>
          <w:spacing w:val="39"/>
        </w:rPr>
        <w:t> </w:t>
      </w:r>
      <w:r>
        <w:rPr>
          <w:color w:val="231F20"/>
        </w:rPr>
        <w:t>to</w:t>
      </w:r>
      <w:r>
        <w:rPr>
          <w:color w:val="231F20"/>
          <w:spacing w:val="39"/>
        </w:rPr>
        <w:t> </w:t>
      </w:r>
      <w:r>
        <w:rPr>
          <w:color w:val="231F20"/>
        </w:rPr>
        <w:t>think</w:t>
      </w:r>
      <w:r>
        <w:rPr>
          <w:color w:val="231F20"/>
          <w:spacing w:val="39"/>
        </w:rPr>
        <w:t> </w:t>
      </w:r>
      <w:r>
        <w:rPr>
          <w:color w:val="231F20"/>
        </w:rPr>
        <w:t>and</w:t>
      </w:r>
      <w:r>
        <w:rPr>
          <w:color w:val="231F20"/>
          <w:spacing w:val="39"/>
        </w:rPr>
        <w:t> </w:t>
      </w:r>
      <w:r>
        <w:rPr>
          <w:color w:val="231F20"/>
        </w:rPr>
        <w:t>talk</w:t>
      </w:r>
      <w:r>
        <w:rPr>
          <w:color w:val="231F20"/>
          <w:spacing w:val="39"/>
        </w:rPr>
        <w:t> </w:t>
      </w:r>
      <w:r>
        <w:rPr>
          <w:color w:val="231F20"/>
        </w:rPr>
        <w:t>like</w:t>
      </w:r>
      <w:r>
        <w:rPr>
          <w:color w:val="231F20"/>
          <w:spacing w:val="39"/>
        </w:rPr>
        <w:t> </w:t>
      </w:r>
      <w:r>
        <w:rPr>
          <w:color w:val="231F20"/>
        </w:rPr>
        <w:t>an</w:t>
      </w:r>
      <w:r>
        <w:rPr>
          <w:color w:val="231F20"/>
          <w:spacing w:val="39"/>
        </w:rPr>
        <w:t> </w:t>
      </w:r>
      <w:r>
        <w:rPr>
          <w:color w:val="231F20"/>
        </w:rPr>
        <w:t>MBA.</w:t>
      </w:r>
    </w:p>
    <w:p>
      <w:pPr>
        <w:pStyle w:val="BodyText"/>
        <w:spacing w:line="292" w:lineRule="auto"/>
        <w:ind w:left="830" w:right="756" w:firstLine="340"/>
        <w:jc w:val="both"/>
      </w:pPr>
      <w:r>
        <w:rPr>
          <w:color w:val="231F20"/>
        </w:rPr>
        <w:t>My goal is to make you familiar with the significant MBA </w:t>
      </w:r>
      <w:r>
        <w:rPr>
          <w:color w:val="231F20"/>
        </w:rPr>
        <w:t>tools</w:t>
      </w:r>
      <w:r>
        <w:rPr>
          <w:color w:val="231F20"/>
          <w:spacing w:val="40"/>
        </w:rPr>
        <w:t> </w:t>
      </w:r>
      <w:r>
        <w:rPr>
          <w:color w:val="231F20"/>
        </w:rPr>
        <w:t>and theories currently being taught at the leading business schools and to help you understand and develop the MBA mind-set. When you finish the ten days, please feel free to fill in your name on the diploma at the end of the book. It serves as evidence of your scholar- ship, and you should proudly display it for all your friends to see.</w:t>
      </w:r>
    </w:p>
    <w:p>
      <w:pPr>
        <w:pStyle w:val="BodyText"/>
        <w:rPr>
          <w:sz w:val="24"/>
        </w:rPr>
      </w:pPr>
    </w:p>
    <w:p>
      <w:pPr>
        <w:pStyle w:val="BodyText"/>
        <w:spacing w:before="7"/>
        <w:rPr>
          <w:sz w:val="24"/>
        </w:rPr>
      </w:pPr>
    </w:p>
    <w:p>
      <w:pPr>
        <w:pStyle w:val="Heading4"/>
        <w:ind w:left="300"/>
      </w:pPr>
      <w:r>
        <w:rPr>
          <w:color w:val="231F20"/>
          <w:spacing w:val="9"/>
          <w:w w:val="85"/>
        </w:rPr>
        <w:t>CURRENT</w:t>
      </w:r>
      <w:r>
        <w:rPr>
          <w:color w:val="231F20"/>
          <w:spacing w:val="15"/>
        </w:rPr>
        <w:t> </w:t>
      </w:r>
      <w:r>
        <w:rPr>
          <w:color w:val="231F20"/>
          <w:w w:val="85"/>
        </w:rPr>
        <w:t>MBA</w:t>
      </w:r>
      <w:r>
        <w:rPr>
          <w:color w:val="231F20"/>
          <w:spacing w:val="16"/>
        </w:rPr>
        <w:t> </w:t>
      </w:r>
      <w:r>
        <w:rPr>
          <w:color w:val="231F20"/>
          <w:spacing w:val="9"/>
          <w:w w:val="85"/>
        </w:rPr>
        <w:t>SCHOOL</w:t>
      </w:r>
      <w:r>
        <w:rPr>
          <w:color w:val="231F20"/>
          <w:spacing w:val="16"/>
        </w:rPr>
        <w:t> </w:t>
      </w:r>
      <w:r>
        <w:rPr>
          <w:color w:val="231F20"/>
          <w:spacing w:val="9"/>
          <w:w w:val="85"/>
        </w:rPr>
        <w:t>RANKINGS</w:t>
      </w:r>
    </w:p>
    <w:p>
      <w:pPr>
        <w:pStyle w:val="BodyText"/>
        <w:spacing w:before="10"/>
        <w:rPr>
          <w:rFonts w:ascii="Trebuchet MS"/>
          <w:sz w:val="29"/>
        </w:rPr>
      </w:pPr>
    </w:p>
    <w:p>
      <w:pPr>
        <w:pStyle w:val="BodyText"/>
        <w:spacing w:line="292" w:lineRule="auto" w:before="1"/>
        <w:ind w:left="830" w:right="753"/>
        <w:jc w:val="both"/>
      </w:pPr>
      <w:r>
        <w:rPr>
          <w:color w:val="231F20"/>
        </w:rPr>
        <w:t>Below</w:t>
      </w:r>
      <w:r>
        <w:rPr>
          <w:color w:val="231F20"/>
          <w:spacing w:val="40"/>
        </w:rPr>
        <w:t> </w:t>
      </w:r>
      <w:r>
        <w:rPr>
          <w:color w:val="231F20"/>
        </w:rPr>
        <w:t>are</w:t>
      </w:r>
      <w:r>
        <w:rPr>
          <w:color w:val="231F20"/>
          <w:spacing w:val="40"/>
        </w:rPr>
        <w:t> </w:t>
      </w:r>
      <w:r>
        <w:rPr>
          <w:color w:val="231F20"/>
        </w:rPr>
        <w:t>the</w:t>
      </w:r>
      <w:r>
        <w:rPr>
          <w:color w:val="231F20"/>
          <w:spacing w:val="40"/>
        </w:rPr>
        <w:t> </w:t>
      </w:r>
      <w:r>
        <w:rPr>
          <w:color w:val="231F20"/>
        </w:rPr>
        <w:t>most</w:t>
      </w:r>
      <w:r>
        <w:rPr>
          <w:color w:val="231F20"/>
          <w:spacing w:val="40"/>
        </w:rPr>
        <w:t> </w:t>
      </w:r>
      <w:r>
        <w:rPr>
          <w:color w:val="231F20"/>
        </w:rPr>
        <w:t>current</w:t>
      </w:r>
      <w:r>
        <w:rPr>
          <w:color w:val="231F20"/>
          <w:spacing w:val="40"/>
        </w:rPr>
        <w:t> </w:t>
      </w:r>
      <w:r>
        <w:rPr>
          <w:color w:val="231F20"/>
        </w:rPr>
        <w:t>rankings</w:t>
      </w:r>
      <w:r>
        <w:rPr>
          <w:color w:val="231F20"/>
          <w:spacing w:val="40"/>
        </w:rPr>
        <w:t> </w:t>
      </w:r>
      <w:r>
        <w:rPr>
          <w:color w:val="231F20"/>
        </w:rPr>
        <w:t>of</w:t>
      </w:r>
      <w:r>
        <w:rPr>
          <w:color w:val="231F20"/>
          <w:spacing w:val="40"/>
        </w:rPr>
        <w:t> </w:t>
      </w:r>
      <w:r>
        <w:rPr>
          <w:color w:val="231F20"/>
        </w:rPr>
        <w:t>MBA</w:t>
      </w:r>
      <w:r>
        <w:rPr>
          <w:color w:val="231F20"/>
          <w:spacing w:val="40"/>
        </w:rPr>
        <w:t> </w:t>
      </w:r>
      <w:r>
        <w:rPr>
          <w:color w:val="231F20"/>
        </w:rPr>
        <w:t>programs.</w:t>
      </w:r>
      <w:r>
        <w:rPr>
          <w:color w:val="231F20"/>
          <w:spacing w:val="40"/>
        </w:rPr>
        <w:t> </w:t>
      </w:r>
      <w:r>
        <w:rPr>
          <w:color w:val="231F20"/>
        </w:rPr>
        <w:t>Although the rankings change from year to year, the same schools are </w:t>
      </w:r>
      <w:r>
        <w:rPr>
          <w:color w:val="231F20"/>
        </w:rPr>
        <w:t>consis- tently listed. School names listed in parentheses immortalize founders and major benefactors. International schools have become</w:t>
      </w:r>
      <w:r>
        <w:rPr>
          <w:color w:val="231F20"/>
          <w:spacing w:val="40"/>
        </w:rPr>
        <w:t> </w:t>
      </w:r>
      <w:r>
        <w:rPr>
          <w:color w:val="231F20"/>
        </w:rPr>
        <w:t>a force to be reckoned with in the 2000s.</w:t>
      </w:r>
    </w:p>
    <w:p>
      <w:pPr>
        <w:pStyle w:val="BodyText"/>
        <w:rPr>
          <w:sz w:val="24"/>
        </w:rPr>
      </w:pPr>
    </w:p>
    <w:p>
      <w:pPr>
        <w:pStyle w:val="BodyText"/>
        <w:rPr>
          <w:sz w:val="27"/>
        </w:rPr>
      </w:pPr>
    </w:p>
    <w:p>
      <w:pPr>
        <w:pStyle w:val="Heading6"/>
        <w:ind w:left="299"/>
        <w:rPr>
          <w:i/>
        </w:rPr>
      </w:pPr>
      <w:r>
        <w:rPr>
          <w:i/>
          <w:color w:val="231F20"/>
          <w:spacing w:val="10"/>
          <w:w w:val="105"/>
        </w:rPr>
        <w:t>TWO-</w:t>
      </w:r>
      <w:r>
        <w:rPr>
          <w:i/>
          <w:color w:val="231F20"/>
          <w:w w:val="105"/>
        </w:rPr>
        <w:t>YEAR</w:t>
      </w:r>
      <w:r>
        <w:rPr>
          <w:i/>
          <w:color w:val="231F20"/>
          <w:spacing w:val="62"/>
          <w:w w:val="150"/>
        </w:rPr>
        <w:t> </w:t>
      </w:r>
      <w:r>
        <w:rPr>
          <w:i/>
          <w:color w:val="231F20"/>
          <w:w w:val="105"/>
        </w:rPr>
        <w:t>MBA</w:t>
      </w:r>
      <w:r>
        <w:rPr>
          <w:i/>
          <w:color w:val="231F20"/>
          <w:spacing w:val="62"/>
          <w:w w:val="150"/>
        </w:rPr>
        <w:t> </w:t>
      </w:r>
      <w:r>
        <w:rPr>
          <w:i/>
          <w:color w:val="231F20"/>
          <w:w w:val="105"/>
        </w:rPr>
        <w:t>DEGREE</w:t>
      </w:r>
      <w:r>
        <w:rPr>
          <w:i/>
          <w:color w:val="231F20"/>
          <w:spacing w:val="62"/>
          <w:w w:val="150"/>
        </w:rPr>
        <w:t> </w:t>
      </w:r>
      <w:r>
        <w:rPr>
          <w:i/>
          <w:color w:val="231F20"/>
          <w:spacing w:val="8"/>
          <w:w w:val="105"/>
        </w:rPr>
        <w:t>PROGRAMS</w:t>
      </w:r>
    </w:p>
    <w:p>
      <w:pPr>
        <w:pStyle w:val="BodyText"/>
        <w:spacing w:before="2"/>
        <w:rPr>
          <w:b/>
          <w:i/>
          <w:sz w:val="30"/>
        </w:rPr>
      </w:pPr>
    </w:p>
    <w:p>
      <w:pPr>
        <w:spacing w:before="0"/>
        <w:ind w:left="1170" w:right="0" w:firstLine="0"/>
        <w:jc w:val="left"/>
        <w:rPr>
          <w:i/>
          <w:sz w:val="21"/>
        </w:rPr>
      </w:pPr>
      <w:r>
        <w:rPr>
          <w:b/>
          <w:i/>
          <w:color w:val="231F20"/>
          <w:w w:val="110"/>
          <w:sz w:val="21"/>
        </w:rPr>
        <w:t>U.S.</w:t>
      </w:r>
      <w:r>
        <w:rPr>
          <w:b/>
          <w:i/>
          <w:color w:val="231F20"/>
          <w:spacing w:val="-7"/>
          <w:w w:val="110"/>
          <w:sz w:val="21"/>
        </w:rPr>
        <w:t> </w:t>
      </w:r>
      <w:r>
        <w:rPr>
          <w:b/>
          <w:i/>
          <w:color w:val="231F20"/>
          <w:w w:val="110"/>
          <w:sz w:val="21"/>
        </w:rPr>
        <w:t>News</w:t>
      </w:r>
      <w:r>
        <w:rPr>
          <w:b/>
          <w:i/>
          <w:color w:val="231F20"/>
          <w:spacing w:val="-6"/>
          <w:w w:val="110"/>
          <w:sz w:val="21"/>
        </w:rPr>
        <w:t> </w:t>
      </w:r>
      <w:r>
        <w:rPr>
          <w:b/>
          <w:i/>
          <w:color w:val="231F20"/>
          <w:w w:val="110"/>
          <w:sz w:val="21"/>
        </w:rPr>
        <w:t>&amp;</w:t>
      </w:r>
      <w:r>
        <w:rPr>
          <w:b/>
          <w:i/>
          <w:color w:val="231F20"/>
          <w:spacing w:val="-6"/>
          <w:w w:val="110"/>
          <w:sz w:val="21"/>
        </w:rPr>
        <w:t> </w:t>
      </w:r>
      <w:r>
        <w:rPr>
          <w:b/>
          <w:i/>
          <w:color w:val="231F20"/>
          <w:w w:val="110"/>
          <w:sz w:val="21"/>
        </w:rPr>
        <w:t>World</w:t>
      </w:r>
      <w:r>
        <w:rPr>
          <w:b/>
          <w:i/>
          <w:color w:val="231F20"/>
          <w:spacing w:val="-6"/>
          <w:w w:val="110"/>
          <w:sz w:val="21"/>
        </w:rPr>
        <w:t> </w:t>
      </w:r>
      <w:r>
        <w:rPr>
          <w:b/>
          <w:i/>
          <w:color w:val="231F20"/>
          <w:w w:val="110"/>
          <w:sz w:val="21"/>
        </w:rPr>
        <w:t>Report,</w:t>
      </w:r>
      <w:r>
        <w:rPr>
          <w:b/>
          <w:i/>
          <w:color w:val="231F20"/>
          <w:spacing w:val="-7"/>
          <w:w w:val="110"/>
          <w:sz w:val="21"/>
        </w:rPr>
        <w:t> </w:t>
      </w:r>
      <w:r>
        <w:rPr>
          <w:i/>
          <w:color w:val="231F20"/>
          <w:w w:val="110"/>
          <w:sz w:val="21"/>
        </w:rPr>
        <w:t>Top</w:t>
      </w:r>
      <w:r>
        <w:rPr>
          <w:i/>
          <w:color w:val="231F20"/>
          <w:spacing w:val="-7"/>
          <w:w w:val="110"/>
          <w:sz w:val="21"/>
        </w:rPr>
        <w:t> </w:t>
      </w:r>
      <w:r>
        <w:rPr>
          <w:i/>
          <w:color w:val="231F20"/>
          <w:w w:val="110"/>
          <w:sz w:val="21"/>
        </w:rPr>
        <w:t>Business</w:t>
      </w:r>
      <w:r>
        <w:rPr>
          <w:i/>
          <w:color w:val="231F20"/>
          <w:spacing w:val="-6"/>
          <w:w w:val="110"/>
          <w:sz w:val="21"/>
        </w:rPr>
        <w:t> </w:t>
      </w:r>
      <w:r>
        <w:rPr>
          <w:i/>
          <w:color w:val="231F20"/>
          <w:w w:val="110"/>
          <w:sz w:val="21"/>
        </w:rPr>
        <w:t>Schools,</w:t>
      </w:r>
      <w:r>
        <w:rPr>
          <w:i/>
          <w:color w:val="231F20"/>
          <w:spacing w:val="-6"/>
          <w:w w:val="110"/>
          <w:sz w:val="21"/>
        </w:rPr>
        <w:t> </w:t>
      </w:r>
      <w:r>
        <w:rPr>
          <w:i/>
          <w:color w:val="231F20"/>
          <w:spacing w:val="-4"/>
          <w:w w:val="110"/>
          <w:sz w:val="21"/>
        </w:rPr>
        <w:t>2005</w:t>
      </w:r>
    </w:p>
    <w:p>
      <w:pPr>
        <w:spacing w:line="417" w:lineRule="auto" w:before="113"/>
        <w:ind w:left="1170" w:right="1045" w:firstLine="0"/>
        <w:jc w:val="left"/>
        <w:rPr>
          <w:rFonts w:ascii="Arial"/>
          <w:sz w:val="15"/>
        </w:rPr>
      </w:pPr>
      <w:r>
        <w:rPr>
          <w:rFonts w:ascii="Arial"/>
          <w:color w:val="231F20"/>
          <w:spacing w:val="-2"/>
          <w:w w:val="115"/>
          <w:sz w:val="15"/>
        </w:rPr>
        <w:t>Based on academics, recruiters, admissions standards, and employment success</w:t>
      </w:r>
    </w:p>
    <w:p>
      <w:pPr>
        <w:pStyle w:val="ListParagraph"/>
        <w:numPr>
          <w:ilvl w:val="0"/>
          <w:numId w:val="1"/>
        </w:numPr>
        <w:tabs>
          <w:tab w:pos="1520" w:val="left" w:leader="none"/>
        </w:tabs>
        <w:spacing w:line="181" w:lineRule="exact" w:before="0" w:after="0"/>
        <w:ind w:left="1519" w:right="0" w:hanging="177"/>
        <w:jc w:val="left"/>
        <w:rPr>
          <w:sz w:val="19"/>
        </w:rPr>
      </w:pPr>
      <w:r>
        <w:rPr>
          <w:color w:val="231F20"/>
          <w:spacing w:val="-2"/>
          <w:w w:val="115"/>
          <w:sz w:val="19"/>
        </w:rPr>
        <w:t>Harvard</w:t>
      </w:r>
    </w:p>
    <w:p>
      <w:pPr>
        <w:pStyle w:val="ListParagraph"/>
        <w:numPr>
          <w:ilvl w:val="0"/>
          <w:numId w:val="1"/>
        </w:numPr>
        <w:tabs>
          <w:tab w:pos="1520" w:val="left" w:leader="none"/>
        </w:tabs>
        <w:spacing w:line="240" w:lineRule="auto" w:before="81" w:after="0"/>
        <w:ind w:left="1519" w:right="0" w:hanging="223"/>
        <w:jc w:val="left"/>
        <w:rPr>
          <w:sz w:val="19"/>
        </w:rPr>
      </w:pPr>
      <w:r>
        <w:rPr>
          <w:color w:val="231F20"/>
          <w:spacing w:val="-2"/>
          <w:w w:val="115"/>
          <w:sz w:val="19"/>
        </w:rPr>
        <w:t>Stanford</w:t>
      </w:r>
    </w:p>
    <w:p>
      <w:pPr>
        <w:pStyle w:val="ListParagraph"/>
        <w:numPr>
          <w:ilvl w:val="0"/>
          <w:numId w:val="1"/>
        </w:numPr>
        <w:tabs>
          <w:tab w:pos="1520" w:val="left" w:leader="none"/>
        </w:tabs>
        <w:spacing w:line="240" w:lineRule="auto" w:before="82" w:after="0"/>
        <w:ind w:left="1519" w:right="0" w:hanging="226"/>
        <w:jc w:val="left"/>
        <w:rPr>
          <w:sz w:val="19"/>
        </w:rPr>
      </w:pPr>
      <w:r>
        <w:rPr>
          <w:color w:val="231F20"/>
          <w:spacing w:val="-2"/>
          <w:w w:val="110"/>
          <w:sz w:val="19"/>
        </w:rPr>
        <w:t>Pennsylvania</w:t>
      </w:r>
      <w:r>
        <w:rPr>
          <w:color w:val="231F20"/>
          <w:spacing w:val="-1"/>
          <w:w w:val="115"/>
          <w:sz w:val="19"/>
        </w:rPr>
        <w:t> </w:t>
      </w:r>
      <w:r>
        <w:rPr>
          <w:color w:val="231F20"/>
          <w:spacing w:val="-2"/>
          <w:w w:val="115"/>
          <w:sz w:val="19"/>
        </w:rPr>
        <w:t>(Wharton)</w:t>
      </w:r>
    </w:p>
    <w:p>
      <w:pPr>
        <w:pStyle w:val="ListParagraph"/>
        <w:numPr>
          <w:ilvl w:val="0"/>
          <w:numId w:val="1"/>
        </w:numPr>
        <w:tabs>
          <w:tab w:pos="1521" w:val="left" w:leader="none"/>
        </w:tabs>
        <w:spacing w:line="240" w:lineRule="auto" w:before="81" w:after="0"/>
        <w:ind w:left="1520" w:right="0" w:hanging="238"/>
        <w:jc w:val="left"/>
        <w:rPr>
          <w:sz w:val="19"/>
        </w:rPr>
      </w:pPr>
      <w:r>
        <w:rPr>
          <w:color w:val="231F20"/>
          <w:w w:val="105"/>
          <w:sz w:val="19"/>
        </w:rPr>
        <w:t>MIT</w:t>
      </w:r>
      <w:r>
        <w:rPr>
          <w:color w:val="231F20"/>
          <w:spacing w:val="-1"/>
          <w:w w:val="105"/>
          <w:sz w:val="19"/>
        </w:rPr>
        <w:t> </w:t>
      </w:r>
      <w:r>
        <w:rPr>
          <w:color w:val="231F20"/>
          <w:spacing w:val="-2"/>
          <w:w w:val="110"/>
          <w:sz w:val="19"/>
        </w:rPr>
        <w:t>(Sloan)</w:t>
      </w:r>
    </w:p>
    <w:p>
      <w:pPr>
        <w:pStyle w:val="ListParagraph"/>
        <w:numPr>
          <w:ilvl w:val="0"/>
          <w:numId w:val="1"/>
        </w:numPr>
        <w:tabs>
          <w:tab w:pos="1521" w:val="left" w:leader="none"/>
        </w:tabs>
        <w:spacing w:line="240" w:lineRule="auto" w:before="82" w:after="0"/>
        <w:ind w:left="1520" w:right="0" w:hanging="227"/>
        <w:jc w:val="left"/>
        <w:rPr>
          <w:sz w:val="19"/>
        </w:rPr>
      </w:pPr>
      <w:r>
        <w:rPr>
          <w:color w:val="231F20"/>
          <w:w w:val="115"/>
          <w:sz w:val="19"/>
        </w:rPr>
        <w:t>Northwestern</w:t>
      </w:r>
      <w:r>
        <w:rPr>
          <w:color w:val="231F20"/>
          <w:spacing w:val="-11"/>
          <w:w w:val="115"/>
          <w:sz w:val="19"/>
        </w:rPr>
        <w:t> </w:t>
      </w:r>
      <w:r>
        <w:rPr>
          <w:color w:val="231F20"/>
          <w:spacing w:val="-2"/>
          <w:w w:val="120"/>
          <w:sz w:val="19"/>
        </w:rPr>
        <w:t>(Kellogg)</w:t>
      </w:r>
    </w:p>
    <w:p>
      <w:pPr>
        <w:pStyle w:val="ListParagraph"/>
        <w:numPr>
          <w:ilvl w:val="0"/>
          <w:numId w:val="1"/>
        </w:numPr>
        <w:tabs>
          <w:tab w:pos="1521" w:val="left" w:leader="none"/>
        </w:tabs>
        <w:spacing w:line="240" w:lineRule="auto" w:before="81" w:after="0"/>
        <w:ind w:left="1520" w:right="0" w:hanging="234"/>
        <w:jc w:val="left"/>
        <w:rPr>
          <w:sz w:val="19"/>
        </w:rPr>
      </w:pPr>
      <w:r>
        <w:rPr>
          <w:color w:val="231F20"/>
          <w:spacing w:val="-2"/>
          <w:w w:val="110"/>
          <w:sz w:val="19"/>
        </w:rPr>
        <w:t>Chicago</w:t>
      </w:r>
    </w:p>
    <w:p>
      <w:pPr>
        <w:spacing w:before="82"/>
        <w:ind w:left="1287" w:right="0" w:firstLine="0"/>
        <w:jc w:val="left"/>
        <w:rPr>
          <w:rFonts w:ascii="Arial"/>
          <w:sz w:val="19"/>
        </w:rPr>
      </w:pPr>
      <w:r>
        <w:rPr>
          <w:rFonts w:ascii="Arial"/>
          <w:color w:val="231F20"/>
          <w:w w:val="110"/>
          <w:sz w:val="19"/>
        </w:rPr>
        <w:t>6.</w:t>
      </w:r>
      <w:r>
        <w:rPr>
          <w:rFonts w:ascii="Arial"/>
          <w:color w:val="231F20"/>
          <w:spacing w:val="-2"/>
          <w:w w:val="110"/>
          <w:sz w:val="19"/>
        </w:rPr>
        <w:t> Columbia</w:t>
      </w:r>
    </w:p>
    <w:p>
      <w:pPr>
        <w:pStyle w:val="ListParagraph"/>
        <w:numPr>
          <w:ilvl w:val="0"/>
          <w:numId w:val="2"/>
        </w:numPr>
        <w:tabs>
          <w:tab w:pos="1521" w:val="left" w:leader="none"/>
        </w:tabs>
        <w:spacing w:line="240" w:lineRule="auto" w:before="81" w:after="0"/>
        <w:ind w:left="1520" w:right="0" w:hanging="230"/>
        <w:jc w:val="left"/>
        <w:rPr>
          <w:sz w:val="19"/>
        </w:rPr>
      </w:pPr>
      <w:r>
        <w:rPr>
          <w:color w:val="231F20"/>
          <w:w w:val="110"/>
          <w:sz w:val="19"/>
        </w:rPr>
        <w:t>Berkeley</w:t>
      </w:r>
      <w:r>
        <w:rPr>
          <w:color w:val="231F20"/>
          <w:spacing w:val="4"/>
          <w:w w:val="110"/>
          <w:sz w:val="19"/>
        </w:rPr>
        <w:t> </w:t>
      </w:r>
      <w:r>
        <w:rPr>
          <w:color w:val="231F20"/>
          <w:spacing w:val="-2"/>
          <w:w w:val="110"/>
          <w:sz w:val="19"/>
        </w:rPr>
        <w:t>(Haas)</w:t>
      </w:r>
    </w:p>
    <w:p>
      <w:pPr>
        <w:pStyle w:val="ListParagraph"/>
        <w:numPr>
          <w:ilvl w:val="0"/>
          <w:numId w:val="2"/>
        </w:numPr>
        <w:tabs>
          <w:tab w:pos="1521" w:val="left" w:leader="none"/>
        </w:tabs>
        <w:spacing w:line="240" w:lineRule="auto" w:before="82" w:after="0"/>
        <w:ind w:left="1520" w:right="0" w:hanging="232"/>
        <w:jc w:val="left"/>
        <w:rPr>
          <w:sz w:val="19"/>
        </w:rPr>
      </w:pPr>
      <w:r>
        <w:rPr>
          <w:color w:val="231F20"/>
          <w:w w:val="115"/>
          <w:sz w:val="19"/>
        </w:rPr>
        <w:t>Dartmouth</w:t>
      </w:r>
      <w:r>
        <w:rPr>
          <w:color w:val="231F20"/>
          <w:spacing w:val="8"/>
          <w:w w:val="115"/>
          <w:sz w:val="19"/>
        </w:rPr>
        <w:t> </w:t>
      </w:r>
      <w:r>
        <w:rPr>
          <w:color w:val="231F20"/>
          <w:spacing w:val="-2"/>
          <w:w w:val="115"/>
          <w:sz w:val="19"/>
        </w:rPr>
        <w:t>(Tuck)</w:t>
      </w:r>
    </w:p>
    <w:p>
      <w:pPr>
        <w:spacing w:after="0" w:line="240" w:lineRule="auto"/>
        <w:jc w:val="left"/>
        <w:rPr>
          <w:sz w:val="19"/>
        </w:rPr>
        <w:sectPr>
          <w:headerReference w:type="even" r:id="rId11"/>
          <w:headerReference w:type="default" r:id="rId12"/>
          <w:pgSz w:w="8640" w:h="12960"/>
          <w:pgMar w:header="732" w:footer="0" w:top="920" w:bottom="280" w:left="340" w:right="500"/>
          <w:pgNumType w:start="8"/>
        </w:sectPr>
      </w:pPr>
    </w:p>
    <w:p>
      <w:pPr>
        <w:pStyle w:val="BodyText"/>
        <w:spacing w:before="6"/>
        <w:rPr>
          <w:rFonts w:ascii="Arial"/>
          <w:sz w:val="19"/>
        </w:rPr>
      </w:pPr>
    </w:p>
    <w:p>
      <w:pPr>
        <w:pStyle w:val="ListParagraph"/>
        <w:numPr>
          <w:ilvl w:val="0"/>
          <w:numId w:val="2"/>
        </w:numPr>
        <w:tabs>
          <w:tab w:pos="1611" w:val="left" w:leader="none"/>
        </w:tabs>
        <w:spacing w:line="240" w:lineRule="auto" w:before="97" w:after="0"/>
        <w:ind w:left="1610" w:right="0" w:hanging="312"/>
        <w:jc w:val="left"/>
        <w:rPr>
          <w:sz w:val="19"/>
        </w:rPr>
      </w:pPr>
      <w:r>
        <w:rPr>
          <w:color w:val="231F20"/>
          <w:w w:val="110"/>
          <w:sz w:val="19"/>
        </w:rPr>
        <w:t>Michigan</w:t>
      </w:r>
      <w:r>
        <w:rPr>
          <w:color w:val="231F20"/>
          <w:spacing w:val="8"/>
          <w:w w:val="110"/>
          <w:sz w:val="19"/>
        </w:rPr>
        <w:t> </w:t>
      </w:r>
      <w:r>
        <w:rPr>
          <w:color w:val="231F20"/>
          <w:spacing w:val="-2"/>
          <w:w w:val="110"/>
          <w:sz w:val="19"/>
        </w:rPr>
        <w:t>(Ross)</w:t>
      </w:r>
    </w:p>
    <w:p>
      <w:pPr>
        <w:pStyle w:val="ListParagraph"/>
        <w:numPr>
          <w:ilvl w:val="0"/>
          <w:numId w:val="2"/>
        </w:numPr>
        <w:tabs>
          <w:tab w:pos="1611" w:val="left" w:leader="none"/>
        </w:tabs>
        <w:spacing w:line="240" w:lineRule="auto" w:before="82" w:after="0"/>
        <w:ind w:left="1610" w:right="0" w:hanging="247"/>
        <w:jc w:val="left"/>
        <w:rPr>
          <w:sz w:val="19"/>
        </w:rPr>
      </w:pPr>
      <w:r>
        <w:rPr>
          <w:color w:val="231F20"/>
          <w:w w:val="110"/>
          <w:sz w:val="19"/>
        </w:rPr>
        <w:t>Duke</w:t>
      </w:r>
      <w:r>
        <w:rPr>
          <w:color w:val="231F20"/>
          <w:spacing w:val="-7"/>
          <w:w w:val="110"/>
          <w:sz w:val="19"/>
        </w:rPr>
        <w:t> </w:t>
      </w:r>
      <w:r>
        <w:rPr>
          <w:color w:val="231F20"/>
          <w:spacing w:val="-2"/>
          <w:w w:val="110"/>
          <w:sz w:val="19"/>
        </w:rPr>
        <w:t>(Fuqua)</w:t>
      </w:r>
    </w:p>
    <w:p>
      <w:pPr>
        <w:pStyle w:val="ListParagraph"/>
        <w:numPr>
          <w:ilvl w:val="0"/>
          <w:numId w:val="2"/>
        </w:numPr>
        <w:tabs>
          <w:tab w:pos="1611" w:val="left" w:leader="none"/>
        </w:tabs>
        <w:spacing w:line="240" w:lineRule="auto" w:before="81" w:after="0"/>
        <w:ind w:left="1610" w:right="0" w:hanging="293"/>
        <w:jc w:val="left"/>
        <w:rPr>
          <w:sz w:val="19"/>
        </w:rPr>
      </w:pPr>
      <w:r>
        <w:rPr>
          <w:color w:val="231F20"/>
          <w:spacing w:val="-2"/>
          <w:w w:val="115"/>
          <w:sz w:val="19"/>
        </w:rPr>
        <w:t>Virginia</w:t>
      </w:r>
      <w:r>
        <w:rPr>
          <w:color w:val="231F20"/>
          <w:w w:val="115"/>
          <w:sz w:val="19"/>
        </w:rPr>
        <w:t> </w:t>
      </w:r>
      <w:r>
        <w:rPr>
          <w:color w:val="231F20"/>
          <w:spacing w:val="-2"/>
          <w:w w:val="115"/>
          <w:sz w:val="19"/>
        </w:rPr>
        <w:t>(Darden)</w:t>
      </w:r>
    </w:p>
    <w:p>
      <w:pPr>
        <w:spacing w:before="82"/>
        <w:ind w:left="1318" w:right="0" w:firstLine="0"/>
        <w:jc w:val="left"/>
        <w:rPr>
          <w:rFonts w:ascii="Arial"/>
          <w:sz w:val="19"/>
        </w:rPr>
      </w:pPr>
      <w:r>
        <w:rPr>
          <w:rFonts w:ascii="Arial"/>
          <w:color w:val="231F20"/>
          <w:w w:val="105"/>
          <w:sz w:val="19"/>
        </w:rPr>
        <w:t>12.</w:t>
      </w:r>
      <w:r>
        <w:rPr>
          <w:rFonts w:ascii="Arial"/>
          <w:color w:val="231F20"/>
          <w:spacing w:val="-8"/>
          <w:w w:val="105"/>
          <w:sz w:val="19"/>
        </w:rPr>
        <w:t> </w:t>
      </w:r>
      <w:r>
        <w:rPr>
          <w:rFonts w:ascii="Arial"/>
          <w:color w:val="231F20"/>
          <w:w w:val="105"/>
          <w:sz w:val="19"/>
        </w:rPr>
        <w:t>UCLA</w:t>
      </w:r>
      <w:r>
        <w:rPr>
          <w:rFonts w:ascii="Arial"/>
          <w:color w:val="231F20"/>
          <w:spacing w:val="-14"/>
          <w:w w:val="105"/>
          <w:sz w:val="19"/>
        </w:rPr>
        <w:t> </w:t>
      </w:r>
      <w:r>
        <w:rPr>
          <w:rFonts w:ascii="Arial"/>
          <w:color w:val="231F20"/>
          <w:spacing w:val="-2"/>
          <w:w w:val="105"/>
          <w:sz w:val="19"/>
        </w:rPr>
        <w:t>(Anderson)</w:t>
      </w:r>
    </w:p>
    <w:p>
      <w:pPr>
        <w:spacing w:before="81"/>
        <w:ind w:left="1304" w:right="0" w:firstLine="0"/>
        <w:jc w:val="left"/>
        <w:rPr>
          <w:rFonts w:ascii="Arial"/>
          <w:sz w:val="19"/>
        </w:rPr>
      </w:pPr>
      <w:r>
        <w:rPr>
          <w:rFonts w:ascii="Arial"/>
          <w:color w:val="231F20"/>
          <w:w w:val="105"/>
          <w:sz w:val="19"/>
        </w:rPr>
        <w:t>14.</w:t>
      </w:r>
      <w:r>
        <w:rPr>
          <w:rFonts w:ascii="Arial"/>
          <w:color w:val="231F20"/>
          <w:spacing w:val="9"/>
          <w:w w:val="105"/>
          <w:sz w:val="19"/>
        </w:rPr>
        <w:t> </w:t>
      </w:r>
      <w:r>
        <w:rPr>
          <w:rFonts w:ascii="Arial"/>
          <w:color w:val="231F20"/>
          <w:w w:val="105"/>
          <w:sz w:val="19"/>
        </w:rPr>
        <w:t>Cornell</w:t>
      </w:r>
      <w:r>
        <w:rPr>
          <w:rFonts w:ascii="Arial"/>
          <w:color w:val="231F20"/>
          <w:spacing w:val="1"/>
          <w:w w:val="105"/>
          <w:sz w:val="19"/>
        </w:rPr>
        <w:t> </w:t>
      </w:r>
      <w:r>
        <w:rPr>
          <w:rFonts w:ascii="Arial"/>
          <w:color w:val="231F20"/>
          <w:spacing w:val="-2"/>
          <w:w w:val="105"/>
          <w:sz w:val="19"/>
        </w:rPr>
        <w:t>(Johnson)</w:t>
      </w:r>
    </w:p>
    <w:p>
      <w:pPr>
        <w:spacing w:before="82"/>
        <w:ind w:left="1304" w:right="0" w:firstLine="0"/>
        <w:jc w:val="left"/>
        <w:rPr>
          <w:rFonts w:ascii="Arial"/>
          <w:sz w:val="19"/>
        </w:rPr>
      </w:pPr>
      <w:r>
        <w:rPr>
          <w:rFonts w:ascii="Arial"/>
          <w:color w:val="231F20"/>
          <w:w w:val="105"/>
          <w:sz w:val="19"/>
        </w:rPr>
        <w:t>14.</w:t>
      </w:r>
      <w:r>
        <w:rPr>
          <w:rFonts w:ascii="Arial"/>
          <w:color w:val="231F20"/>
          <w:spacing w:val="-10"/>
          <w:w w:val="105"/>
          <w:sz w:val="19"/>
        </w:rPr>
        <w:t> </w:t>
      </w:r>
      <w:r>
        <w:rPr>
          <w:rFonts w:ascii="Arial"/>
          <w:color w:val="231F20"/>
          <w:w w:val="105"/>
          <w:sz w:val="19"/>
        </w:rPr>
        <w:t>NYU</w:t>
      </w:r>
      <w:r>
        <w:rPr>
          <w:rFonts w:ascii="Arial"/>
          <w:color w:val="231F20"/>
          <w:spacing w:val="-13"/>
          <w:w w:val="105"/>
          <w:sz w:val="19"/>
        </w:rPr>
        <w:t> </w:t>
      </w:r>
      <w:r>
        <w:rPr>
          <w:rFonts w:ascii="Arial"/>
          <w:color w:val="231F20"/>
          <w:spacing w:val="-2"/>
          <w:w w:val="105"/>
          <w:sz w:val="19"/>
        </w:rPr>
        <w:t>(Stern)</w:t>
      </w:r>
    </w:p>
    <w:p>
      <w:pPr>
        <w:pStyle w:val="ListParagraph"/>
        <w:numPr>
          <w:ilvl w:val="0"/>
          <w:numId w:val="3"/>
        </w:numPr>
        <w:tabs>
          <w:tab w:pos="1611" w:val="left" w:leader="none"/>
        </w:tabs>
        <w:spacing w:line="240" w:lineRule="auto" w:before="81" w:after="0"/>
        <w:ind w:left="1610" w:right="0" w:hanging="307"/>
        <w:jc w:val="left"/>
        <w:rPr>
          <w:sz w:val="19"/>
        </w:rPr>
      </w:pPr>
      <w:r>
        <w:rPr>
          <w:color w:val="231F20"/>
          <w:spacing w:val="-4"/>
          <w:w w:val="110"/>
          <w:sz w:val="19"/>
        </w:rPr>
        <w:t>Yale</w:t>
      </w:r>
    </w:p>
    <w:p>
      <w:pPr>
        <w:pStyle w:val="ListParagraph"/>
        <w:numPr>
          <w:ilvl w:val="0"/>
          <w:numId w:val="3"/>
        </w:numPr>
        <w:tabs>
          <w:tab w:pos="1611" w:val="left" w:leader="none"/>
        </w:tabs>
        <w:spacing w:line="328" w:lineRule="auto" w:before="82" w:after="0"/>
        <w:ind w:left="1310" w:right="3767" w:firstLine="5"/>
        <w:jc w:val="left"/>
        <w:rPr>
          <w:sz w:val="19"/>
        </w:rPr>
      </w:pPr>
      <w:r>
        <w:rPr>
          <w:color w:val="231F20"/>
          <w:spacing w:val="-4"/>
          <w:w w:val="115"/>
          <w:sz w:val="19"/>
        </w:rPr>
        <w:t>Carnegie</w:t>
      </w:r>
      <w:r>
        <w:rPr>
          <w:color w:val="231F20"/>
          <w:spacing w:val="-10"/>
          <w:w w:val="115"/>
          <w:sz w:val="19"/>
        </w:rPr>
        <w:t> </w:t>
      </w:r>
      <w:r>
        <w:rPr>
          <w:color w:val="231F20"/>
          <w:spacing w:val="-4"/>
          <w:w w:val="115"/>
          <w:sz w:val="19"/>
        </w:rPr>
        <w:t>Mellon</w:t>
      </w:r>
      <w:r>
        <w:rPr>
          <w:color w:val="231F20"/>
          <w:spacing w:val="-10"/>
          <w:w w:val="115"/>
          <w:sz w:val="19"/>
        </w:rPr>
        <w:t> </w:t>
      </w:r>
      <w:r>
        <w:rPr>
          <w:color w:val="231F20"/>
          <w:spacing w:val="-4"/>
          <w:w w:val="115"/>
          <w:sz w:val="19"/>
        </w:rPr>
        <w:t>(Tepper)</w:t>
      </w:r>
      <w:r>
        <w:rPr>
          <w:color w:val="231F20"/>
          <w:spacing w:val="-4"/>
          <w:w w:val="115"/>
          <w:sz w:val="19"/>
        </w:rPr>
        <w:t> </w:t>
      </w:r>
      <w:r>
        <w:rPr>
          <w:color w:val="231F20"/>
          <w:w w:val="115"/>
          <w:sz w:val="19"/>
        </w:rPr>
        <w:t>(Several</w:t>
      </w:r>
      <w:r>
        <w:rPr>
          <w:color w:val="231F20"/>
          <w:spacing w:val="-16"/>
          <w:w w:val="115"/>
          <w:sz w:val="19"/>
        </w:rPr>
        <w:t> </w:t>
      </w:r>
      <w:r>
        <w:rPr>
          <w:color w:val="231F20"/>
          <w:w w:val="115"/>
          <w:sz w:val="19"/>
        </w:rPr>
        <w:t>ties</w:t>
      </w:r>
      <w:r>
        <w:rPr>
          <w:color w:val="231F20"/>
          <w:spacing w:val="-15"/>
          <w:w w:val="115"/>
          <w:sz w:val="19"/>
        </w:rPr>
        <w:t> </w:t>
      </w:r>
      <w:r>
        <w:rPr>
          <w:color w:val="231F20"/>
          <w:w w:val="115"/>
          <w:sz w:val="19"/>
        </w:rPr>
        <w:t>in</w:t>
      </w:r>
      <w:r>
        <w:rPr>
          <w:color w:val="231F20"/>
          <w:spacing w:val="-15"/>
          <w:w w:val="115"/>
          <w:sz w:val="19"/>
        </w:rPr>
        <w:t> </w:t>
      </w:r>
      <w:r>
        <w:rPr>
          <w:color w:val="231F20"/>
          <w:w w:val="115"/>
          <w:sz w:val="19"/>
        </w:rPr>
        <w:t>the</w:t>
      </w:r>
      <w:r>
        <w:rPr>
          <w:color w:val="231F20"/>
          <w:spacing w:val="-15"/>
          <w:w w:val="115"/>
          <w:sz w:val="19"/>
        </w:rPr>
        <w:t> </w:t>
      </w:r>
      <w:r>
        <w:rPr>
          <w:color w:val="231F20"/>
          <w:w w:val="115"/>
          <w:sz w:val="19"/>
        </w:rPr>
        <w:t>rankings)</w:t>
      </w:r>
    </w:p>
    <w:p>
      <w:pPr>
        <w:pStyle w:val="BodyText"/>
        <w:spacing w:before="2"/>
        <w:rPr>
          <w:rFonts w:ascii="Arial"/>
          <w:sz w:val="25"/>
        </w:rPr>
      </w:pPr>
    </w:p>
    <w:p>
      <w:pPr>
        <w:spacing w:before="0"/>
        <w:ind w:left="1260" w:right="0" w:firstLine="0"/>
        <w:jc w:val="left"/>
        <w:rPr>
          <w:i/>
          <w:sz w:val="21"/>
        </w:rPr>
      </w:pPr>
      <w:r>
        <w:rPr>
          <w:b/>
          <w:i/>
          <w:color w:val="231F20"/>
          <w:w w:val="105"/>
          <w:sz w:val="21"/>
        </w:rPr>
        <w:t>Business</w:t>
      </w:r>
      <w:r>
        <w:rPr>
          <w:b/>
          <w:i/>
          <w:color w:val="231F20"/>
          <w:spacing w:val="7"/>
          <w:w w:val="105"/>
          <w:sz w:val="21"/>
        </w:rPr>
        <w:t> </w:t>
      </w:r>
      <w:r>
        <w:rPr>
          <w:b/>
          <w:i/>
          <w:color w:val="231F20"/>
          <w:w w:val="105"/>
          <w:sz w:val="21"/>
        </w:rPr>
        <w:t>Week,</w:t>
      </w:r>
      <w:r>
        <w:rPr>
          <w:b/>
          <w:i/>
          <w:color w:val="231F20"/>
          <w:spacing w:val="6"/>
          <w:w w:val="105"/>
          <w:sz w:val="21"/>
        </w:rPr>
        <w:t> </w:t>
      </w:r>
      <w:r>
        <w:rPr>
          <w:i/>
          <w:color w:val="231F20"/>
          <w:w w:val="105"/>
          <w:sz w:val="21"/>
        </w:rPr>
        <w:t>Top</w:t>
      </w:r>
      <w:r>
        <w:rPr>
          <w:i/>
          <w:color w:val="231F20"/>
          <w:spacing w:val="7"/>
          <w:w w:val="105"/>
          <w:sz w:val="21"/>
        </w:rPr>
        <w:t> </w:t>
      </w:r>
      <w:r>
        <w:rPr>
          <w:i/>
          <w:color w:val="231F20"/>
          <w:w w:val="105"/>
          <w:sz w:val="21"/>
        </w:rPr>
        <w:t>Business</w:t>
      </w:r>
      <w:r>
        <w:rPr>
          <w:i/>
          <w:color w:val="231F20"/>
          <w:spacing w:val="7"/>
          <w:w w:val="105"/>
          <w:sz w:val="21"/>
        </w:rPr>
        <w:t> </w:t>
      </w:r>
      <w:r>
        <w:rPr>
          <w:i/>
          <w:color w:val="231F20"/>
          <w:w w:val="105"/>
          <w:sz w:val="21"/>
        </w:rPr>
        <w:t>Schools,</w:t>
      </w:r>
      <w:r>
        <w:rPr>
          <w:i/>
          <w:color w:val="231F20"/>
          <w:spacing w:val="7"/>
          <w:w w:val="105"/>
          <w:sz w:val="21"/>
        </w:rPr>
        <w:t> </w:t>
      </w:r>
      <w:r>
        <w:rPr>
          <w:i/>
          <w:color w:val="231F20"/>
          <w:spacing w:val="-4"/>
          <w:w w:val="105"/>
          <w:sz w:val="21"/>
        </w:rPr>
        <w:t>2004</w:t>
      </w:r>
    </w:p>
    <w:p>
      <w:pPr>
        <w:spacing w:before="113"/>
        <w:ind w:left="1260" w:right="0" w:firstLine="0"/>
        <w:jc w:val="left"/>
        <w:rPr>
          <w:rFonts w:ascii="Arial"/>
          <w:sz w:val="15"/>
        </w:rPr>
      </w:pPr>
      <w:r>
        <w:rPr>
          <w:rFonts w:ascii="Arial"/>
          <w:color w:val="231F20"/>
          <w:w w:val="115"/>
          <w:sz w:val="15"/>
        </w:rPr>
        <w:t>Based</w:t>
      </w:r>
      <w:r>
        <w:rPr>
          <w:rFonts w:ascii="Arial"/>
          <w:color w:val="231F20"/>
          <w:spacing w:val="-2"/>
          <w:w w:val="115"/>
          <w:sz w:val="15"/>
        </w:rPr>
        <w:t> </w:t>
      </w:r>
      <w:r>
        <w:rPr>
          <w:rFonts w:ascii="Arial"/>
          <w:color w:val="231F20"/>
          <w:w w:val="115"/>
          <w:sz w:val="15"/>
        </w:rPr>
        <w:t>on</w:t>
      </w:r>
      <w:r>
        <w:rPr>
          <w:rFonts w:ascii="Arial"/>
          <w:color w:val="231F20"/>
          <w:spacing w:val="-2"/>
          <w:w w:val="115"/>
          <w:sz w:val="15"/>
        </w:rPr>
        <w:t> </w:t>
      </w:r>
      <w:r>
        <w:rPr>
          <w:rFonts w:ascii="Arial"/>
          <w:color w:val="231F20"/>
          <w:w w:val="115"/>
          <w:sz w:val="15"/>
        </w:rPr>
        <w:t>recruiter</w:t>
      </w:r>
      <w:r>
        <w:rPr>
          <w:rFonts w:ascii="Arial"/>
          <w:color w:val="231F20"/>
          <w:spacing w:val="-2"/>
          <w:w w:val="115"/>
          <w:sz w:val="15"/>
        </w:rPr>
        <w:t> </w:t>
      </w:r>
      <w:r>
        <w:rPr>
          <w:rFonts w:ascii="Arial"/>
          <w:color w:val="231F20"/>
          <w:w w:val="115"/>
          <w:sz w:val="15"/>
        </w:rPr>
        <w:t>and</w:t>
      </w:r>
      <w:r>
        <w:rPr>
          <w:rFonts w:ascii="Arial"/>
          <w:color w:val="231F20"/>
          <w:spacing w:val="-2"/>
          <w:w w:val="115"/>
          <w:sz w:val="15"/>
        </w:rPr>
        <w:t> </w:t>
      </w:r>
      <w:r>
        <w:rPr>
          <w:rFonts w:ascii="Arial"/>
          <w:color w:val="231F20"/>
          <w:w w:val="115"/>
          <w:sz w:val="15"/>
        </w:rPr>
        <w:t>student</w:t>
      </w:r>
      <w:r>
        <w:rPr>
          <w:rFonts w:ascii="Arial"/>
          <w:color w:val="231F20"/>
          <w:spacing w:val="-2"/>
          <w:w w:val="115"/>
          <w:sz w:val="15"/>
        </w:rPr>
        <w:t> polls</w:t>
      </w:r>
    </w:p>
    <w:p>
      <w:pPr>
        <w:spacing w:before="90"/>
        <w:ind w:left="1260" w:right="0" w:firstLine="0"/>
        <w:jc w:val="left"/>
        <w:rPr>
          <w:rFonts w:ascii="Arial"/>
          <w:i/>
          <w:sz w:val="19"/>
        </w:rPr>
      </w:pPr>
      <w:r>
        <w:rPr>
          <w:rFonts w:ascii="Arial"/>
          <w:i/>
          <w:color w:val="231F20"/>
          <w:w w:val="105"/>
          <w:sz w:val="19"/>
        </w:rPr>
        <w:t>Top</w:t>
      </w:r>
      <w:r>
        <w:rPr>
          <w:rFonts w:ascii="Arial"/>
          <w:i/>
          <w:color w:val="231F20"/>
          <w:spacing w:val="-9"/>
          <w:w w:val="105"/>
          <w:sz w:val="19"/>
        </w:rPr>
        <w:t> </w:t>
      </w:r>
      <w:r>
        <w:rPr>
          <w:rFonts w:ascii="Arial"/>
          <w:i/>
          <w:color w:val="231F20"/>
          <w:w w:val="105"/>
          <w:sz w:val="19"/>
        </w:rPr>
        <w:t>U.S.</w:t>
      </w:r>
      <w:r>
        <w:rPr>
          <w:rFonts w:ascii="Arial"/>
          <w:i/>
          <w:color w:val="231F20"/>
          <w:spacing w:val="-8"/>
          <w:w w:val="105"/>
          <w:sz w:val="19"/>
        </w:rPr>
        <w:t> </w:t>
      </w:r>
      <w:r>
        <w:rPr>
          <w:rFonts w:ascii="Arial"/>
          <w:i/>
          <w:color w:val="231F20"/>
          <w:spacing w:val="-2"/>
          <w:w w:val="105"/>
          <w:sz w:val="19"/>
        </w:rPr>
        <w:t>Schools</w:t>
      </w:r>
    </w:p>
    <w:p>
      <w:pPr>
        <w:pStyle w:val="ListParagraph"/>
        <w:numPr>
          <w:ilvl w:val="0"/>
          <w:numId w:val="4"/>
        </w:numPr>
        <w:tabs>
          <w:tab w:pos="1611" w:val="left" w:leader="none"/>
        </w:tabs>
        <w:spacing w:line="240" w:lineRule="auto" w:before="82" w:after="0"/>
        <w:ind w:left="1610" w:right="0" w:hanging="178"/>
        <w:jc w:val="left"/>
        <w:rPr>
          <w:sz w:val="19"/>
        </w:rPr>
      </w:pPr>
      <w:r>
        <w:rPr>
          <w:color w:val="231F20"/>
          <w:spacing w:val="-2"/>
          <w:w w:val="115"/>
          <w:sz w:val="19"/>
        </w:rPr>
        <w:t>Northwestern</w:t>
      </w:r>
    </w:p>
    <w:p>
      <w:pPr>
        <w:pStyle w:val="ListParagraph"/>
        <w:numPr>
          <w:ilvl w:val="0"/>
          <w:numId w:val="4"/>
        </w:numPr>
        <w:tabs>
          <w:tab w:pos="1611" w:val="left" w:leader="none"/>
        </w:tabs>
        <w:spacing w:line="240" w:lineRule="auto" w:before="81" w:after="0"/>
        <w:ind w:left="1610" w:right="0" w:hanging="224"/>
        <w:jc w:val="left"/>
        <w:rPr>
          <w:sz w:val="19"/>
        </w:rPr>
      </w:pPr>
      <w:r>
        <w:rPr>
          <w:color w:val="231F20"/>
          <w:spacing w:val="-2"/>
          <w:w w:val="110"/>
          <w:sz w:val="19"/>
        </w:rPr>
        <w:t>Chicago</w:t>
      </w:r>
    </w:p>
    <w:p>
      <w:pPr>
        <w:pStyle w:val="ListParagraph"/>
        <w:numPr>
          <w:ilvl w:val="0"/>
          <w:numId w:val="4"/>
        </w:numPr>
        <w:tabs>
          <w:tab w:pos="1610" w:val="left" w:leader="none"/>
        </w:tabs>
        <w:spacing w:line="240" w:lineRule="auto" w:before="82" w:after="0"/>
        <w:ind w:left="1609" w:right="0" w:hanging="226"/>
        <w:jc w:val="left"/>
        <w:rPr>
          <w:sz w:val="19"/>
        </w:rPr>
      </w:pPr>
      <w:r>
        <w:rPr>
          <w:color w:val="231F20"/>
          <w:spacing w:val="-2"/>
          <w:w w:val="110"/>
          <w:sz w:val="19"/>
        </w:rPr>
        <w:t>Pennsylvania</w:t>
      </w:r>
    </w:p>
    <w:p>
      <w:pPr>
        <w:pStyle w:val="ListParagraph"/>
        <w:numPr>
          <w:ilvl w:val="0"/>
          <w:numId w:val="4"/>
        </w:numPr>
        <w:tabs>
          <w:tab w:pos="1610" w:val="left" w:leader="none"/>
        </w:tabs>
        <w:spacing w:line="240" w:lineRule="auto" w:before="81" w:after="0"/>
        <w:ind w:left="1609" w:right="0" w:hanging="237"/>
        <w:jc w:val="left"/>
        <w:rPr>
          <w:sz w:val="19"/>
        </w:rPr>
      </w:pPr>
      <w:r>
        <w:rPr>
          <w:color w:val="231F20"/>
          <w:spacing w:val="-2"/>
          <w:w w:val="115"/>
          <w:sz w:val="19"/>
        </w:rPr>
        <w:t>Stanford</w:t>
      </w:r>
    </w:p>
    <w:p>
      <w:pPr>
        <w:pStyle w:val="ListParagraph"/>
        <w:numPr>
          <w:ilvl w:val="0"/>
          <w:numId w:val="4"/>
        </w:numPr>
        <w:tabs>
          <w:tab w:pos="1610" w:val="left" w:leader="none"/>
        </w:tabs>
        <w:spacing w:line="240" w:lineRule="auto" w:before="82" w:after="0"/>
        <w:ind w:left="1609" w:right="0" w:hanging="226"/>
        <w:jc w:val="left"/>
        <w:rPr>
          <w:sz w:val="19"/>
        </w:rPr>
      </w:pPr>
      <w:r>
        <w:rPr>
          <w:color w:val="231F20"/>
          <w:spacing w:val="-2"/>
          <w:w w:val="115"/>
          <w:sz w:val="19"/>
        </w:rPr>
        <w:t>Harvard</w:t>
      </w:r>
    </w:p>
    <w:p>
      <w:pPr>
        <w:pStyle w:val="ListParagraph"/>
        <w:numPr>
          <w:ilvl w:val="0"/>
          <w:numId w:val="4"/>
        </w:numPr>
        <w:tabs>
          <w:tab w:pos="1611" w:val="left" w:leader="none"/>
        </w:tabs>
        <w:spacing w:line="240" w:lineRule="auto" w:before="81" w:after="0"/>
        <w:ind w:left="1610" w:right="0" w:hanging="234"/>
        <w:jc w:val="left"/>
        <w:rPr>
          <w:sz w:val="19"/>
        </w:rPr>
      </w:pPr>
      <w:r>
        <w:rPr>
          <w:color w:val="231F20"/>
          <w:spacing w:val="-2"/>
          <w:w w:val="110"/>
          <w:sz w:val="19"/>
        </w:rPr>
        <w:t>Michigan</w:t>
      </w:r>
    </w:p>
    <w:p>
      <w:pPr>
        <w:pStyle w:val="ListParagraph"/>
        <w:numPr>
          <w:ilvl w:val="0"/>
          <w:numId w:val="4"/>
        </w:numPr>
        <w:tabs>
          <w:tab w:pos="1610" w:val="left" w:leader="none"/>
        </w:tabs>
        <w:spacing w:line="240" w:lineRule="auto" w:before="82" w:after="0"/>
        <w:ind w:left="1609" w:right="0" w:hanging="204"/>
        <w:jc w:val="left"/>
        <w:rPr>
          <w:sz w:val="19"/>
        </w:rPr>
      </w:pPr>
      <w:r>
        <w:rPr>
          <w:color w:val="231F20"/>
          <w:spacing w:val="-2"/>
          <w:w w:val="115"/>
          <w:sz w:val="19"/>
        </w:rPr>
        <w:t>Cornell</w:t>
      </w:r>
    </w:p>
    <w:p>
      <w:pPr>
        <w:pStyle w:val="ListParagraph"/>
        <w:numPr>
          <w:ilvl w:val="0"/>
          <w:numId w:val="4"/>
        </w:numPr>
        <w:tabs>
          <w:tab w:pos="1611" w:val="left" w:leader="none"/>
        </w:tabs>
        <w:spacing w:line="240" w:lineRule="auto" w:before="81" w:after="0"/>
        <w:ind w:left="1610" w:right="0" w:hanging="230"/>
        <w:jc w:val="left"/>
        <w:rPr>
          <w:sz w:val="19"/>
        </w:rPr>
      </w:pPr>
      <w:r>
        <w:rPr>
          <w:color w:val="231F20"/>
          <w:spacing w:val="-2"/>
          <w:w w:val="115"/>
          <w:sz w:val="19"/>
        </w:rPr>
        <w:t>Columbia</w:t>
      </w:r>
    </w:p>
    <w:p>
      <w:pPr>
        <w:pStyle w:val="ListParagraph"/>
        <w:numPr>
          <w:ilvl w:val="0"/>
          <w:numId w:val="4"/>
        </w:numPr>
        <w:tabs>
          <w:tab w:pos="1610" w:val="left" w:leader="none"/>
        </w:tabs>
        <w:spacing w:line="240" w:lineRule="auto" w:before="82" w:after="0"/>
        <w:ind w:left="1609" w:right="0" w:hanging="231"/>
        <w:jc w:val="left"/>
        <w:rPr>
          <w:sz w:val="19"/>
        </w:rPr>
      </w:pPr>
      <w:r>
        <w:rPr>
          <w:color w:val="231F20"/>
          <w:spacing w:val="-5"/>
          <w:w w:val="105"/>
          <w:sz w:val="19"/>
        </w:rPr>
        <w:t>MIT</w:t>
      </w:r>
    </w:p>
    <w:p>
      <w:pPr>
        <w:pStyle w:val="ListParagraph"/>
        <w:numPr>
          <w:ilvl w:val="0"/>
          <w:numId w:val="4"/>
        </w:numPr>
        <w:tabs>
          <w:tab w:pos="1611" w:val="left" w:leader="none"/>
        </w:tabs>
        <w:spacing w:line="240" w:lineRule="auto" w:before="81" w:after="0"/>
        <w:ind w:left="1610" w:right="0" w:hanging="312"/>
        <w:jc w:val="left"/>
        <w:rPr>
          <w:sz w:val="19"/>
        </w:rPr>
      </w:pPr>
      <w:r>
        <w:rPr>
          <w:color w:val="231F20"/>
          <w:spacing w:val="-2"/>
          <w:w w:val="115"/>
          <w:sz w:val="19"/>
        </w:rPr>
        <w:t>Dartmouth</w:t>
      </w:r>
    </w:p>
    <w:p>
      <w:pPr>
        <w:pStyle w:val="ListParagraph"/>
        <w:numPr>
          <w:ilvl w:val="0"/>
          <w:numId w:val="4"/>
        </w:numPr>
        <w:tabs>
          <w:tab w:pos="1611" w:val="left" w:leader="none"/>
        </w:tabs>
        <w:spacing w:line="240" w:lineRule="auto" w:before="82" w:after="0"/>
        <w:ind w:left="1610" w:right="0" w:hanging="247"/>
        <w:jc w:val="left"/>
        <w:rPr>
          <w:sz w:val="19"/>
        </w:rPr>
      </w:pPr>
      <w:r>
        <w:rPr>
          <w:color w:val="231F20"/>
          <w:spacing w:val="-4"/>
          <w:w w:val="110"/>
          <w:sz w:val="19"/>
        </w:rPr>
        <w:t>Duke</w:t>
      </w:r>
    </w:p>
    <w:p>
      <w:pPr>
        <w:pStyle w:val="ListParagraph"/>
        <w:numPr>
          <w:ilvl w:val="0"/>
          <w:numId w:val="4"/>
        </w:numPr>
        <w:tabs>
          <w:tab w:pos="1611" w:val="left" w:leader="none"/>
        </w:tabs>
        <w:spacing w:line="240" w:lineRule="auto" w:before="81" w:after="0"/>
        <w:ind w:left="1610" w:right="0" w:hanging="293"/>
        <w:jc w:val="left"/>
        <w:rPr>
          <w:sz w:val="19"/>
        </w:rPr>
      </w:pPr>
      <w:r>
        <w:rPr>
          <w:color w:val="231F20"/>
          <w:spacing w:val="-2"/>
          <w:w w:val="115"/>
          <w:sz w:val="19"/>
        </w:rPr>
        <w:t>Virginia</w:t>
      </w:r>
    </w:p>
    <w:p>
      <w:pPr>
        <w:pStyle w:val="ListParagraph"/>
        <w:numPr>
          <w:ilvl w:val="0"/>
          <w:numId w:val="4"/>
        </w:numPr>
        <w:tabs>
          <w:tab w:pos="1610" w:val="left" w:leader="none"/>
        </w:tabs>
        <w:spacing w:line="240" w:lineRule="auto" w:before="82" w:after="0"/>
        <w:ind w:left="1609" w:right="0" w:hanging="295"/>
        <w:jc w:val="left"/>
        <w:rPr>
          <w:sz w:val="19"/>
        </w:rPr>
      </w:pPr>
      <w:r>
        <w:rPr>
          <w:color w:val="231F20"/>
          <w:spacing w:val="-5"/>
          <w:w w:val="110"/>
          <w:sz w:val="19"/>
        </w:rPr>
        <w:t>NYU</w:t>
      </w:r>
    </w:p>
    <w:p>
      <w:pPr>
        <w:pStyle w:val="ListParagraph"/>
        <w:numPr>
          <w:ilvl w:val="0"/>
          <w:numId w:val="4"/>
        </w:numPr>
        <w:tabs>
          <w:tab w:pos="1611" w:val="left" w:leader="none"/>
        </w:tabs>
        <w:spacing w:line="240" w:lineRule="auto" w:before="81" w:after="0"/>
        <w:ind w:left="1610" w:right="0" w:hanging="307"/>
        <w:jc w:val="left"/>
        <w:rPr>
          <w:sz w:val="19"/>
        </w:rPr>
      </w:pPr>
      <w:r>
        <w:rPr>
          <w:color w:val="231F20"/>
          <w:spacing w:val="-4"/>
          <w:w w:val="110"/>
          <w:sz w:val="19"/>
        </w:rPr>
        <w:t>UCLA</w:t>
      </w:r>
    </w:p>
    <w:p>
      <w:pPr>
        <w:pStyle w:val="ListParagraph"/>
        <w:numPr>
          <w:ilvl w:val="0"/>
          <w:numId w:val="4"/>
        </w:numPr>
        <w:tabs>
          <w:tab w:pos="1611" w:val="left" w:leader="none"/>
        </w:tabs>
        <w:spacing w:line="240" w:lineRule="auto" w:before="82" w:after="0"/>
        <w:ind w:left="1610" w:right="0" w:hanging="296"/>
        <w:jc w:val="left"/>
        <w:rPr>
          <w:sz w:val="19"/>
        </w:rPr>
      </w:pPr>
      <w:r>
        <w:rPr>
          <w:color w:val="231F20"/>
          <w:w w:val="110"/>
          <w:sz w:val="19"/>
        </w:rPr>
        <w:t>Carnegie</w:t>
      </w:r>
      <w:r>
        <w:rPr>
          <w:color w:val="231F20"/>
          <w:spacing w:val="1"/>
          <w:w w:val="110"/>
          <w:sz w:val="19"/>
        </w:rPr>
        <w:t> </w:t>
      </w:r>
      <w:r>
        <w:rPr>
          <w:color w:val="231F20"/>
          <w:spacing w:val="-2"/>
          <w:w w:val="110"/>
          <w:sz w:val="19"/>
        </w:rPr>
        <w:t>Mellon</w:t>
      </w:r>
    </w:p>
    <w:p>
      <w:pPr>
        <w:spacing w:before="81"/>
        <w:ind w:left="1259" w:right="0" w:firstLine="0"/>
        <w:jc w:val="left"/>
        <w:rPr>
          <w:rFonts w:ascii="Arial"/>
          <w:i/>
          <w:sz w:val="19"/>
        </w:rPr>
      </w:pPr>
      <w:r>
        <w:rPr>
          <w:rFonts w:ascii="Arial"/>
          <w:i/>
          <w:color w:val="231F20"/>
          <w:spacing w:val="-2"/>
          <w:w w:val="110"/>
          <w:sz w:val="19"/>
        </w:rPr>
        <w:t>Top</w:t>
      </w:r>
      <w:r>
        <w:rPr>
          <w:rFonts w:ascii="Arial"/>
          <w:i/>
          <w:color w:val="231F20"/>
          <w:spacing w:val="-9"/>
          <w:w w:val="110"/>
          <w:sz w:val="19"/>
        </w:rPr>
        <w:t> </w:t>
      </w:r>
      <w:r>
        <w:rPr>
          <w:rFonts w:ascii="Arial"/>
          <w:i/>
          <w:color w:val="231F20"/>
          <w:spacing w:val="-2"/>
          <w:w w:val="110"/>
          <w:sz w:val="19"/>
        </w:rPr>
        <w:t>Non-U.S.</w:t>
      </w:r>
      <w:r>
        <w:rPr>
          <w:rFonts w:ascii="Arial"/>
          <w:i/>
          <w:color w:val="231F20"/>
          <w:spacing w:val="-9"/>
          <w:w w:val="110"/>
          <w:sz w:val="19"/>
        </w:rPr>
        <w:t> </w:t>
      </w:r>
      <w:r>
        <w:rPr>
          <w:rFonts w:ascii="Arial"/>
          <w:i/>
          <w:color w:val="231F20"/>
          <w:spacing w:val="-2"/>
          <w:w w:val="110"/>
          <w:sz w:val="19"/>
        </w:rPr>
        <w:t>Schools</w:t>
      </w:r>
    </w:p>
    <w:p>
      <w:pPr>
        <w:pStyle w:val="ListParagraph"/>
        <w:numPr>
          <w:ilvl w:val="0"/>
          <w:numId w:val="5"/>
        </w:numPr>
        <w:tabs>
          <w:tab w:pos="1611" w:val="left" w:leader="none"/>
        </w:tabs>
        <w:spacing w:line="240" w:lineRule="auto" w:before="82" w:after="0"/>
        <w:ind w:left="1610" w:right="0" w:hanging="178"/>
        <w:jc w:val="left"/>
        <w:rPr>
          <w:sz w:val="19"/>
        </w:rPr>
      </w:pPr>
      <w:r>
        <w:rPr>
          <w:color w:val="231F20"/>
          <w:w w:val="110"/>
          <w:sz w:val="19"/>
        </w:rPr>
        <w:t>Queen’s</w:t>
      </w:r>
      <w:r>
        <w:rPr>
          <w:color w:val="231F20"/>
          <w:spacing w:val="3"/>
          <w:w w:val="110"/>
          <w:sz w:val="19"/>
        </w:rPr>
        <w:t> </w:t>
      </w:r>
      <w:r>
        <w:rPr>
          <w:color w:val="231F20"/>
          <w:w w:val="110"/>
          <w:sz w:val="19"/>
        </w:rPr>
        <w:t>University</w:t>
      </w:r>
      <w:r>
        <w:rPr>
          <w:color w:val="231F20"/>
          <w:spacing w:val="3"/>
          <w:w w:val="110"/>
          <w:sz w:val="19"/>
        </w:rPr>
        <w:t> </w:t>
      </w:r>
      <w:r>
        <w:rPr>
          <w:color w:val="231F20"/>
          <w:spacing w:val="-2"/>
          <w:w w:val="110"/>
          <w:sz w:val="19"/>
        </w:rPr>
        <w:t>(Canada)</w:t>
      </w:r>
    </w:p>
    <w:p>
      <w:pPr>
        <w:pStyle w:val="ListParagraph"/>
        <w:numPr>
          <w:ilvl w:val="0"/>
          <w:numId w:val="5"/>
        </w:numPr>
        <w:tabs>
          <w:tab w:pos="1611" w:val="left" w:leader="none"/>
        </w:tabs>
        <w:spacing w:line="240" w:lineRule="auto" w:before="81" w:after="0"/>
        <w:ind w:left="1610" w:right="0" w:hanging="224"/>
        <w:jc w:val="left"/>
        <w:rPr>
          <w:sz w:val="19"/>
        </w:rPr>
      </w:pPr>
      <w:r>
        <w:rPr>
          <w:color w:val="231F20"/>
          <w:w w:val="105"/>
          <w:sz w:val="19"/>
        </w:rPr>
        <w:t>IMD</w:t>
      </w:r>
      <w:r>
        <w:rPr>
          <w:color w:val="231F20"/>
          <w:spacing w:val="-2"/>
          <w:w w:val="115"/>
          <w:sz w:val="19"/>
        </w:rPr>
        <w:t> (Switzerland)</w:t>
      </w:r>
    </w:p>
    <w:p>
      <w:pPr>
        <w:pStyle w:val="ListParagraph"/>
        <w:numPr>
          <w:ilvl w:val="0"/>
          <w:numId w:val="5"/>
        </w:numPr>
        <w:tabs>
          <w:tab w:pos="1611" w:val="left" w:leader="none"/>
        </w:tabs>
        <w:spacing w:line="240" w:lineRule="auto" w:before="82" w:after="0"/>
        <w:ind w:left="1610" w:right="0" w:hanging="227"/>
        <w:jc w:val="left"/>
        <w:rPr>
          <w:sz w:val="19"/>
        </w:rPr>
      </w:pPr>
      <w:r>
        <w:rPr>
          <w:color w:val="231F20"/>
          <w:w w:val="105"/>
          <w:sz w:val="19"/>
        </w:rPr>
        <w:t>INSEAD</w:t>
      </w:r>
      <w:r>
        <w:rPr>
          <w:color w:val="231F20"/>
          <w:spacing w:val="12"/>
          <w:w w:val="115"/>
          <w:sz w:val="19"/>
        </w:rPr>
        <w:t> </w:t>
      </w:r>
      <w:r>
        <w:rPr>
          <w:color w:val="231F20"/>
          <w:spacing w:val="-2"/>
          <w:w w:val="115"/>
          <w:sz w:val="19"/>
        </w:rPr>
        <w:t>(France)</w:t>
      </w:r>
    </w:p>
    <w:p>
      <w:pPr>
        <w:pStyle w:val="ListParagraph"/>
        <w:numPr>
          <w:ilvl w:val="0"/>
          <w:numId w:val="5"/>
        </w:numPr>
        <w:tabs>
          <w:tab w:pos="1611" w:val="left" w:leader="none"/>
        </w:tabs>
        <w:spacing w:line="240" w:lineRule="auto" w:before="81" w:after="0"/>
        <w:ind w:left="1610" w:right="0" w:hanging="238"/>
        <w:jc w:val="left"/>
        <w:rPr>
          <w:sz w:val="19"/>
        </w:rPr>
      </w:pPr>
      <w:r>
        <w:rPr>
          <w:color w:val="231F20"/>
          <w:w w:val="105"/>
          <w:sz w:val="19"/>
        </w:rPr>
        <w:t>ESADE</w:t>
      </w:r>
      <w:r>
        <w:rPr>
          <w:color w:val="231F20"/>
          <w:spacing w:val="-3"/>
          <w:w w:val="105"/>
          <w:sz w:val="19"/>
        </w:rPr>
        <w:t> </w:t>
      </w:r>
      <w:r>
        <w:rPr>
          <w:color w:val="231F20"/>
          <w:spacing w:val="-2"/>
          <w:w w:val="110"/>
          <w:sz w:val="19"/>
        </w:rPr>
        <w:t>(Spain)</w:t>
      </w:r>
    </w:p>
    <w:p>
      <w:pPr>
        <w:pStyle w:val="ListParagraph"/>
        <w:numPr>
          <w:ilvl w:val="0"/>
          <w:numId w:val="5"/>
        </w:numPr>
        <w:tabs>
          <w:tab w:pos="1611" w:val="left" w:leader="none"/>
        </w:tabs>
        <w:spacing w:line="240" w:lineRule="auto" w:before="82" w:after="0"/>
        <w:ind w:left="1610" w:right="0" w:hanging="227"/>
        <w:jc w:val="left"/>
        <w:rPr>
          <w:sz w:val="19"/>
        </w:rPr>
      </w:pPr>
      <w:r>
        <w:rPr>
          <w:color w:val="231F20"/>
          <w:w w:val="110"/>
          <w:sz w:val="19"/>
        </w:rPr>
        <w:t>London</w:t>
      </w:r>
      <w:r>
        <w:rPr>
          <w:color w:val="231F20"/>
          <w:spacing w:val="-2"/>
          <w:w w:val="110"/>
          <w:sz w:val="19"/>
        </w:rPr>
        <w:t> </w:t>
      </w:r>
      <w:r>
        <w:rPr>
          <w:color w:val="231F20"/>
          <w:w w:val="110"/>
          <w:sz w:val="19"/>
        </w:rPr>
        <w:t>Business</w:t>
      </w:r>
      <w:r>
        <w:rPr>
          <w:color w:val="231F20"/>
          <w:spacing w:val="-2"/>
          <w:w w:val="110"/>
          <w:sz w:val="19"/>
        </w:rPr>
        <w:t> School</w:t>
      </w:r>
    </w:p>
    <w:p>
      <w:pPr>
        <w:pStyle w:val="ListParagraph"/>
        <w:numPr>
          <w:ilvl w:val="0"/>
          <w:numId w:val="5"/>
        </w:numPr>
        <w:tabs>
          <w:tab w:pos="1610" w:val="left" w:leader="none"/>
        </w:tabs>
        <w:spacing w:line="240" w:lineRule="auto" w:before="82" w:after="0"/>
        <w:ind w:left="1610" w:right="0" w:hanging="233"/>
        <w:jc w:val="left"/>
        <w:rPr>
          <w:sz w:val="19"/>
        </w:rPr>
      </w:pPr>
      <w:r>
        <w:rPr>
          <w:color w:val="231F20"/>
          <w:spacing w:val="-2"/>
          <w:w w:val="115"/>
          <w:sz w:val="19"/>
        </w:rPr>
        <w:t>Western</w:t>
      </w:r>
      <w:r>
        <w:rPr>
          <w:color w:val="231F20"/>
          <w:spacing w:val="-3"/>
          <w:w w:val="115"/>
          <w:sz w:val="19"/>
        </w:rPr>
        <w:t> </w:t>
      </w:r>
      <w:r>
        <w:rPr>
          <w:color w:val="231F20"/>
          <w:spacing w:val="-2"/>
          <w:w w:val="115"/>
          <w:sz w:val="19"/>
        </w:rPr>
        <w:t>Ontario</w:t>
      </w:r>
      <w:r>
        <w:rPr>
          <w:color w:val="231F20"/>
          <w:spacing w:val="-3"/>
          <w:w w:val="115"/>
          <w:sz w:val="19"/>
        </w:rPr>
        <w:t> </w:t>
      </w:r>
      <w:r>
        <w:rPr>
          <w:color w:val="231F20"/>
          <w:spacing w:val="-2"/>
          <w:w w:val="115"/>
          <w:sz w:val="19"/>
        </w:rPr>
        <w:t>(Ivey)</w:t>
      </w:r>
    </w:p>
    <w:p>
      <w:pPr>
        <w:pStyle w:val="ListParagraph"/>
        <w:numPr>
          <w:ilvl w:val="0"/>
          <w:numId w:val="5"/>
        </w:numPr>
        <w:tabs>
          <w:tab w:pos="1610" w:val="left" w:leader="none"/>
        </w:tabs>
        <w:spacing w:line="240" w:lineRule="auto" w:before="81" w:after="0"/>
        <w:ind w:left="1609" w:right="0" w:hanging="204"/>
        <w:jc w:val="left"/>
        <w:rPr>
          <w:sz w:val="19"/>
        </w:rPr>
      </w:pPr>
      <w:r>
        <w:rPr>
          <w:color w:val="231F20"/>
          <w:sz w:val="19"/>
        </w:rPr>
        <w:t>IESE</w:t>
      </w:r>
      <w:r>
        <w:rPr>
          <w:color w:val="231F20"/>
          <w:spacing w:val="-2"/>
          <w:w w:val="110"/>
          <w:sz w:val="19"/>
        </w:rPr>
        <w:t> (Spain)</w:t>
      </w:r>
    </w:p>
    <w:p>
      <w:pPr>
        <w:spacing w:after="0" w:line="240" w:lineRule="auto"/>
        <w:jc w:val="left"/>
        <w:rPr>
          <w:sz w:val="19"/>
        </w:rPr>
        <w:sectPr>
          <w:pgSz w:w="8640" w:h="12960"/>
          <w:pgMar w:header="734" w:footer="0" w:top="920" w:bottom="280" w:left="340" w:right="500"/>
        </w:sectPr>
      </w:pPr>
    </w:p>
    <w:p>
      <w:pPr>
        <w:pStyle w:val="BodyText"/>
        <w:spacing w:before="8"/>
        <w:rPr>
          <w:rFonts w:ascii="Arial"/>
          <w:sz w:val="19"/>
        </w:rPr>
      </w:pPr>
    </w:p>
    <w:p>
      <w:pPr>
        <w:pStyle w:val="ListParagraph"/>
        <w:numPr>
          <w:ilvl w:val="0"/>
          <w:numId w:val="5"/>
        </w:numPr>
        <w:tabs>
          <w:tab w:pos="1521" w:val="left" w:leader="none"/>
        </w:tabs>
        <w:spacing w:line="240" w:lineRule="auto" w:before="97" w:after="0"/>
        <w:ind w:left="1520" w:right="0" w:hanging="230"/>
        <w:jc w:val="left"/>
        <w:rPr>
          <w:sz w:val="19"/>
        </w:rPr>
      </w:pPr>
      <w:r>
        <w:rPr>
          <w:color w:val="231F20"/>
          <w:sz w:val="19"/>
        </w:rPr>
        <w:t>HEC-</w:t>
      </w:r>
      <w:r>
        <w:rPr>
          <w:color w:val="231F20"/>
          <w:spacing w:val="-2"/>
          <w:w w:val="105"/>
          <w:sz w:val="19"/>
        </w:rPr>
        <w:t>Paris</w:t>
      </w:r>
    </w:p>
    <w:p>
      <w:pPr>
        <w:pStyle w:val="ListParagraph"/>
        <w:numPr>
          <w:ilvl w:val="0"/>
          <w:numId w:val="5"/>
        </w:numPr>
        <w:tabs>
          <w:tab w:pos="1521" w:val="left" w:leader="none"/>
        </w:tabs>
        <w:spacing w:line="240" w:lineRule="auto" w:before="82" w:after="0"/>
        <w:ind w:left="1520" w:right="0" w:hanging="232"/>
        <w:jc w:val="left"/>
        <w:rPr>
          <w:sz w:val="19"/>
        </w:rPr>
      </w:pPr>
      <w:r>
        <w:rPr>
          <w:color w:val="231F20"/>
          <w:spacing w:val="-2"/>
          <w:w w:val="115"/>
          <w:sz w:val="19"/>
        </w:rPr>
        <w:t>Toronto</w:t>
      </w:r>
      <w:r>
        <w:rPr>
          <w:color w:val="231F20"/>
          <w:spacing w:val="-11"/>
          <w:w w:val="115"/>
          <w:sz w:val="19"/>
        </w:rPr>
        <w:t> </w:t>
      </w:r>
      <w:r>
        <w:rPr>
          <w:color w:val="231F20"/>
          <w:spacing w:val="-2"/>
          <w:w w:val="115"/>
          <w:sz w:val="19"/>
        </w:rPr>
        <w:t>(Rotman)</w:t>
      </w:r>
    </w:p>
    <w:p>
      <w:pPr>
        <w:pStyle w:val="ListParagraph"/>
        <w:numPr>
          <w:ilvl w:val="0"/>
          <w:numId w:val="5"/>
        </w:numPr>
        <w:tabs>
          <w:tab w:pos="1521" w:val="left" w:leader="none"/>
        </w:tabs>
        <w:spacing w:line="240" w:lineRule="auto" w:before="81" w:after="0"/>
        <w:ind w:left="1520" w:right="0" w:hanging="312"/>
        <w:jc w:val="left"/>
        <w:rPr>
          <w:sz w:val="19"/>
        </w:rPr>
      </w:pPr>
      <w:r>
        <w:rPr>
          <w:color w:val="231F20"/>
          <w:w w:val="105"/>
          <w:sz w:val="19"/>
        </w:rPr>
        <w:t>HEC-</w:t>
      </w:r>
      <w:r>
        <w:rPr>
          <w:color w:val="231F20"/>
          <w:spacing w:val="-2"/>
          <w:w w:val="110"/>
          <w:sz w:val="19"/>
        </w:rPr>
        <w:t>Montreal</w:t>
      </w:r>
    </w:p>
    <w:p>
      <w:pPr>
        <w:pStyle w:val="BodyText"/>
        <w:rPr>
          <w:rFonts w:ascii="Arial"/>
          <w:sz w:val="20"/>
        </w:rPr>
      </w:pPr>
    </w:p>
    <w:p>
      <w:pPr>
        <w:spacing w:before="131"/>
        <w:ind w:left="1170" w:right="0" w:firstLine="0"/>
        <w:jc w:val="left"/>
        <w:rPr>
          <w:i/>
          <w:sz w:val="21"/>
        </w:rPr>
      </w:pPr>
      <w:r>
        <w:rPr>
          <w:b/>
          <w:i/>
          <w:color w:val="231F20"/>
          <w:w w:val="105"/>
          <w:sz w:val="21"/>
        </w:rPr>
        <w:t>Forbes,</w:t>
      </w:r>
      <w:r>
        <w:rPr>
          <w:b/>
          <w:i/>
          <w:color w:val="231F20"/>
          <w:spacing w:val="-8"/>
          <w:w w:val="105"/>
          <w:sz w:val="21"/>
        </w:rPr>
        <w:t> </w:t>
      </w:r>
      <w:r>
        <w:rPr>
          <w:b/>
          <w:i/>
          <w:color w:val="231F20"/>
          <w:w w:val="105"/>
          <w:sz w:val="21"/>
        </w:rPr>
        <w:t>Best</w:t>
      </w:r>
      <w:r>
        <w:rPr>
          <w:b/>
          <w:i/>
          <w:color w:val="231F20"/>
          <w:spacing w:val="-8"/>
          <w:w w:val="105"/>
          <w:sz w:val="21"/>
        </w:rPr>
        <w:t> </w:t>
      </w:r>
      <w:r>
        <w:rPr>
          <w:b/>
          <w:i/>
          <w:color w:val="231F20"/>
          <w:w w:val="105"/>
          <w:sz w:val="21"/>
        </w:rPr>
        <w:t>Business</w:t>
      </w:r>
      <w:r>
        <w:rPr>
          <w:b/>
          <w:i/>
          <w:color w:val="231F20"/>
          <w:spacing w:val="-7"/>
          <w:w w:val="105"/>
          <w:sz w:val="21"/>
        </w:rPr>
        <w:t> </w:t>
      </w:r>
      <w:r>
        <w:rPr>
          <w:b/>
          <w:i/>
          <w:color w:val="231F20"/>
          <w:w w:val="105"/>
          <w:sz w:val="21"/>
        </w:rPr>
        <w:t>Schools,</w:t>
      </w:r>
      <w:r>
        <w:rPr>
          <w:b/>
          <w:i/>
          <w:color w:val="231F20"/>
          <w:spacing w:val="-9"/>
          <w:w w:val="105"/>
          <w:sz w:val="21"/>
        </w:rPr>
        <w:t> </w:t>
      </w:r>
      <w:r>
        <w:rPr>
          <w:i/>
          <w:color w:val="231F20"/>
          <w:w w:val="105"/>
          <w:sz w:val="21"/>
        </w:rPr>
        <w:t>October</w:t>
      </w:r>
      <w:r>
        <w:rPr>
          <w:i/>
          <w:color w:val="231F20"/>
          <w:spacing w:val="-7"/>
          <w:w w:val="105"/>
          <w:sz w:val="21"/>
        </w:rPr>
        <w:t> </w:t>
      </w:r>
      <w:r>
        <w:rPr>
          <w:i/>
          <w:color w:val="231F20"/>
          <w:spacing w:val="-4"/>
          <w:w w:val="105"/>
          <w:sz w:val="21"/>
        </w:rPr>
        <w:t>2003</w:t>
      </w:r>
    </w:p>
    <w:p>
      <w:pPr>
        <w:spacing w:before="112"/>
        <w:ind w:left="1170" w:right="0" w:firstLine="0"/>
        <w:jc w:val="left"/>
        <w:rPr>
          <w:rFonts w:ascii="Arial"/>
          <w:sz w:val="15"/>
        </w:rPr>
      </w:pPr>
      <w:r>
        <w:rPr>
          <w:rFonts w:ascii="Arial"/>
          <w:color w:val="231F20"/>
          <w:w w:val="115"/>
          <w:sz w:val="15"/>
        </w:rPr>
        <w:t>Based</w:t>
      </w:r>
      <w:r>
        <w:rPr>
          <w:rFonts w:ascii="Arial"/>
          <w:color w:val="231F20"/>
          <w:spacing w:val="-9"/>
          <w:w w:val="115"/>
          <w:sz w:val="15"/>
        </w:rPr>
        <w:t> </w:t>
      </w:r>
      <w:r>
        <w:rPr>
          <w:rFonts w:ascii="Arial"/>
          <w:color w:val="231F20"/>
          <w:w w:val="115"/>
          <w:sz w:val="15"/>
        </w:rPr>
        <w:t>on</w:t>
      </w:r>
      <w:r>
        <w:rPr>
          <w:rFonts w:ascii="Arial"/>
          <w:color w:val="231F20"/>
          <w:spacing w:val="-8"/>
          <w:w w:val="115"/>
          <w:sz w:val="15"/>
        </w:rPr>
        <w:t> </w:t>
      </w:r>
      <w:r>
        <w:rPr>
          <w:rFonts w:ascii="Arial"/>
          <w:color w:val="231F20"/>
          <w:w w:val="115"/>
          <w:sz w:val="15"/>
        </w:rPr>
        <w:t>5-year</w:t>
      </w:r>
      <w:r>
        <w:rPr>
          <w:rFonts w:ascii="Arial"/>
          <w:color w:val="231F20"/>
          <w:spacing w:val="-8"/>
          <w:w w:val="115"/>
          <w:sz w:val="15"/>
        </w:rPr>
        <w:t> </w:t>
      </w:r>
      <w:r>
        <w:rPr>
          <w:rFonts w:ascii="Arial"/>
          <w:color w:val="231F20"/>
          <w:w w:val="115"/>
          <w:sz w:val="15"/>
        </w:rPr>
        <w:t>MBA</w:t>
      </w:r>
      <w:r>
        <w:rPr>
          <w:rFonts w:ascii="Arial"/>
          <w:color w:val="231F20"/>
          <w:spacing w:val="-8"/>
          <w:w w:val="115"/>
          <w:sz w:val="15"/>
        </w:rPr>
        <w:t> </w:t>
      </w:r>
      <w:r>
        <w:rPr>
          <w:rFonts w:ascii="Arial"/>
          <w:color w:val="231F20"/>
          <w:w w:val="115"/>
          <w:sz w:val="15"/>
        </w:rPr>
        <w:t>compensation</w:t>
      </w:r>
      <w:r>
        <w:rPr>
          <w:rFonts w:ascii="Arial"/>
          <w:color w:val="231F20"/>
          <w:spacing w:val="-8"/>
          <w:w w:val="115"/>
          <w:sz w:val="15"/>
        </w:rPr>
        <w:t> </w:t>
      </w:r>
      <w:r>
        <w:rPr>
          <w:rFonts w:ascii="Arial"/>
          <w:color w:val="231F20"/>
          <w:w w:val="115"/>
          <w:sz w:val="15"/>
        </w:rPr>
        <w:t>gains</w:t>
      </w:r>
      <w:r>
        <w:rPr>
          <w:rFonts w:ascii="Arial"/>
          <w:color w:val="231F20"/>
          <w:spacing w:val="-8"/>
          <w:w w:val="115"/>
          <w:sz w:val="15"/>
        </w:rPr>
        <w:t> </w:t>
      </w:r>
      <w:r>
        <w:rPr>
          <w:rFonts w:ascii="Arial"/>
          <w:color w:val="231F20"/>
          <w:w w:val="115"/>
          <w:sz w:val="15"/>
        </w:rPr>
        <w:t>less</w:t>
      </w:r>
      <w:r>
        <w:rPr>
          <w:rFonts w:ascii="Arial"/>
          <w:color w:val="231F20"/>
          <w:spacing w:val="-8"/>
          <w:w w:val="115"/>
          <w:sz w:val="15"/>
        </w:rPr>
        <w:t> </w:t>
      </w:r>
      <w:r>
        <w:rPr>
          <w:rFonts w:ascii="Arial"/>
          <w:color w:val="231F20"/>
          <w:w w:val="115"/>
          <w:sz w:val="15"/>
        </w:rPr>
        <w:t>tuition</w:t>
      </w:r>
      <w:r>
        <w:rPr>
          <w:rFonts w:ascii="Arial"/>
          <w:color w:val="231F20"/>
          <w:spacing w:val="-8"/>
          <w:w w:val="115"/>
          <w:sz w:val="15"/>
        </w:rPr>
        <w:t> </w:t>
      </w:r>
      <w:r>
        <w:rPr>
          <w:rFonts w:ascii="Arial"/>
          <w:color w:val="231F20"/>
          <w:spacing w:val="-4"/>
          <w:w w:val="115"/>
          <w:sz w:val="15"/>
        </w:rPr>
        <w:t>costs</w:t>
      </w:r>
    </w:p>
    <w:p>
      <w:pPr>
        <w:spacing w:before="90"/>
        <w:ind w:left="1170" w:right="0" w:firstLine="0"/>
        <w:jc w:val="left"/>
        <w:rPr>
          <w:rFonts w:ascii="Arial"/>
          <w:i/>
          <w:sz w:val="19"/>
        </w:rPr>
      </w:pPr>
      <w:r>
        <w:rPr>
          <w:rFonts w:ascii="Arial"/>
          <w:i/>
          <w:color w:val="231F20"/>
          <w:w w:val="105"/>
          <w:sz w:val="19"/>
        </w:rPr>
        <w:t>Best</w:t>
      </w:r>
      <w:r>
        <w:rPr>
          <w:rFonts w:ascii="Arial"/>
          <w:i/>
          <w:color w:val="231F20"/>
          <w:spacing w:val="6"/>
          <w:w w:val="105"/>
          <w:sz w:val="19"/>
        </w:rPr>
        <w:t> </w:t>
      </w:r>
      <w:r>
        <w:rPr>
          <w:rFonts w:ascii="Arial"/>
          <w:i/>
          <w:color w:val="231F20"/>
          <w:w w:val="105"/>
          <w:sz w:val="19"/>
        </w:rPr>
        <w:t>U.S.</w:t>
      </w:r>
      <w:r>
        <w:rPr>
          <w:rFonts w:ascii="Arial"/>
          <w:i/>
          <w:color w:val="231F20"/>
          <w:spacing w:val="6"/>
          <w:w w:val="105"/>
          <w:sz w:val="19"/>
        </w:rPr>
        <w:t> </w:t>
      </w:r>
      <w:r>
        <w:rPr>
          <w:rFonts w:ascii="Arial"/>
          <w:i/>
          <w:color w:val="231F20"/>
          <w:w w:val="105"/>
          <w:sz w:val="19"/>
        </w:rPr>
        <w:t>Business</w:t>
      </w:r>
      <w:r>
        <w:rPr>
          <w:rFonts w:ascii="Arial"/>
          <w:i/>
          <w:color w:val="231F20"/>
          <w:spacing w:val="6"/>
          <w:w w:val="105"/>
          <w:sz w:val="19"/>
        </w:rPr>
        <w:t> </w:t>
      </w:r>
      <w:r>
        <w:rPr>
          <w:rFonts w:ascii="Arial"/>
          <w:i/>
          <w:color w:val="231F20"/>
          <w:spacing w:val="-2"/>
          <w:w w:val="105"/>
          <w:sz w:val="19"/>
        </w:rPr>
        <w:t>Schools</w:t>
      </w:r>
    </w:p>
    <w:p>
      <w:pPr>
        <w:pStyle w:val="ListParagraph"/>
        <w:numPr>
          <w:ilvl w:val="0"/>
          <w:numId w:val="6"/>
        </w:numPr>
        <w:tabs>
          <w:tab w:pos="1520" w:val="left" w:leader="none"/>
        </w:tabs>
        <w:spacing w:line="240" w:lineRule="auto" w:before="82" w:after="0"/>
        <w:ind w:left="1519" w:right="0" w:hanging="177"/>
        <w:jc w:val="left"/>
        <w:rPr>
          <w:sz w:val="19"/>
        </w:rPr>
      </w:pPr>
      <w:r>
        <w:rPr>
          <w:color w:val="231F20"/>
          <w:spacing w:val="-2"/>
          <w:w w:val="115"/>
          <w:sz w:val="19"/>
        </w:rPr>
        <w:t>Harvard</w:t>
      </w:r>
    </w:p>
    <w:p>
      <w:pPr>
        <w:pStyle w:val="ListParagraph"/>
        <w:numPr>
          <w:ilvl w:val="0"/>
          <w:numId w:val="6"/>
        </w:numPr>
        <w:tabs>
          <w:tab w:pos="1521" w:val="left" w:leader="none"/>
        </w:tabs>
        <w:spacing w:line="240" w:lineRule="auto" w:before="81" w:after="0"/>
        <w:ind w:left="1520" w:right="0" w:hanging="224"/>
        <w:jc w:val="left"/>
        <w:rPr>
          <w:sz w:val="19"/>
        </w:rPr>
      </w:pPr>
      <w:r>
        <w:rPr>
          <w:color w:val="231F20"/>
          <w:spacing w:val="-2"/>
          <w:w w:val="115"/>
          <w:sz w:val="19"/>
        </w:rPr>
        <w:t>Columbia</w:t>
      </w:r>
    </w:p>
    <w:p>
      <w:pPr>
        <w:pStyle w:val="ListParagraph"/>
        <w:numPr>
          <w:ilvl w:val="0"/>
          <w:numId w:val="6"/>
        </w:numPr>
        <w:tabs>
          <w:tab w:pos="1521" w:val="left" w:leader="none"/>
        </w:tabs>
        <w:spacing w:line="240" w:lineRule="auto" w:before="82" w:after="0"/>
        <w:ind w:left="1520" w:right="0" w:hanging="227"/>
        <w:jc w:val="left"/>
        <w:rPr>
          <w:sz w:val="19"/>
        </w:rPr>
      </w:pPr>
      <w:r>
        <w:rPr>
          <w:color w:val="231F20"/>
          <w:spacing w:val="-2"/>
          <w:w w:val="110"/>
          <w:sz w:val="19"/>
        </w:rPr>
        <w:t>Chicago</w:t>
      </w:r>
    </w:p>
    <w:p>
      <w:pPr>
        <w:pStyle w:val="ListParagraph"/>
        <w:numPr>
          <w:ilvl w:val="0"/>
          <w:numId w:val="6"/>
        </w:numPr>
        <w:tabs>
          <w:tab w:pos="1521" w:val="left" w:leader="none"/>
        </w:tabs>
        <w:spacing w:line="240" w:lineRule="auto" w:before="81" w:after="0"/>
        <w:ind w:left="1520" w:right="0" w:hanging="238"/>
        <w:jc w:val="left"/>
        <w:rPr>
          <w:sz w:val="19"/>
        </w:rPr>
      </w:pPr>
      <w:r>
        <w:rPr>
          <w:color w:val="231F20"/>
          <w:spacing w:val="-2"/>
          <w:w w:val="115"/>
          <w:sz w:val="19"/>
        </w:rPr>
        <w:t>Dartmouth</w:t>
      </w:r>
    </w:p>
    <w:p>
      <w:pPr>
        <w:pStyle w:val="ListParagraph"/>
        <w:numPr>
          <w:ilvl w:val="0"/>
          <w:numId w:val="6"/>
        </w:numPr>
        <w:tabs>
          <w:tab w:pos="1521" w:val="left" w:leader="none"/>
        </w:tabs>
        <w:spacing w:line="240" w:lineRule="auto" w:before="82" w:after="0"/>
        <w:ind w:left="1520" w:right="0" w:hanging="227"/>
        <w:jc w:val="left"/>
        <w:rPr>
          <w:sz w:val="19"/>
        </w:rPr>
      </w:pPr>
      <w:r>
        <w:rPr>
          <w:color w:val="231F20"/>
          <w:spacing w:val="-4"/>
          <w:w w:val="110"/>
          <w:sz w:val="19"/>
        </w:rPr>
        <w:t>Yale</w:t>
      </w:r>
    </w:p>
    <w:p>
      <w:pPr>
        <w:pStyle w:val="ListParagraph"/>
        <w:numPr>
          <w:ilvl w:val="0"/>
          <w:numId w:val="6"/>
        </w:numPr>
        <w:tabs>
          <w:tab w:pos="1520" w:val="left" w:leader="none"/>
        </w:tabs>
        <w:spacing w:line="240" w:lineRule="auto" w:before="81" w:after="0"/>
        <w:ind w:left="1519" w:right="0" w:hanging="233"/>
        <w:jc w:val="left"/>
        <w:rPr>
          <w:sz w:val="19"/>
        </w:rPr>
      </w:pPr>
      <w:r>
        <w:rPr>
          <w:color w:val="231F20"/>
          <w:spacing w:val="-2"/>
          <w:w w:val="110"/>
          <w:sz w:val="19"/>
        </w:rPr>
        <w:t>Pennsylvania</w:t>
      </w:r>
    </w:p>
    <w:p>
      <w:pPr>
        <w:pStyle w:val="ListParagraph"/>
        <w:numPr>
          <w:ilvl w:val="0"/>
          <w:numId w:val="6"/>
        </w:numPr>
        <w:tabs>
          <w:tab w:pos="1521" w:val="left" w:leader="none"/>
        </w:tabs>
        <w:spacing w:line="240" w:lineRule="auto" w:before="82" w:after="0"/>
        <w:ind w:left="1520" w:right="0" w:hanging="205"/>
        <w:jc w:val="left"/>
        <w:rPr>
          <w:sz w:val="19"/>
        </w:rPr>
      </w:pPr>
      <w:r>
        <w:rPr>
          <w:color w:val="231F20"/>
          <w:spacing w:val="-2"/>
          <w:w w:val="115"/>
          <w:sz w:val="19"/>
        </w:rPr>
        <w:t>Stanford</w:t>
      </w:r>
    </w:p>
    <w:p>
      <w:pPr>
        <w:pStyle w:val="ListParagraph"/>
        <w:numPr>
          <w:ilvl w:val="0"/>
          <w:numId w:val="6"/>
        </w:numPr>
        <w:tabs>
          <w:tab w:pos="1521" w:val="left" w:leader="none"/>
        </w:tabs>
        <w:spacing w:line="240" w:lineRule="auto" w:before="81" w:after="0"/>
        <w:ind w:left="1520" w:right="0" w:hanging="230"/>
        <w:jc w:val="left"/>
        <w:rPr>
          <w:sz w:val="19"/>
        </w:rPr>
      </w:pPr>
      <w:r>
        <w:rPr>
          <w:color w:val="231F20"/>
          <w:w w:val="115"/>
          <w:sz w:val="19"/>
        </w:rPr>
        <w:t>North</w:t>
      </w:r>
      <w:r>
        <w:rPr>
          <w:color w:val="231F20"/>
          <w:spacing w:val="5"/>
          <w:w w:val="115"/>
          <w:sz w:val="19"/>
        </w:rPr>
        <w:t> </w:t>
      </w:r>
      <w:r>
        <w:rPr>
          <w:color w:val="231F20"/>
          <w:spacing w:val="-2"/>
          <w:w w:val="115"/>
          <w:sz w:val="19"/>
        </w:rPr>
        <w:t>Carolina</w:t>
      </w:r>
    </w:p>
    <w:p>
      <w:pPr>
        <w:pStyle w:val="ListParagraph"/>
        <w:numPr>
          <w:ilvl w:val="0"/>
          <w:numId w:val="6"/>
        </w:numPr>
        <w:tabs>
          <w:tab w:pos="1520" w:val="left" w:leader="none"/>
        </w:tabs>
        <w:spacing w:line="240" w:lineRule="auto" w:before="82" w:after="0"/>
        <w:ind w:left="1519" w:right="0" w:hanging="231"/>
        <w:jc w:val="left"/>
        <w:rPr>
          <w:sz w:val="19"/>
        </w:rPr>
      </w:pPr>
      <w:r>
        <w:rPr>
          <w:color w:val="231F20"/>
          <w:spacing w:val="-2"/>
          <w:w w:val="115"/>
          <w:sz w:val="19"/>
        </w:rPr>
        <w:t>Northwestern</w:t>
      </w:r>
    </w:p>
    <w:p>
      <w:pPr>
        <w:pStyle w:val="ListParagraph"/>
        <w:numPr>
          <w:ilvl w:val="0"/>
          <w:numId w:val="6"/>
        </w:numPr>
        <w:tabs>
          <w:tab w:pos="1520" w:val="left" w:leader="none"/>
        </w:tabs>
        <w:spacing w:line="240" w:lineRule="auto" w:before="81" w:after="0"/>
        <w:ind w:left="1520" w:right="0" w:hanging="311"/>
        <w:jc w:val="left"/>
        <w:rPr>
          <w:sz w:val="19"/>
        </w:rPr>
      </w:pPr>
      <w:r>
        <w:rPr>
          <w:color w:val="231F20"/>
          <w:spacing w:val="-2"/>
          <w:w w:val="115"/>
          <w:sz w:val="19"/>
        </w:rPr>
        <w:t>Virginia</w:t>
      </w:r>
    </w:p>
    <w:p>
      <w:pPr>
        <w:pStyle w:val="ListParagraph"/>
        <w:numPr>
          <w:ilvl w:val="0"/>
          <w:numId w:val="6"/>
        </w:numPr>
        <w:tabs>
          <w:tab w:pos="1521" w:val="left" w:leader="none"/>
        </w:tabs>
        <w:spacing w:line="240" w:lineRule="auto" w:before="82" w:after="0"/>
        <w:ind w:left="1520" w:right="0" w:hanging="247"/>
        <w:jc w:val="left"/>
        <w:rPr>
          <w:sz w:val="19"/>
        </w:rPr>
      </w:pPr>
      <w:r>
        <w:rPr>
          <w:color w:val="231F20"/>
          <w:spacing w:val="-2"/>
          <w:w w:val="115"/>
          <w:sz w:val="19"/>
        </w:rPr>
        <w:t>Cornell</w:t>
      </w:r>
    </w:p>
    <w:p>
      <w:pPr>
        <w:pStyle w:val="ListParagraph"/>
        <w:numPr>
          <w:ilvl w:val="0"/>
          <w:numId w:val="6"/>
        </w:numPr>
        <w:tabs>
          <w:tab w:pos="1521" w:val="left" w:leader="none"/>
        </w:tabs>
        <w:spacing w:line="240" w:lineRule="auto" w:before="82" w:after="0"/>
        <w:ind w:left="1520" w:right="0" w:hanging="293"/>
        <w:jc w:val="left"/>
        <w:rPr>
          <w:sz w:val="19"/>
        </w:rPr>
      </w:pPr>
      <w:r>
        <w:rPr>
          <w:color w:val="231F20"/>
          <w:spacing w:val="-2"/>
          <w:w w:val="115"/>
          <w:sz w:val="19"/>
        </w:rPr>
        <w:t>Washington University</w:t>
      </w:r>
      <w:r>
        <w:rPr>
          <w:color w:val="231F20"/>
          <w:spacing w:val="-1"/>
          <w:w w:val="115"/>
          <w:sz w:val="19"/>
        </w:rPr>
        <w:t> </w:t>
      </w:r>
      <w:r>
        <w:rPr>
          <w:color w:val="231F20"/>
          <w:spacing w:val="-2"/>
          <w:w w:val="115"/>
          <w:sz w:val="19"/>
        </w:rPr>
        <w:t>(Olin)</w:t>
      </w:r>
    </w:p>
    <w:p>
      <w:pPr>
        <w:pStyle w:val="ListParagraph"/>
        <w:numPr>
          <w:ilvl w:val="0"/>
          <w:numId w:val="6"/>
        </w:numPr>
        <w:tabs>
          <w:tab w:pos="1520" w:val="left" w:leader="none"/>
        </w:tabs>
        <w:spacing w:line="240" w:lineRule="auto" w:before="81" w:after="0"/>
        <w:ind w:left="1519" w:right="0" w:hanging="295"/>
        <w:jc w:val="left"/>
        <w:rPr>
          <w:sz w:val="19"/>
        </w:rPr>
      </w:pPr>
      <w:r>
        <w:rPr>
          <w:color w:val="231F20"/>
          <w:spacing w:val="-5"/>
          <w:w w:val="110"/>
          <w:sz w:val="19"/>
        </w:rPr>
        <w:t>NYU</w:t>
      </w:r>
    </w:p>
    <w:p>
      <w:pPr>
        <w:pStyle w:val="ListParagraph"/>
        <w:numPr>
          <w:ilvl w:val="0"/>
          <w:numId w:val="6"/>
        </w:numPr>
        <w:tabs>
          <w:tab w:pos="1521" w:val="left" w:leader="none"/>
        </w:tabs>
        <w:spacing w:line="240" w:lineRule="auto" w:before="82" w:after="0"/>
        <w:ind w:left="1520" w:right="0" w:hanging="307"/>
        <w:jc w:val="left"/>
        <w:rPr>
          <w:sz w:val="19"/>
        </w:rPr>
      </w:pPr>
      <w:r>
        <w:rPr>
          <w:color w:val="231F20"/>
          <w:spacing w:val="-4"/>
          <w:w w:val="110"/>
          <w:sz w:val="19"/>
        </w:rPr>
        <w:t>UCLA</w:t>
      </w:r>
    </w:p>
    <w:p>
      <w:pPr>
        <w:pStyle w:val="ListParagraph"/>
        <w:numPr>
          <w:ilvl w:val="0"/>
          <w:numId w:val="6"/>
        </w:numPr>
        <w:tabs>
          <w:tab w:pos="1521" w:val="left" w:leader="none"/>
        </w:tabs>
        <w:spacing w:line="240" w:lineRule="auto" w:before="81" w:after="0"/>
        <w:ind w:left="1520" w:right="0" w:hanging="296"/>
        <w:jc w:val="left"/>
        <w:rPr>
          <w:sz w:val="19"/>
        </w:rPr>
      </w:pPr>
      <w:r>
        <w:rPr>
          <w:color w:val="231F20"/>
          <w:spacing w:val="-5"/>
          <w:w w:val="105"/>
          <w:sz w:val="19"/>
        </w:rPr>
        <w:t>MIT</w:t>
      </w:r>
    </w:p>
    <w:p>
      <w:pPr>
        <w:spacing w:before="82"/>
        <w:ind w:left="1169" w:right="0" w:firstLine="0"/>
        <w:jc w:val="left"/>
        <w:rPr>
          <w:rFonts w:ascii="Arial"/>
          <w:i/>
          <w:sz w:val="19"/>
        </w:rPr>
      </w:pPr>
      <w:r>
        <w:rPr>
          <w:rFonts w:ascii="Arial"/>
          <w:i/>
          <w:color w:val="231F20"/>
          <w:w w:val="110"/>
          <w:sz w:val="19"/>
        </w:rPr>
        <w:t>Best</w:t>
      </w:r>
      <w:r>
        <w:rPr>
          <w:rFonts w:ascii="Arial"/>
          <w:i/>
          <w:color w:val="231F20"/>
          <w:spacing w:val="11"/>
          <w:w w:val="110"/>
          <w:sz w:val="19"/>
        </w:rPr>
        <w:t> </w:t>
      </w:r>
      <w:r>
        <w:rPr>
          <w:rFonts w:ascii="Arial"/>
          <w:i/>
          <w:color w:val="231F20"/>
          <w:w w:val="110"/>
          <w:sz w:val="19"/>
        </w:rPr>
        <w:t>Schools</w:t>
      </w:r>
      <w:r>
        <w:rPr>
          <w:rFonts w:ascii="Arial"/>
          <w:i/>
          <w:color w:val="231F20"/>
          <w:spacing w:val="11"/>
          <w:w w:val="110"/>
          <w:sz w:val="19"/>
        </w:rPr>
        <w:t> </w:t>
      </w:r>
      <w:r>
        <w:rPr>
          <w:rFonts w:ascii="Arial"/>
          <w:i/>
          <w:color w:val="231F20"/>
          <w:w w:val="110"/>
          <w:sz w:val="19"/>
        </w:rPr>
        <w:t>outside</w:t>
      </w:r>
      <w:r>
        <w:rPr>
          <w:rFonts w:ascii="Arial"/>
          <w:i/>
          <w:color w:val="231F20"/>
          <w:spacing w:val="11"/>
          <w:w w:val="110"/>
          <w:sz w:val="19"/>
        </w:rPr>
        <w:t> </w:t>
      </w:r>
      <w:r>
        <w:rPr>
          <w:rFonts w:ascii="Arial"/>
          <w:i/>
          <w:color w:val="231F20"/>
          <w:w w:val="110"/>
          <w:sz w:val="19"/>
        </w:rPr>
        <w:t>the</w:t>
      </w:r>
      <w:r>
        <w:rPr>
          <w:rFonts w:ascii="Arial"/>
          <w:i/>
          <w:color w:val="231F20"/>
          <w:spacing w:val="12"/>
          <w:w w:val="110"/>
          <w:sz w:val="19"/>
        </w:rPr>
        <w:t> </w:t>
      </w:r>
      <w:r>
        <w:rPr>
          <w:rFonts w:ascii="Arial"/>
          <w:i/>
          <w:color w:val="231F20"/>
          <w:spacing w:val="-4"/>
          <w:w w:val="110"/>
          <w:sz w:val="19"/>
        </w:rPr>
        <w:t>U.S.</w:t>
      </w:r>
    </w:p>
    <w:p>
      <w:pPr>
        <w:pStyle w:val="ListParagraph"/>
        <w:numPr>
          <w:ilvl w:val="0"/>
          <w:numId w:val="7"/>
        </w:numPr>
        <w:tabs>
          <w:tab w:pos="1521" w:val="left" w:leader="none"/>
        </w:tabs>
        <w:spacing w:line="240" w:lineRule="auto" w:before="81" w:after="0"/>
        <w:ind w:left="1520" w:right="0" w:hanging="178"/>
        <w:jc w:val="left"/>
        <w:rPr>
          <w:sz w:val="19"/>
        </w:rPr>
      </w:pPr>
      <w:r>
        <w:rPr>
          <w:color w:val="231F20"/>
          <w:spacing w:val="-2"/>
          <w:w w:val="110"/>
          <w:sz w:val="19"/>
        </w:rPr>
        <w:t>INSEAD</w:t>
      </w:r>
    </w:p>
    <w:p>
      <w:pPr>
        <w:pStyle w:val="ListParagraph"/>
        <w:numPr>
          <w:ilvl w:val="0"/>
          <w:numId w:val="7"/>
        </w:numPr>
        <w:tabs>
          <w:tab w:pos="1521" w:val="left" w:leader="none"/>
        </w:tabs>
        <w:spacing w:line="240" w:lineRule="auto" w:before="82" w:after="0"/>
        <w:ind w:left="1520" w:right="0" w:hanging="224"/>
        <w:jc w:val="left"/>
        <w:rPr>
          <w:sz w:val="19"/>
        </w:rPr>
      </w:pPr>
      <w:r>
        <w:rPr>
          <w:color w:val="231F20"/>
          <w:spacing w:val="-5"/>
          <w:w w:val="105"/>
          <w:sz w:val="19"/>
        </w:rPr>
        <w:t>IMD</w:t>
      </w:r>
    </w:p>
    <w:p>
      <w:pPr>
        <w:pStyle w:val="ListParagraph"/>
        <w:numPr>
          <w:ilvl w:val="0"/>
          <w:numId w:val="7"/>
        </w:numPr>
        <w:tabs>
          <w:tab w:pos="1521" w:val="left" w:leader="none"/>
        </w:tabs>
        <w:spacing w:line="240" w:lineRule="auto" w:before="81" w:after="0"/>
        <w:ind w:left="1520" w:right="0" w:hanging="227"/>
        <w:jc w:val="left"/>
        <w:rPr>
          <w:sz w:val="19"/>
        </w:rPr>
      </w:pPr>
      <w:r>
        <w:rPr>
          <w:color w:val="231F20"/>
          <w:w w:val="115"/>
          <w:sz w:val="19"/>
        </w:rPr>
        <w:t>Cambridge</w:t>
      </w:r>
      <w:r>
        <w:rPr>
          <w:color w:val="231F20"/>
          <w:spacing w:val="-14"/>
          <w:w w:val="115"/>
          <w:sz w:val="19"/>
        </w:rPr>
        <w:t> </w:t>
      </w:r>
      <w:r>
        <w:rPr>
          <w:color w:val="231F20"/>
          <w:w w:val="115"/>
          <w:sz w:val="19"/>
        </w:rPr>
        <w:t>(UK)</w:t>
      </w:r>
      <w:r>
        <w:rPr>
          <w:color w:val="231F20"/>
          <w:spacing w:val="-14"/>
          <w:w w:val="115"/>
          <w:sz w:val="19"/>
        </w:rPr>
        <w:t> </w:t>
      </w:r>
      <w:r>
        <w:rPr>
          <w:color w:val="231F20"/>
          <w:spacing w:val="-2"/>
          <w:w w:val="115"/>
          <w:sz w:val="19"/>
        </w:rPr>
        <w:t>(Judge)</w:t>
      </w:r>
    </w:p>
    <w:p>
      <w:pPr>
        <w:pStyle w:val="ListParagraph"/>
        <w:numPr>
          <w:ilvl w:val="0"/>
          <w:numId w:val="7"/>
        </w:numPr>
        <w:tabs>
          <w:tab w:pos="1520" w:val="left" w:leader="none"/>
        </w:tabs>
        <w:spacing w:line="240" w:lineRule="auto" w:before="82" w:after="0"/>
        <w:ind w:left="1519" w:right="0" w:hanging="237"/>
        <w:jc w:val="left"/>
        <w:rPr>
          <w:sz w:val="19"/>
        </w:rPr>
      </w:pPr>
      <w:r>
        <w:rPr>
          <w:color w:val="231F20"/>
          <w:w w:val="115"/>
          <w:sz w:val="19"/>
        </w:rPr>
        <w:t>Oxford</w:t>
      </w:r>
      <w:r>
        <w:rPr>
          <w:color w:val="231F20"/>
          <w:spacing w:val="-7"/>
          <w:w w:val="115"/>
          <w:sz w:val="19"/>
        </w:rPr>
        <w:t> </w:t>
      </w:r>
      <w:r>
        <w:rPr>
          <w:color w:val="231F20"/>
          <w:w w:val="115"/>
          <w:sz w:val="19"/>
        </w:rPr>
        <w:t>(UK)</w:t>
      </w:r>
      <w:r>
        <w:rPr>
          <w:color w:val="231F20"/>
          <w:spacing w:val="-7"/>
          <w:w w:val="115"/>
          <w:sz w:val="19"/>
        </w:rPr>
        <w:t> </w:t>
      </w:r>
      <w:r>
        <w:rPr>
          <w:color w:val="231F20"/>
          <w:spacing w:val="-2"/>
          <w:w w:val="115"/>
          <w:sz w:val="19"/>
        </w:rPr>
        <w:t>(Said)</w:t>
      </w:r>
    </w:p>
    <w:p>
      <w:pPr>
        <w:pStyle w:val="ListParagraph"/>
        <w:numPr>
          <w:ilvl w:val="0"/>
          <w:numId w:val="7"/>
        </w:numPr>
        <w:tabs>
          <w:tab w:pos="1521" w:val="left" w:leader="none"/>
        </w:tabs>
        <w:spacing w:line="240" w:lineRule="auto" w:before="81" w:after="0"/>
        <w:ind w:left="1520" w:right="0" w:hanging="227"/>
        <w:jc w:val="left"/>
        <w:rPr>
          <w:sz w:val="19"/>
        </w:rPr>
      </w:pPr>
      <w:r>
        <w:rPr>
          <w:color w:val="231F20"/>
          <w:w w:val="115"/>
          <w:sz w:val="19"/>
        </w:rPr>
        <w:t>London</w:t>
      </w:r>
      <w:r>
        <w:rPr>
          <w:color w:val="231F20"/>
          <w:spacing w:val="-8"/>
          <w:w w:val="115"/>
          <w:sz w:val="19"/>
        </w:rPr>
        <w:t> </w:t>
      </w:r>
      <w:r>
        <w:rPr>
          <w:color w:val="231F20"/>
          <w:spacing w:val="-4"/>
          <w:w w:val="115"/>
          <w:sz w:val="19"/>
        </w:rPr>
        <w:t>(UK)</w:t>
      </w:r>
    </w:p>
    <w:p>
      <w:pPr>
        <w:pStyle w:val="ListParagraph"/>
        <w:numPr>
          <w:ilvl w:val="0"/>
          <w:numId w:val="7"/>
        </w:numPr>
        <w:tabs>
          <w:tab w:pos="1521" w:val="left" w:leader="none"/>
        </w:tabs>
        <w:spacing w:line="240" w:lineRule="auto" w:before="82" w:after="0"/>
        <w:ind w:left="1520" w:right="0" w:hanging="234"/>
        <w:jc w:val="left"/>
        <w:rPr>
          <w:sz w:val="19"/>
        </w:rPr>
      </w:pPr>
      <w:r>
        <w:rPr>
          <w:color w:val="231F20"/>
          <w:w w:val="110"/>
          <w:sz w:val="19"/>
        </w:rPr>
        <w:t>SDA Bocconi </w:t>
      </w:r>
      <w:r>
        <w:rPr>
          <w:color w:val="231F20"/>
          <w:spacing w:val="-2"/>
          <w:w w:val="110"/>
          <w:sz w:val="19"/>
        </w:rPr>
        <w:t>(Italy)</w:t>
      </w:r>
    </w:p>
    <w:p>
      <w:pPr>
        <w:pStyle w:val="ListParagraph"/>
        <w:numPr>
          <w:ilvl w:val="0"/>
          <w:numId w:val="7"/>
        </w:numPr>
        <w:tabs>
          <w:tab w:pos="1520" w:val="left" w:leader="none"/>
        </w:tabs>
        <w:spacing w:line="240" w:lineRule="auto" w:before="81" w:after="0"/>
        <w:ind w:left="1519" w:right="0" w:hanging="204"/>
        <w:jc w:val="left"/>
        <w:rPr>
          <w:sz w:val="19"/>
        </w:rPr>
      </w:pPr>
      <w:r>
        <w:rPr>
          <w:color w:val="231F20"/>
          <w:spacing w:val="-7"/>
          <w:w w:val="115"/>
          <w:sz w:val="19"/>
        </w:rPr>
        <w:t>York</w:t>
      </w:r>
      <w:r>
        <w:rPr>
          <w:color w:val="231F20"/>
          <w:spacing w:val="-3"/>
          <w:w w:val="115"/>
          <w:sz w:val="19"/>
        </w:rPr>
        <w:t> </w:t>
      </w:r>
      <w:r>
        <w:rPr>
          <w:color w:val="231F20"/>
          <w:spacing w:val="-2"/>
          <w:w w:val="115"/>
          <w:sz w:val="19"/>
        </w:rPr>
        <w:t>(Canada)</w:t>
      </w:r>
    </w:p>
    <w:p>
      <w:pPr>
        <w:pStyle w:val="ListParagraph"/>
        <w:numPr>
          <w:ilvl w:val="0"/>
          <w:numId w:val="7"/>
        </w:numPr>
        <w:tabs>
          <w:tab w:pos="1521" w:val="left" w:leader="none"/>
        </w:tabs>
        <w:spacing w:line="240" w:lineRule="auto" w:before="82" w:after="0"/>
        <w:ind w:left="1520" w:right="0" w:hanging="230"/>
        <w:jc w:val="left"/>
        <w:rPr>
          <w:sz w:val="19"/>
        </w:rPr>
      </w:pPr>
      <w:r>
        <w:rPr>
          <w:color w:val="231F20"/>
          <w:sz w:val="19"/>
        </w:rPr>
        <w:t>IESE</w:t>
      </w:r>
      <w:r>
        <w:rPr>
          <w:color w:val="231F20"/>
          <w:spacing w:val="-2"/>
          <w:w w:val="110"/>
          <w:sz w:val="19"/>
        </w:rPr>
        <w:t> (Spain)</w:t>
      </w:r>
    </w:p>
    <w:p>
      <w:pPr>
        <w:pStyle w:val="ListParagraph"/>
        <w:numPr>
          <w:ilvl w:val="0"/>
          <w:numId w:val="7"/>
        </w:numPr>
        <w:tabs>
          <w:tab w:pos="1520" w:val="left" w:leader="none"/>
        </w:tabs>
        <w:spacing w:line="240" w:lineRule="auto" w:before="81" w:after="0"/>
        <w:ind w:left="1520" w:right="0" w:hanging="231"/>
        <w:jc w:val="left"/>
        <w:rPr>
          <w:sz w:val="19"/>
        </w:rPr>
      </w:pPr>
      <w:r>
        <w:rPr>
          <w:color w:val="231F20"/>
          <w:w w:val="110"/>
          <w:sz w:val="19"/>
        </w:rPr>
        <w:t>Australian</w:t>
      </w:r>
      <w:r>
        <w:rPr>
          <w:color w:val="231F20"/>
          <w:spacing w:val="-11"/>
          <w:w w:val="110"/>
          <w:sz w:val="19"/>
        </w:rPr>
        <w:t> </w:t>
      </w:r>
      <w:r>
        <w:rPr>
          <w:color w:val="231F20"/>
          <w:w w:val="110"/>
          <w:sz w:val="19"/>
        </w:rPr>
        <w:t>GSOM</w:t>
      </w:r>
      <w:r>
        <w:rPr>
          <w:color w:val="231F20"/>
          <w:spacing w:val="-11"/>
          <w:w w:val="110"/>
          <w:sz w:val="19"/>
        </w:rPr>
        <w:t> </w:t>
      </w:r>
      <w:r>
        <w:rPr>
          <w:color w:val="231F20"/>
          <w:spacing w:val="-2"/>
          <w:w w:val="110"/>
          <w:sz w:val="19"/>
        </w:rPr>
        <w:t>(Australia)</w:t>
      </w:r>
    </w:p>
    <w:p>
      <w:pPr>
        <w:pStyle w:val="ListParagraph"/>
        <w:numPr>
          <w:ilvl w:val="0"/>
          <w:numId w:val="7"/>
        </w:numPr>
        <w:tabs>
          <w:tab w:pos="1520" w:val="left" w:leader="none"/>
        </w:tabs>
        <w:spacing w:line="240" w:lineRule="auto" w:before="82" w:after="0"/>
        <w:ind w:left="1520" w:right="0" w:hanging="311"/>
        <w:jc w:val="left"/>
        <w:rPr>
          <w:sz w:val="19"/>
        </w:rPr>
      </w:pPr>
      <w:r>
        <w:rPr>
          <w:color w:val="231F20"/>
          <w:w w:val="105"/>
          <w:sz w:val="19"/>
        </w:rPr>
        <w:t>Queen’s</w:t>
      </w:r>
      <w:r>
        <w:rPr>
          <w:color w:val="231F20"/>
          <w:spacing w:val="14"/>
          <w:w w:val="110"/>
          <w:sz w:val="19"/>
        </w:rPr>
        <w:t> </w:t>
      </w:r>
      <w:r>
        <w:rPr>
          <w:color w:val="231F20"/>
          <w:spacing w:val="-2"/>
          <w:w w:val="110"/>
          <w:sz w:val="19"/>
        </w:rPr>
        <w:t>(Canada)</w:t>
      </w:r>
    </w:p>
    <w:p>
      <w:pPr>
        <w:spacing w:after="0" w:line="240" w:lineRule="auto"/>
        <w:jc w:val="left"/>
        <w:rPr>
          <w:sz w:val="19"/>
        </w:rPr>
        <w:sectPr>
          <w:pgSz w:w="8640" w:h="12960"/>
          <w:pgMar w:header="732" w:footer="0" w:top="920" w:bottom="280" w:left="340" w:right="500"/>
        </w:sectPr>
      </w:pPr>
    </w:p>
    <w:p>
      <w:pPr>
        <w:pStyle w:val="BodyText"/>
        <w:spacing w:before="8"/>
        <w:rPr>
          <w:rFonts w:ascii="Arial"/>
          <w:sz w:val="17"/>
        </w:rPr>
      </w:pPr>
    </w:p>
    <w:p>
      <w:pPr>
        <w:spacing w:before="108"/>
        <w:ind w:left="1260" w:right="0" w:firstLine="0"/>
        <w:jc w:val="left"/>
        <w:rPr>
          <w:i/>
          <w:sz w:val="21"/>
        </w:rPr>
      </w:pPr>
      <w:r>
        <w:rPr>
          <w:b/>
          <w:i/>
          <w:color w:val="231F20"/>
          <w:sz w:val="21"/>
        </w:rPr>
        <w:t>Wall</w:t>
      </w:r>
      <w:r>
        <w:rPr>
          <w:b/>
          <w:i/>
          <w:color w:val="231F20"/>
          <w:spacing w:val="19"/>
          <w:sz w:val="21"/>
        </w:rPr>
        <w:t> </w:t>
      </w:r>
      <w:r>
        <w:rPr>
          <w:b/>
          <w:i/>
          <w:color w:val="231F20"/>
          <w:sz w:val="21"/>
        </w:rPr>
        <w:t>Street</w:t>
      </w:r>
      <w:r>
        <w:rPr>
          <w:b/>
          <w:i/>
          <w:color w:val="231F20"/>
          <w:spacing w:val="20"/>
          <w:sz w:val="21"/>
        </w:rPr>
        <w:t> </w:t>
      </w:r>
      <w:r>
        <w:rPr>
          <w:b/>
          <w:i/>
          <w:color w:val="231F20"/>
          <w:sz w:val="21"/>
        </w:rPr>
        <w:t>Journal,</w:t>
      </w:r>
      <w:r>
        <w:rPr>
          <w:b/>
          <w:i/>
          <w:color w:val="231F20"/>
          <w:spacing w:val="19"/>
          <w:sz w:val="21"/>
        </w:rPr>
        <w:t> </w:t>
      </w:r>
      <w:r>
        <w:rPr>
          <w:i/>
          <w:color w:val="231F20"/>
          <w:sz w:val="21"/>
        </w:rPr>
        <w:t>September</w:t>
      </w:r>
      <w:r>
        <w:rPr>
          <w:i/>
          <w:color w:val="231F20"/>
          <w:spacing w:val="20"/>
          <w:sz w:val="21"/>
        </w:rPr>
        <w:t> </w:t>
      </w:r>
      <w:r>
        <w:rPr>
          <w:i/>
          <w:color w:val="231F20"/>
          <w:spacing w:val="-4"/>
          <w:sz w:val="21"/>
        </w:rPr>
        <w:t>2004</w:t>
      </w:r>
    </w:p>
    <w:p>
      <w:pPr>
        <w:spacing w:before="113"/>
        <w:ind w:left="1260" w:right="0" w:firstLine="0"/>
        <w:jc w:val="left"/>
        <w:rPr>
          <w:rFonts w:ascii="Arial"/>
          <w:sz w:val="15"/>
        </w:rPr>
      </w:pPr>
      <w:r>
        <w:rPr>
          <w:rFonts w:ascii="Arial"/>
          <w:color w:val="231F20"/>
          <w:w w:val="115"/>
          <w:sz w:val="15"/>
        </w:rPr>
        <w:t>Based</w:t>
      </w:r>
      <w:r>
        <w:rPr>
          <w:rFonts w:ascii="Arial"/>
          <w:color w:val="231F20"/>
          <w:spacing w:val="-6"/>
          <w:w w:val="115"/>
          <w:sz w:val="15"/>
        </w:rPr>
        <w:t> </w:t>
      </w:r>
      <w:r>
        <w:rPr>
          <w:rFonts w:ascii="Arial"/>
          <w:color w:val="231F20"/>
          <w:w w:val="115"/>
          <w:sz w:val="15"/>
        </w:rPr>
        <w:t>on</w:t>
      </w:r>
      <w:r>
        <w:rPr>
          <w:rFonts w:ascii="Arial"/>
          <w:color w:val="231F20"/>
          <w:spacing w:val="-5"/>
          <w:w w:val="115"/>
          <w:sz w:val="15"/>
        </w:rPr>
        <w:t> </w:t>
      </w:r>
      <w:r>
        <w:rPr>
          <w:rFonts w:ascii="Arial"/>
          <w:color w:val="231F20"/>
          <w:w w:val="115"/>
          <w:sz w:val="15"/>
        </w:rPr>
        <w:t>recruiter</w:t>
      </w:r>
      <w:r>
        <w:rPr>
          <w:rFonts w:ascii="Arial"/>
          <w:color w:val="231F20"/>
          <w:spacing w:val="-5"/>
          <w:w w:val="115"/>
          <w:sz w:val="15"/>
        </w:rPr>
        <w:t> </w:t>
      </w:r>
      <w:r>
        <w:rPr>
          <w:rFonts w:ascii="Arial"/>
          <w:color w:val="231F20"/>
          <w:spacing w:val="-2"/>
          <w:w w:val="115"/>
          <w:sz w:val="15"/>
        </w:rPr>
        <w:t>surveys</w:t>
      </w:r>
    </w:p>
    <w:p>
      <w:pPr>
        <w:spacing w:before="90"/>
        <w:ind w:left="1260" w:right="0" w:firstLine="0"/>
        <w:jc w:val="left"/>
        <w:rPr>
          <w:rFonts w:ascii="Arial"/>
          <w:i/>
          <w:sz w:val="19"/>
        </w:rPr>
      </w:pPr>
      <w:r>
        <w:rPr>
          <w:rFonts w:ascii="Arial"/>
          <w:i/>
          <w:color w:val="231F20"/>
          <w:w w:val="115"/>
          <w:sz w:val="19"/>
        </w:rPr>
        <w:t>Top</w:t>
      </w:r>
      <w:r>
        <w:rPr>
          <w:rFonts w:ascii="Arial"/>
          <w:i/>
          <w:color w:val="231F20"/>
          <w:spacing w:val="-15"/>
          <w:w w:val="115"/>
          <w:sz w:val="19"/>
        </w:rPr>
        <w:t> </w:t>
      </w:r>
      <w:r>
        <w:rPr>
          <w:rFonts w:ascii="Arial"/>
          <w:i/>
          <w:color w:val="231F20"/>
          <w:w w:val="115"/>
          <w:sz w:val="19"/>
        </w:rPr>
        <w:t>North</w:t>
      </w:r>
      <w:r>
        <w:rPr>
          <w:rFonts w:ascii="Arial"/>
          <w:i/>
          <w:color w:val="231F20"/>
          <w:spacing w:val="-15"/>
          <w:w w:val="115"/>
          <w:sz w:val="19"/>
        </w:rPr>
        <w:t> </w:t>
      </w:r>
      <w:r>
        <w:rPr>
          <w:rFonts w:ascii="Arial"/>
          <w:i/>
          <w:color w:val="231F20"/>
          <w:w w:val="115"/>
          <w:sz w:val="19"/>
        </w:rPr>
        <w:t>American</w:t>
      </w:r>
      <w:r>
        <w:rPr>
          <w:rFonts w:ascii="Arial"/>
          <w:i/>
          <w:color w:val="231F20"/>
          <w:spacing w:val="-15"/>
          <w:w w:val="115"/>
          <w:sz w:val="19"/>
        </w:rPr>
        <w:t> </w:t>
      </w:r>
      <w:r>
        <w:rPr>
          <w:rFonts w:ascii="Arial"/>
          <w:i/>
          <w:color w:val="231F20"/>
          <w:spacing w:val="-2"/>
          <w:w w:val="115"/>
          <w:sz w:val="19"/>
        </w:rPr>
        <w:t>Schools</w:t>
      </w:r>
    </w:p>
    <w:p>
      <w:pPr>
        <w:pStyle w:val="ListParagraph"/>
        <w:numPr>
          <w:ilvl w:val="1"/>
          <w:numId w:val="7"/>
        </w:numPr>
        <w:tabs>
          <w:tab w:pos="1611" w:val="left" w:leader="none"/>
        </w:tabs>
        <w:spacing w:line="240" w:lineRule="auto" w:before="82" w:after="0"/>
        <w:ind w:left="1610" w:right="0" w:hanging="178"/>
        <w:jc w:val="left"/>
        <w:rPr>
          <w:sz w:val="19"/>
        </w:rPr>
      </w:pPr>
      <w:r>
        <w:rPr>
          <w:color w:val="231F20"/>
          <w:spacing w:val="-2"/>
          <w:w w:val="110"/>
          <w:sz w:val="19"/>
        </w:rPr>
        <w:t>Michigan</w:t>
      </w:r>
    </w:p>
    <w:p>
      <w:pPr>
        <w:pStyle w:val="ListParagraph"/>
        <w:numPr>
          <w:ilvl w:val="1"/>
          <w:numId w:val="7"/>
        </w:numPr>
        <w:tabs>
          <w:tab w:pos="1611" w:val="left" w:leader="none"/>
        </w:tabs>
        <w:spacing w:line="240" w:lineRule="auto" w:before="81" w:after="0"/>
        <w:ind w:left="1610" w:right="0" w:hanging="224"/>
        <w:jc w:val="left"/>
        <w:rPr>
          <w:sz w:val="19"/>
        </w:rPr>
      </w:pPr>
      <w:r>
        <w:rPr>
          <w:color w:val="231F20"/>
          <w:w w:val="110"/>
          <w:sz w:val="19"/>
        </w:rPr>
        <w:t>Carnegie</w:t>
      </w:r>
      <w:r>
        <w:rPr>
          <w:color w:val="231F20"/>
          <w:spacing w:val="1"/>
          <w:w w:val="110"/>
          <w:sz w:val="19"/>
        </w:rPr>
        <w:t> </w:t>
      </w:r>
      <w:r>
        <w:rPr>
          <w:color w:val="231F20"/>
          <w:spacing w:val="-4"/>
          <w:w w:val="110"/>
          <w:sz w:val="19"/>
        </w:rPr>
        <w:t>Melon</w:t>
      </w:r>
    </w:p>
    <w:p>
      <w:pPr>
        <w:pStyle w:val="ListParagraph"/>
        <w:numPr>
          <w:ilvl w:val="1"/>
          <w:numId w:val="7"/>
        </w:numPr>
        <w:tabs>
          <w:tab w:pos="1611" w:val="left" w:leader="none"/>
        </w:tabs>
        <w:spacing w:line="240" w:lineRule="auto" w:before="82" w:after="0"/>
        <w:ind w:left="1610" w:right="0" w:hanging="227"/>
        <w:jc w:val="left"/>
        <w:rPr>
          <w:sz w:val="19"/>
        </w:rPr>
      </w:pPr>
      <w:r>
        <w:rPr>
          <w:color w:val="231F20"/>
          <w:spacing w:val="-2"/>
          <w:w w:val="115"/>
          <w:sz w:val="19"/>
        </w:rPr>
        <w:t>Dartmouth</w:t>
      </w:r>
    </w:p>
    <w:p>
      <w:pPr>
        <w:pStyle w:val="ListParagraph"/>
        <w:numPr>
          <w:ilvl w:val="1"/>
          <w:numId w:val="7"/>
        </w:numPr>
        <w:tabs>
          <w:tab w:pos="1610" w:val="left" w:leader="none"/>
        </w:tabs>
        <w:spacing w:line="240" w:lineRule="auto" w:before="81" w:after="0"/>
        <w:ind w:left="1609" w:right="0" w:hanging="237"/>
        <w:jc w:val="left"/>
        <w:rPr>
          <w:sz w:val="19"/>
        </w:rPr>
      </w:pPr>
      <w:r>
        <w:rPr>
          <w:color w:val="231F20"/>
          <w:spacing w:val="-2"/>
          <w:w w:val="110"/>
          <w:sz w:val="19"/>
        </w:rPr>
        <w:t>Pennsylvania</w:t>
      </w:r>
    </w:p>
    <w:p>
      <w:pPr>
        <w:pStyle w:val="ListParagraph"/>
        <w:numPr>
          <w:ilvl w:val="1"/>
          <w:numId w:val="7"/>
        </w:numPr>
        <w:tabs>
          <w:tab w:pos="1611" w:val="left" w:leader="none"/>
        </w:tabs>
        <w:spacing w:line="240" w:lineRule="auto" w:before="82" w:after="0"/>
        <w:ind w:left="1610" w:right="0" w:hanging="227"/>
        <w:jc w:val="left"/>
        <w:rPr>
          <w:sz w:val="19"/>
        </w:rPr>
      </w:pPr>
      <w:r>
        <w:rPr>
          <w:color w:val="231F20"/>
          <w:spacing w:val="-2"/>
          <w:w w:val="110"/>
          <w:sz w:val="19"/>
        </w:rPr>
        <w:t>Chicago</w:t>
      </w:r>
    </w:p>
    <w:p>
      <w:pPr>
        <w:pStyle w:val="ListParagraph"/>
        <w:numPr>
          <w:ilvl w:val="1"/>
          <w:numId w:val="7"/>
        </w:numPr>
        <w:tabs>
          <w:tab w:pos="1610" w:val="left" w:leader="none"/>
        </w:tabs>
        <w:spacing w:line="240" w:lineRule="auto" w:before="81" w:after="0"/>
        <w:ind w:left="1610" w:right="0" w:hanging="233"/>
        <w:jc w:val="left"/>
        <w:rPr>
          <w:sz w:val="19"/>
        </w:rPr>
      </w:pPr>
      <w:r>
        <w:rPr>
          <w:color w:val="231F20"/>
          <w:spacing w:val="-4"/>
          <w:w w:val="110"/>
          <w:sz w:val="19"/>
        </w:rPr>
        <w:t>Yale</w:t>
      </w:r>
    </w:p>
    <w:p>
      <w:pPr>
        <w:pStyle w:val="ListParagraph"/>
        <w:numPr>
          <w:ilvl w:val="1"/>
          <w:numId w:val="7"/>
        </w:numPr>
        <w:tabs>
          <w:tab w:pos="1610" w:val="left" w:leader="none"/>
        </w:tabs>
        <w:spacing w:line="240" w:lineRule="auto" w:before="82" w:after="0"/>
        <w:ind w:left="1609" w:right="0" w:hanging="204"/>
        <w:jc w:val="left"/>
        <w:rPr>
          <w:sz w:val="19"/>
        </w:rPr>
      </w:pPr>
      <w:r>
        <w:rPr>
          <w:color w:val="231F20"/>
          <w:spacing w:val="-2"/>
          <w:w w:val="115"/>
          <w:sz w:val="19"/>
        </w:rPr>
        <w:t>Northwestern</w:t>
      </w:r>
    </w:p>
    <w:p>
      <w:pPr>
        <w:pStyle w:val="ListParagraph"/>
        <w:numPr>
          <w:ilvl w:val="1"/>
          <w:numId w:val="7"/>
        </w:numPr>
        <w:tabs>
          <w:tab w:pos="1611" w:val="left" w:leader="none"/>
        </w:tabs>
        <w:spacing w:line="240" w:lineRule="auto" w:before="81" w:after="0"/>
        <w:ind w:left="1610" w:right="0" w:hanging="230"/>
        <w:jc w:val="left"/>
        <w:rPr>
          <w:sz w:val="19"/>
        </w:rPr>
      </w:pPr>
      <w:r>
        <w:rPr>
          <w:color w:val="231F20"/>
          <w:spacing w:val="-2"/>
          <w:w w:val="115"/>
          <w:sz w:val="19"/>
        </w:rPr>
        <w:t>Columbia</w:t>
      </w:r>
    </w:p>
    <w:p>
      <w:pPr>
        <w:pStyle w:val="ListParagraph"/>
        <w:numPr>
          <w:ilvl w:val="1"/>
          <w:numId w:val="7"/>
        </w:numPr>
        <w:tabs>
          <w:tab w:pos="1610" w:val="left" w:leader="none"/>
        </w:tabs>
        <w:spacing w:line="240" w:lineRule="auto" w:before="82" w:after="0"/>
        <w:ind w:left="1609" w:right="0" w:hanging="231"/>
        <w:jc w:val="left"/>
        <w:rPr>
          <w:sz w:val="19"/>
        </w:rPr>
      </w:pPr>
      <w:r>
        <w:rPr>
          <w:color w:val="231F20"/>
          <w:spacing w:val="-5"/>
          <w:w w:val="105"/>
          <w:sz w:val="19"/>
        </w:rPr>
        <w:t>MIT</w:t>
      </w:r>
    </w:p>
    <w:p>
      <w:pPr>
        <w:pStyle w:val="ListParagraph"/>
        <w:numPr>
          <w:ilvl w:val="1"/>
          <w:numId w:val="7"/>
        </w:numPr>
        <w:tabs>
          <w:tab w:pos="1610" w:val="left" w:leader="none"/>
        </w:tabs>
        <w:spacing w:line="240" w:lineRule="auto" w:before="81" w:after="0"/>
        <w:ind w:left="1610" w:right="0" w:hanging="311"/>
        <w:jc w:val="left"/>
        <w:rPr>
          <w:sz w:val="19"/>
        </w:rPr>
      </w:pPr>
      <w:r>
        <w:rPr>
          <w:color w:val="231F20"/>
          <w:spacing w:val="-2"/>
          <w:w w:val="115"/>
          <w:sz w:val="19"/>
        </w:rPr>
        <w:t>Stanford</w:t>
      </w:r>
    </w:p>
    <w:p>
      <w:pPr>
        <w:pStyle w:val="ListParagraph"/>
        <w:numPr>
          <w:ilvl w:val="1"/>
          <w:numId w:val="7"/>
        </w:numPr>
        <w:tabs>
          <w:tab w:pos="1611" w:val="left" w:leader="none"/>
        </w:tabs>
        <w:spacing w:line="240" w:lineRule="auto" w:before="82" w:after="0"/>
        <w:ind w:left="1610" w:right="0" w:hanging="247"/>
        <w:jc w:val="left"/>
        <w:rPr>
          <w:sz w:val="19"/>
        </w:rPr>
      </w:pPr>
      <w:r>
        <w:rPr>
          <w:color w:val="231F20"/>
          <w:w w:val="115"/>
          <w:sz w:val="19"/>
        </w:rPr>
        <w:t>North</w:t>
      </w:r>
      <w:r>
        <w:rPr>
          <w:color w:val="231F20"/>
          <w:spacing w:val="5"/>
          <w:w w:val="115"/>
          <w:sz w:val="19"/>
        </w:rPr>
        <w:t> </w:t>
      </w:r>
      <w:r>
        <w:rPr>
          <w:color w:val="231F20"/>
          <w:spacing w:val="-2"/>
          <w:w w:val="115"/>
          <w:sz w:val="19"/>
        </w:rPr>
        <w:t>Carolina</w:t>
      </w:r>
    </w:p>
    <w:p>
      <w:pPr>
        <w:pStyle w:val="ListParagraph"/>
        <w:numPr>
          <w:ilvl w:val="1"/>
          <w:numId w:val="7"/>
        </w:numPr>
        <w:tabs>
          <w:tab w:pos="1611" w:val="left" w:leader="none"/>
        </w:tabs>
        <w:spacing w:line="240" w:lineRule="auto" w:before="81" w:after="0"/>
        <w:ind w:left="1610" w:right="0" w:hanging="293"/>
        <w:jc w:val="left"/>
        <w:rPr>
          <w:sz w:val="19"/>
        </w:rPr>
      </w:pPr>
      <w:r>
        <w:rPr>
          <w:color w:val="231F20"/>
          <w:spacing w:val="-2"/>
          <w:w w:val="115"/>
          <w:sz w:val="19"/>
        </w:rPr>
        <w:t>Virginia</w:t>
      </w:r>
    </w:p>
    <w:p>
      <w:pPr>
        <w:pStyle w:val="ListParagraph"/>
        <w:numPr>
          <w:ilvl w:val="1"/>
          <w:numId w:val="7"/>
        </w:numPr>
        <w:tabs>
          <w:tab w:pos="1611" w:val="left" w:leader="none"/>
        </w:tabs>
        <w:spacing w:line="240" w:lineRule="auto" w:before="82" w:after="0"/>
        <w:ind w:left="1610" w:right="0" w:hanging="296"/>
        <w:jc w:val="left"/>
        <w:rPr>
          <w:sz w:val="19"/>
        </w:rPr>
      </w:pPr>
      <w:r>
        <w:rPr>
          <w:color w:val="231F20"/>
          <w:spacing w:val="-2"/>
          <w:w w:val="115"/>
          <w:sz w:val="19"/>
        </w:rPr>
        <w:t>Harvard</w:t>
      </w:r>
    </w:p>
    <w:p>
      <w:pPr>
        <w:pStyle w:val="ListParagraph"/>
        <w:numPr>
          <w:ilvl w:val="1"/>
          <w:numId w:val="7"/>
        </w:numPr>
        <w:tabs>
          <w:tab w:pos="1611" w:val="left" w:leader="none"/>
        </w:tabs>
        <w:spacing w:line="240" w:lineRule="auto" w:before="81" w:after="0"/>
        <w:ind w:left="1610" w:right="0" w:hanging="307"/>
        <w:jc w:val="left"/>
        <w:rPr>
          <w:sz w:val="19"/>
        </w:rPr>
      </w:pPr>
      <w:r>
        <w:rPr>
          <w:color w:val="231F20"/>
          <w:spacing w:val="-4"/>
          <w:w w:val="110"/>
          <w:sz w:val="19"/>
        </w:rPr>
        <w:t>Duke</w:t>
      </w:r>
    </w:p>
    <w:p>
      <w:pPr>
        <w:pStyle w:val="ListParagraph"/>
        <w:numPr>
          <w:ilvl w:val="1"/>
          <w:numId w:val="7"/>
        </w:numPr>
        <w:tabs>
          <w:tab w:pos="1611" w:val="left" w:leader="none"/>
        </w:tabs>
        <w:spacing w:line="240" w:lineRule="auto" w:before="82" w:after="0"/>
        <w:ind w:left="1610" w:right="0" w:hanging="296"/>
        <w:jc w:val="left"/>
        <w:rPr>
          <w:sz w:val="19"/>
        </w:rPr>
      </w:pPr>
      <w:r>
        <w:rPr>
          <w:color w:val="231F20"/>
          <w:spacing w:val="-2"/>
          <w:w w:val="115"/>
          <w:sz w:val="19"/>
        </w:rPr>
        <w:t>Berkeley</w:t>
      </w:r>
    </w:p>
    <w:p>
      <w:pPr>
        <w:spacing w:before="81"/>
        <w:ind w:left="1259" w:right="0" w:firstLine="0"/>
        <w:jc w:val="left"/>
        <w:rPr>
          <w:rFonts w:ascii="Arial"/>
          <w:i/>
          <w:sz w:val="19"/>
        </w:rPr>
      </w:pPr>
      <w:r>
        <w:rPr>
          <w:rFonts w:ascii="Arial"/>
          <w:i/>
          <w:color w:val="231F20"/>
          <w:w w:val="110"/>
          <w:sz w:val="19"/>
        </w:rPr>
        <w:t>Top</w:t>
      </w:r>
      <w:r>
        <w:rPr>
          <w:rFonts w:ascii="Arial"/>
          <w:i/>
          <w:color w:val="231F20"/>
          <w:spacing w:val="16"/>
          <w:w w:val="110"/>
          <w:sz w:val="19"/>
        </w:rPr>
        <w:t> </w:t>
      </w:r>
      <w:r>
        <w:rPr>
          <w:rFonts w:ascii="Arial"/>
          <w:i/>
          <w:color w:val="231F20"/>
          <w:w w:val="110"/>
          <w:sz w:val="19"/>
        </w:rPr>
        <w:t>International</w:t>
      </w:r>
      <w:r>
        <w:rPr>
          <w:rFonts w:ascii="Arial"/>
          <w:i/>
          <w:color w:val="231F20"/>
          <w:spacing w:val="17"/>
          <w:w w:val="110"/>
          <w:sz w:val="19"/>
        </w:rPr>
        <w:t> </w:t>
      </w:r>
      <w:r>
        <w:rPr>
          <w:rFonts w:ascii="Arial"/>
          <w:i/>
          <w:color w:val="231F20"/>
          <w:spacing w:val="-2"/>
          <w:w w:val="110"/>
          <w:sz w:val="19"/>
        </w:rPr>
        <w:t>Schools</w:t>
      </w:r>
    </w:p>
    <w:p>
      <w:pPr>
        <w:pStyle w:val="ListParagraph"/>
        <w:numPr>
          <w:ilvl w:val="0"/>
          <w:numId w:val="8"/>
        </w:numPr>
        <w:tabs>
          <w:tab w:pos="1611" w:val="left" w:leader="none"/>
        </w:tabs>
        <w:spacing w:line="240" w:lineRule="auto" w:before="82" w:after="0"/>
        <w:ind w:left="1610" w:right="0" w:hanging="178"/>
        <w:jc w:val="left"/>
        <w:rPr>
          <w:sz w:val="19"/>
        </w:rPr>
      </w:pPr>
      <w:r>
        <w:rPr>
          <w:color w:val="231F20"/>
          <w:spacing w:val="-5"/>
          <w:w w:val="105"/>
          <w:sz w:val="19"/>
        </w:rPr>
        <w:t>IMD</w:t>
      </w:r>
    </w:p>
    <w:p>
      <w:pPr>
        <w:pStyle w:val="ListParagraph"/>
        <w:numPr>
          <w:ilvl w:val="0"/>
          <w:numId w:val="8"/>
        </w:numPr>
        <w:tabs>
          <w:tab w:pos="1611" w:val="left" w:leader="none"/>
        </w:tabs>
        <w:spacing w:line="240" w:lineRule="auto" w:before="81" w:after="0"/>
        <w:ind w:left="1610" w:right="0" w:hanging="224"/>
        <w:jc w:val="left"/>
        <w:rPr>
          <w:sz w:val="19"/>
        </w:rPr>
      </w:pPr>
      <w:r>
        <w:rPr>
          <w:color w:val="231F20"/>
          <w:spacing w:val="-2"/>
          <w:w w:val="115"/>
          <w:sz w:val="19"/>
        </w:rPr>
        <w:t>London</w:t>
      </w:r>
    </w:p>
    <w:p>
      <w:pPr>
        <w:pStyle w:val="ListParagraph"/>
        <w:numPr>
          <w:ilvl w:val="0"/>
          <w:numId w:val="8"/>
        </w:numPr>
        <w:tabs>
          <w:tab w:pos="1611" w:val="left" w:leader="none"/>
        </w:tabs>
        <w:spacing w:line="240" w:lineRule="auto" w:before="82" w:after="0"/>
        <w:ind w:left="1610" w:right="0" w:hanging="227"/>
        <w:jc w:val="left"/>
        <w:rPr>
          <w:sz w:val="19"/>
        </w:rPr>
      </w:pPr>
      <w:r>
        <w:rPr>
          <w:color w:val="231F20"/>
          <w:w w:val="105"/>
          <w:sz w:val="19"/>
        </w:rPr>
        <w:t>ESADE</w:t>
      </w:r>
      <w:r>
        <w:rPr>
          <w:color w:val="231F20"/>
          <w:spacing w:val="-3"/>
          <w:w w:val="105"/>
          <w:sz w:val="19"/>
        </w:rPr>
        <w:t> </w:t>
      </w:r>
      <w:r>
        <w:rPr>
          <w:color w:val="231F20"/>
          <w:spacing w:val="-2"/>
          <w:w w:val="110"/>
          <w:sz w:val="19"/>
        </w:rPr>
        <w:t>(Spain)</w:t>
      </w:r>
    </w:p>
    <w:p>
      <w:pPr>
        <w:pStyle w:val="ListParagraph"/>
        <w:numPr>
          <w:ilvl w:val="0"/>
          <w:numId w:val="8"/>
        </w:numPr>
        <w:tabs>
          <w:tab w:pos="1611" w:val="left" w:leader="none"/>
        </w:tabs>
        <w:spacing w:line="240" w:lineRule="auto" w:before="81" w:after="0"/>
        <w:ind w:left="1610" w:right="0" w:hanging="238"/>
        <w:jc w:val="left"/>
        <w:rPr>
          <w:sz w:val="19"/>
        </w:rPr>
      </w:pPr>
      <w:r>
        <w:rPr>
          <w:color w:val="231F20"/>
          <w:sz w:val="19"/>
        </w:rPr>
        <w:t>HEC-</w:t>
      </w:r>
      <w:r>
        <w:rPr>
          <w:color w:val="231F20"/>
          <w:spacing w:val="-2"/>
          <w:w w:val="105"/>
          <w:sz w:val="19"/>
        </w:rPr>
        <w:t>Paris</w:t>
      </w:r>
    </w:p>
    <w:p>
      <w:pPr>
        <w:pStyle w:val="ListParagraph"/>
        <w:numPr>
          <w:ilvl w:val="0"/>
          <w:numId w:val="8"/>
        </w:numPr>
        <w:tabs>
          <w:tab w:pos="1610" w:val="left" w:leader="none"/>
        </w:tabs>
        <w:spacing w:line="240" w:lineRule="auto" w:before="82" w:after="0"/>
        <w:ind w:left="1609" w:right="0" w:hanging="226"/>
        <w:jc w:val="left"/>
        <w:rPr>
          <w:sz w:val="19"/>
        </w:rPr>
      </w:pPr>
      <w:r>
        <w:rPr>
          <w:color w:val="231F20"/>
          <w:w w:val="105"/>
          <w:sz w:val="19"/>
        </w:rPr>
        <w:t>MIT</w:t>
      </w:r>
      <w:r>
        <w:rPr>
          <w:color w:val="231F20"/>
          <w:spacing w:val="-3"/>
          <w:w w:val="105"/>
          <w:sz w:val="19"/>
        </w:rPr>
        <w:t> </w:t>
      </w:r>
      <w:r>
        <w:rPr>
          <w:color w:val="231F20"/>
          <w:spacing w:val="-2"/>
          <w:w w:val="110"/>
          <w:sz w:val="19"/>
        </w:rPr>
        <w:t>(USA)</w:t>
      </w:r>
    </w:p>
    <w:p>
      <w:pPr>
        <w:pStyle w:val="ListParagraph"/>
        <w:numPr>
          <w:ilvl w:val="0"/>
          <w:numId w:val="8"/>
        </w:numPr>
        <w:tabs>
          <w:tab w:pos="1611" w:val="left" w:leader="none"/>
        </w:tabs>
        <w:spacing w:line="240" w:lineRule="auto" w:before="81" w:after="0"/>
        <w:ind w:left="1610" w:right="0" w:hanging="234"/>
        <w:jc w:val="left"/>
        <w:rPr>
          <w:sz w:val="19"/>
        </w:rPr>
      </w:pPr>
      <w:r>
        <w:rPr>
          <w:color w:val="231F20"/>
          <w:spacing w:val="-2"/>
          <w:w w:val="115"/>
          <w:sz w:val="19"/>
        </w:rPr>
        <w:t>Dartmouth</w:t>
      </w:r>
    </w:p>
    <w:p>
      <w:pPr>
        <w:pStyle w:val="ListParagraph"/>
        <w:numPr>
          <w:ilvl w:val="0"/>
          <w:numId w:val="8"/>
        </w:numPr>
        <w:tabs>
          <w:tab w:pos="1610" w:val="left" w:leader="none"/>
        </w:tabs>
        <w:spacing w:line="240" w:lineRule="auto" w:before="82" w:after="0"/>
        <w:ind w:left="1609" w:right="0" w:hanging="204"/>
        <w:jc w:val="left"/>
        <w:rPr>
          <w:sz w:val="19"/>
        </w:rPr>
      </w:pPr>
      <w:r>
        <w:rPr>
          <w:color w:val="231F20"/>
          <w:spacing w:val="-2"/>
          <w:w w:val="110"/>
          <w:sz w:val="19"/>
        </w:rPr>
        <w:t>Michigan</w:t>
      </w:r>
    </w:p>
    <w:p>
      <w:pPr>
        <w:pStyle w:val="ListParagraph"/>
        <w:numPr>
          <w:ilvl w:val="0"/>
          <w:numId w:val="8"/>
        </w:numPr>
        <w:tabs>
          <w:tab w:pos="1611" w:val="left" w:leader="none"/>
        </w:tabs>
        <w:spacing w:line="240" w:lineRule="auto" w:before="81" w:after="0"/>
        <w:ind w:left="1610" w:right="0" w:hanging="230"/>
        <w:jc w:val="left"/>
        <w:rPr>
          <w:sz w:val="19"/>
        </w:rPr>
      </w:pPr>
      <w:r>
        <w:rPr>
          <w:color w:val="231F20"/>
          <w:w w:val="115"/>
          <w:sz w:val="19"/>
        </w:rPr>
        <w:t>Thunderbird</w:t>
      </w:r>
      <w:r>
        <w:rPr>
          <w:color w:val="231F20"/>
          <w:spacing w:val="-12"/>
          <w:w w:val="115"/>
          <w:sz w:val="19"/>
        </w:rPr>
        <w:t> </w:t>
      </w:r>
      <w:r>
        <w:rPr>
          <w:color w:val="231F20"/>
          <w:spacing w:val="-2"/>
          <w:w w:val="115"/>
          <w:sz w:val="19"/>
        </w:rPr>
        <w:t>(Garvin)</w:t>
      </w:r>
    </w:p>
    <w:p>
      <w:pPr>
        <w:pStyle w:val="ListParagraph"/>
        <w:numPr>
          <w:ilvl w:val="0"/>
          <w:numId w:val="8"/>
        </w:numPr>
        <w:tabs>
          <w:tab w:pos="1610" w:val="left" w:leader="none"/>
        </w:tabs>
        <w:spacing w:line="240" w:lineRule="auto" w:before="82" w:after="0"/>
        <w:ind w:left="1609" w:right="0" w:hanging="231"/>
        <w:jc w:val="left"/>
        <w:rPr>
          <w:sz w:val="19"/>
        </w:rPr>
      </w:pPr>
      <w:r>
        <w:rPr>
          <w:color w:val="231F20"/>
          <w:w w:val="110"/>
          <w:sz w:val="19"/>
        </w:rPr>
        <w:t>Penn</w:t>
      </w:r>
      <w:r>
        <w:rPr>
          <w:color w:val="231F20"/>
          <w:spacing w:val="-8"/>
          <w:w w:val="110"/>
          <w:sz w:val="19"/>
        </w:rPr>
        <w:t> </w:t>
      </w:r>
      <w:r>
        <w:rPr>
          <w:color w:val="231F20"/>
          <w:w w:val="110"/>
          <w:sz w:val="19"/>
        </w:rPr>
        <w:t>State</w:t>
      </w:r>
      <w:r>
        <w:rPr>
          <w:color w:val="231F20"/>
          <w:spacing w:val="-8"/>
          <w:w w:val="110"/>
          <w:sz w:val="19"/>
        </w:rPr>
        <w:t> </w:t>
      </w:r>
      <w:r>
        <w:rPr>
          <w:color w:val="231F20"/>
          <w:spacing w:val="-2"/>
          <w:w w:val="110"/>
          <w:sz w:val="19"/>
        </w:rPr>
        <w:t>(Smeal)</w:t>
      </w:r>
    </w:p>
    <w:p>
      <w:pPr>
        <w:pStyle w:val="ListParagraph"/>
        <w:numPr>
          <w:ilvl w:val="0"/>
          <w:numId w:val="8"/>
        </w:numPr>
        <w:tabs>
          <w:tab w:pos="1610" w:val="left" w:leader="none"/>
        </w:tabs>
        <w:spacing w:line="240" w:lineRule="auto" w:before="81" w:after="0"/>
        <w:ind w:left="1610" w:right="0" w:hanging="311"/>
        <w:jc w:val="left"/>
        <w:rPr>
          <w:sz w:val="19"/>
        </w:rPr>
      </w:pPr>
      <w:r>
        <w:rPr>
          <w:color w:val="231F20"/>
          <w:spacing w:val="-2"/>
          <w:w w:val="115"/>
          <w:sz w:val="19"/>
        </w:rPr>
        <w:t>Stanford</w:t>
      </w:r>
    </w:p>
    <w:p>
      <w:pPr>
        <w:pStyle w:val="BodyText"/>
        <w:rPr>
          <w:rFonts w:ascii="Arial"/>
          <w:sz w:val="20"/>
        </w:rPr>
      </w:pPr>
    </w:p>
    <w:p>
      <w:pPr>
        <w:spacing w:before="131"/>
        <w:ind w:left="1260" w:right="0" w:firstLine="0"/>
        <w:jc w:val="left"/>
        <w:rPr>
          <w:i/>
          <w:sz w:val="21"/>
        </w:rPr>
      </w:pPr>
      <w:r>
        <w:rPr>
          <w:b/>
          <w:i/>
          <w:color w:val="231F20"/>
          <w:sz w:val="21"/>
        </w:rPr>
        <w:t>Business</w:t>
      </w:r>
      <w:r>
        <w:rPr>
          <w:b/>
          <w:i/>
          <w:color w:val="231F20"/>
          <w:spacing w:val="2"/>
          <w:sz w:val="21"/>
        </w:rPr>
        <w:t> </w:t>
      </w:r>
      <w:r>
        <w:rPr>
          <w:b/>
          <w:i/>
          <w:color w:val="231F20"/>
          <w:sz w:val="21"/>
        </w:rPr>
        <w:t>Week,</w:t>
      </w:r>
      <w:r>
        <w:rPr>
          <w:b/>
          <w:i/>
          <w:color w:val="231F20"/>
          <w:spacing w:val="3"/>
          <w:sz w:val="21"/>
        </w:rPr>
        <w:t> </w:t>
      </w:r>
      <w:r>
        <w:rPr>
          <w:i/>
          <w:color w:val="231F20"/>
          <w:spacing w:val="-4"/>
          <w:sz w:val="21"/>
        </w:rPr>
        <w:t>2004</w:t>
      </w:r>
    </w:p>
    <w:p>
      <w:pPr>
        <w:spacing w:before="75"/>
        <w:ind w:left="1260" w:right="0" w:firstLine="0"/>
        <w:jc w:val="left"/>
        <w:rPr>
          <w:rFonts w:ascii="Arial" w:hAnsi="Arial"/>
          <w:i/>
          <w:sz w:val="19"/>
        </w:rPr>
      </w:pPr>
      <w:r>
        <w:rPr>
          <w:rFonts w:ascii="Arial" w:hAnsi="Arial"/>
          <w:i/>
          <w:color w:val="231F20"/>
          <w:w w:val="110"/>
          <w:sz w:val="19"/>
        </w:rPr>
        <w:t>Students’</w:t>
      </w:r>
      <w:r>
        <w:rPr>
          <w:rFonts w:ascii="Arial" w:hAnsi="Arial"/>
          <w:i/>
          <w:color w:val="231F20"/>
          <w:spacing w:val="6"/>
          <w:w w:val="110"/>
          <w:sz w:val="19"/>
        </w:rPr>
        <w:t> </w:t>
      </w:r>
      <w:r>
        <w:rPr>
          <w:rFonts w:ascii="Arial" w:hAnsi="Arial"/>
          <w:i/>
          <w:color w:val="231F20"/>
          <w:w w:val="110"/>
          <w:sz w:val="19"/>
        </w:rPr>
        <w:t>Favorites</w:t>
      </w:r>
      <w:r>
        <w:rPr>
          <w:rFonts w:ascii="Arial" w:hAnsi="Arial"/>
          <w:i/>
          <w:color w:val="231F20"/>
          <w:spacing w:val="6"/>
          <w:w w:val="110"/>
          <w:sz w:val="19"/>
        </w:rPr>
        <w:t> </w:t>
      </w:r>
      <w:r>
        <w:rPr>
          <w:rFonts w:ascii="Arial" w:hAnsi="Arial"/>
          <w:i/>
          <w:color w:val="231F20"/>
          <w:spacing w:val="-4"/>
          <w:w w:val="110"/>
          <w:sz w:val="19"/>
        </w:rPr>
        <w:t>Poll</w:t>
      </w:r>
    </w:p>
    <w:p>
      <w:pPr>
        <w:pStyle w:val="ListParagraph"/>
        <w:numPr>
          <w:ilvl w:val="0"/>
          <w:numId w:val="9"/>
        </w:numPr>
        <w:tabs>
          <w:tab w:pos="1611" w:val="left" w:leader="none"/>
        </w:tabs>
        <w:spacing w:line="240" w:lineRule="auto" w:before="81" w:after="0"/>
        <w:ind w:left="1610" w:right="0" w:hanging="178"/>
        <w:jc w:val="left"/>
        <w:rPr>
          <w:sz w:val="19"/>
        </w:rPr>
      </w:pPr>
      <w:r>
        <w:rPr>
          <w:color w:val="231F20"/>
          <w:spacing w:val="-2"/>
          <w:w w:val="115"/>
          <w:sz w:val="19"/>
        </w:rPr>
        <w:t>Stanford</w:t>
      </w:r>
    </w:p>
    <w:p>
      <w:pPr>
        <w:pStyle w:val="ListParagraph"/>
        <w:numPr>
          <w:ilvl w:val="0"/>
          <w:numId w:val="9"/>
        </w:numPr>
        <w:tabs>
          <w:tab w:pos="1611" w:val="left" w:leader="none"/>
        </w:tabs>
        <w:spacing w:line="240" w:lineRule="auto" w:before="82" w:after="0"/>
        <w:ind w:left="1610" w:right="0" w:hanging="224"/>
        <w:jc w:val="left"/>
        <w:rPr>
          <w:sz w:val="19"/>
        </w:rPr>
      </w:pPr>
      <w:r>
        <w:rPr>
          <w:color w:val="231F20"/>
          <w:spacing w:val="-2"/>
          <w:w w:val="115"/>
          <w:sz w:val="19"/>
        </w:rPr>
        <w:t>Northwestern</w:t>
      </w:r>
    </w:p>
    <w:p>
      <w:pPr>
        <w:pStyle w:val="ListParagraph"/>
        <w:numPr>
          <w:ilvl w:val="0"/>
          <w:numId w:val="9"/>
        </w:numPr>
        <w:tabs>
          <w:tab w:pos="1610" w:val="left" w:leader="none"/>
        </w:tabs>
        <w:spacing w:line="240" w:lineRule="auto" w:before="81" w:after="0"/>
        <w:ind w:left="1609" w:right="0" w:hanging="226"/>
        <w:jc w:val="left"/>
        <w:rPr>
          <w:sz w:val="19"/>
        </w:rPr>
      </w:pPr>
      <w:r>
        <w:rPr>
          <w:color w:val="231F20"/>
          <w:spacing w:val="-2"/>
          <w:w w:val="110"/>
          <w:sz w:val="19"/>
        </w:rPr>
        <w:t>Pennsylvania</w:t>
      </w:r>
    </w:p>
    <w:p>
      <w:pPr>
        <w:pStyle w:val="ListParagraph"/>
        <w:numPr>
          <w:ilvl w:val="0"/>
          <w:numId w:val="9"/>
        </w:numPr>
        <w:tabs>
          <w:tab w:pos="1611" w:val="left" w:leader="none"/>
        </w:tabs>
        <w:spacing w:line="240" w:lineRule="auto" w:before="82" w:after="0"/>
        <w:ind w:left="1610" w:right="0" w:hanging="238"/>
        <w:jc w:val="left"/>
        <w:rPr>
          <w:sz w:val="19"/>
        </w:rPr>
      </w:pPr>
      <w:r>
        <w:rPr>
          <w:color w:val="231F20"/>
          <w:spacing w:val="-5"/>
          <w:w w:val="105"/>
          <w:sz w:val="19"/>
        </w:rPr>
        <w:t>MIT</w:t>
      </w:r>
    </w:p>
    <w:p>
      <w:pPr>
        <w:spacing w:after="0" w:line="240" w:lineRule="auto"/>
        <w:jc w:val="left"/>
        <w:rPr>
          <w:sz w:val="19"/>
        </w:rPr>
        <w:sectPr>
          <w:pgSz w:w="8640" w:h="12960"/>
          <w:pgMar w:header="734" w:footer="0" w:top="920" w:bottom="280" w:left="340" w:right="500"/>
        </w:sectPr>
      </w:pPr>
    </w:p>
    <w:p>
      <w:pPr>
        <w:pStyle w:val="BodyText"/>
        <w:spacing w:before="8"/>
        <w:rPr>
          <w:rFonts w:ascii="Arial"/>
          <w:sz w:val="19"/>
        </w:rPr>
      </w:pPr>
    </w:p>
    <w:p>
      <w:pPr>
        <w:pStyle w:val="ListParagraph"/>
        <w:numPr>
          <w:ilvl w:val="0"/>
          <w:numId w:val="9"/>
        </w:numPr>
        <w:tabs>
          <w:tab w:pos="1521" w:val="left" w:leader="none"/>
        </w:tabs>
        <w:spacing w:line="240" w:lineRule="auto" w:before="97" w:after="0"/>
        <w:ind w:left="1520" w:right="0" w:hanging="227"/>
        <w:jc w:val="left"/>
        <w:rPr>
          <w:sz w:val="19"/>
        </w:rPr>
      </w:pPr>
      <w:r>
        <w:rPr>
          <w:color w:val="231F20"/>
          <w:spacing w:val="-2"/>
          <w:w w:val="110"/>
          <w:sz w:val="19"/>
        </w:rPr>
        <w:t>Chicago</w:t>
      </w:r>
    </w:p>
    <w:p>
      <w:pPr>
        <w:pStyle w:val="ListParagraph"/>
        <w:numPr>
          <w:ilvl w:val="0"/>
          <w:numId w:val="9"/>
        </w:numPr>
        <w:tabs>
          <w:tab w:pos="1521" w:val="left" w:leader="none"/>
        </w:tabs>
        <w:spacing w:line="240" w:lineRule="auto" w:before="82" w:after="0"/>
        <w:ind w:left="1520" w:right="0" w:hanging="234"/>
        <w:jc w:val="left"/>
        <w:rPr>
          <w:sz w:val="19"/>
        </w:rPr>
      </w:pPr>
      <w:r>
        <w:rPr>
          <w:color w:val="231F20"/>
          <w:spacing w:val="-2"/>
          <w:w w:val="115"/>
          <w:sz w:val="19"/>
        </w:rPr>
        <w:t>Dartmouth</w:t>
      </w:r>
    </w:p>
    <w:p>
      <w:pPr>
        <w:pStyle w:val="ListParagraph"/>
        <w:numPr>
          <w:ilvl w:val="0"/>
          <w:numId w:val="9"/>
        </w:numPr>
        <w:tabs>
          <w:tab w:pos="1520" w:val="left" w:leader="none"/>
        </w:tabs>
        <w:spacing w:line="240" w:lineRule="auto" w:before="81" w:after="0"/>
        <w:ind w:left="1519" w:right="0" w:hanging="204"/>
        <w:jc w:val="left"/>
        <w:rPr>
          <w:sz w:val="19"/>
        </w:rPr>
      </w:pPr>
      <w:r>
        <w:rPr>
          <w:color w:val="231F20"/>
          <w:spacing w:val="-2"/>
          <w:w w:val="115"/>
          <w:sz w:val="19"/>
        </w:rPr>
        <w:t>Virginia</w:t>
      </w:r>
    </w:p>
    <w:p>
      <w:pPr>
        <w:pStyle w:val="ListParagraph"/>
        <w:numPr>
          <w:ilvl w:val="0"/>
          <w:numId w:val="9"/>
        </w:numPr>
        <w:tabs>
          <w:tab w:pos="1521" w:val="left" w:leader="none"/>
        </w:tabs>
        <w:spacing w:line="240" w:lineRule="auto" w:before="82" w:after="0"/>
        <w:ind w:left="1520" w:right="0" w:hanging="230"/>
        <w:jc w:val="left"/>
        <w:rPr>
          <w:sz w:val="19"/>
        </w:rPr>
      </w:pPr>
      <w:r>
        <w:rPr>
          <w:color w:val="231F20"/>
          <w:spacing w:val="-2"/>
          <w:w w:val="115"/>
          <w:sz w:val="19"/>
        </w:rPr>
        <w:t>Cornell</w:t>
      </w:r>
    </w:p>
    <w:p>
      <w:pPr>
        <w:pStyle w:val="ListParagraph"/>
        <w:numPr>
          <w:ilvl w:val="0"/>
          <w:numId w:val="9"/>
        </w:numPr>
        <w:tabs>
          <w:tab w:pos="1520" w:val="left" w:leader="none"/>
        </w:tabs>
        <w:spacing w:line="240" w:lineRule="auto" w:before="81" w:after="0"/>
        <w:ind w:left="1520" w:right="0" w:hanging="231"/>
        <w:jc w:val="left"/>
        <w:rPr>
          <w:sz w:val="19"/>
        </w:rPr>
      </w:pPr>
      <w:r>
        <w:rPr>
          <w:color w:val="231F20"/>
          <w:spacing w:val="-2"/>
          <w:w w:val="110"/>
          <w:sz w:val="19"/>
        </w:rPr>
        <w:t>Michigan</w:t>
      </w:r>
    </w:p>
    <w:p>
      <w:pPr>
        <w:pStyle w:val="ListParagraph"/>
        <w:numPr>
          <w:ilvl w:val="0"/>
          <w:numId w:val="9"/>
        </w:numPr>
        <w:tabs>
          <w:tab w:pos="1520" w:val="left" w:leader="none"/>
        </w:tabs>
        <w:spacing w:line="240" w:lineRule="auto" w:before="82" w:after="0"/>
        <w:ind w:left="1520" w:right="0" w:hanging="311"/>
        <w:jc w:val="left"/>
        <w:rPr>
          <w:sz w:val="19"/>
        </w:rPr>
      </w:pPr>
      <w:r>
        <w:rPr>
          <w:color w:val="231F20"/>
          <w:spacing w:val="-4"/>
          <w:w w:val="110"/>
          <w:sz w:val="19"/>
        </w:rPr>
        <w:t>UCLA</w:t>
      </w:r>
    </w:p>
    <w:p>
      <w:pPr>
        <w:pStyle w:val="BodyText"/>
        <w:rPr>
          <w:rFonts w:ascii="Arial"/>
          <w:sz w:val="20"/>
        </w:rPr>
      </w:pPr>
    </w:p>
    <w:p>
      <w:pPr>
        <w:spacing w:before="130"/>
        <w:ind w:left="1170" w:right="0" w:firstLine="0"/>
        <w:jc w:val="left"/>
        <w:rPr>
          <w:i/>
          <w:sz w:val="21"/>
        </w:rPr>
      </w:pPr>
      <w:r>
        <w:rPr>
          <w:b/>
          <w:i/>
          <w:color w:val="231F20"/>
          <w:sz w:val="21"/>
        </w:rPr>
        <w:t>Business</w:t>
      </w:r>
      <w:r>
        <w:rPr>
          <w:b/>
          <w:i/>
          <w:color w:val="231F20"/>
          <w:spacing w:val="2"/>
          <w:sz w:val="21"/>
        </w:rPr>
        <w:t> </w:t>
      </w:r>
      <w:r>
        <w:rPr>
          <w:b/>
          <w:i/>
          <w:color w:val="231F20"/>
          <w:sz w:val="21"/>
        </w:rPr>
        <w:t>Week,</w:t>
      </w:r>
      <w:r>
        <w:rPr>
          <w:b/>
          <w:i/>
          <w:color w:val="231F20"/>
          <w:spacing w:val="3"/>
          <w:sz w:val="21"/>
        </w:rPr>
        <w:t> </w:t>
      </w:r>
      <w:r>
        <w:rPr>
          <w:i/>
          <w:color w:val="231F20"/>
          <w:spacing w:val="-4"/>
          <w:sz w:val="21"/>
        </w:rPr>
        <w:t>2004</w:t>
      </w:r>
    </w:p>
    <w:p>
      <w:pPr>
        <w:spacing w:before="75"/>
        <w:ind w:left="1170" w:right="0" w:firstLine="0"/>
        <w:jc w:val="left"/>
        <w:rPr>
          <w:rFonts w:ascii="Arial" w:hAnsi="Arial"/>
          <w:i/>
          <w:sz w:val="19"/>
        </w:rPr>
      </w:pPr>
      <w:r>
        <w:rPr>
          <w:rFonts w:ascii="Arial" w:hAnsi="Arial"/>
          <w:i/>
          <w:color w:val="231F20"/>
          <w:w w:val="110"/>
          <w:sz w:val="19"/>
        </w:rPr>
        <w:t>Recruiters’ Favorites </w:t>
      </w:r>
      <w:r>
        <w:rPr>
          <w:rFonts w:ascii="Arial" w:hAnsi="Arial"/>
          <w:i/>
          <w:color w:val="231F20"/>
          <w:spacing w:val="-4"/>
          <w:w w:val="110"/>
          <w:sz w:val="19"/>
        </w:rPr>
        <w:t>Poll</w:t>
      </w:r>
    </w:p>
    <w:p>
      <w:pPr>
        <w:pStyle w:val="ListParagraph"/>
        <w:numPr>
          <w:ilvl w:val="0"/>
          <w:numId w:val="10"/>
        </w:numPr>
        <w:tabs>
          <w:tab w:pos="1521" w:val="left" w:leader="none"/>
        </w:tabs>
        <w:spacing w:line="240" w:lineRule="auto" w:before="82" w:after="0"/>
        <w:ind w:left="1520" w:right="0" w:hanging="178"/>
        <w:jc w:val="left"/>
        <w:rPr>
          <w:sz w:val="19"/>
        </w:rPr>
      </w:pPr>
      <w:r>
        <w:rPr>
          <w:color w:val="231F20"/>
          <w:spacing w:val="-2"/>
          <w:w w:val="110"/>
          <w:sz w:val="19"/>
        </w:rPr>
        <w:t>Chicago</w:t>
      </w:r>
    </w:p>
    <w:p>
      <w:pPr>
        <w:pStyle w:val="ListParagraph"/>
        <w:numPr>
          <w:ilvl w:val="0"/>
          <w:numId w:val="10"/>
        </w:numPr>
        <w:tabs>
          <w:tab w:pos="1520" w:val="left" w:leader="none"/>
        </w:tabs>
        <w:spacing w:line="240" w:lineRule="auto" w:before="81" w:after="0"/>
        <w:ind w:left="1519" w:right="0" w:hanging="223"/>
        <w:jc w:val="left"/>
        <w:rPr>
          <w:sz w:val="19"/>
        </w:rPr>
      </w:pPr>
      <w:r>
        <w:rPr>
          <w:color w:val="231F20"/>
          <w:spacing w:val="-2"/>
          <w:w w:val="115"/>
          <w:sz w:val="19"/>
        </w:rPr>
        <w:t>Harvard</w:t>
      </w:r>
    </w:p>
    <w:p>
      <w:pPr>
        <w:pStyle w:val="ListParagraph"/>
        <w:numPr>
          <w:ilvl w:val="0"/>
          <w:numId w:val="10"/>
        </w:numPr>
        <w:tabs>
          <w:tab w:pos="1521" w:val="left" w:leader="none"/>
        </w:tabs>
        <w:spacing w:line="240" w:lineRule="auto" w:before="82" w:after="0"/>
        <w:ind w:left="1520" w:right="0" w:hanging="227"/>
        <w:jc w:val="left"/>
        <w:rPr>
          <w:sz w:val="19"/>
        </w:rPr>
      </w:pPr>
      <w:r>
        <w:rPr>
          <w:color w:val="231F20"/>
          <w:spacing w:val="-2"/>
          <w:w w:val="115"/>
          <w:sz w:val="19"/>
        </w:rPr>
        <w:t>Northwestern</w:t>
      </w:r>
    </w:p>
    <w:p>
      <w:pPr>
        <w:pStyle w:val="ListParagraph"/>
        <w:numPr>
          <w:ilvl w:val="0"/>
          <w:numId w:val="10"/>
        </w:numPr>
        <w:tabs>
          <w:tab w:pos="1521" w:val="left" w:leader="none"/>
        </w:tabs>
        <w:spacing w:line="240" w:lineRule="auto" w:before="81" w:after="0"/>
        <w:ind w:left="1520" w:right="0" w:hanging="238"/>
        <w:jc w:val="left"/>
        <w:rPr>
          <w:sz w:val="19"/>
        </w:rPr>
      </w:pPr>
      <w:r>
        <w:rPr>
          <w:color w:val="231F20"/>
          <w:spacing w:val="-2"/>
          <w:w w:val="110"/>
          <w:sz w:val="19"/>
        </w:rPr>
        <w:t>Michigan</w:t>
      </w:r>
    </w:p>
    <w:p>
      <w:pPr>
        <w:pStyle w:val="ListParagraph"/>
        <w:numPr>
          <w:ilvl w:val="0"/>
          <w:numId w:val="10"/>
        </w:numPr>
        <w:tabs>
          <w:tab w:pos="1520" w:val="left" w:leader="none"/>
        </w:tabs>
        <w:spacing w:line="240" w:lineRule="auto" w:before="82" w:after="0"/>
        <w:ind w:left="1519" w:right="0" w:hanging="226"/>
        <w:jc w:val="left"/>
        <w:rPr>
          <w:sz w:val="19"/>
        </w:rPr>
      </w:pPr>
      <w:r>
        <w:rPr>
          <w:color w:val="231F20"/>
          <w:spacing w:val="-2"/>
          <w:w w:val="110"/>
          <w:sz w:val="19"/>
        </w:rPr>
        <w:t>Pennsylvania</w:t>
      </w:r>
    </w:p>
    <w:p>
      <w:pPr>
        <w:pStyle w:val="ListParagraph"/>
        <w:numPr>
          <w:ilvl w:val="0"/>
          <w:numId w:val="10"/>
        </w:numPr>
        <w:tabs>
          <w:tab w:pos="1521" w:val="left" w:leader="none"/>
        </w:tabs>
        <w:spacing w:line="240" w:lineRule="auto" w:before="81" w:after="0"/>
        <w:ind w:left="1520" w:right="0" w:hanging="234"/>
        <w:jc w:val="left"/>
        <w:rPr>
          <w:sz w:val="19"/>
        </w:rPr>
      </w:pPr>
      <w:r>
        <w:rPr>
          <w:color w:val="231F20"/>
          <w:spacing w:val="-2"/>
          <w:w w:val="110"/>
          <w:sz w:val="19"/>
        </w:rPr>
        <w:t>Chicago</w:t>
      </w:r>
    </w:p>
    <w:p>
      <w:pPr>
        <w:pStyle w:val="ListParagraph"/>
        <w:numPr>
          <w:ilvl w:val="0"/>
          <w:numId w:val="10"/>
        </w:numPr>
        <w:tabs>
          <w:tab w:pos="1521" w:val="left" w:leader="none"/>
        </w:tabs>
        <w:spacing w:line="240" w:lineRule="auto" w:before="82" w:after="0"/>
        <w:ind w:left="1520" w:right="0" w:hanging="205"/>
        <w:jc w:val="left"/>
        <w:rPr>
          <w:sz w:val="19"/>
        </w:rPr>
      </w:pPr>
      <w:r>
        <w:rPr>
          <w:color w:val="231F20"/>
          <w:spacing w:val="-2"/>
          <w:w w:val="115"/>
          <w:sz w:val="19"/>
        </w:rPr>
        <w:t>Stanford</w:t>
      </w:r>
    </w:p>
    <w:p>
      <w:pPr>
        <w:pStyle w:val="ListParagraph"/>
        <w:numPr>
          <w:ilvl w:val="0"/>
          <w:numId w:val="10"/>
        </w:numPr>
        <w:tabs>
          <w:tab w:pos="1521" w:val="left" w:leader="none"/>
        </w:tabs>
        <w:spacing w:line="240" w:lineRule="auto" w:before="81" w:after="0"/>
        <w:ind w:left="1520" w:right="0" w:hanging="230"/>
        <w:jc w:val="left"/>
        <w:rPr>
          <w:sz w:val="19"/>
        </w:rPr>
      </w:pPr>
      <w:r>
        <w:rPr>
          <w:color w:val="231F20"/>
          <w:spacing w:val="-2"/>
          <w:w w:val="115"/>
          <w:sz w:val="19"/>
        </w:rPr>
        <w:t>Cornell</w:t>
      </w:r>
    </w:p>
    <w:p>
      <w:pPr>
        <w:pStyle w:val="ListParagraph"/>
        <w:numPr>
          <w:ilvl w:val="0"/>
          <w:numId w:val="10"/>
        </w:numPr>
        <w:tabs>
          <w:tab w:pos="1520" w:val="left" w:leader="none"/>
        </w:tabs>
        <w:spacing w:line="240" w:lineRule="auto" w:before="82" w:after="0"/>
        <w:ind w:left="1520" w:right="0" w:hanging="231"/>
        <w:jc w:val="left"/>
        <w:rPr>
          <w:sz w:val="19"/>
        </w:rPr>
      </w:pPr>
      <w:r>
        <w:rPr>
          <w:color w:val="231F20"/>
          <w:w w:val="110"/>
          <w:sz w:val="19"/>
        </w:rPr>
        <w:t>Notre</w:t>
      </w:r>
      <w:r>
        <w:rPr>
          <w:color w:val="231F20"/>
          <w:spacing w:val="8"/>
          <w:w w:val="110"/>
          <w:sz w:val="19"/>
        </w:rPr>
        <w:t> </w:t>
      </w:r>
      <w:r>
        <w:rPr>
          <w:color w:val="231F20"/>
          <w:w w:val="110"/>
          <w:sz w:val="19"/>
        </w:rPr>
        <w:t>Dame</w:t>
      </w:r>
      <w:r>
        <w:rPr>
          <w:color w:val="231F20"/>
          <w:spacing w:val="8"/>
          <w:w w:val="110"/>
          <w:sz w:val="19"/>
        </w:rPr>
        <w:t> </w:t>
      </w:r>
      <w:r>
        <w:rPr>
          <w:color w:val="231F20"/>
          <w:spacing w:val="-2"/>
          <w:w w:val="110"/>
          <w:sz w:val="19"/>
        </w:rPr>
        <w:t>(Mendoza)</w:t>
      </w:r>
    </w:p>
    <w:p>
      <w:pPr>
        <w:pStyle w:val="ListParagraph"/>
        <w:numPr>
          <w:ilvl w:val="0"/>
          <w:numId w:val="10"/>
        </w:numPr>
        <w:tabs>
          <w:tab w:pos="1520" w:val="left" w:leader="none"/>
        </w:tabs>
        <w:spacing w:line="240" w:lineRule="auto" w:before="82" w:after="0"/>
        <w:ind w:left="1519" w:right="0" w:hanging="311"/>
        <w:jc w:val="left"/>
        <w:rPr>
          <w:sz w:val="19"/>
        </w:rPr>
      </w:pPr>
      <w:r>
        <w:rPr>
          <w:color w:val="231F20"/>
          <w:spacing w:val="-5"/>
          <w:w w:val="110"/>
          <w:sz w:val="19"/>
        </w:rPr>
        <w:t>NYU</w:t>
      </w:r>
    </w:p>
    <w:p>
      <w:pPr>
        <w:pStyle w:val="BodyText"/>
        <w:rPr>
          <w:rFonts w:ascii="Arial"/>
          <w:sz w:val="20"/>
        </w:rPr>
      </w:pPr>
    </w:p>
    <w:p>
      <w:pPr>
        <w:spacing w:before="130"/>
        <w:ind w:left="1170" w:right="0" w:firstLine="0"/>
        <w:jc w:val="left"/>
        <w:rPr>
          <w:i/>
          <w:sz w:val="21"/>
        </w:rPr>
      </w:pPr>
      <w:r>
        <w:rPr>
          <w:b/>
          <w:i/>
          <w:color w:val="231F20"/>
          <w:sz w:val="21"/>
        </w:rPr>
        <w:t>Business</w:t>
      </w:r>
      <w:r>
        <w:rPr>
          <w:b/>
          <w:i/>
          <w:color w:val="231F20"/>
          <w:spacing w:val="2"/>
          <w:sz w:val="21"/>
        </w:rPr>
        <w:t> </w:t>
      </w:r>
      <w:r>
        <w:rPr>
          <w:b/>
          <w:i/>
          <w:color w:val="231F20"/>
          <w:sz w:val="21"/>
        </w:rPr>
        <w:t>Week,</w:t>
      </w:r>
      <w:r>
        <w:rPr>
          <w:b/>
          <w:i/>
          <w:color w:val="231F20"/>
          <w:spacing w:val="3"/>
          <w:sz w:val="21"/>
        </w:rPr>
        <w:t> </w:t>
      </w:r>
      <w:r>
        <w:rPr>
          <w:i/>
          <w:color w:val="231F20"/>
          <w:spacing w:val="-4"/>
          <w:sz w:val="21"/>
        </w:rPr>
        <w:t>2004</w:t>
      </w:r>
    </w:p>
    <w:p>
      <w:pPr>
        <w:spacing w:before="75"/>
        <w:ind w:left="1170" w:right="0" w:firstLine="0"/>
        <w:jc w:val="left"/>
        <w:rPr>
          <w:rFonts w:ascii="Arial"/>
          <w:i/>
          <w:sz w:val="19"/>
        </w:rPr>
      </w:pPr>
      <w:r>
        <w:rPr>
          <w:rFonts w:ascii="Arial"/>
          <w:i/>
          <w:color w:val="231F20"/>
          <w:spacing w:val="-2"/>
          <w:w w:val="115"/>
          <w:sz w:val="19"/>
        </w:rPr>
        <w:t>Best</w:t>
      </w:r>
      <w:r>
        <w:rPr>
          <w:rFonts w:ascii="Arial"/>
          <w:i/>
          <w:color w:val="231F20"/>
          <w:spacing w:val="-11"/>
          <w:w w:val="115"/>
          <w:sz w:val="19"/>
        </w:rPr>
        <w:t> </w:t>
      </w:r>
      <w:r>
        <w:rPr>
          <w:rFonts w:ascii="Arial"/>
          <w:i/>
          <w:color w:val="231F20"/>
          <w:spacing w:val="-2"/>
          <w:w w:val="115"/>
          <w:sz w:val="19"/>
        </w:rPr>
        <w:t>Faculty</w:t>
      </w:r>
      <w:r>
        <w:rPr>
          <w:rFonts w:ascii="Arial"/>
          <w:i/>
          <w:color w:val="231F20"/>
          <w:spacing w:val="-11"/>
          <w:w w:val="115"/>
          <w:sz w:val="19"/>
        </w:rPr>
        <w:t> </w:t>
      </w:r>
      <w:r>
        <w:rPr>
          <w:rFonts w:ascii="Arial"/>
          <w:i/>
          <w:color w:val="231F20"/>
          <w:spacing w:val="-2"/>
          <w:w w:val="115"/>
          <w:sz w:val="19"/>
        </w:rPr>
        <w:t>as</w:t>
      </w:r>
      <w:r>
        <w:rPr>
          <w:rFonts w:ascii="Arial"/>
          <w:i/>
          <w:color w:val="231F20"/>
          <w:spacing w:val="-11"/>
          <w:w w:val="115"/>
          <w:sz w:val="19"/>
        </w:rPr>
        <w:t> </w:t>
      </w:r>
      <w:r>
        <w:rPr>
          <w:rFonts w:ascii="Arial"/>
          <w:i/>
          <w:color w:val="231F20"/>
          <w:spacing w:val="-2"/>
          <w:w w:val="115"/>
          <w:sz w:val="19"/>
        </w:rPr>
        <w:t>Rated</w:t>
      </w:r>
      <w:r>
        <w:rPr>
          <w:rFonts w:ascii="Arial"/>
          <w:i/>
          <w:color w:val="231F20"/>
          <w:spacing w:val="-10"/>
          <w:w w:val="115"/>
          <w:sz w:val="19"/>
        </w:rPr>
        <w:t> </w:t>
      </w:r>
      <w:r>
        <w:rPr>
          <w:rFonts w:ascii="Arial"/>
          <w:i/>
          <w:color w:val="231F20"/>
          <w:spacing w:val="-2"/>
          <w:w w:val="115"/>
          <w:sz w:val="19"/>
        </w:rPr>
        <w:t>by</w:t>
      </w:r>
      <w:r>
        <w:rPr>
          <w:rFonts w:ascii="Arial"/>
          <w:i/>
          <w:color w:val="231F20"/>
          <w:spacing w:val="-11"/>
          <w:w w:val="115"/>
          <w:sz w:val="19"/>
        </w:rPr>
        <w:t> </w:t>
      </w:r>
      <w:r>
        <w:rPr>
          <w:rFonts w:ascii="Arial"/>
          <w:i/>
          <w:color w:val="231F20"/>
          <w:spacing w:val="-2"/>
          <w:w w:val="115"/>
          <w:sz w:val="19"/>
        </w:rPr>
        <w:t>Students</w:t>
      </w:r>
    </w:p>
    <w:p>
      <w:pPr>
        <w:pStyle w:val="ListParagraph"/>
        <w:numPr>
          <w:ilvl w:val="0"/>
          <w:numId w:val="11"/>
        </w:numPr>
        <w:tabs>
          <w:tab w:pos="1521" w:val="left" w:leader="none"/>
        </w:tabs>
        <w:spacing w:line="240" w:lineRule="auto" w:before="81" w:after="0"/>
        <w:ind w:left="1520" w:right="0" w:hanging="178"/>
        <w:jc w:val="left"/>
        <w:rPr>
          <w:sz w:val="19"/>
        </w:rPr>
      </w:pPr>
      <w:r>
        <w:rPr>
          <w:color w:val="231F20"/>
          <w:spacing w:val="-2"/>
          <w:w w:val="110"/>
          <w:sz w:val="19"/>
        </w:rPr>
        <w:t>Indiana</w:t>
      </w:r>
    </w:p>
    <w:p>
      <w:pPr>
        <w:pStyle w:val="ListParagraph"/>
        <w:numPr>
          <w:ilvl w:val="0"/>
          <w:numId w:val="11"/>
        </w:numPr>
        <w:tabs>
          <w:tab w:pos="1521" w:val="left" w:leader="none"/>
        </w:tabs>
        <w:spacing w:line="240" w:lineRule="auto" w:before="82" w:after="0"/>
        <w:ind w:left="1520" w:right="0" w:hanging="224"/>
        <w:jc w:val="left"/>
        <w:rPr>
          <w:sz w:val="19"/>
        </w:rPr>
      </w:pPr>
      <w:r>
        <w:rPr>
          <w:color w:val="231F20"/>
          <w:spacing w:val="-2"/>
          <w:w w:val="115"/>
          <w:sz w:val="19"/>
        </w:rPr>
        <w:t>Washington</w:t>
      </w:r>
      <w:r>
        <w:rPr>
          <w:color w:val="231F20"/>
          <w:spacing w:val="-5"/>
          <w:w w:val="115"/>
          <w:sz w:val="19"/>
        </w:rPr>
        <w:t> </w:t>
      </w:r>
      <w:r>
        <w:rPr>
          <w:color w:val="231F20"/>
          <w:spacing w:val="-2"/>
          <w:w w:val="115"/>
          <w:sz w:val="19"/>
        </w:rPr>
        <w:t>University</w:t>
      </w:r>
    </w:p>
    <w:p>
      <w:pPr>
        <w:pStyle w:val="ListParagraph"/>
        <w:numPr>
          <w:ilvl w:val="0"/>
          <w:numId w:val="11"/>
        </w:numPr>
        <w:tabs>
          <w:tab w:pos="1521" w:val="left" w:leader="none"/>
        </w:tabs>
        <w:spacing w:line="240" w:lineRule="auto" w:before="81" w:after="0"/>
        <w:ind w:left="1520" w:right="0" w:hanging="227"/>
        <w:jc w:val="left"/>
        <w:rPr>
          <w:sz w:val="19"/>
        </w:rPr>
      </w:pPr>
      <w:r>
        <w:rPr>
          <w:color w:val="231F20"/>
          <w:spacing w:val="-2"/>
          <w:w w:val="115"/>
          <w:sz w:val="19"/>
        </w:rPr>
        <w:t>Virginia</w:t>
      </w:r>
    </w:p>
    <w:p>
      <w:pPr>
        <w:pStyle w:val="ListParagraph"/>
        <w:numPr>
          <w:ilvl w:val="0"/>
          <w:numId w:val="11"/>
        </w:numPr>
        <w:tabs>
          <w:tab w:pos="1521" w:val="left" w:leader="none"/>
        </w:tabs>
        <w:spacing w:line="240" w:lineRule="auto" w:before="82" w:after="0"/>
        <w:ind w:left="1520" w:right="0" w:hanging="238"/>
        <w:jc w:val="left"/>
        <w:rPr>
          <w:sz w:val="19"/>
        </w:rPr>
      </w:pPr>
      <w:r>
        <w:rPr>
          <w:color w:val="231F20"/>
          <w:spacing w:val="-2"/>
          <w:w w:val="110"/>
          <w:sz w:val="19"/>
        </w:rPr>
        <w:t>Chicago</w:t>
      </w:r>
    </w:p>
    <w:p>
      <w:pPr>
        <w:pStyle w:val="ListParagraph"/>
        <w:numPr>
          <w:ilvl w:val="0"/>
          <w:numId w:val="11"/>
        </w:numPr>
        <w:tabs>
          <w:tab w:pos="1521" w:val="left" w:leader="none"/>
        </w:tabs>
        <w:spacing w:line="240" w:lineRule="auto" w:before="81" w:after="0"/>
        <w:ind w:left="1520" w:right="0" w:hanging="227"/>
        <w:jc w:val="left"/>
        <w:rPr>
          <w:sz w:val="19"/>
        </w:rPr>
      </w:pPr>
      <w:r>
        <w:rPr>
          <w:color w:val="231F20"/>
          <w:spacing w:val="-2"/>
          <w:w w:val="115"/>
          <w:sz w:val="19"/>
        </w:rPr>
        <w:t>Cornell</w:t>
      </w:r>
    </w:p>
    <w:p>
      <w:pPr>
        <w:pStyle w:val="ListParagraph"/>
        <w:numPr>
          <w:ilvl w:val="0"/>
          <w:numId w:val="11"/>
        </w:numPr>
        <w:tabs>
          <w:tab w:pos="1520" w:val="left" w:leader="none"/>
        </w:tabs>
        <w:spacing w:line="240" w:lineRule="auto" w:before="82" w:after="0"/>
        <w:ind w:left="1520" w:right="0" w:hanging="233"/>
        <w:jc w:val="left"/>
        <w:rPr>
          <w:sz w:val="19"/>
        </w:rPr>
      </w:pPr>
      <w:r>
        <w:rPr>
          <w:color w:val="231F20"/>
          <w:spacing w:val="-2"/>
          <w:w w:val="115"/>
          <w:sz w:val="19"/>
        </w:rPr>
        <w:t>Northwestern</w:t>
      </w:r>
    </w:p>
    <w:p>
      <w:pPr>
        <w:pStyle w:val="ListParagraph"/>
        <w:numPr>
          <w:ilvl w:val="0"/>
          <w:numId w:val="11"/>
        </w:numPr>
        <w:tabs>
          <w:tab w:pos="1520" w:val="left" w:leader="none"/>
        </w:tabs>
        <w:spacing w:line="240" w:lineRule="auto" w:before="81" w:after="0"/>
        <w:ind w:left="1519" w:right="0" w:hanging="204"/>
        <w:jc w:val="left"/>
        <w:rPr>
          <w:sz w:val="19"/>
        </w:rPr>
      </w:pPr>
      <w:r>
        <w:rPr>
          <w:color w:val="231F20"/>
          <w:w w:val="110"/>
          <w:sz w:val="19"/>
        </w:rPr>
        <w:t>Carnegie</w:t>
      </w:r>
      <w:r>
        <w:rPr>
          <w:color w:val="231F20"/>
          <w:spacing w:val="1"/>
          <w:w w:val="110"/>
          <w:sz w:val="19"/>
        </w:rPr>
        <w:t> </w:t>
      </w:r>
      <w:r>
        <w:rPr>
          <w:color w:val="231F20"/>
          <w:spacing w:val="-2"/>
          <w:w w:val="110"/>
          <w:sz w:val="19"/>
        </w:rPr>
        <w:t>Mellon</w:t>
      </w:r>
    </w:p>
    <w:p>
      <w:pPr>
        <w:pStyle w:val="ListParagraph"/>
        <w:numPr>
          <w:ilvl w:val="0"/>
          <w:numId w:val="11"/>
        </w:numPr>
        <w:tabs>
          <w:tab w:pos="1521" w:val="left" w:leader="none"/>
        </w:tabs>
        <w:spacing w:line="240" w:lineRule="auto" w:before="82" w:after="0"/>
        <w:ind w:left="1520" w:right="0" w:hanging="230"/>
        <w:jc w:val="left"/>
        <w:rPr>
          <w:sz w:val="19"/>
        </w:rPr>
      </w:pPr>
      <w:r>
        <w:rPr>
          <w:color w:val="231F20"/>
          <w:spacing w:val="-2"/>
          <w:w w:val="110"/>
          <w:sz w:val="19"/>
        </w:rPr>
        <w:t>Babson</w:t>
      </w:r>
    </w:p>
    <w:p>
      <w:pPr>
        <w:pStyle w:val="ListParagraph"/>
        <w:numPr>
          <w:ilvl w:val="0"/>
          <w:numId w:val="11"/>
        </w:numPr>
        <w:tabs>
          <w:tab w:pos="1520" w:val="left" w:leader="none"/>
        </w:tabs>
        <w:spacing w:line="240" w:lineRule="auto" w:before="82" w:after="0"/>
        <w:ind w:left="1519" w:right="0" w:hanging="231"/>
        <w:jc w:val="left"/>
        <w:rPr>
          <w:sz w:val="19"/>
        </w:rPr>
      </w:pPr>
      <w:r>
        <w:rPr>
          <w:color w:val="231F20"/>
          <w:w w:val="110"/>
          <w:sz w:val="19"/>
        </w:rPr>
        <w:t>MIT/Rochester</w:t>
      </w:r>
      <w:r>
        <w:rPr>
          <w:color w:val="231F20"/>
          <w:spacing w:val="8"/>
          <w:w w:val="120"/>
          <w:sz w:val="19"/>
        </w:rPr>
        <w:t> </w:t>
      </w:r>
      <w:r>
        <w:rPr>
          <w:color w:val="231F20"/>
          <w:spacing w:val="-5"/>
          <w:w w:val="120"/>
          <w:sz w:val="19"/>
        </w:rPr>
        <w:t>tie</w:t>
      </w:r>
    </w:p>
    <w:p>
      <w:pPr>
        <w:pStyle w:val="ListParagraph"/>
        <w:numPr>
          <w:ilvl w:val="0"/>
          <w:numId w:val="11"/>
        </w:numPr>
        <w:tabs>
          <w:tab w:pos="1520" w:val="left" w:leader="none"/>
        </w:tabs>
        <w:spacing w:line="240" w:lineRule="auto" w:before="81" w:after="0"/>
        <w:ind w:left="1519" w:right="0" w:hanging="311"/>
        <w:jc w:val="left"/>
        <w:rPr>
          <w:sz w:val="19"/>
        </w:rPr>
      </w:pPr>
      <w:r>
        <w:rPr>
          <w:color w:val="231F20"/>
          <w:spacing w:val="-2"/>
          <w:w w:val="110"/>
          <w:sz w:val="19"/>
        </w:rPr>
        <w:t>Purdue</w:t>
      </w:r>
    </w:p>
    <w:p>
      <w:pPr>
        <w:spacing w:after="0" w:line="240" w:lineRule="auto"/>
        <w:jc w:val="left"/>
        <w:rPr>
          <w:sz w:val="19"/>
        </w:rPr>
        <w:sectPr>
          <w:pgSz w:w="8640" w:h="12960"/>
          <w:pgMar w:header="732" w:footer="0" w:top="920" w:bottom="280" w:left="340" w:right="500"/>
        </w:sectPr>
      </w:pPr>
    </w:p>
    <w:p>
      <w:pPr>
        <w:pStyle w:val="BodyText"/>
        <w:spacing w:before="8"/>
        <w:rPr>
          <w:rFonts w:ascii="Arial"/>
          <w:sz w:val="17"/>
        </w:rPr>
      </w:pPr>
    </w:p>
    <w:p>
      <w:pPr>
        <w:spacing w:before="108"/>
        <w:ind w:left="1260" w:right="0" w:firstLine="0"/>
        <w:jc w:val="left"/>
        <w:rPr>
          <w:i/>
          <w:sz w:val="21"/>
        </w:rPr>
      </w:pPr>
      <w:r>
        <w:rPr>
          <w:b/>
          <w:i/>
          <w:color w:val="231F20"/>
          <w:sz w:val="21"/>
        </w:rPr>
        <w:t>Business</w:t>
      </w:r>
      <w:r>
        <w:rPr>
          <w:b/>
          <w:i/>
          <w:color w:val="231F20"/>
          <w:spacing w:val="2"/>
          <w:sz w:val="21"/>
        </w:rPr>
        <w:t> </w:t>
      </w:r>
      <w:r>
        <w:rPr>
          <w:b/>
          <w:i/>
          <w:color w:val="231F20"/>
          <w:sz w:val="21"/>
        </w:rPr>
        <w:t>Week,</w:t>
      </w:r>
      <w:r>
        <w:rPr>
          <w:b/>
          <w:i/>
          <w:color w:val="231F20"/>
          <w:spacing w:val="3"/>
          <w:sz w:val="21"/>
        </w:rPr>
        <w:t> </w:t>
      </w:r>
      <w:r>
        <w:rPr>
          <w:i/>
          <w:color w:val="231F20"/>
          <w:spacing w:val="-4"/>
          <w:sz w:val="21"/>
        </w:rPr>
        <w:t>2002</w:t>
      </w:r>
    </w:p>
    <w:p>
      <w:pPr>
        <w:spacing w:before="76"/>
        <w:ind w:left="1260" w:right="0" w:firstLine="0"/>
        <w:jc w:val="left"/>
        <w:rPr>
          <w:rFonts w:ascii="Arial"/>
          <w:i/>
          <w:sz w:val="19"/>
        </w:rPr>
      </w:pPr>
      <w:r>
        <w:rPr>
          <w:rFonts w:ascii="Arial"/>
          <w:i/>
          <w:color w:val="231F20"/>
          <w:w w:val="110"/>
          <w:sz w:val="19"/>
        </w:rPr>
        <w:t>Top</w:t>
      </w:r>
      <w:r>
        <w:rPr>
          <w:rFonts w:ascii="Arial"/>
          <w:i/>
          <w:color w:val="231F20"/>
          <w:spacing w:val="-5"/>
          <w:w w:val="110"/>
          <w:sz w:val="19"/>
        </w:rPr>
        <w:t> </w:t>
      </w:r>
      <w:r>
        <w:rPr>
          <w:rFonts w:ascii="Arial"/>
          <w:i/>
          <w:color w:val="231F20"/>
          <w:w w:val="110"/>
          <w:sz w:val="19"/>
        </w:rPr>
        <w:t>Executive</w:t>
      </w:r>
      <w:r>
        <w:rPr>
          <w:rFonts w:ascii="Arial"/>
          <w:i/>
          <w:color w:val="231F20"/>
          <w:spacing w:val="-4"/>
          <w:w w:val="110"/>
          <w:sz w:val="19"/>
        </w:rPr>
        <w:t> </w:t>
      </w:r>
      <w:r>
        <w:rPr>
          <w:rFonts w:ascii="Arial"/>
          <w:i/>
          <w:color w:val="231F20"/>
          <w:spacing w:val="-2"/>
          <w:w w:val="110"/>
          <w:sz w:val="19"/>
        </w:rPr>
        <w:t>Education</w:t>
      </w:r>
    </w:p>
    <w:p>
      <w:pPr>
        <w:pStyle w:val="ListParagraph"/>
        <w:numPr>
          <w:ilvl w:val="1"/>
          <w:numId w:val="11"/>
        </w:numPr>
        <w:tabs>
          <w:tab w:pos="1610" w:val="left" w:leader="none"/>
        </w:tabs>
        <w:spacing w:line="240" w:lineRule="auto" w:before="81" w:after="0"/>
        <w:ind w:left="1609" w:right="0" w:hanging="170"/>
        <w:jc w:val="left"/>
        <w:rPr>
          <w:sz w:val="19"/>
        </w:rPr>
      </w:pPr>
      <w:r>
        <w:rPr>
          <w:color w:val="231F20"/>
          <w:spacing w:val="-2"/>
          <w:w w:val="110"/>
          <w:sz w:val="19"/>
        </w:rPr>
        <w:t>Harvard</w:t>
      </w:r>
    </w:p>
    <w:p>
      <w:pPr>
        <w:pStyle w:val="ListParagraph"/>
        <w:numPr>
          <w:ilvl w:val="1"/>
          <w:numId w:val="11"/>
        </w:numPr>
        <w:tabs>
          <w:tab w:pos="1611" w:val="left" w:leader="none"/>
        </w:tabs>
        <w:spacing w:line="240" w:lineRule="auto" w:before="82" w:after="0"/>
        <w:ind w:left="1610" w:right="0" w:hanging="224"/>
        <w:jc w:val="left"/>
        <w:rPr>
          <w:sz w:val="19"/>
        </w:rPr>
      </w:pPr>
      <w:r>
        <w:rPr>
          <w:color w:val="231F20"/>
          <w:spacing w:val="-2"/>
          <w:w w:val="110"/>
          <w:sz w:val="19"/>
        </w:rPr>
        <w:t>INSEAD</w:t>
      </w:r>
    </w:p>
    <w:p>
      <w:pPr>
        <w:pStyle w:val="ListParagraph"/>
        <w:numPr>
          <w:ilvl w:val="1"/>
          <w:numId w:val="11"/>
        </w:numPr>
        <w:tabs>
          <w:tab w:pos="1611" w:val="left" w:leader="none"/>
        </w:tabs>
        <w:spacing w:line="240" w:lineRule="auto" w:before="81" w:after="0"/>
        <w:ind w:left="1610" w:right="0" w:hanging="227"/>
        <w:jc w:val="left"/>
        <w:rPr>
          <w:sz w:val="19"/>
        </w:rPr>
      </w:pPr>
      <w:r>
        <w:rPr>
          <w:color w:val="231F20"/>
          <w:spacing w:val="-2"/>
          <w:w w:val="110"/>
          <w:sz w:val="19"/>
        </w:rPr>
        <w:t>Michigan</w:t>
      </w:r>
    </w:p>
    <w:p>
      <w:pPr>
        <w:pStyle w:val="ListParagraph"/>
        <w:numPr>
          <w:ilvl w:val="1"/>
          <w:numId w:val="11"/>
        </w:numPr>
        <w:tabs>
          <w:tab w:pos="1610" w:val="left" w:leader="none"/>
        </w:tabs>
        <w:spacing w:line="240" w:lineRule="auto" w:before="82" w:after="0"/>
        <w:ind w:left="1609" w:right="0" w:hanging="237"/>
        <w:jc w:val="left"/>
        <w:rPr>
          <w:sz w:val="19"/>
        </w:rPr>
      </w:pPr>
      <w:r>
        <w:rPr>
          <w:color w:val="231F20"/>
          <w:spacing w:val="-2"/>
          <w:w w:val="115"/>
          <w:sz w:val="19"/>
        </w:rPr>
        <w:t>Stanford</w:t>
      </w:r>
    </w:p>
    <w:p>
      <w:pPr>
        <w:pStyle w:val="ListParagraph"/>
        <w:numPr>
          <w:ilvl w:val="1"/>
          <w:numId w:val="11"/>
        </w:numPr>
        <w:tabs>
          <w:tab w:pos="1610" w:val="left" w:leader="none"/>
        </w:tabs>
        <w:spacing w:line="240" w:lineRule="auto" w:before="81" w:after="0"/>
        <w:ind w:left="1609" w:right="0" w:hanging="226"/>
        <w:jc w:val="left"/>
        <w:rPr>
          <w:sz w:val="19"/>
        </w:rPr>
      </w:pPr>
      <w:r>
        <w:rPr>
          <w:color w:val="231F20"/>
          <w:spacing w:val="-2"/>
          <w:w w:val="110"/>
          <w:sz w:val="19"/>
        </w:rPr>
        <w:t>Pennsylvania</w:t>
      </w:r>
    </w:p>
    <w:p>
      <w:pPr>
        <w:pStyle w:val="ListParagraph"/>
        <w:numPr>
          <w:ilvl w:val="1"/>
          <w:numId w:val="11"/>
        </w:numPr>
        <w:tabs>
          <w:tab w:pos="1610" w:val="left" w:leader="none"/>
        </w:tabs>
        <w:spacing w:line="240" w:lineRule="auto" w:before="82" w:after="0"/>
        <w:ind w:left="1609" w:right="0" w:hanging="233"/>
        <w:jc w:val="left"/>
        <w:rPr>
          <w:sz w:val="19"/>
        </w:rPr>
      </w:pPr>
      <w:r>
        <w:rPr>
          <w:color w:val="231F20"/>
          <w:spacing w:val="-2"/>
          <w:w w:val="115"/>
          <w:sz w:val="19"/>
        </w:rPr>
        <w:t>Northwestern</w:t>
      </w:r>
    </w:p>
    <w:p>
      <w:pPr>
        <w:pStyle w:val="ListParagraph"/>
        <w:numPr>
          <w:ilvl w:val="1"/>
          <w:numId w:val="11"/>
        </w:numPr>
        <w:tabs>
          <w:tab w:pos="1610" w:val="left" w:leader="none"/>
        </w:tabs>
        <w:spacing w:line="240" w:lineRule="auto" w:before="81" w:after="0"/>
        <w:ind w:left="1609" w:right="0" w:hanging="204"/>
        <w:jc w:val="left"/>
        <w:rPr>
          <w:sz w:val="19"/>
        </w:rPr>
      </w:pPr>
      <w:r>
        <w:rPr>
          <w:color w:val="231F20"/>
          <w:w w:val="110"/>
          <w:sz w:val="19"/>
        </w:rPr>
        <w:t>London</w:t>
      </w:r>
      <w:r>
        <w:rPr>
          <w:color w:val="231F20"/>
          <w:spacing w:val="-2"/>
          <w:w w:val="110"/>
          <w:sz w:val="19"/>
        </w:rPr>
        <w:t> </w:t>
      </w:r>
      <w:r>
        <w:rPr>
          <w:color w:val="231F20"/>
          <w:w w:val="110"/>
          <w:sz w:val="19"/>
        </w:rPr>
        <w:t>Business</w:t>
      </w:r>
      <w:r>
        <w:rPr>
          <w:color w:val="231F20"/>
          <w:spacing w:val="-2"/>
          <w:w w:val="110"/>
          <w:sz w:val="19"/>
        </w:rPr>
        <w:t> School</w:t>
      </w:r>
    </w:p>
    <w:p>
      <w:pPr>
        <w:pStyle w:val="ListParagraph"/>
        <w:numPr>
          <w:ilvl w:val="1"/>
          <w:numId w:val="11"/>
        </w:numPr>
        <w:tabs>
          <w:tab w:pos="1611" w:val="left" w:leader="none"/>
        </w:tabs>
        <w:spacing w:line="240" w:lineRule="auto" w:before="82" w:after="0"/>
        <w:ind w:left="1610" w:right="0" w:hanging="230"/>
        <w:jc w:val="left"/>
        <w:rPr>
          <w:sz w:val="19"/>
        </w:rPr>
      </w:pPr>
      <w:r>
        <w:rPr>
          <w:color w:val="231F20"/>
          <w:spacing w:val="-5"/>
          <w:w w:val="105"/>
          <w:sz w:val="19"/>
        </w:rPr>
        <w:t>IMD</w:t>
      </w:r>
    </w:p>
    <w:p>
      <w:pPr>
        <w:pStyle w:val="ListParagraph"/>
        <w:numPr>
          <w:ilvl w:val="1"/>
          <w:numId w:val="11"/>
        </w:numPr>
        <w:tabs>
          <w:tab w:pos="1610" w:val="left" w:leader="none"/>
        </w:tabs>
        <w:spacing w:line="240" w:lineRule="auto" w:before="81" w:after="0"/>
        <w:ind w:left="1609" w:right="0" w:hanging="231"/>
        <w:jc w:val="left"/>
        <w:rPr>
          <w:sz w:val="19"/>
        </w:rPr>
      </w:pPr>
      <w:r>
        <w:rPr>
          <w:color w:val="231F20"/>
          <w:spacing w:val="-2"/>
          <w:w w:val="115"/>
          <w:sz w:val="19"/>
        </w:rPr>
        <w:t>Columbia</w:t>
      </w:r>
    </w:p>
    <w:p>
      <w:pPr>
        <w:pStyle w:val="ListParagraph"/>
        <w:numPr>
          <w:ilvl w:val="1"/>
          <w:numId w:val="11"/>
        </w:numPr>
        <w:tabs>
          <w:tab w:pos="1610" w:val="left" w:leader="none"/>
        </w:tabs>
        <w:spacing w:line="240" w:lineRule="auto" w:before="82" w:after="0"/>
        <w:ind w:left="1610" w:right="0" w:hanging="311"/>
        <w:jc w:val="left"/>
        <w:rPr>
          <w:sz w:val="19"/>
        </w:rPr>
      </w:pPr>
      <w:r>
        <w:rPr>
          <w:color w:val="231F20"/>
          <w:w w:val="110"/>
          <w:sz w:val="19"/>
        </w:rPr>
        <w:t>IESE—</w:t>
      </w:r>
      <w:r>
        <w:rPr>
          <w:color w:val="231F20"/>
          <w:spacing w:val="-38"/>
          <w:w w:val="110"/>
          <w:sz w:val="19"/>
        </w:rPr>
        <w:t> </w:t>
      </w:r>
      <w:r>
        <w:rPr>
          <w:color w:val="231F20"/>
          <w:w w:val="110"/>
          <w:sz w:val="19"/>
        </w:rPr>
        <w:t>Instituto</w:t>
      </w:r>
      <w:r>
        <w:rPr>
          <w:color w:val="231F20"/>
          <w:spacing w:val="-1"/>
          <w:w w:val="110"/>
          <w:sz w:val="19"/>
        </w:rPr>
        <w:t> </w:t>
      </w:r>
      <w:r>
        <w:rPr>
          <w:color w:val="231F20"/>
          <w:w w:val="110"/>
          <w:sz w:val="19"/>
        </w:rPr>
        <w:t>de</w:t>
      </w:r>
      <w:r>
        <w:rPr>
          <w:color w:val="231F20"/>
          <w:spacing w:val="-1"/>
          <w:w w:val="110"/>
          <w:sz w:val="19"/>
        </w:rPr>
        <w:t> </w:t>
      </w:r>
      <w:r>
        <w:rPr>
          <w:color w:val="231F20"/>
          <w:w w:val="110"/>
          <w:sz w:val="19"/>
        </w:rPr>
        <w:t>Estudios</w:t>
      </w:r>
      <w:r>
        <w:rPr>
          <w:color w:val="231F20"/>
          <w:spacing w:val="-1"/>
          <w:w w:val="110"/>
          <w:sz w:val="19"/>
        </w:rPr>
        <w:t> </w:t>
      </w:r>
      <w:r>
        <w:rPr>
          <w:color w:val="231F20"/>
          <w:w w:val="110"/>
          <w:sz w:val="19"/>
        </w:rPr>
        <w:t>Superiores</w:t>
      </w:r>
      <w:r>
        <w:rPr>
          <w:color w:val="231F20"/>
          <w:spacing w:val="-1"/>
          <w:w w:val="110"/>
          <w:sz w:val="19"/>
        </w:rPr>
        <w:t> </w:t>
      </w:r>
      <w:r>
        <w:rPr>
          <w:color w:val="231F20"/>
          <w:w w:val="110"/>
          <w:sz w:val="19"/>
        </w:rPr>
        <w:t>de</w:t>
      </w:r>
      <w:r>
        <w:rPr>
          <w:color w:val="231F20"/>
          <w:spacing w:val="-1"/>
          <w:w w:val="110"/>
          <w:sz w:val="19"/>
        </w:rPr>
        <w:t> </w:t>
      </w:r>
      <w:r>
        <w:rPr>
          <w:color w:val="231F20"/>
          <w:w w:val="110"/>
          <w:sz w:val="19"/>
        </w:rPr>
        <w:t>la </w:t>
      </w:r>
      <w:r>
        <w:rPr>
          <w:color w:val="231F20"/>
          <w:spacing w:val="-2"/>
          <w:w w:val="110"/>
          <w:sz w:val="19"/>
        </w:rPr>
        <w:t>Empresa</w:t>
      </w:r>
    </w:p>
    <w:p>
      <w:pPr>
        <w:pStyle w:val="ListParagraph"/>
        <w:numPr>
          <w:ilvl w:val="1"/>
          <w:numId w:val="11"/>
        </w:numPr>
        <w:tabs>
          <w:tab w:pos="1611" w:val="left" w:leader="none"/>
        </w:tabs>
        <w:spacing w:line="240" w:lineRule="auto" w:before="81" w:after="0"/>
        <w:ind w:left="1610" w:right="0" w:hanging="247"/>
        <w:jc w:val="left"/>
        <w:rPr>
          <w:sz w:val="19"/>
        </w:rPr>
      </w:pPr>
      <w:r>
        <w:rPr>
          <w:color w:val="231F20"/>
          <w:spacing w:val="-2"/>
          <w:w w:val="115"/>
          <w:sz w:val="19"/>
        </w:rPr>
        <w:t>Virginia</w:t>
      </w:r>
    </w:p>
    <w:p>
      <w:pPr>
        <w:pStyle w:val="ListParagraph"/>
        <w:numPr>
          <w:ilvl w:val="1"/>
          <w:numId w:val="11"/>
        </w:numPr>
        <w:tabs>
          <w:tab w:pos="1611" w:val="left" w:leader="none"/>
        </w:tabs>
        <w:spacing w:line="240" w:lineRule="auto" w:before="82" w:after="0"/>
        <w:ind w:left="1610" w:right="0" w:hanging="293"/>
        <w:jc w:val="left"/>
        <w:rPr>
          <w:sz w:val="19"/>
        </w:rPr>
      </w:pPr>
      <w:r>
        <w:rPr>
          <w:color w:val="231F20"/>
          <w:spacing w:val="-4"/>
          <w:w w:val="110"/>
          <w:sz w:val="19"/>
        </w:rPr>
        <w:t>Duke</w:t>
      </w:r>
    </w:p>
    <w:p>
      <w:pPr>
        <w:pStyle w:val="ListParagraph"/>
        <w:numPr>
          <w:ilvl w:val="1"/>
          <w:numId w:val="11"/>
        </w:numPr>
        <w:tabs>
          <w:tab w:pos="1610" w:val="left" w:leader="none"/>
        </w:tabs>
        <w:spacing w:line="240" w:lineRule="auto" w:before="81" w:after="0"/>
        <w:ind w:left="1609" w:right="0" w:hanging="295"/>
        <w:jc w:val="left"/>
        <w:rPr>
          <w:sz w:val="19"/>
        </w:rPr>
      </w:pPr>
      <w:r>
        <w:rPr>
          <w:color w:val="231F20"/>
          <w:spacing w:val="-2"/>
          <w:w w:val="115"/>
          <w:sz w:val="19"/>
        </w:rPr>
        <w:t>Center</w:t>
      </w:r>
      <w:r>
        <w:rPr>
          <w:color w:val="231F20"/>
          <w:spacing w:val="-10"/>
          <w:w w:val="115"/>
          <w:sz w:val="19"/>
        </w:rPr>
        <w:t> </w:t>
      </w:r>
      <w:r>
        <w:rPr>
          <w:color w:val="231F20"/>
          <w:spacing w:val="-2"/>
          <w:w w:val="115"/>
          <w:sz w:val="19"/>
        </w:rPr>
        <w:t>for</w:t>
      </w:r>
      <w:r>
        <w:rPr>
          <w:color w:val="231F20"/>
          <w:spacing w:val="-10"/>
          <w:w w:val="115"/>
          <w:sz w:val="19"/>
        </w:rPr>
        <w:t> </w:t>
      </w:r>
      <w:r>
        <w:rPr>
          <w:color w:val="231F20"/>
          <w:spacing w:val="-2"/>
          <w:w w:val="115"/>
          <w:sz w:val="19"/>
        </w:rPr>
        <w:t>Creative</w:t>
      </w:r>
      <w:r>
        <w:rPr>
          <w:color w:val="231F20"/>
          <w:spacing w:val="-10"/>
          <w:w w:val="115"/>
          <w:sz w:val="19"/>
        </w:rPr>
        <w:t> </w:t>
      </w:r>
      <w:r>
        <w:rPr>
          <w:color w:val="231F20"/>
          <w:spacing w:val="-2"/>
          <w:w w:val="115"/>
          <w:sz w:val="19"/>
        </w:rPr>
        <w:t>Leadership</w:t>
      </w:r>
    </w:p>
    <w:p>
      <w:pPr>
        <w:pStyle w:val="ListParagraph"/>
        <w:numPr>
          <w:ilvl w:val="1"/>
          <w:numId w:val="11"/>
        </w:numPr>
        <w:tabs>
          <w:tab w:pos="1611" w:val="left" w:leader="none"/>
        </w:tabs>
        <w:spacing w:line="240" w:lineRule="auto" w:before="82" w:after="0"/>
        <w:ind w:left="1610" w:right="0" w:hanging="307"/>
        <w:jc w:val="left"/>
        <w:rPr>
          <w:sz w:val="19"/>
        </w:rPr>
      </w:pPr>
      <w:r>
        <w:rPr>
          <w:color w:val="231F20"/>
          <w:spacing w:val="-5"/>
          <w:w w:val="105"/>
          <w:sz w:val="19"/>
        </w:rPr>
        <w:t>MIT</w:t>
      </w:r>
    </w:p>
    <w:p>
      <w:pPr>
        <w:pStyle w:val="ListParagraph"/>
        <w:numPr>
          <w:ilvl w:val="1"/>
          <w:numId w:val="11"/>
        </w:numPr>
        <w:tabs>
          <w:tab w:pos="1611" w:val="left" w:leader="none"/>
        </w:tabs>
        <w:spacing w:line="240" w:lineRule="auto" w:before="81" w:after="0"/>
        <w:ind w:left="1610" w:right="0" w:hanging="296"/>
        <w:jc w:val="left"/>
        <w:rPr>
          <w:sz w:val="19"/>
        </w:rPr>
      </w:pPr>
      <w:r>
        <w:rPr>
          <w:color w:val="231F20"/>
          <w:w w:val="110"/>
          <w:sz w:val="19"/>
        </w:rPr>
        <w:t>Cranfield</w:t>
      </w:r>
      <w:r>
        <w:rPr>
          <w:color w:val="231F20"/>
          <w:spacing w:val="13"/>
          <w:w w:val="110"/>
          <w:sz w:val="19"/>
        </w:rPr>
        <w:t> </w:t>
      </w:r>
      <w:r>
        <w:rPr>
          <w:color w:val="231F20"/>
          <w:w w:val="110"/>
          <w:sz w:val="19"/>
        </w:rPr>
        <w:t>School</w:t>
      </w:r>
      <w:r>
        <w:rPr>
          <w:color w:val="231F20"/>
          <w:spacing w:val="13"/>
          <w:w w:val="110"/>
          <w:sz w:val="19"/>
        </w:rPr>
        <w:t> </w:t>
      </w:r>
      <w:r>
        <w:rPr>
          <w:color w:val="231F20"/>
          <w:w w:val="110"/>
          <w:sz w:val="19"/>
        </w:rPr>
        <w:t>of</w:t>
      </w:r>
      <w:r>
        <w:rPr>
          <w:color w:val="231F20"/>
          <w:spacing w:val="13"/>
          <w:w w:val="110"/>
          <w:sz w:val="19"/>
        </w:rPr>
        <w:t> </w:t>
      </w:r>
      <w:r>
        <w:rPr>
          <w:color w:val="231F20"/>
          <w:w w:val="110"/>
          <w:sz w:val="19"/>
        </w:rPr>
        <w:t>Management</w:t>
      </w:r>
      <w:r>
        <w:rPr>
          <w:color w:val="231F20"/>
          <w:spacing w:val="13"/>
          <w:w w:val="110"/>
          <w:sz w:val="19"/>
        </w:rPr>
        <w:t> </w:t>
      </w:r>
      <w:r>
        <w:rPr>
          <w:color w:val="231F20"/>
          <w:spacing w:val="-4"/>
          <w:w w:val="110"/>
          <w:sz w:val="19"/>
        </w:rPr>
        <w:t>(UK)</w:t>
      </w:r>
    </w:p>
    <w:p>
      <w:pPr>
        <w:spacing w:after="0" w:line="240" w:lineRule="auto"/>
        <w:jc w:val="left"/>
        <w:rPr>
          <w:sz w:val="19"/>
        </w:rPr>
        <w:sectPr>
          <w:pgSz w:w="8640" w:h="12960"/>
          <w:pgMar w:header="734" w:footer="0" w:top="920" w:bottom="280" w:left="340" w:right="500"/>
        </w:sectPr>
      </w:pPr>
    </w:p>
    <w:p>
      <w:pPr>
        <w:pStyle w:val="BodyText"/>
        <w:spacing w:before="4"/>
        <w:rPr>
          <w:rFonts w:ascii="Arial"/>
          <w:sz w:val="17"/>
        </w:rPr>
      </w:pPr>
    </w:p>
    <w:p>
      <w:pPr>
        <w:spacing w:after="0"/>
        <w:rPr>
          <w:rFonts w:ascii="Arial"/>
          <w:sz w:val="17"/>
        </w:rPr>
        <w:sectPr>
          <w:headerReference w:type="even" r:id="rId13"/>
          <w:pgSz w:w="8640" w:h="12960"/>
          <w:pgMar w:header="0" w:footer="0" w:top="1220" w:bottom="280" w:left="340" w:right="50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9"/>
        </w:rPr>
      </w:pPr>
    </w:p>
    <w:p>
      <w:pPr>
        <w:spacing w:before="86"/>
        <w:ind w:left="469" w:right="219" w:firstLine="0"/>
        <w:jc w:val="center"/>
        <w:rPr>
          <w:b/>
          <w:i/>
          <w:sz w:val="40"/>
        </w:rPr>
      </w:pPr>
      <w:bookmarkStart w:name="Day 1" w:id="9"/>
      <w:bookmarkEnd w:id="9"/>
      <w:r>
        <w:rPr/>
      </w:r>
      <w:bookmarkStart w:name="_bookmark4" w:id="10"/>
      <w:bookmarkEnd w:id="10"/>
      <w:r>
        <w:rPr/>
      </w:r>
      <w:hyperlink w:history="true" w:anchor="_bookmark1">
        <w:r>
          <w:rPr>
            <w:b/>
            <w:i/>
            <w:color w:val="0000FF"/>
            <w:spacing w:val="12"/>
            <w:sz w:val="40"/>
          </w:rPr>
          <w:t>Day</w:t>
        </w:r>
        <w:r>
          <w:rPr>
            <w:b/>
            <w:i/>
            <w:color w:val="0000FF"/>
            <w:spacing w:val="68"/>
            <w:sz w:val="40"/>
          </w:rPr>
          <w:t> </w:t>
        </w:r>
        <w:r>
          <w:rPr>
            <w:b/>
            <w:i/>
            <w:color w:val="0000FF"/>
            <w:spacing w:val="-10"/>
            <w:sz w:val="40"/>
          </w:rPr>
          <w:t>1</w:t>
        </w:r>
      </w:hyperlink>
    </w:p>
    <w:p>
      <w:pPr>
        <w:pStyle w:val="BodyText"/>
        <w:spacing w:before="10"/>
        <w:rPr>
          <w:b/>
          <w:i/>
          <w:sz w:val="10"/>
        </w:rPr>
      </w:pPr>
      <w:r>
        <w:rPr/>
        <w:pict>
          <v:shape style="position:absolute;margin-left:180.25pt;margin-top:7.583056pt;width:76pt;height:.1pt;mso-position-horizontal-relative:page;mso-position-vertical-relative:paragraph;z-index:-15725568;mso-wrap-distance-left:0;mso-wrap-distance-right:0" id="docshape14" coordorigin="3605,152" coordsize="1520,0" path="m3605,152l5125,152e" filled="false" stroked="true" strokeweight="6pt" strokecolor="#d1d3d4">
            <v:path arrowok="t"/>
            <v:stroke dashstyle="solid"/>
            <w10:wrap type="topAndBottom"/>
          </v:shape>
        </w:pict>
      </w:r>
    </w:p>
    <w:p>
      <w:pPr>
        <w:pStyle w:val="Heading1"/>
        <w:ind w:left="510"/>
      </w:pPr>
      <w:r>
        <w:rPr>
          <w:color w:val="231F20"/>
          <w:spacing w:val="39"/>
          <w:w w:val="90"/>
        </w:rPr>
        <w:t>MARKETING</w:t>
      </w:r>
    </w:p>
    <w:p>
      <w:pPr>
        <w:pStyle w:val="BodyText"/>
        <w:spacing w:before="6"/>
        <w:rPr>
          <w:rFonts w:ascii="Trebuchet MS"/>
          <w:sz w:val="78"/>
        </w:rPr>
      </w:pPr>
    </w:p>
    <w:p>
      <w:pPr>
        <w:pStyle w:val="Heading5"/>
        <w:ind w:left="480"/>
        <w:rPr>
          <w:i/>
        </w:rPr>
      </w:pPr>
      <w:r>
        <w:rPr>
          <w:i/>
          <w:color w:val="231F20"/>
          <w:spacing w:val="9"/>
          <w:w w:val="90"/>
        </w:rPr>
        <w:t>Marketing</w:t>
      </w:r>
      <w:r>
        <w:rPr>
          <w:i/>
          <w:color w:val="231F20"/>
          <w:spacing w:val="51"/>
        </w:rPr>
        <w:t> </w:t>
      </w:r>
      <w:r>
        <w:rPr>
          <w:i/>
          <w:color w:val="231F20"/>
          <w:spacing w:val="-2"/>
        </w:rPr>
        <w:t>Topics</w:t>
      </w:r>
    </w:p>
    <w:p>
      <w:pPr>
        <w:spacing w:line="328" w:lineRule="auto" w:before="71"/>
        <w:ind w:left="1260" w:right="1742" w:firstLine="0"/>
        <w:jc w:val="left"/>
        <w:rPr>
          <w:rFonts w:ascii="Arial"/>
          <w:sz w:val="19"/>
        </w:rPr>
      </w:pPr>
      <w:r>
        <w:rPr>
          <w:rFonts w:ascii="Arial"/>
          <w:color w:val="808285"/>
          <w:w w:val="115"/>
          <w:sz w:val="19"/>
        </w:rPr>
        <w:t>The 7 Steps of Marketing Strategy Development The Buying Process</w:t>
      </w:r>
    </w:p>
    <w:p>
      <w:pPr>
        <w:spacing w:line="328" w:lineRule="auto" w:before="1"/>
        <w:ind w:left="1260" w:right="4535" w:firstLine="0"/>
        <w:jc w:val="left"/>
        <w:rPr>
          <w:rFonts w:ascii="Arial"/>
          <w:sz w:val="19"/>
        </w:rPr>
      </w:pPr>
      <w:r>
        <w:rPr>
          <w:rFonts w:ascii="Arial"/>
          <w:color w:val="808285"/>
          <w:spacing w:val="-2"/>
          <w:w w:val="115"/>
          <w:sz w:val="19"/>
        </w:rPr>
        <w:t>Segmentation </w:t>
      </w:r>
      <w:r>
        <w:rPr>
          <w:rFonts w:ascii="Arial"/>
          <w:color w:val="808285"/>
          <w:w w:val="115"/>
          <w:sz w:val="19"/>
        </w:rPr>
        <w:t>Product Life Cycle Perceptual</w:t>
      </w:r>
      <w:r>
        <w:rPr>
          <w:rFonts w:ascii="Arial"/>
          <w:color w:val="808285"/>
          <w:spacing w:val="-16"/>
          <w:w w:val="115"/>
          <w:sz w:val="19"/>
        </w:rPr>
        <w:t> </w:t>
      </w:r>
      <w:r>
        <w:rPr>
          <w:rFonts w:ascii="Arial"/>
          <w:color w:val="808285"/>
          <w:w w:val="115"/>
          <w:sz w:val="19"/>
        </w:rPr>
        <w:t>Mapping </w:t>
      </w:r>
      <w:r>
        <w:rPr>
          <w:rFonts w:ascii="Arial"/>
          <w:color w:val="808285"/>
          <w:spacing w:val="-2"/>
          <w:w w:val="115"/>
          <w:sz w:val="19"/>
        </w:rPr>
        <w:t>Margins</w:t>
      </w:r>
    </w:p>
    <w:p>
      <w:pPr>
        <w:spacing w:line="328" w:lineRule="auto" w:before="3"/>
        <w:ind w:left="1260" w:right="3159" w:firstLine="0"/>
        <w:jc w:val="left"/>
        <w:rPr>
          <w:rFonts w:ascii="Arial" w:hAnsi="Arial"/>
          <w:sz w:val="19"/>
        </w:rPr>
      </w:pPr>
      <w:r>
        <w:rPr>
          <w:rFonts w:ascii="Arial" w:hAnsi="Arial"/>
          <w:color w:val="808285"/>
          <w:w w:val="115"/>
          <w:sz w:val="19"/>
        </w:rPr>
        <w:t>The</w:t>
      </w:r>
      <w:r>
        <w:rPr>
          <w:rFonts w:ascii="Arial" w:hAnsi="Arial"/>
          <w:color w:val="808285"/>
          <w:spacing w:val="-8"/>
          <w:w w:val="115"/>
          <w:sz w:val="19"/>
        </w:rPr>
        <w:t> </w:t>
      </w:r>
      <w:r>
        <w:rPr>
          <w:rFonts w:ascii="Arial" w:hAnsi="Arial"/>
          <w:color w:val="808285"/>
          <w:w w:val="115"/>
          <w:sz w:val="19"/>
        </w:rPr>
        <w:t>Marketing</w:t>
      </w:r>
      <w:r>
        <w:rPr>
          <w:rFonts w:ascii="Arial" w:hAnsi="Arial"/>
          <w:color w:val="808285"/>
          <w:spacing w:val="-8"/>
          <w:w w:val="115"/>
          <w:sz w:val="19"/>
        </w:rPr>
        <w:t> </w:t>
      </w:r>
      <w:r>
        <w:rPr>
          <w:rFonts w:ascii="Arial" w:hAnsi="Arial"/>
          <w:color w:val="808285"/>
          <w:w w:val="115"/>
          <w:sz w:val="19"/>
        </w:rPr>
        <w:t>Mix</w:t>
      </w:r>
      <w:r>
        <w:rPr>
          <w:rFonts w:ascii="Arial" w:hAnsi="Arial"/>
          <w:color w:val="808285"/>
          <w:spacing w:val="-8"/>
          <w:w w:val="115"/>
          <w:sz w:val="19"/>
        </w:rPr>
        <w:t> </w:t>
      </w:r>
      <w:r>
        <w:rPr>
          <w:rFonts w:ascii="Arial" w:hAnsi="Arial"/>
          <w:color w:val="808285"/>
          <w:w w:val="115"/>
          <w:sz w:val="19"/>
        </w:rPr>
        <w:t>and</w:t>
      </w:r>
      <w:r>
        <w:rPr>
          <w:rFonts w:ascii="Arial" w:hAnsi="Arial"/>
          <w:color w:val="808285"/>
          <w:spacing w:val="-8"/>
          <w:w w:val="115"/>
          <w:sz w:val="19"/>
        </w:rPr>
        <w:t> </w:t>
      </w:r>
      <w:r>
        <w:rPr>
          <w:rFonts w:ascii="Arial" w:hAnsi="Arial"/>
          <w:color w:val="808285"/>
          <w:w w:val="115"/>
          <w:sz w:val="19"/>
        </w:rPr>
        <w:t>the</w:t>
      </w:r>
      <w:r>
        <w:rPr>
          <w:rFonts w:ascii="Arial" w:hAnsi="Arial"/>
          <w:color w:val="808285"/>
          <w:spacing w:val="-8"/>
          <w:w w:val="115"/>
          <w:sz w:val="19"/>
        </w:rPr>
        <w:t> </w:t>
      </w:r>
      <w:r>
        <w:rPr>
          <w:rFonts w:ascii="Arial" w:hAnsi="Arial"/>
          <w:color w:val="808285"/>
          <w:w w:val="115"/>
          <w:sz w:val="19"/>
        </w:rPr>
        <w:t>4</w:t>
      </w:r>
      <w:r>
        <w:rPr>
          <w:rFonts w:ascii="Arial" w:hAnsi="Arial"/>
          <w:color w:val="808285"/>
          <w:spacing w:val="-8"/>
          <w:w w:val="115"/>
          <w:sz w:val="19"/>
        </w:rPr>
        <w:t> </w:t>
      </w:r>
      <w:r>
        <w:rPr>
          <w:rFonts w:ascii="Arial" w:hAnsi="Arial"/>
          <w:color w:val="808285"/>
          <w:w w:val="115"/>
          <w:sz w:val="19"/>
        </w:rPr>
        <w:t>P’s </w:t>
      </w:r>
      <w:r>
        <w:rPr>
          <w:rFonts w:ascii="Arial" w:hAnsi="Arial"/>
          <w:color w:val="808285"/>
          <w:spacing w:val="-2"/>
          <w:w w:val="115"/>
          <w:sz w:val="19"/>
        </w:rPr>
        <w:t>Positioning</w:t>
      </w:r>
    </w:p>
    <w:p>
      <w:pPr>
        <w:spacing w:line="328" w:lineRule="auto" w:before="1"/>
        <w:ind w:left="1260" w:right="4321" w:firstLine="0"/>
        <w:jc w:val="left"/>
        <w:rPr>
          <w:rFonts w:ascii="Arial"/>
          <w:sz w:val="19"/>
        </w:rPr>
      </w:pPr>
      <w:r>
        <w:rPr>
          <w:rFonts w:ascii="Arial"/>
          <w:color w:val="808285"/>
          <w:w w:val="115"/>
          <w:sz w:val="19"/>
        </w:rPr>
        <w:t>Distribution</w:t>
      </w:r>
      <w:r>
        <w:rPr>
          <w:rFonts w:ascii="Arial"/>
          <w:color w:val="808285"/>
          <w:spacing w:val="-9"/>
          <w:w w:val="115"/>
          <w:sz w:val="19"/>
        </w:rPr>
        <w:t> </w:t>
      </w:r>
      <w:r>
        <w:rPr>
          <w:rFonts w:ascii="Arial"/>
          <w:color w:val="808285"/>
          <w:w w:val="115"/>
          <w:sz w:val="19"/>
        </w:rPr>
        <w:t>Channels </w:t>
      </w:r>
      <w:r>
        <w:rPr>
          <w:rFonts w:ascii="Arial"/>
          <w:color w:val="808285"/>
          <w:spacing w:val="-2"/>
          <w:w w:val="120"/>
          <w:sz w:val="19"/>
        </w:rPr>
        <w:t>Advertising Promotions</w:t>
      </w:r>
    </w:p>
    <w:p>
      <w:pPr>
        <w:spacing w:before="2"/>
        <w:ind w:left="1260" w:right="0" w:firstLine="0"/>
        <w:jc w:val="left"/>
        <w:rPr>
          <w:rFonts w:ascii="Arial"/>
          <w:sz w:val="19"/>
        </w:rPr>
      </w:pPr>
      <w:r>
        <w:rPr>
          <w:rFonts w:ascii="Arial"/>
          <w:color w:val="808285"/>
          <w:spacing w:val="-2"/>
          <w:w w:val="115"/>
          <w:sz w:val="19"/>
        </w:rPr>
        <w:t>Pricing</w:t>
      </w:r>
    </w:p>
    <w:p>
      <w:pPr>
        <w:spacing w:before="82"/>
        <w:ind w:left="1260" w:right="0" w:firstLine="0"/>
        <w:jc w:val="left"/>
        <w:rPr>
          <w:rFonts w:ascii="Arial"/>
          <w:sz w:val="19"/>
        </w:rPr>
      </w:pPr>
      <w:r>
        <w:rPr>
          <w:rFonts w:ascii="Arial"/>
          <w:color w:val="808285"/>
          <w:w w:val="115"/>
          <w:sz w:val="19"/>
        </w:rPr>
        <w:t>Marketing</w:t>
      </w:r>
      <w:r>
        <w:rPr>
          <w:rFonts w:ascii="Arial"/>
          <w:color w:val="808285"/>
          <w:spacing w:val="12"/>
          <w:w w:val="115"/>
          <w:sz w:val="19"/>
        </w:rPr>
        <w:t> </w:t>
      </w:r>
      <w:r>
        <w:rPr>
          <w:rFonts w:ascii="Arial"/>
          <w:color w:val="808285"/>
          <w:spacing w:val="-2"/>
          <w:w w:val="115"/>
          <w:sz w:val="19"/>
        </w:rPr>
        <w:t>Economics</w:t>
      </w:r>
    </w:p>
    <w:p>
      <w:pPr>
        <w:pStyle w:val="BodyText"/>
        <w:rPr>
          <w:rFonts w:ascii="Arial"/>
          <w:sz w:val="20"/>
        </w:rPr>
      </w:pPr>
    </w:p>
    <w:p>
      <w:pPr>
        <w:pStyle w:val="BodyText"/>
        <w:rPr>
          <w:rFonts w:ascii="Arial"/>
          <w:sz w:val="20"/>
        </w:rPr>
      </w:pPr>
    </w:p>
    <w:p>
      <w:pPr>
        <w:pStyle w:val="BodyText"/>
        <w:spacing w:before="4"/>
        <w:rPr>
          <w:rFonts w:ascii="Arial"/>
          <w:sz w:val="17"/>
        </w:rPr>
      </w:pPr>
    </w:p>
    <w:p>
      <w:pPr>
        <w:pStyle w:val="BodyText"/>
        <w:spacing w:before="1"/>
        <w:ind w:left="1260"/>
        <w:jc w:val="both"/>
      </w:pPr>
      <w:r>
        <w:rPr>
          <w:color w:val="231F20"/>
          <w:w w:val="105"/>
        </w:rPr>
        <w:t>A</w:t>
      </w:r>
      <w:r>
        <w:rPr>
          <w:color w:val="231F20"/>
          <w:spacing w:val="-10"/>
          <w:w w:val="105"/>
        </w:rPr>
        <w:t> </w:t>
      </w:r>
      <w:r>
        <w:rPr>
          <w:color w:val="231F20"/>
          <w:w w:val="105"/>
        </w:rPr>
        <w:t>scene</w:t>
      </w:r>
      <w:r>
        <w:rPr>
          <w:color w:val="231F20"/>
          <w:spacing w:val="-9"/>
          <w:w w:val="105"/>
        </w:rPr>
        <w:t> </w:t>
      </w:r>
      <w:r>
        <w:rPr>
          <w:color w:val="231F20"/>
          <w:w w:val="105"/>
        </w:rPr>
        <w:t>from</w:t>
      </w:r>
      <w:r>
        <w:rPr>
          <w:color w:val="231F20"/>
          <w:spacing w:val="-10"/>
          <w:w w:val="105"/>
        </w:rPr>
        <w:t> </w:t>
      </w:r>
      <w:r>
        <w:rPr>
          <w:color w:val="231F20"/>
          <w:w w:val="105"/>
        </w:rPr>
        <w:t>the</w:t>
      </w:r>
      <w:r>
        <w:rPr>
          <w:color w:val="231F20"/>
          <w:spacing w:val="-9"/>
          <w:w w:val="105"/>
        </w:rPr>
        <w:t> </w:t>
      </w:r>
      <w:r>
        <w:rPr>
          <w:color w:val="231F20"/>
          <w:w w:val="105"/>
        </w:rPr>
        <w:t>boardroom</w:t>
      </w:r>
      <w:r>
        <w:rPr>
          <w:color w:val="231F20"/>
          <w:spacing w:val="-9"/>
          <w:w w:val="105"/>
        </w:rPr>
        <w:t> </w:t>
      </w:r>
      <w:r>
        <w:rPr>
          <w:color w:val="231F20"/>
          <w:w w:val="105"/>
        </w:rPr>
        <w:t>of</w:t>
      </w:r>
      <w:r>
        <w:rPr>
          <w:color w:val="231F20"/>
          <w:spacing w:val="-10"/>
          <w:w w:val="105"/>
        </w:rPr>
        <w:t> </w:t>
      </w:r>
      <w:r>
        <w:rPr>
          <w:color w:val="231F20"/>
          <w:w w:val="105"/>
        </w:rPr>
        <w:t>Acme</w:t>
      </w:r>
      <w:r>
        <w:rPr>
          <w:color w:val="231F20"/>
          <w:spacing w:val="-9"/>
          <w:w w:val="105"/>
        </w:rPr>
        <w:t> </w:t>
      </w:r>
      <w:r>
        <w:rPr>
          <w:color w:val="231F20"/>
          <w:spacing w:val="-2"/>
          <w:w w:val="105"/>
        </w:rPr>
        <w:t>Corporation:</w:t>
      </w:r>
    </w:p>
    <w:p>
      <w:pPr>
        <w:pStyle w:val="BodyText"/>
        <w:spacing w:before="9"/>
        <w:rPr>
          <w:sz w:val="31"/>
        </w:rPr>
      </w:pPr>
    </w:p>
    <w:p>
      <w:pPr>
        <w:spacing w:line="324" w:lineRule="auto" w:before="0"/>
        <w:ind w:left="1259" w:right="1005" w:firstLine="0"/>
        <w:jc w:val="both"/>
        <w:rPr>
          <w:sz w:val="19"/>
        </w:rPr>
      </w:pPr>
      <w:r>
        <w:rPr>
          <w:rFonts w:ascii="Arial" w:hAnsi="Arial"/>
          <w:color w:val="231F20"/>
          <w:w w:val="105"/>
          <w:sz w:val="16"/>
        </w:rPr>
        <w:t>DIRECTOR:</w:t>
      </w:r>
      <w:r>
        <w:rPr>
          <w:rFonts w:ascii="Arial" w:hAnsi="Arial"/>
          <w:color w:val="231F20"/>
          <w:w w:val="105"/>
          <w:sz w:val="16"/>
        </w:rPr>
        <w:t> </w:t>
      </w:r>
      <w:r>
        <w:rPr>
          <w:color w:val="231F20"/>
          <w:w w:val="105"/>
          <w:sz w:val="19"/>
        </w:rPr>
        <w:t>Every</w:t>
      </w:r>
      <w:r>
        <w:rPr>
          <w:color w:val="231F20"/>
          <w:w w:val="105"/>
          <w:sz w:val="19"/>
        </w:rPr>
        <w:t> time</w:t>
      </w:r>
      <w:r>
        <w:rPr>
          <w:color w:val="231F20"/>
          <w:w w:val="105"/>
          <w:sz w:val="19"/>
        </w:rPr>
        <w:t> we</w:t>
      </w:r>
      <w:r>
        <w:rPr>
          <w:color w:val="231F20"/>
          <w:w w:val="105"/>
          <w:sz w:val="19"/>
        </w:rPr>
        <w:t> do</w:t>
      </w:r>
      <w:r>
        <w:rPr>
          <w:color w:val="231F20"/>
          <w:w w:val="105"/>
          <w:sz w:val="19"/>
        </w:rPr>
        <w:t> our</w:t>
      </w:r>
      <w:r>
        <w:rPr>
          <w:color w:val="231F20"/>
          <w:w w:val="105"/>
          <w:sz w:val="19"/>
        </w:rPr>
        <w:t> annual</w:t>
      </w:r>
      <w:r>
        <w:rPr>
          <w:color w:val="231F20"/>
          <w:w w:val="105"/>
          <w:sz w:val="19"/>
        </w:rPr>
        <w:t> review</w:t>
      </w:r>
      <w:r>
        <w:rPr>
          <w:color w:val="231F20"/>
          <w:w w:val="105"/>
          <w:sz w:val="19"/>
        </w:rPr>
        <w:t> of</w:t>
      </w:r>
      <w:r>
        <w:rPr>
          <w:color w:val="231F20"/>
          <w:w w:val="105"/>
          <w:sz w:val="19"/>
        </w:rPr>
        <w:t> our</w:t>
      </w:r>
      <w:r>
        <w:rPr>
          <w:color w:val="231F20"/>
          <w:w w:val="105"/>
          <w:sz w:val="19"/>
        </w:rPr>
        <w:t> execu- tives’</w:t>
      </w:r>
      <w:r>
        <w:rPr>
          <w:color w:val="231F20"/>
          <w:w w:val="105"/>
          <w:sz w:val="19"/>
        </w:rPr>
        <w:t> salaries,</w:t>
      </w:r>
      <w:r>
        <w:rPr>
          <w:color w:val="231F20"/>
          <w:w w:val="105"/>
          <w:sz w:val="19"/>
        </w:rPr>
        <w:t> I</w:t>
      </w:r>
      <w:r>
        <w:rPr>
          <w:color w:val="231F20"/>
          <w:w w:val="105"/>
          <w:sz w:val="19"/>
        </w:rPr>
        <w:t> cringe</w:t>
      </w:r>
      <w:r>
        <w:rPr>
          <w:color w:val="231F20"/>
          <w:w w:val="105"/>
          <w:sz w:val="19"/>
        </w:rPr>
        <w:t> when</w:t>
      </w:r>
      <w:r>
        <w:rPr>
          <w:color w:val="231F20"/>
          <w:w w:val="105"/>
          <w:sz w:val="19"/>
        </w:rPr>
        <w:t> I</w:t>
      </w:r>
      <w:r>
        <w:rPr>
          <w:color w:val="231F20"/>
          <w:w w:val="105"/>
          <w:sz w:val="19"/>
        </w:rPr>
        <w:t> think</w:t>
      </w:r>
      <w:r>
        <w:rPr>
          <w:color w:val="231F20"/>
          <w:w w:val="105"/>
          <w:sz w:val="19"/>
        </w:rPr>
        <w:t> that</w:t>
      </w:r>
      <w:r>
        <w:rPr>
          <w:color w:val="231F20"/>
          <w:w w:val="105"/>
          <w:sz w:val="19"/>
        </w:rPr>
        <w:t> we</w:t>
      </w:r>
      <w:r>
        <w:rPr>
          <w:color w:val="231F20"/>
          <w:w w:val="105"/>
          <w:sz w:val="19"/>
        </w:rPr>
        <w:t> are</w:t>
      </w:r>
      <w:r>
        <w:rPr>
          <w:color w:val="231F20"/>
          <w:w w:val="105"/>
          <w:sz w:val="19"/>
        </w:rPr>
        <w:t> paying</w:t>
      </w:r>
      <w:r>
        <w:rPr>
          <w:color w:val="231F20"/>
          <w:w w:val="105"/>
          <w:sz w:val="19"/>
        </w:rPr>
        <w:t> more</w:t>
      </w:r>
      <w:r>
        <w:rPr>
          <w:color w:val="231F20"/>
          <w:w w:val="105"/>
          <w:sz w:val="19"/>
        </w:rPr>
        <w:t> </w:t>
      </w:r>
      <w:r>
        <w:rPr>
          <w:color w:val="231F20"/>
          <w:w w:val="105"/>
          <w:sz w:val="19"/>
        </w:rPr>
        <w:t>to Jim</w:t>
      </w:r>
      <w:r>
        <w:rPr>
          <w:color w:val="231F20"/>
          <w:w w:val="105"/>
          <w:sz w:val="19"/>
        </w:rPr>
        <w:t> Mooney,</w:t>
      </w:r>
      <w:r>
        <w:rPr>
          <w:color w:val="231F20"/>
          <w:w w:val="105"/>
          <w:sz w:val="19"/>
        </w:rPr>
        <w:t> our</w:t>
      </w:r>
      <w:r>
        <w:rPr>
          <w:color w:val="231F20"/>
          <w:w w:val="105"/>
          <w:sz w:val="19"/>
        </w:rPr>
        <w:t> vice</w:t>
      </w:r>
      <w:r>
        <w:rPr>
          <w:color w:val="231F20"/>
          <w:w w:val="105"/>
          <w:sz w:val="19"/>
        </w:rPr>
        <w:t> president</w:t>
      </w:r>
      <w:r>
        <w:rPr>
          <w:color w:val="231F20"/>
          <w:w w:val="105"/>
          <w:sz w:val="19"/>
        </w:rPr>
        <w:t> of</w:t>
      </w:r>
      <w:r>
        <w:rPr>
          <w:color w:val="231F20"/>
          <w:w w:val="105"/>
          <w:sz w:val="19"/>
        </w:rPr>
        <w:t> marketing</w:t>
      </w:r>
      <w:r>
        <w:rPr>
          <w:color w:val="231F20"/>
          <w:w w:val="105"/>
          <w:sz w:val="19"/>
        </w:rPr>
        <w:t> from</w:t>
      </w:r>
      <w:r>
        <w:rPr>
          <w:color w:val="231F20"/>
          <w:w w:val="105"/>
          <w:sz w:val="19"/>
        </w:rPr>
        <w:t> Penn</w:t>
      </w:r>
      <w:r>
        <w:rPr>
          <w:color w:val="231F20"/>
          <w:w w:val="105"/>
          <w:sz w:val="19"/>
        </w:rPr>
        <w:t> State, than to our company’s president, Hank Bufford from Harvard. I just don’t understand it.</w:t>
      </w:r>
    </w:p>
    <w:p>
      <w:pPr>
        <w:spacing w:after="0" w:line="324" w:lineRule="auto"/>
        <w:jc w:val="both"/>
        <w:rPr>
          <w:sz w:val="19"/>
        </w:rPr>
        <w:sectPr>
          <w:headerReference w:type="default" r:id="rId14"/>
          <w:pgSz w:w="8640" w:h="12960"/>
          <w:pgMar w:header="0" w:footer="0" w:top="1220" w:bottom="280" w:left="340" w:right="500"/>
        </w:sectPr>
      </w:pPr>
    </w:p>
    <w:p>
      <w:pPr>
        <w:pStyle w:val="BodyText"/>
        <w:spacing w:before="1"/>
        <w:rPr>
          <w:sz w:val="18"/>
        </w:rPr>
      </w:pPr>
    </w:p>
    <w:p>
      <w:pPr>
        <w:spacing w:line="324" w:lineRule="auto" w:before="106"/>
        <w:ind w:left="1170" w:right="1096" w:firstLine="0"/>
        <w:jc w:val="both"/>
        <w:rPr>
          <w:sz w:val="19"/>
        </w:rPr>
      </w:pPr>
      <w:r>
        <w:rPr/>
        <w:pict>
          <v:shape style="position:absolute;margin-left:58.5pt;margin-top:57.311039pt;width:21.6pt;height:40.050pt;mso-position-horizontal-relative:page;mso-position-vertical-relative:paragraph;z-index:-25225728" type="#_x0000_t202" id="docshape17" filled="false" stroked="false">
            <v:textbox inset="0,0,0,0">
              <w:txbxContent>
                <w:p>
                  <w:pPr>
                    <w:spacing w:line="789" w:lineRule="exact" w:before="11"/>
                    <w:ind w:left="0" w:right="0" w:firstLine="0"/>
                    <w:jc w:val="left"/>
                    <w:rPr>
                      <w:rFonts w:ascii="Trebuchet MS"/>
                      <w:sz w:val="68"/>
                    </w:rPr>
                  </w:pPr>
                  <w:r>
                    <w:rPr>
                      <w:rFonts w:ascii="Trebuchet MS"/>
                      <w:color w:val="808285"/>
                      <w:w w:val="89"/>
                      <w:sz w:val="68"/>
                    </w:rPr>
                    <w:t>M</w:t>
                  </w:r>
                </w:p>
              </w:txbxContent>
            </v:textbox>
            <w10:wrap type="none"/>
          </v:shape>
        </w:pict>
      </w:r>
      <w:r>
        <w:rPr>
          <w:rFonts w:ascii="Arial" w:hAnsi="Arial"/>
          <w:color w:val="231F20"/>
          <w:sz w:val="16"/>
        </w:rPr>
        <w:t>CHAIRMAN</w:t>
      </w:r>
      <w:r>
        <w:rPr>
          <w:rFonts w:ascii="Arial" w:hAnsi="Arial"/>
          <w:color w:val="231F20"/>
          <w:spacing w:val="40"/>
          <w:sz w:val="16"/>
        </w:rPr>
        <w:t> </w:t>
      </w:r>
      <w:r>
        <w:rPr>
          <w:rFonts w:ascii="Arial" w:hAnsi="Arial"/>
          <w:color w:val="231F20"/>
          <w:sz w:val="16"/>
        </w:rPr>
        <w:t>OF</w:t>
      </w:r>
      <w:r>
        <w:rPr>
          <w:rFonts w:ascii="Arial" w:hAnsi="Arial"/>
          <w:color w:val="231F20"/>
          <w:spacing w:val="40"/>
          <w:sz w:val="16"/>
        </w:rPr>
        <w:t> </w:t>
      </w:r>
      <w:r>
        <w:rPr>
          <w:rFonts w:ascii="Arial" w:hAnsi="Arial"/>
          <w:color w:val="231F20"/>
          <w:sz w:val="16"/>
        </w:rPr>
        <w:t>THE</w:t>
      </w:r>
      <w:r>
        <w:rPr>
          <w:rFonts w:ascii="Arial" w:hAnsi="Arial"/>
          <w:color w:val="231F20"/>
          <w:spacing w:val="40"/>
          <w:sz w:val="16"/>
        </w:rPr>
        <w:t> </w:t>
      </w:r>
      <w:r>
        <w:rPr>
          <w:rFonts w:ascii="Arial" w:hAnsi="Arial"/>
          <w:color w:val="231F20"/>
          <w:sz w:val="16"/>
        </w:rPr>
        <w:t>BOARD:</w:t>
      </w:r>
      <w:r>
        <w:rPr>
          <w:rFonts w:ascii="Arial" w:hAnsi="Arial"/>
          <w:color w:val="231F20"/>
          <w:spacing w:val="40"/>
          <w:sz w:val="16"/>
        </w:rPr>
        <w:t> </w:t>
      </w:r>
      <w:r>
        <w:rPr>
          <w:color w:val="231F20"/>
          <w:sz w:val="19"/>
        </w:rPr>
        <w:t>What</w:t>
      </w:r>
      <w:r>
        <w:rPr>
          <w:color w:val="231F20"/>
          <w:spacing w:val="40"/>
          <w:sz w:val="19"/>
        </w:rPr>
        <w:t> </w:t>
      </w:r>
      <w:r>
        <w:rPr>
          <w:color w:val="231F20"/>
          <w:sz w:val="19"/>
        </w:rPr>
        <w:t>don’t</w:t>
      </w:r>
      <w:r>
        <w:rPr>
          <w:color w:val="231F20"/>
          <w:spacing w:val="40"/>
          <w:sz w:val="19"/>
        </w:rPr>
        <w:t> </w:t>
      </w:r>
      <w:r>
        <w:rPr>
          <w:color w:val="231F20"/>
          <w:sz w:val="19"/>
        </w:rPr>
        <w:t>you</w:t>
      </w:r>
      <w:r>
        <w:rPr>
          <w:color w:val="231F20"/>
          <w:spacing w:val="40"/>
          <w:sz w:val="19"/>
        </w:rPr>
        <w:t> </w:t>
      </w:r>
      <w:r>
        <w:rPr>
          <w:color w:val="231F20"/>
          <w:sz w:val="19"/>
        </w:rPr>
        <w:t>understand?</w:t>
      </w:r>
      <w:r>
        <w:rPr>
          <w:color w:val="231F20"/>
          <w:spacing w:val="40"/>
          <w:sz w:val="19"/>
        </w:rPr>
        <w:t> </w:t>
      </w:r>
      <w:r>
        <w:rPr>
          <w:color w:val="231F20"/>
          <w:sz w:val="19"/>
        </w:rPr>
        <w:t>With- out Jim’s sales we wouldn’t need a president—</w:t>
      </w:r>
      <w:r>
        <w:rPr>
          <w:color w:val="231F20"/>
          <w:spacing w:val="-11"/>
          <w:sz w:val="19"/>
        </w:rPr>
        <w:t> </w:t>
      </w:r>
      <w:r>
        <w:rPr>
          <w:color w:val="231F20"/>
          <w:sz w:val="19"/>
        </w:rPr>
        <w:t>or anyone else for that matter!</w:t>
      </w:r>
    </w:p>
    <w:p>
      <w:pPr>
        <w:pStyle w:val="BodyText"/>
        <w:spacing w:before="6"/>
        <w:rPr>
          <w:sz w:val="24"/>
        </w:rPr>
      </w:pPr>
    </w:p>
    <w:p>
      <w:pPr>
        <w:pStyle w:val="BodyText"/>
        <w:spacing w:line="292" w:lineRule="auto" w:before="1"/>
        <w:ind w:left="829" w:right="756" w:firstLine="430"/>
        <w:jc w:val="right"/>
      </w:pPr>
      <w:r>
        <w:rPr>
          <w:color w:val="231F20"/>
        </w:rPr>
        <w:t>arketers see the world like the chairman of Acme. As renowned Professor</w:t>
      </w:r>
      <w:r>
        <w:rPr>
          <w:color w:val="231F20"/>
          <w:spacing w:val="40"/>
        </w:rPr>
        <w:t> </w:t>
      </w:r>
      <w:r>
        <w:rPr>
          <w:color w:val="231F20"/>
        </w:rPr>
        <w:t>Philip</w:t>
      </w:r>
      <w:r>
        <w:rPr>
          <w:color w:val="231F20"/>
          <w:spacing w:val="40"/>
        </w:rPr>
        <w:t> </w:t>
      </w:r>
      <w:r>
        <w:rPr>
          <w:color w:val="231F20"/>
        </w:rPr>
        <w:t>Kotler</w:t>
      </w:r>
      <w:r>
        <w:rPr>
          <w:color w:val="231F20"/>
          <w:spacing w:val="40"/>
        </w:rPr>
        <w:t> </w:t>
      </w:r>
      <w:r>
        <w:rPr>
          <w:color w:val="231F20"/>
        </w:rPr>
        <w:t>of</w:t>
      </w:r>
      <w:r>
        <w:rPr>
          <w:color w:val="231F20"/>
          <w:spacing w:val="40"/>
        </w:rPr>
        <w:t> </w:t>
      </w:r>
      <w:r>
        <w:rPr>
          <w:color w:val="231F20"/>
        </w:rPr>
        <w:t>the</w:t>
      </w:r>
      <w:r>
        <w:rPr>
          <w:color w:val="231F20"/>
          <w:spacing w:val="40"/>
        </w:rPr>
        <w:t> </w:t>
      </w:r>
      <w:r>
        <w:rPr>
          <w:color w:val="231F20"/>
        </w:rPr>
        <w:t>Kellogg</w:t>
      </w:r>
      <w:r>
        <w:rPr>
          <w:color w:val="231F20"/>
          <w:spacing w:val="40"/>
        </w:rPr>
        <w:t> </w:t>
      </w:r>
      <w:r>
        <w:rPr>
          <w:color w:val="231F20"/>
        </w:rPr>
        <w:t>School</w:t>
      </w:r>
      <w:r>
        <w:rPr>
          <w:color w:val="231F20"/>
          <w:spacing w:val="40"/>
        </w:rPr>
        <w:t> </w:t>
      </w:r>
      <w:r>
        <w:rPr>
          <w:color w:val="231F20"/>
        </w:rPr>
        <w:t>at</w:t>
      </w:r>
      <w:r>
        <w:rPr>
          <w:color w:val="231F20"/>
          <w:spacing w:val="40"/>
        </w:rPr>
        <w:t> </w:t>
      </w:r>
      <w:r>
        <w:rPr>
          <w:color w:val="231F20"/>
        </w:rPr>
        <w:t>Northwestern teaches,</w:t>
      </w:r>
      <w:r>
        <w:rPr>
          <w:color w:val="231F20"/>
          <w:spacing w:val="40"/>
        </w:rPr>
        <w:t> </w:t>
      </w:r>
      <w:r>
        <w:rPr>
          <w:color w:val="231F20"/>
        </w:rPr>
        <w:t>marketing</w:t>
      </w:r>
      <w:r>
        <w:rPr>
          <w:color w:val="231F20"/>
          <w:spacing w:val="40"/>
        </w:rPr>
        <w:t> </w:t>
      </w:r>
      <w:r>
        <w:rPr>
          <w:color w:val="231F20"/>
        </w:rPr>
        <w:t>comes</w:t>
      </w:r>
      <w:r>
        <w:rPr>
          <w:color w:val="231F20"/>
          <w:spacing w:val="40"/>
        </w:rPr>
        <w:t> </w:t>
      </w:r>
      <w:r>
        <w:rPr>
          <w:color w:val="231F20"/>
        </w:rPr>
        <w:t>first.</w:t>
      </w:r>
      <w:r>
        <w:rPr>
          <w:color w:val="231F20"/>
          <w:spacing w:val="40"/>
        </w:rPr>
        <w:t> </w:t>
      </w:r>
      <w:r>
        <w:rPr>
          <w:color w:val="231F20"/>
        </w:rPr>
        <w:t>Marketing</w:t>
      </w:r>
      <w:r>
        <w:rPr>
          <w:color w:val="231F20"/>
          <w:spacing w:val="40"/>
        </w:rPr>
        <w:t> </w:t>
      </w:r>
      <w:r>
        <w:rPr>
          <w:color w:val="231F20"/>
        </w:rPr>
        <w:t>integrates</w:t>
      </w:r>
      <w:r>
        <w:rPr>
          <w:color w:val="231F20"/>
          <w:spacing w:val="40"/>
        </w:rPr>
        <w:t> </w:t>
      </w:r>
      <w:r>
        <w:rPr>
          <w:color w:val="231F20"/>
        </w:rPr>
        <w:t>all</w:t>
      </w:r>
      <w:r>
        <w:rPr>
          <w:color w:val="231F20"/>
          <w:spacing w:val="40"/>
        </w:rPr>
        <w:t> </w:t>
      </w:r>
      <w:r>
        <w:rPr>
          <w:color w:val="231F20"/>
        </w:rPr>
        <w:t>the</w:t>
      </w:r>
      <w:r>
        <w:rPr>
          <w:color w:val="231F20"/>
          <w:spacing w:val="40"/>
        </w:rPr>
        <w:t> </w:t>
      </w:r>
      <w:r>
        <w:rPr>
          <w:color w:val="231F20"/>
        </w:rPr>
        <w:t>func- tions</w:t>
      </w:r>
      <w:r>
        <w:rPr>
          <w:color w:val="231F20"/>
          <w:spacing w:val="18"/>
        </w:rPr>
        <w:t> </w:t>
      </w:r>
      <w:r>
        <w:rPr>
          <w:color w:val="231F20"/>
        </w:rPr>
        <w:t>of</w:t>
      </w:r>
      <w:r>
        <w:rPr>
          <w:color w:val="231F20"/>
          <w:spacing w:val="18"/>
        </w:rPr>
        <w:t> </w:t>
      </w:r>
      <w:r>
        <w:rPr>
          <w:color w:val="231F20"/>
        </w:rPr>
        <w:t>a</w:t>
      </w:r>
      <w:r>
        <w:rPr>
          <w:color w:val="231F20"/>
          <w:spacing w:val="18"/>
        </w:rPr>
        <w:t> </w:t>
      </w:r>
      <w:r>
        <w:rPr>
          <w:color w:val="231F20"/>
        </w:rPr>
        <w:t>business</w:t>
      </w:r>
      <w:r>
        <w:rPr>
          <w:color w:val="231F20"/>
          <w:spacing w:val="18"/>
        </w:rPr>
        <w:t> </w:t>
      </w:r>
      <w:r>
        <w:rPr>
          <w:color w:val="231F20"/>
        </w:rPr>
        <w:t>and</w:t>
      </w:r>
      <w:r>
        <w:rPr>
          <w:color w:val="231F20"/>
          <w:spacing w:val="18"/>
        </w:rPr>
        <w:t> </w:t>
      </w:r>
      <w:r>
        <w:rPr>
          <w:color w:val="231F20"/>
        </w:rPr>
        <w:t>speaks</w:t>
      </w:r>
      <w:r>
        <w:rPr>
          <w:color w:val="231F20"/>
          <w:spacing w:val="18"/>
        </w:rPr>
        <w:t> </w:t>
      </w:r>
      <w:r>
        <w:rPr>
          <w:color w:val="231F20"/>
        </w:rPr>
        <w:t>directly</w:t>
      </w:r>
      <w:r>
        <w:rPr>
          <w:color w:val="231F20"/>
          <w:spacing w:val="19"/>
        </w:rPr>
        <w:t> </w:t>
      </w:r>
      <w:r>
        <w:rPr>
          <w:color w:val="231F20"/>
        </w:rPr>
        <w:t>to</w:t>
      </w:r>
      <w:r>
        <w:rPr>
          <w:color w:val="231F20"/>
          <w:spacing w:val="18"/>
        </w:rPr>
        <w:t> </w:t>
      </w:r>
      <w:r>
        <w:rPr>
          <w:color w:val="231F20"/>
        </w:rPr>
        <w:t>the</w:t>
      </w:r>
      <w:r>
        <w:rPr>
          <w:color w:val="231F20"/>
          <w:spacing w:val="18"/>
        </w:rPr>
        <w:t> </w:t>
      </w:r>
      <w:r>
        <w:rPr>
          <w:color w:val="231F20"/>
        </w:rPr>
        <w:t>customer</w:t>
      </w:r>
      <w:r>
        <w:rPr>
          <w:color w:val="231F20"/>
          <w:spacing w:val="18"/>
        </w:rPr>
        <w:t> </w:t>
      </w:r>
      <w:r>
        <w:rPr>
          <w:color w:val="231F20"/>
        </w:rPr>
        <w:t>through</w:t>
      </w:r>
      <w:r>
        <w:rPr>
          <w:color w:val="231F20"/>
          <w:spacing w:val="18"/>
        </w:rPr>
        <w:t> </w:t>
      </w:r>
      <w:r>
        <w:rPr>
          <w:color w:val="231F20"/>
          <w:spacing w:val="-5"/>
        </w:rPr>
        <w:t>ad-</w:t>
      </w:r>
    </w:p>
    <w:p>
      <w:pPr>
        <w:pStyle w:val="BodyText"/>
        <w:spacing w:line="245" w:lineRule="exact"/>
        <w:ind w:left="829"/>
        <w:jc w:val="both"/>
      </w:pPr>
      <w:r>
        <w:rPr>
          <w:color w:val="231F20"/>
        </w:rPr>
        <w:t>vertising,</w:t>
      </w:r>
      <w:r>
        <w:rPr>
          <w:color w:val="231F20"/>
          <w:spacing w:val="5"/>
        </w:rPr>
        <w:t> </w:t>
      </w:r>
      <w:r>
        <w:rPr>
          <w:color w:val="231F20"/>
        </w:rPr>
        <w:t>salespeople,</w:t>
      </w:r>
      <w:r>
        <w:rPr>
          <w:color w:val="231F20"/>
          <w:spacing w:val="5"/>
        </w:rPr>
        <w:t> </w:t>
      </w:r>
      <w:r>
        <w:rPr>
          <w:color w:val="231F20"/>
        </w:rPr>
        <w:t>and</w:t>
      </w:r>
      <w:r>
        <w:rPr>
          <w:color w:val="231F20"/>
          <w:spacing w:val="5"/>
        </w:rPr>
        <w:t> </w:t>
      </w:r>
      <w:r>
        <w:rPr>
          <w:color w:val="231F20"/>
        </w:rPr>
        <w:t>other</w:t>
      </w:r>
      <w:r>
        <w:rPr>
          <w:color w:val="231F20"/>
          <w:spacing w:val="5"/>
        </w:rPr>
        <w:t> </w:t>
      </w:r>
      <w:r>
        <w:rPr>
          <w:color w:val="231F20"/>
        </w:rPr>
        <w:t>marketing</w:t>
      </w:r>
      <w:r>
        <w:rPr>
          <w:color w:val="231F20"/>
          <w:spacing w:val="5"/>
        </w:rPr>
        <w:t> </w:t>
      </w:r>
      <w:r>
        <w:rPr>
          <w:color w:val="231F20"/>
          <w:spacing w:val="-2"/>
        </w:rPr>
        <w:t>activities.</w:t>
      </w:r>
    </w:p>
    <w:p>
      <w:pPr>
        <w:pStyle w:val="BodyText"/>
        <w:spacing w:line="292" w:lineRule="auto" w:before="53"/>
        <w:ind w:left="829" w:right="755" w:firstLine="340"/>
        <w:jc w:val="both"/>
      </w:pPr>
      <w:r>
        <w:rPr>
          <w:color w:val="231F20"/>
        </w:rPr>
        <w:t>Marketing is a special blend of art and science. There is a great deal to be learned in marketing classes, but no amount of schooling can teach you the experience, the intuition, and the creativity to be a truly gifted marketer. That’s why those with the gift are so highly paid. Formal education can only provide MBAs with a framework</w:t>
      </w:r>
      <w:r>
        <w:rPr>
          <w:color w:val="231F20"/>
          <w:spacing w:val="80"/>
        </w:rPr>
        <w:t> </w:t>
      </w:r>
      <w:r>
        <w:rPr>
          <w:color w:val="231F20"/>
        </w:rPr>
        <w:t>and</w:t>
      </w:r>
      <w:r>
        <w:rPr>
          <w:color w:val="231F20"/>
          <w:spacing w:val="40"/>
        </w:rPr>
        <w:t> </w:t>
      </w:r>
      <w:r>
        <w:rPr>
          <w:color w:val="231F20"/>
        </w:rPr>
        <w:t>a</w:t>
      </w:r>
      <w:r>
        <w:rPr>
          <w:color w:val="231F20"/>
          <w:spacing w:val="40"/>
        </w:rPr>
        <w:t> </w:t>
      </w:r>
      <w:r>
        <w:rPr>
          <w:color w:val="231F20"/>
        </w:rPr>
        <w:t>vocabulary</w:t>
      </w:r>
      <w:r>
        <w:rPr>
          <w:color w:val="231F20"/>
          <w:spacing w:val="40"/>
        </w:rPr>
        <w:t> </w:t>
      </w:r>
      <w:r>
        <w:rPr>
          <w:color w:val="231F20"/>
        </w:rPr>
        <w:t>to</w:t>
      </w:r>
      <w:r>
        <w:rPr>
          <w:color w:val="231F20"/>
          <w:spacing w:val="40"/>
        </w:rPr>
        <w:t> </w:t>
      </w:r>
      <w:r>
        <w:rPr>
          <w:color w:val="231F20"/>
        </w:rPr>
        <w:t>tackle</w:t>
      </w:r>
      <w:r>
        <w:rPr>
          <w:color w:val="231F20"/>
          <w:spacing w:val="40"/>
        </w:rPr>
        <w:t> </w:t>
      </w:r>
      <w:r>
        <w:rPr>
          <w:color w:val="231F20"/>
        </w:rPr>
        <w:t>marketing</w:t>
      </w:r>
      <w:r>
        <w:rPr>
          <w:color w:val="231F20"/>
          <w:spacing w:val="40"/>
        </w:rPr>
        <w:t> </w:t>
      </w:r>
      <w:r>
        <w:rPr>
          <w:color w:val="231F20"/>
        </w:rPr>
        <w:t>challenges.</w:t>
      </w:r>
      <w:r>
        <w:rPr>
          <w:color w:val="231F20"/>
          <w:spacing w:val="40"/>
        </w:rPr>
        <w:t> </w:t>
      </w:r>
      <w:r>
        <w:rPr>
          <w:color w:val="231F20"/>
        </w:rPr>
        <w:t>And</w:t>
      </w:r>
      <w:r>
        <w:rPr>
          <w:color w:val="231F20"/>
          <w:spacing w:val="40"/>
        </w:rPr>
        <w:t> </w:t>
      </w:r>
      <w:r>
        <w:rPr>
          <w:color w:val="231F20"/>
        </w:rPr>
        <w:t>that</w:t>
      </w:r>
      <w:r>
        <w:rPr>
          <w:color w:val="231F20"/>
          <w:spacing w:val="40"/>
        </w:rPr>
        <w:t> </w:t>
      </w:r>
      <w:r>
        <w:rPr>
          <w:color w:val="231F20"/>
        </w:rPr>
        <w:t>is</w:t>
      </w:r>
      <w:r>
        <w:rPr>
          <w:color w:val="231F20"/>
          <w:spacing w:val="40"/>
        </w:rPr>
        <w:t> </w:t>
      </w:r>
      <w:r>
        <w:rPr>
          <w:color w:val="231F20"/>
        </w:rPr>
        <w:t>the goal of this chapter and of the numerous expensive executive semi- nars conducted by the leading business schools.</w:t>
      </w:r>
    </w:p>
    <w:p>
      <w:pPr>
        <w:pStyle w:val="BodyText"/>
        <w:spacing w:line="292" w:lineRule="auto"/>
        <w:ind w:left="829" w:right="756" w:firstLine="340"/>
        <w:jc w:val="both"/>
      </w:pPr>
      <w:r>
        <w:rPr>
          <w:color w:val="231F20"/>
        </w:rPr>
        <w:t>The top schools prepare their students for executive </w:t>
      </w:r>
      <w:r>
        <w:rPr>
          <w:color w:val="231F20"/>
        </w:rPr>
        <w:t>marketing positions—</w:t>
      </w:r>
      <w:r>
        <w:rPr>
          <w:color w:val="231F20"/>
          <w:spacing w:val="-12"/>
        </w:rPr>
        <w:t> </w:t>
      </w:r>
      <w:r>
        <w:rPr>
          <w:color w:val="231F20"/>
        </w:rPr>
        <w:t>in spite of the fact that their first jobs will likely be as lowly brand assistants at large food or soap companies. Therefore, the core curriculum stresses the development of full-fledged market- ing strategies instead of the technical expertise needed on an entry- level job out of MBA school.</w:t>
      </w:r>
    </w:p>
    <w:p>
      <w:pPr>
        <w:pStyle w:val="BodyText"/>
        <w:spacing w:line="292" w:lineRule="auto"/>
        <w:ind w:left="829" w:right="757" w:firstLine="340"/>
        <w:jc w:val="both"/>
      </w:pPr>
      <w:r>
        <w:rPr>
          <w:color w:val="231F20"/>
        </w:rPr>
        <w:t>Numbers-oriented students tend to view marketing as one of the </w:t>
      </w:r>
      <w:r>
        <w:rPr>
          <w:color w:val="231F20"/>
          <w:spacing w:val="-2"/>
        </w:rPr>
        <w:t>“soft”</w:t>
      </w:r>
      <w:r>
        <w:rPr>
          <w:color w:val="231F20"/>
          <w:spacing w:val="-7"/>
        </w:rPr>
        <w:t> </w:t>
      </w:r>
      <w:r>
        <w:rPr>
          <w:color w:val="231F20"/>
          <w:spacing w:val="-2"/>
        </w:rPr>
        <w:t>MBA</w:t>
      </w:r>
      <w:r>
        <w:rPr>
          <w:color w:val="231F20"/>
          <w:spacing w:val="-7"/>
        </w:rPr>
        <w:t> </w:t>
      </w:r>
      <w:r>
        <w:rPr>
          <w:color w:val="231F20"/>
          <w:spacing w:val="-2"/>
        </w:rPr>
        <w:t>disciplines.</w:t>
      </w:r>
      <w:r>
        <w:rPr>
          <w:color w:val="231F20"/>
          <w:spacing w:val="-7"/>
        </w:rPr>
        <w:t> </w:t>
      </w:r>
      <w:r>
        <w:rPr>
          <w:color w:val="231F20"/>
          <w:spacing w:val="-2"/>
        </w:rPr>
        <w:t>In</w:t>
      </w:r>
      <w:r>
        <w:rPr>
          <w:color w:val="231F20"/>
          <w:spacing w:val="-7"/>
        </w:rPr>
        <w:t> </w:t>
      </w:r>
      <w:r>
        <w:rPr>
          <w:color w:val="231F20"/>
          <w:spacing w:val="-2"/>
        </w:rPr>
        <w:t>fact,</w:t>
      </w:r>
      <w:r>
        <w:rPr>
          <w:color w:val="231F20"/>
          <w:spacing w:val="-7"/>
        </w:rPr>
        <w:t> </w:t>
      </w:r>
      <w:r>
        <w:rPr>
          <w:color w:val="231F20"/>
          <w:spacing w:val="-2"/>
        </w:rPr>
        <w:t>marketers</w:t>
      </w:r>
      <w:r>
        <w:rPr>
          <w:color w:val="231F20"/>
          <w:spacing w:val="-7"/>
        </w:rPr>
        <w:t> </w:t>
      </w:r>
      <w:r>
        <w:rPr>
          <w:color w:val="231F20"/>
          <w:spacing w:val="-2"/>
        </w:rPr>
        <w:t>use</w:t>
      </w:r>
      <w:r>
        <w:rPr>
          <w:color w:val="231F20"/>
          <w:spacing w:val="-7"/>
        </w:rPr>
        <w:t> </w:t>
      </w:r>
      <w:r>
        <w:rPr>
          <w:color w:val="231F20"/>
          <w:spacing w:val="-2"/>
        </w:rPr>
        <w:t>many</w:t>
      </w:r>
      <w:r>
        <w:rPr>
          <w:color w:val="231F20"/>
          <w:spacing w:val="-7"/>
        </w:rPr>
        <w:t> </w:t>
      </w:r>
      <w:r>
        <w:rPr>
          <w:color w:val="231F20"/>
          <w:spacing w:val="-2"/>
        </w:rPr>
        <w:t>quantitative</w:t>
      </w:r>
      <w:r>
        <w:rPr>
          <w:color w:val="231F20"/>
          <w:spacing w:val="-7"/>
        </w:rPr>
        <w:t> </w:t>
      </w:r>
      <w:r>
        <w:rPr>
          <w:color w:val="231F20"/>
          <w:spacing w:val="-2"/>
        </w:rPr>
        <w:t>or</w:t>
      </w:r>
      <w:r>
        <w:rPr>
          <w:color w:val="231F20"/>
          <w:spacing w:val="-7"/>
        </w:rPr>
        <w:t> </w:t>
      </w:r>
      <w:r>
        <w:rPr>
          <w:color w:val="231F20"/>
          <w:spacing w:val="-2"/>
        </w:rPr>
        <w:t>“sci- entific”</w:t>
      </w:r>
      <w:r>
        <w:rPr>
          <w:color w:val="231F20"/>
          <w:spacing w:val="-7"/>
        </w:rPr>
        <w:t> </w:t>
      </w:r>
      <w:r>
        <w:rPr>
          <w:color w:val="231F20"/>
          <w:spacing w:val="-2"/>
        </w:rPr>
        <w:t>techniques</w:t>
      </w:r>
      <w:r>
        <w:rPr>
          <w:color w:val="231F20"/>
          <w:spacing w:val="-7"/>
        </w:rPr>
        <w:t> </w:t>
      </w:r>
      <w:r>
        <w:rPr>
          <w:color w:val="231F20"/>
          <w:spacing w:val="-2"/>
        </w:rPr>
        <w:t>to</w:t>
      </w:r>
      <w:r>
        <w:rPr>
          <w:color w:val="231F20"/>
          <w:spacing w:val="-7"/>
        </w:rPr>
        <w:t> </w:t>
      </w:r>
      <w:r>
        <w:rPr>
          <w:color w:val="231F20"/>
          <w:spacing w:val="-2"/>
        </w:rPr>
        <w:t>develop</w:t>
      </w:r>
      <w:r>
        <w:rPr>
          <w:color w:val="231F20"/>
          <w:spacing w:val="-7"/>
        </w:rPr>
        <w:t> </w:t>
      </w:r>
      <w:r>
        <w:rPr>
          <w:color w:val="231F20"/>
          <w:spacing w:val="-2"/>
        </w:rPr>
        <w:t>and</w:t>
      </w:r>
      <w:r>
        <w:rPr>
          <w:color w:val="231F20"/>
          <w:spacing w:val="-7"/>
        </w:rPr>
        <w:t> </w:t>
      </w:r>
      <w:r>
        <w:rPr>
          <w:color w:val="231F20"/>
          <w:spacing w:val="-2"/>
        </w:rPr>
        <w:t>evaluate</w:t>
      </w:r>
      <w:r>
        <w:rPr>
          <w:color w:val="231F20"/>
          <w:spacing w:val="-7"/>
        </w:rPr>
        <w:t> </w:t>
      </w:r>
      <w:r>
        <w:rPr>
          <w:color w:val="231F20"/>
          <w:spacing w:val="-2"/>
        </w:rPr>
        <w:t>strategies.</w:t>
      </w:r>
      <w:r>
        <w:rPr>
          <w:color w:val="231F20"/>
          <w:spacing w:val="-7"/>
        </w:rPr>
        <w:t> </w:t>
      </w:r>
      <w:r>
        <w:rPr>
          <w:color w:val="231F20"/>
          <w:spacing w:val="-2"/>
        </w:rPr>
        <w:t>The</w:t>
      </w:r>
      <w:r>
        <w:rPr>
          <w:color w:val="231F20"/>
          <w:spacing w:val="-7"/>
        </w:rPr>
        <w:t> </w:t>
      </w:r>
      <w:r>
        <w:rPr>
          <w:color w:val="231F20"/>
          <w:spacing w:val="-2"/>
        </w:rPr>
        <w:t>“art”</w:t>
      </w:r>
      <w:r>
        <w:rPr>
          <w:color w:val="231F20"/>
          <w:spacing w:val="-7"/>
        </w:rPr>
        <w:t> </w:t>
      </w:r>
      <w:r>
        <w:rPr>
          <w:color w:val="231F20"/>
          <w:spacing w:val="-2"/>
        </w:rPr>
        <w:t>of</w:t>
      </w:r>
      <w:r>
        <w:rPr>
          <w:color w:val="231F20"/>
          <w:spacing w:val="-7"/>
        </w:rPr>
        <w:t> </w:t>
      </w:r>
      <w:r>
        <w:rPr>
          <w:color w:val="231F20"/>
          <w:spacing w:val="-2"/>
        </w:rPr>
        <w:t>mar- </w:t>
      </w:r>
      <w:r>
        <w:rPr>
          <w:color w:val="231F20"/>
        </w:rPr>
        <w:t>keting is trying to create and implement a winning marketing plan. There</w:t>
      </w:r>
      <w:r>
        <w:rPr>
          <w:color w:val="231F20"/>
          <w:spacing w:val="80"/>
          <w:w w:val="150"/>
        </w:rPr>
        <w:t> </w:t>
      </w:r>
      <w:r>
        <w:rPr>
          <w:color w:val="231F20"/>
        </w:rPr>
        <w:t>are</w:t>
      </w:r>
      <w:r>
        <w:rPr>
          <w:color w:val="231F20"/>
          <w:spacing w:val="80"/>
          <w:w w:val="150"/>
        </w:rPr>
        <w:t> </w:t>
      </w:r>
      <w:r>
        <w:rPr>
          <w:color w:val="231F20"/>
        </w:rPr>
        <w:t>literally</w:t>
      </w:r>
      <w:r>
        <w:rPr>
          <w:color w:val="231F20"/>
          <w:spacing w:val="80"/>
          <w:w w:val="150"/>
        </w:rPr>
        <w:t> </w:t>
      </w:r>
      <w:r>
        <w:rPr>
          <w:color w:val="231F20"/>
        </w:rPr>
        <w:t>an</w:t>
      </w:r>
      <w:r>
        <w:rPr>
          <w:color w:val="231F20"/>
          <w:spacing w:val="80"/>
          <w:w w:val="150"/>
        </w:rPr>
        <w:t> </w:t>
      </w:r>
      <w:r>
        <w:rPr>
          <w:color w:val="231F20"/>
        </w:rPr>
        <w:t>infinite</w:t>
      </w:r>
      <w:r>
        <w:rPr>
          <w:color w:val="231F20"/>
          <w:spacing w:val="80"/>
          <w:w w:val="150"/>
        </w:rPr>
        <w:t> </w:t>
      </w:r>
      <w:r>
        <w:rPr>
          <w:color w:val="231F20"/>
        </w:rPr>
        <w:t>number</w:t>
      </w:r>
      <w:r>
        <w:rPr>
          <w:color w:val="231F20"/>
          <w:spacing w:val="80"/>
          <w:w w:val="150"/>
        </w:rPr>
        <w:t> </w:t>
      </w:r>
      <w:r>
        <w:rPr>
          <w:color w:val="231F20"/>
        </w:rPr>
        <w:t>of</w:t>
      </w:r>
      <w:r>
        <w:rPr>
          <w:color w:val="231F20"/>
          <w:spacing w:val="80"/>
          <w:w w:val="150"/>
        </w:rPr>
        <w:t> </w:t>
      </w:r>
      <w:r>
        <w:rPr>
          <w:color w:val="231F20"/>
        </w:rPr>
        <w:t>possibilities</w:t>
      </w:r>
      <w:r>
        <w:rPr>
          <w:color w:val="231F20"/>
          <w:spacing w:val="80"/>
          <w:w w:val="150"/>
        </w:rPr>
        <w:t> </w:t>
      </w:r>
      <w:r>
        <w:rPr>
          <w:color w:val="231F20"/>
        </w:rPr>
        <w:t>that may work. McDonald’s, Burger King, Wendy’s, Hardee’s, and White Castle</w:t>
      </w:r>
      <w:r>
        <w:rPr>
          <w:color w:val="231F20"/>
          <w:spacing w:val="-7"/>
        </w:rPr>
        <w:t> </w:t>
      </w:r>
      <w:r>
        <w:rPr>
          <w:color w:val="231F20"/>
        </w:rPr>
        <w:t>successfully</w:t>
      </w:r>
      <w:r>
        <w:rPr>
          <w:color w:val="231F20"/>
          <w:spacing w:val="-7"/>
        </w:rPr>
        <w:t> </w:t>
      </w:r>
      <w:r>
        <w:rPr>
          <w:color w:val="231F20"/>
        </w:rPr>
        <w:t>sell</w:t>
      </w:r>
      <w:r>
        <w:rPr>
          <w:color w:val="231F20"/>
          <w:spacing w:val="-7"/>
        </w:rPr>
        <w:t> </w:t>
      </w:r>
      <w:r>
        <w:rPr>
          <w:color w:val="231F20"/>
        </w:rPr>
        <w:t>burgers,</w:t>
      </w:r>
      <w:r>
        <w:rPr>
          <w:color w:val="231F20"/>
          <w:spacing w:val="-7"/>
        </w:rPr>
        <w:t> </w:t>
      </w:r>
      <w:r>
        <w:rPr>
          <w:color w:val="231F20"/>
        </w:rPr>
        <w:t>but</w:t>
      </w:r>
      <w:r>
        <w:rPr>
          <w:color w:val="231F20"/>
          <w:spacing w:val="-7"/>
        </w:rPr>
        <w:t> </w:t>
      </w:r>
      <w:r>
        <w:rPr>
          <w:color w:val="231F20"/>
        </w:rPr>
        <w:t>they</w:t>
      </w:r>
      <w:r>
        <w:rPr>
          <w:color w:val="231F20"/>
          <w:spacing w:val="-7"/>
        </w:rPr>
        <w:t> </w:t>
      </w:r>
      <w:r>
        <w:rPr>
          <w:color w:val="231F20"/>
        </w:rPr>
        <w:t>all</w:t>
      </w:r>
      <w:r>
        <w:rPr>
          <w:color w:val="231F20"/>
          <w:spacing w:val="-7"/>
        </w:rPr>
        <w:t> </w:t>
      </w:r>
      <w:r>
        <w:rPr>
          <w:color w:val="231F20"/>
        </w:rPr>
        <w:t>do</w:t>
      </w:r>
      <w:r>
        <w:rPr>
          <w:color w:val="231F20"/>
          <w:spacing w:val="-7"/>
        </w:rPr>
        <w:t> </w:t>
      </w:r>
      <w:r>
        <w:rPr>
          <w:color w:val="231F20"/>
        </w:rPr>
        <w:t>it</w:t>
      </w:r>
      <w:r>
        <w:rPr>
          <w:color w:val="231F20"/>
          <w:spacing w:val="-7"/>
        </w:rPr>
        <w:t> </w:t>
      </w:r>
      <w:r>
        <w:rPr>
          <w:color w:val="231F20"/>
        </w:rPr>
        <w:t>in</w:t>
      </w:r>
      <w:r>
        <w:rPr>
          <w:color w:val="231F20"/>
          <w:spacing w:val="-7"/>
        </w:rPr>
        <w:t> </w:t>
      </w:r>
      <w:r>
        <w:rPr>
          <w:color w:val="231F20"/>
        </w:rPr>
        <w:t>different</w:t>
      </w:r>
      <w:r>
        <w:rPr>
          <w:color w:val="231F20"/>
          <w:spacing w:val="-7"/>
        </w:rPr>
        <w:t> </w:t>
      </w:r>
      <w:r>
        <w:rPr>
          <w:color w:val="231F20"/>
        </w:rPr>
        <w:t>ways.</w:t>
      </w:r>
      <w:r>
        <w:rPr>
          <w:color w:val="231F20"/>
          <w:spacing w:val="-7"/>
        </w:rPr>
        <w:t> </w:t>
      </w:r>
      <w:r>
        <w:rPr>
          <w:color w:val="231F20"/>
        </w:rPr>
        <w:t>Be- cause</w:t>
      </w:r>
      <w:r>
        <w:rPr>
          <w:color w:val="231F20"/>
          <w:spacing w:val="-10"/>
        </w:rPr>
        <w:t> </w:t>
      </w:r>
      <w:r>
        <w:rPr>
          <w:color w:val="231F20"/>
        </w:rPr>
        <w:t>there</w:t>
      </w:r>
      <w:r>
        <w:rPr>
          <w:color w:val="231F20"/>
          <w:spacing w:val="-10"/>
        </w:rPr>
        <w:t> </w:t>
      </w:r>
      <w:r>
        <w:rPr>
          <w:color w:val="231F20"/>
        </w:rPr>
        <w:t>are</w:t>
      </w:r>
      <w:r>
        <w:rPr>
          <w:color w:val="231F20"/>
          <w:spacing w:val="-10"/>
        </w:rPr>
        <w:t> </w:t>
      </w:r>
      <w:r>
        <w:rPr>
          <w:color w:val="231F20"/>
        </w:rPr>
        <w:t>no</w:t>
      </w:r>
      <w:r>
        <w:rPr>
          <w:color w:val="231F20"/>
          <w:spacing w:val="-10"/>
        </w:rPr>
        <w:t> </w:t>
      </w:r>
      <w:r>
        <w:rPr>
          <w:color w:val="231F20"/>
        </w:rPr>
        <w:t>“right”</w:t>
      </w:r>
      <w:r>
        <w:rPr>
          <w:color w:val="231F20"/>
          <w:spacing w:val="-10"/>
        </w:rPr>
        <w:t> </w:t>
      </w:r>
      <w:r>
        <w:rPr>
          <w:color w:val="231F20"/>
        </w:rPr>
        <w:t>answers,</w:t>
      </w:r>
      <w:r>
        <w:rPr>
          <w:color w:val="231F20"/>
          <w:spacing w:val="-10"/>
        </w:rPr>
        <w:t> </w:t>
      </w:r>
      <w:r>
        <w:rPr>
          <w:color w:val="231F20"/>
        </w:rPr>
        <w:t>marketing</w:t>
      </w:r>
      <w:r>
        <w:rPr>
          <w:color w:val="231F20"/>
          <w:spacing w:val="-10"/>
        </w:rPr>
        <w:t> </w:t>
      </w:r>
      <w:r>
        <w:rPr>
          <w:color w:val="231F20"/>
        </w:rPr>
        <w:t>classes</w:t>
      </w:r>
      <w:r>
        <w:rPr>
          <w:color w:val="231F20"/>
          <w:spacing w:val="-10"/>
        </w:rPr>
        <w:t> </w:t>
      </w:r>
      <w:r>
        <w:rPr>
          <w:color w:val="231F20"/>
        </w:rPr>
        <w:t>can</w:t>
      </w:r>
      <w:r>
        <w:rPr>
          <w:color w:val="231F20"/>
          <w:spacing w:val="-10"/>
        </w:rPr>
        <w:t> </w:t>
      </w:r>
      <w:r>
        <w:rPr>
          <w:color w:val="231F20"/>
        </w:rPr>
        <w:t>provide</w:t>
      </w:r>
      <w:r>
        <w:rPr>
          <w:color w:val="231F20"/>
          <w:spacing w:val="-10"/>
        </w:rPr>
        <w:t> </w:t>
      </w:r>
      <w:r>
        <w:rPr>
          <w:color w:val="231F20"/>
        </w:rPr>
        <w:t>stu- </w:t>
      </w:r>
      <w:r>
        <w:rPr>
          <w:color w:val="231F20"/>
          <w:spacing w:val="-2"/>
        </w:rPr>
        <w:t>dents</w:t>
      </w:r>
      <w:r>
        <w:rPr>
          <w:color w:val="231F20"/>
          <w:spacing w:val="-7"/>
        </w:rPr>
        <w:t> </w:t>
      </w:r>
      <w:r>
        <w:rPr>
          <w:color w:val="231F20"/>
          <w:spacing w:val="-2"/>
        </w:rPr>
        <w:t>with</w:t>
      </w:r>
      <w:r>
        <w:rPr>
          <w:color w:val="231F20"/>
          <w:spacing w:val="-7"/>
        </w:rPr>
        <w:t> </w:t>
      </w:r>
      <w:r>
        <w:rPr>
          <w:color w:val="231F20"/>
          <w:spacing w:val="-2"/>
        </w:rPr>
        <w:t>either</w:t>
      </w:r>
      <w:r>
        <w:rPr>
          <w:color w:val="231F20"/>
          <w:spacing w:val="-7"/>
        </w:rPr>
        <w:t> </w:t>
      </w:r>
      <w:r>
        <w:rPr>
          <w:color w:val="231F20"/>
          <w:spacing w:val="-2"/>
        </w:rPr>
        <w:t>an</w:t>
      </w:r>
      <w:r>
        <w:rPr>
          <w:color w:val="231F20"/>
          <w:spacing w:val="-7"/>
        </w:rPr>
        <w:t> </w:t>
      </w:r>
      <w:r>
        <w:rPr>
          <w:color w:val="231F20"/>
          <w:spacing w:val="-2"/>
        </w:rPr>
        <w:t>opportunity</w:t>
      </w:r>
      <w:r>
        <w:rPr>
          <w:color w:val="231F20"/>
          <w:spacing w:val="-7"/>
        </w:rPr>
        <w:t> </w:t>
      </w:r>
      <w:r>
        <w:rPr>
          <w:color w:val="231F20"/>
          <w:spacing w:val="-2"/>
        </w:rPr>
        <w:t>to</w:t>
      </w:r>
      <w:r>
        <w:rPr>
          <w:color w:val="231F20"/>
          <w:spacing w:val="-7"/>
        </w:rPr>
        <w:t> </w:t>
      </w:r>
      <w:r>
        <w:rPr>
          <w:color w:val="231F20"/>
          <w:spacing w:val="-2"/>
        </w:rPr>
        <w:t>show</w:t>
      </w:r>
      <w:r>
        <w:rPr>
          <w:color w:val="231F20"/>
          <w:spacing w:val="-7"/>
        </w:rPr>
        <w:t> </w:t>
      </w:r>
      <w:r>
        <w:rPr>
          <w:color w:val="231F20"/>
          <w:spacing w:val="-2"/>
        </w:rPr>
        <w:t>their</w:t>
      </w:r>
      <w:r>
        <w:rPr>
          <w:color w:val="231F20"/>
          <w:spacing w:val="-7"/>
        </w:rPr>
        <w:t> </w:t>
      </w:r>
      <w:r>
        <w:rPr>
          <w:color w:val="231F20"/>
          <w:spacing w:val="-2"/>
        </w:rPr>
        <w:t>individual</w:t>
      </w:r>
      <w:r>
        <w:rPr>
          <w:color w:val="231F20"/>
          <w:spacing w:val="-7"/>
        </w:rPr>
        <w:t> </w:t>
      </w:r>
      <w:r>
        <w:rPr>
          <w:color w:val="231F20"/>
          <w:spacing w:val="-2"/>
        </w:rPr>
        <w:t>flair,</w:t>
      </w:r>
      <w:r>
        <w:rPr>
          <w:color w:val="231F20"/>
          <w:spacing w:val="-7"/>
        </w:rPr>
        <w:t> </w:t>
      </w:r>
      <w:r>
        <w:rPr>
          <w:color w:val="231F20"/>
          <w:spacing w:val="-2"/>
        </w:rPr>
        <w:t>or</w:t>
      </w:r>
      <w:r>
        <w:rPr>
          <w:color w:val="231F20"/>
          <w:spacing w:val="-7"/>
        </w:rPr>
        <w:t> </w:t>
      </w:r>
      <w:r>
        <w:rPr>
          <w:color w:val="231F20"/>
          <w:spacing w:val="-2"/>
        </w:rPr>
        <w:t>many </w:t>
      </w:r>
      <w:r>
        <w:rPr>
          <w:color w:val="231F20"/>
        </w:rPr>
        <w:t>hours</w:t>
      </w:r>
      <w:r>
        <w:rPr>
          <w:color w:val="231F20"/>
          <w:spacing w:val="-12"/>
        </w:rPr>
        <w:t> </w:t>
      </w:r>
      <w:r>
        <w:rPr>
          <w:color w:val="231F20"/>
        </w:rPr>
        <w:t>of</w:t>
      </w:r>
      <w:r>
        <w:rPr>
          <w:color w:val="231F20"/>
          <w:spacing w:val="-12"/>
        </w:rPr>
        <w:t> </w:t>
      </w:r>
      <w:r>
        <w:rPr>
          <w:color w:val="231F20"/>
        </w:rPr>
        <w:t>frustration</w:t>
      </w:r>
      <w:r>
        <w:rPr>
          <w:color w:val="231F20"/>
          <w:spacing w:val="-11"/>
        </w:rPr>
        <w:t> </w:t>
      </w:r>
      <w:r>
        <w:rPr>
          <w:color w:val="231F20"/>
        </w:rPr>
        <w:t>as</w:t>
      </w:r>
      <w:r>
        <w:rPr>
          <w:color w:val="231F20"/>
          <w:spacing w:val="-12"/>
        </w:rPr>
        <w:t> </w:t>
      </w:r>
      <w:r>
        <w:rPr>
          <w:color w:val="231F20"/>
        </w:rPr>
        <w:t>they</w:t>
      </w:r>
      <w:r>
        <w:rPr>
          <w:color w:val="231F20"/>
          <w:spacing w:val="-11"/>
        </w:rPr>
        <w:t> </w:t>
      </w:r>
      <w:r>
        <w:rPr>
          <w:color w:val="231F20"/>
        </w:rPr>
        <w:t>try</w:t>
      </w:r>
      <w:r>
        <w:rPr>
          <w:color w:val="231F20"/>
          <w:spacing w:val="-12"/>
        </w:rPr>
        <w:t> </w:t>
      </w:r>
      <w:r>
        <w:rPr>
          <w:color w:val="231F20"/>
        </w:rPr>
        <w:t>to</w:t>
      </w:r>
      <w:r>
        <w:rPr>
          <w:color w:val="231F20"/>
          <w:spacing w:val="-11"/>
        </w:rPr>
        <w:t> </w:t>
      </w:r>
      <w:r>
        <w:rPr>
          <w:color w:val="231F20"/>
        </w:rPr>
        <w:t>come</w:t>
      </w:r>
      <w:r>
        <w:rPr>
          <w:color w:val="231F20"/>
          <w:spacing w:val="-12"/>
        </w:rPr>
        <w:t> </w:t>
      </w:r>
      <w:r>
        <w:rPr>
          <w:color w:val="231F20"/>
        </w:rPr>
        <w:t>up</w:t>
      </w:r>
      <w:r>
        <w:rPr>
          <w:color w:val="231F20"/>
          <w:spacing w:val="-12"/>
        </w:rPr>
        <w:t> </w:t>
      </w:r>
      <w:r>
        <w:rPr>
          <w:color w:val="231F20"/>
        </w:rPr>
        <w:t>with</w:t>
      </w:r>
      <w:r>
        <w:rPr>
          <w:color w:val="231F20"/>
          <w:spacing w:val="-11"/>
        </w:rPr>
        <w:t> </w:t>
      </w:r>
      <w:r>
        <w:rPr>
          <w:color w:val="231F20"/>
        </w:rPr>
        <w:t>creative</w:t>
      </w:r>
      <w:r>
        <w:rPr>
          <w:color w:val="231F20"/>
          <w:spacing w:val="-12"/>
        </w:rPr>
        <w:t> </w:t>
      </w:r>
      <w:r>
        <w:rPr>
          <w:color w:val="231F20"/>
        </w:rPr>
        <w:t>ideas.</w:t>
      </w:r>
      <w:r>
        <w:rPr>
          <w:color w:val="231F20"/>
          <w:spacing w:val="-11"/>
        </w:rPr>
        <w:t> </w:t>
      </w:r>
      <w:r>
        <w:rPr>
          <w:color w:val="231F20"/>
        </w:rPr>
        <w:t>Market- ing</w:t>
      </w:r>
      <w:r>
        <w:rPr>
          <w:color w:val="231F20"/>
          <w:spacing w:val="-11"/>
        </w:rPr>
        <w:t> </w:t>
      </w:r>
      <w:r>
        <w:rPr>
          <w:color w:val="231F20"/>
        </w:rPr>
        <w:t>was</w:t>
      </w:r>
      <w:r>
        <w:rPr>
          <w:color w:val="231F20"/>
          <w:spacing w:val="-11"/>
        </w:rPr>
        <w:t> </w:t>
      </w:r>
      <w:r>
        <w:rPr>
          <w:color w:val="231F20"/>
        </w:rPr>
        <w:t>my</w:t>
      </w:r>
      <w:r>
        <w:rPr>
          <w:color w:val="231F20"/>
          <w:spacing w:val="-11"/>
        </w:rPr>
        <w:t> </w:t>
      </w:r>
      <w:r>
        <w:rPr>
          <w:color w:val="231F20"/>
        </w:rPr>
        <w:t>favorite</w:t>
      </w:r>
      <w:r>
        <w:rPr>
          <w:color w:val="231F20"/>
          <w:spacing w:val="-11"/>
        </w:rPr>
        <w:t> </w:t>
      </w:r>
      <w:r>
        <w:rPr>
          <w:color w:val="231F20"/>
        </w:rPr>
        <w:t>subject.</w:t>
      </w:r>
      <w:r>
        <w:rPr>
          <w:color w:val="231F20"/>
          <w:spacing w:val="-11"/>
        </w:rPr>
        <w:t> </w:t>
      </w:r>
      <w:r>
        <w:rPr>
          <w:color w:val="231F20"/>
        </w:rPr>
        <w:t>It</w:t>
      </w:r>
      <w:r>
        <w:rPr>
          <w:color w:val="231F20"/>
          <w:spacing w:val="-11"/>
        </w:rPr>
        <w:t> </w:t>
      </w:r>
      <w:r>
        <w:rPr>
          <w:color w:val="231F20"/>
        </w:rPr>
        <w:t>was</w:t>
      </w:r>
      <w:r>
        <w:rPr>
          <w:color w:val="231F20"/>
          <w:spacing w:val="-11"/>
        </w:rPr>
        <w:t> </w:t>
      </w:r>
      <w:r>
        <w:rPr>
          <w:color w:val="231F20"/>
        </w:rPr>
        <w:t>fun</w:t>
      </w:r>
      <w:r>
        <w:rPr>
          <w:color w:val="231F20"/>
          <w:spacing w:val="-11"/>
        </w:rPr>
        <w:t> </w:t>
      </w:r>
      <w:r>
        <w:rPr>
          <w:color w:val="231F20"/>
        </w:rPr>
        <w:t>cooking</w:t>
      </w:r>
      <w:r>
        <w:rPr>
          <w:color w:val="231F20"/>
          <w:spacing w:val="-11"/>
        </w:rPr>
        <w:t> </w:t>
      </w:r>
      <w:r>
        <w:rPr>
          <w:color w:val="231F20"/>
        </w:rPr>
        <w:t>up</w:t>
      </w:r>
      <w:r>
        <w:rPr>
          <w:color w:val="231F20"/>
          <w:spacing w:val="-11"/>
        </w:rPr>
        <w:t> </w:t>
      </w:r>
      <w:r>
        <w:rPr>
          <w:color w:val="231F20"/>
        </w:rPr>
        <w:t>ideas</w:t>
      </w:r>
      <w:r>
        <w:rPr>
          <w:color w:val="231F20"/>
          <w:spacing w:val="-11"/>
        </w:rPr>
        <w:t> </w:t>
      </w:r>
      <w:r>
        <w:rPr>
          <w:color w:val="231F20"/>
        </w:rPr>
        <w:t>for</w:t>
      </w:r>
      <w:r>
        <w:rPr>
          <w:color w:val="231F20"/>
          <w:spacing w:val="-11"/>
        </w:rPr>
        <w:t> </w:t>
      </w:r>
      <w:r>
        <w:rPr>
          <w:color w:val="231F20"/>
        </w:rPr>
        <w:t>discussion. My</w:t>
      </w:r>
      <w:r>
        <w:rPr>
          <w:color w:val="231F20"/>
          <w:spacing w:val="-10"/>
        </w:rPr>
        <w:t> </w:t>
      </w:r>
      <w:r>
        <w:rPr>
          <w:color w:val="231F20"/>
        </w:rPr>
        <w:t>B-school</w:t>
      </w:r>
      <w:r>
        <w:rPr>
          <w:color w:val="231F20"/>
          <w:spacing w:val="-10"/>
        </w:rPr>
        <w:t> </w:t>
      </w:r>
      <w:r>
        <w:rPr>
          <w:color w:val="231F20"/>
        </w:rPr>
        <w:t>buddies</w:t>
      </w:r>
      <w:r>
        <w:rPr>
          <w:color w:val="231F20"/>
          <w:spacing w:val="-10"/>
        </w:rPr>
        <w:t> </w:t>
      </w:r>
      <w:r>
        <w:rPr>
          <w:color w:val="231F20"/>
        </w:rPr>
        <w:t>still</w:t>
      </w:r>
      <w:r>
        <w:rPr>
          <w:color w:val="231F20"/>
          <w:spacing w:val="-10"/>
        </w:rPr>
        <w:t> </w:t>
      </w:r>
      <w:r>
        <w:rPr>
          <w:color w:val="231F20"/>
        </w:rPr>
        <w:t>kid</w:t>
      </w:r>
      <w:r>
        <w:rPr>
          <w:color w:val="231F20"/>
          <w:spacing w:val="-10"/>
        </w:rPr>
        <w:t> </w:t>
      </w:r>
      <w:r>
        <w:rPr>
          <w:color w:val="231F20"/>
        </w:rPr>
        <w:t>me</w:t>
      </w:r>
      <w:r>
        <w:rPr>
          <w:color w:val="231F20"/>
          <w:spacing w:val="-10"/>
        </w:rPr>
        <w:t> </w:t>
      </w:r>
      <w:r>
        <w:rPr>
          <w:color w:val="231F20"/>
        </w:rPr>
        <w:t>about</w:t>
      </w:r>
      <w:r>
        <w:rPr>
          <w:color w:val="231F20"/>
          <w:spacing w:val="-10"/>
        </w:rPr>
        <w:t> </w:t>
      </w:r>
      <w:r>
        <w:rPr>
          <w:color w:val="231F20"/>
        </w:rPr>
        <w:t>the</w:t>
      </w:r>
      <w:r>
        <w:rPr>
          <w:color w:val="231F20"/>
          <w:spacing w:val="-10"/>
        </w:rPr>
        <w:t> </w:t>
      </w:r>
      <w:r>
        <w:rPr>
          <w:color w:val="231F20"/>
        </w:rPr>
        <w:t>time</w:t>
      </w:r>
      <w:r>
        <w:rPr>
          <w:color w:val="231F20"/>
          <w:spacing w:val="-10"/>
        </w:rPr>
        <w:t> </w:t>
      </w:r>
      <w:r>
        <w:rPr>
          <w:color w:val="231F20"/>
        </w:rPr>
        <w:t>I</w:t>
      </w:r>
      <w:r>
        <w:rPr>
          <w:color w:val="231F20"/>
          <w:spacing w:val="-10"/>
        </w:rPr>
        <w:t> </w:t>
      </w:r>
      <w:r>
        <w:rPr>
          <w:color w:val="231F20"/>
        </w:rPr>
        <w:t>proposed</w:t>
      </w:r>
      <w:r>
        <w:rPr>
          <w:color w:val="231F20"/>
          <w:spacing w:val="-10"/>
        </w:rPr>
        <w:t> </w:t>
      </w:r>
      <w:r>
        <w:rPr>
          <w:color w:val="231F20"/>
        </w:rPr>
        <w:t>to</w:t>
      </w:r>
      <w:r>
        <w:rPr>
          <w:color w:val="231F20"/>
          <w:spacing w:val="-10"/>
        </w:rPr>
        <w:t> </w:t>
      </w:r>
      <w:r>
        <w:rPr>
          <w:color w:val="231F20"/>
        </w:rPr>
        <w:t>the</w:t>
      </w:r>
      <w:r>
        <w:rPr>
          <w:color w:val="231F20"/>
          <w:spacing w:val="-10"/>
        </w:rPr>
        <w:t> </w:t>
      </w:r>
      <w:r>
        <w:rPr>
          <w:color w:val="231F20"/>
        </w:rPr>
        <w:t>class that</w:t>
      </w:r>
      <w:r>
        <w:rPr>
          <w:color w:val="231F20"/>
          <w:spacing w:val="-5"/>
        </w:rPr>
        <w:t> </w:t>
      </w:r>
      <w:r>
        <w:rPr>
          <w:color w:val="231F20"/>
        </w:rPr>
        <w:t>Frank</w:t>
      </w:r>
      <w:r>
        <w:rPr>
          <w:color w:val="231F20"/>
          <w:spacing w:val="-5"/>
        </w:rPr>
        <w:t> </w:t>
      </w:r>
      <w:r>
        <w:rPr>
          <w:color w:val="231F20"/>
        </w:rPr>
        <w:t>Perdue</w:t>
      </w:r>
      <w:r>
        <w:rPr>
          <w:color w:val="231F20"/>
          <w:spacing w:val="-5"/>
        </w:rPr>
        <w:t> </w:t>
      </w:r>
      <w:r>
        <w:rPr>
          <w:color w:val="231F20"/>
        </w:rPr>
        <w:t>introduce</w:t>
      </w:r>
      <w:r>
        <w:rPr>
          <w:color w:val="231F20"/>
          <w:spacing w:val="-5"/>
        </w:rPr>
        <w:t> </w:t>
      </w:r>
      <w:r>
        <w:rPr>
          <w:color w:val="231F20"/>
        </w:rPr>
        <w:t>a</w:t>
      </w:r>
      <w:r>
        <w:rPr>
          <w:color w:val="231F20"/>
          <w:spacing w:val="-5"/>
        </w:rPr>
        <w:t> </w:t>
      </w:r>
      <w:r>
        <w:rPr>
          <w:color w:val="231F20"/>
        </w:rPr>
        <w:t>gourmet</w:t>
      </w:r>
      <w:r>
        <w:rPr>
          <w:color w:val="231F20"/>
          <w:spacing w:val="-5"/>
        </w:rPr>
        <w:t> </w:t>
      </w:r>
      <w:r>
        <w:rPr>
          <w:color w:val="231F20"/>
        </w:rPr>
        <w:t>chicken</w:t>
      </w:r>
      <w:r>
        <w:rPr>
          <w:color w:val="231F20"/>
          <w:spacing w:val="-5"/>
        </w:rPr>
        <w:t> </w:t>
      </w:r>
      <w:r>
        <w:rPr>
          <w:color w:val="231F20"/>
        </w:rPr>
        <w:t>hot</w:t>
      </w:r>
      <w:r>
        <w:rPr>
          <w:color w:val="231F20"/>
          <w:spacing w:val="-5"/>
        </w:rPr>
        <w:t> </w:t>
      </w:r>
      <w:r>
        <w:rPr>
          <w:color w:val="231F20"/>
        </w:rPr>
        <w:t>dog.</w:t>
      </w:r>
    </w:p>
    <w:p>
      <w:pPr>
        <w:spacing w:after="0" w:line="292" w:lineRule="auto"/>
        <w:jc w:val="both"/>
        <w:sectPr>
          <w:headerReference w:type="even" r:id="rId15"/>
          <w:headerReference w:type="default" r:id="rId16"/>
          <w:pgSz w:w="8640" w:h="12960"/>
          <w:pgMar w:header="732" w:footer="0" w:top="920" w:bottom="280" w:left="340" w:right="500"/>
          <w:pgNumType w:start="2"/>
        </w:sectPr>
      </w:pPr>
    </w:p>
    <w:p>
      <w:pPr>
        <w:pStyle w:val="BodyText"/>
        <w:rPr>
          <w:sz w:val="20"/>
        </w:rPr>
      </w:pPr>
    </w:p>
    <w:p>
      <w:pPr>
        <w:pStyle w:val="BodyText"/>
        <w:spacing w:before="9"/>
        <w:rPr>
          <w:sz w:val="20"/>
        </w:rPr>
      </w:pPr>
    </w:p>
    <w:p>
      <w:pPr>
        <w:pStyle w:val="Heading4"/>
        <w:spacing w:before="102"/>
      </w:pPr>
      <w:r>
        <w:rPr>
          <w:color w:val="231F20"/>
          <w:w w:val="85"/>
        </w:rPr>
        <w:t>THE</w:t>
      </w:r>
      <w:r>
        <w:rPr>
          <w:color w:val="231F20"/>
          <w:spacing w:val="24"/>
        </w:rPr>
        <w:t> </w:t>
      </w:r>
      <w:r>
        <w:rPr>
          <w:color w:val="231F20"/>
          <w:spacing w:val="9"/>
          <w:w w:val="85"/>
        </w:rPr>
        <w:t>MARKETING</w:t>
      </w:r>
      <w:r>
        <w:rPr>
          <w:color w:val="231F20"/>
          <w:spacing w:val="24"/>
        </w:rPr>
        <w:t> </w:t>
      </w:r>
      <w:r>
        <w:rPr>
          <w:color w:val="231F20"/>
          <w:w w:val="85"/>
        </w:rPr>
        <w:t>STRATEGY</w:t>
      </w:r>
      <w:r>
        <w:rPr>
          <w:color w:val="231F20"/>
          <w:spacing w:val="24"/>
        </w:rPr>
        <w:t> </w:t>
      </w:r>
      <w:r>
        <w:rPr>
          <w:color w:val="231F20"/>
          <w:spacing w:val="9"/>
          <w:w w:val="85"/>
        </w:rPr>
        <w:t>PROCESS</w:t>
      </w:r>
    </w:p>
    <w:p>
      <w:pPr>
        <w:pStyle w:val="BodyText"/>
        <w:spacing w:before="11"/>
        <w:rPr>
          <w:rFonts w:ascii="Trebuchet MS"/>
          <w:sz w:val="29"/>
        </w:rPr>
      </w:pPr>
    </w:p>
    <w:p>
      <w:pPr>
        <w:pStyle w:val="BodyText"/>
        <w:spacing w:line="292" w:lineRule="auto"/>
        <w:ind w:left="919" w:right="666"/>
        <w:jc w:val="both"/>
      </w:pPr>
      <w:r>
        <w:rPr>
          <w:color w:val="231F20"/>
        </w:rPr>
        <w:t>The marketing process is a circular function. Marketing plans un- dergo many changes until all the parts are </w:t>
      </w:r>
      <w:r>
        <w:rPr>
          <w:i/>
          <w:color w:val="231F20"/>
        </w:rPr>
        <w:t>internally consistent </w:t>
      </w:r>
      <w:r>
        <w:rPr>
          <w:color w:val="231F20"/>
        </w:rPr>
        <w:t>and </w:t>
      </w:r>
      <w:r>
        <w:rPr>
          <w:i/>
          <w:color w:val="231F20"/>
        </w:rPr>
        <w:t>mutually supportive </w:t>
      </w:r>
      <w:r>
        <w:rPr>
          <w:color w:val="231F20"/>
        </w:rPr>
        <w:t>of the objectives. All aspects of a proposal </w:t>
      </w:r>
      <w:r>
        <w:rPr>
          <w:color w:val="231F20"/>
        </w:rPr>
        <w:t>need</w:t>
      </w:r>
      <w:r>
        <w:rPr>
          <w:color w:val="231F20"/>
          <w:spacing w:val="40"/>
        </w:rPr>
        <w:t> </w:t>
      </w:r>
      <w:r>
        <w:rPr>
          <w:color w:val="231F20"/>
        </w:rPr>
        <w:t>to work together to make sense. It is easy to get one part right, but</w:t>
      </w:r>
      <w:r>
        <w:rPr>
          <w:color w:val="231F20"/>
          <w:spacing w:val="80"/>
        </w:rPr>
        <w:t> </w:t>
      </w:r>
      <w:r>
        <w:rPr>
          <w:color w:val="231F20"/>
        </w:rPr>
        <w:t>an internally consistent and mutually supportive marketing plan is a great accomplishment. It’s a seven-part process.</w:t>
      </w:r>
    </w:p>
    <w:p>
      <w:pPr>
        <w:pStyle w:val="BodyText"/>
        <w:spacing w:before="2"/>
        <w:rPr>
          <w:sz w:val="27"/>
        </w:rPr>
      </w:pPr>
    </w:p>
    <w:p>
      <w:pPr>
        <w:pStyle w:val="ListParagraph"/>
        <w:numPr>
          <w:ilvl w:val="0"/>
          <w:numId w:val="12"/>
        </w:numPr>
        <w:tabs>
          <w:tab w:pos="1611" w:val="left" w:leader="none"/>
        </w:tabs>
        <w:spacing w:line="240" w:lineRule="auto" w:before="0" w:after="0"/>
        <w:ind w:left="1610" w:right="0" w:hanging="171"/>
        <w:jc w:val="left"/>
        <w:rPr>
          <w:sz w:val="19"/>
        </w:rPr>
      </w:pPr>
      <w:r>
        <w:rPr>
          <w:color w:val="231F20"/>
          <w:w w:val="110"/>
          <w:sz w:val="19"/>
        </w:rPr>
        <w:t>Consumer</w:t>
      </w:r>
      <w:r>
        <w:rPr>
          <w:color w:val="231F20"/>
          <w:spacing w:val="-4"/>
          <w:w w:val="110"/>
          <w:sz w:val="19"/>
        </w:rPr>
        <w:t> </w:t>
      </w:r>
      <w:r>
        <w:rPr>
          <w:color w:val="231F20"/>
          <w:spacing w:val="-2"/>
          <w:w w:val="110"/>
          <w:sz w:val="19"/>
        </w:rPr>
        <w:t>Analysis</w:t>
      </w:r>
    </w:p>
    <w:p>
      <w:pPr>
        <w:pStyle w:val="ListParagraph"/>
        <w:numPr>
          <w:ilvl w:val="0"/>
          <w:numId w:val="12"/>
        </w:numPr>
        <w:tabs>
          <w:tab w:pos="1611" w:val="left" w:leader="none"/>
        </w:tabs>
        <w:spacing w:line="240" w:lineRule="auto" w:before="82" w:after="0"/>
        <w:ind w:left="1610" w:right="0" w:hanging="220"/>
        <w:jc w:val="left"/>
        <w:rPr>
          <w:sz w:val="19"/>
        </w:rPr>
      </w:pPr>
      <w:r>
        <w:rPr>
          <w:color w:val="231F20"/>
          <w:w w:val="110"/>
          <w:sz w:val="19"/>
        </w:rPr>
        <w:t>Market</w:t>
      </w:r>
      <w:r>
        <w:rPr>
          <w:color w:val="231F20"/>
          <w:spacing w:val="-2"/>
          <w:w w:val="110"/>
          <w:sz w:val="19"/>
        </w:rPr>
        <w:t> Analysis</w:t>
      </w:r>
    </w:p>
    <w:p>
      <w:pPr>
        <w:pStyle w:val="ListParagraph"/>
        <w:numPr>
          <w:ilvl w:val="0"/>
          <w:numId w:val="12"/>
        </w:numPr>
        <w:tabs>
          <w:tab w:pos="1611" w:val="left" w:leader="none"/>
        </w:tabs>
        <w:spacing w:line="240" w:lineRule="auto" w:before="81" w:after="0"/>
        <w:ind w:left="1610" w:right="0" w:hanging="224"/>
        <w:jc w:val="left"/>
        <w:rPr>
          <w:sz w:val="19"/>
        </w:rPr>
      </w:pPr>
      <w:r>
        <w:rPr>
          <w:color w:val="231F20"/>
          <w:w w:val="115"/>
          <w:sz w:val="19"/>
        </w:rPr>
        <w:t>Review</w:t>
      </w:r>
      <w:r>
        <w:rPr>
          <w:color w:val="231F20"/>
          <w:spacing w:val="-15"/>
          <w:w w:val="115"/>
          <w:sz w:val="19"/>
        </w:rPr>
        <w:t> </w:t>
      </w:r>
      <w:r>
        <w:rPr>
          <w:color w:val="231F20"/>
          <w:w w:val="115"/>
          <w:sz w:val="19"/>
        </w:rPr>
        <w:t>of</w:t>
      </w:r>
      <w:r>
        <w:rPr>
          <w:color w:val="231F20"/>
          <w:spacing w:val="-14"/>
          <w:w w:val="115"/>
          <w:sz w:val="19"/>
        </w:rPr>
        <w:t> </w:t>
      </w:r>
      <w:r>
        <w:rPr>
          <w:color w:val="231F20"/>
          <w:w w:val="115"/>
          <w:sz w:val="19"/>
        </w:rPr>
        <w:t>the</w:t>
      </w:r>
      <w:r>
        <w:rPr>
          <w:color w:val="231F20"/>
          <w:spacing w:val="-15"/>
          <w:w w:val="115"/>
          <w:sz w:val="19"/>
        </w:rPr>
        <w:t> </w:t>
      </w:r>
      <w:r>
        <w:rPr>
          <w:color w:val="231F20"/>
          <w:w w:val="115"/>
          <w:sz w:val="19"/>
        </w:rPr>
        <w:t>Competition</w:t>
      </w:r>
      <w:r>
        <w:rPr>
          <w:color w:val="231F20"/>
          <w:spacing w:val="-14"/>
          <w:w w:val="115"/>
          <w:sz w:val="19"/>
        </w:rPr>
        <w:t> </w:t>
      </w:r>
      <w:r>
        <w:rPr>
          <w:color w:val="231F20"/>
          <w:w w:val="115"/>
          <w:sz w:val="19"/>
        </w:rPr>
        <w:t>and</w:t>
      </w:r>
      <w:r>
        <w:rPr>
          <w:color w:val="231F20"/>
          <w:spacing w:val="-15"/>
          <w:w w:val="115"/>
          <w:sz w:val="19"/>
        </w:rPr>
        <w:t> </w:t>
      </w:r>
      <w:r>
        <w:rPr>
          <w:color w:val="231F20"/>
          <w:spacing w:val="-4"/>
          <w:w w:val="115"/>
          <w:sz w:val="19"/>
        </w:rPr>
        <w:t>Self</w:t>
      </w:r>
    </w:p>
    <w:p>
      <w:pPr>
        <w:pStyle w:val="ListParagraph"/>
        <w:numPr>
          <w:ilvl w:val="0"/>
          <w:numId w:val="12"/>
        </w:numPr>
        <w:tabs>
          <w:tab w:pos="1611" w:val="left" w:leader="none"/>
        </w:tabs>
        <w:spacing w:line="240" w:lineRule="auto" w:before="82" w:after="0"/>
        <w:ind w:left="1610" w:right="0" w:hanging="234"/>
        <w:jc w:val="left"/>
        <w:rPr>
          <w:sz w:val="19"/>
        </w:rPr>
      </w:pPr>
      <w:r>
        <w:rPr>
          <w:color w:val="231F20"/>
          <w:w w:val="115"/>
          <w:sz w:val="19"/>
        </w:rPr>
        <w:t>Review</w:t>
      </w:r>
      <w:r>
        <w:rPr>
          <w:color w:val="231F20"/>
          <w:spacing w:val="-13"/>
          <w:w w:val="115"/>
          <w:sz w:val="19"/>
        </w:rPr>
        <w:t> </w:t>
      </w:r>
      <w:r>
        <w:rPr>
          <w:color w:val="231F20"/>
          <w:w w:val="115"/>
          <w:sz w:val="19"/>
        </w:rPr>
        <w:t>of</w:t>
      </w:r>
      <w:r>
        <w:rPr>
          <w:color w:val="231F20"/>
          <w:spacing w:val="-13"/>
          <w:w w:val="115"/>
          <w:sz w:val="19"/>
        </w:rPr>
        <w:t> </w:t>
      </w:r>
      <w:r>
        <w:rPr>
          <w:color w:val="231F20"/>
          <w:w w:val="115"/>
          <w:sz w:val="19"/>
        </w:rPr>
        <w:t>the</w:t>
      </w:r>
      <w:r>
        <w:rPr>
          <w:color w:val="231F20"/>
          <w:spacing w:val="-13"/>
          <w:w w:val="115"/>
          <w:sz w:val="19"/>
        </w:rPr>
        <w:t> </w:t>
      </w:r>
      <w:r>
        <w:rPr>
          <w:color w:val="231F20"/>
          <w:w w:val="115"/>
          <w:sz w:val="19"/>
        </w:rPr>
        <w:t>Distribution</w:t>
      </w:r>
      <w:r>
        <w:rPr>
          <w:color w:val="231F20"/>
          <w:spacing w:val="-13"/>
          <w:w w:val="115"/>
          <w:sz w:val="19"/>
        </w:rPr>
        <w:t> </w:t>
      </w:r>
      <w:r>
        <w:rPr>
          <w:color w:val="231F20"/>
          <w:spacing w:val="-2"/>
          <w:w w:val="115"/>
          <w:sz w:val="19"/>
        </w:rPr>
        <w:t>Channels</w:t>
      </w:r>
    </w:p>
    <w:p>
      <w:pPr>
        <w:pStyle w:val="ListParagraph"/>
        <w:numPr>
          <w:ilvl w:val="0"/>
          <w:numId w:val="12"/>
        </w:numPr>
        <w:tabs>
          <w:tab w:pos="1611" w:val="left" w:leader="none"/>
        </w:tabs>
        <w:spacing w:line="240" w:lineRule="auto" w:before="81" w:after="0"/>
        <w:ind w:left="1610" w:right="0" w:hanging="223"/>
        <w:jc w:val="left"/>
        <w:rPr>
          <w:sz w:val="19"/>
        </w:rPr>
      </w:pPr>
      <w:r>
        <w:rPr>
          <w:color w:val="231F20"/>
          <w:w w:val="110"/>
          <w:sz w:val="19"/>
        </w:rPr>
        <w:t>Development</w:t>
      </w:r>
      <w:r>
        <w:rPr>
          <w:color w:val="231F20"/>
          <w:spacing w:val="12"/>
          <w:w w:val="110"/>
          <w:sz w:val="19"/>
        </w:rPr>
        <w:t> </w:t>
      </w:r>
      <w:r>
        <w:rPr>
          <w:color w:val="231F20"/>
          <w:w w:val="110"/>
          <w:sz w:val="19"/>
        </w:rPr>
        <w:t>of</w:t>
      </w:r>
      <w:r>
        <w:rPr>
          <w:color w:val="231F20"/>
          <w:spacing w:val="13"/>
          <w:w w:val="110"/>
          <w:sz w:val="19"/>
        </w:rPr>
        <w:t> </w:t>
      </w:r>
      <w:r>
        <w:rPr>
          <w:color w:val="231F20"/>
          <w:w w:val="110"/>
          <w:sz w:val="19"/>
        </w:rPr>
        <w:t>a</w:t>
      </w:r>
      <w:r>
        <w:rPr>
          <w:color w:val="231F20"/>
          <w:spacing w:val="13"/>
          <w:w w:val="110"/>
          <w:sz w:val="19"/>
        </w:rPr>
        <w:t> </w:t>
      </w:r>
      <w:r>
        <w:rPr>
          <w:color w:val="231F20"/>
          <w:w w:val="110"/>
          <w:sz w:val="19"/>
        </w:rPr>
        <w:t>“Preliminary”</w:t>
      </w:r>
      <w:r>
        <w:rPr>
          <w:color w:val="231F20"/>
          <w:spacing w:val="13"/>
          <w:w w:val="110"/>
          <w:sz w:val="19"/>
        </w:rPr>
        <w:t> </w:t>
      </w:r>
      <w:r>
        <w:rPr>
          <w:color w:val="231F20"/>
          <w:w w:val="110"/>
          <w:sz w:val="19"/>
        </w:rPr>
        <w:t>Marketing</w:t>
      </w:r>
      <w:r>
        <w:rPr>
          <w:color w:val="231F20"/>
          <w:spacing w:val="13"/>
          <w:w w:val="110"/>
          <w:sz w:val="19"/>
        </w:rPr>
        <w:t> </w:t>
      </w:r>
      <w:r>
        <w:rPr>
          <w:color w:val="231F20"/>
          <w:spacing w:val="-5"/>
          <w:w w:val="110"/>
          <w:sz w:val="19"/>
        </w:rPr>
        <w:t>Mix</w:t>
      </w:r>
    </w:p>
    <w:p>
      <w:pPr>
        <w:pStyle w:val="ListParagraph"/>
        <w:numPr>
          <w:ilvl w:val="0"/>
          <w:numId w:val="12"/>
        </w:numPr>
        <w:tabs>
          <w:tab w:pos="1610" w:val="left" w:leader="none"/>
        </w:tabs>
        <w:spacing w:line="240" w:lineRule="auto" w:before="82" w:after="0"/>
        <w:ind w:left="1609" w:right="0" w:hanging="229"/>
        <w:jc w:val="left"/>
        <w:rPr>
          <w:sz w:val="19"/>
        </w:rPr>
      </w:pPr>
      <w:r>
        <w:rPr>
          <w:color w:val="231F20"/>
          <w:spacing w:val="-2"/>
          <w:w w:val="115"/>
          <w:sz w:val="19"/>
        </w:rPr>
        <w:t>Evaluation</w:t>
      </w:r>
      <w:r>
        <w:rPr>
          <w:color w:val="231F20"/>
          <w:spacing w:val="-9"/>
          <w:w w:val="115"/>
          <w:sz w:val="19"/>
        </w:rPr>
        <w:t> </w:t>
      </w:r>
      <w:r>
        <w:rPr>
          <w:color w:val="231F20"/>
          <w:spacing w:val="-2"/>
          <w:w w:val="115"/>
          <w:sz w:val="19"/>
        </w:rPr>
        <w:t>of</w:t>
      </w:r>
      <w:r>
        <w:rPr>
          <w:color w:val="231F20"/>
          <w:spacing w:val="-9"/>
          <w:w w:val="115"/>
          <w:sz w:val="19"/>
        </w:rPr>
        <w:t> </w:t>
      </w:r>
      <w:r>
        <w:rPr>
          <w:color w:val="231F20"/>
          <w:spacing w:val="-2"/>
          <w:w w:val="115"/>
          <w:sz w:val="19"/>
        </w:rPr>
        <w:t>the</w:t>
      </w:r>
      <w:r>
        <w:rPr>
          <w:color w:val="231F20"/>
          <w:spacing w:val="-9"/>
          <w:w w:val="115"/>
          <w:sz w:val="19"/>
        </w:rPr>
        <w:t> </w:t>
      </w:r>
      <w:r>
        <w:rPr>
          <w:color w:val="231F20"/>
          <w:spacing w:val="-2"/>
          <w:w w:val="115"/>
          <w:sz w:val="19"/>
        </w:rPr>
        <w:t>Economics</w:t>
      </w:r>
    </w:p>
    <w:p>
      <w:pPr>
        <w:pStyle w:val="ListParagraph"/>
        <w:numPr>
          <w:ilvl w:val="0"/>
          <w:numId w:val="12"/>
        </w:numPr>
        <w:tabs>
          <w:tab w:pos="1610" w:val="left" w:leader="none"/>
        </w:tabs>
        <w:spacing w:line="328" w:lineRule="auto" w:before="81" w:after="0"/>
        <w:ind w:left="1609" w:right="669" w:hanging="199"/>
        <w:jc w:val="left"/>
        <w:rPr>
          <w:sz w:val="19"/>
        </w:rPr>
      </w:pPr>
      <w:r>
        <w:rPr>
          <w:color w:val="231F20"/>
          <w:w w:val="110"/>
          <w:sz w:val="19"/>
        </w:rPr>
        <w:t>Revision</w:t>
      </w:r>
      <w:r>
        <w:rPr>
          <w:color w:val="231F20"/>
          <w:spacing w:val="-4"/>
          <w:w w:val="110"/>
          <w:sz w:val="19"/>
        </w:rPr>
        <w:t> </w:t>
      </w:r>
      <w:r>
        <w:rPr>
          <w:color w:val="231F20"/>
          <w:w w:val="110"/>
          <w:sz w:val="19"/>
        </w:rPr>
        <w:t>and</w:t>
      </w:r>
      <w:r>
        <w:rPr>
          <w:color w:val="231F20"/>
          <w:spacing w:val="-4"/>
          <w:w w:val="110"/>
          <w:sz w:val="19"/>
        </w:rPr>
        <w:t> </w:t>
      </w:r>
      <w:r>
        <w:rPr>
          <w:color w:val="231F20"/>
          <w:w w:val="110"/>
          <w:sz w:val="19"/>
        </w:rPr>
        <w:t>Extension</w:t>
      </w:r>
      <w:r>
        <w:rPr>
          <w:color w:val="231F20"/>
          <w:spacing w:val="-4"/>
          <w:w w:val="110"/>
          <w:sz w:val="19"/>
        </w:rPr>
        <w:t> </w:t>
      </w:r>
      <w:r>
        <w:rPr>
          <w:color w:val="231F20"/>
          <w:w w:val="110"/>
          <w:sz w:val="19"/>
        </w:rPr>
        <w:t>of</w:t>
      </w:r>
      <w:r>
        <w:rPr>
          <w:color w:val="231F20"/>
          <w:spacing w:val="-4"/>
          <w:w w:val="110"/>
          <w:sz w:val="19"/>
        </w:rPr>
        <w:t> </w:t>
      </w:r>
      <w:r>
        <w:rPr>
          <w:color w:val="231F20"/>
          <w:w w:val="110"/>
          <w:sz w:val="19"/>
        </w:rPr>
        <w:t>Steps</w:t>
      </w:r>
      <w:r>
        <w:rPr>
          <w:color w:val="231F20"/>
          <w:spacing w:val="-4"/>
          <w:w w:val="110"/>
          <w:sz w:val="19"/>
        </w:rPr>
        <w:t> </w:t>
      </w:r>
      <w:r>
        <w:rPr>
          <w:color w:val="231F20"/>
          <w:sz w:val="19"/>
        </w:rPr>
        <w:t>1</w:t>
      </w:r>
      <w:r>
        <w:rPr>
          <w:color w:val="231F20"/>
          <w:spacing w:val="-34"/>
          <w:sz w:val="19"/>
        </w:rPr>
        <w:t> </w:t>
      </w:r>
      <w:r>
        <w:rPr>
          <w:color w:val="231F20"/>
          <w:w w:val="110"/>
          <w:sz w:val="19"/>
        </w:rPr>
        <w:t>–</w:t>
      </w:r>
      <w:r>
        <w:rPr>
          <w:color w:val="231F20"/>
          <w:spacing w:val="-39"/>
          <w:w w:val="110"/>
          <w:sz w:val="19"/>
        </w:rPr>
        <w:t> </w:t>
      </w:r>
      <w:r>
        <w:rPr>
          <w:color w:val="231F20"/>
          <w:w w:val="110"/>
          <w:sz w:val="19"/>
        </w:rPr>
        <w:t>6</w:t>
      </w:r>
      <w:r>
        <w:rPr>
          <w:color w:val="231F20"/>
          <w:spacing w:val="-4"/>
          <w:w w:val="110"/>
          <w:sz w:val="19"/>
        </w:rPr>
        <w:t> </w:t>
      </w:r>
      <w:r>
        <w:rPr>
          <w:color w:val="231F20"/>
          <w:w w:val="110"/>
          <w:sz w:val="19"/>
        </w:rPr>
        <w:t>until</w:t>
      </w:r>
      <w:r>
        <w:rPr>
          <w:color w:val="231F20"/>
          <w:spacing w:val="-4"/>
          <w:w w:val="110"/>
          <w:sz w:val="19"/>
        </w:rPr>
        <w:t> </w:t>
      </w:r>
      <w:r>
        <w:rPr>
          <w:color w:val="231F20"/>
          <w:w w:val="110"/>
          <w:sz w:val="19"/>
        </w:rPr>
        <w:t>a</w:t>
      </w:r>
      <w:r>
        <w:rPr>
          <w:color w:val="231F20"/>
          <w:spacing w:val="-4"/>
          <w:w w:val="110"/>
          <w:sz w:val="19"/>
        </w:rPr>
        <w:t> </w:t>
      </w:r>
      <w:r>
        <w:rPr>
          <w:color w:val="231F20"/>
          <w:w w:val="110"/>
          <w:sz w:val="19"/>
        </w:rPr>
        <w:t>consistent</w:t>
      </w:r>
      <w:r>
        <w:rPr>
          <w:color w:val="231F20"/>
          <w:spacing w:val="-4"/>
          <w:w w:val="110"/>
          <w:sz w:val="19"/>
        </w:rPr>
        <w:t> </w:t>
      </w:r>
      <w:r>
        <w:rPr>
          <w:color w:val="231F20"/>
          <w:w w:val="110"/>
          <w:sz w:val="19"/>
        </w:rPr>
        <w:t>plan </w:t>
      </w:r>
      <w:r>
        <w:rPr>
          <w:color w:val="231F20"/>
          <w:spacing w:val="-2"/>
          <w:w w:val="110"/>
          <w:sz w:val="19"/>
        </w:rPr>
        <w:t>emerges</w:t>
      </w:r>
    </w:p>
    <w:p>
      <w:pPr>
        <w:pStyle w:val="BodyText"/>
        <w:spacing w:before="3"/>
        <w:rPr>
          <w:rFonts w:ascii="Arial"/>
          <w:sz w:val="25"/>
        </w:rPr>
      </w:pPr>
    </w:p>
    <w:p>
      <w:pPr>
        <w:pStyle w:val="BodyText"/>
        <w:spacing w:line="292" w:lineRule="auto"/>
        <w:ind w:left="920" w:right="664" w:firstLine="340"/>
        <w:jc w:val="both"/>
      </w:pPr>
      <w:r>
        <w:rPr>
          <w:color w:val="231F20"/>
        </w:rPr>
        <w:t>Although there are seven steps, their order is not set in stone. Based on circumstances and your personal style, the order of the steps may be rearranged. This chapter could get bogged down in </w:t>
      </w:r>
      <w:r>
        <w:rPr>
          <w:color w:val="231F20"/>
        </w:rPr>
        <w:t>a morass of marketing theory, but to make it practical, I will outline</w:t>
      </w:r>
      <w:r>
        <w:rPr>
          <w:color w:val="231F20"/>
          <w:spacing w:val="80"/>
        </w:rPr>
        <w:t> </w:t>
      </w:r>
      <w:r>
        <w:rPr>
          <w:color w:val="231F20"/>
        </w:rPr>
        <w:t>the questions and areas that should be considered when developing</w:t>
      </w:r>
      <w:r>
        <w:rPr>
          <w:color w:val="231F20"/>
          <w:spacing w:val="40"/>
        </w:rPr>
        <w:t> </w:t>
      </w:r>
      <w:r>
        <w:rPr>
          <w:color w:val="231F20"/>
        </w:rPr>
        <w:t>a marketing plan. For expediency, I will concentrate on product marketing, but the same frameworks and vocabulary are also appli- cable to service marketing.</w:t>
      </w:r>
    </w:p>
    <w:p>
      <w:pPr>
        <w:pStyle w:val="BodyText"/>
        <w:spacing w:line="292" w:lineRule="auto"/>
        <w:ind w:left="920" w:right="665" w:firstLine="340"/>
        <w:jc w:val="both"/>
      </w:pPr>
      <w:r>
        <w:rPr>
          <w:color w:val="231F20"/>
        </w:rPr>
        <w:t>I will present the MBA models in the same seven-step order </w:t>
      </w:r>
      <w:r>
        <w:rPr>
          <w:color w:val="231F20"/>
        </w:rPr>
        <w:t>in which they are taught at the best schools. This chapter offers a generic structure to apply to whatever marketing issue you may en- counter. I have not neglected to use the vocabulary taught at the schools, so you can pick up on the MBA jargon and speak like a real MBA marketer. Marketing is an area especially rich in specialized vocabulary. With the correct vocabulary, even your mediocre mar- keting ideas can appear brilliant. That may sound funny, but that’s</w:t>
      </w:r>
      <w:r>
        <w:rPr>
          <w:color w:val="231F20"/>
          <w:spacing w:val="40"/>
        </w:rPr>
        <w:t> </w:t>
      </w:r>
      <w:r>
        <w:rPr>
          <w:color w:val="231F20"/>
        </w:rPr>
        <w:t>the way ad agencies market </w:t>
      </w:r>
      <w:r>
        <w:rPr>
          <w:i/>
          <w:color w:val="231F20"/>
        </w:rPr>
        <w:t>their </w:t>
      </w:r>
      <w:r>
        <w:rPr>
          <w:color w:val="231F20"/>
        </w:rPr>
        <w:t>product, advertising.</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firstLine="340"/>
        <w:jc w:val="both"/>
      </w:pPr>
      <w:r>
        <w:rPr>
          <w:color w:val="231F20"/>
        </w:rPr>
        <w:t>This seven-step marketing process is comprehensive, and </w:t>
      </w:r>
      <w:r>
        <w:rPr>
          <w:color w:val="231F20"/>
        </w:rPr>
        <w:t>MBAs will often refer to more abbreviated ones, such as STP (segment, tar- get, position), or the four C’s of marketing (consumer behavior, company analysis, competitor analysis, context), but the methodol- ogy presented here covers it all.</w:t>
      </w:r>
    </w:p>
    <w:p>
      <w:pPr>
        <w:pStyle w:val="BodyText"/>
        <w:rPr>
          <w:sz w:val="24"/>
        </w:rPr>
      </w:pPr>
    </w:p>
    <w:p>
      <w:pPr>
        <w:pStyle w:val="BodyText"/>
        <w:spacing w:before="9"/>
        <w:rPr>
          <w:sz w:val="24"/>
        </w:rPr>
      </w:pPr>
    </w:p>
    <w:p>
      <w:pPr>
        <w:pStyle w:val="Heading4"/>
        <w:numPr>
          <w:ilvl w:val="1"/>
          <w:numId w:val="12"/>
        </w:numPr>
        <w:tabs>
          <w:tab w:pos="3002" w:val="left" w:leader="none"/>
        </w:tabs>
        <w:spacing w:line="240" w:lineRule="auto" w:before="0" w:after="0"/>
        <w:ind w:left="3001" w:right="0" w:hanging="268"/>
        <w:jc w:val="left"/>
      </w:pPr>
      <w:r>
        <w:rPr>
          <w:color w:val="231F20"/>
          <w:spacing w:val="9"/>
          <w:w w:val="85"/>
        </w:rPr>
        <w:t>CONSUMER</w:t>
      </w:r>
      <w:r>
        <w:rPr>
          <w:color w:val="231F20"/>
          <w:spacing w:val="25"/>
        </w:rPr>
        <w:t> </w:t>
      </w:r>
      <w:r>
        <w:rPr>
          <w:color w:val="231F20"/>
          <w:spacing w:val="7"/>
        </w:rPr>
        <w:t>ANALYSIS</w:t>
      </w:r>
    </w:p>
    <w:p>
      <w:pPr>
        <w:pStyle w:val="BodyText"/>
        <w:spacing w:before="10"/>
        <w:rPr>
          <w:rFonts w:ascii="Trebuchet MS"/>
          <w:sz w:val="29"/>
        </w:rPr>
      </w:pPr>
    </w:p>
    <w:p>
      <w:pPr>
        <w:tabs>
          <w:tab w:pos="2560" w:val="left" w:leader="none"/>
          <w:tab w:pos="3010" w:val="left" w:leader="none"/>
          <w:tab w:pos="3871" w:val="left" w:leader="none"/>
          <w:tab w:pos="4071" w:val="left" w:leader="none"/>
          <w:tab w:pos="5611" w:val="left" w:leader="none"/>
        </w:tabs>
        <w:spacing w:line="292" w:lineRule="auto" w:before="1"/>
        <w:ind w:left="830" w:right="1045" w:firstLine="0"/>
        <w:jc w:val="left"/>
        <w:rPr>
          <w:sz w:val="21"/>
        </w:rPr>
      </w:pPr>
      <w:r>
        <w:rPr/>
        <w:pict>
          <v:shape style="position:absolute;margin-left:153.72348pt;margin-top:5.074799pt;width:9.35pt;height:3.5pt;mso-position-horizontal-relative:page;mso-position-vertical-relative:paragraph;z-index:-25225216" id="docshape18" coordorigin="3074,101" coordsize="187,70" path="m3198,101l3194,112,3237,130,3074,130,3074,142,3237,142,3194,160,3198,171,3261,144,3261,128,3198,101xe" filled="true" fillcolor="#231f20" stroked="false">
            <v:path arrowok="t"/>
            <v:fill type="solid"/>
            <w10:wrap type="none"/>
          </v:shape>
        </w:pict>
      </w:r>
      <w:r>
        <w:rPr/>
        <w:pict>
          <v:shape style="position:absolute;margin-left:206.727737pt;margin-top:5.074799pt;width:9.35pt;height:3.5pt;mso-position-horizontal-relative:page;mso-position-vertical-relative:paragraph;z-index:-25224704" id="docshape19" coordorigin="4135,101" coordsize="187,70" path="m4259,101l4254,112,4297,130,4135,130,4135,142,4297,142,4254,160,4259,171,4321,144,4321,128,4259,101xe" filled="true" fillcolor="#231f20" stroked="false">
            <v:path arrowok="t"/>
            <v:fill type="solid"/>
            <w10:wrap type="none"/>
          </v:shape>
        </w:pict>
      </w:r>
      <w:r>
        <w:rPr/>
        <w:pict>
          <v:shape style="position:absolute;margin-left:283.746552pt;margin-top:5.074799pt;width:9.35pt;height:3.5pt;mso-position-horizontal-relative:page;mso-position-vertical-relative:paragraph;z-index:-25224192" id="docshape20" coordorigin="5675,101" coordsize="187,70" path="m5799,101l5794,112,5838,130,5675,130,5675,142,5838,142,5794,160,5799,171,5861,144,5861,128,5799,101xe" filled="true" fillcolor="#231f20" stroked="false">
            <v:path arrowok="t"/>
            <v:fill type="solid"/>
            <w10:wrap type="none"/>
          </v:shape>
        </w:pict>
      </w:r>
      <w:r>
        <w:rPr/>
        <w:pict>
          <v:shape style="position:absolute;margin-left:359.088928pt;margin-top:5.074799pt;width:9.35pt;height:3.5pt;mso-position-horizontal-relative:page;mso-position-vertical-relative:paragraph;z-index:15734272" id="docshape21" coordorigin="7182,101" coordsize="187,70" path="m7306,101l7301,112,7345,130,7182,130,7182,142,7345,142,7301,160,7306,171,7368,144,7368,128,7306,101xe" filled="true" fillcolor="#231f20" stroked="false">
            <v:path arrowok="t"/>
            <v:fill type="solid"/>
            <w10:wrap type="none"/>
          </v:shape>
        </w:pict>
      </w:r>
      <w:r>
        <w:rPr/>
        <w:pict>
          <v:shape style="position:absolute;margin-left:132.464706pt;margin-top:20.075209pt;width:9.35pt;height:3.5pt;mso-position-horizontal-relative:page;mso-position-vertical-relative:paragraph;z-index:-25223168" id="docshape22" coordorigin="2649,402" coordsize="187,70" path="m2773,402l2769,412,2812,430,2649,430,2649,442,2812,442,2769,460,2773,471,2836,444,2836,428,2773,402xe" filled="true" fillcolor="#231f20" stroked="false">
            <v:path arrowok="t"/>
            <v:fill type="solid"/>
            <w10:wrap type="none"/>
          </v:shape>
        </w:pict>
      </w:r>
      <w:r>
        <w:rPr/>
        <w:pict>
          <v:shape style="position:absolute;margin-left:197.980148pt;margin-top:20.075209pt;width:9.35pt;height:3.5pt;mso-position-horizontal-relative:page;mso-position-vertical-relative:paragraph;z-index:-25222656" id="docshape23" coordorigin="3960,402" coordsize="187,70" path="m4084,402l4079,412,4123,430,3960,430,3960,442,4123,442,4079,460,4084,471,4146,444,4146,428,4084,402xe" filled="true" fillcolor="#231f20" stroked="false">
            <v:path arrowok="t"/>
            <v:fill type="solid"/>
            <w10:wrap type="none"/>
          </v:shape>
        </w:pict>
      </w:r>
      <w:r>
        <w:rPr>
          <w:b/>
          <w:color w:val="231F20"/>
          <w:sz w:val="21"/>
        </w:rPr>
        <w:t>Consumer</w:t>
      </w:r>
      <w:r>
        <w:rPr>
          <w:b/>
          <w:color w:val="231F20"/>
          <w:spacing w:val="40"/>
          <w:sz w:val="21"/>
        </w:rPr>
        <w:t> </w:t>
      </w:r>
      <w:r>
        <w:rPr>
          <w:b/>
          <w:color w:val="231F20"/>
          <w:sz w:val="21"/>
        </w:rPr>
        <w:t>Analysis</w:t>
        <w:tab/>
      </w:r>
      <w:r>
        <w:rPr>
          <w:color w:val="231F20"/>
          <w:spacing w:val="-2"/>
          <w:sz w:val="21"/>
        </w:rPr>
        <w:t>Market</w:t>
      </w:r>
      <w:r>
        <w:rPr>
          <w:color w:val="231F20"/>
          <w:sz w:val="21"/>
        </w:rPr>
        <w:tab/>
        <w:tab/>
      </w:r>
      <w:r>
        <w:rPr>
          <w:color w:val="231F20"/>
          <w:spacing w:val="-2"/>
          <w:sz w:val="21"/>
        </w:rPr>
        <w:t>Competition</w:t>
      </w:r>
      <w:r>
        <w:rPr>
          <w:color w:val="231F20"/>
          <w:sz w:val="21"/>
        </w:rPr>
        <w:tab/>
      </w:r>
      <w:r>
        <w:rPr>
          <w:color w:val="231F20"/>
          <w:spacing w:val="-2"/>
          <w:sz w:val="21"/>
        </w:rPr>
        <w:t>Distribution </w:t>
      </w:r>
      <w:r>
        <w:rPr>
          <w:color w:val="231F20"/>
          <w:sz w:val="21"/>
        </w:rPr>
        <w:t>Marketing Mix</w:t>
        <w:tab/>
      </w:r>
      <w:r>
        <w:rPr>
          <w:color w:val="231F20"/>
          <w:spacing w:val="-2"/>
          <w:sz w:val="21"/>
        </w:rPr>
        <w:t>Economics</w:t>
      </w:r>
      <w:r>
        <w:rPr>
          <w:color w:val="231F20"/>
          <w:sz w:val="21"/>
        </w:rPr>
        <w:tab/>
      </w:r>
      <w:r>
        <w:rPr>
          <w:color w:val="231F20"/>
          <w:spacing w:val="-2"/>
          <w:sz w:val="21"/>
        </w:rPr>
        <w:t>Revise</w:t>
      </w:r>
    </w:p>
    <w:p>
      <w:pPr>
        <w:pStyle w:val="BodyText"/>
        <w:spacing w:before="6"/>
        <w:rPr>
          <w:sz w:val="25"/>
        </w:rPr>
      </w:pPr>
    </w:p>
    <w:p>
      <w:pPr>
        <w:pStyle w:val="BodyText"/>
        <w:spacing w:line="292" w:lineRule="auto"/>
        <w:ind w:left="830" w:right="753" w:firstLine="340"/>
        <w:jc w:val="both"/>
      </w:pPr>
      <w:r>
        <w:rPr>
          <w:color w:val="231F20"/>
        </w:rPr>
        <w:t>All marketing plans should begin with a look at the all-</w:t>
      </w:r>
      <w:r>
        <w:rPr>
          <w:color w:val="231F20"/>
          <w:spacing w:val="80"/>
          <w:w w:val="150"/>
        </w:rPr>
        <w:t> </w:t>
      </w:r>
      <w:r>
        <w:rPr>
          <w:color w:val="231F20"/>
        </w:rPr>
        <w:t>important “consumer” and his or her needs. People do not have the same needs or desires. The objective of consumer analysis is to iden- tify </w:t>
      </w:r>
      <w:r>
        <w:rPr>
          <w:i/>
          <w:color w:val="231F20"/>
        </w:rPr>
        <w:t>segments </w:t>
      </w:r>
      <w:r>
        <w:rPr>
          <w:color w:val="231F20"/>
        </w:rPr>
        <w:t>or groups within a population with similar needs so</w:t>
      </w:r>
      <w:r>
        <w:rPr>
          <w:color w:val="231F20"/>
          <w:spacing w:val="40"/>
        </w:rPr>
        <w:t> </w:t>
      </w:r>
      <w:r>
        <w:rPr>
          <w:color w:val="231F20"/>
        </w:rPr>
        <w:t>that marketing efforts can be directly targeted to them. Starting any- where else tends to restrict your thinking and all subsequent analy- sis. Several important questions must be asked to find the market that will unlock untold marketing riches:</w:t>
      </w:r>
    </w:p>
    <w:p>
      <w:pPr>
        <w:pStyle w:val="BodyText"/>
        <w:spacing w:before="2"/>
        <w:rPr>
          <w:sz w:val="27"/>
        </w:rPr>
      </w:pPr>
    </w:p>
    <w:p>
      <w:pPr>
        <w:spacing w:before="0"/>
        <w:ind w:left="1170" w:right="0" w:firstLine="0"/>
        <w:jc w:val="left"/>
        <w:rPr>
          <w:rFonts w:ascii="Arial"/>
          <w:sz w:val="19"/>
        </w:rPr>
      </w:pPr>
      <w:r>
        <w:rPr>
          <w:rFonts w:ascii="Arial"/>
          <w:color w:val="231F20"/>
          <w:w w:val="115"/>
          <w:sz w:val="19"/>
        </w:rPr>
        <w:t>What</w:t>
      </w:r>
      <w:r>
        <w:rPr>
          <w:rFonts w:ascii="Arial"/>
          <w:color w:val="231F20"/>
          <w:spacing w:val="-8"/>
          <w:w w:val="115"/>
          <w:sz w:val="19"/>
        </w:rPr>
        <w:t> </w:t>
      </w:r>
      <w:r>
        <w:rPr>
          <w:rFonts w:ascii="Arial"/>
          <w:color w:val="231F20"/>
          <w:w w:val="115"/>
          <w:sz w:val="19"/>
        </w:rPr>
        <w:t>is</w:t>
      </w:r>
      <w:r>
        <w:rPr>
          <w:rFonts w:ascii="Arial"/>
          <w:color w:val="231F20"/>
          <w:spacing w:val="-8"/>
          <w:w w:val="115"/>
          <w:sz w:val="19"/>
        </w:rPr>
        <w:t> </w:t>
      </w:r>
      <w:r>
        <w:rPr>
          <w:rFonts w:ascii="Arial"/>
          <w:color w:val="231F20"/>
          <w:w w:val="115"/>
          <w:sz w:val="19"/>
        </w:rPr>
        <w:t>the</w:t>
      </w:r>
      <w:r>
        <w:rPr>
          <w:rFonts w:ascii="Arial"/>
          <w:color w:val="231F20"/>
          <w:spacing w:val="-9"/>
          <w:w w:val="115"/>
          <w:sz w:val="19"/>
        </w:rPr>
        <w:t> </w:t>
      </w:r>
      <w:r>
        <w:rPr>
          <w:rFonts w:ascii="Arial"/>
          <w:i/>
          <w:color w:val="231F20"/>
          <w:w w:val="115"/>
          <w:sz w:val="19"/>
        </w:rPr>
        <w:t>need</w:t>
      </w:r>
      <w:r>
        <w:rPr>
          <w:rFonts w:ascii="Arial"/>
          <w:i/>
          <w:color w:val="231F20"/>
          <w:spacing w:val="-8"/>
          <w:w w:val="115"/>
          <w:sz w:val="19"/>
        </w:rPr>
        <w:t> </w:t>
      </w:r>
      <w:r>
        <w:rPr>
          <w:rFonts w:ascii="Arial"/>
          <w:i/>
          <w:color w:val="231F20"/>
          <w:spacing w:val="-2"/>
          <w:w w:val="115"/>
          <w:sz w:val="19"/>
        </w:rPr>
        <w:t>category</w:t>
      </w:r>
      <w:r>
        <w:rPr>
          <w:rFonts w:ascii="Arial"/>
          <w:color w:val="231F20"/>
          <w:spacing w:val="-2"/>
          <w:w w:val="115"/>
          <w:sz w:val="19"/>
        </w:rPr>
        <w:t>?</w:t>
      </w:r>
    </w:p>
    <w:p>
      <w:pPr>
        <w:spacing w:line="328" w:lineRule="auto" w:before="81"/>
        <w:ind w:left="1169" w:right="1948" w:firstLine="0"/>
        <w:jc w:val="left"/>
        <w:rPr>
          <w:rFonts w:ascii="Arial"/>
          <w:sz w:val="19"/>
        </w:rPr>
      </w:pPr>
      <w:r>
        <w:rPr>
          <w:rFonts w:ascii="Arial"/>
          <w:color w:val="231F20"/>
          <w:w w:val="115"/>
          <w:sz w:val="19"/>
        </w:rPr>
        <w:t>Who</w:t>
      </w:r>
      <w:r>
        <w:rPr>
          <w:rFonts w:ascii="Arial"/>
          <w:color w:val="231F20"/>
          <w:spacing w:val="-6"/>
          <w:w w:val="115"/>
          <w:sz w:val="19"/>
        </w:rPr>
        <w:t> </w:t>
      </w:r>
      <w:r>
        <w:rPr>
          <w:rFonts w:ascii="Arial"/>
          <w:color w:val="231F20"/>
          <w:w w:val="115"/>
          <w:sz w:val="19"/>
        </w:rPr>
        <w:t>is</w:t>
      </w:r>
      <w:r>
        <w:rPr>
          <w:rFonts w:ascii="Arial"/>
          <w:color w:val="231F20"/>
          <w:spacing w:val="-6"/>
          <w:w w:val="115"/>
          <w:sz w:val="19"/>
        </w:rPr>
        <w:t> </w:t>
      </w:r>
      <w:r>
        <w:rPr>
          <w:rFonts w:ascii="Arial"/>
          <w:color w:val="231F20"/>
          <w:w w:val="115"/>
          <w:sz w:val="19"/>
        </w:rPr>
        <w:t>buying</w:t>
      </w:r>
      <w:r>
        <w:rPr>
          <w:rFonts w:ascii="Arial"/>
          <w:color w:val="231F20"/>
          <w:spacing w:val="-6"/>
          <w:w w:val="115"/>
          <w:sz w:val="19"/>
        </w:rPr>
        <w:t> </w:t>
      </w:r>
      <w:r>
        <w:rPr>
          <w:rFonts w:ascii="Arial"/>
          <w:color w:val="231F20"/>
          <w:w w:val="115"/>
          <w:sz w:val="19"/>
        </w:rPr>
        <w:t>and</w:t>
      </w:r>
      <w:r>
        <w:rPr>
          <w:rFonts w:ascii="Arial"/>
          <w:color w:val="231F20"/>
          <w:spacing w:val="-6"/>
          <w:w w:val="115"/>
          <w:sz w:val="19"/>
        </w:rPr>
        <w:t> </w:t>
      </w:r>
      <w:r>
        <w:rPr>
          <w:rFonts w:ascii="Arial"/>
          <w:color w:val="231F20"/>
          <w:w w:val="115"/>
          <w:sz w:val="19"/>
        </w:rPr>
        <w:t>who</w:t>
      </w:r>
      <w:r>
        <w:rPr>
          <w:rFonts w:ascii="Arial"/>
          <w:color w:val="231F20"/>
          <w:spacing w:val="-6"/>
          <w:w w:val="115"/>
          <w:sz w:val="19"/>
        </w:rPr>
        <w:t> </w:t>
      </w:r>
      <w:r>
        <w:rPr>
          <w:rFonts w:ascii="Arial"/>
          <w:color w:val="231F20"/>
          <w:w w:val="115"/>
          <w:sz w:val="19"/>
        </w:rPr>
        <w:t>is</w:t>
      </w:r>
      <w:r>
        <w:rPr>
          <w:rFonts w:ascii="Arial"/>
          <w:color w:val="231F20"/>
          <w:spacing w:val="-6"/>
          <w:w w:val="115"/>
          <w:sz w:val="19"/>
        </w:rPr>
        <w:t> </w:t>
      </w:r>
      <w:r>
        <w:rPr>
          <w:rFonts w:ascii="Arial"/>
          <w:color w:val="231F20"/>
          <w:w w:val="115"/>
          <w:sz w:val="19"/>
        </w:rPr>
        <w:t>using</w:t>
      </w:r>
      <w:r>
        <w:rPr>
          <w:rFonts w:ascii="Arial"/>
          <w:color w:val="231F20"/>
          <w:spacing w:val="-6"/>
          <w:w w:val="115"/>
          <w:sz w:val="19"/>
        </w:rPr>
        <w:t> </w:t>
      </w:r>
      <w:r>
        <w:rPr>
          <w:rFonts w:ascii="Arial"/>
          <w:color w:val="231F20"/>
          <w:w w:val="115"/>
          <w:sz w:val="19"/>
        </w:rPr>
        <w:t>the</w:t>
      </w:r>
      <w:r>
        <w:rPr>
          <w:rFonts w:ascii="Arial"/>
          <w:color w:val="231F20"/>
          <w:spacing w:val="-6"/>
          <w:w w:val="115"/>
          <w:sz w:val="19"/>
        </w:rPr>
        <w:t> </w:t>
      </w:r>
      <w:r>
        <w:rPr>
          <w:rFonts w:ascii="Arial"/>
          <w:color w:val="231F20"/>
          <w:w w:val="115"/>
          <w:sz w:val="19"/>
        </w:rPr>
        <w:t>product? What is the </w:t>
      </w:r>
      <w:r>
        <w:rPr>
          <w:rFonts w:ascii="Arial"/>
          <w:i/>
          <w:color w:val="231F20"/>
          <w:w w:val="115"/>
          <w:sz w:val="19"/>
        </w:rPr>
        <w:t>buying process</w:t>
      </w:r>
      <w:r>
        <w:rPr>
          <w:rFonts w:ascii="Arial"/>
          <w:color w:val="231F20"/>
          <w:w w:val="115"/>
          <w:sz w:val="19"/>
        </w:rPr>
        <w:t>?</w:t>
      </w:r>
    </w:p>
    <w:p>
      <w:pPr>
        <w:spacing w:line="328" w:lineRule="auto" w:before="2"/>
        <w:ind w:left="1169" w:right="1262" w:firstLine="0"/>
        <w:jc w:val="left"/>
        <w:rPr>
          <w:rFonts w:ascii="Arial" w:hAnsi="Arial"/>
          <w:sz w:val="19"/>
        </w:rPr>
      </w:pPr>
      <w:r>
        <w:rPr>
          <w:rFonts w:ascii="Arial" w:hAnsi="Arial"/>
          <w:color w:val="231F20"/>
          <w:w w:val="115"/>
          <w:sz w:val="19"/>
        </w:rPr>
        <w:t>Is</w:t>
      </w:r>
      <w:r>
        <w:rPr>
          <w:rFonts w:ascii="Arial" w:hAnsi="Arial"/>
          <w:color w:val="231F20"/>
          <w:spacing w:val="-6"/>
          <w:w w:val="115"/>
          <w:sz w:val="19"/>
        </w:rPr>
        <w:t> </w:t>
      </w:r>
      <w:r>
        <w:rPr>
          <w:rFonts w:ascii="Arial" w:hAnsi="Arial"/>
          <w:color w:val="231F20"/>
          <w:w w:val="115"/>
          <w:sz w:val="19"/>
        </w:rPr>
        <w:t>what</w:t>
      </w:r>
      <w:r>
        <w:rPr>
          <w:rFonts w:ascii="Arial" w:hAnsi="Arial"/>
          <w:color w:val="231F20"/>
          <w:spacing w:val="-6"/>
          <w:w w:val="115"/>
          <w:sz w:val="19"/>
        </w:rPr>
        <w:t> </w:t>
      </w:r>
      <w:r>
        <w:rPr>
          <w:rFonts w:ascii="Arial" w:hAnsi="Arial"/>
          <w:color w:val="231F20"/>
          <w:w w:val="115"/>
          <w:sz w:val="19"/>
        </w:rPr>
        <w:t>I’m</w:t>
      </w:r>
      <w:r>
        <w:rPr>
          <w:rFonts w:ascii="Arial" w:hAnsi="Arial"/>
          <w:color w:val="231F20"/>
          <w:spacing w:val="-6"/>
          <w:w w:val="115"/>
          <w:sz w:val="19"/>
        </w:rPr>
        <w:t> </w:t>
      </w:r>
      <w:r>
        <w:rPr>
          <w:rFonts w:ascii="Arial" w:hAnsi="Arial"/>
          <w:color w:val="231F20"/>
          <w:w w:val="115"/>
          <w:sz w:val="19"/>
        </w:rPr>
        <w:t>selling</w:t>
      </w:r>
      <w:r>
        <w:rPr>
          <w:rFonts w:ascii="Arial" w:hAnsi="Arial"/>
          <w:color w:val="231F20"/>
          <w:spacing w:val="-6"/>
          <w:w w:val="115"/>
          <w:sz w:val="19"/>
        </w:rPr>
        <w:t> </w:t>
      </w:r>
      <w:r>
        <w:rPr>
          <w:rFonts w:ascii="Arial" w:hAnsi="Arial"/>
          <w:color w:val="231F20"/>
          <w:w w:val="115"/>
          <w:sz w:val="19"/>
        </w:rPr>
        <w:t>a</w:t>
      </w:r>
      <w:r>
        <w:rPr>
          <w:rFonts w:ascii="Arial" w:hAnsi="Arial"/>
          <w:color w:val="231F20"/>
          <w:spacing w:val="-6"/>
          <w:w w:val="115"/>
          <w:sz w:val="19"/>
        </w:rPr>
        <w:t> </w:t>
      </w:r>
      <w:r>
        <w:rPr>
          <w:rFonts w:ascii="Arial" w:hAnsi="Arial"/>
          <w:color w:val="231F20"/>
          <w:w w:val="115"/>
          <w:sz w:val="19"/>
        </w:rPr>
        <w:t>high-</w:t>
      </w:r>
      <w:r>
        <w:rPr>
          <w:rFonts w:ascii="Arial" w:hAnsi="Arial"/>
          <w:color w:val="231F20"/>
          <w:spacing w:val="-6"/>
          <w:w w:val="115"/>
          <w:sz w:val="19"/>
        </w:rPr>
        <w:t> </w:t>
      </w:r>
      <w:r>
        <w:rPr>
          <w:rFonts w:ascii="Arial" w:hAnsi="Arial"/>
          <w:color w:val="231F20"/>
          <w:w w:val="115"/>
          <w:sz w:val="19"/>
        </w:rPr>
        <w:t>or</w:t>
      </w:r>
      <w:r>
        <w:rPr>
          <w:rFonts w:ascii="Arial" w:hAnsi="Arial"/>
          <w:color w:val="231F20"/>
          <w:spacing w:val="-6"/>
          <w:w w:val="115"/>
          <w:sz w:val="19"/>
        </w:rPr>
        <w:t> </w:t>
      </w:r>
      <w:r>
        <w:rPr>
          <w:rFonts w:ascii="Arial" w:hAnsi="Arial"/>
          <w:color w:val="231F20"/>
          <w:w w:val="115"/>
          <w:sz w:val="19"/>
        </w:rPr>
        <w:t>low-involvement</w:t>
      </w:r>
      <w:r>
        <w:rPr>
          <w:rFonts w:ascii="Arial" w:hAnsi="Arial"/>
          <w:color w:val="231F20"/>
          <w:spacing w:val="-6"/>
          <w:w w:val="115"/>
          <w:sz w:val="19"/>
        </w:rPr>
        <w:t> </w:t>
      </w:r>
      <w:r>
        <w:rPr>
          <w:rFonts w:ascii="Arial" w:hAnsi="Arial"/>
          <w:color w:val="231F20"/>
          <w:w w:val="115"/>
          <w:sz w:val="19"/>
        </w:rPr>
        <w:t>product? How can I </w:t>
      </w:r>
      <w:r>
        <w:rPr>
          <w:rFonts w:ascii="Arial" w:hAnsi="Arial"/>
          <w:i/>
          <w:color w:val="231F20"/>
          <w:w w:val="115"/>
          <w:sz w:val="19"/>
        </w:rPr>
        <w:t>segment </w:t>
      </w:r>
      <w:r>
        <w:rPr>
          <w:rFonts w:ascii="Arial" w:hAnsi="Arial"/>
          <w:color w:val="231F20"/>
          <w:w w:val="115"/>
          <w:sz w:val="19"/>
        </w:rPr>
        <w:t>the market?</w:t>
      </w:r>
    </w:p>
    <w:p>
      <w:pPr>
        <w:pStyle w:val="BodyText"/>
        <w:rPr>
          <w:rFonts w:ascii="Arial"/>
          <w:sz w:val="20"/>
        </w:rPr>
      </w:pPr>
    </w:p>
    <w:p>
      <w:pPr>
        <w:pStyle w:val="BodyText"/>
        <w:rPr>
          <w:rFonts w:ascii="Arial"/>
          <w:sz w:val="20"/>
        </w:rPr>
      </w:pPr>
    </w:p>
    <w:p>
      <w:pPr>
        <w:spacing w:before="141"/>
        <w:ind w:left="1170" w:right="0" w:firstLine="0"/>
        <w:jc w:val="left"/>
        <w:rPr>
          <w:rFonts w:ascii="Arial"/>
          <w:i/>
          <w:sz w:val="19"/>
        </w:rPr>
      </w:pPr>
      <w:r>
        <w:rPr>
          <w:rFonts w:ascii="Arial"/>
          <w:i/>
          <w:color w:val="231F20"/>
          <w:w w:val="115"/>
          <w:sz w:val="19"/>
        </w:rPr>
        <w:t>What</w:t>
      </w:r>
      <w:r>
        <w:rPr>
          <w:rFonts w:ascii="Arial"/>
          <w:i/>
          <w:color w:val="231F20"/>
          <w:spacing w:val="-9"/>
          <w:w w:val="115"/>
          <w:sz w:val="19"/>
        </w:rPr>
        <w:t> </w:t>
      </w:r>
      <w:r>
        <w:rPr>
          <w:rFonts w:ascii="Arial"/>
          <w:i/>
          <w:color w:val="231F20"/>
          <w:w w:val="115"/>
          <w:sz w:val="19"/>
        </w:rPr>
        <w:t>is</w:t>
      </w:r>
      <w:r>
        <w:rPr>
          <w:rFonts w:ascii="Arial"/>
          <w:i/>
          <w:color w:val="231F20"/>
          <w:spacing w:val="-9"/>
          <w:w w:val="115"/>
          <w:sz w:val="19"/>
        </w:rPr>
        <w:t> </w:t>
      </w:r>
      <w:r>
        <w:rPr>
          <w:rFonts w:ascii="Arial"/>
          <w:i/>
          <w:color w:val="231F20"/>
          <w:w w:val="115"/>
          <w:sz w:val="19"/>
        </w:rPr>
        <w:t>the</w:t>
      </w:r>
      <w:r>
        <w:rPr>
          <w:rFonts w:ascii="Arial"/>
          <w:i/>
          <w:color w:val="231F20"/>
          <w:spacing w:val="-9"/>
          <w:w w:val="115"/>
          <w:sz w:val="19"/>
        </w:rPr>
        <w:t> </w:t>
      </w:r>
      <w:r>
        <w:rPr>
          <w:rFonts w:ascii="Arial"/>
          <w:i/>
          <w:color w:val="231F20"/>
          <w:w w:val="115"/>
          <w:sz w:val="19"/>
        </w:rPr>
        <w:t>need</w:t>
      </w:r>
      <w:r>
        <w:rPr>
          <w:rFonts w:ascii="Arial"/>
          <w:i/>
          <w:color w:val="231F20"/>
          <w:spacing w:val="-9"/>
          <w:w w:val="115"/>
          <w:sz w:val="19"/>
        </w:rPr>
        <w:t> </w:t>
      </w:r>
      <w:r>
        <w:rPr>
          <w:rFonts w:ascii="Arial"/>
          <w:i/>
          <w:color w:val="231F20"/>
          <w:w w:val="115"/>
          <w:sz w:val="19"/>
        </w:rPr>
        <w:t>category?</w:t>
      </w:r>
      <w:r>
        <w:rPr>
          <w:rFonts w:ascii="Arial"/>
          <w:i/>
          <w:color w:val="231F20"/>
          <w:spacing w:val="-8"/>
          <w:w w:val="115"/>
          <w:sz w:val="19"/>
        </w:rPr>
        <w:t> </w:t>
      </w:r>
      <w:r>
        <w:rPr>
          <w:rFonts w:ascii="Arial"/>
          <w:i/>
          <w:color w:val="231F20"/>
          <w:w w:val="115"/>
          <w:sz w:val="19"/>
        </w:rPr>
        <w:t>Who</w:t>
      </w:r>
      <w:r>
        <w:rPr>
          <w:rFonts w:ascii="Arial"/>
          <w:i/>
          <w:color w:val="231F20"/>
          <w:spacing w:val="-9"/>
          <w:w w:val="115"/>
          <w:sz w:val="19"/>
        </w:rPr>
        <w:t> </w:t>
      </w:r>
      <w:r>
        <w:rPr>
          <w:rFonts w:ascii="Arial"/>
          <w:i/>
          <w:color w:val="231F20"/>
          <w:w w:val="115"/>
          <w:sz w:val="19"/>
        </w:rPr>
        <w:t>needs</w:t>
      </w:r>
      <w:r>
        <w:rPr>
          <w:rFonts w:ascii="Arial"/>
          <w:i/>
          <w:color w:val="231F20"/>
          <w:spacing w:val="-9"/>
          <w:w w:val="115"/>
          <w:sz w:val="19"/>
        </w:rPr>
        <w:t> </w:t>
      </w:r>
      <w:r>
        <w:rPr>
          <w:rFonts w:ascii="Arial"/>
          <w:i/>
          <w:color w:val="231F20"/>
          <w:w w:val="115"/>
          <w:sz w:val="19"/>
        </w:rPr>
        <w:t>us</w:t>
      </w:r>
      <w:r>
        <w:rPr>
          <w:rFonts w:ascii="Arial"/>
          <w:i/>
          <w:color w:val="231F20"/>
          <w:spacing w:val="-9"/>
          <w:w w:val="115"/>
          <w:sz w:val="19"/>
        </w:rPr>
        <w:t> </w:t>
      </w:r>
      <w:r>
        <w:rPr>
          <w:rFonts w:ascii="Arial"/>
          <w:i/>
          <w:color w:val="231F20"/>
          <w:w w:val="115"/>
          <w:sz w:val="19"/>
        </w:rPr>
        <w:t>and</w:t>
      </w:r>
      <w:r>
        <w:rPr>
          <w:rFonts w:ascii="Arial"/>
          <w:i/>
          <w:color w:val="231F20"/>
          <w:spacing w:val="-9"/>
          <w:w w:val="115"/>
          <w:sz w:val="19"/>
        </w:rPr>
        <w:t> </w:t>
      </w:r>
      <w:r>
        <w:rPr>
          <w:rFonts w:ascii="Arial"/>
          <w:i/>
          <w:color w:val="231F20"/>
          <w:spacing w:val="-4"/>
          <w:w w:val="115"/>
          <w:sz w:val="19"/>
        </w:rPr>
        <w:t>why?</w:t>
      </w:r>
    </w:p>
    <w:p>
      <w:pPr>
        <w:pStyle w:val="BodyText"/>
        <w:spacing w:line="292" w:lineRule="auto" w:before="60"/>
        <w:ind w:left="830" w:right="756" w:firstLine="340"/>
        <w:jc w:val="both"/>
      </w:pPr>
      <w:r>
        <w:rPr>
          <w:color w:val="231F20"/>
        </w:rPr>
        <w:t>What is the need or use that your product addresses? The </w:t>
      </w:r>
      <w:r>
        <w:rPr>
          <w:color w:val="231F20"/>
        </w:rPr>
        <w:t>ques- tion may seem unnecessary, but in answering it you may uncover a potential market for the product that was previously overlooked. That is why this question has to be addressed first, before you begin to pollute your mind with conventional thoughts. The people at Arm </w:t>
      </w:r>
      <w:r>
        <w:rPr>
          <w:color w:val="231F20"/>
          <w:w w:val="110"/>
        </w:rPr>
        <w:t>&amp; </w:t>
      </w:r>
      <w:r>
        <w:rPr>
          <w:color w:val="231F20"/>
        </w:rPr>
        <w:t>Hammer baking soda have done a great deal of this type of analy- sis.</w:t>
      </w:r>
      <w:r>
        <w:rPr>
          <w:color w:val="231F20"/>
          <w:spacing w:val="2"/>
        </w:rPr>
        <w:t> </w:t>
      </w:r>
      <w:r>
        <w:rPr>
          <w:color w:val="231F20"/>
        </w:rPr>
        <w:t>They</w:t>
      </w:r>
      <w:r>
        <w:rPr>
          <w:color w:val="231F20"/>
          <w:spacing w:val="2"/>
        </w:rPr>
        <w:t> </w:t>
      </w:r>
      <w:r>
        <w:rPr>
          <w:color w:val="231F20"/>
        </w:rPr>
        <w:t>have</w:t>
      </w:r>
      <w:r>
        <w:rPr>
          <w:color w:val="231F20"/>
          <w:spacing w:val="2"/>
        </w:rPr>
        <w:t> </w:t>
      </w:r>
      <w:r>
        <w:rPr>
          <w:color w:val="231F20"/>
        </w:rPr>
        <w:t>made</w:t>
      </w:r>
      <w:r>
        <w:rPr>
          <w:color w:val="231F20"/>
          <w:spacing w:val="2"/>
        </w:rPr>
        <w:t> </w:t>
      </w:r>
      <w:r>
        <w:rPr>
          <w:color w:val="231F20"/>
        </w:rPr>
        <w:t>use</w:t>
      </w:r>
      <w:r>
        <w:rPr>
          <w:color w:val="231F20"/>
          <w:spacing w:val="2"/>
        </w:rPr>
        <w:t> </w:t>
      </w:r>
      <w:r>
        <w:rPr>
          <w:color w:val="231F20"/>
        </w:rPr>
        <w:t>of</w:t>
      </w:r>
      <w:r>
        <w:rPr>
          <w:color w:val="231F20"/>
          <w:spacing w:val="2"/>
        </w:rPr>
        <w:t> </w:t>
      </w:r>
      <w:r>
        <w:rPr>
          <w:color w:val="231F20"/>
        </w:rPr>
        <w:t>their</w:t>
      </w:r>
      <w:r>
        <w:rPr>
          <w:color w:val="231F20"/>
          <w:spacing w:val="3"/>
        </w:rPr>
        <w:t> </w:t>
      </w:r>
      <w:r>
        <w:rPr>
          <w:color w:val="231F20"/>
        </w:rPr>
        <w:t>powder</w:t>
      </w:r>
      <w:r>
        <w:rPr>
          <w:color w:val="231F20"/>
          <w:spacing w:val="2"/>
        </w:rPr>
        <w:t> </w:t>
      </w:r>
      <w:r>
        <w:rPr>
          <w:color w:val="231F20"/>
        </w:rPr>
        <w:t>in</w:t>
      </w:r>
      <w:r>
        <w:rPr>
          <w:color w:val="231F20"/>
          <w:spacing w:val="2"/>
        </w:rPr>
        <w:t> </w:t>
      </w:r>
      <w:r>
        <w:rPr>
          <w:color w:val="231F20"/>
        </w:rPr>
        <w:t>their</w:t>
      </w:r>
      <w:r>
        <w:rPr>
          <w:color w:val="231F20"/>
          <w:spacing w:val="2"/>
        </w:rPr>
        <w:t> </w:t>
      </w:r>
      <w:r>
        <w:rPr>
          <w:color w:val="231F20"/>
        </w:rPr>
        <w:t>own</w:t>
      </w:r>
      <w:r>
        <w:rPr>
          <w:color w:val="231F20"/>
          <w:spacing w:val="2"/>
        </w:rPr>
        <w:t> </w:t>
      </w:r>
      <w:r>
        <w:rPr>
          <w:color w:val="231F20"/>
        </w:rPr>
        <w:t>brand</w:t>
      </w:r>
      <w:r>
        <w:rPr>
          <w:color w:val="231F20"/>
          <w:spacing w:val="2"/>
        </w:rPr>
        <w:t> </w:t>
      </w:r>
      <w:r>
        <w:rPr>
          <w:color w:val="231F20"/>
        </w:rPr>
        <w:t>of</w:t>
      </w:r>
      <w:r>
        <w:rPr>
          <w:color w:val="231F20"/>
          <w:spacing w:val="2"/>
        </w:rPr>
        <w:t> </w:t>
      </w:r>
      <w:r>
        <w:rPr>
          <w:color w:val="231F20"/>
          <w:spacing w:val="-2"/>
        </w:rPr>
        <w:t>tooth-</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pPr>
      <w:r>
        <w:rPr>
          <w:color w:val="231F20"/>
        </w:rPr>
        <w:t>paste,</w:t>
      </w:r>
      <w:r>
        <w:rPr>
          <w:color w:val="231F20"/>
          <w:spacing w:val="-2"/>
        </w:rPr>
        <w:t> </w:t>
      </w:r>
      <w:r>
        <w:rPr>
          <w:color w:val="231F20"/>
        </w:rPr>
        <w:t>air</w:t>
      </w:r>
      <w:r>
        <w:rPr>
          <w:color w:val="231F20"/>
          <w:spacing w:val="-2"/>
        </w:rPr>
        <w:t> </w:t>
      </w:r>
      <w:r>
        <w:rPr>
          <w:color w:val="231F20"/>
        </w:rPr>
        <w:t>freshener,</w:t>
      </w:r>
      <w:r>
        <w:rPr>
          <w:color w:val="231F20"/>
          <w:spacing w:val="-2"/>
        </w:rPr>
        <w:t> </w:t>
      </w:r>
      <w:r>
        <w:rPr>
          <w:color w:val="231F20"/>
        </w:rPr>
        <w:t>and</w:t>
      </w:r>
      <w:r>
        <w:rPr>
          <w:color w:val="231F20"/>
          <w:spacing w:val="-2"/>
        </w:rPr>
        <w:t> </w:t>
      </w:r>
      <w:r>
        <w:rPr>
          <w:color w:val="231F20"/>
        </w:rPr>
        <w:t>carpet</w:t>
      </w:r>
      <w:r>
        <w:rPr>
          <w:color w:val="231F20"/>
          <w:spacing w:val="-2"/>
        </w:rPr>
        <w:t> </w:t>
      </w:r>
      <w:r>
        <w:rPr>
          <w:color w:val="231F20"/>
        </w:rPr>
        <w:t>freshener.</w:t>
      </w:r>
      <w:r>
        <w:rPr>
          <w:color w:val="231F20"/>
          <w:spacing w:val="-2"/>
        </w:rPr>
        <w:t> </w:t>
      </w:r>
      <w:r>
        <w:rPr>
          <w:color w:val="231F20"/>
        </w:rPr>
        <w:t>In</w:t>
      </w:r>
      <w:r>
        <w:rPr>
          <w:color w:val="231F20"/>
          <w:spacing w:val="-2"/>
        </w:rPr>
        <w:t> </w:t>
      </w:r>
      <w:r>
        <w:rPr>
          <w:color w:val="231F20"/>
        </w:rPr>
        <w:t>addition,</w:t>
      </w:r>
      <w:r>
        <w:rPr>
          <w:color w:val="231F20"/>
          <w:spacing w:val="-2"/>
        </w:rPr>
        <w:t> </w:t>
      </w:r>
      <w:r>
        <w:rPr>
          <w:color w:val="231F20"/>
        </w:rPr>
        <w:t>they</w:t>
      </w:r>
      <w:r>
        <w:rPr>
          <w:color w:val="231F20"/>
          <w:spacing w:val="-2"/>
        </w:rPr>
        <w:t> </w:t>
      </w:r>
      <w:r>
        <w:rPr>
          <w:color w:val="231F20"/>
        </w:rPr>
        <w:t>profitably recommend their raw baking-soda powder for hundreds of uses.</w:t>
      </w:r>
    </w:p>
    <w:p>
      <w:pPr>
        <w:pStyle w:val="BodyText"/>
        <w:spacing w:before="3"/>
        <w:rPr>
          <w:sz w:val="27"/>
        </w:rPr>
      </w:pPr>
    </w:p>
    <w:p>
      <w:pPr>
        <w:spacing w:before="1"/>
        <w:ind w:left="1260" w:right="0" w:firstLine="0"/>
        <w:jc w:val="left"/>
        <w:rPr>
          <w:rFonts w:ascii="Arial"/>
          <w:i/>
          <w:sz w:val="19"/>
        </w:rPr>
      </w:pPr>
      <w:r>
        <w:rPr>
          <w:rFonts w:ascii="Arial"/>
          <w:i/>
          <w:color w:val="231F20"/>
          <w:w w:val="115"/>
          <w:sz w:val="19"/>
        </w:rPr>
        <w:t>Who</w:t>
      </w:r>
      <w:r>
        <w:rPr>
          <w:rFonts w:ascii="Arial"/>
          <w:i/>
          <w:color w:val="231F20"/>
          <w:spacing w:val="-9"/>
          <w:w w:val="115"/>
          <w:sz w:val="19"/>
        </w:rPr>
        <w:t> </w:t>
      </w:r>
      <w:r>
        <w:rPr>
          <w:rFonts w:ascii="Arial"/>
          <w:i/>
          <w:color w:val="231F20"/>
          <w:w w:val="115"/>
          <w:sz w:val="19"/>
        </w:rPr>
        <w:t>is</w:t>
      </w:r>
      <w:r>
        <w:rPr>
          <w:rFonts w:ascii="Arial"/>
          <w:i/>
          <w:color w:val="231F20"/>
          <w:spacing w:val="-9"/>
          <w:w w:val="115"/>
          <w:sz w:val="19"/>
        </w:rPr>
        <w:t> </w:t>
      </w:r>
      <w:r>
        <w:rPr>
          <w:rFonts w:ascii="Arial"/>
          <w:i/>
          <w:color w:val="231F20"/>
          <w:w w:val="115"/>
          <w:sz w:val="19"/>
        </w:rPr>
        <w:t>buying</w:t>
      </w:r>
      <w:r>
        <w:rPr>
          <w:rFonts w:ascii="Arial"/>
          <w:i/>
          <w:color w:val="231F20"/>
          <w:spacing w:val="-8"/>
          <w:w w:val="115"/>
          <w:sz w:val="19"/>
        </w:rPr>
        <w:t> </w:t>
      </w:r>
      <w:r>
        <w:rPr>
          <w:rFonts w:ascii="Arial"/>
          <w:i/>
          <w:color w:val="231F20"/>
          <w:w w:val="115"/>
          <w:sz w:val="19"/>
        </w:rPr>
        <w:t>us,</w:t>
      </w:r>
      <w:r>
        <w:rPr>
          <w:rFonts w:ascii="Arial"/>
          <w:i/>
          <w:color w:val="231F20"/>
          <w:spacing w:val="-9"/>
          <w:w w:val="115"/>
          <w:sz w:val="19"/>
        </w:rPr>
        <w:t> </w:t>
      </w:r>
      <w:r>
        <w:rPr>
          <w:rFonts w:ascii="Arial"/>
          <w:i/>
          <w:color w:val="231F20"/>
          <w:w w:val="115"/>
          <w:sz w:val="19"/>
        </w:rPr>
        <w:t>who</w:t>
      </w:r>
      <w:r>
        <w:rPr>
          <w:rFonts w:ascii="Arial"/>
          <w:i/>
          <w:color w:val="231F20"/>
          <w:spacing w:val="-8"/>
          <w:w w:val="115"/>
          <w:sz w:val="19"/>
        </w:rPr>
        <w:t> </w:t>
      </w:r>
      <w:r>
        <w:rPr>
          <w:rFonts w:ascii="Arial"/>
          <w:i/>
          <w:color w:val="231F20"/>
          <w:w w:val="115"/>
          <w:sz w:val="19"/>
        </w:rPr>
        <w:t>is</w:t>
      </w:r>
      <w:r>
        <w:rPr>
          <w:rFonts w:ascii="Arial"/>
          <w:i/>
          <w:color w:val="231F20"/>
          <w:spacing w:val="-9"/>
          <w:w w:val="115"/>
          <w:sz w:val="19"/>
        </w:rPr>
        <w:t> </w:t>
      </w:r>
      <w:r>
        <w:rPr>
          <w:rFonts w:ascii="Arial"/>
          <w:i/>
          <w:color w:val="231F20"/>
          <w:w w:val="115"/>
          <w:sz w:val="19"/>
        </w:rPr>
        <w:t>using</w:t>
      </w:r>
      <w:r>
        <w:rPr>
          <w:rFonts w:ascii="Arial"/>
          <w:i/>
          <w:color w:val="231F20"/>
          <w:spacing w:val="-8"/>
          <w:w w:val="115"/>
          <w:sz w:val="19"/>
        </w:rPr>
        <w:t> </w:t>
      </w:r>
      <w:r>
        <w:rPr>
          <w:rFonts w:ascii="Arial"/>
          <w:i/>
          <w:color w:val="231F20"/>
          <w:w w:val="115"/>
          <w:sz w:val="19"/>
        </w:rPr>
        <w:t>the</w:t>
      </w:r>
      <w:r>
        <w:rPr>
          <w:rFonts w:ascii="Arial"/>
          <w:i/>
          <w:color w:val="231F20"/>
          <w:spacing w:val="-9"/>
          <w:w w:val="115"/>
          <w:sz w:val="19"/>
        </w:rPr>
        <w:t> </w:t>
      </w:r>
      <w:r>
        <w:rPr>
          <w:rFonts w:ascii="Arial"/>
          <w:i/>
          <w:color w:val="231F20"/>
          <w:spacing w:val="-2"/>
          <w:w w:val="115"/>
          <w:sz w:val="19"/>
        </w:rPr>
        <w:t>product?</w:t>
      </w:r>
    </w:p>
    <w:p>
      <w:pPr>
        <w:pStyle w:val="BodyText"/>
        <w:spacing w:line="292" w:lineRule="auto" w:before="60"/>
        <w:ind w:left="920" w:right="666" w:firstLine="340"/>
        <w:jc w:val="both"/>
      </w:pPr>
      <w:r>
        <w:rPr>
          <w:color w:val="231F20"/>
        </w:rPr>
        <w:t>Buyers many times are different from users. Women, for exam- ple, make the majority of purchases of men’s underwear and socks.</w:t>
      </w:r>
      <w:r>
        <w:rPr>
          <w:color w:val="231F20"/>
          <w:spacing w:val="80"/>
          <w:w w:val="150"/>
        </w:rPr>
        <w:t> </w:t>
      </w:r>
      <w:r>
        <w:rPr>
          <w:color w:val="231F20"/>
        </w:rPr>
        <w:t>If an advertising campaign wanted to target the buyer of men’s</w:t>
      </w:r>
      <w:r>
        <w:rPr>
          <w:color w:val="231F20"/>
          <w:spacing w:val="80"/>
        </w:rPr>
        <w:t> </w:t>
      </w:r>
      <w:r>
        <w:rPr>
          <w:color w:val="231F20"/>
        </w:rPr>
        <w:t>socks, it would probably be inappropriate to buy space in </w:t>
      </w:r>
      <w:r>
        <w:rPr>
          <w:i/>
          <w:color w:val="231F20"/>
        </w:rPr>
        <w:t>Sports</w:t>
      </w:r>
      <w:r>
        <w:rPr>
          <w:i/>
          <w:color w:val="231F20"/>
        </w:rPr>
        <w:t> Illustrated. </w:t>
      </w:r>
      <w:r>
        <w:rPr>
          <w:color w:val="231F20"/>
        </w:rPr>
        <w:t>Determining the buyer as well as the user provides </w:t>
      </w:r>
      <w:r>
        <w:rPr>
          <w:color w:val="231F20"/>
        </w:rPr>
        <w:t>the essential initial insights to create a marketing plan.</w:t>
      </w:r>
    </w:p>
    <w:p>
      <w:pPr>
        <w:pStyle w:val="BodyText"/>
        <w:spacing w:before="2"/>
        <w:rPr>
          <w:sz w:val="27"/>
        </w:rPr>
      </w:pPr>
    </w:p>
    <w:p>
      <w:pPr>
        <w:spacing w:before="0"/>
        <w:ind w:left="1260" w:right="0" w:firstLine="0"/>
        <w:jc w:val="left"/>
        <w:rPr>
          <w:rFonts w:ascii="Arial"/>
          <w:i/>
          <w:sz w:val="19"/>
        </w:rPr>
      </w:pPr>
      <w:r>
        <w:rPr>
          <w:rFonts w:ascii="Arial"/>
          <w:i/>
          <w:color w:val="231F20"/>
          <w:w w:val="115"/>
          <w:sz w:val="19"/>
        </w:rPr>
        <w:t>What</w:t>
      </w:r>
      <w:r>
        <w:rPr>
          <w:rFonts w:ascii="Arial"/>
          <w:i/>
          <w:color w:val="231F20"/>
          <w:spacing w:val="-2"/>
          <w:w w:val="115"/>
          <w:sz w:val="19"/>
        </w:rPr>
        <w:t> </w:t>
      </w:r>
      <w:r>
        <w:rPr>
          <w:rFonts w:ascii="Arial"/>
          <w:i/>
          <w:color w:val="231F20"/>
          <w:w w:val="115"/>
          <w:sz w:val="19"/>
        </w:rPr>
        <w:t>is</w:t>
      </w:r>
      <w:r>
        <w:rPr>
          <w:rFonts w:ascii="Arial"/>
          <w:i/>
          <w:color w:val="231F20"/>
          <w:spacing w:val="-1"/>
          <w:w w:val="115"/>
          <w:sz w:val="19"/>
        </w:rPr>
        <w:t> </w:t>
      </w:r>
      <w:r>
        <w:rPr>
          <w:rFonts w:ascii="Arial"/>
          <w:i/>
          <w:color w:val="231F20"/>
          <w:w w:val="115"/>
          <w:sz w:val="19"/>
        </w:rPr>
        <w:t>the</w:t>
      </w:r>
      <w:r>
        <w:rPr>
          <w:rFonts w:ascii="Arial"/>
          <w:i/>
          <w:color w:val="231F20"/>
          <w:spacing w:val="-2"/>
          <w:w w:val="115"/>
          <w:sz w:val="19"/>
        </w:rPr>
        <w:t> </w:t>
      </w:r>
      <w:r>
        <w:rPr>
          <w:rFonts w:ascii="Arial"/>
          <w:i/>
          <w:color w:val="231F20"/>
          <w:w w:val="115"/>
          <w:sz w:val="19"/>
        </w:rPr>
        <w:t>buying</w:t>
      </w:r>
      <w:r>
        <w:rPr>
          <w:rFonts w:ascii="Arial"/>
          <w:i/>
          <w:color w:val="231F20"/>
          <w:spacing w:val="-1"/>
          <w:w w:val="115"/>
          <w:sz w:val="19"/>
        </w:rPr>
        <w:t> </w:t>
      </w:r>
      <w:r>
        <w:rPr>
          <w:rFonts w:ascii="Arial"/>
          <w:i/>
          <w:color w:val="231F20"/>
          <w:spacing w:val="-2"/>
          <w:w w:val="115"/>
          <w:sz w:val="19"/>
        </w:rPr>
        <w:t>process?</w:t>
      </w:r>
    </w:p>
    <w:p>
      <w:pPr>
        <w:pStyle w:val="BodyText"/>
        <w:spacing w:line="292" w:lineRule="auto" w:before="61"/>
        <w:ind w:left="920" w:right="666" w:firstLine="340"/>
        <w:jc w:val="right"/>
      </w:pPr>
      <w:r>
        <w:rPr>
          <w:color w:val="231F20"/>
        </w:rPr>
        <w:t>Once you have established the need, and who is making the </w:t>
      </w:r>
      <w:r>
        <w:rPr>
          <w:color w:val="231F20"/>
        </w:rPr>
        <w:t>pur- chases,</w:t>
      </w:r>
      <w:r>
        <w:rPr>
          <w:color w:val="231F20"/>
          <w:spacing w:val="27"/>
        </w:rPr>
        <w:t> </w:t>
      </w:r>
      <w:r>
        <w:rPr>
          <w:color w:val="231F20"/>
        </w:rPr>
        <w:t>you</w:t>
      </w:r>
      <w:r>
        <w:rPr>
          <w:color w:val="231F20"/>
          <w:spacing w:val="27"/>
        </w:rPr>
        <w:t> </w:t>
      </w:r>
      <w:r>
        <w:rPr>
          <w:color w:val="231F20"/>
        </w:rPr>
        <w:t>should</w:t>
      </w:r>
      <w:r>
        <w:rPr>
          <w:color w:val="231F20"/>
          <w:spacing w:val="27"/>
        </w:rPr>
        <w:t> </w:t>
      </w:r>
      <w:r>
        <w:rPr>
          <w:color w:val="231F20"/>
        </w:rPr>
        <w:t>try</w:t>
      </w:r>
      <w:r>
        <w:rPr>
          <w:color w:val="231F20"/>
          <w:spacing w:val="27"/>
        </w:rPr>
        <w:t> </w:t>
      </w:r>
      <w:r>
        <w:rPr>
          <w:color w:val="231F20"/>
        </w:rPr>
        <w:t>to</w:t>
      </w:r>
      <w:r>
        <w:rPr>
          <w:color w:val="231F20"/>
          <w:spacing w:val="27"/>
        </w:rPr>
        <w:t> </w:t>
      </w:r>
      <w:r>
        <w:rPr>
          <w:color w:val="231F20"/>
        </w:rPr>
        <w:t>form</w:t>
      </w:r>
      <w:r>
        <w:rPr>
          <w:color w:val="231F20"/>
          <w:spacing w:val="27"/>
        </w:rPr>
        <w:t> </w:t>
      </w:r>
      <w:r>
        <w:rPr>
          <w:color w:val="231F20"/>
        </w:rPr>
        <w:t>a</w:t>
      </w:r>
      <w:r>
        <w:rPr>
          <w:color w:val="231F20"/>
          <w:spacing w:val="27"/>
        </w:rPr>
        <w:t> </w:t>
      </w:r>
      <w:r>
        <w:rPr>
          <w:color w:val="231F20"/>
        </w:rPr>
        <w:t>hypothesis</w:t>
      </w:r>
      <w:r>
        <w:rPr>
          <w:color w:val="231F20"/>
          <w:spacing w:val="27"/>
        </w:rPr>
        <w:t> </w:t>
      </w:r>
      <w:r>
        <w:rPr>
          <w:color w:val="231F20"/>
        </w:rPr>
        <w:t>on</w:t>
      </w:r>
      <w:r>
        <w:rPr>
          <w:color w:val="231F20"/>
          <w:spacing w:val="26"/>
        </w:rPr>
        <w:t> </w:t>
      </w:r>
      <w:r>
        <w:rPr>
          <w:i/>
          <w:color w:val="231F20"/>
        </w:rPr>
        <w:t>how</w:t>
      </w:r>
      <w:r>
        <w:rPr>
          <w:i/>
          <w:color w:val="231F20"/>
          <w:spacing w:val="27"/>
        </w:rPr>
        <w:t> </w:t>
      </w:r>
      <w:r>
        <w:rPr>
          <w:color w:val="231F20"/>
        </w:rPr>
        <w:t>the</w:t>
      </w:r>
      <w:r>
        <w:rPr>
          <w:color w:val="231F20"/>
          <w:spacing w:val="27"/>
        </w:rPr>
        <w:t> </w:t>
      </w:r>
      <w:r>
        <w:rPr>
          <w:color w:val="231F20"/>
        </w:rPr>
        <w:t>product</w:t>
      </w:r>
      <w:r>
        <w:rPr>
          <w:color w:val="231F20"/>
          <w:spacing w:val="27"/>
        </w:rPr>
        <w:t> </w:t>
      </w:r>
      <w:r>
        <w:rPr>
          <w:color w:val="231F20"/>
        </w:rPr>
        <w:t>is bought.</w:t>
      </w:r>
      <w:r>
        <w:rPr>
          <w:color w:val="231F20"/>
          <w:spacing w:val="40"/>
        </w:rPr>
        <w:t> </w:t>
      </w:r>
      <w:r>
        <w:rPr>
          <w:color w:val="231F20"/>
        </w:rPr>
        <w:t>Marketing</w:t>
      </w:r>
      <w:r>
        <w:rPr>
          <w:color w:val="231F20"/>
          <w:spacing w:val="40"/>
        </w:rPr>
        <w:t> </w:t>
      </w:r>
      <w:r>
        <w:rPr>
          <w:color w:val="231F20"/>
        </w:rPr>
        <w:t>research</w:t>
      </w:r>
      <w:r>
        <w:rPr>
          <w:color w:val="231F20"/>
          <w:spacing w:val="40"/>
        </w:rPr>
        <w:t> </w:t>
      </w:r>
      <w:r>
        <w:rPr>
          <w:color w:val="231F20"/>
        </w:rPr>
        <w:t>is</w:t>
      </w:r>
      <w:r>
        <w:rPr>
          <w:color w:val="231F20"/>
          <w:spacing w:val="40"/>
        </w:rPr>
        <w:t> </w:t>
      </w:r>
      <w:r>
        <w:rPr>
          <w:color w:val="231F20"/>
        </w:rPr>
        <w:t>a</w:t>
      </w:r>
      <w:r>
        <w:rPr>
          <w:color w:val="231F20"/>
          <w:spacing w:val="40"/>
        </w:rPr>
        <w:t> </w:t>
      </w:r>
      <w:r>
        <w:rPr>
          <w:color w:val="231F20"/>
        </w:rPr>
        <w:t>prime</w:t>
      </w:r>
      <w:r>
        <w:rPr>
          <w:color w:val="231F20"/>
          <w:spacing w:val="40"/>
        </w:rPr>
        <w:t> </w:t>
      </w:r>
      <w:r>
        <w:rPr>
          <w:color w:val="231F20"/>
        </w:rPr>
        <w:t>source</w:t>
      </w:r>
      <w:r>
        <w:rPr>
          <w:color w:val="231F20"/>
          <w:spacing w:val="40"/>
        </w:rPr>
        <w:t> </w:t>
      </w:r>
      <w:r>
        <w:rPr>
          <w:color w:val="231F20"/>
        </w:rPr>
        <w:t>of</w:t>
      </w:r>
      <w:r>
        <w:rPr>
          <w:color w:val="231F20"/>
          <w:spacing w:val="40"/>
        </w:rPr>
        <w:t> </w:t>
      </w:r>
      <w:r>
        <w:rPr>
          <w:color w:val="231F20"/>
        </w:rPr>
        <w:t>information,</w:t>
      </w:r>
      <w:r>
        <w:rPr>
          <w:color w:val="231F20"/>
          <w:spacing w:val="40"/>
        </w:rPr>
        <w:t> </w:t>
      </w:r>
      <w:r>
        <w:rPr>
          <w:color w:val="231F20"/>
        </w:rPr>
        <w:t>but just</w:t>
      </w:r>
      <w:r>
        <w:rPr>
          <w:color w:val="231F20"/>
          <w:spacing w:val="10"/>
        </w:rPr>
        <w:t> </w:t>
      </w:r>
      <w:r>
        <w:rPr>
          <w:color w:val="231F20"/>
        </w:rPr>
        <w:t>as</w:t>
      </w:r>
      <w:r>
        <w:rPr>
          <w:color w:val="231F20"/>
          <w:spacing w:val="11"/>
        </w:rPr>
        <w:t> </w:t>
      </w:r>
      <w:r>
        <w:rPr>
          <w:color w:val="231F20"/>
        </w:rPr>
        <w:t>valid</w:t>
      </w:r>
      <w:r>
        <w:rPr>
          <w:color w:val="231F20"/>
          <w:spacing w:val="11"/>
        </w:rPr>
        <w:t> </w:t>
      </w:r>
      <w:r>
        <w:rPr>
          <w:color w:val="231F20"/>
        </w:rPr>
        <w:t>are</w:t>
      </w:r>
      <w:r>
        <w:rPr>
          <w:color w:val="231F20"/>
          <w:spacing w:val="11"/>
        </w:rPr>
        <w:t> </w:t>
      </w:r>
      <w:r>
        <w:rPr>
          <w:color w:val="231F20"/>
        </w:rPr>
        <w:t>your</w:t>
      </w:r>
      <w:r>
        <w:rPr>
          <w:color w:val="231F20"/>
          <w:spacing w:val="11"/>
        </w:rPr>
        <w:t> </w:t>
      </w:r>
      <w:r>
        <w:rPr>
          <w:color w:val="231F20"/>
        </w:rPr>
        <w:t>own</w:t>
      </w:r>
      <w:r>
        <w:rPr>
          <w:color w:val="231F20"/>
          <w:spacing w:val="11"/>
        </w:rPr>
        <w:t> </w:t>
      </w:r>
      <w:r>
        <w:rPr>
          <w:color w:val="231F20"/>
        </w:rPr>
        <w:t>observations,</w:t>
      </w:r>
      <w:r>
        <w:rPr>
          <w:color w:val="231F20"/>
          <w:spacing w:val="11"/>
        </w:rPr>
        <w:t> </w:t>
      </w:r>
      <w:r>
        <w:rPr>
          <w:color w:val="231F20"/>
        </w:rPr>
        <w:t>investigation,</w:t>
      </w:r>
      <w:r>
        <w:rPr>
          <w:color w:val="231F20"/>
          <w:spacing w:val="11"/>
        </w:rPr>
        <w:t> </w:t>
      </w:r>
      <w:r>
        <w:rPr>
          <w:color w:val="231F20"/>
        </w:rPr>
        <w:t>and</w:t>
      </w:r>
      <w:r>
        <w:rPr>
          <w:color w:val="231F20"/>
          <w:spacing w:val="11"/>
        </w:rPr>
        <w:t> </w:t>
      </w:r>
      <w:r>
        <w:rPr>
          <w:color w:val="231F20"/>
          <w:spacing w:val="-2"/>
        </w:rPr>
        <w:t>intuition.</w:t>
      </w:r>
    </w:p>
    <w:p>
      <w:pPr>
        <w:spacing w:line="292" w:lineRule="auto" w:before="0"/>
        <w:ind w:left="920" w:right="666" w:firstLine="340"/>
        <w:jc w:val="both"/>
        <w:rPr>
          <w:sz w:val="21"/>
        </w:rPr>
      </w:pPr>
      <w:r>
        <w:rPr>
          <w:color w:val="231F20"/>
          <w:sz w:val="21"/>
        </w:rPr>
        <w:t>Understanding the </w:t>
      </w:r>
      <w:r>
        <w:rPr>
          <w:i/>
          <w:color w:val="231F20"/>
          <w:sz w:val="21"/>
        </w:rPr>
        <w:t>buying process </w:t>
      </w:r>
      <w:r>
        <w:rPr>
          <w:color w:val="231F20"/>
          <w:sz w:val="21"/>
        </w:rPr>
        <w:t>is critical because it will lead</w:t>
      </w:r>
      <w:r>
        <w:rPr>
          <w:color w:val="231F20"/>
          <w:spacing w:val="80"/>
          <w:sz w:val="21"/>
        </w:rPr>
        <w:t> </w:t>
      </w:r>
      <w:r>
        <w:rPr>
          <w:color w:val="231F20"/>
          <w:sz w:val="21"/>
        </w:rPr>
        <w:t>to the possible routes to reach buyers. The buying process </w:t>
      </w:r>
      <w:r>
        <w:rPr>
          <w:color w:val="231F20"/>
          <w:sz w:val="21"/>
        </w:rPr>
        <w:t>includes all</w:t>
      </w:r>
      <w:r>
        <w:rPr>
          <w:color w:val="231F20"/>
          <w:spacing w:val="-1"/>
          <w:sz w:val="21"/>
        </w:rPr>
        <w:t> </w:t>
      </w:r>
      <w:r>
        <w:rPr>
          <w:color w:val="231F20"/>
          <w:sz w:val="21"/>
        </w:rPr>
        <w:t>the</w:t>
      </w:r>
      <w:r>
        <w:rPr>
          <w:color w:val="231F20"/>
          <w:spacing w:val="-1"/>
          <w:sz w:val="21"/>
        </w:rPr>
        <w:t> </w:t>
      </w:r>
      <w:r>
        <w:rPr>
          <w:color w:val="231F20"/>
          <w:sz w:val="21"/>
        </w:rPr>
        <w:t>steps</w:t>
      </w:r>
      <w:r>
        <w:rPr>
          <w:color w:val="231F20"/>
          <w:spacing w:val="-1"/>
          <w:sz w:val="21"/>
        </w:rPr>
        <w:t> </w:t>
      </w:r>
      <w:r>
        <w:rPr>
          <w:color w:val="231F20"/>
          <w:sz w:val="21"/>
        </w:rPr>
        <w:t>that</w:t>
      </w:r>
      <w:r>
        <w:rPr>
          <w:color w:val="231F20"/>
          <w:spacing w:val="-1"/>
          <w:sz w:val="21"/>
        </w:rPr>
        <w:t> </w:t>
      </w:r>
      <w:r>
        <w:rPr>
          <w:color w:val="231F20"/>
          <w:sz w:val="21"/>
        </w:rPr>
        <w:t>a</w:t>
      </w:r>
      <w:r>
        <w:rPr>
          <w:color w:val="231F20"/>
          <w:spacing w:val="-1"/>
          <w:sz w:val="21"/>
        </w:rPr>
        <w:t> </w:t>
      </w:r>
      <w:r>
        <w:rPr>
          <w:color w:val="231F20"/>
          <w:sz w:val="21"/>
        </w:rPr>
        <w:t>person</w:t>
      </w:r>
      <w:r>
        <w:rPr>
          <w:color w:val="231F20"/>
          <w:spacing w:val="-1"/>
          <w:sz w:val="21"/>
        </w:rPr>
        <w:t> </w:t>
      </w:r>
      <w:r>
        <w:rPr>
          <w:color w:val="231F20"/>
          <w:sz w:val="21"/>
        </w:rPr>
        <w:t>takes</w:t>
      </w:r>
      <w:r>
        <w:rPr>
          <w:color w:val="231F20"/>
          <w:spacing w:val="-1"/>
          <w:sz w:val="21"/>
        </w:rPr>
        <w:t> </w:t>
      </w:r>
      <w:r>
        <w:rPr>
          <w:color w:val="231F20"/>
          <w:sz w:val="21"/>
        </w:rPr>
        <w:t>leading</w:t>
      </w:r>
      <w:r>
        <w:rPr>
          <w:color w:val="231F20"/>
          <w:spacing w:val="-1"/>
          <w:sz w:val="21"/>
        </w:rPr>
        <w:t> </w:t>
      </w:r>
      <w:r>
        <w:rPr>
          <w:color w:val="231F20"/>
          <w:sz w:val="21"/>
        </w:rPr>
        <w:t>to</w:t>
      </w:r>
      <w:r>
        <w:rPr>
          <w:color w:val="231F20"/>
          <w:spacing w:val="-1"/>
          <w:sz w:val="21"/>
        </w:rPr>
        <w:t> </w:t>
      </w:r>
      <w:r>
        <w:rPr>
          <w:color w:val="231F20"/>
          <w:sz w:val="21"/>
        </w:rPr>
        <w:t>a</w:t>
      </w:r>
      <w:r>
        <w:rPr>
          <w:color w:val="231F20"/>
          <w:spacing w:val="-1"/>
          <w:sz w:val="21"/>
        </w:rPr>
        <w:t> </w:t>
      </w:r>
      <w:r>
        <w:rPr>
          <w:color w:val="231F20"/>
          <w:sz w:val="21"/>
        </w:rPr>
        <w:t>purchase.</w:t>
      </w:r>
      <w:r>
        <w:rPr>
          <w:color w:val="231F20"/>
          <w:spacing w:val="-1"/>
          <w:sz w:val="21"/>
        </w:rPr>
        <w:t> </w:t>
      </w:r>
      <w:r>
        <w:rPr>
          <w:color w:val="231F20"/>
          <w:sz w:val="21"/>
        </w:rPr>
        <w:t>It</w:t>
      </w:r>
      <w:r>
        <w:rPr>
          <w:color w:val="231F20"/>
          <w:spacing w:val="-1"/>
          <w:sz w:val="21"/>
        </w:rPr>
        <w:t> </w:t>
      </w:r>
      <w:r>
        <w:rPr>
          <w:color w:val="231F20"/>
          <w:sz w:val="21"/>
        </w:rPr>
        <w:t>is</w:t>
      </w:r>
      <w:r>
        <w:rPr>
          <w:color w:val="231F20"/>
          <w:spacing w:val="-1"/>
          <w:sz w:val="21"/>
        </w:rPr>
        <w:t> </w:t>
      </w:r>
      <w:r>
        <w:rPr>
          <w:color w:val="231F20"/>
          <w:sz w:val="21"/>
        </w:rPr>
        <w:t>also</w:t>
      </w:r>
      <w:r>
        <w:rPr>
          <w:color w:val="231F20"/>
          <w:spacing w:val="-1"/>
          <w:sz w:val="21"/>
        </w:rPr>
        <w:t> </w:t>
      </w:r>
      <w:r>
        <w:rPr>
          <w:color w:val="231F20"/>
          <w:sz w:val="21"/>
        </w:rPr>
        <w:t>called the</w:t>
      </w:r>
      <w:r>
        <w:rPr>
          <w:color w:val="231F20"/>
          <w:spacing w:val="30"/>
          <w:sz w:val="21"/>
        </w:rPr>
        <w:t> </w:t>
      </w:r>
      <w:r>
        <w:rPr>
          <w:i/>
          <w:color w:val="231F20"/>
          <w:sz w:val="21"/>
        </w:rPr>
        <w:t>adoption</w:t>
      </w:r>
      <w:r>
        <w:rPr>
          <w:i/>
          <w:color w:val="231F20"/>
          <w:spacing w:val="30"/>
          <w:sz w:val="21"/>
        </w:rPr>
        <w:t> </w:t>
      </w:r>
      <w:r>
        <w:rPr>
          <w:i/>
          <w:color w:val="231F20"/>
          <w:sz w:val="21"/>
        </w:rPr>
        <w:t>process</w:t>
      </w:r>
      <w:r>
        <w:rPr>
          <w:i/>
          <w:color w:val="231F20"/>
          <w:spacing w:val="30"/>
          <w:sz w:val="21"/>
        </w:rPr>
        <w:t> </w:t>
      </w:r>
      <w:r>
        <w:rPr>
          <w:color w:val="231F20"/>
          <w:sz w:val="21"/>
        </w:rPr>
        <w:t>and</w:t>
      </w:r>
      <w:r>
        <w:rPr>
          <w:color w:val="231F20"/>
          <w:spacing w:val="30"/>
          <w:sz w:val="21"/>
        </w:rPr>
        <w:t> </w:t>
      </w:r>
      <w:r>
        <w:rPr>
          <w:color w:val="231F20"/>
          <w:sz w:val="21"/>
        </w:rPr>
        <w:t>the</w:t>
      </w:r>
      <w:r>
        <w:rPr>
          <w:color w:val="231F20"/>
          <w:spacing w:val="31"/>
          <w:sz w:val="21"/>
        </w:rPr>
        <w:t> </w:t>
      </w:r>
      <w:r>
        <w:rPr>
          <w:i/>
          <w:color w:val="231F20"/>
          <w:sz w:val="21"/>
        </w:rPr>
        <w:t>problem-solving</w:t>
      </w:r>
      <w:r>
        <w:rPr>
          <w:i/>
          <w:color w:val="231F20"/>
          <w:spacing w:val="30"/>
          <w:sz w:val="21"/>
        </w:rPr>
        <w:t> </w:t>
      </w:r>
      <w:r>
        <w:rPr>
          <w:i/>
          <w:color w:val="231F20"/>
          <w:sz w:val="21"/>
        </w:rPr>
        <w:t>process</w:t>
      </w:r>
      <w:r>
        <w:rPr>
          <w:i/>
          <w:color w:val="231F20"/>
          <w:spacing w:val="29"/>
          <w:sz w:val="21"/>
        </w:rPr>
        <w:t> </w:t>
      </w:r>
      <w:r>
        <w:rPr>
          <w:color w:val="231F20"/>
          <w:sz w:val="21"/>
        </w:rPr>
        <w:t>by</w:t>
      </w:r>
      <w:r>
        <w:rPr>
          <w:color w:val="231F20"/>
          <w:spacing w:val="30"/>
          <w:sz w:val="21"/>
        </w:rPr>
        <w:t> </w:t>
      </w:r>
      <w:r>
        <w:rPr>
          <w:color w:val="231F20"/>
          <w:sz w:val="21"/>
        </w:rPr>
        <w:t>some</w:t>
      </w:r>
      <w:r>
        <w:rPr>
          <w:color w:val="231F20"/>
          <w:spacing w:val="30"/>
          <w:sz w:val="21"/>
        </w:rPr>
        <w:t> </w:t>
      </w:r>
      <w:r>
        <w:rPr>
          <w:color w:val="231F20"/>
          <w:spacing w:val="-4"/>
          <w:sz w:val="21"/>
        </w:rPr>
        <w:t>aca-</w:t>
      </w:r>
    </w:p>
    <w:p>
      <w:pPr>
        <w:pStyle w:val="BodyText"/>
        <w:rPr>
          <w:sz w:val="24"/>
        </w:rPr>
      </w:pPr>
    </w:p>
    <w:p>
      <w:pPr>
        <w:spacing w:before="173"/>
        <w:ind w:left="473" w:right="219" w:firstLine="0"/>
        <w:jc w:val="center"/>
        <w:rPr>
          <w:rFonts w:ascii="Arial"/>
          <w:sz w:val="14"/>
        </w:rPr>
      </w:pPr>
      <w:r>
        <w:rPr>
          <w:rFonts w:ascii="Arial"/>
          <w:color w:val="231F20"/>
          <w:w w:val="105"/>
          <w:sz w:val="14"/>
        </w:rPr>
        <w:t>MARKETING</w:t>
      </w:r>
      <w:r>
        <w:rPr>
          <w:rFonts w:ascii="Arial"/>
          <w:color w:val="231F20"/>
          <w:spacing w:val="25"/>
          <w:w w:val="105"/>
          <w:sz w:val="14"/>
        </w:rPr>
        <w:t> </w:t>
      </w:r>
      <w:r>
        <w:rPr>
          <w:rFonts w:ascii="Arial"/>
          <w:color w:val="231F20"/>
          <w:w w:val="105"/>
          <w:sz w:val="14"/>
        </w:rPr>
        <w:t>STRATEGY</w:t>
      </w:r>
      <w:r>
        <w:rPr>
          <w:rFonts w:ascii="Arial"/>
          <w:color w:val="231F20"/>
          <w:spacing w:val="25"/>
          <w:w w:val="105"/>
          <w:sz w:val="14"/>
        </w:rPr>
        <w:t> </w:t>
      </w:r>
      <w:r>
        <w:rPr>
          <w:rFonts w:ascii="Arial"/>
          <w:color w:val="231F20"/>
          <w:spacing w:val="-2"/>
          <w:w w:val="105"/>
          <w:sz w:val="14"/>
        </w:rPr>
        <w:t>DEVELOPMENT</w:t>
      </w:r>
    </w:p>
    <w:p>
      <w:pPr>
        <w:pStyle w:val="BodyText"/>
        <w:spacing w:before="5"/>
        <w:rPr>
          <w:rFonts w:ascii="Arial"/>
          <w:sz w:val="16"/>
        </w:rPr>
      </w:pPr>
      <w:r>
        <w:rPr/>
        <w:drawing>
          <wp:anchor distT="0" distB="0" distL="0" distR="0" allowOverlap="1" layoutInCell="1" locked="0" behindDoc="0" simplePos="0" relativeHeight="14">
            <wp:simplePos x="0" y="0"/>
            <wp:positionH relativeFrom="page">
              <wp:posOffset>1210047</wp:posOffset>
            </wp:positionH>
            <wp:positionV relativeFrom="paragraph">
              <wp:posOffset>135838</wp:posOffset>
            </wp:positionV>
            <wp:extent cx="3071281" cy="2430303"/>
            <wp:effectExtent l="0" t="0" r="0" b="0"/>
            <wp:wrapTopAndBottom/>
            <wp:docPr id="5" name="image4.png"/>
            <wp:cNvGraphicFramePr>
              <a:graphicFrameLocks noChangeAspect="1"/>
            </wp:cNvGraphicFramePr>
            <a:graphic>
              <a:graphicData uri="http://schemas.openxmlformats.org/drawingml/2006/picture">
                <pic:pic>
                  <pic:nvPicPr>
                    <pic:cNvPr id="6" name="image4.png"/>
                    <pic:cNvPicPr/>
                  </pic:nvPicPr>
                  <pic:blipFill>
                    <a:blip r:embed="rId17" cstate="print"/>
                    <a:stretch>
                      <a:fillRect/>
                    </a:stretch>
                  </pic:blipFill>
                  <pic:spPr>
                    <a:xfrm>
                      <a:off x="0" y="0"/>
                      <a:ext cx="3071281" cy="2430303"/>
                    </a:xfrm>
                    <a:prstGeom prst="rect">
                      <a:avLst/>
                    </a:prstGeom>
                  </pic:spPr>
                </pic:pic>
              </a:graphicData>
            </a:graphic>
          </wp:anchor>
        </w:drawing>
      </w:r>
    </w:p>
    <w:p>
      <w:pPr>
        <w:spacing w:after="0"/>
        <w:rPr>
          <w:rFonts w:ascii="Arial"/>
          <w:sz w:val="16"/>
        </w:rPr>
        <w:sectPr>
          <w:pgSz w:w="8640" w:h="12960"/>
          <w:pgMar w:header="734" w:footer="0" w:top="920" w:bottom="280" w:left="340" w:right="500"/>
        </w:sectPr>
      </w:pPr>
    </w:p>
    <w:p>
      <w:pPr>
        <w:pStyle w:val="BodyText"/>
        <w:spacing w:before="2"/>
        <w:rPr>
          <w:rFonts w:ascii="Arial"/>
          <w:sz w:val="18"/>
        </w:rPr>
      </w:pPr>
    </w:p>
    <w:p>
      <w:pPr>
        <w:pStyle w:val="BodyText"/>
        <w:spacing w:line="292" w:lineRule="auto" w:before="102"/>
        <w:ind w:left="830" w:right="756"/>
        <w:jc w:val="both"/>
      </w:pPr>
      <w:r>
        <w:rPr>
          <w:color w:val="231F20"/>
        </w:rPr>
        <w:t>demics.</w:t>
      </w:r>
      <w:r>
        <w:rPr>
          <w:color w:val="231F20"/>
          <w:spacing w:val="-2"/>
        </w:rPr>
        <w:t> </w:t>
      </w:r>
      <w:r>
        <w:rPr>
          <w:color w:val="231F20"/>
        </w:rPr>
        <w:t>Some</w:t>
      </w:r>
      <w:r>
        <w:rPr>
          <w:color w:val="231F20"/>
          <w:spacing w:val="-2"/>
        </w:rPr>
        <w:t> </w:t>
      </w:r>
      <w:r>
        <w:rPr>
          <w:color w:val="231F20"/>
        </w:rPr>
        <w:t>researchers</w:t>
      </w:r>
      <w:r>
        <w:rPr>
          <w:color w:val="231F20"/>
          <w:spacing w:val="-2"/>
        </w:rPr>
        <w:t> </w:t>
      </w:r>
      <w:r>
        <w:rPr>
          <w:color w:val="231F20"/>
        </w:rPr>
        <w:t>call</w:t>
      </w:r>
      <w:r>
        <w:rPr>
          <w:color w:val="231F20"/>
          <w:spacing w:val="-2"/>
        </w:rPr>
        <w:t> </w:t>
      </w:r>
      <w:r>
        <w:rPr>
          <w:color w:val="231F20"/>
        </w:rPr>
        <w:t>it</w:t>
      </w:r>
      <w:r>
        <w:rPr>
          <w:color w:val="231F20"/>
          <w:spacing w:val="-2"/>
        </w:rPr>
        <w:t> </w:t>
      </w:r>
      <w:r>
        <w:rPr>
          <w:color w:val="231F20"/>
        </w:rPr>
        <w:t>a</w:t>
      </w:r>
      <w:r>
        <w:rPr>
          <w:color w:val="231F20"/>
          <w:spacing w:val="-2"/>
        </w:rPr>
        <w:t> </w:t>
      </w:r>
      <w:r>
        <w:rPr>
          <w:color w:val="231F20"/>
        </w:rPr>
        <w:t>Learn/Feel/Do</w:t>
      </w:r>
      <w:r>
        <w:rPr>
          <w:color w:val="231F20"/>
          <w:spacing w:val="-2"/>
        </w:rPr>
        <w:t> </w:t>
      </w:r>
      <w:r>
        <w:rPr>
          <w:color w:val="231F20"/>
        </w:rPr>
        <w:t>process.</w:t>
      </w:r>
      <w:r>
        <w:rPr>
          <w:color w:val="231F20"/>
          <w:spacing w:val="-2"/>
        </w:rPr>
        <w:t> </w:t>
      </w:r>
      <w:r>
        <w:rPr>
          <w:color w:val="231F20"/>
        </w:rPr>
        <w:t>Others</w:t>
      </w:r>
      <w:r>
        <w:rPr>
          <w:color w:val="231F20"/>
          <w:spacing w:val="-2"/>
        </w:rPr>
        <w:t> </w:t>
      </w:r>
      <w:r>
        <w:rPr>
          <w:color w:val="231F20"/>
        </w:rPr>
        <w:t>call it AIDA, for Attention/Interest/Desire/Action. I have read exten- sively on this topic and have boiled the theories down to five steps. For any particular product, the buying process can include one or all of the following steps:</w:t>
      </w:r>
    </w:p>
    <w:p>
      <w:pPr>
        <w:pStyle w:val="BodyText"/>
        <w:spacing w:before="5"/>
        <w:rPr>
          <w:sz w:val="25"/>
        </w:rPr>
      </w:pPr>
    </w:p>
    <w:p>
      <w:pPr>
        <w:tabs>
          <w:tab w:pos="1961" w:val="left" w:leader="none"/>
          <w:tab w:pos="2283" w:val="left" w:leader="none"/>
          <w:tab w:pos="4624" w:val="left" w:leader="none"/>
        </w:tabs>
        <w:spacing w:line="292" w:lineRule="auto" w:before="0"/>
        <w:ind w:left="830" w:right="1107" w:hanging="1"/>
        <w:jc w:val="left"/>
        <w:rPr>
          <w:b/>
          <w:sz w:val="21"/>
        </w:rPr>
      </w:pPr>
      <w:r>
        <w:rPr/>
        <w:pict>
          <v:shape style="position:absolute;margin-left:115.395439pt;margin-top:5.0248pt;width:9.35pt;height:3.5pt;mso-position-horizontal-relative:page;mso-position-vertical-relative:paragraph;z-index:-25221632" id="docshape24" coordorigin="2308,100" coordsize="187,70" path="m2432,100l2427,111,2471,129,2308,129,2308,141,2471,141,2427,159,2432,170,2494,143,2494,127,2432,100xe" filled="true" fillcolor="#231f20" stroked="false">
            <v:path arrowok="t"/>
            <v:fill type="solid"/>
            <w10:wrap type="none"/>
          </v:shape>
        </w:pict>
      </w:r>
      <w:r>
        <w:rPr/>
        <w:pict>
          <v:shape style="position:absolute;margin-left:232.443085pt;margin-top:5.0248pt;width:9.35pt;height:3.5pt;mso-position-horizontal-relative:page;mso-position-vertical-relative:paragraph;z-index:-25221120" id="docshape25" coordorigin="4649,100" coordsize="187,70" path="m4773,100l4768,111,4812,129,4649,129,4649,141,4812,141,4768,159,4773,170,4835,143,4835,127,4773,100xe" filled="true" fillcolor="#231f20" stroked="false">
            <v:path arrowok="t"/>
            <v:fill type="solid"/>
            <w10:wrap type="none"/>
          </v:shape>
        </w:pict>
      </w:r>
      <w:r>
        <w:rPr/>
        <w:pict>
          <v:shape style="position:absolute;margin-left:359.091705pt;margin-top:5.0248pt;width:9.35pt;height:3.5pt;mso-position-horizontal-relative:page;mso-position-vertical-relative:paragraph;z-index:15737344" id="docshape26" coordorigin="7182,100" coordsize="187,70" path="m7306,100l7301,111,7345,129,7182,129,7182,141,7345,141,7301,159,7306,170,7368,143,7368,127,7306,100xe" filled="true" fillcolor="#231f20" stroked="false">
            <v:path arrowok="t"/>
            <v:fill type="solid"/>
            <w10:wrap type="none"/>
          </v:shape>
        </w:pict>
      </w:r>
      <w:r>
        <w:rPr/>
        <w:pict>
          <v:shape style="position:absolute;margin-left:102.481163pt;margin-top:20.025209pt;width:9.35pt;height:3.5pt;mso-position-horizontal-relative:page;mso-position-vertical-relative:paragraph;z-index:-25220096" id="docshape27" coordorigin="2050,401" coordsize="187,70" path="m2174,401l2169,411,2213,429,2050,429,2050,441,2213,441,2169,459,2174,470,2236,443,2236,427,2174,401xe" filled="true" fillcolor="#231f20" stroked="false">
            <v:path arrowok="t"/>
            <v:fill type="solid"/>
            <w10:wrap type="none"/>
          </v:shape>
        </w:pict>
      </w:r>
      <w:r>
        <w:rPr>
          <w:b/>
          <w:color w:val="231F20"/>
          <w:spacing w:val="-2"/>
          <w:sz w:val="21"/>
        </w:rPr>
        <w:t>Awareness</w:t>
      </w:r>
      <w:r>
        <w:rPr>
          <w:b/>
          <w:color w:val="231F20"/>
          <w:sz w:val="21"/>
        </w:rPr>
        <w:tab/>
        <w:tab/>
        <w:t>Information</w:t>
      </w:r>
      <w:r>
        <w:rPr>
          <w:b/>
          <w:color w:val="231F20"/>
          <w:spacing w:val="40"/>
          <w:sz w:val="21"/>
        </w:rPr>
        <w:t> </w:t>
      </w:r>
      <w:r>
        <w:rPr>
          <w:b/>
          <w:color w:val="231F20"/>
          <w:sz w:val="21"/>
        </w:rPr>
        <w:t>Search</w:t>
        <w:tab/>
      </w:r>
      <w:r>
        <w:rPr>
          <w:b/>
          <w:color w:val="231F20"/>
          <w:w w:val="95"/>
          <w:sz w:val="21"/>
        </w:rPr>
        <w:t>Evaluate</w:t>
      </w:r>
      <w:r>
        <w:rPr>
          <w:b/>
          <w:color w:val="231F20"/>
          <w:spacing w:val="40"/>
          <w:sz w:val="21"/>
        </w:rPr>
        <w:t> </w:t>
      </w:r>
      <w:r>
        <w:rPr>
          <w:b/>
          <w:color w:val="231F20"/>
          <w:w w:val="95"/>
          <w:sz w:val="21"/>
        </w:rPr>
        <w:t>Alternatives </w:t>
      </w:r>
      <w:r>
        <w:rPr>
          <w:b/>
          <w:color w:val="231F20"/>
          <w:spacing w:val="-2"/>
          <w:sz w:val="21"/>
        </w:rPr>
        <w:t>Purchase</w:t>
      </w:r>
      <w:r>
        <w:rPr>
          <w:b/>
          <w:color w:val="231F20"/>
          <w:sz w:val="21"/>
        </w:rPr>
        <w:tab/>
      </w:r>
      <w:r>
        <w:rPr>
          <w:b/>
          <w:color w:val="231F20"/>
          <w:spacing w:val="-2"/>
          <w:sz w:val="21"/>
        </w:rPr>
        <w:t>Evaluate</w:t>
      </w:r>
    </w:p>
    <w:p>
      <w:pPr>
        <w:pStyle w:val="BodyText"/>
        <w:spacing w:before="6"/>
        <w:rPr>
          <w:b/>
          <w:sz w:val="25"/>
        </w:rPr>
      </w:pPr>
    </w:p>
    <w:p>
      <w:pPr>
        <w:pStyle w:val="BodyText"/>
        <w:spacing w:line="292" w:lineRule="auto"/>
        <w:ind w:left="830" w:right="756" w:firstLine="340"/>
        <w:jc w:val="both"/>
      </w:pPr>
      <w:r>
        <w:rPr>
          <w:color w:val="231F20"/>
        </w:rPr>
        <w:t>In the instance of a soap purchase, the process would look </w:t>
      </w:r>
      <w:r>
        <w:rPr>
          <w:color w:val="231F20"/>
        </w:rPr>
        <w:t>like </w:t>
      </w:r>
      <w:r>
        <w:rPr>
          <w:color w:val="231F20"/>
          <w:spacing w:val="-2"/>
        </w:rPr>
        <w:t>this:</w:t>
      </w:r>
    </w:p>
    <w:p>
      <w:pPr>
        <w:pStyle w:val="BodyText"/>
        <w:spacing w:before="6"/>
        <w:rPr>
          <w:sz w:val="25"/>
        </w:rPr>
      </w:pPr>
    </w:p>
    <w:p>
      <w:pPr>
        <w:pStyle w:val="BodyText"/>
        <w:spacing w:line="292" w:lineRule="auto"/>
        <w:ind w:left="1091" w:right="757" w:hanging="262"/>
        <w:jc w:val="both"/>
      </w:pPr>
      <w:r>
        <w:rPr/>
        <w:pict>
          <v:shape style="position:absolute;margin-left:113.964859pt;margin-top:5.024798pt;width:9.35pt;height:3.5pt;mso-position-horizontal-relative:page;mso-position-vertical-relative:paragraph;z-index:-25219584" id="docshape28" coordorigin="2279,100" coordsize="187,70" path="m2403,100l2399,111,2442,129,2279,129,2279,141,2442,141,2399,159,2403,170,2466,143,2466,127,2403,100xe" filled="true" fillcolor="#231f20" stroked="false">
            <v:path arrowok="t"/>
            <v:fill type="solid"/>
            <w10:wrap type="none"/>
          </v:shape>
        </w:pict>
      </w:r>
      <w:r>
        <w:rPr/>
        <w:pict>
          <v:shape style="position:absolute;margin-left:222.614136pt;margin-top:5.024798pt;width:9.35pt;height:3.5pt;mso-position-horizontal-relative:page;mso-position-vertical-relative:paragraph;z-index:-25219072" id="docshape29" coordorigin="4452,100" coordsize="187,70" path="m4576,100l4572,111,4615,129,4452,129,4452,141,4615,141,4572,159,4576,170,4639,143,4639,127,4576,100xe" filled="true" fillcolor="#231f20" stroked="false">
            <v:path arrowok="t"/>
            <v:fill type="solid"/>
            <w10:wrap type="none"/>
          </v:shape>
        </w:pict>
      </w:r>
      <w:r>
        <w:rPr/>
        <w:pict>
          <v:shape style="position:absolute;margin-left:261.980988pt;margin-top:5.024798pt;width:9.35pt;height:3.5pt;mso-position-horizontal-relative:page;mso-position-vertical-relative:paragraph;z-index:-25218560" id="docshape30" coordorigin="5240,100" coordsize="187,70" path="m5364,100l5359,111,5403,129,5240,129,5240,141,5403,141,5359,159,5364,170,5426,143,5426,127,5364,100xe" filled="true" fillcolor="#231f20" stroked="false">
            <v:path arrowok="t"/>
            <v:fill type="solid"/>
            <w10:wrap type="none"/>
          </v:shape>
        </w:pict>
      </w:r>
      <w:r>
        <w:rPr/>
        <w:pict>
          <v:shape style="position:absolute;margin-left:59.09771pt;margin-top:20.025208pt;width:9.35pt;height:3.5pt;mso-position-horizontal-relative:page;mso-position-vertical-relative:paragraph;z-index:-25218048" id="docshape31" coordorigin="1182,401" coordsize="187,70" path="m1306,401l1301,411,1345,429,1182,429,1182,441,1345,441,1301,459,1306,470,1368,443,1368,427,1306,401xe" filled="true" fillcolor="#231f20" stroked="false">
            <v:path arrowok="t"/>
            <v:fill type="solid"/>
            <w10:wrap type="none"/>
          </v:shape>
        </w:pict>
      </w:r>
      <w:r>
        <w:rPr/>
        <w:pict>
          <v:shape style="position:absolute;margin-left:178.413803pt;margin-top:20.025208pt;width:9.35pt;height:3.5pt;mso-position-horizontal-relative:page;mso-position-vertical-relative:paragraph;z-index:-25217536" id="docshape32" coordorigin="3568,401" coordsize="187,70" path="m3692,401l3688,411,3731,429,3568,429,3568,441,3731,441,3688,459,3692,470,3755,443,3755,427,3692,401xe" filled="true" fillcolor="#231f20" stroked="false">
            <v:path arrowok="t"/>
            <v:fill type="solid"/>
            <w10:wrap type="none"/>
          </v:shape>
        </w:pict>
      </w:r>
      <w:r>
        <w:rPr/>
        <w:pict>
          <v:shape style="position:absolute;margin-left:249.897614pt;margin-top:20.025208pt;width:9.35pt;height:3.5pt;mso-position-horizontal-relative:page;mso-position-vertical-relative:paragraph;z-index:-25217024" id="docshape33" coordorigin="4998,401" coordsize="187,70" path="m5122,401l5117,411,5161,429,4998,429,4998,441,5161,441,5117,459,5122,470,5184,443,5184,427,5122,401xe" filled="true" fillcolor="#231f20" stroked="false">
            <v:path arrowok="t"/>
            <v:fill type="solid"/>
            <w10:wrap type="none"/>
          </v:shape>
        </w:pict>
      </w:r>
      <w:r>
        <w:rPr/>
        <w:pict>
          <v:shape style="position:absolute;margin-left:330.48822pt;margin-top:20.025208pt;width:9.35pt;height:3.5pt;mso-position-horizontal-relative:page;mso-position-vertical-relative:paragraph;z-index:-25216512" id="docshape34" coordorigin="6610,401" coordsize="187,70" path="m6734,401l6729,411,6773,429,6610,429,6610,441,6773,441,6729,459,6734,470,6796,443,6796,427,6734,401xe" filled="true" fillcolor="#231f20" stroked="false">
            <v:path arrowok="t"/>
            <v:fill type="solid"/>
            <w10:wrap type="none"/>
          </v:shape>
        </w:pict>
      </w:r>
      <w:r>
        <w:rPr/>
        <w:pict>
          <v:shape style="position:absolute;margin-left:59.09782pt;margin-top:35.025608pt;width:9.35pt;height:3.5pt;mso-position-horizontal-relative:page;mso-position-vertical-relative:paragraph;z-index:-25216000" id="docshape35" coordorigin="1182,701" coordsize="187,70" path="m1306,701l1301,711,1345,729,1182,729,1182,741,1345,741,1301,759,1306,770,1368,743,1368,727,1306,701xe" filled="true" fillcolor="#231f20" stroked="false">
            <v:path arrowok="t"/>
            <v:fill type="solid"/>
            <w10:wrap type="none"/>
          </v:shape>
        </w:pict>
      </w:r>
      <w:r>
        <w:rPr/>
        <w:pict>
          <v:shape style="position:absolute;margin-left:169.880081pt;margin-top:35.025608pt;width:9.35pt;height:3.5pt;mso-position-horizontal-relative:page;mso-position-vertical-relative:paragraph;z-index:-25215488" id="docshape36" coordorigin="3398,701" coordsize="187,70" path="m3522,701l3517,711,3561,729,3398,729,3398,741,3561,741,3517,759,3522,770,3584,743,3584,727,3522,701xe" filled="true" fillcolor="#231f20" stroked="false">
            <v:path arrowok="t"/>
            <v:fill type="solid"/>
            <w10:wrap type="none"/>
          </v:shape>
        </w:pict>
      </w:r>
      <w:r>
        <w:rPr>
          <w:color w:val="231F20"/>
          <w:w w:val="105"/>
        </w:rPr>
        <w:t>Smell Body</w:t>
      </w:r>
      <w:r>
        <w:rPr>
          <w:color w:val="231F20"/>
          <w:spacing w:val="80"/>
          <w:w w:val="105"/>
        </w:rPr>
        <w:t>  </w:t>
      </w:r>
      <w:r>
        <w:rPr>
          <w:color w:val="231F20"/>
          <w:w w:val="105"/>
        </w:rPr>
        <w:t>What Should I Use?</w:t>
      </w:r>
      <w:r>
        <w:rPr>
          <w:color w:val="231F20"/>
          <w:spacing w:val="80"/>
          <w:w w:val="105"/>
        </w:rPr>
        <w:t>  </w:t>
      </w:r>
      <w:r>
        <w:rPr>
          <w:color w:val="231F20"/>
          <w:w w:val="105"/>
        </w:rPr>
        <w:t>Soap</w:t>
      </w:r>
      <w:r>
        <w:rPr>
          <w:color w:val="231F20"/>
          <w:spacing w:val="80"/>
          <w:w w:val="105"/>
        </w:rPr>
        <w:t>  </w:t>
      </w:r>
      <w:r>
        <w:rPr>
          <w:color w:val="231F20"/>
          <w:w w:val="105"/>
        </w:rPr>
        <w:t>Ask Wife for </w:t>
      </w:r>
      <w:r>
        <w:rPr>
          <w:color w:val="231F20"/>
          <w:w w:val="105"/>
        </w:rPr>
        <w:t>Advice Make</w:t>
      </w:r>
      <w:r>
        <w:rPr>
          <w:color w:val="231F20"/>
          <w:spacing w:val="-3"/>
          <w:w w:val="105"/>
        </w:rPr>
        <w:t> </w:t>
      </w:r>
      <w:r>
        <w:rPr>
          <w:color w:val="231F20"/>
          <w:w w:val="105"/>
        </w:rPr>
        <w:t>Trip</w:t>
      </w:r>
      <w:r>
        <w:rPr>
          <w:color w:val="231F20"/>
          <w:spacing w:val="-3"/>
          <w:w w:val="105"/>
        </w:rPr>
        <w:t> </w:t>
      </w:r>
      <w:r>
        <w:rPr>
          <w:color w:val="231F20"/>
          <w:w w:val="105"/>
        </w:rPr>
        <w:t>to</w:t>
      </w:r>
      <w:r>
        <w:rPr>
          <w:color w:val="231F20"/>
          <w:spacing w:val="-3"/>
          <w:w w:val="105"/>
        </w:rPr>
        <w:t> </w:t>
      </w:r>
      <w:r>
        <w:rPr>
          <w:color w:val="231F20"/>
          <w:w w:val="105"/>
        </w:rPr>
        <w:t>the</w:t>
      </w:r>
      <w:r>
        <w:rPr>
          <w:color w:val="231F20"/>
          <w:spacing w:val="-3"/>
          <w:w w:val="105"/>
        </w:rPr>
        <w:t> </w:t>
      </w:r>
      <w:r>
        <w:rPr>
          <w:color w:val="231F20"/>
          <w:w w:val="105"/>
        </w:rPr>
        <w:t>Store</w:t>
      </w:r>
      <w:r>
        <w:rPr>
          <w:color w:val="231F20"/>
          <w:spacing w:val="80"/>
          <w:w w:val="150"/>
        </w:rPr>
        <w:t> </w:t>
      </w:r>
      <w:r>
        <w:rPr>
          <w:color w:val="231F20"/>
          <w:w w:val="105"/>
        </w:rPr>
        <w:t>Read</w:t>
      </w:r>
      <w:r>
        <w:rPr>
          <w:color w:val="231F20"/>
          <w:spacing w:val="-3"/>
          <w:w w:val="105"/>
        </w:rPr>
        <w:t> </w:t>
      </w:r>
      <w:r>
        <w:rPr>
          <w:color w:val="231F20"/>
          <w:w w:val="105"/>
        </w:rPr>
        <w:t>Labels</w:t>
      </w:r>
      <w:r>
        <w:rPr>
          <w:color w:val="231F20"/>
          <w:spacing w:val="80"/>
          <w:w w:val="150"/>
        </w:rPr>
        <w:t> </w:t>
      </w:r>
      <w:r>
        <w:rPr>
          <w:color w:val="231F20"/>
          <w:w w:val="105"/>
        </w:rPr>
        <w:t>Buy</w:t>
      </w:r>
      <w:r>
        <w:rPr>
          <w:color w:val="231F20"/>
          <w:spacing w:val="-3"/>
          <w:w w:val="105"/>
        </w:rPr>
        <w:t> </w:t>
      </w:r>
      <w:r>
        <w:rPr>
          <w:color w:val="231F20"/>
          <w:w w:val="105"/>
        </w:rPr>
        <w:t>Dial</w:t>
      </w:r>
      <w:r>
        <w:rPr>
          <w:color w:val="231F20"/>
          <w:spacing w:val="-3"/>
          <w:w w:val="105"/>
        </w:rPr>
        <w:t> </w:t>
      </w:r>
      <w:r>
        <w:rPr>
          <w:color w:val="231F20"/>
          <w:w w:val="105"/>
        </w:rPr>
        <w:t>Soap</w:t>
      </w:r>
      <w:r>
        <w:rPr>
          <w:color w:val="231F20"/>
          <w:spacing w:val="80"/>
          <w:w w:val="150"/>
        </w:rPr>
        <w:t> </w:t>
      </w:r>
      <w:r>
        <w:rPr>
          <w:color w:val="231F20"/>
          <w:w w:val="105"/>
        </w:rPr>
        <w:t>Bathe Smell Body for Odor</w:t>
      </w:r>
      <w:r>
        <w:rPr>
          <w:color w:val="231F20"/>
          <w:spacing w:val="80"/>
          <w:w w:val="105"/>
        </w:rPr>
        <w:t>  </w:t>
      </w:r>
      <w:r>
        <w:rPr>
          <w:color w:val="231F20"/>
          <w:w w:val="105"/>
        </w:rPr>
        <w:t>Buy Dial Soap Next Time</w:t>
      </w:r>
    </w:p>
    <w:p>
      <w:pPr>
        <w:pStyle w:val="BodyText"/>
        <w:spacing w:before="6"/>
        <w:rPr>
          <w:sz w:val="25"/>
        </w:rPr>
      </w:pPr>
    </w:p>
    <w:p>
      <w:pPr>
        <w:pStyle w:val="BodyText"/>
        <w:ind w:left="1170"/>
        <w:jc w:val="both"/>
      </w:pPr>
      <w:r>
        <w:rPr>
          <w:color w:val="231F20"/>
        </w:rPr>
        <w:t>The</w:t>
      </w:r>
      <w:r>
        <w:rPr>
          <w:color w:val="231F20"/>
          <w:spacing w:val="3"/>
        </w:rPr>
        <w:t> </w:t>
      </w:r>
      <w:r>
        <w:rPr>
          <w:color w:val="231F20"/>
        </w:rPr>
        <w:t>steps</w:t>
      </w:r>
      <w:r>
        <w:rPr>
          <w:color w:val="231F20"/>
          <w:spacing w:val="4"/>
        </w:rPr>
        <w:t> </w:t>
      </w:r>
      <w:r>
        <w:rPr>
          <w:color w:val="231F20"/>
        </w:rPr>
        <w:t>of</w:t>
      </w:r>
      <w:r>
        <w:rPr>
          <w:color w:val="231F20"/>
          <w:spacing w:val="4"/>
        </w:rPr>
        <w:t> </w:t>
      </w:r>
      <w:r>
        <w:rPr>
          <w:color w:val="231F20"/>
        </w:rPr>
        <w:t>the</w:t>
      </w:r>
      <w:r>
        <w:rPr>
          <w:color w:val="231F20"/>
          <w:spacing w:val="3"/>
        </w:rPr>
        <w:t> </w:t>
      </w:r>
      <w:r>
        <w:rPr>
          <w:color w:val="231F20"/>
        </w:rPr>
        <w:t>buying</w:t>
      </w:r>
      <w:r>
        <w:rPr>
          <w:color w:val="231F20"/>
          <w:spacing w:val="4"/>
        </w:rPr>
        <w:t> </w:t>
      </w:r>
      <w:r>
        <w:rPr>
          <w:color w:val="231F20"/>
        </w:rPr>
        <w:t>process</w:t>
      </w:r>
      <w:r>
        <w:rPr>
          <w:color w:val="231F20"/>
          <w:spacing w:val="4"/>
        </w:rPr>
        <w:t> </w:t>
      </w:r>
      <w:r>
        <w:rPr>
          <w:color w:val="231F20"/>
          <w:spacing w:val="-2"/>
        </w:rPr>
        <w:t>explained:</w:t>
      </w:r>
    </w:p>
    <w:p>
      <w:pPr>
        <w:pStyle w:val="BodyText"/>
        <w:spacing w:line="292" w:lineRule="auto" w:before="54"/>
        <w:ind w:left="830" w:right="756" w:firstLine="340"/>
        <w:jc w:val="both"/>
      </w:pPr>
      <w:r>
        <w:rPr>
          <w:rFonts w:ascii="Arial" w:hAnsi="Arial"/>
          <w:color w:val="231F20"/>
          <w:sz w:val="18"/>
        </w:rPr>
        <w:t>Awareness. </w:t>
      </w:r>
      <w:r>
        <w:rPr>
          <w:color w:val="231F20"/>
        </w:rPr>
        <w:t>(Interest, Problem Recognition). “I might need some- </w:t>
      </w:r>
      <w:r>
        <w:rPr>
          <w:color w:val="231F20"/>
          <w:w w:val="105"/>
        </w:rPr>
        <w:t>thing.” At some point a person will realize a need, like the need to </w:t>
      </w:r>
      <w:r>
        <w:rPr>
          <w:color w:val="231F20"/>
          <w:spacing w:val="-2"/>
          <w:w w:val="105"/>
        </w:rPr>
        <w:t>use</w:t>
      </w:r>
      <w:r>
        <w:rPr>
          <w:color w:val="231F20"/>
          <w:spacing w:val="-4"/>
          <w:w w:val="105"/>
        </w:rPr>
        <w:t> </w:t>
      </w:r>
      <w:r>
        <w:rPr>
          <w:color w:val="231F20"/>
          <w:spacing w:val="-2"/>
          <w:w w:val="105"/>
        </w:rPr>
        <w:t>soap.</w:t>
      </w:r>
      <w:r>
        <w:rPr>
          <w:color w:val="231F20"/>
          <w:spacing w:val="-4"/>
          <w:w w:val="105"/>
        </w:rPr>
        <w:t> </w:t>
      </w:r>
      <w:r>
        <w:rPr>
          <w:color w:val="231F20"/>
          <w:spacing w:val="-2"/>
          <w:w w:val="105"/>
        </w:rPr>
        <w:t>Advertising</w:t>
      </w:r>
      <w:r>
        <w:rPr>
          <w:color w:val="231F20"/>
          <w:spacing w:val="-4"/>
          <w:w w:val="105"/>
        </w:rPr>
        <w:t> </w:t>
      </w:r>
      <w:r>
        <w:rPr>
          <w:color w:val="231F20"/>
          <w:spacing w:val="-2"/>
          <w:w w:val="105"/>
        </w:rPr>
        <w:t>may</w:t>
      </w:r>
      <w:r>
        <w:rPr>
          <w:color w:val="231F20"/>
          <w:spacing w:val="-4"/>
          <w:w w:val="105"/>
        </w:rPr>
        <w:t> </w:t>
      </w:r>
      <w:r>
        <w:rPr>
          <w:color w:val="231F20"/>
          <w:spacing w:val="-2"/>
          <w:w w:val="105"/>
        </w:rPr>
        <w:t>trigger</w:t>
      </w:r>
      <w:r>
        <w:rPr>
          <w:color w:val="231F20"/>
          <w:spacing w:val="-4"/>
          <w:w w:val="105"/>
        </w:rPr>
        <w:t> </w:t>
      </w:r>
      <w:r>
        <w:rPr>
          <w:color w:val="231F20"/>
          <w:spacing w:val="-2"/>
          <w:w w:val="105"/>
        </w:rPr>
        <w:t>that</w:t>
      </w:r>
      <w:r>
        <w:rPr>
          <w:color w:val="231F20"/>
          <w:spacing w:val="-4"/>
          <w:w w:val="105"/>
        </w:rPr>
        <w:t> </w:t>
      </w:r>
      <w:r>
        <w:rPr>
          <w:color w:val="231F20"/>
          <w:spacing w:val="-2"/>
          <w:w w:val="105"/>
        </w:rPr>
        <w:t>need.</w:t>
      </w:r>
      <w:r>
        <w:rPr>
          <w:color w:val="231F20"/>
          <w:spacing w:val="-4"/>
          <w:w w:val="105"/>
        </w:rPr>
        <w:t> </w:t>
      </w:r>
      <w:r>
        <w:rPr>
          <w:color w:val="231F20"/>
          <w:spacing w:val="-2"/>
          <w:w w:val="105"/>
        </w:rPr>
        <w:t>Prestige</w:t>
      </w:r>
      <w:r>
        <w:rPr>
          <w:color w:val="231F20"/>
          <w:spacing w:val="-4"/>
          <w:w w:val="105"/>
        </w:rPr>
        <w:t> </w:t>
      </w:r>
      <w:r>
        <w:rPr>
          <w:color w:val="231F20"/>
          <w:spacing w:val="-2"/>
          <w:w w:val="105"/>
        </w:rPr>
        <w:t>products</w:t>
      </w:r>
      <w:r>
        <w:rPr>
          <w:color w:val="231F20"/>
          <w:spacing w:val="-4"/>
          <w:w w:val="105"/>
        </w:rPr>
        <w:t> </w:t>
      </w:r>
      <w:r>
        <w:rPr>
          <w:color w:val="231F20"/>
          <w:spacing w:val="-2"/>
          <w:w w:val="105"/>
        </w:rPr>
        <w:t>such </w:t>
      </w:r>
      <w:r>
        <w:rPr>
          <w:color w:val="231F20"/>
          <w:w w:val="105"/>
        </w:rPr>
        <w:t>as</w:t>
      </w:r>
      <w:r>
        <w:rPr>
          <w:color w:val="231F20"/>
          <w:spacing w:val="-1"/>
          <w:w w:val="105"/>
        </w:rPr>
        <w:t> </w:t>
      </w:r>
      <w:r>
        <w:rPr>
          <w:color w:val="231F20"/>
          <w:w w:val="105"/>
        </w:rPr>
        <w:t>designer</w:t>
      </w:r>
      <w:r>
        <w:rPr>
          <w:color w:val="231F20"/>
          <w:spacing w:val="-1"/>
          <w:w w:val="105"/>
        </w:rPr>
        <w:t> </w:t>
      </w:r>
      <w:r>
        <w:rPr>
          <w:color w:val="231F20"/>
          <w:w w:val="105"/>
        </w:rPr>
        <w:t>clothes</w:t>
      </w:r>
      <w:r>
        <w:rPr>
          <w:color w:val="231F20"/>
          <w:spacing w:val="-1"/>
          <w:w w:val="105"/>
        </w:rPr>
        <w:t> </w:t>
      </w:r>
      <w:r>
        <w:rPr>
          <w:color w:val="231F20"/>
          <w:w w:val="105"/>
        </w:rPr>
        <w:t>and</w:t>
      </w:r>
      <w:r>
        <w:rPr>
          <w:color w:val="231F20"/>
          <w:spacing w:val="-1"/>
          <w:w w:val="105"/>
        </w:rPr>
        <w:t> </w:t>
      </w:r>
      <w:r>
        <w:rPr>
          <w:color w:val="231F20"/>
          <w:w w:val="105"/>
        </w:rPr>
        <w:t>fragrances</w:t>
      </w:r>
      <w:r>
        <w:rPr>
          <w:color w:val="231F20"/>
          <w:spacing w:val="-1"/>
          <w:w w:val="105"/>
        </w:rPr>
        <w:t> </w:t>
      </w:r>
      <w:r>
        <w:rPr>
          <w:color w:val="231F20"/>
          <w:w w:val="105"/>
        </w:rPr>
        <w:t>trigger</w:t>
      </w:r>
      <w:r>
        <w:rPr>
          <w:color w:val="231F20"/>
          <w:spacing w:val="-1"/>
          <w:w w:val="105"/>
        </w:rPr>
        <w:t> </w:t>
      </w:r>
      <w:r>
        <w:rPr>
          <w:color w:val="231F20"/>
          <w:w w:val="105"/>
        </w:rPr>
        <w:t>desire.</w:t>
      </w:r>
      <w:r>
        <w:rPr>
          <w:color w:val="231F20"/>
          <w:spacing w:val="-1"/>
          <w:w w:val="105"/>
        </w:rPr>
        <w:t> </w:t>
      </w:r>
      <w:r>
        <w:rPr>
          <w:color w:val="231F20"/>
          <w:w w:val="105"/>
        </w:rPr>
        <w:t>They</w:t>
      </w:r>
      <w:r>
        <w:rPr>
          <w:color w:val="231F20"/>
          <w:spacing w:val="-1"/>
          <w:w w:val="105"/>
        </w:rPr>
        <w:t> </w:t>
      </w:r>
      <w:r>
        <w:rPr>
          <w:color w:val="231F20"/>
          <w:w w:val="105"/>
        </w:rPr>
        <w:t>meet</w:t>
      </w:r>
      <w:r>
        <w:rPr>
          <w:color w:val="231F20"/>
          <w:spacing w:val="-1"/>
          <w:w w:val="105"/>
        </w:rPr>
        <w:t> </w:t>
      </w:r>
      <w:r>
        <w:rPr>
          <w:color w:val="231F20"/>
          <w:w w:val="105"/>
        </w:rPr>
        <w:t>emo- tional</w:t>
      </w:r>
      <w:r>
        <w:rPr>
          <w:color w:val="231F20"/>
          <w:spacing w:val="-4"/>
          <w:w w:val="105"/>
        </w:rPr>
        <w:t> </w:t>
      </w:r>
      <w:r>
        <w:rPr>
          <w:color w:val="231F20"/>
          <w:w w:val="105"/>
        </w:rPr>
        <w:t>needs</w:t>
      </w:r>
      <w:r>
        <w:rPr>
          <w:color w:val="231F20"/>
          <w:spacing w:val="-4"/>
          <w:w w:val="105"/>
        </w:rPr>
        <w:t> </w:t>
      </w:r>
      <w:r>
        <w:rPr>
          <w:color w:val="231F20"/>
          <w:w w:val="105"/>
        </w:rPr>
        <w:t>such</w:t>
      </w:r>
      <w:r>
        <w:rPr>
          <w:color w:val="231F20"/>
          <w:spacing w:val="-4"/>
          <w:w w:val="105"/>
        </w:rPr>
        <w:t> </w:t>
      </w:r>
      <w:r>
        <w:rPr>
          <w:color w:val="231F20"/>
          <w:w w:val="105"/>
        </w:rPr>
        <w:t>as</w:t>
      </w:r>
      <w:r>
        <w:rPr>
          <w:color w:val="231F20"/>
          <w:spacing w:val="-4"/>
          <w:w w:val="105"/>
        </w:rPr>
        <w:t> </w:t>
      </w:r>
      <w:r>
        <w:rPr>
          <w:color w:val="231F20"/>
          <w:w w:val="105"/>
        </w:rPr>
        <w:t>love</w:t>
      </w:r>
      <w:r>
        <w:rPr>
          <w:color w:val="231F20"/>
          <w:spacing w:val="-4"/>
          <w:w w:val="105"/>
        </w:rPr>
        <w:t> </w:t>
      </w:r>
      <w:r>
        <w:rPr>
          <w:color w:val="231F20"/>
          <w:w w:val="105"/>
        </w:rPr>
        <w:t>and</w:t>
      </w:r>
      <w:r>
        <w:rPr>
          <w:color w:val="231F20"/>
          <w:spacing w:val="-4"/>
          <w:w w:val="105"/>
        </w:rPr>
        <w:t> </w:t>
      </w:r>
      <w:r>
        <w:rPr>
          <w:color w:val="231F20"/>
          <w:w w:val="105"/>
        </w:rPr>
        <w:t>group</w:t>
      </w:r>
      <w:r>
        <w:rPr>
          <w:color w:val="231F20"/>
          <w:spacing w:val="-4"/>
          <w:w w:val="105"/>
        </w:rPr>
        <w:t> </w:t>
      </w:r>
      <w:r>
        <w:rPr>
          <w:color w:val="231F20"/>
          <w:w w:val="105"/>
        </w:rPr>
        <w:t>acceptance.</w:t>
      </w:r>
      <w:r>
        <w:rPr>
          <w:color w:val="231F20"/>
          <w:spacing w:val="-4"/>
          <w:w w:val="105"/>
        </w:rPr>
        <w:t> </w:t>
      </w:r>
      <w:r>
        <w:rPr>
          <w:color w:val="231F20"/>
          <w:w w:val="105"/>
        </w:rPr>
        <w:t>Head</w:t>
      </w:r>
      <w:r>
        <w:rPr>
          <w:color w:val="231F20"/>
          <w:spacing w:val="-4"/>
          <w:w w:val="105"/>
        </w:rPr>
        <w:t> </w:t>
      </w:r>
      <w:r>
        <w:rPr>
          <w:color w:val="231F20"/>
          <w:w w:val="105"/>
        </w:rPr>
        <w:t>&amp;</w:t>
      </w:r>
      <w:r>
        <w:rPr>
          <w:color w:val="231F20"/>
          <w:spacing w:val="-4"/>
          <w:w w:val="105"/>
        </w:rPr>
        <w:t> </w:t>
      </w:r>
      <w:r>
        <w:rPr>
          <w:color w:val="231F20"/>
          <w:w w:val="105"/>
        </w:rPr>
        <w:t>Shoulders </w:t>
      </w:r>
      <w:r>
        <w:rPr>
          <w:color w:val="231F20"/>
          <w:spacing w:val="-2"/>
          <w:w w:val="105"/>
        </w:rPr>
        <w:t>preys</w:t>
      </w:r>
      <w:r>
        <w:rPr>
          <w:color w:val="231F20"/>
          <w:spacing w:val="-7"/>
          <w:w w:val="105"/>
        </w:rPr>
        <w:t> </w:t>
      </w:r>
      <w:r>
        <w:rPr>
          <w:color w:val="231F20"/>
          <w:spacing w:val="-2"/>
          <w:w w:val="105"/>
        </w:rPr>
        <w:t>on</w:t>
      </w:r>
      <w:r>
        <w:rPr>
          <w:color w:val="231F20"/>
          <w:spacing w:val="-7"/>
          <w:w w:val="105"/>
        </w:rPr>
        <w:t> </w:t>
      </w:r>
      <w:r>
        <w:rPr>
          <w:color w:val="231F20"/>
          <w:spacing w:val="-2"/>
          <w:w w:val="105"/>
        </w:rPr>
        <w:t>the</w:t>
      </w:r>
      <w:r>
        <w:rPr>
          <w:color w:val="231F20"/>
          <w:spacing w:val="-7"/>
          <w:w w:val="105"/>
        </w:rPr>
        <w:t> </w:t>
      </w:r>
      <w:r>
        <w:rPr>
          <w:color w:val="231F20"/>
          <w:spacing w:val="-2"/>
          <w:w w:val="105"/>
        </w:rPr>
        <w:t>fear</w:t>
      </w:r>
      <w:r>
        <w:rPr>
          <w:color w:val="231F20"/>
          <w:spacing w:val="-7"/>
          <w:w w:val="105"/>
        </w:rPr>
        <w:t> </w:t>
      </w:r>
      <w:r>
        <w:rPr>
          <w:color w:val="231F20"/>
          <w:spacing w:val="-2"/>
          <w:w w:val="105"/>
        </w:rPr>
        <w:t>of</w:t>
      </w:r>
      <w:r>
        <w:rPr>
          <w:color w:val="231F20"/>
          <w:spacing w:val="-7"/>
          <w:w w:val="105"/>
        </w:rPr>
        <w:t> </w:t>
      </w:r>
      <w:r>
        <w:rPr>
          <w:color w:val="231F20"/>
          <w:spacing w:val="-2"/>
          <w:w w:val="105"/>
        </w:rPr>
        <w:t>a</w:t>
      </w:r>
      <w:r>
        <w:rPr>
          <w:color w:val="231F20"/>
          <w:spacing w:val="-7"/>
          <w:w w:val="105"/>
        </w:rPr>
        <w:t> </w:t>
      </w:r>
      <w:r>
        <w:rPr>
          <w:color w:val="231F20"/>
          <w:spacing w:val="-2"/>
          <w:w w:val="105"/>
        </w:rPr>
        <w:t>loss</w:t>
      </w:r>
      <w:r>
        <w:rPr>
          <w:color w:val="231F20"/>
          <w:spacing w:val="-7"/>
          <w:w w:val="105"/>
        </w:rPr>
        <w:t> </w:t>
      </w:r>
      <w:r>
        <w:rPr>
          <w:color w:val="231F20"/>
          <w:spacing w:val="-2"/>
          <w:w w:val="105"/>
        </w:rPr>
        <w:t>of</w:t>
      </w:r>
      <w:r>
        <w:rPr>
          <w:color w:val="231F20"/>
          <w:spacing w:val="-7"/>
          <w:w w:val="105"/>
        </w:rPr>
        <w:t> </w:t>
      </w:r>
      <w:r>
        <w:rPr>
          <w:color w:val="231F20"/>
          <w:spacing w:val="-2"/>
          <w:w w:val="105"/>
        </w:rPr>
        <w:t>love</w:t>
      </w:r>
      <w:r>
        <w:rPr>
          <w:color w:val="231F20"/>
          <w:spacing w:val="-7"/>
          <w:w w:val="105"/>
        </w:rPr>
        <w:t> </w:t>
      </w:r>
      <w:r>
        <w:rPr>
          <w:color w:val="231F20"/>
          <w:spacing w:val="-2"/>
          <w:w w:val="105"/>
        </w:rPr>
        <w:t>and</w:t>
      </w:r>
      <w:r>
        <w:rPr>
          <w:color w:val="231F20"/>
          <w:spacing w:val="-7"/>
          <w:w w:val="105"/>
        </w:rPr>
        <w:t> </w:t>
      </w:r>
      <w:r>
        <w:rPr>
          <w:color w:val="231F20"/>
          <w:spacing w:val="-2"/>
          <w:w w:val="105"/>
        </w:rPr>
        <w:t>group</w:t>
      </w:r>
      <w:r>
        <w:rPr>
          <w:color w:val="231F20"/>
          <w:spacing w:val="-7"/>
          <w:w w:val="105"/>
        </w:rPr>
        <w:t> </w:t>
      </w:r>
      <w:r>
        <w:rPr>
          <w:color w:val="231F20"/>
          <w:spacing w:val="-2"/>
          <w:w w:val="105"/>
        </w:rPr>
        <w:t>acceptance.</w:t>
      </w:r>
      <w:r>
        <w:rPr>
          <w:color w:val="231F20"/>
          <w:spacing w:val="-7"/>
          <w:w w:val="105"/>
        </w:rPr>
        <w:t> </w:t>
      </w:r>
      <w:r>
        <w:rPr>
          <w:color w:val="231F20"/>
          <w:spacing w:val="-2"/>
          <w:w w:val="105"/>
        </w:rPr>
        <w:t>You</w:t>
      </w:r>
      <w:r>
        <w:rPr>
          <w:color w:val="231F20"/>
          <w:spacing w:val="-7"/>
          <w:w w:val="105"/>
        </w:rPr>
        <w:t> </w:t>
      </w:r>
      <w:r>
        <w:rPr>
          <w:color w:val="231F20"/>
          <w:spacing w:val="-2"/>
          <w:w w:val="105"/>
        </w:rPr>
        <w:t>need</w:t>
      </w:r>
      <w:r>
        <w:rPr>
          <w:color w:val="231F20"/>
          <w:spacing w:val="-7"/>
          <w:w w:val="105"/>
        </w:rPr>
        <w:t> </w:t>
      </w:r>
      <w:r>
        <w:rPr>
          <w:color w:val="231F20"/>
          <w:spacing w:val="-2"/>
          <w:w w:val="105"/>
        </w:rPr>
        <w:t>to </w:t>
      </w:r>
      <w:r>
        <w:rPr>
          <w:color w:val="231F20"/>
          <w:w w:val="105"/>
        </w:rPr>
        <w:t>ask</w:t>
      </w:r>
      <w:r>
        <w:rPr>
          <w:color w:val="231F20"/>
          <w:w w:val="105"/>
        </w:rPr>
        <w:t> yourself,</w:t>
      </w:r>
      <w:r>
        <w:rPr>
          <w:color w:val="231F20"/>
          <w:w w:val="105"/>
        </w:rPr>
        <w:t> “How</w:t>
      </w:r>
      <w:r>
        <w:rPr>
          <w:color w:val="231F20"/>
          <w:w w:val="105"/>
        </w:rPr>
        <w:t> do</w:t>
      </w:r>
      <w:r>
        <w:rPr>
          <w:color w:val="231F20"/>
          <w:w w:val="105"/>
        </w:rPr>
        <w:t> consumers</w:t>
      </w:r>
      <w:r>
        <w:rPr>
          <w:color w:val="231F20"/>
          <w:w w:val="105"/>
        </w:rPr>
        <w:t> become</w:t>
      </w:r>
      <w:r>
        <w:rPr>
          <w:color w:val="231F20"/>
          <w:w w:val="105"/>
        </w:rPr>
        <w:t> aware</w:t>
      </w:r>
      <w:r>
        <w:rPr>
          <w:color w:val="231F20"/>
          <w:w w:val="105"/>
        </w:rPr>
        <w:t> of</w:t>
      </w:r>
      <w:r>
        <w:rPr>
          <w:color w:val="231F20"/>
          <w:w w:val="105"/>
        </w:rPr>
        <w:t> my</w:t>
      </w:r>
      <w:r>
        <w:rPr>
          <w:color w:val="231F20"/>
          <w:w w:val="105"/>
        </w:rPr>
        <w:t> product?” “Where are my targets likely to be exposed to my message?”</w:t>
      </w:r>
    </w:p>
    <w:p>
      <w:pPr>
        <w:pStyle w:val="BodyText"/>
        <w:spacing w:line="292" w:lineRule="auto"/>
        <w:ind w:left="829" w:right="756" w:firstLine="340"/>
        <w:jc w:val="both"/>
      </w:pPr>
      <w:r>
        <w:rPr>
          <w:rFonts w:ascii="Arial" w:hAnsi="Arial"/>
          <w:color w:val="231F20"/>
          <w:sz w:val="18"/>
        </w:rPr>
        <w:t>Information</w:t>
      </w:r>
      <w:r>
        <w:rPr>
          <w:rFonts w:ascii="Arial" w:hAnsi="Arial"/>
          <w:color w:val="231F20"/>
          <w:spacing w:val="40"/>
          <w:sz w:val="18"/>
        </w:rPr>
        <w:t> </w:t>
      </w:r>
      <w:r>
        <w:rPr>
          <w:rFonts w:ascii="Arial" w:hAnsi="Arial"/>
          <w:color w:val="231F20"/>
          <w:sz w:val="18"/>
        </w:rPr>
        <w:t>Search.</w:t>
      </w:r>
      <w:r>
        <w:rPr>
          <w:rFonts w:ascii="Arial" w:hAnsi="Arial"/>
          <w:color w:val="231F20"/>
          <w:spacing w:val="40"/>
          <w:sz w:val="18"/>
        </w:rPr>
        <w:t> </w:t>
      </w:r>
      <w:r>
        <w:rPr>
          <w:color w:val="231F20"/>
        </w:rPr>
        <w:t>“Sounds</w:t>
      </w:r>
      <w:r>
        <w:rPr>
          <w:color w:val="231F20"/>
          <w:spacing w:val="40"/>
        </w:rPr>
        <w:t> </w:t>
      </w:r>
      <w:r>
        <w:rPr>
          <w:color w:val="231F20"/>
        </w:rPr>
        <w:t>good,</w:t>
      </w:r>
      <w:r>
        <w:rPr>
          <w:color w:val="231F20"/>
          <w:spacing w:val="40"/>
        </w:rPr>
        <w:t> </w:t>
      </w:r>
      <w:r>
        <w:rPr>
          <w:color w:val="231F20"/>
        </w:rPr>
        <w:t>let</w:t>
      </w:r>
      <w:r>
        <w:rPr>
          <w:color w:val="231F20"/>
          <w:spacing w:val="40"/>
        </w:rPr>
        <w:t> </w:t>
      </w:r>
      <w:r>
        <w:rPr>
          <w:color w:val="231F20"/>
        </w:rPr>
        <w:t>me</w:t>
      </w:r>
      <w:r>
        <w:rPr>
          <w:color w:val="231F20"/>
          <w:spacing w:val="40"/>
        </w:rPr>
        <w:t> </w:t>
      </w:r>
      <w:r>
        <w:rPr>
          <w:color w:val="231F20"/>
        </w:rPr>
        <w:t>find</w:t>
      </w:r>
      <w:r>
        <w:rPr>
          <w:color w:val="231F20"/>
          <w:spacing w:val="40"/>
        </w:rPr>
        <w:t> </w:t>
      </w:r>
      <w:r>
        <w:rPr>
          <w:color w:val="231F20"/>
        </w:rPr>
        <w:t>out</w:t>
      </w:r>
      <w:r>
        <w:rPr>
          <w:color w:val="231F20"/>
          <w:spacing w:val="40"/>
        </w:rPr>
        <w:t> </w:t>
      </w:r>
      <w:r>
        <w:rPr>
          <w:color w:val="231F20"/>
        </w:rPr>
        <w:t>more</w:t>
      </w:r>
      <w:r>
        <w:rPr>
          <w:color w:val="231F20"/>
          <w:spacing w:val="40"/>
        </w:rPr>
        <w:t> </w:t>
      </w:r>
      <w:r>
        <w:rPr>
          <w:color w:val="231F20"/>
        </w:rPr>
        <w:t>about it.” People involved in purchase decisions are confronted with </w:t>
      </w:r>
      <w:r>
        <w:rPr>
          <w:color w:val="231F20"/>
        </w:rPr>
        <w:t>infor- mation from a variety of sources: </w:t>
      </w:r>
      <w:r>
        <w:rPr>
          <w:i/>
          <w:color w:val="231F20"/>
        </w:rPr>
        <w:t>Consumer Reports, </w:t>
      </w:r>
      <w:r>
        <w:rPr>
          <w:color w:val="231F20"/>
        </w:rPr>
        <w:t>salespeople, specialty magazines, family, friends, and local experts. As a market- ing manager, you want your target market to get as much favorable information as possible about your product when and where buyers make their buying decisions. For example, store displays play that role at the </w:t>
      </w:r>
      <w:r>
        <w:rPr>
          <w:i/>
          <w:color w:val="231F20"/>
        </w:rPr>
        <w:t>point of purchase </w:t>
      </w:r>
      <w:r>
        <w:rPr>
          <w:color w:val="231F20"/>
        </w:rPr>
        <w:t>(POP). Cover Girl Cosmetics has a dis- play</w:t>
      </w:r>
      <w:r>
        <w:rPr>
          <w:color w:val="231F20"/>
          <w:spacing w:val="-2"/>
        </w:rPr>
        <w:t> </w:t>
      </w:r>
      <w:r>
        <w:rPr>
          <w:color w:val="231F20"/>
        </w:rPr>
        <w:t>in</w:t>
      </w:r>
      <w:r>
        <w:rPr>
          <w:color w:val="231F20"/>
          <w:spacing w:val="-2"/>
        </w:rPr>
        <w:t> </w:t>
      </w:r>
      <w:r>
        <w:rPr>
          <w:color w:val="231F20"/>
        </w:rPr>
        <w:t>drugstores</w:t>
      </w:r>
      <w:r>
        <w:rPr>
          <w:color w:val="231F20"/>
          <w:spacing w:val="-2"/>
        </w:rPr>
        <w:t> </w:t>
      </w:r>
      <w:r>
        <w:rPr>
          <w:color w:val="231F20"/>
        </w:rPr>
        <w:t>to</w:t>
      </w:r>
      <w:r>
        <w:rPr>
          <w:color w:val="231F20"/>
          <w:spacing w:val="-2"/>
        </w:rPr>
        <w:t> </w:t>
      </w:r>
      <w:r>
        <w:rPr>
          <w:color w:val="231F20"/>
        </w:rPr>
        <w:t>help</w:t>
      </w:r>
      <w:r>
        <w:rPr>
          <w:color w:val="231F20"/>
          <w:spacing w:val="-2"/>
        </w:rPr>
        <w:t> </w:t>
      </w:r>
      <w:r>
        <w:rPr>
          <w:color w:val="231F20"/>
        </w:rPr>
        <w:t>buyers</w:t>
      </w:r>
      <w:r>
        <w:rPr>
          <w:color w:val="231F20"/>
          <w:spacing w:val="-2"/>
        </w:rPr>
        <w:t> </w:t>
      </w:r>
      <w:r>
        <w:rPr>
          <w:color w:val="231F20"/>
        </w:rPr>
        <w:t>select</w:t>
      </w:r>
      <w:r>
        <w:rPr>
          <w:color w:val="231F20"/>
          <w:spacing w:val="-2"/>
        </w:rPr>
        <w:t> </w:t>
      </w:r>
      <w:r>
        <w:rPr>
          <w:color w:val="231F20"/>
        </w:rPr>
        <w:t>colors.</w:t>
      </w:r>
      <w:r>
        <w:rPr>
          <w:color w:val="231F20"/>
          <w:spacing w:val="-2"/>
        </w:rPr>
        <w:t> </w:t>
      </w:r>
      <w:r>
        <w:rPr>
          <w:color w:val="231F20"/>
        </w:rPr>
        <w:t>For</w:t>
      </w:r>
      <w:r>
        <w:rPr>
          <w:color w:val="231F20"/>
          <w:spacing w:val="-2"/>
        </w:rPr>
        <w:t> </w:t>
      </w:r>
      <w:r>
        <w:rPr>
          <w:color w:val="231F20"/>
        </w:rPr>
        <w:t>the</w:t>
      </w:r>
      <w:r>
        <w:rPr>
          <w:color w:val="231F20"/>
          <w:spacing w:val="-2"/>
        </w:rPr>
        <w:t> </w:t>
      </w:r>
      <w:r>
        <w:rPr>
          <w:color w:val="231F20"/>
        </w:rPr>
        <w:t>same</w:t>
      </w:r>
      <w:r>
        <w:rPr>
          <w:color w:val="231F20"/>
          <w:spacing w:val="-2"/>
        </w:rPr>
        <w:t> </w:t>
      </w:r>
      <w:r>
        <w:rPr>
          <w:color w:val="231F20"/>
        </w:rPr>
        <w:t>purpose, Estée Lauder has its Clinique ladies in department stores to do its </w:t>
      </w:r>
      <w:r>
        <w:rPr>
          <w:color w:val="231F20"/>
          <w:spacing w:val="-2"/>
        </w:rPr>
        <w:t>talking.</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19" w:right="666" w:firstLine="340"/>
        <w:jc w:val="both"/>
      </w:pPr>
      <w:r>
        <w:rPr>
          <w:rFonts w:ascii="Arial"/>
          <w:color w:val="231F20"/>
          <w:sz w:val="18"/>
        </w:rPr>
        <w:t>Evaluate the Alternatives. </w:t>
      </w:r>
      <w:r>
        <w:rPr>
          <w:color w:val="231F20"/>
        </w:rPr>
        <w:t>Which one is best for me? This includes not only products within a category, but substitutes as well. </w:t>
      </w:r>
      <w:r>
        <w:rPr>
          <w:color w:val="231F20"/>
        </w:rPr>
        <w:t>When confronted with the high prices of automobiles, a college student</w:t>
      </w:r>
      <w:r>
        <w:rPr>
          <w:color w:val="231F20"/>
          <w:spacing w:val="40"/>
        </w:rPr>
        <w:t> </w:t>
      </w:r>
      <w:r>
        <w:rPr>
          <w:color w:val="231F20"/>
        </w:rPr>
        <w:t>may end up buying a motorcycle, a moped, or a bicycle. Depending</w:t>
      </w:r>
      <w:r>
        <w:rPr>
          <w:color w:val="231F20"/>
          <w:spacing w:val="80"/>
        </w:rPr>
        <w:t> </w:t>
      </w:r>
      <w:r>
        <w:rPr>
          <w:color w:val="231F20"/>
        </w:rPr>
        <w:t>on the importance of the product, consumers may seek additional information and advice. Car purchases often include a trip to the</w:t>
      </w:r>
      <w:r>
        <w:rPr>
          <w:color w:val="231F20"/>
          <w:spacing w:val="80"/>
        </w:rPr>
        <w:t> </w:t>
      </w:r>
      <w:r>
        <w:rPr>
          <w:color w:val="231F20"/>
        </w:rPr>
        <w:t>local mechanic or the neighborhood car buff. Placing positive infor- mation where your buyers are likely to look is one key to marketing </w:t>
      </w:r>
      <w:r>
        <w:rPr>
          <w:color w:val="231F20"/>
          <w:spacing w:val="-2"/>
        </w:rPr>
        <w:t>success.</w:t>
      </w:r>
    </w:p>
    <w:p>
      <w:pPr>
        <w:pStyle w:val="BodyText"/>
        <w:spacing w:line="292" w:lineRule="auto"/>
        <w:ind w:left="919" w:right="663" w:firstLine="340"/>
        <w:jc w:val="both"/>
      </w:pPr>
      <w:r>
        <w:rPr>
          <w:color w:val="231F20"/>
        </w:rPr>
        <w:t>At this stage of the buying process the marketing manager would like to identify the </w:t>
      </w:r>
      <w:r>
        <w:rPr>
          <w:i/>
          <w:color w:val="231F20"/>
        </w:rPr>
        <w:t>influencers </w:t>
      </w:r>
      <w:r>
        <w:rPr>
          <w:color w:val="231F20"/>
        </w:rPr>
        <w:t>of his target’s buying behavior. In the golf industry the club pro is a key influencer in the equipment-</w:t>
      </w:r>
      <w:r>
        <w:rPr>
          <w:color w:val="231F20"/>
          <w:spacing w:val="40"/>
        </w:rPr>
        <w:t> </w:t>
      </w:r>
      <w:r>
        <w:rPr>
          <w:color w:val="231F20"/>
        </w:rPr>
        <w:t>buying decision of golfers. If you can sell the pro, you can sell to the club’s members.</w:t>
      </w:r>
    </w:p>
    <w:p>
      <w:pPr>
        <w:pStyle w:val="BodyText"/>
        <w:spacing w:line="292" w:lineRule="auto"/>
        <w:ind w:left="919" w:right="666" w:firstLine="340"/>
        <w:jc w:val="both"/>
      </w:pPr>
      <w:r>
        <w:rPr>
          <w:color w:val="231F20"/>
        </w:rPr>
        <w:t>Distribution is also crucial at the evaluation stage of the buying process. If a product is not readily available, a comparable </w:t>
      </w:r>
      <w:r>
        <w:rPr>
          <w:color w:val="231F20"/>
        </w:rPr>
        <w:t>substitute may be chosen just for convenience or immediacy of need. Coca- Cola’s and Pepsi’s wide distribution makes it tough for any new cola competitor to ever be any more than a fringe brand. Even if you</w:t>
      </w:r>
      <w:r>
        <w:rPr>
          <w:color w:val="231F20"/>
          <w:spacing w:val="80"/>
        </w:rPr>
        <w:t> </w:t>
      </w:r>
      <w:r>
        <w:rPr>
          <w:color w:val="231F20"/>
        </w:rPr>
        <w:t>crave Dr. Brown’s creme soda, you will probably accept a Coke or a Pepsi when you’re thirsty at the beach.</w:t>
      </w:r>
    </w:p>
    <w:p>
      <w:pPr>
        <w:pStyle w:val="BodyText"/>
        <w:spacing w:line="292" w:lineRule="auto"/>
        <w:ind w:left="919" w:right="663" w:firstLine="340"/>
        <w:jc w:val="both"/>
      </w:pPr>
      <w:r>
        <w:rPr>
          <w:rFonts w:ascii="Arial" w:hAnsi="Arial"/>
          <w:color w:val="231F20"/>
          <w:sz w:val="18"/>
        </w:rPr>
        <w:t>The Purchase Decision. </w:t>
      </w:r>
      <w:r>
        <w:rPr>
          <w:color w:val="231F20"/>
        </w:rPr>
        <w:t>This is the big sale. Even though the deci- sion to buy could be yes, in certain instances the first purchase is</w:t>
      </w:r>
      <w:r>
        <w:rPr>
          <w:color w:val="231F20"/>
          <w:spacing w:val="40"/>
        </w:rPr>
        <w:t> </w:t>
      </w:r>
      <w:r>
        <w:rPr>
          <w:color w:val="231F20"/>
        </w:rPr>
        <w:t>only</w:t>
      </w:r>
      <w:r>
        <w:rPr>
          <w:color w:val="231F20"/>
          <w:spacing w:val="40"/>
        </w:rPr>
        <w:t> </w:t>
      </w:r>
      <w:r>
        <w:rPr>
          <w:color w:val="231F20"/>
        </w:rPr>
        <w:t>a</w:t>
      </w:r>
      <w:r>
        <w:rPr>
          <w:color w:val="231F20"/>
          <w:spacing w:val="40"/>
        </w:rPr>
        <w:t> </w:t>
      </w:r>
      <w:r>
        <w:rPr>
          <w:i/>
          <w:color w:val="231F20"/>
        </w:rPr>
        <w:t>trial.</w:t>
      </w:r>
      <w:r>
        <w:rPr>
          <w:i/>
          <w:color w:val="231F20"/>
          <w:spacing w:val="40"/>
        </w:rPr>
        <w:t> </w:t>
      </w:r>
      <w:r>
        <w:rPr>
          <w:i/>
          <w:color w:val="231F20"/>
        </w:rPr>
        <w:t>Adoption</w:t>
      </w:r>
      <w:r>
        <w:rPr>
          <w:i/>
          <w:color w:val="231F20"/>
          <w:spacing w:val="40"/>
        </w:rPr>
        <w:t> </w:t>
      </w:r>
      <w:r>
        <w:rPr>
          <w:color w:val="231F20"/>
        </w:rPr>
        <w:t>of</w:t>
      </w:r>
      <w:r>
        <w:rPr>
          <w:color w:val="231F20"/>
          <w:spacing w:val="40"/>
        </w:rPr>
        <w:t> </w:t>
      </w:r>
      <w:r>
        <w:rPr>
          <w:color w:val="231F20"/>
        </w:rPr>
        <w:t>“new</w:t>
      </w:r>
      <w:r>
        <w:rPr>
          <w:color w:val="231F20"/>
          <w:spacing w:val="40"/>
        </w:rPr>
        <w:t> </w:t>
      </w:r>
      <w:r>
        <w:rPr>
          <w:color w:val="231F20"/>
        </w:rPr>
        <w:t>and</w:t>
      </w:r>
      <w:r>
        <w:rPr>
          <w:color w:val="231F20"/>
          <w:spacing w:val="40"/>
        </w:rPr>
        <w:t> </w:t>
      </w:r>
      <w:r>
        <w:rPr>
          <w:color w:val="231F20"/>
        </w:rPr>
        <w:t>improved”</w:t>
      </w:r>
      <w:r>
        <w:rPr>
          <w:color w:val="231F20"/>
          <w:spacing w:val="40"/>
        </w:rPr>
        <w:t> </w:t>
      </w:r>
      <w:r>
        <w:rPr>
          <w:color w:val="231F20"/>
        </w:rPr>
        <w:t>Bounty</w:t>
      </w:r>
      <w:r>
        <w:rPr>
          <w:color w:val="231F20"/>
          <w:spacing w:val="40"/>
        </w:rPr>
        <w:t> </w:t>
      </w:r>
      <w:r>
        <w:rPr>
          <w:color w:val="231F20"/>
        </w:rPr>
        <w:t>paper</w:t>
      </w:r>
      <w:r>
        <w:rPr>
          <w:color w:val="231F20"/>
          <w:spacing w:val="40"/>
        </w:rPr>
        <w:t> </w:t>
      </w:r>
      <w:r>
        <w:rPr>
          <w:color w:val="231F20"/>
        </w:rPr>
        <w:t>tow- els as your regular brand occurs only after a successful test with those tough spills. With many big-ticket items, such as ocean cruises and appliances, a trial is not possible. In those instances the deci-</w:t>
      </w:r>
      <w:r>
        <w:rPr>
          <w:color w:val="231F20"/>
          <w:spacing w:val="40"/>
        </w:rPr>
        <w:t> </w:t>
      </w:r>
      <w:r>
        <w:rPr>
          <w:color w:val="231F20"/>
        </w:rPr>
        <w:t>sion process is more time-consuming and difficult to make </w:t>
      </w:r>
      <w:r>
        <w:rPr>
          <w:color w:val="231F20"/>
        </w:rPr>
        <w:t>because there is more risk involved. It is very important for the marketer to understand risk. Through the use of a number of marketing tools, such as advertising, knowledgeable salespeople, warranties, and printed</w:t>
      </w:r>
      <w:r>
        <w:rPr>
          <w:color w:val="231F20"/>
          <w:spacing w:val="-2"/>
        </w:rPr>
        <w:t> </w:t>
      </w:r>
      <w:r>
        <w:rPr>
          <w:color w:val="231F20"/>
        </w:rPr>
        <w:t>materials,</w:t>
      </w:r>
      <w:r>
        <w:rPr>
          <w:color w:val="231F20"/>
          <w:spacing w:val="-2"/>
        </w:rPr>
        <w:t> </w:t>
      </w:r>
      <w:r>
        <w:rPr>
          <w:color w:val="231F20"/>
        </w:rPr>
        <w:t>purchase</w:t>
      </w:r>
      <w:r>
        <w:rPr>
          <w:color w:val="231F20"/>
          <w:spacing w:val="-2"/>
        </w:rPr>
        <w:t> </w:t>
      </w:r>
      <w:r>
        <w:rPr>
          <w:color w:val="231F20"/>
        </w:rPr>
        <w:t>risk</w:t>
      </w:r>
      <w:r>
        <w:rPr>
          <w:color w:val="231F20"/>
          <w:spacing w:val="-2"/>
        </w:rPr>
        <w:t> </w:t>
      </w:r>
      <w:r>
        <w:rPr>
          <w:color w:val="231F20"/>
        </w:rPr>
        <w:t>can</w:t>
      </w:r>
      <w:r>
        <w:rPr>
          <w:color w:val="231F20"/>
          <w:spacing w:val="-2"/>
        </w:rPr>
        <w:t> </w:t>
      </w:r>
      <w:r>
        <w:rPr>
          <w:color w:val="231F20"/>
        </w:rPr>
        <w:t>be</w:t>
      </w:r>
      <w:r>
        <w:rPr>
          <w:color w:val="231F20"/>
          <w:spacing w:val="-2"/>
        </w:rPr>
        <w:t> </w:t>
      </w:r>
      <w:r>
        <w:rPr>
          <w:color w:val="231F20"/>
        </w:rPr>
        <w:t>reduced</w:t>
      </w:r>
      <w:r>
        <w:rPr>
          <w:color w:val="231F20"/>
          <w:spacing w:val="-2"/>
        </w:rPr>
        <w:t> </w:t>
      </w:r>
      <w:r>
        <w:rPr>
          <w:color w:val="231F20"/>
        </w:rPr>
        <w:t>by</w:t>
      </w:r>
      <w:r>
        <w:rPr>
          <w:color w:val="231F20"/>
          <w:spacing w:val="-2"/>
        </w:rPr>
        <w:t> </w:t>
      </w:r>
      <w:r>
        <w:rPr>
          <w:color w:val="231F20"/>
        </w:rPr>
        <w:t>offering</w:t>
      </w:r>
      <w:r>
        <w:rPr>
          <w:color w:val="231F20"/>
          <w:spacing w:val="-2"/>
        </w:rPr>
        <w:t> </w:t>
      </w:r>
      <w:r>
        <w:rPr>
          <w:color w:val="231F20"/>
        </w:rPr>
        <w:t>the</w:t>
      </w:r>
      <w:r>
        <w:rPr>
          <w:color w:val="231F20"/>
          <w:spacing w:val="-2"/>
        </w:rPr>
        <w:t> </w:t>
      </w:r>
      <w:r>
        <w:rPr>
          <w:color w:val="231F20"/>
        </w:rPr>
        <w:t>buyer information explaining what level of performance he or she can ex- pect, as well as providing a basis of comparison with competing </w:t>
      </w:r>
      <w:r>
        <w:rPr>
          <w:color w:val="231F20"/>
          <w:spacing w:val="-2"/>
        </w:rPr>
        <w:t>products.</w:t>
      </w:r>
    </w:p>
    <w:p>
      <w:pPr>
        <w:pStyle w:val="BodyText"/>
        <w:spacing w:line="241" w:lineRule="exact"/>
        <w:ind w:left="1260"/>
        <w:jc w:val="both"/>
      </w:pPr>
      <w:r>
        <w:rPr>
          <w:rFonts w:ascii="Arial"/>
          <w:color w:val="231F20"/>
          <w:sz w:val="18"/>
        </w:rPr>
        <w:t>Evaluate.</w:t>
      </w:r>
      <w:r>
        <w:rPr>
          <w:rFonts w:ascii="Arial"/>
          <w:color w:val="231F20"/>
          <w:spacing w:val="35"/>
          <w:sz w:val="18"/>
        </w:rPr>
        <w:t> </w:t>
      </w:r>
      <w:r>
        <w:rPr>
          <w:color w:val="231F20"/>
        </w:rPr>
        <w:t>(Postpurchase</w:t>
      </w:r>
      <w:r>
        <w:rPr>
          <w:color w:val="231F20"/>
          <w:spacing w:val="39"/>
        </w:rPr>
        <w:t> </w:t>
      </w:r>
      <w:r>
        <w:rPr>
          <w:color w:val="231F20"/>
        </w:rPr>
        <w:t>Behavior).</w:t>
      </w:r>
      <w:r>
        <w:rPr>
          <w:color w:val="231F20"/>
          <w:spacing w:val="38"/>
        </w:rPr>
        <w:t> </w:t>
      </w:r>
      <w:r>
        <w:rPr>
          <w:color w:val="231F20"/>
        </w:rPr>
        <w:t>Did</w:t>
      </w:r>
      <w:r>
        <w:rPr>
          <w:color w:val="231F20"/>
          <w:spacing w:val="38"/>
        </w:rPr>
        <w:t> </w:t>
      </w:r>
      <w:r>
        <w:rPr>
          <w:color w:val="231F20"/>
        </w:rPr>
        <w:t>I</w:t>
      </w:r>
      <w:r>
        <w:rPr>
          <w:color w:val="231F20"/>
          <w:spacing w:val="39"/>
        </w:rPr>
        <w:t> </w:t>
      </w:r>
      <w:r>
        <w:rPr>
          <w:color w:val="231F20"/>
        </w:rPr>
        <w:t>make</w:t>
      </w:r>
      <w:r>
        <w:rPr>
          <w:color w:val="231F20"/>
          <w:spacing w:val="38"/>
        </w:rPr>
        <w:t> </w:t>
      </w:r>
      <w:r>
        <w:rPr>
          <w:color w:val="231F20"/>
        </w:rPr>
        <w:t>a</w:t>
      </w:r>
      <w:r>
        <w:rPr>
          <w:color w:val="231F20"/>
          <w:spacing w:val="39"/>
        </w:rPr>
        <w:t> </w:t>
      </w:r>
      <w:r>
        <w:rPr>
          <w:color w:val="231F20"/>
        </w:rPr>
        <w:t>mistake?</w:t>
      </w:r>
      <w:r>
        <w:rPr>
          <w:color w:val="231F20"/>
          <w:spacing w:val="38"/>
        </w:rPr>
        <w:t> </w:t>
      </w:r>
      <w:r>
        <w:rPr>
          <w:color w:val="231F20"/>
          <w:spacing w:val="-4"/>
        </w:rPr>
        <w:t>This</w:t>
      </w:r>
    </w:p>
    <w:p>
      <w:pPr>
        <w:spacing w:after="0" w:line="241" w:lineRule="exact"/>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3"/>
        <w:jc w:val="both"/>
      </w:pPr>
      <w:r>
        <w:rPr>
          <w:color w:val="231F20"/>
        </w:rPr>
        <w:t>conclusion can be reached either on a physical level by testing the product’s efficacy or on a psychological level by checking for peer approval.</w:t>
      </w:r>
      <w:r>
        <w:rPr>
          <w:color w:val="231F20"/>
          <w:spacing w:val="40"/>
        </w:rPr>
        <w:t> </w:t>
      </w:r>
      <w:r>
        <w:rPr>
          <w:i/>
          <w:color w:val="231F20"/>
        </w:rPr>
        <w:t>Buyer’s</w:t>
      </w:r>
      <w:r>
        <w:rPr>
          <w:i/>
          <w:color w:val="231F20"/>
          <w:spacing w:val="40"/>
        </w:rPr>
        <w:t> </w:t>
      </w:r>
      <w:r>
        <w:rPr>
          <w:i/>
          <w:color w:val="231F20"/>
        </w:rPr>
        <w:t>remorse</w:t>
      </w:r>
      <w:r>
        <w:rPr>
          <w:i/>
          <w:color w:val="231F20"/>
          <w:spacing w:val="40"/>
        </w:rPr>
        <w:t> </w:t>
      </w:r>
      <w:r>
        <w:rPr>
          <w:color w:val="231F20"/>
        </w:rPr>
        <w:t>and</w:t>
      </w:r>
      <w:r>
        <w:rPr>
          <w:color w:val="231F20"/>
          <w:spacing w:val="40"/>
        </w:rPr>
        <w:t> </w:t>
      </w:r>
      <w:r>
        <w:rPr>
          <w:i/>
          <w:color w:val="231F20"/>
        </w:rPr>
        <w:t>postpurchase</w:t>
      </w:r>
      <w:r>
        <w:rPr>
          <w:i/>
          <w:color w:val="231F20"/>
          <w:spacing w:val="40"/>
        </w:rPr>
        <w:t> </w:t>
      </w:r>
      <w:r>
        <w:rPr>
          <w:i/>
          <w:color w:val="231F20"/>
        </w:rPr>
        <w:t>dissonance</w:t>
      </w:r>
      <w:r>
        <w:rPr>
          <w:i/>
          <w:color w:val="231F20"/>
          <w:spacing w:val="40"/>
        </w:rPr>
        <w:t> </w:t>
      </w:r>
      <w:r>
        <w:rPr>
          <w:color w:val="231F20"/>
        </w:rPr>
        <w:t>are</w:t>
      </w:r>
      <w:r>
        <w:rPr>
          <w:color w:val="231F20"/>
          <w:spacing w:val="40"/>
        </w:rPr>
        <w:t> </w:t>
      </w:r>
      <w:r>
        <w:rPr>
          <w:color w:val="231F20"/>
        </w:rPr>
        <w:t>terms to describe the period of confusion that often follows a purchase. Automobile advertising, for example, is not only targeted at </w:t>
      </w:r>
      <w:r>
        <w:rPr>
          <w:color w:val="231F20"/>
        </w:rPr>
        <w:t>poten- tial buyers, but also at recent buyers to reassure them that they</w:t>
      </w:r>
      <w:r>
        <w:rPr>
          <w:color w:val="231F20"/>
          <w:spacing w:val="40"/>
        </w:rPr>
        <w:t> </w:t>
      </w:r>
      <w:r>
        <w:rPr>
          <w:color w:val="231F20"/>
        </w:rPr>
        <w:t>didn’t screw up when they bought a Dodge Caravan minivan instead of a Honda Odyssey.</w:t>
      </w:r>
    </w:p>
    <w:p>
      <w:pPr>
        <w:pStyle w:val="BodyText"/>
        <w:spacing w:line="292" w:lineRule="auto"/>
        <w:ind w:left="830" w:right="756" w:firstLine="340"/>
        <w:jc w:val="both"/>
      </w:pPr>
      <w:r>
        <w:rPr>
          <w:color w:val="231F20"/>
        </w:rPr>
        <w:t>In trying to understand the buying process, the first sparks of </w:t>
      </w:r>
      <w:r>
        <w:rPr>
          <w:color w:val="231F20"/>
        </w:rPr>
        <w:t>a marketing plan can be ignited into a tentative idea about advertising or promotion (to be considered later in Step 5 of the strategy devel- opment process).</w:t>
      </w:r>
    </w:p>
    <w:p>
      <w:pPr>
        <w:pStyle w:val="BodyText"/>
        <w:spacing w:before="2"/>
        <w:rPr>
          <w:sz w:val="25"/>
        </w:rPr>
      </w:pPr>
    </w:p>
    <w:p>
      <w:pPr>
        <w:pStyle w:val="BodyText"/>
        <w:spacing w:line="292" w:lineRule="auto"/>
        <w:ind w:left="829" w:right="748"/>
        <w:jc w:val="both"/>
      </w:pPr>
      <w:r>
        <w:rPr>
          <w:i/>
          <w:color w:val="231F20"/>
        </w:rPr>
        <w:t>Research</w:t>
      </w:r>
      <w:r>
        <w:rPr>
          <w:i/>
          <w:color w:val="231F20"/>
          <w:spacing w:val="80"/>
        </w:rPr>
        <w:t> </w:t>
      </w:r>
      <w:r>
        <w:rPr>
          <w:i/>
          <w:color w:val="231F20"/>
        </w:rPr>
        <w:t>Can</w:t>
      </w:r>
      <w:r>
        <w:rPr>
          <w:i/>
          <w:color w:val="231F20"/>
          <w:spacing w:val="80"/>
        </w:rPr>
        <w:t> </w:t>
      </w:r>
      <w:r>
        <w:rPr>
          <w:i/>
          <w:color w:val="231F20"/>
        </w:rPr>
        <w:t>Help</w:t>
      </w:r>
      <w:r>
        <w:rPr>
          <w:i/>
          <w:color w:val="231F20"/>
          <w:spacing w:val="80"/>
        </w:rPr>
        <w:t> </w:t>
      </w:r>
      <w:r>
        <w:rPr>
          <w:i/>
          <w:color w:val="231F20"/>
        </w:rPr>
        <w:t>to</w:t>
      </w:r>
      <w:r>
        <w:rPr>
          <w:i/>
          <w:color w:val="231F20"/>
          <w:spacing w:val="80"/>
        </w:rPr>
        <w:t> </w:t>
      </w:r>
      <w:r>
        <w:rPr>
          <w:i/>
          <w:color w:val="231F20"/>
        </w:rPr>
        <w:t>Understand</w:t>
      </w:r>
      <w:r>
        <w:rPr>
          <w:i/>
          <w:color w:val="231F20"/>
          <w:spacing w:val="80"/>
        </w:rPr>
        <w:t> </w:t>
      </w:r>
      <w:r>
        <w:rPr>
          <w:i/>
          <w:color w:val="231F20"/>
        </w:rPr>
        <w:t>the</w:t>
      </w:r>
      <w:r>
        <w:rPr>
          <w:i/>
          <w:color w:val="231F20"/>
          <w:spacing w:val="80"/>
        </w:rPr>
        <w:t> </w:t>
      </w:r>
      <w:r>
        <w:rPr>
          <w:i/>
          <w:color w:val="231F20"/>
        </w:rPr>
        <w:t>Buying</w:t>
      </w:r>
      <w:r>
        <w:rPr>
          <w:i/>
          <w:color w:val="231F20"/>
          <w:spacing w:val="80"/>
        </w:rPr>
        <w:t> </w:t>
      </w:r>
      <w:r>
        <w:rPr>
          <w:i/>
          <w:color w:val="231F20"/>
        </w:rPr>
        <w:t>Process.</w:t>
      </w:r>
      <w:r>
        <w:rPr>
          <w:i/>
          <w:color w:val="231F20"/>
          <w:spacing w:val="80"/>
        </w:rPr>
        <w:t> </w:t>
      </w:r>
      <w:r>
        <w:rPr>
          <w:color w:val="231F20"/>
        </w:rPr>
        <w:t>Con- sumer</w:t>
      </w:r>
      <w:r>
        <w:rPr>
          <w:color w:val="231F20"/>
          <w:spacing w:val="40"/>
        </w:rPr>
        <w:t> </w:t>
      </w:r>
      <w:r>
        <w:rPr>
          <w:color w:val="231F20"/>
        </w:rPr>
        <w:t>research</w:t>
      </w:r>
      <w:r>
        <w:rPr>
          <w:color w:val="231F20"/>
          <w:spacing w:val="40"/>
        </w:rPr>
        <w:t> </w:t>
      </w:r>
      <w:r>
        <w:rPr>
          <w:color w:val="231F20"/>
        </w:rPr>
        <w:t>is</w:t>
      </w:r>
      <w:r>
        <w:rPr>
          <w:color w:val="231F20"/>
          <w:spacing w:val="40"/>
        </w:rPr>
        <w:t> </w:t>
      </w:r>
      <w:r>
        <w:rPr>
          <w:color w:val="231F20"/>
        </w:rPr>
        <w:t>a</w:t>
      </w:r>
      <w:r>
        <w:rPr>
          <w:color w:val="231F20"/>
          <w:spacing w:val="40"/>
        </w:rPr>
        <w:t> </w:t>
      </w:r>
      <w:r>
        <w:rPr>
          <w:color w:val="231F20"/>
        </w:rPr>
        <w:t>major</w:t>
      </w:r>
      <w:r>
        <w:rPr>
          <w:color w:val="231F20"/>
          <w:spacing w:val="40"/>
        </w:rPr>
        <w:t> </w:t>
      </w:r>
      <w:r>
        <w:rPr>
          <w:color w:val="231F20"/>
        </w:rPr>
        <w:t>tool</w:t>
      </w:r>
      <w:r>
        <w:rPr>
          <w:color w:val="231F20"/>
          <w:spacing w:val="40"/>
        </w:rPr>
        <w:t> </w:t>
      </w:r>
      <w:r>
        <w:rPr>
          <w:color w:val="231F20"/>
        </w:rPr>
        <w:t>in</w:t>
      </w:r>
      <w:r>
        <w:rPr>
          <w:color w:val="231F20"/>
          <w:spacing w:val="40"/>
        </w:rPr>
        <w:t> </w:t>
      </w:r>
      <w:r>
        <w:rPr>
          <w:color w:val="231F20"/>
        </w:rPr>
        <w:t>helping</w:t>
      </w:r>
      <w:r>
        <w:rPr>
          <w:color w:val="231F20"/>
          <w:spacing w:val="40"/>
        </w:rPr>
        <w:t> </w:t>
      </w:r>
      <w:r>
        <w:rPr>
          <w:color w:val="231F20"/>
        </w:rPr>
        <w:t>make</w:t>
      </w:r>
      <w:r>
        <w:rPr>
          <w:color w:val="231F20"/>
          <w:spacing w:val="40"/>
        </w:rPr>
        <w:t> </w:t>
      </w:r>
      <w:r>
        <w:rPr>
          <w:color w:val="231F20"/>
        </w:rPr>
        <w:t>the</w:t>
      </w:r>
      <w:r>
        <w:rPr>
          <w:color w:val="231F20"/>
          <w:spacing w:val="40"/>
        </w:rPr>
        <w:t> </w:t>
      </w:r>
      <w:r>
        <w:rPr>
          <w:color w:val="231F20"/>
        </w:rPr>
        <w:t>buying process theory useful. Research can show a marketing director</w:t>
      </w:r>
      <w:r>
        <w:rPr>
          <w:color w:val="231F20"/>
          <w:spacing w:val="40"/>
        </w:rPr>
        <w:t> </w:t>
      </w:r>
      <w:r>
        <w:rPr>
          <w:color w:val="231F20"/>
        </w:rPr>
        <w:t>where he has succeeded and where his efforts need to be redi-</w:t>
      </w:r>
      <w:r>
        <w:rPr>
          <w:color w:val="231F20"/>
          <w:spacing w:val="40"/>
        </w:rPr>
        <w:t> </w:t>
      </w:r>
      <w:r>
        <w:rPr>
          <w:color w:val="231F20"/>
        </w:rPr>
        <w:t>rected. For example, if the marketing director of </w:t>
      </w:r>
      <w:r>
        <w:rPr>
          <w:i/>
          <w:color w:val="231F20"/>
        </w:rPr>
        <w:t>The National, </w:t>
      </w:r>
      <w:r>
        <w:rPr>
          <w:color w:val="231F20"/>
        </w:rPr>
        <w:t>a sports</w:t>
      </w:r>
      <w:r>
        <w:rPr>
          <w:color w:val="231F20"/>
          <w:spacing w:val="40"/>
        </w:rPr>
        <w:t> </w:t>
      </w:r>
      <w:r>
        <w:rPr>
          <w:color w:val="231F20"/>
        </w:rPr>
        <w:t>newspaper</w:t>
      </w:r>
      <w:r>
        <w:rPr>
          <w:color w:val="231F20"/>
          <w:spacing w:val="40"/>
        </w:rPr>
        <w:t> </w:t>
      </w:r>
      <w:r>
        <w:rPr>
          <w:color w:val="231F20"/>
        </w:rPr>
        <w:t>that</w:t>
      </w:r>
      <w:r>
        <w:rPr>
          <w:color w:val="231F20"/>
          <w:spacing w:val="40"/>
        </w:rPr>
        <w:t> </w:t>
      </w:r>
      <w:r>
        <w:rPr>
          <w:color w:val="231F20"/>
        </w:rPr>
        <w:t>failed</w:t>
      </w:r>
      <w:r>
        <w:rPr>
          <w:color w:val="231F20"/>
          <w:spacing w:val="40"/>
        </w:rPr>
        <w:t> </w:t>
      </w:r>
      <w:r>
        <w:rPr>
          <w:color w:val="231F20"/>
        </w:rPr>
        <w:t>in</w:t>
      </w:r>
      <w:r>
        <w:rPr>
          <w:color w:val="231F20"/>
          <w:spacing w:val="40"/>
        </w:rPr>
        <w:t> </w:t>
      </w:r>
      <w:r>
        <w:rPr>
          <w:color w:val="231F20"/>
        </w:rPr>
        <w:t>1991,</w:t>
      </w:r>
      <w:r>
        <w:rPr>
          <w:color w:val="231F20"/>
          <w:spacing w:val="40"/>
        </w:rPr>
        <w:t> </w:t>
      </w:r>
      <w:r>
        <w:rPr>
          <w:color w:val="231F20"/>
        </w:rPr>
        <w:t>had</w:t>
      </w:r>
      <w:r>
        <w:rPr>
          <w:color w:val="231F20"/>
          <w:spacing w:val="40"/>
        </w:rPr>
        <w:t> </w:t>
      </w:r>
      <w:r>
        <w:rPr>
          <w:color w:val="231F20"/>
        </w:rPr>
        <w:t>conducted</w:t>
      </w:r>
      <w:r>
        <w:rPr>
          <w:color w:val="231F20"/>
          <w:spacing w:val="40"/>
        </w:rPr>
        <w:t> </w:t>
      </w:r>
      <w:r>
        <w:rPr>
          <w:color w:val="231F20"/>
        </w:rPr>
        <w:t>a</w:t>
      </w:r>
      <w:r>
        <w:rPr>
          <w:color w:val="231F20"/>
          <w:spacing w:val="40"/>
        </w:rPr>
        <w:t> </w:t>
      </w:r>
      <w:r>
        <w:rPr>
          <w:color w:val="231F20"/>
        </w:rPr>
        <w:t>survey that</w:t>
      </w:r>
      <w:r>
        <w:rPr>
          <w:color w:val="231F20"/>
          <w:spacing w:val="40"/>
        </w:rPr>
        <w:t> </w:t>
      </w:r>
      <w:r>
        <w:rPr>
          <w:color w:val="231F20"/>
        </w:rPr>
        <w:t>would</w:t>
      </w:r>
      <w:r>
        <w:rPr>
          <w:color w:val="231F20"/>
          <w:spacing w:val="40"/>
        </w:rPr>
        <w:t> </w:t>
      </w:r>
      <w:r>
        <w:rPr>
          <w:color w:val="231F20"/>
        </w:rPr>
        <w:t>have</w:t>
      </w:r>
      <w:r>
        <w:rPr>
          <w:color w:val="231F20"/>
          <w:spacing w:val="40"/>
        </w:rPr>
        <w:t> </w:t>
      </w:r>
      <w:r>
        <w:rPr>
          <w:color w:val="231F20"/>
        </w:rPr>
        <w:t>shown</w:t>
      </w:r>
      <w:r>
        <w:rPr>
          <w:color w:val="231F20"/>
          <w:spacing w:val="40"/>
        </w:rPr>
        <w:t> </w:t>
      </w:r>
      <w:r>
        <w:rPr>
          <w:color w:val="231F20"/>
        </w:rPr>
        <w:t>him</w:t>
      </w:r>
      <w:r>
        <w:rPr>
          <w:color w:val="231F20"/>
          <w:spacing w:val="40"/>
        </w:rPr>
        <w:t> </w:t>
      </w:r>
      <w:r>
        <w:rPr>
          <w:color w:val="231F20"/>
        </w:rPr>
        <w:t>that</w:t>
      </w:r>
      <w:r>
        <w:rPr>
          <w:color w:val="231F20"/>
          <w:spacing w:val="40"/>
        </w:rPr>
        <w:t> </w:t>
      </w:r>
      <w:r>
        <w:rPr>
          <w:color w:val="231F20"/>
        </w:rPr>
        <w:t>50</w:t>
      </w:r>
      <w:r>
        <w:rPr>
          <w:color w:val="231F20"/>
          <w:spacing w:val="40"/>
        </w:rPr>
        <w:t> </w:t>
      </w:r>
      <w:r>
        <w:rPr>
          <w:color w:val="231F20"/>
        </w:rPr>
        <w:t>percent</w:t>
      </w:r>
      <w:r>
        <w:rPr>
          <w:color w:val="231F20"/>
          <w:spacing w:val="40"/>
        </w:rPr>
        <w:t> </w:t>
      </w:r>
      <w:r>
        <w:rPr>
          <w:color w:val="231F20"/>
        </w:rPr>
        <w:t>of</w:t>
      </w:r>
      <w:r>
        <w:rPr>
          <w:color w:val="231F20"/>
          <w:spacing w:val="40"/>
        </w:rPr>
        <w:t> </w:t>
      </w:r>
      <w:r>
        <w:rPr>
          <w:color w:val="231F20"/>
        </w:rPr>
        <w:t>men</w:t>
      </w:r>
      <w:r>
        <w:rPr>
          <w:color w:val="231F20"/>
          <w:spacing w:val="40"/>
        </w:rPr>
        <w:t> </w:t>
      </w:r>
      <w:r>
        <w:rPr>
          <w:color w:val="231F20"/>
        </w:rPr>
        <w:t>were</w:t>
      </w:r>
      <w:r>
        <w:rPr>
          <w:color w:val="231F20"/>
          <w:spacing w:val="40"/>
        </w:rPr>
        <w:t> </w:t>
      </w:r>
      <w:r>
        <w:rPr>
          <w:color w:val="231F20"/>
        </w:rPr>
        <w:t>aware of the paper, but that only 1 percent had read it, that could have</w:t>
      </w:r>
      <w:r>
        <w:rPr>
          <w:color w:val="231F20"/>
          <w:spacing w:val="80"/>
          <w:w w:val="150"/>
        </w:rPr>
        <w:t> </w:t>
      </w:r>
      <w:r>
        <w:rPr>
          <w:color w:val="231F20"/>
        </w:rPr>
        <w:t>been</w:t>
      </w:r>
      <w:r>
        <w:rPr>
          <w:color w:val="231F20"/>
          <w:spacing w:val="40"/>
        </w:rPr>
        <w:t> </w:t>
      </w:r>
      <w:r>
        <w:rPr>
          <w:color w:val="231F20"/>
        </w:rPr>
        <w:t>useful.</w:t>
      </w:r>
      <w:r>
        <w:rPr>
          <w:color w:val="231F20"/>
          <w:spacing w:val="40"/>
        </w:rPr>
        <w:t> </w:t>
      </w:r>
      <w:r>
        <w:rPr>
          <w:color w:val="231F20"/>
        </w:rPr>
        <w:t>That</w:t>
      </w:r>
      <w:r>
        <w:rPr>
          <w:color w:val="231F20"/>
          <w:spacing w:val="40"/>
        </w:rPr>
        <w:t> </w:t>
      </w:r>
      <w:r>
        <w:rPr>
          <w:color w:val="231F20"/>
        </w:rPr>
        <w:t>finding</w:t>
      </w:r>
      <w:r>
        <w:rPr>
          <w:color w:val="231F20"/>
          <w:spacing w:val="40"/>
        </w:rPr>
        <w:t> </w:t>
      </w:r>
      <w:r>
        <w:rPr>
          <w:color w:val="231F20"/>
        </w:rPr>
        <w:t>could</w:t>
      </w:r>
      <w:r>
        <w:rPr>
          <w:color w:val="231F20"/>
          <w:spacing w:val="40"/>
        </w:rPr>
        <w:t> </w:t>
      </w:r>
      <w:r>
        <w:rPr>
          <w:color w:val="231F20"/>
        </w:rPr>
        <w:t>have</w:t>
      </w:r>
      <w:r>
        <w:rPr>
          <w:color w:val="231F20"/>
          <w:spacing w:val="40"/>
        </w:rPr>
        <w:t> </w:t>
      </w:r>
      <w:r>
        <w:rPr>
          <w:color w:val="231F20"/>
        </w:rPr>
        <w:t>led</w:t>
      </w:r>
      <w:r>
        <w:rPr>
          <w:color w:val="231F20"/>
          <w:spacing w:val="40"/>
        </w:rPr>
        <w:t> </w:t>
      </w:r>
      <w:r>
        <w:rPr>
          <w:color w:val="231F20"/>
        </w:rPr>
        <w:t>the</w:t>
      </w:r>
      <w:r>
        <w:rPr>
          <w:color w:val="231F20"/>
          <w:spacing w:val="40"/>
        </w:rPr>
        <w:t> </w:t>
      </w:r>
      <w:r>
        <w:rPr>
          <w:color w:val="231F20"/>
        </w:rPr>
        <w:t>director</w:t>
      </w:r>
      <w:r>
        <w:rPr>
          <w:color w:val="231F20"/>
          <w:spacing w:val="40"/>
        </w:rPr>
        <w:t> </w:t>
      </w:r>
      <w:r>
        <w:rPr>
          <w:color w:val="231F20"/>
        </w:rPr>
        <w:t>to</w:t>
      </w:r>
      <w:r>
        <w:rPr>
          <w:color w:val="231F20"/>
          <w:spacing w:val="40"/>
        </w:rPr>
        <w:t> </w:t>
      </w:r>
      <w:r>
        <w:rPr>
          <w:color w:val="231F20"/>
        </w:rPr>
        <w:t>increase his efforts to gain wider newsstand distribution and to give more</w:t>
      </w:r>
      <w:r>
        <w:rPr>
          <w:color w:val="231F20"/>
          <w:spacing w:val="40"/>
        </w:rPr>
        <w:t> </w:t>
      </w:r>
      <w:r>
        <w:rPr>
          <w:color w:val="231F20"/>
        </w:rPr>
        <w:t>trial subscriptions. Research is valuable because it can be trans-</w:t>
      </w:r>
      <w:r>
        <w:rPr>
          <w:color w:val="231F20"/>
          <w:spacing w:val="80"/>
        </w:rPr>
        <w:t> </w:t>
      </w:r>
      <w:r>
        <w:rPr>
          <w:color w:val="231F20"/>
        </w:rPr>
        <w:t>lated into tangible marketing actions. Before you embark on re- search,</w:t>
      </w:r>
      <w:r>
        <w:rPr>
          <w:color w:val="231F20"/>
          <w:spacing w:val="40"/>
        </w:rPr>
        <w:t> </w:t>
      </w:r>
      <w:r>
        <w:rPr>
          <w:color w:val="231F20"/>
        </w:rPr>
        <w:t>you</w:t>
      </w:r>
      <w:r>
        <w:rPr>
          <w:color w:val="231F20"/>
          <w:spacing w:val="40"/>
        </w:rPr>
        <w:t> </w:t>
      </w:r>
      <w:r>
        <w:rPr>
          <w:i/>
          <w:color w:val="231F20"/>
        </w:rPr>
        <w:t>must</w:t>
      </w:r>
      <w:r>
        <w:rPr>
          <w:i/>
          <w:color w:val="231F20"/>
          <w:spacing w:val="40"/>
        </w:rPr>
        <w:t> </w:t>
      </w:r>
      <w:r>
        <w:rPr>
          <w:color w:val="231F20"/>
        </w:rPr>
        <w:t>ask</w:t>
      </w:r>
      <w:r>
        <w:rPr>
          <w:color w:val="231F20"/>
          <w:spacing w:val="40"/>
        </w:rPr>
        <w:t> </w:t>
      </w:r>
      <w:r>
        <w:rPr>
          <w:color w:val="231F20"/>
        </w:rPr>
        <w:t>yourself:</w:t>
      </w:r>
    </w:p>
    <w:p>
      <w:pPr>
        <w:pStyle w:val="BodyText"/>
        <w:spacing w:line="241" w:lineRule="exact"/>
        <w:ind w:left="1170"/>
        <w:jc w:val="both"/>
      </w:pPr>
      <w:r>
        <w:rPr>
          <w:color w:val="231F20"/>
        </w:rPr>
        <w:t>“What</w:t>
      </w:r>
      <w:r>
        <w:rPr>
          <w:color w:val="231F20"/>
          <w:spacing w:val="13"/>
        </w:rPr>
        <w:t> </w:t>
      </w:r>
      <w:r>
        <w:rPr>
          <w:color w:val="231F20"/>
        </w:rPr>
        <w:t>specific</w:t>
      </w:r>
      <w:r>
        <w:rPr>
          <w:color w:val="231F20"/>
          <w:spacing w:val="13"/>
        </w:rPr>
        <w:t> </w:t>
      </w:r>
      <w:r>
        <w:rPr>
          <w:color w:val="231F20"/>
        </w:rPr>
        <w:t>question</w:t>
      </w:r>
      <w:r>
        <w:rPr>
          <w:color w:val="231F20"/>
          <w:spacing w:val="13"/>
        </w:rPr>
        <w:t> </w:t>
      </w:r>
      <w:r>
        <w:rPr>
          <w:color w:val="231F20"/>
        </w:rPr>
        <w:t>do</w:t>
      </w:r>
      <w:r>
        <w:rPr>
          <w:color w:val="231F20"/>
          <w:spacing w:val="13"/>
        </w:rPr>
        <w:t> </w:t>
      </w:r>
      <w:r>
        <w:rPr>
          <w:color w:val="231F20"/>
        </w:rPr>
        <w:t>I</w:t>
      </w:r>
      <w:r>
        <w:rPr>
          <w:color w:val="231F20"/>
          <w:spacing w:val="13"/>
        </w:rPr>
        <w:t> </w:t>
      </w:r>
      <w:r>
        <w:rPr>
          <w:color w:val="231F20"/>
        </w:rPr>
        <w:t>need</w:t>
      </w:r>
      <w:r>
        <w:rPr>
          <w:color w:val="231F20"/>
          <w:spacing w:val="13"/>
        </w:rPr>
        <w:t> </w:t>
      </w:r>
      <w:r>
        <w:rPr>
          <w:color w:val="231F20"/>
          <w:spacing w:val="-2"/>
        </w:rPr>
        <w:t>answered?”</w:t>
      </w:r>
    </w:p>
    <w:p>
      <w:pPr>
        <w:pStyle w:val="BodyText"/>
        <w:spacing w:before="54"/>
        <w:ind w:left="1170"/>
        <w:jc w:val="both"/>
      </w:pPr>
      <w:r>
        <w:rPr>
          <w:color w:val="231F20"/>
        </w:rPr>
        <w:t>“How</w:t>
      </w:r>
      <w:r>
        <w:rPr>
          <w:color w:val="231F20"/>
          <w:spacing w:val="16"/>
        </w:rPr>
        <w:t> </w:t>
      </w:r>
      <w:r>
        <w:rPr>
          <w:color w:val="231F20"/>
        </w:rPr>
        <w:t>am</w:t>
      </w:r>
      <w:r>
        <w:rPr>
          <w:color w:val="231F20"/>
          <w:spacing w:val="16"/>
        </w:rPr>
        <w:t> </w:t>
      </w:r>
      <w:r>
        <w:rPr>
          <w:color w:val="231F20"/>
        </w:rPr>
        <w:t>I</w:t>
      </w:r>
      <w:r>
        <w:rPr>
          <w:color w:val="231F20"/>
          <w:spacing w:val="16"/>
        </w:rPr>
        <w:t> </w:t>
      </w:r>
      <w:r>
        <w:rPr>
          <w:color w:val="231F20"/>
        </w:rPr>
        <w:t>going</w:t>
      </w:r>
      <w:r>
        <w:rPr>
          <w:color w:val="231F20"/>
          <w:spacing w:val="16"/>
        </w:rPr>
        <w:t> </w:t>
      </w:r>
      <w:r>
        <w:rPr>
          <w:color w:val="231F20"/>
        </w:rPr>
        <w:t>to</w:t>
      </w:r>
      <w:r>
        <w:rPr>
          <w:color w:val="231F20"/>
          <w:spacing w:val="16"/>
        </w:rPr>
        <w:t> </w:t>
      </w:r>
      <w:r>
        <w:rPr>
          <w:color w:val="231F20"/>
        </w:rPr>
        <w:t>use</w:t>
      </w:r>
      <w:r>
        <w:rPr>
          <w:color w:val="231F20"/>
          <w:spacing w:val="16"/>
        </w:rPr>
        <w:t> </w:t>
      </w:r>
      <w:r>
        <w:rPr>
          <w:color w:val="231F20"/>
        </w:rPr>
        <w:t>the</w:t>
      </w:r>
      <w:r>
        <w:rPr>
          <w:color w:val="231F20"/>
          <w:spacing w:val="16"/>
        </w:rPr>
        <w:t> </w:t>
      </w:r>
      <w:r>
        <w:rPr>
          <w:color w:val="231F20"/>
        </w:rPr>
        <w:t>information</w:t>
      </w:r>
      <w:r>
        <w:rPr>
          <w:color w:val="231F20"/>
          <w:spacing w:val="17"/>
        </w:rPr>
        <w:t> </w:t>
      </w:r>
      <w:r>
        <w:rPr>
          <w:color w:val="231F20"/>
        </w:rPr>
        <w:t>once</w:t>
      </w:r>
      <w:r>
        <w:rPr>
          <w:color w:val="231F20"/>
          <w:spacing w:val="16"/>
        </w:rPr>
        <w:t> </w:t>
      </w:r>
      <w:r>
        <w:rPr>
          <w:color w:val="231F20"/>
        </w:rPr>
        <w:t>I</w:t>
      </w:r>
      <w:r>
        <w:rPr>
          <w:color w:val="231F20"/>
          <w:spacing w:val="16"/>
        </w:rPr>
        <w:t> </w:t>
      </w:r>
      <w:r>
        <w:rPr>
          <w:color w:val="231F20"/>
        </w:rPr>
        <w:t>have</w:t>
      </w:r>
      <w:r>
        <w:rPr>
          <w:color w:val="231F20"/>
          <w:spacing w:val="16"/>
        </w:rPr>
        <w:t> </w:t>
      </w:r>
      <w:r>
        <w:rPr>
          <w:color w:val="231F20"/>
          <w:spacing w:val="-4"/>
        </w:rPr>
        <w:t>it?”</w:t>
      </w:r>
    </w:p>
    <w:p>
      <w:pPr>
        <w:pStyle w:val="BodyText"/>
        <w:spacing w:line="292" w:lineRule="auto" w:before="54"/>
        <w:ind w:left="830" w:right="755" w:firstLine="340"/>
        <w:jc w:val="both"/>
      </w:pPr>
      <w:r>
        <w:rPr>
          <w:color w:val="231F20"/>
        </w:rPr>
        <w:t>If you haven’t thought through these two simple questions, </w:t>
      </w:r>
      <w:r>
        <w:rPr>
          <w:color w:val="231F20"/>
        </w:rPr>
        <w:t>you will probably waste your time and money. I can assure you that</w:t>
      </w:r>
      <w:r>
        <w:rPr>
          <w:color w:val="231F20"/>
          <w:spacing w:val="80"/>
        </w:rPr>
        <w:t> </w:t>
      </w:r>
      <w:r>
        <w:rPr>
          <w:color w:val="231F20"/>
        </w:rPr>
        <w:t>many marketing research companies will be glad to help you waste </w:t>
      </w:r>
      <w:r>
        <w:rPr>
          <w:color w:val="231F20"/>
          <w:spacing w:val="-2"/>
        </w:rPr>
        <w:t>money.</w:t>
      </w:r>
    </w:p>
    <w:p>
      <w:pPr>
        <w:pStyle w:val="BodyText"/>
        <w:spacing w:before="3"/>
        <w:rPr>
          <w:sz w:val="27"/>
        </w:rPr>
      </w:pPr>
    </w:p>
    <w:p>
      <w:pPr>
        <w:spacing w:before="0"/>
        <w:ind w:left="1170" w:right="0" w:firstLine="0"/>
        <w:jc w:val="both"/>
        <w:rPr>
          <w:rFonts w:ascii="Arial"/>
          <w:i/>
          <w:sz w:val="19"/>
        </w:rPr>
      </w:pPr>
      <w:r>
        <w:rPr>
          <w:rFonts w:ascii="Arial"/>
          <w:i/>
          <w:color w:val="231F20"/>
          <w:w w:val="115"/>
          <w:sz w:val="19"/>
        </w:rPr>
        <w:t>Is</w:t>
      </w:r>
      <w:r>
        <w:rPr>
          <w:rFonts w:ascii="Arial"/>
          <w:i/>
          <w:color w:val="231F20"/>
          <w:spacing w:val="-2"/>
          <w:w w:val="115"/>
          <w:sz w:val="19"/>
        </w:rPr>
        <w:t> </w:t>
      </w:r>
      <w:r>
        <w:rPr>
          <w:rFonts w:ascii="Arial"/>
          <w:i/>
          <w:color w:val="231F20"/>
          <w:w w:val="115"/>
          <w:sz w:val="19"/>
        </w:rPr>
        <w:t>the</w:t>
      </w:r>
      <w:r>
        <w:rPr>
          <w:rFonts w:ascii="Arial"/>
          <w:i/>
          <w:color w:val="231F20"/>
          <w:spacing w:val="-1"/>
          <w:w w:val="115"/>
          <w:sz w:val="19"/>
        </w:rPr>
        <w:t> </w:t>
      </w:r>
      <w:r>
        <w:rPr>
          <w:rFonts w:ascii="Arial"/>
          <w:i/>
          <w:color w:val="231F20"/>
          <w:w w:val="115"/>
          <w:sz w:val="19"/>
        </w:rPr>
        <w:t>product</w:t>
      </w:r>
      <w:r>
        <w:rPr>
          <w:rFonts w:ascii="Arial"/>
          <w:i/>
          <w:color w:val="231F20"/>
          <w:spacing w:val="-1"/>
          <w:w w:val="115"/>
          <w:sz w:val="19"/>
        </w:rPr>
        <w:t> </w:t>
      </w:r>
      <w:r>
        <w:rPr>
          <w:rFonts w:ascii="Arial"/>
          <w:i/>
          <w:color w:val="231F20"/>
          <w:w w:val="115"/>
          <w:sz w:val="19"/>
        </w:rPr>
        <w:t>a</w:t>
      </w:r>
      <w:r>
        <w:rPr>
          <w:rFonts w:ascii="Arial"/>
          <w:i/>
          <w:color w:val="231F20"/>
          <w:spacing w:val="-1"/>
          <w:w w:val="115"/>
          <w:sz w:val="19"/>
        </w:rPr>
        <w:t> </w:t>
      </w:r>
      <w:r>
        <w:rPr>
          <w:rFonts w:ascii="Arial"/>
          <w:i/>
          <w:color w:val="231F20"/>
          <w:w w:val="115"/>
          <w:sz w:val="19"/>
        </w:rPr>
        <w:t>high-</w:t>
      </w:r>
      <w:r>
        <w:rPr>
          <w:rFonts w:ascii="Arial"/>
          <w:i/>
          <w:color w:val="231F20"/>
          <w:spacing w:val="-1"/>
          <w:w w:val="115"/>
          <w:sz w:val="19"/>
        </w:rPr>
        <w:t> </w:t>
      </w:r>
      <w:r>
        <w:rPr>
          <w:rFonts w:ascii="Arial"/>
          <w:i/>
          <w:color w:val="231F20"/>
          <w:w w:val="115"/>
          <w:sz w:val="19"/>
        </w:rPr>
        <w:t>or</w:t>
      </w:r>
      <w:r>
        <w:rPr>
          <w:rFonts w:ascii="Arial"/>
          <w:i/>
          <w:color w:val="231F20"/>
          <w:spacing w:val="-1"/>
          <w:w w:val="115"/>
          <w:sz w:val="19"/>
        </w:rPr>
        <w:t> </w:t>
      </w:r>
      <w:r>
        <w:rPr>
          <w:rFonts w:ascii="Arial"/>
          <w:i/>
          <w:color w:val="231F20"/>
          <w:w w:val="115"/>
          <w:sz w:val="19"/>
        </w:rPr>
        <w:t>a</w:t>
      </w:r>
      <w:r>
        <w:rPr>
          <w:rFonts w:ascii="Arial"/>
          <w:i/>
          <w:color w:val="231F20"/>
          <w:spacing w:val="-2"/>
          <w:w w:val="115"/>
          <w:sz w:val="19"/>
        </w:rPr>
        <w:t> </w:t>
      </w:r>
      <w:r>
        <w:rPr>
          <w:rFonts w:ascii="Arial"/>
          <w:i/>
          <w:color w:val="231F20"/>
          <w:w w:val="115"/>
          <w:sz w:val="19"/>
        </w:rPr>
        <w:t>low-involvement</w:t>
      </w:r>
      <w:r>
        <w:rPr>
          <w:rFonts w:ascii="Arial"/>
          <w:i/>
          <w:color w:val="231F20"/>
          <w:spacing w:val="-1"/>
          <w:w w:val="115"/>
          <w:sz w:val="19"/>
        </w:rPr>
        <w:t> </w:t>
      </w:r>
      <w:r>
        <w:rPr>
          <w:rFonts w:ascii="Arial"/>
          <w:i/>
          <w:color w:val="231F20"/>
          <w:spacing w:val="-2"/>
          <w:w w:val="115"/>
          <w:sz w:val="19"/>
        </w:rPr>
        <w:t>product?</w:t>
      </w:r>
    </w:p>
    <w:p>
      <w:pPr>
        <w:pStyle w:val="BodyText"/>
        <w:spacing w:line="292" w:lineRule="auto" w:before="60"/>
        <w:ind w:left="830" w:right="756" w:firstLine="340"/>
        <w:jc w:val="both"/>
      </w:pPr>
      <w:r>
        <w:rPr>
          <w:color w:val="231F20"/>
        </w:rPr>
        <w:t>As the discussion of buyer behavior indicates, different </w:t>
      </w:r>
      <w:r>
        <w:rPr>
          <w:color w:val="231F20"/>
        </w:rPr>
        <w:t>products elicit</w:t>
      </w:r>
      <w:r>
        <w:rPr>
          <w:color w:val="231F20"/>
          <w:spacing w:val="18"/>
        </w:rPr>
        <w:t> </w:t>
      </w:r>
      <w:r>
        <w:rPr>
          <w:color w:val="231F20"/>
        </w:rPr>
        <w:t>different</w:t>
      </w:r>
      <w:r>
        <w:rPr>
          <w:color w:val="231F20"/>
          <w:spacing w:val="18"/>
        </w:rPr>
        <w:t> </w:t>
      </w:r>
      <w:r>
        <w:rPr>
          <w:color w:val="231F20"/>
        </w:rPr>
        <w:t>purchase</w:t>
      </w:r>
      <w:r>
        <w:rPr>
          <w:color w:val="231F20"/>
          <w:spacing w:val="18"/>
        </w:rPr>
        <w:t> </w:t>
      </w:r>
      <w:r>
        <w:rPr>
          <w:color w:val="231F20"/>
        </w:rPr>
        <w:t>behaviors</w:t>
      </w:r>
      <w:r>
        <w:rPr>
          <w:color w:val="231F20"/>
          <w:spacing w:val="19"/>
        </w:rPr>
        <w:t> </w:t>
      </w:r>
      <w:r>
        <w:rPr>
          <w:color w:val="231F20"/>
        </w:rPr>
        <w:t>because</w:t>
      </w:r>
      <w:r>
        <w:rPr>
          <w:color w:val="231F20"/>
          <w:spacing w:val="18"/>
        </w:rPr>
        <w:t> </w:t>
      </w:r>
      <w:r>
        <w:rPr>
          <w:color w:val="231F20"/>
        </w:rPr>
        <w:t>of</w:t>
      </w:r>
      <w:r>
        <w:rPr>
          <w:color w:val="231F20"/>
          <w:spacing w:val="18"/>
        </w:rPr>
        <w:t> </w:t>
      </w:r>
      <w:r>
        <w:rPr>
          <w:color w:val="231F20"/>
        </w:rPr>
        <w:t>their</w:t>
      </w:r>
      <w:r>
        <w:rPr>
          <w:color w:val="231F20"/>
          <w:spacing w:val="18"/>
        </w:rPr>
        <w:t> </w:t>
      </w:r>
      <w:r>
        <w:rPr>
          <w:color w:val="231F20"/>
        </w:rPr>
        <w:t>inherent</w:t>
      </w:r>
      <w:r>
        <w:rPr>
          <w:color w:val="231F20"/>
          <w:spacing w:val="19"/>
        </w:rPr>
        <w:t> </w:t>
      </w:r>
      <w:r>
        <w:rPr>
          <w:color w:val="231F20"/>
          <w:spacing w:val="-2"/>
        </w:rPr>
        <w:t>impor-</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5"/>
        <w:jc w:val="both"/>
      </w:pPr>
      <w:r>
        <w:rPr>
          <w:color w:val="231F20"/>
        </w:rPr>
        <w:t>tance to the buyer and user. If the consumer feels a high level of</w:t>
      </w:r>
      <w:r>
        <w:rPr>
          <w:color w:val="231F20"/>
          <w:spacing w:val="40"/>
        </w:rPr>
        <w:t> </w:t>
      </w:r>
      <w:r>
        <w:rPr>
          <w:color w:val="231F20"/>
        </w:rPr>
        <w:t>“risk” in buying a product, then it is considered a </w:t>
      </w:r>
      <w:r>
        <w:rPr>
          <w:i/>
          <w:color w:val="231F20"/>
        </w:rPr>
        <w:t>high-involvement</w:t>
      </w:r>
      <w:r>
        <w:rPr>
          <w:i/>
          <w:color w:val="231F20"/>
        </w:rPr>
        <w:t> </w:t>
      </w:r>
      <w:r>
        <w:rPr>
          <w:color w:val="231F20"/>
        </w:rPr>
        <w:t>product. There are several reasons for high-involvement purchase </w:t>
      </w:r>
      <w:r>
        <w:rPr>
          <w:color w:val="231F20"/>
          <w:spacing w:val="-2"/>
        </w:rPr>
        <w:t>decisions:</w:t>
      </w:r>
    </w:p>
    <w:p>
      <w:pPr>
        <w:pStyle w:val="BodyText"/>
        <w:spacing w:before="3"/>
        <w:rPr>
          <w:sz w:val="27"/>
        </w:rPr>
      </w:pPr>
    </w:p>
    <w:p>
      <w:pPr>
        <w:spacing w:before="0"/>
        <w:ind w:left="1260" w:right="0" w:firstLine="0"/>
        <w:jc w:val="left"/>
        <w:rPr>
          <w:rFonts w:ascii="Arial"/>
          <w:sz w:val="19"/>
        </w:rPr>
      </w:pPr>
      <w:r>
        <w:rPr>
          <w:rFonts w:ascii="Arial"/>
          <w:color w:val="231F20"/>
          <w:w w:val="115"/>
          <w:sz w:val="19"/>
        </w:rPr>
        <w:t>High</w:t>
      </w:r>
      <w:r>
        <w:rPr>
          <w:rFonts w:ascii="Arial"/>
          <w:color w:val="231F20"/>
          <w:spacing w:val="-11"/>
          <w:w w:val="115"/>
          <w:sz w:val="19"/>
        </w:rPr>
        <w:t> </w:t>
      </w:r>
      <w:r>
        <w:rPr>
          <w:rFonts w:ascii="Arial"/>
          <w:color w:val="231F20"/>
          <w:spacing w:val="-4"/>
          <w:w w:val="115"/>
          <w:sz w:val="19"/>
        </w:rPr>
        <w:t>price</w:t>
      </w:r>
    </w:p>
    <w:p>
      <w:pPr>
        <w:spacing w:line="328" w:lineRule="auto" w:before="81"/>
        <w:ind w:left="1599" w:right="667" w:hanging="340"/>
        <w:jc w:val="left"/>
        <w:rPr>
          <w:rFonts w:ascii="Arial" w:hAnsi="Arial"/>
          <w:sz w:val="19"/>
        </w:rPr>
      </w:pPr>
      <w:r>
        <w:rPr>
          <w:rFonts w:ascii="Arial" w:hAnsi="Arial"/>
          <w:color w:val="231F20"/>
          <w:w w:val="115"/>
          <w:sz w:val="19"/>
        </w:rPr>
        <w:t>The</w:t>
      </w:r>
      <w:r>
        <w:rPr>
          <w:rFonts w:ascii="Arial" w:hAnsi="Arial"/>
          <w:color w:val="231F20"/>
          <w:spacing w:val="-15"/>
          <w:w w:val="115"/>
          <w:sz w:val="19"/>
        </w:rPr>
        <w:t> </w:t>
      </w:r>
      <w:r>
        <w:rPr>
          <w:rFonts w:ascii="Arial" w:hAnsi="Arial"/>
          <w:color w:val="231F20"/>
          <w:w w:val="115"/>
          <w:sz w:val="19"/>
        </w:rPr>
        <w:t>need</w:t>
      </w:r>
      <w:r>
        <w:rPr>
          <w:rFonts w:ascii="Arial" w:hAnsi="Arial"/>
          <w:color w:val="231F20"/>
          <w:spacing w:val="-15"/>
          <w:w w:val="115"/>
          <w:sz w:val="19"/>
        </w:rPr>
        <w:t> </w:t>
      </w:r>
      <w:r>
        <w:rPr>
          <w:rFonts w:ascii="Arial" w:hAnsi="Arial"/>
          <w:color w:val="231F20"/>
          <w:w w:val="115"/>
          <w:sz w:val="19"/>
        </w:rPr>
        <w:t>for</w:t>
      </w:r>
      <w:r>
        <w:rPr>
          <w:rFonts w:ascii="Arial" w:hAnsi="Arial"/>
          <w:color w:val="231F20"/>
          <w:spacing w:val="-15"/>
          <w:w w:val="115"/>
          <w:sz w:val="19"/>
        </w:rPr>
        <w:t> </w:t>
      </w:r>
      <w:r>
        <w:rPr>
          <w:rFonts w:ascii="Arial" w:hAnsi="Arial"/>
          <w:color w:val="231F20"/>
          <w:w w:val="115"/>
          <w:sz w:val="19"/>
        </w:rPr>
        <w:t>the</w:t>
      </w:r>
      <w:r>
        <w:rPr>
          <w:rFonts w:ascii="Arial" w:hAnsi="Arial"/>
          <w:color w:val="231F20"/>
          <w:spacing w:val="-15"/>
          <w:w w:val="115"/>
          <w:sz w:val="19"/>
        </w:rPr>
        <w:t> </w:t>
      </w:r>
      <w:r>
        <w:rPr>
          <w:rFonts w:ascii="Arial" w:hAnsi="Arial"/>
          <w:color w:val="231F20"/>
          <w:w w:val="115"/>
          <w:sz w:val="19"/>
        </w:rPr>
        <w:t>product’s</w:t>
      </w:r>
      <w:r>
        <w:rPr>
          <w:rFonts w:ascii="Arial" w:hAnsi="Arial"/>
          <w:color w:val="231F20"/>
          <w:spacing w:val="-15"/>
          <w:w w:val="115"/>
          <w:sz w:val="19"/>
        </w:rPr>
        <w:t> </w:t>
      </w:r>
      <w:r>
        <w:rPr>
          <w:rFonts w:ascii="Arial" w:hAnsi="Arial"/>
          <w:color w:val="231F20"/>
          <w:w w:val="115"/>
          <w:sz w:val="19"/>
        </w:rPr>
        <w:t>benefit</w:t>
      </w:r>
      <w:r>
        <w:rPr>
          <w:rFonts w:ascii="Arial" w:hAnsi="Arial"/>
          <w:color w:val="231F20"/>
          <w:spacing w:val="-15"/>
          <w:w w:val="115"/>
          <w:sz w:val="19"/>
        </w:rPr>
        <w:t> </w:t>
      </w:r>
      <w:r>
        <w:rPr>
          <w:rFonts w:ascii="Arial" w:hAnsi="Arial"/>
          <w:color w:val="231F20"/>
          <w:w w:val="115"/>
          <w:sz w:val="19"/>
        </w:rPr>
        <w:t>(e.g.,</w:t>
      </w:r>
      <w:r>
        <w:rPr>
          <w:rFonts w:ascii="Arial" w:hAnsi="Arial"/>
          <w:color w:val="231F20"/>
          <w:spacing w:val="-15"/>
          <w:w w:val="115"/>
          <w:sz w:val="19"/>
        </w:rPr>
        <w:t> </w:t>
      </w:r>
      <w:r>
        <w:rPr>
          <w:rFonts w:ascii="Arial" w:hAnsi="Arial"/>
          <w:color w:val="231F20"/>
          <w:w w:val="115"/>
          <w:sz w:val="19"/>
        </w:rPr>
        <w:t>reliability,</w:t>
      </w:r>
      <w:r>
        <w:rPr>
          <w:rFonts w:ascii="Arial" w:hAnsi="Arial"/>
          <w:color w:val="231F20"/>
          <w:spacing w:val="-15"/>
          <w:w w:val="115"/>
          <w:sz w:val="19"/>
        </w:rPr>
        <w:t> </w:t>
      </w:r>
      <w:r>
        <w:rPr>
          <w:rFonts w:ascii="Arial" w:hAnsi="Arial"/>
          <w:color w:val="231F20"/>
          <w:w w:val="115"/>
          <w:sz w:val="19"/>
        </w:rPr>
        <w:t>as</w:t>
      </w:r>
      <w:r>
        <w:rPr>
          <w:rFonts w:ascii="Arial" w:hAnsi="Arial"/>
          <w:color w:val="231F20"/>
          <w:spacing w:val="-15"/>
          <w:w w:val="115"/>
          <w:sz w:val="19"/>
        </w:rPr>
        <w:t> </w:t>
      </w:r>
      <w:r>
        <w:rPr>
          <w:rFonts w:ascii="Arial" w:hAnsi="Arial"/>
          <w:color w:val="231F20"/>
          <w:w w:val="115"/>
          <w:sz w:val="19"/>
        </w:rPr>
        <w:t>in</w:t>
      </w:r>
      <w:r>
        <w:rPr>
          <w:rFonts w:ascii="Arial" w:hAnsi="Arial"/>
          <w:color w:val="231F20"/>
          <w:spacing w:val="-15"/>
          <w:w w:val="115"/>
          <w:sz w:val="19"/>
        </w:rPr>
        <w:t> </w:t>
      </w:r>
      <w:r>
        <w:rPr>
          <w:rFonts w:ascii="Arial" w:hAnsi="Arial"/>
          <w:color w:val="231F20"/>
          <w:w w:val="115"/>
          <w:sz w:val="19"/>
        </w:rPr>
        <w:t>the case of a pacemaker)</w:t>
      </w:r>
    </w:p>
    <w:p>
      <w:pPr>
        <w:spacing w:line="328" w:lineRule="auto" w:before="2"/>
        <w:ind w:left="1599" w:right="667" w:hanging="340"/>
        <w:jc w:val="left"/>
        <w:rPr>
          <w:rFonts w:ascii="Arial" w:hAnsi="Arial"/>
          <w:sz w:val="19"/>
        </w:rPr>
      </w:pPr>
      <w:r>
        <w:rPr>
          <w:rFonts w:ascii="Arial" w:hAnsi="Arial"/>
          <w:color w:val="231F20"/>
          <w:w w:val="115"/>
          <w:sz w:val="19"/>
        </w:rPr>
        <w:t>The</w:t>
      </w:r>
      <w:r>
        <w:rPr>
          <w:rFonts w:ascii="Arial" w:hAnsi="Arial"/>
          <w:color w:val="231F20"/>
          <w:spacing w:val="-16"/>
          <w:w w:val="115"/>
          <w:sz w:val="19"/>
        </w:rPr>
        <w:t> </w:t>
      </w:r>
      <w:r>
        <w:rPr>
          <w:rFonts w:ascii="Arial" w:hAnsi="Arial"/>
          <w:color w:val="231F20"/>
          <w:w w:val="115"/>
          <w:sz w:val="19"/>
        </w:rPr>
        <w:t>need</w:t>
      </w:r>
      <w:r>
        <w:rPr>
          <w:rFonts w:ascii="Arial" w:hAnsi="Arial"/>
          <w:color w:val="231F20"/>
          <w:spacing w:val="-15"/>
          <w:w w:val="115"/>
          <w:sz w:val="19"/>
        </w:rPr>
        <w:t> </w:t>
      </w:r>
      <w:r>
        <w:rPr>
          <w:rFonts w:ascii="Arial" w:hAnsi="Arial"/>
          <w:color w:val="231F20"/>
          <w:w w:val="115"/>
          <w:sz w:val="19"/>
        </w:rPr>
        <w:t>for</w:t>
      </w:r>
      <w:r>
        <w:rPr>
          <w:rFonts w:ascii="Arial" w:hAnsi="Arial"/>
          <w:color w:val="231F20"/>
          <w:spacing w:val="-15"/>
          <w:w w:val="115"/>
          <w:sz w:val="19"/>
        </w:rPr>
        <w:t> </w:t>
      </w:r>
      <w:r>
        <w:rPr>
          <w:rFonts w:ascii="Arial" w:hAnsi="Arial"/>
          <w:color w:val="231F20"/>
          <w:w w:val="115"/>
          <w:sz w:val="19"/>
        </w:rPr>
        <w:t>the</w:t>
      </w:r>
      <w:r>
        <w:rPr>
          <w:rFonts w:ascii="Arial" w:hAnsi="Arial"/>
          <w:color w:val="231F20"/>
          <w:spacing w:val="-15"/>
          <w:w w:val="115"/>
          <w:sz w:val="19"/>
        </w:rPr>
        <w:t> </w:t>
      </w:r>
      <w:r>
        <w:rPr>
          <w:rFonts w:ascii="Arial" w:hAnsi="Arial"/>
          <w:color w:val="231F20"/>
          <w:w w:val="115"/>
          <w:sz w:val="19"/>
        </w:rPr>
        <w:t>product’s</w:t>
      </w:r>
      <w:r>
        <w:rPr>
          <w:rFonts w:ascii="Arial" w:hAnsi="Arial"/>
          <w:color w:val="231F20"/>
          <w:spacing w:val="-15"/>
          <w:w w:val="115"/>
          <w:sz w:val="19"/>
        </w:rPr>
        <w:t> </w:t>
      </w:r>
      <w:r>
        <w:rPr>
          <w:rFonts w:ascii="Arial" w:hAnsi="Arial"/>
          <w:color w:val="231F20"/>
          <w:w w:val="115"/>
          <w:sz w:val="19"/>
        </w:rPr>
        <w:t>psychological</w:t>
      </w:r>
      <w:r>
        <w:rPr>
          <w:rFonts w:ascii="Arial" w:hAnsi="Arial"/>
          <w:color w:val="231F20"/>
          <w:spacing w:val="-16"/>
          <w:w w:val="115"/>
          <w:sz w:val="19"/>
        </w:rPr>
        <w:t> </w:t>
      </w:r>
      <w:r>
        <w:rPr>
          <w:rFonts w:ascii="Arial" w:hAnsi="Arial"/>
          <w:color w:val="231F20"/>
          <w:w w:val="115"/>
          <w:sz w:val="19"/>
        </w:rPr>
        <w:t>reward</w:t>
      </w:r>
      <w:r>
        <w:rPr>
          <w:rFonts w:ascii="Arial" w:hAnsi="Arial"/>
          <w:color w:val="231F20"/>
          <w:spacing w:val="-15"/>
          <w:w w:val="115"/>
          <w:sz w:val="19"/>
        </w:rPr>
        <w:t> </w:t>
      </w:r>
      <w:r>
        <w:rPr>
          <w:rFonts w:ascii="Arial" w:hAnsi="Arial"/>
          <w:color w:val="231F20"/>
          <w:w w:val="115"/>
          <w:sz w:val="19"/>
        </w:rPr>
        <w:t>(e.g.,</w:t>
      </w:r>
      <w:r>
        <w:rPr>
          <w:rFonts w:ascii="Arial" w:hAnsi="Arial"/>
          <w:color w:val="231F20"/>
          <w:spacing w:val="-15"/>
          <w:w w:val="115"/>
          <w:sz w:val="19"/>
        </w:rPr>
        <w:t> </w:t>
      </w:r>
      <w:r>
        <w:rPr>
          <w:rFonts w:ascii="Arial" w:hAnsi="Arial"/>
          <w:color w:val="231F20"/>
          <w:w w:val="115"/>
          <w:sz w:val="19"/>
        </w:rPr>
        <w:t>status, </w:t>
      </w:r>
      <w:r>
        <w:rPr>
          <w:rFonts w:ascii="Arial" w:hAnsi="Arial"/>
          <w:color w:val="231F20"/>
          <w:spacing w:val="-2"/>
          <w:w w:val="115"/>
          <w:sz w:val="19"/>
        </w:rPr>
        <w:t>love)</w:t>
      </w:r>
    </w:p>
    <w:p>
      <w:pPr>
        <w:pStyle w:val="BodyText"/>
        <w:spacing w:before="4"/>
        <w:rPr>
          <w:rFonts w:ascii="Arial"/>
          <w:sz w:val="24"/>
        </w:rPr>
      </w:pPr>
    </w:p>
    <w:p>
      <w:pPr>
        <w:pStyle w:val="BodyText"/>
        <w:spacing w:line="292" w:lineRule="auto"/>
        <w:ind w:left="920" w:right="663" w:firstLine="340"/>
        <w:jc w:val="both"/>
      </w:pPr>
      <w:r>
        <w:rPr>
          <w:color w:val="231F20"/>
        </w:rPr>
        <w:t>Stereos, clothing, cars, and professional services are examples </w:t>
      </w:r>
      <w:r>
        <w:rPr>
          <w:color w:val="231F20"/>
        </w:rPr>
        <w:t>of high-involvement purchases. They are usually higher priced and at times difficult to compare. Determining the differences between al- ternatives</w:t>
      </w:r>
      <w:r>
        <w:rPr>
          <w:color w:val="231F20"/>
          <w:spacing w:val="40"/>
        </w:rPr>
        <w:t> </w:t>
      </w:r>
      <w:r>
        <w:rPr>
          <w:color w:val="231F20"/>
        </w:rPr>
        <w:t>makes</w:t>
      </w:r>
      <w:r>
        <w:rPr>
          <w:color w:val="231F20"/>
          <w:spacing w:val="40"/>
        </w:rPr>
        <w:t> </w:t>
      </w:r>
      <w:r>
        <w:rPr>
          <w:color w:val="231F20"/>
        </w:rPr>
        <w:t>high-involvement</w:t>
      </w:r>
      <w:r>
        <w:rPr>
          <w:color w:val="231F20"/>
          <w:spacing w:val="40"/>
        </w:rPr>
        <w:t> </w:t>
      </w:r>
      <w:r>
        <w:rPr>
          <w:color w:val="231F20"/>
        </w:rPr>
        <w:t>purchases</w:t>
      </w:r>
      <w:r>
        <w:rPr>
          <w:color w:val="231F20"/>
          <w:spacing w:val="40"/>
        </w:rPr>
        <w:t> </w:t>
      </w:r>
      <w:r>
        <w:rPr>
          <w:color w:val="231F20"/>
        </w:rPr>
        <w:t>difficult,</w:t>
      </w:r>
      <w:r>
        <w:rPr>
          <w:color w:val="231F20"/>
          <w:spacing w:val="40"/>
        </w:rPr>
        <w:t> </w:t>
      </w:r>
      <w:r>
        <w:rPr>
          <w:color w:val="231F20"/>
        </w:rPr>
        <w:t>especially</w:t>
      </w:r>
      <w:r>
        <w:rPr>
          <w:color w:val="231F20"/>
          <w:spacing w:val="80"/>
        </w:rPr>
        <w:t> </w:t>
      </w:r>
      <w:r>
        <w:rPr>
          <w:color w:val="231F20"/>
        </w:rPr>
        <w:t>if the buyer is not an expert. Thus, the information search can be quite</w:t>
      </w:r>
      <w:r>
        <w:rPr>
          <w:color w:val="231F20"/>
          <w:spacing w:val="40"/>
        </w:rPr>
        <w:t> </w:t>
      </w:r>
      <w:r>
        <w:rPr>
          <w:color w:val="231F20"/>
        </w:rPr>
        <w:t>extensive.</w:t>
      </w:r>
      <w:r>
        <w:rPr>
          <w:color w:val="231F20"/>
          <w:spacing w:val="40"/>
        </w:rPr>
        <w:t> </w:t>
      </w:r>
      <w:r>
        <w:rPr>
          <w:color w:val="231F20"/>
        </w:rPr>
        <w:t>When</w:t>
      </w:r>
      <w:r>
        <w:rPr>
          <w:color w:val="231F20"/>
          <w:spacing w:val="40"/>
        </w:rPr>
        <w:t> </w:t>
      </w:r>
      <w:r>
        <w:rPr>
          <w:color w:val="231F20"/>
        </w:rPr>
        <w:t>litigating</w:t>
      </w:r>
      <w:r>
        <w:rPr>
          <w:color w:val="231F20"/>
          <w:spacing w:val="40"/>
        </w:rPr>
        <w:t> </w:t>
      </w:r>
      <w:r>
        <w:rPr>
          <w:color w:val="231F20"/>
        </w:rPr>
        <w:t>a</w:t>
      </w:r>
      <w:r>
        <w:rPr>
          <w:color w:val="231F20"/>
          <w:spacing w:val="40"/>
        </w:rPr>
        <w:t> </w:t>
      </w:r>
      <w:r>
        <w:rPr>
          <w:color w:val="231F20"/>
        </w:rPr>
        <w:t>damage</w:t>
      </w:r>
      <w:r>
        <w:rPr>
          <w:color w:val="231F20"/>
          <w:spacing w:val="40"/>
        </w:rPr>
        <w:t> </w:t>
      </w:r>
      <w:r>
        <w:rPr>
          <w:color w:val="231F20"/>
        </w:rPr>
        <w:t>claim,</w:t>
      </w:r>
      <w:r>
        <w:rPr>
          <w:color w:val="231F20"/>
          <w:spacing w:val="40"/>
        </w:rPr>
        <w:t> </w:t>
      </w:r>
      <w:r>
        <w:rPr>
          <w:color w:val="231F20"/>
        </w:rPr>
        <w:t>for</w:t>
      </w:r>
      <w:r>
        <w:rPr>
          <w:color w:val="231F20"/>
          <w:spacing w:val="40"/>
        </w:rPr>
        <w:t> </w:t>
      </w:r>
      <w:r>
        <w:rPr>
          <w:color w:val="231F20"/>
        </w:rPr>
        <w:t>example, usually there is no second chance to take the case to trial. Therefore, the choice of a lawyer is a high-involvement selection. With </w:t>
      </w:r>
      <w:r>
        <w:rPr>
          <w:i/>
          <w:color w:val="231F20"/>
        </w:rPr>
        <w:t>low-</w:t>
      </w:r>
      <w:r>
        <w:rPr>
          <w:i/>
          <w:color w:val="231F20"/>
        </w:rPr>
        <w:t> involvement</w:t>
      </w:r>
      <w:r>
        <w:rPr>
          <w:i/>
          <w:color w:val="231F20"/>
          <w:spacing w:val="40"/>
        </w:rPr>
        <w:t> </w:t>
      </w:r>
      <w:r>
        <w:rPr>
          <w:color w:val="231F20"/>
        </w:rPr>
        <w:t>products</w:t>
      </w:r>
      <w:r>
        <w:rPr>
          <w:color w:val="231F20"/>
          <w:spacing w:val="40"/>
        </w:rPr>
        <w:t> </w:t>
      </w:r>
      <w:r>
        <w:rPr>
          <w:color w:val="231F20"/>
        </w:rPr>
        <w:t>the</w:t>
      </w:r>
      <w:r>
        <w:rPr>
          <w:color w:val="231F20"/>
          <w:spacing w:val="40"/>
        </w:rPr>
        <w:t> </w:t>
      </w:r>
      <w:r>
        <w:rPr>
          <w:color w:val="231F20"/>
        </w:rPr>
        <w:t>decision</w:t>
      </w:r>
      <w:r>
        <w:rPr>
          <w:color w:val="231F20"/>
          <w:spacing w:val="40"/>
        </w:rPr>
        <w:t> </w:t>
      </w:r>
      <w:r>
        <w:rPr>
          <w:color w:val="231F20"/>
        </w:rPr>
        <w:t>is</w:t>
      </w:r>
      <w:r>
        <w:rPr>
          <w:color w:val="231F20"/>
          <w:spacing w:val="40"/>
        </w:rPr>
        <w:t> </w:t>
      </w:r>
      <w:r>
        <w:rPr>
          <w:color w:val="231F20"/>
        </w:rPr>
        <w:t>simpler.</w:t>
      </w:r>
      <w:r>
        <w:rPr>
          <w:color w:val="231F20"/>
          <w:spacing w:val="40"/>
        </w:rPr>
        <w:t> </w:t>
      </w:r>
      <w:r>
        <w:rPr>
          <w:color w:val="231F20"/>
        </w:rPr>
        <w:t>For</w:t>
      </w:r>
      <w:r>
        <w:rPr>
          <w:color w:val="231F20"/>
          <w:spacing w:val="40"/>
        </w:rPr>
        <w:t> </w:t>
      </w:r>
      <w:r>
        <w:rPr>
          <w:color w:val="231F20"/>
        </w:rPr>
        <w:t>example,</w:t>
      </w:r>
      <w:r>
        <w:rPr>
          <w:color w:val="231F20"/>
          <w:spacing w:val="40"/>
        </w:rPr>
        <w:t> </w:t>
      </w:r>
      <w:r>
        <w:rPr>
          <w:color w:val="231F20"/>
        </w:rPr>
        <w:t>if</w:t>
      </w:r>
      <w:r>
        <w:rPr>
          <w:color w:val="231F20"/>
          <w:spacing w:val="40"/>
        </w:rPr>
        <w:t> </w:t>
      </w:r>
      <w:r>
        <w:rPr>
          <w:color w:val="231F20"/>
        </w:rPr>
        <w:t>a candy bar isn’t tasty, you can always pitch it and buy another one.</w:t>
      </w:r>
    </w:p>
    <w:p>
      <w:pPr>
        <w:pStyle w:val="BodyText"/>
        <w:spacing w:line="292" w:lineRule="auto"/>
        <w:ind w:left="920" w:right="666" w:firstLine="340"/>
        <w:jc w:val="both"/>
      </w:pPr>
      <w:r>
        <w:rPr>
          <w:color w:val="231F20"/>
        </w:rPr>
        <w:t>A helpful matrix above captures the possible behaviors </w:t>
      </w:r>
      <w:r>
        <w:rPr>
          <w:color w:val="231F20"/>
        </w:rPr>
        <w:t>resulting from the interaction of the levels of involvement and product dif- ferences. By understanding the possible behaviors, you, as a mar- keter, may be able to take advantage of this knowledge to sell your </w:t>
      </w:r>
      <w:r>
        <w:rPr>
          <w:color w:val="231F20"/>
          <w:spacing w:val="-2"/>
        </w:rPr>
        <w:t>product.</w:t>
      </w:r>
    </w:p>
    <w:p>
      <w:pPr>
        <w:pStyle w:val="BodyText"/>
        <w:spacing w:line="292" w:lineRule="auto"/>
        <w:ind w:left="920" w:right="666" w:firstLine="340"/>
        <w:jc w:val="both"/>
      </w:pPr>
      <w:r>
        <w:rPr>
          <w:color w:val="231F20"/>
        </w:rPr>
        <w:t>This academic model does have real-world implications for </w:t>
      </w:r>
      <w:r>
        <w:rPr>
          <w:color w:val="231F20"/>
        </w:rPr>
        <w:t>ac- tion. A high-involvement product, such as a Harley-Davidson mo- torcycle, would appear in the upper left-hand corner of the matrix. The model would suggest that Harley’s marketing efforts should be geared toward demonstrating its technical superiority, but also in- clude an emotional appeal—“buy an American classic”—</w:t>
      </w:r>
      <w:r>
        <w:rPr>
          <w:color w:val="231F20"/>
          <w:spacing w:val="-12"/>
        </w:rPr>
        <w:t> </w:t>
      </w:r>
      <w:r>
        <w:rPr>
          <w:color w:val="231F20"/>
        </w:rPr>
        <w:t>to engen- der loyalty.</w:t>
      </w:r>
    </w:p>
    <w:p>
      <w:pPr>
        <w:pStyle w:val="BodyText"/>
        <w:spacing w:line="292" w:lineRule="auto"/>
        <w:ind w:left="920" w:right="666" w:firstLine="340"/>
        <w:jc w:val="both"/>
      </w:pPr>
      <w:r>
        <w:rPr>
          <w:color w:val="231F20"/>
        </w:rPr>
        <w:t>The marketer’s magic is at work when he or she transforms a previously low-involvement product into a high-involvement one. Athletic</w:t>
      </w:r>
      <w:r>
        <w:rPr>
          <w:color w:val="231F20"/>
          <w:spacing w:val="30"/>
        </w:rPr>
        <w:t> </w:t>
      </w:r>
      <w:r>
        <w:rPr>
          <w:color w:val="231F20"/>
        </w:rPr>
        <w:t>shoes</w:t>
      </w:r>
      <w:r>
        <w:rPr>
          <w:color w:val="231F20"/>
          <w:spacing w:val="30"/>
        </w:rPr>
        <w:t> </w:t>
      </w:r>
      <w:r>
        <w:rPr>
          <w:color w:val="231F20"/>
        </w:rPr>
        <w:t>are</w:t>
      </w:r>
      <w:r>
        <w:rPr>
          <w:color w:val="231F20"/>
          <w:spacing w:val="30"/>
        </w:rPr>
        <w:t> </w:t>
      </w:r>
      <w:r>
        <w:rPr>
          <w:color w:val="231F20"/>
        </w:rPr>
        <w:t>a</w:t>
      </w:r>
      <w:r>
        <w:rPr>
          <w:color w:val="231F20"/>
          <w:spacing w:val="31"/>
        </w:rPr>
        <w:t> </w:t>
      </w:r>
      <w:r>
        <w:rPr>
          <w:color w:val="231F20"/>
        </w:rPr>
        <w:t>prime</w:t>
      </w:r>
      <w:r>
        <w:rPr>
          <w:color w:val="231F20"/>
          <w:spacing w:val="30"/>
        </w:rPr>
        <w:t> </w:t>
      </w:r>
      <w:r>
        <w:rPr>
          <w:color w:val="231F20"/>
        </w:rPr>
        <w:t>example.</w:t>
      </w:r>
      <w:r>
        <w:rPr>
          <w:color w:val="231F20"/>
          <w:spacing w:val="30"/>
        </w:rPr>
        <w:t> </w:t>
      </w:r>
      <w:r>
        <w:rPr>
          <w:color w:val="231F20"/>
        </w:rPr>
        <w:t>Once</w:t>
      </w:r>
      <w:r>
        <w:rPr>
          <w:color w:val="231F20"/>
          <w:spacing w:val="31"/>
        </w:rPr>
        <w:t> </w:t>
      </w:r>
      <w:r>
        <w:rPr>
          <w:color w:val="231F20"/>
        </w:rPr>
        <w:t>just</w:t>
      </w:r>
      <w:r>
        <w:rPr>
          <w:color w:val="231F20"/>
          <w:spacing w:val="30"/>
        </w:rPr>
        <w:t> </w:t>
      </w:r>
      <w:r>
        <w:rPr>
          <w:color w:val="231F20"/>
        </w:rPr>
        <w:t>functional</w:t>
      </w:r>
      <w:r>
        <w:rPr>
          <w:color w:val="231F20"/>
          <w:spacing w:val="30"/>
        </w:rPr>
        <w:t> </w:t>
      </w:r>
      <w:r>
        <w:rPr>
          <w:color w:val="231F20"/>
        </w:rPr>
        <w:t>shoes</w:t>
      </w:r>
      <w:r>
        <w:rPr>
          <w:color w:val="231F20"/>
          <w:spacing w:val="31"/>
        </w:rPr>
        <w:t> </w:t>
      </w:r>
      <w:r>
        <w:rPr>
          <w:color w:val="231F20"/>
          <w:spacing w:val="-5"/>
        </w:rPr>
        <w:t>for</w:t>
      </w:r>
    </w:p>
    <w:p>
      <w:pPr>
        <w:spacing w:after="0" w:line="292" w:lineRule="auto"/>
        <w:jc w:val="both"/>
        <w:sectPr>
          <w:pgSz w:w="8640" w:h="12960"/>
          <w:pgMar w:header="734" w:footer="0" w:top="920" w:bottom="280" w:left="340" w:right="500"/>
        </w:sectPr>
      </w:pPr>
    </w:p>
    <w:p>
      <w:pPr>
        <w:pStyle w:val="BodyText"/>
        <w:spacing w:before="10"/>
        <w:rPr>
          <w:sz w:val="19"/>
        </w:rPr>
      </w:pPr>
    </w:p>
    <w:p>
      <w:pPr>
        <w:spacing w:before="96"/>
        <w:ind w:left="293" w:right="219" w:firstLine="0"/>
        <w:jc w:val="center"/>
        <w:rPr>
          <w:rFonts w:ascii="Arial"/>
          <w:sz w:val="14"/>
        </w:rPr>
      </w:pPr>
      <w:r>
        <w:rPr>
          <w:rFonts w:ascii="Arial"/>
          <w:color w:val="231F20"/>
          <w:w w:val="105"/>
          <w:sz w:val="14"/>
        </w:rPr>
        <w:t>CONSUMER</w:t>
      </w:r>
      <w:r>
        <w:rPr>
          <w:rFonts w:ascii="Arial"/>
          <w:color w:val="231F20"/>
          <w:spacing w:val="27"/>
          <w:w w:val="105"/>
          <w:sz w:val="14"/>
        </w:rPr>
        <w:t> </w:t>
      </w:r>
      <w:r>
        <w:rPr>
          <w:rFonts w:ascii="Arial"/>
          <w:color w:val="231F20"/>
          <w:w w:val="105"/>
          <w:sz w:val="14"/>
        </w:rPr>
        <w:t>BEHAVIOR</w:t>
      </w:r>
      <w:r>
        <w:rPr>
          <w:rFonts w:ascii="Arial"/>
          <w:color w:val="231F20"/>
          <w:spacing w:val="27"/>
          <w:w w:val="105"/>
          <w:sz w:val="14"/>
        </w:rPr>
        <w:t> </w:t>
      </w:r>
      <w:r>
        <w:rPr>
          <w:rFonts w:ascii="Arial"/>
          <w:color w:val="231F20"/>
          <w:spacing w:val="-2"/>
          <w:w w:val="105"/>
          <w:sz w:val="14"/>
        </w:rPr>
        <w:t>MATRIX</w:t>
      </w:r>
    </w:p>
    <w:p>
      <w:pPr>
        <w:pStyle w:val="BodyText"/>
        <w:spacing w:before="5"/>
        <w:rPr>
          <w:rFonts w:ascii="Arial"/>
          <w:sz w:val="11"/>
        </w:rPr>
      </w:pPr>
      <w:r>
        <w:rPr/>
        <w:drawing>
          <wp:anchor distT="0" distB="0" distL="0" distR="0" allowOverlap="1" layoutInCell="1" locked="0" behindDoc="0" simplePos="0" relativeHeight="28">
            <wp:simplePos x="0" y="0"/>
            <wp:positionH relativeFrom="page">
              <wp:posOffset>745486</wp:posOffset>
            </wp:positionH>
            <wp:positionV relativeFrom="paragraph">
              <wp:posOffset>99147</wp:posOffset>
            </wp:positionV>
            <wp:extent cx="3970408" cy="1810512"/>
            <wp:effectExtent l="0" t="0" r="0" b="0"/>
            <wp:wrapTopAndBottom/>
            <wp:docPr id="7" name="image5.png"/>
            <wp:cNvGraphicFramePr>
              <a:graphicFrameLocks noChangeAspect="1"/>
            </wp:cNvGraphicFramePr>
            <a:graphic>
              <a:graphicData uri="http://schemas.openxmlformats.org/drawingml/2006/picture">
                <pic:pic>
                  <pic:nvPicPr>
                    <pic:cNvPr id="8" name="image5.png"/>
                    <pic:cNvPicPr/>
                  </pic:nvPicPr>
                  <pic:blipFill>
                    <a:blip r:embed="rId18" cstate="print"/>
                    <a:stretch>
                      <a:fillRect/>
                    </a:stretch>
                  </pic:blipFill>
                  <pic:spPr>
                    <a:xfrm>
                      <a:off x="0" y="0"/>
                      <a:ext cx="3970408" cy="1810512"/>
                    </a:xfrm>
                    <a:prstGeom prst="rect">
                      <a:avLst/>
                    </a:prstGeom>
                  </pic:spPr>
                </pic:pic>
              </a:graphicData>
            </a:graphic>
          </wp:anchor>
        </w:drawing>
      </w:r>
    </w:p>
    <w:p>
      <w:pPr>
        <w:pStyle w:val="BodyText"/>
        <w:rPr>
          <w:rFonts w:ascii="Arial"/>
          <w:sz w:val="14"/>
        </w:rPr>
      </w:pPr>
    </w:p>
    <w:p>
      <w:pPr>
        <w:pStyle w:val="BodyText"/>
        <w:spacing w:before="2"/>
        <w:rPr>
          <w:rFonts w:ascii="Arial"/>
          <w:sz w:val="20"/>
        </w:rPr>
      </w:pPr>
    </w:p>
    <w:p>
      <w:pPr>
        <w:spacing w:before="0"/>
        <w:ind w:left="830" w:right="0" w:firstLine="0"/>
        <w:jc w:val="both"/>
        <w:rPr>
          <w:i/>
          <w:sz w:val="20"/>
        </w:rPr>
      </w:pPr>
      <w:r>
        <w:rPr>
          <w:color w:val="231F20"/>
          <w:sz w:val="20"/>
        </w:rPr>
        <w:t>Adapted</w:t>
      </w:r>
      <w:r>
        <w:rPr>
          <w:color w:val="231F20"/>
          <w:spacing w:val="20"/>
          <w:sz w:val="20"/>
        </w:rPr>
        <w:t> </w:t>
      </w:r>
      <w:r>
        <w:rPr>
          <w:color w:val="231F20"/>
          <w:sz w:val="20"/>
        </w:rPr>
        <w:t>from</w:t>
      </w:r>
      <w:r>
        <w:rPr>
          <w:color w:val="231F20"/>
          <w:spacing w:val="21"/>
          <w:sz w:val="20"/>
        </w:rPr>
        <w:t> </w:t>
      </w:r>
      <w:r>
        <w:rPr>
          <w:color w:val="231F20"/>
          <w:sz w:val="20"/>
        </w:rPr>
        <w:t>Henry</w:t>
      </w:r>
      <w:r>
        <w:rPr>
          <w:color w:val="231F20"/>
          <w:spacing w:val="21"/>
          <w:sz w:val="20"/>
        </w:rPr>
        <w:t> </w:t>
      </w:r>
      <w:r>
        <w:rPr>
          <w:color w:val="231F20"/>
          <w:sz w:val="20"/>
        </w:rPr>
        <w:t>Assael,</w:t>
      </w:r>
      <w:r>
        <w:rPr>
          <w:color w:val="231F20"/>
          <w:spacing w:val="21"/>
          <w:sz w:val="20"/>
        </w:rPr>
        <w:t> </w:t>
      </w:r>
      <w:r>
        <w:rPr>
          <w:i/>
          <w:color w:val="231F20"/>
          <w:sz w:val="20"/>
        </w:rPr>
        <w:t>Consumer</w:t>
      </w:r>
      <w:r>
        <w:rPr>
          <w:i/>
          <w:color w:val="231F20"/>
          <w:spacing w:val="21"/>
          <w:sz w:val="20"/>
        </w:rPr>
        <w:t> </w:t>
      </w:r>
      <w:r>
        <w:rPr>
          <w:i/>
          <w:color w:val="231F20"/>
          <w:sz w:val="20"/>
        </w:rPr>
        <w:t>Behavior</w:t>
      </w:r>
      <w:r>
        <w:rPr>
          <w:i/>
          <w:color w:val="231F20"/>
          <w:spacing w:val="21"/>
          <w:sz w:val="20"/>
        </w:rPr>
        <w:t> </w:t>
      </w:r>
      <w:r>
        <w:rPr>
          <w:i/>
          <w:color w:val="231F20"/>
          <w:sz w:val="20"/>
        </w:rPr>
        <w:t>and</w:t>
      </w:r>
      <w:r>
        <w:rPr>
          <w:i/>
          <w:color w:val="231F20"/>
          <w:spacing w:val="21"/>
          <w:sz w:val="20"/>
        </w:rPr>
        <w:t> </w:t>
      </w:r>
      <w:r>
        <w:rPr>
          <w:i/>
          <w:color w:val="231F20"/>
          <w:sz w:val="20"/>
        </w:rPr>
        <w:t>Marketing</w:t>
      </w:r>
      <w:r>
        <w:rPr>
          <w:i/>
          <w:color w:val="231F20"/>
          <w:spacing w:val="21"/>
          <w:sz w:val="20"/>
        </w:rPr>
        <w:t> </w:t>
      </w:r>
      <w:r>
        <w:rPr>
          <w:i/>
          <w:color w:val="231F20"/>
          <w:spacing w:val="-2"/>
          <w:sz w:val="20"/>
        </w:rPr>
        <w:t>Action,</w:t>
      </w:r>
    </w:p>
    <w:p>
      <w:pPr>
        <w:spacing w:before="6"/>
        <w:ind w:left="830" w:right="0" w:firstLine="0"/>
        <w:jc w:val="both"/>
        <w:rPr>
          <w:sz w:val="20"/>
        </w:rPr>
      </w:pPr>
      <w:r>
        <w:rPr>
          <w:color w:val="231F20"/>
          <w:w w:val="105"/>
          <w:sz w:val="20"/>
        </w:rPr>
        <w:t>4th</w:t>
      </w:r>
      <w:r>
        <w:rPr>
          <w:color w:val="231F20"/>
          <w:spacing w:val="-12"/>
          <w:w w:val="105"/>
          <w:sz w:val="20"/>
        </w:rPr>
        <w:t> </w:t>
      </w:r>
      <w:r>
        <w:rPr>
          <w:color w:val="231F20"/>
          <w:w w:val="105"/>
          <w:sz w:val="20"/>
        </w:rPr>
        <w:t>ed.</w:t>
      </w:r>
      <w:r>
        <w:rPr>
          <w:color w:val="231F20"/>
          <w:spacing w:val="-11"/>
          <w:w w:val="105"/>
          <w:sz w:val="20"/>
        </w:rPr>
        <w:t> </w:t>
      </w:r>
      <w:r>
        <w:rPr>
          <w:color w:val="231F20"/>
          <w:w w:val="105"/>
          <w:sz w:val="20"/>
        </w:rPr>
        <w:t>(Boston:</w:t>
      </w:r>
      <w:r>
        <w:rPr>
          <w:color w:val="231F20"/>
          <w:spacing w:val="-12"/>
          <w:w w:val="105"/>
          <w:sz w:val="20"/>
        </w:rPr>
        <w:t> </w:t>
      </w:r>
      <w:r>
        <w:rPr>
          <w:color w:val="231F20"/>
          <w:w w:val="105"/>
          <w:sz w:val="20"/>
        </w:rPr>
        <w:t>PWS-Kent</w:t>
      </w:r>
      <w:r>
        <w:rPr>
          <w:color w:val="231F20"/>
          <w:spacing w:val="-11"/>
          <w:w w:val="105"/>
          <w:sz w:val="20"/>
        </w:rPr>
        <w:t> </w:t>
      </w:r>
      <w:r>
        <w:rPr>
          <w:color w:val="231F20"/>
          <w:w w:val="105"/>
          <w:sz w:val="20"/>
        </w:rPr>
        <w:t>Publishing</w:t>
      </w:r>
      <w:r>
        <w:rPr>
          <w:color w:val="231F20"/>
          <w:spacing w:val="-12"/>
          <w:w w:val="105"/>
          <w:sz w:val="20"/>
        </w:rPr>
        <w:t> </w:t>
      </w:r>
      <w:r>
        <w:rPr>
          <w:color w:val="231F20"/>
          <w:w w:val="105"/>
          <w:sz w:val="20"/>
        </w:rPr>
        <w:t>Co.,</w:t>
      </w:r>
      <w:r>
        <w:rPr>
          <w:color w:val="231F20"/>
          <w:spacing w:val="-11"/>
          <w:w w:val="105"/>
          <w:sz w:val="20"/>
        </w:rPr>
        <w:t> </w:t>
      </w:r>
      <w:r>
        <w:rPr>
          <w:color w:val="231F20"/>
          <w:w w:val="105"/>
          <w:sz w:val="20"/>
        </w:rPr>
        <w:t>1992),</w:t>
      </w:r>
      <w:r>
        <w:rPr>
          <w:color w:val="231F20"/>
          <w:spacing w:val="-12"/>
          <w:w w:val="105"/>
          <w:sz w:val="20"/>
        </w:rPr>
        <w:t> </w:t>
      </w:r>
      <w:r>
        <w:rPr>
          <w:color w:val="231F20"/>
          <w:w w:val="105"/>
          <w:sz w:val="20"/>
        </w:rPr>
        <w:t>p.</w:t>
      </w:r>
      <w:r>
        <w:rPr>
          <w:color w:val="231F20"/>
          <w:spacing w:val="-11"/>
          <w:w w:val="105"/>
          <w:sz w:val="20"/>
        </w:rPr>
        <w:t> </w:t>
      </w:r>
      <w:r>
        <w:rPr>
          <w:color w:val="231F20"/>
          <w:spacing w:val="-4"/>
          <w:w w:val="105"/>
          <w:sz w:val="20"/>
        </w:rPr>
        <w:t>100.</w:t>
      </w:r>
    </w:p>
    <w:p>
      <w:pPr>
        <w:pStyle w:val="BodyText"/>
        <w:rPr>
          <w:sz w:val="22"/>
        </w:rPr>
      </w:pPr>
    </w:p>
    <w:p>
      <w:pPr>
        <w:pStyle w:val="BodyText"/>
        <w:rPr>
          <w:sz w:val="22"/>
        </w:rPr>
      </w:pPr>
    </w:p>
    <w:p>
      <w:pPr>
        <w:pStyle w:val="BodyText"/>
        <w:spacing w:before="7"/>
        <w:rPr>
          <w:sz w:val="19"/>
        </w:rPr>
      </w:pPr>
    </w:p>
    <w:p>
      <w:pPr>
        <w:pStyle w:val="BodyText"/>
        <w:spacing w:line="292" w:lineRule="auto"/>
        <w:ind w:left="830" w:right="753"/>
        <w:jc w:val="both"/>
      </w:pPr>
      <w:r>
        <w:rPr>
          <w:color w:val="231F20"/>
        </w:rPr>
        <w:t>gym class, sports shoes have become a status symbol for young peo- ple and even the cause of murder on inner-city streets. The conver- sion of a low-involvement product to a high-involvement product</w:t>
      </w:r>
      <w:r>
        <w:rPr>
          <w:color w:val="231F20"/>
          <w:spacing w:val="80"/>
        </w:rPr>
        <w:t> </w:t>
      </w:r>
      <w:r>
        <w:rPr>
          <w:color w:val="231F20"/>
        </w:rPr>
        <w:t>can make a simple commodity product stand out against an </w:t>
      </w:r>
      <w:r>
        <w:rPr>
          <w:color w:val="231F20"/>
        </w:rPr>
        <w:t>undif- ferentiated field of competitors. There are four generic ways in</w:t>
      </w:r>
      <w:r>
        <w:rPr>
          <w:color w:val="231F20"/>
          <w:spacing w:val="80"/>
        </w:rPr>
        <w:t> </w:t>
      </w:r>
      <w:r>
        <w:rPr>
          <w:color w:val="231F20"/>
        </w:rPr>
        <w:t>which this can be accomplished.</w:t>
      </w:r>
    </w:p>
    <w:p>
      <w:pPr>
        <w:spacing w:line="292" w:lineRule="auto" w:before="0"/>
        <w:ind w:left="829" w:right="757" w:firstLine="340"/>
        <w:jc w:val="both"/>
        <w:rPr>
          <w:sz w:val="21"/>
        </w:rPr>
      </w:pPr>
      <w:r>
        <w:rPr>
          <w:rFonts w:ascii="Arial" w:hAnsi="Arial"/>
          <w:color w:val="231F20"/>
          <w:w w:val="105"/>
          <w:sz w:val="18"/>
        </w:rPr>
        <w:t>Link</w:t>
      </w:r>
      <w:r>
        <w:rPr>
          <w:rFonts w:ascii="Arial" w:hAnsi="Arial"/>
          <w:color w:val="231F20"/>
          <w:w w:val="105"/>
          <w:sz w:val="18"/>
        </w:rPr>
        <w:t> Product</w:t>
      </w:r>
      <w:r>
        <w:rPr>
          <w:rFonts w:ascii="Arial" w:hAnsi="Arial"/>
          <w:color w:val="231F20"/>
          <w:w w:val="105"/>
          <w:sz w:val="18"/>
        </w:rPr>
        <w:t> </w:t>
      </w:r>
      <w:r>
        <w:rPr>
          <w:rFonts w:ascii="Arial" w:hAnsi="Arial"/>
          <w:color w:val="231F20"/>
          <w:w w:val="110"/>
          <w:sz w:val="18"/>
        </w:rPr>
        <w:t>to</w:t>
      </w:r>
      <w:r>
        <w:rPr>
          <w:rFonts w:ascii="Arial" w:hAnsi="Arial"/>
          <w:color w:val="231F20"/>
          <w:w w:val="110"/>
          <w:sz w:val="18"/>
        </w:rPr>
        <w:t> </w:t>
      </w:r>
      <w:r>
        <w:rPr>
          <w:rFonts w:ascii="Arial" w:hAnsi="Arial"/>
          <w:color w:val="231F20"/>
          <w:w w:val="105"/>
          <w:sz w:val="18"/>
        </w:rPr>
        <w:t>a</w:t>
      </w:r>
      <w:r>
        <w:rPr>
          <w:rFonts w:ascii="Arial" w:hAnsi="Arial"/>
          <w:color w:val="231F20"/>
          <w:w w:val="105"/>
          <w:sz w:val="18"/>
        </w:rPr>
        <w:t> High-Involvement</w:t>
      </w:r>
      <w:r>
        <w:rPr>
          <w:rFonts w:ascii="Arial" w:hAnsi="Arial"/>
          <w:color w:val="231F20"/>
          <w:w w:val="105"/>
          <w:sz w:val="18"/>
        </w:rPr>
        <w:t> Issue.</w:t>
      </w:r>
      <w:r>
        <w:rPr>
          <w:rFonts w:ascii="Arial" w:hAnsi="Arial"/>
          <w:color w:val="231F20"/>
          <w:w w:val="105"/>
          <w:sz w:val="18"/>
        </w:rPr>
        <w:t> </w:t>
      </w:r>
      <w:r>
        <w:rPr>
          <w:color w:val="231F20"/>
          <w:w w:val="105"/>
          <w:sz w:val="21"/>
        </w:rPr>
        <w:t>Linking</w:t>
      </w:r>
      <w:r>
        <w:rPr>
          <w:color w:val="231F20"/>
          <w:w w:val="105"/>
          <w:sz w:val="21"/>
        </w:rPr>
        <w:t> Procter</w:t>
      </w:r>
      <w:r>
        <w:rPr>
          <w:color w:val="231F20"/>
          <w:w w:val="105"/>
          <w:sz w:val="21"/>
        </w:rPr>
        <w:t> </w:t>
      </w:r>
      <w:r>
        <w:rPr>
          <w:color w:val="231F20"/>
          <w:w w:val="110"/>
          <w:sz w:val="21"/>
        </w:rPr>
        <w:t>&amp; </w:t>
      </w:r>
      <w:r>
        <w:rPr>
          <w:color w:val="231F20"/>
          <w:w w:val="105"/>
          <w:sz w:val="21"/>
        </w:rPr>
        <w:t>Gamble’s</w:t>
      </w:r>
      <w:r>
        <w:rPr>
          <w:color w:val="231F20"/>
          <w:w w:val="105"/>
          <w:sz w:val="21"/>
        </w:rPr>
        <w:t> Puritan</w:t>
      </w:r>
      <w:r>
        <w:rPr>
          <w:color w:val="231F20"/>
          <w:w w:val="105"/>
          <w:sz w:val="21"/>
        </w:rPr>
        <w:t> no-cholesterol</w:t>
      </w:r>
      <w:r>
        <w:rPr>
          <w:color w:val="231F20"/>
          <w:w w:val="105"/>
          <w:sz w:val="21"/>
        </w:rPr>
        <w:t> cooking</w:t>
      </w:r>
      <w:r>
        <w:rPr>
          <w:color w:val="231F20"/>
          <w:w w:val="105"/>
          <w:sz w:val="21"/>
        </w:rPr>
        <w:t> oil</w:t>
      </w:r>
      <w:r>
        <w:rPr>
          <w:color w:val="231F20"/>
          <w:w w:val="105"/>
          <w:sz w:val="21"/>
        </w:rPr>
        <w:t> to</w:t>
      </w:r>
      <w:r>
        <w:rPr>
          <w:color w:val="231F20"/>
          <w:w w:val="105"/>
          <w:sz w:val="21"/>
        </w:rPr>
        <w:t> a</w:t>
      </w:r>
      <w:r>
        <w:rPr>
          <w:color w:val="231F20"/>
          <w:w w:val="105"/>
          <w:sz w:val="21"/>
        </w:rPr>
        <w:t> wife’s</w:t>
      </w:r>
      <w:r>
        <w:rPr>
          <w:color w:val="231F20"/>
          <w:w w:val="105"/>
          <w:sz w:val="21"/>
        </w:rPr>
        <w:t> fear</w:t>
      </w:r>
      <w:r>
        <w:rPr>
          <w:color w:val="231F20"/>
          <w:w w:val="105"/>
          <w:sz w:val="21"/>
        </w:rPr>
        <w:t> of</w:t>
      </w:r>
      <w:r>
        <w:rPr>
          <w:color w:val="231F20"/>
          <w:w w:val="105"/>
          <w:sz w:val="21"/>
        </w:rPr>
        <w:t> a husband’s</w:t>
      </w:r>
      <w:r>
        <w:rPr>
          <w:color w:val="231F20"/>
          <w:spacing w:val="-3"/>
          <w:w w:val="105"/>
          <w:sz w:val="21"/>
        </w:rPr>
        <w:t> </w:t>
      </w:r>
      <w:r>
        <w:rPr>
          <w:color w:val="231F20"/>
          <w:w w:val="105"/>
          <w:sz w:val="21"/>
        </w:rPr>
        <w:t>heart</w:t>
      </w:r>
      <w:r>
        <w:rPr>
          <w:color w:val="231F20"/>
          <w:spacing w:val="-3"/>
          <w:w w:val="105"/>
          <w:sz w:val="21"/>
        </w:rPr>
        <w:t> </w:t>
      </w:r>
      <w:r>
        <w:rPr>
          <w:color w:val="231F20"/>
          <w:w w:val="105"/>
          <w:sz w:val="21"/>
        </w:rPr>
        <w:t>attack</w:t>
      </w:r>
      <w:r>
        <w:rPr>
          <w:color w:val="231F20"/>
          <w:spacing w:val="-3"/>
          <w:w w:val="105"/>
          <w:sz w:val="21"/>
        </w:rPr>
        <w:t> </w:t>
      </w:r>
      <w:r>
        <w:rPr>
          <w:color w:val="231F20"/>
          <w:w w:val="105"/>
          <w:sz w:val="21"/>
        </w:rPr>
        <w:t>is</w:t>
      </w:r>
      <w:r>
        <w:rPr>
          <w:color w:val="231F20"/>
          <w:spacing w:val="-3"/>
          <w:w w:val="105"/>
          <w:sz w:val="21"/>
        </w:rPr>
        <w:t> </w:t>
      </w:r>
      <w:r>
        <w:rPr>
          <w:color w:val="231F20"/>
          <w:w w:val="105"/>
          <w:sz w:val="21"/>
        </w:rPr>
        <w:t>a</w:t>
      </w:r>
      <w:r>
        <w:rPr>
          <w:color w:val="231F20"/>
          <w:spacing w:val="-3"/>
          <w:w w:val="105"/>
          <w:sz w:val="21"/>
        </w:rPr>
        <w:t> </w:t>
      </w:r>
      <w:r>
        <w:rPr>
          <w:color w:val="231F20"/>
          <w:w w:val="105"/>
          <w:sz w:val="21"/>
        </w:rPr>
        <w:t>classic</w:t>
      </w:r>
      <w:r>
        <w:rPr>
          <w:color w:val="231F20"/>
          <w:spacing w:val="-3"/>
          <w:w w:val="105"/>
          <w:sz w:val="21"/>
        </w:rPr>
        <w:t> </w:t>
      </w:r>
      <w:r>
        <w:rPr>
          <w:color w:val="231F20"/>
          <w:w w:val="105"/>
          <w:sz w:val="21"/>
        </w:rPr>
        <w:t>example</w:t>
      </w:r>
      <w:r>
        <w:rPr>
          <w:color w:val="231F20"/>
          <w:spacing w:val="-3"/>
          <w:w w:val="105"/>
          <w:sz w:val="21"/>
        </w:rPr>
        <w:t> </w:t>
      </w:r>
      <w:r>
        <w:rPr>
          <w:color w:val="231F20"/>
          <w:w w:val="105"/>
          <w:sz w:val="21"/>
        </w:rPr>
        <w:t>of</w:t>
      </w:r>
      <w:r>
        <w:rPr>
          <w:color w:val="231F20"/>
          <w:spacing w:val="-3"/>
          <w:w w:val="105"/>
          <w:sz w:val="21"/>
        </w:rPr>
        <w:t> </w:t>
      </w:r>
      <w:r>
        <w:rPr>
          <w:color w:val="231F20"/>
          <w:w w:val="105"/>
          <w:sz w:val="21"/>
        </w:rPr>
        <w:t>an</w:t>
      </w:r>
      <w:r>
        <w:rPr>
          <w:color w:val="231F20"/>
          <w:spacing w:val="-3"/>
          <w:w w:val="105"/>
          <w:sz w:val="21"/>
        </w:rPr>
        <w:t> </w:t>
      </w:r>
      <w:r>
        <w:rPr>
          <w:color w:val="231F20"/>
          <w:w w:val="105"/>
          <w:sz w:val="21"/>
        </w:rPr>
        <w:t>advertising</w:t>
      </w:r>
      <w:r>
        <w:rPr>
          <w:color w:val="231F20"/>
          <w:spacing w:val="-3"/>
          <w:w w:val="105"/>
          <w:sz w:val="21"/>
        </w:rPr>
        <w:t> </w:t>
      </w:r>
      <w:r>
        <w:rPr>
          <w:color w:val="231F20"/>
          <w:w w:val="105"/>
          <w:sz w:val="21"/>
        </w:rPr>
        <w:t>ploy.</w:t>
      </w:r>
    </w:p>
    <w:p>
      <w:pPr>
        <w:pStyle w:val="BodyText"/>
        <w:spacing w:line="292" w:lineRule="auto"/>
        <w:ind w:left="830" w:right="753" w:firstLine="339"/>
        <w:jc w:val="both"/>
      </w:pPr>
      <w:r>
        <w:rPr>
          <w:rFonts w:ascii="Arial"/>
          <w:color w:val="231F20"/>
          <w:sz w:val="18"/>
        </w:rPr>
        <w:t>Use Involving Advertising. </w:t>
      </w:r>
      <w:r>
        <w:rPr>
          <w:color w:val="231F20"/>
        </w:rPr>
        <w:t>If the advertising creates a </w:t>
      </w:r>
      <w:r>
        <w:rPr>
          <w:i/>
          <w:color w:val="231F20"/>
        </w:rPr>
        <w:t>value-</w:t>
      </w:r>
      <w:r>
        <w:rPr>
          <w:i/>
          <w:color w:val="231F20"/>
        </w:rPr>
        <w:t> expressive </w:t>
      </w:r>
      <w:r>
        <w:rPr>
          <w:color w:val="231F20"/>
        </w:rPr>
        <w:t>message about the product or service, then a product </w:t>
      </w:r>
      <w:r>
        <w:rPr>
          <w:color w:val="231F20"/>
        </w:rPr>
        <w:t>can become important. Such messages link values, such as social status and love, instead of promoting physical product attributes to differ- entiate the product from the competition. Pepsi tries to link being modern and youthful with its products by using singers in elaborate commercials to sell its soda.</w:t>
      </w:r>
    </w:p>
    <w:p>
      <w:pPr>
        <w:pStyle w:val="BodyText"/>
        <w:spacing w:line="292" w:lineRule="auto"/>
        <w:ind w:left="830" w:right="756" w:firstLine="340"/>
        <w:jc w:val="both"/>
      </w:pPr>
      <w:r>
        <w:rPr>
          <w:rFonts w:ascii="Arial"/>
          <w:color w:val="231F20"/>
          <w:sz w:val="18"/>
        </w:rPr>
        <w:t>Change the Importance of Product Benefits. </w:t>
      </w:r>
      <w:r>
        <w:rPr>
          <w:color w:val="231F20"/>
        </w:rPr>
        <w:t>Products as well </w:t>
      </w:r>
      <w:r>
        <w:rPr>
          <w:color w:val="231F20"/>
        </w:rPr>
        <w:t>as services provide a variety of benefits. If through marketing action a benefit can be raised to a heightened level of importance, buyers are likely</w:t>
      </w:r>
      <w:r>
        <w:rPr>
          <w:color w:val="231F20"/>
          <w:spacing w:val="27"/>
        </w:rPr>
        <w:t> </w:t>
      </w:r>
      <w:r>
        <w:rPr>
          <w:color w:val="231F20"/>
        </w:rPr>
        <w:t>to</w:t>
      </w:r>
      <w:r>
        <w:rPr>
          <w:color w:val="231F20"/>
          <w:spacing w:val="27"/>
        </w:rPr>
        <w:t> </w:t>
      </w:r>
      <w:r>
        <w:rPr>
          <w:color w:val="231F20"/>
        </w:rPr>
        <w:t>become</w:t>
      </w:r>
      <w:r>
        <w:rPr>
          <w:color w:val="231F20"/>
          <w:spacing w:val="27"/>
        </w:rPr>
        <w:t> </w:t>
      </w:r>
      <w:r>
        <w:rPr>
          <w:color w:val="231F20"/>
        </w:rPr>
        <w:t>more</w:t>
      </w:r>
      <w:r>
        <w:rPr>
          <w:color w:val="231F20"/>
          <w:spacing w:val="27"/>
        </w:rPr>
        <w:t> </w:t>
      </w:r>
      <w:r>
        <w:rPr>
          <w:color w:val="231F20"/>
        </w:rPr>
        <w:t>involved.</w:t>
      </w:r>
      <w:r>
        <w:rPr>
          <w:color w:val="231F20"/>
          <w:spacing w:val="27"/>
        </w:rPr>
        <w:t> </w:t>
      </w:r>
      <w:r>
        <w:rPr>
          <w:color w:val="231F20"/>
        </w:rPr>
        <w:t>The</w:t>
      </w:r>
      <w:r>
        <w:rPr>
          <w:color w:val="231F20"/>
          <w:spacing w:val="27"/>
        </w:rPr>
        <w:t> </w:t>
      </w:r>
      <w:r>
        <w:rPr>
          <w:color w:val="231F20"/>
        </w:rPr>
        <w:t>beer</w:t>
      </w:r>
      <w:r>
        <w:rPr>
          <w:color w:val="231F20"/>
          <w:spacing w:val="28"/>
        </w:rPr>
        <w:t> </w:t>
      </w:r>
      <w:r>
        <w:rPr>
          <w:color w:val="231F20"/>
        </w:rPr>
        <w:t>wars</w:t>
      </w:r>
      <w:r>
        <w:rPr>
          <w:color w:val="231F20"/>
          <w:spacing w:val="27"/>
        </w:rPr>
        <w:t> </w:t>
      </w:r>
      <w:r>
        <w:rPr>
          <w:color w:val="231F20"/>
        </w:rPr>
        <w:t>of</w:t>
      </w:r>
      <w:r>
        <w:rPr>
          <w:color w:val="231F20"/>
          <w:spacing w:val="27"/>
        </w:rPr>
        <w:t> </w:t>
      </w:r>
      <w:r>
        <w:rPr>
          <w:color w:val="231F20"/>
        </w:rPr>
        <w:t>the</w:t>
      </w:r>
      <w:r>
        <w:rPr>
          <w:color w:val="231F20"/>
          <w:spacing w:val="27"/>
        </w:rPr>
        <w:t> </w:t>
      </w:r>
      <w:r>
        <w:rPr>
          <w:color w:val="231F20"/>
        </w:rPr>
        <w:t>1980s</w:t>
      </w:r>
      <w:r>
        <w:rPr>
          <w:color w:val="231F20"/>
          <w:spacing w:val="27"/>
        </w:rPr>
        <w:t> </w:t>
      </w:r>
      <w:r>
        <w:rPr>
          <w:color w:val="231F20"/>
          <w:spacing w:val="-4"/>
        </w:rPr>
        <w:t>made</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calories an important competitive issue. (In the 2000s it is </w:t>
      </w:r>
      <w:r>
        <w:rPr>
          <w:color w:val="231F20"/>
        </w:rPr>
        <w:t>carbohy- drates.)</w:t>
      </w:r>
      <w:r>
        <w:rPr>
          <w:color w:val="231F20"/>
          <w:spacing w:val="-5"/>
        </w:rPr>
        <w:t> </w:t>
      </w:r>
      <w:r>
        <w:rPr>
          <w:color w:val="231F20"/>
        </w:rPr>
        <w:t>An overlooked attribute—</w:t>
      </w:r>
      <w:r>
        <w:rPr>
          <w:color w:val="231F20"/>
          <w:spacing w:val="-12"/>
        </w:rPr>
        <w:t> </w:t>
      </w:r>
      <w:r>
        <w:rPr>
          <w:color w:val="231F20"/>
        </w:rPr>
        <w:t>calories—</w:t>
      </w:r>
      <w:r>
        <w:rPr>
          <w:color w:val="231F20"/>
          <w:spacing w:val="-12"/>
        </w:rPr>
        <w:t> </w:t>
      </w:r>
      <w:r>
        <w:rPr>
          <w:color w:val="231F20"/>
        </w:rPr>
        <w:t>made health-conscious drinkers more aware of their purchasing decisions, and conse- quently Miller Lite made out like a bandit.</w:t>
      </w:r>
    </w:p>
    <w:p>
      <w:pPr>
        <w:pStyle w:val="BodyText"/>
        <w:spacing w:line="292" w:lineRule="auto"/>
        <w:ind w:left="919" w:right="663" w:firstLine="340"/>
        <w:jc w:val="both"/>
      </w:pPr>
      <w:r>
        <w:rPr>
          <w:rFonts w:ascii="Arial"/>
          <w:color w:val="231F20"/>
          <w:w w:val="105"/>
          <w:sz w:val="18"/>
        </w:rPr>
        <w:t>Introduce</w:t>
      </w:r>
      <w:r>
        <w:rPr>
          <w:rFonts w:ascii="Arial"/>
          <w:color w:val="231F20"/>
          <w:spacing w:val="40"/>
          <w:w w:val="105"/>
          <w:sz w:val="18"/>
        </w:rPr>
        <w:t> </w:t>
      </w:r>
      <w:r>
        <w:rPr>
          <w:rFonts w:ascii="Arial"/>
          <w:color w:val="231F20"/>
          <w:w w:val="105"/>
          <w:sz w:val="18"/>
        </w:rPr>
        <w:t>Important</w:t>
      </w:r>
      <w:r>
        <w:rPr>
          <w:rFonts w:ascii="Arial"/>
          <w:color w:val="231F20"/>
          <w:spacing w:val="40"/>
          <w:w w:val="105"/>
          <w:sz w:val="18"/>
        </w:rPr>
        <w:t> </w:t>
      </w:r>
      <w:r>
        <w:rPr>
          <w:rFonts w:ascii="Arial"/>
          <w:color w:val="231F20"/>
          <w:w w:val="105"/>
          <w:sz w:val="18"/>
        </w:rPr>
        <w:t>Characteristic</w:t>
      </w:r>
      <w:r>
        <w:rPr>
          <w:rFonts w:ascii="Arial"/>
          <w:color w:val="231F20"/>
          <w:spacing w:val="40"/>
          <w:w w:val="105"/>
          <w:sz w:val="18"/>
        </w:rPr>
        <w:t> </w:t>
      </w:r>
      <w:r>
        <w:rPr>
          <w:rFonts w:ascii="Arial"/>
          <w:color w:val="231F20"/>
          <w:w w:val="105"/>
          <w:sz w:val="18"/>
        </w:rPr>
        <w:t>to</w:t>
      </w:r>
      <w:r>
        <w:rPr>
          <w:rFonts w:ascii="Arial"/>
          <w:color w:val="231F20"/>
          <w:spacing w:val="40"/>
          <w:w w:val="105"/>
          <w:sz w:val="18"/>
        </w:rPr>
        <w:t> </w:t>
      </w:r>
      <w:r>
        <w:rPr>
          <w:rFonts w:ascii="Arial"/>
          <w:color w:val="231F20"/>
          <w:w w:val="105"/>
          <w:sz w:val="18"/>
        </w:rPr>
        <w:t>Product.</w:t>
      </w:r>
      <w:r>
        <w:rPr>
          <w:rFonts w:ascii="Arial"/>
          <w:color w:val="231F20"/>
          <w:spacing w:val="40"/>
          <w:w w:val="105"/>
          <w:sz w:val="18"/>
        </w:rPr>
        <w:t> </w:t>
      </w:r>
      <w:r>
        <w:rPr>
          <w:color w:val="231F20"/>
          <w:w w:val="105"/>
        </w:rPr>
        <w:t>A</w:t>
      </w:r>
      <w:r>
        <w:rPr>
          <w:color w:val="231F20"/>
          <w:spacing w:val="40"/>
          <w:w w:val="105"/>
        </w:rPr>
        <w:t> </w:t>
      </w:r>
      <w:r>
        <w:rPr>
          <w:color w:val="231F20"/>
          <w:w w:val="105"/>
        </w:rPr>
        <w:t>marketer</w:t>
      </w:r>
      <w:r>
        <w:rPr>
          <w:color w:val="231F20"/>
          <w:spacing w:val="40"/>
          <w:w w:val="105"/>
        </w:rPr>
        <w:t> </w:t>
      </w:r>
      <w:r>
        <w:rPr>
          <w:color w:val="231F20"/>
          <w:w w:val="105"/>
        </w:rPr>
        <w:t>can also</w:t>
      </w:r>
      <w:r>
        <w:rPr>
          <w:color w:val="231F20"/>
          <w:spacing w:val="-12"/>
          <w:w w:val="105"/>
        </w:rPr>
        <w:t> </w:t>
      </w:r>
      <w:r>
        <w:rPr>
          <w:color w:val="231F20"/>
          <w:w w:val="105"/>
        </w:rPr>
        <w:t>tinker</w:t>
      </w:r>
      <w:r>
        <w:rPr>
          <w:color w:val="231F20"/>
          <w:spacing w:val="-12"/>
          <w:w w:val="105"/>
        </w:rPr>
        <w:t> </w:t>
      </w:r>
      <w:r>
        <w:rPr>
          <w:color w:val="231F20"/>
          <w:w w:val="105"/>
        </w:rPr>
        <w:t>with</w:t>
      </w:r>
      <w:r>
        <w:rPr>
          <w:color w:val="231F20"/>
          <w:spacing w:val="-12"/>
          <w:w w:val="105"/>
        </w:rPr>
        <w:t> </w:t>
      </w:r>
      <w:r>
        <w:rPr>
          <w:color w:val="231F20"/>
          <w:w w:val="105"/>
        </w:rPr>
        <w:t>some</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elements</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product</w:t>
      </w:r>
      <w:r>
        <w:rPr>
          <w:color w:val="231F20"/>
          <w:spacing w:val="-12"/>
          <w:w w:val="105"/>
        </w:rPr>
        <w:t> </w:t>
      </w:r>
      <w:r>
        <w:rPr>
          <w:color w:val="231F20"/>
          <w:w w:val="105"/>
        </w:rPr>
        <w:t>itself</w:t>
      </w:r>
      <w:r>
        <w:rPr>
          <w:color w:val="231F20"/>
          <w:spacing w:val="-12"/>
          <w:w w:val="105"/>
        </w:rPr>
        <w:t> </w:t>
      </w:r>
      <w:r>
        <w:rPr>
          <w:color w:val="231F20"/>
          <w:w w:val="105"/>
        </w:rPr>
        <w:t>to</w:t>
      </w:r>
      <w:r>
        <w:rPr>
          <w:color w:val="231F20"/>
          <w:spacing w:val="-12"/>
          <w:w w:val="105"/>
        </w:rPr>
        <w:t> </w:t>
      </w:r>
      <w:r>
        <w:rPr>
          <w:color w:val="231F20"/>
          <w:w w:val="105"/>
        </w:rPr>
        <w:t>distin- </w:t>
      </w:r>
      <w:r>
        <w:rPr>
          <w:color w:val="231F20"/>
        </w:rPr>
        <w:t>guish it. When childproof caps were introduced on household </w:t>
      </w:r>
      <w:r>
        <w:rPr>
          <w:color w:val="231F20"/>
        </w:rPr>
        <w:t>clean- </w:t>
      </w:r>
      <w:r>
        <w:rPr>
          <w:color w:val="231F20"/>
          <w:w w:val="105"/>
        </w:rPr>
        <w:t>ers,</w:t>
      </w:r>
      <w:r>
        <w:rPr>
          <w:color w:val="231F20"/>
          <w:w w:val="105"/>
        </w:rPr>
        <w:t> the</w:t>
      </w:r>
      <w:r>
        <w:rPr>
          <w:color w:val="231F20"/>
          <w:w w:val="105"/>
        </w:rPr>
        <w:t> involvement</w:t>
      </w:r>
      <w:r>
        <w:rPr>
          <w:color w:val="231F20"/>
          <w:w w:val="105"/>
        </w:rPr>
        <w:t> of</w:t>
      </w:r>
      <w:r>
        <w:rPr>
          <w:color w:val="231F20"/>
          <w:w w:val="105"/>
        </w:rPr>
        <w:t> parents</w:t>
      </w:r>
      <w:r>
        <w:rPr>
          <w:color w:val="231F20"/>
          <w:w w:val="105"/>
        </w:rPr>
        <w:t> in</w:t>
      </w:r>
      <w:r>
        <w:rPr>
          <w:color w:val="231F20"/>
          <w:w w:val="105"/>
        </w:rPr>
        <w:t> this</w:t>
      </w:r>
      <w:r>
        <w:rPr>
          <w:color w:val="231F20"/>
          <w:w w:val="105"/>
        </w:rPr>
        <w:t> purchase</w:t>
      </w:r>
      <w:r>
        <w:rPr>
          <w:color w:val="231F20"/>
          <w:w w:val="105"/>
        </w:rPr>
        <w:t> decision</w:t>
      </w:r>
      <w:r>
        <w:rPr>
          <w:color w:val="231F20"/>
          <w:w w:val="105"/>
        </w:rPr>
        <w:t> was </w:t>
      </w:r>
      <w:r>
        <w:rPr>
          <w:color w:val="231F20"/>
        </w:rPr>
        <w:t>heightened. The first products with protection caps stood out on the </w:t>
      </w:r>
      <w:r>
        <w:rPr>
          <w:color w:val="231F20"/>
          <w:spacing w:val="-2"/>
          <w:w w:val="105"/>
        </w:rPr>
        <w:t>store</w:t>
      </w:r>
      <w:r>
        <w:rPr>
          <w:color w:val="231F20"/>
          <w:spacing w:val="-5"/>
          <w:w w:val="105"/>
        </w:rPr>
        <w:t> </w:t>
      </w:r>
      <w:r>
        <w:rPr>
          <w:color w:val="231F20"/>
          <w:spacing w:val="-2"/>
          <w:w w:val="105"/>
        </w:rPr>
        <w:t>shelves.</w:t>
      </w:r>
      <w:r>
        <w:rPr>
          <w:color w:val="231F20"/>
          <w:spacing w:val="-5"/>
          <w:w w:val="105"/>
        </w:rPr>
        <w:t> </w:t>
      </w:r>
      <w:r>
        <w:rPr>
          <w:color w:val="231F20"/>
          <w:spacing w:val="-2"/>
          <w:w w:val="105"/>
        </w:rPr>
        <w:t>But</w:t>
      </w:r>
      <w:r>
        <w:rPr>
          <w:color w:val="231F20"/>
          <w:spacing w:val="-5"/>
          <w:w w:val="105"/>
        </w:rPr>
        <w:t> </w:t>
      </w:r>
      <w:r>
        <w:rPr>
          <w:color w:val="231F20"/>
          <w:spacing w:val="-2"/>
          <w:w w:val="105"/>
        </w:rPr>
        <w:t>once</w:t>
      </w:r>
      <w:r>
        <w:rPr>
          <w:color w:val="231F20"/>
          <w:spacing w:val="-5"/>
          <w:w w:val="105"/>
        </w:rPr>
        <w:t> </w:t>
      </w:r>
      <w:r>
        <w:rPr>
          <w:color w:val="231F20"/>
          <w:spacing w:val="-2"/>
          <w:w w:val="105"/>
        </w:rPr>
        <w:t>all</w:t>
      </w:r>
      <w:r>
        <w:rPr>
          <w:color w:val="231F20"/>
          <w:spacing w:val="-5"/>
          <w:w w:val="105"/>
        </w:rPr>
        <w:t> </w:t>
      </w:r>
      <w:r>
        <w:rPr>
          <w:color w:val="231F20"/>
          <w:spacing w:val="-2"/>
          <w:w w:val="105"/>
        </w:rPr>
        <w:t>competitors</w:t>
      </w:r>
      <w:r>
        <w:rPr>
          <w:color w:val="231F20"/>
          <w:spacing w:val="-5"/>
          <w:w w:val="105"/>
        </w:rPr>
        <w:t> </w:t>
      </w:r>
      <w:r>
        <w:rPr>
          <w:color w:val="231F20"/>
          <w:spacing w:val="-2"/>
          <w:w w:val="105"/>
        </w:rPr>
        <w:t>copied</w:t>
      </w:r>
      <w:r>
        <w:rPr>
          <w:color w:val="231F20"/>
          <w:spacing w:val="-5"/>
          <w:w w:val="105"/>
        </w:rPr>
        <w:t> </w:t>
      </w:r>
      <w:r>
        <w:rPr>
          <w:color w:val="231F20"/>
          <w:spacing w:val="-2"/>
          <w:w w:val="105"/>
        </w:rPr>
        <w:t>the</w:t>
      </w:r>
      <w:r>
        <w:rPr>
          <w:color w:val="231F20"/>
          <w:spacing w:val="-5"/>
          <w:w w:val="105"/>
        </w:rPr>
        <w:t> </w:t>
      </w:r>
      <w:r>
        <w:rPr>
          <w:color w:val="231F20"/>
          <w:spacing w:val="-2"/>
          <w:w w:val="105"/>
        </w:rPr>
        <w:t>cap,</w:t>
      </w:r>
      <w:r>
        <w:rPr>
          <w:color w:val="231F20"/>
          <w:spacing w:val="-5"/>
          <w:w w:val="105"/>
        </w:rPr>
        <w:t> </w:t>
      </w:r>
      <w:r>
        <w:rPr>
          <w:color w:val="231F20"/>
          <w:spacing w:val="-2"/>
          <w:w w:val="105"/>
        </w:rPr>
        <w:t>new</w:t>
      </w:r>
      <w:r>
        <w:rPr>
          <w:color w:val="231F20"/>
          <w:spacing w:val="-5"/>
          <w:w w:val="105"/>
        </w:rPr>
        <w:t> </w:t>
      </w:r>
      <w:r>
        <w:rPr>
          <w:color w:val="231F20"/>
          <w:spacing w:val="-2"/>
          <w:w w:val="105"/>
        </w:rPr>
        <w:t>avenues </w:t>
      </w:r>
      <w:r>
        <w:rPr>
          <w:color w:val="231F20"/>
        </w:rPr>
        <w:t>of differentiation were needed and the purchase returned to its low- </w:t>
      </w:r>
      <w:r>
        <w:rPr>
          <w:color w:val="231F20"/>
          <w:w w:val="105"/>
        </w:rPr>
        <w:t>involvement status.</w:t>
      </w:r>
    </w:p>
    <w:p>
      <w:pPr>
        <w:pStyle w:val="BodyText"/>
        <w:spacing w:line="292" w:lineRule="auto"/>
        <w:ind w:left="919" w:right="663" w:firstLine="340"/>
        <w:jc w:val="both"/>
      </w:pPr>
      <w:r>
        <w:rPr>
          <w:color w:val="231F20"/>
        </w:rPr>
        <w:t>Truly low-involvement products often are that way because a minimum level of acceptable performance is required. A thumb-</w:t>
      </w:r>
      <w:r>
        <w:rPr>
          <w:color w:val="231F20"/>
          <w:spacing w:val="80"/>
        </w:rPr>
        <w:t> </w:t>
      </w:r>
      <w:r>
        <w:rPr>
          <w:color w:val="231F20"/>
        </w:rPr>
        <w:t>tack,</w:t>
      </w:r>
      <w:r>
        <w:rPr>
          <w:color w:val="231F20"/>
          <w:spacing w:val="40"/>
        </w:rPr>
        <w:t> </w:t>
      </w:r>
      <w:r>
        <w:rPr>
          <w:color w:val="231F20"/>
        </w:rPr>
        <w:t>for</w:t>
      </w:r>
      <w:r>
        <w:rPr>
          <w:color w:val="231F20"/>
          <w:spacing w:val="40"/>
        </w:rPr>
        <w:t> </w:t>
      </w:r>
      <w:r>
        <w:rPr>
          <w:color w:val="231F20"/>
        </w:rPr>
        <w:t>example,</w:t>
      </w:r>
      <w:r>
        <w:rPr>
          <w:color w:val="231F20"/>
          <w:spacing w:val="40"/>
        </w:rPr>
        <w:t> </w:t>
      </w:r>
      <w:r>
        <w:rPr>
          <w:color w:val="231F20"/>
        </w:rPr>
        <w:t>does</w:t>
      </w:r>
      <w:r>
        <w:rPr>
          <w:color w:val="231F20"/>
          <w:spacing w:val="40"/>
        </w:rPr>
        <w:t> </w:t>
      </w:r>
      <w:r>
        <w:rPr>
          <w:color w:val="231F20"/>
        </w:rPr>
        <w:t>not</w:t>
      </w:r>
      <w:r>
        <w:rPr>
          <w:color w:val="231F20"/>
          <w:spacing w:val="40"/>
        </w:rPr>
        <w:t> </w:t>
      </w:r>
      <w:r>
        <w:rPr>
          <w:color w:val="231F20"/>
        </w:rPr>
        <w:t>have</w:t>
      </w:r>
      <w:r>
        <w:rPr>
          <w:color w:val="231F20"/>
          <w:spacing w:val="40"/>
        </w:rPr>
        <w:t> </w:t>
      </w:r>
      <w:r>
        <w:rPr>
          <w:color w:val="231F20"/>
        </w:rPr>
        <w:t>a</w:t>
      </w:r>
      <w:r>
        <w:rPr>
          <w:color w:val="231F20"/>
          <w:spacing w:val="40"/>
        </w:rPr>
        <w:t> </w:t>
      </w:r>
      <w:r>
        <w:rPr>
          <w:color w:val="231F20"/>
        </w:rPr>
        <w:t>difficult</w:t>
      </w:r>
      <w:r>
        <w:rPr>
          <w:color w:val="231F20"/>
          <w:spacing w:val="40"/>
        </w:rPr>
        <w:t> </w:t>
      </w:r>
      <w:r>
        <w:rPr>
          <w:color w:val="231F20"/>
        </w:rPr>
        <w:t>job</w:t>
      </w:r>
      <w:r>
        <w:rPr>
          <w:color w:val="231F20"/>
          <w:spacing w:val="40"/>
        </w:rPr>
        <w:t> </w:t>
      </w:r>
      <w:r>
        <w:rPr>
          <w:color w:val="231F20"/>
        </w:rPr>
        <w:t>to</w:t>
      </w:r>
      <w:r>
        <w:rPr>
          <w:color w:val="231F20"/>
          <w:spacing w:val="40"/>
        </w:rPr>
        <w:t> </w:t>
      </w:r>
      <w:r>
        <w:rPr>
          <w:color w:val="231F20"/>
        </w:rPr>
        <w:t>perform.</w:t>
      </w:r>
      <w:r>
        <w:rPr>
          <w:color w:val="231F20"/>
          <w:spacing w:val="40"/>
        </w:rPr>
        <w:t> </w:t>
      </w:r>
      <w:r>
        <w:rPr>
          <w:color w:val="231F20"/>
        </w:rPr>
        <w:t>No matter</w:t>
      </w:r>
      <w:r>
        <w:rPr>
          <w:color w:val="231F20"/>
          <w:spacing w:val="31"/>
        </w:rPr>
        <w:t> </w:t>
      </w:r>
      <w:r>
        <w:rPr>
          <w:color w:val="231F20"/>
        </w:rPr>
        <w:t>what</w:t>
      </w:r>
      <w:r>
        <w:rPr>
          <w:color w:val="231F20"/>
          <w:spacing w:val="31"/>
        </w:rPr>
        <w:t> </w:t>
      </w:r>
      <w:r>
        <w:rPr>
          <w:color w:val="231F20"/>
        </w:rPr>
        <w:t>the</w:t>
      </w:r>
      <w:r>
        <w:rPr>
          <w:color w:val="231F20"/>
          <w:spacing w:val="31"/>
        </w:rPr>
        <w:t> </w:t>
      </w:r>
      <w:r>
        <w:rPr>
          <w:color w:val="231F20"/>
        </w:rPr>
        <w:t>brand,</w:t>
      </w:r>
      <w:r>
        <w:rPr>
          <w:color w:val="231F20"/>
          <w:spacing w:val="31"/>
        </w:rPr>
        <w:t> </w:t>
      </w:r>
      <w:r>
        <w:rPr>
          <w:color w:val="231F20"/>
        </w:rPr>
        <w:t>you</w:t>
      </w:r>
      <w:r>
        <w:rPr>
          <w:color w:val="231F20"/>
          <w:spacing w:val="31"/>
        </w:rPr>
        <w:t> </w:t>
      </w:r>
      <w:r>
        <w:rPr>
          <w:color w:val="231F20"/>
        </w:rPr>
        <w:t>can’t</w:t>
      </w:r>
      <w:r>
        <w:rPr>
          <w:color w:val="231F20"/>
          <w:spacing w:val="31"/>
        </w:rPr>
        <w:t> </w:t>
      </w:r>
      <w:r>
        <w:rPr>
          <w:color w:val="231F20"/>
        </w:rPr>
        <w:t>go</w:t>
      </w:r>
      <w:r>
        <w:rPr>
          <w:color w:val="231F20"/>
          <w:spacing w:val="31"/>
        </w:rPr>
        <w:t> </w:t>
      </w:r>
      <w:r>
        <w:rPr>
          <w:color w:val="231F20"/>
        </w:rPr>
        <w:t>too</w:t>
      </w:r>
      <w:r>
        <w:rPr>
          <w:color w:val="231F20"/>
          <w:spacing w:val="31"/>
        </w:rPr>
        <w:t> </w:t>
      </w:r>
      <w:r>
        <w:rPr>
          <w:color w:val="231F20"/>
        </w:rPr>
        <w:t>wrong.</w:t>
      </w:r>
      <w:r>
        <w:rPr>
          <w:color w:val="231F20"/>
          <w:spacing w:val="31"/>
        </w:rPr>
        <w:t> </w:t>
      </w:r>
      <w:r>
        <w:rPr>
          <w:color w:val="231F20"/>
        </w:rPr>
        <w:t>If</w:t>
      </w:r>
      <w:r>
        <w:rPr>
          <w:color w:val="231F20"/>
          <w:spacing w:val="31"/>
        </w:rPr>
        <w:t> </w:t>
      </w:r>
      <w:r>
        <w:rPr>
          <w:color w:val="231F20"/>
        </w:rPr>
        <w:t>the</w:t>
      </w:r>
      <w:r>
        <w:rPr>
          <w:color w:val="231F20"/>
          <w:spacing w:val="31"/>
        </w:rPr>
        <w:t> </w:t>
      </w:r>
      <w:r>
        <w:rPr>
          <w:color w:val="231F20"/>
        </w:rPr>
        <w:t>cost</w:t>
      </w:r>
      <w:r>
        <w:rPr>
          <w:color w:val="231F20"/>
          <w:spacing w:val="31"/>
        </w:rPr>
        <w:t> </w:t>
      </w:r>
      <w:r>
        <w:rPr>
          <w:color w:val="231F20"/>
        </w:rPr>
        <w:t>of</w:t>
      </w:r>
      <w:r>
        <w:rPr>
          <w:color w:val="231F20"/>
          <w:spacing w:val="31"/>
        </w:rPr>
        <w:t> </w:t>
      </w:r>
      <w:r>
        <w:rPr>
          <w:color w:val="231F20"/>
        </w:rPr>
        <w:t>trial is low, such as for a pack of gum, involvement is difficult to stimu- </w:t>
      </w:r>
      <w:r>
        <w:rPr>
          <w:color w:val="231F20"/>
          <w:spacing w:val="-2"/>
        </w:rPr>
        <w:t>late.</w:t>
      </w:r>
    </w:p>
    <w:p>
      <w:pPr>
        <w:pStyle w:val="BodyText"/>
        <w:spacing w:line="292" w:lineRule="auto"/>
        <w:ind w:left="919" w:right="665" w:firstLine="340"/>
        <w:jc w:val="both"/>
      </w:pPr>
      <w:r>
        <w:rPr>
          <w:color w:val="231F20"/>
        </w:rPr>
        <w:t>Related to involvement is the level of purchase planning. Is the purchase planned or an impulse buy? High-involvement products</w:t>
      </w:r>
      <w:r>
        <w:rPr>
          <w:color w:val="231F20"/>
          <w:spacing w:val="80"/>
        </w:rPr>
        <w:t> </w:t>
      </w:r>
      <w:r>
        <w:rPr>
          <w:color w:val="231F20"/>
        </w:rPr>
        <w:t>are usually planned, while impulse products are bought on the </w:t>
      </w:r>
      <w:r>
        <w:rPr>
          <w:color w:val="231F20"/>
        </w:rPr>
        <w:t>spur of the moment. If a purchase is planned, then a buyer is likely to seek information. If not, the proximity of the product to the need is im- portant. Snack foods are an example of impulse buying. Midday hunger leads to the nearest junk food.</w:t>
      </w:r>
    </w:p>
    <w:p>
      <w:pPr>
        <w:pStyle w:val="BodyText"/>
        <w:spacing w:before="2"/>
        <w:rPr>
          <w:sz w:val="20"/>
        </w:rPr>
      </w:pPr>
    </w:p>
    <w:p>
      <w:pPr>
        <w:spacing w:before="0"/>
        <w:ind w:left="1260" w:right="0" w:firstLine="0"/>
        <w:jc w:val="left"/>
        <w:rPr>
          <w:rFonts w:ascii="Arial"/>
          <w:i/>
          <w:sz w:val="19"/>
        </w:rPr>
      </w:pPr>
      <w:r>
        <w:rPr>
          <w:rFonts w:ascii="Arial"/>
          <w:i/>
          <w:color w:val="231F20"/>
          <w:w w:val="115"/>
          <w:sz w:val="19"/>
        </w:rPr>
        <w:t>Do</w:t>
      </w:r>
      <w:r>
        <w:rPr>
          <w:rFonts w:ascii="Arial"/>
          <w:i/>
          <w:color w:val="231F20"/>
          <w:spacing w:val="-5"/>
          <w:w w:val="115"/>
          <w:sz w:val="19"/>
        </w:rPr>
        <w:t> </w:t>
      </w:r>
      <w:r>
        <w:rPr>
          <w:rFonts w:ascii="Arial"/>
          <w:i/>
          <w:color w:val="231F20"/>
          <w:w w:val="115"/>
          <w:sz w:val="19"/>
        </w:rPr>
        <w:t>I</w:t>
      </w:r>
      <w:r>
        <w:rPr>
          <w:rFonts w:ascii="Arial"/>
          <w:i/>
          <w:color w:val="231F20"/>
          <w:spacing w:val="-4"/>
          <w:w w:val="115"/>
          <w:sz w:val="19"/>
        </w:rPr>
        <w:t> </w:t>
      </w:r>
      <w:r>
        <w:rPr>
          <w:rFonts w:ascii="Arial"/>
          <w:i/>
          <w:color w:val="231F20"/>
          <w:w w:val="115"/>
          <w:sz w:val="19"/>
        </w:rPr>
        <w:t>intend</w:t>
      </w:r>
      <w:r>
        <w:rPr>
          <w:rFonts w:ascii="Arial"/>
          <w:i/>
          <w:color w:val="231F20"/>
          <w:spacing w:val="-5"/>
          <w:w w:val="115"/>
          <w:sz w:val="19"/>
        </w:rPr>
        <w:t> </w:t>
      </w:r>
      <w:r>
        <w:rPr>
          <w:rFonts w:ascii="Arial"/>
          <w:i/>
          <w:color w:val="231F20"/>
          <w:w w:val="115"/>
          <w:sz w:val="19"/>
        </w:rPr>
        <w:t>to</w:t>
      </w:r>
      <w:r>
        <w:rPr>
          <w:rFonts w:ascii="Arial"/>
          <w:i/>
          <w:color w:val="231F20"/>
          <w:spacing w:val="-4"/>
          <w:w w:val="115"/>
          <w:sz w:val="19"/>
        </w:rPr>
        <w:t> </w:t>
      </w:r>
      <w:r>
        <w:rPr>
          <w:rFonts w:ascii="Arial"/>
          <w:i/>
          <w:color w:val="231F20"/>
          <w:w w:val="115"/>
          <w:sz w:val="19"/>
        </w:rPr>
        <w:t>segment</w:t>
      </w:r>
      <w:r>
        <w:rPr>
          <w:rFonts w:ascii="Arial"/>
          <w:i/>
          <w:color w:val="231F20"/>
          <w:spacing w:val="-5"/>
          <w:w w:val="115"/>
          <w:sz w:val="19"/>
        </w:rPr>
        <w:t> </w:t>
      </w:r>
      <w:r>
        <w:rPr>
          <w:rFonts w:ascii="Arial"/>
          <w:i/>
          <w:color w:val="231F20"/>
          <w:w w:val="115"/>
          <w:sz w:val="19"/>
        </w:rPr>
        <w:t>the</w:t>
      </w:r>
      <w:r>
        <w:rPr>
          <w:rFonts w:ascii="Arial"/>
          <w:i/>
          <w:color w:val="231F20"/>
          <w:spacing w:val="-4"/>
          <w:w w:val="115"/>
          <w:sz w:val="19"/>
        </w:rPr>
        <w:t> </w:t>
      </w:r>
      <w:r>
        <w:rPr>
          <w:rFonts w:ascii="Arial"/>
          <w:i/>
          <w:color w:val="231F20"/>
          <w:w w:val="115"/>
          <w:sz w:val="19"/>
        </w:rPr>
        <w:t>market?</w:t>
      </w:r>
      <w:r>
        <w:rPr>
          <w:rFonts w:ascii="Arial"/>
          <w:i/>
          <w:color w:val="231F20"/>
          <w:spacing w:val="-5"/>
          <w:w w:val="115"/>
          <w:sz w:val="19"/>
        </w:rPr>
        <w:t> </w:t>
      </w:r>
      <w:r>
        <w:rPr>
          <w:rFonts w:ascii="Arial"/>
          <w:i/>
          <w:color w:val="231F20"/>
          <w:w w:val="115"/>
          <w:sz w:val="19"/>
        </w:rPr>
        <w:t>Why?</w:t>
      </w:r>
      <w:r>
        <w:rPr>
          <w:rFonts w:ascii="Arial"/>
          <w:i/>
          <w:color w:val="231F20"/>
          <w:spacing w:val="-4"/>
          <w:w w:val="115"/>
          <w:sz w:val="19"/>
        </w:rPr>
        <w:t> How?</w:t>
      </w:r>
    </w:p>
    <w:p>
      <w:pPr>
        <w:pStyle w:val="BodyText"/>
        <w:spacing w:line="292" w:lineRule="auto" w:before="61"/>
        <w:ind w:left="920" w:right="666" w:firstLine="340"/>
        <w:jc w:val="both"/>
      </w:pPr>
      <w:r>
        <w:rPr>
          <w:color w:val="231F20"/>
        </w:rPr>
        <w:t>I skirted around this issue in the buyer behavior section, but </w:t>
      </w:r>
      <w:r>
        <w:rPr>
          <w:color w:val="231F20"/>
        </w:rPr>
        <w:t>the question “Who is our consumer?” is central to the marketing task. If you think you have something that is for everyone, then a </w:t>
      </w:r>
      <w:r>
        <w:rPr>
          <w:i/>
          <w:color w:val="231F20"/>
        </w:rPr>
        <w:t>mass mar-</w:t>
      </w:r>
      <w:r>
        <w:rPr>
          <w:i/>
          <w:color w:val="231F20"/>
        </w:rPr>
        <w:t> ket </w:t>
      </w:r>
      <w:r>
        <w:rPr>
          <w:color w:val="231F20"/>
        </w:rPr>
        <w:t>strategy is appropriate. If your product satisfies the masses, then feed it to them. If not, you must choose a </w:t>
      </w:r>
      <w:r>
        <w:rPr>
          <w:i/>
          <w:color w:val="231F20"/>
        </w:rPr>
        <w:t>segment </w:t>
      </w:r>
      <w:r>
        <w:rPr>
          <w:color w:val="231F20"/>
        </w:rPr>
        <w:t>or segments of the market to target. Segments are homogeneous groups of similar con- sumers with similar needs and desires. For instance, Coca-Cola uses</w:t>
      </w:r>
      <w:r>
        <w:rPr>
          <w:color w:val="231F20"/>
          <w:spacing w:val="80"/>
        </w:rPr>
        <w:t> </w:t>
      </w:r>
      <w:r>
        <w:rPr>
          <w:color w:val="231F20"/>
        </w:rPr>
        <w:t>a mass-market approach to get everyone drinking the “real thing.” Snapple,</w:t>
      </w:r>
      <w:r>
        <w:rPr>
          <w:color w:val="231F20"/>
          <w:spacing w:val="12"/>
        </w:rPr>
        <w:t> </w:t>
      </w:r>
      <w:r>
        <w:rPr>
          <w:color w:val="231F20"/>
        </w:rPr>
        <w:t>a</w:t>
      </w:r>
      <w:r>
        <w:rPr>
          <w:color w:val="231F20"/>
          <w:spacing w:val="12"/>
        </w:rPr>
        <w:t> </w:t>
      </w:r>
      <w:r>
        <w:rPr>
          <w:color w:val="231F20"/>
        </w:rPr>
        <w:t>specialty</w:t>
      </w:r>
      <w:r>
        <w:rPr>
          <w:color w:val="231F20"/>
          <w:spacing w:val="13"/>
        </w:rPr>
        <w:t> </w:t>
      </w:r>
      <w:r>
        <w:rPr>
          <w:color w:val="231F20"/>
        </w:rPr>
        <w:t>tea,</w:t>
      </w:r>
      <w:r>
        <w:rPr>
          <w:color w:val="231F20"/>
          <w:spacing w:val="12"/>
        </w:rPr>
        <w:t> </w:t>
      </w:r>
      <w:r>
        <w:rPr>
          <w:color w:val="231F20"/>
        </w:rPr>
        <w:t>appeals</w:t>
      </w:r>
      <w:r>
        <w:rPr>
          <w:color w:val="231F20"/>
          <w:spacing w:val="13"/>
        </w:rPr>
        <w:t> </w:t>
      </w:r>
      <w:r>
        <w:rPr>
          <w:color w:val="231F20"/>
        </w:rPr>
        <w:t>to</w:t>
      </w:r>
      <w:r>
        <w:rPr>
          <w:color w:val="231F20"/>
          <w:spacing w:val="12"/>
        </w:rPr>
        <w:t> </w:t>
      </w:r>
      <w:r>
        <w:rPr>
          <w:color w:val="231F20"/>
        </w:rPr>
        <w:t>a</w:t>
      </w:r>
      <w:r>
        <w:rPr>
          <w:color w:val="231F20"/>
          <w:spacing w:val="13"/>
        </w:rPr>
        <w:t> </w:t>
      </w:r>
      <w:r>
        <w:rPr>
          <w:color w:val="231F20"/>
        </w:rPr>
        <w:t>more</w:t>
      </w:r>
      <w:r>
        <w:rPr>
          <w:color w:val="231F20"/>
          <w:spacing w:val="12"/>
        </w:rPr>
        <w:t> </w:t>
      </w:r>
      <w:r>
        <w:rPr>
          <w:color w:val="231F20"/>
        </w:rPr>
        <w:t>narrowly</w:t>
      </w:r>
      <w:r>
        <w:rPr>
          <w:color w:val="231F20"/>
          <w:spacing w:val="13"/>
        </w:rPr>
        <w:t> </w:t>
      </w:r>
      <w:r>
        <w:rPr>
          <w:color w:val="231F20"/>
        </w:rPr>
        <w:t>defined</w:t>
      </w:r>
      <w:r>
        <w:rPr>
          <w:color w:val="231F20"/>
          <w:spacing w:val="12"/>
        </w:rPr>
        <w:t> </w:t>
      </w:r>
      <w:r>
        <w:rPr>
          <w:color w:val="231F20"/>
          <w:spacing w:val="-2"/>
        </w:rPr>
        <w:t>market</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segment. It’s priced higher and its bottle is shaped different. </w:t>
      </w:r>
      <w:r>
        <w:rPr>
          <w:color w:val="231F20"/>
        </w:rPr>
        <w:t>Snapple appeals to a special segment of the soft drink market.</w:t>
      </w:r>
    </w:p>
    <w:p>
      <w:pPr>
        <w:spacing w:line="245" w:lineRule="exact" w:before="0"/>
        <w:ind w:left="1169" w:right="0" w:firstLine="0"/>
        <w:jc w:val="left"/>
        <w:rPr>
          <w:sz w:val="21"/>
        </w:rPr>
      </w:pPr>
      <w:r>
        <w:rPr>
          <w:i/>
          <w:color w:val="231F20"/>
          <w:sz w:val="21"/>
        </w:rPr>
        <w:t>Segmentation</w:t>
      </w:r>
      <w:r>
        <w:rPr>
          <w:i/>
          <w:color w:val="231F20"/>
          <w:spacing w:val="8"/>
          <w:sz w:val="21"/>
        </w:rPr>
        <w:t> </w:t>
      </w:r>
      <w:r>
        <w:rPr>
          <w:color w:val="231F20"/>
          <w:sz w:val="21"/>
        </w:rPr>
        <w:t>of</w:t>
      </w:r>
      <w:r>
        <w:rPr>
          <w:color w:val="231F20"/>
          <w:spacing w:val="9"/>
          <w:sz w:val="21"/>
        </w:rPr>
        <w:t> </w:t>
      </w:r>
      <w:r>
        <w:rPr>
          <w:color w:val="231F20"/>
          <w:sz w:val="21"/>
        </w:rPr>
        <w:t>the</w:t>
      </w:r>
      <w:r>
        <w:rPr>
          <w:color w:val="231F20"/>
          <w:spacing w:val="10"/>
          <w:sz w:val="21"/>
        </w:rPr>
        <w:t> </w:t>
      </w:r>
      <w:r>
        <w:rPr>
          <w:color w:val="231F20"/>
          <w:sz w:val="21"/>
        </w:rPr>
        <w:t>market</w:t>
      </w:r>
      <w:r>
        <w:rPr>
          <w:color w:val="231F20"/>
          <w:spacing w:val="9"/>
          <w:sz w:val="21"/>
        </w:rPr>
        <w:t> </w:t>
      </w:r>
      <w:r>
        <w:rPr>
          <w:color w:val="231F20"/>
          <w:sz w:val="21"/>
        </w:rPr>
        <w:t>serves</w:t>
      </w:r>
      <w:r>
        <w:rPr>
          <w:color w:val="231F20"/>
          <w:spacing w:val="10"/>
          <w:sz w:val="21"/>
        </w:rPr>
        <w:t> </w:t>
      </w:r>
      <w:r>
        <w:rPr>
          <w:color w:val="231F20"/>
          <w:sz w:val="21"/>
        </w:rPr>
        <w:t>the</w:t>
      </w:r>
      <w:r>
        <w:rPr>
          <w:color w:val="231F20"/>
          <w:spacing w:val="9"/>
          <w:sz w:val="21"/>
        </w:rPr>
        <w:t> </w:t>
      </w:r>
      <w:r>
        <w:rPr>
          <w:color w:val="231F20"/>
          <w:sz w:val="21"/>
        </w:rPr>
        <w:t>following</w:t>
      </w:r>
      <w:r>
        <w:rPr>
          <w:color w:val="231F20"/>
          <w:spacing w:val="10"/>
          <w:sz w:val="21"/>
        </w:rPr>
        <w:t> </w:t>
      </w:r>
      <w:r>
        <w:rPr>
          <w:color w:val="231F20"/>
          <w:spacing w:val="-2"/>
          <w:sz w:val="21"/>
        </w:rPr>
        <w:t>functions:</w:t>
      </w:r>
    </w:p>
    <w:p>
      <w:pPr>
        <w:pStyle w:val="BodyText"/>
        <w:spacing w:before="6"/>
        <w:rPr>
          <w:sz w:val="25"/>
        </w:rPr>
      </w:pPr>
    </w:p>
    <w:p>
      <w:pPr>
        <w:spacing w:before="1"/>
        <w:ind w:left="1170" w:right="0" w:firstLine="0"/>
        <w:jc w:val="left"/>
        <w:rPr>
          <w:rFonts w:ascii="Arial"/>
          <w:sz w:val="19"/>
        </w:rPr>
      </w:pPr>
      <w:r>
        <w:rPr>
          <w:rFonts w:ascii="Arial"/>
          <w:color w:val="231F20"/>
          <w:w w:val="115"/>
          <w:sz w:val="19"/>
        </w:rPr>
        <w:t>To</w:t>
      </w:r>
      <w:r>
        <w:rPr>
          <w:rFonts w:ascii="Arial"/>
          <w:color w:val="231F20"/>
          <w:spacing w:val="-11"/>
          <w:w w:val="115"/>
          <w:sz w:val="19"/>
        </w:rPr>
        <w:t> </w:t>
      </w:r>
      <w:r>
        <w:rPr>
          <w:rFonts w:ascii="Arial"/>
          <w:color w:val="231F20"/>
          <w:w w:val="115"/>
          <w:sz w:val="19"/>
        </w:rPr>
        <w:t>identify</w:t>
      </w:r>
      <w:r>
        <w:rPr>
          <w:rFonts w:ascii="Arial"/>
          <w:color w:val="231F20"/>
          <w:spacing w:val="-11"/>
          <w:w w:val="115"/>
          <w:sz w:val="19"/>
        </w:rPr>
        <w:t> </w:t>
      </w:r>
      <w:r>
        <w:rPr>
          <w:rFonts w:ascii="Arial"/>
          <w:color w:val="231F20"/>
          <w:w w:val="115"/>
          <w:sz w:val="19"/>
        </w:rPr>
        <w:t>segments</w:t>
      </w:r>
      <w:r>
        <w:rPr>
          <w:rFonts w:ascii="Arial"/>
          <w:color w:val="231F20"/>
          <w:spacing w:val="-11"/>
          <w:w w:val="115"/>
          <w:sz w:val="19"/>
        </w:rPr>
        <w:t> </w:t>
      </w:r>
      <w:r>
        <w:rPr>
          <w:rFonts w:ascii="Arial"/>
          <w:color w:val="231F20"/>
          <w:w w:val="115"/>
          <w:sz w:val="19"/>
        </w:rPr>
        <w:t>large</w:t>
      </w:r>
      <w:r>
        <w:rPr>
          <w:rFonts w:ascii="Arial"/>
          <w:color w:val="231F20"/>
          <w:spacing w:val="-11"/>
          <w:w w:val="115"/>
          <w:sz w:val="19"/>
        </w:rPr>
        <w:t> </w:t>
      </w:r>
      <w:r>
        <w:rPr>
          <w:rFonts w:ascii="Arial"/>
          <w:color w:val="231F20"/>
          <w:w w:val="115"/>
          <w:sz w:val="19"/>
        </w:rPr>
        <w:t>enough</w:t>
      </w:r>
      <w:r>
        <w:rPr>
          <w:rFonts w:ascii="Arial"/>
          <w:color w:val="231F20"/>
          <w:spacing w:val="-11"/>
          <w:w w:val="115"/>
          <w:sz w:val="19"/>
        </w:rPr>
        <w:t> </w:t>
      </w:r>
      <w:r>
        <w:rPr>
          <w:rFonts w:ascii="Arial"/>
          <w:color w:val="231F20"/>
          <w:w w:val="115"/>
          <w:sz w:val="19"/>
        </w:rPr>
        <w:t>to</w:t>
      </w:r>
      <w:r>
        <w:rPr>
          <w:rFonts w:ascii="Arial"/>
          <w:color w:val="231F20"/>
          <w:spacing w:val="-11"/>
          <w:w w:val="115"/>
          <w:sz w:val="19"/>
        </w:rPr>
        <w:t> </w:t>
      </w:r>
      <w:r>
        <w:rPr>
          <w:rFonts w:ascii="Arial"/>
          <w:color w:val="231F20"/>
          <w:w w:val="115"/>
          <w:sz w:val="19"/>
        </w:rPr>
        <w:t>serve</w:t>
      </w:r>
      <w:r>
        <w:rPr>
          <w:rFonts w:ascii="Arial"/>
          <w:color w:val="231F20"/>
          <w:spacing w:val="-11"/>
          <w:w w:val="115"/>
          <w:sz w:val="19"/>
        </w:rPr>
        <w:t> </w:t>
      </w:r>
      <w:r>
        <w:rPr>
          <w:rFonts w:ascii="Arial"/>
          <w:color w:val="231F20"/>
          <w:spacing w:val="-2"/>
          <w:w w:val="115"/>
          <w:sz w:val="19"/>
        </w:rPr>
        <w:t>profitably.</w:t>
      </w:r>
    </w:p>
    <w:p>
      <w:pPr>
        <w:spacing w:line="328" w:lineRule="auto" w:before="81"/>
        <w:ind w:left="1510" w:right="1262" w:hanging="340"/>
        <w:jc w:val="left"/>
        <w:rPr>
          <w:rFonts w:ascii="Arial"/>
          <w:sz w:val="19"/>
        </w:rPr>
      </w:pPr>
      <w:r>
        <w:rPr>
          <w:rFonts w:ascii="Arial"/>
          <w:color w:val="231F20"/>
          <w:w w:val="115"/>
          <w:sz w:val="19"/>
        </w:rPr>
        <w:t>To</w:t>
      </w:r>
      <w:r>
        <w:rPr>
          <w:rFonts w:ascii="Arial"/>
          <w:color w:val="231F20"/>
          <w:spacing w:val="-6"/>
          <w:w w:val="115"/>
          <w:sz w:val="19"/>
        </w:rPr>
        <w:t> </w:t>
      </w:r>
      <w:r>
        <w:rPr>
          <w:rFonts w:ascii="Arial"/>
          <w:color w:val="231F20"/>
          <w:w w:val="115"/>
          <w:sz w:val="19"/>
        </w:rPr>
        <w:t>identify</w:t>
      </w:r>
      <w:r>
        <w:rPr>
          <w:rFonts w:ascii="Arial"/>
          <w:color w:val="231F20"/>
          <w:spacing w:val="-6"/>
          <w:w w:val="115"/>
          <w:sz w:val="19"/>
        </w:rPr>
        <w:t> </w:t>
      </w:r>
      <w:r>
        <w:rPr>
          <w:rFonts w:ascii="Arial"/>
          <w:color w:val="231F20"/>
          <w:w w:val="115"/>
          <w:sz w:val="19"/>
        </w:rPr>
        <w:t>segments</w:t>
      </w:r>
      <w:r>
        <w:rPr>
          <w:rFonts w:ascii="Arial"/>
          <w:color w:val="231F20"/>
          <w:spacing w:val="-6"/>
          <w:w w:val="115"/>
          <w:sz w:val="19"/>
        </w:rPr>
        <w:t> </w:t>
      </w:r>
      <w:r>
        <w:rPr>
          <w:rFonts w:ascii="Arial"/>
          <w:color w:val="231F20"/>
          <w:w w:val="115"/>
          <w:sz w:val="19"/>
        </w:rPr>
        <w:t>that</w:t>
      </w:r>
      <w:r>
        <w:rPr>
          <w:rFonts w:ascii="Arial"/>
          <w:color w:val="231F20"/>
          <w:spacing w:val="-6"/>
          <w:w w:val="115"/>
          <w:sz w:val="19"/>
        </w:rPr>
        <w:t> </w:t>
      </w:r>
      <w:r>
        <w:rPr>
          <w:rFonts w:ascii="Arial"/>
          <w:color w:val="231F20"/>
          <w:w w:val="115"/>
          <w:sz w:val="19"/>
        </w:rPr>
        <w:t>can</w:t>
      </w:r>
      <w:r>
        <w:rPr>
          <w:rFonts w:ascii="Arial"/>
          <w:color w:val="231F20"/>
          <w:spacing w:val="-6"/>
          <w:w w:val="115"/>
          <w:sz w:val="19"/>
        </w:rPr>
        <w:t> </w:t>
      </w:r>
      <w:r>
        <w:rPr>
          <w:rFonts w:ascii="Arial"/>
          <w:color w:val="231F20"/>
          <w:w w:val="115"/>
          <w:sz w:val="19"/>
        </w:rPr>
        <w:t>efficiently</w:t>
      </w:r>
      <w:r>
        <w:rPr>
          <w:rFonts w:ascii="Arial"/>
          <w:color w:val="231F20"/>
          <w:spacing w:val="-6"/>
          <w:w w:val="115"/>
          <w:sz w:val="19"/>
        </w:rPr>
        <w:t> </w:t>
      </w:r>
      <w:r>
        <w:rPr>
          <w:rFonts w:ascii="Arial"/>
          <w:color w:val="231F20"/>
          <w:w w:val="115"/>
          <w:sz w:val="19"/>
        </w:rPr>
        <w:t>be</w:t>
      </w:r>
      <w:r>
        <w:rPr>
          <w:rFonts w:ascii="Arial"/>
          <w:color w:val="231F20"/>
          <w:spacing w:val="-6"/>
          <w:w w:val="115"/>
          <w:sz w:val="19"/>
        </w:rPr>
        <w:t> </w:t>
      </w:r>
      <w:r>
        <w:rPr>
          <w:rFonts w:ascii="Arial"/>
          <w:color w:val="231F20"/>
          <w:w w:val="115"/>
          <w:sz w:val="19"/>
        </w:rPr>
        <w:t>reached</w:t>
      </w:r>
      <w:r>
        <w:rPr>
          <w:rFonts w:ascii="Arial"/>
          <w:color w:val="231F20"/>
          <w:spacing w:val="-6"/>
          <w:w w:val="115"/>
          <w:sz w:val="19"/>
        </w:rPr>
        <w:t> </w:t>
      </w:r>
      <w:r>
        <w:rPr>
          <w:rFonts w:ascii="Arial"/>
          <w:color w:val="231F20"/>
          <w:w w:val="115"/>
          <w:sz w:val="19"/>
        </w:rPr>
        <w:t>by marketing efforts.</w:t>
      </w:r>
    </w:p>
    <w:p>
      <w:pPr>
        <w:spacing w:before="2"/>
        <w:ind w:left="1170" w:right="0" w:firstLine="0"/>
        <w:jc w:val="left"/>
        <w:rPr>
          <w:rFonts w:ascii="Arial"/>
          <w:sz w:val="19"/>
        </w:rPr>
      </w:pPr>
      <w:r>
        <w:rPr>
          <w:rFonts w:ascii="Arial"/>
          <w:color w:val="231F20"/>
          <w:w w:val="115"/>
          <w:sz w:val="19"/>
        </w:rPr>
        <w:t>To</w:t>
      </w:r>
      <w:r>
        <w:rPr>
          <w:rFonts w:ascii="Arial"/>
          <w:color w:val="231F20"/>
          <w:spacing w:val="-13"/>
          <w:w w:val="115"/>
          <w:sz w:val="19"/>
        </w:rPr>
        <w:t> </w:t>
      </w:r>
      <w:r>
        <w:rPr>
          <w:rFonts w:ascii="Arial"/>
          <w:color w:val="231F20"/>
          <w:w w:val="115"/>
          <w:sz w:val="19"/>
        </w:rPr>
        <w:t>help</w:t>
      </w:r>
      <w:r>
        <w:rPr>
          <w:rFonts w:ascii="Arial"/>
          <w:color w:val="231F20"/>
          <w:spacing w:val="-12"/>
          <w:w w:val="115"/>
          <w:sz w:val="19"/>
        </w:rPr>
        <w:t> </w:t>
      </w:r>
      <w:r>
        <w:rPr>
          <w:rFonts w:ascii="Arial"/>
          <w:color w:val="231F20"/>
          <w:w w:val="115"/>
          <w:sz w:val="19"/>
        </w:rPr>
        <w:t>develop</w:t>
      </w:r>
      <w:r>
        <w:rPr>
          <w:rFonts w:ascii="Arial"/>
          <w:color w:val="231F20"/>
          <w:spacing w:val="-13"/>
          <w:w w:val="115"/>
          <w:sz w:val="19"/>
        </w:rPr>
        <w:t> </w:t>
      </w:r>
      <w:r>
        <w:rPr>
          <w:rFonts w:ascii="Arial"/>
          <w:color w:val="231F20"/>
          <w:w w:val="115"/>
          <w:sz w:val="19"/>
        </w:rPr>
        <w:t>marketing</w:t>
      </w:r>
      <w:r>
        <w:rPr>
          <w:rFonts w:ascii="Arial"/>
          <w:color w:val="231F20"/>
          <w:spacing w:val="-13"/>
          <w:w w:val="115"/>
          <w:sz w:val="19"/>
        </w:rPr>
        <w:t> </w:t>
      </w:r>
      <w:r>
        <w:rPr>
          <w:rFonts w:ascii="Arial"/>
          <w:color w:val="231F20"/>
          <w:spacing w:val="-2"/>
          <w:w w:val="115"/>
          <w:sz w:val="19"/>
        </w:rPr>
        <w:t>programs.</w:t>
      </w:r>
    </w:p>
    <w:p>
      <w:pPr>
        <w:pStyle w:val="BodyText"/>
        <w:spacing w:before="9"/>
        <w:rPr>
          <w:rFonts w:ascii="Arial"/>
          <w:sz w:val="24"/>
        </w:rPr>
      </w:pPr>
    </w:p>
    <w:p>
      <w:pPr>
        <w:pStyle w:val="BodyText"/>
        <w:spacing w:line="292" w:lineRule="auto"/>
        <w:ind w:left="830" w:right="756" w:firstLine="340"/>
        <w:jc w:val="both"/>
      </w:pPr>
      <w:r>
        <w:rPr>
          <w:color w:val="231F20"/>
        </w:rPr>
        <w:t>By having a definite segment in mind, you can effectively aim</w:t>
      </w:r>
      <w:r>
        <w:rPr>
          <w:color w:val="231F20"/>
          <w:spacing w:val="80"/>
          <w:w w:val="150"/>
        </w:rPr>
        <w:t> </w:t>
      </w:r>
      <w:r>
        <w:rPr>
          <w:color w:val="231F20"/>
        </w:rPr>
        <w:t>and efficiently execute your marketing activities to yield the most sales and profits. Without a target, you risk wasting marketing </w:t>
      </w:r>
      <w:r>
        <w:rPr>
          <w:color w:val="231F20"/>
        </w:rPr>
        <w:t>dol- lars on disinterested people. There are four major variables used in segmenting consumer markets:</w:t>
      </w:r>
    </w:p>
    <w:p>
      <w:pPr>
        <w:pStyle w:val="BodyText"/>
        <w:spacing w:before="10"/>
        <w:rPr>
          <w:sz w:val="20"/>
        </w:rPr>
      </w:pPr>
    </w:p>
    <w:p>
      <w:pPr>
        <w:pStyle w:val="ListParagraph"/>
        <w:numPr>
          <w:ilvl w:val="0"/>
          <w:numId w:val="13"/>
        </w:numPr>
        <w:tabs>
          <w:tab w:pos="1356" w:val="left" w:leader="none"/>
        </w:tabs>
        <w:spacing w:line="240" w:lineRule="auto" w:before="0" w:after="0"/>
        <w:ind w:left="1355" w:right="0" w:hanging="186"/>
        <w:jc w:val="left"/>
        <w:rPr>
          <w:sz w:val="19"/>
        </w:rPr>
      </w:pPr>
      <w:r>
        <w:rPr>
          <w:color w:val="231F20"/>
          <w:spacing w:val="-2"/>
          <w:w w:val="115"/>
          <w:sz w:val="19"/>
        </w:rPr>
        <w:t>Geographic</w:t>
      </w:r>
    </w:p>
    <w:p>
      <w:pPr>
        <w:pStyle w:val="ListParagraph"/>
        <w:numPr>
          <w:ilvl w:val="0"/>
          <w:numId w:val="13"/>
        </w:numPr>
        <w:tabs>
          <w:tab w:pos="1356" w:val="left" w:leader="none"/>
        </w:tabs>
        <w:spacing w:line="240" w:lineRule="auto" w:before="81" w:after="0"/>
        <w:ind w:left="1355" w:right="0" w:hanging="186"/>
        <w:jc w:val="left"/>
        <w:rPr>
          <w:sz w:val="19"/>
        </w:rPr>
      </w:pPr>
      <w:r>
        <w:rPr>
          <w:color w:val="231F20"/>
          <w:spacing w:val="-2"/>
          <w:w w:val="115"/>
          <w:sz w:val="19"/>
        </w:rPr>
        <w:t>Demographic</w:t>
      </w:r>
    </w:p>
    <w:p>
      <w:pPr>
        <w:pStyle w:val="ListParagraph"/>
        <w:numPr>
          <w:ilvl w:val="0"/>
          <w:numId w:val="13"/>
        </w:numPr>
        <w:tabs>
          <w:tab w:pos="1356" w:val="left" w:leader="none"/>
        </w:tabs>
        <w:spacing w:line="240" w:lineRule="auto" w:before="82" w:after="0"/>
        <w:ind w:left="1355" w:right="0" w:hanging="186"/>
        <w:jc w:val="left"/>
        <w:rPr>
          <w:sz w:val="19"/>
        </w:rPr>
      </w:pPr>
      <w:r>
        <w:rPr>
          <w:color w:val="231F20"/>
          <w:spacing w:val="-2"/>
          <w:w w:val="115"/>
          <w:sz w:val="19"/>
        </w:rPr>
        <w:t>Psychographic</w:t>
      </w:r>
    </w:p>
    <w:p>
      <w:pPr>
        <w:pStyle w:val="ListParagraph"/>
        <w:numPr>
          <w:ilvl w:val="0"/>
          <w:numId w:val="13"/>
        </w:numPr>
        <w:tabs>
          <w:tab w:pos="1356" w:val="left" w:leader="none"/>
        </w:tabs>
        <w:spacing w:line="240" w:lineRule="auto" w:before="81" w:after="0"/>
        <w:ind w:left="1355" w:right="0" w:hanging="186"/>
        <w:jc w:val="left"/>
        <w:rPr>
          <w:sz w:val="19"/>
        </w:rPr>
      </w:pPr>
      <w:r>
        <w:rPr>
          <w:color w:val="231F20"/>
          <w:spacing w:val="-2"/>
          <w:w w:val="115"/>
          <w:sz w:val="19"/>
        </w:rPr>
        <w:t>Behavioral</w:t>
      </w:r>
    </w:p>
    <w:p>
      <w:pPr>
        <w:pStyle w:val="BodyText"/>
        <w:rPr>
          <w:rFonts w:ascii="Arial"/>
          <w:sz w:val="20"/>
        </w:rPr>
      </w:pPr>
    </w:p>
    <w:p>
      <w:pPr>
        <w:spacing w:line="292" w:lineRule="auto" w:before="131"/>
        <w:ind w:left="829" w:right="753" w:firstLine="0"/>
        <w:jc w:val="both"/>
        <w:rPr>
          <w:sz w:val="21"/>
        </w:rPr>
      </w:pPr>
      <w:r>
        <w:rPr>
          <w:i/>
          <w:color w:val="231F20"/>
          <w:w w:val="105"/>
          <w:sz w:val="21"/>
        </w:rPr>
        <w:t>Geographic</w:t>
      </w:r>
      <w:r>
        <w:rPr>
          <w:i/>
          <w:color w:val="231F20"/>
          <w:w w:val="105"/>
          <w:sz w:val="21"/>
        </w:rPr>
        <w:t> Segmentation.</w:t>
      </w:r>
      <w:r>
        <w:rPr>
          <w:i/>
          <w:color w:val="231F20"/>
          <w:w w:val="105"/>
          <w:sz w:val="21"/>
        </w:rPr>
        <w:t> </w:t>
      </w:r>
      <w:r>
        <w:rPr>
          <w:color w:val="231F20"/>
          <w:w w:val="105"/>
          <w:sz w:val="21"/>
        </w:rPr>
        <w:t>Divides</w:t>
      </w:r>
      <w:r>
        <w:rPr>
          <w:color w:val="231F20"/>
          <w:w w:val="105"/>
          <w:sz w:val="21"/>
        </w:rPr>
        <w:t> the</w:t>
      </w:r>
      <w:r>
        <w:rPr>
          <w:color w:val="231F20"/>
          <w:w w:val="105"/>
          <w:sz w:val="21"/>
        </w:rPr>
        <w:t> market</w:t>
      </w:r>
      <w:r>
        <w:rPr>
          <w:color w:val="231F20"/>
          <w:w w:val="105"/>
          <w:sz w:val="21"/>
        </w:rPr>
        <w:t> by</w:t>
      </w:r>
      <w:r>
        <w:rPr>
          <w:color w:val="231F20"/>
          <w:w w:val="105"/>
          <w:sz w:val="21"/>
        </w:rPr>
        <w:t> country,</w:t>
      </w:r>
      <w:r>
        <w:rPr>
          <w:color w:val="231F20"/>
          <w:w w:val="105"/>
          <w:sz w:val="21"/>
        </w:rPr>
        <w:t> state, region,</w:t>
      </w:r>
      <w:r>
        <w:rPr>
          <w:color w:val="231F20"/>
          <w:w w:val="105"/>
          <w:sz w:val="21"/>
        </w:rPr>
        <w:t> county,</w:t>
      </w:r>
      <w:r>
        <w:rPr>
          <w:color w:val="231F20"/>
          <w:w w:val="105"/>
          <w:sz w:val="21"/>
        </w:rPr>
        <w:t> and</w:t>
      </w:r>
      <w:r>
        <w:rPr>
          <w:color w:val="231F20"/>
          <w:w w:val="105"/>
          <w:sz w:val="21"/>
        </w:rPr>
        <w:t> city.</w:t>
      </w:r>
      <w:r>
        <w:rPr>
          <w:color w:val="231F20"/>
          <w:w w:val="105"/>
          <w:sz w:val="21"/>
        </w:rPr>
        <w:t> The</w:t>
      </w:r>
      <w:r>
        <w:rPr>
          <w:color w:val="231F20"/>
          <w:w w:val="105"/>
          <w:sz w:val="21"/>
        </w:rPr>
        <w:t> federal</w:t>
      </w:r>
      <w:r>
        <w:rPr>
          <w:color w:val="231F20"/>
          <w:w w:val="105"/>
          <w:sz w:val="21"/>
        </w:rPr>
        <w:t> census</w:t>
      </w:r>
      <w:r>
        <w:rPr>
          <w:color w:val="231F20"/>
          <w:w w:val="105"/>
          <w:sz w:val="21"/>
        </w:rPr>
        <w:t> lists</w:t>
      </w:r>
      <w:r>
        <w:rPr>
          <w:color w:val="231F20"/>
          <w:w w:val="105"/>
          <w:sz w:val="21"/>
        </w:rPr>
        <w:t> 310</w:t>
      </w:r>
      <w:r>
        <w:rPr>
          <w:color w:val="231F20"/>
          <w:w w:val="105"/>
          <w:sz w:val="21"/>
        </w:rPr>
        <w:t> </w:t>
      </w:r>
      <w:r>
        <w:rPr>
          <w:i/>
          <w:color w:val="231F20"/>
          <w:w w:val="105"/>
          <w:sz w:val="21"/>
        </w:rPr>
        <w:t>Standard</w:t>
      </w:r>
      <w:r>
        <w:rPr>
          <w:i/>
          <w:color w:val="231F20"/>
          <w:w w:val="105"/>
          <w:sz w:val="21"/>
        </w:rPr>
        <w:t> Metropolitan</w:t>
      </w:r>
      <w:r>
        <w:rPr>
          <w:i/>
          <w:color w:val="231F20"/>
          <w:w w:val="105"/>
          <w:sz w:val="21"/>
        </w:rPr>
        <w:t> Statistical</w:t>
      </w:r>
      <w:r>
        <w:rPr>
          <w:i/>
          <w:color w:val="231F20"/>
          <w:w w:val="105"/>
          <w:sz w:val="21"/>
        </w:rPr>
        <w:t> Areas</w:t>
      </w:r>
      <w:r>
        <w:rPr>
          <w:i/>
          <w:color w:val="231F20"/>
          <w:w w:val="105"/>
          <w:sz w:val="21"/>
        </w:rPr>
        <w:t> </w:t>
      </w:r>
      <w:r>
        <w:rPr>
          <w:color w:val="231F20"/>
          <w:w w:val="105"/>
          <w:sz w:val="21"/>
        </w:rPr>
        <w:t>(SMSAs)</w:t>
      </w:r>
      <w:r>
        <w:rPr>
          <w:color w:val="231F20"/>
          <w:w w:val="105"/>
          <w:sz w:val="21"/>
        </w:rPr>
        <w:t> to</w:t>
      </w:r>
      <w:r>
        <w:rPr>
          <w:color w:val="231F20"/>
          <w:w w:val="105"/>
          <w:sz w:val="21"/>
        </w:rPr>
        <w:t> define</w:t>
      </w:r>
      <w:r>
        <w:rPr>
          <w:color w:val="231F20"/>
          <w:w w:val="105"/>
          <w:sz w:val="21"/>
        </w:rPr>
        <w:t> the</w:t>
      </w:r>
      <w:r>
        <w:rPr>
          <w:color w:val="231F20"/>
          <w:w w:val="105"/>
          <w:sz w:val="21"/>
        </w:rPr>
        <w:t> major</w:t>
      </w:r>
      <w:r>
        <w:rPr>
          <w:color w:val="231F20"/>
          <w:w w:val="105"/>
          <w:sz w:val="21"/>
        </w:rPr>
        <w:t> geo- graphic</w:t>
      </w:r>
      <w:r>
        <w:rPr>
          <w:color w:val="231F20"/>
          <w:w w:val="105"/>
          <w:sz w:val="21"/>
        </w:rPr>
        <w:t> population</w:t>
      </w:r>
      <w:r>
        <w:rPr>
          <w:color w:val="231F20"/>
          <w:w w:val="105"/>
          <w:sz w:val="21"/>
        </w:rPr>
        <w:t> centers</w:t>
      </w:r>
      <w:r>
        <w:rPr>
          <w:color w:val="231F20"/>
          <w:w w:val="105"/>
          <w:sz w:val="21"/>
        </w:rPr>
        <w:t> of</w:t>
      </w:r>
      <w:r>
        <w:rPr>
          <w:color w:val="231F20"/>
          <w:w w:val="105"/>
          <w:sz w:val="21"/>
        </w:rPr>
        <w:t> the</w:t>
      </w:r>
      <w:r>
        <w:rPr>
          <w:color w:val="231F20"/>
          <w:w w:val="105"/>
          <w:sz w:val="21"/>
        </w:rPr>
        <w:t> United</w:t>
      </w:r>
      <w:r>
        <w:rPr>
          <w:color w:val="231F20"/>
          <w:w w:val="105"/>
          <w:sz w:val="21"/>
        </w:rPr>
        <w:t> States.</w:t>
      </w:r>
      <w:r>
        <w:rPr>
          <w:color w:val="231F20"/>
          <w:w w:val="105"/>
          <w:sz w:val="21"/>
        </w:rPr>
        <w:t> Arbitron,</w:t>
      </w:r>
      <w:r>
        <w:rPr>
          <w:color w:val="231F20"/>
          <w:w w:val="105"/>
          <w:sz w:val="21"/>
        </w:rPr>
        <w:t> a</w:t>
      </w:r>
      <w:r>
        <w:rPr>
          <w:color w:val="231F20"/>
          <w:w w:val="105"/>
          <w:sz w:val="21"/>
        </w:rPr>
        <w:t> large media</w:t>
      </w:r>
      <w:r>
        <w:rPr>
          <w:color w:val="231F20"/>
          <w:w w:val="105"/>
          <w:sz w:val="21"/>
        </w:rPr>
        <w:t> research</w:t>
      </w:r>
      <w:r>
        <w:rPr>
          <w:color w:val="231F20"/>
          <w:w w:val="105"/>
          <w:sz w:val="21"/>
        </w:rPr>
        <w:t> firm,</w:t>
      </w:r>
      <w:r>
        <w:rPr>
          <w:color w:val="231F20"/>
          <w:w w:val="105"/>
          <w:sz w:val="21"/>
        </w:rPr>
        <w:t> has</w:t>
      </w:r>
      <w:r>
        <w:rPr>
          <w:color w:val="231F20"/>
          <w:w w:val="105"/>
          <w:sz w:val="21"/>
        </w:rPr>
        <w:t> defined</w:t>
      </w:r>
      <w:r>
        <w:rPr>
          <w:color w:val="231F20"/>
          <w:w w:val="105"/>
          <w:sz w:val="21"/>
        </w:rPr>
        <w:t> a</w:t>
      </w:r>
      <w:r>
        <w:rPr>
          <w:color w:val="231F20"/>
          <w:w w:val="105"/>
          <w:sz w:val="21"/>
        </w:rPr>
        <w:t> similar</w:t>
      </w:r>
      <w:r>
        <w:rPr>
          <w:color w:val="231F20"/>
          <w:w w:val="105"/>
          <w:sz w:val="21"/>
        </w:rPr>
        <w:t> measure</w:t>
      </w:r>
      <w:r>
        <w:rPr>
          <w:color w:val="231F20"/>
          <w:w w:val="105"/>
          <w:sz w:val="21"/>
        </w:rPr>
        <w:t> to</w:t>
      </w:r>
      <w:r>
        <w:rPr>
          <w:color w:val="231F20"/>
          <w:w w:val="105"/>
          <w:sz w:val="21"/>
        </w:rPr>
        <w:t> capture</w:t>
      </w:r>
      <w:r>
        <w:rPr>
          <w:color w:val="231F20"/>
          <w:w w:val="105"/>
          <w:sz w:val="21"/>
        </w:rPr>
        <w:t> the 210</w:t>
      </w:r>
      <w:r>
        <w:rPr>
          <w:color w:val="231F20"/>
          <w:spacing w:val="-1"/>
          <w:w w:val="105"/>
          <w:sz w:val="21"/>
        </w:rPr>
        <w:t> </w:t>
      </w:r>
      <w:r>
        <w:rPr>
          <w:color w:val="231F20"/>
          <w:w w:val="105"/>
          <w:sz w:val="21"/>
        </w:rPr>
        <w:t>major</w:t>
      </w:r>
      <w:r>
        <w:rPr>
          <w:color w:val="231F20"/>
          <w:spacing w:val="-1"/>
          <w:w w:val="105"/>
          <w:sz w:val="21"/>
        </w:rPr>
        <w:t> </w:t>
      </w:r>
      <w:r>
        <w:rPr>
          <w:color w:val="231F20"/>
          <w:w w:val="105"/>
          <w:sz w:val="21"/>
        </w:rPr>
        <w:t>television</w:t>
      </w:r>
      <w:r>
        <w:rPr>
          <w:color w:val="231F20"/>
          <w:spacing w:val="-1"/>
          <w:w w:val="105"/>
          <w:sz w:val="21"/>
        </w:rPr>
        <w:t> </w:t>
      </w:r>
      <w:r>
        <w:rPr>
          <w:color w:val="231F20"/>
          <w:w w:val="105"/>
          <w:sz w:val="21"/>
        </w:rPr>
        <w:t>markets</w:t>
      </w:r>
      <w:r>
        <w:rPr>
          <w:color w:val="231F20"/>
          <w:spacing w:val="-1"/>
          <w:w w:val="105"/>
          <w:sz w:val="21"/>
        </w:rPr>
        <w:t> </w:t>
      </w:r>
      <w:r>
        <w:rPr>
          <w:color w:val="231F20"/>
          <w:w w:val="105"/>
          <w:sz w:val="21"/>
        </w:rPr>
        <w:t>of</w:t>
      </w:r>
      <w:r>
        <w:rPr>
          <w:color w:val="231F20"/>
          <w:spacing w:val="-1"/>
          <w:w w:val="105"/>
          <w:sz w:val="21"/>
        </w:rPr>
        <w:t> </w:t>
      </w:r>
      <w:r>
        <w:rPr>
          <w:color w:val="231F20"/>
          <w:w w:val="105"/>
          <w:sz w:val="21"/>
        </w:rPr>
        <w:t>the</w:t>
      </w:r>
      <w:r>
        <w:rPr>
          <w:color w:val="231F20"/>
          <w:spacing w:val="-1"/>
          <w:w w:val="105"/>
          <w:sz w:val="21"/>
        </w:rPr>
        <w:t> </w:t>
      </w:r>
      <w:r>
        <w:rPr>
          <w:color w:val="231F20"/>
          <w:w w:val="105"/>
          <w:sz w:val="21"/>
        </w:rPr>
        <w:t>country,</w:t>
      </w:r>
      <w:r>
        <w:rPr>
          <w:color w:val="231F20"/>
          <w:spacing w:val="-1"/>
          <w:w w:val="105"/>
          <w:sz w:val="21"/>
        </w:rPr>
        <w:t> </w:t>
      </w:r>
      <w:r>
        <w:rPr>
          <w:color w:val="231F20"/>
          <w:w w:val="105"/>
          <w:sz w:val="21"/>
        </w:rPr>
        <w:t>called</w:t>
      </w:r>
      <w:r>
        <w:rPr>
          <w:color w:val="231F20"/>
          <w:spacing w:val="-2"/>
          <w:w w:val="105"/>
          <w:sz w:val="21"/>
        </w:rPr>
        <w:t> </w:t>
      </w:r>
      <w:r>
        <w:rPr>
          <w:i/>
          <w:color w:val="231F20"/>
          <w:w w:val="105"/>
          <w:sz w:val="21"/>
        </w:rPr>
        <w:t>Areas</w:t>
      </w:r>
      <w:r>
        <w:rPr>
          <w:i/>
          <w:color w:val="231F20"/>
          <w:spacing w:val="-1"/>
          <w:w w:val="105"/>
          <w:sz w:val="21"/>
        </w:rPr>
        <w:t> </w:t>
      </w:r>
      <w:r>
        <w:rPr>
          <w:i/>
          <w:color w:val="231F20"/>
          <w:w w:val="105"/>
          <w:sz w:val="21"/>
        </w:rPr>
        <w:t>of</w:t>
      </w:r>
      <w:r>
        <w:rPr>
          <w:i/>
          <w:color w:val="231F20"/>
          <w:spacing w:val="-1"/>
          <w:w w:val="105"/>
          <w:sz w:val="21"/>
        </w:rPr>
        <w:t> </w:t>
      </w:r>
      <w:r>
        <w:rPr>
          <w:i/>
          <w:color w:val="231F20"/>
          <w:w w:val="105"/>
          <w:sz w:val="21"/>
        </w:rPr>
        <w:t>Domi-</w:t>
      </w:r>
      <w:r>
        <w:rPr>
          <w:i/>
          <w:color w:val="231F20"/>
          <w:w w:val="105"/>
          <w:sz w:val="21"/>
        </w:rPr>
        <w:t> nant</w:t>
      </w:r>
      <w:r>
        <w:rPr>
          <w:i/>
          <w:color w:val="231F20"/>
          <w:w w:val="105"/>
          <w:sz w:val="21"/>
        </w:rPr>
        <w:t> Influence</w:t>
      </w:r>
      <w:r>
        <w:rPr>
          <w:i/>
          <w:color w:val="231F20"/>
          <w:w w:val="105"/>
          <w:sz w:val="21"/>
        </w:rPr>
        <w:t> </w:t>
      </w:r>
      <w:r>
        <w:rPr>
          <w:color w:val="231F20"/>
          <w:w w:val="105"/>
          <w:sz w:val="21"/>
        </w:rPr>
        <w:t>(ADIs).</w:t>
      </w:r>
      <w:r>
        <w:rPr>
          <w:color w:val="231F20"/>
          <w:w w:val="105"/>
          <w:sz w:val="21"/>
        </w:rPr>
        <w:t> A.</w:t>
      </w:r>
      <w:r>
        <w:rPr>
          <w:color w:val="231F20"/>
          <w:w w:val="105"/>
          <w:sz w:val="21"/>
        </w:rPr>
        <w:t> C.</w:t>
      </w:r>
      <w:r>
        <w:rPr>
          <w:color w:val="231F20"/>
          <w:w w:val="105"/>
          <w:sz w:val="21"/>
        </w:rPr>
        <w:t> Nielsen,</w:t>
      </w:r>
      <w:r>
        <w:rPr>
          <w:color w:val="231F20"/>
          <w:w w:val="105"/>
          <w:sz w:val="21"/>
        </w:rPr>
        <w:t> a</w:t>
      </w:r>
      <w:r>
        <w:rPr>
          <w:color w:val="231F20"/>
          <w:w w:val="105"/>
          <w:sz w:val="21"/>
        </w:rPr>
        <w:t> competitor,</w:t>
      </w:r>
      <w:r>
        <w:rPr>
          <w:color w:val="231F20"/>
          <w:w w:val="105"/>
          <w:sz w:val="21"/>
        </w:rPr>
        <w:t> has</w:t>
      </w:r>
      <w:r>
        <w:rPr>
          <w:color w:val="231F20"/>
          <w:w w:val="105"/>
          <w:sz w:val="21"/>
        </w:rPr>
        <w:t> a</w:t>
      </w:r>
      <w:r>
        <w:rPr>
          <w:color w:val="231F20"/>
          <w:w w:val="105"/>
          <w:sz w:val="21"/>
        </w:rPr>
        <w:t> similar measure called </w:t>
      </w:r>
      <w:r>
        <w:rPr>
          <w:i/>
          <w:color w:val="231F20"/>
          <w:w w:val="105"/>
          <w:sz w:val="21"/>
        </w:rPr>
        <w:t>Designated Market Areas </w:t>
      </w:r>
      <w:r>
        <w:rPr>
          <w:color w:val="231F20"/>
          <w:w w:val="105"/>
          <w:sz w:val="21"/>
        </w:rPr>
        <w:t>(DMAs).</w:t>
      </w:r>
    </w:p>
    <w:p>
      <w:pPr>
        <w:pStyle w:val="BodyText"/>
        <w:spacing w:before="5"/>
        <w:rPr>
          <w:sz w:val="30"/>
        </w:rPr>
      </w:pPr>
    </w:p>
    <w:p>
      <w:pPr>
        <w:pStyle w:val="BodyText"/>
        <w:spacing w:line="292" w:lineRule="auto"/>
        <w:ind w:left="830" w:right="753"/>
        <w:jc w:val="both"/>
      </w:pPr>
      <w:r>
        <w:rPr>
          <w:i/>
          <w:color w:val="231F20"/>
          <w:w w:val="105"/>
        </w:rPr>
        <w:t>Demographic</w:t>
      </w:r>
      <w:r>
        <w:rPr>
          <w:i/>
          <w:color w:val="231F20"/>
          <w:w w:val="105"/>
        </w:rPr>
        <w:t> Segmentation.</w:t>
      </w:r>
      <w:r>
        <w:rPr>
          <w:i/>
          <w:color w:val="231F20"/>
          <w:w w:val="105"/>
        </w:rPr>
        <w:t> </w:t>
      </w:r>
      <w:r>
        <w:rPr>
          <w:color w:val="231F20"/>
          <w:w w:val="105"/>
        </w:rPr>
        <w:t>Divides</w:t>
      </w:r>
      <w:r>
        <w:rPr>
          <w:color w:val="231F20"/>
          <w:w w:val="105"/>
        </w:rPr>
        <w:t> a</w:t>
      </w:r>
      <w:r>
        <w:rPr>
          <w:color w:val="231F20"/>
          <w:w w:val="105"/>
        </w:rPr>
        <w:t> population</w:t>
      </w:r>
      <w:r>
        <w:rPr>
          <w:color w:val="231F20"/>
          <w:w w:val="105"/>
        </w:rPr>
        <w:t> based</w:t>
      </w:r>
      <w:r>
        <w:rPr>
          <w:color w:val="231F20"/>
          <w:w w:val="105"/>
        </w:rPr>
        <w:t> on</w:t>
      </w:r>
      <w:r>
        <w:rPr>
          <w:color w:val="231F20"/>
          <w:w w:val="105"/>
        </w:rPr>
        <w:t> the following</w:t>
      </w:r>
      <w:r>
        <w:rPr>
          <w:color w:val="231F20"/>
          <w:w w:val="105"/>
        </w:rPr>
        <w:t> measurable</w:t>
      </w:r>
      <w:r>
        <w:rPr>
          <w:color w:val="231F20"/>
          <w:w w:val="105"/>
        </w:rPr>
        <w:t> variables</w:t>
      </w:r>
      <w:r>
        <w:rPr>
          <w:color w:val="231F20"/>
          <w:w w:val="105"/>
        </w:rPr>
        <w:t> to</w:t>
      </w:r>
      <w:r>
        <w:rPr>
          <w:color w:val="231F20"/>
          <w:w w:val="105"/>
        </w:rPr>
        <w:t> reach</w:t>
      </w:r>
      <w:r>
        <w:rPr>
          <w:color w:val="231F20"/>
          <w:w w:val="105"/>
        </w:rPr>
        <w:t> a</w:t>
      </w:r>
      <w:r>
        <w:rPr>
          <w:color w:val="231F20"/>
          <w:w w:val="105"/>
        </w:rPr>
        <w:t> homogeneous</w:t>
      </w:r>
      <w:r>
        <w:rPr>
          <w:color w:val="231F20"/>
          <w:w w:val="105"/>
        </w:rPr>
        <w:t> group</w:t>
      </w:r>
      <w:r>
        <w:rPr>
          <w:color w:val="231F20"/>
          <w:w w:val="105"/>
        </w:rPr>
        <w:t> of </w:t>
      </w:r>
      <w:r>
        <w:rPr>
          <w:color w:val="231F20"/>
          <w:spacing w:val="-2"/>
          <w:w w:val="105"/>
        </w:rPr>
        <w:t>people:</w:t>
      </w:r>
    </w:p>
    <w:p>
      <w:pPr>
        <w:pStyle w:val="BodyText"/>
        <w:spacing w:before="5"/>
        <w:rPr>
          <w:sz w:val="32"/>
        </w:rPr>
      </w:pPr>
    </w:p>
    <w:p>
      <w:pPr>
        <w:spacing w:before="0"/>
        <w:ind w:left="1170" w:right="0" w:firstLine="0"/>
        <w:jc w:val="left"/>
        <w:rPr>
          <w:rFonts w:ascii="Arial" w:hAnsi="Arial"/>
          <w:sz w:val="19"/>
        </w:rPr>
      </w:pPr>
      <w:r>
        <w:rPr>
          <w:rFonts w:ascii="Arial" w:hAnsi="Arial"/>
          <w:i/>
          <w:color w:val="231F20"/>
          <w:w w:val="110"/>
          <w:sz w:val="19"/>
        </w:rPr>
        <w:t>Age</w:t>
      </w:r>
      <w:r>
        <w:rPr>
          <w:rFonts w:ascii="Arial" w:hAnsi="Arial"/>
          <w:i/>
          <w:color w:val="231F20"/>
          <w:spacing w:val="-35"/>
          <w:w w:val="110"/>
          <w:sz w:val="19"/>
        </w:rPr>
        <w:t> </w:t>
      </w:r>
      <w:r>
        <w:rPr>
          <w:rFonts w:ascii="Arial" w:hAnsi="Arial"/>
          <w:color w:val="231F20"/>
          <w:w w:val="110"/>
          <w:sz w:val="19"/>
        </w:rPr>
        <w:t>—</w:t>
      </w:r>
      <w:r>
        <w:rPr>
          <w:rFonts w:ascii="Arial" w:hAnsi="Arial"/>
          <w:color w:val="231F20"/>
          <w:spacing w:val="-34"/>
          <w:w w:val="110"/>
          <w:sz w:val="19"/>
        </w:rPr>
        <w:t> </w:t>
      </w:r>
      <w:r>
        <w:rPr>
          <w:rFonts w:ascii="Arial" w:hAnsi="Arial"/>
          <w:color w:val="231F20"/>
          <w:w w:val="110"/>
          <w:sz w:val="19"/>
        </w:rPr>
        <w:t>Different</w:t>
      </w:r>
      <w:r>
        <w:rPr>
          <w:rFonts w:ascii="Arial" w:hAnsi="Arial"/>
          <w:color w:val="231F20"/>
          <w:spacing w:val="16"/>
          <w:w w:val="110"/>
          <w:sz w:val="19"/>
        </w:rPr>
        <w:t> </w:t>
      </w:r>
      <w:r>
        <w:rPr>
          <w:rFonts w:ascii="Arial" w:hAnsi="Arial"/>
          <w:color w:val="231F20"/>
          <w:w w:val="110"/>
          <w:sz w:val="19"/>
        </w:rPr>
        <w:t>generations’</w:t>
      </w:r>
      <w:r>
        <w:rPr>
          <w:rFonts w:ascii="Arial" w:hAnsi="Arial"/>
          <w:color w:val="231F20"/>
          <w:spacing w:val="16"/>
          <w:w w:val="110"/>
          <w:sz w:val="19"/>
        </w:rPr>
        <w:t> </w:t>
      </w:r>
      <w:r>
        <w:rPr>
          <w:rFonts w:ascii="Arial" w:hAnsi="Arial"/>
          <w:color w:val="231F20"/>
          <w:w w:val="110"/>
          <w:sz w:val="19"/>
        </w:rPr>
        <w:t>different</w:t>
      </w:r>
      <w:r>
        <w:rPr>
          <w:rFonts w:ascii="Arial" w:hAnsi="Arial"/>
          <w:color w:val="231F20"/>
          <w:spacing w:val="16"/>
          <w:w w:val="110"/>
          <w:sz w:val="19"/>
        </w:rPr>
        <w:t> </w:t>
      </w:r>
      <w:r>
        <w:rPr>
          <w:rFonts w:ascii="Arial" w:hAnsi="Arial"/>
          <w:color w:val="231F20"/>
          <w:w w:val="110"/>
          <w:sz w:val="19"/>
        </w:rPr>
        <w:t>wants</w:t>
      </w:r>
      <w:r>
        <w:rPr>
          <w:rFonts w:ascii="Arial" w:hAnsi="Arial"/>
          <w:color w:val="231F20"/>
          <w:spacing w:val="16"/>
          <w:w w:val="110"/>
          <w:sz w:val="19"/>
        </w:rPr>
        <w:t> </w:t>
      </w:r>
      <w:r>
        <w:rPr>
          <w:rFonts w:ascii="Arial" w:hAnsi="Arial"/>
          <w:color w:val="231F20"/>
          <w:w w:val="110"/>
          <w:sz w:val="19"/>
        </w:rPr>
        <w:t>and</w:t>
      </w:r>
      <w:r>
        <w:rPr>
          <w:rFonts w:ascii="Arial" w:hAnsi="Arial"/>
          <w:color w:val="231F20"/>
          <w:spacing w:val="16"/>
          <w:w w:val="110"/>
          <w:sz w:val="19"/>
        </w:rPr>
        <w:t> </w:t>
      </w:r>
      <w:r>
        <w:rPr>
          <w:rFonts w:ascii="Arial" w:hAnsi="Arial"/>
          <w:color w:val="231F20"/>
          <w:spacing w:val="-2"/>
          <w:w w:val="110"/>
          <w:sz w:val="19"/>
        </w:rPr>
        <w:t>needs</w:t>
      </w:r>
    </w:p>
    <w:p>
      <w:pPr>
        <w:spacing w:before="82"/>
        <w:ind w:left="1170" w:right="0" w:firstLine="0"/>
        <w:jc w:val="left"/>
        <w:rPr>
          <w:rFonts w:ascii="Arial" w:hAnsi="Arial"/>
          <w:sz w:val="19"/>
        </w:rPr>
      </w:pPr>
      <w:r>
        <w:rPr>
          <w:rFonts w:ascii="Arial" w:hAnsi="Arial"/>
          <w:i/>
          <w:color w:val="231F20"/>
          <w:w w:val="110"/>
          <w:sz w:val="19"/>
        </w:rPr>
        <w:t>Sex</w:t>
      </w:r>
      <w:r>
        <w:rPr>
          <w:rFonts w:ascii="Arial" w:hAnsi="Arial"/>
          <w:i/>
          <w:color w:val="231F20"/>
          <w:spacing w:val="-40"/>
          <w:w w:val="110"/>
          <w:sz w:val="19"/>
        </w:rPr>
        <w:t> </w:t>
      </w:r>
      <w:r>
        <w:rPr>
          <w:rFonts w:ascii="Arial" w:hAnsi="Arial"/>
          <w:color w:val="231F20"/>
          <w:w w:val="110"/>
          <w:sz w:val="19"/>
        </w:rPr>
        <w:t>—</w:t>
      </w:r>
      <w:r>
        <w:rPr>
          <w:rFonts w:ascii="Arial" w:hAnsi="Arial"/>
          <w:color w:val="231F20"/>
          <w:spacing w:val="-39"/>
          <w:w w:val="110"/>
          <w:sz w:val="19"/>
        </w:rPr>
        <w:t> </w:t>
      </w:r>
      <w:r>
        <w:rPr>
          <w:rFonts w:ascii="Arial" w:hAnsi="Arial"/>
          <w:color w:val="231F20"/>
          <w:w w:val="110"/>
          <w:sz w:val="19"/>
        </w:rPr>
        <w:t>Gender</w:t>
      </w:r>
      <w:r>
        <w:rPr>
          <w:rFonts w:ascii="Arial" w:hAnsi="Arial"/>
          <w:color w:val="231F20"/>
          <w:spacing w:val="-15"/>
          <w:w w:val="110"/>
          <w:sz w:val="19"/>
        </w:rPr>
        <w:t> </w:t>
      </w:r>
      <w:r>
        <w:rPr>
          <w:rFonts w:ascii="Arial" w:hAnsi="Arial"/>
          <w:color w:val="231F20"/>
          <w:w w:val="110"/>
          <w:sz w:val="19"/>
        </w:rPr>
        <w:t>use</w:t>
      </w:r>
      <w:r>
        <w:rPr>
          <w:rFonts w:ascii="Arial" w:hAnsi="Arial"/>
          <w:color w:val="231F20"/>
          <w:spacing w:val="-12"/>
          <w:w w:val="110"/>
          <w:sz w:val="19"/>
        </w:rPr>
        <w:t> </w:t>
      </w:r>
      <w:r>
        <w:rPr>
          <w:rFonts w:ascii="Arial" w:hAnsi="Arial"/>
          <w:color w:val="231F20"/>
          <w:w w:val="110"/>
          <w:sz w:val="19"/>
        </w:rPr>
        <w:t>and</w:t>
      </w:r>
      <w:r>
        <w:rPr>
          <w:rFonts w:ascii="Arial" w:hAnsi="Arial"/>
          <w:color w:val="231F20"/>
          <w:spacing w:val="-10"/>
          <w:w w:val="110"/>
          <w:sz w:val="19"/>
        </w:rPr>
        <w:t> </w:t>
      </w:r>
      <w:r>
        <w:rPr>
          <w:rFonts w:ascii="Arial" w:hAnsi="Arial"/>
          <w:color w:val="231F20"/>
          <w:w w:val="110"/>
          <w:sz w:val="19"/>
        </w:rPr>
        <w:t>buying</w:t>
      </w:r>
      <w:r>
        <w:rPr>
          <w:rFonts w:ascii="Arial" w:hAnsi="Arial"/>
          <w:color w:val="231F20"/>
          <w:spacing w:val="-10"/>
          <w:w w:val="110"/>
          <w:sz w:val="19"/>
        </w:rPr>
        <w:t> </w:t>
      </w:r>
      <w:r>
        <w:rPr>
          <w:rFonts w:ascii="Arial" w:hAnsi="Arial"/>
          <w:color w:val="231F20"/>
          <w:spacing w:val="-2"/>
          <w:w w:val="110"/>
          <w:sz w:val="19"/>
        </w:rPr>
        <w:t>patterns</w:t>
      </w:r>
    </w:p>
    <w:p>
      <w:pPr>
        <w:spacing w:before="81"/>
        <w:ind w:left="1170" w:right="0" w:firstLine="0"/>
        <w:jc w:val="left"/>
        <w:rPr>
          <w:rFonts w:ascii="Arial" w:hAnsi="Arial"/>
          <w:sz w:val="19"/>
        </w:rPr>
      </w:pPr>
      <w:r>
        <w:rPr>
          <w:rFonts w:ascii="Arial" w:hAnsi="Arial"/>
          <w:i/>
          <w:color w:val="231F20"/>
          <w:w w:val="110"/>
          <w:sz w:val="19"/>
        </w:rPr>
        <w:t>Income</w:t>
      </w:r>
      <w:r>
        <w:rPr>
          <w:rFonts w:ascii="Arial" w:hAnsi="Arial"/>
          <w:i/>
          <w:color w:val="231F20"/>
          <w:spacing w:val="-38"/>
          <w:w w:val="110"/>
          <w:sz w:val="19"/>
        </w:rPr>
        <w:t> </w:t>
      </w:r>
      <w:r>
        <w:rPr>
          <w:rFonts w:ascii="Arial" w:hAnsi="Arial"/>
          <w:color w:val="231F20"/>
          <w:w w:val="110"/>
          <w:sz w:val="19"/>
        </w:rPr>
        <w:t>—The</w:t>
      </w:r>
      <w:r>
        <w:rPr>
          <w:rFonts w:ascii="Arial" w:hAnsi="Arial"/>
          <w:color w:val="231F20"/>
          <w:spacing w:val="7"/>
          <w:w w:val="110"/>
          <w:sz w:val="19"/>
        </w:rPr>
        <w:t> </w:t>
      </w:r>
      <w:r>
        <w:rPr>
          <w:rFonts w:ascii="Arial" w:hAnsi="Arial"/>
          <w:color w:val="231F20"/>
          <w:w w:val="110"/>
          <w:sz w:val="19"/>
        </w:rPr>
        <w:t>ability</w:t>
      </w:r>
      <w:r>
        <w:rPr>
          <w:rFonts w:ascii="Arial" w:hAnsi="Arial"/>
          <w:color w:val="231F20"/>
          <w:spacing w:val="6"/>
          <w:w w:val="110"/>
          <w:sz w:val="19"/>
        </w:rPr>
        <w:t> </w:t>
      </w:r>
      <w:r>
        <w:rPr>
          <w:rFonts w:ascii="Arial" w:hAnsi="Arial"/>
          <w:color w:val="231F20"/>
          <w:w w:val="110"/>
          <w:sz w:val="19"/>
        </w:rPr>
        <w:t>to</w:t>
      </w:r>
      <w:r>
        <w:rPr>
          <w:rFonts w:ascii="Arial" w:hAnsi="Arial"/>
          <w:color w:val="231F20"/>
          <w:spacing w:val="7"/>
          <w:w w:val="110"/>
          <w:sz w:val="19"/>
        </w:rPr>
        <w:t> </w:t>
      </w:r>
      <w:r>
        <w:rPr>
          <w:rFonts w:ascii="Arial" w:hAnsi="Arial"/>
          <w:color w:val="231F20"/>
          <w:spacing w:val="-2"/>
          <w:w w:val="110"/>
          <w:sz w:val="19"/>
        </w:rPr>
        <w:t>purchase</w:t>
      </w:r>
    </w:p>
    <w:p>
      <w:pPr>
        <w:spacing w:after="0"/>
        <w:jc w:val="left"/>
        <w:rPr>
          <w:rFonts w:ascii="Arial" w:hAnsi="Arial"/>
          <w:sz w:val="19"/>
        </w:rPr>
        <w:sectPr>
          <w:pgSz w:w="8640" w:h="12960"/>
          <w:pgMar w:header="732" w:footer="0" w:top="920" w:bottom="280" w:left="340" w:right="500"/>
        </w:sectPr>
      </w:pPr>
    </w:p>
    <w:p>
      <w:pPr>
        <w:pStyle w:val="BodyText"/>
        <w:spacing w:before="6"/>
        <w:rPr>
          <w:rFonts w:ascii="Arial"/>
          <w:sz w:val="19"/>
        </w:rPr>
      </w:pPr>
    </w:p>
    <w:p>
      <w:pPr>
        <w:spacing w:before="97"/>
        <w:ind w:left="1260" w:right="0" w:firstLine="0"/>
        <w:jc w:val="left"/>
        <w:rPr>
          <w:rFonts w:ascii="Arial" w:hAnsi="Arial"/>
          <w:sz w:val="19"/>
        </w:rPr>
      </w:pPr>
      <w:r>
        <w:rPr>
          <w:rFonts w:ascii="Arial" w:hAnsi="Arial"/>
          <w:i/>
          <w:color w:val="231F20"/>
          <w:w w:val="105"/>
          <w:sz w:val="19"/>
        </w:rPr>
        <w:t>Marital</w:t>
      </w:r>
      <w:r>
        <w:rPr>
          <w:rFonts w:ascii="Arial" w:hAnsi="Arial"/>
          <w:i/>
          <w:color w:val="231F20"/>
          <w:spacing w:val="30"/>
          <w:w w:val="105"/>
          <w:sz w:val="19"/>
        </w:rPr>
        <w:t> </w:t>
      </w:r>
      <w:r>
        <w:rPr>
          <w:rFonts w:ascii="Arial" w:hAnsi="Arial"/>
          <w:i/>
          <w:color w:val="231F20"/>
          <w:w w:val="105"/>
          <w:sz w:val="19"/>
        </w:rPr>
        <w:t>Status</w:t>
      </w:r>
      <w:r>
        <w:rPr>
          <w:rFonts w:ascii="Arial" w:hAnsi="Arial"/>
          <w:i/>
          <w:color w:val="231F20"/>
          <w:spacing w:val="-27"/>
          <w:w w:val="105"/>
          <w:sz w:val="19"/>
        </w:rPr>
        <w:t> </w:t>
      </w:r>
      <w:r>
        <w:rPr>
          <w:rFonts w:ascii="Arial" w:hAnsi="Arial"/>
          <w:color w:val="231F20"/>
          <w:w w:val="105"/>
          <w:sz w:val="19"/>
        </w:rPr>
        <w:t>—</w:t>
      </w:r>
      <w:r>
        <w:rPr>
          <w:rFonts w:ascii="Arial" w:hAnsi="Arial"/>
          <w:color w:val="231F20"/>
          <w:spacing w:val="-27"/>
          <w:w w:val="105"/>
          <w:sz w:val="19"/>
        </w:rPr>
        <w:t> </w:t>
      </w:r>
      <w:r>
        <w:rPr>
          <w:rFonts w:ascii="Arial" w:hAnsi="Arial"/>
          <w:color w:val="231F20"/>
          <w:w w:val="105"/>
          <w:sz w:val="19"/>
        </w:rPr>
        <w:t>Family</w:t>
      </w:r>
      <w:r>
        <w:rPr>
          <w:rFonts w:ascii="Arial" w:hAnsi="Arial"/>
          <w:color w:val="231F20"/>
          <w:spacing w:val="30"/>
          <w:w w:val="105"/>
          <w:sz w:val="19"/>
        </w:rPr>
        <w:t> </w:t>
      </w:r>
      <w:r>
        <w:rPr>
          <w:rFonts w:ascii="Arial" w:hAnsi="Arial"/>
          <w:color w:val="231F20"/>
          <w:spacing w:val="-2"/>
          <w:w w:val="105"/>
          <w:sz w:val="19"/>
        </w:rPr>
        <w:t>needs</w:t>
      </w:r>
    </w:p>
    <w:p>
      <w:pPr>
        <w:spacing w:before="82"/>
        <w:ind w:left="1260" w:right="0" w:firstLine="0"/>
        <w:jc w:val="left"/>
        <w:rPr>
          <w:rFonts w:ascii="Arial" w:hAnsi="Arial"/>
          <w:sz w:val="19"/>
        </w:rPr>
      </w:pPr>
      <w:r>
        <w:rPr>
          <w:rFonts w:ascii="Arial" w:hAnsi="Arial"/>
          <w:i/>
          <w:color w:val="231F20"/>
          <w:w w:val="110"/>
          <w:sz w:val="19"/>
        </w:rPr>
        <w:t>Family</w:t>
      </w:r>
      <w:r>
        <w:rPr>
          <w:rFonts w:ascii="Arial" w:hAnsi="Arial"/>
          <w:i/>
          <w:color w:val="231F20"/>
          <w:spacing w:val="7"/>
          <w:w w:val="110"/>
          <w:sz w:val="19"/>
        </w:rPr>
        <w:t> </w:t>
      </w:r>
      <w:r>
        <w:rPr>
          <w:rFonts w:ascii="Arial" w:hAnsi="Arial"/>
          <w:i/>
          <w:color w:val="231F20"/>
          <w:w w:val="110"/>
          <w:sz w:val="19"/>
        </w:rPr>
        <w:t>Life</w:t>
      </w:r>
      <w:r>
        <w:rPr>
          <w:rFonts w:ascii="Arial" w:hAnsi="Arial"/>
          <w:i/>
          <w:color w:val="231F20"/>
          <w:spacing w:val="7"/>
          <w:w w:val="110"/>
          <w:sz w:val="19"/>
        </w:rPr>
        <w:t> </w:t>
      </w:r>
      <w:r>
        <w:rPr>
          <w:rFonts w:ascii="Arial" w:hAnsi="Arial"/>
          <w:i/>
          <w:color w:val="231F20"/>
          <w:w w:val="110"/>
          <w:sz w:val="19"/>
        </w:rPr>
        <w:t>Cycle</w:t>
      </w:r>
      <w:r>
        <w:rPr>
          <w:rFonts w:ascii="Arial" w:hAnsi="Arial"/>
          <w:i/>
          <w:color w:val="231F20"/>
          <w:spacing w:val="-36"/>
          <w:w w:val="110"/>
          <w:sz w:val="19"/>
        </w:rPr>
        <w:t> </w:t>
      </w:r>
      <w:r>
        <w:rPr>
          <w:rFonts w:ascii="Arial" w:hAnsi="Arial"/>
          <w:color w:val="231F20"/>
          <w:w w:val="110"/>
          <w:sz w:val="19"/>
        </w:rPr>
        <w:t>—</w:t>
      </w:r>
      <w:r>
        <w:rPr>
          <w:rFonts w:ascii="Arial" w:hAnsi="Arial"/>
          <w:color w:val="231F20"/>
          <w:spacing w:val="-37"/>
          <w:w w:val="110"/>
          <w:sz w:val="19"/>
        </w:rPr>
        <w:t> </w:t>
      </w:r>
      <w:r>
        <w:rPr>
          <w:rFonts w:ascii="Arial" w:hAnsi="Arial"/>
          <w:color w:val="231F20"/>
          <w:w w:val="110"/>
          <w:sz w:val="19"/>
        </w:rPr>
        <w:t>Starting</w:t>
      </w:r>
      <w:r>
        <w:rPr>
          <w:rFonts w:ascii="Arial" w:hAnsi="Arial"/>
          <w:color w:val="231F20"/>
          <w:spacing w:val="7"/>
          <w:w w:val="110"/>
          <w:sz w:val="19"/>
        </w:rPr>
        <w:t> </w:t>
      </w:r>
      <w:r>
        <w:rPr>
          <w:rFonts w:ascii="Arial" w:hAnsi="Arial"/>
          <w:color w:val="231F20"/>
          <w:w w:val="110"/>
          <w:sz w:val="19"/>
        </w:rPr>
        <w:t>out,</w:t>
      </w:r>
      <w:r>
        <w:rPr>
          <w:rFonts w:ascii="Arial" w:hAnsi="Arial"/>
          <w:color w:val="231F20"/>
          <w:spacing w:val="8"/>
          <w:w w:val="110"/>
          <w:sz w:val="19"/>
        </w:rPr>
        <w:t> </w:t>
      </w:r>
      <w:r>
        <w:rPr>
          <w:rFonts w:ascii="Arial" w:hAnsi="Arial"/>
          <w:color w:val="231F20"/>
          <w:w w:val="110"/>
          <w:sz w:val="19"/>
        </w:rPr>
        <w:t>empty</w:t>
      </w:r>
      <w:r>
        <w:rPr>
          <w:rFonts w:ascii="Arial" w:hAnsi="Arial"/>
          <w:color w:val="231F20"/>
          <w:spacing w:val="7"/>
          <w:w w:val="110"/>
          <w:sz w:val="19"/>
        </w:rPr>
        <w:t> </w:t>
      </w:r>
      <w:r>
        <w:rPr>
          <w:rFonts w:ascii="Arial" w:hAnsi="Arial"/>
          <w:color w:val="231F20"/>
          <w:w w:val="110"/>
          <w:sz w:val="19"/>
        </w:rPr>
        <w:t>nesters,</w:t>
      </w:r>
      <w:r>
        <w:rPr>
          <w:rFonts w:ascii="Arial" w:hAnsi="Arial"/>
          <w:color w:val="231F20"/>
          <w:spacing w:val="8"/>
          <w:w w:val="110"/>
          <w:sz w:val="19"/>
        </w:rPr>
        <w:t> </w:t>
      </w:r>
      <w:r>
        <w:rPr>
          <w:rFonts w:ascii="Arial" w:hAnsi="Arial"/>
          <w:color w:val="231F20"/>
          <w:spacing w:val="-4"/>
          <w:w w:val="110"/>
          <w:sz w:val="19"/>
        </w:rPr>
        <w:t>etc.</w:t>
      </w:r>
    </w:p>
    <w:p>
      <w:pPr>
        <w:spacing w:line="328" w:lineRule="auto" w:before="81"/>
        <w:ind w:left="1600" w:right="667" w:hanging="340"/>
        <w:jc w:val="left"/>
        <w:rPr>
          <w:rFonts w:ascii="Arial" w:hAnsi="Arial"/>
          <w:sz w:val="19"/>
        </w:rPr>
      </w:pPr>
      <w:r>
        <w:rPr>
          <w:rFonts w:ascii="Arial" w:hAnsi="Arial"/>
          <w:i/>
          <w:color w:val="231F20"/>
          <w:w w:val="115"/>
          <w:sz w:val="19"/>
        </w:rPr>
        <w:t>Education/Occupation</w:t>
      </w:r>
      <w:r>
        <w:rPr>
          <w:rFonts w:ascii="Arial" w:hAnsi="Arial"/>
          <w:color w:val="231F20"/>
          <w:w w:val="115"/>
          <w:sz w:val="19"/>
        </w:rPr>
        <w:t>—An</w:t>
      </w:r>
      <w:r>
        <w:rPr>
          <w:rFonts w:ascii="Arial" w:hAnsi="Arial"/>
          <w:color w:val="231F20"/>
          <w:spacing w:val="-5"/>
          <w:w w:val="115"/>
          <w:sz w:val="19"/>
        </w:rPr>
        <w:t> </w:t>
      </w:r>
      <w:r>
        <w:rPr>
          <w:rFonts w:ascii="Arial" w:hAnsi="Arial"/>
          <w:color w:val="231F20"/>
          <w:w w:val="115"/>
          <w:sz w:val="19"/>
        </w:rPr>
        <w:t>indication</w:t>
      </w:r>
      <w:r>
        <w:rPr>
          <w:rFonts w:ascii="Arial" w:hAnsi="Arial"/>
          <w:color w:val="231F20"/>
          <w:spacing w:val="-5"/>
          <w:w w:val="115"/>
          <w:sz w:val="19"/>
        </w:rPr>
        <w:t> </w:t>
      </w:r>
      <w:r>
        <w:rPr>
          <w:rFonts w:ascii="Arial" w:hAnsi="Arial"/>
          <w:color w:val="231F20"/>
          <w:w w:val="115"/>
          <w:sz w:val="19"/>
        </w:rPr>
        <w:t>of</w:t>
      </w:r>
      <w:r>
        <w:rPr>
          <w:rFonts w:ascii="Arial" w:hAnsi="Arial"/>
          <w:color w:val="231F20"/>
          <w:spacing w:val="-5"/>
          <w:w w:val="115"/>
          <w:sz w:val="19"/>
        </w:rPr>
        <w:t> </w:t>
      </w:r>
      <w:r>
        <w:rPr>
          <w:rFonts w:ascii="Arial" w:hAnsi="Arial"/>
          <w:color w:val="231F20"/>
          <w:w w:val="115"/>
          <w:sz w:val="19"/>
        </w:rPr>
        <w:t>the</w:t>
      </w:r>
      <w:r>
        <w:rPr>
          <w:rFonts w:ascii="Arial" w:hAnsi="Arial"/>
          <w:color w:val="231F20"/>
          <w:spacing w:val="-5"/>
          <w:w w:val="115"/>
          <w:sz w:val="19"/>
        </w:rPr>
        <w:t> </w:t>
      </w:r>
      <w:r>
        <w:rPr>
          <w:rFonts w:ascii="Arial" w:hAnsi="Arial"/>
          <w:color w:val="231F20"/>
          <w:w w:val="115"/>
          <w:sz w:val="19"/>
        </w:rPr>
        <w:t>sophistication</w:t>
      </w:r>
      <w:r>
        <w:rPr>
          <w:rFonts w:ascii="Arial" w:hAnsi="Arial"/>
          <w:color w:val="231F20"/>
          <w:spacing w:val="-5"/>
          <w:w w:val="115"/>
          <w:sz w:val="19"/>
        </w:rPr>
        <w:t> </w:t>
      </w:r>
      <w:r>
        <w:rPr>
          <w:rFonts w:ascii="Arial" w:hAnsi="Arial"/>
          <w:color w:val="231F20"/>
          <w:w w:val="115"/>
          <w:sz w:val="19"/>
        </w:rPr>
        <w:t>of the consumer</w:t>
      </w:r>
    </w:p>
    <w:p>
      <w:pPr>
        <w:spacing w:line="328" w:lineRule="auto" w:before="2"/>
        <w:ind w:left="1600" w:right="1262" w:hanging="340"/>
        <w:jc w:val="left"/>
        <w:rPr>
          <w:rFonts w:ascii="Arial" w:hAnsi="Arial"/>
          <w:sz w:val="19"/>
        </w:rPr>
      </w:pPr>
      <w:r>
        <w:rPr>
          <w:rFonts w:ascii="Arial" w:hAnsi="Arial"/>
          <w:i/>
          <w:color w:val="231F20"/>
          <w:w w:val="110"/>
          <w:sz w:val="19"/>
        </w:rPr>
        <w:t>Ethnicity,</w:t>
      </w:r>
      <w:r>
        <w:rPr>
          <w:rFonts w:ascii="Arial" w:hAnsi="Arial"/>
          <w:i/>
          <w:color w:val="231F20"/>
          <w:spacing w:val="-4"/>
          <w:w w:val="110"/>
          <w:sz w:val="19"/>
        </w:rPr>
        <w:t> </w:t>
      </w:r>
      <w:r>
        <w:rPr>
          <w:rFonts w:ascii="Arial" w:hAnsi="Arial"/>
          <w:i/>
          <w:color w:val="231F20"/>
          <w:w w:val="110"/>
          <w:sz w:val="19"/>
        </w:rPr>
        <w:t>Religion,</w:t>
      </w:r>
      <w:r>
        <w:rPr>
          <w:rFonts w:ascii="Arial" w:hAnsi="Arial"/>
          <w:i/>
          <w:color w:val="231F20"/>
          <w:spacing w:val="-3"/>
          <w:w w:val="110"/>
          <w:sz w:val="19"/>
        </w:rPr>
        <w:t> </w:t>
      </w:r>
      <w:r>
        <w:rPr>
          <w:rFonts w:ascii="Arial" w:hAnsi="Arial"/>
          <w:i/>
          <w:color w:val="231F20"/>
          <w:w w:val="110"/>
          <w:sz w:val="19"/>
        </w:rPr>
        <w:t>and</w:t>
      </w:r>
      <w:r>
        <w:rPr>
          <w:rFonts w:ascii="Arial" w:hAnsi="Arial"/>
          <w:i/>
          <w:color w:val="231F20"/>
          <w:spacing w:val="-3"/>
          <w:w w:val="110"/>
          <w:sz w:val="19"/>
        </w:rPr>
        <w:t> </w:t>
      </w:r>
      <w:r>
        <w:rPr>
          <w:rFonts w:ascii="Arial" w:hAnsi="Arial"/>
          <w:i/>
          <w:color w:val="231F20"/>
          <w:w w:val="110"/>
          <w:sz w:val="19"/>
        </w:rPr>
        <w:t>Race</w:t>
      </w:r>
      <w:r>
        <w:rPr>
          <w:rFonts w:ascii="Arial" w:hAnsi="Arial"/>
          <w:i/>
          <w:color w:val="231F20"/>
          <w:spacing w:val="-41"/>
          <w:w w:val="110"/>
          <w:sz w:val="19"/>
        </w:rPr>
        <w:t> </w:t>
      </w:r>
      <w:r>
        <w:rPr>
          <w:rFonts w:ascii="Arial" w:hAnsi="Arial"/>
          <w:color w:val="231F20"/>
          <w:w w:val="110"/>
          <w:sz w:val="19"/>
        </w:rPr>
        <w:t>—</w:t>
      </w:r>
      <w:r>
        <w:rPr>
          <w:rFonts w:ascii="Arial" w:hAnsi="Arial"/>
          <w:color w:val="231F20"/>
          <w:spacing w:val="-39"/>
          <w:w w:val="110"/>
          <w:sz w:val="19"/>
        </w:rPr>
        <w:t> </w:t>
      </w:r>
      <w:r>
        <w:rPr>
          <w:rFonts w:ascii="Arial" w:hAnsi="Arial"/>
          <w:color w:val="231F20"/>
          <w:w w:val="110"/>
          <w:sz w:val="19"/>
        </w:rPr>
        <w:t>Particular</w:t>
      </w:r>
      <w:r>
        <w:rPr>
          <w:rFonts w:ascii="Arial" w:hAnsi="Arial"/>
          <w:color w:val="231F20"/>
          <w:spacing w:val="-2"/>
          <w:w w:val="110"/>
          <w:sz w:val="19"/>
        </w:rPr>
        <w:t> </w:t>
      </w:r>
      <w:r>
        <w:rPr>
          <w:rFonts w:ascii="Arial" w:hAnsi="Arial"/>
          <w:color w:val="231F20"/>
          <w:w w:val="110"/>
          <w:sz w:val="19"/>
        </w:rPr>
        <w:t>tastes</w:t>
      </w:r>
      <w:r>
        <w:rPr>
          <w:rFonts w:ascii="Arial" w:hAnsi="Arial"/>
          <w:color w:val="231F20"/>
          <w:spacing w:val="-3"/>
          <w:w w:val="110"/>
          <w:sz w:val="19"/>
        </w:rPr>
        <w:t> </w:t>
      </w:r>
      <w:r>
        <w:rPr>
          <w:rFonts w:ascii="Arial" w:hAnsi="Arial"/>
          <w:color w:val="231F20"/>
          <w:w w:val="110"/>
          <w:sz w:val="19"/>
        </w:rPr>
        <w:t>and </w:t>
      </w:r>
      <w:r>
        <w:rPr>
          <w:rFonts w:ascii="Arial" w:hAnsi="Arial"/>
          <w:color w:val="231F20"/>
          <w:spacing w:val="-2"/>
          <w:w w:val="110"/>
          <w:sz w:val="19"/>
        </w:rPr>
        <w:t>preferences</w:t>
      </w:r>
    </w:p>
    <w:p>
      <w:pPr>
        <w:pStyle w:val="BodyText"/>
        <w:spacing w:before="6"/>
        <w:rPr>
          <w:rFonts w:ascii="Arial"/>
          <w:sz w:val="29"/>
        </w:rPr>
      </w:pPr>
    </w:p>
    <w:p>
      <w:pPr>
        <w:spacing w:line="292" w:lineRule="auto" w:before="0"/>
        <w:ind w:left="920" w:right="0" w:firstLine="0"/>
        <w:jc w:val="left"/>
        <w:rPr>
          <w:sz w:val="21"/>
        </w:rPr>
      </w:pPr>
      <w:r>
        <w:rPr>
          <w:i/>
          <w:color w:val="231F20"/>
          <w:sz w:val="21"/>
        </w:rPr>
        <w:t>Psychographic</w:t>
      </w:r>
      <w:r>
        <w:rPr>
          <w:i/>
          <w:color w:val="231F20"/>
          <w:spacing w:val="40"/>
          <w:sz w:val="21"/>
        </w:rPr>
        <w:t> </w:t>
      </w:r>
      <w:r>
        <w:rPr>
          <w:i/>
          <w:color w:val="231F20"/>
          <w:sz w:val="21"/>
        </w:rPr>
        <w:t>Segmentation.</w:t>
      </w:r>
      <w:r>
        <w:rPr>
          <w:i/>
          <w:color w:val="231F20"/>
          <w:spacing w:val="40"/>
          <w:sz w:val="21"/>
        </w:rPr>
        <w:t> </w:t>
      </w:r>
      <w:r>
        <w:rPr>
          <w:color w:val="231F20"/>
          <w:sz w:val="21"/>
        </w:rPr>
        <w:t>Divides</w:t>
      </w:r>
      <w:r>
        <w:rPr>
          <w:color w:val="231F20"/>
          <w:spacing w:val="40"/>
          <w:sz w:val="21"/>
        </w:rPr>
        <w:t> </w:t>
      </w:r>
      <w:r>
        <w:rPr>
          <w:color w:val="231F20"/>
          <w:sz w:val="21"/>
        </w:rPr>
        <w:t>the</w:t>
      </w:r>
      <w:r>
        <w:rPr>
          <w:color w:val="231F20"/>
          <w:spacing w:val="40"/>
          <w:sz w:val="21"/>
        </w:rPr>
        <w:t> </w:t>
      </w:r>
      <w:r>
        <w:rPr>
          <w:color w:val="231F20"/>
          <w:sz w:val="21"/>
        </w:rPr>
        <w:t>market</w:t>
      </w:r>
      <w:r>
        <w:rPr>
          <w:color w:val="231F20"/>
          <w:spacing w:val="40"/>
          <w:sz w:val="21"/>
        </w:rPr>
        <w:t> </w:t>
      </w:r>
      <w:r>
        <w:rPr>
          <w:color w:val="231F20"/>
          <w:sz w:val="21"/>
        </w:rPr>
        <w:t>by</w:t>
      </w:r>
      <w:r>
        <w:rPr>
          <w:color w:val="231F20"/>
          <w:spacing w:val="40"/>
          <w:sz w:val="21"/>
        </w:rPr>
        <w:t> </w:t>
      </w:r>
      <w:r>
        <w:rPr>
          <w:color w:val="231F20"/>
          <w:sz w:val="21"/>
        </w:rPr>
        <w:t>psychological </w:t>
      </w:r>
      <w:r>
        <w:rPr>
          <w:color w:val="231F20"/>
          <w:spacing w:val="-2"/>
          <w:sz w:val="21"/>
        </w:rPr>
        <w:t>differences:</w:t>
      </w:r>
    </w:p>
    <w:p>
      <w:pPr>
        <w:pStyle w:val="BodyText"/>
        <w:spacing w:before="6"/>
        <w:rPr>
          <w:sz w:val="32"/>
        </w:rPr>
      </w:pPr>
    </w:p>
    <w:p>
      <w:pPr>
        <w:spacing w:before="0"/>
        <w:ind w:left="1260" w:right="0" w:firstLine="0"/>
        <w:jc w:val="left"/>
        <w:rPr>
          <w:rFonts w:ascii="Arial" w:hAnsi="Arial"/>
          <w:sz w:val="19"/>
        </w:rPr>
      </w:pPr>
      <w:r>
        <w:rPr>
          <w:rFonts w:ascii="Arial" w:hAnsi="Arial"/>
          <w:i/>
          <w:color w:val="231F20"/>
          <w:w w:val="110"/>
          <w:sz w:val="19"/>
        </w:rPr>
        <w:t>Lifestyle</w:t>
      </w:r>
      <w:r>
        <w:rPr>
          <w:rFonts w:ascii="Arial" w:hAnsi="Arial"/>
          <w:color w:val="231F20"/>
          <w:w w:val="110"/>
          <w:sz w:val="19"/>
        </w:rPr>
        <w:t>—Activities,</w:t>
      </w:r>
      <w:r>
        <w:rPr>
          <w:rFonts w:ascii="Arial" w:hAnsi="Arial"/>
          <w:color w:val="231F20"/>
          <w:spacing w:val="20"/>
          <w:w w:val="110"/>
          <w:sz w:val="19"/>
        </w:rPr>
        <w:t> </w:t>
      </w:r>
      <w:r>
        <w:rPr>
          <w:rFonts w:ascii="Arial" w:hAnsi="Arial"/>
          <w:color w:val="231F20"/>
          <w:w w:val="110"/>
          <w:sz w:val="19"/>
        </w:rPr>
        <w:t>interests,</w:t>
      </w:r>
      <w:r>
        <w:rPr>
          <w:rFonts w:ascii="Arial" w:hAnsi="Arial"/>
          <w:color w:val="231F20"/>
          <w:spacing w:val="20"/>
          <w:w w:val="110"/>
          <w:sz w:val="19"/>
        </w:rPr>
        <w:t> </w:t>
      </w:r>
      <w:r>
        <w:rPr>
          <w:rFonts w:ascii="Arial" w:hAnsi="Arial"/>
          <w:color w:val="231F20"/>
          <w:w w:val="110"/>
          <w:sz w:val="19"/>
        </w:rPr>
        <w:t>and</w:t>
      </w:r>
      <w:r>
        <w:rPr>
          <w:rFonts w:ascii="Arial" w:hAnsi="Arial"/>
          <w:color w:val="231F20"/>
          <w:spacing w:val="20"/>
          <w:w w:val="110"/>
          <w:sz w:val="19"/>
        </w:rPr>
        <w:t> </w:t>
      </w:r>
      <w:r>
        <w:rPr>
          <w:rFonts w:ascii="Arial" w:hAnsi="Arial"/>
          <w:color w:val="231F20"/>
          <w:spacing w:val="-2"/>
          <w:w w:val="110"/>
          <w:sz w:val="19"/>
        </w:rPr>
        <w:t>opinions</w:t>
      </w:r>
    </w:p>
    <w:p>
      <w:pPr>
        <w:spacing w:line="328" w:lineRule="auto" w:before="81"/>
        <w:ind w:left="1599" w:right="728" w:hanging="340"/>
        <w:jc w:val="left"/>
        <w:rPr>
          <w:rFonts w:ascii="Arial" w:hAnsi="Arial"/>
          <w:sz w:val="19"/>
        </w:rPr>
      </w:pPr>
      <w:r>
        <w:rPr>
          <w:rFonts w:ascii="Arial" w:hAnsi="Arial"/>
          <w:i/>
          <w:color w:val="231F20"/>
          <w:spacing w:val="-2"/>
          <w:w w:val="115"/>
          <w:sz w:val="19"/>
        </w:rPr>
        <w:t>Personality</w:t>
      </w:r>
      <w:r>
        <w:rPr>
          <w:rFonts w:ascii="Arial" w:hAnsi="Arial"/>
          <w:i/>
          <w:color w:val="231F20"/>
          <w:spacing w:val="-40"/>
          <w:w w:val="115"/>
          <w:sz w:val="19"/>
        </w:rPr>
        <w:t> </w:t>
      </w:r>
      <w:r>
        <w:rPr>
          <w:rFonts w:ascii="Arial" w:hAnsi="Arial"/>
          <w:color w:val="231F20"/>
          <w:spacing w:val="-2"/>
          <w:w w:val="115"/>
          <w:sz w:val="19"/>
        </w:rPr>
        <w:t>—</w:t>
      </w:r>
      <w:r>
        <w:rPr>
          <w:rFonts w:ascii="Arial" w:hAnsi="Arial"/>
          <w:color w:val="231F20"/>
          <w:spacing w:val="-40"/>
          <w:w w:val="115"/>
          <w:sz w:val="19"/>
        </w:rPr>
        <w:t> </w:t>
      </w:r>
      <w:r>
        <w:rPr>
          <w:rFonts w:ascii="Arial" w:hAnsi="Arial"/>
          <w:color w:val="231F20"/>
          <w:spacing w:val="-2"/>
          <w:w w:val="115"/>
          <w:sz w:val="19"/>
        </w:rPr>
        <w:t>Conservative, risk-taking, status-seeking, </w:t>
      </w:r>
      <w:r>
        <w:rPr>
          <w:rFonts w:ascii="Arial" w:hAnsi="Arial"/>
          <w:color w:val="231F20"/>
          <w:w w:val="115"/>
          <w:sz w:val="19"/>
        </w:rPr>
        <w:t>compulsive,</w:t>
      </w:r>
      <w:r>
        <w:rPr>
          <w:rFonts w:ascii="Arial" w:hAnsi="Arial"/>
          <w:color w:val="231F20"/>
          <w:spacing w:val="-16"/>
          <w:w w:val="115"/>
          <w:sz w:val="19"/>
        </w:rPr>
        <w:t> </w:t>
      </w:r>
      <w:r>
        <w:rPr>
          <w:rFonts w:ascii="Arial" w:hAnsi="Arial"/>
          <w:color w:val="231F20"/>
          <w:w w:val="115"/>
          <w:sz w:val="19"/>
        </w:rPr>
        <w:t>ambitious,</w:t>
      </w:r>
      <w:r>
        <w:rPr>
          <w:rFonts w:ascii="Arial" w:hAnsi="Arial"/>
          <w:color w:val="231F20"/>
          <w:spacing w:val="-15"/>
          <w:w w:val="115"/>
          <w:sz w:val="19"/>
        </w:rPr>
        <w:t> </w:t>
      </w:r>
      <w:r>
        <w:rPr>
          <w:rFonts w:ascii="Arial" w:hAnsi="Arial"/>
          <w:color w:val="231F20"/>
          <w:w w:val="115"/>
          <w:sz w:val="19"/>
        </w:rPr>
        <w:t>authoritarian,</w:t>
      </w:r>
      <w:r>
        <w:rPr>
          <w:rFonts w:ascii="Arial" w:hAnsi="Arial"/>
          <w:color w:val="231F20"/>
          <w:spacing w:val="-15"/>
          <w:w w:val="115"/>
          <w:sz w:val="19"/>
        </w:rPr>
        <w:t> </w:t>
      </w:r>
      <w:r>
        <w:rPr>
          <w:rFonts w:ascii="Arial" w:hAnsi="Arial"/>
          <w:color w:val="231F20"/>
          <w:w w:val="115"/>
          <w:sz w:val="19"/>
        </w:rPr>
        <w:t>gregarious.</w:t>
      </w:r>
      <w:r>
        <w:rPr>
          <w:rFonts w:ascii="Arial" w:hAnsi="Arial"/>
          <w:color w:val="231F20"/>
          <w:spacing w:val="-15"/>
          <w:w w:val="115"/>
          <w:sz w:val="19"/>
        </w:rPr>
        <w:t> </w:t>
      </w:r>
      <w:r>
        <w:rPr>
          <w:rFonts w:ascii="Arial" w:hAnsi="Arial"/>
          <w:color w:val="231F20"/>
          <w:w w:val="115"/>
          <w:sz w:val="19"/>
        </w:rPr>
        <w:t>(People may</w:t>
      </w:r>
      <w:r>
        <w:rPr>
          <w:rFonts w:ascii="Arial" w:hAnsi="Arial"/>
          <w:color w:val="231F20"/>
          <w:spacing w:val="-2"/>
          <w:w w:val="115"/>
          <w:sz w:val="19"/>
        </w:rPr>
        <w:t> </w:t>
      </w:r>
      <w:r>
        <w:rPr>
          <w:rFonts w:ascii="Arial" w:hAnsi="Arial"/>
          <w:color w:val="231F20"/>
          <w:w w:val="115"/>
          <w:sz w:val="19"/>
        </w:rPr>
        <w:t>have</w:t>
      </w:r>
      <w:r>
        <w:rPr>
          <w:rFonts w:ascii="Arial" w:hAnsi="Arial"/>
          <w:color w:val="231F20"/>
          <w:spacing w:val="-2"/>
          <w:w w:val="115"/>
          <w:sz w:val="19"/>
        </w:rPr>
        <w:t> </w:t>
      </w:r>
      <w:r>
        <w:rPr>
          <w:rFonts w:ascii="Arial" w:hAnsi="Arial"/>
          <w:color w:val="231F20"/>
          <w:w w:val="115"/>
          <w:sz w:val="19"/>
        </w:rPr>
        <w:t>different</w:t>
      </w:r>
      <w:r>
        <w:rPr>
          <w:rFonts w:ascii="Arial" w:hAnsi="Arial"/>
          <w:color w:val="231F20"/>
          <w:spacing w:val="-2"/>
          <w:w w:val="115"/>
          <w:sz w:val="19"/>
        </w:rPr>
        <w:t> </w:t>
      </w:r>
      <w:r>
        <w:rPr>
          <w:rFonts w:ascii="Arial" w:hAnsi="Arial"/>
          <w:color w:val="231F20"/>
          <w:w w:val="115"/>
          <w:sz w:val="19"/>
        </w:rPr>
        <w:t>hot</w:t>
      </w:r>
      <w:r>
        <w:rPr>
          <w:rFonts w:ascii="Arial" w:hAnsi="Arial"/>
          <w:color w:val="231F20"/>
          <w:spacing w:val="-2"/>
          <w:w w:val="115"/>
          <w:sz w:val="19"/>
        </w:rPr>
        <w:t> </w:t>
      </w:r>
      <w:r>
        <w:rPr>
          <w:rFonts w:ascii="Arial" w:hAnsi="Arial"/>
          <w:color w:val="231F20"/>
          <w:w w:val="115"/>
          <w:sz w:val="19"/>
        </w:rPr>
        <w:t>buttons</w:t>
      </w:r>
      <w:r>
        <w:rPr>
          <w:rFonts w:ascii="Arial" w:hAnsi="Arial"/>
          <w:color w:val="231F20"/>
          <w:spacing w:val="-2"/>
          <w:w w:val="115"/>
          <w:sz w:val="19"/>
        </w:rPr>
        <w:t> </w:t>
      </w:r>
      <w:r>
        <w:rPr>
          <w:rFonts w:ascii="Arial" w:hAnsi="Arial"/>
          <w:color w:val="231F20"/>
          <w:w w:val="115"/>
          <w:sz w:val="19"/>
        </w:rPr>
        <w:t>that</w:t>
      </w:r>
      <w:r>
        <w:rPr>
          <w:rFonts w:ascii="Arial" w:hAnsi="Arial"/>
          <w:color w:val="231F20"/>
          <w:spacing w:val="-2"/>
          <w:w w:val="115"/>
          <w:sz w:val="19"/>
        </w:rPr>
        <w:t> </w:t>
      </w:r>
      <w:r>
        <w:rPr>
          <w:rFonts w:ascii="Arial" w:hAnsi="Arial"/>
          <w:color w:val="231F20"/>
          <w:w w:val="115"/>
          <w:sz w:val="19"/>
        </w:rPr>
        <w:t>advertising</w:t>
      </w:r>
      <w:r>
        <w:rPr>
          <w:rFonts w:ascii="Arial" w:hAnsi="Arial"/>
          <w:color w:val="231F20"/>
          <w:spacing w:val="-2"/>
          <w:w w:val="115"/>
          <w:sz w:val="19"/>
        </w:rPr>
        <w:t> </w:t>
      </w:r>
      <w:r>
        <w:rPr>
          <w:rFonts w:ascii="Arial" w:hAnsi="Arial"/>
          <w:color w:val="231F20"/>
          <w:w w:val="115"/>
          <w:sz w:val="19"/>
        </w:rPr>
        <w:t>can</w:t>
      </w:r>
      <w:r>
        <w:rPr>
          <w:rFonts w:ascii="Arial" w:hAnsi="Arial"/>
          <w:color w:val="231F20"/>
          <w:spacing w:val="-2"/>
          <w:w w:val="115"/>
          <w:sz w:val="19"/>
        </w:rPr>
        <w:t> </w:t>
      </w:r>
      <w:r>
        <w:rPr>
          <w:rFonts w:ascii="Arial" w:hAnsi="Arial"/>
          <w:color w:val="231F20"/>
          <w:w w:val="115"/>
          <w:sz w:val="19"/>
        </w:rPr>
        <w:t>try</w:t>
      </w:r>
      <w:r>
        <w:rPr>
          <w:rFonts w:ascii="Arial" w:hAnsi="Arial"/>
          <w:color w:val="231F20"/>
          <w:spacing w:val="-2"/>
          <w:w w:val="115"/>
          <w:sz w:val="19"/>
        </w:rPr>
        <w:t> </w:t>
      </w:r>
      <w:r>
        <w:rPr>
          <w:rFonts w:ascii="Arial" w:hAnsi="Arial"/>
          <w:color w:val="231F20"/>
          <w:w w:val="115"/>
          <w:sz w:val="19"/>
        </w:rPr>
        <w:t>to </w:t>
      </w:r>
      <w:r>
        <w:rPr>
          <w:rFonts w:ascii="Arial" w:hAnsi="Arial"/>
          <w:color w:val="231F20"/>
          <w:spacing w:val="-2"/>
          <w:w w:val="115"/>
          <w:sz w:val="19"/>
        </w:rPr>
        <w:t>trigger.)</w:t>
      </w:r>
    </w:p>
    <w:p>
      <w:pPr>
        <w:pStyle w:val="BodyText"/>
        <w:spacing w:before="8"/>
        <w:rPr>
          <w:rFonts w:ascii="Arial"/>
          <w:sz w:val="29"/>
        </w:rPr>
      </w:pPr>
    </w:p>
    <w:p>
      <w:pPr>
        <w:pStyle w:val="BodyText"/>
        <w:spacing w:line="292" w:lineRule="auto"/>
        <w:ind w:left="920" w:right="666" w:firstLine="340"/>
        <w:jc w:val="both"/>
      </w:pPr>
      <w:r>
        <w:rPr>
          <w:color w:val="231F20"/>
        </w:rPr>
        <w:t>Psychographic</w:t>
      </w:r>
      <w:r>
        <w:rPr>
          <w:color w:val="231F20"/>
          <w:spacing w:val="-1"/>
        </w:rPr>
        <w:t> </w:t>
      </w:r>
      <w:r>
        <w:rPr>
          <w:color w:val="231F20"/>
        </w:rPr>
        <w:t>segmentation</w:t>
      </w:r>
      <w:r>
        <w:rPr>
          <w:color w:val="231F20"/>
          <w:spacing w:val="-1"/>
        </w:rPr>
        <w:t> </w:t>
      </w:r>
      <w:r>
        <w:rPr>
          <w:color w:val="231F20"/>
        </w:rPr>
        <w:t>is</w:t>
      </w:r>
      <w:r>
        <w:rPr>
          <w:color w:val="231F20"/>
          <w:spacing w:val="-1"/>
        </w:rPr>
        <w:t> </w:t>
      </w:r>
      <w:r>
        <w:rPr>
          <w:color w:val="231F20"/>
        </w:rPr>
        <w:t>difficult.</w:t>
      </w:r>
      <w:r>
        <w:rPr>
          <w:color w:val="231F20"/>
          <w:spacing w:val="-1"/>
        </w:rPr>
        <w:t> </w:t>
      </w:r>
      <w:r>
        <w:rPr>
          <w:color w:val="231F20"/>
        </w:rPr>
        <w:t>Personality</w:t>
      </w:r>
      <w:r>
        <w:rPr>
          <w:color w:val="231F20"/>
          <w:spacing w:val="-1"/>
        </w:rPr>
        <w:t> </w:t>
      </w:r>
      <w:r>
        <w:rPr>
          <w:color w:val="231F20"/>
        </w:rPr>
        <w:t>variables</w:t>
      </w:r>
      <w:r>
        <w:rPr>
          <w:color w:val="231F20"/>
          <w:spacing w:val="-1"/>
        </w:rPr>
        <w:t> </w:t>
      </w:r>
      <w:r>
        <w:rPr>
          <w:color w:val="231F20"/>
        </w:rPr>
        <w:t>are tougher to identify and quantify than demographics, but they can be </w:t>
      </w:r>
      <w:r>
        <w:rPr>
          <w:color w:val="231F20"/>
          <w:spacing w:val="-2"/>
        </w:rPr>
        <w:t>valuable.</w:t>
      </w:r>
    </w:p>
    <w:p>
      <w:pPr>
        <w:pStyle w:val="BodyText"/>
        <w:spacing w:before="6"/>
        <w:rPr>
          <w:sz w:val="25"/>
        </w:rPr>
      </w:pPr>
    </w:p>
    <w:p>
      <w:pPr>
        <w:spacing w:line="292" w:lineRule="auto" w:before="0"/>
        <w:ind w:left="920" w:right="667" w:firstLine="0"/>
        <w:jc w:val="left"/>
        <w:rPr>
          <w:sz w:val="21"/>
        </w:rPr>
      </w:pPr>
      <w:r>
        <w:rPr>
          <w:i/>
          <w:color w:val="231F20"/>
          <w:sz w:val="21"/>
        </w:rPr>
        <w:t>Behavioral</w:t>
      </w:r>
      <w:r>
        <w:rPr>
          <w:i/>
          <w:color w:val="231F20"/>
          <w:spacing w:val="40"/>
          <w:sz w:val="21"/>
        </w:rPr>
        <w:t> </w:t>
      </w:r>
      <w:r>
        <w:rPr>
          <w:i/>
          <w:color w:val="231F20"/>
          <w:sz w:val="21"/>
        </w:rPr>
        <w:t>Segmentation.</w:t>
      </w:r>
      <w:r>
        <w:rPr>
          <w:i/>
          <w:color w:val="231F20"/>
          <w:spacing w:val="40"/>
          <w:sz w:val="21"/>
        </w:rPr>
        <w:t> </w:t>
      </w:r>
      <w:r>
        <w:rPr>
          <w:color w:val="231F20"/>
          <w:sz w:val="21"/>
        </w:rPr>
        <w:t>Divides</w:t>
      </w:r>
      <w:r>
        <w:rPr>
          <w:color w:val="231F20"/>
          <w:spacing w:val="40"/>
          <w:sz w:val="21"/>
        </w:rPr>
        <w:t> </w:t>
      </w:r>
      <w:r>
        <w:rPr>
          <w:color w:val="231F20"/>
          <w:sz w:val="21"/>
        </w:rPr>
        <w:t>the</w:t>
      </w:r>
      <w:r>
        <w:rPr>
          <w:color w:val="231F20"/>
          <w:spacing w:val="40"/>
          <w:sz w:val="21"/>
        </w:rPr>
        <w:t> </w:t>
      </w:r>
      <w:r>
        <w:rPr>
          <w:color w:val="231F20"/>
          <w:sz w:val="21"/>
        </w:rPr>
        <w:t>market</w:t>
      </w:r>
      <w:r>
        <w:rPr>
          <w:color w:val="231F20"/>
          <w:spacing w:val="40"/>
          <w:sz w:val="21"/>
        </w:rPr>
        <w:t> </w:t>
      </w:r>
      <w:r>
        <w:rPr>
          <w:color w:val="231F20"/>
          <w:sz w:val="21"/>
        </w:rPr>
        <w:t>by</w:t>
      </w:r>
      <w:r>
        <w:rPr>
          <w:color w:val="231F20"/>
          <w:spacing w:val="40"/>
          <w:sz w:val="21"/>
        </w:rPr>
        <w:t> </w:t>
      </w:r>
      <w:r>
        <w:rPr>
          <w:color w:val="231F20"/>
          <w:sz w:val="21"/>
        </w:rPr>
        <w:t>observable</w:t>
      </w:r>
      <w:r>
        <w:rPr>
          <w:color w:val="231F20"/>
          <w:spacing w:val="40"/>
          <w:sz w:val="21"/>
        </w:rPr>
        <w:t> </w:t>
      </w:r>
      <w:r>
        <w:rPr>
          <w:color w:val="231F20"/>
          <w:sz w:val="21"/>
        </w:rPr>
        <w:t>pur- chase behaviors:</w:t>
      </w:r>
    </w:p>
    <w:p>
      <w:pPr>
        <w:pStyle w:val="BodyText"/>
        <w:spacing w:before="4"/>
        <w:rPr>
          <w:sz w:val="27"/>
        </w:rPr>
      </w:pPr>
    </w:p>
    <w:p>
      <w:pPr>
        <w:spacing w:before="0"/>
        <w:ind w:left="1260" w:right="0" w:firstLine="0"/>
        <w:jc w:val="left"/>
        <w:rPr>
          <w:rFonts w:ascii="Arial" w:hAnsi="Arial"/>
          <w:sz w:val="19"/>
        </w:rPr>
      </w:pPr>
      <w:r>
        <w:rPr>
          <w:rFonts w:ascii="Arial" w:hAnsi="Arial"/>
          <w:i/>
          <w:color w:val="231F20"/>
          <w:w w:val="110"/>
          <w:sz w:val="19"/>
        </w:rPr>
        <w:t>Usage</w:t>
      </w:r>
      <w:r>
        <w:rPr>
          <w:rFonts w:ascii="Arial" w:hAnsi="Arial"/>
          <w:i/>
          <w:color w:val="231F20"/>
          <w:spacing w:val="-39"/>
          <w:w w:val="110"/>
          <w:sz w:val="19"/>
        </w:rPr>
        <w:t> </w:t>
      </w:r>
      <w:r>
        <w:rPr>
          <w:rFonts w:ascii="Arial" w:hAnsi="Arial"/>
          <w:color w:val="231F20"/>
          <w:spacing w:val="11"/>
          <w:w w:val="110"/>
          <w:sz w:val="19"/>
        </w:rPr>
        <w:t>—</w:t>
      </w:r>
      <w:r>
        <w:rPr>
          <w:rFonts w:ascii="Arial" w:hAnsi="Arial"/>
          <w:color w:val="231F20"/>
          <w:w w:val="110"/>
          <w:sz w:val="19"/>
        </w:rPr>
        <w:t>Amount</w:t>
      </w:r>
      <w:r>
        <w:rPr>
          <w:rFonts w:ascii="Arial" w:hAnsi="Arial"/>
          <w:color w:val="231F20"/>
          <w:spacing w:val="3"/>
          <w:w w:val="110"/>
          <w:sz w:val="19"/>
        </w:rPr>
        <w:t> </w:t>
      </w:r>
      <w:r>
        <w:rPr>
          <w:rFonts w:ascii="Arial" w:hAnsi="Arial"/>
          <w:color w:val="231F20"/>
          <w:w w:val="110"/>
          <w:sz w:val="19"/>
        </w:rPr>
        <w:t>of</w:t>
      </w:r>
      <w:r>
        <w:rPr>
          <w:rFonts w:ascii="Arial" w:hAnsi="Arial"/>
          <w:color w:val="231F20"/>
          <w:spacing w:val="2"/>
          <w:w w:val="110"/>
          <w:sz w:val="19"/>
        </w:rPr>
        <w:t> </w:t>
      </w:r>
      <w:r>
        <w:rPr>
          <w:rFonts w:ascii="Arial" w:hAnsi="Arial"/>
          <w:color w:val="231F20"/>
          <w:w w:val="110"/>
          <w:sz w:val="19"/>
        </w:rPr>
        <w:t>use,</w:t>
      </w:r>
      <w:r>
        <w:rPr>
          <w:rFonts w:ascii="Arial" w:hAnsi="Arial"/>
          <w:color w:val="231F20"/>
          <w:spacing w:val="3"/>
          <w:w w:val="110"/>
          <w:sz w:val="19"/>
        </w:rPr>
        <w:t> </w:t>
      </w:r>
      <w:r>
        <w:rPr>
          <w:rFonts w:ascii="Arial" w:hAnsi="Arial"/>
          <w:color w:val="231F20"/>
          <w:w w:val="110"/>
          <w:sz w:val="19"/>
        </w:rPr>
        <w:t>manner</w:t>
      </w:r>
      <w:r>
        <w:rPr>
          <w:rFonts w:ascii="Arial" w:hAnsi="Arial"/>
          <w:color w:val="231F20"/>
          <w:spacing w:val="2"/>
          <w:w w:val="110"/>
          <w:sz w:val="19"/>
        </w:rPr>
        <w:t> </w:t>
      </w:r>
      <w:r>
        <w:rPr>
          <w:rFonts w:ascii="Arial" w:hAnsi="Arial"/>
          <w:color w:val="231F20"/>
          <w:w w:val="110"/>
          <w:sz w:val="19"/>
        </w:rPr>
        <w:t>of</w:t>
      </w:r>
      <w:r>
        <w:rPr>
          <w:rFonts w:ascii="Arial" w:hAnsi="Arial"/>
          <w:color w:val="231F20"/>
          <w:spacing w:val="3"/>
          <w:w w:val="110"/>
          <w:sz w:val="19"/>
        </w:rPr>
        <w:t> </w:t>
      </w:r>
      <w:r>
        <w:rPr>
          <w:rFonts w:ascii="Arial" w:hAnsi="Arial"/>
          <w:color w:val="231F20"/>
          <w:w w:val="110"/>
          <w:sz w:val="19"/>
        </w:rPr>
        <w:t>use,</w:t>
      </w:r>
      <w:r>
        <w:rPr>
          <w:rFonts w:ascii="Arial" w:hAnsi="Arial"/>
          <w:color w:val="231F20"/>
          <w:spacing w:val="2"/>
          <w:w w:val="110"/>
          <w:sz w:val="19"/>
        </w:rPr>
        <w:t> </w:t>
      </w:r>
      <w:r>
        <w:rPr>
          <w:rFonts w:ascii="Arial" w:hAnsi="Arial"/>
          <w:color w:val="231F20"/>
          <w:w w:val="110"/>
          <w:sz w:val="19"/>
        </w:rPr>
        <w:t>benefits</w:t>
      </w:r>
      <w:r>
        <w:rPr>
          <w:rFonts w:ascii="Arial" w:hAnsi="Arial"/>
          <w:color w:val="231F20"/>
          <w:spacing w:val="3"/>
          <w:w w:val="110"/>
          <w:sz w:val="19"/>
        </w:rPr>
        <w:t> </w:t>
      </w:r>
      <w:r>
        <w:rPr>
          <w:rFonts w:ascii="Arial" w:hAnsi="Arial"/>
          <w:color w:val="231F20"/>
          <w:spacing w:val="-2"/>
          <w:w w:val="110"/>
          <w:sz w:val="19"/>
        </w:rPr>
        <w:t>sought</w:t>
      </w:r>
    </w:p>
    <w:p>
      <w:pPr>
        <w:spacing w:before="82"/>
        <w:ind w:left="1260" w:right="0" w:firstLine="0"/>
        <w:jc w:val="left"/>
        <w:rPr>
          <w:rFonts w:ascii="Arial" w:hAnsi="Arial"/>
          <w:sz w:val="19"/>
        </w:rPr>
      </w:pPr>
      <w:r>
        <w:rPr>
          <w:rFonts w:ascii="Arial" w:hAnsi="Arial"/>
          <w:i/>
          <w:color w:val="231F20"/>
          <w:w w:val="105"/>
          <w:sz w:val="19"/>
        </w:rPr>
        <w:t>Purchase</w:t>
      </w:r>
      <w:r>
        <w:rPr>
          <w:rFonts w:ascii="Arial" w:hAnsi="Arial"/>
          <w:i/>
          <w:color w:val="231F20"/>
          <w:spacing w:val="18"/>
          <w:w w:val="105"/>
          <w:sz w:val="19"/>
        </w:rPr>
        <w:t> </w:t>
      </w:r>
      <w:r>
        <w:rPr>
          <w:rFonts w:ascii="Arial" w:hAnsi="Arial"/>
          <w:i/>
          <w:color w:val="231F20"/>
          <w:w w:val="105"/>
          <w:sz w:val="19"/>
        </w:rPr>
        <w:t>Occasion</w:t>
      </w:r>
      <w:r>
        <w:rPr>
          <w:rFonts w:ascii="Arial" w:hAnsi="Arial"/>
          <w:i/>
          <w:color w:val="231F20"/>
          <w:spacing w:val="-31"/>
          <w:w w:val="105"/>
          <w:sz w:val="19"/>
        </w:rPr>
        <w:t> </w:t>
      </w:r>
      <w:r>
        <w:rPr>
          <w:rFonts w:ascii="Arial" w:hAnsi="Arial"/>
          <w:color w:val="231F20"/>
          <w:w w:val="105"/>
          <w:sz w:val="19"/>
        </w:rPr>
        <w:t>—</w:t>
      </w:r>
      <w:r>
        <w:rPr>
          <w:rFonts w:ascii="Arial" w:hAnsi="Arial"/>
          <w:color w:val="231F20"/>
          <w:spacing w:val="-32"/>
          <w:w w:val="105"/>
          <w:sz w:val="19"/>
        </w:rPr>
        <w:t> </w:t>
      </w:r>
      <w:r>
        <w:rPr>
          <w:rFonts w:ascii="Arial" w:hAnsi="Arial"/>
          <w:color w:val="231F20"/>
          <w:w w:val="105"/>
          <w:sz w:val="19"/>
        </w:rPr>
        <w:t>Gift,</w:t>
      </w:r>
      <w:r>
        <w:rPr>
          <w:rFonts w:ascii="Arial" w:hAnsi="Arial"/>
          <w:color w:val="231F20"/>
          <w:spacing w:val="19"/>
          <w:w w:val="105"/>
          <w:sz w:val="19"/>
        </w:rPr>
        <w:t> </w:t>
      </w:r>
      <w:r>
        <w:rPr>
          <w:rFonts w:ascii="Arial" w:hAnsi="Arial"/>
          <w:color w:val="231F20"/>
          <w:w w:val="105"/>
          <w:sz w:val="19"/>
        </w:rPr>
        <w:t>vacation,</w:t>
      </w:r>
      <w:r>
        <w:rPr>
          <w:rFonts w:ascii="Arial" w:hAnsi="Arial"/>
          <w:color w:val="231F20"/>
          <w:spacing w:val="18"/>
          <w:w w:val="105"/>
          <w:sz w:val="19"/>
        </w:rPr>
        <w:t> </w:t>
      </w:r>
      <w:r>
        <w:rPr>
          <w:rFonts w:ascii="Arial" w:hAnsi="Arial"/>
          <w:color w:val="231F20"/>
          <w:w w:val="105"/>
          <w:sz w:val="19"/>
        </w:rPr>
        <w:t>seasonal,</w:t>
      </w:r>
      <w:r>
        <w:rPr>
          <w:rFonts w:ascii="Arial" w:hAnsi="Arial"/>
          <w:color w:val="231F20"/>
          <w:spacing w:val="19"/>
          <w:w w:val="105"/>
          <w:sz w:val="19"/>
        </w:rPr>
        <w:t> </w:t>
      </w:r>
      <w:r>
        <w:rPr>
          <w:rFonts w:ascii="Arial" w:hAnsi="Arial"/>
          <w:color w:val="231F20"/>
          <w:spacing w:val="-4"/>
          <w:w w:val="105"/>
          <w:sz w:val="19"/>
        </w:rPr>
        <w:t>etc.</w:t>
      </w:r>
    </w:p>
    <w:p>
      <w:pPr>
        <w:spacing w:line="328" w:lineRule="auto" w:before="81"/>
        <w:ind w:left="1600" w:right="1262" w:hanging="340"/>
        <w:jc w:val="left"/>
        <w:rPr>
          <w:rFonts w:ascii="Arial" w:hAnsi="Arial"/>
          <w:sz w:val="19"/>
        </w:rPr>
      </w:pPr>
      <w:r>
        <w:rPr>
          <w:rFonts w:ascii="Arial" w:hAnsi="Arial"/>
          <w:i/>
          <w:color w:val="231F20"/>
          <w:w w:val="115"/>
          <w:sz w:val="19"/>
        </w:rPr>
        <w:t>Brand</w:t>
      </w:r>
      <w:r>
        <w:rPr>
          <w:rFonts w:ascii="Arial" w:hAnsi="Arial"/>
          <w:i/>
          <w:color w:val="231F20"/>
          <w:spacing w:val="-16"/>
          <w:w w:val="115"/>
          <w:sz w:val="19"/>
        </w:rPr>
        <w:t> </w:t>
      </w:r>
      <w:r>
        <w:rPr>
          <w:rFonts w:ascii="Arial" w:hAnsi="Arial"/>
          <w:i/>
          <w:color w:val="231F20"/>
          <w:w w:val="115"/>
          <w:sz w:val="19"/>
        </w:rPr>
        <w:t>Loyalty</w:t>
      </w:r>
      <w:r>
        <w:rPr>
          <w:rFonts w:ascii="Arial" w:hAnsi="Arial"/>
          <w:color w:val="231F20"/>
          <w:w w:val="115"/>
          <w:sz w:val="19"/>
        </w:rPr>
        <w:t>—</w:t>
      </w:r>
      <w:r>
        <w:rPr>
          <w:rFonts w:ascii="Arial" w:hAnsi="Arial"/>
          <w:color w:val="231F20"/>
          <w:spacing w:val="-42"/>
          <w:w w:val="115"/>
          <w:sz w:val="19"/>
        </w:rPr>
        <w:t> </w:t>
      </w:r>
      <w:r>
        <w:rPr>
          <w:rFonts w:ascii="Arial" w:hAnsi="Arial"/>
          <w:color w:val="231F20"/>
          <w:w w:val="115"/>
          <w:sz w:val="19"/>
        </w:rPr>
        <w:t>Loyalty</w:t>
      </w:r>
      <w:r>
        <w:rPr>
          <w:rFonts w:ascii="Arial" w:hAnsi="Arial"/>
          <w:color w:val="231F20"/>
          <w:spacing w:val="-15"/>
          <w:w w:val="115"/>
          <w:sz w:val="19"/>
        </w:rPr>
        <w:t> </w:t>
      </w:r>
      <w:r>
        <w:rPr>
          <w:rFonts w:ascii="Arial" w:hAnsi="Arial"/>
          <w:color w:val="231F20"/>
          <w:w w:val="115"/>
          <w:sz w:val="19"/>
        </w:rPr>
        <w:t>to</w:t>
      </w:r>
      <w:r>
        <w:rPr>
          <w:rFonts w:ascii="Arial" w:hAnsi="Arial"/>
          <w:color w:val="231F20"/>
          <w:spacing w:val="-15"/>
          <w:w w:val="115"/>
          <w:sz w:val="19"/>
        </w:rPr>
        <w:t> </w:t>
      </w:r>
      <w:r>
        <w:rPr>
          <w:rFonts w:ascii="Arial" w:hAnsi="Arial"/>
          <w:color w:val="231F20"/>
          <w:w w:val="115"/>
          <w:sz w:val="19"/>
        </w:rPr>
        <w:t>one</w:t>
      </w:r>
      <w:r>
        <w:rPr>
          <w:rFonts w:ascii="Arial" w:hAnsi="Arial"/>
          <w:color w:val="231F20"/>
          <w:spacing w:val="-15"/>
          <w:w w:val="115"/>
          <w:sz w:val="19"/>
        </w:rPr>
        <w:t> </w:t>
      </w:r>
      <w:r>
        <w:rPr>
          <w:rFonts w:ascii="Arial" w:hAnsi="Arial"/>
          <w:color w:val="231F20"/>
          <w:w w:val="115"/>
          <w:sz w:val="19"/>
        </w:rPr>
        <w:t>product</w:t>
      </w:r>
      <w:r>
        <w:rPr>
          <w:rFonts w:ascii="Arial" w:hAnsi="Arial"/>
          <w:color w:val="231F20"/>
          <w:spacing w:val="-15"/>
          <w:w w:val="115"/>
          <w:sz w:val="19"/>
        </w:rPr>
        <w:t> </w:t>
      </w:r>
      <w:r>
        <w:rPr>
          <w:rFonts w:ascii="Arial" w:hAnsi="Arial"/>
          <w:color w:val="231F20"/>
          <w:w w:val="115"/>
          <w:sz w:val="19"/>
        </w:rPr>
        <w:t>indicates receptiveness to others</w:t>
      </w:r>
    </w:p>
    <w:p>
      <w:pPr>
        <w:spacing w:line="328" w:lineRule="auto" w:before="1"/>
        <w:ind w:left="1599" w:right="667" w:hanging="340"/>
        <w:jc w:val="left"/>
        <w:rPr>
          <w:rFonts w:ascii="Arial" w:hAnsi="Arial"/>
          <w:sz w:val="19"/>
        </w:rPr>
      </w:pPr>
      <w:r>
        <w:rPr>
          <w:rFonts w:ascii="Arial" w:hAnsi="Arial"/>
          <w:i/>
          <w:color w:val="231F20"/>
          <w:w w:val="115"/>
          <w:sz w:val="19"/>
        </w:rPr>
        <w:t>Responsiveness</w:t>
      </w:r>
      <w:r>
        <w:rPr>
          <w:rFonts w:ascii="Arial" w:hAnsi="Arial"/>
          <w:i/>
          <w:color w:val="231F20"/>
          <w:spacing w:val="-16"/>
          <w:w w:val="115"/>
          <w:sz w:val="19"/>
        </w:rPr>
        <w:t> </w:t>
      </w:r>
      <w:r>
        <w:rPr>
          <w:rFonts w:ascii="Arial" w:hAnsi="Arial"/>
          <w:i/>
          <w:color w:val="231F20"/>
          <w:w w:val="115"/>
          <w:sz w:val="19"/>
        </w:rPr>
        <w:t>to</w:t>
      </w:r>
      <w:r>
        <w:rPr>
          <w:rFonts w:ascii="Arial" w:hAnsi="Arial"/>
          <w:i/>
          <w:color w:val="231F20"/>
          <w:spacing w:val="-11"/>
          <w:w w:val="115"/>
          <w:sz w:val="19"/>
        </w:rPr>
        <w:t> </w:t>
      </w:r>
      <w:r>
        <w:rPr>
          <w:rFonts w:ascii="Arial" w:hAnsi="Arial"/>
          <w:i/>
          <w:color w:val="231F20"/>
          <w:w w:val="115"/>
          <w:sz w:val="19"/>
        </w:rPr>
        <w:t>Price</w:t>
      </w:r>
      <w:r>
        <w:rPr>
          <w:rFonts w:ascii="Arial" w:hAnsi="Arial"/>
          <w:i/>
          <w:color w:val="231F20"/>
          <w:spacing w:val="-11"/>
          <w:w w:val="115"/>
          <w:sz w:val="19"/>
        </w:rPr>
        <w:t> </w:t>
      </w:r>
      <w:r>
        <w:rPr>
          <w:rFonts w:ascii="Arial" w:hAnsi="Arial"/>
          <w:i/>
          <w:color w:val="231F20"/>
          <w:w w:val="115"/>
          <w:sz w:val="19"/>
        </w:rPr>
        <w:t>and</w:t>
      </w:r>
      <w:r>
        <w:rPr>
          <w:rFonts w:ascii="Arial" w:hAnsi="Arial"/>
          <w:i/>
          <w:color w:val="231F20"/>
          <w:spacing w:val="-11"/>
          <w:w w:val="115"/>
          <w:sz w:val="19"/>
        </w:rPr>
        <w:t> </w:t>
      </w:r>
      <w:r>
        <w:rPr>
          <w:rFonts w:ascii="Arial" w:hAnsi="Arial"/>
          <w:i/>
          <w:color w:val="231F20"/>
          <w:w w:val="115"/>
          <w:sz w:val="19"/>
        </w:rPr>
        <w:t>Promotion</w:t>
      </w:r>
      <w:r>
        <w:rPr>
          <w:rFonts w:ascii="Arial" w:hAnsi="Arial"/>
          <w:i/>
          <w:color w:val="231F20"/>
          <w:spacing w:val="-42"/>
          <w:w w:val="115"/>
          <w:sz w:val="19"/>
        </w:rPr>
        <w:t> </w:t>
      </w:r>
      <w:r>
        <w:rPr>
          <w:rFonts w:ascii="Arial" w:hAnsi="Arial"/>
          <w:color w:val="231F20"/>
          <w:w w:val="115"/>
          <w:sz w:val="19"/>
        </w:rPr>
        <w:t>—</w:t>
      </w:r>
      <w:r>
        <w:rPr>
          <w:rFonts w:ascii="Arial" w:hAnsi="Arial"/>
          <w:color w:val="231F20"/>
          <w:spacing w:val="-42"/>
          <w:w w:val="115"/>
          <w:sz w:val="19"/>
        </w:rPr>
        <w:t> </w:t>
      </w:r>
      <w:r>
        <w:rPr>
          <w:rFonts w:ascii="Arial" w:hAnsi="Arial"/>
          <w:color w:val="231F20"/>
          <w:w w:val="115"/>
          <w:sz w:val="19"/>
        </w:rPr>
        <w:t>Some</w:t>
      </w:r>
      <w:r>
        <w:rPr>
          <w:rFonts w:ascii="Arial" w:hAnsi="Arial"/>
          <w:color w:val="231F20"/>
          <w:spacing w:val="-11"/>
          <w:w w:val="115"/>
          <w:sz w:val="19"/>
        </w:rPr>
        <w:t> </w:t>
      </w:r>
      <w:r>
        <w:rPr>
          <w:rFonts w:ascii="Arial" w:hAnsi="Arial"/>
          <w:color w:val="231F20"/>
          <w:w w:val="115"/>
          <w:sz w:val="19"/>
        </w:rPr>
        <w:t>groups respond</w:t>
      </w:r>
      <w:r>
        <w:rPr>
          <w:rFonts w:ascii="Arial" w:hAnsi="Arial"/>
          <w:color w:val="231F20"/>
          <w:spacing w:val="-8"/>
          <w:w w:val="115"/>
          <w:sz w:val="19"/>
        </w:rPr>
        <w:t> </w:t>
      </w:r>
      <w:r>
        <w:rPr>
          <w:rFonts w:ascii="Arial" w:hAnsi="Arial"/>
          <w:color w:val="231F20"/>
          <w:w w:val="115"/>
          <w:sz w:val="19"/>
        </w:rPr>
        <w:t>to</w:t>
      </w:r>
      <w:r>
        <w:rPr>
          <w:rFonts w:ascii="Arial" w:hAnsi="Arial"/>
          <w:color w:val="231F20"/>
          <w:spacing w:val="-8"/>
          <w:w w:val="115"/>
          <w:sz w:val="19"/>
        </w:rPr>
        <w:t> </w:t>
      </w:r>
      <w:r>
        <w:rPr>
          <w:rFonts w:ascii="Arial" w:hAnsi="Arial"/>
          <w:color w:val="231F20"/>
          <w:w w:val="115"/>
          <w:sz w:val="19"/>
        </w:rPr>
        <w:t>special</w:t>
      </w:r>
      <w:r>
        <w:rPr>
          <w:rFonts w:ascii="Arial" w:hAnsi="Arial"/>
          <w:color w:val="231F20"/>
          <w:spacing w:val="-8"/>
          <w:w w:val="115"/>
          <w:sz w:val="19"/>
        </w:rPr>
        <w:t> </w:t>
      </w:r>
      <w:r>
        <w:rPr>
          <w:rFonts w:ascii="Arial" w:hAnsi="Arial"/>
          <w:color w:val="231F20"/>
          <w:w w:val="115"/>
          <w:sz w:val="19"/>
        </w:rPr>
        <w:t>marketing</w:t>
      </w:r>
      <w:r>
        <w:rPr>
          <w:rFonts w:ascii="Arial" w:hAnsi="Arial"/>
          <w:color w:val="231F20"/>
          <w:spacing w:val="-8"/>
          <w:w w:val="115"/>
          <w:sz w:val="19"/>
        </w:rPr>
        <w:t> </w:t>
      </w:r>
      <w:r>
        <w:rPr>
          <w:rFonts w:ascii="Arial" w:hAnsi="Arial"/>
          <w:color w:val="231F20"/>
          <w:w w:val="115"/>
          <w:sz w:val="19"/>
        </w:rPr>
        <w:t>efforts</w:t>
      </w:r>
      <w:r>
        <w:rPr>
          <w:rFonts w:ascii="Arial" w:hAnsi="Arial"/>
          <w:color w:val="231F20"/>
          <w:spacing w:val="-8"/>
          <w:w w:val="115"/>
          <w:sz w:val="19"/>
        </w:rPr>
        <w:t> </w:t>
      </w:r>
      <w:r>
        <w:rPr>
          <w:rFonts w:ascii="Arial" w:hAnsi="Arial"/>
          <w:color w:val="231F20"/>
          <w:w w:val="115"/>
          <w:sz w:val="19"/>
        </w:rPr>
        <w:t>more</w:t>
      </w:r>
      <w:r>
        <w:rPr>
          <w:rFonts w:ascii="Arial" w:hAnsi="Arial"/>
          <w:color w:val="231F20"/>
          <w:spacing w:val="-8"/>
          <w:w w:val="115"/>
          <w:sz w:val="19"/>
        </w:rPr>
        <w:t> </w:t>
      </w:r>
      <w:r>
        <w:rPr>
          <w:rFonts w:ascii="Arial" w:hAnsi="Arial"/>
          <w:color w:val="231F20"/>
          <w:w w:val="115"/>
          <w:sz w:val="19"/>
        </w:rPr>
        <w:t>than</w:t>
      </w:r>
      <w:r>
        <w:rPr>
          <w:rFonts w:ascii="Arial" w:hAnsi="Arial"/>
          <w:color w:val="231F20"/>
          <w:spacing w:val="-8"/>
          <w:w w:val="115"/>
          <w:sz w:val="19"/>
        </w:rPr>
        <w:t> </w:t>
      </w:r>
      <w:r>
        <w:rPr>
          <w:rFonts w:ascii="Arial" w:hAnsi="Arial"/>
          <w:color w:val="231F20"/>
          <w:w w:val="115"/>
          <w:sz w:val="19"/>
        </w:rPr>
        <w:t>others. </w:t>
      </w:r>
      <w:r>
        <w:rPr>
          <w:rFonts w:ascii="Arial" w:hAnsi="Arial"/>
          <w:color w:val="231F20"/>
          <w:w w:val="110"/>
          <w:sz w:val="19"/>
        </w:rPr>
        <w:t>Housewives use more coupons than single </w:t>
      </w:r>
      <w:r>
        <w:rPr>
          <w:rFonts w:ascii="Arial" w:hAnsi="Arial"/>
          <w:color w:val="231F20"/>
          <w:w w:val="110"/>
          <w:sz w:val="19"/>
        </w:rPr>
        <w:t>professional </w:t>
      </w:r>
      <w:r>
        <w:rPr>
          <w:rFonts w:ascii="Arial" w:hAnsi="Arial"/>
          <w:color w:val="231F20"/>
          <w:spacing w:val="-2"/>
          <w:w w:val="115"/>
          <w:sz w:val="19"/>
        </w:rPr>
        <w:t>women.</w:t>
      </w:r>
    </w:p>
    <w:p>
      <w:pPr>
        <w:pStyle w:val="BodyText"/>
        <w:spacing w:before="6"/>
        <w:rPr>
          <w:rFonts w:ascii="Arial"/>
          <w:sz w:val="24"/>
        </w:rPr>
      </w:pPr>
    </w:p>
    <w:p>
      <w:pPr>
        <w:pStyle w:val="BodyText"/>
        <w:spacing w:line="292" w:lineRule="auto"/>
        <w:ind w:left="920" w:right="666" w:firstLine="340"/>
        <w:jc w:val="both"/>
      </w:pPr>
      <w:r>
        <w:rPr>
          <w:color w:val="231F20"/>
        </w:rPr>
        <w:t>Marketers</w:t>
      </w:r>
      <w:r>
        <w:rPr>
          <w:color w:val="231F20"/>
          <w:spacing w:val="40"/>
        </w:rPr>
        <w:t> </w:t>
      </w:r>
      <w:r>
        <w:rPr>
          <w:color w:val="231F20"/>
        </w:rPr>
        <w:t>must</w:t>
      </w:r>
      <w:r>
        <w:rPr>
          <w:color w:val="231F20"/>
          <w:spacing w:val="40"/>
        </w:rPr>
        <w:t> </w:t>
      </w:r>
      <w:r>
        <w:rPr>
          <w:color w:val="231F20"/>
        </w:rPr>
        <w:t>not</w:t>
      </w:r>
      <w:r>
        <w:rPr>
          <w:color w:val="231F20"/>
          <w:spacing w:val="40"/>
        </w:rPr>
        <w:t> </w:t>
      </w:r>
      <w:r>
        <w:rPr>
          <w:color w:val="231F20"/>
        </w:rPr>
        <w:t>only</w:t>
      </w:r>
      <w:r>
        <w:rPr>
          <w:color w:val="231F20"/>
          <w:spacing w:val="40"/>
        </w:rPr>
        <w:t> </w:t>
      </w:r>
      <w:r>
        <w:rPr>
          <w:color w:val="231F20"/>
        </w:rPr>
        <w:t>select</w:t>
      </w:r>
      <w:r>
        <w:rPr>
          <w:color w:val="231F20"/>
          <w:spacing w:val="40"/>
        </w:rPr>
        <w:t> </w:t>
      </w:r>
      <w:r>
        <w:rPr>
          <w:color w:val="231F20"/>
        </w:rPr>
        <w:t>the</w:t>
      </w:r>
      <w:r>
        <w:rPr>
          <w:color w:val="231F20"/>
          <w:spacing w:val="40"/>
        </w:rPr>
        <w:t> </w:t>
      </w:r>
      <w:r>
        <w:rPr>
          <w:color w:val="231F20"/>
        </w:rPr>
        <w:t>“right”</w:t>
      </w:r>
      <w:r>
        <w:rPr>
          <w:color w:val="231F20"/>
          <w:spacing w:val="40"/>
        </w:rPr>
        <w:t> </w:t>
      </w:r>
      <w:r>
        <w:rPr>
          <w:color w:val="231F20"/>
        </w:rPr>
        <w:t>group</w:t>
      </w:r>
      <w:r>
        <w:rPr>
          <w:color w:val="231F20"/>
          <w:spacing w:val="40"/>
        </w:rPr>
        <w:t> </w:t>
      </w:r>
      <w:r>
        <w:rPr>
          <w:color w:val="231F20"/>
        </w:rPr>
        <w:t>of</w:t>
      </w:r>
      <w:r>
        <w:rPr>
          <w:color w:val="231F20"/>
          <w:spacing w:val="40"/>
        </w:rPr>
        <w:t> </w:t>
      </w:r>
      <w:r>
        <w:rPr>
          <w:color w:val="231F20"/>
        </w:rPr>
        <w:t>variables but also decide how many to use. The correct number of “useful” variables</w:t>
      </w:r>
      <w:r>
        <w:rPr>
          <w:color w:val="231F20"/>
          <w:spacing w:val="23"/>
        </w:rPr>
        <w:t> </w:t>
      </w:r>
      <w:r>
        <w:rPr>
          <w:color w:val="231F20"/>
        </w:rPr>
        <w:t>will</w:t>
      </w:r>
      <w:r>
        <w:rPr>
          <w:color w:val="231F20"/>
          <w:spacing w:val="24"/>
        </w:rPr>
        <w:t> </w:t>
      </w:r>
      <w:r>
        <w:rPr>
          <w:color w:val="231F20"/>
        </w:rPr>
        <w:t>identify</w:t>
      </w:r>
      <w:r>
        <w:rPr>
          <w:color w:val="231F20"/>
          <w:spacing w:val="24"/>
        </w:rPr>
        <w:t> </w:t>
      </w:r>
      <w:r>
        <w:rPr>
          <w:color w:val="231F20"/>
        </w:rPr>
        <w:t>the</w:t>
      </w:r>
      <w:r>
        <w:rPr>
          <w:color w:val="231F20"/>
          <w:spacing w:val="24"/>
        </w:rPr>
        <w:t> </w:t>
      </w:r>
      <w:r>
        <w:rPr>
          <w:color w:val="231F20"/>
        </w:rPr>
        <w:t>most</w:t>
      </w:r>
      <w:r>
        <w:rPr>
          <w:color w:val="231F20"/>
          <w:spacing w:val="23"/>
        </w:rPr>
        <w:t> </w:t>
      </w:r>
      <w:r>
        <w:rPr>
          <w:color w:val="231F20"/>
        </w:rPr>
        <w:t>accessible</w:t>
      </w:r>
      <w:r>
        <w:rPr>
          <w:color w:val="231F20"/>
          <w:spacing w:val="24"/>
        </w:rPr>
        <w:t> </w:t>
      </w:r>
      <w:r>
        <w:rPr>
          <w:color w:val="231F20"/>
        </w:rPr>
        <w:t>and</w:t>
      </w:r>
      <w:r>
        <w:rPr>
          <w:color w:val="231F20"/>
          <w:spacing w:val="24"/>
        </w:rPr>
        <w:t> </w:t>
      </w:r>
      <w:r>
        <w:rPr>
          <w:color w:val="231F20"/>
        </w:rPr>
        <w:t>receptive</w:t>
      </w:r>
      <w:r>
        <w:rPr>
          <w:color w:val="231F20"/>
          <w:spacing w:val="24"/>
        </w:rPr>
        <w:t> </w:t>
      </w:r>
      <w:r>
        <w:rPr>
          <w:color w:val="231F20"/>
        </w:rPr>
        <w:t>target,</w:t>
      </w:r>
      <w:r>
        <w:rPr>
          <w:color w:val="231F20"/>
          <w:spacing w:val="24"/>
        </w:rPr>
        <w:t> </w:t>
      </w:r>
      <w:r>
        <w:rPr>
          <w:color w:val="231F20"/>
          <w:spacing w:val="-5"/>
        </w:rPr>
        <w:t>not</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3"/>
        <w:jc w:val="both"/>
      </w:pPr>
      <w:r>
        <w:rPr>
          <w:color w:val="231F20"/>
        </w:rPr>
        <w:t>the most specific. For example, it is possible to describe a target seg- ment for Corvettes as brown-haired, male, twenty-five to </w:t>
      </w:r>
      <w:r>
        <w:rPr>
          <w:color w:val="231F20"/>
        </w:rPr>
        <w:t>sixty-five years old, with income over $75,000. However, the ability to target just brown-haired men with effective advertising is limited and its usefulness would be dubious. Is brown hair a necessary segmenta- tion variable? There are no magazines exclusively targeted to</w:t>
      </w:r>
      <w:r>
        <w:rPr>
          <w:color w:val="231F20"/>
          <w:spacing w:val="80"/>
        </w:rPr>
        <w:t> </w:t>
      </w:r>
      <w:r>
        <w:rPr>
          <w:color w:val="231F20"/>
        </w:rPr>
        <w:t>brown-haired males. Besides, blond and redheaded men may also be a reasonable market for Corvettes. You should use the following cri- teria to evaluate possible marketing segments:</w:t>
      </w:r>
    </w:p>
    <w:p>
      <w:pPr>
        <w:pStyle w:val="BodyText"/>
        <w:spacing w:before="1"/>
        <w:rPr>
          <w:sz w:val="27"/>
        </w:rPr>
      </w:pPr>
    </w:p>
    <w:p>
      <w:pPr>
        <w:spacing w:line="328" w:lineRule="auto" w:before="0"/>
        <w:ind w:left="1510" w:right="1262" w:hanging="340"/>
        <w:jc w:val="left"/>
        <w:rPr>
          <w:rFonts w:ascii="Arial" w:hAnsi="Arial"/>
          <w:sz w:val="19"/>
        </w:rPr>
      </w:pPr>
      <w:r>
        <w:rPr>
          <w:rFonts w:ascii="Arial" w:hAnsi="Arial"/>
          <w:i/>
          <w:color w:val="231F20"/>
          <w:w w:val="110"/>
          <w:sz w:val="19"/>
        </w:rPr>
        <w:t>Measurability</w:t>
      </w:r>
      <w:r>
        <w:rPr>
          <w:rFonts w:ascii="Arial" w:hAnsi="Arial"/>
          <w:color w:val="231F20"/>
          <w:w w:val="110"/>
          <w:sz w:val="19"/>
        </w:rPr>
        <w:t>—</w:t>
      </w:r>
      <w:r>
        <w:rPr>
          <w:rFonts w:ascii="Arial" w:hAnsi="Arial"/>
          <w:color w:val="231F20"/>
          <w:spacing w:val="-37"/>
          <w:w w:val="110"/>
          <w:sz w:val="19"/>
        </w:rPr>
        <w:t> </w:t>
      </w:r>
      <w:r>
        <w:rPr>
          <w:rFonts w:ascii="Arial" w:hAnsi="Arial"/>
          <w:color w:val="231F20"/>
          <w:w w:val="110"/>
          <w:sz w:val="19"/>
        </w:rPr>
        <w:t>Can you identify the segment? Can </w:t>
      </w:r>
      <w:r>
        <w:rPr>
          <w:rFonts w:ascii="Arial" w:hAnsi="Arial"/>
          <w:color w:val="231F20"/>
          <w:w w:val="110"/>
          <w:sz w:val="19"/>
        </w:rPr>
        <w:t>you quantify its size?</w:t>
      </w:r>
    </w:p>
    <w:p>
      <w:pPr>
        <w:spacing w:line="328" w:lineRule="auto" w:before="2"/>
        <w:ind w:left="1510" w:right="667" w:hanging="340"/>
        <w:jc w:val="left"/>
        <w:rPr>
          <w:rFonts w:ascii="Arial" w:hAnsi="Arial"/>
          <w:sz w:val="19"/>
        </w:rPr>
      </w:pPr>
      <w:r>
        <w:rPr>
          <w:rFonts w:ascii="Arial" w:hAnsi="Arial"/>
          <w:i/>
          <w:color w:val="231F20"/>
          <w:w w:val="115"/>
          <w:sz w:val="19"/>
        </w:rPr>
        <w:t>Accessibility</w:t>
      </w:r>
      <w:r>
        <w:rPr>
          <w:rFonts w:ascii="Arial" w:hAnsi="Arial"/>
          <w:color w:val="231F20"/>
          <w:w w:val="115"/>
          <w:sz w:val="19"/>
        </w:rPr>
        <w:t>—</w:t>
      </w:r>
      <w:r>
        <w:rPr>
          <w:rFonts w:ascii="Arial" w:hAnsi="Arial"/>
          <w:color w:val="231F20"/>
          <w:spacing w:val="-38"/>
          <w:w w:val="115"/>
          <w:sz w:val="19"/>
        </w:rPr>
        <w:t> </w:t>
      </w:r>
      <w:r>
        <w:rPr>
          <w:rFonts w:ascii="Arial" w:hAnsi="Arial"/>
          <w:color w:val="231F20"/>
          <w:w w:val="115"/>
          <w:sz w:val="19"/>
        </w:rPr>
        <w:t>Can you reach the segment through advertising,</w:t>
      </w:r>
      <w:r>
        <w:rPr>
          <w:rFonts w:ascii="Arial" w:hAnsi="Arial"/>
          <w:color w:val="231F20"/>
          <w:spacing w:val="-16"/>
          <w:w w:val="115"/>
          <w:sz w:val="19"/>
        </w:rPr>
        <w:t> </w:t>
      </w:r>
      <w:r>
        <w:rPr>
          <w:rFonts w:ascii="Arial" w:hAnsi="Arial"/>
          <w:color w:val="231F20"/>
          <w:w w:val="115"/>
          <w:sz w:val="19"/>
        </w:rPr>
        <w:t>sales</w:t>
      </w:r>
      <w:r>
        <w:rPr>
          <w:rFonts w:ascii="Arial" w:hAnsi="Arial"/>
          <w:color w:val="231F20"/>
          <w:spacing w:val="-15"/>
          <w:w w:val="115"/>
          <w:sz w:val="19"/>
        </w:rPr>
        <w:t> </w:t>
      </w:r>
      <w:r>
        <w:rPr>
          <w:rFonts w:ascii="Arial" w:hAnsi="Arial"/>
          <w:color w:val="231F20"/>
          <w:w w:val="115"/>
          <w:sz w:val="19"/>
        </w:rPr>
        <w:t>force</w:t>
      </w:r>
      <w:r>
        <w:rPr>
          <w:rFonts w:ascii="Arial" w:hAnsi="Arial"/>
          <w:color w:val="231F20"/>
          <w:spacing w:val="-15"/>
          <w:w w:val="115"/>
          <w:sz w:val="19"/>
        </w:rPr>
        <w:t> </w:t>
      </w:r>
      <w:r>
        <w:rPr>
          <w:rFonts w:ascii="Arial" w:hAnsi="Arial"/>
          <w:color w:val="231F20"/>
          <w:w w:val="115"/>
          <w:sz w:val="19"/>
        </w:rPr>
        <w:t>or</w:t>
      </w:r>
      <w:r>
        <w:rPr>
          <w:rFonts w:ascii="Arial" w:hAnsi="Arial"/>
          <w:color w:val="231F20"/>
          <w:spacing w:val="-15"/>
          <w:w w:val="115"/>
          <w:sz w:val="19"/>
        </w:rPr>
        <w:t> </w:t>
      </w:r>
      <w:r>
        <w:rPr>
          <w:rFonts w:ascii="Arial" w:hAnsi="Arial"/>
          <w:color w:val="231F20"/>
          <w:w w:val="115"/>
          <w:sz w:val="19"/>
        </w:rPr>
        <w:t>distributors,</w:t>
      </w:r>
      <w:r>
        <w:rPr>
          <w:rFonts w:ascii="Arial" w:hAnsi="Arial"/>
          <w:color w:val="231F20"/>
          <w:spacing w:val="-15"/>
          <w:w w:val="115"/>
          <w:sz w:val="19"/>
        </w:rPr>
        <w:t> </w:t>
      </w:r>
      <w:r>
        <w:rPr>
          <w:rFonts w:ascii="Arial" w:hAnsi="Arial"/>
          <w:color w:val="231F20"/>
          <w:w w:val="115"/>
          <w:sz w:val="19"/>
        </w:rPr>
        <w:t>transportation,</w:t>
      </w:r>
      <w:r>
        <w:rPr>
          <w:rFonts w:ascii="Arial" w:hAnsi="Arial"/>
          <w:color w:val="231F20"/>
          <w:spacing w:val="-16"/>
          <w:w w:val="115"/>
          <w:sz w:val="19"/>
        </w:rPr>
        <w:t> </w:t>
      </w:r>
      <w:r>
        <w:rPr>
          <w:rFonts w:ascii="Arial" w:hAnsi="Arial"/>
          <w:color w:val="231F20"/>
          <w:w w:val="115"/>
          <w:sz w:val="19"/>
        </w:rPr>
        <w:t>or </w:t>
      </w:r>
      <w:r>
        <w:rPr>
          <w:rFonts w:ascii="Arial" w:hAnsi="Arial"/>
          <w:color w:val="231F20"/>
          <w:spacing w:val="-2"/>
          <w:w w:val="115"/>
          <w:sz w:val="19"/>
        </w:rPr>
        <w:t>warehousing?</w:t>
      </w:r>
    </w:p>
    <w:p>
      <w:pPr>
        <w:spacing w:before="2"/>
        <w:ind w:left="1170" w:right="0" w:firstLine="0"/>
        <w:jc w:val="left"/>
        <w:rPr>
          <w:rFonts w:ascii="Arial" w:hAnsi="Arial"/>
          <w:sz w:val="19"/>
        </w:rPr>
      </w:pPr>
      <w:r>
        <w:rPr>
          <w:rFonts w:ascii="Arial" w:hAnsi="Arial"/>
          <w:i/>
          <w:color w:val="231F20"/>
          <w:w w:val="115"/>
          <w:sz w:val="19"/>
        </w:rPr>
        <w:t>Substantiality</w:t>
      </w:r>
      <w:r>
        <w:rPr>
          <w:rFonts w:ascii="Arial" w:hAnsi="Arial"/>
          <w:color w:val="231F20"/>
          <w:w w:val="115"/>
          <w:sz w:val="19"/>
        </w:rPr>
        <w:t>—</w:t>
      </w:r>
      <w:r>
        <w:rPr>
          <w:rFonts w:ascii="Arial" w:hAnsi="Arial"/>
          <w:color w:val="231F20"/>
          <w:spacing w:val="-42"/>
          <w:w w:val="115"/>
          <w:sz w:val="19"/>
        </w:rPr>
        <w:t> </w:t>
      </w:r>
      <w:r>
        <w:rPr>
          <w:rFonts w:ascii="Arial" w:hAnsi="Arial"/>
          <w:color w:val="231F20"/>
          <w:w w:val="115"/>
          <w:sz w:val="19"/>
        </w:rPr>
        <w:t>Is</w:t>
      </w:r>
      <w:r>
        <w:rPr>
          <w:rFonts w:ascii="Arial" w:hAnsi="Arial"/>
          <w:color w:val="231F20"/>
          <w:spacing w:val="-15"/>
          <w:w w:val="115"/>
          <w:sz w:val="19"/>
        </w:rPr>
        <w:t> </w:t>
      </w:r>
      <w:r>
        <w:rPr>
          <w:rFonts w:ascii="Arial" w:hAnsi="Arial"/>
          <w:color w:val="231F20"/>
          <w:w w:val="115"/>
          <w:sz w:val="19"/>
        </w:rPr>
        <w:t>the</w:t>
      </w:r>
      <w:r>
        <w:rPr>
          <w:rFonts w:ascii="Arial" w:hAnsi="Arial"/>
          <w:color w:val="231F20"/>
          <w:spacing w:val="-11"/>
          <w:w w:val="115"/>
          <w:sz w:val="19"/>
        </w:rPr>
        <w:t> </w:t>
      </w:r>
      <w:r>
        <w:rPr>
          <w:rFonts w:ascii="Arial" w:hAnsi="Arial"/>
          <w:color w:val="231F20"/>
          <w:w w:val="115"/>
          <w:sz w:val="19"/>
        </w:rPr>
        <w:t>segment</w:t>
      </w:r>
      <w:r>
        <w:rPr>
          <w:rFonts w:ascii="Arial" w:hAnsi="Arial"/>
          <w:color w:val="231F20"/>
          <w:spacing w:val="-11"/>
          <w:w w:val="115"/>
          <w:sz w:val="19"/>
        </w:rPr>
        <w:t> </w:t>
      </w:r>
      <w:r>
        <w:rPr>
          <w:rFonts w:ascii="Arial" w:hAnsi="Arial"/>
          <w:color w:val="231F20"/>
          <w:w w:val="115"/>
          <w:sz w:val="19"/>
        </w:rPr>
        <w:t>large</w:t>
      </w:r>
      <w:r>
        <w:rPr>
          <w:rFonts w:ascii="Arial" w:hAnsi="Arial"/>
          <w:color w:val="231F20"/>
          <w:spacing w:val="-12"/>
          <w:w w:val="115"/>
          <w:sz w:val="19"/>
        </w:rPr>
        <w:t> </w:t>
      </w:r>
      <w:r>
        <w:rPr>
          <w:rFonts w:ascii="Arial" w:hAnsi="Arial"/>
          <w:color w:val="231F20"/>
          <w:w w:val="115"/>
          <w:sz w:val="19"/>
        </w:rPr>
        <w:t>enough</w:t>
      </w:r>
      <w:r>
        <w:rPr>
          <w:rFonts w:ascii="Arial" w:hAnsi="Arial"/>
          <w:color w:val="231F20"/>
          <w:spacing w:val="-11"/>
          <w:w w:val="115"/>
          <w:sz w:val="19"/>
        </w:rPr>
        <w:t> </w:t>
      </w:r>
      <w:r>
        <w:rPr>
          <w:rFonts w:ascii="Arial" w:hAnsi="Arial"/>
          <w:color w:val="231F20"/>
          <w:w w:val="115"/>
          <w:sz w:val="19"/>
        </w:rPr>
        <w:t>to</w:t>
      </w:r>
      <w:r>
        <w:rPr>
          <w:rFonts w:ascii="Arial" w:hAnsi="Arial"/>
          <w:color w:val="231F20"/>
          <w:spacing w:val="-12"/>
          <w:w w:val="115"/>
          <w:sz w:val="19"/>
        </w:rPr>
        <w:t> </w:t>
      </w:r>
      <w:r>
        <w:rPr>
          <w:rFonts w:ascii="Arial" w:hAnsi="Arial"/>
          <w:color w:val="231F20"/>
          <w:w w:val="115"/>
          <w:sz w:val="19"/>
        </w:rPr>
        <w:t>bother</w:t>
      </w:r>
      <w:r>
        <w:rPr>
          <w:rFonts w:ascii="Arial" w:hAnsi="Arial"/>
          <w:color w:val="231F20"/>
          <w:spacing w:val="-11"/>
          <w:w w:val="115"/>
          <w:sz w:val="19"/>
        </w:rPr>
        <w:t> </w:t>
      </w:r>
      <w:r>
        <w:rPr>
          <w:rFonts w:ascii="Arial" w:hAnsi="Arial"/>
          <w:color w:val="231F20"/>
          <w:spacing w:val="-4"/>
          <w:w w:val="115"/>
          <w:sz w:val="19"/>
        </w:rPr>
        <w:t>with?</w:t>
      </w:r>
    </w:p>
    <w:p>
      <w:pPr>
        <w:spacing w:before="81"/>
        <w:ind w:left="1510" w:right="0" w:firstLine="0"/>
        <w:jc w:val="left"/>
        <w:rPr>
          <w:rFonts w:ascii="Arial"/>
          <w:sz w:val="19"/>
        </w:rPr>
      </w:pPr>
      <w:r>
        <w:rPr>
          <w:rFonts w:ascii="Arial"/>
          <w:color w:val="231F20"/>
          <w:w w:val="110"/>
          <w:sz w:val="19"/>
        </w:rPr>
        <w:t>Is</w:t>
      </w:r>
      <w:r>
        <w:rPr>
          <w:rFonts w:ascii="Arial"/>
          <w:color w:val="231F20"/>
          <w:spacing w:val="12"/>
          <w:w w:val="110"/>
          <w:sz w:val="19"/>
        </w:rPr>
        <w:t> </w:t>
      </w:r>
      <w:r>
        <w:rPr>
          <w:rFonts w:ascii="Arial"/>
          <w:color w:val="231F20"/>
          <w:w w:val="110"/>
          <w:sz w:val="19"/>
        </w:rPr>
        <w:t>the</w:t>
      </w:r>
      <w:r>
        <w:rPr>
          <w:rFonts w:ascii="Arial"/>
          <w:color w:val="231F20"/>
          <w:spacing w:val="12"/>
          <w:w w:val="110"/>
          <w:sz w:val="19"/>
        </w:rPr>
        <w:t> </w:t>
      </w:r>
      <w:r>
        <w:rPr>
          <w:rFonts w:ascii="Arial"/>
          <w:color w:val="231F20"/>
          <w:w w:val="110"/>
          <w:sz w:val="19"/>
        </w:rPr>
        <w:t>segment</w:t>
      </w:r>
      <w:r>
        <w:rPr>
          <w:rFonts w:ascii="Arial"/>
          <w:color w:val="231F20"/>
          <w:spacing w:val="13"/>
          <w:w w:val="110"/>
          <w:sz w:val="19"/>
        </w:rPr>
        <w:t> </w:t>
      </w:r>
      <w:r>
        <w:rPr>
          <w:rFonts w:ascii="Arial"/>
          <w:color w:val="231F20"/>
          <w:w w:val="110"/>
          <w:sz w:val="19"/>
        </w:rPr>
        <w:t>shrinking,</w:t>
      </w:r>
      <w:r>
        <w:rPr>
          <w:rFonts w:ascii="Arial"/>
          <w:color w:val="231F20"/>
          <w:spacing w:val="12"/>
          <w:w w:val="110"/>
          <w:sz w:val="19"/>
        </w:rPr>
        <w:t> </w:t>
      </w:r>
      <w:r>
        <w:rPr>
          <w:rFonts w:ascii="Arial"/>
          <w:color w:val="231F20"/>
          <w:w w:val="110"/>
          <w:sz w:val="19"/>
        </w:rPr>
        <w:t>maturing,</w:t>
      </w:r>
      <w:r>
        <w:rPr>
          <w:rFonts w:ascii="Arial"/>
          <w:color w:val="231F20"/>
          <w:spacing w:val="13"/>
          <w:w w:val="110"/>
          <w:sz w:val="19"/>
        </w:rPr>
        <w:t> </w:t>
      </w:r>
      <w:r>
        <w:rPr>
          <w:rFonts w:ascii="Arial"/>
          <w:color w:val="231F20"/>
          <w:w w:val="110"/>
          <w:sz w:val="19"/>
        </w:rPr>
        <w:t>or</w:t>
      </w:r>
      <w:r>
        <w:rPr>
          <w:rFonts w:ascii="Arial"/>
          <w:color w:val="231F20"/>
          <w:spacing w:val="12"/>
          <w:w w:val="110"/>
          <w:sz w:val="19"/>
        </w:rPr>
        <w:t> </w:t>
      </w:r>
      <w:r>
        <w:rPr>
          <w:rFonts w:ascii="Arial"/>
          <w:color w:val="231F20"/>
          <w:spacing w:val="-2"/>
          <w:w w:val="110"/>
          <w:sz w:val="19"/>
        </w:rPr>
        <w:t>growing?</w:t>
      </w:r>
    </w:p>
    <w:p>
      <w:pPr>
        <w:spacing w:line="328" w:lineRule="auto" w:before="82"/>
        <w:ind w:left="1510" w:right="1045" w:hanging="340"/>
        <w:jc w:val="left"/>
        <w:rPr>
          <w:rFonts w:ascii="Arial" w:hAnsi="Arial"/>
          <w:sz w:val="19"/>
        </w:rPr>
      </w:pPr>
      <w:r>
        <w:rPr>
          <w:rFonts w:ascii="Arial" w:hAnsi="Arial"/>
          <w:i/>
          <w:color w:val="231F20"/>
          <w:w w:val="115"/>
          <w:sz w:val="19"/>
        </w:rPr>
        <w:t>Profitability</w:t>
      </w:r>
      <w:r>
        <w:rPr>
          <w:rFonts w:ascii="Arial" w:hAnsi="Arial"/>
          <w:color w:val="231F20"/>
          <w:w w:val="115"/>
          <w:sz w:val="19"/>
        </w:rPr>
        <w:t>—Are</w:t>
      </w:r>
      <w:r>
        <w:rPr>
          <w:rFonts w:ascii="Arial" w:hAnsi="Arial"/>
          <w:color w:val="231F20"/>
          <w:spacing w:val="-4"/>
          <w:w w:val="115"/>
          <w:sz w:val="19"/>
        </w:rPr>
        <w:t> </w:t>
      </w:r>
      <w:r>
        <w:rPr>
          <w:rFonts w:ascii="Arial" w:hAnsi="Arial"/>
          <w:color w:val="231F20"/>
          <w:w w:val="115"/>
          <w:sz w:val="19"/>
        </w:rPr>
        <w:t>there</w:t>
      </w:r>
      <w:r>
        <w:rPr>
          <w:rFonts w:ascii="Arial" w:hAnsi="Arial"/>
          <w:color w:val="231F20"/>
          <w:spacing w:val="-4"/>
          <w:w w:val="115"/>
          <w:sz w:val="19"/>
        </w:rPr>
        <w:t> </w:t>
      </w:r>
      <w:r>
        <w:rPr>
          <w:rFonts w:ascii="Arial" w:hAnsi="Arial"/>
          <w:color w:val="231F20"/>
          <w:w w:val="115"/>
          <w:sz w:val="19"/>
        </w:rPr>
        <w:t>enough</w:t>
      </w:r>
      <w:r>
        <w:rPr>
          <w:rFonts w:ascii="Arial" w:hAnsi="Arial"/>
          <w:color w:val="231F20"/>
          <w:spacing w:val="-4"/>
          <w:w w:val="115"/>
          <w:sz w:val="19"/>
        </w:rPr>
        <w:t> </w:t>
      </w:r>
      <w:r>
        <w:rPr>
          <w:rFonts w:ascii="Arial" w:hAnsi="Arial"/>
          <w:color w:val="231F20"/>
          <w:w w:val="115"/>
          <w:sz w:val="19"/>
        </w:rPr>
        <w:t>potential</w:t>
      </w:r>
      <w:r>
        <w:rPr>
          <w:rFonts w:ascii="Arial" w:hAnsi="Arial"/>
          <w:color w:val="231F20"/>
          <w:spacing w:val="-4"/>
          <w:w w:val="115"/>
          <w:sz w:val="19"/>
        </w:rPr>
        <w:t> </w:t>
      </w:r>
      <w:r>
        <w:rPr>
          <w:rFonts w:ascii="Arial" w:hAnsi="Arial"/>
          <w:color w:val="231F20"/>
          <w:w w:val="115"/>
          <w:sz w:val="19"/>
        </w:rPr>
        <w:t>profits</w:t>
      </w:r>
      <w:r>
        <w:rPr>
          <w:rFonts w:ascii="Arial" w:hAnsi="Arial"/>
          <w:color w:val="231F20"/>
          <w:spacing w:val="-4"/>
          <w:w w:val="115"/>
          <w:sz w:val="19"/>
        </w:rPr>
        <w:t> </w:t>
      </w:r>
      <w:r>
        <w:rPr>
          <w:rFonts w:ascii="Arial" w:hAnsi="Arial"/>
          <w:color w:val="231F20"/>
          <w:w w:val="115"/>
          <w:sz w:val="19"/>
        </w:rPr>
        <w:t>to</w:t>
      </w:r>
      <w:r>
        <w:rPr>
          <w:rFonts w:ascii="Arial" w:hAnsi="Arial"/>
          <w:color w:val="231F20"/>
          <w:spacing w:val="-4"/>
          <w:w w:val="115"/>
          <w:sz w:val="19"/>
        </w:rPr>
        <w:t> </w:t>
      </w:r>
      <w:r>
        <w:rPr>
          <w:rFonts w:ascii="Arial" w:hAnsi="Arial"/>
          <w:color w:val="231F20"/>
          <w:w w:val="115"/>
          <w:sz w:val="19"/>
        </w:rPr>
        <w:t>make targeting it worthwhile?</w:t>
      </w:r>
    </w:p>
    <w:p>
      <w:pPr>
        <w:spacing w:line="328" w:lineRule="auto" w:before="1"/>
        <w:ind w:left="1510" w:right="1045" w:hanging="340"/>
        <w:jc w:val="left"/>
        <w:rPr>
          <w:rFonts w:ascii="Arial" w:hAnsi="Arial"/>
          <w:sz w:val="19"/>
        </w:rPr>
      </w:pPr>
      <w:r>
        <w:rPr>
          <w:rFonts w:ascii="Arial" w:hAnsi="Arial"/>
          <w:i/>
          <w:color w:val="231F20"/>
          <w:w w:val="115"/>
          <w:sz w:val="19"/>
        </w:rPr>
        <w:t>Compatibility with Competition</w:t>
      </w:r>
      <w:r>
        <w:rPr>
          <w:rFonts w:ascii="Arial" w:hAnsi="Arial"/>
          <w:color w:val="231F20"/>
          <w:w w:val="115"/>
          <w:sz w:val="19"/>
        </w:rPr>
        <w:t>—Are your competitors interested</w:t>
      </w:r>
      <w:r>
        <w:rPr>
          <w:rFonts w:ascii="Arial" w:hAnsi="Arial"/>
          <w:color w:val="231F20"/>
          <w:spacing w:val="-12"/>
          <w:w w:val="115"/>
          <w:sz w:val="19"/>
        </w:rPr>
        <w:t> </w:t>
      </w:r>
      <w:r>
        <w:rPr>
          <w:rFonts w:ascii="Arial" w:hAnsi="Arial"/>
          <w:color w:val="231F20"/>
          <w:w w:val="115"/>
          <w:sz w:val="19"/>
        </w:rPr>
        <w:t>in</w:t>
      </w:r>
      <w:r>
        <w:rPr>
          <w:rFonts w:ascii="Arial" w:hAnsi="Arial"/>
          <w:color w:val="231F20"/>
          <w:spacing w:val="-12"/>
          <w:w w:val="115"/>
          <w:sz w:val="19"/>
        </w:rPr>
        <w:t> </w:t>
      </w:r>
      <w:r>
        <w:rPr>
          <w:rFonts w:ascii="Arial" w:hAnsi="Arial"/>
          <w:color w:val="231F20"/>
          <w:w w:val="115"/>
          <w:sz w:val="19"/>
        </w:rPr>
        <w:t>this</w:t>
      </w:r>
      <w:r>
        <w:rPr>
          <w:rFonts w:ascii="Arial" w:hAnsi="Arial"/>
          <w:color w:val="231F20"/>
          <w:spacing w:val="-12"/>
          <w:w w:val="115"/>
          <w:sz w:val="19"/>
        </w:rPr>
        <w:t> </w:t>
      </w:r>
      <w:r>
        <w:rPr>
          <w:rFonts w:ascii="Arial" w:hAnsi="Arial"/>
          <w:color w:val="231F20"/>
          <w:w w:val="115"/>
          <w:sz w:val="19"/>
        </w:rPr>
        <w:t>segment?</w:t>
      </w:r>
      <w:r>
        <w:rPr>
          <w:rFonts w:ascii="Arial" w:hAnsi="Arial"/>
          <w:color w:val="231F20"/>
          <w:spacing w:val="-12"/>
          <w:w w:val="115"/>
          <w:sz w:val="19"/>
        </w:rPr>
        <w:t> </w:t>
      </w:r>
      <w:r>
        <w:rPr>
          <w:rFonts w:ascii="Arial" w:hAnsi="Arial"/>
          <w:color w:val="231F20"/>
          <w:w w:val="115"/>
          <w:sz w:val="19"/>
        </w:rPr>
        <w:t>Are</w:t>
      </w:r>
      <w:r>
        <w:rPr>
          <w:rFonts w:ascii="Arial" w:hAnsi="Arial"/>
          <w:color w:val="231F20"/>
          <w:spacing w:val="-12"/>
          <w:w w:val="115"/>
          <w:sz w:val="19"/>
        </w:rPr>
        <w:t> </w:t>
      </w:r>
      <w:r>
        <w:rPr>
          <w:rFonts w:ascii="Arial" w:hAnsi="Arial"/>
          <w:color w:val="231F20"/>
          <w:w w:val="115"/>
          <w:sz w:val="19"/>
        </w:rPr>
        <w:t>competitors</w:t>
      </w:r>
      <w:r>
        <w:rPr>
          <w:rFonts w:ascii="Arial" w:hAnsi="Arial"/>
          <w:color w:val="231F20"/>
          <w:spacing w:val="-12"/>
          <w:w w:val="115"/>
          <w:sz w:val="19"/>
        </w:rPr>
        <w:t> </w:t>
      </w:r>
      <w:r>
        <w:rPr>
          <w:rFonts w:ascii="Arial" w:hAnsi="Arial"/>
          <w:color w:val="231F20"/>
          <w:w w:val="115"/>
          <w:sz w:val="19"/>
        </w:rPr>
        <w:t>currently investigating it or is it not worth their trouble?</w:t>
      </w:r>
    </w:p>
    <w:p>
      <w:pPr>
        <w:spacing w:line="328" w:lineRule="auto" w:before="2"/>
        <w:ind w:left="1510" w:right="1045" w:hanging="340"/>
        <w:jc w:val="left"/>
        <w:rPr>
          <w:rFonts w:ascii="Arial" w:hAnsi="Arial"/>
          <w:sz w:val="19"/>
        </w:rPr>
      </w:pPr>
      <w:r>
        <w:rPr>
          <w:rFonts w:ascii="Arial" w:hAnsi="Arial"/>
          <w:i/>
          <w:color w:val="231F20"/>
          <w:w w:val="110"/>
          <w:sz w:val="19"/>
        </w:rPr>
        <w:t>Effectiveness</w:t>
      </w:r>
      <w:r>
        <w:rPr>
          <w:rFonts w:ascii="Arial" w:hAnsi="Arial"/>
          <w:i/>
          <w:color w:val="231F20"/>
          <w:spacing w:val="-37"/>
          <w:w w:val="110"/>
          <w:sz w:val="19"/>
        </w:rPr>
        <w:t> </w:t>
      </w:r>
      <w:r>
        <w:rPr>
          <w:rFonts w:ascii="Arial" w:hAnsi="Arial"/>
          <w:color w:val="231F20"/>
          <w:w w:val="110"/>
          <w:sz w:val="19"/>
        </w:rPr>
        <w:t>—</w:t>
      </w:r>
      <w:r>
        <w:rPr>
          <w:rFonts w:ascii="Arial" w:hAnsi="Arial"/>
          <w:color w:val="231F20"/>
          <w:spacing w:val="-37"/>
          <w:w w:val="110"/>
          <w:sz w:val="19"/>
        </w:rPr>
        <w:t> </w:t>
      </w:r>
      <w:r>
        <w:rPr>
          <w:rFonts w:ascii="Arial" w:hAnsi="Arial"/>
          <w:color w:val="231F20"/>
          <w:w w:val="110"/>
          <w:sz w:val="19"/>
        </w:rPr>
        <w:t>Does your company have the capabilities </w:t>
      </w:r>
      <w:r>
        <w:rPr>
          <w:rFonts w:ascii="Arial" w:hAnsi="Arial"/>
          <w:color w:val="231F20"/>
          <w:w w:val="110"/>
          <w:sz w:val="19"/>
        </w:rPr>
        <w:t>to adequately service this segment?</w:t>
      </w:r>
    </w:p>
    <w:p>
      <w:pPr>
        <w:spacing w:line="328" w:lineRule="auto" w:before="1"/>
        <w:ind w:left="1510" w:right="1262" w:hanging="340"/>
        <w:jc w:val="left"/>
        <w:rPr>
          <w:rFonts w:ascii="Arial" w:hAnsi="Arial"/>
          <w:sz w:val="19"/>
        </w:rPr>
      </w:pPr>
      <w:r>
        <w:rPr>
          <w:rFonts w:ascii="Arial" w:hAnsi="Arial"/>
          <w:i/>
          <w:color w:val="231F20"/>
          <w:w w:val="110"/>
          <w:sz w:val="19"/>
        </w:rPr>
        <w:t>Defendability</w:t>
      </w:r>
      <w:r>
        <w:rPr>
          <w:rFonts w:ascii="Arial" w:hAnsi="Arial"/>
          <w:i/>
          <w:color w:val="231F20"/>
          <w:spacing w:val="-37"/>
          <w:w w:val="110"/>
          <w:sz w:val="19"/>
        </w:rPr>
        <w:t> </w:t>
      </w:r>
      <w:r>
        <w:rPr>
          <w:rFonts w:ascii="Arial" w:hAnsi="Arial"/>
          <w:color w:val="231F20"/>
          <w:w w:val="110"/>
          <w:sz w:val="19"/>
        </w:rPr>
        <w:t>—</w:t>
      </w:r>
      <w:r>
        <w:rPr>
          <w:rFonts w:ascii="Arial" w:hAnsi="Arial"/>
          <w:color w:val="231F20"/>
          <w:spacing w:val="-37"/>
          <w:w w:val="110"/>
          <w:sz w:val="19"/>
        </w:rPr>
        <w:t> </w:t>
      </w:r>
      <w:r>
        <w:rPr>
          <w:rFonts w:ascii="Arial" w:hAnsi="Arial"/>
          <w:color w:val="231F20"/>
          <w:w w:val="110"/>
          <w:sz w:val="19"/>
        </w:rPr>
        <w:t>Can you defend yourself against </w:t>
      </w:r>
      <w:r>
        <w:rPr>
          <w:rFonts w:ascii="Arial" w:hAnsi="Arial"/>
          <w:color w:val="231F20"/>
          <w:w w:val="110"/>
          <w:sz w:val="19"/>
        </w:rPr>
        <w:t>a </w:t>
      </w:r>
      <w:r>
        <w:rPr>
          <w:rFonts w:ascii="Arial" w:hAnsi="Arial"/>
          <w:color w:val="231F20"/>
          <w:w w:val="115"/>
          <w:sz w:val="19"/>
        </w:rPr>
        <w:t>competitor’s attack?</w:t>
      </w:r>
    </w:p>
    <w:p>
      <w:pPr>
        <w:pStyle w:val="BodyText"/>
        <w:spacing w:before="4"/>
        <w:rPr>
          <w:rFonts w:ascii="Arial"/>
          <w:sz w:val="24"/>
        </w:rPr>
      </w:pPr>
    </w:p>
    <w:p>
      <w:pPr>
        <w:pStyle w:val="BodyText"/>
        <w:spacing w:line="292" w:lineRule="auto"/>
        <w:ind w:left="830" w:right="667" w:firstLine="340"/>
      </w:pPr>
      <w:r>
        <w:rPr>
          <w:color w:val="231F20"/>
        </w:rPr>
        <w:t>With that theoretical background, here’s a sample </w:t>
      </w:r>
      <w:r>
        <w:rPr>
          <w:color w:val="231F20"/>
        </w:rPr>
        <w:t>demographic profile of gourment coffee buyers that marketers actually use:</w:t>
      </w:r>
    </w:p>
    <w:p>
      <w:pPr>
        <w:pStyle w:val="BodyText"/>
        <w:spacing w:before="4"/>
        <w:rPr>
          <w:sz w:val="27"/>
        </w:rPr>
      </w:pPr>
    </w:p>
    <w:p>
      <w:pPr>
        <w:spacing w:line="328" w:lineRule="auto" w:before="0"/>
        <w:ind w:left="1170" w:right="3159" w:firstLine="0"/>
        <w:jc w:val="left"/>
        <w:rPr>
          <w:rFonts w:ascii="Arial"/>
          <w:sz w:val="19"/>
        </w:rPr>
      </w:pPr>
      <w:r>
        <w:rPr>
          <w:rFonts w:ascii="Arial"/>
          <w:color w:val="231F20"/>
          <w:spacing w:val="-4"/>
          <w:w w:val="120"/>
          <w:sz w:val="19"/>
        </w:rPr>
        <w:t>Twenty-five</w:t>
      </w:r>
      <w:r>
        <w:rPr>
          <w:rFonts w:ascii="Arial"/>
          <w:color w:val="231F20"/>
          <w:spacing w:val="-9"/>
          <w:w w:val="120"/>
          <w:sz w:val="19"/>
        </w:rPr>
        <w:t> </w:t>
      </w:r>
      <w:r>
        <w:rPr>
          <w:rFonts w:ascii="Arial"/>
          <w:color w:val="231F20"/>
          <w:spacing w:val="-4"/>
          <w:w w:val="120"/>
          <w:sz w:val="19"/>
        </w:rPr>
        <w:t>to</w:t>
      </w:r>
      <w:r>
        <w:rPr>
          <w:rFonts w:ascii="Arial"/>
          <w:color w:val="231F20"/>
          <w:spacing w:val="-9"/>
          <w:w w:val="120"/>
          <w:sz w:val="19"/>
        </w:rPr>
        <w:t> </w:t>
      </w:r>
      <w:r>
        <w:rPr>
          <w:rFonts w:ascii="Arial"/>
          <w:color w:val="231F20"/>
          <w:spacing w:val="-4"/>
          <w:w w:val="120"/>
          <w:sz w:val="19"/>
        </w:rPr>
        <w:t>fifty-four</w:t>
      </w:r>
      <w:r>
        <w:rPr>
          <w:rFonts w:ascii="Arial"/>
          <w:color w:val="231F20"/>
          <w:spacing w:val="-9"/>
          <w:w w:val="120"/>
          <w:sz w:val="19"/>
        </w:rPr>
        <w:t> </w:t>
      </w:r>
      <w:r>
        <w:rPr>
          <w:rFonts w:ascii="Arial"/>
          <w:color w:val="231F20"/>
          <w:spacing w:val="-4"/>
          <w:w w:val="120"/>
          <w:sz w:val="19"/>
        </w:rPr>
        <w:t>years</w:t>
      </w:r>
      <w:r>
        <w:rPr>
          <w:rFonts w:ascii="Arial"/>
          <w:color w:val="231F20"/>
          <w:spacing w:val="-9"/>
          <w:w w:val="120"/>
          <w:sz w:val="19"/>
        </w:rPr>
        <w:t> </w:t>
      </w:r>
      <w:r>
        <w:rPr>
          <w:rFonts w:ascii="Arial"/>
          <w:color w:val="231F20"/>
          <w:spacing w:val="-4"/>
          <w:w w:val="120"/>
          <w:sz w:val="19"/>
        </w:rPr>
        <w:t>old </w:t>
      </w:r>
      <w:r>
        <w:rPr>
          <w:rFonts w:ascii="Arial"/>
          <w:color w:val="231F20"/>
          <w:w w:val="120"/>
          <w:sz w:val="19"/>
        </w:rPr>
        <w:t>College educated</w:t>
      </w:r>
    </w:p>
    <w:p>
      <w:pPr>
        <w:spacing w:line="328" w:lineRule="auto" w:before="2"/>
        <w:ind w:left="1170" w:right="1742" w:firstLine="0"/>
        <w:jc w:val="left"/>
        <w:rPr>
          <w:rFonts w:ascii="Arial"/>
          <w:sz w:val="19"/>
        </w:rPr>
      </w:pPr>
      <w:r>
        <w:rPr>
          <w:rFonts w:ascii="Arial"/>
          <w:color w:val="231F20"/>
          <w:w w:val="110"/>
          <w:sz w:val="19"/>
        </w:rPr>
        <w:t>Professional or business executive </w:t>
      </w:r>
      <w:r>
        <w:rPr>
          <w:rFonts w:ascii="Arial"/>
          <w:color w:val="231F20"/>
          <w:w w:val="110"/>
          <w:sz w:val="19"/>
        </w:rPr>
        <w:t>employment Childless households</w:t>
      </w:r>
    </w:p>
    <w:p>
      <w:pPr>
        <w:spacing w:before="1"/>
        <w:ind w:left="1170" w:right="0" w:firstLine="0"/>
        <w:jc w:val="left"/>
        <w:rPr>
          <w:rFonts w:ascii="Arial"/>
          <w:sz w:val="19"/>
        </w:rPr>
      </w:pPr>
      <w:r>
        <w:rPr>
          <w:rFonts w:ascii="Arial"/>
          <w:color w:val="231F20"/>
          <w:w w:val="110"/>
          <w:sz w:val="19"/>
        </w:rPr>
        <w:t>Household</w:t>
      </w:r>
      <w:r>
        <w:rPr>
          <w:rFonts w:ascii="Arial"/>
          <w:color w:val="231F20"/>
          <w:spacing w:val="7"/>
          <w:w w:val="110"/>
          <w:sz w:val="19"/>
        </w:rPr>
        <w:t> </w:t>
      </w:r>
      <w:r>
        <w:rPr>
          <w:rFonts w:ascii="Arial"/>
          <w:color w:val="231F20"/>
          <w:w w:val="110"/>
          <w:sz w:val="19"/>
        </w:rPr>
        <w:t>incomes</w:t>
      </w:r>
      <w:r>
        <w:rPr>
          <w:rFonts w:ascii="Arial"/>
          <w:color w:val="231F20"/>
          <w:spacing w:val="7"/>
          <w:w w:val="110"/>
          <w:sz w:val="19"/>
        </w:rPr>
        <w:t> </w:t>
      </w:r>
      <w:r>
        <w:rPr>
          <w:rFonts w:ascii="Arial"/>
          <w:color w:val="231F20"/>
          <w:w w:val="110"/>
          <w:sz w:val="19"/>
        </w:rPr>
        <w:t>greater</w:t>
      </w:r>
      <w:r>
        <w:rPr>
          <w:rFonts w:ascii="Arial"/>
          <w:color w:val="231F20"/>
          <w:spacing w:val="7"/>
          <w:w w:val="110"/>
          <w:sz w:val="19"/>
        </w:rPr>
        <w:t> </w:t>
      </w:r>
      <w:r>
        <w:rPr>
          <w:rFonts w:ascii="Arial"/>
          <w:color w:val="231F20"/>
          <w:w w:val="110"/>
          <w:sz w:val="19"/>
        </w:rPr>
        <w:t>than</w:t>
      </w:r>
      <w:r>
        <w:rPr>
          <w:rFonts w:ascii="Arial"/>
          <w:color w:val="231F20"/>
          <w:spacing w:val="7"/>
          <w:w w:val="110"/>
          <w:sz w:val="19"/>
        </w:rPr>
        <w:t> </w:t>
      </w:r>
      <w:r>
        <w:rPr>
          <w:rFonts w:ascii="Arial"/>
          <w:color w:val="231F20"/>
          <w:spacing w:val="-2"/>
          <w:w w:val="110"/>
          <w:sz w:val="19"/>
        </w:rPr>
        <w:t>$50,000</w:t>
      </w:r>
    </w:p>
    <w:p>
      <w:pPr>
        <w:spacing w:after="0"/>
        <w:jc w:val="left"/>
        <w:rPr>
          <w:rFonts w:ascii="Arial"/>
          <w:sz w:val="19"/>
        </w:rPr>
        <w:sectPr>
          <w:pgSz w:w="8640" w:h="12960"/>
          <w:pgMar w:header="732" w:footer="0" w:top="920" w:bottom="280" w:left="340" w:right="500"/>
        </w:sectPr>
      </w:pPr>
    </w:p>
    <w:p>
      <w:pPr>
        <w:pStyle w:val="BodyText"/>
        <w:spacing w:before="10"/>
        <w:rPr>
          <w:rFonts w:ascii="Arial"/>
          <w:sz w:val="18"/>
        </w:rPr>
      </w:pPr>
    </w:p>
    <w:p>
      <w:pPr>
        <w:pStyle w:val="BodyText"/>
        <w:spacing w:line="292" w:lineRule="auto" w:before="102"/>
        <w:ind w:left="920" w:right="663" w:firstLine="340"/>
        <w:jc w:val="both"/>
      </w:pPr>
      <w:r>
        <w:rPr>
          <w:color w:val="231F20"/>
        </w:rPr>
        <w:t>This market segment is measurable, accessible, large, and profitable. Consequently, many large coffee companies continue </w:t>
      </w:r>
      <w:r>
        <w:rPr>
          <w:color w:val="231F20"/>
        </w:rPr>
        <w:t>to target it.</w:t>
      </w:r>
    </w:p>
    <w:p>
      <w:pPr>
        <w:pStyle w:val="BodyText"/>
        <w:spacing w:line="292" w:lineRule="auto"/>
        <w:ind w:left="920" w:right="663" w:firstLine="340"/>
        <w:jc w:val="both"/>
      </w:pPr>
      <w:r>
        <w:rPr>
          <w:color w:val="231F20"/>
        </w:rPr>
        <w:t>Even in markets that appear hopeless, there may be a segment that others overlook. Xerox controlled 88 percent of the copier </w:t>
      </w:r>
      <w:r>
        <w:rPr>
          <w:color w:val="231F20"/>
        </w:rPr>
        <w:t>mar- ket in the 1970s. The majority of its sales came from large and medium-sized units. But by 1985, Xerox had lost more than half of</w:t>
      </w:r>
      <w:r>
        <w:rPr>
          <w:color w:val="231F20"/>
          <w:spacing w:val="80"/>
          <w:w w:val="150"/>
        </w:rPr>
        <w:t> </w:t>
      </w:r>
      <w:r>
        <w:rPr>
          <w:color w:val="231F20"/>
        </w:rPr>
        <w:t>its market share. What happened? Xerox ignored the small-copier market. Thousands of small companies with light copy needs had to run to the local copy shop every time they had a copy job. Canon, Sharp, and Ricoh seized this market by selling a smaller and less ex- pensive copier. With a foothold in small copiers, the Japanese com- petitors proceeded to topple Xerox in the large-copier segment of</w:t>
      </w:r>
      <w:r>
        <w:rPr>
          <w:color w:val="231F20"/>
          <w:spacing w:val="80"/>
        </w:rPr>
        <w:t> </w:t>
      </w:r>
      <w:r>
        <w:rPr>
          <w:color w:val="231F20"/>
        </w:rPr>
        <w:t>the market.</w:t>
      </w:r>
    </w:p>
    <w:p>
      <w:pPr>
        <w:pStyle w:val="BodyText"/>
        <w:spacing w:line="292" w:lineRule="auto"/>
        <w:ind w:left="920" w:right="666" w:firstLine="340"/>
        <w:jc w:val="both"/>
      </w:pPr>
      <w:r>
        <w:rPr>
          <w:color w:val="231F20"/>
        </w:rPr>
        <w:t>Consumer analysis serves to “prime the pump” when you </w:t>
      </w:r>
      <w:r>
        <w:rPr>
          <w:color w:val="231F20"/>
        </w:rPr>
        <w:t>need</w:t>
      </w:r>
      <w:r>
        <w:rPr>
          <w:color w:val="231F20"/>
          <w:spacing w:val="80"/>
          <w:w w:val="150"/>
        </w:rPr>
        <w:t> </w:t>
      </w:r>
      <w:r>
        <w:rPr>
          <w:color w:val="231F20"/>
        </w:rPr>
        <w:t>to form a comprehensive marketing strategy. Do it first so as not to stifle your creativity with the quantitative analysis you will perform as part of the strategy development framework. On a first pass, you can make an “intuitive” choice of a target segment. After the other steps are completed, it can be altered to fit an evolving marketing </w:t>
      </w:r>
      <w:r>
        <w:rPr>
          <w:color w:val="231F20"/>
          <w:spacing w:val="-2"/>
        </w:rPr>
        <w:t>strategy.</w:t>
      </w:r>
    </w:p>
    <w:p>
      <w:pPr>
        <w:pStyle w:val="BodyText"/>
        <w:rPr>
          <w:sz w:val="24"/>
        </w:rPr>
      </w:pPr>
    </w:p>
    <w:p>
      <w:pPr>
        <w:pStyle w:val="BodyText"/>
        <w:spacing w:before="4"/>
        <w:rPr>
          <w:sz w:val="24"/>
        </w:rPr>
      </w:pPr>
    </w:p>
    <w:p>
      <w:pPr>
        <w:pStyle w:val="Heading4"/>
        <w:numPr>
          <w:ilvl w:val="1"/>
          <w:numId w:val="12"/>
        </w:numPr>
        <w:tabs>
          <w:tab w:pos="3242" w:val="left" w:leader="none"/>
        </w:tabs>
        <w:spacing w:line="240" w:lineRule="auto" w:before="0" w:after="0"/>
        <w:ind w:left="3241" w:right="0" w:hanging="268"/>
        <w:jc w:val="left"/>
      </w:pPr>
      <w:r>
        <w:rPr>
          <w:color w:val="231F20"/>
          <w:spacing w:val="9"/>
          <w:w w:val="85"/>
        </w:rPr>
        <w:t>MARKET</w:t>
      </w:r>
      <w:r>
        <w:rPr>
          <w:color w:val="231F20"/>
          <w:spacing w:val="10"/>
        </w:rPr>
        <w:t> </w:t>
      </w:r>
      <w:r>
        <w:rPr>
          <w:color w:val="231F20"/>
          <w:spacing w:val="7"/>
          <w:w w:val="95"/>
        </w:rPr>
        <w:t>ANALYSIS</w:t>
      </w:r>
    </w:p>
    <w:p>
      <w:pPr>
        <w:pStyle w:val="BodyText"/>
        <w:spacing w:before="10"/>
        <w:rPr>
          <w:rFonts w:ascii="Trebuchet MS"/>
          <w:sz w:val="29"/>
        </w:rPr>
      </w:pPr>
    </w:p>
    <w:p>
      <w:pPr>
        <w:tabs>
          <w:tab w:pos="2243" w:val="left" w:leader="none"/>
          <w:tab w:pos="2650" w:val="left" w:leader="none"/>
          <w:tab w:pos="3961" w:val="left" w:leader="none"/>
          <w:tab w:pos="4160" w:val="left" w:leader="none"/>
          <w:tab w:pos="5701" w:val="left" w:leader="none"/>
        </w:tabs>
        <w:spacing w:line="292" w:lineRule="auto" w:before="0"/>
        <w:ind w:left="920" w:right="966" w:firstLine="0"/>
        <w:jc w:val="left"/>
        <w:rPr>
          <w:sz w:val="21"/>
        </w:rPr>
      </w:pPr>
      <w:r>
        <w:rPr/>
        <w:pict>
          <v:shape style="position:absolute;margin-left:115.332878pt;margin-top:5.024799pt;width:9.35pt;height:3.5pt;mso-position-horizontal-relative:page;mso-position-vertical-relative:paragraph;z-index:-25214464" id="docshape37" coordorigin="2307,100" coordsize="187,70" path="m2431,100l2426,111,2470,129,2307,129,2307,141,2470,141,2426,159,2431,170,2493,143,2493,127,2431,100xe" filled="true" fillcolor="#231f20" stroked="false">
            <v:path arrowok="t"/>
            <v:fill type="solid"/>
            <w10:wrap type="none"/>
          </v:shape>
        </w:pict>
      </w:r>
      <w:r>
        <w:rPr/>
        <w:pict>
          <v:shape style="position:absolute;margin-left:211.221863pt;margin-top:5.024799pt;width:9.35pt;height:3.5pt;mso-position-horizontal-relative:page;mso-position-vertical-relative:paragraph;z-index:-25213952" id="docshape38" coordorigin="4224,100" coordsize="187,70" path="m4348,100l4344,111,4387,129,4224,129,4224,141,4387,141,4344,159,4348,170,4411,143,4411,127,4348,100xe" filled="true" fillcolor="#231f20" stroked="false">
            <v:path arrowok="t"/>
            <v:fill type="solid"/>
            <w10:wrap type="none"/>
          </v:shape>
        </w:pict>
      </w:r>
      <w:r>
        <w:rPr/>
        <w:pict>
          <v:shape style="position:absolute;margin-left:288.240906pt;margin-top:5.024799pt;width:9.35pt;height:3.5pt;mso-position-horizontal-relative:page;mso-position-vertical-relative:paragraph;z-index:-25213440" id="docshape39" coordorigin="5765,100" coordsize="187,70" path="m5889,100l5884,111,5928,129,5765,129,5765,141,5928,141,5884,159,5889,170,5951,143,5951,127,5889,100xe" filled="true" fillcolor="#231f20" stroked="false">
            <v:path arrowok="t"/>
            <v:fill type="solid"/>
            <w10:wrap type="none"/>
          </v:shape>
        </w:pict>
      </w:r>
      <w:r>
        <w:rPr/>
        <w:pict>
          <v:shape style="position:absolute;margin-left:363.585327pt;margin-top:5.024799pt;width:9.35pt;height:3.5pt;mso-position-horizontal-relative:page;mso-position-vertical-relative:paragraph;z-index:15745024" id="docshape40" coordorigin="7272,100" coordsize="187,70" path="m7396,100l7391,111,7435,129,7272,129,7272,141,7435,141,7391,159,7396,170,7458,143,7458,127,7396,100xe" filled="true" fillcolor="#231f20" stroked="false">
            <v:path arrowok="t"/>
            <v:fill type="solid"/>
            <w10:wrap type="none"/>
          </v:shape>
        </w:pict>
      </w:r>
      <w:r>
        <w:rPr/>
        <w:pict>
          <v:shape style="position:absolute;margin-left:136.964294pt;margin-top:20.024250pt;width:9.35pt;height:3.5pt;mso-position-horizontal-relative:page;mso-position-vertical-relative:paragraph;z-index:-25212416" id="docshape41" coordorigin="2739,400" coordsize="187,70" path="m2863,400l2859,411,2902,429,2739,429,2739,441,2902,441,2859,459,2863,469,2926,443,2926,427,2863,400xe" filled="true" fillcolor="#231f20" stroked="false">
            <v:path arrowok="t"/>
            <v:fill type="solid"/>
            <w10:wrap type="none"/>
          </v:shape>
        </w:pict>
      </w:r>
      <w:r>
        <w:rPr/>
        <w:pict>
          <v:shape style="position:absolute;margin-left:202.479721pt;margin-top:20.024250pt;width:9.35pt;height:3.5pt;mso-position-horizontal-relative:page;mso-position-vertical-relative:paragraph;z-index:-25211904" id="docshape42" coordorigin="4050,400" coordsize="187,70" path="m4174,400l4169,411,4213,429,4050,429,4050,441,4213,441,4169,459,4174,469,4236,443,4236,427,4174,400xe" filled="true" fillcolor="#231f20" stroked="false">
            <v:path arrowok="t"/>
            <v:fill type="solid"/>
            <w10:wrap type="none"/>
          </v:shape>
        </w:pict>
      </w:r>
      <w:r>
        <w:rPr>
          <w:color w:val="231F20"/>
          <w:spacing w:val="-2"/>
          <w:sz w:val="21"/>
        </w:rPr>
        <w:t>Consumer</w:t>
      </w:r>
      <w:r>
        <w:rPr>
          <w:color w:val="231F20"/>
          <w:sz w:val="21"/>
        </w:rPr>
        <w:tab/>
      </w:r>
      <w:r>
        <w:rPr>
          <w:b/>
          <w:color w:val="231F20"/>
          <w:sz w:val="21"/>
        </w:rPr>
        <w:t>Market</w:t>
      </w:r>
      <w:r>
        <w:rPr>
          <w:b/>
          <w:color w:val="231F20"/>
          <w:spacing w:val="40"/>
          <w:sz w:val="21"/>
        </w:rPr>
        <w:t> </w:t>
      </w:r>
      <w:r>
        <w:rPr>
          <w:b/>
          <w:color w:val="231F20"/>
          <w:sz w:val="21"/>
        </w:rPr>
        <w:t>Analysis</w:t>
        <w:tab/>
        <w:tab/>
      </w:r>
      <w:r>
        <w:rPr>
          <w:color w:val="231F20"/>
          <w:spacing w:val="-2"/>
          <w:sz w:val="21"/>
        </w:rPr>
        <w:t>Competition</w:t>
      </w:r>
      <w:r>
        <w:rPr>
          <w:color w:val="231F20"/>
          <w:sz w:val="21"/>
        </w:rPr>
        <w:tab/>
      </w:r>
      <w:r>
        <w:rPr>
          <w:color w:val="231F20"/>
          <w:spacing w:val="-2"/>
          <w:sz w:val="21"/>
        </w:rPr>
        <w:t>Distribution </w:t>
      </w:r>
      <w:r>
        <w:rPr>
          <w:color w:val="231F20"/>
          <w:sz w:val="21"/>
        </w:rPr>
        <w:t>Marketing Mix</w:t>
        <w:tab/>
        <w:tab/>
      </w:r>
      <w:r>
        <w:rPr>
          <w:color w:val="231F20"/>
          <w:spacing w:val="-2"/>
          <w:sz w:val="21"/>
        </w:rPr>
        <w:t>Economics</w:t>
      </w:r>
      <w:r>
        <w:rPr>
          <w:color w:val="231F20"/>
          <w:sz w:val="21"/>
        </w:rPr>
        <w:tab/>
      </w:r>
      <w:r>
        <w:rPr>
          <w:color w:val="231F20"/>
          <w:spacing w:val="-2"/>
          <w:sz w:val="21"/>
        </w:rPr>
        <w:t>Revise</w:t>
      </w:r>
    </w:p>
    <w:p>
      <w:pPr>
        <w:pStyle w:val="BodyText"/>
        <w:spacing w:before="6"/>
        <w:rPr>
          <w:sz w:val="25"/>
        </w:rPr>
      </w:pPr>
    </w:p>
    <w:p>
      <w:pPr>
        <w:pStyle w:val="BodyText"/>
        <w:spacing w:line="292" w:lineRule="auto"/>
        <w:ind w:left="920" w:right="663" w:firstLine="340"/>
        <w:jc w:val="both"/>
      </w:pPr>
      <w:r>
        <w:rPr>
          <w:color w:val="231F20"/>
        </w:rPr>
        <w:t>While segmentation analysis focuses on consumers as individu- als, market analysis takes a broader view of potential consumers to include market sizes and trends. Market analysis also includes a re- view of the competitive and regulatory environment. By closely ex- amining the market, a marketing manager can determine if the segment selected is worth the trouble of a targeted marketing effort. MBAs ask three important questions to evaluate a market:</w:t>
      </w:r>
    </w:p>
    <w:p>
      <w:pPr>
        <w:spacing w:after="0" w:line="292" w:lineRule="auto"/>
        <w:jc w:val="both"/>
        <w:sectPr>
          <w:pgSz w:w="8640" w:h="12960"/>
          <w:pgMar w:header="734" w:footer="0" w:top="920" w:bottom="280" w:left="340" w:right="500"/>
        </w:sectPr>
      </w:pPr>
    </w:p>
    <w:p>
      <w:pPr>
        <w:pStyle w:val="BodyText"/>
        <w:spacing w:before="4"/>
        <w:rPr>
          <w:sz w:val="19"/>
        </w:rPr>
      </w:pPr>
    </w:p>
    <w:p>
      <w:pPr>
        <w:spacing w:before="97"/>
        <w:ind w:left="1170" w:right="0" w:firstLine="0"/>
        <w:jc w:val="left"/>
        <w:rPr>
          <w:rFonts w:ascii="Arial"/>
          <w:sz w:val="19"/>
        </w:rPr>
      </w:pPr>
      <w:r>
        <w:rPr>
          <w:rFonts w:ascii="Arial"/>
          <w:color w:val="231F20"/>
          <w:w w:val="115"/>
          <w:sz w:val="19"/>
        </w:rPr>
        <w:t>What</w:t>
      </w:r>
      <w:r>
        <w:rPr>
          <w:rFonts w:ascii="Arial"/>
          <w:color w:val="231F20"/>
          <w:spacing w:val="-10"/>
          <w:w w:val="115"/>
          <w:sz w:val="19"/>
        </w:rPr>
        <w:t> </w:t>
      </w:r>
      <w:r>
        <w:rPr>
          <w:rFonts w:ascii="Arial"/>
          <w:color w:val="231F20"/>
          <w:w w:val="115"/>
          <w:sz w:val="19"/>
        </w:rPr>
        <w:t>is</w:t>
      </w:r>
      <w:r>
        <w:rPr>
          <w:rFonts w:ascii="Arial"/>
          <w:color w:val="231F20"/>
          <w:spacing w:val="-9"/>
          <w:w w:val="115"/>
          <w:sz w:val="19"/>
        </w:rPr>
        <w:t> </w:t>
      </w:r>
      <w:r>
        <w:rPr>
          <w:rFonts w:ascii="Arial"/>
          <w:color w:val="231F20"/>
          <w:w w:val="115"/>
          <w:sz w:val="19"/>
        </w:rPr>
        <w:t>the</w:t>
      </w:r>
      <w:r>
        <w:rPr>
          <w:rFonts w:ascii="Arial"/>
          <w:color w:val="231F20"/>
          <w:spacing w:val="-11"/>
          <w:w w:val="115"/>
          <w:sz w:val="19"/>
        </w:rPr>
        <w:t> </w:t>
      </w:r>
      <w:r>
        <w:rPr>
          <w:rFonts w:ascii="Arial"/>
          <w:i/>
          <w:color w:val="231F20"/>
          <w:w w:val="115"/>
          <w:sz w:val="19"/>
        </w:rPr>
        <w:t>relevant</w:t>
      </w:r>
      <w:r>
        <w:rPr>
          <w:rFonts w:ascii="Arial"/>
          <w:i/>
          <w:color w:val="231F20"/>
          <w:spacing w:val="-10"/>
          <w:w w:val="115"/>
          <w:sz w:val="19"/>
        </w:rPr>
        <w:t> </w:t>
      </w:r>
      <w:r>
        <w:rPr>
          <w:rFonts w:ascii="Arial"/>
          <w:color w:val="231F20"/>
          <w:spacing w:val="-2"/>
          <w:w w:val="115"/>
          <w:sz w:val="19"/>
        </w:rPr>
        <w:t>market?</w:t>
      </w:r>
    </w:p>
    <w:p>
      <w:pPr>
        <w:spacing w:before="82"/>
        <w:ind w:left="1169" w:right="0" w:firstLine="0"/>
        <w:jc w:val="left"/>
        <w:rPr>
          <w:rFonts w:ascii="Arial"/>
          <w:sz w:val="19"/>
        </w:rPr>
      </w:pPr>
      <w:r>
        <w:rPr>
          <w:rFonts w:ascii="Arial"/>
          <w:color w:val="231F20"/>
          <w:w w:val="115"/>
          <w:sz w:val="19"/>
        </w:rPr>
        <w:t>Where</w:t>
      </w:r>
      <w:r>
        <w:rPr>
          <w:rFonts w:ascii="Arial"/>
          <w:color w:val="231F20"/>
          <w:spacing w:val="2"/>
          <w:w w:val="115"/>
          <w:sz w:val="19"/>
        </w:rPr>
        <w:t> </w:t>
      </w:r>
      <w:r>
        <w:rPr>
          <w:rFonts w:ascii="Arial"/>
          <w:color w:val="231F20"/>
          <w:w w:val="115"/>
          <w:sz w:val="19"/>
        </w:rPr>
        <w:t>is</w:t>
      </w:r>
      <w:r>
        <w:rPr>
          <w:rFonts w:ascii="Arial"/>
          <w:color w:val="231F20"/>
          <w:spacing w:val="2"/>
          <w:w w:val="115"/>
          <w:sz w:val="19"/>
        </w:rPr>
        <w:t> </w:t>
      </w:r>
      <w:r>
        <w:rPr>
          <w:rFonts w:ascii="Arial"/>
          <w:color w:val="231F20"/>
          <w:w w:val="115"/>
          <w:sz w:val="19"/>
        </w:rPr>
        <w:t>the</w:t>
      </w:r>
      <w:r>
        <w:rPr>
          <w:rFonts w:ascii="Arial"/>
          <w:color w:val="231F20"/>
          <w:spacing w:val="2"/>
          <w:w w:val="115"/>
          <w:sz w:val="19"/>
        </w:rPr>
        <w:t> </w:t>
      </w:r>
      <w:r>
        <w:rPr>
          <w:rFonts w:ascii="Arial"/>
          <w:color w:val="231F20"/>
          <w:w w:val="115"/>
          <w:sz w:val="19"/>
        </w:rPr>
        <w:t>product</w:t>
      </w:r>
      <w:r>
        <w:rPr>
          <w:rFonts w:ascii="Arial"/>
          <w:color w:val="231F20"/>
          <w:spacing w:val="2"/>
          <w:w w:val="115"/>
          <w:sz w:val="19"/>
        </w:rPr>
        <w:t> </w:t>
      </w:r>
      <w:r>
        <w:rPr>
          <w:rFonts w:ascii="Arial"/>
          <w:color w:val="231F20"/>
          <w:w w:val="115"/>
          <w:sz w:val="19"/>
        </w:rPr>
        <w:t>in</w:t>
      </w:r>
      <w:r>
        <w:rPr>
          <w:rFonts w:ascii="Arial"/>
          <w:color w:val="231F20"/>
          <w:spacing w:val="2"/>
          <w:w w:val="115"/>
          <w:sz w:val="19"/>
        </w:rPr>
        <w:t> </w:t>
      </w:r>
      <w:r>
        <w:rPr>
          <w:rFonts w:ascii="Arial"/>
          <w:color w:val="231F20"/>
          <w:w w:val="115"/>
          <w:sz w:val="19"/>
        </w:rPr>
        <w:t>its</w:t>
      </w:r>
      <w:r>
        <w:rPr>
          <w:rFonts w:ascii="Arial"/>
          <w:color w:val="231F20"/>
          <w:spacing w:val="1"/>
          <w:w w:val="115"/>
          <w:sz w:val="19"/>
        </w:rPr>
        <w:t> </w:t>
      </w:r>
      <w:r>
        <w:rPr>
          <w:rFonts w:ascii="Arial"/>
          <w:i/>
          <w:color w:val="231F20"/>
          <w:w w:val="115"/>
          <w:sz w:val="19"/>
        </w:rPr>
        <w:t>product</w:t>
      </w:r>
      <w:r>
        <w:rPr>
          <w:rFonts w:ascii="Arial"/>
          <w:i/>
          <w:color w:val="231F20"/>
          <w:spacing w:val="1"/>
          <w:w w:val="115"/>
          <w:sz w:val="19"/>
        </w:rPr>
        <w:t> </w:t>
      </w:r>
      <w:r>
        <w:rPr>
          <w:rFonts w:ascii="Arial"/>
          <w:i/>
          <w:color w:val="231F20"/>
          <w:w w:val="115"/>
          <w:sz w:val="19"/>
        </w:rPr>
        <w:t>life</w:t>
      </w:r>
      <w:r>
        <w:rPr>
          <w:rFonts w:ascii="Arial"/>
          <w:i/>
          <w:color w:val="231F20"/>
          <w:spacing w:val="1"/>
          <w:w w:val="115"/>
          <w:sz w:val="19"/>
        </w:rPr>
        <w:t> </w:t>
      </w:r>
      <w:r>
        <w:rPr>
          <w:rFonts w:ascii="Arial"/>
          <w:i/>
          <w:color w:val="231F20"/>
          <w:spacing w:val="-2"/>
          <w:w w:val="115"/>
          <w:sz w:val="19"/>
        </w:rPr>
        <w:t>cycle</w:t>
      </w:r>
      <w:r>
        <w:rPr>
          <w:rFonts w:ascii="Arial"/>
          <w:color w:val="231F20"/>
          <w:spacing w:val="-2"/>
          <w:w w:val="115"/>
          <w:sz w:val="19"/>
        </w:rPr>
        <w:t>?</w:t>
      </w:r>
    </w:p>
    <w:p>
      <w:pPr>
        <w:spacing w:before="81"/>
        <w:ind w:left="1169" w:right="0" w:firstLine="0"/>
        <w:jc w:val="left"/>
        <w:rPr>
          <w:rFonts w:ascii="Arial"/>
          <w:sz w:val="19"/>
        </w:rPr>
      </w:pPr>
      <w:r>
        <w:rPr>
          <w:rFonts w:ascii="Arial"/>
          <w:color w:val="231F20"/>
          <w:w w:val="115"/>
          <w:sz w:val="19"/>
        </w:rPr>
        <w:t>What</w:t>
      </w:r>
      <w:r>
        <w:rPr>
          <w:rFonts w:ascii="Arial"/>
          <w:color w:val="231F20"/>
          <w:spacing w:val="-3"/>
          <w:w w:val="115"/>
          <w:sz w:val="19"/>
        </w:rPr>
        <w:t> </w:t>
      </w:r>
      <w:r>
        <w:rPr>
          <w:rFonts w:ascii="Arial"/>
          <w:color w:val="231F20"/>
          <w:w w:val="115"/>
          <w:sz w:val="19"/>
        </w:rPr>
        <w:t>are</w:t>
      </w:r>
      <w:r>
        <w:rPr>
          <w:rFonts w:ascii="Arial"/>
          <w:color w:val="231F20"/>
          <w:spacing w:val="-3"/>
          <w:w w:val="115"/>
          <w:sz w:val="19"/>
        </w:rPr>
        <w:t> </w:t>
      </w:r>
      <w:r>
        <w:rPr>
          <w:rFonts w:ascii="Arial"/>
          <w:color w:val="231F20"/>
          <w:w w:val="115"/>
          <w:sz w:val="19"/>
        </w:rPr>
        <w:t>the</w:t>
      </w:r>
      <w:r>
        <w:rPr>
          <w:rFonts w:ascii="Arial"/>
          <w:color w:val="231F20"/>
          <w:spacing w:val="-3"/>
          <w:w w:val="115"/>
          <w:sz w:val="19"/>
        </w:rPr>
        <w:t> </w:t>
      </w:r>
      <w:r>
        <w:rPr>
          <w:rFonts w:ascii="Arial"/>
          <w:i/>
          <w:color w:val="231F20"/>
          <w:w w:val="115"/>
          <w:sz w:val="19"/>
        </w:rPr>
        <w:t>key</w:t>
      </w:r>
      <w:r>
        <w:rPr>
          <w:rFonts w:ascii="Arial"/>
          <w:i/>
          <w:color w:val="231F20"/>
          <w:spacing w:val="-3"/>
          <w:w w:val="115"/>
          <w:sz w:val="19"/>
        </w:rPr>
        <w:t> </w:t>
      </w:r>
      <w:r>
        <w:rPr>
          <w:rFonts w:ascii="Arial"/>
          <w:i/>
          <w:color w:val="231F20"/>
          <w:w w:val="115"/>
          <w:sz w:val="19"/>
        </w:rPr>
        <w:t>competitive</w:t>
      </w:r>
      <w:r>
        <w:rPr>
          <w:rFonts w:ascii="Arial"/>
          <w:i/>
          <w:color w:val="231F20"/>
          <w:spacing w:val="-3"/>
          <w:w w:val="115"/>
          <w:sz w:val="19"/>
        </w:rPr>
        <w:t> </w:t>
      </w:r>
      <w:r>
        <w:rPr>
          <w:rFonts w:ascii="Arial"/>
          <w:i/>
          <w:color w:val="231F20"/>
          <w:w w:val="115"/>
          <w:sz w:val="19"/>
        </w:rPr>
        <w:t>factors</w:t>
      </w:r>
      <w:r>
        <w:rPr>
          <w:rFonts w:ascii="Arial"/>
          <w:i/>
          <w:color w:val="231F20"/>
          <w:spacing w:val="-3"/>
          <w:w w:val="115"/>
          <w:sz w:val="19"/>
        </w:rPr>
        <w:t> </w:t>
      </w:r>
      <w:r>
        <w:rPr>
          <w:rFonts w:ascii="Arial"/>
          <w:color w:val="231F20"/>
          <w:w w:val="115"/>
          <w:sz w:val="19"/>
        </w:rPr>
        <w:t>in</w:t>
      </w:r>
      <w:r>
        <w:rPr>
          <w:rFonts w:ascii="Arial"/>
          <w:color w:val="231F20"/>
          <w:spacing w:val="-3"/>
          <w:w w:val="115"/>
          <w:sz w:val="19"/>
        </w:rPr>
        <w:t> </w:t>
      </w:r>
      <w:r>
        <w:rPr>
          <w:rFonts w:ascii="Arial"/>
          <w:color w:val="231F20"/>
          <w:w w:val="115"/>
          <w:sz w:val="19"/>
        </w:rPr>
        <w:t>the</w:t>
      </w:r>
      <w:r>
        <w:rPr>
          <w:rFonts w:ascii="Arial"/>
          <w:color w:val="231F20"/>
          <w:spacing w:val="-2"/>
          <w:w w:val="115"/>
          <w:sz w:val="19"/>
        </w:rPr>
        <w:t> industry?</w:t>
      </w:r>
    </w:p>
    <w:p>
      <w:pPr>
        <w:pStyle w:val="BodyText"/>
        <w:rPr>
          <w:rFonts w:ascii="Arial"/>
          <w:sz w:val="20"/>
        </w:rPr>
      </w:pPr>
    </w:p>
    <w:p>
      <w:pPr>
        <w:spacing w:before="152"/>
        <w:ind w:left="1170" w:right="0" w:firstLine="0"/>
        <w:jc w:val="left"/>
        <w:rPr>
          <w:rFonts w:ascii="Arial"/>
          <w:i/>
          <w:sz w:val="19"/>
        </w:rPr>
      </w:pPr>
      <w:r>
        <w:rPr>
          <w:rFonts w:ascii="Arial"/>
          <w:i/>
          <w:color w:val="231F20"/>
          <w:w w:val="115"/>
          <w:sz w:val="19"/>
        </w:rPr>
        <w:t>What</w:t>
      </w:r>
      <w:r>
        <w:rPr>
          <w:rFonts w:ascii="Arial"/>
          <w:i/>
          <w:color w:val="231F20"/>
          <w:spacing w:val="-7"/>
          <w:w w:val="115"/>
          <w:sz w:val="19"/>
        </w:rPr>
        <w:t> </w:t>
      </w:r>
      <w:r>
        <w:rPr>
          <w:rFonts w:ascii="Arial"/>
          <w:i/>
          <w:color w:val="231F20"/>
          <w:w w:val="115"/>
          <w:sz w:val="19"/>
        </w:rPr>
        <w:t>is</w:t>
      </w:r>
      <w:r>
        <w:rPr>
          <w:rFonts w:ascii="Arial"/>
          <w:i/>
          <w:color w:val="231F20"/>
          <w:spacing w:val="-7"/>
          <w:w w:val="115"/>
          <w:sz w:val="19"/>
        </w:rPr>
        <w:t> </w:t>
      </w:r>
      <w:r>
        <w:rPr>
          <w:rFonts w:ascii="Arial"/>
          <w:i/>
          <w:color w:val="231F20"/>
          <w:w w:val="115"/>
          <w:sz w:val="19"/>
        </w:rPr>
        <w:t>the</w:t>
      </w:r>
      <w:r>
        <w:rPr>
          <w:rFonts w:ascii="Arial"/>
          <w:i/>
          <w:color w:val="231F20"/>
          <w:spacing w:val="-7"/>
          <w:w w:val="115"/>
          <w:sz w:val="19"/>
        </w:rPr>
        <w:t> </w:t>
      </w:r>
      <w:r>
        <w:rPr>
          <w:rFonts w:ascii="Arial"/>
          <w:i/>
          <w:color w:val="231F20"/>
          <w:w w:val="115"/>
          <w:sz w:val="19"/>
        </w:rPr>
        <w:t>relevant</w:t>
      </w:r>
      <w:r>
        <w:rPr>
          <w:rFonts w:ascii="Arial"/>
          <w:i/>
          <w:color w:val="231F20"/>
          <w:spacing w:val="-6"/>
          <w:w w:val="115"/>
          <w:sz w:val="19"/>
        </w:rPr>
        <w:t> </w:t>
      </w:r>
      <w:r>
        <w:rPr>
          <w:rFonts w:ascii="Arial"/>
          <w:i/>
          <w:color w:val="231F20"/>
          <w:spacing w:val="-2"/>
          <w:w w:val="115"/>
          <w:sz w:val="19"/>
        </w:rPr>
        <w:t>market?</w:t>
      </w:r>
    </w:p>
    <w:p>
      <w:pPr>
        <w:pStyle w:val="BodyText"/>
        <w:spacing w:line="292" w:lineRule="auto" w:before="60"/>
        <w:ind w:left="830" w:right="754" w:firstLine="339"/>
        <w:jc w:val="both"/>
      </w:pPr>
      <w:r>
        <w:rPr>
          <w:color w:val="231F20"/>
        </w:rPr>
        <w:t>The easiest mistake to make is to believe that your </w:t>
      </w:r>
      <w:r>
        <w:rPr>
          <w:i/>
          <w:color w:val="231F20"/>
        </w:rPr>
        <w:t>relevant </w:t>
      </w:r>
      <w:r>
        <w:rPr>
          <w:color w:val="231F20"/>
        </w:rPr>
        <w:t>mar- ket</w:t>
      </w:r>
      <w:r>
        <w:rPr>
          <w:color w:val="231F20"/>
          <w:spacing w:val="-3"/>
        </w:rPr>
        <w:t> </w:t>
      </w:r>
      <w:r>
        <w:rPr>
          <w:color w:val="231F20"/>
        </w:rPr>
        <w:t>includes</w:t>
      </w:r>
      <w:r>
        <w:rPr>
          <w:color w:val="231F20"/>
          <w:spacing w:val="-3"/>
        </w:rPr>
        <w:t> </w:t>
      </w:r>
      <w:r>
        <w:rPr>
          <w:color w:val="231F20"/>
        </w:rPr>
        <w:t>the</w:t>
      </w:r>
      <w:r>
        <w:rPr>
          <w:color w:val="231F20"/>
          <w:spacing w:val="-3"/>
        </w:rPr>
        <w:t> </w:t>
      </w:r>
      <w:r>
        <w:rPr>
          <w:color w:val="231F20"/>
        </w:rPr>
        <w:t>total</w:t>
      </w:r>
      <w:r>
        <w:rPr>
          <w:color w:val="231F20"/>
          <w:spacing w:val="-3"/>
        </w:rPr>
        <w:t> </w:t>
      </w:r>
      <w:r>
        <w:rPr>
          <w:color w:val="231F20"/>
        </w:rPr>
        <w:t>sales</w:t>
      </w:r>
      <w:r>
        <w:rPr>
          <w:color w:val="231F20"/>
          <w:spacing w:val="-3"/>
        </w:rPr>
        <w:t> </w:t>
      </w:r>
      <w:r>
        <w:rPr>
          <w:color w:val="231F20"/>
        </w:rPr>
        <w:t>of</w:t>
      </w:r>
      <w:r>
        <w:rPr>
          <w:color w:val="231F20"/>
          <w:spacing w:val="-3"/>
        </w:rPr>
        <w:t> </w:t>
      </w:r>
      <w:r>
        <w:rPr>
          <w:color w:val="231F20"/>
        </w:rPr>
        <w:t>your</w:t>
      </w:r>
      <w:r>
        <w:rPr>
          <w:color w:val="231F20"/>
          <w:spacing w:val="-3"/>
        </w:rPr>
        <w:t> </w:t>
      </w:r>
      <w:r>
        <w:rPr>
          <w:color w:val="231F20"/>
        </w:rPr>
        <w:t>product’s</w:t>
      </w:r>
      <w:r>
        <w:rPr>
          <w:color w:val="231F20"/>
          <w:spacing w:val="-3"/>
        </w:rPr>
        <w:t> </w:t>
      </w:r>
      <w:r>
        <w:rPr>
          <w:color w:val="231F20"/>
        </w:rPr>
        <w:t>category.</w:t>
      </w:r>
      <w:r>
        <w:rPr>
          <w:color w:val="231F20"/>
          <w:spacing w:val="-3"/>
        </w:rPr>
        <w:t> </w:t>
      </w:r>
      <w:r>
        <w:rPr>
          <w:color w:val="231F20"/>
        </w:rPr>
        <w:t>In</w:t>
      </w:r>
      <w:r>
        <w:rPr>
          <w:color w:val="231F20"/>
          <w:spacing w:val="-3"/>
        </w:rPr>
        <w:t> </w:t>
      </w:r>
      <w:r>
        <w:rPr>
          <w:color w:val="231F20"/>
        </w:rPr>
        <w:t>between</w:t>
      </w:r>
      <w:r>
        <w:rPr>
          <w:color w:val="231F20"/>
          <w:spacing w:val="-3"/>
        </w:rPr>
        <w:t> </w:t>
      </w:r>
      <w:r>
        <w:rPr>
          <w:color w:val="231F20"/>
        </w:rPr>
        <w:t>the </w:t>
      </w:r>
      <w:r>
        <w:rPr>
          <w:color w:val="231F20"/>
          <w:w w:val="105"/>
        </w:rPr>
        <w:t>first</w:t>
      </w:r>
      <w:r>
        <w:rPr>
          <w:color w:val="231F20"/>
          <w:spacing w:val="-6"/>
          <w:w w:val="105"/>
        </w:rPr>
        <w:t> </w:t>
      </w:r>
      <w:r>
        <w:rPr>
          <w:color w:val="231F20"/>
          <w:w w:val="105"/>
        </w:rPr>
        <w:t>and</w:t>
      </w:r>
      <w:r>
        <w:rPr>
          <w:color w:val="231F20"/>
          <w:spacing w:val="-6"/>
          <w:w w:val="105"/>
        </w:rPr>
        <w:t> </w:t>
      </w:r>
      <w:r>
        <w:rPr>
          <w:color w:val="231F20"/>
          <w:w w:val="105"/>
        </w:rPr>
        <w:t>second</w:t>
      </w:r>
      <w:r>
        <w:rPr>
          <w:color w:val="231F20"/>
          <w:spacing w:val="-6"/>
          <w:w w:val="105"/>
        </w:rPr>
        <w:t> </w:t>
      </w:r>
      <w:r>
        <w:rPr>
          <w:color w:val="231F20"/>
          <w:w w:val="105"/>
        </w:rPr>
        <w:t>years</w:t>
      </w:r>
      <w:r>
        <w:rPr>
          <w:color w:val="231F20"/>
          <w:spacing w:val="-6"/>
          <w:w w:val="105"/>
        </w:rPr>
        <w:t> </w:t>
      </w:r>
      <w:r>
        <w:rPr>
          <w:color w:val="231F20"/>
          <w:w w:val="105"/>
        </w:rPr>
        <w:t>of</w:t>
      </w:r>
      <w:r>
        <w:rPr>
          <w:color w:val="231F20"/>
          <w:spacing w:val="-6"/>
          <w:w w:val="105"/>
        </w:rPr>
        <w:t> </w:t>
      </w:r>
      <w:r>
        <w:rPr>
          <w:color w:val="231F20"/>
          <w:w w:val="105"/>
        </w:rPr>
        <w:t>my</w:t>
      </w:r>
      <w:r>
        <w:rPr>
          <w:color w:val="231F20"/>
          <w:spacing w:val="-6"/>
          <w:w w:val="105"/>
        </w:rPr>
        <w:t> </w:t>
      </w:r>
      <w:r>
        <w:rPr>
          <w:color w:val="231F20"/>
          <w:w w:val="105"/>
        </w:rPr>
        <w:t>MBA</w:t>
      </w:r>
      <w:r>
        <w:rPr>
          <w:color w:val="231F20"/>
          <w:spacing w:val="-6"/>
          <w:w w:val="105"/>
        </w:rPr>
        <w:t> </w:t>
      </w:r>
      <w:r>
        <w:rPr>
          <w:color w:val="231F20"/>
          <w:w w:val="105"/>
        </w:rPr>
        <w:t>education,</w:t>
      </w:r>
      <w:r>
        <w:rPr>
          <w:color w:val="231F20"/>
          <w:spacing w:val="-6"/>
          <w:w w:val="105"/>
        </w:rPr>
        <w:t> </w:t>
      </w:r>
      <w:r>
        <w:rPr>
          <w:color w:val="231F20"/>
          <w:w w:val="105"/>
        </w:rPr>
        <w:t>I</w:t>
      </w:r>
      <w:r>
        <w:rPr>
          <w:color w:val="231F20"/>
          <w:spacing w:val="-6"/>
          <w:w w:val="105"/>
        </w:rPr>
        <w:t> </w:t>
      </w:r>
      <w:r>
        <w:rPr>
          <w:color w:val="231F20"/>
          <w:w w:val="105"/>
        </w:rPr>
        <w:t>worked</w:t>
      </w:r>
      <w:r>
        <w:rPr>
          <w:color w:val="231F20"/>
          <w:spacing w:val="-6"/>
          <w:w w:val="105"/>
        </w:rPr>
        <w:t> </w:t>
      </w:r>
      <w:r>
        <w:rPr>
          <w:color w:val="231F20"/>
          <w:w w:val="105"/>
        </w:rPr>
        <w:t>for</w:t>
      </w:r>
      <w:r>
        <w:rPr>
          <w:color w:val="231F20"/>
          <w:spacing w:val="-6"/>
          <w:w w:val="105"/>
        </w:rPr>
        <w:t> </w:t>
      </w:r>
      <w:r>
        <w:rPr>
          <w:color w:val="231F20"/>
          <w:w w:val="105"/>
        </w:rPr>
        <w:t>an</w:t>
      </w:r>
      <w:r>
        <w:rPr>
          <w:color w:val="231F20"/>
          <w:spacing w:val="-6"/>
          <w:w w:val="105"/>
        </w:rPr>
        <w:t> </w:t>
      </w:r>
      <w:r>
        <w:rPr>
          <w:color w:val="231F20"/>
          <w:w w:val="105"/>
        </w:rPr>
        <w:t>inter- national</w:t>
      </w:r>
      <w:r>
        <w:rPr>
          <w:color w:val="231F20"/>
          <w:spacing w:val="-6"/>
          <w:w w:val="105"/>
        </w:rPr>
        <w:t> </w:t>
      </w:r>
      <w:r>
        <w:rPr>
          <w:color w:val="231F20"/>
          <w:w w:val="105"/>
        </w:rPr>
        <w:t>trading</w:t>
      </w:r>
      <w:r>
        <w:rPr>
          <w:color w:val="231F20"/>
          <w:spacing w:val="-6"/>
          <w:w w:val="105"/>
        </w:rPr>
        <w:t> </w:t>
      </w:r>
      <w:r>
        <w:rPr>
          <w:color w:val="231F20"/>
          <w:w w:val="105"/>
        </w:rPr>
        <w:t>company.</w:t>
      </w:r>
      <w:r>
        <w:rPr>
          <w:color w:val="231F20"/>
          <w:spacing w:val="-6"/>
          <w:w w:val="105"/>
        </w:rPr>
        <w:t> </w:t>
      </w:r>
      <w:r>
        <w:rPr>
          <w:color w:val="231F20"/>
          <w:w w:val="105"/>
        </w:rPr>
        <w:t>I</w:t>
      </w:r>
      <w:r>
        <w:rPr>
          <w:color w:val="231F20"/>
          <w:spacing w:val="-6"/>
          <w:w w:val="105"/>
        </w:rPr>
        <w:t> </w:t>
      </w:r>
      <w:r>
        <w:rPr>
          <w:color w:val="231F20"/>
          <w:w w:val="105"/>
        </w:rPr>
        <w:t>investigated</w:t>
      </w:r>
      <w:r>
        <w:rPr>
          <w:color w:val="231F20"/>
          <w:spacing w:val="-6"/>
          <w:w w:val="105"/>
        </w:rPr>
        <w:t> </w:t>
      </w:r>
      <w:r>
        <w:rPr>
          <w:color w:val="231F20"/>
          <w:w w:val="105"/>
        </w:rPr>
        <w:t>the</w:t>
      </w:r>
      <w:r>
        <w:rPr>
          <w:color w:val="231F20"/>
          <w:spacing w:val="-6"/>
          <w:w w:val="105"/>
        </w:rPr>
        <w:t> </w:t>
      </w:r>
      <w:r>
        <w:rPr>
          <w:color w:val="231F20"/>
          <w:w w:val="105"/>
        </w:rPr>
        <w:t>possibility</w:t>
      </w:r>
      <w:r>
        <w:rPr>
          <w:color w:val="231F20"/>
          <w:spacing w:val="-6"/>
          <w:w w:val="105"/>
        </w:rPr>
        <w:t> </w:t>
      </w:r>
      <w:r>
        <w:rPr>
          <w:color w:val="231F20"/>
          <w:w w:val="105"/>
        </w:rPr>
        <w:t>of</w:t>
      </w:r>
      <w:r>
        <w:rPr>
          <w:color w:val="231F20"/>
          <w:spacing w:val="-6"/>
          <w:w w:val="105"/>
        </w:rPr>
        <w:t> </w:t>
      </w:r>
      <w:r>
        <w:rPr>
          <w:color w:val="231F20"/>
          <w:w w:val="105"/>
        </w:rPr>
        <w:t>selling</w:t>
      </w:r>
      <w:r>
        <w:rPr>
          <w:color w:val="231F20"/>
          <w:spacing w:val="-6"/>
          <w:w w:val="105"/>
        </w:rPr>
        <w:t> </w:t>
      </w:r>
      <w:r>
        <w:rPr>
          <w:color w:val="231F20"/>
          <w:w w:val="105"/>
        </w:rPr>
        <w:t>a Mexican</w:t>
      </w:r>
      <w:r>
        <w:rPr>
          <w:color w:val="231F20"/>
          <w:w w:val="105"/>
        </w:rPr>
        <w:t> gourmet</w:t>
      </w:r>
      <w:r>
        <w:rPr>
          <w:color w:val="231F20"/>
          <w:w w:val="105"/>
        </w:rPr>
        <w:t> ground</w:t>
      </w:r>
      <w:r>
        <w:rPr>
          <w:color w:val="231F20"/>
          <w:w w:val="105"/>
        </w:rPr>
        <w:t> coffee</w:t>
      </w:r>
      <w:r>
        <w:rPr>
          <w:color w:val="231F20"/>
          <w:w w:val="105"/>
        </w:rPr>
        <w:t> in</w:t>
      </w:r>
      <w:r>
        <w:rPr>
          <w:color w:val="231F20"/>
          <w:w w:val="105"/>
        </w:rPr>
        <w:t> U.S.</w:t>
      </w:r>
      <w:r>
        <w:rPr>
          <w:color w:val="231F20"/>
          <w:w w:val="105"/>
        </w:rPr>
        <w:t> grocery</w:t>
      </w:r>
      <w:r>
        <w:rPr>
          <w:color w:val="231F20"/>
          <w:w w:val="105"/>
        </w:rPr>
        <w:t> stores.</w:t>
      </w:r>
      <w:r>
        <w:rPr>
          <w:color w:val="231F20"/>
          <w:w w:val="105"/>
        </w:rPr>
        <w:t> It</w:t>
      </w:r>
      <w:r>
        <w:rPr>
          <w:color w:val="231F20"/>
          <w:w w:val="105"/>
        </w:rPr>
        <w:t> would have</w:t>
      </w:r>
      <w:r>
        <w:rPr>
          <w:color w:val="231F20"/>
          <w:spacing w:val="-9"/>
          <w:w w:val="105"/>
        </w:rPr>
        <w:t> </w:t>
      </w:r>
      <w:r>
        <w:rPr>
          <w:color w:val="231F20"/>
          <w:w w:val="105"/>
        </w:rPr>
        <w:t>been</w:t>
      </w:r>
      <w:r>
        <w:rPr>
          <w:color w:val="231F20"/>
          <w:spacing w:val="-9"/>
          <w:w w:val="105"/>
        </w:rPr>
        <w:t> </w:t>
      </w:r>
      <w:r>
        <w:rPr>
          <w:color w:val="231F20"/>
          <w:w w:val="105"/>
        </w:rPr>
        <w:t>misleading</w:t>
      </w:r>
      <w:r>
        <w:rPr>
          <w:color w:val="231F20"/>
          <w:spacing w:val="-9"/>
          <w:w w:val="105"/>
        </w:rPr>
        <w:t> </w:t>
      </w:r>
      <w:r>
        <w:rPr>
          <w:color w:val="231F20"/>
          <w:w w:val="105"/>
        </w:rPr>
        <w:t>for</w:t>
      </w:r>
      <w:r>
        <w:rPr>
          <w:color w:val="231F20"/>
          <w:spacing w:val="-9"/>
          <w:w w:val="105"/>
        </w:rPr>
        <w:t> </w:t>
      </w:r>
      <w:r>
        <w:rPr>
          <w:color w:val="231F20"/>
          <w:w w:val="105"/>
        </w:rPr>
        <w:t>me</w:t>
      </w:r>
      <w:r>
        <w:rPr>
          <w:color w:val="231F20"/>
          <w:spacing w:val="-9"/>
          <w:w w:val="105"/>
        </w:rPr>
        <w:t> </w:t>
      </w:r>
      <w:r>
        <w:rPr>
          <w:color w:val="231F20"/>
          <w:w w:val="105"/>
        </w:rPr>
        <w:t>to</w:t>
      </w:r>
      <w:r>
        <w:rPr>
          <w:color w:val="231F20"/>
          <w:spacing w:val="-9"/>
          <w:w w:val="105"/>
        </w:rPr>
        <w:t> </w:t>
      </w:r>
      <w:r>
        <w:rPr>
          <w:color w:val="231F20"/>
          <w:w w:val="105"/>
        </w:rPr>
        <w:t>assume</w:t>
      </w:r>
      <w:r>
        <w:rPr>
          <w:color w:val="231F20"/>
          <w:spacing w:val="-9"/>
          <w:w w:val="105"/>
        </w:rPr>
        <w:t> </w:t>
      </w:r>
      <w:r>
        <w:rPr>
          <w:color w:val="231F20"/>
          <w:w w:val="105"/>
        </w:rPr>
        <w:t>that</w:t>
      </w:r>
      <w:r>
        <w:rPr>
          <w:color w:val="231F20"/>
          <w:spacing w:val="-9"/>
          <w:w w:val="105"/>
        </w:rPr>
        <w:t> </w:t>
      </w:r>
      <w:r>
        <w:rPr>
          <w:color w:val="231F20"/>
          <w:w w:val="105"/>
        </w:rPr>
        <w:t>all</w:t>
      </w:r>
      <w:r>
        <w:rPr>
          <w:color w:val="231F20"/>
          <w:spacing w:val="-9"/>
          <w:w w:val="105"/>
        </w:rPr>
        <w:t> </w:t>
      </w:r>
      <w:r>
        <w:rPr>
          <w:color w:val="231F20"/>
          <w:w w:val="105"/>
        </w:rPr>
        <w:t>coffee</w:t>
      </w:r>
      <w:r>
        <w:rPr>
          <w:color w:val="231F20"/>
          <w:spacing w:val="-9"/>
          <w:w w:val="105"/>
        </w:rPr>
        <w:t> </w:t>
      </w:r>
      <w:r>
        <w:rPr>
          <w:color w:val="231F20"/>
          <w:w w:val="105"/>
        </w:rPr>
        <w:t>sales</w:t>
      </w:r>
      <w:r>
        <w:rPr>
          <w:color w:val="231F20"/>
          <w:spacing w:val="-9"/>
          <w:w w:val="105"/>
        </w:rPr>
        <w:t> </w:t>
      </w:r>
      <w:r>
        <w:rPr>
          <w:color w:val="231F20"/>
          <w:w w:val="105"/>
        </w:rPr>
        <w:t>were</w:t>
      </w:r>
      <w:r>
        <w:rPr>
          <w:color w:val="231F20"/>
          <w:spacing w:val="-9"/>
          <w:w w:val="105"/>
        </w:rPr>
        <w:t> </w:t>
      </w:r>
      <w:r>
        <w:rPr>
          <w:color w:val="231F20"/>
          <w:w w:val="105"/>
        </w:rPr>
        <w:t>in my</w:t>
      </w:r>
      <w:r>
        <w:rPr>
          <w:color w:val="231F20"/>
          <w:spacing w:val="-13"/>
          <w:w w:val="105"/>
        </w:rPr>
        <w:t> </w:t>
      </w:r>
      <w:r>
        <w:rPr>
          <w:color w:val="231F20"/>
          <w:w w:val="105"/>
        </w:rPr>
        <w:t>relevant</w:t>
      </w:r>
      <w:r>
        <w:rPr>
          <w:color w:val="231F20"/>
          <w:spacing w:val="-12"/>
          <w:w w:val="105"/>
        </w:rPr>
        <w:t> </w:t>
      </w:r>
      <w:r>
        <w:rPr>
          <w:color w:val="231F20"/>
          <w:w w:val="105"/>
        </w:rPr>
        <w:t>target</w:t>
      </w:r>
      <w:r>
        <w:rPr>
          <w:color w:val="231F20"/>
          <w:spacing w:val="-12"/>
          <w:w w:val="105"/>
        </w:rPr>
        <w:t> </w:t>
      </w:r>
      <w:r>
        <w:rPr>
          <w:color w:val="231F20"/>
          <w:w w:val="105"/>
        </w:rPr>
        <w:t>market.</w:t>
      </w:r>
      <w:r>
        <w:rPr>
          <w:color w:val="231F20"/>
          <w:spacing w:val="-12"/>
          <w:w w:val="105"/>
        </w:rPr>
        <w:t> </w:t>
      </w:r>
      <w:r>
        <w:rPr>
          <w:color w:val="231F20"/>
          <w:w w:val="105"/>
        </w:rPr>
        <w:t>Approximately</w:t>
      </w:r>
      <w:r>
        <w:rPr>
          <w:color w:val="231F20"/>
          <w:spacing w:val="-12"/>
          <w:w w:val="105"/>
        </w:rPr>
        <w:t> </w:t>
      </w:r>
      <w:r>
        <w:rPr>
          <w:color w:val="231F20"/>
          <w:w w:val="105"/>
        </w:rPr>
        <w:t>$11</w:t>
      </w:r>
      <w:r>
        <w:rPr>
          <w:color w:val="231F20"/>
          <w:spacing w:val="-12"/>
          <w:w w:val="105"/>
        </w:rPr>
        <w:t> </w:t>
      </w:r>
      <w:r>
        <w:rPr>
          <w:color w:val="231F20"/>
          <w:w w:val="105"/>
        </w:rPr>
        <w:t>billion</w:t>
      </w:r>
      <w:r>
        <w:rPr>
          <w:color w:val="231F20"/>
          <w:spacing w:val="-12"/>
          <w:w w:val="105"/>
        </w:rPr>
        <w:t> </w:t>
      </w:r>
      <w:r>
        <w:rPr>
          <w:color w:val="231F20"/>
          <w:w w:val="105"/>
        </w:rPr>
        <w:t>of</w:t>
      </w:r>
      <w:r>
        <w:rPr>
          <w:color w:val="231F20"/>
          <w:spacing w:val="-13"/>
          <w:w w:val="105"/>
        </w:rPr>
        <w:t> </w:t>
      </w:r>
      <w:r>
        <w:rPr>
          <w:color w:val="231F20"/>
          <w:w w:val="105"/>
        </w:rPr>
        <w:t>coffee</w:t>
      </w:r>
      <w:r>
        <w:rPr>
          <w:color w:val="231F20"/>
          <w:spacing w:val="-12"/>
          <w:w w:val="105"/>
        </w:rPr>
        <w:t> </w:t>
      </w:r>
      <w:r>
        <w:rPr>
          <w:color w:val="231F20"/>
          <w:w w:val="105"/>
        </w:rPr>
        <w:t>was sold</w:t>
      </w:r>
      <w:r>
        <w:rPr>
          <w:color w:val="231F20"/>
          <w:spacing w:val="-7"/>
          <w:w w:val="105"/>
        </w:rPr>
        <w:t> </w:t>
      </w:r>
      <w:r>
        <w:rPr>
          <w:color w:val="231F20"/>
          <w:w w:val="105"/>
        </w:rPr>
        <w:t>in</w:t>
      </w:r>
      <w:r>
        <w:rPr>
          <w:color w:val="231F20"/>
          <w:spacing w:val="-7"/>
          <w:w w:val="105"/>
        </w:rPr>
        <w:t> </w:t>
      </w:r>
      <w:r>
        <w:rPr>
          <w:color w:val="231F20"/>
          <w:w w:val="105"/>
        </w:rPr>
        <w:t>the</w:t>
      </w:r>
      <w:r>
        <w:rPr>
          <w:color w:val="231F20"/>
          <w:spacing w:val="-7"/>
          <w:w w:val="105"/>
        </w:rPr>
        <w:t> </w:t>
      </w:r>
      <w:r>
        <w:rPr>
          <w:color w:val="231F20"/>
          <w:w w:val="105"/>
        </w:rPr>
        <w:t>United</w:t>
      </w:r>
      <w:r>
        <w:rPr>
          <w:color w:val="231F20"/>
          <w:spacing w:val="-7"/>
          <w:w w:val="105"/>
        </w:rPr>
        <w:t> </w:t>
      </w:r>
      <w:r>
        <w:rPr>
          <w:color w:val="231F20"/>
          <w:w w:val="105"/>
        </w:rPr>
        <w:t>States</w:t>
      </w:r>
      <w:r>
        <w:rPr>
          <w:color w:val="231F20"/>
          <w:spacing w:val="-7"/>
          <w:w w:val="105"/>
        </w:rPr>
        <w:t> </w:t>
      </w:r>
      <w:r>
        <w:rPr>
          <w:color w:val="231F20"/>
          <w:w w:val="105"/>
        </w:rPr>
        <w:t>in</w:t>
      </w:r>
      <w:r>
        <w:rPr>
          <w:color w:val="231F20"/>
          <w:spacing w:val="-7"/>
          <w:w w:val="105"/>
        </w:rPr>
        <w:t> </w:t>
      </w:r>
      <w:r>
        <w:rPr>
          <w:color w:val="231F20"/>
          <w:w w:val="105"/>
        </w:rPr>
        <w:t>1990.</w:t>
      </w:r>
      <w:r>
        <w:rPr>
          <w:color w:val="231F20"/>
          <w:spacing w:val="-7"/>
          <w:w w:val="105"/>
        </w:rPr>
        <w:t> </w:t>
      </w:r>
      <w:r>
        <w:rPr>
          <w:color w:val="231F20"/>
          <w:w w:val="105"/>
        </w:rPr>
        <w:t>However,</w:t>
      </w:r>
      <w:r>
        <w:rPr>
          <w:color w:val="231F20"/>
          <w:spacing w:val="-7"/>
          <w:w w:val="105"/>
        </w:rPr>
        <w:t> </w:t>
      </w:r>
      <w:r>
        <w:rPr>
          <w:color w:val="231F20"/>
          <w:w w:val="105"/>
        </w:rPr>
        <w:t>60</w:t>
      </w:r>
      <w:r>
        <w:rPr>
          <w:color w:val="231F20"/>
          <w:spacing w:val="-7"/>
          <w:w w:val="105"/>
        </w:rPr>
        <w:t> </w:t>
      </w:r>
      <w:r>
        <w:rPr>
          <w:color w:val="231F20"/>
          <w:w w:val="105"/>
        </w:rPr>
        <w:t>percent</w:t>
      </w:r>
      <w:r>
        <w:rPr>
          <w:color w:val="231F20"/>
          <w:spacing w:val="-7"/>
          <w:w w:val="105"/>
        </w:rPr>
        <w:t> </w:t>
      </w:r>
      <w:r>
        <w:rPr>
          <w:color w:val="231F20"/>
          <w:w w:val="105"/>
        </w:rPr>
        <w:t>of</w:t>
      </w:r>
      <w:r>
        <w:rPr>
          <w:color w:val="231F20"/>
          <w:spacing w:val="-7"/>
          <w:w w:val="105"/>
        </w:rPr>
        <w:t> </w:t>
      </w:r>
      <w:r>
        <w:rPr>
          <w:color w:val="231F20"/>
          <w:w w:val="105"/>
        </w:rPr>
        <w:t>that</w:t>
      </w:r>
      <w:r>
        <w:rPr>
          <w:color w:val="231F20"/>
          <w:spacing w:val="-7"/>
          <w:w w:val="105"/>
        </w:rPr>
        <w:t> </w:t>
      </w:r>
      <w:r>
        <w:rPr>
          <w:color w:val="231F20"/>
          <w:w w:val="105"/>
        </w:rPr>
        <w:t>total </w:t>
      </w:r>
      <w:r>
        <w:rPr>
          <w:color w:val="231F20"/>
        </w:rPr>
        <w:t>was sold in stores, while the other 40 percent was sold to the institu- </w:t>
      </w:r>
      <w:r>
        <w:rPr>
          <w:color w:val="231F20"/>
          <w:w w:val="105"/>
        </w:rPr>
        <w:t>tional</w:t>
      </w:r>
      <w:r>
        <w:rPr>
          <w:color w:val="231F20"/>
          <w:w w:val="105"/>
        </w:rPr>
        <w:t> markets,</w:t>
      </w:r>
      <w:r>
        <w:rPr>
          <w:color w:val="231F20"/>
          <w:w w:val="105"/>
        </w:rPr>
        <w:t> including</w:t>
      </w:r>
      <w:r>
        <w:rPr>
          <w:color w:val="231F20"/>
          <w:w w:val="105"/>
        </w:rPr>
        <w:t> restaurants</w:t>
      </w:r>
      <w:r>
        <w:rPr>
          <w:color w:val="231F20"/>
          <w:w w:val="105"/>
        </w:rPr>
        <w:t> and</w:t>
      </w:r>
      <w:r>
        <w:rPr>
          <w:color w:val="231F20"/>
          <w:w w:val="105"/>
        </w:rPr>
        <w:t> vending</w:t>
      </w:r>
      <w:r>
        <w:rPr>
          <w:color w:val="231F20"/>
          <w:w w:val="105"/>
        </w:rPr>
        <w:t> machines.</w:t>
      </w:r>
      <w:r>
        <w:rPr>
          <w:color w:val="231F20"/>
          <w:w w:val="105"/>
        </w:rPr>
        <w:t> That left me with a retail market of $6.6 billion.</w:t>
      </w:r>
    </w:p>
    <w:p>
      <w:pPr>
        <w:pStyle w:val="BodyText"/>
        <w:spacing w:line="292" w:lineRule="auto"/>
        <w:ind w:left="830" w:right="753" w:firstLine="340"/>
        <w:jc w:val="both"/>
      </w:pPr>
      <w:r>
        <w:rPr>
          <w:color w:val="231F20"/>
        </w:rPr>
        <w:t>But within that larger coffee market there were additional sub- markets to investigate before arriving at my final relevant market. The gourmet coffee market accounted for $750 million, or 11 </w:t>
      </w:r>
      <w:r>
        <w:rPr>
          <w:color w:val="231F20"/>
        </w:rPr>
        <w:t>per- cent of the retail market’s sales. Within the gourmet coffee market, only 60 percent of the coffees sold had no artificial flavorings. My Mexican coffee had no additives and the producer refused to artificially flavor his coffee. Therefore, my relevant market was fur- ther reduced to $450 million. But of that market slice, only 55 per- cent was sold in supermarkets. That left me with a $248 million market. </w:t>
      </w:r>
      <w:r>
        <w:rPr>
          <w:i/>
          <w:color w:val="231F20"/>
        </w:rPr>
        <w:t>That </w:t>
      </w:r>
      <w:r>
        <w:rPr>
          <w:color w:val="231F20"/>
        </w:rPr>
        <w:t>was my relevant market.</w:t>
      </w:r>
    </w:p>
    <w:p>
      <w:pPr>
        <w:pStyle w:val="BodyText"/>
        <w:spacing w:line="292" w:lineRule="auto"/>
        <w:ind w:left="830" w:right="755" w:firstLine="340"/>
        <w:jc w:val="both"/>
      </w:pPr>
      <w:r>
        <w:rPr>
          <w:color w:val="231F20"/>
        </w:rPr>
        <w:t>Once a market segment is identified, you have to ask if it is large and accessible enough to justify your marketing effort. If the </w:t>
      </w:r>
      <w:r>
        <w:rPr>
          <w:color w:val="231F20"/>
        </w:rPr>
        <w:t>answer to that question is no, then you have what is called a “makable” product, but not a “marketable” one. Only marketable products</w:t>
      </w:r>
      <w:r>
        <w:rPr>
          <w:color w:val="231F20"/>
          <w:spacing w:val="80"/>
          <w:w w:val="150"/>
        </w:rPr>
        <w:t> </w:t>
      </w:r>
      <w:r>
        <w:rPr>
          <w:color w:val="231F20"/>
        </w:rPr>
        <w:t>make money.</w:t>
      </w:r>
    </w:p>
    <w:p>
      <w:pPr>
        <w:pStyle w:val="BodyText"/>
        <w:spacing w:line="292" w:lineRule="auto"/>
        <w:ind w:left="830" w:right="756" w:firstLine="340"/>
        <w:jc w:val="both"/>
      </w:pPr>
      <w:r>
        <w:rPr>
          <w:color w:val="231F20"/>
        </w:rPr>
        <w:t>These</w:t>
      </w:r>
      <w:r>
        <w:rPr>
          <w:color w:val="231F20"/>
          <w:spacing w:val="-1"/>
        </w:rPr>
        <w:t> </w:t>
      </w:r>
      <w:r>
        <w:rPr>
          <w:color w:val="231F20"/>
        </w:rPr>
        <w:t>questions</w:t>
      </w:r>
      <w:r>
        <w:rPr>
          <w:color w:val="231F20"/>
          <w:spacing w:val="-1"/>
        </w:rPr>
        <w:t> </w:t>
      </w:r>
      <w:r>
        <w:rPr>
          <w:color w:val="231F20"/>
        </w:rPr>
        <w:t>are</w:t>
      </w:r>
      <w:r>
        <w:rPr>
          <w:color w:val="231F20"/>
          <w:spacing w:val="-1"/>
        </w:rPr>
        <w:t> </w:t>
      </w:r>
      <w:r>
        <w:rPr>
          <w:color w:val="231F20"/>
        </w:rPr>
        <w:t>difficult</w:t>
      </w:r>
      <w:r>
        <w:rPr>
          <w:color w:val="231F20"/>
          <w:spacing w:val="-1"/>
        </w:rPr>
        <w:t> </w:t>
      </w:r>
      <w:r>
        <w:rPr>
          <w:color w:val="231F20"/>
        </w:rPr>
        <w:t>to</w:t>
      </w:r>
      <w:r>
        <w:rPr>
          <w:color w:val="231F20"/>
          <w:spacing w:val="-1"/>
        </w:rPr>
        <w:t> </w:t>
      </w:r>
      <w:r>
        <w:rPr>
          <w:color w:val="231F20"/>
        </w:rPr>
        <w:t>answer</w:t>
      </w:r>
      <w:r>
        <w:rPr>
          <w:color w:val="231F20"/>
          <w:spacing w:val="-1"/>
        </w:rPr>
        <w:t> </w:t>
      </w:r>
      <w:r>
        <w:rPr>
          <w:color w:val="231F20"/>
        </w:rPr>
        <w:t>and</w:t>
      </w:r>
      <w:r>
        <w:rPr>
          <w:color w:val="231F20"/>
          <w:spacing w:val="-1"/>
        </w:rPr>
        <w:t> </w:t>
      </w:r>
      <w:r>
        <w:rPr>
          <w:color w:val="231F20"/>
        </w:rPr>
        <w:t>involve</w:t>
      </w:r>
      <w:r>
        <w:rPr>
          <w:color w:val="231F20"/>
          <w:spacing w:val="-1"/>
        </w:rPr>
        <w:t> </w:t>
      </w:r>
      <w:r>
        <w:rPr>
          <w:color w:val="231F20"/>
        </w:rPr>
        <w:t>marketing</w:t>
      </w:r>
      <w:r>
        <w:rPr>
          <w:color w:val="231F20"/>
          <w:spacing w:val="-1"/>
        </w:rPr>
        <w:t> </w:t>
      </w:r>
      <w:r>
        <w:rPr>
          <w:color w:val="231F20"/>
        </w:rPr>
        <w:t>re- search. If it is a new product, the answers will not be readily </w:t>
      </w:r>
      <w:r>
        <w:rPr>
          <w:color w:val="231F20"/>
        </w:rPr>
        <w:t>avail- able. Test markets may have to be used to obtain that information. This step may lead to further segment investigation.</w:t>
      </w:r>
    </w:p>
    <w:p>
      <w:pPr>
        <w:pStyle w:val="BodyText"/>
        <w:spacing w:line="245" w:lineRule="exact"/>
        <w:ind w:left="1170"/>
        <w:jc w:val="both"/>
      </w:pPr>
      <w:r>
        <w:rPr>
          <w:color w:val="231F20"/>
        </w:rPr>
        <w:t>The</w:t>
      </w:r>
      <w:r>
        <w:rPr>
          <w:color w:val="231F20"/>
          <w:spacing w:val="21"/>
        </w:rPr>
        <w:t> </w:t>
      </w:r>
      <w:r>
        <w:rPr>
          <w:color w:val="231F20"/>
        </w:rPr>
        <w:t>growth</w:t>
      </w:r>
      <w:r>
        <w:rPr>
          <w:color w:val="231F20"/>
          <w:spacing w:val="22"/>
        </w:rPr>
        <w:t> </w:t>
      </w:r>
      <w:r>
        <w:rPr>
          <w:color w:val="231F20"/>
        </w:rPr>
        <w:t>and</w:t>
      </w:r>
      <w:r>
        <w:rPr>
          <w:color w:val="231F20"/>
          <w:spacing w:val="22"/>
        </w:rPr>
        <w:t> </w:t>
      </w:r>
      <w:r>
        <w:rPr>
          <w:color w:val="231F20"/>
        </w:rPr>
        <w:t>decline</w:t>
      </w:r>
      <w:r>
        <w:rPr>
          <w:color w:val="231F20"/>
          <w:spacing w:val="22"/>
        </w:rPr>
        <w:t> </w:t>
      </w:r>
      <w:r>
        <w:rPr>
          <w:color w:val="231F20"/>
        </w:rPr>
        <w:t>of</w:t>
      </w:r>
      <w:r>
        <w:rPr>
          <w:color w:val="231F20"/>
          <w:spacing w:val="22"/>
        </w:rPr>
        <w:t> </w:t>
      </w:r>
      <w:r>
        <w:rPr>
          <w:color w:val="231F20"/>
        </w:rPr>
        <w:t>consumer</w:t>
      </w:r>
      <w:r>
        <w:rPr>
          <w:color w:val="231F20"/>
          <w:spacing w:val="22"/>
        </w:rPr>
        <w:t> </w:t>
      </w:r>
      <w:r>
        <w:rPr>
          <w:color w:val="231F20"/>
        </w:rPr>
        <w:t>segments</w:t>
      </w:r>
      <w:r>
        <w:rPr>
          <w:color w:val="231F20"/>
          <w:spacing w:val="22"/>
        </w:rPr>
        <w:t> </w:t>
      </w:r>
      <w:r>
        <w:rPr>
          <w:color w:val="231F20"/>
        </w:rPr>
        <w:t>within</w:t>
      </w:r>
      <w:r>
        <w:rPr>
          <w:color w:val="231F20"/>
          <w:spacing w:val="22"/>
        </w:rPr>
        <w:t> </w:t>
      </w:r>
      <w:r>
        <w:rPr>
          <w:color w:val="231F20"/>
        </w:rPr>
        <w:t>a</w:t>
      </w:r>
      <w:r>
        <w:rPr>
          <w:color w:val="231F20"/>
          <w:spacing w:val="22"/>
        </w:rPr>
        <w:t> </w:t>
      </w:r>
      <w:r>
        <w:rPr>
          <w:color w:val="231F20"/>
          <w:spacing w:val="-2"/>
        </w:rPr>
        <w:t>market</w:t>
      </w:r>
    </w:p>
    <w:p>
      <w:pPr>
        <w:spacing w:after="0" w:line="245" w:lineRule="exact"/>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3"/>
        <w:jc w:val="both"/>
      </w:pPr>
      <w:r>
        <w:rPr>
          <w:color w:val="231F20"/>
        </w:rPr>
        <w:t>should also be noted. When the market is growing, future sales growth can come from new users or existing customers. If the pie is shrinking, any sales growth has to come out of your competitors’ hide, and they’ll fight you for market share! Following the demo- graphic trends to attract a growing senior citizen market, Lederle Laboratory, the manufacturer of Centrum vitamins, made a </w:t>
      </w:r>
      <w:r>
        <w:rPr>
          <w:color w:val="231F20"/>
        </w:rPr>
        <w:t>minor reformulation and successfully introduced its “Silver” formula.</w:t>
      </w:r>
    </w:p>
    <w:p>
      <w:pPr>
        <w:pStyle w:val="BodyText"/>
        <w:spacing w:before="2"/>
        <w:rPr>
          <w:sz w:val="27"/>
        </w:rPr>
      </w:pPr>
    </w:p>
    <w:p>
      <w:pPr>
        <w:spacing w:before="0"/>
        <w:ind w:left="1260" w:right="0" w:firstLine="0"/>
        <w:jc w:val="left"/>
        <w:rPr>
          <w:rFonts w:ascii="Arial"/>
          <w:i/>
          <w:sz w:val="19"/>
        </w:rPr>
      </w:pPr>
      <w:r>
        <w:rPr>
          <w:rFonts w:ascii="Arial"/>
          <w:i/>
          <w:color w:val="231F20"/>
          <w:w w:val="120"/>
          <w:sz w:val="19"/>
        </w:rPr>
        <w:t>Where</w:t>
      </w:r>
      <w:r>
        <w:rPr>
          <w:rFonts w:ascii="Arial"/>
          <w:i/>
          <w:color w:val="231F20"/>
          <w:spacing w:val="-16"/>
          <w:w w:val="120"/>
          <w:sz w:val="19"/>
        </w:rPr>
        <w:t> </w:t>
      </w:r>
      <w:r>
        <w:rPr>
          <w:rFonts w:ascii="Arial"/>
          <w:i/>
          <w:color w:val="231F20"/>
          <w:w w:val="120"/>
          <w:sz w:val="19"/>
        </w:rPr>
        <w:t>is</w:t>
      </w:r>
      <w:r>
        <w:rPr>
          <w:rFonts w:ascii="Arial"/>
          <w:i/>
          <w:color w:val="231F20"/>
          <w:spacing w:val="-16"/>
          <w:w w:val="120"/>
          <w:sz w:val="19"/>
        </w:rPr>
        <w:t> </w:t>
      </w:r>
      <w:r>
        <w:rPr>
          <w:rFonts w:ascii="Arial"/>
          <w:i/>
          <w:color w:val="231F20"/>
          <w:w w:val="120"/>
          <w:sz w:val="19"/>
        </w:rPr>
        <w:t>the</w:t>
      </w:r>
      <w:r>
        <w:rPr>
          <w:rFonts w:ascii="Arial"/>
          <w:i/>
          <w:color w:val="231F20"/>
          <w:spacing w:val="-15"/>
          <w:w w:val="120"/>
          <w:sz w:val="19"/>
        </w:rPr>
        <w:t> </w:t>
      </w:r>
      <w:r>
        <w:rPr>
          <w:rFonts w:ascii="Arial"/>
          <w:i/>
          <w:color w:val="231F20"/>
          <w:w w:val="120"/>
          <w:sz w:val="19"/>
        </w:rPr>
        <w:t>product</w:t>
      </w:r>
      <w:r>
        <w:rPr>
          <w:rFonts w:ascii="Arial"/>
          <w:i/>
          <w:color w:val="231F20"/>
          <w:spacing w:val="-16"/>
          <w:w w:val="120"/>
          <w:sz w:val="19"/>
        </w:rPr>
        <w:t> </w:t>
      </w:r>
      <w:r>
        <w:rPr>
          <w:rFonts w:ascii="Arial"/>
          <w:i/>
          <w:color w:val="231F20"/>
          <w:w w:val="120"/>
          <w:sz w:val="19"/>
        </w:rPr>
        <w:t>in</w:t>
      </w:r>
      <w:r>
        <w:rPr>
          <w:rFonts w:ascii="Arial"/>
          <w:i/>
          <w:color w:val="231F20"/>
          <w:spacing w:val="-15"/>
          <w:w w:val="120"/>
          <w:sz w:val="19"/>
        </w:rPr>
        <w:t> </w:t>
      </w:r>
      <w:r>
        <w:rPr>
          <w:rFonts w:ascii="Arial"/>
          <w:i/>
          <w:color w:val="231F20"/>
          <w:w w:val="120"/>
          <w:sz w:val="19"/>
        </w:rPr>
        <w:t>its</w:t>
      </w:r>
      <w:r>
        <w:rPr>
          <w:rFonts w:ascii="Arial"/>
          <w:i/>
          <w:color w:val="231F20"/>
          <w:spacing w:val="-16"/>
          <w:w w:val="120"/>
          <w:sz w:val="19"/>
        </w:rPr>
        <w:t> </w:t>
      </w:r>
      <w:r>
        <w:rPr>
          <w:rFonts w:ascii="Arial"/>
          <w:i/>
          <w:color w:val="231F20"/>
          <w:w w:val="120"/>
          <w:sz w:val="19"/>
        </w:rPr>
        <w:t>product</w:t>
      </w:r>
      <w:r>
        <w:rPr>
          <w:rFonts w:ascii="Arial"/>
          <w:i/>
          <w:color w:val="231F20"/>
          <w:spacing w:val="-15"/>
          <w:w w:val="120"/>
          <w:sz w:val="19"/>
        </w:rPr>
        <w:t> </w:t>
      </w:r>
      <w:r>
        <w:rPr>
          <w:rFonts w:ascii="Arial"/>
          <w:i/>
          <w:color w:val="231F20"/>
          <w:w w:val="120"/>
          <w:sz w:val="19"/>
        </w:rPr>
        <w:t>life</w:t>
      </w:r>
      <w:r>
        <w:rPr>
          <w:rFonts w:ascii="Arial"/>
          <w:i/>
          <w:color w:val="231F20"/>
          <w:spacing w:val="-16"/>
          <w:w w:val="120"/>
          <w:sz w:val="19"/>
        </w:rPr>
        <w:t> </w:t>
      </w:r>
      <w:r>
        <w:rPr>
          <w:rFonts w:ascii="Arial"/>
          <w:i/>
          <w:color w:val="231F20"/>
          <w:spacing w:val="-2"/>
          <w:w w:val="120"/>
          <w:sz w:val="19"/>
        </w:rPr>
        <w:t>cycle?</w:t>
      </w:r>
    </w:p>
    <w:p>
      <w:pPr>
        <w:pStyle w:val="BodyText"/>
        <w:spacing w:line="292" w:lineRule="auto" w:before="60"/>
        <w:ind w:left="920" w:right="664" w:firstLine="340"/>
        <w:jc w:val="both"/>
      </w:pPr>
      <w:r>
        <w:rPr>
          <w:color w:val="231F20"/>
        </w:rPr>
        <w:t>Products can be characterized by the stage that they are at in their </w:t>
      </w:r>
      <w:r>
        <w:rPr>
          <w:i/>
          <w:color w:val="231F20"/>
        </w:rPr>
        <w:t>product life cycles </w:t>
      </w:r>
      <w:r>
        <w:rPr>
          <w:color w:val="231F20"/>
        </w:rPr>
        <w:t>(PLC). Instead of being merely a factor of</w:t>
      </w:r>
      <w:r>
        <w:rPr>
          <w:color w:val="231F20"/>
          <w:spacing w:val="40"/>
        </w:rPr>
        <w:t> </w:t>
      </w:r>
      <w:r>
        <w:rPr>
          <w:color w:val="231F20"/>
        </w:rPr>
        <w:t>time, the PLC describes how a product’s sales grow as new segments become aware and begin buying it. Cellular phone service began in the early 1970s with fewer than ten thousand users. But it wasn’t until the 1990s, when the prices dropped and many could afford </w:t>
      </w:r>
      <w:r>
        <w:rPr>
          <w:color w:val="231F20"/>
        </w:rPr>
        <w:t>a unit for their cars, that a multisegment market of over 6 million</w:t>
      </w:r>
      <w:r>
        <w:rPr>
          <w:color w:val="231F20"/>
          <w:spacing w:val="80"/>
        </w:rPr>
        <w:t> </w:t>
      </w:r>
      <w:r>
        <w:rPr>
          <w:color w:val="231F20"/>
        </w:rPr>
        <w:t>users emerged. Now everyone has a cell phone.</w:t>
      </w:r>
    </w:p>
    <w:p>
      <w:pPr>
        <w:pStyle w:val="BodyText"/>
        <w:spacing w:line="292" w:lineRule="auto"/>
        <w:ind w:left="919" w:right="666" w:firstLine="340"/>
        <w:jc w:val="both"/>
      </w:pPr>
      <w:r>
        <w:rPr>
          <w:color w:val="231F20"/>
        </w:rPr>
        <w:t>The</w:t>
      </w:r>
      <w:r>
        <w:rPr>
          <w:color w:val="231F20"/>
          <w:spacing w:val="36"/>
        </w:rPr>
        <w:t> </w:t>
      </w:r>
      <w:r>
        <w:rPr>
          <w:color w:val="231F20"/>
        </w:rPr>
        <w:t>PLC</w:t>
      </w:r>
      <w:r>
        <w:rPr>
          <w:color w:val="231F20"/>
          <w:spacing w:val="36"/>
        </w:rPr>
        <w:t> </w:t>
      </w:r>
      <w:r>
        <w:rPr>
          <w:color w:val="231F20"/>
        </w:rPr>
        <w:t>concept</w:t>
      </w:r>
      <w:r>
        <w:rPr>
          <w:color w:val="231F20"/>
          <w:spacing w:val="36"/>
        </w:rPr>
        <w:t> </w:t>
      </w:r>
      <w:r>
        <w:rPr>
          <w:color w:val="231F20"/>
        </w:rPr>
        <w:t>is</w:t>
      </w:r>
      <w:r>
        <w:rPr>
          <w:color w:val="231F20"/>
          <w:spacing w:val="36"/>
        </w:rPr>
        <w:t> </w:t>
      </w:r>
      <w:r>
        <w:rPr>
          <w:color w:val="231F20"/>
        </w:rPr>
        <w:t>important</w:t>
      </w:r>
      <w:r>
        <w:rPr>
          <w:color w:val="231F20"/>
          <w:spacing w:val="36"/>
        </w:rPr>
        <w:t> </w:t>
      </w:r>
      <w:r>
        <w:rPr>
          <w:color w:val="231F20"/>
        </w:rPr>
        <w:t>because</w:t>
      </w:r>
      <w:r>
        <w:rPr>
          <w:color w:val="231F20"/>
          <w:spacing w:val="36"/>
        </w:rPr>
        <w:t> </w:t>
      </w:r>
      <w:r>
        <w:rPr>
          <w:color w:val="231F20"/>
        </w:rPr>
        <w:t>the</w:t>
      </w:r>
      <w:r>
        <w:rPr>
          <w:color w:val="231F20"/>
          <w:spacing w:val="36"/>
        </w:rPr>
        <w:t> </w:t>
      </w:r>
      <w:r>
        <w:rPr>
          <w:color w:val="231F20"/>
        </w:rPr>
        <w:t>process</w:t>
      </w:r>
      <w:r>
        <w:rPr>
          <w:color w:val="231F20"/>
          <w:spacing w:val="36"/>
        </w:rPr>
        <w:t> </w:t>
      </w:r>
      <w:r>
        <w:rPr>
          <w:color w:val="231F20"/>
        </w:rPr>
        <w:t>of</w:t>
      </w:r>
      <w:r>
        <w:rPr>
          <w:color w:val="231F20"/>
          <w:spacing w:val="35"/>
        </w:rPr>
        <w:t> </w:t>
      </w:r>
      <w:r>
        <w:rPr>
          <w:i/>
          <w:color w:val="231F20"/>
        </w:rPr>
        <w:t>diffusion</w:t>
      </w:r>
      <w:r>
        <w:rPr>
          <w:i/>
          <w:color w:val="231F20"/>
        </w:rPr>
        <w:t> </w:t>
      </w:r>
      <w:r>
        <w:rPr>
          <w:color w:val="231F20"/>
        </w:rPr>
        <w:t>or adoption by the population has major implications for how a product</w:t>
      </w:r>
      <w:r>
        <w:rPr>
          <w:color w:val="231F20"/>
          <w:spacing w:val="21"/>
        </w:rPr>
        <w:t> </w:t>
      </w:r>
      <w:r>
        <w:rPr>
          <w:color w:val="231F20"/>
        </w:rPr>
        <w:t>is</w:t>
      </w:r>
      <w:r>
        <w:rPr>
          <w:color w:val="231F20"/>
          <w:spacing w:val="21"/>
        </w:rPr>
        <w:t> </w:t>
      </w:r>
      <w:r>
        <w:rPr>
          <w:color w:val="231F20"/>
        </w:rPr>
        <w:t>marketed.</w:t>
      </w:r>
      <w:r>
        <w:rPr>
          <w:color w:val="231F20"/>
          <w:spacing w:val="21"/>
        </w:rPr>
        <w:t> </w:t>
      </w:r>
      <w:r>
        <w:rPr>
          <w:color w:val="231F20"/>
        </w:rPr>
        <w:t>Each</w:t>
      </w:r>
      <w:r>
        <w:rPr>
          <w:color w:val="231F20"/>
          <w:spacing w:val="21"/>
        </w:rPr>
        <w:t> </w:t>
      </w:r>
      <w:r>
        <w:rPr>
          <w:color w:val="231F20"/>
        </w:rPr>
        <w:t>product</w:t>
      </w:r>
      <w:r>
        <w:rPr>
          <w:color w:val="231F20"/>
          <w:spacing w:val="21"/>
        </w:rPr>
        <w:t> </w:t>
      </w:r>
      <w:r>
        <w:rPr>
          <w:color w:val="231F20"/>
        </w:rPr>
        <w:t>develops</w:t>
      </w:r>
      <w:r>
        <w:rPr>
          <w:color w:val="231F20"/>
          <w:spacing w:val="21"/>
        </w:rPr>
        <w:t> </w:t>
      </w:r>
      <w:r>
        <w:rPr>
          <w:color w:val="231F20"/>
        </w:rPr>
        <w:t>its</w:t>
      </w:r>
      <w:r>
        <w:rPr>
          <w:color w:val="231F20"/>
          <w:spacing w:val="21"/>
        </w:rPr>
        <w:t> </w:t>
      </w:r>
      <w:r>
        <w:rPr>
          <w:color w:val="231F20"/>
        </w:rPr>
        <w:t>own</w:t>
      </w:r>
      <w:r>
        <w:rPr>
          <w:color w:val="231F20"/>
          <w:spacing w:val="21"/>
        </w:rPr>
        <w:t> </w:t>
      </w:r>
      <w:r>
        <w:rPr>
          <w:color w:val="231F20"/>
        </w:rPr>
        <w:t>unique</w:t>
      </w:r>
      <w:r>
        <w:rPr>
          <w:color w:val="231F20"/>
          <w:spacing w:val="21"/>
        </w:rPr>
        <w:t> </w:t>
      </w:r>
      <w:r>
        <w:rPr>
          <w:color w:val="231F20"/>
        </w:rPr>
        <w:t>PLC</w:t>
      </w:r>
      <w:r>
        <w:rPr>
          <w:color w:val="231F20"/>
          <w:spacing w:val="21"/>
        </w:rPr>
        <w:t> </w:t>
      </w:r>
      <w:r>
        <w:rPr>
          <w:color w:val="231F20"/>
        </w:rPr>
        <w:t>as it</w:t>
      </w:r>
      <w:r>
        <w:rPr>
          <w:color w:val="231F20"/>
          <w:spacing w:val="40"/>
        </w:rPr>
        <w:t> </w:t>
      </w:r>
      <w:r>
        <w:rPr>
          <w:color w:val="231F20"/>
        </w:rPr>
        <w:t>matures.</w:t>
      </w:r>
      <w:r>
        <w:rPr>
          <w:color w:val="231F20"/>
          <w:spacing w:val="40"/>
        </w:rPr>
        <w:t> </w:t>
      </w:r>
      <w:r>
        <w:rPr>
          <w:color w:val="231F20"/>
        </w:rPr>
        <w:t>Understanding</w:t>
      </w:r>
      <w:r>
        <w:rPr>
          <w:color w:val="231F20"/>
          <w:spacing w:val="40"/>
        </w:rPr>
        <w:t> </w:t>
      </w:r>
      <w:r>
        <w:rPr>
          <w:color w:val="231F20"/>
        </w:rPr>
        <w:t>the</w:t>
      </w:r>
      <w:r>
        <w:rPr>
          <w:color w:val="231F20"/>
          <w:spacing w:val="40"/>
        </w:rPr>
        <w:t> </w:t>
      </w:r>
      <w:r>
        <w:rPr>
          <w:color w:val="231F20"/>
        </w:rPr>
        <w:t>PLC</w:t>
      </w:r>
      <w:r>
        <w:rPr>
          <w:color w:val="231F20"/>
          <w:spacing w:val="40"/>
        </w:rPr>
        <w:t> </w:t>
      </w:r>
      <w:r>
        <w:rPr>
          <w:color w:val="231F20"/>
        </w:rPr>
        <w:t>can</w:t>
      </w:r>
      <w:r>
        <w:rPr>
          <w:color w:val="231F20"/>
          <w:spacing w:val="40"/>
        </w:rPr>
        <w:t> </w:t>
      </w:r>
      <w:r>
        <w:rPr>
          <w:color w:val="231F20"/>
        </w:rPr>
        <w:t>give</w:t>
      </w:r>
      <w:r>
        <w:rPr>
          <w:color w:val="231F20"/>
          <w:spacing w:val="40"/>
        </w:rPr>
        <w:t> </w:t>
      </w:r>
      <w:r>
        <w:rPr>
          <w:color w:val="231F20"/>
        </w:rPr>
        <w:t>you</w:t>
      </w:r>
      <w:r>
        <w:rPr>
          <w:color w:val="231F20"/>
          <w:spacing w:val="40"/>
        </w:rPr>
        <w:t> </w:t>
      </w:r>
      <w:r>
        <w:rPr>
          <w:color w:val="231F20"/>
        </w:rPr>
        <w:t>an</w:t>
      </w:r>
      <w:r>
        <w:rPr>
          <w:color w:val="231F20"/>
          <w:spacing w:val="40"/>
        </w:rPr>
        <w:t> </w:t>
      </w:r>
      <w:r>
        <w:rPr>
          <w:color w:val="231F20"/>
        </w:rPr>
        <w:t>MBA</w:t>
      </w:r>
      <w:r>
        <w:rPr>
          <w:color w:val="231F20"/>
          <w:spacing w:val="40"/>
        </w:rPr>
        <w:t> </w:t>
      </w:r>
      <w:r>
        <w:rPr>
          <w:color w:val="231F20"/>
        </w:rPr>
        <w:t>insight that your competitors may lack.</w:t>
      </w:r>
    </w:p>
    <w:p>
      <w:pPr>
        <w:pStyle w:val="BodyText"/>
        <w:spacing w:line="292" w:lineRule="auto"/>
        <w:ind w:left="919" w:right="666" w:firstLine="340"/>
        <w:jc w:val="both"/>
      </w:pPr>
      <w:r>
        <w:rPr>
          <w:color w:val="231F20"/>
        </w:rPr>
        <w:t>The four generic stages of the PLC and their implications for ac- tion are:</w:t>
      </w:r>
    </w:p>
    <w:p>
      <w:pPr>
        <w:pStyle w:val="BodyText"/>
        <w:spacing w:line="292" w:lineRule="auto"/>
        <w:ind w:left="919" w:right="663" w:firstLine="340"/>
        <w:jc w:val="both"/>
      </w:pPr>
      <w:r>
        <w:rPr>
          <w:rFonts w:ascii="Arial" w:hAnsi="Arial"/>
          <w:color w:val="231F20"/>
          <w:w w:val="105"/>
          <w:sz w:val="18"/>
        </w:rPr>
        <w:t>Stage </w:t>
      </w:r>
      <w:r>
        <w:rPr>
          <w:rFonts w:ascii="Arial" w:hAnsi="Arial"/>
          <w:color w:val="231F20"/>
          <w:sz w:val="18"/>
        </w:rPr>
        <w:t>1: </w:t>
      </w:r>
      <w:r>
        <w:rPr>
          <w:rFonts w:ascii="Arial" w:hAnsi="Arial"/>
          <w:color w:val="231F20"/>
          <w:w w:val="105"/>
          <w:sz w:val="18"/>
        </w:rPr>
        <w:t>Introduction, “What is it?” </w:t>
      </w:r>
      <w:r>
        <w:rPr>
          <w:color w:val="231F20"/>
          <w:w w:val="105"/>
        </w:rPr>
        <w:t>Awareness</w:t>
      </w:r>
      <w:r>
        <w:rPr>
          <w:color w:val="231F20"/>
          <w:w w:val="105"/>
        </w:rPr>
        <w:t> and</w:t>
      </w:r>
      <w:r>
        <w:rPr>
          <w:color w:val="231F20"/>
          <w:w w:val="105"/>
        </w:rPr>
        <w:t> education</w:t>
      </w:r>
      <w:r>
        <w:rPr>
          <w:color w:val="231F20"/>
          <w:w w:val="105"/>
        </w:rPr>
        <w:t> are needed.</w:t>
      </w:r>
      <w:r>
        <w:rPr>
          <w:color w:val="231F20"/>
          <w:spacing w:val="-6"/>
          <w:w w:val="105"/>
        </w:rPr>
        <w:t> </w:t>
      </w:r>
      <w:r>
        <w:rPr>
          <w:color w:val="231F20"/>
          <w:w w:val="105"/>
        </w:rPr>
        <w:t>If</w:t>
      </w:r>
      <w:r>
        <w:rPr>
          <w:color w:val="231F20"/>
          <w:spacing w:val="-6"/>
          <w:w w:val="105"/>
        </w:rPr>
        <w:t> </w:t>
      </w:r>
      <w:r>
        <w:rPr>
          <w:color w:val="231F20"/>
          <w:w w:val="105"/>
        </w:rPr>
        <w:t>possible,</w:t>
      </w:r>
      <w:r>
        <w:rPr>
          <w:color w:val="231F20"/>
          <w:spacing w:val="-6"/>
          <w:w w:val="105"/>
        </w:rPr>
        <w:t> </w:t>
      </w:r>
      <w:r>
        <w:rPr>
          <w:color w:val="231F20"/>
          <w:w w:val="105"/>
        </w:rPr>
        <w:t>a</w:t>
      </w:r>
      <w:r>
        <w:rPr>
          <w:color w:val="231F20"/>
          <w:spacing w:val="-6"/>
          <w:w w:val="105"/>
        </w:rPr>
        <w:t> </w:t>
      </w:r>
      <w:r>
        <w:rPr>
          <w:color w:val="231F20"/>
          <w:w w:val="105"/>
        </w:rPr>
        <w:t>trial</w:t>
      </w:r>
      <w:r>
        <w:rPr>
          <w:color w:val="231F20"/>
          <w:spacing w:val="-6"/>
          <w:w w:val="105"/>
        </w:rPr>
        <w:t> </w:t>
      </w:r>
      <w:r>
        <w:rPr>
          <w:color w:val="231F20"/>
          <w:w w:val="105"/>
        </w:rPr>
        <w:t>is</w:t>
      </w:r>
      <w:r>
        <w:rPr>
          <w:color w:val="231F20"/>
          <w:spacing w:val="-6"/>
          <w:w w:val="105"/>
        </w:rPr>
        <w:t> </w:t>
      </w:r>
      <w:r>
        <w:rPr>
          <w:color w:val="231F20"/>
          <w:w w:val="105"/>
        </w:rPr>
        <w:t>important.</w:t>
      </w:r>
      <w:r>
        <w:rPr>
          <w:color w:val="231F20"/>
          <w:spacing w:val="-6"/>
          <w:w w:val="105"/>
        </w:rPr>
        <w:t> </w:t>
      </w:r>
      <w:r>
        <w:rPr>
          <w:color w:val="231F20"/>
          <w:w w:val="105"/>
        </w:rPr>
        <w:t>High</w:t>
      </w:r>
      <w:r>
        <w:rPr>
          <w:color w:val="231F20"/>
          <w:spacing w:val="-6"/>
          <w:w w:val="105"/>
        </w:rPr>
        <w:t> </w:t>
      </w:r>
      <w:r>
        <w:rPr>
          <w:color w:val="231F20"/>
          <w:w w:val="105"/>
        </w:rPr>
        <w:t>advertising</w:t>
      </w:r>
      <w:r>
        <w:rPr>
          <w:color w:val="231F20"/>
          <w:spacing w:val="-6"/>
          <w:w w:val="105"/>
        </w:rPr>
        <w:t> </w:t>
      </w:r>
      <w:r>
        <w:rPr>
          <w:color w:val="231F20"/>
          <w:w w:val="105"/>
        </w:rPr>
        <w:t>costs</w:t>
      </w:r>
      <w:r>
        <w:rPr>
          <w:color w:val="231F20"/>
          <w:spacing w:val="-6"/>
          <w:w w:val="105"/>
        </w:rPr>
        <w:t> </w:t>
      </w:r>
      <w:r>
        <w:rPr>
          <w:color w:val="231F20"/>
          <w:w w:val="105"/>
        </w:rPr>
        <w:t>may be</w:t>
      </w:r>
      <w:r>
        <w:rPr>
          <w:color w:val="231F20"/>
          <w:spacing w:val="-2"/>
          <w:w w:val="105"/>
        </w:rPr>
        <w:t> </w:t>
      </w:r>
      <w:r>
        <w:rPr>
          <w:color w:val="231F20"/>
          <w:w w:val="105"/>
        </w:rPr>
        <w:t>incurred</w:t>
      </w:r>
      <w:r>
        <w:rPr>
          <w:color w:val="231F20"/>
          <w:spacing w:val="-2"/>
          <w:w w:val="105"/>
        </w:rPr>
        <w:t> </w:t>
      </w:r>
      <w:r>
        <w:rPr>
          <w:color w:val="231F20"/>
          <w:w w:val="105"/>
        </w:rPr>
        <w:t>to</w:t>
      </w:r>
      <w:r>
        <w:rPr>
          <w:color w:val="231F20"/>
          <w:spacing w:val="-2"/>
          <w:w w:val="105"/>
        </w:rPr>
        <w:t> </w:t>
      </w:r>
      <w:r>
        <w:rPr>
          <w:color w:val="231F20"/>
          <w:w w:val="105"/>
        </w:rPr>
        <w:t>get</w:t>
      </w:r>
      <w:r>
        <w:rPr>
          <w:color w:val="231F20"/>
          <w:spacing w:val="-2"/>
          <w:w w:val="105"/>
        </w:rPr>
        <w:t> </w:t>
      </w:r>
      <w:r>
        <w:rPr>
          <w:color w:val="231F20"/>
          <w:w w:val="105"/>
        </w:rPr>
        <w:t>the</w:t>
      </w:r>
      <w:r>
        <w:rPr>
          <w:color w:val="231F20"/>
          <w:spacing w:val="-2"/>
          <w:w w:val="105"/>
        </w:rPr>
        <w:t> </w:t>
      </w:r>
      <w:r>
        <w:rPr>
          <w:color w:val="231F20"/>
          <w:w w:val="105"/>
        </w:rPr>
        <w:t>word</w:t>
      </w:r>
      <w:r>
        <w:rPr>
          <w:color w:val="231F20"/>
          <w:spacing w:val="-2"/>
          <w:w w:val="105"/>
        </w:rPr>
        <w:t> </w:t>
      </w:r>
      <w:r>
        <w:rPr>
          <w:color w:val="231F20"/>
          <w:w w:val="105"/>
        </w:rPr>
        <w:t>out.</w:t>
      </w:r>
      <w:r>
        <w:rPr>
          <w:color w:val="231F20"/>
          <w:spacing w:val="-2"/>
          <w:w w:val="105"/>
        </w:rPr>
        <w:t> </w:t>
      </w:r>
      <w:r>
        <w:rPr>
          <w:color w:val="231F20"/>
          <w:w w:val="105"/>
        </w:rPr>
        <w:t>Some</w:t>
      </w:r>
      <w:r>
        <w:rPr>
          <w:color w:val="231F20"/>
          <w:spacing w:val="-2"/>
          <w:w w:val="105"/>
        </w:rPr>
        <w:t> </w:t>
      </w:r>
      <w:r>
        <w:rPr>
          <w:color w:val="231F20"/>
          <w:w w:val="105"/>
        </w:rPr>
        <w:t>vendors</w:t>
      </w:r>
      <w:r>
        <w:rPr>
          <w:color w:val="231F20"/>
          <w:spacing w:val="-2"/>
          <w:w w:val="105"/>
        </w:rPr>
        <w:t> </w:t>
      </w:r>
      <w:r>
        <w:rPr>
          <w:color w:val="231F20"/>
          <w:w w:val="105"/>
        </w:rPr>
        <w:t>opt</w:t>
      </w:r>
      <w:r>
        <w:rPr>
          <w:color w:val="231F20"/>
          <w:spacing w:val="-2"/>
          <w:w w:val="105"/>
        </w:rPr>
        <w:t> </w:t>
      </w:r>
      <w:r>
        <w:rPr>
          <w:color w:val="231F20"/>
          <w:w w:val="105"/>
        </w:rPr>
        <w:t>for</w:t>
      </w:r>
      <w:r>
        <w:rPr>
          <w:color w:val="231F20"/>
          <w:spacing w:val="-2"/>
          <w:w w:val="105"/>
        </w:rPr>
        <w:t> </w:t>
      </w:r>
      <w:r>
        <w:rPr>
          <w:color w:val="231F20"/>
          <w:w w:val="105"/>
        </w:rPr>
        <w:t>an</w:t>
      </w:r>
      <w:r>
        <w:rPr>
          <w:color w:val="231F20"/>
          <w:spacing w:val="-3"/>
          <w:w w:val="105"/>
        </w:rPr>
        <w:t> </w:t>
      </w:r>
      <w:r>
        <w:rPr>
          <w:i/>
          <w:color w:val="231F20"/>
          <w:w w:val="105"/>
        </w:rPr>
        <w:t>exclusive</w:t>
      </w:r>
      <w:r>
        <w:rPr>
          <w:i/>
          <w:color w:val="231F20"/>
          <w:w w:val="105"/>
        </w:rPr>
        <w:t> distribution</w:t>
      </w:r>
      <w:r>
        <w:rPr>
          <w:i/>
          <w:color w:val="231F20"/>
          <w:spacing w:val="-10"/>
          <w:w w:val="105"/>
        </w:rPr>
        <w:t> </w:t>
      </w:r>
      <w:r>
        <w:rPr>
          <w:color w:val="231F20"/>
          <w:w w:val="105"/>
        </w:rPr>
        <w:t>of</w:t>
      </w:r>
      <w:r>
        <w:rPr>
          <w:color w:val="231F20"/>
          <w:spacing w:val="-9"/>
          <w:w w:val="105"/>
        </w:rPr>
        <w:t> </w:t>
      </w:r>
      <w:r>
        <w:rPr>
          <w:color w:val="231F20"/>
          <w:w w:val="105"/>
        </w:rPr>
        <w:t>their</w:t>
      </w:r>
      <w:r>
        <w:rPr>
          <w:color w:val="231F20"/>
          <w:spacing w:val="-9"/>
          <w:w w:val="105"/>
        </w:rPr>
        <w:t> </w:t>
      </w:r>
      <w:r>
        <w:rPr>
          <w:color w:val="231F20"/>
          <w:w w:val="105"/>
        </w:rPr>
        <w:t>products</w:t>
      </w:r>
      <w:r>
        <w:rPr>
          <w:color w:val="231F20"/>
          <w:spacing w:val="-9"/>
          <w:w w:val="105"/>
        </w:rPr>
        <w:t> </w:t>
      </w:r>
      <w:r>
        <w:rPr>
          <w:color w:val="231F20"/>
          <w:w w:val="105"/>
        </w:rPr>
        <w:t>in</w:t>
      </w:r>
      <w:r>
        <w:rPr>
          <w:color w:val="231F20"/>
          <w:spacing w:val="-9"/>
          <w:w w:val="105"/>
        </w:rPr>
        <w:t> </w:t>
      </w:r>
      <w:r>
        <w:rPr>
          <w:color w:val="231F20"/>
          <w:w w:val="105"/>
        </w:rPr>
        <w:t>a</w:t>
      </w:r>
      <w:r>
        <w:rPr>
          <w:color w:val="231F20"/>
          <w:spacing w:val="-9"/>
          <w:w w:val="105"/>
        </w:rPr>
        <w:t> </w:t>
      </w:r>
      <w:r>
        <w:rPr>
          <w:color w:val="231F20"/>
          <w:w w:val="105"/>
        </w:rPr>
        <w:t>few</w:t>
      </w:r>
      <w:r>
        <w:rPr>
          <w:color w:val="231F20"/>
          <w:spacing w:val="-9"/>
          <w:w w:val="105"/>
        </w:rPr>
        <w:t> </w:t>
      </w:r>
      <w:r>
        <w:rPr>
          <w:color w:val="231F20"/>
          <w:w w:val="105"/>
        </w:rPr>
        <w:t>select</w:t>
      </w:r>
      <w:r>
        <w:rPr>
          <w:color w:val="231F20"/>
          <w:spacing w:val="-9"/>
          <w:w w:val="105"/>
        </w:rPr>
        <w:t> </w:t>
      </w:r>
      <w:r>
        <w:rPr>
          <w:color w:val="231F20"/>
          <w:w w:val="105"/>
        </w:rPr>
        <w:t>outlets</w:t>
      </w:r>
      <w:r>
        <w:rPr>
          <w:color w:val="231F20"/>
          <w:spacing w:val="-9"/>
          <w:w w:val="105"/>
        </w:rPr>
        <w:t> </w:t>
      </w:r>
      <w:r>
        <w:rPr>
          <w:color w:val="231F20"/>
          <w:w w:val="105"/>
        </w:rPr>
        <w:t>at</w:t>
      </w:r>
      <w:r>
        <w:rPr>
          <w:color w:val="231F20"/>
          <w:spacing w:val="-9"/>
          <w:w w:val="105"/>
        </w:rPr>
        <w:t> </w:t>
      </w:r>
      <w:r>
        <w:rPr>
          <w:color w:val="231F20"/>
          <w:w w:val="105"/>
        </w:rPr>
        <w:t>first.</w:t>
      </w:r>
      <w:r>
        <w:rPr>
          <w:color w:val="231F20"/>
          <w:spacing w:val="-9"/>
          <w:w w:val="105"/>
        </w:rPr>
        <w:t> </w:t>
      </w:r>
      <w:r>
        <w:rPr>
          <w:color w:val="231F20"/>
          <w:w w:val="105"/>
        </w:rPr>
        <w:t>Initially </w:t>
      </w:r>
      <w:r>
        <w:rPr>
          <w:color w:val="231F20"/>
        </w:rPr>
        <w:t>companies make frequent product changes as customers’ needs be- </w:t>
      </w:r>
      <w:r>
        <w:rPr>
          <w:color w:val="231F20"/>
          <w:spacing w:val="-2"/>
          <w:w w:val="105"/>
        </w:rPr>
        <w:t>come</w:t>
      </w:r>
      <w:r>
        <w:rPr>
          <w:color w:val="231F20"/>
          <w:spacing w:val="-4"/>
          <w:w w:val="105"/>
        </w:rPr>
        <w:t> </w:t>
      </w:r>
      <w:r>
        <w:rPr>
          <w:color w:val="231F20"/>
          <w:spacing w:val="-2"/>
          <w:w w:val="105"/>
        </w:rPr>
        <w:t>known.</w:t>
      </w:r>
      <w:r>
        <w:rPr>
          <w:color w:val="231F20"/>
          <w:spacing w:val="-4"/>
          <w:w w:val="105"/>
        </w:rPr>
        <w:t> </w:t>
      </w:r>
      <w:r>
        <w:rPr>
          <w:color w:val="231F20"/>
          <w:spacing w:val="-2"/>
          <w:w w:val="105"/>
        </w:rPr>
        <w:t>The</w:t>
      </w:r>
      <w:r>
        <w:rPr>
          <w:color w:val="231F20"/>
          <w:spacing w:val="-4"/>
          <w:w w:val="105"/>
        </w:rPr>
        <w:t> </w:t>
      </w:r>
      <w:r>
        <w:rPr>
          <w:color w:val="231F20"/>
          <w:spacing w:val="-2"/>
          <w:w w:val="105"/>
        </w:rPr>
        <w:t>first</w:t>
      </w:r>
      <w:r>
        <w:rPr>
          <w:color w:val="231F20"/>
          <w:spacing w:val="-4"/>
          <w:w w:val="105"/>
        </w:rPr>
        <w:t> </w:t>
      </w:r>
      <w:r>
        <w:rPr>
          <w:color w:val="231F20"/>
          <w:spacing w:val="-2"/>
          <w:w w:val="105"/>
        </w:rPr>
        <w:t>buyers</w:t>
      </w:r>
      <w:r>
        <w:rPr>
          <w:color w:val="231F20"/>
          <w:spacing w:val="-4"/>
          <w:w w:val="105"/>
        </w:rPr>
        <w:t> </w:t>
      </w:r>
      <w:r>
        <w:rPr>
          <w:color w:val="231F20"/>
          <w:spacing w:val="-2"/>
          <w:w w:val="105"/>
        </w:rPr>
        <w:t>are</w:t>
      </w:r>
      <w:r>
        <w:rPr>
          <w:color w:val="231F20"/>
          <w:spacing w:val="-4"/>
          <w:w w:val="105"/>
        </w:rPr>
        <w:t> </w:t>
      </w:r>
      <w:r>
        <w:rPr>
          <w:color w:val="231F20"/>
          <w:spacing w:val="-2"/>
          <w:w w:val="105"/>
        </w:rPr>
        <w:t>called</w:t>
      </w:r>
      <w:r>
        <w:rPr>
          <w:color w:val="231F20"/>
          <w:spacing w:val="-4"/>
          <w:w w:val="105"/>
        </w:rPr>
        <w:t> </w:t>
      </w:r>
      <w:r>
        <w:rPr>
          <w:color w:val="231F20"/>
          <w:spacing w:val="-2"/>
          <w:w w:val="105"/>
        </w:rPr>
        <w:t>the</w:t>
      </w:r>
      <w:r>
        <w:rPr>
          <w:color w:val="231F20"/>
          <w:spacing w:val="-5"/>
          <w:w w:val="105"/>
        </w:rPr>
        <w:t> </w:t>
      </w:r>
      <w:r>
        <w:rPr>
          <w:i/>
          <w:color w:val="231F20"/>
          <w:spacing w:val="-2"/>
          <w:w w:val="105"/>
        </w:rPr>
        <w:t>innovators,</w:t>
      </w:r>
      <w:r>
        <w:rPr>
          <w:i/>
          <w:color w:val="231F20"/>
          <w:spacing w:val="-5"/>
          <w:w w:val="105"/>
        </w:rPr>
        <w:t> </w:t>
      </w:r>
      <w:r>
        <w:rPr>
          <w:color w:val="231F20"/>
          <w:spacing w:val="-2"/>
          <w:w w:val="105"/>
        </w:rPr>
        <w:t>followed</w:t>
      </w:r>
      <w:r>
        <w:rPr>
          <w:color w:val="231F20"/>
          <w:spacing w:val="-4"/>
          <w:w w:val="105"/>
        </w:rPr>
        <w:t> </w:t>
      </w:r>
      <w:r>
        <w:rPr>
          <w:color w:val="231F20"/>
          <w:spacing w:val="-2"/>
          <w:w w:val="105"/>
        </w:rPr>
        <w:t>by </w:t>
      </w:r>
      <w:r>
        <w:rPr>
          <w:color w:val="231F20"/>
        </w:rPr>
        <w:t>the </w:t>
      </w:r>
      <w:r>
        <w:rPr>
          <w:i/>
          <w:color w:val="231F20"/>
        </w:rPr>
        <w:t>early adopters. </w:t>
      </w:r>
      <w:r>
        <w:rPr>
          <w:color w:val="231F20"/>
        </w:rPr>
        <w:t>They freely take purchase risks because their per- </w:t>
      </w:r>
      <w:r>
        <w:rPr>
          <w:color w:val="231F20"/>
          <w:w w:val="105"/>
        </w:rPr>
        <w:t>sonalities</w:t>
      </w:r>
      <w:r>
        <w:rPr>
          <w:color w:val="231F20"/>
          <w:spacing w:val="-13"/>
          <w:w w:val="105"/>
        </w:rPr>
        <w:t> </w:t>
      </w:r>
      <w:r>
        <w:rPr>
          <w:color w:val="231F20"/>
          <w:w w:val="105"/>
        </w:rPr>
        <w:t>or</w:t>
      </w:r>
      <w:r>
        <w:rPr>
          <w:color w:val="231F20"/>
          <w:spacing w:val="-12"/>
          <w:w w:val="105"/>
        </w:rPr>
        <w:t> </w:t>
      </w:r>
      <w:r>
        <w:rPr>
          <w:color w:val="231F20"/>
          <w:w w:val="105"/>
        </w:rPr>
        <w:t>pocketbooks</w:t>
      </w:r>
      <w:r>
        <w:rPr>
          <w:color w:val="231F20"/>
          <w:spacing w:val="-12"/>
          <w:w w:val="105"/>
        </w:rPr>
        <w:t> </w:t>
      </w:r>
      <w:r>
        <w:rPr>
          <w:color w:val="231F20"/>
          <w:w w:val="105"/>
        </w:rPr>
        <w:t>allow</w:t>
      </w:r>
      <w:r>
        <w:rPr>
          <w:color w:val="231F20"/>
          <w:spacing w:val="-12"/>
          <w:w w:val="105"/>
        </w:rPr>
        <w:t> </w:t>
      </w:r>
      <w:r>
        <w:rPr>
          <w:color w:val="231F20"/>
          <w:w w:val="105"/>
        </w:rPr>
        <w:t>them</w:t>
      </w:r>
      <w:r>
        <w:rPr>
          <w:color w:val="231F20"/>
          <w:spacing w:val="-12"/>
          <w:w w:val="105"/>
        </w:rPr>
        <w:t> </w:t>
      </w:r>
      <w:r>
        <w:rPr>
          <w:color w:val="231F20"/>
          <w:w w:val="105"/>
        </w:rPr>
        <w:t>to</w:t>
      </w:r>
      <w:r>
        <w:rPr>
          <w:color w:val="231F20"/>
          <w:spacing w:val="-12"/>
          <w:w w:val="105"/>
        </w:rPr>
        <w:t> </w:t>
      </w:r>
      <w:r>
        <w:rPr>
          <w:color w:val="231F20"/>
          <w:w w:val="105"/>
        </w:rPr>
        <w:t>do</w:t>
      </w:r>
      <w:r>
        <w:rPr>
          <w:color w:val="231F20"/>
          <w:spacing w:val="-12"/>
          <w:w w:val="105"/>
        </w:rPr>
        <w:t> </w:t>
      </w:r>
      <w:r>
        <w:rPr>
          <w:color w:val="231F20"/>
          <w:w w:val="105"/>
        </w:rPr>
        <w:t>so.</w:t>
      </w:r>
      <w:r>
        <w:rPr>
          <w:color w:val="231F20"/>
          <w:spacing w:val="-13"/>
          <w:w w:val="105"/>
        </w:rPr>
        <w:t> </w:t>
      </w:r>
      <w:r>
        <w:rPr>
          <w:color w:val="231F20"/>
          <w:w w:val="105"/>
        </w:rPr>
        <w:t>When</w:t>
      </w:r>
      <w:r>
        <w:rPr>
          <w:color w:val="231F20"/>
          <w:spacing w:val="-12"/>
          <w:w w:val="105"/>
        </w:rPr>
        <w:t> </w:t>
      </w:r>
      <w:r>
        <w:rPr>
          <w:color w:val="231F20"/>
          <w:w w:val="105"/>
        </w:rPr>
        <w:t>companies</w:t>
      </w:r>
      <w:r>
        <w:rPr>
          <w:color w:val="231F20"/>
          <w:spacing w:val="-12"/>
          <w:w w:val="105"/>
        </w:rPr>
        <w:t> </w:t>
      </w:r>
      <w:r>
        <w:rPr>
          <w:color w:val="231F20"/>
          <w:w w:val="105"/>
        </w:rPr>
        <w:t>in- troduce</w:t>
      </w:r>
      <w:r>
        <w:rPr>
          <w:color w:val="231F20"/>
          <w:w w:val="105"/>
        </w:rPr>
        <w:t> new</w:t>
      </w:r>
      <w:r>
        <w:rPr>
          <w:color w:val="231F20"/>
          <w:w w:val="105"/>
        </w:rPr>
        <w:t> products,</w:t>
      </w:r>
      <w:r>
        <w:rPr>
          <w:color w:val="231F20"/>
          <w:w w:val="105"/>
        </w:rPr>
        <w:t> managers</w:t>
      </w:r>
      <w:r>
        <w:rPr>
          <w:color w:val="231F20"/>
          <w:w w:val="105"/>
        </w:rPr>
        <w:t> must</w:t>
      </w:r>
      <w:r>
        <w:rPr>
          <w:color w:val="231F20"/>
          <w:w w:val="105"/>
        </w:rPr>
        <w:t> make</w:t>
      </w:r>
      <w:r>
        <w:rPr>
          <w:color w:val="231F20"/>
          <w:w w:val="105"/>
        </w:rPr>
        <w:t> difficult</w:t>
      </w:r>
      <w:r>
        <w:rPr>
          <w:color w:val="231F20"/>
          <w:w w:val="105"/>
        </w:rPr>
        <w:t> pricing decisions</w:t>
      </w:r>
      <w:r>
        <w:rPr>
          <w:color w:val="231F20"/>
          <w:spacing w:val="-6"/>
          <w:w w:val="105"/>
        </w:rPr>
        <w:t> </w:t>
      </w:r>
      <w:r>
        <w:rPr>
          <w:color w:val="231F20"/>
          <w:w w:val="105"/>
        </w:rPr>
        <w:t>because</w:t>
      </w:r>
      <w:r>
        <w:rPr>
          <w:color w:val="231F20"/>
          <w:spacing w:val="-6"/>
          <w:w w:val="105"/>
        </w:rPr>
        <w:t> </w:t>
      </w:r>
      <w:r>
        <w:rPr>
          <w:color w:val="231F20"/>
          <w:w w:val="105"/>
        </w:rPr>
        <w:t>there</w:t>
      </w:r>
      <w:r>
        <w:rPr>
          <w:color w:val="231F20"/>
          <w:spacing w:val="-6"/>
          <w:w w:val="105"/>
        </w:rPr>
        <w:t> </w:t>
      </w:r>
      <w:r>
        <w:rPr>
          <w:color w:val="231F20"/>
          <w:w w:val="105"/>
        </w:rPr>
        <w:t>is</w:t>
      </w:r>
      <w:r>
        <w:rPr>
          <w:color w:val="231F20"/>
          <w:spacing w:val="-6"/>
          <w:w w:val="105"/>
        </w:rPr>
        <w:t> </w:t>
      </w:r>
      <w:r>
        <w:rPr>
          <w:color w:val="231F20"/>
          <w:w w:val="105"/>
        </w:rPr>
        <w:t>frequently</w:t>
      </w:r>
      <w:r>
        <w:rPr>
          <w:color w:val="231F20"/>
          <w:spacing w:val="-6"/>
          <w:w w:val="105"/>
        </w:rPr>
        <w:t> </w:t>
      </w:r>
      <w:r>
        <w:rPr>
          <w:color w:val="231F20"/>
          <w:w w:val="105"/>
        </w:rPr>
        <w:t>no</w:t>
      </w:r>
      <w:r>
        <w:rPr>
          <w:color w:val="231F20"/>
          <w:spacing w:val="-6"/>
          <w:w w:val="105"/>
        </w:rPr>
        <w:t> </w:t>
      </w:r>
      <w:r>
        <w:rPr>
          <w:color w:val="231F20"/>
          <w:w w:val="105"/>
        </w:rPr>
        <w:t>basis</w:t>
      </w:r>
      <w:r>
        <w:rPr>
          <w:color w:val="231F20"/>
          <w:spacing w:val="-6"/>
          <w:w w:val="105"/>
        </w:rPr>
        <w:t> </w:t>
      </w:r>
      <w:r>
        <w:rPr>
          <w:color w:val="231F20"/>
          <w:w w:val="105"/>
        </w:rPr>
        <w:t>for</w:t>
      </w:r>
      <w:r>
        <w:rPr>
          <w:color w:val="231F20"/>
          <w:spacing w:val="-6"/>
          <w:w w:val="105"/>
        </w:rPr>
        <w:t> </w:t>
      </w:r>
      <w:r>
        <w:rPr>
          <w:color w:val="231F20"/>
          <w:w w:val="105"/>
        </w:rPr>
        <w:t>comparison.</w:t>
      </w:r>
      <w:r>
        <w:rPr>
          <w:color w:val="231F20"/>
          <w:spacing w:val="-6"/>
          <w:w w:val="105"/>
        </w:rPr>
        <w:t> </w:t>
      </w:r>
      <w:r>
        <w:rPr>
          <w:color w:val="231F20"/>
          <w:w w:val="105"/>
        </w:rPr>
        <w:t>The </w:t>
      </w:r>
      <w:r>
        <w:rPr>
          <w:color w:val="231F20"/>
        </w:rPr>
        <w:t>level of initial prices and profits has great implications regarding the outcome</w:t>
      </w:r>
      <w:r>
        <w:rPr>
          <w:color w:val="231F20"/>
          <w:spacing w:val="11"/>
        </w:rPr>
        <w:t> </w:t>
      </w:r>
      <w:r>
        <w:rPr>
          <w:color w:val="231F20"/>
        </w:rPr>
        <w:t>of</w:t>
      </w:r>
      <w:r>
        <w:rPr>
          <w:color w:val="231F20"/>
          <w:spacing w:val="11"/>
        </w:rPr>
        <w:t> </w:t>
      </w:r>
      <w:r>
        <w:rPr>
          <w:color w:val="231F20"/>
        </w:rPr>
        <w:t>future</w:t>
      </w:r>
      <w:r>
        <w:rPr>
          <w:color w:val="231F20"/>
          <w:spacing w:val="11"/>
        </w:rPr>
        <w:t> </w:t>
      </w:r>
      <w:r>
        <w:rPr>
          <w:color w:val="231F20"/>
        </w:rPr>
        <w:t>battles</w:t>
      </w:r>
      <w:r>
        <w:rPr>
          <w:color w:val="231F20"/>
          <w:spacing w:val="11"/>
        </w:rPr>
        <w:t> </w:t>
      </w:r>
      <w:r>
        <w:rPr>
          <w:color w:val="231F20"/>
        </w:rPr>
        <w:t>with</w:t>
      </w:r>
      <w:r>
        <w:rPr>
          <w:color w:val="231F20"/>
          <w:spacing w:val="11"/>
        </w:rPr>
        <w:t> </w:t>
      </w:r>
      <w:r>
        <w:rPr>
          <w:color w:val="231F20"/>
        </w:rPr>
        <w:t>competitors</w:t>
      </w:r>
      <w:r>
        <w:rPr>
          <w:color w:val="231F20"/>
          <w:spacing w:val="12"/>
        </w:rPr>
        <w:t> </w:t>
      </w:r>
      <w:r>
        <w:rPr>
          <w:color w:val="231F20"/>
        </w:rPr>
        <w:t>as</w:t>
      </w:r>
      <w:r>
        <w:rPr>
          <w:color w:val="231F20"/>
          <w:spacing w:val="11"/>
        </w:rPr>
        <w:t> </w:t>
      </w:r>
      <w:r>
        <w:rPr>
          <w:color w:val="231F20"/>
        </w:rPr>
        <w:t>well</w:t>
      </w:r>
      <w:r>
        <w:rPr>
          <w:color w:val="231F20"/>
          <w:spacing w:val="11"/>
        </w:rPr>
        <w:t> </w:t>
      </w:r>
      <w:r>
        <w:rPr>
          <w:color w:val="231F20"/>
        </w:rPr>
        <w:t>as</w:t>
      </w:r>
      <w:r>
        <w:rPr>
          <w:color w:val="231F20"/>
          <w:spacing w:val="11"/>
        </w:rPr>
        <w:t> </w:t>
      </w:r>
      <w:r>
        <w:rPr>
          <w:color w:val="231F20"/>
        </w:rPr>
        <w:t>your</w:t>
      </w:r>
      <w:r>
        <w:rPr>
          <w:color w:val="231F20"/>
          <w:spacing w:val="11"/>
        </w:rPr>
        <w:t> </w:t>
      </w:r>
      <w:r>
        <w:rPr>
          <w:color w:val="231F20"/>
        </w:rPr>
        <w:t>ability</w:t>
      </w:r>
      <w:r>
        <w:rPr>
          <w:color w:val="231F20"/>
          <w:spacing w:val="11"/>
        </w:rPr>
        <w:t> </w:t>
      </w:r>
      <w:r>
        <w:rPr>
          <w:color w:val="231F20"/>
          <w:spacing w:val="-5"/>
        </w:rPr>
        <w:t>to</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667"/>
      </w:pPr>
      <w:r>
        <w:rPr>
          <w:color w:val="231F20"/>
        </w:rPr>
        <w:t>perform additional research and development (as with products </w:t>
      </w:r>
      <w:r>
        <w:rPr>
          <w:color w:val="231F20"/>
        </w:rPr>
        <w:t>like </w:t>
      </w:r>
      <w:r>
        <w:rPr>
          <w:color w:val="231F20"/>
          <w:w w:val="105"/>
        </w:rPr>
        <w:t>WiMAX, VoIP, SED TVs, picture phones).</w:t>
      </w:r>
    </w:p>
    <w:p>
      <w:pPr>
        <w:pStyle w:val="BodyText"/>
        <w:spacing w:line="292" w:lineRule="auto"/>
        <w:ind w:left="829" w:right="753" w:firstLine="340"/>
        <w:jc w:val="both"/>
      </w:pPr>
      <w:r>
        <w:rPr>
          <w:rFonts w:ascii="Arial" w:hAnsi="Arial"/>
          <w:color w:val="231F20"/>
          <w:sz w:val="18"/>
        </w:rPr>
        <w:t>Stage</w:t>
      </w:r>
      <w:r>
        <w:rPr>
          <w:rFonts w:ascii="Arial" w:hAnsi="Arial"/>
          <w:color w:val="231F20"/>
          <w:spacing w:val="40"/>
          <w:sz w:val="18"/>
        </w:rPr>
        <w:t> </w:t>
      </w:r>
      <w:r>
        <w:rPr>
          <w:rFonts w:ascii="Arial" w:hAnsi="Arial"/>
          <w:color w:val="231F20"/>
          <w:sz w:val="18"/>
        </w:rPr>
        <w:t>2:</w:t>
      </w:r>
      <w:r>
        <w:rPr>
          <w:rFonts w:ascii="Arial" w:hAnsi="Arial"/>
          <w:color w:val="231F20"/>
          <w:spacing w:val="40"/>
          <w:sz w:val="18"/>
        </w:rPr>
        <w:t> </w:t>
      </w:r>
      <w:r>
        <w:rPr>
          <w:rFonts w:ascii="Arial" w:hAnsi="Arial"/>
          <w:color w:val="231F20"/>
          <w:sz w:val="18"/>
        </w:rPr>
        <w:t>Growth,</w:t>
      </w:r>
      <w:r>
        <w:rPr>
          <w:rFonts w:ascii="Arial" w:hAnsi="Arial"/>
          <w:color w:val="231F20"/>
          <w:spacing w:val="40"/>
          <w:sz w:val="18"/>
        </w:rPr>
        <w:t> </w:t>
      </w:r>
      <w:r>
        <w:rPr>
          <w:rFonts w:ascii="Arial" w:hAnsi="Arial"/>
          <w:color w:val="231F20"/>
          <w:sz w:val="18"/>
        </w:rPr>
        <w:t>“Where</w:t>
      </w:r>
      <w:r>
        <w:rPr>
          <w:rFonts w:ascii="Arial" w:hAnsi="Arial"/>
          <w:color w:val="231F20"/>
          <w:spacing w:val="40"/>
          <w:sz w:val="18"/>
        </w:rPr>
        <w:t> </w:t>
      </w:r>
      <w:r>
        <w:rPr>
          <w:rFonts w:ascii="Arial" w:hAnsi="Arial"/>
          <w:color w:val="231F20"/>
          <w:sz w:val="18"/>
        </w:rPr>
        <w:t>can</w:t>
      </w:r>
      <w:r>
        <w:rPr>
          <w:rFonts w:ascii="Arial" w:hAnsi="Arial"/>
          <w:color w:val="231F20"/>
          <w:spacing w:val="40"/>
          <w:sz w:val="18"/>
        </w:rPr>
        <w:t> </w:t>
      </w:r>
      <w:r>
        <w:rPr>
          <w:rFonts w:ascii="Arial" w:hAnsi="Arial"/>
          <w:color w:val="231F20"/>
          <w:sz w:val="18"/>
        </w:rPr>
        <w:t>I</w:t>
      </w:r>
      <w:r>
        <w:rPr>
          <w:rFonts w:ascii="Arial" w:hAnsi="Arial"/>
          <w:color w:val="231F20"/>
          <w:spacing w:val="40"/>
          <w:sz w:val="18"/>
        </w:rPr>
        <w:t> </w:t>
      </w:r>
      <w:r>
        <w:rPr>
          <w:rFonts w:ascii="Arial" w:hAnsi="Arial"/>
          <w:color w:val="231F20"/>
          <w:sz w:val="18"/>
        </w:rPr>
        <w:t>get</w:t>
      </w:r>
      <w:r>
        <w:rPr>
          <w:rFonts w:ascii="Arial" w:hAnsi="Arial"/>
          <w:color w:val="231F20"/>
          <w:spacing w:val="40"/>
          <w:sz w:val="18"/>
        </w:rPr>
        <w:t> </w:t>
      </w:r>
      <w:r>
        <w:rPr>
          <w:rFonts w:ascii="Arial" w:hAnsi="Arial"/>
          <w:color w:val="231F20"/>
          <w:sz w:val="18"/>
        </w:rPr>
        <w:t>it?”</w:t>
      </w:r>
      <w:r>
        <w:rPr>
          <w:rFonts w:ascii="Arial" w:hAnsi="Arial"/>
          <w:color w:val="231F20"/>
          <w:spacing w:val="40"/>
          <w:sz w:val="18"/>
        </w:rPr>
        <w:t> </w:t>
      </w:r>
      <w:r>
        <w:rPr>
          <w:color w:val="231F20"/>
        </w:rPr>
        <w:t>Education</w:t>
      </w:r>
      <w:r>
        <w:rPr>
          <w:color w:val="231F20"/>
          <w:spacing w:val="40"/>
        </w:rPr>
        <w:t> </w:t>
      </w:r>
      <w:r>
        <w:rPr>
          <w:color w:val="231F20"/>
        </w:rPr>
        <w:t>is</w:t>
      </w:r>
      <w:r>
        <w:rPr>
          <w:color w:val="231F20"/>
          <w:spacing w:val="40"/>
        </w:rPr>
        <w:t> </w:t>
      </w:r>
      <w:r>
        <w:rPr>
          <w:color w:val="231F20"/>
        </w:rPr>
        <w:t>still</w:t>
      </w:r>
      <w:r>
        <w:rPr>
          <w:color w:val="231F20"/>
          <w:spacing w:val="40"/>
        </w:rPr>
        <w:t> </w:t>
      </w:r>
      <w:r>
        <w:rPr>
          <w:color w:val="231F20"/>
        </w:rPr>
        <w:t>impor- tant, but at this stage competition is intensified. The </w:t>
      </w:r>
      <w:r>
        <w:rPr>
          <w:i/>
          <w:color w:val="231F20"/>
        </w:rPr>
        <w:t>early majority</w:t>
      </w:r>
      <w:r>
        <w:rPr>
          <w:i/>
          <w:color w:val="231F20"/>
        </w:rPr>
        <w:t> </w:t>
      </w:r>
      <w:r>
        <w:rPr>
          <w:color w:val="231F20"/>
        </w:rPr>
        <w:t>becomes interested. As more consumers become familiar with a product, they examine the new models to decide </w:t>
      </w:r>
      <w:r>
        <w:rPr>
          <w:i/>
          <w:color w:val="231F20"/>
        </w:rPr>
        <w:t>which </w:t>
      </w:r>
      <w:r>
        <w:rPr>
          <w:color w:val="231F20"/>
        </w:rPr>
        <w:t>to buy, not </w:t>
      </w:r>
      <w:r>
        <w:rPr>
          <w:i/>
          <w:color w:val="231F20"/>
        </w:rPr>
        <w:t>whether </w:t>
      </w:r>
      <w:r>
        <w:rPr>
          <w:color w:val="231F20"/>
        </w:rPr>
        <w:t>they should buy. When buyers get to the store, they start comparing features. To make the product more accessible, mar- keters often choose a </w:t>
      </w:r>
      <w:r>
        <w:rPr>
          <w:i/>
          <w:color w:val="231F20"/>
        </w:rPr>
        <w:t>selective distribution </w:t>
      </w:r>
      <w:r>
        <w:rPr>
          <w:color w:val="231F20"/>
        </w:rPr>
        <w:t>to gain a greater number and</w:t>
      </w:r>
      <w:r>
        <w:rPr>
          <w:color w:val="231F20"/>
          <w:spacing w:val="40"/>
        </w:rPr>
        <w:t> </w:t>
      </w:r>
      <w:r>
        <w:rPr>
          <w:color w:val="231F20"/>
        </w:rPr>
        <w:t>variety</w:t>
      </w:r>
      <w:r>
        <w:rPr>
          <w:color w:val="231F20"/>
          <w:spacing w:val="40"/>
        </w:rPr>
        <w:t> </w:t>
      </w:r>
      <w:r>
        <w:rPr>
          <w:color w:val="231F20"/>
        </w:rPr>
        <w:t>of</w:t>
      </w:r>
      <w:r>
        <w:rPr>
          <w:color w:val="231F20"/>
          <w:spacing w:val="40"/>
        </w:rPr>
        <w:t> </w:t>
      </w:r>
      <w:r>
        <w:rPr>
          <w:color w:val="231F20"/>
        </w:rPr>
        <w:t>outlets.</w:t>
      </w:r>
      <w:r>
        <w:rPr>
          <w:color w:val="231F20"/>
          <w:spacing w:val="40"/>
        </w:rPr>
        <w:t> </w:t>
      </w:r>
      <w:r>
        <w:rPr>
          <w:color w:val="231F20"/>
        </w:rPr>
        <w:t>At</w:t>
      </w:r>
      <w:r>
        <w:rPr>
          <w:color w:val="231F20"/>
          <w:spacing w:val="40"/>
        </w:rPr>
        <w:t> </w:t>
      </w:r>
      <w:r>
        <w:rPr>
          <w:color w:val="231F20"/>
        </w:rPr>
        <w:t>this</w:t>
      </w:r>
      <w:r>
        <w:rPr>
          <w:color w:val="231F20"/>
          <w:spacing w:val="40"/>
        </w:rPr>
        <w:t> </w:t>
      </w:r>
      <w:r>
        <w:rPr>
          <w:color w:val="231F20"/>
        </w:rPr>
        <w:t>stage</w:t>
      </w:r>
      <w:r>
        <w:rPr>
          <w:color w:val="231F20"/>
          <w:spacing w:val="40"/>
        </w:rPr>
        <w:t> </w:t>
      </w:r>
      <w:r>
        <w:rPr>
          <w:color w:val="231F20"/>
        </w:rPr>
        <w:t>it</w:t>
      </w:r>
      <w:r>
        <w:rPr>
          <w:color w:val="231F20"/>
          <w:spacing w:val="40"/>
        </w:rPr>
        <w:t> </w:t>
      </w:r>
      <w:r>
        <w:rPr>
          <w:color w:val="231F20"/>
        </w:rPr>
        <w:t>is</w:t>
      </w:r>
      <w:r>
        <w:rPr>
          <w:color w:val="231F20"/>
          <w:spacing w:val="40"/>
        </w:rPr>
        <w:t> </w:t>
      </w:r>
      <w:r>
        <w:rPr>
          <w:color w:val="231F20"/>
        </w:rPr>
        <w:t>important</w:t>
      </w:r>
      <w:r>
        <w:rPr>
          <w:color w:val="231F20"/>
          <w:spacing w:val="40"/>
        </w:rPr>
        <w:t> </w:t>
      </w:r>
      <w:r>
        <w:rPr>
          <w:color w:val="231F20"/>
        </w:rPr>
        <w:t>to</w:t>
      </w:r>
      <w:r>
        <w:rPr>
          <w:color w:val="231F20"/>
          <w:spacing w:val="40"/>
        </w:rPr>
        <w:t> </w:t>
      </w:r>
      <w:r>
        <w:rPr>
          <w:color w:val="231F20"/>
        </w:rPr>
        <w:t>boost</w:t>
      </w:r>
      <w:r>
        <w:rPr>
          <w:color w:val="231F20"/>
          <w:spacing w:val="40"/>
        </w:rPr>
        <w:t> </w:t>
      </w:r>
      <w:r>
        <w:rPr>
          <w:color w:val="231F20"/>
        </w:rPr>
        <w:t>your sales volume ahead of the competition in order to reduce costs through production and advertising efficiencies. This helps a com- pany gain the competitive advantage in the next stage of the PLC</w:t>
      </w:r>
      <w:r>
        <w:rPr>
          <w:color w:val="231F20"/>
          <w:spacing w:val="80"/>
        </w:rPr>
        <w:t> </w:t>
      </w:r>
      <w:r>
        <w:rPr>
          <w:color w:val="231F20"/>
        </w:rPr>
        <w:t>(e.g.,</w:t>
      </w:r>
      <w:r>
        <w:rPr>
          <w:color w:val="231F20"/>
          <w:spacing w:val="40"/>
        </w:rPr>
        <w:t> </w:t>
      </w:r>
      <w:r>
        <w:rPr>
          <w:color w:val="231F20"/>
        </w:rPr>
        <w:t>satellite</w:t>
      </w:r>
      <w:r>
        <w:rPr>
          <w:color w:val="231F20"/>
          <w:spacing w:val="40"/>
        </w:rPr>
        <w:t> </w:t>
      </w:r>
      <w:r>
        <w:rPr>
          <w:color w:val="231F20"/>
        </w:rPr>
        <w:t>radio,</w:t>
      </w:r>
      <w:r>
        <w:rPr>
          <w:color w:val="231F20"/>
          <w:spacing w:val="40"/>
        </w:rPr>
        <w:t> </w:t>
      </w:r>
      <w:r>
        <w:rPr>
          <w:color w:val="231F20"/>
        </w:rPr>
        <w:t>MP3</w:t>
      </w:r>
      <w:r>
        <w:rPr>
          <w:color w:val="231F20"/>
          <w:spacing w:val="40"/>
        </w:rPr>
        <w:t> </w:t>
      </w:r>
      <w:r>
        <w:rPr>
          <w:color w:val="231F20"/>
        </w:rPr>
        <w:t>players,</w:t>
      </w:r>
      <w:r>
        <w:rPr>
          <w:color w:val="231F20"/>
          <w:spacing w:val="40"/>
        </w:rPr>
        <w:t> </w:t>
      </w:r>
      <w:r>
        <w:rPr>
          <w:color w:val="231F20"/>
        </w:rPr>
        <w:t>HDTVs,</w:t>
      </w:r>
      <w:r>
        <w:rPr>
          <w:color w:val="231F20"/>
          <w:spacing w:val="40"/>
        </w:rPr>
        <w:t> </w:t>
      </w:r>
      <w:r>
        <w:rPr>
          <w:color w:val="231F20"/>
        </w:rPr>
        <w:t>DVRs).</w:t>
      </w:r>
    </w:p>
    <w:p>
      <w:pPr>
        <w:pStyle w:val="BodyText"/>
        <w:spacing w:line="292" w:lineRule="auto"/>
        <w:ind w:left="829" w:right="756" w:firstLine="340"/>
        <w:jc w:val="right"/>
      </w:pPr>
      <w:r>
        <w:rPr>
          <w:rFonts w:ascii="Arial" w:hAnsi="Arial"/>
          <w:color w:val="231F20"/>
          <w:sz w:val="18"/>
        </w:rPr>
        <w:t>Stage</w:t>
      </w:r>
      <w:r>
        <w:rPr>
          <w:rFonts w:ascii="Arial" w:hAnsi="Arial"/>
          <w:color w:val="231F20"/>
          <w:spacing w:val="34"/>
          <w:sz w:val="18"/>
        </w:rPr>
        <w:t> </w:t>
      </w:r>
      <w:r>
        <w:rPr>
          <w:rFonts w:ascii="Arial" w:hAnsi="Arial"/>
          <w:color w:val="231F20"/>
          <w:sz w:val="18"/>
        </w:rPr>
        <w:t>3:</w:t>
      </w:r>
      <w:r>
        <w:rPr>
          <w:rFonts w:ascii="Arial" w:hAnsi="Arial"/>
          <w:color w:val="231F20"/>
          <w:spacing w:val="34"/>
          <w:sz w:val="18"/>
        </w:rPr>
        <w:t> </w:t>
      </w:r>
      <w:r>
        <w:rPr>
          <w:rFonts w:ascii="Arial" w:hAnsi="Arial"/>
          <w:color w:val="231F20"/>
          <w:sz w:val="18"/>
        </w:rPr>
        <w:t>Maturity,</w:t>
      </w:r>
      <w:r>
        <w:rPr>
          <w:rFonts w:ascii="Arial" w:hAnsi="Arial"/>
          <w:color w:val="231F20"/>
          <w:spacing w:val="34"/>
          <w:sz w:val="18"/>
        </w:rPr>
        <w:t> </w:t>
      </w:r>
      <w:r>
        <w:rPr>
          <w:rFonts w:ascii="Arial" w:hAnsi="Arial"/>
          <w:color w:val="231F20"/>
          <w:sz w:val="18"/>
        </w:rPr>
        <w:t>“Why</w:t>
      </w:r>
      <w:r>
        <w:rPr>
          <w:rFonts w:ascii="Arial" w:hAnsi="Arial"/>
          <w:color w:val="231F20"/>
          <w:spacing w:val="34"/>
          <w:sz w:val="18"/>
        </w:rPr>
        <w:t> </w:t>
      </w:r>
      <w:r>
        <w:rPr>
          <w:rFonts w:ascii="Arial" w:hAnsi="Arial"/>
          <w:color w:val="231F20"/>
          <w:sz w:val="18"/>
        </w:rPr>
        <w:t>this</w:t>
      </w:r>
      <w:r>
        <w:rPr>
          <w:rFonts w:ascii="Arial" w:hAnsi="Arial"/>
          <w:color w:val="231F20"/>
          <w:spacing w:val="34"/>
          <w:sz w:val="18"/>
        </w:rPr>
        <w:t> </w:t>
      </w:r>
      <w:r>
        <w:rPr>
          <w:rFonts w:ascii="Arial" w:hAnsi="Arial"/>
          <w:color w:val="231F20"/>
          <w:sz w:val="18"/>
        </w:rPr>
        <w:t>one?”</w:t>
      </w:r>
      <w:r>
        <w:rPr>
          <w:rFonts w:ascii="Arial" w:hAnsi="Arial"/>
          <w:color w:val="231F20"/>
          <w:spacing w:val="40"/>
          <w:sz w:val="18"/>
        </w:rPr>
        <w:t> </w:t>
      </w:r>
      <w:r>
        <w:rPr>
          <w:color w:val="231F20"/>
        </w:rPr>
        <w:t>At</w:t>
      </w:r>
      <w:r>
        <w:rPr>
          <w:color w:val="231F20"/>
          <w:spacing w:val="40"/>
        </w:rPr>
        <w:t> </w:t>
      </w:r>
      <w:r>
        <w:rPr>
          <w:color w:val="231F20"/>
        </w:rPr>
        <w:t>this</w:t>
      </w:r>
      <w:r>
        <w:rPr>
          <w:color w:val="231F20"/>
          <w:spacing w:val="40"/>
        </w:rPr>
        <w:t> </w:t>
      </w:r>
      <w:r>
        <w:rPr>
          <w:color w:val="231F20"/>
        </w:rPr>
        <w:t>stage</w:t>
      </w:r>
      <w:r>
        <w:rPr>
          <w:color w:val="231F20"/>
          <w:spacing w:val="40"/>
        </w:rPr>
        <w:t> </w:t>
      </w:r>
      <w:r>
        <w:rPr>
          <w:color w:val="231F20"/>
        </w:rPr>
        <w:t>the</w:t>
      </w:r>
      <w:r>
        <w:rPr>
          <w:color w:val="231F20"/>
          <w:spacing w:val="40"/>
        </w:rPr>
        <w:t> </w:t>
      </w:r>
      <w:r>
        <w:rPr>
          <w:i/>
          <w:color w:val="231F20"/>
        </w:rPr>
        <w:t>late</w:t>
      </w:r>
      <w:r>
        <w:rPr>
          <w:i/>
          <w:color w:val="231F20"/>
          <w:spacing w:val="40"/>
        </w:rPr>
        <w:t> </w:t>
      </w:r>
      <w:r>
        <w:rPr>
          <w:i/>
          <w:color w:val="231F20"/>
        </w:rPr>
        <w:t>majority</w:t>
      </w:r>
      <w:r>
        <w:rPr>
          <w:i/>
          <w:color w:val="231F20"/>
        </w:rPr>
        <w:t> </w:t>
      </w:r>
      <w:r>
        <w:rPr>
          <w:color w:val="231F20"/>
        </w:rPr>
        <w:t>of the mass market buys. Because people are accustomed to buying the product and the differences are few, brand loyalty plays a </w:t>
      </w:r>
      <w:r>
        <w:rPr>
          <w:color w:val="231F20"/>
        </w:rPr>
        <w:t>domi- nant role. Price competition often becomes heated in stable markets because additional market share comes directly from your competi- tors.</w:t>
      </w:r>
      <w:r>
        <w:rPr>
          <w:color w:val="231F20"/>
          <w:spacing w:val="34"/>
        </w:rPr>
        <w:t> </w:t>
      </w:r>
      <w:r>
        <w:rPr>
          <w:color w:val="231F20"/>
        </w:rPr>
        <w:t>The</w:t>
      </w:r>
      <w:r>
        <w:rPr>
          <w:color w:val="231F20"/>
          <w:spacing w:val="34"/>
        </w:rPr>
        <w:t> </w:t>
      </w:r>
      <w:r>
        <w:rPr>
          <w:color w:val="231F20"/>
        </w:rPr>
        <w:t>product’s</w:t>
      </w:r>
      <w:r>
        <w:rPr>
          <w:color w:val="231F20"/>
          <w:spacing w:val="34"/>
        </w:rPr>
        <w:t> </w:t>
      </w:r>
      <w:r>
        <w:rPr>
          <w:color w:val="231F20"/>
        </w:rPr>
        <w:t>features</w:t>
      </w:r>
      <w:r>
        <w:rPr>
          <w:color w:val="231F20"/>
          <w:spacing w:val="34"/>
        </w:rPr>
        <w:t> </w:t>
      </w:r>
      <w:r>
        <w:rPr>
          <w:color w:val="231F20"/>
        </w:rPr>
        <w:t>that</w:t>
      </w:r>
      <w:r>
        <w:rPr>
          <w:color w:val="231F20"/>
          <w:spacing w:val="34"/>
        </w:rPr>
        <w:t> </w:t>
      </w:r>
      <w:r>
        <w:rPr>
          <w:color w:val="231F20"/>
        </w:rPr>
        <w:t>were</w:t>
      </w:r>
      <w:r>
        <w:rPr>
          <w:color w:val="231F20"/>
          <w:spacing w:val="34"/>
        </w:rPr>
        <w:t> </w:t>
      </w:r>
      <w:r>
        <w:rPr>
          <w:color w:val="231F20"/>
        </w:rPr>
        <w:t>so</w:t>
      </w:r>
      <w:r>
        <w:rPr>
          <w:color w:val="231F20"/>
          <w:spacing w:val="34"/>
        </w:rPr>
        <w:t> </w:t>
      </w:r>
      <w:r>
        <w:rPr>
          <w:color w:val="231F20"/>
        </w:rPr>
        <w:t>important</w:t>
      </w:r>
      <w:r>
        <w:rPr>
          <w:color w:val="231F20"/>
          <w:spacing w:val="34"/>
        </w:rPr>
        <w:t> </w:t>
      </w:r>
      <w:r>
        <w:rPr>
          <w:color w:val="231F20"/>
        </w:rPr>
        <w:t>in</w:t>
      </w:r>
      <w:r>
        <w:rPr>
          <w:color w:val="231F20"/>
          <w:spacing w:val="34"/>
        </w:rPr>
        <w:t> </w:t>
      </w:r>
      <w:r>
        <w:rPr>
          <w:color w:val="231F20"/>
        </w:rPr>
        <w:t>the</w:t>
      </w:r>
      <w:r>
        <w:rPr>
          <w:color w:val="231F20"/>
          <w:spacing w:val="34"/>
        </w:rPr>
        <w:t> </w:t>
      </w:r>
      <w:r>
        <w:rPr>
          <w:color w:val="231F20"/>
        </w:rPr>
        <w:t>growth stage</w:t>
      </w:r>
      <w:r>
        <w:rPr>
          <w:color w:val="231F20"/>
          <w:spacing w:val="-2"/>
        </w:rPr>
        <w:t> </w:t>
      </w:r>
      <w:r>
        <w:rPr>
          <w:color w:val="231F20"/>
        </w:rPr>
        <w:t>have</w:t>
      </w:r>
      <w:r>
        <w:rPr>
          <w:color w:val="231F20"/>
          <w:spacing w:val="-2"/>
        </w:rPr>
        <w:t> </w:t>
      </w:r>
      <w:r>
        <w:rPr>
          <w:color w:val="231F20"/>
        </w:rPr>
        <w:t>become</w:t>
      </w:r>
      <w:r>
        <w:rPr>
          <w:color w:val="231F20"/>
          <w:spacing w:val="-2"/>
        </w:rPr>
        <w:t> </w:t>
      </w:r>
      <w:r>
        <w:rPr>
          <w:color w:val="231F20"/>
        </w:rPr>
        <w:t>standardized.</w:t>
      </w:r>
      <w:r>
        <w:rPr>
          <w:color w:val="231F20"/>
          <w:spacing w:val="-2"/>
        </w:rPr>
        <w:t> </w:t>
      </w:r>
      <w:r>
        <w:rPr>
          <w:color w:val="231F20"/>
        </w:rPr>
        <w:t>Because</w:t>
      </w:r>
      <w:r>
        <w:rPr>
          <w:color w:val="231F20"/>
          <w:spacing w:val="-2"/>
        </w:rPr>
        <w:t> </w:t>
      </w:r>
      <w:r>
        <w:rPr>
          <w:color w:val="231F20"/>
        </w:rPr>
        <w:t>there</w:t>
      </w:r>
      <w:r>
        <w:rPr>
          <w:color w:val="231F20"/>
          <w:spacing w:val="-2"/>
        </w:rPr>
        <w:t> </w:t>
      </w:r>
      <w:r>
        <w:rPr>
          <w:color w:val="231F20"/>
        </w:rPr>
        <w:t>is</w:t>
      </w:r>
      <w:r>
        <w:rPr>
          <w:color w:val="231F20"/>
          <w:spacing w:val="-2"/>
        </w:rPr>
        <w:t> </w:t>
      </w:r>
      <w:r>
        <w:rPr>
          <w:color w:val="231F20"/>
        </w:rPr>
        <w:t>less</w:t>
      </w:r>
      <w:r>
        <w:rPr>
          <w:color w:val="231F20"/>
          <w:spacing w:val="-2"/>
        </w:rPr>
        <w:t> </w:t>
      </w:r>
      <w:r>
        <w:rPr>
          <w:color w:val="231F20"/>
        </w:rPr>
        <w:t>differentiation on product attributes, advertising is used as a vehicle to differentiate products. Marketing managers try to segment their target market as much as possible to meet specific unmet consumer needs. In mature markets, competitors are ferreting out all possible segments. All pos- sible channels of distribution are also considered using a </w:t>
      </w:r>
      <w:r>
        <w:rPr>
          <w:i/>
          <w:color w:val="231F20"/>
        </w:rPr>
        <w:t>mass mar-</w:t>
      </w:r>
      <w:r>
        <w:rPr>
          <w:i/>
          <w:color w:val="231F20"/>
        </w:rPr>
        <w:t> ket </w:t>
      </w:r>
      <w:r>
        <w:rPr>
          <w:color w:val="231F20"/>
        </w:rPr>
        <w:t>distribution strategy (e.g., DVD players, PDAs, digital cameras).</w:t>
      </w:r>
      <w:r>
        <w:rPr>
          <w:color w:val="231F20"/>
          <w:spacing w:val="80"/>
        </w:rPr>
        <w:t> </w:t>
      </w:r>
      <w:r>
        <w:rPr>
          <w:rFonts w:ascii="Arial" w:hAnsi="Arial"/>
          <w:color w:val="231F20"/>
          <w:sz w:val="18"/>
        </w:rPr>
        <w:t>Stage</w:t>
      </w:r>
      <w:r>
        <w:rPr>
          <w:rFonts w:ascii="Arial" w:hAnsi="Arial"/>
          <w:color w:val="231F20"/>
          <w:spacing w:val="36"/>
          <w:sz w:val="18"/>
        </w:rPr>
        <w:t> </w:t>
      </w:r>
      <w:r>
        <w:rPr>
          <w:rFonts w:ascii="Arial" w:hAnsi="Arial"/>
          <w:color w:val="231F20"/>
          <w:sz w:val="18"/>
        </w:rPr>
        <w:t>4:</w:t>
      </w:r>
      <w:r>
        <w:rPr>
          <w:rFonts w:ascii="Arial" w:hAnsi="Arial"/>
          <w:color w:val="231F20"/>
          <w:spacing w:val="36"/>
          <w:sz w:val="18"/>
        </w:rPr>
        <w:t> </w:t>
      </w:r>
      <w:r>
        <w:rPr>
          <w:rFonts w:ascii="Arial" w:hAnsi="Arial"/>
          <w:color w:val="231F20"/>
          <w:sz w:val="18"/>
        </w:rPr>
        <w:t>Decline,</w:t>
      </w:r>
      <w:r>
        <w:rPr>
          <w:rFonts w:ascii="Arial" w:hAnsi="Arial"/>
          <w:color w:val="231F20"/>
          <w:spacing w:val="36"/>
          <w:sz w:val="18"/>
        </w:rPr>
        <w:t> </w:t>
      </w:r>
      <w:r>
        <w:rPr>
          <w:rFonts w:ascii="Arial" w:hAnsi="Arial"/>
          <w:color w:val="231F20"/>
          <w:sz w:val="18"/>
        </w:rPr>
        <w:t>“How</w:t>
      </w:r>
      <w:r>
        <w:rPr>
          <w:rFonts w:ascii="Arial" w:hAnsi="Arial"/>
          <w:color w:val="231F20"/>
          <w:spacing w:val="36"/>
          <w:sz w:val="18"/>
        </w:rPr>
        <w:t> </w:t>
      </w:r>
      <w:r>
        <w:rPr>
          <w:rFonts w:ascii="Arial" w:hAnsi="Arial"/>
          <w:color w:val="231F20"/>
          <w:sz w:val="18"/>
        </w:rPr>
        <w:t>much?”</w:t>
      </w:r>
      <w:r>
        <w:rPr>
          <w:rFonts w:ascii="Arial" w:hAnsi="Arial"/>
          <w:color w:val="231F20"/>
          <w:spacing w:val="40"/>
          <w:sz w:val="18"/>
        </w:rPr>
        <w:t> </w:t>
      </w:r>
      <w:r>
        <w:rPr>
          <w:color w:val="231F20"/>
        </w:rPr>
        <w:t>As</w:t>
      </w:r>
      <w:r>
        <w:rPr>
          <w:color w:val="231F20"/>
          <w:spacing w:val="40"/>
        </w:rPr>
        <w:t> </w:t>
      </w:r>
      <w:r>
        <w:rPr>
          <w:color w:val="231F20"/>
        </w:rPr>
        <w:t>a</w:t>
      </w:r>
      <w:r>
        <w:rPr>
          <w:color w:val="231F20"/>
          <w:spacing w:val="40"/>
        </w:rPr>
        <w:t> </w:t>
      </w:r>
      <w:r>
        <w:rPr>
          <w:color w:val="231F20"/>
        </w:rPr>
        <w:t>product</w:t>
      </w:r>
      <w:r>
        <w:rPr>
          <w:color w:val="231F20"/>
          <w:spacing w:val="40"/>
        </w:rPr>
        <w:t> </w:t>
      </w:r>
      <w:r>
        <w:rPr>
          <w:color w:val="231F20"/>
        </w:rPr>
        <w:t>ages</w:t>
      </w:r>
      <w:r>
        <w:rPr>
          <w:color w:val="231F20"/>
          <w:spacing w:val="40"/>
        </w:rPr>
        <w:t> </w:t>
      </w:r>
      <w:r>
        <w:rPr>
          <w:color w:val="231F20"/>
        </w:rPr>
        <w:t>in</w:t>
      </w:r>
      <w:r>
        <w:rPr>
          <w:color w:val="231F20"/>
          <w:spacing w:val="40"/>
        </w:rPr>
        <w:t> </w:t>
      </w:r>
      <w:r>
        <w:rPr>
          <w:color w:val="231F20"/>
        </w:rPr>
        <w:t>its</w:t>
      </w:r>
      <w:r>
        <w:rPr>
          <w:color w:val="231F20"/>
          <w:spacing w:val="40"/>
        </w:rPr>
        <w:t> </w:t>
      </w:r>
      <w:r>
        <w:rPr>
          <w:color w:val="231F20"/>
        </w:rPr>
        <w:t>PLC,</w:t>
      </w:r>
      <w:r>
        <w:rPr>
          <w:color w:val="231F20"/>
          <w:spacing w:val="40"/>
        </w:rPr>
        <w:t> </w:t>
      </w:r>
      <w:r>
        <w:rPr>
          <w:color w:val="231F20"/>
        </w:rPr>
        <w:t>it</w:t>
      </w:r>
      <w:r>
        <w:rPr>
          <w:color w:val="231F20"/>
          <w:spacing w:val="40"/>
        </w:rPr>
        <w:t> </w:t>
      </w:r>
      <w:r>
        <w:rPr>
          <w:color w:val="231F20"/>
        </w:rPr>
        <w:t>is likely</w:t>
      </w:r>
      <w:r>
        <w:rPr>
          <w:color w:val="231F20"/>
          <w:spacing w:val="-1"/>
        </w:rPr>
        <w:t> </w:t>
      </w:r>
      <w:r>
        <w:rPr>
          <w:color w:val="231F20"/>
        </w:rPr>
        <w:t>that</w:t>
      </w:r>
      <w:r>
        <w:rPr>
          <w:color w:val="231F20"/>
          <w:spacing w:val="-1"/>
        </w:rPr>
        <w:t> </w:t>
      </w:r>
      <w:r>
        <w:rPr>
          <w:color w:val="231F20"/>
        </w:rPr>
        <w:t>its</w:t>
      </w:r>
      <w:r>
        <w:rPr>
          <w:color w:val="231F20"/>
          <w:spacing w:val="-1"/>
        </w:rPr>
        <w:t> </w:t>
      </w:r>
      <w:r>
        <w:rPr>
          <w:color w:val="231F20"/>
        </w:rPr>
        <w:t>competitors</w:t>
      </w:r>
      <w:r>
        <w:rPr>
          <w:color w:val="231F20"/>
          <w:spacing w:val="-1"/>
        </w:rPr>
        <w:t> </w:t>
      </w:r>
      <w:r>
        <w:rPr>
          <w:color w:val="231F20"/>
        </w:rPr>
        <w:t>offer</w:t>
      </w:r>
      <w:r>
        <w:rPr>
          <w:color w:val="231F20"/>
          <w:spacing w:val="-1"/>
        </w:rPr>
        <w:t> </w:t>
      </w:r>
      <w:r>
        <w:rPr>
          <w:color w:val="231F20"/>
        </w:rPr>
        <w:t>similar</w:t>
      </w:r>
      <w:r>
        <w:rPr>
          <w:color w:val="231F20"/>
          <w:spacing w:val="-1"/>
        </w:rPr>
        <w:t> </w:t>
      </w:r>
      <w:r>
        <w:rPr>
          <w:color w:val="231F20"/>
        </w:rPr>
        <w:t>products.</w:t>
      </w:r>
      <w:r>
        <w:rPr>
          <w:color w:val="231F20"/>
          <w:spacing w:val="-1"/>
        </w:rPr>
        <w:t> </w:t>
      </w:r>
      <w:r>
        <w:rPr>
          <w:color w:val="231F20"/>
        </w:rPr>
        <w:t>Even</w:t>
      </w:r>
      <w:r>
        <w:rPr>
          <w:color w:val="231F20"/>
          <w:spacing w:val="-1"/>
        </w:rPr>
        <w:t> </w:t>
      </w:r>
      <w:r>
        <w:rPr>
          <w:color w:val="231F20"/>
        </w:rPr>
        <w:t>the</w:t>
      </w:r>
      <w:r>
        <w:rPr>
          <w:color w:val="231F20"/>
          <w:spacing w:val="-1"/>
        </w:rPr>
        <w:t> </w:t>
      </w:r>
      <w:r>
        <w:rPr>
          <w:color w:val="231F20"/>
        </w:rPr>
        <w:t>most</w:t>
      </w:r>
      <w:r>
        <w:rPr>
          <w:color w:val="231F20"/>
          <w:spacing w:val="-1"/>
        </w:rPr>
        <w:t> </w:t>
      </w:r>
      <w:r>
        <w:rPr>
          <w:color w:val="231F20"/>
        </w:rPr>
        <w:t>timid consumers,</w:t>
      </w:r>
      <w:r>
        <w:rPr>
          <w:color w:val="231F20"/>
          <w:spacing w:val="23"/>
        </w:rPr>
        <w:t> </w:t>
      </w:r>
      <w:r>
        <w:rPr>
          <w:color w:val="231F20"/>
        </w:rPr>
        <w:t>the</w:t>
      </w:r>
      <w:r>
        <w:rPr>
          <w:color w:val="231F20"/>
          <w:spacing w:val="23"/>
        </w:rPr>
        <w:t> </w:t>
      </w:r>
      <w:r>
        <w:rPr>
          <w:i/>
          <w:color w:val="231F20"/>
        </w:rPr>
        <w:t>laggards,</w:t>
      </w:r>
      <w:r>
        <w:rPr>
          <w:i/>
          <w:color w:val="231F20"/>
          <w:spacing w:val="23"/>
        </w:rPr>
        <w:t> </w:t>
      </w:r>
      <w:r>
        <w:rPr>
          <w:color w:val="231F20"/>
        </w:rPr>
        <w:t>find</w:t>
      </w:r>
      <w:r>
        <w:rPr>
          <w:color w:val="231F20"/>
          <w:spacing w:val="23"/>
        </w:rPr>
        <w:t> </w:t>
      </w:r>
      <w:r>
        <w:rPr>
          <w:color w:val="231F20"/>
        </w:rPr>
        <w:t>it</w:t>
      </w:r>
      <w:r>
        <w:rPr>
          <w:color w:val="231F20"/>
          <w:spacing w:val="23"/>
        </w:rPr>
        <w:t> </w:t>
      </w:r>
      <w:r>
        <w:rPr>
          <w:color w:val="231F20"/>
        </w:rPr>
        <w:t>safe</w:t>
      </w:r>
      <w:r>
        <w:rPr>
          <w:color w:val="231F20"/>
          <w:spacing w:val="23"/>
        </w:rPr>
        <w:t> </w:t>
      </w:r>
      <w:r>
        <w:rPr>
          <w:color w:val="231F20"/>
        </w:rPr>
        <w:t>to</w:t>
      </w:r>
      <w:r>
        <w:rPr>
          <w:color w:val="231F20"/>
          <w:spacing w:val="23"/>
        </w:rPr>
        <w:t> </w:t>
      </w:r>
      <w:r>
        <w:rPr>
          <w:color w:val="231F20"/>
        </w:rPr>
        <w:t>buy</w:t>
      </w:r>
      <w:r>
        <w:rPr>
          <w:color w:val="231F20"/>
          <w:spacing w:val="23"/>
        </w:rPr>
        <w:t> </w:t>
      </w:r>
      <w:r>
        <w:rPr>
          <w:color w:val="231F20"/>
        </w:rPr>
        <w:t>the</w:t>
      </w:r>
      <w:r>
        <w:rPr>
          <w:color w:val="231F20"/>
          <w:spacing w:val="23"/>
        </w:rPr>
        <w:t> </w:t>
      </w:r>
      <w:r>
        <w:rPr>
          <w:color w:val="231F20"/>
        </w:rPr>
        <w:t>product</w:t>
      </w:r>
      <w:r>
        <w:rPr>
          <w:color w:val="231F20"/>
          <w:spacing w:val="23"/>
        </w:rPr>
        <w:t> </w:t>
      </w:r>
      <w:r>
        <w:rPr>
          <w:color w:val="231F20"/>
        </w:rPr>
        <w:t>at</w:t>
      </w:r>
      <w:r>
        <w:rPr>
          <w:color w:val="231F20"/>
          <w:spacing w:val="23"/>
        </w:rPr>
        <w:t> </w:t>
      </w:r>
      <w:r>
        <w:rPr>
          <w:color w:val="231F20"/>
        </w:rPr>
        <w:t>this</w:t>
      </w:r>
      <w:r>
        <w:rPr>
          <w:color w:val="231F20"/>
          <w:spacing w:val="23"/>
        </w:rPr>
        <w:t> </w:t>
      </w:r>
      <w:r>
        <w:rPr>
          <w:color w:val="231F20"/>
        </w:rPr>
        <w:t>late stage.</w:t>
      </w:r>
      <w:r>
        <w:rPr>
          <w:color w:val="231F20"/>
          <w:spacing w:val="-2"/>
        </w:rPr>
        <w:t> </w:t>
      </w:r>
      <w:r>
        <w:rPr>
          <w:color w:val="231F20"/>
        </w:rPr>
        <w:t>(If</w:t>
      </w:r>
      <w:r>
        <w:rPr>
          <w:color w:val="231F20"/>
          <w:spacing w:val="-2"/>
        </w:rPr>
        <w:t> </w:t>
      </w:r>
      <w:r>
        <w:rPr>
          <w:color w:val="231F20"/>
        </w:rPr>
        <w:t>it</w:t>
      </w:r>
      <w:r>
        <w:rPr>
          <w:color w:val="231F20"/>
          <w:spacing w:val="-2"/>
        </w:rPr>
        <w:t> </w:t>
      </w:r>
      <w:r>
        <w:rPr>
          <w:color w:val="231F20"/>
        </w:rPr>
        <w:t>does</w:t>
      </w:r>
      <w:r>
        <w:rPr>
          <w:color w:val="231F20"/>
          <w:spacing w:val="-2"/>
        </w:rPr>
        <w:t> </w:t>
      </w:r>
      <w:r>
        <w:rPr>
          <w:color w:val="231F20"/>
        </w:rPr>
        <w:t>cause</w:t>
      </w:r>
      <w:r>
        <w:rPr>
          <w:color w:val="231F20"/>
          <w:spacing w:val="-2"/>
        </w:rPr>
        <w:t> </w:t>
      </w:r>
      <w:r>
        <w:rPr>
          <w:color w:val="231F20"/>
        </w:rPr>
        <w:t>cancer,</w:t>
      </w:r>
      <w:r>
        <w:rPr>
          <w:color w:val="231F20"/>
          <w:spacing w:val="-2"/>
        </w:rPr>
        <w:t> </w:t>
      </w:r>
      <w:r>
        <w:rPr>
          <w:color w:val="231F20"/>
        </w:rPr>
        <w:t>the</w:t>
      </w:r>
      <w:r>
        <w:rPr>
          <w:color w:val="231F20"/>
          <w:spacing w:val="-2"/>
        </w:rPr>
        <w:t> </w:t>
      </w:r>
      <w:r>
        <w:rPr>
          <w:color w:val="231F20"/>
        </w:rPr>
        <w:t>FDA</w:t>
      </w:r>
      <w:r>
        <w:rPr>
          <w:color w:val="231F20"/>
          <w:spacing w:val="-2"/>
        </w:rPr>
        <w:t> </w:t>
      </w:r>
      <w:r>
        <w:rPr>
          <w:color w:val="231F20"/>
        </w:rPr>
        <w:t>has</w:t>
      </w:r>
      <w:r>
        <w:rPr>
          <w:color w:val="231F20"/>
          <w:spacing w:val="-2"/>
        </w:rPr>
        <w:t> </w:t>
      </w:r>
      <w:r>
        <w:rPr>
          <w:color w:val="231F20"/>
        </w:rPr>
        <w:t>usually</w:t>
      </w:r>
      <w:r>
        <w:rPr>
          <w:color w:val="231F20"/>
          <w:spacing w:val="-2"/>
        </w:rPr>
        <w:t> </w:t>
      </w:r>
      <w:r>
        <w:rPr>
          <w:color w:val="231F20"/>
        </w:rPr>
        <w:t>found</w:t>
      </w:r>
      <w:r>
        <w:rPr>
          <w:color w:val="231F20"/>
          <w:spacing w:val="-2"/>
        </w:rPr>
        <w:t> </w:t>
      </w:r>
      <w:r>
        <w:rPr>
          <w:color w:val="231F20"/>
        </w:rPr>
        <w:t>out</w:t>
      </w:r>
      <w:r>
        <w:rPr>
          <w:color w:val="231F20"/>
          <w:spacing w:val="-2"/>
        </w:rPr>
        <w:t> </w:t>
      </w:r>
      <w:r>
        <w:rPr>
          <w:color w:val="231F20"/>
        </w:rPr>
        <w:t>by</w:t>
      </w:r>
      <w:r>
        <w:rPr>
          <w:color w:val="231F20"/>
          <w:spacing w:val="-2"/>
        </w:rPr>
        <w:t> </w:t>
      </w:r>
      <w:r>
        <w:rPr>
          <w:color w:val="231F20"/>
        </w:rPr>
        <w:t>now.) Consumers turn a deaf ear to advertising because they know that all competing</w:t>
      </w:r>
      <w:r>
        <w:rPr>
          <w:color w:val="231F20"/>
          <w:spacing w:val="-8"/>
        </w:rPr>
        <w:t> </w:t>
      </w:r>
      <w:r>
        <w:rPr>
          <w:color w:val="231F20"/>
        </w:rPr>
        <w:t>products</w:t>
      </w:r>
      <w:r>
        <w:rPr>
          <w:color w:val="231F20"/>
          <w:spacing w:val="-8"/>
        </w:rPr>
        <w:t> </w:t>
      </w:r>
      <w:r>
        <w:rPr>
          <w:color w:val="231F20"/>
        </w:rPr>
        <w:t>are</w:t>
      </w:r>
      <w:r>
        <w:rPr>
          <w:color w:val="231F20"/>
          <w:spacing w:val="-8"/>
        </w:rPr>
        <w:t> </w:t>
      </w:r>
      <w:r>
        <w:rPr>
          <w:color w:val="231F20"/>
        </w:rPr>
        <w:t>the</w:t>
      </w:r>
      <w:r>
        <w:rPr>
          <w:color w:val="231F20"/>
          <w:spacing w:val="-8"/>
        </w:rPr>
        <w:t> </w:t>
      </w:r>
      <w:r>
        <w:rPr>
          <w:color w:val="231F20"/>
        </w:rPr>
        <w:t>same.</w:t>
      </w:r>
      <w:r>
        <w:rPr>
          <w:color w:val="231F20"/>
          <w:spacing w:val="-8"/>
        </w:rPr>
        <w:t> </w:t>
      </w:r>
      <w:r>
        <w:rPr>
          <w:color w:val="231F20"/>
        </w:rPr>
        <w:t>At</w:t>
      </w:r>
      <w:r>
        <w:rPr>
          <w:color w:val="231F20"/>
          <w:spacing w:val="-8"/>
        </w:rPr>
        <w:t> </w:t>
      </w:r>
      <w:r>
        <w:rPr>
          <w:color w:val="231F20"/>
        </w:rPr>
        <w:t>this</w:t>
      </w:r>
      <w:r>
        <w:rPr>
          <w:color w:val="231F20"/>
          <w:spacing w:val="-8"/>
        </w:rPr>
        <w:t> </w:t>
      </w:r>
      <w:r>
        <w:rPr>
          <w:color w:val="231F20"/>
        </w:rPr>
        <w:t>stage</w:t>
      </w:r>
      <w:r>
        <w:rPr>
          <w:color w:val="231F20"/>
          <w:spacing w:val="-8"/>
        </w:rPr>
        <w:t> </w:t>
      </w:r>
      <w:r>
        <w:rPr>
          <w:color w:val="231F20"/>
        </w:rPr>
        <w:t>many</w:t>
      </w:r>
      <w:r>
        <w:rPr>
          <w:color w:val="231F20"/>
          <w:spacing w:val="-8"/>
        </w:rPr>
        <w:t> </w:t>
      </w:r>
      <w:r>
        <w:rPr>
          <w:color w:val="231F20"/>
        </w:rPr>
        <w:t>companies</w:t>
      </w:r>
      <w:r>
        <w:rPr>
          <w:color w:val="231F20"/>
          <w:spacing w:val="-8"/>
        </w:rPr>
        <w:t> </w:t>
      </w:r>
      <w:r>
        <w:rPr>
          <w:color w:val="231F20"/>
        </w:rPr>
        <w:t>focus their</w:t>
      </w:r>
      <w:r>
        <w:rPr>
          <w:color w:val="231F20"/>
          <w:spacing w:val="40"/>
        </w:rPr>
        <w:t> </w:t>
      </w:r>
      <w:r>
        <w:rPr>
          <w:color w:val="231F20"/>
        </w:rPr>
        <w:t>efforts</w:t>
      </w:r>
      <w:r>
        <w:rPr>
          <w:color w:val="231F20"/>
          <w:spacing w:val="40"/>
        </w:rPr>
        <w:t> </w:t>
      </w:r>
      <w:r>
        <w:rPr>
          <w:color w:val="231F20"/>
        </w:rPr>
        <w:t>on</w:t>
      </w:r>
      <w:r>
        <w:rPr>
          <w:color w:val="231F20"/>
          <w:spacing w:val="40"/>
        </w:rPr>
        <w:t> </w:t>
      </w:r>
      <w:r>
        <w:rPr>
          <w:color w:val="231F20"/>
        </w:rPr>
        <w:t>reducing</w:t>
      </w:r>
      <w:r>
        <w:rPr>
          <w:color w:val="231F20"/>
          <w:spacing w:val="40"/>
        </w:rPr>
        <w:t> </w:t>
      </w:r>
      <w:r>
        <w:rPr>
          <w:color w:val="231F20"/>
        </w:rPr>
        <w:t>price</w:t>
      </w:r>
      <w:r>
        <w:rPr>
          <w:color w:val="231F20"/>
          <w:spacing w:val="40"/>
        </w:rPr>
        <w:t> </w:t>
      </w:r>
      <w:r>
        <w:rPr>
          <w:color w:val="231F20"/>
        </w:rPr>
        <w:t>if</w:t>
      </w:r>
      <w:r>
        <w:rPr>
          <w:color w:val="231F20"/>
          <w:spacing w:val="40"/>
        </w:rPr>
        <w:t> </w:t>
      </w:r>
      <w:r>
        <w:rPr>
          <w:color w:val="231F20"/>
        </w:rPr>
        <w:t>competition</w:t>
      </w:r>
      <w:r>
        <w:rPr>
          <w:color w:val="231F20"/>
          <w:spacing w:val="40"/>
        </w:rPr>
        <w:t> </w:t>
      </w:r>
      <w:r>
        <w:rPr>
          <w:color w:val="231F20"/>
        </w:rPr>
        <w:t>remains,</w:t>
      </w:r>
      <w:r>
        <w:rPr>
          <w:color w:val="231F20"/>
          <w:spacing w:val="40"/>
        </w:rPr>
        <w:t> </w:t>
      </w:r>
      <w:r>
        <w:rPr>
          <w:color w:val="231F20"/>
        </w:rPr>
        <w:t>or</w:t>
      </w:r>
      <w:r>
        <w:rPr>
          <w:color w:val="231F20"/>
          <w:spacing w:val="40"/>
        </w:rPr>
        <w:t> </w:t>
      </w:r>
      <w:r>
        <w:rPr>
          <w:color w:val="231F20"/>
        </w:rPr>
        <w:t>slowly increasing</w:t>
      </w:r>
      <w:r>
        <w:rPr>
          <w:color w:val="231F20"/>
          <w:spacing w:val="-8"/>
        </w:rPr>
        <w:t> </w:t>
      </w:r>
      <w:r>
        <w:rPr>
          <w:color w:val="231F20"/>
        </w:rPr>
        <w:t>prices</w:t>
      </w:r>
      <w:r>
        <w:rPr>
          <w:color w:val="231F20"/>
          <w:spacing w:val="-8"/>
        </w:rPr>
        <w:t> </w:t>
      </w:r>
      <w:r>
        <w:rPr>
          <w:color w:val="231F20"/>
        </w:rPr>
        <w:t>if</w:t>
      </w:r>
      <w:r>
        <w:rPr>
          <w:color w:val="231F20"/>
          <w:spacing w:val="-8"/>
        </w:rPr>
        <w:t> </w:t>
      </w:r>
      <w:r>
        <w:rPr>
          <w:color w:val="231F20"/>
        </w:rPr>
        <w:t>the</w:t>
      </w:r>
      <w:r>
        <w:rPr>
          <w:color w:val="231F20"/>
          <w:spacing w:val="-8"/>
        </w:rPr>
        <w:t> </w:t>
      </w:r>
      <w:r>
        <w:rPr>
          <w:color w:val="231F20"/>
        </w:rPr>
        <w:t>competitive</w:t>
      </w:r>
      <w:r>
        <w:rPr>
          <w:color w:val="231F20"/>
          <w:spacing w:val="-8"/>
        </w:rPr>
        <w:t> </w:t>
      </w:r>
      <w:r>
        <w:rPr>
          <w:color w:val="231F20"/>
        </w:rPr>
        <w:t>field</w:t>
      </w:r>
      <w:r>
        <w:rPr>
          <w:color w:val="231F20"/>
          <w:spacing w:val="-8"/>
        </w:rPr>
        <w:t> </w:t>
      </w:r>
      <w:r>
        <w:rPr>
          <w:color w:val="231F20"/>
        </w:rPr>
        <w:t>thins.</w:t>
      </w:r>
      <w:r>
        <w:rPr>
          <w:color w:val="231F20"/>
          <w:spacing w:val="-8"/>
        </w:rPr>
        <w:t> </w:t>
      </w:r>
      <w:r>
        <w:rPr>
          <w:color w:val="231F20"/>
        </w:rPr>
        <w:t>Trade</w:t>
      </w:r>
      <w:r>
        <w:rPr>
          <w:color w:val="231F20"/>
          <w:spacing w:val="-8"/>
        </w:rPr>
        <w:t> </w:t>
      </w:r>
      <w:r>
        <w:rPr>
          <w:color w:val="231F20"/>
        </w:rPr>
        <w:t>relations</w:t>
      </w:r>
      <w:r>
        <w:rPr>
          <w:color w:val="231F20"/>
          <w:spacing w:val="-8"/>
        </w:rPr>
        <w:t> </w:t>
      </w:r>
      <w:r>
        <w:rPr>
          <w:color w:val="231F20"/>
        </w:rPr>
        <w:t>are</w:t>
      </w:r>
      <w:r>
        <w:rPr>
          <w:color w:val="231F20"/>
          <w:spacing w:val="-8"/>
        </w:rPr>
        <w:t> </w:t>
      </w:r>
      <w:r>
        <w:rPr>
          <w:color w:val="231F20"/>
        </w:rPr>
        <w:t>key to staying on the retail shelf at this point, because without the excite-</w:t>
      </w:r>
    </w:p>
    <w:p>
      <w:pPr>
        <w:spacing w:after="0" w:line="292" w:lineRule="auto"/>
        <w:jc w:val="right"/>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9"/>
        <w:jc w:val="both"/>
      </w:pPr>
      <w:r>
        <w:rPr>
          <w:color w:val="231F20"/>
        </w:rPr>
        <w:t>ment</w:t>
      </w:r>
      <w:r>
        <w:rPr>
          <w:color w:val="231F20"/>
          <w:spacing w:val="-11"/>
        </w:rPr>
        <w:t> </w:t>
      </w:r>
      <w:r>
        <w:rPr>
          <w:color w:val="231F20"/>
        </w:rPr>
        <w:t>of</w:t>
      </w:r>
      <w:r>
        <w:rPr>
          <w:color w:val="231F20"/>
          <w:spacing w:val="-11"/>
        </w:rPr>
        <w:t> </w:t>
      </w:r>
      <w:r>
        <w:rPr>
          <w:color w:val="231F20"/>
        </w:rPr>
        <w:t>novelty,</w:t>
      </w:r>
      <w:r>
        <w:rPr>
          <w:color w:val="231F20"/>
          <w:spacing w:val="-11"/>
        </w:rPr>
        <w:t> </w:t>
      </w:r>
      <w:r>
        <w:rPr>
          <w:color w:val="231F20"/>
        </w:rPr>
        <w:t>distributors</w:t>
      </w:r>
      <w:r>
        <w:rPr>
          <w:color w:val="231F20"/>
          <w:spacing w:val="-11"/>
        </w:rPr>
        <w:t> </w:t>
      </w:r>
      <w:r>
        <w:rPr>
          <w:color w:val="231F20"/>
        </w:rPr>
        <w:t>and</w:t>
      </w:r>
      <w:r>
        <w:rPr>
          <w:color w:val="231F20"/>
          <w:spacing w:val="-11"/>
        </w:rPr>
        <w:t> </w:t>
      </w:r>
      <w:r>
        <w:rPr>
          <w:color w:val="231F20"/>
        </w:rPr>
        <w:t>retailers</w:t>
      </w:r>
      <w:r>
        <w:rPr>
          <w:color w:val="231F20"/>
          <w:spacing w:val="-11"/>
        </w:rPr>
        <w:t> </w:t>
      </w:r>
      <w:r>
        <w:rPr>
          <w:color w:val="231F20"/>
        </w:rPr>
        <w:t>would</w:t>
      </w:r>
      <w:r>
        <w:rPr>
          <w:color w:val="231F20"/>
          <w:spacing w:val="-11"/>
        </w:rPr>
        <w:t> </w:t>
      </w:r>
      <w:r>
        <w:rPr>
          <w:color w:val="231F20"/>
        </w:rPr>
        <w:t>rather</w:t>
      </w:r>
      <w:r>
        <w:rPr>
          <w:color w:val="231F20"/>
          <w:spacing w:val="-11"/>
        </w:rPr>
        <w:t> </w:t>
      </w:r>
      <w:r>
        <w:rPr>
          <w:color w:val="231F20"/>
        </w:rPr>
        <w:t>allocate</w:t>
      </w:r>
      <w:r>
        <w:rPr>
          <w:color w:val="231F20"/>
          <w:spacing w:val="-11"/>
        </w:rPr>
        <w:t> </w:t>
      </w:r>
      <w:r>
        <w:rPr>
          <w:color w:val="231F20"/>
        </w:rPr>
        <w:t>space to newer and potentially more profitable products. The effort to sell the trade is popularly called </w:t>
      </w:r>
      <w:r>
        <w:rPr>
          <w:i/>
          <w:color w:val="231F20"/>
        </w:rPr>
        <w:t>relationship marketing </w:t>
      </w:r>
      <w:r>
        <w:rPr>
          <w:color w:val="231F20"/>
        </w:rPr>
        <w:t>(e.g., black-and- white TVs, phonographs, cassettes, VCRs, 35mm cameras).</w:t>
      </w:r>
    </w:p>
    <w:p>
      <w:pPr>
        <w:pStyle w:val="BodyText"/>
        <w:spacing w:line="292" w:lineRule="auto"/>
        <w:ind w:left="919" w:right="663" w:firstLine="340"/>
        <w:jc w:val="both"/>
      </w:pPr>
      <w:r>
        <w:rPr>
          <w:color w:val="231F20"/>
        </w:rPr>
        <w:t>With some products the maturity phase does not necessarily mean death. Products can be reinvigorated after a period of matu- rity, and a new growth phase can begin. Baseball trading cards </w:t>
      </w:r>
      <w:r>
        <w:rPr>
          <w:color w:val="231F20"/>
        </w:rPr>
        <w:t>un- derwent such a revival, encouraged by Topps Inc.’s marketing efforts in the 1980s, and lost their luster in the 1990s.</w:t>
      </w:r>
    </w:p>
    <w:p>
      <w:pPr>
        <w:pStyle w:val="BodyText"/>
        <w:spacing w:line="292" w:lineRule="auto"/>
        <w:ind w:left="919" w:right="666" w:firstLine="340"/>
        <w:jc w:val="both"/>
      </w:pPr>
      <w:r>
        <w:rPr>
          <w:color w:val="231F20"/>
        </w:rPr>
        <w:t>In some cases, lingering death throes produce large profits </w:t>
      </w:r>
      <w:r>
        <w:rPr>
          <w:color w:val="231F20"/>
        </w:rPr>
        <w:t>for</w:t>
      </w:r>
      <w:r>
        <w:rPr>
          <w:color w:val="231F20"/>
          <w:spacing w:val="40"/>
        </w:rPr>
        <w:t> </w:t>
      </w:r>
      <w:r>
        <w:rPr>
          <w:color w:val="231F20"/>
        </w:rPr>
        <w:t>the last manufacturer. In the vacuum tube business, which supplies electronic tubes for old TVs, radios, and other equipment, Richard- son Electronics is the survivor in an industry once dominated by GE, RCA, Westinghouse, and Sylvania. Using an </w:t>
      </w:r>
      <w:r>
        <w:rPr>
          <w:i/>
          <w:color w:val="231F20"/>
        </w:rPr>
        <w:t>end game strategy, </w:t>
      </w:r>
      <w:r>
        <w:rPr>
          <w:color w:val="231F20"/>
        </w:rPr>
        <w:t>the remaining producers can extract large profits from customers since they have nowhere else to go for their replacement parts.</w:t>
      </w:r>
    </w:p>
    <w:p>
      <w:pPr>
        <w:pStyle w:val="BodyText"/>
        <w:rPr>
          <w:sz w:val="20"/>
        </w:rPr>
      </w:pPr>
    </w:p>
    <w:p>
      <w:pPr>
        <w:pStyle w:val="BodyText"/>
        <w:rPr>
          <w:sz w:val="20"/>
        </w:rPr>
      </w:pPr>
    </w:p>
    <w:p>
      <w:pPr>
        <w:pStyle w:val="BodyText"/>
        <w:spacing w:before="5"/>
        <w:rPr>
          <w:sz w:val="24"/>
        </w:rPr>
      </w:pPr>
    </w:p>
    <w:p>
      <w:pPr>
        <w:spacing w:before="96"/>
        <w:ind w:left="473" w:right="219" w:firstLine="0"/>
        <w:jc w:val="center"/>
        <w:rPr>
          <w:rFonts w:ascii="Arial"/>
          <w:sz w:val="14"/>
        </w:rPr>
      </w:pPr>
      <w:r>
        <w:rPr>
          <w:rFonts w:ascii="Arial"/>
          <w:color w:val="231F20"/>
          <w:w w:val="105"/>
          <w:sz w:val="14"/>
        </w:rPr>
        <w:t>THE</w:t>
      </w:r>
      <w:r>
        <w:rPr>
          <w:rFonts w:ascii="Arial"/>
          <w:color w:val="231F20"/>
          <w:spacing w:val="18"/>
          <w:w w:val="105"/>
          <w:sz w:val="14"/>
        </w:rPr>
        <w:t> </w:t>
      </w:r>
      <w:r>
        <w:rPr>
          <w:rFonts w:ascii="Arial"/>
          <w:color w:val="231F20"/>
          <w:w w:val="105"/>
          <w:sz w:val="14"/>
        </w:rPr>
        <w:t>PRODUCT</w:t>
      </w:r>
      <w:r>
        <w:rPr>
          <w:rFonts w:ascii="Arial"/>
          <w:color w:val="231F20"/>
          <w:spacing w:val="19"/>
          <w:w w:val="105"/>
          <w:sz w:val="14"/>
        </w:rPr>
        <w:t> </w:t>
      </w:r>
      <w:r>
        <w:rPr>
          <w:rFonts w:ascii="Arial"/>
          <w:color w:val="231F20"/>
          <w:spacing w:val="-2"/>
          <w:w w:val="105"/>
          <w:sz w:val="14"/>
        </w:rPr>
        <w:t>LIFESTYLE</w:t>
      </w:r>
    </w:p>
    <w:p>
      <w:pPr>
        <w:pStyle w:val="BodyText"/>
        <w:rPr>
          <w:rFonts w:ascii="Arial"/>
          <w:sz w:val="12"/>
        </w:rPr>
      </w:pPr>
      <w:r>
        <w:rPr/>
        <w:drawing>
          <wp:anchor distT="0" distB="0" distL="0" distR="0" allowOverlap="1" layoutInCell="1" locked="0" behindDoc="0" simplePos="0" relativeHeight="35">
            <wp:simplePos x="0" y="0"/>
            <wp:positionH relativeFrom="page">
              <wp:posOffset>791633</wp:posOffset>
            </wp:positionH>
            <wp:positionV relativeFrom="paragraph">
              <wp:posOffset>102964</wp:posOffset>
            </wp:positionV>
            <wp:extent cx="3930599" cy="2976372"/>
            <wp:effectExtent l="0" t="0" r="0" b="0"/>
            <wp:wrapTopAndBottom/>
            <wp:docPr id="9" name="image6.png"/>
            <wp:cNvGraphicFramePr>
              <a:graphicFrameLocks noChangeAspect="1"/>
            </wp:cNvGraphicFramePr>
            <a:graphic>
              <a:graphicData uri="http://schemas.openxmlformats.org/drawingml/2006/picture">
                <pic:pic>
                  <pic:nvPicPr>
                    <pic:cNvPr id="10" name="image6.png"/>
                    <pic:cNvPicPr/>
                  </pic:nvPicPr>
                  <pic:blipFill>
                    <a:blip r:embed="rId19" cstate="print"/>
                    <a:stretch>
                      <a:fillRect/>
                    </a:stretch>
                  </pic:blipFill>
                  <pic:spPr>
                    <a:xfrm>
                      <a:off x="0" y="0"/>
                      <a:ext cx="3930599" cy="2976372"/>
                    </a:xfrm>
                    <a:prstGeom prst="rect">
                      <a:avLst/>
                    </a:prstGeom>
                  </pic:spPr>
                </pic:pic>
              </a:graphicData>
            </a:graphic>
          </wp:anchor>
        </w:drawing>
      </w:r>
    </w:p>
    <w:p>
      <w:pPr>
        <w:spacing w:after="0"/>
        <w:rPr>
          <w:rFonts w:ascii="Arial"/>
          <w:sz w:val="12"/>
        </w:rPr>
        <w:sectPr>
          <w:pgSz w:w="8640" w:h="12960"/>
          <w:pgMar w:header="734" w:footer="0" w:top="920" w:bottom="280" w:left="340" w:right="500"/>
        </w:sectPr>
      </w:pPr>
    </w:p>
    <w:p>
      <w:pPr>
        <w:pStyle w:val="BodyText"/>
        <w:spacing w:before="8"/>
        <w:rPr>
          <w:rFonts w:ascii="Arial"/>
          <w:sz w:val="19"/>
        </w:rPr>
      </w:pPr>
    </w:p>
    <w:p>
      <w:pPr>
        <w:spacing w:before="99"/>
        <w:ind w:left="1170" w:right="0" w:firstLine="0"/>
        <w:jc w:val="left"/>
        <w:rPr>
          <w:rFonts w:ascii="Arial"/>
          <w:i/>
          <w:sz w:val="19"/>
        </w:rPr>
      </w:pPr>
      <w:r>
        <w:rPr>
          <w:rFonts w:ascii="Arial"/>
          <w:i/>
          <w:color w:val="231F20"/>
          <w:w w:val="115"/>
          <w:sz w:val="19"/>
        </w:rPr>
        <w:t>What</w:t>
      </w:r>
      <w:r>
        <w:rPr>
          <w:rFonts w:ascii="Arial"/>
          <w:i/>
          <w:color w:val="231F20"/>
          <w:spacing w:val="1"/>
          <w:w w:val="115"/>
          <w:sz w:val="19"/>
        </w:rPr>
        <w:t> </w:t>
      </w:r>
      <w:r>
        <w:rPr>
          <w:rFonts w:ascii="Arial"/>
          <w:i/>
          <w:color w:val="231F20"/>
          <w:w w:val="115"/>
          <w:sz w:val="19"/>
        </w:rPr>
        <w:t>are</w:t>
      </w:r>
      <w:r>
        <w:rPr>
          <w:rFonts w:ascii="Arial"/>
          <w:i/>
          <w:color w:val="231F20"/>
          <w:spacing w:val="2"/>
          <w:w w:val="115"/>
          <w:sz w:val="19"/>
        </w:rPr>
        <w:t> </w:t>
      </w:r>
      <w:r>
        <w:rPr>
          <w:rFonts w:ascii="Arial"/>
          <w:i/>
          <w:color w:val="231F20"/>
          <w:w w:val="115"/>
          <w:sz w:val="19"/>
        </w:rPr>
        <w:t>the</w:t>
      </w:r>
      <w:r>
        <w:rPr>
          <w:rFonts w:ascii="Arial"/>
          <w:i/>
          <w:color w:val="231F20"/>
          <w:spacing w:val="1"/>
          <w:w w:val="115"/>
          <w:sz w:val="19"/>
        </w:rPr>
        <w:t> </w:t>
      </w:r>
      <w:r>
        <w:rPr>
          <w:rFonts w:ascii="Arial"/>
          <w:i/>
          <w:color w:val="231F20"/>
          <w:w w:val="115"/>
          <w:sz w:val="19"/>
        </w:rPr>
        <w:t>key</w:t>
      </w:r>
      <w:r>
        <w:rPr>
          <w:rFonts w:ascii="Arial"/>
          <w:i/>
          <w:color w:val="231F20"/>
          <w:spacing w:val="2"/>
          <w:w w:val="115"/>
          <w:sz w:val="19"/>
        </w:rPr>
        <w:t> </w:t>
      </w:r>
      <w:r>
        <w:rPr>
          <w:rFonts w:ascii="Arial"/>
          <w:i/>
          <w:color w:val="231F20"/>
          <w:w w:val="115"/>
          <w:sz w:val="19"/>
        </w:rPr>
        <w:t>competitive</w:t>
      </w:r>
      <w:r>
        <w:rPr>
          <w:rFonts w:ascii="Arial"/>
          <w:i/>
          <w:color w:val="231F20"/>
          <w:spacing w:val="1"/>
          <w:w w:val="115"/>
          <w:sz w:val="19"/>
        </w:rPr>
        <w:t> </w:t>
      </w:r>
      <w:r>
        <w:rPr>
          <w:rFonts w:ascii="Arial"/>
          <w:i/>
          <w:color w:val="231F20"/>
          <w:w w:val="115"/>
          <w:sz w:val="19"/>
        </w:rPr>
        <w:t>factors</w:t>
      </w:r>
      <w:r>
        <w:rPr>
          <w:rFonts w:ascii="Arial"/>
          <w:i/>
          <w:color w:val="231F20"/>
          <w:spacing w:val="2"/>
          <w:w w:val="115"/>
          <w:sz w:val="19"/>
        </w:rPr>
        <w:t> </w:t>
      </w:r>
      <w:r>
        <w:rPr>
          <w:rFonts w:ascii="Arial"/>
          <w:i/>
          <w:color w:val="231F20"/>
          <w:w w:val="115"/>
          <w:sz w:val="19"/>
        </w:rPr>
        <w:t>within</w:t>
      </w:r>
      <w:r>
        <w:rPr>
          <w:rFonts w:ascii="Arial"/>
          <w:i/>
          <w:color w:val="231F20"/>
          <w:spacing w:val="1"/>
          <w:w w:val="115"/>
          <w:sz w:val="19"/>
        </w:rPr>
        <w:t> </w:t>
      </w:r>
      <w:r>
        <w:rPr>
          <w:rFonts w:ascii="Arial"/>
          <w:i/>
          <w:color w:val="231F20"/>
          <w:w w:val="115"/>
          <w:sz w:val="19"/>
        </w:rPr>
        <w:t>the</w:t>
      </w:r>
      <w:r>
        <w:rPr>
          <w:rFonts w:ascii="Arial"/>
          <w:i/>
          <w:color w:val="231F20"/>
          <w:spacing w:val="2"/>
          <w:w w:val="115"/>
          <w:sz w:val="19"/>
        </w:rPr>
        <w:t> </w:t>
      </w:r>
      <w:r>
        <w:rPr>
          <w:rFonts w:ascii="Arial"/>
          <w:i/>
          <w:color w:val="231F20"/>
          <w:spacing w:val="-2"/>
          <w:w w:val="115"/>
          <w:sz w:val="19"/>
        </w:rPr>
        <w:t>industry?</w:t>
      </w:r>
    </w:p>
    <w:p>
      <w:pPr>
        <w:pStyle w:val="BodyText"/>
        <w:spacing w:line="292" w:lineRule="auto" w:before="60"/>
        <w:ind w:left="830" w:right="756" w:firstLine="340"/>
        <w:jc w:val="both"/>
      </w:pPr>
      <w:r>
        <w:rPr>
          <w:color w:val="231F20"/>
        </w:rPr>
        <w:t>The basis of competition in each industry or market tends to </w:t>
      </w:r>
      <w:r>
        <w:rPr>
          <w:color w:val="231F20"/>
        </w:rPr>
        <w:t>be different. It has a major impact on how a business attacks its mar-</w:t>
      </w:r>
      <w:r>
        <w:rPr>
          <w:color w:val="231F20"/>
          <w:spacing w:val="40"/>
        </w:rPr>
        <w:t> </w:t>
      </w:r>
      <w:r>
        <w:rPr>
          <w:color w:val="231F20"/>
        </w:rPr>
        <w:t>ket. There are five major </w:t>
      </w:r>
      <w:r>
        <w:rPr>
          <w:i/>
          <w:color w:val="231F20"/>
        </w:rPr>
        <w:t>key competitive factors </w:t>
      </w:r>
      <w:r>
        <w:rPr>
          <w:color w:val="231F20"/>
        </w:rPr>
        <w:t>that constitute the battleground in most industries:</w:t>
      </w:r>
    </w:p>
    <w:p>
      <w:pPr>
        <w:pStyle w:val="BodyText"/>
        <w:spacing w:before="3"/>
        <w:rPr>
          <w:sz w:val="27"/>
        </w:rPr>
      </w:pPr>
    </w:p>
    <w:p>
      <w:pPr>
        <w:pStyle w:val="ListParagraph"/>
        <w:numPr>
          <w:ilvl w:val="0"/>
          <w:numId w:val="13"/>
        </w:numPr>
        <w:tabs>
          <w:tab w:pos="1356" w:val="left" w:leader="none"/>
        </w:tabs>
        <w:spacing w:line="240" w:lineRule="auto" w:before="1" w:after="0"/>
        <w:ind w:left="1355" w:right="0" w:hanging="186"/>
        <w:jc w:val="left"/>
        <w:rPr>
          <w:sz w:val="19"/>
        </w:rPr>
      </w:pPr>
      <w:r>
        <w:rPr>
          <w:color w:val="231F20"/>
          <w:spacing w:val="-2"/>
          <w:w w:val="115"/>
          <w:sz w:val="19"/>
        </w:rPr>
        <w:t>Quality</w:t>
      </w:r>
    </w:p>
    <w:p>
      <w:pPr>
        <w:pStyle w:val="ListParagraph"/>
        <w:numPr>
          <w:ilvl w:val="0"/>
          <w:numId w:val="13"/>
        </w:numPr>
        <w:tabs>
          <w:tab w:pos="1356" w:val="left" w:leader="none"/>
        </w:tabs>
        <w:spacing w:line="240" w:lineRule="auto" w:before="81" w:after="0"/>
        <w:ind w:left="1355" w:right="0" w:hanging="186"/>
        <w:jc w:val="left"/>
        <w:rPr>
          <w:sz w:val="19"/>
        </w:rPr>
      </w:pPr>
      <w:r>
        <w:rPr>
          <w:color w:val="231F20"/>
          <w:spacing w:val="-2"/>
          <w:w w:val="110"/>
          <w:sz w:val="19"/>
        </w:rPr>
        <w:t>Price</w:t>
      </w:r>
    </w:p>
    <w:p>
      <w:pPr>
        <w:pStyle w:val="ListParagraph"/>
        <w:numPr>
          <w:ilvl w:val="0"/>
          <w:numId w:val="13"/>
        </w:numPr>
        <w:tabs>
          <w:tab w:pos="1356" w:val="left" w:leader="none"/>
        </w:tabs>
        <w:spacing w:line="240" w:lineRule="auto" w:before="82" w:after="0"/>
        <w:ind w:left="1355" w:right="0" w:hanging="186"/>
        <w:jc w:val="left"/>
        <w:rPr>
          <w:sz w:val="19"/>
        </w:rPr>
      </w:pPr>
      <w:r>
        <w:rPr>
          <w:color w:val="231F20"/>
          <w:spacing w:val="-2"/>
          <w:w w:val="115"/>
          <w:sz w:val="19"/>
        </w:rPr>
        <w:t>Advertising</w:t>
      </w:r>
    </w:p>
    <w:p>
      <w:pPr>
        <w:pStyle w:val="ListParagraph"/>
        <w:numPr>
          <w:ilvl w:val="0"/>
          <w:numId w:val="13"/>
        </w:numPr>
        <w:tabs>
          <w:tab w:pos="1356" w:val="left" w:leader="none"/>
        </w:tabs>
        <w:spacing w:line="240" w:lineRule="auto" w:before="81" w:after="0"/>
        <w:ind w:left="1355" w:right="0" w:hanging="186"/>
        <w:jc w:val="left"/>
        <w:rPr>
          <w:sz w:val="19"/>
        </w:rPr>
      </w:pPr>
      <w:r>
        <w:rPr>
          <w:color w:val="231F20"/>
          <w:w w:val="110"/>
          <w:sz w:val="19"/>
        </w:rPr>
        <w:t>Research</w:t>
      </w:r>
      <w:r>
        <w:rPr>
          <w:color w:val="231F20"/>
          <w:spacing w:val="-12"/>
          <w:w w:val="110"/>
          <w:sz w:val="19"/>
        </w:rPr>
        <w:t> </w:t>
      </w:r>
      <w:r>
        <w:rPr>
          <w:color w:val="231F20"/>
          <w:w w:val="110"/>
          <w:sz w:val="19"/>
        </w:rPr>
        <w:t>and</w:t>
      </w:r>
      <w:r>
        <w:rPr>
          <w:color w:val="231F20"/>
          <w:spacing w:val="-12"/>
          <w:w w:val="110"/>
          <w:sz w:val="19"/>
        </w:rPr>
        <w:t> </w:t>
      </w:r>
      <w:r>
        <w:rPr>
          <w:color w:val="231F20"/>
          <w:spacing w:val="-2"/>
          <w:w w:val="110"/>
          <w:sz w:val="19"/>
        </w:rPr>
        <w:t>Development</w:t>
      </w:r>
    </w:p>
    <w:p>
      <w:pPr>
        <w:pStyle w:val="ListParagraph"/>
        <w:numPr>
          <w:ilvl w:val="0"/>
          <w:numId w:val="13"/>
        </w:numPr>
        <w:tabs>
          <w:tab w:pos="1356" w:val="left" w:leader="none"/>
        </w:tabs>
        <w:spacing w:line="240" w:lineRule="auto" w:before="82" w:after="0"/>
        <w:ind w:left="1355" w:right="0" w:hanging="186"/>
        <w:jc w:val="left"/>
        <w:rPr>
          <w:sz w:val="19"/>
        </w:rPr>
      </w:pPr>
      <w:r>
        <w:rPr>
          <w:color w:val="231F20"/>
          <w:spacing w:val="-2"/>
          <w:w w:val="110"/>
          <w:sz w:val="19"/>
        </w:rPr>
        <w:t>Service</w:t>
      </w:r>
    </w:p>
    <w:p>
      <w:pPr>
        <w:pStyle w:val="BodyText"/>
        <w:rPr>
          <w:rFonts w:ascii="Arial"/>
          <w:sz w:val="20"/>
        </w:rPr>
      </w:pPr>
    </w:p>
    <w:p>
      <w:pPr>
        <w:pStyle w:val="BodyText"/>
        <w:spacing w:line="292" w:lineRule="auto" w:before="130"/>
        <w:ind w:left="830" w:right="754" w:firstLine="340"/>
        <w:jc w:val="both"/>
      </w:pPr>
      <w:r>
        <w:rPr>
          <w:color w:val="231F20"/>
        </w:rPr>
        <w:t>In the fast food industry, for example, intensive advertising </w:t>
      </w:r>
      <w:r>
        <w:rPr>
          <w:color w:val="231F20"/>
        </w:rPr>
        <w:t>and promotion are key. In industries providing raw materials to others, price and service are key. In my investigation of the coffee industry, I found price and quality to be the basis of competition. When devel- oping a marketing plan, you may want to try to change the basis of competition to one that favors your firm, but the key underlying competitive factors cannot be ignored.</w:t>
      </w:r>
    </w:p>
    <w:p>
      <w:pPr>
        <w:pStyle w:val="BodyText"/>
        <w:rPr>
          <w:sz w:val="24"/>
        </w:rPr>
      </w:pPr>
    </w:p>
    <w:p>
      <w:pPr>
        <w:pStyle w:val="BodyText"/>
        <w:spacing w:before="9"/>
        <w:rPr>
          <w:sz w:val="24"/>
        </w:rPr>
      </w:pPr>
    </w:p>
    <w:p>
      <w:pPr>
        <w:pStyle w:val="Heading4"/>
        <w:numPr>
          <w:ilvl w:val="1"/>
          <w:numId w:val="12"/>
        </w:numPr>
        <w:tabs>
          <w:tab w:pos="1244" w:val="left" w:leader="none"/>
        </w:tabs>
        <w:spacing w:line="240" w:lineRule="auto" w:before="0" w:after="0"/>
        <w:ind w:left="1243" w:right="0" w:hanging="268"/>
        <w:jc w:val="left"/>
      </w:pPr>
      <w:r>
        <w:rPr>
          <w:color w:val="231F20"/>
          <w:w w:val="85"/>
        </w:rPr>
        <w:t>ANALYSIS</w:t>
      </w:r>
      <w:r>
        <w:rPr>
          <w:color w:val="231F20"/>
          <w:spacing w:val="30"/>
        </w:rPr>
        <w:t> </w:t>
      </w:r>
      <w:r>
        <w:rPr>
          <w:color w:val="231F20"/>
          <w:w w:val="85"/>
        </w:rPr>
        <w:t>OF</w:t>
      </w:r>
      <w:r>
        <w:rPr>
          <w:color w:val="231F20"/>
          <w:spacing w:val="31"/>
        </w:rPr>
        <w:t> </w:t>
      </w:r>
      <w:r>
        <w:rPr>
          <w:color w:val="231F20"/>
          <w:w w:val="85"/>
        </w:rPr>
        <w:t>YOUR</w:t>
      </w:r>
      <w:r>
        <w:rPr>
          <w:color w:val="231F20"/>
          <w:spacing w:val="31"/>
        </w:rPr>
        <w:t> </w:t>
      </w:r>
      <w:r>
        <w:rPr>
          <w:color w:val="231F20"/>
          <w:spacing w:val="9"/>
          <w:w w:val="85"/>
        </w:rPr>
        <w:t>COMPANY</w:t>
      </w:r>
      <w:r>
        <w:rPr>
          <w:color w:val="231F20"/>
          <w:spacing w:val="30"/>
        </w:rPr>
        <w:t> </w:t>
      </w:r>
      <w:r>
        <w:rPr>
          <w:color w:val="231F20"/>
          <w:spacing w:val="9"/>
          <w:w w:val="85"/>
        </w:rPr>
        <w:t>VERSUS</w:t>
      </w:r>
      <w:r>
        <w:rPr>
          <w:color w:val="231F20"/>
          <w:spacing w:val="31"/>
        </w:rPr>
        <w:t> </w:t>
      </w:r>
      <w:r>
        <w:rPr>
          <w:color w:val="231F20"/>
          <w:w w:val="85"/>
        </w:rPr>
        <w:t>THE</w:t>
      </w:r>
      <w:r>
        <w:rPr>
          <w:color w:val="231F20"/>
          <w:spacing w:val="31"/>
        </w:rPr>
        <w:t> </w:t>
      </w:r>
      <w:r>
        <w:rPr>
          <w:color w:val="231F20"/>
          <w:spacing w:val="9"/>
          <w:w w:val="85"/>
        </w:rPr>
        <w:t>COMPETITION</w:t>
      </w:r>
    </w:p>
    <w:p>
      <w:pPr>
        <w:pStyle w:val="BodyText"/>
        <w:spacing w:before="10"/>
        <w:rPr>
          <w:rFonts w:ascii="Trebuchet MS"/>
          <w:sz w:val="29"/>
        </w:rPr>
      </w:pPr>
    </w:p>
    <w:p>
      <w:pPr>
        <w:tabs>
          <w:tab w:pos="2159" w:val="left" w:leader="none"/>
          <w:tab w:pos="2560" w:val="left" w:leader="none"/>
          <w:tab w:pos="3225" w:val="left" w:leader="none"/>
          <w:tab w:pos="3871" w:val="left" w:leader="none"/>
          <w:tab w:pos="5602" w:val="left" w:leader="none"/>
        </w:tabs>
        <w:spacing w:line="292" w:lineRule="auto" w:before="0"/>
        <w:ind w:left="830" w:right="1045" w:hanging="1"/>
        <w:jc w:val="left"/>
        <w:rPr>
          <w:sz w:val="21"/>
        </w:rPr>
      </w:pPr>
      <w:r>
        <w:rPr/>
        <w:pict>
          <v:shape style="position:absolute;margin-left:111.129059pt;margin-top:5.0248pt;width:9.35pt;height:3.5pt;mso-position-horizontal-relative:page;mso-position-vertical-relative:paragraph;z-index:-25210880" id="docshape43" coordorigin="2223,100" coordsize="187,70" path="m2347,100l2342,111,2386,129,2223,129,2223,141,2386,141,2342,159,2347,170,2409,143,2409,127,2347,100xe" filled="true" fillcolor="#231f20" stroked="false">
            <v:path arrowok="t"/>
            <v:fill type="solid"/>
            <w10:wrap type="none"/>
          </v:shape>
        </w:pict>
      </w:r>
      <w:r>
        <w:rPr/>
        <w:pict>
          <v:shape style="position:absolute;margin-left:164.399353pt;margin-top:5.0248pt;width:9.35pt;height:3.5pt;mso-position-horizontal-relative:page;mso-position-vertical-relative:paragraph;z-index:-25210368" id="docshape44" coordorigin="3288,100" coordsize="187,70" path="m3412,100l3407,111,3451,129,3288,129,3288,141,3451,141,3407,159,3412,170,3474,143,3474,127,3412,100xe" filled="true" fillcolor="#231f20" stroked="false">
            <v:path arrowok="t"/>
            <v:fill type="solid"/>
            <w10:wrap type="none"/>
          </v:shape>
        </w:pict>
      </w:r>
      <w:r>
        <w:rPr/>
        <w:pict>
          <v:shape style="position:absolute;margin-left:283.260803pt;margin-top:5.0248pt;width:9.35pt;height:3.5pt;mso-position-horizontal-relative:page;mso-position-vertical-relative:paragraph;z-index:-25209856" id="docshape45" coordorigin="5665,100" coordsize="187,70" path="m5789,100l5784,111,5828,129,5665,129,5665,141,5828,141,5784,159,5789,170,5852,143,5852,127,5789,100xe" filled="true" fillcolor="#231f20" stroked="false">
            <v:path arrowok="t"/>
            <v:fill type="solid"/>
            <w10:wrap type="none"/>
          </v:shape>
        </w:pict>
      </w:r>
      <w:r>
        <w:rPr/>
        <w:pict>
          <v:shape style="position:absolute;margin-left:359.086609pt;margin-top:5.0248pt;width:9.35pt;height:3.5pt;mso-position-horizontal-relative:page;mso-position-vertical-relative:paragraph;z-index:15748608" id="docshape46" coordorigin="7182,100" coordsize="187,70" path="m7306,100l7301,111,7345,129,7182,129,7182,141,7345,141,7301,159,7306,170,7368,143,7368,127,7306,100xe" filled="true" fillcolor="#231f20" stroked="false">
            <v:path arrowok="t"/>
            <v:fill type="solid"/>
            <w10:wrap type="none"/>
          </v:shape>
        </w:pict>
      </w:r>
      <w:r>
        <w:rPr/>
        <w:pict>
          <v:shape style="position:absolute;margin-left:132.465576pt;margin-top:20.025209pt;width:9.35pt;height:3.5pt;mso-position-horizontal-relative:page;mso-position-vertical-relative:paragraph;z-index:-25208832" id="docshape47" coordorigin="2649,401" coordsize="187,70" path="m2773,401l2769,411,2812,429,2649,429,2649,441,2812,441,2769,459,2773,470,2836,443,2836,427,2773,401xe" filled="true" fillcolor="#231f20" stroked="false">
            <v:path arrowok="t"/>
            <v:fill type="solid"/>
            <w10:wrap type="none"/>
          </v:shape>
        </w:pict>
      </w:r>
      <w:r>
        <w:rPr/>
        <w:pict>
          <v:shape style="position:absolute;margin-left:197.981003pt;margin-top:20.025209pt;width:9.35pt;height:3.5pt;mso-position-horizontal-relative:page;mso-position-vertical-relative:paragraph;z-index:-25208320" id="docshape48" coordorigin="3960,401" coordsize="187,70" path="m4084,401l4079,411,4123,429,3960,429,3960,441,4123,441,4079,459,4084,470,4146,443,4146,427,4084,401xe" filled="true" fillcolor="#231f20" stroked="false">
            <v:path arrowok="t"/>
            <v:fill type="solid"/>
            <w10:wrap type="none"/>
          </v:shape>
        </w:pict>
      </w:r>
      <w:r>
        <w:rPr>
          <w:color w:val="231F20"/>
          <w:spacing w:val="-2"/>
          <w:sz w:val="21"/>
        </w:rPr>
        <w:t>Consumer</w:t>
      </w:r>
      <w:r>
        <w:rPr>
          <w:color w:val="231F20"/>
          <w:sz w:val="21"/>
        </w:rPr>
        <w:tab/>
      </w:r>
      <w:r>
        <w:rPr>
          <w:color w:val="231F20"/>
          <w:spacing w:val="-2"/>
          <w:sz w:val="21"/>
        </w:rPr>
        <w:t>Market</w:t>
      </w:r>
      <w:r>
        <w:rPr>
          <w:color w:val="231F20"/>
          <w:sz w:val="21"/>
        </w:rPr>
        <w:tab/>
      </w:r>
      <w:r>
        <w:rPr>
          <w:b/>
          <w:color w:val="231F20"/>
          <w:sz w:val="21"/>
        </w:rPr>
        <w:t>Competitive</w:t>
      </w:r>
      <w:r>
        <w:rPr>
          <w:b/>
          <w:color w:val="231F20"/>
          <w:spacing w:val="40"/>
          <w:sz w:val="21"/>
        </w:rPr>
        <w:t> </w:t>
      </w:r>
      <w:r>
        <w:rPr>
          <w:b/>
          <w:color w:val="231F20"/>
          <w:sz w:val="21"/>
        </w:rPr>
        <w:t>Analysis</w:t>
        <w:tab/>
      </w:r>
      <w:r>
        <w:rPr>
          <w:color w:val="231F20"/>
          <w:spacing w:val="-2"/>
          <w:sz w:val="21"/>
        </w:rPr>
        <w:t>Distribution </w:t>
      </w:r>
      <w:r>
        <w:rPr>
          <w:color w:val="231F20"/>
          <w:sz w:val="21"/>
        </w:rPr>
        <w:t>Marketing Mix</w:t>
        <w:tab/>
        <w:tab/>
      </w:r>
      <w:r>
        <w:rPr>
          <w:color w:val="231F20"/>
          <w:spacing w:val="-2"/>
          <w:sz w:val="21"/>
        </w:rPr>
        <w:t>Economics</w:t>
      </w:r>
      <w:r>
        <w:rPr>
          <w:color w:val="231F20"/>
          <w:sz w:val="21"/>
        </w:rPr>
        <w:tab/>
      </w:r>
      <w:r>
        <w:rPr>
          <w:color w:val="231F20"/>
          <w:spacing w:val="-2"/>
          <w:sz w:val="21"/>
        </w:rPr>
        <w:t>Revise</w:t>
      </w:r>
    </w:p>
    <w:p>
      <w:pPr>
        <w:pStyle w:val="BodyText"/>
        <w:spacing w:before="6"/>
        <w:rPr>
          <w:sz w:val="25"/>
        </w:rPr>
      </w:pPr>
    </w:p>
    <w:p>
      <w:pPr>
        <w:pStyle w:val="BodyText"/>
        <w:spacing w:line="292" w:lineRule="auto"/>
        <w:ind w:left="830" w:right="756" w:firstLine="340"/>
        <w:jc w:val="both"/>
      </w:pPr>
      <w:r>
        <w:rPr>
          <w:color w:val="231F20"/>
          <w:spacing w:val="-2"/>
          <w:w w:val="105"/>
        </w:rPr>
        <w:t>By</w:t>
      </w:r>
      <w:r>
        <w:rPr>
          <w:color w:val="231F20"/>
          <w:spacing w:val="-5"/>
          <w:w w:val="105"/>
        </w:rPr>
        <w:t> </w:t>
      </w:r>
      <w:r>
        <w:rPr>
          <w:color w:val="231F20"/>
          <w:spacing w:val="-2"/>
          <w:w w:val="105"/>
        </w:rPr>
        <w:t>this</w:t>
      </w:r>
      <w:r>
        <w:rPr>
          <w:color w:val="231F20"/>
          <w:spacing w:val="-5"/>
          <w:w w:val="105"/>
        </w:rPr>
        <w:t> </w:t>
      </w:r>
      <w:r>
        <w:rPr>
          <w:color w:val="231F20"/>
          <w:spacing w:val="-2"/>
          <w:w w:val="105"/>
        </w:rPr>
        <w:t>stage</w:t>
      </w:r>
      <w:r>
        <w:rPr>
          <w:color w:val="231F20"/>
          <w:spacing w:val="-5"/>
          <w:w w:val="105"/>
        </w:rPr>
        <w:t> </w:t>
      </w:r>
      <w:r>
        <w:rPr>
          <w:color w:val="231F20"/>
          <w:spacing w:val="-2"/>
          <w:w w:val="105"/>
        </w:rPr>
        <w:t>the</w:t>
      </w:r>
      <w:r>
        <w:rPr>
          <w:color w:val="231F20"/>
          <w:spacing w:val="-5"/>
          <w:w w:val="105"/>
        </w:rPr>
        <w:t> </w:t>
      </w:r>
      <w:r>
        <w:rPr>
          <w:color w:val="231F20"/>
          <w:spacing w:val="-2"/>
          <w:w w:val="105"/>
        </w:rPr>
        <w:t>marketer</w:t>
      </w:r>
      <w:r>
        <w:rPr>
          <w:color w:val="231F20"/>
          <w:spacing w:val="-5"/>
          <w:w w:val="105"/>
        </w:rPr>
        <w:t> </w:t>
      </w:r>
      <w:r>
        <w:rPr>
          <w:color w:val="231F20"/>
          <w:spacing w:val="-2"/>
          <w:w w:val="105"/>
        </w:rPr>
        <w:t>has</w:t>
      </w:r>
      <w:r>
        <w:rPr>
          <w:color w:val="231F20"/>
          <w:spacing w:val="-5"/>
          <w:w w:val="105"/>
        </w:rPr>
        <w:t> </w:t>
      </w:r>
      <w:r>
        <w:rPr>
          <w:color w:val="231F20"/>
          <w:spacing w:val="-2"/>
          <w:w w:val="105"/>
        </w:rPr>
        <w:t>preliminarily</w:t>
      </w:r>
      <w:r>
        <w:rPr>
          <w:color w:val="231F20"/>
          <w:spacing w:val="-5"/>
          <w:w w:val="105"/>
        </w:rPr>
        <w:t> </w:t>
      </w:r>
      <w:r>
        <w:rPr>
          <w:color w:val="231F20"/>
          <w:spacing w:val="-2"/>
          <w:w w:val="105"/>
        </w:rPr>
        <w:t>chosen</w:t>
      </w:r>
      <w:r>
        <w:rPr>
          <w:color w:val="231F20"/>
          <w:spacing w:val="-5"/>
          <w:w w:val="105"/>
        </w:rPr>
        <w:t> </w:t>
      </w:r>
      <w:r>
        <w:rPr>
          <w:color w:val="231F20"/>
          <w:spacing w:val="-2"/>
          <w:w w:val="105"/>
        </w:rPr>
        <w:t>a</w:t>
      </w:r>
      <w:r>
        <w:rPr>
          <w:color w:val="231F20"/>
          <w:spacing w:val="-5"/>
          <w:w w:val="105"/>
        </w:rPr>
        <w:t> </w:t>
      </w:r>
      <w:r>
        <w:rPr>
          <w:color w:val="231F20"/>
          <w:spacing w:val="-2"/>
          <w:w w:val="105"/>
        </w:rPr>
        <w:t>consumer </w:t>
      </w:r>
      <w:r>
        <w:rPr>
          <w:color w:val="231F20"/>
          <w:w w:val="105"/>
        </w:rPr>
        <w:t>segment</w:t>
      </w:r>
      <w:r>
        <w:rPr>
          <w:color w:val="231F20"/>
          <w:w w:val="105"/>
        </w:rPr>
        <w:t> toward</w:t>
      </w:r>
      <w:r>
        <w:rPr>
          <w:color w:val="231F20"/>
          <w:w w:val="105"/>
        </w:rPr>
        <w:t> which</w:t>
      </w:r>
      <w:r>
        <w:rPr>
          <w:color w:val="231F20"/>
          <w:w w:val="105"/>
        </w:rPr>
        <w:t> to</w:t>
      </w:r>
      <w:r>
        <w:rPr>
          <w:color w:val="231F20"/>
          <w:w w:val="105"/>
        </w:rPr>
        <w:t> direct</w:t>
      </w:r>
      <w:r>
        <w:rPr>
          <w:color w:val="231F20"/>
          <w:w w:val="105"/>
        </w:rPr>
        <w:t> his</w:t>
      </w:r>
      <w:r>
        <w:rPr>
          <w:color w:val="231F20"/>
          <w:w w:val="105"/>
        </w:rPr>
        <w:t> or</w:t>
      </w:r>
      <w:r>
        <w:rPr>
          <w:color w:val="231F20"/>
          <w:w w:val="105"/>
        </w:rPr>
        <w:t> her</w:t>
      </w:r>
      <w:r>
        <w:rPr>
          <w:color w:val="231F20"/>
          <w:w w:val="105"/>
        </w:rPr>
        <w:t> efforts.</w:t>
      </w:r>
      <w:r>
        <w:rPr>
          <w:color w:val="231F20"/>
          <w:w w:val="105"/>
        </w:rPr>
        <w:t> Now,</w:t>
      </w:r>
      <w:r>
        <w:rPr>
          <w:color w:val="231F20"/>
          <w:w w:val="105"/>
        </w:rPr>
        <w:t> a</w:t>
      </w:r>
      <w:r>
        <w:rPr>
          <w:color w:val="231F20"/>
          <w:w w:val="105"/>
        </w:rPr>
        <w:t> plan</w:t>
      </w:r>
      <w:r>
        <w:rPr>
          <w:color w:val="231F20"/>
          <w:w w:val="105"/>
        </w:rPr>
        <w:t> to beat</w:t>
      </w:r>
      <w:r>
        <w:rPr>
          <w:color w:val="231F20"/>
          <w:spacing w:val="-6"/>
          <w:w w:val="105"/>
        </w:rPr>
        <w:t> </w:t>
      </w:r>
      <w:r>
        <w:rPr>
          <w:color w:val="231F20"/>
          <w:w w:val="105"/>
        </w:rPr>
        <w:t>the</w:t>
      </w:r>
      <w:r>
        <w:rPr>
          <w:color w:val="231F20"/>
          <w:spacing w:val="-6"/>
          <w:w w:val="105"/>
        </w:rPr>
        <w:t> </w:t>
      </w:r>
      <w:r>
        <w:rPr>
          <w:color w:val="231F20"/>
          <w:w w:val="105"/>
        </w:rPr>
        <w:t>competition</w:t>
      </w:r>
      <w:r>
        <w:rPr>
          <w:color w:val="231F20"/>
          <w:spacing w:val="-6"/>
          <w:w w:val="105"/>
        </w:rPr>
        <w:t> </w:t>
      </w:r>
      <w:r>
        <w:rPr>
          <w:color w:val="231F20"/>
          <w:w w:val="105"/>
        </w:rPr>
        <w:t>must</w:t>
      </w:r>
      <w:r>
        <w:rPr>
          <w:color w:val="231F20"/>
          <w:spacing w:val="-6"/>
          <w:w w:val="105"/>
        </w:rPr>
        <w:t> </w:t>
      </w:r>
      <w:r>
        <w:rPr>
          <w:color w:val="231F20"/>
          <w:w w:val="105"/>
        </w:rPr>
        <w:t>be</w:t>
      </w:r>
      <w:r>
        <w:rPr>
          <w:color w:val="231F20"/>
          <w:spacing w:val="-6"/>
          <w:w w:val="105"/>
        </w:rPr>
        <w:t> </w:t>
      </w:r>
      <w:r>
        <w:rPr>
          <w:color w:val="231F20"/>
          <w:w w:val="105"/>
        </w:rPr>
        <w:t>developed.</w:t>
      </w:r>
      <w:r>
        <w:rPr>
          <w:color w:val="231F20"/>
          <w:spacing w:val="-6"/>
          <w:w w:val="105"/>
        </w:rPr>
        <w:t> </w:t>
      </w:r>
      <w:r>
        <w:rPr>
          <w:color w:val="231F20"/>
          <w:w w:val="105"/>
        </w:rPr>
        <w:t>You</w:t>
      </w:r>
      <w:r>
        <w:rPr>
          <w:color w:val="231F20"/>
          <w:spacing w:val="-6"/>
          <w:w w:val="105"/>
        </w:rPr>
        <w:t> </w:t>
      </w:r>
      <w:r>
        <w:rPr>
          <w:color w:val="231F20"/>
          <w:w w:val="105"/>
        </w:rPr>
        <w:t>need</w:t>
      </w:r>
      <w:r>
        <w:rPr>
          <w:color w:val="231F20"/>
          <w:spacing w:val="-6"/>
          <w:w w:val="105"/>
        </w:rPr>
        <w:t> </w:t>
      </w:r>
      <w:r>
        <w:rPr>
          <w:color w:val="231F20"/>
          <w:w w:val="105"/>
        </w:rPr>
        <w:t>to</w:t>
      </w:r>
      <w:r>
        <w:rPr>
          <w:color w:val="231F20"/>
          <w:spacing w:val="-6"/>
          <w:w w:val="105"/>
        </w:rPr>
        <w:t> </w:t>
      </w:r>
      <w:r>
        <w:rPr>
          <w:color w:val="231F20"/>
          <w:w w:val="105"/>
        </w:rPr>
        <w:t>look</w:t>
      </w:r>
      <w:r>
        <w:rPr>
          <w:color w:val="231F20"/>
          <w:spacing w:val="-6"/>
          <w:w w:val="105"/>
        </w:rPr>
        <w:t> </w:t>
      </w:r>
      <w:r>
        <w:rPr>
          <w:color w:val="231F20"/>
          <w:w w:val="105"/>
        </w:rPr>
        <w:t>at</w:t>
      </w:r>
      <w:r>
        <w:rPr>
          <w:color w:val="231F20"/>
          <w:spacing w:val="-6"/>
          <w:w w:val="105"/>
        </w:rPr>
        <w:t> </w:t>
      </w:r>
      <w:r>
        <w:rPr>
          <w:color w:val="231F20"/>
          <w:w w:val="105"/>
        </w:rPr>
        <w:t>your- self</w:t>
      </w:r>
      <w:r>
        <w:rPr>
          <w:color w:val="231F20"/>
          <w:spacing w:val="-7"/>
          <w:w w:val="105"/>
        </w:rPr>
        <w:t> </w:t>
      </w:r>
      <w:r>
        <w:rPr>
          <w:color w:val="231F20"/>
          <w:w w:val="105"/>
        </w:rPr>
        <w:t>and</w:t>
      </w:r>
      <w:r>
        <w:rPr>
          <w:color w:val="231F20"/>
          <w:spacing w:val="-7"/>
          <w:w w:val="105"/>
        </w:rPr>
        <w:t> </w:t>
      </w:r>
      <w:r>
        <w:rPr>
          <w:color w:val="231F20"/>
          <w:w w:val="105"/>
        </w:rPr>
        <w:t>at</w:t>
      </w:r>
      <w:r>
        <w:rPr>
          <w:color w:val="231F20"/>
          <w:spacing w:val="-7"/>
          <w:w w:val="105"/>
        </w:rPr>
        <w:t> </w:t>
      </w:r>
      <w:r>
        <w:rPr>
          <w:color w:val="231F20"/>
          <w:w w:val="105"/>
        </w:rPr>
        <w:t>the</w:t>
      </w:r>
      <w:r>
        <w:rPr>
          <w:color w:val="231F20"/>
          <w:spacing w:val="-7"/>
          <w:w w:val="105"/>
        </w:rPr>
        <w:t> </w:t>
      </w:r>
      <w:r>
        <w:rPr>
          <w:color w:val="231F20"/>
          <w:w w:val="105"/>
        </w:rPr>
        <w:t>competition</w:t>
      </w:r>
      <w:r>
        <w:rPr>
          <w:color w:val="231F20"/>
          <w:spacing w:val="-7"/>
          <w:w w:val="105"/>
        </w:rPr>
        <w:t> </w:t>
      </w:r>
      <w:r>
        <w:rPr>
          <w:color w:val="231F20"/>
          <w:w w:val="105"/>
        </w:rPr>
        <w:t>with</w:t>
      </w:r>
      <w:r>
        <w:rPr>
          <w:color w:val="231F20"/>
          <w:spacing w:val="-7"/>
          <w:w w:val="105"/>
        </w:rPr>
        <w:t> </w:t>
      </w:r>
      <w:r>
        <w:rPr>
          <w:color w:val="231F20"/>
          <w:w w:val="105"/>
        </w:rPr>
        <w:t>the</w:t>
      </w:r>
      <w:r>
        <w:rPr>
          <w:color w:val="231F20"/>
          <w:spacing w:val="-7"/>
          <w:w w:val="105"/>
        </w:rPr>
        <w:t> </w:t>
      </w:r>
      <w:r>
        <w:rPr>
          <w:color w:val="231F20"/>
          <w:w w:val="105"/>
        </w:rPr>
        <w:t>same</w:t>
      </w:r>
      <w:r>
        <w:rPr>
          <w:color w:val="231F20"/>
          <w:spacing w:val="-7"/>
          <w:w w:val="105"/>
        </w:rPr>
        <w:t> </w:t>
      </w:r>
      <w:r>
        <w:rPr>
          <w:color w:val="231F20"/>
          <w:w w:val="105"/>
        </w:rPr>
        <w:t>level</w:t>
      </w:r>
      <w:r>
        <w:rPr>
          <w:color w:val="231F20"/>
          <w:spacing w:val="-7"/>
          <w:w w:val="105"/>
        </w:rPr>
        <w:t> </w:t>
      </w:r>
      <w:r>
        <w:rPr>
          <w:color w:val="231F20"/>
          <w:w w:val="105"/>
        </w:rPr>
        <w:t>of</w:t>
      </w:r>
      <w:r>
        <w:rPr>
          <w:color w:val="231F20"/>
          <w:spacing w:val="-7"/>
          <w:w w:val="105"/>
        </w:rPr>
        <w:t> </w:t>
      </w:r>
      <w:r>
        <w:rPr>
          <w:color w:val="231F20"/>
          <w:w w:val="105"/>
        </w:rPr>
        <w:t>objectivity.</w:t>
      </w:r>
      <w:r>
        <w:rPr>
          <w:color w:val="231F20"/>
          <w:spacing w:val="-7"/>
          <w:w w:val="105"/>
        </w:rPr>
        <w:t> </w:t>
      </w:r>
      <w:r>
        <w:rPr>
          <w:color w:val="231F20"/>
          <w:w w:val="105"/>
        </w:rPr>
        <w:t>What are</w:t>
      </w:r>
      <w:r>
        <w:rPr>
          <w:color w:val="231F20"/>
          <w:spacing w:val="-11"/>
          <w:w w:val="105"/>
        </w:rPr>
        <w:t> </w:t>
      </w:r>
      <w:r>
        <w:rPr>
          <w:color w:val="231F20"/>
          <w:w w:val="105"/>
        </w:rPr>
        <w:t>your</w:t>
      </w:r>
      <w:r>
        <w:rPr>
          <w:color w:val="231F20"/>
          <w:spacing w:val="-11"/>
          <w:w w:val="105"/>
        </w:rPr>
        <w:t> </w:t>
      </w:r>
      <w:r>
        <w:rPr>
          <w:color w:val="231F20"/>
          <w:w w:val="105"/>
        </w:rPr>
        <w:t>advantages?</w:t>
      </w:r>
      <w:r>
        <w:rPr>
          <w:color w:val="231F20"/>
          <w:spacing w:val="-11"/>
          <w:w w:val="105"/>
        </w:rPr>
        <w:t> </w:t>
      </w:r>
      <w:r>
        <w:rPr>
          <w:color w:val="231F20"/>
          <w:w w:val="105"/>
        </w:rPr>
        <w:t>What</w:t>
      </w:r>
      <w:r>
        <w:rPr>
          <w:color w:val="231F20"/>
          <w:spacing w:val="-11"/>
          <w:w w:val="105"/>
        </w:rPr>
        <w:t> </w:t>
      </w:r>
      <w:r>
        <w:rPr>
          <w:color w:val="231F20"/>
          <w:w w:val="105"/>
        </w:rPr>
        <w:t>things</w:t>
      </w:r>
      <w:r>
        <w:rPr>
          <w:color w:val="231F20"/>
          <w:spacing w:val="-11"/>
          <w:w w:val="105"/>
        </w:rPr>
        <w:t> </w:t>
      </w:r>
      <w:r>
        <w:rPr>
          <w:color w:val="231F20"/>
          <w:w w:val="105"/>
        </w:rPr>
        <w:t>do</w:t>
      </w:r>
      <w:r>
        <w:rPr>
          <w:color w:val="231F20"/>
          <w:spacing w:val="-11"/>
          <w:w w:val="105"/>
        </w:rPr>
        <w:t> </w:t>
      </w:r>
      <w:r>
        <w:rPr>
          <w:color w:val="231F20"/>
          <w:w w:val="105"/>
        </w:rPr>
        <w:t>you</w:t>
      </w:r>
      <w:r>
        <w:rPr>
          <w:color w:val="231F20"/>
          <w:spacing w:val="-11"/>
          <w:w w:val="105"/>
        </w:rPr>
        <w:t> </w:t>
      </w:r>
      <w:r>
        <w:rPr>
          <w:color w:val="231F20"/>
          <w:w w:val="105"/>
        </w:rPr>
        <w:t>do</w:t>
      </w:r>
      <w:r>
        <w:rPr>
          <w:color w:val="231F20"/>
          <w:spacing w:val="-11"/>
          <w:w w:val="105"/>
        </w:rPr>
        <w:t> </w:t>
      </w:r>
      <w:r>
        <w:rPr>
          <w:color w:val="231F20"/>
          <w:w w:val="105"/>
        </w:rPr>
        <w:t>well?</w:t>
      </w:r>
      <w:r>
        <w:rPr>
          <w:color w:val="231F20"/>
          <w:spacing w:val="-11"/>
          <w:w w:val="105"/>
        </w:rPr>
        <w:t> </w:t>
      </w:r>
      <w:r>
        <w:rPr>
          <w:color w:val="231F20"/>
          <w:w w:val="105"/>
        </w:rPr>
        <w:t>(MBAs</w:t>
      </w:r>
      <w:r>
        <w:rPr>
          <w:color w:val="231F20"/>
          <w:spacing w:val="-11"/>
          <w:w w:val="105"/>
        </w:rPr>
        <w:t> </w:t>
      </w:r>
      <w:r>
        <w:rPr>
          <w:color w:val="231F20"/>
          <w:w w:val="105"/>
        </w:rPr>
        <w:t>call</w:t>
      </w:r>
      <w:r>
        <w:rPr>
          <w:color w:val="231F20"/>
          <w:spacing w:val="-11"/>
          <w:w w:val="105"/>
        </w:rPr>
        <w:t> </w:t>
      </w:r>
      <w:r>
        <w:rPr>
          <w:color w:val="231F20"/>
          <w:w w:val="105"/>
        </w:rPr>
        <w:t>them </w:t>
      </w:r>
      <w:r>
        <w:rPr>
          <w:i/>
          <w:color w:val="231F20"/>
        </w:rPr>
        <w:t>core competencies</w:t>
      </w:r>
      <w:r>
        <w:rPr>
          <w:color w:val="231F20"/>
        </w:rPr>
        <w:t>.) What are your weaknesses? How can your com- </w:t>
      </w:r>
      <w:r>
        <w:rPr>
          <w:color w:val="231F20"/>
          <w:w w:val="105"/>
        </w:rPr>
        <w:t>pany</w:t>
      </w:r>
      <w:r>
        <w:rPr>
          <w:color w:val="231F20"/>
          <w:spacing w:val="-6"/>
          <w:w w:val="105"/>
        </w:rPr>
        <w:t> </w:t>
      </w:r>
      <w:r>
        <w:rPr>
          <w:color w:val="231F20"/>
          <w:w w:val="105"/>
        </w:rPr>
        <w:t>capitalize</w:t>
      </w:r>
      <w:r>
        <w:rPr>
          <w:color w:val="231F20"/>
          <w:spacing w:val="-6"/>
          <w:w w:val="105"/>
        </w:rPr>
        <w:t> </w:t>
      </w:r>
      <w:r>
        <w:rPr>
          <w:color w:val="231F20"/>
          <w:w w:val="105"/>
        </w:rPr>
        <w:t>on</w:t>
      </w:r>
      <w:r>
        <w:rPr>
          <w:color w:val="231F20"/>
          <w:spacing w:val="-6"/>
          <w:w w:val="105"/>
        </w:rPr>
        <w:t> </w:t>
      </w:r>
      <w:r>
        <w:rPr>
          <w:color w:val="231F20"/>
          <w:w w:val="105"/>
        </w:rPr>
        <w:t>its</w:t>
      </w:r>
      <w:r>
        <w:rPr>
          <w:color w:val="231F20"/>
          <w:spacing w:val="-6"/>
          <w:w w:val="105"/>
        </w:rPr>
        <w:t> </w:t>
      </w:r>
      <w:r>
        <w:rPr>
          <w:color w:val="231F20"/>
          <w:w w:val="105"/>
        </w:rPr>
        <w:t>strengths</w:t>
      </w:r>
      <w:r>
        <w:rPr>
          <w:color w:val="231F20"/>
          <w:spacing w:val="-6"/>
          <w:w w:val="105"/>
        </w:rPr>
        <w:t> </w:t>
      </w:r>
      <w:r>
        <w:rPr>
          <w:color w:val="231F20"/>
          <w:w w:val="105"/>
        </w:rPr>
        <w:t>or</w:t>
      </w:r>
      <w:r>
        <w:rPr>
          <w:color w:val="231F20"/>
          <w:spacing w:val="-6"/>
          <w:w w:val="105"/>
        </w:rPr>
        <w:t> </w:t>
      </w:r>
      <w:r>
        <w:rPr>
          <w:color w:val="231F20"/>
          <w:w w:val="105"/>
        </w:rPr>
        <w:t>exploit</w:t>
      </w:r>
      <w:r>
        <w:rPr>
          <w:color w:val="231F20"/>
          <w:spacing w:val="-6"/>
          <w:w w:val="105"/>
        </w:rPr>
        <w:t> </w:t>
      </w:r>
      <w:r>
        <w:rPr>
          <w:color w:val="231F20"/>
          <w:w w:val="105"/>
        </w:rPr>
        <w:t>your</w:t>
      </w:r>
      <w:r>
        <w:rPr>
          <w:color w:val="231F20"/>
          <w:spacing w:val="-6"/>
          <w:w w:val="105"/>
        </w:rPr>
        <w:t> </w:t>
      </w:r>
      <w:r>
        <w:rPr>
          <w:color w:val="231F20"/>
          <w:w w:val="105"/>
        </w:rPr>
        <w:t>competitors’</w:t>
      </w:r>
      <w:r>
        <w:rPr>
          <w:color w:val="231F20"/>
          <w:spacing w:val="-6"/>
          <w:w w:val="105"/>
        </w:rPr>
        <w:t> </w:t>
      </w:r>
      <w:r>
        <w:rPr>
          <w:color w:val="231F20"/>
          <w:w w:val="105"/>
        </w:rPr>
        <w:t>weak- nesses? The following questions help to flush that out.</w:t>
      </w:r>
    </w:p>
    <w:p>
      <w:pPr>
        <w:spacing w:after="0" w:line="292" w:lineRule="auto"/>
        <w:jc w:val="both"/>
        <w:sectPr>
          <w:pgSz w:w="8640" w:h="12960"/>
          <w:pgMar w:header="732" w:footer="0" w:top="920" w:bottom="280" w:left="340" w:right="500"/>
        </w:sectPr>
      </w:pPr>
    </w:p>
    <w:p>
      <w:pPr>
        <w:pStyle w:val="BodyText"/>
        <w:spacing w:before="2"/>
        <w:rPr>
          <w:sz w:val="19"/>
        </w:rPr>
      </w:pPr>
    </w:p>
    <w:p>
      <w:pPr>
        <w:spacing w:line="328" w:lineRule="auto" w:before="99"/>
        <w:ind w:left="1260" w:right="1742" w:firstLine="0"/>
        <w:jc w:val="left"/>
        <w:rPr>
          <w:rFonts w:ascii="Arial" w:hAnsi="Arial"/>
          <w:i/>
          <w:sz w:val="19"/>
        </w:rPr>
      </w:pPr>
      <w:r>
        <w:rPr>
          <w:rFonts w:ascii="Arial" w:hAnsi="Arial"/>
          <w:i/>
          <w:color w:val="231F20"/>
          <w:spacing w:val="-2"/>
          <w:w w:val="115"/>
          <w:sz w:val="19"/>
        </w:rPr>
        <w:t>How</w:t>
      </w:r>
      <w:r>
        <w:rPr>
          <w:rFonts w:ascii="Arial" w:hAnsi="Arial"/>
          <w:i/>
          <w:color w:val="231F20"/>
          <w:spacing w:val="-14"/>
          <w:w w:val="115"/>
          <w:sz w:val="19"/>
        </w:rPr>
        <w:t> </w:t>
      </w:r>
      <w:r>
        <w:rPr>
          <w:rFonts w:ascii="Arial" w:hAnsi="Arial"/>
          <w:i/>
          <w:color w:val="231F20"/>
          <w:spacing w:val="-2"/>
          <w:w w:val="115"/>
          <w:sz w:val="19"/>
        </w:rPr>
        <w:t>does</w:t>
      </w:r>
      <w:r>
        <w:rPr>
          <w:rFonts w:ascii="Arial" w:hAnsi="Arial"/>
          <w:i/>
          <w:color w:val="231F20"/>
          <w:spacing w:val="-13"/>
          <w:w w:val="115"/>
          <w:sz w:val="19"/>
        </w:rPr>
        <w:t> </w:t>
      </w:r>
      <w:r>
        <w:rPr>
          <w:rFonts w:ascii="Arial" w:hAnsi="Arial"/>
          <w:i/>
          <w:color w:val="231F20"/>
          <w:spacing w:val="-2"/>
          <w:w w:val="115"/>
          <w:sz w:val="19"/>
        </w:rPr>
        <w:t>your</w:t>
      </w:r>
      <w:r>
        <w:rPr>
          <w:rFonts w:ascii="Arial" w:hAnsi="Arial"/>
          <w:i/>
          <w:color w:val="231F20"/>
          <w:spacing w:val="-13"/>
          <w:w w:val="115"/>
          <w:sz w:val="19"/>
        </w:rPr>
        <w:t> </w:t>
      </w:r>
      <w:r>
        <w:rPr>
          <w:rFonts w:ascii="Arial" w:hAnsi="Arial"/>
          <w:i/>
          <w:color w:val="231F20"/>
          <w:spacing w:val="-2"/>
          <w:w w:val="115"/>
          <w:sz w:val="19"/>
        </w:rPr>
        <w:t>SWOT</w:t>
      </w:r>
      <w:r>
        <w:rPr>
          <w:rFonts w:ascii="Arial" w:hAnsi="Arial"/>
          <w:i/>
          <w:color w:val="231F20"/>
          <w:spacing w:val="-13"/>
          <w:w w:val="115"/>
          <w:sz w:val="19"/>
        </w:rPr>
        <w:t> </w:t>
      </w:r>
      <w:r>
        <w:rPr>
          <w:rFonts w:ascii="Arial" w:hAnsi="Arial"/>
          <w:i/>
          <w:color w:val="231F20"/>
          <w:spacing w:val="-2"/>
          <w:w w:val="115"/>
          <w:sz w:val="19"/>
        </w:rPr>
        <w:t>Compare</w:t>
      </w:r>
      <w:r>
        <w:rPr>
          <w:rFonts w:ascii="Arial" w:hAnsi="Arial"/>
          <w:i/>
          <w:color w:val="231F20"/>
          <w:spacing w:val="-13"/>
          <w:w w:val="115"/>
          <w:sz w:val="19"/>
        </w:rPr>
        <w:t> </w:t>
      </w:r>
      <w:r>
        <w:rPr>
          <w:rFonts w:ascii="Arial" w:hAnsi="Arial"/>
          <w:i/>
          <w:color w:val="231F20"/>
          <w:spacing w:val="-2"/>
          <w:w w:val="115"/>
          <w:sz w:val="19"/>
        </w:rPr>
        <w:t>to</w:t>
      </w:r>
      <w:r>
        <w:rPr>
          <w:rFonts w:ascii="Arial" w:hAnsi="Arial"/>
          <w:i/>
          <w:color w:val="231F20"/>
          <w:spacing w:val="-14"/>
          <w:w w:val="115"/>
          <w:sz w:val="19"/>
        </w:rPr>
        <w:t> </w:t>
      </w:r>
      <w:r>
        <w:rPr>
          <w:rFonts w:ascii="Arial" w:hAnsi="Arial"/>
          <w:i/>
          <w:color w:val="231F20"/>
          <w:spacing w:val="-2"/>
          <w:w w:val="115"/>
          <w:sz w:val="19"/>
        </w:rPr>
        <w:t>Your</w:t>
      </w:r>
      <w:r>
        <w:rPr>
          <w:rFonts w:ascii="Arial" w:hAnsi="Arial"/>
          <w:i/>
          <w:color w:val="231F20"/>
          <w:spacing w:val="-2"/>
          <w:w w:val="115"/>
          <w:sz w:val="19"/>
        </w:rPr>
        <w:t> </w:t>
      </w:r>
      <w:r>
        <w:rPr>
          <w:rFonts w:ascii="Arial" w:hAnsi="Arial"/>
          <w:i/>
          <w:color w:val="231F20"/>
          <w:w w:val="115"/>
          <w:sz w:val="19"/>
        </w:rPr>
        <w:t>Competitor’s SWOT</w:t>
      </w:r>
    </w:p>
    <w:p>
      <w:pPr>
        <w:pStyle w:val="BodyText"/>
        <w:spacing w:line="226" w:lineRule="exact"/>
        <w:ind w:left="1260"/>
        <w:jc w:val="both"/>
      </w:pPr>
      <w:r>
        <w:rPr>
          <w:color w:val="231F20"/>
        </w:rPr>
        <w:t>SWOT</w:t>
      </w:r>
      <w:r>
        <w:rPr>
          <w:color w:val="231F20"/>
          <w:spacing w:val="32"/>
        </w:rPr>
        <w:t> </w:t>
      </w:r>
      <w:r>
        <w:rPr>
          <w:color w:val="231F20"/>
        </w:rPr>
        <w:t>is</w:t>
      </w:r>
      <w:r>
        <w:rPr>
          <w:color w:val="231F20"/>
          <w:spacing w:val="32"/>
        </w:rPr>
        <w:t> </w:t>
      </w:r>
      <w:r>
        <w:rPr>
          <w:color w:val="231F20"/>
        </w:rPr>
        <w:t>a</w:t>
      </w:r>
      <w:r>
        <w:rPr>
          <w:color w:val="231F20"/>
          <w:spacing w:val="32"/>
        </w:rPr>
        <w:t> </w:t>
      </w:r>
      <w:r>
        <w:rPr>
          <w:color w:val="231F20"/>
        </w:rPr>
        <w:t>related</w:t>
      </w:r>
      <w:r>
        <w:rPr>
          <w:color w:val="231F20"/>
          <w:spacing w:val="33"/>
        </w:rPr>
        <w:t> </w:t>
      </w:r>
      <w:r>
        <w:rPr>
          <w:color w:val="231F20"/>
        </w:rPr>
        <w:t>framework</w:t>
      </w:r>
      <w:r>
        <w:rPr>
          <w:color w:val="231F20"/>
          <w:spacing w:val="32"/>
        </w:rPr>
        <w:t> </w:t>
      </w:r>
      <w:r>
        <w:rPr>
          <w:color w:val="231F20"/>
        </w:rPr>
        <w:t>MBAs</w:t>
      </w:r>
      <w:r>
        <w:rPr>
          <w:color w:val="231F20"/>
          <w:spacing w:val="32"/>
        </w:rPr>
        <w:t> </w:t>
      </w:r>
      <w:r>
        <w:rPr>
          <w:color w:val="231F20"/>
        </w:rPr>
        <w:t>use</w:t>
      </w:r>
      <w:r>
        <w:rPr>
          <w:color w:val="231F20"/>
          <w:spacing w:val="32"/>
        </w:rPr>
        <w:t> </w:t>
      </w:r>
      <w:r>
        <w:rPr>
          <w:color w:val="231F20"/>
        </w:rPr>
        <w:t>to</w:t>
      </w:r>
      <w:r>
        <w:rPr>
          <w:color w:val="231F20"/>
          <w:spacing w:val="33"/>
        </w:rPr>
        <w:t> </w:t>
      </w:r>
      <w:r>
        <w:rPr>
          <w:color w:val="231F20"/>
        </w:rPr>
        <w:t>organize</w:t>
      </w:r>
      <w:r>
        <w:rPr>
          <w:color w:val="231F20"/>
          <w:spacing w:val="32"/>
        </w:rPr>
        <w:t> </w:t>
      </w:r>
      <w:r>
        <w:rPr>
          <w:color w:val="231F20"/>
        </w:rPr>
        <w:t>the</w:t>
      </w:r>
      <w:r>
        <w:rPr>
          <w:color w:val="231F20"/>
          <w:spacing w:val="32"/>
        </w:rPr>
        <w:t> </w:t>
      </w:r>
      <w:r>
        <w:rPr>
          <w:color w:val="231F20"/>
          <w:spacing w:val="-2"/>
        </w:rPr>
        <w:t>previ-</w:t>
      </w:r>
    </w:p>
    <w:p>
      <w:pPr>
        <w:pStyle w:val="BodyText"/>
        <w:spacing w:line="292" w:lineRule="auto" w:before="53"/>
        <w:ind w:left="920" w:right="666"/>
        <w:jc w:val="both"/>
      </w:pPr>
      <w:r>
        <w:rPr>
          <w:color w:val="231F20"/>
        </w:rPr>
        <w:t>ous questions about how your company stacks up versus the </w:t>
      </w:r>
      <w:r>
        <w:rPr>
          <w:color w:val="231F20"/>
        </w:rPr>
        <w:t>compe- </w:t>
      </w:r>
      <w:r>
        <w:rPr>
          <w:color w:val="231F20"/>
          <w:w w:val="105"/>
        </w:rPr>
        <w:t>tition.</w:t>
      </w:r>
      <w:r>
        <w:rPr>
          <w:color w:val="231F20"/>
          <w:spacing w:val="-10"/>
          <w:w w:val="105"/>
        </w:rPr>
        <w:t> </w:t>
      </w:r>
      <w:r>
        <w:rPr>
          <w:color w:val="231F20"/>
          <w:w w:val="105"/>
        </w:rPr>
        <w:t>SWOT</w:t>
      </w:r>
      <w:r>
        <w:rPr>
          <w:color w:val="231F20"/>
          <w:spacing w:val="-10"/>
          <w:w w:val="105"/>
        </w:rPr>
        <w:t> </w:t>
      </w:r>
      <w:r>
        <w:rPr>
          <w:color w:val="231F20"/>
          <w:w w:val="105"/>
        </w:rPr>
        <w:t>stands</w:t>
      </w:r>
      <w:r>
        <w:rPr>
          <w:color w:val="231F20"/>
          <w:spacing w:val="-10"/>
          <w:w w:val="105"/>
        </w:rPr>
        <w:t> </w:t>
      </w:r>
      <w:r>
        <w:rPr>
          <w:color w:val="231F20"/>
          <w:w w:val="105"/>
        </w:rPr>
        <w:t>for</w:t>
      </w:r>
      <w:r>
        <w:rPr>
          <w:color w:val="231F20"/>
          <w:spacing w:val="-10"/>
          <w:w w:val="105"/>
        </w:rPr>
        <w:t> </w:t>
      </w:r>
      <w:r>
        <w:rPr>
          <w:color w:val="231F20"/>
          <w:w w:val="105"/>
        </w:rPr>
        <w:t>Strengths,</w:t>
      </w:r>
      <w:r>
        <w:rPr>
          <w:color w:val="231F20"/>
          <w:spacing w:val="-10"/>
          <w:w w:val="105"/>
        </w:rPr>
        <w:t> </w:t>
      </w:r>
      <w:r>
        <w:rPr>
          <w:color w:val="231F20"/>
          <w:w w:val="105"/>
        </w:rPr>
        <w:t>Weaknesses,</w:t>
      </w:r>
      <w:r>
        <w:rPr>
          <w:color w:val="231F20"/>
          <w:spacing w:val="-10"/>
          <w:w w:val="105"/>
        </w:rPr>
        <w:t> </w:t>
      </w:r>
      <w:r>
        <w:rPr>
          <w:color w:val="231F20"/>
          <w:w w:val="105"/>
        </w:rPr>
        <w:t>Opportunities,</w:t>
      </w:r>
      <w:r>
        <w:rPr>
          <w:color w:val="231F20"/>
          <w:spacing w:val="-10"/>
          <w:w w:val="105"/>
        </w:rPr>
        <w:t> </w:t>
      </w:r>
      <w:r>
        <w:rPr>
          <w:color w:val="231F20"/>
          <w:w w:val="105"/>
        </w:rPr>
        <w:t>and </w:t>
      </w:r>
      <w:r>
        <w:rPr>
          <w:color w:val="231F20"/>
          <w:spacing w:val="-2"/>
          <w:w w:val="105"/>
        </w:rPr>
        <w:t>Threats. Strengths and weaknesses are internal factors. Opportuni- </w:t>
      </w:r>
      <w:r>
        <w:rPr>
          <w:color w:val="231F20"/>
          <w:w w:val="105"/>
        </w:rPr>
        <w:t>ties</w:t>
      </w:r>
      <w:r>
        <w:rPr>
          <w:color w:val="231F20"/>
          <w:spacing w:val="-2"/>
          <w:w w:val="105"/>
        </w:rPr>
        <w:t> </w:t>
      </w:r>
      <w:r>
        <w:rPr>
          <w:color w:val="231F20"/>
          <w:w w:val="105"/>
        </w:rPr>
        <w:t>and</w:t>
      </w:r>
      <w:r>
        <w:rPr>
          <w:color w:val="231F20"/>
          <w:spacing w:val="-2"/>
          <w:w w:val="105"/>
        </w:rPr>
        <w:t> </w:t>
      </w:r>
      <w:r>
        <w:rPr>
          <w:color w:val="231F20"/>
          <w:w w:val="105"/>
        </w:rPr>
        <w:t>threats</w:t>
      </w:r>
      <w:r>
        <w:rPr>
          <w:color w:val="231F20"/>
          <w:spacing w:val="-2"/>
          <w:w w:val="105"/>
        </w:rPr>
        <w:t> </w:t>
      </w:r>
      <w:r>
        <w:rPr>
          <w:color w:val="231F20"/>
          <w:w w:val="105"/>
        </w:rPr>
        <w:t>are</w:t>
      </w:r>
      <w:r>
        <w:rPr>
          <w:color w:val="231F20"/>
          <w:spacing w:val="-2"/>
          <w:w w:val="105"/>
        </w:rPr>
        <w:t> </w:t>
      </w:r>
      <w:r>
        <w:rPr>
          <w:color w:val="231F20"/>
          <w:w w:val="105"/>
        </w:rPr>
        <w:t>external.</w:t>
      </w:r>
      <w:r>
        <w:rPr>
          <w:color w:val="231F20"/>
          <w:spacing w:val="-2"/>
          <w:w w:val="105"/>
        </w:rPr>
        <w:t> </w:t>
      </w:r>
      <w:r>
        <w:rPr>
          <w:color w:val="231F20"/>
          <w:w w:val="105"/>
        </w:rPr>
        <w:t>It</w:t>
      </w:r>
      <w:r>
        <w:rPr>
          <w:color w:val="231F20"/>
          <w:spacing w:val="-2"/>
          <w:w w:val="105"/>
        </w:rPr>
        <w:t> </w:t>
      </w:r>
      <w:r>
        <w:rPr>
          <w:color w:val="231F20"/>
          <w:w w:val="105"/>
        </w:rPr>
        <w:t>is</w:t>
      </w:r>
      <w:r>
        <w:rPr>
          <w:color w:val="231F20"/>
          <w:spacing w:val="-2"/>
          <w:w w:val="105"/>
        </w:rPr>
        <w:t> </w:t>
      </w:r>
      <w:r>
        <w:rPr>
          <w:color w:val="231F20"/>
          <w:w w:val="105"/>
        </w:rPr>
        <w:t>vitally</w:t>
      </w:r>
      <w:r>
        <w:rPr>
          <w:color w:val="231F20"/>
          <w:spacing w:val="-2"/>
          <w:w w:val="105"/>
        </w:rPr>
        <w:t> </w:t>
      </w:r>
      <w:r>
        <w:rPr>
          <w:color w:val="231F20"/>
          <w:w w:val="105"/>
        </w:rPr>
        <w:t>important</w:t>
      </w:r>
      <w:r>
        <w:rPr>
          <w:color w:val="231F20"/>
          <w:spacing w:val="-2"/>
          <w:w w:val="105"/>
        </w:rPr>
        <w:t> </w:t>
      </w:r>
      <w:r>
        <w:rPr>
          <w:color w:val="231F20"/>
          <w:w w:val="105"/>
        </w:rPr>
        <w:t>to</w:t>
      </w:r>
      <w:r>
        <w:rPr>
          <w:color w:val="231F20"/>
          <w:spacing w:val="-2"/>
          <w:w w:val="105"/>
        </w:rPr>
        <w:t> </w:t>
      </w:r>
      <w:r>
        <w:rPr>
          <w:color w:val="231F20"/>
          <w:w w:val="105"/>
        </w:rPr>
        <w:t>perform</w:t>
      </w:r>
      <w:r>
        <w:rPr>
          <w:color w:val="231F20"/>
          <w:spacing w:val="-2"/>
          <w:w w:val="105"/>
        </w:rPr>
        <w:t> </w:t>
      </w:r>
      <w:r>
        <w:rPr>
          <w:color w:val="231F20"/>
          <w:w w:val="105"/>
        </w:rPr>
        <w:t>this analysis</w:t>
      </w:r>
      <w:r>
        <w:rPr>
          <w:color w:val="231F20"/>
          <w:spacing w:val="-10"/>
          <w:w w:val="105"/>
        </w:rPr>
        <w:t> </w:t>
      </w:r>
      <w:r>
        <w:rPr>
          <w:color w:val="231F20"/>
          <w:w w:val="105"/>
        </w:rPr>
        <w:t>on</w:t>
      </w:r>
      <w:r>
        <w:rPr>
          <w:color w:val="231F20"/>
          <w:spacing w:val="-10"/>
          <w:w w:val="105"/>
        </w:rPr>
        <w:t> </w:t>
      </w:r>
      <w:r>
        <w:rPr>
          <w:color w:val="231F20"/>
          <w:w w:val="105"/>
        </w:rPr>
        <w:t>your</w:t>
      </w:r>
      <w:r>
        <w:rPr>
          <w:color w:val="231F20"/>
          <w:spacing w:val="-10"/>
          <w:w w:val="105"/>
        </w:rPr>
        <w:t> </w:t>
      </w:r>
      <w:r>
        <w:rPr>
          <w:color w:val="231F20"/>
          <w:w w:val="105"/>
        </w:rPr>
        <w:t>own</w:t>
      </w:r>
      <w:r>
        <w:rPr>
          <w:color w:val="231F20"/>
          <w:spacing w:val="-10"/>
          <w:w w:val="105"/>
        </w:rPr>
        <w:t> </w:t>
      </w:r>
      <w:r>
        <w:rPr>
          <w:color w:val="231F20"/>
          <w:w w:val="105"/>
        </w:rPr>
        <w:t>company</w:t>
      </w:r>
      <w:r>
        <w:rPr>
          <w:color w:val="231F20"/>
          <w:spacing w:val="-10"/>
          <w:w w:val="105"/>
        </w:rPr>
        <w:t> </w:t>
      </w:r>
      <w:r>
        <w:rPr>
          <w:color w:val="231F20"/>
          <w:w w:val="105"/>
        </w:rPr>
        <w:t>as</w:t>
      </w:r>
      <w:r>
        <w:rPr>
          <w:color w:val="231F20"/>
          <w:spacing w:val="-10"/>
          <w:w w:val="105"/>
        </w:rPr>
        <w:t> </w:t>
      </w:r>
      <w:r>
        <w:rPr>
          <w:color w:val="231F20"/>
          <w:w w:val="105"/>
        </w:rPr>
        <w:t>well</w:t>
      </w:r>
      <w:r>
        <w:rPr>
          <w:color w:val="231F20"/>
          <w:spacing w:val="-10"/>
          <w:w w:val="105"/>
        </w:rPr>
        <w:t> </w:t>
      </w:r>
      <w:r>
        <w:rPr>
          <w:color w:val="231F20"/>
          <w:w w:val="105"/>
        </w:rPr>
        <w:t>as</w:t>
      </w:r>
      <w:r>
        <w:rPr>
          <w:color w:val="231F20"/>
          <w:spacing w:val="-10"/>
          <w:w w:val="105"/>
        </w:rPr>
        <w:t> </w:t>
      </w:r>
      <w:r>
        <w:rPr>
          <w:color w:val="231F20"/>
          <w:w w:val="105"/>
        </w:rPr>
        <w:t>on</w:t>
      </w:r>
      <w:r>
        <w:rPr>
          <w:color w:val="231F20"/>
          <w:spacing w:val="-10"/>
          <w:w w:val="105"/>
        </w:rPr>
        <w:t> </w:t>
      </w:r>
      <w:r>
        <w:rPr>
          <w:color w:val="231F20"/>
          <w:w w:val="105"/>
        </w:rPr>
        <w:t>your</w:t>
      </w:r>
      <w:r>
        <w:rPr>
          <w:color w:val="231F20"/>
          <w:spacing w:val="-10"/>
          <w:w w:val="105"/>
        </w:rPr>
        <w:t> </w:t>
      </w:r>
      <w:r>
        <w:rPr>
          <w:color w:val="231F20"/>
          <w:w w:val="105"/>
        </w:rPr>
        <w:t>competitors.</w:t>
      </w:r>
      <w:r>
        <w:rPr>
          <w:color w:val="231F20"/>
          <w:spacing w:val="-10"/>
          <w:w w:val="105"/>
        </w:rPr>
        <w:t> </w:t>
      </w:r>
      <w:r>
        <w:rPr>
          <w:color w:val="231F20"/>
          <w:w w:val="105"/>
        </w:rPr>
        <w:t>The following</w:t>
      </w:r>
      <w:r>
        <w:rPr>
          <w:color w:val="231F20"/>
          <w:w w:val="105"/>
        </w:rPr>
        <w:t> questions</w:t>
      </w:r>
      <w:r>
        <w:rPr>
          <w:color w:val="231F20"/>
          <w:w w:val="105"/>
        </w:rPr>
        <w:t> help</w:t>
      </w:r>
      <w:r>
        <w:rPr>
          <w:color w:val="231F20"/>
          <w:w w:val="105"/>
        </w:rPr>
        <w:t> to</w:t>
      </w:r>
      <w:r>
        <w:rPr>
          <w:color w:val="231F20"/>
          <w:w w:val="105"/>
        </w:rPr>
        <w:t> flush</w:t>
      </w:r>
      <w:r>
        <w:rPr>
          <w:color w:val="231F20"/>
          <w:w w:val="105"/>
        </w:rPr>
        <w:t> out</w:t>
      </w:r>
      <w:r>
        <w:rPr>
          <w:color w:val="231F20"/>
          <w:w w:val="105"/>
        </w:rPr>
        <w:t> the</w:t>
      </w:r>
      <w:r>
        <w:rPr>
          <w:color w:val="231F20"/>
          <w:w w:val="105"/>
        </w:rPr>
        <w:t> key</w:t>
      </w:r>
      <w:r>
        <w:rPr>
          <w:color w:val="231F20"/>
          <w:w w:val="105"/>
        </w:rPr>
        <w:t> points</w:t>
      </w:r>
      <w:r>
        <w:rPr>
          <w:color w:val="231F20"/>
          <w:w w:val="105"/>
        </w:rPr>
        <w:t> required</w:t>
      </w:r>
      <w:r>
        <w:rPr>
          <w:color w:val="231F20"/>
          <w:w w:val="105"/>
        </w:rPr>
        <w:t> for</w:t>
      </w:r>
      <w:r>
        <w:rPr>
          <w:color w:val="231F20"/>
          <w:w w:val="105"/>
        </w:rPr>
        <w:t> a SWOT analysis.</w:t>
      </w:r>
    </w:p>
    <w:p>
      <w:pPr>
        <w:pStyle w:val="BodyText"/>
        <w:spacing w:before="3"/>
        <w:rPr>
          <w:sz w:val="27"/>
        </w:rPr>
      </w:pPr>
    </w:p>
    <w:p>
      <w:pPr>
        <w:spacing w:line="328" w:lineRule="auto" w:before="0"/>
        <w:ind w:left="1260" w:right="667" w:firstLine="0"/>
        <w:jc w:val="left"/>
        <w:rPr>
          <w:rFonts w:ascii="Arial"/>
          <w:i/>
          <w:sz w:val="19"/>
        </w:rPr>
      </w:pPr>
      <w:r>
        <w:rPr>
          <w:rFonts w:ascii="Arial"/>
          <w:i/>
          <w:color w:val="231F20"/>
          <w:w w:val="115"/>
          <w:sz w:val="19"/>
        </w:rPr>
        <w:t>What is your company good at and what is the competition</w:t>
      </w:r>
      <w:r>
        <w:rPr>
          <w:rFonts w:ascii="Arial"/>
          <w:i/>
          <w:color w:val="231F20"/>
          <w:w w:val="115"/>
          <w:sz w:val="19"/>
        </w:rPr>
        <w:t> </w:t>
      </w:r>
      <w:r>
        <w:rPr>
          <w:rFonts w:ascii="Arial"/>
          <w:i/>
          <w:color w:val="231F20"/>
          <w:w w:val="120"/>
          <w:sz w:val="19"/>
        </w:rPr>
        <w:t>good at?</w:t>
      </w:r>
    </w:p>
    <w:p>
      <w:pPr>
        <w:pStyle w:val="ListParagraph"/>
        <w:numPr>
          <w:ilvl w:val="1"/>
          <w:numId w:val="13"/>
        </w:numPr>
        <w:tabs>
          <w:tab w:pos="1446" w:val="left" w:leader="none"/>
        </w:tabs>
        <w:spacing w:line="240" w:lineRule="auto" w:before="1" w:after="0"/>
        <w:ind w:left="1445" w:right="0" w:hanging="186"/>
        <w:jc w:val="left"/>
        <w:rPr>
          <w:sz w:val="19"/>
        </w:rPr>
      </w:pPr>
      <w:r>
        <w:rPr>
          <w:color w:val="231F20"/>
          <w:w w:val="115"/>
          <w:sz w:val="19"/>
        </w:rPr>
        <w:t>Distribution</w:t>
      </w:r>
      <w:r>
        <w:rPr>
          <w:color w:val="231F20"/>
          <w:spacing w:val="34"/>
          <w:w w:val="115"/>
          <w:sz w:val="19"/>
        </w:rPr>
        <w:t> </w:t>
      </w:r>
      <w:r>
        <w:rPr>
          <w:color w:val="231F20"/>
          <w:w w:val="115"/>
          <w:sz w:val="19"/>
        </w:rPr>
        <w:t>(Frito-</w:t>
      </w:r>
      <w:r>
        <w:rPr>
          <w:color w:val="231F20"/>
          <w:spacing w:val="-4"/>
          <w:w w:val="115"/>
          <w:sz w:val="19"/>
        </w:rPr>
        <w:t>Lay)</w:t>
      </w:r>
    </w:p>
    <w:p>
      <w:pPr>
        <w:pStyle w:val="ListParagraph"/>
        <w:numPr>
          <w:ilvl w:val="1"/>
          <w:numId w:val="13"/>
        </w:numPr>
        <w:tabs>
          <w:tab w:pos="1446" w:val="left" w:leader="none"/>
        </w:tabs>
        <w:spacing w:line="240" w:lineRule="auto" w:before="82" w:after="0"/>
        <w:ind w:left="1445" w:right="0" w:hanging="186"/>
        <w:jc w:val="left"/>
        <w:rPr>
          <w:sz w:val="19"/>
        </w:rPr>
      </w:pPr>
      <w:r>
        <w:rPr>
          <w:color w:val="231F20"/>
          <w:w w:val="115"/>
          <w:sz w:val="19"/>
        </w:rPr>
        <w:t>New</w:t>
      </w:r>
      <w:r>
        <w:rPr>
          <w:color w:val="231F20"/>
          <w:spacing w:val="-9"/>
          <w:w w:val="115"/>
          <w:sz w:val="19"/>
        </w:rPr>
        <w:t> </w:t>
      </w:r>
      <w:r>
        <w:rPr>
          <w:color w:val="231F20"/>
          <w:w w:val="115"/>
          <w:sz w:val="19"/>
        </w:rPr>
        <w:t>Product</w:t>
      </w:r>
      <w:r>
        <w:rPr>
          <w:color w:val="231F20"/>
          <w:spacing w:val="-8"/>
          <w:w w:val="115"/>
          <w:sz w:val="19"/>
        </w:rPr>
        <w:t> </w:t>
      </w:r>
      <w:r>
        <w:rPr>
          <w:color w:val="231F20"/>
          <w:w w:val="115"/>
          <w:sz w:val="19"/>
        </w:rPr>
        <w:t>Development</w:t>
      </w:r>
      <w:r>
        <w:rPr>
          <w:color w:val="231F20"/>
          <w:spacing w:val="-8"/>
          <w:w w:val="115"/>
          <w:sz w:val="19"/>
        </w:rPr>
        <w:t> </w:t>
      </w:r>
      <w:r>
        <w:rPr>
          <w:color w:val="231F20"/>
          <w:w w:val="115"/>
          <w:sz w:val="19"/>
        </w:rPr>
        <w:t>and</w:t>
      </w:r>
      <w:r>
        <w:rPr>
          <w:color w:val="231F20"/>
          <w:spacing w:val="-8"/>
          <w:w w:val="115"/>
          <w:sz w:val="19"/>
        </w:rPr>
        <w:t> </w:t>
      </w:r>
      <w:r>
        <w:rPr>
          <w:color w:val="231F20"/>
          <w:w w:val="115"/>
          <w:sz w:val="19"/>
        </w:rPr>
        <w:t>Introduction</w:t>
      </w:r>
      <w:r>
        <w:rPr>
          <w:color w:val="231F20"/>
          <w:spacing w:val="-10"/>
          <w:w w:val="115"/>
          <w:sz w:val="19"/>
        </w:rPr>
        <w:t> </w:t>
      </w:r>
      <w:r>
        <w:rPr>
          <w:color w:val="231F20"/>
          <w:spacing w:val="-4"/>
          <w:w w:val="115"/>
          <w:sz w:val="19"/>
        </w:rPr>
        <w:t>(3M)</w:t>
      </w:r>
    </w:p>
    <w:p>
      <w:pPr>
        <w:pStyle w:val="ListParagraph"/>
        <w:numPr>
          <w:ilvl w:val="1"/>
          <w:numId w:val="13"/>
        </w:numPr>
        <w:tabs>
          <w:tab w:pos="1446" w:val="left" w:leader="none"/>
        </w:tabs>
        <w:spacing w:line="240" w:lineRule="auto" w:before="81" w:after="0"/>
        <w:ind w:left="1445" w:right="0" w:hanging="186"/>
        <w:jc w:val="left"/>
        <w:rPr>
          <w:sz w:val="19"/>
        </w:rPr>
      </w:pPr>
      <w:r>
        <w:rPr>
          <w:color w:val="231F20"/>
          <w:w w:val="115"/>
          <w:sz w:val="19"/>
        </w:rPr>
        <w:t>Advertising</w:t>
      </w:r>
      <w:r>
        <w:rPr>
          <w:color w:val="231F20"/>
          <w:spacing w:val="7"/>
          <w:w w:val="115"/>
          <w:sz w:val="19"/>
        </w:rPr>
        <w:t> </w:t>
      </w:r>
      <w:r>
        <w:rPr>
          <w:color w:val="231F20"/>
          <w:w w:val="115"/>
          <w:sz w:val="19"/>
        </w:rPr>
        <w:t>(Absolut</w:t>
      </w:r>
      <w:r>
        <w:rPr>
          <w:color w:val="231F20"/>
          <w:spacing w:val="7"/>
          <w:w w:val="115"/>
          <w:sz w:val="19"/>
        </w:rPr>
        <w:t> </w:t>
      </w:r>
      <w:r>
        <w:rPr>
          <w:color w:val="231F20"/>
          <w:spacing w:val="-2"/>
          <w:w w:val="115"/>
          <w:sz w:val="19"/>
        </w:rPr>
        <w:t>vodka)</w:t>
      </w:r>
    </w:p>
    <w:p>
      <w:pPr>
        <w:pStyle w:val="BodyText"/>
        <w:rPr>
          <w:rFonts w:ascii="Arial"/>
          <w:sz w:val="20"/>
        </w:rPr>
      </w:pPr>
    </w:p>
    <w:p>
      <w:pPr>
        <w:spacing w:before="152"/>
        <w:ind w:left="1260" w:right="0" w:firstLine="0"/>
        <w:jc w:val="left"/>
        <w:rPr>
          <w:rFonts w:ascii="Arial"/>
          <w:i/>
          <w:sz w:val="19"/>
        </w:rPr>
      </w:pPr>
      <w:r>
        <w:rPr>
          <w:rFonts w:ascii="Arial"/>
          <w:i/>
          <w:color w:val="231F20"/>
          <w:w w:val="115"/>
          <w:sz w:val="19"/>
        </w:rPr>
        <w:t>Who</w:t>
      </w:r>
      <w:r>
        <w:rPr>
          <w:rFonts w:ascii="Arial"/>
          <w:i/>
          <w:color w:val="231F20"/>
          <w:spacing w:val="-5"/>
          <w:w w:val="115"/>
          <w:sz w:val="19"/>
        </w:rPr>
        <w:t> </w:t>
      </w:r>
      <w:r>
        <w:rPr>
          <w:rFonts w:ascii="Arial"/>
          <w:i/>
          <w:color w:val="231F20"/>
          <w:w w:val="115"/>
          <w:sz w:val="19"/>
        </w:rPr>
        <w:t>are</w:t>
      </w:r>
      <w:r>
        <w:rPr>
          <w:rFonts w:ascii="Arial"/>
          <w:i/>
          <w:color w:val="231F20"/>
          <w:spacing w:val="-5"/>
          <w:w w:val="115"/>
          <w:sz w:val="19"/>
        </w:rPr>
        <w:t> </w:t>
      </w:r>
      <w:r>
        <w:rPr>
          <w:rFonts w:ascii="Arial"/>
          <w:i/>
          <w:color w:val="231F20"/>
          <w:w w:val="115"/>
          <w:sz w:val="19"/>
        </w:rPr>
        <w:t>we</w:t>
      </w:r>
      <w:r>
        <w:rPr>
          <w:rFonts w:ascii="Arial"/>
          <w:i/>
          <w:color w:val="231F20"/>
          <w:spacing w:val="-5"/>
          <w:w w:val="115"/>
          <w:sz w:val="19"/>
        </w:rPr>
        <w:t> </w:t>
      </w:r>
      <w:r>
        <w:rPr>
          <w:rFonts w:ascii="Arial"/>
          <w:i/>
          <w:color w:val="231F20"/>
          <w:w w:val="115"/>
          <w:sz w:val="19"/>
        </w:rPr>
        <w:t>in</w:t>
      </w:r>
      <w:r>
        <w:rPr>
          <w:rFonts w:ascii="Arial"/>
          <w:i/>
          <w:color w:val="231F20"/>
          <w:spacing w:val="-5"/>
          <w:w w:val="115"/>
          <w:sz w:val="19"/>
        </w:rPr>
        <w:t> </w:t>
      </w:r>
      <w:r>
        <w:rPr>
          <w:rFonts w:ascii="Arial"/>
          <w:i/>
          <w:color w:val="231F20"/>
          <w:w w:val="115"/>
          <w:sz w:val="19"/>
        </w:rPr>
        <w:t>the</w:t>
      </w:r>
      <w:r>
        <w:rPr>
          <w:rFonts w:ascii="Arial"/>
          <w:i/>
          <w:color w:val="231F20"/>
          <w:spacing w:val="-5"/>
          <w:w w:val="115"/>
          <w:sz w:val="19"/>
        </w:rPr>
        <w:t> </w:t>
      </w:r>
      <w:r>
        <w:rPr>
          <w:rFonts w:ascii="Arial"/>
          <w:i/>
          <w:color w:val="231F20"/>
          <w:spacing w:val="-2"/>
          <w:w w:val="115"/>
          <w:sz w:val="19"/>
        </w:rPr>
        <w:t>marketplace?</w:t>
      </w:r>
    </w:p>
    <w:p>
      <w:pPr>
        <w:pStyle w:val="ListParagraph"/>
        <w:numPr>
          <w:ilvl w:val="1"/>
          <w:numId w:val="13"/>
        </w:numPr>
        <w:tabs>
          <w:tab w:pos="1446" w:val="left" w:leader="none"/>
        </w:tabs>
        <w:spacing w:line="240" w:lineRule="auto" w:before="81" w:after="0"/>
        <w:ind w:left="1445" w:right="0" w:hanging="186"/>
        <w:jc w:val="left"/>
        <w:rPr>
          <w:sz w:val="19"/>
        </w:rPr>
      </w:pPr>
      <w:r>
        <w:rPr>
          <w:color w:val="231F20"/>
          <w:w w:val="110"/>
          <w:sz w:val="19"/>
        </w:rPr>
        <w:t>Market</w:t>
      </w:r>
      <w:r>
        <w:rPr>
          <w:color w:val="231F20"/>
          <w:spacing w:val="-3"/>
          <w:w w:val="110"/>
          <w:sz w:val="19"/>
        </w:rPr>
        <w:t> </w:t>
      </w:r>
      <w:r>
        <w:rPr>
          <w:color w:val="231F20"/>
          <w:w w:val="110"/>
          <w:sz w:val="19"/>
        </w:rPr>
        <w:t>Size</w:t>
      </w:r>
      <w:r>
        <w:rPr>
          <w:color w:val="231F20"/>
          <w:spacing w:val="-3"/>
          <w:w w:val="110"/>
          <w:sz w:val="19"/>
        </w:rPr>
        <w:t> </w:t>
      </w:r>
      <w:r>
        <w:rPr>
          <w:color w:val="231F20"/>
          <w:w w:val="110"/>
          <w:sz w:val="19"/>
        </w:rPr>
        <w:t>and</w:t>
      </w:r>
      <w:r>
        <w:rPr>
          <w:color w:val="231F20"/>
          <w:spacing w:val="-2"/>
          <w:w w:val="110"/>
          <w:sz w:val="19"/>
        </w:rPr>
        <w:t> </w:t>
      </w:r>
      <w:r>
        <w:rPr>
          <w:i/>
          <w:color w:val="231F20"/>
          <w:w w:val="110"/>
          <w:sz w:val="19"/>
        </w:rPr>
        <w:t>Relative</w:t>
      </w:r>
      <w:r>
        <w:rPr>
          <w:i/>
          <w:color w:val="231F20"/>
          <w:spacing w:val="-3"/>
          <w:w w:val="110"/>
          <w:sz w:val="19"/>
        </w:rPr>
        <w:t> </w:t>
      </w:r>
      <w:r>
        <w:rPr>
          <w:color w:val="231F20"/>
          <w:w w:val="110"/>
          <w:sz w:val="19"/>
        </w:rPr>
        <w:t>Market</w:t>
      </w:r>
      <w:r>
        <w:rPr>
          <w:color w:val="231F20"/>
          <w:spacing w:val="-2"/>
          <w:w w:val="110"/>
          <w:sz w:val="19"/>
        </w:rPr>
        <w:t> Share</w:t>
      </w:r>
    </w:p>
    <w:p>
      <w:pPr>
        <w:pStyle w:val="ListParagraph"/>
        <w:numPr>
          <w:ilvl w:val="1"/>
          <w:numId w:val="13"/>
        </w:numPr>
        <w:tabs>
          <w:tab w:pos="1446" w:val="left" w:leader="none"/>
        </w:tabs>
        <w:spacing w:line="240" w:lineRule="auto" w:before="82" w:after="0"/>
        <w:ind w:left="1445" w:right="0" w:hanging="186"/>
        <w:jc w:val="left"/>
        <w:rPr>
          <w:sz w:val="19"/>
        </w:rPr>
      </w:pPr>
      <w:r>
        <w:rPr>
          <w:color w:val="231F20"/>
          <w:w w:val="110"/>
          <w:sz w:val="19"/>
        </w:rPr>
        <w:t>Financial</w:t>
      </w:r>
      <w:r>
        <w:rPr>
          <w:color w:val="231F20"/>
          <w:spacing w:val="-7"/>
          <w:w w:val="110"/>
          <w:sz w:val="19"/>
        </w:rPr>
        <w:t> </w:t>
      </w:r>
      <w:r>
        <w:rPr>
          <w:color w:val="231F20"/>
          <w:spacing w:val="-2"/>
          <w:w w:val="110"/>
          <w:sz w:val="19"/>
        </w:rPr>
        <w:t>Position</w:t>
      </w:r>
    </w:p>
    <w:p>
      <w:pPr>
        <w:pStyle w:val="ListParagraph"/>
        <w:numPr>
          <w:ilvl w:val="1"/>
          <w:numId w:val="13"/>
        </w:numPr>
        <w:tabs>
          <w:tab w:pos="1446" w:val="left" w:leader="none"/>
        </w:tabs>
        <w:spacing w:line="240" w:lineRule="auto" w:before="81" w:after="0"/>
        <w:ind w:left="1445" w:right="0" w:hanging="186"/>
        <w:jc w:val="left"/>
        <w:rPr>
          <w:sz w:val="19"/>
        </w:rPr>
      </w:pPr>
      <w:r>
        <w:rPr>
          <w:color w:val="231F20"/>
          <w:w w:val="110"/>
          <w:sz w:val="19"/>
        </w:rPr>
        <w:t>Historical</w:t>
      </w:r>
      <w:r>
        <w:rPr>
          <w:color w:val="231F20"/>
          <w:spacing w:val="8"/>
          <w:w w:val="110"/>
          <w:sz w:val="19"/>
        </w:rPr>
        <w:t> </w:t>
      </w:r>
      <w:r>
        <w:rPr>
          <w:color w:val="231F20"/>
          <w:w w:val="110"/>
          <w:sz w:val="19"/>
        </w:rPr>
        <w:t>Performance</w:t>
      </w:r>
      <w:r>
        <w:rPr>
          <w:color w:val="231F20"/>
          <w:spacing w:val="8"/>
          <w:w w:val="110"/>
          <w:sz w:val="19"/>
        </w:rPr>
        <w:t> </w:t>
      </w:r>
      <w:r>
        <w:rPr>
          <w:color w:val="231F20"/>
          <w:w w:val="110"/>
          <w:sz w:val="19"/>
        </w:rPr>
        <w:t>and</w:t>
      </w:r>
      <w:r>
        <w:rPr>
          <w:color w:val="231F20"/>
          <w:spacing w:val="9"/>
          <w:w w:val="110"/>
          <w:sz w:val="19"/>
        </w:rPr>
        <w:t> </w:t>
      </w:r>
      <w:r>
        <w:rPr>
          <w:color w:val="231F20"/>
          <w:spacing w:val="-2"/>
          <w:w w:val="110"/>
          <w:sz w:val="19"/>
        </w:rPr>
        <w:t>Reputation</w:t>
      </w:r>
    </w:p>
    <w:p>
      <w:pPr>
        <w:pStyle w:val="BodyText"/>
        <w:rPr>
          <w:rFonts w:ascii="Arial"/>
          <w:sz w:val="20"/>
        </w:rPr>
      </w:pPr>
    </w:p>
    <w:p>
      <w:pPr>
        <w:spacing w:before="152"/>
        <w:ind w:left="1260" w:right="0" w:firstLine="0"/>
        <w:jc w:val="left"/>
        <w:rPr>
          <w:rFonts w:ascii="Arial"/>
          <w:i/>
          <w:sz w:val="19"/>
        </w:rPr>
      </w:pPr>
      <w:r>
        <w:rPr>
          <w:rFonts w:ascii="Arial"/>
          <w:i/>
          <w:color w:val="231F20"/>
          <w:w w:val="115"/>
          <w:sz w:val="19"/>
        </w:rPr>
        <w:t>What</w:t>
      </w:r>
      <w:r>
        <w:rPr>
          <w:rFonts w:ascii="Arial"/>
          <w:i/>
          <w:color w:val="231F20"/>
          <w:spacing w:val="-15"/>
          <w:w w:val="115"/>
          <w:sz w:val="19"/>
        </w:rPr>
        <w:t> </w:t>
      </w:r>
      <w:r>
        <w:rPr>
          <w:rFonts w:ascii="Arial"/>
          <w:i/>
          <w:color w:val="231F20"/>
          <w:w w:val="115"/>
          <w:sz w:val="19"/>
        </w:rPr>
        <w:t>are</w:t>
      </w:r>
      <w:r>
        <w:rPr>
          <w:rFonts w:ascii="Arial"/>
          <w:i/>
          <w:color w:val="231F20"/>
          <w:spacing w:val="-12"/>
          <w:w w:val="115"/>
          <w:sz w:val="19"/>
        </w:rPr>
        <w:t> </w:t>
      </w:r>
      <w:r>
        <w:rPr>
          <w:rFonts w:ascii="Arial"/>
          <w:i/>
          <w:color w:val="231F20"/>
          <w:w w:val="115"/>
          <w:sz w:val="19"/>
        </w:rPr>
        <w:t>our</w:t>
      </w:r>
      <w:r>
        <w:rPr>
          <w:rFonts w:ascii="Arial"/>
          <w:i/>
          <w:color w:val="231F20"/>
          <w:spacing w:val="-13"/>
          <w:w w:val="115"/>
          <w:sz w:val="19"/>
        </w:rPr>
        <w:t> </w:t>
      </w:r>
      <w:r>
        <w:rPr>
          <w:rFonts w:ascii="Arial"/>
          <w:i/>
          <w:color w:val="231F20"/>
          <w:w w:val="115"/>
          <w:sz w:val="19"/>
        </w:rPr>
        <w:t>resources</w:t>
      </w:r>
      <w:r>
        <w:rPr>
          <w:rFonts w:ascii="Arial"/>
          <w:i/>
          <w:color w:val="231F20"/>
          <w:spacing w:val="-12"/>
          <w:w w:val="115"/>
          <w:sz w:val="19"/>
        </w:rPr>
        <w:t> </w:t>
      </w:r>
      <w:r>
        <w:rPr>
          <w:rFonts w:ascii="Arial"/>
          <w:i/>
          <w:color w:val="231F20"/>
          <w:w w:val="115"/>
          <w:sz w:val="19"/>
        </w:rPr>
        <w:t>versus</w:t>
      </w:r>
      <w:r>
        <w:rPr>
          <w:rFonts w:ascii="Arial"/>
          <w:i/>
          <w:color w:val="231F20"/>
          <w:spacing w:val="-13"/>
          <w:w w:val="115"/>
          <w:sz w:val="19"/>
        </w:rPr>
        <w:t> </w:t>
      </w:r>
      <w:r>
        <w:rPr>
          <w:rFonts w:ascii="Arial"/>
          <w:i/>
          <w:color w:val="231F20"/>
          <w:w w:val="115"/>
          <w:sz w:val="19"/>
        </w:rPr>
        <w:t>those</w:t>
      </w:r>
      <w:r>
        <w:rPr>
          <w:rFonts w:ascii="Arial"/>
          <w:i/>
          <w:color w:val="231F20"/>
          <w:spacing w:val="-12"/>
          <w:w w:val="115"/>
          <w:sz w:val="19"/>
        </w:rPr>
        <w:t> </w:t>
      </w:r>
      <w:r>
        <w:rPr>
          <w:rFonts w:ascii="Arial"/>
          <w:i/>
          <w:color w:val="231F20"/>
          <w:w w:val="115"/>
          <w:sz w:val="19"/>
        </w:rPr>
        <w:t>of</w:t>
      </w:r>
      <w:r>
        <w:rPr>
          <w:rFonts w:ascii="Arial"/>
          <w:i/>
          <w:color w:val="231F20"/>
          <w:spacing w:val="-13"/>
          <w:w w:val="115"/>
          <w:sz w:val="19"/>
        </w:rPr>
        <w:t> </w:t>
      </w:r>
      <w:r>
        <w:rPr>
          <w:rFonts w:ascii="Arial"/>
          <w:i/>
          <w:color w:val="231F20"/>
          <w:w w:val="115"/>
          <w:sz w:val="19"/>
        </w:rPr>
        <w:t>the</w:t>
      </w:r>
      <w:r>
        <w:rPr>
          <w:rFonts w:ascii="Arial"/>
          <w:i/>
          <w:color w:val="231F20"/>
          <w:spacing w:val="-12"/>
          <w:w w:val="115"/>
          <w:sz w:val="19"/>
        </w:rPr>
        <w:t> </w:t>
      </w:r>
      <w:r>
        <w:rPr>
          <w:rFonts w:ascii="Arial"/>
          <w:i/>
          <w:color w:val="231F20"/>
          <w:spacing w:val="-2"/>
          <w:w w:val="115"/>
          <w:sz w:val="19"/>
        </w:rPr>
        <w:t>competition?</w:t>
      </w:r>
    </w:p>
    <w:p>
      <w:pPr>
        <w:pStyle w:val="ListParagraph"/>
        <w:numPr>
          <w:ilvl w:val="1"/>
          <w:numId w:val="13"/>
        </w:numPr>
        <w:tabs>
          <w:tab w:pos="1446" w:val="left" w:leader="none"/>
        </w:tabs>
        <w:spacing w:line="240" w:lineRule="auto" w:before="81" w:after="0"/>
        <w:ind w:left="1445" w:right="0" w:hanging="186"/>
        <w:jc w:val="left"/>
        <w:rPr>
          <w:sz w:val="19"/>
        </w:rPr>
      </w:pPr>
      <w:r>
        <w:rPr>
          <w:color w:val="231F20"/>
          <w:spacing w:val="-2"/>
          <w:w w:val="110"/>
          <w:sz w:val="19"/>
        </w:rPr>
        <w:t>People</w:t>
      </w:r>
    </w:p>
    <w:p>
      <w:pPr>
        <w:pStyle w:val="ListParagraph"/>
        <w:numPr>
          <w:ilvl w:val="1"/>
          <w:numId w:val="13"/>
        </w:numPr>
        <w:tabs>
          <w:tab w:pos="1446" w:val="left" w:leader="none"/>
        </w:tabs>
        <w:spacing w:line="240" w:lineRule="auto" w:before="82" w:after="0"/>
        <w:ind w:left="1445" w:right="0" w:hanging="186"/>
        <w:jc w:val="left"/>
        <w:rPr>
          <w:sz w:val="19"/>
        </w:rPr>
      </w:pPr>
      <w:r>
        <w:rPr>
          <w:color w:val="231F20"/>
          <w:spacing w:val="-2"/>
          <w:w w:val="110"/>
          <w:sz w:val="19"/>
        </w:rPr>
        <w:t>Technology,</w:t>
      </w:r>
      <w:r>
        <w:rPr>
          <w:color w:val="231F20"/>
          <w:spacing w:val="2"/>
          <w:w w:val="110"/>
          <w:sz w:val="19"/>
        </w:rPr>
        <w:t> </w:t>
      </w:r>
      <w:r>
        <w:rPr>
          <w:color w:val="231F20"/>
          <w:spacing w:val="-2"/>
          <w:w w:val="110"/>
          <w:sz w:val="19"/>
        </w:rPr>
        <w:t>Research</w:t>
      </w:r>
    </w:p>
    <w:p>
      <w:pPr>
        <w:pStyle w:val="ListParagraph"/>
        <w:numPr>
          <w:ilvl w:val="1"/>
          <w:numId w:val="13"/>
        </w:numPr>
        <w:tabs>
          <w:tab w:pos="1446" w:val="left" w:leader="none"/>
        </w:tabs>
        <w:spacing w:line="240" w:lineRule="auto" w:before="81" w:after="0"/>
        <w:ind w:left="1445" w:right="0" w:hanging="186"/>
        <w:jc w:val="left"/>
        <w:rPr>
          <w:sz w:val="19"/>
        </w:rPr>
      </w:pPr>
      <w:r>
        <w:rPr>
          <w:color w:val="231F20"/>
          <w:w w:val="105"/>
          <w:sz w:val="19"/>
        </w:rPr>
        <w:t>Sales</w:t>
      </w:r>
      <w:r>
        <w:rPr>
          <w:color w:val="231F20"/>
          <w:spacing w:val="-13"/>
          <w:w w:val="105"/>
          <w:sz w:val="19"/>
        </w:rPr>
        <w:t> </w:t>
      </w:r>
      <w:r>
        <w:rPr>
          <w:color w:val="231F20"/>
          <w:spacing w:val="-2"/>
          <w:w w:val="110"/>
          <w:sz w:val="19"/>
        </w:rPr>
        <w:t>Forces</w:t>
      </w:r>
    </w:p>
    <w:p>
      <w:pPr>
        <w:pStyle w:val="ListParagraph"/>
        <w:numPr>
          <w:ilvl w:val="1"/>
          <w:numId w:val="13"/>
        </w:numPr>
        <w:tabs>
          <w:tab w:pos="1446" w:val="left" w:leader="none"/>
        </w:tabs>
        <w:spacing w:line="240" w:lineRule="auto" w:before="82" w:after="0"/>
        <w:ind w:left="1445" w:right="0" w:hanging="186"/>
        <w:jc w:val="left"/>
        <w:rPr>
          <w:sz w:val="19"/>
        </w:rPr>
      </w:pPr>
      <w:r>
        <w:rPr>
          <w:color w:val="231F20"/>
          <w:spacing w:val="-4"/>
          <w:w w:val="105"/>
          <w:sz w:val="19"/>
        </w:rPr>
        <w:t>Cash</w:t>
      </w:r>
    </w:p>
    <w:p>
      <w:pPr>
        <w:pStyle w:val="ListParagraph"/>
        <w:numPr>
          <w:ilvl w:val="1"/>
          <w:numId w:val="13"/>
        </w:numPr>
        <w:tabs>
          <w:tab w:pos="1446" w:val="left" w:leader="none"/>
        </w:tabs>
        <w:spacing w:line="240" w:lineRule="auto" w:before="81" w:after="0"/>
        <w:ind w:left="1445" w:right="0" w:hanging="186"/>
        <w:jc w:val="left"/>
        <w:rPr>
          <w:sz w:val="19"/>
        </w:rPr>
      </w:pPr>
      <w:r>
        <w:rPr>
          <w:color w:val="231F20"/>
          <w:spacing w:val="-4"/>
          <w:w w:val="110"/>
          <w:sz w:val="19"/>
        </w:rPr>
        <w:t>Trade </w:t>
      </w:r>
      <w:r>
        <w:rPr>
          <w:color w:val="231F20"/>
          <w:spacing w:val="-2"/>
          <w:w w:val="110"/>
          <w:sz w:val="19"/>
        </w:rPr>
        <w:t>Relations</w:t>
      </w:r>
    </w:p>
    <w:p>
      <w:pPr>
        <w:pStyle w:val="ListParagraph"/>
        <w:numPr>
          <w:ilvl w:val="1"/>
          <w:numId w:val="13"/>
        </w:numPr>
        <w:tabs>
          <w:tab w:pos="1446" w:val="left" w:leader="none"/>
        </w:tabs>
        <w:spacing w:line="240" w:lineRule="auto" w:before="82" w:after="0"/>
        <w:ind w:left="1445" w:right="0" w:hanging="186"/>
        <w:jc w:val="left"/>
        <w:rPr>
          <w:sz w:val="19"/>
        </w:rPr>
      </w:pPr>
      <w:r>
        <w:rPr>
          <w:color w:val="231F20"/>
          <w:spacing w:val="-2"/>
          <w:w w:val="115"/>
          <w:sz w:val="19"/>
        </w:rPr>
        <w:t>Manufacturing</w:t>
      </w:r>
    </w:p>
    <w:p>
      <w:pPr>
        <w:pStyle w:val="BodyText"/>
        <w:rPr>
          <w:rFonts w:ascii="Arial"/>
          <w:sz w:val="20"/>
        </w:rPr>
      </w:pPr>
    </w:p>
    <w:p>
      <w:pPr>
        <w:pStyle w:val="BodyText"/>
        <w:spacing w:line="292" w:lineRule="auto" w:before="130"/>
        <w:ind w:left="920" w:right="666" w:firstLine="339"/>
        <w:jc w:val="both"/>
      </w:pPr>
      <w:r>
        <w:rPr>
          <w:i/>
          <w:color w:val="231F20"/>
        </w:rPr>
        <w:t>Barriers to entry </w:t>
      </w:r>
      <w:r>
        <w:rPr>
          <w:color w:val="231F20"/>
        </w:rPr>
        <w:t>to new competitors in a market play an impor- tant</w:t>
      </w:r>
      <w:r>
        <w:rPr>
          <w:color w:val="231F20"/>
          <w:spacing w:val="-2"/>
        </w:rPr>
        <w:t> </w:t>
      </w:r>
      <w:r>
        <w:rPr>
          <w:color w:val="231F20"/>
        </w:rPr>
        <w:t>role</w:t>
      </w:r>
      <w:r>
        <w:rPr>
          <w:color w:val="231F20"/>
          <w:spacing w:val="-2"/>
        </w:rPr>
        <w:t> </w:t>
      </w:r>
      <w:r>
        <w:rPr>
          <w:color w:val="231F20"/>
        </w:rPr>
        <w:t>in</w:t>
      </w:r>
      <w:r>
        <w:rPr>
          <w:color w:val="231F20"/>
          <w:spacing w:val="-2"/>
        </w:rPr>
        <w:t> </w:t>
      </w:r>
      <w:r>
        <w:rPr>
          <w:color w:val="231F20"/>
        </w:rPr>
        <w:t>assessing</w:t>
      </w:r>
      <w:r>
        <w:rPr>
          <w:color w:val="231F20"/>
          <w:spacing w:val="-2"/>
        </w:rPr>
        <w:t> </w:t>
      </w:r>
      <w:r>
        <w:rPr>
          <w:color w:val="231F20"/>
        </w:rPr>
        <w:t>the</w:t>
      </w:r>
      <w:r>
        <w:rPr>
          <w:color w:val="231F20"/>
          <w:spacing w:val="-2"/>
        </w:rPr>
        <w:t> </w:t>
      </w:r>
      <w:r>
        <w:rPr>
          <w:color w:val="231F20"/>
        </w:rPr>
        <w:t>competition.</w:t>
      </w:r>
      <w:r>
        <w:rPr>
          <w:color w:val="231F20"/>
          <w:spacing w:val="-2"/>
        </w:rPr>
        <w:t> </w:t>
      </w:r>
      <w:r>
        <w:rPr>
          <w:color w:val="231F20"/>
        </w:rPr>
        <w:t>Barriers</w:t>
      </w:r>
      <w:r>
        <w:rPr>
          <w:color w:val="231F20"/>
          <w:spacing w:val="-2"/>
        </w:rPr>
        <w:t> </w:t>
      </w:r>
      <w:r>
        <w:rPr>
          <w:color w:val="231F20"/>
        </w:rPr>
        <w:t>are</w:t>
      </w:r>
      <w:r>
        <w:rPr>
          <w:color w:val="231F20"/>
          <w:spacing w:val="-2"/>
        </w:rPr>
        <w:t> </w:t>
      </w:r>
      <w:r>
        <w:rPr>
          <w:color w:val="231F20"/>
        </w:rPr>
        <w:t>conditions</w:t>
      </w:r>
      <w:r>
        <w:rPr>
          <w:color w:val="231F20"/>
          <w:spacing w:val="-2"/>
        </w:rPr>
        <w:t> </w:t>
      </w:r>
      <w:r>
        <w:rPr>
          <w:color w:val="231F20"/>
        </w:rPr>
        <w:t>or</w:t>
      </w:r>
      <w:r>
        <w:rPr>
          <w:color w:val="231F20"/>
          <w:spacing w:val="-2"/>
        </w:rPr>
        <w:t> </w:t>
      </w:r>
      <w:r>
        <w:rPr>
          <w:color w:val="231F20"/>
        </w:rPr>
        <w:t>hur- dles that new competitors have to overcome before they can enter the market. The availability of cash and specialized knowledge are such</w:t>
      </w:r>
      <w:r>
        <w:rPr>
          <w:color w:val="231F20"/>
          <w:spacing w:val="39"/>
        </w:rPr>
        <w:t> </w:t>
      </w:r>
      <w:r>
        <w:rPr>
          <w:color w:val="231F20"/>
        </w:rPr>
        <w:t>barriers.</w:t>
      </w:r>
      <w:r>
        <w:rPr>
          <w:color w:val="231F20"/>
          <w:spacing w:val="40"/>
        </w:rPr>
        <w:t> </w:t>
      </w:r>
      <w:r>
        <w:rPr>
          <w:color w:val="231F20"/>
        </w:rPr>
        <w:t>The</w:t>
      </w:r>
      <w:r>
        <w:rPr>
          <w:color w:val="231F20"/>
          <w:spacing w:val="39"/>
        </w:rPr>
        <w:t> </w:t>
      </w:r>
      <w:r>
        <w:rPr>
          <w:color w:val="231F20"/>
        </w:rPr>
        <w:t>pharmaceutical</w:t>
      </w:r>
      <w:r>
        <w:rPr>
          <w:color w:val="231F20"/>
          <w:spacing w:val="40"/>
        </w:rPr>
        <w:t> </w:t>
      </w:r>
      <w:r>
        <w:rPr>
          <w:color w:val="231F20"/>
        </w:rPr>
        <w:t>industry,</w:t>
      </w:r>
      <w:r>
        <w:rPr>
          <w:color w:val="231F20"/>
          <w:spacing w:val="40"/>
        </w:rPr>
        <w:t> </w:t>
      </w:r>
      <w:r>
        <w:rPr>
          <w:color w:val="231F20"/>
        </w:rPr>
        <w:t>for</w:t>
      </w:r>
      <w:r>
        <w:rPr>
          <w:color w:val="231F20"/>
          <w:spacing w:val="39"/>
        </w:rPr>
        <w:t> </w:t>
      </w:r>
      <w:r>
        <w:rPr>
          <w:color w:val="231F20"/>
        </w:rPr>
        <w:t>example,</w:t>
      </w:r>
      <w:r>
        <w:rPr>
          <w:color w:val="231F20"/>
          <w:spacing w:val="40"/>
        </w:rPr>
        <w:t> </w:t>
      </w:r>
      <w:r>
        <w:rPr>
          <w:color w:val="231F20"/>
        </w:rPr>
        <w:t>is</w:t>
      </w:r>
      <w:r>
        <w:rPr>
          <w:color w:val="231F20"/>
          <w:spacing w:val="40"/>
        </w:rPr>
        <w:t> </w:t>
      </w:r>
      <w:r>
        <w:rPr>
          <w:color w:val="231F20"/>
          <w:spacing w:val="-2"/>
        </w:rPr>
        <w:t>domi-</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3"/>
        <w:jc w:val="both"/>
      </w:pPr>
      <w:r>
        <w:rPr>
          <w:color w:val="231F20"/>
        </w:rPr>
        <w:t>nated by a few companies. To be a player, a company needs a </w:t>
      </w:r>
      <w:r>
        <w:rPr>
          <w:color w:val="231F20"/>
        </w:rPr>
        <w:t>large sales force, research labs, and a large bank account to pay for it all. Because of these barriers, most small companies team up with large ones if they have a promising new drug to peddle. In the online auc- tion market, eBay has a huge advantage because of the size of its buyer audience, vendor base, and infrastructure. On the other hand, Google’s Internet search competitors have a lower barrier to entry. Internet searchers can easily switch services, and competitors, such as Yahoo! or MSN, can develop new search technologies. Google is creating proprietary databases of information that competitors’ searches can’t access to create a barrier to entry.</w:t>
      </w:r>
    </w:p>
    <w:p>
      <w:pPr>
        <w:pStyle w:val="BodyText"/>
        <w:spacing w:line="292" w:lineRule="auto"/>
        <w:ind w:left="829" w:right="754" w:firstLine="340"/>
        <w:jc w:val="both"/>
      </w:pPr>
      <w:r>
        <w:rPr>
          <w:color w:val="231F20"/>
        </w:rPr>
        <w:t>If in an industry the barriers to entry are low, the playing </w:t>
      </w:r>
      <w:r>
        <w:rPr>
          <w:color w:val="231F20"/>
        </w:rPr>
        <w:t>field becomes crowded. Savvy marketers should plan for that eventuality by trying to form a marketing strategy that new competitors cannot easily copy. This is more fully discussed later in the book in the “Strategy” chapter.</w:t>
      </w:r>
    </w:p>
    <w:p>
      <w:pPr>
        <w:pStyle w:val="BodyText"/>
        <w:spacing w:line="292" w:lineRule="auto"/>
        <w:ind w:left="829" w:right="756" w:firstLine="340"/>
        <w:jc w:val="both"/>
      </w:pPr>
      <w:r>
        <w:rPr>
          <w:color w:val="231F20"/>
        </w:rPr>
        <w:t>During my coffee investigation, I looked at what my company</w:t>
      </w:r>
      <w:r>
        <w:rPr>
          <w:color w:val="231F20"/>
          <w:spacing w:val="80"/>
        </w:rPr>
        <w:t> </w:t>
      </w:r>
      <w:r>
        <w:rPr>
          <w:color w:val="231F20"/>
        </w:rPr>
        <w:t>had</w:t>
      </w:r>
      <w:r>
        <w:rPr>
          <w:color w:val="231F20"/>
          <w:spacing w:val="35"/>
        </w:rPr>
        <w:t> </w:t>
      </w:r>
      <w:r>
        <w:rPr>
          <w:color w:val="231F20"/>
        </w:rPr>
        <w:t>to</w:t>
      </w:r>
      <w:r>
        <w:rPr>
          <w:color w:val="231F20"/>
          <w:spacing w:val="35"/>
        </w:rPr>
        <w:t> </w:t>
      </w:r>
      <w:r>
        <w:rPr>
          <w:color w:val="231F20"/>
        </w:rPr>
        <w:t>offer.</w:t>
      </w:r>
      <w:r>
        <w:rPr>
          <w:color w:val="231F20"/>
          <w:spacing w:val="35"/>
        </w:rPr>
        <w:t> </w:t>
      </w:r>
      <w:r>
        <w:rPr>
          <w:color w:val="231F20"/>
        </w:rPr>
        <w:t>It</w:t>
      </w:r>
      <w:r>
        <w:rPr>
          <w:color w:val="231F20"/>
          <w:spacing w:val="35"/>
        </w:rPr>
        <w:t> </w:t>
      </w:r>
      <w:r>
        <w:rPr>
          <w:color w:val="231F20"/>
        </w:rPr>
        <w:t>didn’t</w:t>
      </w:r>
      <w:r>
        <w:rPr>
          <w:color w:val="231F20"/>
          <w:spacing w:val="35"/>
        </w:rPr>
        <w:t> </w:t>
      </w:r>
      <w:r>
        <w:rPr>
          <w:color w:val="231F20"/>
        </w:rPr>
        <w:t>have</w:t>
      </w:r>
      <w:r>
        <w:rPr>
          <w:color w:val="231F20"/>
          <w:spacing w:val="35"/>
        </w:rPr>
        <w:t> </w:t>
      </w:r>
      <w:r>
        <w:rPr>
          <w:color w:val="231F20"/>
        </w:rPr>
        <w:t>much.</w:t>
      </w:r>
      <w:r>
        <w:rPr>
          <w:color w:val="231F20"/>
          <w:spacing w:val="35"/>
        </w:rPr>
        <w:t> </w:t>
      </w:r>
      <w:r>
        <w:rPr>
          <w:color w:val="231F20"/>
        </w:rPr>
        <w:t>It</w:t>
      </w:r>
      <w:r>
        <w:rPr>
          <w:color w:val="231F20"/>
          <w:spacing w:val="35"/>
        </w:rPr>
        <w:t> </w:t>
      </w:r>
      <w:r>
        <w:rPr>
          <w:color w:val="231F20"/>
        </w:rPr>
        <w:t>didn’t</w:t>
      </w:r>
      <w:r>
        <w:rPr>
          <w:color w:val="231F20"/>
          <w:spacing w:val="35"/>
        </w:rPr>
        <w:t> </w:t>
      </w:r>
      <w:r>
        <w:rPr>
          <w:color w:val="231F20"/>
        </w:rPr>
        <w:t>have</w:t>
      </w:r>
      <w:r>
        <w:rPr>
          <w:color w:val="231F20"/>
          <w:spacing w:val="35"/>
        </w:rPr>
        <w:t> </w:t>
      </w:r>
      <w:r>
        <w:rPr>
          <w:color w:val="231F20"/>
        </w:rPr>
        <w:t>any</w:t>
      </w:r>
      <w:r>
        <w:rPr>
          <w:color w:val="231F20"/>
          <w:spacing w:val="35"/>
        </w:rPr>
        <w:t> </w:t>
      </w:r>
      <w:r>
        <w:rPr>
          <w:color w:val="231F20"/>
        </w:rPr>
        <w:t>experience</w:t>
      </w:r>
      <w:r>
        <w:rPr>
          <w:color w:val="231F20"/>
          <w:spacing w:val="35"/>
        </w:rPr>
        <w:t> </w:t>
      </w:r>
      <w:r>
        <w:rPr>
          <w:color w:val="231F20"/>
        </w:rPr>
        <w:t>in the United States. We lacked distribution, advertising expertise, a reputation, and cash. The only thing my Mexican employer had </w:t>
      </w:r>
      <w:r>
        <w:rPr>
          <w:color w:val="231F20"/>
        </w:rPr>
        <w:t>to offer</w:t>
      </w:r>
      <w:r>
        <w:rPr>
          <w:color w:val="231F20"/>
          <w:spacing w:val="40"/>
        </w:rPr>
        <w:t> </w:t>
      </w:r>
      <w:r>
        <w:rPr>
          <w:color w:val="231F20"/>
        </w:rPr>
        <w:t>was</w:t>
      </w:r>
      <w:r>
        <w:rPr>
          <w:color w:val="231F20"/>
          <w:spacing w:val="40"/>
        </w:rPr>
        <w:t> </w:t>
      </w:r>
      <w:r>
        <w:rPr>
          <w:color w:val="231F20"/>
        </w:rPr>
        <w:t>quality</w:t>
      </w:r>
      <w:r>
        <w:rPr>
          <w:color w:val="231F20"/>
          <w:spacing w:val="40"/>
        </w:rPr>
        <w:t> </w:t>
      </w:r>
      <w:r>
        <w:rPr>
          <w:color w:val="231F20"/>
        </w:rPr>
        <w:t>packaged</w:t>
      </w:r>
      <w:r>
        <w:rPr>
          <w:color w:val="231F20"/>
          <w:spacing w:val="40"/>
        </w:rPr>
        <w:t> </w:t>
      </w:r>
      <w:r>
        <w:rPr>
          <w:color w:val="231F20"/>
        </w:rPr>
        <w:t>coffee.</w:t>
      </w:r>
      <w:r>
        <w:rPr>
          <w:color w:val="231F20"/>
          <w:spacing w:val="40"/>
        </w:rPr>
        <w:t> </w:t>
      </w:r>
      <w:r>
        <w:rPr>
          <w:color w:val="231F20"/>
        </w:rPr>
        <w:t>What</w:t>
      </w:r>
      <w:r>
        <w:rPr>
          <w:color w:val="231F20"/>
          <w:spacing w:val="40"/>
        </w:rPr>
        <w:t> </w:t>
      </w:r>
      <w:r>
        <w:rPr>
          <w:color w:val="231F20"/>
        </w:rPr>
        <w:t>could</w:t>
      </w:r>
      <w:r>
        <w:rPr>
          <w:color w:val="231F20"/>
          <w:spacing w:val="40"/>
        </w:rPr>
        <w:t> </w:t>
      </w:r>
      <w:r>
        <w:rPr>
          <w:color w:val="231F20"/>
        </w:rPr>
        <w:t>a</w:t>
      </w:r>
      <w:r>
        <w:rPr>
          <w:color w:val="231F20"/>
          <w:spacing w:val="40"/>
        </w:rPr>
        <w:t> </w:t>
      </w:r>
      <w:r>
        <w:rPr>
          <w:color w:val="231F20"/>
        </w:rPr>
        <w:t>small</w:t>
      </w:r>
      <w:r>
        <w:rPr>
          <w:color w:val="231F20"/>
          <w:spacing w:val="40"/>
        </w:rPr>
        <w:t> </w:t>
      </w:r>
      <w:r>
        <w:rPr>
          <w:color w:val="231F20"/>
        </w:rPr>
        <w:t>competitor do against Folgers and Maxwell House coffees? After much ques- tioning, and feeling a little ill, I hoped that there might be a large</w:t>
      </w:r>
      <w:r>
        <w:rPr>
          <w:color w:val="231F20"/>
          <w:spacing w:val="80"/>
          <w:w w:val="150"/>
        </w:rPr>
        <w:t> </w:t>
      </w:r>
      <w:r>
        <w:rPr>
          <w:color w:val="231F20"/>
        </w:rPr>
        <w:t>food company that would like to enter into a joint venture. We</w:t>
      </w:r>
      <w:r>
        <w:rPr>
          <w:color w:val="231F20"/>
          <w:spacing w:val="80"/>
          <w:w w:val="150"/>
        </w:rPr>
        <w:t> </w:t>
      </w:r>
      <w:r>
        <w:rPr>
          <w:color w:val="231F20"/>
        </w:rPr>
        <w:t>would supply the coffee and the partner would do the distribution and marketing. We could </w:t>
      </w:r>
      <w:r>
        <w:rPr>
          <w:i/>
          <w:color w:val="231F20"/>
        </w:rPr>
        <w:t>piggyback, </w:t>
      </w:r>
      <w:r>
        <w:rPr>
          <w:color w:val="231F20"/>
        </w:rPr>
        <w:t>not unlike what small pharma- ceutical companies do, recognizing that some profit is better than </w:t>
      </w:r>
      <w:r>
        <w:rPr>
          <w:color w:val="231F20"/>
          <w:spacing w:val="-2"/>
        </w:rPr>
        <w:t>none.</w:t>
      </w:r>
    </w:p>
    <w:p>
      <w:pPr>
        <w:pStyle w:val="BodyText"/>
        <w:spacing w:before="6"/>
        <w:rPr>
          <w:sz w:val="26"/>
        </w:rPr>
      </w:pPr>
    </w:p>
    <w:p>
      <w:pPr>
        <w:spacing w:before="0"/>
        <w:ind w:left="1170" w:right="0" w:firstLine="0"/>
        <w:jc w:val="left"/>
        <w:rPr>
          <w:rFonts w:ascii="Arial"/>
          <w:i/>
          <w:sz w:val="19"/>
        </w:rPr>
      </w:pPr>
      <w:r>
        <w:rPr>
          <w:rFonts w:ascii="Arial"/>
          <w:i/>
          <w:color w:val="231F20"/>
          <w:w w:val="115"/>
          <w:sz w:val="19"/>
        </w:rPr>
        <w:t>What</w:t>
      </w:r>
      <w:r>
        <w:rPr>
          <w:rFonts w:ascii="Arial"/>
          <w:i/>
          <w:color w:val="231F20"/>
          <w:spacing w:val="-6"/>
          <w:w w:val="115"/>
          <w:sz w:val="19"/>
        </w:rPr>
        <w:t> </w:t>
      </w:r>
      <w:r>
        <w:rPr>
          <w:rFonts w:ascii="Arial"/>
          <w:i/>
          <w:color w:val="231F20"/>
          <w:w w:val="115"/>
          <w:sz w:val="19"/>
        </w:rPr>
        <w:t>are</w:t>
      </w:r>
      <w:r>
        <w:rPr>
          <w:rFonts w:ascii="Arial"/>
          <w:i/>
          <w:color w:val="231F20"/>
          <w:spacing w:val="-6"/>
          <w:w w:val="115"/>
          <w:sz w:val="19"/>
        </w:rPr>
        <w:t> </w:t>
      </w:r>
      <w:r>
        <w:rPr>
          <w:rFonts w:ascii="Arial"/>
          <w:i/>
          <w:color w:val="231F20"/>
          <w:w w:val="115"/>
          <w:sz w:val="19"/>
        </w:rPr>
        <w:t>the</w:t>
      </w:r>
      <w:r>
        <w:rPr>
          <w:rFonts w:ascii="Arial"/>
          <w:i/>
          <w:color w:val="231F20"/>
          <w:spacing w:val="-5"/>
          <w:w w:val="115"/>
          <w:sz w:val="19"/>
        </w:rPr>
        <w:t> </w:t>
      </w:r>
      <w:r>
        <w:rPr>
          <w:rFonts w:ascii="Arial"/>
          <w:i/>
          <w:color w:val="231F20"/>
          <w:w w:val="115"/>
          <w:sz w:val="19"/>
        </w:rPr>
        <w:t>market</w:t>
      </w:r>
      <w:r>
        <w:rPr>
          <w:rFonts w:ascii="Arial"/>
          <w:i/>
          <w:color w:val="231F20"/>
          <w:spacing w:val="-6"/>
          <w:w w:val="115"/>
          <w:sz w:val="19"/>
        </w:rPr>
        <w:t> </w:t>
      </w:r>
      <w:r>
        <w:rPr>
          <w:rFonts w:ascii="Arial"/>
          <w:i/>
          <w:color w:val="231F20"/>
          <w:w w:val="115"/>
          <w:sz w:val="19"/>
        </w:rPr>
        <w:t>shares</w:t>
      </w:r>
      <w:r>
        <w:rPr>
          <w:rFonts w:ascii="Arial"/>
          <w:i/>
          <w:color w:val="231F20"/>
          <w:spacing w:val="-5"/>
          <w:w w:val="115"/>
          <w:sz w:val="19"/>
        </w:rPr>
        <w:t> </w:t>
      </w:r>
      <w:r>
        <w:rPr>
          <w:rFonts w:ascii="Arial"/>
          <w:i/>
          <w:color w:val="231F20"/>
          <w:w w:val="115"/>
          <w:sz w:val="19"/>
        </w:rPr>
        <w:t>of</w:t>
      </w:r>
      <w:r>
        <w:rPr>
          <w:rFonts w:ascii="Arial"/>
          <w:i/>
          <w:color w:val="231F20"/>
          <w:spacing w:val="-6"/>
          <w:w w:val="115"/>
          <w:sz w:val="19"/>
        </w:rPr>
        <w:t> </w:t>
      </w:r>
      <w:r>
        <w:rPr>
          <w:rFonts w:ascii="Arial"/>
          <w:i/>
          <w:color w:val="231F20"/>
          <w:w w:val="115"/>
          <w:sz w:val="19"/>
        </w:rPr>
        <w:t>the</w:t>
      </w:r>
      <w:r>
        <w:rPr>
          <w:rFonts w:ascii="Arial"/>
          <w:i/>
          <w:color w:val="231F20"/>
          <w:spacing w:val="-6"/>
          <w:w w:val="115"/>
          <w:sz w:val="19"/>
        </w:rPr>
        <w:t> </w:t>
      </w:r>
      <w:r>
        <w:rPr>
          <w:rFonts w:ascii="Arial"/>
          <w:i/>
          <w:color w:val="231F20"/>
          <w:w w:val="115"/>
          <w:sz w:val="19"/>
        </w:rPr>
        <w:t>industry</w:t>
      </w:r>
      <w:r>
        <w:rPr>
          <w:rFonts w:ascii="Arial"/>
          <w:i/>
          <w:color w:val="231F20"/>
          <w:spacing w:val="-5"/>
          <w:w w:val="115"/>
          <w:sz w:val="19"/>
        </w:rPr>
        <w:t> </w:t>
      </w:r>
      <w:r>
        <w:rPr>
          <w:rFonts w:ascii="Arial"/>
          <w:i/>
          <w:color w:val="231F20"/>
          <w:spacing w:val="-2"/>
          <w:w w:val="115"/>
          <w:sz w:val="19"/>
        </w:rPr>
        <w:t>players?</w:t>
      </w:r>
    </w:p>
    <w:p>
      <w:pPr>
        <w:pStyle w:val="BodyText"/>
        <w:spacing w:line="292" w:lineRule="auto" w:before="60"/>
        <w:ind w:left="830" w:right="753" w:firstLine="340"/>
        <w:jc w:val="both"/>
      </w:pPr>
      <w:r>
        <w:rPr>
          <w:color w:val="231F20"/>
        </w:rPr>
        <w:t>Many tracking services are available for consumer products such </w:t>
      </w:r>
      <w:r>
        <w:rPr>
          <w:color w:val="231F20"/>
          <w:w w:val="105"/>
        </w:rPr>
        <w:t>as Selling Areas Marketing Inc. (SAMI) and A. C. Nielsen. </w:t>
      </w:r>
      <w:r>
        <w:rPr>
          <w:color w:val="231F20"/>
          <w:w w:val="105"/>
        </w:rPr>
        <w:t>Checkout scanners</w:t>
      </w:r>
      <w:r>
        <w:rPr>
          <w:color w:val="231F20"/>
          <w:w w:val="105"/>
        </w:rPr>
        <w:t> and</w:t>
      </w:r>
      <w:r>
        <w:rPr>
          <w:color w:val="231F20"/>
          <w:w w:val="105"/>
        </w:rPr>
        <w:t> warehouse</w:t>
      </w:r>
      <w:r>
        <w:rPr>
          <w:color w:val="231F20"/>
          <w:w w:val="105"/>
        </w:rPr>
        <w:t> tracking</w:t>
      </w:r>
      <w:r>
        <w:rPr>
          <w:color w:val="231F20"/>
          <w:w w:val="105"/>
        </w:rPr>
        <w:t> collect</w:t>
      </w:r>
      <w:r>
        <w:rPr>
          <w:color w:val="231F20"/>
          <w:w w:val="105"/>
        </w:rPr>
        <w:t> supermarket</w:t>
      </w:r>
      <w:r>
        <w:rPr>
          <w:color w:val="231F20"/>
          <w:w w:val="105"/>
        </w:rPr>
        <w:t> sales</w:t>
      </w:r>
      <w:r>
        <w:rPr>
          <w:color w:val="231F20"/>
          <w:w w:val="105"/>
        </w:rPr>
        <w:t> data. </w:t>
      </w:r>
      <w:r>
        <w:rPr>
          <w:color w:val="231F20"/>
        </w:rPr>
        <w:t>However, for industrial products, such as manufacturing equipment, </w:t>
      </w:r>
      <w:r>
        <w:rPr>
          <w:color w:val="231F20"/>
          <w:w w:val="105"/>
        </w:rPr>
        <w:t>the</w:t>
      </w:r>
      <w:r>
        <w:rPr>
          <w:color w:val="231F20"/>
          <w:w w:val="105"/>
        </w:rPr>
        <w:t> information</w:t>
      </w:r>
      <w:r>
        <w:rPr>
          <w:color w:val="231F20"/>
          <w:w w:val="105"/>
        </w:rPr>
        <w:t> is</w:t>
      </w:r>
      <w:r>
        <w:rPr>
          <w:color w:val="231F20"/>
          <w:w w:val="105"/>
        </w:rPr>
        <w:t> less</w:t>
      </w:r>
      <w:r>
        <w:rPr>
          <w:color w:val="231F20"/>
          <w:w w:val="105"/>
        </w:rPr>
        <w:t> accessible.</w:t>
      </w:r>
      <w:r>
        <w:rPr>
          <w:color w:val="231F20"/>
          <w:w w:val="105"/>
        </w:rPr>
        <w:t> Trade</w:t>
      </w:r>
      <w:r>
        <w:rPr>
          <w:color w:val="231F20"/>
          <w:w w:val="105"/>
        </w:rPr>
        <w:t> associations</w:t>
      </w:r>
      <w:r>
        <w:rPr>
          <w:color w:val="231F20"/>
          <w:w w:val="105"/>
        </w:rPr>
        <w:t> are</w:t>
      </w:r>
      <w:r>
        <w:rPr>
          <w:color w:val="231F20"/>
          <w:w w:val="105"/>
        </w:rPr>
        <w:t> a</w:t>
      </w:r>
      <w:r>
        <w:rPr>
          <w:color w:val="231F20"/>
          <w:w w:val="105"/>
        </w:rPr>
        <w:t> good </w:t>
      </w:r>
      <w:r>
        <w:rPr>
          <w:color w:val="231F20"/>
          <w:spacing w:val="-2"/>
          <w:w w:val="105"/>
        </w:rPr>
        <w:t>source.</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firstLine="340"/>
        <w:jc w:val="both"/>
      </w:pPr>
      <w:r>
        <w:rPr>
          <w:color w:val="231F20"/>
        </w:rPr>
        <w:t>The shift of share over time is extremely important. In the </w:t>
      </w:r>
      <w:r>
        <w:rPr>
          <w:color w:val="231F20"/>
        </w:rPr>
        <w:t>battle for “instant” coffee sales in the grocery store, for example, the top three competitors controlled 95 percent of the market in 2002, up 5 percent from 1986. They were Kraft Foods (37 percent), Nestlé (34 percent), and Procter </w:t>
      </w:r>
      <w:r>
        <w:rPr>
          <w:color w:val="231F20"/>
          <w:w w:val="110"/>
        </w:rPr>
        <w:t>&amp;</w:t>
      </w:r>
      <w:r>
        <w:rPr>
          <w:color w:val="231F20"/>
          <w:w w:val="110"/>
        </w:rPr>
        <w:t> </w:t>
      </w:r>
      <w:r>
        <w:rPr>
          <w:color w:val="231F20"/>
        </w:rPr>
        <w:t>Gamble (24 percent). Little was left for a</w:t>
      </w:r>
      <w:r>
        <w:rPr>
          <w:color w:val="231F20"/>
          <w:spacing w:val="80"/>
        </w:rPr>
        <w:t> </w:t>
      </w:r>
      <w:r>
        <w:rPr>
          <w:color w:val="231F20"/>
        </w:rPr>
        <w:t>new entrant.</w:t>
      </w:r>
    </w:p>
    <w:p>
      <w:pPr>
        <w:pStyle w:val="BodyText"/>
        <w:spacing w:line="292" w:lineRule="auto"/>
        <w:ind w:left="920" w:right="663" w:firstLine="339"/>
        <w:jc w:val="both"/>
      </w:pPr>
      <w:r>
        <w:rPr>
          <w:i/>
          <w:color w:val="231F20"/>
        </w:rPr>
        <w:t>Market share leverage </w:t>
      </w:r>
      <w:r>
        <w:rPr>
          <w:color w:val="231F20"/>
        </w:rPr>
        <w:t>is a key concept to consider when examin- ing market shares within an industry. The companies with larger market shares relative to their competition usually enjoy higher profits. Larger competitors can produce more cheaply per unit be- cause they can spread their costs over more units. A smaller com- petitor cannot afford to spend as much on either research or more efficient equipment, because the smaller sales volume cannot sup- port the burden. If I had been charged with a new instant coffee </w:t>
      </w:r>
      <w:r>
        <w:rPr>
          <w:color w:val="231F20"/>
        </w:rPr>
        <w:t>to sell, I would have had to reconsider entry into the declining instant- coffee market dominated by bigger, lower-cost competitors. Fortu- nately for my Mexican coffee’s entry, in 1989 18 percent of the “ground” coffee market was controlled by smaller competitors. And that share had increased from 16 percent in 1986. This constituted a far more favorable environment for a new entrant such as my Mexi- can ground coffee.</w:t>
      </w:r>
    </w:p>
    <w:p>
      <w:pPr>
        <w:pStyle w:val="BodyText"/>
        <w:spacing w:before="8"/>
        <w:rPr>
          <w:sz w:val="26"/>
        </w:rPr>
      </w:pPr>
    </w:p>
    <w:p>
      <w:pPr>
        <w:spacing w:line="328" w:lineRule="auto" w:before="0"/>
        <w:ind w:left="1260" w:right="1262" w:firstLine="0"/>
        <w:jc w:val="left"/>
        <w:rPr>
          <w:rFonts w:ascii="Arial"/>
          <w:i/>
          <w:sz w:val="19"/>
        </w:rPr>
      </w:pPr>
      <w:r>
        <w:rPr>
          <w:rFonts w:ascii="Arial"/>
          <w:i/>
          <w:color w:val="231F20"/>
          <w:w w:val="115"/>
          <w:sz w:val="19"/>
        </w:rPr>
        <w:t>How</w:t>
      </w:r>
      <w:r>
        <w:rPr>
          <w:rFonts w:ascii="Arial"/>
          <w:i/>
          <w:color w:val="231F20"/>
          <w:spacing w:val="-2"/>
          <w:w w:val="115"/>
          <w:sz w:val="19"/>
        </w:rPr>
        <w:t> </w:t>
      </w:r>
      <w:r>
        <w:rPr>
          <w:rFonts w:ascii="Arial"/>
          <w:i/>
          <w:color w:val="231F20"/>
          <w:w w:val="115"/>
          <w:sz w:val="19"/>
        </w:rPr>
        <w:t>does</w:t>
      </w:r>
      <w:r>
        <w:rPr>
          <w:rFonts w:ascii="Arial"/>
          <w:i/>
          <w:color w:val="231F20"/>
          <w:spacing w:val="-2"/>
          <w:w w:val="115"/>
          <w:sz w:val="19"/>
        </w:rPr>
        <w:t> </w:t>
      </w:r>
      <w:r>
        <w:rPr>
          <w:rFonts w:ascii="Arial"/>
          <w:i/>
          <w:color w:val="231F20"/>
          <w:w w:val="115"/>
          <w:sz w:val="19"/>
        </w:rPr>
        <w:t>my</w:t>
      </w:r>
      <w:r>
        <w:rPr>
          <w:rFonts w:ascii="Arial"/>
          <w:i/>
          <w:color w:val="231F20"/>
          <w:spacing w:val="-2"/>
          <w:w w:val="115"/>
          <w:sz w:val="19"/>
        </w:rPr>
        <w:t> </w:t>
      </w:r>
      <w:r>
        <w:rPr>
          <w:rFonts w:ascii="Arial"/>
          <w:i/>
          <w:color w:val="231F20"/>
          <w:w w:val="115"/>
          <w:sz w:val="19"/>
        </w:rPr>
        <w:t>product</w:t>
      </w:r>
      <w:r>
        <w:rPr>
          <w:rFonts w:ascii="Arial"/>
          <w:i/>
          <w:color w:val="231F20"/>
          <w:spacing w:val="-2"/>
          <w:w w:val="115"/>
          <w:sz w:val="19"/>
        </w:rPr>
        <w:t> </w:t>
      </w:r>
      <w:r>
        <w:rPr>
          <w:rFonts w:ascii="Arial"/>
          <w:i/>
          <w:color w:val="231F20"/>
          <w:w w:val="115"/>
          <w:sz w:val="19"/>
        </w:rPr>
        <w:t>perceptually</w:t>
      </w:r>
      <w:r>
        <w:rPr>
          <w:rFonts w:ascii="Arial"/>
          <w:i/>
          <w:color w:val="231F20"/>
          <w:spacing w:val="-2"/>
          <w:w w:val="115"/>
          <w:sz w:val="19"/>
        </w:rPr>
        <w:t> </w:t>
      </w:r>
      <w:r>
        <w:rPr>
          <w:rFonts w:ascii="Arial"/>
          <w:i/>
          <w:color w:val="231F20"/>
          <w:w w:val="115"/>
          <w:sz w:val="19"/>
        </w:rPr>
        <w:t>map</w:t>
      </w:r>
      <w:r>
        <w:rPr>
          <w:rFonts w:ascii="Arial"/>
          <w:i/>
          <w:color w:val="231F20"/>
          <w:spacing w:val="-2"/>
          <w:w w:val="115"/>
          <w:sz w:val="19"/>
        </w:rPr>
        <w:t> </w:t>
      </w:r>
      <w:r>
        <w:rPr>
          <w:rFonts w:ascii="Arial"/>
          <w:i/>
          <w:color w:val="231F20"/>
          <w:w w:val="115"/>
          <w:sz w:val="19"/>
        </w:rPr>
        <w:t>against</w:t>
      </w:r>
      <w:r>
        <w:rPr>
          <w:rFonts w:ascii="Arial"/>
          <w:i/>
          <w:color w:val="231F20"/>
          <w:spacing w:val="-2"/>
          <w:w w:val="115"/>
          <w:sz w:val="19"/>
        </w:rPr>
        <w:t> </w:t>
      </w:r>
      <w:r>
        <w:rPr>
          <w:rFonts w:ascii="Arial"/>
          <w:i/>
          <w:color w:val="231F20"/>
          <w:w w:val="115"/>
          <w:sz w:val="19"/>
        </w:rPr>
        <w:t>the</w:t>
      </w:r>
      <w:r>
        <w:rPr>
          <w:rFonts w:ascii="Arial"/>
          <w:i/>
          <w:color w:val="231F20"/>
          <w:w w:val="115"/>
          <w:sz w:val="19"/>
        </w:rPr>
        <w:t> </w:t>
      </w:r>
      <w:r>
        <w:rPr>
          <w:rFonts w:ascii="Arial"/>
          <w:i/>
          <w:color w:val="231F20"/>
          <w:spacing w:val="-2"/>
          <w:w w:val="115"/>
          <w:sz w:val="19"/>
        </w:rPr>
        <w:t>competition?</w:t>
      </w:r>
    </w:p>
    <w:p>
      <w:pPr>
        <w:spacing w:line="226" w:lineRule="exact" w:before="0"/>
        <w:ind w:left="1260" w:right="0" w:firstLine="0"/>
        <w:jc w:val="both"/>
        <w:rPr>
          <w:sz w:val="21"/>
        </w:rPr>
      </w:pPr>
      <w:r>
        <w:rPr>
          <w:color w:val="231F20"/>
          <w:sz w:val="21"/>
        </w:rPr>
        <w:t>The</w:t>
      </w:r>
      <w:r>
        <w:rPr>
          <w:color w:val="231F20"/>
          <w:spacing w:val="14"/>
          <w:sz w:val="21"/>
        </w:rPr>
        <w:t> </w:t>
      </w:r>
      <w:r>
        <w:rPr>
          <w:i/>
          <w:color w:val="231F20"/>
          <w:sz w:val="21"/>
        </w:rPr>
        <w:t>perceptual</w:t>
      </w:r>
      <w:r>
        <w:rPr>
          <w:i/>
          <w:color w:val="231F20"/>
          <w:spacing w:val="14"/>
          <w:sz w:val="21"/>
        </w:rPr>
        <w:t> </w:t>
      </w:r>
      <w:r>
        <w:rPr>
          <w:i/>
          <w:color w:val="231F20"/>
          <w:sz w:val="21"/>
        </w:rPr>
        <w:t>mapping</w:t>
      </w:r>
      <w:r>
        <w:rPr>
          <w:i/>
          <w:color w:val="231F20"/>
          <w:spacing w:val="14"/>
          <w:sz w:val="21"/>
        </w:rPr>
        <w:t> </w:t>
      </w:r>
      <w:r>
        <w:rPr>
          <w:color w:val="231F20"/>
          <w:sz w:val="21"/>
        </w:rPr>
        <w:t>technique</w:t>
      </w:r>
      <w:r>
        <w:rPr>
          <w:color w:val="231F20"/>
          <w:spacing w:val="14"/>
          <w:sz w:val="21"/>
        </w:rPr>
        <w:t> </w:t>
      </w:r>
      <w:r>
        <w:rPr>
          <w:color w:val="231F20"/>
          <w:sz w:val="21"/>
        </w:rPr>
        <w:t>is</w:t>
      </w:r>
      <w:r>
        <w:rPr>
          <w:color w:val="231F20"/>
          <w:spacing w:val="14"/>
          <w:sz w:val="21"/>
        </w:rPr>
        <w:t> </w:t>
      </w:r>
      <w:r>
        <w:rPr>
          <w:color w:val="231F20"/>
          <w:sz w:val="21"/>
        </w:rPr>
        <w:t>a</w:t>
      </w:r>
      <w:r>
        <w:rPr>
          <w:color w:val="231F20"/>
          <w:spacing w:val="14"/>
          <w:sz w:val="21"/>
        </w:rPr>
        <w:t> </w:t>
      </w:r>
      <w:r>
        <w:rPr>
          <w:color w:val="231F20"/>
          <w:sz w:val="21"/>
        </w:rPr>
        <w:t>graphic</w:t>
      </w:r>
      <w:r>
        <w:rPr>
          <w:color w:val="231F20"/>
          <w:spacing w:val="14"/>
          <w:sz w:val="21"/>
        </w:rPr>
        <w:t> </w:t>
      </w:r>
      <w:r>
        <w:rPr>
          <w:color w:val="231F20"/>
          <w:sz w:val="21"/>
        </w:rPr>
        <w:t>way</w:t>
      </w:r>
      <w:r>
        <w:rPr>
          <w:color w:val="231F20"/>
          <w:spacing w:val="14"/>
          <w:sz w:val="21"/>
        </w:rPr>
        <w:t> </w:t>
      </w:r>
      <w:r>
        <w:rPr>
          <w:color w:val="231F20"/>
          <w:sz w:val="21"/>
        </w:rPr>
        <w:t>to</w:t>
      </w:r>
      <w:r>
        <w:rPr>
          <w:color w:val="231F20"/>
          <w:spacing w:val="15"/>
          <w:sz w:val="21"/>
        </w:rPr>
        <w:t> </w:t>
      </w:r>
      <w:r>
        <w:rPr>
          <w:color w:val="231F20"/>
          <w:sz w:val="21"/>
        </w:rPr>
        <w:t>view</w:t>
      </w:r>
      <w:r>
        <w:rPr>
          <w:color w:val="231F20"/>
          <w:spacing w:val="14"/>
          <w:sz w:val="21"/>
        </w:rPr>
        <w:t> </w:t>
      </w:r>
      <w:r>
        <w:rPr>
          <w:color w:val="231F20"/>
          <w:spacing w:val="-5"/>
          <w:sz w:val="21"/>
        </w:rPr>
        <w:t>and</w:t>
      </w:r>
    </w:p>
    <w:p>
      <w:pPr>
        <w:pStyle w:val="BodyText"/>
        <w:spacing w:line="292" w:lineRule="auto" w:before="54"/>
        <w:ind w:left="920" w:right="665"/>
        <w:jc w:val="both"/>
      </w:pPr>
      <w:r>
        <w:rPr>
          <w:color w:val="231F20"/>
        </w:rPr>
        <w:t>compare your product against the competitors’. A commonly used grid is </w:t>
      </w:r>
      <w:r>
        <w:rPr>
          <w:i/>
          <w:color w:val="231F20"/>
        </w:rPr>
        <w:t>price </w:t>
      </w:r>
      <w:r>
        <w:rPr>
          <w:color w:val="231F20"/>
        </w:rPr>
        <w:t>and </w:t>
      </w:r>
      <w:r>
        <w:rPr>
          <w:i/>
          <w:color w:val="231F20"/>
        </w:rPr>
        <w:t>quality, </w:t>
      </w:r>
      <w:r>
        <w:rPr>
          <w:color w:val="231F20"/>
        </w:rPr>
        <w:t>but many others are possible and </w:t>
      </w:r>
      <w:r>
        <w:rPr>
          <w:color w:val="231F20"/>
        </w:rPr>
        <w:t>useful. Maps are another MBA technique to generate ideas for marketing for your</w:t>
      </w:r>
      <w:r>
        <w:rPr>
          <w:color w:val="231F20"/>
          <w:spacing w:val="-10"/>
        </w:rPr>
        <w:t> </w:t>
      </w:r>
      <w:r>
        <w:rPr>
          <w:color w:val="231F20"/>
        </w:rPr>
        <w:t>product,</w:t>
      </w:r>
      <w:r>
        <w:rPr>
          <w:color w:val="231F20"/>
          <w:spacing w:val="-10"/>
        </w:rPr>
        <w:t> </w:t>
      </w:r>
      <w:r>
        <w:rPr>
          <w:color w:val="231F20"/>
        </w:rPr>
        <w:t>and</w:t>
      </w:r>
      <w:r>
        <w:rPr>
          <w:color w:val="231F20"/>
          <w:spacing w:val="-10"/>
        </w:rPr>
        <w:t> </w:t>
      </w:r>
      <w:r>
        <w:rPr>
          <w:color w:val="231F20"/>
        </w:rPr>
        <w:t>perceptual</w:t>
      </w:r>
      <w:r>
        <w:rPr>
          <w:color w:val="231F20"/>
          <w:spacing w:val="-10"/>
        </w:rPr>
        <w:t> </w:t>
      </w:r>
      <w:r>
        <w:rPr>
          <w:color w:val="231F20"/>
        </w:rPr>
        <w:t>maps</w:t>
      </w:r>
      <w:r>
        <w:rPr>
          <w:color w:val="231F20"/>
          <w:spacing w:val="-10"/>
        </w:rPr>
        <w:t> </w:t>
      </w:r>
      <w:r>
        <w:rPr>
          <w:color w:val="231F20"/>
        </w:rPr>
        <w:t>may</w:t>
      </w:r>
      <w:r>
        <w:rPr>
          <w:color w:val="231F20"/>
          <w:spacing w:val="-10"/>
        </w:rPr>
        <w:t> </w:t>
      </w:r>
      <w:r>
        <w:rPr>
          <w:color w:val="231F20"/>
        </w:rPr>
        <w:t>highlight</w:t>
      </w:r>
      <w:r>
        <w:rPr>
          <w:color w:val="231F20"/>
          <w:spacing w:val="-10"/>
        </w:rPr>
        <w:t> </w:t>
      </w:r>
      <w:r>
        <w:rPr>
          <w:color w:val="231F20"/>
        </w:rPr>
        <w:t>an</w:t>
      </w:r>
      <w:r>
        <w:rPr>
          <w:color w:val="231F20"/>
          <w:spacing w:val="-10"/>
        </w:rPr>
        <w:t> </w:t>
      </w:r>
      <w:r>
        <w:rPr>
          <w:color w:val="231F20"/>
        </w:rPr>
        <w:t>unserved</w:t>
      </w:r>
      <w:r>
        <w:rPr>
          <w:color w:val="231F20"/>
          <w:spacing w:val="-10"/>
        </w:rPr>
        <w:t> </w:t>
      </w:r>
      <w:r>
        <w:rPr>
          <w:color w:val="231F20"/>
        </w:rPr>
        <w:t>market </w:t>
      </w:r>
      <w:r>
        <w:rPr>
          <w:color w:val="231F20"/>
          <w:spacing w:val="-2"/>
        </w:rPr>
        <w:t>segment</w:t>
      </w:r>
      <w:r>
        <w:rPr>
          <w:color w:val="231F20"/>
          <w:spacing w:val="-6"/>
        </w:rPr>
        <w:t> </w:t>
      </w:r>
      <w:r>
        <w:rPr>
          <w:color w:val="231F20"/>
          <w:spacing w:val="-2"/>
        </w:rPr>
        <w:t>by</w:t>
      </w:r>
      <w:r>
        <w:rPr>
          <w:color w:val="231F20"/>
          <w:spacing w:val="-6"/>
        </w:rPr>
        <w:t> </w:t>
      </w:r>
      <w:r>
        <w:rPr>
          <w:color w:val="231F20"/>
          <w:spacing w:val="-2"/>
        </w:rPr>
        <w:t>showing</w:t>
      </w:r>
      <w:r>
        <w:rPr>
          <w:color w:val="231F20"/>
          <w:spacing w:val="-6"/>
        </w:rPr>
        <w:t> </w:t>
      </w:r>
      <w:r>
        <w:rPr>
          <w:color w:val="231F20"/>
          <w:spacing w:val="-2"/>
        </w:rPr>
        <w:t>how</w:t>
      </w:r>
      <w:r>
        <w:rPr>
          <w:color w:val="231F20"/>
          <w:spacing w:val="-6"/>
        </w:rPr>
        <w:t> </w:t>
      </w:r>
      <w:r>
        <w:rPr>
          <w:color w:val="231F20"/>
          <w:spacing w:val="-2"/>
        </w:rPr>
        <w:t>the</w:t>
      </w:r>
      <w:r>
        <w:rPr>
          <w:color w:val="231F20"/>
          <w:spacing w:val="-6"/>
        </w:rPr>
        <w:t> </w:t>
      </w:r>
      <w:r>
        <w:rPr>
          <w:color w:val="231F20"/>
          <w:spacing w:val="-2"/>
        </w:rPr>
        <w:t>consumer</w:t>
      </w:r>
      <w:r>
        <w:rPr>
          <w:color w:val="231F20"/>
          <w:spacing w:val="-6"/>
        </w:rPr>
        <w:t> </w:t>
      </w:r>
      <w:r>
        <w:rPr>
          <w:color w:val="231F20"/>
          <w:spacing w:val="-2"/>
        </w:rPr>
        <w:t>perceives</w:t>
      </w:r>
      <w:r>
        <w:rPr>
          <w:color w:val="231F20"/>
          <w:spacing w:val="-6"/>
        </w:rPr>
        <w:t> </w:t>
      </w:r>
      <w:r>
        <w:rPr>
          <w:color w:val="231F20"/>
          <w:spacing w:val="-2"/>
        </w:rPr>
        <w:t>competing</w:t>
      </w:r>
      <w:r>
        <w:rPr>
          <w:color w:val="231F20"/>
          <w:spacing w:val="-6"/>
        </w:rPr>
        <w:t> </w:t>
      </w:r>
      <w:r>
        <w:rPr>
          <w:color w:val="231F20"/>
          <w:spacing w:val="-2"/>
        </w:rPr>
        <w:t>products, </w:t>
      </w:r>
      <w:r>
        <w:rPr>
          <w:color w:val="231F20"/>
        </w:rPr>
        <w:t>regardless of the physical reality of performance. Perceptions are paramount</w:t>
      </w:r>
      <w:r>
        <w:rPr>
          <w:color w:val="231F20"/>
          <w:spacing w:val="-10"/>
        </w:rPr>
        <w:t> </w:t>
      </w:r>
      <w:r>
        <w:rPr>
          <w:color w:val="231F20"/>
        </w:rPr>
        <w:t>in</w:t>
      </w:r>
      <w:r>
        <w:rPr>
          <w:color w:val="231F20"/>
          <w:spacing w:val="-10"/>
        </w:rPr>
        <w:t> </w:t>
      </w:r>
      <w:r>
        <w:rPr>
          <w:color w:val="231F20"/>
        </w:rPr>
        <w:t>marketing,</w:t>
      </w:r>
      <w:r>
        <w:rPr>
          <w:color w:val="231F20"/>
          <w:spacing w:val="-10"/>
        </w:rPr>
        <w:t> </w:t>
      </w:r>
      <w:r>
        <w:rPr>
          <w:color w:val="231F20"/>
        </w:rPr>
        <w:t>just</w:t>
      </w:r>
      <w:r>
        <w:rPr>
          <w:color w:val="231F20"/>
          <w:spacing w:val="-10"/>
        </w:rPr>
        <w:t> </w:t>
      </w:r>
      <w:r>
        <w:rPr>
          <w:color w:val="231F20"/>
        </w:rPr>
        <w:t>as</w:t>
      </w:r>
      <w:r>
        <w:rPr>
          <w:color w:val="231F20"/>
          <w:spacing w:val="-10"/>
        </w:rPr>
        <w:t> </w:t>
      </w:r>
      <w:r>
        <w:rPr>
          <w:color w:val="231F20"/>
        </w:rPr>
        <w:t>they</w:t>
      </w:r>
      <w:r>
        <w:rPr>
          <w:color w:val="231F20"/>
          <w:spacing w:val="-10"/>
        </w:rPr>
        <w:t> </w:t>
      </w:r>
      <w:r>
        <w:rPr>
          <w:color w:val="231F20"/>
        </w:rPr>
        <w:t>are</w:t>
      </w:r>
      <w:r>
        <w:rPr>
          <w:color w:val="231F20"/>
          <w:spacing w:val="-10"/>
        </w:rPr>
        <w:t> </w:t>
      </w:r>
      <w:r>
        <w:rPr>
          <w:color w:val="231F20"/>
        </w:rPr>
        <w:t>in</w:t>
      </w:r>
      <w:r>
        <w:rPr>
          <w:color w:val="231F20"/>
          <w:spacing w:val="-10"/>
        </w:rPr>
        <w:t> </w:t>
      </w:r>
      <w:r>
        <w:rPr>
          <w:color w:val="231F20"/>
        </w:rPr>
        <w:t>politics.</w:t>
      </w:r>
      <w:r>
        <w:rPr>
          <w:color w:val="231F20"/>
          <w:spacing w:val="-10"/>
        </w:rPr>
        <w:t> </w:t>
      </w:r>
      <w:r>
        <w:rPr>
          <w:color w:val="231F20"/>
        </w:rPr>
        <w:t>In</w:t>
      </w:r>
      <w:r>
        <w:rPr>
          <w:color w:val="231F20"/>
          <w:spacing w:val="-10"/>
        </w:rPr>
        <w:t> </w:t>
      </w:r>
      <w:r>
        <w:rPr>
          <w:color w:val="231F20"/>
        </w:rPr>
        <w:t>the</w:t>
      </w:r>
      <w:r>
        <w:rPr>
          <w:color w:val="231F20"/>
          <w:spacing w:val="-10"/>
        </w:rPr>
        <w:t> </w:t>
      </w:r>
      <w:r>
        <w:rPr>
          <w:color w:val="231F20"/>
        </w:rPr>
        <w:t>paper</w:t>
      </w:r>
      <w:r>
        <w:rPr>
          <w:color w:val="231F20"/>
          <w:spacing w:val="-10"/>
        </w:rPr>
        <w:t> </w:t>
      </w:r>
      <w:r>
        <w:rPr>
          <w:color w:val="231F20"/>
        </w:rPr>
        <w:t>towel industry,</w:t>
      </w:r>
      <w:r>
        <w:rPr>
          <w:color w:val="231F20"/>
          <w:spacing w:val="-11"/>
        </w:rPr>
        <w:t> </w:t>
      </w:r>
      <w:r>
        <w:rPr>
          <w:color w:val="231F20"/>
        </w:rPr>
        <w:t>for</w:t>
      </w:r>
      <w:r>
        <w:rPr>
          <w:color w:val="231F20"/>
          <w:spacing w:val="-11"/>
        </w:rPr>
        <w:t> </w:t>
      </w:r>
      <w:r>
        <w:rPr>
          <w:color w:val="231F20"/>
        </w:rPr>
        <w:t>example,</w:t>
      </w:r>
      <w:r>
        <w:rPr>
          <w:color w:val="231F20"/>
          <w:spacing w:val="-11"/>
        </w:rPr>
        <w:t> </w:t>
      </w:r>
      <w:r>
        <w:rPr>
          <w:color w:val="231F20"/>
        </w:rPr>
        <w:t>towel</w:t>
      </w:r>
      <w:r>
        <w:rPr>
          <w:color w:val="231F20"/>
          <w:spacing w:val="-11"/>
        </w:rPr>
        <w:t> </w:t>
      </w:r>
      <w:r>
        <w:rPr>
          <w:color w:val="231F20"/>
        </w:rPr>
        <w:t>strength</w:t>
      </w:r>
      <w:r>
        <w:rPr>
          <w:color w:val="231F20"/>
          <w:spacing w:val="-11"/>
        </w:rPr>
        <w:t> </w:t>
      </w:r>
      <w:r>
        <w:rPr>
          <w:color w:val="231F20"/>
        </w:rPr>
        <w:t>and</w:t>
      </w:r>
      <w:r>
        <w:rPr>
          <w:color w:val="231F20"/>
          <w:spacing w:val="-11"/>
        </w:rPr>
        <w:t> </w:t>
      </w:r>
      <w:r>
        <w:rPr>
          <w:color w:val="231F20"/>
        </w:rPr>
        <w:t>decorator</w:t>
      </w:r>
      <w:r>
        <w:rPr>
          <w:color w:val="231F20"/>
          <w:spacing w:val="-11"/>
        </w:rPr>
        <w:t> </w:t>
      </w:r>
      <w:r>
        <w:rPr>
          <w:color w:val="231F20"/>
        </w:rPr>
        <w:t>appeal</w:t>
      </w:r>
      <w:r>
        <w:rPr>
          <w:color w:val="231F20"/>
          <w:spacing w:val="-11"/>
        </w:rPr>
        <w:t> </w:t>
      </w:r>
      <w:r>
        <w:rPr>
          <w:color w:val="231F20"/>
        </w:rPr>
        <w:t>are</w:t>
      </w:r>
      <w:r>
        <w:rPr>
          <w:color w:val="231F20"/>
          <w:spacing w:val="-11"/>
        </w:rPr>
        <w:t> </w:t>
      </w:r>
      <w:r>
        <w:rPr>
          <w:color w:val="231F20"/>
        </w:rPr>
        <w:t>impor- tant. As an example, using my own judgment, I have created a “hypo- thetical” map on page 24. Notice that Bounty found itself a profitable market segment by providing strength and a pretty pattern.</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firstLine="340"/>
        <w:jc w:val="both"/>
      </w:pPr>
      <w:r>
        <w:rPr>
          <w:color w:val="231F20"/>
        </w:rPr>
        <w:t>By visualizing how your product maps versus the </w:t>
      </w:r>
      <w:r>
        <w:rPr>
          <w:color w:val="231F20"/>
        </w:rPr>
        <w:t>competition, you may gain an insight into how to market your existing product, make product changes, or add additional products in a comprehen- sive marketing strategy.</w:t>
      </w:r>
    </w:p>
    <w:p>
      <w:pPr>
        <w:pStyle w:val="BodyText"/>
        <w:spacing w:line="292" w:lineRule="auto"/>
        <w:ind w:left="830" w:right="755" w:firstLine="340"/>
        <w:jc w:val="both"/>
      </w:pPr>
      <w:r>
        <w:rPr>
          <w:color w:val="231F20"/>
          <w:w w:val="105"/>
        </w:rPr>
        <w:t>If</w:t>
      </w:r>
      <w:r>
        <w:rPr>
          <w:color w:val="231F20"/>
          <w:spacing w:val="-13"/>
          <w:w w:val="105"/>
        </w:rPr>
        <w:t> </w:t>
      </w:r>
      <w:r>
        <w:rPr>
          <w:color w:val="231F20"/>
          <w:w w:val="105"/>
        </w:rPr>
        <w:t>your</w:t>
      </w:r>
      <w:r>
        <w:rPr>
          <w:color w:val="231F20"/>
          <w:spacing w:val="-12"/>
          <w:w w:val="105"/>
        </w:rPr>
        <w:t> </w:t>
      </w:r>
      <w:r>
        <w:rPr>
          <w:color w:val="231F20"/>
          <w:w w:val="105"/>
        </w:rPr>
        <w:t>company</w:t>
      </w:r>
      <w:r>
        <w:rPr>
          <w:color w:val="231F20"/>
          <w:spacing w:val="-12"/>
          <w:w w:val="105"/>
        </w:rPr>
        <w:t> </w:t>
      </w:r>
      <w:r>
        <w:rPr>
          <w:color w:val="231F20"/>
          <w:w w:val="105"/>
        </w:rPr>
        <w:t>has</w:t>
      </w:r>
      <w:r>
        <w:rPr>
          <w:color w:val="231F20"/>
          <w:spacing w:val="-12"/>
          <w:w w:val="105"/>
        </w:rPr>
        <w:t> </w:t>
      </w:r>
      <w:r>
        <w:rPr>
          <w:color w:val="231F20"/>
          <w:w w:val="105"/>
        </w:rPr>
        <w:t>many</w:t>
      </w:r>
      <w:r>
        <w:rPr>
          <w:color w:val="231F20"/>
          <w:spacing w:val="-12"/>
          <w:w w:val="105"/>
        </w:rPr>
        <w:t> </w:t>
      </w:r>
      <w:r>
        <w:rPr>
          <w:color w:val="231F20"/>
          <w:w w:val="105"/>
        </w:rPr>
        <w:t>products</w:t>
      </w:r>
      <w:r>
        <w:rPr>
          <w:color w:val="231F20"/>
          <w:spacing w:val="-12"/>
          <w:w w:val="105"/>
        </w:rPr>
        <w:t> </w:t>
      </w:r>
      <w:r>
        <w:rPr>
          <w:color w:val="231F20"/>
          <w:w w:val="105"/>
        </w:rPr>
        <w:t>within</w:t>
      </w:r>
      <w:r>
        <w:rPr>
          <w:color w:val="231F20"/>
          <w:spacing w:val="-12"/>
          <w:w w:val="105"/>
        </w:rPr>
        <w:t> </w:t>
      </w:r>
      <w:r>
        <w:rPr>
          <w:color w:val="231F20"/>
          <w:w w:val="105"/>
        </w:rPr>
        <w:t>a</w:t>
      </w:r>
      <w:r>
        <w:rPr>
          <w:color w:val="231F20"/>
          <w:spacing w:val="-13"/>
          <w:w w:val="105"/>
        </w:rPr>
        <w:t> </w:t>
      </w:r>
      <w:r>
        <w:rPr>
          <w:color w:val="231F20"/>
          <w:w w:val="105"/>
        </w:rPr>
        <w:t>category,</w:t>
      </w:r>
      <w:r>
        <w:rPr>
          <w:color w:val="231F20"/>
          <w:spacing w:val="-12"/>
          <w:w w:val="105"/>
        </w:rPr>
        <w:t> </w:t>
      </w:r>
      <w:r>
        <w:rPr>
          <w:color w:val="231F20"/>
          <w:w w:val="105"/>
        </w:rPr>
        <w:t>then</w:t>
      </w:r>
      <w:r>
        <w:rPr>
          <w:color w:val="231F20"/>
          <w:spacing w:val="-12"/>
          <w:w w:val="105"/>
        </w:rPr>
        <w:t> </w:t>
      </w:r>
      <w:r>
        <w:rPr>
          <w:color w:val="231F20"/>
          <w:w w:val="105"/>
        </w:rPr>
        <w:t>you are</w:t>
      </w:r>
      <w:r>
        <w:rPr>
          <w:color w:val="231F20"/>
          <w:w w:val="105"/>
        </w:rPr>
        <w:t> said</w:t>
      </w:r>
      <w:r>
        <w:rPr>
          <w:color w:val="231F20"/>
          <w:w w:val="105"/>
        </w:rPr>
        <w:t> to</w:t>
      </w:r>
      <w:r>
        <w:rPr>
          <w:color w:val="231F20"/>
          <w:w w:val="105"/>
        </w:rPr>
        <w:t> have</w:t>
      </w:r>
      <w:r>
        <w:rPr>
          <w:color w:val="231F20"/>
          <w:w w:val="105"/>
        </w:rPr>
        <w:t> </w:t>
      </w:r>
      <w:r>
        <w:rPr>
          <w:i/>
          <w:color w:val="231F20"/>
          <w:w w:val="105"/>
        </w:rPr>
        <w:t>depth</w:t>
      </w:r>
      <w:r>
        <w:rPr>
          <w:i/>
          <w:color w:val="231F20"/>
          <w:w w:val="105"/>
        </w:rPr>
        <w:t> </w:t>
      </w:r>
      <w:r>
        <w:rPr>
          <w:color w:val="231F20"/>
          <w:w w:val="105"/>
        </w:rPr>
        <w:t>of</w:t>
      </w:r>
      <w:r>
        <w:rPr>
          <w:color w:val="231F20"/>
          <w:w w:val="105"/>
        </w:rPr>
        <w:t> line.</w:t>
      </w:r>
      <w:r>
        <w:rPr>
          <w:color w:val="231F20"/>
          <w:w w:val="105"/>
        </w:rPr>
        <w:t> In</w:t>
      </w:r>
      <w:r>
        <w:rPr>
          <w:color w:val="231F20"/>
          <w:w w:val="105"/>
        </w:rPr>
        <w:t> the</w:t>
      </w:r>
      <w:r>
        <w:rPr>
          <w:color w:val="231F20"/>
          <w:w w:val="105"/>
        </w:rPr>
        <w:t> paper</w:t>
      </w:r>
      <w:r>
        <w:rPr>
          <w:color w:val="231F20"/>
          <w:w w:val="105"/>
        </w:rPr>
        <w:t> towel</w:t>
      </w:r>
      <w:r>
        <w:rPr>
          <w:color w:val="231F20"/>
          <w:w w:val="105"/>
        </w:rPr>
        <w:t> market</w:t>
      </w:r>
      <w:r>
        <w:rPr>
          <w:color w:val="231F20"/>
          <w:w w:val="105"/>
        </w:rPr>
        <w:t> no</w:t>
      </w:r>
      <w:r>
        <w:rPr>
          <w:color w:val="231F20"/>
          <w:w w:val="105"/>
        </w:rPr>
        <w:t> one </w:t>
      </w:r>
      <w:r>
        <w:rPr>
          <w:color w:val="231F20"/>
        </w:rPr>
        <w:t>producer dominates the category. But over in the dog food aisle, Ral- </w:t>
      </w:r>
      <w:r>
        <w:rPr>
          <w:color w:val="231F20"/>
          <w:w w:val="105"/>
        </w:rPr>
        <w:t>ston</w:t>
      </w:r>
      <w:r>
        <w:rPr>
          <w:color w:val="231F20"/>
          <w:w w:val="105"/>
        </w:rPr>
        <w:t> (owned</w:t>
      </w:r>
      <w:r>
        <w:rPr>
          <w:color w:val="231F20"/>
          <w:w w:val="105"/>
        </w:rPr>
        <w:t> by</w:t>
      </w:r>
      <w:r>
        <w:rPr>
          <w:color w:val="231F20"/>
          <w:w w:val="105"/>
        </w:rPr>
        <w:t> Nestlé)</w:t>
      </w:r>
      <w:r>
        <w:rPr>
          <w:color w:val="231F20"/>
          <w:w w:val="105"/>
        </w:rPr>
        <w:t> depth</w:t>
      </w:r>
      <w:r>
        <w:rPr>
          <w:color w:val="231F20"/>
          <w:w w:val="105"/>
        </w:rPr>
        <w:t> chokes</w:t>
      </w:r>
      <w:r>
        <w:rPr>
          <w:color w:val="231F20"/>
          <w:w w:val="105"/>
        </w:rPr>
        <w:t> the</w:t>
      </w:r>
      <w:r>
        <w:rPr>
          <w:color w:val="231F20"/>
          <w:w w:val="105"/>
        </w:rPr>
        <w:t> shelves</w:t>
      </w:r>
      <w:r>
        <w:rPr>
          <w:color w:val="231F20"/>
          <w:w w:val="105"/>
        </w:rPr>
        <w:t> with</w:t>
      </w:r>
      <w:r>
        <w:rPr>
          <w:color w:val="231F20"/>
          <w:w w:val="105"/>
        </w:rPr>
        <w:t> Dog</w:t>
      </w:r>
      <w:r>
        <w:rPr>
          <w:color w:val="231F20"/>
          <w:w w:val="105"/>
        </w:rPr>
        <w:t> Chow, Puppy</w:t>
      </w:r>
      <w:r>
        <w:rPr>
          <w:color w:val="231F20"/>
          <w:w w:val="105"/>
        </w:rPr>
        <w:t> Chow,</w:t>
      </w:r>
      <w:r>
        <w:rPr>
          <w:color w:val="231F20"/>
          <w:w w:val="105"/>
        </w:rPr>
        <w:t> HiPro,</w:t>
      </w:r>
      <w:r>
        <w:rPr>
          <w:color w:val="231F20"/>
          <w:w w:val="105"/>
        </w:rPr>
        <w:t> O.N.E.,</w:t>
      </w:r>
      <w:r>
        <w:rPr>
          <w:color w:val="231F20"/>
          <w:w w:val="105"/>
        </w:rPr>
        <w:t> Beneful,</w:t>
      </w:r>
      <w:r>
        <w:rPr>
          <w:color w:val="231F20"/>
          <w:w w:val="105"/>
        </w:rPr>
        <w:t> Alpo,</w:t>
      </w:r>
      <w:r>
        <w:rPr>
          <w:color w:val="231F20"/>
          <w:w w:val="105"/>
        </w:rPr>
        <w:t> and</w:t>
      </w:r>
      <w:r>
        <w:rPr>
          <w:color w:val="231F20"/>
          <w:w w:val="105"/>
        </w:rPr>
        <w:t> at</w:t>
      </w:r>
      <w:r>
        <w:rPr>
          <w:color w:val="231F20"/>
          <w:w w:val="105"/>
        </w:rPr>
        <w:t> least</w:t>
      </w:r>
      <w:r>
        <w:rPr>
          <w:color w:val="231F20"/>
          <w:w w:val="105"/>
        </w:rPr>
        <w:t> six</w:t>
      </w:r>
      <w:r>
        <w:rPr>
          <w:color w:val="231F20"/>
          <w:w w:val="105"/>
        </w:rPr>
        <w:t> other </w:t>
      </w:r>
      <w:r>
        <w:rPr>
          <w:color w:val="231F20"/>
          <w:spacing w:val="-2"/>
          <w:w w:val="105"/>
        </w:rPr>
        <w:t>brands.</w:t>
      </w:r>
    </w:p>
    <w:p>
      <w:pPr>
        <w:pStyle w:val="BodyText"/>
        <w:spacing w:line="292" w:lineRule="auto"/>
        <w:ind w:left="830" w:right="753" w:firstLine="340"/>
        <w:jc w:val="both"/>
      </w:pPr>
      <w:r>
        <w:rPr>
          <w:color w:val="231F20"/>
          <w:w w:val="105"/>
        </w:rPr>
        <w:t>If</w:t>
      </w:r>
      <w:r>
        <w:rPr>
          <w:color w:val="231F20"/>
          <w:w w:val="105"/>
        </w:rPr>
        <w:t> your</w:t>
      </w:r>
      <w:r>
        <w:rPr>
          <w:color w:val="231F20"/>
          <w:w w:val="105"/>
        </w:rPr>
        <w:t> company</w:t>
      </w:r>
      <w:r>
        <w:rPr>
          <w:color w:val="231F20"/>
          <w:w w:val="105"/>
        </w:rPr>
        <w:t> has</w:t>
      </w:r>
      <w:r>
        <w:rPr>
          <w:color w:val="231F20"/>
          <w:w w:val="105"/>
        </w:rPr>
        <w:t> many</w:t>
      </w:r>
      <w:r>
        <w:rPr>
          <w:color w:val="231F20"/>
          <w:w w:val="105"/>
        </w:rPr>
        <w:t> products</w:t>
      </w:r>
      <w:r>
        <w:rPr>
          <w:color w:val="231F20"/>
          <w:w w:val="105"/>
        </w:rPr>
        <w:t> in</w:t>
      </w:r>
      <w:r>
        <w:rPr>
          <w:color w:val="231F20"/>
          <w:w w:val="105"/>
        </w:rPr>
        <w:t> a</w:t>
      </w:r>
      <w:r>
        <w:rPr>
          <w:color w:val="231F20"/>
          <w:w w:val="105"/>
        </w:rPr>
        <w:t> variety</w:t>
      </w:r>
      <w:r>
        <w:rPr>
          <w:color w:val="231F20"/>
          <w:w w:val="105"/>
        </w:rPr>
        <w:t> of</w:t>
      </w:r>
      <w:r>
        <w:rPr>
          <w:color w:val="231F20"/>
          <w:w w:val="105"/>
        </w:rPr>
        <w:t> product </w:t>
      </w:r>
      <w:r>
        <w:rPr>
          <w:color w:val="231F20"/>
        </w:rPr>
        <w:t>classes,</w:t>
      </w:r>
      <w:r>
        <w:rPr>
          <w:color w:val="231F20"/>
          <w:spacing w:val="8"/>
        </w:rPr>
        <w:t> </w:t>
      </w:r>
      <w:r>
        <w:rPr>
          <w:color w:val="231F20"/>
        </w:rPr>
        <w:t>you</w:t>
      </w:r>
      <w:r>
        <w:rPr>
          <w:color w:val="231F20"/>
          <w:spacing w:val="9"/>
        </w:rPr>
        <w:t> </w:t>
      </w:r>
      <w:r>
        <w:rPr>
          <w:color w:val="231F20"/>
        </w:rPr>
        <w:t>are</w:t>
      </w:r>
      <w:r>
        <w:rPr>
          <w:color w:val="231F20"/>
          <w:spacing w:val="8"/>
        </w:rPr>
        <w:t> </w:t>
      </w:r>
      <w:r>
        <w:rPr>
          <w:color w:val="231F20"/>
        </w:rPr>
        <w:t>said</w:t>
      </w:r>
      <w:r>
        <w:rPr>
          <w:color w:val="231F20"/>
          <w:spacing w:val="9"/>
        </w:rPr>
        <w:t> </w:t>
      </w:r>
      <w:r>
        <w:rPr>
          <w:color w:val="231F20"/>
        </w:rPr>
        <w:t>to</w:t>
      </w:r>
      <w:r>
        <w:rPr>
          <w:color w:val="231F20"/>
          <w:spacing w:val="8"/>
        </w:rPr>
        <w:t> </w:t>
      </w:r>
      <w:r>
        <w:rPr>
          <w:color w:val="231F20"/>
        </w:rPr>
        <w:t>have</w:t>
      </w:r>
      <w:r>
        <w:rPr>
          <w:color w:val="231F20"/>
          <w:spacing w:val="8"/>
        </w:rPr>
        <w:t> </w:t>
      </w:r>
      <w:r>
        <w:rPr>
          <w:i/>
          <w:color w:val="231F20"/>
        </w:rPr>
        <w:t>breadth</w:t>
      </w:r>
      <w:r>
        <w:rPr>
          <w:i/>
          <w:color w:val="231F20"/>
          <w:spacing w:val="7"/>
        </w:rPr>
        <w:t> </w:t>
      </w:r>
      <w:r>
        <w:rPr>
          <w:color w:val="231F20"/>
        </w:rPr>
        <w:t>of</w:t>
      </w:r>
      <w:r>
        <w:rPr>
          <w:color w:val="231F20"/>
          <w:spacing w:val="9"/>
        </w:rPr>
        <w:t> </w:t>
      </w:r>
      <w:r>
        <w:rPr>
          <w:color w:val="231F20"/>
        </w:rPr>
        <w:t>product</w:t>
      </w:r>
      <w:r>
        <w:rPr>
          <w:color w:val="231F20"/>
          <w:spacing w:val="8"/>
        </w:rPr>
        <w:t> </w:t>
      </w:r>
      <w:r>
        <w:rPr>
          <w:color w:val="231F20"/>
        </w:rPr>
        <w:t>line.</w:t>
      </w:r>
      <w:r>
        <w:rPr>
          <w:color w:val="231F20"/>
          <w:spacing w:val="9"/>
        </w:rPr>
        <w:t> </w:t>
      </w:r>
      <w:r>
        <w:rPr>
          <w:color w:val="231F20"/>
        </w:rPr>
        <w:t>Kimberly-</w:t>
      </w:r>
      <w:r>
        <w:rPr>
          <w:color w:val="231F20"/>
          <w:spacing w:val="-2"/>
        </w:rPr>
        <w:t>Clark</w:t>
      </w:r>
    </w:p>
    <w:p>
      <w:pPr>
        <w:pStyle w:val="BodyText"/>
        <w:rPr>
          <w:sz w:val="24"/>
        </w:rPr>
      </w:pPr>
    </w:p>
    <w:p>
      <w:pPr>
        <w:pStyle w:val="BodyText"/>
        <w:spacing w:before="11"/>
        <w:rPr>
          <w:sz w:val="35"/>
        </w:rPr>
      </w:pPr>
    </w:p>
    <w:p>
      <w:pPr>
        <w:spacing w:before="0"/>
        <w:ind w:left="293" w:right="219" w:firstLine="0"/>
        <w:jc w:val="center"/>
        <w:rPr>
          <w:rFonts w:ascii="Arial"/>
          <w:sz w:val="14"/>
        </w:rPr>
      </w:pPr>
      <w:r>
        <w:rPr>
          <w:rFonts w:ascii="Arial"/>
          <w:color w:val="231F20"/>
          <w:w w:val="105"/>
          <w:sz w:val="14"/>
        </w:rPr>
        <w:t>PERCEPTUAL</w:t>
      </w:r>
      <w:r>
        <w:rPr>
          <w:rFonts w:ascii="Arial"/>
          <w:color w:val="231F20"/>
          <w:spacing w:val="26"/>
          <w:w w:val="105"/>
          <w:sz w:val="14"/>
        </w:rPr>
        <w:t> </w:t>
      </w:r>
      <w:r>
        <w:rPr>
          <w:rFonts w:ascii="Arial"/>
          <w:color w:val="231F20"/>
          <w:w w:val="105"/>
          <w:sz w:val="14"/>
        </w:rPr>
        <w:t>MAPPING</w:t>
      </w:r>
      <w:r>
        <w:rPr>
          <w:rFonts w:ascii="Arial"/>
          <w:color w:val="231F20"/>
          <w:spacing w:val="27"/>
          <w:w w:val="105"/>
          <w:sz w:val="14"/>
        </w:rPr>
        <w:t> </w:t>
      </w:r>
      <w:r>
        <w:rPr>
          <w:rFonts w:ascii="Arial"/>
          <w:color w:val="231F20"/>
          <w:w w:val="105"/>
          <w:sz w:val="14"/>
        </w:rPr>
        <w:t>PAPER</w:t>
      </w:r>
      <w:r>
        <w:rPr>
          <w:rFonts w:ascii="Arial"/>
          <w:color w:val="231F20"/>
          <w:spacing w:val="26"/>
          <w:w w:val="105"/>
          <w:sz w:val="14"/>
        </w:rPr>
        <w:t> </w:t>
      </w:r>
      <w:r>
        <w:rPr>
          <w:rFonts w:ascii="Arial"/>
          <w:color w:val="231F20"/>
          <w:w w:val="105"/>
          <w:sz w:val="14"/>
        </w:rPr>
        <w:t>TOWEL</w:t>
      </w:r>
      <w:r>
        <w:rPr>
          <w:rFonts w:ascii="Arial"/>
          <w:color w:val="231F20"/>
          <w:spacing w:val="27"/>
          <w:w w:val="105"/>
          <w:sz w:val="14"/>
        </w:rPr>
        <w:t> </w:t>
      </w:r>
      <w:r>
        <w:rPr>
          <w:rFonts w:ascii="Arial"/>
          <w:color w:val="231F20"/>
          <w:w w:val="105"/>
          <w:sz w:val="14"/>
        </w:rPr>
        <w:t>BRANDS</w:t>
      </w:r>
      <w:r>
        <w:rPr>
          <w:rFonts w:ascii="Arial"/>
          <w:color w:val="231F20"/>
          <w:spacing w:val="27"/>
          <w:w w:val="105"/>
          <w:sz w:val="14"/>
        </w:rPr>
        <w:t> </w:t>
      </w:r>
      <w:r>
        <w:rPr>
          <w:rFonts w:ascii="Arial"/>
          <w:color w:val="231F20"/>
          <w:spacing w:val="-2"/>
          <w:w w:val="105"/>
          <w:sz w:val="14"/>
        </w:rPr>
        <w:t>(HYPOTHETICAL)</w:t>
      </w:r>
    </w:p>
    <w:p>
      <w:pPr>
        <w:pStyle w:val="BodyText"/>
        <w:spacing w:before="7"/>
        <w:rPr>
          <w:rFonts w:ascii="Arial"/>
          <w:sz w:val="15"/>
        </w:rPr>
      </w:pPr>
      <w:r>
        <w:rPr/>
        <w:drawing>
          <wp:anchor distT="0" distB="0" distL="0" distR="0" allowOverlap="1" layoutInCell="1" locked="0" behindDoc="0" simplePos="0" relativeHeight="42">
            <wp:simplePos x="0" y="0"/>
            <wp:positionH relativeFrom="page">
              <wp:posOffset>755139</wp:posOffset>
            </wp:positionH>
            <wp:positionV relativeFrom="paragraph">
              <wp:posOffset>129213</wp:posOffset>
            </wp:positionV>
            <wp:extent cx="3931160" cy="3657600"/>
            <wp:effectExtent l="0" t="0" r="0" b="0"/>
            <wp:wrapTopAndBottom/>
            <wp:docPr id="11" name="image7.png"/>
            <wp:cNvGraphicFramePr>
              <a:graphicFrameLocks noChangeAspect="1"/>
            </wp:cNvGraphicFramePr>
            <a:graphic>
              <a:graphicData uri="http://schemas.openxmlformats.org/drawingml/2006/picture">
                <pic:pic>
                  <pic:nvPicPr>
                    <pic:cNvPr id="12" name="image7.png"/>
                    <pic:cNvPicPr/>
                  </pic:nvPicPr>
                  <pic:blipFill>
                    <a:blip r:embed="rId20" cstate="print"/>
                    <a:stretch>
                      <a:fillRect/>
                    </a:stretch>
                  </pic:blipFill>
                  <pic:spPr>
                    <a:xfrm>
                      <a:off x="0" y="0"/>
                      <a:ext cx="3931160" cy="3657600"/>
                    </a:xfrm>
                    <a:prstGeom prst="rect">
                      <a:avLst/>
                    </a:prstGeom>
                  </pic:spPr>
                </pic:pic>
              </a:graphicData>
            </a:graphic>
          </wp:anchor>
        </w:drawing>
      </w:r>
    </w:p>
    <w:p>
      <w:pPr>
        <w:spacing w:after="0"/>
        <w:rPr>
          <w:rFonts w:ascii="Arial"/>
          <w:sz w:val="15"/>
        </w:rPr>
        <w:sectPr>
          <w:pgSz w:w="8640" w:h="12960"/>
          <w:pgMar w:header="732" w:footer="0" w:top="920" w:bottom="280" w:left="340" w:right="500"/>
        </w:sectPr>
      </w:pPr>
    </w:p>
    <w:p>
      <w:pPr>
        <w:pStyle w:val="BodyText"/>
        <w:rPr>
          <w:rFonts w:ascii="Arial"/>
          <w:sz w:val="18"/>
        </w:rPr>
      </w:pPr>
    </w:p>
    <w:p>
      <w:pPr>
        <w:pStyle w:val="BodyText"/>
        <w:spacing w:line="292" w:lineRule="auto" w:before="102"/>
        <w:ind w:left="920" w:right="666"/>
        <w:jc w:val="both"/>
      </w:pPr>
      <w:r>
        <w:rPr>
          <w:color w:val="231F20"/>
        </w:rPr>
        <w:t>has a wide breadth of paper products in several categories: Hi-Dri paper towels, Kleenex and Scott tissue, Kotex sanitary napkins, </w:t>
      </w:r>
      <w:r>
        <w:rPr>
          <w:color w:val="231F20"/>
        </w:rPr>
        <w:t>and Huggies, Depend, and Pull-Ups diapers. Depth and breadth of prod- uct lines can be cleverly used in a </w:t>
      </w:r>
      <w:r>
        <w:rPr>
          <w:i/>
          <w:color w:val="231F20"/>
        </w:rPr>
        <w:t>blocking strategy </w:t>
      </w:r>
      <w:r>
        <w:rPr>
          <w:color w:val="231F20"/>
        </w:rPr>
        <w:t>to prevent com- petitors from gaining access to the channels of distribution. If they are not on the shelf, your competition can’t make any sales.</w:t>
      </w:r>
    </w:p>
    <w:p>
      <w:pPr>
        <w:pStyle w:val="BodyText"/>
        <w:spacing w:line="292" w:lineRule="auto"/>
        <w:ind w:left="919" w:right="666" w:firstLine="340"/>
        <w:jc w:val="both"/>
      </w:pPr>
      <w:r>
        <w:rPr>
          <w:color w:val="231F20"/>
        </w:rPr>
        <w:t>In the dog food industry, competitors found other ways </w:t>
      </w:r>
      <w:r>
        <w:rPr>
          <w:color w:val="231F20"/>
        </w:rPr>
        <w:t>around Ralston to reach doggie owners. Hill’s Pet Products, a division of Colgate-Palmolive,</w:t>
      </w:r>
      <w:r>
        <w:rPr>
          <w:color w:val="231F20"/>
          <w:spacing w:val="40"/>
        </w:rPr>
        <w:t> </w:t>
      </w:r>
      <w:r>
        <w:rPr>
          <w:color w:val="231F20"/>
        </w:rPr>
        <w:t>pushed</w:t>
      </w:r>
      <w:r>
        <w:rPr>
          <w:color w:val="231F20"/>
          <w:spacing w:val="40"/>
        </w:rPr>
        <w:t> </w:t>
      </w:r>
      <w:r>
        <w:rPr>
          <w:color w:val="231F20"/>
        </w:rPr>
        <w:t>$1.3</w:t>
      </w:r>
      <w:r>
        <w:rPr>
          <w:color w:val="231F20"/>
          <w:spacing w:val="40"/>
        </w:rPr>
        <w:t> </w:t>
      </w:r>
      <w:r>
        <w:rPr>
          <w:color w:val="231F20"/>
        </w:rPr>
        <w:t>billion</w:t>
      </w:r>
      <w:r>
        <w:rPr>
          <w:color w:val="231F20"/>
          <w:spacing w:val="40"/>
        </w:rPr>
        <w:t> </w:t>
      </w:r>
      <w:r>
        <w:rPr>
          <w:color w:val="231F20"/>
        </w:rPr>
        <w:t>worth</w:t>
      </w:r>
      <w:r>
        <w:rPr>
          <w:color w:val="231F20"/>
          <w:spacing w:val="40"/>
        </w:rPr>
        <w:t> </w:t>
      </w:r>
      <w:r>
        <w:rPr>
          <w:color w:val="231F20"/>
        </w:rPr>
        <w:t>of</w:t>
      </w:r>
      <w:r>
        <w:rPr>
          <w:color w:val="231F20"/>
          <w:spacing w:val="40"/>
        </w:rPr>
        <w:t> </w:t>
      </w:r>
      <w:r>
        <w:rPr>
          <w:color w:val="231F20"/>
        </w:rPr>
        <w:t>Science</w:t>
      </w:r>
      <w:r>
        <w:rPr>
          <w:color w:val="231F20"/>
          <w:spacing w:val="40"/>
        </w:rPr>
        <w:t> </w:t>
      </w:r>
      <w:r>
        <w:rPr>
          <w:color w:val="231F20"/>
        </w:rPr>
        <w:t>Diet</w:t>
      </w:r>
      <w:r>
        <w:rPr>
          <w:color w:val="231F20"/>
          <w:spacing w:val="40"/>
        </w:rPr>
        <w:t> </w:t>
      </w:r>
      <w:r>
        <w:rPr>
          <w:color w:val="231F20"/>
        </w:rPr>
        <w:t>pet food and other products through veterinarians’ offices.</w:t>
      </w:r>
    </w:p>
    <w:p>
      <w:pPr>
        <w:pStyle w:val="BodyText"/>
        <w:spacing w:before="1"/>
        <w:rPr>
          <w:sz w:val="27"/>
        </w:rPr>
      </w:pPr>
    </w:p>
    <w:p>
      <w:pPr>
        <w:spacing w:before="0"/>
        <w:ind w:left="278" w:right="219" w:firstLine="0"/>
        <w:jc w:val="center"/>
        <w:rPr>
          <w:rFonts w:ascii="Arial"/>
          <w:i/>
          <w:sz w:val="19"/>
        </w:rPr>
      </w:pPr>
      <w:r>
        <w:rPr>
          <w:rFonts w:ascii="Arial"/>
          <w:i/>
          <w:color w:val="231F20"/>
          <w:w w:val="115"/>
          <w:sz w:val="19"/>
        </w:rPr>
        <w:t>How</w:t>
      </w:r>
      <w:r>
        <w:rPr>
          <w:rFonts w:ascii="Arial"/>
          <w:i/>
          <w:color w:val="231F20"/>
          <w:spacing w:val="1"/>
          <w:w w:val="115"/>
          <w:sz w:val="19"/>
        </w:rPr>
        <w:t> </w:t>
      </w:r>
      <w:r>
        <w:rPr>
          <w:rFonts w:ascii="Arial"/>
          <w:i/>
          <w:color w:val="231F20"/>
          <w:w w:val="115"/>
          <w:sz w:val="19"/>
        </w:rPr>
        <w:t>is</w:t>
      </w:r>
      <w:r>
        <w:rPr>
          <w:rFonts w:ascii="Arial"/>
          <w:i/>
          <w:color w:val="231F20"/>
          <w:spacing w:val="2"/>
          <w:w w:val="115"/>
          <w:sz w:val="19"/>
        </w:rPr>
        <w:t> </w:t>
      </w:r>
      <w:r>
        <w:rPr>
          <w:rFonts w:ascii="Arial"/>
          <w:i/>
          <w:color w:val="231F20"/>
          <w:w w:val="115"/>
          <w:sz w:val="19"/>
        </w:rPr>
        <w:t>my</w:t>
      </w:r>
      <w:r>
        <w:rPr>
          <w:rFonts w:ascii="Arial"/>
          <w:i/>
          <w:color w:val="231F20"/>
          <w:spacing w:val="2"/>
          <w:w w:val="115"/>
          <w:sz w:val="19"/>
        </w:rPr>
        <w:t> </w:t>
      </w:r>
      <w:r>
        <w:rPr>
          <w:rFonts w:ascii="Arial"/>
          <w:i/>
          <w:color w:val="231F20"/>
          <w:w w:val="115"/>
          <w:sz w:val="19"/>
        </w:rPr>
        <w:t>product</w:t>
      </w:r>
      <w:r>
        <w:rPr>
          <w:rFonts w:ascii="Arial"/>
          <w:i/>
          <w:color w:val="231F20"/>
          <w:spacing w:val="1"/>
          <w:w w:val="115"/>
          <w:sz w:val="19"/>
        </w:rPr>
        <w:t> </w:t>
      </w:r>
      <w:r>
        <w:rPr>
          <w:rFonts w:ascii="Arial"/>
          <w:i/>
          <w:color w:val="231F20"/>
          <w:w w:val="115"/>
          <w:sz w:val="19"/>
        </w:rPr>
        <w:t>positioned</w:t>
      </w:r>
      <w:r>
        <w:rPr>
          <w:rFonts w:ascii="Arial"/>
          <w:i/>
          <w:color w:val="231F20"/>
          <w:spacing w:val="2"/>
          <w:w w:val="115"/>
          <w:sz w:val="19"/>
        </w:rPr>
        <w:t> </w:t>
      </w:r>
      <w:r>
        <w:rPr>
          <w:rFonts w:ascii="Arial"/>
          <w:i/>
          <w:color w:val="231F20"/>
          <w:w w:val="115"/>
          <w:sz w:val="19"/>
        </w:rPr>
        <w:t>against</w:t>
      </w:r>
      <w:r>
        <w:rPr>
          <w:rFonts w:ascii="Arial"/>
          <w:i/>
          <w:color w:val="231F20"/>
          <w:spacing w:val="2"/>
          <w:w w:val="115"/>
          <w:sz w:val="19"/>
        </w:rPr>
        <w:t> </w:t>
      </w:r>
      <w:r>
        <w:rPr>
          <w:rFonts w:ascii="Arial"/>
          <w:i/>
          <w:color w:val="231F20"/>
          <w:w w:val="115"/>
          <w:sz w:val="19"/>
        </w:rPr>
        <w:t>the</w:t>
      </w:r>
      <w:r>
        <w:rPr>
          <w:rFonts w:ascii="Arial"/>
          <w:i/>
          <w:color w:val="231F20"/>
          <w:spacing w:val="1"/>
          <w:w w:val="115"/>
          <w:sz w:val="19"/>
        </w:rPr>
        <w:t> </w:t>
      </w:r>
      <w:r>
        <w:rPr>
          <w:rFonts w:ascii="Arial"/>
          <w:i/>
          <w:color w:val="231F20"/>
          <w:spacing w:val="-2"/>
          <w:w w:val="115"/>
          <w:sz w:val="19"/>
        </w:rPr>
        <w:t>competition?</w:t>
      </w:r>
    </w:p>
    <w:p>
      <w:pPr>
        <w:pStyle w:val="BodyText"/>
        <w:spacing w:line="292" w:lineRule="auto" w:before="60"/>
        <w:ind w:left="920" w:right="666" w:firstLine="340"/>
        <w:jc w:val="both"/>
      </w:pPr>
      <w:r>
        <w:rPr>
          <w:color w:val="231F20"/>
        </w:rPr>
        <w:t>In the 1950s, it was all about creating a “unique selling proposi- tion” (USP) that focused on product features and customer </w:t>
      </w:r>
      <w:r>
        <w:rPr>
          <w:color w:val="231F20"/>
        </w:rPr>
        <w:t>benefits. In the 1960s and throughout the 1970s, the product’s “image” was important. In 1972, Al Ries and Jack Trout developed the concept of “positioning” that has been popular ever since. They believed that</w:t>
      </w:r>
      <w:r>
        <w:rPr>
          <w:color w:val="231F20"/>
          <w:spacing w:val="80"/>
        </w:rPr>
        <w:t> </w:t>
      </w:r>
      <w:r>
        <w:rPr>
          <w:color w:val="231F20"/>
        </w:rPr>
        <w:t>the perception of your product in the minds of consumers is actually more important than the physical reality of the product’s attributes. What consumers believe is their reality. They had ten rules for posi- tioning that they believe can make a product or service stand above the competition.</w:t>
      </w:r>
    </w:p>
    <w:p>
      <w:pPr>
        <w:pStyle w:val="BodyText"/>
        <w:spacing w:before="1"/>
        <w:rPr>
          <w:sz w:val="27"/>
        </w:rPr>
      </w:pPr>
    </w:p>
    <w:p>
      <w:pPr>
        <w:pStyle w:val="ListParagraph"/>
        <w:numPr>
          <w:ilvl w:val="2"/>
          <w:numId w:val="12"/>
        </w:numPr>
        <w:tabs>
          <w:tab w:pos="1611" w:val="left" w:leader="none"/>
        </w:tabs>
        <w:spacing w:line="328" w:lineRule="auto" w:before="0" w:after="0"/>
        <w:ind w:left="1609" w:right="665" w:hanging="170"/>
        <w:jc w:val="both"/>
        <w:rPr>
          <w:sz w:val="19"/>
        </w:rPr>
      </w:pPr>
      <w:r>
        <w:rPr>
          <w:color w:val="231F20"/>
          <w:w w:val="115"/>
          <w:sz w:val="19"/>
        </w:rPr>
        <w:t>Own a word in the consumer’s mind. If you establish one benefit</w:t>
      </w:r>
      <w:r>
        <w:rPr>
          <w:color w:val="231F20"/>
          <w:spacing w:val="-2"/>
          <w:w w:val="115"/>
          <w:sz w:val="19"/>
        </w:rPr>
        <w:t> </w:t>
      </w:r>
      <w:r>
        <w:rPr>
          <w:color w:val="231F20"/>
          <w:w w:val="115"/>
          <w:sz w:val="19"/>
        </w:rPr>
        <w:t>in</w:t>
      </w:r>
      <w:r>
        <w:rPr>
          <w:color w:val="231F20"/>
          <w:spacing w:val="-2"/>
          <w:w w:val="115"/>
          <w:sz w:val="19"/>
        </w:rPr>
        <w:t> </w:t>
      </w:r>
      <w:r>
        <w:rPr>
          <w:color w:val="231F20"/>
          <w:w w:val="115"/>
          <w:sz w:val="19"/>
        </w:rPr>
        <w:t>the</w:t>
      </w:r>
      <w:r>
        <w:rPr>
          <w:color w:val="231F20"/>
          <w:spacing w:val="-2"/>
          <w:w w:val="115"/>
          <w:sz w:val="19"/>
        </w:rPr>
        <w:t> </w:t>
      </w:r>
      <w:r>
        <w:rPr>
          <w:color w:val="231F20"/>
          <w:w w:val="115"/>
          <w:sz w:val="19"/>
        </w:rPr>
        <w:t>consumer’s</w:t>
      </w:r>
      <w:r>
        <w:rPr>
          <w:color w:val="231F20"/>
          <w:spacing w:val="-2"/>
          <w:w w:val="115"/>
          <w:sz w:val="19"/>
        </w:rPr>
        <w:t> </w:t>
      </w:r>
      <w:r>
        <w:rPr>
          <w:color w:val="231F20"/>
          <w:w w:val="115"/>
          <w:sz w:val="19"/>
        </w:rPr>
        <w:t>mind,</w:t>
      </w:r>
      <w:r>
        <w:rPr>
          <w:color w:val="231F20"/>
          <w:spacing w:val="-2"/>
          <w:w w:val="115"/>
          <w:sz w:val="19"/>
        </w:rPr>
        <w:t> </w:t>
      </w:r>
      <w:r>
        <w:rPr>
          <w:color w:val="231F20"/>
          <w:w w:val="115"/>
          <w:sz w:val="19"/>
        </w:rPr>
        <w:t>the</w:t>
      </w:r>
      <w:r>
        <w:rPr>
          <w:color w:val="231F20"/>
          <w:spacing w:val="-2"/>
          <w:w w:val="115"/>
          <w:sz w:val="19"/>
        </w:rPr>
        <w:t> </w:t>
      </w:r>
      <w:r>
        <w:rPr>
          <w:color w:val="231F20"/>
          <w:w w:val="115"/>
          <w:sz w:val="19"/>
        </w:rPr>
        <w:t>consumer</w:t>
      </w:r>
      <w:r>
        <w:rPr>
          <w:color w:val="231F20"/>
          <w:spacing w:val="-2"/>
          <w:w w:val="115"/>
          <w:sz w:val="19"/>
        </w:rPr>
        <w:t> </w:t>
      </w:r>
      <w:r>
        <w:rPr>
          <w:color w:val="231F20"/>
          <w:w w:val="115"/>
          <w:sz w:val="19"/>
        </w:rPr>
        <w:t>may</w:t>
      </w:r>
      <w:r>
        <w:rPr>
          <w:color w:val="231F20"/>
          <w:spacing w:val="-2"/>
          <w:w w:val="115"/>
          <w:sz w:val="19"/>
        </w:rPr>
        <w:t> </w:t>
      </w:r>
      <w:r>
        <w:rPr>
          <w:color w:val="231F20"/>
          <w:w w:val="115"/>
          <w:sz w:val="19"/>
        </w:rPr>
        <w:t>attrib-</w:t>
      </w:r>
      <w:r>
        <w:rPr>
          <w:color w:val="231F20"/>
          <w:w w:val="115"/>
          <w:sz w:val="19"/>
        </w:rPr>
        <w:t> ute</w:t>
      </w:r>
      <w:r>
        <w:rPr>
          <w:color w:val="231F20"/>
          <w:spacing w:val="-1"/>
          <w:w w:val="115"/>
          <w:sz w:val="19"/>
        </w:rPr>
        <w:t> </w:t>
      </w:r>
      <w:r>
        <w:rPr>
          <w:color w:val="231F20"/>
          <w:w w:val="115"/>
          <w:sz w:val="19"/>
        </w:rPr>
        <w:t>other</w:t>
      </w:r>
      <w:r>
        <w:rPr>
          <w:color w:val="231F20"/>
          <w:spacing w:val="-1"/>
          <w:w w:val="115"/>
          <w:sz w:val="19"/>
        </w:rPr>
        <w:t> </w:t>
      </w:r>
      <w:r>
        <w:rPr>
          <w:color w:val="231F20"/>
          <w:w w:val="115"/>
          <w:sz w:val="19"/>
        </w:rPr>
        <w:t>positives</w:t>
      </w:r>
      <w:r>
        <w:rPr>
          <w:color w:val="231F20"/>
          <w:spacing w:val="-1"/>
          <w:w w:val="115"/>
          <w:sz w:val="19"/>
        </w:rPr>
        <w:t> </w:t>
      </w:r>
      <w:r>
        <w:rPr>
          <w:color w:val="231F20"/>
          <w:w w:val="115"/>
          <w:sz w:val="19"/>
        </w:rPr>
        <w:t>as</w:t>
      </w:r>
      <w:r>
        <w:rPr>
          <w:color w:val="231F20"/>
          <w:spacing w:val="-1"/>
          <w:w w:val="115"/>
          <w:sz w:val="19"/>
        </w:rPr>
        <w:t> </w:t>
      </w:r>
      <w:r>
        <w:rPr>
          <w:color w:val="231F20"/>
          <w:w w:val="115"/>
          <w:sz w:val="19"/>
        </w:rPr>
        <w:t>well</w:t>
      </w:r>
      <w:r>
        <w:rPr>
          <w:color w:val="231F20"/>
          <w:spacing w:val="-1"/>
          <w:w w:val="115"/>
          <w:sz w:val="19"/>
        </w:rPr>
        <w:t> </w:t>
      </w:r>
      <w:r>
        <w:rPr>
          <w:color w:val="231F20"/>
          <w:w w:val="115"/>
          <w:sz w:val="19"/>
        </w:rPr>
        <w:t>to</w:t>
      </w:r>
      <w:r>
        <w:rPr>
          <w:color w:val="231F20"/>
          <w:spacing w:val="-1"/>
          <w:w w:val="115"/>
          <w:sz w:val="19"/>
        </w:rPr>
        <w:t> </w:t>
      </w:r>
      <w:r>
        <w:rPr>
          <w:color w:val="231F20"/>
          <w:w w:val="115"/>
          <w:sz w:val="19"/>
        </w:rPr>
        <w:t>your</w:t>
      </w:r>
      <w:r>
        <w:rPr>
          <w:color w:val="231F20"/>
          <w:spacing w:val="-1"/>
          <w:w w:val="115"/>
          <w:sz w:val="19"/>
        </w:rPr>
        <w:t> </w:t>
      </w:r>
      <w:r>
        <w:rPr>
          <w:color w:val="231F20"/>
          <w:w w:val="115"/>
          <w:sz w:val="19"/>
        </w:rPr>
        <w:t>product.</w:t>
      </w:r>
      <w:r>
        <w:rPr>
          <w:color w:val="231F20"/>
          <w:spacing w:val="-1"/>
          <w:w w:val="115"/>
          <w:sz w:val="19"/>
        </w:rPr>
        <w:t> </w:t>
      </w:r>
      <w:r>
        <w:rPr>
          <w:color w:val="231F20"/>
          <w:w w:val="115"/>
          <w:sz w:val="19"/>
        </w:rPr>
        <w:t>FedEx</w:t>
      </w:r>
      <w:r>
        <w:rPr>
          <w:color w:val="231F20"/>
          <w:spacing w:val="-1"/>
          <w:w w:val="115"/>
          <w:sz w:val="19"/>
        </w:rPr>
        <w:t> </w:t>
      </w:r>
      <w:r>
        <w:rPr>
          <w:color w:val="231F20"/>
          <w:w w:val="115"/>
          <w:sz w:val="19"/>
        </w:rPr>
        <w:t>means “overnight delivery.” Only one company can own a word, and it is tough to change it once it’s established.</w:t>
      </w:r>
    </w:p>
    <w:p>
      <w:pPr>
        <w:pStyle w:val="ListParagraph"/>
        <w:numPr>
          <w:ilvl w:val="2"/>
          <w:numId w:val="12"/>
        </w:numPr>
        <w:tabs>
          <w:tab w:pos="1610" w:val="left" w:leader="none"/>
        </w:tabs>
        <w:spacing w:line="328" w:lineRule="auto" w:before="4" w:after="0"/>
        <w:ind w:left="1609" w:right="664" w:hanging="219"/>
        <w:jc w:val="both"/>
        <w:rPr>
          <w:sz w:val="19"/>
        </w:rPr>
      </w:pPr>
      <w:r>
        <w:rPr>
          <w:color w:val="231F20"/>
          <w:w w:val="115"/>
          <w:sz w:val="19"/>
        </w:rPr>
        <w:t>Positioning</w:t>
      </w:r>
      <w:r>
        <w:rPr>
          <w:color w:val="231F20"/>
          <w:w w:val="115"/>
          <w:sz w:val="19"/>
        </w:rPr>
        <w:t> begins</w:t>
      </w:r>
      <w:r>
        <w:rPr>
          <w:color w:val="231F20"/>
          <w:w w:val="115"/>
          <w:sz w:val="19"/>
        </w:rPr>
        <w:t> with</w:t>
      </w:r>
      <w:r>
        <w:rPr>
          <w:color w:val="231F20"/>
          <w:w w:val="115"/>
          <w:sz w:val="19"/>
        </w:rPr>
        <w:t> the</w:t>
      </w:r>
      <w:r>
        <w:rPr>
          <w:color w:val="231F20"/>
          <w:w w:val="115"/>
          <w:sz w:val="19"/>
        </w:rPr>
        <w:t> product’s</w:t>
      </w:r>
      <w:r>
        <w:rPr>
          <w:color w:val="231F20"/>
          <w:w w:val="115"/>
          <w:sz w:val="19"/>
        </w:rPr>
        <w:t> name.</w:t>
      </w:r>
      <w:r>
        <w:rPr>
          <w:color w:val="231F20"/>
          <w:w w:val="115"/>
          <w:sz w:val="19"/>
        </w:rPr>
        <w:t> The</w:t>
      </w:r>
      <w:r>
        <w:rPr>
          <w:color w:val="231F20"/>
          <w:w w:val="115"/>
          <w:sz w:val="19"/>
        </w:rPr>
        <w:t> name should</w:t>
      </w:r>
      <w:r>
        <w:rPr>
          <w:color w:val="231F20"/>
          <w:spacing w:val="-1"/>
          <w:w w:val="115"/>
          <w:sz w:val="19"/>
        </w:rPr>
        <w:t> </w:t>
      </w:r>
      <w:r>
        <w:rPr>
          <w:color w:val="231F20"/>
          <w:w w:val="115"/>
          <w:sz w:val="19"/>
        </w:rPr>
        <w:t>be</w:t>
      </w:r>
      <w:r>
        <w:rPr>
          <w:color w:val="231F20"/>
          <w:spacing w:val="-1"/>
          <w:w w:val="115"/>
          <w:sz w:val="19"/>
        </w:rPr>
        <w:t> </w:t>
      </w:r>
      <w:r>
        <w:rPr>
          <w:color w:val="231F20"/>
          <w:w w:val="115"/>
          <w:sz w:val="19"/>
        </w:rPr>
        <w:t>descriptive,</w:t>
      </w:r>
      <w:r>
        <w:rPr>
          <w:color w:val="231F20"/>
          <w:spacing w:val="-1"/>
          <w:w w:val="115"/>
          <w:sz w:val="19"/>
        </w:rPr>
        <w:t> </w:t>
      </w:r>
      <w:r>
        <w:rPr>
          <w:color w:val="231F20"/>
          <w:w w:val="115"/>
          <w:sz w:val="19"/>
        </w:rPr>
        <w:t>to</w:t>
      </w:r>
      <w:r>
        <w:rPr>
          <w:color w:val="231F20"/>
          <w:spacing w:val="-1"/>
          <w:w w:val="115"/>
          <w:sz w:val="19"/>
        </w:rPr>
        <w:t> </w:t>
      </w:r>
      <w:r>
        <w:rPr>
          <w:color w:val="231F20"/>
          <w:w w:val="115"/>
          <w:sz w:val="19"/>
        </w:rPr>
        <w:t>establish</w:t>
      </w:r>
      <w:r>
        <w:rPr>
          <w:color w:val="231F20"/>
          <w:spacing w:val="-1"/>
          <w:w w:val="115"/>
          <w:sz w:val="19"/>
        </w:rPr>
        <w:t> </w:t>
      </w:r>
      <w:r>
        <w:rPr>
          <w:color w:val="231F20"/>
          <w:w w:val="115"/>
          <w:sz w:val="19"/>
        </w:rPr>
        <w:t>the</w:t>
      </w:r>
      <w:r>
        <w:rPr>
          <w:color w:val="231F20"/>
          <w:spacing w:val="-1"/>
          <w:w w:val="115"/>
          <w:sz w:val="19"/>
        </w:rPr>
        <w:t> </w:t>
      </w:r>
      <w:r>
        <w:rPr>
          <w:color w:val="231F20"/>
          <w:w w:val="115"/>
          <w:sz w:val="19"/>
        </w:rPr>
        <w:t>main</w:t>
      </w:r>
      <w:r>
        <w:rPr>
          <w:color w:val="231F20"/>
          <w:spacing w:val="-1"/>
          <w:w w:val="115"/>
          <w:sz w:val="19"/>
        </w:rPr>
        <w:t> </w:t>
      </w:r>
      <w:r>
        <w:rPr>
          <w:color w:val="231F20"/>
          <w:w w:val="115"/>
          <w:sz w:val="19"/>
        </w:rPr>
        <w:t>benefit</w:t>
      </w:r>
      <w:r>
        <w:rPr>
          <w:color w:val="231F20"/>
          <w:spacing w:val="-1"/>
          <w:w w:val="115"/>
          <w:sz w:val="19"/>
        </w:rPr>
        <w:t> </w:t>
      </w:r>
      <w:r>
        <w:rPr>
          <w:color w:val="231F20"/>
          <w:w w:val="115"/>
          <w:sz w:val="19"/>
        </w:rPr>
        <w:t>in</w:t>
      </w:r>
      <w:r>
        <w:rPr>
          <w:color w:val="231F20"/>
          <w:spacing w:val="-1"/>
          <w:w w:val="115"/>
          <w:sz w:val="19"/>
        </w:rPr>
        <w:t> </w:t>
      </w:r>
      <w:r>
        <w:rPr>
          <w:color w:val="231F20"/>
          <w:w w:val="115"/>
          <w:sz w:val="19"/>
        </w:rPr>
        <w:t>the consumer’s</w:t>
      </w:r>
      <w:r>
        <w:rPr>
          <w:color w:val="231F20"/>
          <w:spacing w:val="-1"/>
          <w:w w:val="115"/>
          <w:sz w:val="19"/>
        </w:rPr>
        <w:t> </w:t>
      </w:r>
      <w:r>
        <w:rPr>
          <w:color w:val="231F20"/>
          <w:w w:val="115"/>
          <w:sz w:val="19"/>
        </w:rPr>
        <w:t>mind.</w:t>
      </w:r>
      <w:r>
        <w:rPr>
          <w:color w:val="231F20"/>
          <w:spacing w:val="-1"/>
          <w:w w:val="115"/>
          <w:sz w:val="19"/>
        </w:rPr>
        <w:t> </w:t>
      </w:r>
      <w:r>
        <w:rPr>
          <w:color w:val="231F20"/>
          <w:w w:val="115"/>
          <w:sz w:val="19"/>
        </w:rPr>
        <w:t>Draino</w:t>
      </w:r>
      <w:r>
        <w:rPr>
          <w:color w:val="231F20"/>
          <w:spacing w:val="-1"/>
          <w:w w:val="115"/>
          <w:sz w:val="19"/>
        </w:rPr>
        <w:t> </w:t>
      </w:r>
      <w:r>
        <w:rPr>
          <w:color w:val="231F20"/>
          <w:w w:val="115"/>
          <w:sz w:val="19"/>
        </w:rPr>
        <w:t>opens</w:t>
      </w:r>
      <w:r>
        <w:rPr>
          <w:color w:val="231F20"/>
          <w:spacing w:val="-1"/>
          <w:w w:val="115"/>
          <w:sz w:val="19"/>
        </w:rPr>
        <w:t> </w:t>
      </w:r>
      <w:r>
        <w:rPr>
          <w:color w:val="231F20"/>
          <w:w w:val="115"/>
          <w:sz w:val="19"/>
        </w:rPr>
        <w:t>clogged</w:t>
      </w:r>
      <w:r>
        <w:rPr>
          <w:color w:val="231F20"/>
          <w:spacing w:val="-1"/>
          <w:w w:val="115"/>
          <w:sz w:val="19"/>
        </w:rPr>
        <w:t> </w:t>
      </w:r>
      <w:r>
        <w:rPr>
          <w:color w:val="231F20"/>
          <w:w w:val="115"/>
          <w:sz w:val="19"/>
        </w:rPr>
        <w:t>drains.</w:t>
      </w:r>
    </w:p>
    <w:p>
      <w:pPr>
        <w:pStyle w:val="ListParagraph"/>
        <w:numPr>
          <w:ilvl w:val="2"/>
          <w:numId w:val="12"/>
        </w:numPr>
        <w:tabs>
          <w:tab w:pos="1611" w:val="left" w:leader="none"/>
        </w:tabs>
        <w:spacing w:line="328" w:lineRule="auto" w:before="2" w:after="0"/>
        <w:ind w:left="1609" w:right="665" w:hanging="223"/>
        <w:jc w:val="both"/>
        <w:rPr>
          <w:sz w:val="19"/>
        </w:rPr>
      </w:pPr>
      <w:r>
        <w:rPr>
          <w:color w:val="231F20"/>
          <w:w w:val="110"/>
          <w:sz w:val="19"/>
        </w:rPr>
        <w:t>If</w:t>
      </w:r>
      <w:r>
        <w:rPr>
          <w:color w:val="231F20"/>
          <w:spacing w:val="-5"/>
          <w:w w:val="110"/>
          <w:sz w:val="19"/>
        </w:rPr>
        <w:t> </w:t>
      </w:r>
      <w:r>
        <w:rPr>
          <w:color w:val="231F20"/>
          <w:w w:val="110"/>
          <w:sz w:val="19"/>
        </w:rPr>
        <w:t>you</w:t>
      </w:r>
      <w:r>
        <w:rPr>
          <w:color w:val="231F20"/>
          <w:spacing w:val="-5"/>
          <w:w w:val="110"/>
          <w:sz w:val="19"/>
        </w:rPr>
        <w:t> </w:t>
      </w:r>
      <w:r>
        <w:rPr>
          <w:color w:val="231F20"/>
          <w:w w:val="110"/>
          <w:sz w:val="19"/>
        </w:rPr>
        <w:t>have</w:t>
      </w:r>
      <w:r>
        <w:rPr>
          <w:color w:val="231F20"/>
          <w:spacing w:val="-5"/>
          <w:w w:val="110"/>
          <w:sz w:val="19"/>
        </w:rPr>
        <w:t> </w:t>
      </w:r>
      <w:r>
        <w:rPr>
          <w:color w:val="231F20"/>
          <w:w w:val="110"/>
          <w:sz w:val="19"/>
        </w:rPr>
        <w:t>a</w:t>
      </w:r>
      <w:r>
        <w:rPr>
          <w:color w:val="231F20"/>
          <w:spacing w:val="-5"/>
          <w:w w:val="110"/>
          <w:sz w:val="19"/>
        </w:rPr>
        <w:t> </w:t>
      </w:r>
      <w:r>
        <w:rPr>
          <w:color w:val="231F20"/>
          <w:w w:val="110"/>
          <w:sz w:val="19"/>
        </w:rPr>
        <w:t>unique</w:t>
      </w:r>
      <w:r>
        <w:rPr>
          <w:color w:val="231F20"/>
          <w:spacing w:val="-5"/>
          <w:w w:val="110"/>
          <w:sz w:val="19"/>
        </w:rPr>
        <w:t> </w:t>
      </w:r>
      <w:r>
        <w:rPr>
          <w:color w:val="231F20"/>
          <w:w w:val="110"/>
          <w:sz w:val="19"/>
        </w:rPr>
        <w:t>new</w:t>
      </w:r>
      <w:r>
        <w:rPr>
          <w:color w:val="231F20"/>
          <w:spacing w:val="-5"/>
          <w:w w:val="110"/>
          <w:sz w:val="19"/>
        </w:rPr>
        <w:t> </w:t>
      </w:r>
      <w:r>
        <w:rPr>
          <w:color w:val="231F20"/>
          <w:w w:val="110"/>
          <w:sz w:val="19"/>
        </w:rPr>
        <w:t>product,</w:t>
      </w:r>
      <w:r>
        <w:rPr>
          <w:color w:val="231F20"/>
          <w:spacing w:val="-5"/>
          <w:w w:val="110"/>
          <w:sz w:val="19"/>
        </w:rPr>
        <w:t> </w:t>
      </w:r>
      <w:r>
        <w:rPr>
          <w:color w:val="231F20"/>
          <w:w w:val="110"/>
          <w:sz w:val="19"/>
        </w:rPr>
        <w:t>use</w:t>
      </w:r>
      <w:r>
        <w:rPr>
          <w:color w:val="231F20"/>
          <w:spacing w:val="-5"/>
          <w:w w:val="110"/>
          <w:sz w:val="19"/>
        </w:rPr>
        <w:t> </w:t>
      </w:r>
      <w:r>
        <w:rPr>
          <w:color w:val="231F20"/>
          <w:w w:val="110"/>
          <w:sz w:val="19"/>
        </w:rPr>
        <w:t>a</w:t>
      </w:r>
      <w:r>
        <w:rPr>
          <w:color w:val="231F20"/>
          <w:spacing w:val="-5"/>
          <w:w w:val="110"/>
          <w:sz w:val="19"/>
        </w:rPr>
        <w:t> </w:t>
      </w:r>
      <w:r>
        <w:rPr>
          <w:color w:val="231F20"/>
          <w:w w:val="110"/>
          <w:sz w:val="19"/>
        </w:rPr>
        <w:t>new</w:t>
      </w:r>
      <w:r>
        <w:rPr>
          <w:color w:val="231F20"/>
          <w:spacing w:val="-5"/>
          <w:w w:val="110"/>
          <w:sz w:val="19"/>
        </w:rPr>
        <w:t> </w:t>
      </w:r>
      <w:r>
        <w:rPr>
          <w:color w:val="231F20"/>
          <w:w w:val="110"/>
          <w:sz w:val="19"/>
        </w:rPr>
        <w:t>name.</w:t>
      </w:r>
      <w:r>
        <w:rPr>
          <w:color w:val="231F20"/>
          <w:spacing w:val="-5"/>
          <w:w w:val="110"/>
          <w:sz w:val="19"/>
        </w:rPr>
        <w:t> </w:t>
      </w:r>
      <w:r>
        <w:rPr>
          <w:color w:val="231F20"/>
          <w:w w:val="110"/>
          <w:sz w:val="19"/>
        </w:rPr>
        <w:t>Instead </w:t>
      </w:r>
      <w:r>
        <w:rPr>
          <w:color w:val="231F20"/>
          <w:w w:val="115"/>
          <w:sz w:val="19"/>
        </w:rPr>
        <w:t>of using the name Apple Mini Mac, Apple chose the </w:t>
      </w:r>
      <w:r>
        <w:rPr>
          <w:color w:val="231F20"/>
          <w:w w:val="115"/>
          <w:sz w:val="19"/>
        </w:rPr>
        <w:t>iPod</w:t>
      </w:r>
      <w:r>
        <w:rPr>
          <w:color w:val="231F20"/>
          <w:w w:val="115"/>
          <w:sz w:val="19"/>
        </w:rPr>
        <w:t> name for their new music player.</w:t>
      </w:r>
    </w:p>
    <w:p>
      <w:pPr>
        <w:pStyle w:val="ListParagraph"/>
        <w:numPr>
          <w:ilvl w:val="2"/>
          <w:numId w:val="12"/>
        </w:numPr>
        <w:tabs>
          <w:tab w:pos="1611" w:val="left" w:leader="none"/>
        </w:tabs>
        <w:spacing w:line="240" w:lineRule="auto" w:before="2" w:after="0"/>
        <w:ind w:left="1610" w:right="0" w:hanging="234"/>
        <w:jc w:val="both"/>
        <w:rPr>
          <w:sz w:val="19"/>
        </w:rPr>
      </w:pPr>
      <w:r>
        <w:rPr>
          <w:color w:val="231F20"/>
          <w:w w:val="115"/>
          <w:sz w:val="19"/>
        </w:rPr>
        <w:t>The</w:t>
      </w:r>
      <w:r>
        <w:rPr>
          <w:color w:val="231F20"/>
          <w:spacing w:val="10"/>
          <w:w w:val="115"/>
          <w:sz w:val="19"/>
        </w:rPr>
        <w:t> </w:t>
      </w:r>
      <w:r>
        <w:rPr>
          <w:color w:val="231F20"/>
          <w:w w:val="115"/>
          <w:sz w:val="19"/>
        </w:rPr>
        <w:t>easiest</w:t>
      </w:r>
      <w:r>
        <w:rPr>
          <w:color w:val="231F20"/>
          <w:spacing w:val="10"/>
          <w:w w:val="115"/>
          <w:sz w:val="19"/>
        </w:rPr>
        <w:t> </w:t>
      </w:r>
      <w:r>
        <w:rPr>
          <w:color w:val="231F20"/>
          <w:w w:val="115"/>
          <w:sz w:val="19"/>
        </w:rPr>
        <w:t>way</w:t>
      </w:r>
      <w:r>
        <w:rPr>
          <w:color w:val="231F20"/>
          <w:spacing w:val="10"/>
          <w:w w:val="115"/>
          <w:sz w:val="19"/>
        </w:rPr>
        <w:t> </w:t>
      </w:r>
      <w:r>
        <w:rPr>
          <w:color w:val="231F20"/>
          <w:w w:val="115"/>
          <w:sz w:val="19"/>
        </w:rPr>
        <w:t>to</w:t>
      </w:r>
      <w:r>
        <w:rPr>
          <w:color w:val="231F20"/>
          <w:spacing w:val="11"/>
          <w:w w:val="115"/>
          <w:sz w:val="19"/>
        </w:rPr>
        <w:t> </w:t>
      </w:r>
      <w:r>
        <w:rPr>
          <w:color w:val="231F20"/>
          <w:w w:val="115"/>
          <w:sz w:val="19"/>
        </w:rPr>
        <w:t>own</w:t>
      </w:r>
      <w:r>
        <w:rPr>
          <w:color w:val="231F20"/>
          <w:spacing w:val="10"/>
          <w:w w:val="115"/>
          <w:sz w:val="19"/>
        </w:rPr>
        <w:t> </w:t>
      </w:r>
      <w:r>
        <w:rPr>
          <w:color w:val="231F20"/>
          <w:w w:val="115"/>
          <w:sz w:val="19"/>
        </w:rPr>
        <w:t>a</w:t>
      </w:r>
      <w:r>
        <w:rPr>
          <w:color w:val="231F20"/>
          <w:spacing w:val="10"/>
          <w:w w:val="115"/>
          <w:sz w:val="19"/>
        </w:rPr>
        <w:t> </w:t>
      </w:r>
      <w:r>
        <w:rPr>
          <w:color w:val="231F20"/>
          <w:w w:val="115"/>
          <w:sz w:val="19"/>
        </w:rPr>
        <w:t>word</w:t>
      </w:r>
      <w:r>
        <w:rPr>
          <w:color w:val="231F20"/>
          <w:spacing w:val="11"/>
          <w:w w:val="115"/>
          <w:sz w:val="19"/>
        </w:rPr>
        <w:t> </w:t>
      </w:r>
      <w:r>
        <w:rPr>
          <w:color w:val="231F20"/>
          <w:w w:val="115"/>
          <w:sz w:val="19"/>
        </w:rPr>
        <w:t>is</w:t>
      </w:r>
      <w:r>
        <w:rPr>
          <w:color w:val="231F20"/>
          <w:spacing w:val="10"/>
          <w:w w:val="115"/>
          <w:sz w:val="19"/>
        </w:rPr>
        <w:t> </w:t>
      </w:r>
      <w:r>
        <w:rPr>
          <w:color w:val="231F20"/>
          <w:w w:val="115"/>
          <w:sz w:val="19"/>
        </w:rPr>
        <w:t>to</w:t>
      </w:r>
      <w:r>
        <w:rPr>
          <w:color w:val="231F20"/>
          <w:spacing w:val="10"/>
          <w:w w:val="115"/>
          <w:sz w:val="19"/>
        </w:rPr>
        <w:t> </w:t>
      </w:r>
      <w:r>
        <w:rPr>
          <w:color w:val="231F20"/>
          <w:w w:val="115"/>
          <w:sz w:val="19"/>
        </w:rPr>
        <w:t>be</w:t>
      </w:r>
      <w:r>
        <w:rPr>
          <w:color w:val="231F20"/>
          <w:spacing w:val="10"/>
          <w:w w:val="115"/>
          <w:sz w:val="19"/>
        </w:rPr>
        <w:t> </w:t>
      </w:r>
      <w:r>
        <w:rPr>
          <w:color w:val="231F20"/>
          <w:w w:val="115"/>
          <w:sz w:val="19"/>
        </w:rPr>
        <w:t>first.</w:t>
      </w:r>
      <w:r>
        <w:rPr>
          <w:color w:val="231F20"/>
          <w:spacing w:val="11"/>
          <w:w w:val="115"/>
          <w:sz w:val="19"/>
        </w:rPr>
        <w:t> </w:t>
      </w:r>
      <w:r>
        <w:rPr>
          <w:color w:val="231F20"/>
          <w:spacing w:val="-2"/>
          <w:w w:val="115"/>
          <w:sz w:val="19"/>
        </w:rPr>
        <w:t>Consumers</w:t>
      </w:r>
    </w:p>
    <w:p>
      <w:pPr>
        <w:spacing w:after="0" w:line="240" w:lineRule="auto"/>
        <w:jc w:val="both"/>
        <w:rPr>
          <w:sz w:val="19"/>
        </w:rPr>
        <w:sectPr>
          <w:pgSz w:w="8640" w:h="12960"/>
          <w:pgMar w:header="734" w:footer="0" w:top="920" w:bottom="280" w:left="340" w:right="500"/>
        </w:sectPr>
      </w:pPr>
    </w:p>
    <w:p>
      <w:pPr>
        <w:pStyle w:val="BodyText"/>
        <w:spacing w:before="10"/>
        <w:rPr>
          <w:rFonts w:ascii="Arial"/>
          <w:sz w:val="19"/>
        </w:rPr>
      </w:pPr>
    </w:p>
    <w:p>
      <w:pPr>
        <w:spacing w:line="328" w:lineRule="auto" w:before="95"/>
        <w:ind w:left="1520" w:right="758" w:firstLine="0"/>
        <w:jc w:val="both"/>
        <w:rPr>
          <w:rFonts w:ascii="Arial"/>
          <w:sz w:val="19"/>
        </w:rPr>
      </w:pPr>
      <w:r>
        <w:rPr>
          <w:rFonts w:ascii="Arial"/>
          <w:color w:val="231F20"/>
          <w:w w:val="115"/>
          <w:sz w:val="19"/>
        </w:rPr>
        <w:t>tend to stick with products that work for them. Kleenex cleans runny noses.</w:t>
      </w:r>
    </w:p>
    <w:p>
      <w:pPr>
        <w:pStyle w:val="ListParagraph"/>
        <w:numPr>
          <w:ilvl w:val="2"/>
          <w:numId w:val="12"/>
        </w:numPr>
        <w:tabs>
          <w:tab w:pos="1521" w:val="left" w:leader="none"/>
        </w:tabs>
        <w:spacing w:line="328" w:lineRule="auto" w:before="2" w:after="0"/>
        <w:ind w:left="1520" w:right="755" w:hanging="222"/>
        <w:jc w:val="both"/>
        <w:rPr>
          <w:sz w:val="19"/>
        </w:rPr>
      </w:pPr>
      <w:r>
        <w:rPr>
          <w:color w:val="231F20"/>
          <w:w w:val="115"/>
          <w:sz w:val="19"/>
        </w:rPr>
        <w:t>Don’t</w:t>
      </w:r>
      <w:r>
        <w:rPr>
          <w:color w:val="231F20"/>
          <w:spacing w:val="-16"/>
          <w:w w:val="115"/>
          <w:sz w:val="19"/>
        </w:rPr>
        <w:t> </w:t>
      </w:r>
      <w:r>
        <w:rPr>
          <w:color w:val="231F20"/>
          <w:w w:val="115"/>
          <w:sz w:val="19"/>
        </w:rPr>
        <w:t>stray</w:t>
      </w:r>
      <w:r>
        <w:rPr>
          <w:color w:val="231F20"/>
          <w:spacing w:val="-15"/>
          <w:w w:val="115"/>
          <w:sz w:val="19"/>
        </w:rPr>
        <w:t> </w:t>
      </w:r>
      <w:r>
        <w:rPr>
          <w:color w:val="231F20"/>
          <w:w w:val="115"/>
          <w:sz w:val="19"/>
        </w:rPr>
        <w:t>from</w:t>
      </w:r>
      <w:r>
        <w:rPr>
          <w:color w:val="231F20"/>
          <w:spacing w:val="-15"/>
          <w:w w:val="115"/>
          <w:sz w:val="19"/>
        </w:rPr>
        <w:t> </w:t>
      </w:r>
      <w:r>
        <w:rPr>
          <w:color w:val="231F20"/>
          <w:w w:val="115"/>
          <w:sz w:val="19"/>
        </w:rPr>
        <w:t>your</w:t>
      </w:r>
      <w:r>
        <w:rPr>
          <w:color w:val="231F20"/>
          <w:spacing w:val="-15"/>
          <w:w w:val="115"/>
          <w:sz w:val="19"/>
        </w:rPr>
        <w:t> </w:t>
      </w:r>
      <w:r>
        <w:rPr>
          <w:color w:val="231F20"/>
          <w:w w:val="115"/>
          <w:sz w:val="19"/>
        </w:rPr>
        <w:t>message;</w:t>
      </w:r>
      <w:r>
        <w:rPr>
          <w:color w:val="231F20"/>
          <w:spacing w:val="-15"/>
          <w:w w:val="115"/>
          <w:sz w:val="19"/>
        </w:rPr>
        <w:t> </w:t>
      </w:r>
      <w:r>
        <w:rPr>
          <w:color w:val="231F20"/>
          <w:w w:val="115"/>
          <w:sz w:val="19"/>
        </w:rPr>
        <w:t>“reinforce</w:t>
      </w:r>
      <w:r>
        <w:rPr>
          <w:color w:val="231F20"/>
          <w:spacing w:val="-16"/>
          <w:w w:val="115"/>
          <w:sz w:val="19"/>
        </w:rPr>
        <w:t> </w:t>
      </w:r>
      <w:r>
        <w:rPr>
          <w:color w:val="231F20"/>
          <w:w w:val="115"/>
          <w:sz w:val="19"/>
        </w:rPr>
        <w:t>the</w:t>
      </w:r>
      <w:r>
        <w:rPr>
          <w:color w:val="231F20"/>
          <w:spacing w:val="-15"/>
          <w:w w:val="115"/>
          <w:sz w:val="19"/>
        </w:rPr>
        <w:t> </w:t>
      </w:r>
      <w:r>
        <w:rPr>
          <w:color w:val="231F20"/>
          <w:w w:val="115"/>
          <w:sz w:val="19"/>
        </w:rPr>
        <w:t>original</w:t>
      </w:r>
      <w:r>
        <w:rPr>
          <w:color w:val="231F20"/>
          <w:spacing w:val="-15"/>
          <w:w w:val="115"/>
          <w:sz w:val="19"/>
        </w:rPr>
        <w:t> </w:t>
      </w:r>
      <w:r>
        <w:rPr>
          <w:color w:val="231F20"/>
          <w:w w:val="115"/>
          <w:sz w:val="19"/>
        </w:rPr>
        <w:t>con-</w:t>
      </w:r>
      <w:r>
        <w:rPr>
          <w:color w:val="231F20"/>
          <w:w w:val="115"/>
          <w:sz w:val="19"/>
        </w:rPr>
        <w:t> cept” in all marketing activities. “Coke Classic is the real </w:t>
      </w:r>
      <w:r>
        <w:rPr>
          <w:color w:val="231F20"/>
          <w:spacing w:val="-2"/>
          <w:w w:val="115"/>
          <w:sz w:val="19"/>
        </w:rPr>
        <w:t>thing!”</w:t>
      </w:r>
    </w:p>
    <w:p>
      <w:pPr>
        <w:pStyle w:val="ListParagraph"/>
        <w:numPr>
          <w:ilvl w:val="2"/>
          <w:numId w:val="12"/>
        </w:numPr>
        <w:tabs>
          <w:tab w:pos="1521" w:val="left" w:leader="none"/>
        </w:tabs>
        <w:spacing w:line="328" w:lineRule="auto" w:before="2" w:after="0"/>
        <w:ind w:left="1520" w:right="756" w:hanging="229"/>
        <w:jc w:val="both"/>
        <w:rPr>
          <w:sz w:val="19"/>
        </w:rPr>
      </w:pPr>
      <w:r>
        <w:rPr>
          <w:color w:val="231F20"/>
          <w:w w:val="115"/>
          <w:sz w:val="19"/>
        </w:rPr>
        <w:t>The best way to respond to a new competitor is to intro- duce</w:t>
      </w:r>
      <w:r>
        <w:rPr>
          <w:color w:val="231F20"/>
          <w:spacing w:val="-16"/>
          <w:w w:val="115"/>
          <w:sz w:val="19"/>
        </w:rPr>
        <w:t> </w:t>
      </w:r>
      <w:r>
        <w:rPr>
          <w:color w:val="231F20"/>
          <w:w w:val="115"/>
          <w:sz w:val="19"/>
        </w:rPr>
        <w:t>a</w:t>
      </w:r>
      <w:r>
        <w:rPr>
          <w:color w:val="231F20"/>
          <w:spacing w:val="-15"/>
          <w:w w:val="115"/>
          <w:sz w:val="19"/>
        </w:rPr>
        <w:t> </w:t>
      </w:r>
      <w:r>
        <w:rPr>
          <w:color w:val="231F20"/>
          <w:w w:val="115"/>
          <w:sz w:val="19"/>
        </w:rPr>
        <w:t>new</w:t>
      </w:r>
      <w:r>
        <w:rPr>
          <w:color w:val="231F20"/>
          <w:spacing w:val="-15"/>
          <w:w w:val="115"/>
          <w:sz w:val="19"/>
        </w:rPr>
        <w:t> </w:t>
      </w:r>
      <w:r>
        <w:rPr>
          <w:color w:val="231F20"/>
          <w:w w:val="115"/>
          <w:sz w:val="19"/>
        </w:rPr>
        <w:t>brand,</w:t>
      </w:r>
      <w:r>
        <w:rPr>
          <w:color w:val="231F20"/>
          <w:spacing w:val="-15"/>
          <w:w w:val="115"/>
          <w:sz w:val="19"/>
        </w:rPr>
        <w:t> </w:t>
      </w:r>
      <w:r>
        <w:rPr>
          <w:color w:val="231F20"/>
          <w:w w:val="115"/>
          <w:sz w:val="19"/>
        </w:rPr>
        <w:t>not</w:t>
      </w:r>
      <w:r>
        <w:rPr>
          <w:color w:val="231F20"/>
          <w:spacing w:val="-15"/>
          <w:w w:val="115"/>
          <w:sz w:val="19"/>
        </w:rPr>
        <w:t> </w:t>
      </w:r>
      <w:r>
        <w:rPr>
          <w:color w:val="231F20"/>
          <w:w w:val="115"/>
          <w:sz w:val="19"/>
        </w:rPr>
        <w:t>blurring</w:t>
      </w:r>
      <w:r>
        <w:rPr>
          <w:color w:val="231F20"/>
          <w:spacing w:val="-16"/>
          <w:w w:val="115"/>
          <w:sz w:val="19"/>
        </w:rPr>
        <w:t> </w:t>
      </w:r>
      <w:r>
        <w:rPr>
          <w:color w:val="231F20"/>
          <w:w w:val="115"/>
          <w:sz w:val="19"/>
        </w:rPr>
        <w:t>the</w:t>
      </w:r>
      <w:r>
        <w:rPr>
          <w:color w:val="231F20"/>
          <w:spacing w:val="-15"/>
          <w:w w:val="115"/>
          <w:sz w:val="19"/>
        </w:rPr>
        <w:t> </w:t>
      </w:r>
      <w:r>
        <w:rPr>
          <w:color w:val="231F20"/>
          <w:w w:val="115"/>
          <w:sz w:val="19"/>
        </w:rPr>
        <w:t>original</w:t>
      </w:r>
      <w:r>
        <w:rPr>
          <w:color w:val="231F20"/>
          <w:spacing w:val="-15"/>
          <w:w w:val="115"/>
          <w:sz w:val="19"/>
        </w:rPr>
        <w:t> </w:t>
      </w:r>
      <w:r>
        <w:rPr>
          <w:color w:val="231F20"/>
          <w:w w:val="115"/>
          <w:sz w:val="19"/>
        </w:rPr>
        <w:t>one.</w:t>
      </w:r>
      <w:r>
        <w:rPr>
          <w:color w:val="231F20"/>
          <w:spacing w:val="-15"/>
          <w:w w:val="115"/>
          <w:sz w:val="19"/>
        </w:rPr>
        <w:t> </w:t>
      </w:r>
      <w:r>
        <w:rPr>
          <w:color w:val="231F20"/>
          <w:w w:val="115"/>
          <w:sz w:val="19"/>
        </w:rPr>
        <w:t>When</w:t>
      </w:r>
      <w:r>
        <w:rPr>
          <w:color w:val="231F20"/>
          <w:spacing w:val="-15"/>
          <w:w w:val="115"/>
          <w:sz w:val="19"/>
        </w:rPr>
        <w:t> </w:t>
      </w:r>
      <w:r>
        <w:rPr>
          <w:color w:val="231F20"/>
          <w:w w:val="115"/>
          <w:sz w:val="19"/>
        </w:rPr>
        <w:t>bot- tled water became popular, Coke didn’t call theirs Coke water, rather it chose Dasani.</w:t>
      </w:r>
    </w:p>
    <w:p>
      <w:pPr>
        <w:pStyle w:val="ListParagraph"/>
        <w:numPr>
          <w:ilvl w:val="2"/>
          <w:numId w:val="12"/>
        </w:numPr>
        <w:tabs>
          <w:tab w:pos="1521" w:val="left" w:leader="none"/>
        </w:tabs>
        <w:spacing w:line="328" w:lineRule="auto" w:before="3" w:after="0"/>
        <w:ind w:left="1520" w:right="755" w:hanging="199"/>
        <w:jc w:val="both"/>
        <w:rPr>
          <w:sz w:val="19"/>
        </w:rPr>
      </w:pPr>
      <w:r>
        <w:rPr>
          <w:color w:val="231F20"/>
          <w:w w:val="110"/>
          <w:sz w:val="19"/>
        </w:rPr>
        <w:t>The first option for a follower is to establish a new cate- gory. Established brands are tough to beat, but </w:t>
      </w:r>
      <w:r>
        <w:rPr>
          <w:color w:val="231F20"/>
          <w:w w:val="110"/>
          <w:sz w:val="19"/>
        </w:rPr>
        <w:t>consumers will adopt a new category more easily. Charles Schwab es- tablished the discount brokerage category.</w:t>
      </w:r>
    </w:p>
    <w:p>
      <w:pPr>
        <w:pStyle w:val="ListParagraph"/>
        <w:numPr>
          <w:ilvl w:val="2"/>
          <w:numId w:val="12"/>
        </w:numPr>
        <w:tabs>
          <w:tab w:pos="1521" w:val="left" w:leader="none"/>
        </w:tabs>
        <w:spacing w:line="328" w:lineRule="auto" w:before="2" w:after="0"/>
        <w:ind w:left="1519" w:right="756" w:hanging="226"/>
        <w:jc w:val="both"/>
        <w:rPr>
          <w:sz w:val="19"/>
        </w:rPr>
      </w:pPr>
      <w:r>
        <w:rPr>
          <w:color w:val="231F20"/>
          <w:w w:val="110"/>
          <w:sz w:val="19"/>
        </w:rPr>
        <w:t>The second option of a follower is to find an open </w:t>
      </w:r>
      <w:r>
        <w:rPr>
          <w:color w:val="231F20"/>
          <w:w w:val="110"/>
          <w:sz w:val="19"/>
        </w:rPr>
        <w:t>position</w:t>
      </w:r>
      <w:r>
        <w:rPr>
          <w:color w:val="231F20"/>
          <w:spacing w:val="40"/>
          <w:w w:val="110"/>
          <w:sz w:val="19"/>
        </w:rPr>
        <w:t> </w:t>
      </w:r>
      <w:r>
        <w:rPr>
          <w:color w:val="231F20"/>
          <w:w w:val="110"/>
          <w:sz w:val="19"/>
        </w:rPr>
        <w:t>in the consumer’s mind. Starbucks became the premium quick-service coffee brand.</w:t>
      </w:r>
    </w:p>
    <w:p>
      <w:pPr>
        <w:pStyle w:val="ListParagraph"/>
        <w:numPr>
          <w:ilvl w:val="2"/>
          <w:numId w:val="12"/>
        </w:numPr>
        <w:tabs>
          <w:tab w:pos="1521" w:val="left" w:leader="none"/>
        </w:tabs>
        <w:spacing w:line="328" w:lineRule="auto" w:before="2" w:after="0"/>
        <w:ind w:left="1520" w:right="756" w:hanging="227"/>
        <w:jc w:val="both"/>
        <w:rPr>
          <w:sz w:val="19"/>
        </w:rPr>
      </w:pPr>
      <w:r>
        <w:rPr>
          <w:color w:val="231F20"/>
          <w:w w:val="115"/>
          <w:sz w:val="19"/>
        </w:rPr>
        <w:t>The</w:t>
      </w:r>
      <w:r>
        <w:rPr>
          <w:color w:val="231F20"/>
          <w:spacing w:val="-8"/>
          <w:w w:val="115"/>
          <w:sz w:val="19"/>
        </w:rPr>
        <w:t> </w:t>
      </w:r>
      <w:r>
        <w:rPr>
          <w:color w:val="231F20"/>
          <w:w w:val="115"/>
          <w:sz w:val="19"/>
        </w:rPr>
        <w:t>third</w:t>
      </w:r>
      <w:r>
        <w:rPr>
          <w:color w:val="231F20"/>
          <w:spacing w:val="-8"/>
          <w:w w:val="115"/>
          <w:sz w:val="19"/>
        </w:rPr>
        <w:t> </w:t>
      </w:r>
      <w:r>
        <w:rPr>
          <w:color w:val="231F20"/>
          <w:w w:val="115"/>
          <w:sz w:val="19"/>
        </w:rPr>
        <w:t>option</w:t>
      </w:r>
      <w:r>
        <w:rPr>
          <w:color w:val="231F20"/>
          <w:spacing w:val="-8"/>
          <w:w w:val="115"/>
          <w:sz w:val="19"/>
        </w:rPr>
        <w:t> </w:t>
      </w:r>
      <w:r>
        <w:rPr>
          <w:color w:val="231F20"/>
          <w:w w:val="115"/>
          <w:sz w:val="19"/>
        </w:rPr>
        <w:t>for</w:t>
      </w:r>
      <w:r>
        <w:rPr>
          <w:color w:val="231F20"/>
          <w:spacing w:val="-8"/>
          <w:w w:val="115"/>
          <w:sz w:val="19"/>
        </w:rPr>
        <w:t> </w:t>
      </w:r>
      <w:r>
        <w:rPr>
          <w:color w:val="231F20"/>
          <w:w w:val="115"/>
          <w:sz w:val="19"/>
        </w:rPr>
        <w:t>a</w:t>
      </w:r>
      <w:r>
        <w:rPr>
          <w:color w:val="231F20"/>
          <w:spacing w:val="-8"/>
          <w:w w:val="115"/>
          <w:sz w:val="19"/>
        </w:rPr>
        <w:t> </w:t>
      </w:r>
      <w:r>
        <w:rPr>
          <w:color w:val="231F20"/>
          <w:w w:val="115"/>
          <w:sz w:val="19"/>
        </w:rPr>
        <w:t>follower</w:t>
      </w:r>
      <w:r>
        <w:rPr>
          <w:color w:val="231F20"/>
          <w:spacing w:val="-8"/>
          <w:w w:val="115"/>
          <w:sz w:val="19"/>
        </w:rPr>
        <w:t> </w:t>
      </w:r>
      <w:r>
        <w:rPr>
          <w:color w:val="231F20"/>
          <w:w w:val="115"/>
          <w:sz w:val="19"/>
        </w:rPr>
        <w:t>is</w:t>
      </w:r>
      <w:r>
        <w:rPr>
          <w:color w:val="231F20"/>
          <w:spacing w:val="-8"/>
          <w:w w:val="115"/>
          <w:sz w:val="19"/>
        </w:rPr>
        <w:t> </w:t>
      </w:r>
      <w:r>
        <w:rPr>
          <w:color w:val="231F20"/>
          <w:w w:val="115"/>
          <w:sz w:val="19"/>
        </w:rPr>
        <w:t>to</w:t>
      </w:r>
      <w:r>
        <w:rPr>
          <w:color w:val="231F20"/>
          <w:spacing w:val="-8"/>
          <w:w w:val="115"/>
          <w:sz w:val="19"/>
        </w:rPr>
        <w:t> </w:t>
      </w:r>
      <w:r>
        <w:rPr>
          <w:color w:val="231F20"/>
          <w:w w:val="115"/>
          <w:sz w:val="19"/>
        </w:rPr>
        <w:t>reposition</w:t>
      </w:r>
      <w:r>
        <w:rPr>
          <w:color w:val="231F20"/>
          <w:spacing w:val="-8"/>
          <w:w w:val="115"/>
          <w:sz w:val="19"/>
        </w:rPr>
        <w:t> </w:t>
      </w:r>
      <w:r>
        <w:rPr>
          <w:color w:val="231F20"/>
          <w:w w:val="115"/>
          <w:sz w:val="19"/>
        </w:rPr>
        <w:t>the</w:t>
      </w:r>
      <w:r>
        <w:rPr>
          <w:color w:val="231F20"/>
          <w:spacing w:val="-8"/>
          <w:w w:val="115"/>
          <w:sz w:val="19"/>
        </w:rPr>
        <w:t> </w:t>
      </w:r>
      <w:r>
        <w:rPr>
          <w:color w:val="231F20"/>
          <w:w w:val="115"/>
          <w:sz w:val="19"/>
        </w:rPr>
        <w:t>competi- tor to undercut the leader’s concept, product, or spokes- person.</w:t>
      </w:r>
      <w:r>
        <w:rPr>
          <w:color w:val="231F20"/>
          <w:spacing w:val="-13"/>
          <w:w w:val="115"/>
          <w:sz w:val="19"/>
        </w:rPr>
        <w:t> </w:t>
      </w:r>
      <w:r>
        <w:rPr>
          <w:color w:val="231F20"/>
          <w:w w:val="115"/>
          <w:sz w:val="19"/>
        </w:rPr>
        <w:t>Tylenol</w:t>
      </w:r>
      <w:r>
        <w:rPr>
          <w:color w:val="231F20"/>
          <w:spacing w:val="-13"/>
          <w:w w:val="115"/>
          <w:sz w:val="19"/>
        </w:rPr>
        <w:t> </w:t>
      </w:r>
      <w:r>
        <w:rPr>
          <w:color w:val="231F20"/>
          <w:w w:val="115"/>
          <w:sz w:val="19"/>
        </w:rPr>
        <w:t>said,</w:t>
      </w:r>
      <w:r>
        <w:rPr>
          <w:color w:val="231F20"/>
          <w:spacing w:val="-13"/>
          <w:w w:val="115"/>
          <w:sz w:val="19"/>
        </w:rPr>
        <w:t> </w:t>
      </w:r>
      <w:r>
        <w:rPr>
          <w:color w:val="231F20"/>
          <w:w w:val="115"/>
          <w:sz w:val="19"/>
        </w:rPr>
        <w:t>“If</w:t>
      </w:r>
      <w:r>
        <w:rPr>
          <w:color w:val="231F20"/>
          <w:spacing w:val="-13"/>
          <w:w w:val="115"/>
          <w:sz w:val="19"/>
        </w:rPr>
        <w:t> </w:t>
      </w:r>
      <w:r>
        <w:rPr>
          <w:color w:val="231F20"/>
          <w:w w:val="115"/>
          <w:sz w:val="19"/>
        </w:rPr>
        <w:t>your</w:t>
      </w:r>
      <w:r>
        <w:rPr>
          <w:color w:val="231F20"/>
          <w:spacing w:val="-13"/>
          <w:w w:val="115"/>
          <w:sz w:val="19"/>
        </w:rPr>
        <w:t> </w:t>
      </w:r>
      <w:r>
        <w:rPr>
          <w:color w:val="231F20"/>
          <w:w w:val="115"/>
          <w:sz w:val="19"/>
        </w:rPr>
        <w:t>stomach</w:t>
      </w:r>
      <w:r>
        <w:rPr>
          <w:color w:val="231F20"/>
          <w:spacing w:val="-13"/>
          <w:w w:val="115"/>
          <w:sz w:val="19"/>
        </w:rPr>
        <w:t> </w:t>
      </w:r>
      <w:r>
        <w:rPr>
          <w:color w:val="231F20"/>
          <w:w w:val="115"/>
          <w:sz w:val="19"/>
        </w:rPr>
        <w:t>is</w:t>
      </w:r>
      <w:r>
        <w:rPr>
          <w:color w:val="231F20"/>
          <w:spacing w:val="-13"/>
          <w:w w:val="115"/>
          <w:sz w:val="19"/>
        </w:rPr>
        <w:t> </w:t>
      </w:r>
      <w:r>
        <w:rPr>
          <w:color w:val="231F20"/>
          <w:w w:val="115"/>
          <w:sz w:val="19"/>
        </w:rPr>
        <w:t>upset,</w:t>
      </w:r>
      <w:r>
        <w:rPr>
          <w:color w:val="231F20"/>
          <w:spacing w:val="-13"/>
          <w:w w:val="115"/>
          <w:sz w:val="19"/>
        </w:rPr>
        <w:t> </w:t>
      </w:r>
      <w:r>
        <w:rPr>
          <w:color w:val="231F20"/>
          <w:w w:val="115"/>
          <w:sz w:val="19"/>
        </w:rPr>
        <w:t>check</w:t>
      </w:r>
      <w:r>
        <w:rPr>
          <w:color w:val="231F20"/>
          <w:spacing w:val="-13"/>
          <w:w w:val="115"/>
          <w:sz w:val="19"/>
        </w:rPr>
        <w:t> </w:t>
      </w:r>
      <w:r>
        <w:rPr>
          <w:color w:val="231F20"/>
          <w:w w:val="115"/>
          <w:sz w:val="19"/>
        </w:rPr>
        <w:t>with</w:t>
      </w:r>
      <w:r>
        <w:rPr>
          <w:color w:val="231F20"/>
          <w:w w:val="115"/>
          <w:sz w:val="19"/>
        </w:rPr>
        <w:t> your doctor before your take aspirin.”</w:t>
      </w:r>
    </w:p>
    <w:p>
      <w:pPr>
        <w:pStyle w:val="ListParagraph"/>
        <w:numPr>
          <w:ilvl w:val="2"/>
          <w:numId w:val="12"/>
        </w:numPr>
        <w:tabs>
          <w:tab w:pos="1521" w:val="left" w:leader="none"/>
        </w:tabs>
        <w:spacing w:line="240" w:lineRule="auto" w:before="3" w:after="0"/>
        <w:ind w:left="1520" w:right="0" w:hanging="304"/>
        <w:jc w:val="both"/>
        <w:rPr>
          <w:sz w:val="19"/>
        </w:rPr>
      </w:pPr>
      <w:r>
        <w:rPr>
          <w:color w:val="231F20"/>
          <w:w w:val="115"/>
          <w:sz w:val="19"/>
        </w:rPr>
        <w:t>Stay</w:t>
      </w:r>
      <w:r>
        <w:rPr>
          <w:color w:val="231F20"/>
          <w:spacing w:val="-11"/>
          <w:w w:val="115"/>
          <w:sz w:val="19"/>
        </w:rPr>
        <w:t> </w:t>
      </w:r>
      <w:r>
        <w:rPr>
          <w:color w:val="231F20"/>
          <w:w w:val="115"/>
          <w:sz w:val="19"/>
        </w:rPr>
        <w:t>consistent</w:t>
      </w:r>
      <w:r>
        <w:rPr>
          <w:color w:val="231F20"/>
          <w:spacing w:val="-11"/>
          <w:w w:val="115"/>
          <w:sz w:val="19"/>
        </w:rPr>
        <w:t> </w:t>
      </w:r>
      <w:r>
        <w:rPr>
          <w:color w:val="231F20"/>
          <w:w w:val="115"/>
          <w:sz w:val="19"/>
        </w:rPr>
        <w:t>with</w:t>
      </w:r>
      <w:r>
        <w:rPr>
          <w:color w:val="231F20"/>
          <w:spacing w:val="-11"/>
          <w:w w:val="115"/>
          <w:sz w:val="19"/>
        </w:rPr>
        <w:t> </w:t>
      </w:r>
      <w:r>
        <w:rPr>
          <w:color w:val="231F20"/>
          <w:w w:val="115"/>
          <w:sz w:val="19"/>
        </w:rPr>
        <w:t>the</w:t>
      </w:r>
      <w:r>
        <w:rPr>
          <w:color w:val="231F20"/>
          <w:spacing w:val="-10"/>
          <w:w w:val="115"/>
          <w:sz w:val="19"/>
        </w:rPr>
        <w:t> </w:t>
      </w:r>
      <w:r>
        <w:rPr>
          <w:color w:val="231F20"/>
          <w:w w:val="115"/>
          <w:sz w:val="19"/>
        </w:rPr>
        <w:t>positioning</w:t>
      </w:r>
      <w:r>
        <w:rPr>
          <w:color w:val="231F20"/>
          <w:spacing w:val="-11"/>
          <w:w w:val="115"/>
          <w:sz w:val="19"/>
        </w:rPr>
        <w:t> </w:t>
      </w:r>
      <w:r>
        <w:rPr>
          <w:color w:val="231F20"/>
          <w:w w:val="115"/>
          <w:sz w:val="19"/>
        </w:rPr>
        <w:t>you</w:t>
      </w:r>
      <w:r>
        <w:rPr>
          <w:color w:val="231F20"/>
          <w:spacing w:val="-11"/>
          <w:w w:val="115"/>
          <w:sz w:val="19"/>
        </w:rPr>
        <w:t> </w:t>
      </w:r>
      <w:r>
        <w:rPr>
          <w:color w:val="231F20"/>
          <w:spacing w:val="-2"/>
          <w:w w:val="115"/>
          <w:sz w:val="19"/>
        </w:rPr>
        <w:t>choose.</w:t>
      </w:r>
    </w:p>
    <w:p>
      <w:pPr>
        <w:pStyle w:val="BodyText"/>
        <w:rPr>
          <w:rFonts w:ascii="Arial"/>
          <w:sz w:val="20"/>
        </w:rPr>
      </w:pPr>
    </w:p>
    <w:p>
      <w:pPr>
        <w:pStyle w:val="BodyText"/>
        <w:rPr>
          <w:rFonts w:ascii="Arial"/>
          <w:sz w:val="20"/>
        </w:rPr>
      </w:pPr>
    </w:p>
    <w:p>
      <w:pPr>
        <w:pStyle w:val="Heading4"/>
        <w:numPr>
          <w:ilvl w:val="3"/>
          <w:numId w:val="12"/>
        </w:numPr>
        <w:tabs>
          <w:tab w:pos="1978" w:val="left" w:leader="none"/>
        </w:tabs>
        <w:spacing w:line="240" w:lineRule="auto" w:before="174" w:after="0"/>
        <w:ind w:left="1977" w:right="0" w:hanging="1908"/>
        <w:jc w:val="left"/>
      </w:pPr>
      <w:r>
        <w:rPr>
          <w:color w:val="231F20"/>
          <w:spacing w:val="9"/>
          <w:w w:val="85"/>
        </w:rPr>
        <w:t>REVIEW</w:t>
      </w:r>
      <w:r>
        <w:rPr>
          <w:color w:val="231F20"/>
          <w:spacing w:val="22"/>
        </w:rPr>
        <w:t> </w:t>
      </w:r>
      <w:r>
        <w:rPr>
          <w:color w:val="231F20"/>
          <w:w w:val="85"/>
        </w:rPr>
        <w:t>OF</w:t>
      </w:r>
      <w:r>
        <w:rPr>
          <w:color w:val="231F20"/>
          <w:spacing w:val="22"/>
        </w:rPr>
        <w:t> </w:t>
      </w:r>
      <w:r>
        <w:rPr>
          <w:color w:val="231F20"/>
          <w:w w:val="85"/>
        </w:rPr>
        <w:t>THE</w:t>
      </w:r>
      <w:r>
        <w:rPr>
          <w:color w:val="231F20"/>
          <w:spacing w:val="22"/>
        </w:rPr>
        <w:t> </w:t>
      </w:r>
      <w:r>
        <w:rPr>
          <w:color w:val="231F20"/>
          <w:spacing w:val="10"/>
          <w:w w:val="85"/>
        </w:rPr>
        <w:t>DISTRIBUTION</w:t>
      </w:r>
      <w:r>
        <w:rPr>
          <w:color w:val="231F20"/>
          <w:spacing w:val="22"/>
        </w:rPr>
        <w:t> </w:t>
      </w:r>
      <w:r>
        <w:rPr>
          <w:color w:val="231F20"/>
          <w:spacing w:val="-2"/>
          <w:w w:val="85"/>
        </w:rPr>
        <w:t>CHANNELS</w:t>
      </w:r>
    </w:p>
    <w:p>
      <w:pPr>
        <w:pStyle w:val="BodyText"/>
        <w:spacing w:before="11"/>
        <w:rPr>
          <w:rFonts w:ascii="Trebuchet MS"/>
          <w:sz w:val="29"/>
        </w:rPr>
      </w:pPr>
    </w:p>
    <w:p>
      <w:pPr>
        <w:tabs>
          <w:tab w:pos="2153" w:val="left" w:leader="none"/>
          <w:tab w:pos="3213" w:val="left" w:leader="none"/>
          <w:tab w:pos="4753" w:val="left" w:leader="none"/>
        </w:tabs>
        <w:spacing w:before="0"/>
        <w:ind w:left="830" w:right="0" w:firstLine="0"/>
        <w:jc w:val="left"/>
        <w:rPr>
          <w:b/>
          <w:sz w:val="21"/>
        </w:rPr>
      </w:pPr>
      <w:r>
        <w:rPr/>
        <w:pict>
          <v:shape style="position:absolute;margin-left:110.832878pt;margin-top:5.024802pt;width:9.35pt;height:3.5pt;mso-position-horizontal-relative:page;mso-position-vertical-relative:paragraph;z-index:-25207296" id="docshape49" coordorigin="2217,100" coordsize="187,70" path="m2341,100l2336,111,2380,129,2217,129,2217,141,2380,141,2336,159,2341,170,2403,143,2403,127,2341,100xe" filled="true" fillcolor="#231f20" stroked="false">
            <v:path arrowok="t"/>
            <v:fill type="solid"/>
            <w10:wrap type="none"/>
          </v:shape>
        </w:pict>
      </w:r>
      <w:r>
        <w:rPr/>
        <w:pict>
          <v:shape style="position:absolute;margin-left:163.843307pt;margin-top:5.024802pt;width:9.35pt;height:3.5pt;mso-position-horizontal-relative:page;mso-position-vertical-relative:paragraph;z-index:-25206784" id="docshape50" coordorigin="3277,100" coordsize="187,70" path="m3401,100l3396,111,3440,129,3277,129,3277,141,3440,141,3396,159,3401,170,3463,143,3463,127,3401,100xe" filled="true" fillcolor="#231f20" stroked="false">
            <v:path arrowok="t"/>
            <v:fill type="solid"/>
            <w10:wrap type="none"/>
          </v:shape>
        </w:pict>
      </w:r>
      <w:r>
        <w:rPr/>
        <w:pict>
          <v:shape style="position:absolute;margin-left:240.863083pt;margin-top:5.024802pt;width:9.35pt;height:3.5pt;mso-position-horizontal-relative:page;mso-position-vertical-relative:paragraph;z-index:-25206272" id="docshape51" coordorigin="4817,100" coordsize="187,70" path="m4941,100l4937,111,4980,129,4817,129,4817,141,4980,141,4937,159,4941,170,5004,143,5004,127,4941,100xe" filled="true" fillcolor="#231f20" stroked="false">
            <v:path arrowok="t"/>
            <v:fill type="solid"/>
            <w10:wrap type="none"/>
          </v:shape>
        </w:pict>
      </w:r>
      <w:r>
        <w:rPr/>
        <w:pict>
          <v:shape style="position:absolute;margin-left:359.085541pt;margin-top:5.024802pt;width:9.35pt;height:3.5pt;mso-position-horizontal-relative:page;mso-position-vertical-relative:paragraph;z-index:15752192" id="docshape52" coordorigin="7182,100" coordsize="187,70" path="m7306,100l7301,111,7345,129,7182,129,7182,141,7345,141,7301,159,7306,170,7368,143,7368,127,7306,100xe" filled="true" fillcolor="#231f20" stroked="false">
            <v:path arrowok="t"/>
            <v:fill type="solid"/>
            <w10:wrap type="none"/>
          </v:shape>
        </w:pict>
      </w:r>
      <w:r>
        <w:rPr>
          <w:color w:val="231F20"/>
          <w:spacing w:val="-2"/>
          <w:sz w:val="21"/>
        </w:rPr>
        <w:t>Consumer</w:t>
      </w:r>
      <w:r>
        <w:rPr>
          <w:color w:val="231F20"/>
          <w:sz w:val="21"/>
        </w:rPr>
        <w:tab/>
      </w:r>
      <w:r>
        <w:rPr>
          <w:color w:val="231F20"/>
          <w:spacing w:val="-2"/>
          <w:sz w:val="21"/>
        </w:rPr>
        <w:t>Market</w:t>
      </w:r>
      <w:r>
        <w:rPr>
          <w:color w:val="231F20"/>
          <w:sz w:val="21"/>
        </w:rPr>
        <w:tab/>
      </w:r>
      <w:r>
        <w:rPr>
          <w:color w:val="231F20"/>
          <w:spacing w:val="-2"/>
          <w:sz w:val="21"/>
        </w:rPr>
        <w:t>Competition</w:t>
      </w:r>
      <w:r>
        <w:rPr>
          <w:color w:val="231F20"/>
          <w:sz w:val="21"/>
        </w:rPr>
        <w:tab/>
      </w:r>
      <w:r>
        <w:rPr>
          <w:b/>
          <w:color w:val="231F20"/>
          <w:w w:val="95"/>
          <w:sz w:val="21"/>
        </w:rPr>
        <w:t>Distribution</w:t>
      </w:r>
      <w:r>
        <w:rPr>
          <w:b/>
          <w:color w:val="231F20"/>
          <w:spacing w:val="30"/>
          <w:sz w:val="21"/>
        </w:rPr>
        <w:t> </w:t>
      </w:r>
      <w:r>
        <w:rPr>
          <w:b/>
          <w:color w:val="231F20"/>
          <w:spacing w:val="-2"/>
          <w:sz w:val="21"/>
        </w:rPr>
        <w:t>Analysis</w:t>
      </w:r>
    </w:p>
    <w:p>
      <w:pPr>
        <w:pStyle w:val="BodyText"/>
        <w:tabs>
          <w:tab w:pos="2560" w:val="left" w:leader="none"/>
          <w:tab w:pos="3871" w:val="left" w:leader="none"/>
        </w:tabs>
        <w:spacing w:before="54"/>
        <w:ind w:left="830"/>
      </w:pPr>
      <w:r>
        <w:rPr/>
        <w:pict>
          <v:shape style="position:absolute;margin-left:132.464706pt;margin-top:7.724815pt;width:9.35pt;height:3.5pt;mso-position-horizontal-relative:page;mso-position-vertical-relative:paragraph;z-index:-25205248" id="docshape53" coordorigin="2649,154" coordsize="187,70" path="m2773,154l2769,165,2812,183,2649,183,2649,195,2812,195,2769,213,2773,224,2836,197,2836,181,2773,154xe" filled="true" fillcolor="#231f20" stroked="false">
            <v:path arrowok="t"/>
            <v:fill type="solid"/>
            <w10:wrap type="none"/>
          </v:shape>
        </w:pict>
      </w:r>
      <w:r>
        <w:rPr/>
        <w:pict>
          <v:shape style="position:absolute;margin-left:197.980148pt;margin-top:7.724815pt;width:9.35pt;height:3.5pt;mso-position-horizontal-relative:page;mso-position-vertical-relative:paragraph;z-index:-25204736" id="docshape54" coordorigin="3960,154" coordsize="187,70" path="m4084,154l4079,165,4123,183,3960,183,3960,195,4123,195,4079,213,4084,224,4146,197,4146,181,4084,154xe" filled="true" fillcolor="#231f20" stroked="false">
            <v:path arrowok="t"/>
            <v:fill type="solid"/>
            <w10:wrap type="none"/>
          </v:shape>
        </w:pict>
      </w:r>
      <w:r>
        <w:rPr>
          <w:color w:val="231F20"/>
          <w:w w:val="105"/>
        </w:rPr>
        <w:t>Marketing</w:t>
      </w:r>
      <w:r>
        <w:rPr>
          <w:color w:val="231F20"/>
          <w:spacing w:val="4"/>
          <w:w w:val="105"/>
        </w:rPr>
        <w:t> </w:t>
      </w:r>
      <w:r>
        <w:rPr>
          <w:color w:val="231F20"/>
          <w:spacing w:val="-5"/>
          <w:w w:val="105"/>
        </w:rPr>
        <w:t>Mix</w:t>
      </w:r>
      <w:r>
        <w:rPr>
          <w:color w:val="231F20"/>
        </w:rPr>
        <w:tab/>
      </w:r>
      <w:r>
        <w:rPr>
          <w:color w:val="231F20"/>
          <w:spacing w:val="-2"/>
          <w:w w:val="105"/>
        </w:rPr>
        <w:t>Economics</w:t>
      </w:r>
      <w:r>
        <w:rPr>
          <w:color w:val="231F20"/>
        </w:rPr>
        <w:tab/>
      </w:r>
      <w:r>
        <w:rPr>
          <w:color w:val="231F20"/>
          <w:spacing w:val="-2"/>
          <w:w w:val="105"/>
        </w:rPr>
        <w:t>Revise</w:t>
      </w:r>
    </w:p>
    <w:p>
      <w:pPr>
        <w:pStyle w:val="BodyText"/>
        <w:spacing w:before="2"/>
        <w:rPr>
          <w:sz w:val="30"/>
        </w:rPr>
      </w:pPr>
    </w:p>
    <w:p>
      <w:pPr>
        <w:pStyle w:val="BodyText"/>
        <w:spacing w:line="292" w:lineRule="auto"/>
        <w:ind w:left="829" w:right="753" w:firstLine="340"/>
        <w:jc w:val="both"/>
      </w:pPr>
      <w:r>
        <w:rPr>
          <w:color w:val="231F20"/>
        </w:rPr>
        <w:t>Marketers speak of the avenues to the consumer as the </w:t>
      </w:r>
      <w:r>
        <w:rPr>
          <w:i/>
          <w:color w:val="231F20"/>
        </w:rPr>
        <w:t>channels</w:t>
      </w:r>
      <w:r>
        <w:rPr>
          <w:i/>
          <w:color w:val="231F20"/>
        </w:rPr>
        <w:t> of distribution. </w:t>
      </w:r>
      <w:r>
        <w:rPr>
          <w:color w:val="231F20"/>
        </w:rPr>
        <w:t>There are often many ways of reaching your cus- tomers, as described with dog food sales. Distribution channel analysis is critical, because the choice of channel influences the </w:t>
      </w:r>
      <w:r>
        <w:rPr>
          <w:color w:val="231F20"/>
        </w:rPr>
        <w:t>price you can charge, and, consequently, the profit margins that you may enjoy. Three questions should be asked to provide you with a basis for your distribution decision:</w:t>
      </w:r>
    </w:p>
    <w:p>
      <w:pPr>
        <w:spacing w:after="0" w:line="292" w:lineRule="auto"/>
        <w:jc w:val="both"/>
        <w:sectPr>
          <w:pgSz w:w="8640" w:h="12960"/>
          <w:pgMar w:header="732" w:footer="0" w:top="920" w:bottom="280" w:left="340" w:right="500"/>
        </w:sectPr>
      </w:pPr>
    </w:p>
    <w:p>
      <w:pPr>
        <w:pStyle w:val="BodyText"/>
        <w:spacing w:before="2"/>
        <w:rPr>
          <w:sz w:val="19"/>
        </w:rPr>
      </w:pPr>
    </w:p>
    <w:p>
      <w:pPr>
        <w:spacing w:before="97"/>
        <w:ind w:left="1260" w:right="0" w:firstLine="0"/>
        <w:jc w:val="left"/>
        <w:rPr>
          <w:rFonts w:ascii="Arial"/>
          <w:sz w:val="19"/>
        </w:rPr>
      </w:pPr>
      <w:r>
        <w:rPr>
          <w:rFonts w:ascii="Arial"/>
          <w:color w:val="231F20"/>
          <w:w w:val="115"/>
          <w:sz w:val="19"/>
        </w:rPr>
        <w:t>How</w:t>
      </w:r>
      <w:r>
        <w:rPr>
          <w:rFonts w:ascii="Arial"/>
          <w:color w:val="231F20"/>
          <w:spacing w:val="-4"/>
          <w:w w:val="115"/>
          <w:sz w:val="19"/>
        </w:rPr>
        <w:t> </w:t>
      </w:r>
      <w:r>
        <w:rPr>
          <w:rFonts w:ascii="Arial"/>
          <w:color w:val="231F20"/>
          <w:w w:val="115"/>
          <w:sz w:val="19"/>
        </w:rPr>
        <w:t>can</w:t>
      </w:r>
      <w:r>
        <w:rPr>
          <w:rFonts w:ascii="Arial"/>
          <w:color w:val="231F20"/>
          <w:spacing w:val="-3"/>
          <w:w w:val="115"/>
          <w:sz w:val="19"/>
        </w:rPr>
        <w:t> </w:t>
      </w:r>
      <w:r>
        <w:rPr>
          <w:rFonts w:ascii="Arial"/>
          <w:color w:val="231F20"/>
          <w:w w:val="115"/>
          <w:sz w:val="19"/>
        </w:rPr>
        <w:t>my</w:t>
      </w:r>
      <w:r>
        <w:rPr>
          <w:rFonts w:ascii="Arial"/>
          <w:color w:val="231F20"/>
          <w:spacing w:val="-3"/>
          <w:w w:val="115"/>
          <w:sz w:val="19"/>
        </w:rPr>
        <w:t> </w:t>
      </w:r>
      <w:r>
        <w:rPr>
          <w:rFonts w:ascii="Arial"/>
          <w:color w:val="231F20"/>
          <w:w w:val="115"/>
          <w:sz w:val="19"/>
        </w:rPr>
        <w:t>product</w:t>
      </w:r>
      <w:r>
        <w:rPr>
          <w:rFonts w:ascii="Arial"/>
          <w:color w:val="231F20"/>
          <w:spacing w:val="-4"/>
          <w:w w:val="115"/>
          <w:sz w:val="19"/>
        </w:rPr>
        <w:t> </w:t>
      </w:r>
      <w:r>
        <w:rPr>
          <w:rFonts w:ascii="Arial"/>
          <w:color w:val="231F20"/>
          <w:w w:val="115"/>
          <w:sz w:val="19"/>
        </w:rPr>
        <w:t>reach</w:t>
      </w:r>
      <w:r>
        <w:rPr>
          <w:rFonts w:ascii="Arial"/>
          <w:color w:val="231F20"/>
          <w:spacing w:val="-3"/>
          <w:w w:val="115"/>
          <w:sz w:val="19"/>
        </w:rPr>
        <w:t> </w:t>
      </w:r>
      <w:r>
        <w:rPr>
          <w:rFonts w:ascii="Arial"/>
          <w:color w:val="231F20"/>
          <w:w w:val="115"/>
          <w:sz w:val="19"/>
        </w:rPr>
        <w:t>the</w:t>
      </w:r>
      <w:r>
        <w:rPr>
          <w:rFonts w:ascii="Arial"/>
          <w:color w:val="231F20"/>
          <w:spacing w:val="-3"/>
          <w:w w:val="115"/>
          <w:sz w:val="19"/>
        </w:rPr>
        <w:t> </w:t>
      </w:r>
      <w:r>
        <w:rPr>
          <w:rFonts w:ascii="Arial"/>
          <w:color w:val="231F20"/>
          <w:spacing w:val="-2"/>
          <w:w w:val="115"/>
          <w:sz w:val="19"/>
        </w:rPr>
        <w:t>consumer?</w:t>
      </w:r>
    </w:p>
    <w:p>
      <w:pPr>
        <w:spacing w:line="328" w:lineRule="auto" w:before="82"/>
        <w:ind w:left="1600" w:right="1262" w:hanging="340"/>
        <w:jc w:val="left"/>
        <w:rPr>
          <w:rFonts w:ascii="Arial"/>
          <w:sz w:val="19"/>
        </w:rPr>
      </w:pPr>
      <w:r>
        <w:rPr>
          <w:rFonts w:ascii="Arial"/>
          <w:color w:val="231F20"/>
          <w:w w:val="115"/>
          <w:sz w:val="19"/>
        </w:rPr>
        <w:t>How</w:t>
      </w:r>
      <w:r>
        <w:rPr>
          <w:rFonts w:ascii="Arial"/>
          <w:color w:val="231F20"/>
          <w:spacing w:val="-9"/>
          <w:w w:val="115"/>
          <w:sz w:val="19"/>
        </w:rPr>
        <w:t> </w:t>
      </w:r>
      <w:r>
        <w:rPr>
          <w:rFonts w:ascii="Arial"/>
          <w:color w:val="231F20"/>
          <w:w w:val="115"/>
          <w:sz w:val="19"/>
        </w:rPr>
        <w:t>much</w:t>
      </w:r>
      <w:r>
        <w:rPr>
          <w:rFonts w:ascii="Arial"/>
          <w:color w:val="231F20"/>
          <w:spacing w:val="-9"/>
          <w:w w:val="115"/>
          <w:sz w:val="19"/>
        </w:rPr>
        <w:t> </w:t>
      </w:r>
      <w:r>
        <w:rPr>
          <w:rFonts w:ascii="Arial"/>
          <w:color w:val="231F20"/>
          <w:w w:val="115"/>
          <w:sz w:val="19"/>
        </w:rPr>
        <w:t>do</w:t>
      </w:r>
      <w:r>
        <w:rPr>
          <w:rFonts w:ascii="Arial"/>
          <w:color w:val="231F20"/>
          <w:spacing w:val="-9"/>
          <w:w w:val="115"/>
          <w:sz w:val="19"/>
        </w:rPr>
        <w:t> </w:t>
      </w:r>
      <w:r>
        <w:rPr>
          <w:rFonts w:ascii="Arial"/>
          <w:color w:val="231F20"/>
          <w:w w:val="115"/>
          <w:sz w:val="19"/>
        </w:rPr>
        <w:t>the</w:t>
      </w:r>
      <w:r>
        <w:rPr>
          <w:rFonts w:ascii="Arial"/>
          <w:color w:val="231F20"/>
          <w:spacing w:val="-9"/>
          <w:w w:val="115"/>
          <w:sz w:val="19"/>
        </w:rPr>
        <w:t> </w:t>
      </w:r>
      <w:r>
        <w:rPr>
          <w:rFonts w:ascii="Arial"/>
          <w:color w:val="231F20"/>
          <w:w w:val="115"/>
          <w:sz w:val="19"/>
        </w:rPr>
        <w:t>players</w:t>
      </w:r>
      <w:r>
        <w:rPr>
          <w:rFonts w:ascii="Arial"/>
          <w:color w:val="231F20"/>
          <w:spacing w:val="-9"/>
          <w:w w:val="115"/>
          <w:sz w:val="19"/>
        </w:rPr>
        <w:t> </w:t>
      </w:r>
      <w:r>
        <w:rPr>
          <w:rFonts w:ascii="Arial"/>
          <w:color w:val="231F20"/>
          <w:w w:val="115"/>
          <w:sz w:val="19"/>
        </w:rPr>
        <w:t>in</w:t>
      </w:r>
      <w:r>
        <w:rPr>
          <w:rFonts w:ascii="Arial"/>
          <w:color w:val="231F20"/>
          <w:spacing w:val="-9"/>
          <w:w w:val="115"/>
          <w:sz w:val="19"/>
        </w:rPr>
        <w:t> </w:t>
      </w:r>
      <w:r>
        <w:rPr>
          <w:rFonts w:ascii="Arial"/>
          <w:color w:val="231F20"/>
          <w:w w:val="115"/>
          <w:sz w:val="19"/>
        </w:rPr>
        <w:t>each</w:t>
      </w:r>
      <w:r>
        <w:rPr>
          <w:rFonts w:ascii="Arial"/>
          <w:color w:val="231F20"/>
          <w:spacing w:val="-9"/>
          <w:w w:val="115"/>
          <w:sz w:val="19"/>
        </w:rPr>
        <w:t> </w:t>
      </w:r>
      <w:r>
        <w:rPr>
          <w:rFonts w:ascii="Arial"/>
          <w:color w:val="231F20"/>
          <w:w w:val="115"/>
          <w:sz w:val="19"/>
        </w:rPr>
        <w:t>distribution</w:t>
      </w:r>
      <w:r>
        <w:rPr>
          <w:rFonts w:ascii="Arial"/>
          <w:color w:val="231F20"/>
          <w:spacing w:val="-9"/>
          <w:w w:val="115"/>
          <w:sz w:val="19"/>
        </w:rPr>
        <w:t> </w:t>
      </w:r>
      <w:r>
        <w:rPr>
          <w:rFonts w:ascii="Arial"/>
          <w:color w:val="231F20"/>
          <w:w w:val="115"/>
          <w:sz w:val="19"/>
        </w:rPr>
        <w:t>channel </w:t>
      </w:r>
      <w:r>
        <w:rPr>
          <w:rFonts w:ascii="Arial"/>
          <w:color w:val="231F20"/>
          <w:spacing w:val="-2"/>
          <w:w w:val="115"/>
          <w:sz w:val="19"/>
        </w:rPr>
        <w:t>profit?</w:t>
      </w:r>
    </w:p>
    <w:p>
      <w:pPr>
        <w:spacing w:before="1"/>
        <w:ind w:left="1260" w:right="0" w:firstLine="0"/>
        <w:jc w:val="left"/>
        <w:rPr>
          <w:rFonts w:ascii="Arial"/>
          <w:sz w:val="19"/>
        </w:rPr>
      </w:pPr>
      <w:r>
        <w:rPr>
          <w:rFonts w:ascii="Arial"/>
          <w:color w:val="231F20"/>
          <w:w w:val="115"/>
          <w:sz w:val="19"/>
        </w:rPr>
        <w:t>Who</w:t>
      </w:r>
      <w:r>
        <w:rPr>
          <w:rFonts w:ascii="Arial"/>
          <w:color w:val="231F20"/>
          <w:spacing w:val="-3"/>
          <w:w w:val="115"/>
          <w:sz w:val="19"/>
        </w:rPr>
        <w:t> </w:t>
      </w:r>
      <w:r>
        <w:rPr>
          <w:rFonts w:ascii="Arial"/>
          <w:color w:val="231F20"/>
          <w:w w:val="115"/>
          <w:sz w:val="19"/>
        </w:rPr>
        <w:t>holds</w:t>
      </w:r>
      <w:r>
        <w:rPr>
          <w:rFonts w:ascii="Arial"/>
          <w:color w:val="231F20"/>
          <w:spacing w:val="-2"/>
          <w:w w:val="115"/>
          <w:sz w:val="19"/>
        </w:rPr>
        <w:t> </w:t>
      </w:r>
      <w:r>
        <w:rPr>
          <w:rFonts w:ascii="Arial"/>
          <w:color w:val="231F20"/>
          <w:w w:val="115"/>
          <w:sz w:val="19"/>
        </w:rPr>
        <w:t>the</w:t>
      </w:r>
      <w:r>
        <w:rPr>
          <w:rFonts w:ascii="Arial"/>
          <w:color w:val="231F20"/>
          <w:spacing w:val="-3"/>
          <w:w w:val="115"/>
          <w:sz w:val="19"/>
        </w:rPr>
        <w:t> </w:t>
      </w:r>
      <w:r>
        <w:rPr>
          <w:rFonts w:ascii="Arial"/>
          <w:color w:val="231F20"/>
          <w:w w:val="115"/>
          <w:sz w:val="19"/>
        </w:rPr>
        <w:t>power</w:t>
      </w:r>
      <w:r>
        <w:rPr>
          <w:rFonts w:ascii="Arial"/>
          <w:color w:val="231F20"/>
          <w:spacing w:val="-2"/>
          <w:w w:val="115"/>
          <w:sz w:val="19"/>
        </w:rPr>
        <w:t> </w:t>
      </w:r>
      <w:r>
        <w:rPr>
          <w:rFonts w:ascii="Arial"/>
          <w:color w:val="231F20"/>
          <w:w w:val="115"/>
          <w:sz w:val="19"/>
        </w:rPr>
        <w:t>in</w:t>
      </w:r>
      <w:r>
        <w:rPr>
          <w:rFonts w:ascii="Arial"/>
          <w:color w:val="231F20"/>
          <w:spacing w:val="-3"/>
          <w:w w:val="115"/>
          <w:sz w:val="19"/>
        </w:rPr>
        <w:t> </w:t>
      </w:r>
      <w:r>
        <w:rPr>
          <w:rFonts w:ascii="Arial"/>
          <w:color w:val="231F20"/>
          <w:w w:val="115"/>
          <w:sz w:val="19"/>
        </w:rPr>
        <w:t>each</w:t>
      </w:r>
      <w:r>
        <w:rPr>
          <w:rFonts w:ascii="Arial"/>
          <w:color w:val="231F20"/>
          <w:spacing w:val="-2"/>
          <w:w w:val="115"/>
          <w:sz w:val="19"/>
        </w:rPr>
        <w:t> </w:t>
      </w:r>
      <w:r>
        <w:rPr>
          <w:rFonts w:ascii="Arial"/>
          <w:color w:val="231F20"/>
          <w:w w:val="115"/>
          <w:sz w:val="19"/>
        </w:rPr>
        <w:t>distribution</w:t>
      </w:r>
      <w:r>
        <w:rPr>
          <w:rFonts w:ascii="Arial"/>
          <w:color w:val="231F20"/>
          <w:spacing w:val="-3"/>
          <w:w w:val="115"/>
          <w:sz w:val="19"/>
        </w:rPr>
        <w:t> </w:t>
      </w:r>
      <w:r>
        <w:rPr>
          <w:rFonts w:ascii="Arial"/>
          <w:color w:val="231F20"/>
          <w:w w:val="115"/>
          <w:sz w:val="19"/>
        </w:rPr>
        <w:t>channel</w:t>
      </w:r>
      <w:r>
        <w:rPr>
          <w:rFonts w:ascii="Arial"/>
          <w:color w:val="231F20"/>
          <w:spacing w:val="-2"/>
          <w:w w:val="115"/>
          <w:sz w:val="19"/>
        </w:rPr>
        <w:t> available?</w:t>
      </w:r>
    </w:p>
    <w:p>
      <w:pPr>
        <w:pStyle w:val="BodyText"/>
        <w:rPr>
          <w:rFonts w:ascii="Arial"/>
          <w:sz w:val="20"/>
        </w:rPr>
      </w:pPr>
    </w:p>
    <w:p>
      <w:pPr>
        <w:spacing w:before="151"/>
        <w:ind w:left="1260" w:right="0" w:firstLine="0"/>
        <w:jc w:val="left"/>
        <w:rPr>
          <w:rFonts w:ascii="Arial"/>
          <w:i/>
          <w:sz w:val="19"/>
        </w:rPr>
      </w:pPr>
      <w:r>
        <w:rPr>
          <w:rFonts w:ascii="Arial"/>
          <w:i/>
          <w:color w:val="231F20"/>
          <w:w w:val="115"/>
          <w:sz w:val="19"/>
        </w:rPr>
        <w:t>How</w:t>
      </w:r>
      <w:r>
        <w:rPr>
          <w:rFonts w:ascii="Arial"/>
          <w:i/>
          <w:color w:val="231F20"/>
          <w:spacing w:val="-4"/>
          <w:w w:val="115"/>
          <w:sz w:val="19"/>
        </w:rPr>
        <w:t> </w:t>
      </w:r>
      <w:r>
        <w:rPr>
          <w:rFonts w:ascii="Arial"/>
          <w:i/>
          <w:color w:val="231F20"/>
          <w:w w:val="115"/>
          <w:sz w:val="19"/>
        </w:rPr>
        <w:t>can</w:t>
      </w:r>
      <w:r>
        <w:rPr>
          <w:rFonts w:ascii="Arial"/>
          <w:i/>
          <w:color w:val="231F20"/>
          <w:spacing w:val="-4"/>
          <w:w w:val="115"/>
          <w:sz w:val="19"/>
        </w:rPr>
        <w:t> </w:t>
      </w:r>
      <w:r>
        <w:rPr>
          <w:rFonts w:ascii="Arial"/>
          <w:i/>
          <w:color w:val="231F20"/>
          <w:w w:val="115"/>
          <w:sz w:val="19"/>
        </w:rPr>
        <w:t>my</w:t>
      </w:r>
      <w:r>
        <w:rPr>
          <w:rFonts w:ascii="Arial"/>
          <w:i/>
          <w:color w:val="231F20"/>
          <w:spacing w:val="-3"/>
          <w:w w:val="115"/>
          <w:sz w:val="19"/>
        </w:rPr>
        <w:t> </w:t>
      </w:r>
      <w:r>
        <w:rPr>
          <w:rFonts w:ascii="Arial"/>
          <w:i/>
          <w:color w:val="231F20"/>
          <w:w w:val="115"/>
          <w:sz w:val="19"/>
        </w:rPr>
        <w:t>product</w:t>
      </w:r>
      <w:r>
        <w:rPr>
          <w:rFonts w:ascii="Arial"/>
          <w:i/>
          <w:color w:val="231F20"/>
          <w:spacing w:val="-4"/>
          <w:w w:val="115"/>
          <w:sz w:val="19"/>
        </w:rPr>
        <w:t> </w:t>
      </w:r>
      <w:r>
        <w:rPr>
          <w:rFonts w:ascii="Arial"/>
          <w:i/>
          <w:color w:val="231F20"/>
          <w:w w:val="115"/>
          <w:sz w:val="19"/>
        </w:rPr>
        <w:t>reach</w:t>
      </w:r>
      <w:r>
        <w:rPr>
          <w:rFonts w:ascii="Arial"/>
          <w:i/>
          <w:color w:val="231F20"/>
          <w:spacing w:val="-4"/>
          <w:w w:val="115"/>
          <w:sz w:val="19"/>
        </w:rPr>
        <w:t> </w:t>
      </w:r>
      <w:r>
        <w:rPr>
          <w:rFonts w:ascii="Arial"/>
          <w:i/>
          <w:color w:val="231F20"/>
          <w:w w:val="115"/>
          <w:sz w:val="19"/>
        </w:rPr>
        <w:t>the</w:t>
      </w:r>
      <w:r>
        <w:rPr>
          <w:rFonts w:ascii="Arial"/>
          <w:i/>
          <w:color w:val="231F20"/>
          <w:spacing w:val="-3"/>
          <w:w w:val="115"/>
          <w:sz w:val="19"/>
        </w:rPr>
        <w:t> </w:t>
      </w:r>
      <w:r>
        <w:rPr>
          <w:rFonts w:ascii="Arial"/>
          <w:i/>
          <w:color w:val="231F20"/>
          <w:spacing w:val="-2"/>
          <w:w w:val="115"/>
          <w:sz w:val="19"/>
        </w:rPr>
        <w:t>consumer?</w:t>
      </w:r>
    </w:p>
    <w:p>
      <w:pPr>
        <w:pStyle w:val="BodyText"/>
        <w:spacing w:line="292" w:lineRule="auto" w:before="61"/>
        <w:ind w:left="920" w:right="666" w:firstLine="340"/>
        <w:jc w:val="both"/>
      </w:pPr>
      <w:r>
        <w:rPr>
          <w:color w:val="231F20"/>
        </w:rPr>
        <w:t>In the case of many mail-order catalogs, there is a direct link </w:t>
      </w:r>
      <w:r>
        <w:rPr>
          <w:color w:val="231F20"/>
        </w:rPr>
        <w:t>be- tween the marketer and the final consumer. A catalog manufacturer of clothing has a direct pulse on sales, returns, pricing, and con- sumer tastes. As manufacturers of grocery items, brand managers</w:t>
      </w:r>
      <w:r>
        <w:rPr>
          <w:color w:val="231F20"/>
          <w:spacing w:val="40"/>
        </w:rPr>
        <w:t> </w:t>
      </w:r>
      <w:r>
        <w:rPr>
          <w:color w:val="231F20"/>
        </w:rPr>
        <w:t>are distanced from the buyer. Cereal, for instance, must go through wholesalers and retailers before reaching the consumer. Those mid- dlemen are called </w:t>
      </w:r>
      <w:r>
        <w:rPr>
          <w:i/>
          <w:color w:val="231F20"/>
        </w:rPr>
        <w:t>channel intermediaries. </w:t>
      </w:r>
      <w:r>
        <w:rPr>
          <w:color w:val="231F20"/>
        </w:rPr>
        <w:t>As a strategist, the market- ing manager must outline all the paths to the consumer to develop a </w:t>
      </w:r>
      <w:r>
        <w:rPr>
          <w:color w:val="231F20"/>
          <w:spacing w:val="-2"/>
        </w:rPr>
        <w:t>plan.</w:t>
      </w:r>
    </w:p>
    <w:p>
      <w:pPr>
        <w:pStyle w:val="BodyText"/>
        <w:spacing w:line="243" w:lineRule="exact"/>
        <w:ind w:left="1260"/>
        <w:jc w:val="both"/>
      </w:pPr>
      <w:r>
        <w:rPr>
          <w:color w:val="231F20"/>
        </w:rPr>
        <w:t>Commonly</w:t>
      </w:r>
      <w:r>
        <w:rPr>
          <w:color w:val="231F20"/>
          <w:spacing w:val="6"/>
        </w:rPr>
        <w:t> </w:t>
      </w:r>
      <w:r>
        <w:rPr>
          <w:color w:val="231F20"/>
        </w:rPr>
        <w:t>used</w:t>
      </w:r>
      <w:r>
        <w:rPr>
          <w:color w:val="231F20"/>
          <w:spacing w:val="6"/>
        </w:rPr>
        <w:t> </w:t>
      </w:r>
      <w:r>
        <w:rPr>
          <w:color w:val="231F20"/>
        </w:rPr>
        <w:t>channel</w:t>
      </w:r>
      <w:r>
        <w:rPr>
          <w:color w:val="231F20"/>
          <w:spacing w:val="7"/>
        </w:rPr>
        <w:t> </w:t>
      </w:r>
      <w:r>
        <w:rPr>
          <w:color w:val="231F20"/>
        </w:rPr>
        <w:t>intermediaries</w:t>
      </w:r>
      <w:r>
        <w:rPr>
          <w:color w:val="231F20"/>
          <w:spacing w:val="6"/>
        </w:rPr>
        <w:t> </w:t>
      </w:r>
      <w:r>
        <w:rPr>
          <w:color w:val="231F20"/>
        </w:rPr>
        <w:t>to</w:t>
      </w:r>
      <w:r>
        <w:rPr>
          <w:color w:val="231F20"/>
          <w:spacing w:val="7"/>
        </w:rPr>
        <w:t> </w:t>
      </w:r>
      <w:r>
        <w:rPr>
          <w:color w:val="231F20"/>
        </w:rPr>
        <w:t>the</w:t>
      </w:r>
      <w:r>
        <w:rPr>
          <w:color w:val="231F20"/>
          <w:spacing w:val="6"/>
        </w:rPr>
        <w:t> </w:t>
      </w:r>
      <w:r>
        <w:rPr>
          <w:color w:val="231F20"/>
        </w:rPr>
        <w:t>consumer</w:t>
      </w:r>
      <w:r>
        <w:rPr>
          <w:color w:val="231F20"/>
          <w:spacing w:val="7"/>
        </w:rPr>
        <w:t> </w:t>
      </w:r>
      <w:r>
        <w:rPr>
          <w:color w:val="231F20"/>
          <w:spacing w:val="-4"/>
        </w:rPr>
        <w:t>are:</w:t>
      </w:r>
    </w:p>
    <w:p>
      <w:pPr>
        <w:pStyle w:val="BodyText"/>
        <w:spacing w:before="11"/>
        <w:rPr>
          <w:sz w:val="31"/>
        </w:rPr>
      </w:pPr>
    </w:p>
    <w:p>
      <w:pPr>
        <w:pStyle w:val="ListParagraph"/>
        <w:numPr>
          <w:ilvl w:val="1"/>
          <w:numId w:val="13"/>
        </w:numPr>
        <w:tabs>
          <w:tab w:pos="1446" w:val="left" w:leader="none"/>
        </w:tabs>
        <w:spacing w:line="240" w:lineRule="auto" w:before="0" w:after="0"/>
        <w:ind w:left="1445" w:right="0" w:hanging="186"/>
        <w:jc w:val="left"/>
        <w:rPr>
          <w:sz w:val="19"/>
        </w:rPr>
      </w:pPr>
      <w:r>
        <w:rPr>
          <w:color w:val="231F20"/>
          <w:spacing w:val="-2"/>
          <w:w w:val="110"/>
          <w:sz w:val="19"/>
        </w:rPr>
        <w:t>Wholesalers</w:t>
      </w:r>
    </w:p>
    <w:p>
      <w:pPr>
        <w:pStyle w:val="ListParagraph"/>
        <w:numPr>
          <w:ilvl w:val="1"/>
          <w:numId w:val="13"/>
        </w:numPr>
        <w:tabs>
          <w:tab w:pos="1446" w:val="left" w:leader="none"/>
        </w:tabs>
        <w:spacing w:line="240" w:lineRule="auto" w:before="82" w:after="0"/>
        <w:ind w:left="1445" w:right="0" w:hanging="186"/>
        <w:jc w:val="left"/>
        <w:rPr>
          <w:sz w:val="19"/>
        </w:rPr>
      </w:pPr>
      <w:r>
        <w:rPr>
          <w:color w:val="231F20"/>
          <w:spacing w:val="-2"/>
          <w:w w:val="120"/>
          <w:sz w:val="19"/>
        </w:rPr>
        <w:t>Distributors</w:t>
      </w:r>
    </w:p>
    <w:p>
      <w:pPr>
        <w:pStyle w:val="ListParagraph"/>
        <w:numPr>
          <w:ilvl w:val="1"/>
          <w:numId w:val="13"/>
        </w:numPr>
        <w:tabs>
          <w:tab w:pos="1446" w:val="left" w:leader="none"/>
        </w:tabs>
        <w:spacing w:line="240" w:lineRule="auto" w:before="81" w:after="0"/>
        <w:ind w:left="1445" w:right="0" w:hanging="186"/>
        <w:jc w:val="left"/>
        <w:rPr>
          <w:sz w:val="19"/>
        </w:rPr>
      </w:pPr>
      <w:r>
        <w:rPr>
          <w:color w:val="231F20"/>
          <w:w w:val="105"/>
          <w:sz w:val="19"/>
        </w:rPr>
        <w:t>Sales</w:t>
      </w:r>
      <w:r>
        <w:rPr>
          <w:color w:val="231F20"/>
          <w:spacing w:val="-13"/>
          <w:w w:val="105"/>
          <w:sz w:val="19"/>
        </w:rPr>
        <w:t> </w:t>
      </w:r>
      <w:r>
        <w:rPr>
          <w:color w:val="231F20"/>
          <w:spacing w:val="-2"/>
          <w:w w:val="110"/>
          <w:sz w:val="19"/>
        </w:rPr>
        <w:t>Representatives</w:t>
      </w:r>
    </w:p>
    <w:p>
      <w:pPr>
        <w:pStyle w:val="ListParagraph"/>
        <w:numPr>
          <w:ilvl w:val="1"/>
          <w:numId w:val="13"/>
        </w:numPr>
        <w:tabs>
          <w:tab w:pos="1446" w:val="left" w:leader="none"/>
        </w:tabs>
        <w:spacing w:line="240" w:lineRule="auto" w:before="82" w:after="0"/>
        <w:ind w:left="1445" w:right="0" w:hanging="186"/>
        <w:jc w:val="left"/>
        <w:rPr>
          <w:sz w:val="19"/>
        </w:rPr>
      </w:pPr>
      <w:r>
        <w:rPr>
          <w:color w:val="231F20"/>
          <w:w w:val="105"/>
          <w:sz w:val="19"/>
        </w:rPr>
        <w:t>Sales</w:t>
      </w:r>
      <w:r>
        <w:rPr>
          <w:color w:val="231F20"/>
          <w:spacing w:val="-13"/>
          <w:w w:val="105"/>
          <w:sz w:val="19"/>
        </w:rPr>
        <w:t> </w:t>
      </w:r>
      <w:r>
        <w:rPr>
          <w:color w:val="231F20"/>
          <w:spacing w:val="-2"/>
          <w:w w:val="110"/>
          <w:sz w:val="19"/>
        </w:rPr>
        <w:t>Forces</w:t>
      </w:r>
    </w:p>
    <w:p>
      <w:pPr>
        <w:pStyle w:val="ListParagraph"/>
        <w:numPr>
          <w:ilvl w:val="1"/>
          <w:numId w:val="13"/>
        </w:numPr>
        <w:tabs>
          <w:tab w:pos="1446" w:val="left" w:leader="none"/>
        </w:tabs>
        <w:spacing w:line="240" w:lineRule="auto" w:before="81" w:after="0"/>
        <w:ind w:left="1445" w:right="0" w:hanging="186"/>
        <w:jc w:val="left"/>
        <w:rPr>
          <w:sz w:val="19"/>
        </w:rPr>
      </w:pPr>
      <w:r>
        <w:rPr>
          <w:color w:val="231F20"/>
          <w:spacing w:val="-2"/>
          <w:w w:val="110"/>
          <w:sz w:val="19"/>
        </w:rPr>
        <w:t>Retailers</w:t>
      </w:r>
    </w:p>
    <w:p>
      <w:pPr>
        <w:pStyle w:val="BodyText"/>
        <w:rPr>
          <w:rFonts w:ascii="Arial"/>
          <w:sz w:val="20"/>
        </w:rPr>
      </w:pPr>
    </w:p>
    <w:p>
      <w:pPr>
        <w:pStyle w:val="BodyText"/>
        <w:rPr>
          <w:rFonts w:ascii="Arial"/>
          <w:sz w:val="20"/>
        </w:rPr>
      </w:pPr>
    </w:p>
    <w:p>
      <w:pPr>
        <w:pStyle w:val="BodyText"/>
        <w:spacing w:before="3"/>
        <w:rPr>
          <w:rFonts w:ascii="Arial"/>
          <w:sz w:val="19"/>
        </w:rPr>
      </w:pPr>
    </w:p>
    <w:p>
      <w:pPr>
        <w:spacing w:before="0"/>
        <w:ind w:left="1260" w:right="0" w:firstLine="0"/>
        <w:jc w:val="left"/>
        <w:rPr>
          <w:rFonts w:ascii="Arial"/>
          <w:i/>
          <w:sz w:val="19"/>
        </w:rPr>
      </w:pPr>
      <w:r>
        <w:rPr>
          <w:rFonts w:ascii="Arial"/>
          <w:i/>
          <w:color w:val="231F20"/>
          <w:w w:val="115"/>
          <w:sz w:val="19"/>
        </w:rPr>
        <w:t>How</w:t>
      </w:r>
      <w:r>
        <w:rPr>
          <w:rFonts w:ascii="Arial"/>
          <w:i/>
          <w:color w:val="231F20"/>
          <w:spacing w:val="-9"/>
          <w:w w:val="115"/>
          <w:sz w:val="19"/>
        </w:rPr>
        <w:t> </w:t>
      </w:r>
      <w:r>
        <w:rPr>
          <w:rFonts w:ascii="Arial"/>
          <w:i/>
          <w:color w:val="231F20"/>
          <w:w w:val="115"/>
          <w:sz w:val="19"/>
        </w:rPr>
        <w:t>do</w:t>
      </w:r>
      <w:r>
        <w:rPr>
          <w:rFonts w:ascii="Arial"/>
          <w:i/>
          <w:color w:val="231F20"/>
          <w:spacing w:val="-8"/>
          <w:w w:val="115"/>
          <w:sz w:val="19"/>
        </w:rPr>
        <w:t> </w:t>
      </w:r>
      <w:r>
        <w:rPr>
          <w:rFonts w:ascii="Arial"/>
          <w:i/>
          <w:color w:val="231F20"/>
          <w:w w:val="115"/>
          <w:sz w:val="19"/>
        </w:rPr>
        <w:t>the</w:t>
      </w:r>
      <w:r>
        <w:rPr>
          <w:rFonts w:ascii="Arial"/>
          <w:i/>
          <w:color w:val="231F20"/>
          <w:spacing w:val="-9"/>
          <w:w w:val="115"/>
          <w:sz w:val="19"/>
        </w:rPr>
        <w:t> </w:t>
      </w:r>
      <w:r>
        <w:rPr>
          <w:rFonts w:ascii="Arial"/>
          <w:i/>
          <w:color w:val="231F20"/>
          <w:w w:val="115"/>
          <w:sz w:val="19"/>
        </w:rPr>
        <w:t>players</w:t>
      </w:r>
      <w:r>
        <w:rPr>
          <w:rFonts w:ascii="Arial"/>
          <w:i/>
          <w:color w:val="231F20"/>
          <w:spacing w:val="-8"/>
          <w:w w:val="115"/>
          <w:sz w:val="19"/>
        </w:rPr>
        <w:t> </w:t>
      </w:r>
      <w:r>
        <w:rPr>
          <w:rFonts w:ascii="Arial"/>
          <w:i/>
          <w:color w:val="231F20"/>
          <w:w w:val="115"/>
          <w:sz w:val="19"/>
        </w:rPr>
        <w:t>in</w:t>
      </w:r>
      <w:r>
        <w:rPr>
          <w:rFonts w:ascii="Arial"/>
          <w:i/>
          <w:color w:val="231F20"/>
          <w:spacing w:val="-9"/>
          <w:w w:val="115"/>
          <w:sz w:val="19"/>
        </w:rPr>
        <w:t> </w:t>
      </w:r>
      <w:r>
        <w:rPr>
          <w:rFonts w:ascii="Arial"/>
          <w:i/>
          <w:color w:val="231F20"/>
          <w:w w:val="115"/>
          <w:sz w:val="19"/>
        </w:rPr>
        <w:t>each</w:t>
      </w:r>
      <w:r>
        <w:rPr>
          <w:rFonts w:ascii="Arial"/>
          <w:i/>
          <w:color w:val="231F20"/>
          <w:spacing w:val="-8"/>
          <w:w w:val="115"/>
          <w:sz w:val="19"/>
        </w:rPr>
        <w:t> </w:t>
      </w:r>
      <w:r>
        <w:rPr>
          <w:rFonts w:ascii="Arial"/>
          <w:i/>
          <w:color w:val="231F20"/>
          <w:w w:val="115"/>
          <w:sz w:val="19"/>
        </w:rPr>
        <w:t>distribution</w:t>
      </w:r>
      <w:r>
        <w:rPr>
          <w:rFonts w:ascii="Arial"/>
          <w:i/>
          <w:color w:val="231F20"/>
          <w:spacing w:val="-9"/>
          <w:w w:val="115"/>
          <w:sz w:val="19"/>
        </w:rPr>
        <w:t> </w:t>
      </w:r>
      <w:r>
        <w:rPr>
          <w:rFonts w:ascii="Arial"/>
          <w:i/>
          <w:color w:val="231F20"/>
          <w:w w:val="115"/>
          <w:sz w:val="19"/>
        </w:rPr>
        <w:t>channel</w:t>
      </w:r>
      <w:r>
        <w:rPr>
          <w:rFonts w:ascii="Arial"/>
          <w:i/>
          <w:color w:val="231F20"/>
          <w:spacing w:val="-8"/>
          <w:w w:val="115"/>
          <w:sz w:val="19"/>
        </w:rPr>
        <w:t> </w:t>
      </w:r>
      <w:r>
        <w:rPr>
          <w:rFonts w:ascii="Arial"/>
          <w:i/>
          <w:color w:val="231F20"/>
          <w:spacing w:val="-2"/>
          <w:w w:val="115"/>
          <w:sz w:val="19"/>
        </w:rPr>
        <w:t>profit?</w:t>
      </w:r>
    </w:p>
    <w:p>
      <w:pPr>
        <w:pStyle w:val="BodyText"/>
        <w:spacing w:line="292" w:lineRule="auto" w:before="61"/>
        <w:ind w:left="920" w:right="663" w:firstLine="340"/>
        <w:jc w:val="both"/>
      </w:pPr>
      <w:r>
        <w:rPr>
          <w:color w:val="231F20"/>
        </w:rPr>
        <w:t>As I mentioned, it is helpful to understand all the paths to the consumer in order to know all the possible ways to market your product. Take the time to draw them out on paper. A channel sketch can also give you the insight into the retail price that must be</w:t>
      </w:r>
      <w:r>
        <w:rPr>
          <w:color w:val="231F20"/>
          <w:spacing w:val="80"/>
        </w:rPr>
        <w:t> </w:t>
      </w:r>
      <w:r>
        <w:rPr>
          <w:color w:val="231F20"/>
        </w:rPr>
        <w:t>charged to make a profit.</w:t>
      </w:r>
    </w:p>
    <w:p>
      <w:pPr>
        <w:pStyle w:val="BodyText"/>
        <w:spacing w:line="292" w:lineRule="auto"/>
        <w:ind w:left="920" w:right="664" w:firstLine="340"/>
        <w:jc w:val="both"/>
      </w:pPr>
      <w:r>
        <w:rPr>
          <w:color w:val="231F20"/>
          <w:w w:val="105"/>
        </w:rPr>
        <w:t>Everyone</w:t>
      </w:r>
      <w:r>
        <w:rPr>
          <w:color w:val="231F20"/>
          <w:w w:val="105"/>
        </w:rPr>
        <w:t> who</w:t>
      </w:r>
      <w:r>
        <w:rPr>
          <w:color w:val="231F20"/>
          <w:w w:val="105"/>
        </w:rPr>
        <w:t> touches</w:t>
      </w:r>
      <w:r>
        <w:rPr>
          <w:color w:val="231F20"/>
          <w:w w:val="105"/>
        </w:rPr>
        <w:t> the</w:t>
      </w:r>
      <w:r>
        <w:rPr>
          <w:color w:val="231F20"/>
          <w:w w:val="105"/>
        </w:rPr>
        <w:t> merchandise</w:t>
      </w:r>
      <w:r>
        <w:rPr>
          <w:color w:val="231F20"/>
          <w:w w:val="105"/>
        </w:rPr>
        <w:t> takes</w:t>
      </w:r>
      <w:r>
        <w:rPr>
          <w:color w:val="231F20"/>
          <w:w w:val="105"/>
        </w:rPr>
        <w:t> a</w:t>
      </w:r>
      <w:r>
        <w:rPr>
          <w:color w:val="231F20"/>
          <w:w w:val="105"/>
        </w:rPr>
        <w:t> cut,</w:t>
      </w:r>
      <w:r>
        <w:rPr>
          <w:color w:val="231F20"/>
          <w:w w:val="105"/>
        </w:rPr>
        <w:t> which</w:t>
      </w:r>
      <w:r>
        <w:rPr>
          <w:color w:val="231F20"/>
          <w:w w:val="105"/>
        </w:rPr>
        <w:t> is </w:t>
      </w:r>
      <w:r>
        <w:rPr>
          <w:color w:val="231F20"/>
        </w:rPr>
        <w:t>called their </w:t>
      </w:r>
      <w:r>
        <w:rPr>
          <w:i/>
          <w:color w:val="231F20"/>
        </w:rPr>
        <w:t>margin. </w:t>
      </w:r>
      <w:r>
        <w:rPr>
          <w:color w:val="231F20"/>
        </w:rPr>
        <w:t>Participants in the distribution chain are said </w:t>
      </w:r>
      <w:r>
        <w:rPr>
          <w:color w:val="231F20"/>
        </w:rPr>
        <w:t>to </w:t>
      </w:r>
      <w:r>
        <w:rPr>
          <w:color w:val="231F20"/>
          <w:w w:val="105"/>
        </w:rPr>
        <w:t>“take</w:t>
      </w:r>
      <w:r>
        <w:rPr>
          <w:color w:val="231F20"/>
          <w:spacing w:val="-11"/>
          <w:w w:val="105"/>
        </w:rPr>
        <w:t> </w:t>
      </w:r>
      <w:r>
        <w:rPr>
          <w:color w:val="231F20"/>
          <w:w w:val="105"/>
        </w:rPr>
        <w:t>margin”</w:t>
      </w:r>
      <w:r>
        <w:rPr>
          <w:color w:val="231F20"/>
          <w:spacing w:val="-11"/>
          <w:w w:val="105"/>
        </w:rPr>
        <w:t> </w:t>
      </w:r>
      <w:r>
        <w:rPr>
          <w:color w:val="231F20"/>
          <w:w w:val="105"/>
        </w:rPr>
        <w:t>from</w:t>
      </w:r>
      <w:r>
        <w:rPr>
          <w:color w:val="231F20"/>
          <w:spacing w:val="-11"/>
          <w:w w:val="105"/>
        </w:rPr>
        <w:t> </w:t>
      </w:r>
      <w:r>
        <w:rPr>
          <w:color w:val="231F20"/>
          <w:w w:val="105"/>
        </w:rPr>
        <w:t>the</w:t>
      </w:r>
      <w:r>
        <w:rPr>
          <w:color w:val="231F20"/>
          <w:spacing w:val="-11"/>
          <w:w w:val="105"/>
        </w:rPr>
        <w:t> </w:t>
      </w:r>
      <w:r>
        <w:rPr>
          <w:color w:val="231F20"/>
          <w:w w:val="105"/>
        </w:rPr>
        <w:t>manufacturer.</w:t>
      </w:r>
      <w:r>
        <w:rPr>
          <w:color w:val="231F20"/>
          <w:spacing w:val="-11"/>
          <w:w w:val="105"/>
        </w:rPr>
        <w:t> </w:t>
      </w:r>
      <w:r>
        <w:rPr>
          <w:color w:val="231F20"/>
          <w:w w:val="105"/>
        </w:rPr>
        <w:t>As</w:t>
      </w:r>
      <w:r>
        <w:rPr>
          <w:color w:val="231F20"/>
          <w:spacing w:val="-11"/>
          <w:w w:val="105"/>
        </w:rPr>
        <w:t> </w:t>
      </w:r>
      <w:r>
        <w:rPr>
          <w:color w:val="231F20"/>
          <w:w w:val="105"/>
        </w:rPr>
        <w:t>a</w:t>
      </w:r>
      <w:r>
        <w:rPr>
          <w:color w:val="231F20"/>
          <w:spacing w:val="-11"/>
          <w:w w:val="105"/>
        </w:rPr>
        <w:t> </w:t>
      </w:r>
      <w:r>
        <w:rPr>
          <w:color w:val="231F20"/>
          <w:w w:val="105"/>
        </w:rPr>
        <w:t>manufacturer</w:t>
      </w:r>
      <w:r>
        <w:rPr>
          <w:color w:val="231F20"/>
          <w:spacing w:val="-11"/>
          <w:w w:val="105"/>
        </w:rPr>
        <w:t> </w:t>
      </w:r>
      <w:r>
        <w:rPr>
          <w:color w:val="231F20"/>
          <w:w w:val="105"/>
        </w:rPr>
        <w:t>of</w:t>
      </w:r>
      <w:r>
        <w:rPr>
          <w:color w:val="231F20"/>
          <w:spacing w:val="-11"/>
          <w:w w:val="105"/>
        </w:rPr>
        <w:t> </w:t>
      </w:r>
      <w:r>
        <w:rPr>
          <w:color w:val="231F20"/>
          <w:w w:val="105"/>
        </w:rPr>
        <w:t>a</w:t>
      </w:r>
      <w:r>
        <w:rPr>
          <w:color w:val="231F20"/>
          <w:spacing w:val="-11"/>
          <w:w w:val="105"/>
        </w:rPr>
        <w:t> </w:t>
      </w:r>
      <w:r>
        <w:rPr>
          <w:color w:val="231F20"/>
          <w:w w:val="105"/>
        </w:rPr>
        <w:t>prod- uct,</w:t>
      </w:r>
      <w:r>
        <w:rPr>
          <w:color w:val="231F20"/>
          <w:w w:val="105"/>
        </w:rPr>
        <w:t> you</w:t>
      </w:r>
      <w:r>
        <w:rPr>
          <w:color w:val="231F20"/>
          <w:w w:val="105"/>
        </w:rPr>
        <w:t> do</w:t>
      </w:r>
      <w:r>
        <w:rPr>
          <w:color w:val="231F20"/>
          <w:w w:val="105"/>
        </w:rPr>
        <w:t> not</w:t>
      </w:r>
      <w:r>
        <w:rPr>
          <w:color w:val="231F20"/>
          <w:w w:val="105"/>
        </w:rPr>
        <w:t> “give”</w:t>
      </w:r>
      <w:r>
        <w:rPr>
          <w:color w:val="231F20"/>
          <w:w w:val="105"/>
        </w:rPr>
        <w:t> the</w:t>
      </w:r>
      <w:r>
        <w:rPr>
          <w:color w:val="231F20"/>
          <w:w w:val="105"/>
        </w:rPr>
        <w:t> channel</w:t>
      </w:r>
      <w:r>
        <w:rPr>
          <w:color w:val="231F20"/>
          <w:w w:val="105"/>
        </w:rPr>
        <w:t> margin;</w:t>
      </w:r>
      <w:r>
        <w:rPr>
          <w:color w:val="231F20"/>
          <w:w w:val="105"/>
        </w:rPr>
        <w:t> there</w:t>
      </w:r>
      <w:r>
        <w:rPr>
          <w:color w:val="231F20"/>
          <w:w w:val="105"/>
        </w:rPr>
        <w:t> is</w:t>
      </w:r>
      <w:r>
        <w:rPr>
          <w:color w:val="231F20"/>
          <w:w w:val="105"/>
        </w:rPr>
        <w:t> no</w:t>
      </w:r>
      <w:r>
        <w:rPr>
          <w:color w:val="231F20"/>
          <w:w w:val="105"/>
        </w:rPr>
        <w:t> charity</w:t>
      </w:r>
      <w:r>
        <w:rPr>
          <w:color w:val="231F20"/>
          <w:w w:val="105"/>
        </w:rPr>
        <w:t> in- </w:t>
      </w:r>
      <w:r>
        <w:rPr>
          <w:color w:val="231F20"/>
        </w:rPr>
        <w:t>volved.</w:t>
      </w:r>
      <w:r>
        <w:rPr>
          <w:color w:val="231F20"/>
          <w:spacing w:val="9"/>
        </w:rPr>
        <w:t> </w:t>
      </w:r>
      <w:r>
        <w:rPr>
          <w:color w:val="231F20"/>
        </w:rPr>
        <w:t>Channel</w:t>
      </w:r>
      <w:r>
        <w:rPr>
          <w:color w:val="231F20"/>
          <w:spacing w:val="10"/>
        </w:rPr>
        <w:t> </w:t>
      </w:r>
      <w:r>
        <w:rPr>
          <w:color w:val="231F20"/>
        </w:rPr>
        <w:t>participants</w:t>
      </w:r>
      <w:r>
        <w:rPr>
          <w:color w:val="231F20"/>
          <w:spacing w:val="9"/>
        </w:rPr>
        <w:t> </w:t>
      </w:r>
      <w:r>
        <w:rPr>
          <w:color w:val="231F20"/>
        </w:rPr>
        <w:t>in</w:t>
      </w:r>
      <w:r>
        <w:rPr>
          <w:color w:val="231F20"/>
          <w:spacing w:val="10"/>
        </w:rPr>
        <w:t> </w:t>
      </w:r>
      <w:r>
        <w:rPr>
          <w:color w:val="231F20"/>
        </w:rPr>
        <w:t>most</w:t>
      </w:r>
      <w:r>
        <w:rPr>
          <w:color w:val="231F20"/>
          <w:spacing w:val="9"/>
        </w:rPr>
        <w:t> </w:t>
      </w:r>
      <w:r>
        <w:rPr>
          <w:color w:val="231F20"/>
        </w:rPr>
        <w:t>industries</w:t>
      </w:r>
      <w:r>
        <w:rPr>
          <w:color w:val="231F20"/>
          <w:spacing w:val="10"/>
        </w:rPr>
        <w:t> </w:t>
      </w:r>
      <w:r>
        <w:rPr>
          <w:color w:val="231F20"/>
        </w:rPr>
        <w:t>calculate</w:t>
      </w:r>
      <w:r>
        <w:rPr>
          <w:color w:val="231F20"/>
          <w:spacing w:val="10"/>
        </w:rPr>
        <w:t> </w:t>
      </w:r>
      <w:r>
        <w:rPr>
          <w:color w:val="231F20"/>
        </w:rPr>
        <w:t>their</w:t>
      </w:r>
      <w:r>
        <w:rPr>
          <w:color w:val="231F20"/>
          <w:spacing w:val="9"/>
        </w:rPr>
        <w:t> </w:t>
      </w:r>
      <w:r>
        <w:rPr>
          <w:color w:val="231F20"/>
        </w:rPr>
        <w:t>cut</w:t>
      </w:r>
      <w:r>
        <w:rPr>
          <w:color w:val="231F20"/>
          <w:spacing w:val="10"/>
        </w:rPr>
        <w:t> </w:t>
      </w:r>
      <w:r>
        <w:rPr>
          <w:color w:val="231F20"/>
          <w:spacing w:val="-5"/>
        </w:rPr>
        <w:t>as</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29" w:right="756"/>
        <w:jc w:val="both"/>
      </w:pPr>
      <w:r>
        <w:rPr>
          <w:color w:val="231F20"/>
        </w:rPr>
        <w:t>a </w:t>
      </w:r>
      <w:r>
        <w:rPr>
          <w:i/>
          <w:color w:val="231F20"/>
        </w:rPr>
        <w:t>markup on selling price. </w:t>
      </w:r>
      <w:r>
        <w:rPr>
          <w:color w:val="231F20"/>
        </w:rPr>
        <w:t>Canadian and some U.S. drug firms use a markup on cost, but they are the exceptions. The </w:t>
      </w:r>
      <w:r>
        <w:rPr>
          <w:i/>
          <w:color w:val="231F20"/>
        </w:rPr>
        <w:t>selling price </w:t>
      </w:r>
      <w:r>
        <w:rPr>
          <w:color w:val="231F20"/>
        </w:rPr>
        <w:t>is not the</w:t>
      </w:r>
      <w:r>
        <w:rPr>
          <w:color w:val="231F20"/>
          <w:spacing w:val="-3"/>
        </w:rPr>
        <w:t> </w:t>
      </w:r>
      <w:r>
        <w:rPr>
          <w:color w:val="231F20"/>
        </w:rPr>
        <w:t>ultimate</w:t>
      </w:r>
      <w:r>
        <w:rPr>
          <w:color w:val="231F20"/>
          <w:spacing w:val="-4"/>
        </w:rPr>
        <w:t> </w:t>
      </w:r>
      <w:r>
        <w:rPr>
          <w:i/>
          <w:color w:val="231F20"/>
        </w:rPr>
        <w:t>retail</w:t>
      </w:r>
      <w:r>
        <w:rPr>
          <w:i/>
          <w:color w:val="231F20"/>
          <w:spacing w:val="-4"/>
        </w:rPr>
        <w:t> </w:t>
      </w:r>
      <w:r>
        <w:rPr>
          <w:color w:val="231F20"/>
        </w:rPr>
        <w:t>price,</w:t>
      </w:r>
      <w:r>
        <w:rPr>
          <w:color w:val="231F20"/>
          <w:spacing w:val="-3"/>
        </w:rPr>
        <w:t> </w:t>
      </w:r>
      <w:r>
        <w:rPr>
          <w:color w:val="231F20"/>
        </w:rPr>
        <w:t>but</w:t>
      </w:r>
      <w:r>
        <w:rPr>
          <w:color w:val="231F20"/>
          <w:spacing w:val="-3"/>
        </w:rPr>
        <w:t> </w:t>
      </w:r>
      <w:r>
        <w:rPr>
          <w:color w:val="231F20"/>
        </w:rPr>
        <w:t>the</w:t>
      </w:r>
      <w:r>
        <w:rPr>
          <w:color w:val="231F20"/>
          <w:spacing w:val="-3"/>
        </w:rPr>
        <w:t> </w:t>
      </w:r>
      <w:r>
        <w:rPr>
          <w:color w:val="231F20"/>
        </w:rPr>
        <w:t>price</w:t>
      </w:r>
      <w:r>
        <w:rPr>
          <w:color w:val="231F20"/>
          <w:spacing w:val="-3"/>
        </w:rPr>
        <w:t> </w:t>
      </w:r>
      <w:r>
        <w:rPr>
          <w:color w:val="231F20"/>
        </w:rPr>
        <w:t>at</w:t>
      </w:r>
      <w:r>
        <w:rPr>
          <w:color w:val="231F20"/>
          <w:spacing w:val="-3"/>
        </w:rPr>
        <w:t> </w:t>
      </w:r>
      <w:r>
        <w:rPr>
          <w:color w:val="231F20"/>
        </w:rPr>
        <w:t>which</w:t>
      </w:r>
      <w:r>
        <w:rPr>
          <w:color w:val="231F20"/>
          <w:spacing w:val="-3"/>
        </w:rPr>
        <w:t> </w:t>
      </w:r>
      <w:r>
        <w:rPr>
          <w:color w:val="231F20"/>
        </w:rPr>
        <w:t>one</w:t>
      </w:r>
      <w:r>
        <w:rPr>
          <w:color w:val="231F20"/>
          <w:spacing w:val="-3"/>
        </w:rPr>
        <w:t> </w:t>
      </w:r>
      <w:r>
        <w:rPr>
          <w:color w:val="231F20"/>
        </w:rPr>
        <w:t>intermediary</w:t>
      </w:r>
      <w:r>
        <w:rPr>
          <w:color w:val="231F20"/>
          <w:spacing w:val="-3"/>
        </w:rPr>
        <w:t> </w:t>
      </w:r>
      <w:r>
        <w:rPr>
          <w:color w:val="231F20"/>
        </w:rPr>
        <w:t>sells goods to the next intermediary in the chain. The retail price is what</w:t>
      </w:r>
      <w:r>
        <w:rPr>
          <w:color w:val="231F20"/>
          <w:spacing w:val="80"/>
          <w:w w:val="150"/>
        </w:rPr>
        <w:t> </w:t>
      </w:r>
      <w:r>
        <w:rPr>
          <w:color w:val="231F20"/>
        </w:rPr>
        <w:t>a consumer pays.</w:t>
      </w:r>
    </w:p>
    <w:p>
      <w:pPr>
        <w:pStyle w:val="BodyText"/>
        <w:spacing w:line="292" w:lineRule="auto"/>
        <w:ind w:left="829" w:right="755" w:firstLine="340"/>
        <w:jc w:val="both"/>
      </w:pPr>
      <w:r>
        <w:rPr>
          <w:color w:val="231F20"/>
        </w:rPr>
        <w:t>Because of my experience in the coffee industry, I will use coffee retailing to demonstrate the economics of the channels of distribu- tion.</w:t>
      </w:r>
      <w:r>
        <w:rPr>
          <w:color w:val="231F20"/>
          <w:spacing w:val="40"/>
        </w:rPr>
        <w:t> </w:t>
      </w:r>
      <w:r>
        <w:rPr>
          <w:color w:val="231F20"/>
        </w:rPr>
        <w:t>At</w:t>
      </w:r>
      <w:r>
        <w:rPr>
          <w:color w:val="231F20"/>
          <w:spacing w:val="40"/>
        </w:rPr>
        <w:t> </w:t>
      </w:r>
      <w:r>
        <w:rPr>
          <w:color w:val="231F20"/>
        </w:rPr>
        <w:t>each</w:t>
      </w:r>
      <w:r>
        <w:rPr>
          <w:color w:val="231F20"/>
          <w:spacing w:val="40"/>
        </w:rPr>
        <w:t> </w:t>
      </w:r>
      <w:r>
        <w:rPr>
          <w:color w:val="231F20"/>
        </w:rPr>
        <w:t>level</w:t>
      </w:r>
      <w:r>
        <w:rPr>
          <w:color w:val="231F20"/>
          <w:spacing w:val="40"/>
        </w:rPr>
        <w:t> </w:t>
      </w:r>
      <w:r>
        <w:rPr>
          <w:color w:val="231F20"/>
        </w:rPr>
        <w:t>of</w:t>
      </w:r>
      <w:r>
        <w:rPr>
          <w:color w:val="231F20"/>
          <w:spacing w:val="40"/>
        </w:rPr>
        <w:t> </w:t>
      </w:r>
      <w:r>
        <w:rPr>
          <w:color w:val="231F20"/>
        </w:rPr>
        <w:t>the</w:t>
      </w:r>
      <w:r>
        <w:rPr>
          <w:color w:val="231F20"/>
          <w:spacing w:val="40"/>
        </w:rPr>
        <w:t> </w:t>
      </w:r>
      <w:r>
        <w:rPr>
          <w:color w:val="231F20"/>
        </w:rPr>
        <w:t>chain,</w:t>
      </w:r>
      <w:r>
        <w:rPr>
          <w:color w:val="231F20"/>
          <w:spacing w:val="40"/>
        </w:rPr>
        <w:t> </w:t>
      </w:r>
      <w:r>
        <w:rPr>
          <w:color w:val="231F20"/>
        </w:rPr>
        <w:t>the</w:t>
      </w:r>
      <w:r>
        <w:rPr>
          <w:color w:val="231F20"/>
          <w:spacing w:val="40"/>
        </w:rPr>
        <w:t> </w:t>
      </w:r>
      <w:r>
        <w:rPr>
          <w:color w:val="231F20"/>
        </w:rPr>
        <w:t>intermediary</w:t>
      </w:r>
      <w:r>
        <w:rPr>
          <w:color w:val="231F20"/>
          <w:spacing w:val="40"/>
        </w:rPr>
        <w:t> </w:t>
      </w:r>
      <w:r>
        <w:rPr>
          <w:color w:val="231F20"/>
        </w:rPr>
        <w:t>buys</w:t>
      </w:r>
      <w:r>
        <w:rPr>
          <w:color w:val="231F20"/>
          <w:spacing w:val="40"/>
        </w:rPr>
        <w:t> </w:t>
      </w:r>
      <w:r>
        <w:rPr>
          <w:color w:val="231F20"/>
        </w:rPr>
        <w:t>the</w:t>
      </w:r>
      <w:r>
        <w:rPr>
          <w:color w:val="231F20"/>
          <w:spacing w:val="40"/>
        </w:rPr>
        <w:t> </w:t>
      </w:r>
      <w:r>
        <w:rPr>
          <w:color w:val="231F20"/>
        </w:rPr>
        <w:t>coffee from the previous level and takes a margin based on the sales price</w:t>
      </w:r>
      <w:r>
        <w:rPr>
          <w:color w:val="231F20"/>
          <w:spacing w:val="40"/>
        </w:rPr>
        <w:t> </w:t>
      </w:r>
      <w:r>
        <w:rPr>
          <w:color w:val="231F20"/>
        </w:rPr>
        <w:t>to the next level. The margin is </w:t>
      </w:r>
      <w:r>
        <w:rPr>
          <w:i/>
          <w:color w:val="231F20"/>
        </w:rPr>
        <w:t>not </w:t>
      </w:r>
      <w:r>
        <w:rPr>
          <w:color w:val="231F20"/>
        </w:rPr>
        <w:t>based on cost.</w:t>
      </w:r>
    </w:p>
    <w:p>
      <w:pPr>
        <w:pStyle w:val="BodyText"/>
        <w:spacing w:before="2"/>
        <w:rPr>
          <w:sz w:val="29"/>
        </w:rPr>
      </w:pPr>
    </w:p>
    <w:p>
      <w:pPr>
        <w:spacing w:after="0"/>
        <w:rPr>
          <w:sz w:val="29"/>
        </w:rPr>
        <w:sectPr>
          <w:pgSz w:w="8640" w:h="12960"/>
          <w:pgMar w:header="732" w:footer="0" w:top="920" w:bottom="280" w:left="340" w:right="500"/>
        </w:sectPr>
      </w:pPr>
    </w:p>
    <w:p>
      <w:pPr>
        <w:pStyle w:val="BodyText"/>
        <w:spacing w:line="280" w:lineRule="auto" w:before="104"/>
        <w:ind w:left="1630"/>
        <w:rPr>
          <w:rFonts w:ascii="Symbol" w:hAnsi="Symbol"/>
        </w:rPr>
      </w:pPr>
      <w:r>
        <w:rPr>
          <w:color w:val="231F20"/>
        </w:rPr>
        <w:t>Percent Markup </w:t>
      </w:r>
      <w:r>
        <w:rPr>
          <w:color w:val="231F20"/>
        </w:rPr>
        <w:t>on Selling Price (SP) </w:t>
      </w:r>
      <w:r>
        <w:rPr>
          <w:rFonts w:ascii="Symbol" w:hAnsi="Symbol"/>
          <w:color w:val="231F20"/>
        </w:rPr>
        <w:t></w:t>
      </w:r>
    </w:p>
    <w:p>
      <w:pPr>
        <w:pStyle w:val="BodyText"/>
        <w:tabs>
          <w:tab w:pos="1665" w:val="left" w:leader="none"/>
        </w:tabs>
        <w:spacing w:before="104"/>
        <w:ind w:left="375"/>
      </w:pPr>
      <w:r>
        <w:rPr/>
        <w:br w:type="column"/>
      </w:r>
      <w:r>
        <w:rPr>
          <w:color w:val="231F20"/>
          <w:spacing w:val="68"/>
          <w:w w:val="150"/>
          <w:u w:val="single" w:color="231F20"/>
        </w:rPr>
        <w:t> </w:t>
      </w:r>
      <w:r>
        <w:rPr>
          <w:color w:val="231F20"/>
          <w:w w:val="110"/>
          <w:u w:val="single" w:color="231F20"/>
        </w:rPr>
        <w:t>$</w:t>
      </w:r>
      <w:r>
        <w:rPr>
          <w:color w:val="231F20"/>
          <w:spacing w:val="9"/>
          <w:w w:val="110"/>
          <w:u w:val="single" w:color="231F20"/>
        </w:rPr>
        <w:t> </w:t>
      </w:r>
      <w:r>
        <w:rPr>
          <w:color w:val="231F20"/>
          <w:spacing w:val="-2"/>
          <w:w w:val="110"/>
          <w:u w:val="single" w:color="231F20"/>
        </w:rPr>
        <w:t>Markup</w:t>
      </w:r>
      <w:r>
        <w:rPr>
          <w:color w:val="231F20"/>
          <w:u w:val="single" w:color="231F20"/>
        </w:rPr>
        <w:tab/>
      </w:r>
    </w:p>
    <w:p>
      <w:pPr>
        <w:pStyle w:val="BodyText"/>
        <w:spacing w:before="54"/>
        <w:ind w:left="334"/>
      </w:pPr>
      <w:r>
        <w:rPr/>
        <w:pict>
          <v:shape style="position:absolute;margin-left:201.565399pt;margin-top:-19.580524pt;width:4.3pt;height:32pt;mso-position-horizontal-relative:page;mso-position-vertical-relative:paragraph;z-index:15754240" type="#_x0000_t202" id="docshape55" filled="false" stroked="false">
            <v:textbox inset="0,0,0,0">
              <w:txbxContent>
                <w:p>
                  <w:pPr>
                    <w:spacing w:line="623" w:lineRule="exact" w:before="0"/>
                    <w:ind w:left="0" w:right="0" w:firstLine="0"/>
                    <w:jc w:val="left"/>
                    <w:rPr>
                      <w:rFonts w:ascii="Symbol" w:hAnsi="Symbol"/>
                      <w:sz w:val="64"/>
                    </w:rPr>
                  </w:pPr>
                  <w:r>
                    <w:rPr>
                      <w:rFonts w:ascii="Symbol" w:hAnsi="Symbol"/>
                      <w:color w:val="231F20"/>
                      <w:w w:val="39"/>
                      <w:sz w:val="64"/>
                    </w:rPr>
                    <w:t></w:t>
                  </w:r>
                </w:p>
              </w:txbxContent>
            </v:textbox>
            <w10:wrap type="none"/>
          </v:shape>
        </w:pict>
      </w:r>
      <w:r>
        <w:rPr>
          <w:color w:val="231F20"/>
        </w:rPr>
        <w:t>$</w:t>
      </w:r>
      <w:r>
        <w:rPr>
          <w:color w:val="231F20"/>
          <w:spacing w:val="22"/>
        </w:rPr>
        <w:t> </w:t>
      </w:r>
      <w:r>
        <w:rPr>
          <w:color w:val="231F20"/>
        </w:rPr>
        <w:t>Selling</w:t>
      </w:r>
      <w:r>
        <w:rPr>
          <w:color w:val="231F20"/>
          <w:spacing w:val="22"/>
        </w:rPr>
        <w:t> </w:t>
      </w:r>
      <w:r>
        <w:rPr>
          <w:color w:val="231F20"/>
          <w:spacing w:val="-2"/>
        </w:rPr>
        <w:t>Price</w:t>
      </w:r>
    </w:p>
    <w:p>
      <w:pPr>
        <w:pStyle w:val="BodyText"/>
        <w:spacing w:before="215"/>
        <w:ind w:left="334"/>
      </w:pPr>
      <w:r>
        <w:rPr/>
        <w:br w:type="column"/>
      </w:r>
      <w:r>
        <w:rPr>
          <w:rFonts w:ascii="Symbol" w:hAnsi="Symbol"/>
          <w:color w:val="231F20"/>
        </w:rPr>
        <w:t></w:t>
      </w:r>
      <w:r>
        <w:rPr>
          <w:rFonts w:ascii="Times New Roman" w:hAnsi="Times New Roman"/>
          <w:color w:val="231F20"/>
          <w:spacing w:val="9"/>
        </w:rPr>
        <w:t> </w:t>
      </w:r>
      <w:r>
        <w:rPr>
          <w:color w:val="231F20"/>
          <w:spacing w:val="-5"/>
        </w:rPr>
        <w:t>100</w:t>
      </w:r>
    </w:p>
    <w:p>
      <w:pPr>
        <w:spacing w:after="0"/>
        <w:sectPr>
          <w:type w:val="continuous"/>
          <w:pgSz w:w="8640" w:h="12960"/>
          <w:pgMar w:header="734" w:footer="0" w:top="1220" w:bottom="280" w:left="340" w:right="500"/>
          <w:cols w:num="3" w:equalWidth="0">
            <w:col w:w="3435" w:space="40"/>
            <w:col w:w="1666" w:space="39"/>
            <w:col w:w="2620"/>
          </w:cols>
        </w:sectPr>
      </w:pPr>
    </w:p>
    <w:p>
      <w:pPr>
        <w:pStyle w:val="BodyText"/>
        <w:rPr>
          <w:sz w:val="20"/>
        </w:rPr>
      </w:pPr>
    </w:p>
    <w:p>
      <w:pPr>
        <w:pStyle w:val="BodyText"/>
        <w:spacing w:before="3"/>
        <w:rPr>
          <w:sz w:val="19"/>
        </w:rPr>
      </w:pPr>
    </w:p>
    <w:p>
      <w:pPr>
        <w:pStyle w:val="BodyText"/>
        <w:spacing w:line="292" w:lineRule="auto"/>
        <w:ind w:left="830" w:right="750" w:firstLine="340"/>
        <w:jc w:val="both"/>
      </w:pPr>
      <w:r>
        <w:rPr>
          <w:color w:val="231F20"/>
        </w:rPr>
        <w:t>This</w:t>
      </w:r>
      <w:r>
        <w:rPr>
          <w:color w:val="231F20"/>
          <w:spacing w:val="40"/>
        </w:rPr>
        <w:t> </w:t>
      </w:r>
      <w:r>
        <w:rPr>
          <w:color w:val="231F20"/>
        </w:rPr>
        <w:t>is</w:t>
      </w:r>
      <w:r>
        <w:rPr>
          <w:color w:val="231F20"/>
          <w:spacing w:val="40"/>
        </w:rPr>
        <w:t> </w:t>
      </w:r>
      <w:r>
        <w:rPr>
          <w:color w:val="231F20"/>
        </w:rPr>
        <w:t>how</w:t>
      </w:r>
      <w:r>
        <w:rPr>
          <w:color w:val="231F20"/>
          <w:spacing w:val="40"/>
        </w:rPr>
        <w:t> </w:t>
      </w:r>
      <w:r>
        <w:rPr>
          <w:color w:val="231F20"/>
        </w:rPr>
        <w:t>one</w:t>
      </w:r>
      <w:r>
        <w:rPr>
          <w:color w:val="231F20"/>
          <w:spacing w:val="40"/>
        </w:rPr>
        <w:t> </w:t>
      </w:r>
      <w:r>
        <w:rPr>
          <w:color w:val="231F20"/>
        </w:rPr>
        <w:t>dollar’s</w:t>
      </w:r>
      <w:r>
        <w:rPr>
          <w:color w:val="231F20"/>
          <w:spacing w:val="40"/>
        </w:rPr>
        <w:t> </w:t>
      </w:r>
      <w:r>
        <w:rPr>
          <w:color w:val="231F20"/>
        </w:rPr>
        <w:t>worth</w:t>
      </w:r>
      <w:r>
        <w:rPr>
          <w:color w:val="231F20"/>
          <w:spacing w:val="40"/>
        </w:rPr>
        <w:t> </w:t>
      </w:r>
      <w:r>
        <w:rPr>
          <w:color w:val="231F20"/>
        </w:rPr>
        <w:t>of</w:t>
      </w:r>
      <w:r>
        <w:rPr>
          <w:color w:val="231F20"/>
          <w:spacing w:val="40"/>
        </w:rPr>
        <w:t> </w:t>
      </w:r>
      <w:r>
        <w:rPr>
          <w:color w:val="231F20"/>
        </w:rPr>
        <w:t>coffee</w:t>
      </w:r>
      <w:r>
        <w:rPr>
          <w:color w:val="231F20"/>
          <w:spacing w:val="40"/>
        </w:rPr>
        <w:t> </w:t>
      </w:r>
      <w:r>
        <w:rPr>
          <w:color w:val="231F20"/>
        </w:rPr>
        <w:t>beans,</w:t>
      </w:r>
      <w:r>
        <w:rPr>
          <w:color w:val="231F20"/>
          <w:spacing w:val="40"/>
        </w:rPr>
        <w:t> </w:t>
      </w:r>
      <w:r>
        <w:rPr>
          <w:color w:val="231F20"/>
        </w:rPr>
        <w:t>in</w:t>
      </w:r>
      <w:r>
        <w:rPr>
          <w:color w:val="231F20"/>
          <w:spacing w:val="40"/>
        </w:rPr>
        <w:t> </w:t>
      </w:r>
      <w:r>
        <w:rPr>
          <w:color w:val="231F20"/>
        </w:rPr>
        <w:t>my</w:t>
      </w:r>
      <w:r>
        <w:rPr>
          <w:color w:val="231F20"/>
          <w:spacing w:val="40"/>
        </w:rPr>
        <w:t> </w:t>
      </w:r>
      <w:r>
        <w:rPr>
          <w:color w:val="231F20"/>
        </w:rPr>
        <w:t>exam- ple,</w:t>
      </w:r>
      <w:r>
        <w:rPr>
          <w:color w:val="231F20"/>
          <w:spacing w:val="40"/>
        </w:rPr>
        <w:t> </w:t>
      </w:r>
      <w:r>
        <w:rPr>
          <w:color w:val="231F20"/>
        </w:rPr>
        <w:t>can</w:t>
      </w:r>
      <w:r>
        <w:rPr>
          <w:color w:val="231F20"/>
          <w:spacing w:val="40"/>
        </w:rPr>
        <w:t> </w:t>
      </w:r>
      <w:r>
        <w:rPr>
          <w:color w:val="231F20"/>
        </w:rPr>
        <w:t>reach</w:t>
      </w:r>
      <w:r>
        <w:rPr>
          <w:color w:val="231F20"/>
          <w:spacing w:val="40"/>
        </w:rPr>
        <w:t> </w:t>
      </w:r>
      <w:r>
        <w:rPr>
          <w:color w:val="231F20"/>
        </w:rPr>
        <w:t>the</w:t>
      </w:r>
      <w:r>
        <w:rPr>
          <w:color w:val="231F20"/>
          <w:spacing w:val="40"/>
        </w:rPr>
        <w:t> </w:t>
      </w:r>
      <w:r>
        <w:rPr>
          <w:color w:val="231F20"/>
        </w:rPr>
        <w:t>consumer</w:t>
      </w:r>
      <w:r>
        <w:rPr>
          <w:color w:val="231F20"/>
          <w:spacing w:val="40"/>
        </w:rPr>
        <w:t> </w:t>
      </w:r>
      <w:r>
        <w:rPr>
          <w:color w:val="231F20"/>
        </w:rPr>
        <w:t>at</w:t>
      </w:r>
      <w:r>
        <w:rPr>
          <w:color w:val="231F20"/>
          <w:spacing w:val="40"/>
        </w:rPr>
        <w:t> </w:t>
      </w:r>
      <w:r>
        <w:rPr>
          <w:color w:val="231F20"/>
        </w:rPr>
        <w:t>a</w:t>
      </w:r>
      <w:r>
        <w:rPr>
          <w:color w:val="231F20"/>
          <w:spacing w:val="40"/>
        </w:rPr>
        <w:t> </w:t>
      </w:r>
      <w:r>
        <w:rPr>
          <w:color w:val="231F20"/>
        </w:rPr>
        <w:t>price</w:t>
      </w:r>
      <w:r>
        <w:rPr>
          <w:color w:val="231F20"/>
          <w:spacing w:val="40"/>
        </w:rPr>
        <w:t> </w:t>
      </w:r>
      <w:r>
        <w:rPr>
          <w:color w:val="231F20"/>
        </w:rPr>
        <w:t>of</w:t>
      </w:r>
      <w:r>
        <w:rPr>
          <w:color w:val="231F20"/>
          <w:spacing w:val="40"/>
        </w:rPr>
        <w:t> </w:t>
      </w:r>
      <w:r>
        <w:rPr>
          <w:color w:val="231F20"/>
        </w:rPr>
        <w:t>six</w:t>
      </w:r>
      <w:r>
        <w:rPr>
          <w:color w:val="231F20"/>
          <w:spacing w:val="40"/>
        </w:rPr>
        <w:t> </w:t>
      </w:r>
      <w:r>
        <w:rPr>
          <w:color w:val="231F20"/>
        </w:rPr>
        <w:t>dollars.</w:t>
      </w:r>
      <w:r>
        <w:rPr>
          <w:color w:val="231F20"/>
          <w:spacing w:val="40"/>
        </w:rPr>
        <w:t> </w:t>
      </w:r>
      <w:r>
        <w:rPr>
          <w:color w:val="231F20"/>
        </w:rPr>
        <w:t>At</w:t>
      </w:r>
      <w:r>
        <w:rPr>
          <w:color w:val="231F20"/>
          <w:spacing w:val="40"/>
        </w:rPr>
        <w:t> </w:t>
      </w:r>
      <w:r>
        <w:rPr>
          <w:color w:val="231F20"/>
        </w:rPr>
        <w:t>each level,</w:t>
      </w:r>
      <w:r>
        <w:rPr>
          <w:color w:val="231F20"/>
          <w:spacing w:val="40"/>
        </w:rPr>
        <w:t> </w:t>
      </w:r>
      <w:r>
        <w:rPr>
          <w:color w:val="231F20"/>
        </w:rPr>
        <w:t>the</w:t>
      </w:r>
      <w:r>
        <w:rPr>
          <w:color w:val="231F20"/>
          <w:spacing w:val="40"/>
        </w:rPr>
        <w:t> </w:t>
      </w:r>
      <w:r>
        <w:rPr>
          <w:color w:val="231F20"/>
        </w:rPr>
        <w:t>channel</w:t>
      </w:r>
      <w:r>
        <w:rPr>
          <w:color w:val="231F20"/>
          <w:spacing w:val="40"/>
        </w:rPr>
        <w:t> </w:t>
      </w:r>
      <w:r>
        <w:rPr>
          <w:color w:val="231F20"/>
        </w:rPr>
        <w:t>participant</w:t>
      </w:r>
      <w:r>
        <w:rPr>
          <w:color w:val="231F20"/>
          <w:spacing w:val="40"/>
        </w:rPr>
        <w:t> </w:t>
      </w:r>
      <w:r>
        <w:rPr>
          <w:color w:val="231F20"/>
        </w:rPr>
        <w:t>adds</w:t>
      </w:r>
      <w:r>
        <w:rPr>
          <w:color w:val="231F20"/>
          <w:spacing w:val="40"/>
        </w:rPr>
        <w:t> </w:t>
      </w:r>
      <w:r>
        <w:rPr>
          <w:color w:val="231F20"/>
        </w:rPr>
        <w:t>value</w:t>
      </w:r>
      <w:r>
        <w:rPr>
          <w:color w:val="231F20"/>
          <w:spacing w:val="40"/>
        </w:rPr>
        <w:t> </w:t>
      </w:r>
      <w:r>
        <w:rPr>
          <w:color w:val="231F20"/>
        </w:rPr>
        <w:t>and</w:t>
      </w:r>
      <w:r>
        <w:rPr>
          <w:color w:val="231F20"/>
          <w:spacing w:val="40"/>
        </w:rPr>
        <w:t> </w:t>
      </w:r>
      <w:r>
        <w:rPr>
          <w:color w:val="231F20"/>
        </w:rPr>
        <w:t>incurs</w:t>
      </w:r>
      <w:r>
        <w:rPr>
          <w:color w:val="231F20"/>
          <w:spacing w:val="40"/>
        </w:rPr>
        <w:t> </w:t>
      </w:r>
      <w:r>
        <w:rPr>
          <w:color w:val="231F20"/>
        </w:rPr>
        <w:t>costs</w:t>
      </w:r>
      <w:r>
        <w:rPr>
          <w:color w:val="231F20"/>
          <w:spacing w:val="40"/>
        </w:rPr>
        <w:t> </w:t>
      </w:r>
      <w:r>
        <w:rPr>
          <w:color w:val="231F20"/>
        </w:rPr>
        <w:t>by</w:t>
      </w:r>
      <w:r>
        <w:rPr>
          <w:color w:val="231F20"/>
          <w:spacing w:val="40"/>
        </w:rPr>
        <w:t> </w:t>
      </w:r>
      <w:r>
        <w:rPr>
          <w:color w:val="231F20"/>
        </w:rPr>
        <w:t>ei- ther</w:t>
      </w:r>
      <w:r>
        <w:rPr>
          <w:color w:val="231F20"/>
          <w:spacing w:val="40"/>
        </w:rPr>
        <w:t> </w:t>
      </w:r>
      <w:r>
        <w:rPr>
          <w:color w:val="231F20"/>
        </w:rPr>
        <w:t>roasting,</w:t>
      </w:r>
      <w:r>
        <w:rPr>
          <w:color w:val="231F20"/>
          <w:spacing w:val="40"/>
        </w:rPr>
        <w:t> </w:t>
      </w:r>
      <w:r>
        <w:rPr>
          <w:color w:val="231F20"/>
        </w:rPr>
        <w:t>grinding,</w:t>
      </w:r>
      <w:r>
        <w:rPr>
          <w:color w:val="231F20"/>
          <w:spacing w:val="40"/>
        </w:rPr>
        <w:t> </w:t>
      </w:r>
      <w:r>
        <w:rPr>
          <w:color w:val="231F20"/>
        </w:rPr>
        <w:t>and</w:t>
      </w:r>
      <w:r>
        <w:rPr>
          <w:color w:val="231F20"/>
          <w:spacing w:val="40"/>
        </w:rPr>
        <w:t> </w:t>
      </w:r>
      <w:r>
        <w:rPr>
          <w:color w:val="231F20"/>
        </w:rPr>
        <w:t>packaging</w:t>
      </w:r>
      <w:r>
        <w:rPr>
          <w:color w:val="231F20"/>
          <w:spacing w:val="40"/>
        </w:rPr>
        <w:t> </w:t>
      </w:r>
      <w:r>
        <w:rPr>
          <w:color w:val="231F20"/>
        </w:rPr>
        <w:t>the</w:t>
      </w:r>
      <w:r>
        <w:rPr>
          <w:color w:val="231F20"/>
          <w:spacing w:val="40"/>
        </w:rPr>
        <w:t> </w:t>
      </w:r>
      <w:r>
        <w:rPr>
          <w:color w:val="231F20"/>
        </w:rPr>
        <w:t>coffee</w:t>
      </w:r>
      <w:r>
        <w:rPr>
          <w:color w:val="231F20"/>
          <w:spacing w:val="40"/>
        </w:rPr>
        <w:t> </w:t>
      </w:r>
      <w:r>
        <w:rPr>
          <w:color w:val="231F20"/>
        </w:rPr>
        <w:t>beans;</w:t>
      </w:r>
      <w:r>
        <w:rPr>
          <w:color w:val="231F20"/>
          <w:spacing w:val="40"/>
        </w:rPr>
        <w:t> </w:t>
      </w:r>
      <w:r>
        <w:rPr>
          <w:color w:val="231F20"/>
        </w:rPr>
        <w:t>promot- ing</w:t>
      </w:r>
      <w:r>
        <w:rPr>
          <w:color w:val="231F20"/>
          <w:spacing w:val="40"/>
        </w:rPr>
        <w:t> </w:t>
      </w:r>
      <w:r>
        <w:rPr>
          <w:color w:val="231F20"/>
        </w:rPr>
        <w:t>the</w:t>
      </w:r>
      <w:r>
        <w:rPr>
          <w:color w:val="231F20"/>
          <w:spacing w:val="40"/>
        </w:rPr>
        <w:t> </w:t>
      </w:r>
      <w:r>
        <w:rPr>
          <w:color w:val="231F20"/>
        </w:rPr>
        <w:t>brand;</w:t>
      </w:r>
      <w:r>
        <w:rPr>
          <w:color w:val="231F20"/>
          <w:spacing w:val="40"/>
        </w:rPr>
        <w:t> </w:t>
      </w:r>
      <w:r>
        <w:rPr>
          <w:color w:val="231F20"/>
        </w:rPr>
        <w:t>or</w:t>
      </w:r>
      <w:r>
        <w:rPr>
          <w:color w:val="231F20"/>
          <w:spacing w:val="40"/>
        </w:rPr>
        <w:t> </w:t>
      </w:r>
      <w:r>
        <w:rPr>
          <w:color w:val="231F20"/>
        </w:rPr>
        <w:t>distributing</w:t>
      </w:r>
      <w:r>
        <w:rPr>
          <w:color w:val="231F20"/>
          <w:spacing w:val="40"/>
        </w:rPr>
        <w:t> </w:t>
      </w:r>
      <w:r>
        <w:rPr>
          <w:color w:val="231F20"/>
        </w:rPr>
        <w:t>and</w:t>
      </w:r>
      <w:r>
        <w:rPr>
          <w:color w:val="231F20"/>
          <w:spacing w:val="40"/>
        </w:rPr>
        <w:t> </w:t>
      </w:r>
      <w:r>
        <w:rPr>
          <w:color w:val="231F20"/>
        </w:rPr>
        <w:t>shelving</w:t>
      </w:r>
      <w:r>
        <w:rPr>
          <w:color w:val="231F20"/>
          <w:spacing w:val="40"/>
        </w:rPr>
        <w:t> </w:t>
      </w:r>
      <w:r>
        <w:rPr>
          <w:color w:val="231F20"/>
        </w:rPr>
        <w:t>the</w:t>
      </w:r>
      <w:r>
        <w:rPr>
          <w:color w:val="231F20"/>
          <w:spacing w:val="40"/>
        </w:rPr>
        <w:t> </w:t>
      </w:r>
      <w:r>
        <w:rPr>
          <w:color w:val="231F20"/>
        </w:rPr>
        <w:t>packaged</w:t>
      </w:r>
      <w:r>
        <w:rPr>
          <w:color w:val="231F20"/>
          <w:spacing w:val="40"/>
        </w:rPr>
        <w:t> </w:t>
      </w:r>
      <w:r>
        <w:rPr>
          <w:color w:val="231F20"/>
        </w:rPr>
        <w:t>coffee for</w:t>
      </w:r>
      <w:r>
        <w:rPr>
          <w:color w:val="231F20"/>
          <w:spacing w:val="40"/>
        </w:rPr>
        <w:t> </w:t>
      </w:r>
      <w:r>
        <w:rPr>
          <w:color w:val="231F20"/>
        </w:rPr>
        <w:t>the</w:t>
      </w:r>
      <w:r>
        <w:rPr>
          <w:color w:val="231F20"/>
          <w:spacing w:val="40"/>
        </w:rPr>
        <w:t> </w:t>
      </w:r>
      <w:r>
        <w:rPr>
          <w:color w:val="231F20"/>
        </w:rPr>
        <w:t>consumer.</w:t>
      </w:r>
      <w:r>
        <w:rPr>
          <w:color w:val="231F20"/>
          <w:spacing w:val="40"/>
        </w:rPr>
        <w:t> </w:t>
      </w:r>
      <w:r>
        <w:rPr>
          <w:color w:val="231F20"/>
        </w:rPr>
        <w:t>I</w:t>
      </w:r>
      <w:r>
        <w:rPr>
          <w:color w:val="231F20"/>
          <w:spacing w:val="40"/>
        </w:rPr>
        <w:t> </w:t>
      </w:r>
      <w:r>
        <w:rPr>
          <w:color w:val="231F20"/>
        </w:rPr>
        <w:t>have</w:t>
      </w:r>
      <w:r>
        <w:rPr>
          <w:color w:val="231F20"/>
          <w:spacing w:val="40"/>
        </w:rPr>
        <w:t> </w:t>
      </w:r>
      <w:r>
        <w:rPr>
          <w:color w:val="231F20"/>
        </w:rPr>
        <w:t>outlined</w:t>
      </w:r>
      <w:r>
        <w:rPr>
          <w:color w:val="231F20"/>
          <w:spacing w:val="40"/>
        </w:rPr>
        <w:t> </w:t>
      </w:r>
      <w:r>
        <w:rPr>
          <w:color w:val="231F20"/>
        </w:rPr>
        <w:t>on</w:t>
      </w:r>
      <w:r>
        <w:rPr>
          <w:color w:val="231F20"/>
          <w:spacing w:val="40"/>
        </w:rPr>
        <w:t> </w:t>
      </w:r>
      <w:r>
        <w:rPr>
          <w:color w:val="231F20"/>
        </w:rPr>
        <w:t>page</w:t>
      </w:r>
      <w:r>
        <w:rPr>
          <w:color w:val="231F20"/>
          <w:spacing w:val="40"/>
        </w:rPr>
        <w:t> </w:t>
      </w:r>
      <w:r>
        <w:rPr>
          <w:color w:val="231F20"/>
        </w:rPr>
        <w:t>30</w:t>
      </w:r>
      <w:r>
        <w:rPr>
          <w:color w:val="231F20"/>
          <w:spacing w:val="40"/>
        </w:rPr>
        <w:t> </w:t>
      </w:r>
      <w:r>
        <w:rPr>
          <w:color w:val="231F20"/>
        </w:rPr>
        <w:t>what</w:t>
      </w:r>
      <w:r>
        <w:rPr>
          <w:color w:val="231F20"/>
          <w:spacing w:val="40"/>
        </w:rPr>
        <w:t> </w:t>
      </w:r>
      <w:r>
        <w:rPr>
          <w:color w:val="231F20"/>
        </w:rPr>
        <w:t>I</w:t>
      </w:r>
      <w:r>
        <w:rPr>
          <w:color w:val="231F20"/>
          <w:spacing w:val="40"/>
        </w:rPr>
        <w:t> </w:t>
      </w:r>
      <w:r>
        <w:rPr>
          <w:color w:val="231F20"/>
        </w:rPr>
        <w:t>estimated were</w:t>
      </w:r>
      <w:r>
        <w:rPr>
          <w:color w:val="231F20"/>
          <w:spacing w:val="40"/>
        </w:rPr>
        <w:t> </w:t>
      </w:r>
      <w:r>
        <w:rPr>
          <w:color w:val="231F20"/>
        </w:rPr>
        <w:t>the</w:t>
      </w:r>
      <w:r>
        <w:rPr>
          <w:color w:val="231F20"/>
          <w:spacing w:val="40"/>
        </w:rPr>
        <w:t> </w:t>
      </w:r>
      <w:r>
        <w:rPr>
          <w:color w:val="231F20"/>
        </w:rPr>
        <w:t>channel</w:t>
      </w:r>
      <w:r>
        <w:rPr>
          <w:color w:val="231F20"/>
          <w:spacing w:val="40"/>
        </w:rPr>
        <w:t> </w:t>
      </w:r>
      <w:r>
        <w:rPr>
          <w:color w:val="231F20"/>
        </w:rPr>
        <w:t>economics</w:t>
      </w:r>
      <w:r>
        <w:rPr>
          <w:color w:val="231F20"/>
          <w:spacing w:val="40"/>
        </w:rPr>
        <w:t> </w:t>
      </w:r>
      <w:r>
        <w:rPr>
          <w:color w:val="231F20"/>
        </w:rPr>
        <w:t>for</w:t>
      </w:r>
      <w:r>
        <w:rPr>
          <w:color w:val="231F20"/>
          <w:spacing w:val="40"/>
        </w:rPr>
        <w:t> </w:t>
      </w:r>
      <w:r>
        <w:rPr>
          <w:color w:val="231F20"/>
        </w:rPr>
        <w:t>Maxwell</w:t>
      </w:r>
      <w:r>
        <w:rPr>
          <w:color w:val="231F20"/>
          <w:spacing w:val="40"/>
        </w:rPr>
        <w:t> </w:t>
      </w:r>
      <w:r>
        <w:rPr>
          <w:color w:val="231F20"/>
        </w:rPr>
        <w:t>House’s</w:t>
      </w:r>
      <w:r>
        <w:rPr>
          <w:color w:val="231F20"/>
          <w:spacing w:val="40"/>
        </w:rPr>
        <w:t> </w:t>
      </w:r>
      <w:r>
        <w:rPr>
          <w:color w:val="231F20"/>
        </w:rPr>
        <w:t>gourmet</w:t>
      </w:r>
      <w:r>
        <w:rPr>
          <w:color w:val="231F20"/>
          <w:spacing w:val="40"/>
        </w:rPr>
        <w:t> </w:t>
      </w:r>
      <w:r>
        <w:rPr>
          <w:color w:val="231F20"/>
        </w:rPr>
        <w:t>Pri- vate Collection coffee.</w:t>
      </w:r>
    </w:p>
    <w:p>
      <w:pPr>
        <w:pStyle w:val="BodyText"/>
        <w:spacing w:line="292" w:lineRule="auto"/>
        <w:ind w:left="830" w:right="754" w:firstLine="340"/>
        <w:jc w:val="both"/>
      </w:pPr>
      <w:r>
        <w:rPr>
          <w:color w:val="231F20"/>
        </w:rPr>
        <w:t>At each level in the distribution channel, the participant per- forms its function, takes its margin, and sells to the next participant closer to the consumer. If a coffee processor, such as Kraft Foods, be- lieves that its gourmet Maxwell House Private Collection coffee</w:t>
      </w:r>
      <w:r>
        <w:rPr>
          <w:color w:val="231F20"/>
          <w:spacing w:val="80"/>
        </w:rPr>
        <w:t> </w:t>
      </w:r>
      <w:r>
        <w:rPr>
          <w:color w:val="231F20"/>
        </w:rPr>
        <w:t>brand must retail at $4.00 per pound rather than $6.00, then the economics of the chain must change. Let’s work backward </w:t>
      </w:r>
      <w:r>
        <w:rPr>
          <w:color w:val="231F20"/>
        </w:rPr>
        <w:t>through the chain to see its effect on the prices charged at each level.</w:t>
      </w:r>
    </w:p>
    <w:p>
      <w:pPr>
        <w:pStyle w:val="BodyText"/>
        <w:spacing w:before="2"/>
        <w:rPr>
          <w:sz w:val="24"/>
        </w:rPr>
      </w:pPr>
    </w:p>
    <w:p>
      <w:pPr>
        <w:pStyle w:val="BodyText"/>
        <w:tabs>
          <w:tab w:pos="3451" w:val="left" w:leader="none"/>
        </w:tabs>
        <w:ind w:left="1680"/>
      </w:pPr>
      <w:r>
        <w:rPr/>
        <w:pict>
          <v:rect style="position:absolute;margin-left:181.252304pt;margin-top:7.680898pt;width:4.93095pt;height:.7242pt;mso-position-horizontal-relative:page;mso-position-vertical-relative:paragraph;z-index:-25204224" id="docshape56" filled="true" fillcolor="#231f20" stroked="false">
            <v:fill type="solid"/>
            <w10:wrap type="none"/>
          </v:rect>
        </w:pict>
      </w:r>
      <w:r>
        <w:rPr>
          <w:color w:val="231F20"/>
        </w:rPr>
        <w:t>Selling</w:t>
      </w:r>
      <w:r>
        <w:rPr>
          <w:color w:val="231F20"/>
          <w:spacing w:val="7"/>
        </w:rPr>
        <w:t> </w:t>
      </w:r>
      <w:r>
        <w:rPr>
          <w:color w:val="231F20"/>
        </w:rPr>
        <w:t>Price</w:t>
      </w:r>
      <w:r>
        <w:rPr>
          <w:color w:val="231F20"/>
          <w:spacing w:val="8"/>
        </w:rPr>
        <w:t> </w:t>
      </w:r>
      <w:r>
        <w:rPr>
          <w:rFonts w:ascii="Symbol" w:hAnsi="Symbol"/>
          <w:color w:val="231F20"/>
        </w:rPr>
        <w:t></w:t>
      </w:r>
      <w:r>
        <w:rPr>
          <w:rFonts w:ascii="Times New Roman" w:hAnsi="Times New Roman"/>
          <w:color w:val="231F20"/>
          <w:spacing w:val="2"/>
        </w:rPr>
        <w:t> </w:t>
      </w:r>
      <w:r>
        <w:rPr>
          <w:color w:val="231F20"/>
          <w:spacing w:val="-5"/>
        </w:rPr>
        <w:t>(1</w:t>
      </w:r>
      <w:r>
        <w:rPr>
          <w:color w:val="231F20"/>
        </w:rPr>
        <w:tab/>
        <w:t>Markup</w:t>
      </w:r>
      <w:r>
        <w:rPr>
          <w:color w:val="231F20"/>
          <w:spacing w:val="61"/>
        </w:rPr>
        <w:t> </w:t>
      </w:r>
      <w:r>
        <w:rPr>
          <w:color w:val="231F20"/>
          <w:spacing w:val="-5"/>
        </w:rPr>
        <w:t>%)</w:t>
      </w:r>
    </w:p>
    <w:p>
      <w:pPr>
        <w:pStyle w:val="BodyText"/>
        <w:spacing w:line="568" w:lineRule="auto" w:before="42"/>
        <w:ind w:left="1170" w:right="1262" w:firstLine="509"/>
      </w:pPr>
      <w:r>
        <w:rPr>
          <w:rFonts w:ascii="Symbol" w:hAnsi="Symbol"/>
          <w:color w:val="231F20"/>
        </w:rPr>
        <w:t></w:t>
      </w:r>
      <w:r>
        <w:rPr>
          <w:rFonts w:ascii="Times New Roman" w:hAnsi="Times New Roman"/>
          <w:color w:val="231F20"/>
        </w:rPr>
        <w:t> </w:t>
      </w:r>
      <w:r>
        <w:rPr>
          <w:color w:val="231F20"/>
        </w:rPr>
        <w:t>The Preceding Distribution Level’s Selling </w:t>
      </w:r>
      <w:r>
        <w:rPr>
          <w:color w:val="231F20"/>
        </w:rPr>
        <w:t>Price Working backward through the distribution chain:</w:t>
      </w:r>
    </w:p>
    <w:p>
      <w:pPr>
        <w:spacing w:after="0" w:line="568" w:lineRule="auto"/>
        <w:sectPr>
          <w:type w:val="continuous"/>
          <w:pgSz w:w="8640" w:h="12960"/>
          <w:pgMar w:header="734" w:footer="0" w:top="1220" w:bottom="280" w:left="340" w:right="500"/>
        </w:sectPr>
      </w:pPr>
    </w:p>
    <w:p>
      <w:pPr>
        <w:pStyle w:val="BodyText"/>
        <w:spacing w:before="8"/>
        <w:rPr>
          <w:sz w:val="17"/>
        </w:rPr>
      </w:pPr>
    </w:p>
    <w:p>
      <w:pPr>
        <w:pStyle w:val="BodyText"/>
        <w:tabs>
          <w:tab w:pos="4818" w:val="left" w:leader="none"/>
        </w:tabs>
        <w:spacing w:before="90"/>
        <w:ind w:left="1260"/>
        <w:rPr>
          <w:rFonts w:ascii="Symbol" w:hAnsi="Symbol"/>
        </w:rPr>
      </w:pPr>
      <w:r>
        <w:rPr/>
        <w:pict>
          <v:rect style="position:absolute;margin-left:249.58107pt;margin-top:12.180894pt;width:4.930940pt;height:.7242pt;mso-position-horizontal-relative:page;mso-position-vertical-relative:paragraph;z-index:-25203200" id="docshape57" filled="true" fillcolor="#231f20" stroked="false">
            <v:fill type="solid"/>
            <w10:wrap type="none"/>
          </v:rect>
        </w:pict>
      </w:r>
      <w:r>
        <w:rPr>
          <w:color w:val="231F20"/>
          <w:w w:val="105"/>
        </w:rPr>
        <w:t>$4.00</w:t>
      </w:r>
      <w:r>
        <w:rPr>
          <w:color w:val="231F20"/>
          <w:spacing w:val="-1"/>
          <w:w w:val="105"/>
        </w:rPr>
        <w:t> </w:t>
      </w:r>
      <w:r>
        <w:rPr>
          <w:color w:val="231F20"/>
          <w:w w:val="105"/>
        </w:rPr>
        <w:t>Retail</w:t>
      </w:r>
      <w:r>
        <w:rPr>
          <w:color w:val="231F20"/>
          <w:spacing w:val="-1"/>
          <w:w w:val="105"/>
        </w:rPr>
        <w:t> </w:t>
      </w:r>
      <w:r>
        <w:rPr>
          <w:color w:val="231F20"/>
          <w:w w:val="105"/>
        </w:rPr>
        <w:t>Price</w:t>
      </w:r>
      <w:r>
        <w:rPr>
          <w:color w:val="231F20"/>
          <w:spacing w:val="-1"/>
          <w:w w:val="105"/>
        </w:rPr>
        <w:t> </w:t>
      </w:r>
      <w:r>
        <w:rPr>
          <w:color w:val="231F20"/>
          <w:w w:val="105"/>
        </w:rPr>
        <w:t>to</w:t>
      </w:r>
      <w:r>
        <w:rPr>
          <w:color w:val="231F20"/>
          <w:spacing w:val="-1"/>
          <w:w w:val="105"/>
        </w:rPr>
        <w:t> </w:t>
      </w:r>
      <w:r>
        <w:rPr>
          <w:color w:val="231F20"/>
          <w:w w:val="105"/>
        </w:rPr>
        <w:t>Consumer</w:t>
      </w:r>
      <w:r>
        <w:rPr>
          <w:color w:val="231F20"/>
          <w:spacing w:val="-1"/>
          <w:w w:val="105"/>
        </w:rPr>
        <w:t> </w:t>
      </w:r>
      <w:r>
        <w:rPr>
          <w:rFonts w:ascii="Symbol" w:hAnsi="Symbol"/>
          <w:color w:val="231F20"/>
          <w:w w:val="105"/>
        </w:rPr>
        <w:t></w:t>
      </w:r>
      <w:r>
        <w:rPr>
          <w:rFonts w:ascii="Times New Roman" w:hAnsi="Times New Roman"/>
          <w:color w:val="231F20"/>
          <w:spacing w:val="-7"/>
          <w:w w:val="105"/>
        </w:rPr>
        <w:t> </w:t>
      </w:r>
      <w:r>
        <w:rPr>
          <w:color w:val="231F20"/>
          <w:spacing w:val="-5"/>
          <w:w w:val="105"/>
        </w:rPr>
        <w:t>(1</w:t>
      </w:r>
      <w:r>
        <w:rPr>
          <w:color w:val="231F20"/>
        </w:rPr>
        <w:tab/>
      </w:r>
      <w:r>
        <w:rPr>
          <w:color w:val="231F20"/>
          <w:w w:val="105"/>
        </w:rPr>
        <w:t>.23</w:t>
      </w:r>
      <w:r>
        <w:rPr>
          <w:color w:val="231F20"/>
          <w:spacing w:val="9"/>
          <w:w w:val="105"/>
        </w:rPr>
        <w:t> </w:t>
      </w:r>
      <w:r>
        <w:rPr>
          <w:color w:val="231F20"/>
          <w:w w:val="105"/>
        </w:rPr>
        <w:t>Retail</w:t>
      </w:r>
      <w:r>
        <w:rPr>
          <w:color w:val="231F20"/>
          <w:spacing w:val="10"/>
          <w:w w:val="105"/>
        </w:rPr>
        <w:t> </w:t>
      </w:r>
      <w:r>
        <w:rPr>
          <w:color w:val="231F20"/>
          <w:w w:val="105"/>
        </w:rPr>
        <w:t>Markup)</w:t>
      </w:r>
      <w:r>
        <w:rPr>
          <w:color w:val="231F20"/>
          <w:spacing w:val="10"/>
          <w:w w:val="105"/>
        </w:rPr>
        <w:t> </w:t>
      </w:r>
      <w:r>
        <w:rPr>
          <w:rFonts w:ascii="Symbol" w:hAnsi="Symbol"/>
          <w:color w:val="231F20"/>
          <w:spacing w:val="-10"/>
          <w:w w:val="105"/>
        </w:rPr>
        <w:t></w:t>
      </w:r>
    </w:p>
    <w:p>
      <w:pPr>
        <w:pStyle w:val="BodyText"/>
        <w:spacing w:before="54"/>
        <w:ind w:left="1500"/>
      </w:pPr>
      <w:r>
        <w:rPr>
          <w:color w:val="231F20"/>
          <w:spacing w:val="-4"/>
          <w:w w:val="105"/>
        </w:rPr>
        <w:t>$3.08</w:t>
      </w:r>
    </w:p>
    <w:p>
      <w:pPr>
        <w:pStyle w:val="BodyText"/>
        <w:tabs>
          <w:tab w:pos="5078" w:val="left" w:leader="none"/>
        </w:tabs>
        <w:spacing w:line="278" w:lineRule="auto" w:before="42"/>
        <w:ind w:left="1500" w:right="1416" w:hanging="241"/>
      </w:pPr>
      <w:r>
        <w:rPr/>
        <w:pict>
          <v:rect style="position:absolute;margin-left:262.603119pt;margin-top:9.78091pt;width:4.93095pt;height:.7242pt;mso-position-horizontal-relative:page;mso-position-vertical-relative:paragraph;z-index:-25202688" id="docshape58" filled="true" fillcolor="#231f20" stroked="false">
            <v:fill type="solid"/>
            <w10:wrap type="none"/>
          </v:rect>
        </w:pict>
      </w:r>
      <w:r>
        <w:rPr>
          <w:color w:val="231F20"/>
        </w:rPr>
        <w:t>$3.08 Wholesaler Price to Retailer </w:t>
      </w:r>
      <w:r>
        <w:rPr>
          <w:rFonts w:ascii="Symbol" w:hAnsi="Symbol"/>
          <w:color w:val="231F20"/>
        </w:rPr>
        <w:t></w:t>
      </w:r>
      <w:r>
        <w:rPr>
          <w:rFonts w:ascii="Times New Roman" w:hAnsi="Times New Roman"/>
          <w:color w:val="231F20"/>
        </w:rPr>
        <w:t> </w:t>
      </w:r>
      <w:r>
        <w:rPr>
          <w:color w:val="231F20"/>
        </w:rPr>
        <w:t>(1</w:t>
        <w:tab/>
        <w:t>.09 </w:t>
      </w:r>
      <w:r>
        <w:rPr>
          <w:color w:val="231F20"/>
        </w:rPr>
        <w:t>Wholesale Markup) </w:t>
      </w:r>
      <w:r>
        <w:rPr>
          <w:rFonts w:ascii="Symbol" w:hAnsi="Symbol"/>
          <w:color w:val="231F20"/>
        </w:rPr>
        <w:t></w:t>
      </w:r>
      <w:r>
        <w:rPr>
          <w:rFonts w:ascii="Times New Roman" w:hAnsi="Times New Roman"/>
          <w:color w:val="231F20"/>
        </w:rPr>
        <w:t> </w:t>
      </w:r>
      <w:r>
        <w:rPr>
          <w:color w:val="231F20"/>
        </w:rPr>
        <w:t>$2.80</w:t>
      </w:r>
    </w:p>
    <w:p>
      <w:pPr>
        <w:pStyle w:val="BodyText"/>
        <w:spacing w:line="292" w:lineRule="auto" w:before="14"/>
        <w:ind w:left="1500" w:right="1262" w:hanging="240"/>
      </w:pPr>
      <w:r>
        <w:rPr>
          <w:color w:val="231F20"/>
        </w:rPr>
        <w:t>$2.80 would be Kraft Foods’ (the Processor’s) Price to </w:t>
      </w:r>
      <w:r>
        <w:rPr>
          <w:color w:val="231F20"/>
          <w:spacing w:val="-2"/>
        </w:rPr>
        <w:t>Wholesalers</w:t>
      </w:r>
    </w:p>
    <w:p>
      <w:pPr>
        <w:pStyle w:val="BodyText"/>
        <w:spacing w:before="6"/>
        <w:rPr>
          <w:sz w:val="25"/>
        </w:rPr>
      </w:pPr>
    </w:p>
    <w:p>
      <w:pPr>
        <w:pStyle w:val="BodyText"/>
        <w:ind w:left="1260"/>
        <w:jc w:val="both"/>
      </w:pPr>
      <w:r>
        <w:rPr>
          <w:color w:val="231F20"/>
        </w:rPr>
        <w:t>At</w:t>
      </w:r>
      <w:r>
        <w:rPr>
          <w:color w:val="231F20"/>
          <w:spacing w:val="62"/>
        </w:rPr>
        <w:t> </w:t>
      </w:r>
      <w:r>
        <w:rPr>
          <w:color w:val="231F20"/>
        </w:rPr>
        <w:t>the</w:t>
      </w:r>
      <w:r>
        <w:rPr>
          <w:color w:val="231F20"/>
          <w:spacing w:val="62"/>
        </w:rPr>
        <w:t> </w:t>
      </w:r>
      <w:r>
        <w:rPr>
          <w:color w:val="231F20"/>
        </w:rPr>
        <w:t>$4.00</w:t>
      </w:r>
      <w:r>
        <w:rPr>
          <w:color w:val="231F20"/>
          <w:spacing w:val="62"/>
        </w:rPr>
        <w:t> </w:t>
      </w:r>
      <w:r>
        <w:rPr>
          <w:color w:val="231F20"/>
        </w:rPr>
        <w:t>price,</w:t>
      </w:r>
      <w:r>
        <w:rPr>
          <w:color w:val="231F20"/>
          <w:spacing w:val="62"/>
        </w:rPr>
        <w:t> </w:t>
      </w:r>
      <w:r>
        <w:rPr>
          <w:color w:val="231F20"/>
        </w:rPr>
        <w:t>Kraft</w:t>
      </w:r>
      <w:r>
        <w:rPr>
          <w:color w:val="231F20"/>
          <w:spacing w:val="62"/>
        </w:rPr>
        <w:t> </w:t>
      </w:r>
      <w:r>
        <w:rPr>
          <w:color w:val="231F20"/>
        </w:rPr>
        <w:t>Foods’</w:t>
      </w:r>
      <w:r>
        <w:rPr>
          <w:color w:val="231F20"/>
          <w:spacing w:val="62"/>
        </w:rPr>
        <w:t> </w:t>
      </w:r>
      <w:r>
        <w:rPr>
          <w:color w:val="231F20"/>
        </w:rPr>
        <w:t>brand</w:t>
      </w:r>
      <w:r>
        <w:rPr>
          <w:color w:val="231F20"/>
          <w:spacing w:val="62"/>
        </w:rPr>
        <w:t> </w:t>
      </w:r>
      <w:r>
        <w:rPr>
          <w:color w:val="231F20"/>
        </w:rPr>
        <w:t>manager</w:t>
      </w:r>
      <w:r>
        <w:rPr>
          <w:color w:val="231F20"/>
          <w:spacing w:val="62"/>
        </w:rPr>
        <w:t> </w:t>
      </w:r>
      <w:r>
        <w:rPr>
          <w:color w:val="231F20"/>
        </w:rPr>
        <w:t>must</w:t>
      </w:r>
      <w:r>
        <w:rPr>
          <w:color w:val="231F20"/>
          <w:spacing w:val="62"/>
        </w:rPr>
        <w:t> </w:t>
      </w:r>
      <w:r>
        <w:rPr>
          <w:color w:val="231F20"/>
        </w:rPr>
        <w:t>ask</w:t>
      </w:r>
      <w:r>
        <w:rPr>
          <w:color w:val="231F20"/>
          <w:spacing w:val="62"/>
        </w:rPr>
        <w:t> </w:t>
      </w:r>
      <w:r>
        <w:rPr>
          <w:color w:val="231F20"/>
          <w:spacing w:val="-5"/>
        </w:rPr>
        <w:t>if</w:t>
      </w:r>
    </w:p>
    <w:p>
      <w:pPr>
        <w:pStyle w:val="BodyText"/>
        <w:spacing w:line="292" w:lineRule="auto" w:before="54"/>
        <w:ind w:left="920" w:right="663"/>
        <w:jc w:val="both"/>
      </w:pPr>
      <w:r>
        <w:rPr/>
        <w:pict>
          <v:rect style="position:absolute;margin-left:124.147751pt;margin-top:9.801565pt;width:4.930940pt;height:.7242pt;mso-position-horizontal-relative:page;mso-position-vertical-relative:paragraph;z-index:-25202176" id="docshape59" filled="true" fillcolor="#231f20" stroked="false">
            <v:fill type="solid"/>
            <w10:wrap type="none"/>
          </v:rect>
        </w:pict>
      </w:r>
      <w:r>
        <w:rPr>
          <w:color w:val="231F20"/>
        </w:rPr>
        <w:t>$1.75 ($2.80</w:t>
      </w:r>
      <w:r>
        <w:rPr>
          <w:color w:val="231F20"/>
          <w:spacing w:val="40"/>
        </w:rPr>
        <w:t> </w:t>
      </w:r>
      <w:r>
        <w:rPr>
          <w:color w:val="231F20"/>
        </w:rPr>
        <w:t>$1.05) per pound is a sufficient margin to cover costs and provide an adequate profit. If the answer is no, the brand man- ager must reexamine the marketing plan’s channel mathematics. </w:t>
      </w:r>
      <w:r>
        <w:rPr>
          <w:color w:val="231F20"/>
        </w:rPr>
        <w:t>Be- cause marketing strategy is a circular process, another price, manufacturing process, or cost may have to be altered. Such changes could affect all the other elements of the plan.</w:t>
      </w:r>
    </w:p>
    <w:p>
      <w:pPr>
        <w:pStyle w:val="BodyText"/>
        <w:spacing w:line="292" w:lineRule="auto"/>
        <w:ind w:left="920" w:right="663" w:firstLine="340"/>
        <w:jc w:val="both"/>
      </w:pPr>
      <w:r>
        <w:rPr>
          <w:color w:val="231F20"/>
        </w:rPr>
        <w:t>The relative power of the channel participants can dictate </w:t>
      </w:r>
      <w:r>
        <w:rPr>
          <w:color w:val="231F20"/>
        </w:rPr>
        <w:t>pric- ing decisions based on the economics of the channel chosen. In Kraft Foods’</w:t>
      </w:r>
      <w:r>
        <w:rPr>
          <w:color w:val="231F20"/>
          <w:spacing w:val="54"/>
        </w:rPr>
        <w:t> </w:t>
      </w:r>
      <w:r>
        <w:rPr>
          <w:color w:val="231F20"/>
        </w:rPr>
        <w:t>case,</w:t>
      </w:r>
      <w:r>
        <w:rPr>
          <w:color w:val="231F20"/>
          <w:spacing w:val="54"/>
        </w:rPr>
        <w:t> </w:t>
      </w:r>
      <w:r>
        <w:rPr>
          <w:color w:val="231F20"/>
        </w:rPr>
        <w:t>the</w:t>
      </w:r>
      <w:r>
        <w:rPr>
          <w:color w:val="231F20"/>
          <w:spacing w:val="55"/>
        </w:rPr>
        <w:t> </w:t>
      </w:r>
      <w:r>
        <w:rPr>
          <w:color w:val="231F20"/>
        </w:rPr>
        <w:t>brand</w:t>
      </w:r>
      <w:r>
        <w:rPr>
          <w:color w:val="231F20"/>
          <w:spacing w:val="54"/>
        </w:rPr>
        <w:t> </w:t>
      </w:r>
      <w:r>
        <w:rPr>
          <w:color w:val="231F20"/>
        </w:rPr>
        <w:t>manager</w:t>
      </w:r>
      <w:r>
        <w:rPr>
          <w:color w:val="231F20"/>
          <w:spacing w:val="55"/>
        </w:rPr>
        <w:t> </w:t>
      </w:r>
      <w:r>
        <w:rPr>
          <w:color w:val="231F20"/>
        </w:rPr>
        <w:t>could</w:t>
      </w:r>
      <w:r>
        <w:rPr>
          <w:color w:val="231F20"/>
          <w:spacing w:val="54"/>
        </w:rPr>
        <w:t> </w:t>
      </w:r>
      <w:r>
        <w:rPr>
          <w:color w:val="231F20"/>
        </w:rPr>
        <w:t>have</w:t>
      </w:r>
      <w:r>
        <w:rPr>
          <w:color w:val="231F20"/>
          <w:spacing w:val="54"/>
        </w:rPr>
        <w:t> </w:t>
      </w:r>
      <w:r>
        <w:rPr>
          <w:color w:val="231F20"/>
        </w:rPr>
        <w:t>opted</w:t>
      </w:r>
      <w:r>
        <w:rPr>
          <w:color w:val="231F20"/>
          <w:spacing w:val="55"/>
        </w:rPr>
        <w:t> </w:t>
      </w:r>
      <w:r>
        <w:rPr>
          <w:color w:val="231F20"/>
        </w:rPr>
        <w:t>for</w:t>
      </w:r>
      <w:r>
        <w:rPr>
          <w:color w:val="231F20"/>
          <w:spacing w:val="54"/>
        </w:rPr>
        <w:t> </w:t>
      </w:r>
      <w:r>
        <w:rPr>
          <w:color w:val="231F20"/>
        </w:rPr>
        <w:t>the</w:t>
      </w:r>
      <w:r>
        <w:rPr>
          <w:color w:val="231F20"/>
          <w:spacing w:val="55"/>
        </w:rPr>
        <w:t> </w:t>
      </w:r>
      <w:r>
        <w:rPr>
          <w:color w:val="231F20"/>
          <w:spacing w:val="-2"/>
        </w:rPr>
        <w:t>lower</w:t>
      </w:r>
    </w:p>
    <w:p>
      <w:pPr>
        <w:pStyle w:val="BodyText"/>
        <w:spacing w:line="292" w:lineRule="auto"/>
        <w:ind w:left="920" w:right="666"/>
        <w:jc w:val="both"/>
      </w:pPr>
      <w:r>
        <w:rPr>
          <w:color w:val="231F20"/>
        </w:rPr>
        <w:t>$4.00 retail price in the grocery store. However, he chose $6.00 </w:t>
      </w:r>
      <w:r>
        <w:rPr>
          <w:color w:val="231F20"/>
        </w:rPr>
        <w:t>to yield his desired profits.</w:t>
      </w:r>
    </w:p>
    <w:p>
      <w:pPr>
        <w:pStyle w:val="BodyText"/>
        <w:spacing w:line="292" w:lineRule="auto"/>
        <w:ind w:left="920" w:right="666" w:firstLine="340"/>
        <w:jc w:val="both"/>
      </w:pPr>
      <w:r>
        <w:rPr>
          <w:color w:val="231F20"/>
        </w:rPr>
        <w:t>Kraft Foods decided to use an alternative channel in addition </w:t>
      </w:r>
      <w:r>
        <w:rPr>
          <w:color w:val="231F20"/>
        </w:rPr>
        <w:t>to grocery stores. Kraft “bypassed” the grocery trade’s middlemen and sold</w:t>
      </w:r>
      <w:r>
        <w:rPr>
          <w:color w:val="231F20"/>
          <w:spacing w:val="23"/>
        </w:rPr>
        <w:t> </w:t>
      </w:r>
      <w:r>
        <w:rPr>
          <w:color w:val="231F20"/>
        </w:rPr>
        <w:t>its</w:t>
      </w:r>
      <w:r>
        <w:rPr>
          <w:color w:val="231F20"/>
          <w:spacing w:val="23"/>
        </w:rPr>
        <w:t> </w:t>
      </w:r>
      <w:r>
        <w:rPr>
          <w:color w:val="231F20"/>
        </w:rPr>
        <w:t>Gevalia</w:t>
      </w:r>
      <w:r>
        <w:rPr>
          <w:color w:val="231F20"/>
          <w:spacing w:val="23"/>
        </w:rPr>
        <w:t> </w:t>
      </w:r>
      <w:r>
        <w:rPr>
          <w:color w:val="231F20"/>
        </w:rPr>
        <w:t>coffee</w:t>
      </w:r>
      <w:r>
        <w:rPr>
          <w:color w:val="231F20"/>
          <w:spacing w:val="23"/>
        </w:rPr>
        <w:t> </w:t>
      </w:r>
      <w:r>
        <w:rPr>
          <w:color w:val="231F20"/>
        </w:rPr>
        <w:t>brand</w:t>
      </w:r>
      <w:r>
        <w:rPr>
          <w:color w:val="231F20"/>
          <w:spacing w:val="23"/>
        </w:rPr>
        <w:t> </w:t>
      </w:r>
      <w:r>
        <w:rPr>
          <w:color w:val="231F20"/>
        </w:rPr>
        <w:t>directly</w:t>
      </w:r>
      <w:r>
        <w:rPr>
          <w:color w:val="231F20"/>
          <w:spacing w:val="23"/>
        </w:rPr>
        <w:t> </w:t>
      </w:r>
      <w:r>
        <w:rPr>
          <w:color w:val="231F20"/>
        </w:rPr>
        <w:t>to</w:t>
      </w:r>
      <w:r>
        <w:rPr>
          <w:color w:val="231F20"/>
          <w:spacing w:val="23"/>
        </w:rPr>
        <w:t> </w:t>
      </w:r>
      <w:r>
        <w:rPr>
          <w:color w:val="231F20"/>
        </w:rPr>
        <w:t>coffee</w:t>
      </w:r>
      <w:r>
        <w:rPr>
          <w:color w:val="231F20"/>
          <w:spacing w:val="23"/>
        </w:rPr>
        <w:t> </w:t>
      </w:r>
      <w:r>
        <w:rPr>
          <w:color w:val="231F20"/>
        </w:rPr>
        <w:t>lovers</w:t>
      </w:r>
      <w:r>
        <w:rPr>
          <w:color w:val="231F20"/>
          <w:spacing w:val="23"/>
        </w:rPr>
        <w:t> </w:t>
      </w:r>
      <w:r>
        <w:rPr>
          <w:color w:val="231F20"/>
        </w:rPr>
        <w:t>by</w:t>
      </w:r>
      <w:r>
        <w:rPr>
          <w:color w:val="231F20"/>
          <w:spacing w:val="23"/>
        </w:rPr>
        <w:t> </w:t>
      </w:r>
      <w:r>
        <w:rPr>
          <w:color w:val="231F20"/>
        </w:rPr>
        <w:t>mail</w:t>
      </w:r>
      <w:r>
        <w:rPr>
          <w:color w:val="231F20"/>
          <w:spacing w:val="23"/>
        </w:rPr>
        <w:t> </w:t>
      </w:r>
      <w:r>
        <w:rPr>
          <w:color w:val="231F20"/>
        </w:rPr>
        <w:t>order at a price over $8.00 per pound. With most products there are usu- ally a variety of ways to reach the consumer. Each channel has its own channel margin mathematics. By understanding the math you are better able to make a choice of channel.</w:t>
      </w:r>
    </w:p>
    <w:p>
      <w:pPr>
        <w:pStyle w:val="BodyText"/>
        <w:spacing w:before="9"/>
        <w:rPr>
          <w:sz w:val="26"/>
        </w:rPr>
      </w:pPr>
    </w:p>
    <w:p>
      <w:pPr>
        <w:spacing w:before="1"/>
        <w:ind w:left="1260" w:right="0" w:firstLine="0"/>
        <w:jc w:val="both"/>
        <w:rPr>
          <w:rFonts w:ascii="Arial"/>
          <w:i/>
          <w:sz w:val="19"/>
        </w:rPr>
      </w:pPr>
      <w:r>
        <w:rPr>
          <w:rFonts w:ascii="Arial"/>
          <w:i/>
          <w:color w:val="231F20"/>
          <w:w w:val="110"/>
          <w:sz w:val="19"/>
        </w:rPr>
        <w:t>Who</w:t>
      </w:r>
      <w:r>
        <w:rPr>
          <w:rFonts w:ascii="Arial"/>
          <w:i/>
          <w:color w:val="231F20"/>
          <w:spacing w:val="15"/>
          <w:w w:val="110"/>
          <w:sz w:val="19"/>
        </w:rPr>
        <w:t> </w:t>
      </w:r>
      <w:r>
        <w:rPr>
          <w:rFonts w:ascii="Arial"/>
          <w:i/>
          <w:color w:val="231F20"/>
          <w:w w:val="110"/>
          <w:sz w:val="19"/>
        </w:rPr>
        <w:t>has</w:t>
      </w:r>
      <w:r>
        <w:rPr>
          <w:rFonts w:ascii="Arial"/>
          <w:i/>
          <w:color w:val="231F20"/>
          <w:spacing w:val="16"/>
          <w:w w:val="110"/>
          <w:sz w:val="19"/>
        </w:rPr>
        <w:t> </w:t>
      </w:r>
      <w:r>
        <w:rPr>
          <w:rFonts w:ascii="Arial"/>
          <w:i/>
          <w:color w:val="231F20"/>
          <w:w w:val="110"/>
          <w:sz w:val="19"/>
        </w:rPr>
        <w:t>the</w:t>
      </w:r>
      <w:r>
        <w:rPr>
          <w:rFonts w:ascii="Arial"/>
          <w:i/>
          <w:color w:val="231F20"/>
          <w:spacing w:val="15"/>
          <w:w w:val="110"/>
          <w:sz w:val="19"/>
        </w:rPr>
        <w:t> </w:t>
      </w:r>
      <w:r>
        <w:rPr>
          <w:rFonts w:ascii="Arial"/>
          <w:i/>
          <w:color w:val="231F20"/>
          <w:w w:val="110"/>
          <w:sz w:val="19"/>
        </w:rPr>
        <w:t>power</w:t>
      </w:r>
      <w:r>
        <w:rPr>
          <w:rFonts w:ascii="Arial"/>
          <w:i/>
          <w:color w:val="231F20"/>
          <w:spacing w:val="16"/>
          <w:w w:val="110"/>
          <w:sz w:val="19"/>
        </w:rPr>
        <w:t> </w:t>
      </w:r>
      <w:r>
        <w:rPr>
          <w:rFonts w:ascii="Arial"/>
          <w:i/>
          <w:color w:val="231F20"/>
          <w:w w:val="110"/>
          <w:sz w:val="19"/>
        </w:rPr>
        <w:t>in</w:t>
      </w:r>
      <w:r>
        <w:rPr>
          <w:rFonts w:ascii="Arial"/>
          <w:i/>
          <w:color w:val="231F20"/>
          <w:spacing w:val="16"/>
          <w:w w:val="110"/>
          <w:sz w:val="19"/>
        </w:rPr>
        <w:t> </w:t>
      </w:r>
      <w:r>
        <w:rPr>
          <w:rFonts w:ascii="Arial"/>
          <w:i/>
          <w:color w:val="231F20"/>
          <w:w w:val="110"/>
          <w:sz w:val="19"/>
        </w:rPr>
        <w:t>the</w:t>
      </w:r>
      <w:r>
        <w:rPr>
          <w:rFonts w:ascii="Arial"/>
          <w:i/>
          <w:color w:val="231F20"/>
          <w:spacing w:val="15"/>
          <w:w w:val="110"/>
          <w:sz w:val="19"/>
        </w:rPr>
        <w:t> </w:t>
      </w:r>
      <w:r>
        <w:rPr>
          <w:rFonts w:ascii="Arial"/>
          <w:i/>
          <w:color w:val="231F20"/>
          <w:spacing w:val="-2"/>
          <w:w w:val="110"/>
          <w:sz w:val="19"/>
        </w:rPr>
        <w:t>channels?</w:t>
      </w:r>
    </w:p>
    <w:p>
      <w:pPr>
        <w:pStyle w:val="BodyText"/>
        <w:spacing w:line="292" w:lineRule="auto" w:before="60"/>
        <w:ind w:left="920" w:right="666" w:firstLine="340"/>
        <w:jc w:val="both"/>
      </w:pPr>
      <w:r>
        <w:rPr>
          <w:color w:val="231F20"/>
        </w:rPr>
        <w:t>The question of channel power is crucial in selecting where to sell. If your product is unique and in demand, then the </w:t>
      </w:r>
      <w:r>
        <w:rPr>
          <w:color w:val="231F20"/>
        </w:rPr>
        <w:t>manufacturer generally has the power to outline the terms of the relationship. If not, the channel’s intermediaries will be able to dictate the terms to take as much margin as possible.</w:t>
      </w:r>
    </w:p>
    <w:p>
      <w:pPr>
        <w:pStyle w:val="BodyText"/>
        <w:spacing w:line="292" w:lineRule="auto"/>
        <w:ind w:left="920" w:right="665" w:firstLine="340"/>
        <w:jc w:val="both"/>
      </w:pPr>
      <w:r>
        <w:rPr>
          <w:color w:val="231F20"/>
        </w:rPr>
        <w:t>In the grocery trade, the power of the channel has shifted from the</w:t>
      </w:r>
      <w:r>
        <w:rPr>
          <w:color w:val="231F20"/>
          <w:spacing w:val="41"/>
        </w:rPr>
        <w:t> </w:t>
      </w:r>
      <w:r>
        <w:rPr>
          <w:color w:val="231F20"/>
        </w:rPr>
        <w:t>manufacturers</w:t>
      </w:r>
      <w:r>
        <w:rPr>
          <w:color w:val="231F20"/>
          <w:spacing w:val="42"/>
        </w:rPr>
        <w:t> </w:t>
      </w:r>
      <w:r>
        <w:rPr>
          <w:color w:val="231F20"/>
        </w:rPr>
        <w:t>to</w:t>
      </w:r>
      <w:r>
        <w:rPr>
          <w:color w:val="231F20"/>
          <w:spacing w:val="41"/>
        </w:rPr>
        <w:t> </w:t>
      </w:r>
      <w:r>
        <w:rPr>
          <w:color w:val="231F20"/>
        </w:rPr>
        <w:t>the</w:t>
      </w:r>
      <w:r>
        <w:rPr>
          <w:color w:val="231F20"/>
          <w:spacing w:val="42"/>
        </w:rPr>
        <w:t> </w:t>
      </w:r>
      <w:r>
        <w:rPr>
          <w:color w:val="231F20"/>
        </w:rPr>
        <w:t>supermarket</w:t>
      </w:r>
      <w:r>
        <w:rPr>
          <w:color w:val="231F20"/>
          <w:spacing w:val="42"/>
        </w:rPr>
        <w:t> </w:t>
      </w:r>
      <w:r>
        <w:rPr>
          <w:color w:val="231F20"/>
        </w:rPr>
        <w:t>chains.</w:t>
      </w:r>
      <w:r>
        <w:rPr>
          <w:color w:val="231F20"/>
          <w:spacing w:val="41"/>
        </w:rPr>
        <w:t> </w:t>
      </w:r>
      <w:r>
        <w:rPr>
          <w:color w:val="231F20"/>
        </w:rPr>
        <w:t>As</w:t>
      </w:r>
      <w:r>
        <w:rPr>
          <w:color w:val="231F20"/>
          <w:spacing w:val="42"/>
        </w:rPr>
        <w:t> </w:t>
      </w:r>
      <w:r>
        <w:rPr>
          <w:color w:val="231F20"/>
        </w:rPr>
        <w:t>smaller</w:t>
      </w:r>
      <w:r>
        <w:rPr>
          <w:color w:val="231F20"/>
          <w:spacing w:val="42"/>
        </w:rPr>
        <w:t> </w:t>
      </w:r>
      <w:r>
        <w:rPr>
          <w:color w:val="231F20"/>
          <w:spacing w:val="-2"/>
        </w:rPr>
        <w:t>grocery</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3"/>
        <w:jc w:val="both"/>
      </w:pPr>
      <w:r>
        <w:rPr>
          <w:color w:val="231F20"/>
        </w:rPr>
        <w:t>chains consolidated into larger superchains in the 1980s, the larger chains’ management realized that they held the prized real estate, “shelf</w:t>
      </w:r>
      <w:r>
        <w:rPr>
          <w:color w:val="231F20"/>
          <w:spacing w:val="40"/>
        </w:rPr>
        <w:t> </w:t>
      </w:r>
      <w:r>
        <w:rPr>
          <w:color w:val="231F20"/>
        </w:rPr>
        <w:t>space.”</w:t>
      </w:r>
      <w:r>
        <w:rPr>
          <w:color w:val="231F20"/>
          <w:spacing w:val="40"/>
        </w:rPr>
        <w:t> </w:t>
      </w:r>
      <w:r>
        <w:rPr>
          <w:color w:val="231F20"/>
        </w:rPr>
        <w:t>Each</w:t>
      </w:r>
      <w:r>
        <w:rPr>
          <w:color w:val="231F20"/>
          <w:spacing w:val="40"/>
        </w:rPr>
        <w:t> </w:t>
      </w:r>
      <w:r>
        <w:rPr>
          <w:i/>
          <w:color w:val="231F20"/>
        </w:rPr>
        <w:t>stock</w:t>
      </w:r>
      <w:r>
        <w:rPr>
          <w:i/>
          <w:color w:val="231F20"/>
          <w:spacing w:val="40"/>
        </w:rPr>
        <w:t> </w:t>
      </w:r>
      <w:r>
        <w:rPr>
          <w:i/>
          <w:color w:val="231F20"/>
        </w:rPr>
        <w:t>keeping</w:t>
      </w:r>
      <w:r>
        <w:rPr>
          <w:i/>
          <w:color w:val="231F20"/>
          <w:spacing w:val="40"/>
        </w:rPr>
        <w:t> </w:t>
      </w:r>
      <w:r>
        <w:rPr>
          <w:i/>
          <w:color w:val="231F20"/>
        </w:rPr>
        <w:t>unit</w:t>
      </w:r>
      <w:r>
        <w:rPr>
          <w:i/>
          <w:color w:val="231F20"/>
          <w:spacing w:val="40"/>
        </w:rPr>
        <w:t> </w:t>
      </w:r>
      <w:r>
        <w:rPr>
          <w:color w:val="231F20"/>
        </w:rPr>
        <w:t>(SKU)</w:t>
      </w:r>
      <w:r>
        <w:rPr>
          <w:color w:val="231F20"/>
          <w:spacing w:val="40"/>
        </w:rPr>
        <w:t> </w:t>
      </w:r>
      <w:r>
        <w:rPr>
          <w:color w:val="231F20"/>
        </w:rPr>
        <w:t>on</w:t>
      </w:r>
      <w:r>
        <w:rPr>
          <w:color w:val="231F20"/>
          <w:spacing w:val="40"/>
        </w:rPr>
        <w:t> </w:t>
      </w:r>
      <w:r>
        <w:rPr>
          <w:color w:val="231F20"/>
        </w:rPr>
        <w:t>the</w:t>
      </w:r>
      <w:r>
        <w:rPr>
          <w:color w:val="231F20"/>
          <w:spacing w:val="40"/>
        </w:rPr>
        <w:t> </w:t>
      </w:r>
      <w:r>
        <w:rPr>
          <w:color w:val="231F20"/>
        </w:rPr>
        <w:t>shelf</w:t>
      </w:r>
      <w:r>
        <w:rPr>
          <w:color w:val="231F20"/>
          <w:spacing w:val="40"/>
        </w:rPr>
        <w:t> </w:t>
      </w:r>
      <w:r>
        <w:rPr>
          <w:color w:val="231F20"/>
        </w:rPr>
        <w:t>takes space. Each product must be tracked, shelved, and inventoried. (When Mazola cooking oil produces three sizes, it takes up three (SKUs.) With a finite amount of store and warehouse space, the shelf real estate has become valuable, and retailers want to be paid for carrying each SKU. Marketers even diagram their shelves like archi- tects in drawings called </w:t>
      </w:r>
      <w:r>
        <w:rPr>
          <w:i/>
          <w:color w:val="231F20"/>
        </w:rPr>
        <w:t>planograms </w:t>
      </w:r>
      <w:r>
        <w:rPr>
          <w:color w:val="231F20"/>
        </w:rPr>
        <w:t>and fight over best placement.</w:t>
      </w:r>
    </w:p>
    <w:p>
      <w:pPr>
        <w:pStyle w:val="BodyText"/>
        <w:rPr>
          <w:sz w:val="24"/>
        </w:rPr>
      </w:pPr>
    </w:p>
    <w:p>
      <w:pPr>
        <w:pStyle w:val="BodyText"/>
        <w:spacing w:before="7"/>
        <w:rPr>
          <w:sz w:val="32"/>
        </w:rPr>
      </w:pPr>
    </w:p>
    <w:p>
      <w:pPr>
        <w:spacing w:line="357" w:lineRule="auto" w:before="0"/>
        <w:ind w:left="1611" w:right="1256" w:hanging="49"/>
        <w:jc w:val="left"/>
        <w:rPr>
          <w:rFonts w:ascii="Arial" w:hAnsi="Arial"/>
          <w:sz w:val="14"/>
        </w:rPr>
      </w:pPr>
      <w:r>
        <w:rPr>
          <w:rFonts w:ascii="Arial" w:hAnsi="Arial"/>
          <w:color w:val="231F20"/>
          <w:w w:val="105"/>
          <w:sz w:val="14"/>
        </w:rPr>
        <w:t>CHANNEL</w:t>
      </w:r>
      <w:r>
        <w:rPr>
          <w:rFonts w:ascii="Arial" w:hAnsi="Arial"/>
          <w:color w:val="231F20"/>
          <w:spacing w:val="35"/>
          <w:w w:val="105"/>
          <w:sz w:val="14"/>
        </w:rPr>
        <w:t> </w:t>
      </w:r>
      <w:r>
        <w:rPr>
          <w:rFonts w:ascii="Arial" w:hAnsi="Arial"/>
          <w:color w:val="231F20"/>
          <w:w w:val="105"/>
          <w:sz w:val="14"/>
        </w:rPr>
        <w:t>OF</w:t>
      </w:r>
      <w:r>
        <w:rPr>
          <w:rFonts w:ascii="Arial" w:hAnsi="Arial"/>
          <w:color w:val="231F20"/>
          <w:spacing w:val="35"/>
          <w:w w:val="105"/>
          <w:sz w:val="14"/>
        </w:rPr>
        <w:t> </w:t>
      </w:r>
      <w:r>
        <w:rPr>
          <w:rFonts w:ascii="Arial" w:hAnsi="Arial"/>
          <w:color w:val="231F20"/>
          <w:w w:val="105"/>
          <w:sz w:val="14"/>
        </w:rPr>
        <w:t>DISTRIBUTION</w:t>
      </w:r>
      <w:r>
        <w:rPr>
          <w:rFonts w:ascii="Arial" w:hAnsi="Arial"/>
          <w:color w:val="231F20"/>
          <w:spacing w:val="35"/>
          <w:w w:val="105"/>
          <w:sz w:val="14"/>
        </w:rPr>
        <w:t> </w:t>
      </w:r>
      <w:r>
        <w:rPr>
          <w:rFonts w:ascii="Arial" w:hAnsi="Arial"/>
          <w:color w:val="231F20"/>
          <w:w w:val="105"/>
          <w:sz w:val="14"/>
        </w:rPr>
        <w:t>FOR</w:t>
      </w:r>
      <w:r>
        <w:rPr>
          <w:rFonts w:ascii="Arial" w:hAnsi="Arial"/>
          <w:color w:val="231F20"/>
          <w:spacing w:val="35"/>
          <w:w w:val="105"/>
          <w:sz w:val="14"/>
        </w:rPr>
        <w:t> </w:t>
      </w:r>
      <w:r>
        <w:rPr>
          <w:rFonts w:ascii="Arial" w:hAnsi="Arial"/>
          <w:color w:val="231F20"/>
          <w:w w:val="105"/>
          <w:sz w:val="14"/>
        </w:rPr>
        <w:t>MAXWELL</w:t>
      </w:r>
      <w:r>
        <w:rPr>
          <w:rFonts w:ascii="Arial" w:hAnsi="Arial"/>
          <w:color w:val="231F20"/>
          <w:spacing w:val="35"/>
          <w:w w:val="105"/>
          <w:sz w:val="14"/>
        </w:rPr>
        <w:t> </w:t>
      </w:r>
      <w:r>
        <w:rPr>
          <w:rFonts w:ascii="Arial" w:hAnsi="Arial"/>
          <w:color w:val="231F20"/>
          <w:w w:val="105"/>
          <w:sz w:val="14"/>
        </w:rPr>
        <w:t>HOUSE’S</w:t>
      </w:r>
      <w:r>
        <w:rPr>
          <w:rFonts w:ascii="Arial" w:hAnsi="Arial"/>
          <w:color w:val="231F20"/>
          <w:spacing w:val="35"/>
          <w:w w:val="105"/>
          <w:sz w:val="14"/>
        </w:rPr>
        <w:t> </w:t>
      </w:r>
      <w:r>
        <w:rPr>
          <w:rFonts w:ascii="Arial" w:hAnsi="Arial"/>
          <w:color w:val="231F20"/>
          <w:w w:val="105"/>
          <w:sz w:val="14"/>
        </w:rPr>
        <w:t>PRIVATE COLLECTION</w:t>
      </w:r>
      <w:r>
        <w:rPr>
          <w:rFonts w:ascii="Arial" w:hAnsi="Arial"/>
          <w:color w:val="231F20"/>
          <w:spacing w:val="40"/>
          <w:w w:val="105"/>
          <w:sz w:val="14"/>
        </w:rPr>
        <w:t> </w:t>
      </w:r>
      <w:r>
        <w:rPr>
          <w:rFonts w:ascii="Arial" w:hAnsi="Arial"/>
          <w:color w:val="231F20"/>
          <w:w w:val="105"/>
          <w:sz w:val="14"/>
        </w:rPr>
        <w:t>COFFEE</w:t>
      </w:r>
      <w:r>
        <w:rPr>
          <w:rFonts w:ascii="Arial" w:hAnsi="Arial"/>
          <w:color w:val="231F20"/>
          <w:spacing w:val="40"/>
          <w:w w:val="105"/>
          <w:sz w:val="14"/>
        </w:rPr>
        <w:t> </w:t>
      </w:r>
      <w:r>
        <w:rPr>
          <w:rFonts w:ascii="Arial" w:hAnsi="Arial"/>
          <w:color w:val="231F20"/>
          <w:w w:val="105"/>
          <w:sz w:val="14"/>
        </w:rPr>
        <w:t>WITH</w:t>
      </w:r>
      <w:r>
        <w:rPr>
          <w:rFonts w:ascii="Arial" w:hAnsi="Arial"/>
          <w:color w:val="231F20"/>
          <w:spacing w:val="40"/>
          <w:w w:val="105"/>
          <w:sz w:val="14"/>
        </w:rPr>
        <w:t> </w:t>
      </w:r>
      <w:r>
        <w:rPr>
          <w:rFonts w:ascii="Arial" w:hAnsi="Arial"/>
          <w:color w:val="231F20"/>
          <w:w w:val="105"/>
          <w:sz w:val="14"/>
        </w:rPr>
        <w:t>CHANNEL</w:t>
      </w:r>
      <w:r>
        <w:rPr>
          <w:rFonts w:ascii="Arial" w:hAnsi="Arial"/>
          <w:color w:val="231F20"/>
          <w:spacing w:val="40"/>
          <w:w w:val="105"/>
          <w:sz w:val="14"/>
        </w:rPr>
        <w:t> </w:t>
      </w:r>
      <w:r>
        <w:rPr>
          <w:rFonts w:ascii="Arial" w:hAnsi="Arial"/>
          <w:color w:val="231F20"/>
          <w:w w:val="105"/>
          <w:sz w:val="14"/>
        </w:rPr>
        <w:t>MARGINS</w:t>
      </w:r>
      <w:r>
        <w:rPr>
          <w:rFonts w:ascii="Arial" w:hAnsi="Arial"/>
          <w:color w:val="231F20"/>
          <w:spacing w:val="40"/>
          <w:w w:val="105"/>
          <w:sz w:val="14"/>
        </w:rPr>
        <w:t> </w:t>
      </w:r>
      <w:r>
        <w:rPr>
          <w:rFonts w:ascii="Arial" w:hAnsi="Arial"/>
          <w:color w:val="231F20"/>
          <w:w w:val="105"/>
          <w:sz w:val="14"/>
        </w:rPr>
        <w:t>AND</w:t>
      </w:r>
      <w:r>
        <w:rPr>
          <w:rFonts w:ascii="Arial" w:hAnsi="Arial"/>
          <w:color w:val="231F20"/>
          <w:spacing w:val="40"/>
          <w:w w:val="105"/>
          <w:sz w:val="14"/>
        </w:rPr>
        <w:t> </w:t>
      </w:r>
      <w:r>
        <w:rPr>
          <w:rFonts w:ascii="Arial" w:hAnsi="Arial"/>
          <w:color w:val="231F20"/>
          <w:w w:val="105"/>
          <w:sz w:val="14"/>
        </w:rPr>
        <w:t>PRICES</w:t>
      </w:r>
    </w:p>
    <w:p>
      <w:pPr>
        <w:pStyle w:val="BodyText"/>
        <w:spacing w:before="3"/>
        <w:rPr>
          <w:rFonts w:ascii="Arial"/>
          <w:sz w:val="10"/>
        </w:rPr>
      </w:pPr>
      <w:r>
        <w:rPr/>
        <w:drawing>
          <wp:anchor distT="0" distB="0" distL="0" distR="0" allowOverlap="1" layoutInCell="1" locked="0" behindDoc="0" simplePos="0" relativeHeight="54">
            <wp:simplePos x="0" y="0"/>
            <wp:positionH relativeFrom="page">
              <wp:posOffset>858603</wp:posOffset>
            </wp:positionH>
            <wp:positionV relativeFrom="paragraph">
              <wp:posOffset>90727</wp:posOffset>
            </wp:positionV>
            <wp:extent cx="3670604" cy="4200525"/>
            <wp:effectExtent l="0" t="0" r="0" b="0"/>
            <wp:wrapTopAndBottom/>
            <wp:docPr id="13" name="image8.png"/>
            <wp:cNvGraphicFramePr>
              <a:graphicFrameLocks noChangeAspect="1"/>
            </wp:cNvGraphicFramePr>
            <a:graphic>
              <a:graphicData uri="http://schemas.openxmlformats.org/drawingml/2006/picture">
                <pic:pic>
                  <pic:nvPicPr>
                    <pic:cNvPr id="14" name="image8.png"/>
                    <pic:cNvPicPr/>
                  </pic:nvPicPr>
                  <pic:blipFill>
                    <a:blip r:embed="rId21" cstate="print"/>
                    <a:stretch>
                      <a:fillRect/>
                    </a:stretch>
                  </pic:blipFill>
                  <pic:spPr>
                    <a:xfrm>
                      <a:off x="0" y="0"/>
                      <a:ext cx="3670604" cy="4200525"/>
                    </a:xfrm>
                    <a:prstGeom prst="rect">
                      <a:avLst/>
                    </a:prstGeom>
                  </pic:spPr>
                </pic:pic>
              </a:graphicData>
            </a:graphic>
          </wp:anchor>
        </w:drawing>
      </w:r>
    </w:p>
    <w:p>
      <w:pPr>
        <w:spacing w:after="0"/>
        <w:rPr>
          <w:rFonts w:ascii="Arial"/>
          <w:sz w:val="10"/>
        </w:rPr>
        <w:sectPr>
          <w:pgSz w:w="8640" w:h="12960"/>
          <w:pgMar w:header="732" w:footer="0" w:top="920" w:bottom="280" w:left="340" w:right="500"/>
        </w:sectPr>
      </w:pPr>
    </w:p>
    <w:p>
      <w:pPr>
        <w:pStyle w:val="BodyText"/>
        <w:rPr>
          <w:rFonts w:ascii="Arial"/>
          <w:sz w:val="18"/>
        </w:rPr>
      </w:pPr>
    </w:p>
    <w:p>
      <w:pPr>
        <w:pStyle w:val="BodyText"/>
        <w:spacing w:line="292" w:lineRule="auto" w:before="102"/>
        <w:ind w:left="920" w:right="663" w:firstLine="340"/>
        <w:jc w:val="both"/>
      </w:pPr>
      <w:r>
        <w:rPr>
          <w:color w:val="231F20"/>
        </w:rPr>
        <w:t>Packaged-goods companies, large and small, must often pay </w:t>
      </w:r>
      <w:r>
        <w:rPr>
          <w:i/>
          <w:color w:val="231F20"/>
        </w:rPr>
        <w:t>slotting fees </w:t>
      </w:r>
      <w:r>
        <w:rPr>
          <w:color w:val="231F20"/>
        </w:rPr>
        <w:t>to the chains to reserve “slots” on their shelves for both new and existing products. In the 1970s the packaged-goods giants could force their products on the trade. When there were many smaller grocery chains, Procter </w:t>
      </w:r>
      <w:r>
        <w:rPr>
          <w:color w:val="231F20"/>
          <w:w w:val="110"/>
        </w:rPr>
        <w:t>&amp;</w:t>
      </w:r>
      <w:r>
        <w:rPr>
          <w:color w:val="231F20"/>
          <w:w w:val="110"/>
        </w:rPr>
        <w:t> </w:t>
      </w:r>
      <w:r>
        <w:rPr>
          <w:color w:val="231F20"/>
        </w:rPr>
        <w:t>Gamble and Kraft Foods could</w:t>
      </w:r>
      <w:r>
        <w:rPr>
          <w:color w:val="231F20"/>
          <w:spacing w:val="80"/>
          <w:w w:val="150"/>
        </w:rPr>
        <w:t> </w:t>
      </w:r>
      <w:r>
        <w:rPr>
          <w:color w:val="231F20"/>
        </w:rPr>
        <w:t>play one chain against another by threatening to withhold their </w:t>
      </w:r>
      <w:r>
        <w:rPr>
          <w:color w:val="231F20"/>
        </w:rPr>
        <w:t>pop- ular products. That is no longer the case.</w:t>
      </w:r>
    </w:p>
    <w:p>
      <w:pPr>
        <w:pStyle w:val="BodyText"/>
        <w:spacing w:line="292" w:lineRule="auto"/>
        <w:ind w:left="920" w:right="663" w:firstLine="340"/>
        <w:jc w:val="both"/>
      </w:pPr>
      <w:r>
        <w:rPr>
          <w:color w:val="231F20"/>
          <w:w w:val="105"/>
        </w:rPr>
        <w:t>Unfortunately,</w:t>
      </w:r>
      <w:r>
        <w:rPr>
          <w:color w:val="231F20"/>
          <w:spacing w:val="-13"/>
          <w:w w:val="105"/>
        </w:rPr>
        <w:t> </w:t>
      </w:r>
      <w:r>
        <w:rPr>
          <w:color w:val="231F20"/>
          <w:w w:val="105"/>
        </w:rPr>
        <w:t>slotting</w:t>
      </w:r>
      <w:r>
        <w:rPr>
          <w:color w:val="231F20"/>
          <w:spacing w:val="-12"/>
          <w:w w:val="105"/>
        </w:rPr>
        <w:t> </w:t>
      </w:r>
      <w:r>
        <w:rPr>
          <w:color w:val="231F20"/>
          <w:w w:val="105"/>
        </w:rPr>
        <w:t>fees</w:t>
      </w:r>
      <w:r>
        <w:rPr>
          <w:color w:val="231F20"/>
          <w:spacing w:val="-12"/>
          <w:w w:val="105"/>
        </w:rPr>
        <w:t> </w:t>
      </w:r>
      <w:r>
        <w:rPr>
          <w:color w:val="231F20"/>
          <w:w w:val="105"/>
        </w:rPr>
        <w:t>can</w:t>
      </w:r>
      <w:r>
        <w:rPr>
          <w:color w:val="231F20"/>
          <w:spacing w:val="-12"/>
          <w:w w:val="105"/>
        </w:rPr>
        <w:t> </w:t>
      </w:r>
      <w:r>
        <w:rPr>
          <w:color w:val="231F20"/>
          <w:w w:val="105"/>
        </w:rPr>
        <w:t>run</w:t>
      </w:r>
      <w:r>
        <w:rPr>
          <w:color w:val="231F20"/>
          <w:spacing w:val="-12"/>
          <w:w w:val="105"/>
        </w:rPr>
        <w:t> </w:t>
      </w:r>
      <w:r>
        <w:rPr>
          <w:color w:val="231F20"/>
          <w:w w:val="105"/>
        </w:rPr>
        <w:t>into</w:t>
      </w:r>
      <w:r>
        <w:rPr>
          <w:color w:val="231F20"/>
          <w:spacing w:val="-12"/>
          <w:w w:val="105"/>
        </w:rPr>
        <w:t> </w:t>
      </w:r>
      <w:r>
        <w:rPr>
          <w:color w:val="231F20"/>
          <w:w w:val="105"/>
        </w:rPr>
        <w:t>millions</w:t>
      </w:r>
      <w:r>
        <w:rPr>
          <w:color w:val="231F20"/>
          <w:spacing w:val="-12"/>
          <w:w w:val="105"/>
        </w:rPr>
        <w:t> </w:t>
      </w:r>
      <w:r>
        <w:rPr>
          <w:color w:val="231F20"/>
          <w:w w:val="105"/>
        </w:rPr>
        <w:t>of</w:t>
      </w:r>
      <w:r>
        <w:rPr>
          <w:color w:val="231F20"/>
          <w:spacing w:val="-13"/>
          <w:w w:val="105"/>
        </w:rPr>
        <w:t> </w:t>
      </w:r>
      <w:r>
        <w:rPr>
          <w:color w:val="231F20"/>
          <w:w w:val="105"/>
        </w:rPr>
        <w:t>dollars</w:t>
      </w:r>
      <w:r>
        <w:rPr>
          <w:color w:val="231F20"/>
          <w:spacing w:val="-12"/>
          <w:w w:val="105"/>
        </w:rPr>
        <w:t> </w:t>
      </w:r>
      <w:r>
        <w:rPr>
          <w:color w:val="231F20"/>
          <w:w w:val="105"/>
        </w:rPr>
        <w:t>for</w:t>
      </w:r>
      <w:r>
        <w:rPr>
          <w:color w:val="231F20"/>
          <w:spacing w:val="-12"/>
          <w:w w:val="105"/>
        </w:rPr>
        <w:t> </w:t>
      </w:r>
      <w:r>
        <w:rPr>
          <w:color w:val="231F20"/>
          <w:w w:val="105"/>
        </w:rPr>
        <w:t>a new</w:t>
      </w:r>
      <w:r>
        <w:rPr>
          <w:color w:val="231F20"/>
          <w:w w:val="105"/>
        </w:rPr>
        <w:t> product</w:t>
      </w:r>
      <w:r>
        <w:rPr>
          <w:color w:val="231F20"/>
          <w:w w:val="105"/>
        </w:rPr>
        <w:t> introduction.</w:t>
      </w:r>
      <w:r>
        <w:rPr>
          <w:color w:val="231F20"/>
          <w:w w:val="105"/>
        </w:rPr>
        <w:t> Therefore,</w:t>
      </w:r>
      <w:r>
        <w:rPr>
          <w:color w:val="231F20"/>
          <w:w w:val="105"/>
        </w:rPr>
        <w:t> in</w:t>
      </w:r>
      <w:r>
        <w:rPr>
          <w:color w:val="231F20"/>
          <w:w w:val="105"/>
        </w:rPr>
        <w:t> practice,</w:t>
      </w:r>
      <w:r>
        <w:rPr>
          <w:color w:val="231F20"/>
          <w:w w:val="105"/>
        </w:rPr>
        <w:t> slotting</w:t>
      </w:r>
      <w:r>
        <w:rPr>
          <w:color w:val="231F20"/>
          <w:w w:val="105"/>
        </w:rPr>
        <w:t> fees</w:t>
      </w:r>
      <w:r>
        <w:rPr>
          <w:color w:val="231F20"/>
          <w:w w:val="105"/>
        </w:rPr>
        <w:t> bar smaller</w:t>
      </w:r>
      <w:r>
        <w:rPr>
          <w:color w:val="231F20"/>
          <w:spacing w:val="-13"/>
          <w:w w:val="105"/>
        </w:rPr>
        <w:t> </w:t>
      </w:r>
      <w:r>
        <w:rPr>
          <w:color w:val="231F20"/>
          <w:w w:val="105"/>
        </w:rPr>
        <w:t>competitors</w:t>
      </w:r>
      <w:r>
        <w:rPr>
          <w:color w:val="231F20"/>
          <w:spacing w:val="-12"/>
          <w:w w:val="105"/>
        </w:rPr>
        <w:t> </w:t>
      </w:r>
      <w:r>
        <w:rPr>
          <w:color w:val="231F20"/>
          <w:w w:val="105"/>
        </w:rPr>
        <w:t>from</w:t>
      </w:r>
      <w:r>
        <w:rPr>
          <w:color w:val="231F20"/>
          <w:spacing w:val="-12"/>
          <w:w w:val="105"/>
        </w:rPr>
        <w:t> </w:t>
      </w:r>
      <w:r>
        <w:rPr>
          <w:color w:val="231F20"/>
          <w:w w:val="105"/>
        </w:rPr>
        <w:t>selling</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supermarket.</w:t>
      </w:r>
      <w:r>
        <w:rPr>
          <w:color w:val="231F20"/>
          <w:spacing w:val="-12"/>
          <w:w w:val="105"/>
        </w:rPr>
        <w:t> </w:t>
      </w:r>
      <w:r>
        <w:rPr>
          <w:color w:val="231F20"/>
          <w:w w:val="105"/>
        </w:rPr>
        <w:t>A</w:t>
      </w:r>
      <w:r>
        <w:rPr>
          <w:color w:val="231F20"/>
          <w:spacing w:val="-13"/>
          <w:w w:val="105"/>
        </w:rPr>
        <w:t> </w:t>
      </w:r>
      <w:r>
        <w:rPr>
          <w:color w:val="231F20"/>
          <w:w w:val="105"/>
        </w:rPr>
        <w:t>maker</w:t>
      </w:r>
      <w:r>
        <w:rPr>
          <w:color w:val="231F20"/>
          <w:spacing w:val="-12"/>
          <w:w w:val="105"/>
        </w:rPr>
        <w:t> </w:t>
      </w:r>
      <w:r>
        <w:rPr>
          <w:color w:val="231F20"/>
          <w:w w:val="105"/>
        </w:rPr>
        <w:t>of</w:t>
      </w:r>
      <w:r>
        <w:rPr>
          <w:color w:val="231F20"/>
          <w:spacing w:val="-12"/>
          <w:w w:val="105"/>
        </w:rPr>
        <w:t> </w:t>
      </w:r>
      <w:r>
        <w:rPr>
          <w:color w:val="231F20"/>
          <w:w w:val="105"/>
        </w:rPr>
        <w:t>an excellent</w:t>
      </w:r>
      <w:r>
        <w:rPr>
          <w:color w:val="231F20"/>
          <w:w w:val="105"/>
        </w:rPr>
        <w:t> pizza</w:t>
      </w:r>
      <w:r>
        <w:rPr>
          <w:color w:val="231F20"/>
          <w:w w:val="105"/>
        </w:rPr>
        <w:t> in</w:t>
      </w:r>
      <w:r>
        <w:rPr>
          <w:color w:val="231F20"/>
          <w:w w:val="105"/>
        </w:rPr>
        <w:t> the</w:t>
      </w:r>
      <w:r>
        <w:rPr>
          <w:color w:val="231F20"/>
          <w:w w:val="105"/>
        </w:rPr>
        <w:t> Midwest</w:t>
      </w:r>
      <w:r>
        <w:rPr>
          <w:color w:val="231F20"/>
          <w:w w:val="105"/>
        </w:rPr>
        <w:t> that</w:t>
      </w:r>
      <w:r>
        <w:rPr>
          <w:color w:val="231F20"/>
          <w:w w:val="105"/>
        </w:rPr>
        <w:t> I</w:t>
      </w:r>
      <w:r>
        <w:rPr>
          <w:color w:val="231F20"/>
          <w:w w:val="105"/>
        </w:rPr>
        <w:t> knew</w:t>
      </w:r>
      <w:r>
        <w:rPr>
          <w:color w:val="231F20"/>
          <w:w w:val="105"/>
        </w:rPr>
        <w:t> failed</w:t>
      </w:r>
      <w:r>
        <w:rPr>
          <w:color w:val="231F20"/>
          <w:w w:val="105"/>
        </w:rPr>
        <w:t> to</w:t>
      </w:r>
      <w:r>
        <w:rPr>
          <w:color w:val="231F20"/>
          <w:w w:val="105"/>
        </w:rPr>
        <w:t> get</w:t>
      </w:r>
      <w:r>
        <w:rPr>
          <w:color w:val="231F20"/>
          <w:w w:val="105"/>
        </w:rPr>
        <w:t> off</w:t>
      </w:r>
      <w:r>
        <w:rPr>
          <w:color w:val="231F20"/>
          <w:w w:val="105"/>
        </w:rPr>
        <w:t> the ground</w:t>
      </w:r>
      <w:r>
        <w:rPr>
          <w:color w:val="231F20"/>
          <w:w w:val="105"/>
        </w:rPr>
        <w:t> because</w:t>
      </w:r>
      <w:r>
        <w:rPr>
          <w:color w:val="231F20"/>
          <w:w w:val="105"/>
        </w:rPr>
        <w:t> it</w:t>
      </w:r>
      <w:r>
        <w:rPr>
          <w:color w:val="231F20"/>
          <w:w w:val="105"/>
        </w:rPr>
        <w:t> could</w:t>
      </w:r>
      <w:r>
        <w:rPr>
          <w:color w:val="231F20"/>
          <w:w w:val="105"/>
        </w:rPr>
        <w:t> not</w:t>
      </w:r>
      <w:r>
        <w:rPr>
          <w:color w:val="231F20"/>
          <w:w w:val="105"/>
        </w:rPr>
        <w:t> afford</w:t>
      </w:r>
      <w:r>
        <w:rPr>
          <w:color w:val="231F20"/>
          <w:w w:val="105"/>
        </w:rPr>
        <w:t> the</w:t>
      </w:r>
      <w:r>
        <w:rPr>
          <w:color w:val="231F20"/>
          <w:w w:val="105"/>
        </w:rPr>
        <w:t> bribes</w:t>
      </w:r>
      <w:r>
        <w:rPr>
          <w:color w:val="231F20"/>
          <w:w w:val="105"/>
        </w:rPr>
        <w:t> necessary</w:t>
      </w:r>
      <w:r>
        <w:rPr>
          <w:color w:val="231F20"/>
          <w:w w:val="105"/>
        </w:rPr>
        <w:t> for</w:t>
      </w:r>
      <w:r>
        <w:rPr>
          <w:color w:val="231F20"/>
          <w:w w:val="105"/>
        </w:rPr>
        <w:t> space. Slotting</w:t>
      </w:r>
      <w:r>
        <w:rPr>
          <w:color w:val="231F20"/>
          <w:spacing w:val="-1"/>
          <w:w w:val="105"/>
        </w:rPr>
        <w:t> </w:t>
      </w:r>
      <w:r>
        <w:rPr>
          <w:color w:val="231F20"/>
          <w:w w:val="105"/>
        </w:rPr>
        <w:t>fees</w:t>
      </w:r>
      <w:r>
        <w:rPr>
          <w:color w:val="231F20"/>
          <w:spacing w:val="-1"/>
          <w:w w:val="105"/>
        </w:rPr>
        <w:t> </w:t>
      </w:r>
      <w:r>
        <w:rPr>
          <w:color w:val="231F20"/>
          <w:w w:val="105"/>
        </w:rPr>
        <w:t>are</w:t>
      </w:r>
      <w:r>
        <w:rPr>
          <w:color w:val="231F20"/>
          <w:spacing w:val="-1"/>
          <w:w w:val="105"/>
        </w:rPr>
        <w:t> </w:t>
      </w:r>
      <w:r>
        <w:rPr>
          <w:color w:val="231F20"/>
          <w:w w:val="105"/>
        </w:rPr>
        <w:t>a</w:t>
      </w:r>
      <w:r>
        <w:rPr>
          <w:color w:val="231F20"/>
          <w:spacing w:val="-1"/>
          <w:w w:val="105"/>
        </w:rPr>
        <w:t> </w:t>
      </w:r>
      <w:r>
        <w:rPr>
          <w:color w:val="231F20"/>
          <w:w w:val="105"/>
        </w:rPr>
        <w:t>“hot</w:t>
      </w:r>
      <w:r>
        <w:rPr>
          <w:color w:val="231F20"/>
          <w:spacing w:val="-1"/>
          <w:w w:val="105"/>
        </w:rPr>
        <w:t> </w:t>
      </w:r>
      <w:r>
        <w:rPr>
          <w:color w:val="231F20"/>
          <w:w w:val="105"/>
        </w:rPr>
        <w:t>topic”</w:t>
      </w:r>
      <w:r>
        <w:rPr>
          <w:color w:val="231F20"/>
          <w:spacing w:val="-1"/>
          <w:w w:val="105"/>
        </w:rPr>
        <w:t> </w:t>
      </w:r>
      <w:r>
        <w:rPr>
          <w:color w:val="231F20"/>
          <w:w w:val="105"/>
        </w:rPr>
        <w:t>in</w:t>
      </w:r>
      <w:r>
        <w:rPr>
          <w:color w:val="231F20"/>
          <w:spacing w:val="-1"/>
          <w:w w:val="105"/>
        </w:rPr>
        <w:t> </w:t>
      </w:r>
      <w:r>
        <w:rPr>
          <w:color w:val="231F20"/>
          <w:w w:val="105"/>
        </w:rPr>
        <w:t>retailing.</w:t>
      </w:r>
      <w:r>
        <w:rPr>
          <w:color w:val="231F20"/>
          <w:spacing w:val="-1"/>
          <w:w w:val="105"/>
        </w:rPr>
        <w:t> </w:t>
      </w:r>
      <w:r>
        <w:rPr>
          <w:color w:val="231F20"/>
          <w:w w:val="105"/>
        </w:rPr>
        <w:t>Feel</w:t>
      </w:r>
      <w:r>
        <w:rPr>
          <w:color w:val="231F20"/>
          <w:spacing w:val="-1"/>
          <w:w w:val="105"/>
        </w:rPr>
        <w:t> </w:t>
      </w:r>
      <w:r>
        <w:rPr>
          <w:color w:val="231F20"/>
          <w:w w:val="105"/>
        </w:rPr>
        <w:t>free</w:t>
      </w:r>
      <w:r>
        <w:rPr>
          <w:color w:val="231F20"/>
          <w:spacing w:val="-1"/>
          <w:w w:val="105"/>
        </w:rPr>
        <w:t> </w:t>
      </w:r>
      <w:r>
        <w:rPr>
          <w:color w:val="231F20"/>
          <w:w w:val="105"/>
        </w:rPr>
        <w:t>to</w:t>
      </w:r>
      <w:r>
        <w:rPr>
          <w:color w:val="231F20"/>
          <w:spacing w:val="-1"/>
          <w:w w:val="105"/>
        </w:rPr>
        <w:t> </w:t>
      </w:r>
      <w:r>
        <w:rPr>
          <w:color w:val="231F20"/>
          <w:w w:val="105"/>
        </w:rPr>
        <w:t>interject</w:t>
      </w:r>
      <w:r>
        <w:rPr>
          <w:color w:val="231F20"/>
          <w:spacing w:val="-1"/>
          <w:w w:val="105"/>
        </w:rPr>
        <w:t> </w:t>
      </w:r>
      <w:r>
        <w:rPr>
          <w:color w:val="231F20"/>
          <w:w w:val="105"/>
        </w:rPr>
        <w:t>this topic into MBA conversation as often as you like.</w:t>
      </w:r>
    </w:p>
    <w:p>
      <w:pPr>
        <w:pStyle w:val="BodyText"/>
        <w:spacing w:before="11"/>
        <w:rPr>
          <w:sz w:val="26"/>
        </w:rPr>
      </w:pPr>
    </w:p>
    <w:p>
      <w:pPr>
        <w:spacing w:before="0"/>
        <w:ind w:left="185" w:right="219" w:firstLine="0"/>
        <w:jc w:val="center"/>
        <w:rPr>
          <w:rFonts w:ascii="Arial" w:hAnsi="Arial"/>
          <w:i/>
          <w:sz w:val="19"/>
        </w:rPr>
      </w:pPr>
      <w:r>
        <w:rPr>
          <w:rFonts w:ascii="Arial" w:hAnsi="Arial"/>
          <w:i/>
          <w:color w:val="231F20"/>
          <w:w w:val="115"/>
          <w:sz w:val="19"/>
        </w:rPr>
        <w:t>What</w:t>
      </w:r>
      <w:r>
        <w:rPr>
          <w:rFonts w:ascii="Arial" w:hAnsi="Arial"/>
          <w:i/>
          <w:color w:val="231F20"/>
          <w:spacing w:val="-10"/>
          <w:w w:val="115"/>
          <w:sz w:val="19"/>
        </w:rPr>
        <w:t> </w:t>
      </w:r>
      <w:r>
        <w:rPr>
          <w:rFonts w:ascii="Arial" w:hAnsi="Arial"/>
          <w:i/>
          <w:color w:val="231F20"/>
          <w:w w:val="115"/>
          <w:sz w:val="19"/>
        </w:rPr>
        <w:t>is</w:t>
      </w:r>
      <w:r>
        <w:rPr>
          <w:rFonts w:ascii="Arial" w:hAnsi="Arial"/>
          <w:i/>
          <w:color w:val="231F20"/>
          <w:spacing w:val="-9"/>
          <w:w w:val="115"/>
          <w:sz w:val="19"/>
        </w:rPr>
        <w:t> </w:t>
      </w:r>
      <w:r>
        <w:rPr>
          <w:rFonts w:ascii="Arial" w:hAnsi="Arial"/>
          <w:i/>
          <w:color w:val="231F20"/>
          <w:w w:val="115"/>
          <w:sz w:val="19"/>
        </w:rPr>
        <w:t>the</w:t>
      </w:r>
      <w:r>
        <w:rPr>
          <w:rFonts w:ascii="Arial" w:hAnsi="Arial"/>
          <w:i/>
          <w:color w:val="231F20"/>
          <w:spacing w:val="-9"/>
          <w:w w:val="115"/>
          <w:sz w:val="19"/>
        </w:rPr>
        <w:t> </w:t>
      </w:r>
      <w:r>
        <w:rPr>
          <w:rFonts w:ascii="Arial" w:hAnsi="Arial"/>
          <w:i/>
          <w:color w:val="231F20"/>
          <w:w w:val="115"/>
          <w:sz w:val="19"/>
        </w:rPr>
        <w:t>Internet’s</w:t>
      </w:r>
      <w:r>
        <w:rPr>
          <w:rFonts w:ascii="Arial" w:hAnsi="Arial"/>
          <w:i/>
          <w:color w:val="231F20"/>
          <w:spacing w:val="-9"/>
          <w:w w:val="115"/>
          <w:sz w:val="19"/>
        </w:rPr>
        <w:t> </w:t>
      </w:r>
      <w:r>
        <w:rPr>
          <w:rFonts w:ascii="Arial" w:hAnsi="Arial"/>
          <w:i/>
          <w:color w:val="231F20"/>
          <w:w w:val="115"/>
          <w:sz w:val="19"/>
        </w:rPr>
        <w:t>role</w:t>
      </w:r>
      <w:r>
        <w:rPr>
          <w:rFonts w:ascii="Arial" w:hAnsi="Arial"/>
          <w:i/>
          <w:color w:val="231F20"/>
          <w:spacing w:val="-10"/>
          <w:w w:val="115"/>
          <w:sz w:val="19"/>
        </w:rPr>
        <w:t> </w:t>
      </w:r>
      <w:r>
        <w:rPr>
          <w:rFonts w:ascii="Arial" w:hAnsi="Arial"/>
          <w:i/>
          <w:color w:val="231F20"/>
          <w:w w:val="115"/>
          <w:sz w:val="19"/>
        </w:rPr>
        <w:t>as</w:t>
      </w:r>
      <w:r>
        <w:rPr>
          <w:rFonts w:ascii="Arial" w:hAnsi="Arial"/>
          <w:i/>
          <w:color w:val="231F20"/>
          <w:spacing w:val="-9"/>
          <w:w w:val="115"/>
          <w:sz w:val="19"/>
        </w:rPr>
        <w:t> </w:t>
      </w:r>
      <w:r>
        <w:rPr>
          <w:rFonts w:ascii="Arial" w:hAnsi="Arial"/>
          <w:i/>
          <w:color w:val="231F20"/>
          <w:w w:val="115"/>
          <w:sz w:val="19"/>
        </w:rPr>
        <w:t>a</w:t>
      </w:r>
      <w:r>
        <w:rPr>
          <w:rFonts w:ascii="Arial" w:hAnsi="Arial"/>
          <w:i/>
          <w:color w:val="231F20"/>
          <w:spacing w:val="-9"/>
          <w:w w:val="115"/>
          <w:sz w:val="19"/>
        </w:rPr>
        <w:t> </w:t>
      </w:r>
      <w:r>
        <w:rPr>
          <w:rFonts w:ascii="Arial" w:hAnsi="Arial"/>
          <w:i/>
          <w:color w:val="231F20"/>
          <w:w w:val="115"/>
          <w:sz w:val="19"/>
        </w:rPr>
        <w:t>channel</w:t>
      </w:r>
      <w:r>
        <w:rPr>
          <w:rFonts w:ascii="Arial" w:hAnsi="Arial"/>
          <w:i/>
          <w:color w:val="231F20"/>
          <w:spacing w:val="-9"/>
          <w:w w:val="115"/>
          <w:sz w:val="19"/>
        </w:rPr>
        <w:t> </w:t>
      </w:r>
      <w:r>
        <w:rPr>
          <w:rFonts w:ascii="Arial" w:hAnsi="Arial"/>
          <w:i/>
          <w:color w:val="231F20"/>
          <w:w w:val="115"/>
          <w:sz w:val="19"/>
        </w:rPr>
        <w:t>of</w:t>
      </w:r>
      <w:r>
        <w:rPr>
          <w:rFonts w:ascii="Arial" w:hAnsi="Arial"/>
          <w:i/>
          <w:color w:val="231F20"/>
          <w:spacing w:val="-10"/>
          <w:w w:val="115"/>
          <w:sz w:val="19"/>
        </w:rPr>
        <w:t> </w:t>
      </w:r>
      <w:r>
        <w:rPr>
          <w:rFonts w:ascii="Arial" w:hAnsi="Arial"/>
          <w:i/>
          <w:color w:val="231F20"/>
          <w:spacing w:val="-2"/>
          <w:w w:val="115"/>
          <w:sz w:val="19"/>
        </w:rPr>
        <w:t>distribution?</w:t>
      </w:r>
    </w:p>
    <w:p>
      <w:pPr>
        <w:pStyle w:val="BodyText"/>
        <w:spacing w:line="292" w:lineRule="auto" w:before="60"/>
        <w:ind w:left="920" w:right="665" w:firstLine="340"/>
        <w:jc w:val="both"/>
      </w:pPr>
      <w:r>
        <w:rPr>
          <w:color w:val="231F20"/>
          <w:spacing w:val="-2"/>
          <w:w w:val="105"/>
        </w:rPr>
        <w:t>The</w:t>
      </w:r>
      <w:r>
        <w:rPr>
          <w:color w:val="231F20"/>
          <w:spacing w:val="-7"/>
          <w:w w:val="105"/>
        </w:rPr>
        <w:t> </w:t>
      </w:r>
      <w:r>
        <w:rPr>
          <w:color w:val="231F20"/>
          <w:spacing w:val="-2"/>
          <w:w w:val="105"/>
        </w:rPr>
        <w:t>Internet</w:t>
      </w:r>
      <w:r>
        <w:rPr>
          <w:color w:val="231F20"/>
          <w:spacing w:val="-7"/>
          <w:w w:val="105"/>
        </w:rPr>
        <w:t> </w:t>
      </w:r>
      <w:r>
        <w:rPr>
          <w:color w:val="231F20"/>
          <w:spacing w:val="-2"/>
          <w:w w:val="105"/>
        </w:rPr>
        <w:t>can</w:t>
      </w:r>
      <w:r>
        <w:rPr>
          <w:color w:val="231F20"/>
          <w:spacing w:val="-7"/>
          <w:w w:val="105"/>
        </w:rPr>
        <w:t> </w:t>
      </w:r>
      <w:r>
        <w:rPr>
          <w:color w:val="231F20"/>
          <w:spacing w:val="-2"/>
          <w:w w:val="105"/>
        </w:rPr>
        <w:t>be</w:t>
      </w:r>
      <w:r>
        <w:rPr>
          <w:color w:val="231F20"/>
          <w:spacing w:val="-7"/>
          <w:w w:val="105"/>
        </w:rPr>
        <w:t> </w:t>
      </w:r>
      <w:r>
        <w:rPr>
          <w:color w:val="231F20"/>
          <w:spacing w:val="-2"/>
          <w:w w:val="105"/>
        </w:rPr>
        <w:t>a</w:t>
      </w:r>
      <w:r>
        <w:rPr>
          <w:color w:val="231F20"/>
          <w:spacing w:val="-7"/>
          <w:w w:val="105"/>
        </w:rPr>
        <w:t> </w:t>
      </w:r>
      <w:r>
        <w:rPr>
          <w:color w:val="231F20"/>
          <w:spacing w:val="-2"/>
          <w:w w:val="105"/>
        </w:rPr>
        <w:t>great</w:t>
      </w:r>
      <w:r>
        <w:rPr>
          <w:color w:val="231F20"/>
          <w:spacing w:val="-7"/>
          <w:w w:val="105"/>
        </w:rPr>
        <w:t> </w:t>
      </w:r>
      <w:r>
        <w:rPr>
          <w:color w:val="231F20"/>
          <w:spacing w:val="-2"/>
          <w:w w:val="105"/>
        </w:rPr>
        <w:t>way</w:t>
      </w:r>
      <w:r>
        <w:rPr>
          <w:color w:val="231F20"/>
          <w:spacing w:val="-7"/>
          <w:w w:val="105"/>
        </w:rPr>
        <w:t> </w:t>
      </w:r>
      <w:r>
        <w:rPr>
          <w:color w:val="231F20"/>
          <w:spacing w:val="-2"/>
          <w:w w:val="105"/>
        </w:rPr>
        <w:t>to</w:t>
      </w:r>
      <w:r>
        <w:rPr>
          <w:color w:val="231F20"/>
          <w:spacing w:val="-7"/>
          <w:w w:val="105"/>
        </w:rPr>
        <w:t> </w:t>
      </w:r>
      <w:r>
        <w:rPr>
          <w:color w:val="231F20"/>
          <w:spacing w:val="-2"/>
          <w:w w:val="105"/>
        </w:rPr>
        <w:t>sell</w:t>
      </w:r>
      <w:r>
        <w:rPr>
          <w:color w:val="231F20"/>
          <w:spacing w:val="-7"/>
          <w:w w:val="105"/>
        </w:rPr>
        <w:t> </w:t>
      </w:r>
      <w:r>
        <w:rPr>
          <w:color w:val="231F20"/>
          <w:spacing w:val="-2"/>
          <w:w w:val="105"/>
        </w:rPr>
        <w:t>product.</w:t>
      </w:r>
      <w:r>
        <w:rPr>
          <w:color w:val="231F20"/>
          <w:spacing w:val="-7"/>
          <w:w w:val="105"/>
        </w:rPr>
        <w:t> </w:t>
      </w:r>
      <w:r>
        <w:rPr>
          <w:color w:val="231F20"/>
          <w:spacing w:val="-2"/>
          <w:w w:val="105"/>
        </w:rPr>
        <w:t>The</w:t>
      </w:r>
      <w:r>
        <w:rPr>
          <w:color w:val="231F20"/>
          <w:spacing w:val="-7"/>
          <w:w w:val="105"/>
        </w:rPr>
        <w:t> </w:t>
      </w:r>
      <w:r>
        <w:rPr>
          <w:color w:val="231F20"/>
          <w:spacing w:val="-2"/>
          <w:w w:val="105"/>
        </w:rPr>
        <w:t>Internet</w:t>
      </w:r>
      <w:r>
        <w:rPr>
          <w:color w:val="231F20"/>
          <w:spacing w:val="-7"/>
          <w:w w:val="105"/>
        </w:rPr>
        <w:t> </w:t>
      </w:r>
      <w:r>
        <w:rPr>
          <w:color w:val="231F20"/>
          <w:spacing w:val="-2"/>
          <w:w w:val="105"/>
        </w:rPr>
        <w:t>has </w:t>
      </w:r>
      <w:r>
        <w:rPr>
          <w:color w:val="231F20"/>
          <w:w w:val="105"/>
        </w:rPr>
        <w:t>four</w:t>
      </w:r>
      <w:r>
        <w:rPr>
          <w:color w:val="231F20"/>
          <w:spacing w:val="-4"/>
          <w:w w:val="105"/>
        </w:rPr>
        <w:t> </w:t>
      </w:r>
      <w:r>
        <w:rPr>
          <w:color w:val="231F20"/>
          <w:w w:val="105"/>
        </w:rPr>
        <w:t>functions</w:t>
      </w:r>
      <w:r>
        <w:rPr>
          <w:color w:val="231F20"/>
          <w:spacing w:val="-4"/>
          <w:w w:val="105"/>
        </w:rPr>
        <w:t> </w:t>
      </w:r>
      <w:r>
        <w:rPr>
          <w:color w:val="231F20"/>
          <w:w w:val="105"/>
        </w:rPr>
        <w:t>as</w:t>
      </w:r>
      <w:r>
        <w:rPr>
          <w:color w:val="231F20"/>
          <w:spacing w:val="-4"/>
          <w:w w:val="105"/>
        </w:rPr>
        <w:t> </w:t>
      </w:r>
      <w:r>
        <w:rPr>
          <w:color w:val="231F20"/>
          <w:w w:val="105"/>
        </w:rPr>
        <w:t>a</w:t>
      </w:r>
      <w:r>
        <w:rPr>
          <w:color w:val="231F20"/>
          <w:spacing w:val="-4"/>
          <w:w w:val="105"/>
        </w:rPr>
        <w:t> </w:t>
      </w:r>
      <w:r>
        <w:rPr>
          <w:color w:val="231F20"/>
          <w:w w:val="105"/>
        </w:rPr>
        <w:t>channel</w:t>
      </w:r>
      <w:r>
        <w:rPr>
          <w:color w:val="231F20"/>
          <w:spacing w:val="-4"/>
          <w:w w:val="105"/>
        </w:rPr>
        <w:t> </w:t>
      </w:r>
      <w:r>
        <w:rPr>
          <w:color w:val="231F20"/>
          <w:w w:val="105"/>
        </w:rPr>
        <w:t>of</w:t>
      </w:r>
      <w:r>
        <w:rPr>
          <w:color w:val="231F20"/>
          <w:spacing w:val="-4"/>
          <w:w w:val="105"/>
        </w:rPr>
        <w:t> </w:t>
      </w:r>
      <w:r>
        <w:rPr>
          <w:color w:val="231F20"/>
          <w:w w:val="105"/>
        </w:rPr>
        <w:t>customer</w:t>
      </w:r>
      <w:r>
        <w:rPr>
          <w:color w:val="231F20"/>
          <w:spacing w:val="-4"/>
          <w:w w:val="105"/>
        </w:rPr>
        <w:t> </w:t>
      </w:r>
      <w:r>
        <w:rPr>
          <w:color w:val="231F20"/>
          <w:w w:val="105"/>
        </w:rPr>
        <w:t>communication,</w:t>
      </w:r>
      <w:r>
        <w:rPr>
          <w:color w:val="231F20"/>
          <w:spacing w:val="-4"/>
          <w:w w:val="105"/>
        </w:rPr>
        <w:t> </w:t>
      </w:r>
      <w:r>
        <w:rPr>
          <w:color w:val="231F20"/>
          <w:w w:val="105"/>
        </w:rPr>
        <w:t>called</w:t>
      </w:r>
      <w:r>
        <w:rPr>
          <w:color w:val="231F20"/>
          <w:spacing w:val="-4"/>
          <w:w w:val="105"/>
        </w:rPr>
        <w:t> </w:t>
      </w:r>
      <w:r>
        <w:rPr>
          <w:color w:val="231F20"/>
          <w:w w:val="105"/>
        </w:rPr>
        <w:t>the </w:t>
      </w:r>
      <w:r>
        <w:rPr>
          <w:i/>
          <w:color w:val="231F20"/>
          <w:w w:val="105"/>
        </w:rPr>
        <w:t>Four C’s of Internet marketing. </w:t>
      </w:r>
      <w:r>
        <w:rPr>
          <w:color w:val="231F20"/>
          <w:w w:val="105"/>
        </w:rPr>
        <w:t>The “commerce” function of a Web site</w:t>
      </w:r>
      <w:r>
        <w:rPr>
          <w:color w:val="231F20"/>
          <w:spacing w:val="-13"/>
          <w:w w:val="105"/>
        </w:rPr>
        <w:t> </w:t>
      </w:r>
      <w:r>
        <w:rPr>
          <w:color w:val="231F20"/>
          <w:w w:val="105"/>
        </w:rPr>
        <w:t>allows</w:t>
      </w:r>
      <w:r>
        <w:rPr>
          <w:color w:val="231F20"/>
          <w:spacing w:val="-12"/>
          <w:w w:val="105"/>
        </w:rPr>
        <w:t> </w:t>
      </w:r>
      <w:r>
        <w:rPr>
          <w:color w:val="231F20"/>
          <w:w w:val="105"/>
        </w:rPr>
        <w:t>for</w:t>
      </w:r>
      <w:r>
        <w:rPr>
          <w:color w:val="231F20"/>
          <w:spacing w:val="-12"/>
          <w:w w:val="105"/>
        </w:rPr>
        <w:t> </w:t>
      </w:r>
      <w:r>
        <w:rPr>
          <w:color w:val="231F20"/>
          <w:w w:val="105"/>
        </w:rPr>
        <w:t>sales,</w:t>
      </w:r>
      <w:r>
        <w:rPr>
          <w:color w:val="231F20"/>
          <w:spacing w:val="-12"/>
          <w:w w:val="105"/>
        </w:rPr>
        <w:t> </w:t>
      </w:r>
      <w:r>
        <w:rPr>
          <w:color w:val="231F20"/>
          <w:w w:val="105"/>
        </w:rPr>
        <w:t>but</w:t>
      </w:r>
      <w:r>
        <w:rPr>
          <w:color w:val="231F20"/>
          <w:spacing w:val="-12"/>
          <w:w w:val="105"/>
        </w:rPr>
        <w:t> </w:t>
      </w:r>
      <w:r>
        <w:rPr>
          <w:color w:val="231F20"/>
          <w:w w:val="105"/>
        </w:rPr>
        <w:t>more</w:t>
      </w:r>
      <w:r>
        <w:rPr>
          <w:color w:val="231F20"/>
          <w:spacing w:val="-12"/>
          <w:w w:val="105"/>
        </w:rPr>
        <w:t> </w:t>
      </w:r>
      <w:r>
        <w:rPr>
          <w:color w:val="231F20"/>
          <w:w w:val="105"/>
        </w:rPr>
        <w:t>importantly</w:t>
      </w:r>
      <w:r>
        <w:rPr>
          <w:color w:val="231F20"/>
          <w:spacing w:val="-12"/>
          <w:w w:val="105"/>
        </w:rPr>
        <w:t> </w:t>
      </w:r>
      <w:r>
        <w:rPr>
          <w:color w:val="231F20"/>
          <w:w w:val="105"/>
        </w:rPr>
        <w:t>it</w:t>
      </w:r>
      <w:r>
        <w:rPr>
          <w:color w:val="231F20"/>
          <w:spacing w:val="-13"/>
          <w:w w:val="105"/>
        </w:rPr>
        <w:t> </w:t>
      </w:r>
      <w:r>
        <w:rPr>
          <w:color w:val="231F20"/>
          <w:w w:val="105"/>
        </w:rPr>
        <w:t>provides</w:t>
      </w:r>
      <w:r>
        <w:rPr>
          <w:color w:val="231F20"/>
          <w:spacing w:val="-12"/>
          <w:w w:val="105"/>
        </w:rPr>
        <w:t> </w:t>
      </w:r>
      <w:r>
        <w:rPr>
          <w:color w:val="231F20"/>
          <w:w w:val="105"/>
        </w:rPr>
        <w:t>a</w:t>
      </w:r>
      <w:r>
        <w:rPr>
          <w:color w:val="231F20"/>
          <w:spacing w:val="-12"/>
          <w:w w:val="105"/>
        </w:rPr>
        <w:t> </w:t>
      </w:r>
      <w:r>
        <w:rPr>
          <w:color w:val="231F20"/>
          <w:w w:val="105"/>
        </w:rPr>
        <w:t>24/7</w:t>
      </w:r>
      <w:r>
        <w:rPr>
          <w:color w:val="231F20"/>
          <w:spacing w:val="-12"/>
          <w:w w:val="105"/>
        </w:rPr>
        <w:t> </w:t>
      </w:r>
      <w:r>
        <w:rPr>
          <w:color w:val="231F20"/>
          <w:w w:val="105"/>
        </w:rPr>
        <w:t>store- front</w:t>
      </w:r>
      <w:r>
        <w:rPr>
          <w:color w:val="231F20"/>
          <w:w w:val="105"/>
        </w:rPr>
        <w:t> to</w:t>
      </w:r>
      <w:r>
        <w:rPr>
          <w:color w:val="231F20"/>
          <w:w w:val="105"/>
        </w:rPr>
        <w:t> fit</w:t>
      </w:r>
      <w:r>
        <w:rPr>
          <w:color w:val="231F20"/>
          <w:w w:val="105"/>
        </w:rPr>
        <w:t> the</w:t>
      </w:r>
      <w:r>
        <w:rPr>
          <w:color w:val="231F20"/>
          <w:w w:val="105"/>
        </w:rPr>
        <w:t> customer’s</w:t>
      </w:r>
      <w:r>
        <w:rPr>
          <w:color w:val="231F20"/>
          <w:w w:val="105"/>
        </w:rPr>
        <w:t> schedule</w:t>
      </w:r>
      <w:r>
        <w:rPr>
          <w:color w:val="231F20"/>
          <w:w w:val="105"/>
        </w:rPr>
        <w:t> to</w:t>
      </w:r>
      <w:r>
        <w:rPr>
          <w:color w:val="231F20"/>
          <w:w w:val="105"/>
        </w:rPr>
        <w:t> shop,</w:t>
      </w:r>
      <w:r>
        <w:rPr>
          <w:color w:val="231F20"/>
          <w:w w:val="105"/>
        </w:rPr>
        <w:t> browse,</w:t>
      </w:r>
      <w:r>
        <w:rPr>
          <w:color w:val="231F20"/>
          <w:w w:val="105"/>
        </w:rPr>
        <w:t> and</w:t>
      </w:r>
      <w:r>
        <w:rPr>
          <w:color w:val="231F20"/>
          <w:w w:val="105"/>
        </w:rPr>
        <w:t> compare product</w:t>
      </w:r>
      <w:r>
        <w:rPr>
          <w:color w:val="231F20"/>
          <w:spacing w:val="-11"/>
          <w:w w:val="105"/>
        </w:rPr>
        <w:t> </w:t>
      </w:r>
      <w:r>
        <w:rPr>
          <w:color w:val="231F20"/>
          <w:w w:val="105"/>
        </w:rPr>
        <w:t>offerings.</w:t>
      </w:r>
      <w:r>
        <w:rPr>
          <w:color w:val="231F20"/>
          <w:spacing w:val="-11"/>
          <w:w w:val="105"/>
        </w:rPr>
        <w:t> </w:t>
      </w:r>
      <w:r>
        <w:rPr>
          <w:color w:val="231F20"/>
          <w:w w:val="105"/>
        </w:rPr>
        <w:t>The</w:t>
      </w:r>
      <w:r>
        <w:rPr>
          <w:color w:val="231F20"/>
          <w:spacing w:val="-11"/>
          <w:w w:val="105"/>
        </w:rPr>
        <w:t> </w:t>
      </w:r>
      <w:r>
        <w:rPr>
          <w:color w:val="231F20"/>
          <w:w w:val="105"/>
        </w:rPr>
        <w:t>“content”</w:t>
      </w:r>
      <w:r>
        <w:rPr>
          <w:color w:val="231F20"/>
          <w:spacing w:val="-11"/>
          <w:w w:val="105"/>
        </w:rPr>
        <w:t> </w:t>
      </w:r>
      <w:r>
        <w:rPr>
          <w:color w:val="231F20"/>
          <w:w w:val="105"/>
        </w:rPr>
        <w:t>of</w:t>
      </w:r>
      <w:r>
        <w:rPr>
          <w:color w:val="231F20"/>
          <w:spacing w:val="-11"/>
          <w:w w:val="105"/>
        </w:rPr>
        <w:t> </w:t>
      </w:r>
      <w:r>
        <w:rPr>
          <w:color w:val="231F20"/>
          <w:w w:val="105"/>
        </w:rPr>
        <w:t>your</w:t>
      </w:r>
      <w:r>
        <w:rPr>
          <w:color w:val="231F20"/>
          <w:spacing w:val="-11"/>
          <w:w w:val="105"/>
        </w:rPr>
        <w:t> </w:t>
      </w:r>
      <w:r>
        <w:rPr>
          <w:color w:val="231F20"/>
          <w:w w:val="105"/>
        </w:rPr>
        <w:t>Web</w:t>
      </w:r>
      <w:r>
        <w:rPr>
          <w:color w:val="231F20"/>
          <w:spacing w:val="-11"/>
          <w:w w:val="105"/>
        </w:rPr>
        <w:t> </w:t>
      </w:r>
      <w:r>
        <w:rPr>
          <w:color w:val="231F20"/>
          <w:w w:val="105"/>
        </w:rPr>
        <w:t>site</w:t>
      </w:r>
      <w:r>
        <w:rPr>
          <w:color w:val="231F20"/>
          <w:spacing w:val="-11"/>
          <w:w w:val="105"/>
        </w:rPr>
        <w:t> </w:t>
      </w:r>
      <w:r>
        <w:rPr>
          <w:color w:val="231F20"/>
          <w:w w:val="105"/>
        </w:rPr>
        <w:t>is</w:t>
      </w:r>
      <w:r>
        <w:rPr>
          <w:color w:val="231F20"/>
          <w:spacing w:val="-11"/>
          <w:w w:val="105"/>
        </w:rPr>
        <w:t> </w:t>
      </w:r>
      <w:r>
        <w:rPr>
          <w:color w:val="231F20"/>
          <w:w w:val="105"/>
        </w:rPr>
        <w:t>an</w:t>
      </w:r>
      <w:r>
        <w:rPr>
          <w:color w:val="231F20"/>
          <w:spacing w:val="-11"/>
          <w:w w:val="105"/>
        </w:rPr>
        <w:t> </w:t>
      </w:r>
      <w:r>
        <w:rPr>
          <w:color w:val="231F20"/>
          <w:w w:val="105"/>
        </w:rPr>
        <w:t>extension</w:t>
      </w:r>
      <w:r>
        <w:rPr>
          <w:color w:val="231F20"/>
          <w:spacing w:val="-11"/>
          <w:w w:val="105"/>
        </w:rPr>
        <w:t> </w:t>
      </w:r>
      <w:r>
        <w:rPr>
          <w:color w:val="231F20"/>
          <w:w w:val="105"/>
        </w:rPr>
        <w:t>of the</w:t>
      </w:r>
      <w:r>
        <w:rPr>
          <w:color w:val="231F20"/>
          <w:spacing w:val="-8"/>
          <w:w w:val="105"/>
        </w:rPr>
        <w:t> </w:t>
      </w:r>
      <w:r>
        <w:rPr>
          <w:color w:val="231F20"/>
          <w:w w:val="105"/>
        </w:rPr>
        <w:t>product.</w:t>
      </w:r>
      <w:r>
        <w:rPr>
          <w:color w:val="231F20"/>
          <w:spacing w:val="-8"/>
          <w:w w:val="105"/>
        </w:rPr>
        <w:t> </w:t>
      </w:r>
      <w:r>
        <w:rPr>
          <w:color w:val="231F20"/>
          <w:w w:val="105"/>
        </w:rPr>
        <w:t>It</w:t>
      </w:r>
      <w:r>
        <w:rPr>
          <w:color w:val="231F20"/>
          <w:spacing w:val="-8"/>
          <w:w w:val="105"/>
        </w:rPr>
        <w:t> </w:t>
      </w:r>
      <w:r>
        <w:rPr>
          <w:color w:val="231F20"/>
          <w:w w:val="105"/>
        </w:rPr>
        <w:t>can</w:t>
      </w:r>
      <w:r>
        <w:rPr>
          <w:color w:val="231F20"/>
          <w:spacing w:val="-8"/>
          <w:w w:val="105"/>
        </w:rPr>
        <w:t> </w:t>
      </w:r>
      <w:r>
        <w:rPr>
          <w:color w:val="231F20"/>
          <w:w w:val="105"/>
        </w:rPr>
        <w:t>provide</w:t>
      </w:r>
      <w:r>
        <w:rPr>
          <w:color w:val="231F20"/>
          <w:spacing w:val="-8"/>
          <w:w w:val="105"/>
        </w:rPr>
        <w:t> </w:t>
      </w:r>
      <w:r>
        <w:rPr>
          <w:color w:val="231F20"/>
          <w:w w:val="105"/>
        </w:rPr>
        <w:t>additional</w:t>
      </w:r>
      <w:r>
        <w:rPr>
          <w:color w:val="231F20"/>
          <w:spacing w:val="-8"/>
          <w:w w:val="105"/>
        </w:rPr>
        <w:t> </w:t>
      </w:r>
      <w:r>
        <w:rPr>
          <w:color w:val="231F20"/>
          <w:w w:val="105"/>
        </w:rPr>
        <w:t>support</w:t>
      </w:r>
      <w:r>
        <w:rPr>
          <w:color w:val="231F20"/>
          <w:spacing w:val="-8"/>
          <w:w w:val="105"/>
        </w:rPr>
        <w:t> </w:t>
      </w:r>
      <w:r>
        <w:rPr>
          <w:color w:val="231F20"/>
          <w:w w:val="105"/>
        </w:rPr>
        <w:t>and</w:t>
      </w:r>
      <w:r>
        <w:rPr>
          <w:color w:val="231F20"/>
          <w:spacing w:val="-8"/>
          <w:w w:val="105"/>
        </w:rPr>
        <w:t> </w:t>
      </w:r>
      <w:r>
        <w:rPr>
          <w:color w:val="231F20"/>
          <w:w w:val="105"/>
        </w:rPr>
        <w:t>value,</w:t>
      </w:r>
      <w:r>
        <w:rPr>
          <w:color w:val="231F20"/>
          <w:spacing w:val="-8"/>
          <w:w w:val="105"/>
        </w:rPr>
        <w:t> </w:t>
      </w:r>
      <w:r>
        <w:rPr>
          <w:color w:val="231F20"/>
          <w:w w:val="105"/>
        </w:rPr>
        <w:t>and</w:t>
      </w:r>
      <w:r>
        <w:rPr>
          <w:color w:val="231F20"/>
          <w:spacing w:val="-8"/>
          <w:w w:val="105"/>
        </w:rPr>
        <w:t> </w:t>
      </w:r>
      <w:r>
        <w:rPr>
          <w:color w:val="231F20"/>
          <w:w w:val="105"/>
        </w:rPr>
        <w:t>if</w:t>
      </w:r>
      <w:r>
        <w:rPr>
          <w:color w:val="231F20"/>
          <w:spacing w:val="-8"/>
          <w:w w:val="105"/>
        </w:rPr>
        <w:t> </w:t>
      </w:r>
      <w:r>
        <w:rPr>
          <w:color w:val="231F20"/>
          <w:w w:val="105"/>
        </w:rPr>
        <w:t>it</w:t>
      </w:r>
      <w:r>
        <w:rPr>
          <w:color w:val="231F20"/>
          <w:spacing w:val="-8"/>
          <w:w w:val="105"/>
        </w:rPr>
        <w:t> </w:t>
      </w:r>
      <w:r>
        <w:rPr>
          <w:color w:val="231F20"/>
          <w:w w:val="105"/>
        </w:rPr>
        <w:t>is </w:t>
      </w:r>
      <w:r>
        <w:rPr>
          <w:color w:val="231F20"/>
        </w:rPr>
        <w:t>compelling, it can attract new prospects. iTunes.com provides music </w:t>
      </w:r>
      <w:r>
        <w:rPr>
          <w:color w:val="231F20"/>
          <w:w w:val="105"/>
        </w:rPr>
        <w:t>for</w:t>
      </w:r>
      <w:r>
        <w:rPr>
          <w:color w:val="231F20"/>
          <w:spacing w:val="-1"/>
          <w:w w:val="105"/>
        </w:rPr>
        <w:t> </w:t>
      </w:r>
      <w:r>
        <w:rPr>
          <w:color w:val="231F20"/>
          <w:w w:val="105"/>
        </w:rPr>
        <w:t>the</w:t>
      </w:r>
      <w:r>
        <w:rPr>
          <w:color w:val="231F20"/>
          <w:spacing w:val="-1"/>
          <w:w w:val="105"/>
        </w:rPr>
        <w:t> </w:t>
      </w:r>
      <w:r>
        <w:rPr>
          <w:color w:val="231F20"/>
          <w:w w:val="105"/>
        </w:rPr>
        <w:t>Apple’s</w:t>
      </w:r>
      <w:r>
        <w:rPr>
          <w:color w:val="231F20"/>
          <w:spacing w:val="-1"/>
          <w:w w:val="105"/>
        </w:rPr>
        <w:t> </w:t>
      </w:r>
      <w:r>
        <w:rPr>
          <w:color w:val="231F20"/>
          <w:w w:val="105"/>
        </w:rPr>
        <w:t>iPod</w:t>
      </w:r>
      <w:r>
        <w:rPr>
          <w:color w:val="231F20"/>
          <w:spacing w:val="-1"/>
          <w:w w:val="105"/>
        </w:rPr>
        <w:t> </w:t>
      </w:r>
      <w:r>
        <w:rPr>
          <w:color w:val="231F20"/>
          <w:w w:val="105"/>
        </w:rPr>
        <w:t>player;</w:t>
      </w:r>
      <w:r>
        <w:rPr>
          <w:color w:val="231F20"/>
          <w:spacing w:val="-1"/>
          <w:w w:val="105"/>
        </w:rPr>
        <w:t> </w:t>
      </w:r>
      <w:r>
        <w:rPr>
          <w:color w:val="231F20"/>
          <w:w w:val="105"/>
        </w:rPr>
        <w:t>it</w:t>
      </w:r>
      <w:r>
        <w:rPr>
          <w:color w:val="231F20"/>
          <w:spacing w:val="-1"/>
          <w:w w:val="105"/>
        </w:rPr>
        <w:t> </w:t>
      </w:r>
      <w:r>
        <w:rPr>
          <w:color w:val="231F20"/>
          <w:w w:val="105"/>
        </w:rPr>
        <w:t>sold</w:t>
      </w:r>
      <w:r>
        <w:rPr>
          <w:color w:val="231F20"/>
          <w:spacing w:val="-1"/>
          <w:w w:val="105"/>
        </w:rPr>
        <w:t> </w:t>
      </w:r>
      <w:r>
        <w:rPr>
          <w:color w:val="231F20"/>
          <w:w w:val="105"/>
        </w:rPr>
        <w:t>over</w:t>
      </w:r>
      <w:r>
        <w:rPr>
          <w:color w:val="231F20"/>
          <w:spacing w:val="-1"/>
          <w:w w:val="105"/>
        </w:rPr>
        <w:t> </w:t>
      </w:r>
      <w:r>
        <w:rPr>
          <w:color w:val="231F20"/>
          <w:w w:val="105"/>
        </w:rPr>
        <w:t>500</w:t>
      </w:r>
      <w:r>
        <w:rPr>
          <w:color w:val="231F20"/>
          <w:spacing w:val="-1"/>
          <w:w w:val="105"/>
        </w:rPr>
        <w:t> </w:t>
      </w:r>
      <w:r>
        <w:rPr>
          <w:color w:val="231F20"/>
          <w:w w:val="105"/>
        </w:rPr>
        <w:t>million</w:t>
      </w:r>
      <w:r>
        <w:rPr>
          <w:color w:val="231F20"/>
          <w:spacing w:val="-1"/>
          <w:w w:val="105"/>
        </w:rPr>
        <w:t> </w:t>
      </w:r>
      <w:r>
        <w:rPr>
          <w:color w:val="231F20"/>
          <w:w w:val="105"/>
        </w:rPr>
        <w:t>songs</w:t>
      </w:r>
      <w:r>
        <w:rPr>
          <w:color w:val="231F20"/>
          <w:spacing w:val="-1"/>
          <w:w w:val="105"/>
        </w:rPr>
        <w:t> </w:t>
      </w:r>
      <w:r>
        <w:rPr>
          <w:color w:val="231F20"/>
          <w:w w:val="105"/>
        </w:rPr>
        <w:t>in</w:t>
      </w:r>
      <w:r>
        <w:rPr>
          <w:color w:val="231F20"/>
          <w:spacing w:val="-1"/>
          <w:w w:val="105"/>
        </w:rPr>
        <w:t> </w:t>
      </w:r>
      <w:r>
        <w:rPr>
          <w:color w:val="231F20"/>
          <w:w w:val="105"/>
        </w:rPr>
        <w:t>2004. Your</w:t>
      </w:r>
      <w:r>
        <w:rPr>
          <w:color w:val="231F20"/>
          <w:spacing w:val="-12"/>
          <w:w w:val="105"/>
        </w:rPr>
        <w:t> </w:t>
      </w:r>
      <w:r>
        <w:rPr>
          <w:color w:val="231F20"/>
          <w:w w:val="105"/>
        </w:rPr>
        <w:t>site</w:t>
      </w:r>
      <w:r>
        <w:rPr>
          <w:color w:val="231F20"/>
          <w:spacing w:val="-12"/>
          <w:w w:val="105"/>
        </w:rPr>
        <w:t> </w:t>
      </w:r>
      <w:r>
        <w:rPr>
          <w:color w:val="231F20"/>
          <w:w w:val="105"/>
        </w:rPr>
        <w:t>can</w:t>
      </w:r>
      <w:r>
        <w:rPr>
          <w:color w:val="231F20"/>
          <w:spacing w:val="-12"/>
          <w:w w:val="105"/>
        </w:rPr>
        <w:t> </w:t>
      </w:r>
      <w:r>
        <w:rPr>
          <w:color w:val="231F20"/>
          <w:w w:val="105"/>
        </w:rPr>
        <w:t>provide</w:t>
      </w:r>
      <w:r>
        <w:rPr>
          <w:color w:val="231F20"/>
          <w:spacing w:val="-12"/>
          <w:w w:val="105"/>
        </w:rPr>
        <w:t> </w:t>
      </w:r>
      <w:r>
        <w:rPr>
          <w:color w:val="231F20"/>
          <w:w w:val="105"/>
        </w:rPr>
        <w:t>“customer</w:t>
      </w:r>
      <w:r>
        <w:rPr>
          <w:color w:val="231F20"/>
          <w:spacing w:val="-12"/>
          <w:w w:val="105"/>
        </w:rPr>
        <w:t> </w:t>
      </w:r>
      <w:r>
        <w:rPr>
          <w:color w:val="231F20"/>
          <w:w w:val="105"/>
        </w:rPr>
        <w:t>care”</w:t>
      </w:r>
      <w:r>
        <w:rPr>
          <w:color w:val="231F20"/>
          <w:spacing w:val="-12"/>
          <w:w w:val="105"/>
        </w:rPr>
        <w:t> </w:t>
      </w:r>
      <w:r>
        <w:rPr>
          <w:color w:val="231F20"/>
          <w:w w:val="105"/>
        </w:rPr>
        <w:t>by</w:t>
      </w:r>
      <w:r>
        <w:rPr>
          <w:color w:val="231F20"/>
          <w:spacing w:val="-12"/>
          <w:w w:val="105"/>
        </w:rPr>
        <w:t> </w:t>
      </w:r>
      <w:r>
        <w:rPr>
          <w:color w:val="231F20"/>
          <w:w w:val="105"/>
        </w:rPr>
        <w:t>allowing</w:t>
      </w:r>
      <w:r>
        <w:rPr>
          <w:color w:val="231F20"/>
          <w:spacing w:val="-12"/>
          <w:w w:val="105"/>
        </w:rPr>
        <w:t> </w:t>
      </w:r>
      <w:r>
        <w:rPr>
          <w:color w:val="231F20"/>
          <w:w w:val="105"/>
        </w:rPr>
        <w:t>customers</w:t>
      </w:r>
      <w:r>
        <w:rPr>
          <w:color w:val="231F20"/>
          <w:spacing w:val="-12"/>
          <w:w w:val="105"/>
        </w:rPr>
        <w:t> </w:t>
      </w:r>
      <w:r>
        <w:rPr>
          <w:color w:val="231F20"/>
          <w:w w:val="105"/>
        </w:rPr>
        <w:t>to</w:t>
      </w:r>
      <w:r>
        <w:rPr>
          <w:color w:val="231F20"/>
          <w:spacing w:val="-12"/>
          <w:w w:val="105"/>
        </w:rPr>
        <w:t> </w:t>
      </w:r>
      <w:r>
        <w:rPr>
          <w:color w:val="231F20"/>
          <w:w w:val="105"/>
        </w:rPr>
        <w:t>ac- cess</w:t>
      </w:r>
      <w:r>
        <w:rPr>
          <w:color w:val="231F20"/>
          <w:w w:val="105"/>
        </w:rPr>
        <w:t> their</w:t>
      </w:r>
      <w:r>
        <w:rPr>
          <w:color w:val="231F20"/>
          <w:w w:val="105"/>
        </w:rPr>
        <w:t> accounts,</w:t>
      </w:r>
      <w:r>
        <w:rPr>
          <w:color w:val="231F20"/>
          <w:w w:val="105"/>
        </w:rPr>
        <w:t> check</w:t>
      </w:r>
      <w:r>
        <w:rPr>
          <w:color w:val="231F20"/>
          <w:w w:val="105"/>
        </w:rPr>
        <w:t> on</w:t>
      </w:r>
      <w:r>
        <w:rPr>
          <w:color w:val="231F20"/>
          <w:w w:val="105"/>
        </w:rPr>
        <w:t> deliveries,</w:t>
      </w:r>
      <w:r>
        <w:rPr>
          <w:color w:val="231F20"/>
          <w:w w:val="105"/>
        </w:rPr>
        <w:t> and</w:t>
      </w:r>
      <w:r>
        <w:rPr>
          <w:color w:val="231F20"/>
          <w:w w:val="105"/>
        </w:rPr>
        <w:t> get</w:t>
      </w:r>
      <w:r>
        <w:rPr>
          <w:color w:val="231F20"/>
          <w:w w:val="105"/>
        </w:rPr>
        <w:t> answers</w:t>
      </w:r>
      <w:r>
        <w:rPr>
          <w:color w:val="231F20"/>
          <w:w w:val="105"/>
        </w:rPr>
        <w:t> to</w:t>
      </w:r>
      <w:r>
        <w:rPr>
          <w:color w:val="231F20"/>
          <w:w w:val="105"/>
        </w:rPr>
        <w:t> fre- quently</w:t>
      </w:r>
      <w:r>
        <w:rPr>
          <w:color w:val="231F20"/>
          <w:w w:val="105"/>
        </w:rPr>
        <w:t> asked</w:t>
      </w:r>
      <w:r>
        <w:rPr>
          <w:color w:val="231F20"/>
          <w:w w:val="105"/>
        </w:rPr>
        <w:t> questions</w:t>
      </w:r>
      <w:r>
        <w:rPr>
          <w:color w:val="231F20"/>
          <w:w w:val="105"/>
        </w:rPr>
        <w:t> (FAQs).</w:t>
      </w:r>
      <w:r>
        <w:rPr>
          <w:color w:val="231F20"/>
          <w:w w:val="105"/>
        </w:rPr>
        <w:t> This</w:t>
      </w:r>
      <w:r>
        <w:rPr>
          <w:color w:val="231F20"/>
          <w:w w:val="105"/>
        </w:rPr>
        <w:t> pleases</w:t>
      </w:r>
      <w:r>
        <w:rPr>
          <w:color w:val="231F20"/>
          <w:w w:val="105"/>
        </w:rPr>
        <w:t> customers</w:t>
      </w:r>
      <w:r>
        <w:rPr>
          <w:color w:val="231F20"/>
          <w:w w:val="105"/>
        </w:rPr>
        <w:t> and</w:t>
      </w:r>
      <w:r>
        <w:rPr>
          <w:color w:val="231F20"/>
          <w:w w:val="105"/>
        </w:rPr>
        <w:t> also reduces</w:t>
      </w:r>
      <w:r>
        <w:rPr>
          <w:color w:val="231F20"/>
          <w:w w:val="105"/>
        </w:rPr>
        <w:t> a</w:t>
      </w:r>
      <w:r>
        <w:rPr>
          <w:color w:val="231F20"/>
          <w:w w:val="105"/>
        </w:rPr>
        <w:t> manufacturer’s</w:t>
      </w:r>
      <w:r>
        <w:rPr>
          <w:color w:val="231F20"/>
          <w:w w:val="105"/>
        </w:rPr>
        <w:t> cost</w:t>
      </w:r>
      <w:r>
        <w:rPr>
          <w:color w:val="231F20"/>
          <w:w w:val="105"/>
        </w:rPr>
        <w:t> of</w:t>
      </w:r>
      <w:r>
        <w:rPr>
          <w:color w:val="231F20"/>
          <w:w w:val="105"/>
        </w:rPr>
        <w:t> live</w:t>
      </w:r>
      <w:r>
        <w:rPr>
          <w:color w:val="231F20"/>
          <w:w w:val="105"/>
        </w:rPr>
        <w:t> customer</w:t>
      </w:r>
      <w:r>
        <w:rPr>
          <w:color w:val="231F20"/>
          <w:w w:val="105"/>
        </w:rPr>
        <w:t> service.</w:t>
      </w:r>
      <w:r>
        <w:rPr>
          <w:color w:val="231F20"/>
          <w:w w:val="105"/>
        </w:rPr>
        <w:t> And</w:t>
      </w:r>
      <w:r>
        <w:rPr>
          <w:color w:val="231F20"/>
          <w:w w:val="105"/>
        </w:rPr>
        <w:t> lastly, </w:t>
      </w:r>
      <w:r>
        <w:rPr>
          <w:color w:val="231F20"/>
        </w:rPr>
        <w:t>Web sites also “convert leads” from your Internet and other market- </w:t>
      </w:r>
      <w:r>
        <w:rPr>
          <w:color w:val="231F20"/>
          <w:w w:val="105"/>
        </w:rPr>
        <w:t>ing</w:t>
      </w:r>
      <w:r>
        <w:rPr>
          <w:color w:val="231F20"/>
          <w:w w:val="105"/>
        </w:rPr>
        <w:t> efforts,</w:t>
      </w:r>
      <w:r>
        <w:rPr>
          <w:color w:val="231F20"/>
          <w:w w:val="105"/>
        </w:rPr>
        <w:t> such</w:t>
      </w:r>
      <w:r>
        <w:rPr>
          <w:color w:val="231F20"/>
          <w:w w:val="105"/>
        </w:rPr>
        <w:t> as</w:t>
      </w:r>
      <w:r>
        <w:rPr>
          <w:color w:val="231F20"/>
          <w:w w:val="105"/>
        </w:rPr>
        <w:t> television,</w:t>
      </w:r>
      <w:r>
        <w:rPr>
          <w:color w:val="231F20"/>
          <w:w w:val="105"/>
        </w:rPr>
        <w:t> radio,</w:t>
      </w:r>
      <w:r>
        <w:rPr>
          <w:color w:val="231F20"/>
          <w:w w:val="105"/>
        </w:rPr>
        <w:t> sales</w:t>
      </w:r>
      <w:r>
        <w:rPr>
          <w:color w:val="231F20"/>
          <w:w w:val="105"/>
        </w:rPr>
        <w:t> promotions,</w:t>
      </w:r>
      <w:r>
        <w:rPr>
          <w:color w:val="231F20"/>
          <w:w w:val="105"/>
        </w:rPr>
        <w:t> and</w:t>
      </w:r>
      <w:r>
        <w:rPr>
          <w:color w:val="231F20"/>
          <w:w w:val="105"/>
        </w:rPr>
        <w:t> public </w:t>
      </w:r>
      <w:r>
        <w:rPr>
          <w:color w:val="231F20"/>
          <w:spacing w:val="-2"/>
          <w:w w:val="105"/>
        </w:rPr>
        <w:t>relations.</w:t>
      </w:r>
    </w:p>
    <w:p>
      <w:pPr>
        <w:spacing w:after="0" w:line="292" w:lineRule="auto"/>
        <w:jc w:val="both"/>
        <w:sectPr>
          <w:pgSz w:w="8640" w:h="12960"/>
          <w:pgMar w:header="734" w:footer="0" w:top="920" w:bottom="280" w:left="340" w:right="500"/>
        </w:sectPr>
      </w:pPr>
    </w:p>
    <w:p>
      <w:pPr>
        <w:pStyle w:val="BodyText"/>
        <w:rPr>
          <w:sz w:val="20"/>
        </w:rPr>
      </w:pPr>
    </w:p>
    <w:p>
      <w:pPr>
        <w:pStyle w:val="BodyText"/>
        <w:spacing w:before="11"/>
        <w:rPr>
          <w:sz w:val="20"/>
        </w:rPr>
      </w:pPr>
    </w:p>
    <w:p>
      <w:pPr>
        <w:pStyle w:val="Heading4"/>
        <w:numPr>
          <w:ilvl w:val="3"/>
          <w:numId w:val="12"/>
        </w:numPr>
        <w:tabs>
          <w:tab w:pos="2134" w:val="left" w:leader="none"/>
        </w:tabs>
        <w:spacing w:line="240" w:lineRule="auto" w:before="102" w:after="0"/>
        <w:ind w:left="2133" w:right="0" w:hanging="268"/>
        <w:jc w:val="left"/>
      </w:pPr>
      <w:r>
        <w:rPr>
          <w:color w:val="231F20"/>
          <w:spacing w:val="9"/>
          <w:w w:val="85"/>
        </w:rPr>
        <w:t>DEVELOPMENT</w:t>
      </w:r>
      <w:r>
        <w:rPr>
          <w:color w:val="231F20"/>
          <w:spacing w:val="3"/>
        </w:rPr>
        <w:t> </w:t>
      </w:r>
      <w:r>
        <w:rPr>
          <w:color w:val="231F20"/>
          <w:w w:val="85"/>
        </w:rPr>
        <w:t>OF</w:t>
      </w:r>
      <w:r>
        <w:rPr>
          <w:color w:val="231F20"/>
          <w:spacing w:val="4"/>
        </w:rPr>
        <w:t> </w:t>
      </w:r>
      <w:r>
        <w:rPr>
          <w:color w:val="231F20"/>
          <w:w w:val="85"/>
        </w:rPr>
        <w:t>THE</w:t>
      </w:r>
      <w:r>
        <w:rPr>
          <w:color w:val="231F20"/>
          <w:spacing w:val="4"/>
        </w:rPr>
        <w:t> </w:t>
      </w:r>
      <w:r>
        <w:rPr>
          <w:color w:val="231F20"/>
          <w:spacing w:val="9"/>
          <w:w w:val="85"/>
        </w:rPr>
        <w:t>MARKETING</w:t>
      </w:r>
      <w:r>
        <w:rPr>
          <w:color w:val="231F20"/>
          <w:spacing w:val="4"/>
        </w:rPr>
        <w:t> </w:t>
      </w:r>
      <w:r>
        <w:rPr>
          <w:color w:val="231F20"/>
          <w:spacing w:val="6"/>
          <w:w w:val="85"/>
        </w:rPr>
        <w:t>MIX</w:t>
      </w:r>
    </w:p>
    <w:p>
      <w:pPr>
        <w:pStyle w:val="BodyText"/>
        <w:spacing w:before="11"/>
        <w:rPr>
          <w:rFonts w:ascii="Trebuchet MS"/>
          <w:sz w:val="29"/>
        </w:rPr>
      </w:pPr>
    </w:p>
    <w:p>
      <w:pPr>
        <w:tabs>
          <w:tab w:pos="2154" w:val="left" w:leader="none"/>
          <w:tab w:pos="2560" w:val="left" w:leader="none"/>
          <w:tab w:pos="3215" w:val="left" w:leader="none"/>
          <w:tab w:pos="3871" w:val="left" w:leader="none"/>
          <w:tab w:pos="4758" w:val="left" w:leader="none"/>
          <w:tab w:pos="6267" w:val="left" w:leader="none"/>
        </w:tabs>
        <w:spacing w:line="292" w:lineRule="auto" w:before="0"/>
        <w:ind w:left="829" w:right="756" w:firstLine="0"/>
        <w:jc w:val="left"/>
        <w:rPr>
          <w:sz w:val="21"/>
        </w:rPr>
      </w:pPr>
      <w:r>
        <w:rPr/>
        <w:pict>
          <v:shape style="position:absolute;margin-left:110.895821pt;margin-top:5.024801pt;width:9.35pt;height:3.5pt;mso-position-horizontal-relative:page;mso-position-vertical-relative:paragraph;z-index:-25201152" id="docshape60" coordorigin="2218,100" coordsize="187,70" path="m2342,100l2337,111,2381,129,2218,129,2218,141,2381,141,2337,159,2342,170,2404,143,2404,127,2342,100xe" filled="true" fillcolor="#231f20" stroked="false">
            <v:path arrowok="t"/>
            <v:fill type="solid"/>
            <w10:wrap type="none"/>
          </v:shape>
        </w:pict>
      </w:r>
      <w:r>
        <w:rPr/>
        <w:pict>
          <v:shape style="position:absolute;margin-left:163.960342pt;margin-top:5.024801pt;width:9.35pt;height:3.5pt;mso-position-horizontal-relative:page;mso-position-vertical-relative:paragraph;z-index:-25200640" id="docshape61" coordorigin="3279,100" coordsize="187,70" path="m3403,100l3398,111,3442,129,3279,129,3279,141,3442,141,3398,159,3403,170,3466,143,3466,127,3403,100xe" filled="true" fillcolor="#231f20" stroked="false">
            <v:path arrowok="t"/>
            <v:fill type="solid"/>
            <w10:wrap type="none"/>
          </v:shape>
        </w:pict>
      </w:r>
      <w:r>
        <w:rPr/>
        <w:pict>
          <v:shape style="position:absolute;margin-left:241.074799pt;margin-top:5.024801pt;width:9.35pt;height:3.5pt;mso-position-horizontal-relative:page;mso-position-vertical-relative:paragraph;z-index:-25200128" id="docshape62" coordorigin="4821,100" coordsize="187,70" path="m4945,100l4941,111,4984,129,4821,129,4821,141,4984,141,4941,159,4945,170,5008,143,5008,127,4945,100xe" filled="true" fillcolor="#231f20" stroked="false">
            <v:path arrowok="t"/>
            <v:fill type="solid"/>
            <w10:wrap type="none"/>
          </v:shape>
        </w:pict>
      </w:r>
      <w:r>
        <w:rPr/>
        <w:pict>
          <v:shape style="position:absolute;margin-left:316.521454pt;margin-top:5.024801pt;width:9.35pt;height:3.5pt;mso-position-horizontal-relative:page;mso-position-vertical-relative:paragraph;z-index:-25199616" id="docshape63" coordorigin="6330,100" coordsize="187,70" path="m6454,100l6450,111,6493,129,6330,129,6330,141,6493,141,6450,159,6454,170,6517,143,6517,127,6454,100xe" filled="true" fillcolor="#231f20" stroked="false">
            <v:path arrowok="t"/>
            <v:fill type="solid"/>
            <w10:wrap type="none"/>
          </v:shape>
        </w:pict>
      </w:r>
      <w:r>
        <w:rPr/>
        <w:pict>
          <v:shape style="position:absolute;margin-left:132.461838pt;margin-top:20.025211pt;width:9.35pt;height:3.5pt;mso-position-horizontal-relative:page;mso-position-vertical-relative:paragraph;z-index:-25199104" id="docshape64" coordorigin="2649,401" coordsize="187,70" path="m2773,401l2769,411,2812,429,2649,429,2649,441,2812,441,2769,459,2773,470,2836,443,2836,427,2773,401xe" filled="true" fillcolor="#231f20" stroked="false">
            <v:path arrowok="t"/>
            <v:fill type="solid"/>
            <w10:wrap type="none"/>
          </v:shape>
        </w:pict>
      </w:r>
      <w:r>
        <w:rPr/>
        <w:pict>
          <v:shape style="position:absolute;margin-left:197.977264pt;margin-top:20.025211pt;width:9.35pt;height:3.5pt;mso-position-horizontal-relative:page;mso-position-vertical-relative:paragraph;z-index:-25198592" id="docshape65" coordorigin="3960,401" coordsize="187,70" path="m4084,401l4079,411,4122,429,3960,429,3960,441,4122,441,4079,459,4084,470,4146,443,4146,427,4084,401xe" filled="true" fillcolor="#231f20" stroked="false">
            <v:path arrowok="t"/>
            <v:fill type="solid"/>
            <w10:wrap type="none"/>
          </v:shape>
        </w:pict>
      </w:r>
      <w:r>
        <w:rPr>
          <w:color w:val="231F20"/>
          <w:spacing w:val="-2"/>
          <w:sz w:val="21"/>
        </w:rPr>
        <w:t>Consumer</w:t>
      </w:r>
      <w:r>
        <w:rPr>
          <w:color w:val="231F20"/>
          <w:sz w:val="21"/>
        </w:rPr>
        <w:tab/>
      </w:r>
      <w:r>
        <w:rPr>
          <w:color w:val="231F20"/>
          <w:spacing w:val="-2"/>
          <w:sz w:val="21"/>
        </w:rPr>
        <w:t>Market</w:t>
      </w:r>
      <w:r>
        <w:rPr>
          <w:color w:val="231F20"/>
          <w:sz w:val="21"/>
        </w:rPr>
        <w:tab/>
      </w:r>
      <w:r>
        <w:rPr>
          <w:color w:val="231F20"/>
          <w:spacing w:val="-2"/>
          <w:sz w:val="21"/>
        </w:rPr>
        <w:t>Competition</w:t>
      </w:r>
      <w:r>
        <w:rPr>
          <w:color w:val="231F20"/>
          <w:sz w:val="21"/>
        </w:rPr>
        <w:tab/>
      </w:r>
      <w:r>
        <w:rPr>
          <w:color w:val="231F20"/>
          <w:spacing w:val="-2"/>
          <w:sz w:val="21"/>
        </w:rPr>
        <w:t>Distribution</w:t>
      </w:r>
      <w:r>
        <w:rPr>
          <w:color w:val="231F20"/>
          <w:sz w:val="21"/>
        </w:rPr>
        <w:tab/>
      </w:r>
      <w:r>
        <w:rPr>
          <w:b/>
          <w:color w:val="231F20"/>
          <w:w w:val="95"/>
          <w:sz w:val="21"/>
        </w:rPr>
        <w:t>Plan</w:t>
      </w:r>
      <w:r>
        <w:rPr>
          <w:b/>
          <w:color w:val="231F20"/>
          <w:spacing w:val="4"/>
          <w:sz w:val="21"/>
        </w:rPr>
        <w:t> </w:t>
      </w:r>
      <w:r>
        <w:rPr>
          <w:b/>
          <w:color w:val="231F20"/>
          <w:w w:val="95"/>
          <w:sz w:val="21"/>
        </w:rPr>
        <w:t>the </w:t>
      </w:r>
      <w:r>
        <w:rPr>
          <w:b/>
          <w:color w:val="231F20"/>
          <w:sz w:val="21"/>
        </w:rPr>
        <w:t>Marketing Mix</w:t>
        <w:tab/>
      </w:r>
      <w:r>
        <w:rPr>
          <w:color w:val="231F20"/>
          <w:spacing w:val="-2"/>
          <w:sz w:val="21"/>
        </w:rPr>
        <w:t>Economics</w:t>
      </w:r>
      <w:r>
        <w:rPr>
          <w:color w:val="231F20"/>
          <w:sz w:val="21"/>
        </w:rPr>
        <w:tab/>
      </w:r>
      <w:r>
        <w:rPr>
          <w:color w:val="231F20"/>
          <w:spacing w:val="-2"/>
          <w:sz w:val="21"/>
        </w:rPr>
        <w:t>Revise</w:t>
      </w:r>
    </w:p>
    <w:p>
      <w:pPr>
        <w:pStyle w:val="BodyText"/>
        <w:spacing w:before="6"/>
        <w:rPr>
          <w:sz w:val="25"/>
        </w:rPr>
      </w:pPr>
    </w:p>
    <w:p>
      <w:pPr>
        <w:pStyle w:val="BodyText"/>
        <w:spacing w:line="292" w:lineRule="auto"/>
        <w:ind w:left="829" w:right="756" w:firstLine="340"/>
        <w:jc w:val="both"/>
      </w:pPr>
      <w:r>
        <w:rPr>
          <w:color w:val="231F20"/>
        </w:rPr>
        <w:t>Based on judgments developed in the analysis of the </w:t>
      </w:r>
      <w:r>
        <w:rPr>
          <w:color w:val="231F20"/>
        </w:rPr>
        <w:t>consumer, the market, the competition, and the distribution channels, the mar- keting manager must make a set of tangible decisions. MBAs call it</w:t>
      </w:r>
      <w:r>
        <w:rPr>
          <w:color w:val="231F20"/>
          <w:spacing w:val="40"/>
        </w:rPr>
        <w:t> </w:t>
      </w:r>
      <w:r>
        <w:rPr>
          <w:color w:val="231F20"/>
        </w:rPr>
        <w:t>the </w:t>
      </w:r>
      <w:r>
        <w:rPr>
          <w:i/>
          <w:color w:val="231F20"/>
        </w:rPr>
        <w:t>action plan. </w:t>
      </w:r>
      <w:r>
        <w:rPr>
          <w:color w:val="231F20"/>
        </w:rPr>
        <w:t>Marketing managers choose what </w:t>
      </w:r>
      <w:r>
        <w:rPr>
          <w:i/>
          <w:color w:val="231F20"/>
        </w:rPr>
        <w:t>mix </w:t>
      </w:r>
      <w:r>
        <w:rPr>
          <w:color w:val="231F20"/>
        </w:rPr>
        <w:t>of marketing efforts should be made. The mix is commonly referred to as the </w:t>
      </w:r>
      <w:r>
        <w:rPr>
          <w:i/>
          <w:color w:val="231F20"/>
        </w:rPr>
        <w:t>Four</w:t>
      </w:r>
      <w:r>
        <w:rPr>
          <w:i/>
          <w:color w:val="231F20"/>
        </w:rPr>
        <w:t> P’s </w:t>
      </w:r>
      <w:r>
        <w:rPr>
          <w:color w:val="231F20"/>
        </w:rPr>
        <w:t>of marketing.</w:t>
      </w:r>
    </w:p>
    <w:p>
      <w:pPr>
        <w:pStyle w:val="BodyText"/>
        <w:spacing w:line="292" w:lineRule="auto"/>
        <w:ind w:left="829" w:right="754" w:firstLine="340"/>
        <w:jc w:val="both"/>
      </w:pPr>
      <w:r>
        <w:rPr>
          <w:color w:val="231F20"/>
        </w:rPr>
        <w:t>The development of the </w:t>
      </w:r>
      <w:r>
        <w:rPr>
          <w:i/>
          <w:color w:val="231F20"/>
        </w:rPr>
        <w:t>marketing mix </w:t>
      </w:r>
      <w:r>
        <w:rPr>
          <w:color w:val="231F20"/>
        </w:rPr>
        <w:t>is an evolutionary</w:t>
      </w:r>
      <w:r>
        <w:rPr>
          <w:color w:val="231F20"/>
          <w:spacing w:val="80"/>
        </w:rPr>
        <w:t> </w:t>
      </w:r>
      <w:r>
        <w:rPr>
          <w:color w:val="231F20"/>
        </w:rPr>
        <w:t>process whose goal is an </w:t>
      </w:r>
      <w:r>
        <w:rPr>
          <w:i/>
          <w:color w:val="231F20"/>
        </w:rPr>
        <w:t>internally consistent and mutually </w:t>
      </w:r>
      <w:r>
        <w:rPr>
          <w:i/>
          <w:color w:val="231F20"/>
        </w:rPr>
        <w:t>support-</w:t>
      </w:r>
      <w:r>
        <w:rPr>
          <w:i/>
          <w:color w:val="231F20"/>
        </w:rPr>
        <w:t> ive </w:t>
      </w:r>
      <w:r>
        <w:rPr>
          <w:color w:val="231F20"/>
        </w:rPr>
        <w:t>plan. That cannot be overemphasized. Tinkering with one P in</w:t>
      </w:r>
      <w:r>
        <w:rPr>
          <w:color w:val="231F20"/>
          <w:spacing w:val="80"/>
          <w:w w:val="150"/>
        </w:rPr>
        <w:t> </w:t>
      </w:r>
      <w:r>
        <w:rPr>
          <w:color w:val="231F20"/>
        </w:rPr>
        <w:t>the mix generally means the marketing strategist must alter all the other P’s in some way, because one P affects the others.</w:t>
      </w:r>
    </w:p>
    <w:p>
      <w:pPr>
        <w:pStyle w:val="BodyText"/>
        <w:spacing w:before="3"/>
        <w:rPr>
          <w:sz w:val="25"/>
        </w:rPr>
      </w:pPr>
    </w:p>
    <w:p>
      <w:pPr>
        <w:tabs>
          <w:tab w:pos="2699" w:val="left" w:leader="none"/>
          <w:tab w:pos="3970" w:val="left" w:leader="none"/>
          <w:tab w:pos="5770" w:val="left" w:leader="none"/>
        </w:tabs>
        <w:spacing w:before="0"/>
        <w:ind w:left="1170" w:right="0" w:firstLine="0"/>
        <w:jc w:val="left"/>
        <w:rPr>
          <w:sz w:val="21"/>
        </w:rPr>
      </w:pPr>
      <w:r>
        <w:rPr>
          <w:b/>
          <w:color w:val="231F20"/>
          <w:spacing w:val="-2"/>
          <w:sz w:val="21"/>
        </w:rPr>
        <w:t>Product</w:t>
      </w:r>
      <w:r>
        <w:rPr>
          <w:b/>
          <w:color w:val="231F20"/>
          <w:sz w:val="21"/>
        </w:rPr>
        <w:tab/>
      </w:r>
      <w:r>
        <w:rPr>
          <w:color w:val="231F20"/>
          <w:spacing w:val="-2"/>
          <w:sz w:val="21"/>
        </w:rPr>
        <w:t>Place</w:t>
      </w:r>
      <w:r>
        <w:rPr>
          <w:color w:val="231F20"/>
          <w:sz w:val="21"/>
        </w:rPr>
        <w:tab/>
      </w:r>
      <w:r>
        <w:rPr>
          <w:color w:val="231F20"/>
          <w:spacing w:val="-2"/>
          <w:sz w:val="21"/>
        </w:rPr>
        <w:t>Promotion</w:t>
      </w:r>
      <w:r>
        <w:rPr>
          <w:color w:val="231F20"/>
          <w:sz w:val="21"/>
        </w:rPr>
        <w:tab/>
      </w:r>
      <w:r>
        <w:rPr>
          <w:color w:val="231F20"/>
          <w:spacing w:val="-2"/>
          <w:sz w:val="21"/>
        </w:rPr>
        <w:t>Price</w:t>
      </w:r>
    </w:p>
    <w:p>
      <w:pPr>
        <w:pStyle w:val="BodyText"/>
        <w:spacing w:before="2"/>
        <w:rPr>
          <w:sz w:val="30"/>
        </w:rPr>
      </w:pPr>
    </w:p>
    <w:p>
      <w:pPr>
        <w:pStyle w:val="Heading6"/>
        <w:ind w:left="299"/>
        <w:rPr>
          <w:i/>
        </w:rPr>
      </w:pPr>
      <w:r>
        <w:rPr>
          <w:i/>
          <w:color w:val="231F20"/>
          <w:w w:val="110"/>
        </w:rPr>
        <w:t>PRODUCT</w:t>
      </w:r>
      <w:r>
        <w:rPr>
          <w:i/>
          <w:color w:val="231F20"/>
          <w:spacing w:val="65"/>
          <w:w w:val="150"/>
        </w:rPr>
        <w:t> </w:t>
      </w:r>
      <w:r>
        <w:rPr>
          <w:i/>
          <w:color w:val="231F20"/>
          <w:spacing w:val="8"/>
          <w:w w:val="110"/>
        </w:rPr>
        <w:t>DECISIONS</w:t>
      </w:r>
    </w:p>
    <w:p>
      <w:pPr>
        <w:pStyle w:val="BodyText"/>
        <w:rPr>
          <w:b/>
          <w:i/>
          <w:sz w:val="32"/>
        </w:rPr>
      </w:pPr>
    </w:p>
    <w:p>
      <w:pPr>
        <w:spacing w:line="328" w:lineRule="auto" w:before="0"/>
        <w:ind w:left="1170" w:right="1742" w:firstLine="0"/>
        <w:jc w:val="left"/>
        <w:rPr>
          <w:rFonts w:ascii="Arial"/>
          <w:sz w:val="19"/>
        </w:rPr>
      </w:pPr>
      <w:r>
        <w:rPr>
          <w:rFonts w:ascii="Arial"/>
          <w:color w:val="231F20"/>
          <w:spacing w:val="-2"/>
          <w:w w:val="120"/>
          <w:sz w:val="19"/>
        </w:rPr>
        <w:t>How</w:t>
      </w:r>
      <w:r>
        <w:rPr>
          <w:rFonts w:ascii="Arial"/>
          <w:color w:val="231F20"/>
          <w:spacing w:val="-13"/>
          <w:w w:val="120"/>
          <w:sz w:val="19"/>
        </w:rPr>
        <w:t> </w:t>
      </w:r>
      <w:r>
        <w:rPr>
          <w:rFonts w:ascii="Arial"/>
          <w:color w:val="231F20"/>
          <w:spacing w:val="-2"/>
          <w:w w:val="120"/>
          <w:sz w:val="19"/>
        </w:rPr>
        <w:t>does</w:t>
      </w:r>
      <w:r>
        <w:rPr>
          <w:rFonts w:ascii="Arial"/>
          <w:color w:val="231F20"/>
          <w:spacing w:val="-13"/>
          <w:w w:val="120"/>
          <w:sz w:val="19"/>
        </w:rPr>
        <w:t> </w:t>
      </w:r>
      <w:r>
        <w:rPr>
          <w:rFonts w:ascii="Arial"/>
          <w:color w:val="231F20"/>
          <w:spacing w:val="-2"/>
          <w:w w:val="120"/>
          <w:sz w:val="19"/>
        </w:rPr>
        <w:t>my</w:t>
      </w:r>
      <w:r>
        <w:rPr>
          <w:rFonts w:ascii="Arial"/>
          <w:color w:val="231F20"/>
          <w:spacing w:val="-13"/>
          <w:w w:val="120"/>
          <w:sz w:val="19"/>
        </w:rPr>
        <w:t> </w:t>
      </w:r>
      <w:r>
        <w:rPr>
          <w:rFonts w:ascii="Arial"/>
          <w:color w:val="231F20"/>
          <w:spacing w:val="-2"/>
          <w:w w:val="120"/>
          <w:sz w:val="19"/>
        </w:rPr>
        <w:t>product</w:t>
      </w:r>
      <w:r>
        <w:rPr>
          <w:rFonts w:ascii="Arial"/>
          <w:color w:val="231F20"/>
          <w:spacing w:val="-13"/>
          <w:w w:val="120"/>
          <w:sz w:val="19"/>
        </w:rPr>
        <w:t> </w:t>
      </w:r>
      <w:r>
        <w:rPr>
          <w:rFonts w:ascii="Arial"/>
          <w:color w:val="231F20"/>
          <w:spacing w:val="-2"/>
          <w:w w:val="120"/>
          <w:sz w:val="19"/>
        </w:rPr>
        <w:t>fit</w:t>
      </w:r>
      <w:r>
        <w:rPr>
          <w:rFonts w:ascii="Arial"/>
          <w:color w:val="231F20"/>
          <w:spacing w:val="-13"/>
          <w:w w:val="120"/>
          <w:sz w:val="19"/>
        </w:rPr>
        <w:t> </w:t>
      </w:r>
      <w:r>
        <w:rPr>
          <w:rFonts w:ascii="Arial"/>
          <w:color w:val="231F20"/>
          <w:spacing w:val="-2"/>
          <w:w w:val="120"/>
          <w:sz w:val="19"/>
        </w:rPr>
        <w:t>with</w:t>
      </w:r>
      <w:r>
        <w:rPr>
          <w:rFonts w:ascii="Arial"/>
          <w:color w:val="231F20"/>
          <w:spacing w:val="-13"/>
          <w:w w:val="120"/>
          <w:sz w:val="19"/>
        </w:rPr>
        <w:t> </w:t>
      </w:r>
      <w:r>
        <w:rPr>
          <w:rFonts w:ascii="Arial"/>
          <w:color w:val="231F20"/>
          <w:spacing w:val="-2"/>
          <w:w w:val="120"/>
          <w:sz w:val="19"/>
        </w:rPr>
        <w:t>my</w:t>
      </w:r>
      <w:r>
        <w:rPr>
          <w:rFonts w:ascii="Arial"/>
          <w:color w:val="231F20"/>
          <w:spacing w:val="-13"/>
          <w:w w:val="120"/>
          <w:sz w:val="19"/>
        </w:rPr>
        <w:t> </w:t>
      </w:r>
      <w:r>
        <w:rPr>
          <w:rFonts w:ascii="Arial"/>
          <w:color w:val="231F20"/>
          <w:spacing w:val="-2"/>
          <w:w w:val="120"/>
          <w:sz w:val="19"/>
        </w:rPr>
        <w:t>other</w:t>
      </w:r>
      <w:r>
        <w:rPr>
          <w:rFonts w:ascii="Arial"/>
          <w:color w:val="231F20"/>
          <w:spacing w:val="-13"/>
          <w:w w:val="120"/>
          <w:sz w:val="19"/>
        </w:rPr>
        <w:t> </w:t>
      </w:r>
      <w:r>
        <w:rPr>
          <w:rFonts w:ascii="Arial"/>
          <w:color w:val="231F20"/>
          <w:spacing w:val="-2"/>
          <w:w w:val="120"/>
          <w:sz w:val="19"/>
        </w:rPr>
        <w:t>products? </w:t>
      </w:r>
      <w:r>
        <w:rPr>
          <w:rFonts w:ascii="Arial"/>
          <w:color w:val="231F20"/>
          <w:w w:val="120"/>
          <w:sz w:val="19"/>
        </w:rPr>
        <w:t>How will I differentiate my product?</w:t>
      </w:r>
    </w:p>
    <w:p>
      <w:pPr>
        <w:spacing w:before="1"/>
        <w:ind w:left="1170" w:right="0" w:firstLine="0"/>
        <w:jc w:val="left"/>
        <w:rPr>
          <w:rFonts w:ascii="Arial"/>
          <w:sz w:val="19"/>
        </w:rPr>
      </w:pPr>
      <w:r>
        <w:rPr>
          <w:rFonts w:ascii="Arial"/>
          <w:color w:val="231F20"/>
          <w:w w:val="115"/>
          <w:sz w:val="19"/>
        </w:rPr>
        <w:t>How</w:t>
      </w:r>
      <w:r>
        <w:rPr>
          <w:rFonts w:ascii="Arial"/>
          <w:color w:val="231F20"/>
          <w:spacing w:val="-2"/>
          <w:w w:val="115"/>
          <w:sz w:val="19"/>
        </w:rPr>
        <w:t> </w:t>
      </w:r>
      <w:r>
        <w:rPr>
          <w:rFonts w:ascii="Arial"/>
          <w:color w:val="231F20"/>
          <w:w w:val="115"/>
          <w:sz w:val="19"/>
        </w:rPr>
        <w:t>does</w:t>
      </w:r>
      <w:r>
        <w:rPr>
          <w:rFonts w:ascii="Arial"/>
          <w:color w:val="231F20"/>
          <w:spacing w:val="-1"/>
          <w:w w:val="115"/>
          <w:sz w:val="19"/>
        </w:rPr>
        <w:t> </w:t>
      </w:r>
      <w:r>
        <w:rPr>
          <w:rFonts w:ascii="Arial"/>
          <w:color w:val="231F20"/>
          <w:w w:val="115"/>
          <w:sz w:val="19"/>
        </w:rPr>
        <w:t>the</w:t>
      </w:r>
      <w:r>
        <w:rPr>
          <w:rFonts w:ascii="Arial"/>
          <w:color w:val="231F20"/>
          <w:spacing w:val="-1"/>
          <w:w w:val="115"/>
          <w:sz w:val="19"/>
        </w:rPr>
        <w:t> </w:t>
      </w:r>
      <w:r>
        <w:rPr>
          <w:rFonts w:ascii="Arial"/>
          <w:color w:val="231F20"/>
          <w:w w:val="115"/>
          <w:sz w:val="19"/>
        </w:rPr>
        <w:t>product</w:t>
      </w:r>
      <w:r>
        <w:rPr>
          <w:rFonts w:ascii="Arial"/>
          <w:color w:val="231F20"/>
          <w:spacing w:val="-1"/>
          <w:w w:val="115"/>
          <w:sz w:val="19"/>
        </w:rPr>
        <w:t> </w:t>
      </w:r>
      <w:r>
        <w:rPr>
          <w:rFonts w:ascii="Arial"/>
          <w:color w:val="231F20"/>
          <w:w w:val="115"/>
          <w:sz w:val="19"/>
        </w:rPr>
        <w:t>life</w:t>
      </w:r>
      <w:r>
        <w:rPr>
          <w:rFonts w:ascii="Arial"/>
          <w:color w:val="231F20"/>
          <w:spacing w:val="-1"/>
          <w:w w:val="115"/>
          <w:sz w:val="19"/>
        </w:rPr>
        <w:t> </w:t>
      </w:r>
      <w:r>
        <w:rPr>
          <w:rFonts w:ascii="Arial"/>
          <w:color w:val="231F20"/>
          <w:w w:val="115"/>
          <w:sz w:val="19"/>
        </w:rPr>
        <w:t>cycle</w:t>
      </w:r>
      <w:r>
        <w:rPr>
          <w:rFonts w:ascii="Arial"/>
          <w:color w:val="231F20"/>
          <w:spacing w:val="-1"/>
          <w:w w:val="115"/>
          <w:sz w:val="19"/>
        </w:rPr>
        <w:t> </w:t>
      </w:r>
      <w:r>
        <w:rPr>
          <w:rFonts w:ascii="Arial"/>
          <w:color w:val="231F20"/>
          <w:w w:val="115"/>
          <w:sz w:val="19"/>
        </w:rPr>
        <w:t>affect</w:t>
      </w:r>
      <w:r>
        <w:rPr>
          <w:rFonts w:ascii="Arial"/>
          <w:color w:val="231F20"/>
          <w:spacing w:val="-2"/>
          <w:w w:val="115"/>
          <w:sz w:val="19"/>
        </w:rPr>
        <w:t> </w:t>
      </w:r>
      <w:r>
        <w:rPr>
          <w:rFonts w:ascii="Arial"/>
          <w:color w:val="231F20"/>
          <w:w w:val="115"/>
          <w:sz w:val="19"/>
        </w:rPr>
        <w:t>my</w:t>
      </w:r>
      <w:r>
        <w:rPr>
          <w:rFonts w:ascii="Arial"/>
          <w:color w:val="231F20"/>
          <w:spacing w:val="-1"/>
          <w:w w:val="115"/>
          <w:sz w:val="19"/>
        </w:rPr>
        <w:t> </w:t>
      </w:r>
      <w:r>
        <w:rPr>
          <w:rFonts w:ascii="Arial"/>
          <w:color w:val="231F20"/>
          <w:spacing w:val="-2"/>
          <w:w w:val="115"/>
          <w:sz w:val="19"/>
        </w:rPr>
        <w:t>plans?</w:t>
      </w:r>
    </w:p>
    <w:p>
      <w:pPr>
        <w:pStyle w:val="BodyText"/>
        <w:rPr>
          <w:rFonts w:ascii="Arial"/>
          <w:sz w:val="20"/>
        </w:rPr>
      </w:pPr>
    </w:p>
    <w:p>
      <w:pPr>
        <w:spacing w:before="152"/>
        <w:ind w:left="1170" w:right="0" w:firstLine="0"/>
        <w:jc w:val="left"/>
        <w:rPr>
          <w:rFonts w:ascii="Arial"/>
          <w:i/>
          <w:sz w:val="19"/>
        </w:rPr>
      </w:pPr>
      <w:r>
        <w:rPr>
          <w:rFonts w:ascii="Arial"/>
          <w:i/>
          <w:color w:val="231F20"/>
          <w:spacing w:val="-2"/>
          <w:w w:val="120"/>
          <w:sz w:val="19"/>
        </w:rPr>
        <w:t>How</w:t>
      </w:r>
      <w:r>
        <w:rPr>
          <w:rFonts w:ascii="Arial"/>
          <w:i/>
          <w:color w:val="231F20"/>
          <w:spacing w:val="-8"/>
          <w:w w:val="120"/>
          <w:sz w:val="19"/>
        </w:rPr>
        <w:t> </w:t>
      </w:r>
      <w:r>
        <w:rPr>
          <w:rFonts w:ascii="Arial"/>
          <w:i/>
          <w:color w:val="231F20"/>
          <w:spacing w:val="-2"/>
          <w:w w:val="120"/>
          <w:sz w:val="19"/>
        </w:rPr>
        <w:t>does</w:t>
      </w:r>
      <w:r>
        <w:rPr>
          <w:rFonts w:ascii="Arial"/>
          <w:i/>
          <w:color w:val="231F20"/>
          <w:spacing w:val="-7"/>
          <w:w w:val="120"/>
          <w:sz w:val="19"/>
        </w:rPr>
        <w:t> </w:t>
      </w:r>
      <w:r>
        <w:rPr>
          <w:rFonts w:ascii="Arial"/>
          <w:i/>
          <w:color w:val="231F20"/>
          <w:spacing w:val="-2"/>
          <w:w w:val="120"/>
          <w:sz w:val="19"/>
        </w:rPr>
        <w:t>the</w:t>
      </w:r>
      <w:r>
        <w:rPr>
          <w:rFonts w:ascii="Arial"/>
          <w:i/>
          <w:color w:val="231F20"/>
          <w:spacing w:val="-7"/>
          <w:w w:val="120"/>
          <w:sz w:val="19"/>
        </w:rPr>
        <w:t> </w:t>
      </w:r>
      <w:r>
        <w:rPr>
          <w:rFonts w:ascii="Arial"/>
          <w:i/>
          <w:color w:val="231F20"/>
          <w:spacing w:val="-2"/>
          <w:w w:val="120"/>
          <w:sz w:val="19"/>
        </w:rPr>
        <w:t>product</w:t>
      </w:r>
      <w:r>
        <w:rPr>
          <w:rFonts w:ascii="Arial"/>
          <w:i/>
          <w:color w:val="231F20"/>
          <w:spacing w:val="-7"/>
          <w:w w:val="120"/>
          <w:sz w:val="19"/>
        </w:rPr>
        <w:t> </w:t>
      </w:r>
      <w:r>
        <w:rPr>
          <w:rFonts w:ascii="Arial"/>
          <w:i/>
          <w:color w:val="231F20"/>
          <w:spacing w:val="-2"/>
          <w:w w:val="120"/>
          <w:sz w:val="19"/>
        </w:rPr>
        <w:t>fit</w:t>
      </w:r>
      <w:r>
        <w:rPr>
          <w:rFonts w:ascii="Arial"/>
          <w:i/>
          <w:color w:val="231F20"/>
          <w:spacing w:val="-7"/>
          <w:w w:val="120"/>
          <w:sz w:val="19"/>
        </w:rPr>
        <w:t> </w:t>
      </w:r>
      <w:r>
        <w:rPr>
          <w:rFonts w:ascii="Arial"/>
          <w:i/>
          <w:color w:val="231F20"/>
          <w:spacing w:val="-2"/>
          <w:w w:val="120"/>
          <w:sz w:val="19"/>
        </w:rPr>
        <w:t>with</w:t>
      </w:r>
      <w:r>
        <w:rPr>
          <w:rFonts w:ascii="Arial"/>
          <w:i/>
          <w:color w:val="231F20"/>
          <w:spacing w:val="-7"/>
          <w:w w:val="120"/>
          <w:sz w:val="19"/>
        </w:rPr>
        <w:t> </w:t>
      </w:r>
      <w:r>
        <w:rPr>
          <w:rFonts w:ascii="Arial"/>
          <w:i/>
          <w:color w:val="231F20"/>
          <w:spacing w:val="-2"/>
          <w:w w:val="120"/>
          <w:sz w:val="19"/>
        </w:rPr>
        <w:t>my</w:t>
      </w:r>
      <w:r>
        <w:rPr>
          <w:rFonts w:ascii="Arial"/>
          <w:i/>
          <w:color w:val="231F20"/>
          <w:spacing w:val="-7"/>
          <w:w w:val="120"/>
          <w:sz w:val="19"/>
        </w:rPr>
        <w:t> </w:t>
      </w:r>
      <w:r>
        <w:rPr>
          <w:rFonts w:ascii="Arial"/>
          <w:i/>
          <w:color w:val="231F20"/>
          <w:spacing w:val="-2"/>
          <w:w w:val="120"/>
          <w:sz w:val="19"/>
        </w:rPr>
        <w:t>existing</w:t>
      </w:r>
      <w:r>
        <w:rPr>
          <w:rFonts w:ascii="Arial"/>
          <w:i/>
          <w:color w:val="231F20"/>
          <w:spacing w:val="-7"/>
          <w:w w:val="120"/>
          <w:sz w:val="19"/>
        </w:rPr>
        <w:t> </w:t>
      </w:r>
      <w:r>
        <w:rPr>
          <w:rFonts w:ascii="Arial"/>
          <w:i/>
          <w:color w:val="231F20"/>
          <w:spacing w:val="-2"/>
          <w:w w:val="120"/>
          <w:sz w:val="19"/>
        </w:rPr>
        <w:t>product</w:t>
      </w:r>
      <w:r>
        <w:rPr>
          <w:rFonts w:ascii="Arial"/>
          <w:i/>
          <w:color w:val="231F20"/>
          <w:spacing w:val="-7"/>
          <w:w w:val="120"/>
          <w:sz w:val="19"/>
        </w:rPr>
        <w:t> </w:t>
      </w:r>
      <w:r>
        <w:rPr>
          <w:rFonts w:ascii="Arial"/>
          <w:i/>
          <w:color w:val="231F20"/>
          <w:spacing w:val="-4"/>
          <w:w w:val="120"/>
          <w:sz w:val="19"/>
        </w:rPr>
        <w:t>line?</w:t>
      </w:r>
    </w:p>
    <w:p>
      <w:pPr>
        <w:pStyle w:val="BodyText"/>
        <w:spacing w:line="292" w:lineRule="auto" w:before="60"/>
        <w:ind w:left="830" w:right="752" w:firstLine="340"/>
        <w:jc w:val="both"/>
      </w:pPr>
      <w:r>
        <w:rPr>
          <w:color w:val="231F20"/>
        </w:rPr>
        <w:t>This question tries to identify areas of synergy among your products,</w:t>
      </w:r>
      <w:r>
        <w:rPr>
          <w:color w:val="231F20"/>
          <w:spacing w:val="39"/>
        </w:rPr>
        <w:t> </w:t>
      </w:r>
      <w:r>
        <w:rPr>
          <w:color w:val="231F20"/>
        </w:rPr>
        <w:t>or</w:t>
      </w:r>
      <w:r>
        <w:rPr>
          <w:color w:val="231F20"/>
          <w:spacing w:val="39"/>
        </w:rPr>
        <w:t> </w:t>
      </w:r>
      <w:r>
        <w:rPr>
          <w:color w:val="231F20"/>
        </w:rPr>
        <w:t>uncover</w:t>
      </w:r>
      <w:r>
        <w:rPr>
          <w:color w:val="231F20"/>
          <w:spacing w:val="39"/>
        </w:rPr>
        <w:t> </w:t>
      </w:r>
      <w:r>
        <w:rPr>
          <w:color w:val="231F20"/>
        </w:rPr>
        <w:t>a</w:t>
      </w:r>
      <w:r>
        <w:rPr>
          <w:color w:val="231F20"/>
          <w:spacing w:val="39"/>
        </w:rPr>
        <w:t> </w:t>
      </w:r>
      <w:r>
        <w:rPr>
          <w:color w:val="231F20"/>
        </w:rPr>
        <w:t>constraint</w:t>
      </w:r>
      <w:r>
        <w:rPr>
          <w:color w:val="231F20"/>
          <w:spacing w:val="39"/>
        </w:rPr>
        <w:t> </w:t>
      </w:r>
      <w:r>
        <w:rPr>
          <w:color w:val="231F20"/>
        </w:rPr>
        <w:t>on</w:t>
      </w:r>
      <w:r>
        <w:rPr>
          <w:color w:val="231F20"/>
          <w:spacing w:val="39"/>
        </w:rPr>
        <w:t> </w:t>
      </w:r>
      <w:r>
        <w:rPr>
          <w:color w:val="231F20"/>
        </w:rPr>
        <w:t>your</w:t>
      </w:r>
      <w:r>
        <w:rPr>
          <w:color w:val="231F20"/>
          <w:spacing w:val="39"/>
        </w:rPr>
        <w:t> </w:t>
      </w:r>
      <w:r>
        <w:rPr>
          <w:color w:val="231F20"/>
        </w:rPr>
        <w:t>activities.</w:t>
      </w:r>
      <w:r>
        <w:rPr>
          <w:color w:val="231F20"/>
          <w:spacing w:val="39"/>
        </w:rPr>
        <w:t> </w:t>
      </w:r>
      <w:r>
        <w:rPr>
          <w:color w:val="231F20"/>
        </w:rPr>
        <w:t>For</w:t>
      </w:r>
      <w:r>
        <w:rPr>
          <w:color w:val="231F20"/>
          <w:spacing w:val="39"/>
        </w:rPr>
        <w:t> </w:t>
      </w:r>
      <w:r>
        <w:rPr>
          <w:color w:val="231F20"/>
        </w:rPr>
        <w:t>example, if</w:t>
      </w:r>
      <w:r>
        <w:rPr>
          <w:color w:val="231F20"/>
          <w:spacing w:val="40"/>
        </w:rPr>
        <w:t> </w:t>
      </w:r>
      <w:r>
        <w:rPr>
          <w:color w:val="231F20"/>
        </w:rPr>
        <w:t>“The</w:t>
      </w:r>
      <w:r>
        <w:rPr>
          <w:color w:val="231F20"/>
          <w:spacing w:val="40"/>
        </w:rPr>
        <w:t> </w:t>
      </w:r>
      <w:r>
        <w:rPr>
          <w:color w:val="231F20"/>
        </w:rPr>
        <w:t>Dependability</w:t>
      </w:r>
      <w:r>
        <w:rPr>
          <w:color w:val="231F20"/>
          <w:spacing w:val="40"/>
        </w:rPr>
        <w:t> </w:t>
      </w:r>
      <w:r>
        <w:rPr>
          <w:color w:val="231F20"/>
        </w:rPr>
        <w:t>People”</w:t>
      </w:r>
      <w:r>
        <w:rPr>
          <w:color w:val="231F20"/>
          <w:spacing w:val="40"/>
        </w:rPr>
        <w:t> </w:t>
      </w:r>
      <w:r>
        <w:rPr>
          <w:color w:val="231F20"/>
        </w:rPr>
        <w:t>at</w:t>
      </w:r>
      <w:r>
        <w:rPr>
          <w:color w:val="231F20"/>
          <w:spacing w:val="40"/>
        </w:rPr>
        <w:t> </w:t>
      </w:r>
      <w:r>
        <w:rPr>
          <w:color w:val="231F20"/>
        </w:rPr>
        <w:t>Maytag</w:t>
      </w:r>
      <w:r>
        <w:rPr>
          <w:color w:val="231F20"/>
          <w:spacing w:val="40"/>
        </w:rPr>
        <w:t> </w:t>
      </w:r>
      <w:r>
        <w:rPr>
          <w:color w:val="231F20"/>
        </w:rPr>
        <w:t>added</w:t>
      </w:r>
      <w:r>
        <w:rPr>
          <w:color w:val="231F20"/>
          <w:spacing w:val="40"/>
        </w:rPr>
        <w:t> </w:t>
      </w:r>
      <w:r>
        <w:rPr>
          <w:color w:val="231F20"/>
        </w:rPr>
        <w:t>dishwashers</w:t>
      </w:r>
      <w:r>
        <w:rPr>
          <w:color w:val="231F20"/>
          <w:spacing w:val="40"/>
        </w:rPr>
        <w:t> </w:t>
      </w:r>
      <w:r>
        <w:rPr>
          <w:color w:val="231F20"/>
        </w:rPr>
        <w:t>to their line of clothes washers and dryers, the product, the cus-</w:t>
      </w:r>
      <w:r>
        <w:rPr>
          <w:color w:val="231F20"/>
          <w:spacing w:val="80"/>
        </w:rPr>
        <w:t> </w:t>
      </w:r>
      <w:r>
        <w:rPr>
          <w:color w:val="231F20"/>
        </w:rPr>
        <w:t>tomers, and the retailers for the dishwashers would be shared with their</w:t>
      </w:r>
      <w:r>
        <w:rPr>
          <w:color w:val="231F20"/>
          <w:spacing w:val="20"/>
        </w:rPr>
        <w:t> </w:t>
      </w:r>
      <w:r>
        <w:rPr>
          <w:color w:val="231F20"/>
        </w:rPr>
        <w:t>existing</w:t>
      </w:r>
      <w:r>
        <w:rPr>
          <w:color w:val="231F20"/>
          <w:spacing w:val="20"/>
        </w:rPr>
        <w:t> </w:t>
      </w:r>
      <w:r>
        <w:rPr>
          <w:color w:val="231F20"/>
        </w:rPr>
        <w:t>line.</w:t>
      </w:r>
      <w:r>
        <w:rPr>
          <w:color w:val="231F20"/>
          <w:spacing w:val="20"/>
        </w:rPr>
        <w:t> </w:t>
      </w:r>
      <w:r>
        <w:rPr>
          <w:color w:val="231F20"/>
        </w:rPr>
        <w:t>There</w:t>
      </w:r>
      <w:r>
        <w:rPr>
          <w:color w:val="231F20"/>
          <w:spacing w:val="20"/>
        </w:rPr>
        <w:t> </w:t>
      </w:r>
      <w:r>
        <w:rPr>
          <w:color w:val="231F20"/>
        </w:rPr>
        <w:t>would</w:t>
      </w:r>
      <w:r>
        <w:rPr>
          <w:color w:val="231F20"/>
          <w:spacing w:val="20"/>
        </w:rPr>
        <w:t> </w:t>
      </w:r>
      <w:r>
        <w:rPr>
          <w:color w:val="231F20"/>
        </w:rPr>
        <w:t>be</w:t>
      </w:r>
      <w:r>
        <w:rPr>
          <w:color w:val="231F20"/>
          <w:spacing w:val="20"/>
        </w:rPr>
        <w:t> </w:t>
      </w:r>
      <w:r>
        <w:rPr>
          <w:color w:val="231F20"/>
        </w:rPr>
        <w:t>a</w:t>
      </w:r>
      <w:r>
        <w:rPr>
          <w:color w:val="231F20"/>
          <w:spacing w:val="20"/>
        </w:rPr>
        <w:t> </w:t>
      </w:r>
      <w:r>
        <w:rPr>
          <w:color w:val="231F20"/>
        </w:rPr>
        <w:t>fit</w:t>
      </w:r>
      <w:r>
        <w:rPr>
          <w:color w:val="231F20"/>
          <w:spacing w:val="20"/>
        </w:rPr>
        <w:t> </w:t>
      </w:r>
      <w:r>
        <w:rPr>
          <w:color w:val="231F20"/>
        </w:rPr>
        <w:t>with</w:t>
      </w:r>
      <w:r>
        <w:rPr>
          <w:color w:val="231F20"/>
          <w:spacing w:val="20"/>
        </w:rPr>
        <w:t> </w:t>
      </w:r>
      <w:r>
        <w:rPr>
          <w:color w:val="231F20"/>
        </w:rPr>
        <w:t>this</w:t>
      </w:r>
      <w:r>
        <w:rPr>
          <w:color w:val="231F20"/>
          <w:spacing w:val="20"/>
        </w:rPr>
        <w:t> </w:t>
      </w:r>
      <w:r>
        <w:rPr>
          <w:i/>
          <w:color w:val="231F20"/>
        </w:rPr>
        <w:t>line</w:t>
      </w:r>
      <w:r>
        <w:rPr>
          <w:i/>
          <w:color w:val="231F20"/>
          <w:spacing w:val="20"/>
        </w:rPr>
        <w:t> </w:t>
      </w:r>
      <w:r>
        <w:rPr>
          <w:i/>
          <w:color w:val="231F20"/>
        </w:rPr>
        <w:t>extension.</w:t>
      </w:r>
      <w:r>
        <w:rPr>
          <w:i/>
          <w:color w:val="231F20"/>
          <w:spacing w:val="20"/>
        </w:rPr>
        <w:t> </w:t>
      </w:r>
      <w:r>
        <w:rPr>
          <w:color w:val="231F20"/>
        </w:rPr>
        <w:t>But if Maytag wanted to sell personal hair dryers, the fit would be </w:t>
      </w:r>
      <w:r>
        <w:rPr>
          <w:color w:val="231F20"/>
          <w:spacing w:val="-2"/>
        </w:rPr>
        <w:t>questionable.</w:t>
      </w:r>
    </w:p>
    <w:p>
      <w:pPr>
        <w:spacing w:after="0" w:line="292" w:lineRule="auto"/>
        <w:jc w:val="both"/>
        <w:sectPr>
          <w:pgSz w:w="8640" w:h="12960"/>
          <w:pgMar w:header="732" w:footer="0" w:top="920" w:bottom="280" w:left="340" w:right="500"/>
        </w:sectPr>
      </w:pPr>
    </w:p>
    <w:p>
      <w:pPr>
        <w:pStyle w:val="BodyText"/>
        <w:spacing w:before="8"/>
        <w:rPr>
          <w:sz w:val="19"/>
        </w:rPr>
      </w:pPr>
    </w:p>
    <w:p>
      <w:pPr>
        <w:spacing w:before="96"/>
        <w:ind w:left="473" w:right="219" w:firstLine="0"/>
        <w:jc w:val="center"/>
        <w:rPr>
          <w:rFonts w:ascii="Arial"/>
          <w:sz w:val="14"/>
        </w:rPr>
      </w:pPr>
      <w:r>
        <w:rPr>
          <w:rFonts w:ascii="Arial"/>
          <w:color w:val="231F20"/>
          <w:w w:val="105"/>
          <w:sz w:val="14"/>
        </w:rPr>
        <w:t>THE</w:t>
      </w:r>
      <w:r>
        <w:rPr>
          <w:rFonts w:ascii="Arial"/>
          <w:color w:val="231F20"/>
          <w:spacing w:val="26"/>
          <w:w w:val="105"/>
          <w:sz w:val="14"/>
        </w:rPr>
        <w:t> </w:t>
      </w:r>
      <w:r>
        <w:rPr>
          <w:rFonts w:ascii="Arial"/>
          <w:color w:val="231F20"/>
          <w:w w:val="105"/>
          <w:sz w:val="14"/>
        </w:rPr>
        <w:t>MARKETING</w:t>
      </w:r>
      <w:r>
        <w:rPr>
          <w:rFonts w:ascii="Arial"/>
          <w:color w:val="231F20"/>
          <w:spacing w:val="26"/>
          <w:w w:val="105"/>
          <w:sz w:val="14"/>
        </w:rPr>
        <w:t> </w:t>
      </w:r>
      <w:r>
        <w:rPr>
          <w:rFonts w:ascii="Arial"/>
          <w:color w:val="231F20"/>
          <w:spacing w:val="-5"/>
          <w:w w:val="105"/>
          <w:sz w:val="14"/>
        </w:rPr>
        <w:t>MIX</w:t>
      </w:r>
    </w:p>
    <w:p>
      <w:pPr>
        <w:pStyle w:val="BodyText"/>
        <w:spacing w:before="5"/>
        <w:rPr>
          <w:rFonts w:ascii="Arial"/>
          <w:sz w:val="16"/>
        </w:rPr>
      </w:pPr>
      <w:r>
        <w:rPr/>
        <w:drawing>
          <wp:anchor distT="0" distB="0" distL="0" distR="0" allowOverlap="1" layoutInCell="1" locked="0" behindDoc="0" simplePos="0" relativeHeight="61">
            <wp:simplePos x="0" y="0"/>
            <wp:positionH relativeFrom="page">
              <wp:posOffset>1818890</wp:posOffset>
            </wp:positionH>
            <wp:positionV relativeFrom="paragraph">
              <wp:posOffset>135847</wp:posOffset>
            </wp:positionV>
            <wp:extent cx="1907205" cy="1877568"/>
            <wp:effectExtent l="0" t="0" r="0" b="0"/>
            <wp:wrapTopAndBottom/>
            <wp:docPr id="15" name="image9.png"/>
            <wp:cNvGraphicFramePr>
              <a:graphicFrameLocks noChangeAspect="1"/>
            </wp:cNvGraphicFramePr>
            <a:graphic>
              <a:graphicData uri="http://schemas.openxmlformats.org/drawingml/2006/picture">
                <pic:pic>
                  <pic:nvPicPr>
                    <pic:cNvPr id="16" name="image9.png"/>
                    <pic:cNvPicPr/>
                  </pic:nvPicPr>
                  <pic:blipFill>
                    <a:blip r:embed="rId22" cstate="print"/>
                    <a:stretch>
                      <a:fillRect/>
                    </a:stretch>
                  </pic:blipFill>
                  <pic:spPr>
                    <a:xfrm>
                      <a:off x="0" y="0"/>
                      <a:ext cx="1907205" cy="1877568"/>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spacing w:before="3"/>
        <w:rPr>
          <w:rFonts w:ascii="Arial"/>
          <w:sz w:val="20"/>
        </w:rPr>
      </w:pPr>
    </w:p>
    <w:p>
      <w:pPr>
        <w:spacing w:before="0"/>
        <w:ind w:left="1260" w:right="0" w:firstLine="0"/>
        <w:jc w:val="left"/>
        <w:rPr>
          <w:rFonts w:ascii="Arial"/>
          <w:i/>
          <w:sz w:val="19"/>
        </w:rPr>
      </w:pPr>
      <w:r>
        <w:rPr>
          <w:rFonts w:ascii="Arial"/>
          <w:i/>
          <w:color w:val="231F20"/>
          <w:spacing w:val="-2"/>
          <w:w w:val="120"/>
          <w:sz w:val="19"/>
        </w:rPr>
        <w:t>How</w:t>
      </w:r>
      <w:r>
        <w:rPr>
          <w:rFonts w:ascii="Arial"/>
          <w:i/>
          <w:color w:val="231F20"/>
          <w:spacing w:val="-12"/>
          <w:w w:val="120"/>
          <w:sz w:val="19"/>
        </w:rPr>
        <w:t> </w:t>
      </w:r>
      <w:r>
        <w:rPr>
          <w:rFonts w:ascii="Arial"/>
          <w:i/>
          <w:color w:val="231F20"/>
          <w:spacing w:val="-2"/>
          <w:w w:val="120"/>
          <w:sz w:val="19"/>
        </w:rPr>
        <w:t>will</w:t>
      </w:r>
      <w:r>
        <w:rPr>
          <w:rFonts w:ascii="Arial"/>
          <w:i/>
          <w:color w:val="231F20"/>
          <w:spacing w:val="-11"/>
          <w:w w:val="120"/>
          <w:sz w:val="19"/>
        </w:rPr>
        <w:t> </w:t>
      </w:r>
      <w:r>
        <w:rPr>
          <w:rFonts w:ascii="Arial"/>
          <w:i/>
          <w:color w:val="231F20"/>
          <w:spacing w:val="-2"/>
          <w:w w:val="120"/>
          <w:sz w:val="19"/>
        </w:rPr>
        <w:t>I</w:t>
      </w:r>
      <w:r>
        <w:rPr>
          <w:rFonts w:ascii="Arial"/>
          <w:i/>
          <w:color w:val="231F20"/>
          <w:spacing w:val="-11"/>
          <w:w w:val="120"/>
          <w:sz w:val="19"/>
        </w:rPr>
        <w:t> </w:t>
      </w:r>
      <w:r>
        <w:rPr>
          <w:rFonts w:ascii="Arial"/>
          <w:i/>
          <w:color w:val="231F20"/>
          <w:spacing w:val="-2"/>
          <w:w w:val="120"/>
          <w:sz w:val="19"/>
        </w:rPr>
        <w:t>differentiate</w:t>
      </w:r>
      <w:r>
        <w:rPr>
          <w:rFonts w:ascii="Arial"/>
          <w:i/>
          <w:color w:val="231F20"/>
          <w:spacing w:val="-11"/>
          <w:w w:val="120"/>
          <w:sz w:val="19"/>
        </w:rPr>
        <w:t> </w:t>
      </w:r>
      <w:r>
        <w:rPr>
          <w:rFonts w:ascii="Arial"/>
          <w:i/>
          <w:color w:val="231F20"/>
          <w:spacing w:val="-2"/>
          <w:w w:val="120"/>
          <w:sz w:val="19"/>
        </w:rPr>
        <w:t>my</w:t>
      </w:r>
      <w:r>
        <w:rPr>
          <w:rFonts w:ascii="Arial"/>
          <w:i/>
          <w:color w:val="231F20"/>
          <w:spacing w:val="-11"/>
          <w:w w:val="120"/>
          <w:sz w:val="19"/>
        </w:rPr>
        <w:t> </w:t>
      </w:r>
      <w:r>
        <w:rPr>
          <w:rFonts w:ascii="Arial"/>
          <w:i/>
          <w:color w:val="231F20"/>
          <w:spacing w:val="-2"/>
          <w:w w:val="120"/>
          <w:sz w:val="19"/>
        </w:rPr>
        <w:t>product?</w:t>
      </w:r>
    </w:p>
    <w:p>
      <w:pPr>
        <w:pStyle w:val="BodyText"/>
        <w:spacing w:line="292" w:lineRule="auto" w:before="60"/>
        <w:ind w:left="920" w:right="666" w:firstLine="340"/>
        <w:jc w:val="both"/>
      </w:pPr>
      <w:r>
        <w:rPr>
          <w:i/>
          <w:color w:val="231F20"/>
        </w:rPr>
        <w:t>Differentiation </w:t>
      </w:r>
      <w:r>
        <w:rPr>
          <w:color w:val="231F20"/>
        </w:rPr>
        <w:t>is a broad issue that includes any way that a </w:t>
      </w:r>
      <w:r>
        <w:rPr>
          <w:color w:val="231F20"/>
        </w:rPr>
        <w:t>mar- keter can distinguish his product from the field. Consequently there are many ways to do it.</w:t>
      </w:r>
    </w:p>
    <w:p>
      <w:pPr>
        <w:pStyle w:val="BodyText"/>
        <w:spacing w:before="4"/>
        <w:rPr>
          <w:sz w:val="27"/>
        </w:rPr>
      </w:pPr>
    </w:p>
    <w:p>
      <w:pPr>
        <w:pStyle w:val="ListParagraph"/>
        <w:numPr>
          <w:ilvl w:val="1"/>
          <w:numId w:val="13"/>
        </w:numPr>
        <w:tabs>
          <w:tab w:pos="1446" w:val="left" w:leader="none"/>
        </w:tabs>
        <w:spacing w:line="240" w:lineRule="auto" w:before="0" w:after="0"/>
        <w:ind w:left="1445" w:right="0" w:hanging="186"/>
        <w:jc w:val="left"/>
        <w:rPr>
          <w:sz w:val="19"/>
        </w:rPr>
      </w:pPr>
      <w:r>
        <w:rPr>
          <w:i/>
          <w:color w:val="231F20"/>
          <w:w w:val="105"/>
          <w:sz w:val="19"/>
        </w:rPr>
        <w:t>Features</w:t>
      </w:r>
      <w:r>
        <w:rPr>
          <w:i/>
          <w:color w:val="231F20"/>
          <w:spacing w:val="-34"/>
          <w:w w:val="105"/>
          <w:sz w:val="19"/>
        </w:rPr>
        <w:t> </w:t>
      </w:r>
      <w:r>
        <w:rPr>
          <w:color w:val="231F20"/>
          <w:w w:val="105"/>
          <w:sz w:val="19"/>
        </w:rPr>
        <w:t>—</w:t>
      </w:r>
      <w:r>
        <w:rPr>
          <w:color w:val="231F20"/>
          <w:spacing w:val="-34"/>
          <w:w w:val="105"/>
          <w:sz w:val="19"/>
        </w:rPr>
        <w:t> </w:t>
      </w:r>
      <w:r>
        <w:rPr>
          <w:color w:val="231F20"/>
          <w:spacing w:val="-2"/>
          <w:w w:val="105"/>
          <w:sz w:val="19"/>
        </w:rPr>
        <w:t>Capabilities</w:t>
      </w:r>
    </w:p>
    <w:p>
      <w:pPr>
        <w:pStyle w:val="ListParagraph"/>
        <w:numPr>
          <w:ilvl w:val="1"/>
          <w:numId w:val="13"/>
        </w:numPr>
        <w:tabs>
          <w:tab w:pos="1446" w:val="left" w:leader="none"/>
        </w:tabs>
        <w:spacing w:line="240" w:lineRule="auto" w:before="81" w:after="0"/>
        <w:ind w:left="1445" w:right="0" w:hanging="186"/>
        <w:jc w:val="left"/>
        <w:rPr>
          <w:sz w:val="19"/>
        </w:rPr>
      </w:pPr>
      <w:r>
        <w:rPr>
          <w:i/>
          <w:color w:val="231F20"/>
          <w:w w:val="105"/>
          <w:sz w:val="19"/>
        </w:rPr>
        <w:t>Fit</w:t>
      </w:r>
      <w:r>
        <w:rPr>
          <w:color w:val="231F20"/>
          <w:w w:val="105"/>
          <w:sz w:val="19"/>
        </w:rPr>
        <w:t>—</w:t>
      </w:r>
      <w:r>
        <w:rPr>
          <w:color w:val="231F20"/>
          <w:spacing w:val="-2"/>
          <w:w w:val="110"/>
          <w:sz w:val="19"/>
        </w:rPr>
        <w:t>Tailoring</w:t>
      </w:r>
    </w:p>
    <w:p>
      <w:pPr>
        <w:pStyle w:val="ListParagraph"/>
        <w:numPr>
          <w:ilvl w:val="1"/>
          <w:numId w:val="13"/>
        </w:numPr>
        <w:tabs>
          <w:tab w:pos="1446" w:val="left" w:leader="none"/>
        </w:tabs>
        <w:spacing w:line="240" w:lineRule="auto" w:before="82" w:after="0"/>
        <w:ind w:left="1445" w:right="0" w:hanging="186"/>
        <w:jc w:val="left"/>
        <w:rPr>
          <w:sz w:val="19"/>
        </w:rPr>
      </w:pPr>
      <w:r>
        <w:rPr>
          <w:i/>
          <w:color w:val="231F20"/>
          <w:w w:val="110"/>
          <w:sz w:val="19"/>
        </w:rPr>
        <w:t>Styling</w:t>
      </w:r>
      <w:r>
        <w:rPr>
          <w:i/>
          <w:color w:val="231F20"/>
          <w:spacing w:val="-39"/>
          <w:w w:val="110"/>
          <w:sz w:val="19"/>
        </w:rPr>
        <w:t> </w:t>
      </w:r>
      <w:r>
        <w:rPr>
          <w:color w:val="231F20"/>
          <w:w w:val="110"/>
          <w:sz w:val="19"/>
        </w:rPr>
        <w:t>—</w:t>
      </w:r>
      <w:r>
        <w:rPr>
          <w:color w:val="231F20"/>
          <w:spacing w:val="-38"/>
          <w:w w:val="110"/>
          <w:sz w:val="19"/>
        </w:rPr>
        <w:t> </w:t>
      </w:r>
      <w:r>
        <w:rPr>
          <w:color w:val="231F20"/>
          <w:w w:val="110"/>
          <w:sz w:val="19"/>
        </w:rPr>
        <w:t>Functional,</w:t>
      </w:r>
      <w:r>
        <w:rPr>
          <w:color w:val="231F20"/>
          <w:spacing w:val="-3"/>
          <w:w w:val="110"/>
          <w:sz w:val="19"/>
        </w:rPr>
        <w:t> </w:t>
      </w:r>
      <w:r>
        <w:rPr>
          <w:color w:val="231F20"/>
          <w:spacing w:val="-2"/>
          <w:w w:val="110"/>
          <w:sz w:val="19"/>
        </w:rPr>
        <w:t>visual</w:t>
      </w:r>
    </w:p>
    <w:p>
      <w:pPr>
        <w:pStyle w:val="ListParagraph"/>
        <w:numPr>
          <w:ilvl w:val="1"/>
          <w:numId w:val="13"/>
        </w:numPr>
        <w:tabs>
          <w:tab w:pos="1446" w:val="left" w:leader="none"/>
        </w:tabs>
        <w:spacing w:line="240" w:lineRule="auto" w:before="81" w:after="0"/>
        <w:ind w:left="1445" w:right="0" w:hanging="186"/>
        <w:jc w:val="left"/>
        <w:rPr>
          <w:sz w:val="19"/>
        </w:rPr>
      </w:pPr>
      <w:r>
        <w:rPr>
          <w:i/>
          <w:color w:val="231F20"/>
          <w:w w:val="110"/>
          <w:sz w:val="19"/>
        </w:rPr>
        <w:t>Reliability</w:t>
      </w:r>
      <w:r>
        <w:rPr>
          <w:i/>
          <w:color w:val="231F20"/>
          <w:spacing w:val="-37"/>
          <w:w w:val="110"/>
          <w:sz w:val="19"/>
        </w:rPr>
        <w:t> </w:t>
      </w:r>
      <w:r>
        <w:rPr>
          <w:color w:val="231F20"/>
          <w:spacing w:val="12"/>
          <w:w w:val="110"/>
          <w:sz w:val="19"/>
        </w:rPr>
        <w:t>—</w:t>
      </w:r>
      <w:r>
        <w:rPr>
          <w:color w:val="231F20"/>
          <w:w w:val="110"/>
          <w:sz w:val="19"/>
        </w:rPr>
        <w:t>Warranties,</w:t>
      </w:r>
      <w:r>
        <w:rPr>
          <w:color w:val="231F20"/>
          <w:spacing w:val="2"/>
          <w:w w:val="110"/>
          <w:sz w:val="19"/>
        </w:rPr>
        <w:t> </w:t>
      </w:r>
      <w:r>
        <w:rPr>
          <w:color w:val="231F20"/>
          <w:w w:val="110"/>
          <w:sz w:val="19"/>
        </w:rPr>
        <w:t>return</w:t>
      </w:r>
      <w:r>
        <w:rPr>
          <w:color w:val="231F20"/>
          <w:spacing w:val="1"/>
          <w:w w:val="110"/>
          <w:sz w:val="19"/>
        </w:rPr>
        <w:t> </w:t>
      </w:r>
      <w:r>
        <w:rPr>
          <w:color w:val="231F20"/>
          <w:spacing w:val="-2"/>
          <w:w w:val="110"/>
          <w:sz w:val="19"/>
        </w:rPr>
        <w:t>policies</w:t>
      </w:r>
    </w:p>
    <w:p>
      <w:pPr>
        <w:pStyle w:val="ListParagraph"/>
        <w:numPr>
          <w:ilvl w:val="1"/>
          <w:numId w:val="13"/>
        </w:numPr>
        <w:tabs>
          <w:tab w:pos="1446" w:val="left" w:leader="none"/>
        </w:tabs>
        <w:spacing w:line="240" w:lineRule="auto" w:before="82" w:after="0"/>
        <w:ind w:left="1445" w:right="0" w:hanging="186"/>
        <w:jc w:val="left"/>
        <w:rPr>
          <w:sz w:val="19"/>
        </w:rPr>
      </w:pPr>
      <w:r>
        <w:rPr>
          <w:i/>
          <w:color w:val="231F20"/>
          <w:w w:val="105"/>
          <w:sz w:val="19"/>
        </w:rPr>
        <w:t>Packaging</w:t>
      </w:r>
      <w:r>
        <w:rPr>
          <w:i/>
          <w:color w:val="231F20"/>
          <w:spacing w:val="-34"/>
          <w:w w:val="105"/>
          <w:sz w:val="19"/>
        </w:rPr>
        <w:t> </w:t>
      </w:r>
      <w:r>
        <w:rPr>
          <w:color w:val="231F20"/>
          <w:w w:val="105"/>
          <w:sz w:val="19"/>
        </w:rPr>
        <w:t>—</w:t>
      </w:r>
      <w:r>
        <w:rPr>
          <w:color w:val="231F20"/>
          <w:spacing w:val="-33"/>
          <w:w w:val="105"/>
          <w:sz w:val="19"/>
        </w:rPr>
        <w:t> </w:t>
      </w:r>
      <w:r>
        <w:rPr>
          <w:color w:val="231F20"/>
          <w:w w:val="105"/>
          <w:sz w:val="19"/>
        </w:rPr>
        <w:t>Color,</w:t>
      </w:r>
      <w:r>
        <w:rPr>
          <w:color w:val="231F20"/>
          <w:spacing w:val="5"/>
          <w:w w:val="105"/>
          <w:sz w:val="19"/>
        </w:rPr>
        <w:t> </w:t>
      </w:r>
      <w:r>
        <w:rPr>
          <w:color w:val="231F20"/>
          <w:w w:val="105"/>
          <w:sz w:val="19"/>
        </w:rPr>
        <w:t>size,</w:t>
      </w:r>
      <w:r>
        <w:rPr>
          <w:color w:val="231F20"/>
          <w:spacing w:val="5"/>
          <w:w w:val="105"/>
          <w:sz w:val="19"/>
        </w:rPr>
        <w:t> </w:t>
      </w:r>
      <w:r>
        <w:rPr>
          <w:color w:val="231F20"/>
          <w:w w:val="105"/>
          <w:sz w:val="19"/>
        </w:rPr>
        <w:t>shape,</w:t>
      </w:r>
      <w:r>
        <w:rPr>
          <w:color w:val="231F20"/>
          <w:spacing w:val="5"/>
          <w:w w:val="105"/>
          <w:sz w:val="19"/>
        </w:rPr>
        <w:t> </w:t>
      </w:r>
      <w:r>
        <w:rPr>
          <w:color w:val="231F20"/>
          <w:spacing w:val="-2"/>
          <w:w w:val="105"/>
          <w:sz w:val="19"/>
        </w:rPr>
        <w:t>protection</w:t>
      </w:r>
    </w:p>
    <w:p>
      <w:pPr>
        <w:pStyle w:val="ListParagraph"/>
        <w:numPr>
          <w:ilvl w:val="1"/>
          <w:numId w:val="13"/>
        </w:numPr>
        <w:tabs>
          <w:tab w:pos="1446" w:val="left" w:leader="none"/>
        </w:tabs>
        <w:spacing w:line="240" w:lineRule="auto" w:before="81" w:after="0"/>
        <w:ind w:left="1445" w:right="0" w:hanging="186"/>
        <w:jc w:val="left"/>
        <w:rPr>
          <w:sz w:val="19"/>
        </w:rPr>
      </w:pPr>
      <w:r>
        <w:rPr>
          <w:i/>
          <w:color w:val="231F20"/>
          <w:w w:val="110"/>
          <w:sz w:val="19"/>
        </w:rPr>
        <w:t>Sizes</w:t>
      </w:r>
      <w:r>
        <w:rPr>
          <w:i/>
          <w:color w:val="231F20"/>
          <w:spacing w:val="-39"/>
          <w:w w:val="110"/>
          <w:sz w:val="19"/>
        </w:rPr>
        <w:t> </w:t>
      </w:r>
      <w:r>
        <w:rPr>
          <w:color w:val="231F20"/>
          <w:w w:val="110"/>
          <w:sz w:val="19"/>
        </w:rPr>
        <w:t>—</w:t>
      </w:r>
      <w:r>
        <w:rPr>
          <w:color w:val="231F20"/>
          <w:spacing w:val="-39"/>
          <w:w w:val="110"/>
          <w:sz w:val="19"/>
        </w:rPr>
        <w:t> </w:t>
      </w:r>
      <w:r>
        <w:rPr>
          <w:color w:val="231F20"/>
          <w:w w:val="110"/>
          <w:sz w:val="19"/>
        </w:rPr>
        <w:t>Clothing,</w:t>
      </w:r>
      <w:r>
        <w:rPr>
          <w:color w:val="231F20"/>
          <w:spacing w:val="-4"/>
          <w:w w:val="110"/>
          <w:sz w:val="19"/>
        </w:rPr>
        <w:t> </w:t>
      </w:r>
      <w:r>
        <w:rPr>
          <w:color w:val="231F20"/>
          <w:w w:val="110"/>
          <w:sz w:val="19"/>
        </w:rPr>
        <w:t>appliance,</w:t>
      </w:r>
      <w:r>
        <w:rPr>
          <w:color w:val="231F20"/>
          <w:spacing w:val="-4"/>
          <w:w w:val="110"/>
          <w:sz w:val="19"/>
        </w:rPr>
        <w:t> </w:t>
      </w:r>
      <w:r>
        <w:rPr>
          <w:color w:val="231F20"/>
          <w:w w:val="110"/>
          <w:sz w:val="19"/>
        </w:rPr>
        <w:t>computer,</w:t>
      </w:r>
      <w:r>
        <w:rPr>
          <w:color w:val="231F20"/>
          <w:spacing w:val="-4"/>
          <w:w w:val="110"/>
          <w:sz w:val="19"/>
        </w:rPr>
        <w:t> </w:t>
      </w:r>
      <w:r>
        <w:rPr>
          <w:color w:val="231F20"/>
          <w:w w:val="110"/>
          <w:sz w:val="19"/>
        </w:rPr>
        <w:t>and</w:t>
      </w:r>
      <w:r>
        <w:rPr>
          <w:color w:val="231F20"/>
          <w:spacing w:val="-5"/>
          <w:w w:val="110"/>
          <w:sz w:val="19"/>
        </w:rPr>
        <w:t> </w:t>
      </w:r>
      <w:r>
        <w:rPr>
          <w:color w:val="231F20"/>
          <w:w w:val="110"/>
          <w:sz w:val="19"/>
        </w:rPr>
        <w:t>luggage</w:t>
      </w:r>
      <w:r>
        <w:rPr>
          <w:color w:val="231F20"/>
          <w:spacing w:val="-4"/>
          <w:w w:val="110"/>
          <w:sz w:val="19"/>
        </w:rPr>
        <w:t> </w:t>
      </w:r>
      <w:r>
        <w:rPr>
          <w:color w:val="231F20"/>
          <w:spacing w:val="-2"/>
          <w:w w:val="110"/>
          <w:sz w:val="19"/>
        </w:rPr>
        <w:t>sizes</w:t>
      </w:r>
    </w:p>
    <w:p>
      <w:pPr>
        <w:pStyle w:val="ListParagraph"/>
        <w:numPr>
          <w:ilvl w:val="1"/>
          <w:numId w:val="13"/>
        </w:numPr>
        <w:tabs>
          <w:tab w:pos="1446" w:val="left" w:leader="none"/>
        </w:tabs>
        <w:spacing w:line="240" w:lineRule="auto" w:before="82" w:after="0"/>
        <w:ind w:left="1445" w:right="0" w:hanging="186"/>
        <w:jc w:val="left"/>
        <w:rPr>
          <w:sz w:val="19"/>
        </w:rPr>
      </w:pPr>
      <w:r>
        <w:rPr>
          <w:i/>
          <w:color w:val="231F20"/>
          <w:w w:val="105"/>
          <w:sz w:val="19"/>
        </w:rPr>
        <w:t>Service</w:t>
      </w:r>
      <w:r>
        <w:rPr>
          <w:i/>
          <w:color w:val="231F20"/>
          <w:spacing w:val="-32"/>
          <w:w w:val="105"/>
          <w:sz w:val="19"/>
        </w:rPr>
        <w:t> </w:t>
      </w:r>
      <w:r>
        <w:rPr>
          <w:color w:val="231F20"/>
          <w:w w:val="105"/>
          <w:sz w:val="19"/>
        </w:rPr>
        <w:t>—Timeliness,</w:t>
      </w:r>
      <w:r>
        <w:rPr>
          <w:color w:val="231F20"/>
          <w:spacing w:val="11"/>
          <w:w w:val="105"/>
          <w:sz w:val="19"/>
        </w:rPr>
        <w:t> </w:t>
      </w:r>
      <w:r>
        <w:rPr>
          <w:color w:val="231F20"/>
          <w:w w:val="105"/>
          <w:sz w:val="19"/>
        </w:rPr>
        <w:t>courtesy,</w:t>
      </w:r>
      <w:r>
        <w:rPr>
          <w:color w:val="231F20"/>
          <w:spacing w:val="10"/>
          <w:w w:val="105"/>
          <w:sz w:val="19"/>
        </w:rPr>
        <w:t> </w:t>
      </w:r>
      <w:r>
        <w:rPr>
          <w:color w:val="231F20"/>
          <w:spacing w:val="-2"/>
          <w:w w:val="105"/>
          <w:sz w:val="19"/>
        </w:rPr>
        <w:t>accuracy</w:t>
      </w:r>
    </w:p>
    <w:p>
      <w:pPr>
        <w:pStyle w:val="ListParagraph"/>
        <w:numPr>
          <w:ilvl w:val="1"/>
          <w:numId w:val="13"/>
        </w:numPr>
        <w:tabs>
          <w:tab w:pos="1446" w:val="left" w:leader="none"/>
        </w:tabs>
        <w:spacing w:line="240" w:lineRule="auto" w:before="81" w:after="0"/>
        <w:ind w:left="1445" w:right="0" w:hanging="186"/>
        <w:jc w:val="left"/>
        <w:rPr>
          <w:sz w:val="19"/>
        </w:rPr>
      </w:pPr>
      <w:r>
        <w:rPr>
          <w:i/>
          <w:color w:val="231F20"/>
          <w:w w:val="110"/>
          <w:sz w:val="19"/>
        </w:rPr>
        <w:t>Brand</w:t>
      </w:r>
      <w:r>
        <w:rPr>
          <w:i/>
          <w:color w:val="231F20"/>
          <w:spacing w:val="-14"/>
          <w:w w:val="110"/>
          <w:sz w:val="19"/>
        </w:rPr>
        <w:t> </w:t>
      </w:r>
      <w:r>
        <w:rPr>
          <w:i/>
          <w:color w:val="231F20"/>
          <w:w w:val="110"/>
          <w:sz w:val="19"/>
        </w:rPr>
        <w:t>Naming</w:t>
      </w:r>
      <w:r>
        <w:rPr>
          <w:i/>
          <w:color w:val="231F20"/>
          <w:spacing w:val="-39"/>
          <w:w w:val="110"/>
          <w:sz w:val="19"/>
        </w:rPr>
        <w:t> </w:t>
      </w:r>
      <w:r>
        <w:rPr>
          <w:color w:val="231F20"/>
          <w:w w:val="110"/>
          <w:sz w:val="19"/>
        </w:rPr>
        <w:t>—</w:t>
      </w:r>
      <w:r>
        <w:rPr>
          <w:color w:val="231F20"/>
          <w:spacing w:val="-40"/>
          <w:w w:val="110"/>
          <w:sz w:val="19"/>
        </w:rPr>
        <w:t> </w:t>
      </w:r>
      <w:r>
        <w:rPr>
          <w:color w:val="231F20"/>
          <w:spacing w:val="-2"/>
          <w:w w:val="110"/>
          <w:sz w:val="19"/>
        </w:rPr>
        <w:t>Labeling</w:t>
      </w:r>
    </w:p>
    <w:p>
      <w:pPr>
        <w:pStyle w:val="BodyText"/>
        <w:rPr>
          <w:rFonts w:ascii="Arial"/>
          <w:sz w:val="20"/>
        </w:rPr>
      </w:pPr>
    </w:p>
    <w:p>
      <w:pPr>
        <w:pStyle w:val="BodyText"/>
        <w:spacing w:line="292" w:lineRule="auto" w:before="131"/>
        <w:ind w:left="920" w:right="663" w:firstLine="340"/>
        <w:jc w:val="both"/>
      </w:pPr>
      <w:r>
        <w:rPr>
          <w:color w:val="231F20"/>
        </w:rPr>
        <w:t>If</w:t>
      </w:r>
      <w:r>
        <w:rPr>
          <w:color w:val="231F20"/>
          <w:spacing w:val="40"/>
        </w:rPr>
        <w:t> </w:t>
      </w:r>
      <w:r>
        <w:rPr>
          <w:color w:val="231F20"/>
        </w:rPr>
        <w:t>Ralph</w:t>
      </w:r>
      <w:r>
        <w:rPr>
          <w:color w:val="231F20"/>
          <w:spacing w:val="40"/>
        </w:rPr>
        <w:t> </w:t>
      </w:r>
      <w:r>
        <w:rPr>
          <w:color w:val="231F20"/>
        </w:rPr>
        <w:t>Lauren</w:t>
      </w:r>
      <w:r>
        <w:rPr>
          <w:color w:val="231F20"/>
          <w:spacing w:val="40"/>
        </w:rPr>
        <w:t> </w:t>
      </w:r>
      <w:r>
        <w:rPr>
          <w:color w:val="231F20"/>
        </w:rPr>
        <w:t>had</w:t>
      </w:r>
      <w:r>
        <w:rPr>
          <w:color w:val="231F20"/>
          <w:spacing w:val="40"/>
        </w:rPr>
        <w:t> </w:t>
      </w:r>
      <w:r>
        <w:rPr>
          <w:color w:val="231F20"/>
        </w:rPr>
        <w:t>used</w:t>
      </w:r>
      <w:r>
        <w:rPr>
          <w:color w:val="231F20"/>
          <w:spacing w:val="40"/>
        </w:rPr>
        <w:t> </w:t>
      </w:r>
      <w:r>
        <w:rPr>
          <w:color w:val="231F20"/>
        </w:rPr>
        <w:t>his</w:t>
      </w:r>
      <w:r>
        <w:rPr>
          <w:color w:val="231F20"/>
          <w:spacing w:val="40"/>
        </w:rPr>
        <w:t> </w:t>
      </w:r>
      <w:r>
        <w:rPr>
          <w:color w:val="231F20"/>
        </w:rPr>
        <w:t>real</w:t>
      </w:r>
      <w:r>
        <w:rPr>
          <w:color w:val="231F20"/>
          <w:spacing w:val="40"/>
        </w:rPr>
        <w:t> </w:t>
      </w:r>
      <w:r>
        <w:rPr>
          <w:color w:val="231F20"/>
        </w:rPr>
        <w:t>name,</w:t>
      </w:r>
      <w:r>
        <w:rPr>
          <w:color w:val="231F20"/>
          <w:spacing w:val="40"/>
        </w:rPr>
        <w:t> </w:t>
      </w:r>
      <w:r>
        <w:rPr>
          <w:color w:val="231F20"/>
        </w:rPr>
        <w:t>Ralph</w:t>
      </w:r>
      <w:r>
        <w:rPr>
          <w:color w:val="231F20"/>
          <w:spacing w:val="40"/>
        </w:rPr>
        <w:t> </w:t>
      </w:r>
      <w:r>
        <w:rPr>
          <w:color w:val="231F20"/>
        </w:rPr>
        <w:t>Lifshitz,</w:t>
      </w:r>
      <w:r>
        <w:rPr>
          <w:color w:val="231F20"/>
          <w:spacing w:val="40"/>
        </w:rPr>
        <w:t> </w:t>
      </w:r>
      <w:r>
        <w:rPr>
          <w:color w:val="231F20"/>
        </w:rPr>
        <w:t>he would have forgone the psychological benefits derived from his</w:t>
      </w:r>
      <w:r>
        <w:rPr>
          <w:color w:val="231F20"/>
          <w:spacing w:val="40"/>
        </w:rPr>
        <w:t> </w:t>
      </w:r>
      <w:r>
        <w:rPr>
          <w:color w:val="231F20"/>
        </w:rPr>
        <w:t>Ralph Lauren’s Polo label on $2.7 billion in clothing, cologne, </w:t>
      </w:r>
      <w:r>
        <w:rPr>
          <w:color w:val="231F20"/>
        </w:rPr>
        <w:t>and bedding in 2004. Lifshitz somehow fails to convey the image of En- glish aristocracy.</w:t>
      </w:r>
    </w:p>
    <w:p>
      <w:pPr>
        <w:pStyle w:val="BodyText"/>
        <w:spacing w:line="292" w:lineRule="auto"/>
        <w:ind w:left="919" w:right="666" w:firstLine="340"/>
        <w:jc w:val="both"/>
      </w:pPr>
      <w:r>
        <w:rPr>
          <w:color w:val="231F20"/>
        </w:rPr>
        <w:t>In many cases the so-called </w:t>
      </w:r>
      <w:r>
        <w:rPr>
          <w:i/>
          <w:color w:val="231F20"/>
        </w:rPr>
        <w:t>brand equity </w:t>
      </w:r>
      <w:r>
        <w:rPr>
          <w:color w:val="231F20"/>
        </w:rPr>
        <w:t>of one product can be transferred to new products using a </w:t>
      </w:r>
      <w:r>
        <w:rPr>
          <w:i/>
          <w:color w:val="231F20"/>
        </w:rPr>
        <w:t>brand </w:t>
      </w:r>
      <w:r>
        <w:rPr>
          <w:color w:val="231F20"/>
        </w:rPr>
        <w:t>or </w:t>
      </w:r>
      <w:r>
        <w:rPr>
          <w:i/>
          <w:color w:val="231F20"/>
        </w:rPr>
        <w:t>line extension </w:t>
      </w:r>
      <w:r>
        <w:rPr>
          <w:color w:val="231F20"/>
        </w:rPr>
        <w:t>strategy that</w:t>
      </w:r>
      <w:r>
        <w:rPr>
          <w:color w:val="231F20"/>
          <w:spacing w:val="17"/>
        </w:rPr>
        <w:t> </w:t>
      </w:r>
      <w:r>
        <w:rPr>
          <w:color w:val="231F20"/>
        </w:rPr>
        <w:t>differentiates</w:t>
      </w:r>
      <w:r>
        <w:rPr>
          <w:color w:val="231F20"/>
          <w:spacing w:val="17"/>
        </w:rPr>
        <w:t> </w:t>
      </w:r>
      <w:r>
        <w:rPr>
          <w:color w:val="231F20"/>
        </w:rPr>
        <w:t>it</w:t>
      </w:r>
      <w:r>
        <w:rPr>
          <w:color w:val="231F20"/>
          <w:spacing w:val="17"/>
        </w:rPr>
        <w:t> </w:t>
      </w:r>
      <w:r>
        <w:rPr>
          <w:color w:val="231F20"/>
        </w:rPr>
        <w:t>from</w:t>
      </w:r>
      <w:r>
        <w:rPr>
          <w:color w:val="231F20"/>
          <w:spacing w:val="17"/>
        </w:rPr>
        <w:t> </w:t>
      </w:r>
      <w:r>
        <w:rPr>
          <w:color w:val="231F20"/>
        </w:rPr>
        <w:t>the</w:t>
      </w:r>
      <w:r>
        <w:rPr>
          <w:color w:val="231F20"/>
          <w:spacing w:val="17"/>
        </w:rPr>
        <w:t> </w:t>
      </w:r>
      <w:r>
        <w:rPr>
          <w:color w:val="231F20"/>
        </w:rPr>
        <w:t>pack.</w:t>
      </w:r>
      <w:r>
        <w:rPr>
          <w:color w:val="231F20"/>
          <w:spacing w:val="17"/>
        </w:rPr>
        <w:t> </w:t>
      </w:r>
      <w:r>
        <w:rPr>
          <w:color w:val="231F20"/>
        </w:rPr>
        <w:t>Kraft</w:t>
      </w:r>
      <w:r>
        <w:rPr>
          <w:color w:val="231F20"/>
          <w:spacing w:val="18"/>
        </w:rPr>
        <w:t> </w:t>
      </w:r>
      <w:r>
        <w:rPr>
          <w:color w:val="231F20"/>
        </w:rPr>
        <w:t>Foods</w:t>
      </w:r>
      <w:r>
        <w:rPr>
          <w:color w:val="231F20"/>
          <w:spacing w:val="17"/>
        </w:rPr>
        <w:t> </w:t>
      </w:r>
      <w:r>
        <w:rPr>
          <w:color w:val="231F20"/>
        </w:rPr>
        <w:t>has</w:t>
      </w:r>
      <w:r>
        <w:rPr>
          <w:color w:val="231F20"/>
          <w:spacing w:val="17"/>
        </w:rPr>
        <w:t> </w:t>
      </w:r>
      <w:r>
        <w:rPr>
          <w:color w:val="231F20"/>
        </w:rPr>
        <w:t>chosen</w:t>
      </w:r>
      <w:r>
        <w:rPr>
          <w:color w:val="231F20"/>
          <w:spacing w:val="17"/>
        </w:rPr>
        <w:t> </w:t>
      </w:r>
      <w:r>
        <w:rPr>
          <w:color w:val="231F20"/>
        </w:rPr>
        <w:t>to</w:t>
      </w:r>
      <w:r>
        <w:rPr>
          <w:color w:val="231F20"/>
          <w:spacing w:val="17"/>
        </w:rPr>
        <w:t> </w:t>
      </w:r>
      <w:r>
        <w:rPr>
          <w:color w:val="231F20"/>
          <w:spacing w:val="-2"/>
        </w:rPr>
        <w:t>place</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the Jell-O brand name on its new pudding and ice cream treats. The Jell-O brand bestows upon the new products all the goodwill and brand recognition (brand equity) that Jell-O has earned over de- cades. It would take many years of expensive advertising to </w:t>
      </w:r>
      <w:r>
        <w:rPr>
          <w:color w:val="231F20"/>
        </w:rPr>
        <w:t>establish the brand equity of the Jell-O brand. Accordingly, almost 90 percent of the thousands of new product introductions since 1987 were line and brand extensions. If stretched too far, a brand’s equity can be di- luted and its effectiveness with consumers devalued.</w:t>
      </w:r>
    </w:p>
    <w:p>
      <w:pPr>
        <w:pStyle w:val="BodyText"/>
        <w:spacing w:line="292" w:lineRule="auto"/>
        <w:ind w:left="829" w:right="756" w:firstLine="340"/>
        <w:jc w:val="both"/>
      </w:pPr>
      <w:r>
        <w:rPr>
          <w:color w:val="231F20"/>
        </w:rPr>
        <w:t>The choice of any one of these product differentiation </w:t>
      </w:r>
      <w:r>
        <w:rPr>
          <w:color w:val="231F20"/>
        </w:rPr>
        <w:t>techniques affects the entire marketing process, as it lays the groundwork for your promotional efforts. A product can be differentiated from the competition by creative advertising and promotion, even if compet- ing products are physically identical.</w:t>
      </w:r>
    </w:p>
    <w:p>
      <w:pPr>
        <w:pStyle w:val="BodyText"/>
        <w:spacing w:line="292" w:lineRule="auto"/>
        <w:ind w:left="829" w:right="754" w:firstLine="340"/>
        <w:jc w:val="both"/>
      </w:pPr>
      <w:r>
        <w:rPr>
          <w:i/>
          <w:color w:val="231F20"/>
        </w:rPr>
        <w:t>Perceptual maps and positioning can help to differentiate the</w:t>
      </w:r>
      <w:r>
        <w:rPr>
          <w:i/>
          <w:color w:val="231F20"/>
        </w:rPr>
        <w:t> product. </w:t>
      </w:r>
      <w:r>
        <w:rPr>
          <w:color w:val="231F20"/>
        </w:rPr>
        <w:t>All the product attributes mentioned affect the </w:t>
      </w:r>
      <w:r>
        <w:rPr>
          <w:i/>
          <w:color w:val="231F20"/>
        </w:rPr>
        <w:t>positioning</w:t>
      </w:r>
      <w:r>
        <w:rPr>
          <w:i/>
          <w:color w:val="231F20"/>
          <w:spacing w:val="80"/>
        </w:rPr>
        <w:t> </w:t>
      </w:r>
      <w:r>
        <w:rPr>
          <w:color w:val="231F20"/>
        </w:rPr>
        <w:t>of a product in the marketplace. The marketer can always call upon his company’s product engineers to develop a product’s physical characteristics if the profits justify it. As my perceptual map of paper towels indicated, consumers have specific needs within a product class, and they perceive each product differently. The marketer’s job is to uniquely position the product (using a perceptual map as a</w:t>
      </w:r>
      <w:r>
        <w:rPr>
          <w:color w:val="231F20"/>
          <w:spacing w:val="40"/>
        </w:rPr>
        <w:t> </w:t>
      </w:r>
      <w:r>
        <w:rPr>
          <w:color w:val="231F20"/>
        </w:rPr>
        <w:t>guide if desired) to earn its place in the market. That place is often called a product’s </w:t>
      </w:r>
      <w:r>
        <w:rPr>
          <w:i/>
          <w:color w:val="231F20"/>
        </w:rPr>
        <w:t>niche </w:t>
      </w:r>
      <w:r>
        <w:rPr>
          <w:color w:val="231F20"/>
        </w:rPr>
        <w:t>in the market. As pictured in the perceptual mapping of paper towels, Georgia Pacific’s Brawny brand is posi- tioned as the tough, durable towel for really dirty cleanups. Hope- fully the brand manager will choose a niche that will yield the most sales and profits by targeting a market segment his product serves best. Positioning is inexorably tied to the market segment selected through your consumer and market analysis.</w:t>
      </w:r>
    </w:p>
    <w:p>
      <w:pPr>
        <w:pStyle w:val="BodyText"/>
        <w:spacing w:before="6"/>
        <w:rPr>
          <w:sz w:val="26"/>
        </w:rPr>
      </w:pPr>
    </w:p>
    <w:p>
      <w:pPr>
        <w:spacing w:before="0"/>
        <w:ind w:left="1170" w:right="0" w:firstLine="0"/>
        <w:jc w:val="left"/>
        <w:rPr>
          <w:rFonts w:ascii="Arial"/>
          <w:i/>
          <w:sz w:val="19"/>
        </w:rPr>
      </w:pPr>
      <w:r>
        <w:rPr>
          <w:rFonts w:ascii="Arial"/>
          <w:i/>
          <w:color w:val="231F20"/>
          <w:w w:val="115"/>
          <w:sz w:val="19"/>
        </w:rPr>
        <w:t>How does the</w:t>
      </w:r>
      <w:r>
        <w:rPr>
          <w:rFonts w:ascii="Arial"/>
          <w:i/>
          <w:color w:val="231F20"/>
          <w:spacing w:val="1"/>
          <w:w w:val="115"/>
          <w:sz w:val="19"/>
        </w:rPr>
        <w:t> </w:t>
      </w:r>
      <w:r>
        <w:rPr>
          <w:rFonts w:ascii="Arial"/>
          <w:i/>
          <w:color w:val="231F20"/>
          <w:w w:val="115"/>
          <w:sz w:val="19"/>
        </w:rPr>
        <w:t>product life cycle</w:t>
      </w:r>
      <w:r>
        <w:rPr>
          <w:rFonts w:ascii="Arial"/>
          <w:i/>
          <w:color w:val="231F20"/>
          <w:spacing w:val="1"/>
          <w:w w:val="115"/>
          <w:sz w:val="19"/>
        </w:rPr>
        <w:t> </w:t>
      </w:r>
      <w:r>
        <w:rPr>
          <w:rFonts w:ascii="Arial"/>
          <w:i/>
          <w:color w:val="231F20"/>
          <w:w w:val="115"/>
          <w:sz w:val="19"/>
        </w:rPr>
        <w:t>affect my </w:t>
      </w:r>
      <w:r>
        <w:rPr>
          <w:rFonts w:ascii="Arial"/>
          <w:i/>
          <w:color w:val="231F20"/>
          <w:spacing w:val="-2"/>
          <w:w w:val="115"/>
          <w:sz w:val="19"/>
        </w:rPr>
        <w:t>plans?</w:t>
      </w:r>
    </w:p>
    <w:p>
      <w:pPr>
        <w:pStyle w:val="BodyText"/>
        <w:spacing w:line="292" w:lineRule="auto" w:before="60"/>
        <w:ind w:left="829" w:right="753" w:firstLine="340"/>
        <w:jc w:val="both"/>
      </w:pPr>
      <w:r>
        <w:rPr>
          <w:color w:val="231F20"/>
        </w:rPr>
        <w:t>Based on the point in the </w:t>
      </w:r>
      <w:r>
        <w:rPr>
          <w:i/>
          <w:color w:val="231F20"/>
        </w:rPr>
        <w:t>product life cycle </w:t>
      </w:r>
      <w:r>
        <w:rPr>
          <w:color w:val="231F20"/>
        </w:rPr>
        <w:t>(PLC), different as- pects of the product become more important in the competitive bat- tles. The previous discussion of the PLC noted that product features are</w:t>
      </w:r>
      <w:r>
        <w:rPr>
          <w:color w:val="231F20"/>
          <w:spacing w:val="56"/>
        </w:rPr>
        <w:t> </w:t>
      </w:r>
      <w:r>
        <w:rPr>
          <w:color w:val="231F20"/>
        </w:rPr>
        <w:t>extremely</w:t>
      </w:r>
      <w:r>
        <w:rPr>
          <w:color w:val="231F20"/>
          <w:spacing w:val="56"/>
        </w:rPr>
        <w:t> </w:t>
      </w:r>
      <w:r>
        <w:rPr>
          <w:color w:val="231F20"/>
        </w:rPr>
        <w:t>important</w:t>
      </w:r>
      <w:r>
        <w:rPr>
          <w:color w:val="231F20"/>
          <w:spacing w:val="56"/>
        </w:rPr>
        <w:t> </w:t>
      </w:r>
      <w:r>
        <w:rPr>
          <w:color w:val="231F20"/>
        </w:rPr>
        <w:t>to</w:t>
      </w:r>
      <w:r>
        <w:rPr>
          <w:color w:val="231F20"/>
          <w:spacing w:val="56"/>
        </w:rPr>
        <w:t> </w:t>
      </w:r>
      <w:r>
        <w:rPr>
          <w:color w:val="231F20"/>
        </w:rPr>
        <w:t>differentiate</w:t>
      </w:r>
      <w:r>
        <w:rPr>
          <w:color w:val="231F20"/>
          <w:spacing w:val="56"/>
        </w:rPr>
        <w:t> </w:t>
      </w:r>
      <w:r>
        <w:rPr>
          <w:color w:val="231F20"/>
        </w:rPr>
        <w:t>products</w:t>
      </w:r>
      <w:r>
        <w:rPr>
          <w:color w:val="231F20"/>
          <w:spacing w:val="57"/>
        </w:rPr>
        <w:t> </w:t>
      </w:r>
      <w:r>
        <w:rPr>
          <w:color w:val="231F20"/>
        </w:rPr>
        <w:t>in</w:t>
      </w:r>
      <w:r>
        <w:rPr>
          <w:color w:val="231F20"/>
          <w:spacing w:val="56"/>
        </w:rPr>
        <w:t> </w:t>
      </w:r>
      <w:r>
        <w:rPr>
          <w:color w:val="231F20"/>
        </w:rPr>
        <w:t>the</w:t>
      </w:r>
      <w:r>
        <w:rPr>
          <w:color w:val="231F20"/>
          <w:spacing w:val="56"/>
        </w:rPr>
        <w:t> </w:t>
      </w:r>
      <w:r>
        <w:rPr>
          <w:color w:val="231F20"/>
          <w:spacing w:val="-2"/>
        </w:rPr>
        <w:t>growth</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3"/>
        <w:jc w:val="both"/>
      </w:pPr>
      <w:r>
        <w:rPr>
          <w:color w:val="231F20"/>
        </w:rPr>
        <w:t>phase, while branding is increasingly more important in the </w:t>
      </w:r>
      <w:r>
        <w:rPr>
          <w:color w:val="231F20"/>
        </w:rPr>
        <w:t>matu- rity phase. The emphasis on multiplay features on compact disc players, for example, currently indicates the growth phase of the</w:t>
      </w:r>
      <w:r>
        <w:rPr>
          <w:color w:val="231F20"/>
          <w:spacing w:val="80"/>
        </w:rPr>
        <w:t> </w:t>
      </w:r>
      <w:r>
        <w:rPr>
          <w:color w:val="231F20"/>
        </w:rPr>
        <w:t>PLC. In the mature cassette deck market, the battles over auto re- verse and Dolby noise reduction have already been played out. Whatever the choices for the product, product decisions will have a definite effect on the other P’s of the mix.</w:t>
      </w:r>
    </w:p>
    <w:p>
      <w:pPr>
        <w:pStyle w:val="BodyText"/>
        <w:spacing w:before="4"/>
        <w:rPr>
          <w:sz w:val="25"/>
        </w:rPr>
      </w:pPr>
    </w:p>
    <w:p>
      <w:pPr>
        <w:tabs>
          <w:tab w:pos="2789" w:val="left" w:leader="none"/>
          <w:tab w:pos="4059" w:val="left" w:leader="none"/>
          <w:tab w:pos="5860" w:val="left" w:leader="none"/>
        </w:tabs>
        <w:spacing w:before="0"/>
        <w:ind w:left="1260" w:right="0" w:firstLine="0"/>
        <w:jc w:val="left"/>
        <w:rPr>
          <w:sz w:val="21"/>
        </w:rPr>
      </w:pPr>
      <w:r>
        <w:rPr>
          <w:color w:val="231F20"/>
          <w:spacing w:val="-2"/>
          <w:sz w:val="21"/>
        </w:rPr>
        <w:t>Product</w:t>
      </w:r>
      <w:r>
        <w:rPr>
          <w:color w:val="231F20"/>
          <w:sz w:val="21"/>
        </w:rPr>
        <w:tab/>
      </w:r>
      <w:r>
        <w:rPr>
          <w:b/>
          <w:color w:val="231F20"/>
          <w:spacing w:val="-2"/>
          <w:sz w:val="21"/>
        </w:rPr>
        <w:t>Place</w:t>
      </w:r>
      <w:r>
        <w:rPr>
          <w:b/>
          <w:color w:val="231F20"/>
          <w:sz w:val="21"/>
        </w:rPr>
        <w:tab/>
      </w:r>
      <w:r>
        <w:rPr>
          <w:color w:val="231F20"/>
          <w:spacing w:val="-2"/>
          <w:sz w:val="21"/>
        </w:rPr>
        <w:t>Promotion</w:t>
      </w:r>
      <w:r>
        <w:rPr>
          <w:color w:val="231F20"/>
          <w:sz w:val="21"/>
        </w:rPr>
        <w:tab/>
      </w:r>
      <w:r>
        <w:rPr>
          <w:color w:val="231F20"/>
          <w:spacing w:val="-2"/>
          <w:sz w:val="21"/>
        </w:rPr>
        <w:t>Price</w:t>
      </w:r>
    </w:p>
    <w:p>
      <w:pPr>
        <w:pStyle w:val="BodyText"/>
        <w:spacing w:before="2"/>
        <w:rPr>
          <w:sz w:val="30"/>
        </w:rPr>
      </w:pPr>
    </w:p>
    <w:p>
      <w:pPr>
        <w:pStyle w:val="Heading6"/>
        <w:rPr>
          <w:i/>
        </w:rPr>
      </w:pPr>
      <w:r>
        <w:rPr>
          <w:i/>
          <w:color w:val="231F20"/>
          <w:w w:val="110"/>
        </w:rPr>
        <w:t>PLACE</w:t>
      </w:r>
      <w:r>
        <w:rPr>
          <w:i/>
          <w:color w:val="231F20"/>
          <w:spacing w:val="65"/>
          <w:w w:val="110"/>
        </w:rPr>
        <w:t> </w:t>
      </w:r>
      <w:r>
        <w:rPr>
          <w:i/>
          <w:color w:val="231F20"/>
          <w:w w:val="110"/>
        </w:rPr>
        <w:t>OF</w:t>
      </w:r>
      <w:r>
        <w:rPr>
          <w:i/>
          <w:color w:val="231F20"/>
          <w:spacing w:val="65"/>
          <w:w w:val="110"/>
        </w:rPr>
        <w:t> </w:t>
      </w:r>
      <w:r>
        <w:rPr>
          <w:i/>
          <w:color w:val="231F20"/>
          <w:w w:val="110"/>
        </w:rPr>
        <w:t>SALE</w:t>
      </w:r>
      <w:r>
        <w:rPr>
          <w:i/>
          <w:color w:val="231F20"/>
          <w:spacing w:val="65"/>
          <w:w w:val="110"/>
        </w:rPr>
        <w:t> </w:t>
      </w:r>
      <w:r>
        <w:rPr>
          <w:i/>
          <w:color w:val="231F20"/>
          <w:w w:val="110"/>
        </w:rPr>
        <w:t>DECISIONS:</w:t>
      </w:r>
      <w:r>
        <w:rPr>
          <w:i/>
          <w:color w:val="231F20"/>
          <w:spacing w:val="65"/>
          <w:w w:val="110"/>
        </w:rPr>
        <w:t> </w:t>
      </w:r>
      <w:r>
        <w:rPr>
          <w:i/>
          <w:color w:val="231F20"/>
          <w:w w:val="110"/>
        </w:rPr>
        <w:t>WHERE</w:t>
      </w:r>
      <w:r>
        <w:rPr>
          <w:i/>
          <w:color w:val="231F20"/>
          <w:spacing w:val="66"/>
          <w:w w:val="110"/>
        </w:rPr>
        <w:t> </w:t>
      </w:r>
      <w:r>
        <w:rPr>
          <w:i/>
          <w:color w:val="231F20"/>
          <w:w w:val="110"/>
        </w:rPr>
        <w:t>TO</w:t>
      </w:r>
      <w:r>
        <w:rPr>
          <w:i/>
          <w:color w:val="231F20"/>
          <w:spacing w:val="65"/>
          <w:w w:val="110"/>
        </w:rPr>
        <w:t> </w:t>
      </w:r>
      <w:r>
        <w:rPr>
          <w:i/>
          <w:color w:val="231F20"/>
          <w:spacing w:val="8"/>
          <w:w w:val="110"/>
        </w:rPr>
        <w:t>SELL?</w:t>
      </w:r>
    </w:p>
    <w:p>
      <w:pPr>
        <w:pStyle w:val="BodyText"/>
        <w:spacing w:before="2"/>
        <w:rPr>
          <w:b/>
          <w:i/>
          <w:sz w:val="30"/>
        </w:rPr>
      </w:pPr>
    </w:p>
    <w:p>
      <w:pPr>
        <w:pStyle w:val="BodyText"/>
        <w:spacing w:line="292" w:lineRule="auto"/>
        <w:ind w:left="920" w:right="665"/>
        <w:jc w:val="both"/>
      </w:pPr>
      <w:r>
        <w:rPr>
          <w:color w:val="231F20"/>
        </w:rPr>
        <w:t>In your review of the distribution channels, the goal was to deter- mine what avenues exist and what margins are available. At this stage, having made product decisions and a choice of target </w:t>
      </w:r>
      <w:r>
        <w:rPr>
          <w:color w:val="231F20"/>
        </w:rPr>
        <w:t>market, the marketer has to choose an appropriate channel to fit with the product and the intended buyers.</w:t>
      </w:r>
    </w:p>
    <w:p>
      <w:pPr>
        <w:pStyle w:val="BodyText"/>
        <w:spacing w:before="3"/>
        <w:rPr>
          <w:sz w:val="27"/>
        </w:rPr>
      </w:pPr>
    </w:p>
    <w:p>
      <w:pPr>
        <w:spacing w:before="0"/>
        <w:ind w:left="1260" w:right="0" w:firstLine="0"/>
        <w:jc w:val="left"/>
        <w:rPr>
          <w:rFonts w:ascii="Arial"/>
          <w:sz w:val="19"/>
        </w:rPr>
      </w:pPr>
      <w:r>
        <w:rPr>
          <w:rFonts w:ascii="Arial"/>
          <w:color w:val="231F20"/>
          <w:w w:val="115"/>
          <w:sz w:val="19"/>
        </w:rPr>
        <w:t>What distribution</w:t>
      </w:r>
      <w:r>
        <w:rPr>
          <w:rFonts w:ascii="Arial"/>
          <w:color w:val="231F20"/>
          <w:spacing w:val="1"/>
          <w:w w:val="115"/>
          <w:sz w:val="19"/>
        </w:rPr>
        <w:t> </w:t>
      </w:r>
      <w:r>
        <w:rPr>
          <w:rFonts w:ascii="Arial"/>
          <w:color w:val="231F20"/>
          <w:w w:val="115"/>
          <w:sz w:val="19"/>
        </w:rPr>
        <w:t>strategy</w:t>
      </w:r>
      <w:r>
        <w:rPr>
          <w:rFonts w:ascii="Arial"/>
          <w:color w:val="231F20"/>
          <w:spacing w:val="1"/>
          <w:w w:val="115"/>
          <w:sz w:val="19"/>
        </w:rPr>
        <w:t> </w:t>
      </w:r>
      <w:r>
        <w:rPr>
          <w:rFonts w:ascii="Arial"/>
          <w:color w:val="231F20"/>
          <w:w w:val="115"/>
          <w:sz w:val="19"/>
        </w:rPr>
        <w:t>should</w:t>
      </w:r>
      <w:r>
        <w:rPr>
          <w:rFonts w:ascii="Arial"/>
          <w:color w:val="231F20"/>
          <w:spacing w:val="1"/>
          <w:w w:val="115"/>
          <w:sz w:val="19"/>
        </w:rPr>
        <w:t> </w:t>
      </w:r>
      <w:r>
        <w:rPr>
          <w:rFonts w:ascii="Arial"/>
          <w:color w:val="231F20"/>
          <w:w w:val="115"/>
          <w:sz w:val="19"/>
        </w:rPr>
        <w:t>I </w:t>
      </w:r>
      <w:r>
        <w:rPr>
          <w:rFonts w:ascii="Arial"/>
          <w:color w:val="231F20"/>
          <w:spacing w:val="-4"/>
          <w:w w:val="115"/>
          <w:sz w:val="19"/>
        </w:rPr>
        <w:t>use?</w:t>
      </w:r>
    </w:p>
    <w:p>
      <w:pPr>
        <w:spacing w:before="82"/>
        <w:ind w:left="1260" w:right="0" w:firstLine="0"/>
        <w:jc w:val="left"/>
        <w:rPr>
          <w:rFonts w:ascii="Arial"/>
          <w:sz w:val="19"/>
        </w:rPr>
      </w:pPr>
      <w:r>
        <w:rPr>
          <w:rFonts w:ascii="Arial"/>
          <w:color w:val="231F20"/>
          <w:w w:val="115"/>
          <w:sz w:val="19"/>
        </w:rPr>
        <w:t>On</w:t>
      </w:r>
      <w:r>
        <w:rPr>
          <w:rFonts w:ascii="Arial"/>
          <w:color w:val="231F20"/>
          <w:spacing w:val="-13"/>
          <w:w w:val="115"/>
          <w:sz w:val="19"/>
        </w:rPr>
        <w:t> </w:t>
      </w:r>
      <w:r>
        <w:rPr>
          <w:rFonts w:ascii="Arial"/>
          <w:color w:val="231F20"/>
          <w:w w:val="115"/>
          <w:sz w:val="19"/>
        </w:rPr>
        <w:t>what</w:t>
      </w:r>
      <w:r>
        <w:rPr>
          <w:rFonts w:ascii="Arial"/>
          <w:color w:val="231F20"/>
          <w:spacing w:val="-13"/>
          <w:w w:val="115"/>
          <w:sz w:val="19"/>
        </w:rPr>
        <w:t> </w:t>
      </w:r>
      <w:r>
        <w:rPr>
          <w:rFonts w:ascii="Arial"/>
          <w:color w:val="231F20"/>
          <w:w w:val="115"/>
          <w:sz w:val="19"/>
        </w:rPr>
        <w:t>basis</w:t>
      </w:r>
      <w:r>
        <w:rPr>
          <w:rFonts w:ascii="Arial"/>
          <w:color w:val="231F20"/>
          <w:spacing w:val="-13"/>
          <w:w w:val="115"/>
          <w:sz w:val="19"/>
        </w:rPr>
        <w:t> </w:t>
      </w:r>
      <w:r>
        <w:rPr>
          <w:rFonts w:ascii="Arial"/>
          <w:color w:val="231F20"/>
          <w:w w:val="115"/>
          <w:sz w:val="19"/>
        </w:rPr>
        <w:t>should</w:t>
      </w:r>
      <w:r>
        <w:rPr>
          <w:rFonts w:ascii="Arial"/>
          <w:color w:val="231F20"/>
          <w:spacing w:val="-12"/>
          <w:w w:val="115"/>
          <w:sz w:val="19"/>
        </w:rPr>
        <w:t> </w:t>
      </w:r>
      <w:r>
        <w:rPr>
          <w:rFonts w:ascii="Arial"/>
          <w:color w:val="231F20"/>
          <w:w w:val="115"/>
          <w:sz w:val="19"/>
        </w:rPr>
        <w:t>I</w:t>
      </w:r>
      <w:r>
        <w:rPr>
          <w:rFonts w:ascii="Arial"/>
          <w:color w:val="231F20"/>
          <w:spacing w:val="-13"/>
          <w:w w:val="115"/>
          <w:sz w:val="19"/>
        </w:rPr>
        <w:t> </w:t>
      </w:r>
      <w:r>
        <w:rPr>
          <w:rFonts w:ascii="Arial"/>
          <w:color w:val="231F20"/>
          <w:w w:val="115"/>
          <w:sz w:val="19"/>
        </w:rPr>
        <w:t>choose</w:t>
      </w:r>
      <w:r>
        <w:rPr>
          <w:rFonts w:ascii="Arial"/>
          <w:color w:val="231F20"/>
          <w:spacing w:val="-13"/>
          <w:w w:val="115"/>
          <w:sz w:val="19"/>
        </w:rPr>
        <w:t> </w:t>
      </w:r>
      <w:r>
        <w:rPr>
          <w:rFonts w:ascii="Arial"/>
          <w:color w:val="231F20"/>
          <w:w w:val="115"/>
          <w:sz w:val="19"/>
        </w:rPr>
        <w:t>a</w:t>
      </w:r>
      <w:r>
        <w:rPr>
          <w:rFonts w:ascii="Arial"/>
          <w:color w:val="231F20"/>
          <w:spacing w:val="-12"/>
          <w:w w:val="115"/>
          <w:sz w:val="19"/>
        </w:rPr>
        <w:t> </w:t>
      </w:r>
      <w:r>
        <w:rPr>
          <w:rFonts w:ascii="Arial"/>
          <w:color w:val="231F20"/>
          <w:w w:val="115"/>
          <w:sz w:val="19"/>
        </w:rPr>
        <w:t>channel</w:t>
      </w:r>
      <w:r>
        <w:rPr>
          <w:rFonts w:ascii="Arial"/>
          <w:color w:val="231F20"/>
          <w:spacing w:val="-13"/>
          <w:w w:val="115"/>
          <w:sz w:val="19"/>
        </w:rPr>
        <w:t> </w:t>
      </w:r>
      <w:r>
        <w:rPr>
          <w:rFonts w:ascii="Arial"/>
          <w:color w:val="231F20"/>
          <w:w w:val="115"/>
          <w:sz w:val="19"/>
        </w:rPr>
        <w:t>of</w:t>
      </w:r>
      <w:r>
        <w:rPr>
          <w:rFonts w:ascii="Arial"/>
          <w:color w:val="231F20"/>
          <w:spacing w:val="-13"/>
          <w:w w:val="115"/>
          <w:sz w:val="19"/>
        </w:rPr>
        <w:t> </w:t>
      </w:r>
      <w:r>
        <w:rPr>
          <w:rFonts w:ascii="Arial"/>
          <w:color w:val="231F20"/>
          <w:spacing w:val="-2"/>
          <w:w w:val="115"/>
          <w:sz w:val="19"/>
        </w:rPr>
        <w:t>distribution?</w:t>
      </w:r>
    </w:p>
    <w:p>
      <w:pPr>
        <w:pStyle w:val="BodyText"/>
        <w:rPr>
          <w:rFonts w:ascii="Arial"/>
          <w:sz w:val="20"/>
        </w:rPr>
      </w:pPr>
    </w:p>
    <w:p>
      <w:pPr>
        <w:spacing w:before="151"/>
        <w:ind w:left="1260" w:right="0" w:firstLine="0"/>
        <w:jc w:val="left"/>
        <w:rPr>
          <w:rFonts w:ascii="Arial"/>
          <w:i/>
          <w:sz w:val="19"/>
        </w:rPr>
      </w:pPr>
      <w:r>
        <w:rPr>
          <w:rFonts w:ascii="Arial"/>
          <w:i/>
          <w:color w:val="231F20"/>
          <w:spacing w:val="-2"/>
          <w:w w:val="120"/>
          <w:sz w:val="19"/>
        </w:rPr>
        <w:t>What</w:t>
      </w:r>
      <w:r>
        <w:rPr>
          <w:rFonts w:ascii="Arial"/>
          <w:i/>
          <w:color w:val="231F20"/>
          <w:spacing w:val="-7"/>
          <w:w w:val="120"/>
          <w:sz w:val="19"/>
        </w:rPr>
        <w:t> </w:t>
      </w:r>
      <w:r>
        <w:rPr>
          <w:rFonts w:ascii="Arial"/>
          <w:i/>
          <w:color w:val="231F20"/>
          <w:spacing w:val="-2"/>
          <w:w w:val="120"/>
          <w:sz w:val="19"/>
        </w:rPr>
        <w:t>type</w:t>
      </w:r>
      <w:r>
        <w:rPr>
          <w:rFonts w:ascii="Arial"/>
          <w:i/>
          <w:color w:val="231F20"/>
          <w:spacing w:val="-6"/>
          <w:w w:val="120"/>
          <w:sz w:val="19"/>
        </w:rPr>
        <w:t> </w:t>
      </w:r>
      <w:r>
        <w:rPr>
          <w:rFonts w:ascii="Arial"/>
          <w:i/>
          <w:color w:val="231F20"/>
          <w:spacing w:val="-2"/>
          <w:w w:val="120"/>
          <w:sz w:val="19"/>
        </w:rPr>
        <w:t>of</w:t>
      </w:r>
      <w:r>
        <w:rPr>
          <w:rFonts w:ascii="Arial"/>
          <w:i/>
          <w:color w:val="231F20"/>
          <w:spacing w:val="-7"/>
          <w:w w:val="120"/>
          <w:sz w:val="19"/>
        </w:rPr>
        <w:t> </w:t>
      </w:r>
      <w:r>
        <w:rPr>
          <w:rFonts w:ascii="Arial"/>
          <w:i/>
          <w:color w:val="231F20"/>
          <w:spacing w:val="-2"/>
          <w:w w:val="120"/>
          <w:sz w:val="19"/>
        </w:rPr>
        <w:t>distribution</w:t>
      </w:r>
      <w:r>
        <w:rPr>
          <w:rFonts w:ascii="Arial"/>
          <w:i/>
          <w:color w:val="231F20"/>
          <w:spacing w:val="-6"/>
          <w:w w:val="120"/>
          <w:sz w:val="19"/>
        </w:rPr>
        <w:t> </w:t>
      </w:r>
      <w:r>
        <w:rPr>
          <w:rFonts w:ascii="Arial"/>
          <w:i/>
          <w:color w:val="231F20"/>
          <w:spacing w:val="-2"/>
          <w:w w:val="120"/>
          <w:sz w:val="19"/>
        </w:rPr>
        <w:t>strategy</w:t>
      </w:r>
      <w:r>
        <w:rPr>
          <w:rFonts w:ascii="Arial"/>
          <w:i/>
          <w:color w:val="231F20"/>
          <w:spacing w:val="-7"/>
          <w:w w:val="120"/>
          <w:sz w:val="19"/>
        </w:rPr>
        <w:t> </w:t>
      </w:r>
      <w:r>
        <w:rPr>
          <w:rFonts w:ascii="Arial"/>
          <w:i/>
          <w:color w:val="231F20"/>
          <w:spacing w:val="-2"/>
          <w:w w:val="120"/>
          <w:sz w:val="19"/>
        </w:rPr>
        <w:t>should</w:t>
      </w:r>
      <w:r>
        <w:rPr>
          <w:rFonts w:ascii="Arial"/>
          <w:i/>
          <w:color w:val="231F20"/>
          <w:spacing w:val="-6"/>
          <w:w w:val="120"/>
          <w:sz w:val="19"/>
        </w:rPr>
        <w:t> </w:t>
      </w:r>
      <w:r>
        <w:rPr>
          <w:rFonts w:ascii="Arial"/>
          <w:i/>
          <w:color w:val="231F20"/>
          <w:spacing w:val="-2"/>
          <w:w w:val="120"/>
          <w:sz w:val="19"/>
        </w:rPr>
        <w:t>I</w:t>
      </w:r>
      <w:r>
        <w:rPr>
          <w:rFonts w:ascii="Arial"/>
          <w:i/>
          <w:color w:val="231F20"/>
          <w:spacing w:val="-7"/>
          <w:w w:val="120"/>
          <w:sz w:val="19"/>
        </w:rPr>
        <w:t> </w:t>
      </w:r>
      <w:r>
        <w:rPr>
          <w:rFonts w:ascii="Arial"/>
          <w:i/>
          <w:color w:val="231F20"/>
          <w:spacing w:val="-2"/>
          <w:w w:val="120"/>
          <w:sz w:val="19"/>
        </w:rPr>
        <w:t>select?</w:t>
      </w:r>
    </w:p>
    <w:p>
      <w:pPr>
        <w:pStyle w:val="ListParagraph"/>
        <w:numPr>
          <w:ilvl w:val="1"/>
          <w:numId w:val="13"/>
        </w:numPr>
        <w:tabs>
          <w:tab w:pos="1446" w:val="left" w:leader="none"/>
        </w:tabs>
        <w:spacing w:line="240" w:lineRule="auto" w:before="82" w:after="0"/>
        <w:ind w:left="1445" w:right="0" w:hanging="186"/>
        <w:jc w:val="left"/>
        <w:rPr>
          <w:sz w:val="19"/>
        </w:rPr>
      </w:pPr>
      <w:r>
        <w:rPr>
          <w:i/>
          <w:color w:val="231F20"/>
          <w:w w:val="110"/>
          <w:sz w:val="19"/>
        </w:rPr>
        <w:t>Exclusive</w:t>
      </w:r>
      <w:r>
        <w:rPr>
          <w:i/>
          <w:color w:val="231F20"/>
          <w:spacing w:val="-40"/>
          <w:w w:val="110"/>
          <w:sz w:val="19"/>
        </w:rPr>
        <w:t> </w:t>
      </w:r>
      <w:r>
        <w:rPr>
          <w:color w:val="231F20"/>
          <w:w w:val="110"/>
          <w:sz w:val="19"/>
        </w:rPr>
        <w:t>—</w:t>
      </w:r>
      <w:r>
        <w:rPr>
          <w:color w:val="231F20"/>
          <w:spacing w:val="-39"/>
          <w:w w:val="110"/>
          <w:sz w:val="19"/>
        </w:rPr>
        <w:t> </w:t>
      </w:r>
      <w:r>
        <w:rPr>
          <w:color w:val="231F20"/>
          <w:w w:val="110"/>
          <w:sz w:val="19"/>
        </w:rPr>
        <w:t>Sell</w:t>
      </w:r>
      <w:r>
        <w:rPr>
          <w:color w:val="231F20"/>
          <w:spacing w:val="-8"/>
          <w:w w:val="110"/>
          <w:sz w:val="19"/>
        </w:rPr>
        <w:t> </w:t>
      </w:r>
      <w:r>
        <w:rPr>
          <w:color w:val="231F20"/>
          <w:w w:val="110"/>
          <w:sz w:val="19"/>
        </w:rPr>
        <w:t>in</w:t>
      </w:r>
      <w:r>
        <w:rPr>
          <w:color w:val="231F20"/>
          <w:spacing w:val="-7"/>
          <w:w w:val="110"/>
          <w:sz w:val="19"/>
        </w:rPr>
        <w:t> </w:t>
      </w:r>
      <w:r>
        <w:rPr>
          <w:color w:val="231F20"/>
          <w:w w:val="110"/>
          <w:sz w:val="19"/>
        </w:rPr>
        <w:t>only</w:t>
      </w:r>
      <w:r>
        <w:rPr>
          <w:color w:val="231F20"/>
          <w:spacing w:val="-7"/>
          <w:w w:val="110"/>
          <w:sz w:val="19"/>
        </w:rPr>
        <w:t> </w:t>
      </w:r>
      <w:r>
        <w:rPr>
          <w:color w:val="231F20"/>
          <w:w w:val="110"/>
          <w:sz w:val="19"/>
        </w:rPr>
        <w:t>one</w:t>
      </w:r>
      <w:r>
        <w:rPr>
          <w:color w:val="231F20"/>
          <w:spacing w:val="-7"/>
          <w:w w:val="110"/>
          <w:sz w:val="19"/>
        </w:rPr>
        <w:t> </w:t>
      </w:r>
      <w:r>
        <w:rPr>
          <w:color w:val="231F20"/>
          <w:w w:val="110"/>
          <w:sz w:val="19"/>
        </w:rPr>
        <w:t>outlet</w:t>
      </w:r>
      <w:r>
        <w:rPr>
          <w:color w:val="231F20"/>
          <w:spacing w:val="-7"/>
          <w:w w:val="110"/>
          <w:sz w:val="19"/>
        </w:rPr>
        <w:t> </w:t>
      </w:r>
      <w:r>
        <w:rPr>
          <w:color w:val="231F20"/>
          <w:w w:val="110"/>
          <w:sz w:val="19"/>
        </w:rPr>
        <w:t>in</w:t>
      </w:r>
      <w:r>
        <w:rPr>
          <w:color w:val="231F20"/>
          <w:spacing w:val="-8"/>
          <w:w w:val="110"/>
          <w:sz w:val="19"/>
        </w:rPr>
        <w:t> </w:t>
      </w:r>
      <w:r>
        <w:rPr>
          <w:color w:val="231F20"/>
          <w:w w:val="110"/>
          <w:sz w:val="19"/>
        </w:rPr>
        <w:t>each</w:t>
      </w:r>
      <w:r>
        <w:rPr>
          <w:color w:val="231F20"/>
          <w:spacing w:val="-7"/>
          <w:w w:val="110"/>
          <w:sz w:val="19"/>
        </w:rPr>
        <w:t> </w:t>
      </w:r>
      <w:r>
        <w:rPr>
          <w:color w:val="231F20"/>
          <w:spacing w:val="-2"/>
          <w:w w:val="110"/>
          <w:sz w:val="19"/>
        </w:rPr>
        <w:t>market</w:t>
      </w:r>
    </w:p>
    <w:p>
      <w:pPr>
        <w:pStyle w:val="ListParagraph"/>
        <w:numPr>
          <w:ilvl w:val="1"/>
          <w:numId w:val="13"/>
        </w:numPr>
        <w:tabs>
          <w:tab w:pos="1446" w:val="left" w:leader="none"/>
        </w:tabs>
        <w:spacing w:line="240" w:lineRule="auto" w:before="81" w:after="0"/>
        <w:ind w:left="1445" w:right="0" w:hanging="186"/>
        <w:jc w:val="left"/>
        <w:rPr>
          <w:sz w:val="19"/>
        </w:rPr>
      </w:pPr>
      <w:r>
        <w:rPr>
          <w:i/>
          <w:color w:val="231F20"/>
          <w:w w:val="110"/>
          <w:sz w:val="19"/>
        </w:rPr>
        <w:t>Selective</w:t>
      </w:r>
      <w:r>
        <w:rPr>
          <w:i/>
          <w:color w:val="231F20"/>
          <w:spacing w:val="-39"/>
          <w:w w:val="110"/>
          <w:sz w:val="19"/>
        </w:rPr>
        <w:t> </w:t>
      </w:r>
      <w:r>
        <w:rPr>
          <w:color w:val="231F20"/>
          <w:w w:val="110"/>
          <w:sz w:val="19"/>
        </w:rPr>
        <w:t>—</w:t>
      </w:r>
      <w:r>
        <w:rPr>
          <w:color w:val="231F20"/>
          <w:spacing w:val="-39"/>
          <w:w w:val="110"/>
          <w:sz w:val="19"/>
        </w:rPr>
        <w:t> </w:t>
      </w:r>
      <w:r>
        <w:rPr>
          <w:color w:val="231F20"/>
          <w:w w:val="110"/>
          <w:sz w:val="19"/>
        </w:rPr>
        <w:t>Sell</w:t>
      </w:r>
      <w:r>
        <w:rPr>
          <w:color w:val="231F20"/>
          <w:spacing w:val="-5"/>
          <w:w w:val="110"/>
          <w:sz w:val="19"/>
        </w:rPr>
        <w:t> </w:t>
      </w:r>
      <w:r>
        <w:rPr>
          <w:color w:val="231F20"/>
          <w:w w:val="110"/>
          <w:sz w:val="19"/>
        </w:rPr>
        <w:t>in</w:t>
      </w:r>
      <w:r>
        <w:rPr>
          <w:color w:val="231F20"/>
          <w:spacing w:val="-5"/>
          <w:w w:val="110"/>
          <w:sz w:val="19"/>
        </w:rPr>
        <w:t> </w:t>
      </w:r>
      <w:r>
        <w:rPr>
          <w:color w:val="231F20"/>
          <w:w w:val="110"/>
          <w:sz w:val="19"/>
        </w:rPr>
        <w:t>only</w:t>
      </w:r>
      <w:r>
        <w:rPr>
          <w:color w:val="231F20"/>
          <w:spacing w:val="-4"/>
          <w:w w:val="110"/>
          <w:sz w:val="19"/>
        </w:rPr>
        <w:t> </w:t>
      </w:r>
      <w:r>
        <w:rPr>
          <w:color w:val="231F20"/>
          <w:w w:val="110"/>
          <w:sz w:val="19"/>
        </w:rPr>
        <w:t>a</w:t>
      </w:r>
      <w:r>
        <w:rPr>
          <w:color w:val="231F20"/>
          <w:spacing w:val="-5"/>
          <w:w w:val="110"/>
          <w:sz w:val="19"/>
        </w:rPr>
        <w:t> </w:t>
      </w:r>
      <w:r>
        <w:rPr>
          <w:color w:val="231F20"/>
          <w:w w:val="110"/>
          <w:sz w:val="19"/>
        </w:rPr>
        <w:t>few</w:t>
      </w:r>
      <w:r>
        <w:rPr>
          <w:color w:val="231F20"/>
          <w:spacing w:val="-5"/>
          <w:w w:val="110"/>
          <w:sz w:val="19"/>
        </w:rPr>
        <w:t> </w:t>
      </w:r>
      <w:r>
        <w:rPr>
          <w:color w:val="231F20"/>
          <w:w w:val="110"/>
          <w:sz w:val="19"/>
        </w:rPr>
        <w:t>outlets</w:t>
      </w:r>
      <w:r>
        <w:rPr>
          <w:color w:val="231F20"/>
          <w:spacing w:val="-5"/>
          <w:w w:val="110"/>
          <w:sz w:val="19"/>
        </w:rPr>
        <w:t> </w:t>
      </w:r>
      <w:r>
        <w:rPr>
          <w:color w:val="231F20"/>
          <w:w w:val="110"/>
          <w:sz w:val="19"/>
        </w:rPr>
        <w:t>in</w:t>
      </w:r>
      <w:r>
        <w:rPr>
          <w:color w:val="231F20"/>
          <w:spacing w:val="-5"/>
          <w:w w:val="110"/>
          <w:sz w:val="19"/>
        </w:rPr>
        <w:t> </w:t>
      </w:r>
      <w:r>
        <w:rPr>
          <w:color w:val="231F20"/>
          <w:w w:val="110"/>
          <w:sz w:val="19"/>
        </w:rPr>
        <w:t>each</w:t>
      </w:r>
      <w:r>
        <w:rPr>
          <w:color w:val="231F20"/>
          <w:spacing w:val="-4"/>
          <w:w w:val="110"/>
          <w:sz w:val="19"/>
        </w:rPr>
        <w:t> </w:t>
      </w:r>
      <w:r>
        <w:rPr>
          <w:color w:val="231F20"/>
          <w:spacing w:val="-2"/>
          <w:w w:val="110"/>
          <w:sz w:val="19"/>
        </w:rPr>
        <w:t>market</w:t>
      </w:r>
    </w:p>
    <w:p>
      <w:pPr>
        <w:pStyle w:val="ListParagraph"/>
        <w:numPr>
          <w:ilvl w:val="1"/>
          <w:numId w:val="13"/>
        </w:numPr>
        <w:tabs>
          <w:tab w:pos="1446" w:val="left" w:leader="none"/>
        </w:tabs>
        <w:spacing w:line="240" w:lineRule="auto" w:before="82" w:after="0"/>
        <w:ind w:left="1445" w:right="0" w:hanging="186"/>
        <w:jc w:val="left"/>
        <w:rPr>
          <w:sz w:val="19"/>
        </w:rPr>
      </w:pPr>
      <w:r>
        <w:rPr>
          <w:i/>
          <w:color w:val="231F20"/>
          <w:w w:val="105"/>
          <w:sz w:val="19"/>
        </w:rPr>
        <w:t>Mass</w:t>
      </w:r>
      <w:r>
        <w:rPr>
          <w:i/>
          <w:color w:val="231F20"/>
          <w:spacing w:val="10"/>
          <w:w w:val="105"/>
          <w:sz w:val="19"/>
        </w:rPr>
        <w:t> </w:t>
      </w:r>
      <w:r>
        <w:rPr>
          <w:i/>
          <w:color w:val="231F20"/>
          <w:w w:val="105"/>
          <w:sz w:val="19"/>
        </w:rPr>
        <w:t>or</w:t>
      </w:r>
      <w:r>
        <w:rPr>
          <w:i/>
          <w:color w:val="231F20"/>
          <w:spacing w:val="11"/>
          <w:w w:val="105"/>
          <w:sz w:val="19"/>
        </w:rPr>
        <w:t> </w:t>
      </w:r>
      <w:r>
        <w:rPr>
          <w:i/>
          <w:color w:val="231F20"/>
          <w:w w:val="105"/>
          <w:sz w:val="19"/>
        </w:rPr>
        <w:t>Intensive</w:t>
      </w:r>
      <w:r>
        <w:rPr>
          <w:i/>
          <w:color w:val="231F20"/>
          <w:spacing w:val="-31"/>
          <w:w w:val="105"/>
          <w:sz w:val="19"/>
        </w:rPr>
        <w:t> </w:t>
      </w:r>
      <w:r>
        <w:rPr>
          <w:color w:val="231F20"/>
          <w:w w:val="105"/>
          <w:sz w:val="19"/>
        </w:rPr>
        <w:t>—</w:t>
      </w:r>
      <w:r>
        <w:rPr>
          <w:color w:val="231F20"/>
          <w:spacing w:val="-32"/>
          <w:w w:val="105"/>
          <w:sz w:val="19"/>
        </w:rPr>
        <w:t> </w:t>
      </w:r>
      <w:r>
        <w:rPr>
          <w:color w:val="231F20"/>
          <w:w w:val="105"/>
          <w:sz w:val="19"/>
        </w:rPr>
        <w:t>Sell</w:t>
      </w:r>
      <w:r>
        <w:rPr>
          <w:color w:val="231F20"/>
          <w:spacing w:val="11"/>
          <w:w w:val="105"/>
          <w:sz w:val="19"/>
        </w:rPr>
        <w:t> </w:t>
      </w:r>
      <w:r>
        <w:rPr>
          <w:color w:val="231F20"/>
          <w:w w:val="105"/>
          <w:sz w:val="19"/>
        </w:rPr>
        <w:t>in</w:t>
      </w:r>
      <w:r>
        <w:rPr>
          <w:color w:val="231F20"/>
          <w:spacing w:val="11"/>
          <w:w w:val="105"/>
          <w:sz w:val="19"/>
        </w:rPr>
        <w:t> </w:t>
      </w:r>
      <w:r>
        <w:rPr>
          <w:color w:val="231F20"/>
          <w:w w:val="105"/>
          <w:sz w:val="19"/>
        </w:rPr>
        <w:t>as</w:t>
      </w:r>
      <w:r>
        <w:rPr>
          <w:color w:val="231F20"/>
          <w:spacing w:val="11"/>
          <w:w w:val="105"/>
          <w:sz w:val="19"/>
        </w:rPr>
        <w:t> </w:t>
      </w:r>
      <w:r>
        <w:rPr>
          <w:color w:val="231F20"/>
          <w:w w:val="105"/>
          <w:sz w:val="19"/>
        </w:rPr>
        <w:t>many</w:t>
      </w:r>
      <w:r>
        <w:rPr>
          <w:color w:val="231F20"/>
          <w:spacing w:val="11"/>
          <w:w w:val="105"/>
          <w:sz w:val="19"/>
        </w:rPr>
        <w:t> </w:t>
      </w:r>
      <w:r>
        <w:rPr>
          <w:color w:val="231F20"/>
          <w:w w:val="105"/>
          <w:sz w:val="19"/>
        </w:rPr>
        <w:t>outlets</w:t>
      </w:r>
      <w:r>
        <w:rPr>
          <w:color w:val="231F20"/>
          <w:spacing w:val="10"/>
          <w:w w:val="105"/>
          <w:sz w:val="19"/>
        </w:rPr>
        <w:t> </w:t>
      </w:r>
      <w:r>
        <w:rPr>
          <w:color w:val="231F20"/>
          <w:w w:val="105"/>
          <w:sz w:val="19"/>
        </w:rPr>
        <w:t>as</w:t>
      </w:r>
      <w:r>
        <w:rPr>
          <w:color w:val="231F20"/>
          <w:spacing w:val="11"/>
          <w:w w:val="105"/>
          <w:sz w:val="19"/>
        </w:rPr>
        <w:t> </w:t>
      </w:r>
      <w:r>
        <w:rPr>
          <w:color w:val="231F20"/>
          <w:spacing w:val="-2"/>
          <w:w w:val="105"/>
          <w:sz w:val="19"/>
        </w:rPr>
        <w:t>possible</w:t>
      </w:r>
    </w:p>
    <w:p>
      <w:pPr>
        <w:pStyle w:val="BodyText"/>
        <w:rPr>
          <w:rFonts w:ascii="Arial"/>
          <w:sz w:val="20"/>
        </w:rPr>
      </w:pPr>
    </w:p>
    <w:p>
      <w:pPr>
        <w:pStyle w:val="BodyText"/>
        <w:spacing w:line="292" w:lineRule="auto" w:before="130"/>
        <w:ind w:left="920" w:right="663" w:firstLine="340"/>
        <w:jc w:val="both"/>
      </w:pPr>
      <w:r>
        <w:rPr>
          <w:color w:val="231F20"/>
        </w:rPr>
        <w:t>The place of sale affects the perception of your product. The choice of distribution is an evolving process that matches the product’s intended diffusion along the product life cycle, as de- scribed in the market analysis passage. A distribution strategy can differentiate your product from the crowd. For example, if a new </w:t>
      </w:r>
      <w:r>
        <w:rPr>
          <w:color w:val="231F20"/>
        </w:rPr>
        <w:t>de- signer chooses to sell </w:t>
      </w:r>
      <w:r>
        <w:rPr>
          <w:i/>
          <w:color w:val="231F20"/>
        </w:rPr>
        <w:t>exclusively </w:t>
      </w:r>
      <w:r>
        <w:rPr>
          <w:color w:val="231F20"/>
        </w:rPr>
        <w:t>at Neiman Marcus, it gives a cer-</w:t>
      </w:r>
      <w:r>
        <w:rPr>
          <w:color w:val="231F20"/>
          <w:spacing w:val="80"/>
        </w:rPr>
        <w:t> </w:t>
      </w:r>
      <w:r>
        <w:rPr>
          <w:color w:val="231F20"/>
        </w:rPr>
        <w:t>tain cachet to the product. Consumers tend to perceive certain attributes in a product, such as style, quality, and price, based on the point</w:t>
      </w:r>
      <w:r>
        <w:rPr>
          <w:color w:val="231F20"/>
          <w:spacing w:val="42"/>
        </w:rPr>
        <w:t> </w:t>
      </w:r>
      <w:r>
        <w:rPr>
          <w:color w:val="231F20"/>
        </w:rPr>
        <w:t>of</w:t>
      </w:r>
      <w:r>
        <w:rPr>
          <w:color w:val="231F20"/>
          <w:spacing w:val="42"/>
        </w:rPr>
        <w:t> </w:t>
      </w:r>
      <w:r>
        <w:rPr>
          <w:color w:val="231F20"/>
        </w:rPr>
        <w:t>sale.</w:t>
      </w:r>
      <w:r>
        <w:rPr>
          <w:color w:val="231F20"/>
          <w:spacing w:val="42"/>
        </w:rPr>
        <w:t> </w:t>
      </w:r>
      <w:r>
        <w:rPr>
          <w:color w:val="231F20"/>
        </w:rPr>
        <w:t>The</w:t>
      </w:r>
      <w:r>
        <w:rPr>
          <w:color w:val="231F20"/>
          <w:spacing w:val="43"/>
        </w:rPr>
        <w:t> </w:t>
      </w:r>
      <w:r>
        <w:rPr>
          <w:color w:val="231F20"/>
        </w:rPr>
        <w:t>same</w:t>
      </w:r>
      <w:r>
        <w:rPr>
          <w:color w:val="231F20"/>
          <w:spacing w:val="42"/>
        </w:rPr>
        <w:t> </w:t>
      </w:r>
      <w:r>
        <w:rPr>
          <w:color w:val="231F20"/>
        </w:rPr>
        <w:t>designer</w:t>
      </w:r>
      <w:r>
        <w:rPr>
          <w:color w:val="231F20"/>
          <w:spacing w:val="42"/>
        </w:rPr>
        <w:t> </w:t>
      </w:r>
      <w:r>
        <w:rPr>
          <w:color w:val="231F20"/>
        </w:rPr>
        <w:t>may</w:t>
      </w:r>
      <w:r>
        <w:rPr>
          <w:color w:val="231F20"/>
          <w:spacing w:val="42"/>
        </w:rPr>
        <w:t> </w:t>
      </w:r>
      <w:r>
        <w:rPr>
          <w:color w:val="231F20"/>
        </w:rPr>
        <w:t>choose</w:t>
      </w:r>
      <w:r>
        <w:rPr>
          <w:color w:val="231F20"/>
          <w:spacing w:val="43"/>
        </w:rPr>
        <w:t> </w:t>
      </w:r>
      <w:r>
        <w:rPr>
          <w:color w:val="231F20"/>
        </w:rPr>
        <w:t>to</w:t>
      </w:r>
      <w:r>
        <w:rPr>
          <w:color w:val="231F20"/>
          <w:spacing w:val="42"/>
        </w:rPr>
        <w:t> </w:t>
      </w:r>
      <w:r>
        <w:rPr>
          <w:i/>
          <w:color w:val="231F20"/>
        </w:rPr>
        <w:t>selectively</w:t>
      </w:r>
      <w:r>
        <w:rPr>
          <w:i/>
          <w:color w:val="231F20"/>
          <w:spacing w:val="42"/>
        </w:rPr>
        <w:t> </w:t>
      </w:r>
      <w:r>
        <w:rPr>
          <w:color w:val="231F20"/>
        </w:rPr>
        <w:t>sell</w:t>
      </w:r>
      <w:r>
        <w:rPr>
          <w:color w:val="231F20"/>
          <w:spacing w:val="42"/>
        </w:rPr>
        <w:t> </w:t>
      </w:r>
      <w:r>
        <w:rPr>
          <w:color w:val="231F20"/>
          <w:spacing w:val="-5"/>
        </w:rPr>
        <w:t>in</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29" w:right="756"/>
        <w:jc w:val="both"/>
      </w:pPr>
      <w:r>
        <w:rPr>
          <w:color w:val="231F20"/>
        </w:rPr>
        <w:t>only</w:t>
      </w:r>
      <w:r>
        <w:rPr>
          <w:color w:val="231F20"/>
          <w:spacing w:val="-1"/>
        </w:rPr>
        <w:t> </w:t>
      </w:r>
      <w:r>
        <w:rPr>
          <w:color w:val="231F20"/>
        </w:rPr>
        <w:t>better</w:t>
      </w:r>
      <w:r>
        <w:rPr>
          <w:color w:val="231F20"/>
          <w:spacing w:val="-1"/>
        </w:rPr>
        <w:t> </w:t>
      </w:r>
      <w:r>
        <w:rPr>
          <w:color w:val="231F20"/>
        </w:rPr>
        <w:t>department</w:t>
      </w:r>
      <w:r>
        <w:rPr>
          <w:color w:val="231F20"/>
          <w:spacing w:val="-1"/>
        </w:rPr>
        <w:t> </w:t>
      </w:r>
      <w:r>
        <w:rPr>
          <w:color w:val="231F20"/>
        </w:rPr>
        <w:t>stores</w:t>
      </w:r>
      <w:r>
        <w:rPr>
          <w:color w:val="231F20"/>
          <w:spacing w:val="-1"/>
        </w:rPr>
        <w:t> </w:t>
      </w:r>
      <w:r>
        <w:rPr>
          <w:color w:val="231F20"/>
        </w:rPr>
        <w:t>to</w:t>
      </w:r>
      <w:r>
        <w:rPr>
          <w:color w:val="231F20"/>
          <w:spacing w:val="-1"/>
        </w:rPr>
        <w:t> </w:t>
      </w:r>
      <w:r>
        <w:rPr>
          <w:color w:val="231F20"/>
        </w:rPr>
        <w:t>provide</w:t>
      </w:r>
      <w:r>
        <w:rPr>
          <w:color w:val="231F20"/>
          <w:spacing w:val="-1"/>
        </w:rPr>
        <w:t> </w:t>
      </w:r>
      <w:r>
        <w:rPr>
          <w:color w:val="231F20"/>
        </w:rPr>
        <w:t>greater</w:t>
      </w:r>
      <w:r>
        <w:rPr>
          <w:color w:val="231F20"/>
          <w:spacing w:val="-1"/>
        </w:rPr>
        <w:t> </w:t>
      </w:r>
      <w:r>
        <w:rPr>
          <w:color w:val="231F20"/>
        </w:rPr>
        <w:t>initial</w:t>
      </w:r>
      <w:r>
        <w:rPr>
          <w:color w:val="231F20"/>
          <w:spacing w:val="-1"/>
        </w:rPr>
        <w:t> </w:t>
      </w:r>
      <w:r>
        <w:rPr>
          <w:color w:val="231F20"/>
        </w:rPr>
        <w:t>sales</w:t>
      </w:r>
      <w:r>
        <w:rPr>
          <w:color w:val="231F20"/>
          <w:spacing w:val="-1"/>
        </w:rPr>
        <w:t> </w:t>
      </w:r>
      <w:r>
        <w:rPr>
          <w:color w:val="231F20"/>
        </w:rPr>
        <w:t>volume. The California marketer of car-window sun shields had no such con- cern, and selected a </w:t>
      </w:r>
      <w:r>
        <w:rPr>
          <w:i/>
          <w:color w:val="231F20"/>
        </w:rPr>
        <w:t>mass </w:t>
      </w:r>
      <w:r>
        <w:rPr>
          <w:color w:val="231F20"/>
        </w:rPr>
        <w:t>distribution strategy. The company wanted to distribute the cardboard shade as widely and quickly as possible. That choice made sense since the shades, unlike designer clothing, did not have any status appeal and could easily be copied and manu- </w:t>
      </w:r>
      <w:r>
        <w:rPr>
          <w:color w:val="231F20"/>
          <w:spacing w:val="-2"/>
        </w:rPr>
        <w:t>factured.</w:t>
      </w:r>
    </w:p>
    <w:p>
      <w:pPr>
        <w:pStyle w:val="BodyText"/>
        <w:spacing w:line="292" w:lineRule="auto"/>
        <w:ind w:left="829" w:right="756" w:firstLine="340"/>
        <w:jc w:val="both"/>
        <w:rPr>
          <w:i/>
        </w:rPr>
      </w:pPr>
      <w:r>
        <w:rPr>
          <w:color w:val="231F20"/>
        </w:rPr>
        <w:t>Each</w:t>
      </w:r>
      <w:r>
        <w:rPr>
          <w:color w:val="231F20"/>
          <w:spacing w:val="-2"/>
        </w:rPr>
        <w:t> </w:t>
      </w:r>
      <w:r>
        <w:rPr>
          <w:color w:val="231F20"/>
        </w:rPr>
        <w:t>of</w:t>
      </w:r>
      <w:r>
        <w:rPr>
          <w:color w:val="231F20"/>
          <w:spacing w:val="-2"/>
        </w:rPr>
        <w:t> </w:t>
      </w:r>
      <w:r>
        <w:rPr>
          <w:color w:val="231F20"/>
        </w:rPr>
        <w:t>these</w:t>
      </w:r>
      <w:r>
        <w:rPr>
          <w:color w:val="231F20"/>
          <w:spacing w:val="-2"/>
        </w:rPr>
        <w:t> </w:t>
      </w:r>
      <w:r>
        <w:rPr>
          <w:color w:val="231F20"/>
        </w:rPr>
        <w:t>distribution</w:t>
      </w:r>
      <w:r>
        <w:rPr>
          <w:color w:val="231F20"/>
          <w:spacing w:val="-2"/>
        </w:rPr>
        <w:t> </w:t>
      </w:r>
      <w:r>
        <w:rPr>
          <w:color w:val="231F20"/>
        </w:rPr>
        <w:t>methods</w:t>
      </w:r>
      <w:r>
        <w:rPr>
          <w:color w:val="231F20"/>
          <w:spacing w:val="-2"/>
        </w:rPr>
        <w:t> </w:t>
      </w:r>
      <w:r>
        <w:rPr>
          <w:color w:val="231F20"/>
        </w:rPr>
        <w:t>places</w:t>
      </w:r>
      <w:r>
        <w:rPr>
          <w:color w:val="231F20"/>
          <w:spacing w:val="-2"/>
        </w:rPr>
        <w:t> </w:t>
      </w:r>
      <w:r>
        <w:rPr>
          <w:color w:val="231F20"/>
        </w:rPr>
        <w:t>certain</w:t>
      </w:r>
      <w:r>
        <w:rPr>
          <w:color w:val="231F20"/>
          <w:spacing w:val="-2"/>
        </w:rPr>
        <w:t> </w:t>
      </w:r>
      <w:r>
        <w:rPr>
          <w:color w:val="231F20"/>
        </w:rPr>
        <w:t>responsibilities upon the manufacturer and the retailer. By choosing to be selective, the manufacturer may be “obligated” to provide high quality, good service, and possibly </w:t>
      </w:r>
      <w:r>
        <w:rPr>
          <w:i/>
          <w:color w:val="231F20"/>
        </w:rPr>
        <w:t>cooperative payments </w:t>
      </w:r>
      <w:r>
        <w:rPr>
          <w:color w:val="231F20"/>
        </w:rPr>
        <w:t>(co-ops) for promotional support. When manufacturers share the costs of advertising with re- tailers, that is called </w:t>
      </w:r>
      <w:r>
        <w:rPr>
          <w:i/>
          <w:color w:val="231F20"/>
        </w:rPr>
        <w:t>cooperative advertising.</w:t>
      </w:r>
    </w:p>
    <w:p>
      <w:pPr>
        <w:pStyle w:val="BodyText"/>
        <w:spacing w:line="292" w:lineRule="auto"/>
        <w:ind w:left="829" w:right="756" w:firstLine="340"/>
        <w:jc w:val="both"/>
      </w:pPr>
      <w:r>
        <w:rPr>
          <w:color w:val="231F20"/>
        </w:rPr>
        <w:t>In distribution relationships involving manufacturers’ </w:t>
      </w:r>
      <w:r>
        <w:rPr>
          <w:color w:val="231F20"/>
        </w:rPr>
        <w:t>incentives, the retailer is also obligated. Retailers may be “obliged” to pay spe- cial attention to the product by giving it preferential placement, spe- cial promotion, display, and sales attention. If those obligations are not met, the contract is breached and the relationship can be sev- ered. In Ralph Lauren’s case he believed that his Polo clothing line was so unique that he became the first designer to demand separate boutique space in department stores. Ralph provided the image and the margins sought by retailers. The retailers were in turn obliged to provide Ralph Lauren with special placement and selling efforts.</w:t>
      </w:r>
    </w:p>
    <w:p>
      <w:pPr>
        <w:pStyle w:val="BodyText"/>
        <w:spacing w:before="8"/>
        <w:rPr>
          <w:sz w:val="26"/>
        </w:rPr>
      </w:pPr>
    </w:p>
    <w:p>
      <w:pPr>
        <w:spacing w:before="0"/>
        <w:ind w:left="1170" w:right="0" w:firstLine="0"/>
        <w:jc w:val="left"/>
        <w:rPr>
          <w:rFonts w:ascii="Arial"/>
          <w:i/>
          <w:sz w:val="19"/>
        </w:rPr>
      </w:pPr>
      <w:r>
        <w:rPr>
          <w:rFonts w:ascii="Arial"/>
          <w:i/>
          <w:color w:val="231F20"/>
          <w:w w:val="115"/>
          <w:sz w:val="19"/>
        </w:rPr>
        <w:t>Which</w:t>
      </w:r>
      <w:r>
        <w:rPr>
          <w:rFonts w:ascii="Arial"/>
          <w:i/>
          <w:color w:val="231F20"/>
          <w:spacing w:val="-1"/>
          <w:w w:val="115"/>
          <w:sz w:val="19"/>
        </w:rPr>
        <w:t> </w:t>
      </w:r>
      <w:r>
        <w:rPr>
          <w:rFonts w:ascii="Arial"/>
          <w:i/>
          <w:color w:val="231F20"/>
          <w:w w:val="115"/>
          <w:sz w:val="19"/>
        </w:rPr>
        <w:t>channels</w:t>
      </w:r>
      <w:r>
        <w:rPr>
          <w:rFonts w:ascii="Arial"/>
          <w:i/>
          <w:color w:val="231F20"/>
          <w:spacing w:val="-1"/>
          <w:w w:val="115"/>
          <w:sz w:val="19"/>
        </w:rPr>
        <w:t> </w:t>
      </w:r>
      <w:r>
        <w:rPr>
          <w:rFonts w:ascii="Arial"/>
          <w:i/>
          <w:color w:val="231F20"/>
          <w:w w:val="115"/>
          <w:sz w:val="19"/>
        </w:rPr>
        <w:t>of</w:t>
      </w:r>
      <w:r>
        <w:rPr>
          <w:rFonts w:ascii="Arial"/>
          <w:i/>
          <w:color w:val="231F20"/>
          <w:spacing w:val="-1"/>
          <w:w w:val="115"/>
          <w:sz w:val="19"/>
        </w:rPr>
        <w:t> </w:t>
      </w:r>
      <w:r>
        <w:rPr>
          <w:rFonts w:ascii="Arial"/>
          <w:i/>
          <w:color w:val="231F20"/>
          <w:w w:val="115"/>
          <w:sz w:val="19"/>
        </w:rPr>
        <w:t>distribution</w:t>
      </w:r>
      <w:r>
        <w:rPr>
          <w:rFonts w:ascii="Arial"/>
          <w:i/>
          <w:color w:val="231F20"/>
          <w:spacing w:val="-1"/>
          <w:w w:val="115"/>
          <w:sz w:val="19"/>
        </w:rPr>
        <w:t> </w:t>
      </w:r>
      <w:r>
        <w:rPr>
          <w:rFonts w:ascii="Arial"/>
          <w:i/>
          <w:color w:val="231F20"/>
          <w:w w:val="115"/>
          <w:sz w:val="19"/>
        </w:rPr>
        <w:t>to</w:t>
      </w:r>
      <w:r>
        <w:rPr>
          <w:rFonts w:ascii="Arial"/>
          <w:i/>
          <w:color w:val="231F20"/>
          <w:spacing w:val="-1"/>
          <w:w w:val="115"/>
          <w:sz w:val="19"/>
        </w:rPr>
        <w:t> </w:t>
      </w:r>
      <w:r>
        <w:rPr>
          <w:rFonts w:ascii="Arial"/>
          <w:i/>
          <w:color w:val="231F20"/>
          <w:spacing w:val="-2"/>
          <w:w w:val="115"/>
          <w:sz w:val="19"/>
        </w:rPr>
        <w:t>choose?</w:t>
      </w:r>
    </w:p>
    <w:p>
      <w:pPr>
        <w:pStyle w:val="BodyText"/>
        <w:spacing w:line="292" w:lineRule="auto" w:before="60"/>
        <w:ind w:left="829" w:right="756" w:firstLine="340"/>
        <w:jc w:val="both"/>
      </w:pPr>
      <w:r>
        <w:rPr>
          <w:color w:val="231F20"/>
          <w:w w:val="105"/>
        </w:rPr>
        <w:t>It</w:t>
      </w:r>
      <w:r>
        <w:rPr>
          <w:color w:val="231F20"/>
          <w:spacing w:val="-11"/>
          <w:w w:val="105"/>
        </w:rPr>
        <w:t> </w:t>
      </w:r>
      <w:r>
        <w:rPr>
          <w:color w:val="231F20"/>
          <w:w w:val="105"/>
        </w:rPr>
        <w:t>depends</w:t>
      </w:r>
      <w:r>
        <w:rPr>
          <w:color w:val="231F20"/>
          <w:spacing w:val="-11"/>
          <w:w w:val="105"/>
        </w:rPr>
        <w:t> </w:t>
      </w:r>
      <w:r>
        <w:rPr>
          <w:color w:val="231F20"/>
          <w:w w:val="110"/>
        </w:rPr>
        <w:t>.</w:t>
      </w:r>
      <w:r>
        <w:rPr>
          <w:color w:val="231F20"/>
          <w:spacing w:val="-13"/>
          <w:w w:val="110"/>
        </w:rPr>
        <w:t> </w:t>
      </w:r>
      <w:r>
        <w:rPr>
          <w:color w:val="231F20"/>
          <w:w w:val="110"/>
        </w:rPr>
        <w:t>.</w:t>
      </w:r>
      <w:r>
        <w:rPr>
          <w:color w:val="231F20"/>
          <w:spacing w:val="-13"/>
          <w:w w:val="110"/>
        </w:rPr>
        <w:t> </w:t>
      </w:r>
      <w:r>
        <w:rPr>
          <w:color w:val="231F20"/>
          <w:w w:val="110"/>
        </w:rPr>
        <w:t>.</w:t>
      </w:r>
      <w:r>
        <w:rPr>
          <w:color w:val="231F20"/>
          <w:spacing w:val="-13"/>
          <w:w w:val="110"/>
        </w:rPr>
        <w:t> </w:t>
      </w:r>
      <w:r>
        <w:rPr>
          <w:color w:val="231F20"/>
          <w:w w:val="105"/>
        </w:rPr>
        <w:t>on</w:t>
      </w:r>
      <w:r>
        <w:rPr>
          <w:color w:val="231F20"/>
          <w:spacing w:val="-10"/>
          <w:w w:val="105"/>
        </w:rPr>
        <w:t> </w:t>
      </w:r>
      <w:r>
        <w:rPr>
          <w:color w:val="231F20"/>
          <w:w w:val="105"/>
        </w:rPr>
        <w:t>a</w:t>
      </w:r>
      <w:r>
        <w:rPr>
          <w:color w:val="231F20"/>
          <w:spacing w:val="-10"/>
          <w:w w:val="105"/>
        </w:rPr>
        <w:t> </w:t>
      </w:r>
      <w:r>
        <w:rPr>
          <w:color w:val="231F20"/>
          <w:w w:val="105"/>
        </w:rPr>
        <w:t>variety</w:t>
      </w:r>
      <w:r>
        <w:rPr>
          <w:color w:val="231F20"/>
          <w:spacing w:val="-10"/>
          <w:w w:val="105"/>
        </w:rPr>
        <w:t> </w:t>
      </w:r>
      <w:r>
        <w:rPr>
          <w:color w:val="231F20"/>
          <w:w w:val="105"/>
        </w:rPr>
        <w:t>of</w:t>
      </w:r>
      <w:r>
        <w:rPr>
          <w:color w:val="231F20"/>
          <w:spacing w:val="-10"/>
          <w:w w:val="105"/>
        </w:rPr>
        <w:t> </w:t>
      </w:r>
      <w:r>
        <w:rPr>
          <w:color w:val="231F20"/>
          <w:w w:val="105"/>
        </w:rPr>
        <w:t>factors.</w:t>
      </w:r>
      <w:r>
        <w:rPr>
          <w:color w:val="231F20"/>
          <w:spacing w:val="-10"/>
          <w:w w:val="105"/>
        </w:rPr>
        <w:t> </w:t>
      </w:r>
      <w:r>
        <w:rPr>
          <w:color w:val="231F20"/>
          <w:w w:val="105"/>
        </w:rPr>
        <w:t>There</w:t>
      </w:r>
      <w:r>
        <w:rPr>
          <w:color w:val="231F20"/>
          <w:spacing w:val="-10"/>
          <w:w w:val="105"/>
        </w:rPr>
        <w:t> </w:t>
      </w:r>
      <w:r>
        <w:rPr>
          <w:color w:val="231F20"/>
          <w:w w:val="105"/>
        </w:rPr>
        <w:t>is</w:t>
      </w:r>
      <w:r>
        <w:rPr>
          <w:color w:val="231F20"/>
          <w:spacing w:val="-10"/>
          <w:w w:val="105"/>
        </w:rPr>
        <w:t> </w:t>
      </w:r>
      <w:r>
        <w:rPr>
          <w:color w:val="231F20"/>
          <w:w w:val="105"/>
        </w:rPr>
        <w:t>usually</w:t>
      </w:r>
      <w:r>
        <w:rPr>
          <w:color w:val="231F20"/>
          <w:spacing w:val="-10"/>
          <w:w w:val="105"/>
        </w:rPr>
        <w:t> </w:t>
      </w:r>
      <w:r>
        <w:rPr>
          <w:color w:val="231F20"/>
          <w:w w:val="105"/>
        </w:rPr>
        <w:t>more</w:t>
      </w:r>
      <w:r>
        <w:rPr>
          <w:color w:val="231F20"/>
          <w:spacing w:val="-10"/>
          <w:w w:val="105"/>
        </w:rPr>
        <w:t> </w:t>
      </w:r>
      <w:r>
        <w:rPr>
          <w:color w:val="231F20"/>
          <w:w w:val="105"/>
        </w:rPr>
        <w:t>than one</w:t>
      </w:r>
      <w:r>
        <w:rPr>
          <w:color w:val="231F20"/>
          <w:spacing w:val="-10"/>
          <w:w w:val="105"/>
        </w:rPr>
        <w:t> </w:t>
      </w:r>
      <w:r>
        <w:rPr>
          <w:color w:val="231F20"/>
          <w:w w:val="105"/>
        </w:rPr>
        <w:t>choice.</w:t>
      </w:r>
      <w:r>
        <w:rPr>
          <w:color w:val="231F20"/>
          <w:spacing w:val="-10"/>
          <w:w w:val="105"/>
        </w:rPr>
        <w:t> </w:t>
      </w:r>
      <w:r>
        <w:rPr>
          <w:color w:val="231F20"/>
          <w:w w:val="105"/>
        </w:rPr>
        <w:t>However,</w:t>
      </w:r>
      <w:r>
        <w:rPr>
          <w:color w:val="231F20"/>
          <w:spacing w:val="-10"/>
          <w:w w:val="105"/>
        </w:rPr>
        <w:t> </w:t>
      </w:r>
      <w:r>
        <w:rPr>
          <w:color w:val="231F20"/>
          <w:w w:val="105"/>
        </w:rPr>
        <w:t>if</w:t>
      </w:r>
      <w:r>
        <w:rPr>
          <w:color w:val="231F20"/>
          <w:spacing w:val="-10"/>
          <w:w w:val="105"/>
        </w:rPr>
        <w:t> </w:t>
      </w:r>
      <w:r>
        <w:rPr>
          <w:color w:val="231F20"/>
          <w:w w:val="105"/>
        </w:rPr>
        <w:t>a</w:t>
      </w:r>
      <w:r>
        <w:rPr>
          <w:color w:val="231F20"/>
          <w:spacing w:val="-10"/>
          <w:w w:val="105"/>
        </w:rPr>
        <w:t> </w:t>
      </w:r>
      <w:r>
        <w:rPr>
          <w:color w:val="231F20"/>
          <w:w w:val="105"/>
        </w:rPr>
        <w:t>channel</w:t>
      </w:r>
      <w:r>
        <w:rPr>
          <w:color w:val="231F20"/>
          <w:spacing w:val="-10"/>
          <w:w w:val="105"/>
        </w:rPr>
        <w:t> </w:t>
      </w:r>
      <w:r>
        <w:rPr>
          <w:color w:val="231F20"/>
          <w:w w:val="105"/>
        </w:rPr>
        <w:t>is</w:t>
      </w:r>
      <w:r>
        <w:rPr>
          <w:color w:val="231F20"/>
          <w:spacing w:val="-10"/>
          <w:w w:val="105"/>
        </w:rPr>
        <w:t> </w:t>
      </w:r>
      <w:r>
        <w:rPr>
          <w:color w:val="231F20"/>
          <w:w w:val="105"/>
        </w:rPr>
        <w:t>integrated</w:t>
      </w:r>
      <w:r>
        <w:rPr>
          <w:color w:val="231F20"/>
          <w:spacing w:val="-10"/>
          <w:w w:val="105"/>
        </w:rPr>
        <w:t> </w:t>
      </w:r>
      <w:r>
        <w:rPr>
          <w:color w:val="231F20"/>
          <w:w w:val="105"/>
        </w:rPr>
        <w:t>into</w:t>
      </w:r>
      <w:r>
        <w:rPr>
          <w:color w:val="231F20"/>
          <w:spacing w:val="-10"/>
          <w:w w:val="105"/>
        </w:rPr>
        <w:t> </w:t>
      </w:r>
      <w:r>
        <w:rPr>
          <w:color w:val="231F20"/>
          <w:w w:val="105"/>
        </w:rPr>
        <w:t>a</w:t>
      </w:r>
      <w:r>
        <w:rPr>
          <w:color w:val="231F20"/>
          <w:spacing w:val="-10"/>
          <w:w w:val="105"/>
        </w:rPr>
        <w:t> </w:t>
      </w:r>
      <w:r>
        <w:rPr>
          <w:color w:val="231F20"/>
          <w:w w:val="105"/>
        </w:rPr>
        <w:t>mutually</w:t>
      </w:r>
      <w:r>
        <w:rPr>
          <w:color w:val="231F20"/>
          <w:spacing w:val="-10"/>
          <w:w w:val="105"/>
        </w:rPr>
        <w:t> </w:t>
      </w:r>
      <w:r>
        <w:rPr>
          <w:color w:val="231F20"/>
          <w:w w:val="105"/>
        </w:rPr>
        <w:t>sup- portive</w:t>
      </w:r>
      <w:r>
        <w:rPr>
          <w:color w:val="231F20"/>
          <w:spacing w:val="-13"/>
          <w:w w:val="105"/>
        </w:rPr>
        <w:t> </w:t>
      </w:r>
      <w:r>
        <w:rPr>
          <w:color w:val="231F20"/>
          <w:w w:val="105"/>
        </w:rPr>
        <w:t>and</w:t>
      </w:r>
      <w:r>
        <w:rPr>
          <w:color w:val="231F20"/>
          <w:spacing w:val="-12"/>
          <w:w w:val="105"/>
        </w:rPr>
        <w:t> </w:t>
      </w:r>
      <w:r>
        <w:rPr>
          <w:color w:val="231F20"/>
          <w:w w:val="105"/>
        </w:rPr>
        <w:t>internally</w:t>
      </w:r>
      <w:r>
        <w:rPr>
          <w:color w:val="231F20"/>
          <w:spacing w:val="-12"/>
          <w:w w:val="105"/>
        </w:rPr>
        <w:t> </w:t>
      </w:r>
      <w:r>
        <w:rPr>
          <w:color w:val="231F20"/>
          <w:w w:val="105"/>
        </w:rPr>
        <w:t>consistent</w:t>
      </w:r>
      <w:r>
        <w:rPr>
          <w:color w:val="231F20"/>
          <w:spacing w:val="-12"/>
          <w:w w:val="105"/>
        </w:rPr>
        <w:t> </w:t>
      </w:r>
      <w:r>
        <w:rPr>
          <w:color w:val="231F20"/>
          <w:w w:val="105"/>
        </w:rPr>
        <w:t>strategy,</w:t>
      </w:r>
      <w:r>
        <w:rPr>
          <w:color w:val="231F20"/>
          <w:spacing w:val="-12"/>
          <w:w w:val="105"/>
        </w:rPr>
        <w:t> </w:t>
      </w:r>
      <w:r>
        <w:rPr>
          <w:color w:val="231F20"/>
          <w:w w:val="105"/>
        </w:rPr>
        <w:t>many</w:t>
      </w:r>
      <w:r>
        <w:rPr>
          <w:color w:val="231F20"/>
          <w:spacing w:val="-12"/>
          <w:w w:val="105"/>
        </w:rPr>
        <w:t> </w:t>
      </w:r>
      <w:r>
        <w:rPr>
          <w:color w:val="231F20"/>
          <w:w w:val="105"/>
        </w:rPr>
        <w:t>choices</w:t>
      </w:r>
      <w:r>
        <w:rPr>
          <w:color w:val="231F20"/>
          <w:spacing w:val="-12"/>
          <w:w w:val="105"/>
        </w:rPr>
        <w:t> </w:t>
      </w:r>
      <w:r>
        <w:rPr>
          <w:color w:val="231F20"/>
          <w:w w:val="105"/>
        </w:rPr>
        <w:t>can</w:t>
      </w:r>
      <w:r>
        <w:rPr>
          <w:color w:val="231F20"/>
          <w:spacing w:val="-13"/>
          <w:w w:val="105"/>
        </w:rPr>
        <w:t> </w:t>
      </w:r>
      <w:r>
        <w:rPr>
          <w:color w:val="231F20"/>
          <w:w w:val="105"/>
        </w:rPr>
        <w:t>poten- tially</w:t>
      </w:r>
      <w:r>
        <w:rPr>
          <w:color w:val="231F20"/>
          <w:spacing w:val="-10"/>
          <w:w w:val="105"/>
        </w:rPr>
        <w:t> </w:t>
      </w:r>
      <w:r>
        <w:rPr>
          <w:color w:val="231F20"/>
          <w:w w:val="105"/>
        </w:rPr>
        <w:t>be</w:t>
      </w:r>
      <w:r>
        <w:rPr>
          <w:color w:val="231F20"/>
          <w:spacing w:val="-10"/>
          <w:w w:val="105"/>
        </w:rPr>
        <w:t> </w:t>
      </w:r>
      <w:r>
        <w:rPr>
          <w:color w:val="231F20"/>
          <w:w w:val="105"/>
        </w:rPr>
        <w:t>successful.</w:t>
      </w:r>
      <w:r>
        <w:rPr>
          <w:color w:val="231F20"/>
          <w:spacing w:val="-10"/>
          <w:w w:val="105"/>
        </w:rPr>
        <w:t> </w:t>
      </w:r>
      <w:r>
        <w:rPr>
          <w:color w:val="231F20"/>
          <w:w w:val="105"/>
        </w:rPr>
        <w:t>Three</w:t>
      </w:r>
      <w:r>
        <w:rPr>
          <w:color w:val="231F20"/>
          <w:spacing w:val="-10"/>
          <w:w w:val="105"/>
        </w:rPr>
        <w:t> </w:t>
      </w:r>
      <w:r>
        <w:rPr>
          <w:color w:val="231F20"/>
          <w:w w:val="105"/>
        </w:rPr>
        <w:t>factors</w:t>
      </w:r>
      <w:r>
        <w:rPr>
          <w:color w:val="231F20"/>
          <w:spacing w:val="-10"/>
          <w:w w:val="105"/>
        </w:rPr>
        <w:t> </w:t>
      </w:r>
      <w:r>
        <w:rPr>
          <w:color w:val="231F20"/>
          <w:w w:val="105"/>
        </w:rPr>
        <w:t>should</w:t>
      </w:r>
      <w:r>
        <w:rPr>
          <w:color w:val="231F20"/>
          <w:spacing w:val="-10"/>
          <w:w w:val="105"/>
        </w:rPr>
        <w:t> </w:t>
      </w:r>
      <w:r>
        <w:rPr>
          <w:color w:val="231F20"/>
          <w:w w:val="105"/>
        </w:rPr>
        <w:t>serve</w:t>
      </w:r>
      <w:r>
        <w:rPr>
          <w:color w:val="231F20"/>
          <w:spacing w:val="-10"/>
          <w:w w:val="105"/>
        </w:rPr>
        <w:t> </w:t>
      </w:r>
      <w:r>
        <w:rPr>
          <w:color w:val="231F20"/>
          <w:w w:val="105"/>
        </w:rPr>
        <w:t>as</w:t>
      </w:r>
      <w:r>
        <w:rPr>
          <w:color w:val="231F20"/>
          <w:spacing w:val="-10"/>
          <w:w w:val="105"/>
        </w:rPr>
        <w:t> </w:t>
      </w:r>
      <w:r>
        <w:rPr>
          <w:color w:val="231F20"/>
          <w:w w:val="105"/>
        </w:rPr>
        <w:t>a</w:t>
      </w:r>
      <w:r>
        <w:rPr>
          <w:color w:val="231F20"/>
          <w:spacing w:val="-10"/>
          <w:w w:val="105"/>
        </w:rPr>
        <w:t> </w:t>
      </w:r>
      <w:r>
        <w:rPr>
          <w:color w:val="231F20"/>
          <w:w w:val="105"/>
        </w:rPr>
        <w:t>guide</w:t>
      </w:r>
      <w:r>
        <w:rPr>
          <w:color w:val="231F20"/>
          <w:spacing w:val="-10"/>
          <w:w w:val="105"/>
        </w:rPr>
        <w:t> </w:t>
      </w:r>
      <w:r>
        <w:rPr>
          <w:color w:val="231F20"/>
          <w:w w:val="105"/>
        </w:rPr>
        <w:t>to</w:t>
      </w:r>
      <w:r>
        <w:rPr>
          <w:color w:val="231F20"/>
          <w:spacing w:val="-10"/>
          <w:w w:val="105"/>
        </w:rPr>
        <w:t> </w:t>
      </w:r>
      <w:r>
        <w:rPr>
          <w:color w:val="231F20"/>
          <w:w w:val="105"/>
        </w:rPr>
        <w:t>make</w:t>
      </w:r>
      <w:r>
        <w:rPr>
          <w:color w:val="231F20"/>
          <w:spacing w:val="-10"/>
          <w:w w:val="105"/>
        </w:rPr>
        <w:t> </w:t>
      </w:r>
      <w:r>
        <w:rPr>
          <w:color w:val="231F20"/>
          <w:w w:val="105"/>
        </w:rPr>
        <w:t>a </w:t>
      </w:r>
      <w:r>
        <w:rPr>
          <w:color w:val="231F20"/>
          <w:spacing w:val="-2"/>
          <w:w w:val="105"/>
        </w:rPr>
        <w:t>selection.</w:t>
      </w:r>
    </w:p>
    <w:p>
      <w:pPr>
        <w:pStyle w:val="BodyText"/>
        <w:spacing w:line="292" w:lineRule="auto"/>
        <w:ind w:left="830" w:right="756" w:firstLine="340"/>
        <w:jc w:val="both"/>
      </w:pPr>
      <w:r>
        <w:rPr>
          <w:rFonts w:ascii="Arial"/>
          <w:color w:val="231F20"/>
          <w:sz w:val="18"/>
        </w:rPr>
        <w:t>Product Specifics. </w:t>
      </w:r>
      <w:r>
        <w:rPr>
          <w:color w:val="231F20"/>
        </w:rPr>
        <w:t>Another factor to consider is the level of atten- tion needed for the sale. This is related to the level of complexity of the product, the newness, or the price. The product may indicate </w:t>
      </w:r>
      <w:r>
        <w:rPr>
          <w:color w:val="231F20"/>
        </w:rPr>
        <w:t>a need for your own sales force despite the costs. On the other hand, products such as candy and soft drinks are sold through a series of wholesalers</w:t>
      </w:r>
      <w:r>
        <w:rPr>
          <w:color w:val="231F20"/>
          <w:spacing w:val="-4"/>
        </w:rPr>
        <w:t> </w:t>
      </w:r>
      <w:r>
        <w:rPr>
          <w:color w:val="231F20"/>
        </w:rPr>
        <w:t>and</w:t>
      </w:r>
      <w:r>
        <w:rPr>
          <w:color w:val="231F20"/>
          <w:spacing w:val="-3"/>
        </w:rPr>
        <w:t> </w:t>
      </w:r>
      <w:r>
        <w:rPr>
          <w:color w:val="231F20"/>
        </w:rPr>
        <w:t>distributors</w:t>
      </w:r>
      <w:r>
        <w:rPr>
          <w:color w:val="231F20"/>
          <w:spacing w:val="-3"/>
        </w:rPr>
        <w:t> </w:t>
      </w:r>
      <w:r>
        <w:rPr>
          <w:color w:val="231F20"/>
        </w:rPr>
        <w:t>before</w:t>
      </w:r>
      <w:r>
        <w:rPr>
          <w:color w:val="231F20"/>
          <w:spacing w:val="-3"/>
        </w:rPr>
        <w:t> </w:t>
      </w:r>
      <w:r>
        <w:rPr>
          <w:color w:val="231F20"/>
        </w:rPr>
        <w:t>reaching</w:t>
      </w:r>
      <w:r>
        <w:rPr>
          <w:color w:val="231F20"/>
          <w:spacing w:val="-3"/>
        </w:rPr>
        <w:t> </w:t>
      </w:r>
      <w:r>
        <w:rPr>
          <w:color w:val="231F20"/>
        </w:rPr>
        <w:t>the</w:t>
      </w:r>
      <w:r>
        <w:rPr>
          <w:color w:val="231F20"/>
          <w:spacing w:val="-3"/>
        </w:rPr>
        <w:t> </w:t>
      </w:r>
      <w:r>
        <w:rPr>
          <w:color w:val="231F20"/>
        </w:rPr>
        <w:t>store</w:t>
      </w:r>
      <w:r>
        <w:rPr>
          <w:color w:val="231F20"/>
          <w:spacing w:val="-4"/>
        </w:rPr>
        <w:t> </w:t>
      </w:r>
      <w:r>
        <w:rPr>
          <w:color w:val="231F20"/>
        </w:rPr>
        <w:t>shelves.</w:t>
      </w:r>
      <w:r>
        <w:rPr>
          <w:color w:val="231F20"/>
          <w:spacing w:val="-3"/>
        </w:rPr>
        <w:t> </w:t>
      </w:r>
      <w:r>
        <w:rPr>
          <w:color w:val="231F20"/>
          <w:spacing w:val="-2"/>
        </w:rPr>
        <w:t>These</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products are simple and do not require direct control by the </w:t>
      </w:r>
      <w:r>
        <w:rPr>
          <w:color w:val="231F20"/>
        </w:rPr>
        <w:t>manu- facturer over the presentation and sale.</w:t>
      </w:r>
    </w:p>
    <w:p>
      <w:pPr>
        <w:pStyle w:val="BodyText"/>
        <w:spacing w:line="292" w:lineRule="auto"/>
        <w:ind w:left="920" w:right="666" w:firstLine="340"/>
        <w:jc w:val="both"/>
      </w:pPr>
      <w:r>
        <w:rPr>
          <w:rFonts w:ascii="Arial"/>
          <w:color w:val="231F20"/>
          <w:sz w:val="18"/>
        </w:rPr>
        <w:t>Need for Control. </w:t>
      </w:r>
      <w:r>
        <w:rPr>
          <w:color w:val="231F20"/>
        </w:rPr>
        <w:t>The ability to motivate the channels to carry</w:t>
      </w:r>
      <w:r>
        <w:rPr>
          <w:color w:val="231F20"/>
          <w:spacing w:val="80"/>
        </w:rPr>
        <w:t> </w:t>
      </w:r>
      <w:r>
        <w:rPr>
          <w:color w:val="231F20"/>
        </w:rPr>
        <w:t>your product effectively and appropriately enters into the </w:t>
      </w:r>
      <w:r>
        <w:rPr>
          <w:color w:val="231F20"/>
        </w:rPr>
        <w:t>placement decision. The further the manufacturer is removed from the con- sumer with distributors, wholesalers, and jobbers, the less control</w:t>
      </w:r>
      <w:r>
        <w:rPr>
          <w:color w:val="231F20"/>
          <w:spacing w:val="40"/>
        </w:rPr>
        <w:t> </w:t>
      </w:r>
      <w:r>
        <w:rPr>
          <w:color w:val="231F20"/>
        </w:rPr>
        <w:t>the manufacturer has over how a product is sold. Pharmaceutical companies usually have their own sales forces, also called </w:t>
      </w:r>
      <w:r>
        <w:rPr>
          <w:i/>
          <w:color w:val="231F20"/>
        </w:rPr>
        <w:t>captive</w:t>
      </w:r>
      <w:r>
        <w:rPr>
          <w:i/>
          <w:color w:val="231F20"/>
        </w:rPr>
        <w:t> </w:t>
      </w:r>
      <w:r>
        <w:rPr>
          <w:color w:val="231F20"/>
        </w:rPr>
        <w:t>sales forces, that are thoroughly trained to provide credible informa- tion to doctors. If Merck or Pfizer had to rely on an independent</w:t>
      </w:r>
      <w:r>
        <w:rPr>
          <w:color w:val="231F20"/>
          <w:spacing w:val="80"/>
        </w:rPr>
        <w:t> </w:t>
      </w:r>
      <w:r>
        <w:rPr>
          <w:color w:val="231F20"/>
        </w:rPr>
        <w:t>sales force, they would not have absolute control over their training or conduct in the field.</w:t>
      </w:r>
    </w:p>
    <w:p>
      <w:pPr>
        <w:pStyle w:val="BodyText"/>
        <w:spacing w:line="292" w:lineRule="auto"/>
        <w:ind w:left="919" w:right="663" w:firstLine="340"/>
        <w:jc w:val="both"/>
      </w:pPr>
      <w:r>
        <w:rPr>
          <w:rFonts w:ascii="Arial" w:hAnsi="Arial"/>
          <w:color w:val="231F20"/>
          <w:sz w:val="18"/>
        </w:rPr>
        <w:t>Margins Desired.</w:t>
      </w:r>
      <w:r>
        <w:rPr>
          <w:rFonts w:ascii="Arial" w:hAnsi="Arial"/>
          <w:color w:val="231F20"/>
          <w:spacing w:val="40"/>
          <w:sz w:val="18"/>
        </w:rPr>
        <w:t> </w:t>
      </w:r>
      <w:r>
        <w:rPr>
          <w:color w:val="231F20"/>
        </w:rPr>
        <w:t>The</w:t>
      </w:r>
      <w:r>
        <w:rPr>
          <w:color w:val="231F20"/>
          <w:spacing w:val="40"/>
        </w:rPr>
        <w:t> </w:t>
      </w:r>
      <w:r>
        <w:rPr>
          <w:color w:val="231F20"/>
        </w:rPr>
        <w:t>analysis</w:t>
      </w:r>
      <w:r>
        <w:rPr>
          <w:color w:val="231F20"/>
          <w:spacing w:val="40"/>
        </w:rPr>
        <w:t> </w:t>
      </w:r>
      <w:r>
        <w:rPr>
          <w:color w:val="231F20"/>
        </w:rPr>
        <w:t>of</w:t>
      </w:r>
      <w:r>
        <w:rPr>
          <w:color w:val="231F20"/>
          <w:spacing w:val="40"/>
        </w:rPr>
        <w:t> </w:t>
      </w:r>
      <w:r>
        <w:rPr>
          <w:color w:val="231F20"/>
        </w:rPr>
        <w:t>the</w:t>
      </w:r>
      <w:r>
        <w:rPr>
          <w:color w:val="231F20"/>
          <w:spacing w:val="40"/>
        </w:rPr>
        <w:t> </w:t>
      </w:r>
      <w:r>
        <w:rPr>
          <w:color w:val="231F20"/>
        </w:rPr>
        <w:t>channels</w:t>
      </w:r>
      <w:r>
        <w:rPr>
          <w:color w:val="231F20"/>
          <w:spacing w:val="40"/>
        </w:rPr>
        <w:t> </w:t>
      </w:r>
      <w:r>
        <w:rPr>
          <w:color w:val="231F20"/>
        </w:rPr>
        <w:t>of</w:t>
      </w:r>
      <w:r>
        <w:rPr>
          <w:color w:val="231F20"/>
          <w:spacing w:val="40"/>
        </w:rPr>
        <w:t> </w:t>
      </w:r>
      <w:r>
        <w:rPr>
          <w:color w:val="231F20"/>
        </w:rPr>
        <w:t>distribution helps to determine the potential profits available. Where are the margins taken at each level? Can your company deliver the </w:t>
      </w:r>
      <w:r>
        <w:rPr>
          <w:color w:val="231F20"/>
        </w:rPr>
        <w:t>product through the channels at a competitive price and still reserve enough margin for itself? Based on the available margins, channel decisions can be made. In the case of radar detectors, Cincinnati Microwave opted to sell directly to the public through magazine display ad- vertising. They chose not to sell through electronics stores or other general merchandisers. Their management believed that the techno- logical superiority of their Escorts and Passports would help the</w:t>
      </w:r>
      <w:r>
        <w:rPr>
          <w:color w:val="231F20"/>
          <w:spacing w:val="40"/>
        </w:rPr>
        <w:t> </w:t>
      </w:r>
      <w:r>
        <w:rPr>
          <w:color w:val="231F20"/>
        </w:rPr>
        <w:t>units sell themselves. Cincinnati Microwave chose to capture the en- tire retail margin and to cut out all the middlemen who typically dis- tribute and sell electronics. Their strategy faltered because they</w:t>
      </w:r>
      <w:r>
        <w:rPr>
          <w:color w:val="231F20"/>
          <w:spacing w:val="40"/>
        </w:rPr>
        <w:t> </w:t>
      </w:r>
      <w:r>
        <w:rPr>
          <w:color w:val="231F20"/>
        </w:rPr>
        <w:t>failed to maintain their product’s technical edge.</w:t>
      </w:r>
    </w:p>
    <w:p>
      <w:pPr>
        <w:pStyle w:val="BodyText"/>
        <w:spacing w:before="9"/>
        <w:rPr>
          <w:sz w:val="24"/>
        </w:rPr>
      </w:pPr>
    </w:p>
    <w:p>
      <w:pPr>
        <w:tabs>
          <w:tab w:pos="1529" w:val="left" w:leader="none"/>
          <w:tab w:pos="2799" w:val="left" w:leader="none"/>
          <w:tab w:pos="4599" w:val="left" w:leader="none"/>
        </w:tabs>
        <w:spacing w:before="0"/>
        <w:ind w:left="0" w:right="219" w:firstLine="0"/>
        <w:jc w:val="center"/>
        <w:rPr>
          <w:sz w:val="21"/>
        </w:rPr>
      </w:pPr>
      <w:r>
        <w:rPr>
          <w:color w:val="231F20"/>
          <w:spacing w:val="-2"/>
          <w:sz w:val="21"/>
        </w:rPr>
        <w:t>Product</w:t>
      </w:r>
      <w:r>
        <w:rPr>
          <w:color w:val="231F20"/>
          <w:sz w:val="21"/>
        </w:rPr>
        <w:tab/>
      </w:r>
      <w:r>
        <w:rPr>
          <w:color w:val="231F20"/>
          <w:spacing w:val="-2"/>
          <w:sz w:val="21"/>
        </w:rPr>
        <w:t>Place</w:t>
      </w:r>
      <w:r>
        <w:rPr>
          <w:color w:val="231F20"/>
          <w:sz w:val="21"/>
        </w:rPr>
        <w:tab/>
      </w:r>
      <w:r>
        <w:rPr>
          <w:b/>
          <w:color w:val="231F20"/>
          <w:spacing w:val="-2"/>
          <w:sz w:val="21"/>
        </w:rPr>
        <w:t>Promotion</w:t>
      </w:r>
      <w:r>
        <w:rPr>
          <w:b/>
          <w:color w:val="231F20"/>
          <w:sz w:val="21"/>
        </w:rPr>
        <w:tab/>
      </w:r>
      <w:r>
        <w:rPr>
          <w:color w:val="231F20"/>
          <w:spacing w:val="-2"/>
          <w:sz w:val="21"/>
        </w:rPr>
        <w:t>Price</w:t>
      </w:r>
    </w:p>
    <w:p>
      <w:pPr>
        <w:pStyle w:val="BodyText"/>
        <w:spacing w:before="2"/>
        <w:rPr>
          <w:sz w:val="30"/>
        </w:rPr>
      </w:pPr>
    </w:p>
    <w:p>
      <w:pPr>
        <w:pStyle w:val="Heading6"/>
        <w:rPr>
          <w:i/>
        </w:rPr>
      </w:pPr>
      <w:r>
        <w:rPr>
          <w:i/>
          <w:color w:val="231F20"/>
          <w:spacing w:val="9"/>
          <w:w w:val="105"/>
        </w:rPr>
        <w:t>PROMOTIONAL</w:t>
      </w:r>
      <w:r>
        <w:rPr>
          <w:i/>
          <w:color w:val="231F20"/>
          <w:spacing w:val="54"/>
          <w:w w:val="110"/>
        </w:rPr>
        <w:t> </w:t>
      </w:r>
      <w:r>
        <w:rPr>
          <w:i/>
          <w:color w:val="231F20"/>
          <w:spacing w:val="8"/>
          <w:w w:val="110"/>
        </w:rPr>
        <w:t>DECISIONS</w:t>
      </w:r>
    </w:p>
    <w:p>
      <w:pPr>
        <w:pStyle w:val="BodyText"/>
        <w:spacing w:before="2"/>
        <w:rPr>
          <w:b/>
          <w:i/>
          <w:sz w:val="30"/>
        </w:rPr>
      </w:pPr>
    </w:p>
    <w:p>
      <w:pPr>
        <w:pStyle w:val="BodyText"/>
        <w:spacing w:line="292" w:lineRule="auto"/>
        <w:ind w:left="920" w:right="666"/>
        <w:jc w:val="both"/>
      </w:pPr>
      <w:r>
        <w:rPr>
          <w:color w:val="231F20"/>
        </w:rPr>
        <w:t>Promotion includes all the advertising and selling efforts of the </w:t>
      </w:r>
      <w:r>
        <w:rPr>
          <w:color w:val="231F20"/>
        </w:rPr>
        <w:t>mar- keting plan. Goal setting is paramount in developing a promotional campaign. You need to know the mission you want to accomplish before you can begin to draft or spend the promotion budget. The ultimate</w:t>
      </w:r>
      <w:r>
        <w:rPr>
          <w:color w:val="231F20"/>
          <w:spacing w:val="8"/>
        </w:rPr>
        <w:t> </w:t>
      </w:r>
      <w:r>
        <w:rPr>
          <w:color w:val="231F20"/>
        </w:rPr>
        <w:t>goal</w:t>
      </w:r>
      <w:r>
        <w:rPr>
          <w:color w:val="231F20"/>
          <w:spacing w:val="9"/>
        </w:rPr>
        <w:t> </w:t>
      </w:r>
      <w:r>
        <w:rPr>
          <w:color w:val="231F20"/>
        </w:rPr>
        <w:t>of</w:t>
      </w:r>
      <w:r>
        <w:rPr>
          <w:color w:val="231F20"/>
          <w:spacing w:val="9"/>
        </w:rPr>
        <w:t> </w:t>
      </w:r>
      <w:r>
        <w:rPr>
          <w:color w:val="231F20"/>
        </w:rPr>
        <w:t>promotion</w:t>
      </w:r>
      <w:r>
        <w:rPr>
          <w:color w:val="231F20"/>
          <w:spacing w:val="9"/>
        </w:rPr>
        <w:t> </w:t>
      </w:r>
      <w:r>
        <w:rPr>
          <w:color w:val="231F20"/>
        </w:rPr>
        <w:t>is</w:t>
      </w:r>
      <w:r>
        <w:rPr>
          <w:color w:val="231F20"/>
          <w:spacing w:val="9"/>
        </w:rPr>
        <w:t> </w:t>
      </w:r>
      <w:r>
        <w:rPr>
          <w:color w:val="231F20"/>
        </w:rPr>
        <w:t>to</w:t>
      </w:r>
      <w:r>
        <w:rPr>
          <w:color w:val="231F20"/>
          <w:spacing w:val="9"/>
        </w:rPr>
        <w:t> </w:t>
      </w:r>
      <w:r>
        <w:rPr>
          <w:color w:val="231F20"/>
        </w:rPr>
        <w:t>affect</w:t>
      </w:r>
      <w:r>
        <w:rPr>
          <w:color w:val="231F20"/>
          <w:spacing w:val="9"/>
        </w:rPr>
        <w:t> </w:t>
      </w:r>
      <w:r>
        <w:rPr>
          <w:color w:val="231F20"/>
        </w:rPr>
        <w:t>buyer</w:t>
      </w:r>
      <w:r>
        <w:rPr>
          <w:color w:val="231F20"/>
          <w:spacing w:val="9"/>
        </w:rPr>
        <w:t> </w:t>
      </w:r>
      <w:r>
        <w:rPr>
          <w:color w:val="231F20"/>
        </w:rPr>
        <w:t>behavior;</w:t>
      </w:r>
      <w:r>
        <w:rPr>
          <w:color w:val="231F20"/>
          <w:spacing w:val="9"/>
        </w:rPr>
        <w:t> </w:t>
      </w:r>
      <w:r>
        <w:rPr>
          <w:color w:val="231F20"/>
        </w:rPr>
        <w:t>therefore,</w:t>
      </w:r>
      <w:r>
        <w:rPr>
          <w:color w:val="231F20"/>
          <w:spacing w:val="9"/>
        </w:rPr>
        <w:t> </w:t>
      </w:r>
      <w:r>
        <w:rPr>
          <w:color w:val="231F20"/>
          <w:spacing w:val="-5"/>
        </w:rPr>
        <w:t>the</w:t>
      </w:r>
    </w:p>
    <w:p>
      <w:pPr>
        <w:spacing w:after="0" w:line="292" w:lineRule="auto"/>
        <w:jc w:val="both"/>
        <w:sectPr>
          <w:pgSz w:w="8640" w:h="12960"/>
          <w:pgMar w:header="734" w:footer="0" w:top="920" w:bottom="280" w:left="340" w:right="500"/>
        </w:sectPr>
      </w:pPr>
    </w:p>
    <w:p>
      <w:pPr>
        <w:pStyle w:val="BodyText"/>
        <w:rPr>
          <w:sz w:val="17"/>
        </w:rPr>
      </w:pPr>
    </w:p>
    <w:p>
      <w:pPr>
        <w:pStyle w:val="BodyText"/>
        <w:spacing w:line="292" w:lineRule="auto" w:before="102"/>
        <w:ind w:left="830" w:right="753"/>
        <w:jc w:val="both"/>
        <w:rPr>
          <w:i/>
        </w:rPr>
      </w:pPr>
      <w:r>
        <w:rPr>
          <w:color w:val="231F20"/>
        </w:rPr>
        <w:t>desired behavior must be defined. Different products, at different stages of the PLC, with different levels of involvement and complex- ity, require different promotional efforts to perform different mis- sions.</w:t>
      </w:r>
      <w:r>
        <w:rPr>
          <w:color w:val="231F20"/>
          <w:spacing w:val="80"/>
        </w:rPr>
        <w:t> </w:t>
      </w:r>
      <w:r>
        <w:rPr>
          <w:color w:val="231F20"/>
        </w:rPr>
        <w:t>The</w:t>
      </w:r>
      <w:r>
        <w:rPr>
          <w:color w:val="231F20"/>
          <w:spacing w:val="80"/>
        </w:rPr>
        <w:t> </w:t>
      </w:r>
      <w:r>
        <w:rPr>
          <w:color w:val="231F20"/>
        </w:rPr>
        <w:t>promotional</w:t>
      </w:r>
      <w:r>
        <w:rPr>
          <w:color w:val="231F20"/>
          <w:spacing w:val="80"/>
        </w:rPr>
        <w:t> </w:t>
      </w:r>
      <w:r>
        <w:rPr>
          <w:color w:val="231F20"/>
        </w:rPr>
        <w:t>mission</w:t>
      </w:r>
      <w:r>
        <w:rPr>
          <w:color w:val="231F20"/>
          <w:spacing w:val="80"/>
        </w:rPr>
        <w:t> </w:t>
      </w:r>
      <w:r>
        <w:rPr>
          <w:color w:val="231F20"/>
        </w:rPr>
        <w:t>chosen</w:t>
      </w:r>
      <w:r>
        <w:rPr>
          <w:color w:val="231F20"/>
          <w:spacing w:val="80"/>
        </w:rPr>
        <w:t> </w:t>
      </w:r>
      <w:r>
        <w:rPr>
          <w:color w:val="231F20"/>
        </w:rPr>
        <w:t>for</w:t>
      </w:r>
      <w:r>
        <w:rPr>
          <w:color w:val="231F20"/>
          <w:spacing w:val="80"/>
        </w:rPr>
        <w:t> </w:t>
      </w:r>
      <w:r>
        <w:rPr>
          <w:color w:val="231F20"/>
        </w:rPr>
        <w:t>your</w:t>
      </w:r>
      <w:r>
        <w:rPr>
          <w:color w:val="231F20"/>
          <w:spacing w:val="80"/>
        </w:rPr>
        <w:t> </w:t>
      </w:r>
      <w:r>
        <w:rPr>
          <w:color w:val="231F20"/>
        </w:rPr>
        <w:t>product</w:t>
      </w:r>
      <w:r>
        <w:rPr>
          <w:color w:val="231F20"/>
          <w:spacing w:val="80"/>
        </w:rPr>
        <w:t> </w:t>
      </w:r>
      <w:r>
        <w:rPr>
          <w:color w:val="231F20"/>
        </w:rPr>
        <w:t>must be consistent with the buying process outlined in your </w:t>
      </w:r>
      <w:r>
        <w:rPr>
          <w:i/>
          <w:color w:val="231F20"/>
        </w:rPr>
        <w:t>consumer</w:t>
      </w:r>
      <w:r>
        <w:rPr>
          <w:i/>
          <w:color w:val="231F20"/>
        </w:rPr>
        <w:t> </w:t>
      </w:r>
      <w:r>
        <w:rPr>
          <w:i/>
          <w:color w:val="231F20"/>
          <w:spacing w:val="-2"/>
        </w:rPr>
        <w:t>analysis.</w:t>
      </w:r>
    </w:p>
    <w:p>
      <w:pPr>
        <w:pStyle w:val="BodyText"/>
        <w:spacing w:before="9"/>
        <w:rPr>
          <w:i/>
          <w:sz w:val="26"/>
        </w:rPr>
      </w:pPr>
    </w:p>
    <w:tbl>
      <w:tblPr>
        <w:tblW w:w="0" w:type="auto"/>
        <w:jc w:val="left"/>
        <w:tblInd w:w="1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2"/>
        <w:gridCol w:w="3676"/>
      </w:tblGrid>
      <w:tr>
        <w:trPr>
          <w:trHeight w:val="253" w:hRule="atLeast"/>
        </w:trPr>
        <w:tc>
          <w:tcPr>
            <w:tcW w:w="1892" w:type="dxa"/>
          </w:tcPr>
          <w:p>
            <w:pPr>
              <w:pStyle w:val="TableParagraph"/>
              <w:spacing w:line="227" w:lineRule="exact" w:before="0"/>
              <w:ind w:left="50"/>
              <w:jc w:val="left"/>
              <w:rPr>
                <w:b/>
                <w:i/>
                <w:sz w:val="20"/>
              </w:rPr>
            </w:pPr>
            <w:r>
              <w:rPr>
                <w:b/>
                <w:i/>
                <w:color w:val="231F20"/>
                <w:w w:val="110"/>
                <w:sz w:val="20"/>
              </w:rPr>
              <w:t>BUYING </w:t>
            </w:r>
            <w:r>
              <w:rPr>
                <w:b/>
                <w:i/>
                <w:color w:val="231F20"/>
                <w:spacing w:val="-2"/>
                <w:w w:val="110"/>
                <w:sz w:val="20"/>
              </w:rPr>
              <w:t>PROCESS</w:t>
            </w:r>
          </w:p>
        </w:tc>
        <w:tc>
          <w:tcPr>
            <w:tcW w:w="3676" w:type="dxa"/>
          </w:tcPr>
          <w:p>
            <w:pPr>
              <w:pStyle w:val="TableParagraph"/>
              <w:spacing w:line="227" w:lineRule="exact" w:before="0"/>
              <w:ind w:left="158"/>
              <w:jc w:val="left"/>
              <w:rPr>
                <w:b/>
                <w:i/>
                <w:sz w:val="20"/>
              </w:rPr>
            </w:pPr>
            <w:r>
              <w:rPr>
                <w:b/>
                <w:i/>
                <w:color w:val="231F20"/>
                <w:sz w:val="20"/>
              </w:rPr>
              <w:t>PROMOTIONAL</w:t>
            </w:r>
            <w:r>
              <w:rPr>
                <w:b/>
                <w:i/>
                <w:color w:val="231F20"/>
                <w:spacing w:val="43"/>
                <w:w w:val="105"/>
                <w:sz w:val="20"/>
              </w:rPr>
              <w:t> </w:t>
            </w:r>
            <w:r>
              <w:rPr>
                <w:b/>
                <w:i/>
                <w:color w:val="231F20"/>
                <w:spacing w:val="-2"/>
                <w:w w:val="105"/>
                <w:sz w:val="20"/>
              </w:rPr>
              <w:t>MISSION</w:t>
            </w:r>
          </w:p>
        </w:tc>
      </w:tr>
      <w:tr>
        <w:trPr>
          <w:trHeight w:val="303" w:hRule="atLeast"/>
        </w:trPr>
        <w:tc>
          <w:tcPr>
            <w:tcW w:w="1892" w:type="dxa"/>
          </w:tcPr>
          <w:p>
            <w:pPr>
              <w:pStyle w:val="TableParagraph"/>
              <w:spacing w:before="30"/>
              <w:ind w:left="50"/>
              <w:jc w:val="left"/>
              <w:rPr>
                <w:b/>
                <w:sz w:val="21"/>
              </w:rPr>
            </w:pPr>
            <w:r>
              <w:rPr>
                <w:b/>
                <w:color w:val="231F20"/>
                <w:spacing w:val="-2"/>
                <w:sz w:val="21"/>
              </w:rPr>
              <w:t>Awareness</w:t>
            </w:r>
          </w:p>
        </w:tc>
        <w:tc>
          <w:tcPr>
            <w:tcW w:w="3676" w:type="dxa"/>
          </w:tcPr>
          <w:p>
            <w:pPr>
              <w:pStyle w:val="TableParagraph"/>
              <w:spacing w:before="30"/>
              <w:ind w:left="158"/>
              <w:jc w:val="left"/>
              <w:rPr>
                <w:sz w:val="21"/>
              </w:rPr>
            </w:pPr>
            <w:r>
              <w:rPr>
                <w:color w:val="231F20"/>
                <w:sz w:val="21"/>
              </w:rPr>
              <w:t>Inform</w:t>
            </w:r>
            <w:r>
              <w:rPr>
                <w:color w:val="231F20"/>
                <w:spacing w:val="24"/>
                <w:sz w:val="21"/>
              </w:rPr>
              <w:t> </w:t>
            </w:r>
            <w:r>
              <w:rPr>
                <w:color w:val="231F20"/>
                <w:sz w:val="21"/>
              </w:rPr>
              <w:t>about</w:t>
            </w:r>
            <w:r>
              <w:rPr>
                <w:color w:val="231F20"/>
                <w:spacing w:val="24"/>
                <w:sz w:val="21"/>
              </w:rPr>
              <w:t> </w:t>
            </w:r>
            <w:r>
              <w:rPr>
                <w:color w:val="231F20"/>
                <w:sz w:val="21"/>
              </w:rPr>
              <w:t>product,</w:t>
            </w:r>
            <w:r>
              <w:rPr>
                <w:color w:val="231F20"/>
                <w:spacing w:val="24"/>
                <w:sz w:val="21"/>
              </w:rPr>
              <w:t> </w:t>
            </w:r>
            <w:r>
              <w:rPr>
                <w:color w:val="231F20"/>
                <w:sz w:val="21"/>
              </w:rPr>
              <w:t>prompt</w:t>
            </w:r>
            <w:r>
              <w:rPr>
                <w:color w:val="231F20"/>
                <w:spacing w:val="24"/>
                <w:sz w:val="21"/>
              </w:rPr>
              <w:t> </w:t>
            </w:r>
            <w:r>
              <w:rPr>
                <w:color w:val="231F20"/>
                <w:sz w:val="21"/>
              </w:rPr>
              <w:t>a</w:t>
            </w:r>
            <w:r>
              <w:rPr>
                <w:color w:val="231F20"/>
                <w:spacing w:val="24"/>
                <w:sz w:val="21"/>
              </w:rPr>
              <w:t> </w:t>
            </w:r>
            <w:r>
              <w:rPr>
                <w:color w:val="231F20"/>
                <w:spacing w:val="-4"/>
                <w:sz w:val="21"/>
              </w:rPr>
              <w:t>need</w:t>
            </w:r>
          </w:p>
        </w:tc>
      </w:tr>
      <w:tr>
        <w:trPr>
          <w:trHeight w:val="297" w:hRule="atLeast"/>
        </w:trPr>
        <w:tc>
          <w:tcPr>
            <w:tcW w:w="1892" w:type="dxa"/>
          </w:tcPr>
          <w:p>
            <w:pPr>
              <w:pStyle w:val="TableParagraph"/>
              <w:spacing w:before="0"/>
              <w:jc w:val="left"/>
              <w:rPr>
                <w:rFonts w:ascii="Times New Roman"/>
                <w:sz w:val="20"/>
              </w:rPr>
            </w:pPr>
          </w:p>
        </w:tc>
        <w:tc>
          <w:tcPr>
            <w:tcW w:w="3676" w:type="dxa"/>
          </w:tcPr>
          <w:p>
            <w:pPr>
              <w:pStyle w:val="TableParagraph"/>
              <w:spacing w:before="26"/>
              <w:ind w:left="158"/>
              <w:jc w:val="left"/>
              <w:rPr>
                <w:sz w:val="21"/>
              </w:rPr>
            </w:pPr>
            <w:r>
              <w:rPr>
                <w:color w:val="231F20"/>
                <w:spacing w:val="-2"/>
                <w:sz w:val="21"/>
              </w:rPr>
              <w:t>message</w:t>
            </w:r>
          </w:p>
        </w:tc>
      </w:tr>
      <w:tr>
        <w:trPr>
          <w:trHeight w:val="302" w:hRule="atLeast"/>
        </w:trPr>
        <w:tc>
          <w:tcPr>
            <w:tcW w:w="1892" w:type="dxa"/>
          </w:tcPr>
          <w:p>
            <w:pPr>
              <w:pStyle w:val="TableParagraph"/>
              <w:spacing w:before="29"/>
              <w:ind w:left="50"/>
              <w:jc w:val="left"/>
              <w:rPr>
                <w:b/>
                <w:sz w:val="21"/>
              </w:rPr>
            </w:pPr>
            <w:r>
              <w:rPr>
                <w:b/>
                <w:color w:val="231F20"/>
                <w:spacing w:val="-2"/>
                <w:sz w:val="21"/>
              </w:rPr>
              <w:t>Interest</w:t>
            </w:r>
          </w:p>
        </w:tc>
        <w:tc>
          <w:tcPr>
            <w:tcW w:w="3676" w:type="dxa"/>
          </w:tcPr>
          <w:p>
            <w:pPr>
              <w:pStyle w:val="TableParagraph"/>
              <w:spacing w:before="29"/>
              <w:ind w:left="158"/>
              <w:jc w:val="left"/>
              <w:rPr>
                <w:sz w:val="21"/>
              </w:rPr>
            </w:pPr>
            <w:r>
              <w:rPr>
                <w:color w:val="231F20"/>
                <w:sz w:val="21"/>
              </w:rPr>
              <w:t>Provide</w:t>
            </w:r>
            <w:r>
              <w:rPr>
                <w:color w:val="231F20"/>
                <w:spacing w:val="8"/>
                <w:sz w:val="21"/>
              </w:rPr>
              <w:t> </w:t>
            </w:r>
            <w:r>
              <w:rPr>
                <w:color w:val="231F20"/>
                <w:sz w:val="21"/>
              </w:rPr>
              <w:t>compelling</w:t>
            </w:r>
            <w:r>
              <w:rPr>
                <w:color w:val="231F20"/>
                <w:spacing w:val="8"/>
                <w:sz w:val="21"/>
              </w:rPr>
              <w:t> </w:t>
            </w:r>
            <w:r>
              <w:rPr>
                <w:color w:val="231F20"/>
                <w:sz w:val="21"/>
              </w:rPr>
              <w:t>message,</w:t>
            </w:r>
            <w:r>
              <w:rPr>
                <w:color w:val="231F20"/>
                <w:spacing w:val="9"/>
                <w:sz w:val="21"/>
              </w:rPr>
              <w:t> </w:t>
            </w:r>
            <w:r>
              <w:rPr>
                <w:color w:val="231F20"/>
                <w:sz w:val="21"/>
              </w:rPr>
              <w:t>solve</w:t>
            </w:r>
            <w:r>
              <w:rPr>
                <w:color w:val="231F20"/>
                <w:spacing w:val="8"/>
                <w:sz w:val="21"/>
              </w:rPr>
              <w:t> </w:t>
            </w:r>
            <w:r>
              <w:rPr>
                <w:color w:val="231F20"/>
                <w:spacing w:val="-10"/>
                <w:sz w:val="21"/>
              </w:rPr>
              <w:t>a</w:t>
            </w:r>
          </w:p>
        </w:tc>
      </w:tr>
      <w:tr>
        <w:trPr>
          <w:trHeight w:val="297" w:hRule="atLeast"/>
        </w:trPr>
        <w:tc>
          <w:tcPr>
            <w:tcW w:w="1892" w:type="dxa"/>
          </w:tcPr>
          <w:p>
            <w:pPr>
              <w:pStyle w:val="TableParagraph"/>
              <w:spacing w:before="0"/>
              <w:jc w:val="left"/>
              <w:rPr>
                <w:rFonts w:ascii="Times New Roman"/>
                <w:sz w:val="20"/>
              </w:rPr>
            </w:pPr>
          </w:p>
        </w:tc>
        <w:tc>
          <w:tcPr>
            <w:tcW w:w="3676" w:type="dxa"/>
          </w:tcPr>
          <w:p>
            <w:pPr>
              <w:pStyle w:val="TableParagraph"/>
              <w:spacing w:before="26"/>
              <w:ind w:left="158"/>
              <w:jc w:val="left"/>
              <w:rPr>
                <w:sz w:val="21"/>
              </w:rPr>
            </w:pPr>
            <w:r>
              <w:rPr>
                <w:color w:val="231F20"/>
                <w:sz w:val="21"/>
              </w:rPr>
              <w:t>need</w:t>
            </w:r>
            <w:r>
              <w:rPr>
                <w:color w:val="231F20"/>
                <w:spacing w:val="-2"/>
                <w:sz w:val="21"/>
              </w:rPr>
              <w:t> message</w:t>
            </w:r>
          </w:p>
        </w:tc>
      </w:tr>
      <w:tr>
        <w:trPr>
          <w:trHeight w:val="300" w:hRule="atLeast"/>
        </w:trPr>
        <w:tc>
          <w:tcPr>
            <w:tcW w:w="1892" w:type="dxa"/>
          </w:tcPr>
          <w:p>
            <w:pPr>
              <w:pStyle w:val="TableParagraph"/>
              <w:spacing w:before="29"/>
              <w:ind w:left="50"/>
              <w:jc w:val="left"/>
              <w:rPr>
                <w:b/>
                <w:sz w:val="21"/>
              </w:rPr>
            </w:pPr>
            <w:r>
              <w:rPr>
                <w:b/>
                <w:color w:val="231F20"/>
                <w:spacing w:val="-2"/>
                <w:sz w:val="21"/>
              </w:rPr>
              <w:t>Trial</w:t>
            </w:r>
          </w:p>
        </w:tc>
        <w:tc>
          <w:tcPr>
            <w:tcW w:w="3676" w:type="dxa"/>
          </w:tcPr>
          <w:p>
            <w:pPr>
              <w:pStyle w:val="TableParagraph"/>
              <w:spacing w:before="29"/>
              <w:ind w:left="158"/>
              <w:jc w:val="left"/>
              <w:rPr>
                <w:sz w:val="21"/>
              </w:rPr>
            </w:pPr>
            <w:r>
              <w:rPr>
                <w:color w:val="231F20"/>
                <w:w w:val="105"/>
                <w:sz w:val="21"/>
              </w:rPr>
              <w:t>Motivate</w:t>
            </w:r>
            <w:r>
              <w:rPr>
                <w:color w:val="231F20"/>
                <w:spacing w:val="9"/>
                <w:w w:val="105"/>
                <w:sz w:val="21"/>
              </w:rPr>
              <w:t> </w:t>
            </w:r>
            <w:r>
              <w:rPr>
                <w:color w:val="231F20"/>
                <w:spacing w:val="-2"/>
                <w:w w:val="105"/>
                <w:sz w:val="21"/>
              </w:rPr>
              <w:t>action</w:t>
            </w:r>
          </w:p>
        </w:tc>
      </w:tr>
      <w:tr>
        <w:trPr>
          <w:trHeight w:val="300" w:hRule="atLeast"/>
        </w:trPr>
        <w:tc>
          <w:tcPr>
            <w:tcW w:w="1892" w:type="dxa"/>
          </w:tcPr>
          <w:p>
            <w:pPr>
              <w:pStyle w:val="TableParagraph"/>
              <w:spacing w:before="29"/>
              <w:ind w:left="50"/>
              <w:jc w:val="left"/>
              <w:rPr>
                <w:b/>
                <w:sz w:val="21"/>
              </w:rPr>
            </w:pPr>
            <w:r>
              <w:rPr>
                <w:b/>
                <w:color w:val="231F20"/>
                <w:spacing w:val="-2"/>
                <w:sz w:val="21"/>
              </w:rPr>
              <w:t>Repurchase</w:t>
            </w:r>
          </w:p>
        </w:tc>
        <w:tc>
          <w:tcPr>
            <w:tcW w:w="3676" w:type="dxa"/>
          </w:tcPr>
          <w:p>
            <w:pPr>
              <w:pStyle w:val="TableParagraph"/>
              <w:spacing w:before="29"/>
              <w:ind w:left="158"/>
              <w:jc w:val="left"/>
              <w:rPr>
                <w:sz w:val="21"/>
              </w:rPr>
            </w:pPr>
            <w:r>
              <w:rPr>
                <w:color w:val="231F20"/>
                <w:sz w:val="21"/>
              </w:rPr>
              <w:t>Cue</w:t>
            </w:r>
            <w:r>
              <w:rPr>
                <w:color w:val="231F20"/>
                <w:spacing w:val="14"/>
                <w:sz w:val="21"/>
              </w:rPr>
              <w:t> </w:t>
            </w:r>
            <w:r>
              <w:rPr>
                <w:color w:val="231F20"/>
                <w:sz w:val="21"/>
              </w:rPr>
              <w:t>to</w:t>
            </w:r>
            <w:r>
              <w:rPr>
                <w:color w:val="231F20"/>
                <w:spacing w:val="14"/>
                <w:sz w:val="21"/>
              </w:rPr>
              <w:t> </w:t>
            </w:r>
            <w:r>
              <w:rPr>
                <w:color w:val="231F20"/>
                <w:sz w:val="21"/>
              </w:rPr>
              <w:t>buy,</w:t>
            </w:r>
            <w:r>
              <w:rPr>
                <w:color w:val="231F20"/>
                <w:spacing w:val="14"/>
                <w:sz w:val="21"/>
              </w:rPr>
              <w:t> </w:t>
            </w:r>
            <w:r>
              <w:rPr>
                <w:color w:val="231F20"/>
                <w:sz w:val="21"/>
              </w:rPr>
              <w:t>increase</w:t>
            </w:r>
            <w:r>
              <w:rPr>
                <w:color w:val="231F20"/>
                <w:spacing w:val="15"/>
                <w:sz w:val="21"/>
              </w:rPr>
              <w:t> </w:t>
            </w:r>
            <w:r>
              <w:rPr>
                <w:color w:val="231F20"/>
                <w:spacing w:val="-2"/>
                <w:sz w:val="21"/>
              </w:rPr>
              <w:t>usage</w:t>
            </w:r>
          </w:p>
        </w:tc>
      </w:tr>
      <w:tr>
        <w:trPr>
          <w:trHeight w:val="302" w:hRule="atLeast"/>
        </w:trPr>
        <w:tc>
          <w:tcPr>
            <w:tcW w:w="1892" w:type="dxa"/>
          </w:tcPr>
          <w:p>
            <w:pPr>
              <w:pStyle w:val="TableParagraph"/>
              <w:spacing w:before="29"/>
              <w:ind w:left="50"/>
              <w:jc w:val="left"/>
              <w:rPr>
                <w:b/>
                <w:sz w:val="21"/>
              </w:rPr>
            </w:pPr>
            <w:r>
              <w:rPr>
                <w:b/>
                <w:color w:val="231F20"/>
                <w:spacing w:val="-2"/>
                <w:sz w:val="21"/>
              </w:rPr>
              <w:t>Loyalty</w:t>
            </w:r>
          </w:p>
        </w:tc>
        <w:tc>
          <w:tcPr>
            <w:tcW w:w="3676" w:type="dxa"/>
          </w:tcPr>
          <w:p>
            <w:pPr>
              <w:pStyle w:val="TableParagraph"/>
              <w:spacing w:before="29"/>
              <w:ind w:left="158"/>
              <w:jc w:val="left"/>
              <w:rPr>
                <w:sz w:val="21"/>
              </w:rPr>
            </w:pPr>
            <w:r>
              <w:rPr>
                <w:color w:val="231F20"/>
                <w:sz w:val="21"/>
              </w:rPr>
              <w:t>Reinforce</w:t>
            </w:r>
            <w:r>
              <w:rPr>
                <w:color w:val="231F20"/>
                <w:spacing w:val="22"/>
                <w:sz w:val="21"/>
              </w:rPr>
              <w:t> </w:t>
            </w:r>
            <w:r>
              <w:rPr>
                <w:color w:val="231F20"/>
                <w:sz w:val="21"/>
              </w:rPr>
              <w:t>brand</w:t>
            </w:r>
            <w:r>
              <w:rPr>
                <w:color w:val="231F20"/>
                <w:spacing w:val="23"/>
                <w:sz w:val="21"/>
              </w:rPr>
              <w:t> </w:t>
            </w:r>
            <w:r>
              <w:rPr>
                <w:color w:val="231F20"/>
                <w:sz w:val="21"/>
              </w:rPr>
              <w:t>or</w:t>
            </w:r>
            <w:r>
              <w:rPr>
                <w:color w:val="231F20"/>
                <w:spacing w:val="22"/>
                <w:sz w:val="21"/>
              </w:rPr>
              <w:t> </w:t>
            </w:r>
            <w:r>
              <w:rPr>
                <w:color w:val="231F20"/>
                <w:sz w:val="21"/>
              </w:rPr>
              <w:t>image,</w:t>
            </w:r>
            <w:r>
              <w:rPr>
                <w:color w:val="231F20"/>
                <w:spacing w:val="23"/>
                <w:sz w:val="21"/>
              </w:rPr>
              <w:t> </w:t>
            </w:r>
            <w:r>
              <w:rPr>
                <w:color w:val="231F20"/>
                <w:spacing w:val="-2"/>
                <w:sz w:val="21"/>
              </w:rPr>
              <w:t>special</w:t>
            </w:r>
          </w:p>
        </w:tc>
      </w:tr>
      <w:tr>
        <w:trPr>
          <w:trHeight w:val="274" w:hRule="atLeast"/>
        </w:trPr>
        <w:tc>
          <w:tcPr>
            <w:tcW w:w="1892" w:type="dxa"/>
          </w:tcPr>
          <w:p>
            <w:pPr>
              <w:pStyle w:val="TableParagraph"/>
              <w:spacing w:before="0"/>
              <w:jc w:val="left"/>
              <w:rPr>
                <w:rFonts w:ascii="Times New Roman"/>
                <w:sz w:val="20"/>
              </w:rPr>
            </w:pPr>
          </w:p>
        </w:tc>
        <w:tc>
          <w:tcPr>
            <w:tcW w:w="3676" w:type="dxa"/>
          </w:tcPr>
          <w:p>
            <w:pPr>
              <w:pStyle w:val="TableParagraph"/>
              <w:spacing w:line="228" w:lineRule="exact" w:before="26"/>
              <w:ind w:left="158"/>
              <w:jc w:val="left"/>
              <w:rPr>
                <w:sz w:val="21"/>
              </w:rPr>
            </w:pPr>
            <w:r>
              <w:rPr>
                <w:color w:val="231F20"/>
                <w:spacing w:val="-2"/>
                <w:sz w:val="21"/>
              </w:rPr>
              <w:t>promotions</w:t>
            </w:r>
          </w:p>
        </w:tc>
      </w:tr>
    </w:tbl>
    <w:p>
      <w:pPr>
        <w:pStyle w:val="BodyText"/>
        <w:spacing w:before="3"/>
        <w:rPr>
          <w:i/>
          <w:sz w:val="30"/>
        </w:rPr>
      </w:pPr>
    </w:p>
    <w:p>
      <w:pPr>
        <w:pStyle w:val="BodyText"/>
        <w:spacing w:line="292" w:lineRule="auto" w:before="1"/>
        <w:ind w:left="830" w:right="754"/>
        <w:jc w:val="both"/>
      </w:pPr>
      <w:r>
        <w:rPr>
          <w:i/>
          <w:color w:val="231F20"/>
        </w:rPr>
        <w:t>Push or Pull Strategy? </w:t>
      </w:r>
      <w:r>
        <w:rPr>
          <w:color w:val="231F20"/>
        </w:rPr>
        <w:t>As with distribution, promotional efforts should be guided by a strategy. </w:t>
      </w:r>
      <w:r>
        <w:rPr>
          <w:i/>
          <w:color w:val="231F20"/>
        </w:rPr>
        <w:t>Pull </w:t>
      </w:r>
      <w:r>
        <w:rPr>
          <w:color w:val="231F20"/>
        </w:rPr>
        <w:t>strategies are those efforts that pull buyers to the outlets that carry your product. TV pitches that instruct viewers “to ask for Perdue chicken by name at your local grocer” </w:t>
      </w:r>
      <w:r>
        <w:rPr>
          <w:i/>
          <w:color w:val="231F20"/>
        </w:rPr>
        <w:t>pull </w:t>
      </w:r>
      <w:r>
        <w:rPr>
          <w:color w:val="231F20"/>
        </w:rPr>
        <w:t>consumers to the stores that carry it. Another </w:t>
      </w:r>
      <w:r>
        <w:rPr>
          <w:color w:val="231F20"/>
        </w:rPr>
        <w:t>impor-</w:t>
      </w:r>
      <w:r>
        <w:rPr>
          <w:color w:val="231F20"/>
          <w:spacing w:val="40"/>
        </w:rPr>
        <w:t> </w:t>
      </w:r>
      <w:r>
        <w:rPr>
          <w:color w:val="231F20"/>
        </w:rPr>
        <w:t>tant mission of promotion is to encourage the distribution channels to stock and sell a product to consumers. Such efforts are a </w:t>
      </w:r>
      <w:r>
        <w:rPr>
          <w:i/>
          <w:color w:val="231F20"/>
        </w:rPr>
        <w:t>push</w:t>
      </w:r>
      <w:r>
        <w:rPr>
          <w:i/>
          <w:color w:val="231F20"/>
        </w:rPr>
        <w:t> </w:t>
      </w:r>
      <w:r>
        <w:rPr>
          <w:color w:val="231F20"/>
        </w:rPr>
        <w:t>strategy. Beer distributors, for instance, spend a great deal of their time trying to court bar owners to stock and promote their brew on tap. Most plans have an element of both push and pull strategies. In the</w:t>
      </w:r>
      <w:r>
        <w:rPr>
          <w:color w:val="231F20"/>
          <w:spacing w:val="-3"/>
        </w:rPr>
        <w:t> </w:t>
      </w:r>
      <w:r>
        <w:rPr>
          <w:color w:val="231F20"/>
        </w:rPr>
        <w:t>beer</w:t>
      </w:r>
      <w:r>
        <w:rPr>
          <w:color w:val="231F20"/>
          <w:spacing w:val="-3"/>
        </w:rPr>
        <w:t> </w:t>
      </w:r>
      <w:r>
        <w:rPr>
          <w:color w:val="231F20"/>
        </w:rPr>
        <w:t>industry</w:t>
      </w:r>
      <w:r>
        <w:rPr>
          <w:color w:val="231F20"/>
          <w:spacing w:val="-3"/>
        </w:rPr>
        <w:t> </w:t>
      </w:r>
      <w:r>
        <w:rPr>
          <w:color w:val="231F20"/>
        </w:rPr>
        <w:t>they</w:t>
      </w:r>
      <w:r>
        <w:rPr>
          <w:color w:val="231F20"/>
          <w:spacing w:val="-3"/>
        </w:rPr>
        <w:t> </w:t>
      </w:r>
      <w:r>
        <w:rPr>
          <w:color w:val="231F20"/>
        </w:rPr>
        <w:t>spend</w:t>
      </w:r>
      <w:r>
        <w:rPr>
          <w:color w:val="231F20"/>
          <w:spacing w:val="-3"/>
        </w:rPr>
        <w:t> </w:t>
      </w:r>
      <w:r>
        <w:rPr>
          <w:color w:val="231F20"/>
        </w:rPr>
        <w:t>heavily</w:t>
      </w:r>
      <w:r>
        <w:rPr>
          <w:color w:val="231F20"/>
          <w:spacing w:val="-3"/>
        </w:rPr>
        <w:t> </w:t>
      </w:r>
      <w:r>
        <w:rPr>
          <w:color w:val="231F20"/>
        </w:rPr>
        <w:t>to</w:t>
      </w:r>
      <w:r>
        <w:rPr>
          <w:color w:val="231F20"/>
          <w:spacing w:val="-3"/>
        </w:rPr>
        <w:t> </w:t>
      </w:r>
      <w:r>
        <w:rPr>
          <w:color w:val="231F20"/>
        </w:rPr>
        <w:t>advertise</w:t>
      </w:r>
      <w:r>
        <w:rPr>
          <w:color w:val="231F20"/>
          <w:spacing w:val="-3"/>
        </w:rPr>
        <w:t> </w:t>
      </w:r>
      <w:r>
        <w:rPr>
          <w:color w:val="231F20"/>
        </w:rPr>
        <w:t>the</w:t>
      </w:r>
      <w:r>
        <w:rPr>
          <w:color w:val="231F20"/>
          <w:spacing w:val="-3"/>
        </w:rPr>
        <w:t> </w:t>
      </w:r>
      <w:r>
        <w:rPr>
          <w:color w:val="231F20"/>
        </w:rPr>
        <w:t>brand</w:t>
      </w:r>
      <w:r>
        <w:rPr>
          <w:color w:val="231F20"/>
          <w:spacing w:val="-3"/>
        </w:rPr>
        <w:t> </w:t>
      </w:r>
      <w:r>
        <w:rPr>
          <w:color w:val="231F20"/>
        </w:rPr>
        <w:t>as</w:t>
      </w:r>
      <w:r>
        <w:rPr>
          <w:color w:val="231F20"/>
          <w:spacing w:val="-3"/>
        </w:rPr>
        <w:t> </w:t>
      </w:r>
      <w:r>
        <w:rPr>
          <w:color w:val="231F20"/>
        </w:rPr>
        <w:t>well</w:t>
      </w:r>
      <w:r>
        <w:rPr>
          <w:color w:val="231F20"/>
          <w:spacing w:val="-3"/>
        </w:rPr>
        <w:t> </w:t>
      </w:r>
      <w:r>
        <w:rPr>
          <w:color w:val="231F20"/>
        </w:rPr>
        <w:t>as to gain greater bar distribution.</w:t>
      </w:r>
    </w:p>
    <w:p>
      <w:pPr>
        <w:pStyle w:val="BodyText"/>
        <w:spacing w:line="292" w:lineRule="auto"/>
        <w:ind w:left="830" w:right="754" w:firstLine="340"/>
        <w:jc w:val="both"/>
      </w:pPr>
      <w:r>
        <w:rPr>
          <w:color w:val="231F20"/>
        </w:rPr>
        <w:t>To</w:t>
      </w:r>
      <w:r>
        <w:rPr>
          <w:color w:val="231F20"/>
          <w:spacing w:val="40"/>
        </w:rPr>
        <w:t> </w:t>
      </w:r>
      <w:r>
        <w:rPr>
          <w:color w:val="231F20"/>
        </w:rPr>
        <w:t>pull</w:t>
      </w:r>
      <w:r>
        <w:rPr>
          <w:color w:val="231F20"/>
          <w:spacing w:val="40"/>
        </w:rPr>
        <w:t> </w:t>
      </w:r>
      <w:r>
        <w:rPr>
          <w:color w:val="231F20"/>
        </w:rPr>
        <w:t>buyers</w:t>
      </w:r>
      <w:r>
        <w:rPr>
          <w:color w:val="231F20"/>
          <w:spacing w:val="40"/>
        </w:rPr>
        <w:t> </w:t>
      </w:r>
      <w:r>
        <w:rPr>
          <w:color w:val="231F20"/>
        </w:rPr>
        <w:t>to</w:t>
      </w:r>
      <w:r>
        <w:rPr>
          <w:color w:val="231F20"/>
          <w:spacing w:val="40"/>
        </w:rPr>
        <w:t> </w:t>
      </w:r>
      <w:r>
        <w:rPr>
          <w:color w:val="231F20"/>
        </w:rPr>
        <w:t>a</w:t>
      </w:r>
      <w:r>
        <w:rPr>
          <w:color w:val="231F20"/>
          <w:spacing w:val="40"/>
        </w:rPr>
        <w:t> </w:t>
      </w:r>
      <w:r>
        <w:rPr>
          <w:color w:val="231F20"/>
        </w:rPr>
        <w:t>store</w:t>
      </w:r>
      <w:r>
        <w:rPr>
          <w:color w:val="231F20"/>
          <w:spacing w:val="40"/>
        </w:rPr>
        <w:t> </w:t>
      </w:r>
      <w:r>
        <w:rPr>
          <w:color w:val="231F20"/>
        </w:rPr>
        <w:t>or</w:t>
      </w:r>
      <w:r>
        <w:rPr>
          <w:color w:val="231F20"/>
          <w:spacing w:val="40"/>
        </w:rPr>
        <w:t> </w:t>
      </w:r>
      <w:r>
        <w:rPr>
          <w:color w:val="231F20"/>
        </w:rPr>
        <w:t>to</w:t>
      </w:r>
      <w:r>
        <w:rPr>
          <w:color w:val="231F20"/>
          <w:spacing w:val="40"/>
        </w:rPr>
        <w:t> </w:t>
      </w:r>
      <w:r>
        <w:rPr>
          <w:color w:val="231F20"/>
        </w:rPr>
        <w:t>push</w:t>
      </w:r>
      <w:r>
        <w:rPr>
          <w:color w:val="231F20"/>
          <w:spacing w:val="40"/>
        </w:rPr>
        <w:t> </w:t>
      </w:r>
      <w:r>
        <w:rPr>
          <w:color w:val="231F20"/>
        </w:rPr>
        <w:t>the</w:t>
      </w:r>
      <w:r>
        <w:rPr>
          <w:color w:val="231F20"/>
          <w:spacing w:val="40"/>
        </w:rPr>
        <w:t> </w:t>
      </w:r>
      <w:r>
        <w:rPr>
          <w:color w:val="231F20"/>
        </w:rPr>
        <w:t>distribution</w:t>
      </w:r>
      <w:r>
        <w:rPr>
          <w:color w:val="231F20"/>
          <w:spacing w:val="40"/>
        </w:rPr>
        <w:t> </w:t>
      </w:r>
      <w:r>
        <w:rPr>
          <w:color w:val="231F20"/>
        </w:rPr>
        <w:t>channel to stock and sell, there are five general categories of promotional </w:t>
      </w:r>
      <w:r>
        <w:rPr>
          <w:color w:val="231F20"/>
          <w:spacing w:val="-2"/>
        </w:rPr>
        <w:t>efforts:</w:t>
      </w:r>
    </w:p>
    <w:p>
      <w:pPr>
        <w:pStyle w:val="BodyText"/>
        <w:spacing w:before="10"/>
        <w:rPr>
          <w:sz w:val="26"/>
        </w:rPr>
      </w:pPr>
    </w:p>
    <w:p>
      <w:pPr>
        <w:spacing w:line="328" w:lineRule="auto" w:before="1"/>
        <w:ind w:left="1170" w:right="4813" w:firstLine="0"/>
        <w:jc w:val="left"/>
        <w:rPr>
          <w:rFonts w:ascii="Arial"/>
          <w:sz w:val="19"/>
        </w:rPr>
      </w:pPr>
      <w:r>
        <w:rPr>
          <w:rFonts w:ascii="Arial"/>
          <w:color w:val="231F20"/>
          <w:spacing w:val="-2"/>
          <w:w w:val="110"/>
          <w:sz w:val="19"/>
        </w:rPr>
        <w:t>Advertising </w:t>
      </w:r>
      <w:r>
        <w:rPr>
          <w:rFonts w:ascii="Arial"/>
          <w:color w:val="231F20"/>
          <w:w w:val="110"/>
          <w:sz w:val="19"/>
        </w:rPr>
        <w:t>Personal Selling </w:t>
      </w:r>
      <w:r>
        <w:rPr>
          <w:rFonts w:ascii="Arial"/>
          <w:color w:val="231F20"/>
          <w:w w:val="105"/>
          <w:sz w:val="19"/>
        </w:rPr>
        <w:t>Sales</w:t>
      </w:r>
      <w:r>
        <w:rPr>
          <w:rFonts w:ascii="Arial"/>
          <w:color w:val="231F20"/>
          <w:spacing w:val="-3"/>
          <w:w w:val="105"/>
          <w:sz w:val="19"/>
        </w:rPr>
        <w:t> </w:t>
      </w:r>
      <w:r>
        <w:rPr>
          <w:rFonts w:ascii="Arial"/>
          <w:color w:val="231F20"/>
          <w:spacing w:val="-2"/>
          <w:w w:val="110"/>
          <w:sz w:val="19"/>
        </w:rPr>
        <w:t>Promotion</w:t>
      </w:r>
    </w:p>
    <w:p>
      <w:pPr>
        <w:spacing w:after="0" w:line="328" w:lineRule="auto"/>
        <w:jc w:val="left"/>
        <w:rPr>
          <w:rFonts w:ascii="Arial"/>
          <w:sz w:val="19"/>
        </w:rPr>
        <w:sectPr>
          <w:pgSz w:w="8640" w:h="12960"/>
          <w:pgMar w:header="732" w:footer="0" w:top="920" w:bottom="280" w:left="340" w:right="500"/>
        </w:sectPr>
      </w:pPr>
    </w:p>
    <w:p>
      <w:pPr>
        <w:pStyle w:val="BodyText"/>
        <w:spacing w:before="6"/>
        <w:rPr>
          <w:rFonts w:ascii="Arial"/>
          <w:sz w:val="19"/>
        </w:rPr>
      </w:pPr>
    </w:p>
    <w:p>
      <w:pPr>
        <w:spacing w:line="328" w:lineRule="auto" w:before="97"/>
        <w:ind w:left="1260" w:right="3699" w:firstLine="0"/>
        <w:jc w:val="left"/>
        <w:rPr>
          <w:rFonts w:ascii="Arial"/>
          <w:sz w:val="19"/>
        </w:rPr>
      </w:pPr>
      <w:r>
        <w:rPr>
          <w:rFonts w:ascii="Arial"/>
          <w:color w:val="231F20"/>
          <w:w w:val="115"/>
          <w:sz w:val="19"/>
        </w:rPr>
        <w:t>Public</w:t>
      </w:r>
      <w:r>
        <w:rPr>
          <w:rFonts w:ascii="Arial"/>
          <w:color w:val="231F20"/>
          <w:spacing w:val="-16"/>
          <w:w w:val="115"/>
          <w:sz w:val="19"/>
        </w:rPr>
        <w:t> </w:t>
      </w:r>
      <w:r>
        <w:rPr>
          <w:rFonts w:ascii="Arial"/>
          <w:color w:val="231F20"/>
          <w:w w:val="115"/>
          <w:sz w:val="19"/>
        </w:rPr>
        <w:t>Relations</w:t>
      </w:r>
      <w:r>
        <w:rPr>
          <w:rFonts w:ascii="Arial"/>
          <w:color w:val="231F20"/>
          <w:spacing w:val="-15"/>
          <w:w w:val="115"/>
          <w:sz w:val="19"/>
        </w:rPr>
        <w:t> </w:t>
      </w:r>
      <w:r>
        <w:rPr>
          <w:rFonts w:ascii="Arial"/>
          <w:color w:val="231F20"/>
          <w:w w:val="115"/>
          <w:sz w:val="19"/>
        </w:rPr>
        <w:t>and</w:t>
      </w:r>
      <w:r>
        <w:rPr>
          <w:rFonts w:ascii="Arial"/>
          <w:color w:val="231F20"/>
          <w:spacing w:val="-15"/>
          <w:w w:val="115"/>
          <w:sz w:val="19"/>
        </w:rPr>
        <w:t> </w:t>
      </w:r>
      <w:r>
        <w:rPr>
          <w:rFonts w:ascii="Arial"/>
          <w:color w:val="231F20"/>
          <w:w w:val="115"/>
          <w:sz w:val="19"/>
        </w:rPr>
        <w:t>Publicity Direct Selling</w:t>
      </w:r>
    </w:p>
    <w:p>
      <w:pPr>
        <w:pStyle w:val="BodyText"/>
        <w:spacing w:before="4"/>
        <w:rPr>
          <w:rFonts w:ascii="Arial"/>
          <w:sz w:val="24"/>
        </w:rPr>
      </w:pPr>
    </w:p>
    <w:p>
      <w:pPr>
        <w:pStyle w:val="BodyText"/>
        <w:spacing w:line="292" w:lineRule="auto"/>
        <w:ind w:left="920" w:right="666"/>
        <w:jc w:val="both"/>
      </w:pPr>
      <w:r>
        <w:rPr>
          <w:b/>
          <w:i/>
          <w:color w:val="231F20"/>
        </w:rPr>
        <w:t>Advertising </w:t>
      </w:r>
      <w:r>
        <w:rPr>
          <w:color w:val="231F20"/>
        </w:rPr>
        <w:t>Advertising takes many forms: television, radio, out- door (billboard), magazines, keyword Internet search, banner ads, pop-ups, e-mail, and newspaper. Two important things to keep in mind are your intended mission and the quantitative </w:t>
      </w:r>
      <w:r>
        <w:rPr>
          <w:color w:val="231F20"/>
        </w:rPr>
        <w:t>measurement</w:t>
      </w:r>
      <w:r>
        <w:rPr>
          <w:color w:val="231F20"/>
          <w:spacing w:val="40"/>
        </w:rPr>
        <w:t> </w:t>
      </w:r>
      <w:r>
        <w:rPr>
          <w:color w:val="231F20"/>
        </w:rPr>
        <w:t>of exposure required to accomplish it.</w:t>
      </w:r>
    </w:p>
    <w:p>
      <w:pPr>
        <w:pStyle w:val="BodyText"/>
        <w:spacing w:line="292" w:lineRule="auto"/>
        <w:ind w:left="919" w:right="666" w:firstLine="340"/>
        <w:jc w:val="both"/>
      </w:pPr>
      <w:r>
        <w:rPr>
          <w:color w:val="231F20"/>
        </w:rPr>
        <w:t>Please pay attention to the following measurement </w:t>
      </w:r>
      <w:r>
        <w:rPr>
          <w:color w:val="231F20"/>
        </w:rPr>
        <w:t>vocabulary. This</w:t>
      </w:r>
      <w:r>
        <w:rPr>
          <w:color w:val="231F20"/>
          <w:spacing w:val="33"/>
        </w:rPr>
        <w:t> </w:t>
      </w:r>
      <w:r>
        <w:rPr>
          <w:color w:val="231F20"/>
        </w:rPr>
        <w:t>is</w:t>
      </w:r>
      <w:r>
        <w:rPr>
          <w:color w:val="231F20"/>
          <w:spacing w:val="33"/>
        </w:rPr>
        <w:t> </w:t>
      </w:r>
      <w:r>
        <w:rPr>
          <w:color w:val="231F20"/>
        </w:rPr>
        <w:t>what</w:t>
      </w:r>
      <w:r>
        <w:rPr>
          <w:color w:val="231F20"/>
          <w:spacing w:val="33"/>
        </w:rPr>
        <w:t> </w:t>
      </w:r>
      <w:r>
        <w:rPr>
          <w:color w:val="231F20"/>
        </w:rPr>
        <w:t>you</w:t>
      </w:r>
      <w:r>
        <w:rPr>
          <w:color w:val="231F20"/>
          <w:spacing w:val="33"/>
        </w:rPr>
        <w:t> </w:t>
      </w:r>
      <w:r>
        <w:rPr>
          <w:color w:val="231F20"/>
        </w:rPr>
        <w:t>pay</w:t>
      </w:r>
      <w:r>
        <w:rPr>
          <w:color w:val="231F20"/>
          <w:spacing w:val="33"/>
        </w:rPr>
        <w:t> </w:t>
      </w:r>
      <w:r>
        <w:rPr>
          <w:color w:val="231F20"/>
        </w:rPr>
        <w:t>for</w:t>
      </w:r>
      <w:r>
        <w:rPr>
          <w:color w:val="231F20"/>
          <w:spacing w:val="33"/>
        </w:rPr>
        <w:t> </w:t>
      </w:r>
      <w:r>
        <w:rPr>
          <w:color w:val="231F20"/>
        </w:rPr>
        <w:t>when</w:t>
      </w:r>
      <w:r>
        <w:rPr>
          <w:color w:val="231F20"/>
          <w:spacing w:val="33"/>
        </w:rPr>
        <w:t> </w:t>
      </w:r>
      <w:r>
        <w:rPr>
          <w:color w:val="231F20"/>
        </w:rPr>
        <w:t>you</w:t>
      </w:r>
      <w:r>
        <w:rPr>
          <w:color w:val="231F20"/>
          <w:spacing w:val="33"/>
        </w:rPr>
        <w:t> </w:t>
      </w:r>
      <w:r>
        <w:rPr>
          <w:color w:val="231F20"/>
        </w:rPr>
        <w:t>buy</w:t>
      </w:r>
      <w:r>
        <w:rPr>
          <w:color w:val="231F20"/>
          <w:spacing w:val="33"/>
        </w:rPr>
        <w:t> </w:t>
      </w:r>
      <w:r>
        <w:rPr>
          <w:color w:val="231F20"/>
        </w:rPr>
        <w:t>advertising.</w:t>
      </w:r>
      <w:r>
        <w:rPr>
          <w:color w:val="231F20"/>
          <w:spacing w:val="33"/>
        </w:rPr>
        <w:t> </w:t>
      </w:r>
      <w:r>
        <w:rPr>
          <w:color w:val="231F20"/>
        </w:rPr>
        <w:t>The</w:t>
      </w:r>
      <w:r>
        <w:rPr>
          <w:color w:val="231F20"/>
          <w:spacing w:val="33"/>
        </w:rPr>
        <w:t> </w:t>
      </w:r>
      <w:r>
        <w:rPr>
          <w:color w:val="231F20"/>
        </w:rPr>
        <w:t>tendency for the uninitiated is to listen to the ad world’s babble, not under- stand it, and buy their wares anyway. Buying advertising is just like buying marketing research—</w:t>
      </w:r>
      <w:r>
        <w:rPr>
          <w:color w:val="231F20"/>
          <w:spacing w:val="-12"/>
        </w:rPr>
        <w:t> </w:t>
      </w:r>
      <w:r>
        <w:rPr>
          <w:color w:val="231F20"/>
        </w:rPr>
        <w:t>know what and why you are buying— buyer beware.</w:t>
      </w:r>
    </w:p>
    <w:p>
      <w:pPr>
        <w:pStyle w:val="BodyText"/>
        <w:spacing w:line="290" w:lineRule="auto"/>
        <w:ind w:left="919" w:right="663" w:firstLine="340"/>
        <w:jc w:val="both"/>
      </w:pPr>
      <w:r>
        <w:rPr>
          <w:i/>
          <w:color w:val="231F20"/>
        </w:rPr>
        <w:t>Reach </w:t>
      </w:r>
      <w:r>
        <w:rPr>
          <w:color w:val="231F20"/>
        </w:rPr>
        <w:t>and </w:t>
      </w:r>
      <w:r>
        <w:rPr>
          <w:i/>
          <w:color w:val="231F20"/>
        </w:rPr>
        <w:t>frequency </w:t>
      </w:r>
      <w:r>
        <w:rPr>
          <w:color w:val="231F20"/>
        </w:rPr>
        <w:t>are key quantitative measurements of</w:t>
      </w:r>
      <w:r>
        <w:rPr>
          <w:color w:val="231F20"/>
          <w:spacing w:val="80"/>
        </w:rPr>
        <w:t> </w:t>
      </w:r>
      <w:r>
        <w:rPr>
          <w:color w:val="231F20"/>
        </w:rPr>
        <w:t>media goals. Reach is the percentage of the target market who see and</w:t>
      </w:r>
      <w:r>
        <w:rPr>
          <w:color w:val="231F20"/>
          <w:spacing w:val="-1"/>
        </w:rPr>
        <w:t> </w:t>
      </w:r>
      <w:r>
        <w:rPr>
          <w:color w:val="231F20"/>
        </w:rPr>
        <w:t>hear</w:t>
      </w:r>
      <w:r>
        <w:rPr>
          <w:color w:val="231F20"/>
          <w:spacing w:val="-1"/>
        </w:rPr>
        <w:t> </w:t>
      </w:r>
      <w:r>
        <w:rPr>
          <w:color w:val="231F20"/>
        </w:rPr>
        <w:t>your</w:t>
      </w:r>
      <w:r>
        <w:rPr>
          <w:color w:val="231F20"/>
          <w:spacing w:val="-1"/>
        </w:rPr>
        <w:t> </w:t>
      </w:r>
      <w:r>
        <w:rPr>
          <w:color w:val="231F20"/>
        </w:rPr>
        <w:t>promotion</w:t>
      </w:r>
      <w:r>
        <w:rPr>
          <w:color w:val="231F20"/>
          <w:spacing w:val="-1"/>
        </w:rPr>
        <w:t> </w:t>
      </w:r>
      <w:r>
        <w:rPr>
          <w:color w:val="231F20"/>
        </w:rPr>
        <w:t>or</w:t>
      </w:r>
      <w:r>
        <w:rPr>
          <w:color w:val="231F20"/>
          <w:spacing w:val="-1"/>
        </w:rPr>
        <w:t> </w:t>
      </w:r>
      <w:r>
        <w:rPr>
          <w:color w:val="231F20"/>
        </w:rPr>
        <w:t>advertisement.</w:t>
      </w:r>
      <w:r>
        <w:rPr>
          <w:color w:val="231F20"/>
          <w:spacing w:val="-1"/>
        </w:rPr>
        <w:t> </w:t>
      </w:r>
      <w:r>
        <w:rPr>
          <w:color w:val="231F20"/>
        </w:rPr>
        <w:t>Frequency</w:t>
      </w:r>
      <w:r>
        <w:rPr>
          <w:color w:val="231F20"/>
          <w:spacing w:val="-1"/>
        </w:rPr>
        <w:t> </w:t>
      </w:r>
      <w:r>
        <w:rPr>
          <w:color w:val="231F20"/>
        </w:rPr>
        <w:t>is</w:t>
      </w:r>
      <w:r>
        <w:rPr>
          <w:color w:val="231F20"/>
          <w:spacing w:val="-1"/>
        </w:rPr>
        <w:t> </w:t>
      </w:r>
      <w:r>
        <w:rPr>
          <w:color w:val="231F20"/>
        </w:rPr>
        <w:t>the</w:t>
      </w:r>
      <w:r>
        <w:rPr>
          <w:color w:val="231F20"/>
          <w:spacing w:val="-1"/>
        </w:rPr>
        <w:t> </w:t>
      </w:r>
      <w:r>
        <w:rPr>
          <w:color w:val="231F20"/>
        </w:rPr>
        <w:t>number of times they saw or heard it. Marketers refer to the number of times a person is exposed to a message as the total </w:t>
      </w:r>
      <w:r>
        <w:rPr>
          <w:i/>
          <w:color w:val="231F20"/>
        </w:rPr>
        <w:t>impressions </w:t>
      </w:r>
      <w:r>
        <w:rPr>
          <w:color w:val="231F20"/>
        </w:rPr>
        <w:t>made on that audience. Because of the buying behavior associated with differ- ent</w:t>
      </w:r>
      <w:r>
        <w:rPr>
          <w:color w:val="231F20"/>
          <w:spacing w:val="36"/>
        </w:rPr>
        <w:t> </w:t>
      </w:r>
      <w:r>
        <w:rPr>
          <w:color w:val="231F20"/>
        </w:rPr>
        <w:t>products,</w:t>
      </w:r>
      <w:r>
        <w:rPr>
          <w:color w:val="231F20"/>
          <w:spacing w:val="36"/>
        </w:rPr>
        <w:t> </w:t>
      </w:r>
      <w:r>
        <w:rPr>
          <w:color w:val="231F20"/>
        </w:rPr>
        <w:t>different</w:t>
      </w:r>
      <w:r>
        <w:rPr>
          <w:color w:val="231F20"/>
          <w:spacing w:val="36"/>
        </w:rPr>
        <w:t> </w:t>
      </w:r>
      <w:r>
        <w:rPr>
          <w:color w:val="231F20"/>
        </w:rPr>
        <w:t>mixes</w:t>
      </w:r>
      <w:r>
        <w:rPr>
          <w:color w:val="231F20"/>
          <w:spacing w:val="36"/>
        </w:rPr>
        <w:t> </w:t>
      </w:r>
      <w:r>
        <w:rPr>
          <w:color w:val="231F20"/>
        </w:rPr>
        <w:t>of</w:t>
      </w:r>
      <w:r>
        <w:rPr>
          <w:color w:val="231F20"/>
          <w:spacing w:val="36"/>
        </w:rPr>
        <w:t> </w:t>
      </w:r>
      <w:r>
        <w:rPr>
          <w:color w:val="231F20"/>
        </w:rPr>
        <w:t>reach</w:t>
      </w:r>
      <w:r>
        <w:rPr>
          <w:color w:val="231F20"/>
          <w:spacing w:val="36"/>
        </w:rPr>
        <w:t> </w:t>
      </w:r>
      <w:r>
        <w:rPr>
          <w:color w:val="231F20"/>
        </w:rPr>
        <w:t>and</w:t>
      </w:r>
      <w:r>
        <w:rPr>
          <w:color w:val="231F20"/>
          <w:spacing w:val="36"/>
        </w:rPr>
        <w:t> </w:t>
      </w:r>
      <w:r>
        <w:rPr>
          <w:color w:val="231F20"/>
        </w:rPr>
        <w:t>frequency</w:t>
      </w:r>
      <w:r>
        <w:rPr>
          <w:color w:val="231F20"/>
          <w:spacing w:val="36"/>
        </w:rPr>
        <w:t> </w:t>
      </w:r>
      <w:r>
        <w:rPr>
          <w:color w:val="231F20"/>
        </w:rPr>
        <w:t>are</w:t>
      </w:r>
      <w:r>
        <w:rPr>
          <w:color w:val="231F20"/>
          <w:spacing w:val="36"/>
        </w:rPr>
        <w:t> </w:t>
      </w:r>
      <w:r>
        <w:rPr>
          <w:color w:val="231F20"/>
        </w:rPr>
        <w:t>required to</w:t>
      </w:r>
      <w:r>
        <w:rPr>
          <w:color w:val="231F20"/>
          <w:spacing w:val="40"/>
        </w:rPr>
        <w:t> </w:t>
      </w:r>
      <w:r>
        <w:rPr>
          <w:color w:val="231F20"/>
        </w:rPr>
        <w:t>induce</w:t>
      </w:r>
      <w:r>
        <w:rPr>
          <w:color w:val="231F20"/>
          <w:spacing w:val="40"/>
        </w:rPr>
        <w:t> </w:t>
      </w:r>
      <w:r>
        <w:rPr>
          <w:color w:val="231F20"/>
        </w:rPr>
        <w:t>purchase.</w:t>
      </w:r>
      <w:r>
        <w:rPr>
          <w:color w:val="231F20"/>
          <w:spacing w:val="40"/>
        </w:rPr>
        <w:t> </w:t>
      </w:r>
      <w:r>
        <w:rPr>
          <w:color w:val="231F20"/>
        </w:rPr>
        <w:t>When</w:t>
      </w:r>
      <w:r>
        <w:rPr>
          <w:color w:val="231F20"/>
          <w:spacing w:val="40"/>
        </w:rPr>
        <w:t> </w:t>
      </w:r>
      <w:r>
        <w:rPr>
          <w:color w:val="231F20"/>
        </w:rPr>
        <w:t>multiplied,</w:t>
      </w:r>
      <w:r>
        <w:rPr>
          <w:color w:val="231F20"/>
          <w:spacing w:val="40"/>
        </w:rPr>
        <w:t> </w:t>
      </w:r>
      <w:r>
        <w:rPr>
          <w:color w:val="231F20"/>
        </w:rPr>
        <w:t>Reach</w:t>
      </w:r>
      <w:r>
        <w:rPr>
          <w:color w:val="231F20"/>
          <w:spacing w:val="40"/>
        </w:rPr>
        <w:t> </w:t>
      </w:r>
      <w:r>
        <w:rPr>
          <w:rFonts w:ascii="Symbol" w:hAnsi="Symbol"/>
          <w:color w:val="231F20"/>
        </w:rPr>
        <w:t></w:t>
      </w:r>
      <w:r>
        <w:rPr>
          <w:rFonts w:ascii="Times New Roman" w:hAnsi="Times New Roman"/>
          <w:color w:val="231F20"/>
          <w:spacing w:val="40"/>
        </w:rPr>
        <w:t> </w:t>
      </w:r>
      <w:r>
        <w:rPr>
          <w:color w:val="231F20"/>
        </w:rPr>
        <w:t>Frequency</w:t>
      </w:r>
      <w:r>
        <w:rPr>
          <w:color w:val="231F20"/>
          <w:spacing w:val="40"/>
        </w:rPr>
        <w:t> </w:t>
      </w:r>
      <w:r>
        <w:rPr>
          <w:color w:val="231F20"/>
        </w:rPr>
        <w:t>equals</w:t>
      </w:r>
      <w:r>
        <w:rPr>
          <w:color w:val="231F20"/>
          <w:spacing w:val="80"/>
        </w:rPr>
        <w:t> </w:t>
      </w:r>
      <w:r>
        <w:rPr>
          <w:color w:val="231F20"/>
        </w:rPr>
        <w:t>a</w:t>
      </w:r>
      <w:r>
        <w:rPr>
          <w:color w:val="231F20"/>
          <w:spacing w:val="40"/>
        </w:rPr>
        <w:t> </w:t>
      </w:r>
      <w:r>
        <w:rPr>
          <w:color w:val="231F20"/>
        </w:rPr>
        <w:t>measure</w:t>
      </w:r>
      <w:r>
        <w:rPr>
          <w:color w:val="231F20"/>
          <w:spacing w:val="40"/>
        </w:rPr>
        <w:t> </w:t>
      </w:r>
      <w:r>
        <w:rPr>
          <w:color w:val="231F20"/>
        </w:rPr>
        <w:t>called</w:t>
      </w:r>
      <w:r>
        <w:rPr>
          <w:color w:val="231F20"/>
          <w:spacing w:val="40"/>
        </w:rPr>
        <w:t> </w:t>
      </w:r>
      <w:r>
        <w:rPr>
          <w:i/>
          <w:color w:val="231F20"/>
        </w:rPr>
        <w:t>gross</w:t>
      </w:r>
      <w:r>
        <w:rPr>
          <w:i/>
          <w:color w:val="231F20"/>
          <w:spacing w:val="40"/>
        </w:rPr>
        <w:t> </w:t>
      </w:r>
      <w:r>
        <w:rPr>
          <w:i/>
          <w:color w:val="231F20"/>
        </w:rPr>
        <w:t>rating</w:t>
      </w:r>
      <w:r>
        <w:rPr>
          <w:i/>
          <w:color w:val="231F20"/>
          <w:spacing w:val="40"/>
        </w:rPr>
        <w:t> </w:t>
      </w:r>
      <w:r>
        <w:rPr>
          <w:i/>
          <w:color w:val="231F20"/>
        </w:rPr>
        <w:t>points</w:t>
      </w:r>
      <w:r>
        <w:rPr>
          <w:i/>
          <w:color w:val="231F20"/>
          <w:spacing w:val="40"/>
        </w:rPr>
        <w:t> </w:t>
      </w:r>
      <w:r>
        <w:rPr>
          <w:color w:val="231F20"/>
        </w:rPr>
        <w:t>(GRPs).</w:t>
      </w:r>
      <w:r>
        <w:rPr>
          <w:color w:val="231F20"/>
          <w:spacing w:val="40"/>
        </w:rPr>
        <w:t> </w:t>
      </w:r>
      <w:r>
        <w:rPr>
          <w:color w:val="231F20"/>
        </w:rPr>
        <w:t>Add</w:t>
      </w:r>
      <w:r>
        <w:rPr>
          <w:color w:val="231F20"/>
          <w:spacing w:val="40"/>
        </w:rPr>
        <w:t> </w:t>
      </w:r>
      <w:r>
        <w:rPr>
          <w:color w:val="231F20"/>
        </w:rPr>
        <w:t>the</w:t>
      </w:r>
      <w:r>
        <w:rPr>
          <w:color w:val="231F20"/>
          <w:spacing w:val="40"/>
        </w:rPr>
        <w:t> </w:t>
      </w:r>
      <w:r>
        <w:rPr>
          <w:color w:val="231F20"/>
        </w:rPr>
        <w:t>GRPs</w:t>
      </w:r>
      <w:r>
        <w:rPr>
          <w:color w:val="231F20"/>
          <w:spacing w:val="40"/>
        </w:rPr>
        <w:t> </w:t>
      </w:r>
      <w:r>
        <w:rPr>
          <w:color w:val="231F20"/>
        </w:rPr>
        <w:t>to- gether and you get </w:t>
      </w:r>
      <w:r>
        <w:rPr>
          <w:i/>
          <w:color w:val="231F20"/>
        </w:rPr>
        <w:t>total rating points </w:t>
      </w:r>
      <w:r>
        <w:rPr>
          <w:color w:val="231F20"/>
        </w:rPr>
        <w:t>(TRPs). GRP and TRP are the measures by which radio, TV, and outdoor advertising is sold and </w:t>
      </w:r>
      <w:r>
        <w:rPr>
          <w:color w:val="231F20"/>
          <w:spacing w:val="-2"/>
        </w:rPr>
        <w:t>purchased.</w:t>
      </w:r>
    </w:p>
    <w:p>
      <w:pPr>
        <w:pStyle w:val="BodyText"/>
        <w:spacing w:line="292" w:lineRule="auto" w:before="8"/>
        <w:ind w:left="920" w:right="663" w:firstLine="340"/>
        <w:jc w:val="both"/>
      </w:pPr>
      <w:r>
        <w:rPr>
          <w:color w:val="231F20"/>
        </w:rPr>
        <w:t>The desired demographics and segmentation variables of the au- diences delivered also enter prominently into the equation. A TV station’s regional golf program that delivers active, middle-aged golfing males with incomes over $100,000 in the Southwest could efficiently be used to advertise a variety of products. A TV program that attracts a muddled mix of demographic audiences is less </w:t>
      </w:r>
      <w:r>
        <w:rPr>
          <w:color w:val="231F20"/>
        </w:rPr>
        <w:t>valu- able per audience member. Even if you have the right media vehicle, scheduling is key in reaching your target.</w:t>
      </w:r>
    </w:p>
    <w:p>
      <w:pPr>
        <w:pStyle w:val="BodyText"/>
        <w:spacing w:line="292" w:lineRule="auto"/>
        <w:ind w:left="920" w:right="666" w:firstLine="340"/>
        <w:jc w:val="both"/>
      </w:pPr>
      <w:r>
        <w:rPr>
          <w:color w:val="231F20"/>
        </w:rPr>
        <w:t>High GRPs do not guarantee sales. The message delivered is also</w:t>
      </w:r>
      <w:r>
        <w:rPr>
          <w:color w:val="231F20"/>
          <w:spacing w:val="40"/>
        </w:rPr>
        <w:t> </w:t>
      </w:r>
      <w:r>
        <w:rPr>
          <w:color w:val="231F20"/>
        </w:rPr>
        <w:t>a</w:t>
      </w:r>
      <w:r>
        <w:rPr>
          <w:color w:val="231F20"/>
          <w:spacing w:val="32"/>
        </w:rPr>
        <w:t> </w:t>
      </w:r>
      <w:r>
        <w:rPr>
          <w:color w:val="231F20"/>
        </w:rPr>
        <w:t>key</w:t>
      </w:r>
      <w:r>
        <w:rPr>
          <w:color w:val="231F20"/>
          <w:spacing w:val="33"/>
        </w:rPr>
        <w:t> </w:t>
      </w:r>
      <w:r>
        <w:rPr>
          <w:color w:val="231F20"/>
        </w:rPr>
        <w:t>determinant.</w:t>
      </w:r>
      <w:r>
        <w:rPr>
          <w:color w:val="231F20"/>
          <w:spacing w:val="33"/>
        </w:rPr>
        <w:t> </w:t>
      </w:r>
      <w:r>
        <w:rPr>
          <w:color w:val="231F20"/>
        </w:rPr>
        <w:t>When</w:t>
      </w:r>
      <w:r>
        <w:rPr>
          <w:color w:val="231F20"/>
          <w:spacing w:val="33"/>
        </w:rPr>
        <w:t> </w:t>
      </w:r>
      <w:r>
        <w:rPr>
          <w:color w:val="231F20"/>
        </w:rPr>
        <w:t>advertising</w:t>
      </w:r>
      <w:r>
        <w:rPr>
          <w:color w:val="231F20"/>
          <w:spacing w:val="33"/>
        </w:rPr>
        <w:t> </w:t>
      </w:r>
      <w:r>
        <w:rPr>
          <w:color w:val="231F20"/>
        </w:rPr>
        <w:t>people</w:t>
      </w:r>
      <w:r>
        <w:rPr>
          <w:color w:val="231F20"/>
          <w:spacing w:val="33"/>
        </w:rPr>
        <w:t> </w:t>
      </w:r>
      <w:r>
        <w:rPr>
          <w:color w:val="231F20"/>
        </w:rPr>
        <w:t>refer</w:t>
      </w:r>
      <w:r>
        <w:rPr>
          <w:color w:val="231F20"/>
          <w:spacing w:val="33"/>
        </w:rPr>
        <w:t> </w:t>
      </w:r>
      <w:r>
        <w:rPr>
          <w:color w:val="231F20"/>
        </w:rPr>
        <w:t>to</w:t>
      </w:r>
      <w:r>
        <w:rPr>
          <w:color w:val="231F20"/>
          <w:spacing w:val="33"/>
        </w:rPr>
        <w:t> </w:t>
      </w:r>
      <w:r>
        <w:rPr>
          <w:color w:val="231F20"/>
        </w:rPr>
        <w:t>the</w:t>
      </w:r>
      <w:r>
        <w:rPr>
          <w:color w:val="231F20"/>
          <w:spacing w:val="33"/>
        </w:rPr>
        <w:t> </w:t>
      </w:r>
      <w:r>
        <w:rPr>
          <w:color w:val="231F20"/>
          <w:spacing w:val="-2"/>
        </w:rPr>
        <w:t>message,</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29" w:right="758"/>
        <w:jc w:val="both"/>
        <w:rPr>
          <w:i/>
        </w:rPr>
      </w:pPr>
      <w:r>
        <w:rPr>
          <w:color w:val="231F20"/>
        </w:rPr>
        <w:t>copy (wording), or layout of advertising, they call it the </w:t>
      </w:r>
      <w:r>
        <w:rPr>
          <w:i/>
          <w:color w:val="231F20"/>
        </w:rPr>
        <w:t>creative, </w:t>
      </w:r>
      <w:r>
        <w:rPr>
          <w:color w:val="231F20"/>
        </w:rPr>
        <w:t>a noun. Ad agency people who develop the ideas are called </w:t>
      </w:r>
      <w:r>
        <w:rPr>
          <w:i/>
          <w:color w:val="231F20"/>
        </w:rPr>
        <w:t>creatives.</w:t>
      </w:r>
    </w:p>
    <w:p>
      <w:pPr>
        <w:pStyle w:val="BodyText"/>
        <w:spacing w:line="292" w:lineRule="auto"/>
        <w:ind w:left="830" w:right="753" w:firstLine="340"/>
        <w:jc w:val="both"/>
      </w:pPr>
      <w:r>
        <w:rPr>
          <w:color w:val="231F20"/>
        </w:rPr>
        <w:t>Magazine and newspaper advertising is purchased based on the size and segmentation variables of their circulations. Magazines</w:t>
      </w:r>
      <w:r>
        <w:rPr>
          <w:color w:val="231F20"/>
          <w:spacing w:val="80"/>
          <w:w w:val="150"/>
        </w:rPr>
        <w:t> </w:t>
      </w:r>
      <w:r>
        <w:rPr>
          <w:color w:val="231F20"/>
        </w:rPr>
        <w:t>have a longer shelf life, but newspapers deliver a much more </w:t>
      </w:r>
      <w:r>
        <w:rPr>
          <w:color w:val="231F20"/>
        </w:rPr>
        <w:t>imme- diate and focused geographic readership, which is best for sale pro- motions. Both of these print audiences are bought on a </w:t>
      </w:r>
      <w:r>
        <w:rPr>
          <w:i/>
          <w:color w:val="231F20"/>
        </w:rPr>
        <w:t>cost per</w:t>
      </w:r>
      <w:r>
        <w:rPr>
          <w:i/>
          <w:color w:val="231F20"/>
        </w:rPr>
        <w:t> thousand</w:t>
      </w:r>
      <w:r>
        <w:rPr>
          <w:i/>
          <w:color w:val="231F20"/>
          <w:spacing w:val="40"/>
        </w:rPr>
        <w:t> </w:t>
      </w:r>
      <w:r>
        <w:rPr>
          <w:color w:val="231F20"/>
        </w:rPr>
        <w:t>(CPM)</w:t>
      </w:r>
      <w:r>
        <w:rPr>
          <w:color w:val="231F20"/>
          <w:spacing w:val="40"/>
        </w:rPr>
        <w:t> </w:t>
      </w:r>
      <w:r>
        <w:rPr>
          <w:color w:val="231F20"/>
        </w:rPr>
        <w:t>readers</w:t>
      </w:r>
      <w:r>
        <w:rPr>
          <w:color w:val="231F20"/>
          <w:spacing w:val="40"/>
        </w:rPr>
        <w:t> </w:t>
      </w:r>
      <w:r>
        <w:rPr>
          <w:color w:val="231F20"/>
        </w:rPr>
        <w:t>basis.</w:t>
      </w:r>
      <w:r>
        <w:rPr>
          <w:color w:val="231F20"/>
          <w:spacing w:val="40"/>
        </w:rPr>
        <w:t> </w:t>
      </w:r>
      <w:r>
        <w:rPr>
          <w:color w:val="231F20"/>
        </w:rPr>
        <w:t>A</w:t>
      </w:r>
      <w:r>
        <w:rPr>
          <w:color w:val="231F20"/>
          <w:spacing w:val="40"/>
        </w:rPr>
        <w:t> </w:t>
      </w:r>
      <w:r>
        <w:rPr>
          <w:color w:val="231F20"/>
        </w:rPr>
        <w:t>comprehensive</w:t>
      </w:r>
      <w:r>
        <w:rPr>
          <w:color w:val="231F20"/>
          <w:spacing w:val="40"/>
        </w:rPr>
        <w:t> </w:t>
      </w:r>
      <w:r>
        <w:rPr>
          <w:color w:val="231F20"/>
        </w:rPr>
        <w:t>listing</w:t>
      </w:r>
      <w:r>
        <w:rPr>
          <w:color w:val="231F20"/>
          <w:spacing w:val="40"/>
        </w:rPr>
        <w:t> </w:t>
      </w:r>
      <w:r>
        <w:rPr>
          <w:color w:val="231F20"/>
        </w:rPr>
        <w:t>of</w:t>
      </w:r>
      <w:r>
        <w:rPr>
          <w:color w:val="231F20"/>
          <w:spacing w:val="40"/>
        </w:rPr>
        <w:t> </w:t>
      </w:r>
      <w:r>
        <w:rPr>
          <w:color w:val="231F20"/>
        </w:rPr>
        <w:t>media and mailing list prices is provided by SRDS (Standard Rate </w:t>
      </w:r>
      <w:r>
        <w:rPr>
          <w:color w:val="231F20"/>
          <w:w w:val="110"/>
        </w:rPr>
        <w:t>&amp; </w:t>
      </w:r>
      <w:r>
        <w:rPr>
          <w:color w:val="231F20"/>
        </w:rPr>
        <w:t>Data Service), in a series of telephone-book-sized volumes.</w:t>
      </w:r>
    </w:p>
    <w:p>
      <w:pPr>
        <w:pStyle w:val="BodyText"/>
        <w:spacing w:line="292" w:lineRule="auto"/>
        <w:ind w:left="830" w:right="753" w:firstLine="340"/>
        <w:jc w:val="both"/>
      </w:pPr>
      <w:r>
        <w:rPr>
          <w:color w:val="231F20"/>
        </w:rPr>
        <w:t>A competitive measure of media is </w:t>
      </w:r>
      <w:r>
        <w:rPr>
          <w:i/>
          <w:color w:val="231F20"/>
        </w:rPr>
        <w:t>share of voice. </w:t>
      </w:r>
      <w:r>
        <w:rPr>
          <w:color w:val="231F20"/>
        </w:rPr>
        <w:t>Using this measure, an advertiser can target a certain percentage of media spending by all competitors within a product category. Advertisers believe that to have an impact through the competitive </w:t>
      </w:r>
      <w:r>
        <w:rPr>
          <w:i/>
          <w:color w:val="231F20"/>
        </w:rPr>
        <w:t>media clutter</w:t>
      </w:r>
      <w:r>
        <w:rPr>
          <w:i/>
          <w:color w:val="231F20"/>
        </w:rPr>
        <w:t> </w:t>
      </w:r>
      <w:r>
        <w:rPr>
          <w:color w:val="231F20"/>
        </w:rPr>
        <w:t>and noise, the relative spending level is just as important as the ab- solute dollars spent.</w:t>
      </w:r>
    </w:p>
    <w:p>
      <w:pPr>
        <w:pStyle w:val="BodyText"/>
        <w:spacing w:line="292" w:lineRule="auto"/>
        <w:ind w:left="830" w:right="755" w:firstLine="340"/>
        <w:jc w:val="both"/>
      </w:pPr>
      <w:r>
        <w:rPr>
          <w:color w:val="231F20"/>
        </w:rPr>
        <w:t>Through</w:t>
      </w:r>
      <w:r>
        <w:rPr>
          <w:color w:val="231F20"/>
          <w:spacing w:val="39"/>
        </w:rPr>
        <w:t> </w:t>
      </w:r>
      <w:r>
        <w:rPr>
          <w:color w:val="231F20"/>
        </w:rPr>
        <w:t>the</w:t>
      </w:r>
      <w:r>
        <w:rPr>
          <w:color w:val="231F20"/>
          <w:spacing w:val="39"/>
        </w:rPr>
        <w:t> </w:t>
      </w:r>
      <w:r>
        <w:rPr>
          <w:color w:val="231F20"/>
        </w:rPr>
        <w:t>clutter,</w:t>
      </w:r>
      <w:r>
        <w:rPr>
          <w:color w:val="231F20"/>
          <w:spacing w:val="39"/>
        </w:rPr>
        <w:t> </w:t>
      </w:r>
      <w:r>
        <w:rPr>
          <w:color w:val="231F20"/>
        </w:rPr>
        <w:t>it</w:t>
      </w:r>
      <w:r>
        <w:rPr>
          <w:color w:val="231F20"/>
          <w:spacing w:val="39"/>
        </w:rPr>
        <w:t> </w:t>
      </w:r>
      <w:r>
        <w:rPr>
          <w:color w:val="231F20"/>
        </w:rPr>
        <w:t>would</w:t>
      </w:r>
      <w:r>
        <w:rPr>
          <w:color w:val="231F20"/>
          <w:spacing w:val="39"/>
        </w:rPr>
        <w:t> </w:t>
      </w:r>
      <w:r>
        <w:rPr>
          <w:color w:val="231F20"/>
        </w:rPr>
        <w:t>have</w:t>
      </w:r>
      <w:r>
        <w:rPr>
          <w:color w:val="231F20"/>
          <w:spacing w:val="39"/>
        </w:rPr>
        <w:t> </w:t>
      </w:r>
      <w:r>
        <w:rPr>
          <w:color w:val="231F20"/>
        </w:rPr>
        <w:t>been</w:t>
      </w:r>
      <w:r>
        <w:rPr>
          <w:color w:val="231F20"/>
          <w:spacing w:val="39"/>
        </w:rPr>
        <w:t> </w:t>
      </w:r>
      <w:r>
        <w:rPr>
          <w:color w:val="231F20"/>
        </w:rPr>
        <w:t>futile</w:t>
      </w:r>
      <w:r>
        <w:rPr>
          <w:color w:val="231F20"/>
          <w:spacing w:val="39"/>
        </w:rPr>
        <w:t> </w:t>
      </w:r>
      <w:r>
        <w:rPr>
          <w:color w:val="231F20"/>
        </w:rPr>
        <w:t>to</w:t>
      </w:r>
      <w:r>
        <w:rPr>
          <w:color w:val="231F20"/>
          <w:spacing w:val="39"/>
        </w:rPr>
        <w:t> </w:t>
      </w:r>
      <w:r>
        <w:rPr>
          <w:color w:val="231F20"/>
        </w:rPr>
        <w:t>run</w:t>
      </w:r>
      <w:r>
        <w:rPr>
          <w:color w:val="231F20"/>
          <w:spacing w:val="39"/>
        </w:rPr>
        <w:t> </w:t>
      </w:r>
      <w:r>
        <w:rPr>
          <w:color w:val="231F20"/>
        </w:rPr>
        <w:t>a</w:t>
      </w:r>
      <w:r>
        <w:rPr>
          <w:color w:val="231F20"/>
          <w:spacing w:val="39"/>
        </w:rPr>
        <w:t> </w:t>
      </w:r>
      <w:r>
        <w:rPr>
          <w:color w:val="231F20"/>
        </w:rPr>
        <w:t>TV</w:t>
      </w:r>
      <w:r>
        <w:rPr>
          <w:color w:val="231F20"/>
          <w:spacing w:val="39"/>
        </w:rPr>
        <w:t> </w:t>
      </w:r>
      <w:r>
        <w:rPr>
          <w:color w:val="231F20"/>
        </w:rPr>
        <w:t>ad to promote the tiny coffee brand that I managed during my summer internship. A small competitor had no chance against the likes of Procter </w:t>
      </w:r>
      <w:r>
        <w:rPr>
          <w:color w:val="231F20"/>
          <w:w w:val="110"/>
        </w:rPr>
        <w:t>&amp;</w:t>
      </w:r>
      <w:r>
        <w:rPr>
          <w:color w:val="231F20"/>
          <w:w w:val="110"/>
        </w:rPr>
        <w:t> </w:t>
      </w:r>
      <w:r>
        <w:rPr>
          <w:color w:val="231F20"/>
        </w:rPr>
        <w:t>Gamble, Kraft Foods, and Nestlé, who together spend millions. Any affordable ad would have been drowned out by the </w:t>
      </w:r>
      <w:r>
        <w:rPr>
          <w:color w:val="231F20"/>
          <w:spacing w:val="-2"/>
        </w:rPr>
        <w:t>giants.</w:t>
      </w:r>
    </w:p>
    <w:p>
      <w:pPr>
        <w:pStyle w:val="BodyText"/>
        <w:spacing w:line="292" w:lineRule="auto"/>
        <w:ind w:left="830" w:right="756" w:firstLine="340"/>
        <w:jc w:val="both"/>
      </w:pPr>
      <w:r>
        <w:rPr>
          <w:color w:val="231F20"/>
        </w:rPr>
        <w:t>Remember, each medium has its strengths in reaching people. Some are more selective than others. Marketers want to reach </w:t>
      </w:r>
      <w:r>
        <w:rPr>
          <w:color w:val="231F20"/>
        </w:rPr>
        <w:t>their intended targets as efficiently as possible to induce the desired buy- ing behavior.</w:t>
      </w:r>
    </w:p>
    <w:p>
      <w:pPr>
        <w:pStyle w:val="BodyText"/>
        <w:spacing w:before="9"/>
        <w:rPr>
          <w:sz w:val="24"/>
        </w:rPr>
      </w:pPr>
    </w:p>
    <w:p>
      <w:pPr>
        <w:pStyle w:val="BodyText"/>
        <w:spacing w:line="292" w:lineRule="auto"/>
        <w:ind w:left="830" w:right="756" w:hanging="1"/>
        <w:jc w:val="both"/>
      </w:pPr>
      <w:r>
        <w:rPr>
          <w:b/>
          <w:i/>
          <w:color w:val="231F20"/>
        </w:rPr>
        <w:t>Personal Selling. </w:t>
      </w:r>
      <w:r>
        <w:rPr>
          <w:color w:val="231F20"/>
        </w:rPr>
        <w:t>Marketers choose </w:t>
      </w:r>
      <w:r>
        <w:rPr>
          <w:i/>
          <w:color w:val="231F20"/>
        </w:rPr>
        <w:t>personal selling </w:t>
      </w:r>
      <w:r>
        <w:rPr>
          <w:color w:val="231F20"/>
        </w:rPr>
        <w:t>when they </w:t>
      </w:r>
      <w:r>
        <w:rPr>
          <w:color w:val="231F20"/>
        </w:rPr>
        <w:t>need to make direct contact with the buyer. A salesperson can personalize your message to fit the buyer’s needs and situation and can field ob- jections and questions in this interactive process. This avenue is gen- erally the most expensive element in any marketing mix because of the high cost of labor and commissions paid.</w:t>
      </w:r>
    </w:p>
    <w:p>
      <w:pPr>
        <w:pStyle w:val="BodyText"/>
        <w:spacing w:line="292" w:lineRule="auto"/>
        <w:ind w:left="830" w:right="756" w:firstLine="340"/>
        <w:jc w:val="both"/>
      </w:pPr>
      <w:r>
        <w:rPr>
          <w:color w:val="231F20"/>
        </w:rPr>
        <w:t>Managers of products that are new, complex, or expensive find that</w:t>
      </w:r>
      <w:r>
        <w:rPr>
          <w:color w:val="231F20"/>
          <w:spacing w:val="23"/>
        </w:rPr>
        <w:t> </w:t>
      </w:r>
      <w:r>
        <w:rPr>
          <w:color w:val="231F20"/>
        </w:rPr>
        <w:t>the</w:t>
      </w:r>
      <w:r>
        <w:rPr>
          <w:color w:val="231F20"/>
          <w:spacing w:val="24"/>
        </w:rPr>
        <w:t> </w:t>
      </w:r>
      <w:r>
        <w:rPr>
          <w:color w:val="231F20"/>
        </w:rPr>
        <w:t>benefits</w:t>
      </w:r>
      <w:r>
        <w:rPr>
          <w:color w:val="231F20"/>
          <w:spacing w:val="23"/>
        </w:rPr>
        <w:t> </w:t>
      </w:r>
      <w:r>
        <w:rPr>
          <w:color w:val="231F20"/>
        </w:rPr>
        <w:t>of</w:t>
      </w:r>
      <w:r>
        <w:rPr>
          <w:color w:val="231F20"/>
          <w:spacing w:val="24"/>
        </w:rPr>
        <w:t> </w:t>
      </w:r>
      <w:r>
        <w:rPr>
          <w:color w:val="231F20"/>
        </w:rPr>
        <w:t>personal</w:t>
      </w:r>
      <w:r>
        <w:rPr>
          <w:color w:val="231F20"/>
          <w:spacing w:val="23"/>
        </w:rPr>
        <w:t> </w:t>
      </w:r>
      <w:r>
        <w:rPr>
          <w:color w:val="231F20"/>
        </w:rPr>
        <w:t>selling</w:t>
      </w:r>
      <w:r>
        <w:rPr>
          <w:color w:val="231F20"/>
          <w:spacing w:val="24"/>
        </w:rPr>
        <w:t> </w:t>
      </w:r>
      <w:r>
        <w:rPr>
          <w:color w:val="231F20"/>
        </w:rPr>
        <w:t>often</w:t>
      </w:r>
      <w:r>
        <w:rPr>
          <w:color w:val="231F20"/>
          <w:spacing w:val="24"/>
        </w:rPr>
        <w:t> </w:t>
      </w:r>
      <w:r>
        <w:rPr>
          <w:color w:val="231F20"/>
        </w:rPr>
        <w:t>outweigh</w:t>
      </w:r>
      <w:r>
        <w:rPr>
          <w:color w:val="231F20"/>
          <w:spacing w:val="23"/>
        </w:rPr>
        <w:t> </w:t>
      </w:r>
      <w:r>
        <w:rPr>
          <w:color w:val="231F20"/>
        </w:rPr>
        <w:t>their</w:t>
      </w:r>
      <w:r>
        <w:rPr>
          <w:color w:val="231F20"/>
          <w:spacing w:val="24"/>
        </w:rPr>
        <w:t> </w:t>
      </w:r>
      <w:r>
        <w:rPr>
          <w:color w:val="231F20"/>
        </w:rPr>
        <w:t>high</w:t>
      </w:r>
      <w:r>
        <w:rPr>
          <w:color w:val="231F20"/>
          <w:spacing w:val="23"/>
        </w:rPr>
        <w:t> </w:t>
      </w:r>
      <w:r>
        <w:rPr>
          <w:color w:val="231F20"/>
          <w:spacing w:val="-2"/>
        </w:rPr>
        <w:t>cost.</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4"/>
        <w:jc w:val="both"/>
      </w:pPr>
      <w:r>
        <w:rPr>
          <w:color w:val="231F20"/>
        </w:rPr>
        <w:t>Because some target markets are inaccessible by other media vehi- cles, personal selling is sometimes the only means to reach con- sumers. Water purification systems, pharmaceuticals, copiers, and industrial products widely utilize personal selling in their </w:t>
      </w:r>
      <w:r>
        <w:rPr>
          <w:color w:val="231F20"/>
        </w:rPr>
        <w:t>marketing mixes. The use of telemarketers has greatly been reduced by the adoption of many do-not-call lists.</w:t>
      </w:r>
    </w:p>
    <w:p>
      <w:pPr>
        <w:pStyle w:val="BodyText"/>
        <w:spacing w:line="292" w:lineRule="auto"/>
        <w:ind w:left="920" w:right="663" w:firstLine="339"/>
        <w:jc w:val="both"/>
      </w:pPr>
      <w:r>
        <w:rPr>
          <w:color w:val="231F20"/>
        </w:rPr>
        <w:t>Current theory holds that personal selling is a </w:t>
      </w:r>
      <w:r>
        <w:rPr>
          <w:i/>
          <w:color w:val="231F20"/>
        </w:rPr>
        <w:t>problem-solving</w:t>
      </w:r>
      <w:r>
        <w:rPr>
          <w:i/>
          <w:color w:val="231F20"/>
        </w:rPr>
        <w:t> </w:t>
      </w:r>
      <w:r>
        <w:rPr>
          <w:color w:val="231F20"/>
        </w:rPr>
        <w:t>and </w:t>
      </w:r>
      <w:r>
        <w:rPr>
          <w:i/>
          <w:color w:val="231F20"/>
        </w:rPr>
        <w:t>consultation </w:t>
      </w:r>
      <w:r>
        <w:rPr>
          <w:color w:val="231F20"/>
        </w:rPr>
        <w:t>process. Professor Derek A. Newton of the </w:t>
      </w:r>
      <w:r>
        <w:rPr>
          <w:color w:val="231F20"/>
        </w:rPr>
        <w:t>Darden School at the University of Virginia saw personal selling as having evolved over the years in four stages: Music Man, Animated Cata-</w:t>
      </w:r>
      <w:r>
        <w:rPr>
          <w:color w:val="231F20"/>
          <w:spacing w:val="80"/>
        </w:rPr>
        <w:t> </w:t>
      </w:r>
      <w:r>
        <w:rPr>
          <w:color w:val="231F20"/>
        </w:rPr>
        <w:t>log, Magic Formula, and Problem Solver. Before World War I it was believed that the “Music Man” approach to selling was the key to success. It was the salesperson’s personality that enabled him to charm his customer into buying. After World War I, the “Animated Catalog” was considered the right way to sell. Vacuum cleaner sales- people knew all the facts about their products, and their sales pre- sentations were rehearsed catalog readings. During the 1930s the slick pitch or “Magic Formula” was thought to be the best sales ap- proach. Encyclopedia sales reps would control the presentation and lead</w:t>
      </w:r>
      <w:r>
        <w:rPr>
          <w:color w:val="231F20"/>
          <w:spacing w:val="40"/>
        </w:rPr>
        <w:t> </w:t>
      </w:r>
      <w:r>
        <w:rPr>
          <w:color w:val="231F20"/>
        </w:rPr>
        <w:t>the</w:t>
      </w:r>
      <w:r>
        <w:rPr>
          <w:color w:val="231F20"/>
          <w:spacing w:val="40"/>
        </w:rPr>
        <w:t> </w:t>
      </w:r>
      <w:r>
        <w:rPr>
          <w:color w:val="231F20"/>
        </w:rPr>
        <w:t>customer</w:t>
      </w:r>
      <w:r>
        <w:rPr>
          <w:color w:val="231F20"/>
          <w:spacing w:val="40"/>
        </w:rPr>
        <w:t> </w:t>
      </w:r>
      <w:r>
        <w:rPr>
          <w:color w:val="231F20"/>
        </w:rPr>
        <w:t>down</w:t>
      </w:r>
      <w:r>
        <w:rPr>
          <w:color w:val="231F20"/>
          <w:spacing w:val="40"/>
        </w:rPr>
        <w:t> </w:t>
      </w:r>
      <w:r>
        <w:rPr>
          <w:color w:val="231F20"/>
        </w:rPr>
        <w:t>a</w:t>
      </w:r>
      <w:r>
        <w:rPr>
          <w:color w:val="231F20"/>
          <w:spacing w:val="40"/>
        </w:rPr>
        <w:t> </w:t>
      </w:r>
      <w:r>
        <w:rPr>
          <w:color w:val="231F20"/>
        </w:rPr>
        <w:t>“mappled-out</w:t>
      </w:r>
      <w:r>
        <w:rPr>
          <w:color w:val="231F20"/>
          <w:spacing w:val="40"/>
        </w:rPr>
        <w:t> </w:t>
      </w:r>
      <w:r>
        <w:rPr>
          <w:color w:val="231F20"/>
        </w:rPr>
        <w:t>road”</w:t>
      </w:r>
      <w:r>
        <w:rPr>
          <w:color w:val="231F20"/>
          <w:spacing w:val="40"/>
        </w:rPr>
        <w:t> </w:t>
      </w:r>
      <w:r>
        <w:rPr>
          <w:color w:val="231F20"/>
        </w:rPr>
        <w:t>to</w:t>
      </w:r>
      <w:r>
        <w:rPr>
          <w:color w:val="231F20"/>
          <w:spacing w:val="40"/>
        </w:rPr>
        <w:t> </w:t>
      </w:r>
      <w:r>
        <w:rPr>
          <w:color w:val="231F20"/>
        </w:rPr>
        <w:t>a</w:t>
      </w:r>
      <w:r>
        <w:rPr>
          <w:color w:val="231F20"/>
          <w:spacing w:val="40"/>
        </w:rPr>
        <w:t> </w:t>
      </w:r>
      <w:r>
        <w:rPr>
          <w:color w:val="231F20"/>
        </w:rPr>
        <w:t>“sure</w:t>
      </w:r>
      <w:r>
        <w:rPr>
          <w:color w:val="231F20"/>
          <w:spacing w:val="40"/>
        </w:rPr>
        <w:t> </w:t>
      </w:r>
      <w:r>
        <w:rPr>
          <w:color w:val="231F20"/>
        </w:rPr>
        <w:t>sale.” Many books currently on the bookstore shelves claim they hold the “secret” of how to close a sale. Today, academics agree that personal selling still requires some element of pizzazz and catalog-like prod- uct knowledge, but sales forces must also have extensive knowledge of the prospect’s needs and buying processes to be successful. Sales- people should sell </w:t>
      </w:r>
      <w:r>
        <w:rPr>
          <w:i/>
          <w:color w:val="231F20"/>
        </w:rPr>
        <w:t>benefits </w:t>
      </w:r>
      <w:r>
        <w:rPr>
          <w:color w:val="231F20"/>
        </w:rPr>
        <w:t>that solve customers’ problems, rather than simply peddling products.</w:t>
      </w:r>
    </w:p>
    <w:p>
      <w:pPr>
        <w:pStyle w:val="BodyText"/>
        <w:spacing w:before="8"/>
        <w:rPr>
          <w:sz w:val="24"/>
        </w:rPr>
      </w:pPr>
    </w:p>
    <w:p>
      <w:pPr>
        <w:pStyle w:val="BodyText"/>
        <w:spacing w:line="292" w:lineRule="auto" w:before="1"/>
        <w:ind w:left="920" w:right="666"/>
        <w:jc w:val="both"/>
      </w:pPr>
      <w:r>
        <w:rPr>
          <w:b/>
          <w:i/>
          <w:color w:val="231F20"/>
        </w:rPr>
        <w:t>Sales</w:t>
      </w:r>
      <w:r>
        <w:rPr>
          <w:b/>
          <w:i/>
          <w:color w:val="231F20"/>
          <w:spacing w:val="-8"/>
        </w:rPr>
        <w:t> </w:t>
      </w:r>
      <w:r>
        <w:rPr>
          <w:b/>
          <w:i/>
          <w:color w:val="231F20"/>
        </w:rPr>
        <w:t>Promotion.</w:t>
      </w:r>
      <w:r>
        <w:rPr>
          <w:b/>
          <w:i/>
          <w:color w:val="231F20"/>
          <w:spacing w:val="-8"/>
        </w:rPr>
        <w:t> </w:t>
      </w:r>
      <w:r>
        <w:rPr>
          <w:color w:val="231F20"/>
        </w:rPr>
        <w:t>Sales</w:t>
      </w:r>
      <w:r>
        <w:rPr>
          <w:color w:val="231F20"/>
          <w:spacing w:val="-8"/>
        </w:rPr>
        <w:t> </w:t>
      </w:r>
      <w:r>
        <w:rPr>
          <w:color w:val="231F20"/>
        </w:rPr>
        <w:t>promotion</w:t>
      </w:r>
      <w:r>
        <w:rPr>
          <w:color w:val="231F20"/>
          <w:spacing w:val="-8"/>
        </w:rPr>
        <w:t> </w:t>
      </w:r>
      <w:r>
        <w:rPr>
          <w:color w:val="231F20"/>
        </w:rPr>
        <w:t>is</w:t>
      </w:r>
      <w:r>
        <w:rPr>
          <w:color w:val="231F20"/>
          <w:spacing w:val="-8"/>
        </w:rPr>
        <w:t> </w:t>
      </w:r>
      <w:r>
        <w:rPr>
          <w:color w:val="231F20"/>
        </w:rPr>
        <w:t>designed</w:t>
      </w:r>
      <w:r>
        <w:rPr>
          <w:color w:val="231F20"/>
          <w:spacing w:val="-8"/>
        </w:rPr>
        <w:t> </w:t>
      </w:r>
      <w:r>
        <w:rPr>
          <w:color w:val="231F20"/>
        </w:rPr>
        <w:t>to</w:t>
      </w:r>
      <w:r>
        <w:rPr>
          <w:color w:val="231F20"/>
          <w:spacing w:val="-8"/>
        </w:rPr>
        <w:t> </w:t>
      </w:r>
      <w:r>
        <w:rPr>
          <w:color w:val="231F20"/>
        </w:rPr>
        <w:t>elicit</w:t>
      </w:r>
      <w:r>
        <w:rPr>
          <w:color w:val="231F20"/>
          <w:spacing w:val="-8"/>
        </w:rPr>
        <w:t> </w:t>
      </w:r>
      <w:r>
        <w:rPr>
          <w:color w:val="231F20"/>
        </w:rPr>
        <w:t>the</w:t>
      </w:r>
      <w:r>
        <w:rPr>
          <w:color w:val="231F20"/>
          <w:spacing w:val="-8"/>
        </w:rPr>
        <w:t> </w:t>
      </w:r>
      <w:r>
        <w:rPr>
          <w:color w:val="231F20"/>
        </w:rPr>
        <w:t>desired</w:t>
      </w:r>
      <w:r>
        <w:rPr>
          <w:color w:val="231F20"/>
          <w:spacing w:val="-8"/>
        </w:rPr>
        <w:t> </w:t>
      </w:r>
      <w:r>
        <w:rPr>
          <w:color w:val="231F20"/>
        </w:rPr>
        <w:t>be- havior from the consumer, the sales force, and other channel partici- pants. Sales promotions are designed to complement and reinforce other promotional efforts, especially advertising. Each type of pro- motion has its own associated vocabulary that you should be aware of. If you are not a marketer, knowing the vocabulary does not make you</w:t>
      </w:r>
      <w:r>
        <w:rPr>
          <w:color w:val="231F20"/>
          <w:spacing w:val="15"/>
        </w:rPr>
        <w:t> </w:t>
      </w:r>
      <w:r>
        <w:rPr>
          <w:color w:val="231F20"/>
        </w:rPr>
        <w:t>an</w:t>
      </w:r>
      <w:r>
        <w:rPr>
          <w:color w:val="231F20"/>
          <w:spacing w:val="15"/>
        </w:rPr>
        <w:t> </w:t>
      </w:r>
      <w:r>
        <w:rPr>
          <w:color w:val="231F20"/>
        </w:rPr>
        <w:t>expert,</w:t>
      </w:r>
      <w:r>
        <w:rPr>
          <w:color w:val="231F20"/>
          <w:spacing w:val="15"/>
        </w:rPr>
        <w:t> </w:t>
      </w:r>
      <w:r>
        <w:rPr>
          <w:color w:val="231F20"/>
        </w:rPr>
        <w:t>but</w:t>
      </w:r>
      <w:r>
        <w:rPr>
          <w:color w:val="231F20"/>
          <w:spacing w:val="15"/>
        </w:rPr>
        <w:t> </w:t>
      </w:r>
      <w:r>
        <w:rPr>
          <w:color w:val="231F20"/>
        </w:rPr>
        <w:t>it</w:t>
      </w:r>
      <w:r>
        <w:rPr>
          <w:color w:val="231F20"/>
          <w:spacing w:val="15"/>
        </w:rPr>
        <w:t> </w:t>
      </w:r>
      <w:r>
        <w:rPr>
          <w:color w:val="231F20"/>
        </w:rPr>
        <w:t>can</w:t>
      </w:r>
      <w:r>
        <w:rPr>
          <w:color w:val="231F20"/>
          <w:spacing w:val="15"/>
        </w:rPr>
        <w:t> </w:t>
      </w:r>
      <w:r>
        <w:rPr>
          <w:color w:val="231F20"/>
        </w:rPr>
        <w:t>sure</w:t>
      </w:r>
      <w:r>
        <w:rPr>
          <w:color w:val="231F20"/>
          <w:spacing w:val="15"/>
        </w:rPr>
        <w:t> </w:t>
      </w:r>
      <w:r>
        <w:rPr>
          <w:color w:val="231F20"/>
        </w:rPr>
        <w:t>help</w:t>
      </w:r>
      <w:r>
        <w:rPr>
          <w:color w:val="231F20"/>
          <w:spacing w:val="15"/>
        </w:rPr>
        <w:t> </w:t>
      </w:r>
      <w:r>
        <w:rPr>
          <w:color w:val="231F20"/>
        </w:rPr>
        <w:t>you</w:t>
      </w:r>
      <w:r>
        <w:rPr>
          <w:color w:val="231F20"/>
          <w:spacing w:val="15"/>
        </w:rPr>
        <w:t> </w:t>
      </w:r>
      <w:r>
        <w:rPr>
          <w:color w:val="231F20"/>
        </w:rPr>
        <w:t>to</w:t>
      </w:r>
      <w:r>
        <w:rPr>
          <w:color w:val="231F20"/>
          <w:spacing w:val="15"/>
        </w:rPr>
        <w:t> </w:t>
      </w:r>
      <w:r>
        <w:rPr>
          <w:color w:val="231F20"/>
        </w:rPr>
        <w:t>engage</w:t>
      </w:r>
      <w:r>
        <w:rPr>
          <w:color w:val="231F20"/>
          <w:spacing w:val="16"/>
        </w:rPr>
        <w:t> </w:t>
      </w:r>
      <w:r>
        <w:rPr>
          <w:color w:val="231F20"/>
        </w:rPr>
        <w:t>in</w:t>
      </w:r>
      <w:r>
        <w:rPr>
          <w:color w:val="231F20"/>
          <w:spacing w:val="15"/>
        </w:rPr>
        <w:t> </w:t>
      </w:r>
      <w:r>
        <w:rPr>
          <w:color w:val="231F20"/>
        </w:rPr>
        <w:t>intelligent</w:t>
      </w:r>
      <w:r>
        <w:rPr>
          <w:color w:val="231F20"/>
          <w:spacing w:val="15"/>
        </w:rPr>
        <w:t> </w:t>
      </w:r>
      <w:r>
        <w:rPr>
          <w:color w:val="231F20"/>
          <w:spacing w:val="-4"/>
        </w:rPr>
        <w:t>mar-</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keting conversation, if need be. There are two types of </w:t>
      </w:r>
      <w:r>
        <w:rPr>
          <w:color w:val="231F20"/>
        </w:rPr>
        <w:t>promotions: those directed toward the consumer, and those directed at the distri- bution channels.</w:t>
      </w:r>
    </w:p>
    <w:p>
      <w:pPr>
        <w:spacing w:line="292" w:lineRule="auto" w:before="0"/>
        <w:ind w:left="830" w:right="757" w:firstLine="340"/>
        <w:jc w:val="both"/>
        <w:rPr>
          <w:sz w:val="21"/>
        </w:rPr>
      </w:pPr>
      <w:r>
        <w:rPr>
          <w:i/>
          <w:color w:val="231F20"/>
          <w:sz w:val="21"/>
        </w:rPr>
        <w:t>Consumer sales promotions </w:t>
      </w:r>
      <w:r>
        <w:rPr>
          <w:color w:val="231F20"/>
          <w:sz w:val="21"/>
        </w:rPr>
        <w:t>techniques available are coupons, refund offers, samples, premiums, and contests.</w:t>
      </w:r>
    </w:p>
    <w:p>
      <w:pPr>
        <w:pStyle w:val="BodyText"/>
        <w:spacing w:line="292" w:lineRule="auto"/>
        <w:ind w:left="829" w:right="756" w:firstLine="340"/>
        <w:jc w:val="both"/>
      </w:pPr>
      <w:r>
        <w:rPr>
          <w:i/>
          <w:color w:val="231F20"/>
        </w:rPr>
        <w:t>Coupons </w:t>
      </w:r>
      <w:r>
        <w:rPr>
          <w:color w:val="231F20"/>
        </w:rPr>
        <w:t>are a direct way to pass a price reduction on to con- sumers. As a manufacturer, if you give retailers a discount in </w:t>
      </w:r>
      <w:r>
        <w:rPr>
          <w:color w:val="231F20"/>
        </w:rPr>
        <w:t>hopes that they will pass it along to consumers, you may be sadly disap- pointed. Marketers use coupons to encourage trial, brand switching, and brand loyalty. Grocery coupons are most often placed in a spe- cial coupon section of the Sunday paper called </w:t>
      </w:r>
      <w:r>
        <w:rPr>
          <w:i/>
          <w:color w:val="231F20"/>
        </w:rPr>
        <w:t>freestanding inserts</w:t>
      </w:r>
      <w:r>
        <w:rPr>
          <w:i/>
          <w:color w:val="231F20"/>
        </w:rPr>
        <w:t> </w:t>
      </w:r>
      <w:r>
        <w:rPr>
          <w:color w:val="231F20"/>
        </w:rPr>
        <w:t>(FSIs). The leader in FSIs is Valassis Inserts, which prints almost half of the $100 billion in face value of coupon savings distributed annu- ally in Sunday FSIs. Coupons can also be distributed on a corporate Web site at little cost.</w:t>
      </w:r>
    </w:p>
    <w:p>
      <w:pPr>
        <w:pStyle w:val="BodyText"/>
        <w:spacing w:line="292" w:lineRule="auto"/>
        <w:ind w:left="829" w:right="756" w:firstLine="340"/>
        <w:jc w:val="right"/>
      </w:pPr>
      <w:r>
        <w:rPr>
          <w:i/>
          <w:color w:val="231F20"/>
        </w:rPr>
        <w:t>Rebates </w:t>
      </w:r>
      <w:r>
        <w:rPr>
          <w:color w:val="231F20"/>
        </w:rPr>
        <w:t>are also used for more expensive items, especially </w:t>
      </w:r>
      <w:r>
        <w:rPr>
          <w:color w:val="231F20"/>
        </w:rPr>
        <w:t>elec- tronics, to reduce their perceived cost to the consumer. Rebates re- quire buyers to complete paperwork, retain receipts, and mail them in. Because of the work involved, even rebates of $50 or more have</w:t>
      </w:r>
      <w:r>
        <w:rPr>
          <w:color w:val="231F20"/>
          <w:spacing w:val="40"/>
        </w:rPr>
        <w:t> </w:t>
      </w:r>
      <w:r>
        <w:rPr>
          <w:color w:val="231F20"/>
        </w:rPr>
        <w:t>low</w:t>
      </w:r>
      <w:r>
        <w:rPr>
          <w:color w:val="231F20"/>
          <w:spacing w:val="31"/>
        </w:rPr>
        <w:t> </w:t>
      </w:r>
      <w:r>
        <w:rPr>
          <w:color w:val="231F20"/>
        </w:rPr>
        <w:t>redemption</w:t>
      </w:r>
      <w:r>
        <w:rPr>
          <w:color w:val="231F20"/>
          <w:spacing w:val="31"/>
        </w:rPr>
        <w:t> </w:t>
      </w:r>
      <w:r>
        <w:rPr>
          <w:color w:val="231F20"/>
        </w:rPr>
        <w:t>rates.</w:t>
      </w:r>
      <w:r>
        <w:rPr>
          <w:color w:val="231F20"/>
          <w:spacing w:val="31"/>
        </w:rPr>
        <w:t> </w:t>
      </w:r>
      <w:r>
        <w:rPr>
          <w:color w:val="231F20"/>
        </w:rPr>
        <w:t>Marketers</w:t>
      </w:r>
      <w:r>
        <w:rPr>
          <w:color w:val="231F20"/>
          <w:spacing w:val="31"/>
        </w:rPr>
        <w:t> </w:t>
      </w:r>
      <w:r>
        <w:rPr>
          <w:color w:val="231F20"/>
        </w:rPr>
        <w:t>need</w:t>
      </w:r>
      <w:r>
        <w:rPr>
          <w:color w:val="231F20"/>
          <w:spacing w:val="31"/>
        </w:rPr>
        <w:t> </w:t>
      </w:r>
      <w:r>
        <w:rPr>
          <w:color w:val="231F20"/>
        </w:rPr>
        <w:t>to</w:t>
      </w:r>
      <w:r>
        <w:rPr>
          <w:color w:val="231F20"/>
          <w:spacing w:val="31"/>
        </w:rPr>
        <w:t> </w:t>
      </w:r>
      <w:r>
        <w:rPr>
          <w:color w:val="231F20"/>
        </w:rPr>
        <w:t>estimate</w:t>
      </w:r>
      <w:r>
        <w:rPr>
          <w:color w:val="231F20"/>
          <w:spacing w:val="31"/>
        </w:rPr>
        <w:t> </w:t>
      </w:r>
      <w:r>
        <w:rPr>
          <w:color w:val="231F20"/>
        </w:rPr>
        <w:t>the</w:t>
      </w:r>
      <w:r>
        <w:rPr>
          <w:color w:val="231F20"/>
          <w:spacing w:val="31"/>
        </w:rPr>
        <w:t> </w:t>
      </w:r>
      <w:r>
        <w:rPr>
          <w:color w:val="231F20"/>
        </w:rPr>
        <w:t>redemption rate and net cost and include the net cost in their marketing budgets. </w:t>
      </w:r>
      <w:r>
        <w:rPr>
          <w:i/>
          <w:color w:val="231F20"/>
        </w:rPr>
        <w:t>Refunds</w:t>
      </w:r>
      <w:r>
        <w:rPr>
          <w:i/>
          <w:color w:val="231F20"/>
          <w:spacing w:val="40"/>
        </w:rPr>
        <w:t> </w:t>
      </w:r>
      <w:r>
        <w:rPr>
          <w:color w:val="231F20"/>
        </w:rPr>
        <w:t>are</w:t>
      </w:r>
      <w:r>
        <w:rPr>
          <w:color w:val="231F20"/>
          <w:spacing w:val="40"/>
        </w:rPr>
        <w:t> </w:t>
      </w:r>
      <w:r>
        <w:rPr>
          <w:color w:val="231F20"/>
        </w:rPr>
        <w:t>generally</w:t>
      </w:r>
      <w:r>
        <w:rPr>
          <w:color w:val="231F20"/>
          <w:spacing w:val="40"/>
        </w:rPr>
        <w:t> </w:t>
      </w:r>
      <w:r>
        <w:rPr>
          <w:color w:val="231F20"/>
        </w:rPr>
        <w:t>used</w:t>
      </w:r>
      <w:r>
        <w:rPr>
          <w:color w:val="231F20"/>
          <w:spacing w:val="40"/>
        </w:rPr>
        <w:t> </w:t>
      </w:r>
      <w:r>
        <w:rPr>
          <w:color w:val="231F20"/>
        </w:rPr>
        <w:t>to</w:t>
      </w:r>
      <w:r>
        <w:rPr>
          <w:color w:val="231F20"/>
          <w:spacing w:val="40"/>
        </w:rPr>
        <w:t> </w:t>
      </w:r>
      <w:r>
        <w:rPr>
          <w:color w:val="231F20"/>
        </w:rPr>
        <w:t>accelerate</w:t>
      </w:r>
      <w:r>
        <w:rPr>
          <w:color w:val="231F20"/>
          <w:spacing w:val="40"/>
        </w:rPr>
        <w:t> </w:t>
      </w:r>
      <w:r>
        <w:rPr>
          <w:color w:val="231F20"/>
        </w:rPr>
        <w:t>the</w:t>
      </w:r>
      <w:r>
        <w:rPr>
          <w:color w:val="231F20"/>
          <w:spacing w:val="40"/>
        </w:rPr>
        <w:t> </w:t>
      </w:r>
      <w:r>
        <w:rPr>
          <w:color w:val="231F20"/>
        </w:rPr>
        <w:t>normal</w:t>
      </w:r>
      <w:r>
        <w:rPr>
          <w:color w:val="231F20"/>
          <w:spacing w:val="40"/>
        </w:rPr>
        <w:t> </w:t>
      </w:r>
      <w:r>
        <w:rPr>
          <w:color w:val="231F20"/>
        </w:rPr>
        <w:t>consumer purchase cycles. Refunds are usually used to increase the quantity or frequency</w:t>
      </w:r>
      <w:r>
        <w:rPr>
          <w:color w:val="231F20"/>
          <w:spacing w:val="34"/>
        </w:rPr>
        <w:t> </w:t>
      </w:r>
      <w:r>
        <w:rPr>
          <w:color w:val="231F20"/>
        </w:rPr>
        <w:t>of</w:t>
      </w:r>
      <w:r>
        <w:rPr>
          <w:color w:val="231F20"/>
          <w:spacing w:val="34"/>
        </w:rPr>
        <w:t> </w:t>
      </w:r>
      <w:r>
        <w:rPr>
          <w:color w:val="231F20"/>
        </w:rPr>
        <w:t>purchase</w:t>
      </w:r>
      <w:r>
        <w:rPr>
          <w:color w:val="231F20"/>
          <w:spacing w:val="34"/>
        </w:rPr>
        <w:t> </w:t>
      </w:r>
      <w:r>
        <w:rPr>
          <w:color w:val="231F20"/>
        </w:rPr>
        <w:t>by</w:t>
      </w:r>
      <w:r>
        <w:rPr>
          <w:color w:val="231F20"/>
          <w:spacing w:val="34"/>
        </w:rPr>
        <w:t> </w:t>
      </w:r>
      <w:r>
        <w:rPr>
          <w:color w:val="231F20"/>
        </w:rPr>
        <w:t>encouraging</w:t>
      </w:r>
      <w:r>
        <w:rPr>
          <w:color w:val="231F20"/>
          <w:spacing w:val="34"/>
        </w:rPr>
        <w:t> </w:t>
      </w:r>
      <w:r>
        <w:rPr>
          <w:color w:val="231F20"/>
        </w:rPr>
        <w:t>buyers</w:t>
      </w:r>
      <w:r>
        <w:rPr>
          <w:color w:val="231F20"/>
          <w:spacing w:val="34"/>
        </w:rPr>
        <w:t> </w:t>
      </w:r>
      <w:r>
        <w:rPr>
          <w:color w:val="231F20"/>
        </w:rPr>
        <w:t>to</w:t>
      </w:r>
      <w:r>
        <w:rPr>
          <w:color w:val="231F20"/>
          <w:spacing w:val="34"/>
        </w:rPr>
        <w:t> </w:t>
      </w:r>
      <w:r>
        <w:rPr>
          <w:color w:val="231F20"/>
        </w:rPr>
        <w:t>stock</w:t>
      </w:r>
      <w:r>
        <w:rPr>
          <w:color w:val="231F20"/>
          <w:spacing w:val="34"/>
        </w:rPr>
        <w:t> </w:t>
      </w:r>
      <w:r>
        <w:rPr>
          <w:color w:val="231F20"/>
        </w:rPr>
        <w:t>up.</w:t>
      </w:r>
      <w:r>
        <w:rPr>
          <w:color w:val="231F20"/>
          <w:spacing w:val="34"/>
        </w:rPr>
        <w:t> </w:t>
      </w:r>
      <w:r>
        <w:rPr>
          <w:color w:val="231F20"/>
        </w:rPr>
        <w:t>Battery manufacturers</w:t>
      </w:r>
      <w:r>
        <w:rPr>
          <w:color w:val="231F20"/>
          <w:spacing w:val="32"/>
        </w:rPr>
        <w:t> </w:t>
      </w:r>
      <w:r>
        <w:rPr>
          <w:color w:val="231F20"/>
        </w:rPr>
        <w:t>frequently</w:t>
      </w:r>
      <w:r>
        <w:rPr>
          <w:color w:val="231F20"/>
          <w:spacing w:val="32"/>
        </w:rPr>
        <w:t> </w:t>
      </w:r>
      <w:r>
        <w:rPr>
          <w:color w:val="231F20"/>
        </w:rPr>
        <w:t>use</w:t>
      </w:r>
      <w:r>
        <w:rPr>
          <w:color w:val="231F20"/>
          <w:spacing w:val="32"/>
        </w:rPr>
        <w:t> </w:t>
      </w:r>
      <w:r>
        <w:rPr>
          <w:color w:val="231F20"/>
        </w:rPr>
        <w:t>refund</w:t>
      </w:r>
      <w:r>
        <w:rPr>
          <w:color w:val="231F20"/>
          <w:spacing w:val="32"/>
        </w:rPr>
        <w:t> </w:t>
      </w:r>
      <w:r>
        <w:rPr>
          <w:color w:val="231F20"/>
        </w:rPr>
        <w:t>offers.</w:t>
      </w:r>
      <w:r>
        <w:rPr>
          <w:color w:val="231F20"/>
          <w:spacing w:val="32"/>
        </w:rPr>
        <w:t> </w:t>
      </w:r>
      <w:r>
        <w:rPr>
          <w:color w:val="231F20"/>
        </w:rPr>
        <w:t>Such</w:t>
      </w:r>
      <w:r>
        <w:rPr>
          <w:color w:val="231F20"/>
          <w:spacing w:val="32"/>
        </w:rPr>
        <w:t> </w:t>
      </w:r>
      <w:r>
        <w:rPr>
          <w:color w:val="231F20"/>
        </w:rPr>
        <w:t>offers</w:t>
      </w:r>
      <w:r>
        <w:rPr>
          <w:color w:val="231F20"/>
          <w:spacing w:val="32"/>
        </w:rPr>
        <w:t> </w:t>
      </w:r>
      <w:r>
        <w:rPr>
          <w:color w:val="231F20"/>
        </w:rPr>
        <w:t>have</w:t>
      </w:r>
      <w:r>
        <w:rPr>
          <w:color w:val="231F20"/>
          <w:spacing w:val="32"/>
        </w:rPr>
        <w:t> </w:t>
      </w:r>
      <w:r>
        <w:rPr>
          <w:color w:val="231F20"/>
        </w:rPr>
        <w:t>been cleverly</w:t>
      </w:r>
      <w:r>
        <w:rPr>
          <w:color w:val="231F20"/>
          <w:spacing w:val="17"/>
        </w:rPr>
        <w:t> </w:t>
      </w:r>
      <w:r>
        <w:rPr>
          <w:color w:val="231F20"/>
        </w:rPr>
        <w:t>used</w:t>
      </w:r>
      <w:r>
        <w:rPr>
          <w:color w:val="231F20"/>
          <w:spacing w:val="17"/>
        </w:rPr>
        <w:t> </w:t>
      </w:r>
      <w:r>
        <w:rPr>
          <w:color w:val="231F20"/>
        </w:rPr>
        <w:t>to</w:t>
      </w:r>
      <w:r>
        <w:rPr>
          <w:color w:val="231F20"/>
          <w:spacing w:val="17"/>
        </w:rPr>
        <w:t> </w:t>
      </w:r>
      <w:r>
        <w:rPr>
          <w:color w:val="231F20"/>
        </w:rPr>
        <w:t>stock</w:t>
      </w:r>
      <w:r>
        <w:rPr>
          <w:color w:val="231F20"/>
          <w:spacing w:val="17"/>
        </w:rPr>
        <w:t> </w:t>
      </w:r>
      <w:r>
        <w:rPr>
          <w:color w:val="231F20"/>
        </w:rPr>
        <w:t>up</w:t>
      </w:r>
      <w:r>
        <w:rPr>
          <w:color w:val="231F20"/>
          <w:spacing w:val="17"/>
        </w:rPr>
        <w:t> </w:t>
      </w:r>
      <w:r>
        <w:rPr>
          <w:color w:val="231F20"/>
        </w:rPr>
        <w:t>consumers</w:t>
      </w:r>
      <w:r>
        <w:rPr>
          <w:color w:val="231F20"/>
          <w:spacing w:val="17"/>
        </w:rPr>
        <w:t> </w:t>
      </w:r>
      <w:r>
        <w:rPr>
          <w:color w:val="231F20"/>
        </w:rPr>
        <w:t>just</w:t>
      </w:r>
      <w:r>
        <w:rPr>
          <w:color w:val="231F20"/>
          <w:spacing w:val="17"/>
        </w:rPr>
        <w:t> </w:t>
      </w:r>
      <w:r>
        <w:rPr>
          <w:color w:val="231F20"/>
        </w:rPr>
        <w:t>before</w:t>
      </w:r>
      <w:r>
        <w:rPr>
          <w:color w:val="231F20"/>
          <w:spacing w:val="18"/>
        </w:rPr>
        <w:t> </w:t>
      </w:r>
      <w:r>
        <w:rPr>
          <w:color w:val="231F20"/>
        </w:rPr>
        <w:t>a</w:t>
      </w:r>
      <w:r>
        <w:rPr>
          <w:color w:val="231F20"/>
          <w:spacing w:val="17"/>
        </w:rPr>
        <w:t> </w:t>
      </w:r>
      <w:r>
        <w:rPr>
          <w:color w:val="231F20"/>
        </w:rPr>
        <w:t>competitor’s</w:t>
      </w:r>
      <w:r>
        <w:rPr>
          <w:color w:val="231F20"/>
          <w:spacing w:val="17"/>
        </w:rPr>
        <w:t> </w:t>
      </w:r>
      <w:r>
        <w:rPr>
          <w:color w:val="231F20"/>
          <w:spacing w:val="-4"/>
        </w:rPr>
        <w:t>pro-</w:t>
      </w:r>
    </w:p>
    <w:p>
      <w:pPr>
        <w:pStyle w:val="BodyText"/>
        <w:spacing w:line="242" w:lineRule="exact"/>
        <w:ind w:left="829"/>
        <w:jc w:val="both"/>
      </w:pPr>
      <w:r>
        <w:rPr>
          <w:color w:val="231F20"/>
        </w:rPr>
        <w:t>motion</w:t>
      </w:r>
      <w:r>
        <w:rPr>
          <w:color w:val="231F20"/>
          <w:spacing w:val="14"/>
        </w:rPr>
        <w:t> </w:t>
      </w:r>
      <w:r>
        <w:rPr>
          <w:color w:val="231F20"/>
        </w:rPr>
        <w:t>or</w:t>
      </w:r>
      <w:r>
        <w:rPr>
          <w:color w:val="231F20"/>
          <w:spacing w:val="14"/>
        </w:rPr>
        <w:t> </w:t>
      </w:r>
      <w:r>
        <w:rPr>
          <w:color w:val="231F20"/>
        </w:rPr>
        <w:t>product</w:t>
      </w:r>
      <w:r>
        <w:rPr>
          <w:color w:val="231F20"/>
          <w:spacing w:val="14"/>
        </w:rPr>
        <w:t> </w:t>
      </w:r>
      <w:r>
        <w:rPr>
          <w:color w:val="231F20"/>
          <w:spacing w:val="-2"/>
        </w:rPr>
        <w:t>introduction.</w:t>
      </w:r>
    </w:p>
    <w:p>
      <w:pPr>
        <w:pStyle w:val="BodyText"/>
        <w:spacing w:line="292" w:lineRule="auto" w:before="48"/>
        <w:ind w:left="829" w:right="753" w:firstLine="340"/>
        <w:jc w:val="both"/>
      </w:pPr>
      <w:r>
        <w:rPr>
          <w:i/>
          <w:color w:val="231F20"/>
        </w:rPr>
        <w:t>Samples </w:t>
      </w:r>
      <w:r>
        <w:rPr>
          <w:color w:val="231F20"/>
        </w:rPr>
        <w:t>are a high-cost way of introducing a new product. </w:t>
      </w:r>
      <w:r>
        <w:rPr>
          <w:color w:val="231F20"/>
        </w:rPr>
        <w:t>Sam- pling requires a cash investment to produce and stock the smaller- sized packages. Samples are properly used for products whose benefits are “sensory in nature” and cannot be communicated effec- tively by advertising. Sampling may also be effective for products</w:t>
      </w:r>
      <w:r>
        <w:rPr>
          <w:color w:val="231F20"/>
          <w:spacing w:val="40"/>
        </w:rPr>
        <w:t> </w:t>
      </w:r>
      <w:r>
        <w:rPr>
          <w:color w:val="231F20"/>
        </w:rPr>
        <w:t>that consumers would view as risky in switching to a new brand, or that may have a high probability of generating </w:t>
      </w:r>
      <w:r>
        <w:rPr>
          <w:i/>
          <w:color w:val="231F20"/>
        </w:rPr>
        <w:t>word of mouth</w:t>
      </w:r>
      <w:r>
        <w:rPr>
          <w:i/>
          <w:color w:val="231F20"/>
          <w:spacing w:val="80"/>
          <w:w w:val="150"/>
        </w:rPr>
        <w:t> </w:t>
      </w:r>
      <w:r>
        <w:rPr>
          <w:color w:val="231F20"/>
        </w:rPr>
        <w:t>(WOM) activity after use. Many new shampoos use free or low-cost samples</w:t>
      </w:r>
      <w:r>
        <w:rPr>
          <w:color w:val="231F20"/>
          <w:spacing w:val="7"/>
        </w:rPr>
        <w:t> </w:t>
      </w:r>
      <w:r>
        <w:rPr>
          <w:color w:val="231F20"/>
        </w:rPr>
        <w:t>since</w:t>
      </w:r>
      <w:r>
        <w:rPr>
          <w:color w:val="231F20"/>
          <w:spacing w:val="7"/>
        </w:rPr>
        <w:t> </w:t>
      </w:r>
      <w:r>
        <w:rPr>
          <w:color w:val="231F20"/>
        </w:rPr>
        <w:t>their</w:t>
      </w:r>
      <w:r>
        <w:rPr>
          <w:color w:val="231F20"/>
          <w:spacing w:val="7"/>
        </w:rPr>
        <w:t> </w:t>
      </w:r>
      <w:r>
        <w:rPr>
          <w:color w:val="231F20"/>
        </w:rPr>
        <w:t>benefits</w:t>
      </w:r>
      <w:r>
        <w:rPr>
          <w:color w:val="231F20"/>
          <w:spacing w:val="8"/>
        </w:rPr>
        <w:t> </w:t>
      </w:r>
      <w:r>
        <w:rPr>
          <w:color w:val="231F20"/>
        </w:rPr>
        <w:t>are</w:t>
      </w:r>
      <w:r>
        <w:rPr>
          <w:color w:val="231F20"/>
          <w:spacing w:val="7"/>
        </w:rPr>
        <w:t> </w:t>
      </w:r>
      <w:r>
        <w:rPr>
          <w:color w:val="231F20"/>
        </w:rPr>
        <w:t>sensory.</w:t>
      </w:r>
      <w:r>
        <w:rPr>
          <w:color w:val="231F20"/>
          <w:spacing w:val="7"/>
        </w:rPr>
        <w:t> </w:t>
      </w:r>
      <w:r>
        <w:rPr>
          <w:color w:val="231F20"/>
        </w:rPr>
        <w:t>Consumers</w:t>
      </w:r>
      <w:r>
        <w:rPr>
          <w:color w:val="231F20"/>
          <w:spacing w:val="7"/>
        </w:rPr>
        <w:t> </w:t>
      </w:r>
      <w:r>
        <w:rPr>
          <w:color w:val="231F20"/>
        </w:rPr>
        <w:t>are</w:t>
      </w:r>
      <w:r>
        <w:rPr>
          <w:color w:val="231F20"/>
          <w:spacing w:val="8"/>
        </w:rPr>
        <w:t> </w:t>
      </w:r>
      <w:r>
        <w:rPr>
          <w:color w:val="231F20"/>
        </w:rPr>
        <w:t>reluctant</w:t>
      </w:r>
      <w:r>
        <w:rPr>
          <w:color w:val="231F20"/>
          <w:spacing w:val="7"/>
        </w:rPr>
        <w:t> </w:t>
      </w:r>
      <w:r>
        <w:rPr>
          <w:color w:val="231F20"/>
          <w:spacing w:val="-5"/>
        </w:rPr>
        <w:t>to</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risk four dollars to try a whole bottle. Sampling reduces the </w:t>
      </w:r>
      <w:r>
        <w:rPr>
          <w:color w:val="231F20"/>
        </w:rPr>
        <w:t>buyer’s risk of trial.</w:t>
      </w:r>
    </w:p>
    <w:p>
      <w:pPr>
        <w:pStyle w:val="BodyText"/>
        <w:spacing w:line="292" w:lineRule="auto"/>
        <w:ind w:left="919" w:right="664" w:firstLine="340"/>
        <w:jc w:val="both"/>
      </w:pPr>
      <w:r>
        <w:rPr>
          <w:i/>
          <w:color w:val="231F20"/>
        </w:rPr>
        <w:t>Premiums</w:t>
      </w:r>
      <w:r>
        <w:rPr>
          <w:i/>
          <w:color w:val="231F20"/>
          <w:spacing w:val="31"/>
        </w:rPr>
        <w:t> </w:t>
      </w:r>
      <w:r>
        <w:rPr>
          <w:color w:val="231F20"/>
        </w:rPr>
        <w:t>are</w:t>
      </w:r>
      <w:r>
        <w:rPr>
          <w:color w:val="231F20"/>
          <w:spacing w:val="32"/>
        </w:rPr>
        <w:t> </w:t>
      </w:r>
      <w:r>
        <w:rPr>
          <w:color w:val="231F20"/>
        </w:rPr>
        <w:t>items</w:t>
      </w:r>
      <w:r>
        <w:rPr>
          <w:color w:val="231F20"/>
          <w:spacing w:val="32"/>
        </w:rPr>
        <w:t> </w:t>
      </w:r>
      <w:r>
        <w:rPr>
          <w:color w:val="231F20"/>
        </w:rPr>
        <w:t>offered</w:t>
      </w:r>
      <w:r>
        <w:rPr>
          <w:color w:val="231F20"/>
          <w:spacing w:val="32"/>
        </w:rPr>
        <w:t> </w:t>
      </w:r>
      <w:r>
        <w:rPr>
          <w:color w:val="231F20"/>
        </w:rPr>
        <w:t>at</w:t>
      </w:r>
      <w:r>
        <w:rPr>
          <w:color w:val="231F20"/>
          <w:spacing w:val="32"/>
        </w:rPr>
        <w:t> </w:t>
      </w:r>
      <w:r>
        <w:rPr>
          <w:color w:val="231F20"/>
        </w:rPr>
        <w:t>low</w:t>
      </w:r>
      <w:r>
        <w:rPr>
          <w:color w:val="231F20"/>
          <w:spacing w:val="32"/>
        </w:rPr>
        <w:t> </w:t>
      </w:r>
      <w:r>
        <w:rPr>
          <w:color w:val="231F20"/>
        </w:rPr>
        <w:t>or</w:t>
      </w:r>
      <w:r>
        <w:rPr>
          <w:color w:val="231F20"/>
          <w:spacing w:val="32"/>
        </w:rPr>
        <w:t> </w:t>
      </w:r>
      <w:r>
        <w:rPr>
          <w:color w:val="231F20"/>
        </w:rPr>
        <w:t>no</w:t>
      </w:r>
      <w:r>
        <w:rPr>
          <w:color w:val="231F20"/>
          <w:spacing w:val="32"/>
        </w:rPr>
        <w:t> </w:t>
      </w:r>
      <w:r>
        <w:rPr>
          <w:color w:val="231F20"/>
        </w:rPr>
        <w:t>cost</w:t>
      </w:r>
      <w:r>
        <w:rPr>
          <w:color w:val="231F20"/>
          <w:spacing w:val="32"/>
        </w:rPr>
        <w:t> </w:t>
      </w:r>
      <w:r>
        <w:rPr>
          <w:color w:val="231F20"/>
        </w:rPr>
        <w:t>to</w:t>
      </w:r>
      <w:r>
        <w:rPr>
          <w:color w:val="231F20"/>
          <w:spacing w:val="32"/>
        </w:rPr>
        <w:t> </w:t>
      </w:r>
      <w:r>
        <w:rPr>
          <w:color w:val="231F20"/>
        </w:rPr>
        <w:t>purchasers</w:t>
      </w:r>
      <w:r>
        <w:rPr>
          <w:color w:val="231F20"/>
          <w:spacing w:val="32"/>
        </w:rPr>
        <w:t> </w:t>
      </w:r>
      <w:r>
        <w:rPr>
          <w:color w:val="231F20"/>
        </w:rPr>
        <w:t>of a</w:t>
      </w:r>
      <w:r>
        <w:rPr>
          <w:color w:val="231F20"/>
          <w:spacing w:val="40"/>
        </w:rPr>
        <w:t> </w:t>
      </w:r>
      <w:r>
        <w:rPr>
          <w:color w:val="231F20"/>
        </w:rPr>
        <w:t>product.</w:t>
      </w:r>
      <w:r>
        <w:rPr>
          <w:color w:val="231F20"/>
          <w:spacing w:val="40"/>
        </w:rPr>
        <w:t> </w:t>
      </w:r>
      <w:r>
        <w:rPr>
          <w:i/>
          <w:color w:val="231F20"/>
        </w:rPr>
        <w:t>Self-liquidating</w:t>
      </w:r>
      <w:r>
        <w:rPr>
          <w:i/>
          <w:color w:val="231F20"/>
          <w:spacing w:val="40"/>
        </w:rPr>
        <w:t> </w:t>
      </w:r>
      <w:r>
        <w:rPr>
          <w:color w:val="231F20"/>
        </w:rPr>
        <w:t>premiums</w:t>
      </w:r>
      <w:r>
        <w:rPr>
          <w:color w:val="231F20"/>
          <w:spacing w:val="40"/>
        </w:rPr>
        <w:t> </w:t>
      </w:r>
      <w:r>
        <w:rPr>
          <w:color w:val="231F20"/>
        </w:rPr>
        <w:t>are</w:t>
      </w:r>
      <w:r>
        <w:rPr>
          <w:color w:val="231F20"/>
          <w:spacing w:val="40"/>
        </w:rPr>
        <w:t> </w:t>
      </w:r>
      <w:r>
        <w:rPr>
          <w:color w:val="231F20"/>
        </w:rPr>
        <w:t>those</w:t>
      </w:r>
      <w:r>
        <w:rPr>
          <w:color w:val="231F20"/>
          <w:spacing w:val="40"/>
        </w:rPr>
        <w:t> </w:t>
      </w:r>
      <w:r>
        <w:rPr>
          <w:color w:val="231F20"/>
        </w:rPr>
        <w:t>for</w:t>
      </w:r>
      <w:r>
        <w:rPr>
          <w:color w:val="231F20"/>
          <w:spacing w:val="40"/>
        </w:rPr>
        <w:t> </w:t>
      </w:r>
      <w:r>
        <w:rPr>
          <w:color w:val="231F20"/>
        </w:rPr>
        <w:t>which</w:t>
      </w:r>
      <w:r>
        <w:rPr>
          <w:color w:val="231F20"/>
          <w:spacing w:val="40"/>
        </w:rPr>
        <w:t> </w:t>
      </w:r>
      <w:r>
        <w:rPr>
          <w:color w:val="231F20"/>
        </w:rPr>
        <w:t>the</w:t>
      </w:r>
      <w:r>
        <w:rPr>
          <w:color w:val="231F20"/>
          <w:spacing w:val="80"/>
        </w:rPr>
        <w:t> </w:t>
      </w:r>
      <w:r>
        <w:rPr>
          <w:color w:val="231F20"/>
        </w:rPr>
        <w:t>price charged covers just costs. Hershey’s has periodically offered watches and Christmas ornaments as premiums. To get the goodies, chocolate</w:t>
      </w:r>
      <w:r>
        <w:rPr>
          <w:color w:val="231F20"/>
          <w:spacing w:val="40"/>
        </w:rPr>
        <w:t> </w:t>
      </w:r>
      <w:r>
        <w:rPr>
          <w:color w:val="231F20"/>
        </w:rPr>
        <w:t>lovers</w:t>
      </w:r>
      <w:r>
        <w:rPr>
          <w:color w:val="231F20"/>
          <w:spacing w:val="40"/>
        </w:rPr>
        <w:t> </w:t>
      </w:r>
      <w:r>
        <w:rPr>
          <w:color w:val="231F20"/>
        </w:rPr>
        <w:t>have</w:t>
      </w:r>
      <w:r>
        <w:rPr>
          <w:color w:val="231F20"/>
          <w:spacing w:val="40"/>
        </w:rPr>
        <w:t> </w:t>
      </w:r>
      <w:r>
        <w:rPr>
          <w:color w:val="231F20"/>
        </w:rPr>
        <w:t>to</w:t>
      </w:r>
      <w:r>
        <w:rPr>
          <w:color w:val="231F20"/>
          <w:spacing w:val="40"/>
        </w:rPr>
        <w:t> </w:t>
      </w:r>
      <w:r>
        <w:rPr>
          <w:color w:val="231F20"/>
        </w:rPr>
        <w:t>send</w:t>
      </w:r>
      <w:r>
        <w:rPr>
          <w:color w:val="231F20"/>
          <w:spacing w:val="40"/>
        </w:rPr>
        <w:t> </w:t>
      </w:r>
      <w:r>
        <w:rPr>
          <w:color w:val="231F20"/>
        </w:rPr>
        <w:t>in</w:t>
      </w:r>
      <w:r>
        <w:rPr>
          <w:color w:val="231F20"/>
          <w:spacing w:val="40"/>
        </w:rPr>
        <w:t> </w:t>
      </w:r>
      <w:r>
        <w:rPr>
          <w:color w:val="231F20"/>
        </w:rPr>
        <w:t>wrappers</w:t>
      </w:r>
      <w:r>
        <w:rPr>
          <w:color w:val="231F20"/>
          <w:spacing w:val="40"/>
        </w:rPr>
        <w:t> </w:t>
      </w:r>
      <w:r>
        <w:rPr>
          <w:color w:val="231F20"/>
        </w:rPr>
        <w:t>as</w:t>
      </w:r>
      <w:r>
        <w:rPr>
          <w:color w:val="231F20"/>
          <w:spacing w:val="40"/>
        </w:rPr>
        <w:t> </w:t>
      </w:r>
      <w:r>
        <w:rPr>
          <w:color w:val="231F20"/>
        </w:rPr>
        <w:t>proof</w:t>
      </w:r>
      <w:r>
        <w:rPr>
          <w:color w:val="231F20"/>
          <w:spacing w:val="40"/>
        </w:rPr>
        <w:t> </w:t>
      </w:r>
      <w:r>
        <w:rPr>
          <w:color w:val="231F20"/>
        </w:rPr>
        <w:t>of</w:t>
      </w:r>
      <w:r>
        <w:rPr>
          <w:color w:val="231F20"/>
          <w:spacing w:val="40"/>
        </w:rPr>
        <w:t> </w:t>
      </w:r>
      <w:r>
        <w:rPr>
          <w:color w:val="231F20"/>
        </w:rPr>
        <w:t>purchase. Mr. Bubble, the happy pink bubble-bath man, is pictured on inex- pensive T-shirts, beach towels, and sweatshirts that are printed on every box.</w:t>
      </w:r>
    </w:p>
    <w:p>
      <w:pPr>
        <w:pStyle w:val="BodyText"/>
        <w:spacing w:line="292" w:lineRule="auto"/>
        <w:ind w:left="919" w:right="665" w:firstLine="340"/>
        <w:jc w:val="both"/>
      </w:pPr>
      <w:r>
        <w:rPr>
          <w:i/>
          <w:color w:val="231F20"/>
        </w:rPr>
        <w:t>Contests and sweepstakes </w:t>
      </w:r>
      <w:r>
        <w:rPr>
          <w:color w:val="231F20"/>
        </w:rPr>
        <w:t>are a popular promotion and the most restricted legally, because they border on gambling. Many contests are conducted by inviting customers to corporate Web sites to play a game and enter contests. A thorough analysis of the game rules and the laws must be conducted to avoid a disaster. State gambling laws must be investigated to ensure compliance. The game rules and odds of winning must also be scrutinized to ensure that the </w:t>
      </w:r>
      <w:r>
        <w:rPr>
          <w:color w:val="231F20"/>
        </w:rPr>
        <w:t>promotional budget will cover the forecasted costs. In 1984 McDonald’s ran a summer Olympics medal game. Every time the United States won, game pieces could be redeemed for free food and other prizes. When the Communist bloc boycotted the games, the United States won</w:t>
      </w:r>
      <w:r>
        <w:rPr>
          <w:color w:val="231F20"/>
          <w:spacing w:val="40"/>
        </w:rPr>
        <w:t> </w:t>
      </w:r>
      <w:r>
        <w:rPr>
          <w:color w:val="231F20"/>
        </w:rPr>
        <w:t>most of the medals, and most of the game pieces became winners.</w:t>
      </w:r>
    </w:p>
    <w:p>
      <w:pPr>
        <w:spacing w:line="292" w:lineRule="auto" w:before="0"/>
        <w:ind w:left="919" w:right="663" w:firstLine="340"/>
        <w:jc w:val="both"/>
        <w:rPr>
          <w:sz w:val="21"/>
        </w:rPr>
      </w:pPr>
      <w:r>
        <w:rPr>
          <w:i/>
          <w:color w:val="231F20"/>
          <w:sz w:val="21"/>
        </w:rPr>
        <w:t>Trade-directed sales promotions </w:t>
      </w:r>
      <w:r>
        <w:rPr>
          <w:color w:val="231F20"/>
          <w:sz w:val="21"/>
        </w:rPr>
        <w:t>tools include sales contests, point-of-purchase</w:t>
      </w:r>
      <w:r>
        <w:rPr>
          <w:color w:val="231F20"/>
          <w:spacing w:val="80"/>
          <w:sz w:val="21"/>
        </w:rPr>
        <w:t> </w:t>
      </w:r>
      <w:r>
        <w:rPr>
          <w:color w:val="231F20"/>
          <w:sz w:val="21"/>
        </w:rPr>
        <w:t>displays,</w:t>
      </w:r>
      <w:r>
        <w:rPr>
          <w:color w:val="231F20"/>
          <w:spacing w:val="80"/>
          <w:sz w:val="21"/>
        </w:rPr>
        <w:t> </w:t>
      </w:r>
      <w:r>
        <w:rPr>
          <w:color w:val="231F20"/>
          <w:sz w:val="21"/>
        </w:rPr>
        <w:t>dealer</w:t>
      </w:r>
      <w:r>
        <w:rPr>
          <w:color w:val="231F20"/>
          <w:spacing w:val="80"/>
          <w:sz w:val="21"/>
        </w:rPr>
        <w:t> </w:t>
      </w:r>
      <w:r>
        <w:rPr>
          <w:color w:val="231F20"/>
          <w:sz w:val="21"/>
        </w:rPr>
        <w:t>incentives,</w:t>
      </w:r>
      <w:r>
        <w:rPr>
          <w:color w:val="231F20"/>
          <w:spacing w:val="80"/>
          <w:sz w:val="21"/>
        </w:rPr>
        <w:t> </w:t>
      </w:r>
      <w:r>
        <w:rPr>
          <w:color w:val="231F20"/>
          <w:sz w:val="21"/>
        </w:rPr>
        <w:t>trade</w:t>
      </w:r>
      <w:r>
        <w:rPr>
          <w:color w:val="231F20"/>
          <w:spacing w:val="80"/>
          <w:sz w:val="21"/>
        </w:rPr>
        <w:t> </w:t>
      </w:r>
      <w:r>
        <w:rPr>
          <w:color w:val="231F20"/>
          <w:sz w:val="21"/>
        </w:rPr>
        <w:t>shows,</w:t>
      </w:r>
      <w:r>
        <w:rPr>
          <w:color w:val="231F20"/>
          <w:spacing w:val="80"/>
          <w:sz w:val="21"/>
        </w:rPr>
        <w:t> </w:t>
      </w:r>
      <w:r>
        <w:rPr>
          <w:color w:val="231F20"/>
          <w:sz w:val="21"/>
        </w:rPr>
        <w:t>and in-store demonstrations.</w:t>
      </w:r>
    </w:p>
    <w:p>
      <w:pPr>
        <w:pStyle w:val="BodyText"/>
        <w:spacing w:line="292" w:lineRule="auto"/>
        <w:ind w:left="919" w:right="663" w:firstLine="340"/>
        <w:jc w:val="both"/>
      </w:pPr>
      <w:r>
        <w:rPr>
          <w:color w:val="231F20"/>
        </w:rPr>
        <w:t>There are many variations on the </w:t>
      </w:r>
      <w:r>
        <w:rPr>
          <w:i/>
          <w:color w:val="231F20"/>
        </w:rPr>
        <w:t>point-of-purchase display</w:t>
      </w:r>
      <w:r>
        <w:rPr>
          <w:i/>
          <w:color w:val="231F20"/>
          <w:spacing w:val="80"/>
        </w:rPr>
        <w:t> </w:t>
      </w:r>
      <w:r>
        <w:rPr>
          <w:color w:val="231F20"/>
        </w:rPr>
        <w:t>(POP). To get them in the stores requires the cooperation of the</w:t>
      </w:r>
      <w:r>
        <w:rPr>
          <w:color w:val="231F20"/>
          <w:spacing w:val="40"/>
        </w:rPr>
        <w:t> </w:t>
      </w:r>
      <w:r>
        <w:rPr>
          <w:color w:val="231F20"/>
        </w:rPr>
        <w:t>trade. On the retail shelf a POP can be </w:t>
      </w:r>
      <w:r>
        <w:rPr>
          <w:i/>
          <w:color w:val="231F20"/>
        </w:rPr>
        <w:t>a shelf talker, </w:t>
      </w:r>
      <w:r>
        <w:rPr>
          <w:color w:val="231F20"/>
        </w:rPr>
        <w:t>a minibillboard attached to the end of the shelf with a little ad used to attract atten- tion. Freestanding aisle displays and built-in shelf displays are other forms of POP. When a display is at the end of an aisle it is referred to as an </w:t>
      </w:r>
      <w:r>
        <w:rPr>
          <w:i/>
          <w:color w:val="231F20"/>
        </w:rPr>
        <w:t>end cap. </w:t>
      </w:r>
      <w:r>
        <w:rPr>
          <w:color w:val="231F20"/>
        </w:rPr>
        <w:t>To get those prime sports, the manufacturer must en- tice the retailer. A marketer can do it by providing a high markup</w:t>
      </w:r>
      <w:r>
        <w:rPr>
          <w:color w:val="231F20"/>
          <w:spacing w:val="80"/>
          <w:w w:val="150"/>
        </w:rPr>
        <w:t> </w:t>
      </w:r>
      <w:r>
        <w:rPr>
          <w:color w:val="231F20"/>
        </w:rPr>
        <w:t>per item or a high turnover on lower-margin items.</w:t>
      </w:r>
    </w:p>
    <w:p>
      <w:pPr>
        <w:spacing w:line="292" w:lineRule="auto" w:before="0"/>
        <w:ind w:left="919" w:right="667" w:firstLine="340"/>
        <w:jc w:val="both"/>
        <w:rPr>
          <w:sz w:val="21"/>
        </w:rPr>
      </w:pPr>
      <w:r>
        <w:rPr>
          <w:i/>
          <w:color w:val="231F20"/>
          <w:w w:val="105"/>
          <w:sz w:val="21"/>
        </w:rPr>
        <w:t>Dealer</w:t>
      </w:r>
      <w:r>
        <w:rPr>
          <w:i/>
          <w:color w:val="231F20"/>
          <w:w w:val="105"/>
          <w:sz w:val="21"/>
        </w:rPr>
        <w:t> and</w:t>
      </w:r>
      <w:r>
        <w:rPr>
          <w:i/>
          <w:color w:val="231F20"/>
          <w:w w:val="105"/>
          <w:sz w:val="21"/>
        </w:rPr>
        <w:t> employee</w:t>
      </w:r>
      <w:r>
        <w:rPr>
          <w:i/>
          <w:color w:val="231F20"/>
          <w:w w:val="105"/>
          <w:sz w:val="21"/>
        </w:rPr>
        <w:t> incentives.</w:t>
      </w:r>
      <w:r>
        <w:rPr>
          <w:i/>
          <w:color w:val="231F20"/>
          <w:w w:val="105"/>
          <w:sz w:val="21"/>
        </w:rPr>
        <w:t> </w:t>
      </w:r>
      <w:r>
        <w:rPr>
          <w:color w:val="231F20"/>
          <w:w w:val="105"/>
          <w:sz w:val="21"/>
        </w:rPr>
        <w:t>Payments</w:t>
      </w:r>
      <w:r>
        <w:rPr>
          <w:color w:val="231F20"/>
          <w:w w:val="105"/>
          <w:sz w:val="21"/>
        </w:rPr>
        <w:t> made</w:t>
      </w:r>
      <w:r>
        <w:rPr>
          <w:color w:val="231F20"/>
          <w:w w:val="105"/>
          <w:sz w:val="21"/>
        </w:rPr>
        <w:t> to</w:t>
      </w:r>
      <w:r>
        <w:rPr>
          <w:color w:val="231F20"/>
          <w:w w:val="105"/>
          <w:sz w:val="21"/>
        </w:rPr>
        <w:t> dealers</w:t>
      </w:r>
      <w:r>
        <w:rPr>
          <w:color w:val="231F20"/>
          <w:w w:val="105"/>
          <w:sz w:val="21"/>
        </w:rPr>
        <w:t> </w:t>
      </w:r>
      <w:r>
        <w:rPr>
          <w:color w:val="231F20"/>
          <w:w w:val="105"/>
          <w:sz w:val="21"/>
        </w:rPr>
        <w:t>for marketing</w:t>
      </w:r>
      <w:r>
        <w:rPr>
          <w:color w:val="231F20"/>
          <w:spacing w:val="-1"/>
          <w:w w:val="105"/>
          <w:sz w:val="21"/>
        </w:rPr>
        <w:t> </w:t>
      </w:r>
      <w:r>
        <w:rPr>
          <w:color w:val="231F20"/>
          <w:w w:val="105"/>
          <w:sz w:val="21"/>
        </w:rPr>
        <w:t>support are called</w:t>
      </w:r>
      <w:r>
        <w:rPr>
          <w:color w:val="231F20"/>
          <w:spacing w:val="-1"/>
          <w:w w:val="105"/>
          <w:sz w:val="21"/>
        </w:rPr>
        <w:t> </w:t>
      </w:r>
      <w:r>
        <w:rPr>
          <w:i/>
          <w:color w:val="231F20"/>
          <w:w w:val="105"/>
          <w:sz w:val="21"/>
        </w:rPr>
        <w:t>spiffs. </w:t>
      </w:r>
      <w:r>
        <w:rPr>
          <w:color w:val="231F20"/>
          <w:w w:val="105"/>
          <w:sz w:val="21"/>
        </w:rPr>
        <w:t>They can take the form of </w:t>
      </w:r>
      <w:r>
        <w:rPr>
          <w:color w:val="231F20"/>
          <w:spacing w:val="-2"/>
          <w:w w:val="105"/>
          <w:sz w:val="21"/>
        </w:rPr>
        <w:t>slot-</w:t>
      </w:r>
    </w:p>
    <w:p>
      <w:pPr>
        <w:spacing w:after="0" w:line="292" w:lineRule="auto"/>
        <w:jc w:val="both"/>
        <w:rPr>
          <w:sz w:val="21"/>
        </w:rPr>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4"/>
        <w:jc w:val="both"/>
      </w:pPr>
      <w:r>
        <w:rPr>
          <w:color w:val="231F20"/>
        </w:rPr>
        <w:t>ting fees, case discounts, cash payments, free merchandise, or </w:t>
      </w:r>
      <w:r>
        <w:rPr>
          <w:color w:val="231F20"/>
        </w:rPr>
        <w:t>prizes. Spiffs</w:t>
      </w:r>
      <w:r>
        <w:rPr>
          <w:color w:val="231F20"/>
          <w:spacing w:val="40"/>
        </w:rPr>
        <w:t> </w:t>
      </w:r>
      <w:r>
        <w:rPr>
          <w:color w:val="231F20"/>
        </w:rPr>
        <w:t>enable</w:t>
      </w:r>
      <w:r>
        <w:rPr>
          <w:color w:val="231F20"/>
          <w:spacing w:val="40"/>
        </w:rPr>
        <w:t> </w:t>
      </w:r>
      <w:r>
        <w:rPr>
          <w:color w:val="231F20"/>
        </w:rPr>
        <w:t>the</w:t>
      </w:r>
      <w:r>
        <w:rPr>
          <w:color w:val="231F20"/>
          <w:spacing w:val="40"/>
        </w:rPr>
        <w:t> </w:t>
      </w:r>
      <w:r>
        <w:rPr>
          <w:color w:val="231F20"/>
        </w:rPr>
        <w:t>dealer</w:t>
      </w:r>
      <w:r>
        <w:rPr>
          <w:color w:val="231F20"/>
          <w:spacing w:val="40"/>
        </w:rPr>
        <w:t> </w:t>
      </w:r>
      <w:r>
        <w:rPr>
          <w:color w:val="231F20"/>
        </w:rPr>
        <w:t>to</w:t>
      </w:r>
      <w:r>
        <w:rPr>
          <w:color w:val="231F20"/>
          <w:spacing w:val="40"/>
        </w:rPr>
        <w:t> </w:t>
      </w:r>
      <w:r>
        <w:rPr>
          <w:color w:val="231F20"/>
        </w:rPr>
        <w:t>discount,</w:t>
      </w:r>
      <w:r>
        <w:rPr>
          <w:color w:val="231F20"/>
          <w:spacing w:val="40"/>
        </w:rPr>
        <w:t> </w:t>
      </w:r>
      <w:r>
        <w:rPr>
          <w:color w:val="231F20"/>
        </w:rPr>
        <w:t>promote,</w:t>
      </w:r>
      <w:r>
        <w:rPr>
          <w:color w:val="231F20"/>
          <w:spacing w:val="40"/>
        </w:rPr>
        <w:t> </w:t>
      </w:r>
      <w:r>
        <w:rPr>
          <w:color w:val="231F20"/>
        </w:rPr>
        <w:t>or</w:t>
      </w:r>
      <w:r>
        <w:rPr>
          <w:color w:val="231F20"/>
          <w:spacing w:val="40"/>
        </w:rPr>
        <w:t> </w:t>
      </w:r>
      <w:r>
        <w:rPr>
          <w:color w:val="231F20"/>
        </w:rPr>
        <w:t>justify</w:t>
      </w:r>
      <w:r>
        <w:rPr>
          <w:color w:val="231F20"/>
          <w:spacing w:val="40"/>
        </w:rPr>
        <w:t> </w:t>
      </w:r>
      <w:r>
        <w:rPr>
          <w:color w:val="231F20"/>
        </w:rPr>
        <w:t>carrying</w:t>
      </w:r>
      <w:r>
        <w:rPr>
          <w:color w:val="231F20"/>
          <w:spacing w:val="80"/>
        </w:rPr>
        <w:t> </w:t>
      </w:r>
      <w:r>
        <w:rPr>
          <w:color w:val="231F20"/>
        </w:rPr>
        <w:t>a product. A manufacturer can also give incentives to the dealer’s employees to place store displays or award prizes for meeting sales </w:t>
      </w:r>
      <w:r>
        <w:rPr>
          <w:color w:val="231F20"/>
          <w:spacing w:val="-2"/>
        </w:rPr>
        <w:t>targets.</w:t>
      </w:r>
    </w:p>
    <w:p>
      <w:pPr>
        <w:pStyle w:val="BodyText"/>
        <w:spacing w:line="292" w:lineRule="auto"/>
        <w:ind w:left="830" w:right="756" w:firstLine="340"/>
        <w:jc w:val="both"/>
      </w:pPr>
      <w:r>
        <w:rPr>
          <w:i/>
          <w:color w:val="231F20"/>
        </w:rPr>
        <w:t>Trade shows </w:t>
      </w:r>
      <w:r>
        <w:rPr>
          <w:color w:val="231F20"/>
        </w:rPr>
        <w:t>are a way to promote a new or existing product </w:t>
      </w:r>
      <w:r>
        <w:rPr>
          <w:color w:val="231F20"/>
        </w:rPr>
        <w:t>to the wholesalers, dealers, retailers, and distributors. This promotion tries to encourage the channel participants to carry your product. A fledgling start-up company making housewares, for example, would need to attend trade shows to develop the distribution contacts that might carry their products to retail. If you have no trade contacts,</w:t>
      </w:r>
      <w:r>
        <w:rPr>
          <w:color w:val="231F20"/>
          <w:spacing w:val="40"/>
        </w:rPr>
        <w:t> </w:t>
      </w:r>
      <w:r>
        <w:rPr>
          <w:color w:val="231F20"/>
        </w:rPr>
        <w:t>you have to develop them.</w:t>
      </w:r>
    </w:p>
    <w:p>
      <w:pPr>
        <w:pStyle w:val="BodyText"/>
        <w:spacing w:line="292" w:lineRule="auto"/>
        <w:ind w:left="829" w:right="753" w:firstLine="340"/>
        <w:jc w:val="both"/>
      </w:pPr>
      <w:r>
        <w:rPr>
          <w:i/>
          <w:color w:val="231F20"/>
        </w:rPr>
        <w:t>In-store demonstrations. </w:t>
      </w:r>
      <w:r>
        <w:rPr>
          <w:color w:val="231F20"/>
        </w:rPr>
        <w:t>Trained experts from the manufacturer </w:t>
      </w:r>
      <w:r>
        <w:rPr>
          <w:color w:val="231F20"/>
          <w:spacing w:val="-2"/>
          <w:w w:val="105"/>
        </w:rPr>
        <w:t>are</w:t>
      </w:r>
      <w:r>
        <w:rPr>
          <w:color w:val="231F20"/>
          <w:spacing w:val="-5"/>
          <w:w w:val="105"/>
        </w:rPr>
        <w:t> </w:t>
      </w:r>
      <w:r>
        <w:rPr>
          <w:color w:val="231F20"/>
          <w:spacing w:val="-2"/>
          <w:w w:val="105"/>
        </w:rPr>
        <w:t>extensively</w:t>
      </w:r>
      <w:r>
        <w:rPr>
          <w:color w:val="231F20"/>
          <w:spacing w:val="-5"/>
          <w:w w:val="105"/>
        </w:rPr>
        <w:t> </w:t>
      </w:r>
      <w:r>
        <w:rPr>
          <w:color w:val="231F20"/>
          <w:spacing w:val="-2"/>
          <w:w w:val="105"/>
        </w:rPr>
        <w:t>used</w:t>
      </w:r>
      <w:r>
        <w:rPr>
          <w:color w:val="231F20"/>
          <w:spacing w:val="-5"/>
          <w:w w:val="105"/>
        </w:rPr>
        <w:t> </w:t>
      </w:r>
      <w:r>
        <w:rPr>
          <w:color w:val="231F20"/>
          <w:spacing w:val="-2"/>
          <w:w w:val="105"/>
        </w:rPr>
        <w:t>to</w:t>
      </w:r>
      <w:r>
        <w:rPr>
          <w:color w:val="231F20"/>
          <w:spacing w:val="-5"/>
          <w:w w:val="105"/>
        </w:rPr>
        <w:t> </w:t>
      </w:r>
      <w:r>
        <w:rPr>
          <w:color w:val="231F20"/>
          <w:spacing w:val="-2"/>
          <w:w w:val="105"/>
        </w:rPr>
        <w:t>promote</w:t>
      </w:r>
      <w:r>
        <w:rPr>
          <w:color w:val="231F20"/>
          <w:spacing w:val="-5"/>
          <w:w w:val="105"/>
        </w:rPr>
        <w:t> </w:t>
      </w:r>
      <w:r>
        <w:rPr>
          <w:color w:val="231F20"/>
          <w:spacing w:val="-2"/>
          <w:w w:val="105"/>
        </w:rPr>
        <w:t>products</w:t>
      </w:r>
      <w:r>
        <w:rPr>
          <w:color w:val="231F20"/>
          <w:spacing w:val="-5"/>
          <w:w w:val="105"/>
        </w:rPr>
        <w:t> </w:t>
      </w:r>
      <w:r>
        <w:rPr>
          <w:color w:val="231F20"/>
          <w:spacing w:val="-2"/>
          <w:w w:val="105"/>
        </w:rPr>
        <w:t>that</w:t>
      </w:r>
      <w:r>
        <w:rPr>
          <w:color w:val="231F20"/>
          <w:spacing w:val="-5"/>
          <w:w w:val="105"/>
        </w:rPr>
        <w:t> </w:t>
      </w:r>
      <w:r>
        <w:rPr>
          <w:color w:val="231F20"/>
          <w:spacing w:val="-2"/>
          <w:w w:val="105"/>
        </w:rPr>
        <w:t>would</w:t>
      </w:r>
      <w:r>
        <w:rPr>
          <w:color w:val="231F20"/>
          <w:spacing w:val="-5"/>
          <w:w w:val="105"/>
        </w:rPr>
        <w:t> </w:t>
      </w:r>
      <w:r>
        <w:rPr>
          <w:color w:val="231F20"/>
          <w:spacing w:val="-2"/>
          <w:w w:val="105"/>
        </w:rPr>
        <w:t>not</w:t>
      </w:r>
      <w:r>
        <w:rPr>
          <w:color w:val="231F20"/>
          <w:spacing w:val="-5"/>
          <w:w w:val="105"/>
        </w:rPr>
        <w:t> </w:t>
      </w:r>
      <w:r>
        <w:rPr>
          <w:color w:val="231F20"/>
          <w:spacing w:val="-2"/>
          <w:w w:val="105"/>
        </w:rPr>
        <w:t>otherwise </w:t>
      </w:r>
      <w:r>
        <w:rPr>
          <w:color w:val="231F20"/>
          <w:w w:val="105"/>
        </w:rPr>
        <w:t>generate</w:t>
      </w:r>
      <w:r>
        <w:rPr>
          <w:color w:val="231F20"/>
          <w:w w:val="105"/>
        </w:rPr>
        <w:t> consumer</w:t>
      </w:r>
      <w:r>
        <w:rPr>
          <w:color w:val="231F20"/>
          <w:w w:val="105"/>
        </w:rPr>
        <w:t> interest</w:t>
      </w:r>
      <w:r>
        <w:rPr>
          <w:color w:val="231F20"/>
          <w:w w:val="105"/>
        </w:rPr>
        <w:t> or</w:t>
      </w:r>
      <w:r>
        <w:rPr>
          <w:color w:val="231F20"/>
          <w:w w:val="105"/>
        </w:rPr>
        <w:t> be</w:t>
      </w:r>
      <w:r>
        <w:rPr>
          <w:color w:val="231F20"/>
          <w:w w:val="105"/>
        </w:rPr>
        <w:t> accepted</w:t>
      </w:r>
      <w:r>
        <w:rPr>
          <w:color w:val="231F20"/>
          <w:w w:val="105"/>
        </w:rPr>
        <w:t> by</w:t>
      </w:r>
      <w:r>
        <w:rPr>
          <w:color w:val="231F20"/>
          <w:w w:val="105"/>
        </w:rPr>
        <w:t> the</w:t>
      </w:r>
      <w:r>
        <w:rPr>
          <w:color w:val="231F20"/>
          <w:w w:val="105"/>
        </w:rPr>
        <w:t> trade.</w:t>
      </w:r>
      <w:r>
        <w:rPr>
          <w:color w:val="231F20"/>
          <w:w w:val="105"/>
        </w:rPr>
        <w:t> Small </w:t>
      </w:r>
      <w:r>
        <w:rPr>
          <w:color w:val="231F20"/>
        </w:rPr>
        <w:t>kitchen gadget hucksters set up demonstration platforms to bring in- </w:t>
      </w:r>
      <w:r>
        <w:rPr>
          <w:color w:val="231F20"/>
          <w:w w:val="105"/>
        </w:rPr>
        <w:t>conspicuous</w:t>
      </w:r>
      <w:r>
        <w:rPr>
          <w:color w:val="231F20"/>
          <w:w w:val="105"/>
        </w:rPr>
        <w:t> blades</w:t>
      </w:r>
      <w:r>
        <w:rPr>
          <w:color w:val="231F20"/>
          <w:w w:val="105"/>
        </w:rPr>
        <w:t> to</w:t>
      </w:r>
      <w:r>
        <w:rPr>
          <w:color w:val="231F20"/>
          <w:w w:val="105"/>
        </w:rPr>
        <w:t> life</w:t>
      </w:r>
      <w:r>
        <w:rPr>
          <w:color w:val="231F20"/>
          <w:w w:val="105"/>
        </w:rPr>
        <w:t> by</w:t>
      </w:r>
      <w:r>
        <w:rPr>
          <w:color w:val="231F20"/>
          <w:w w:val="105"/>
        </w:rPr>
        <w:t> creating</w:t>
      </w:r>
      <w:r>
        <w:rPr>
          <w:color w:val="231F20"/>
          <w:w w:val="105"/>
        </w:rPr>
        <w:t> “beautiful”</w:t>
      </w:r>
      <w:r>
        <w:rPr>
          <w:color w:val="231F20"/>
          <w:w w:val="105"/>
        </w:rPr>
        <w:t> plate</w:t>
      </w:r>
      <w:r>
        <w:rPr>
          <w:color w:val="231F20"/>
          <w:w w:val="105"/>
        </w:rPr>
        <w:t> garnishes with</w:t>
      </w:r>
      <w:r>
        <w:rPr>
          <w:color w:val="231F20"/>
          <w:spacing w:val="-13"/>
          <w:w w:val="105"/>
        </w:rPr>
        <w:t> </w:t>
      </w:r>
      <w:r>
        <w:rPr>
          <w:color w:val="231F20"/>
          <w:w w:val="105"/>
        </w:rPr>
        <w:t>ordinary</w:t>
      </w:r>
      <w:r>
        <w:rPr>
          <w:color w:val="231F20"/>
          <w:spacing w:val="-12"/>
          <w:w w:val="105"/>
        </w:rPr>
        <w:t> </w:t>
      </w:r>
      <w:r>
        <w:rPr>
          <w:color w:val="231F20"/>
          <w:w w:val="105"/>
        </w:rPr>
        <w:t>vegetables.</w:t>
      </w:r>
      <w:r>
        <w:rPr>
          <w:color w:val="231F20"/>
          <w:spacing w:val="-12"/>
          <w:w w:val="105"/>
        </w:rPr>
        <w:t> </w:t>
      </w:r>
      <w:r>
        <w:rPr>
          <w:color w:val="231F20"/>
          <w:w w:val="105"/>
        </w:rPr>
        <w:t>The</w:t>
      </w:r>
      <w:r>
        <w:rPr>
          <w:color w:val="231F20"/>
          <w:spacing w:val="-12"/>
          <w:w w:val="105"/>
        </w:rPr>
        <w:t> </w:t>
      </w:r>
      <w:r>
        <w:rPr>
          <w:color w:val="231F20"/>
          <w:w w:val="105"/>
        </w:rPr>
        <w:t>Clinique</w:t>
      </w:r>
      <w:r>
        <w:rPr>
          <w:color w:val="231F20"/>
          <w:spacing w:val="-12"/>
          <w:w w:val="105"/>
        </w:rPr>
        <w:t> </w:t>
      </w:r>
      <w:r>
        <w:rPr>
          <w:color w:val="231F20"/>
          <w:w w:val="105"/>
        </w:rPr>
        <w:t>ladies</w:t>
      </w:r>
      <w:r>
        <w:rPr>
          <w:color w:val="231F20"/>
          <w:spacing w:val="-12"/>
          <w:w w:val="105"/>
        </w:rPr>
        <w:t> </w:t>
      </w:r>
      <w:r>
        <w:rPr>
          <w:color w:val="231F20"/>
          <w:w w:val="105"/>
        </w:rPr>
        <w:t>in</w:t>
      </w:r>
      <w:r>
        <w:rPr>
          <w:color w:val="231F20"/>
          <w:spacing w:val="-12"/>
          <w:w w:val="105"/>
        </w:rPr>
        <w:t> </w:t>
      </w:r>
      <w:r>
        <w:rPr>
          <w:color w:val="231F20"/>
          <w:w w:val="105"/>
        </w:rPr>
        <w:t>their</w:t>
      </w:r>
      <w:r>
        <w:rPr>
          <w:color w:val="231F20"/>
          <w:spacing w:val="-13"/>
          <w:w w:val="105"/>
        </w:rPr>
        <w:t> </w:t>
      </w:r>
      <w:r>
        <w:rPr>
          <w:color w:val="231F20"/>
          <w:w w:val="105"/>
        </w:rPr>
        <w:t>white</w:t>
      </w:r>
      <w:r>
        <w:rPr>
          <w:color w:val="231F20"/>
          <w:spacing w:val="-12"/>
          <w:w w:val="105"/>
        </w:rPr>
        <w:t> </w:t>
      </w:r>
      <w:r>
        <w:rPr>
          <w:color w:val="231F20"/>
          <w:w w:val="105"/>
        </w:rPr>
        <w:t>smocks perform</w:t>
      </w:r>
      <w:r>
        <w:rPr>
          <w:color w:val="231F20"/>
          <w:spacing w:val="-8"/>
          <w:w w:val="105"/>
        </w:rPr>
        <w:t> </w:t>
      </w:r>
      <w:r>
        <w:rPr>
          <w:color w:val="231F20"/>
          <w:w w:val="105"/>
        </w:rPr>
        <w:t>a</w:t>
      </w:r>
      <w:r>
        <w:rPr>
          <w:color w:val="231F20"/>
          <w:spacing w:val="-8"/>
          <w:w w:val="105"/>
        </w:rPr>
        <w:t> </w:t>
      </w:r>
      <w:r>
        <w:rPr>
          <w:color w:val="231F20"/>
          <w:w w:val="105"/>
        </w:rPr>
        <w:t>similar</w:t>
      </w:r>
      <w:r>
        <w:rPr>
          <w:color w:val="231F20"/>
          <w:spacing w:val="-8"/>
          <w:w w:val="105"/>
        </w:rPr>
        <w:t> </w:t>
      </w:r>
      <w:r>
        <w:rPr>
          <w:color w:val="231F20"/>
          <w:w w:val="105"/>
        </w:rPr>
        <w:t>mission</w:t>
      </w:r>
      <w:r>
        <w:rPr>
          <w:color w:val="231F20"/>
          <w:spacing w:val="-8"/>
          <w:w w:val="105"/>
        </w:rPr>
        <w:t> </w:t>
      </w:r>
      <w:r>
        <w:rPr>
          <w:color w:val="231F20"/>
          <w:w w:val="105"/>
        </w:rPr>
        <w:t>for</w:t>
      </w:r>
      <w:r>
        <w:rPr>
          <w:color w:val="231F20"/>
          <w:spacing w:val="-8"/>
          <w:w w:val="105"/>
        </w:rPr>
        <w:t> </w:t>
      </w:r>
      <w:r>
        <w:rPr>
          <w:color w:val="231F20"/>
          <w:w w:val="105"/>
        </w:rPr>
        <w:t>their</w:t>
      </w:r>
      <w:r>
        <w:rPr>
          <w:color w:val="231F20"/>
          <w:spacing w:val="-8"/>
          <w:w w:val="105"/>
        </w:rPr>
        <w:t> </w:t>
      </w:r>
      <w:r>
        <w:rPr>
          <w:color w:val="231F20"/>
          <w:w w:val="105"/>
        </w:rPr>
        <w:t>boxes</w:t>
      </w:r>
      <w:r>
        <w:rPr>
          <w:color w:val="231F20"/>
          <w:spacing w:val="-8"/>
          <w:w w:val="105"/>
        </w:rPr>
        <w:t> </w:t>
      </w:r>
      <w:r>
        <w:rPr>
          <w:color w:val="231F20"/>
          <w:w w:val="105"/>
        </w:rPr>
        <w:t>of</w:t>
      </w:r>
      <w:r>
        <w:rPr>
          <w:color w:val="231F20"/>
          <w:spacing w:val="-8"/>
          <w:w w:val="105"/>
        </w:rPr>
        <w:t> </w:t>
      </w:r>
      <w:r>
        <w:rPr>
          <w:color w:val="231F20"/>
          <w:w w:val="105"/>
        </w:rPr>
        <w:t>“natural”</w:t>
      </w:r>
      <w:r>
        <w:rPr>
          <w:color w:val="231F20"/>
          <w:spacing w:val="-8"/>
          <w:w w:val="105"/>
        </w:rPr>
        <w:t> </w:t>
      </w:r>
      <w:r>
        <w:rPr>
          <w:color w:val="231F20"/>
          <w:w w:val="105"/>
        </w:rPr>
        <w:t>beauty</w:t>
      </w:r>
      <w:r>
        <w:rPr>
          <w:color w:val="231F20"/>
          <w:spacing w:val="-8"/>
          <w:w w:val="105"/>
        </w:rPr>
        <w:t> </w:t>
      </w:r>
      <w:r>
        <w:rPr>
          <w:color w:val="231F20"/>
          <w:w w:val="105"/>
        </w:rPr>
        <w:t>at</w:t>
      </w:r>
      <w:r>
        <w:rPr>
          <w:color w:val="231F20"/>
          <w:spacing w:val="-8"/>
          <w:w w:val="105"/>
        </w:rPr>
        <w:t> </w:t>
      </w:r>
      <w:r>
        <w:rPr>
          <w:color w:val="231F20"/>
          <w:w w:val="105"/>
        </w:rPr>
        <w:t>the cosmetics</w:t>
      </w:r>
      <w:r>
        <w:rPr>
          <w:color w:val="231F20"/>
          <w:w w:val="105"/>
        </w:rPr>
        <w:t> counter.</w:t>
      </w:r>
      <w:r>
        <w:rPr>
          <w:color w:val="231F20"/>
          <w:w w:val="105"/>
        </w:rPr>
        <w:t> Many</w:t>
      </w:r>
      <w:r>
        <w:rPr>
          <w:color w:val="231F20"/>
          <w:w w:val="105"/>
        </w:rPr>
        <w:t> retailers</w:t>
      </w:r>
      <w:r>
        <w:rPr>
          <w:color w:val="231F20"/>
          <w:w w:val="105"/>
        </w:rPr>
        <w:t> use</w:t>
      </w:r>
      <w:r>
        <w:rPr>
          <w:color w:val="231F20"/>
          <w:w w:val="105"/>
        </w:rPr>
        <w:t> a</w:t>
      </w:r>
      <w:r>
        <w:rPr>
          <w:color w:val="231F20"/>
          <w:w w:val="105"/>
        </w:rPr>
        <w:t> DVD</w:t>
      </w:r>
      <w:r>
        <w:rPr>
          <w:color w:val="231F20"/>
          <w:w w:val="105"/>
        </w:rPr>
        <w:t> player</w:t>
      </w:r>
      <w:r>
        <w:rPr>
          <w:color w:val="231F20"/>
          <w:w w:val="105"/>
        </w:rPr>
        <w:t> to</w:t>
      </w:r>
      <w:r>
        <w:rPr>
          <w:color w:val="231F20"/>
          <w:w w:val="105"/>
        </w:rPr>
        <w:t> play</w:t>
      </w:r>
      <w:r>
        <w:rPr>
          <w:color w:val="231F20"/>
          <w:w w:val="105"/>
        </w:rPr>
        <w:t> a recorded</w:t>
      </w:r>
      <w:r>
        <w:rPr>
          <w:color w:val="231F20"/>
          <w:spacing w:val="-2"/>
          <w:w w:val="105"/>
        </w:rPr>
        <w:t> </w:t>
      </w:r>
      <w:r>
        <w:rPr>
          <w:color w:val="231F20"/>
          <w:w w:val="105"/>
        </w:rPr>
        <w:t>demonstration</w:t>
      </w:r>
      <w:r>
        <w:rPr>
          <w:color w:val="231F20"/>
          <w:spacing w:val="-2"/>
          <w:w w:val="105"/>
        </w:rPr>
        <w:t> </w:t>
      </w:r>
      <w:r>
        <w:rPr>
          <w:color w:val="231F20"/>
          <w:w w:val="105"/>
        </w:rPr>
        <w:t>when</w:t>
      </w:r>
      <w:r>
        <w:rPr>
          <w:color w:val="231F20"/>
          <w:spacing w:val="-2"/>
          <w:w w:val="105"/>
        </w:rPr>
        <w:t> </w:t>
      </w:r>
      <w:r>
        <w:rPr>
          <w:color w:val="231F20"/>
          <w:w w:val="105"/>
        </w:rPr>
        <w:t>a</w:t>
      </w:r>
      <w:r>
        <w:rPr>
          <w:color w:val="231F20"/>
          <w:spacing w:val="-2"/>
          <w:w w:val="105"/>
        </w:rPr>
        <w:t> </w:t>
      </w:r>
      <w:r>
        <w:rPr>
          <w:color w:val="231F20"/>
          <w:w w:val="105"/>
        </w:rPr>
        <w:t>live</w:t>
      </w:r>
      <w:r>
        <w:rPr>
          <w:color w:val="231F20"/>
          <w:spacing w:val="-2"/>
          <w:w w:val="105"/>
        </w:rPr>
        <w:t> </w:t>
      </w:r>
      <w:r>
        <w:rPr>
          <w:color w:val="231F20"/>
          <w:w w:val="105"/>
        </w:rPr>
        <w:t>one</w:t>
      </w:r>
      <w:r>
        <w:rPr>
          <w:color w:val="231F20"/>
          <w:spacing w:val="-2"/>
          <w:w w:val="105"/>
        </w:rPr>
        <w:t> </w:t>
      </w:r>
      <w:r>
        <w:rPr>
          <w:color w:val="231F20"/>
          <w:w w:val="105"/>
        </w:rPr>
        <w:t>is</w:t>
      </w:r>
      <w:r>
        <w:rPr>
          <w:color w:val="231F20"/>
          <w:spacing w:val="-2"/>
          <w:w w:val="105"/>
        </w:rPr>
        <w:t> </w:t>
      </w:r>
      <w:r>
        <w:rPr>
          <w:color w:val="231F20"/>
          <w:w w:val="105"/>
        </w:rPr>
        <w:t>not</w:t>
      </w:r>
      <w:r>
        <w:rPr>
          <w:color w:val="231F20"/>
          <w:spacing w:val="-2"/>
          <w:w w:val="105"/>
        </w:rPr>
        <w:t> </w:t>
      </w:r>
      <w:r>
        <w:rPr>
          <w:color w:val="231F20"/>
          <w:w w:val="105"/>
        </w:rPr>
        <w:t>practical.</w:t>
      </w:r>
    </w:p>
    <w:p>
      <w:pPr>
        <w:pStyle w:val="BodyText"/>
        <w:spacing w:line="292" w:lineRule="auto"/>
        <w:ind w:left="829" w:right="756" w:firstLine="340"/>
        <w:jc w:val="both"/>
      </w:pPr>
      <w:r>
        <w:rPr>
          <w:color w:val="231F20"/>
        </w:rPr>
        <w:t>Whatever the sales promotion you choose in a marketing mix, each element must have an explicit marketing mission to justify </w:t>
      </w:r>
      <w:r>
        <w:rPr>
          <w:color w:val="231F20"/>
        </w:rPr>
        <w:t>its cost in the marketing mix.</w:t>
      </w:r>
    </w:p>
    <w:p>
      <w:pPr>
        <w:pStyle w:val="BodyText"/>
        <w:spacing w:before="10"/>
        <w:rPr>
          <w:sz w:val="24"/>
        </w:rPr>
      </w:pPr>
    </w:p>
    <w:p>
      <w:pPr>
        <w:pStyle w:val="BodyText"/>
        <w:spacing w:line="292" w:lineRule="auto"/>
        <w:ind w:left="829" w:right="757"/>
        <w:jc w:val="both"/>
      </w:pPr>
      <w:r>
        <w:rPr>
          <w:b/>
          <w:i/>
          <w:color w:val="231F20"/>
          <w:spacing w:val="-2"/>
        </w:rPr>
        <w:t>Public</w:t>
      </w:r>
      <w:r>
        <w:rPr>
          <w:b/>
          <w:i/>
          <w:color w:val="231F20"/>
          <w:spacing w:val="-5"/>
        </w:rPr>
        <w:t> </w:t>
      </w:r>
      <w:r>
        <w:rPr>
          <w:b/>
          <w:i/>
          <w:color w:val="231F20"/>
          <w:spacing w:val="-2"/>
        </w:rPr>
        <w:t>Relations</w:t>
      </w:r>
      <w:r>
        <w:rPr>
          <w:b/>
          <w:i/>
          <w:color w:val="231F20"/>
          <w:spacing w:val="-5"/>
        </w:rPr>
        <w:t> </w:t>
      </w:r>
      <w:r>
        <w:rPr>
          <w:b/>
          <w:i/>
          <w:color w:val="231F20"/>
          <w:spacing w:val="-2"/>
        </w:rPr>
        <w:t>and</w:t>
      </w:r>
      <w:r>
        <w:rPr>
          <w:b/>
          <w:i/>
          <w:color w:val="231F20"/>
          <w:spacing w:val="-5"/>
        </w:rPr>
        <w:t> </w:t>
      </w:r>
      <w:r>
        <w:rPr>
          <w:b/>
          <w:i/>
          <w:color w:val="231F20"/>
          <w:spacing w:val="-2"/>
        </w:rPr>
        <w:t>Publicity.</w:t>
      </w:r>
      <w:r>
        <w:rPr>
          <w:b/>
          <w:i/>
          <w:color w:val="231F20"/>
          <w:spacing w:val="-5"/>
        </w:rPr>
        <w:t> </w:t>
      </w:r>
      <w:r>
        <w:rPr>
          <w:color w:val="231F20"/>
          <w:spacing w:val="-2"/>
        </w:rPr>
        <w:t>Public</w:t>
      </w:r>
      <w:r>
        <w:rPr>
          <w:color w:val="231F20"/>
          <w:spacing w:val="-5"/>
        </w:rPr>
        <w:t> </w:t>
      </w:r>
      <w:r>
        <w:rPr>
          <w:color w:val="231F20"/>
          <w:spacing w:val="-2"/>
        </w:rPr>
        <w:t>relations</w:t>
      </w:r>
      <w:r>
        <w:rPr>
          <w:color w:val="231F20"/>
          <w:spacing w:val="-5"/>
        </w:rPr>
        <w:t> </w:t>
      </w:r>
      <w:r>
        <w:rPr>
          <w:color w:val="231F20"/>
          <w:spacing w:val="-2"/>
        </w:rPr>
        <w:t>(PR)</w:t>
      </w:r>
      <w:r>
        <w:rPr>
          <w:color w:val="231F20"/>
          <w:spacing w:val="-5"/>
        </w:rPr>
        <w:t> </w:t>
      </w:r>
      <w:r>
        <w:rPr>
          <w:color w:val="231F20"/>
          <w:spacing w:val="-2"/>
        </w:rPr>
        <w:t>is</w:t>
      </w:r>
      <w:r>
        <w:rPr>
          <w:color w:val="231F20"/>
          <w:spacing w:val="-5"/>
        </w:rPr>
        <w:t> </w:t>
      </w:r>
      <w:r>
        <w:rPr>
          <w:color w:val="231F20"/>
          <w:spacing w:val="-2"/>
        </w:rPr>
        <w:t>typically</w:t>
      </w:r>
      <w:r>
        <w:rPr>
          <w:color w:val="231F20"/>
          <w:spacing w:val="-5"/>
        </w:rPr>
        <w:t> </w:t>
      </w:r>
      <w:r>
        <w:rPr>
          <w:color w:val="231F20"/>
          <w:spacing w:val="-2"/>
        </w:rPr>
        <w:t>a</w:t>
      </w:r>
      <w:r>
        <w:rPr>
          <w:color w:val="231F20"/>
          <w:spacing w:val="-5"/>
        </w:rPr>
        <w:t> </w:t>
      </w:r>
      <w:r>
        <w:rPr>
          <w:color w:val="231F20"/>
          <w:spacing w:val="-2"/>
        </w:rPr>
        <w:t>pro- </w:t>
      </w:r>
      <w:r>
        <w:rPr>
          <w:color w:val="231F20"/>
        </w:rPr>
        <w:t>motional tool used to communicate to a broader audience. PR is in- </w:t>
      </w:r>
      <w:r>
        <w:rPr>
          <w:color w:val="231F20"/>
          <w:spacing w:val="-4"/>
        </w:rPr>
        <w:t>tended to create a favorable climate for your product, not to directly sell </w:t>
      </w:r>
      <w:r>
        <w:rPr>
          <w:color w:val="231F20"/>
        </w:rPr>
        <w:t>it. The list of possible PR targets can include politicians as well as the communities</w:t>
      </w:r>
      <w:r>
        <w:rPr>
          <w:color w:val="231F20"/>
          <w:spacing w:val="-10"/>
        </w:rPr>
        <w:t> </w:t>
      </w:r>
      <w:r>
        <w:rPr>
          <w:color w:val="231F20"/>
        </w:rPr>
        <w:t>in</w:t>
      </w:r>
      <w:r>
        <w:rPr>
          <w:color w:val="231F20"/>
          <w:spacing w:val="-10"/>
        </w:rPr>
        <w:t> </w:t>
      </w:r>
      <w:r>
        <w:rPr>
          <w:color w:val="231F20"/>
        </w:rPr>
        <w:t>which</w:t>
      </w:r>
      <w:r>
        <w:rPr>
          <w:color w:val="231F20"/>
          <w:spacing w:val="-10"/>
        </w:rPr>
        <w:t> </w:t>
      </w:r>
      <w:r>
        <w:rPr>
          <w:color w:val="231F20"/>
        </w:rPr>
        <w:t>a</w:t>
      </w:r>
      <w:r>
        <w:rPr>
          <w:color w:val="231F20"/>
          <w:spacing w:val="-10"/>
        </w:rPr>
        <w:t> </w:t>
      </w:r>
      <w:r>
        <w:rPr>
          <w:color w:val="231F20"/>
        </w:rPr>
        <w:t>company</w:t>
      </w:r>
      <w:r>
        <w:rPr>
          <w:color w:val="231F20"/>
          <w:spacing w:val="-10"/>
        </w:rPr>
        <w:t> </w:t>
      </w:r>
      <w:r>
        <w:rPr>
          <w:color w:val="231F20"/>
        </w:rPr>
        <w:t>operates.</w:t>
      </w:r>
      <w:r>
        <w:rPr>
          <w:color w:val="231F20"/>
          <w:spacing w:val="-10"/>
        </w:rPr>
        <w:t> </w:t>
      </w:r>
      <w:r>
        <w:rPr>
          <w:color w:val="231F20"/>
        </w:rPr>
        <w:t>The</w:t>
      </w:r>
      <w:r>
        <w:rPr>
          <w:color w:val="231F20"/>
          <w:spacing w:val="-10"/>
        </w:rPr>
        <w:t> </w:t>
      </w:r>
      <w:r>
        <w:rPr>
          <w:color w:val="231F20"/>
        </w:rPr>
        <w:t>PR</w:t>
      </w:r>
      <w:r>
        <w:rPr>
          <w:color w:val="231F20"/>
          <w:spacing w:val="-10"/>
        </w:rPr>
        <w:t> </w:t>
      </w:r>
      <w:r>
        <w:rPr>
          <w:color w:val="231F20"/>
        </w:rPr>
        <w:t>message</w:t>
      </w:r>
      <w:r>
        <w:rPr>
          <w:color w:val="231F20"/>
          <w:spacing w:val="-10"/>
        </w:rPr>
        <w:t> </w:t>
      </w:r>
      <w:r>
        <w:rPr>
          <w:color w:val="231F20"/>
        </w:rPr>
        <w:t>can</w:t>
      </w:r>
      <w:r>
        <w:rPr>
          <w:color w:val="231F20"/>
          <w:spacing w:val="-10"/>
        </w:rPr>
        <w:t> </w:t>
      </w:r>
      <w:r>
        <w:rPr>
          <w:color w:val="231F20"/>
        </w:rPr>
        <w:t>be</w:t>
      </w:r>
      <w:r>
        <w:rPr>
          <w:color w:val="231F20"/>
          <w:spacing w:val="-10"/>
        </w:rPr>
        <w:t> </w:t>
      </w:r>
      <w:r>
        <w:rPr>
          <w:color w:val="231F20"/>
        </w:rPr>
        <w:t>in- </w:t>
      </w:r>
      <w:r>
        <w:rPr>
          <w:color w:val="231F20"/>
          <w:spacing w:val="-6"/>
        </w:rPr>
        <w:t>tended</w:t>
      </w:r>
      <w:r>
        <w:rPr>
          <w:color w:val="231F20"/>
        </w:rPr>
        <w:t> </w:t>
      </w:r>
      <w:r>
        <w:rPr>
          <w:color w:val="231F20"/>
          <w:spacing w:val="-6"/>
        </w:rPr>
        <w:t>to</w:t>
      </w:r>
      <w:r>
        <w:rPr>
          <w:color w:val="231F20"/>
        </w:rPr>
        <w:t> </w:t>
      </w:r>
      <w:r>
        <w:rPr>
          <w:color w:val="231F20"/>
          <w:spacing w:val="-6"/>
        </w:rPr>
        <w:t>create</w:t>
      </w:r>
      <w:r>
        <w:rPr>
          <w:color w:val="231F20"/>
        </w:rPr>
        <w:t> </w:t>
      </w:r>
      <w:r>
        <w:rPr>
          <w:color w:val="231F20"/>
          <w:spacing w:val="-6"/>
        </w:rPr>
        <w:t>goodwill,</w:t>
      </w:r>
      <w:r>
        <w:rPr>
          <w:color w:val="231F20"/>
        </w:rPr>
        <w:t> </w:t>
      </w:r>
      <w:r>
        <w:rPr>
          <w:color w:val="231F20"/>
          <w:spacing w:val="-6"/>
        </w:rPr>
        <w:t>correct</w:t>
      </w:r>
      <w:r>
        <w:rPr>
          <w:color w:val="231F20"/>
        </w:rPr>
        <w:t> </w:t>
      </w:r>
      <w:r>
        <w:rPr>
          <w:color w:val="231F20"/>
          <w:spacing w:val="-6"/>
        </w:rPr>
        <w:t>a</w:t>
      </w:r>
      <w:r>
        <w:rPr>
          <w:color w:val="231F20"/>
        </w:rPr>
        <w:t> </w:t>
      </w:r>
      <w:r>
        <w:rPr>
          <w:color w:val="231F20"/>
          <w:spacing w:val="-6"/>
        </w:rPr>
        <w:t>mistaken</w:t>
      </w:r>
      <w:r>
        <w:rPr>
          <w:color w:val="231F20"/>
        </w:rPr>
        <w:t> </w:t>
      </w:r>
      <w:r>
        <w:rPr>
          <w:color w:val="231F20"/>
          <w:spacing w:val="-6"/>
        </w:rPr>
        <w:t>impression</w:t>
      </w:r>
      <w:r>
        <w:rPr>
          <w:color w:val="231F20"/>
        </w:rPr>
        <w:t> </w:t>
      </w:r>
      <w:r>
        <w:rPr>
          <w:color w:val="231F20"/>
          <w:spacing w:val="-6"/>
        </w:rPr>
        <w:t>or</w:t>
      </w:r>
      <w:r>
        <w:rPr>
          <w:color w:val="231F20"/>
        </w:rPr>
        <w:t> </w:t>
      </w:r>
      <w:r>
        <w:rPr>
          <w:color w:val="231F20"/>
          <w:spacing w:val="-6"/>
        </w:rPr>
        <w:t>factual</w:t>
      </w:r>
      <w:r>
        <w:rPr>
          <w:color w:val="231F20"/>
        </w:rPr>
        <w:t> </w:t>
      </w:r>
      <w:r>
        <w:rPr>
          <w:color w:val="231F20"/>
          <w:spacing w:val="-6"/>
        </w:rPr>
        <w:t>situa- </w:t>
      </w:r>
      <w:r>
        <w:rPr>
          <w:color w:val="231F20"/>
        </w:rPr>
        <w:t>tion, or to explain a firm’s actions. Sponsorship of prestigious or </w:t>
      </w:r>
      <w:r>
        <w:rPr>
          <w:color w:val="231F20"/>
          <w:spacing w:val="-4"/>
        </w:rPr>
        <w:t>charitable</w:t>
      </w:r>
      <w:r>
        <w:rPr>
          <w:color w:val="231F20"/>
          <w:spacing w:val="-8"/>
        </w:rPr>
        <w:t> </w:t>
      </w:r>
      <w:r>
        <w:rPr>
          <w:color w:val="231F20"/>
          <w:spacing w:val="-4"/>
        </w:rPr>
        <w:t>events</w:t>
      </w:r>
      <w:r>
        <w:rPr>
          <w:color w:val="231F20"/>
          <w:spacing w:val="-7"/>
        </w:rPr>
        <w:t> </w:t>
      </w:r>
      <w:r>
        <w:rPr>
          <w:color w:val="231F20"/>
          <w:spacing w:val="-4"/>
        </w:rPr>
        <w:t>or</w:t>
      </w:r>
      <w:r>
        <w:rPr>
          <w:color w:val="231F20"/>
          <w:spacing w:val="-7"/>
        </w:rPr>
        <w:t> </w:t>
      </w:r>
      <w:r>
        <w:rPr>
          <w:color w:val="231F20"/>
          <w:spacing w:val="-4"/>
        </w:rPr>
        <w:t>causes</w:t>
      </w:r>
      <w:r>
        <w:rPr>
          <w:color w:val="231F20"/>
          <w:spacing w:val="-7"/>
        </w:rPr>
        <w:t> </w:t>
      </w:r>
      <w:r>
        <w:rPr>
          <w:color w:val="231F20"/>
          <w:spacing w:val="-4"/>
        </w:rPr>
        <w:t>is</w:t>
      </w:r>
      <w:r>
        <w:rPr>
          <w:color w:val="231F20"/>
          <w:spacing w:val="-7"/>
        </w:rPr>
        <w:t> </w:t>
      </w:r>
      <w:r>
        <w:rPr>
          <w:color w:val="231F20"/>
          <w:spacing w:val="-4"/>
        </w:rPr>
        <w:t>often</w:t>
      </w:r>
      <w:r>
        <w:rPr>
          <w:color w:val="231F20"/>
          <w:spacing w:val="-7"/>
        </w:rPr>
        <w:t> </w:t>
      </w:r>
      <w:r>
        <w:rPr>
          <w:color w:val="231F20"/>
          <w:spacing w:val="-4"/>
        </w:rPr>
        <w:t>used</w:t>
      </w:r>
      <w:r>
        <w:rPr>
          <w:color w:val="231F20"/>
          <w:spacing w:val="-7"/>
        </w:rPr>
        <w:t> </w:t>
      </w:r>
      <w:r>
        <w:rPr>
          <w:color w:val="231F20"/>
          <w:spacing w:val="-4"/>
        </w:rPr>
        <w:t>to</w:t>
      </w:r>
      <w:r>
        <w:rPr>
          <w:color w:val="231F20"/>
          <w:spacing w:val="-7"/>
        </w:rPr>
        <w:t> </w:t>
      </w:r>
      <w:r>
        <w:rPr>
          <w:color w:val="231F20"/>
          <w:spacing w:val="-4"/>
        </w:rPr>
        <w:t>create</w:t>
      </w:r>
      <w:r>
        <w:rPr>
          <w:color w:val="231F20"/>
          <w:spacing w:val="-7"/>
        </w:rPr>
        <w:t> </w:t>
      </w:r>
      <w:r>
        <w:rPr>
          <w:color w:val="231F20"/>
          <w:spacing w:val="-4"/>
        </w:rPr>
        <w:t>a</w:t>
      </w:r>
      <w:r>
        <w:rPr>
          <w:color w:val="231F20"/>
          <w:spacing w:val="-8"/>
        </w:rPr>
        <w:t> </w:t>
      </w:r>
      <w:r>
        <w:rPr>
          <w:i/>
          <w:color w:val="231F20"/>
          <w:spacing w:val="-4"/>
        </w:rPr>
        <w:t>halo</w:t>
      </w:r>
      <w:r>
        <w:rPr>
          <w:i/>
          <w:color w:val="231F20"/>
          <w:spacing w:val="-7"/>
        </w:rPr>
        <w:t> </w:t>
      </w:r>
      <w:r>
        <w:rPr>
          <w:i/>
          <w:color w:val="231F20"/>
          <w:spacing w:val="-4"/>
        </w:rPr>
        <w:t>effect</w:t>
      </w:r>
      <w:r>
        <w:rPr>
          <w:i/>
          <w:color w:val="231F20"/>
          <w:spacing w:val="-8"/>
        </w:rPr>
        <w:t> </w:t>
      </w:r>
      <w:r>
        <w:rPr>
          <w:color w:val="231F20"/>
          <w:spacing w:val="-4"/>
        </w:rPr>
        <w:t>of</w:t>
      </w:r>
      <w:r>
        <w:rPr>
          <w:color w:val="231F20"/>
          <w:spacing w:val="-7"/>
        </w:rPr>
        <w:t> </w:t>
      </w:r>
      <w:r>
        <w:rPr>
          <w:color w:val="231F20"/>
          <w:spacing w:val="-4"/>
        </w:rPr>
        <w:t>positive </w:t>
      </w:r>
      <w:r>
        <w:rPr>
          <w:color w:val="231F20"/>
        </w:rPr>
        <w:t>feeling toward a corporation and its products. Hallmark Cards’ spon- </w:t>
      </w:r>
      <w:r>
        <w:rPr>
          <w:color w:val="231F20"/>
          <w:spacing w:val="-2"/>
        </w:rPr>
        <w:t>sorship</w:t>
      </w:r>
      <w:r>
        <w:rPr>
          <w:color w:val="231F20"/>
          <w:spacing w:val="-7"/>
        </w:rPr>
        <w:t> </w:t>
      </w:r>
      <w:r>
        <w:rPr>
          <w:color w:val="231F20"/>
          <w:spacing w:val="-2"/>
        </w:rPr>
        <w:t>of</w:t>
      </w:r>
      <w:r>
        <w:rPr>
          <w:color w:val="231F20"/>
          <w:spacing w:val="-7"/>
        </w:rPr>
        <w:t> </w:t>
      </w:r>
      <w:r>
        <w:rPr>
          <w:color w:val="231F20"/>
          <w:spacing w:val="-2"/>
        </w:rPr>
        <w:t>television’s</w:t>
      </w:r>
      <w:r>
        <w:rPr>
          <w:color w:val="231F20"/>
          <w:spacing w:val="-7"/>
        </w:rPr>
        <w:t> </w:t>
      </w:r>
      <w:r>
        <w:rPr>
          <w:i/>
          <w:color w:val="231F20"/>
          <w:spacing w:val="-2"/>
        </w:rPr>
        <w:t>Hallmark</w:t>
      </w:r>
      <w:r>
        <w:rPr>
          <w:i/>
          <w:color w:val="231F20"/>
          <w:spacing w:val="-7"/>
        </w:rPr>
        <w:t> </w:t>
      </w:r>
      <w:r>
        <w:rPr>
          <w:i/>
          <w:color w:val="231F20"/>
          <w:spacing w:val="-2"/>
        </w:rPr>
        <w:t>Hall</w:t>
      </w:r>
      <w:r>
        <w:rPr>
          <w:i/>
          <w:color w:val="231F20"/>
          <w:spacing w:val="-7"/>
        </w:rPr>
        <w:t> </w:t>
      </w:r>
      <w:r>
        <w:rPr>
          <w:i/>
          <w:color w:val="231F20"/>
          <w:spacing w:val="-2"/>
        </w:rPr>
        <w:t>of</w:t>
      </w:r>
      <w:r>
        <w:rPr>
          <w:i/>
          <w:color w:val="231F20"/>
          <w:spacing w:val="-7"/>
        </w:rPr>
        <w:t> </w:t>
      </w:r>
      <w:r>
        <w:rPr>
          <w:i/>
          <w:color w:val="231F20"/>
          <w:spacing w:val="-2"/>
        </w:rPr>
        <w:t>Fame</w:t>
      </w:r>
      <w:r>
        <w:rPr>
          <w:i/>
          <w:color w:val="231F20"/>
          <w:spacing w:val="-7"/>
        </w:rPr>
        <w:t> </w:t>
      </w:r>
      <w:r>
        <w:rPr>
          <w:color w:val="231F20"/>
          <w:spacing w:val="-2"/>
        </w:rPr>
        <w:t>aligned</w:t>
      </w:r>
      <w:r>
        <w:rPr>
          <w:color w:val="231F20"/>
          <w:spacing w:val="-7"/>
        </w:rPr>
        <w:t> </w:t>
      </w:r>
      <w:r>
        <w:rPr>
          <w:color w:val="231F20"/>
          <w:spacing w:val="-2"/>
        </w:rPr>
        <w:t>itself</w:t>
      </w:r>
      <w:r>
        <w:rPr>
          <w:color w:val="231F20"/>
          <w:spacing w:val="-7"/>
        </w:rPr>
        <w:t> </w:t>
      </w:r>
      <w:r>
        <w:rPr>
          <w:color w:val="231F20"/>
          <w:spacing w:val="-2"/>
        </w:rPr>
        <w:t>and</w:t>
      </w:r>
      <w:r>
        <w:rPr>
          <w:color w:val="231F20"/>
          <w:spacing w:val="-7"/>
        </w:rPr>
        <w:t> </w:t>
      </w:r>
      <w:r>
        <w:rPr>
          <w:color w:val="231F20"/>
          <w:spacing w:val="-2"/>
        </w:rPr>
        <w:t>its</w:t>
      </w:r>
      <w:r>
        <w:rPr>
          <w:color w:val="231F20"/>
          <w:spacing w:val="-7"/>
        </w:rPr>
        <w:t> </w:t>
      </w:r>
      <w:r>
        <w:rPr>
          <w:color w:val="231F20"/>
          <w:spacing w:val="-2"/>
        </w:rPr>
        <w:t>prod- </w:t>
      </w:r>
      <w:r>
        <w:rPr>
          <w:color w:val="231F20"/>
        </w:rPr>
        <w:t>ucts</w:t>
      </w:r>
      <w:r>
        <w:rPr>
          <w:color w:val="231F20"/>
          <w:spacing w:val="-12"/>
        </w:rPr>
        <w:t> </w:t>
      </w:r>
      <w:r>
        <w:rPr>
          <w:color w:val="231F20"/>
        </w:rPr>
        <w:t>with</w:t>
      </w:r>
      <w:r>
        <w:rPr>
          <w:color w:val="231F20"/>
          <w:spacing w:val="-12"/>
        </w:rPr>
        <w:t> </w:t>
      </w:r>
      <w:r>
        <w:rPr>
          <w:color w:val="231F20"/>
        </w:rPr>
        <w:t>the</w:t>
      </w:r>
      <w:r>
        <w:rPr>
          <w:color w:val="231F20"/>
          <w:spacing w:val="-11"/>
        </w:rPr>
        <w:t> </w:t>
      </w:r>
      <w:r>
        <w:rPr>
          <w:color w:val="231F20"/>
        </w:rPr>
        <w:t>attributes</w:t>
      </w:r>
      <w:r>
        <w:rPr>
          <w:color w:val="231F20"/>
          <w:spacing w:val="-12"/>
        </w:rPr>
        <w:t> </w:t>
      </w:r>
      <w:r>
        <w:rPr>
          <w:color w:val="231F20"/>
        </w:rPr>
        <w:t>of</w:t>
      </w:r>
      <w:r>
        <w:rPr>
          <w:color w:val="231F20"/>
          <w:spacing w:val="-11"/>
        </w:rPr>
        <w:t> </w:t>
      </w:r>
      <w:r>
        <w:rPr>
          <w:color w:val="231F20"/>
        </w:rPr>
        <w:t>quality,</w:t>
      </w:r>
      <w:r>
        <w:rPr>
          <w:color w:val="231F20"/>
          <w:spacing w:val="-12"/>
        </w:rPr>
        <w:t> </w:t>
      </w:r>
      <w:r>
        <w:rPr>
          <w:color w:val="231F20"/>
        </w:rPr>
        <w:t>culture,</w:t>
      </w:r>
      <w:r>
        <w:rPr>
          <w:color w:val="231F20"/>
          <w:spacing w:val="-11"/>
        </w:rPr>
        <w:t> </w:t>
      </w:r>
      <w:r>
        <w:rPr>
          <w:color w:val="231F20"/>
        </w:rPr>
        <w:t>and</w:t>
      </w:r>
      <w:r>
        <w:rPr>
          <w:color w:val="231F20"/>
          <w:spacing w:val="-12"/>
        </w:rPr>
        <w:t> </w:t>
      </w:r>
      <w:r>
        <w:rPr>
          <w:color w:val="231F20"/>
        </w:rPr>
        <w:t>good</w:t>
      </w:r>
      <w:r>
        <w:rPr>
          <w:color w:val="231F20"/>
          <w:spacing w:val="-12"/>
        </w:rPr>
        <w:t> </w:t>
      </w:r>
      <w:r>
        <w:rPr>
          <w:color w:val="231F20"/>
        </w:rPr>
        <w:t>citizenship.</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firstLine="340"/>
        <w:jc w:val="both"/>
      </w:pPr>
      <w:r>
        <w:rPr>
          <w:color w:val="231F20"/>
        </w:rPr>
        <w:t>Because the goals of PR are less defined than a sales target, the results are more difficult to measure. Opinion polls and legislative victories are often used to measure PR success.</w:t>
      </w:r>
    </w:p>
    <w:p>
      <w:pPr>
        <w:pStyle w:val="BodyText"/>
        <w:spacing w:line="292" w:lineRule="auto"/>
        <w:ind w:left="919" w:right="663" w:firstLine="340"/>
        <w:jc w:val="both"/>
      </w:pPr>
      <w:r>
        <w:rPr>
          <w:color w:val="231F20"/>
        </w:rPr>
        <w:t>Public relations also include </w:t>
      </w:r>
      <w:r>
        <w:rPr>
          <w:i/>
          <w:color w:val="231F20"/>
        </w:rPr>
        <w:t>viral marketing. </w:t>
      </w:r>
      <w:r>
        <w:rPr>
          <w:color w:val="231F20"/>
        </w:rPr>
        <w:t>By trying to reach opinion leaders, a marketer can create a buzz about its product without an ad on TV. Generating a positive discussion about </w:t>
      </w:r>
      <w:r>
        <w:rPr>
          <w:color w:val="231F20"/>
        </w:rPr>
        <w:t>your product in Internet chat rooms, Usenet groups, organization newsletters, and on college campuses can launch a product and pro- pel sales. With the advent of the Internet, viral marketing can</w:t>
      </w:r>
      <w:r>
        <w:rPr>
          <w:color w:val="231F20"/>
          <w:spacing w:val="80"/>
          <w:w w:val="150"/>
        </w:rPr>
        <w:t> </w:t>
      </w:r>
      <w:r>
        <w:rPr>
          <w:color w:val="231F20"/>
        </w:rPr>
        <w:t>quickly translate into direct measurable sales.</w:t>
      </w:r>
    </w:p>
    <w:p>
      <w:pPr>
        <w:pStyle w:val="BodyText"/>
        <w:spacing w:line="292" w:lineRule="auto"/>
        <w:ind w:left="919" w:right="663" w:firstLine="340"/>
        <w:jc w:val="both"/>
      </w:pPr>
      <w:r>
        <w:rPr>
          <w:i/>
          <w:color w:val="231F20"/>
        </w:rPr>
        <w:t>Publicity, </w:t>
      </w:r>
      <w:r>
        <w:rPr>
          <w:color w:val="231F20"/>
        </w:rPr>
        <w:t>a form of public relations, is any </w:t>
      </w:r>
      <w:r>
        <w:rPr>
          <w:i/>
          <w:color w:val="231F20"/>
        </w:rPr>
        <w:t>unpaid </w:t>
      </w:r>
      <w:r>
        <w:rPr>
          <w:color w:val="231F20"/>
        </w:rPr>
        <w:t>form of mass media communication about a company or product. It can take the form of a news story or even the appearance of a product in the media. Publicity is a two-edged sword. It is judged as more credible by the public because it is not purchased; however, there is less con- trol over the message. Press conferences, press releases, use by celebrities, and staged events are used to capture the media’s atten- tion.</w:t>
      </w:r>
      <w:r>
        <w:rPr>
          <w:color w:val="231F20"/>
          <w:spacing w:val="21"/>
        </w:rPr>
        <w:t> </w:t>
      </w:r>
      <w:r>
        <w:rPr>
          <w:color w:val="231F20"/>
        </w:rPr>
        <w:t>Using</w:t>
      </w:r>
      <w:r>
        <w:rPr>
          <w:color w:val="231F20"/>
          <w:spacing w:val="21"/>
        </w:rPr>
        <w:t> </w:t>
      </w:r>
      <w:r>
        <w:rPr>
          <w:color w:val="231F20"/>
        </w:rPr>
        <w:t>a</w:t>
      </w:r>
      <w:r>
        <w:rPr>
          <w:color w:val="231F20"/>
          <w:spacing w:val="21"/>
        </w:rPr>
        <w:t> </w:t>
      </w:r>
      <w:r>
        <w:rPr>
          <w:color w:val="231F20"/>
        </w:rPr>
        <w:t>PR</w:t>
      </w:r>
      <w:r>
        <w:rPr>
          <w:color w:val="231F20"/>
          <w:spacing w:val="21"/>
        </w:rPr>
        <w:t> </w:t>
      </w:r>
      <w:r>
        <w:rPr>
          <w:color w:val="231F20"/>
        </w:rPr>
        <w:t>agency</w:t>
      </w:r>
      <w:r>
        <w:rPr>
          <w:color w:val="231F20"/>
          <w:spacing w:val="21"/>
        </w:rPr>
        <w:t> </w:t>
      </w:r>
      <w:r>
        <w:rPr>
          <w:color w:val="231F20"/>
        </w:rPr>
        <w:t>allows</w:t>
      </w:r>
      <w:r>
        <w:rPr>
          <w:color w:val="231F20"/>
          <w:spacing w:val="21"/>
        </w:rPr>
        <w:t> </w:t>
      </w:r>
      <w:r>
        <w:rPr>
          <w:color w:val="231F20"/>
        </w:rPr>
        <w:t>you</w:t>
      </w:r>
      <w:r>
        <w:rPr>
          <w:color w:val="231F20"/>
          <w:spacing w:val="21"/>
        </w:rPr>
        <w:t> </w:t>
      </w:r>
      <w:r>
        <w:rPr>
          <w:color w:val="231F20"/>
        </w:rPr>
        <w:t>to</w:t>
      </w:r>
      <w:r>
        <w:rPr>
          <w:color w:val="231F20"/>
          <w:spacing w:val="21"/>
        </w:rPr>
        <w:t> </w:t>
      </w:r>
      <w:r>
        <w:rPr>
          <w:color w:val="231F20"/>
        </w:rPr>
        <w:t>tap</w:t>
      </w:r>
      <w:r>
        <w:rPr>
          <w:color w:val="231F20"/>
          <w:spacing w:val="21"/>
        </w:rPr>
        <w:t> </w:t>
      </w:r>
      <w:r>
        <w:rPr>
          <w:color w:val="231F20"/>
        </w:rPr>
        <w:t>into</w:t>
      </w:r>
      <w:r>
        <w:rPr>
          <w:color w:val="231F20"/>
          <w:spacing w:val="21"/>
        </w:rPr>
        <w:t> </w:t>
      </w:r>
      <w:r>
        <w:rPr>
          <w:color w:val="231F20"/>
        </w:rPr>
        <w:t>their</w:t>
      </w:r>
      <w:r>
        <w:rPr>
          <w:color w:val="231F20"/>
          <w:spacing w:val="21"/>
        </w:rPr>
        <w:t> </w:t>
      </w:r>
      <w:r>
        <w:rPr>
          <w:color w:val="231F20"/>
        </w:rPr>
        <w:t>media</w:t>
      </w:r>
      <w:r>
        <w:rPr>
          <w:color w:val="231F20"/>
          <w:spacing w:val="21"/>
        </w:rPr>
        <w:t> </w:t>
      </w:r>
      <w:r>
        <w:rPr>
          <w:color w:val="231F20"/>
        </w:rPr>
        <w:t>contacts to capture an audience and hopefully control the impression made about your company or products.</w:t>
      </w:r>
    </w:p>
    <w:p>
      <w:pPr>
        <w:pStyle w:val="BodyText"/>
        <w:spacing w:line="292" w:lineRule="auto"/>
        <w:ind w:left="919" w:right="663" w:firstLine="340"/>
        <w:jc w:val="both"/>
      </w:pPr>
      <w:r>
        <w:rPr>
          <w:color w:val="231F20"/>
          <w:w w:val="105"/>
        </w:rPr>
        <w:t>When</w:t>
      </w:r>
      <w:r>
        <w:rPr>
          <w:color w:val="231F20"/>
          <w:w w:val="105"/>
        </w:rPr>
        <w:t> tennis</w:t>
      </w:r>
      <w:r>
        <w:rPr>
          <w:color w:val="231F20"/>
          <w:w w:val="105"/>
        </w:rPr>
        <w:t> star</w:t>
      </w:r>
      <w:r>
        <w:rPr>
          <w:color w:val="231F20"/>
          <w:w w:val="105"/>
        </w:rPr>
        <w:t> Pete</w:t>
      </w:r>
      <w:r>
        <w:rPr>
          <w:color w:val="231F20"/>
          <w:w w:val="105"/>
        </w:rPr>
        <w:t> Sampras</w:t>
      </w:r>
      <w:r>
        <w:rPr>
          <w:color w:val="231F20"/>
          <w:w w:val="105"/>
        </w:rPr>
        <w:t> or</w:t>
      </w:r>
      <w:r>
        <w:rPr>
          <w:color w:val="231F20"/>
          <w:w w:val="105"/>
        </w:rPr>
        <w:t> Andre</w:t>
      </w:r>
      <w:r>
        <w:rPr>
          <w:color w:val="231F20"/>
          <w:w w:val="105"/>
        </w:rPr>
        <w:t> Agassi</w:t>
      </w:r>
      <w:r>
        <w:rPr>
          <w:color w:val="231F20"/>
          <w:w w:val="105"/>
        </w:rPr>
        <w:t> wears</w:t>
      </w:r>
      <w:r>
        <w:rPr>
          <w:color w:val="231F20"/>
          <w:w w:val="105"/>
        </w:rPr>
        <w:t> Nike shoes and sportswear at the U.S. Open, the TV can’t help but flash Nike</w:t>
      </w:r>
      <w:r>
        <w:rPr>
          <w:color w:val="231F20"/>
          <w:w w:val="105"/>
        </w:rPr>
        <w:t> on</w:t>
      </w:r>
      <w:r>
        <w:rPr>
          <w:color w:val="231F20"/>
          <w:w w:val="105"/>
        </w:rPr>
        <w:t> the</w:t>
      </w:r>
      <w:r>
        <w:rPr>
          <w:color w:val="231F20"/>
          <w:w w:val="105"/>
        </w:rPr>
        <w:t> screen</w:t>
      </w:r>
      <w:r>
        <w:rPr>
          <w:color w:val="231F20"/>
          <w:w w:val="105"/>
        </w:rPr>
        <w:t> each</w:t>
      </w:r>
      <w:r>
        <w:rPr>
          <w:color w:val="231F20"/>
          <w:w w:val="105"/>
        </w:rPr>
        <w:t> time</w:t>
      </w:r>
      <w:r>
        <w:rPr>
          <w:color w:val="231F20"/>
          <w:w w:val="105"/>
        </w:rPr>
        <w:t> he</w:t>
      </w:r>
      <w:r>
        <w:rPr>
          <w:color w:val="231F20"/>
          <w:w w:val="105"/>
        </w:rPr>
        <w:t> serves</w:t>
      </w:r>
      <w:r>
        <w:rPr>
          <w:color w:val="231F20"/>
          <w:w w:val="105"/>
        </w:rPr>
        <w:t> and</w:t>
      </w:r>
      <w:r>
        <w:rPr>
          <w:color w:val="231F20"/>
          <w:w w:val="105"/>
        </w:rPr>
        <w:t> volleys.</w:t>
      </w:r>
      <w:r>
        <w:rPr>
          <w:color w:val="231F20"/>
          <w:w w:val="105"/>
        </w:rPr>
        <w:t> This</w:t>
      </w:r>
      <w:r>
        <w:rPr>
          <w:color w:val="231F20"/>
          <w:w w:val="105"/>
        </w:rPr>
        <w:t> network </w:t>
      </w:r>
      <w:r>
        <w:rPr>
          <w:color w:val="231F20"/>
          <w:spacing w:val="-2"/>
          <w:w w:val="105"/>
        </w:rPr>
        <w:t>time</w:t>
      </w:r>
      <w:r>
        <w:rPr>
          <w:color w:val="231F20"/>
          <w:spacing w:val="-6"/>
          <w:w w:val="105"/>
        </w:rPr>
        <w:t> </w:t>
      </w:r>
      <w:r>
        <w:rPr>
          <w:color w:val="231F20"/>
          <w:spacing w:val="-2"/>
          <w:w w:val="105"/>
        </w:rPr>
        <w:t>has</w:t>
      </w:r>
      <w:r>
        <w:rPr>
          <w:color w:val="231F20"/>
          <w:spacing w:val="-6"/>
          <w:w w:val="105"/>
        </w:rPr>
        <w:t> </w:t>
      </w:r>
      <w:r>
        <w:rPr>
          <w:color w:val="231F20"/>
          <w:spacing w:val="-2"/>
          <w:w w:val="105"/>
        </w:rPr>
        <w:t>great</w:t>
      </w:r>
      <w:r>
        <w:rPr>
          <w:color w:val="231F20"/>
          <w:spacing w:val="-6"/>
          <w:w w:val="105"/>
        </w:rPr>
        <w:t> </w:t>
      </w:r>
      <w:r>
        <w:rPr>
          <w:color w:val="231F20"/>
          <w:spacing w:val="-2"/>
          <w:w w:val="105"/>
        </w:rPr>
        <w:t>value.</w:t>
      </w:r>
      <w:r>
        <w:rPr>
          <w:color w:val="231F20"/>
          <w:spacing w:val="-6"/>
          <w:w w:val="105"/>
        </w:rPr>
        <w:t> </w:t>
      </w:r>
      <w:r>
        <w:rPr>
          <w:color w:val="231F20"/>
          <w:spacing w:val="-2"/>
          <w:w w:val="105"/>
        </w:rPr>
        <w:t>If</w:t>
      </w:r>
      <w:r>
        <w:rPr>
          <w:color w:val="231F20"/>
          <w:spacing w:val="-6"/>
          <w:w w:val="105"/>
        </w:rPr>
        <w:t> </w:t>
      </w:r>
      <w:r>
        <w:rPr>
          <w:color w:val="231F20"/>
          <w:spacing w:val="-2"/>
          <w:w w:val="105"/>
        </w:rPr>
        <w:t>the</w:t>
      </w:r>
      <w:r>
        <w:rPr>
          <w:color w:val="231F20"/>
          <w:spacing w:val="-6"/>
          <w:w w:val="105"/>
        </w:rPr>
        <w:t> </w:t>
      </w:r>
      <w:r>
        <w:rPr>
          <w:color w:val="231F20"/>
          <w:spacing w:val="-2"/>
          <w:w w:val="105"/>
        </w:rPr>
        <w:t>athlete</w:t>
      </w:r>
      <w:r>
        <w:rPr>
          <w:color w:val="231F20"/>
          <w:spacing w:val="-6"/>
          <w:w w:val="105"/>
        </w:rPr>
        <w:t> </w:t>
      </w:r>
      <w:r>
        <w:rPr>
          <w:color w:val="231F20"/>
          <w:spacing w:val="-2"/>
          <w:w w:val="105"/>
        </w:rPr>
        <w:t>makes</w:t>
      </w:r>
      <w:r>
        <w:rPr>
          <w:color w:val="231F20"/>
          <w:spacing w:val="-6"/>
          <w:w w:val="105"/>
        </w:rPr>
        <w:t> </w:t>
      </w:r>
      <w:r>
        <w:rPr>
          <w:color w:val="231F20"/>
          <w:spacing w:val="-2"/>
          <w:w w:val="105"/>
        </w:rPr>
        <w:t>the</w:t>
      </w:r>
      <w:r>
        <w:rPr>
          <w:color w:val="231F20"/>
          <w:spacing w:val="-6"/>
          <w:w w:val="105"/>
        </w:rPr>
        <w:t> </w:t>
      </w:r>
      <w:r>
        <w:rPr>
          <w:color w:val="231F20"/>
          <w:spacing w:val="-2"/>
          <w:w w:val="105"/>
        </w:rPr>
        <w:t>national</w:t>
      </w:r>
      <w:r>
        <w:rPr>
          <w:color w:val="231F20"/>
          <w:spacing w:val="-6"/>
          <w:w w:val="105"/>
        </w:rPr>
        <w:t> </w:t>
      </w:r>
      <w:r>
        <w:rPr>
          <w:color w:val="231F20"/>
          <w:spacing w:val="-2"/>
          <w:w w:val="105"/>
        </w:rPr>
        <w:t>evening</w:t>
      </w:r>
      <w:r>
        <w:rPr>
          <w:color w:val="231F20"/>
          <w:spacing w:val="-6"/>
          <w:w w:val="105"/>
        </w:rPr>
        <w:t> </w:t>
      </w:r>
      <w:r>
        <w:rPr>
          <w:color w:val="231F20"/>
          <w:spacing w:val="-2"/>
          <w:w w:val="105"/>
        </w:rPr>
        <w:t>news </w:t>
      </w:r>
      <w:r>
        <w:rPr>
          <w:color w:val="231F20"/>
          <w:w w:val="105"/>
        </w:rPr>
        <w:t>or</w:t>
      </w:r>
      <w:r>
        <w:rPr>
          <w:color w:val="231F20"/>
          <w:spacing w:val="26"/>
          <w:w w:val="105"/>
        </w:rPr>
        <w:t> </w:t>
      </w:r>
      <w:r>
        <w:rPr>
          <w:i/>
          <w:color w:val="231F20"/>
          <w:w w:val="105"/>
        </w:rPr>
        <w:t>Sports</w:t>
      </w:r>
      <w:r>
        <w:rPr>
          <w:i/>
          <w:color w:val="231F20"/>
          <w:spacing w:val="27"/>
          <w:w w:val="105"/>
        </w:rPr>
        <w:t> </w:t>
      </w:r>
      <w:r>
        <w:rPr>
          <w:i/>
          <w:color w:val="231F20"/>
          <w:w w:val="105"/>
        </w:rPr>
        <w:t>Illustrated,</w:t>
      </w:r>
      <w:r>
        <w:rPr>
          <w:i/>
          <w:color w:val="231F20"/>
          <w:spacing w:val="27"/>
          <w:w w:val="105"/>
        </w:rPr>
        <w:t> </w:t>
      </w:r>
      <w:r>
        <w:rPr>
          <w:color w:val="231F20"/>
          <w:w w:val="105"/>
        </w:rPr>
        <w:t>which</w:t>
      </w:r>
      <w:r>
        <w:rPr>
          <w:color w:val="231F20"/>
          <w:spacing w:val="27"/>
          <w:w w:val="105"/>
        </w:rPr>
        <w:t> </w:t>
      </w:r>
      <w:r>
        <w:rPr>
          <w:color w:val="231F20"/>
          <w:w w:val="105"/>
        </w:rPr>
        <w:t>cost</w:t>
      </w:r>
      <w:r>
        <w:rPr>
          <w:color w:val="231F20"/>
          <w:spacing w:val="26"/>
          <w:w w:val="105"/>
        </w:rPr>
        <w:t> </w:t>
      </w:r>
      <w:r>
        <w:rPr>
          <w:color w:val="231F20"/>
          <w:w w:val="105"/>
        </w:rPr>
        <w:t>$50,000</w:t>
      </w:r>
      <w:r>
        <w:rPr>
          <w:color w:val="231F20"/>
          <w:spacing w:val="27"/>
          <w:w w:val="105"/>
        </w:rPr>
        <w:t> </w:t>
      </w:r>
      <w:r>
        <w:rPr>
          <w:color w:val="231F20"/>
          <w:w w:val="105"/>
        </w:rPr>
        <w:t>per</w:t>
      </w:r>
      <w:r>
        <w:rPr>
          <w:color w:val="231F20"/>
          <w:spacing w:val="26"/>
          <w:w w:val="105"/>
        </w:rPr>
        <w:t> </w:t>
      </w:r>
      <w:r>
        <w:rPr>
          <w:color w:val="231F20"/>
          <w:w w:val="105"/>
        </w:rPr>
        <w:t>thirty</w:t>
      </w:r>
      <w:r>
        <w:rPr>
          <w:color w:val="231F20"/>
          <w:spacing w:val="27"/>
          <w:w w:val="105"/>
        </w:rPr>
        <w:t> </w:t>
      </w:r>
      <w:r>
        <w:rPr>
          <w:color w:val="231F20"/>
          <w:w w:val="105"/>
        </w:rPr>
        <w:t>seconds</w:t>
      </w:r>
      <w:r>
        <w:rPr>
          <w:color w:val="231F20"/>
          <w:spacing w:val="26"/>
          <w:w w:val="105"/>
        </w:rPr>
        <w:t> </w:t>
      </w:r>
      <w:r>
        <w:rPr>
          <w:color w:val="231F20"/>
          <w:spacing w:val="-5"/>
          <w:w w:val="105"/>
        </w:rPr>
        <w:t>and</w:t>
      </w:r>
    </w:p>
    <w:p>
      <w:pPr>
        <w:pStyle w:val="BodyText"/>
        <w:spacing w:line="292" w:lineRule="auto"/>
        <w:ind w:left="919" w:right="667"/>
        <w:jc w:val="both"/>
      </w:pPr>
      <w:r>
        <w:rPr>
          <w:color w:val="231F20"/>
        </w:rPr>
        <w:t>$150,000 per page, respectively, the value of free media exposure</w:t>
      </w:r>
      <w:r>
        <w:rPr>
          <w:color w:val="231F20"/>
          <w:spacing w:val="40"/>
        </w:rPr>
        <w:t> </w:t>
      </w:r>
      <w:r>
        <w:rPr>
          <w:color w:val="231F20"/>
        </w:rPr>
        <w:t>can be great.</w:t>
      </w:r>
    </w:p>
    <w:p>
      <w:pPr>
        <w:pStyle w:val="BodyText"/>
        <w:spacing w:line="292" w:lineRule="auto"/>
        <w:ind w:left="919" w:right="665" w:firstLine="340"/>
        <w:jc w:val="both"/>
      </w:pPr>
      <w:r>
        <w:rPr>
          <w:color w:val="231F20"/>
        </w:rPr>
        <w:t>Accordingly, PR executives track their effectiveness by measur- ing the value of the media time or space captured. Tracking services, such as Burrelle’s press-clipping service for print, report on their clients’ PR and advertising media exposure across the country. </w:t>
      </w:r>
      <w:r>
        <w:rPr>
          <w:color w:val="231F20"/>
        </w:rPr>
        <w:t>Bur- relle’s can also track competitors in the same way. Although it is</w:t>
      </w:r>
      <w:r>
        <w:rPr>
          <w:color w:val="231F20"/>
          <w:spacing w:val="40"/>
        </w:rPr>
        <w:t> </w:t>
      </w:r>
      <w:r>
        <w:rPr>
          <w:color w:val="231F20"/>
        </w:rPr>
        <w:t>often overlooked in the marketing mix, publicity can often create a tremendous impact if skillfully and creatively orchestrated.</w:t>
      </w:r>
    </w:p>
    <w:p>
      <w:pPr>
        <w:pStyle w:val="BodyText"/>
        <w:spacing w:before="6"/>
        <w:rPr>
          <w:sz w:val="24"/>
        </w:rPr>
      </w:pPr>
    </w:p>
    <w:p>
      <w:pPr>
        <w:spacing w:before="0"/>
        <w:ind w:left="919" w:right="0" w:firstLine="0"/>
        <w:jc w:val="both"/>
        <w:rPr>
          <w:sz w:val="21"/>
        </w:rPr>
      </w:pPr>
      <w:r>
        <w:rPr>
          <w:b/>
          <w:i/>
          <w:color w:val="231F20"/>
          <w:sz w:val="21"/>
        </w:rPr>
        <w:t>Direct</w:t>
      </w:r>
      <w:r>
        <w:rPr>
          <w:b/>
          <w:i/>
          <w:color w:val="231F20"/>
          <w:spacing w:val="38"/>
          <w:sz w:val="21"/>
        </w:rPr>
        <w:t> </w:t>
      </w:r>
      <w:r>
        <w:rPr>
          <w:b/>
          <w:i/>
          <w:color w:val="231F20"/>
          <w:sz w:val="21"/>
        </w:rPr>
        <w:t>Sales.</w:t>
      </w:r>
      <w:r>
        <w:rPr>
          <w:b/>
          <w:i/>
          <w:color w:val="231F20"/>
          <w:spacing w:val="38"/>
          <w:sz w:val="21"/>
        </w:rPr>
        <w:t> </w:t>
      </w:r>
      <w:r>
        <w:rPr>
          <w:color w:val="231F20"/>
          <w:sz w:val="21"/>
        </w:rPr>
        <w:t>Direct</w:t>
      </w:r>
      <w:r>
        <w:rPr>
          <w:color w:val="231F20"/>
          <w:spacing w:val="39"/>
          <w:sz w:val="21"/>
        </w:rPr>
        <w:t> </w:t>
      </w:r>
      <w:r>
        <w:rPr>
          <w:color w:val="231F20"/>
          <w:sz w:val="21"/>
        </w:rPr>
        <w:t>sales</w:t>
      </w:r>
      <w:r>
        <w:rPr>
          <w:color w:val="231F20"/>
          <w:spacing w:val="38"/>
          <w:sz w:val="21"/>
        </w:rPr>
        <w:t> </w:t>
      </w:r>
      <w:r>
        <w:rPr>
          <w:color w:val="231F20"/>
          <w:sz w:val="21"/>
        </w:rPr>
        <w:t>includes</w:t>
      </w:r>
      <w:r>
        <w:rPr>
          <w:color w:val="231F20"/>
          <w:spacing w:val="38"/>
          <w:sz w:val="21"/>
        </w:rPr>
        <w:t> </w:t>
      </w:r>
      <w:r>
        <w:rPr>
          <w:color w:val="231F20"/>
          <w:sz w:val="21"/>
        </w:rPr>
        <w:t>the</w:t>
      </w:r>
      <w:r>
        <w:rPr>
          <w:color w:val="231F20"/>
          <w:spacing w:val="39"/>
          <w:sz w:val="21"/>
        </w:rPr>
        <w:t> </w:t>
      </w:r>
      <w:r>
        <w:rPr>
          <w:color w:val="231F20"/>
          <w:sz w:val="21"/>
        </w:rPr>
        <w:t>realm</w:t>
      </w:r>
      <w:r>
        <w:rPr>
          <w:color w:val="231F20"/>
          <w:spacing w:val="38"/>
          <w:sz w:val="21"/>
        </w:rPr>
        <w:t> </w:t>
      </w:r>
      <w:r>
        <w:rPr>
          <w:color w:val="231F20"/>
          <w:sz w:val="21"/>
        </w:rPr>
        <w:t>of</w:t>
      </w:r>
      <w:r>
        <w:rPr>
          <w:color w:val="231F20"/>
          <w:spacing w:val="38"/>
          <w:sz w:val="21"/>
        </w:rPr>
        <w:t> </w:t>
      </w:r>
      <w:r>
        <w:rPr>
          <w:color w:val="231F20"/>
          <w:sz w:val="21"/>
        </w:rPr>
        <w:t>the</w:t>
      </w:r>
      <w:r>
        <w:rPr>
          <w:color w:val="231F20"/>
          <w:spacing w:val="39"/>
          <w:sz w:val="21"/>
        </w:rPr>
        <w:t> </w:t>
      </w:r>
      <w:r>
        <w:rPr>
          <w:color w:val="231F20"/>
          <w:sz w:val="21"/>
        </w:rPr>
        <w:t>Internet,</w:t>
      </w:r>
      <w:r>
        <w:rPr>
          <w:color w:val="231F20"/>
          <w:spacing w:val="38"/>
          <w:sz w:val="21"/>
        </w:rPr>
        <w:t> </w:t>
      </w:r>
      <w:r>
        <w:rPr>
          <w:color w:val="231F20"/>
          <w:spacing w:val="-4"/>
          <w:sz w:val="21"/>
        </w:rPr>
        <w:t>junk</w:t>
      </w:r>
    </w:p>
    <w:p>
      <w:pPr>
        <w:spacing w:after="0"/>
        <w:jc w:val="both"/>
        <w:rPr>
          <w:sz w:val="21"/>
        </w:rPr>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mail,</w:t>
      </w:r>
      <w:r>
        <w:rPr>
          <w:color w:val="231F20"/>
          <w:spacing w:val="40"/>
        </w:rPr>
        <w:t> </w:t>
      </w:r>
      <w:r>
        <w:rPr>
          <w:color w:val="231F20"/>
        </w:rPr>
        <w:t>catalogs,</w:t>
      </w:r>
      <w:r>
        <w:rPr>
          <w:color w:val="231F20"/>
          <w:spacing w:val="40"/>
        </w:rPr>
        <w:t> </w:t>
      </w:r>
      <w:r>
        <w:rPr>
          <w:color w:val="231F20"/>
        </w:rPr>
        <w:t>shopping</w:t>
      </w:r>
      <w:r>
        <w:rPr>
          <w:color w:val="231F20"/>
          <w:spacing w:val="40"/>
        </w:rPr>
        <w:t> </w:t>
      </w:r>
      <w:r>
        <w:rPr>
          <w:color w:val="231F20"/>
        </w:rPr>
        <w:t>networks,</w:t>
      </w:r>
      <w:r>
        <w:rPr>
          <w:color w:val="231F20"/>
          <w:spacing w:val="40"/>
        </w:rPr>
        <w:t> </w:t>
      </w:r>
      <w:r>
        <w:rPr>
          <w:color w:val="231F20"/>
        </w:rPr>
        <w:t>and</w:t>
      </w:r>
      <w:r>
        <w:rPr>
          <w:color w:val="231F20"/>
          <w:spacing w:val="40"/>
        </w:rPr>
        <w:t> </w:t>
      </w:r>
      <w:r>
        <w:rPr>
          <w:color w:val="231F20"/>
        </w:rPr>
        <w:t>long-format</w:t>
      </w:r>
      <w:r>
        <w:rPr>
          <w:color w:val="231F20"/>
          <w:spacing w:val="40"/>
        </w:rPr>
        <w:t> </w:t>
      </w:r>
      <w:r>
        <w:rPr>
          <w:color w:val="231F20"/>
        </w:rPr>
        <w:t>TV</w:t>
      </w:r>
      <w:r>
        <w:rPr>
          <w:color w:val="231F20"/>
          <w:spacing w:val="40"/>
        </w:rPr>
        <w:t> </w:t>
      </w:r>
      <w:r>
        <w:rPr>
          <w:i/>
          <w:color w:val="231F20"/>
        </w:rPr>
        <w:t>infomer-</w:t>
      </w:r>
      <w:r>
        <w:rPr>
          <w:i/>
          <w:color w:val="231F20"/>
        </w:rPr>
        <w:t> cials. </w:t>
      </w:r>
      <w:r>
        <w:rPr>
          <w:color w:val="231F20"/>
        </w:rPr>
        <w:t>Direct sales are big business. Internet sales exceeded $150 </w:t>
      </w:r>
      <w:r>
        <w:rPr>
          <w:color w:val="231F20"/>
        </w:rPr>
        <w:t>bil- lion</w:t>
      </w:r>
      <w:r>
        <w:rPr>
          <w:color w:val="231F20"/>
          <w:spacing w:val="38"/>
        </w:rPr>
        <w:t> </w:t>
      </w:r>
      <w:r>
        <w:rPr>
          <w:color w:val="231F20"/>
        </w:rPr>
        <w:t>in</w:t>
      </w:r>
      <w:r>
        <w:rPr>
          <w:color w:val="231F20"/>
          <w:spacing w:val="39"/>
        </w:rPr>
        <w:t> </w:t>
      </w:r>
      <w:r>
        <w:rPr>
          <w:color w:val="231F20"/>
        </w:rPr>
        <w:t>2004</w:t>
      </w:r>
      <w:r>
        <w:rPr>
          <w:color w:val="231F20"/>
          <w:spacing w:val="39"/>
        </w:rPr>
        <w:t> </w:t>
      </w:r>
      <w:r>
        <w:rPr>
          <w:color w:val="231F20"/>
        </w:rPr>
        <w:t>and</w:t>
      </w:r>
      <w:r>
        <w:rPr>
          <w:color w:val="231F20"/>
          <w:spacing w:val="38"/>
        </w:rPr>
        <w:t> </w:t>
      </w:r>
      <w:r>
        <w:rPr>
          <w:color w:val="231F20"/>
        </w:rPr>
        <w:t>are</w:t>
      </w:r>
      <w:r>
        <w:rPr>
          <w:color w:val="231F20"/>
          <w:spacing w:val="39"/>
        </w:rPr>
        <w:t> </w:t>
      </w:r>
      <w:r>
        <w:rPr>
          <w:color w:val="231F20"/>
        </w:rPr>
        <w:t>growing</w:t>
      </w:r>
      <w:r>
        <w:rPr>
          <w:color w:val="231F20"/>
          <w:spacing w:val="39"/>
        </w:rPr>
        <w:t> </w:t>
      </w:r>
      <w:r>
        <w:rPr>
          <w:color w:val="231F20"/>
        </w:rPr>
        <w:t>rapidly.</w:t>
      </w:r>
      <w:r>
        <w:rPr>
          <w:color w:val="231F20"/>
          <w:spacing w:val="38"/>
        </w:rPr>
        <w:t> </w:t>
      </w:r>
      <w:r>
        <w:rPr>
          <w:color w:val="231F20"/>
        </w:rPr>
        <w:t>In</w:t>
      </w:r>
      <w:r>
        <w:rPr>
          <w:color w:val="231F20"/>
          <w:spacing w:val="39"/>
        </w:rPr>
        <w:t> </w:t>
      </w:r>
      <w:r>
        <w:rPr>
          <w:color w:val="231F20"/>
        </w:rPr>
        <w:t>2003</w:t>
      </w:r>
      <w:r>
        <w:rPr>
          <w:color w:val="231F20"/>
          <w:spacing w:val="39"/>
        </w:rPr>
        <w:t> </w:t>
      </w:r>
      <w:r>
        <w:rPr>
          <w:color w:val="231F20"/>
        </w:rPr>
        <w:t>catalog</w:t>
      </w:r>
      <w:r>
        <w:rPr>
          <w:color w:val="231F20"/>
          <w:spacing w:val="38"/>
        </w:rPr>
        <w:t> </w:t>
      </w:r>
      <w:r>
        <w:rPr>
          <w:color w:val="231F20"/>
        </w:rPr>
        <w:t>sales</w:t>
      </w:r>
      <w:r>
        <w:rPr>
          <w:color w:val="231F20"/>
          <w:spacing w:val="39"/>
        </w:rPr>
        <w:t> </w:t>
      </w:r>
      <w:r>
        <w:rPr>
          <w:color w:val="231F20"/>
          <w:spacing w:val="-4"/>
        </w:rPr>
        <w:t>were</w:t>
      </w:r>
    </w:p>
    <w:p>
      <w:pPr>
        <w:pStyle w:val="BodyText"/>
        <w:spacing w:line="292" w:lineRule="auto"/>
        <w:ind w:left="830" w:right="756"/>
        <w:jc w:val="both"/>
      </w:pPr>
      <w:r>
        <w:rPr>
          <w:color w:val="231F20"/>
          <w:w w:val="105"/>
        </w:rPr>
        <w:t>$133</w:t>
      </w:r>
      <w:r>
        <w:rPr>
          <w:color w:val="231F20"/>
          <w:spacing w:val="-1"/>
          <w:w w:val="105"/>
        </w:rPr>
        <w:t> </w:t>
      </w:r>
      <w:r>
        <w:rPr>
          <w:color w:val="231F20"/>
          <w:w w:val="105"/>
        </w:rPr>
        <w:t>billion.</w:t>
      </w:r>
      <w:r>
        <w:rPr>
          <w:color w:val="231F20"/>
          <w:spacing w:val="-1"/>
          <w:w w:val="105"/>
        </w:rPr>
        <w:t> </w:t>
      </w:r>
      <w:r>
        <w:rPr>
          <w:color w:val="231F20"/>
          <w:w w:val="105"/>
        </w:rPr>
        <w:t>Over</w:t>
      </w:r>
      <w:r>
        <w:rPr>
          <w:color w:val="231F20"/>
          <w:spacing w:val="-1"/>
          <w:w w:val="105"/>
        </w:rPr>
        <w:t> </w:t>
      </w:r>
      <w:r>
        <w:rPr>
          <w:color w:val="231F20"/>
          <w:w w:val="105"/>
        </w:rPr>
        <w:t>eight</w:t>
      </w:r>
      <w:r>
        <w:rPr>
          <w:color w:val="231F20"/>
          <w:spacing w:val="-1"/>
          <w:w w:val="105"/>
        </w:rPr>
        <w:t> </w:t>
      </w:r>
      <w:r>
        <w:rPr>
          <w:color w:val="231F20"/>
          <w:w w:val="105"/>
        </w:rPr>
        <w:t>thousand</w:t>
      </w:r>
      <w:r>
        <w:rPr>
          <w:color w:val="231F20"/>
          <w:spacing w:val="-1"/>
          <w:w w:val="105"/>
        </w:rPr>
        <w:t> </w:t>
      </w:r>
      <w:r>
        <w:rPr>
          <w:color w:val="231F20"/>
          <w:w w:val="105"/>
        </w:rPr>
        <w:t>firms</w:t>
      </w:r>
      <w:r>
        <w:rPr>
          <w:color w:val="231F20"/>
          <w:spacing w:val="-1"/>
          <w:w w:val="105"/>
        </w:rPr>
        <w:t> </w:t>
      </w:r>
      <w:r>
        <w:rPr>
          <w:color w:val="231F20"/>
          <w:w w:val="105"/>
        </w:rPr>
        <w:t>mailed</w:t>
      </w:r>
      <w:r>
        <w:rPr>
          <w:color w:val="231F20"/>
          <w:spacing w:val="-1"/>
          <w:w w:val="105"/>
        </w:rPr>
        <w:t> </w:t>
      </w:r>
      <w:r>
        <w:rPr>
          <w:color w:val="231F20"/>
          <w:w w:val="105"/>
        </w:rPr>
        <w:t>out</w:t>
      </w:r>
      <w:r>
        <w:rPr>
          <w:color w:val="231F20"/>
          <w:spacing w:val="-1"/>
          <w:w w:val="105"/>
        </w:rPr>
        <w:t> </w:t>
      </w:r>
      <w:r>
        <w:rPr>
          <w:color w:val="231F20"/>
          <w:w w:val="105"/>
        </w:rPr>
        <w:t>17</w:t>
      </w:r>
      <w:r>
        <w:rPr>
          <w:color w:val="231F20"/>
          <w:spacing w:val="-1"/>
          <w:w w:val="105"/>
        </w:rPr>
        <w:t> </w:t>
      </w:r>
      <w:r>
        <w:rPr>
          <w:color w:val="231F20"/>
          <w:w w:val="105"/>
        </w:rPr>
        <w:t>billion</w:t>
      </w:r>
      <w:r>
        <w:rPr>
          <w:color w:val="231F20"/>
          <w:spacing w:val="-1"/>
          <w:w w:val="105"/>
        </w:rPr>
        <w:t> </w:t>
      </w:r>
      <w:r>
        <w:rPr>
          <w:color w:val="231F20"/>
          <w:w w:val="105"/>
        </w:rPr>
        <w:t>cata- logs</w:t>
      </w:r>
      <w:r>
        <w:rPr>
          <w:color w:val="231F20"/>
          <w:w w:val="105"/>
        </w:rPr>
        <w:t> that</w:t>
      </w:r>
      <w:r>
        <w:rPr>
          <w:color w:val="231F20"/>
          <w:w w:val="105"/>
        </w:rPr>
        <w:t> year.</w:t>
      </w:r>
      <w:r>
        <w:rPr>
          <w:color w:val="231F20"/>
          <w:w w:val="105"/>
        </w:rPr>
        <w:t> In</w:t>
      </w:r>
      <w:r>
        <w:rPr>
          <w:color w:val="231F20"/>
          <w:w w:val="105"/>
        </w:rPr>
        <w:t> 2004</w:t>
      </w:r>
      <w:r>
        <w:rPr>
          <w:color w:val="231F20"/>
          <w:w w:val="105"/>
        </w:rPr>
        <w:t> the</w:t>
      </w:r>
      <w:r>
        <w:rPr>
          <w:color w:val="231F20"/>
          <w:w w:val="105"/>
        </w:rPr>
        <w:t> leading</w:t>
      </w:r>
      <w:r>
        <w:rPr>
          <w:color w:val="231F20"/>
          <w:w w:val="105"/>
        </w:rPr>
        <w:t> home</w:t>
      </w:r>
      <w:r>
        <w:rPr>
          <w:color w:val="231F20"/>
          <w:w w:val="105"/>
        </w:rPr>
        <w:t> shopping</w:t>
      </w:r>
      <w:r>
        <w:rPr>
          <w:color w:val="231F20"/>
          <w:w w:val="105"/>
        </w:rPr>
        <w:t> network,</w:t>
      </w:r>
      <w:r>
        <w:rPr>
          <w:color w:val="231F20"/>
          <w:w w:val="105"/>
        </w:rPr>
        <w:t> QVC Network Inc., had over $4 billion in revenues.</w:t>
      </w:r>
    </w:p>
    <w:p>
      <w:pPr>
        <w:pStyle w:val="BodyText"/>
        <w:spacing w:line="292" w:lineRule="auto"/>
        <w:ind w:left="830" w:right="753" w:firstLine="340"/>
        <w:jc w:val="both"/>
      </w:pPr>
      <w:r>
        <w:rPr>
          <w:color w:val="231F20"/>
        </w:rPr>
        <w:t>The nature of the direct mail game is to </w:t>
      </w:r>
      <w:r>
        <w:rPr>
          <w:i/>
          <w:color w:val="231F20"/>
        </w:rPr>
        <w:t>segment, segment, seg-</w:t>
      </w:r>
      <w:r>
        <w:rPr>
          <w:i/>
          <w:color w:val="231F20"/>
        </w:rPr>
        <w:t> ment. </w:t>
      </w:r>
      <w:r>
        <w:rPr>
          <w:color w:val="231F20"/>
        </w:rPr>
        <w:t>Mailers target their market with a focused mailing list to </w:t>
      </w:r>
      <w:r>
        <w:rPr>
          <w:color w:val="231F20"/>
        </w:rPr>
        <w:t>di- rectly reach those households with a compelling mail piece. Lists can be developed internally or purchased from vendors listed in SRDS’s </w:t>
      </w:r>
      <w:r>
        <w:rPr>
          <w:i/>
          <w:color w:val="231F20"/>
        </w:rPr>
        <w:t>Direct</w:t>
      </w:r>
      <w:r>
        <w:rPr>
          <w:i/>
          <w:color w:val="231F20"/>
          <w:spacing w:val="40"/>
        </w:rPr>
        <w:t> </w:t>
      </w:r>
      <w:r>
        <w:rPr>
          <w:i/>
          <w:color w:val="231F20"/>
        </w:rPr>
        <w:t>Mail</w:t>
      </w:r>
      <w:r>
        <w:rPr>
          <w:i/>
          <w:color w:val="231F20"/>
          <w:spacing w:val="40"/>
        </w:rPr>
        <w:t> </w:t>
      </w:r>
      <w:r>
        <w:rPr>
          <w:i/>
          <w:color w:val="231F20"/>
        </w:rPr>
        <w:t>List</w:t>
      </w:r>
      <w:r>
        <w:rPr>
          <w:i/>
          <w:color w:val="231F20"/>
          <w:spacing w:val="40"/>
        </w:rPr>
        <w:t> </w:t>
      </w:r>
      <w:r>
        <w:rPr>
          <w:i/>
          <w:color w:val="231F20"/>
        </w:rPr>
        <w:t>Rates</w:t>
      </w:r>
      <w:r>
        <w:rPr>
          <w:i/>
          <w:color w:val="231F20"/>
          <w:spacing w:val="40"/>
        </w:rPr>
        <w:t> </w:t>
      </w:r>
      <w:r>
        <w:rPr>
          <w:i/>
          <w:color w:val="231F20"/>
        </w:rPr>
        <w:t>and</w:t>
      </w:r>
      <w:r>
        <w:rPr>
          <w:i/>
          <w:color w:val="231F20"/>
          <w:spacing w:val="40"/>
        </w:rPr>
        <w:t> </w:t>
      </w:r>
      <w:r>
        <w:rPr>
          <w:i/>
          <w:color w:val="231F20"/>
        </w:rPr>
        <w:t>Data</w:t>
      </w:r>
      <w:r>
        <w:rPr>
          <w:i/>
          <w:color w:val="231F20"/>
          <w:spacing w:val="40"/>
        </w:rPr>
        <w:t> </w:t>
      </w:r>
      <w:r>
        <w:rPr>
          <w:color w:val="231F20"/>
        </w:rPr>
        <w:t>directory.</w:t>
      </w:r>
      <w:r>
        <w:rPr>
          <w:color w:val="231F20"/>
          <w:spacing w:val="40"/>
        </w:rPr>
        <w:t> </w:t>
      </w:r>
      <w:r>
        <w:rPr>
          <w:color w:val="231F20"/>
        </w:rPr>
        <w:t>The</w:t>
      </w:r>
      <w:r>
        <w:rPr>
          <w:color w:val="231F20"/>
          <w:spacing w:val="40"/>
        </w:rPr>
        <w:t> </w:t>
      </w:r>
      <w:r>
        <w:rPr>
          <w:color w:val="231F20"/>
        </w:rPr>
        <w:t>more</w:t>
      </w:r>
      <w:r>
        <w:rPr>
          <w:color w:val="231F20"/>
          <w:spacing w:val="40"/>
        </w:rPr>
        <w:t> </w:t>
      </w:r>
      <w:r>
        <w:rPr>
          <w:color w:val="231F20"/>
        </w:rPr>
        <w:t>defined, affluent, and focused the list is on a desired demographic composi- tion, the higher cost per thousand (CPM) names. The results are tracked by </w:t>
      </w:r>
      <w:r>
        <w:rPr>
          <w:i/>
          <w:color w:val="231F20"/>
        </w:rPr>
        <w:t>rate of return </w:t>
      </w:r>
      <w:r>
        <w:rPr>
          <w:color w:val="231F20"/>
        </w:rPr>
        <w:t>(ROR) and </w:t>
      </w:r>
      <w:r>
        <w:rPr>
          <w:i/>
          <w:color w:val="231F20"/>
        </w:rPr>
        <w:t>dollar amount per order. </w:t>
      </w:r>
      <w:r>
        <w:rPr>
          <w:color w:val="231F20"/>
        </w:rPr>
        <w:t>Be- cause TV audiences lack a list’s selectivity, TV sales pitches cannot</w:t>
      </w:r>
      <w:r>
        <w:rPr>
          <w:color w:val="231F20"/>
          <w:spacing w:val="80"/>
          <w:w w:val="150"/>
        </w:rPr>
        <w:t> </w:t>
      </w:r>
      <w:r>
        <w:rPr>
          <w:color w:val="231F20"/>
        </w:rPr>
        <w:t>be as directly targeted as direct mail. Internet marketing is a large and growing method of directly contacting the customer and receiv- ing a direct response. In 2004 marketers spent over $8 billion on In- ternet advertising. </w:t>
      </w:r>
      <w:r>
        <w:rPr>
          <w:i/>
          <w:color w:val="231F20"/>
        </w:rPr>
        <w:t>Key word advertising </w:t>
      </w:r>
      <w:r>
        <w:rPr>
          <w:color w:val="231F20"/>
        </w:rPr>
        <w:t>on Google’s or Yahoo!’s Internet Web search engines is purchased on a cost-per-click basis. You</w:t>
      </w:r>
      <w:r>
        <w:rPr>
          <w:color w:val="231F20"/>
          <w:spacing w:val="-1"/>
        </w:rPr>
        <w:t> </w:t>
      </w:r>
      <w:r>
        <w:rPr>
          <w:color w:val="231F20"/>
        </w:rPr>
        <w:t>select</w:t>
      </w:r>
      <w:r>
        <w:rPr>
          <w:color w:val="231F20"/>
          <w:spacing w:val="-1"/>
        </w:rPr>
        <w:t> </w:t>
      </w:r>
      <w:r>
        <w:rPr>
          <w:color w:val="231F20"/>
        </w:rPr>
        <w:t>your</w:t>
      </w:r>
      <w:r>
        <w:rPr>
          <w:color w:val="231F20"/>
          <w:spacing w:val="-1"/>
        </w:rPr>
        <w:t> </w:t>
      </w:r>
      <w:r>
        <w:rPr>
          <w:color w:val="231F20"/>
        </w:rPr>
        <w:t>customers</w:t>
      </w:r>
      <w:r>
        <w:rPr>
          <w:color w:val="231F20"/>
          <w:spacing w:val="-1"/>
        </w:rPr>
        <w:t> </w:t>
      </w:r>
      <w:r>
        <w:rPr>
          <w:color w:val="231F20"/>
        </w:rPr>
        <w:t>by</w:t>
      </w:r>
      <w:r>
        <w:rPr>
          <w:color w:val="231F20"/>
          <w:spacing w:val="-1"/>
        </w:rPr>
        <w:t> </w:t>
      </w:r>
      <w:r>
        <w:rPr>
          <w:color w:val="231F20"/>
        </w:rPr>
        <w:t>their</w:t>
      </w:r>
      <w:r>
        <w:rPr>
          <w:color w:val="231F20"/>
          <w:spacing w:val="-1"/>
        </w:rPr>
        <w:t> </w:t>
      </w:r>
      <w:r>
        <w:rPr>
          <w:color w:val="231F20"/>
        </w:rPr>
        <w:t>interest</w:t>
      </w:r>
      <w:r>
        <w:rPr>
          <w:color w:val="231F20"/>
          <w:spacing w:val="-1"/>
        </w:rPr>
        <w:t> </w:t>
      </w:r>
      <w:r>
        <w:rPr>
          <w:color w:val="231F20"/>
        </w:rPr>
        <w:t>when</w:t>
      </w:r>
      <w:r>
        <w:rPr>
          <w:color w:val="231F20"/>
          <w:spacing w:val="-1"/>
        </w:rPr>
        <w:t> </w:t>
      </w:r>
      <w:r>
        <w:rPr>
          <w:color w:val="231F20"/>
        </w:rPr>
        <w:t>they</w:t>
      </w:r>
      <w:r>
        <w:rPr>
          <w:color w:val="231F20"/>
          <w:spacing w:val="-1"/>
        </w:rPr>
        <w:t> </w:t>
      </w:r>
      <w:r>
        <w:rPr>
          <w:color w:val="231F20"/>
        </w:rPr>
        <w:t>are</w:t>
      </w:r>
      <w:r>
        <w:rPr>
          <w:color w:val="231F20"/>
          <w:spacing w:val="-1"/>
        </w:rPr>
        <w:t> </w:t>
      </w:r>
      <w:r>
        <w:rPr>
          <w:color w:val="231F20"/>
        </w:rPr>
        <w:t>interested. In a competitive bidding process, the most sought-after word is priced at a market price. Because the cost-per-click is well defined, the conversion of leads to sales and the resulting profit needs to be carefully calculated. If the customer has a continuing value, the life- time value should be considered. Other Internet marketing tech- niques include banner ads, pop-ups, and e-mail solicitations to</w:t>
      </w:r>
      <w:r>
        <w:rPr>
          <w:color w:val="231F20"/>
          <w:spacing w:val="80"/>
          <w:w w:val="150"/>
        </w:rPr>
        <w:t> </w:t>
      </w:r>
      <w:r>
        <w:rPr>
          <w:color w:val="231F20"/>
        </w:rPr>
        <w:t>target your audience.</w:t>
      </w:r>
    </w:p>
    <w:p>
      <w:pPr>
        <w:pStyle w:val="BodyText"/>
        <w:spacing w:line="292" w:lineRule="auto"/>
        <w:ind w:left="830" w:right="756" w:firstLine="340"/>
        <w:jc w:val="both"/>
      </w:pPr>
      <w:r>
        <w:rPr>
          <w:color w:val="231F20"/>
        </w:rPr>
        <w:t>The other component of both direct mail, Internet, and TV </w:t>
      </w:r>
      <w:r>
        <w:rPr>
          <w:color w:val="231F20"/>
        </w:rPr>
        <w:t>sell- ing is </w:t>
      </w:r>
      <w:r>
        <w:rPr>
          <w:i/>
          <w:color w:val="231F20"/>
        </w:rPr>
        <w:t>fulfillment. </w:t>
      </w:r>
      <w:r>
        <w:rPr>
          <w:color w:val="231F20"/>
        </w:rPr>
        <w:t>Fulfillment is the process of order entry, order pro- cessing, inventory management, mailing, and customer service. The dreams of those viewers of the Home Shopping Network who want</w:t>
      </w:r>
      <w:r>
        <w:rPr>
          <w:color w:val="231F20"/>
          <w:spacing w:val="80"/>
        </w:rPr>
        <w:t> </w:t>
      </w:r>
      <w:r>
        <w:rPr>
          <w:color w:val="231F20"/>
        </w:rPr>
        <w:t>to buy collectible dolls must be fulfilled. The operation may be exe- cuted internally or subcontracted out to a </w:t>
      </w:r>
      <w:r>
        <w:rPr>
          <w:i/>
          <w:color w:val="231F20"/>
        </w:rPr>
        <w:t>fulfillment house </w:t>
      </w:r>
      <w:r>
        <w:rPr>
          <w:color w:val="231F20"/>
        </w:rPr>
        <w:t>that per- forms the duty for a per-order fee over certain volume minimums. It saves</w:t>
      </w:r>
      <w:r>
        <w:rPr>
          <w:color w:val="231F20"/>
          <w:spacing w:val="13"/>
        </w:rPr>
        <w:t> </w:t>
      </w:r>
      <w:r>
        <w:rPr>
          <w:color w:val="231F20"/>
        </w:rPr>
        <w:t>smaller</w:t>
      </w:r>
      <w:r>
        <w:rPr>
          <w:color w:val="231F20"/>
          <w:spacing w:val="12"/>
        </w:rPr>
        <w:t> </w:t>
      </w:r>
      <w:r>
        <w:rPr>
          <w:color w:val="231F20"/>
        </w:rPr>
        <w:t>companies</w:t>
      </w:r>
      <w:r>
        <w:rPr>
          <w:color w:val="231F20"/>
          <w:spacing w:val="13"/>
        </w:rPr>
        <w:t> </w:t>
      </w:r>
      <w:r>
        <w:rPr>
          <w:color w:val="231F20"/>
        </w:rPr>
        <w:t>the</w:t>
      </w:r>
      <w:r>
        <w:rPr>
          <w:color w:val="231F20"/>
          <w:spacing w:val="13"/>
        </w:rPr>
        <w:t> </w:t>
      </w:r>
      <w:r>
        <w:rPr>
          <w:color w:val="231F20"/>
        </w:rPr>
        <w:t>initial</w:t>
      </w:r>
      <w:r>
        <w:rPr>
          <w:color w:val="231F20"/>
          <w:spacing w:val="13"/>
        </w:rPr>
        <w:t> </w:t>
      </w:r>
      <w:r>
        <w:rPr>
          <w:color w:val="231F20"/>
        </w:rPr>
        <w:t>investment</w:t>
      </w:r>
      <w:r>
        <w:rPr>
          <w:color w:val="231F20"/>
          <w:spacing w:val="13"/>
        </w:rPr>
        <w:t> </w:t>
      </w:r>
      <w:r>
        <w:rPr>
          <w:color w:val="231F20"/>
        </w:rPr>
        <w:t>required</w:t>
      </w:r>
      <w:r>
        <w:rPr>
          <w:color w:val="231F20"/>
          <w:spacing w:val="13"/>
        </w:rPr>
        <w:t> </w:t>
      </w:r>
      <w:r>
        <w:rPr>
          <w:color w:val="231F20"/>
        </w:rPr>
        <w:t>to</w:t>
      </w:r>
      <w:r>
        <w:rPr>
          <w:color w:val="231F20"/>
          <w:spacing w:val="13"/>
        </w:rPr>
        <w:t> </w:t>
      </w:r>
      <w:r>
        <w:rPr>
          <w:color w:val="231F20"/>
          <w:spacing w:val="-2"/>
        </w:rPr>
        <w:t>establish</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in-house fulfillment capabilities. Because direct selling is becoming such a large part of the economy, it should not be ignored as a possi- ble channel to the consumer. A thorny issue connected with this </w:t>
      </w:r>
      <w:r>
        <w:rPr>
          <w:color w:val="231F20"/>
        </w:rPr>
        <w:t>sell- ing method is the backlash against the Big Brother effect of having </w:t>
      </w:r>
      <w:r>
        <w:rPr>
          <w:i/>
          <w:color w:val="231F20"/>
        </w:rPr>
        <w:t>very </w:t>
      </w:r>
      <w:r>
        <w:rPr>
          <w:color w:val="231F20"/>
        </w:rPr>
        <w:t>personal information captured in mailing lists that churn out personalized pitches. This topic, like slotting fees, is a “hot” one for MBA chatter.</w:t>
      </w:r>
    </w:p>
    <w:p>
      <w:pPr>
        <w:pStyle w:val="BodyText"/>
        <w:spacing w:line="292" w:lineRule="auto"/>
        <w:ind w:left="919" w:right="666" w:firstLine="340"/>
        <w:jc w:val="both"/>
      </w:pPr>
      <w:r>
        <w:rPr>
          <w:color w:val="231F20"/>
        </w:rPr>
        <w:t>Each method of promotion—</w:t>
      </w:r>
      <w:r>
        <w:rPr>
          <w:color w:val="231F20"/>
          <w:spacing w:val="-12"/>
        </w:rPr>
        <w:t> </w:t>
      </w:r>
      <w:r>
        <w:rPr>
          <w:color w:val="231F20"/>
        </w:rPr>
        <w:t>advertising, personal selling, </w:t>
      </w:r>
      <w:r>
        <w:rPr>
          <w:color w:val="231F20"/>
        </w:rPr>
        <w:t>sales promotions, public relations, and direct selling—</w:t>
      </w:r>
      <w:r>
        <w:rPr>
          <w:color w:val="231F20"/>
          <w:spacing w:val="-12"/>
        </w:rPr>
        <w:t> </w:t>
      </w:r>
      <w:r>
        <w:rPr>
          <w:color w:val="231F20"/>
        </w:rPr>
        <w:t>can accomplish a separate mission depending on the product, the place of sale, and the price. The gifted marketer goes to his or her palette of promotional options</w:t>
      </w:r>
      <w:r>
        <w:rPr>
          <w:color w:val="231F20"/>
          <w:spacing w:val="31"/>
        </w:rPr>
        <w:t> </w:t>
      </w:r>
      <w:r>
        <w:rPr>
          <w:color w:val="231F20"/>
        </w:rPr>
        <w:t>and</w:t>
      </w:r>
      <w:r>
        <w:rPr>
          <w:color w:val="231F20"/>
          <w:spacing w:val="31"/>
        </w:rPr>
        <w:t> </w:t>
      </w:r>
      <w:r>
        <w:rPr>
          <w:color w:val="231F20"/>
        </w:rPr>
        <w:t>combines</w:t>
      </w:r>
      <w:r>
        <w:rPr>
          <w:color w:val="231F20"/>
          <w:spacing w:val="31"/>
        </w:rPr>
        <w:t> </w:t>
      </w:r>
      <w:r>
        <w:rPr>
          <w:color w:val="231F20"/>
        </w:rPr>
        <w:t>them</w:t>
      </w:r>
      <w:r>
        <w:rPr>
          <w:color w:val="231F20"/>
          <w:spacing w:val="31"/>
        </w:rPr>
        <w:t> </w:t>
      </w:r>
      <w:r>
        <w:rPr>
          <w:color w:val="231F20"/>
        </w:rPr>
        <w:t>in</w:t>
      </w:r>
      <w:r>
        <w:rPr>
          <w:color w:val="231F20"/>
          <w:spacing w:val="31"/>
        </w:rPr>
        <w:t> </w:t>
      </w:r>
      <w:r>
        <w:rPr>
          <w:color w:val="231F20"/>
        </w:rPr>
        <w:t>a</w:t>
      </w:r>
      <w:r>
        <w:rPr>
          <w:color w:val="231F20"/>
          <w:spacing w:val="31"/>
        </w:rPr>
        <w:t> </w:t>
      </w:r>
      <w:r>
        <w:rPr>
          <w:color w:val="231F20"/>
        </w:rPr>
        <w:t>coordinated</w:t>
      </w:r>
      <w:r>
        <w:rPr>
          <w:color w:val="231F20"/>
          <w:spacing w:val="31"/>
        </w:rPr>
        <w:t> </w:t>
      </w:r>
      <w:r>
        <w:rPr>
          <w:color w:val="231F20"/>
        </w:rPr>
        <w:t>promotional</w:t>
      </w:r>
      <w:r>
        <w:rPr>
          <w:color w:val="231F20"/>
          <w:spacing w:val="31"/>
        </w:rPr>
        <w:t> </w:t>
      </w:r>
      <w:r>
        <w:rPr>
          <w:color w:val="231F20"/>
        </w:rPr>
        <w:t>strategy to sell the product efficiently.</w:t>
      </w:r>
    </w:p>
    <w:p>
      <w:pPr>
        <w:pStyle w:val="BodyText"/>
        <w:spacing w:before="2"/>
        <w:rPr>
          <w:sz w:val="25"/>
        </w:rPr>
      </w:pPr>
    </w:p>
    <w:p>
      <w:pPr>
        <w:pStyle w:val="BodyText"/>
        <w:tabs>
          <w:tab w:pos="2789" w:val="left" w:leader="none"/>
          <w:tab w:pos="4060" w:val="left" w:leader="none"/>
          <w:tab w:pos="5859" w:val="left" w:leader="none"/>
        </w:tabs>
        <w:ind w:left="1260"/>
        <w:rPr>
          <w:b/>
        </w:rPr>
      </w:pPr>
      <w:r>
        <w:rPr>
          <w:color w:val="231F20"/>
          <w:spacing w:val="-2"/>
        </w:rPr>
        <w:t>Product</w:t>
      </w:r>
      <w:r>
        <w:rPr>
          <w:color w:val="231F20"/>
        </w:rPr>
        <w:tab/>
      </w:r>
      <w:r>
        <w:rPr>
          <w:color w:val="231F20"/>
          <w:spacing w:val="-2"/>
        </w:rPr>
        <w:t>Place</w:t>
      </w:r>
      <w:r>
        <w:rPr>
          <w:color w:val="231F20"/>
        </w:rPr>
        <w:tab/>
      </w:r>
      <w:r>
        <w:rPr>
          <w:color w:val="231F20"/>
          <w:spacing w:val="-2"/>
        </w:rPr>
        <w:t>Promotion</w:t>
      </w:r>
      <w:r>
        <w:rPr>
          <w:color w:val="231F20"/>
        </w:rPr>
        <w:tab/>
      </w:r>
      <w:r>
        <w:rPr>
          <w:b/>
          <w:color w:val="231F20"/>
          <w:spacing w:val="-2"/>
        </w:rPr>
        <w:t>Price</w:t>
      </w:r>
    </w:p>
    <w:p>
      <w:pPr>
        <w:pStyle w:val="BodyText"/>
        <w:spacing w:before="2"/>
        <w:rPr>
          <w:b/>
          <w:sz w:val="30"/>
        </w:rPr>
      </w:pPr>
    </w:p>
    <w:p>
      <w:pPr>
        <w:pStyle w:val="Heading6"/>
        <w:ind w:left="1168" w:right="0"/>
        <w:jc w:val="left"/>
        <w:rPr>
          <w:i/>
        </w:rPr>
      </w:pPr>
      <w:r>
        <w:rPr>
          <w:i/>
          <w:color w:val="231F20"/>
          <w:w w:val="110"/>
        </w:rPr>
        <w:t>PRICING</w:t>
      </w:r>
      <w:r>
        <w:rPr>
          <w:i/>
          <w:color w:val="231F20"/>
          <w:spacing w:val="77"/>
          <w:w w:val="110"/>
        </w:rPr>
        <w:t> </w:t>
      </w:r>
      <w:r>
        <w:rPr>
          <w:i/>
          <w:color w:val="231F20"/>
          <w:w w:val="110"/>
        </w:rPr>
        <w:t>DECISIONS:</w:t>
      </w:r>
      <w:r>
        <w:rPr>
          <w:i/>
          <w:color w:val="231F20"/>
          <w:spacing w:val="78"/>
          <w:w w:val="110"/>
        </w:rPr>
        <w:t> </w:t>
      </w:r>
      <w:r>
        <w:rPr>
          <w:i/>
          <w:color w:val="231F20"/>
          <w:w w:val="110"/>
        </w:rPr>
        <w:t>WHAT</w:t>
      </w:r>
      <w:r>
        <w:rPr>
          <w:i/>
          <w:color w:val="231F20"/>
          <w:spacing w:val="78"/>
          <w:w w:val="110"/>
        </w:rPr>
        <w:t> </w:t>
      </w:r>
      <w:r>
        <w:rPr>
          <w:i/>
          <w:color w:val="231F20"/>
          <w:w w:val="110"/>
        </w:rPr>
        <w:t>SHOULD</w:t>
      </w:r>
      <w:r>
        <w:rPr>
          <w:i/>
          <w:color w:val="231F20"/>
          <w:spacing w:val="78"/>
          <w:w w:val="110"/>
        </w:rPr>
        <w:t> </w:t>
      </w:r>
      <w:r>
        <w:rPr>
          <w:i/>
          <w:color w:val="231F20"/>
          <w:w w:val="110"/>
        </w:rPr>
        <w:t>MY</w:t>
      </w:r>
      <w:r>
        <w:rPr>
          <w:i/>
          <w:color w:val="231F20"/>
          <w:spacing w:val="78"/>
          <w:w w:val="110"/>
        </w:rPr>
        <w:t> </w:t>
      </w:r>
      <w:r>
        <w:rPr>
          <w:i/>
          <w:color w:val="231F20"/>
          <w:w w:val="110"/>
        </w:rPr>
        <w:t>PRICE</w:t>
      </w:r>
      <w:r>
        <w:rPr>
          <w:i/>
          <w:color w:val="231F20"/>
          <w:spacing w:val="78"/>
          <w:w w:val="110"/>
        </w:rPr>
        <w:t> </w:t>
      </w:r>
      <w:r>
        <w:rPr>
          <w:i/>
          <w:color w:val="231F20"/>
          <w:spacing w:val="5"/>
          <w:w w:val="110"/>
        </w:rPr>
        <w:t>BE?</w:t>
      </w:r>
    </w:p>
    <w:p>
      <w:pPr>
        <w:pStyle w:val="BodyText"/>
        <w:spacing w:before="2"/>
        <w:rPr>
          <w:b/>
          <w:i/>
          <w:sz w:val="30"/>
        </w:rPr>
      </w:pPr>
    </w:p>
    <w:p>
      <w:pPr>
        <w:pStyle w:val="BodyText"/>
        <w:spacing w:line="292" w:lineRule="auto"/>
        <w:ind w:left="920" w:right="664"/>
        <w:jc w:val="both"/>
      </w:pPr>
      <w:r>
        <w:rPr>
          <w:color w:val="231F20"/>
        </w:rPr>
        <w:t>The pricing decision, like the product decisions, can dramatically </w:t>
      </w:r>
      <w:r>
        <w:rPr>
          <w:color w:val="231F20"/>
        </w:rPr>
        <w:t>af- fect the marketing mix by suggesting a channel of distribution or an advertising strategy. The pricing itself can differentiate your product from the competition. Both the Kia and the Rolls-Royce are differ- entiated at opposite ends of the automobile spectrum. There are many rationales behind pricing each product and service. Haven’t</w:t>
      </w:r>
      <w:r>
        <w:rPr>
          <w:color w:val="231F20"/>
          <w:spacing w:val="40"/>
        </w:rPr>
        <w:t> </w:t>
      </w:r>
      <w:r>
        <w:rPr>
          <w:color w:val="231F20"/>
        </w:rPr>
        <w:t>you</w:t>
      </w:r>
      <w:r>
        <w:rPr>
          <w:color w:val="231F20"/>
          <w:spacing w:val="25"/>
        </w:rPr>
        <w:t> </w:t>
      </w:r>
      <w:r>
        <w:rPr>
          <w:color w:val="231F20"/>
        </w:rPr>
        <w:t>seen</w:t>
      </w:r>
      <w:r>
        <w:rPr>
          <w:color w:val="231F20"/>
          <w:spacing w:val="26"/>
        </w:rPr>
        <w:t> </w:t>
      </w:r>
      <w:r>
        <w:rPr>
          <w:color w:val="231F20"/>
        </w:rPr>
        <w:t>a</w:t>
      </w:r>
      <w:r>
        <w:rPr>
          <w:color w:val="231F20"/>
          <w:spacing w:val="26"/>
        </w:rPr>
        <w:t> </w:t>
      </w:r>
      <w:r>
        <w:rPr>
          <w:color w:val="231F20"/>
        </w:rPr>
        <w:t>pair</w:t>
      </w:r>
      <w:r>
        <w:rPr>
          <w:color w:val="231F20"/>
          <w:spacing w:val="26"/>
        </w:rPr>
        <w:t> </w:t>
      </w:r>
      <w:r>
        <w:rPr>
          <w:color w:val="231F20"/>
        </w:rPr>
        <w:t>of</w:t>
      </w:r>
      <w:r>
        <w:rPr>
          <w:color w:val="231F20"/>
          <w:spacing w:val="26"/>
        </w:rPr>
        <w:t> </w:t>
      </w:r>
      <w:r>
        <w:rPr>
          <w:color w:val="231F20"/>
        </w:rPr>
        <w:t>Nike</w:t>
      </w:r>
      <w:r>
        <w:rPr>
          <w:color w:val="231F20"/>
          <w:spacing w:val="26"/>
        </w:rPr>
        <w:t> </w:t>
      </w:r>
      <w:r>
        <w:rPr>
          <w:color w:val="231F20"/>
        </w:rPr>
        <w:t>cross-trainers</w:t>
      </w:r>
      <w:r>
        <w:rPr>
          <w:color w:val="231F20"/>
          <w:spacing w:val="25"/>
        </w:rPr>
        <w:t> </w:t>
      </w:r>
      <w:r>
        <w:rPr>
          <w:color w:val="231F20"/>
        </w:rPr>
        <w:t>for</w:t>
      </w:r>
      <w:r>
        <w:rPr>
          <w:color w:val="231F20"/>
          <w:spacing w:val="26"/>
        </w:rPr>
        <w:t> </w:t>
      </w:r>
      <w:r>
        <w:rPr>
          <w:color w:val="231F20"/>
        </w:rPr>
        <w:t>sale</w:t>
      </w:r>
      <w:r>
        <w:rPr>
          <w:color w:val="231F20"/>
          <w:spacing w:val="26"/>
        </w:rPr>
        <w:t> </w:t>
      </w:r>
      <w:r>
        <w:rPr>
          <w:color w:val="231F20"/>
        </w:rPr>
        <w:t>at</w:t>
      </w:r>
      <w:r>
        <w:rPr>
          <w:color w:val="231F20"/>
          <w:spacing w:val="26"/>
        </w:rPr>
        <w:t> </w:t>
      </w:r>
      <w:r>
        <w:rPr>
          <w:color w:val="231F20"/>
        </w:rPr>
        <w:t>$59.95</w:t>
      </w:r>
      <w:r>
        <w:rPr>
          <w:color w:val="231F20"/>
          <w:spacing w:val="26"/>
        </w:rPr>
        <w:t> </w:t>
      </w:r>
      <w:r>
        <w:rPr>
          <w:color w:val="231F20"/>
        </w:rPr>
        <w:t>instead</w:t>
      </w:r>
      <w:r>
        <w:rPr>
          <w:color w:val="231F20"/>
          <w:spacing w:val="26"/>
        </w:rPr>
        <w:t> </w:t>
      </w:r>
      <w:r>
        <w:rPr>
          <w:color w:val="231F20"/>
          <w:spacing w:val="-5"/>
        </w:rPr>
        <w:t>of</w:t>
      </w:r>
    </w:p>
    <w:p>
      <w:pPr>
        <w:pStyle w:val="BodyText"/>
        <w:spacing w:line="292" w:lineRule="auto"/>
        <w:ind w:left="920" w:right="666"/>
        <w:jc w:val="both"/>
      </w:pPr>
      <w:r>
        <w:rPr>
          <w:color w:val="231F20"/>
        </w:rPr>
        <w:t>$60 for some psychological advantage? Besides psychological </w:t>
      </w:r>
      <w:r>
        <w:rPr>
          <w:color w:val="231F20"/>
        </w:rPr>
        <w:t>pric- ing, there are eight major pricing methods and strategies suggested by research and case analyses.</w:t>
      </w:r>
    </w:p>
    <w:p>
      <w:pPr>
        <w:pStyle w:val="BodyText"/>
        <w:spacing w:before="3"/>
        <w:rPr>
          <w:sz w:val="25"/>
        </w:rPr>
      </w:pPr>
    </w:p>
    <w:p>
      <w:pPr>
        <w:pStyle w:val="BodyText"/>
        <w:spacing w:line="292" w:lineRule="auto"/>
        <w:ind w:left="920" w:right="665"/>
        <w:jc w:val="both"/>
      </w:pPr>
      <w:r>
        <w:rPr>
          <w:b/>
          <w:i/>
          <w:color w:val="231F20"/>
        </w:rPr>
        <w:t>Cost Plus. </w:t>
      </w:r>
      <w:r>
        <w:rPr>
          <w:color w:val="231F20"/>
        </w:rPr>
        <w:t>This is a simple method of taking your cost and adding a desired profit margin. Highway contractors often use this simple method; however, it is not the proper way to price.</w:t>
      </w:r>
    </w:p>
    <w:p>
      <w:pPr>
        <w:pStyle w:val="BodyText"/>
        <w:spacing w:before="6"/>
        <w:rPr>
          <w:sz w:val="25"/>
        </w:rPr>
      </w:pPr>
    </w:p>
    <w:p>
      <w:pPr>
        <w:pStyle w:val="BodyText"/>
        <w:spacing w:line="292" w:lineRule="auto"/>
        <w:ind w:left="920" w:right="666"/>
        <w:jc w:val="both"/>
      </w:pPr>
      <w:r>
        <w:rPr>
          <w:b/>
          <w:i/>
          <w:color w:val="231F20"/>
        </w:rPr>
        <w:t>Perceived Value to the Consumer. </w:t>
      </w:r>
      <w:r>
        <w:rPr>
          <w:color w:val="231F20"/>
        </w:rPr>
        <w:t>You can charge the customer </w:t>
      </w:r>
      <w:r>
        <w:rPr>
          <w:color w:val="231F20"/>
        </w:rPr>
        <w:t>the value provided, regardless of its cost. Replacement parts are a prime example—</w:t>
      </w:r>
      <w:r>
        <w:rPr>
          <w:color w:val="231F20"/>
          <w:spacing w:val="-24"/>
        </w:rPr>
        <w:t> </w:t>
      </w:r>
      <w:r>
        <w:rPr>
          <w:color w:val="231F20"/>
        </w:rPr>
        <w:t>exorbitant</w:t>
      </w:r>
      <w:r>
        <w:rPr>
          <w:color w:val="231F20"/>
          <w:spacing w:val="13"/>
        </w:rPr>
        <w:t> </w:t>
      </w:r>
      <w:r>
        <w:rPr>
          <w:color w:val="231F20"/>
        </w:rPr>
        <w:t>prices</w:t>
      </w:r>
      <w:r>
        <w:rPr>
          <w:color w:val="231F20"/>
          <w:spacing w:val="13"/>
        </w:rPr>
        <w:t> </w:t>
      </w:r>
      <w:r>
        <w:rPr>
          <w:color w:val="231F20"/>
        </w:rPr>
        <w:t>are</w:t>
      </w:r>
      <w:r>
        <w:rPr>
          <w:color w:val="231F20"/>
          <w:spacing w:val="12"/>
        </w:rPr>
        <w:t> </w:t>
      </w:r>
      <w:r>
        <w:rPr>
          <w:color w:val="231F20"/>
        </w:rPr>
        <w:t>charged</w:t>
      </w:r>
      <w:r>
        <w:rPr>
          <w:color w:val="231F20"/>
          <w:spacing w:val="13"/>
        </w:rPr>
        <w:t> </w:t>
      </w:r>
      <w:r>
        <w:rPr>
          <w:color w:val="231F20"/>
        </w:rPr>
        <w:t>for</w:t>
      </w:r>
      <w:r>
        <w:rPr>
          <w:color w:val="231F20"/>
          <w:spacing w:val="13"/>
        </w:rPr>
        <w:t> </w:t>
      </w:r>
      <w:r>
        <w:rPr>
          <w:color w:val="231F20"/>
        </w:rPr>
        <w:t>a</w:t>
      </w:r>
      <w:r>
        <w:rPr>
          <w:color w:val="231F20"/>
          <w:spacing w:val="13"/>
        </w:rPr>
        <w:t> </w:t>
      </w:r>
      <w:r>
        <w:rPr>
          <w:color w:val="231F20"/>
        </w:rPr>
        <w:t>cheap</w:t>
      </w:r>
      <w:r>
        <w:rPr>
          <w:color w:val="231F20"/>
          <w:spacing w:val="12"/>
        </w:rPr>
        <w:t> </w:t>
      </w:r>
      <w:r>
        <w:rPr>
          <w:color w:val="231F20"/>
        </w:rPr>
        <w:t>but</w:t>
      </w:r>
      <w:r>
        <w:rPr>
          <w:color w:val="231F20"/>
          <w:spacing w:val="13"/>
        </w:rPr>
        <w:t> </w:t>
      </w:r>
      <w:r>
        <w:rPr>
          <w:color w:val="231F20"/>
        </w:rPr>
        <w:t>crucial</w:t>
      </w:r>
      <w:r>
        <w:rPr>
          <w:color w:val="231F20"/>
          <w:spacing w:val="13"/>
        </w:rPr>
        <w:t> </w:t>
      </w:r>
      <w:r>
        <w:rPr>
          <w:color w:val="231F20"/>
          <w:spacing w:val="-4"/>
        </w:rPr>
        <w:t>cus-</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29" w:right="756"/>
        <w:jc w:val="both"/>
      </w:pPr>
      <w:r>
        <w:rPr>
          <w:color w:val="231F20"/>
        </w:rPr>
        <w:t>tom nut or bolt. The owner of a fixture manufacturer confided to a group of my classmates during a school-sponsored plant visit that</w:t>
      </w:r>
      <w:r>
        <w:rPr>
          <w:color w:val="231F20"/>
          <w:spacing w:val="40"/>
        </w:rPr>
        <w:t> </w:t>
      </w:r>
      <w:r>
        <w:rPr>
          <w:color w:val="231F20"/>
        </w:rPr>
        <w:t>the majority of his company’s profits were derived from the </w:t>
      </w:r>
      <w:r>
        <w:rPr>
          <w:color w:val="231F20"/>
        </w:rPr>
        <w:t>twenty- by-twenty-foot replacement-parts cage, not from the long assembly lines producing the fixtures. If the price charged for an item is com- mensurate with the benefits provided, then it will be considered a good </w:t>
      </w:r>
      <w:r>
        <w:rPr>
          <w:i/>
          <w:color w:val="231F20"/>
        </w:rPr>
        <w:t>value </w:t>
      </w:r>
      <w:r>
        <w:rPr>
          <w:color w:val="231F20"/>
        </w:rPr>
        <w:t>in the mind of the buyer. But remember, there are limits even in a monopolistic situation.</w:t>
      </w:r>
    </w:p>
    <w:p>
      <w:pPr>
        <w:pStyle w:val="BodyText"/>
        <w:spacing w:before="4"/>
        <w:rPr>
          <w:sz w:val="25"/>
        </w:rPr>
      </w:pPr>
    </w:p>
    <w:p>
      <w:pPr>
        <w:pStyle w:val="BodyText"/>
        <w:spacing w:line="292" w:lineRule="auto"/>
        <w:ind w:left="829" w:right="753"/>
        <w:jc w:val="both"/>
      </w:pPr>
      <w:r>
        <w:rPr>
          <w:b/>
          <w:i/>
          <w:color w:val="231F20"/>
        </w:rPr>
        <w:t>Skimming. </w:t>
      </w:r>
      <w:r>
        <w:rPr>
          <w:color w:val="231F20"/>
        </w:rPr>
        <w:t>Early in the introduction phase of the PLC, a </w:t>
      </w:r>
      <w:r>
        <w:rPr>
          <w:color w:val="231F20"/>
        </w:rPr>
        <w:t>company</w:t>
      </w:r>
      <w:r>
        <w:rPr>
          <w:color w:val="231F20"/>
          <w:spacing w:val="80"/>
        </w:rPr>
        <w:t> </w:t>
      </w:r>
      <w:r>
        <w:rPr>
          <w:color w:val="231F20"/>
        </w:rPr>
        <w:t>can opt to charge a high price and </w:t>
      </w:r>
      <w:r>
        <w:rPr>
          <w:i/>
          <w:color w:val="231F20"/>
        </w:rPr>
        <w:t>skin </w:t>
      </w:r>
      <w:r>
        <w:rPr>
          <w:color w:val="231F20"/>
        </w:rPr>
        <w:t>high margins from a new and novel</w:t>
      </w:r>
      <w:r>
        <w:rPr>
          <w:color w:val="231F20"/>
          <w:spacing w:val="40"/>
        </w:rPr>
        <w:t> </w:t>
      </w:r>
      <w:r>
        <w:rPr>
          <w:color w:val="231F20"/>
        </w:rPr>
        <w:t>product</w:t>
      </w:r>
      <w:r>
        <w:rPr>
          <w:color w:val="231F20"/>
          <w:spacing w:val="40"/>
        </w:rPr>
        <w:t> </w:t>
      </w:r>
      <w:r>
        <w:rPr>
          <w:color w:val="231F20"/>
        </w:rPr>
        <w:t>or</w:t>
      </w:r>
      <w:r>
        <w:rPr>
          <w:color w:val="231F20"/>
          <w:spacing w:val="40"/>
        </w:rPr>
        <w:t> </w:t>
      </w:r>
      <w:r>
        <w:rPr>
          <w:color w:val="231F20"/>
        </w:rPr>
        <w:t>service.</w:t>
      </w:r>
      <w:r>
        <w:rPr>
          <w:color w:val="231F20"/>
          <w:spacing w:val="40"/>
        </w:rPr>
        <w:t> </w:t>
      </w:r>
      <w:r>
        <w:rPr>
          <w:color w:val="231F20"/>
        </w:rPr>
        <w:t>The</w:t>
      </w:r>
      <w:r>
        <w:rPr>
          <w:color w:val="231F20"/>
          <w:spacing w:val="40"/>
        </w:rPr>
        <w:t> </w:t>
      </w:r>
      <w:r>
        <w:rPr>
          <w:color w:val="231F20"/>
        </w:rPr>
        <w:t>margins</w:t>
      </w:r>
      <w:r>
        <w:rPr>
          <w:color w:val="231F20"/>
          <w:spacing w:val="40"/>
        </w:rPr>
        <w:t> </w:t>
      </w:r>
      <w:r>
        <w:rPr>
          <w:color w:val="231F20"/>
        </w:rPr>
        <w:t>could</w:t>
      </w:r>
      <w:r>
        <w:rPr>
          <w:color w:val="231F20"/>
          <w:spacing w:val="40"/>
        </w:rPr>
        <w:t> </w:t>
      </w:r>
      <w:r>
        <w:rPr>
          <w:color w:val="231F20"/>
        </w:rPr>
        <w:t>be</w:t>
      </w:r>
      <w:r>
        <w:rPr>
          <w:color w:val="231F20"/>
          <w:spacing w:val="40"/>
        </w:rPr>
        <w:t> </w:t>
      </w:r>
      <w:r>
        <w:rPr>
          <w:color w:val="231F20"/>
        </w:rPr>
        <w:t>used</w:t>
      </w:r>
      <w:r>
        <w:rPr>
          <w:color w:val="231F20"/>
          <w:spacing w:val="40"/>
        </w:rPr>
        <w:t> </w:t>
      </w:r>
      <w:r>
        <w:rPr>
          <w:color w:val="231F20"/>
        </w:rPr>
        <w:t>to</w:t>
      </w:r>
      <w:r>
        <w:rPr>
          <w:color w:val="231F20"/>
          <w:spacing w:val="40"/>
        </w:rPr>
        <w:t> </w:t>
      </w:r>
      <w:r>
        <w:rPr>
          <w:color w:val="231F20"/>
        </w:rPr>
        <w:t>further R&amp;D, as is done in high-tech industries, or to immediately reward</w:t>
      </w:r>
      <w:r>
        <w:rPr>
          <w:color w:val="231F20"/>
          <w:spacing w:val="80"/>
          <w:w w:val="150"/>
        </w:rPr>
        <w:t> </w:t>
      </w:r>
      <w:r>
        <w:rPr>
          <w:color w:val="231F20"/>
        </w:rPr>
        <w:t>the owners for fad product introductions. RCA used this strategy to charge high prices for color TVs when they were introduced in the </w:t>
      </w:r>
      <w:r>
        <w:rPr>
          <w:color w:val="231F20"/>
          <w:spacing w:val="-2"/>
        </w:rPr>
        <w:t>1960s.</w:t>
      </w:r>
    </w:p>
    <w:p>
      <w:pPr>
        <w:pStyle w:val="BodyText"/>
        <w:spacing w:before="4"/>
        <w:rPr>
          <w:sz w:val="25"/>
        </w:rPr>
      </w:pPr>
    </w:p>
    <w:p>
      <w:pPr>
        <w:pStyle w:val="BodyText"/>
        <w:spacing w:line="292" w:lineRule="auto"/>
        <w:ind w:left="829" w:right="756"/>
        <w:jc w:val="both"/>
      </w:pPr>
      <w:r>
        <w:rPr>
          <w:b/>
          <w:i/>
          <w:color w:val="231F20"/>
        </w:rPr>
        <w:t>Penetration. </w:t>
      </w:r>
      <w:r>
        <w:rPr>
          <w:color w:val="231F20"/>
        </w:rPr>
        <w:t>This pricing can be used in the introductory phase </w:t>
      </w:r>
      <w:r>
        <w:rPr>
          <w:color w:val="231F20"/>
        </w:rPr>
        <w:t>or later</w:t>
      </w:r>
      <w:r>
        <w:rPr>
          <w:color w:val="231F20"/>
          <w:spacing w:val="40"/>
        </w:rPr>
        <w:t> </w:t>
      </w:r>
      <w:r>
        <w:rPr>
          <w:color w:val="231F20"/>
        </w:rPr>
        <w:t>in</w:t>
      </w:r>
      <w:r>
        <w:rPr>
          <w:color w:val="231F20"/>
          <w:spacing w:val="40"/>
        </w:rPr>
        <w:t> </w:t>
      </w:r>
      <w:r>
        <w:rPr>
          <w:color w:val="231F20"/>
        </w:rPr>
        <w:t>the</w:t>
      </w:r>
      <w:r>
        <w:rPr>
          <w:color w:val="231F20"/>
          <w:spacing w:val="40"/>
        </w:rPr>
        <w:t> </w:t>
      </w:r>
      <w:r>
        <w:rPr>
          <w:color w:val="231F20"/>
        </w:rPr>
        <w:t>PLC.</w:t>
      </w:r>
      <w:r>
        <w:rPr>
          <w:color w:val="231F20"/>
          <w:spacing w:val="40"/>
        </w:rPr>
        <w:t> </w:t>
      </w:r>
      <w:r>
        <w:rPr>
          <w:color w:val="231F20"/>
        </w:rPr>
        <w:t>A</w:t>
      </w:r>
      <w:r>
        <w:rPr>
          <w:color w:val="231F20"/>
          <w:spacing w:val="40"/>
        </w:rPr>
        <w:t> </w:t>
      </w:r>
      <w:r>
        <w:rPr>
          <w:i/>
          <w:color w:val="231F20"/>
        </w:rPr>
        <w:t>penetration</w:t>
      </w:r>
      <w:r>
        <w:rPr>
          <w:i/>
          <w:color w:val="231F20"/>
          <w:spacing w:val="40"/>
        </w:rPr>
        <w:t> </w:t>
      </w:r>
      <w:r>
        <w:rPr>
          <w:color w:val="231F20"/>
        </w:rPr>
        <w:t>strategy</w:t>
      </w:r>
      <w:r>
        <w:rPr>
          <w:color w:val="231F20"/>
          <w:spacing w:val="40"/>
        </w:rPr>
        <w:t> </w:t>
      </w:r>
      <w:r>
        <w:rPr>
          <w:color w:val="231F20"/>
        </w:rPr>
        <w:t>would</w:t>
      </w:r>
      <w:r>
        <w:rPr>
          <w:color w:val="231F20"/>
          <w:spacing w:val="40"/>
        </w:rPr>
        <w:t> </w:t>
      </w:r>
      <w:r>
        <w:rPr>
          <w:color w:val="231F20"/>
        </w:rPr>
        <w:t>use</w:t>
      </w:r>
      <w:r>
        <w:rPr>
          <w:color w:val="231F20"/>
          <w:spacing w:val="40"/>
        </w:rPr>
        <w:t> </w:t>
      </w:r>
      <w:r>
        <w:rPr>
          <w:color w:val="231F20"/>
        </w:rPr>
        <w:t>a</w:t>
      </w:r>
      <w:r>
        <w:rPr>
          <w:color w:val="231F20"/>
          <w:spacing w:val="40"/>
        </w:rPr>
        <w:t> </w:t>
      </w:r>
      <w:r>
        <w:rPr>
          <w:color w:val="231F20"/>
        </w:rPr>
        <w:t>low</w:t>
      </w:r>
      <w:r>
        <w:rPr>
          <w:color w:val="231F20"/>
          <w:spacing w:val="40"/>
        </w:rPr>
        <w:t> </w:t>
      </w:r>
      <w:r>
        <w:rPr>
          <w:color w:val="231F20"/>
        </w:rPr>
        <w:t>price</w:t>
      </w:r>
      <w:r>
        <w:rPr>
          <w:color w:val="231F20"/>
          <w:spacing w:val="40"/>
        </w:rPr>
        <w:t> </w:t>
      </w:r>
      <w:r>
        <w:rPr>
          <w:color w:val="231F20"/>
        </w:rPr>
        <w:t>to gain market share; the goal is primarily to lower costs per unit by producing many units in hopes of eventually controlling a market as the low-cost producer.</w:t>
      </w:r>
    </w:p>
    <w:p>
      <w:pPr>
        <w:pStyle w:val="BodyText"/>
        <w:spacing w:before="5"/>
        <w:rPr>
          <w:sz w:val="25"/>
        </w:rPr>
      </w:pPr>
    </w:p>
    <w:p>
      <w:pPr>
        <w:pStyle w:val="BodyText"/>
        <w:spacing w:line="292" w:lineRule="auto"/>
        <w:ind w:left="829" w:right="753"/>
        <w:jc w:val="both"/>
      </w:pPr>
      <w:r>
        <w:rPr>
          <w:b/>
          <w:i/>
          <w:color w:val="231F20"/>
        </w:rPr>
        <w:t>The Price/Quality Relationship. </w:t>
      </w:r>
      <w:r>
        <w:rPr>
          <w:color w:val="231F20"/>
        </w:rPr>
        <w:t>Because consumer perceptions </w:t>
      </w:r>
      <w:r>
        <w:rPr>
          <w:color w:val="231F20"/>
        </w:rPr>
        <w:t>are not necessarily based on just the physical attributes of a product, the “perceived” quality is often influenced by its price. Apparel, per- fume, and jewelry are examples where the price itself affects the per- ception of product attributes. Consumers often </w:t>
      </w:r>
      <w:r>
        <w:rPr>
          <w:i/>
          <w:color w:val="231F20"/>
        </w:rPr>
        <w:t>attribute </w:t>
      </w:r>
      <w:r>
        <w:rPr>
          <w:color w:val="231F20"/>
        </w:rPr>
        <w:t>the characteristics of style and workmanship to a product just because</w:t>
      </w:r>
      <w:r>
        <w:rPr>
          <w:color w:val="231F20"/>
          <w:spacing w:val="80"/>
        </w:rPr>
        <w:t> </w:t>
      </w:r>
      <w:r>
        <w:rPr>
          <w:color w:val="231F20"/>
        </w:rPr>
        <w:t>of the high price charged.</w:t>
      </w:r>
    </w:p>
    <w:p>
      <w:pPr>
        <w:pStyle w:val="BodyText"/>
        <w:spacing w:before="5"/>
        <w:rPr>
          <w:sz w:val="25"/>
        </w:rPr>
      </w:pPr>
    </w:p>
    <w:p>
      <w:pPr>
        <w:pStyle w:val="BodyText"/>
        <w:spacing w:line="292" w:lineRule="auto"/>
        <w:ind w:left="829" w:right="755"/>
        <w:jc w:val="both"/>
      </w:pPr>
      <w:r>
        <w:rPr>
          <w:b/>
          <w:i/>
          <w:color w:val="231F20"/>
        </w:rPr>
        <w:t>Meet Competition. </w:t>
      </w:r>
      <w:r>
        <w:rPr>
          <w:color w:val="231F20"/>
        </w:rPr>
        <w:t>Strategies frequently decide to match or beat competitors’ prices to gain or retain market share in a competitive market. This is especially the case in commodity products and ser- vices</w:t>
      </w:r>
      <w:r>
        <w:rPr>
          <w:color w:val="231F20"/>
          <w:spacing w:val="37"/>
        </w:rPr>
        <w:t> </w:t>
      </w:r>
      <w:r>
        <w:rPr>
          <w:color w:val="231F20"/>
        </w:rPr>
        <w:t>such</w:t>
      </w:r>
      <w:r>
        <w:rPr>
          <w:color w:val="231F20"/>
          <w:spacing w:val="37"/>
        </w:rPr>
        <w:t> </w:t>
      </w:r>
      <w:r>
        <w:rPr>
          <w:color w:val="231F20"/>
        </w:rPr>
        <w:t>as</w:t>
      </w:r>
      <w:r>
        <w:rPr>
          <w:color w:val="231F20"/>
          <w:spacing w:val="37"/>
        </w:rPr>
        <w:t> </w:t>
      </w:r>
      <w:r>
        <w:rPr>
          <w:color w:val="231F20"/>
        </w:rPr>
        <w:t>gasoline,</w:t>
      </w:r>
      <w:r>
        <w:rPr>
          <w:color w:val="231F20"/>
          <w:spacing w:val="37"/>
        </w:rPr>
        <w:t> </w:t>
      </w:r>
      <w:r>
        <w:rPr>
          <w:color w:val="231F20"/>
        </w:rPr>
        <w:t>steel,</w:t>
      </w:r>
      <w:r>
        <w:rPr>
          <w:color w:val="231F20"/>
          <w:spacing w:val="37"/>
        </w:rPr>
        <w:t> </w:t>
      </w:r>
      <w:r>
        <w:rPr>
          <w:color w:val="231F20"/>
        </w:rPr>
        <w:t>and</w:t>
      </w:r>
      <w:r>
        <w:rPr>
          <w:color w:val="231F20"/>
          <w:spacing w:val="37"/>
        </w:rPr>
        <w:t> </w:t>
      </w:r>
      <w:r>
        <w:rPr>
          <w:color w:val="231F20"/>
        </w:rPr>
        <w:t>airline</w:t>
      </w:r>
      <w:r>
        <w:rPr>
          <w:color w:val="231F20"/>
          <w:spacing w:val="37"/>
        </w:rPr>
        <w:t> </w:t>
      </w:r>
      <w:r>
        <w:rPr>
          <w:color w:val="231F20"/>
        </w:rPr>
        <w:t>tickets.</w:t>
      </w:r>
      <w:r>
        <w:rPr>
          <w:color w:val="231F20"/>
          <w:spacing w:val="37"/>
        </w:rPr>
        <w:t> </w:t>
      </w:r>
      <w:r>
        <w:rPr>
          <w:color w:val="231F20"/>
        </w:rPr>
        <w:t>The</w:t>
      </w:r>
      <w:r>
        <w:rPr>
          <w:color w:val="231F20"/>
          <w:spacing w:val="37"/>
        </w:rPr>
        <w:t> </w:t>
      </w:r>
      <w:r>
        <w:rPr>
          <w:color w:val="231F20"/>
        </w:rPr>
        <w:t>economics</w:t>
      </w:r>
      <w:r>
        <w:rPr>
          <w:color w:val="231F20"/>
          <w:spacing w:val="37"/>
        </w:rPr>
        <w:t> </w:t>
      </w:r>
      <w:r>
        <w:rPr>
          <w:color w:val="231F20"/>
        </w:rPr>
        <w:t>of</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pushing</w:t>
      </w:r>
      <w:r>
        <w:rPr>
          <w:color w:val="231F20"/>
          <w:spacing w:val="40"/>
        </w:rPr>
        <w:t> </w:t>
      </w:r>
      <w:r>
        <w:rPr>
          <w:color w:val="231F20"/>
        </w:rPr>
        <w:t>a</w:t>
      </w:r>
      <w:r>
        <w:rPr>
          <w:color w:val="231F20"/>
          <w:spacing w:val="40"/>
        </w:rPr>
        <w:t> </w:t>
      </w:r>
      <w:r>
        <w:rPr>
          <w:color w:val="231F20"/>
        </w:rPr>
        <w:t>product</w:t>
      </w:r>
      <w:r>
        <w:rPr>
          <w:color w:val="231F20"/>
          <w:spacing w:val="40"/>
        </w:rPr>
        <w:t> </w:t>
      </w:r>
      <w:r>
        <w:rPr>
          <w:color w:val="231F20"/>
        </w:rPr>
        <w:t>through</w:t>
      </w:r>
      <w:r>
        <w:rPr>
          <w:color w:val="231F20"/>
          <w:spacing w:val="40"/>
        </w:rPr>
        <w:t> </w:t>
      </w:r>
      <w:r>
        <w:rPr>
          <w:color w:val="231F20"/>
        </w:rPr>
        <w:t>the</w:t>
      </w:r>
      <w:r>
        <w:rPr>
          <w:color w:val="231F20"/>
          <w:spacing w:val="40"/>
        </w:rPr>
        <w:t> </w:t>
      </w:r>
      <w:r>
        <w:rPr>
          <w:color w:val="231F20"/>
        </w:rPr>
        <w:t>distribution</w:t>
      </w:r>
      <w:r>
        <w:rPr>
          <w:color w:val="231F20"/>
          <w:spacing w:val="40"/>
        </w:rPr>
        <w:t> </w:t>
      </w:r>
      <w:r>
        <w:rPr>
          <w:color w:val="231F20"/>
        </w:rPr>
        <w:t>chain,</w:t>
      </w:r>
      <w:r>
        <w:rPr>
          <w:color w:val="231F20"/>
          <w:spacing w:val="40"/>
        </w:rPr>
        <w:t> </w:t>
      </w:r>
      <w:r>
        <w:rPr>
          <w:color w:val="231F20"/>
        </w:rPr>
        <w:t>as</w:t>
      </w:r>
      <w:r>
        <w:rPr>
          <w:color w:val="231F20"/>
          <w:spacing w:val="40"/>
        </w:rPr>
        <w:t> </w:t>
      </w:r>
      <w:r>
        <w:rPr>
          <w:color w:val="231F20"/>
        </w:rPr>
        <w:t>explained</w:t>
      </w:r>
      <w:r>
        <w:rPr>
          <w:color w:val="231F20"/>
          <w:spacing w:val="40"/>
        </w:rPr>
        <w:t> </w:t>
      </w:r>
      <w:r>
        <w:rPr>
          <w:color w:val="231F20"/>
        </w:rPr>
        <w:t>in the discussion of distribution channels, has a great effect on what price a manufacturer can charge to sell his product to the </w:t>
      </w:r>
      <w:r>
        <w:rPr>
          <w:color w:val="231F20"/>
        </w:rPr>
        <w:t>distribu- tion chain and still end up with a competitive retail price.</w:t>
      </w:r>
    </w:p>
    <w:p>
      <w:pPr>
        <w:pStyle w:val="BodyText"/>
        <w:spacing w:before="5"/>
        <w:rPr>
          <w:sz w:val="25"/>
        </w:rPr>
      </w:pPr>
    </w:p>
    <w:p>
      <w:pPr>
        <w:pStyle w:val="BodyText"/>
        <w:spacing w:line="292" w:lineRule="auto"/>
        <w:ind w:left="920" w:right="666"/>
        <w:jc w:val="both"/>
      </w:pPr>
      <w:r>
        <w:rPr>
          <w:b/>
          <w:i/>
          <w:color w:val="231F20"/>
        </w:rPr>
        <w:t>Meet Proﬁt Goals Based on the Size of the Market. </w:t>
      </w:r>
      <w:r>
        <w:rPr>
          <w:color w:val="231F20"/>
        </w:rPr>
        <w:t>If a market </w:t>
      </w:r>
      <w:r>
        <w:rPr>
          <w:color w:val="231F20"/>
        </w:rPr>
        <w:t>is limited in size, then a price must be charged that will allow enough profit to justify the marketing and manufacturing effort. If the prod- uct cannot command a profitable price, then to lower costs investi- gate either other user markets or manufacturing improvements.</w:t>
      </w:r>
    </w:p>
    <w:p>
      <w:pPr>
        <w:pStyle w:val="BodyText"/>
        <w:spacing w:before="5"/>
        <w:rPr>
          <w:sz w:val="25"/>
        </w:rPr>
      </w:pPr>
    </w:p>
    <w:p>
      <w:pPr>
        <w:pStyle w:val="BodyText"/>
        <w:spacing w:line="292" w:lineRule="auto"/>
        <w:ind w:left="919" w:right="665"/>
        <w:jc w:val="both"/>
      </w:pPr>
      <w:r>
        <w:rPr>
          <w:b/>
          <w:i/>
          <w:color w:val="231F20"/>
        </w:rPr>
        <w:t>Price Based on the Price Elasticity of the Buyer. </w:t>
      </w:r>
      <w:r>
        <w:rPr>
          <w:color w:val="231F20"/>
        </w:rPr>
        <w:t>Price elasticity de- scribes how a buyer’s behavior changes due to a change in price. Buyers with </w:t>
      </w:r>
      <w:r>
        <w:rPr>
          <w:i/>
          <w:color w:val="231F20"/>
        </w:rPr>
        <w:t>elastic </w:t>
      </w:r>
      <w:r>
        <w:rPr>
          <w:color w:val="231F20"/>
        </w:rPr>
        <w:t>demand do not readily accept price hikes. Their demand is greater or smaller depending on the price. Buyers with </w:t>
      </w:r>
      <w:r>
        <w:rPr>
          <w:i/>
          <w:color w:val="231F20"/>
        </w:rPr>
        <w:t>inelastic </w:t>
      </w:r>
      <w:r>
        <w:rPr>
          <w:color w:val="231F20"/>
        </w:rPr>
        <w:t>demand behaviors don’t care about price increases. They don’t decrease their quantity or frequency of purchase depending </w:t>
      </w:r>
      <w:r>
        <w:rPr>
          <w:color w:val="231F20"/>
        </w:rPr>
        <w:t>on the price. Tobacco and crack cocaine smokers, for example, have ab- sorbed many price increases and continue to buy because their ad- diction makes their demand inelastic. If elastic, buyers will not pay more than a given </w:t>
      </w:r>
      <w:r>
        <w:rPr>
          <w:i/>
          <w:color w:val="231F20"/>
        </w:rPr>
        <w:t>price point </w:t>
      </w:r>
      <w:r>
        <w:rPr>
          <w:color w:val="231F20"/>
        </w:rPr>
        <w:t>and will stop buying or buy much less based on the intensity of their desires, their personal disposable in- come, or their psychological price thresholds. When airline ticket prices are low, they encourage tourist travel. When they are high, tourists take more car trips or stay at home.</w:t>
      </w:r>
    </w:p>
    <w:p>
      <w:pPr>
        <w:pStyle w:val="BodyText"/>
        <w:spacing w:line="292" w:lineRule="auto"/>
        <w:ind w:left="919" w:right="666" w:firstLine="340"/>
        <w:jc w:val="both"/>
      </w:pPr>
      <w:r>
        <w:rPr>
          <w:color w:val="231F20"/>
        </w:rPr>
        <w:t>Many avenues may be taken with any given product. In the case</w:t>
      </w:r>
      <w:r>
        <w:rPr>
          <w:color w:val="231F20"/>
          <w:spacing w:val="40"/>
        </w:rPr>
        <w:t> </w:t>
      </w:r>
      <w:r>
        <w:rPr>
          <w:color w:val="231F20"/>
        </w:rPr>
        <w:t>of my gourmet packaged coffee, a distinctive coffee “product” may require a distinctive package, a higher “price,” a targeted promo-</w:t>
      </w:r>
      <w:r>
        <w:rPr>
          <w:color w:val="231F20"/>
          <w:spacing w:val="40"/>
        </w:rPr>
        <w:t> </w:t>
      </w:r>
      <w:r>
        <w:rPr>
          <w:color w:val="231F20"/>
        </w:rPr>
        <w:t>tion,</w:t>
      </w:r>
      <w:r>
        <w:rPr>
          <w:color w:val="231F20"/>
          <w:spacing w:val="40"/>
        </w:rPr>
        <w:t> </w:t>
      </w:r>
      <w:r>
        <w:rPr>
          <w:color w:val="231F20"/>
        </w:rPr>
        <w:t>and</w:t>
      </w:r>
      <w:r>
        <w:rPr>
          <w:color w:val="231F20"/>
          <w:spacing w:val="40"/>
        </w:rPr>
        <w:t> </w:t>
      </w:r>
      <w:r>
        <w:rPr>
          <w:color w:val="231F20"/>
        </w:rPr>
        <w:t>a</w:t>
      </w:r>
      <w:r>
        <w:rPr>
          <w:color w:val="231F20"/>
          <w:spacing w:val="40"/>
        </w:rPr>
        <w:t> </w:t>
      </w:r>
      <w:r>
        <w:rPr>
          <w:color w:val="231F20"/>
        </w:rPr>
        <w:t>selective</w:t>
      </w:r>
      <w:r>
        <w:rPr>
          <w:color w:val="231F20"/>
          <w:spacing w:val="40"/>
        </w:rPr>
        <w:t> </w:t>
      </w:r>
      <w:r>
        <w:rPr>
          <w:color w:val="231F20"/>
        </w:rPr>
        <w:t>“place”</w:t>
      </w:r>
      <w:r>
        <w:rPr>
          <w:color w:val="231F20"/>
          <w:spacing w:val="40"/>
        </w:rPr>
        <w:t> </w:t>
      </w:r>
      <w:r>
        <w:rPr>
          <w:color w:val="231F20"/>
        </w:rPr>
        <w:t>for</w:t>
      </w:r>
      <w:r>
        <w:rPr>
          <w:color w:val="231F20"/>
          <w:spacing w:val="40"/>
        </w:rPr>
        <w:t> </w:t>
      </w:r>
      <w:r>
        <w:rPr>
          <w:color w:val="231F20"/>
        </w:rPr>
        <w:t>distribution.</w:t>
      </w:r>
      <w:r>
        <w:rPr>
          <w:color w:val="231F20"/>
          <w:spacing w:val="40"/>
        </w:rPr>
        <w:t> </w:t>
      </w:r>
      <w:r>
        <w:rPr>
          <w:color w:val="231F20"/>
        </w:rPr>
        <w:t>But</w:t>
      </w:r>
      <w:r>
        <w:rPr>
          <w:color w:val="231F20"/>
          <w:spacing w:val="40"/>
        </w:rPr>
        <w:t> </w:t>
      </w:r>
      <w:r>
        <w:rPr>
          <w:color w:val="231F20"/>
        </w:rPr>
        <w:t>what</w:t>
      </w:r>
      <w:r>
        <w:rPr>
          <w:color w:val="231F20"/>
          <w:spacing w:val="40"/>
        </w:rPr>
        <w:t> </w:t>
      </w:r>
      <w:r>
        <w:rPr>
          <w:color w:val="231F20"/>
        </w:rPr>
        <w:t>really</w:t>
      </w:r>
      <w:r>
        <w:rPr>
          <w:color w:val="231F20"/>
          <w:spacing w:val="40"/>
        </w:rPr>
        <w:t> </w:t>
      </w:r>
      <w:r>
        <w:rPr>
          <w:color w:val="231F20"/>
        </w:rPr>
        <w:t>tells the story is the economics. Can I do it and make money?</w:t>
      </w:r>
    </w:p>
    <w:p>
      <w:pPr>
        <w:pStyle w:val="BodyText"/>
        <w:rPr>
          <w:sz w:val="24"/>
        </w:rPr>
      </w:pPr>
    </w:p>
    <w:p>
      <w:pPr>
        <w:pStyle w:val="BodyText"/>
        <w:spacing w:before="5"/>
        <w:rPr>
          <w:sz w:val="24"/>
        </w:rPr>
      </w:pPr>
    </w:p>
    <w:p>
      <w:pPr>
        <w:pStyle w:val="Heading4"/>
        <w:numPr>
          <w:ilvl w:val="3"/>
          <w:numId w:val="12"/>
        </w:numPr>
        <w:tabs>
          <w:tab w:pos="2112" w:val="left" w:leader="none"/>
        </w:tabs>
        <w:spacing w:line="240" w:lineRule="auto" w:before="0" w:after="0"/>
        <w:ind w:left="2111" w:right="0" w:hanging="268"/>
        <w:jc w:val="left"/>
      </w:pPr>
      <w:r>
        <w:rPr>
          <w:color w:val="231F20"/>
          <w:w w:val="85"/>
        </w:rPr>
        <w:t>WHAT</w:t>
      </w:r>
      <w:r>
        <w:rPr>
          <w:color w:val="231F20"/>
          <w:spacing w:val="17"/>
        </w:rPr>
        <w:t> </w:t>
      </w:r>
      <w:r>
        <w:rPr>
          <w:color w:val="231F20"/>
          <w:w w:val="85"/>
        </w:rPr>
        <w:t>ARE</w:t>
      </w:r>
      <w:r>
        <w:rPr>
          <w:color w:val="231F20"/>
          <w:spacing w:val="17"/>
        </w:rPr>
        <w:t> </w:t>
      </w:r>
      <w:r>
        <w:rPr>
          <w:color w:val="231F20"/>
          <w:w w:val="85"/>
        </w:rPr>
        <w:t>THE</w:t>
      </w:r>
      <w:r>
        <w:rPr>
          <w:color w:val="231F20"/>
          <w:spacing w:val="17"/>
        </w:rPr>
        <w:t> </w:t>
      </w:r>
      <w:r>
        <w:rPr>
          <w:color w:val="231F20"/>
          <w:spacing w:val="9"/>
          <w:w w:val="85"/>
        </w:rPr>
        <w:t>ECONOMICS</w:t>
      </w:r>
      <w:r>
        <w:rPr>
          <w:color w:val="231F20"/>
          <w:spacing w:val="17"/>
        </w:rPr>
        <w:t> </w:t>
      </w:r>
      <w:r>
        <w:rPr>
          <w:color w:val="231F20"/>
          <w:w w:val="85"/>
        </w:rPr>
        <w:t>OF</w:t>
      </w:r>
      <w:r>
        <w:rPr>
          <w:color w:val="231F20"/>
          <w:spacing w:val="18"/>
        </w:rPr>
        <w:t> </w:t>
      </w:r>
      <w:r>
        <w:rPr>
          <w:color w:val="231F20"/>
          <w:w w:val="85"/>
        </w:rPr>
        <w:t>MY</w:t>
      </w:r>
      <w:r>
        <w:rPr>
          <w:color w:val="231F20"/>
          <w:spacing w:val="17"/>
        </w:rPr>
        <w:t> </w:t>
      </w:r>
      <w:r>
        <w:rPr>
          <w:color w:val="231F20"/>
          <w:spacing w:val="9"/>
          <w:w w:val="85"/>
        </w:rPr>
        <w:t>PLAN?</w:t>
      </w:r>
    </w:p>
    <w:p>
      <w:pPr>
        <w:pStyle w:val="BodyText"/>
        <w:spacing w:before="10"/>
        <w:rPr>
          <w:rFonts w:ascii="Trebuchet MS"/>
          <w:sz w:val="29"/>
        </w:rPr>
      </w:pPr>
    </w:p>
    <w:p>
      <w:pPr>
        <w:spacing w:line="292" w:lineRule="auto" w:before="0"/>
        <w:ind w:left="919" w:right="667" w:firstLine="0"/>
        <w:jc w:val="both"/>
        <w:rPr>
          <w:sz w:val="21"/>
        </w:rPr>
      </w:pPr>
      <w:r>
        <w:rPr/>
        <w:pict>
          <v:shape style="position:absolute;margin-left:113.933578pt;margin-top:5.024805pt;width:9.35pt;height:3.5pt;mso-position-horizontal-relative:page;mso-position-vertical-relative:paragraph;z-index:-25197568" id="docshape66" coordorigin="2279,100" coordsize="187,70" path="m2403,100l2398,111,2442,129,2279,129,2279,141,2442,141,2398,159,2403,170,2465,143,2465,127,2403,100xe" filled="true" fillcolor="#231f20" stroked="false">
            <v:path arrowok="t"/>
            <v:fill type="solid"/>
            <w10:wrap type="none"/>
          </v:shape>
        </w:pict>
      </w:r>
      <w:r>
        <w:rPr/>
        <w:pict>
          <v:shape style="position:absolute;margin-left:164.787384pt;margin-top:5.024805pt;width:9.35pt;height:3.5pt;mso-position-horizontal-relative:page;mso-position-vertical-relative:paragraph;z-index:-25197056" id="docshape67" coordorigin="3296,100" coordsize="187,70" path="m3420,100l3415,111,3459,129,3296,129,3296,141,3459,141,3415,159,3420,170,3482,143,3482,127,3420,100xe" filled="true" fillcolor="#231f20" stroked="false">
            <v:path arrowok="t"/>
            <v:fill type="solid"/>
            <w10:wrap type="none"/>
          </v:shape>
        </w:pict>
      </w:r>
      <w:r>
        <w:rPr/>
        <w:pict>
          <v:shape style="position:absolute;margin-left:239.294724pt;margin-top:5.024805pt;width:9.35pt;height:3.5pt;mso-position-horizontal-relative:page;mso-position-vertical-relative:paragraph;z-index:-25196544" id="docshape68" coordorigin="4786,100" coordsize="187,70" path="m4910,100l4905,111,4949,129,4786,129,4786,141,4949,141,4905,159,4910,170,4972,143,4972,127,4910,100xe" filled="true" fillcolor="#231f20" stroked="false">
            <v:path arrowok="t"/>
            <v:fill type="solid"/>
            <w10:wrap type="none"/>
          </v:shape>
        </w:pict>
      </w:r>
      <w:r>
        <w:rPr/>
        <w:pict>
          <v:shape style="position:absolute;margin-left:312.054504pt;margin-top:5.024805pt;width:9.35pt;height:3.5pt;mso-position-horizontal-relative:page;mso-position-vertical-relative:paragraph;z-index:-25196032" id="docshape69" coordorigin="6241,100" coordsize="187,70" path="m6365,100l6360,111,6404,129,6241,129,6241,141,6404,141,6360,159,6365,170,6427,143,6427,127,6365,100xe" filled="true" fillcolor="#231f20" stroked="false">
            <v:path arrowok="t"/>
            <v:fill type="solid"/>
            <w10:wrap type="none"/>
          </v:shape>
        </w:pict>
      </w:r>
      <w:r>
        <w:rPr/>
        <w:pict>
          <v:shape style="position:absolute;margin-left:85.787041pt;margin-top:20.025215pt;width:9.35pt;height:3.5pt;mso-position-horizontal-relative:page;mso-position-vertical-relative:paragraph;z-index:-25195520" id="docshape70" coordorigin="1716,401" coordsize="187,70" path="m1840,401l1835,411,1879,429,1716,429,1716,441,1879,441,1835,459,1840,470,1902,443,1902,427,1840,401xe" filled="true" fillcolor="#231f20" stroked="false">
            <v:path arrowok="t"/>
            <v:fill type="solid"/>
            <w10:wrap type="none"/>
          </v:shape>
        </w:pict>
      </w:r>
      <w:r>
        <w:rPr/>
        <w:pict>
          <v:shape style="position:absolute;margin-left:218.729691pt;margin-top:20.025215pt;width:9.35pt;height:3.5pt;mso-position-horizontal-relative:page;mso-position-vertical-relative:paragraph;z-index:-25195008" id="docshape71" coordorigin="4375,401" coordsize="187,70" path="m4499,401l4494,411,4538,429,4375,429,4375,441,4538,441,4494,459,4499,470,4561,443,4561,427,4499,401xe" filled="true" fillcolor="#231f20" stroked="false">
            <v:path arrowok="t"/>
            <v:fill type="solid"/>
            <w10:wrap type="none"/>
          </v:shape>
        </w:pict>
      </w:r>
      <w:r>
        <w:rPr>
          <w:color w:val="231F20"/>
          <w:sz w:val="21"/>
        </w:rPr>
        <w:t>Consumer</w:t>
      </w:r>
      <w:r>
        <w:rPr>
          <w:color w:val="231F20"/>
          <w:spacing w:val="80"/>
          <w:w w:val="150"/>
          <w:sz w:val="21"/>
        </w:rPr>
        <w:t>  </w:t>
      </w:r>
      <w:r>
        <w:rPr>
          <w:color w:val="231F20"/>
          <w:sz w:val="21"/>
        </w:rPr>
        <w:t>Market</w:t>
      </w:r>
      <w:r>
        <w:rPr>
          <w:color w:val="231F20"/>
          <w:spacing w:val="80"/>
          <w:w w:val="150"/>
          <w:sz w:val="21"/>
        </w:rPr>
        <w:t>  </w:t>
      </w:r>
      <w:r>
        <w:rPr>
          <w:color w:val="231F20"/>
          <w:sz w:val="21"/>
        </w:rPr>
        <w:t>Competition</w:t>
      </w:r>
      <w:r>
        <w:rPr>
          <w:color w:val="231F20"/>
          <w:spacing w:val="80"/>
          <w:w w:val="150"/>
          <w:sz w:val="21"/>
        </w:rPr>
        <w:t>  </w:t>
      </w:r>
      <w:r>
        <w:rPr>
          <w:color w:val="231F20"/>
          <w:sz w:val="21"/>
        </w:rPr>
        <w:t>Distribution</w:t>
      </w:r>
      <w:r>
        <w:rPr>
          <w:color w:val="231F20"/>
          <w:spacing w:val="80"/>
          <w:w w:val="150"/>
          <w:sz w:val="21"/>
        </w:rPr>
        <w:t>  </w:t>
      </w:r>
      <w:r>
        <w:rPr>
          <w:color w:val="231F20"/>
          <w:sz w:val="21"/>
        </w:rPr>
        <w:t>Marketing Mix</w:t>
      </w:r>
      <w:r>
        <w:rPr>
          <w:color w:val="231F20"/>
          <w:spacing w:val="80"/>
          <w:sz w:val="21"/>
        </w:rPr>
        <w:t>  </w:t>
      </w:r>
      <w:r>
        <w:rPr>
          <w:b/>
          <w:color w:val="231F20"/>
          <w:sz w:val="21"/>
        </w:rPr>
        <w:t>Determine the Economics</w:t>
      </w:r>
      <w:r>
        <w:rPr>
          <w:b/>
          <w:color w:val="231F20"/>
          <w:spacing w:val="80"/>
          <w:sz w:val="21"/>
        </w:rPr>
        <w:t>  </w:t>
      </w:r>
      <w:r>
        <w:rPr>
          <w:color w:val="231F20"/>
          <w:sz w:val="21"/>
        </w:rPr>
        <w:t>Revise</w:t>
      </w:r>
    </w:p>
    <w:p>
      <w:pPr>
        <w:spacing w:after="0" w:line="292" w:lineRule="auto"/>
        <w:jc w:val="both"/>
        <w:rPr>
          <w:sz w:val="21"/>
        </w:rPr>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3" w:firstLine="340"/>
        <w:jc w:val="both"/>
      </w:pPr>
      <w:r>
        <w:rPr>
          <w:color w:val="231F20"/>
        </w:rPr>
        <w:t>This may be the last step of marketing analysis. This step </w:t>
      </w:r>
      <w:r>
        <w:rPr>
          <w:color w:val="231F20"/>
        </w:rPr>
        <w:t>may also send the marketing manager directly back to Go without col- lecting two hundred dollars. By that I mean that the consumer analysis may be exemplary, the marketing mix masterful, but it just doesn’t make money. The costs may be too high, the market price</w:t>
      </w:r>
      <w:r>
        <w:rPr>
          <w:color w:val="231F20"/>
          <w:spacing w:val="80"/>
          <w:w w:val="150"/>
        </w:rPr>
        <w:t> </w:t>
      </w:r>
      <w:r>
        <w:rPr>
          <w:color w:val="231F20"/>
        </w:rPr>
        <w:t>too low. Perhaps unrealistically high sales volume may be needed to break even. In those sad cases the entire circular process of market- ing strategy must be restarted in an effort to find a profitable solu- tion. To determine whether you have created a plan that is both profitable and reasonable, you must address several issues.</w:t>
      </w:r>
    </w:p>
    <w:p>
      <w:pPr>
        <w:pStyle w:val="BodyText"/>
        <w:spacing w:before="1"/>
        <w:rPr>
          <w:sz w:val="27"/>
        </w:rPr>
      </w:pPr>
    </w:p>
    <w:p>
      <w:pPr>
        <w:spacing w:line="328" w:lineRule="auto" w:before="0"/>
        <w:ind w:left="1170" w:right="4321" w:firstLine="0"/>
        <w:jc w:val="left"/>
        <w:rPr>
          <w:rFonts w:ascii="Arial"/>
          <w:sz w:val="19"/>
        </w:rPr>
      </w:pPr>
      <w:r>
        <w:rPr>
          <w:rFonts w:ascii="Arial"/>
          <w:color w:val="231F20"/>
          <w:w w:val="110"/>
          <w:sz w:val="19"/>
        </w:rPr>
        <w:t>What are the costs? What is the break even?</w:t>
      </w:r>
    </w:p>
    <w:p>
      <w:pPr>
        <w:spacing w:before="1"/>
        <w:ind w:left="1170" w:right="0" w:firstLine="0"/>
        <w:jc w:val="left"/>
        <w:rPr>
          <w:rFonts w:ascii="Arial"/>
          <w:sz w:val="19"/>
        </w:rPr>
      </w:pPr>
      <w:r>
        <w:rPr>
          <w:rFonts w:ascii="Arial"/>
          <w:color w:val="231F20"/>
          <w:w w:val="115"/>
          <w:sz w:val="19"/>
        </w:rPr>
        <w:t>How</w:t>
      </w:r>
      <w:r>
        <w:rPr>
          <w:rFonts w:ascii="Arial"/>
          <w:color w:val="231F20"/>
          <w:spacing w:val="-3"/>
          <w:w w:val="115"/>
          <w:sz w:val="19"/>
        </w:rPr>
        <w:t> </w:t>
      </w:r>
      <w:r>
        <w:rPr>
          <w:rFonts w:ascii="Arial"/>
          <w:color w:val="231F20"/>
          <w:w w:val="115"/>
          <w:sz w:val="19"/>
        </w:rPr>
        <w:t>long</w:t>
      </w:r>
      <w:r>
        <w:rPr>
          <w:rFonts w:ascii="Arial"/>
          <w:color w:val="231F20"/>
          <w:spacing w:val="-3"/>
          <w:w w:val="115"/>
          <w:sz w:val="19"/>
        </w:rPr>
        <w:t> </w:t>
      </w:r>
      <w:r>
        <w:rPr>
          <w:rFonts w:ascii="Arial"/>
          <w:color w:val="231F20"/>
          <w:w w:val="115"/>
          <w:sz w:val="19"/>
        </w:rPr>
        <w:t>is</w:t>
      </w:r>
      <w:r>
        <w:rPr>
          <w:rFonts w:ascii="Arial"/>
          <w:color w:val="231F20"/>
          <w:spacing w:val="-3"/>
          <w:w w:val="115"/>
          <w:sz w:val="19"/>
        </w:rPr>
        <w:t> </w:t>
      </w:r>
      <w:r>
        <w:rPr>
          <w:rFonts w:ascii="Arial"/>
          <w:color w:val="231F20"/>
          <w:w w:val="115"/>
          <w:sz w:val="19"/>
        </w:rPr>
        <w:t>the</w:t>
      </w:r>
      <w:r>
        <w:rPr>
          <w:rFonts w:ascii="Arial"/>
          <w:color w:val="231F20"/>
          <w:spacing w:val="-2"/>
          <w:w w:val="115"/>
          <w:sz w:val="19"/>
        </w:rPr>
        <w:t> </w:t>
      </w:r>
      <w:r>
        <w:rPr>
          <w:rFonts w:ascii="Arial"/>
          <w:color w:val="231F20"/>
          <w:w w:val="115"/>
          <w:sz w:val="19"/>
        </w:rPr>
        <w:t>payback</w:t>
      </w:r>
      <w:r>
        <w:rPr>
          <w:rFonts w:ascii="Arial"/>
          <w:color w:val="231F20"/>
          <w:spacing w:val="-3"/>
          <w:w w:val="115"/>
          <w:sz w:val="19"/>
        </w:rPr>
        <w:t> </w:t>
      </w:r>
      <w:r>
        <w:rPr>
          <w:rFonts w:ascii="Arial"/>
          <w:color w:val="231F20"/>
          <w:w w:val="115"/>
          <w:sz w:val="19"/>
        </w:rPr>
        <w:t>of</w:t>
      </w:r>
      <w:r>
        <w:rPr>
          <w:rFonts w:ascii="Arial"/>
          <w:color w:val="231F20"/>
          <w:spacing w:val="-3"/>
          <w:w w:val="115"/>
          <w:sz w:val="19"/>
        </w:rPr>
        <w:t> </w:t>
      </w:r>
      <w:r>
        <w:rPr>
          <w:rFonts w:ascii="Arial"/>
          <w:color w:val="231F20"/>
          <w:w w:val="115"/>
          <w:sz w:val="19"/>
        </w:rPr>
        <w:t>my</w:t>
      </w:r>
      <w:r>
        <w:rPr>
          <w:rFonts w:ascii="Arial"/>
          <w:color w:val="231F20"/>
          <w:spacing w:val="-3"/>
          <w:w w:val="115"/>
          <w:sz w:val="19"/>
        </w:rPr>
        <w:t> </w:t>
      </w:r>
      <w:r>
        <w:rPr>
          <w:rFonts w:ascii="Arial"/>
          <w:color w:val="231F20"/>
          <w:spacing w:val="-2"/>
          <w:w w:val="115"/>
          <w:sz w:val="19"/>
        </w:rPr>
        <w:t>investment?</w:t>
      </w:r>
    </w:p>
    <w:p>
      <w:pPr>
        <w:pStyle w:val="BodyText"/>
        <w:rPr>
          <w:rFonts w:ascii="Arial"/>
          <w:sz w:val="20"/>
        </w:rPr>
      </w:pPr>
    </w:p>
    <w:p>
      <w:pPr>
        <w:spacing w:before="162"/>
        <w:ind w:left="1170" w:right="0" w:firstLine="0"/>
        <w:jc w:val="left"/>
        <w:rPr>
          <w:rFonts w:ascii="Arial"/>
          <w:i/>
          <w:sz w:val="19"/>
        </w:rPr>
      </w:pPr>
      <w:r>
        <w:rPr>
          <w:rFonts w:ascii="Arial"/>
          <w:i/>
          <w:color w:val="231F20"/>
          <w:w w:val="115"/>
          <w:sz w:val="19"/>
        </w:rPr>
        <w:t>What</w:t>
      </w:r>
      <w:r>
        <w:rPr>
          <w:rFonts w:ascii="Arial"/>
          <w:i/>
          <w:color w:val="231F20"/>
          <w:spacing w:val="-12"/>
          <w:w w:val="115"/>
          <w:sz w:val="19"/>
        </w:rPr>
        <w:t> </w:t>
      </w:r>
      <w:r>
        <w:rPr>
          <w:rFonts w:ascii="Arial"/>
          <w:i/>
          <w:color w:val="231F20"/>
          <w:w w:val="115"/>
          <w:sz w:val="19"/>
        </w:rPr>
        <w:t>are</w:t>
      </w:r>
      <w:r>
        <w:rPr>
          <w:rFonts w:ascii="Arial"/>
          <w:i/>
          <w:color w:val="231F20"/>
          <w:spacing w:val="-12"/>
          <w:w w:val="115"/>
          <w:sz w:val="19"/>
        </w:rPr>
        <w:t> </w:t>
      </w:r>
      <w:r>
        <w:rPr>
          <w:rFonts w:ascii="Arial"/>
          <w:i/>
          <w:color w:val="231F20"/>
          <w:w w:val="115"/>
          <w:sz w:val="19"/>
        </w:rPr>
        <w:t>my</w:t>
      </w:r>
      <w:r>
        <w:rPr>
          <w:rFonts w:ascii="Arial"/>
          <w:i/>
          <w:color w:val="231F20"/>
          <w:spacing w:val="-11"/>
          <w:w w:val="115"/>
          <w:sz w:val="19"/>
        </w:rPr>
        <w:t> </w:t>
      </w:r>
      <w:r>
        <w:rPr>
          <w:rFonts w:ascii="Arial"/>
          <w:i/>
          <w:color w:val="231F20"/>
          <w:w w:val="115"/>
          <w:sz w:val="19"/>
        </w:rPr>
        <w:t>costs?</w:t>
      </w:r>
      <w:r>
        <w:rPr>
          <w:rFonts w:ascii="Arial"/>
          <w:i/>
          <w:color w:val="231F20"/>
          <w:spacing w:val="-12"/>
          <w:w w:val="115"/>
          <w:sz w:val="19"/>
        </w:rPr>
        <w:t> </w:t>
      </w:r>
      <w:r>
        <w:rPr>
          <w:rFonts w:ascii="Arial"/>
          <w:i/>
          <w:color w:val="231F20"/>
          <w:w w:val="115"/>
          <w:sz w:val="19"/>
        </w:rPr>
        <w:t>Fixed</w:t>
      </w:r>
      <w:r>
        <w:rPr>
          <w:rFonts w:ascii="Arial"/>
          <w:i/>
          <w:color w:val="231F20"/>
          <w:spacing w:val="-11"/>
          <w:w w:val="115"/>
          <w:sz w:val="19"/>
        </w:rPr>
        <w:t> </w:t>
      </w:r>
      <w:r>
        <w:rPr>
          <w:rFonts w:ascii="Arial"/>
          <w:i/>
          <w:color w:val="231F20"/>
          <w:w w:val="115"/>
          <w:sz w:val="19"/>
        </w:rPr>
        <w:t>or</w:t>
      </w:r>
      <w:r>
        <w:rPr>
          <w:rFonts w:ascii="Arial"/>
          <w:i/>
          <w:color w:val="231F20"/>
          <w:spacing w:val="-12"/>
          <w:w w:val="115"/>
          <w:sz w:val="19"/>
        </w:rPr>
        <w:t> </w:t>
      </w:r>
      <w:r>
        <w:rPr>
          <w:rFonts w:ascii="Arial"/>
          <w:i/>
          <w:color w:val="231F20"/>
          <w:spacing w:val="-2"/>
          <w:w w:val="115"/>
          <w:sz w:val="19"/>
        </w:rPr>
        <w:t>variable?</w:t>
      </w:r>
    </w:p>
    <w:p>
      <w:pPr>
        <w:pStyle w:val="BodyText"/>
        <w:spacing w:line="292" w:lineRule="auto" w:before="60"/>
        <w:ind w:left="830" w:right="753" w:firstLine="340"/>
        <w:jc w:val="both"/>
      </w:pPr>
      <w:r>
        <w:rPr>
          <w:color w:val="231F20"/>
          <w:w w:val="105"/>
        </w:rPr>
        <w:t>The</w:t>
      </w:r>
      <w:r>
        <w:rPr>
          <w:color w:val="231F20"/>
          <w:w w:val="105"/>
        </w:rPr>
        <w:t> first</w:t>
      </w:r>
      <w:r>
        <w:rPr>
          <w:color w:val="231F20"/>
          <w:w w:val="105"/>
        </w:rPr>
        <w:t> cost</w:t>
      </w:r>
      <w:r>
        <w:rPr>
          <w:color w:val="231F20"/>
          <w:w w:val="105"/>
        </w:rPr>
        <w:t> question</w:t>
      </w:r>
      <w:r>
        <w:rPr>
          <w:color w:val="231F20"/>
          <w:w w:val="105"/>
        </w:rPr>
        <w:t> for</w:t>
      </w:r>
      <w:r>
        <w:rPr>
          <w:color w:val="231F20"/>
          <w:w w:val="105"/>
        </w:rPr>
        <w:t> a</w:t>
      </w:r>
      <w:r>
        <w:rPr>
          <w:color w:val="231F20"/>
          <w:w w:val="105"/>
        </w:rPr>
        <w:t> marketing</w:t>
      </w:r>
      <w:r>
        <w:rPr>
          <w:color w:val="231F20"/>
          <w:w w:val="105"/>
        </w:rPr>
        <w:t> manager</w:t>
      </w:r>
      <w:r>
        <w:rPr>
          <w:color w:val="231F20"/>
          <w:w w:val="105"/>
        </w:rPr>
        <w:t> should</w:t>
      </w:r>
      <w:r>
        <w:rPr>
          <w:color w:val="231F20"/>
          <w:w w:val="105"/>
        </w:rPr>
        <w:t> be, “Which</w:t>
      </w:r>
      <w:r>
        <w:rPr>
          <w:color w:val="231F20"/>
          <w:spacing w:val="-11"/>
          <w:w w:val="105"/>
        </w:rPr>
        <w:t> </w:t>
      </w:r>
      <w:r>
        <w:rPr>
          <w:color w:val="231F20"/>
          <w:w w:val="105"/>
        </w:rPr>
        <w:t>of</w:t>
      </w:r>
      <w:r>
        <w:rPr>
          <w:color w:val="231F20"/>
          <w:spacing w:val="-11"/>
          <w:w w:val="105"/>
        </w:rPr>
        <w:t> </w:t>
      </w:r>
      <w:r>
        <w:rPr>
          <w:color w:val="231F20"/>
          <w:w w:val="105"/>
        </w:rPr>
        <w:t>my</w:t>
      </w:r>
      <w:r>
        <w:rPr>
          <w:color w:val="231F20"/>
          <w:spacing w:val="-11"/>
          <w:w w:val="105"/>
        </w:rPr>
        <w:t> </w:t>
      </w:r>
      <w:r>
        <w:rPr>
          <w:color w:val="231F20"/>
          <w:w w:val="105"/>
        </w:rPr>
        <w:t>costs</w:t>
      </w:r>
      <w:r>
        <w:rPr>
          <w:color w:val="231F20"/>
          <w:spacing w:val="-11"/>
          <w:w w:val="105"/>
        </w:rPr>
        <w:t> </w:t>
      </w:r>
      <w:r>
        <w:rPr>
          <w:color w:val="231F20"/>
          <w:w w:val="105"/>
        </w:rPr>
        <w:t>are</w:t>
      </w:r>
      <w:r>
        <w:rPr>
          <w:color w:val="231F20"/>
          <w:spacing w:val="-11"/>
          <w:w w:val="105"/>
        </w:rPr>
        <w:t> </w:t>
      </w:r>
      <w:r>
        <w:rPr>
          <w:i/>
          <w:color w:val="231F20"/>
          <w:w w:val="105"/>
        </w:rPr>
        <w:t>variable</w:t>
      </w:r>
      <w:r>
        <w:rPr>
          <w:i/>
          <w:color w:val="231F20"/>
          <w:spacing w:val="-11"/>
          <w:w w:val="105"/>
        </w:rPr>
        <w:t> </w:t>
      </w:r>
      <w:r>
        <w:rPr>
          <w:color w:val="231F20"/>
          <w:w w:val="105"/>
        </w:rPr>
        <w:t>and</w:t>
      </w:r>
      <w:r>
        <w:rPr>
          <w:color w:val="231F20"/>
          <w:spacing w:val="-11"/>
          <w:w w:val="105"/>
        </w:rPr>
        <w:t> </w:t>
      </w:r>
      <w:r>
        <w:rPr>
          <w:color w:val="231F20"/>
          <w:w w:val="105"/>
        </w:rPr>
        <w:t>which</w:t>
      </w:r>
      <w:r>
        <w:rPr>
          <w:color w:val="231F20"/>
          <w:spacing w:val="-11"/>
          <w:w w:val="105"/>
        </w:rPr>
        <w:t> </w:t>
      </w:r>
      <w:r>
        <w:rPr>
          <w:color w:val="231F20"/>
          <w:w w:val="105"/>
        </w:rPr>
        <w:t>are</w:t>
      </w:r>
      <w:r>
        <w:rPr>
          <w:color w:val="231F20"/>
          <w:spacing w:val="-11"/>
          <w:w w:val="105"/>
        </w:rPr>
        <w:t> </w:t>
      </w:r>
      <w:r>
        <w:rPr>
          <w:i/>
          <w:color w:val="231F20"/>
          <w:w w:val="105"/>
        </w:rPr>
        <w:t>fixed</w:t>
      </w:r>
      <w:r>
        <w:rPr>
          <w:color w:val="231F20"/>
          <w:w w:val="105"/>
        </w:rPr>
        <w:t>?”</w:t>
      </w:r>
      <w:r>
        <w:rPr>
          <w:color w:val="231F20"/>
          <w:spacing w:val="-11"/>
          <w:w w:val="105"/>
        </w:rPr>
        <w:t> </w:t>
      </w:r>
      <w:r>
        <w:rPr>
          <w:color w:val="231F20"/>
          <w:w w:val="105"/>
        </w:rPr>
        <w:t>If</w:t>
      </w:r>
      <w:r>
        <w:rPr>
          <w:color w:val="231F20"/>
          <w:spacing w:val="-11"/>
          <w:w w:val="105"/>
        </w:rPr>
        <w:t> </w:t>
      </w:r>
      <w:r>
        <w:rPr>
          <w:color w:val="231F20"/>
          <w:w w:val="105"/>
        </w:rPr>
        <w:t>this</w:t>
      </w:r>
      <w:r>
        <w:rPr>
          <w:color w:val="231F20"/>
          <w:spacing w:val="-11"/>
          <w:w w:val="105"/>
        </w:rPr>
        <w:t> </w:t>
      </w:r>
      <w:r>
        <w:rPr>
          <w:color w:val="231F20"/>
          <w:w w:val="105"/>
        </w:rPr>
        <w:t>sounds like accounting, it is.</w:t>
      </w:r>
    </w:p>
    <w:p>
      <w:pPr>
        <w:pStyle w:val="BodyText"/>
        <w:spacing w:line="292" w:lineRule="auto"/>
        <w:ind w:left="829" w:right="753" w:firstLine="340"/>
        <w:jc w:val="both"/>
      </w:pPr>
      <w:r>
        <w:rPr>
          <w:i/>
          <w:color w:val="231F20"/>
        </w:rPr>
        <w:t>Variable costs </w:t>
      </w:r>
      <w:r>
        <w:rPr>
          <w:color w:val="231F20"/>
        </w:rPr>
        <w:t>are those that vary with the volume of products sold or manufactured. The costs of materials and labor are </w:t>
      </w:r>
      <w:r>
        <w:rPr>
          <w:color w:val="231F20"/>
        </w:rPr>
        <w:t>variable costs. As more units are sold or manufactured, the total costs of ma- terial and labor are higher. </w:t>
      </w:r>
      <w:r>
        <w:rPr>
          <w:i/>
          <w:color w:val="231F20"/>
        </w:rPr>
        <w:t>Fixed costs </w:t>
      </w:r>
      <w:r>
        <w:rPr>
          <w:color w:val="231F20"/>
        </w:rPr>
        <w:t>do not vary with volume even if no sales are made. As volume fluctuates neither rent nor supervi- sor salaries change—</w:t>
      </w:r>
      <w:r>
        <w:rPr>
          <w:color w:val="231F20"/>
          <w:spacing w:val="-12"/>
        </w:rPr>
        <w:t> </w:t>
      </w:r>
      <w:r>
        <w:rPr>
          <w:color w:val="231F20"/>
        </w:rPr>
        <w:t>within a </w:t>
      </w:r>
      <w:r>
        <w:rPr>
          <w:i/>
          <w:color w:val="231F20"/>
        </w:rPr>
        <w:t>relevant range. </w:t>
      </w:r>
      <w:r>
        <w:rPr>
          <w:color w:val="231F20"/>
        </w:rPr>
        <w:t>By that I mean that if sales triple, a new factory may have to be leased, and thus fixed costs will go up. Promotional expenses such as advertising are also seen as a fixed cost of a marketing plan, because if the product is a flop, the advertising</w:t>
      </w:r>
      <w:r>
        <w:rPr>
          <w:color w:val="231F20"/>
          <w:spacing w:val="40"/>
        </w:rPr>
        <w:t> </w:t>
      </w:r>
      <w:r>
        <w:rPr>
          <w:color w:val="231F20"/>
        </w:rPr>
        <w:t>dollars</w:t>
      </w:r>
      <w:r>
        <w:rPr>
          <w:color w:val="231F20"/>
          <w:spacing w:val="40"/>
        </w:rPr>
        <w:t> </w:t>
      </w:r>
      <w:r>
        <w:rPr>
          <w:color w:val="231F20"/>
        </w:rPr>
        <w:t>are</w:t>
      </w:r>
      <w:r>
        <w:rPr>
          <w:color w:val="231F20"/>
          <w:spacing w:val="40"/>
        </w:rPr>
        <w:t> </w:t>
      </w:r>
      <w:r>
        <w:rPr>
          <w:color w:val="231F20"/>
        </w:rPr>
        <w:t>already</w:t>
      </w:r>
      <w:r>
        <w:rPr>
          <w:color w:val="231F20"/>
          <w:spacing w:val="40"/>
        </w:rPr>
        <w:t> </w:t>
      </w:r>
      <w:r>
        <w:rPr>
          <w:color w:val="231F20"/>
        </w:rPr>
        <w:t>spent.</w:t>
      </w:r>
      <w:r>
        <w:rPr>
          <w:color w:val="231F20"/>
          <w:spacing w:val="40"/>
        </w:rPr>
        <w:t> </w:t>
      </w:r>
      <w:r>
        <w:rPr>
          <w:color w:val="231F20"/>
        </w:rPr>
        <w:t>They</w:t>
      </w:r>
      <w:r>
        <w:rPr>
          <w:color w:val="231F20"/>
          <w:spacing w:val="40"/>
        </w:rPr>
        <w:t> </w:t>
      </w:r>
      <w:r>
        <w:rPr>
          <w:color w:val="231F20"/>
        </w:rPr>
        <w:t>are</w:t>
      </w:r>
      <w:r>
        <w:rPr>
          <w:color w:val="231F20"/>
          <w:spacing w:val="40"/>
        </w:rPr>
        <w:t> </w:t>
      </w:r>
      <w:r>
        <w:rPr>
          <w:color w:val="231F20"/>
        </w:rPr>
        <w:t>considered</w:t>
      </w:r>
      <w:r>
        <w:rPr>
          <w:color w:val="231F20"/>
          <w:spacing w:val="40"/>
        </w:rPr>
        <w:t> </w:t>
      </w:r>
      <w:r>
        <w:rPr>
          <w:i/>
          <w:color w:val="231F20"/>
        </w:rPr>
        <w:t>sunk</w:t>
      </w:r>
      <w:r>
        <w:rPr>
          <w:i/>
          <w:color w:val="231F20"/>
        </w:rPr>
        <w:t> costs</w:t>
      </w:r>
      <w:r>
        <w:rPr>
          <w:i/>
          <w:color w:val="231F20"/>
          <w:spacing w:val="-12"/>
        </w:rPr>
        <w:t> </w:t>
      </w:r>
      <w:r>
        <w:rPr>
          <w:color w:val="231F20"/>
        </w:rPr>
        <w:t>—</w:t>
      </w:r>
      <w:r>
        <w:rPr>
          <w:color w:val="231F20"/>
          <w:spacing w:val="-12"/>
        </w:rPr>
        <w:t> </w:t>
      </w:r>
      <w:r>
        <w:rPr>
          <w:color w:val="231F20"/>
        </w:rPr>
        <w:t>after</w:t>
      </w:r>
      <w:r>
        <w:rPr>
          <w:color w:val="231F20"/>
          <w:spacing w:val="34"/>
        </w:rPr>
        <w:t> </w:t>
      </w:r>
      <w:r>
        <w:rPr>
          <w:color w:val="231F20"/>
        </w:rPr>
        <w:t>a</w:t>
      </w:r>
      <w:r>
        <w:rPr>
          <w:color w:val="231F20"/>
          <w:spacing w:val="40"/>
        </w:rPr>
        <w:t> </w:t>
      </w:r>
      <w:r>
        <w:rPr>
          <w:color w:val="231F20"/>
        </w:rPr>
        <w:t>TV</w:t>
      </w:r>
      <w:r>
        <w:rPr>
          <w:color w:val="231F20"/>
          <w:spacing w:val="40"/>
        </w:rPr>
        <w:t> </w:t>
      </w:r>
      <w:r>
        <w:rPr>
          <w:color w:val="231F20"/>
        </w:rPr>
        <w:t>ad</w:t>
      </w:r>
      <w:r>
        <w:rPr>
          <w:color w:val="231F20"/>
          <w:spacing w:val="40"/>
        </w:rPr>
        <w:t> </w:t>
      </w:r>
      <w:r>
        <w:rPr>
          <w:color w:val="231F20"/>
        </w:rPr>
        <w:t>airs,</w:t>
      </w:r>
      <w:r>
        <w:rPr>
          <w:color w:val="231F20"/>
          <w:spacing w:val="40"/>
        </w:rPr>
        <w:t> </w:t>
      </w:r>
      <w:r>
        <w:rPr>
          <w:color w:val="231F20"/>
        </w:rPr>
        <w:t>the</w:t>
      </w:r>
      <w:r>
        <w:rPr>
          <w:color w:val="231F20"/>
          <w:spacing w:val="40"/>
        </w:rPr>
        <w:t> </w:t>
      </w:r>
      <w:r>
        <w:rPr>
          <w:color w:val="231F20"/>
        </w:rPr>
        <w:t>dollars</w:t>
      </w:r>
      <w:r>
        <w:rPr>
          <w:color w:val="231F20"/>
          <w:spacing w:val="40"/>
        </w:rPr>
        <w:t> </w:t>
      </w:r>
      <w:r>
        <w:rPr>
          <w:color w:val="231F20"/>
        </w:rPr>
        <w:t>are</w:t>
      </w:r>
      <w:r>
        <w:rPr>
          <w:color w:val="231F20"/>
          <w:spacing w:val="40"/>
        </w:rPr>
        <w:t> </w:t>
      </w:r>
      <w:r>
        <w:rPr>
          <w:color w:val="231F20"/>
        </w:rPr>
        <w:t>“sunk”</w:t>
      </w:r>
      <w:r>
        <w:rPr>
          <w:color w:val="231F20"/>
          <w:spacing w:val="40"/>
        </w:rPr>
        <w:t> </w:t>
      </w:r>
      <w:r>
        <w:rPr>
          <w:color w:val="231F20"/>
        </w:rPr>
        <w:t>in</w:t>
      </w:r>
      <w:r>
        <w:rPr>
          <w:color w:val="231F20"/>
          <w:spacing w:val="40"/>
        </w:rPr>
        <w:t> </w:t>
      </w:r>
      <w:r>
        <w:rPr>
          <w:color w:val="231F20"/>
        </w:rPr>
        <w:t>the</w:t>
      </w:r>
      <w:r>
        <w:rPr>
          <w:color w:val="231F20"/>
          <w:spacing w:val="40"/>
        </w:rPr>
        <w:t> </w:t>
      </w:r>
      <w:r>
        <w:rPr>
          <w:color w:val="231F20"/>
        </w:rPr>
        <w:t>ocean</w:t>
      </w:r>
      <w:r>
        <w:rPr>
          <w:color w:val="231F20"/>
          <w:spacing w:val="40"/>
        </w:rPr>
        <w:t> </w:t>
      </w:r>
      <w:r>
        <w:rPr>
          <w:color w:val="231F20"/>
        </w:rPr>
        <w:t>of TV land. Total costs are a combination of both variable and fixed </w:t>
      </w:r>
      <w:r>
        <w:rPr>
          <w:color w:val="231F20"/>
          <w:spacing w:val="-2"/>
        </w:rPr>
        <w:t>costs.</w:t>
      </w:r>
    </w:p>
    <w:p>
      <w:pPr>
        <w:pStyle w:val="BodyText"/>
        <w:spacing w:before="1"/>
        <w:rPr>
          <w:sz w:val="24"/>
        </w:rPr>
      </w:pPr>
    </w:p>
    <w:p>
      <w:pPr>
        <w:pStyle w:val="BodyText"/>
        <w:ind w:left="1379"/>
      </w:pPr>
      <w:r>
        <w:rPr>
          <w:color w:val="231F20"/>
        </w:rPr>
        <w:t>Total</w:t>
      </w:r>
      <w:r>
        <w:rPr>
          <w:color w:val="231F20"/>
          <w:spacing w:val="23"/>
        </w:rPr>
        <w:t> </w:t>
      </w:r>
      <w:r>
        <w:rPr>
          <w:color w:val="231F20"/>
        </w:rPr>
        <w:t>Costs</w:t>
      </w:r>
      <w:r>
        <w:rPr>
          <w:color w:val="231F20"/>
          <w:spacing w:val="24"/>
        </w:rPr>
        <w:t> </w:t>
      </w:r>
      <w:r>
        <w:rPr>
          <w:rFonts w:ascii="Symbol" w:hAnsi="Symbol"/>
          <w:color w:val="231F20"/>
        </w:rPr>
        <w:t></w:t>
      </w:r>
      <w:r>
        <w:rPr>
          <w:rFonts w:ascii="Times New Roman" w:hAnsi="Times New Roman"/>
          <w:color w:val="231F20"/>
          <w:spacing w:val="18"/>
        </w:rPr>
        <w:t> </w:t>
      </w:r>
      <w:r>
        <w:rPr>
          <w:color w:val="231F20"/>
        </w:rPr>
        <w:t>Variable</w:t>
      </w:r>
      <w:r>
        <w:rPr>
          <w:color w:val="231F20"/>
          <w:spacing w:val="23"/>
        </w:rPr>
        <w:t> </w:t>
      </w:r>
      <w:r>
        <w:rPr>
          <w:color w:val="231F20"/>
        </w:rPr>
        <w:t>Costs</w:t>
      </w:r>
      <w:r>
        <w:rPr>
          <w:color w:val="231F20"/>
          <w:spacing w:val="24"/>
        </w:rPr>
        <w:t> </w:t>
      </w:r>
      <w:r>
        <w:rPr>
          <w:color w:val="231F20"/>
        </w:rPr>
        <w:t>Per</w:t>
      </w:r>
      <w:r>
        <w:rPr>
          <w:color w:val="231F20"/>
          <w:spacing w:val="24"/>
        </w:rPr>
        <w:t> </w:t>
      </w:r>
      <w:r>
        <w:rPr>
          <w:color w:val="231F20"/>
        </w:rPr>
        <w:t>Unit</w:t>
      </w:r>
      <w:r>
        <w:rPr>
          <w:color w:val="231F20"/>
          <w:spacing w:val="24"/>
        </w:rPr>
        <w:t> </w:t>
      </w:r>
      <w:r>
        <w:rPr>
          <w:color w:val="231F20"/>
        </w:rPr>
        <w:t>(VC)</w:t>
      </w:r>
      <w:r>
        <w:rPr>
          <w:color w:val="231F20"/>
          <w:spacing w:val="23"/>
        </w:rPr>
        <w:t> </w:t>
      </w:r>
      <w:r>
        <w:rPr>
          <w:rFonts w:ascii="Symbol" w:hAnsi="Symbol"/>
          <w:color w:val="231F20"/>
        </w:rPr>
        <w:t></w:t>
      </w:r>
      <w:r>
        <w:rPr>
          <w:rFonts w:ascii="Times New Roman" w:hAnsi="Times New Roman"/>
          <w:color w:val="231F20"/>
          <w:spacing w:val="18"/>
        </w:rPr>
        <w:t> </w:t>
      </w:r>
      <w:r>
        <w:rPr>
          <w:color w:val="231F20"/>
        </w:rPr>
        <w:t>Units</w:t>
      </w:r>
      <w:r>
        <w:rPr>
          <w:color w:val="231F20"/>
          <w:spacing w:val="24"/>
        </w:rPr>
        <w:t> </w:t>
      </w:r>
      <w:r>
        <w:rPr>
          <w:color w:val="231F20"/>
          <w:spacing w:val="-4"/>
        </w:rPr>
        <w:t>Sold</w:t>
      </w:r>
    </w:p>
    <w:p>
      <w:pPr>
        <w:pStyle w:val="ListParagraph"/>
        <w:numPr>
          <w:ilvl w:val="0"/>
          <w:numId w:val="14"/>
        </w:numPr>
        <w:tabs>
          <w:tab w:pos="1797" w:val="left" w:leader="none"/>
        </w:tabs>
        <w:spacing w:line="240" w:lineRule="auto" w:before="42" w:after="0"/>
        <w:ind w:left="1796" w:right="0" w:hanging="177"/>
        <w:jc w:val="left"/>
        <w:rPr>
          <w:rFonts w:ascii="Cambria" w:hAnsi="Cambria"/>
          <w:sz w:val="21"/>
        </w:rPr>
      </w:pPr>
      <w:r>
        <w:rPr>
          <w:rFonts w:ascii="Cambria" w:hAnsi="Cambria"/>
          <w:color w:val="231F20"/>
          <w:w w:val="105"/>
          <w:sz w:val="21"/>
        </w:rPr>
        <w:t>Fixed</w:t>
      </w:r>
      <w:r>
        <w:rPr>
          <w:rFonts w:ascii="Cambria" w:hAnsi="Cambria"/>
          <w:color w:val="231F20"/>
          <w:spacing w:val="4"/>
          <w:w w:val="105"/>
          <w:sz w:val="21"/>
        </w:rPr>
        <w:t> </w:t>
      </w:r>
      <w:r>
        <w:rPr>
          <w:rFonts w:ascii="Cambria" w:hAnsi="Cambria"/>
          <w:color w:val="231F20"/>
          <w:w w:val="105"/>
          <w:sz w:val="21"/>
        </w:rPr>
        <w:t>Costs</w:t>
      </w:r>
      <w:r>
        <w:rPr>
          <w:rFonts w:ascii="Cambria" w:hAnsi="Cambria"/>
          <w:color w:val="231F20"/>
          <w:spacing w:val="5"/>
          <w:w w:val="105"/>
          <w:sz w:val="21"/>
        </w:rPr>
        <w:t> </w:t>
      </w:r>
      <w:r>
        <w:rPr>
          <w:rFonts w:ascii="Cambria" w:hAnsi="Cambria"/>
          <w:color w:val="231F20"/>
          <w:spacing w:val="-4"/>
          <w:w w:val="105"/>
          <w:sz w:val="21"/>
        </w:rPr>
        <w:t>(FC)</w:t>
      </w:r>
    </w:p>
    <w:p>
      <w:pPr>
        <w:spacing w:after="0" w:line="240" w:lineRule="auto"/>
        <w:jc w:val="left"/>
        <w:rPr>
          <w:rFonts w:ascii="Cambria" w:hAnsi="Cambria"/>
          <w:sz w:val="21"/>
        </w:rPr>
        <w:sectPr>
          <w:pgSz w:w="8640" w:h="12960"/>
          <w:pgMar w:header="732" w:footer="0" w:top="920" w:bottom="280" w:left="340" w:right="500"/>
        </w:sectPr>
      </w:pPr>
    </w:p>
    <w:p>
      <w:pPr>
        <w:pStyle w:val="BodyText"/>
        <w:spacing w:before="8"/>
        <w:rPr>
          <w:sz w:val="17"/>
        </w:rPr>
      </w:pPr>
    </w:p>
    <w:p>
      <w:pPr>
        <w:pStyle w:val="BodyText"/>
        <w:spacing w:before="102"/>
        <w:ind w:left="1260"/>
        <w:jc w:val="both"/>
      </w:pPr>
      <w:r>
        <w:rPr>
          <w:color w:val="231F20"/>
        </w:rPr>
        <w:t>They</w:t>
      </w:r>
      <w:r>
        <w:rPr>
          <w:color w:val="231F20"/>
          <w:spacing w:val="10"/>
        </w:rPr>
        <w:t> </w:t>
      </w:r>
      <w:r>
        <w:rPr>
          <w:color w:val="231F20"/>
        </w:rPr>
        <w:t>can</w:t>
      </w:r>
      <w:r>
        <w:rPr>
          <w:color w:val="231F20"/>
          <w:spacing w:val="10"/>
        </w:rPr>
        <w:t> </w:t>
      </w:r>
      <w:r>
        <w:rPr>
          <w:color w:val="231F20"/>
        </w:rPr>
        <w:t>also</w:t>
      </w:r>
      <w:r>
        <w:rPr>
          <w:color w:val="231F20"/>
          <w:spacing w:val="11"/>
        </w:rPr>
        <w:t> </w:t>
      </w:r>
      <w:r>
        <w:rPr>
          <w:color w:val="231F20"/>
        </w:rPr>
        <w:t>be</w:t>
      </w:r>
      <w:r>
        <w:rPr>
          <w:color w:val="231F20"/>
          <w:spacing w:val="10"/>
        </w:rPr>
        <w:t> </w:t>
      </w:r>
      <w:r>
        <w:rPr>
          <w:color w:val="231F20"/>
        </w:rPr>
        <w:t>shown</w:t>
      </w:r>
      <w:r>
        <w:rPr>
          <w:color w:val="231F20"/>
          <w:spacing w:val="11"/>
        </w:rPr>
        <w:t> </w:t>
      </w:r>
      <w:r>
        <w:rPr>
          <w:color w:val="231F20"/>
        </w:rPr>
        <w:t>graphically</w:t>
      </w:r>
      <w:r>
        <w:rPr>
          <w:color w:val="231F20"/>
          <w:spacing w:val="10"/>
        </w:rPr>
        <w:t> </w:t>
      </w:r>
      <w:r>
        <w:rPr>
          <w:color w:val="231F20"/>
        </w:rPr>
        <w:t>as</w:t>
      </w:r>
      <w:r>
        <w:rPr>
          <w:color w:val="231F20"/>
          <w:spacing w:val="11"/>
        </w:rPr>
        <w:t> </w:t>
      </w:r>
      <w:r>
        <w:rPr>
          <w:color w:val="231F20"/>
        </w:rPr>
        <w:t>on</w:t>
      </w:r>
      <w:r>
        <w:rPr>
          <w:color w:val="231F20"/>
          <w:spacing w:val="10"/>
        </w:rPr>
        <w:t> </w:t>
      </w:r>
      <w:r>
        <w:rPr>
          <w:color w:val="231F20"/>
        </w:rPr>
        <w:t>page</w:t>
      </w:r>
      <w:r>
        <w:rPr>
          <w:color w:val="231F20"/>
          <w:spacing w:val="11"/>
        </w:rPr>
        <w:t> </w:t>
      </w:r>
      <w:r>
        <w:rPr>
          <w:color w:val="231F20"/>
          <w:spacing w:val="-5"/>
        </w:rPr>
        <w:t>52.</w:t>
      </w:r>
    </w:p>
    <w:p>
      <w:pPr>
        <w:pStyle w:val="BodyText"/>
        <w:spacing w:line="292" w:lineRule="auto" w:before="53"/>
        <w:ind w:left="920" w:right="666" w:firstLine="340"/>
        <w:jc w:val="both"/>
      </w:pPr>
      <w:r>
        <w:rPr>
          <w:color w:val="231F20"/>
        </w:rPr>
        <w:t>What can be seen in the graphs is that regardless of unit </w:t>
      </w:r>
      <w:r>
        <w:rPr>
          <w:color w:val="231F20"/>
        </w:rPr>
        <w:t>volume, the fixed costs remain constant. When units are actually produced, variable</w:t>
      </w:r>
      <w:r>
        <w:rPr>
          <w:color w:val="231F20"/>
          <w:spacing w:val="4"/>
        </w:rPr>
        <w:t> </w:t>
      </w:r>
      <w:r>
        <w:rPr>
          <w:color w:val="231F20"/>
        </w:rPr>
        <w:t>costs</w:t>
      </w:r>
      <w:r>
        <w:rPr>
          <w:color w:val="231F20"/>
          <w:spacing w:val="4"/>
        </w:rPr>
        <w:t> </w:t>
      </w:r>
      <w:r>
        <w:rPr>
          <w:color w:val="231F20"/>
        </w:rPr>
        <w:t>are</w:t>
      </w:r>
      <w:r>
        <w:rPr>
          <w:color w:val="231F20"/>
          <w:spacing w:val="4"/>
        </w:rPr>
        <w:t> </w:t>
      </w:r>
      <w:r>
        <w:rPr>
          <w:color w:val="231F20"/>
        </w:rPr>
        <w:t>added</w:t>
      </w:r>
      <w:r>
        <w:rPr>
          <w:color w:val="231F20"/>
          <w:spacing w:val="5"/>
        </w:rPr>
        <w:t> </w:t>
      </w:r>
      <w:r>
        <w:rPr>
          <w:color w:val="231F20"/>
        </w:rPr>
        <w:t>on</w:t>
      </w:r>
      <w:r>
        <w:rPr>
          <w:color w:val="231F20"/>
          <w:spacing w:val="4"/>
        </w:rPr>
        <w:t> </w:t>
      </w:r>
      <w:r>
        <w:rPr>
          <w:color w:val="231F20"/>
        </w:rPr>
        <w:t>top</w:t>
      </w:r>
      <w:r>
        <w:rPr>
          <w:color w:val="231F20"/>
          <w:spacing w:val="4"/>
        </w:rPr>
        <w:t> </w:t>
      </w:r>
      <w:r>
        <w:rPr>
          <w:color w:val="231F20"/>
        </w:rPr>
        <w:t>of</w:t>
      </w:r>
      <w:r>
        <w:rPr>
          <w:color w:val="231F20"/>
          <w:spacing w:val="4"/>
        </w:rPr>
        <w:t> </w:t>
      </w:r>
      <w:r>
        <w:rPr>
          <w:color w:val="231F20"/>
        </w:rPr>
        <w:t>the</w:t>
      </w:r>
      <w:r>
        <w:rPr>
          <w:color w:val="231F20"/>
          <w:spacing w:val="5"/>
        </w:rPr>
        <w:t> </w:t>
      </w:r>
      <w:r>
        <w:rPr>
          <w:color w:val="231F20"/>
        </w:rPr>
        <w:t>fixed</w:t>
      </w:r>
      <w:r>
        <w:rPr>
          <w:color w:val="231F20"/>
          <w:spacing w:val="4"/>
        </w:rPr>
        <w:t> </w:t>
      </w:r>
      <w:r>
        <w:rPr>
          <w:color w:val="231F20"/>
        </w:rPr>
        <w:t>costs</w:t>
      </w:r>
      <w:r>
        <w:rPr>
          <w:color w:val="231F20"/>
          <w:spacing w:val="4"/>
        </w:rPr>
        <w:t> </w:t>
      </w:r>
      <w:r>
        <w:rPr>
          <w:color w:val="231F20"/>
        </w:rPr>
        <w:t>to</w:t>
      </w:r>
      <w:r>
        <w:rPr>
          <w:color w:val="231F20"/>
          <w:spacing w:val="4"/>
        </w:rPr>
        <w:t> </w:t>
      </w:r>
      <w:r>
        <w:rPr>
          <w:color w:val="231F20"/>
        </w:rPr>
        <w:t>equal</w:t>
      </w:r>
      <w:r>
        <w:rPr>
          <w:color w:val="231F20"/>
          <w:spacing w:val="5"/>
        </w:rPr>
        <w:t> </w:t>
      </w:r>
      <w:r>
        <w:rPr>
          <w:color w:val="231F20"/>
        </w:rPr>
        <w:t>total</w:t>
      </w:r>
      <w:r>
        <w:rPr>
          <w:color w:val="231F20"/>
          <w:spacing w:val="4"/>
        </w:rPr>
        <w:t> </w:t>
      </w:r>
      <w:r>
        <w:rPr>
          <w:color w:val="231F20"/>
          <w:spacing w:val="-2"/>
        </w:rPr>
        <w:t>costs.</w:t>
      </w:r>
    </w:p>
    <w:p>
      <w:pPr>
        <w:pStyle w:val="BodyText"/>
        <w:spacing w:before="4"/>
        <w:rPr>
          <w:sz w:val="27"/>
        </w:rPr>
      </w:pPr>
    </w:p>
    <w:p>
      <w:pPr>
        <w:spacing w:before="0"/>
        <w:ind w:left="1260" w:right="0" w:firstLine="0"/>
        <w:jc w:val="both"/>
        <w:rPr>
          <w:rFonts w:ascii="Arial"/>
          <w:i/>
          <w:sz w:val="19"/>
        </w:rPr>
      </w:pPr>
      <w:r>
        <w:rPr>
          <w:rFonts w:ascii="Arial"/>
          <w:i/>
          <w:color w:val="231F20"/>
          <w:w w:val="110"/>
          <w:sz w:val="19"/>
        </w:rPr>
        <w:t>What</w:t>
      </w:r>
      <w:r>
        <w:rPr>
          <w:rFonts w:ascii="Arial"/>
          <w:i/>
          <w:color w:val="231F20"/>
          <w:spacing w:val="8"/>
          <w:w w:val="110"/>
          <w:sz w:val="19"/>
        </w:rPr>
        <w:t> </w:t>
      </w:r>
      <w:r>
        <w:rPr>
          <w:rFonts w:ascii="Arial"/>
          <w:i/>
          <w:color w:val="231F20"/>
          <w:w w:val="110"/>
          <w:sz w:val="19"/>
        </w:rPr>
        <w:t>is</w:t>
      </w:r>
      <w:r>
        <w:rPr>
          <w:rFonts w:ascii="Arial"/>
          <w:i/>
          <w:color w:val="231F20"/>
          <w:spacing w:val="9"/>
          <w:w w:val="110"/>
          <w:sz w:val="19"/>
        </w:rPr>
        <w:t> </w:t>
      </w:r>
      <w:r>
        <w:rPr>
          <w:rFonts w:ascii="Arial"/>
          <w:i/>
          <w:color w:val="231F20"/>
          <w:w w:val="110"/>
          <w:sz w:val="19"/>
        </w:rPr>
        <w:t>my</w:t>
      </w:r>
      <w:r>
        <w:rPr>
          <w:rFonts w:ascii="Arial"/>
          <w:i/>
          <w:color w:val="231F20"/>
          <w:spacing w:val="8"/>
          <w:w w:val="110"/>
          <w:sz w:val="19"/>
        </w:rPr>
        <w:t> </w:t>
      </w:r>
      <w:r>
        <w:rPr>
          <w:rFonts w:ascii="Arial"/>
          <w:i/>
          <w:color w:val="231F20"/>
          <w:w w:val="110"/>
          <w:sz w:val="19"/>
        </w:rPr>
        <w:t>break</w:t>
      </w:r>
      <w:r>
        <w:rPr>
          <w:rFonts w:ascii="Arial"/>
          <w:i/>
          <w:color w:val="231F20"/>
          <w:spacing w:val="9"/>
          <w:w w:val="110"/>
          <w:sz w:val="19"/>
        </w:rPr>
        <w:t> </w:t>
      </w:r>
      <w:r>
        <w:rPr>
          <w:rFonts w:ascii="Arial"/>
          <w:i/>
          <w:color w:val="231F20"/>
          <w:w w:val="110"/>
          <w:sz w:val="19"/>
        </w:rPr>
        <w:t>even</w:t>
      </w:r>
      <w:r>
        <w:rPr>
          <w:rFonts w:ascii="Arial"/>
          <w:i/>
          <w:color w:val="231F20"/>
          <w:spacing w:val="8"/>
          <w:w w:val="110"/>
          <w:sz w:val="19"/>
        </w:rPr>
        <w:t> </w:t>
      </w:r>
      <w:r>
        <w:rPr>
          <w:rFonts w:ascii="Arial"/>
          <w:i/>
          <w:color w:val="231F20"/>
          <w:w w:val="110"/>
          <w:sz w:val="19"/>
        </w:rPr>
        <w:t>and</w:t>
      </w:r>
      <w:r>
        <w:rPr>
          <w:rFonts w:ascii="Arial"/>
          <w:i/>
          <w:color w:val="231F20"/>
          <w:spacing w:val="9"/>
          <w:w w:val="110"/>
          <w:sz w:val="19"/>
        </w:rPr>
        <w:t> </w:t>
      </w:r>
      <w:r>
        <w:rPr>
          <w:rFonts w:ascii="Arial"/>
          <w:i/>
          <w:color w:val="231F20"/>
          <w:w w:val="110"/>
          <w:sz w:val="19"/>
        </w:rPr>
        <w:t>is</w:t>
      </w:r>
      <w:r>
        <w:rPr>
          <w:rFonts w:ascii="Arial"/>
          <w:i/>
          <w:color w:val="231F20"/>
          <w:spacing w:val="9"/>
          <w:w w:val="110"/>
          <w:sz w:val="19"/>
        </w:rPr>
        <w:t> </w:t>
      </w:r>
      <w:r>
        <w:rPr>
          <w:rFonts w:ascii="Arial"/>
          <w:i/>
          <w:color w:val="231F20"/>
          <w:w w:val="110"/>
          <w:sz w:val="19"/>
        </w:rPr>
        <w:t>it</w:t>
      </w:r>
      <w:r>
        <w:rPr>
          <w:rFonts w:ascii="Arial"/>
          <w:i/>
          <w:color w:val="231F20"/>
          <w:spacing w:val="8"/>
          <w:w w:val="110"/>
          <w:sz w:val="19"/>
        </w:rPr>
        <w:t> </w:t>
      </w:r>
      <w:r>
        <w:rPr>
          <w:rFonts w:ascii="Arial"/>
          <w:i/>
          <w:color w:val="231F20"/>
          <w:spacing w:val="-2"/>
          <w:w w:val="110"/>
          <w:sz w:val="19"/>
        </w:rPr>
        <w:t>reasonable?</w:t>
      </w:r>
    </w:p>
    <w:p>
      <w:pPr>
        <w:pStyle w:val="BodyText"/>
        <w:spacing w:line="292" w:lineRule="auto" w:before="60"/>
        <w:ind w:left="919" w:right="666" w:firstLine="340"/>
        <w:jc w:val="both"/>
      </w:pPr>
      <w:r>
        <w:rPr>
          <w:i/>
          <w:color w:val="231F20"/>
        </w:rPr>
        <w:t>Break even </w:t>
      </w:r>
      <w:r>
        <w:rPr>
          <w:color w:val="231F20"/>
        </w:rPr>
        <w:t>is the point at which the fixed costs are recovered from the sale of goods but no profit is made. Promotion and manu- facturing are expensive. A way must be found to recoup those in- vestments. That’s the whole point of marketing: to recover costs </w:t>
      </w:r>
      <w:r>
        <w:rPr>
          <w:color w:val="231F20"/>
        </w:rPr>
        <w:t>and make profits.</w:t>
      </w:r>
    </w:p>
    <w:p>
      <w:pPr>
        <w:pStyle w:val="BodyText"/>
        <w:spacing w:before="9"/>
        <w:rPr>
          <w:sz w:val="16"/>
        </w:rPr>
      </w:pPr>
    </w:p>
    <w:p>
      <w:pPr>
        <w:spacing w:after="0"/>
        <w:rPr>
          <w:sz w:val="16"/>
        </w:rPr>
        <w:sectPr>
          <w:pgSz w:w="8640" w:h="12960"/>
          <w:pgMar w:header="734" w:footer="0" w:top="920" w:bottom="280" w:left="340" w:right="500"/>
        </w:sectPr>
      </w:pPr>
    </w:p>
    <w:p>
      <w:pPr>
        <w:pStyle w:val="BodyText"/>
        <w:spacing w:before="6"/>
        <w:rPr>
          <w:sz w:val="20"/>
        </w:rPr>
      </w:pPr>
    </w:p>
    <w:p>
      <w:pPr>
        <w:pStyle w:val="BodyText"/>
        <w:ind w:left="1939"/>
        <w:rPr>
          <w:rFonts w:ascii="Symbol" w:hAnsi="Symbol"/>
        </w:rPr>
      </w:pPr>
      <w:r>
        <w:rPr/>
        <w:pict>
          <v:line style="position:absolute;mso-position-horizontal-relative:page;mso-position-vertical-relative:paragraph;z-index:-25193984" from="240pt,7.30518pt" to="322pt,7.30518pt" stroked="true" strokeweight=".5pt" strokecolor="#231f20">
            <v:stroke dashstyle="solid"/>
            <w10:wrap type="none"/>
          </v:line>
        </w:pict>
      </w:r>
      <w:r>
        <w:rPr>
          <w:color w:val="231F20"/>
        </w:rPr>
        <w:t>Break</w:t>
      </w:r>
      <w:r>
        <w:rPr>
          <w:color w:val="231F20"/>
          <w:spacing w:val="20"/>
        </w:rPr>
        <w:t> </w:t>
      </w:r>
      <w:r>
        <w:rPr>
          <w:color w:val="231F20"/>
        </w:rPr>
        <w:t>Even</w:t>
      </w:r>
      <w:r>
        <w:rPr>
          <w:color w:val="231F20"/>
          <w:spacing w:val="20"/>
        </w:rPr>
        <w:t> </w:t>
      </w:r>
      <w:r>
        <w:rPr>
          <w:color w:val="231F20"/>
        </w:rPr>
        <w:t>Unit</w:t>
      </w:r>
      <w:r>
        <w:rPr>
          <w:color w:val="231F20"/>
          <w:spacing w:val="20"/>
        </w:rPr>
        <w:t> </w:t>
      </w:r>
      <w:r>
        <w:rPr>
          <w:color w:val="231F20"/>
        </w:rPr>
        <w:t>Volume</w:t>
      </w:r>
      <w:r>
        <w:rPr>
          <w:color w:val="231F20"/>
          <w:spacing w:val="20"/>
        </w:rPr>
        <w:t> </w:t>
      </w:r>
      <w:r>
        <w:rPr>
          <w:rFonts w:ascii="Symbol" w:hAnsi="Symbol"/>
          <w:color w:val="231F20"/>
          <w:spacing w:val="-10"/>
        </w:rPr>
        <w:t></w:t>
      </w:r>
    </w:p>
    <w:p>
      <w:pPr>
        <w:pStyle w:val="BodyText"/>
        <w:spacing w:line="292" w:lineRule="auto" w:before="102"/>
        <w:ind w:left="30" w:right="1614" w:firstLine="282"/>
      </w:pPr>
      <w:r>
        <w:rPr/>
        <w:br w:type="column"/>
      </w:r>
      <w:r>
        <w:rPr>
          <w:color w:val="231F20"/>
          <w:w w:val="105"/>
        </w:rPr>
        <w:t>Fixed Costs Unit</w:t>
      </w:r>
      <w:r>
        <w:rPr>
          <w:color w:val="231F20"/>
          <w:spacing w:val="-11"/>
          <w:w w:val="105"/>
        </w:rPr>
        <w:t> </w:t>
      </w:r>
      <w:r>
        <w:rPr>
          <w:color w:val="231F20"/>
          <w:w w:val="105"/>
        </w:rPr>
        <w:t>Contribution</w:t>
      </w:r>
    </w:p>
    <w:p>
      <w:pPr>
        <w:spacing w:after="0" w:line="292" w:lineRule="auto"/>
        <w:sectPr>
          <w:type w:val="continuous"/>
          <w:pgSz w:w="8640" w:h="12960"/>
          <w:pgMar w:header="732" w:footer="0" w:top="1220" w:bottom="280" w:left="340" w:right="500"/>
          <w:cols w:num="2" w:equalWidth="0">
            <w:col w:w="4382" w:space="40"/>
            <w:col w:w="3378"/>
          </w:cols>
        </w:sectPr>
      </w:pPr>
    </w:p>
    <w:p>
      <w:pPr>
        <w:pStyle w:val="BodyText"/>
        <w:tabs>
          <w:tab w:pos="4094" w:val="left" w:leader="none"/>
        </w:tabs>
        <w:spacing w:before="138"/>
        <w:ind w:left="258"/>
        <w:jc w:val="center"/>
      </w:pPr>
      <w:r>
        <w:rPr/>
        <w:pict>
          <v:rect style="position:absolute;margin-left:270.978729pt;margin-top:14.5809pt;width:4.93095pt;height:.7242pt;mso-position-horizontal-relative:page;mso-position-vertical-relative:paragraph;z-index:-25193472" id="docshape72" filled="true" fillcolor="#231f20" stroked="false">
            <v:fill type="solid"/>
            <w10:wrap type="none"/>
          </v:rect>
        </w:pict>
      </w:r>
      <w:r>
        <w:rPr>
          <w:color w:val="231F20"/>
          <w:w w:val="105"/>
        </w:rPr>
        <w:t>(Unit</w:t>
      </w:r>
      <w:r>
        <w:rPr>
          <w:color w:val="231F20"/>
          <w:spacing w:val="-4"/>
          <w:w w:val="105"/>
        </w:rPr>
        <w:t> </w:t>
      </w:r>
      <w:r>
        <w:rPr>
          <w:color w:val="231F20"/>
          <w:w w:val="105"/>
        </w:rPr>
        <w:t>Contribution</w:t>
      </w:r>
      <w:r>
        <w:rPr>
          <w:color w:val="231F20"/>
          <w:spacing w:val="-3"/>
          <w:w w:val="105"/>
        </w:rPr>
        <w:t> </w:t>
      </w:r>
      <w:r>
        <w:rPr>
          <w:rFonts w:ascii="Symbol" w:hAnsi="Symbol"/>
          <w:color w:val="231F20"/>
          <w:w w:val="105"/>
        </w:rPr>
        <w:t></w:t>
      </w:r>
      <w:r>
        <w:rPr>
          <w:rFonts w:ascii="Times New Roman" w:hAnsi="Times New Roman"/>
          <w:color w:val="231F20"/>
          <w:spacing w:val="-9"/>
          <w:w w:val="105"/>
        </w:rPr>
        <w:t> </w:t>
      </w:r>
      <w:r>
        <w:rPr>
          <w:color w:val="231F20"/>
          <w:w w:val="105"/>
        </w:rPr>
        <w:t>Your</w:t>
      </w:r>
      <w:r>
        <w:rPr>
          <w:color w:val="231F20"/>
          <w:spacing w:val="-3"/>
          <w:w w:val="105"/>
        </w:rPr>
        <w:t> </w:t>
      </w:r>
      <w:r>
        <w:rPr>
          <w:color w:val="231F20"/>
          <w:w w:val="105"/>
        </w:rPr>
        <w:t>Selling</w:t>
      </w:r>
      <w:r>
        <w:rPr>
          <w:color w:val="231F20"/>
          <w:spacing w:val="-3"/>
          <w:w w:val="105"/>
        </w:rPr>
        <w:t> </w:t>
      </w:r>
      <w:r>
        <w:rPr>
          <w:color w:val="231F20"/>
          <w:spacing w:val="-2"/>
          <w:w w:val="105"/>
        </w:rPr>
        <w:t>Price</w:t>
      </w:r>
      <w:r>
        <w:rPr>
          <w:color w:val="231F20"/>
        </w:rPr>
        <w:tab/>
      </w:r>
      <w:r>
        <w:rPr>
          <w:color w:val="231F20"/>
          <w:spacing w:val="-2"/>
          <w:w w:val="105"/>
        </w:rPr>
        <w:t>Variable</w:t>
      </w:r>
      <w:r>
        <w:rPr>
          <w:color w:val="231F20"/>
          <w:spacing w:val="-5"/>
          <w:w w:val="105"/>
        </w:rPr>
        <w:t> </w:t>
      </w:r>
      <w:r>
        <w:rPr>
          <w:color w:val="231F20"/>
          <w:spacing w:val="-2"/>
          <w:w w:val="105"/>
        </w:rPr>
        <w:t>Costs)</w:t>
      </w:r>
    </w:p>
    <w:p>
      <w:pPr>
        <w:pStyle w:val="BodyText"/>
        <w:spacing w:before="1"/>
        <w:rPr>
          <w:sz w:val="30"/>
        </w:rPr>
      </w:pPr>
    </w:p>
    <w:p>
      <w:pPr>
        <w:pStyle w:val="BodyText"/>
        <w:spacing w:line="292" w:lineRule="auto" w:before="1"/>
        <w:ind w:left="920" w:right="666" w:firstLine="340"/>
        <w:jc w:val="both"/>
      </w:pPr>
      <w:r>
        <w:rPr>
          <w:color w:val="231F20"/>
        </w:rPr>
        <w:t>Using my data from the coffee industry, I have provided an </w:t>
      </w:r>
      <w:r>
        <w:rPr>
          <w:color w:val="231F20"/>
        </w:rPr>
        <w:t>ex- ample from the real world. I determined that the prices and costs of</w:t>
      </w:r>
      <w:r>
        <w:rPr>
          <w:color w:val="231F20"/>
          <w:spacing w:val="80"/>
        </w:rPr>
        <w:t> </w:t>
      </w:r>
      <w:r>
        <w:rPr>
          <w:color w:val="231F20"/>
        </w:rPr>
        <w:t>a proposed marketing plan for the Mexican gourmet coffee were:</w:t>
      </w:r>
    </w:p>
    <w:p>
      <w:pPr>
        <w:pStyle w:val="BodyText"/>
        <w:spacing w:before="10"/>
        <w:rPr>
          <w:sz w:val="26"/>
        </w:rPr>
      </w:pPr>
    </w:p>
    <w:tbl>
      <w:tblPr>
        <w:tblW w:w="0" w:type="auto"/>
        <w:jc w:val="left"/>
        <w:tblInd w:w="1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24"/>
        <w:gridCol w:w="1272"/>
        <w:gridCol w:w="1326"/>
      </w:tblGrid>
      <w:tr>
        <w:trPr>
          <w:trHeight w:val="255" w:hRule="atLeast"/>
        </w:trPr>
        <w:tc>
          <w:tcPr>
            <w:tcW w:w="3024" w:type="dxa"/>
          </w:tcPr>
          <w:p>
            <w:pPr>
              <w:pStyle w:val="TableParagraph"/>
              <w:spacing w:before="0"/>
              <w:jc w:val="left"/>
              <w:rPr>
                <w:rFonts w:ascii="Times New Roman"/>
                <w:sz w:val="18"/>
              </w:rPr>
            </w:pPr>
          </w:p>
        </w:tc>
        <w:tc>
          <w:tcPr>
            <w:tcW w:w="1272" w:type="dxa"/>
          </w:tcPr>
          <w:p>
            <w:pPr>
              <w:pStyle w:val="TableParagraph"/>
              <w:spacing w:line="227" w:lineRule="exact" w:before="0"/>
              <w:ind w:left="376"/>
              <w:jc w:val="left"/>
              <w:rPr>
                <w:b/>
                <w:i/>
                <w:sz w:val="20"/>
              </w:rPr>
            </w:pPr>
            <w:r>
              <w:rPr>
                <w:b/>
                <w:i/>
                <w:color w:val="231F20"/>
                <w:spacing w:val="-4"/>
                <w:w w:val="110"/>
                <w:sz w:val="20"/>
              </w:rPr>
              <w:t>COST</w:t>
            </w:r>
          </w:p>
        </w:tc>
        <w:tc>
          <w:tcPr>
            <w:tcW w:w="1326" w:type="dxa"/>
          </w:tcPr>
          <w:p>
            <w:pPr>
              <w:pStyle w:val="TableParagraph"/>
              <w:spacing w:line="227" w:lineRule="exact" w:before="0"/>
              <w:ind w:left="214"/>
              <w:jc w:val="left"/>
              <w:rPr>
                <w:b/>
                <w:i/>
                <w:sz w:val="20"/>
              </w:rPr>
            </w:pPr>
            <w:r>
              <w:rPr>
                <w:b/>
                <w:i/>
                <w:color w:val="231F20"/>
                <w:w w:val="110"/>
                <w:sz w:val="20"/>
              </w:rPr>
              <w:t>COST</w:t>
            </w:r>
            <w:r>
              <w:rPr>
                <w:b/>
                <w:i/>
                <w:color w:val="231F20"/>
                <w:spacing w:val="-9"/>
                <w:w w:val="110"/>
                <w:sz w:val="20"/>
              </w:rPr>
              <w:t> </w:t>
            </w:r>
            <w:r>
              <w:rPr>
                <w:b/>
                <w:i/>
                <w:color w:val="231F20"/>
                <w:spacing w:val="-4"/>
                <w:w w:val="110"/>
                <w:sz w:val="20"/>
              </w:rPr>
              <w:t>TYPE</w:t>
            </w:r>
          </w:p>
        </w:tc>
      </w:tr>
      <w:tr>
        <w:trPr>
          <w:trHeight w:val="300" w:hRule="atLeast"/>
        </w:trPr>
        <w:tc>
          <w:tcPr>
            <w:tcW w:w="3024" w:type="dxa"/>
          </w:tcPr>
          <w:p>
            <w:pPr>
              <w:pStyle w:val="TableParagraph"/>
              <w:spacing w:before="27"/>
              <w:ind w:left="50"/>
              <w:jc w:val="left"/>
              <w:rPr>
                <w:sz w:val="21"/>
              </w:rPr>
            </w:pPr>
            <w:r>
              <w:rPr>
                <w:color w:val="231F20"/>
                <w:sz w:val="21"/>
              </w:rPr>
              <w:t>Retail</w:t>
            </w:r>
            <w:r>
              <w:rPr>
                <w:color w:val="231F20"/>
                <w:spacing w:val="17"/>
                <w:sz w:val="21"/>
              </w:rPr>
              <w:t> </w:t>
            </w:r>
            <w:r>
              <w:rPr>
                <w:color w:val="231F20"/>
                <w:sz w:val="21"/>
              </w:rPr>
              <w:t>Sales</w:t>
            </w:r>
            <w:r>
              <w:rPr>
                <w:color w:val="231F20"/>
                <w:spacing w:val="18"/>
                <w:sz w:val="21"/>
              </w:rPr>
              <w:t> </w:t>
            </w:r>
            <w:r>
              <w:rPr>
                <w:color w:val="231F20"/>
                <w:spacing w:val="-2"/>
                <w:sz w:val="21"/>
              </w:rPr>
              <w:t>Price</w:t>
            </w:r>
          </w:p>
        </w:tc>
        <w:tc>
          <w:tcPr>
            <w:tcW w:w="1272" w:type="dxa"/>
          </w:tcPr>
          <w:p>
            <w:pPr>
              <w:pStyle w:val="TableParagraph"/>
              <w:spacing w:before="27"/>
              <w:ind w:right="213"/>
              <w:jc w:val="right"/>
              <w:rPr>
                <w:sz w:val="21"/>
              </w:rPr>
            </w:pPr>
            <w:r>
              <w:rPr>
                <w:color w:val="231F20"/>
                <w:w w:val="110"/>
                <w:sz w:val="21"/>
              </w:rPr>
              <w:t>$6.00</w:t>
            </w:r>
            <w:r>
              <w:rPr>
                <w:color w:val="231F20"/>
                <w:spacing w:val="-13"/>
                <w:w w:val="110"/>
                <w:sz w:val="21"/>
              </w:rPr>
              <w:t> </w:t>
            </w:r>
            <w:r>
              <w:rPr>
                <w:color w:val="231F20"/>
                <w:spacing w:val="-5"/>
                <w:w w:val="110"/>
                <w:sz w:val="21"/>
              </w:rPr>
              <w:t>lb.</w:t>
            </w:r>
          </w:p>
        </w:tc>
        <w:tc>
          <w:tcPr>
            <w:tcW w:w="1326" w:type="dxa"/>
          </w:tcPr>
          <w:p>
            <w:pPr>
              <w:pStyle w:val="TableParagraph"/>
              <w:spacing w:before="0"/>
              <w:jc w:val="left"/>
              <w:rPr>
                <w:rFonts w:ascii="Times New Roman"/>
                <w:sz w:val="20"/>
              </w:rPr>
            </w:pPr>
          </w:p>
        </w:tc>
      </w:tr>
      <w:tr>
        <w:trPr>
          <w:trHeight w:val="374" w:hRule="atLeast"/>
        </w:trPr>
        <w:tc>
          <w:tcPr>
            <w:tcW w:w="3024" w:type="dxa"/>
          </w:tcPr>
          <w:p>
            <w:pPr>
              <w:pStyle w:val="TableParagraph"/>
              <w:spacing w:before="26"/>
              <w:ind w:left="50"/>
              <w:jc w:val="left"/>
              <w:rPr>
                <w:sz w:val="21"/>
              </w:rPr>
            </w:pPr>
            <w:r>
              <w:rPr>
                <w:color w:val="231F20"/>
                <w:sz w:val="21"/>
              </w:rPr>
              <w:t>Selling</w:t>
            </w:r>
            <w:r>
              <w:rPr>
                <w:color w:val="231F20"/>
                <w:spacing w:val="9"/>
                <w:sz w:val="21"/>
              </w:rPr>
              <w:t> </w:t>
            </w:r>
            <w:r>
              <w:rPr>
                <w:color w:val="231F20"/>
                <w:sz w:val="21"/>
              </w:rPr>
              <w:t>Price</w:t>
            </w:r>
            <w:r>
              <w:rPr>
                <w:color w:val="231F20"/>
                <w:spacing w:val="9"/>
                <w:sz w:val="21"/>
              </w:rPr>
              <w:t> </w:t>
            </w:r>
            <w:r>
              <w:rPr>
                <w:color w:val="231F20"/>
                <w:sz w:val="21"/>
              </w:rPr>
              <w:t>to</w:t>
            </w:r>
            <w:r>
              <w:rPr>
                <w:color w:val="231F20"/>
                <w:spacing w:val="9"/>
                <w:sz w:val="21"/>
              </w:rPr>
              <w:t> </w:t>
            </w:r>
            <w:r>
              <w:rPr>
                <w:color w:val="231F20"/>
                <w:spacing w:val="-2"/>
                <w:sz w:val="21"/>
              </w:rPr>
              <w:t>Distributors</w:t>
            </w:r>
          </w:p>
        </w:tc>
        <w:tc>
          <w:tcPr>
            <w:tcW w:w="1272" w:type="dxa"/>
          </w:tcPr>
          <w:p>
            <w:pPr>
              <w:pStyle w:val="TableParagraph"/>
              <w:spacing w:before="26"/>
              <w:ind w:right="212"/>
              <w:jc w:val="right"/>
              <w:rPr>
                <w:sz w:val="21"/>
              </w:rPr>
            </w:pPr>
            <w:r>
              <w:rPr>
                <w:color w:val="231F20"/>
                <w:w w:val="110"/>
                <w:sz w:val="21"/>
              </w:rPr>
              <w:t>4.20</w:t>
            </w:r>
            <w:r>
              <w:rPr>
                <w:color w:val="231F20"/>
                <w:spacing w:val="-13"/>
                <w:w w:val="110"/>
                <w:sz w:val="21"/>
              </w:rPr>
              <w:t> </w:t>
            </w:r>
            <w:r>
              <w:rPr>
                <w:color w:val="231F20"/>
                <w:spacing w:val="-5"/>
                <w:w w:val="110"/>
                <w:sz w:val="21"/>
              </w:rPr>
              <w:t>lb.</w:t>
            </w:r>
          </w:p>
        </w:tc>
        <w:tc>
          <w:tcPr>
            <w:tcW w:w="1326" w:type="dxa"/>
          </w:tcPr>
          <w:p>
            <w:pPr>
              <w:pStyle w:val="TableParagraph"/>
              <w:spacing w:before="0"/>
              <w:jc w:val="left"/>
              <w:rPr>
                <w:rFonts w:ascii="Times New Roman"/>
                <w:sz w:val="20"/>
              </w:rPr>
            </w:pPr>
          </w:p>
        </w:tc>
      </w:tr>
      <w:tr>
        <w:trPr>
          <w:trHeight w:val="375" w:hRule="atLeast"/>
        </w:trPr>
        <w:tc>
          <w:tcPr>
            <w:tcW w:w="3024" w:type="dxa"/>
          </w:tcPr>
          <w:p>
            <w:pPr>
              <w:pStyle w:val="TableParagraph"/>
              <w:spacing w:before="101"/>
              <w:ind w:left="50"/>
              <w:jc w:val="left"/>
              <w:rPr>
                <w:sz w:val="21"/>
              </w:rPr>
            </w:pPr>
            <w:r>
              <w:rPr>
                <w:color w:val="231F20"/>
                <w:w w:val="105"/>
                <w:sz w:val="21"/>
              </w:rPr>
              <w:t>Coffee</w:t>
            </w:r>
            <w:r>
              <w:rPr>
                <w:color w:val="231F20"/>
                <w:spacing w:val="-4"/>
                <w:w w:val="105"/>
                <w:sz w:val="21"/>
              </w:rPr>
              <w:t> </w:t>
            </w:r>
            <w:r>
              <w:rPr>
                <w:color w:val="231F20"/>
                <w:w w:val="105"/>
                <w:sz w:val="21"/>
              </w:rPr>
              <w:t>Beans</w:t>
            </w:r>
            <w:r>
              <w:rPr>
                <w:color w:val="231F20"/>
                <w:spacing w:val="-4"/>
                <w:w w:val="105"/>
                <w:sz w:val="21"/>
              </w:rPr>
              <w:t> Cost</w:t>
            </w:r>
          </w:p>
        </w:tc>
        <w:tc>
          <w:tcPr>
            <w:tcW w:w="1272" w:type="dxa"/>
          </w:tcPr>
          <w:p>
            <w:pPr>
              <w:pStyle w:val="TableParagraph"/>
              <w:spacing w:before="101"/>
              <w:ind w:right="213"/>
              <w:jc w:val="right"/>
              <w:rPr>
                <w:sz w:val="21"/>
              </w:rPr>
            </w:pPr>
            <w:r>
              <w:rPr>
                <w:color w:val="231F20"/>
                <w:w w:val="110"/>
                <w:sz w:val="21"/>
              </w:rPr>
              <w:t>1.00</w:t>
            </w:r>
            <w:r>
              <w:rPr>
                <w:color w:val="231F20"/>
                <w:spacing w:val="-13"/>
                <w:w w:val="110"/>
                <w:sz w:val="21"/>
              </w:rPr>
              <w:t> </w:t>
            </w:r>
            <w:r>
              <w:rPr>
                <w:color w:val="231F20"/>
                <w:spacing w:val="-5"/>
                <w:w w:val="110"/>
                <w:sz w:val="21"/>
              </w:rPr>
              <w:t>lb.</w:t>
            </w:r>
          </w:p>
        </w:tc>
        <w:tc>
          <w:tcPr>
            <w:tcW w:w="1326" w:type="dxa"/>
          </w:tcPr>
          <w:p>
            <w:pPr>
              <w:pStyle w:val="TableParagraph"/>
              <w:spacing w:before="101"/>
              <w:ind w:left="214"/>
              <w:jc w:val="left"/>
              <w:rPr>
                <w:sz w:val="21"/>
              </w:rPr>
            </w:pPr>
            <w:r>
              <w:rPr>
                <w:color w:val="231F20"/>
                <w:spacing w:val="-2"/>
                <w:w w:val="105"/>
                <w:sz w:val="21"/>
              </w:rPr>
              <w:t>Variable</w:t>
            </w:r>
          </w:p>
        </w:tc>
      </w:tr>
      <w:tr>
        <w:trPr>
          <w:trHeight w:val="300" w:hRule="atLeast"/>
        </w:trPr>
        <w:tc>
          <w:tcPr>
            <w:tcW w:w="3024" w:type="dxa"/>
          </w:tcPr>
          <w:p>
            <w:pPr>
              <w:pStyle w:val="TableParagraph"/>
              <w:spacing w:before="26"/>
              <w:ind w:left="50"/>
              <w:jc w:val="left"/>
              <w:rPr>
                <w:sz w:val="21"/>
              </w:rPr>
            </w:pPr>
            <w:r>
              <w:rPr>
                <w:color w:val="231F20"/>
                <w:sz w:val="21"/>
              </w:rPr>
              <w:t>Roasting</w:t>
            </w:r>
            <w:r>
              <w:rPr>
                <w:color w:val="231F20"/>
                <w:spacing w:val="18"/>
                <w:sz w:val="21"/>
              </w:rPr>
              <w:t> </w:t>
            </w:r>
            <w:r>
              <w:rPr>
                <w:color w:val="231F20"/>
                <w:sz w:val="21"/>
              </w:rPr>
              <w:t>and</w:t>
            </w:r>
            <w:r>
              <w:rPr>
                <w:color w:val="231F20"/>
                <w:spacing w:val="18"/>
                <w:sz w:val="21"/>
              </w:rPr>
              <w:t> </w:t>
            </w:r>
            <w:r>
              <w:rPr>
                <w:color w:val="231F20"/>
                <w:sz w:val="21"/>
              </w:rPr>
              <w:t>Processing</w:t>
            </w:r>
            <w:r>
              <w:rPr>
                <w:color w:val="231F20"/>
                <w:spacing w:val="18"/>
                <w:sz w:val="21"/>
              </w:rPr>
              <w:t> </w:t>
            </w:r>
            <w:r>
              <w:rPr>
                <w:color w:val="231F20"/>
                <w:spacing w:val="-4"/>
                <w:sz w:val="21"/>
              </w:rPr>
              <w:t>Cost</w:t>
            </w:r>
          </w:p>
        </w:tc>
        <w:tc>
          <w:tcPr>
            <w:tcW w:w="1272" w:type="dxa"/>
          </w:tcPr>
          <w:p>
            <w:pPr>
              <w:pStyle w:val="TableParagraph"/>
              <w:spacing w:before="26"/>
              <w:ind w:right="213"/>
              <w:jc w:val="right"/>
              <w:rPr>
                <w:sz w:val="21"/>
              </w:rPr>
            </w:pPr>
            <w:r>
              <w:rPr>
                <w:color w:val="231F20"/>
                <w:w w:val="105"/>
                <w:sz w:val="21"/>
              </w:rPr>
              <w:t>.44</w:t>
            </w:r>
            <w:r>
              <w:rPr>
                <w:color w:val="231F20"/>
                <w:spacing w:val="15"/>
                <w:w w:val="105"/>
                <w:sz w:val="21"/>
              </w:rPr>
              <w:t> </w:t>
            </w:r>
            <w:r>
              <w:rPr>
                <w:color w:val="231F20"/>
                <w:spacing w:val="-7"/>
                <w:w w:val="105"/>
                <w:sz w:val="21"/>
              </w:rPr>
              <w:t>lb</w:t>
            </w:r>
          </w:p>
        </w:tc>
        <w:tc>
          <w:tcPr>
            <w:tcW w:w="1326" w:type="dxa"/>
          </w:tcPr>
          <w:p>
            <w:pPr>
              <w:pStyle w:val="TableParagraph"/>
              <w:spacing w:before="26"/>
              <w:ind w:left="214"/>
              <w:jc w:val="left"/>
              <w:rPr>
                <w:sz w:val="21"/>
              </w:rPr>
            </w:pPr>
            <w:r>
              <w:rPr>
                <w:color w:val="231F20"/>
                <w:spacing w:val="-2"/>
                <w:w w:val="105"/>
                <w:sz w:val="21"/>
              </w:rPr>
              <w:t>Variable</w:t>
            </w:r>
          </w:p>
        </w:tc>
      </w:tr>
      <w:tr>
        <w:trPr>
          <w:trHeight w:val="300" w:hRule="atLeast"/>
        </w:trPr>
        <w:tc>
          <w:tcPr>
            <w:tcW w:w="3024" w:type="dxa"/>
          </w:tcPr>
          <w:p>
            <w:pPr>
              <w:pStyle w:val="TableParagraph"/>
              <w:spacing w:before="26"/>
              <w:ind w:left="50"/>
              <w:jc w:val="left"/>
              <w:rPr>
                <w:sz w:val="21"/>
              </w:rPr>
            </w:pPr>
            <w:r>
              <w:rPr>
                <w:color w:val="231F20"/>
                <w:sz w:val="21"/>
              </w:rPr>
              <w:t>Packaging</w:t>
            </w:r>
            <w:r>
              <w:rPr>
                <w:color w:val="231F20"/>
                <w:spacing w:val="27"/>
                <w:w w:val="105"/>
                <w:sz w:val="21"/>
              </w:rPr>
              <w:t> </w:t>
            </w:r>
            <w:r>
              <w:rPr>
                <w:color w:val="231F20"/>
                <w:spacing w:val="-4"/>
                <w:w w:val="105"/>
                <w:sz w:val="21"/>
              </w:rPr>
              <w:t>Cost</w:t>
            </w:r>
          </w:p>
        </w:tc>
        <w:tc>
          <w:tcPr>
            <w:tcW w:w="1272" w:type="dxa"/>
          </w:tcPr>
          <w:p>
            <w:pPr>
              <w:pStyle w:val="TableParagraph"/>
              <w:spacing w:before="26"/>
              <w:ind w:right="213"/>
              <w:jc w:val="right"/>
              <w:rPr>
                <w:sz w:val="21"/>
              </w:rPr>
            </w:pPr>
            <w:r>
              <w:rPr>
                <w:color w:val="231F20"/>
                <w:w w:val="110"/>
                <w:sz w:val="21"/>
              </w:rPr>
              <w:t>.55</w:t>
            </w:r>
            <w:r>
              <w:rPr>
                <w:color w:val="231F20"/>
                <w:spacing w:val="-1"/>
                <w:w w:val="110"/>
                <w:sz w:val="21"/>
              </w:rPr>
              <w:t> </w:t>
            </w:r>
            <w:r>
              <w:rPr>
                <w:color w:val="231F20"/>
                <w:spacing w:val="-5"/>
                <w:w w:val="110"/>
                <w:sz w:val="21"/>
              </w:rPr>
              <w:t>lb.</w:t>
            </w:r>
          </w:p>
        </w:tc>
        <w:tc>
          <w:tcPr>
            <w:tcW w:w="1326" w:type="dxa"/>
          </w:tcPr>
          <w:p>
            <w:pPr>
              <w:pStyle w:val="TableParagraph"/>
              <w:spacing w:before="26"/>
              <w:ind w:left="214"/>
              <w:jc w:val="left"/>
              <w:rPr>
                <w:sz w:val="21"/>
              </w:rPr>
            </w:pPr>
            <w:r>
              <w:rPr>
                <w:color w:val="231F20"/>
                <w:spacing w:val="-2"/>
                <w:w w:val="105"/>
                <w:sz w:val="21"/>
              </w:rPr>
              <w:t>Variable</w:t>
            </w:r>
          </w:p>
        </w:tc>
      </w:tr>
      <w:tr>
        <w:trPr>
          <w:trHeight w:val="375" w:hRule="atLeast"/>
        </w:trPr>
        <w:tc>
          <w:tcPr>
            <w:tcW w:w="3024" w:type="dxa"/>
          </w:tcPr>
          <w:p>
            <w:pPr>
              <w:pStyle w:val="TableParagraph"/>
              <w:spacing w:before="26"/>
              <w:ind w:left="50"/>
              <w:jc w:val="left"/>
              <w:rPr>
                <w:sz w:val="21"/>
              </w:rPr>
            </w:pPr>
            <w:r>
              <w:rPr>
                <w:color w:val="231F20"/>
                <w:sz w:val="21"/>
              </w:rPr>
              <w:t>Shipping</w:t>
            </w:r>
            <w:r>
              <w:rPr>
                <w:color w:val="231F20"/>
                <w:spacing w:val="17"/>
                <w:w w:val="105"/>
                <w:sz w:val="21"/>
              </w:rPr>
              <w:t> </w:t>
            </w:r>
            <w:r>
              <w:rPr>
                <w:color w:val="231F20"/>
                <w:spacing w:val="-4"/>
                <w:w w:val="105"/>
                <w:sz w:val="21"/>
              </w:rPr>
              <w:t>Cost</w:t>
            </w:r>
          </w:p>
        </w:tc>
        <w:tc>
          <w:tcPr>
            <w:tcW w:w="1272" w:type="dxa"/>
          </w:tcPr>
          <w:p>
            <w:pPr>
              <w:pStyle w:val="TableParagraph"/>
              <w:spacing w:before="26"/>
              <w:ind w:right="213"/>
              <w:jc w:val="right"/>
              <w:rPr>
                <w:sz w:val="21"/>
              </w:rPr>
            </w:pPr>
            <w:r>
              <w:rPr>
                <w:color w:val="231F20"/>
                <w:w w:val="110"/>
                <w:sz w:val="21"/>
              </w:rPr>
              <w:t>.25</w:t>
            </w:r>
            <w:r>
              <w:rPr>
                <w:color w:val="231F20"/>
                <w:spacing w:val="-1"/>
                <w:w w:val="110"/>
                <w:sz w:val="21"/>
              </w:rPr>
              <w:t> </w:t>
            </w:r>
            <w:r>
              <w:rPr>
                <w:color w:val="231F20"/>
                <w:spacing w:val="-5"/>
                <w:w w:val="110"/>
                <w:sz w:val="21"/>
              </w:rPr>
              <w:t>lb.</w:t>
            </w:r>
          </w:p>
        </w:tc>
        <w:tc>
          <w:tcPr>
            <w:tcW w:w="1326" w:type="dxa"/>
          </w:tcPr>
          <w:p>
            <w:pPr>
              <w:pStyle w:val="TableParagraph"/>
              <w:spacing w:before="26"/>
              <w:ind w:left="214"/>
              <w:jc w:val="left"/>
              <w:rPr>
                <w:sz w:val="21"/>
              </w:rPr>
            </w:pPr>
            <w:r>
              <w:rPr>
                <w:color w:val="231F20"/>
                <w:spacing w:val="-2"/>
                <w:w w:val="105"/>
                <w:sz w:val="21"/>
              </w:rPr>
              <w:t>Variable</w:t>
            </w:r>
          </w:p>
        </w:tc>
      </w:tr>
      <w:tr>
        <w:trPr>
          <w:trHeight w:val="374" w:hRule="atLeast"/>
        </w:trPr>
        <w:tc>
          <w:tcPr>
            <w:tcW w:w="3024" w:type="dxa"/>
          </w:tcPr>
          <w:p>
            <w:pPr>
              <w:pStyle w:val="TableParagraph"/>
              <w:spacing w:before="101"/>
              <w:ind w:left="50"/>
              <w:jc w:val="left"/>
              <w:rPr>
                <w:sz w:val="21"/>
              </w:rPr>
            </w:pPr>
            <w:r>
              <w:rPr>
                <w:color w:val="231F20"/>
                <w:sz w:val="21"/>
              </w:rPr>
              <w:t>Spiffs</w:t>
            </w:r>
            <w:r>
              <w:rPr>
                <w:color w:val="231F20"/>
                <w:spacing w:val="22"/>
                <w:sz w:val="21"/>
              </w:rPr>
              <w:t> </w:t>
            </w:r>
            <w:r>
              <w:rPr>
                <w:color w:val="231F20"/>
                <w:sz w:val="21"/>
              </w:rPr>
              <w:t>and</w:t>
            </w:r>
            <w:r>
              <w:rPr>
                <w:color w:val="231F20"/>
                <w:spacing w:val="22"/>
                <w:sz w:val="21"/>
              </w:rPr>
              <w:t> </w:t>
            </w:r>
            <w:r>
              <w:rPr>
                <w:color w:val="231F20"/>
                <w:sz w:val="21"/>
              </w:rPr>
              <w:t>Slotting</w:t>
            </w:r>
            <w:r>
              <w:rPr>
                <w:color w:val="231F20"/>
                <w:spacing w:val="22"/>
                <w:sz w:val="21"/>
              </w:rPr>
              <w:t> </w:t>
            </w:r>
            <w:r>
              <w:rPr>
                <w:color w:val="231F20"/>
                <w:spacing w:val="-4"/>
                <w:sz w:val="21"/>
              </w:rPr>
              <w:t>Fees</w:t>
            </w:r>
          </w:p>
        </w:tc>
        <w:tc>
          <w:tcPr>
            <w:tcW w:w="1272" w:type="dxa"/>
          </w:tcPr>
          <w:p>
            <w:pPr>
              <w:pStyle w:val="TableParagraph"/>
              <w:spacing w:before="101"/>
              <w:ind w:right="213"/>
              <w:jc w:val="right"/>
              <w:rPr>
                <w:sz w:val="21"/>
              </w:rPr>
            </w:pPr>
            <w:r>
              <w:rPr>
                <w:color w:val="231F20"/>
                <w:spacing w:val="-2"/>
                <w:w w:val="105"/>
                <w:sz w:val="21"/>
              </w:rPr>
              <w:t>50,000</w:t>
            </w:r>
          </w:p>
        </w:tc>
        <w:tc>
          <w:tcPr>
            <w:tcW w:w="1326" w:type="dxa"/>
          </w:tcPr>
          <w:p>
            <w:pPr>
              <w:pStyle w:val="TableParagraph"/>
              <w:spacing w:before="101"/>
              <w:ind w:left="214"/>
              <w:jc w:val="left"/>
              <w:rPr>
                <w:sz w:val="21"/>
              </w:rPr>
            </w:pPr>
            <w:r>
              <w:rPr>
                <w:color w:val="231F20"/>
                <w:spacing w:val="-2"/>
                <w:w w:val="105"/>
                <w:sz w:val="21"/>
              </w:rPr>
              <w:t>Fixed</w:t>
            </w:r>
          </w:p>
        </w:tc>
      </w:tr>
      <w:tr>
        <w:trPr>
          <w:trHeight w:val="299" w:hRule="atLeast"/>
        </w:trPr>
        <w:tc>
          <w:tcPr>
            <w:tcW w:w="3024" w:type="dxa"/>
          </w:tcPr>
          <w:p>
            <w:pPr>
              <w:pStyle w:val="TableParagraph"/>
              <w:spacing w:before="26"/>
              <w:ind w:left="50"/>
              <w:jc w:val="left"/>
              <w:rPr>
                <w:sz w:val="21"/>
              </w:rPr>
            </w:pPr>
            <w:r>
              <w:rPr>
                <w:color w:val="231F20"/>
                <w:sz w:val="21"/>
              </w:rPr>
              <w:t>Production</w:t>
            </w:r>
            <w:r>
              <w:rPr>
                <w:color w:val="231F20"/>
                <w:spacing w:val="21"/>
                <w:sz w:val="21"/>
              </w:rPr>
              <w:t> </w:t>
            </w:r>
            <w:r>
              <w:rPr>
                <w:color w:val="231F20"/>
                <w:sz w:val="21"/>
              </w:rPr>
              <w:t>Equipment</w:t>
            </w:r>
            <w:r>
              <w:rPr>
                <w:color w:val="231F20"/>
                <w:spacing w:val="22"/>
                <w:sz w:val="21"/>
              </w:rPr>
              <w:t> </w:t>
            </w:r>
            <w:r>
              <w:rPr>
                <w:color w:val="231F20"/>
                <w:spacing w:val="-2"/>
                <w:sz w:val="21"/>
              </w:rPr>
              <w:t>Rental</w:t>
            </w:r>
          </w:p>
        </w:tc>
        <w:tc>
          <w:tcPr>
            <w:tcW w:w="1272" w:type="dxa"/>
          </w:tcPr>
          <w:p>
            <w:pPr>
              <w:pStyle w:val="TableParagraph"/>
              <w:spacing w:before="26"/>
              <w:ind w:right="213"/>
              <w:jc w:val="right"/>
              <w:rPr>
                <w:sz w:val="21"/>
              </w:rPr>
            </w:pPr>
            <w:r>
              <w:rPr>
                <w:color w:val="231F20"/>
                <w:spacing w:val="-2"/>
                <w:w w:val="105"/>
                <w:sz w:val="21"/>
              </w:rPr>
              <w:t>12,000</w:t>
            </w:r>
          </w:p>
        </w:tc>
        <w:tc>
          <w:tcPr>
            <w:tcW w:w="1326" w:type="dxa"/>
          </w:tcPr>
          <w:p>
            <w:pPr>
              <w:pStyle w:val="TableParagraph"/>
              <w:spacing w:before="26"/>
              <w:ind w:left="214"/>
              <w:jc w:val="left"/>
              <w:rPr>
                <w:sz w:val="21"/>
              </w:rPr>
            </w:pPr>
            <w:r>
              <w:rPr>
                <w:color w:val="231F20"/>
                <w:spacing w:val="-2"/>
                <w:w w:val="105"/>
                <w:sz w:val="21"/>
              </w:rPr>
              <w:t>Fixed</w:t>
            </w:r>
          </w:p>
        </w:tc>
      </w:tr>
      <w:tr>
        <w:trPr>
          <w:trHeight w:val="274" w:hRule="atLeast"/>
        </w:trPr>
        <w:tc>
          <w:tcPr>
            <w:tcW w:w="3024" w:type="dxa"/>
          </w:tcPr>
          <w:p>
            <w:pPr>
              <w:pStyle w:val="TableParagraph"/>
              <w:spacing w:line="228" w:lineRule="exact" w:before="26"/>
              <w:ind w:left="50"/>
              <w:jc w:val="left"/>
              <w:rPr>
                <w:sz w:val="21"/>
              </w:rPr>
            </w:pPr>
            <w:r>
              <w:rPr>
                <w:color w:val="231F20"/>
                <w:sz w:val="21"/>
              </w:rPr>
              <w:t>Promotional</w:t>
            </w:r>
            <w:r>
              <w:rPr>
                <w:color w:val="231F20"/>
                <w:spacing w:val="32"/>
                <w:w w:val="105"/>
                <w:sz w:val="21"/>
              </w:rPr>
              <w:t> </w:t>
            </w:r>
            <w:r>
              <w:rPr>
                <w:color w:val="231F20"/>
                <w:spacing w:val="-2"/>
                <w:w w:val="105"/>
                <w:sz w:val="21"/>
              </w:rPr>
              <w:t>Efforts</w:t>
            </w:r>
          </w:p>
        </w:tc>
        <w:tc>
          <w:tcPr>
            <w:tcW w:w="1272" w:type="dxa"/>
          </w:tcPr>
          <w:p>
            <w:pPr>
              <w:pStyle w:val="TableParagraph"/>
              <w:spacing w:line="228" w:lineRule="exact" w:before="26"/>
              <w:ind w:right="213"/>
              <w:jc w:val="right"/>
              <w:rPr>
                <w:sz w:val="21"/>
              </w:rPr>
            </w:pPr>
            <w:r>
              <w:rPr>
                <w:color w:val="231F20"/>
                <w:spacing w:val="-2"/>
                <w:w w:val="105"/>
                <w:sz w:val="21"/>
              </w:rPr>
              <w:t>150,000</w:t>
            </w:r>
          </w:p>
        </w:tc>
        <w:tc>
          <w:tcPr>
            <w:tcW w:w="1326" w:type="dxa"/>
          </w:tcPr>
          <w:p>
            <w:pPr>
              <w:pStyle w:val="TableParagraph"/>
              <w:spacing w:line="228" w:lineRule="exact" w:before="26"/>
              <w:ind w:left="214"/>
              <w:jc w:val="left"/>
              <w:rPr>
                <w:sz w:val="21"/>
              </w:rPr>
            </w:pPr>
            <w:r>
              <w:rPr>
                <w:color w:val="231F20"/>
                <w:spacing w:val="-2"/>
                <w:w w:val="105"/>
                <w:sz w:val="21"/>
              </w:rPr>
              <w:t>Fixed</w:t>
            </w:r>
          </w:p>
        </w:tc>
      </w:tr>
    </w:tbl>
    <w:p>
      <w:pPr>
        <w:pStyle w:val="BodyText"/>
        <w:spacing w:line="550" w:lineRule="atLeast" w:before="53"/>
        <w:ind w:left="2400" w:right="1262" w:hanging="1140"/>
      </w:pPr>
      <w:r>
        <w:rPr/>
        <w:pict>
          <v:shape style="position:absolute;margin-left:137.5pt;margin-top:59.49638pt;width:151pt;height:.1pt;mso-position-horizontal-relative:page;mso-position-vertical-relative:paragraph;z-index:-15693824;mso-wrap-distance-left:0;mso-wrap-distance-right:0" id="docshape73" coordorigin="2750,1190" coordsize="3020,0" path="m2750,1190l5770,1190e" filled="false" stroked="true" strokeweight=".5pt" strokecolor="#231f20">
            <v:path arrowok="t"/>
            <v:stroke dashstyle="solid"/>
            <w10:wrap type="topAndBottom"/>
          </v:shape>
        </w:pict>
      </w:r>
      <w:r>
        <w:rPr/>
        <w:pict>
          <v:rect style="position:absolute;margin-left:170.603195pt;margin-top:67.371017pt;width:4.93095pt;height:.7242pt;mso-position-horizontal-relative:page;mso-position-vertical-relative:paragraph;z-index:-25192960" id="docshape74" filled="true" fillcolor="#231f20" stroked="false">
            <v:fill type="solid"/>
            <w10:wrap type="none"/>
          </v:rect>
        </w:pict>
      </w:r>
      <w:r>
        <w:rPr>
          <w:color w:val="231F20"/>
        </w:rPr>
        <w:t>The corresponding break-even volume was </w:t>
      </w:r>
      <w:r>
        <w:rPr>
          <w:color w:val="231F20"/>
        </w:rPr>
        <w:t>calculated: ($50,000 </w:t>
      </w:r>
      <w:r>
        <w:rPr>
          <w:rFonts w:ascii="Symbol" w:hAnsi="Symbol"/>
          <w:color w:val="231F20"/>
        </w:rPr>
        <w:t></w:t>
      </w:r>
      <w:r>
        <w:rPr>
          <w:rFonts w:ascii="Times New Roman" w:hAnsi="Times New Roman"/>
          <w:color w:val="231F20"/>
        </w:rPr>
        <w:t> </w:t>
      </w:r>
      <w:r>
        <w:rPr>
          <w:color w:val="231F20"/>
        </w:rPr>
        <w:t>$12,000 </w:t>
      </w:r>
      <w:r>
        <w:rPr>
          <w:rFonts w:ascii="Symbol" w:hAnsi="Symbol"/>
          <w:color w:val="231F20"/>
        </w:rPr>
        <w:t></w:t>
      </w:r>
      <w:r>
        <w:rPr>
          <w:rFonts w:ascii="Times New Roman" w:hAnsi="Times New Roman"/>
          <w:color w:val="231F20"/>
        </w:rPr>
        <w:t> </w:t>
      </w:r>
      <w:r>
        <w:rPr>
          <w:color w:val="231F20"/>
        </w:rPr>
        <w:t>$150,000)</w:t>
      </w:r>
    </w:p>
    <w:p>
      <w:pPr>
        <w:pStyle w:val="BodyText"/>
        <w:tabs>
          <w:tab w:pos="898" w:val="left" w:leader="none"/>
        </w:tabs>
        <w:ind w:left="60"/>
        <w:jc w:val="center"/>
      </w:pPr>
      <w:r>
        <w:rPr>
          <w:color w:val="231F20"/>
          <w:spacing w:val="-2"/>
          <w:w w:val="105"/>
        </w:rPr>
        <w:t>[$4.20</w:t>
      </w:r>
      <w:r>
        <w:rPr>
          <w:color w:val="231F20"/>
        </w:rPr>
        <w:tab/>
      </w:r>
      <w:r>
        <w:rPr>
          <w:color w:val="231F20"/>
          <w:w w:val="105"/>
        </w:rPr>
        <w:t>(1.00</w:t>
      </w:r>
      <w:r>
        <w:rPr>
          <w:color w:val="231F20"/>
          <w:spacing w:val="6"/>
          <w:w w:val="105"/>
        </w:rPr>
        <w:t> </w:t>
      </w:r>
      <w:r>
        <w:rPr>
          <w:rFonts w:ascii="Symbol" w:hAnsi="Symbol"/>
          <w:color w:val="231F20"/>
          <w:w w:val="105"/>
        </w:rPr>
        <w:t></w:t>
      </w:r>
      <w:r>
        <w:rPr>
          <w:rFonts w:ascii="Times New Roman" w:hAnsi="Times New Roman"/>
          <w:color w:val="231F20"/>
          <w:spacing w:val="1"/>
          <w:w w:val="105"/>
        </w:rPr>
        <w:t> </w:t>
      </w:r>
      <w:r>
        <w:rPr>
          <w:color w:val="231F20"/>
          <w:w w:val="105"/>
        </w:rPr>
        <w:t>.44</w:t>
      </w:r>
      <w:r>
        <w:rPr>
          <w:color w:val="231F20"/>
          <w:spacing w:val="7"/>
          <w:w w:val="105"/>
        </w:rPr>
        <w:t> </w:t>
      </w:r>
      <w:r>
        <w:rPr>
          <w:rFonts w:ascii="Symbol" w:hAnsi="Symbol"/>
          <w:color w:val="231F20"/>
          <w:w w:val="105"/>
        </w:rPr>
        <w:t></w:t>
      </w:r>
      <w:r>
        <w:rPr>
          <w:rFonts w:ascii="Times New Roman" w:hAnsi="Times New Roman"/>
          <w:color w:val="231F20"/>
          <w:w w:val="105"/>
        </w:rPr>
        <w:t> </w:t>
      </w:r>
      <w:r>
        <w:rPr>
          <w:color w:val="231F20"/>
          <w:w w:val="105"/>
        </w:rPr>
        <w:t>.55</w:t>
      </w:r>
      <w:r>
        <w:rPr>
          <w:color w:val="231F20"/>
          <w:spacing w:val="7"/>
          <w:w w:val="105"/>
        </w:rPr>
        <w:t> </w:t>
      </w:r>
      <w:r>
        <w:rPr>
          <w:rFonts w:ascii="Symbol" w:hAnsi="Symbol"/>
          <w:color w:val="231F20"/>
          <w:w w:val="105"/>
        </w:rPr>
        <w:t></w:t>
      </w:r>
      <w:r>
        <w:rPr>
          <w:rFonts w:ascii="Times New Roman" w:hAnsi="Times New Roman"/>
          <w:color w:val="231F20"/>
          <w:spacing w:val="1"/>
          <w:w w:val="105"/>
        </w:rPr>
        <w:t> </w:t>
      </w:r>
      <w:r>
        <w:rPr>
          <w:color w:val="231F20"/>
          <w:spacing w:val="-2"/>
          <w:w w:val="105"/>
        </w:rPr>
        <w:t>.25)]</w:t>
      </w:r>
    </w:p>
    <w:p>
      <w:pPr>
        <w:spacing w:after="0"/>
        <w:jc w:val="center"/>
        <w:sectPr>
          <w:type w:val="continuous"/>
          <w:pgSz w:w="8640" w:h="12960"/>
          <w:pgMar w:header="732" w:footer="0" w:top="1220" w:bottom="280" w:left="340" w:right="500"/>
        </w:sectPr>
      </w:pPr>
    </w:p>
    <w:p>
      <w:pPr>
        <w:pStyle w:val="BodyText"/>
        <w:spacing w:before="10"/>
        <w:rPr>
          <w:sz w:val="19"/>
        </w:rPr>
      </w:pPr>
    </w:p>
    <w:p>
      <w:pPr>
        <w:spacing w:before="96"/>
        <w:ind w:left="293" w:right="219" w:firstLine="0"/>
        <w:jc w:val="center"/>
        <w:rPr>
          <w:rFonts w:ascii="Arial"/>
          <w:sz w:val="14"/>
        </w:rPr>
      </w:pPr>
      <w:r>
        <w:rPr>
          <w:rFonts w:ascii="Arial"/>
          <w:color w:val="231F20"/>
          <w:w w:val="105"/>
          <w:sz w:val="14"/>
        </w:rPr>
        <w:t>WOODEN</w:t>
      </w:r>
      <w:r>
        <w:rPr>
          <w:rFonts w:ascii="Arial"/>
          <w:color w:val="231F20"/>
          <w:spacing w:val="32"/>
          <w:w w:val="105"/>
          <w:sz w:val="14"/>
        </w:rPr>
        <w:t> </w:t>
      </w:r>
      <w:r>
        <w:rPr>
          <w:rFonts w:ascii="Arial"/>
          <w:color w:val="231F20"/>
          <w:w w:val="105"/>
          <w:sz w:val="14"/>
        </w:rPr>
        <w:t>END</w:t>
      </w:r>
      <w:r>
        <w:rPr>
          <w:rFonts w:ascii="Arial"/>
          <w:color w:val="231F20"/>
          <w:spacing w:val="32"/>
          <w:w w:val="105"/>
          <w:sz w:val="14"/>
        </w:rPr>
        <w:t> </w:t>
      </w:r>
      <w:r>
        <w:rPr>
          <w:rFonts w:ascii="Arial"/>
          <w:color w:val="231F20"/>
          <w:w w:val="105"/>
          <w:sz w:val="14"/>
        </w:rPr>
        <w:t>TABLE</w:t>
      </w:r>
      <w:r>
        <w:rPr>
          <w:rFonts w:ascii="Arial"/>
          <w:color w:val="231F20"/>
          <w:spacing w:val="33"/>
          <w:w w:val="105"/>
          <w:sz w:val="14"/>
        </w:rPr>
        <w:t> </w:t>
      </w:r>
      <w:r>
        <w:rPr>
          <w:rFonts w:ascii="Arial"/>
          <w:color w:val="231F20"/>
          <w:spacing w:val="-2"/>
          <w:w w:val="105"/>
          <w:sz w:val="14"/>
        </w:rPr>
        <w:t>PRODUCTION</w:t>
      </w:r>
    </w:p>
    <w:p>
      <w:pPr>
        <w:pStyle w:val="BodyText"/>
        <w:spacing w:before="8"/>
        <w:rPr>
          <w:rFonts w:ascii="Arial"/>
          <w:sz w:val="15"/>
        </w:rPr>
      </w:pPr>
      <w:r>
        <w:rPr/>
        <w:drawing>
          <wp:anchor distT="0" distB="0" distL="0" distR="0" allowOverlap="1" layoutInCell="1" locked="0" behindDoc="0" simplePos="0" relativeHeight="72">
            <wp:simplePos x="0" y="0"/>
            <wp:positionH relativeFrom="page">
              <wp:posOffset>719668</wp:posOffset>
            </wp:positionH>
            <wp:positionV relativeFrom="paragraph">
              <wp:posOffset>130150</wp:posOffset>
            </wp:positionV>
            <wp:extent cx="4003521" cy="2535936"/>
            <wp:effectExtent l="0" t="0" r="0" b="0"/>
            <wp:wrapTopAndBottom/>
            <wp:docPr id="17" name="image10.png"/>
            <wp:cNvGraphicFramePr>
              <a:graphicFrameLocks noChangeAspect="1"/>
            </wp:cNvGraphicFramePr>
            <a:graphic>
              <a:graphicData uri="http://schemas.openxmlformats.org/drawingml/2006/picture">
                <pic:pic>
                  <pic:nvPicPr>
                    <pic:cNvPr id="18" name="image10.png"/>
                    <pic:cNvPicPr/>
                  </pic:nvPicPr>
                  <pic:blipFill>
                    <a:blip r:embed="rId23" cstate="print"/>
                    <a:stretch>
                      <a:fillRect/>
                    </a:stretch>
                  </pic:blipFill>
                  <pic:spPr>
                    <a:xfrm>
                      <a:off x="0" y="0"/>
                      <a:ext cx="4003521" cy="2535936"/>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spacing w:before="9"/>
        <w:rPr>
          <w:rFonts w:ascii="Arial"/>
          <w:sz w:val="20"/>
        </w:rPr>
      </w:pPr>
    </w:p>
    <w:p>
      <w:pPr>
        <w:spacing w:line="520" w:lineRule="auto" w:before="0"/>
        <w:ind w:left="830" w:right="1742" w:firstLine="1479"/>
        <w:jc w:val="left"/>
        <w:rPr>
          <w:sz w:val="21"/>
        </w:rPr>
      </w:pPr>
      <w:r>
        <w:rPr>
          <w:rFonts w:ascii="Symbol" w:hAnsi="Symbol"/>
          <w:color w:val="231F20"/>
          <w:sz w:val="21"/>
        </w:rPr>
        <w:t></w:t>
      </w:r>
      <w:r>
        <w:rPr>
          <w:rFonts w:ascii="Times New Roman" w:hAnsi="Times New Roman"/>
          <w:color w:val="231F20"/>
          <w:sz w:val="21"/>
        </w:rPr>
        <w:t> </w:t>
      </w:r>
      <w:r>
        <w:rPr>
          <w:color w:val="231F20"/>
          <w:sz w:val="21"/>
        </w:rPr>
        <w:t>108,163 lbs. break-even (BE) </w:t>
      </w:r>
      <w:r>
        <w:rPr>
          <w:color w:val="231F20"/>
          <w:sz w:val="21"/>
        </w:rPr>
        <w:t>volume And the </w:t>
      </w:r>
      <w:r>
        <w:rPr>
          <w:i/>
          <w:color w:val="231F20"/>
          <w:sz w:val="21"/>
        </w:rPr>
        <w:t>break-even dollar sales </w:t>
      </w:r>
      <w:r>
        <w:rPr>
          <w:color w:val="231F20"/>
          <w:sz w:val="21"/>
        </w:rPr>
        <w:t>were:</w:t>
      </w:r>
    </w:p>
    <w:p>
      <w:pPr>
        <w:pStyle w:val="BodyText"/>
        <w:spacing w:before="4"/>
        <w:ind w:left="297" w:right="219"/>
        <w:jc w:val="center"/>
      </w:pPr>
      <w:r>
        <w:rPr>
          <w:color w:val="231F20"/>
          <w:w w:val="105"/>
        </w:rPr>
        <w:t>108,163</w:t>
      </w:r>
      <w:r>
        <w:rPr>
          <w:color w:val="231F20"/>
          <w:spacing w:val="-3"/>
          <w:w w:val="105"/>
        </w:rPr>
        <w:t> </w:t>
      </w:r>
      <w:r>
        <w:rPr>
          <w:color w:val="231F20"/>
          <w:w w:val="105"/>
        </w:rPr>
        <w:t>lbs.</w:t>
      </w:r>
      <w:r>
        <w:rPr>
          <w:color w:val="231F20"/>
          <w:spacing w:val="-3"/>
          <w:w w:val="105"/>
        </w:rPr>
        <w:t> </w:t>
      </w:r>
      <w:r>
        <w:rPr>
          <w:rFonts w:ascii="Symbol" w:hAnsi="Symbol"/>
          <w:color w:val="231F20"/>
          <w:w w:val="105"/>
        </w:rPr>
        <w:t></w:t>
      </w:r>
      <w:r>
        <w:rPr>
          <w:rFonts w:ascii="Times New Roman" w:hAnsi="Times New Roman"/>
          <w:color w:val="231F20"/>
          <w:spacing w:val="-10"/>
          <w:w w:val="105"/>
        </w:rPr>
        <w:t> </w:t>
      </w:r>
      <w:r>
        <w:rPr>
          <w:color w:val="231F20"/>
          <w:w w:val="105"/>
        </w:rPr>
        <w:t>$6.00</w:t>
      </w:r>
      <w:r>
        <w:rPr>
          <w:color w:val="231F20"/>
          <w:spacing w:val="-3"/>
          <w:w w:val="105"/>
        </w:rPr>
        <w:t> </w:t>
      </w:r>
      <w:r>
        <w:rPr>
          <w:color w:val="231F20"/>
          <w:w w:val="105"/>
        </w:rPr>
        <w:t>lb.</w:t>
      </w:r>
      <w:r>
        <w:rPr>
          <w:color w:val="231F20"/>
          <w:spacing w:val="-3"/>
          <w:w w:val="105"/>
        </w:rPr>
        <w:t> </w:t>
      </w:r>
      <w:r>
        <w:rPr>
          <w:rFonts w:ascii="Symbol" w:hAnsi="Symbol"/>
          <w:color w:val="231F20"/>
          <w:w w:val="105"/>
        </w:rPr>
        <w:t></w:t>
      </w:r>
      <w:r>
        <w:rPr>
          <w:rFonts w:ascii="Times New Roman" w:hAnsi="Times New Roman"/>
          <w:color w:val="231F20"/>
          <w:spacing w:val="-9"/>
          <w:w w:val="105"/>
        </w:rPr>
        <w:t> </w:t>
      </w:r>
      <w:r>
        <w:rPr>
          <w:color w:val="231F20"/>
          <w:w w:val="105"/>
        </w:rPr>
        <w:t>$648,978</w:t>
      </w:r>
      <w:r>
        <w:rPr>
          <w:color w:val="231F20"/>
          <w:spacing w:val="-3"/>
          <w:w w:val="105"/>
        </w:rPr>
        <w:t> </w:t>
      </w:r>
      <w:r>
        <w:rPr>
          <w:color w:val="231F20"/>
          <w:w w:val="105"/>
        </w:rPr>
        <w:t>break-even</w:t>
      </w:r>
      <w:r>
        <w:rPr>
          <w:color w:val="231F20"/>
          <w:spacing w:val="-3"/>
          <w:w w:val="105"/>
        </w:rPr>
        <w:t> </w:t>
      </w:r>
      <w:r>
        <w:rPr>
          <w:color w:val="231F20"/>
          <w:w w:val="105"/>
        </w:rPr>
        <w:t>retail</w:t>
      </w:r>
      <w:r>
        <w:rPr>
          <w:color w:val="231F20"/>
          <w:spacing w:val="-3"/>
          <w:w w:val="105"/>
        </w:rPr>
        <w:t> </w:t>
      </w:r>
      <w:r>
        <w:rPr>
          <w:color w:val="231F20"/>
          <w:spacing w:val="-2"/>
          <w:w w:val="105"/>
        </w:rPr>
        <w:t>sales</w:t>
      </w:r>
    </w:p>
    <w:p>
      <w:pPr>
        <w:pStyle w:val="BodyText"/>
        <w:spacing w:before="9"/>
        <w:rPr>
          <w:sz w:val="25"/>
        </w:rPr>
      </w:pPr>
    </w:p>
    <w:p>
      <w:pPr>
        <w:pStyle w:val="BodyText"/>
        <w:spacing w:line="292" w:lineRule="auto" w:before="1"/>
        <w:ind w:left="830" w:right="751"/>
      </w:pPr>
      <w:r>
        <w:rPr>
          <w:color w:val="231F20"/>
        </w:rPr>
        <w:t>The</w:t>
      </w:r>
      <w:r>
        <w:rPr>
          <w:color w:val="231F20"/>
          <w:spacing w:val="14"/>
        </w:rPr>
        <w:t> </w:t>
      </w:r>
      <w:r>
        <w:rPr>
          <w:color w:val="231F20"/>
        </w:rPr>
        <w:t>same</w:t>
      </w:r>
      <w:r>
        <w:rPr>
          <w:color w:val="231F20"/>
          <w:spacing w:val="14"/>
        </w:rPr>
        <w:t> </w:t>
      </w:r>
      <w:r>
        <w:rPr>
          <w:color w:val="231F20"/>
        </w:rPr>
        <w:t>equation</w:t>
      </w:r>
      <w:r>
        <w:rPr>
          <w:color w:val="231F20"/>
          <w:spacing w:val="14"/>
        </w:rPr>
        <w:t> </w:t>
      </w:r>
      <w:r>
        <w:rPr>
          <w:color w:val="231F20"/>
        </w:rPr>
        <w:t>can</w:t>
      </w:r>
      <w:r>
        <w:rPr>
          <w:color w:val="231F20"/>
          <w:spacing w:val="14"/>
        </w:rPr>
        <w:t> </w:t>
      </w:r>
      <w:r>
        <w:rPr>
          <w:color w:val="231F20"/>
        </w:rPr>
        <w:t>be</w:t>
      </w:r>
      <w:r>
        <w:rPr>
          <w:color w:val="231F20"/>
          <w:spacing w:val="14"/>
        </w:rPr>
        <w:t> </w:t>
      </w:r>
      <w:r>
        <w:rPr>
          <w:color w:val="231F20"/>
        </w:rPr>
        <w:t>used</w:t>
      </w:r>
      <w:r>
        <w:rPr>
          <w:color w:val="231F20"/>
          <w:spacing w:val="14"/>
        </w:rPr>
        <w:t> </w:t>
      </w:r>
      <w:r>
        <w:rPr>
          <w:color w:val="231F20"/>
        </w:rPr>
        <w:t>to</w:t>
      </w:r>
      <w:r>
        <w:rPr>
          <w:color w:val="231F20"/>
          <w:spacing w:val="14"/>
        </w:rPr>
        <w:t> </w:t>
      </w:r>
      <w:r>
        <w:rPr>
          <w:color w:val="231F20"/>
        </w:rPr>
        <w:t>calculate</w:t>
      </w:r>
      <w:r>
        <w:rPr>
          <w:color w:val="231F20"/>
          <w:spacing w:val="14"/>
        </w:rPr>
        <w:t> </w:t>
      </w:r>
      <w:r>
        <w:rPr>
          <w:color w:val="231F20"/>
        </w:rPr>
        <w:t>a </w:t>
      </w:r>
      <w:r>
        <w:rPr>
          <w:i/>
          <w:color w:val="231F20"/>
        </w:rPr>
        <w:t>target</w:t>
      </w:r>
      <w:r>
        <w:rPr>
          <w:i/>
          <w:color w:val="231F20"/>
          <w:spacing w:val="14"/>
        </w:rPr>
        <w:t> </w:t>
      </w:r>
      <w:r>
        <w:rPr>
          <w:i/>
          <w:color w:val="231F20"/>
        </w:rPr>
        <w:t>volume</w:t>
      </w:r>
      <w:r>
        <w:rPr>
          <w:i/>
          <w:color w:val="231F20"/>
          <w:spacing w:val="14"/>
        </w:rPr>
        <w:t> </w:t>
      </w:r>
      <w:r>
        <w:rPr>
          <w:color w:val="231F20"/>
        </w:rPr>
        <w:t>to</w:t>
      </w:r>
      <w:r>
        <w:rPr>
          <w:color w:val="231F20"/>
          <w:spacing w:val="14"/>
        </w:rPr>
        <w:t> </w:t>
      </w:r>
      <w:r>
        <w:rPr>
          <w:color w:val="231F20"/>
        </w:rPr>
        <w:t>yield a desired profit.</w:t>
      </w:r>
    </w:p>
    <w:p>
      <w:pPr>
        <w:pStyle w:val="BodyText"/>
        <w:spacing w:before="4"/>
      </w:pPr>
    </w:p>
    <w:p>
      <w:pPr>
        <w:pStyle w:val="BodyText"/>
        <w:spacing w:line="180" w:lineRule="auto"/>
        <w:ind w:left="304" w:right="219"/>
        <w:jc w:val="center"/>
      </w:pPr>
      <w:r>
        <w:rPr/>
        <w:pict>
          <v:line style="position:absolute;mso-position-horizontal-relative:page;mso-position-vertical-relative:paragraph;z-index:-25191936" from="205pt,14.07848pt" to="302pt,14.07848pt" stroked="true" strokeweight=".5pt" strokecolor="#231f20">
            <v:stroke dashstyle="solid"/>
            <w10:wrap type="none"/>
          </v:line>
        </w:pict>
      </w:r>
      <w:r>
        <w:rPr>
          <w:color w:val="231F20"/>
          <w:position w:val="-14"/>
        </w:rPr>
        <w:t>Target</w:t>
      </w:r>
      <w:r>
        <w:rPr>
          <w:color w:val="231F20"/>
          <w:spacing w:val="17"/>
          <w:position w:val="-14"/>
        </w:rPr>
        <w:t> </w:t>
      </w:r>
      <w:r>
        <w:rPr>
          <w:color w:val="231F20"/>
          <w:position w:val="-14"/>
        </w:rPr>
        <w:t>Volume</w:t>
      </w:r>
      <w:r>
        <w:rPr>
          <w:color w:val="231F20"/>
          <w:spacing w:val="18"/>
          <w:position w:val="-14"/>
        </w:rPr>
        <w:t> </w:t>
      </w:r>
      <w:r>
        <w:rPr>
          <w:rFonts w:ascii="Symbol" w:hAnsi="Symbol"/>
          <w:color w:val="231F20"/>
          <w:position w:val="-14"/>
        </w:rPr>
        <w:t></w:t>
      </w:r>
      <w:r>
        <w:rPr>
          <w:rFonts w:ascii="Times New Roman" w:hAnsi="Times New Roman"/>
          <w:color w:val="231F20"/>
          <w:spacing w:val="11"/>
          <w:position w:val="-14"/>
        </w:rPr>
        <w:t> </w:t>
      </w:r>
      <w:r>
        <w:rPr>
          <w:color w:val="231F20"/>
        </w:rPr>
        <w:t>(Fixed</w:t>
      </w:r>
      <w:r>
        <w:rPr>
          <w:color w:val="231F20"/>
          <w:spacing w:val="18"/>
        </w:rPr>
        <w:t> </w:t>
      </w:r>
      <w:r>
        <w:rPr>
          <w:color w:val="231F20"/>
        </w:rPr>
        <w:t>Costs</w:t>
      </w:r>
      <w:r>
        <w:rPr>
          <w:color w:val="231F20"/>
          <w:spacing w:val="17"/>
        </w:rPr>
        <w:t> </w:t>
      </w:r>
      <w:r>
        <w:rPr>
          <w:rFonts w:ascii="Symbol" w:hAnsi="Symbol"/>
          <w:color w:val="231F20"/>
        </w:rPr>
        <w:t></w:t>
      </w:r>
      <w:r>
        <w:rPr>
          <w:rFonts w:ascii="Times New Roman" w:hAnsi="Times New Roman"/>
          <w:color w:val="231F20"/>
          <w:spacing w:val="12"/>
        </w:rPr>
        <w:t> </w:t>
      </w:r>
      <w:r>
        <w:rPr>
          <w:color w:val="231F20"/>
          <w:spacing w:val="-2"/>
        </w:rPr>
        <w:t>Profit)</w:t>
      </w:r>
    </w:p>
    <w:p>
      <w:pPr>
        <w:pStyle w:val="BodyText"/>
        <w:spacing w:line="197" w:lineRule="exact"/>
        <w:ind w:left="3890"/>
      </w:pPr>
      <w:r>
        <w:rPr>
          <w:color w:val="231F20"/>
          <w:w w:val="105"/>
        </w:rPr>
        <w:t>Unit</w:t>
      </w:r>
      <w:r>
        <w:rPr>
          <w:color w:val="231F20"/>
          <w:spacing w:val="9"/>
          <w:w w:val="105"/>
        </w:rPr>
        <w:t> </w:t>
      </w:r>
      <w:r>
        <w:rPr>
          <w:color w:val="231F20"/>
          <w:spacing w:val="-2"/>
          <w:w w:val="105"/>
        </w:rPr>
        <w:t>Contribution</w:t>
      </w:r>
    </w:p>
    <w:p>
      <w:pPr>
        <w:pStyle w:val="BodyText"/>
        <w:spacing w:before="9"/>
        <w:rPr>
          <w:sz w:val="25"/>
        </w:rPr>
      </w:pPr>
    </w:p>
    <w:p>
      <w:pPr>
        <w:pStyle w:val="BodyText"/>
        <w:spacing w:line="292" w:lineRule="auto"/>
        <w:ind w:left="829" w:right="667" w:firstLine="340"/>
      </w:pPr>
      <w:r>
        <w:rPr>
          <w:color w:val="231F20"/>
        </w:rPr>
        <w:t>To return a $30,000 profit target, you just add the profit to the</w:t>
      </w:r>
      <w:r>
        <w:rPr>
          <w:color w:val="231F20"/>
          <w:spacing w:val="80"/>
          <w:w w:val="150"/>
        </w:rPr>
        <w:t> </w:t>
      </w:r>
      <w:r>
        <w:rPr>
          <w:color w:val="231F20"/>
        </w:rPr>
        <w:t>numerator with the fixed costs.</w:t>
      </w:r>
    </w:p>
    <w:p>
      <w:pPr>
        <w:pStyle w:val="BodyText"/>
        <w:spacing w:before="1"/>
        <w:rPr>
          <w:sz w:val="12"/>
        </w:rPr>
      </w:pPr>
    </w:p>
    <w:p>
      <w:pPr>
        <w:spacing w:after="0"/>
        <w:rPr>
          <w:sz w:val="12"/>
        </w:rPr>
        <w:sectPr>
          <w:pgSz w:w="8640" w:h="12960"/>
          <w:pgMar w:header="732" w:footer="0" w:top="920" w:bottom="280" w:left="340" w:right="500"/>
        </w:sectPr>
      </w:pPr>
    </w:p>
    <w:p>
      <w:pPr>
        <w:pStyle w:val="BodyText"/>
        <w:tabs>
          <w:tab w:pos="2658" w:val="left" w:leader="none"/>
        </w:tabs>
        <w:spacing w:line="290" w:lineRule="auto" w:before="95"/>
        <w:ind w:left="1820" w:hanging="180"/>
      </w:pPr>
      <w:r>
        <w:rPr/>
        <w:pict>
          <v:line style="position:absolute;mso-position-horizontal-relative:page;mso-position-vertical-relative:paragraph;z-index:-25191424" from="100pt,19.556112pt" to="188pt,19.556112pt" stroked="true" strokeweight=".5pt" strokecolor="#231f20">
            <v:stroke dashstyle="solid"/>
            <w10:wrap type="none"/>
          </v:line>
        </w:pict>
      </w:r>
      <w:r>
        <w:rPr/>
        <w:pict>
          <v:rect style="position:absolute;margin-left:141.601883pt;margin-top:27.430323pt;width:4.93095pt;height:.7242pt;mso-position-horizontal-relative:page;mso-position-vertical-relative:paragraph;z-index:-25190912" id="docshape75" filled="true" fillcolor="#231f20" stroked="false">
            <v:fill type="solid"/>
            <w10:wrap type="none"/>
          </v:rect>
        </w:pict>
      </w:r>
      <w:r>
        <w:rPr>
          <w:color w:val="231F20"/>
        </w:rPr>
        <w:t>(212,000</w:t>
      </w:r>
      <w:r>
        <w:rPr>
          <w:color w:val="231F20"/>
          <w:spacing w:val="-9"/>
        </w:rPr>
        <w:t> </w:t>
      </w:r>
      <w:r>
        <w:rPr>
          <w:rFonts w:ascii="Symbol" w:hAnsi="Symbol"/>
          <w:color w:val="231F20"/>
        </w:rPr>
        <w:t></w:t>
      </w:r>
      <w:r>
        <w:rPr>
          <w:rFonts w:ascii="Times New Roman" w:hAnsi="Times New Roman"/>
          <w:color w:val="231F20"/>
          <w:spacing w:val="-13"/>
        </w:rPr>
        <w:t> </w:t>
      </w:r>
      <w:r>
        <w:rPr>
          <w:b/>
          <w:color w:val="231F20"/>
        </w:rPr>
        <w:t>30,000</w:t>
      </w:r>
      <w:r>
        <w:rPr>
          <w:color w:val="231F20"/>
        </w:rPr>
        <w:t>) </w:t>
      </w:r>
      <w:r>
        <w:rPr>
          <w:color w:val="231F20"/>
          <w:spacing w:val="-2"/>
        </w:rPr>
        <w:t>($4.20</w:t>
      </w:r>
      <w:r>
        <w:rPr>
          <w:color w:val="231F20"/>
        </w:rPr>
        <w:tab/>
      </w:r>
      <w:r>
        <w:rPr>
          <w:color w:val="231F20"/>
          <w:spacing w:val="-2"/>
        </w:rPr>
        <w:t>$2.24)</w:t>
      </w:r>
    </w:p>
    <w:p>
      <w:pPr>
        <w:spacing w:line="240" w:lineRule="auto" w:before="10"/>
        <w:rPr>
          <w:sz w:val="20"/>
        </w:rPr>
      </w:pPr>
      <w:r>
        <w:rPr/>
        <w:br w:type="column"/>
      </w:r>
      <w:r>
        <w:rPr>
          <w:sz w:val="20"/>
        </w:rPr>
      </w:r>
    </w:p>
    <w:p>
      <w:pPr>
        <w:pStyle w:val="BodyText"/>
        <w:spacing w:before="1"/>
        <w:ind w:left="19"/>
      </w:pPr>
      <w:r>
        <w:rPr>
          <w:rFonts w:ascii="Symbol" w:hAnsi="Symbol"/>
          <w:color w:val="231F20"/>
        </w:rPr>
        <w:t></w:t>
      </w:r>
      <w:r>
        <w:rPr>
          <w:rFonts w:ascii="Times New Roman" w:hAnsi="Times New Roman"/>
          <w:color w:val="231F20"/>
          <w:spacing w:val="12"/>
        </w:rPr>
        <w:t> </w:t>
      </w:r>
      <w:r>
        <w:rPr>
          <w:color w:val="231F20"/>
        </w:rPr>
        <w:t>123,469</w:t>
      </w:r>
      <w:r>
        <w:rPr>
          <w:color w:val="231F20"/>
          <w:spacing w:val="18"/>
        </w:rPr>
        <w:t> </w:t>
      </w:r>
      <w:r>
        <w:rPr>
          <w:color w:val="231F20"/>
        </w:rPr>
        <w:t>lbs.</w:t>
      </w:r>
      <w:r>
        <w:rPr>
          <w:color w:val="231F20"/>
          <w:spacing w:val="18"/>
        </w:rPr>
        <w:t> </w:t>
      </w:r>
      <w:r>
        <w:rPr>
          <w:color w:val="231F20"/>
        </w:rPr>
        <w:t>target</w:t>
      </w:r>
      <w:r>
        <w:rPr>
          <w:color w:val="231F20"/>
          <w:spacing w:val="18"/>
        </w:rPr>
        <w:t> </w:t>
      </w:r>
      <w:r>
        <w:rPr>
          <w:color w:val="231F20"/>
          <w:spacing w:val="-2"/>
        </w:rPr>
        <w:t>volume</w:t>
      </w:r>
    </w:p>
    <w:p>
      <w:pPr>
        <w:spacing w:after="0"/>
        <w:sectPr>
          <w:type w:val="continuous"/>
          <w:pgSz w:w="8640" w:h="12960"/>
          <w:pgMar w:header="734" w:footer="0" w:top="1220" w:bottom="280" w:left="340" w:right="500"/>
          <w:cols w:num="2" w:equalWidth="0">
            <w:col w:w="3438" w:space="40"/>
            <w:col w:w="4322"/>
          </w:cols>
        </w:sectPr>
      </w:pPr>
    </w:p>
    <w:p>
      <w:pPr>
        <w:pStyle w:val="BodyText"/>
        <w:spacing w:before="140"/>
        <w:ind w:left="1640"/>
      </w:pPr>
      <w:r>
        <w:rPr>
          <w:color w:val="231F20"/>
        </w:rPr>
        <w:t>123,469</w:t>
      </w:r>
      <w:r>
        <w:rPr>
          <w:color w:val="231F20"/>
          <w:spacing w:val="20"/>
        </w:rPr>
        <w:t> </w:t>
      </w:r>
      <w:r>
        <w:rPr>
          <w:color w:val="231F20"/>
        </w:rPr>
        <w:t>lbs</w:t>
      </w:r>
      <w:r>
        <w:rPr>
          <w:color w:val="231F20"/>
          <w:spacing w:val="20"/>
        </w:rPr>
        <w:t> </w:t>
      </w:r>
      <w:r>
        <w:rPr>
          <w:rFonts w:ascii="Symbol" w:hAnsi="Symbol"/>
          <w:color w:val="231F20"/>
        </w:rPr>
        <w:t></w:t>
      </w:r>
      <w:r>
        <w:rPr>
          <w:rFonts w:ascii="Times New Roman" w:hAnsi="Times New Roman"/>
          <w:color w:val="231F20"/>
          <w:spacing w:val="14"/>
        </w:rPr>
        <w:t> </w:t>
      </w:r>
      <w:r>
        <w:rPr>
          <w:color w:val="231F20"/>
        </w:rPr>
        <w:t>$6.00</w:t>
      </w:r>
      <w:r>
        <w:rPr>
          <w:color w:val="231F20"/>
          <w:spacing w:val="20"/>
        </w:rPr>
        <w:t> </w:t>
      </w:r>
      <w:r>
        <w:rPr>
          <w:rFonts w:ascii="Symbol" w:hAnsi="Symbol"/>
          <w:color w:val="231F20"/>
        </w:rPr>
        <w:t></w:t>
      </w:r>
      <w:r>
        <w:rPr>
          <w:rFonts w:ascii="Times New Roman" w:hAnsi="Times New Roman"/>
          <w:color w:val="231F20"/>
          <w:spacing w:val="14"/>
        </w:rPr>
        <w:t> </w:t>
      </w:r>
      <w:r>
        <w:rPr>
          <w:color w:val="231F20"/>
        </w:rPr>
        <w:t>$740,814</w:t>
      </w:r>
      <w:r>
        <w:rPr>
          <w:color w:val="231F20"/>
          <w:spacing w:val="21"/>
        </w:rPr>
        <w:t> </w:t>
      </w:r>
      <w:r>
        <w:rPr>
          <w:color w:val="231F20"/>
        </w:rPr>
        <w:t>target</w:t>
      </w:r>
      <w:r>
        <w:rPr>
          <w:color w:val="231F20"/>
          <w:spacing w:val="20"/>
        </w:rPr>
        <w:t> </w:t>
      </w:r>
      <w:r>
        <w:rPr>
          <w:color w:val="231F20"/>
        </w:rPr>
        <w:t>retail</w:t>
      </w:r>
      <w:r>
        <w:rPr>
          <w:color w:val="231F20"/>
          <w:spacing w:val="20"/>
        </w:rPr>
        <w:t> </w:t>
      </w:r>
      <w:r>
        <w:rPr>
          <w:color w:val="231F20"/>
          <w:spacing w:val="-2"/>
        </w:rPr>
        <w:t>sales</w:t>
      </w:r>
    </w:p>
    <w:p>
      <w:pPr>
        <w:pStyle w:val="BodyText"/>
        <w:spacing w:line="292" w:lineRule="auto" w:before="54"/>
        <w:ind w:left="830" w:right="667" w:firstLine="340"/>
      </w:pPr>
      <w:r>
        <w:rPr>
          <w:color w:val="231F20"/>
        </w:rPr>
        <w:t>One </w:t>
      </w:r>
      <w:r>
        <w:rPr>
          <w:i/>
          <w:color w:val="231F20"/>
        </w:rPr>
        <w:t>very </w:t>
      </w:r>
      <w:r>
        <w:rPr>
          <w:color w:val="231F20"/>
        </w:rPr>
        <w:t>important aspect of this analysis is that it does not </w:t>
      </w:r>
      <w:r>
        <w:rPr>
          <w:color w:val="231F20"/>
        </w:rPr>
        <w:t>in-</w:t>
      </w:r>
      <w:r>
        <w:rPr>
          <w:color w:val="231F20"/>
          <w:spacing w:val="40"/>
        </w:rPr>
        <w:t> </w:t>
      </w:r>
      <w:r>
        <w:rPr>
          <w:color w:val="231F20"/>
        </w:rPr>
        <w:t>clude</w:t>
      </w:r>
      <w:r>
        <w:rPr>
          <w:color w:val="231F20"/>
          <w:spacing w:val="20"/>
        </w:rPr>
        <w:t> </w:t>
      </w:r>
      <w:r>
        <w:rPr>
          <w:color w:val="231F20"/>
        </w:rPr>
        <w:t>the</w:t>
      </w:r>
      <w:r>
        <w:rPr>
          <w:color w:val="231F20"/>
          <w:spacing w:val="20"/>
        </w:rPr>
        <w:t> </w:t>
      </w:r>
      <w:r>
        <w:rPr>
          <w:color w:val="231F20"/>
        </w:rPr>
        <w:t>costs</w:t>
      </w:r>
      <w:r>
        <w:rPr>
          <w:color w:val="231F20"/>
          <w:spacing w:val="20"/>
        </w:rPr>
        <w:t> </w:t>
      </w:r>
      <w:r>
        <w:rPr>
          <w:color w:val="231F20"/>
        </w:rPr>
        <w:t>that</w:t>
      </w:r>
      <w:r>
        <w:rPr>
          <w:color w:val="231F20"/>
          <w:spacing w:val="20"/>
        </w:rPr>
        <w:t> </w:t>
      </w:r>
      <w:r>
        <w:rPr>
          <w:color w:val="231F20"/>
        </w:rPr>
        <w:t>were</w:t>
      </w:r>
      <w:r>
        <w:rPr>
          <w:color w:val="231F20"/>
          <w:spacing w:val="20"/>
        </w:rPr>
        <w:t> </w:t>
      </w:r>
      <w:r>
        <w:rPr>
          <w:color w:val="231F20"/>
        </w:rPr>
        <w:t>“sunk”</w:t>
      </w:r>
      <w:r>
        <w:rPr>
          <w:color w:val="231F20"/>
          <w:spacing w:val="20"/>
        </w:rPr>
        <w:t> </w:t>
      </w:r>
      <w:r>
        <w:rPr>
          <w:color w:val="231F20"/>
        </w:rPr>
        <w:t>in</w:t>
      </w:r>
      <w:r>
        <w:rPr>
          <w:color w:val="231F20"/>
          <w:spacing w:val="21"/>
        </w:rPr>
        <w:t> </w:t>
      </w:r>
      <w:r>
        <w:rPr>
          <w:color w:val="231F20"/>
        </w:rPr>
        <w:t>the</w:t>
      </w:r>
      <w:r>
        <w:rPr>
          <w:color w:val="231F20"/>
          <w:spacing w:val="20"/>
        </w:rPr>
        <w:t> </w:t>
      </w:r>
      <w:r>
        <w:rPr>
          <w:color w:val="231F20"/>
        </w:rPr>
        <w:t>development</w:t>
      </w:r>
      <w:r>
        <w:rPr>
          <w:color w:val="231F20"/>
          <w:spacing w:val="20"/>
        </w:rPr>
        <w:t> </w:t>
      </w:r>
      <w:r>
        <w:rPr>
          <w:color w:val="231F20"/>
        </w:rPr>
        <w:t>of</w:t>
      </w:r>
      <w:r>
        <w:rPr>
          <w:color w:val="231F20"/>
          <w:spacing w:val="20"/>
        </w:rPr>
        <w:t> </w:t>
      </w:r>
      <w:r>
        <w:rPr>
          <w:color w:val="231F20"/>
        </w:rPr>
        <w:t>the</w:t>
      </w:r>
      <w:r>
        <w:rPr>
          <w:color w:val="231F20"/>
          <w:spacing w:val="20"/>
        </w:rPr>
        <w:t> </w:t>
      </w:r>
      <w:r>
        <w:rPr>
          <w:color w:val="231F20"/>
          <w:spacing w:val="-2"/>
        </w:rPr>
        <w:t>product</w:t>
      </w:r>
    </w:p>
    <w:p>
      <w:pPr>
        <w:spacing w:after="0" w:line="292" w:lineRule="auto"/>
        <w:sectPr>
          <w:type w:val="continuous"/>
          <w:pgSz w:w="8640" w:h="12960"/>
          <w:pgMar w:header="734" w:footer="0" w:top="1220" w:bottom="280" w:left="340" w:right="500"/>
        </w:sectPr>
      </w:pPr>
    </w:p>
    <w:p>
      <w:pPr>
        <w:pStyle w:val="BodyText"/>
        <w:spacing w:before="7"/>
        <w:rPr>
          <w:sz w:val="19"/>
        </w:rPr>
      </w:pPr>
    </w:p>
    <w:p>
      <w:pPr>
        <w:spacing w:before="50"/>
        <w:ind w:left="468" w:right="219" w:firstLine="0"/>
        <w:jc w:val="center"/>
        <w:rPr>
          <w:rFonts w:ascii="Arial" w:hAnsi="Arial"/>
          <w:sz w:val="14"/>
        </w:rPr>
      </w:pPr>
      <w:r>
        <w:rPr>
          <w:rFonts w:ascii="Arial" w:hAnsi="Arial"/>
          <w:color w:val="231F20"/>
          <w:w w:val="105"/>
          <w:sz w:val="14"/>
        </w:rPr>
        <w:t>FIXED</w:t>
      </w:r>
      <w:r>
        <w:rPr>
          <w:rFonts w:ascii="Arial" w:hAnsi="Arial"/>
          <w:color w:val="231F20"/>
          <w:spacing w:val="16"/>
          <w:w w:val="105"/>
          <w:sz w:val="14"/>
        </w:rPr>
        <w:t> </w:t>
      </w:r>
      <w:r>
        <w:rPr>
          <w:rFonts w:ascii="Arial" w:hAnsi="Arial"/>
          <w:color w:val="231F20"/>
          <w:w w:val="105"/>
          <w:sz w:val="14"/>
        </w:rPr>
        <w:t>COSTS</w:t>
      </w:r>
      <w:r>
        <w:rPr>
          <w:rFonts w:ascii="Arial" w:hAnsi="Arial"/>
          <w:color w:val="231F20"/>
          <w:spacing w:val="16"/>
          <w:w w:val="105"/>
          <w:sz w:val="14"/>
        </w:rPr>
        <w:t> </w:t>
      </w:r>
      <w:r>
        <w:rPr>
          <w:rFonts w:ascii="Symbol" w:hAnsi="Symbol"/>
          <w:color w:val="231F20"/>
          <w:w w:val="105"/>
          <w:sz w:val="21"/>
        </w:rPr>
        <w:t></w:t>
      </w:r>
      <w:r>
        <w:rPr>
          <w:rFonts w:ascii="Times New Roman" w:hAnsi="Times New Roman"/>
          <w:color w:val="231F20"/>
          <w:spacing w:val="-3"/>
          <w:w w:val="105"/>
          <w:sz w:val="21"/>
        </w:rPr>
        <w:t> </w:t>
      </w:r>
      <w:r>
        <w:rPr>
          <w:rFonts w:ascii="Arial" w:hAnsi="Arial"/>
          <w:color w:val="231F20"/>
          <w:w w:val="105"/>
          <w:sz w:val="14"/>
        </w:rPr>
        <w:t>VARIABLE</w:t>
      </w:r>
      <w:r>
        <w:rPr>
          <w:rFonts w:ascii="Arial" w:hAnsi="Arial"/>
          <w:color w:val="231F20"/>
          <w:spacing w:val="16"/>
          <w:w w:val="105"/>
          <w:sz w:val="14"/>
        </w:rPr>
        <w:t> </w:t>
      </w:r>
      <w:r>
        <w:rPr>
          <w:rFonts w:ascii="Arial" w:hAnsi="Arial"/>
          <w:color w:val="231F20"/>
          <w:w w:val="105"/>
          <w:sz w:val="14"/>
        </w:rPr>
        <w:t>COSTS</w:t>
      </w:r>
      <w:r>
        <w:rPr>
          <w:rFonts w:ascii="Arial" w:hAnsi="Arial"/>
          <w:color w:val="231F20"/>
          <w:spacing w:val="17"/>
          <w:w w:val="105"/>
          <w:sz w:val="14"/>
        </w:rPr>
        <w:t> </w:t>
      </w:r>
      <w:r>
        <w:rPr>
          <w:rFonts w:ascii="Symbol" w:hAnsi="Symbol"/>
          <w:color w:val="231F20"/>
          <w:w w:val="105"/>
          <w:sz w:val="21"/>
        </w:rPr>
        <w:t></w:t>
      </w:r>
      <w:r>
        <w:rPr>
          <w:rFonts w:ascii="Times New Roman" w:hAnsi="Times New Roman"/>
          <w:color w:val="231F20"/>
          <w:spacing w:val="-3"/>
          <w:w w:val="105"/>
          <w:sz w:val="21"/>
        </w:rPr>
        <w:t> </w:t>
      </w:r>
      <w:r>
        <w:rPr>
          <w:rFonts w:ascii="Arial" w:hAnsi="Arial"/>
          <w:color w:val="231F20"/>
          <w:w w:val="105"/>
          <w:sz w:val="14"/>
        </w:rPr>
        <w:t>TOTAL</w:t>
      </w:r>
      <w:r>
        <w:rPr>
          <w:rFonts w:ascii="Arial" w:hAnsi="Arial"/>
          <w:color w:val="231F20"/>
          <w:spacing w:val="16"/>
          <w:w w:val="105"/>
          <w:sz w:val="14"/>
        </w:rPr>
        <w:t> </w:t>
      </w:r>
      <w:r>
        <w:rPr>
          <w:rFonts w:ascii="Arial" w:hAnsi="Arial"/>
          <w:color w:val="231F20"/>
          <w:spacing w:val="-2"/>
          <w:w w:val="105"/>
          <w:sz w:val="14"/>
        </w:rPr>
        <w:t>COSTS</w:t>
      </w:r>
    </w:p>
    <w:p>
      <w:pPr>
        <w:pStyle w:val="BodyText"/>
        <w:spacing w:before="6"/>
        <w:rPr>
          <w:rFonts w:ascii="Arial"/>
          <w:sz w:val="12"/>
        </w:rPr>
      </w:pPr>
      <w:r>
        <w:rPr/>
        <w:drawing>
          <wp:anchor distT="0" distB="0" distL="0" distR="0" allowOverlap="1" layoutInCell="1" locked="0" behindDoc="0" simplePos="0" relativeHeight="76">
            <wp:simplePos x="0" y="0"/>
            <wp:positionH relativeFrom="page">
              <wp:posOffset>1720843</wp:posOffset>
            </wp:positionH>
            <wp:positionV relativeFrom="paragraph">
              <wp:posOffset>107237</wp:posOffset>
            </wp:positionV>
            <wp:extent cx="2145867" cy="2176272"/>
            <wp:effectExtent l="0" t="0" r="0" b="0"/>
            <wp:wrapTopAndBottom/>
            <wp:docPr id="19" name="image11.png"/>
            <wp:cNvGraphicFramePr>
              <a:graphicFrameLocks noChangeAspect="1"/>
            </wp:cNvGraphicFramePr>
            <a:graphic>
              <a:graphicData uri="http://schemas.openxmlformats.org/drawingml/2006/picture">
                <pic:pic>
                  <pic:nvPicPr>
                    <pic:cNvPr id="20" name="image11.png"/>
                    <pic:cNvPicPr/>
                  </pic:nvPicPr>
                  <pic:blipFill>
                    <a:blip r:embed="rId24" cstate="print"/>
                    <a:stretch>
                      <a:fillRect/>
                    </a:stretch>
                  </pic:blipFill>
                  <pic:spPr>
                    <a:xfrm>
                      <a:off x="0" y="0"/>
                      <a:ext cx="2145867" cy="2176272"/>
                    </a:xfrm>
                    <a:prstGeom prst="rect">
                      <a:avLst/>
                    </a:prstGeom>
                  </pic:spPr>
                </pic:pic>
              </a:graphicData>
            </a:graphic>
          </wp:anchor>
        </w:drawing>
      </w:r>
    </w:p>
    <w:p>
      <w:pPr>
        <w:pStyle w:val="BodyText"/>
        <w:rPr>
          <w:rFonts w:ascii="Arial"/>
          <w:sz w:val="20"/>
        </w:rPr>
      </w:pPr>
    </w:p>
    <w:p>
      <w:pPr>
        <w:pStyle w:val="BodyText"/>
        <w:spacing w:before="10"/>
        <w:rPr>
          <w:rFonts w:ascii="Arial"/>
          <w:sz w:val="17"/>
        </w:rPr>
      </w:pPr>
    </w:p>
    <w:p>
      <w:pPr>
        <w:pStyle w:val="BodyText"/>
        <w:spacing w:line="292" w:lineRule="auto"/>
        <w:ind w:left="920" w:right="663"/>
        <w:jc w:val="both"/>
      </w:pPr>
      <w:r>
        <w:rPr>
          <w:color w:val="231F20"/>
        </w:rPr>
        <w:t>or the ad campaign if they have already been spent. The </w:t>
      </w:r>
      <w:r>
        <w:rPr>
          <w:color w:val="231F20"/>
        </w:rPr>
        <w:t>evaluation</w:t>
      </w:r>
      <w:r>
        <w:rPr>
          <w:color w:val="231F20"/>
          <w:spacing w:val="80"/>
        </w:rPr>
        <w:t> </w:t>
      </w:r>
      <w:r>
        <w:rPr>
          <w:color w:val="231F20"/>
        </w:rPr>
        <w:t>of the economics is always performed from the perspective of the present. There should not be any crying over spilled milk. You need</w:t>
      </w:r>
      <w:r>
        <w:rPr>
          <w:color w:val="231F20"/>
          <w:spacing w:val="40"/>
        </w:rPr>
        <w:t> </w:t>
      </w:r>
      <w:r>
        <w:rPr>
          <w:color w:val="231F20"/>
        </w:rPr>
        <w:t>to decide if you can make money on the proposed marketing spend- ing in the future. For example, if the coffee blend was the product of millions of dollars of research, that would be irrelevant to the deci- sion of whether I should spend additional money to market it. If I in- clude the millions of research, it would be a definite “no go.” However, with that money down the drain, it might be profitable to invest additional cash in a marketing effort.</w:t>
      </w:r>
    </w:p>
    <w:p>
      <w:pPr>
        <w:pStyle w:val="BodyText"/>
        <w:spacing w:line="292" w:lineRule="auto"/>
        <w:ind w:left="919" w:right="667" w:firstLine="340"/>
        <w:jc w:val="both"/>
      </w:pPr>
      <w:r>
        <w:rPr>
          <w:color w:val="231F20"/>
        </w:rPr>
        <w:t>The graphical representation of the marketing plan economics</w:t>
      </w:r>
      <w:r>
        <w:rPr>
          <w:color w:val="231F20"/>
          <w:spacing w:val="40"/>
        </w:rPr>
        <w:t> </w:t>
      </w:r>
      <w:r>
        <w:rPr>
          <w:color w:val="231F20"/>
        </w:rPr>
        <w:t>for the Mexican coffee looked like this:</w:t>
      </w:r>
    </w:p>
    <w:p>
      <w:pPr>
        <w:pStyle w:val="BodyText"/>
        <w:spacing w:before="3"/>
        <w:rPr>
          <w:sz w:val="25"/>
        </w:rPr>
      </w:pPr>
    </w:p>
    <w:p>
      <w:pPr>
        <w:pStyle w:val="BodyText"/>
        <w:spacing w:line="292" w:lineRule="auto"/>
        <w:ind w:left="919" w:right="663" w:firstLine="340"/>
        <w:jc w:val="both"/>
      </w:pPr>
      <w:r>
        <w:rPr>
          <w:i/>
          <w:color w:val="231F20"/>
        </w:rPr>
        <w:t>Is my break even reasonable in relation to my relevant </w:t>
      </w:r>
      <w:r>
        <w:rPr>
          <w:i/>
          <w:color w:val="231F20"/>
        </w:rPr>
        <w:t>market?</w:t>
      </w:r>
      <w:r>
        <w:rPr>
          <w:i/>
          <w:color w:val="231F20"/>
        </w:rPr>
        <w:t> </w:t>
      </w:r>
      <w:r>
        <w:rPr>
          <w:color w:val="231F20"/>
        </w:rPr>
        <w:t>Answering this question </w:t>
      </w:r>
      <w:r>
        <w:rPr>
          <w:i/>
          <w:color w:val="231F20"/>
        </w:rPr>
        <w:t>must </w:t>
      </w:r>
      <w:r>
        <w:rPr>
          <w:color w:val="231F20"/>
        </w:rPr>
        <w:t>be your next step. In the coffee exam- ple, $648,978 of break-even retail sales was a .26 percent share of</w:t>
      </w:r>
      <w:r>
        <w:rPr>
          <w:color w:val="231F20"/>
          <w:spacing w:val="80"/>
        </w:rPr>
        <w:t> </w:t>
      </w:r>
      <w:r>
        <w:rPr>
          <w:color w:val="231F20"/>
        </w:rPr>
        <w:t>the $248 million market for gourmet, nonflavored coffee sold</w:t>
      </w:r>
      <w:r>
        <w:rPr>
          <w:color w:val="231F20"/>
          <w:spacing w:val="40"/>
        </w:rPr>
        <w:t> </w:t>
      </w:r>
      <w:r>
        <w:rPr>
          <w:color w:val="231F20"/>
        </w:rPr>
        <w:t>through the supermarket channel as explained earlier in the chapter. The targeted retail sales of $740,814 equaled only a .3 percent share of</w:t>
      </w:r>
      <w:r>
        <w:rPr>
          <w:color w:val="231F20"/>
          <w:spacing w:val="21"/>
        </w:rPr>
        <w:t> </w:t>
      </w:r>
      <w:r>
        <w:rPr>
          <w:color w:val="231F20"/>
        </w:rPr>
        <w:t>the</w:t>
      </w:r>
      <w:r>
        <w:rPr>
          <w:color w:val="231F20"/>
          <w:spacing w:val="21"/>
        </w:rPr>
        <w:t> </w:t>
      </w:r>
      <w:r>
        <w:rPr>
          <w:color w:val="231F20"/>
        </w:rPr>
        <w:t>relevant</w:t>
      </w:r>
      <w:r>
        <w:rPr>
          <w:color w:val="231F20"/>
          <w:spacing w:val="21"/>
        </w:rPr>
        <w:t> </w:t>
      </w:r>
      <w:r>
        <w:rPr>
          <w:color w:val="231F20"/>
        </w:rPr>
        <w:t>market.</w:t>
      </w:r>
      <w:r>
        <w:rPr>
          <w:color w:val="231F20"/>
          <w:spacing w:val="21"/>
        </w:rPr>
        <w:t> </w:t>
      </w:r>
      <w:r>
        <w:rPr>
          <w:color w:val="231F20"/>
        </w:rPr>
        <w:t>On</w:t>
      </w:r>
      <w:r>
        <w:rPr>
          <w:color w:val="231F20"/>
          <w:spacing w:val="21"/>
        </w:rPr>
        <w:t> </w:t>
      </w:r>
      <w:r>
        <w:rPr>
          <w:color w:val="231F20"/>
        </w:rPr>
        <w:t>that</w:t>
      </w:r>
      <w:r>
        <w:rPr>
          <w:color w:val="231F20"/>
          <w:spacing w:val="21"/>
        </w:rPr>
        <w:t> </w:t>
      </w:r>
      <w:r>
        <w:rPr>
          <w:color w:val="231F20"/>
        </w:rPr>
        <w:t>level,</w:t>
      </w:r>
      <w:r>
        <w:rPr>
          <w:color w:val="231F20"/>
          <w:spacing w:val="21"/>
        </w:rPr>
        <w:t> </w:t>
      </w:r>
      <w:r>
        <w:rPr>
          <w:color w:val="231F20"/>
        </w:rPr>
        <w:t>the</w:t>
      </w:r>
      <w:r>
        <w:rPr>
          <w:color w:val="231F20"/>
          <w:spacing w:val="21"/>
        </w:rPr>
        <w:t> </w:t>
      </w:r>
      <w:r>
        <w:rPr>
          <w:color w:val="231F20"/>
        </w:rPr>
        <w:t>plan</w:t>
      </w:r>
      <w:r>
        <w:rPr>
          <w:color w:val="231F20"/>
          <w:spacing w:val="21"/>
        </w:rPr>
        <w:t> </w:t>
      </w:r>
      <w:r>
        <w:rPr>
          <w:color w:val="231F20"/>
        </w:rPr>
        <w:t>appeared</w:t>
      </w:r>
      <w:r>
        <w:rPr>
          <w:color w:val="231F20"/>
          <w:spacing w:val="21"/>
        </w:rPr>
        <w:t> </w:t>
      </w:r>
      <w:r>
        <w:rPr>
          <w:color w:val="231F20"/>
        </w:rPr>
        <w:t>reasonable if</w:t>
      </w:r>
      <w:r>
        <w:rPr>
          <w:color w:val="231F20"/>
          <w:spacing w:val="40"/>
        </w:rPr>
        <w:t> </w:t>
      </w:r>
      <w:r>
        <w:rPr>
          <w:color w:val="231F20"/>
        </w:rPr>
        <w:t>I</w:t>
      </w:r>
      <w:r>
        <w:rPr>
          <w:color w:val="231F20"/>
          <w:spacing w:val="40"/>
        </w:rPr>
        <w:t> </w:t>
      </w:r>
      <w:r>
        <w:rPr>
          <w:color w:val="231F20"/>
        </w:rPr>
        <w:t>believed</w:t>
      </w:r>
      <w:r>
        <w:rPr>
          <w:color w:val="231F20"/>
          <w:spacing w:val="40"/>
        </w:rPr>
        <w:t> </w:t>
      </w:r>
      <w:r>
        <w:rPr>
          <w:color w:val="231F20"/>
        </w:rPr>
        <w:t>$150,000</w:t>
      </w:r>
      <w:r>
        <w:rPr>
          <w:color w:val="231F20"/>
          <w:spacing w:val="40"/>
        </w:rPr>
        <w:t> </w:t>
      </w:r>
      <w:r>
        <w:rPr>
          <w:color w:val="231F20"/>
        </w:rPr>
        <w:t>of</w:t>
      </w:r>
      <w:r>
        <w:rPr>
          <w:color w:val="231F20"/>
          <w:spacing w:val="40"/>
        </w:rPr>
        <w:t> </w:t>
      </w:r>
      <w:r>
        <w:rPr>
          <w:color w:val="231F20"/>
        </w:rPr>
        <w:t>promotion</w:t>
      </w:r>
      <w:r>
        <w:rPr>
          <w:color w:val="231F20"/>
          <w:spacing w:val="40"/>
        </w:rPr>
        <w:t> </w:t>
      </w:r>
      <w:r>
        <w:rPr>
          <w:color w:val="231F20"/>
        </w:rPr>
        <w:t>and</w:t>
      </w:r>
      <w:r>
        <w:rPr>
          <w:color w:val="231F20"/>
          <w:spacing w:val="41"/>
        </w:rPr>
        <w:t> </w:t>
      </w:r>
      <w:r>
        <w:rPr>
          <w:color w:val="231F20"/>
        </w:rPr>
        <w:t>$50,000</w:t>
      </w:r>
      <w:r>
        <w:rPr>
          <w:color w:val="231F20"/>
          <w:spacing w:val="40"/>
        </w:rPr>
        <w:t> </w:t>
      </w:r>
      <w:r>
        <w:rPr>
          <w:color w:val="231F20"/>
        </w:rPr>
        <w:t>of</w:t>
      </w:r>
      <w:r>
        <w:rPr>
          <w:color w:val="231F20"/>
          <w:spacing w:val="40"/>
        </w:rPr>
        <w:t> </w:t>
      </w:r>
      <w:r>
        <w:rPr>
          <w:color w:val="231F20"/>
        </w:rPr>
        <w:t>dealer</w:t>
      </w:r>
      <w:r>
        <w:rPr>
          <w:color w:val="231F20"/>
          <w:spacing w:val="40"/>
        </w:rPr>
        <w:t> </w:t>
      </w:r>
      <w:r>
        <w:rPr>
          <w:color w:val="231F20"/>
          <w:spacing w:val="-2"/>
        </w:rPr>
        <w:t>incen-</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tives could have produced $740,814 in sales. Imagine that—</w:t>
      </w:r>
      <w:r>
        <w:rPr>
          <w:color w:val="231F20"/>
          <w:spacing w:val="-12"/>
        </w:rPr>
        <w:t> </w:t>
      </w:r>
      <w:r>
        <w:rPr>
          <w:color w:val="231F20"/>
        </w:rPr>
        <w:t>I </w:t>
      </w:r>
      <w:r>
        <w:rPr>
          <w:color w:val="231F20"/>
        </w:rPr>
        <w:t>could have reached my goal with only a .3 percent share of the market!</w:t>
      </w:r>
    </w:p>
    <w:p>
      <w:pPr>
        <w:pStyle w:val="BodyText"/>
        <w:spacing w:line="292" w:lineRule="auto"/>
        <w:ind w:left="829" w:right="755" w:firstLine="340"/>
        <w:jc w:val="both"/>
      </w:pPr>
      <w:r>
        <w:rPr>
          <w:color w:val="231F20"/>
        </w:rPr>
        <w:t>Unfortunately, a small target share can easily lead you to </w:t>
      </w:r>
      <w:r>
        <w:rPr>
          <w:color w:val="231F20"/>
        </w:rPr>
        <w:t>believe </w:t>
      </w:r>
      <w:r>
        <w:rPr>
          <w:color w:val="231F20"/>
          <w:w w:val="105"/>
        </w:rPr>
        <w:t>that</w:t>
      </w:r>
      <w:r>
        <w:rPr>
          <w:color w:val="231F20"/>
          <w:w w:val="105"/>
        </w:rPr>
        <w:t> it</w:t>
      </w:r>
      <w:r>
        <w:rPr>
          <w:color w:val="231F20"/>
          <w:w w:val="105"/>
        </w:rPr>
        <w:t> is</w:t>
      </w:r>
      <w:r>
        <w:rPr>
          <w:color w:val="231F20"/>
          <w:w w:val="105"/>
        </w:rPr>
        <w:t> easy</w:t>
      </w:r>
      <w:r>
        <w:rPr>
          <w:color w:val="231F20"/>
          <w:w w:val="105"/>
        </w:rPr>
        <w:t> to</w:t>
      </w:r>
      <w:r>
        <w:rPr>
          <w:color w:val="231F20"/>
          <w:w w:val="105"/>
        </w:rPr>
        <w:t> obtain.</w:t>
      </w:r>
      <w:r>
        <w:rPr>
          <w:color w:val="231F20"/>
          <w:w w:val="105"/>
        </w:rPr>
        <w:t> How</w:t>
      </w:r>
      <w:r>
        <w:rPr>
          <w:color w:val="231F20"/>
          <w:w w:val="105"/>
        </w:rPr>
        <w:t> fierce</w:t>
      </w:r>
      <w:r>
        <w:rPr>
          <w:color w:val="231F20"/>
          <w:w w:val="105"/>
        </w:rPr>
        <w:t> was</w:t>
      </w:r>
      <w:r>
        <w:rPr>
          <w:color w:val="231F20"/>
          <w:w w:val="105"/>
        </w:rPr>
        <w:t> the</w:t>
      </w:r>
      <w:r>
        <w:rPr>
          <w:color w:val="231F20"/>
          <w:w w:val="105"/>
        </w:rPr>
        <w:t> fight</w:t>
      </w:r>
      <w:r>
        <w:rPr>
          <w:color w:val="231F20"/>
          <w:w w:val="105"/>
        </w:rPr>
        <w:t> for</w:t>
      </w:r>
      <w:r>
        <w:rPr>
          <w:color w:val="231F20"/>
          <w:w w:val="105"/>
        </w:rPr>
        <w:t> the</w:t>
      </w:r>
      <w:r>
        <w:rPr>
          <w:color w:val="231F20"/>
          <w:w w:val="105"/>
        </w:rPr>
        <w:t> grocer’s </w:t>
      </w:r>
      <w:r>
        <w:rPr>
          <w:color w:val="231F20"/>
        </w:rPr>
        <w:t>shelf? If my coffee got on the shelf, somebody else’s had to be kicked </w:t>
      </w:r>
      <w:r>
        <w:rPr>
          <w:color w:val="231F20"/>
          <w:w w:val="105"/>
        </w:rPr>
        <w:t>off.</w:t>
      </w:r>
      <w:r>
        <w:rPr>
          <w:color w:val="231F20"/>
          <w:w w:val="105"/>
        </w:rPr>
        <w:t> How</w:t>
      </w:r>
      <w:r>
        <w:rPr>
          <w:color w:val="231F20"/>
          <w:w w:val="105"/>
        </w:rPr>
        <w:t> would</w:t>
      </w:r>
      <w:r>
        <w:rPr>
          <w:color w:val="231F20"/>
          <w:w w:val="105"/>
        </w:rPr>
        <w:t> they</w:t>
      </w:r>
      <w:r>
        <w:rPr>
          <w:color w:val="231F20"/>
          <w:w w:val="105"/>
        </w:rPr>
        <w:t> react?</w:t>
      </w:r>
      <w:r>
        <w:rPr>
          <w:color w:val="231F20"/>
          <w:w w:val="105"/>
        </w:rPr>
        <w:t> Once</w:t>
      </w:r>
      <w:r>
        <w:rPr>
          <w:color w:val="231F20"/>
          <w:w w:val="105"/>
        </w:rPr>
        <w:t> in</w:t>
      </w:r>
      <w:r>
        <w:rPr>
          <w:color w:val="231F20"/>
          <w:w w:val="105"/>
        </w:rPr>
        <w:t> the</w:t>
      </w:r>
      <w:r>
        <w:rPr>
          <w:color w:val="231F20"/>
          <w:w w:val="105"/>
        </w:rPr>
        <w:t> supermarket,</w:t>
      </w:r>
      <w:r>
        <w:rPr>
          <w:color w:val="231F20"/>
          <w:w w:val="105"/>
        </w:rPr>
        <w:t> would</w:t>
      </w:r>
      <w:r>
        <w:rPr>
          <w:color w:val="231F20"/>
          <w:w w:val="105"/>
        </w:rPr>
        <w:t> my company</w:t>
      </w:r>
      <w:r>
        <w:rPr>
          <w:color w:val="231F20"/>
          <w:spacing w:val="-7"/>
          <w:w w:val="105"/>
        </w:rPr>
        <w:t> </w:t>
      </w:r>
      <w:r>
        <w:rPr>
          <w:color w:val="231F20"/>
          <w:w w:val="105"/>
        </w:rPr>
        <w:t>have</w:t>
      </w:r>
      <w:r>
        <w:rPr>
          <w:color w:val="231F20"/>
          <w:spacing w:val="-7"/>
          <w:w w:val="105"/>
        </w:rPr>
        <w:t> </w:t>
      </w:r>
      <w:r>
        <w:rPr>
          <w:color w:val="231F20"/>
          <w:w w:val="105"/>
        </w:rPr>
        <w:t>been</w:t>
      </w:r>
      <w:r>
        <w:rPr>
          <w:color w:val="231F20"/>
          <w:spacing w:val="-7"/>
          <w:w w:val="105"/>
        </w:rPr>
        <w:t> </w:t>
      </w:r>
      <w:r>
        <w:rPr>
          <w:color w:val="231F20"/>
          <w:w w:val="105"/>
        </w:rPr>
        <w:t>willing</w:t>
      </w:r>
      <w:r>
        <w:rPr>
          <w:color w:val="231F20"/>
          <w:spacing w:val="-7"/>
          <w:w w:val="105"/>
        </w:rPr>
        <w:t> </w:t>
      </w:r>
      <w:r>
        <w:rPr>
          <w:color w:val="231F20"/>
          <w:w w:val="105"/>
        </w:rPr>
        <w:t>to</w:t>
      </w:r>
      <w:r>
        <w:rPr>
          <w:color w:val="231F20"/>
          <w:spacing w:val="-7"/>
          <w:w w:val="105"/>
        </w:rPr>
        <w:t> </w:t>
      </w:r>
      <w:r>
        <w:rPr>
          <w:color w:val="231F20"/>
          <w:w w:val="105"/>
        </w:rPr>
        <w:t>continue</w:t>
      </w:r>
      <w:r>
        <w:rPr>
          <w:color w:val="231F20"/>
          <w:spacing w:val="-7"/>
          <w:w w:val="105"/>
        </w:rPr>
        <w:t> </w:t>
      </w:r>
      <w:r>
        <w:rPr>
          <w:color w:val="231F20"/>
          <w:w w:val="105"/>
        </w:rPr>
        <w:t>to</w:t>
      </w:r>
      <w:r>
        <w:rPr>
          <w:color w:val="231F20"/>
          <w:spacing w:val="-7"/>
          <w:w w:val="105"/>
        </w:rPr>
        <w:t> </w:t>
      </w:r>
      <w:r>
        <w:rPr>
          <w:color w:val="231F20"/>
          <w:w w:val="105"/>
        </w:rPr>
        <w:t>support</w:t>
      </w:r>
      <w:r>
        <w:rPr>
          <w:color w:val="231F20"/>
          <w:spacing w:val="-7"/>
          <w:w w:val="105"/>
        </w:rPr>
        <w:t> </w:t>
      </w:r>
      <w:r>
        <w:rPr>
          <w:color w:val="231F20"/>
          <w:w w:val="105"/>
        </w:rPr>
        <w:t>the</w:t>
      </w:r>
      <w:r>
        <w:rPr>
          <w:color w:val="231F20"/>
          <w:spacing w:val="-7"/>
          <w:w w:val="105"/>
        </w:rPr>
        <w:t> </w:t>
      </w:r>
      <w:r>
        <w:rPr>
          <w:color w:val="231F20"/>
          <w:w w:val="105"/>
        </w:rPr>
        <w:t>coffee</w:t>
      </w:r>
      <w:r>
        <w:rPr>
          <w:color w:val="231F20"/>
          <w:spacing w:val="-7"/>
          <w:w w:val="105"/>
        </w:rPr>
        <w:t> </w:t>
      </w:r>
      <w:r>
        <w:rPr>
          <w:color w:val="231F20"/>
          <w:w w:val="105"/>
        </w:rPr>
        <w:t>when a</w:t>
      </w:r>
      <w:r>
        <w:rPr>
          <w:color w:val="231F20"/>
          <w:w w:val="105"/>
        </w:rPr>
        <w:t> competitor</w:t>
      </w:r>
      <w:r>
        <w:rPr>
          <w:color w:val="231F20"/>
          <w:w w:val="105"/>
        </w:rPr>
        <w:t> went</w:t>
      </w:r>
      <w:r>
        <w:rPr>
          <w:color w:val="231F20"/>
          <w:w w:val="105"/>
        </w:rPr>
        <w:t> after</w:t>
      </w:r>
      <w:r>
        <w:rPr>
          <w:color w:val="231F20"/>
          <w:w w:val="105"/>
        </w:rPr>
        <w:t> my</w:t>
      </w:r>
      <w:r>
        <w:rPr>
          <w:color w:val="231F20"/>
          <w:w w:val="105"/>
        </w:rPr>
        <w:t> shelf</w:t>
      </w:r>
      <w:r>
        <w:rPr>
          <w:color w:val="231F20"/>
          <w:w w:val="105"/>
        </w:rPr>
        <w:t> space?</w:t>
      </w:r>
      <w:r>
        <w:rPr>
          <w:color w:val="231F20"/>
          <w:w w:val="105"/>
        </w:rPr>
        <w:t> In</w:t>
      </w:r>
      <w:r>
        <w:rPr>
          <w:color w:val="231F20"/>
          <w:w w:val="105"/>
        </w:rPr>
        <w:t> my</w:t>
      </w:r>
      <w:r>
        <w:rPr>
          <w:color w:val="231F20"/>
          <w:w w:val="105"/>
        </w:rPr>
        <w:t> case,</w:t>
      </w:r>
      <w:r>
        <w:rPr>
          <w:color w:val="231F20"/>
          <w:w w:val="105"/>
        </w:rPr>
        <w:t> the</w:t>
      </w:r>
      <w:r>
        <w:rPr>
          <w:color w:val="231F20"/>
          <w:w w:val="105"/>
        </w:rPr>
        <w:t> company was</w:t>
      </w:r>
      <w:r>
        <w:rPr>
          <w:color w:val="231F20"/>
          <w:spacing w:val="-2"/>
          <w:w w:val="105"/>
        </w:rPr>
        <w:t> </w:t>
      </w:r>
      <w:r>
        <w:rPr>
          <w:color w:val="231F20"/>
          <w:w w:val="105"/>
        </w:rPr>
        <w:t>not</w:t>
      </w:r>
      <w:r>
        <w:rPr>
          <w:color w:val="231F20"/>
          <w:spacing w:val="-2"/>
          <w:w w:val="105"/>
        </w:rPr>
        <w:t> </w:t>
      </w:r>
      <w:r>
        <w:rPr>
          <w:color w:val="231F20"/>
          <w:w w:val="105"/>
        </w:rPr>
        <w:t>willing</w:t>
      </w:r>
      <w:r>
        <w:rPr>
          <w:color w:val="231F20"/>
          <w:spacing w:val="-2"/>
          <w:w w:val="105"/>
        </w:rPr>
        <w:t> </w:t>
      </w:r>
      <w:r>
        <w:rPr>
          <w:color w:val="231F20"/>
          <w:w w:val="105"/>
        </w:rPr>
        <w:t>yet</w:t>
      </w:r>
      <w:r>
        <w:rPr>
          <w:color w:val="231F20"/>
          <w:spacing w:val="-2"/>
          <w:w w:val="105"/>
        </w:rPr>
        <w:t> </w:t>
      </w:r>
      <w:r>
        <w:rPr>
          <w:color w:val="231F20"/>
          <w:w w:val="105"/>
        </w:rPr>
        <w:t>to</w:t>
      </w:r>
      <w:r>
        <w:rPr>
          <w:color w:val="231F20"/>
          <w:spacing w:val="-2"/>
          <w:w w:val="105"/>
        </w:rPr>
        <w:t> </w:t>
      </w:r>
      <w:r>
        <w:rPr>
          <w:color w:val="231F20"/>
          <w:w w:val="105"/>
        </w:rPr>
        <w:t>make</w:t>
      </w:r>
      <w:r>
        <w:rPr>
          <w:color w:val="231F20"/>
          <w:spacing w:val="-2"/>
          <w:w w:val="105"/>
        </w:rPr>
        <w:t> </w:t>
      </w:r>
      <w:r>
        <w:rPr>
          <w:color w:val="231F20"/>
          <w:w w:val="105"/>
        </w:rPr>
        <w:t>that</w:t>
      </w:r>
      <w:r>
        <w:rPr>
          <w:color w:val="231F20"/>
          <w:spacing w:val="-2"/>
          <w:w w:val="105"/>
        </w:rPr>
        <w:t> </w:t>
      </w:r>
      <w:r>
        <w:rPr>
          <w:color w:val="231F20"/>
          <w:w w:val="105"/>
        </w:rPr>
        <w:t>kind</w:t>
      </w:r>
      <w:r>
        <w:rPr>
          <w:color w:val="231F20"/>
          <w:spacing w:val="-2"/>
          <w:w w:val="105"/>
        </w:rPr>
        <w:t> </w:t>
      </w:r>
      <w:r>
        <w:rPr>
          <w:color w:val="231F20"/>
          <w:w w:val="105"/>
        </w:rPr>
        <w:t>of</w:t>
      </w:r>
      <w:r>
        <w:rPr>
          <w:color w:val="231F20"/>
          <w:spacing w:val="-2"/>
          <w:w w:val="105"/>
        </w:rPr>
        <w:t> </w:t>
      </w:r>
      <w:r>
        <w:rPr>
          <w:color w:val="231F20"/>
          <w:w w:val="105"/>
        </w:rPr>
        <w:t>long-term</w:t>
      </w:r>
      <w:r>
        <w:rPr>
          <w:color w:val="231F20"/>
          <w:spacing w:val="-2"/>
          <w:w w:val="105"/>
        </w:rPr>
        <w:t> </w:t>
      </w:r>
      <w:r>
        <w:rPr>
          <w:color w:val="231F20"/>
          <w:w w:val="105"/>
        </w:rPr>
        <w:t>commitment</w:t>
      </w:r>
      <w:r>
        <w:rPr>
          <w:color w:val="231F20"/>
          <w:spacing w:val="-2"/>
          <w:w w:val="105"/>
        </w:rPr>
        <w:t> </w:t>
      </w:r>
      <w:r>
        <w:rPr>
          <w:color w:val="231F20"/>
          <w:w w:val="105"/>
        </w:rPr>
        <w:t>to </w:t>
      </w:r>
      <w:r>
        <w:rPr>
          <w:color w:val="231F20"/>
          <w:spacing w:val="-2"/>
          <w:w w:val="105"/>
        </w:rPr>
        <w:t>coffee.</w:t>
      </w:r>
    </w:p>
    <w:p>
      <w:pPr>
        <w:pStyle w:val="BodyText"/>
        <w:spacing w:before="1"/>
        <w:rPr>
          <w:sz w:val="27"/>
        </w:rPr>
      </w:pPr>
    </w:p>
    <w:p>
      <w:pPr>
        <w:spacing w:before="0"/>
        <w:ind w:left="1170" w:right="0" w:firstLine="0"/>
        <w:jc w:val="left"/>
        <w:rPr>
          <w:rFonts w:ascii="Arial"/>
          <w:i/>
          <w:sz w:val="19"/>
        </w:rPr>
      </w:pPr>
      <w:r>
        <w:rPr>
          <w:rFonts w:ascii="Arial"/>
          <w:i/>
          <w:color w:val="231F20"/>
          <w:w w:val="115"/>
          <w:sz w:val="19"/>
        </w:rPr>
        <w:t>What</w:t>
      </w:r>
      <w:r>
        <w:rPr>
          <w:rFonts w:ascii="Arial"/>
          <w:i/>
          <w:color w:val="231F20"/>
          <w:spacing w:val="-2"/>
          <w:w w:val="115"/>
          <w:sz w:val="19"/>
        </w:rPr>
        <w:t> </w:t>
      </w:r>
      <w:r>
        <w:rPr>
          <w:rFonts w:ascii="Arial"/>
          <w:i/>
          <w:color w:val="231F20"/>
          <w:w w:val="115"/>
          <w:sz w:val="19"/>
        </w:rPr>
        <w:t>is</w:t>
      </w:r>
      <w:r>
        <w:rPr>
          <w:rFonts w:ascii="Arial"/>
          <w:i/>
          <w:color w:val="231F20"/>
          <w:spacing w:val="-1"/>
          <w:w w:val="115"/>
          <w:sz w:val="19"/>
        </w:rPr>
        <w:t> </w:t>
      </w:r>
      <w:r>
        <w:rPr>
          <w:rFonts w:ascii="Arial"/>
          <w:i/>
          <w:color w:val="231F20"/>
          <w:w w:val="115"/>
          <w:sz w:val="19"/>
        </w:rPr>
        <w:t>the</w:t>
      </w:r>
      <w:r>
        <w:rPr>
          <w:rFonts w:ascii="Arial"/>
          <w:i/>
          <w:color w:val="231F20"/>
          <w:spacing w:val="-2"/>
          <w:w w:val="115"/>
          <w:sz w:val="19"/>
        </w:rPr>
        <w:t> </w:t>
      </w:r>
      <w:r>
        <w:rPr>
          <w:rFonts w:ascii="Arial"/>
          <w:i/>
          <w:color w:val="231F20"/>
          <w:w w:val="115"/>
          <w:sz w:val="19"/>
        </w:rPr>
        <w:t>payback</w:t>
      </w:r>
      <w:r>
        <w:rPr>
          <w:rFonts w:ascii="Arial"/>
          <w:i/>
          <w:color w:val="231F20"/>
          <w:spacing w:val="-1"/>
          <w:w w:val="115"/>
          <w:sz w:val="19"/>
        </w:rPr>
        <w:t> </w:t>
      </w:r>
      <w:r>
        <w:rPr>
          <w:rFonts w:ascii="Arial"/>
          <w:i/>
          <w:color w:val="231F20"/>
          <w:w w:val="115"/>
          <w:sz w:val="19"/>
        </w:rPr>
        <w:t>period</w:t>
      </w:r>
      <w:r>
        <w:rPr>
          <w:rFonts w:ascii="Arial"/>
          <w:i/>
          <w:color w:val="231F20"/>
          <w:spacing w:val="-2"/>
          <w:w w:val="115"/>
          <w:sz w:val="19"/>
        </w:rPr>
        <w:t> </w:t>
      </w:r>
      <w:r>
        <w:rPr>
          <w:rFonts w:ascii="Arial"/>
          <w:i/>
          <w:color w:val="231F20"/>
          <w:w w:val="115"/>
          <w:sz w:val="19"/>
        </w:rPr>
        <w:t>on</w:t>
      </w:r>
      <w:r>
        <w:rPr>
          <w:rFonts w:ascii="Arial"/>
          <w:i/>
          <w:color w:val="231F20"/>
          <w:spacing w:val="-1"/>
          <w:w w:val="115"/>
          <w:sz w:val="19"/>
        </w:rPr>
        <w:t> </w:t>
      </w:r>
      <w:r>
        <w:rPr>
          <w:rFonts w:ascii="Arial"/>
          <w:i/>
          <w:color w:val="231F20"/>
          <w:w w:val="115"/>
          <w:sz w:val="19"/>
        </w:rPr>
        <w:t>my</w:t>
      </w:r>
      <w:r>
        <w:rPr>
          <w:rFonts w:ascii="Arial"/>
          <w:i/>
          <w:color w:val="231F20"/>
          <w:spacing w:val="-1"/>
          <w:w w:val="115"/>
          <w:sz w:val="19"/>
        </w:rPr>
        <w:t> </w:t>
      </w:r>
      <w:r>
        <w:rPr>
          <w:rFonts w:ascii="Arial"/>
          <w:i/>
          <w:color w:val="231F20"/>
          <w:spacing w:val="-2"/>
          <w:w w:val="115"/>
          <w:sz w:val="19"/>
        </w:rPr>
        <w:t>investment?</w:t>
      </w:r>
    </w:p>
    <w:p>
      <w:pPr>
        <w:pStyle w:val="BodyText"/>
        <w:spacing w:line="292" w:lineRule="auto" w:before="60"/>
        <w:ind w:left="830" w:right="756" w:firstLine="340"/>
        <w:jc w:val="both"/>
      </w:pPr>
      <w:r>
        <w:rPr>
          <w:color w:val="231F20"/>
        </w:rPr>
        <w:t>This is another hurdle frequently used by companies to </w:t>
      </w:r>
      <w:r>
        <w:rPr>
          <w:color w:val="231F20"/>
        </w:rPr>
        <w:t>evaluate marketing</w:t>
      </w:r>
      <w:r>
        <w:rPr>
          <w:color w:val="231F20"/>
          <w:spacing w:val="28"/>
        </w:rPr>
        <w:t> </w:t>
      </w:r>
      <w:r>
        <w:rPr>
          <w:color w:val="231F20"/>
        </w:rPr>
        <w:t>projects</w:t>
      </w:r>
      <w:r>
        <w:rPr>
          <w:color w:val="231F20"/>
          <w:spacing w:val="29"/>
        </w:rPr>
        <w:t> </w:t>
      </w:r>
      <w:r>
        <w:rPr>
          <w:color w:val="231F20"/>
        </w:rPr>
        <w:t>when</w:t>
      </w:r>
      <w:r>
        <w:rPr>
          <w:color w:val="231F20"/>
          <w:spacing w:val="28"/>
        </w:rPr>
        <w:t> </w:t>
      </w:r>
      <w:r>
        <w:rPr>
          <w:color w:val="231F20"/>
        </w:rPr>
        <w:t>they</w:t>
      </w:r>
      <w:r>
        <w:rPr>
          <w:color w:val="231F20"/>
          <w:spacing w:val="29"/>
        </w:rPr>
        <w:t> </w:t>
      </w:r>
      <w:r>
        <w:rPr>
          <w:color w:val="231F20"/>
        </w:rPr>
        <w:t>have</w:t>
      </w:r>
      <w:r>
        <w:rPr>
          <w:color w:val="231F20"/>
          <w:spacing w:val="29"/>
        </w:rPr>
        <w:t> </w:t>
      </w:r>
      <w:r>
        <w:rPr>
          <w:color w:val="231F20"/>
        </w:rPr>
        <w:t>many</w:t>
      </w:r>
      <w:r>
        <w:rPr>
          <w:color w:val="231F20"/>
          <w:spacing w:val="28"/>
        </w:rPr>
        <w:t> </w:t>
      </w:r>
      <w:r>
        <w:rPr>
          <w:color w:val="231F20"/>
        </w:rPr>
        <w:t>to</w:t>
      </w:r>
      <w:r>
        <w:rPr>
          <w:color w:val="231F20"/>
          <w:spacing w:val="29"/>
        </w:rPr>
        <w:t> </w:t>
      </w:r>
      <w:r>
        <w:rPr>
          <w:color w:val="231F20"/>
        </w:rPr>
        <w:t>choose</w:t>
      </w:r>
      <w:r>
        <w:rPr>
          <w:color w:val="231F20"/>
          <w:spacing w:val="29"/>
        </w:rPr>
        <w:t> </w:t>
      </w:r>
      <w:r>
        <w:rPr>
          <w:color w:val="231F20"/>
        </w:rPr>
        <w:t>from.</w:t>
      </w:r>
      <w:r>
        <w:rPr>
          <w:color w:val="231F20"/>
          <w:spacing w:val="28"/>
        </w:rPr>
        <w:t> </w:t>
      </w:r>
      <w:r>
        <w:rPr>
          <w:color w:val="231F20"/>
          <w:spacing w:val="-2"/>
        </w:rPr>
        <w:t>Compa-</w:t>
      </w:r>
    </w:p>
    <w:p>
      <w:pPr>
        <w:pStyle w:val="BodyText"/>
        <w:rPr>
          <w:sz w:val="24"/>
        </w:rPr>
      </w:pPr>
    </w:p>
    <w:p>
      <w:pPr>
        <w:spacing w:before="215"/>
        <w:ind w:left="293" w:right="219" w:firstLine="0"/>
        <w:jc w:val="center"/>
        <w:rPr>
          <w:rFonts w:ascii="Arial"/>
          <w:sz w:val="14"/>
        </w:rPr>
      </w:pPr>
      <w:r>
        <w:rPr>
          <w:rFonts w:ascii="Arial"/>
          <w:color w:val="231F20"/>
          <w:w w:val="105"/>
          <w:sz w:val="14"/>
        </w:rPr>
        <w:t>GOURMET</w:t>
      </w:r>
      <w:r>
        <w:rPr>
          <w:rFonts w:ascii="Arial"/>
          <w:color w:val="231F20"/>
          <w:spacing w:val="29"/>
          <w:w w:val="105"/>
          <w:sz w:val="14"/>
        </w:rPr>
        <w:t> </w:t>
      </w:r>
      <w:r>
        <w:rPr>
          <w:rFonts w:ascii="Arial"/>
          <w:color w:val="231F20"/>
          <w:w w:val="105"/>
          <w:sz w:val="14"/>
        </w:rPr>
        <w:t>COFFEE</w:t>
      </w:r>
      <w:r>
        <w:rPr>
          <w:rFonts w:ascii="Arial"/>
          <w:color w:val="231F20"/>
          <w:spacing w:val="30"/>
          <w:w w:val="105"/>
          <w:sz w:val="14"/>
        </w:rPr>
        <w:t> </w:t>
      </w:r>
      <w:r>
        <w:rPr>
          <w:rFonts w:ascii="Arial"/>
          <w:color w:val="231F20"/>
          <w:w w:val="105"/>
          <w:sz w:val="14"/>
        </w:rPr>
        <w:t>MARKETING</w:t>
      </w:r>
      <w:r>
        <w:rPr>
          <w:rFonts w:ascii="Arial"/>
          <w:color w:val="231F20"/>
          <w:spacing w:val="29"/>
          <w:w w:val="105"/>
          <w:sz w:val="14"/>
        </w:rPr>
        <w:t> </w:t>
      </w:r>
      <w:r>
        <w:rPr>
          <w:rFonts w:ascii="Arial"/>
          <w:color w:val="231F20"/>
          <w:w w:val="105"/>
          <w:sz w:val="14"/>
        </w:rPr>
        <w:t>PLAN</w:t>
      </w:r>
      <w:r>
        <w:rPr>
          <w:rFonts w:ascii="Arial"/>
          <w:color w:val="231F20"/>
          <w:spacing w:val="30"/>
          <w:w w:val="105"/>
          <w:sz w:val="14"/>
        </w:rPr>
        <w:t> </w:t>
      </w:r>
      <w:r>
        <w:rPr>
          <w:rFonts w:ascii="Arial"/>
          <w:color w:val="231F20"/>
          <w:spacing w:val="-2"/>
          <w:w w:val="105"/>
          <w:sz w:val="14"/>
        </w:rPr>
        <w:t>ECONOMICS</w:t>
      </w:r>
    </w:p>
    <w:p>
      <w:pPr>
        <w:pStyle w:val="BodyText"/>
        <w:spacing w:before="4"/>
        <w:rPr>
          <w:rFonts w:ascii="Arial"/>
          <w:sz w:val="16"/>
        </w:rPr>
      </w:pPr>
      <w:r>
        <w:rPr/>
        <w:drawing>
          <wp:anchor distT="0" distB="0" distL="0" distR="0" allowOverlap="1" layoutInCell="1" locked="0" behindDoc="0" simplePos="0" relativeHeight="77">
            <wp:simplePos x="0" y="0"/>
            <wp:positionH relativeFrom="page">
              <wp:posOffset>751940</wp:posOffset>
            </wp:positionH>
            <wp:positionV relativeFrom="paragraph">
              <wp:posOffset>135115</wp:posOffset>
            </wp:positionV>
            <wp:extent cx="3938477" cy="2724912"/>
            <wp:effectExtent l="0" t="0" r="0" b="0"/>
            <wp:wrapTopAndBottom/>
            <wp:docPr id="21" name="image12.png"/>
            <wp:cNvGraphicFramePr>
              <a:graphicFrameLocks noChangeAspect="1"/>
            </wp:cNvGraphicFramePr>
            <a:graphic>
              <a:graphicData uri="http://schemas.openxmlformats.org/drawingml/2006/picture">
                <pic:pic>
                  <pic:nvPicPr>
                    <pic:cNvPr id="22" name="image12.png"/>
                    <pic:cNvPicPr/>
                  </pic:nvPicPr>
                  <pic:blipFill>
                    <a:blip r:embed="rId25" cstate="print"/>
                    <a:stretch>
                      <a:fillRect/>
                    </a:stretch>
                  </pic:blipFill>
                  <pic:spPr>
                    <a:xfrm>
                      <a:off x="0" y="0"/>
                      <a:ext cx="3938477" cy="2724912"/>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spacing w:before="9"/>
        <w:rPr>
          <w:rFonts w:ascii="Arial"/>
          <w:sz w:val="18"/>
        </w:rPr>
      </w:pPr>
    </w:p>
    <w:p>
      <w:pPr>
        <w:pStyle w:val="BodyText"/>
        <w:spacing w:line="292" w:lineRule="auto"/>
        <w:ind w:left="830" w:right="756"/>
        <w:jc w:val="both"/>
      </w:pPr>
      <w:r>
        <w:rPr>
          <w:color w:val="231F20"/>
        </w:rPr>
        <w:t>nies want to know how long it will take just to get their </w:t>
      </w:r>
      <w:r>
        <w:rPr>
          <w:color w:val="231F20"/>
        </w:rPr>
        <w:t>investment back. Forget about profit. The payback formula is:</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3132" w:right="2880"/>
        <w:jc w:val="center"/>
      </w:pPr>
      <w:r>
        <w:rPr>
          <w:color w:val="231F20"/>
          <w:u w:val="single" w:color="231F20"/>
        </w:rPr>
        <w:t>Initial</w:t>
      </w:r>
      <w:r>
        <w:rPr>
          <w:color w:val="231F20"/>
          <w:spacing w:val="-9"/>
          <w:u w:val="single" w:color="231F20"/>
        </w:rPr>
        <w:t> </w:t>
      </w:r>
      <w:r>
        <w:rPr>
          <w:color w:val="231F20"/>
          <w:u w:val="single" w:color="231F20"/>
        </w:rPr>
        <w:t>Investment</w:t>
      </w:r>
      <w:r>
        <w:rPr>
          <w:color w:val="231F20"/>
        </w:rPr>
        <w:t> Annual Profit</w:t>
      </w:r>
    </w:p>
    <w:p>
      <w:pPr>
        <w:pStyle w:val="BodyText"/>
        <w:spacing w:before="6"/>
        <w:rPr>
          <w:sz w:val="25"/>
        </w:rPr>
      </w:pPr>
    </w:p>
    <w:p>
      <w:pPr>
        <w:pStyle w:val="BodyText"/>
        <w:ind w:left="1260"/>
      </w:pPr>
      <w:r>
        <w:rPr>
          <w:color w:val="231F20"/>
        </w:rPr>
        <w:t>In</w:t>
      </w:r>
      <w:r>
        <w:rPr>
          <w:color w:val="231F20"/>
          <w:spacing w:val="14"/>
        </w:rPr>
        <w:t> </w:t>
      </w:r>
      <w:r>
        <w:rPr>
          <w:color w:val="231F20"/>
        </w:rPr>
        <w:t>the</w:t>
      </w:r>
      <w:r>
        <w:rPr>
          <w:color w:val="231F20"/>
          <w:spacing w:val="14"/>
        </w:rPr>
        <w:t> </w:t>
      </w:r>
      <w:r>
        <w:rPr>
          <w:color w:val="231F20"/>
        </w:rPr>
        <w:t>coffee</w:t>
      </w:r>
      <w:r>
        <w:rPr>
          <w:color w:val="231F20"/>
          <w:spacing w:val="15"/>
        </w:rPr>
        <w:t> </w:t>
      </w:r>
      <w:r>
        <w:rPr>
          <w:color w:val="231F20"/>
        </w:rPr>
        <w:t>example,</w:t>
      </w:r>
      <w:r>
        <w:rPr>
          <w:color w:val="231F20"/>
          <w:spacing w:val="14"/>
        </w:rPr>
        <w:t> </w:t>
      </w:r>
      <w:r>
        <w:rPr>
          <w:color w:val="231F20"/>
        </w:rPr>
        <w:t>the</w:t>
      </w:r>
      <w:r>
        <w:rPr>
          <w:color w:val="231F20"/>
          <w:spacing w:val="15"/>
        </w:rPr>
        <w:t> </w:t>
      </w:r>
      <w:r>
        <w:rPr>
          <w:color w:val="231F20"/>
        </w:rPr>
        <w:t>calculation</w:t>
      </w:r>
      <w:r>
        <w:rPr>
          <w:color w:val="231F20"/>
          <w:spacing w:val="14"/>
        </w:rPr>
        <w:t> </w:t>
      </w:r>
      <w:r>
        <w:rPr>
          <w:color w:val="231F20"/>
        </w:rPr>
        <w:t>would</w:t>
      </w:r>
      <w:r>
        <w:rPr>
          <w:color w:val="231F20"/>
          <w:spacing w:val="15"/>
        </w:rPr>
        <w:t> </w:t>
      </w:r>
      <w:r>
        <w:rPr>
          <w:color w:val="231F20"/>
          <w:spacing w:val="-5"/>
        </w:rPr>
        <w:t>be:</w:t>
      </w:r>
    </w:p>
    <w:p>
      <w:pPr>
        <w:pStyle w:val="BodyText"/>
        <w:spacing w:before="6"/>
      </w:pPr>
    </w:p>
    <w:p>
      <w:pPr>
        <w:spacing w:after="0"/>
        <w:sectPr>
          <w:pgSz w:w="8640" w:h="12960"/>
          <w:pgMar w:header="734" w:footer="0" w:top="920" w:bottom="280" w:left="340" w:right="500"/>
        </w:sectPr>
      </w:pPr>
    </w:p>
    <w:p>
      <w:pPr>
        <w:pStyle w:val="BodyText"/>
        <w:spacing w:before="101"/>
        <w:jc w:val="right"/>
      </w:pPr>
      <w:r>
        <w:rPr>
          <w:color w:val="231F20"/>
          <w:spacing w:val="-2"/>
          <w:w w:val="105"/>
        </w:rPr>
        <w:t>$212,000</w:t>
      </w:r>
    </w:p>
    <w:p>
      <w:pPr>
        <w:pStyle w:val="BodyText"/>
        <w:spacing w:before="3"/>
        <w:rPr>
          <w:sz w:val="3"/>
        </w:rPr>
      </w:pPr>
    </w:p>
    <w:p>
      <w:pPr>
        <w:pStyle w:val="BodyText"/>
        <w:spacing w:line="20" w:lineRule="exact"/>
        <w:ind w:left="3140" w:right="-72"/>
        <w:rPr>
          <w:sz w:val="2"/>
        </w:rPr>
      </w:pPr>
      <w:r>
        <w:rPr>
          <w:sz w:val="2"/>
        </w:rPr>
        <w:pict>
          <v:group style="width:44.45pt;height:.5pt;mso-position-horizontal-relative:char;mso-position-vertical-relative:line" id="docshapegroup76" coordorigin="0,0" coordsize="889,10">
            <v:line style="position:absolute" from="0,5" to="888,5" stroked="true" strokeweight=".5pt" strokecolor="#231f20">
              <v:stroke dashstyle="solid"/>
            </v:line>
          </v:group>
        </w:pict>
      </w:r>
      <w:r>
        <w:rPr>
          <w:sz w:val="2"/>
        </w:rPr>
      </w:r>
    </w:p>
    <w:p>
      <w:pPr>
        <w:pStyle w:val="BodyText"/>
        <w:ind w:right="56"/>
        <w:jc w:val="right"/>
      </w:pPr>
      <w:r>
        <w:rPr>
          <w:color w:val="231F20"/>
          <w:spacing w:val="-2"/>
          <w:w w:val="105"/>
        </w:rPr>
        <w:t>$30,000</w:t>
      </w:r>
    </w:p>
    <w:p>
      <w:pPr>
        <w:spacing w:line="240" w:lineRule="auto" w:before="5"/>
        <w:rPr>
          <w:sz w:val="20"/>
        </w:rPr>
      </w:pPr>
      <w:r>
        <w:rPr/>
        <w:br w:type="column"/>
      </w:r>
      <w:r>
        <w:rPr>
          <w:sz w:val="20"/>
        </w:rPr>
      </w:r>
    </w:p>
    <w:p>
      <w:pPr>
        <w:pStyle w:val="BodyText"/>
        <w:ind w:left="19"/>
      </w:pPr>
      <w:r>
        <w:rPr>
          <w:rFonts w:ascii="Symbol" w:hAnsi="Symbol"/>
          <w:color w:val="231F20"/>
        </w:rPr>
        <w:t></w:t>
      </w:r>
      <w:r>
        <w:rPr>
          <w:rFonts w:ascii="Times New Roman" w:hAnsi="Times New Roman"/>
          <w:color w:val="231F20"/>
          <w:spacing w:val="1"/>
        </w:rPr>
        <w:t> </w:t>
      </w:r>
      <w:r>
        <w:rPr>
          <w:color w:val="231F20"/>
        </w:rPr>
        <w:t>7</w:t>
      </w:r>
      <w:r>
        <w:rPr>
          <w:color w:val="231F20"/>
          <w:spacing w:val="13"/>
        </w:rPr>
        <w:t> </w:t>
      </w:r>
      <w:r>
        <w:rPr>
          <w:color w:val="231F20"/>
          <w:spacing w:val="-2"/>
        </w:rPr>
        <w:t>years</w:t>
      </w:r>
    </w:p>
    <w:p>
      <w:pPr>
        <w:spacing w:after="0"/>
        <w:sectPr>
          <w:type w:val="continuous"/>
          <w:pgSz w:w="8640" w:h="12960"/>
          <w:pgMar w:header="732" w:footer="0" w:top="1220" w:bottom="280" w:left="340" w:right="500"/>
          <w:cols w:num="2" w:equalWidth="0">
            <w:col w:w="4029" w:space="40"/>
            <w:col w:w="3731"/>
          </w:cols>
        </w:sectPr>
      </w:pPr>
    </w:p>
    <w:p>
      <w:pPr>
        <w:pStyle w:val="BodyText"/>
        <w:spacing w:before="2"/>
      </w:pPr>
    </w:p>
    <w:p>
      <w:pPr>
        <w:pStyle w:val="BodyText"/>
        <w:spacing w:line="292" w:lineRule="auto" w:before="102"/>
        <w:ind w:left="919" w:right="664" w:firstLine="340"/>
        <w:jc w:val="both"/>
      </w:pPr>
      <w:r>
        <w:rPr>
          <w:color w:val="231F20"/>
        </w:rPr>
        <w:t>If the yearly profit is not the same each year, there is no for-</w:t>
      </w:r>
      <w:r>
        <w:rPr>
          <w:color w:val="231F20"/>
          <w:spacing w:val="40"/>
        </w:rPr>
        <w:t> </w:t>
      </w:r>
      <w:r>
        <w:rPr>
          <w:color w:val="231F20"/>
        </w:rPr>
        <w:t>mula. The break-even point is where the plan returns the initial </w:t>
      </w:r>
      <w:r>
        <w:rPr>
          <w:color w:val="231F20"/>
          <w:spacing w:val="-2"/>
        </w:rPr>
        <w:t>investment.</w:t>
      </w:r>
    </w:p>
    <w:p>
      <w:pPr>
        <w:pStyle w:val="BodyText"/>
        <w:spacing w:line="292" w:lineRule="auto"/>
        <w:ind w:left="919" w:right="666" w:firstLine="340"/>
        <w:jc w:val="both"/>
      </w:pPr>
      <w:r>
        <w:rPr>
          <w:color w:val="231F20"/>
        </w:rPr>
        <w:t>Seven years is a bit long for a risky venture. This may indicate that the whole marketing development process should start again. And unfortunately for me it did.</w:t>
      </w:r>
    </w:p>
    <w:p>
      <w:pPr>
        <w:pStyle w:val="BodyText"/>
        <w:rPr>
          <w:sz w:val="24"/>
        </w:rPr>
      </w:pPr>
    </w:p>
    <w:p>
      <w:pPr>
        <w:pStyle w:val="BodyText"/>
        <w:spacing w:before="9"/>
        <w:rPr>
          <w:sz w:val="24"/>
        </w:rPr>
      </w:pPr>
    </w:p>
    <w:p>
      <w:pPr>
        <w:pStyle w:val="Heading4"/>
        <w:numPr>
          <w:ilvl w:val="3"/>
          <w:numId w:val="12"/>
        </w:numPr>
        <w:tabs>
          <w:tab w:pos="2583" w:val="left" w:leader="none"/>
        </w:tabs>
        <w:spacing w:line="240" w:lineRule="auto" w:before="0" w:after="0"/>
        <w:ind w:left="2582" w:right="0" w:hanging="268"/>
        <w:jc w:val="left"/>
      </w:pPr>
      <w:r>
        <w:rPr/>
        <w:pict>
          <v:shape style="position:absolute;margin-left:113.933578pt;margin-top:36.315327pt;width:9.35pt;height:3.5pt;mso-position-horizontal-relative:page;mso-position-vertical-relative:paragraph;z-index:-25188864" id="docshape77" coordorigin="2279,726" coordsize="187,70" path="m2403,726l2398,737,2442,755,2279,755,2279,767,2442,767,2398,784,2403,795,2465,769,2465,753,2403,726xe" filled="true" fillcolor="#231f20" stroked="false">
            <v:path arrowok="t"/>
            <v:fill type="solid"/>
            <w10:wrap type="none"/>
          </v:shape>
        </w:pict>
      </w:r>
      <w:r>
        <w:rPr/>
        <w:pict>
          <v:shape style="position:absolute;margin-left:164.787384pt;margin-top:36.315327pt;width:9.35pt;height:3.5pt;mso-position-horizontal-relative:page;mso-position-vertical-relative:paragraph;z-index:-25188352" id="docshape78" coordorigin="3296,726" coordsize="187,70" path="m3420,726l3415,737,3459,755,3296,755,3296,767,3459,767,3415,784,3420,795,3482,769,3482,753,3420,726xe" filled="true" fillcolor="#231f20" stroked="false">
            <v:path arrowok="t"/>
            <v:fill type="solid"/>
            <w10:wrap type="none"/>
          </v:shape>
        </w:pict>
      </w:r>
      <w:r>
        <w:rPr/>
        <w:pict>
          <v:shape style="position:absolute;margin-left:239.294724pt;margin-top:36.315327pt;width:9.35pt;height:3.5pt;mso-position-horizontal-relative:page;mso-position-vertical-relative:paragraph;z-index:-25187840" id="docshape79" coordorigin="4786,726" coordsize="187,70" path="m4910,726l4905,737,4949,755,4786,755,4786,767,4949,767,4905,784,4910,795,4972,769,4972,753,4910,726xe" filled="true" fillcolor="#231f20" stroked="false">
            <v:path arrowok="t"/>
            <v:fill type="solid"/>
            <w10:wrap type="none"/>
          </v:shape>
        </w:pict>
      </w:r>
      <w:r>
        <w:rPr/>
        <w:pict>
          <v:shape style="position:absolute;margin-left:312.054504pt;margin-top:36.315327pt;width:9.35pt;height:3.5pt;mso-position-horizontal-relative:page;mso-position-vertical-relative:paragraph;z-index:-25187328" id="docshape80" coordorigin="6241,726" coordsize="187,70" path="m6365,726l6360,737,6404,755,6241,755,6241,767,6404,767,6360,784,6365,795,6427,769,6427,753,6365,726xe" filled="true" fillcolor="#231f20" stroked="false">
            <v:path arrowok="t"/>
            <v:fill type="solid"/>
            <w10:wrap type="none"/>
          </v:shape>
        </w:pict>
      </w:r>
      <w:r>
        <w:rPr>
          <w:color w:val="231F20"/>
          <w:w w:val="85"/>
        </w:rPr>
        <w:t>GO</w:t>
      </w:r>
      <w:r>
        <w:rPr>
          <w:color w:val="231F20"/>
          <w:spacing w:val="22"/>
        </w:rPr>
        <w:t> </w:t>
      </w:r>
      <w:r>
        <w:rPr>
          <w:color w:val="231F20"/>
          <w:w w:val="85"/>
        </w:rPr>
        <w:t>BACK</w:t>
      </w:r>
      <w:r>
        <w:rPr>
          <w:color w:val="231F20"/>
          <w:spacing w:val="22"/>
        </w:rPr>
        <w:t> </w:t>
      </w:r>
      <w:r>
        <w:rPr>
          <w:color w:val="231F20"/>
          <w:w w:val="85"/>
        </w:rPr>
        <w:t>AND</w:t>
      </w:r>
      <w:r>
        <w:rPr>
          <w:color w:val="231F20"/>
          <w:spacing w:val="23"/>
        </w:rPr>
        <w:t> </w:t>
      </w:r>
      <w:r>
        <w:rPr>
          <w:color w:val="231F20"/>
          <w:spacing w:val="9"/>
          <w:w w:val="85"/>
        </w:rPr>
        <w:t>REVISE</w:t>
      </w:r>
      <w:r>
        <w:rPr>
          <w:color w:val="231F20"/>
          <w:spacing w:val="22"/>
        </w:rPr>
        <w:t> </w:t>
      </w:r>
      <w:r>
        <w:rPr>
          <w:color w:val="231F20"/>
          <w:w w:val="85"/>
        </w:rPr>
        <w:t>THE</w:t>
      </w:r>
      <w:r>
        <w:rPr>
          <w:color w:val="231F20"/>
          <w:spacing w:val="22"/>
        </w:rPr>
        <w:t> </w:t>
      </w:r>
      <w:r>
        <w:rPr>
          <w:color w:val="231F20"/>
          <w:spacing w:val="7"/>
          <w:w w:val="85"/>
        </w:rPr>
        <w:t>PLAN</w:t>
      </w:r>
    </w:p>
    <w:p>
      <w:pPr>
        <w:pStyle w:val="BodyText"/>
        <w:spacing w:before="9"/>
        <w:rPr>
          <w:rFonts w:ascii="Trebuchet MS"/>
          <w:sz w:val="29"/>
        </w:rPr>
      </w:pP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41"/>
        <w:gridCol w:w="1629"/>
        <w:gridCol w:w="1456"/>
        <w:gridCol w:w="1187"/>
      </w:tblGrid>
      <w:tr>
        <w:trPr>
          <w:trHeight w:val="272" w:hRule="atLeast"/>
        </w:trPr>
        <w:tc>
          <w:tcPr>
            <w:tcW w:w="2041" w:type="dxa"/>
          </w:tcPr>
          <w:p>
            <w:pPr>
              <w:pStyle w:val="TableParagraph"/>
              <w:tabs>
                <w:tab w:pos="1327" w:val="left" w:leader="none"/>
              </w:tabs>
              <w:spacing w:before="1"/>
              <w:ind w:left="50"/>
              <w:jc w:val="left"/>
              <w:rPr>
                <w:sz w:val="21"/>
              </w:rPr>
            </w:pPr>
            <w:r>
              <w:rPr>
                <w:color w:val="231F20"/>
                <w:spacing w:val="-2"/>
                <w:w w:val="105"/>
                <w:sz w:val="21"/>
              </w:rPr>
              <w:t>Consumer</w:t>
            </w:r>
            <w:r>
              <w:rPr>
                <w:color w:val="231F20"/>
                <w:sz w:val="21"/>
              </w:rPr>
              <w:tab/>
            </w:r>
            <w:r>
              <w:rPr>
                <w:color w:val="231F20"/>
                <w:spacing w:val="-2"/>
                <w:w w:val="105"/>
                <w:sz w:val="21"/>
              </w:rPr>
              <w:t>Market</w:t>
            </w:r>
          </w:p>
        </w:tc>
        <w:tc>
          <w:tcPr>
            <w:tcW w:w="1629" w:type="dxa"/>
          </w:tcPr>
          <w:p>
            <w:pPr>
              <w:pStyle w:val="TableParagraph"/>
              <w:spacing w:before="1"/>
              <w:ind w:right="164"/>
              <w:jc w:val="right"/>
              <w:rPr>
                <w:sz w:val="21"/>
              </w:rPr>
            </w:pPr>
            <w:r>
              <w:rPr>
                <w:color w:val="231F20"/>
                <w:spacing w:val="-2"/>
                <w:w w:val="105"/>
                <w:sz w:val="21"/>
              </w:rPr>
              <w:t>Competition</w:t>
            </w:r>
          </w:p>
        </w:tc>
        <w:tc>
          <w:tcPr>
            <w:tcW w:w="1456" w:type="dxa"/>
          </w:tcPr>
          <w:p>
            <w:pPr>
              <w:pStyle w:val="TableParagraph"/>
              <w:spacing w:before="1"/>
              <w:ind w:left="164"/>
              <w:jc w:val="left"/>
              <w:rPr>
                <w:sz w:val="21"/>
              </w:rPr>
            </w:pPr>
            <w:r>
              <w:rPr>
                <w:color w:val="231F20"/>
                <w:spacing w:val="-2"/>
                <w:sz w:val="21"/>
              </w:rPr>
              <w:t>Distribution</w:t>
            </w:r>
          </w:p>
        </w:tc>
        <w:tc>
          <w:tcPr>
            <w:tcW w:w="1187" w:type="dxa"/>
          </w:tcPr>
          <w:p>
            <w:pPr>
              <w:pStyle w:val="TableParagraph"/>
              <w:spacing w:before="1"/>
              <w:ind w:left="163"/>
              <w:jc w:val="left"/>
              <w:rPr>
                <w:sz w:val="21"/>
              </w:rPr>
            </w:pPr>
            <w:r>
              <w:rPr>
                <w:color w:val="231F20"/>
                <w:spacing w:val="-2"/>
                <w:w w:val="105"/>
                <w:sz w:val="21"/>
              </w:rPr>
              <w:t>Marketing</w:t>
            </w:r>
          </w:p>
        </w:tc>
      </w:tr>
      <w:tr>
        <w:trPr>
          <w:trHeight w:val="277" w:hRule="atLeast"/>
        </w:trPr>
        <w:tc>
          <w:tcPr>
            <w:tcW w:w="2041" w:type="dxa"/>
          </w:tcPr>
          <w:p>
            <w:pPr>
              <w:pStyle w:val="TableParagraph"/>
              <w:tabs>
                <w:tab w:pos="757" w:val="left" w:leader="none"/>
              </w:tabs>
              <w:spacing w:line="228" w:lineRule="exact" w:before="29"/>
              <w:ind w:left="50"/>
              <w:jc w:val="left"/>
              <w:rPr>
                <w:sz w:val="21"/>
              </w:rPr>
            </w:pPr>
            <w:r>
              <w:rPr>
                <w:color w:val="231F20"/>
                <w:spacing w:val="-5"/>
                <w:w w:val="110"/>
                <w:sz w:val="21"/>
              </w:rPr>
              <w:t>Mix</w:t>
            </w:r>
            <w:r>
              <w:rPr>
                <w:color w:val="231F20"/>
                <w:sz w:val="21"/>
              </w:rPr>
              <w:tab/>
            </w:r>
            <w:r>
              <w:rPr>
                <w:color w:val="231F20"/>
                <w:spacing w:val="-2"/>
                <w:w w:val="110"/>
                <w:sz w:val="21"/>
              </w:rPr>
              <w:t>Economics</w:t>
            </w:r>
          </w:p>
        </w:tc>
        <w:tc>
          <w:tcPr>
            <w:tcW w:w="1629" w:type="dxa"/>
          </w:tcPr>
          <w:p>
            <w:pPr>
              <w:pStyle w:val="TableParagraph"/>
              <w:spacing w:line="228" w:lineRule="exact" w:before="29"/>
              <w:ind w:right="215"/>
              <w:jc w:val="right"/>
              <w:rPr>
                <w:b/>
                <w:sz w:val="21"/>
              </w:rPr>
            </w:pPr>
            <w:r>
              <w:rPr>
                <w:b/>
                <w:color w:val="231F20"/>
                <w:w w:val="95"/>
                <w:sz w:val="21"/>
              </w:rPr>
              <w:t>Revise</w:t>
            </w:r>
            <w:r>
              <w:rPr>
                <w:b/>
                <w:color w:val="231F20"/>
                <w:spacing w:val="-5"/>
                <w:w w:val="95"/>
                <w:sz w:val="21"/>
              </w:rPr>
              <w:t> </w:t>
            </w:r>
            <w:r>
              <w:rPr>
                <w:b/>
                <w:color w:val="231F20"/>
                <w:w w:val="95"/>
                <w:sz w:val="21"/>
              </w:rPr>
              <w:t>the</w:t>
            </w:r>
            <w:r>
              <w:rPr>
                <w:b/>
                <w:color w:val="231F20"/>
                <w:spacing w:val="-5"/>
                <w:w w:val="95"/>
                <w:sz w:val="21"/>
              </w:rPr>
              <w:t> </w:t>
            </w:r>
            <w:r>
              <w:rPr>
                <w:b/>
                <w:color w:val="231F20"/>
                <w:spacing w:val="-4"/>
                <w:w w:val="95"/>
                <w:sz w:val="21"/>
              </w:rPr>
              <w:t>Plan</w:t>
            </w:r>
          </w:p>
        </w:tc>
        <w:tc>
          <w:tcPr>
            <w:tcW w:w="1456" w:type="dxa"/>
          </w:tcPr>
          <w:p>
            <w:pPr>
              <w:pStyle w:val="TableParagraph"/>
              <w:spacing w:before="0"/>
              <w:jc w:val="left"/>
              <w:rPr>
                <w:rFonts w:ascii="Times New Roman"/>
                <w:sz w:val="20"/>
              </w:rPr>
            </w:pPr>
          </w:p>
        </w:tc>
        <w:tc>
          <w:tcPr>
            <w:tcW w:w="1187" w:type="dxa"/>
          </w:tcPr>
          <w:p>
            <w:pPr>
              <w:pStyle w:val="TableParagraph"/>
              <w:spacing w:before="0"/>
              <w:jc w:val="left"/>
              <w:rPr>
                <w:rFonts w:ascii="Times New Roman"/>
                <w:sz w:val="20"/>
              </w:rPr>
            </w:pPr>
          </w:p>
        </w:tc>
      </w:tr>
    </w:tbl>
    <w:p>
      <w:pPr>
        <w:pStyle w:val="BodyText"/>
        <w:spacing w:before="4"/>
        <w:rPr>
          <w:rFonts w:ascii="Trebuchet MS"/>
          <w:sz w:val="30"/>
        </w:rPr>
      </w:pPr>
    </w:p>
    <w:p>
      <w:pPr>
        <w:pStyle w:val="BodyText"/>
        <w:spacing w:line="292" w:lineRule="auto"/>
        <w:ind w:left="919" w:right="664" w:firstLine="340"/>
        <w:jc w:val="both"/>
      </w:pPr>
      <w:r>
        <w:rPr/>
        <w:pict>
          <v:shape style="position:absolute;margin-left:85.787041pt;margin-top:-24.975157pt;width:9.35pt;height:3.5pt;mso-position-horizontal-relative:page;mso-position-vertical-relative:paragraph;z-index:-25186816" id="docshape81" coordorigin="1716,-500" coordsize="187,70" path="m1840,-500l1835,-489,1879,-471,1716,-471,1716,-459,1879,-459,1835,-441,1840,-430,1902,-457,1902,-473,1840,-500xe" filled="true" fillcolor="#231f20" stroked="false">
            <v:path arrowok="t"/>
            <v:fill type="solid"/>
            <w10:wrap type="none"/>
          </v:shape>
        </w:pict>
      </w:r>
      <w:r>
        <w:rPr/>
        <w:pict>
          <v:shape style="position:absolute;margin-left:151.302475pt;margin-top:-24.975157pt;width:9.35pt;height:3.5pt;mso-position-horizontal-relative:page;mso-position-vertical-relative:paragraph;z-index:-25186304" id="docshape82" coordorigin="3026,-500" coordsize="187,70" path="m3150,-500l3145,-489,3189,-471,3026,-471,3026,-459,3189,-459,3145,-441,3150,-430,3212,-457,3212,-473,3150,-500xe" filled="true" fillcolor="#231f20" stroked="false">
            <v:path arrowok="t"/>
            <v:fill type="solid"/>
            <w10:wrap type="none"/>
          </v:shape>
        </w:pict>
      </w:r>
      <w:r>
        <w:rPr>
          <w:color w:val="231F20"/>
          <w:w w:val="105"/>
        </w:rPr>
        <w:t>At</w:t>
      </w:r>
      <w:r>
        <w:rPr>
          <w:color w:val="231F20"/>
          <w:spacing w:val="-8"/>
          <w:w w:val="105"/>
        </w:rPr>
        <w:t> </w:t>
      </w:r>
      <w:r>
        <w:rPr>
          <w:color w:val="231F20"/>
          <w:w w:val="105"/>
        </w:rPr>
        <w:t>this</w:t>
      </w:r>
      <w:r>
        <w:rPr>
          <w:color w:val="231F20"/>
          <w:spacing w:val="-8"/>
          <w:w w:val="105"/>
        </w:rPr>
        <w:t> </w:t>
      </w:r>
      <w:r>
        <w:rPr>
          <w:color w:val="231F20"/>
          <w:w w:val="105"/>
        </w:rPr>
        <w:t>stage</w:t>
      </w:r>
      <w:r>
        <w:rPr>
          <w:color w:val="231F20"/>
          <w:spacing w:val="-8"/>
          <w:w w:val="105"/>
        </w:rPr>
        <w:t> </w:t>
      </w:r>
      <w:r>
        <w:rPr>
          <w:color w:val="231F20"/>
          <w:w w:val="105"/>
        </w:rPr>
        <w:t>of</w:t>
      </w:r>
      <w:r>
        <w:rPr>
          <w:color w:val="231F20"/>
          <w:spacing w:val="-8"/>
          <w:w w:val="105"/>
        </w:rPr>
        <w:t> </w:t>
      </w:r>
      <w:r>
        <w:rPr>
          <w:color w:val="231F20"/>
          <w:w w:val="105"/>
        </w:rPr>
        <w:t>disappointment,</w:t>
      </w:r>
      <w:r>
        <w:rPr>
          <w:color w:val="231F20"/>
          <w:spacing w:val="-8"/>
          <w:w w:val="105"/>
        </w:rPr>
        <w:t> </w:t>
      </w:r>
      <w:r>
        <w:rPr>
          <w:color w:val="231F20"/>
          <w:w w:val="105"/>
        </w:rPr>
        <w:t>I</w:t>
      </w:r>
      <w:r>
        <w:rPr>
          <w:color w:val="231F20"/>
          <w:spacing w:val="-8"/>
          <w:w w:val="105"/>
        </w:rPr>
        <w:t> </w:t>
      </w:r>
      <w:r>
        <w:rPr>
          <w:color w:val="231F20"/>
          <w:w w:val="105"/>
        </w:rPr>
        <w:t>revisited</w:t>
      </w:r>
      <w:r>
        <w:rPr>
          <w:color w:val="231F20"/>
          <w:spacing w:val="-8"/>
          <w:w w:val="105"/>
        </w:rPr>
        <w:t> </w:t>
      </w:r>
      <w:r>
        <w:rPr>
          <w:color w:val="231F20"/>
          <w:w w:val="105"/>
        </w:rPr>
        <w:t>the</w:t>
      </w:r>
      <w:r>
        <w:rPr>
          <w:color w:val="231F20"/>
          <w:spacing w:val="-8"/>
          <w:w w:val="105"/>
        </w:rPr>
        <w:t> </w:t>
      </w:r>
      <w:r>
        <w:rPr>
          <w:i/>
          <w:color w:val="231F20"/>
          <w:w w:val="105"/>
        </w:rPr>
        <w:t>marketing</w:t>
      </w:r>
      <w:r>
        <w:rPr>
          <w:i/>
          <w:color w:val="231F20"/>
          <w:spacing w:val="-8"/>
          <w:w w:val="105"/>
        </w:rPr>
        <w:t> </w:t>
      </w:r>
      <w:r>
        <w:rPr>
          <w:i/>
          <w:color w:val="231F20"/>
          <w:w w:val="105"/>
        </w:rPr>
        <w:t>strat-</w:t>
      </w:r>
      <w:r>
        <w:rPr>
          <w:i/>
          <w:color w:val="231F20"/>
          <w:w w:val="105"/>
        </w:rPr>
        <w:t> egy</w:t>
      </w:r>
      <w:r>
        <w:rPr>
          <w:i/>
          <w:color w:val="231F20"/>
          <w:w w:val="105"/>
        </w:rPr>
        <w:t> development</w:t>
      </w:r>
      <w:r>
        <w:rPr>
          <w:i/>
          <w:color w:val="231F20"/>
          <w:w w:val="105"/>
        </w:rPr>
        <w:t> process</w:t>
      </w:r>
      <w:r>
        <w:rPr>
          <w:i/>
          <w:color w:val="231F20"/>
          <w:w w:val="105"/>
        </w:rPr>
        <w:t> </w:t>
      </w:r>
      <w:r>
        <w:rPr>
          <w:color w:val="231F20"/>
          <w:w w:val="105"/>
        </w:rPr>
        <w:t>outlined</w:t>
      </w:r>
      <w:r>
        <w:rPr>
          <w:color w:val="231F20"/>
          <w:w w:val="105"/>
        </w:rPr>
        <w:t> at</w:t>
      </w:r>
      <w:r>
        <w:rPr>
          <w:color w:val="231F20"/>
          <w:w w:val="105"/>
        </w:rPr>
        <w:t> the</w:t>
      </w:r>
      <w:r>
        <w:rPr>
          <w:color w:val="231F20"/>
          <w:w w:val="105"/>
        </w:rPr>
        <w:t> beginning</w:t>
      </w:r>
      <w:r>
        <w:rPr>
          <w:color w:val="231F20"/>
          <w:w w:val="105"/>
        </w:rPr>
        <w:t> of</w:t>
      </w:r>
      <w:r>
        <w:rPr>
          <w:color w:val="231F20"/>
          <w:w w:val="105"/>
        </w:rPr>
        <w:t> this</w:t>
      </w:r>
      <w:r>
        <w:rPr>
          <w:color w:val="231F20"/>
          <w:w w:val="105"/>
        </w:rPr>
        <w:t> chapter. In</w:t>
      </w:r>
      <w:r>
        <w:rPr>
          <w:color w:val="231F20"/>
          <w:w w:val="105"/>
        </w:rPr>
        <w:t> circumstances</w:t>
      </w:r>
      <w:r>
        <w:rPr>
          <w:color w:val="231F20"/>
          <w:w w:val="105"/>
        </w:rPr>
        <w:t> such</w:t>
      </w:r>
      <w:r>
        <w:rPr>
          <w:color w:val="231F20"/>
          <w:w w:val="105"/>
        </w:rPr>
        <w:t> as</w:t>
      </w:r>
      <w:r>
        <w:rPr>
          <w:color w:val="231F20"/>
          <w:w w:val="105"/>
        </w:rPr>
        <w:t> those</w:t>
      </w:r>
      <w:r>
        <w:rPr>
          <w:color w:val="231F20"/>
          <w:w w:val="105"/>
        </w:rPr>
        <w:t> I</w:t>
      </w:r>
      <w:r>
        <w:rPr>
          <w:color w:val="231F20"/>
          <w:w w:val="105"/>
        </w:rPr>
        <w:t> faced,</w:t>
      </w:r>
      <w:r>
        <w:rPr>
          <w:color w:val="231F20"/>
          <w:w w:val="105"/>
        </w:rPr>
        <w:t> you</w:t>
      </w:r>
      <w:r>
        <w:rPr>
          <w:color w:val="231F20"/>
          <w:w w:val="105"/>
        </w:rPr>
        <w:t> must</w:t>
      </w:r>
      <w:r>
        <w:rPr>
          <w:color w:val="231F20"/>
          <w:w w:val="105"/>
        </w:rPr>
        <w:t> either</w:t>
      </w:r>
      <w:r>
        <w:rPr>
          <w:color w:val="231F20"/>
          <w:w w:val="105"/>
        </w:rPr>
        <w:t> tweak</w:t>
      </w:r>
      <w:r>
        <w:rPr>
          <w:color w:val="231F20"/>
          <w:w w:val="105"/>
        </w:rPr>
        <w:t> or discard</w:t>
      </w:r>
      <w:r>
        <w:rPr>
          <w:color w:val="231F20"/>
          <w:w w:val="105"/>
        </w:rPr>
        <w:t> your</w:t>
      </w:r>
      <w:r>
        <w:rPr>
          <w:color w:val="231F20"/>
          <w:w w:val="105"/>
        </w:rPr>
        <w:t> plans</w:t>
      </w:r>
      <w:r>
        <w:rPr>
          <w:color w:val="231F20"/>
          <w:w w:val="105"/>
        </w:rPr>
        <w:t> entirely.</w:t>
      </w:r>
      <w:r>
        <w:rPr>
          <w:color w:val="231F20"/>
          <w:w w:val="105"/>
        </w:rPr>
        <w:t> You</w:t>
      </w:r>
      <w:r>
        <w:rPr>
          <w:color w:val="231F20"/>
          <w:w w:val="105"/>
        </w:rPr>
        <w:t> may</w:t>
      </w:r>
      <w:r>
        <w:rPr>
          <w:color w:val="231F20"/>
          <w:w w:val="105"/>
        </w:rPr>
        <w:t> have</w:t>
      </w:r>
      <w:r>
        <w:rPr>
          <w:color w:val="231F20"/>
          <w:w w:val="105"/>
        </w:rPr>
        <w:t> something</w:t>
      </w:r>
      <w:r>
        <w:rPr>
          <w:color w:val="231F20"/>
          <w:w w:val="105"/>
        </w:rPr>
        <w:t> that</w:t>
      </w:r>
      <w:r>
        <w:rPr>
          <w:color w:val="231F20"/>
          <w:w w:val="105"/>
        </w:rPr>
        <w:t> can</w:t>
      </w:r>
      <w:r>
        <w:rPr>
          <w:color w:val="231F20"/>
          <w:w w:val="105"/>
        </w:rPr>
        <w:t> be salvaged . . . if</w:t>
      </w:r>
      <w:r>
        <w:rPr>
          <w:color w:val="231F20"/>
          <w:w w:val="105"/>
        </w:rPr>
        <w:t> you’re</w:t>
      </w:r>
      <w:r>
        <w:rPr>
          <w:color w:val="231F20"/>
          <w:w w:val="105"/>
        </w:rPr>
        <w:t> lucky.</w:t>
      </w:r>
      <w:r>
        <w:rPr>
          <w:color w:val="231F20"/>
          <w:w w:val="105"/>
        </w:rPr>
        <w:t> You</w:t>
      </w:r>
      <w:r>
        <w:rPr>
          <w:color w:val="231F20"/>
          <w:w w:val="105"/>
        </w:rPr>
        <w:t> have</w:t>
      </w:r>
      <w:r>
        <w:rPr>
          <w:color w:val="231F20"/>
          <w:w w:val="105"/>
        </w:rPr>
        <w:t> to</w:t>
      </w:r>
      <w:r>
        <w:rPr>
          <w:color w:val="231F20"/>
          <w:w w:val="105"/>
        </w:rPr>
        <w:t> start</w:t>
      </w:r>
      <w:r>
        <w:rPr>
          <w:color w:val="231F20"/>
          <w:w w:val="105"/>
        </w:rPr>
        <w:t> by</w:t>
      </w:r>
      <w:r>
        <w:rPr>
          <w:color w:val="231F20"/>
          <w:w w:val="105"/>
        </w:rPr>
        <w:t> asking</w:t>
      </w:r>
      <w:r>
        <w:rPr>
          <w:color w:val="231F20"/>
          <w:w w:val="105"/>
        </w:rPr>
        <w:t> yourself </w:t>
      </w:r>
      <w:r>
        <w:rPr>
          <w:color w:val="231F20"/>
        </w:rPr>
        <w:t>tough questions. In the case of the coffee project I tormented myself </w:t>
      </w:r>
      <w:r>
        <w:rPr>
          <w:color w:val="231F20"/>
          <w:spacing w:val="-2"/>
          <w:w w:val="105"/>
        </w:rPr>
        <w:t>with:</w:t>
      </w:r>
    </w:p>
    <w:p>
      <w:pPr>
        <w:pStyle w:val="BodyText"/>
        <w:spacing w:before="2"/>
        <w:rPr>
          <w:sz w:val="27"/>
        </w:rPr>
      </w:pPr>
    </w:p>
    <w:p>
      <w:pPr>
        <w:spacing w:before="0"/>
        <w:ind w:left="1260" w:right="0" w:firstLine="0"/>
        <w:jc w:val="left"/>
        <w:rPr>
          <w:rFonts w:ascii="Arial"/>
          <w:sz w:val="19"/>
        </w:rPr>
      </w:pPr>
      <w:r>
        <w:rPr>
          <w:rFonts w:ascii="Arial"/>
          <w:color w:val="231F20"/>
          <w:w w:val="110"/>
          <w:sz w:val="19"/>
        </w:rPr>
        <w:t>Should</w:t>
      </w:r>
      <w:r>
        <w:rPr>
          <w:rFonts w:ascii="Arial"/>
          <w:color w:val="231F20"/>
          <w:spacing w:val="21"/>
          <w:w w:val="110"/>
          <w:sz w:val="19"/>
        </w:rPr>
        <w:t> </w:t>
      </w:r>
      <w:r>
        <w:rPr>
          <w:rFonts w:ascii="Arial"/>
          <w:color w:val="231F20"/>
          <w:w w:val="110"/>
          <w:sz w:val="19"/>
        </w:rPr>
        <w:t>I</w:t>
      </w:r>
      <w:r>
        <w:rPr>
          <w:rFonts w:ascii="Arial"/>
          <w:color w:val="231F20"/>
          <w:spacing w:val="22"/>
          <w:w w:val="110"/>
          <w:sz w:val="19"/>
        </w:rPr>
        <w:t> </w:t>
      </w:r>
      <w:r>
        <w:rPr>
          <w:rFonts w:ascii="Arial"/>
          <w:color w:val="231F20"/>
          <w:w w:val="110"/>
          <w:sz w:val="19"/>
        </w:rPr>
        <w:t>target</w:t>
      </w:r>
      <w:r>
        <w:rPr>
          <w:rFonts w:ascii="Arial"/>
          <w:color w:val="231F20"/>
          <w:spacing w:val="22"/>
          <w:w w:val="110"/>
          <w:sz w:val="19"/>
        </w:rPr>
        <w:t> </w:t>
      </w:r>
      <w:r>
        <w:rPr>
          <w:rFonts w:ascii="Arial"/>
          <w:color w:val="231F20"/>
          <w:w w:val="110"/>
          <w:sz w:val="19"/>
        </w:rPr>
        <w:t>another</w:t>
      </w:r>
      <w:r>
        <w:rPr>
          <w:rFonts w:ascii="Arial"/>
          <w:color w:val="231F20"/>
          <w:spacing w:val="22"/>
          <w:w w:val="110"/>
          <w:sz w:val="19"/>
        </w:rPr>
        <w:t> </w:t>
      </w:r>
      <w:r>
        <w:rPr>
          <w:rFonts w:ascii="Arial"/>
          <w:color w:val="231F20"/>
          <w:spacing w:val="-2"/>
          <w:w w:val="110"/>
          <w:sz w:val="19"/>
        </w:rPr>
        <w:t>segment?</w:t>
      </w:r>
    </w:p>
    <w:p>
      <w:pPr>
        <w:spacing w:before="82"/>
        <w:ind w:left="1260" w:right="0" w:firstLine="0"/>
        <w:jc w:val="left"/>
        <w:rPr>
          <w:rFonts w:ascii="Arial"/>
          <w:sz w:val="19"/>
        </w:rPr>
      </w:pPr>
      <w:r>
        <w:rPr>
          <w:rFonts w:ascii="Arial"/>
          <w:color w:val="231F20"/>
          <w:w w:val="115"/>
          <w:sz w:val="19"/>
        </w:rPr>
        <w:t>Is</w:t>
      </w:r>
      <w:r>
        <w:rPr>
          <w:rFonts w:ascii="Arial"/>
          <w:color w:val="231F20"/>
          <w:spacing w:val="-5"/>
          <w:w w:val="115"/>
          <w:sz w:val="19"/>
        </w:rPr>
        <w:t> </w:t>
      </w:r>
      <w:r>
        <w:rPr>
          <w:rFonts w:ascii="Arial"/>
          <w:color w:val="231F20"/>
          <w:w w:val="115"/>
          <w:sz w:val="19"/>
        </w:rPr>
        <w:t>the</w:t>
      </w:r>
      <w:r>
        <w:rPr>
          <w:rFonts w:ascii="Arial"/>
          <w:color w:val="231F20"/>
          <w:spacing w:val="-5"/>
          <w:w w:val="115"/>
          <w:sz w:val="19"/>
        </w:rPr>
        <w:t> </w:t>
      </w:r>
      <w:r>
        <w:rPr>
          <w:rFonts w:ascii="Arial"/>
          <w:color w:val="231F20"/>
          <w:w w:val="115"/>
          <w:sz w:val="19"/>
        </w:rPr>
        <w:t>mail</w:t>
      </w:r>
      <w:r>
        <w:rPr>
          <w:rFonts w:ascii="Arial"/>
          <w:color w:val="231F20"/>
          <w:spacing w:val="-4"/>
          <w:w w:val="115"/>
          <w:sz w:val="19"/>
        </w:rPr>
        <w:t> </w:t>
      </w:r>
      <w:r>
        <w:rPr>
          <w:rFonts w:ascii="Arial"/>
          <w:color w:val="231F20"/>
          <w:w w:val="115"/>
          <w:sz w:val="19"/>
        </w:rPr>
        <w:t>order</w:t>
      </w:r>
      <w:r>
        <w:rPr>
          <w:rFonts w:ascii="Arial"/>
          <w:color w:val="231F20"/>
          <w:spacing w:val="-5"/>
          <w:w w:val="115"/>
          <w:sz w:val="19"/>
        </w:rPr>
        <w:t> </w:t>
      </w:r>
      <w:r>
        <w:rPr>
          <w:rFonts w:ascii="Arial"/>
          <w:color w:val="231F20"/>
          <w:w w:val="115"/>
          <w:sz w:val="19"/>
        </w:rPr>
        <w:t>distribution</w:t>
      </w:r>
      <w:r>
        <w:rPr>
          <w:rFonts w:ascii="Arial"/>
          <w:color w:val="231F20"/>
          <w:spacing w:val="-5"/>
          <w:w w:val="115"/>
          <w:sz w:val="19"/>
        </w:rPr>
        <w:t> </w:t>
      </w:r>
      <w:r>
        <w:rPr>
          <w:rFonts w:ascii="Arial"/>
          <w:color w:val="231F20"/>
          <w:w w:val="115"/>
          <w:sz w:val="19"/>
        </w:rPr>
        <w:t>channel</w:t>
      </w:r>
      <w:r>
        <w:rPr>
          <w:rFonts w:ascii="Arial"/>
          <w:color w:val="231F20"/>
          <w:spacing w:val="-4"/>
          <w:w w:val="115"/>
          <w:sz w:val="19"/>
        </w:rPr>
        <w:t> </w:t>
      </w:r>
      <w:r>
        <w:rPr>
          <w:rFonts w:ascii="Arial"/>
          <w:color w:val="231F20"/>
          <w:w w:val="115"/>
          <w:sz w:val="19"/>
        </w:rPr>
        <w:t>an</w:t>
      </w:r>
      <w:r>
        <w:rPr>
          <w:rFonts w:ascii="Arial"/>
          <w:color w:val="231F20"/>
          <w:spacing w:val="-5"/>
          <w:w w:val="115"/>
          <w:sz w:val="19"/>
        </w:rPr>
        <w:t> </w:t>
      </w:r>
      <w:r>
        <w:rPr>
          <w:rFonts w:ascii="Arial"/>
          <w:color w:val="231F20"/>
          <w:spacing w:val="-2"/>
          <w:w w:val="115"/>
          <w:sz w:val="19"/>
        </w:rPr>
        <w:t>option?</w:t>
      </w:r>
    </w:p>
    <w:p>
      <w:pPr>
        <w:spacing w:line="328" w:lineRule="auto" w:before="81"/>
        <w:ind w:left="1600" w:right="667" w:hanging="340"/>
        <w:jc w:val="left"/>
        <w:rPr>
          <w:rFonts w:ascii="Arial"/>
          <w:sz w:val="19"/>
        </w:rPr>
      </w:pPr>
      <w:r>
        <w:rPr>
          <w:rFonts w:ascii="Arial"/>
          <w:color w:val="231F20"/>
          <w:w w:val="115"/>
          <w:sz w:val="19"/>
        </w:rPr>
        <w:t>Should</w:t>
      </w:r>
      <w:r>
        <w:rPr>
          <w:rFonts w:ascii="Arial"/>
          <w:color w:val="231F20"/>
          <w:spacing w:val="-8"/>
          <w:w w:val="115"/>
          <w:sz w:val="19"/>
        </w:rPr>
        <w:t> </w:t>
      </w:r>
      <w:r>
        <w:rPr>
          <w:rFonts w:ascii="Arial"/>
          <w:color w:val="231F20"/>
          <w:w w:val="115"/>
          <w:sz w:val="19"/>
        </w:rPr>
        <w:t>I</w:t>
      </w:r>
      <w:r>
        <w:rPr>
          <w:rFonts w:ascii="Arial"/>
          <w:color w:val="231F20"/>
          <w:spacing w:val="-8"/>
          <w:w w:val="115"/>
          <w:sz w:val="19"/>
        </w:rPr>
        <w:t> </w:t>
      </w:r>
      <w:r>
        <w:rPr>
          <w:rFonts w:ascii="Arial"/>
          <w:color w:val="231F20"/>
          <w:w w:val="115"/>
          <w:sz w:val="19"/>
        </w:rPr>
        <w:t>not</w:t>
      </w:r>
      <w:r>
        <w:rPr>
          <w:rFonts w:ascii="Arial"/>
          <w:color w:val="231F20"/>
          <w:spacing w:val="-8"/>
          <w:w w:val="115"/>
          <w:sz w:val="19"/>
        </w:rPr>
        <w:t> </w:t>
      </w:r>
      <w:r>
        <w:rPr>
          <w:rFonts w:ascii="Arial"/>
          <w:color w:val="231F20"/>
          <w:w w:val="115"/>
          <w:sz w:val="19"/>
        </w:rPr>
        <w:t>advertise</w:t>
      </w:r>
      <w:r>
        <w:rPr>
          <w:rFonts w:ascii="Arial"/>
          <w:color w:val="231F20"/>
          <w:spacing w:val="-8"/>
          <w:w w:val="115"/>
          <w:sz w:val="19"/>
        </w:rPr>
        <w:t> </w:t>
      </w:r>
      <w:r>
        <w:rPr>
          <w:rFonts w:ascii="Arial"/>
          <w:color w:val="231F20"/>
          <w:w w:val="115"/>
          <w:sz w:val="19"/>
        </w:rPr>
        <w:t>and</w:t>
      </w:r>
      <w:r>
        <w:rPr>
          <w:rFonts w:ascii="Arial"/>
          <w:color w:val="231F20"/>
          <w:spacing w:val="-8"/>
          <w:w w:val="115"/>
          <w:sz w:val="19"/>
        </w:rPr>
        <w:t> </w:t>
      </w:r>
      <w:r>
        <w:rPr>
          <w:rFonts w:ascii="Arial"/>
          <w:color w:val="231F20"/>
          <w:w w:val="115"/>
          <w:sz w:val="19"/>
        </w:rPr>
        <w:t>rely</w:t>
      </w:r>
      <w:r>
        <w:rPr>
          <w:rFonts w:ascii="Arial"/>
          <w:color w:val="231F20"/>
          <w:spacing w:val="-8"/>
          <w:w w:val="115"/>
          <w:sz w:val="19"/>
        </w:rPr>
        <w:t> </w:t>
      </w:r>
      <w:r>
        <w:rPr>
          <w:rFonts w:ascii="Arial"/>
          <w:color w:val="231F20"/>
          <w:w w:val="115"/>
          <w:sz w:val="19"/>
        </w:rPr>
        <w:t>on</w:t>
      </w:r>
      <w:r>
        <w:rPr>
          <w:rFonts w:ascii="Arial"/>
          <w:color w:val="231F20"/>
          <w:spacing w:val="-8"/>
          <w:w w:val="115"/>
          <w:sz w:val="19"/>
        </w:rPr>
        <w:t> </w:t>
      </w:r>
      <w:r>
        <w:rPr>
          <w:rFonts w:ascii="Arial"/>
          <w:color w:val="231F20"/>
          <w:w w:val="115"/>
          <w:sz w:val="19"/>
        </w:rPr>
        <w:t>a</w:t>
      </w:r>
      <w:r>
        <w:rPr>
          <w:rFonts w:ascii="Arial"/>
          <w:color w:val="231F20"/>
          <w:spacing w:val="-8"/>
          <w:w w:val="115"/>
          <w:sz w:val="19"/>
        </w:rPr>
        <w:t> </w:t>
      </w:r>
      <w:r>
        <w:rPr>
          <w:rFonts w:ascii="Arial"/>
          <w:color w:val="231F20"/>
          <w:w w:val="115"/>
          <w:sz w:val="19"/>
        </w:rPr>
        <w:t>cheap</w:t>
      </w:r>
      <w:r>
        <w:rPr>
          <w:rFonts w:ascii="Arial"/>
          <w:color w:val="231F20"/>
          <w:spacing w:val="-8"/>
          <w:w w:val="115"/>
          <w:sz w:val="19"/>
        </w:rPr>
        <w:t> </w:t>
      </w:r>
      <w:r>
        <w:rPr>
          <w:rFonts w:ascii="Arial"/>
          <w:color w:val="231F20"/>
          <w:w w:val="115"/>
          <w:sz w:val="19"/>
        </w:rPr>
        <w:t>price</w:t>
      </w:r>
      <w:r>
        <w:rPr>
          <w:rFonts w:ascii="Arial"/>
          <w:color w:val="231F20"/>
          <w:spacing w:val="-8"/>
          <w:w w:val="115"/>
          <w:sz w:val="19"/>
        </w:rPr>
        <w:t> </w:t>
      </w:r>
      <w:r>
        <w:rPr>
          <w:rFonts w:ascii="Arial"/>
          <w:color w:val="231F20"/>
          <w:w w:val="115"/>
          <w:sz w:val="19"/>
        </w:rPr>
        <w:t>to</w:t>
      </w:r>
      <w:r>
        <w:rPr>
          <w:rFonts w:ascii="Arial"/>
          <w:color w:val="231F20"/>
          <w:spacing w:val="-8"/>
          <w:w w:val="115"/>
          <w:sz w:val="19"/>
        </w:rPr>
        <w:t> </w:t>
      </w:r>
      <w:r>
        <w:rPr>
          <w:rFonts w:ascii="Arial"/>
          <w:color w:val="231F20"/>
          <w:w w:val="115"/>
          <w:sz w:val="19"/>
        </w:rPr>
        <w:t>move</w:t>
      </w:r>
      <w:r>
        <w:rPr>
          <w:rFonts w:ascii="Arial"/>
          <w:color w:val="231F20"/>
          <w:spacing w:val="-8"/>
          <w:w w:val="115"/>
          <w:sz w:val="19"/>
        </w:rPr>
        <w:t> </w:t>
      </w:r>
      <w:r>
        <w:rPr>
          <w:rFonts w:ascii="Arial"/>
          <w:color w:val="231F20"/>
          <w:w w:val="115"/>
          <w:sz w:val="19"/>
        </w:rPr>
        <w:t>my </w:t>
      </w:r>
      <w:r>
        <w:rPr>
          <w:rFonts w:ascii="Arial"/>
          <w:color w:val="231F20"/>
          <w:spacing w:val="-2"/>
          <w:w w:val="115"/>
          <w:sz w:val="19"/>
        </w:rPr>
        <w:t>product?</w:t>
      </w:r>
    </w:p>
    <w:p>
      <w:pPr>
        <w:pStyle w:val="BodyText"/>
        <w:spacing w:before="4"/>
        <w:rPr>
          <w:rFonts w:ascii="Arial"/>
          <w:sz w:val="24"/>
        </w:rPr>
      </w:pPr>
    </w:p>
    <w:p>
      <w:pPr>
        <w:pStyle w:val="BodyText"/>
        <w:spacing w:line="292" w:lineRule="auto"/>
        <w:ind w:left="920" w:right="663" w:firstLine="340"/>
        <w:jc w:val="both"/>
      </w:pPr>
      <w:r>
        <w:rPr>
          <w:color w:val="231F20"/>
        </w:rPr>
        <w:t>As these questions indicate, the marketing process is not easily defined</w:t>
      </w:r>
      <w:r>
        <w:rPr>
          <w:color w:val="231F20"/>
          <w:spacing w:val="61"/>
        </w:rPr>
        <w:t> </w:t>
      </w:r>
      <w:r>
        <w:rPr>
          <w:color w:val="231F20"/>
        </w:rPr>
        <w:t>or</w:t>
      </w:r>
      <w:r>
        <w:rPr>
          <w:color w:val="231F20"/>
          <w:spacing w:val="61"/>
        </w:rPr>
        <w:t> </w:t>
      </w:r>
      <w:r>
        <w:rPr>
          <w:color w:val="231F20"/>
        </w:rPr>
        <w:t>executed.</w:t>
      </w:r>
      <w:r>
        <w:rPr>
          <w:color w:val="231F20"/>
          <w:spacing w:val="61"/>
        </w:rPr>
        <w:t> </w:t>
      </w:r>
      <w:r>
        <w:rPr>
          <w:color w:val="231F20"/>
        </w:rPr>
        <w:t>It</w:t>
      </w:r>
      <w:r>
        <w:rPr>
          <w:color w:val="231F20"/>
          <w:spacing w:val="61"/>
        </w:rPr>
        <w:t> </w:t>
      </w:r>
      <w:r>
        <w:rPr>
          <w:color w:val="231F20"/>
        </w:rPr>
        <w:t>can</w:t>
      </w:r>
      <w:r>
        <w:rPr>
          <w:color w:val="231F20"/>
          <w:spacing w:val="62"/>
        </w:rPr>
        <w:t> </w:t>
      </w:r>
      <w:r>
        <w:rPr>
          <w:color w:val="231F20"/>
        </w:rPr>
        <w:t>be</w:t>
      </w:r>
      <w:r>
        <w:rPr>
          <w:color w:val="231F20"/>
          <w:spacing w:val="61"/>
        </w:rPr>
        <w:t> </w:t>
      </w:r>
      <w:r>
        <w:rPr>
          <w:color w:val="231F20"/>
        </w:rPr>
        <w:t>frustrating</w:t>
      </w:r>
      <w:r>
        <w:rPr>
          <w:color w:val="231F20"/>
          <w:spacing w:val="61"/>
        </w:rPr>
        <w:t> </w:t>
      </w:r>
      <w:r>
        <w:rPr>
          <w:color w:val="231F20"/>
        </w:rPr>
        <w:t>because</w:t>
      </w:r>
      <w:r>
        <w:rPr>
          <w:color w:val="231F20"/>
          <w:spacing w:val="61"/>
        </w:rPr>
        <w:t> </w:t>
      </w:r>
      <w:r>
        <w:rPr>
          <w:color w:val="231F20"/>
        </w:rPr>
        <w:t>there</w:t>
      </w:r>
      <w:r>
        <w:rPr>
          <w:color w:val="231F20"/>
          <w:spacing w:val="62"/>
        </w:rPr>
        <w:t> </w:t>
      </w:r>
      <w:r>
        <w:rPr>
          <w:color w:val="231F20"/>
        </w:rPr>
        <w:t>are</w:t>
      </w:r>
      <w:r>
        <w:rPr>
          <w:color w:val="231F20"/>
          <w:spacing w:val="61"/>
        </w:rPr>
        <w:t> </w:t>
      </w:r>
      <w:r>
        <w:rPr>
          <w:color w:val="231F20"/>
          <w:spacing w:val="-5"/>
        </w:rPr>
        <w:t>no</w:t>
      </w:r>
    </w:p>
    <w:p>
      <w:pPr>
        <w:spacing w:after="0" w:line="292" w:lineRule="auto"/>
        <w:jc w:val="both"/>
        <w:sectPr>
          <w:type w:val="continuous"/>
          <w:pgSz w:w="8640" w:h="12960"/>
          <w:pgMar w:header="732" w:footer="0" w:top="1220" w:bottom="280" w:left="340" w:right="500"/>
        </w:sectPr>
      </w:pPr>
    </w:p>
    <w:p>
      <w:pPr>
        <w:pStyle w:val="BodyText"/>
        <w:spacing w:before="10"/>
        <w:rPr>
          <w:sz w:val="17"/>
        </w:rPr>
      </w:pPr>
    </w:p>
    <w:p>
      <w:pPr>
        <w:pStyle w:val="BodyText"/>
        <w:spacing w:line="292" w:lineRule="auto" w:before="102"/>
        <w:ind w:left="830" w:right="753"/>
        <w:jc w:val="both"/>
      </w:pPr>
      <w:r>
        <w:rPr>
          <w:color w:val="231F20"/>
        </w:rPr>
        <w:t>“right” answers. Consumer reactions cannot easily be predicted. </w:t>
      </w:r>
      <w:r>
        <w:rPr>
          <w:color w:val="231F20"/>
        </w:rPr>
        <w:t>It takes</w:t>
      </w:r>
      <w:r>
        <w:rPr>
          <w:color w:val="231F20"/>
          <w:spacing w:val="40"/>
        </w:rPr>
        <w:t> </w:t>
      </w:r>
      <w:r>
        <w:rPr>
          <w:color w:val="231F20"/>
        </w:rPr>
        <w:t>creativity,</w:t>
      </w:r>
      <w:r>
        <w:rPr>
          <w:color w:val="231F20"/>
          <w:spacing w:val="40"/>
        </w:rPr>
        <w:t> </w:t>
      </w:r>
      <w:r>
        <w:rPr>
          <w:color w:val="231F20"/>
        </w:rPr>
        <w:t>experience,</w:t>
      </w:r>
      <w:r>
        <w:rPr>
          <w:color w:val="231F20"/>
          <w:spacing w:val="40"/>
        </w:rPr>
        <w:t> </w:t>
      </w:r>
      <w:r>
        <w:rPr>
          <w:color w:val="231F20"/>
        </w:rPr>
        <w:t>skill,</w:t>
      </w:r>
      <w:r>
        <w:rPr>
          <w:color w:val="231F20"/>
          <w:spacing w:val="40"/>
        </w:rPr>
        <w:t> </w:t>
      </w:r>
      <w:r>
        <w:rPr>
          <w:color w:val="231F20"/>
        </w:rPr>
        <w:t>and</w:t>
      </w:r>
      <w:r>
        <w:rPr>
          <w:color w:val="231F20"/>
          <w:spacing w:val="40"/>
        </w:rPr>
        <w:t> </w:t>
      </w:r>
      <w:r>
        <w:rPr>
          <w:color w:val="231F20"/>
        </w:rPr>
        <w:t>intuition</w:t>
      </w:r>
      <w:r>
        <w:rPr>
          <w:color w:val="231F20"/>
          <w:spacing w:val="40"/>
        </w:rPr>
        <w:t> </w:t>
      </w:r>
      <w:r>
        <w:rPr>
          <w:color w:val="231F20"/>
        </w:rPr>
        <w:t>to</w:t>
      </w:r>
      <w:r>
        <w:rPr>
          <w:color w:val="231F20"/>
          <w:spacing w:val="40"/>
        </w:rPr>
        <w:t> </w:t>
      </w:r>
      <w:r>
        <w:rPr>
          <w:color w:val="231F20"/>
        </w:rPr>
        <w:t>develop</w:t>
      </w:r>
      <w:r>
        <w:rPr>
          <w:color w:val="231F20"/>
          <w:spacing w:val="40"/>
        </w:rPr>
        <w:t> </w:t>
      </w:r>
      <w:r>
        <w:rPr>
          <w:color w:val="231F20"/>
        </w:rPr>
        <w:t>a</w:t>
      </w:r>
      <w:r>
        <w:rPr>
          <w:color w:val="231F20"/>
          <w:spacing w:val="40"/>
        </w:rPr>
        <w:t> </w:t>
      </w:r>
      <w:r>
        <w:rPr>
          <w:color w:val="231F20"/>
        </w:rPr>
        <w:t>plan that makes sense and works together (</w:t>
      </w:r>
      <w:r>
        <w:rPr>
          <w:i/>
          <w:color w:val="231F20"/>
        </w:rPr>
        <w:t>internally consistent and</w:t>
      </w:r>
      <w:r>
        <w:rPr>
          <w:i/>
          <w:color w:val="231F20"/>
        </w:rPr>
        <w:t> mutually supportive</w:t>
      </w:r>
      <w:r>
        <w:rPr>
          <w:color w:val="231F20"/>
        </w:rPr>
        <w:t>). Marketing also requires close attention to the numbers to be successful. With this chapter you are armed with the MBA problem-solving structure and the MBA vocabulary to attack</w:t>
      </w:r>
      <w:r>
        <w:rPr>
          <w:color w:val="231F20"/>
          <w:spacing w:val="40"/>
        </w:rPr>
        <w:t> </w:t>
      </w:r>
      <w:r>
        <w:rPr>
          <w:color w:val="231F20"/>
        </w:rPr>
        <w:t>the marketing challenges that you may encounter. You haven’t even paid a dollar in tuition, sat through a class, or anted up for an ex- pensive</w:t>
      </w:r>
      <w:r>
        <w:rPr>
          <w:color w:val="231F20"/>
          <w:spacing w:val="-4"/>
        </w:rPr>
        <w:t> </w:t>
      </w:r>
      <w:r>
        <w:rPr>
          <w:color w:val="231F20"/>
        </w:rPr>
        <w:t>executive</w:t>
      </w:r>
      <w:r>
        <w:rPr>
          <w:color w:val="231F20"/>
          <w:spacing w:val="-3"/>
        </w:rPr>
        <w:t> </w:t>
      </w:r>
      <w:r>
        <w:rPr>
          <w:color w:val="231F20"/>
        </w:rPr>
        <w:t>seminar.</w:t>
      </w:r>
      <w:r>
        <w:rPr>
          <w:color w:val="231F20"/>
          <w:spacing w:val="-4"/>
        </w:rPr>
        <w:t> </w:t>
      </w:r>
      <w:r>
        <w:rPr>
          <w:color w:val="231F20"/>
        </w:rPr>
        <w:t>Figure</w:t>
      </w:r>
      <w:r>
        <w:rPr>
          <w:color w:val="231F20"/>
          <w:spacing w:val="-3"/>
        </w:rPr>
        <w:t> </w:t>
      </w:r>
      <w:r>
        <w:rPr>
          <w:color w:val="231F20"/>
        </w:rPr>
        <w:t>the</w:t>
      </w:r>
      <w:r>
        <w:rPr>
          <w:color w:val="231F20"/>
          <w:spacing w:val="-4"/>
        </w:rPr>
        <w:t> </w:t>
      </w:r>
      <w:r>
        <w:rPr>
          <w:color w:val="231F20"/>
        </w:rPr>
        <w:t>break</w:t>
      </w:r>
      <w:r>
        <w:rPr>
          <w:color w:val="231F20"/>
          <w:spacing w:val="-3"/>
        </w:rPr>
        <w:t> </w:t>
      </w:r>
      <w:r>
        <w:rPr>
          <w:color w:val="231F20"/>
        </w:rPr>
        <w:t>even</w:t>
      </w:r>
      <w:r>
        <w:rPr>
          <w:color w:val="231F20"/>
          <w:spacing w:val="-4"/>
        </w:rPr>
        <w:t> </w:t>
      </w:r>
      <w:r>
        <w:rPr>
          <w:color w:val="231F20"/>
        </w:rPr>
        <w:t>on</w:t>
      </w:r>
      <w:r>
        <w:rPr>
          <w:color w:val="231F20"/>
          <w:spacing w:val="-3"/>
        </w:rPr>
        <w:t> </w:t>
      </w:r>
      <w:r>
        <w:rPr>
          <w:color w:val="231F20"/>
        </w:rPr>
        <w:t>that</w:t>
      </w:r>
      <w:r>
        <w:rPr>
          <w:color w:val="231F20"/>
          <w:spacing w:val="-4"/>
        </w:rPr>
        <w:t> </w:t>
      </w:r>
      <w:r>
        <w:rPr>
          <w:color w:val="231F20"/>
          <w:spacing w:val="-2"/>
        </w:rPr>
        <w:t>investment!</w:t>
      </w:r>
    </w:p>
    <w:p>
      <w:pPr>
        <w:pStyle w:val="BodyText"/>
        <w:spacing w:before="3"/>
        <w:rPr>
          <w:sz w:val="25"/>
        </w:rPr>
      </w:pPr>
    </w:p>
    <w:p>
      <w:pPr>
        <w:pStyle w:val="BodyText"/>
        <w:spacing w:line="292" w:lineRule="auto"/>
        <w:ind w:left="830" w:right="756"/>
        <w:jc w:val="both"/>
      </w:pPr>
      <w:r>
        <w:rPr>
          <w:color w:val="231F20"/>
        </w:rPr>
        <w:t>I include the following notes that we all passed among ourselves </w:t>
      </w:r>
      <w:r>
        <w:rPr>
          <w:color w:val="231F20"/>
        </w:rPr>
        <w:t>at school to guide our case discussions and tests (open notes). These</w:t>
      </w:r>
      <w:r>
        <w:rPr>
          <w:color w:val="231F20"/>
          <w:spacing w:val="40"/>
        </w:rPr>
        <w:t> </w:t>
      </w:r>
      <w:r>
        <w:rPr>
          <w:color w:val="231F20"/>
        </w:rPr>
        <w:t>are the key questions that must be addressed by a comprehensive marketing strategy.</w:t>
      </w:r>
    </w:p>
    <w:p>
      <w:pPr>
        <w:pStyle w:val="BodyText"/>
        <w:rPr>
          <w:sz w:val="24"/>
        </w:rPr>
      </w:pPr>
    </w:p>
    <w:p>
      <w:pPr>
        <w:pStyle w:val="BodyText"/>
        <w:spacing w:before="10"/>
        <w:rPr>
          <w:sz w:val="24"/>
        </w:rPr>
      </w:pPr>
    </w:p>
    <w:p>
      <w:pPr>
        <w:pStyle w:val="Heading4"/>
        <w:ind w:left="300"/>
      </w:pPr>
      <w:r>
        <w:rPr>
          <w:color w:val="231F20"/>
          <w:spacing w:val="9"/>
          <w:w w:val="85"/>
        </w:rPr>
        <w:t>MARKETING</w:t>
      </w:r>
      <w:r>
        <w:rPr>
          <w:color w:val="231F20"/>
          <w:spacing w:val="29"/>
        </w:rPr>
        <w:t> </w:t>
      </w:r>
      <w:r>
        <w:rPr>
          <w:color w:val="231F20"/>
          <w:w w:val="85"/>
        </w:rPr>
        <w:t>STRATEGY</w:t>
      </w:r>
      <w:r>
        <w:rPr>
          <w:color w:val="231F20"/>
          <w:spacing w:val="29"/>
        </w:rPr>
        <w:t> </w:t>
      </w:r>
      <w:r>
        <w:rPr>
          <w:color w:val="231F20"/>
          <w:spacing w:val="9"/>
          <w:w w:val="85"/>
        </w:rPr>
        <w:t>OUTLINE</w:t>
      </w:r>
    </w:p>
    <w:p>
      <w:pPr>
        <w:pStyle w:val="BodyText"/>
        <w:spacing w:before="11"/>
        <w:rPr>
          <w:rFonts w:ascii="Trebuchet MS"/>
          <w:sz w:val="29"/>
        </w:rPr>
      </w:pPr>
    </w:p>
    <w:p>
      <w:pPr>
        <w:pStyle w:val="Heading6"/>
        <w:numPr>
          <w:ilvl w:val="0"/>
          <w:numId w:val="15"/>
        </w:numPr>
        <w:tabs>
          <w:tab w:pos="1412" w:val="left" w:leader="none"/>
        </w:tabs>
        <w:spacing w:line="240" w:lineRule="auto" w:before="0" w:after="0"/>
        <w:ind w:left="1411" w:right="0" w:hanging="242"/>
        <w:jc w:val="left"/>
        <w:rPr>
          <w:i/>
        </w:rPr>
      </w:pPr>
      <w:r>
        <w:rPr>
          <w:i/>
          <w:color w:val="231F20"/>
        </w:rPr>
        <w:t>Consumer</w:t>
      </w:r>
      <w:r>
        <w:rPr>
          <w:i/>
          <w:color w:val="231F20"/>
          <w:spacing w:val="33"/>
        </w:rPr>
        <w:t> </w:t>
      </w:r>
      <w:r>
        <w:rPr>
          <w:i/>
          <w:color w:val="231F20"/>
          <w:spacing w:val="-2"/>
        </w:rPr>
        <w:t>Analysis</w:t>
      </w:r>
    </w:p>
    <w:p>
      <w:pPr>
        <w:pStyle w:val="ListParagraph"/>
        <w:numPr>
          <w:ilvl w:val="0"/>
          <w:numId w:val="13"/>
        </w:numPr>
        <w:tabs>
          <w:tab w:pos="1356" w:val="left" w:leader="none"/>
        </w:tabs>
        <w:spacing w:line="240" w:lineRule="auto" w:before="75" w:after="0"/>
        <w:ind w:left="1355" w:right="0" w:hanging="186"/>
        <w:jc w:val="left"/>
        <w:rPr>
          <w:sz w:val="19"/>
        </w:rPr>
      </w:pPr>
      <w:r>
        <w:rPr>
          <w:color w:val="231F20"/>
          <w:w w:val="110"/>
          <w:sz w:val="19"/>
        </w:rPr>
        <w:t>Makable</w:t>
      </w:r>
      <w:r>
        <w:rPr>
          <w:color w:val="231F20"/>
          <w:spacing w:val="2"/>
          <w:w w:val="110"/>
          <w:sz w:val="19"/>
        </w:rPr>
        <w:t> </w:t>
      </w:r>
      <w:r>
        <w:rPr>
          <w:color w:val="231F20"/>
          <w:w w:val="110"/>
          <w:sz w:val="19"/>
        </w:rPr>
        <w:t>or</w:t>
      </w:r>
      <w:r>
        <w:rPr>
          <w:color w:val="231F20"/>
          <w:spacing w:val="3"/>
          <w:w w:val="110"/>
          <w:sz w:val="19"/>
        </w:rPr>
        <w:t> </w:t>
      </w:r>
      <w:r>
        <w:rPr>
          <w:color w:val="231F20"/>
          <w:w w:val="110"/>
          <w:sz w:val="19"/>
        </w:rPr>
        <w:t>marketable</w:t>
      </w:r>
      <w:r>
        <w:rPr>
          <w:color w:val="231F20"/>
          <w:spacing w:val="3"/>
          <w:w w:val="110"/>
          <w:sz w:val="19"/>
        </w:rPr>
        <w:t> </w:t>
      </w:r>
      <w:r>
        <w:rPr>
          <w:color w:val="231F20"/>
          <w:spacing w:val="-2"/>
          <w:w w:val="110"/>
          <w:sz w:val="19"/>
        </w:rPr>
        <w:t>product?</w:t>
      </w:r>
    </w:p>
    <w:p>
      <w:pPr>
        <w:pStyle w:val="ListParagraph"/>
        <w:numPr>
          <w:ilvl w:val="0"/>
          <w:numId w:val="13"/>
        </w:numPr>
        <w:tabs>
          <w:tab w:pos="1356" w:val="left" w:leader="none"/>
        </w:tabs>
        <w:spacing w:line="240" w:lineRule="auto" w:before="81" w:after="0"/>
        <w:ind w:left="1355" w:right="0" w:hanging="186"/>
        <w:jc w:val="left"/>
        <w:rPr>
          <w:sz w:val="19"/>
        </w:rPr>
      </w:pPr>
      <w:r>
        <w:rPr>
          <w:color w:val="231F20"/>
          <w:w w:val="110"/>
          <w:sz w:val="19"/>
        </w:rPr>
        <w:t>Who’s</w:t>
      </w:r>
      <w:r>
        <w:rPr>
          <w:color w:val="231F20"/>
          <w:spacing w:val="3"/>
          <w:w w:val="110"/>
          <w:sz w:val="19"/>
        </w:rPr>
        <w:t> </w:t>
      </w:r>
      <w:r>
        <w:rPr>
          <w:color w:val="231F20"/>
          <w:w w:val="110"/>
          <w:sz w:val="19"/>
        </w:rPr>
        <w:t>buying,</w:t>
      </w:r>
      <w:r>
        <w:rPr>
          <w:color w:val="231F20"/>
          <w:spacing w:val="3"/>
          <w:w w:val="110"/>
          <w:sz w:val="19"/>
        </w:rPr>
        <w:t> </w:t>
      </w:r>
      <w:r>
        <w:rPr>
          <w:color w:val="231F20"/>
          <w:w w:val="110"/>
          <w:sz w:val="19"/>
        </w:rPr>
        <w:t>who’s</w:t>
      </w:r>
      <w:r>
        <w:rPr>
          <w:color w:val="231F20"/>
          <w:spacing w:val="3"/>
          <w:w w:val="110"/>
          <w:sz w:val="19"/>
        </w:rPr>
        <w:t> </w:t>
      </w:r>
      <w:r>
        <w:rPr>
          <w:color w:val="231F20"/>
          <w:spacing w:val="-2"/>
          <w:w w:val="110"/>
          <w:sz w:val="19"/>
        </w:rPr>
        <w:t>using?</w:t>
      </w:r>
    </w:p>
    <w:p>
      <w:pPr>
        <w:pStyle w:val="ListParagraph"/>
        <w:numPr>
          <w:ilvl w:val="0"/>
          <w:numId w:val="13"/>
        </w:numPr>
        <w:tabs>
          <w:tab w:pos="1356" w:val="left" w:leader="none"/>
        </w:tabs>
        <w:spacing w:line="240" w:lineRule="auto" w:before="82" w:after="0"/>
        <w:ind w:left="1355" w:right="0" w:hanging="186"/>
        <w:jc w:val="left"/>
        <w:rPr>
          <w:sz w:val="19"/>
        </w:rPr>
      </w:pPr>
      <w:r>
        <w:rPr>
          <w:color w:val="231F20"/>
          <w:w w:val="110"/>
          <w:sz w:val="19"/>
        </w:rPr>
        <w:t>What</w:t>
      </w:r>
      <w:r>
        <w:rPr>
          <w:color w:val="231F20"/>
          <w:spacing w:val="9"/>
          <w:w w:val="110"/>
          <w:sz w:val="19"/>
        </w:rPr>
        <w:t> </w:t>
      </w:r>
      <w:r>
        <w:rPr>
          <w:color w:val="231F20"/>
          <w:w w:val="110"/>
          <w:sz w:val="19"/>
        </w:rPr>
        <w:t>is</w:t>
      </w:r>
      <w:r>
        <w:rPr>
          <w:color w:val="231F20"/>
          <w:spacing w:val="9"/>
          <w:w w:val="110"/>
          <w:sz w:val="19"/>
        </w:rPr>
        <w:t> </w:t>
      </w:r>
      <w:r>
        <w:rPr>
          <w:color w:val="231F20"/>
          <w:w w:val="110"/>
          <w:sz w:val="19"/>
        </w:rPr>
        <w:t>the</w:t>
      </w:r>
      <w:r>
        <w:rPr>
          <w:color w:val="231F20"/>
          <w:spacing w:val="9"/>
          <w:w w:val="110"/>
          <w:sz w:val="19"/>
        </w:rPr>
        <w:t> </w:t>
      </w:r>
      <w:r>
        <w:rPr>
          <w:color w:val="231F20"/>
          <w:w w:val="110"/>
          <w:sz w:val="19"/>
        </w:rPr>
        <w:t>buying</w:t>
      </w:r>
      <w:r>
        <w:rPr>
          <w:color w:val="231F20"/>
          <w:spacing w:val="9"/>
          <w:w w:val="110"/>
          <w:sz w:val="19"/>
        </w:rPr>
        <w:t> </w:t>
      </w:r>
      <w:r>
        <w:rPr>
          <w:color w:val="231F20"/>
          <w:spacing w:val="-2"/>
          <w:w w:val="110"/>
          <w:sz w:val="19"/>
        </w:rPr>
        <w:t>process?</w:t>
      </w:r>
    </w:p>
    <w:p>
      <w:pPr>
        <w:pStyle w:val="ListParagraph"/>
        <w:numPr>
          <w:ilvl w:val="0"/>
          <w:numId w:val="13"/>
        </w:numPr>
        <w:tabs>
          <w:tab w:pos="1356" w:val="left" w:leader="none"/>
        </w:tabs>
        <w:spacing w:line="240" w:lineRule="auto" w:before="81" w:after="0"/>
        <w:ind w:left="1355" w:right="0" w:hanging="186"/>
        <w:jc w:val="left"/>
        <w:rPr>
          <w:sz w:val="19"/>
        </w:rPr>
      </w:pPr>
      <w:r>
        <w:rPr>
          <w:color w:val="231F20"/>
          <w:w w:val="115"/>
          <w:sz w:val="19"/>
        </w:rPr>
        <w:t>Who</w:t>
      </w:r>
      <w:r>
        <w:rPr>
          <w:color w:val="231F20"/>
          <w:spacing w:val="-14"/>
          <w:w w:val="115"/>
          <w:sz w:val="19"/>
        </w:rPr>
        <w:t> </w:t>
      </w:r>
      <w:r>
        <w:rPr>
          <w:color w:val="231F20"/>
          <w:w w:val="115"/>
          <w:sz w:val="19"/>
        </w:rPr>
        <w:t>are</w:t>
      </w:r>
      <w:r>
        <w:rPr>
          <w:color w:val="231F20"/>
          <w:spacing w:val="-14"/>
          <w:w w:val="115"/>
          <w:sz w:val="19"/>
        </w:rPr>
        <w:t> </w:t>
      </w:r>
      <w:r>
        <w:rPr>
          <w:color w:val="231F20"/>
          <w:w w:val="115"/>
          <w:sz w:val="19"/>
        </w:rPr>
        <w:t>the</w:t>
      </w:r>
      <w:r>
        <w:rPr>
          <w:color w:val="231F20"/>
          <w:spacing w:val="-14"/>
          <w:w w:val="115"/>
          <w:sz w:val="19"/>
        </w:rPr>
        <w:t> </w:t>
      </w:r>
      <w:r>
        <w:rPr>
          <w:color w:val="231F20"/>
          <w:spacing w:val="-2"/>
          <w:w w:val="115"/>
          <w:sz w:val="19"/>
        </w:rPr>
        <w:t>“influencers”?</w:t>
      </w:r>
    </w:p>
    <w:p>
      <w:pPr>
        <w:pStyle w:val="ListParagraph"/>
        <w:numPr>
          <w:ilvl w:val="0"/>
          <w:numId w:val="13"/>
        </w:numPr>
        <w:tabs>
          <w:tab w:pos="1356" w:val="left" w:leader="none"/>
        </w:tabs>
        <w:spacing w:line="240" w:lineRule="auto" w:before="82" w:after="0"/>
        <w:ind w:left="1355" w:right="0" w:hanging="186"/>
        <w:jc w:val="left"/>
        <w:rPr>
          <w:sz w:val="19"/>
        </w:rPr>
      </w:pPr>
      <w:r>
        <w:rPr>
          <w:color w:val="231F20"/>
          <w:w w:val="115"/>
          <w:sz w:val="19"/>
        </w:rPr>
        <w:t>How</w:t>
      </w:r>
      <w:r>
        <w:rPr>
          <w:color w:val="231F20"/>
          <w:spacing w:val="-2"/>
          <w:w w:val="115"/>
          <w:sz w:val="19"/>
        </w:rPr>
        <w:t> </w:t>
      </w:r>
      <w:r>
        <w:rPr>
          <w:color w:val="231F20"/>
          <w:w w:val="115"/>
          <w:sz w:val="19"/>
        </w:rPr>
        <w:t>important</w:t>
      </w:r>
      <w:r>
        <w:rPr>
          <w:color w:val="231F20"/>
          <w:spacing w:val="-2"/>
          <w:w w:val="115"/>
          <w:sz w:val="19"/>
        </w:rPr>
        <w:t> </w:t>
      </w:r>
      <w:r>
        <w:rPr>
          <w:color w:val="231F20"/>
          <w:w w:val="115"/>
          <w:sz w:val="19"/>
        </w:rPr>
        <w:t>is</w:t>
      </w:r>
      <w:r>
        <w:rPr>
          <w:color w:val="231F20"/>
          <w:spacing w:val="-2"/>
          <w:w w:val="115"/>
          <w:sz w:val="19"/>
        </w:rPr>
        <w:t> </w:t>
      </w:r>
      <w:r>
        <w:rPr>
          <w:color w:val="231F20"/>
          <w:w w:val="115"/>
          <w:sz w:val="19"/>
        </w:rPr>
        <w:t>it</w:t>
      </w:r>
      <w:r>
        <w:rPr>
          <w:color w:val="231F20"/>
          <w:spacing w:val="-2"/>
          <w:w w:val="115"/>
          <w:sz w:val="19"/>
        </w:rPr>
        <w:t> </w:t>
      </w:r>
      <w:r>
        <w:rPr>
          <w:color w:val="231F20"/>
          <w:w w:val="115"/>
          <w:sz w:val="19"/>
        </w:rPr>
        <w:t>to</w:t>
      </w:r>
      <w:r>
        <w:rPr>
          <w:color w:val="231F20"/>
          <w:spacing w:val="-2"/>
          <w:w w:val="115"/>
          <w:sz w:val="19"/>
        </w:rPr>
        <w:t> </w:t>
      </w:r>
      <w:r>
        <w:rPr>
          <w:color w:val="231F20"/>
          <w:w w:val="115"/>
          <w:sz w:val="19"/>
        </w:rPr>
        <w:t>the</w:t>
      </w:r>
      <w:r>
        <w:rPr>
          <w:color w:val="231F20"/>
          <w:spacing w:val="-2"/>
          <w:w w:val="115"/>
          <w:sz w:val="19"/>
        </w:rPr>
        <w:t> consumer?</w:t>
      </w:r>
    </w:p>
    <w:p>
      <w:pPr>
        <w:pStyle w:val="ListParagraph"/>
        <w:numPr>
          <w:ilvl w:val="0"/>
          <w:numId w:val="13"/>
        </w:numPr>
        <w:tabs>
          <w:tab w:pos="1356" w:val="left" w:leader="none"/>
        </w:tabs>
        <w:spacing w:line="240" w:lineRule="auto" w:before="81" w:after="0"/>
        <w:ind w:left="1355" w:right="0" w:hanging="186"/>
        <w:jc w:val="left"/>
        <w:rPr>
          <w:sz w:val="19"/>
        </w:rPr>
      </w:pPr>
      <w:r>
        <w:rPr>
          <w:color w:val="231F20"/>
          <w:w w:val="115"/>
          <w:sz w:val="19"/>
        </w:rPr>
        <w:t>Who</w:t>
      </w:r>
      <w:r>
        <w:rPr>
          <w:color w:val="231F20"/>
          <w:spacing w:val="-15"/>
          <w:w w:val="115"/>
          <w:sz w:val="19"/>
        </w:rPr>
        <w:t> </w:t>
      </w:r>
      <w:r>
        <w:rPr>
          <w:color w:val="231F20"/>
          <w:w w:val="115"/>
          <w:sz w:val="19"/>
        </w:rPr>
        <w:t>needs</w:t>
      </w:r>
      <w:r>
        <w:rPr>
          <w:color w:val="231F20"/>
          <w:spacing w:val="-14"/>
          <w:w w:val="115"/>
          <w:sz w:val="19"/>
        </w:rPr>
        <w:t> </w:t>
      </w:r>
      <w:r>
        <w:rPr>
          <w:color w:val="231F20"/>
          <w:w w:val="115"/>
          <w:sz w:val="19"/>
        </w:rPr>
        <w:t>it</w:t>
      </w:r>
      <w:r>
        <w:rPr>
          <w:color w:val="231F20"/>
          <w:spacing w:val="-14"/>
          <w:w w:val="115"/>
          <w:sz w:val="19"/>
        </w:rPr>
        <w:t> </w:t>
      </w:r>
      <w:r>
        <w:rPr>
          <w:color w:val="231F20"/>
          <w:w w:val="115"/>
          <w:sz w:val="19"/>
        </w:rPr>
        <w:t>and</w:t>
      </w:r>
      <w:r>
        <w:rPr>
          <w:color w:val="231F20"/>
          <w:spacing w:val="-15"/>
          <w:w w:val="115"/>
          <w:sz w:val="19"/>
        </w:rPr>
        <w:t> </w:t>
      </w:r>
      <w:r>
        <w:rPr>
          <w:color w:val="231F20"/>
          <w:spacing w:val="-4"/>
          <w:w w:val="115"/>
          <w:sz w:val="19"/>
        </w:rPr>
        <w:t>why?</w:t>
      </w:r>
    </w:p>
    <w:p>
      <w:pPr>
        <w:pStyle w:val="ListParagraph"/>
        <w:numPr>
          <w:ilvl w:val="0"/>
          <w:numId w:val="13"/>
        </w:numPr>
        <w:tabs>
          <w:tab w:pos="1356" w:val="left" w:leader="none"/>
        </w:tabs>
        <w:spacing w:line="240" w:lineRule="auto" w:before="82" w:after="0"/>
        <w:ind w:left="1355" w:right="0" w:hanging="186"/>
        <w:jc w:val="left"/>
        <w:rPr>
          <w:sz w:val="19"/>
        </w:rPr>
      </w:pPr>
      <w:r>
        <w:rPr>
          <w:color w:val="231F20"/>
          <w:w w:val="115"/>
          <w:sz w:val="19"/>
        </w:rPr>
        <w:t>What</w:t>
      </w:r>
      <w:r>
        <w:rPr>
          <w:color w:val="231F20"/>
          <w:spacing w:val="-14"/>
          <w:w w:val="115"/>
          <w:sz w:val="19"/>
        </w:rPr>
        <w:t> </w:t>
      </w:r>
      <w:r>
        <w:rPr>
          <w:color w:val="231F20"/>
          <w:w w:val="115"/>
          <w:sz w:val="19"/>
        </w:rPr>
        <w:t>is</w:t>
      </w:r>
      <w:r>
        <w:rPr>
          <w:color w:val="231F20"/>
          <w:spacing w:val="-14"/>
          <w:w w:val="115"/>
          <w:sz w:val="19"/>
        </w:rPr>
        <w:t> </w:t>
      </w:r>
      <w:r>
        <w:rPr>
          <w:color w:val="231F20"/>
          <w:w w:val="115"/>
          <w:sz w:val="19"/>
        </w:rPr>
        <w:t>the</w:t>
      </w:r>
      <w:r>
        <w:rPr>
          <w:color w:val="231F20"/>
          <w:spacing w:val="-13"/>
          <w:w w:val="115"/>
          <w:sz w:val="19"/>
        </w:rPr>
        <w:t> </w:t>
      </w:r>
      <w:r>
        <w:rPr>
          <w:color w:val="231F20"/>
          <w:w w:val="115"/>
          <w:sz w:val="19"/>
        </w:rPr>
        <w:t>value</w:t>
      </w:r>
      <w:r>
        <w:rPr>
          <w:color w:val="231F20"/>
          <w:spacing w:val="-14"/>
          <w:w w:val="115"/>
          <w:sz w:val="19"/>
        </w:rPr>
        <w:t> </w:t>
      </w:r>
      <w:r>
        <w:rPr>
          <w:color w:val="231F20"/>
          <w:w w:val="115"/>
          <w:sz w:val="19"/>
        </w:rPr>
        <w:t>to</w:t>
      </w:r>
      <w:r>
        <w:rPr>
          <w:color w:val="231F20"/>
          <w:spacing w:val="-14"/>
          <w:w w:val="115"/>
          <w:sz w:val="19"/>
        </w:rPr>
        <w:t> </w:t>
      </w:r>
      <w:r>
        <w:rPr>
          <w:color w:val="231F20"/>
          <w:w w:val="115"/>
          <w:sz w:val="19"/>
        </w:rPr>
        <w:t>the</w:t>
      </w:r>
      <w:r>
        <w:rPr>
          <w:color w:val="231F20"/>
          <w:spacing w:val="-13"/>
          <w:w w:val="115"/>
          <w:sz w:val="19"/>
        </w:rPr>
        <w:t> </w:t>
      </w:r>
      <w:r>
        <w:rPr>
          <w:color w:val="231F20"/>
          <w:w w:val="115"/>
          <w:sz w:val="19"/>
        </w:rPr>
        <w:t>end</w:t>
      </w:r>
      <w:r>
        <w:rPr>
          <w:color w:val="231F20"/>
          <w:spacing w:val="-14"/>
          <w:w w:val="115"/>
          <w:sz w:val="19"/>
        </w:rPr>
        <w:t> </w:t>
      </w:r>
      <w:r>
        <w:rPr>
          <w:color w:val="231F20"/>
          <w:spacing w:val="-2"/>
          <w:w w:val="115"/>
          <w:sz w:val="19"/>
        </w:rPr>
        <w:t>user?</w:t>
      </w:r>
    </w:p>
    <w:p>
      <w:pPr>
        <w:pStyle w:val="ListParagraph"/>
        <w:numPr>
          <w:ilvl w:val="0"/>
          <w:numId w:val="13"/>
        </w:numPr>
        <w:tabs>
          <w:tab w:pos="1356" w:val="left" w:leader="none"/>
        </w:tabs>
        <w:spacing w:line="240" w:lineRule="auto" w:before="81" w:after="0"/>
        <w:ind w:left="1355" w:right="0" w:hanging="186"/>
        <w:jc w:val="left"/>
        <w:rPr>
          <w:sz w:val="19"/>
        </w:rPr>
      </w:pPr>
      <w:r>
        <w:rPr>
          <w:color w:val="231F20"/>
          <w:w w:val="110"/>
          <w:sz w:val="19"/>
        </w:rPr>
        <w:t>Is it a planned or</w:t>
      </w:r>
      <w:r>
        <w:rPr>
          <w:color w:val="231F20"/>
          <w:spacing w:val="1"/>
          <w:w w:val="110"/>
          <w:sz w:val="19"/>
        </w:rPr>
        <w:t> </w:t>
      </w:r>
      <w:r>
        <w:rPr>
          <w:color w:val="231F20"/>
          <w:w w:val="110"/>
          <w:sz w:val="19"/>
        </w:rPr>
        <w:t>impulse </w:t>
      </w:r>
      <w:r>
        <w:rPr>
          <w:color w:val="231F20"/>
          <w:spacing w:val="-4"/>
          <w:w w:val="110"/>
          <w:sz w:val="19"/>
        </w:rPr>
        <w:t>buy?</w:t>
      </w:r>
    </w:p>
    <w:p>
      <w:pPr>
        <w:pStyle w:val="ListParagraph"/>
        <w:numPr>
          <w:ilvl w:val="0"/>
          <w:numId w:val="13"/>
        </w:numPr>
        <w:tabs>
          <w:tab w:pos="1356" w:val="left" w:leader="none"/>
        </w:tabs>
        <w:spacing w:line="240" w:lineRule="auto" w:before="82" w:after="0"/>
        <w:ind w:left="1355" w:right="0" w:hanging="186"/>
        <w:jc w:val="left"/>
        <w:rPr>
          <w:sz w:val="19"/>
        </w:rPr>
      </w:pPr>
      <w:r>
        <w:rPr>
          <w:color w:val="231F20"/>
          <w:w w:val="115"/>
          <w:sz w:val="19"/>
        </w:rPr>
        <w:t>What</w:t>
      </w:r>
      <w:r>
        <w:rPr>
          <w:color w:val="231F20"/>
          <w:spacing w:val="-14"/>
          <w:w w:val="115"/>
          <w:sz w:val="19"/>
        </w:rPr>
        <w:t> </w:t>
      </w:r>
      <w:r>
        <w:rPr>
          <w:color w:val="231F20"/>
          <w:w w:val="115"/>
          <w:sz w:val="19"/>
        </w:rPr>
        <w:t>are</w:t>
      </w:r>
      <w:r>
        <w:rPr>
          <w:color w:val="231F20"/>
          <w:spacing w:val="-13"/>
          <w:w w:val="115"/>
          <w:sz w:val="19"/>
        </w:rPr>
        <w:t> </w:t>
      </w:r>
      <w:r>
        <w:rPr>
          <w:color w:val="231F20"/>
          <w:w w:val="115"/>
          <w:sz w:val="19"/>
        </w:rPr>
        <w:t>the</w:t>
      </w:r>
      <w:r>
        <w:rPr>
          <w:color w:val="231F20"/>
          <w:spacing w:val="-13"/>
          <w:w w:val="115"/>
          <w:sz w:val="19"/>
        </w:rPr>
        <w:t> </w:t>
      </w:r>
      <w:r>
        <w:rPr>
          <w:color w:val="231F20"/>
          <w:w w:val="115"/>
          <w:sz w:val="19"/>
        </w:rPr>
        <w:t>perceptions</w:t>
      </w:r>
      <w:r>
        <w:rPr>
          <w:color w:val="231F20"/>
          <w:spacing w:val="-14"/>
          <w:w w:val="115"/>
          <w:sz w:val="19"/>
        </w:rPr>
        <w:t> </w:t>
      </w:r>
      <w:r>
        <w:rPr>
          <w:color w:val="231F20"/>
          <w:w w:val="115"/>
          <w:sz w:val="19"/>
        </w:rPr>
        <w:t>of</w:t>
      </w:r>
      <w:r>
        <w:rPr>
          <w:color w:val="231F20"/>
          <w:spacing w:val="-13"/>
          <w:w w:val="115"/>
          <w:sz w:val="19"/>
        </w:rPr>
        <w:t> </w:t>
      </w:r>
      <w:r>
        <w:rPr>
          <w:color w:val="231F20"/>
          <w:w w:val="115"/>
          <w:sz w:val="19"/>
        </w:rPr>
        <w:t>our</w:t>
      </w:r>
      <w:r>
        <w:rPr>
          <w:color w:val="231F20"/>
          <w:spacing w:val="-13"/>
          <w:w w:val="115"/>
          <w:sz w:val="19"/>
        </w:rPr>
        <w:t> </w:t>
      </w:r>
      <w:r>
        <w:rPr>
          <w:color w:val="231F20"/>
          <w:spacing w:val="-2"/>
          <w:w w:val="115"/>
          <w:sz w:val="19"/>
        </w:rPr>
        <w:t>product?</w:t>
      </w:r>
    </w:p>
    <w:p>
      <w:pPr>
        <w:pStyle w:val="ListParagraph"/>
        <w:numPr>
          <w:ilvl w:val="0"/>
          <w:numId w:val="13"/>
        </w:numPr>
        <w:tabs>
          <w:tab w:pos="1356" w:val="left" w:leader="none"/>
        </w:tabs>
        <w:spacing w:line="240" w:lineRule="auto" w:before="81" w:after="0"/>
        <w:ind w:left="1355" w:right="0" w:hanging="186"/>
        <w:jc w:val="left"/>
        <w:rPr>
          <w:sz w:val="19"/>
        </w:rPr>
      </w:pPr>
      <w:r>
        <w:rPr>
          <w:color w:val="231F20"/>
          <w:w w:val="115"/>
          <w:sz w:val="19"/>
        </w:rPr>
        <w:t>Does</w:t>
      </w:r>
      <w:r>
        <w:rPr>
          <w:color w:val="231F20"/>
          <w:spacing w:val="-12"/>
          <w:w w:val="115"/>
          <w:sz w:val="19"/>
        </w:rPr>
        <w:t> </w:t>
      </w:r>
      <w:r>
        <w:rPr>
          <w:color w:val="231F20"/>
          <w:w w:val="115"/>
          <w:sz w:val="19"/>
        </w:rPr>
        <w:t>it</w:t>
      </w:r>
      <w:r>
        <w:rPr>
          <w:color w:val="231F20"/>
          <w:spacing w:val="-11"/>
          <w:w w:val="115"/>
          <w:sz w:val="19"/>
        </w:rPr>
        <w:t> </w:t>
      </w:r>
      <w:r>
        <w:rPr>
          <w:color w:val="231F20"/>
          <w:w w:val="115"/>
          <w:sz w:val="19"/>
        </w:rPr>
        <w:t>meet</w:t>
      </w:r>
      <w:r>
        <w:rPr>
          <w:color w:val="231F20"/>
          <w:spacing w:val="-11"/>
          <w:w w:val="115"/>
          <w:sz w:val="19"/>
        </w:rPr>
        <w:t> </w:t>
      </w:r>
      <w:r>
        <w:rPr>
          <w:color w:val="231F20"/>
          <w:w w:val="115"/>
          <w:sz w:val="19"/>
        </w:rPr>
        <w:t>their</w:t>
      </w:r>
      <w:r>
        <w:rPr>
          <w:color w:val="231F20"/>
          <w:spacing w:val="-11"/>
          <w:w w:val="115"/>
          <w:sz w:val="19"/>
        </w:rPr>
        <w:t> </w:t>
      </w:r>
      <w:r>
        <w:rPr>
          <w:color w:val="231F20"/>
          <w:spacing w:val="-2"/>
          <w:w w:val="115"/>
          <w:sz w:val="19"/>
        </w:rPr>
        <w:t>needs?</w:t>
      </w:r>
    </w:p>
    <w:p>
      <w:pPr>
        <w:pStyle w:val="BodyText"/>
        <w:rPr>
          <w:rFonts w:ascii="Arial"/>
          <w:sz w:val="20"/>
        </w:rPr>
      </w:pPr>
    </w:p>
    <w:p>
      <w:pPr>
        <w:pStyle w:val="BodyText"/>
        <w:spacing w:before="5"/>
        <w:rPr>
          <w:rFonts w:ascii="Arial"/>
          <w:sz w:val="24"/>
        </w:rPr>
      </w:pPr>
    </w:p>
    <w:p>
      <w:pPr>
        <w:pStyle w:val="Heading6"/>
        <w:numPr>
          <w:ilvl w:val="0"/>
          <w:numId w:val="15"/>
        </w:numPr>
        <w:tabs>
          <w:tab w:pos="1412" w:val="left" w:leader="none"/>
        </w:tabs>
        <w:spacing w:line="240" w:lineRule="auto" w:before="0" w:after="0"/>
        <w:ind w:left="1411" w:right="0" w:hanging="242"/>
        <w:jc w:val="left"/>
        <w:rPr>
          <w:i/>
        </w:rPr>
      </w:pPr>
      <w:r>
        <w:rPr>
          <w:i/>
          <w:color w:val="231F20"/>
        </w:rPr>
        <w:t>Market</w:t>
      </w:r>
      <w:r>
        <w:rPr>
          <w:i/>
          <w:color w:val="231F20"/>
          <w:spacing w:val="20"/>
        </w:rPr>
        <w:t> </w:t>
      </w:r>
      <w:r>
        <w:rPr>
          <w:i/>
          <w:color w:val="231F20"/>
          <w:spacing w:val="-2"/>
        </w:rPr>
        <w:t>Analysis</w:t>
      </w:r>
    </w:p>
    <w:p>
      <w:pPr>
        <w:pStyle w:val="ListParagraph"/>
        <w:numPr>
          <w:ilvl w:val="0"/>
          <w:numId w:val="13"/>
        </w:numPr>
        <w:tabs>
          <w:tab w:pos="1356" w:val="left" w:leader="none"/>
        </w:tabs>
        <w:spacing w:line="328" w:lineRule="auto" w:before="75" w:after="0"/>
        <w:ind w:left="1355" w:right="757" w:hanging="186"/>
        <w:jc w:val="left"/>
        <w:rPr>
          <w:sz w:val="19"/>
        </w:rPr>
      </w:pPr>
      <w:r>
        <w:rPr>
          <w:color w:val="231F20"/>
          <w:w w:val="110"/>
          <w:sz w:val="19"/>
        </w:rPr>
        <w:t>What is the market’s nature? Size, growth, segments, geog- raphy, PLC</w:t>
      </w:r>
    </w:p>
    <w:p>
      <w:pPr>
        <w:pStyle w:val="ListParagraph"/>
        <w:numPr>
          <w:ilvl w:val="0"/>
          <w:numId w:val="13"/>
        </w:numPr>
        <w:tabs>
          <w:tab w:pos="1356" w:val="left" w:leader="none"/>
        </w:tabs>
        <w:spacing w:line="240" w:lineRule="auto" w:before="1" w:after="0"/>
        <w:ind w:left="1355" w:right="0" w:hanging="186"/>
        <w:jc w:val="left"/>
        <w:rPr>
          <w:sz w:val="19"/>
        </w:rPr>
      </w:pPr>
      <w:r>
        <w:rPr>
          <w:color w:val="231F20"/>
          <w:w w:val="110"/>
          <w:sz w:val="19"/>
        </w:rPr>
        <w:t>Competitive</w:t>
      </w:r>
      <w:r>
        <w:rPr>
          <w:color w:val="231F20"/>
          <w:spacing w:val="-2"/>
          <w:w w:val="110"/>
          <w:sz w:val="19"/>
        </w:rPr>
        <w:t> </w:t>
      </w:r>
      <w:r>
        <w:rPr>
          <w:color w:val="231F20"/>
          <w:w w:val="110"/>
          <w:sz w:val="19"/>
        </w:rPr>
        <w:t>factors?</w:t>
      </w:r>
      <w:r>
        <w:rPr>
          <w:color w:val="231F20"/>
          <w:spacing w:val="-2"/>
          <w:w w:val="110"/>
          <w:sz w:val="19"/>
        </w:rPr>
        <w:t> </w:t>
      </w:r>
      <w:r>
        <w:rPr>
          <w:color w:val="231F20"/>
          <w:w w:val="110"/>
          <w:sz w:val="19"/>
        </w:rPr>
        <w:t>Quality,</w:t>
      </w:r>
      <w:r>
        <w:rPr>
          <w:color w:val="231F20"/>
          <w:spacing w:val="-2"/>
          <w:w w:val="110"/>
          <w:sz w:val="19"/>
        </w:rPr>
        <w:t> </w:t>
      </w:r>
      <w:r>
        <w:rPr>
          <w:color w:val="231F20"/>
          <w:w w:val="110"/>
          <w:sz w:val="19"/>
        </w:rPr>
        <w:t>price,</w:t>
      </w:r>
      <w:r>
        <w:rPr>
          <w:color w:val="231F20"/>
          <w:spacing w:val="-2"/>
          <w:w w:val="110"/>
          <w:sz w:val="19"/>
        </w:rPr>
        <w:t> </w:t>
      </w:r>
      <w:r>
        <w:rPr>
          <w:color w:val="231F20"/>
          <w:w w:val="110"/>
          <w:sz w:val="19"/>
        </w:rPr>
        <w:t>advertising,</w:t>
      </w:r>
      <w:r>
        <w:rPr>
          <w:color w:val="231F20"/>
          <w:spacing w:val="-2"/>
          <w:w w:val="110"/>
          <w:sz w:val="19"/>
        </w:rPr>
        <w:t> </w:t>
      </w:r>
      <w:r>
        <w:rPr>
          <w:color w:val="231F20"/>
          <w:w w:val="110"/>
          <w:sz w:val="19"/>
        </w:rPr>
        <w:t>R&amp;D,</w:t>
      </w:r>
      <w:r>
        <w:rPr>
          <w:color w:val="231F20"/>
          <w:spacing w:val="-1"/>
          <w:w w:val="110"/>
          <w:sz w:val="19"/>
        </w:rPr>
        <w:t> </w:t>
      </w:r>
      <w:r>
        <w:rPr>
          <w:color w:val="231F20"/>
          <w:spacing w:val="-2"/>
          <w:w w:val="110"/>
          <w:sz w:val="19"/>
        </w:rPr>
        <w:t>service</w:t>
      </w:r>
    </w:p>
    <w:p>
      <w:pPr>
        <w:pStyle w:val="ListParagraph"/>
        <w:numPr>
          <w:ilvl w:val="0"/>
          <w:numId w:val="13"/>
        </w:numPr>
        <w:tabs>
          <w:tab w:pos="1356" w:val="left" w:leader="none"/>
        </w:tabs>
        <w:spacing w:line="240" w:lineRule="auto" w:before="82" w:after="0"/>
        <w:ind w:left="1355" w:right="0" w:hanging="186"/>
        <w:jc w:val="left"/>
        <w:rPr>
          <w:sz w:val="19"/>
        </w:rPr>
      </w:pPr>
      <w:r>
        <w:rPr>
          <w:color w:val="231F20"/>
          <w:w w:val="115"/>
          <w:sz w:val="19"/>
        </w:rPr>
        <w:t>What</w:t>
      </w:r>
      <w:r>
        <w:rPr>
          <w:color w:val="231F20"/>
          <w:spacing w:val="-15"/>
          <w:w w:val="115"/>
          <w:sz w:val="19"/>
        </w:rPr>
        <w:t> </w:t>
      </w:r>
      <w:r>
        <w:rPr>
          <w:color w:val="231F20"/>
          <w:w w:val="115"/>
          <w:sz w:val="19"/>
        </w:rPr>
        <w:t>are</w:t>
      </w:r>
      <w:r>
        <w:rPr>
          <w:color w:val="231F20"/>
          <w:spacing w:val="-14"/>
          <w:w w:val="115"/>
          <w:sz w:val="19"/>
        </w:rPr>
        <w:t> </w:t>
      </w:r>
      <w:r>
        <w:rPr>
          <w:color w:val="231F20"/>
          <w:w w:val="115"/>
          <w:sz w:val="19"/>
        </w:rPr>
        <w:t>the</w:t>
      </w:r>
      <w:r>
        <w:rPr>
          <w:color w:val="231F20"/>
          <w:spacing w:val="-14"/>
          <w:w w:val="115"/>
          <w:sz w:val="19"/>
        </w:rPr>
        <w:t> </w:t>
      </w:r>
      <w:r>
        <w:rPr>
          <w:color w:val="231F20"/>
          <w:spacing w:val="-2"/>
          <w:w w:val="115"/>
          <w:sz w:val="19"/>
        </w:rPr>
        <w:t>trends?</w:t>
      </w:r>
    </w:p>
    <w:p>
      <w:pPr>
        <w:spacing w:after="0" w:line="240" w:lineRule="auto"/>
        <w:jc w:val="left"/>
        <w:rPr>
          <w:sz w:val="19"/>
        </w:rPr>
        <w:sectPr>
          <w:pgSz w:w="8640" w:h="12960"/>
          <w:pgMar w:header="732" w:footer="0" w:top="920" w:bottom="280" w:left="340" w:right="500"/>
        </w:sectPr>
      </w:pPr>
    </w:p>
    <w:p>
      <w:pPr>
        <w:pStyle w:val="BodyText"/>
        <w:spacing w:before="8"/>
        <w:rPr>
          <w:rFonts w:ascii="Arial"/>
          <w:sz w:val="17"/>
        </w:rPr>
      </w:pPr>
    </w:p>
    <w:p>
      <w:pPr>
        <w:pStyle w:val="Heading6"/>
        <w:numPr>
          <w:ilvl w:val="0"/>
          <w:numId w:val="15"/>
        </w:numPr>
        <w:tabs>
          <w:tab w:pos="1502" w:val="left" w:leader="none"/>
        </w:tabs>
        <w:spacing w:line="240" w:lineRule="auto" w:before="108" w:after="0"/>
        <w:ind w:left="1501" w:right="0" w:hanging="242"/>
        <w:jc w:val="left"/>
        <w:rPr>
          <w:i/>
        </w:rPr>
      </w:pPr>
      <w:r>
        <w:rPr>
          <w:i/>
          <w:color w:val="231F20"/>
        </w:rPr>
        <w:t>Competitive</w:t>
      </w:r>
      <w:r>
        <w:rPr>
          <w:i/>
          <w:color w:val="231F20"/>
          <w:spacing w:val="47"/>
        </w:rPr>
        <w:t> </w:t>
      </w:r>
      <w:r>
        <w:rPr>
          <w:i/>
          <w:color w:val="231F20"/>
          <w:spacing w:val="-2"/>
        </w:rPr>
        <w:t>Analysis</w:t>
      </w:r>
    </w:p>
    <w:p>
      <w:pPr>
        <w:pStyle w:val="ListParagraph"/>
        <w:numPr>
          <w:ilvl w:val="0"/>
          <w:numId w:val="16"/>
        </w:numPr>
        <w:tabs>
          <w:tab w:pos="1445" w:val="left" w:leader="none"/>
        </w:tabs>
        <w:spacing w:line="240" w:lineRule="auto" w:before="76" w:after="0"/>
        <w:ind w:left="1445" w:right="0" w:hanging="185"/>
        <w:jc w:val="left"/>
        <w:rPr>
          <w:sz w:val="19"/>
        </w:rPr>
      </w:pPr>
      <w:r>
        <w:rPr>
          <w:color w:val="231F20"/>
          <w:w w:val="115"/>
          <w:sz w:val="19"/>
        </w:rPr>
        <w:t>What</w:t>
      </w:r>
      <w:r>
        <w:rPr>
          <w:color w:val="231F20"/>
          <w:spacing w:val="-16"/>
          <w:w w:val="115"/>
          <w:sz w:val="19"/>
        </w:rPr>
        <w:t> </w:t>
      </w:r>
      <w:r>
        <w:rPr>
          <w:color w:val="231F20"/>
          <w:w w:val="115"/>
          <w:sz w:val="19"/>
        </w:rPr>
        <w:t>is</w:t>
      </w:r>
      <w:r>
        <w:rPr>
          <w:color w:val="231F20"/>
          <w:spacing w:val="-15"/>
          <w:w w:val="115"/>
          <w:sz w:val="19"/>
        </w:rPr>
        <w:t> </w:t>
      </w:r>
      <w:r>
        <w:rPr>
          <w:color w:val="231F20"/>
          <w:w w:val="115"/>
          <w:sz w:val="19"/>
        </w:rPr>
        <w:t>your</w:t>
      </w:r>
      <w:r>
        <w:rPr>
          <w:color w:val="231F20"/>
          <w:spacing w:val="-15"/>
          <w:w w:val="115"/>
          <w:sz w:val="19"/>
        </w:rPr>
        <w:t> </w:t>
      </w:r>
      <w:r>
        <w:rPr>
          <w:color w:val="231F20"/>
          <w:w w:val="115"/>
          <w:sz w:val="19"/>
        </w:rPr>
        <w:t>company</w:t>
      </w:r>
      <w:r>
        <w:rPr>
          <w:color w:val="231F20"/>
          <w:spacing w:val="-15"/>
          <w:w w:val="115"/>
          <w:sz w:val="19"/>
        </w:rPr>
        <w:t> </w:t>
      </w:r>
      <w:r>
        <w:rPr>
          <w:color w:val="231F20"/>
          <w:w w:val="115"/>
          <w:sz w:val="19"/>
        </w:rPr>
        <w:t>good</w:t>
      </w:r>
      <w:r>
        <w:rPr>
          <w:color w:val="231F20"/>
          <w:spacing w:val="-15"/>
          <w:w w:val="115"/>
          <w:sz w:val="19"/>
        </w:rPr>
        <w:t> </w:t>
      </w:r>
      <w:r>
        <w:rPr>
          <w:color w:val="231F20"/>
          <w:w w:val="115"/>
          <w:sz w:val="19"/>
        </w:rPr>
        <w:t>at?</w:t>
      </w:r>
      <w:r>
        <w:rPr>
          <w:color w:val="231F20"/>
          <w:spacing w:val="-15"/>
          <w:w w:val="115"/>
          <w:sz w:val="19"/>
        </w:rPr>
        <w:t> </w:t>
      </w:r>
      <w:r>
        <w:rPr>
          <w:color w:val="231F20"/>
          <w:w w:val="115"/>
          <w:sz w:val="19"/>
        </w:rPr>
        <w:t>Poor</w:t>
      </w:r>
      <w:r>
        <w:rPr>
          <w:color w:val="231F20"/>
          <w:spacing w:val="-15"/>
          <w:w w:val="115"/>
          <w:sz w:val="19"/>
        </w:rPr>
        <w:t> </w:t>
      </w:r>
      <w:r>
        <w:rPr>
          <w:color w:val="231F20"/>
          <w:spacing w:val="-5"/>
          <w:w w:val="115"/>
          <w:sz w:val="19"/>
        </w:rPr>
        <w:t>at?</w:t>
      </w:r>
    </w:p>
    <w:p>
      <w:pPr>
        <w:pStyle w:val="ListParagraph"/>
        <w:numPr>
          <w:ilvl w:val="0"/>
          <w:numId w:val="16"/>
        </w:numPr>
        <w:tabs>
          <w:tab w:pos="1445" w:val="left" w:leader="none"/>
        </w:tabs>
        <w:spacing w:line="328" w:lineRule="auto" w:before="81" w:after="0"/>
        <w:ind w:left="1445" w:right="668" w:hanging="186"/>
        <w:jc w:val="left"/>
        <w:rPr>
          <w:sz w:val="19"/>
        </w:rPr>
      </w:pPr>
      <w:r>
        <w:rPr>
          <w:color w:val="231F20"/>
          <w:w w:val="115"/>
          <w:sz w:val="19"/>
        </w:rPr>
        <w:t>What</w:t>
      </w:r>
      <w:r>
        <w:rPr>
          <w:color w:val="231F20"/>
          <w:spacing w:val="-15"/>
          <w:w w:val="115"/>
          <w:sz w:val="19"/>
        </w:rPr>
        <w:t> </w:t>
      </w:r>
      <w:r>
        <w:rPr>
          <w:color w:val="231F20"/>
          <w:w w:val="115"/>
          <w:sz w:val="19"/>
        </w:rPr>
        <w:t>is</w:t>
      </w:r>
      <w:r>
        <w:rPr>
          <w:color w:val="231F20"/>
          <w:spacing w:val="-15"/>
          <w:w w:val="115"/>
          <w:sz w:val="19"/>
        </w:rPr>
        <w:t> </w:t>
      </w:r>
      <w:r>
        <w:rPr>
          <w:color w:val="231F20"/>
          <w:w w:val="115"/>
          <w:sz w:val="19"/>
        </w:rPr>
        <w:t>your</w:t>
      </w:r>
      <w:r>
        <w:rPr>
          <w:color w:val="231F20"/>
          <w:spacing w:val="-15"/>
          <w:w w:val="115"/>
          <w:sz w:val="19"/>
        </w:rPr>
        <w:t> </w:t>
      </w:r>
      <w:r>
        <w:rPr>
          <w:color w:val="231F20"/>
          <w:w w:val="115"/>
          <w:sz w:val="19"/>
        </w:rPr>
        <w:t>position</w:t>
      </w:r>
      <w:r>
        <w:rPr>
          <w:color w:val="231F20"/>
          <w:spacing w:val="-15"/>
          <w:w w:val="115"/>
          <w:sz w:val="19"/>
        </w:rPr>
        <w:t> </w:t>
      </w:r>
      <w:r>
        <w:rPr>
          <w:color w:val="231F20"/>
          <w:w w:val="115"/>
          <w:sz w:val="19"/>
        </w:rPr>
        <w:t>in</w:t>
      </w:r>
      <w:r>
        <w:rPr>
          <w:color w:val="231F20"/>
          <w:spacing w:val="-15"/>
          <w:w w:val="115"/>
          <w:sz w:val="19"/>
        </w:rPr>
        <w:t> </w:t>
      </w:r>
      <w:r>
        <w:rPr>
          <w:color w:val="231F20"/>
          <w:w w:val="115"/>
          <w:sz w:val="19"/>
        </w:rPr>
        <w:t>the</w:t>
      </w:r>
      <w:r>
        <w:rPr>
          <w:color w:val="231F20"/>
          <w:spacing w:val="-15"/>
          <w:w w:val="115"/>
          <w:sz w:val="19"/>
        </w:rPr>
        <w:t> </w:t>
      </w:r>
      <w:r>
        <w:rPr>
          <w:color w:val="231F20"/>
          <w:w w:val="115"/>
          <w:sz w:val="19"/>
        </w:rPr>
        <w:t>market?</w:t>
      </w:r>
      <w:r>
        <w:rPr>
          <w:color w:val="231F20"/>
          <w:spacing w:val="-15"/>
          <w:w w:val="115"/>
          <w:sz w:val="19"/>
        </w:rPr>
        <w:t> </w:t>
      </w:r>
      <w:r>
        <w:rPr>
          <w:color w:val="231F20"/>
          <w:w w:val="115"/>
          <w:sz w:val="19"/>
        </w:rPr>
        <w:t>Size,</w:t>
      </w:r>
      <w:r>
        <w:rPr>
          <w:color w:val="231F20"/>
          <w:spacing w:val="-15"/>
          <w:w w:val="115"/>
          <w:sz w:val="19"/>
        </w:rPr>
        <w:t> </w:t>
      </w:r>
      <w:r>
        <w:rPr>
          <w:color w:val="231F20"/>
          <w:w w:val="115"/>
          <w:sz w:val="19"/>
        </w:rPr>
        <w:t>share,</w:t>
      </w:r>
      <w:r>
        <w:rPr>
          <w:color w:val="231F20"/>
          <w:spacing w:val="-15"/>
          <w:w w:val="115"/>
          <w:sz w:val="19"/>
        </w:rPr>
        <w:t> </w:t>
      </w:r>
      <w:r>
        <w:rPr>
          <w:color w:val="231F20"/>
          <w:w w:val="115"/>
          <w:sz w:val="19"/>
        </w:rPr>
        <w:t>reputation, historical performance</w:t>
      </w:r>
    </w:p>
    <w:p>
      <w:pPr>
        <w:pStyle w:val="ListParagraph"/>
        <w:numPr>
          <w:ilvl w:val="0"/>
          <w:numId w:val="16"/>
        </w:numPr>
        <w:tabs>
          <w:tab w:pos="1445" w:val="left" w:leader="none"/>
        </w:tabs>
        <w:spacing w:line="328" w:lineRule="auto" w:before="1" w:after="0"/>
        <w:ind w:left="1445" w:right="667" w:hanging="186"/>
        <w:jc w:val="left"/>
        <w:rPr>
          <w:sz w:val="19"/>
        </w:rPr>
      </w:pPr>
      <w:r>
        <w:rPr>
          <w:color w:val="231F20"/>
          <w:w w:val="110"/>
          <w:sz w:val="19"/>
        </w:rPr>
        <w:t>What are your resources? Trade relations, sales force, cash, technology, patents, R&amp;D</w:t>
      </w:r>
    </w:p>
    <w:p>
      <w:pPr>
        <w:pStyle w:val="ListParagraph"/>
        <w:numPr>
          <w:ilvl w:val="0"/>
          <w:numId w:val="16"/>
        </w:numPr>
        <w:tabs>
          <w:tab w:pos="1445" w:val="left" w:leader="none"/>
        </w:tabs>
        <w:spacing w:line="240" w:lineRule="auto" w:before="2" w:after="0"/>
        <w:ind w:left="1445" w:right="0" w:hanging="185"/>
        <w:jc w:val="left"/>
        <w:rPr>
          <w:sz w:val="19"/>
        </w:rPr>
      </w:pPr>
      <w:r>
        <w:rPr>
          <w:color w:val="231F20"/>
          <w:w w:val="110"/>
          <w:sz w:val="19"/>
        </w:rPr>
        <w:t>Who</w:t>
      </w:r>
      <w:r>
        <w:rPr>
          <w:color w:val="231F20"/>
          <w:spacing w:val="6"/>
          <w:w w:val="110"/>
          <w:sz w:val="19"/>
        </w:rPr>
        <w:t> </w:t>
      </w:r>
      <w:r>
        <w:rPr>
          <w:color w:val="231F20"/>
          <w:w w:val="110"/>
          <w:sz w:val="19"/>
        </w:rPr>
        <w:t>is</w:t>
      </w:r>
      <w:r>
        <w:rPr>
          <w:color w:val="231F20"/>
          <w:spacing w:val="6"/>
          <w:w w:val="110"/>
          <w:sz w:val="19"/>
        </w:rPr>
        <w:t> </w:t>
      </w:r>
      <w:r>
        <w:rPr>
          <w:color w:val="231F20"/>
          <w:w w:val="110"/>
          <w:sz w:val="19"/>
        </w:rPr>
        <w:t>gaining</w:t>
      </w:r>
      <w:r>
        <w:rPr>
          <w:color w:val="231F20"/>
          <w:spacing w:val="6"/>
          <w:w w:val="110"/>
          <w:sz w:val="19"/>
        </w:rPr>
        <w:t> </w:t>
      </w:r>
      <w:r>
        <w:rPr>
          <w:color w:val="231F20"/>
          <w:w w:val="110"/>
          <w:sz w:val="19"/>
        </w:rPr>
        <w:t>or</w:t>
      </w:r>
      <w:r>
        <w:rPr>
          <w:color w:val="231F20"/>
          <w:spacing w:val="6"/>
          <w:w w:val="110"/>
          <w:sz w:val="19"/>
        </w:rPr>
        <w:t> </w:t>
      </w:r>
      <w:r>
        <w:rPr>
          <w:color w:val="231F20"/>
          <w:w w:val="110"/>
          <w:sz w:val="19"/>
        </w:rPr>
        <w:t>losing</w:t>
      </w:r>
      <w:r>
        <w:rPr>
          <w:color w:val="231F20"/>
          <w:spacing w:val="6"/>
          <w:w w:val="110"/>
          <w:sz w:val="19"/>
        </w:rPr>
        <w:t> </w:t>
      </w:r>
      <w:r>
        <w:rPr>
          <w:color w:val="231F20"/>
          <w:spacing w:val="-2"/>
          <w:w w:val="110"/>
          <w:sz w:val="19"/>
        </w:rPr>
        <w:t>share?</w:t>
      </w:r>
    </w:p>
    <w:p>
      <w:pPr>
        <w:pStyle w:val="ListParagraph"/>
        <w:numPr>
          <w:ilvl w:val="0"/>
          <w:numId w:val="16"/>
        </w:numPr>
        <w:tabs>
          <w:tab w:pos="1445" w:val="left" w:leader="none"/>
        </w:tabs>
        <w:spacing w:line="240" w:lineRule="auto" w:before="81" w:after="0"/>
        <w:ind w:left="1445" w:right="0" w:hanging="185"/>
        <w:jc w:val="left"/>
        <w:rPr>
          <w:sz w:val="19"/>
        </w:rPr>
      </w:pPr>
      <w:r>
        <w:rPr>
          <w:color w:val="231F20"/>
          <w:w w:val="115"/>
          <w:sz w:val="19"/>
        </w:rPr>
        <w:t>What</w:t>
      </w:r>
      <w:r>
        <w:rPr>
          <w:color w:val="231F20"/>
          <w:spacing w:val="-5"/>
          <w:w w:val="115"/>
          <w:sz w:val="19"/>
        </w:rPr>
        <w:t> </w:t>
      </w:r>
      <w:r>
        <w:rPr>
          <w:color w:val="231F20"/>
          <w:w w:val="115"/>
          <w:sz w:val="19"/>
        </w:rPr>
        <w:t>do</w:t>
      </w:r>
      <w:r>
        <w:rPr>
          <w:color w:val="231F20"/>
          <w:spacing w:val="-5"/>
          <w:w w:val="115"/>
          <w:sz w:val="19"/>
        </w:rPr>
        <w:t> </w:t>
      </w:r>
      <w:r>
        <w:rPr>
          <w:color w:val="231F20"/>
          <w:w w:val="115"/>
          <w:sz w:val="19"/>
        </w:rPr>
        <w:t>they</w:t>
      </w:r>
      <w:r>
        <w:rPr>
          <w:color w:val="231F20"/>
          <w:spacing w:val="-5"/>
          <w:w w:val="115"/>
          <w:sz w:val="19"/>
        </w:rPr>
        <w:t> </w:t>
      </w:r>
      <w:r>
        <w:rPr>
          <w:color w:val="231F20"/>
          <w:w w:val="115"/>
          <w:sz w:val="19"/>
        </w:rPr>
        <w:t>do</w:t>
      </w:r>
      <w:r>
        <w:rPr>
          <w:color w:val="231F20"/>
          <w:spacing w:val="-5"/>
          <w:w w:val="115"/>
          <w:sz w:val="19"/>
        </w:rPr>
        <w:t> </w:t>
      </w:r>
      <w:r>
        <w:rPr>
          <w:color w:val="231F20"/>
          <w:spacing w:val="-2"/>
          <w:w w:val="115"/>
          <w:sz w:val="19"/>
        </w:rPr>
        <w:t>well?</w:t>
      </w:r>
    </w:p>
    <w:p>
      <w:pPr>
        <w:pStyle w:val="ListParagraph"/>
        <w:numPr>
          <w:ilvl w:val="0"/>
          <w:numId w:val="16"/>
        </w:numPr>
        <w:tabs>
          <w:tab w:pos="1445" w:val="left" w:leader="none"/>
        </w:tabs>
        <w:spacing w:line="240" w:lineRule="auto" w:before="82" w:after="0"/>
        <w:ind w:left="1445" w:right="0" w:hanging="185"/>
        <w:jc w:val="left"/>
        <w:rPr>
          <w:sz w:val="19"/>
        </w:rPr>
      </w:pPr>
      <w:r>
        <w:rPr>
          <w:color w:val="231F20"/>
          <w:w w:val="110"/>
          <w:sz w:val="19"/>
        </w:rPr>
        <w:t>Compare</w:t>
      </w:r>
      <w:r>
        <w:rPr>
          <w:color w:val="231F20"/>
          <w:spacing w:val="3"/>
          <w:w w:val="110"/>
          <w:sz w:val="19"/>
        </w:rPr>
        <w:t> </w:t>
      </w:r>
      <w:r>
        <w:rPr>
          <w:color w:val="231F20"/>
          <w:w w:val="110"/>
          <w:sz w:val="19"/>
        </w:rPr>
        <w:t>your</w:t>
      </w:r>
      <w:r>
        <w:rPr>
          <w:color w:val="231F20"/>
          <w:spacing w:val="3"/>
          <w:w w:val="110"/>
          <w:sz w:val="19"/>
        </w:rPr>
        <w:t> </w:t>
      </w:r>
      <w:r>
        <w:rPr>
          <w:color w:val="231F20"/>
          <w:w w:val="110"/>
          <w:sz w:val="19"/>
        </w:rPr>
        <w:t>resources</w:t>
      </w:r>
      <w:r>
        <w:rPr>
          <w:color w:val="231F20"/>
          <w:spacing w:val="4"/>
          <w:w w:val="110"/>
          <w:sz w:val="19"/>
        </w:rPr>
        <w:t> </w:t>
      </w:r>
      <w:r>
        <w:rPr>
          <w:color w:val="231F20"/>
          <w:w w:val="110"/>
          <w:sz w:val="19"/>
        </w:rPr>
        <w:t>to</w:t>
      </w:r>
      <w:r>
        <w:rPr>
          <w:color w:val="231F20"/>
          <w:spacing w:val="3"/>
          <w:w w:val="110"/>
          <w:sz w:val="19"/>
        </w:rPr>
        <w:t> </w:t>
      </w:r>
      <w:r>
        <w:rPr>
          <w:color w:val="231F20"/>
          <w:spacing w:val="-2"/>
          <w:w w:val="110"/>
          <w:sz w:val="19"/>
        </w:rPr>
        <w:t>theirs.</w:t>
      </w:r>
    </w:p>
    <w:p>
      <w:pPr>
        <w:pStyle w:val="ListParagraph"/>
        <w:numPr>
          <w:ilvl w:val="0"/>
          <w:numId w:val="16"/>
        </w:numPr>
        <w:tabs>
          <w:tab w:pos="1445" w:val="left" w:leader="none"/>
        </w:tabs>
        <w:spacing w:line="240" w:lineRule="auto" w:before="81" w:after="0"/>
        <w:ind w:left="1445" w:right="0" w:hanging="185"/>
        <w:jc w:val="left"/>
        <w:rPr>
          <w:sz w:val="19"/>
        </w:rPr>
      </w:pPr>
      <w:r>
        <w:rPr>
          <w:color w:val="231F20"/>
          <w:w w:val="115"/>
          <w:sz w:val="19"/>
        </w:rPr>
        <w:t>What</w:t>
      </w:r>
      <w:r>
        <w:rPr>
          <w:color w:val="231F20"/>
          <w:spacing w:val="-15"/>
          <w:w w:val="115"/>
          <w:sz w:val="19"/>
        </w:rPr>
        <w:t> </w:t>
      </w:r>
      <w:r>
        <w:rPr>
          <w:color w:val="231F20"/>
          <w:w w:val="115"/>
          <w:sz w:val="19"/>
        </w:rPr>
        <w:t>are</w:t>
      </w:r>
      <w:r>
        <w:rPr>
          <w:color w:val="231F20"/>
          <w:spacing w:val="-14"/>
          <w:w w:val="115"/>
          <w:sz w:val="19"/>
        </w:rPr>
        <w:t> </w:t>
      </w:r>
      <w:r>
        <w:rPr>
          <w:color w:val="231F20"/>
          <w:w w:val="115"/>
          <w:sz w:val="19"/>
        </w:rPr>
        <w:t>the</w:t>
      </w:r>
      <w:r>
        <w:rPr>
          <w:color w:val="231F20"/>
          <w:spacing w:val="-15"/>
          <w:w w:val="115"/>
          <w:sz w:val="19"/>
        </w:rPr>
        <w:t> </w:t>
      </w:r>
      <w:r>
        <w:rPr>
          <w:color w:val="231F20"/>
          <w:w w:val="115"/>
          <w:sz w:val="19"/>
        </w:rPr>
        <w:t>barriers</w:t>
      </w:r>
      <w:r>
        <w:rPr>
          <w:color w:val="231F20"/>
          <w:spacing w:val="-14"/>
          <w:w w:val="115"/>
          <w:sz w:val="19"/>
        </w:rPr>
        <w:t> </w:t>
      </w:r>
      <w:r>
        <w:rPr>
          <w:color w:val="231F20"/>
          <w:w w:val="115"/>
          <w:sz w:val="19"/>
        </w:rPr>
        <w:t>to</w:t>
      </w:r>
      <w:r>
        <w:rPr>
          <w:color w:val="231F20"/>
          <w:spacing w:val="-15"/>
          <w:w w:val="115"/>
          <w:sz w:val="19"/>
        </w:rPr>
        <w:t> </w:t>
      </w:r>
      <w:r>
        <w:rPr>
          <w:color w:val="231F20"/>
          <w:spacing w:val="-2"/>
          <w:w w:val="115"/>
          <w:sz w:val="19"/>
        </w:rPr>
        <w:t>entry?</w:t>
      </w:r>
    </w:p>
    <w:p>
      <w:pPr>
        <w:pStyle w:val="ListParagraph"/>
        <w:numPr>
          <w:ilvl w:val="0"/>
          <w:numId w:val="16"/>
        </w:numPr>
        <w:tabs>
          <w:tab w:pos="1445" w:val="left" w:leader="none"/>
        </w:tabs>
        <w:spacing w:line="240" w:lineRule="auto" w:before="82" w:after="0"/>
        <w:ind w:left="1445" w:right="0" w:hanging="185"/>
        <w:jc w:val="left"/>
        <w:rPr>
          <w:sz w:val="19"/>
        </w:rPr>
      </w:pPr>
      <w:r>
        <w:rPr>
          <w:color w:val="231F20"/>
          <w:spacing w:val="-2"/>
          <w:w w:val="115"/>
          <w:sz w:val="19"/>
        </w:rPr>
        <w:t>What</w:t>
      </w:r>
      <w:r>
        <w:rPr>
          <w:color w:val="231F20"/>
          <w:spacing w:val="-11"/>
          <w:w w:val="115"/>
          <w:sz w:val="19"/>
        </w:rPr>
        <w:t> </w:t>
      </w:r>
      <w:r>
        <w:rPr>
          <w:color w:val="231F20"/>
          <w:spacing w:val="-2"/>
          <w:w w:val="115"/>
          <w:sz w:val="19"/>
        </w:rPr>
        <w:t>are</w:t>
      </w:r>
      <w:r>
        <w:rPr>
          <w:color w:val="231F20"/>
          <w:spacing w:val="-10"/>
          <w:w w:val="115"/>
          <w:sz w:val="19"/>
        </w:rPr>
        <w:t> </w:t>
      </w:r>
      <w:r>
        <w:rPr>
          <w:color w:val="231F20"/>
          <w:spacing w:val="-2"/>
          <w:w w:val="115"/>
          <w:sz w:val="19"/>
        </w:rPr>
        <w:t>your</w:t>
      </w:r>
      <w:r>
        <w:rPr>
          <w:color w:val="231F20"/>
          <w:spacing w:val="-10"/>
          <w:w w:val="115"/>
          <w:sz w:val="19"/>
        </w:rPr>
        <w:t> </w:t>
      </w:r>
      <w:r>
        <w:rPr>
          <w:color w:val="231F20"/>
          <w:spacing w:val="-2"/>
          <w:w w:val="115"/>
          <w:sz w:val="19"/>
        </w:rPr>
        <w:t>objectives</w:t>
      </w:r>
      <w:r>
        <w:rPr>
          <w:color w:val="231F20"/>
          <w:spacing w:val="-10"/>
          <w:w w:val="115"/>
          <w:sz w:val="19"/>
        </w:rPr>
        <w:t> </w:t>
      </w:r>
      <w:r>
        <w:rPr>
          <w:color w:val="231F20"/>
          <w:spacing w:val="-2"/>
          <w:w w:val="115"/>
          <w:sz w:val="19"/>
        </w:rPr>
        <w:t>and</w:t>
      </w:r>
      <w:r>
        <w:rPr>
          <w:color w:val="231F20"/>
          <w:spacing w:val="-11"/>
          <w:w w:val="115"/>
          <w:sz w:val="19"/>
        </w:rPr>
        <w:t> </w:t>
      </w:r>
      <w:r>
        <w:rPr>
          <w:color w:val="231F20"/>
          <w:spacing w:val="-2"/>
          <w:w w:val="115"/>
          <w:sz w:val="19"/>
        </w:rPr>
        <w:t>strategy?</w:t>
      </w:r>
    </w:p>
    <w:p>
      <w:pPr>
        <w:pStyle w:val="ListParagraph"/>
        <w:numPr>
          <w:ilvl w:val="0"/>
          <w:numId w:val="16"/>
        </w:numPr>
        <w:tabs>
          <w:tab w:pos="1445" w:val="left" w:leader="none"/>
        </w:tabs>
        <w:spacing w:line="240" w:lineRule="auto" w:before="81" w:after="0"/>
        <w:ind w:left="1445" w:right="0" w:hanging="185"/>
        <w:jc w:val="left"/>
        <w:rPr>
          <w:sz w:val="19"/>
        </w:rPr>
      </w:pPr>
      <w:r>
        <w:rPr>
          <w:color w:val="231F20"/>
          <w:w w:val="115"/>
          <w:sz w:val="19"/>
        </w:rPr>
        <w:t>Any</w:t>
      </w:r>
      <w:r>
        <w:rPr>
          <w:color w:val="231F20"/>
          <w:spacing w:val="-9"/>
          <w:w w:val="115"/>
          <w:sz w:val="19"/>
        </w:rPr>
        <w:t> </w:t>
      </w:r>
      <w:r>
        <w:rPr>
          <w:color w:val="231F20"/>
          <w:w w:val="115"/>
          <w:sz w:val="19"/>
        </w:rPr>
        <w:t>contingency</w:t>
      </w:r>
      <w:r>
        <w:rPr>
          <w:color w:val="231F20"/>
          <w:spacing w:val="-9"/>
          <w:w w:val="115"/>
          <w:sz w:val="19"/>
        </w:rPr>
        <w:t> </w:t>
      </w:r>
      <w:r>
        <w:rPr>
          <w:color w:val="231F20"/>
          <w:spacing w:val="-2"/>
          <w:w w:val="115"/>
          <w:sz w:val="19"/>
        </w:rPr>
        <w:t>plans?</w:t>
      </w:r>
    </w:p>
    <w:p>
      <w:pPr>
        <w:pStyle w:val="ListParagraph"/>
        <w:numPr>
          <w:ilvl w:val="0"/>
          <w:numId w:val="16"/>
        </w:numPr>
        <w:tabs>
          <w:tab w:pos="1445" w:val="left" w:leader="none"/>
        </w:tabs>
        <w:spacing w:line="240" w:lineRule="auto" w:before="82" w:after="0"/>
        <w:ind w:left="1445" w:right="0" w:hanging="185"/>
        <w:jc w:val="left"/>
        <w:rPr>
          <w:sz w:val="19"/>
        </w:rPr>
      </w:pPr>
      <w:r>
        <w:rPr>
          <w:color w:val="231F20"/>
          <w:w w:val="115"/>
          <w:sz w:val="19"/>
        </w:rPr>
        <w:t>Short-</w:t>
      </w:r>
      <w:r>
        <w:rPr>
          <w:color w:val="231F20"/>
          <w:spacing w:val="-14"/>
          <w:w w:val="115"/>
          <w:sz w:val="19"/>
        </w:rPr>
        <w:t> </w:t>
      </w:r>
      <w:r>
        <w:rPr>
          <w:color w:val="231F20"/>
          <w:w w:val="115"/>
          <w:sz w:val="19"/>
        </w:rPr>
        <w:t>and</w:t>
      </w:r>
      <w:r>
        <w:rPr>
          <w:color w:val="231F20"/>
          <w:spacing w:val="-14"/>
          <w:w w:val="115"/>
          <w:sz w:val="19"/>
        </w:rPr>
        <w:t> </w:t>
      </w:r>
      <w:r>
        <w:rPr>
          <w:color w:val="231F20"/>
          <w:w w:val="115"/>
          <w:sz w:val="19"/>
        </w:rPr>
        <w:t>long-term</w:t>
      </w:r>
      <w:r>
        <w:rPr>
          <w:color w:val="231F20"/>
          <w:spacing w:val="-14"/>
          <w:w w:val="115"/>
          <w:sz w:val="19"/>
        </w:rPr>
        <w:t> </w:t>
      </w:r>
      <w:r>
        <w:rPr>
          <w:color w:val="231F20"/>
          <w:w w:val="115"/>
          <w:sz w:val="19"/>
        </w:rPr>
        <w:t>plans</w:t>
      </w:r>
      <w:r>
        <w:rPr>
          <w:color w:val="231F20"/>
          <w:spacing w:val="-14"/>
          <w:w w:val="115"/>
          <w:sz w:val="19"/>
        </w:rPr>
        <w:t> </w:t>
      </w:r>
      <w:r>
        <w:rPr>
          <w:color w:val="231F20"/>
          <w:w w:val="115"/>
          <w:sz w:val="19"/>
        </w:rPr>
        <w:t>and</w:t>
      </w:r>
      <w:r>
        <w:rPr>
          <w:color w:val="231F20"/>
          <w:spacing w:val="-13"/>
          <w:w w:val="115"/>
          <w:sz w:val="19"/>
        </w:rPr>
        <w:t> </w:t>
      </w:r>
      <w:r>
        <w:rPr>
          <w:color w:val="231F20"/>
          <w:spacing w:val="-2"/>
          <w:w w:val="115"/>
          <w:sz w:val="19"/>
        </w:rPr>
        <w:t>goals?</w:t>
      </w:r>
    </w:p>
    <w:p>
      <w:pPr>
        <w:pStyle w:val="BodyText"/>
        <w:rPr>
          <w:rFonts w:ascii="Arial"/>
          <w:sz w:val="20"/>
        </w:rPr>
      </w:pPr>
    </w:p>
    <w:p>
      <w:pPr>
        <w:pStyle w:val="Heading6"/>
        <w:numPr>
          <w:ilvl w:val="0"/>
          <w:numId w:val="15"/>
        </w:numPr>
        <w:tabs>
          <w:tab w:pos="1502" w:val="left" w:leader="none"/>
        </w:tabs>
        <w:spacing w:line="240" w:lineRule="auto" w:before="130" w:after="0"/>
        <w:ind w:left="1501" w:right="0" w:hanging="242"/>
        <w:jc w:val="left"/>
        <w:rPr>
          <w:i/>
        </w:rPr>
      </w:pPr>
      <w:r>
        <w:rPr>
          <w:i/>
          <w:color w:val="231F20"/>
        </w:rPr>
        <w:t>Marketing</w:t>
      </w:r>
      <w:r>
        <w:rPr>
          <w:i/>
          <w:color w:val="231F20"/>
          <w:spacing w:val="9"/>
          <w:w w:val="110"/>
        </w:rPr>
        <w:t> </w:t>
      </w:r>
      <w:r>
        <w:rPr>
          <w:i/>
          <w:color w:val="231F20"/>
          <w:spacing w:val="-5"/>
          <w:w w:val="110"/>
        </w:rPr>
        <w:t>Mix</w:t>
      </w:r>
    </w:p>
    <w:p>
      <w:pPr>
        <w:pStyle w:val="ListParagraph"/>
        <w:numPr>
          <w:ilvl w:val="0"/>
          <w:numId w:val="17"/>
        </w:numPr>
        <w:tabs>
          <w:tab w:pos="1445" w:val="left" w:leader="none"/>
        </w:tabs>
        <w:spacing w:line="240" w:lineRule="auto" w:before="75" w:after="0"/>
        <w:ind w:left="1445" w:right="0" w:hanging="185"/>
        <w:jc w:val="left"/>
        <w:rPr>
          <w:sz w:val="19"/>
        </w:rPr>
      </w:pPr>
      <w:r>
        <w:rPr>
          <w:color w:val="231F20"/>
          <w:w w:val="115"/>
          <w:sz w:val="19"/>
        </w:rPr>
        <w:t>Who</w:t>
      </w:r>
      <w:r>
        <w:rPr>
          <w:color w:val="231F20"/>
          <w:spacing w:val="-12"/>
          <w:w w:val="115"/>
          <w:sz w:val="19"/>
        </w:rPr>
        <w:t> </w:t>
      </w:r>
      <w:r>
        <w:rPr>
          <w:color w:val="231F20"/>
          <w:w w:val="115"/>
          <w:sz w:val="19"/>
        </w:rPr>
        <w:t>is</w:t>
      </w:r>
      <w:r>
        <w:rPr>
          <w:color w:val="231F20"/>
          <w:spacing w:val="-12"/>
          <w:w w:val="115"/>
          <w:sz w:val="19"/>
        </w:rPr>
        <w:t> </w:t>
      </w:r>
      <w:r>
        <w:rPr>
          <w:color w:val="231F20"/>
          <w:w w:val="115"/>
          <w:sz w:val="19"/>
        </w:rPr>
        <w:t>the</w:t>
      </w:r>
      <w:r>
        <w:rPr>
          <w:color w:val="231F20"/>
          <w:spacing w:val="-12"/>
          <w:w w:val="115"/>
          <w:sz w:val="19"/>
        </w:rPr>
        <w:t> </w:t>
      </w:r>
      <w:r>
        <w:rPr>
          <w:color w:val="231F20"/>
          <w:spacing w:val="-2"/>
          <w:w w:val="115"/>
          <w:sz w:val="19"/>
        </w:rPr>
        <w:t>target?</w:t>
      </w:r>
    </w:p>
    <w:p>
      <w:pPr>
        <w:pStyle w:val="ListParagraph"/>
        <w:numPr>
          <w:ilvl w:val="0"/>
          <w:numId w:val="17"/>
        </w:numPr>
        <w:tabs>
          <w:tab w:pos="1445" w:val="left" w:leader="none"/>
        </w:tabs>
        <w:spacing w:line="328" w:lineRule="auto" w:before="82" w:after="0"/>
        <w:ind w:left="1445" w:right="668" w:hanging="186"/>
        <w:jc w:val="left"/>
        <w:rPr>
          <w:sz w:val="19"/>
        </w:rPr>
      </w:pPr>
      <w:r>
        <w:rPr>
          <w:i/>
          <w:color w:val="231F20"/>
          <w:w w:val="115"/>
          <w:sz w:val="19"/>
        </w:rPr>
        <w:t>Product</w:t>
      </w:r>
      <w:r>
        <w:rPr>
          <w:i/>
          <w:color w:val="231F20"/>
          <w:spacing w:val="-42"/>
          <w:w w:val="115"/>
          <w:sz w:val="19"/>
        </w:rPr>
        <w:t> </w:t>
      </w:r>
      <w:r>
        <w:rPr>
          <w:color w:val="231F20"/>
          <w:w w:val="115"/>
          <w:sz w:val="19"/>
        </w:rPr>
        <w:t>—</w:t>
      </w:r>
      <w:r>
        <w:rPr>
          <w:color w:val="231F20"/>
          <w:spacing w:val="-42"/>
          <w:w w:val="115"/>
          <w:sz w:val="19"/>
        </w:rPr>
        <w:t> </w:t>
      </w:r>
      <w:r>
        <w:rPr>
          <w:color w:val="231F20"/>
          <w:w w:val="115"/>
          <w:sz w:val="19"/>
        </w:rPr>
        <w:t>Fit</w:t>
      </w:r>
      <w:r>
        <w:rPr>
          <w:color w:val="231F20"/>
          <w:spacing w:val="-16"/>
          <w:w w:val="115"/>
          <w:sz w:val="19"/>
        </w:rPr>
        <w:t> </w:t>
      </w:r>
      <w:r>
        <w:rPr>
          <w:color w:val="231F20"/>
          <w:w w:val="115"/>
          <w:sz w:val="19"/>
        </w:rPr>
        <w:t>with</w:t>
      </w:r>
      <w:r>
        <w:rPr>
          <w:color w:val="231F20"/>
          <w:spacing w:val="-15"/>
          <w:w w:val="115"/>
          <w:sz w:val="19"/>
        </w:rPr>
        <w:t> </w:t>
      </w:r>
      <w:r>
        <w:rPr>
          <w:color w:val="231F20"/>
          <w:w w:val="115"/>
          <w:sz w:val="19"/>
        </w:rPr>
        <w:t>other</w:t>
      </w:r>
      <w:r>
        <w:rPr>
          <w:color w:val="231F20"/>
          <w:spacing w:val="-15"/>
          <w:w w:val="115"/>
          <w:sz w:val="19"/>
        </w:rPr>
        <w:t> </w:t>
      </w:r>
      <w:r>
        <w:rPr>
          <w:color w:val="231F20"/>
          <w:w w:val="115"/>
          <w:sz w:val="19"/>
        </w:rPr>
        <w:t>products?</w:t>
      </w:r>
      <w:r>
        <w:rPr>
          <w:color w:val="231F20"/>
          <w:spacing w:val="-15"/>
          <w:w w:val="115"/>
          <w:sz w:val="19"/>
        </w:rPr>
        <w:t> </w:t>
      </w:r>
      <w:r>
        <w:rPr>
          <w:color w:val="231F20"/>
          <w:w w:val="115"/>
          <w:sz w:val="19"/>
        </w:rPr>
        <w:t>Differentiation,</w:t>
      </w:r>
      <w:r>
        <w:rPr>
          <w:color w:val="231F20"/>
          <w:spacing w:val="-15"/>
          <w:w w:val="115"/>
          <w:sz w:val="19"/>
        </w:rPr>
        <w:t> </w:t>
      </w:r>
      <w:r>
        <w:rPr>
          <w:color w:val="231F20"/>
          <w:w w:val="115"/>
          <w:sz w:val="19"/>
        </w:rPr>
        <w:t>PLC,</w:t>
      </w:r>
      <w:r>
        <w:rPr>
          <w:color w:val="231F20"/>
          <w:spacing w:val="-15"/>
          <w:w w:val="115"/>
          <w:sz w:val="19"/>
        </w:rPr>
        <w:t> </w:t>
      </w:r>
      <w:r>
        <w:rPr>
          <w:color w:val="231F20"/>
          <w:w w:val="115"/>
          <w:sz w:val="19"/>
        </w:rPr>
        <w:t>per- ception, packaging, features</w:t>
      </w:r>
    </w:p>
    <w:p>
      <w:pPr>
        <w:pStyle w:val="ListParagraph"/>
        <w:numPr>
          <w:ilvl w:val="0"/>
          <w:numId w:val="17"/>
        </w:numPr>
        <w:tabs>
          <w:tab w:pos="1445" w:val="left" w:leader="none"/>
        </w:tabs>
        <w:spacing w:line="328" w:lineRule="auto" w:before="1" w:after="0"/>
        <w:ind w:left="1445" w:right="668" w:hanging="186"/>
        <w:jc w:val="left"/>
        <w:rPr>
          <w:sz w:val="19"/>
        </w:rPr>
      </w:pPr>
      <w:r>
        <w:rPr>
          <w:i/>
          <w:color w:val="231F20"/>
          <w:w w:val="110"/>
          <w:sz w:val="19"/>
        </w:rPr>
        <w:t>Place</w:t>
      </w:r>
      <w:r>
        <w:rPr>
          <w:i/>
          <w:color w:val="231F20"/>
          <w:spacing w:val="-40"/>
          <w:w w:val="110"/>
          <w:sz w:val="19"/>
        </w:rPr>
        <w:t> </w:t>
      </w:r>
      <w:r>
        <w:rPr>
          <w:color w:val="231F20"/>
          <w:w w:val="110"/>
          <w:sz w:val="19"/>
        </w:rPr>
        <w:t>—</w:t>
      </w:r>
      <w:r>
        <w:rPr>
          <w:color w:val="231F20"/>
          <w:spacing w:val="-39"/>
          <w:w w:val="110"/>
          <w:sz w:val="19"/>
        </w:rPr>
        <w:t> </w:t>
      </w:r>
      <w:r>
        <w:rPr>
          <w:color w:val="231F20"/>
          <w:w w:val="110"/>
          <w:sz w:val="19"/>
        </w:rPr>
        <w:t>How best to reach segment? Channel mathematics, draw channels</w:t>
      </w:r>
    </w:p>
    <w:p>
      <w:pPr>
        <w:pStyle w:val="ListParagraph"/>
        <w:numPr>
          <w:ilvl w:val="0"/>
          <w:numId w:val="17"/>
        </w:numPr>
        <w:tabs>
          <w:tab w:pos="1445" w:val="left" w:leader="none"/>
        </w:tabs>
        <w:spacing w:line="240" w:lineRule="auto" w:before="1" w:after="0"/>
        <w:ind w:left="1445" w:right="0" w:hanging="185"/>
        <w:jc w:val="left"/>
        <w:rPr>
          <w:sz w:val="19"/>
        </w:rPr>
      </w:pPr>
      <w:r>
        <w:rPr>
          <w:color w:val="231F20"/>
          <w:w w:val="110"/>
          <w:sz w:val="19"/>
        </w:rPr>
        <w:t>Exclusive,</w:t>
      </w:r>
      <w:r>
        <w:rPr>
          <w:color w:val="231F20"/>
          <w:spacing w:val="5"/>
          <w:w w:val="110"/>
          <w:sz w:val="19"/>
        </w:rPr>
        <w:t> </w:t>
      </w:r>
      <w:r>
        <w:rPr>
          <w:color w:val="231F20"/>
          <w:w w:val="110"/>
          <w:sz w:val="19"/>
        </w:rPr>
        <w:t>selective,</w:t>
      </w:r>
      <w:r>
        <w:rPr>
          <w:color w:val="231F20"/>
          <w:spacing w:val="6"/>
          <w:w w:val="110"/>
          <w:sz w:val="19"/>
        </w:rPr>
        <w:t> </w:t>
      </w:r>
      <w:r>
        <w:rPr>
          <w:color w:val="231F20"/>
          <w:w w:val="110"/>
          <w:sz w:val="19"/>
        </w:rPr>
        <w:t>intensive</w:t>
      </w:r>
      <w:r>
        <w:rPr>
          <w:color w:val="231F20"/>
          <w:spacing w:val="6"/>
          <w:w w:val="110"/>
          <w:sz w:val="19"/>
        </w:rPr>
        <w:t> </w:t>
      </w:r>
      <w:r>
        <w:rPr>
          <w:color w:val="231F20"/>
          <w:w w:val="110"/>
          <w:sz w:val="19"/>
        </w:rPr>
        <w:t>distribution?</w:t>
      </w:r>
      <w:r>
        <w:rPr>
          <w:color w:val="231F20"/>
          <w:spacing w:val="5"/>
          <w:w w:val="110"/>
          <w:sz w:val="19"/>
        </w:rPr>
        <w:t> </w:t>
      </w:r>
      <w:r>
        <w:rPr>
          <w:color w:val="231F20"/>
          <w:w w:val="110"/>
          <w:sz w:val="19"/>
        </w:rPr>
        <w:t>Fit</w:t>
      </w:r>
      <w:r>
        <w:rPr>
          <w:color w:val="231F20"/>
          <w:spacing w:val="6"/>
          <w:w w:val="110"/>
          <w:sz w:val="19"/>
        </w:rPr>
        <w:t> </w:t>
      </w:r>
      <w:r>
        <w:rPr>
          <w:color w:val="231F20"/>
          <w:w w:val="110"/>
          <w:sz w:val="19"/>
        </w:rPr>
        <w:t>with</w:t>
      </w:r>
      <w:r>
        <w:rPr>
          <w:color w:val="231F20"/>
          <w:spacing w:val="6"/>
          <w:w w:val="110"/>
          <w:sz w:val="19"/>
        </w:rPr>
        <w:t> </w:t>
      </w:r>
      <w:r>
        <w:rPr>
          <w:color w:val="231F20"/>
          <w:spacing w:val="-2"/>
          <w:w w:val="110"/>
          <w:sz w:val="19"/>
        </w:rPr>
        <w:t>product?</w:t>
      </w:r>
    </w:p>
    <w:p>
      <w:pPr>
        <w:pStyle w:val="ListParagraph"/>
        <w:numPr>
          <w:ilvl w:val="0"/>
          <w:numId w:val="17"/>
        </w:numPr>
        <w:tabs>
          <w:tab w:pos="1445" w:val="left" w:leader="none"/>
        </w:tabs>
        <w:spacing w:line="240" w:lineRule="auto" w:before="82" w:after="0"/>
        <w:ind w:left="1445" w:right="0" w:hanging="185"/>
        <w:jc w:val="left"/>
        <w:rPr>
          <w:sz w:val="19"/>
        </w:rPr>
      </w:pPr>
      <w:r>
        <w:rPr>
          <w:color w:val="231F20"/>
          <w:w w:val="110"/>
          <w:sz w:val="19"/>
        </w:rPr>
        <w:t>Who</w:t>
      </w:r>
      <w:r>
        <w:rPr>
          <w:color w:val="231F20"/>
          <w:spacing w:val="2"/>
          <w:w w:val="110"/>
          <w:sz w:val="19"/>
        </w:rPr>
        <w:t> </w:t>
      </w:r>
      <w:r>
        <w:rPr>
          <w:color w:val="231F20"/>
          <w:w w:val="110"/>
          <w:sz w:val="19"/>
        </w:rPr>
        <w:t>has</w:t>
      </w:r>
      <w:r>
        <w:rPr>
          <w:color w:val="231F20"/>
          <w:spacing w:val="3"/>
          <w:w w:val="110"/>
          <w:sz w:val="19"/>
        </w:rPr>
        <w:t> </w:t>
      </w:r>
      <w:r>
        <w:rPr>
          <w:color w:val="231F20"/>
          <w:w w:val="110"/>
          <w:sz w:val="19"/>
        </w:rPr>
        <w:t>the</w:t>
      </w:r>
      <w:r>
        <w:rPr>
          <w:color w:val="231F20"/>
          <w:spacing w:val="3"/>
          <w:w w:val="110"/>
          <w:sz w:val="19"/>
        </w:rPr>
        <w:t> </w:t>
      </w:r>
      <w:r>
        <w:rPr>
          <w:color w:val="231F20"/>
          <w:spacing w:val="-2"/>
          <w:w w:val="110"/>
          <w:sz w:val="19"/>
        </w:rPr>
        <w:t>power?</w:t>
      </w:r>
    </w:p>
    <w:p>
      <w:pPr>
        <w:pStyle w:val="ListParagraph"/>
        <w:numPr>
          <w:ilvl w:val="0"/>
          <w:numId w:val="17"/>
        </w:numPr>
        <w:tabs>
          <w:tab w:pos="1445" w:val="left" w:leader="none"/>
        </w:tabs>
        <w:spacing w:line="240" w:lineRule="auto" w:before="81" w:after="0"/>
        <w:ind w:left="1445" w:right="0" w:hanging="185"/>
        <w:jc w:val="left"/>
        <w:rPr>
          <w:sz w:val="19"/>
        </w:rPr>
      </w:pPr>
      <w:r>
        <w:rPr>
          <w:color w:val="231F20"/>
          <w:w w:val="115"/>
          <w:sz w:val="19"/>
        </w:rPr>
        <w:t>How</w:t>
      </w:r>
      <w:r>
        <w:rPr>
          <w:color w:val="231F20"/>
          <w:spacing w:val="-7"/>
          <w:w w:val="115"/>
          <w:sz w:val="19"/>
        </w:rPr>
        <w:t> </w:t>
      </w:r>
      <w:r>
        <w:rPr>
          <w:color w:val="231F20"/>
          <w:w w:val="115"/>
          <w:sz w:val="19"/>
        </w:rPr>
        <w:t>to</w:t>
      </w:r>
      <w:r>
        <w:rPr>
          <w:color w:val="231F20"/>
          <w:spacing w:val="-7"/>
          <w:w w:val="115"/>
          <w:sz w:val="19"/>
        </w:rPr>
        <w:t> </w:t>
      </w:r>
      <w:r>
        <w:rPr>
          <w:color w:val="231F20"/>
          <w:w w:val="115"/>
          <w:sz w:val="19"/>
        </w:rPr>
        <w:t>motivate</w:t>
      </w:r>
      <w:r>
        <w:rPr>
          <w:color w:val="231F20"/>
          <w:spacing w:val="-7"/>
          <w:w w:val="115"/>
          <w:sz w:val="19"/>
        </w:rPr>
        <w:t> </w:t>
      </w:r>
      <w:r>
        <w:rPr>
          <w:color w:val="231F20"/>
          <w:w w:val="115"/>
          <w:sz w:val="19"/>
        </w:rPr>
        <w:t>the</w:t>
      </w:r>
      <w:r>
        <w:rPr>
          <w:color w:val="231F20"/>
          <w:spacing w:val="-7"/>
          <w:w w:val="115"/>
          <w:sz w:val="19"/>
        </w:rPr>
        <w:t> </w:t>
      </w:r>
      <w:r>
        <w:rPr>
          <w:color w:val="231F20"/>
          <w:spacing w:val="-2"/>
          <w:w w:val="115"/>
          <w:sz w:val="19"/>
        </w:rPr>
        <w:t>channels?</w:t>
      </w:r>
    </w:p>
    <w:p>
      <w:pPr>
        <w:pStyle w:val="ListParagraph"/>
        <w:numPr>
          <w:ilvl w:val="0"/>
          <w:numId w:val="17"/>
        </w:numPr>
        <w:tabs>
          <w:tab w:pos="1445" w:val="left" w:leader="none"/>
        </w:tabs>
        <w:spacing w:line="328" w:lineRule="auto" w:before="82" w:after="0"/>
        <w:ind w:left="1445" w:right="669" w:hanging="186"/>
        <w:jc w:val="left"/>
        <w:rPr>
          <w:sz w:val="19"/>
        </w:rPr>
      </w:pPr>
      <w:r>
        <w:rPr>
          <w:i/>
          <w:color w:val="231F20"/>
          <w:w w:val="115"/>
          <w:sz w:val="19"/>
        </w:rPr>
        <w:t>Promotion</w:t>
      </w:r>
      <w:r>
        <w:rPr>
          <w:i/>
          <w:color w:val="231F20"/>
          <w:spacing w:val="-40"/>
          <w:w w:val="115"/>
          <w:sz w:val="19"/>
        </w:rPr>
        <w:t> </w:t>
      </w:r>
      <w:r>
        <w:rPr>
          <w:color w:val="231F20"/>
          <w:spacing w:val="14"/>
          <w:w w:val="115"/>
          <w:sz w:val="19"/>
        </w:rPr>
        <w:t>—</w:t>
      </w:r>
      <w:r>
        <w:rPr>
          <w:color w:val="231F20"/>
          <w:w w:val="115"/>
          <w:sz w:val="19"/>
        </w:rPr>
        <w:t>What is the buying process? How are $’s tar- geted to buying-process goals?</w:t>
      </w:r>
    </w:p>
    <w:p>
      <w:pPr>
        <w:pStyle w:val="ListParagraph"/>
        <w:numPr>
          <w:ilvl w:val="0"/>
          <w:numId w:val="17"/>
        </w:numPr>
        <w:tabs>
          <w:tab w:pos="1445" w:val="left" w:leader="none"/>
        </w:tabs>
        <w:spacing w:line="240" w:lineRule="auto" w:before="1" w:after="0"/>
        <w:ind w:left="1445" w:right="0" w:hanging="185"/>
        <w:jc w:val="left"/>
        <w:rPr>
          <w:sz w:val="19"/>
        </w:rPr>
      </w:pPr>
      <w:r>
        <w:rPr>
          <w:color w:val="231F20"/>
          <w:w w:val="110"/>
          <w:sz w:val="19"/>
        </w:rPr>
        <w:t>Push</w:t>
      </w:r>
      <w:r>
        <w:rPr>
          <w:color w:val="231F20"/>
          <w:spacing w:val="-3"/>
          <w:w w:val="110"/>
          <w:sz w:val="19"/>
        </w:rPr>
        <w:t> </w:t>
      </w:r>
      <w:r>
        <w:rPr>
          <w:color w:val="231F20"/>
          <w:w w:val="110"/>
          <w:sz w:val="19"/>
        </w:rPr>
        <w:t>or</w:t>
      </w:r>
      <w:r>
        <w:rPr>
          <w:color w:val="231F20"/>
          <w:spacing w:val="-3"/>
          <w:w w:val="110"/>
          <w:sz w:val="19"/>
        </w:rPr>
        <w:t> </w:t>
      </w:r>
      <w:r>
        <w:rPr>
          <w:color w:val="231F20"/>
          <w:w w:val="110"/>
          <w:sz w:val="19"/>
        </w:rPr>
        <w:t>pull</w:t>
      </w:r>
      <w:r>
        <w:rPr>
          <w:color w:val="231F20"/>
          <w:spacing w:val="-3"/>
          <w:w w:val="110"/>
          <w:sz w:val="19"/>
        </w:rPr>
        <w:t> </w:t>
      </w:r>
      <w:r>
        <w:rPr>
          <w:color w:val="231F20"/>
          <w:spacing w:val="-2"/>
          <w:w w:val="110"/>
          <w:sz w:val="19"/>
        </w:rPr>
        <w:t>strategy?</w:t>
      </w:r>
    </w:p>
    <w:p>
      <w:pPr>
        <w:pStyle w:val="ListParagraph"/>
        <w:numPr>
          <w:ilvl w:val="0"/>
          <w:numId w:val="17"/>
        </w:numPr>
        <w:tabs>
          <w:tab w:pos="1445" w:val="left" w:leader="none"/>
        </w:tabs>
        <w:spacing w:line="240" w:lineRule="auto" w:before="82" w:after="0"/>
        <w:ind w:left="1445" w:right="0" w:hanging="185"/>
        <w:jc w:val="left"/>
        <w:rPr>
          <w:sz w:val="19"/>
        </w:rPr>
      </w:pPr>
      <w:r>
        <w:rPr>
          <w:color w:val="231F20"/>
          <w:w w:val="105"/>
          <w:sz w:val="19"/>
        </w:rPr>
        <w:t>Media—</w:t>
      </w:r>
      <w:r>
        <w:rPr>
          <w:color w:val="231F20"/>
          <w:spacing w:val="-27"/>
          <w:w w:val="105"/>
          <w:sz w:val="19"/>
        </w:rPr>
        <w:t> </w:t>
      </w:r>
      <w:r>
        <w:rPr>
          <w:color w:val="231F20"/>
          <w:w w:val="105"/>
          <w:sz w:val="19"/>
        </w:rPr>
        <w:t>type,</w:t>
      </w:r>
      <w:r>
        <w:rPr>
          <w:color w:val="231F20"/>
          <w:spacing w:val="24"/>
          <w:w w:val="105"/>
          <w:sz w:val="19"/>
        </w:rPr>
        <w:t> </w:t>
      </w:r>
      <w:r>
        <w:rPr>
          <w:color w:val="231F20"/>
          <w:w w:val="105"/>
          <w:sz w:val="19"/>
        </w:rPr>
        <w:t>measure,</w:t>
      </w:r>
      <w:r>
        <w:rPr>
          <w:color w:val="231F20"/>
          <w:spacing w:val="24"/>
          <w:w w:val="105"/>
          <w:sz w:val="19"/>
        </w:rPr>
        <w:t> </w:t>
      </w:r>
      <w:r>
        <w:rPr>
          <w:color w:val="231F20"/>
          <w:spacing w:val="-2"/>
          <w:w w:val="105"/>
          <w:sz w:val="19"/>
        </w:rPr>
        <w:t>message?</w:t>
      </w:r>
    </w:p>
    <w:p>
      <w:pPr>
        <w:pStyle w:val="ListParagraph"/>
        <w:numPr>
          <w:ilvl w:val="0"/>
          <w:numId w:val="17"/>
        </w:numPr>
        <w:tabs>
          <w:tab w:pos="1445" w:val="left" w:leader="none"/>
        </w:tabs>
        <w:spacing w:line="240" w:lineRule="auto" w:before="81" w:after="0"/>
        <w:ind w:left="1445" w:right="0" w:hanging="185"/>
        <w:jc w:val="left"/>
        <w:rPr>
          <w:sz w:val="19"/>
        </w:rPr>
      </w:pPr>
      <w:r>
        <w:rPr>
          <w:color w:val="231F20"/>
          <w:w w:val="110"/>
          <w:sz w:val="19"/>
        </w:rPr>
        <w:t>Dealer</w:t>
      </w:r>
      <w:r>
        <w:rPr>
          <w:color w:val="231F20"/>
          <w:spacing w:val="-12"/>
          <w:w w:val="110"/>
          <w:sz w:val="19"/>
        </w:rPr>
        <w:t> </w:t>
      </w:r>
      <w:r>
        <w:rPr>
          <w:color w:val="231F20"/>
          <w:spacing w:val="-2"/>
          <w:w w:val="110"/>
          <w:sz w:val="19"/>
        </w:rPr>
        <w:t>incentives?</w:t>
      </w:r>
    </w:p>
    <w:p>
      <w:pPr>
        <w:pStyle w:val="ListParagraph"/>
        <w:numPr>
          <w:ilvl w:val="0"/>
          <w:numId w:val="17"/>
        </w:numPr>
        <w:tabs>
          <w:tab w:pos="1445" w:val="left" w:leader="none"/>
        </w:tabs>
        <w:spacing w:line="240" w:lineRule="auto" w:before="82" w:after="0"/>
        <w:ind w:left="1445" w:right="0" w:hanging="185"/>
        <w:jc w:val="left"/>
        <w:rPr>
          <w:sz w:val="19"/>
        </w:rPr>
      </w:pPr>
      <w:r>
        <w:rPr>
          <w:color w:val="231F20"/>
          <w:w w:val="110"/>
          <w:sz w:val="19"/>
        </w:rPr>
        <w:t>Consumer</w:t>
      </w:r>
      <w:r>
        <w:rPr>
          <w:color w:val="231F20"/>
          <w:spacing w:val="3"/>
          <w:w w:val="110"/>
          <w:sz w:val="19"/>
        </w:rPr>
        <w:t> </w:t>
      </w:r>
      <w:r>
        <w:rPr>
          <w:color w:val="231F20"/>
          <w:w w:val="110"/>
          <w:sz w:val="19"/>
        </w:rPr>
        <w:t>promos—</w:t>
      </w:r>
      <w:r>
        <w:rPr>
          <w:color w:val="231F20"/>
          <w:spacing w:val="-36"/>
          <w:w w:val="110"/>
          <w:sz w:val="19"/>
        </w:rPr>
        <w:t> </w:t>
      </w:r>
      <w:r>
        <w:rPr>
          <w:color w:val="231F20"/>
          <w:w w:val="110"/>
          <w:sz w:val="19"/>
        </w:rPr>
        <w:t>coupons,</w:t>
      </w:r>
      <w:r>
        <w:rPr>
          <w:color w:val="231F20"/>
          <w:spacing w:val="4"/>
          <w:w w:val="110"/>
          <w:sz w:val="19"/>
        </w:rPr>
        <w:t> </w:t>
      </w:r>
      <w:r>
        <w:rPr>
          <w:color w:val="231F20"/>
          <w:spacing w:val="-2"/>
          <w:w w:val="110"/>
          <w:sz w:val="19"/>
        </w:rPr>
        <w:t>contests?</w:t>
      </w:r>
    </w:p>
    <w:p>
      <w:pPr>
        <w:pStyle w:val="ListParagraph"/>
        <w:numPr>
          <w:ilvl w:val="0"/>
          <w:numId w:val="17"/>
        </w:numPr>
        <w:tabs>
          <w:tab w:pos="1445" w:val="left" w:leader="none"/>
        </w:tabs>
        <w:spacing w:line="240" w:lineRule="auto" w:before="81" w:after="0"/>
        <w:ind w:left="1445" w:right="0" w:hanging="185"/>
        <w:jc w:val="left"/>
        <w:rPr>
          <w:sz w:val="19"/>
        </w:rPr>
      </w:pPr>
      <w:r>
        <w:rPr>
          <w:i/>
          <w:color w:val="231F20"/>
          <w:w w:val="110"/>
          <w:sz w:val="19"/>
        </w:rPr>
        <w:t>Price</w:t>
      </w:r>
      <w:r>
        <w:rPr>
          <w:i/>
          <w:color w:val="231F20"/>
          <w:spacing w:val="-40"/>
          <w:w w:val="110"/>
          <w:sz w:val="19"/>
        </w:rPr>
        <w:t> </w:t>
      </w:r>
      <w:r>
        <w:rPr>
          <w:color w:val="231F20"/>
          <w:spacing w:val="12"/>
          <w:w w:val="110"/>
          <w:sz w:val="19"/>
        </w:rPr>
        <w:t>—</w:t>
      </w:r>
      <w:r>
        <w:rPr>
          <w:color w:val="231F20"/>
          <w:w w:val="110"/>
          <w:sz w:val="19"/>
        </w:rPr>
        <w:t>What</w:t>
      </w:r>
      <w:r>
        <w:rPr>
          <w:color w:val="231F20"/>
          <w:spacing w:val="-14"/>
          <w:w w:val="110"/>
          <w:sz w:val="19"/>
        </w:rPr>
        <w:t> </w:t>
      </w:r>
      <w:r>
        <w:rPr>
          <w:color w:val="231F20"/>
          <w:w w:val="110"/>
          <w:sz w:val="19"/>
        </w:rPr>
        <w:t>strategy?</w:t>
      </w:r>
      <w:r>
        <w:rPr>
          <w:color w:val="231F20"/>
          <w:spacing w:val="-11"/>
          <w:w w:val="110"/>
          <w:sz w:val="19"/>
        </w:rPr>
        <w:t> </w:t>
      </w:r>
      <w:r>
        <w:rPr>
          <w:color w:val="231F20"/>
          <w:w w:val="110"/>
          <w:sz w:val="19"/>
        </w:rPr>
        <w:t>Skim,</w:t>
      </w:r>
      <w:r>
        <w:rPr>
          <w:color w:val="231F20"/>
          <w:spacing w:val="-12"/>
          <w:w w:val="110"/>
          <w:sz w:val="19"/>
        </w:rPr>
        <w:t> </w:t>
      </w:r>
      <w:r>
        <w:rPr>
          <w:color w:val="231F20"/>
          <w:spacing w:val="-2"/>
          <w:w w:val="110"/>
          <w:sz w:val="19"/>
        </w:rPr>
        <w:t>penetrate?</w:t>
      </w:r>
    </w:p>
    <w:p>
      <w:pPr>
        <w:pStyle w:val="ListParagraph"/>
        <w:numPr>
          <w:ilvl w:val="0"/>
          <w:numId w:val="17"/>
        </w:numPr>
        <w:tabs>
          <w:tab w:pos="1445" w:val="left" w:leader="none"/>
        </w:tabs>
        <w:spacing w:line="240" w:lineRule="auto" w:before="82" w:after="0"/>
        <w:ind w:left="1445" w:right="0" w:hanging="185"/>
        <w:jc w:val="left"/>
        <w:rPr>
          <w:sz w:val="19"/>
        </w:rPr>
      </w:pPr>
      <w:r>
        <w:rPr>
          <w:color w:val="231F20"/>
          <w:w w:val="110"/>
          <w:sz w:val="19"/>
        </w:rPr>
        <w:t>Seek</w:t>
      </w:r>
      <w:r>
        <w:rPr>
          <w:color w:val="231F20"/>
          <w:spacing w:val="-4"/>
          <w:w w:val="110"/>
          <w:sz w:val="19"/>
        </w:rPr>
        <w:t> </w:t>
      </w:r>
      <w:r>
        <w:rPr>
          <w:color w:val="231F20"/>
          <w:w w:val="110"/>
          <w:sz w:val="19"/>
        </w:rPr>
        <w:t>volume</w:t>
      </w:r>
      <w:r>
        <w:rPr>
          <w:color w:val="231F20"/>
          <w:spacing w:val="-3"/>
          <w:w w:val="110"/>
          <w:sz w:val="19"/>
        </w:rPr>
        <w:t> </w:t>
      </w:r>
      <w:r>
        <w:rPr>
          <w:color w:val="231F20"/>
          <w:w w:val="110"/>
          <w:sz w:val="19"/>
        </w:rPr>
        <w:t>or</w:t>
      </w:r>
      <w:r>
        <w:rPr>
          <w:color w:val="231F20"/>
          <w:spacing w:val="-3"/>
          <w:w w:val="110"/>
          <w:sz w:val="19"/>
        </w:rPr>
        <w:t> </w:t>
      </w:r>
      <w:r>
        <w:rPr>
          <w:color w:val="231F20"/>
          <w:spacing w:val="-2"/>
          <w:w w:val="110"/>
          <w:sz w:val="19"/>
        </w:rPr>
        <w:t>profits?</w:t>
      </w:r>
    </w:p>
    <w:p>
      <w:pPr>
        <w:pStyle w:val="ListParagraph"/>
        <w:numPr>
          <w:ilvl w:val="0"/>
          <w:numId w:val="17"/>
        </w:numPr>
        <w:tabs>
          <w:tab w:pos="1445" w:val="left" w:leader="none"/>
        </w:tabs>
        <w:spacing w:line="240" w:lineRule="auto" w:before="81" w:after="0"/>
        <w:ind w:left="1445" w:right="0" w:hanging="185"/>
        <w:jc w:val="left"/>
        <w:rPr>
          <w:sz w:val="19"/>
        </w:rPr>
      </w:pPr>
      <w:r>
        <w:rPr>
          <w:color w:val="231F20"/>
          <w:w w:val="110"/>
          <w:sz w:val="19"/>
        </w:rPr>
        <w:t>Perceived</w:t>
      </w:r>
      <w:r>
        <w:rPr>
          <w:color w:val="231F20"/>
          <w:spacing w:val="-5"/>
          <w:w w:val="110"/>
          <w:sz w:val="19"/>
        </w:rPr>
        <w:t> </w:t>
      </w:r>
      <w:r>
        <w:rPr>
          <w:color w:val="231F20"/>
          <w:w w:val="110"/>
          <w:sz w:val="19"/>
        </w:rPr>
        <w:t>value,</w:t>
      </w:r>
      <w:r>
        <w:rPr>
          <w:color w:val="231F20"/>
          <w:spacing w:val="-5"/>
          <w:w w:val="110"/>
          <w:sz w:val="19"/>
        </w:rPr>
        <w:t> </w:t>
      </w:r>
      <w:r>
        <w:rPr>
          <w:color w:val="231F20"/>
          <w:w w:val="110"/>
          <w:sz w:val="19"/>
        </w:rPr>
        <w:t>cost-plus</w:t>
      </w:r>
      <w:r>
        <w:rPr>
          <w:color w:val="231F20"/>
          <w:spacing w:val="-5"/>
          <w:w w:val="110"/>
          <w:sz w:val="19"/>
        </w:rPr>
        <w:t> </w:t>
      </w:r>
      <w:r>
        <w:rPr>
          <w:color w:val="231F20"/>
          <w:spacing w:val="-2"/>
          <w:w w:val="110"/>
          <w:sz w:val="19"/>
        </w:rPr>
        <w:t>pricing?</w:t>
      </w:r>
    </w:p>
    <w:p>
      <w:pPr>
        <w:pStyle w:val="ListParagraph"/>
        <w:numPr>
          <w:ilvl w:val="0"/>
          <w:numId w:val="17"/>
        </w:numPr>
        <w:tabs>
          <w:tab w:pos="1445" w:val="left" w:leader="none"/>
        </w:tabs>
        <w:spacing w:line="328" w:lineRule="auto" w:before="82" w:after="0"/>
        <w:ind w:left="1445" w:right="668" w:hanging="186"/>
        <w:jc w:val="left"/>
        <w:rPr>
          <w:sz w:val="19"/>
        </w:rPr>
      </w:pPr>
      <w:r>
        <w:rPr>
          <w:color w:val="231F20"/>
          <w:w w:val="115"/>
          <w:sz w:val="19"/>
        </w:rPr>
        <w:t>How</w:t>
      </w:r>
      <w:r>
        <w:rPr>
          <w:color w:val="231F20"/>
          <w:spacing w:val="-13"/>
          <w:w w:val="115"/>
          <w:sz w:val="19"/>
        </w:rPr>
        <w:t> </w:t>
      </w:r>
      <w:r>
        <w:rPr>
          <w:color w:val="231F20"/>
          <w:w w:val="115"/>
          <w:sz w:val="19"/>
        </w:rPr>
        <w:t>does</w:t>
      </w:r>
      <w:r>
        <w:rPr>
          <w:color w:val="231F20"/>
          <w:spacing w:val="-13"/>
          <w:w w:val="115"/>
          <w:sz w:val="19"/>
        </w:rPr>
        <w:t> </w:t>
      </w:r>
      <w:r>
        <w:rPr>
          <w:color w:val="231F20"/>
          <w:w w:val="115"/>
          <w:sz w:val="19"/>
        </w:rPr>
        <w:t>price</w:t>
      </w:r>
      <w:r>
        <w:rPr>
          <w:color w:val="231F20"/>
          <w:spacing w:val="-13"/>
          <w:w w:val="115"/>
          <w:sz w:val="19"/>
        </w:rPr>
        <w:t> </w:t>
      </w:r>
      <w:r>
        <w:rPr>
          <w:color w:val="231F20"/>
          <w:w w:val="115"/>
          <w:sz w:val="19"/>
        </w:rPr>
        <w:t>relate</w:t>
      </w:r>
      <w:r>
        <w:rPr>
          <w:color w:val="231F20"/>
          <w:spacing w:val="-13"/>
          <w:w w:val="115"/>
          <w:sz w:val="19"/>
        </w:rPr>
        <w:t> </w:t>
      </w:r>
      <w:r>
        <w:rPr>
          <w:color w:val="231F20"/>
          <w:w w:val="115"/>
          <w:sz w:val="19"/>
        </w:rPr>
        <w:t>to</w:t>
      </w:r>
      <w:r>
        <w:rPr>
          <w:color w:val="231F20"/>
          <w:spacing w:val="-13"/>
          <w:w w:val="115"/>
          <w:sz w:val="19"/>
        </w:rPr>
        <w:t> </w:t>
      </w:r>
      <w:r>
        <w:rPr>
          <w:color w:val="231F20"/>
          <w:w w:val="115"/>
          <w:sz w:val="19"/>
        </w:rPr>
        <w:t>the</w:t>
      </w:r>
      <w:r>
        <w:rPr>
          <w:color w:val="231F20"/>
          <w:spacing w:val="-13"/>
          <w:w w:val="115"/>
          <w:sz w:val="19"/>
        </w:rPr>
        <w:t> </w:t>
      </w:r>
      <w:r>
        <w:rPr>
          <w:color w:val="231F20"/>
          <w:w w:val="115"/>
          <w:sz w:val="19"/>
        </w:rPr>
        <w:t>market,</w:t>
      </w:r>
      <w:r>
        <w:rPr>
          <w:color w:val="231F20"/>
          <w:spacing w:val="-13"/>
          <w:w w:val="115"/>
          <w:sz w:val="19"/>
        </w:rPr>
        <w:t> </w:t>
      </w:r>
      <w:r>
        <w:rPr>
          <w:color w:val="231F20"/>
          <w:w w:val="115"/>
          <w:sz w:val="19"/>
        </w:rPr>
        <w:t>size,</w:t>
      </w:r>
      <w:r>
        <w:rPr>
          <w:color w:val="231F20"/>
          <w:spacing w:val="-13"/>
          <w:w w:val="115"/>
          <w:sz w:val="19"/>
        </w:rPr>
        <w:t> </w:t>
      </w:r>
      <w:r>
        <w:rPr>
          <w:color w:val="231F20"/>
          <w:w w:val="115"/>
          <w:sz w:val="19"/>
        </w:rPr>
        <w:t>product</w:t>
      </w:r>
      <w:r>
        <w:rPr>
          <w:color w:val="231F20"/>
          <w:spacing w:val="-13"/>
          <w:w w:val="115"/>
          <w:sz w:val="19"/>
        </w:rPr>
        <w:t> </w:t>
      </w:r>
      <w:r>
        <w:rPr>
          <w:color w:val="231F20"/>
          <w:w w:val="115"/>
          <w:sz w:val="19"/>
        </w:rPr>
        <w:t>life</w:t>
      </w:r>
      <w:r>
        <w:rPr>
          <w:color w:val="231F20"/>
          <w:spacing w:val="-13"/>
          <w:w w:val="115"/>
          <w:sz w:val="19"/>
        </w:rPr>
        <w:t> </w:t>
      </w:r>
      <w:r>
        <w:rPr>
          <w:color w:val="231F20"/>
          <w:w w:val="115"/>
          <w:sz w:val="19"/>
        </w:rPr>
        <w:t>cycle, </w:t>
      </w:r>
      <w:r>
        <w:rPr>
          <w:color w:val="231F20"/>
          <w:spacing w:val="-2"/>
          <w:w w:val="115"/>
          <w:sz w:val="19"/>
        </w:rPr>
        <w:t>competition?</w:t>
      </w:r>
    </w:p>
    <w:p>
      <w:pPr>
        <w:spacing w:after="0" w:line="328" w:lineRule="auto"/>
        <w:jc w:val="left"/>
        <w:rPr>
          <w:sz w:val="19"/>
        </w:rPr>
        <w:sectPr>
          <w:pgSz w:w="8640" w:h="12960"/>
          <w:pgMar w:header="734" w:footer="0" w:top="920" w:bottom="280" w:left="340" w:right="500"/>
        </w:sectPr>
      </w:pPr>
    </w:p>
    <w:p>
      <w:pPr>
        <w:pStyle w:val="BodyText"/>
        <w:spacing w:before="1"/>
        <w:rPr>
          <w:rFonts w:ascii="Arial"/>
          <w:sz w:val="17"/>
        </w:rPr>
      </w:pPr>
    </w:p>
    <w:p>
      <w:pPr>
        <w:pStyle w:val="Heading6"/>
        <w:numPr>
          <w:ilvl w:val="0"/>
          <w:numId w:val="15"/>
        </w:numPr>
        <w:tabs>
          <w:tab w:pos="1412" w:val="left" w:leader="none"/>
        </w:tabs>
        <w:spacing w:line="240" w:lineRule="auto" w:before="107" w:after="0"/>
        <w:ind w:left="1411" w:right="0" w:hanging="242"/>
        <w:jc w:val="left"/>
        <w:rPr>
          <w:i/>
        </w:rPr>
      </w:pPr>
      <w:r>
        <w:rPr>
          <w:i/>
          <w:color w:val="231F20"/>
        </w:rPr>
        <w:t>Evaluate</w:t>
      </w:r>
      <w:r>
        <w:rPr>
          <w:i/>
          <w:color w:val="231F20"/>
          <w:spacing w:val="10"/>
        </w:rPr>
        <w:t> </w:t>
      </w:r>
      <w:r>
        <w:rPr>
          <w:i/>
          <w:color w:val="231F20"/>
        </w:rPr>
        <w:t>the</w:t>
      </w:r>
      <w:r>
        <w:rPr>
          <w:i/>
          <w:color w:val="231F20"/>
          <w:spacing w:val="11"/>
        </w:rPr>
        <w:t> </w:t>
      </w:r>
      <w:r>
        <w:rPr>
          <w:i/>
          <w:color w:val="231F20"/>
          <w:spacing w:val="-2"/>
        </w:rPr>
        <w:t>Economics</w:t>
      </w:r>
    </w:p>
    <w:p>
      <w:pPr>
        <w:pStyle w:val="ListParagraph"/>
        <w:numPr>
          <w:ilvl w:val="0"/>
          <w:numId w:val="13"/>
        </w:numPr>
        <w:tabs>
          <w:tab w:pos="1356" w:val="left" w:leader="none"/>
        </w:tabs>
        <w:spacing w:line="240" w:lineRule="auto" w:before="76" w:after="0"/>
        <w:ind w:left="1355" w:right="0" w:hanging="186"/>
        <w:jc w:val="left"/>
        <w:rPr>
          <w:sz w:val="19"/>
        </w:rPr>
      </w:pPr>
      <w:r>
        <w:rPr>
          <w:color w:val="231F20"/>
          <w:w w:val="110"/>
          <w:sz w:val="19"/>
        </w:rPr>
        <w:t>Break</w:t>
      </w:r>
      <w:r>
        <w:rPr>
          <w:color w:val="231F20"/>
          <w:spacing w:val="-11"/>
          <w:w w:val="110"/>
          <w:sz w:val="19"/>
        </w:rPr>
        <w:t> </w:t>
      </w:r>
      <w:r>
        <w:rPr>
          <w:color w:val="231F20"/>
          <w:w w:val="110"/>
          <w:sz w:val="19"/>
        </w:rPr>
        <w:t>even</w:t>
      </w:r>
      <w:r>
        <w:rPr>
          <w:color w:val="231F20"/>
          <w:spacing w:val="-10"/>
          <w:w w:val="110"/>
          <w:sz w:val="19"/>
        </w:rPr>
        <w:t> </w:t>
      </w:r>
      <w:r>
        <w:rPr>
          <w:color w:val="231F20"/>
          <w:w w:val="110"/>
          <w:sz w:val="19"/>
        </w:rPr>
        <w:t>in</w:t>
      </w:r>
      <w:r>
        <w:rPr>
          <w:color w:val="231F20"/>
          <w:spacing w:val="-11"/>
          <w:w w:val="110"/>
          <w:sz w:val="19"/>
        </w:rPr>
        <w:t> </w:t>
      </w:r>
      <w:r>
        <w:rPr>
          <w:color w:val="231F20"/>
          <w:spacing w:val="-2"/>
          <w:w w:val="110"/>
          <w:sz w:val="19"/>
        </w:rPr>
        <w:t>units.</w:t>
      </w:r>
    </w:p>
    <w:p>
      <w:pPr>
        <w:pStyle w:val="ListParagraph"/>
        <w:numPr>
          <w:ilvl w:val="0"/>
          <w:numId w:val="13"/>
        </w:numPr>
        <w:tabs>
          <w:tab w:pos="1356" w:val="left" w:leader="none"/>
        </w:tabs>
        <w:spacing w:line="328" w:lineRule="auto" w:before="81" w:after="0"/>
        <w:ind w:left="1355" w:right="756" w:hanging="185"/>
        <w:jc w:val="left"/>
        <w:rPr>
          <w:sz w:val="19"/>
        </w:rPr>
      </w:pPr>
      <w:r>
        <w:rPr>
          <w:color w:val="231F20"/>
          <w:w w:val="110"/>
          <w:sz w:val="19"/>
        </w:rPr>
        <w:t>Fixed Cost/(Selling—Variable Cost). Include fixed </w:t>
      </w:r>
      <w:r>
        <w:rPr>
          <w:color w:val="231F20"/>
          <w:w w:val="110"/>
          <w:sz w:val="19"/>
        </w:rPr>
        <w:t>marketing</w:t>
      </w:r>
      <w:r>
        <w:rPr>
          <w:color w:val="231F20"/>
          <w:w w:val="110"/>
          <w:sz w:val="19"/>
        </w:rPr>
        <w:t> </w:t>
      </w:r>
      <w:r>
        <w:rPr>
          <w:color w:val="231F20"/>
          <w:w w:val="115"/>
          <w:sz w:val="19"/>
        </w:rPr>
        <w:t>and promo costs in fixed costs of the plan!</w:t>
      </w:r>
    </w:p>
    <w:p>
      <w:pPr>
        <w:pStyle w:val="ListParagraph"/>
        <w:numPr>
          <w:ilvl w:val="0"/>
          <w:numId w:val="13"/>
        </w:numPr>
        <w:tabs>
          <w:tab w:pos="1356" w:val="left" w:leader="none"/>
        </w:tabs>
        <w:spacing w:line="240" w:lineRule="auto" w:before="1" w:after="0"/>
        <w:ind w:left="1355" w:right="0" w:hanging="186"/>
        <w:jc w:val="left"/>
        <w:rPr>
          <w:sz w:val="19"/>
        </w:rPr>
      </w:pPr>
      <w:r>
        <w:rPr>
          <w:color w:val="231F20"/>
          <w:w w:val="110"/>
          <w:sz w:val="19"/>
        </w:rPr>
        <w:t>Relate</w:t>
      </w:r>
      <w:r>
        <w:rPr>
          <w:color w:val="231F20"/>
          <w:spacing w:val="-6"/>
          <w:w w:val="110"/>
          <w:sz w:val="19"/>
        </w:rPr>
        <w:t> </w:t>
      </w:r>
      <w:r>
        <w:rPr>
          <w:color w:val="231F20"/>
          <w:w w:val="110"/>
          <w:sz w:val="19"/>
        </w:rPr>
        <w:t>break</w:t>
      </w:r>
      <w:r>
        <w:rPr>
          <w:color w:val="231F20"/>
          <w:spacing w:val="-6"/>
          <w:w w:val="110"/>
          <w:sz w:val="19"/>
        </w:rPr>
        <w:t> </w:t>
      </w:r>
      <w:r>
        <w:rPr>
          <w:color w:val="231F20"/>
          <w:w w:val="110"/>
          <w:sz w:val="19"/>
        </w:rPr>
        <w:t>even</w:t>
      </w:r>
      <w:r>
        <w:rPr>
          <w:color w:val="231F20"/>
          <w:spacing w:val="-6"/>
          <w:w w:val="110"/>
          <w:sz w:val="19"/>
        </w:rPr>
        <w:t> </w:t>
      </w:r>
      <w:r>
        <w:rPr>
          <w:color w:val="231F20"/>
          <w:w w:val="110"/>
          <w:sz w:val="19"/>
        </w:rPr>
        <w:t>to</w:t>
      </w:r>
      <w:r>
        <w:rPr>
          <w:color w:val="231F20"/>
          <w:spacing w:val="-6"/>
          <w:w w:val="110"/>
          <w:sz w:val="19"/>
        </w:rPr>
        <w:t> </w:t>
      </w:r>
      <w:r>
        <w:rPr>
          <w:color w:val="231F20"/>
          <w:w w:val="110"/>
          <w:sz w:val="19"/>
        </w:rPr>
        <w:t>relevant</w:t>
      </w:r>
      <w:r>
        <w:rPr>
          <w:color w:val="231F20"/>
          <w:spacing w:val="-5"/>
          <w:w w:val="110"/>
          <w:sz w:val="19"/>
        </w:rPr>
        <w:t> </w:t>
      </w:r>
      <w:r>
        <w:rPr>
          <w:color w:val="231F20"/>
          <w:spacing w:val="-2"/>
          <w:w w:val="110"/>
          <w:sz w:val="19"/>
        </w:rPr>
        <w:t>market.</w:t>
      </w:r>
    </w:p>
    <w:p>
      <w:pPr>
        <w:pStyle w:val="ListParagraph"/>
        <w:numPr>
          <w:ilvl w:val="0"/>
          <w:numId w:val="13"/>
        </w:numPr>
        <w:tabs>
          <w:tab w:pos="1356" w:val="left" w:leader="none"/>
        </w:tabs>
        <w:spacing w:line="240" w:lineRule="auto" w:before="82" w:after="0"/>
        <w:ind w:left="1355" w:right="0" w:hanging="186"/>
        <w:jc w:val="left"/>
        <w:rPr>
          <w:sz w:val="19"/>
        </w:rPr>
      </w:pPr>
      <w:r>
        <w:rPr>
          <w:color w:val="231F20"/>
          <w:w w:val="110"/>
          <w:sz w:val="19"/>
        </w:rPr>
        <w:t>What is</w:t>
      </w:r>
      <w:r>
        <w:rPr>
          <w:color w:val="231F20"/>
          <w:spacing w:val="1"/>
          <w:w w:val="110"/>
          <w:sz w:val="19"/>
        </w:rPr>
        <w:t> </w:t>
      </w:r>
      <w:r>
        <w:rPr>
          <w:color w:val="231F20"/>
          <w:w w:val="110"/>
          <w:sz w:val="19"/>
        </w:rPr>
        <w:t>the</w:t>
      </w:r>
      <w:r>
        <w:rPr>
          <w:color w:val="231F20"/>
          <w:spacing w:val="1"/>
          <w:w w:val="110"/>
          <w:sz w:val="19"/>
        </w:rPr>
        <w:t> </w:t>
      </w:r>
      <w:r>
        <w:rPr>
          <w:color w:val="231F20"/>
          <w:w w:val="110"/>
          <w:sz w:val="19"/>
        </w:rPr>
        <w:t>payback period?</w:t>
      </w:r>
      <w:r>
        <w:rPr>
          <w:color w:val="231F20"/>
          <w:spacing w:val="1"/>
          <w:w w:val="110"/>
          <w:sz w:val="19"/>
        </w:rPr>
        <w:t> </w:t>
      </w:r>
      <w:r>
        <w:rPr>
          <w:color w:val="231F20"/>
          <w:w w:val="110"/>
          <w:sz w:val="19"/>
        </w:rPr>
        <w:t>Exclude</w:t>
      </w:r>
      <w:r>
        <w:rPr>
          <w:color w:val="231F20"/>
          <w:spacing w:val="1"/>
          <w:w w:val="110"/>
          <w:sz w:val="19"/>
        </w:rPr>
        <w:t> </w:t>
      </w:r>
      <w:r>
        <w:rPr>
          <w:color w:val="231F20"/>
          <w:w w:val="110"/>
          <w:sz w:val="19"/>
        </w:rPr>
        <w:t>sunk </w:t>
      </w:r>
      <w:r>
        <w:rPr>
          <w:color w:val="231F20"/>
          <w:spacing w:val="-2"/>
          <w:w w:val="110"/>
          <w:sz w:val="19"/>
        </w:rPr>
        <w:t>costs!</w:t>
      </w:r>
    </w:p>
    <w:p>
      <w:pPr>
        <w:pStyle w:val="ListParagraph"/>
        <w:numPr>
          <w:ilvl w:val="0"/>
          <w:numId w:val="13"/>
        </w:numPr>
        <w:tabs>
          <w:tab w:pos="1356" w:val="left" w:leader="none"/>
        </w:tabs>
        <w:spacing w:line="240" w:lineRule="auto" w:before="82" w:after="0"/>
        <w:ind w:left="1355" w:right="0" w:hanging="186"/>
        <w:jc w:val="left"/>
        <w:rPr>
          <w:sz w:val="19"/>
        </w:rPr>
      </w:pPr>
      <w:r>
        <w:rPr>
          <w:color w:val="231F20"/>
          <w:w w:val="110"/>
          <w:sz w:val="19"/>
        </w:rPr>
        <w:t>Are</w:t>
      </w:r>
      <w:r>
        <w:rPr>
          <w:color w:val="231F20"/>
          <w:spacing w:val="-11"/>
          <w:w w:val="110"/>
          <w:sz w:val="19"/>
        </w:rPr>
        <w:t> </w:t>
      </w:r>
      <w:r>
        <w:rPr>
          <w:color w:val="231F20"/>
          <w:w w:val="110"/>
          <w:sz w:val="19"/>
        </w:rPr>
        <w:t>goals</w:t>
      </w:r>
      <w:r>
        <w:rPr>
          <w:color w:val="231F20"/>
          <w:spacing w:val="-11"/>
          <w:w w:val="110"/>
          <w:sz w:val="19"/>
        </w:rPr>
        <w:t> </w:t>
      </w:r>
      <w:r>
        <w:rPr>
          <w:color w:val="231F20"/>
          <w:w w:val="110"/>
          <w:sz w:val="19"/>
        </w:rPr>
        <w:t>reasonable?</w:t>
      </w:r>
      <w:r>
        <w:rPr>
          <w:color w:val="231F20"/>
          <w:spacing w:val="-11"/>
          <w:w w:val="110"/>
          <w:sz w:val="19"/>
        </w:rPr>
        <w:t> </w:t>
      </w:r>
      <w:r>
        <w:rPr>
          <w:color w:val="231F20"/>
          <w:spacing w:val="-2"/>
          <w:w w:val="110"/>
          <w:sz w:val="19"/>
        </w:rPr>
        <w:t>Attainable?</w:t>
      </w:r>
    </w:p>
    <w:p>
      <w:pPr>
        <w:pStyle w:val="BodyText"/>
        <w:rPr>
          <w:rFonts w:ascii="Arial"/>
          <w:sz w:val="20"/>
        </w:rPr>
      </w:pPr>
    </w:p>
    <w:p>
      <w:pPr>
        <w:pStyle w:val="BodyText"/>
        <w:rPr>
          <w:rFonts w:ascii="Arial"/>
          <w:sz w:val="20"/>
        </w:rPr>
      </w:pPr>
    </w:p>
    <w:p>
      <w:pPr>
        <w:pStyle w:val="Heading4"/>
        <w:spacing w:before="174"/>
        <w:ind w:left="301"/>
      </w:pPr>
      <w:r>
        <w:rPr>
          <w:color w:val="231F20"/>
          <w:w w:val="85"/>
        </w:rPr>
        <w:t>KEY</w:t>
      </w:r>
      <w:r>
        <w:rPr>
          <w:color w:val="231F20"/>
          <w:spacing w:val="17"/>
        </w:rPr>
        <w:t> </w:t>
      </w:r>
      <w:r>
        <w:rPr>
          <w:color w:val="231F20"/>
          <w:spacing w:val="9"/>
          <w:w w:val="85"/>
        </w:rPr>
        <w:t>MARKETING</w:t>
      </w:r>
      <w:r>
        <w:rPr>
          <w:color w:val="231F20"/>
          <w:spacing w:val="17"/>
        </w:rPr>
        <w:t> </w:t>
      </w:r>
      <w:r>
        <w:rPr>
          <w:color w:val="231F20"/>
          <w:spacing w:val="-2"/>
          <w:w w:val="85"/>
        </w:rPr>
        <w:t>TAKEAWAYS</w:t>
      </w:r>
    </w:p>
    <w:p>
      <w:pPr>
        <w:pStyle w:val="BodyText"/>
        <w:spacing w:before="10"/>
        <w:rPr>
          <w:rFonts w:ascii="Trebuchet MS"/>
          <w:sz w:val="29"/>
        </w:rPr>
      </w:pPr>
    </w:p>
    <w:p>
      <w:pPr>
        <w:pStyle w:val="Heading6"/>
        <w:ind w:left="1170" w:right="0"/>
        <w:jc w:val="left"/>
        <w:rPr>
          <w:i/>
        </w:rPr>
      </w:pPr>
      <w:r>
        <w:rPr>
          <w:i/>
          <w:color w:val="231F20"/>
        </w:rPr>
        <w:t>The</w:t>
      </w:r>
      <w:r>
        <w:rPr>
          <w:i/>
          <w:color w:val="231F20"/>
          <w:spacing w:val="11"/>
        </w:rPr>
        <w:t> </w:t>
      </w:r>
      <w:r>
        <w:rPr>
          <w:i/>
          <w:color w:val="231F20"/>
        </w:rPr>
        <w:t>7</w:t>
      </w:r>
      <w:r>
        <w:rPr>
          <w:i/>
          <w:color w:val="231F20"/>
          <w:spacing w:val="12"/>
        </w:rPr>
        <w:t> </w:t>
      </w:r>
      <w:r>
        <w:rPr>
          <w:i/>
          <w:color w:val="231F20"/>
        </w:rPr>
        <w:t>Steps</w:t>
      </w:r>
      <w:r>
        <w:rPr>
          <w:i/>
          <w:color w:val="231F20"/>
          <w:spacing w:val="12"/>
        </w:rPr>
        <w:t> </w:t>
      </w:r>
      <w:r>
        <w:rPr>
          <w:i/>
          <w:color w:val="231F20"/>
        </w:rPr>
        <w:t>of</w:t>
      </w:r>
      <w:r>
        <w:rPr>
          <w:i/>
          <w:color w:val="231F20"/>
          <w:spacing w:val="12"/>
        </w:rPr>
        <w:t> </w:t>
      </w:r>
      <w:r>
        <w:rPr>
          <w:i/>
          <w:color w:val="231F20"/>
        </w:rPr>
        <w:t>Market</w:t>
      </w:r>
      <w:r>
        <w:rPr>
          <w:i/>
          <w:color w:val="231F20"/>
          <w:spacing w:val="12"/>
        </w:rPr>
        <w:t> </w:t>
      </w:r>
      <w:r>
        <w:rPr>
          <w:i/>
          <w:color w:val="231F20"/>
        </w:rPr>
        <w:t>Strategy</w:t>
      </w:r>
      <w:r>
        <w:rPr>
          <w:i/>
          <w:color w:val="231F20"/>
          <w:spacing w:val="12"/>
        </w:rPr>
        <w:t> </w:t>
      </w:r>
      <w:r>
        <w:rPr>
          <w:i/>
          <w:color w:val="231F20"/>
          <w:spacing w:val="-2"/>
        </w:rPr>
        <w:t>Development</w:t>
      </w:r>
    </w:p>
    <w:p>
      <w:pPr>
        <w:pStyle w:val="ListParagraph"/>
        <w:numPr>
          <w:ilvl w:val="1"/>
          <w:numId w:val="15"/>
        </w:numPr>
        <w:tabs>
          <w:tab w:pos="1521" w:val="left" w:leader="none"/>
        </w:tabs>
        <w:spacing w:line="240" w:lineRule="auto" w:before="75" w:after="0"/>
        <w:ind w:left="1520" w:right="0" w:hanging="171"/>
        <w:jc w:val="left"/>
        <w:rPr>
          <w:sz w:val="19"/>
        </w:rPr>
      </w:pPr>
      <w:r>
        <w:rPr>
          <w:color w:val="231F20"/>
          <w:w w:val="110"/>
          <w:sz w:val="19"/>
        </w:rPr>
        <w:t>Consumer</w:t>
      </w:r>
      <w:r>
        <w:rPr>
          <w:color w:val="231F20"/>
          <w:spacing w:val="-4"/>
          <w:w w:val="110"/>
          <w:sz w:val="19"/>
        </w:rPr>
        <w:t> </w:t>
      </w:r>
      <w:r>
        <w:rPr>
          <w:color w:val="231F20"/>
          <w:spacing w:val="-2"/>
          <w:w w:val="110"/>
          <w:sz w:val="19"/>
        </w:rPr>
        <w:t>analysis</w:t>
      </w:r>
    </w:p>
    <w:p>
      <w:pPr>
        <w:pStyle w:val="ListParagraph"/>
        <w:numPr>
          <w:ilvl w:val="1"/>
          <w:numId w:val="15"/>
        </w:numPr>
        <w:tabs>
          <w:tab w:pos="1521" w:val="left" w:leader="none"/>
        </w:tabs>
        <w:spacing w:line="240" w:lineRule="auto" w:before="82" w:after="0"/>
        <w:ind w:left="1520" w:right="0" w:hanging="220"/>
        <w:jc w:val="left"/>
        <w:rPr>
          <w:sz w:val="19"/>
        </w:rPr>
      </w:pPr>
      <w:r>
        <w:rPr>
          <w:color w:val="231F20"/>
          <w:w w:val="110"/>
          <w:sz w:val="19"/>
        </w:rPr>
        <w:t>Market</w:t>
      </w:r>
      <w:r>
        <w:rPr>
          <w:color w:val="231F20"/>
          <w:spacing w:val="-2"/>
          <w:w w:val="110"/>
          <w:sz w:val="19"/>
        </w:rPr>
        <w:t> analysis</w:t>
      </w:r>
    </w:p>
    <w:p>
      <w:pPr>
        <w:pStyle w:val="ListParagraph"/>
        <w:numPr>
          <w:ilvl w:val="1"/>
          <w:numId w:val="15"/>
        </w:numPr>
        <w:tabs>
          <w:tab w:pos="1521" w:val="left" w:leader="none"/>
        </w:tabs>
        <w:spacing w:line="240" w:lineRule="auto" w:before="82" w:after="0"/>
        <w:ind w:left="1520" w:right="0" w:hanging="224"/>
        <w:jc w:val="left"/>
        <w:rPr>
          <w:sz w:val="19"/>
        </w:rPr>
      </w:pPr>
      <w:r>
        <w:rPr>
          <w:color w:val="231F20"/>
          <w:w w:val="115"/>
          <w:sz w:val="19"/>
        </w:rPr>
        <w:t>Competitive</w:t>
      </w:r>
      <w:r>
        <w:rPr>
          <w:color w:val="231F20"/>
          <w:spacing w:val="-13"/>
          <w:w w:val="115"/>
          <w:sz w:val="19"/>
        </w:rPr>
        <w:t> </w:t>
      </w:r>
      <w:r>
        <w:rPr>
          <w:color w:val="231F20"/>
          <w:spacing w:val="-2"/>
          <w:w w:val="115"/>
          <w:sz w:val="19"/>
        </w:rPr>
        <w:t>analysis</w:t>
      </w:r>
    </w:p>
    <w:p>
      <w:pPr>
        <w:pStyle w:val="ListParagraph"/>
        <w:numPr>
          <w:ilvl w:val="1"/>
          <w:numId w:val="15"/>
        </w:numPr>
        <w:tabs>
          <w:tab w:pos="1521" w:val="left" w:leader="none"/>
        </w:tabs>
        <w:spacing w:line="240" w:lineRule="auto" w:before="81" w:after="0"/>
        <w:ind w:left="1520" w:right="0" w:hanging="234"/>
        <w:jc w:val="left"/>
        <w:rPr>
          <w:sz w:val="19"/>
        </w:rPr>
      </w:pPr>
      <w:r>
        <w:rPr>
          <w:color w:val="231F20"/>
          <w:w w:val="110"/>
          <w:sz w:val="19"/>
        </w:rPr>
        <w:t>Distribution</w:t>
      </w:r>
      <w:r>
        <w:rPr>
          <w:color w:val="231F20"/>
          <w:spacing w:val="22"/>
          <w:w w:val="110"/>
          <w:sz w:val="19"/>
        </w:rPr>
        <w:t> </w:t>
      </w:r>
      <w:r>
        <w:rPr>
          <w:color w:val="231F20"/>
          <w:w w:val="110"/>
          <w:sz w:val="19"/>
        </w:rPr>
        <w:t>channel</w:t>
      </w:r>
      <w:r>
        <w:rPr>
          <w:color w:val="231F20"/>
          <w:spacing w:val="22"/>
          <w:w w:val="110"/>
          <w:sz w:val="19"/>
        </w:rPr>
        <w:t> </w:t>
      </w:r>
      <w:r>
        <w:rPr>
          <w:color w:val="231F20"/>
          <w:spacing w:val="-2"/>
          <w:w w:val="110"/>
          <w:sz w:val="19"/>
        </w:rPr>
        <w:t>analysis</w:t>
      </w:r>
    </w:p>
    <w:p>
      <w:pPr>
        <w:pStyle w:val="ListParagraph"/>
        <w:numPr>
          <w:ilvl w:val="1"/>
          <w:numId w:val="15"/>
        </w:numPr>
        <w:tabs>
          <w:tab w:pos="1521" w:val="left" w:leader="none"/>
        </w:tabs>
        <w:spacing w:line="240" w:lineRule="auto" w:before="82" w:after="0"/>
        <w:ind w:left="1520" w:right="0" w:hanging="223"/>
        <w:jc w:val="left"/>
        <w:rPr>
          <w:sz w:val="19"/>
        </w:rPr>
      </w:pPr>
      <w:r>
        <w:rPr>
          <w:color w:val="231F20"/>
          <w:spacing w:val="-2"/>
          <w:w w:val="115"/>
          <w:sz w:val="19"/>
        </w:rPr>
        <w:t>Develop</w:t>
      </w:r>
      <w:r>
        <w:rPr>
          <w:color w:val="231F20"/>
          <w:spacing w:val="-7"/>
          <w:w w:val="115"/>
          <w:sz w:val="19"/>
        </w:rPr>
        <w:t> </w:t>
      </w:r>
      <w:r>
        <w:rPr>
          <w:color w:val="231F20"/>
          <w:spacing w:val="-2"/>
          <w:w w:val="115"/>
          <w:sz w:val="19"/>
        </w:rPr>
        <w:t>the</w:t>
      </w:r>
      <w:r>
        <w:rPr>
          <w:color w:val="231F20"/>
          <w:spacing w:val="-7"/>
          <w:w w:val="115"/>
          <w:sz w:val="19"/>
        </w:rPr>
        <w:t> </w:t>
      </w:r>
      <w:r>
        <w:rPr>
          <w:color w:val="231F20"/>
          <w:spacing w:val="-2"/>
          <w:w w:val="115"/>
          <w:sz w:val="19"/>
        </w:rPr>
        <w:t>marketing</w:t>
      </w:r>
      <w:r>
        <w:rPr>
          <w:color w:val="231F20"/>
          <w:spacing w:val="-7"/>
          <w:w w:val="115"/>
          <w:sz w:val="19"/>
        </w:rPr>
        <w:t> </w:t>
      </w:r>
      <w:r>
        <w:rPr>
          <w:color w:val="231F20"/>
          <w:spacing w:val="-5"/>
          <w:w w:val="115"/>
          <w:sz w:val="19"/>
        </w:rPr>
        <w:t>mix</w:t>
      </w:r>
    </w:p>
    <w:p>
      <w:pPr>
        <w:pStyle w:val="ListParagraph"/>
        <w:numPr>
          <w:ilvl w:val="1"/>
          <w:numId w:val="15"/>
        </w:numPr>
        <w:tabs>
          <w:tab w:pos="1521" w:val="left" w:leader="none"/>
        </w:tabs>
        <w:spacing w:line="240" w:lineRule="auto" w:before="81" w:after="0"/>
        <w:ind w:left="1520" w:right="0" w:hanging="230"/>
        <w:jc w:val="left"/>
        <w:rPr>
          <w:sz w:val="19"/>
        </w:rPr>
      </w:pPr>
      <w:r>
        <w:rPr>
          <w:color w:val="231F20"/>
          <w:w w:val="110"/>
          <w:sz w:val="19"/>
        </w:rPr>
        <w:t>Determine</w:t>
      </w:r>
      <w:r>
        <w:rPr>
          <w:color w:val="231F20"/>
          <w:spacing w:val="13"/>
          <w:w w:val="110"/>
          <w:sz w:val="19"/>
        </w:rPr>
        <w:t> </w:t>
      </w:r>
      <w:r>
        <w:rPr>
          <w:color w:val="231F20"/>
          <w:w w:val="110"/>
          <w:sz w:val="19"/>
        </w:rPr>
        <w:t>the</w:t>
      </w:r>
      <w:r>
        <w:rPr>
          <w:color w:val="231F20"/>
          <w:spacing w:val="13"/>
          <w:w w:val="110"/>
          <w:sz w:val="19"/>
        </w:rPr>
        <w:t> </w:t>
      </w:r>
      <w:r>
        <w:rPr>
          <w:color w:val="231F20"/>
          <w:spacing w:val="-2"/>
          <w:w w:val="110"/>
          <w:sz w:val="19"/>
        </w:rPr>
        <w:t>economics</w:t>
      </w:r>
    </w:p>
    <w:p>
      <w:pPr>
        <w:pStyle w:val="ListParagraph"/>
        <w:numPr>
          <w:ilvl w:val="1"/>
          <w:numId w:val="15"/>
        </w:numPr>
        <w:tabs>
          <w:tab w:pos="1520" w:val="left" w:leader="none"/>
        </w:tabs>
        <w:spacing w:line="240" w:lineRule="auto" w:before="82" w:after="0"/>
        <w:ind w:left="1520" w:right="0" w:hanging="199"/>
        <w:jc w:val="left"/>
        <w:rPr>
          <w:sz w:val="19"/>
        </w:rPr>
      </w:pPr>
      <w:r>
        <w:rPr>
          <w:color w:val="231F20"/>
          <w:spacing w:val="-2"/>
          <w:w w:val="105"/>
          <w:sz w:val="19"/>
        </w:rPr>
        <w:t>Revise</w:t>
      </w:r>
    </w:p>
    <w:p>
      <w:pPr>
        <w:pStyle w:val="BodyText"/>
        <w:rPr>
          <w:rFonts w:ascii="Arial"/>
          <w:sz w:val="20"/>
        </w:rPr>
      </w:pPr>
    </w:p>
    <w:p>
      <w:pPr>
        <w:spacing w:line="328" w:lineRule="auto" w:before="161"/>
        <w:ind w:left="1509" w:right="1262" w:hanging="340"/>
        <w:jc w:val="left"/>
        <w:rPr>
          <w:rFonts w:ascii="Arial" w:hAnsi="Arial"/>
          <w:sz w:val="19"/>
        </w:rPr>
      </w:pPr>
      <w:r>
        <w:rPr>
          <w:rFonts w:ascii="Arial" w:hAnsi="Arial"/>
          <w:i/>
          <w:color w:val="231F20"/>
          <w:w w:val="110"/>
          <w:sz w:val="19"/>
        </w:rPr>
        <w:t>Need Categories</w:t>
      </w:r>
      <w:r>
        <w:rPr>
          <w:rFonts w:ascii="Arial" w:hAnsi="Arial"/>
          <w:i/>
          <w:color w:val="231F20"/>
          <w:spacing w:val="-37"/>
          <w:w w:val="110"/>
          <w:sz w:val="19"/>
        </w:rPr>
        <w:t> </w:t>
      </w:r>
      <w:r>
        <w:rPr>
          <w:rFonts w:ascii="Arial" w:hAnsi="Arial"/>
          <w:color w:val="231F20"/>
          <w:spacing w:val="11"/>
          <w:w w:val="110"/>
          <w:sz w:val="19"/>
        </w:rPr>
        <w:t>—</w:t>
      </w:r>
      <w:r>
        <w:rPr>
          <w:rFonts w:ascii="Arial" w:hAnsi="Arial"/>
          <w:color w:val="231F20"/>
          <w:w w:val="110"/>
          <w:sz w:val="19"/>
        </w:rPr>
        <w:t>All the possible uses of a product </w:t>
      </w:r>
      <w:r>
        <w:rPr>
          <w:rFonts w:ascii="Arial" w:hAnsi="Arial"/>
          <w:color w:val="231F20"/>
          <w:w w:val="110"/>
          <w:sz w:val="19"/>
        </w:rPr>
        <w:t>or </w:t>
      </w:r>
      <w:r>
        <w:rPr>
          <w:rFonts w:ascii="Arial" w:hAnsi="Arial"/>
          <w:color w:val="231F20"/>
          <w:spacing w:val="-2"/>
          <w:w w:val="110"/>
          <w:sz w:val="19"/>
        </w:rPr>
        <w:t>service</w:t>
      </w:r>
    </w:p>
    <w:p>
      <w:pPr>
        <w:spacing w:before="1"/>
        <w:ind w:left="1169" w:right="0" w:firstLine="0"/>
        <w:jc w:val="left"/>
        <w:rPr>
          <w:rFonts w:ascii="Arial" w:hAnsi="Arial"/>
          <w:sz w:val="19"/>
        </w:rPr>
      </w:pPr>
      <w:r>
        <w:rPr>
          <w:rFonts w:ascii="Arial" w:hAnsi="Arial"/>
          <w:i/>
          <w:color w:val="231F20"/>
          <w:w w:val="110"/>
          <w:sz w:val="19"/>
        </w:rPr>
        <w:t>The</w:t>
      </w:r>
      <w:r>
        <w:rPr>
          <w:rFonts w:ascii="Arial" w:hAnsi="Arial"/>
          <w:i/>
          <w:color w:val="231F20"/>
          <w:spacing w:val="-7"/>
          <w:w w:val="110"/>
          <w:sz w:val="19"/>
        </w:rPr>
        <w:t> </w:t>
      </w:r>
      <w:r>
        <w:rPr>
          <w:rFonts w:ascii="Arial" w:hAnsi="Arial"/>
          <w:i/>
          <w:color w:val="231F20"/>
          <w:w w:val="110"/>
          <w:sz w:val="19"/>
        </w:rPr>
        <w:t>Buying</w:t>
      </w:r>
      <w:r>
        <w:rPr>
          <w:rFonts w:ascii="Arial" w:hAnsi="Arial"/>
          <w:i/>
          <w:color w:val="231F20"/>
          <w:spacing w:val="-6"/>
          <w:w w:val="110"/>
          <w:sz w:val="19"/>
        </w:rPr>
        <w:t> </w:t>
      </w:r>
      <w:r>
        <w:rPr>
          <w:rFonts w:ascii="Arial" w:hAnsi="Arial"/>
          <w:i/>
          <w:color w:val="231F20"/>
          <w:w w:val="110"/>
          <w:sz w:val="19"/>
        </w:rPr>
        <w:t>Process</w:t>
      </w:r>
      <w:r>
        <w:rPr>
          <w:rFonts w:ascii="Arial" w:hAnsi="Arial"/>
          <w:i/>
          <w:color w:val="231F20"/>
          <w:spacing w:val="-39"/>
          <w:w w:val="110"/>
          <w:sz w:val="19"/>
        </w:rPr>
        <w:t> </w:t>
      </w:r>
      <w:r>
        <w:rPr>
          <w:rFonts w:ascii="Arial" w:hAnsi="Arial"/>
          <w:color w:val="231F20"/>
          <w:w w:val="110"/>
          <w:sz w:val="19"/>
        </w:rPr>
        <w:t>—The</w:t>
      </w:r>
      <w:r>
        <w:rPr>
          <w:rFonts w:ascii="Arial" w:hAnsi="Arial"/>
          <w:color w:val="231F20"/>
          <w:spacing w:val="-5"/>
          <w:w w:val="110"/>
          <w:sz w:val="19"/>
        </w:rPr>
        <w:t> </w:t>
      </w:r>
      <w:r>
        <w:rPr>
          <w:rFonts w:ascii="Arial" w:hAnsi="Arial"/>
          <w:color w:val="231F20"/>
          <w:w w:val="110"/>
          <w:sz w:val="19"/>
        </w:rPr>
        <w:t>stages</w:t>
      </w:r>
      <w:r>
        <w:rPr>
          <w:rFonts w:ascii="Arial" w:hAnsi="Arial"/>
          <w:color w:val="231F20"/>
          <w:spacing w:val="-6"/>
          <w:w w:val="110"/>
          <w:sz w:val="19"/>
        </w:rPr>
        <w:t> </w:t>
      </w:r>
      <w:r>
        <w:rPr>
          <w:rFonts w:ascii="Arial" w:hAnsi="Arial"/>
          <w:color w:val="231F20"/>
          <w:w w:val="110"/>
          <w:sz w:val="19"/>
        </w:rPr>
        <w:t>of</w:t>
      </w:r>
      <w:r>
        <w:rPr>
          <w:rFonts w:ascii="Arial" w:hAnsi="Arial"/>
          <w:color w:val="231F20"/>
          <w:spacing w:val="-5"/>
          <w:w w:val="110"/>
          <w:sz w:val="19"/>
        </w:rPr>
        <w:t> </w:t>
      </w:r>
      <w:r>
        <w:rPr>
          <w:rFonts w:ascii="Arial" w:hAnsi="Arial"/>
          <w:color w:val="231F20"/>
          <w:w w:val="110"/>
          <w:sz w:val="19"/>
        </w:rPr>
        <w:t>making</w:t>
      </w:r>
      <w:r>
        <w:rPr>
          <w:rFonts w:ascii="Arial" w:hAnsi="Arial"/>
          <w:color w:val="231F20"/>
          <w:spacing w:val="-5"/>
          <w:w w:val="110"/>
          <w:sz w:val="19"/>
        </w:rPr>
        <w:t> </w:t>
      </w:r>
      <w:r>
        <w:rPr>
          <w:rFonts w:ascii="Arial" w:hAnsi="Arial"/>
          <w:color w:val="231F20"/>
          <w:w w:val="110"/>
          <w:sz w:val="19"/>
        </w:rPr>
        <w:t>a</w:t>
      </w:r>
      <w:r>
        <w:rPr>
          <w:rFonts w:ascii="Arial" w:hAnsi="Arial"/>
          <w:color w:val="231F20"/>
          <w:spacing w:val="-5"/>
          <w:w w:val="110"/>
          <w:sz w:val="19"/>
        </w:rPr>
        <w:t> </w:t>
      </w:r>
      <w:r>
        <w:rPr>
          <w:rFonts w:ascii="Arial" w:hAnsi="Arial"/>
          <w:color w:val="231F20"/>
          <w:spacing w:val="-2"/>
          <w:w w:val="110"/>
          <w:sz w:val="19"/>
        </w:rPr>
        <w:t>purchase</w:t>
      </w:r>
    </w:p>
    <w:p>
      <w:pPr>
        <w:spacing w:line="328" w:lineRule="auto" w:before="82"/>
        <w:ind w:left="1509" w:right="1045" w:hanging="340"/>
        <w:jc w:val="left"/>
        <w:rPr>
          <w:rFonts w:ascii="Arial" w:hAnsi="Arial"/>
          <w:sz w:val="19"/>
        </w:rPr>
      </w:pPr>
      <w:r>
        <w:rPr>
          <w:rFonts w:ascii="Arial" w:hAnsi="Arial"/>
          <w:i/>
          <w:color w:val="231F20"/>
          <w:w w:val="115"/>
          <w:sz w:val="19"/>
        </w:rPr>
        <w:t>Product</w:t>
      </w:r>
      <w:r>
        <w:rPr>
          <w:rFonts w:ascii="Arial" w:hAnsi="Arial"/>
          <w:i/>
          <w:color w:val="231F20"/>
          <w:spacing w:val="-15"/>
          <w:w w:val="115"/>
          <w:sz w:val="19"/>
        </w:rPr>
        <w:t> </w:t>
      </w:r>
      <w:r>
        <w:rPr>
          <w:rFonts w:ascii="Arial" w:hAnsi="Arial"/>
          <w:i/>
          <w:color w:val="231F20"/>
          <w:w w:val="115"/>
          <w:sz w:val="19"/>
        </w:rPr>
        <w:t>Involvement</w:t>
      </w:r>
      <w:r>
        <w:rPr>
          <w:rFonts w:ascii="Arial" w:hAnsi="Arial"/>
          <w:i/>
          <w:color w:val="231F20"/>
          <w:spacing w:val="-42"/>
          <w:w w:val="115"/>
          <w:sz w:val="19"/>
        </w:rPr>
        <w:t> </w:t>
      </w:r>
      <w:r>
        <w:rPr>
          <w:rFonts w:ascii="Arial" w:hAnsi="Arial"/>
          <w:color w:val="231F20"/>
          <w:w w:val="115"/>
          <w:sz w:val="19"/>
        </w:rPr>
        <w:t>—The</w:t>
      </w:r>
      <w:r>
        <w:rPr>
          <w:rFonts w:ascii="Arial" w:hAnsi="Arial"/>
          <w:color w:val="231F20"/>
          <w:spacing w:val="-11"/>
          <w:w w:val="115"/>
          <w:sz w:val="19"/>
        </w:rPr>
        <w:t> </w:t>
      </w:r>
      <w:r>
        <w:rPr>
          <w:rFonts w:ascii="Arial" w:hAnsi="Arial"/>
          <w:color w:val="231F20"/>
          <w:w w:val="115"/>
          <w:sz w:val="19"/>
        </w:rPr>
        <w:t>importance</w:t>
      </w:r>
      <w:r>
        <w:rPr>
          <w:rFonts w:ascii="Arial" w:hAnsi="Arial"/>
          <w:color w:val="231F20"/>
          <w:spacing w:val="-12"/>
          <w:w w:val="115"/>
          <w:sz w:val="19"/>
        </w:rPr>
        <w:t> </w:t>
      </w:r>
      <w:r>
        <w:rPr>
          <w:rFonts w:ascii="Arial" w:hAnsi="Arial"/>
          <w:color w:val="231F20"/>
          <w:w w:val="115"/>
          <w:sz w:val="19"/>
        </w:rPr>
        <w:t>of</w:t>
      </w:r>
      <w:r>
        <w:rPr>
          <w:rFonts w:ascii="Arial" w:hAnsi="Arial"/>
          <w:color w:val="231F20"/>
          <w:spacing w:val="-12"/>
          <w:w w:val="115"/>
          <w:sz w:val="19"/>
        </w:rPr>
        <w:t> </w:t>
      </w:r>
      <w:r>
        <w:rPr>
          <w:rFonts w:ascii="Arial" w:hAnsi="Arial"/>
          <w:color w:val="231F20"/>
          <w:w w:val="115"/>
          <w:sz w:val="19"/>
        </w:rPr>
        <w:t>a</w:t>
      </w:r>
      <w:r>
        <w:rPr>
          <w:rFonts w:ascii="Arial" w:hAnsi="Arial"/>
          <w:color w:val="231F20"/>
          <w:spacing w:val="-12"/>
          <w:w w:val="115"/>
          <w:sz w:val="19"/>
        </w:rPr>
        <w:t> </w:t>
      </w:r>
      <w:r>
        <w:rPr>
          <w:rFonts w:ascii="Arial" w:hAnsi="Arial"/>
          <w:color w:val="231F20"/>
          <w:w w:val="115"/>
          <w:sz w:val="19"/>
        </w:rPr>
        <w:t>product</w:t>
      </w:r>
      <w:r>
        <w:rPr>
          <w:rFonts w:ascii="Arial" w:hAnsi="Arial"/>
          <w:color w:val="231F20"/>
          <w:spacing w:val="-12"/>
          <w:w w:val="115"/>
          <w:sz w:val="19"/>
        </w:rPr>
        <w:t> </w:t>
      </w:r>
      <w:r>
        <w:rPr>
          <w:rFonts w:ascii="Arial" w:hAnsi="Arial"/>
          <w:color w:val="231F20"/>
          <w:w w:val="115"/>
          <w:sz w:val="19"/>
        </w:rPr>
        <w:t>to</w:t>
      </w:r>
      <w:r>
        <w:rPr>
          <w:rFonts w:ascii="Arial" w:hAnsi="Arial"/>
          <w:color w:val="231F20"/>
          <w:spacing w:val="-12"/>
          <w:w w:val="115"/>
          <w:sz w:val="19"/>
        </w:rPr>
        <w:t> </w:t>
      </w:r>
      <w:r>
        <w:rPr>
          <w:rFonts w:ascii="Arial" w:hAnsi="Arial"/>
          <w:color w:val="231F20"/>
          <w:w w:val="115"/>
          <w:sz w:val="19"/>
        </w:rPr>
        <w:t>the </w:t>
      </w:r>
      <w:r>
        <w:rPr>
          <w:rFonts w:ascii="Arial" w:hAnsi="Arial"/>
          <w:color w:val="231F20"/>
          <w:spacing w:val="-2"/>
          <w:w w:val="115"/>
          <w:sz w:val="19"/>
        </w:rPr>
        <w:t>consumer</w:t>
      </w:r>
    </w:p>
    <w:p>
      <w:pPr>
        <w:spacing w:line="328" w:lineRule="auto" w:before="1"/>
        <w:ind w:left="1509" w:right="1045" w:hanging="340"/>
        <w:jc w:val="left"/>
        <w:rPr>
          <w:rFonts w:ascii="Arial" w:hAnsi="Arial"/>
          <w:sz w:val="19"/>
        </w:rPr>
      </w:pPr>
      <w:r>
        <w:rPr>
          <w:rFonts w:ascii="Arial" w:hAnsi="Arial"/>
          <w:i/>
          <w:color w:val="231F20"/>
          <w:spacing w:val="-2"/>
          <w:w w:val="115"/>
          <w:sz w:val="19"/>
        </w:rPr>
        <w:t>Segmentation</w:t>
      </w:r>
      <w:r>
        <w:rPr>
          <w:rFonts w:ascii="Arial" w:hAnsi="Arial"/>
          <w:i/>
          <w:color w:val="231F20"/>
          <w:spacing w:val="-5"/>
          <w:w w:val="115"/>
          <w:sz w:val="19"/>
        </w:rPr>
        <w:t> </w:t>
      </w:r>
      <w:r>
        <w:rPr>
          <w:rFonts w:ascii="Arial" w:hAnsi="Arial"/>
          <w:i/>
          <w:color w:val="231F20"/>
          <w:spacing w:val="-2"/>
          <w:w w:val="115"/>
          <w:sz w:val="19"/>
        </w:rPr>
        <w:t>Variables</w:t>
      </w:r>
      <w:r>
        <w:rPr>
          <w:rFonts w:ascii="Arial" w:hAnsi="Arial"/>
          <w:i/>
          <w:color w:val="231F20"/>
          <w:spacing w:val="-42"/>
          <w:w w:val="115"/>
          <w:sz w:val="19"/>
        </w:rPr>
        <w:t> </w:t>
      </w:r>
      <w:r>
        <w:rPr>
          <w:rFonts w:ascii="Arial" w:hAnsi="Arial"/>
          <w:color w:val="231F20"/>
          <w:spacing w:val="-2"/>
          <w:w w:val="115"/>
          <w:sz w:val="19"/>
        </w:rPr>
        <w:t>—Ways</w:t>
      </w:r>
      <w:r>
        <w:rPr>
          <w:rFonts w:ascii="Arial" w:hAnsi="Arial"/>
          <w:color w:val="231F20"/>
          <w:spacing w:val="-4"/>
          <w:w w:val="115"/>
          <w:sz w:val="19"/>
        </w:rPr>
        <w:t> </w:t>
      </w:r>
      <w:r>
        <w:rPr>
          <w:rFonts w:ascii="Arial" w:hAnsi="Arial"/>
          <w:color w:val="231F20"/>
          <w:spacing w:val="-2"/>
          <w:w w:val="115"/>
          <w:sz w:val="19"/>
        </w:rPr>
        <w:t>to</w:t>
      </w:r>
      <w:r>
        <w:rPr>
          <w:rFonts w:ascii="Arial" w:hAnsi="Arial"/>
          <w:color w:val="231F20"/>
          <w:spacing w:val="-4"/>
          <w:w w:val="115"/>
          <w:sz w:val="19"/>
        </w:rPr>
        <w:t> </w:t>
      </w:r>
      <w:r>
        <w:rPr>
          <w:rFonts w:ascii="Arial" w:hAnsi="Arial"/>
          <w:color w:val="231F20"/>
          <w:spacing w:val="-2"/>
          <w:w w:val="115"/>
          <w:sz w:val="19"/>
        </w:rPr>
        <w:t>divide</w:t>
      </w:r>
      <w:r>
        <w:rPr>
          <w:rFonts w:ascii="Arial" w:hAnsi="Arial"/>
          <w:color w:val="231F20"/>
          <w:spacing w:val="-4"/>
          <w:w w:val="115"/>
          <w:sz w:val="19"/>
        </w:rPr>
        <w:t> </w:t>
      </w:r>
      <w:r>
        <w:rPr>
          <w:rFonts w:ascii="Arial" w:hAnsi="Arial"/>
          <w:color w:val="231F20"/>
          <w:spacing w:val="-2"/>
          <w:w w:val="115"/>
          <w:sz w:val="19"/>
        </w:rPr>
        <w:t>the</w:t>
      </w:r>
      <w:r>
        <w:rPr>
          <w:rFonts w:ascii="Arial" w:hAnsi="Arial"/>
          <w:color w:val="231F20"/>
          <w:spacing w:val="-4"/>
          <w:w w:val="115"/>
          <w:sz w:val="19"/>
        </w:rPr>
        <w:t> </w:t>
      </w:r>
      <w:r>
        <w:rPr>
          <w:rFonts w:ascii="Arial" w:hAnsi="Arial"/>
          <w:color w:val="231F20"/>
          <w:spacing w:val="-2"/>
          <w:w w:val="115"/>
          <w:sz w:val="19"/>
        </w:rPr>
        <w:t>population</w:t>
      </w:r>
      <w:r>
        <w:rPr>
          <w:rFonts w:ascii="Arial" w:hAnsi="Arial"/>
          <w:color w:val="231F20"/>
          <w:spacing w:val="-4"/>
          <w:w w:val="115"/>
          <w:sz w:val="19"/>
        </w:rPr>
        <w:t> </w:t>
      </w:r>
      <w:r>
        <w:rPr>
          <w:rFonts w:ascii="Arial" w:hAnsi="Arial"/>
          <w:color w:val="231F20"/>
          <w:spacing w:val="-2"/>
          <w:w w:val="115"/>
          <w:sz w:val="19"/>
        </w:rPr>
        <w:t>to </w:t>
      </w:r>
      <w:r>
        <w:rPr>
          <w:rFonts w:ascii="Arial" w:hAnsi="Arial"/>
          <w:color w:val="231F20"/>
          <w:w w:val="115"/>
          <w:sz w:val="19"/>
        </w:rPr>
        <w:t>find a profitable target</w:t>
      </w:r>
    </w:p>
    <w:p>
      <w:pPr>
        <w:spacing w:line="328" w:lineRule="auto" w:before="2"/>
        <w:ind w:left="1509" w:right="728" w:hanging="340"/>
        <w:jc w:val="left"/>
        <w:rPr>
          <w:rFonts w:ascii="Arial" w:hAnsi="Arial"/>
          <w:sz w:val="19"/>
        </w:rPr>
      </w:pPr>
      <w:r>
        <w:rPr>
          <w:rFonts w:ascii="Arial" w:hAnsi="Arial"/>
          <w:i/>
          <w:color w:val="231F20"/>
          <w:w w:val="115"/>
          <w:sz w:val="19"/>
        </w:rPr>
        <w:t>Relevant</w:t>
      </w:r>
      <w:r>
        <w:rPr>
          <w:rFonts w:ascii="Arial" w:hAnsi="Arial"/>
          <w:i/>
          <w:color w:val="231F20"/>
          <w:spacing w:val="-16"/>
          <w:w w:val="115"/>
          <w:sz w:val="19"/>
        </w:rPr>
        <w:t> </w:t>
      </w:r>
      <w:r>
        <w:rPr>
          <w:rFonts w:ascii="Arial" w:hAnsi="Arial"/>
          <w:i/>
          <w:color w:val="231F20"/>
          <w:w w:val="115"/>
          <w:sz w:val="19"/>
        </w:rPr>
        <w:t>Market</w:t>
      </w:r>
      <w:r>
        <w:rPr>
          <w:rFonts w:ascii="Arial" w:hAnsi="Arial"/>
          <w:color w:val="231F20"/>
          <w:w w:val="115"/>
          <w:sz w:val="19"/>
        </w:rPr>
        <w:t>—The</w:t>
      </w:r>
      <w:r>
        <w:rPr>
          <w:rFonts w:ascii="Arial" w:hAnsi="Arial"/>
          <w:color w:val="231F20"/>
          <w:spacing w:val="-15"/>
          <w:w w:val="115"/>
          <w:sz w:val="19"/>
        </w:rPr>
        <w:t> </w:t>
      </w:r>
      <w:r>
        <w:rPr>
          <w:rFonts w:ascii="Arial" w:hAnsi="Arial"/>
          <w:color w:val="231F20"/>
          <w:w w:val="115"/>
          <w:sz w:val="19"/>
        </w:rPr>
        <w:t>portion</w:t>
      </w:r>
      <w:r>
        <w:rPr>
          <w:rFonts w:ascii="Arial" w:hAnsi="Arial"/>
          <w:color w:val="231F20"/>
          <w:spacing w:val="-15"/>
          <w:w w:val="115"/>
          <w:sz w:val="19"/>
        </w:rPr>
        <w:t> </w:t>
      </w:r>
      <w:r>
        <w:rPr>
          <w:rFonts w:ascii="Arial" w:hAnsi="Arial"/>
          <w:color w:val="231F20"/>
          <w:w w:val="115"/>
          <w:sz w:val="19"/>
        </w:rPr>
        <w:t>of</w:t>
      </w:r>
      <w:r>
        <w:rPr>
          <w:rFonts w:ascii="Arial" w:hAnsi="Arial"/>
          <w:color w:val="231F20"/>
          <w:spacing w:val="-15"/>
          <w:w w:val="115"/>
          <w:sz w:val="19"/>
        </w:rPr>
        <w:t> </w:t>
      </w:r>
      <w:r>
        <w:rPr>
          <w:rFonts w:ascii="Arial" w:hAnsi="Arial"/>
          <w:color w:val="231F20"/>
          <w:w w:val="115"/>
          <w:sz w:val="19"/>
        </w:rPr>
        <w:t>the</w:t>
      </w:r>
      <w:r>
        <w:rPr>
          <w:rFonts w:ascii="Arial" w:hAnsi="Arial"/>
          <w:color w:val="231F20"/>
          <w:spacing w:val="-15"/>
          <w:w w:val="115"/>
          <w:sz w:val="19"/>
        </w:rPr>
        <w:t> </w:t>
      </w:r>
      <w:r>
        <w:rPr>
          <w:rFonts w:ascii="Arial" w:hAnsi="Arial"/>
          <w:color w:val="231F20"/>
          <w:w w:val="115"/>
          <w:sz w:val="19"/>
        </w:rPr>
        <w:t>market</w:t>
      </w:r>
      <w:r>
        <w:rPr>
          <w:rFonts w:ascii="Arial" w:hAnsi="Arial"/>
          <w:color w:val="231F20"/>
          <w:spacing w:val="-16"/>
          <w:w w:val="115"/>
          <w:sz w:val="19"/>
        </w:rPr>
        <w:t> </w:t>
      </w:r>
      <w:r>
        <w:rPr>
          <w:rFonts w:ascii="Arial" w:hAnsi="Arial"/>
          <w:color w:val="231F20"/>
          <w:w w:val="115"/>
          <w:sz w:val="19"/>
        </w:rPr>
        <w:t>that</w:t>
      </w:r>
      <w:r>
        <w:rPr>
          <w:rFonts w:ascii="Arial" w:hAnsi="Arial"/>
          <w:color w:val="231F20"/>
          <w:spacing w:val="-15"/>
          <w:w w:val="115"/>
          <w:sz w:val="19"/>
        </w:rPr>
        <w:t> </w:t>
      </w:r>
      <w:r>
        <w:rPr>
          <w:rFonts w:ascii="Arial" w:hAnsi="Arial"/>
          <w:color w:val="231F20"/>
          <w:w w:val="115"/>
          <w:sz w:val="19"/>
        </w:rPr>
        <w:t>is</w:t>
      </w:r>
      <w:r>
        <w:rPr>
          <w:rFonts w:ascii="Arial" w:hAnsi="Arial"/>
          <w:color w:val="231F20"/>
          <w:spacing w:val="-15"/>
          <w:w w:val="115"/>
          <w:sz w:val="19"/>
        </w:rPr>
        <w:t> </w:t>
      </w:r>
      <w:r>
        <w:rPr>
          <w:rFonts w:ascii="Arial" w:hAnsi="Arial"/>
          <w:color w:val="231F20"/>
          <w:w w:val="115"/>
          <w:sz w:val="19"/>
        </w:rPr>
        <w:t>interested in your product</w:t>
      </w:r>
    </w:p>
    <w:p>
      <w:pPr>
        <w:spacing w:line="328" w:lineRule="auto" w:before="1"/>
        <w:ind w:left="1509" w:right="667" w:hanging="340"/>
        <w:jc w:val="left"/>
        <w:rPr>
          <w:rFonts w:ascii="Arial" w:hAnsi="Arial"/>
          <w:sz w:val="19"/>
        </w:rPr>
      </w:pPr>
      <w:r>
        <w:rPr>
          <w:rFonts w:ascii="Arial" w:hAnsi="Arial"/>
          <w:i/>
          <w:color w:val="231F20"/>
          <w:w w:val="115"/>
          <w:sz w:val="19"/>
        </w:rPr>
        <w:t>Product</w:t>
      </w:r>
      <w:r>
        <w:rPr>
          <w:rFonts w:ascii="Arial" w:hAnsi="Arial"/>
          <w:i/>
          <w:color w:val="231F20"/>
          <w:spacing w:val="-16"/>
          <w:w w:val="115"/>
          <w:sz w:val="19"/>
        </w:rPr>
        <w:t> </w:t>
      </w:r>
      <w:r>
        <w:rPr>
          <w:rFonts w:ascii="Arial" w:hAnsi="Arial"/>
          <w:i/>
          <w:color w:val="231F20"/>
          <w:w w:val="115"/>
          <w:sz w:val="19"/>
        </w:rPr>
        <w:t>Life</w:t>
      </w:r>
      <w:r>
        <w:rPr>
          <w:rFonts w:ascii="Arial" w:hAnsi="Arial"/>
          <w:i/>
          <w:color w:val="231F20"/>
          <w:spacing w:val="-12"/>
          <w:w w:val="115"/>
          <w:sz w:val="19"/>
        </w:rPr>
        <w:t> </w:t>
      </w:r>
      <w:r>
        <w:rPr>
          <w:rFonts w:ascii="Arial" w:hAnsi="Arial"/>
          <w:i/>
          <w:color w:val="231F20"/>
          <w:w w:val="115"/>
          <w:sz w:val="19"/>
        </w:rPr>
        <w:t>Cycle</w:t>
      </w:r>
      <w:r>
        <w:rPr>
          <w:rFonts w:ascii="Arial" w:hAnsi="Arial"/>
          <w:i/>
          <w:color w:val="231F20"/>
          <w:spacing w:val="-42"/>
          <w:w w:val="115"/>
          <w:sz w:val="19"/>
        </w:rPr>
        <w:t> </w:t>
      </w:r>
      <w:r>
        <w:rPr>
          <w:rFonts w:ascii="Arial" w:hAnsi="Arial"/>
          <w:color w:val="231F20"/>
          <w:w w:val="115"/>
          <w:sz w:val="19"/>
        </w:rPr>
        <w:t>—The</w:t>
      </w:r>
      <w:r>
        <w:rPr>
          <w:rFonts w:ascii="Arial" w:hAnsi="Arial"/>
          <w:color w:val="231F20"/>
          <w:spacing w:val="-12"/>
          <w:w w:val="115"/>
          <w:sz w:val="19"/>
        </w:rPr>
        <w:t> </w:t>
      </w:r>
      <w:r>
        <w:rPr>
          <w:rFonts w:ascii="Arial" w:hAnsi="Arial"/>
          <w:color w:val="231F20"/>
          <w:w w:val="115"/>
          <w:sz w:val="19"/>
        </w:rPr>
        <w:t>birth-to-death</w:t>
      </w:r>
      <w:r>
        <w:rPr>
          <w:rFonts w:ascii="Arial" w:hAnsi="Arial"/>
          <w:color w:val="231F20"/>
          <w:spacing w:val="-13"/>
          <w:w w:val="115"/>
          <w:sz w:val="19"/>
        </w:rPr>
        <w:t> </w:t>
      </w:r>
      <w:r>
        <w:rPr>
          <w:rFonts w:ascii="Arial" w:hAnsi="Arial"/>
          <w:color w:val="231F20"/>
          <w:w w:val="115"/>
          <w:sz w:val="19"/>
        </w:rPr>
        <w:t>(and</w:t>
      </w:r>
      <w:r>
        <w:rPr>
          <w:rFonts w:ascii="Arial" w:hAnsi="Arial"/>
          <w:color w:val="231F20"/>
          <w:spacing w:val="-13"/>
          <w:w w:val="115"/>
          <w:sz w:val="19"/>
        </w:rPr>
        <w:t> </w:t>
      </w:r>
      <w:r>
        <w:rPr>
          <w:rFonts w:ascii="Arial" w:hAnsi="Arial"/>
          <w:color w:val="231F20"/>
          <w:w w:val="115"/>
          <w:sz w:val="19"/>
        </w:rPr>
        <w:t>possibly</w:t>
      </w:r>
      <w:r>
        <w:rPr>
          <w:rFonts w:ascii="Arial" w:hAnsi="Arial"/>
          <w:color w:val="231F20"/>
          <w:spacing w:val="-13"/>
          <w:w w:val="115"/>
          <w:sz w:val="19"/>
        </w:rPr>
        <w:t> </w:t>
      </w:r>
      <w:r>
        <w:rPr>
          <w:rFonts w:ascii="Arial" w:hAnsi="Arial"/>
          <w:color w:val="231F20"/>
          <w:w w:val="115"/>
          <w:sz w:val="19"/>
        </w:rPr>
        <w:t>rebirth) life cycle of a product</w:t>
      </w:r>
    </w:p>
    <w:p>
      <w:pPr>
        <w:spacing w:line="328" w:lineRule="auto" w:before="1"/>
        <w:ind w:left="1509" w:right="1262" w:hanging="340"/>
        <w:jc w:val="left"/>
        <w:rPr>
          <w:rFonts w:ascii="Arial" w:hAnsi="Arial"/>
          <w:sz w:val="19"/>
        </w:rPr>
      </w:pPr>
      <w:r>
        <w:rPr>
          <w:rFonts w:ascii="Arial" w:hAnsi="Arial"/>
          <w:i/>
          <w:color w:val="231F20"/>
          <w:w w:val="110"/>
          <w:sz w:val="19"/>
        </w:rPr>
        <w:t>SWOT</w:t>
      </w:r>
      <w:r>
        <w:rPr>
          <w:rFonts w:ascii="Arial" w:hAnsi="Arial"/>
          <w:i/>
          <w:color w:val="231F20"/>
          <w:spacing w:val="-12"/>
          <w:w w:val="110"/>
          <w:sz w:val="19"/>
        </w:rPr>
        <w:t> </w:t>
      </w:r>
      <w:r>
        <w:rPr>
          <w:rFonts w:ascii="Arial" w:hAnsi="Arial"/>
          <w:i/>
          <w:color w:val="231F20"/>
          <w:w w:val="110"/>
          <w:sz w:val="19"/>
        </w:rPr>
        <w:t>Analysis</w:t>
      </w:r>
      <w:r>
        <w:rPr>
          <w:rFonts w:ascii="Arial" w:hAnsi="Arial"/>
          <w:i/>
          <w:color w:val="231F20"/>
          <w:spacing w:val="-40"/>
          <w:w w:val="110"/>
          <w:sz w:val="19"/>
        </w:rPr>
        <w:t> </w:t>
      </w:r>
      <w:r>
        <w:rPr>
          <w:rFonts w:ascii="Arial" w:hAnsi="Arial"/>
          <w:color w:val="231F20"/>
          <w:w w:val="110"/>
          <w:sz w:val="19"/>
        </w:rPr>
        <w:t>—</w:t>
      </w:r>
      <w:r>
        <w:rPr>
          <w:rFonts w:ascii="Arial" w:hAnsi="Arial"/>
          <w:color w:val="231F20"/>
          <w:spacing w:val="-39"/>
          <w:w w:val="110"/>
          <w:sz w:val="19"/>
        </w:rPr>
        <w:t> </w:t>
      </w:r>
      <w:r>
        <w:rPr>
          <w:rFonts w:ascii="Arial" w:hAnsi="Arial"/>
          <w:color w:val="231F20"/>
          <w:w w:val="110"/>
          <w:sz w:val="19"/>
        </w:rPr>
        <w:t>Competitive</w:t>
      </w:r>
      <w:r>
        <w:rPr>
          <w:rFonts w:ascii="Arial" w:hAnsi="Arial"/>
          <w:color w:val="231F20"/>
          <w:spacing w:val="-7"/>
          <w:w w:val="110"/>
          <w:sz w:val="19"/>
        </w:rPr>
        <w:t> </w:t>
      </w:r>
      <w:r>
        <w:rPr>
          <w:rFonts w:ascii="Arial" w:hAnsi="Arial"/>
          <w:color w:val="231F20"/>
          <w:w w:val="110"/>
          <w:sz w:val="19"/>
        </w:rPr>
        <w:t>analysis</w:t>
      </w:r>
      <w:r>
        <w:rPr>
          <w:rFonts w:ascii="Arial" w:hAnsi="Arial"/>
          <w:color w:val="231F20"/>
          <w:spacing w:val="-8"/>
          <w:w w:val="110"/>
          <w:sz w:val="19"/>
        </w:rPr>
        <w:t> </w:t>
      </w:r>
      <w:r>
        <w:rPr>
          <w:rFonts w:ascii="Arial" w:hAnsi="Arial"/>
          <w:color w:val="231F20"/>
          <w:w w:val="110"/>
          <w:sz w:val="19"/>
        </w:rPr>
        <w:t>of</w:t>
      </w:r>
      <w:r>
        <w:rPr>
          <w:rFonts w:ascii="Arial" w:hAnsi="Arial"/>
          <w:color w:val="231F20"/>
          <w:spacing w:val="-8"/>
          <w:w w:val="110"/>
          <w:sz w:val="19"/>
        </w:rPr>
        <w:t> </w:t>
      </w:r>
      <w:r>
        <w:rPr>
          <w:rFonts w:ascii="Arial" w:hAnsi="Arial"/>
          <w:color w:val="231F20"/>
          <w:w w:val="110"/>
          <w:sz w:val="19"/>
        </w:rPr>
        <w:t>strengths, weaknesses, opportunities, and threats</w:t>
      </w:r>
    </w:p>
    <w:p>
      <w:pPr>
        <w:spacing w:line="328" w:lineRule="auto" w:before="2"/>
        <w:ind w:left="1509" w:right="1045" w:hanging="340"/>
        <w:jc w:val="left"/>
        <w:rPr>
          <w:rFonts w:ascii="Arial" w:hAnsi="Arial"/>
          <w:sz w:val="19"/>
        </w:rPr>
      </w:pPr>
      <w:r>
        <w:rPr>
          <w:rFonts w:ascii="Arial" w:hAnsi="Arial"/>
          <w:i/>
          <w:color w:val="231F20"/>
          <w:w w:val="115"/>
          <w:sz w:val="19"/>
        </w:rPr>
        <w:t>Perceptual</w:t>
      </w:r>
      <w:r>
        <w:rPr>
          <w:rFonts w:ascii="Arial" w:hAnsi="Arial"/>
          <w:i/>
          <w:color w:val="231F20"/>
          <w:spacing w:val="-16"/>
          <w:w w:val="115"/>
          <w:sz w:val="19"/>
        </w:rPr>
        <w:t> </w:t>
      </w:r>
      <w:r>
        <w:rPr>
          <w:rFonts w:ascii="Arial" w:hAnsi="Arial"/>
          <w:i/>
          <w:color w:val="231F20"/>
          <w:w w:val="115"/>
          <w:sz w:val="19"/>
        </w:rPr>
        <w:t>Mapping</w:t>
      </w:r>
      <w:r>
        <w:rPr>
          <w:rFonts w:ascii="Arial" w:hAnsi="Arial"/>
          <w:i/>
          <w:color w:val="231F20"/>
          <w:spacing w:val="-42"/>
          <w:w w:val="115"/>
          <w:sz w:val="19"/>
        </w:rPr>
        <w:t> </w:t>
      </w:r>
      <w:r>
        <w:rPr>
          <w:rFonts w:ascii="Arial" w:hAnsi="Arial"/>
          <w:color w:val="231F20"/>
          <w:spacing w:val="11"/>
          <w:w w:val="115"/>
          <w:sz w:val="19"/>
        </w:rPr>
        <w:t>—</w:t>
      </w:r>
      <w:r>
        <w:rPr>
          <w:rFonts w:ascii="Arial" w:hAnsi="Arial"/>
          <w:color w:val="231F20"/>
          <w:w w:val="115"/>
          <w:sz w:val="19"/>
        </w:rPr>
        <w:t>A</w:t>
      </w:r>
      <w:r>
        <w:rPr>
          <w:rFonts w:ascii="Arial" w:hAnsi="Arial"/>
          <w:color w:val="231F20"/>
          <w:spacing w:val="-15"/>
          <w:w w:val="115"/>
          <w:sz w:val="19"/>
        </w:rPr>
        <w:t> </w:t>
      </w:r>
      <w:r>
        <w:rPr>
          <w:rFonts w:ascii="Arial" w:hAnsi="Arial"/>
          <w:color w:val="231F20"/>
          <w:w w:val="115"/>
          <w:sz w:val="19"/>
        </w:rPr>
        <w:t>multivariable</w:t>
      </w:r>
      <w:r>
        <w:rPr>
          <w:rFonts w:ascii="Arial" w:hAnsi="Arial"/>
          <w:color w:val="231F20"/>
          <w:spacing w:val="-15"/>
          <w:w w:val="115"/>
          <w:sz w:val="19"/>
        </w:rPr>
        <w:t> </w:t>
      </w:r>
      <w:r>
        <w:rPr>
          <w:rFonts w:ascii="Arial" w:hAnsi="Arial"/>
          <w:color w:val="231F20"/>
          <w:w w:val="115"/>
          <w:sz w:val="19"/>
        </w:rPr>
        <w:t>picture</w:t>
      </w:r>
      <w:r>
        <w:rPr>
          <w:rFonts w:ascii="Arial" w:hAnsi="Arial"/>
          <w:color w:val="231F20"/>
          <w:spacing w:val="-15"/>
          <w:w w:val="115"/>
          <w:sz w:val="19"/>
        </w:rPr>
        <w:t> </w:t>
      </w:r>
      <w:r>
        <w:rPr>
          <w:rFonts w:ascii="Arial" w:hAnsi="Arial"/>
          <w:color w:val="231F20"/>
          <w:w w:val="115"/>
          <w:sz w:val="19"/>
        </w:rPr>
        <w:t>of</w:t>
      </w:r>
      <w:r>
        <w:rPr>
          <w:rFonts w:ascii="Arial" w:hAnsi="Arial"/>
          <w:color w:val="231F20"/>
          <w:spacing w:val="-15"/>
          <w:w w:val="115"/>
          <w:sz w:val="19"/>
        </w:rPr>
        <w:t> </w:t>
      </w:r>
      <w:r>
        <w:rPr>
          <w:rFonts w:ascii="Arial" w:hAnsi="Arial"/>
          <w:color w:val="231F20"/>
          <w:w w:val="115"/>
          <w:sz w:val="19"/>
        </w:rPr>
        <w:t>a</w:t>
      </w:r>
      <w:r>
        <w:rPr>
          <w:rFonts w:ascii="Arial" w:hAnsi="Arial"/>
          <w:color w:val="231F20"/>
          <w:spacing w:val="-15"/>
          <w:w w:val="115"/>
          <w:sz w:val="19"/>
        </w:rPr>
        <w:t> </w:t>
      </w:r>
      <w:r>
        <w:rPr>
          <w:rFonts w:ascii="Arial" w:hAnsi="Arial"/>
          <w:color w:val="231F20"/>
          <w:w w:val="115"/>
          <w:sz w:val="19"/>
        </w:rPr>
        <w:t>product and its competitors</w:t>
      </w:r>
    </w:p>
    <w:p>
      <w:pPr>
        <w:spacing w:before="1"/>
        <w:ind w:left="1169" w:right="0" w:firstLine="0"/>
        <w:jc w:val="left"/>
        <w:rPr>
          <w:rFonts w:ascii="Arial" w:hAnsi="Arial"/>
          <w:sz w:val="19"/>
        </w:rPr>
      </w:pPr>
      <w:r>
        <w:rPr>
          <w:rFonts w:ascii="Arial" w:hAnsi="Arial"/>
          <w:i/>
          <w:color w:val="231F20"/>
          <w:w w:val="110"/>
          <w:sz w:val="19"/>
        </w:rPr>
        <w:t>Channel</w:t>
      </w:r>
      <w:r>
        <w:rPr>
          <w:rFonts w:ascii="Arial" w:hAnsi="Arial"/>
          <w:i/>
          <w:color w:val="231F20"/>
          <w:spacing w:val="-8"/>
          <w:w w:val="110"/>
          <w:sz w:val="19"/>
        </w:rPr>
        <w:t> </w:t>
      </w:r>
      <w:r>
        <w:rPr>
          <w:rFonts w:ascii="Arial" w:hAnsi="Arial"/>
          <w:i/>
          <w:color w:val="231F20"/>
          <w:w w:val="110"/>
          <w:sz w:val="19"/>
        </w:rPr>
        <w:t>Margin</w:t>
      </w:r>
      <w:r>
        <w:rPr>
          <w:rFonts w:ascii="Arial" w:hAnsi="Arial"/>
          <w:i/>
          <w:color w:val="231F20"/>
          <w:spacing w:val="-4"/>
          <w:w w:val="110"/>
          <w:sz w:val="19"/>
        </w:rPr>
        <w:t> </w:t>
      </w:r>
      <w:r>
        <w:rPr>
          <w:rFonts w:ascii="Arial" w:hAnsi="Arial"/>
          <w:i/>
          <w:color w:val="231F20"/>
          <w:w w:val="110"/>
          <w:sz w:val="19"/>
        </w:rPr>
        <w:t>Mathematics</w:t>
      </w:r>
      <w:r>
        <w:rPr>
          <w:rFonts w:ascii="Arial" w:hAnsi="Arial"/>
          <w:i/>
          <w:color w:val="231F20"/>
          <w:spacing w:val="-40"/>
          <w:w w:val="110"/>
          <w:sz w:val="19"/>
        </w:rPr>
        <w:t> </w:t>
      </w:r>
      <w:r>
        <w:rPr>
          <w:rFonts w:ascii="Arial" w:hAnsi="Arial"/>
          <w:color w:val="231F20"/>
          <w:w w:val="110"/>
          <w:sz w:val="19"/>
        </w:rPr>
        <w:t>—</w:t>
      </w:r>
      <w:r>
        <w:rPr>
          <w:rFonts w:ascii="Arial" w:hAnsi="Arial"/>
          <w:color w:val="231F20"/>
          <w:spacing w:val="-39"/>
          <w:w w:val="110"/>
          <w:sz w:val="19"/>
        </w:rPr>
        <w:t> </w:t>
      </w:r>
      <w:r>
        <w:rPr>
          <w:rFonts w:ascii="Arial" w:hAnsi="Arial"/>
          <w:color w:val="231F20"/>
          <w:w w:val="110"/>
          <w:sz w:val="19"/>
        </w:rPr>
        <w:t>Each</w:t>
      </w:r>
      <w:r>
        <w:rPr>
          <w:rFonts w:ascii="Arial" w:hAnsi="Arial"/>
          <w:color w:val="231F20"/>
          <w:spacing w:val="-5"/>
          <w:w w:val="110"/>
          <w:sz w:val="19"/>
        </w:rPr>
        <w:t> </w:t>
      </w:r>
      <w:r>
        <w:rPr>
          <w:rFonts w:ascii="Arial" w:hAnsi="Arial"/>
          <w:color w:val="231F20"/>
          <w:w w:val="110"/>
          <w:sz w:val="19"/>
        </w:rPr>
        <w:t>level</w:t>
      </w:r>
      <w:r>
        <w:rPr>
          <w:rFonts w:ascii="Arial" w:hAnsi="Arial"/>
          <w:color w:val="231F20"/>
          <w:spacing w:val="-4"/>
          <w:w w:val="110"/>
          <w:sz w:val="19"/>
        </w:rPr>
        <w:t> </w:t>
      </w:r>
      <w:r>
        <w:rPr>
          <w:rFonts w:ascii="Arial" w:hAnsi="Arial"/>
          <w:color w:val="231F20"/>
          <w:w w:val="110"/>
          <w:sz w:val="19"/>
        </w:rPr>
        <w:t>in</w:t>
      </w:r>
      <w:r>
        <w:rPr>
          <w:rFonts w:ascii="Arial" w:hAnsi="Arial"/>
          <w:color w:val="231F20"/>
          <w:spacing w:val="-5"/>
          <w:w w:val="110"/>
          <w:sz w:val="19"/>
        </w:rPr>
        <w:t> </w:t>
      </w:r>
      <w:r>
        <w:rPr>
          <w:rFonts w:ascii="Arial" w:hAnsi="Arial"/>
          <w:color w:val="231F20"/>
          <w:w w:val="110"/>
          <w:sz w:val="19"/>
        </w:rPr>
        <w:t>the</w:t>
      </w:r>
      <w:r>
        <w:rPr>
          <w:rFonts w:ascii="Arial" w:hAnsi="Arial"/>
          <w:color w:val="231F20"/>
          <w:spacing w:val="-4"/>
          <w:w w:val="110"/>
          <w:sz w:val="19"/>
        </w:rPr>
        <w:t> </w:t>
      </w:r>
      <w:r>
        <w:rPr>
          <w:rFonts w:ascii="Arial" w:hAnsi="Arial"/>
          <w:color w:val="231F20"/>
          <w:spacing w:val="-2"/>
          <w:w w:val="110"/>
          <w:sz w:val="19"/>
        </w:rPr>
        <w:t>distribution</w:t>
      </w:r>
    </w:p>
    <w:p>
      <w:pPr>
        <w:spacing w:after="0"/>
        <w:jc w:val="left"/>
        <w:rPr>
          <w:rFonts w:ascii="Arial" w:hAnsi="Arial"/>
          <w:sz w:val="19"/>
        </w:rPr>
        <w:sectPr>
          <w:pgSz w:w="8640" w:h="12960"/>
          <w:pgMar w:header="732" w:footer="0" w:top="920" w:bottom="280" w:left="340" w:right="500"/>
        </w:sectPr>
      </w:pPr>
    </w:p>
    <w:p>
      <w:pPr>
        <w:pStyle w:val="BodyText"/>
        <w:spacing w:before="8"/>
        <w:rPr>
          <w:rFonts w:ascii="Arial"/>
          <w:sz w:val="19"/>
        </w:rPr>
      </w:pPr>
    </w:p>
    <w:p>
      <w:pPr>
        <w:spacing w:line="328" w:lineRule="auto" w:before="95"/>
        <w:ind w:left="1600" w:right="667" w:firstLine="0"/>
        <w:jc w:val="left"/>
        <w:rPr>
          <w:rFonts w:ascii="Arial"/>
          <w:sz w:val="19"/>
        </w:rPr>
      </w:pPr>
      <w:r>
        <w:rPr>
          <w:rFonts w:ascii="Arial"/>
          <w:color w:val="231F20"/>
          <w:w w:val="115"/>
          <w:sz w:val="19"/>
        </w:rPr>
        <w:t>takes</w:t>
      </w:r>
      <w:r>
        <w:rPr>
          <w:rFonts w:ascii="Arial"/>
          <w:color w:val="231F20"/>
          <w:spacing w:val="-10"/>
          <w:w w:val="115"/>
          <w:sz w:val="19"/>
        </w:rPr>
        <w:t> </w:t>
      </w:r>
      <w:r>
        <w:rPr>
          <w:rFonts w:ascii="Arial"/>
          <w:color w:val="231F20"/>
          <w:w w:val="115"/>
          <w:sz w:val="19"/>
        </w:rPr>
        <w:t>a</w:t>
      </w:r>
      <w:r>
        <w:rPr>
          <w:rFonts w:ascii="Arial"/>
          <w:color w:val="231F20"/>
          <w:spacing w:val="-10"/>
          <w:w w:val="115"/>
          <w:sz w:val="19"/>
        </w:rPr>
        <w:t> </w:t>
      </w:r>
      <w:r>
        <w:rPr>
          <w:rFonts w:ascii="Arial"/>
          <w:color w:val="231F20"/>
          <w:w w:val="115"/>
          <w:sz w:val="19"/>
        </w:rPr>
        <w:t>margin</w:t>
      </w:r>
      <w:r>
        <w:rPr>
          <w:rFonts w:ascii="Arial"/>
          <w:color w:val="231F20"/>
          <w:spacing w:val="-10"/>
          <w:w w:val="115"/>
          <w:sz w:val="19"/>
        </w:rPr>
        <w:t> </w:t>
      </w:r>
      <w:r>
        <w:rPr>
          <w:rFonts w:ascii="Arial"/>
          <w:color w:val="231F20"/>
          <w:w w:val="115"/>
          <w:sz w:val="19"/>
        </w:rPr>
        <w:t>of</w:t>
      </w:r>
      <w:r>
        <w:rPr>
          <w:rFonts w:ascii="Arial"/>
          <w:color w:val="231F20"/>
          <w:spacing w:val="-10"/>
          <w:w w:val="115"/>
          <w:sz w:val="19"/>
        </w:rPr>
        <w:t> </w:t>
      </w:r>
      <w:r>
        <w:rPr>
          <w:rFonts w:ascii="Arial"/>
          <w:color w:val="231F20"/>
          <w:w w:val="115"/>
          <w:sz w:val="19"/>
        </w:rPr>
        <w:t>the</w:t>
      </w:r>
      <w:r>
        <w:rPr>
          <w:rFonts w:ascii="Arial"/>
          <w:color w:val="231F20"/>
          <w:spacing w:val="-10"/>
          <w:w w:val="115"/>
          <w:sz w:val="19"/>
        </w:rPr>
        <w:t> </w:t>
      </w:r>
      <w:r>
        <w:rPr>
          <w:rFonts w:ascii="Arial"/>
          <w:color w:val="231F20"/>
          <w:w w:val="115"/>
          <w:sz w:val="19"/>
        </w:rPr>
        <w:t>selling</w:t>
      </w:r>
      <w:r>
        <w:rPr>
          <w:rFonts w:ascii="Arial"/>
          <w:color w:val="231F20"/>
          <w:spacing w:val="-10"/>
          <w:w w:val="115"/>
          <w:sz w:val="19"/>
        </w:rPr>
        <w:t> </w:t>
      </w:r>
      <w:r>
        <w:rPr>
          <w:rFonts w:ascii="Arial"/>
          <w:color w:val="231F20"/>
          <w:w w:val="115"/>
          <w:sz w:val="19"/>
        </w:rPr>
        <w:t>price</w:t>
      </w:r>
      <w:r>
        <w:rPr>
          <w:rFonts w:ascii="Arial"/>
          <w:color w:val="231F20"/>
          <w:spacing w:val="-10"/>
          <w:w w:val="115"/>
          <w:sz w:val="19"/>
        </w:rPr>
        <w:t> </w:t>
      </w:r>
      <w:r>
        <w:rPr>
          <w:rFonts w:ascii="Arial"/>
          <w:color w:val="231F20"/>
          <w:w w:val="115"/>
          <w:sz w:val="19"/>
        </w:rPr>
        <w:t>it</w:t>
      </w:r>
      <w:r>
        <w:rPr>
          <w:rFonts w:ascii="Arial"/>
          <w:color w:val="231F20"/>
          <w:spacing w:val="-10"/>
          <w:w w:val="115"/>
          <w:sz w:val="19"/>
        </w:rPr>
        <w:t> </w:t>
      </w:r>
      <w:r>
        <w:rPr>
          <w:rFonts w:ascii="Arial"/>
          <w:color w:val="231F20"/>
          <w:w w:val="115"/>
          <w:sz w:val="19"/>
        </w:rPr>
        <w:t>charges</w:t>
      </w:r>
      <w:r>
        <w:rPr>
          <w:rFonts w:ascii="Arial"/>
          <w:color w:val="231F20"/>
          <w:spacing w:val="-10"/>
          <w:w w:val="115"/>
          <w:sz w:val="19"/>
        </w:rPr>
        <w:t> </w:t>
      </w:r>
      <w:r>
        <w:rPr>
          <w:rFonts w:ascii="Arial"/>
          <w:color w:val="231F20"/>
          <w:w w:val="115"/>
          <w:sz w:val="19"/>
        </w:rPr>
        <w:t>to</w:t>
      </w:r>
      <w:r>
        <w:rPr>
          <w:rFonts w:ascii="Arial"/>
          <w:color w:val="231F20"/>
          <w:spacing w:val="-10"/>
          <w:w w:val="115"/>
          <w:sz w:val="19"/>
        </w:rPr>
        <w:t> </w:t>
      </w:r>
      <w:r>
        <w:rPr>
          <w:rFonts w:ascii="Arial"/>
          <w:color w:val="231F20"/>
          <w:w w:val="115"/>
          <w:sz w:val="19"/>
        </w:rPr>
        <w:t>the</w:t>
      </w:r>
      <w:r>
        <w:rPr>
          <w:rFonts w:ascii="Arial"/>
          <w:color w:val="231F20"/>
          <w:spacing w:val="-10"/>
          <w:w w:val="115"/>
          <w:sz w:val="19"/>
        </w:rPr>
        <w:t> </w:t>
      </w:r>
      <w:r>
        <w:rPr>
          <w:rFonts w:ascii="Arial"/>
          <w:color w:val="231F20"/>
          <w:w w:val="115"/>
          <w:sz w:val="19"/>
        </w:rPr>
        <w:t>next level of distribution</w:t>
      </w:r>
    </w:p>
    <w:p>
      <w:pPr>
        <w:spacing w:line="328" w:lineRule="auto" w:before="2"/>
        <w:ind w:left="1599" w:right="728" w:hanging="340"/>
        <w:jc w:val="left"/>
        <w:rPr>
          <w:rFonts w:ascii="Arial" w:hAnsi="Arial"/>
          <w:sz w:val="19"/>
        </w:rPr>
      </w:pPr>
      <w:r>
        <w:rPr>
          <w:rFonts w:ascii="Arial" w:hAnsi="Arial"/>
          <w:i/>
          <w:color w:val="231F20"/>
          <w:w w:val="110"/>
          <w:sz w:val="19"/>
        </w:rPr>
        <w:t>The Marketing Mix of the 4 P’s</w:t>
      </w:r>
      <w:r>
        <w:rPr>
          <w:rFonts w:ascii="Arial" w:hAnsi="Arial"/>
          <w:i/>
          <w:color w:val="231F20"/>
          <w:spacing w:val="-38"/>
          <w:w w:val="110"/>
          <w:sz w:val="19"/>
        </w:rPr>
        <w:t> </w:t>
      </w:r>
      <w:r>
        <w:rPr>
          <w:rFonts w:ascii="Arial" w:hAnsi="Arial"/>
          <w:color w:val="231F20"/>
          <w:w w:val="110"/>
          <w:sz w:val="19"/>
        </w:rPr>
        <w:t>—</w:t>
      </w:r>
      <w:r>
        <w:rPr>
          <w:rFonts w:ascii="Arial" w:hAnsi="Arial"/>
          <w:color w:val="231F20"/>
          <w:spacing w:val="-38"/>
          <w:w w:val="110"/>
          <w:sz w:val="19"/>
        </w:rPr>
        <w:t> </w:t>
      </w:r>
      <w:r>
        <w:rPr>
          <w:rFonts w:ascii="Arial" w:hAnsi="Arial"/>
          <w:color w:val="231F20"/>
          <w:w w:val="110"/>
          <w:sz w:val="19"/>
        </w:rPr>
        <w:t>Product, place, promotion, and price</w:t>
      </w:r>
    </w:p>
    <w:p>
      <w:pPr>
        <w:spacing w:before="1"/>
        <w:ind w:left="1259" w:right="0" w:firstLine="0"/>
        <w:jc w:val="left"/>
        <w:rPr>
          <w:rFonts w:ascii="Arial" w:hAnsi="Arial"/>
          <w:sz w:val="19"/>
        </w:rPr>
      </w:pPr>
      <w:r>
        <w:rPr>
          <w:rFonts w:ascii="Arial" w:hAnsi="Arial"/>
          <w:i/>
          <w:color w:val="231F20"/>
          <w:w w:val="110"/>
          <w:sz w:val="19"/>
        </w:rPr>
        <w:t>Distribution</w:t>
      </w:r>
      <w:r>
        <w:rPr>
          <w:rFonts w:ascii="Arial" w:hAnsi="Arial"/>
          <w:i/>
          <w:color w:val="231F20"/>
          <w:spacing w:val="-7"/>
          <w:w w:val="110"/>
          <w:sz w:val="19"/>
        </w:rPr>
        <w:t> </w:t>
      </w:r>
      <w:r>
        <w:rPr>
          <w:rFonts w:ascii="Arial" w:hAnsi="Arial"/>
          <w:i/>
          <w:color w:val="231F20"/>
          <w:w w:val="110"/>
          <w:sz w:val="19"/>
        </w:rPr>
        <w:t>Strategies</w:t>
      </w:r>
      <w:r>
        <w:rPr>
          <w:rFonts w:ascii="Arial" w:hAnsi="Arial"/>
          <w:i/>
          <w:color w:val="231F20"/>
          <w:spacing w:val="-39"/>
          <w:w w:val="110"/>
          <w:sz w:val="19"/>
        </w:rPr>
        <w:t> </w:t>
      </w:r>
      <w:r>
        <w:rPr>
          <w:rFonts w:ascii="Arial" w:hAnsi="Arial"/>
          <w:color w:val="231F20"/>
          <w:w w:val="110"/>
          <w:sz w:val="19"/>
        </w:rPr>
        <w:t>—</w:t>
      </w:r>
      <w:r>
        <w:rPr>
          <w:rFonts w:ascii="Arial" w:hAnsi="Arial"/>
          <w:color w:val="231F20"/>
          <w:spacing w:val="-39"/>
          <w:w w:val="110"/>
          <w:sz w:val="19"/>
        </w:rPr>
        <w:t> </w:t>
      </w:r>
      <w:r>
        <w:rPr>
          <w:rFonts w:ascii="Arial" w:hAnsi="Arial"/>
          <w:color w:val="231F20"/>
          <w:w w:val="110"/>
          <w:sz w:val="19"/>
        </w:rPr>
        <w:t>Exclusive,</w:t>
      </w:r>
      <w:r>
        <w:rPr>
          <w:rFonts w:ascii="Arial" w:hAnsi="Arial"/>
          <w:color w:val="231F20"/>
          <w:spacing w:val="-4"/>
          <w:w w:val="110"/>
          <w:sz w:val="19"/>
        </w:rPr>
        <w:t> </w:t>
      </w:r>
      <w:r>
        <w:rPr>
          <w:rFonts w:ascii="Arial" w:hAnsi="Arial"/>
          <w:color w:val="231F20"/>
          <w:w w:val="110"/>
          <w:sz w:val="19"/>
        </w:rPr>
        <w:t>selective,</w:t>
      </w:r>
      <w:r>
        <w:rPr>
          <w:rFonts w:ascii="Arial" w:hAnsi="Arial"/>
          <w:color w:val="231F20"/>
          <w:spacing w:val="-4"/>
          <w:w w:val="110"/>
          <w:sz w:val="19"/>
        </w:rPr>
        <w:t> </w:t>
      </w:r>
      <w:r>
        <w:rPr>
          <w:rFonts w:ascii="Arial" w:hAnsi="Arial"/>
          <w:color w:val="231F20"/>
          <w:w w:val="110"/>
          <w:sz w:val="19"/>
        </w:rPr>
        <w:t>and</w:t>
      </w:r>
      <w:r>
        <w:rPr>
          <w:rFonts w:ascii="Arial" w:hAnsi="Arial"/>
          <w:color w:val="231F20"/>
          <w:spacing w:val="-4"/>
          <w:w w:val="110"/>
          <w:sz w:val="19"/>
        </w:rPr>
        <w:t> </w:t>
      </w:r>
      <w:r>
        <w:rPr>
          <w:rFonts w:ascii="Arial" w:hAnsi="Arial"/>
          <w:color w:val="231F20"/>
          <w:w w:val="110"/>
          <w:sz w:val="19"/>
        </w:rPr>
        <w:t>mass</w:t>
      </w:r>
      <w:r>
        <w:rPr>
          <w:rFonts w:ascii="Arial" w:hAnsi="Arial"/>
          <w:color w:val="231F20"/>
          <w:spacing w:val="-4"/>
          <w:w w:val="110"/>
          <w:sz w:val="19"/>
        </w:rPr>
        <w:t> </w:t>
      </w:r>
      <w:r>
        <w:rPr>
          <w:rFonts w:ascii="Arial" w:hAnsi="Arial"/>
          <w:color w:val="231F20"/>
          <w:spacing w:val="-2"/>
          <w:w w:val="110"/>
          <w:sz w:val="19"/>
        </w:rPr>
        <w:t>market</w:t>
      </w:r>
    </w:p>
    <w:p>
      <w:pPr>
        <w:spacing w:line="328" w:lineRule="auto" w:before="82"/>
        <w:ind w:left="1599" w:right="966" w:hanging="340"/>
        <w:jc w:val="left"/>
        <w:rPr>
          <w:rFonts w:ascii="Arial" w:hAnsi="Arial"/>
          <w:sz w:val="19"/>
        </w:rPr>
      </w:pPr>
      <w:r>
        <w:rPr>
          <w:rFonts w:ascii="Arial" w:hAnsi="Arial"/>
          <w:i/>
          <w:color w:val="231F20"/>
          <w:w w:val="115"/>
          <w:sz w:val="19"/>
        </w:rPr>
        <w:t>Channel</w:t>
      </w:r>
      <w:r>
        <w:rPr>
          <w:rFonts w:ascii="Arial" w:hAnsi="Arial"/>
          <w:i/>
          <w:color w:val="231F20"/>
          <w:spacing w:val="-16"/>
          <w:w w:val="115"/>
          <w:sz w:val="19"/>
        </w:rPr>
        <w:t> </w:t>
      </w:r>
      <w:r>
        <w:rPr>
          <w:rFonts w:ascii="Arial" w:hAnsi="Arial"/>
          <w:i/>
          <w:color w:val="231F20"/>
          <w:w w:val="115"/>
          <w:sz w:val="19"/>
        </w:rPr>
        <w:t>Power</w:t>
      </w:r>
      <w:r>
        <w:rPr>
          <w:rFonts w:ascii="Arial" w:hAnsi="Arial"/>
          <w:i/>
          <w:color w:val="231F20"/>
          <w:spacing w:val="-41"/>
          <w:w w:val="115"/>
          <w:sz w:val="19"/>
        </w:rPr>
        <w:t> </w:t>
      </w:r>
      <w:r>
        <w:rPr>
          <w:rFonts w:ascii="Arial" w:hAnsi="Arial"/>
          <w:color w:val="231F20"/>
          <w:spacing w:val="6"/>
          <w:w w:val="115"/>
          <w:sz w:val="19"/>
        </w:rPr>
        <w:t>—</w:t>
      </w:r>
      <w:r>
        <w:rPr>
          <w:rFonts w:ascii="Arial" w:hAnsi="Arial"/>
          <w:color w:val="231F20"/>
          <w:w w:val="115"/>
          <w:sz w:val="19"/>
        </w:rPr>
        <w:t>Who</w:t>
      </w:r>
      <w:r>
        <w:rPr>
          <w:rFonts w:ascii="Arial" w:hAnsi="Arial"/>
          <w:color w:val="231F20"/>
          <w:spacing w:val="-15"/>
          <w:w w:val="115"/>
          <w:sz w:val="19"/>
        </w:rPr>
        <w:t> </w:t>
      </w:r>
      <w:r>
        <w:rPr>
          <w:rFonts w:ascii="Arial" w:hAnsi="Arial"/>
          <w:color w:val="231F20"/>
          <w:w w:val="115"/>
          <w:sz w:val="19"/>
        </w:rPr>
        <w:t>in</w:t>
      </w:r>
      <w:r>
        <w:rPr>
          <w:rFonts w:ascii="Arial" w:hAnsi="Arial"/>
          <w:color w:val="231F20"/>
          <w:spacing w:val="-15"/>
          <w:w w:val="115"/>
          <w:sz w:val="19"/>
        </w:rPr>
        <w:t> </w:t>
      </w:r>
      <w:r>
        <w:rPr>
          <w:rFonts w:ascii="Arial" w:hAnsi="Arial"/>
          <w:color w:val="231F20"/>
          <w:w w:val="115"/>
          <w:sz w:val="19"/>
        </w:rPr>
        <w:t>the</w:t>
      </w:r>
      <w:r>
        <w:rPr>
          <w:rFonts w:ascii="Arial" w:hAnsi="Arial"/>
          <w:color w:val="231F20"/>
          <w:spacing w:val="-15"/>
          <w:w w:val="115"/>
          <w:sz w:val="19"/>
        </w:rPr>
        <w:t> </w:t>
      </w:r>
      <w:r>
        <w:rPr>
          <w:rFonts w:ascii="Arial" w:hAnsi="Arial"/>
          <w:color w:val="231F20"/>
          <w:w w:val="115"/>
          <w:sz w:val="19"/>
        </w:rPr>
        <w:t>distribution</w:t>
      </w:r>
      <w:r>
        <w:rPr>
          <w:rFonts w:ascii="Arial" w:hAnsi="Arial"/>
          <w:color w:val="231F20"/>
          <w:spacing w:val="-15"/>
          <w:w w:val="115"/>
          <w:sz w:val="19"/>
        </w:rPr>
        <w:t> </w:t>
      </w:r>
      <w:r>
        <w:rPr>
          <w:rFonts w:ascii="Arial" w:hAnsi="Arial"/>
          <w:color w:val="231F20"/>
          <w:w w:val="115"/>
          <w:sz w:val="19"/>
        </w:rPr>
        <w:t>chain</w:t>
      </w:r>
      <w:r>
        <w:rPr>
          <w:rFonts w:ascii="Arial" w:hAnsi="Arial"/>
          <w:color w:val="231F20"/>
          <w:spacing w:val="-15"/>
          <w:w w:val="115"/>
          <w:sz w:val="19"/>
        </w:rPr>
        <w:t> </w:t>
      </w:r>
      <w:r>
        <w:rPr>
          <w:rFonts w:ascii="Arial" w:hAnsi="Arial"/>
          <w:color w:val="231F20"/>
          <w:w w:val="115"/>
          <w:sz w:val="19"/>
        </w:rPr>
        <w:t>dictates</w:t>
      </w:r>
      <w:r>
        <w:rPr>
          <w:rFonts w:ascii="Arial" w:hAnsi="Arial"/>
          <w:color w:val="231F20"/>
          <w:spacing w:val="-16"/>
          <w:w w:val="115"/>
          <w:sz w:val="19"/>
        </w:rPr>
        <w:t> </w:t>
      </w:r>
      <w:r>
        <w:rPr>
          <w:rFonts w:ascii="Arial" w:hAnsi="Arial"/>
          <w:color w:val="231F20"/>
          <w:w w:val="115"/>
          <w:sz w:val="19"/>
        </w:rPr>
        <w:t>the terms of the relationships</w:t>
      </w:r>
    </w:p>
    <w:p>
      <w:pPr>
        <w:spacing w:line="328" w:lineRule="auto" w:before="1"/>
        <w:ind w:left="1599" w:right="667" w:hanging="340"/>
        <w:jc w:val="left"/>
        <w:rPr>
          <w:rFonts w:ascii="Arial" w:hAnsi="Arial"/>
          <w:sz w:val="19"/>
        </w:rPr>
      </w:pPr>
      <w:r>
        <w:rPr>
          <w:rFonts w:ascii="Arial" w:hAnsi="Arial"/>
          <w:i/>
          <w:color w:val="231F20"/>
          <w:w w:val="105"/>
          <w:sz w:val="19"/>
        </w:rPr>
        <w:t>Advertising Measures</w:t>
      </w:r>
      <w:r>
        <w:rPr>
          <w:rFonts w:ascii="Arial" w:hAnsi="Arial"/>
          <w:i/>
          <w:color w:val="231F20"/>
          <w:spacing w:val="-34"/>
          <w:w w:val="105"/>
          <w:sz w:val="19"/>
        </w:rPr>
        <w:t> </w:t>
      </w:r>
      <w:r>
        <w:rPr>
          <w:rFonts w:ascii="Arial" w:hAnsi="Arial"/>
          <w:color w:val="231F20"/>
          <w:w w:val="105"/>
          <w:sz w:val="19"/>
        </w:rPr>
        <w:t>—</w:t>
      </w:r>
      <w:r>
        <w:rPr>
          <w:rFonts w:ascii="Arial" w:hAnsi="Arial"/>
          <w:color w:val="231F20"/>
          <w:spacing w:val="-34"/>
          <w:w w:val="105"/>
          <w:sz w:val="19"/>
        </w:rPr>
        <w:t> </w:t>
      </w:r>
      <w:r>
        <w:rPr>
          <w:rFonts w:ascii="Arial" w:hAnsi="Arial"/>
          <w:color w:val="231F20"/>
          <w:w w:val="105"/>
          <w:sz w:val="19"/>
        </w:rPr>
        <w:t>Reach, frequency, GRP, TRP, share of voice. Buy wisely.</w:t>
      </w:r>
    </w:p>
    <w:p>
      <w:pPr>
        <w:spacing w:line="328" w:lineRule="auto" w:before="1"/>
        <w:ind w:left="1599" w:right="1045" w:hanging="340"/>
        <w:jc w:val="left"/>
        <w:rPr>
          <w:rFonts w:ascii="Arial" w:hAnsi="Arial"/>
          <w:sz w:val="19"/>
        </w:rPr>
      </w:pPr>
      <w:r>
        <w:rPr>
          <w:rFonts w:ascii="Arial" w:hAnsi="Arial"/>
          <w:i/>
          <w:color w:val="231F20"/>
          <w:w w:val="110"/>
          <w:sz w:val="19"/>
        </w:rPr>
        <w:t>Pricing Strategies</w:t>
      </w:r>
      <w:r>
        <w:rPr>
          <w:rFonts w:ascii="Arial" w:hAnsi="Arial"/>
          <w:i/>
          <w:color w:val="231F20"/>
          <w:spacing w:val="-38"/>
          <w:w w:val="110"/>
          <w:sz w:val="19"/>
        </w:rPr>
        <w:t> </w:t>
      </w:r>
      <w:r>
        <w:rPr>
          <w:rFonts w:ascii="Arial" w:hAnsi="Arial"/>
          <w:color w:val="231F20"/>
          <w:w w:val="110"/>
          <w:sz w:val="19"/>
        </w:rPr>
        <w:t>—</w:t>
      </w:r>
      <w:r>
        <w:rPr>
          <w:rFonts w:ascii="Arial" w:hAnsi="Arial"/>
          <w:color w:val="231F20"/>
          <w:spacing w:val="-38"/>
          <w:w w:val="110"/>
          <w:sz w:val="19"/>
        </w:rPr>
        <w:t> </w:t>
      </w:r>
      <w:r>
        <w:rPr>
          <w:rFonts w:ascii="Arial" w:hAnsi="Arial"/>
          <w:color w:val="231F20"/>
          <w:w w:val="110"/>
          <w:sz w:val="19"/>
        </w:rPr>
        <w:t>Cost plus, penetration, value pricing, </w:t>
      </w:r>
      <w:r>
        <w:rPr>
          <w:rFonts w:ascii="Arial" w:hAnsi="Arial"/>
          <w:color w:val="231F20"/>
          <w:spacing w:val="-2"/>
          <w:w w:val="115"/>
          <w:sz w:val="19"/>
        </w:rPr>
        <w:t>skimming</w:t>
      </w:r>
    </w:p>
    <w:p>
      <w:pPr>
        <w:spacing w:line="328" w:lineRule="auto" w:before="2"/>
        <w:ind w:left="1599" w:right="1045" w:hanging="340"/>
        <w:jc w:val="left"/>
        <w:rPr>
          <w:rFonts w:ascii="Arial" w:hAnsi="Arial"/>
          <w:sz w:val="19"/>
        </w:rPr>
      </w:pPr>
      <w:r>
        <w:rPr>
          <w:rFonts w:ascii="Arial" w:hAnsi="Arial"/>
          <w:i/>
          <w:color w:val="231F20"/>
          <w:w w:val="110"/>
          <w:sz w:val="19"/>
        </w:rPr>
        <w:t>Break</w:t>
      </w:r>
      <w:r>
        <w:rPr>
          <w:rFonts w:ascii="Arial" w:hAnsi="Arial"/>
          <w:i/>
          <w:color w:val="231F20"/>
          <w:spacing w:val="-5"/>
          <w:w w:val="110"/>
          <w:sz w:val="19"/>
        </w:rPr>
        <w:t> </w:t>
      </w:r>
      <w:r>
        <w:rPr>
          <w:rFonts w:ascii="Arial" w:hAnsi="Arial"/>
          <w:i/>
          <w:color w:val="231F20"/>
          <w:w w:val="110"/>
          <w:sz w:val="19"/>
        </w:rPr>
        <w:t>Evens</w:t>
      </w:r>
      <w:r>
        <w:rPr>
          <w:rFonts w:ascii="Arial" w:hAnsi="Arial"/>
          <w:i/>
          <w:color w:val="231F20"/>
          <w:spacing w:val="-40"/>
          <w:w w:val="110"/>
          <w:sz w:val="19"/>
        </w:rPr>
        <w:t> </w:t>
      </w:r>
      <w:r>
        <w:rPr>
          <w:rFonts w:ascii="Arial" w:hAnsi="Arial"/>
          <w:color w:val="231F20"/>
          <w:w w:val="110"/>
          <w:sz w:val="19"/>
        </w:rPr>
        <w:t>—The</w:t>
      </w:r>
      <w:r>
        <w:rPr>
          <w:rFonts w:ascii="Arial" w:hAnsi="Arial"/>
          <w:color w:val="231F20"/>
          <w:spacing w:val="-2"/>
          <w:w w:val="110"/>
          <w:sz w:val="19"/>
        </w:rPr>
        <w:t> </w:t>
      </w:r>
      <w:r>
        <w:rPr>
          <w:rFonts w:ascii="Arial" w:hAnsi="Arial"/>
          <w:color w:val="231F20"/>
          <w:w w:val="110"/>
          <w:sz w:val="19"/>
        </w:rPr>
        <w:t>volume</w:t>
      </w:r>
      <w:r>
        <w:rPr>
          <w:rFonts w:ascii="Arial" w:hAnsi="Arial"/>
          <w:color w:val="231F20"/>
          <w:spacing w:val="-3"/>
          <w:w w:val="110"/>
          <w:sz w:val="19"/>
        </w:rPr>
        <w:t> </w:t>
      </w:r>
      <w:r>
        <w:rPr>
          <w:rFonts w:ascii="Arial" w:hAnsi="Arial"/>
          <w:color w:val="231F20"/>
          <w:w w:val="110"/>
          <w:sz w:val="19"/>
        </w:rPr>
        <w:t>of</w:t>
      </w:r>
      <w:r>
        <w:rPr>
          <w:rFonts w:ascii="Arial" w:hAnsi="Arial"/>
          <w:color w:val="231F20"/>
          <w:spacing w:val="-3"/>
          <w:w w:val="110"/>
          <w:sz w:val="19"/>
        </w:rPr>
        <w:t> </w:t>
      </w:r>
      <w:r>
        <w:rPr>
          <w:rFonts w:ascii="Arial" w:hAnsi="Arial"/>
          <w:color w:val="231F20"/>
          <w:w w:val="110"/>
          <w:sz w:val="19"/>
        </w:rPr>
        <w:t>sales</w:t>
      </w:r>
      <w:r>
        <w:rPr>
          <w:rFonts w:ascii="Arial" w:hAnsi="Arial"/>
          <w:color w:val="231F20"/>
          <w:spacing w:val="-3"/>
          <w:w w:val="110"/>
          <w:sz w:val="19"/>
        </w:rPr>
        <w:t> </w:t>
      </w:r>
      <w:r>
        <w:rPr>
          <w:rFonts w:ascii="Arial" w:hAnsi="Arial"/>
          <w:color w:val="231F20"/>
          <w:w w:val="110"/>
          <w:sz w:val="19"/>
        </w:rPr>
        <w:t>needed</w:t>
      </w:r>
      <w:r>
        <w:rPr>
          <w:rFonts w:ascii="Arial" w:hAnsi="Arial"/>
          <w:color w:val="231F20"/>
          <w:spacing w:val="-3"/>
          <w:w w:val="110"/>
          <w:sz w:val="19"/>
        </w:rPr>
        <w:t> </w:t>
      </w:r>
      <w:r>
        <w:rPr>
          <w:rFonts w:ascii="Arial" w:hAnsi="Arial"/>
          <w:color w:val="231F20"/>
          <w:w w:val="110"/>
          <w:sz w:val="19"/>
        </w:rPr>
        <w:t>to</w:t>
      </w:r>
      <w:r>
        <w:rPr>
          <w:rFonts w:ascii="Arial" w:hAnsi="Arial"/>
          <w:color w:val="231F20"/>
          <w:spacing w:val="-3"/>
          <w:w w:val="110"/>
          <w:sz w:val="19"/>
        </w:rPr>
        <w:t> </w:t>
      </w:r>
      <w:r>
        <w:rPr>
          <w:rFonts w:ascii="Arial" w:hAnsi="Arial"/>
          <w:color w:val="231F20"/>
          <w:w w:val="110"/>
          <w:sz w:val="19"/>
        </w:rPr>
        <w:t>recover</w:t>
      </w:r>
      <w:r>
        <w:rPr>
          <w:rFonts w:ascii="Arial" w:hAnsi="Arial"/>
          <w:color w:val="231F20"/>
          <w:spacing w:val="-3"/>
          <w:w w:val="110"/>
          <w:sz w:val="19"/>
        </w:rPr>
        <w:t> </w:t>
      </w:r>
      <w:r>
        <w:rPr>
          <w:rFonts w:ascii="Arial" w:hAnsi="Arial"/>
          <w:color w:val="231F20"/>
          <w:w w:val="110"/>
          <w:sz w:val="19"/>
        </w:rPr>
        <w:t>the </w:t>
      </w:r>
      <w:r>
        <w:rPr>
          <w:rFonts w:ascii="Arial" w:hAnsi="Arial"/>
          <w:color w:val="231F20"/>
          <w:w w:val="115"/>
          <w:sz w:val="19"/>
        </w:rPr>
        <w:t>fixed cost of marketing plan</w:t>
      </w:r>
    </w:p>
    <w:p>
      <w:pPr>
        <w:spacing w:after="0" w:line="328" w:lineRule="auto"/>
        <w:jc w:val="left"/>
        <w:rPr>
          <w:rFonts w:ascii="Arial" w:hAnsi="Arial"/>
          <w:sz w:val="19"/>
        </w:rPr>
        <w:sectPr>
          <w:pgSz w:w="8640" w:h="12960"/>
          <w:pgMar w:header="734" w:footer="0" w:top="920" w:bottom="280" w:left="340" w:right="50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9"/>
        </w:rPr>
      </w:pPr>
    </w:p>
    <w:p>
      <w:pPr>
        <w:spacing w:before="86"/>
        <w:ind w:left="289" w:right="219" w:firstLine="0"/>
        <w:jc w:val="center"/>
        <w:rPr>
          <w:b/>
          <w:i/>
          <w:sz w:val="40"/>
        </w:rPr>
      </w:pPr>
      <w:bookmarkStart w:name="Day 2" w:id="11"/>
      <w:bookmarkEnd w:id="11"/>
      <w:r>
        <w:rPr/>
      </w:r>
      <w:bookmarkStart w:name="_bookmark5" w:id="12"/>
      <w:bookmarkEnd w:id="12"/>
      <w:r>
        <w:rPr/>
      </w:r>
      <w:hyperlink w:history="true" w:anchor="_bookmark1">
        <w:r>
          <w:rPr>
            <w:b/>
            <w:i/>
            <w:color w:val="0000FF"/>
            <w:spacing w:val="12"/>
            <w:sz w:val="40"/>
          </w:rPr>
          <w:t>Day</w:t>
        </w:r>
        <w:r>
          <w:rPr>
            <w:b/>
            <w:i/>
            <w:color w:val="0000FF"/>
            <w:spacing w:val="68"/>
            <w:sz w:val="40"/>
          </w:rPr>
          <w:t> </w:t>
        </w:r>
        <w:r>
          <w:rPr>
            <w:b/>
            <w:i/>
            <w:color w:val="0000FF"/>
            <w:spacing w:val="-10"/>
            <w:sz w:val="40"/>
          </w:rPr>
          <w:t>2</w:t>
        </w:r>
      </w:hyperlink>
    </w:p>
    <w:p>
      <w:pPr>
        <w:pStyle w:val="BodyText"/>
        <w:spacing w:before="10"/>
        <w:rPr>
          <w:b/>
          <w:i/>
          <w:sz w:val="10"/>
        </w:rPr>
      </w:pPr>
      <w:r>
        <w:rPr/>
        <w:pict>
          <v:shape style="position:absolute;margin-left:175.75pt;margin-top:7.583056pt;width:76pt;height:.1pt;mso-position-horizontal-relative:page;mso-position-vertical-relative:paragraph;z-index:-15685120;mso-wrap-distance-left:0;mso-wrap-distance-right:0" id="docshape83" coordorigin="3515,152" coordsize="1520,0" path="m3515,152l5035,152e" filled="false" stroked="true" strokeweight="6pt" strokecolor="#d1d3d4">
            <v:path arrowok="t"/>
            <v:stroke dashstyle="solid"/>
            <w10:wrap type="topAndBottom"/>
          </v:shape>
        </w:pict>
      </w:r>
    </w:p>
    <w:p>
      <w:pPr>
        <w:pStyle w:val="Heading1"/>
      </w:pPr>
      <w:r>
        <w:rPr>
          <w:color w:val="231F20"/>
          <w:spacing w:val="39"/>
        </w:rPr>
        <w:t>ETHICS</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Heading5"/>
        <w:spacing w:before="215"/>
        <w:rPr>
          <w:i/>
        </w:rPr>
      </w:pPr>
      <w:r>
        <w:rPr>
          <w:i/>
          <w:color w:val="231F20"/>
          <w:spacing w:val="9"/>
          <w:w w:val="95"/>
        </w:rPr>
        <w:t>Ethics</w:t>
      </w:r>
      <w:r>
        <w:rPr>
          <w:i/>
          <w:color w:val="231F20"/>
          <w:spacing w:val="10"/>
        </w:rPr>
        <w:t> </w:t>
      </w:r>
      <w:r>
        <w:rPr>
          <w:i/>
          <w:color w:val="231F20"/>
          <w:spacing w:val="-2"/>
          <w:w w:val="95"/>
        </w:rPr>
        <w:t>Topics</w:t>
      </w:r>
    </w:p>
    <w:p>
      <w:pPr>
        <w:spacing w:line="328" w:lineRule="auto" w:before="71"/>
        <w:ind w:left="1170" w:right="4535" w:firstLine="0"/>
        <w:jc w:val="left"/>
        <w:rPr>
          <w:rFonts w:ascii="Arial"/>
          <w:sz w:val="19"/>
        </w:rPr>
      </w:pPr>
      <w:r>
        <w:rPr>
          <w:rFonts w:ascii="Arial"/>
          <w:color w:val="808285"/>
          <w:spacing w:val="-2"/>
          <w:w w:val="115"/>
          <w:sz w:val="19"/>
        </w:rPr>
        <w:t>Relativism </w:t>
      </w:r>
      <w:r>
        <w:rPr>
          <w:rFonts w:ascii="Arial"/>
          <w:color w:val="808285"/>
          <w:w w:val="115"/>
          <w:sz w:val="19"/>
        </w:rPr>
        <w:t>Stakeholder</w:t>
      </w:r>
      <w:r>
        <w:rPr>
          <w:rFonts w:ascii="Arial"/>
          <w:color w:val="808285"/>
          <w:spacing w:val="-16"/>
          <w:w w:val="115"/>
          <w:sz w:val="19"/>
        </w:rPr>
        <w:t> </w:t>
      </w:r>
      <w:r>
        <w:rPr>
          <w:rFonts w:ascii="Arial"/>
          <w:color w:val="808285"/>
          <w:w w:val="115"/>
          <w:sz w:val="19"/>
        </w:rPr>
        <w:t>Analysis</w:t>
      </w:r>
    </w:p>
    <w:p>
      <w:pPr>
        <w:pStyle w:val="BodyText"/>
        <w:spacing w:before="11"/>
        <w:rPr>
          <w:rFonts w:ascii="Arial"/>
          <w:sz w:val="15"/>
        </w:rPr>
      </w:pPr>
    </w:p>
    <w:p>
      <w:pPr>
        <w:pStyle w:val="BodyText"/>
        <w:spacing w:line="292" w:lineRule="auto" w:before="101"/>
        <w:ind w:left="829" w:right="753" w:firstLine="355"/>
        <w:jc w:val="right"/>
      </w:pPr>
      <w:r>
        <w:rPr/>
        <w:pict>
          <v:shape style="position:absolute;margin-left:58.5pt;margin-top:-2.463862pt;width:17.8pt;height:40.050pt;mso-position-horizontal-relative:page;mso-position-vertical-relative:paragraph;z-index:-25185280" type="#_x0000_t202" id="docshape84" filled="false" stroked="false">
            <v:textbox inset="0,0,0,0">
              <w:txbxContent>
                <w:p>
                  <w:pPr>
                    <w:spacing w:line="789" w:lineRule="exact" w:before="11"/>
                    <w:ind w:left="0" w:right="0" w:firstLine="0"/>
                    <w:jc w:val="left"/>
                    <w:rPr>
                      <w:rFonts w:ascii="Trebuchet MS"/>
                      <w:sz w:val="68"/>
                    </w:rPr>
                  </w:pPr>
                  <w:r>
                    <w:rPr>
                      <w:rFonts w:ascii="Trebuchet MS"/>
                      <w:color w:val="808285"/>
                      <w:w w:val="80"/>
                      <w:sz w:val="68"/>
                    </w:rPr>
                    <w:t>U</w:t>
                  </w:r>
                </w:p>
              </w:txbxContent>
            </v:textbox>
            <w10:wrap type="none"/>
          </v:shape>
        </w:pict>
      </w:r>
      <w:r>
        <w:rPr>
          <w:color w:val="231F20"/>
        </w:rPr>
        <w:t>nlike most topics in the MBA curriculum, which have remained</w:t>
      </w:r>
      <w:r>
        <w:rPr>
          <w:color w:val="231F20"/>
          <w:spacing w:val="40"/>
        </w:rPr>
        <w:t> </w:t>
      </w:r>
      <w:r>
        <w:rPr>
          <w:color w:val="231F20"/>
        </w:rPr>
        <w:t>fairly</w:t>
      </w:r>
      <w:r>
        <w:rPr>
          <w:color w:val="231F20"/>
          <w:spacing w:val="40"/>
        </w:rPr>
        <w:t> </w:t>
      </w:r>
      <w:r>
        <w:rPr>
          <w:color w:val="231F20"/>
        </w:rPr>
        <w:t>consistent</w:t>
      </w:r>
      <w:r>
        <w:rPr>
          <w:color w:val="231F20"/>
          <w:spacing w:val="40"/>
        </w:rPr>
        <w:t> </w:t>
      </w:r>
      <w:r>
        <w:rPr>
          <w:color w:val="231F20"/>
        </w:rPr>
        <w:t>for</w:t>
      </w:r>
      <w:r>
        <w:rPr>
          <w:color w:val="231F20"/>
          <w:spacing w:val="40"/>
        </w:rPr>
        <w:t> </w:t>
      </w:r>
      <w:r>
        <w:rPr>
          <w:color w:val="231F20"/>
        </w:rPr>
        <w:t>decades,</w:t>
      </w:r>
      <w:r>
        <w:rPr>
          <w:color w:val="231F20"/>
          <w:spacing w:val="40"/>
        </w:rPr>
        <w:t> </w:t>
      </w:r>
      <w:r>
        <w:rPr>
          <w:color w:val="231F20"/>
        </w:rPr>
        <w:t>ethics</w:t>
      </w:r>
      <w:r>
        <w:rPr>
          <w:color w:val="231F20"/>
          <w:spacing w:val="40"/>
        </w:rPr>
        <w:t> </w:t>
      </w:r>
      <w:r>
        <w:rPr>
          <w:color w:val="231F20"/>
        </w:rPr>
        <w:t>is</w:t>
      </w:r>
      <w:r>
        <w:rPr>
          <w:color w:val="231F20"/>
          <w:spacing w:val="40"/>
        </w:rPr>
        <w:t> </w:t>
      </w:r>
      <w:r>
        <w:rPr>
          <w:color w:val="231F20"/>
        </w:rPr>
        <w:t>a</w:t>
      </w:r>
      <w:r>
        <w:rPr>
          <w:color w:val="231F20"/>
          <w:spacing w:val="40"/>
        </w:rPr>
        <w:t> </w:t>
      </w:r>
      <w:r>
        <w:rPr>
          <w:color w:val="231F20"/>
        </w:rPr>
        <w:t>new</w:t>
      </w:r>
      <w:r>
        <w:rPr>
          <w:color w:val="231F20"/>
          <w:spacing w:val="40"/>
        </w:rPr>
        <w:t> </w:t>
      </w:r>
      <w:r>
        <w:rPr>
          <w:color w:val="231F20"/>
        </w:rPr>
        <w:t>area.</w:t>
      </w:r>
      <w:r>
        <w:rPr>
          <w:color w:val="231F20"/>
          <w:spacing w:val="40"/>
        </w:rPr>
        <w:t> </w:t>
      </w:r>
      <w:r>
        <w:rPr>
          <w:color w:val="231F20"/>
        </w:rPr>
        <w:t>What</w:t>
      </w:r>
      <w:r>
        <w:rPr>
          <w:color w:val="231F20"/>
          <w:spacing w:val="40"/>
        </w:rPr>
        <w:t> </w:t>
      </w:r>
      <w:r>
        <w:rPr>
          <w:color w:val="231F20"/>
        </w:rPr>
        <w:t>ap- peared</w:t>
      </w:r>
      <w:r>
        <w:rPr>
          <w:color w:val="231F20"/>
          <w:spacing w:val="-2"/>
        </w:rPr>
        <w:t> </w:t>
      </w:r>
      <w:r>
        <w:rPr>
          <w:color w:val="231F20"/>
        </w:rPr>
        <w:t>at</w:t>
      </w:r>
      <w:r>
        <w:rPr>
          <w:color w:val="231F20"/>
          <w:spacing w:val="-2"/>
        </w:rPr>
        <w:t> </w:t>
      </w:r>
      <w:r>
        <w:rPr>
          <w:color w:val="231F20"/>
        </w:rPr>
        <w:t>first</w:t>
      </w:r>
      <w:r>
        <w:rPr>
          <w:color w:val="231F20"/>
          <w:spacing w:val="-2"/>
        </w:rPr>
        <w:t> </w:t>
      </w:r>
      <w:r>
        <w:rPr>
          <w:color w:val="231F20"/>
        </w:rPr>
        <w:t>to</w:t>
      </w:r>
      <w:r>
        <w:rPr>
          <w:color w:val="231F20"/>
          <w:spacing w:val="-2"/>
        </w:rPr>
        <w:t> </w:t>
      </w:r>
      <w:r>
        <w:rPr>
          <w:color w:val="231F20"/>
        </w:rPr>
        <w:t>be</w:t>
      </w:r>
      <w:r>
        <w:rPr>
          <w:color w:val="231F20"/>
          <w:spacing w:val="-2"/>
        </w:rPr>
        <w:t> </w:t>
      </w:r>
      <w:r>
        <w:rPr>
          <w:color w:val="231F20"/>
        </w:rPr>
        <w:t>only</w:t>
      </w:r>
      <w:r>
        <w:rPr>
          <w:color w:val="231F20"/>
          <w:spacing w:val="-2"/>
        </w:rPr>
        <w:t> </w:t>
      </w:r>
      <w:r>
        <w:rPr>
          <w:color w:val="231F20"/>
        </w:rPr>
        <w:t>a</w:t>
      </w:r>
      <w:r>
        <w:rPr>
          <w:color w:val="231F20"/>
          <w:spacing w:val="-2"/>
        </w:rPr>
        <w:t> </w:t>
      </w:r>
      <w:r>
        <w:rPr>
          <w:color w:val="231F20"/>
        </w:rPr>
        <w:t>trendy</w:t>
      </w:r>
      <w:r>
        <w:rPr>
          <w:color w:val="231F20"/>
          <w:spacing w:val="-2"/>
        </w:rPr>
        <w:t> </w:t>
      </w:r>
      <w:r>
        <w:rPr>
          <w:color w:val="231F20"/>
        </w:rPr>
        <w:t>elective</w:t>
      </w:r>
      <w:r>
        <w:rPr>
          <w:color w:val="231F20"/>
          <w:spacing w:val="-2"/>
        </w:rPr>
        <w:t> </w:t>
      </w:r>
      <w:r>
        <w:rPr>
          <w:color w:val="231F20"/>
        </w:rPr>
        <w:t>course</w:t>
      </w:r>
      <w:r>
        <w:rPr>
          <w:color w:val="231F20"/>
          <w:spacing w:val="-2"/>
        </w:rPr>
        <w:t> </w:t>
      </w:r>
      <w:r>
        <w:rPr>
          <w:color w:val="231F20"/>
        </w:rPr>
        <w:t>has</w:t>
      </w:r>
      <w:r>
        <w:rPr>
          <w:color w:val="231F20"/>
          <w:spacing w:val="-2"/>
        </w:rPr>
        <w:t> </w:t>
      </w:r>
      <w:r>
        <w:rPr>
          <w:color w:val="231F20"/>
        </w:rPr>
        <w:t>now</w:t>
      </w:r>
      <w:r>
        <w:rPr>
          <w:color w:val="231F20"/>
          <w:spacing w:val="-2"/>
        </w:rPr>
        <w:t> </w:t>
      </w:r>
      <w:r>
        <w:rPr>
          <w:color w:val="231F20"/>
        </w:rPr>
        <w:t>become</w:t>
      </w:r>
      <w:r>
        <w:rPr>
          <w:color w:val="231F20"/>
          <w:spacing w:val="-2"/>
        </w:rPr>
        <w:t> </w:t>
      </w:r>
      <w:r>
        <w:rPr>
          <w:color w:val="231F20"/>
        </w:rPr>
        <w:t>in- stitutionalized</w:t>
      </w:r>
      <w:r>
        <w:rPr>
          <w:color w:val="231F20"/>
          <w:spacing w:val="71"/>
        </w:rPr>
        <w:t> </w:t>
      </w:r>
      <w:r>
        <w:rPr>
          <w:color w:val="231F20"/>
        </w:rPr>
        <w:t>as</w:t>
      </w:r>
      <w:r>
        <w:rPr>
          <w:color w:val="231F20"/>
          <w:spacing w:val="71"/>
        </w:rPr>
        <w:t> </w:t>
      </w:r>
      <w:r>
        <w:rPr>
          <w:color w:val="231F20"/>
        </w:rPr>
        <w:t>part</w:t>
      </w:r>
      <w:r>
        <w:rPr>
          <w:color w:val="231F20"/>
          <w:spacing w:val="71"/>
        </w:rPr>
        <w:t> </w:t>
      </w:r>
      <w:r>
        <w:rPr>
          <w:color w:val="231F20"/>
        </w:rPr>
        <w:t>of</w:t>
      </w:r>
      <w:r>
        <w:rPr>
          <w:color w:val="231F20"/>
          <w:spacing w:val="71"/>
        </w:rPr>
        <w:t> </w:t>
      </w:r>
      <w:r>
        <w:rPr>
          <w:color w:val="231F20"/>
        </w:rPr>
        <w:t>the</w:t>
      </w:r>
      <w:r>
        <w:rPr>
          <w:color w:val="231F20"/>
          <w:spacing w:val="71"/>
        </w:rPr>
        <w:t> </w:t>
      </w:r>
      <w:r>
        <w:rPr>
          <w:color w:val="231F20"/>
        </w:rPr>
        <w:t>core</w:t>
      </w:r>
      <w:r>
        <w:rPr>
          <w:color w:val="231F20"/>
          <w:spacing w:val="71"/>
        </w:rPr>
        <w:t> </w:t>
      </w:r>
      <w:r>
        <w:rPr>
          <w:color w:val="231F20"/>
        </w:rPr>
        <w:t>MBA</w:t>
      </w:r>
      <w:r>
        <w:rPr>
          <w:color w:val="231F20"/>
          <w:spacing w:val="71"/>
        </w:rPr>
        <w:t> </w:t>
      </w:r>
      <w:r>
        <w:rPr>
          <w:color w:val="231F20"/>
        </w:rPr>
        <w:t>curriculum</w:t>
      </w:r>
      <w:r>
        <w:rPr>
          <w:color w:val="231F20"/>
          <w:spacing w:val="71"/>
        </w:rPr>
        <w:t> </w:t>
      </w:r>
      <w:r>
        <w:rPr>
          <w:color w:val="231F20"/>
        </w:rPr>
        <w:t>at</w:t>
      </w:r>
      <w:r>
        <w:rPr>
          <w:color w:val="231F20"/>
          <w:spacing w:val="71"/>
        </w:rPr>
        <w:t> </w:t>
      </w:r>
      <w:r>
        <w:rPr>
          <w:color w:val="231F20"/>
        </w:rPr>
        <w:t>Harvard, Wharton,</w:t>
      </w:r>
      <w:r>
        <w:rPr>
          <w:color w:val="231F20"/>
          <w:spacing w:val="76"/>
        </w:rPr>
        <w:t> </w:t>
      </w:r>
      <w:r>
        <w:rPr>
          <w:color w:val="231F20"/>
        </w:rPr>
        <w:t>and</w:t>
      </w:r>
      <w:r>
        <w:rPr>
          <w:color w:val="231F20"/>
          <w:spacing w:val="76"/>
        </w:rPr>
        <w:t> </w:t>
      </w:r>
      <w:r>
        <w:rPr>
          <w:color w:val="231F20"/>
        </w:rPr>
        <w:t>Darden.</w:t>
      </w:r>
      <w:r>
        <w:rPr>
          <w:color w:val="231F20"/>
          <w:spacing w:val="76"/>
        </w:rPr>
        <w:t> </w:t>
      </w:r>
      <w:r>
        <w:rPr>
          <w:color w:val="231F20"/>
        </w:rPr>
        <w:t>With</w:t>
      </w:r>
      <w:r>
        <w:rPr>
          <w:color w:val="231F20"/>
          <w:spacing w:val="76"/>
        </w:rPr>
        <w:t> </w:t>
      </w:r>
      <w:r>
        <w:rPr>
          <w:color w:val="231F20"/>
        </w:rPr>
        <w:t>the</w:t>
      </w:r>
      <w:r>
        <w:rPr>
          <w:color w:val="231F20"/>
          <w:spacing w:val="76"/>
        </w:rPr>
        <w:t> </w:t>
      </w:r>
      <w:r>
        <w:rPr>
          <w:color w:val="231F20"/>
        </w:rPr>
        <w:t>criminal</w:t>
      </w:r>
      <w:r>
        <w:rPr>
          <w:color w:val="231F20"/>
          <w:spacing w:val="76"/>
        </w:rPr>
        <w:t> </w:t>
      </w:r>
      <w:r>
        <w:rPr>
          <w:color w:val="231F20"/>
        </w:rPr>
        <w:t>convictions</w:t>
      </w:r>
      <w:r>
        <w:rPr>
          <w:color w:val="231F20"/>
          <w:spacing w:val="76"/>
        </w:rPr>
        <w:t> </w:t>
      </w:r>
      <w:r>
        <w:rPr>
          <w:color w:val="231F20"/>
        </w:rPr>
        <w:t>of</w:t>
      </w:r>
      <w:r>
        <w:rPr>
          <w:color w:val="231F20"/>
          <w:spacing w:val="76"/>
        </w:rPr>
        <w:t> </w:t>
      </w:r>
      <w:r>
        <w:rPr>
          <w:color w:val="231F20"/>
        </w:rPr>
        <w:t>insider traders in the 1980s, business schools took notice and jumped on the ethics bandwagon in the 1990s. In the new century, the collapses of Enron,</w:t>
      </w:r>
      <w:r>
        <w:rPr>
          <w:color w:val="231F20"/>
          <w:spacing w:val="40"/>
        </w:rPr>
        <w:t> </w:t>
      </w:r>
      <w:r>
        <w:rPr>
          <w:color w:val="231F20"/>
        </w:rPr>
        <w:t>WorldCom,</w:t>
      </w:r>
      <w:r>
        <w:rPr>
          <w:color w:val="231F20"/>
          <w:spacing w:val="40"/>
        </w:rPr>
        <w:t> </w:t>
      </w:r>
      <w:r>
        <w:rPr>
          <w:color w:val="231F20"/>
        </w:rPr>
        <w:t>and</w:t>
      </w:r>
      <w:r>
        <w:rPr>
          <w:color w:val="231F20"/>
          <w:spacing w:val="40"/>
        </w:rPr>
        <w:t> </w:t>
      </w:r>
      <w:r>
        <w:rPr>
          <w:color w:val="231F20"/>
        </w:rPr>
        <w:t>Arthur</w:t>
      </w:r>
      <w:r>
        <w:rPr>
          <w:color w:val="231F20"/>
          <w:spacing w:val="40"/>
        </w:rPr>
        <w:t> </w:t>
      </w:r>
      <w:r>
        <w:rPr>
          <w:color w:val="231F20"/>
        </w:rPr>
        <w:t>Andersen,</w:t>
      </w:r>
      <w:r>
        <w:rPr>
          <w:color w:val="231F20"/>
          <w:spacing w:val="40"/>
        </w:rPr>
        <w:t> </w:t>
      </w:r>
      <w:r>
        <w:rPr>
          <w:color w:val="231F20"/>
        </w:rPr>
        <w:t>the</w:t>
      </w:r>
      <w:r>
        <w:rPr>
          <w:color w:val="231F20"/>
          <w:spacing w:val="40"/>
        </w:rPr>
        <w:t> </w:t>
      </w:r>
      <w:r>
        <w:rPr>
          <w:color w:val="231F20"/>
        </w:rPr>
        <w:t>mutual-fund</w:t>
      </w:r>
      <w:r>
        <w:rPr>
          <w:color w:val="231F20"/>
          <w:spacing w:val="40"/>
        </w:rPr>
        <w:t> </w:t>
      </w:r>
      <w:r>
        <w:rPr>
          <w:color w:val="231F20"/>
        </w:rPr>
        <w:t>trading scandals,</w:t>
      </w:r>
      <w:r>
        <w:rPr>
          <w:color w:val="231F20"/>
          <w:spacing w:val="46"/>
        </w:rPr>
        <w:t> </w:t>
      </w:r>
      <w:r>
        <w:rPr>
          <w:color w:val="231F20"/>
        </w:rPr>
        <w:t>Martha</w:t>
      </w:r>
      <w:r>
        <w:rPr>
          <w:color w:val="231F20"/>
          <w:spacing w:val="47"/>
        </w:rPr>
        <w:t> </w:t>
      </w:r>
      <w:r>
        <w:rPr>
          <w:color w:val="231F20"/>
        </w:rPr>
        <w:t>Stewart’s</w:t>
      </w:r>
      <w:r>
        <w:rPr>
          <w:color w:val="231F20"/>
          <w:spacing w:val="47"/>
        </w:rPr>
        <w:t> </w:t>
      </w:r>
      <w:r>
        <w:rPr>
          <w:color w:val="231F20"/>
        </w:rPr>
        <w:t>stock</w:t>
      </w:r>
      <w:r>
        <w:rPr>
          <w:color w:val="231F20"/>
          <w:spacing w:val="47"/>
        </w:rPr>
        <w:t> </w:t>
      </w:r>
      <w:r>
        <w:rPr>
          <w:color w:val="231F20"/>
        </w:rPr>
        <w:t>sales,</w:t>
      </w:r>
      <w:r>
        <w:rPr>
          <w:color w:val="231F20"/>
          <w:spacing w:val="47"/>
        </w:rPr>
        <w:t> </w:t>
      </w:r>
      <w:r>
        <w:rPr>
          <w:color w:val="231F20"/>
        </w:rPr>
        <w:t>and</w:t>
      </w:r>
      <w:r>
        <w:rPr>
          <w:color w:val="231F20"/>
          <w:spacing w:val="47"/>
        </w:rPr>
        <w:t> </w:t>
      </w:r>
      <w:r>
        <w:rPr>
          <w:color w:val="231F20"/>
        </w:rPr>
        <w:t>the</w:t>
      </w:r>
      <w:r>
        <w:rPr>
          <w:color w:val="231F20"/>
          <w:spacing w:val="47"/>
        </w:rPr>
        <w:t> </w:t>
      </w:r>
      <w:r>
        <w:rPr>
          <w:color w:val="231F20"/>
        </w:rPr>
        <w:t>revelations</w:t>
      </w:r>
      <w:r>
        <w:rPr>
          <w:color w:val="231F20"/>
          <w:spacing w:val="47"/>
        </w:rPr>
        <w:t> </w:t>
      </w:r>
      <w:r>
        <w:rPr>
          <w:color w:val="231F20"/>
        </w:rPr>
        <w:t>of</w:t>
      </w:r>
      <w:r>
        <w:rPr>
          <w:color w:val="231F20"/>
          <w:spacing w:val="47"/>
        </w:rPr>
        <w:t> </w:t>
      </w:r>
      <w:r>
        <w:rPr>
          <w:color w:val="231F20"/>
          <w:spacing w:val="-5"/>
        </w:rPr>
        <w:t>ac-</w:t>
      </w:r>
    </w:p>
    <w:p>
      <w:pPr>
        <w:pStyle w:val="BodyText"/>
        <w:spacing w:line="243" w:lineRule="exact"/>
        <w:ind w:left="829"/>
        <w:jc w:val="both"/>
      </w:pPr>
      <w:r>
        <w:rPr>
          <w:color w:val="231F20"/>
        </w:rPr>
        <w:t>counting</w:t>
      </w:r>
      <w:r>
        <w:rPr>
          <w:color w:val="231F20"/>
          <w:spacing w:val="9"/>
        </w:rPr>
        <w:t> </w:t>
      </w:r>
      <w:r>
        <w:rPr>
          <w:color w:val="231F20"/>
        </w:rPr>
        <w:t>fraud</w:t>
      </w:r>
      <w:r>
        <w:rPr>
          <w:color w:val="231F20"/>
          <w:spacing w:val="10"/>
        </w:rPr>
        <w:t> </w:t>
      </w:r>
      <w:r>
        <w:rPr>
          <w:color w:val="231F20"/>
        </w:rPr>
        <w:t>have</w:t>
      </w:r>
      <w:r>
        <w:rPr>
          <w:color w:val="231F20"/>
          <w:spacing w:val="9"/>
        </w:rPr>
        <w:t> </w:t>
      </w:r>
      <w:r>
        <w:rPr>
          <w:color w:val="231F20"/>
        </w:rPr>
        <w:t>kept</w:t>
      </w:r>
      <w:r>
        <w:rPr>
          <w:color w:val="231F20"/>
          <w:spacing w:val="10"/>
        </w:rPr>
        <w:t> </w:t>
      </w:r>
      <w:r>
        <w:rPr>
          <w:color w:val="231F20"/>
        </w:rPr>
        <w:t>ethics</w:t>
      </w:r>
      <w:r>
        <w:rPr>
          <w:color w:val="231F20"/>
          <w:spacing w:val="9"/>
        </w:rPr>
        <w:t> </w:t>
      </w:r>
      <w:r>
        <w:rPr>
          <w:color w:val="231F20"/>
        </w:rPr>
        <w:t>on</w:t>
      </w:r>
      <w:r>
        <w:rPr>
          <w:color w:val="231F20"/>
          <w:spacing w:val="10"/>
        </w:rPr>
        <w:t> </w:t>
      </w:r>
      <w:r>
        <w:rPr>
          <w:color w:val="231F20"/>
        </w:rPr>
        <w:t>the</w:t>
      </w:r>
      <w:r>
        <w:rPr>
          <w:color w:val="231F20"/>
          <w:spacing w:val="10"/>
        </w:rPr>
        <w:t> </w:t>
      </w:r>
      <w:r>
        <w:rPr>
          <w:color w:val="231F20"/>
        </w:rPr>
        <w:t>front</w:t>
      </w:r>
      <w:r>
        <w:rPr>
          <w:color w:val="231F20"/>
          <w:spacing w:val="9"/>
        </w:rPr>
        <w:t> </w:t>
      </w:r>
      <w:r>
        <w:rPr>
          <w:color w:val="231F20"/>
          <w:spacing w:val="-2"/>
        </w:rPr>
        <w:t>burner.</w:t>
      </w:r>
    </w:p>
    <w:p>
      <w:pPr>
        <w:pStyle w:val="BodyText"/>
        <w:spacing w:line="292" w:lineRule="auto" w:before="54"/>
        <w:ind w:left="829" w:right="754" w:firstLine="340"/>
        <w:jc w:val="both"/>
      </w:pPr>
      <w:r>
        <w:rPr>
          <w:color w:val="231F20"/>
        </w:rPr>
        <w:t>Ethical dilemmas make for a lively classroom discussion. It </w:t>
      </w:r>
      <w:r>
        <w:rPr>
          <w:color w:val="231F20"/>
        </w:rPr>
        <w:t>was revealing to see my fellow students deal with controversial topics.</w:t>
      </w:r>
      <w:r>
        <w:rPr>
          <w:color w:val="231F20"/>
          <w:spacing w:val="40"/>
        </w:rPr>
        <w:t> </w:t>
      </w:r>
      <w:r>
        <w:rPr>
          <w:color w:val="231F20"/>
        </w:rPr>
        <w:t>My “politically astute” classmates would play it safe and take the ethical high ground before teachers and peers. My more insecure classmates would not participate at all. Others would express just what</w:t>
      </w:r>
      <w:r>
        <w:rPr>
          <w:color w:val="231F20"/>
          <w:spacing w:val="40"/>
        </w:rPr>
        <w:t> </w:t>
      </w:r>
      <w:r>
        <w:rPr>
          <w:color w:val="231F20"/>
        </w:rPr>
        <w:t>they</w:t>
      </w:r>
      <w:r>
        <w:rPr>
          <w:color w:val="231F20"/>
          <w:spacing w:val="40"/>
        </w:rPr>
        <w:t> </w:t>
      </w:r>
      <w:r>
        <w:rPr>
          <w:color w:val="231F20"/>
        </w:rPr>
        <w:t>thought,</w:t>
      </w:r>
      <w:r>
        <w:rPr>
          <w:color w:val="231F20"/>
          <w:spacing w:val="40"/>
        </w:rPr>
        <w:t> </w:t>
      </w:r>
      <w:r>
        <w:rPr>
          <w:color w:val="231F20"/>
        </w:rPr>
        <w:t>no</w:t>
      </w:r>
      <w:r>
        <w:rPr>
          <w:color w:val="231F20"/>
          <w:spacing w:val="40"/>
        </w:rPr>
        <w:t> </w:t>
      </w:r>
      <w:r>
        <w:rPr>
          <w:color w:val="231F20"/>
        </w:rPr>
        <w:t>matter</w:t>
      </w:r>
      <w:r>
        <w:rPr>
          <w:color w:val="231F20"/>
          <w:spacing w:val="40"/>
        </w:rPr>
        <w:t> </w:t>
      </w:r>
      <w:r>
        <w:rPr>
          <w:color w:val="231F20"/>
        </w:rPr>
        <w:t>how</w:t>
      </w:r>
      <w:r>
        <w:rPr>
          <w:color w:val="231F20"/>
          <w:spacing w:val="40"/>
        </w:rPr>
        <w:t> </w:t>
      </w:r>
      <w:r>
        <w:rPr>
          <w:color w:val="231F20"/>
        </w:rPr>
        <w:t>politically</w:t>
      </w:r>
      <w:r>
        <w:rPr>
          <w:color w:val="231F20"/>
          <w:spacing w:val="40"/>
        </w:rPr>
        <w:t> </w:t>
      </w:r>
      <w:r>
        <w:rPr>
          <w:color w:val="231F20"/>
        </w:rPr>
        <w:t>“incorrect”</w:t>
      </w:r>
      <w:r>
        <w:rPr>
          <w:color w:val="231F20"/>
          <w:spacing w:val="40"/>
        </w:rPr>
        <w:t> </w:t>
      </w:r>
      <w:r>
        <w:rPr>
          <w:color w:val="231F20"/>
        </w:rPr>
        <w:t>it</w:t>
      </w:r>
      <w:r>
        <w:rPr>
          <w:color w:val="231F20"/>
          <w:spacing w:val="40"/>
        </w:rPr>
        <w:t> </w:t>
      </w:r>
      <w:r>
        <w:rPr>
          <w:color w:val="231F20"/>
        </w:rPr>
        <w:t>may have sounded. I fell into this last group. But I must admit, I took</w:t>
      </w:r>
      <w:r>
        <w:rPr>
          <w:color w:val="231F20"/>
          <w:spacing w:val="80"/>
        </w:rPr>
        <w:t> </w:t>
      </w:r>
      <w:r>
        <w:rPr>
          <w:color w:val="231F20"/>
        </w:rPr>
        <w:t>many unpopular positions just to liven up the class discussion. In</w:t>
      </w:r>
      <w:r>
        <w:rPr>
          <w:color w:val="231F20"/>
          <w:spacing w:val="80"/>
        </w:rPr>
        <w:t> </w:t>
      </w:r>
      <w:r>
        <w:rPr>
          <w:color w:val="231F20"/>
        </w:rPr>
        <w:t>any</w:t>
      </w:r>
      <w:r>
        <w:rPr>
          <w:color w:val="231F20"/>
          <w:spacing w:val="14"/>
        </w:rPr>
        <w:t> </w:t>
      </w:r>
      <w:r>
        <w:rPr>
          <w:color w:val="231F20"/>
        </w:rPr>
        <w:t>case,</w:t>
      </w:r>
      <w:r>
        <w:rPr>
          <w:color w:val="231F20"/>
          <w:spacing w:val="14"/>
        </w:rPr>
        <w:t> </w:t>
      </w:r>
      <w:r>
        <w:rPr>
          <w:color w:val="231F20"/>
        </w:rPr>
        <w:t>ethics</w:t>
      </w:r>
      <w:r>
        <w:rPr>
          <w:color w:val="231F20"/>
          <w:spacing w:val="15"/>
        </w:rPr>
        <w:t> </w:t>
      </w:r>
      <w:r>
        <w:rPr>
          <w:color w:val="231F20"/>
        </w:rPr>
        <w:t>is</w:t>
      </w:r>
      <w:r>
        <w:rPr>
          <w:color w:val="231F20"/>
          <w:spacing w:val="14"/>
        </w:rPr>
        <w:t> </w:t>
      </w:r>
      <w:r>
        <w:rPr>
          <w:color w:val="231F20"/>
        </w:rPr>
        <w:t>a</w:t>
      </w:r>
      <w:r>
        <w:rPr>
          <w:color w:val="231F20"/>
          <w:spacing w:val="15"/>
        </w:rPr>
        <w:t> </w:t>
      </w:r>
      <w:r>
        <w:rPr>
          <w:color w:val="231F20"/>
        </w:rPr>
        <w:t>good</w:t>
      </w:r>
      <w:r>
        <w:rPr>
          <w:color w:val="231F20"/>
          <w:spacing w:val="14"/>
        </w:rPr>
        <w:t> </w:t>
      </w:r>
      <w:r>
        <w:rPr>
          <w:color w:val="231F20"/>
        </w:rPr>
        <w:t>topic</w:t>
      </w:r>
      <w:r>
        <w:rPr>
          <w:color w:val="231F20"/>
          <w:spacing w:val="14"/>
        </w:rPr>
        <w:t> </w:t>
      </w:r>
      <w:r>
        <w:rPr>
          <w:color w:val="231F20"/>
        </w:rPr>
        <w:t>for</w:t>
      </w:r>
      <w:r>
        <w:rPr>
          <w:color w:val="231F20"/>
          <w:spacing w:val="15"/>
        </w:rPr>
        <w:t> </w:t>
      </w:r>
      <w:r>
        <w:rPr>
          <w:color w:val="231F20"/>
        </w:rPr>
        <w:t>speaker</w:t>
      </w:r>
      <w:r>
        <w:rPr>
          <w:color w:val="231F20"/>
          <w:spacing w:val="14"/>
        </w:rPr>
        <w:t> </w:t>
      </w:r>
      <w:r>
        <w:rPr>
          <w:color w:val="231F20"/>
        </w:rPr>
        <w:t>forums</w:t>
      </w:r>
      <w:r>
        <w:rPr>
          <w:color w:val="231F20"/>
          <w:spacing w:val="14"/>
        </w:rPr>
        <w:t> </w:t>
      </w:r>
      <w:r>
        <w:rPr>
          <w:color w:val="231F20"/>
        </w:rPr>
        <w:t>and</w:t>
      </w:r>
      <w:r>
        <w:rPr>
          <w:color w:val="231F20"/>
          <w:spacing w:val="15"/>
        </w:rPr>
        <w:t> </w:t>
      </w:r>
      <w:r>
        <w:rPr>
          <w:color w:val="231F20"/>
        </w:rPr>
        <w:t>great</w:t>
      </w:r>
      <w:r>
        <w:rPr>
          <w:color w:val="231F20"/>
          <w:spacing w:val="14"/>
        </w:rPr>
        <w:t> </w:t>
      </w:r>
      <w:r>
        <w:rPr>
          <w:color w:val="231F20"/>
          <w:spacing w:val="-2"/>
        </w:rPr>
        <w:t>fodder</w:t>
      </w:r>
    </w:p>
    <w:p>
      <w:pPr>
        <w:spacing w:after="0" w:line="292" w:lineRule="auto"/>
        <w:jc w:val="both"/>
        <w:sectPr>
          <w:headerReference w:type="even" r:id="rId26"/>
          <w:pgSz w:w="8640" w:h="12960"/>
          <w:pgMar w:header="0" w:footer="0" w:top="1220" w:bottom="280" w:left="340" w:right="500"/>
        </w:sectPr>
      </w:pPr>
    </w:p>
    <w:p>
      <w:pPr>
        <w:pStyle w:val="BodyText"/>
        <w:spacing w:before="8"/>
        <w:rPr>
          <w:sz w:val="17"/>
        </w:rPr>
      </w:pPr>
    </w:p>
    <w:p>
      <w:pPr>
        <w:pStyle w:val="BodyText"/>
        <w:spacing w:line="292" w:lineRule="auto" w:before="102"/>
        <w:ind w:left="920" w:right="666"/>
        <w:jc w:val="both"/>
      </w:pPr>
      <w:r>
        <w:rPr>
          <w:color w:val="231F20"/>
        </w:rPr>
        <w:t>for articles and dissertations. Since ethical problems often have </w:t>
      </w:r>
      <w:r>
        <w:rPr>
          <w:color w:val="231F20"/>
        </w:rPr>
        <w:t>no definitive answers, the area will remain fertile academic ground for years to come.</w:t>
      </w:r>
    </w:p>
    <w:p>
      <w:pPr>
        <w:pStyle w:val="BodyText"/>
        <w:spacing w:line="292" w:lineRule="auto"/>
        <w:ind w:left="920" w:right="663" w:firstLine="340"/>
        <w:jc w:val="both"/>
      </w:pPr>
      <w:r>
        <w:rPr>
          <w:color w:val="231F20"/>
        </w:rPr>
        <w:t>The purpose of ethics in the MBA curriculum is not to make </w:t>
      </w:r>
      <w:r>
        <w:rPr>
          <w:color w:val="231F20"/>
        </w:rPr>
        <w:t>stu- dents model corporate citizens. Rather, the intention is to make stu- dents aware of the ethical implications of business decisions.</w:t>
      </w:r>
      <w:r>
        <w:rPr>
          <w:color w:val="231F20"/>
          <w:spacing w:val="40"/>
        </w:rPr>
        <w:t> </w:t>
      </w:r>
      <w:r>
        <w:rPr>
          <w:color w:val="231F20"/>
        </w:rPr>
        <w:t>Through casework and role-playing, students confront ethical dilemmas similar to those they will face in the workplace.</w:t>
      </w:r>
    </w:p>
    <w:p>
      <w:pPr>
        <w:pStyle w:val="BodyText"/>
        <w:spacing w:line="292" w:lineRule="auto"/>
        <w:ind w:left="920" w:right="663" w:firstLine="340"/>
        <w:jc w:val="both"/>
      </w:pPr>
      <w:r>
        <w:rPr>
          <w:color w:val="231F20"/>
        </w:rPr>
        <w:t>The top business schools train their future champions of indus- try</w:t>
      </w:r>
      <w:r>
        <w:rPr>
          <w:color w:val="231F20"/>
          <w:spacing w:val="40"/>
        </w:rPr>
        <w:t> </w:t>
      </w:r>
      <w:r>
        <w:rPr>
          <w:color w:val="231F20"/>
        </w:rPr>
        <w:t>to</w:t>
      </w:r>
      <w:r>
        <w:rPr>
          <w:color w:val="231F20"/>
          <w:spacing w:val="40"/>
        </w:rPr>
        <w:t> </w:t>
      </w:r>
      <w:r>
        <w:rPr>
          <w:color w:val="231F20"/>
        </w:rPr>
        <w:t>deal</w:t>
      </w:r>
      <w:r>
        <w:rPr>
          <w:color w:val="231F20"/>
          <w:spacing w:val="40"/>
        </w:rPr>
        <w:t> </w:t>
      </w:r>
      <w:r>
        <w:rPr>
          <w:color w:val="231F20"/>
        </w:rPr>
        <w:t>with</w:t>
      </w:r>
      <w:r>
        <w:rPr>
          <w:color w:val="231F20"/>
          <w:spacing w:val="40"/>
        </w:rPr>
        <w:t> </w:t>
      </w:r>
      <w:r>
        <w:rPr>
          <w:color w:val="231F20"/>
        </w:rPr>
        <w:t>any</w:t>
      </w:r>
      <w:r>
        <w:rPr>
          <w:color w:val="231F20"/>
          <w:spacing w:val="40"/>
        </w:rPr>
        <w:t> </w:t>
      </w:r>
      <w:r>
        <w:rPr>
          <w:color w:val="231F20"/>
        </w:rPr>
        <w:t>challenge.</w:t>
      </w:r>
      <w:r>
        <w:rPr>
          <w:color w:val="231F20"/>
          <w:spacing w:val="40"/>
        </w:rPr>
        <w:t> </w:t>
      </w:r>
      <w:r>
        <w:rPr>
          <w:color w:val="231F20"/>
        </w:rPr>
        <w:t>You</w:t>
      </w:r>
      <w:r>
        <w:rPr>
          <w:color w:val="231F20"/>
          <w:spacing w:val="40"/>
        </w:rPr>
        <w:t> </w:t>
      </w:r>
      <w:r>
        <w:rPr>
          <w:color w:val="231F20"/>
        </w:rPr>
        <w:t>name</w:t>
      </w:r>
      <w:r>
        <w:rPr>
          <w:color w:val="231F20"/>
          <w:spacing w:val="40"/>
        </w:rPr>
        <w:t> </w:t>
      </w:r>
      <w:r>
        <w:rPr>
          <w:color w:val="231F20"/>
        </w:rPr>
        <w:t>the</w:t>
      </w:r>
      <w:r>
        <w:rPr>
          <w:color w:val="231F20"/>
          <w:spacing w:val="40"/>
        </w:rPr>
        <w:t> </w:t>
      </w:r>
      <w:r>
        <w:rPr>
          <w:color w:val="231F20"/>
        </w:rPr>
        <w:t>“hot”</w:t>
      </w:r>
      <w:r>
        <w:rPr>
          <w:color w:val="231F20"/>
          <w:spacing w:val="40"/>
        </w:rPr>
        <w:t> </w:t>
      </w:r>
      <w:r>
        <w:rPr>
          <w:color w:val="231F20"/>
        </w:rPr>
        <w:t>topic,</w:t>
      </w:r>
      <w:r>
        <w:rPr>
          <w:color w:val="231F20"/>
          <w:spacing w:val="40"/>
        </w:rPr>
        <w:t> </w:t>
      </w:r>
      <w:r>
        <w:rPr>
          <w:color w:val="231F20"/>
        </w:rPr>
        <w:t>we thrashed out the issue in class:</w:t>
      </w:r>
    </w:p>
    <w:p>
      <w:pPr>
        <w:pStyle w:val="BodyText"/>
        <w:rPr>
          <w:sz w:val="27"/>
        </w:rPr>
      </w:pPr>
    </w:p>
    <w:p>
      <w:pPr>
        <w:spacing w:line="328" w:lineRule="auto" w:before="0"/>
        <w:ind w:left="1599" w:right="667" w:hanging="340"/>
        <w:jc w:val="left"/>
        <w:rPr>
          <w:rFonts w:ascii="Arial" w:hAnsi="Arial"/>
          <w:sz w:val="19"/>
        </w:rPr>
      </w:pPr>
      <w:r>
        <w:rPr>
          <w:rFonts w:ascii="Arial" w:hAnsi="Arial"/>
          <w:color w:val="231F20"/>
          <w:w w:val="110"/>
          <w:sz w:val="19"/>
        </w:rPr>
        <w:t>Environmental issues—</w:t>
      </w:r>
      <w:r>
        <w:rPr>
          <w:rFonts w:ascii="Arial" w:hAnsi="Arial"/>
          <w:color w:val="231F20"/>
          <w:spacing w:val="-34"/>
          <w:w w:val="110"/>
          <w:sz w:val="19"/>
        </w:rPr>
        <w:t> </w:t>
      </w:r>
      <w:r>
        <w:rPr>
          <w:rFonts w:ascii="Arial" w:hAnsi="Arial"/>
          <w:color w:val="231F20"/>
          <w:w w:val="110"/>
          <w:sz w:val="19"/>
        </w:rPr>
        <w:t>pollution, toxic waste dumping, </w:t>
      </w:r>
      <w:r>
        <w:rPr>
          <w:rFonts w:ascii="Arial" w:hAnsi="Arial"/>
          <w:color w:val="231F20"/>
          <w:w w:val="110"/>
          <w:sz w:val="19"/>
        </w:rPr>
        <w:t>animal </w:t>
      </w:r>
      <w:r>
        <w:rPr>
          <w:rFonts w:ascii="Arial" w:hAnsi="Arial"/>
          <w:color w:val="231F20"/>
          <w:spacing w:val="-2"/>
          <w:w w:val="115"/>
          <w:sz w:val="19"/>
        </w:rPr>
        <w:t>rights</w:t>
      </w:r>
    </w:p>
    <w:p>
      <w:pPr>
        <w:spacing w:before="2"/>
        <w:ind w:left="1259" w:right="0" w:firstLine="0"/>
        <w:jc w:val="left"/>
        <w:rPr>
          <w:rFonts w:ascii="Arial" w:hAnsi="Arial"/>
          <w:sz w:val="19"/>
        </w:rPr>
      </w:pPr>
      <w:r>
        <w:rPr>
          <w:rFonts w:ascii="Arial" w:hAnsi="Arial"/>
          <w:color w:val="231F20"/>
          <w:w w:val="110"/>
          <w:sz w:val="19"/>
        </w:rPr>
        <w:t>Corporate</w:t>
      </w:r>
      <w:r>
        <w:rPr>
          <w:rFonts w:ascii="Arial" w:hAnsi="Arial"/>
          <w:color w:val="231F20"/>
          <w:spacing w:val="52"/>
          <w:w w:val="110"/>
          <w:sz w:val="19"/>
        </w:rPr>
        <w:t> </w:t>
      </w:r>
      <w:r>
        <w:rPr>
          <w:rFonts w:ascii="Arial" w:hAnsi="Arial"/>
          <w:color w:val="231F20"/>
          <w:w w:val="110"/>
          <w:sz w:val="19"/>
        </w:rPr>
        <w:t>restructuring—</w:t>
      </w:r>
      <w:r>
        <w:rPr>
          <w:rFonts w:ascii="Arial" w:hAnsi="Arial"/>
          <w:color w:val="231F20"/>
          <w:spacing w:val="-21"/>
          <w:w w:val="110"/>
          <w:sz w:val="19"/>
        </w:rPr>
        <w:t> </w:t>
      </w:r>
      <w:r>
        <w:rPr>
          <w:rFonts w:ascii="Arial" w:hAnsi="Arial"/>
          <w:color w:val="231F20"/>
          <w:spacing w:val="-2"/>
          <w:w w:val="110"/>
          <w:sz w:val="19"/>
        </w:rPr>
        <w:t>layoffs</w:t>
      </w:r>
    </w:p>
    <w:p>
      <w:pPr>
        <w:spacing w:before="81"/>
        <w:ind w:left="1259" w:right="0" w:firstLine="0"/>
        <w:jc w:val="left"/>
        <w:rPr>
          <w:rFonts w:ascii="Arial" w:hAnsi="Arial"/>
          <w:sz w:val="19"/>
        </w:rPr>
      </w:pPr>
      <w:r>
        <w:rPr>
          <w:rFonts w:ascii="Arial" w:hAnsi="Arial"/>
          <w:color w:val="231F20"/>
          <w:w w:val="110"/>
          <w:sz w:val="19"/>
        </w:rPr>
        <w:t>Employee</w:t>
      </w:r>
      <w:r>
        <w:rPr>
          <w:rFonts w:ascii="Arial" w:hAnsi="Arial"/>
          <w:color w:val="231F20"/>
          <w:spacing w:val="-8"/>
          <w:w w:val="110"/>
          <w:sz w:val="19"/>
        </w:rPr>
        <w:t> </w:t>
      </w:r>
      <w:r>
        <w:rPr>
          <w:rFonts w:ascii="Arial" w:hAnsi="Arial"/>
          <w:color w:val="231F20"/>
          <w:w w:val="110"/>
          <w:sz w:val="19"/>
        </w:rPr>
        <w:t>privacy</w:t>
      </w:r>
      <w:r>
        <w:rPr>
          <w:rFonts w:ascii="Arial" w:hAnsi="Arial"/>
          <w:color w:val="231F20"/>
          <w:spacing w:val="-5"/>
          <w:w w:val="110"/>
          <w:sz w:val="19"/>
        </w:rPr>
        <w:t> </w:t>
      </w:r>
      <w:r>
        <w:rPr>
          <w:rFonts w:ascii="Arial" w:hAnsi="Arial"/>
          <w:color w:val="231F20"/>
          <w:w w:val="110"/>
          <w:sz w:val="19"/>
        </w:rPr>
        <w:t>issues</w:t>
      </w:r>
      <w:r>
        <w:rPr>
          <w:rFonts w:ascii="Arial" w:hAnsi="Arial"/>
          <w:color w:val="231F20"/>
          <w:spacing w:val="-40"/>
          <w:w w:val="110"/>
          <w:sz w:val="19"/>
        </w:rPr>
        <w:t> </w:t>
      </w:r>
      <w:r>
        <w:rPr>
          <w:rFonts w:ascii="Arial" w:hAnsi="Arial"/>
          <w:color w:val="231F20"/>
          <w:spacing w:val="11"/>
          <w:w w:val="110"/>
          <w:sz w:val="19"/>
        </w:rPr>
        <w:t>—</w:t>
      </w:r>
      <w:r>
        <w:rPr>
          <w:rFonts w:ascii="Arial" w:hAnsi="Arial"/>
          <w:color w:val="231F20"/>
          <w:w w:val="110"/>
          <w:sz w:val="19"/>
        </w:rPr>
        <w:t>AIDS,</w:t>
      </w:r>
      <w:r>
        <w:rPr>
          <w:rFonts w:ascii="Arial" w:hAnsi="Arial"/>
          <w:color w:val="231F20"/>
          <w:spacing w:val="-5"/>
          <w:w w:val="110"/>
          <w:sz w:val="19"/>
        </w:rPr>
        <w:t> </w:t>
      </w:r>
      <w:r>
        <w:rPr>
          <w:rFonts w:ascii="Arial" w:hAnsi="Arial"/>
          <w:color w:val="231F20"/>
          <w:w w:val="110"/>
          <w:sz w:val="19"/>
        </w:rPr>
        <w:t>drug</w:t>
      </w:r>
      <w:r>
        <w:rPr>
          <w:rFonts w:ascii="Arial" w:hAnsi="Arial"/>
          <w:color w:val="231F20"/>
          <w:spacing w:val="-6"/>
          <w:w w:val="110"/>
          <w:sz w:val="19"/>
        </w:rPr>
        <w:t> </w:t>
      </w:r>
      <w:r>
        <w:rPr>
          <w:rFonts w:ascii="Arial" w:hAnsi="Arial"/>
          <w:color w:val="231F20"/>
          <w:spacing w:val="-2"/>
          <w:w w:val="110"/>
          <w:sz w:val="19"/>
        </w:rPr>
        <w:t>testing</w:t>
      </w:r>
    </w:p>
    <w:p>
      <w:pPr>
        <w:spacing w:line="328" w:lineRule="auto" w:before="82"/>
        <w:ind w:left="1599" w:right="1262" w:hanging="340"/>
        <w:jc w:val="left"/>
        <w:rPr>
          <w:rFonts w:ascii="Arial" w:hAnsi="Arial"/>
          <w:sz w:val="19"/>
        </w:rPr>
      </w:pPr>
      <w:r>
        <w:rPr>
          <w:rFonts w:ascii="Arial" w:hAnsi="Arial"/>
          <w:color w:val="231F20"/>
          <w:w w:val="110"/>
          <w:sz w:val="19"/>
        </w:rPr>
        <w:t>“Diversity”</w:t>
      </w:r>
      <w:r>
        <w:rPr>
          <w:rFonts w:ascii="Arial" w:hAnsi="Arial"/>
          <w:color w:val="231F20"/>
          <w:spacing w:val="-3"/>
          <w:w w:val="110"/>
          <w:sz w:val="19"/>
        </w:rPr>
        <w:t> </w:t>
      </w:r>
      <w:r>
        <w:rPr>
          <w:rFonts w:ascii="Arial" w:hAnsi="Arial"/>
          <w:color w:val="231F20"/>
          <w:w w:val="110"/>
          <w:sz w:val="19"/>
        </w:rPr>
        <w:t>issues—</w:t>
      </w:r>
      <w:r>
        <w:rPr>
          <w:rFonts w:ascii="Arial" w:hAnsi="Arial"/>
          <w:color w:val="231F20"/>
          <w:spacing w:val="-40"/>
          <w:w w:val="110"/>
          <w:sz w:val="19"/>
        </w:rPr>
        <w:t> </w:t>
      </w:r>
      <w:r>
        <w:rPr>
          <w:rFonts w:ascii="Arial" w:hAnsi="Arial"/>
          <w:color w:val="231F20"/>
          <w:w w:val="110"/>
          <w:sz w:val="19"/>
        </w:rPr>
        <w:t>race,</w:t>
      </w:r>
      <w:r>
        <w:rPr>
          <w:rFonts w:ascii="Arial" w:hAnsi="Arial"/>
          <w:color w:val="231F20"/>
          <w:spacing w:val="-2"/>
          <w:w w:val="110"/>
          <w:sz w:val="19"/>
        </w:rPr>
        <w:t> </w:t>
      </w:r>
      <w:r>
        <w:rPr>
          <w:rFonts w:ascii="Arial" w:hAnsi="Arial"/>
          <w:color w:val="231F20"/>
          <w:w w:val="110"/>
          <w:sz w:val="19"/>
        </w:rPr>
        <w:t>ethnicity,</w:t>
      </w:r>
      <w:r>
        <w:rPr>
          <w:rFonts w:ascii="Arial" w:hAnsi="Arial"/>
          <w:color w:val="231F20"/>
          <w:spacing w:val="-2"/>
          <w:w w:val="110"/>
          <w:sz w:val="19"/>
        </w:rPr>
        <w:t> </w:t>
      </w:r>
      <w:r>
        <w:rPr>
          <w:rFonts w:ascii="Arial" w:hAnsi="Arial"/>
          <w:color w:val="231F20"/>
          <w:w w:val="110"/>
          <w:sz w:val="19"/>
        </w:rPr>
        <w:t>gender,</w:t>
      </w:r>
      <w:r>
        <w:rPr>
          <w:rFonts w:ascii="Arial" w:hAnsi="Arial"/>
          <w:color w:val="231F20"/>
          <w:spacing w:val="-2"/>
          <w:w w:val="110"/>
          <w:sz w:val="19"/>
        </w:rPr>
        <w:t> </w:t>
      </w:r>
      <w:r>
        <w:rPr>
          <w:rFonts w:ascii="Arial" w:hAnsi="Arial"/>
          <w:color w:val="231F20"/>
          <w:w w:val="110"/>
          <w:sz w:val="19"/>
        </w:rPr>
        <w:t>and</w:t>
      </w:r>
      <w:r>
        <w:rPr>
          <w:rFonts w:ascii="Arial" w:hAnsi="Arial"/>
          <w:color w:val="231F20"/>
          <w:spacing w:val="-2"/>
          <w:w w:val="110"/>
          <w:sz w:val="19"/>
        </w:rPr>
        <w:t> </w:t>
      </w:r>
      <w:r>
        <w:rPr>
          <w:rFonts w:ascii="Arial" w:hAnsi="Arial"/>
          <w:color w:val="231F20"/>
          <w:w w:val="110"/>
          <w:sz w:val="19"/>
        </w:rPr>
        <w:t>sexual </w:t>
      </w:r>
      <w:r>
        <w:rPr>
          <w:rFonts w:ascii="Arial" w:hAnsi="Arial"/>
          <w:color w:val="231F20"/>
          <w:spacing w:val="-2"/>
          <w:w w:val="115"/>
          <w:sz w:val="19"/>
        </w:rPr>
        <w:t>orientation</w:t>
      </w:r>
    </w:p>
    <w:p>
      <w:pPr>
        <w:spacing w:before="1"/>
        <w:ind w:left="1259" w:right="0" w:firstLine="0"/>
        <w:jc w:val="left"/>
        <w:rPr>
          <w:rFonts w:ascii="Arial"/>
          <w:sz w:val="19"/>
        </w:rPr>
      </w:pPr>
      <w:r>
        <w:rPr>
          <w:rFonts w:ascii="Arial"/>
          <w:color w:val="231F20"/>
          <w:spacing w:val="-2"/>
          <w:w w:val="110"/>
          <w:sz w:val="19"/>
        </w:rPr>
        <w:t>Sexual</w:t>
      </w:r>
      <w:r>
        <w:rPr>
          <w:rFonts w:ascii="Arial"/>
          <w:color w:val="231F20"/>
          <w:spacing w:val="-6"/>
          <w:w w:val="110"/>
          <w:sz w:val="19"/>
        </w:rPr>
        <w:t> </w:t>
      </w:r>
      <w:r>
        <w:rPr>
          <w:rFonts w:ascii="Arial"/>
          <w:color w:val="231F20"/>
          <w:spacing w:val="-2"/>
          <w:w w:val="110"/>
          <w:sz w:val="19"/>
        </w:rPr>
        <w:t>harassment</w:t>
      </w:r>
    </w:p>
    <w:p>
      <w:pPr>
        <w:spacing w:before="82"/>
        <w:ind w:left="1259" w:right="0" w:firstLine="0"/>
        <w:jc w:val="left"/>
        <w:rPr>
          <w:rFonts w:ascii="Arial" w:hAnsi="Arial"/>
          <w:sz w:val="19"/>
        </w:rPr>
      </w:pPr>
      <w:r>
        <w:rPr>
          <w:rFonts w:ascii="Arial" w:hAnsi="Arial"/>
          <w:color w:val="231F20"/>
          <w:spacing w:val="-2"/>
          <w:w w:val="115"/>
          <w:sz w:val="19"/>
        </w:rPr>
        <w:t>Conduct</w:t>
      </w:r>
      <w:r>
        <w:rPr>
          <w:rFonts w:ascii="Arial" w:hAnsi="Arial"/>
          <w:color w:val="231F20"/>
          <w:spacing w:val="2"/>
          <w:w w:val="115"/>
          <w:sz w:val="19"/>
        </w:rPr>
        <w:t> </w:t>
      </w:r>
      <w:r>
        <w:rPr>
          <w:rFonts w:ascii="Arial" w:hAnsi="Arial"/>
          <w:color w:val="231F20"/>
          <w:spacing w:val="-2"/>
          <w:w w:val="115"/>
          <w:sz w:val="19"/>
        </w:rPr>
        <w:t>of</w:t>
      </w:r>
      <w:r>
        <w:rPr>
          <w:rFonts w:ascii="Arial" w:hAnsi="Arial"/>
          <w:color w:val="231F20"/>
          <w:spacing w:val="2"/>
          <w:w w:val="115"/>
          <w:sz w:val="19"/>
        </w:rPr>
        <w:t> </w:t>
      </w:r>
      <w:r>
        <w:rPr>
          <w:rFonts w:ascii="Arial" w:hAnsi="Arial"/>
          <w:color w:val="231F20"/>
          <w:spacing w:val="-2"/>
          <w:w w:val="115"/>
          <w:sz w:val="19"/>
        </w:rPr>
        <w:t>multinational</w:t>
      </w:r>
      <w:r>
        <w:rPr>
          <w:rFonts w:ascii="Arial" w:hAnsi="Arial"/>
          <w:color w:val="231F20"/>
          <w:spacing w:val="2"/>
          <w:w w:val="115"/>
          <w:sz w:val="19"/>
        </w:rPr>
        <w:t> </w:t>
      </w:r>
      <w:r>
        <w:rPr>
          <w:rFonts w:ascii="Arial" w:hAnsi="Arial"/>
          <w:color w:val="231F20"/>
          <w:spacing w:val="-2"/>
          <w:w w:val="115"/>
          <w:sz w:val="19"/>
        </w:rPr>
        <w:t>corporations</w:t>
      </w:r>
      <w:r>
        <w:rPr>
          <w:rFonts w:ascii="Arial" w:hAnsi="Arial"/>
          <w:color w:val="231F20"/>
          <w:spacing w:val="2"/>
          <w:w w:val="115"/>
          <w:sz w:val="19"/>
        </w:rPr>
        <w:t> </w:t>
      </w:r>
      <w:r>
        <w:rPr>
          <w:rFonts w:ascii="Arial" w:hAnsi="Arial"/>
          <w:color w:val="231F20"/>
          <w:spacing w:val="-2"/>
          <w:w w:val="115"/>
          <w:sz w:val="19"/>
        </w:rPr>
        <w:t>(MNCs)—</w:t>
      </w:r>
      <w:r>
        <w:rPr>
          <w:rFonts w:ascii="Arial" w:hAnsi="Arial"/>
          <w:color w:val="231F20"/>
          <w:spacing w:val="-40"/>
          <w:w w:val="115"/>
          <w:sz w:val="19"/>
        </w:rPr>
        <w:t> </w:t>
      </w:r>
      <w:r>
        <w:rPr>
          <w:rFonts w:ascii="Arial" w:hAnsi="Arial"/>
          <w:color w:val="231F20"/>
          <w:spacing w:val="-2"/>
          <w:w w:val="115"/>
          <w:sz w:val="19"/>
        </w:rPr>
        <w:t>bribery</w:t>
      </w:r>
    </w:p>
    <w:p>
      <w:pPr>
        <w:spacing w:before="81"/>
        <w:ind w:left="1259" w:right="0" w:firstLine="0"/>
        <w:jc w:val="left"/>
        <w:rPr>
          <w:rFonts w:ascii="Arial" w:hAnsi="Arial"/>
          <w:sz w:val="19"/>
        </w:rPr>
      </w:pPr>
      <w:r>
        <w:rPr>
          <w:rFonts w:ascii="Arial" w:hAnsi="Arial"/>
          <w:color w:val="231F20"/>
          <w:w w:val="115"/>
          <w:sz w:val="19"/>
        </w:rPr>
        <w:t>Other—</w:t>
      </w:r>
      <w:r>
        <w:rPr>
          <w:rFonts w:ascii="Arial" w:hAnsi="Arial"/>
          <w:color w:val="231F20"/>
          <w:spacing w:val="-42"/>
          <w:w w:val="115"/>
          <w:sz w:val="19"/>
        </w:rPr>
        <w:t> </w:t>
      </w:r>
      <w:r>
        <w:rPr>
          <w:rFonts w:ascii="Arial" w:hAnsi="Arial"/>
          <w:color w:val="231F20"/>
          <w:w w:val="115"/>
          <w:sz w:val="19"/>
        </w:rPr>
        <w:t>antitrust</w:t>
      </w:r>
      <w:r>
        <w:rPr>
          <w:rFonts w:ascii="Arial" w:hAnsi="Arial"/>
          <w:color w:val="231F20"/>
          <w:spacing w:val="-13"/>
          <w:w w:val="115"/>
          <w:sz w:val="19"/>
        </w:rPr>
        <w:t> </w:t>
      </w:r>
      <w:r>
        <w:rPr>
          <w:rFonts w:ascii="Arial" w:hAnsi="Arial"/>
          <w:color w:val="231F20"/>
          <w:w w:val="115"/>
          <w:sz w:val="19"/>
        </w:rPr>
        <w:t>actions,</w:t>
      </w:r>
      <w:r>
        <w:rPr>
          <w:rFonts w:ascii="Arial" w:hAnsi="Arial"/>
          <w:color w:val="231F20"/>
          <w:spacing w:val="-10"/>
          <w:w w:val="115"/>
          <w:sz w:val="19"/>
        </w:rPr>
        <w:t> </w:t>
      </w:r>
      <w:r>
        <w:rPr>
          <w:rFonts w:ascii="Arial" w:hAnsi="Arial"/>
          <w:color w:val="231F20"/>
          <w:w w:val="115"/>
          <w:sz w:val="19"/>
        </w:rPr>
        <w:t>predatory</w:t>
      </w:r>
      <w:r>
        <w:rPr>
          <w:rFonts w:ascii="Arial" w:hAnsi="Arial"/>
          <w:color w:val="231F20"/>
          <w:spacing w:val="-10"/>
          <w:w w:val="115"/>
          <w:sz w:val="19"/>
        </w:rPr>
        <w:t> </w:t>
      </w:r>
      <w:r>
        <w:rPr>
          <w:rFonts w:ascii="Arial" w:hAnsi="Arial"/>
          <w:color w:val="231F20"/>
          <w:w w:val="115"/>
          <w:sz w:val="19"/>
        </w:rPr>
        <w:t>pricing,</w:t>
      </w:r>
      <w:r>
        <w:rPr>
          <w:rFonts w:ascii="Arial" w:hAnsi="Arial"/>
          <w:color w:val="231F20"/>
          <w:spacing w:val="-10"/>
          <w:w w:val="115"/>
          <w:sz w:val="19"/>
        </w:rPr>
        <w:t> </w:t>
      </w:r>
      <w:r>
        <w:rPr>
          <w:rFonts w:ascii="Arial" w:hAnsi="Arial"/>
          <w:color w:val="231F20"/>
          <w:w w:val="115"/>
          <w:sz w:val="19"/>
        </w:rPr>
        <w:t>insider</w:t>
      </w:r>
      <w:r>
        <w:rPr>
          <w:rFonts w:ascii="Arial" w:hAnsi="Arial"/>
          <w:color w:val="231F20"/>
          <w:spacing w:val="-10"/>
          <w:w w:val="115"/>
          <w:sz w:val="19"/>
        </w:rPr>
        <w:t> </w:t>
      </w:r>
      <w:r>
        <w:rPr>
          <w:rFonts w:ascii="Arial" w:hAnsi="Arial"/>
          <w:color w:val="231F20"/>
          <w:spacing w:val="-2"/>
          <w:w w:val="115"/>
          <w:sz w:val="19"/>
        </w:rPr>
        <w:t>trading</w:t>
      </w:r>
    </w:p>
    <w:p>
      <w:pPr>
        <w:pStyle w:val="BodyText"/>
        <w:rPr>
          <w:rFonts w:ascii="Arial"/>
          <w:sz w:val="20"/>
        </w:rPr>
      </w:pPr>
    </w:p>
    <w:p>
      <w:pPr>
        <w:pStyle w:val="BodyText"/>
        <w:rPr>
          <w:rFonts w:ascii="Arial"/>
          <w:sz w:val="20"/>
        </w:rPr>
      </w:pPr>
    </w:p>
    <w:p>
      <w:pPr>
        <w:pStyle w:val="BodyText"/>
        <w:rPr>
          <w:rFonts w:ascii="Arial"/>
          <w:sz w:val="16"/>
        </w:rPr>
      </w:pPr>
    </w:p>
    <w:p>
      <w:pPr>
        <w:pStyle w:val="Heading4"/>
        <w:spacing w:before="1"/>
      </w:pPr>
      <w:r>
        <w:rPr>
          <w:color w:val="231F20"/>
          <w:w w:val="90"/>
        </w:rPr>
        <w:t>THE</w:t>
      </w:r>
      <w:r>
        <w:rPr>
          <w:color w:val="231F20"/>
          <w:spacing w:val="5"/>
          <w:w w:val="90"/>
        </w:rPr>
        <w:t> </w:t>
      </w:r>
      <w:r>
        <w:rPr>
          <w:color w:val="231F20"/>
          <w:spacing w:val="9"/>
          <w:w w:val="90"/>
        </w:rPr>
        <w:t>SOCIAL</w:t>
      </w:r>
      <w:r>
        <w:rPr>
          <w:color w:val="231F20"/>
          <w:spacing w:val="6"/>
          <w:w w:val="90"/>
        </w:rPr>
        <w:t> </w:t>
      </w:r>
      <w:r>
        <w:rPr>
          <w:color w:val="231F20"/>
          <w:spacing w:val="10"/>
          <w:w w:val="90"/>
        </w:rPr>
        <w:t>RESPONSIBILITY</w:t>
      </w:r>
      <w:r>
        <w:rPr>
          <w:color w:val="231F20"/>
          <w:spacing w:val="6"/>
          <w:w w:val="90"/>
        </w:rPr>
        <w:t> </w:t>
      </w:r>
      <w:r>
        <w:rPr>
          <w:color w:val="231F20"/>
          <w:w w:val="90"/>
        </w:rPr>
        <w:t>OF</w:t>
      </w:r>
      <w:r>
        <w:rPr>
          <w:color w:val="231F20"/>
          <w:spacing w:val="5"/>
          <w:w w:val="90"/>
        </w:rPr>
        <w:t> </w:t>
      </w:r>
      <w:r>
        <w:rPr>
          <w:color w:val="231F20"/>
          <w:spacing w:val="9"/>
          <w:w w:val="90"/>
        </w:rPr>
        <w:t>BUSINESS</w:t>
      </w:r>
    </w:p>
    <w:p>
      <w:pPr>
        <w:pStyle w:val="BodyText"/>
        <w:spacing w:before="10"/>
        <w:rPr>
          <w:rFonts w:ascii="Trebuchet MS"/>
          <w:sz w:val="29"/>
        </w:rPr>
      </w:pPr>
    </w:p>
    <w:p>
      <w:pPr>
        <w:pStyle w:val="BodyText"/>
        <w:spacing w:line="292" w:lineRule="auto"/>
        <w:ind w:left="919" w:right="663"/>
        <w:jc w:val="both"/>
      </w:pPr>
      <w:r>
        <w:rPr>
          <w:color w:val="231F20"/>
        </w:rPr>
        <w:t>Talk about ethics rests on the assumption that businesses ought to adhere to a socially responsible approach to decision making called the </w:t>
      </w:r>
      <w:r>
        <w:rPr>
          <w:i/>
          <w:color w:val="231F20"/>
        </w:rPr>
        <w:t>social responsibility </w:t>
      </w:r>
      <w:r>
        <w:rPr>
          <w:color w:val="231F20"/>
        </w:rPr>
        <w:t>approach. Proponents of this approach be- lieve that corporations have societal obligations that go beyond maximizing profits. Business schools encourage students to adopt this “politically correct” philosophy. It is argued that because </w:t>
      </w:r>
      <w:r>
        <w:rPr>
          <w:color w:val="231F20"/>
        </w:rPr>
        <w:t>corpo- rations are so powerful, they have an obligation to assume social responsibilities. Corporations should be managed for the benefit of their </w:t>
      </w:r>
      <w:r>
        <w:rPr>
          <w:i/>
          <w:color w:val="231F20"/>
        </w:rPr>
        <w:t>stakeholders: </w:t>
      </w:r>
      <w:r>
        <w:rPr>
          <w:color w:val="231F20"/>
        </w:rPr>
        <w:t>their customers, suppliers, employees, and local communities, as well as their owners. Corporate leaders bear a fiduciary responsibility to all stakeholders.</w:t>
      </w:r>
    </w:p>
    <w:p>
      <w:pPr>
        <w:spacing w:after="0" w:line="292" w:lineRule="auto"/>
        <w:jc w:val="both"/>
        <w:sectPr>
          <w:headerReference w:type="default" r:id="rId27"/>
          <w:headerReference w:type="even" r:id="rId28"/>
          <w:pgSz w:w="8640" w:h="12960"/>
          <w:pgMar w:header="734" w:footer="0" w:top="920" w:bottom="280" w:left="340" w:right="500"/>
          <w:pgNumType w:start="61"/>
        </w:sectPr>
      </w:pPr>
    </w:p>
    <w:p>
      <w:pPr>
        <w:pStyle w:val="BodyText"/>
        <w:spacing w:before="10"/>
        <w:rPr>
          <w:sz w:val="17"/>
        </w:rPr>
      </w:pPr>
    </w:p>
    <w:p>
      <w:pPr>
        <w:pStyle w:val="BodyText"/>
        <w:spacing w:line="292" w:lineRule="auto" w:before="102"/>
        <w:ind w:left="830" w:right="753" w:firstLine="340"/>
        <w:jc w:val="both"/>
      </w:pPr>
      <w:r>
        <w:rPr>
          <w:color w:val="231F20"/>
        </w:rPr>
        <w:t>Flying in the face of the “politically correct” philosophy es-</w:t>
      </w:r>
      <w:r>
        <w:rPr>
          <w:color w:val="231F20"/>
          <w:spacing w:val="40"/>
        </w:rPr>
        <w:t> </w:t>
      </w:r>
      <w:r>
        <w:rPr>
          <w:color w:val="231F20"/>
        </w:rPr>
        <w:t>poused at most institutions is a competing school of thought led </w:t>
      </w:r>
      <w:r>
        <w:rPr>
          <w:color w:val="231F20"/>
        </w:rPr>
        <w:t>by Milton</w:t>
      </w:r>
      <w:r>
        <w:rPr>
          <w:color w:val="231F20"/>
          <w:spacing w:val="40"/>
        </w:rPr>
        <w:t> </w:t>
      </w:r>
      <w:r>
        <w:rPr>
          <w:color w:val="231F20"/>
        </w:rPr>
        <w:t>Friedman</w:t>
      </w:r>
      <w:r>
        <w:rPr>
          <w:color w:val="231F20"/>
          <w:spacing w:val="40"/>
        </w:rPr>
        <w:t> </w:t>
      </w:r>
      <w:r>
        <w:rPr>
          <w:color w:val="231F20"/>
        </w:rPr>
        <w:t>of</w:t>
      </w:r>
      <w:r>
        <w:rPr>
          <w:color w:val="231F20"/>
          <w:spacing w:val="40"/>
        </w:rPr>
        <w:t> </w:t>
      </w:r>
      <w:r>
        <w:rPr>
          <w:color w:val="231F20"/>
        </w:rPr>
        <w:t>the</w:t>
      </w:r>
      <w:r>
        <w:rPr>
          <w:color w:val="231F20"/>
          <w:spacing w:val="40"/>
        </w:rPr>
        <w:t> </w:t>
      </w:r>
      <w:r>
        <w:rPr>
          <w:color w:val="231F20"/>
        </w:rPr>
        <w:t>University</w:t>
      </w:r>
      <w:r>
        <w:rPr>
          <w:color w:val="231F20"/>
          <w:spacing w:val="40"/>
        </w:rPr>
        <w:t> </w:t>
      </w:r>
      <w:r>
        <w:rPr>
          <w:color w:val="231F20"/>
        </w:rPr>
        <w:t>of</w:t>
      </w:r>
      <w:r>
        <w:rPr>
          <w:color w:val="231F20"/>
          <w:spacing w:val="40"/>
        </w:rPr>
        <w:t> </w:t>
      </w:r>
      <w:r>
        <w:rPr>
          <w:color w:val="231F20"/>
        </w:rPr>
        <w:t>Chicago.</w:t>
      </w:r>
      <w:r>
        <w:rPr>
          <w:color w:val="231F20"/>
          <w:spacing w:val="40"/>
        </w:rPr>
        <w:t> </w:t>
      </w:r>
      <w:r>
        <w:rPr>
          <w:color w:val="231F20"/>
        </w:rPr>
        <w:t>Friedman</w:t>
      </w:r>
      <w:r>
        <w:rPr>
          <w:color w:val="231F20"/>
          <w:spacing w:val="40"/>
        </w:rPr>
        <w:t> </w:t>
      </w:r>
      <w:r>
        <w:rPr>
          <w:color w:val="231F20"/>
        </w:rPr>
        <w:t>believes that business’s sole duty is to make profits. “Businesses are in the business of maximizing shareholders’ value by a prudent use of scarce organizational resources, as long as the activities of the busi- ness are within the letter of the law.” In Friedman’s view, it is up to government to determine what the laws should be. A profitable busi- ness benefits society by creating jobs, increasing the standard of liv- ing of its owners and its employees. Corporations pay the taxes that support government’s social action. Although Friedman is exalted as one of the defenders of capitalism in economics courses, my school tended to discourage his views when it came to ethics class.</w:t>
      </w:r>
    </w:p>
    <w:p>
      <w:pPr>
        <w:pStyle w:val="BodyText"/>
        <w:spacing w:line="292" w:lineRule="auto"/>
        <w:ind w:left="830" w:right="756" w:firstLine="340"/>
        <w:jc w:val="both"/>
      </w:pPr>
      <w:r>
        <w:rPr>
          <w:color w:val="231F20"/>
        </w:rPr>
        <w:t>Two major topics are taught in the ethics curriculum: </w:t>
      </w:r>
      <w:r>
        <w:rPr>
          <w:i/>
          <w:color w:val="231F20"/>
        </w:rPr>
        <w:t>relativism</w:t>
      </w:r>
      <w:r>
        <w:rPr>
          <w:i/>
          <w:color w:val="231F20"/>
        </w:rPr>
        <w:t> </w:t>
      </w:r>
      <w:r>
        <w:rPr>
          <w:color w:val="231F20"/>
        </w:rPr>
        <w:t>and </w:t>
      </w:r>
      <w:r>
        <w:rPr>
          <w:i/>
          <w:color w:val="231F20"/>
        </w:rPr>
        <w:t>stakeholder analysis. </w:t>
      </w:r>
      <w:r>
        <w:rPr>
          <w:color w:val="231F20"/>
        </w:rPr>
        <w:t>Relativism examines why we often ignore ethics in our decision making, while stakeholder analysis provides a structure with which to confront ethical decisions.</w:t>
      </w:r>
    </w:p>
    <w:p>
      <w:pPr>
        <w:pStyle w:val="BodyText"/>
        <w:rPr>
          <w:sz w:val="24"/>
        </w:rPr>
      </w:pPr>
    </w:p>
    <w:p>
      <w:pPr>
        <w:pStyle w:val="BodyText"/>
        <w:spacing w:before="5"/>
        <w:rPr>
          <w:sz w:val="24"/>
        </w:rPr>
      </w:pPr>
    </w:p>
    <w:p>
      <w:pPr>
        <w:pStyle w:val="Heading4"/>
        <w:ind w:left="300"/>
      </w:pPr>
      <w:r>
        <w:rPr>
          <w:color w:val="231F20"/>
          <w:spacing w:val="7"/>
        </w:rPr>
        <w:t>RELATIVISM</w:t>
      </w:r>
    </w:p>
    <w:p>
      <w:pPr>
        <w:pStyle w:val="BodyText"/>
        <w:spacing w:before="10"/>
        <w:rPr>
          <w:rFonts w:ascii="Trebuchet MS"/>
          <w:sz w:val="29"/>
        </w:rPr>
      </w:pPr>
    </w:p>
    <w:p>
      <w:pPr>
        <w:pStyle w:val="BodyText"/>
        <w:spacing w:line="292" w:lineRule="auto"/>
        <w:ind w:left="830" w:right="756"/>
        <w:jc w:val="both"/>
      </w:pPr>
      <w:r>
        <w:rPr>
          <w:color w:val="231F20"/>
        </w:rPr>
        <w:t>The proponents of relativism hold that we can’t decide on matters of right and wrong, or good and evil. Things are rarely black or white. There are so many shades of gray. Relativism proposes that ethics</w:t>
      </w:r>
      <w:r>
        <w:rPr>
          <w:color w:val="231F20"/>
          <w:spacing w:val="40"/>
        </w:rPr>
        <w:t> </w:t>
      </w:r>
      <w:r>
        <w:rPr>
          <w:color w:val="231F20"/>
        </w:rPr>
        <w:t>are “relative” to the personal, social, and cultural circumstances in which one finds oneself. Relativists are not torn by ethical </w:t>
      </w:r>
      <w:r>
        <w:rPr>
          <w:color w:val="231F20"/>
        </w:rPr>
        <w:t>dilemmas since they do not believe that truth can be discovered through soul- searching. Professors teach relativism so that students may guard against it. To understand relativism, you need to recognize its four </w:t>
      </w:r>
      <w:r>
        <w:rPr>
          <w:color w:val="231F20"/>
          <w:spacing w:val="-2"/>
        </w:rPr>
        <w:t>forms:</w:t>
      </w:r>
    </w:p>
    <w:p>
      <w:pPr>
        <w:pStyle w:val="BodyText"/>
        <w:spacing w:before="2"/>
        <w:rPr>
          <w:sz w:val="27"/>
        </w:rPr>
      </w:pPr>
    </w:p>
    <w:p>
      <w:pPr>
        <w:spacing w:line="328" w:lineRule="auto" w:before="0"/>
        <w:ind w:left="1170" w:right="4813" w:firstLine="0"/>
        <w:jc w:val="left"/>
        <w:rPr>
          <w:rFonts w:ascii="Arial"/>
          <w:sz w:val="19"/>
        </w:rPr>
      </w:pPr>
      <w:r>
        <w:rPr>
          <w:rFonts w:ascii="Arial"/>
          <w:color w:val="231F20"/>
          <w:w w:val="110"/>
          <w:sz w:val="19"/>
        </w:rPr>
        <w:t>Naive</w:t>
      </w:r>
      <w:r>
        <w:rPr>
          <w:rFonts w:ascii="Arial"/>
          <w:color w:val="231F20"/>
          <w:spacing w:val="-15"/>
          <w:w w:val="110"/>
          <w:sz w:val="19"/>
        </w:rPr>
        <w:t> </w:t>
      </w:r>
      <w:r>
        <w:rPr>
          <w:rFonts w:ascii="Arial"/>
          <w:color w:val="231F20"/>
          <w:w w:val="110"/>
          <w:sz w:val="19"/>
        </w:rPr>
        <w:t>Relativism Role Relativism</w:t>
      </w:r>
    </w:p>
    <w:p>
      <w:pPr>
        <w:spacing w:line="328" w:lineRule="auto" w:before="1"/>
        <w:ind w:left="1170" w:right="4157" w:firstLine="0"/>
        <w:jc w:val="left"/>
        <w:rPr>
          <w:rFonts w:ascii="Arial"/>
          <w:sz w:val="19"/>
        </w:rPr>
      </w:pPr>
      <w:r>
        <w:rPr>
          <w:rFonts w:ascii="Arial"/>
          <w:color w:val="231F20"/>
          <w:w w:val="110"/>
          <w:sz w:val="19"/>
        </w:rPr>
        <w:t>Social Group Relativism Cultural Relativism</w:t>
      </w:r>
    </w:p>
    <w:p>
      <w:pPr>
        <w:spacing w:after="0" w:line="328" w:lineRule="auto"/>
        <w:jc w:val="left"/>
        <w:rPr>
          <w:rFonts w:ascii="Arial"/>
          <w:sz w:val="19"/>
        </w:rPr>
        <w:sectPr>
          <w:pgSz w:w="8640" w:h="12960"/>
          <w:pgMar w:header="732" w:footer="0" w:top="920" w:bottom="280" w:left="340" w:right="500"/>
        </w:sectPr>
      </w:pPr>
    </w:p>
    <w:p>
      <w:pPr>
        <w:pStyle w:val="BodyText"/>
        <w:rPr>
          <w:rFonts w:ascii="Arial"/>
          <w:sz w:val="18"/>
        </w:rPr>
      </w:pPr>
    </w:p>
    <w:p>
      <w:pPr>
        <w:pStyle w:val="BodyText"/>
        <w:spacing w:line="292" w:lineRule="auto" w:before="102"/>
        <w:ind w:left="919" w:right="663" w:firstLine="340"/>
        <w:jc w:val="both"/>
      </w:pPr>
      <w:r>
        <w:rPr>
          <w:i/>
          <w:color w:val="231F20"/>
        </w:rPr>
        <w:t>Naive relativism </w:t>
      </w:r>
      <w:r>
        <w:rPr>
          <w:color w:val="231F20"/>
        </w:rPr>
        <w:t>holds that every person has his or her own stan- dard that enables him or her to make choices. No one can make a moral judgment about another person’s behavior. So many </w:t>
      </w:r>
      <w:r>
        <w:rPr>
          <w:color w:val="231F20"/>
        </w:rPr>
        <w:t>variables affect behavior that an outsider cannot possibly be privy to all the elements that went into making a decision. Therefore, an executive</w:t>
      </w:r>
      <w:r>
        <w:rPr>
          <w:color w:val="231F20"/>
          <w:spacing w:val="80"/>
        </w:rPr>
        <w:t> </w:t>
      </w:r>
      <w:r>
        <w:rPr>
          <w:color w:val="231F20"/>
        </w:rPr>
        <w:t>at</w:t>
      </w:r>
      <w:r>
        <w:rPr>
          <w:color w:val="231F20"/>
          <w:spacing w:val="40"/>
        </w:rPr>
        <w:t> </w:t>
      </w:r>
      <w:r>
        <w:rPr>
          <w:color w:val="231F20"/>
        </w:rPr>
        <w:t>Borden</w:t>
      </w:r>
      <w:r>
        <w:rPr>
          <w:color w:val="231F20"/>
          <w:spacing w:val="40"/>
        </w:rPr>
        <w:t> </w:t>
      </w:r>
      <w:r>
        <w:rPr>
          <w:color w:val="231F20"/>
        </w:rPr>
        <w:t>is</w:t>
      </w:r>
      <w:r>
        <w:rPr>
          <w:color w:val="231F20"/>
          <w:spacing w:val="40"/>
        </w:rPr>
        <w:t> </w:t>
      </w:r>
      <w:r>
        <w:rPr>
          <w:color w:val="231F20"/>
        </w:rPr>
        <w:t>not</w:t>
      </w:r>
      <w:r>
        <w:rPr>
          <w:color w:val="231F20"/>
          <w:spacing w:val="40"/>
        </w:rPr>
        <w:t> </w:t>
      </w:r>
      <w:r>
        <w:rPr>
          <w:color w:val="231F20"/>
        </w:rPr>
        <w:t>equipped</w:t>
      </w:r>
      <w:r>
        <w:rPr>
          <w:color w:val="231F20"/>
          <w:spacing w:val="40"/>
        </w:rPr>
        <w:t> </w:t>
      </w:r>
      <w:r>
        <w:rPr>
          <w:color w:val="231F20"/>
        </w:rPr>
        <w:t>to</w:t>
      </w:r>
      <w:r>
        <w:rPr>
          <w:color w:val="231F20"/>
          <w:spacing w:val="40"/>
        </w:rPr>
        <w:t> </w:t>
      </w:r>
      <w:r>
        <w:rPr>
          <w:color w:val="231F20"/>
        </w:rPr>
        <w:t>make</w:t>
      </w:r>
      <w:r>
        <w:rPr>
          <w:color w:val="231F20"/>
          <w:spacing w:val="40"/>
        </w:rPr>
        <w:t> </w:t>
      </w:r>
      <w:r>
        <w:rPr>
          <w:color w:val="231F20"/>
        </w:rPr>
        <w:t>a</w:t>
      </w:r>
      <w:r>
        <w:rPr>
          <w:color w:val="231F20"/>
          <w:spacing w:val="40"/>
        </w:rPr>
        <w:t> </w:t>
      </w:r>
      <w:r>
        <w:rPr>
          <w:color w:val="231F20"/>
        </w:rPr>
        <w:t>moral</w:t>
      </w:r>
      <w:r>
        <w:rPr>
          <w:color w:val="231F20"/>
          <w:spacing w:val="40"/>
        </w:rPr>
        <w:t> </w:t>
      </w:r>
      <w:r>
        <w:rPr>
          <w:color w:val="231F20"/>
        </w:rPr>
        <w:t>judgment</w:t>
      </w:r>
      <w:r>
        <w:rPr>
          <w:color w:val="231F20"/>
          <w:spacing w:val="40"/>
        </w:rPr>
        <w:t> </w:t>
      </w:r>
      <w:r>
        <w:rPr>
          <w:color w:val="231F20"/>
        </w:rPr>
        <w:t>regarding the actions of the chief executive officer (CEO) of Nestlé, whose cor- poration is possibly selling harmful baby formula in developing </w:t>
      </w:r>
      <w:r>
        <w:rPr>
          <w:color w:val="231F20"/>
          <w:spacing w:val="-2"/>
        </w:rPr>
        <w:t>countries.</w:t>
      </w:r>
    </w:p>
    <w:p>
      <w:pPr>
        <w:pStyle w:val="BodyText"/>
        <w:spacing w:line="292" w:lineRule="auto"/>
        <w:ind w:left="919" w:right="666" w:firstLine="340"/>
        <w:jc w:val="both"/>
      </w:pPr>
      <w:r>
        <w:rPr>
          <w:i/>
          <w:color w:val="231F20"/>
        </w:rPr>
        <w:t>Role relativism </w:t>
      </w:r>
      <w:r>
        <w:rPr>
          <w:color w:val="231F20"/>
        </w:rPr>
        <w:t>distinguishes between our private selves and </w:t>
      </w:r>
      <w:r>
        <w:rPr>
          <w:color w:val="231F20"/>
        </w:rPr>
        <w:t>our public roles. These public roles call for a “special” morality that we separate</w:t>
      </w:r>
      <w:r>
        <w:rPr>
          <w:color w:val="231F20"/>
          <w:spacing w:val="34"/>
        </w:rPr>
        <w:t> </w:t>
      </w:r>
      <w:r>
        <w:rPr>
          <w:color w:val="231F20"/>
        </w:rPr>
        <w:t>from</w:t>
      </w:r>
      <w:r>
        <w:rPr>
          <w:color w:val="231F20"/>
          <w:spacing w:val="34"/>
        </w:rPr>
        <w:t> </w:t>
      </w:r>
      <w:r>
        <w:rPr>
          <w:color w:val="231F20"/>
        </w:rPr>
        <w:t>the</w:t>
      </w:r>
      <w:r>
        <w:rPr>
          <w:color w:val="231F20"/>
          <w:spacing w:val="34"/>
        </w:rPr>
        <w:t> </w:t>
      </w:r>
      <w:r>
        <w:rPr>
          <w:color w:val="231F20"/>
        </w:rPr>
        <w:t>individual</w:t>
      </w:r>
      <w:r>
        <w:rPr>
          <w:color w:val="231F20"/>
          <w:spacing w:val="34"/>
        </w:rPr>
        <w:t> </w:t>
      </w:r>
      <w:r>
        <w:rPr>
          <w:color w:val="231F20"/>
        </w:rPr>
        <w:t>making</w:t>
      </w:r>
      <w:r>
        <w:rPr>
          <w:color w:val="231F20"/>
          <w:spacing w:val="34"/>
        </w:rPr>
        <w:t> </w:t>
      </w:r>
      <w:r>
        <w:rPr>
          <w:color w:val="231F20"/>
        </w:rPr>
        <w:t>the</w:t>
      </w:r>
      <w:r>
        <w:rPr>
          <w:color w:val="231F20"/>
          <w:spacing w:val="34"/>
        </w:rPr>
        <w:t> </w:t>
      </w:r>
      <w:r>
        <w:rPr>
          <w:color w:val="231F20"/>
        </w:rPr>
        <w:t>choices.</w:t>
      </w:r>
      <w:r>
        <w:rPr>
          <w:color w:val="231F20"/>
          <w:spacing w:val="34"/>
        </w:rPr>
        <w:t> </w:t>
      </w:r>
      <w:r>
        <w:rPr>
          <w:color w:val="231F20"/>
        </w:rPr>
        <w:t>The</w:t>
      </w:r>
      <w:r>
        <w:rPr>
          <w:color w:val="231F20"/>
          <w:spacing w:val="34"/>
        </w:rPr>
        <w:t> </w:t>
      </w:r>
      <w:r>
        <w:rPr>
          <w:color w:val="231F20"/>
        </w:rPr>
        <w:t>president</w:t>
      </w:r>
      <w:r>
        <w:rPr>
          <w:color w:val="231F20"/>
          <w:spacing w:val="34"/>
        </w:rPr>
        <w:t> </w:t>
      </w:r>
      <w:r>
        <w:rPr>
          <w:color w:val="231F20"/>
        </w:rPr>
        <w:t>of a fishing company may personally dislike the incidental killing of dolphins in his company’s tuna nets, but as an executive, he must not let his feelings interfere with the best interests of the company.</w:t>
      </w:r>
    </w:p>
    <w:p>
      <w:pPr>
        <w:pStyle w:val="BodyText"/>
        <w:spacing w:line="292" w:lineRule="auto"/>
        <w:ind w:left="919" w:right="663" w:firstLine="339"/>
        <w:jc w:val="both"/>
      </w:pPr>
      <w:r>
        <w:rPr>
          <w:i/>
          <w:color w:val="231F20"/>
        </w:rPr>
        <w:t>Social relativism </w:t>
      </w:r>
      <w:r>
        <w:rPr>
          <w:color w:val="231F20"/>
        </w:rPr>
        <w:t>is akin to naive relativism. People refer to social norms</w:t>
      </w:r>
      <w:r>
        <w:rPr>
          <w:color w:val="231F20"/>
          <w:spacing w:val="40"/>
        </w:rPr>
        <w:t> </w:t>
      </w:r>
      <w:r>
        <w:rPr>
          <w:color w:val="231F20"/>
        </w:rPr>
        <w:t>to</w:t>
      </w:r>
      <w:r>
        <w:rPr>
          <w:color w:val="231F20"/>
          <w:spacing w:val="40"/>
        </w:rPr>
        <w:t> </w:t>
      </w:r>
      <w:r>
        <w:rPr>
          <w:color w:val="231F20"/>
        </w:rPr>
        <w:t>render</w:t>
      </w:r>
      <w:r>
        <w:rPr>
          <w:color w:val="231F20"/>
          <w:spacing w:val="40"/>
        </w:rPr>
        <w:t> </w:t>
      </w:r>
      <w:r>
        <w:rPr>
          <w:color w:val="231F20"/>
        </w:rPr>
        <w:t>ethical</w:t>
      </w:r>
      <w:r>
        <w:rPr>
          <w:color w:val="231F20"/>
          <w:spacing w:val="40"/>
        </w:rPr>
        <w:t> </w:t>
      </w:r>
      <w:r>
        <w:rPr>
          <w:color w:val="231F20"/>
        </w:rPr>
        <w:t>judgments.</w:t>
      </w:r>
      <w:r>
        <w:rPr>
          <w:color w:val="231F20"/>
          <w:spacing w:val="40"/>
        </w:rPr>
        <w:t> </w:t>
      </w:r>
      <w:r>
        <w:rPr>
          <w:color w:val="231F20"/>
        </w:rPr>
        <w:t>“Industry</w:t>
      </w:r>
      <w:r>
        <w:rPr>
          <w:color w:val="231F20"/>
          <w:spacing w:val="40"/>
        </w:rPr>
        <w:t> </w:t>
      </w:r>
      <w:r>
        <w:rPr>
          <w:color w:val="231F20"/>
        </w:rPr>
        <w:t>practices,”</w:t>
      </w:r>
      <w:r>
        <w:rPr>
          <w:color w:val="231F20"/>
          <w:spacing w:val="40"/>
        </w:rPr>
        <w:t> </w:t>
      </w:r>
      <w:r>
        <w:rPr>
          <w:color w:val="231F20"/>
        </w:rPr>
        <w:t>“club rules,”</w:t>
      </w:r>
      <w:r>
        <w:rPr>
          <w:color w:val="231F20"/>
          <w:spacing w:val="40"/>
        </w:rPr>
        <w:t> </w:t>
      </w:r>
      <w:r>
        <w:rPr>
          <w:color w:val="231F20"/>
        </w:rPr>
        <w:t>“professional</w:t>
      </w:r>
      <w:r>
        <w:rPr>
          <w:color w:val="231F20"/>
          <w:spacing w:val="40"/>
        </w:rPr>
        <w:t> </w:t>
      </w:r>
      <w:r>
        <w:rPr>
          <w:color w:val="231F20"/>
        </w:rPr>
        <w:t>codes</w:t>
      </w:r>
      <w:r>
        <w:rPr>
          <w:color w:val="231F20"/>
          <w:spacing w:val="40"/>
        </w:rPr>
        <w:t> </w:t>
      </w:r>
      <w:r>
        <w:rPr>
          <w:color w:val="231F20"/>
        </w:rPr>
        <w:t>of</w:t>
      </w:r>
      <w:r>
        <w:rPr>
          <w:color w:val="231F20"/>
          <w:spacing w:val="40"/>
        </w:rPr>
        <w:t> </w:t>
      </w:r>
      <w:r>
        <w:rPr>
          <w:color w:val="231F20"/>
        </w:rPr>
        <w:t>conduct,”</w:t>
      </w:r>
      <w:r>
        <w:rPr>
          <w:color w:val="231F20"/>
          <w:spacing w:val="40"/>
        </w:rPr>
        <w:t> </w:t>
      </w:r>
      <w:r>
        <w:rPr>
          <w:color w:val="231F20"/>
        </w:rPr>
        <w:t>and</w:t>
      </w:r>
      <w:r>
        <w:rPr>
          <w:color w:val="231F20"/>
          <w:spacing w:val="40"/>
        </w:rPr>
        <w:t> </w:t>
      </w:r>
      <w:r>
        <w:rPr>
          <w:color w:val="231F20"/>
        </w:rPr>
        <w:t>“accepted</w:t>
      </w:r>
      <w:r>
        <w:rPr>
          <w:color w:val="231F20"/>
          <w:spacing w:val="40"/>
        </w:rPr>
        <w:t> </w:t>
      </w:r>
      <w:r>
        <w:rPr>
          <w:color w:val="231F20"/>
        </w:rPr>
        <w:t>practices” are the cop-outs of the social relativist. In the produce industry, it is “industry practice” to ignore child labor laws and employ small children to work in the field and miss school.</w:t>
      </w:r>
    </w:p>
    <w:p>
      <w:pPr>
        <w:pStyle w:val="BodyText"/>
        <w:spacing w:line="292" w:lineRule="auto"/>
        <w:ind w:left="919" w:right="664" w:firstLine="340"/>
        <w:jc w:val="both"/>
      </w:pPr>
      <w:r>
        <w:rPr>
          <w:i/>
          <w:color w:val="231F20"/>
        </w:rPr>
        <w:t>Cultural</w:t>
      </w:r>
      <w:r>
        <w:rPr>
          <w:i/>
          <w:color w:val="231F20"/>
          <w:spacing w:val="35"/>
        </w:rPr>
        <w:t> </w:t>
      </w:r>
      <w:r>
        <w:rPr>
          <w:i/>
          <w:color w:val="231F20"/>
        </w:rPr>
        <w:t>relativism</w:t>
      </w:r>
      <w:r>
        <w:rPr>
          <w:i/>
          <w:color w:val="231F20"/>
          <w:spacing w:val="35"/>
        </w:rPr>
        <w:t> </w:t>
      </w:r>
      <w:r>
        <w:rPr>
          <w:color w:val="231F20"/>
        </w:rPr>
        <w:t>holds</w:t>
      </w:r>
      <w:r>
        <w:rPr>
          <w:color w:val="231F20"/>
          <w:spacing w:val="35"/>
        </w:rPr>
        <w:t> </w:t>
      </w:r>
      <w:r>
        <w:rPr>
          <w:color w:val="231F20"/>
        </w:rPr>
        <w:t>that</w:t>
      </w:r>
      <w:r>
        <w:rPr>
          <w:color w:val="231F20"/>
          <w:spacing w:val="35"/>
        </w:rPr>
        <w:t> </w:t>
      </w:r>
      <w:r>
        <w:rPr>
          <w:color w:val="231F20"/>
        </w:rPr>
        <w:t>there</w:t>
      </w:r>
      <w:r>
        <w:rPr>
          <w:color w:val="231F20"/>
          <w:spacing w:val="35"/>
        </w:rPr>
        <w:t> </w:t>
      </w:r>
      <w:r>
        <w:rPr>
          <w:color w:val="231F20"/>
        </w:rPr>
        <w:t>is</w:t>
      </w:r>
      <w:r>
        <w:rPr>
          <w:color w:val="231F20"/>
          <w:spacing w:val="35"/>
        </w:rPr>
        <w:t> </w:t>
      </w:r>
      <w:r>
        <w:rPr>
          <w:color w:val="231F20"/>
        </w:rPr>
        <w:t>no</w:t>
      </w:r>
      <w:r>
        <w:rPr>
          <w:color w:val="231F20"/>
          <w:spacing w:val="35"/>
        </w:rPr>
        <w:t> </w:t>
      </w:r>
      <w:r>
        <w:rPr>
          <w:color w:val="231F20"/>
        </w:rPr>
        <w:t>universal</w:t>
      </w:r>
      <w:r>
        <w:rPr>
          <w:color w:val="231F20"/>
          <w:spacing w:val="35"/>
        </w:rPr>
        <w:t> </w:t>
      </w:r>
      <w:r>
        <w:rPr>
          <w:color w:val="231F20"/>
        </w:rPr>
        <w:t>moral</w:t>
      </w:r>
      <w:r>
        <w:rPr>
          <w:color w:val="231F20"/>
          <w:spacing w:val="35"/>
        </w:rPr>
        <w:t> </w:t>
      </w:r>
      <w:r>
        <w:rPr>
          <w:color w:val="231F20"/>
        </w:rPr>
        <w:t>code by</w:t>
      </w:r>
      <w:r>
        <w:rPr>
          <w:color w:val="231F20"/>
          <w:spacing w:val="40"/>
        </w:rPr>
        <w:t> </w:t>
      </w:r>
      <w:r>
        <w:rPr>
          <w:color w:val="231F20"/>
        </w:rPr>
        <w:t>which</w:t>
      </w:r>
      <w:r>
        <w:rPr>
          <w:color w:val="231F20"/>
          <w:spacing w:val="40"/>
        </w:rPr>
        <w:t> </w:t>
      </w:r>
      <w:r>
        <w:rPr>
          <w:color w:val="231F20"/>
        </w:rPr>
        <w:t>to</w:t>
      </w:r>
      <w:r>
        <w:rPr>
          <w:color w:val="231F20"/>
          <w:spacing w:val="40"/>
        </w:rPr>
        <w:t> </w:t>
      </w:r>
      <w:r>
        <w:rPr>
          <w:color w:val="231F20"/>
        </w:rPr>
        <w:t>judge</w:t>
      </w:r>
      <w:r>
        <w:rPr>
          <w:color w:val="231F20"/>
          <w:spacing w:val="40"/>
        </w:rPr>
        <w:t> </w:t>
      </w:r>
      <w:r>
        <w:rPr>
          <w:color w:val="231F20"/>
        </w:rPr>
        <w:t>another</w:t>
      </w:r>
      <w:r>
        <w:rPr>
          <w:color w:val="231F20"/>
          <w:spacing w:val="40"/>
        </w:rPr>
        <w:t> </w:t>
      </w:r>
      <w:r>
        <w:rPr>
          <w:color w:val="231F20"/>
        </w:rPr>
        <w:t>society’s</w:t>
      </w:r>
      <w:r>
        <w:rPr>
          <w:color w:val="231F20"/>
          <w:spacing w:val="40"/>
        </w:rPr>
        <w:t> </w:t>
      </w:r>
      <w:r>
        <w:rPr>
          <w:color w:val="231F20"/>
        </w:rPr>
        <w:t>moral</w:t>
      </w:r>
      <w:r>
        <w:rPr>
          <w:color w:val="231F20"/>
          <w:spacing w:val="40"/>
        </w:rPr>
        <w:t> </w:t>
      </w:r>
      <w:r>
        <w:rPr>
          <w:color w:val="231F20"/>
        </w:rPr>
        <w:t>and</w:t>
      </w:r>
      <w:r>
        <w:rPr>
          <w:color w:val="231F20"/>
          <w:spacing w:val="40"/>
        </w:rPr>
        <w:t> </w:t>
      </w:r>
      <w:r>
        <w:rPr>
          <w:color w:val="231F20"/>
        </w:rPr>
        <w:t>ethical</w:t>
      </w:r>
      <w:r>
        <w:rPr>
          <w:color w:val="231F20"/>
          <w:spacing w:val="40"/>
        </w:rPr>
        <w:t> </w:t>
      </w:r>
      <w:r>
        <w:rPr>
          <w:color w:val="231F20"/>
        </w:rPr>
        <w:t>standards. If a whole culture holds certain beliefs, how can an outsider sit </w:t>
      </w:r>
      <w:r>
        <w:rPr>
          <w:color w:val="231F20"/>
        </w:rPr>
        <w:t>in judgment? “When in Rome </w:t>
      </w:r>
      <w:r>
        <w:rPr>
          <w:color w:val="231F20"/>
          <w:w w:val="115"/>
        </w:rPr>
        <w:t>. . .” </w:t>
      </w:r>
      <w:r>
        <w:rPr>
          <w:color w:val="231F20"/>
        </w:rPr>
        <w:t>The concept of cultural relativism becomes more important as companies compete globally. Multina- tional corporations often follow local laws and customs that may violate ethical standards in their home countries. Discussions about apartheid</w:t>
      </w:r>
      <w:r>
        <w:rPr>
          <w:color w:val="231F20"/>
          <w:spacing w:val="40"/>
        </w:rPr>
        <w:t> </w:t>
      </w:r>
      <w:r>
        <w:rPr>
          <w:color w:val="231F20"/>
        </w:rPr>
        <w:t>revolved</w:t>
      </w:r>
      <w:r>
        <w:rPr>
          <w:color w:val="231F20"/>
          <w:spacing w:val="40"/>
        </w:rPr>
        <w:t> </w:t>
      </w:r>
      <w:r>
        <w:rPr>
          <w:color w:val="231F20"/>
        </w:rPr>
        <w:t>around</w:t>
      </w:r>
      <w:r>
        <w:rPr>
          <w:color w:val="231F20"/>
          <w:spacing w:val="40"/>
        </w:rPr>
        <w:t> </w:t>
      </w:r>
      <w:r>
        <w:rPr>
          <w:color w:val="231F20"/>
        </w:rPr>
        <w:t>issues</w:t>
      </w:r>
      <w:r>
        <w:rPr>
          <w:color w:val="231F20"/>
          <w:spacing w:val="40"/>
        </w:rPr>
        <w:t> </w:t>
      </w:r>
      <w:r>
        <w:rPr>
          <w:color w:val="231F20"/>
        </w:rPr>
        <w:t>of</w:t>
      </w:r>
      <w:r>
        <w:rPr>
          <w:color w:val="231F20"/>
          <w:spacing w:val="40"/>
        </w:rPr>
        <w:t> </w:t>
      </w:r>
      <w:r>
        <w:rPr>
          <w:color w:val="231F20"/>
        </w:rPr>
        <w:t>cultural</w:t>
      </w:r>
      <w:r>
        <w:rPr>
          <w:color w:val="231F20"/>
          <w:spacing w:val="40"/>
        </w:rPr>
        <w:t> </w:t>
      </w:r>
      <w:r>
        <w:rPr>
          <w:color w:val="231F20"/>
        </w:rPr>
        <w:t>relativism.</w:t>
      </w:r>
      <w:r>
        <w:rPr>
          <w:color w:val="231F20"/>
          <w:spacing w:val="40"/>
        </w:rPr>
        <w:t> </w:t>
      </w:r>
      <w:r>
        <w:rPr>
          <w:color w:val="231F20"/>
        </w:rPr>
        <w:t>Adopting a cultural relativist philosophy, a multinational corporation might have justified its participation in South African gold and diamond mining activities despite the employment of “slave” labor in the </w:t>
      </w:r>
      <w:r>
        <w:rPr>
          <w:color w:val="231F20"/>
          <w:spacing w:val="-2"/>
        </w:rPr>
        <w:t>mines.</w:t>
      </w:r>
    </w:p>
    <w:p>
      <w:pPr>
        <w:pStyle w:val="BodyText"/>
        <w:spacing w:line="292" w:lineRule="auto"/>
        <w:ind w:left="919" w:right="666" w:firstLine="340"/>
        <w:jc w:val="both"/>
      </w:pPr>
      <w:r>
        <w:rPr>
          <w:color w:val="231F20"/>
        </w:rPr>
        <w:t>In some instances U.S. corporations and citizens are barred </w:t>
      </w:r>
      <w:r>
        <w:rPr>
          <w:color w:val="231F20"/>
        </w:rPr>
        <w:t>from adopting</w:t>
      </w:r>
      <w:r>
        <w:rPr>
          <w:color w:val="231F20"/>
          <w:spacing w:val="-2"/>
        </w:rPr>
        <w:t> </w:t>
      </w:r>
      <w:r>
        <w:rPr>
          <w:color w:val="231F20"/>
        </w:rPr>
        <w:t>the</w:t>
      </w:r>
      <w:r>
        <w:rPr>
          <w:color w:val="231F20"/>
          <w:spacing w:val="-2"/>
        </w:rPr>
        <w:t> </w:t>
      </w:r>
      <w:r>
        <w:rPr>
          <w:color w:val="231F20"/>
        </w:rPr>
        <w:t>host</w:t>
      </w:r>
      <w:r>
        <w:rPr>
          <w:color w:val="231F20"/>
          <w:spacing w:val="-2"/>
        </w:rPr>
        <w:t> </w:t>
      </w:r>
      <w:r>
        <w:rPr>
          <w:color w:val="231F20"/>
        </w:rPr>
        <w:t>country’s</w:t>
      </w:r>
      <w:r>
        <w:rPr>
          <w:color w:val="231F20"/>
          <w:spacing w:val="-1"/>
        </w:rPr>
        <w:t> </w:t>
      </w:r>
      <w:r>
        <w:rPr>
          <w:color w:val="231F20"/>
        </w:rPr>
        <w:t>business</w:t>
      </w:r>
      <w:r>
        <w:rPr>
          <w:color w:val="231F20"/>
          <w:spacing w:val="-2"/>
        </w:rPr>
        <w:t> </w:t>
      </w:r>
      <w:r>
        <w:rPr>
          <w:color w:val="231F20"/>
        </w:rPr>
        <w:t>practices.</w:t>
      </w:r>
      <w:r>
        <w:rPr>
          <w:color w:val="231F20"/>
          <w:spacing w:val="-2"/>
        </w:rPr>
        <w:t> </w:t>
      </w:r>
      <w:r>
        <w:rPr>
          <w:color w:val="231F20"/>
        </w:rPr>
        <w:t>In</w:t>
      </w:r>
      <w:r>
        <w:rPr>
          <w:color w:val="231F20"/>
          <w:spacing w:val="-1"/>
        </w:rPr>
        <w:t> </w:t>
      </w:r>
      <w:r>
        <w:rPr>
          <w:color w:val="231F20"/>
        </w:rPr>
        <w:t>some</w:t>
      </w:r>
      <w:r>
        <w:rPr>
          <w:color w:val="231F20"/>
          <w:spacing w:val="-2"/>
        </w:rPr>
        <w:t> </w:t>
      </w:r>
      <w:r>
        <w:rPr>
          <w:color w:val="231F20"/>
        </w:rPr>
        <w:t>countries</w:t>
      </w:r>
      <w:r>
        <w:rPr>
          <w:color w:val="231F20"/>
          <w:spacing w:val="-2"/>
        </w:rPr>
        <w:t> </w:t>
      </w:r>
      <w:r>
        <w:rPr>
          <w:color w:val="231F20"/>
        </w:rPr>
        <w:t>it</w:t>
      </w:r>
      <w:r>
        <w:rPr>
          <w:color w:val="231F20"/>
          <w:spacing w:val="-1"/>
        </w:rPr>
        <w:t> </w:t>
      </w:r>
      <w:r>
        <w:rPr>
          <w:color w:val="231F20"/>
          <w:spacing w:val="-5"/>
        </w:rPr>
        <w:t>is</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ordinary business practice to pay bribes to get favorable </w:t>
      </w:r>
      <w:r>
        <w:rPr>
          <w:color w:val="231F20"/>
        </w:rPr>
        <w:t>treatment from businesses and government. The Foreign Corrupt Practices Act of 1977 outlaws overseas bribery.</w:t>
      </w:r>
    </w:p>
    <w:p>
      <w:pPr>
        <w:pStyle w:val="BodyText"/>
        <w:spacing w:line="292" w:lineRule="auto"/>
        <w:ind w:left="829" w:right="753" w:firstLine="340"/>
        <w:jc w:val="both"/>
      </w:pPr>
      <w:r>
        <w:rPr>
          <w:color w:val="231F20"/>
        </w:rPr>
        <w:t>The relativism concepts provide MBAs with an awareness of and a way to guard against inaction on ethical and moral issues. They provide a framework to go beyond currently held beliefs and pat- terns of behaviors. These concepts are also great conversational ammunition when MBAs get together on social occasions.</w:t>
      </w:r>
    </w:p>
    <w:p>
      <w:pPr>
        <w:pStyle w:val="BodyText"/>
        <w:spacing w:before="4"/>
        <w:rPr>
          <w:sz w:val="25"/>
        </w:rPr>
      </w:pPr>
    </w:p>
    <w:p>
      <w:pPr>
        <w:pStyle w:val="BodyText"/>
        <w:spacing w:line="292" w:lineRule="auto"/>
        <w:ind w:left="830" w:right="756"/>
        <w:jc w:val="both"/>
      </w:pPr>
      <w:r>
        <w:rPr>
          <w:i/>
          <w:color w:val="231F20"/>
        </w:rPr>
        <w:t>Other Ethical Frameworks. </w:t>
      </w:r>
      <w:r>
        <w:rPr>
          <w:color w:val="231F20"/>
        </w:rPr>
        <w:t>Relativism is not the only </w:t>
      </w:r>
      <w:r>
        <w:rPr>
          <w:color w:val="231F20"/>
        </w:rPr>
        <w:t>philosophical framework with which to approach ethical decisions. There is also </w:t>
      </w:r>
      <w:r>
        <w:rPr>
          <w:i/>
          <w:color w:val="231F20"/>
        </w:rPr>
        <w:t>natural law, utilitarianism, </w:t>
      </w:r>
      <w:r>
        <w:rPr>
          <w:color w:val="231F20"/>
        </w:rPr>
        <w:t>and </w:t>
      </w:r>
      <w:r>
        <w:rPr>
          <w:i/>
          <w:color w:val="231F20"/>
        </w:rPr>
        <w:t>universalism. </w:t>
      </w:r>
      <w:r>
        <w:rPr>
          <w:color w:val="231F20"/>
        </w:rPr>
        <w:t>Natural law serves as a guide to some who believe that the “right” thing to do is revealed in nature</w:t>
      </w:r>
      <w:r>
        <w:rPr>
          <w:color w:val="231F20"/>
          <w:spacing w:val="37"/>
        </w:rPr>
        <w:t> </w:t>
      </w:r>
      <w:r>
        <w:rPr>
          <w:color w:val="231F20"/>
        </w:rPr>
        <w:t>or</w:t>
      </w:r>
      <w:r>
        <w:rPr>
          <w:color w:val="231F20"/>
          <w:spacing w:val="37"/>
        </w:rPr>
        <w:t> </w:t>
      </w:r>
      <w:r>
        <w:rPr>
          <w:color w:val="231F20"/>
        </w:rPr>
        <w:t>the</w:t>
      </w:r>
      <w:r>
        <w:rPr>
          <w:color w:val="231F20"/>
          <w:spacing w:val="37"/>
        </w:rPr>
        <w:t> </w:t>
      </w:r>
      <w:r>
        <w:rPr>
          <w:color w:val="231F20"/>
        </w:rPr>
        <w:t>Bible.</w:t>
      </w:r>
      <w:r>
        <w:rPr>
          <w:color w:val="231F20"/>
          <w:spacing w:val="37"/>
        </w:rPr>
        <w:t> </w:t>
      </w:r>
      <w:r>
        <w:rPr>
          <w:color w:val="231F20"/>
        </w:rPr>
        <w:t>Utilitarianism</w:t>
      </w:r>
      <w:r>
        <w:rPr>
          <w:color w:val="231F20"/>
          <w:spacing w:val="37"/>
        </w:rPr>
        <w:t> </w:t>
      </w:r>
      <w:r>
        <w:rPr>
          <w:color w:val="231F20"/>
        </w:rPr>
        <w:t>holds</w:t>
      </w:r>
      <w:r>
        <w:rPr>
          <w:color w:val="231F20"/>
          <w:spacing w:val="37"/>
        </w:rPr>
        <w:t> </w:t>
      </w:r>
      <w:r>
        <w:rPr>
          <w:color w:val="231F20"/>
        </w:rPr>
        <w:t>that</w:t>
      </w:r>
      <w:r>
        <w:rPr>
          <w:color w:val="231F20"/>
          <w:spacing w:val="37"/>
        </w:rPr>
        <w:t> </w:t>
      </w:r>
      <w:r>
        <w:rPr>
          <w:color w:val="231F20"/>
        </w:rPr>
        <w:t>an</w:t>
      </w:r>
      <w:r>
        <w:rPr>
          <w:color w:val="231F20"/>
          <w:spacing w:val="37"/>
        </w:rPr>
        <w:t> </w:t>
      </w:r>
      <w:r>
        <w:rPr>
          <w:color w:val="231F20"/>
        </w:rPr>
        <w:t>action</w:t>
      </w:r>
      <w:r>
        <w:rPr>
          <w:color w:val="231F20"/>
          <w:spacing w:val="37"/>
        </w:rPr>
        <w:t> </w:t>
      </w:r>
      <w:r>
        <w:rPr>
          <w:color w:val="231F20"/>
        </w:rPr>
        <w:t>is</w:t>
      </w:r>
      <w:r>
        <w:rPr>
          <w:color w:val="231F20"/>
          <w:spacing w:val="37"/>
        </w:rPr>
        <w:t> </w:t>
      </w:r>
      <w:r>
        <w:rPr>
          <w:color w:val="231F20"/>
        </w:rPr>
        <w:t>justified if it provides the greatest benefit for the greatest number of people. Finally, universalism propounds that any action is condonable if the motive behind the action is good, since the results of a person’s ac- tions are so often not in his or her control.</w:t>
      </w:r>
    </w:p>
    <w:p>
      <w:pPr>
        <w:pStyle w:val="BodyText"/>
        <w:rPr>
          <w:sz w:val="24"/>
        </w:rPr>
      </w:pPr>
    </w:p>
    <w:p>
      <w:pPr>
        <w:pStyle w:val="BodyText"/>
        <w:spacing w:before="8"/>
        <w:rPr>
          <w:sz w:val="24"/>
        </w:rPr>
      </w:pPr>
    </w:p>
    <w:p>
      <w:pPr>
        <w:pStyle w:val="Heading4"/>
        <w:ind w:left="300"/>
      </w:pPr>
      <w:r>
        <w:rPr>
          <w:color w:val="231F20"/>
          <w:w w:val="85"/>
        </w:rPr>
        <w:t>STAKEHOLDER</w:t>
      </w:r>
      <w:r>
        <w:rPr>
          <w:color w:val="231F20"/>
          <w:spacing w:val="75"/>
          <w:w w:val="150"/>
        </w:rPr>
        <w:t> </w:t>
      </w:r>
      <w:r>
        <w:rPr>
          <w:color w:val="231F20"/>
          <w:spacing w:val="7"/>
          <w:w w:val="95"/>
        </w:rPr>
        <w:t>ANALYSIS</w:t>
      </w:r>
    </w:p>
    <w:p>
      <w:pPr>
        <w:pStyle w:val="BodyText"/>
        <w:spacing w:before="10"/>
        <w:rPr>
          <w:rFonts w:ascii="Trebuchet MS"/>
          <w:sz w:val="29"/>
        </w:rPr>
      </w:pPr>
    </w:p>
    <w:p>
      <w:pPr>
        <w:pStyle w:val="BodyText"/>
        <w:spacing w:line="292" w:lineRule="auto"/>
        <w:ind w:left="829" w:right="753"/>
        <w:jc w:val="both"/>
      </w:pPr>
      <w:r>
        <w:rPr>
          <w:color w:val="231F20"/>
        </w:rPr>
        <w:t>Although there are no magic formulas for solving ethical </w:t>
      </w:r>
      <w:r>
        <w:rPr>
          <w:color w:val="231F20"/>
        </w:rPr>
        <w:t>dilemmas,</w:t>
      </w:r>
      <w:r>
        <w:rPr>
          <w:color w:val="231F20"/>
          <w:spacing w:val="80"/>
          <w:w w:val="150"/>
        </w:rPr>
        <w:t> </w:t>
      </w:r>
      <w:r>
        <w:rPr>
          <w:color w:val="231F20"/>
        </w:rPr>
        <w:t>it is helpful to have a framework with which to organize your thoughts. </w:t>
      </w:r>
      <w:r>
        <w:rPr>
          <w:i/>
          <w:color w:val="231F20"/>
        </w:rPr>
        <w:t>Stakeholder analysis </w:t>
      </w:r>
      <w:r>
        <w:rPr>
          <w:color w:val="231F20"/>
        </w:rPr>
        <w:t>provides you with the tools for weighing various elements and reaching a decision.</w:t>
      </w:r>
    </w:p>
    <w:p>
      <w:pPr>
        <w:pStyle w:val="BodyText"/>
        <w:spacing w:line="292" w:lineRule="auto"/>
        <w:ind w:left="829" w:right="756" w:firstLine="340"/>
        <w:jc w:val="both"/>
      </w:pPr>
      <w:r>
        <w:rPr>
          <w:color w:val="231F20"/>
        </w:rPr>
        <w:t>As a first step a list should be made of all potentially affected parties, then an evaluation of all the </w:t>
      </w:r>
      <w:r>
        <w:rPr>
          <w:i/>
          <w:color w:val="231F20"/>
        </w:rPr>
        <w:t>harms </w:t>
      </w:r>
      <w:r>
        <w:rPr>
          <w:color w:val="231F20"/>
        </w:rPr>
        <w:t>and </w:t>
      </w:r>
      <w:r>
        <w:rPr>
          <w:i/>
          <w:color w:val="231F20"/>
        </w:rPr>
        <w:t>benefits </w:t>
      </w:r>
      <w:r>
        <w:rPr>
          <w:color w:val="231F20"/>
        </w:rPr>
        <w:t>that a par- ticular action will have on those involved. The next level of analysis ought to determine each of the affected parties’ </w:t>
      </w:r>
      <w:r>
        <w:rPr>
          <w:i/>
          <w:color w:val="231F20"/>
        </w:rPr>
        <w:t>rights </w:t>
      </w:r>
      <w:r>
        <w:rPr>
          <w:color w:val="231F20"/>
        </w:rPr>
        <w:t>and </w:t>
      </w:r>
      <w:r>
        <w:rPr>
          <w:i/>
          <w:color w:val="231F20"/>
        </w:rPr>
        <w:t>responsi-</w:t>
      </w:r>
      <w:r>
        <w:rPr>
          <w:i/>
          <w:color w:val="231F20"/>
        </w:rPr>
        <w:t> bilities. </w:t>
      </w:r>
      <w:r>
        <w:rPr>
          <w:color w:val="231F20"/>
        </w:rPr>
        <w:t>Employees, for instance, have the right to a fair wage and</w:t>
      </w:r>
      <w:r>
        <w:rPr>
          <w:color w:val="231F20"/>
          <w:spacing w:val="80"/>
        </w:rPr>
        <w:t> </w:t>
      </w:r>
      <w:r>
        <w:rPr>
          <w:color w:val="231F20"/>
        </w:rPr>
        <w:t>safe working conditions, but they also have the responsibility to be productive for the company. In a typical stakeholder analysis the list of potentially affected parties might look like this:</w:t>
      </w:r>
    </w:p>
    <w:p>
      <w:pPr>
        <w:spacing w:after="0" w:line="292" w:lineRule="auto"/>
        <w:jc w:val="both"/>
        <w:sectPr>
          <w:pgSz w:w="8640" w:h="12960"/>
          <w:pgMar w:header="732" w:footer="0" w:top="920" w:bottom="280" w:left="340" w:right="500"/>
        </w:sectPr>
      </w:pPr>
    </w:p>
    <w:p>
      <w:pPr>
        <w:pStyle w:val="BodyText"/>
        <w:spacing w:before="2"/>
        <w:rPr>
          <w:sz w:val="19"/>
        </w:rPr>
      </w:pPr>
    </w:p>
    <w:p>
      <w:pPr>
        <w:spacing w:line="328" w:lineRule="auto" w:before="97"/>
        <w:ind w:left="1260" w:right="3683" w:firstLine="0"/>
        <w:jc w:val="left"/>
        <w:rPr>
          <w:rFonts w:ascii="Arial"/>
          <w:sz w:val="19"/>
        </w:rPr>
      </w:pPr>
      <w:r>
        <w:rPr>
          <w:rFonts w:ascii="Arial"/>
          <w:color w:val="231F20"/>
          <w:w w:val="110"/>
          <w:sz w:val="19"/>
        </w:rPr>
        <w:t>The Decision Maker Executives, Board of </w:t>
      </w:r>
      <w:r>
        <w:rPr>
          <w:rFonts w:ascii="Arial"/>
          <w:color w:val="231F20"/>
          <w:w w:val="110"/>
          <w:sz w:val="19"/>
        </w:rPr>
        <w:t>Directors</w:t>
      </w:r>
    </w:p>
    <w:p>
      <w:pPr>
        <w:spacing w:before="1"/>
        <w:ind w:left="1260" w:right="0" w:firstLine="0"/>
        <w:jc w:val="left"/>
        <w:rPr>
          <w:rFonts w:ascii="Arial" w:hAnsi="Arial"/>
          <w:sz w:val="19"/>
        </w:rPr>
      </w:pPr>
      <w:r>
        <w:rPr>
          <w:rFonts w:ascii="Arial" w:hAnsi="Arial"/>
          <w:color w:val="231F20"/>
          <w:w w:val="110"/>
          <w:sz w:val="19"/>
        </w:rPr>
        <w:t>Customers—</w:t>
      </w:r>
      <w:r>
        <w:rPr>
          <w:rFonts w:ascii="Arial" w:hAnsi="Arial"/>
          <w:color w:val="231F20"/>
          <w:spacing w:val="-35"/>
          <w:w w:val="110"/>
          <w:sz w:val="19"/>
        </w:rPr>
        <w:t> </w:t>
      </w:r>
      <w:r>
        <w:rPr>
          <w:rFonts w:ascii="Arial" w:hAnsi="Arial"/>
          <w:color w:val="231F20"/>
          <w:w w:val="110"/>
          <w:sz w:val="19"/>
        </w:rPr>
        <w:t>and</w:t>
      </w:r>
      <w:r>
        <w:rPr>
          <w:rFonts w:ascii="Arial" w:hAnsi="Arial"/>
          <w:color w:val="231F20"/>
          <w:spacing w:val="13"/>
          <w:w w:val="110"/>
          <w:sz w:val="19"/>
        </w:rPr>
        <w:t> </w:t>
      </w:r>
      <w:r>
        <w:rPr>
          <w:rFonts w:ascii="Arial" w:hAnsi="Arial"/>
          <w:color w:val="231F20"/>
          <w:w w:val="110"/>
          <w:sz w:val="19"/>
        </w:rPr>
        <w:t>the</w:t>
      </w:r>
      <w:r>
        <w:rPr>
          <w:rFonts w:ascii="Arial" w:hAnsi="Arial"/>
          <w:color w:val="231F20"/>
          <w:spacing w:val="13"/>
          <w:w w:val="110"/>
          <w:sz w:val="19"/>
        </w:rPr>
        <w:t> </w:t>
      </w:r>
      <w:r>
        <w:rPr>
          <w:rFonts w:ascii="Arial" w:hAnsi="Arial"/>
          <w:color w:val="231F20"/>
          <w:w w:val="110"/>
          <w:sz w:val="19"/>
        </w:rPr>
        <w:t>industry</w:t>
      </w:r>
      <w:r>
        <w:rPr>
          <w:rFonts w:ascii="Arial" w:hAnsi="Arial"/>
          <w:color w:val="231F20"/>
          <w:spacing w:val="13"/>
          <w:w w:val="110"/>
          <w:sz w:val="19"/>
        </w:rPr>
        <w:t> </w:t>
      </w:r>
      <w:r>
        <w:rPr>
          <w:rFonts w:ascii="Arial" w:hAnsi="Arial"/>
          <w:color w:val="231F20"/>
          <w:w w:val="110"/>
          <w:sz w:val="19"/>
        </w:rPr>
        <w:t>in</w:t>
      </w:r>
      <w:r>
        <w:rPr>
          <w:rFonts w:ascii="Arial" w:hAnsi="Arial"/>
          <w:color w:val="231F20"/>
          <w:spacing w:val="13"/>
          <w:w w:val="110"/>
          <w:sz w:val="19"/>
        </w:rPr>
        <w:t> </w:t>
      </w:r>
      <w:r>
        <w:rPr>
          <w:rFonts w:ascii="Arial" w:hAnsi="Arial"/>
          <w:color w:val="231F20"/>
          <w:w w:val="110"/>
          <w:sz w:val="19"/>
        </w:rPr>
        <w:t>which</w:t>
      </w:r>
      <w:r>
        <w:rPr>
          <w:rFonts w:ascii="Arial" w:hAnsi="Arial"/>
          <w:color w:val="231F20"/>
          <w:spacing w:val="13"/>
          <w:w w:val="110"/>
          <w:sz w:val="19"/>
        </w:rPr>
        <w:t> </w:t>
      </w:r>
      <w:r>
        <w:rPr>
          <w:rFonts w:ascii="Arial" w:hAnsi="Arial"/>
          <w:color w:val="231F20"/>
          <w:w w:val="110"/>
          <w:sz w:val="19"/>
        </w:rPr>
        <w:t>they</w:t>
      </w:r>
      <w:r>
        <w:rPr>
          <w:rFonts w:ascii="Arial" w:hAnsi="Arial"/>
          <w:color w:val="231F20"/>
          <w:spacing w:val="13"/>
          <w:w w:val="110"/>
          <w:sz w:val="19"/>
        </w:rPr>
        <w:t> </w:t>
      </w:r>
      <w:r>
        <w:rPr>
          <w:rFonts w:ascii="Arial" w:hAnsi="Arial"/>
          <w:color w:val="231F20"/>
          <w:spacing w:val="-2"/>
          <w:w w:val="110"/>
          <w:sz w:val="19"/>
        </w:rPr>
        <w:t>operate</w:t>
      </w:r>
    </w:p>
    <w:p>
      <w:pPr>
        <w:spacing w:line="328" w:lineRule="auto" w:before="82"/>
        <w:ind w:left="1260" w:right="3159" w:firstLine="0"/>
        <w:jc w:val="left"/>
        <w:rPr>
          <w:rFonts w:ascii="Arial" w:hAnsi="Arial"/>
          <w:sz w:val="19"/>
        </w:rPr>
      </w:pPr>
      <w:r>
        <w:rPr>
          <w:rFonts w:ascii="Arial" w:hAnsi="Arial"/>
          <w:color w:val="231F20"/>
          <w:w w:val="115"/>
          <w:sz w:val="19"/>
        </w:rPr>
        <w:t>Shareholders, Bondholders Suppliers—</w:t>
      </w:r>
      <w:r>
        <w:rPr>
          <w:rFonts w:ascii="Arial" w:hAnsi="Arial"/>
          <w:color w:val="231F20"/>
          <w:spacing w:val="-40"/>
          <w:w w:val="115"/>
          <w:sz w:val="19"/>
        </w:rPr>
        <w:t> </w:t>
      </w:r>
      <w:r>
        <w:rPr>
          <w:rFonts w:ascii="Arial" w:hAnsi="Arial"/>
          <w:color w:val="231F20"/>
          <w:w w:val="115"/>
          <w:sz w:val="19"/>
        </w:rPr>
        <w:t>and their industry </w:t>
      </w:r>
      <w:r>
        <w:rPr>
          <w:rFonts w:ascii="Arial" w:hAnsi="Arial"/>
          <w:color w:val="231F20"/>
          <w:w w:val="110"/>
          <w:sz w:val="19"/>
        </w:rPr>
        <w:t>Employees—</w:t>
      </w:r>
      <w:r>
        <w:rPr>
          <w:rFonts w:ascii="Arial" w:hAnsi="Arial"/>
          <w:color w:val="231F20"/>
          <w:spacing w:val="-37"/>
          <w:w w:val="110"/>
          <w:sz w:val="19"/>
        </w:rPr>
        <w:t> </w:t>
      </w:r>
      <w:r>
        <w:rPr>
          <w:rFonts w:ascii="Arial" w:hAnsi="Arial"/>
          <w:color w:val="231F20"/>
          <w:w w:val="110"/>
          <w:sz w:val="19"/>
        </w:rPr>
        <w:t>and</w:t>
      </w:r>
      <w:r>
        <w:rPr>
          <w:rFonts w:ascii="Arial" w:hAnsi="Arial"/>
          <w:color w:val="231F20"/>
          <w:spacing w:val="8"/>
          <w:w w:val="110"/>
          <w:sz w:val="19"/>
        </w:rPr>
        <w:t> </w:t>
      </w:r>
      <w:r>
        <w:rPr>
          <w:rFonts w:ascii="Arial" w:hAnsi="Arial"/>
          <w:color w:val="231F20"/>
          <w:w w:val="110"/>
          <w:sz w:val="19"/>
        </w:rPr>
        <w:t>their</w:t>
      </w:r>
      <w:r>
        <w:rPr>
          <w:rFonts w:ascii="Arial" w:hAnsi="Arial"/>
          <w:color w:val="231F20"/>
          <w:spacing w:val="8"/>
          <w:w w:val="110"/>
          <w:sz w:val="19"/>
        </w:rPr>
        <w:t> </w:t>
      </w:r>
      <w:r>
        <w:rPr>
          <w:rFonts w:ascii="Arial" w:hAnsi="Arial"/>
          <w:color w:val="231F20"/>
          <w:spacing w:val="-2"/>
          <w:w w:val="110"/>
          <w:sz w:val="19"/>
        </w:rPr>
        <w:t>families</w:t>
      </w:r>
    </w:p>
    <w:p>
      <w:pPr>
        <w:spacing w:before="2"/>
        <w:ind w:left="1260" w:right="0" w:firstLine="0"/>
        <w:jc w:val="left"/>
        <w:rPr>
          <w:rFonts w:ascii="Arial" w:hAnsi="Arial"/>
          <w:sz w:val="19"/>
        </w:rPr>
      </w:pPr>
      <w:r>
        <w:rPr>
          <w:rFonts w:ascii="Arial" w:hAnsi="Arial"/>
          <w:color w:val="231F20"/>
          <w:w w:val="110"/>
          <w:sz w:val="19"/>
        </w:rPr>
        <w:t>Government—</w:t>
      </w:r>
      <w:r>
        <w:rPr>
          <w:rFonts w:ascii="Arial" w:hAnsi="Arial"/>
          <w:color w:val="231F20"/>
          <w:spacing w:val="-38"/>
          <w:w w:val="110"/>
          <w:sz w:val="19"/>
        </w:rPr>
        <w:t> </w:t>
      </w:r>
      <w:r>
        <w:rPr>
          <w:rFonts w:ascii="Arial" w:hAnsi="Arial"/>
          <w:color w:val="231F20"/>
          <w:w w:val="110"/>
          <w:sz w:val="19"/>
        </w:rPr>
        <w:t>federal,</w:t>
      </w:r>
      <w:r>
        <w:rPr>
          <w:rFonts w:ascii="Arial" w:hAnsi="Arial"/>
          <w:color w:val="231F20"/>
          <w:spacing w:val="5"/>
          <w:w w:val="110"/>
          <w:sz w:val="19"/>
        </w:rPr>
        <w:t> </w:t>
      </w:r>
      <w:r>
        <w:rPr>
          <w:rFonts w:ascii="Arial" w:hAnsi="Arial"/>
          <w:color w:val="231F20"/>
          <w:w w:val="110"/>
          <w:sz w:val="19"/>
        </w:rPr>
        <w:t>state,</w:t>
      </w:r>
      <w:r>
        <w:rPr>
          <w:rFonts w:ascii="Arial" w:hAnsi="Arial"/>
          <w:color w:val="231F20"/>
          <w:spacing w:val="4"/>
          <w:w w:val="110"/>
          <w:sz w:val="19"/>
        </w:rPr>
        <w:t> </w:t>
      </w:r>
      <w:r>
        <w:rPr>
          <w:rFonts w:ascii="Arial" w:hAnsi="Arial"/>
          <w:color w:val="231F20"/>
          <w:w w:val="110"/>
          <w:sz w:val="19"/>
        </w:rPr>
        <w:t>and</w:t>
      </w:r>
      <w:r>
        <w:rPr>
          <w:rFonts w:ascii="Arial" w:hAnsi="Arial"/>
          <w:color w:val="231F20"/>
          <w:spacing w:val="5"/>
          <w:w w:val="110"/>
          <w:sz w:val="19"/>
        </w:rPr>
        <w:t> </w:t>
      </w:r>
      <w:r>
        <w:rPr>
          <w:rFonts w:ascii="Arial" w:hAnsi="Arial"/>
          <w:color w:val="231F20"/>
          <w:w w:val="110"/>
          <w:sz w:val="19"/>
        </w:rPr>
        <w:t>local</w:t>
      </w:r>
      <w:r>
        <w:rPr>
          <w:rFonts w:ascii="Arial" w:hAnsi="Arial"/>
          <w:color w:val="231F20"/>
          <w:spacing w:val="5"/>
          <w:w w:val="110"/>
          <w:sz w:val="19"/>
        </w:rPr>
        <w:t> </w:t>
      </w:r>
      <w:r>
        <w:rPr>
          <w:rFonts w:ascii="Arial" w:hAnsi="Arial"/>
          <w:color w:val="231F20"/>
          <w:w w:val="110"/>
          <w:sz w:val="19"/>
        </w:rPr>
        <w:t>and</w:t>
      </w:r>
      <w:r>
        <w:rPr>
          <w:rFonts w:ascii="Arial" w:hAnsi="Arial"/>
          <w:color w:val="231F20"/>
          <w:spacing w:val="5"/>
          <w:w w:val="110"/>
          <w:sz w:val="19"/>
        </w:rPr>
        <w:t> </w:t>
      </w:r>
      <w:r>
        <w:rPr>
          <w:rFonts w:ascii="Arial" w:hAnsi="Arial"/>
          <w:color w:val="231F20"/>
          <w:w w:val="110"/>
          <w:sz w:val="19"/>
        </w:rPr>
        <w:t>their</w:t>
      </w:r>
      <w:r>
        <w:rPr>
          <w:rFonts w:ascii="Arial" w:hAnsi="Arial"/>
          <w:color w:val="231F20"/>
          <w:spacing w:val="4"/>
          <w:w w:val="110"/>
          <w:sz w:val="19"/>
        </w:rPr>
        <w:t> </w:t>
      </w:r>
      <w:r>
        <w:rPr>
          <w:rFonts w:ascii="Arial" w:hAnsi="Arial"/>
          <w:color w:val="231F20"/>
          <w:spacing w:val="-2"/>
          <w:w w:val="110"/>
          <w:sz w:val="19"/>
        </w:rPr>
        <w:t>agencies</w:t>
      </w:r>
    </w:p>
    <w:p>
      <w:pPr>
        <w:spacing w:line="328" w:lineRule="auto" w:before="81"/>
        <w:ind w:left="1599" w:right="667" w:hanging="340"/>
        <w:jc w:val="left"/>
        <w:rPr>
          <w:rFonts w:ascii="Arial" w:hAnsi="Arial"/>
          <w:sz w:val="19"/>
        </w:rPr>
      </w:pPr>
      <w:r>
        <w:rPr>
          <w:rFonts w:ascii="Arial" w:hAnsi="Arial"/>
          <w:color w:val="231F20"/>
          <w:w w:val="110"/>
          <w:sz w:val="19"/>
        </w:rPr>
        <w:t>Special Interest Groups—</w:t>
      </w:r>
      <w:r>
        <w:rPr>
          <w:rFonts w:ascii="Arial" w:hAnsi="Arial"/>
          <w:color w:val="231F20"/>
          <w:spacing w:val="-38"/>
          <w:w w:val="110"/>
          <w:sz w:val="19"/>
        </w:rPr>
        <w:t> </w:t>
      </w:r>
      <w:r>
        <w:rPr>
          <w:rFonts w:ascii="Arial" w:hAnsi="Arial"/>
          <w:color w:val="231F20"/>
          <w:w w:val="110"/>
          <w:sz w:val="19"/>
        </w:rPr>
        <w:t>industrial, consumer, </w:t>
      </w:r>
      <w:r>
        <w:rPr>
          <w:rFonts w:ascii="Arial" w:hAnsi="Arial"/>
          <w:color w:val="231F20"/>
          <w:w w:val="110"/>
          <w:sz w:val="19"/>
        </w:rPr>
        <w:t>environmental, political, unions</w:t>
      </w:r>
    </w:p>
    <w:p>
      <w:pPr>
        <w:spacing w:before="2"/>
        <w:ind w:left="1259" w:right="0" w:firstLine="0"/>
        <w:jc w:val="left"/>
        <w:rPr>
          <w:rFonts w:ascii="Arial"/>
          <w:sz w:val="19"/>
        </w:rPr>
      </w:pPr>
      <w:r>
        <w:rPr>
          <w:rFonts w:ascii="Arial"/>
          <w:color w:val="231F20"/>
          <w:w w:val="115"/>
          <w:sz w:val="19"/>
        </w:rPr>
        <w:t>The</w:t>
      </w:r>
      <w:r>
        <w:rPr>
          <w:rFonts w:ascii="Arial"/>
          <w:color w:val="231F20"/>
          <w:spacing w:val="-2"/>
          <w:w w:val="115"/>
          <w:sz w:val="19"/>
        </w:rPr>
        <w:t> </w:t>
      </w:r>
      <w:r>
        <w:rPr>
          <w:rFonts w:ascii="Arial"/>
          <w:color w:val="231F20"/>
          <w:w w:val="115"/>
          <w:sz w:val="19"/>
        </w:rPr>
        <w:t>Affected</w:t>
      </w:r>
      <w:r>
        <w:rPr>
          <w:rFonts w:ascii="Arial"/>
          <w:color w:val="231F20"/>
          <w:spacing w:val="-2"/>
          <w:w w:val="115"/>
          <w:sz w:val="19"/>
        </w:rPr>
        <w:t> Community</w:t>
      </w:r>
    </w:p>
    <w:p>
      <w:pPr>
        <w:spacing w:before="81"/>
        <w:ind w:left="1259" w:right="0" w:firstLine="0"/>
        <w:jc w:val="left"/>
        <w:rPr>
          <w:rFonts w:ascii="Arial" w:hAnsi="Arial"/>
          <w:sz w:val="19"/>
        </w:rPr>
      </w:pPr>
      <w:r>
        <w:rPr>
          <w:rFonts w:ascii="Arial" w:hAnsi="Arial"/>
          <w:color w:val="231F20"/>
          <w:w w:val="110"/>
          <w:sz w:val="19"/>
        </w:rPr>
        <w:t>The</w:t>
      </w:r>
      <w:r>
        <w:rPr>
          <w:rFonts w:ascii="Arial" w:hAnsi="Arial"/>
          <w:color w:val="231F20"/>
          <w:spacing w:val="-2"/>
          <w:w w:val="110"/>
          <w:sz w:val="19"/>
        </w:rPr>
        <w:t> </w:t>
      </w:r>
      <w:r>
        <w:rPr>
          <w:rFonts w:ascii="Arial" w:hAnsi="Arial"/>
          <w:color w:val="231F20"/>
          <w:w w:val="110"/>
          <w:sz w:val="19"/>
        </w:rPr>
        <w:t>Environment—</w:t>
      </w:r>
      <w:r>
        <w:rPr>
          <w:rFonts w:ascii="Arial" w:hAnsi="Arial"/>
          <w:color w:val="231F20"/>
          <w:spacing w:val="-40"/>
          <w:w w:val="110"/>
          <w:sz w:val="19"/>
        </w:rPr>
        <w:t> </w:t>
      </w:r>
      <w:r>
        <w:rPr>
          <w:rFonts w:ascii="Arial" w:hAnsi="Arial"/>
          <w:color w:val="231F20"/>
          <w:w w:val="110"/>
          <w:sz w:val="19"/>
        </w:rPr>
        <w:t>plants,</w:t>
      </w:r>
      <w:r>
        <w:rPr>
          <w:rFonts w:ascii="Arial" w:hAnsi="Arial"/>
          <w:color w:val="231F20"/>
          <w:spacing w:val="-1"/>
          <w:w w:val="110"/>
          <w:sz w:val="19"/>
        </w:rPr>
        <w:t> </w:t>
      </w:r>
      <w:r>
        <w:rPr>
          <w:rFonts w:ascii="Arial" w:hAnsi="Arial"/>
          <w:color w:val="231F20"/>
          <w:w w:val="110"/>
          <w:sz w:val="19"/>
        </w:rPr>
        <w:t>animals,</w:t>
      </w:r>
      <w:r>
        <w:rPr>
          <w:rFonts w:ascii="Arial" w:hAnsi="Arial"/>
          <w:color w:val="231F20"/>
          <w:spacing w:val="-2"/>
          <w:w w:val="110"/>
          <w:sz w:val="19"/>
        </w:rPr>
        <w:t> </w:t>
      </w:r>
      <w:r>
        <w:rPr>
          <w:rFonts w:ascii="Arial" w:hAnsi="Arial"/>
          <w:color w:val="231F20"/>
          <w:w w:val="110"/>
          <w:sz w:val="19"/>
        </w:rPr>
        <w:t>natural</w:t>
      </w:r>
      <w:r>
        <w:rPr>
          <w:rFonts w:ascii="Arial" w:hAnsi="Arial"/>
          <w:color w:val="231F20"/>
          <w:spacing w:val="-1"/>
          <w:w w:val="110"/>
          <w:sz w:val="19"/>
        </w:rPr>
        <w:t> </w:t>
      </w:r>
      <w:r>
        <w:rPr>
          <w:rFonts w:ascii="Arial" w:hAnsi="Arial"/>
          <w:color w:val="231F20"/>
          <w:spacing w:val="-2"/>
          <w:w w:val="110"/>
          <w:sz w:val="19"/>
        </w:rPr>
        <w:t>resources</w:t>
      </w:r>
    </w:p>
    <w:p>
      <w:pPr>
        <w:spacing w:before="82"/>
        <w:ind w:left="1259" w:right="0" w:firstLine="0"/>
        <w:jc w:val="left"/>
        <w:rPr>
          <w:rFonts w:ascii="Arial"/>
          <w:sz w:val="19"/>
        </w:rPr>
      </w:pPr>
      <w:r>
        <w:rPr>
          <w:rFonts w:ascii="Arial"/>
          <w:color w:val="231F20"/>
          <w:w w:val="110"/>
          <w:sz w:val="19"/>
        </w:rPr>
        <w:t>Future</w:t>
      </w:r>
      <w:r>
        <w:rPr>
          <w:rFonts w:ascii="Arial"/>
          <w:color w:val="231F20"/>
          <w:spacing w:val="8"/>
          <w:w w:val="110"/>
          <w:sz w:val="19"/>
        </w:rPr>
        <w:t> </w:t>
      </w:r>
      <w:r>
        <w:rPr>
          <w:rFonts w:ascii="Arial"/>
          <w:color w:val="231F20"/>
          <w:w w:val="110"/>
          <w:sz w:val="19"/>
        </w:rPr>
        <w:t>Generations</w:t>
      </w:r>
      <w:r>
        <w:rPr>
          <w:rFonts w:ascii="Arial"/>
          <w:color w:val="231F20"/>
          <w:spacing w:val="7"/>
          <w:w w:val="110"/>
          <w:sz w:val="19"/>
        </w:rPr>
        <w:t> </w:t>
      </w:r>
      <w:r>
        <w:rPr>
          <w:rFonts w:ascii="Arial"/>
          <w:color w:val="231F20"/>
          <w:w w:val="110"/>
          <w:sz w:val="19"/>
        </w:rPr>
        <w:t>(an</w:t>
      </w:r>
      <w:r>
        <w:rPr>
          <w:rFonts w:ascii="Arial"/>
          <w:color w:val="231F20"/>
          <w:spacing w:val="8"/>
          <w:w w:val="110"/>
          <w:sz w:val="19"/>
        </w:rPr>
        <w:t> </w:t>
      </w:r>
      <w:r>
        <w:rPr>
          <w:rFonts w:ascii="Arial"/>
          <w:color w:val="231F20"/>
          <w:w w:val="110"/>
          <w:sz w:val="19"/>
        </w:rPr>
        <w:t>MBA</w:t>
      </w:r>
      <w:r>
        <w:rPr>
          <w:rFonts w:ascii="Arial"/>
          <w:color w:val="231F20"/>
          <w:spacing w:val="8"/>
          <w:w w:val="110"/>
          <w:sz w:val="19"/>
        </w:rPr>
        <w:t> </w:t>
      </w:r>
      <w:r>
        <w:rPr>
          <w:rFonts w:ascii="Arial"/>
          <w:color w:val="231F20"/>
          <w:spacing w:val="-2"/>
          <w:w w:val="110"/>
          <w:sz w:val="19"/>
        </w:rPr>
        <w:t>favorite)</w:t>
      </w:r>
    </w:p>
    <w:p>
      <w:pPr>
        <w:spacing w:before="81"/>
        <w:ind w:left="1259" w:right="0" w:firstLine="0"/>
        <w:jc w:val="left"/>
        <w:rPr>
          <w:rFonts w:ascii="Arial"/>
          <w:sz w:val="19"/>
        </w:rPr>
      </w:pPr>
      <w:r>
        <w:rPr>
          <w:rFonts w:ascii="Arial"/>
          <w:color w:val="231F20"/>
          <w:spacing w:val="-2"/>
          <w:w w:val="115"/>
          <w:sz w:val="19"/>
        </w:rPr>
        <w:t>Competitors</w:t>
      </w:r>
    </w:p>
    <w:p>
      <w:pPr>
        <w:spacing w:before="82"/>
        <w:ind w:left="1259" w:right="0" w:firstLine="0"/>
        <w:jc w:val="left"/>
        <w:rPr>
          <w:rFonts w:ascii="Arial"/>
          <w:sz w:val="19"/>
        </w:rPr>
      </w:pPr>
      <w:r>
        <w:rPr>
          <w:rFonts w:ascii="Arial"/>
          <w:color w:val="231F20"/>
          <w:w w:val="115"/>
          <w:sz w:val="19"/>
        </w:rPr>
        <w:t>Lawyers</w:t>
      </w:r>
      <w:r>
        <w:rPr>
          <w:rFonts w:ascii="Arial"/>
          <w:color w:val="231F20"/>
          <w:spacing w:val="-13"/>
          <w:w w:val="115"/>
          <w:sz w:val="19"/>
        </w:rPr>
        <w:t> </w:t>
      </w:r>
      <w:r>
        <w:rPr>
          <w:rFonts w:ascii="Arial"/>
          <w:color w:val="231F20"/>
          <w:w w:val="115"/>
          <w:sz w:val="19"/>
        </w:rPr>
        <w:t>and</w:t>
      </w:r>
      <w:r>
        <w:rPr>
          <w:rFonts w:ascii="Arial"/>
          <w:color w:val="231F20"/>
          <w:spacing w:val="-12"/>
          <w:w w:val="115"/>
          <w:sz w:val="19"/>
        </w:rPr>
        <w:t> </w:t>
      </w:r>
      <w:r>
        <w:rPr>
          <w:rFonts w:ascii="Arial"/>
          <w:color w:val="231F20"/>
          <w:w w:val="115"/>
          <w:sz w:val="19"/>
        </w:rPr>
        <w:t>the</w:t>
      </w:r>
      <w:r>
        <w:rPr>
          <w:rFonts w:ascii="Arial"/>
          <w:color w:val="231F20"/>
          <w:spacing w:val="-13"/>
          <w:w w:val="115"/>
          <w:sz w:val="19"/>
        </w:rPr>
        <w:t> </w:t>
      </w:r>
      <w:r>
        <w:rPr>
          <w:rFonts w:ascii="Arial"/>
          <w:color w:val="231F20"/>
          <w:spacing w:val="-2"/>
          <w:w w:val="115"/>
          <w:sz w:val="19"/>
        </w:rPr>
        <w:t>Courts</w:t>
      </w:r>
    </w:p>
    <w:p>
      <w:pPr>
        <w:pStyle w:val="BodyText"/>
        <w:rPr>
          <w:rFonts w:ascii="Arial"/>
          <w:sz w:val="20"/>
        </w:rPr>
      </w:pPr>
    </w:p>
    <w:p>
      <w:pPr>
        <w:pStyle w:val="BodyText"/>
        <w:spacing w:before="4"/>
        <w:rPr>
          <w:rFonts w:ascii="Arial"/>
          <w:sz w:val="24"/>
        </w:rPr>
      </w:pPr>
    </w:p>
    <w:p>
      <w:pPr>
        <w:pStyle w:val="BodyText"/>
        <w:spacing w:line="292" w:lineRule="auto"/>
        <w:ind w:left="920" w:right="663" w:firstLine="340"/>
        <w:jc w:val="both"/>
      </w:pPr>
      <w:r>
        <w:rPr>
          <w:color w:val="231F20"/>
        </w:rPr>
        <w:t>Obviously, the list could be much longer. At the analysis stage</w:t>
      </w:r>
      <w:r>
        <w:rPr>
          <w:color w:val="231F20"/>
          <w:spacing w:val="80"/>
          <w:w w:val="150"/>
        </w:rPr>
        <w:t> </w:t>
      </w:r>
      <w:r>
        <w:rPr>
          <w:color w:val="231F20"/>
        </w:rPr>
        <w:t>the list is narrowed to the significant players, then a situational analysis is performed, and eventually a decision is reached. In </w:t>
      </w:r>
      <w:r>
        <w:rPr>
          <w:color w:val="231F20"/>
        </w:rPr>
        <w:t>order, these are the steps:</w:t>
      </w:r>
    </w:p>
    <w:p>
      <w:pPr>
        <w:pStyle w:val="BodyText"/>
        <w:spacing w:before="3"/>
        <w:rPr>
          <w:sz w:val="27"/>
        </w:rPr>
      </w:pPr>
    </w:p>
    <w:p>
      <w:pPr>
        <w:pStyle w:val="ListParagraph"/>
        <w:numPr>
          <w:ilvl w:val="2"/>
          <w:numId w:val="15"/>
        </w:numPr>
        <w:tabs>
          <w:tab w:pos="1611" w:val="left" w:leader="none"/>
        </w:tabs>
        <w:spacing w:line="240" w:lineRule="auto" w:before="0" w:after="0"/>
        <w:ind w:left="1610" w:right="0" w:hanging="171"/>
        <w:jc w:val="left"/>
        <w:rPr>
          <w:sz w:val="19"/>
        </w:rPr>
      </w:pPr>
      <w:r>
        <w:rPr>
          <w:color w:val="231F20"/>
          <w:w w:val="110"/>
          <w:sz w:val="19"/>
        </w:rPr>
        <w:t>Get</w:t>
      </w:r>
      <w:r>
        <w:rPr>
          <w:color w:val="231F20"/>
          <w:spacing w:val="3"/>
          <w:w w:val="110"/>
          <w:sz w:val="19"/>
        </w:rPr>
        <w:t> </w:t>
      </w:r>
      <w:r>
        <w:rPr>
          <w:color w:val="231F20"/>
          <w:w w:val="110"/>
          <w:sz w:val="19"/>
        </w:rPr>
        <w:t>the</w:t>
      </w:r>
      <w:r>
        <w:rPr>
          <w:color w:val="231F20"/>
          <w:spacing w:val="4"/>
          <w:w w:val="110"/>
          <w:sz w:val="19"/>
        </w:rPr>
        <w:t> </w:t>
      </w:r>
      <w:r>
        <w:rPr>
          <w:color w:val="231F20"/>
          <w:w w:val="110"/>
          <w:sz w:val="19"/>
        </w:rPr>
        <w:t>main</w:t>
      </w:r>
      <w:r>
        <w:rPr>
          <w:color w:val="231F20"/>
          <w:spacing w:val="4"/>
          <w:w w:val="110"/>
          <w:sz w:val="19"/>
        </w:rPr>
        <w:t> </w:t>
      </w:r>
      <w:r>
        <w:rPr>
          <w:color w:val="231F20"/>
          <w:w w:val="110"/>
          <w:sz w:val="19"/>
        </w:rPr>
        <w:t>cast</w:t>
      </w:r>
      <w:r>
        <w:rPr>
          <w:color w:val="231F20"/>
          <w:spacing w:val="4"/>
          <w:w w:val="110"/>
          <w:sz w:val="19"/>
        </w:rPr>
        <w:t> </w:t>
      </w:r>
      <w:r>
        <w:rPr>
          <w:color w:val="231F20"/>
          <w:w w:val="110"/>
          <w:sz w:val="19"/>
        </w:rPr>
        <w:t>of</w:t>
      </w:r>
      <w:r>
        <w:rPr>
          <w:color w:val="231F20"/>
          <w:spacing w:val="3"/>
          <w:w w:val="110"/>
          <w:sz w:val="19"/>
        </w:rPr>
        <w:t> </w:t>
      </w:r>
      <w:r>
        <w:rPr>
          <w:color w:val="231F20"/>
          <w:spacing w:val="-2"/>
          <w:w w:val="110"/>
          <w:sz w:val="19"/>
        </w:rPr>
        <w:t>characters.</w:t>
      </w:r>
    </w:p>
    <w:p>
      <w:pPr>
        <w:pStyle w:val="ListParagraph"/>
        <w:numPr>
          <w:ilvl w:val="2"/>
          <w:numId w:val="15"/>
        </w:numPr>
        <w:tabs>
          <w:tab w:pos="1611" w:val="left" w:leader="none"/>
        </w:tabs>
        <w:spacing w:line="240" w:lineRule="auto" w:before="82" w:after="0"/>
        <w:ind w:left="1610" w:right="0" w:hanging="220"/>
        <w:jc w:val="left"/>
        <w:rPr>
          <w:sz w:val="19"/>
        </w:rPr>
      </w:pPr>
      <w:r>
        <w:rPr>
          <w:color w:val="231F20"/>
          <w:w w:val="110"/>
          <w:sz w:val="19"/>
        </w:rPr>
        <w:t>Determine</w:t>
      </w:r>
      <w:r>
        <w:rPr>
          <w:color w:val="231F20"/>
          <w:spacing w:val="6"/>
          <w:w w:val="110"/>
          <w:sz w:val="19"/>
        </w:rPr>
        <w:t> </w:t>
      </w:r>
      <w:r>
        <w:rPr>
          <w:color w:val="231F20"/>
          <w:w w:val="110"/>
          <w:sz w:val="19"/>
        </w:rPr>
        <w:t>the</w:t>
      </w:r>
      <w:r>
        <w:rPr>
          <w:color w:val="231F20"/>
          <w:spacing w:val="7"/>
          <w:w w:val="110"/>
          <w:sz w:val="19"/>
        </w:rPr>
        <w:t> </w:t>
      </w:r>
      <w:r>
        <w:rPr>
          <w:color w:val="231F20"/>
          <w:w w:val="110"/>
          <w:sz w:val="19"/>
        </w:rPr>
        <w:t>harms</w:t>
      </w:r>
      <w:r>
        <w:rPr>
          <w:color w:val="231F20"/>
          <w:spacing w:val="6"/>
          <w:w w:val="110"/>
          <w:sz w:val="19"/>
        </w:rPr>
        <w:t> </w:t>
      </w:r>
      <w:r>
        <w:rPr>
          <w:color w:val="231F20"/>
          <w:w w:val="110"/>
          <w:sz w:val="19"/>
        </w:rPr>
        <w:t>and</w:t>
      </w:r>
      <w:r>
        <w:rPr>
          <w:color w:val="231F20"/>
          <w:spacing w:val="7"/>
          <w:w w:val="110"/>
          <w:sz w:val="19"/>
        </w:rPr>
        <w:t> </w:t>
      </w:r>
      <w:r>
        <w:rPr>
          <w:color w:val="231F20"/>
          <w:w w:val="110"/>
          <w:sz w:val="19"/>
        </w:rPr>
        <w:t>benefits</w:t>
      </w:r>
      <w:r>
        <w:rPr>
          <w:color w:val="231F20"/>
          <w:spacing w:val="7"/>
          <w:w w:val="110"/>
          <w:sz w:val="19"/>
        </w:rPr>
        <w:t> </w:t>
      </w:r>
      <w:r>
        <w:rPr>
          <w:color w:val="231F20"/>
          <w:w w:val="110"/>
          <w:sz w:val="19"/>
        </w:rPr>
        <w:t>to</w:t>
      </w:r>
      <w:r>
        <w:rPr>
          <w:color w:val="231F20"/>
          <w:spacing w:val="6"/>
          <w:w w:val="110"/>
          <w:sz w:val="19"/>
        </w:rPr>
        <w:t> </w:t>
      </w:r>
      <w:r>
        <w:rPr>
          <w:color w:val="231F20"/>
          <w:w w:val="110"/>
          <w:sz w:val="19"/>
        </w:rPr>
        <w:t>each</w:t>
      </w:r>
      <w:r>
        <w:rPr>
          <w:color w:val="231F20"/>
          <w:spacing w:val="7"/>
          <w:w w:val="110"/>
          <w:sz w:val="19"/>
        </w:rPr>
        <w:t> </w:t>
      </w:r>
      <w:r>
        <w:rPr>
          <w:color w:val="231F20"/>
          <w:spacing w:val="-2"/>
          <w:w w:val="110"/>
          <w:sz w:val="19"/>
        </w:rPr>
        <w:t>player.</w:t>
      </w:r>
    </w:p>
    <w:p>
      <w:pPr>
        <w:pStyle w:val="ListParagraph"/>
        <w:numPr>
          <w:ilvl w:val="2"/>
          <w:numId w:val="15"/>
        </w:numPr>
        <w:tabs>
          <w:tab w:pos="1611" w:val="left" w:leader="none"/>
        </w:tabs>
        <w:spacing w:line="240" w:lineRule="auto" w:before="82" w:after="0"/>
        <w:ind w:left="1610" w:right="0" w:hanging="224"/>
        <w:jc w:val="left"/>
        <w:rPr>
          <w:sz w:val="19"/>
        </w:rPr>
      </w:pPr>
      <w:r>
        <w:rPr>
          <w:color w:val="231F20"/>
          <w:w w:val="115"/>
          <w:sz w:val="19"/>
        </w:rPr>
        <w:t>Determine</w:t>
      </w:r>
      <w:r>
        <w:rPr>
          <w:color w:val="231F20"/>
          <w:spacing w:val="-13"/>
          <w:w w:val="115"/>
          <w:sz w:val="19"/>
        </w:rPr>
        <w:t> </w:t>
      </w:r>
      <w:r>
        <w:rPr>
          <w:color w:val="231F20"/>
          <w:w w:val="115"/>
          <w:sz w:val="19"/>
        </w:rPr>
        <w:t>their</w:t>
      </w:r>
      <w:r>
        <w:rPr>
          <w:color w:val="231F20"/>
          <w:spacing w:val="-12"/>
          <w:w w:val="115"/>
          <w:sz w:val="19"/>
        </w:rPr>
        <w:t> </w:t>
      </w:r>
      <w:r>
        <w:rPr>
          <w:color w:val="231F20"/>
          <w:w w:val="115"/>
          <w:sz w:val="19"/>
        </w:rPr>
        <w:t>rights</w:t>
      </w:r>
      <w:r>
        <w:rPr>
          <w:color w:val="231F20"/>
          <w:spacing w:val="-12"/>
          <w:w w:val="115"/>
          <w:sz w:val="19"/>
        </w:rPr>
        <w:t> </w:t>
      </w:r>
      <w:r>
        <w:rPr>
          <w:color w:val="231F20"/>
          <w:w w:val="115"/>
          <w:sz w:val="19"/>
        </w:rPr>
        <w:t>and</w:t>
      </w:r>
      <w:r>
        <w:rPr>
          <w:color w:val="231F20"/>
          <w:spacing w:val="-12"/>
          <w:w w:val="115"/>
          <w:sz w:val="19"/>
        </w:rPr>
        <w:t> </w:t>
      </w:r>
      <w:r>
        <w:rPr>
          <w:color w:val="231F20"/>
          <w:spacing w:val="-2"/>
          <w:w w:val="115"/>
          <w:sz w:val="19"/>
        </w:rPr>
        <w:t>responsibilities.</w:t>
      </w:r>
    </w:p>
    <w:p>
      <w:pPr>
        <w:pStyle w:val="ListParagraph"/>
        <w:numPr>
          <w:ilvl w:val="2"/>
          <w:numId w:val="15"/>
        </w:numPr>
        <w:tabs>
          <w:tab w:pos="1610" w:val="left" w:leader="none"/>
        </w:tabs>
        <w:spacing w:line="240" w:lineRule="auto" w:before="81" w:after="0"/>
        <w:ind w:left="1609" w:right="0" w:hanging="233"/>
        <w:jc w:val="left"/>
        <w:rPr>
          <w:sz w:val="19"/>
        </w:rPr>
      </w:pPr>
      <w:r>
        <w:rPr>
          <w:color w:val="231F20"/>
          <w:spacing w:val="-2"/>
          <w:w w:val="115"/>
          <w:sz w:val="19"/>
        </w:rPr>
        <w:t>Consider</w:t>
      </w:r>
      <w:r>
        <w:rPr>
          <w:color w:val="231F20"/>
          <w:spacing w:val="-11"/>
          <w:w w:val="115"/>
          <w:sz w:val="19"/>
        </w:rPr>
        <w:t> </w:t>
      </w:r>
      <w:r>
        <w:rPr>
          <w:color w:val="231F20"/>
          <w:spacing w:val="-2"/>
          <w:w w:val="115"/>
          <w:sz w:val="19"/>
        </w:rPr>
        <w:t>the</w:t>
      </w:r>
      <w:r>
        <w:rPr>
          <w:color w:val="231F20"/>
          <w:spacing w:val="-11"/>
          <w:w w:val="115"/>
          <w:sz w:val="19"/>
        </w:rPr>
        <w:t> </w:t>
      </w:r>
      <w:r>
        <w:rPr>
          <w:color w:val="231F20"/>
          <w:spacing w:val="-2"/>
          <w:w w:val="115"/>
          <w:sz w:val="19"/>
        </w:rPr>
        <w:t>relative</w:t>
      </w:r>
      <w:r>
        <w:rPr>
          <w:color w:val="231F20"/>
          <w:spacing w:val="-10"/>
          <w:w w:val="115"/>
          <w:sz w:val="19"/>
        </w:rPr>
        <w:t> </w:t>
      </w:r>
      <w:r>
        <w:rPr>
          <w:color w:val="231F20"/>
          <w:spacing w:val="-2"/>
          <w:w w:val="115"/>
          <w:sz w:val="19"/>
        </w:rPr>
        <w:t>power</w:t>
      </w:r>
      <w:r>
        <w:rPr>
          <w:color w:val="231F20"/>
          <w:spacing w:val="-11"/>
          <w:w w:val="115"/>
          <w:sz w:val="19"/>
        </w:rPr>
        <w:t> </w:t>
      </w:r>
      <w:r>
        <w:rPr>
          <w:color w:val="231F20"/>
          <w:spacing w:val="-2"/>
          <w:w w:val="115"/>
          <w:sz w:val="19"/>
        </w:rPr>
        <w:t>of</w:t>
      </w:r>
      <w:r>
        <w:rPr>
          <w:color w:val="231F20"/>
          <w:spacing w:val="-11"/>
          <w:w w:val="115"/>
          <w:sz w:val="19"/>
        </w:rPr>
        <w:t> </w:t>
      </w:r>
      <w:r>
        <w:rPr>
          <w:color w:val="231F20"/>
          <w:spacing w:val="-2"/>
          <w:w w:val="115"/>
          <w:sz w:val="19"/>
        </w:rPr>
        <w:t>each.</w:t>
      </w:r>
    </w:p>
    <w:p>
      <w:pPr>
        <w:pStyle w:val="ListParagraph"/>
        <w:numPr>
          <w:ilvl w:val="2"/>
          <w:numId w:val="15"/>
        </w:numPr>
        <w:tabs>
          <w:tab w:pos="1611" w:val="left" w:leader="none"/>
        </w:tabs>
        <w:spacing w:line="328" w:lineRule="auto" w:before="82" w:after="0"/>
        <w:ind w:left="1609" w:right="667" w:hanging="222"/>
        <w:jc w:val="left"/>
        <w:rPr>
          <w:sz w:val="19"/>
        </w:rPr>
      </w:pPr>
      <w:r>
        <w:rPr>
          <w:color w:val="231F20"/>
          <w:w w:val="115"/>
          <w:sz w:val="19"/>
        </w:rPr>
        <w:t>Consider the short- and long-term consequences of </w:t>
      </w:r>
      <w:r>
        <w:rPr>
          <w:color w:val="231F20"/>
          <w:w w:val="115"/>
          <w:sz w:val="19"/>
        </w:rPr>
        <w:t>your</w:t>
      </w:r>
      <w:r>
        <w:rPr>
          <w:color w:val="231F20"/>
          <w:w w:val="115"/>
          <w:sz w:val="19"/>
        </w:rPr>
        <w:t> decision alternatives.</w:t>
      </w:r>
    </w:p>
    <w:p>
      <w:pPr>
        <w:pStyle w:val="ListParagraph"/>
        <w:numPr>
          <w:ilvl w:val="2"/>
          <w:numId w:val="15"/>
        </w:numPr>
        <w:tabs>
          <w:tab w:pos="1610" w:val="left" w:leader="none"/>
        </w:tabs>
        <w:spacing w:line="240" w:lineRule="auto" w:before="1" w:after="0"/>
        <w:ind w:left="1609" w:right="0" w:hanging="229"/>
        <w:jc w:val="left"/>
        <w:rPr>
          <w:sz w:val="19"/>
        </w:rPr>
      </w:pPr>
      <w:r>
        <w:rPr>
          <w:color w:val="231F20"/>
          <w:spacing w:val="-2"/>
          <w:w w:val="115"/>
          <w:sz w:val="19"/>
        </w:rPr>
        <w:t>Formulate</w:t>
      </w:r>
      <w:r>
        <w:rPr>
          <w:color w:val="231F20"/>
          <w:spacing w:val="-6"/>
          <w:w w:val="115"/>
          <w:sz w:val="19"/>
        </w:rPr>
        <w:t> </w:t>
      </w:r>
      <w:r>
        <w:rPr>
          <w:color w:val="231F20"/>
          <w:spacing w:val="-2"/>
          <w:w w:val="115"/>
          <w:sz w:val="19"/>
        </w:rPr>
        <w:t>contingency</w:t>
      </w:r>
      <w:r>
        <w:rPr>
          <w:color w:val="231F20"/>
          <w:spacing w:val="-6"/>
          <w:w w:val="115"/>
          <w:sz w:val="19"/>
        </w:rPr>
        <w:t> </w:t>
      </w:r>
      <w:r>
        <w:rPr>
          <w:color w:val="231F20"/>
          <w:spacing w:val="-2"/>
          <w:w w:val="115"/>
          <w:sz w:val="19"/>
        </w:rPr>
        <w:t>plans</w:t>
      </w:r>
      <w:r>
        <w:rPr>
          <w:color w:val="231F20"/>
          <w:spacing w:val="-6"/>
          <w:w w:val="115"/>
          <w:sz w:val="19"/>
        </w:rPr>
        <w:t> </w:t>
      </w:r>
      <w:r>
        <w:rPr>
          <w:color w:val="231F20"/>
          <w:spacing w:val="-2"/>
          <w:w w:val="115"/>
          <w:sz w:val="19"/>
        </w:rPr>
        <w:t>for</w:t>
      </w:r>
      <w:r>
        <w:rPr>
          <w:color w:val="231F20"/>
          <w:spacing w:val="-6"/>
          <w:w w:val="115"/>
          <w:sz w:val="19"/>
        </w:rPr>
        <w:t> </w:t>
      </w:r>
      <w:r>
        <w:rPr>
          <w:color w:val="231F20"/>
          <w:spacing w:val="-2"/>
          <w:w w:val="115"/>
          <w:sz w:val="19"/>
        </w:rPr>
        <w:t>alternative</w:t>
      </w:r>
      <w:r>
        <w:rPr>
          <w:color w:val="231F20"/>
          <w:spacing w:val="-6"/>
          <w:w w:val="115"/>
          <w:sz w:val="19"/>
        </w:rPr>
        <w:t> </w:t>
      </w:r>
      <w:r>
        <w:rPr>
          <w:color w:val="231F20"/>
          <w:spacing w:val="-2"/>
          <w:w w:val="115"/>
          <w:sz w:val="19"/>
        </w:rPr>
        <w:t>scenarios.</w:t>
      </w:r>
    </w:p>
    <w:p>
      <w:pPr>
        <w:pStyle w:val="ListParagraph"/>
        <w:numPr>
          <w:ilvl w:val="2"/>
          <w:numId w:val="15"/>
        </w:numPr>
        <w:tabs>
          <w:tab w:pos="1610" w:val="left" w:leader="none"/>
        </w:tabs>
        <w:spacing w:line="240" w:lineRule="auto" w:before="81" w:after="0"/>
        <w:ind w:left="1610" w:right="0" w:hanging="199"/>
        <w:jc w:val="left"/>
        <w:rPr>
          <w:sz w:val="19"/>
        </w:rPr>
      </w:pPr>
      <w:r>
        <w:rPr>
          <w:color w:val="231F20"/>
          <w:w w:val="105"/>
          <w:sz w:val="19"/>
        </w:rPr>
        <w:t>Make</w:t>
      </w:r>
      <w:r>
        <w:rPr>
          <w:color w:val="231F20"/>
          <w:spacing w:val="-3"/>
          <w:w w:val="105"/>
          <w:sz w:val="19"/>
        </w:rPr>
        <w:t> </w:t>
      </w:r>
      <w:r>
        <w:rPr>
          <w:color w:val="231F20"/>
          <w:w w:val="105"/>
          <w:sz w:val="19"/>
        </w:rPr>
        <w:t>a</w:t>
      </w:r>
      <w:r>
        <w:rPr>
          <w:color w:val="231F20"/>
          <w:spacing w:val="-3"/>
          <w:w w:val="105"/>
          <w:sz w:val="19"/>
        </w:rPr>
        <w:t> </w:t>
      </w:r>
      <w:r>
        <w:rPr>
          <w:color w:val="231F20"/>
          <w:spacing w:val="-2"/>
          <w:w w:val="105"/>
          <w:sz w:val="19"/>
        </w:rPr>
        <w:t>judgment.</w:t>
      </w:r>
    </w:p>
    <w:p>
      <w:pPr>
        <w:pStyle w:val="BodyText"/>
        <w:rPr>
          <w:rFonts w:ascii="Arial"/>
          <w:sz w:val="20"/>
        </w:rPr>
      </w:pPr>
    </w:p>
    <w:p>
      <w:pPr>
        <w:pStyle w:val="BodyText"/>
        <w:spacing w:line="292" w:lineRule="auto" w:before="141"/>
        <w:ind w:left="920" w:right="666" w:firstLine="340"/>
        <w:jc w:val="both"/>
      </w:pPr>
      <w:r>
        <w:rPr>
          <w:color w:val="231F20"/>
        </w:rPr>
        <w:t>If</w:t>
      </w:r>
      <w:r>
        <w:rPr>
          <w:color w:val="231F20"/>
          <w:spacing w:val="-1"/>
        </w:rPr>
        <w:t> </w:t>
      </w:r>
      <w:r>
        <w:rPr>
          <w:color w:val="231F20"/>
        </w:rPr>
        <w:t>you</w:t>
      </w:r>
      <w:r>
        <w:rPr>
          <w:color w:val="231F20"/>
          <w:spacing w:val="-1"/>
        </w:rPr>
        <w:t> </w:t>
      </w:r>
      <w:r>
        <w:rPr>
          <w:color w:val="231F20"/>
        </w:rPr>
        <w:t>are</w:t>
      </w:r>
      <w:r>
        <w:rPr>
          <w:color w:val="231F20"/>
          <w:spacing w:val="-1"/>
        </w:rPr>
        <w:t> </w:t>
      </w:r>
      <w:r>
        <w:rPr>
          <w:color w:val="231F20"/>
        </w:rPr>
        <w:t>interested</w:t>
      </w:r>
      <w:r>
        <w:rPr>
          <w:color w:val="231F20"/>
          <w:spacing w:val="-1"/>
        </w:rPr>
        <w:t> </w:t>
      </w:r>
      <w:r>
        <w:rPr>
          <w:color w:val="231F20"/>
        </w:rPr>
        <w:t>in</w:t>
      </w:r>
      <w:r>
        <w:rPr>
          <w:color w:val="231F20"/>
          <w:spacing w:val="-1"/>
        </w:rPr>
        <w:t> </w:t>
      </w:r>
      <w:r>
        <w:rPr>
          <w:color w:val="231F20"/>
        </w:rPr>
        <w:t>walking</w:t>
      </w:r>
      <w:r>
        <w:rPr>
          <w:color w:val="231F20"/>
          <w:spacing w:val="-1"/>
        </w:rPr>
        <w:t> </w:t>
      </w:r>
      <w:r>
        <w:rPr>
          <w:color w:val="231F20"/>
        </w:rPr>
        <w:t>through</w:t>
      </w:r>
      <w:r>
        <w:rPr>
          <w:color w:val="231F20"/>
          <w:spacing w:val="-1"/>
        </w:rPr>
        <w:t> </w:t>
      </w:r>
      <w:r>
        <w:rPr>
          <w:color w:val="231F20"/>
        </w:rPr>
        <w:t>the</w:t>
      </w:r>
      <w:r>
        <w:rPr>
          <w:color w:val="231F20"/>
          <w:spacing w:val="-1"/>
        </w:rPr>
        <w:t> </w:t>
      </w:r>
      <w:r>
        <w:rPr>
          <w:color w:val="231F20"/>
        </w:rPr>
        <w:t>steps</w:t>
      </w:r>
      <w:r>
        <w:rPr>
          <w:color w:val="231F20"/>
          <w:spacing w:val="-1"/>
        </w:rPr>
        <w:t> </w:t>
      </w:r>
      <w:r>
        <w:rPr>
          <w:color w:val="231F20"/>
        </w:rPr>
        <w:t>outlined</w:t>
      </w:r>
      <w:r>
        <w:rPr>
          <w:color w:val="231F20"/>
          <w:spacing w:val="-1"/>
        </w:rPr>
        <w:t> </w:t>
      </w:r>
      <w:r>
        <w:rPr>
          <w:color w:val="231F20"/>
        </w:rPr>
        <w:t>above, </w:t>
      </w:r>
      <w:r>
        <w:rPr>
          <w:color w:val="231F20"/>
          <w:w w:val="105"/>
        </w:rPr>
        <w:t>take out a recent copy of </w:t>
      </w:r>
      <w:r>
        <w:rPr>
          <w:i/>
          <w:color w:val="231F20"/>
          <w:w w:val="105"/>
        </w:rPr>
        <w:t>Time </w:t>
      </w:r>
      <w:r>
        <w:rPr>
          <w:color w:val="231F20"/>
          <w:w w:val="105"/>
        </w:rPr>
        <w:t>or </w:t>
      </w:r>
      <w:r>
        <w:rPr>
          <w:i/>
          <w:color w:val="231F20"/>
          <w:w w:val="105"/>
        </w:rPr>
        <w:t>Newsweek </w:t>
      </w:r>
      <w:r>
        <w:rPr>
          <w:color w:val="231F20"/>
          <w:w w:val="105"/>
        </w:rPr>
        <w:t>and pick a topic with an</w:t>
      </w:r>
      <w:r>
        <w:rPr>
          <w:color w:val="231F20"/>
          <w:spacing w:val="-2"/>
          <w:w w:val="105"/>
        </w:rPr>
        <w:t> </w:t>
      </w:r>
      <w:r>
        <w:rPr>
          <w:color w:val="231F20"/>
          <w:w w:val="105"/>
        </w:rPr>
        <w:t>ethical</w:t>
      </w:r>
      <w:r>
        <w:rPr>
          <w:color w:val="231F20"/>
          <w:spacing w:val="-2"/>
          <w:w w:val="105"/>
        </w:rPr>
        <w:t> </w:t>
      </w:r>
      <w:r>
        <w:rPr>
          <w:color w:val="231F20"/>
          <w:w w:val="105"/>
        </w:rPr>
        <w:t>aspect.</w:t>
      </w:r>
      <w:r>
        <w:rPr>
          <w:color w:val="231F20"/>
          <w:spacing w:val="-2"/>
          <w:w w:val="105"/>
        </w:rPr>
        <w:t> </w:t>
      </w:r>
      <w:r>
        <w:rPr>
          <w:color w:val="231F20"/>
          <w:w w:val="105"/>
        </w:rPr>
        <w:t>With</w:t>
      </w:r>
      <w:r>
        <w:rPr>
          <w:color w:val="231F20"/>
          <w:spacing w:val="-2"/>
          <w:w w:val="105"/>
        </w:rPr>
        <w:t> </w:t>
      </w:r>
      <w:r>
        <w:rPr>
          <w:color w:val="231F20"/>
          <w:w w:val="105"/>
        </w:rPr>
        <w:t>a</w:t>
      </w:r>
      <w:r>
        <w:rPr>
          <w:color w:val="231F20"/>
          <w:spacing w:val="-2"/>
          <w:w w:val="105"/>
        </w:rPr>
        <w:t> </w:t>
      </w:r>
      <w:r>
        <w:rPr>
          <w:color w:val="231F20"/>
          <w:w w:val="105"/>
        </w:rPr>
        <w:t>piece</w:t>
      </w:r>
      <w:r>
        <w:rPr>
          <w:color w:val="231F20"/>
          <w:spacing w:val="-2"/>
          <w:w w:val="105"/>
        </w:rPr>
        <w:t> </w:t>
      </w:r>
      <w:r>
        <w:rPr>
          <w:color w:val="231F20"/>
          <w:w w:val="105"/>
        </w:rPr>
        <w:t>of</w:t>
      </w:r>
      <w:r>
        <w:rPr>
          <w:color w:val="231F20"/>
          <w:spacing w:val="-2"/>
          <w:w w:val="105"/>
        </w:rPr>
        <w:t> </w:t>
      </w:r>
      <w:r>
        <w:rPr>
          <w:color w:val="231F20"/>
          <w:w w:val="105"/>
        </w:rPr>
        <w:t>paper,</w:t>
      </w:r>
      <w:r>
        <w:rPr>
          <w:color w:val="231F20"/>
          <w:spacing w:val="-2"/>
          <w:w w:val="105"/>
        </w:rPr>
        <w:t> </w:t>
      </w:r>
      <w:r>
        <w:rPr>
          <w:color w:val="231F20"/>
          <w:w w:val="105"/>
        </w:rPr>
        <w:t>jot</w:t>
      </w:r>
      <w:r>
        <w:rPr>
          <w:color w:val="231F20"/>
          <w:spacing w:val="-2"/>
          <w:w w:val="105"/>
        </w:rPr>
        <w:t> </w:t>
      </w:r>
      <w:r>
        <w:rPr>
          <w:color w:val="231F20"/>
          <w:w w:val="105"/>
        </w:rPr>
        <w:t>down</w:t>
      </w:r>
      <w:r>
        <w:rPr>
          <w:color w:val="231F20"/>
          <w:spacing w:val="-2"/>
          <w:w w:val="105"/>
        </w:rPr>
        <w:t> </w:t>
      </w:r>
      <w:r>
        <w:rPr>
          <w:color w:val="231F20"/>
          <w:w w:val="105"/>
        </w:rPr>
        <w:t>the</w:t>
      </w:r>
      <w:r>
        <w:rPr>
          <w:color w:val="231F20"/>
          <w:spacing w:val="-2"/>
          <w:w w:val="105"/>
        </w:rPr>
        <w:t> </w:t>
      </w:r>
      <w:r>
        <w:rPr>
          <w:color w:val="231F20"/>
          <w:w w:val="105"/>
        </w:rPr>
        <w:t>main</w:t>
      </w:r>
      <w:r>
        <w:rPr>
          <w:color w:val="231F20"/>
          <w:spacing w:val="-2"/>
          <w:w w:val="105"/>
        </w:rPr>
        <w:t> </w:t>
      </w:r>
      <w:r>
        <w:rPr>
          <w:color w:val="231F20"/>
          <w:w w:val="105"/>
        </w:rPr>
        <w:t>charac- ters</w:t>
      </w:r>
      <w:r>
        <w:rPr>
          <w:color w:val="231F20"/>
          <w:spacing w:val="-8"/>
          <w:w w:val="105"/>
        </w:rPr>
        <w:t> </w:t>
      </w:r>
      <w:r>
        <w:rPr>
          <w:color w:val="231F20"/>
          <w:w w:val="105"/>
        </w:rPr>
        <w:t>along</w:t>
      </w:r>
      <w:r>
        <w:rPr>
          <w:color w:val="231F20"/>
          <w:spacing w:val="-8"/>
          <w:w w:val="105"/>
        </w:rPr>
        <w:t> </w:t>
      </w:r>
      <w:r>
        <w:rPr>
          <w:color w:val="231F20"/>
          <w:w w:val="105"/>
        </w:rPr>
        <w:t>the</w:t>
      </w:r>
      <w:r>
        <w:rPr>
          <w:color w:val="231F20"/>
          <w:spacing w:val="-8"/>
          <w:w w:val="105"/>
        </w:rPr>
        <w:t> </w:t>
      </w:r>
      <w:r>
        <w:rPr>
          <w:color w:val="231F20"/>
          <w:w w:val="105"/>
        </w:rPr>
        <w:t>top,</w:t>
      </w:r>
      <w:r>
        <w:rPr>
          <w:color w:val="231F20"/>
          <w:spacing w:val="-8"/>
          <w:w w:val="105"/>
        </w:rPr>
        <w:t> </w:t>
      </w:r>
      <w:r>
        <w:rPr>
          <w:color w:val="231F20"/>
          <w:w w:val="105"/>
        </w:rPr>
        <w:t>then</w:t>
      </w:r>
      <w:r>
        <w:rPr>
          <w:color w:val="231F20"/>
          <w:spacing w:val="-8"/>
          <w:w w:val="105"/>
        </w:rPr>
        <w:t> </w:t>
      </w:r>
      <w:r>
        <w:rPr>
          <w:color w:val="231F20"/>
          <w:w w:val="105"/>
        </w:rPr>
        <w:t>along</w:t>
      </w:r>
      <w:r>
        <w:rPr>
          <w:color w:val="231F20"/>
          <w:spacing w:val="-8"/>
          <w:w w:val="105"/>
        </w:rPr>
        <w:t> </w:t>
      </w:r>
      <w:r>
        <w:rPr>
          <w:color w:val="231F20"/>
          <w:w w:val="105"/>
        </w:rPr>
        <w:t>the</w:t>
      </w:r>
      <w:r>
        <w:rPr>
          <w:color w:val="231F20"/>
          <w:spacing w:val="-8"/>
          <w:w w:val="105"/>
        </w:rPr>
        <w:t> </w:t>
      </w:r>
      <w:r>
        <w:rPr>
          <w:color w:val="231F20"/>
          <w:w w:val="105"/>
        </w:rPr>
        <w:t>side,</w:t>
      </w:r>
      <w:r>
        <w:rPr>
          <w:color w:val="231F20"/>
          <w:spacing w:val="-8"/>
          <w:w w:val="105"/>
        </w:rPr>
        <w:t> </w:t>
      </w:r>
      <w:r>
        <w:rPr>
          <w:color w:val="231F20"/>
          <w:w w:val="105"/>
        </w:rPr>
        <w:t>place</w:t>
      </w:r>
      <w:r>
        <w:rPr>
          <w:color w:val="231F20"/>
          <w:spacing w:val="-8"/>
          <w:w w:val="105"/>
        </w:rPr>
        <w:t> </w:t>
      </w:r>
      <w:r>
        <w:rPr>
          <w:color w:val="231F20"/>
          <w:w w:val="105"/>
        </w:rPr>
        <w:t>the</w:t>
      </w:r>
      <w:r>
        <w:rPr>
          <w:color w:val="231F20"/>
          <w:spacing w:val="-8"/>
          <w:w w:val="105"/>
        </w:rPr>
        <w:t> </w:t>
      </w:r>
      <w:r>
        <w:rPr>
          <w:color w:val="231F20"/>
          <w:w w:val="105"/>
        </w:rPr>
        <w:t>words</w:t>
      </w:r>
      <w:r>
        <w:rPr>
          <w:color w:val="231F20"/>
          <w:spacing w:val="-8"/>
          <w:w w:val="105"/>
        </w:rPr>
        <w:t> </w:t>
      </w:r>
      <w:r>
        <w:rPr>
          <w:color w:val="231F20"/>
          <w:w w:val="105"/>
        </w:rPr>
        <w:t>“Harms</w:t>
      </w:r>
      <w:r>
        <w:rPr>
          <w:color w:val="231F20"/>
          <w:spacing w:val="-8"/>
          <w:w w:val="105"/>
        </w:rPr>
        <w:t> </w:t>
      </w:r>
      <w:r>
        <w:rPr>
          <w:color w:val="231F20"/>
          <w:w w:val="105"/>
        </w:rPr>
        <w:t>and Benefits”</w:t>
      </w:r>
      <w:r>
        <w:rPr>
          <w:color w:val="231F20"/>
          <w:spacing w:val="8"/>
          <w:w w:val="105"/>
        </w:rPr>
        <w:t> </w:t>
      </w:r>
      <w:r>
        <w:rPr>
          <w:color w:val="231F20"/>
          <w:w w:val="105"/>
        </w:rPr>
        <w:t>first,</w:t>
      </w:r>
      <w:r>
        <w:rPr>
          <w:color w:val="231F20"/>
          <w:spacing w:val="8"/>
          <w:w w:val="105"/>
        </w:rPr>
        <w:t> </w:t>
      </w:r>
      <w:r>
        <w:rPr>
          <w:color w:val="231F20"/>
          <w:w w:val="105"/>
        </w:rPr>
        <w:t>and</w:t>
      </w:r>
      <w:r>
        <w:rPr>
          <w:color w:val="231F20"/>
          <w:spacing w:val="9"/>
          <w:w w:val="105"/>
        </w:rPr>
        <w:t> </w:t>
      </w:r>
      <w:r>
        <w:rPr>
          <w:color w:val="231F20"/>
          <w:w w:val="105"/>
        </w:rPr>
        <w:t>below</w:t>
      </w:r>
      <w:r>
        <w:rPr>
          <w:color w:val="231F20"/>
          <w:spacing w:val="8"/>
          <w:w w:val="105"/>
        </w:rPr>
        <w:t> </w:t>
      </w:r>
      <w:r>
        <w:rPr>
          <w:color w:val="231F20"/>
          <w:w w:val="105"/>
        </w:rPr>
        <w:t>that</w:t>
      </w:r>
      <w:r>
        <w:rPr>
          <w:color w:val="231F20"/>
          <w:spacing w:val="8"/>
          <w:w w:val="105"/>
        </w:rPr>
        <w:t> </w:t>
      </w:r>
      <w:r>
        <w:rPr>
          <w:color w:val="231F20"/>
          <w:w w:val="105"/>
        </w:rPr>
        <w:t>“Rights</w:t>
      </w:r>
      <w:r>
        <w:rPr>
          <w:color w:val="231F20"/>
          <w:spacing w:val="9"/>
          <w:w w:val="105"/>
        </w:rPr>
        <w:t> </w:t>
      </w:r>
      <w:r>
        <w:rPr>
          <w:color w:val="231F20"/>
          <w:w w:val="105"/>
        </w:rPr>
        <w:t>and</w:t>
      </w:r>
      <w:r>
        <w:rPr>
          <w:color w:val="231F20"/>
          <w:spacing w:val="8"/>
          <w:w w:val="105"/>
        </w:rPr>
        <w:t> </w:t>
      </w:r>
      <w:r>
        <w:rPr>
          <w:color w:val="231F20"/>
          <w:w w:val="105"/>
        </w:rPr>
        <w:t>Responsibilities.”</w:t>
      </w:r>
      <w:r>
        <w:rPr>
          <w:color w:val="231F20"/>
          <w:spacing w:val="8"/>
          <w:w w:val="105"/>
        </w:rPr>
        <w:t> </w:t>
      </w:r>
      <w:r>
        <w:rPr>
          <w:color w:val="231F20"/>
          <w:spacing w:val="-5"/>
          <w:w w:val="105"/>
        </w:rPr>
        <w:t>Now</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you</w:t>
      </w:r>
      <w:r>
        <w:rPr>
          <w:color w:val="231F20"/>
          <w:spacing w:val="27"/>
        </w:rPr>
        <w:t> </w:t>
      </w:r>
      <w:r>
        <w:rPr>
          <w:color w:val="231F20"/>
        </w:rPr>
        <w:t>have</w:t>
      </w:r>
      <w:r>
        <w:rPr>
          <w:color w:val="231F20"/>
          <w:spacing w:val="27"/>
        </w:rPr>
        <w:t> </w:t>
      </w:r>
      <w:r>
        <w:rPr>
          <w:color w:val="231F20"/>
        </w:rPr>
        <w:t>the</w:t>
      </w:r>
      <w:r>
        <w:rPr>
          <w:color w:val="231F20"/>
          <w:spacing w:val="27"/>
        </w:rPr>
        <w:t> </w:t>
      </w:r>
      <w:r>
        <w:rPr>
          <w:color w:val="231F20"/>
        </w:rPr>
        <w:t>framework</w:t>
      </w:r>
      <w:r>
        <w:rPr>
          <w:color w:val="231F20"/>
          <w:spacing w:val="27"/>
        </w:rPr>
        <w:t> </w:t>
      </w:r>
      <w:r>
        <w:rPr>
          <w:color w:val="231F20"/>
        </w:rPr>
        <w:t>with</w:t>
      </w:r>
      <w:r>
        <w:rPr>
          <w:color w:val="231F20"/>
          <w:spacing w:val="27"/>
        </w:rPr>
        <w:t> </w:t>
      </w:r>
      <w:r>
        <w:rPr>
          <w:color w:val="231F20"/>
        </w:rPr>
        <w:t>which</w:t>
      </w:r>
      <w:r>
        <w:rPr>
          <w:color w:val="231F20"/>
          <w:spacing w:val="27"/>
        </w:rPr>
        <w:t> </w:t>
      </w:r>
      <w:r>
        <w:rPr>
          <w:color w:val="231F20"/>
        </w:rPr>
        <w:t>to</w:t>
      </w:r>
      <w:r>
        <w:rPr>
          <w:color w:val="231F20"/>
          <w:spacing w:val="27"/>
        </w:rPr>
        <w:t> </w:t>
      </w:r>
      <w:r>
        <w:rPr>
          <w:color w:val="231F20"/>
        </w:rPr>
        <w:t>attack</w:t>
      </w:r>
      <w:r>
        <w:rPr>
          <w:color w:val="231F20"/>
          <w:spacing w:val="27"/>
        </w:rPr>
        <w:t> </w:t>
      </w:r>
      <w:r>
        <w:rPr>
          <w:color w:val="231F20"/>
        </w:rPr>
        <w:t>the</w:t>
      </w:r>
      <w:r>
        <w:rPr>
          <w:color w:val="231F20"/>
          <w:spacing w:val="27"/>
        </w:rPr>
        <w:t> </w:t>
      </w:r>
      <w:r>
        <w:rPr>
          <w:color w:val="231F20"/>
        </w:rPr>
        <w:t>moral</w:t>
      </w:r>
      <w:r>
        <w:rPr>
          <w:color w:val="231F20"/>
          <w:spacing w:val="27"/>
        </w:rPr>
        <w:t> </w:t>
      </w:r>
      <w:r>
        <w:rPr>
          <w:color w:val="231F20"/>
        </w:rPr>
        <w:t>dilemmas of the day—</w:t>
      </w:r>
      <w:r>
        <w:rPr>
          <w:color w:val="231F20"/>
          <w:spacing w:val="-9"/>
        </w:rPr>
        <w:t> </w:t>
      </w:r>
      <w:r>
        <w:rPr>
          <w:color w:val="231F20"/>
        </w:rPr>
        <w:t>MBA style.</w:t>
      </w:r>
    </w:p>
    <w:p>
      <w:pPr>
        <w:pStyle w:val="BodyText"/>
        <w:spacing w:line="292" w:lineRule="auto"/>
        <w:ind w:left="829" w:right="753" w:firstLine="340"/>
        <w:jc w:val="both"/>
      </w:pPr>
      <w:r>
        <w:rPr>
          <w:color w:val="231F20"/>
        </w:rPr>
        <w:t>As</w:t>
      </w:r>
      <w:r>
        <w:rPr>
          <w:color w:val="231F20"/>
          <w:spacing w:val="40"/>
        </w:rPr>
        <w:t> </w:t>
      </w:r>
      <w:r>
        <w:rPr>
          <w:color w:val="231F20"/>
        </w:rPr>
        <w:t>an</w:t>
      </w:r>
      <w:r>
        <w:rPr>
          <w:color w:val="231F20"/>
          <w:spacing w:val="40"/>
        </w:rPr>
        <w:t> </w:t>
      </w:r>
      <w:r>
        <w:rPr>
          <w:color w:val="231F20"/>
        </w:rPr>
        <w:t>example,</w:t>
      </w:r>
      <w:r>
        <w:rPr>
          <w:color w:val="231F20"/>
          <w:spacing w:val="40"/>
        </w:rPr>
        <w:t> </w:t>
      </w:r>
      <w:r>
        <w:rPr>
          <w:color w:val="231F20"/>
        </w:rPr>
        <w:t>you</w:t>
      </w:r>
      <w:r>
        <w:rPr>
          <w:color w:val="231F20"/>
          <w:spacing w:val="40"/>
        </w:rPr>
        <w:t> </w:t>
      </w:r>
      <w:r>
        <w:rPr>
          <w:color w:val="231F20"/>
        </w:rPr>
        <w:t>might</w:t>
      </w:r>
      <w:r>
        <w:rPr>
          <w:color w:val="231F20"/>
          <w:spacing w:val="40"/>
        </w:rPr>
        <w:t> </w:t>
      </w:r>
      <w:r>
        <w:rPr>
          <w:color w:val="231F20"/>
        </w:rPr>
        <w:t>choose</w:t>
      </w:r>
      <w:r>
        <w:rPr>
          <w:color w:val="231F20"/>
          <w:spacing w:val="40"/>
        </w:rPr>
        <w:t> </w:t>
      </w:r>
      <w:r>
        <w:rPr>
          <w:color w:val="231F20"/>
        </w:rPr>
        <w:t>the</w:t>
      </w:r>
      <w:r>
        <w:rPr>
          <w:color w:val="231F20"/>
          <w:spacing w:val="40"/>
        </w:rPr>
        <w:t> </w:t>
      </w:r>
      <w:r>
        <w:rPr>
          <w:color w:val="231F20"/>
        </w:rPr>
        <w:t>debate</w:t>
      </w:r>
      <w:r>
        <w:rPr>
          <w:color w:val="231F20"/>
          <w:spacing w:val="40"/>
        </w:rPr>
        <w:t> </w:t>
      </w:r>
      <w:r>
        <w:rPr>
          <w:color w:val="231F20"/>
        </w:rPr>
        <w:t>regarding</w:t>
      </w:r>
      <w:r>
        <w:rPr>
          <w:color w:val="231F20"/>
          <w:spacing w:val="40"/>
        </w:rPr>
        <w:t> </w:t>
      </w:r>
      <w:r>
        <w:rPr>
          <w:color w:val="231F20"/>
        </w:rPr>
        <w:t>the need</w:t>
      </w:r>
      <w:r>
        <w:rPr>
          <w:color w:val="231F20"/>
          <w:spacing w:val="40"/>
        </w:rPr>
        <w:t> </w:t>
      </w:r>
      <w:r>
        <w:rPr>
          <w:color w:val="231F20"/>
        </w:rPr>
        <w:t>to</w:t>
      </w:r>
      <w:r>
        <w:rPr>
          <w:color w:val="231F20"/>
          <w:spacing w:val="40"/>
        </w:rPr>
        <w:t> </w:t>
      </w:r>
      <w:r>
        <w:rPr>
          <w:color w:val="231F20"/>
        </w:rPr>
        <w:t>preserve</w:t>
      </w:r>
      <w:r>
        <w:rPr>
          <w:color w:val="231F20"/>
          <w:spacing w:val="40"/>
        </w:rPr>
        <w:t> </w:t>
      </w:r>
      <w:r>
        <w:rPr>
          <w:color w:val="231F20"/>
        </w:rPr>
        <w:t>the</w:t>
      </w:r>
      <w:r>
        <w:rPr>
          <w:color w:val="231F20"/>
          <w:spacing w:val="40"/>
        </w:rPr>
        <w:t> </w:t>
      </w:r>
      <w:r>
        <w:rPr>
          <w:color w:val="231F20"/>
        </w:rPr>
        <w:t>habitat</w:t>
      </w:r>
      <w:r>
        <w:rPr>
          <w:color w:val="231F20"/>
          <w:spacing w:val="40"/>
        </w:rPr>
        <w:t> </w:t>
      </w:r>
      <w:r>
        <w:rPr>
          <w:color w:val="231F20"/>
        </w:rPr>
        <w:t>of</w:t>
      </w:r>
      <w:r>
        <w:rPr>
          <w:color w:val="231F20"/>
          <w:spacing w:val="40"/>
        </w:rPr>
        <w:t> </w:t>
      </w:r>
      <w:r>
        <w:rPr>
          <w:color w:val="231F20"/>
        </w:rPr>
        <w:t>the</w:t>
      </w:r>
      <w:r>
        <w:rPr>
          <w:color w:val="231F20"/>
          <w:spacing w:val="40"/>
        </w:rPr>
        <w:t> </w:t>
      </w:r>
      <w:r>
        <w:rPr>
          <w:color w:val="231F20"/>
        </w:rPr>
        <w:t>spotted</w:t>
      </w:r>
      <w:r>
        <w:rPr>
          <w:color w:val="231F20"/>
          <w:spacing w:val="40"/>
        </w:rPr>
        <w:t> </w:t>
      </w:r>
      <w:r>
        <w:rPr>
          <w:color w:val="231F20"/>
        </w:rPr>
        <w:t>owl</w:t>
      </w:r>
      <w:r>
        <w:rPr>
          <w:color w:val="231F20"/>
          <w:spacing w:val="40"/>
        </w:rPr>
        <w:t> </w:t>
      </w:r>
      <w:r>
        <w:rPr>
          <w:color w:val="231F20"/>
        </w:rPr>
        <w:t>by</w:t>
      </w:r>
      <w:r>
        <w:rPr>
          <w:color w:val="231F20"/>
          <w:spacing w:val="40"/>
        </w:rPr>
        <w:t> </w:t>
      </w:r>
      <w:r>
        <w:rPr>
          <w:color w:val="231F20"/>
        </w:rPr>
        <w:t>reducing</w:t>
      </w:r>
      <w:r>
        <w:rPr>
          <w:color w:val="231F20"/>
          <w:spacing w:val="40"/>
        </w:rPr>
        <w:t> </w:t>
      </w:r>
      <w:r>
        <w:rPr>
          <w:color w:val="231F20"/>
        </w:rPr>
        <w:t>log- ging on federal lands. The stakeholder analysis grid would look like that on page 67.</w:t>
      </w:r>
    </w:p>
    <w:p>
      <w:pPr>
        <w:pStyle w:val="BodyText"/>
        <w:spacing w:line="292" w:lineRule="auto"/>
        <w:ind w:left="829" w:right="756" w:firstLine="340"/>
        <w:jc w:val="both"/>
      </w:pPr>
      <w:r>
        <w:rPr>
          <w:color w:val="231F20"/>
        </w:rPr>
        <w:t>You may disagree with the way in which I have framed this issue, but with ethics there is no “right” way. People can approach a </w:t>
      </w:r>
      <w:r>
        <w:rPr>
          <w:color w:val="231F20"/>
        </w:rPr>
        <w:t>situa- tion differently and feel other stakeholders need to be represented.</w:t>
      </w:r>
      <w:r>
        <w:rPr>
          <w:color w:val="231F20"/>
          <w:spacing w:val="40"/>
        </w:rPr>
        <w:t> </w:t>
      </w:r>
      <w:r>
        <w:rPr>
          <w:color w:val="231F20"/>
        </w:rPr>
        <w:t>In this situation, at the very least, a timber company executive ought to consider the stakeholders before clear-cutting the owls’ woods. With</w:t>
      </w:r>
      <w:r>
        <w:rPr>
          <w:color w:val="231F20"/>
          <w:spacing w:val="26"/>
        </w:rPr>
        <w:t> </w:t>
      </w:r>
      <w:r>
        <w:rPr>
          <w:color w:val="231F20"/>
        </w:rPr>
        <w:t>the</w:t>
      </w:r>
      <w:r>
        <w:rPr>
          <w:color w:val="231F20"/>
          <w:spacing w:val="26"/>
        </w:rPr>
        <w:t> </w:t>
      </w:r>
      <w:r>
        <w:rPr>
          <w:color w:val="231F20"/>
        </w:rPr>
        <w:t>tools</w:t>
      </w:r>
      <w:r>
        <w:rPr>
          <w:color w:val="231F20"/>
          <w:spacing w:val="26"/>
        </w:rPr>
        <w:t> </w:t>
      </w:r>
      <w:r>
        <w:rPr>
          <w:color w:val="231F20"/>
        </w:rPr>
        <w:t>of</w:t>
      </w:r>
      <w:r>
        <w:rPr>
          <w:color w:val="231F20"/>
          <w:spacing w:val="26"/>
        </w:rPr>
        <w:t> </w:t>
      </w:r>
      <w:r>
        <w:rPr>
          <w:color w:val="231F20"/>
        </w:rPr>
        <w:t>stakeholder</w:t>
      </w:r>
      <w:r>
        <w:rPr>
          <w:color w:val="231F20"/>
          <w:spacing w:val="26"/>
        </w:rPr>
        <w:t> </w:t>
      </w:r>
      <w:r>
        <w:rPr>
          <w:color w:val="231F20"/>
        </w:rPr>
        <w:t>analysis</w:t>
      </w:r>
      <w:r>
        <w:rPr>
          <w:color w:val="231F20"/>
          <w:spacing w:val="26"/>
        </w:rPr>
        <w:t> </w:t>
      </w:r>
      <w:r>
        <w:rPr>
          <w:color w:val="231F20"/>
        </w:rPr>
        <w:t>an</w:t>
      </w:r>
      <w:r>
        <w:rPr>
          <w:color w:val="231F20"/>
          <w:spacing w:val="26"/>
        </w:rPr>
        <w:t> </w:t>
      </w:r>
      <w:r>
        <w:rPr>
          <w:color w:val="231F20"/>
        </w:rPr>
        <w:t>MBA</w:t>
      </w:r>
      <w:r>
        <w:rPr>
          <w:color w:val="231F20"/>
          <w:spacing w:val="26"/>
        </w:rPr>
        <w:t> </w:t>
      </w:r>
      <w:r>
        <w:rPr>
          <w:color w:val="231F20"/>
        </w:rPr>
        <w:t>can</w:t>
      </w:r>
      <w:r>
        <w:rPr>
          <w:color w:val="231F20"/>
          <w:spacing w:val="26"/>
        </w:rPr>
        <w:t> </w:t>
      </w:r>
      <w:r>
        <w:rPr>
          <w:color w:val="231F20"/>
        </w:rPr>
        <w:t>tackle</w:t>
      </w:r>
      <w:r>
        <w:rPr>
          <w:color w:val="231F20"/>
          <w:spacing w:val="26"/>
        </w:rPr>
        <w:t> </w:t>
      </w:r>
      <w:r>
        <w:rPr>
          <w:color w:val="231F20"/>
        </w:rPr>
        <w:t>the</w:t>
      </w:r>
      <w:r>
        <w:rPr>
          <w:color w:val="231F20"/>
          <w:spacing w:val="26"/>
        </w:rPr>
        <w:t> </w:t>
      </w:r>
      <w:r>
        <w:rPr>
          <w:color w:val="231F20"/>
        </w:rPr>
        <w:t>issue of endangered owls as well as other ethical issues and make thought- ful and informed decisions.</w:t>
      </w:r>
    </w:p>
    <w:p>
      <w:pPr>
        <w:pStyle w:val="BodyText"/>
        <w:rPr>
          <w:sz w:val="24"/>
        </w:rPr>
      </w:pPr>
    </w:p>
    <w:p>
      <w:pPr>
        <w:pStyle w:val="BodyText"/>
        <w:spacing w:before="6"/>
        <w:rPr>
          <w:sz w:val="24"/>
        </w:rPr>
      </w:pPr>
    </w:p>
    <w:p>
      <w:pPr>
        <w:pStyle w:val="Heading4"/>
        <w:ind w:left="301"/>
      </w:pPr>
      <w:r>
        <w:rPr>
          <w:color w:val="231F20"/>
          <w:w w:val="85"/>
        </w:rPr>
        <w:t>THE</w:t>
      </w:r>
      <w:r>
        <w:rPr>
          <w:color w:val="231F20"/>
          <w:spacing w:val="23"/>
        </w:rPr>
        <w:t> </w:t>
      </w:r>
      <w:r>
        <w:rPr>
          <w:color w:val="231F20"/>
          <w:spacing w:val="11"/>
          <w:w w:val="85"/>
        </w:rPr>
        <w:t>SARBANES-</w:t>
      </w:r>
      <w:r>
        <w:rPr>
          <w:color w:val="231F20"/>
          <w:w w:val="85"/>
        </w:rPr>
        <w:t>OXLEY</w:t>
      </w:r>
      <w:r>
        <w:rPr>
          <w:color w:val="231F20"/>
          <w:spacing w:val="24"/>
        </w:rPr>
        <w:t> </w:t>
      </w:r>
      <w:r>
        <w:rPr>
          <w:color w:val="231F20"/>
          <w:w w:val="85"/>
        </w:rPr>
        <w:t>ACT</w:t>
      </w:r>
      <w:r>
        <w:rPr>
          <w:color w:val="231F20"/>
          <w:spacing w:val="24"/>
        </w:rPr>
        <w:t> </w:t>
      </w:r>
      <w:r>
        <w:rPr>
          <w:color w:val="231F20"/>
          <w:w w:val="85"/>
        </w:rPr>
        <w:t>OF</w:t>
      </w:r>
      <w:r>
        <w:rPr>
          <w:color w:val="231F20"/>
          <w:spacing w:val="23"/>
        </w:rPr>
        <w:t> </w:t>
      </w:r>
      <w:r>
        <w:rPr>
          <w:color w:val="231F20"/>
          <w:spacing w:val="7"/>
          <w:w w:val="85"/>
        </w:rPr>
        <w:t>2002</w:t>
      </w:r>
    </w:p>
    <w:p>
      <w:pPr>
        <w:pStyle w:val="BodyText"/>
        <w:spacing w:before="10"/>
        <w:rPr>
          <w:rFonts w:ascii="Trebuchet MS"/>
          <w:sz w:val="29"/>
        </w:rPr>
      </w:pPr>
    </w:p>
    <w:p>
      <w:pPr>
        <w:pStyle w:val="BodyText"/>
        <w:spacing w:line="292" w:lineRule="auto"/>
        <w:ind w:left="830" w:right="753"/>
        <w:jc w:val="both"/>
      </w:pPr>
      <w:r>
        <w:rPr>
          <w:color w:val="231F20"/>
        </w:rPr>
        <w:t>As a result of the corporate scandals of the late 1990s and early 2000s, Congress was forced to legislate ethics in corporate America. The system of government regulation and private self-regulation</w:t>
      </w:r>
      <w:r>
        <w:rPr>
          <w:color w:val="231F20"/>
          <w:spacing w:val="80"/>
        </w:rPr>
        <w:t> </w:t>
      </w:r>
      <w:r>
        <w:rPr>
          <w:color w:val="231F20"/>
        </w:rPr>
        <w:t>was inadequate. The hall of shame includes Tyco, Xerox, Qwest, Sunbeam, WorldCom, Adelphia, Enron, Global Crossing, Health- South, ImClone and Credit Suisse First Boston, and Arthur </w:t>
      </w:r>
      <w:r>
        <w:rPr>
          <w:color w:val="231F20"/>
        </w:rPr>
        <w:t>Ander-</w:t>
      </w:r>
      <w:r>
        <w:rPr>
          <w:color w:val="231F20"/>
          <w:spacing w:val="40"/>
        </w:rPr>
        <w:t> </w:t>
      </w:r>
      <w:r>
        <w:rPr>
          <w:color w:val="231F20"/>
        </w:rPr>
        <w:t>sen. Other international scandals centered on rogue traders left</w:t>
      </w:r>
      <w:r>
        <w:rPr>
          <w:color w:val="231F20"/>
          <w:spacing w:val="80"/>
        </w:rPr>
        <w:t> </w:t>
      </w:r>
      <w:r>
        <w:rPr>
          <w:color w:val="231F20"/>
        </w:rPr>
        <w:t>alone to amass millions of dollars of trading losses. This rogues’ gallery included Nick Leeson at Barings ($1.2 billion loss), Yasuo Hamanaka at Sumitomo ($1.8 billion loss), and John Rusnak at</w:t>
      </w:r>
      <w:r>
        <w:rPr>
          <w:color w:val="231F20"/>
          <w:spacing w:val="40"/>
        </w:rPr>
        <w:t> </w:t>
      </w:r>
      <w:r>
        <w:rPr>
          <w:color w:val="231F20"/>
        </w:rPr>
        <w:t>Allfirst ($750 million loss).</w:t>
      </w:r>
    </w:p>
    <w:p>
      <w:pPr>
        <w:pStyle w:val="BodyText"/>
        <w:spacing w:line="292" w:lineRule="auto"/>
        <w:ind w:left="829" w:right="755" w:firstLine="340"/>
        <w:jc w:val="both"/>
      </w:pPr>
      <w:r>
        <w:rPr>
          <w:color w:val="231F20"/>
        </w:rPr>
        <w:t>Where employees, accountants, and lawyers intend to do </w:t>
      </w:r>
      <w:r>
        <w:rPr>
          <w:color w:val="231F20"/>
        </w:rPr>
        <w:t>wrong, no amount of legislation will stop them, but Congress felt that it would at least make it more difficult and send a message to others to think twice. The new provisions of the Sarbanes-Oxley Act and re- lated agency regulations that became effective in 2005 include four broad categories of new rules:</w:t>
      </w:r>
    </w:p>
    <w:p>
      <w:pPr>
        <w:spacing w:after="0" w:line="292" w:lineRule="auto"/>
        <w:jc w:val="both"/>
        <w:sectPr>
          <w:pgSz w:w="8640" w:h="12960"/>
          <w:pgMar w:header="732" w:footer="0" w:top="920" w:bottom="280" w:left="340" w:right="500"/>
        </w:sectPr>
      </w:pPr>
    </w:p>
    <w:p>
      <w:pPr>
        <w:pStyle w:val="BodyText"/>
        <w:spacing w:before="8"/>
        <w:rPr>
          <w:sz w:val="19"/>
        </w:rPr>
      </w:pPr>
    </w:p>
    <w:p>
      <w:pPr>
        <w:spacing w:before="96"/>
        <w:ind w:left="473" w:right="219" w:firstLine="0"/>
        <w:jc w:val="center"/>
        <w:rPr>
          <w:rFonts w:ascii="Arial"/>
          <w:sz w:val="14"/>
        </w:rPr>
      </w:pPr>
      <w:r>
        <w:rPr>
          <w:rFonts w:ascii="Arial"/>
          <w:color w:val="231F20"/>
          <w:w w:val="105"/>
          <w:sz w:val="14"/>
        </w:rPr>
        <w:t>SPOTTED</w:t>
      </w:r>
      <w:r>
        <w:rPr>
          <w:rFonts w:ascii="Arial"/>
          <w:color w:val="231F20"/>
          <w:spacing w:val="21"/>
          <w:w w:val="105"/>
          <w:sz w:val="14"/>
        </w:rPr>
        <w:t> </w:t>
      </w:r>
      <w:r>
        <w:rPr>
          <w:rFonts w:ascii="Arial"/>
          <w:color w:val="231F20"/>
          <w:w w:val="105"/>
          <w:sz w:val="14"/>
        </w:rPr>
        <w:t>OWL</w:t>
      </w:r>
      <w:r>
        <w:rPr>
          <w:rFonts w:ascii="Arial"/>
          <w:color w:val="231F20"/>
          <w:spacing w:val="21"/>
          <w:w w:val="105"/>
          <w:sz w:val="14"/>
        </w:rPr>
        <w:t> </w:t>
      </w:r>
      <w:r>
        <w:rPr>
          <w:rFonts w:ascii="Arial"/>
          <w:color w:val="231F20"/>
          <w:w w:val="105"/>
          <w:sz w:val="14"/>
        </w:rPr>
        <w:t>ISSUE</w:t>
      </w:r>
      <w:r>
        <w:rPr>
          <w:rFonts w:ascii="Arial"/>
          <w:color w:val="231F20"/>
          <w:spacing w:val="21"/>
          <w:w w:val="105"/>
          <w:sz w:val="14"/>
        </w:rPr>
        <w:t> </w:t>
      </w:r>
      <w:r>
        <w:rPr>
          <w:rFonts w:ascii="Arial"/>
          <w:color w:val="231F20"/>
          <w:w w:val="105"/>
          <w:sz w:val="14"/>
        </w:rPr>
        <w:t>IN</w:t>
      </w:r>
      <w:r>
        <w:rPr>
          <w:rFonts w:ascii="Arial"/>
          <w:color w:val="231F20"/>
          <w:spacing w:val="21"/>
          <w:w w:val="105"/>
          <w:sz w:val="14"/>
        </w:rPr>
        <w:t> </w:t>
      </w:r>
      <w:r>
        <w:rPr>
          <w:rFonts w:ascii="Arial"/>
          <w:color w:val="231F20"/>
          <w:w w:val="105"/>
          <w:sz w:val="14"/>
        </w:rPr>
        <w:t>A</w:t>
      </w:r>
      <w:r>
        <w:rPr>
          <w:rFonts w:ascii="Arial"/>
          <w:color w:val="231F20"/>
          <w:spacing w:val="21"/>
          <w:w w:val="105"/>
          <w:sz w:val="14"/>
        </w:rPr>
        <w:t> </w:t>
      </w:r>
      <w:r>
        <w:rPr>
          <w:rFonts w:ascii="Arial"/>
          <w:color w:val="231F20"/>
          <w:w w:val="105"/>
          <w:sz w:val="14"/>
        </w:rPr>
        <w:t>STAKEHOLDER</w:t>
      </w:r>
      <w:r>
        <w:rPr>
          <w:rFonts w:ascii="Arial"/>
          <w:color w:val="231F20"/>
          <w:spacing w:val="21"/>
          <w:w w:val="105"/>
          <w:sz w:val="14"/>
        </w:rPr>
        <w:t> </w:t>
      </w:r>
      <w:r>
        <w:rPr>
          <w:rFonts w:ascii="Arial"/>
          <w:color w:val="231F20"/>
          <w:spacing w:val="-2"/>
          <w:w w:val="105"/>
          <w:sz w:val="14"/>
        </w:rPr>
        <w:t>FRAMEWORK</w:t>
      </w:r>
    </w:p>
    <w:p>
      <w:pPr>
        <w:pStyle w:val="BodyText"/>
        <w:spacing w:before="4"/>
        <w:rPr>
          <w:rFonts w:ascii="Arial"/>
          <w:sz w:val="17"/>
        </w:rPr>
      </w:pPr>
      <w:r>
        <w:rPr/>
        <w:drawing>
          <wp:anchor distT="0" distB="0" distL="0" distR="0" allowOverlap="1" layoutInCell="1" locked="0" behindDoc="0" simplePos="0" relativeHeight="87">
            <wp:simplePos x="0" y="0"/>
            <wp:positionH relativeFrom="page">
              <wp:posOffset>879332</wp:posOffset>
            </wp:positionH>
            <wp:positionV relativeFrom="paragraph">
              <wp:posOffset>142303</wp:posOffset>
            </wp:positionV>
            <wp:extent cx="3831637" cy="3523488"/>
            <wp:effectExtent l="0" t="0" r="0" b="0"/>
            <wp:wrapTopAndBottom/>
            <wp:docPr id="23" name="image13.png"/>
            <wp:cNvGraphicFramePr>
              <a:graphicFrameLocks noChangeAspect="1"/>
            </wp:cNvGraphicFramePr>
            <a:graphic>
              <a:graphicData uri="http://schemas.openxmlformats.org/drawingml/2006/picture">
                <pic:pic>
                  <pic:nvPicPr>
                    <pic:cNvPr id="24" name="image13.png"/>
                    <pic:cNvPicPr/>
                  </pic:nvPicPr>
                  <pic:blipFill>
                    <a:blip r:embed="rId29" cstate="print"/>
                    <a:stretch>
                      <a:fillRect/>
                    </a:stretch>
                  </pic:blipFill>
                  <pic:spPr>
                    <a:xfrm>
                      <a:off x="0" y="0"/>
                      <a:ext cx="3831637" cy="3523488"/>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8"/>
        <w:rPr>
          <w:rFonts w:ascii="Arial"/>
          <w:sz w:val="12"/>
        </w:rPr>
      </w:pPr>
    </w:p>
    <w:p>
      <w:pPr>
        <w:pStyle w:val="Heading6"/>
        <w:ind w:left="1260" w:right="0"/>
        <w:jc w:val="left"/>
        <w:rPr>
          <w:i/>
        </w:rPr>
      </w:pPr>
      <w:r>
        <w:rPr>
          <w:i/>
          <w:color w:val="231F20"/>
        </w:rPr>
        <w:t>Financial</w:t>
      </w:r>
      <w:r>
        <w:rPr>
          <w:i/>
          <w:color w:val="231F20"/>
          <w:spacing w:val="33"/>
        </w:rPr>
        <w:t> </w:t>
      </w:r>
      <w:r>
        <w:rPr>
          <w:i/>
          <w:color w:val="231F20"/>
        </w:rPr>
        <w:t>Accounting</w:t>
      </w:r>
      <w:r>
        <w:rPr>
          <w:i/>
          <w:color w:val="231F20"/>
          <w:spacing w:val="33"/>
        </w:rPr>
        <w:t> </w:t>
      </w:r>
      <w:r>
        <w:rPr>
          <w:i/>
          <w:color w:val="231F20"/>
          <w:spacing w:val="-2"/>
        </w:rPr>
        <w:t>Rules</w:t>
      </w:r>
    </w:p>
    <w:p>
      <w:pPr>
        <w:pStyle w:val="ListParagraph"/>
        <w:numPr>
          <w:ilvl w:val="1"/>
          <w:numId w:val="13"/>
        </w:numPr>
        <w:tabs>
          <w:tab w:pos="1445" w:val="left" w:leader="none"/>
        </w:tabs>
        <w:spacing w:line="328" w:lineRule="auto" w:before="75" w:after="0"/>
        <w:ind w:left="1445" w:right="666" w:hanging="186"/>
        <w:jc w:val="both"/>
        <w:rPr>
          <w:sz w:val="19"/>
        </w:rPr>
      </w:pPr>
      <w:r>
        <w:rPr>
          <w:color w:val="231F20"/>
          <w:w w:val="115"/>
          <w:sz w:val="19"/>
        </w:rPr>
        <w:t>Audit committee must consist solely of independent </w:t>
      </w:r>
      <w:r>
        <w:rPr>
          <w:color w:val="231F20"/>
          <w:w w:val="115"/>
          <w:sz w:val="19"/>
        </w:rPr>
        <w:t>direc-</w:t>
      </w:r>
      <w:r>
        <w:rPr>
          <w:color w:val="231F20"/>
          <w:w w:val="115"/>
          <w:sz w:val="19"/>
        </w:rPr>
        <w:t> tors and at least one financial expert.</w:t>
      </w:r>
    </w:p>
    <w:p>
      <w:pPr>
        <w:pStyle w:val="ListParagraph"/>
        <w:numPr>
          <w:ilvl w:val="1"/>
          <w:numId w:val="13"/>
        </w:numPr>
        <w:tabs>
          <w:tab w:pos="1445" w:val="left" w:leader="none"/>
        </w:tabs>
        <w:spacing w:line="328" w:lineRule="auto" w:before="2" w:after="0"/>
        <w:ind w:left="1445" w:right="665" w:hanging="186"/>
        <w:jc w:val="both"/>
        <w:rPr>
          <w:sz w:val="19"/>
        </w:rPr>
      </w:pPr>
      <w:r>
        <w:rPr>
          <w:color w:val="231F20"/>
          <w:w w:val="115"/>
          <w:sz w:val="19"/>
        </w:rPr>
        <w:t>Chief executive officers (CEOs) and chief financial officers (CFOs)</w:t>
      </w:r>
      <w:r>
        <w:rPr>
          <w:color w:val="231F20"/>
          <w:w w:val="115"/>
          <w:sz w:val="19"/>
        </w:rPr>
        <w:t> must</w:t>
      </w:r>
      <w:r>
        <w:rPr>
          <w:color w:val="231F20"/>
          <w:w w:val="115"/>
          <w:sz w:val="19"/>
        </w:rPr>
        <w:t> certify</w:t>
      </w:r>
      <w:r>
        <w:rPr>
          <w:color w:val="231F20"/>
          <w:w w:val="115"/>
          <w:sz w:val="19"/>
        </w:rPr>
        <w:t> that</w:t>
      </w:r>
      <w:r>
        <w:rPr>
          <w:color w:val="231F20"/>
          <w:w w:val="115"/>
          <w:sz w:val="19"/>
        </w:rPr>
        <w:t> their</w:t>
      </w:r>
      <w:r>
        <w:rPr>
          <w:color w:val="231F20"/>
          <w:w w:val="115"/>
          <w:sz w:val="19"/>
        </w:rPr>
        <w:t> financial</w:t>
      </w:r>
      <w:r>
        <w:rPr>
          <w:color w:val="231F20"/>
          <w:w w:val="115"/>
          <w:sz w:val="19"/>
        </w:rPr>
        <w:t> statements</w:t>
      </w:r>
      <w:r>
        <w:rPr>
          <w:color w:val="231F20"/>
          <w:w w:val="115"/>
          <w:sz w:val="19"/>
        </w:rPr>
        <w:t> fairly present the financial condition and results of the company.</w:t>
      </w:r>
    </w:p>
    <w:p>
      <w:pPr>
        <w:pStyle w:val="ListParagraph"/>
        <w:numPr>
          <w:ilvl w:val="1"/>
          <w:numId w:val="13"/>
        </w:numPr>
        <w:tabs>
          <w:tab w:pos="1445" w:val="left" w:leader="none"/>
        </w:tabs>
        <w:spacing w:line="328" w:lineRule="auto" w:before="2" w:after="0"/>
        <w:ind w:left="1445" w:right="664" w:hanging="185"/>
        <w:jc w:val="both"/>
        <w:rPr>
          <w:sz w:val="19"/>
        </w:rPr>
      </w:pPr>
      <w:r>
        <w:rPr>
          <w:color w:val="231F20"/>
          <w:w w:val="110"/>
          <w:sz w:val="19"/>
        </w:rPr>
        <w:t>The</w:t>
      </w:r>
      <w:r>
        <w:rPr>
          <w:color w:val="231F20"/>
          <w:spacing w:val="-6"/>
          <w:w w:val="110"/>
          <w:sz w:val="19"/>
        </w:rPr>
        <w:t> </w:t>
      </w:r>
      <w:r>
        <w:rPr>
          <w:color w:val="231F20"/>
          <w:w w:val="110"/>
          <w:sz w:val="19"/>
        </w:rPr>
        <w:t>SEC</w:t>
      </w:r>
      <w:r>
        <w:rPr>
          <w:color w:val="231F20"/>
          <w:spacing w:val="-6"/>
          <w:w w:val="110"/>
          <w:sz w:val="19"/>
        </w:rPr>
        <w:t> </w:t>
      </w:r>
      <w:r>
        <w:rPr>
          <w:color w:val="231F20"/>
          <w:w w:val="110"/>
          <w:sz w:val="19"/>
        </w:rPr>
        <w:t>has</w:t>
      </w:r>
      <w:r>
        <w:rPr>
          <w:color w:val="231F20"/>
          <w:spacing w:val="-6"/>
          <w:w w:val="110"/>
          <w:sz w:val="19"/>
        </w:rPr>
        <w:t> </w:t>
      </w:r>
      <w:r>
        <w:rPr>
          <w:color w:val="231F20"/>
          <w:w w:val="110"/>
          <w:sz w:val="19"/>
        </w:rPr>
        <w:t>the</w:t>
      </w:r>
      <w:r>
        <w:rPr>
          <w:color w:val="231F20"/>
          <w:spacing w:val="-6"/>
          <w:w w:val="110"/>
          <w:sz w:val="19"/>
        </w:rPr>
        <w:t> </w:t>
      </w:r>
      <w:r>
        <w:rPr>
          <w:color w:val="231F20"/>
          <w:w w:val="110"/>
          <w:sz w:val="19"/>
        </w:rPr>
        <w:t>power</w:t>
      </w:r>
      <w:r>
        <w:rPr>
          <w:color w:val="231F20"/>
          <w:spacing w:val="-6"/>
          <w:w w:val="110"/>
          <w:sz w:val="19"/>
        </w:rPr>
        <w:t> </w:t>
      </w:r>
      <w:r>
        <w:rPr>
          <w:color w:val="231F20"/>
          <w:w w:val="110"/>
          <w:sz w:val="19"/>
        </w:rPr>
        <w:t>to</w:t>
      </w:r>
      <w:r>
        <w:rPr>
          <w:color w:val="231F20"/>
          <w:spacing w:val="-6"/>
          <w:w w:val="110"/>
          <w:sz w:val="19"/>
        </w:rPr>
        <w:t> </w:t>
      </w:r>
      <w:r>
        <w:rPr>
          <w:color w:val="231F20"/>
          <w:w w:val="110"/>
          <w:sz w:val="19"/>
        </w:rPr>
        <w:t>establish</w:t>
      </w:r>
      <w:r>
        <w:rPr>
          <w:color w:val="231F20"/>
          <w:spacing w:val="-6"/>
          <w:w w:val="110"/>
          <w:sz w:val="19"/>
        </w:rPr>
        <w:t> </w:t>
      </w:r>
      <w:r>
        <w:rPr>
          <w:color w:val="231F20"/>
          <w:w w:val="110"/>
          <w:sz w:val="19"/>
        </w:rPr>
        <w:t>the</w:t>
      </w:r>
      <w:r>
        <w:rPr>
          <w:color w:val="231F20"/>
          <w:spacing w:val="-6"/>
          <w:w w:val="110"/>
          <w:sz w:val="19"/>
        </w:rPr>
        <w:t> </w:t>
      </w:r>
      <w:r>
        <w:rPr>
          <w:color w:val="231F20"/>
          <w:w w:val="110"/>
          <w:sz w:val="19"/>
        </w:rPr>
        <w:t>new</w:t>
      </w:r>
      <w:r>
        <w:rPr>
          <w:color w:val="231F20"/>
          <w:spacing w:val="-6"/>
          <w:w w:val="110"/>
          <w:sz w:val="19"/>
        </w:rPr>
        <w:t> </w:t>
      </w:r>
      <w:r>
        <w:rPr>
          <w:color w:val="231F20"/>
          <w:w w:val="110"/>
          <w:sz w:val="19"/>
        </w:rPr>
        <w:t>Public</w:t>
      </w:r>
      <w:r>
        <w:rPr>
          <w:color w:val="231F20"/>
          <w:spacing w:val="-6"/>
          <w:w w:val="110"/>
          <w:sz w:val="19"/>
        </w:rPr>
        <w:t> </w:t>
      </w:r>
      <w:r>
        <w:rPr>
          <w:color w:val="231F20"/>
          <w:w w:val="110"/>
          <w:sz w:val="19"/>
        </w:rPr>
        <w:t>Company </w:t>
      </w:r>
      <w:r>
        <w:rPr>
          <w:color w:val="231F20"/>
          <w:w w:val="115"/>
          <w:sz w:val="19"/>
        </w:rPr>
        <w:t>Accounting</w:t>
      </w:r>
      <w:r>
        <w:rPr>
          <w:color w:val="231F20"/>
          <w:w w:val="115"/>
          <w:sz w:val="19"/>
        </w:rPr>
        <w:t> Oversight</w:t>
      </w:r>
      <w:r>
        <w:rPr>
          <w:color w:val="231F20"/>
          <w:w w:val="115"/>
          <w:sz w:val="19"/>
        </w:rPr>
        <w:t> Board</w:t>
      </w:r>
      <w:r>
        <w:rPr>
          <w:color w:val="231F20"/>
          <w:w w:val="115"/>
          <w:sz w:val="19"/>
        </w:rPr>
        <w:t> to</w:t>
      </w:r>
      <w:r>
        <w:rPr>
          <w:color w:val="231F20"/>
          <w:w w:val="115"/>
          <w:sz w:val="19"/>
        </w:rPr>
        <w:t> end</w:t>
      </w:r>
      <w:r>
        <w:rPr>
          <w:color w:val="231F20"/>
          <w:w w:val="115"/>
          <w:sz w:val="19"/>
        </w:rPr>
        <w:t> failed</w:t>
      </w:r>
      <w:r>
        <w:rPr>
          <w:color w:val="231F20"/>
          <w:w w:val="115"/>
          <w:sz w:val="19"/>
        </w:rPr>
        <w:t> industry</w:t>
      </w:r>
      <w:r>
        <w:rPr>
          <w:color w:val="231F20"/>
          <w:w w:val="115"/>
          <w:sz w:val="19"/>
        </w:rPr>
        <w:t> self- </w:t>
      </w:r>
      <w:r>
        <w:rPr>
          <w:color w:val="231F20"/>
          <w:spacing w:val="-2"/>
          <w:w w:val="115"/>
          <w:sz w:val="19"/>
        </w:rPr>
        <w:t>regulation.</w:t>
      </w:r>
    </w:p>
    <w:p>
      <w:pPr>
        <w:pStyle w:val="BodyText"/>
        <w:spacing w:before="4"/>
        <w:rPr>
          <w:rFonts w:ascii="Arial"/>
          <w:sz w:val="24"/>
        </w:rPr>
      </w:pPr>
    </w:p>
    <w:p>
      <w:pPr>
        <w:pStyle w:val="Heading6"/>
        <w:spacing w:before="1"/>
        <w:ind w:left="1260" w:right="0"/>
        <w:jc w:val="left"/>
        <w:rPr>
          <w:i/>
        </w:rPr>
      </w:pPr>
      <w:r>
        <w:rPr>
          <w:i/>
          <w:color w:val="231F20"/>
        </w:rPr>
        <w:t>Internal</w:t>
      </w:r>
      <w:r>
        <w:rPr>
          <w:i/>
          <w:color w:val="231F20"/>
          <w:spacing w:val="19"/>
        </w:rPr>
        <w:t> </w:t>
      </w:r>
      <w:r>
        <w:rPr>
          <w:i/>
          <w:color w:val="231F20"/>
        </w:rPr>
        <w:t>Control</w:t>
      </w:r>
      <w:r>
        <w:rPr>
          <w:i/>
          <w:color w:val="231F20"/>
          <w:spacing w:val="20"/>
        </w:rPr>
        <w:t> </w:t>
      </w:r>
      <w:r>
        <w:rPr>
          <w:i/>
          <w:color w:val="231F20"/>
          <w:spacing w:val="-2"/>
        </w:rPr>
        <w:t>Rules</w:t>
      </w:r>
    </w:p>
    <w:p>
      <w:pPr>
        <w:pStyle w:val="ListParagraph"/>
        <w:numPr>
          <w:ilvl w:val="1"/>
          <w:numId w:val="13"/>
        </w:numPr>
        <w:tabs>
          <w:tab w:pos="1445" w:val="left" w:leader="none"/>
        </w:tabs>
        <w:spacing w:line="328" w:lineRule="auto" w:before="75" w:after="0"/>
        <w:ind w:left="1445" w:right="666" w:hanging="185"/>
        <w:jc w:val="both"/>
        <w:rPr>
          <w:sz w:val="19"/>
        </w:rPr>
      </w:pPr>
      <w:r>
        <w:rPr>
          <w:color w:val="231F20"/>
          <w:w w:val="115"/>
          <w:sz w:val="19"/>
        </w:rPr>
        <w:t>CEOs</w:t>
      </w:r>
      <w:r>
        <w:rPr>
          <w:color w:val="231F20"/>
          <w:spacing w:val="-14"/>
          <w:w w:val="115"/>
          <w:sz w:val="19"/>
        </w:rPr>
        <w:t> </w:t>
      </w:r>
      <w:r>
        <w:rPr>
          <w:color w:val="231F20"/>
          <w:w w:val="115"/>
          <w:sz w:val="19"/>
        </w:rPr>
        <w:t>and</w:t>
      </w:r>
      <w:r>
        <w:rPr>
          <w:color w:val="231F20"/>
          <w:spacing w:val="-14"/>
          <w:w w:val="115"/>
          <w:sz w:val="19"/>
        </w:rPr>
        <w:t> </w:t>
      </w:r>
      <w:r>
        <w:rPr>
          <w:color w:val="231F20"/>
          <w:w w:val="115"/>
          <w:sz w:val="19"/>
        </w:rPr>
        <w:t>CFOs</w:t>
      </w:r>
      <w:r>
        <w:rPr>
          <w:color w:val="231F20"/>
          <w:spacing w:val="-14"/>
          <w:w w:val="115"/>
          <w:sz w:val="19"/>
        </w:rPr>
        <w:t> </w:t>
      </w:r>
      <w:r>
        <w:rPr>
          <w:color w:val="231F20"/>
          <w:w w:val="115"/>
          <w:sz w:val="19"/>
        </w:rPr>
        <w:t>must</w:t>
      </w:r>
      <w:r>
        <w:rPr>
          <w:color w:val="231F20"/>
          <w:spacing w:val="-14"/>
          <w:w w:val="115"/>
          <w:sz w:val="19"/>
        </w:rPr>
        <w:t> </w:t>
      </w:r>
      <w:r>
        <w:rPr>
          <w:color w:val="231F20"/>
          <w:w w:val="115"/>
          <w:sz w:val="19"/>
        </w:rPr>
        <w:t>certify</w:t>
      </w:r>
      <w:r>
        <w:rPr>
          <w:color w:val="231F20"/>
          <w:spacing w:val="-14"/>
          <w:w w:val="115"/>
          <w:sz w:val="19"/>
        </w:rPr>
        <w:t> </w:t>
      </w:r>
      <w:r>
        <w:rPr>
          <w:color w:val="231F20"/>
          <w:w w:val="115"/>
          <w:sz w:val="19"/>
        </w:rPr>
        <w:t>the</w:t>
      </w:r>
      <w:r>
        <w:rPr>
          <w:color w:val="231F20"/>
          <w:spacing w:val="-14"/>
          <w:w w:val="115"/>
          <w:sz w:val="19"/>
        </w:rPr>
        <w:t> </w:t>
      </w:r>
      <w:r>
        <w:rPr>
          <w:color w:val="231F20"/>
          <w:w w:val="115"/>
          <w:sz w:val="19"/>
        </w:rPr>
        <w:t>working</w:t>
      </w:r>
      <w:r>
        <w:rPr>
          <w:color w:val="231F20"/>
          <w:spacing w:val="-14"/>
          <w:w w:val="115"/>
          <w:sz w:val="19"/>
        </w:rPr>
        <w:t> </w:t>
      </w:r>
      <w:r>
        <w:rPr>
          <w:color w:val="231F20"/>
          <w:w w:val="115"/>
          <w:sz w:val="19"/>
        </w:rPr>
        <w:t>system</w:t>
      </w:r>
      <w:r>
        <w:rPr>
          <w:color w:val="231F20"/>
          <w:spacing w:val="-14"/>
          <w:w w:val="115"/>
          <w:sz w:val="19"/>
        </w:rPr>
        <w:t> </w:t>
      </w:r>
      <w:r>
        <w:rPr>
          <w:color w:val="231F20"/>
          <w:w w:val="115"/>
          <w:sz w:val="19"/>
        </w:rPr>
        <w:t>of</w:t>
      </w:r>
      <w:r>
        <w:rPr>
          <w:color w:val="231F20"/>
          <w:spacing w:val="-14"/>
          <w:w w:val="115"/>
          <w:sz w:val="19"/>
        </w:rPr>
        <w:t> </w:t>
      </w:r>
      <w:r>
        <w:rPr>
          <w:color w:val="231F20"/>
          <w:w w:val="115"/>
          <w:sz w:val="19"/>
        </w:rPr>
        <w:t>internal controls over financial reporting.</w:t>
      </w:r>
    </w:p>
    <w:p>
      <w:pPr>
        <w:spacing w:after="0" w:line="328" w:lineRule="auto"/>
        <w:jc w:val="both"/>
        <w:rPr>
          <w:sz w:val="19"/>
        </w:rPr>
        <w:sectPr>
          <w:pgSz w:w="8640" w:h="12960"/>
          <w:pgMar w:header="734" w:footer="0" w:top="920" w:bottom="280" w:left="340" w:right="500"/>
        </w:sectPr>
      </w:pPr>
    </w:p>
    <w:p>
      <w:pPr>
        <w:pStyle w:val="BodyText"/>
        <w:rPr>
          <w:rFonts w:ascii="Arial"/>
          <w:sz w:val="19"/>
        </w:rPr>
      </w:pPr>
    </w:p>
    <w:p>
      <w:pPr>
        <w:pStyle w:val="ListParagraph"/>
        <w:numPr>
          <w:ilvl w:val="0"/>
          <w:numId w:val="13"/>
        </w:numPr>
        <w:tabs>
          <w:tab w:pos="1356" w:val="left" w:leader="none"/>
        </w:tabs>
        <w:spacing w:line="328" w:lineRule="auto" w:before="95" w:after="0"/>
        <w:ind w:left="1355" w:right="755" w:hanging="185"/>
        <w:jc w:val="both"/>
        <w:rPr>
          <w:sz w:val="19"/>
        </w:rPr>
      </w:pPr>
      <w:r>
        <w:rPr>
          <w:color w:val="231F20"/>
          <w:w w:val="115"/>
          <w:sz w:val="19"/>
        </w:rPr>
        <w:t>Outside</w:t>
      </w:r>
      <w:r>
        <w:rPr>
          <w:color w:val="231F20"/>
          <w:w w:val="115"/>
          <w:sz w:val="19"/>
        </w:rPr>
        <w:t> auditors</w:t>
      </w:r>
      <w:r>
        <w:rPr>
          <w:color w:val="231F20"/>
          <w:w w:val="115"/>
          <w:sz w:val="19"/>
        </w:rPr>
        <w:t> must</w:t>
      </w:r>
      <w:r>
        <w:rPr>
          <w:color w:val="231F20"/>
          <w:w w:val="115"/>
          <w:sz w:val="19"/>
        </w:rPr>
        <w:t> attest</w:t>
      </w:r>
      <w:r>
        <w:rPr>
          <w:color w:val="231F20"/>
          <w:w w:val="115"/>
          <w:sz w:val="19"/>
        </w:rPr>
        <w:t> to</w:t>
      </w:r>
      <w:r>
        <w:rPr>
          <w:color w:val="231F20"/>
          <w:w w:val="115"/>
          <w:sz w:val="19"/>
        </w:rPr>
        <w:t> and</w:t>
      </w:r>
      <w:r>
        <w:rPr>
          <w:color w:val="231F20"/>
          <w:w w:val="115"/>
          <w:sz w:val="19"/>
        </w:rPr>
        <w:t> report</w:t>
      </w:r>
      <w:r>
        <w:rPr>
          <w:color w:val="231F20"/>
          <w:w w:val="115"/>
          <w:sz w:val="19"/>
        </w:rPr>
        <w:t> on</w:t>
      </w:r>
      <w:r>
        <w:rPr>
          <w:color w:val="231F20"/>
          <w:w w:val="115"/>
          <w:sz w:val="19"/>
        </w:rPr>
        <w:t> manage- ment’s evaluation of the strength of its system of internal </w:t>
      </w:r>
      <w:r>
        <w:rPr>
          <w:color w:val="231F20"/>
          <w:spacing w:val="-2"/>
          <w:w w:val="115"/>
          <w:sz w:val="19"/>
        </w:rPr>
        <w:t>controls.</w:t>
      </w:r>
    </w:p>
    <w:p>
      <w:pPr>
        <w:pStyle w:val="BodyText"/>
        <w:spacing w:before="5"/>
        <w:rPr>
          <w:rFonts w:ascii="Arial"/>
          <w:sz w:val="24"/>
        </w:rPr>
      </w:pPr>
    </w:p>
    <w:p>
      <w:pPr>
        <w:pStyle w:val="Heading6"/>
        <w:ind w:left="1170" w:right="0"/>
        <w:jc w:val="left"/>
        <w:rPr>
          <w:i/>
        </w:rPr>
      </w:pPr>
      <w:r>
        <w:rPr>
          <w:i/>
          <w:color w:val="231F20"/>
          <w:w w:val="105"/>
        </w:rPr>
        <w:t>Executive</w:t>
      </w:r>
      <w:r>
        <w:rPr>
          <w:i/>
          <w:color w:val="231F20"/>
          <w:spacing w:val="6"/>
          <w:w w:val="105"/>
        </w:rPr>
        <w:t> </w:t>
      </w:r>
      <w:r>
        <w:rPr>
          <w:i/>
          <w:color w:val="231F20"/>
          <w:w w:val="105"/>
        </w:rPr>
        <w:t>Ethical</w:t>
      </w:r>
      <w:r>
        <w:rPr>
          <w:i/>
          <w:color w:val="231F20"/>
          <w:spacing w:val="6"/>
          <w:w w:val="105"/>
        </w:rPr>
        <w:t> </w:t>
      </w:r>
      <w:r>
        <w:rPr>
          <w:i/>
          <w:color w:val="231F20"/>
          <w:w w:val="105"/>
        </w:rPr>
        <w:t>Conduct</w:t>
      </w:r>
      <w:r>
        <w:rPr>
          <w:i/>
          <w:color w:val="231F20"/>
          <w:spacing w:val="7"/>
          <w:w w:val="105"/>
        </w:rPr>
        <w:t> </w:t>
      </w:r>
      <w:r>
        <w:rPr>
          <w:i/>
          <w:color w:val="231F20"/>
          <w:spacing w:val="-2"/>
          <w:w w:val="105"/>
        </w:rPr>
        <w:t>Rules</w:t>
      </w:r>
    </w:p>
    <w:p>
      <w:pPr>
        <w:pStyle w:val="ListParagraph"/>
        <w:numPr>
          <w:ilvl w:val="0"/>
          <w:numId w:val="13"/>
        </w:numPr>
        <w:tabs>
          <w:tab w:pos="1356" w:val="left" w:leader="none"/>
        </w:tabs>
        <w:spacing w:line="328" w:lineRule="auto" w:before="75" w:after="0"/>
        <w:ind w:left="1355" w:right="756" w:hanging="185"/>
        <w:jc w:val="both"/>
        <w:rPr>
          <w:sz w:val="19"/>
        </w:rPr>
      </w:pPr>
      <w:r>
        <w:rPr>
          <w:color w:val="231F20"/>
          <w:w w:val="115"/>
          <w:sz w:val="19"/>
        </w:rPr>
        <w:t>Public companies must adopt a code of ethical conduct </w:t>
      </w:r>
      <w:r>
        <w:rPr>
          <w:color w:val="231F20"/>
          <w:w w:val="115"/>
          <w:sz w:val="19"/>
        </w:rPr>
        <w:t>for</w:t>
      </w:r>
      <w:r>
        <w:rPr>
          <w:color w:val="231F20"/>
          <w:w w:val="115"/>
          <w:sz w:val="19"/>
        </w:rPr>
        <w:t> their most senior executive and senior financial officers.</w:t>
      </w:r>
    </w:p>
    <w:p>
      <w:pPr>
        <w:pStyle w:val="ListParagraph"/>
        <w:numPr>
          <w:ilvl w:val="0"/>
          <w:numId w:val="13"/>
        </w:numPr>
        <w:tabs>
          <w:tab w:pos="1356" w:val="left" w:leader="none"/>
        </w:tabs>
        <w:spacing w:line="328" w:lineRule="auto" w:before="2" w:after="0"/>
        <w:ind w:left="1355" w:right="757" w:hanging="186"/>
        <w:jc w:val="both"/>
        <w:rPr>
          <w:sz w:val="19"/>
        </w:rPr>
      </w:pPr>
      <w:r>
        <w:rPr>
          <w:color w:val="231F20"/>
          <w:w w:val="115"/>
          <w:sz w:val="19"/>
        </w:rPr>
        <w:t>Public</w:t>
      </w:r>
      <w:r>
        <w:rPr>
          <w:color w:val="231F20"/>
          <w:w w:val="115"/>
          <w:sz w:val="19"/>
        </w:rPr>
        <w:t> companies</w:t>
      </w:r>
      <w:r>
        <w:rPr>
          <w:color w:val="231F20"/>
          <w:w w:val="115"/>
          <w:sz w:val="19"/>
        </w:rPr>
        <w:t> cannot</w:t>
      </w:r>
      <w:r>
        <w:rPr>
          <w:color w:val="231F20"/>
          <w:w w:val="115"/>
          <w:sz w:val="19"/>
        </w:rPr>
        <w:t> make</w:t>
      </w:r>
      <w:r>
        <w:rPr>
          <w:color w:val="231F20"/>
          <w:w w:val="115"/>
          <w:sz w:val="19"/>
        </w:rPr>
        <w:t> loans</w:t>
      </w:r>
      <w:r>
        <w:rPr>
          <w:color w:val="231F20"/>
          <w:w w:val="115"/>
          <w:sz w:val="19"/>
        </w:rPr>
        <w:t> to</w:t>
      </w:r>
      <w:r>
        <w:rPr>
          <w:color w:val="231F20"/>
          <w:w w:val="115"/>
          <w:sz w:val="19"/>
        </w:rPr>
        <w:t> their</w:t>
      </w:r>
      <w:r>
        <w:rPr>
          <w:color w:val="231F20"/>
          <w:w w:val="115"/>
          <w:sz w:val="19"/>
        </w:rPr>
        <w:t> executive officers or directors.</w:t>
      </w:r>
    </w:p>
    <w:p>
      <w:pPr>
        <w:pStyle w:val="ListParagraph"/>
        <w:numPr>
          <w:ilvl w:val="0"/>
          <w:numId w:val="13"/>
        </w:numPr>
        <w:tabs>
          <w:tab w:pos="1356" w:val="left" w:leader="none"/>
        </w:tabs>
        <w:spacing w:line="328" w:lineRule="auto" w:before="1" w:after="0"/>
        <w:ind w:left="1355" w:right="758" w:hanging="186"/>
        <w:jc w:val="both"/>
        <w:rPr>
          <w:sz w:val="19"/>
        </w:rPr>
      </w:pPr>
      <w:r>
        <w:rPr>
          <w:color w:val="231F20"/>
          <w:w w:val="115"/>
          <w:sz w:val="19"/>
        </w:rPr>
        <w:t>CEOs</w:t>
      </w:r>
      <w:r>
        <w:rPr>
          <w:color w:val="231F20"/>
          <w:spacing w:val="-5"/>
          <w:w w:val="115"/>
          <w:sz w:val="19"/>
        </w:rPr>
        <w:t> </w:t>
      </w:r>
      <w:r>
        <w:rPr>
          <w:color w:val="231F20"/>
          <w:w w:val="115"/>
          <w:sz w:val="19"/>
        </w:rPr>
        <w:t>and</w:t>
      </w:r>
      <w:r>
        <w:rPr>
          <w:color w:val="231F20"/>
          <w:spacing w:val="-5"/>
          <w:w w:val="115"/>
          <w:sz w:val="19"/>
        </w:rPr>
        <w:t> </w:t>
      </w:r>
      <w:r>
        <w:rPr>
          <w:color w:val="231F20"/>
          <w:w w:val="115"/>
          <w:sz w:val="19"/>
        </w:rPr>
        <w:t>CFOs</w:t>
      </w:r>
      <w:r>
        <w:rPr>
          <w:color w:val="231F20"/>
          <w:spacing w:val="-5"/>
          <w:w w:val="115"/>
          <w:sz w:val="19"/>
        </w:rPr>
        <w:t> </w:t>
      </w:r>
      <w:r>
        <w:rPr>
          <w:color w:val="231F20"/>
          <w:w w:val="115"/>
          <w:sz w:val="19"/>
        </w:rPr>
        <w:t>can</w:t>
      </w:r>
      <w:r>
        <w:rPr>
          <w:color w:val="231F20"/>
          <w:spacing w:val="-5"/>
          <w:w w:val="115"/>
          <w:sz w:val="19"/>
        </w:rPr>
        <w:t> </w:t>
      </w:r>
      <w:r>
        <w:rPr>
          <w:color w:val="231F20"/>
          <w:w w:val="115"/>
          <w:sz w:val="19"/>
        </w:rPr>
        <w:t>be</w:t>
      </w:r>
      <w:r>
        <w:rPr>
          <w:color w:val="231F20"/>
          <w:spacing w:val="-5"/>
          <w:w w:val="115"/>
          <w:sz w:val="19"/>
        </w:rPr>
        <w:t> </w:t>
      </w:r>
      <w:r>
        <w:rPr>
          <w:color w:val="231F20"/>
          <w:w w:val="115"/>
          <w:sz w:val="19"/>
        </w:rPr>
        <w:t>required</w:t>
      </w:r>
      <w:r>
        <w:rPr>
          <w:color w:val="231F20"/>
          <w:spacing w:val="-5"/>
          <w:w w:val="115"/>
          <w:sz w:val="19"/>
        </w:rPr>
        <w:t> </w:t>
      </w:r>
      <w:r>
        <w:rPr>
          <w:color w:val="231F20"/>
          <w:w w:val="115"/>
          <w:sz w:val="19"/>
        </w:rPr>
        <w:t>to</w:t>
      </w:r>
      <w:r>
        <w:rPr>
          <w:color w:val="231F20"/>
          <w:spacing w:val="-5"/>
          <w:w w:val="115"/>
          <w:sz w:val="19"/>
        </w:rPr>
        <w:t> </w:t>
      </w:r>
      <w:r>
        <w:rPr>
          <w:color w:val="231F20"/>
          <w:w w:val="115"/>
          <w:sz w:val="19"/>
        </w:rPr>
        <w:t>return</w:t>
      </w:r>
      <w:r>
        <w:rPr>
          <w:color w:val="231F20"/>
          <w:spacing w:val="-5"/>
          <w:w w:val="115"/>
          <w:sz w:val="19"/>
        </w:rPr>
        <w:t> </w:t>
      </w:r>
      <w:r>
        <w:rPr>
          <w:color w:val="231F20"/>
          <w:w w:val="115"/>
          <w:sz w:val="19"/>
        </w:rPr>
        <w:t>compensation</w:t>
      </w:r>
      <w:r>
        <w:rPr>
          <w:color w:val="231F20"/>
          <w:spacing w:val="-5"/>
          <w:w w:val="115"/>
          <w:sz w:val="19"/>
        </w:rPr>
        <w:t> </w:t>
      </w:r>
      <w:r>
        <w:rPr>
          <w:color w:val="231F20"/>
          <w:w w:val="115"/>
          <w:sz w:val="19"/>
        </w:rPr>
        <w:t>if financial</w:t>
      </w:r>
      <w:r>
        <w:rPr>
          <w:color w:val="231F20"/>
          <w:spacing w:val="-1"/>
          <w:w w:val="115"/>
          <w:sz w:val="19"/>
        </w:rPr>
        <w:t> </w:t>
      </w:r>
      <w:r>
        <w:rPr>
          <w:color w:val="231F20"/>
          <w:w w:val="115"/>
          <w:sz w:val="19"/>
        </w:rPr>
        <w:t>statements</w:t>
      </w:r>
      <w:r>
        <w:rPr>
          <w:color w:val="231F20"/>
          <w:spacing w:val="-1"/>
          <w:w w:val="115"/>
          <w:sz w:val="19"/>
        </w:rPr>
        <w:t> </w:t>
      </w:r>
      <w:r>
        <w:rPr>
          <w:color w:val="231F20"/>
          <w:w w:val="115"/>
          <w:sz w:val="19"/>
        </w:rPr>
        <w:t>are</w:t>
      </w:r>
      <w:r>
        <w:rPr>
          <w:color w:val="231F20"/>
          <w:spacing w:val="-1"/>
          <w:w w:val="115"/>
          <w:sz w:val="19"/>
        </w:rPr>
        <w:t> </w:t>
      </w:r>
      <w:r>
        <w:rPr>
          <w:color w:val="231F20"/>
          <w:w w:val="115"/>
          <w:sz w:val="19"/>
        </w:rPr>
        <w:t>restated</w:t>
      </w:r>
      <w:r>
        <w:rPr>
          <w:color w:val="231F20"/>
          <w:spacing w:val="-1"/>
          <w:w w:val="115"/>
          <w:sz w:val="19"/>
        </w:rPr>
        <w:t> </w:t>
      </w:r>
      <w:r>
        <w:rPr>
          <w:color w:val="231F20"/>
          <w:w w:val="115"/>
          <w:sz w:val="19"/>
        </w:rPr>
        <w:t>due</w:t>
      </w:r>
      <w:r>
        <w:rPr>
          <w:color w:val="231F20"/>
          <w:spacing w:val="-1"/>
          <w:w w:val="115"/>
          <w:sz w:val="19"/>
        </w:rPr>
        <w:t> </w:t>
      </w:r>
      <w:r>
        <w:rPr>
          <w:color w:val="231F20"/>
          <w:w w:val="115"/>
          <w:sz w:val="19"/>
        </w:rPr>
        <w:t>to</w:t>
      </w:r>
      <w:r>
        <w:rPr>
          <w:color w:val="231F20"/>
          <w:spacing w:val="-1"/>
          <w:w w:val="115"/>
          <w:sz w:val="19"/>
        </w:rPr>
        <w:t> </w:t>
      </w:r>
      <w:r>
        <w:rPr>
          <w:color w:val="231F20"/>
          <w:w w:val="115"/>
          <w:sz w:val="19"/>
        </w:rPr>
        <w:t>“material</w:t>
      </w:r>
      <w:r>
        <w:rPr>
          <w:color w:val="231F20"/>
          <w:spacing w:val="-1"/>
          <w:w w:val="115"/>
          <w:sz w:val="19"/>
        </w:rPr>
        <w:t> </w:t>
      </w:r>
      <w:r>
        <w:rPr>
          <w:color w:val="231F20"/>
          <w:w w:val="115"/>
          <w:sz w:val="19"/>
        </w:rPr>
        <w:t>noncom- pliance” with reporting requirements.</w:t>
      </w:r>
    </w:p>
    <w:p>
      <w:pPr>
        <w:pStyle w:val="ListParagraph"/>
        <w:numPr>
          <w:ilvl w:val="0"/>
          <w:numId w:val="13"/>
        </w:numPr>
        <w:tabs>
          <w:tab w:pos="1353" w:val="left" w:leader="none"/>
        </w:tabs>
        <w:spacing w:line="328" w:lineRule="auto" w:before="2" w:after="0"/>
        <w:ind w:left="1352" w:right="759" w:hanging="183"/>
        <w:jc w:val="both"/>
        <w:rPr>
          <w:sz w:val="19"/>
        </w:rPr>
      </w:pPr>
      <w:r>
        <w:rPr>
          <w:color w:val="231F20"/>
          <w:w w:val="115"/>
          <w:sz w:val="19"/>
        </w:rPr>
        <w:t>Officers,</w:t>
      </w:r>
      <w:r>
        <w:rPr>
          <w:color w:val="231F20"/>
          <w:w w:val="115"/>
          <w:sz w:val="19"/>
        </w:rPr>
        <w:t> directors,</w:t>
      </w:r>
      <w:r>
        <w:rPr>
          <w:color w:val="231F20"/>
          <w:w w:val="115"/>
          <w:sz w:val="19"/>
        </w:rPr>
        <w:t> and</w:t>
      </w:r>
      <w:r>
        <w:rPr>
          <w:color w:val="231F20"/>
          <w:w w:val="115"/>
          <w:sz w:val="19"/>
        </w:rPr>
        <w:t> other</w:t>
      </w:r>
      <w:r>
        <w:rPr>
          <w:color w:val="231F20"/>
          <w:w w:val="115"/>
          <w:sz w:val="19"/>
        </w:rPr>
        <w:t> “insiders”</w:t>
      </w:r>
      <w:r>
        <w:rPr>
          <w:color w:val="231F20"/>
          <w:w w:val="115"/>
          <w:sz w:val="19"/>
        </w:rPr>
        <w:t> are</w:t>
      </w:r>
      <w:r>
        <w:rPr>
          <w:color w:val="231F20"/>
          <w:w w:val="115"/>
          <w:sz w:val="19"/>
        </w:rPr>
        <w:t> prohibited</w:t>
      </w:r>
      <w:r>
        <w:rPr>
          <w:color w:val="231F20"/>
          <w:w w:val="115"/>
          <w:sz w:val="19"/>
        </w:rPr>
        <w:t> </w:t>
      </w:r>
      <w:r>
        <w:rPr>
          <w:color w:val="231F20"/>
          <w:w w:val="115"/>
          <w:sz w:val="19"/>
        </w:rPr>
        <w:t>from</w:t>
      </w:r>
      <w:r>
        <w:rPr>
          <w:color w:val="231F20"/>
          <w:w w:val="115"/>
          <w:sz w:val="19"/>
        </w:rPr>
        <w:t> </w:t>
      </w:r>
      <w:r>
        <w:rPr>
          <w:color w:val="231F20"/>
          <w:spacing w:val="-2"/>
          <w:w w:val="115"/>
          <w:sz w:val="19"/>
        </w:rPr>
        <w:t>trading</w:t>
      </w:r>
      <w:r>
        <w:rPr>
          <w:color w:val="231F20"/>
          <w:spacing w:val="-19"/>
          <w:w w:val="115"/>
          <w:sz w:val="19"/>
        </w:rPr>
        <w:t> </w:t>
      </w:r>
      <w:r>
        <w:rPr>
          <w:color w:val="231F20"/>
          <w:spacing w:val="-2"/>
          <w:w w:val="115"/>
          <w:sz w:val="19"/>
        </w:rPr>
        <w:t>company</w:t>
      </w:r>
      <w:r>
        <w:rPr>
          <w:color w:val="231F20"/>
          <w:spacing w:val="-19"/>
          <w:w w:val="115"/>
          <w:sz w:val="19"/>
        </w:rPr>
        <w:t> </w:t>
      </w:r>
      <w:r>
        <w:rPr>
          <w:color w:val="231F20"/>
          <w:spacing w:val="-2"/>
          <w:w w:val="115"/>
          <w:sz w:val="19"/>
        </w:rPr>
        <w:t>stock</w:t>
      </w:r>
      <w:r>
        <w:rPr>
          <w:color w:val="231F20"/>
          <w:spacing w:val="-19"/>
          <w:w w:val="115"/>
          <w:sz w:val="19"/>
        </w:rPr>
        <w:t> </w:t>
      </w:r>
      <w:r>
        <w:rPr>
          <w:color w:val="231F20"/>
          <w:spacing w:val="-2"/>
          <w:w w:val="115"/>
          <w:sz w:val="19"/>
        </w:rPr>
        <w:t>during</w:t>
      </w:r>
      <w:r>
        <w:rPr>
          <w:color w:val="231F20"/>
          <w:spacing w:val="-19"/>
          <w:w w:val="115"/>
          <w:sz w:val="19"/>
        </w:rPr>
        <w:t> </w:t>
      </w:r>
      <w:r>
        <w:rPr>
          <w:color w:val="231F20"/>
          <w:spacing w:val="-2"/>
          <w:w w:val="115"/>
          <w:sz w:val="19"/>
        </w:rPr>
        <w:t>pension-fund</w:t>
      </w:r>
      <w:r>
        <w:rPr>
          <w:color w:val="231F20"/>
          <w:spacing w:val="-19"/>
          <w:w w:val="115"/>
          <w:sz w:val="19"/>
        </w:rPr>
        <w:t> </w:t>
      </w:r>
      <w:r>
        <w:rPr>
          <w:color w:val="231F20"/>
          <w:spacing w:val="-2"/>
          <w:w w:val="115"/>
          <w:sz w:val="19"/>
        </w:rPr>
        <w:t>blackout</w:t>
      </w:r>
      <w:r>
        <w:rPr>
          <w:color w:val="231F20"/>
          <w:spacing w:val="-19"/>
          <w:w w:val="115"/>
          <w:sz w:val="19"/>
        </w:rPr>
        <w:t> </w:t>
      </w:r>
      <w:r>
        <w:rPr>
          <w:color w:val="231F20"/>
          <w:spacing w:val="-2"/>
          <w:w w:val="115"/>
          <w:sz w:val="19"/>
        </w:rPr>
        <w:t>periods.</w:t>
      </w:r>
    </w:p>
    <w:p>
      <w:pPr>
        <w:pStyle w:val="ListParagraph"/>
        <w:numPr>
          <w:ilvl w:val="0"/>
          <w:numId w:val="13"/>
        </w:numPr>
        <w:tabs>
          <w:tab w:pos="1356" w:val="left" w:leader="none"/>
        </w:tabs>
        <w:spacing w:line="328" w:lineRule="auto" w:before="1" w:after="0"/>
        <w:ind w:left="1355" w:right="754" w:hanging="186"/>
        <w:jc w:val="both"/>
        <w:rPr>
          <w:sz w:val="19"/>
        </w:rPr>
      </w:pPr>
      <w:r>
        <w:rPr>
          <w:color w:val="231F20"/>
          <w:w w:val="115"/>
          <w:sz w:val="19"/>
        </w:rPr>
        <w:t>New</w:t>
      </w:r>
      <w:r>
        <w:rPr>
          <w:color w:val="231F20"/>
          <w:w w:val="115"/>
          <w:sz w:val="19"/>
        </w:rPr>
        <w:t> protection</w:t>
      </w:r>
      <w:r>
        <w:rPr>
          <w:color w:val="231F20"/>
          <w:w w:val="115"/>
          <w:sz w:val="19"/>
        </w:rPr>
        <w:t> from</w:t>
      </w:r>
      <w:r>
        <w:rPr>
          <w:color w:val="231F20"/>
          <w:w w:val="115"/>
          <w:sz w:val="19"/>
        </w:rPr>
        <w:t> executive</w:t>
      </w:r>
      <w:r>
        <w:rPr>
          <w:color w:val="231F20"/>
          <w:w w:val="115"/>
          <w:sz w:val="19"/>
        </w:rPr>
        <w:t> retribution</w:t>
      </w:r>
      <w:r>
        <w:rPr>
          <w:color w:val="231F20"/>
          <w:w w:val="115"/>
          <w:sz w:val="19"/>
        </w:rPr>
        <w:t> for</w:t>
      </w:r>
      <w:r>
        <w:rPr>
          <w:color w:val="231F20"/>
          <w:w w:val="115"/>
          <w:sz w:val="19"/>
        </w:rPr>
        <w:t> whistle- blowers on corporate misdeeds.</w:t>
      </w:r>
    </w:p>
    <w:p>
      <w:pPr>
        <w:pStyle w:val="BodyText"/>
        <w:spacing w:before="4"/>
        <w:rPr>
          <w:rFonts w:ascii="Arial"/>
          <w:sz w:val="24"/>
        </w:rPr>
      </w:pPr>
    </w:p>
    <w:p>
      <w:pPr>
        <w:pStyle w:val="Heading6"/>
        <w:ind w:left="1170" w:right="0"/>
        <w:jc w:val="left"/>
        <w:rPr>
          <w:i/>
        </w:rPr>
      </w:pPr>
      <w:r>
        <w:rPr>
          <w:i/>
          <w:color w:val="231F20"/>
        </w:rPr>
        <w:t>Ethical</w:t>
      </w:r>
      <w:r>
        <w:rPr>
          <w:i/>
          <w:color w:val="231F20"/>
          <w:spacing w:val="26"/>
        </w:rPr>
        <w:t> </w:t>
      </w:r>
      <w:r>
        <w:rPr>
          <w:i/>
          <w:color w:val="231F20"/>
        </w:rPr>
        <w:t>Conduct</w:t>
      </w:r>
      <w:r>
        <w:rPr>
          <w:i/>
          <w:color w:val="231F20"/>
          <w:spacing w:val="26"/>
        </w:rPr>
        <w:t> </w:t>
      </w:r>
      <w:r>
        <w:rPr>
          <w:i/>
          <w:color w:val="231F20"/>
        </w:rPr>
        <w:t>Rules</w:t>
      </w:r>
      <w:r>
        <w:rPr>
          <w:i/>
          <w:color w:val="231F20"/>
          <w:spacing w:val="26"/>
        </w:rPr>
        <w:t> </w:t>
      </w:r>
      <w:r>
        <w:rPr>
          <w:i/>
          <w:color w:val="231F20"/>
        </w:rPr>
        <w:t>for</w:t>
      </w:r>
      <w:r>
        <w:rPr>
          <w:i/>
          <w:color w:val="231F20"/>
          <w:spacing w:val="26"/>
        </w:rPr>
        <w:t> </w:t>
      </w:r>
      <w:r>
        <w:rPr>
          <w:i/>
          <w:color w:val="231F20"/>
        </w:rPr>
        <w:t>Related</w:t>
      </w:r>
      <w:r>
        <w:rPr>
          <w:i/>
          <w:color w:val="231F20"/>
          <w:spacing w:val="26"/>
        </w:rPr>
        <w:t> </w:t>
      </w:r>
      <w:r>
        <w:rPr>
          <w:i/>
          <w:color w:val="231F20"/>
          <w:spacing w:val="-2"/>
        </w:rPr>
        <w:t>Parties</w:t>
      </w:r>
    </w:p>
    <w:p>
      <w:pPr>
        <w:pStyle w:val="ListParagraph"/>
        <w:numPr>
          <w:ilvl w:val="0"/>
          <w:numId w:val="13"/>
        </w:numPr>
        <w:tabs>
          <w:tab w:pos="1356" w:val="left" w:leader="none"/>
        </w:tabs>
        <w:spacing w:line="240" w:lineRule="auto" w:before="76" w:after="0"/>
        <w:ind w:left="1355" w:right="0" w:hanging="186"/>
        <w:jc w:val="left"/>
        <w:rPr>
          <w:sz w:val="19"/>
        </w:rPr>
      </w:pPr>
      <w:r>
        <w:rPr>
          <w:color w:val="231F20"/>
          <w:w w:val="110"/>
          <w:sz w:val="19"/>
        </w:rPr>
        <w:t>New</w:t>
      </w:r>
      <w:r>
        <w:rPr>
          <w:color w:val="231F20"/>
          <w:spacing w:val="10"/>
          <w:w w:val="110"/>
          <w:sz w:val="19"/>
        </w:rPr>
        <w:t> </w:t>
      </w:r>
      <w:r>
        <w:rPr>
          <w:color w:val="231F20"/>
          <w:w w:val="110"/>
          <w:sz w:val="19"/>
        </w:rPr>
        <w:t>professional</w:t>
      </w:r>
      <w:r>
        <w:rPr>
          <w:color w:val="231F20"/>
          <w:spacing w:val="10"/>
          <w:w w:val="110"/>
          <w:sz w:val="19"/>
        </w:rPr>
        <w:t> </w:t>
      </w:r>
      <w:r>
        <w:rPr>
          <w:color w:val="231F20"/>
          <w:w w:val="110"/>
          <w:sz w:val="19"/>
        </w:rPr>
        <w:t>responsibilities</w:t>
      </w:r>
      <w:r>
        <w:rPr>
          <w:color w:val="231F20"/>
          <w:spacing w:val="11"/>
          <w:w w:val="110"/>
          <w:sz w:val="19"/>
        </w:rPr>
        <w:t> </w:t>
      </w:r>
      <w:r>
        <w:rPr>
          <w:color w:val="231F20"/>
          <w:w w:val="110"/>
          <w:sz w:val="19"/>
        </w:rPr>
        <w:t>for</w:t>
      </w:r>
      <w:r>
        <w:rPr>
          <w:color w:val="231F20"/>
          <w:spacing w:val="10"/>
          <w:w w:val="110"/>
          <w:sz w:val="19"/>
        </w:rPr>
        <w:t> </w:t>
      </w:r>
      <w:r>
        <w:rPr>
          <w:color w:val="231F20"/>
          <w:spacing w:val="-2"/>
          <w:w w:val="110"/>
          <w:sz w:val="19"/>
        </w:rPr>
        <w:t>lawyers.</w:t>
      </w:r>
    </w:p>
    <w:p>
      <w:pPr>
        <w:pStyle w:val="ListParagraph"/>
        <w:numPr>
          <w:ilvl w:val="0"/>
          <w:numId w:val="13"/>
        </w:numPr>
        <w:tabs>
          <w:tab w:pos="1356" w:val="left" w:leader="none"/>
        </w:tabs>
        <w:spacing w:line="240" w:lineRule="auto" w:before="81" w:after="0"/>
        <w:ind w:left="1355" w:right="0" w:hanging="186"/>
        <w:jc w:val="left"/>
        <w:rPr>
          <w:sz w:val="19"/>
        </w:rPr>
      </w:pPr>
      <w:r>
        <w:rPr>
          <w:color w:val="231F20"/>
          <w:w w:val="115"/>
          <w:sz w:val="19"/>
        </w:rPr>
        <w:t>New</w:t>
      </w:r>
      <w:r>
        <w:rPr>
          <w:color w:val="231F20"/>
          <w:spacing w:val="-12"/>
          <w:w w:val="115"/>
          <w:sz w:val="19"/>
        </w:rPr>
        <w:t> </w:t>
      </w:r>
      <w:r>
        <w:rPr>
          <w:color w:val="231F20"/>
          <w:w w:val="115"/>
          <w:sz w:val="19"/>
        </w:rPr>
        <w:t>conflict-of-interest</w:t>
      </w:r>
      <w:r>
        <w:rPr>
          <w:color w:val="231F20"/>
          <w:spacing w:val="-11"/>
          <w:w w:val="115"/>
          <w:sz w:val="19"/>
        </w:rPr>
        <w:t> </w:t>
      </w:r>
      <w:r>
        <w:rPr>
          <w:color w:val="231F20"/>
          <w:w w:val="115"/>
          <w:sz w:val="19"/>
        </w:rPr>
        <w:t>rules</w:t>
      </w:r>
      <w:r>
        <w:rPr>
          <w:color w:val="231F20"/>
          <w:spacing w:val="-11"/>
          <w:w w:val="115"/>
          <w:sz w:val="19"/>
        </w:rPr>
        <w:t> </w:t>
      </w:r>
      <w:r>
        <w:rPr>
          <w:color w:val="231F20"/>
          <w:w w:val="115"/>
          <w:sz w:val="19"/>
        </w:rPr>
        <w:t>for</w:t>
      </w:r>
      <w:r>
        <w:rPr>
          <w:color w:val="231F20"/>
          <w:spacing w:val="-11"/>
          <w:w w:val="115"/>
          <w:sz w:val="19"/>
        </w:rPr>
        <w:t> </w:t>
      </w:r>
      <w:r>
        <w:rPr>
          <w:color w:val="231F20"/>
          <w:w w:val="115"/>
          <w:sz w:val="19"/>
        </w:rPr>
        <w:t>financial</w:t>
      </w:r>
      <w:r>
        <w:rPr>
          <w:color w:val="231F20"/>
          <w:spacing w:val="-11"/>
          <w:w w:val="115"/>
          <w:sz w:val="19"/>
        </w:rPr>
        <w:t> </w:t>
      </w:r>
      <w:r>
        <w:rPr>
          <w:color w:val="231F20"/>
          <w:spacing w:val="-2"/>
          <w:w w:val="115"/>
          <w:sz w:val="19"/>
        </w:rPr>
        <w:t>analysts.</w:t>
      </w:r>
    </w:p>
    <w:p>
      <w:pPr>
        <w:pStyle w:val="BodyText"/>
        <w:rPr>
          <w:rFonts w:ascii="Arial"/>
          <w:sz w:val="20"/>
        </w:rPr>
      </w:pPr>
    </w:p>
    <w:p>
      <w:pPr>
        <w:pStyle w:val="BodyText"/>
        <w:spacing w:line="292" w:lineRule="auto" w:before="130"/>
        <w:ind w:left="830" w:right="753" w:firstLine="340"/>
        <w:jc w:val="right"/>
      </w:pPr>
      <w:r>
        <w:rPr>
          <w:color w:val="231F20"/>
        </w:rPr>
        <w:t>In</w:t>
      </w:r>
      <w:r>
        <w:rPr>
          <w:color w:val="231F20"/>
          <w:spacing w:val="33"/>
        </w:rPr>
        <w:t> </w:t>
      </w:r>
      <w:r>
        <w:rPr>
          <w:color w:val="231F20"/>
        </w:rPr>
        <w:t>addition</w:t>
      </w:r>
      <w:r>
        <w:rPr>
          <w:color w:val="231F20"/>
          <w:spacing w:val="33"/>
        </w:rPr>
        <w:t> </w:t>
      </w:r>
      <w:r>
        <w:rPr>
          <w:color w:val="231F20"/>
        </w:rPr>
        <w:t>to</w:t>
      </w:r>
      <w:r>
        <w:rPr>
          <w:color w:val="231F20"/>
          <w:spacing w:val="33"/>
        </w:rPr>
        <w:t> </w:t>
      </w:r>
      <w:r>
        <w:rPr>
          <w:color w:val="231F20"/>
        </w:rPr>
        <w:t>these</w:t>
      </w:r>
      <w:r>
        <w:rPr>
          <w:color w:val="231F20"/>
          <w:spacing w:val="33"/>
        </w:rPr>
        <w:t> </w:t>
      </w:r>
      <w:r>
        <w:rPr>
          <w:color w:val="231F20"/>
        </w:rPr>
        <w:t>rules,</w:t>
      </w:r>
      <w:r>
        <w:rPr>
          <w:color w:val="231F20"/>
          <w:spacing w:val="33"/>
        </w:rPr>
        <w:t> </w:t>
      </w:r>
      <w:r>
        <w:rPr>
          <w:color w:val="231F20"/>
        </w:rPr>
        <w:t>public</w:t>
      </w:r>
      <w:r>
        <w:rPr>
          <w:color w:val="231F20"/>
          <w:spacing w:val="33"/>
        </w:rPr>
        <w:t> </w:t>
      </w:r>
      <w:r>
        <w:rPr>
          <w:color w:val="231F20"/>
        </w:rPr>
        <w:t>companies</w:t>
      </w:r>
      <w:r>
        <w:rPr>
          <w:color w:val="231F20"/>
          <w:spacing w:val="33"/>
        </w:rPr>
        <w:t> </w:t>
      </w:r>
      <w:r>
        <w:rPr>
          <w:color w:val="231F20"/>
        </w:rPr>
        <w:t>listed</w:t>
      </w:r>
      <w:r>
        <w:rPr>
          <w:color w:val="231F20"/>
          <w:spacing w:val="33"/>
        </w:rPr>
        <w:t> </w:t>
      </w:r>
      <w:r>
        <w:rPr>
          <w:color w:val="231F20"/>
        </w:rPr>
        <w:t>on</w:t>
      </w:r>
      <w:r>
        <w:rPr>
          <w:color w:val="231F20"/>
          <w:spacing w:val="33"/>
        </w:rPr>
        <w:t> </w:t>
      </w:r>
      <w:r>
        <w:rPr>
          <w:color w:val="231F20"/>
        </w:rPr>
        <w:t>the</w:t>
      </w:r>
      <w:r>
        <w:rPr>
          <w:color w:val="231F20"/>
          <w:spacing w:val="33"/>
        </w:rPr>
        <w:t> </w:t>
      </w:r>
      <w:r>
        <w:rPr>
          <w:color w:val="231F20"/>
        </w:rPr>
        <w:t>New York</w:t>
      </w:r>
      <w:r>
        <w:rPr>
          <w:color w:val="231F20"/>
          <w:spacing w:val="40"/>
        </w:rPr>
        <w:t> </w:t>
      </w:r>
      <w:r>
        <w:rPr>
          <w:color w:val="231F20"/>
        </w:rPr>
        <w:t>Stock</w:t>
      </w:r>
      <w:r>
        <w:rPr>
          <w:color w:val="231F20"/>
          <w:spacing w:val="40"/>
        </w:rPr>
        <w:t> </w:t>
      </w:r>
      <w:r>
        <w:rPr>
          <w:color w:val="231F20"/>
        </w:rPr>
        <w:t>Exchange</w:t>
      </w:r>
      <w:r>
        <w:rPr>
          <w:color w:val="231F20"/>
          <w:spacing w:val="40"/>
        </w:rPr>
        <w:t> </w:t>
      </w:r>
      <w:r>
        <w:rPr>
          <w:color w:val="231F20"/>
        </w:rPr>
        <w:t>(NYSE)</w:t>
      </w:r>
      <w:r>
        <w:rPr>
          <w:color w:val="231F20"/>
          <w:spacing w:val="40"/>
        </w:rPr>
        <w:t> </w:t>
      </w:r>
      <w:r>
        <w:rPr>
          <w:color w:val="231F20"/>
        </w:rPr>
        <w:t>and</w:t>
      </w:r>
      <w:r>
        <w:rPr>
          <w:color w:val="231F20"/>
          <w:spacing w:val="40"/>
        </w:rPr>
        <w:t> </w:t>
      </w:r>
      <w:r>
        <w:rPr>
          <w:color w:val="231F20"/>
        </w:rPr>
        <w:t>the</w:t>
      </w:r>
      <w:r>
        <w:rPr>
          <w:color w:val="231F20"/>
          <w:spacing w:val="40"/>
        </w:rPr>
        <w:t> </w:t>
      </w:r>
      <w:r>
        <w:rPr>
          <w:color w:val="231F20"/>
        </w:rPr>
        <w:t>NASDAQ</w:t>
      </w:r>
      <w:r>
        <w:rPr>
          <w:color w:val="231F20"/>
          <w:spacing w:val="40"/>
        </w:rPr>
        <w:t> </w:t>
      </w:r>
      <w:r>
        <w:rPr>
          <w:color w:val="231F20"/>
        </w:rPr>
        <w:t>have</w:t>
      </w:r>
      <w:r>
        <w:rPr>
          <w:color w:val="231F20"/>
          <w:spacing w:val="40"/>
        </w:rPr>
        <w:t> </w:t>
      </w:r>
      <w:r>
        <w:rPr>
          <w:color w:val="231F20"/>
        </w:rPr>
        <w:t>many</w:t>
      </w:r>
      <w:r>
        <w:rPr>
          <w:color w:val="231F20"/>
          <w:spacing w:val="40"/>
        </w:rPr>
        <w:t> </w:t>
      </w:r>
      <w:r>
        <w:rPr>
          <w:color w:val="231F20"/>
        </w:rPr>
        <w:t>addi- tional</w:t>
      </w:r>
      <w:r>
        <w:rPr>
          <w:color w:val="231F20"/>
          <w:spacing w:val="40"/>
        </w:rPr>
        <w:t> </w:t>
      </w:r>
      <w:r>
        <w:rPr>
          <w:color w:val="231F20"/>
        </w:rPr>
        <w:t>listing</w:t>
      </w:r>
      <w:r>
        <w:rPr>
          <w:color w:val="231F20"/>
          <w:spacing w:val="40"/>
        </w:rPr>
        <w:t> </w:t>
      </w:r>
      <w:r>
        <w:rPr>
          <w:color w:val="231F20"/>
        </w:rPr>
        <w:t>standards</w:t>
      </w:r>
      <w:r>
        <w:rPr>
          <w:color w:val="231F20"/>
          <w:spacing w:val="40"/>
        </w:rPr>
        <w:t> </w:t>
      </w:r>
      <w:r>
        <w:rPr>
          <w:color w:val="231F20"/>
        </w:rPr>
        <w:t>that</w:t>
      </w:r>
      <w:r>
        <w:rPr>
          <w:color w:val="231F20"/>
          <w:spacing w:val="40"/>
        </w:rPr>
        <w:t> </w:t>
      </w:r>
      <w:r>
        <w:rPr>
          <w:color w:val="231F20"/>
        </w:rPr>
        <w:t>address</w:t>
      </w:r>
      <w:r>
        <w:rPr>
          <w:color w:val="231F20"/>
          <w:spacing w:val="40"/>
        </w:rPr>
        <w:t> </w:t>
      </w:r>
      <w:r>
        <w:rPr>
          <w:color w:val="231F20"/>
        </w:rPr>
        <w:t>the</w:t>
      </w:r>
      <w:r>
        <w:rPr>
          <w:color w:val="231F20"/>
          <w:spacing w:val="40"/>
        </w:rPr>
        <w:t> </w:t>
      </w:r>
      <w:r>
        <w:rPr>
          <w:color w:val="231F20"/>
        </w:rPr>
        <w:t>lack</w:t>
      </w:r>
      <w:r>
        <w:rPr>
          <w:color w:val="231F20"/>
          <w:spacing w:val="40"/>
        </w:rPr>
        <w:t> </w:t>
      </w:r>
      <w:r>
        <w:rPr>
          <w:color w:val="231F20"/>
        </w:rPr>
        <w:t>of</w:t>
      </w:r>
      <w:r>
        <w:rPr>
          <w:color w:val="231F20"/>
          <w:spacing w:val="40"/>
        </w:rPr>
        <w:t> </w:t>
      </w:r>
      <w:r>
        <w:rPr>
          <w:color w:val="231F20"/>
        </w:rPr>
        <w:t>corporate</w:t>
      </w:r>
      <w:r>
        <w:rPr>
          <w:color w:val="231F20"/>
          <w:spacing w:val="40"/>
        </w:rPr>
        <w:t> </w:t>
      </w:r>
      <w:r>
        <w:rPr>
          <w:color w:val="231F20"/>
        </w:rPr>
        <w:t>gover- nance standards that were not addressed by the Sarbanes-Oxley Act. The</w:t>
      </w:r>
      <w:r>
        <w:rPr>
          <w:color w:val="231F20"/>
          <w:spacing w:val="40"/>
        </w:rPr>
        <w:t> </w:t>
      </w:r>
      <w:r>
        <w:rPr>
          <w:color w:val="231F20"/>
        </w:rPr>
        <w:t>internal</w:t>
      </w:r>
      <w:r>
        <w:rPr>
          <w:color w:val="231F20"/>
          <w:spacing w:val="40"/>
        </w:rPr>
        <w:t> </w:t>
      </w:r>
      <w:r>
        <w:rPr>
          <w:color w:val="231F20"/>
        </w:rPr>
        <w:t>controls</w:t>
      </w:r>
      <w:r>
        <w:rPr>
          <w:color w:val="231F20"/>
          <w:spacing w:val="40"/>
        </w:rPr>
        <w:t> </w:t>
      </w:r>
      <w:r>
        <w:rPr>
          <w:color w:val="231F20"/>
        </w:rPr>
        <w:t>systems</w:t>
      </w:r>
      <w:r>
        <w:rPr>
          <w:color w:val="231F20"/>
          <w:spacing w:val="40"/>
        </w:rPr>
        <w:t> </w:t>
      </w:r>
      <w:r>
        <w:rPr>
          <w:color w:val="231F20"/>
        </w:rPr>
        <w:t>to</w:t>
      </w:r>
      <w:r>
        <w:rPr>
          <w:color w:val="231F20"/>
          <w:spacing w:val="40"/>
        </w:rPr>
        <w:t> </w:t>
      </w:r>
      <w:r>
        <w:rPr>
          <w:color w:val="231F20"/>
        </w:rPr>
        <w:t>control</w:t>
      </w:r>
      <w:r>
        <w:rPr>
          <w:color w:val="231F20"/>
          <w:spacing w:val="40"/>
        </w:rPr>
        <w:t> </w:t>
      </w:r>
      <w:r>
        <w:rPr>
          <w:color w:val="231F20"/>
        </w:rPr>
        <w:t>fraud</w:t>
      </w:r>
      <w:r>
        <w:rPr>
          <w:color w:val="231F20"/>
          <w:spacing w:val="40"/>
        </w:rPr>
        <w:t> </w:t>
      </w:r>
      <w:r>
        <w:rPr>
          <w:color w:val="231F20"/>
        </w:rPr>
        <w:t>and</w:t>
      </w:r>
      <w:r>
        <w:rPr>
          <w:color w:val="231F20"/>
          <w:spacing w:val="40"/>
        </w:rPr>
        <w:t> </w:t>
      </w:r>
      <w:r>
        <w:rPr>
          <w:color w:val="231F20"/>
        </w:rPr>
        <w:t>corruption</w:t>
      </w:r>
      <w:r>
        <w:rPr>
          <w:color w:val="231F20"/>
          <w:spacing w:val="40"/>
        </w:rPr>
        <w:t> </w:t>
      </w:r>
      <w:r>
        <w:rPr>
          <w:color w:val="231F20"/>
        </w:rPr>
        <w:t>that</w:t>
      </w:r>
      <w:r>
        <w:rPr>
          <w:color w:val="231F20"/>
          <w:spacing w:val="36"/>
        </w:rPr>
        <w:t> </w:t>
      </w:r>
      <w:r>
        <w:rPr>
          <w:color w:val="231F20"/>
        </w:rPr>
        <w:t>the</w:t>
      </w:r>
      <w:r>
        <w:rPr>
          <w:color w:val="231F20"/>
          <w:spacing w:val="36"/>
        </w:rPr>
        <w:t> </w:t>
      </w:r>
      <w:r>
        <w:rPr>
          <w:color w:val="231F20"/>
        </w:rPr>
        <w:t>Sarbanes-Oxley</w:t>
      </w:r>
      <w:r>
        <w:rPr>
          <w:color w:val="231F20"/>
          <w:spacing w:val="36"/>
        </w:rPr>
        <w:t> </w:t>
      </w:r>
      <w:r>
        <w:rPr>
          <w:color w:val="231F20"/>
        </w:rPr>
        <w:t>Act</w:t>
      </w:r>
      <w:r>
        <w:rPr>
          <w:color w:val="231F20"/>
          <w:spacing w:val="36"/>
        </w:rPr>
        <w:t> </w:t>
      </w:r>
      <w:r>
        <w:rPr>
          <w:color w:val="231F20"/>
        </w:rPr>
        <w:t>requires</w:t>
      </w:r>
      <w:r>
        <w:rPr>
          <w:color w:val="231F20"/>
          <w:spacing w:val="36"/>
        </w:rPr>
        <w:t> </w:t>
      </w:r>
      <w:r>
        <w:rPr>
          <w:color w:val="231F20"/>
        </w:rPr>
        <w:t>are</w:t>
      </w:r>
      <w:r>
        <w:rPr>
          <w:color w:val="231F20"/>
          <w:spacing w:val="36"/>
        </w:rPr>
        <w:t> </w:t>
      </w:r>
      <w:r>
        <w:rPr>
          <w:color w:val="231F20"/>
        </w:rPr>
        <w:t>complex.</w:t>
      </w:r>
      <w:r>
        <w:rPr>
          <w:color w:val="231F20"/>
          <w:spacing w:val="36"/>
        </w:rPr>
        <w:t> </w:t>
      </w:r>
      <w:r>
        <w:rPr>
          <w:color w:val="231F20"/>
        </w:rPr>
        <w:t>The</w:t>
      </w:r>
      <w:r>
        <w:rPr>
          <w:color w:val="231F20"/>
          <w:spacing w:val="36"/>
        </w:rPr>
        <w:t> </w:t>
      </w:r>
      <w:r>
        <w:rPr>
          <w:color w:val="231F20"/>
        </w:rPr>
        <w:t>Committee of Sponsoring Organizations of the Treadway Commission (COSO)</w:t>
      </w:r>
      <w:r>
        <w:rPr>
          <w:color w:val="231F20"/>
          <w:spacing w:val="80"/>
          <w:w w:val="150"/>
        </w:rPr>
        <w:t> </w:t>
      </w:r>
      <w:r>
        <w:rPr>
          <w:color w:val="231F20"/>
        </w:rPr>
        <w:t>prepared</w:t>
      </w:r>
      <w:r>
        <w:rPr>
          <w:color w:val="231F20"/>
          <w:spacing w:val="40"/>
        </w:rPr>
        <w:t> </w:t>
      </w:r>
      <w:r>
        <w:rPr>
          <w:color w:val="231F20"/>
        </w:rPr>
        <w:t>a</w:t>
      </w:r>
      <w:r>
        <w:rPr>
          <w:color w:val="231F20"/>
          <w:spacing w:val="40"/>
        </w:rPr>
        <w:t> </w:t>
      </w:r>
      <w:r>
        <w:rPr>
          <w:color w:val="231F20"/>
        </w:rPr>
        <w:t>comprehensive</w:t>
      </w:r>
      <w:r>
        <w:rPr>
          <w:color w:val="231F20"/>
          <w:spacing w:val="40"/>
        </w:rPr>
        <w:t> </w:t>
      </w:r>
      <w:r>
        <w:rPr>
          <w:color w:val="231F20"/>
        </w:rPr>
        <w:t>study</w:t>
      </w:r>
      <w:r>
        <w:rPr>
          <w:color w:val="231F20"/>
          <w:spacing w:val="40"/>
        </w:rPr>
        <w:t> </w:t>
      </w:r>
      <w:r>
        <w:rPr>
          <w:color w:val="231F20"/>
        </w:rPr>
        <w:t>of</w:t>
      </w:r>
      <w:r>
        <w:rPr>
          <w:color w:val="231F20"/>
          <w:spacing w:val="40"/>
        </w:rPr>
        <w:t> </w:t>
      </w:r>
      <w:r>
        <w:rPr>
          <w:color w:val="231F20"/>
        </w:rPr>
        <w:t>corporate</w:t>
      </w:r>
      <w:r>
        <w:rPr>
          <w:color w:val="231F20"/>
          <w:spacing w:val="40"/>
        </w:rPr>
        <w:t> </w:t>
      </w:r>
      <w:r>
        <w:rPr>
          <w:color w:val="231F20"/>
        </w:rPr>
        <w:t>internal</w:t>
      </w:r>
      <w:r>
        <w:rPr>
          <w:color w:val="231F20"/>
          <w:spacing w:val="40"/>
        </w:rPr>
        <w:t> </w:t>
      </w:r>
      <w:r>
        <w:rPr>
          <w:color w:val="231F20"/>
        </w:rPr>
        <w:t>controls</w:t>
      </w:r>
      <w:r>
        <w:rPr>
          <w:color w:val="231F20"/>
          <w:spacing w:val="80"/>
        </w:rPr>
        <w:t> </w:t>
      </w:r>
      <w:r>
        <w:rPr>
          <w:color w:val="231F20"/>
        </w:rPr>
        <w:t>called the “Internal Control-Integrated Framework.” The Securities</w:t>
      </w:r>
      <w:r>
        <w:rPr>
          <w:color w:val="231F20"/>
          <w:spacing w:val="40"/>
        </w:rPr>
        <w:t> </w:t>
      </w:r>
      <w:r>
        <w:rPr>
          <w:color w:val="231F20"/>
        </w:rPr>
        <w:t>and Exchange Commission (SEC) accepts it as the approved frame-</w:t>
      </w:r>
      <w:r>
        <w:rPr>
          <w:color w:val="231F20"/>
          <w:spacing w:val="80"/>
        </w:rPr>
        <w:t> </w:t>
      </w:r>
      <w:r>
        <w:rPr>
          <w:color w:val="231F20"/>
        </w:rPr>
        <w:t>work</w:t>
      </w:r>
      <w:r>
        <w:rPr>
          <w:color w:val="231F20"/>
          <w:spacing w:val="21"/>
        </w:rPr>
        <w:t> </w:t>
      </w:r>
      <w:r>
        <w:rPr>
          <w:color w:val="231F20"/>
        </w:rPr>
        <w:t>for</w:t>
      </w:r>
      <w:r>
        <w:rPr>
          <w:color w:val="231F20"/>
          <w:spacing w:val="21"/>
        </w:rPr>
        <w:t> </w:t>
      </w:r>
      <w:r>
        <w:rPr>
          <w:color w:val="231F20"/>
        </w:rPr>
        <w:t>corporate</w:t>
      </w:r>
      <w:r>
        <w:rPr>
          <w:color w:val="231F20"/>
          <w:spacing w:val="21"/>
        </w:rPr>
        <w:t> </w:t>
      </w:r>
      <w:r>
        <w:rPr>
          <w:color w:val="231F20"/>
        </w:rPr>
        <w:t>officials,</w:t>
      </w:r>
      <w:r>
        <w:rPr>
          <w:color w:val="231F20"/>
          <w:spacing w:val="21"/>
        </w:rPr>
        <w:t> </w:t>
      </w:r>
      <w:r>
        <w:rPr>
          <w:color w:val="231F20"/>
        </w:rPr>
        <w:t>auditors,</w:t>
      </w:r>
      <w:r>
        <w:rPr>
          <w:color w:val="231F20"/>
          <w:spacing w:val="21"/>
        </w:rPr>
        <w:t> </w:t>
      </w:r>
      <w:r>
        <w:rPr>
          <w:color w:val="231F20"/>
        </w:rPr>
        <w:t>and</w:t>
      </w:r>
      <w:r>
        <w:rPr>
          <w:color w:val="231F20"/>
          <w:spacing w:val="21"/>
        </w:rPr>
        <w:t> </w:t>
      </w:r>
      <w:r>
        <w:rPr>
          <w:color w:val="231F20"/>
        </w:rPr>
        <w:t>compliance</w:t>
      </w:r>
      <w:r>
        <w:rPr>
          <w:color w:val="231F20"/>
          <w:spacing w:val="21"/>
        </w:rPr>
        <w:t> </w:t>
      </w:r>
      <w:r>
        <w:rPr>
          <w:color w:val="231F20"/>
          <w:spacing w:val="-2"/>
        </w:rPr>
        <w:t>professionals</w:t>
      </w:r>
    </w:p>
    <w:p>
      <w:pPr>
        <w:pStyle w:val="BodyText"/>
        <w:spacing w:line="242" w:lineRule="exact"/>
        <w:ind w:left="830"/>
        <w:jc w:val="both"/>
      </w:pPr>
      <w:r>
        <w:rPr>
          <w:color w:val="231F20"/>
        </w:rPr>
        <w:t>to</w:t>
      </w:r>
      <w:r>
        <w:rPr>
          <w:color w:val="231F20"/>
          <w:spacing w:val="14"/>
        </w:rPr>
        <w:t> </w:t>
      </w:r>
      <w:r>
        <w:rPr>
          <w:color w:val="231F20"/>
        </w:rPr>
        <w:t>use</w:t>
      </w:r>
      <w:r>
        <w:rPr>
          <w:color w:val="231F20"/>
          <w:spacing w:val="15"/>
        </w:rPr>
        <w:t> </w:t>
      </w:r>
      <w:r>
        <w:rPr>
          <w:color w:val="231F20"/>
        </w:rPr>
        <w:t>to</w:t>
      </w:r>
      <w:r>
        <w:rPr>
          <w:color w:val="231F20"/>
          <w:spacing w:val="15"/>
        </w:rPr>
        <w:t> </w:t>
      </w:r>
      <w:r>
        <w:rPr>
          <w:color w:val="231F20"/>
        </w:rPr>
        <w:t>comply</w:t>
      </w:r>
      <w:r>
        <w:rPr>
          <w:color w:val="231F20"/>
          <w:spacing w:val="15"/>
        </w:rPr>
        <w:t> </w:t>
      </w:r>
      <w:r>
        <w:rPr>
          <w:color w:val="231F20"/>
        </w:rPr>
        <w:t>with</w:t>
      </w:r>
      <w:r>
        <w:rPr>
          <w:color w:val="231F20"/>
          <w:spacing w:val="15"/>
        </w:rPr>
        <w:t> </w:t>
      </w:r>
      <w:r>
        <w:rPr>
          <w:color w:val="231F20"/>
        </w:rPr>
        <w:t>Sarbanes-</w:t>
      </w:r>
      <w:r>
        <w:rPr>
          <w:color w:val="231F20"/>
          <w:spacing w:val="-2"/>
        </w:rPr>
        <w:t>Oxley.</w:t>
      </w:r>
    </w:p>
    <w:p>
      <w:pPr>
        <w:spacing w:line="292" w:lineRule="auto" w:before="54"/>
        <w:ind w:left="830" w:right="756" w:firstLine="340"/>
        <w:jc w:val="both"/>
        <w:rPr>
          <w:sz w:val="21"/>
        </w:rPr>
      </w:pPr>
      <w:r>
        <w:rPr>
          <w:color w:val="231F20"/>
          <w:sz w:val="21"/>
        </w:rPr>
        <w:t>An excellent framework to implement a comprehensive </w:t>
      </w:r>
      <w:r>
        <w:rPr>
          <w:color w:val="231F20"/>
          <w:sz w:val="21"/>
        </w:rPr>
        <w:t>system</w:t>
      </w:r>
      <w:r>
        <w:rPr>
          <w:color w:val="231F20"/>
          <w:spacing w:val="80"/>
          <w:sz w:val="21"/>
        </w:rPr>
        <w:t> </w:t>
      </w:r>
      <w:r>
        <w:rPr>
          <w:color w:val="231F20"/>
          <w:sz w:val="21"/>
        </w:rPr>
        <w:t>of internal controls is contained in Scott Green’s </w:t>
      </w:r>
      <w:r>
        <w:rPr>
          <w:i/>
          <w:color w:val="231F20"/>
          <w:sz w:val="21"/>
        </w:rPr>
        <w:t>Manager’s Guide to</w:t>
      </w:r>
      <w:r>
        <w:rPr>
          <w:i/>
          <w:color w:val="231F20"/>
          <w:sz w:val="21"/>
        </w:rPr>
        <w:t> the</w:t>
      </w:r>
      <w:r>
        <w:rPr>
          <w:i/>
          <w:color w:val="231F20"/>
          <w:spacing w:val="53"/>
          <w:sz w:val="21"/>
        </w:rPr>
        <w:t> </w:t>
      </w:r>
      <w:r>
        <w:rPr>
          <w:i/>
          <w:color w:val="231F20"/>
          <w:sz w:val="21"/>
        </w:rPr>
        <w:t>Sarbanes-Oxley</w:t>
      </w:r>
      <w:r>
        <w:rPr>
          <w:i/>
          <w:color w:val="231F20"/>
          <w:spacing w:val="54"/>
          <w:sz w:val="21"/>
        </w:rPr>
        <w:t> </w:t>
      </w:r>
      <w:r>
        <w:rPr>
          <w:i/>
          <w:color w:val="231F20"/>
          <w:sz w:val="21"/>
        </w:rPr>
        <w:t>Act.</w:t>
      </w:r>
      <w:r>
        <w:rPr>
          <w:i/>
          <w:color w:val="231F20"/>
          <w:spacing w:val="54"/>
          <w:sz w:val="21"/>
        </w:rPr>
        <w:t> </w:t>
      </w:r>
      <w:r>
        <w:rPr>
          <w:color w:val="231F20"/>
          <w:sz w:val="21"/>
        </w:rPr>
        <w:t>This</w:t>
      </w:r>
      <w:r>
        <w:rPr>
          <w:color w:val="231F20"/>
          <w:spacing w:val="53"/>
          <w:sz w:val="21"/>
        </w:rPr>
        <w:t> </w:t>
      </w:r>
      <w:r>
        <w:rPr>
          <w:color w:val="231F20"/>
          <w:sz w:val="21"/>
        </w:rPr>
        <w:t>book</w:t>
      </w:r>
      <w:r>
        <w:rPr>
          <w:color w:val="231F20"/>
          <w:spacing w:val="54"/>
          <w:sz w:val="21"/>
        </w:rPr>
        <w:t> </w:t>
      </w:r>
      <w:r>
        <w:rPr>
          <w:color w:val="231F20"/>
          <w:sz w:val="21"/>
        </w:rPr>
        <w:t>provides</w:t>
      </w:r>
      <w:r>
        <w:rPr>
          <w:color w:val="231F20"/>
          <w:spacing w:val="54"/>
          <w:sz w:val="21"/>
        </w:rPr>
        <w:t> </w:t>
      </w:r>
      <w:r>
        <w:rPr>
          <w:color w:val="231F20"/>
          <w:sz w:val="21"/>
        </w:rPr>
        <w:t>compliance</w:t>
      </w:r>
      <w:r>
        <w:rPr>
          <w:color w:val="231F20"/>
          <w:spacing w:val="53"/>
          <w:sz w:val="21"/>
        </w:rPr>
        <w:t> </w:t>
      </w:r>
      <w:r>
        <w:rPr>
          <w:color w:val="231F20"/>
          <w:sz w:val="21"/>
        </w:rPr>
        <w:t>officers</w:t>
      </w:r>
      <w:r>
        <w:rPr>
          <w:color w:val="231F20"/>
          <w:spacing w:val="54"/>
          <w:sz w:val="21"/>
        </w:rPr>
        <w:t> </w:t>
      </w:r>
      <w:r>
        <w:rPr>
          <w:color w:val="231F20"/>
          <w:spacing w:val="-10"/>
          <w:sz w:val="21"/>
        </w:rPr>
        <w:t>a</w:t>
      </w:r>
    </w:p>
    <w:p>
      <w:pPr>
        <w:spacing w:after="0" w:line="292" w:lineRule="auto"/>
        <w:jc w:val="both"/>
        <w:rPr>
          <w:sz w:val="21"/>
        </w:rPr>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7"/>
      </w:pPr>
      <w:r>
        <w:rPr>
          <w:color w:val="231F20"/>
        </w:rPr>
        <w:t>practical</w:t>
      </w:r>
      <w:r>
        <w:rPr>
          <w:color w:val="231F20"/>
          <w:spacing w:val="40"/>
        </w:rPr>
        <w:t> </w:t>
      </w:r>
      <w:r>
        <w:rPr>
          <w:color w:val="231F20"/>
        </w:rPr>
        <w:t>methodology</w:t>
      </w:r>
      <w:r>
        <w:rPr>
          <w:color w:val="231F20"/>
          <w:spacing w:val="40"/>
        </w:rPr>
        <w:t> </w:t>
      </w:r>
      <w:r>
        <w:rPr>
          <w:color w:val="231F20"/>
        </w:rPr>
        <w:t>called</w:t>
      </w:r>
      <w:r>
        <w:rPr>
          <w:color w:val="231F20"/>
          <w:spacing w:val="40"/>
        </w:rPr>
        <w:t> </w:t>
      </w:r>
      <w:r>
        <w:rPr>
          <w:color w:val="231F20"/>
        </w:rPr>
        <w:t>the</w:t>
      </w:r>
      <w:r>
        <w:rPr>
          <w:color w:val="231F20"/>
          <w:spacing w:val="40"/>
        </w:rPr>
        <w:t> </w:t>
      </w:r>
      <w:r>
        <w:rPr>
          <w:color w:val="231F20"/>
        </w:rPr>
        <w:t>Control</w:t>
      </w:r>
      <w:r>
        <w:rPr>
          <w:color w:val="231F20"/>
          <w:spacing w:val="40"/>
        </w:rPr>
        <w:t> </w:t>
      </w:r>
      <w:r>
        <w:rPr>
          <w:color w:val="231F20"/>
        </w:rPr>
        <w:t>Smart</w:t>
      </w:r>
      <w:r>
        <w:rPr>
          <w:color w:val="231F20"/>
          <w:spacing w:val="40"/>
        </w:rPr>
        <w:t> </w:t>
      </w:r>
      <w:r>
        <w:rPr>
          <w:color w:val="231F20"/>
        </w:rPr>
        <w:t>Approach</w:t>
      </w:r>
      <w:r>
        <w:rPr>
          <w:color w:val="231F20"/>
          <w:spacing w:val="40"/>
        </w:rPr>
        <w:t> </w:t>
      </w:r>
      <w:r>
        <w:rPr>
          <w:color w:val="231F20"/>
        </w:rPr>
        <w:t>to</w:t>
      </w:r>
      <w:r>
        <w:rPr>
          <w:color w:val="231F20"/>
          <w:spacing w:val="40"/>
        </w:rPr>
        <w:t> </w:t>
      </w:r>
      <w:r>
        <w:rPr>
          <w:color w:val="231F20"/>
        </w:rPr>
        <w:t>inte- grate</w:t>
      </w:r>
      <w:r>
        <w:rPr>
          <w:color w:val="231F20"/>
          <w:spacing w:val="40"/>
        </w:rPr>
        <w:t> </w:t>
      </w:r>
      <w:r>
        <w:rPr>
          <w:color w:val="231F20"/>
        </w:rPr>
        <w:t>the</w:t>
      </w:r>
      <w:r>
        <w:rPr>
          <w:color w:val="231F20"/>
          <w:spacing w:val="40"/>
        </w:rPr>
        <w:t> </w:t>
      </w:r>
      <w:r>
        <w:rPr>
          <w:color w:val="231F20"/>
        </w:rPr>
        <w:t>multivolume</w:t>
      </w:r>
      <w:r>
        <w:rPr>
          <w:color w:val="231F20"/>
          <w:spacing w:val="40"/>
        </w:rPr>
        <w:t> </w:t>
      </w:r>
      <w:r>
        <w:rPr>
          <w:color w:val="231F20"/>
        </w:rPr>
        <w:t>COSO</w:t>
      </w:r>
      <w:r>
        <w:rPr>
          <w:color w:val="231F20"/>
          <w:spacing w:val="40"/>
        </w:rPr>
        <w:t> </w:t>
      </w:r>
      <w:r>
        <w:rPr>
          <w:color w:val="231F20"/>
        </w:rPr>
        <w:t>framework</w:t>
      </w:r>
      <w:r>
        <w:rPr>
          <w:color w:val="231F20"/>
          <w:spacing w:val="40"/>
        </w:rPr>
        <w:t> </w:t>
      </w:r>
      <w:r>
        <w:rPr>
          <w:color w:val="231F20"/>
        </w:rPr>
        <w:t>into</w:t>
      </w:r>
      <w:r>
        <w:rPr>
          <w:color w:val="231F20"/>
          <w:spacing w:val="40"/>
        </w:rPr>
        <w:t> </w:t>
      </w:r>
      <w:r>
        <w:rPr>
          <w:color w:val="231F20"/>
        </w:rPr>
        <w:t>action:</w:t>
      </w:r>
    </w:p>
    <w:p>
      <w:pPr>
        <w:pStyle w:val="BodyText"/>
        <w:rPr>
          <w:sz w:val="24"/>
        </w:rPr>
      </w:pPr>
    </w:p>
    <w:p>
      <w:pPr>
        <w:pStyle w:val="ListParagraph"/>
        <w:numPr>
          <w:ilvl w:val="0"/>
          <w:numId w:val="18"/>
        </w:numPr>
        <w:tabs>
          <w:tab w:pos="1611" w:val="left" w:leader="none"/>
        </w:tabs>
        <w:spacing w:line="328" w:lineRule="auto" w:before="189" w:after="0"/>
        <w:ind w:left="1609" w:right="666" w:hanging="170"/>
        <w:jc w:val="left"/>
        <w:rPr>
          <w:sz w:val="19"/>
        </w:rPr>
      </w:pPr>
      <w:r>
        <w:rPr>
          <w:color w:val="231F20"/>
          <w:w w:val="115"/>
          <w:sz w:val="19"/>
        </w:rPr>
        <w:t>Identify the possible threats from within and outside the </w:t>
      </w:r>
      <w:r>
        <w:rPr>
          <w:color w:val="231F20"/>
          <w:spacing w:val="-2"/>
          <w:w w:val="115"/>
          <w:sz w:val="19"/>
        </w:rPr>
        <w:t>organization.</w:t>
      </w:r>
    </w:p>
    <w:p>
      <w:pPr>
        <w:pStyle w:val="ListParagraph"/>
        <w:numPr>
          <w:ilvl w:val="0"/>
          <w:numId w:val="18"/>
        </w:numPr>
        <w:tabs>
          <w:tab w:pos="1611" w:val="left" w:leader="none"/>
        </w:tabs>
        <w:spacing w:line="240" w:lineRule="auto" w:before="1" w:after="0"/>
        <w:ind w:left="1610" w:right="0" w:hanging="220"/>
        <w:jc w:val="left"/>
        <w:rPr>
          <w:sz w:val="19"/>
        </w:rPr>
      </w:pPr>
      <w:r>
        <w:rPr>
          <w:color w:val="231F20"/>
          <w:w w:val="110"/>
          <w:sz w:val="19"/>
        </w:rPr>
        <w:t>Identify</w:t>
      </w:r>
      <w:r>
        <w:rPr>
          <w:color w:val="231F20"/>
          <w:spacing w:val="10"/>
          <w:w w:val="110"/>
          <w:sz w:val="19"/>
        </w:rPr>
        <w:t> </w:t>
      </w:r>
      <w:r>
        <w:rPr>
          <w:color w:val="231F20"/>
          <w:w w:val="110"/>
          <w:sz w:val="19"/>
        </w:rPr>
        <w:t>all</w:t>
      </w:r>
      <w:r>
        <w:rPr>
          <w:color w:val="231F20"/>
          <w:spacing w:val="10"/>
          <w:w w:val="110"/>
          <w:sz w:val="19"/>
        </w:rPr>
        <w:t> </w:t>
      </w:r>
      <w:r>
        <w:rPr>
          <w:color w:val="231F20"/>
          <w:w w:val="110"/>
          <w:sz w:val="19"/>
        </w:rPr>
        <w:t>the</w:t>
      </w:r>
      <w:r>
        <w:rPr>
          <w:color w:val="231F20"/>
          <w:spacing w:val="10"/>
          <w:w w:val="110"/>
          <w:sz w:val="19"/>
        </w:rPr>
        <w:t> </w:t>
      </w:r>
      <w:r>
        <w:rPr>
          <w:color w:val="231F20"/>
          <w:w w:val="110"/>
          <w:sz w:val="19"/>
        </w:rPr>
        <w:t>processes</w:t>
      </w:r>
      <w:r>
        <w:rPr>
          <w:color w:val="231F20"/>
          <w:spacing w:val="10"/>
          <w:w w:val="110"/>
          <w:sz w:val="19"/>
        </w:rPr>
        <w:t> </w:t>
      </w:r>
      <w:r>
        <w:rPr>
          <w:color w:val="231F20"/>
          <w:w w:val="110"/>
          <w:sz w:val="19"/>
        </w:rPr>
        <w:t>within</w:t>
      </w:r>
      <w:r>
        <w:rPr>
          <w:color w:val="231F20"/>
          <w:spacing w:val="10"/>
          <w:w w:val="110"/>
          <w:sz w:val="19"/>
        </w:rPr>
        <w:t> </w:t>
      </w:r>
      <w:r>
        <w:rPr>
          <w:color w:val="231F20"/>
          <w:w w:val="110"/>
          <w:sz w:val="19"/>
        </w:rPr>
        <w:t>your</w:t>
      </w:r>
      <w:r>
        <w:rPr>
          <w:color w:val="231F20"/>
          <w:spacing w:val="11"/>
          <w:w w:val="110"/>
          <w:sz w:val="19"/>
        </w:rPr>
        <w:t> </w:t>
      </w:r>
      <w:r>
        <w:rPr>
          <w:color w:val="231F20"/>
          <w:spacing w:val="-2"/>
          <w:w w:val="110"/>
          <w:sz w:val="19"/>
        </w:rPr>
        <w:t>company.</w:t>
      </w:r>
    </w:p>
    <w:p>
      <w:pPr>
        <w:pStyle w:val="ListParagraph"/>
        <w:numPr>
          <w:ilvl w:val="0"/>
          <w:numId w:val="18"/>
        </w:numPr>
        <w:tabs>
          <w:tab w:pos="1611" w:val="left" w:leader="none"/>
        </w:tabs>
        <w:spacing w:line="328" w:lineRule="auto" w:before="82" w:after="0"/>
        <w:ind w:left="1609" w:right="667" w:hanging="223"/>
        <w:jc w:val="left"/>
        <w:rPr>
          <w:sz w:val="19"/>
        </w:rPr>
      </w:pPr>
      <w:r>
        <w:rPr>
          <w:color w:val="231F20"/>
          <w:w w:val="115"/>
          <w:sz w:val="19"/>
        </w:rPr>
        <w:t>Identify the vulnerable process gaps with control assess- ment tools.</w:t>
      </w:r>
    </w:p>
    <w:p>
      <w:pPr>
        <w:pStyle w:val="ListParagraph"/>
        <w:numPr>
          <w:ilvl w:val="0"/>
          <w:numId w:val="18"/>
        </w:numPr>
        <w:tabs>
          <w:tab w:pos="1611" w:val="left" w:leader="none"/>
        </w:tabs>
        <w:spacing w:line="328" w:lineRule="auto" w:before="1" w:after="0"/>
        <w:ind w:left="1609" w:right="669" w:hanging="233"/>
        <w:jc w:val="left"/>
        <w:rPr>
          <w:sz w:val="19"/>
        </w:rPr>
      </w:pPr>
      <w:r>
        <w:rPr>
          <w:color w:val="231F20"/>
          <w:w w:val="115"/>
          <w:sz w:val="19"/>
        </w:rPr>
        <w:t>Implement internal controls to fill gaps and fill them with strong control processes.</w:t>
      </w:r>
    </w:p>
    <w:p>
      <w:pPr>
        <w:pStyle w:val="ListParagraph"/>
        <w:numPr>
          <w:ilvl w:val="0"/>
          <w:numId w:val="18"/>
        </w:numPr>
        <w:tabs>
          <w:tab w:pos="1611" w:val="left" w:leader="none"/>
        </w:tabs>
        <w:spacing w:line="328" w:lineRule="auto" w:before="1" w:after="0"/>
        <w:ind w:left="1609" w:right="666" w:hanging="222"/>
        <w:jc w:val="left"/>
        <w:rPr>
          <w:sz w:val="19"/>
        </w:rPr>
      </w:pPr>
      <w:r>
        <w:rPr>
          <w:color w:val="231F20"/>
          <w:w w:val="115"/>
          <w:sz w:val="19"/>
        </w:rPr>
        <w:t>Monitor</w:t>
      </w:r>
      <w:r>
        <w:rPr>
          <w:color w:val="231F20"/>
          <w:spacing w:val="-16"/>
          <w:w w:val="115"/>
          <w:sz w:val="19"/>
        </w:rPr>
        <w:t> </w:t>
      </w:r>
      <w:r>
        <w:rPr>
          <w:color w:val="231F20"/>
          <w:w w:val="115"/>
          <w:sz w:val="19"/>
        </w:rPr>
        <w:t>and</w:t>
      </w:r>
      <w:r>
        <w:rPr>
          <w:color w:val="231F20"/>
          <w:spacing w:val="-15"/>
          <w:w w:val="115"/>
          <w:sz w:val="19"/>
        </w:rPr>
        <w:t> </w:t>
      </w:r>
      <w:r>
        <w:rPr>
          <w:color w:val="231F20"/>
          <w:w w:val="115"/>
          <w:sz w:val="19"/>
        </w:rPr>
        <w:t>test</w:t>
      </w:r>
      <w:r>
        <w:rPr>
          <w:color w:val="231F20"/>
          <w:spacing w:val="-15"/>
          <w:w w:val="115"/>
          <w:sz w:val="19"/>
        </w:rPr>
        <w:t> </w:t>
      </w:r>
      <w:r>
        <w:rPr>
          <w:color w:val="231F20"/>
          <w:w w:val="115"/>
          <w:sz w:val="19"/>
        </w:rPr>
        <w:t>the</w:t>
      </w:r>
      <w:r>
        <w:rPr>
          <w:color w:val="231F20"/>
          <w:spacing w:val="-15"/>
          <w:w w:val="115"/>
          <w:sz w:val="19"/>
        </w:rPr>
        <w:t> </w:t>
      </w:r>
      <w:r>
        <w:rPr>
          <w:color w:val="231F20"/>
          <w:w w:val="115"/>
          <w:sz w:val="19"/>
        </w:rPr>
        <w:t>controls</w:t>
      </w:r>
      <w:r>
        <w:rPr>
          <w:color w:val="231F20"/>
          <w:spacing w:val="-15"/>
          <w:w w:val="115"/>
          <w:sz w:val="19"/>
        </w:rPr>
        <w:t> </w:t>
      </w:r>
      <w:r>
        <w:rPr>
          <w:color w:val="231F20"/>
          <w:w w:val="115"/>
          <w:sz w:val="19"/>
        </w:rPr>
        <w:t>with</w:t>
      </w:r>
      <w:r>
        <w:rPr>
          <w:color w:val="231F20"/>
          <w:spacing w:val="-16"/>
          <w:w w:val="115"/>
          <w:sz w:val="19"/>
        </w:rPr>
        <w:t> </w:t>
      </w:r>
      <w:r>
        <w:rPr>
          <w:color w:val="231F20"/>
          <w:w w:val="115"/>
          <w:sz w:val="19"/>
        </w:rPr>
        <w:t>an</w:t>
      </w:r>
      <w:r>
        <w:rPr>
          <w:color w:val="231F20"/>
          <w:spacing w:val="-15"/>
          <w:w w:val="115"/>
          <w:sz w:val="19"/>
        </w:rPr>
        <w:t> </w:t>
      </w:r>
      <w:r>
        <w:rPr>
          <w:color w:val="231F20"/>
          <w:w w:val="115"/>
          <w:sz w:val="19"/>
        </w:rPr>
        <w:t>early</w:t>
      </w:r>
      <w:r>
        <w:rPr>
          <w:color w:val="231F20"/>
          <w:spacing w:val="-15"/>
          <w:w w:val="115"/>
          <w:sz w:val="19"/>
        </w:rPr>
        <w:t> </w:t>
      </w:r>
      <w:r>
        <w:rPr>
          <w:color w:val="231F20"/>
          <w:w w:val="115"/>
          <w:sz w:val="19"/>
        </w:rPr>
        <w:t>warning</w:t>
      </w:r>
      <w:r>
        <w:rPr>
          <w:color w:val="231F20"/>
          <w:spacing w:val="-15"/>
          <w:w w:val="115"/>
          <w:sz w:val="19"/>
        </w:rPr>
        <w:t> </w:t>
      </w:r>
      <w:r>
        <w:rPr>
          <w:color w:val="231F20"/>
          <w:w w:val="115"/>
          <w:sz w:val="19"/>
        </w:rPr>
        <w:t>system</w:t>
      </w:r>
      <w:r>
        <w:rPr>
          <w:color w:val="231F20"/>
          <w:w w:val="115"/>
          <w:sz w:val="19"/>
        </w:rPr>
        <w:t> of performance and management statistics.</w:t>
      </w:r>
    </w:p>
    <w:p>
      <w:pPr>
        <w:pStyle w:val="BodyText"/>
        <w:rPr>
          <w:rFonts w:ascii="Arial"/>
          <w:sz w:val="20"/>
        </w:rPr>
      </w:pPr>
    </w:p>
    <w:p>
      <w:pPr>
        <w:pStyle w:val="BodyText"/>
        <w:spacing w:before="5"/>
        <w:rPr>
          <w:rFonts w:ascii="Arial"/>
          <w:sz w:val="17"/>
        </w:rPr>
      </w:pPr>
    </w:p>
    <w:p>
      <w:pPr>
        <w:pStyle w:val="BodyText"/>
        <w:spacing w:line="292" w:lineRule="auto"/>
        <w:ind w:left="920" w:right="666" w:firstLine="340"/>
        <w:jc w:val="both"/>
      </w:pPr>
      <w:r>
        <w:rPr>
          <w:color w:val="231F20"/>
        </w:rPr>
        <w:t>All the efforts of Sarbanes-Oxley have not appeared to stem </w:t>
      </w:r>
      <w:r>
        <w:rPr>
          <w:color w:val="231F20"/>
        </w:rPr>
        <w:t>the tide. After implementation of Sarbanes-Oxley, other corporate scan- dals occurred: rapid mutual-fund trading in 2003 (Putnam, Invesco, and Janus), bid rigging in the insurance industry in 2004 (Marsh </w:t>
      </w:r>
      <w:r>
        <w:rPr>
          <w:color w:val="231F20"/>
          <w:w w:val="110"/>
        </w:rPr>
        <w:t>&amp; </w:t>
      </w:r>
      <w:r>
        <w:rPr>
          <w:color w:val="231F20"/>
        </w:rPr>
        <w:t>McLennan), and egregious accounting at Fannie Mae in 2004. Even the head of Yale University’s International Institute for Corporate Governance was caught in 2005 in a scandal concerning his expense account. MBAs need to be aware of the ethical environment that</w:t>
      </w:r>
      <w:r>
        <w:rPr>
          <w:color w:val="231F20"/>
          <w:spacing w:val="80"/>
          <w:w w:val="150"/>
        </w:rPr>
        <w:t> </w:t>
      </w:r>
      <w:r>
        <w:rPr>
          <w:color w:val="231F20"/>
        </w:rPr>
        <w:t>they work in and the ones that they help to create.</w:t>
      </w:r>
    </w:p>
    <w:p>
      <w:pPr>
        <w:pStyle w:val="BodyText"/>
        <w:rPr>
          <w:sz w:val="24"/>
        </w:rPr>
      </w:pPr>
    </w:p>
    <w:p>
      <w:pPr>
        <w:pStyle w:val="BodyText"/>
        <w:spacing w:before="8"/>
        <w:rPr>
          <w:sz w:val="24"/>
        </w:rPr>
      </w:pPr>
    </w:p>
    <w:p>
      <w:pPr>
        <w:pStyle w:val="Heading4"/>
        <w:ind w:left="481"/>
      </w:pPr>
      <w:r>
        <w:rPr>
          <w:color w:val="231F20"/>
          <w:w w:val="90"/>
        </w:rPr>
        <w:t>KEY</w:t>
      </w:r>
      <w:r>
        <w:rPr>
          <w:color w:val="231F20"/>
          <w:spacing w:val="2"/>
        </w:rPr>
        <w:t> </w:t>
      </w:r>
      <w:r>
        <w:rPr>
          <w:color w:val="231F20"/>
          <w:spacing w:val="9"/>
          <w:w w:val="90"/>
        </w:rPr>
        <w:t>ETHICS</w:t>
      </w:r>
      <w:r>
        <w:rPr>
          <w:color w:val="231F20"/>
          <w:spacing w:val="3"/>
        </w:rPr>
        <w:t> </w:t>
      </w:r>
      <w:r>
        <w:rPr>
          <w:color w:val="231F20"/>
          <w:spacing w:val="-2"/>
          <w:w w:val="90"/>
        </w:rPr>
        <w:t>TAKEAWAYS</w:t>
      </w:r>
    </w:p>
    <w:p>
      <w:pPr>
        <w:pStyle w:val="BodyText"/>
        <w:spacing w:before="8"/>
        <w:rPr>
          <w:rFonts w:ascii="Trebuchet MS"/>
          <w:sz w:val="31"/>
        </w:rPr>
      </w:pPr>
    </w:p>
    <w:p>
      <w:pPr>
        <w:spacing w:line="328" w:lineRule="auto" w:before="1"/>
        <w:ind w:left="1600" w:right="667" w:hanging="340"/>
        <w:jc w:val="left"/>
        <w:rPr>
          <w:rFonts w:ascii="Arial" w:hAnsi="Arial"/>
          <w:sz w:val="19"/>
        </w:rPr>
      </w:pPr>
      <w:r>
        <w:rPr>
          <w:rFonts w:ascii="Arial" w:hAnsi="Arial"/>
          <w:i/>
          <w:color w:val="231F20"/>
          <w:w w:val="110"/>
          <w:sz w:val="19"/>
        </w:rPr>
        <w:t>Social Responsibility of Business</w:t>
      </w:r>
      <w:r>
        <w:rPr>
          <w:rFonts w:ascii="Arial" w:hAnsi="Arial"/>
          <w:i/>
          <w:color w:val="231F20"/>
          <w:spacing w:val="-42"/>
          <w:w w:val="110"/>
          <w:sz w:val="19"/>
        </w:rPr>
        <w:t> </w:t>
      </w:r>
      <w:r>
        <w:rPr>
          <w:rFonts w:ascii="Arial" w:hAnsi="Arial"/>
          <w:color w:val="231F20"/>
          <w:w w:val="110"/>
          <w:sz w:val="19"/>
        </w:rPr>
        <w:t>—</w:t>
      </w:r>
      <w:r>
        <w:rPr>
          <w:rFonts w:ascii="Arial" w:hAnsi="Arial"/>
          <w:color w:val="231F20"/>
          <w:spacing w:val="-39"/>
          <w:w w:val="110"/>
          <w:sz w:val="19"/>
        </w:rPr>
        <w:t> </w:t>
      </w:r>
      <w:r>
        <w:rPr>
          <w:rFonts w:ascii="Arial" w:hAnsi="Arial"/>
          <w:color w:val="231F20"/>
          <w:w w:val="110"/>
          <w:sz w:val="19"/>
        </w:rPr>
        <w:t>Concept that businesses </w:t>
      </w:r>
      <w:r>
        <w:rPr>
          <w:rFonts w:ascii="Arial" w:hAnsi="Arial"/>
          <w:color w:val="231F20"/>
          <w:w w:val="115"/>
          <w:sz w:val="19"/>
        </w:rPr>
        <w:t>are accountable to more than their owners</w:t>
      </w:r>
    </w:p>
    <w:p>
      <w:pPr>
        <w:spacing w:line="328" w:lineRule="auto" w:before="1"/>
        <w:ind w:left="1600" w:right="1045" w:hanging="340"/>
        <w:jc w:val="left"/>
        <w:rPr>
          <w:rFonts w:ascii="Arial" w:hAnsi="Arial"/>
          <w:sz w:val="19"/>
        </w:rPr>
      </w:pPr>
      <w:r>
        <w:rPr>
          <w:rFonts w:ascii="Arial" w:hAnsi="Arial"/>
          <w:i/>
          <w:color w:val="231F20"/>
          <w:w w:val="110"/>
          <w:sz w:val="19"/>
        </w:rPr>
        <w:t>Relativism and Its Four Forms</w:t>
      </w:r>
      <w:r>
        <w:rPr>
          <w:rFonts w:ascii="Arial" w:hAnsi="Arial"/>
          <w:i/>
          <w:color w:val="231F20"/>
          <w:spacing w:val="-40"/>
          <w:w w:val="110"/>
          <w:sz w:val="19"/>
        </w:rPr>
        <w:t> </w:t>
      </w:r>
      <w:r>
        <w:rPr>
          <w:rFonts w:ascii="Arial" w:hAnsi="Arial"/>
          <w:color w:val="231F20"/>
          <w:w w:val="110"/>
          <w:sz w:val="19"/>
        </w:rPr>
        <w:t>—</w:t>
      </w:r>
      <w:r>
        <w:rPr>
          <w:rFonts w:ascii="Arial" w:hAnsi="Arial"/>
          <w:color w:val="231F20"/>
          <w:spacing w:val="-39"/>
          <w:w w:val="110"/>
          <w:sz w:val="19"/>
        </w:rPr>
        <w:t> </w:t>
      </w:r>
      <w:r>
        <w:rPr>
          <w:rFonts w:ascii="Arial" w:hAnsi="Arial"/>
          <w:color w:val="231F20"/>
          <w:w w:val="110"/>
          <w:sz w:val="19"/>
        </w:rPr>
        <w:t>Reasons to avoid </w:t>
      </w:r>
      <w:r>
        <w:rPr>
          <w:rFonts w:ascii="Arial" w:hAnsi="Arial"/>
          <w:color w:val="231F20"/>
          <w:w w:val="110"/>
          <w:sz w:val="19"/>
        </w:rPr>
        <w:t>making ethical decisions</w:t>
      </w:r>
    </w:p>
    <w:p>
      <w:pPr>
        <w:spacing w:line="328" w:lineRule="auto" w:before="1"/>
        <w:ind w:left="1599" w:right="1262" w:hanging="340"/>
        <w:jc w:val="left"/>
        <w:rPr>
          <w:rFonts w:ascii="Arial" w:hAnsi="Arial"/>
          <w:sz w:val="19"/>
        </w:rPr>
      </w:pPr>
      <w:r>
        <w:rPr>
          <w:rFonts w:ascii="Arial" w:hAnsi="Arial"/>
          <w:i/>
          <w:color w:val="231F20"/>
          <w:w w:val="110"/>
          <w:sz w:val="19"/>
        </w:rPr>
        <w:t>Stakeholder Analysis</w:t>
      </w:r>
      <w:r>
        <w:rPr>
          <w:rFonts w:ascii="Arial" w:hAnsi="Arial"/>
          <w:i/>
          <w:color w:val="231F20"/>
          <w:spacing w:val="-36"/>
          <w:w w:val="110"/>
          <w:sz w:val="19"/>
        </w:rPr>
        <w:t> </w:t>
      </w:r>
      <w:r>
        <w:rPr>
          <w:rFonts w:ascii="Arial" w:hAnsi="Arial"/>
          <w:color w:val="231F20"/>
          <w:spacing w:val="11"/>
          <w:w w:val="110"/>
          <w:sz w:val="19"/>
        </w:rPr>
        <w:t>—</w:t>
      </w:r>
      <w:r>
        <w:rPr>
          <w:rFonts w:ascii="Arial" w:hAnsi="Arial"/>
          <w:color w:val="231F20"/>
          <w:w w:val="110"/>
          <w:sz w:val="19"/>
        </w:rPr>
        <w:t>A framework considering who is affected by a business decision</w:t>
      </w:r>
    </w:p>
    <w:p>
      <w:pPr>
        <w:spacing w:line="328" w:lineRule="auto" w:before="2"/>
        <w:ind w:left="1599" w:right="667" w:hanging="340"/>
        <w:jc w:val="left"/>
        <w:rPr>
          <w:rFonts w:ascii="Arial" w:hAnsi="Arial"/>
          <w:sz w:val="19"/>
        </w:rPr>
      </w:pPr>
      <w:r>
        <w:rPr>
          <w:rFonts w:ascii="Arial" w:hAnsi="Arial"/>
          <w:i/>
          <w:color w:val="231F20"/>
          <w:w w:val="115"/>
          <w:sz w:val="19"/>
        </w:rPr>
        <w:t>Sarbanes-Oxley</w:t>
      </w:r>
      <w:r>
        <w:rPr>
          <w:rFonts w:ascii="Arial" w:hAnsi="Arial"/>
          <w:i/>
          <w:color w:val="231F20"/>
          <w:spacing w:val="-16"/>
          <w:w w:val="115"/>
          <w:sz w:val="19"/>
        </w:rPr>
        <w:t> </w:t>
      </w:r>
      <w:r>
        <w:rPr>
          <w:rFonts w:ascii="Arial" w:hAnsi="Arial"/>
          <w:i/>
          <w:color w:val="231F20"/>
          <w:w w:val="115"/>
          <w:sz w:val="19"/>
        </w:rPr>
        <w:t>Act</w:t>
      </w:r>
      <w:r>
        <w:rPr>
          <w:rFonts w:ascii="Arial" w:hAnsi="Arial"/>
          <w:i/>
          <w:color w:val="231F20"/>
          <w:spacing w:val="-12"/>
          <w:w w:val="115"/>
          <w:sz w:val="19"/>
        </w:rPr>
        <w:t> </w:t>
      </w:r>
      <w:r>
        <w:rPr>
          <w:rFonts w:ascii="Arial" w:hAnsi="Arial"/>
          <w:i/>
          <w:color w:val="231F20"/>
          <w:w w:val="115"/>
          <w:sz w:val="19"/>
        </w:rPr>
        <w:t>of</w:t>
      </w:r>
      <w:r>
        <w:rPr>
          <w:rFonts w:ascii="Arial" w:hAnsi="Arial"/>
          <w:i/>
          <w:color w:val="231F20"/>
          <w:spacing w:val="-13"/>
          <w:w w:val="115"/>
          <w:sz w:val="19"/>
        </w:rPr>
        <w:t> </w:t>
      </w:r>
      <w:r>
        <w:rPr>
          <w:rFonts w:ascii="Arial" w:hAnsi="Arial"/>
          <w:i/>
          <w:color w:val="231F20"/>
          <w:w w:val="115"/>
          <w:sz w:val="19"/>
        </w:rPr>
        <w:t>2002</w:t>
      </w:r>
      <w:r>
        <w:rPr>
          <w:rFonts w:ascii="Arial" w:hAnsi="Arial"/>
          <w:i/>
          <w:color w:val="231F20"/>
          <w:spacing w:val="-42"/>
          <w:w w:val="115"/>
          <w:sz w:val="19"/>
        </w:rPr>
        <w:t> </w:t>
      </w:r>
      <w:r>
        <w:rPr>
          <w:rFonts w:ascii="Arial" w:hAnsi="Arial"/>
          <w:color w:val="231F20"/>
          <w:spacing w:val="11"/>
          <w:w w:val="115"/>
          <w:sz w:val="19"/>
        </w:rPr>
        <w:t>—</w:t>
      </w:r>
      <w:r>
        <w:rPr>
          <w:rFonts w:ascii="Arial" w:hAnsi="Arial"/>
          <w:color w:val="231F20"/>
          <w:w w:val="115"/>
          <w:sz w:val="19"/>
        </w:rPr>
        <w:t>A</w:t>
      </w:r>
      <w:r>
        <w:rPr>
          <w:rFonts w:ascii="Arial" w:hAnsi="Arial"/>
          <w:color w:val="231F20"/>
          <w:spacing w:val="-13"/>
          <w:w w:val="115"/>
          <w:sz w:val="19"/>
        </w:rPr>
        <w:t> </w:t>
      </w:r>
      <w:r>
        <w:rPr>
          <w:rFonts w:ascii="Arial" w:hAnsi="Arial"/>
          <w:color w:val="231F20"/>
          <w:w w:val="115"/>
          <w:sz w:val="19"/>
        </w:rPr>
        <w:t>federal</w:t>
      </w:r>
      <w:r>
        <w:rPr>
          <w:rFonts w:ascii="Arial" w:hAnsi="Arial"/>
          <w:color w:val="231F20"/>
          <w:spacing w:val="-13"/>
          <w:w w:val="115"/>
          <w:sz w:val="19"/>
        </w:rPr>
        <w:t> </w:t>
      </w:r>
      <w:r>
        <w:rPr>
          <w:rFonts w:ascii="Arial" w:hAnsi="Arial"/>
          <w:color w:val="231F20"/>
          <w:w w:val="115"/>
          <w:sz w:val="19"/>
        </w:rPr>
        <w:t>law</w:t>
      </w:r>
      <w:r>
        <w:rPr>
          <w:rFonts w:ascii="Arial" w:hAnsi="Arial"/>
          <w:color w:val="231F20"/>
          <w:spacing w:val="-13"/>
          <w:w w:val="115"/>
          <w:sz w:val="19"/>
        </w:rPr>
        <w:t> </w:t>
      </w:r>
      <w:r>
        <w:rPr>
          <w:rFonts w:ascii="Arial" w:hAnsi="Arial"/>
          <w:color w:val="231F20"/>
          <w:w w:val="115"/>
          <w:sz w:val="19"/>
        </w:rPr>
        <w:t>attempting</w:t>
      </w:r>
      <w:r>
        <w:rPr>
          <w:rFonts w:ascii="Arial" w:hAnsi="Arial"/>
          <w:color w:val="231F20"/>
          <w:spacing w:val="-13"/>
          <w:w w:val="115"/>
          <w:sz w:val="19"/>
        </w:rPr>
        <w:t> </w:t>
      </w:r>
      <w:r>
        <w:rPr>
          <w:rFonts w:ascii="Arial" w:hAnsi="Arial"/>
          <w:color w:val="231F20"/>
          <w:w w:val="115"/>
          <w:sz w:val="19"/>
        </w:rPr>
        <w:t>to legislate ethics in corporate America</w:t>
      </w:r>
    </w:p>
    <w:p>
      <w:pPr>
        <w:spacing w:after="0" w:line="328" w:lineRule="auto"/>
        <w:jc w:val="left"/>
        <w:rPr>
          <w:rFonts w:ascii="Arial" w:hAnsi="Arial"/>
          <w:sz w:val="19"/>
        </w:rPr>
        <w:sectPr>
          <w:pgSz w:w="8640" w:h="12960"/>
          <w:pgMar w:header="734" w:footer="0" w:top="920" w:bottom="280" w:left="340" w:right="50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9"/>
        </w:rPr>
      </w:pPr>
    </w:p>
    <w:p>
      <w:pPr>
        <w:spacing w:before="86"/>
        <w:ind w:left="289" w:right="219" w:firstLine="0"/>
        <w:jc w:val="center"/>
        <w:rPr>
          <w:b/>
          <w:i/>
          <w:sz w:val="40"/>
        </w:rPr>
      </w:pPr>
      <w:bookmarkStart w:name="Day 3" w:id="13"/>
      <w:bookmarkEnd w:id="13"/>
      <w:r>
        <w:rPr/>
      </w:r>
      <w:bookmarkStart w:name="_bookmark6" w:id="14"/>
      <w:bookmarkEnd w:id="14"/>
      <w:r>
        <w:rPr/>
      </w:r>
      <w:hyperlink w:history="true" w:anchor="_bookmark1">
        <w:r>
          <w:rPr>
            <w:b/>
            <w:i/>
            <w:color w:val="0000FF"/>
            <w:spacing w:val="12"/>
            <w:sz w:val="40"/>
          </w:rPr>
          <w:t>Day</w:t>
        </w:r>
        <w:r>
          <w:rPr>
            <w:b/>
            <w:i/>
            <w:color w:val="0000FF"/>
            <w:spacing w:val="68"/>
            <w:sz w:val="40"/>
          </w:rPr>
          <w:t> </w:t>
        </w:r>
        <w:r>
          <w:rPr>
            <w:b/>
            <w:i/>
            <w:color w:val="0000FF"/>
            <w:spacing w:val="-10"/>
            <w:sz w:val="40"/>
          </w:rPr>
          <w:t>3</w:t>
        </w:r>
      </w:hyperlink>
    </w:p>
    <w:p>
      <w:pPr>
        <w:pStyle w:val="BodyText"/>
        <w:spacing w:before="10"/>
        <w:rPr>
          <w:b/>
          <w:i/>
          <w:sz w:val="10"/>
        </w:rPr>
      </w:pPr>
      <w:r>
        <w:rPr/>
        <w:pict>
          <v:shape style="position:absolute;margin-left:175.75pt;margin-top:7.583056pt;width:76pt;height:.1pt;mso-position-horizontal-relative:page;mso-position-vertical-relative:paragraph;z-index:-15683584;mso-wrap-distance-left:0;mso-wrap-distance-right:0" id="docshape87" coordorigin="3515,152" coordsize="1520,0" path="m3515,152l5035,152e" filled="false" stroked="true" strokeweight="6pt" strokecolor="#d1d3d4">
            <v:path arrowok="t"/>
            <v:stroke dashstyle="solid"/>
            <w10:wrap type="topAndBottom"/>
          </v:shape>
        </w:pict>
      </w:r>
    </w:p>
    <w:p>
      <w:pPr>
        <w:pStyle w:val="Heading1"/>
      </w:pPr>
      <w:r>
        <w:rPr>
          <w:color w:val="231F20"/>
          <w:spacing w:val="39"/>
          <w:w w:val="85"/>
        </w:rPr>
        <w:t>ACCOUNTING</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5"/>
        <w:rPr>
          <w:rFonts w:ascii="Trebuchet MS"/>
          <w:sz w:val="16"/>
        </w:rPr>
      </w:pPr>
    </w:p>
    <w:p>
      <w:pPr>
        <w:spacing w:after="0"/>
        <w:rPr>
          <w:rFonts w:ascii="Trebuchet MS"/>
          <w:sz w:val="16"/>
        </w:rPr>
        <w:sectPr>
          <w:headerReference w:type="even" r:id="rId30"/>
          <w:pgSz w:w="8640" w:h="12960"/>
          <w:pgMar w:header="0" w:footer="0" w:top="1220" w:bottom="280" w:left="340" w:right="500"/>
        </w:sectPr>
      </w:pPr>
    </w:p>
    <w:p>
      <w:pPr>
        <w:pStyle w:val="BodyText"/>
        <w:rPr>
          <w:rFonts w:ascii="Trebuchet MS"/>
          <w:sz w:val="20"/>
        </w:rPr>
      </w:pPr>
    </w:p>
    <w:p>
      <w:pPr>
        <w:pStyle w:val="BodyText"/>
        <w:spacing w:before="3"/>
        <w:rPr>
          <w:rFonts w:ascii="Trebuchet MS"/>
          <w:sz w:val="17"/>
        </w:rPr>
      </w:pPr>
    </w:p>
    <w:p>
      <w:pPr>
        <w:spacing w:before="0"/>
        <w:ind w:left="1170" w:right="0" w:firstLine="0"/>
        <w:jc w:val="left"/>
        <w:rPr>
          <w:rFonts w:ascii="Arial"/>
          <w:sz w:val="19"/>
        </w:rPr>
      </w:pPr>
      <w:r>
        <w:rPr>
          <w:rFonts w:ascii="Arial"/>
          <w:color w:val="808285"/>
          <w:w w:val="115"/>
          <w:sz w:val="19"/>
        </w:rPr>
        <w:t>Accounting</w:t>
      </w:r>
      <w:r>
        <w:rPr>
          <w:rFonts w:ascii="Arial"/>
          <w:color w:val="808285"/>
          <w:spacing w:val="34"/>
          <w:w w:val="115"/>
          <w:sz w:val="19"/>
        </w:rPr>
        <w:t> </w:t>
      </w:r>
      <w:r>
        <w:rPr>
          <w:rFonts w:ascii="Arial"/>
          <w:color w:val="808285"/>
          <w:spacing w:val="-4"/>
          <w:w w:val="110"/>
          <w:sz w:val="19"/>
        </w:rPr>
        <w:t>Rules</w:t>
      </w:r>
    </w:p>
    <w:p>
      <w:pPr>
        <w:pStyle w:val="Heading5"/>
        <w:spacing w:before="92"/>
        <w:ind w:left="88" w:right="0"/>
        <w:jc w:val="left"/>
        <w:rPr>
          <w:i/>
        </w:rPr>
      </w:pPr>
      <w:r>
        <w:rPr>
          <w:b w:val="0"/>
          <w:i w:val="0"/>
        </w:rPr>
        <w:br w:type="column"/>
      </w:r>
      <w:r>
        <w:rPr>
          <w:i/>
          <w:color w:val="231F20"/>
          <w:spacing w:val="9"/>
          <w:w w:val="85"/>
        </w:rPr>
        <w:t>Accounting</w:t>
      </w:r>
      <w:r>
        <w:rPr>
          <w:i/>
          <w:color w:val="231F20"/>
          <w:spacing w:val="66"/>
        </w:rPr>
        <w:t> </w:t>
      </w:r>
      <w:r>
        <w:rPr>
          <w:i/>
          <w:color w:val="231F20"/>
          <w:spacing w:val="-2"/>
        </w:rPr>
        <w:t>Topics</w:t>
      </w:r>
    </w:p>
    <w:p>
      <w:pPr>
        <w:spacing w:after="0"/>
        <w:jc w:val="left"/>
        <w:sectPr>
          <w:type w:val="continuous"/>
          <w:pgSz w:w="8640" w:h="12960"/>
          <w:pgMar w:header="0" w:footer="0" w:top="1220" w:bottom="280" w:left="340" w:right="500"/>
          <w:cols w:num="2" w:equalWidth="0">
            <w:col w:w="2885" w:space="40"/>
            <w:col w:w="4875"/>
          </w:cols>
        </w:sectPr>
      </w:pPr>
    </w:p>
    <w:p>
      <w:pPr>
        <w:spacing w:line="328" w:lineRule="auto" w:before="81"/>
        <w:ind w:left="1170" w:right="4157" w:firstLine="0"/>
        <w:jc w:val="left"/>
        <w:rPr>
          <w:rFonts w:ascii="Arial"/>
          <w:sz w:val="19"/>
        </w:rPr>
      </w:pPr>
      <w:r>
        <w:rPr/>
        <w:pict>
          <v:shape style="position:absolute;margin-left:58.5pt;margin-top:70.719612pt;width:15.9pt;height:40.050pt;mso-position-horizontal-relative:page;mso-position-vertical-relative:paragraph;z-index:-25183744" type="#_x0000_t202" id="docshape88" filled="false" stroked="false">
            <v:textbox inset="0,0,0,0">
              <w:txbxContent>
                <w:p>
                  <w:pPr>
                    <w:spacing w:line="789" w:lineRule="exact" w:before="11"/>
                    <w:ind w:left="0" w:right="0" w:firstLine="0"/>
                    <w:jc w:val="left"/>
                    <w:rPr>
                      <w:rFonts w:ascii="Trebuchet MS"/>
                      <w:sz w:val="68"/>
                    </w:rPr>
                  </w:pPr>
                  <w:r>
                    <w:rPr>
                      <w:rFonts w:ascii="Trebuchet MS"/>
                      <w:color w:val="808285"/>
                      <w:w w:val="79"/>
                      <w:sz w:val="68"/>
                    </w:rPr>
                    <w:t>A</w:t>
                  </w:r>
                </w:p>
              </w:txbxContent>
            </v:textbox>
            <w10:wrap type="none"/>
          </v:shape>
        </w:pict>
      </w:r>
      <w:r>
        <w:rPr>
          <w:rFonts w:ascii="Arial"/>
          <w:color w:val="808285"/>
          <w:w w:val="115"/>
          <w:sz w:val="19"/>
        </w:rPr>
        <w:t>Accounting Concepts</w:t>
      </w:r>
      <w:r>
        <w:rPr>
          <w:rFonts w:ascii="Arial"/>
          <w:color w:val="808285"/>
          <w:spacing w:val="40"/>
          <w:w w:val="115"/>
          <w:sz w:val="19"/>
        </w:rPr>
        <w:t> </w:t>
      </w:r>
      <w:r>
        <w:rPr>
          <w:rFonts w:ascii="Arial"/>
          <w:color w:val="808285"/>
          <w:w w:val="115"/>
          <w:sz w:val="19"/>
        </w:rPr>
        <w:t>The</w:t>
      </w:r>
      <w:r>
        <w:rPr>
          <w:rFonts w:ascii="Arial"/>
          <w:color w:val="808285"/>
          <w:spacing w:val="-16"/>
          <w:w w:val="115"/>
          <w:sz w:val="19"/>
        </w:rPr>
        <w:t> </w:t>
      </w:r>
      <w:r>
        <w:rPr>
          <w:rFonts w:ascii="Arial"/>
          <w:color w:val="808285"/>
          <w:w w:val="115"/>
          <w:sz w:val="19"/>
        </w:rPr>
        <w:t>Financial</w:t>
      </w:r>
      <w:r>
        <w:rPr>
          <w:rFonts w:ascii="Arial"/>
          <w:color w:val="808285"/>
          <w:spacing w:val="-15"/>
          <w:w w:val="115"/>
          <w:sz w:val="19"/>
        </w:rPr>
        <w:t> </w:t>
      </w:r>
      <w:r>
        <w:rPr>
          <w:rFonts w:ascii="Arial"/>
          <w:color w:val="808285"/>
          <w:w w:val="115"/>
          <w:sz w:val="19"/>
        </w:rPr>
        <w:t>Statements Ratio Analysis Managerial Accounting</w:t>
      </w:r>
    </w:p>
    <w:p>
      <w:pPr>
        <w:pStyle w:val="BodyText"/>
        <w:spacing w:before="11"/>
        <w:rPr>
          <w:rFonts w:ascii="Arial"/>
          <w:sz w:val="24"/>
        </w:rPr>
      </w:pPr>
    </w:p>
    <w:p>
      <w:pPr>
        <w:pStyle w:val="BodyText"/>
        <w:spacing w:line="292" w:lineRule="auto"/>
        <w:ind w:left="829" w:right="757" w:firstLine="315"/>
        <w:jc w:val="right"/>
      </w:pPr>
      <w:r>
        <w:rPr>
          <w:color w:val="231F20"/>
        </w:rPr>
        <w:t>ccounting is the language of business. Corporations need to </w:t>
      </w:r>
      <w:r>
        <w:rPr>
          <w:color w:val="231F20"/>
        </w:rPr>
        <w:t>com- municate their results to the world. Their audience includes em- ployees, investors, creditors, customers, suppliers, and communities. Within</w:t>
      </w:r>
      <w:r>
        <w:rPr>
          <w:color w:val="231F20"/>
          <w:spacing w:val="39"/>
        </w:rPr>
        <w:t> </w:t>
      </w:r>
      <w:r>
        <w:rPr>
          <w:color w:val="231F20"/>
        </w:rPr>
        <w:t>the</w:t>
      </w:r>
      <w:r>
        <w:rPr>
          <w:color w:val="231F20"/>
          <w:spacing w:val="39"/>
        </w:rPr>
        <w:t> </w:t>
      </w:r>
      <w:r>
        <w:rPr>
          <w:color w:val="231F20"/>
        </w:rPr>
        <w:t>company,</w:t>
      </w:r>
      <w:r>
        <w:rPr>
          <w:color w:val="231F20"/>
          <w:spacing w:val="39"/>
        </w:rPr>
        <w:t> </w:t>
      </w:r>
      <w:r>
        <w:rPr>
          <w:color w:val="231F20"/>
        </w:rPr>
        <w:t>accounting</w:t>
      </w:r>
      <w:r>
        <w:rPr>
          <w:color w:val="231F20"/>
          <w:spacing w:val="39"/>
        </w:rPr>
        <w:t> </w:t>
      </w:r>
      <w:r>
        <w:rPr>
          <w:color w:val="231F20"/>
        </w:rPr>
        <w:t>information</w:t>
      </w:r>
      <w:r>
        <w:rPr>
          <w:color w:val="231F20"/>
          <w:spacing w:val="39"/>
        </w:rPr>
        <w:t> </w:t>
      </w:r>
      <w:r>
        <w:rPr>
          <w:color w:val="231F20"/>
        </w:rPr>
        <w:t>provides</w:t>
      </w:r>
      <w:r>
        <w:rPr>
          <w:color w:val="231F20"/>
          <w:spacing w:val="39"/>
        </w:rPr>
        <w:t> </w:t>
      </w:r>
      <w:r>
        <w:rPr>
          <w:color w:val="231F20"/>
        </w:rPr>
        <w:t>a</w:t>
      </w:r>
      <w:r>
        <w:rPr>
          <w:color w:val="231F20"/>
          <w:spacing w:val="39"/>
        </w:rPr>
        <w:t> </w:t>
      </w:r>
      <w:r>
        <w:rPr>
          <w:color w:val="231F20"/>
        </w:rPr>
        <w:t>means</w:t>
      </w:r>
      <w:r>
        <w:rPr>
          <w:color w:val="231F20"/>
          <w:spacing w:val="39"/>
        </w:rPr>
        <w:t> </w:t>
      </w:r>
      <w:r>
        <w:rPr>
          <w:color w:val="231F20"/>
        </w:rPr>
        <w:t>to control,</w:t>
      </w:r>
      <w:r>
        <w:rPr>
          <w:color w:val="231F20"/>
          <w:spacing w:val="40"/>
        </w:rPr>
        <w:t> </w:t>
      </w:r>
      <w:r>
        <w:rPr>
          <w:color w:val="231F20"/>
        </w:rPr>
        <w:t>evaluate,</w:t>
      </w:r>
      <w:r>
        <w:rPr>
          <w:color w:val="231F20"/>
          <w:spacing w:val="40"/>
        </w:rPr>
        <w:t> </w:t>
      </w:r>
      <w:r>
        <w:rPr>
          <w:color w:val="231F20"/>
        </w:rPr>
        <w:t>and</w:t>
      </w:r>
      <w:r>
        <w:rPr>
          <w:color w:val="231F20"/>
          <w:spacing w:val="40"/>
        </w:rPr>
        <w:t> </w:t>
      </w:r>
      <w:r>
        <w:rPr>
          <w:color w:val="231F20"/>
        </w:rPr>
        <w:t>plan</w:t>
      </w:r>
      <w:r>
        <w:rPr>
          <w:color w:val="231F20"/>
          <w:spacing w:val="40"/>
        </w:rPr>
        <w:t> </w:t>
      </w:r>
      <w:r>
        <w:rPr>
          <w:color w:val="231F20"/>
        </w:rPr>
        <w:t>operations.</w:t>
      </w:r>
      <w:r>
        <w:rPr>
          <w:color w:val="231F20"/>
          <w:spacing w:val="40"/>
        </w:rPr>
        <w:t> </w:t>
      </w:r>
      <w:r>
        <w:rPr>
          <w:color w:val="231F20"/>
        </w:rPr>
        <w:t>Whatever</w:t>
      </w:r>
      <w:r>
        <w:rPr>
          <w:color w:val="231F20"/>
          <w:spacing w:val="40"/>
        </w:rPr>
        <w:t> </w:t>
      </w:r>
      <w:r>
        <w:rPr>
          <w:color w:val="231F20"/>
        </w:rPr>
        <w:t>the</w:t>
      </w:r>
      <w:r>
        <w:rPr>
          <w:color w:val="231F20"/>
          <w:spacing w:val="40"/>
        </w:rPr>
        <w:t> </w:t>
      </w:r>
      <w:r>
        <w:rPr>
          <w:color w:val="231F20"/>
        </w:rPr>
        <w:t>audience</w:t>
      </w:r>
      <w:r>
        <w:rPr>
          <w:color w:val="231F20"/>
          <w:spacing w:val="40"/>
        </w:rPr>
        <w:t> </w:t>
      </w:r>
      <w:r>
        <w:rPr>
          <w:color w:val="231F20"/>
        </w:rPr>
        <w:t>or function, accounting is </w:t>
      </w:r>
      <w:r>
        <w:rPr>
          <w:i/>
          <w:color w:val="231F20"/>
        </w:rPr>
        <w:t>numbers. </w:t>
      </w:r>
      <w:r>
        <w:rPr>
          <w:color w:val="231F20"/>
        </w:rPr>
        <w:t>Accountants (a-count-ants) “count the</w:t>
      </w:r>
      <w:r>
        <w:rPr>
          <w:color w:val="231F20"/>
          <w:spacing w:val="33"/>
        </w:rPr>
        <w:t> </w:t>
      </w:r>
      <w:r>
        <w:rPr>
          <w:color w:val="231F20"/>
        </w:rPr>
        <w:t>beans”</w:t>
      </w:r>
      <w:r>
        <w:rPr>
          <w:color w:val="231F20"/>
          <w:spacing w:val="33"/>
        </w:rPr>
        <w:t> </w:t>
      </w:r>
      <w:r>
        <w:rPr>
          <w:color w:val="231F20"/>
        </w:rPr>
        <w:t>so</w:t>
      </w:r>
      <w:r>
        <w:rPr>
          <w:color w:val="231F20"/>
          <w:spacing w:val="33"/>
        </w:rPr>
        <w:t> </w:t>
      </w:r>
      <w:r>
        <w:rPr>
          <w:color w:val="231F20"/>
        </w:rPr>
        <w:t>that</w:t>
      </w:r>
      <w:r>
        <w:rPr>
          <w:color w:val="231F20"/>
          <w:spacing w:val="33"/>
        </w:rPr>
        <w:t> </w:t>
      </w:r>
      <w:r>
        <w:rPr>
          <w:color w:val="231F20"/>
        </w:rPr>
        <w:t>business</w:t>
      </w:r>
      <w:r>
        <w:rPr>
          <w:color w:val="231F20"/>
          <w:spacing w:val="33"/>
        </w:rPr>
        <w:t> </w:t>
      </w:r>
      <w:r>
        <w:rPr>
          <w:color w:val="231F20"/>
        </w:rPr>
        <w:t>activity</w:t>
      </w:r>
      <w:r>
        <w:rPr>
          <w:color w:val="231F20"/>
          <w:spacing w:val="33"/>
        </w:rPr>
        <w:t> </w:t>
      </w:r>
      <w:r>
        <w:rPr>
          <w:color w:val="231F20"/>
        </w:rPr>
        <w:t>can</w:t>
      </w:r>
      <w:r>
        <w:rPr>
          <w:color w:val="231F20"/>
          <w:spacing w:val="33"/>
        </w:rPr>
        <w:t> </w:t>
      </w:r>
      <w:r>
        <w:rPr>
          <w:color w:val="231F20"/>
        </w:rPr>
        <w:t>be</w:t>
      </w:r>
      <w:r>
        <w:rPr>
          <w:color w:val="231F20"/>
          <w:spacing w:val="33"/>
        </w:rPr>
        <w:t> </w:t>
      </w:r>
      <w:r>
        <w:rPr>
          <w:color w:val="231F20"/>
        </w:rPr>
        <w:t>recorded,</w:t>
      </w:r>
      <w:r>
        <w:rPr>
          <w:color w:val="231F20"/>
          <w:spacing w:val="33"/>
        </w:rPr>
        <w:t> </w:t>
      </w:r>
      <w:r>
        <w:rPr>
          <w:color w:val="231F20"/>
        </w:rPr>
        <w:t>summarized, and</w:t>
      </w:r>
      <w:r>
        <w:rPr>
          <w:color w:val="231F20"/>
          <w:spacing w:val="16"/>
        </w:rPr>
        <w:t> </w:t>
      </w:r>
      <w:r>
        <w:rPr>
          <w:color w:val="231F20"/>
        </w:rPr>
        <w:t>analyzed.</w:t>
      </w:r>
      <w:r>
        <w:rPr>
          <w:color w:val="231F20"/>
          <w:spacing w:val="16"/>
        </w:rPr>
        <w:t> </w:t>
      </w:r>
      <w:r>
        <w:rPr>
          <w:color w:val="231F20"/>
        </w:rPr>
        <w:t>Accountants</w:t>
      </w:r>
      <w:r>
        <w:rPr>
          <w:color w:val="231F20"/>
          <w:spacing w:val="17"/>
        </w:rPr>
        <w:t> </w:t>
      </w:r>
      <w:r>
        <w:rPr>
          <w:color w:val="231F20"/>
        </w:rPr>
        <w:t>have</w:t>
      </w:r>
      <w:r>
        <w:rPr>
          <w:color w:val="231F20"/>
          <w:spacing w:val="16"/>
        </w:rPr>
        <w:t> </w:t>
      </w:r>
      <w:r>
        <w:rPr>
          <w:color w:val="231F20"/>
        </w:rPr>
        <w:t>been</w:t>
      </w:r>
      <w:r>
        <w:rPr>
          <w:color w:val="231F20"/>
          <w:spacing w:val="17"/>
        </w:rPr>
        <w:t> </w:t>
      </w:r>
      <w:r>
        <w:rPr>
          <w:color w:val="231F20"/>
        </w:rPr>
        <w:t>around</w:t>
      </w:r>
      <w:r>
        <w:rPr>
          <w:color w:val="231F20"/>
          <w:spacing w:val="16"/>
        </w:rPr>
        <w:t> </w:t>
      </w:r>
      <w:r>
        <w:rPr>
          <w:color w:val="231F20"/>
        </w:rPr>
        <w:t>from</w:t>
      </w:r>
      <w:r>
        <w:rPr>
          <w:color w:val="231F20"/>
          <w:spacing w:val="17"/>
        </w:rPr>
        <w:t> </w:t>
      </w:r>
      <w:r>
        <w:rPr>
          <w:color w:val="231F20"/>
        </w:rPr>
        <w:t>the</w:t>
      </w:r>
      <w:r>
        <w:rPr>
          <w:color w:val="231F20"/>
          <w:spacing w:val="16"/>
        </w:rPr>
        <w:t> </w:t>
      </w:r>
      <w:r>
        <w:rPr>
          <w:color w:val="231F20"/>
        </w:rPr>
        <w:t>beginning</w:t>
      </w:r>
      <w:r>
        <w:rPr>
          <w:color w:val="231F20"/>
          <w:spacing w:val="17"/>
        </w:rPr>
        <w:t> </w:t>
      </w:r>
      <w:r>
        <w:rPr>
          <w:color w:val="231F20"/>
          <w:spacing w:val="-5"/>
        </w:rPr>
        <w:t>of</w:t>
      </w:r>
    </w:p>
    <w:p>
      <w:pPr>
        <w:pStyle w:val="BodyText"/>
        <w:spacing w:line="243" w:lineRule="exact"/>
        <w:ind w:left="829"/>
        <w:jc w:val="both"/>
      </w:pPr>
      <w:r>
        <w:rPr>
          <w:color w:val="231F20"/>
        </w:rPr>
        <w:t>time,</w:t>
      </w:r>
      <w:r>
        <w:rPr>
          <w:color w:val="231F20"/>
          <w:spacing w:val="8"/>
        </w:rPr>
        <w:t> </w:t>
      </w:r>
      <w:r>
        <w:rPr>
          <w:color w:val="231F20"/>
        </w:rPr>
        <w:t>and</w:t>
      </w:r>
      <w:r>
        <w:rPr>
          <w:color w:val="231F20"/>
          <w:spacing w:val="9"/>
        </w:rPr>
        <w:t> </w:t>
      </w:r>
      <w:r>
        <w:rPr>
          <w:color w:val="231F20"/>
        </w:rPr>
        <w:t>professors</w:t>
      </w:r>
      <w:r>
        <w:rPr>
          <w:color w:val="231F20"/>
          <w:spacing w:val="8"/>
        </w:rPr>
        <w:t> </w:t>
      </w:r>
      <w:r>
        <w:rPr>
          <w:color w:val="231F20"/>
        </w:rPr>
        <w:t>don’t</w:t>
      </w:r>
      <w:r>
        <w:rPr>
          <w:color w:val="231F20"/>
          <w:spacing w:val="9"/>
        </w:rPr>
        <w:t> </w:t>
      </w:r>
      <w:r>
        <w:rPr>
          <w:color w:val="231F20"/>
        </w:rPr>
        <w:t>let</w:t>
      </w:r>
      <w:r>
        <w:rPr>
          <w:color w:val="231F20"/>
          <w:spacing w:val="8"/>
        </w:rPr>
        <w:t> </w:t>
      </w:r>
      <w:r>
        <w:rPr>
          <w:color w:val="231F20"/>
        </w:rPr>
        <w:t>you</w:t>
      </w:r>
      <w:r>
        <w:rPr>
          <w:color w:val="231F20"/>
          <w:spacing w:val="9"/>
        </w:rPr>
        <w:t> </w:t>
      </w:r>
      <w:r>
        <w:rPr>
          <w:color w:val="231F20"/>
        </w:rPr>
        <w:t>forget</w:t>
      </w:r>
      <w:r>
        <w:rPr>
          <w:color w:val="231F20"/>
          <w:spacing w:val="8"/>
        </w:rPr>
        <w:t> </w:t>
      </w:r>
      <w:r>
        <w:rPr>
          <w:color w:val="231F20"/>
          <w:spacing w:val="-5"/>
        </w:rPr>
        <w:t>it.</w:t>
      </w:r>
    </w:p>
    <w:p>
      <w:pPr>
        <w:pStyle w:val="BodyText"/>
        <w:spacing w:line="292" w:lineRule="auto" w:before="54"/>
        <w:ind w:left="829" w:right="753" w:firstLine="340"/>
        <w:jc w:val="both"/>
      </w:pPr>
      <w:r>
        <w:rPr>
          <w:color w:val="231F20"/>
        </w:rPr>
        <w:t>In biblical times the accountants kept track of how much grain was stored in the community’s silos. How do you think King</w:t>
      </w:r>
      <w:r>
        <w:rPr>
          <w:color w:val="231F20"/>
          <w:spacing w:val="80"/>
          <w:w w:val="150"/>
        </w:rPr>
        <w:t> </w:t>
      </w:r>
      <w:r>
        <w:rPr>
          <w:color w:val="231F20"/>
        </w:rPr>
        <w:t>Solomon knew that there was only a thirty-day supply of grain dur- ing a drought? It was from the accountants. Throughout the ages accountants have kept track with their fingers, abacuses, and </w:t>
      </w:r>
      <w:r>
        <w:rPr>
          <w:color w:val="231F20"/>
        </w:rPr>
        <w:t>calcu- lators.</w:t>
      </w:r>
      <w:r>
        <w:rPr>
          <w:color w:val="231F20"/>
          <w:spacing w:val="40"/>
        </w:rPr>
        <w:t> </w:t>
      </w:r>
      <w:r>
        <w:rPr>
          <w:color w:val="231F20"/>
        </w:rPr>
        <w:t>In</w:t>
      </w:r>
      <w:r>
        <w:rPr>
          <w:color w:val="231F20"/>
          <w:spacing w:val="40"/>
        </w:rPr>
        <w:t> </w:t>
      </w:r>
      <w:r>
        <w:rPr>
          <w:color w:val="231F20"/>
        </w:rPr>
        <w:t>modern</w:t>
      </w:r>
      <w:r>
        <w:rPr>
          <w:color w:val="231F20"/>
          <w:spacing w:val="40"/>
        </w:rPr>
        <w:t> </w:t>
      </w:r>
      <w:r>
        <w:rPr>
          <w:color w:val="231F20"/>
        </w:rPr>
        <w:t>times</w:t>
      </w:r>
      <w:r>
        <w:rPr>
          <w:color w:val="231F20"/>
          <w:spacing w:val="40"/>
        </w:rPr>
        <w:t> </w:t>
      </w:r>
      <w:r>
        <w:rPr>
          <w:color w:val="231F20"/>
        </w:rPr>
        <w:t>accounting</w:t>
      </w:r>
      <w:r>
        <w:rPr>
          <w:color w:val="231F20"/>
          <w:spacing w:val="40"/>
        </w:rPr>
        <w:t> </w:t>
      </w:r>
      <w:r>
        <w:rPr>
          <w:color w:val="231F20"/>
        </w:rPr>
        <w:t>has</w:t>
      </w:r>
      <w:r>
        <w:rPr>
          <w:color w:val="231F20"/>
          <w:spacing w:val="40"/>
        </w:rPr>
        <w:t> </w:t>
      </w:r>
      <w:r>
        <w:rPr>
          <w:color w:val="231F20"/>
        </w:rPr>
        <w:t>gone</w:t>
      </w:r>
      <w:r>
        <w:rPr>
          <w:color w:val="231F20"/>
          <w:spacing w:val="40"/>
        </w:rPr>
        <w:t> </w:t>
      </w:r>
      <w:r>
        <w:rPr>
          <w:color w:val="231F20"/>
        </w:rPr>
        <w:t>beyond</w:t>
      </w:r>
      <w:r>
        <w:rPr>
          <w:color w:val="231F20"/>
          <w:spacing w:val="40"/>
        </w:rPr>
        <w:t> </w:t>
      </w:r>
      <w:r>
        <w:rPr>
          <w:color w:val="231F20"/>
        </w:rPr>
        <w:t>the</w:t>
      </w:r>
      <w:r>
        <w:rPr>
          <w:color w:val="231F20"/>
          <w:spacing w:val="40"/>
        </w:rPr>
        <w:t> </w:t>
      </w:r>
      <w:r>
        <w:rPr>
          <w:color w:val="231F20"/>
        </w:rPr>
        <w:t>physical</w:t>
      </w:r>
    </w:p>
    <w:p>
      <w:pPr>
        <w:spacing w:after="0" w:line="292" w:lineRule="auto"/>
        <w:jc w:val="both"/>
        <w:sectPr>
          <w:type w:val="continuous"/>
          <w:pgSz w:w="8640" w:h="12960"/>
          <w:pgMar w:header="0" w:footer="0" w:top="1220" w:bottom="280" w:left="340" w:right="500"/>
        </w:sectPr>
      </w:pPr>
    </w:p>
    <w:p>
      <w:pPr>
        <w:pStyle w:val="BodyText"/>
        <w:spacing w:before="8"/>
        <w:rPr>
          <w:sz w:val="17"/>
        </w:rPr>
      </w:pPr>
    </w:p>
    <w:p>
      <w:pPr>
        <w:pStyle w:val="BodyText"/>
        <w:spacing w:line="292" w:lineRule="auto" w:before="102"/>
        <w:ind w:left="920" w:right="666"/>
        <w:jc w:val="both"/>
      </w:pPr>
      <w:r>
        <w:rPr>
          <w:color w:val="231F20"/>
          <w:spacing w:val="-2"/>
          <w:w w:val="105"/>
        </w:rPr>
        <w:t>count</w:t>
      </w:r>
      <w:r>
        <w:rPr>
          <w:color w:val="231F20"/>
          <w:spacing w:val="-5"/>
          <w:w w:val="105"/>
        </w:rPr>
        <w:t> </w:t>
      </w:r>
      <w:r>
        <w:rPr>
          <w:color w:val="231F20"/>
          <w:spacing w:val="-2"/>
          <w:w w:val="105"/>
        </w:rPr>
        <w:t>of</w:t>
      </w:r>
      <w:r>
        <w:rPr>
          <w:color w:val="231F20"/>
          <w:spacing w:val="-5"/>
          <w:w w:val="105"/>
        </w:rPr>
        <w:t> </w:t>
      </w:r>
      <w:r>
        <w:rPr>
          <w:color w:val="231F20"/>
          <w:spacing w:val="-2"/>
          <w:w w:val="105"/>
        </w:rPr>
        <w:t>grain</w:t>
      </w:r>
      <w:r>
        <w:rPr>
          <w:color w:val="231F20"/>
          <w:spacing w:val="-5"/>
          <w:w w:val="105"/>
        </w:rPr>
        <w:t> </w:t>
      </w:r>
      <w:r>
        <w:rPr>
          <w:color w:val="231F20"/>
          <w:spacing w:val="-2"/>
          <w:w w:val="105"/>
        </w:rPr>
        <w:t>in</w:t>
      </w:r>
      <w:r>
        <w:rPr>
          <w:color w:val="231F20"/>
          <w:spacing w:val="-5"/>
          <w:w w:val="105"/>
        </w:rPr>
        <w:t> </w:t>
      </w:r>
      <w:r>
        <w:rPr>
          <w:color w:val="231F20"/>
          <w:spacing w:val="-2"/>
          <w:w w:val="105"/>
        </w:rPr>
        <w:t>storage.</w:t>
      </w:r>
      <w:r>
        <w:rPr>
          <w:color w:val="231F20"/>
          <w:spacing w:val="-5"/>
          <w:w w:val="105"/>
        </w:rPr>
        <w:t> </w:t>
      </w:r>
      <w:r>
        <w:rPr>
          <w:color w:val="231F20"/>
          <w:spacing w:val="-2"/>
          <w:w w:val="105"/>
        </w:rPr>
        <w:t>Accounting</w:t>
      </w:r>
      <w:r>
        <w:rPr>
          <w:color w:val="231F20"/>
          <w:spacing w:val="-5"/>
          <w:w w:val="105"/>
        </w:rPr>
        <w:t> </w:t>
      </w:r>
      <w:r>
        <w:rPr>
          <w:color w:val="231F20"/>
          <w:spacing w:val="-2"/>
          <w:w w:val="105"/>
        </w:rPr>
        <w:t>answers</w:t>
      </w:r>
      <w:r>
        <w:rPr>
          <w:color w:val="231F20"/>
          <w:spacing w:val="-5"/>
          <w:w w:val="105"/>
        </w:rPr>
        <w:t> </w:t>
      </w:r>
      <w:r>
        <w:rPr>
          <w:color w:val="231F20"/>
          <w:spacing w:val="-2"/>
          <w:w w:val="105"/>
        </w:rPr>
        <w:t>these</w:t>
      </w:r>
      <w:r>
        <w:rPr>
          <w:color w:val="231F20"/>
          <w:spacing w:val="-5"/>
          <w:w w:val="105"/>
        </w:rPr>
        <w:t> </w:t>
      </w:r>
      <w:r>
        <w:rPr>
          <w:color w:val="231F20"/>
          <w:spacing w:val="-2"/>
          <w:w w:val="105"/>
        </w:rPr>
        <w:t>basic</w:t>
      </w:r>
      <w:r>
        <w:rPr>
          <w:color w:val="231F20"/>
          <w:spacing w:val="-5"/>
          <w:w w:val="105"/>
        </w:rPr>
        <w:t> </w:t>
      </w:r>
      <w:r>
        <w:rPr>
          <w:color w:val="231F20"/>
          <w:spacing w:val="-2"/>
          <w:w w:val="105"/>
        </w:rPr>
        <w:t>questions </w:t>
      </w:r>
      <w:r>
        <w:rPr>
          <w:color w:val="231F20"/>
          <w:w w:val="105"/>
        </w:rPr>
        <w:t>about a business:</w:t>
      </w:r>
    </w:p>
    <w:p>
      <w:pPr>
        <w:pStyle w:val="BodyText"/>
        <w:spacing w:before="3"/>
        <w:rPr>
          <w:sz w:val="27"/>
        </w:rPr>
      </w:pPr>
    </w:p>
    <w:p>
      <w:pPr>
        <w:spacing w:before="1"/>
        <w:ind w:left="1260" w:right="0" w:firstLine="0"/>
        <w:jc w:val="left"/>
        <w:rPr>
          <w:rFonts w:ascii="Arial"/>
          <w:sz w:val="19"/>
        </w:rPr>
      </w:pPr>
      <w:r>
        <w:rPr>
          <w:rFonts w:ascii="Arial"/>
          <w:color w:val="231F20"/>
          <w:w w:val="115"/>
          <w:sz w:val="19"/>
        </w:rPr>
        <w:t>What</w:t>
      </w:r>
      <w:r>
        <w:rPr>
          <w:rFonts w:ascii="Arial"/>
          <w:color w:val="231F20"/>
          <w:spacing w:val="-11"/>
          <w:w w:val="115"/>
          <w:sz w:val="19"/>
        </w:rPr>
        <w:t> </w:t>
      </w:r>
      <w:r>
        <w:rPr>
          <w:rFonts w:ascii="Arial"/>
          <w:color w:val="231F20"/>
          <w:w w:val="115"/>
          <w:sz w:val="19"/>
        </w:rPr>
        <w:t>does</w:t>
      </w:r>
      <w:r>
        <w:rPr>
          <w:rFonts w:ascii="Arial"/>
          <w:color w:val="231F20"/>
          <w:spacing w:val="-10"/>
          <w:w w:val="115"/>
          <w:sz w:val="19"/>
        </w:rPr>
        <w:t> </w:t>
      </w:r>
      <w:r>
        <w:rPr>
          <w:rFonts w:ascii="Arial"/>
          <w:color w:val="231F20"/>
          <w:w w:val="115"/>
          <w:sz w:val="19"/>
        </w:rPr>
        <w:t>a</w:t>
      </w:r>
      <w:r>
        <w:rPr>
          <w:rFonts w:ascii="Arial"/>
          <w:color w:val="231F20"/>
          <w:spacing w:val="-11"/>
          <w:w w:val="115"/>
          <w:sz w:val="19"/>
        </w:rPr>
        <w:t> </w:t>
      </w:r>
      <w:r>
        <w:rPr>
          <w:rFonts w:ascii="Arial"/>
          <w:color w:val="231F20"/>
          <w:w w:val="115"/>
          <w:sz w:val="19"/>
        </w:rPr>
        <w:t>company</w:t>
      </w:r>
      <w:r>
        <w:rPr>
          <w:rFonts w:ascii="Arial"/>
          <w:color w:val="231F20"/>
          <w:spacing w:val="-10"/>
          <w:w w:val="115"/>
          <w:sz w:val="19"/>
        </w:rPr>
        <w:t> </w:t>
      </w:r>
      <w:r>
        <w:rPr>
          <w:rFonts w:ascii="Arial"/>
          <w:color w:val="231F20"/>
          <w:spacing w:val="-4"/>
          <w:w w:val="115"/>
          <w:sz w:val="19"/>
        </w:rPr>
        <w:t>own?</w:t>
      </w:r>
    </w:p>
    <w:p>
      <w:pPr>
        <w:spacing w:before="81"/>
        <w:ind w:left="1260" w:right="0" w:firstLine="0"/>
        <w:jc w:val="left"/>
        <w:rPr>
          <w:rFonts w:ascii="Arial"/>
          <w:sz w:val="19"/>
        </w:rPr>
      </w:pPr>
      <w:r>
        <w:rPr>
          <w:rFonts w:ascii="Arial"/>
          <w:color w:val="231F20"/>
          <w:w w:val="115"/>
          <w:sz w:val="19"/>
        </w:rPr>
        <w:t>How</w:t>
      </w:r>
      <w:r>
        <w:rPr>
          <w:rFonts w:ascii="Arial"/>
          <w:color w:val="231F20"/>
          <w:spacing w:val="-11"/>
          <w:w w:val="115"/>
          <w:sz w:val="19"/>
        </w:rPr>
        <w:t> </w:t>
      </w:r>
      <w:r>
        <w:rPr>
          <w:rFonts w:ascii="Arial"/>
          <w:color w:val="231F20"/>
          <w:w w:val="115"/>
          <w:sz w:val="19"/>
        </w:rPr>
        <w:t>much</w:t>
      </w:r>
      <w:r>
        <w:rPr>
          <w:rFonts w:ascii="Arial"/>
          <w:color w:val="231F20"/>
          <w:spacing w:val="-11"/>
          <w:w w:val="115"/>
          <w:sz w:val="19"/>
        </w:rPr>
        <w:t> </w:t>
      </w:r>
      <w:r>
        <w:rPr>
          <w:rFonts w:ascii="Arial"/>
          <w:color w:val="231F20"/>
          <w:w w:val="115"/>
          <w:sz w:val="19"/>
        </w:rPr>
        <w:t>does</w:t>
      </w:r>
      <w:r>
        <w:rPr>
          <w:rFonts w:ascii="Arial"/>
          <w:color w:val="231F20"/>
          <w:spacing w:val="-11"/>
          <w:w w:val="115"/>
          <w:sz w:val="19"/>
        </w:rPr>
        <w:t> </w:t>
      </w:r>
      <w:r>
        <w:rPr>
          <w:rFonts w:ascii="Arial"/>
          <w:color w:val="231F20"/>
          <w:w w:val="115"/>
          <w:sz w:val="19"/>
        </w:rPr>
        <w:t>a</w:t>
      </w:r>
      <w:r>
        <w:rPr>
          <w:rFonts w:ascii="Arial"/>
          <w:color w:val="231F20"/>
          <w:spacing w:val="-11"/>
          <w:w w:val="115"/>
          <w:sz w:val="19"/>
        </w:rPr>
        <w:t> </w:t>
      </w:r>
      <w:r>
        <w:rPr>
          <w:rFonts w:ascii="Arial"/>
          <w:color w:val="231F20"/>
          <w:w w:val="115"/>
          <w:sz w:val="19"/>
        </w:rPr>
        <w:t>company</w:t>
      </w:r>
      <w:r>
        <w:rPr>
          <w:rFonts w:ascii="Arial"/>
          <w:color w:val="231F20"/>
          <w:spacing w:val="-10"/>
          <w:w w:val="115"/>
          <w:sz w:val="19"/>
        </w:rPr>
        <w:t> </w:t>
      </w:r>
      <w:r>
        <w:rPr>
          <w:rFonts w:ascii="Arial"/>
          <w:color w:val="231F20"/>
          <w:w w:val="115"/>
          <w:sz w:val="19"/>
        </w:rPr>
        <w:t>owe</w:t>
      </w:r>
      <w:r>
        <w:rPr>
          <w:rFonts w:ascii="Arial"/>
          <w:color w:val="231F20"/>
          <w:spacing w:val="-11"/>
          <w:w w:val="115"/>
          <w:sz w:val="19"/>
        </w:rPr>
        <w:t> </w:t>
      </w:r>
      <w:r>
        <w:rPr>
          <w:rFonts w:ascii="Arial"/>
          <w:color w:val="231F20"/>
          <w:spacing w:val="-2"/>
          <w:w w:val="115"/>
          <w:sz w:val="19"/>
        </w:rPr>
        <w:t>others?</w:t>
      </w:r>
    </w:p>
    <w:p>
      <w:pPr>
        <w:spacing w:line="328" w:lineRule="auto" w:before="82"/>
        <w:ind w:left="1260" w:right="1592" w:firstLine="0"/>
        <w:jc w:val="left"/>
        <w:rPr>
          <w:rFonts w:ascii="Arial" w:hAnsi="Arial"/>
          <w:sz w:val="19"/>
        </w:rPr>
      </w:pPr>
      <w:r>
        <w:rPr>
          <w:rFonts w:ascii="Arial" w:hAnsi="Arial"/>
          <w:color w:val="231F20"/>
          <w:w w:val="115"/>
          <w:sz w:val="19"/>
        </w:rPr>
        <w:t>How well did a company’s operations perform? How</w:t>
      </w:r>
      <w:r>
        <w:rPr>
          <w:rFonts w:ascii="Arial" w:hAnsi="Arial"/>
          <w:color w:val="231F20"/>
          <w:spacing w:val="-5"/>
          <w:w w:val="115"/>
          <w:sz w:val="19"/>
        </w:rPr>
        <w:t> </w:t>
      </w:r>
      <w:r>
        <w:rPr>
          <w:rFonts w:ascii="Arial" w:hAnsi="Arial"/>
          <w:color w:val="231F20"/>
          <w:w w:val="115"/>
          <w:sz w:val="19"/>
        </w:rPr>
        <w:t>does</w:t>
      </w:r>
      <w:r>
        <w:rPr>
          <w:rFonts w:ascii="Arial" w:hAnsi="Arial"/>
          <w:color w:val="231F20"/>
          <w:spacing w:val="-5"/>
          <w:w w:val="115"/>
          <w:sz w:val="19"/>
        </w:rPr>
        <w:t> </w:t>
      </w:r>
      <w:r>
        <w:rPr>
          <w:rFonts w:ascii="Arial" w:hAnsi="Arial"/>
          <w:color w:val="231F20"/>
          <w:w w:val="115"/>
          <w:sz w:val="19"/>
        </w:rPr>
        <w:t>the</w:t>
      </w:r>
      <w:r>
        <w:rPr>
          <w:rFonts w:ascii="Arial" w:hAnsi="Arial"/>
          <w:color w:val="231F20"/>
          <w:spacing w:val="-5"/>
          <w:w w:val="115"/>
          <w:sz w:val="19"/>
        </w:rPr>
        <w:t> </w:t>
      </w:r>
      <w:r>
        <w:rPr>
          <w:rFonts w:ascii="Arial" w:hAnsi="Arial"/>
          <w:color w:val="231F20"/>
          <w:w w:val="115"/>
          <w:sz w:val="19"/>
        </w:rPr>
        <w:t>company</w:t>
      </w:r>
      <w:r>
        <w:rPr>
          <w:rFonts w:ascii="Arial" w:hAnsi="Arial"/>
          <w:color w:val="231F20"/>
          <w:spacing w:val="-5"/>
          <w:w w:val="115"/>
          <w:sz w:val="19"/>
        </w:rPr>
        <w:t> </w:t>
      </w:r>
      <w:r>
        <w:rPr>
          <w:rFonts w:ascii="Arial" w:hAnsi="Arial"/>
          <w:color w:val="231F20"/>
          <w:w w:val="115"/>
          <w:sz w:val="19"/>
        </w:rPr>
        <w:t>get</w:t>
      </w:r>
      <w:r>
        <w:rPr>
          <w:rFonts w:ascii="Arial" w:hAnsi="Arial"/>
          <w:color w:val="231F20"/>
          <w:spacing w:val="-5"/>
          <w:w w:val="115"/>
          <w:sz w:val="19"/>
        </w:rPr>
        <w:t> </w:t>
      </w:r>
      <w:r>
        <w:rPr>
          <w:rFonts w:ascii="Arial" w:hAnsi="Arial"/>
          <w:color w:val="231F20"/>
          <w:w w:val="115"/>
          <w:sz w:val="19"/>
        </w:rPr>
        <w:t>the</w:t>
      </w:r>
      <w:r>
        <w:rPr>
          <w:rFonts w:ascii="Arial" w:hAnsi="Arial"/>
          <w:color w:val="231F20"/>
          <w:spacing w:val="-5"/>
          <w:w w:val="115"/>
          <w:sz w:val="19"/>
        </w:rPr>
        <w:t> </w:t>
      </w:r>
      <w:r>
        <w:rPr>
          <w:rFonts w:ascii="Arial" w:hAnsi="Arial"/>
          <w:color w:val="231F20"/>
          <w:w w:val="115"/>
          <w:sz w:val="19"/>
        </w:rPr>
        <w:t>cash</w:t>
      </w:r>
      <w:r>
        <w:rPr>
          <w:rFonts w:ascii="Arial" w:hAnsi="Arial"/>
          <w:color w:val="231F20"/>
          <w:spacing w:val="-5"/>
          <w:w w:val="115"/>
          <w:sz w:val="19"/>
        </w:rPr>
        <w:t> </w:t>
      </w:r>
      <w:r>
        <w:rPr>
          <w:rFonts w:ascii="Arial" w:hAnsi="Arial"/>
          <w:color w:val="231F20"/>
          <w:w w:val="115"/>
          <w:sz w:val="19"/>
        </w:rPr>
        <w:t>to</w:t>
      </w:r>
      <w:r>
        <w:rPr>
          <w:rFonts w:ascii="Arial" w:hAnsi="Arial"/>
          <w:color w:val="231F20"/>
          <w:spacing w:val="-5"/>
          <w:w w:val="115"/>
          <w:sz w:val="19"/>
        </w:rPr>
        <w:t> </w:t>
      </w:r>
      <w:r>
        <w:rPr>
          <w:rFonts w:ascii="Arial" w:hAnsi="Arial"/>
          <w:color w:val="231F20"/>
          <w:w w:val="115"/>
          <w:sz w:val="19"/>
        </w:rPr>
        <w:t>fund</w:t>
      </w:r>
      <w:r>
        <w:rPr>
          <w:rFonts w:ascii="Arial" w:hAnsi="Arial"/>
          <w:color w:val="231F20"/>
          <w:spacing w:val="-5"/>
          <w:w w:val="115"/>
          <w:sz w:val="19"/>
        </w:rPr>
        <w:t> </w:t>
      </w:r>
      <w:r>
        <w:rPr>
          <w:rFonts w:ascii="Arial" w:hAnsi="Arial"/>
          <w:color w:val="231F20"/>
          <w:w w:val="115"/>
          <w:sz w:val="19"/>
        </w:rPr>
        <w:t>itself?</w:t>
      </w:r>
    </w:p>
    <w:p>
      <w:pPr>
        <w:pStyle w:val="BodyText"/>
        <w:spacing w:before="3"/>
        <w:rPr>
          <w:rFonts w:ascii="Arial"/>
          <w:sz w:val="24"/>
        </w:rPr>
      </w:pPr>
    </w:p>
    <w:p>
      <w:pPr>
        <w:pStyle w:val="BodyText"/>
        <w:spacing w:line="292" w:lineRule="auto" w:before="1"/>
        <w:ind w:left="919" w:right="665" w:firstLine="340"/>
        <w:jc w:val="both"/>
      </w:pPr>
      <w:r>
        <w:rPr>
          <w:i/>
          <w:color w:val="231F20"/>
        </w:rPr>
        <w:t>All </w:t>
      </w:r>
      <w:r>
        <w:rPr>
          <w:color w:val="231F20"/>
        </w:rPr>
        <w:t>corporate activities must eventually be measured in dollars, and that is where accounting comes in, like it or not. Although this area may appear tedious, you must have a working knowledge of ac- counting to function in the business world. Because knowledge is power,</w:t>
      </w:r>
      <w:r>
        <w:rPr>
          <w:color w:val="231F20"/>
          <w:spacing w:val="-3"/>
        </w:rPr>
        <w:t> </w:t>
      </w:r>
      <w:r>
        <w:rPr>
          <w:color w:val="231F20"/>
        </w:rPr>
        <w:t>MBAs</w:t>
      </w:r>
      <w:r>
        <w:rPr>
          <w:color w:val="231F20"/>
          <w:spacing w:val="-3"/>
        </w:rPr>
        <w:t> </w:t>
      </w:r>
      <w:r>
        <w:rPr>
          <w:color w:val="231F20"/>
        </w:rPr>
        <w:t>need</w:t>
      </w:r>
      <w:r>
        <w:rPr>
          <w:color w:val="231F20"/>
          <w:spacing w:val="-3"/>
        </w:rPr>
        <w:t> </w:t>
      </w:r>
      <w:r>
        <w:rPr>
          <w:color w:val="231F20"/>
        </w:rPr>
        <w:t>to</w:t>
      </w:r>
      <w:r>
        <w:rPr>
          <w:color w:val="231F20"/>
          <w:spacing w:val="-3"/>
        </w:rPr>
        <w:t> </w:t>
      </w:r>
      <w:r>
        <w:rPr>
          <w:color w:val="231F20"/>
        </w:rPr>
        <w:t>be</w:t>
      </w:r>
      <w:r>
        <w:rPr>
          <w:color w:val="231F20"/>
          <w:spacing w:val="-3"/>
        </w:rPr>
        <w:t> </w:t>
      </w:r>
      <w:r>
        <w:rPr>
          <w:color w:val="231F20"/>
        </w:rPr>
        <w:t>literate</w:t>
      </w:r>
      <w:r>
        <w:rPr>
          <w:color w:val="231F20"/>
          <w:spacing w:val="-3"/>
        </w:rPr>
        <w:t> </w:t>
      </w:r>
      <w:r>
        <w:rPr>
          <w:color w:val="231F20"/>
        </w:rPr>
        <w:t>in</w:t>
      </w:r>
      <w:r>
        <w:rPr>
          <w:color w:val="231F20"/>
          <w:spacing w:val="-3"/>
        </w:rPr>
        <w:t> </w:t>
      </w:r>
      <w:r>
        <w:rPr>
          <w:color w:val="231F20"/>
        </w:rPr>
        <w:t>accounting</w:t>
      </w:r>
      <w:r>
        <w:rPr>
          <w:color w:val="231F20"/>
          <w:spacing w:val="-3"/>
        </w:rPr>
        <w:t> </w:t>
      </w:r>
      <w:r>
        <w:rPr>
          <w:color w:val="231F20"/>
        </w:rPr>
        <w:t>to</w:t>
      </w:r>
      <w:r>
        <w:rPr>
          <w:color w:val="231F20"/>
          <w:spacing w:val="-3"/>
        </w:rPr>
        <w:t> </w:t>
      </w:r>
      <w:r>
        <w:rPr>
          <w:color w:val="231F20"/>
        </w:rPr>
        <w:t>understand</w:t>
      </w:r>
      <w:r>
        <w:rPr>
          <w:color w:val="231F20"/>
          <w:spacing w:val="-3"/>
        </w:rPr>
        <w:t> </w:t>
      </w:r>
      <w:r>
        <w:rPr>
          <w:color w:val="231F20"/>
        </w:rPr>
        <w:t>its</w:t>
      </w:r>
      <w:r>
        <w:rPr>
          <w:color w:val="231F20"/>
          <w:spacing w:val="-3"/>
        </w:rPr>
        <w:t> </w:t>
      </w:r>
      <w:r>
        <w:rPr>
          <w:color w:val="231F20"/>
        </w:rPr>
        <w:t>func- tion;</w:t>
      </w:r>
      <w:r>
        <w:rPr>
          <w:color w:val="231F20"/>
          <w:spacing w:val="-4"/>
        </w:rPr>
        <w:t> </w:t>
      </w:r>
      <w:r>
        <w:rPr>
          <w:color w:val="231F20"/>
        </w:rPr>
        <w:t>more</w:t>
      </w:r>
      <w:r>
        <w:rPr>
          <w:color w:val="231F20"/>
          <w:spacing w:val="-4"/>
        </w:rPr>
        <w:t> </w:t>
      </w:r>
      <w:r>
        <w:rPr>
          <w:color w:val="231F20"/>
        </w:rPr>
        <w:t>important,</w:t>
      </w:r>
      <w:r>
        <w:rPr>
          <w:color w:val="231F20"/>
          <w:spacing w:val="-4"/>
        </w:rPr>
        <w:t> </w:t>
      </w:r>
      <w:r>
        <w:rPr>
          <w:color w:val="231F20"/>
        </w:rPr>
        <w:t>they</w:t>
      </w:r>
      <w:r>
        <w:rPr>
          <w:color w:val="231F20"/>
          <w:spacing w:val="-4"/>
        </w:rPr>
        <w:t> </w:t>
      </w:r>
      <w:r>
        <w:rPr>
          <w:color w:val="231F20"/>
        </w:rPr>
        <w:t>must</w:t>
      </w:r>
      <w:r>
        <w:rPr>
          <w:color w:val="231F20"/>
          <w:spacing w:val="-4"/>
        </w:rPr>
        <w:t> </w:t>
      </w:r>
      <w:r>
        <w:rPr>
          <w:color w:val="231F20"/>
        </w:rPr>
        <w:t>be</w:t>
      </w:r>
      <w:r>
        <w:rPr>
          <w:color w:val="231F20"/>
          <w:spacing w:val="-4"/>
        </w:rPr>
        <w:t> </w:t>
      </w:r>
      <w:r>
        <w:rPr>
          <w:color w:val="231F20"/>
        </w:rPr>
        <w:t>able</w:t>
      </w:r>
      <w:r>
        <w:rPr>
          <w:color w:val="231F20"/>
          <w:spacing w:val="-4"/>
        </w:rPr>
        <w:t> </w:t>
      </w:r>
      <w:r>
        <w:rPr>
          <w:color w:val="231F20"/>
        </w:rPr>
        <w:t>to</w:t>
      </w:r>
      <w:r>
        <w:rPr>
          <w:color w:val="231F20"/>
          <w:spacing w:val="-4"/>
        </w:rPr>
        <w:t> </w:t>
      </w:r>
      <w:r>
        <w:rPr>
          <w:color w:val="231F20"/>
        </w:rPr>
        <w:t>ask</w:t>
      </w:r>
      <w:r>
        <w:rPr>
          <w:color w:val="231F20"/>
          <w:spacing w:val="-4"/>
        </w:rPr>
        <w:t> </w:t>
      </w:r>
      <w:r>
        <w:rPr>
          <w:color w:val="231F20"/>
        </w:rPr>
        <w:t>for</w:t>
      </w:r>
      <w:r>
        <w:rPr>
          <w:color w:val="231F20"/>
          <w:spacing w:val="-4"/>
        </w:rPr>
        <w:t> </w:t>
      </w:r>
      <w:r>
        <w:rPr>
          <w:color w:val="231F20"/>
        </w:rPr>
        <w:t>and</w:t>
      </w:r>
      <w:r>
        <w:rPr>
          <w:color w:val="231F20"/>
          <w:spacing w:val="-4"/>
        </w:rPr>
        <w:t> </w:t>
      </w:r>
      <w:r>
        <w:rPr>
          <w:color w:val="231F20"/>
        </w:rPr>
        <w:t>use</w:t>
      </w:r>
      <w:r>
        <w:rPr>
          <w:color w:val="231F20"/>
          <w:spacing w:val="-4"/>
        </w:rPr>
        <w:t> </w:t>
      </w:r>
      <w:r>
        <w:rPr>
          <w:color w:val="231F20"/>
        </w:rPr>
        <w:t>accounting information for decision-making purposes. Lawyers with accounting knowledge, for example, can interpret financial statements to get valuable</w:t>
      </w:r>
      <w:r>
        <w:rPr>
          <w:color w:val="231F20"/>
          <w:spacing w:val="-4"/>
        </w:rPr>
        <w:t> </w:t>
      </w:r>
      <w:r>
        <w:rPr>
          <w:color w:val="231F20"/>
        </w:rPr>
        <w:t>information.</w:t>
      </w:r>
      <w:r>
        <w:rPr>
          <w:color w:val="231F20"/>
          <w:spacing w:val="-4"/>
        </w:rPr>
        <w:t> </w:t>
      </w:r>
      <w:r>
        <w:rPr>
          <w:color w:val="231F20"/>
        </w:rPr>
        <w:t>In</w:t>
      </w:r>
      <w:r>
        <w:rPr>
          <w:color w:val="231F20"/>
          <w:spacing w:val="-4"/>
        </w:rPr>
        <w:t> </w:t>
      </w:r>
      <w:r>
        <w:rPr>
          <w:color w:val="231F20"/>
        </w:rPr>
        <w:t>settlement</w:t>
      </w:r>
      <w:r>
        <w:rPr>
          <w:color w:val="231F20"/>
          <w:spacing w:val="-4"/>
        </w:rPr>
        <w:t> </w:t>
      </w:r>
      <w:r>
        <w:rPr>
          <w:color w:val="231F20"/>
        </w:rPr>
        <w:t>negotiations,</w:t>
      </w:r>
      <w:r>
        <w:rPr>
          <w:color w:val="231F20"/>
          <w:spacing w:val="-4"/>
        </w:rPr>
        <w:t> </w:t>
      </w:r>
      <w:r>
        <w:rPr>
          <w:color w:val="231F20"/>
        </w:rPr>
        <w:t>they</w:t>
      </w:r>
      <w:r>
        <w:rPr>
          <w:color w:val="231F20"/>
          <w:spacing w:val="-4"/>
        </w:rPr>
        <w:t> </w:t>
      </w:r>
      <w:r>
        <w:rPr>
          <w:color w:val="231F20"/>
        </w:rPr>
        <w:t>become</w:t>
      </w:r>
      <w:r>
        <w:rPr>
          <w:color w:val="231F20"/>
          <w:spacing w:val="-4"/>
        </w:rPr>
        <w:t> </w:t>
      </w:r>
      <w:r>
        <w:rPr>
          <w:color w:val="231F20"/>
        </w:rPr>
        <w:t>a</w:t>
      </w:r>
      <w:r>
        <w:rPr>
          <w:color w:val="231F20"/>
          <w:spacing w:val="-4"/>
        </w:rPr>
        <w:t> </w:t>
      </w:r>
      <w:r>
        <w:rPr>
          <w:color w:val="231F20"/>
        </w:rPr>
        <w:t>force to be reckoned with. Because employee performance is often evalu- ated with accounting data, a knowledge of accounting is essential.</w:t>
      </w:r>
    </w:p>
    <w:p>
      <w:pPr>
        <w:pStyle w:val="BodyText"/>
        <w:spacing w:line="292" w:lineRule="auto"/>
        <w:ind w:left="919" w:right="666" w:firstLine="340"/>
        <w:jc w:val="both"/>
      </w:pPr>
      <w:r>
        <w:rPr>
          <w:color w:val="231F20"/>
        </w:rPr>
        <w:t>Having expert knowledge of complex accounting rules, </w:t>
      </w:r>
      <w:r>
        <w:rPr>
          <w:color w:val="231F20"/>
        </w:rPr>
        <w:t>however, is not the MBA’s goal. Therefore, my aim here is to give you the</w:t>
      </w:r>
      <w:r>
        <w:rPr>
          <w:color w:val="231F20"/>
          <w:spacing w:val="40"/>
        </w:rPr>
        <w:t> </w:t>
      </w:r>
      <w:r>
        <w:rPr>
          <w:color w:val="231F20"/>
        </w:rPr>
        <w:t>basics, not to make you a CPA. Because every function of business, including finance, operations, and marketing, uses the numbers gen- erated by the accountants, it is important to grasp the fundamentals and read this chapter carefully.</w:t>
      </w:r>
    </w:p>
    <w:p>
      <w:pPr>
        <w:pStyle w:val="BodyText"/>
        <w:rPr>
          <w:sz w:val="24"/>
        </w:rPr>
      </w:pPr>
    </w:p>
    <w:p>
      <w:pPr>
        <w:pStyle w:val="BodyText"/>
        <w:spacing w:before="5"/>
        <w:rPr>
          <w:sz w:val="24"/>
        </w:rPr>
      </w:pPr>
    </w:p>
    <w:p>
      <w:pPr>
        <w:pStyle w:val="Heading4"/>
      </w:pPr>
      <w:r>
        <w:rPr>
          <w:color w:val="231F20"/>
          <w:w w:val="80"/>
        </w:rPr>
        <w:t>GAAP</w:t>
      </w:r>
      <w:r>
        <w:rPr>
          <w:color w:val="231F20"/>
          <w:spacing w:val="36"/>
        </w:rPr>
        <w:t> </w:t>
      </w:r>
      <w:r>
        <w:rPr>
          <w:color w:val="231F20"/>
          <w:spacing w:val="7"/>
          <w:w w:val="95"/>
        </w:rPr>
        <w:t>RULES</w:t>
      </w:r>
    </w:p>
    <w:p>
      <w:pPr>
        <w:pStyle w:val="BodyText"/>
        <w:spacing w:before="10"/>
        <w:rPr>
          <w:rFonts w:ascii="Trebuchet MS"/>
          <w:sz w:val="29"/>
        </w:rPr>
      </w:pPr>
    </w:p>
    <w:p>
      <w:pPr>
        <w:pStyle w:val="BodyText"/>
        <w:spacing w:line="292" w:lineRule="auto"/>
        <w:ind w:left="919" w:right="667"/>
        <w:jc w:val="both"/>
      </w:pPr>
      <w:r>
        <w:rPr>
          <w:color w:val="231F20"/>
          <w:spacing w:val="-4"/>
        </w:rPr>
        <w:t>Accounting has innumerable rules. You should not attempt to memorize </w:t>
      </w:r>
      <w:r>
        <w:rPr>
          <w:color w:val="231F20"/>
          <w:spacing w:val="-2"/>
        </w:rPr>
        <w:t>them,</w:t>
      </w:r>
      <w:r>
        <w:rPr>
          <w:color w:val="231F20"/>
          <w:spacing w:val="-10"/>
        </w:rPr>
        <w:t> </w:t>
      </w:r>
      <w:r>
        <w:rPr>
          <w:color w:val="231F20"/>
          <w:spacing w:val="-2"/>
        </w:rPr>
        <w:t>but</w:t>
      </w:r>
      <w:r>
        <w:rPr>
          <w:color w:val="231F20"/>
          <w:spacing w:val="-10"/>
        </w:rPr>
        <w:t> </w:t>
      </w:r>
      <w:r>
        <w:rPr>
          <w:color w:val="231F20"/>
          <w:spacing w:val="-2"/>
        </w:rPr>
        <w:t>you</w:t>
      </w:r>
      <w:r>
        <w:rPr>
          <w:color w:val="231F20"/>
          <w:spacing w:val="-9"/>
        </w:rPr>
        <w:t> </w:t>
      </w:r>
      <w:r>
        <w:rPr>
          <w:color w:val="231F20"/>
          <w:spacing w:val="-2"/>
        </w:rPr>
        <w:t>should</w:t>
      </w:r>
      <w:r>
        <w:rPr>
          <w:color w:val="231F20"/>
          <w:spacing w:val="-10"/>
        </w:rPr>
        <w:t> </w:t>
      </w:r>
      <w:r>
        <w:rPr>
          <w:color w:val="231F20"/>
          <w:spacing w:val="-2"/>
        </w:rPr>
        <w:t>become</w:t>
      </w:r>
      <w:r>
        <w:rPr>
          <w:color w:val="231F20"/>
          <w:spacing w:val="-9"/>
        </w:rPr>
        <w:t> </w:t>
      </w:r>
      <w:r>
        <w:rPr>
          <w:color w:val="231F20"/>
          <w:spacing w:val="-2"/>
        </w:rPr>
        <w:t>sufficiently</w:t>
      </w:r>
      <w:r>
        <w:rPr>
          <w:color w:val="231F20"/>
          <w:spacing w:val="-10"/>
        </w:rPr>
        <w:t> </w:t>
      </w:r>
      <w:r>
        <w:rPr>
          <w:color w:val="231F20"/>
          <w:spacing w:val="-2"/>
        </w:rPr>
        <w:t>familiar</w:t>
      </w:r>
      <w:r>
        <w:rPr>
          <w:color w:val="231F20"/>
          <w:spacing w:val="-9"/>
        </w:rPr>
        <w:t> </w:t>
      </w:r>
      <w:r>
        <w:rPr>
          <w:color w:val="231F20"/>
          <w:spacing w:val="-2"/>
        </w:rPr>
        <w:t>with</w:t>
      </w:r>
      <w:r>
        <w:rPr>
          <w:color w:val="231F20"/>
          <w:spacing w:val="-10"/>
        </w:rPr>
        <w:t> </w:t>
      </w:r>
      <w:r>
        <w:rPr>
          <w:color w:val="231F20"/>
          <w:spacing w:val="-2"/>
        </w:rPr>
        <w:t>them</w:t>
      </w:r>
      <w:r>
        <w:rPr>
          <w:color w:val="231F20"/>
          <w:spacing w:val="-10"/>
        </w:rPr>
        <w:t> </w:t>
      </w:r>
      <w:r>
        <w:rPr>
          <w:color w:val="231F20"/>
          <w:spacing w:val="-2"/>
        </w:rPr>
        <w:t>to</w:t>
      </w:r>
      <w:r>
        <w:rPr>
          <w:color w:val="231F20"/>
          <w:spacing w:val="-9"/>
        </w:rPr>
        <w:t> </w:t>
      </w:r>
      <w:r>
        <w:rPr>
          <w:color w:val="231F20"/>
          <w:spacing w:val="-2"/>
        </w:rPr>
        <w:t>commu- </w:t>
      </w:r>
      <w:r>
        <w:rPr>
          <w:color w:val="231F20"/>
          <w:spacing w:val="-4"/>
        </w:rPr>
        <w:t>nicate with CPAs. Accounting rules set the standards so that financial re- </w:t>
      </w:r>
      <w:r>
        <w:rPr>
          <w:color w:val="231F20"/>
          <w:spacing w:val="-4"/>
          <w:w w:val="105"/>
        </w:rPr>
        <w:t>ports</w:t>
      </w:r>
      <w:r>
        <w:rPr>
          <w:color w:val="231F20"/>
          <w:spacing w:val="-9"/>
          <w:w w:val="105"/>
        </w:rPr>
        <w:t> </w:t>
      </w:r>
      <w:r>
        <w:rPr>
          <w:color w:val="231F20"/>
          <w:spacing w:val="-4"/>
          <w:w w:val="105"/>
        </w:rPr>
        <w:t>of</w:t>
      </w:r>
      <w:r>
        <w:rPr>
          <w:color w:val="231F20"/>
          <w:spacing w:val="-8"/>
          <w:w w:val="105"/>
        </w:rPr>
        <w:t> </w:t>
      </w:r>
      <w:r>
        <w:rPr>
          <w:color w:val="231F20"/>
          <w:spacing w:val="-4"/>
          <w:w w:val="105"/>
        </w:rPr>
        <w:t>companies</w:t>
      </w:r>
      <w:r>
        <w:rPr>
          <w:color w:val="231F20"/>
          <w:spacing w:val="-8"/>
          <w:w w:val="105"/>
        </w:rPr>
        <w:t> </w:t>
      </w:r>
      <w:r>
        <w:rPr>
          <w:color w:val="231F20"/>
          <w:spacing w:val="-4"/>
          <w:w w:val="105"/>
        </w:rPr>
        <w:t>may</w:t>
      </w:r>
      <w:r>
        <w:rPr>
          <w:color w:val="231F20"/>
          <w:spacing w:val="-8"/>
          <w:w w:val="105"/>
        </w:rPr>
        <w:t> </w:t>
      </w:r>
      <w:r>
        <w:rPr>
          <w:color w:val="231F20"/>
          <w:spacing w:val="-4"/>
          <w:w w:val="105"/>
        </w:rPr>
        <w:t>be</w:t>
      </w:r>
      <w:r>
        <w:rPr>
          <w:color w:val="231F20"/>
          <w:spacing w:val="-8"/>
          <w:w w:val="105"/>
        </w:rPr>
        <w:t> </w:t>
      </w:r>
      <w:r>
        <w:rPr>
          <w:color w:val="231F20"/>
          <w:spacing w:val="-4"/>
          <w:w w:val="105"/>
        </w:rPr>
        <w:t>compared</w:t>
      </w:r>
      <w:r>
        <w:rPr>
          <w:color w:val="231F20"/>
          <w:spacing w:val="-8"/>
          <w:w w:val="105"/>
        </w:rPr>
        <w:t> </w:t>
      </w:r>
      <w:r>
        <w:rPr>
          <w:color w:val="231F20"/>
          <w:spacing w:val="-4"/>
          <w:w w:val="105"/>
        </w:rPr>
        <w:t>on</w:t>
      </w:r>
      <w:r>
        <w:rPr>
          <w:color w:val="231F20"/>
          <w:spacing w:val="-8"/>
          <w:w w:val="105"/>
        </w:rPr>
        <w:t> </w:t>
      </w:r>
      <w:r>
        <w:rPr>
          <w:color w:val="231F20"/>
          <w:spacing w:val="-4"/>
          <w:w w:val="105"/>
        </w:rPr>
        <w:t>an</w:t>
      </w:r>
      <w:r>
        <w:rPr>
          <w:color w:val="231F20"/>
          <w:spacing w:val="-9"/>
          <w:w w:val="105"/>
        </w:rPr>
        <w:t> </w:t>
      </w:r>
      <w:r>
        <w:rPr>
          <w:color w:val="231F20"/>
          <w:spacing w:val="-4"/>
          <w:w w:val="105"/>
        </w:rPr>
        <w:t>equal</w:t>
      </w:r>
      <w:r>
        <w:rPr>
          <w:color w:val="231F20"/>
          <w:spacing w:val="-8"/>
          <w:w w:val="105"/>
        </w:rPr>
        <w:t> </w:t>
      </w:r>
      <w:r>
        <w:rPr>
          <w:color w:val="231F20"/>
          <w:spacing w:val="-4"/>
          <w:w w:val="105"/>
        </w:rPr>
        <w:t>basis.</w:t>
      </w:r>
      <w:r>
        <w:rPr>
          <w:color w:val="231F20"/>
          <w:spacing w:val="-8"/>
          <w:w w:val="105"/>
        </w:rPr>
        <w:t> </w:t>
      </w:r>
      <w:r>
        <w:rPr>
          <w:color w:val="231F20"/>
          <w:spacing w:val="-4"/>
          <w:w w:val="105"/>
        </w:rPr>
        <w:t>Accounting’s </w:t>
      </w:r>
      <w:r>
        <w:rPr>
          <w:color w:val="231F20"/>
          <w:w w:val="105"/>
        </w:rPr>
        <w:t>governing</w:t>
      </w:r>
      <w:r>
        <w:rPr>
          <w:color w:val="231F20"/>
          <w:spacing w:val="-13"/>
          <w:w w:val="105"/>
        </w:rPr>
        <w:t> </w:t>
      </w:r>
      <w:r>
        <w:rPr>
          <w:color w:val="231F20"/>
          <w:w w:val="105"/>
        </w:rPr>
        <w:t>rules</w:t>
      </w:r>
      <w:r>
        <w:rPr>
          <w:color w:val="231F20"/>
          <w:spacing w:val="-12"/>
          <w:w w:val="105"/>
        </w:rPr>
        <w:t> </w:t>
      </w:r>
      <w:r>
        <w:rPr>
          <w:color w:val="231F20"/>
          <w:w w:val="105"/>
        </w:rPr>
        <w:t>are</w:t>
      </w:r>
      <w:r>
        <w:rPr>
          <w:color w:val="231F20"/>
          <w:spacing w:val="-12"/>
          <w:w w:val="105"/>
        </w:rPr>
        <w:t> </w:t>
      </w:r>
      <w:r>
        <w:rPr>
          <w:color w:val="231F20"/>
          <w:w w:val="105"/>
        </w:rPr>
        <w:t>called</w:t>
      </w:r>
      <w:r>
        <w:rPr>
          <w:color w:val="231F20"/>
          <w:spacing w:val="-12"/>
          <w:w w:val="105"/>
        </w:rPr>
        <w:t> </w:t>
      </w:r>
      <w:r>
        <w:rPr>
          <w:i/>
          <w:color w:val="231F20"/>
          <w:w w:val="105"/>
        </w:rPr>
        <w:t>Generally</w:t>
      </w:r>
      <w:r>
        <w:rPr>
          <w:i/>
          <w:color w:val="231F20"/>
          <w:spacing w:val="-12"/>
          <w:w w:val="105"/>
        </w:rPr>
        <w:t> </w:t>
      </w:r>
      <w:r>
        <w:rPr>
          <w:i/>
          <w:color w:val="231F20"/>
          <w:w w:val="105"/>
        </w:rPr>
        <w:t>Accepted</w:t>
      </w:r>
      <w:r>
        <w:rPr>
          <w:i/>
          <w:color w:val="231F20"/>
          <w:spacing w:val="-12"/>
          <w:w w:val="105"/>
        </w:rPr>
        <w:t> </w:t>
      </w:r>
      <w:r>
        <w:rPr>
          <w:i/>
          <w:color w:val="231F20"/>
          <w:w w:val="105"/>
        </w:rPr>
        <w:t>Accounting</w:t>
      </w:r>
      <w:r>
        <w:rPr>
          <w:i/>
          <w:color w:val="231F20"/>
          <w:spacing w:val="-12"/>
          <w:w w:val="105"/>
        </w:rPr>
        <w:t> </w:t>
      </w:r>
      <w:r>
        <w:rPr>
          <w:i/>
          <w:color w:val="231F20"/>
          <w:w w:val="105"/>
        </w:rPr>
        <w:t>Principles</w:t>
      </w:r>
      <w:r>
        <w:rPr>
          <w:i/>
          <w:color w:val="231F20"/>
          <w:w w:val="105"/>
        </w:rPr>
        <w:t> </w:t>
      </w:r>
      <w:r>
        <w:rPr>
          <w:color w:val="231F20"/>
        </w:rPr>
        <w:t>(GAAP).</w:t>
      </w:r>
      <w:r>
        <w:rPr>
          <w:color w:val="231F20"/>
          <w:spacing w:val="-12"/>
        </w:rPr>
        <w:t> </w:t>
      </w:r>
      <w:r>
        <w:rPr>
          <w:color w:val="231F20"/>
        </w:rPr>
        <w:t>These</w:t>
      </w:r>
      <w:r>
        <w:rPr>
          <w:color w:val="231F20"/>
          <w:spacing w:val="-12"/>
        </w:rPr>
        <w:t> </w:t>
      </w:r>
      <w:r>
        <w:rPr>
          <w:color w:val="231F20"/>
        </w:rPr>
        <w:t>“Gap”</w:t>
      </w:r>
      <w:r>
        <w:rPr>
          <w:color w:val="231F20"/>
          <w:spacing w:val="-11"/>
        </w:rPr>
        <w:t> </w:t>
      </w:r>
      <w:r>
        <w:rPr>
          <w:color w:val="231F20"/>
        </w:rPr>
        <w:t>rules</w:t>
      </w:r>
      <w:r>
        <w:rPr>
          <w:color w:val="231F20"/>
          <w:spacing w:val="-12"/>
        </w:rPr>
        <w:t> </w:t>
      </w:r>
      <w:r>
        <w:rPr>
          <w:color w:val="231F20"/>
        </w:rPr>
        <w:t>have</w:t>
      </w:r>
      <w:r>
        <w:rPr>
          <w:color w:val="231F20"/>
          <w:spacing w:val="-11"/>
        </w:rPr>
        <w:t> </w:t>
      </w:r>
      <w:r>
        <w:rPr>
          <w:color w:val="231F20"/>
        </w:rPr>
        <w:t>been</w:t>
      </w:r>
      <w:r>
        <w:rPr>
          <w:color w:val="231F20"/>
          <w:spacing w:val="-12"/>
        </w:rPr>
        <w:t> </w:t>
      </w:r>
      <w:r>
        <w:rPr>
          <w:color w:val="231F20"/>
        </w:rPr>
        <w:t>developed</w:t>
      </w:r>
      <w:r>
        <w:rPr>
          <w:color w:val="231F20"/>
          <w:spacing w:val="-11"/>
        </w:rPr>
        <w:t> </w:t>
      </w:r>
      <w:r>
        <w:rPr>
          <w:color w:val="231F20"/>
        </w:rPr>
        <w:t>over</w:t>
      </w:r>
      <w:r>
        <w:rPr>
          <w:color w:val="231F20"/>
          <w:spacing w:val="-12"/>
        </w:rPr>
        <w:t> </w:t>
      </w:r>
      <w:r>
        <w:rPr>
          <w:color w:val="231F20"/>
        </w:rPr>
        <w:t>the</w:t>
      </w:r>
      <w:r>
        <w:rPr>
          <w:color w:val="231F20"/>
          <w:spacing w:val="-12"/>
        </w:rPr>
        <w:t> </w:t>
      </w:r>
      <w:r>
        <w:rPr>
          <w:color w:val="231F20"/>
        </w:rPr>
        <w:t>years</w:t>
      </w:r>
      <w:r>
        <w:rPr>
          <w:color w:val="231F20"/>
          <w:spacing w:val="-11"/>
        </w:rPr>
        <w:t> </w:t>
      </w:r>
      <w:r>
        <w:rPr>
          <w:color w:val="231F20"/>
        </w:rPr>
        <w:t>and</w:t>
      </w:r>
      <w:r>
        <w:rPr>
          <w:color w:val="231F20"/>
          <w:spacing w:val="-12"/>
        </w:rPr>
        <w:t> </w:t>
      </w:r>
      <w:r>
        <w:rPr>
          <w:color w:val="231F20"/>
        </w:rPr>
        <w:t>are </w:t>
      </w:r>
      <w:r>
        <w:rPr>
          <w:color w:val="231F20"/>
          <w:spacing w:val="-6"/>
          <w:w w:val="105"/>
        </w:rPr>
        <w:t>analogous</w:t>
      </w:r>
      <w:r>
        <w:rPr>
          <w:color w:val="231F20"/>
          <w:spacing w:val="-7"/>
          <w:w w:val="105"/>
        </w:rPr>
        <w:t> </w:t>
      </w:r>
      <w:r>
        <w:rPr>
          <w:color w:val="231F20"/>
          <w:spacing w:val="-6"/>
          <w:w w:val="105"/>
        </w:rPr>
        <w:t>to</w:t>
      </w:r>
      <w:r>
        <w:rPr>
          <w:color w:val="231F20"/>
          <w:spacing w:val="-4"/>
        </w:rPr>
        <w:t> </w:t>
      </w:r>
      <w:r>
        <w:rPr>
          <w:color w:val="231F20"/>
          <w:spacing w:val="-6"/>
          <w:w w:val="105"/>
        </w:rPr>
        <w:t>the</w:t>
      </w:r>
      <w:r>
        <w:rPr>
          <w:color w:val="231F20"/>
          <w:spacing w:val="-4"/>
        </w:rPr>
        <w:t> </w:t>
      </w:r>
      <w:r>
        <w:rPr>
          <w:color w:val="231F20"/>
          <w:spacing w:val="-6"/>
          <w:w w:val="105"/>
        </w:rPr>
        <w:t>precedents</w:t>
      </w:r>
      <w:r>
        <w:rPr>
          <w:color w:val="231F20"/>
          <w:spacing w:val="-4"/>
        </w:rPr>
        <w:t> </w:t>
      </w:r>
      <w:r>
        <w:rPr>
          <w:color w:val="231F20"/>
          <w:spacing w:val="-6"/>
          <w:w w:val="105"/>
        </w:rPr>
        <w:t>in</w:t>
      </w:r>
      <w:r>
        <w:rPr>
          <w:color w:val="231F20"/>
          <w:spacing w:val="-4"/>
        </w:rPr>
        <w:t> </w:t>
      </w:r>
      <w:r>
        <w:rPr>
          <w:color w:val="231F20"/>
          <w:spacing w:val="-6"/>
          <w:w w:val="105"/>
        </w:rPr>
        <w:t>the</w:t>
      </w:r>
      <w:r>
        <w:rPr>
          <w:color w:val="231F20"/>
          <w:spacing w:val="-4"/>
        </w:rPr>
        <w:t> </w:t>
      </w:r>
      <w:r>
        <w:rPr>
          <w:color w:val="231F20"/>
          <w:spacing w:val="-6"/>
          <w:w w:val="105"/>
        </w:rPr>
        <w:t>legal</w:t>
      </w:r>
      <w:r>
        <w:rPr>
          <w:color w:val="231F20"/>
          <w:spacing w:val="-4"/>
        </w:rPr>
        <w:t> </w:t>
      </w:r>
      <w:r>
        <w:rPr>
          <w:color w:val="231F20"/>
          <w:spacing w:val="-6"/>
          <w:w w:val="105"/>
        </w:rPr>
        <w:t>profession.</w:t>
      </w:r>
    </w:p>
    <w:p>
      <w:pPr>
        <w:spacing w:after="0" w:line="292" w:lineRule="auto"/>
        <w:jc w:val="both"/>
        <w:sectPr>
          <w:headerReference w:type="default" r:id="rId31"/>
          <w:headerReference w:type="even" r:id="rId32"/>
          <w:pgSz w:w="8640" w:h="12960"/>
          <w:pgMar w:header="734" w:footer="0" w:top="920" w:bottom="280" w:left="340" w:right="500"/>
          <w:pgNumType w:start="71"/>
        </w:sectPr>
      </w:pPr>
    </w:p>
    <w:p>
      <w:pPr>
        <w:pStyle w:val="BodyText"/>
        <w:spacing w:before="10"/>
        <w:rPr>
          <w:sz w:val="17"/>
        </w:rPr>
      </w:pPr>
    </w:p>
    <w:p>
      <w:pPr>
        <w:pStyle w:val="BodyText"/>
        <w:spacing w:line="292" w:lineRule="auto" w:before="102"/>
        <w:ind w:left="830" w:right="753" w:firstLine="340"/>
        <w:jc w:val="both"/>
      </w:pPr>
      <w:r>
        <w:rPr>
          <w:color w:val="231F20"/>
        </w:rPr>
        <w:t>As new areas of business activity develop, the </w:t>
      </w:r>
      <w:r>
        <w:rPr>
          <w:i/>
          <w:color w:val="231F20"/>
        </w:rPr>
        <w:t>Financial </w:t>
      </w:r>
      <w:r>
        <w:rPr>
          <w:i/>
          <w:color w:val="231F20"/>
        </w:rPr>
        <w:t>Account-</w:t>
      </w:r>
      <w:r>
        <w:rPr>
          <w:i/>
          <w:color w:val="231F20"/>
        </w:rPr>
        <w:t> ing Standards Board </w:t>
      </w:r>
      <w:r>
        <w:rPr>
          <w:color w:val="231F20"/>
        </w:rPr>
        <w:t>(FASB) writes additional rules to deal with</w:t>
      </w:r>
      <w:r>
        <w:rPr>
          <w:color w:val="231F20"/>
          <w:spacing w:val="80"/>
        </w:rPr>
        <w:t> </w:t>
      </w:r>
      <w:r>
        <w:rPr>
          <w:color w:val="231F20"/>
        </w:rPr>
        <w:t>these situations. This body has generated over a hundred “Fasbee” rules over the years, and accountants refer to them by number. For example, FASB 90 was issued in 1987 because of the problems of faulty nuclear plant construction. Electric utilities, such as WPPSS (“Whoops”) in the Northwest, needed guidance on how to account</w:t>
      </w:r>
      <w:r>
        <w:rPr>
          <w:color w:val="231F20"/>
          <w:spacing w:val="80"/>
        </w:rPr>
        <w:t> </w:t>
      </w:r>
      <w:r>
        <w:rPr>
          <w:color w:val="231F20"/>
        </w:rPr>
        <w:t>for the abandonment of billions of dollars of unsafe and unnecessary plant facilities. In 2004, FASB 123 was issued to set new rules for ex- pensing the cost of stock options. So many high-tech companies</w:t>
      </w:r>
      <w:r>
        <w:rPr>
          <w:color w:val="231F20"/>
          <w:spacing w:val="80"/>
          <w:w w:val="150"/>
        </w:rPr>
        <w:t> </w:t>
      </w:r>
      <w:r>
        <w:rPr>
          <w:color w:val="231F20"/>
        </w:rPr>
        <w:t>were issuing so many options that they needed to be reflected in the income statement as a cost of doing business. When the options be- come</w:t>
      </w:r>
      <w:r>
        <w:rPr>
          <w:color w:val="231F20"/>
          <w:spacing w:val="3"/>
        </w:rPr>
        <w:t> </w:t>
      </w:r>
      <w:r>
        <w:rPr>
          <w:color w:val="231F20"/>
        </w:rPr>
        <w:t>exercisable</w:t>
      </w:r>
      <w:r>
        <w:rPr>
          <w:color w:val="231F20"/>
          <w:spacing w:val="4"/>
        </w:rPr>
        <w:t> </w:t>
      </w:r>
      <w:r>
        <w:rPr>
          <w:color w:val="231F20"/>
        </w:rPr>
        <w:t>by</w:t>
      </w:r>
      <w:r>
        <w:rPr>
          <w:color w:val="231F20"/>
          <w:spacing w:val="3"/>
        </w:rPr>
        <w:t> </w:t>
      </w:r>
      <w:r>
        <w:rPr>
          <w:color w:val="231F20"/>
        </w:rPr>
        <w:t>the</w:t>
      </w:r>
      <w:r>
        <w:rPr>
          <w:color w:val="231F20"/>
          <w:spacing w:val="4"/>
        </w:rPr>
        <w:t> </w:t>
      </w:r>
      <w:r>
        <w:rPr>
          <w:color w:val="231F20"/>
        </w:rPr>
        <w:t>employee,</w:t>
      </w:r>
      <w:r>
        <w:rPr>
          <w:color w:val="231F20"/>
          <w:spacing w:val="3"/>
        </w:rPr>
        <w:t> </w:t>
      </w:r>
      <w:r>
        <w:rPr>
          <w:color w:val="231F20"/>
        </w:rPr>
        <w:t>the</w:t>
      </w:r>
      <w:r>
        <w:rPr>
          <w:color w:val="231F20"/>
          <w:spacing w:val="4"/>
        </w:rPr>
        <w:t> </w:t>
      </w:r>
      <w:r>
        <w:rPr>
          <w:color w:val="231F20"/>
        </w:rPr>
        <w:t>company</w:t>
      </w:r>
      <w:r>
        <w:rPr>
          <w:color w:val="231F20"/>
          <w:spacing w:val="3"/>
        </w:rPr>
        <w:t> </w:t>
      </w:r>
      <w:r>
        <w:rPr>
          <w:color w:val="231F20"/>
        </w:rPr>
        <w:t>must</w:t>
      </w:r>
      <w:r>
        <w:rPr>
          <w:color w:val="231F20"/>
          <w:spacing w:val="4"/>
        </w:rPr>
        <w:t> </w:t>
      </w:r>
      <w:r>
        <w:rPr>
          <w:color w:val="231F20"/>
        </w:rPr>
        <w:t>expense</w:t>
      </w:r>
      <w:r>
        <w:rPr>
          <w:color w:val="231F20"/>
          <w:spacing w:val="3"/>
        </w:rPr>
        <w:t> </w:t>
      </w:r>
      <w:r>
        <w:rPr>
          <w:color w:val="231F20"/>
          <w:spacing w:val="-2"/>
        </w:rPr>
        <w:t>them.</w:t>
      </w:r>
    </w:p>
    <w:p>
      <w:pPr>
        <w:pStyle w:val="BodyText"/>
        <w:rPr>
          <w:sz w:val="24"/>
        </w:rPr>
      </w:pPr>
    </w:p>
    <w:p>
      <w:pPr>
        <w:pStyle w:val="BodyText"/>
        <w:spacing w:before="6"/>
        <w:rPr>
          <w:sz w:val="24"/>
        </w:rPr>
      </w:pPr>
    </w:p>
    <w:p>
      <w:pPr>
        <w:pStyle w:val="Heading4"/>
        <w:ind w:left="300"/>
      </w:pPr>
      <w:r>
        <w:rPr>
          <w:color w:val="231F20"/>
          <w:w w:val="85"/>
        </w:rPr>
        <w:t>THE</w:t>
      </w:r>
      <w:r>
        <w:rPr>
          <w:color w:val="231F20"/>
          <w:spacing w:val="43"/>
        </w:rPr>
        <w:t> </w:t>
      </w:r>
      <w:r>
        <w:rPr>
          <w:color w:val="231F20"/>
          <w:w w:val="85"/>
        </w:rPr>
        <w:t>FUNDAMENTAL</w:t>
      </w:r>
      <w:r>
        <w:rPr>
          <w:color w:val="231F20"/>
          <w:spacing w:val="43"/>
        </w:rPr>
        <w:t> </w:t>
      </w:r>
      <w:r>
        <w:rPr>
          <w:color w:val="231F20"/>
          <w:w w:val="85"/>
        </w:rPr>
        <w:t>CONCEPTS</w:t>
      </w:r>
      <w:r>
        <w:rPr>
          <w:color w:val="231F20"/>
          <w:spacing w:val="43"/>
        </w:rPr>
        <w:t> </w:t>
      </w:r>
      <w:r>
        <w:rPr>
          <w:color w:val="231F20"/>
          <w:w w:val="85"/>
        </w:rPr>
        <w:t>OF</w:t>
      </w:r>
      <w:r>
        <w:rPr>
          <w:color w:val="231F20"/>
          <w:spacing w:val="43"/>
        </w:rPr>
        <w:t> </w:t>
      </w:r>
      <w:r>
        <w:rPr>
          <w:color w:val="231F20"/>
          <w:spacing w:val="9"/>
          <w:w w:val="85"/>
        </w:rPr>
        <w:t>ACCOUNTING</w:t>
      </w:r>
    </w:p>
    <w:p>
      <w:pPr>
        <w:pStyle w:val="BodyText"/>
        <w:spacing w:before="11"/>
        <w:rPr>
          <w:rFonts w:ascii="Trebuchet MS"/>
          <w:sz w:val="29"/>
        </w:rPr>
      </w:pPr>
    </w:p>
    <w:p>
      <w:pPr>
        <w:pStyle w:val="BodyText"/>
        <w:spacing w:line="292" w:lineRule="auto"/>
        <w:ind w:left="830" w:right="756"/>
        <w:jc w:val="both"/>
      </w:pPr>
      <w:r>
        <w:rPr>
          <w:color w:val="231F20"/>
        </w:rPr>
        <w:t>To understand accounting, before you get into the numbers you </w:t>
      </w:r>
      <w:r>
        <w:rPr>
          <w:color w:val="231F20"/>
        </w:rPr>
        <w:t>first must become familiar with the underlying concepts. The rules do</w:t>
      </w:r>
      <w:r>
        <w:rPr>
          <w:color w:val="231F20"/>
          <w:spacing w:val="80"/>
          <w:w w:val="150"/>
        </w:rPr>
        <w:t> </w:t>
      </w:r>
      <w:r>
        <w:rPr>
          <w:color w:val="231F20"/>
        </w:rPr>
        <w:t>not tell the whole story. The following seven concepts and vocabu- lary are not a set of laws, but rather a guiding set of policies that un- derlie all accounting rules and reporting.</w:t>
      </w:r>
    </w:p>
    <w:p>
      <w:pPr>
        <w:pStyle w:val="BodyText"/>
        <w:spacing w:before="3"/>
        <w:rPr>
          <w:sz w:val="27"/>
        </w:rPr>
      </w:pPr>
    </w:p>
    <w:p>
      <w:pPr>
        <w:spacing w:before="0"/>
        <w:ind w:left="1170" w:right="0" w:firstLine="0"/>
        <w:jc w:val="left"/>
        <w:rPr>
          <w:rFonts w:ascii="Arial"/>
          <w:sz w:val="19"/>
        </w:rPr>
      </w:pPr>
      <w:r>
        <w:rPr>
          <w:rFonts w:ascii="Arial"/>
          <w:color w:val="231F20"/>
          <w:w w:val="110"/>
          <w:sz w:val="19"/>
        </w:rPr>
        <w:t>The</w:t>
      </w:r>
      <w:r>
        <w:rPr>
          <w:rFonts w:ascii="Arial"/>
          <w:color w:val="231F20"/>
          <w:spacing w:val="-7"/>
          <w:w w:val="110"/>
          <w:sz w:val="19"/>
        </w:rPr>
        <w:t> </w:t>
      </w:r>
      <w:r>
        <w:rPr>
          <w:rFonts w:ascii="Arial"/>
          <w:color w:val="231F20"/>
          <w:spacing w:val="-2"/>
          <w:w w:val="115"/>
          <w:sz w:val="19"/>
        </w:rPr>
        <w:t>Entity</w:t>
      </w:r>
    </w:p>
    <w:p>
      <w:pPr>
        <w:spacing w:line="328" w:lineRule="auto" w:before="81"/>
        <w:ind w:left="1170" w:right="3159" w:firstLine="0"/>
        <w:jc w:val="left"/>
        <w:rPr>
          <w:rFonts w:ascii="Arial"/>
          <w:sz w:val="19"/>
        </w:rPr>
      </w:pPr>
      <w:r>
        <w:rPr>
          <w:rFonts w:ascii="Arial"/>
          <w:color w:val="231F20"/>
          <w:spacing w:val="-2"/>
          <w:w w:val="115"/>
          <w:sz w:val="19"/>
        </w:rPr>
        <w:t>Cash</w:t>
      </w:r>
      <w:r>
        <w:rPr>
          <w:rFonts w:ascii="Arial"/>
          <w:color w:val="231F20"/>
          <w:spacing w:val="-10"/>
          <w:w w:val="115"/>
          <w:sz w:val="19"/>
        </w:rPr>
        <w:t> </w:t>
      </w:r>
      <w:r>
        <w:rPr>
          <w:rFonts w:ascii="Arial"/>
          <w:color w:val="231F20"/>
          <w:spacing w:val="-2"/>
          <w:w w:val="115"/>
          <w:sz w:val="19"/>
        </w:rPr>
        <w:t>and</w:t>
      </w:r>
      <w:r>
        <w:rPr>
          <w:rFonts w:ascii="Arial"/>
          <w:color w:val="231F20"/>
          <w:spacing w:val="-10"/>
          <w:w w:val="115"/>
          <w:sz w:val="19"/>
        </w:rPr>
        <w:t> </w:t>
      </w:r>
      <w:r>
        <w:rPr>
          <w:rFonts w:ascii="Arial"/>
          <w:color w:val="231F20"/>
          <w:spacing w:val="-2"/>
          <w:w w:val="115"/>
          <w:sz w:val="19"/>
        </w:rPr>
        <w:t>Accrual</w:t>
      </w:r>
      <w:r>
        <w:rPr>
          <w:rFonts w:ascii="Arial"/>
          <w:color w:val="231F20"/>
          <w:spacing w:val="-10"/>
          <w:w w:val="115"/>
          <w:sz w:val="19"/>
        </w:rPr>
        <w:t> </w:t>
      </w:r>
      <w:r>
        <w:rPr>
          <w:rFonts w:ascii="Arial"/>
          <w:color w:val="231F20"/>
          <w:spacing w:val="-2"/>
          <w:w w:val="115"/>
          <w:sz w:val="19"/>
        </w:rPr>
        <w:t>Accounting Objectivity</w:t>
      </w:r>
    </w:p>
    <w:p>
      <w:pPr>
        <w:spacing w:line="328" w:lineRule="auto" w:before="2"/>
        <w:ind w:left="1170" w:right="4813" w:firstLine="0"/>
        <w:jc w:val="left"/>
        <w:rPr>
          <w:rFonts w:ascii="Arial"/>
          <w:sz w:val="19"/>
        </w:rPr>
      </w:pPr>
      <w:r>
        <w:rPr>
          <w:rFonts w:ascii="Arial"/>
          <w:color w:val="231F20"/>
          <w:spacing w:val="-2"/>
          <w:w w:val="115"/>
          <w:sz w:val="19"/>
        </w:rPr>
        <w:t>Conservatism </w:t>
      </w:r>
      <w:r>
        <w:rPr>
          <w:rFonts w:ascii="Arial"/>
          <w:color w:val="231F20"/>
          <w:spacing w:val="-4"/>
          <w:w w:val="115"/>
          <w:sz w:val="19"/>
        </w:rPr>
        <w:t>Going</w:t>
      </w:r>
      <w:r>
        <w:rPr>
          <w:rFonts w:ascii="Arial"/>
          <w:color w:val="231F20"/>
          <w:spacing w:val="-12"/>
          <w:w w:val="115"/>
          <w:sz w:val="19"/>
        </w:rPr>
        <w:t> </w:t>
      </w:r>
      <w:r>
        <w:rPr>
          <w:rFonts w:ascii="Arial"/>
          <w:color w:val="231F20"/>
          <w:spacing w:val="-4"/>
          <w:w w:val="115"/>
          <w:sz w:val="19"/>
        </w:rPr>
        <w:t>Concern </w:t>
      </w:r>
      <w:r>
        <w:rPr>
          <w:rFonts w:ascii="Arial"/>
          <w:color w:val="231F20"/>
          <w:spacing w:val="-2"/>
          <w:w w:val="115"/>
          <w:sz w:val="19"/>
        </w:rPr>
        <w:t>Consistency Materiality</w:t>
      </w:r>
    </w:p>
    <w:p>
      <w:pPr>
        <w:pStyle w:val="BodyText"/>
        <w:rPr>
          <w:rFonts w:ascii="Arial"/>
          <w:sz w:val="20"/>
        </w:rPr>
      </w:pPr>
    </w:p>
    <w:p>
      <w:pPr>
        <w:pStyle w:val="BodyText"/>
        <w:rPr>
          <w:rFonts w:ascii="Arial"/>
          <w:sz w:val="20"/>
        </w:rPr>
      </w:pPr>
    </w:p>
    <w:p>
      <w:pPr>
        <w:pStyle w:val="Heading6"/>
        <w:spacing w:before="121"/>
        <w:ind w:left="299"/>
        <w:rPr>
          <w:i/>
        </w:rPr>
      </w:pPr>
      <w:r>
        <w:rPr>
          <w:i/>
          <w:color w:val="231F20"/>
          <w:w w:val="115"/>
        </w:rPr>
        <w:t>THE</w:t>
      </w:r>
      <w:r>
        <w:rPr>
          <w:i/>
          <w:color w:val="231F20"/>
          <w:spacing w:val="34"/>
          <w:w w:val="115"/>
        </w:rPr>
        <w:t> </w:t>
      </w:r>
      <w:r>
        <w:rPr>
          <w:i/>
          <w:color w:val="231F20"/>
          <w:spacing w:val="8"/>
          <w:w w:val="115"/>
        </w:rPr>
        <w:t>ENTITY</w:t>
      </w:r>
    </w:p>
    <w:p>
      <w:pPr>
        <w:pStyle w:val="BodyText"/>
        <w:spacing w:before="2"/>
        <w:rPr>
          <w:b/>
          <w:i/>
          <w:sz w:val="30"/>
        </w:rPr>
      </w:pPr>
    </w:p>
    <w:p>
      <w:pPr>
        <w:pStyle w:val="BodyText"/>
        <w:ind w:left="830"/>
        <w:jc w:val="both"/>
        <w:rPr>
          <w:i/>
        </w:rPr>
      </w:pPr>
      <w:r>
        <w:rPr>
          <w:color w:val="231F20"/>
        </w:rPr>
        <w:t>Accounting</w:t>
      </w:r>
      <w:r>
        <w:rPr>
          <w:color w:val="231F20"/>
          <w:spacing w:val="33"/>
        </w:rPr>
        <w:t> </w:t>
      </w:r>
      <w:r>
        <w:rPr>
          <w:color w:val="231F20"/>
        </w:rPr>
        <w:t>reports</w:t>
      </w:r>
      <w:r>
        <w:rPr>
          <w:color w:val="231F20"/>
          <w:spacing w:val="34"/>
        </w:rPr>
        <w:t> </w:t>
      </w:r>
      <w:r>
        <w:rPr>
          <w:color w:val="231F20"/>
        </w:rPr>
        <w:t>communicate</w:t>
      </w:r>
      <w:r>
        <w:rPr>
          <w:color w:val="231F20"/>
          <w:spacing w:val="34"/>
        </w:rPr>
        <w:t> </w:t>
      </w:r>
      <w:r>
        <w:rPr>
          <w:color w:val="231F20"/>
        </w:rPr>
        <w:t>the</w:t>
      </w:r>
      <w:r>
        <w:rPr>
          <w:color w:val="231F20"/>
          <w:spacing w:val="34"/>
        </w:rPr>
        <w:t> </w:t>
      </w:r>
      <w:r>
        <w:rPr>
          <w:color w:val="231F20"/>
        </w:rPr>
        <w:t>activities</w:t>
      </w:r>
      <w:r>
        <w:rPr>
          <w:color w:val="231F20"/>
          <w:spacing w:val="33"/>
        </w:rPr>
        <w:t> </w:t>
      </w:r>
      <w:r>
        <w:rPr>
          <w:color w:val="231F20"/>
        </w:rPr>
        <w:t>of</w:t>
      </w:r>
      <w:r>
        <w:rPr>
          <w:color w:val="231F20"/>
          <w:spacing w:val="34"/>
        </w:rPr>
        <w:t> </w:t>
      </w:r>
      <w:r>
        <w:rPr>
          <w:color w:val="231F20"/>
        </w:rPr>
        <w:t>a</w:t>
      </w:r>
      <w:r>
        <w:rPr>
          <w:color w:val="231F20"/>
          <w:spacing w:val="34"/>
        </w:rPr>
        <w:t> </w:t>
      </w:r>
      <w:r>
        <w:rPr>
          <w:color w:val="231F20"/>
        </w:rPr>
        <w:t>specific</w:t>
      </w:r>
      <w:r>
        <w:rPr>
          <w:color w:val="231F20"/>
          <w:spacing w:val="34"/>
        </w:rPr>
        <w:t> </w:t>
      </w:r>
      <w:r>
        <w:rPr>
          <w:i/>
          <w:color w:val="231F20"/>
          <w:spacing w:val="-2"/>
        </w:rPr>
        <w:t>entity.</w:t>
      </w:r>
    </w:p>
    <w:p>
      <w:pPr>
        <w:pStyle w:val="BodyText"/>
        <w:spacing w:before="54"/>
        <w:ind w:left="830"/>
        <w:jc w:val="both"/>
      </w:pPr>
      <w:r>
        <w:rPr>
          <w:color w:val="231F20"/>
        </w:rPr>
        <w:t>The</w:t>
      </w:r>
      <w:r>
        <w:rPr>
          <w:color w:val="231F20"/>
          <w:spacing w:val="16"/>
        </w:rPr>
        <w:t> </w:t>
      </w:r>
      <w:r>
        <w:rPr>
          <w:color w:val="231F20"/>
        </w:rPr>
        <w:t>parameters</w:t>
      </w:r>
      <w:r>
        <w:rPr>
          <w:color w:val="231F20"/>
          <w:spacing w:val="16"/>
        </w:rPr>
        <w:t> </w:t>
      </w:r>
      <w:r>
        <w:rPr>
          <w:color w:val="231F20"/>
        </w:rPr>
        <w:t>covered</w:t>
      </w:r>
      <w:r>
        <w:rPr>
          <w:color w:val="231F20"/>
          <w:spacing w:val="17"/>
        </w:rPr>
        <w:t> </w:t>
      </w:r>
      <w:r>
        <w:rPr>
          <w:color w:val="231F20"/>
        </w:rPr>
        <w:t>by</w:t>
      </w:r>
      <w:r>
        <w:rPr>
          <w:color w:val="231F20"/>
          <w:spacing w:val="16"/>
        </w:rPr>
        <w:t> </w:t>
      </w:r>
      <w:r>
        <w:rPr>
          <w:color w:val="231F20"/>
        </w:rPr>
        <w:t>an</w:t>
      </w:r>
      <w:r>
        <w:rPr>
          <w:color w:val="231F20"/>
          <w:spacing w:val="16"/>
        </w:rPr>
        <w:t> </w:t>
      </w:r>
      <w:r>
        <w:rPr>
          <w:color w:val="231F20"/>
        </w:rPr>
        <w:t>accountant’s</w:t>
      </w:r>
      <w:r>
        <w:rPr>
          <w:color w:val="231F20"/>
          <w:spacing w:val="17"/>
        </w:rPr>
        <w:t> </w:t>
      </w:r>
      <w:r>
        <w:rPr>
          <w:color w:val="231F20"/>
        </w:rPr>
        <w:t>report</w:t>
      </w:r>
      <w:r>
        <w:rPr>
          <w:color w:val="231F20"/>
          <w:spacing w:val="16"/>
        </w:rPr>
        <w:t> </w:t>
      </w:r>
      <w:r>
        <w:rPr>
          <w:color w:val="231F20"/>
        </w:rPr>
        <w:t>must</w:t>
      </w:r>
      <w:r>
        <w:rPr>
          <w:color w:val="231F20"/>
          <w:spacing w:val="17"/>
        </w:rPr>
        <w:t> </w:t>
      </w:r>
      <w:r>
        <w:rPr>
          <w:color w:val="231F20"/>
        </w:rPr>
        <w:t>be</w:t>
      </w:r>
      <w:r>
        <w:rPr>
          <w:color w:val="231F20"/>
          <w:spacing w:val="16"/>
        </w:rPr>
        <w:t> </w:t>
      </w:r>
      <w:r>
        <w:rPr>
          <w:color w:val="231F20"/>
        </w:rPr>
        <w:t>clear.</w:t>
      </w:r>
      <w:r>
        <w:rPr>
          <w:color w:val="231F20"/>
          <w:spacing w:val="16"/>
        </w:rPr>
        <w:t> </w:t>
      </w:r>
      <w:r>
        <w:rPr>
          <w:color w:val="231F20"/>
          <w:spacing w:val="-10"/>
        </w:rPr>
        <w:t>A</w:t>
      </w:r>
    </w:p>
    <w:p>
      <w:pPr>
        <w:spacing w:after="0"/>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4"/>
        <w:jc w:val="both"/>
      </w:pPr>
      <w:r>
        <w:rPr>
          <w:color w:val="231F20"/>
        </w:rPr>
        <w:t>reporting entity can be a single grocery store, a production plant, </w:t>
      </w:r>
      <w:r>
        <w:rPr>
          <w:color w:val="231F20"/>
        </w:rPr>
        <w:t>an entire business, or a conglomerate. For example, General Mills pre- pared reports for each of its Red Lobster restaurants. It also re- ported on the entire chain of Red Lobster restaurants, as well as its restaurant group, which also includes the Olive Garden chain. Of course, there is an overall report for the whole corporation, which includes Cheerios, Betty Crocker, Gold Medal flour, and Yoplait yogurt. In 1995, General Mills spun off its restaurants into a sepa- rate company, Darden Restaurants. The operations were already segregated and ready to become their own independent entity.</w:t>
      </w:r>
    </w:p>
    <w:p>
      <w:pPr>
        <w:pStyle w:val="BodyText"/>
        <w:rPr>
          <w:sz w:val="24"/>
        </w:rPr>
      </w:pPr>
    </w:p>
    <w:p>
      <w:pPr>
        <w:pStyle w:val="BodyText"/>
        <w:spacing w:before="10"/>
        <w:rPr>
          <w:sz w:val="26"/>
        </w:rPr>
      </w:pPr>
    </w:p>
    <w:p>
      <w:pPr>
        <w:pStyle w:val="Heading6"/>
        <w:rPr>
          <w:i/>
        </w:rPr>
      </w:pPr>
      <w:r>
        <w:rPr>
          <w:i/>
          <w:color w:val="231F20"/>
          <w:w w:val="110"/>
        </w:rPr>
        <w:t>CASH</w:t>
      </w:r>
      <w:r>
        <w:rPr>
          <w:i/>
          <w:color w:val="231F20"/>
          <w:spacing w:val="74"/>
          <w:w w:val="110"/>
        </w:rPr>
        <w:t> </w:t>
      </w:r>
      <w:r>
        <w:rPr>
          <w:i/>
          <w:color w:val="231F20"/>
          <w:w w:val="110"/>
        </w:rPr>
        <w:t>BASIS</w:t>
      </w:r>
      <w:r>
        <w:rPr>
          <w:i/>
          <w:color w:val="231F20"/>
          <w:spacing w:val="74"/>
          <w:w w:val="110"/>
        </w:rPr>
        <w:t> </w:t>
      </w:r>
      <w:r>
        <w:rPr>
          <w:i/>
          <w:color w:val="231F20"/>
          <w:w w:val="110"/>
        </w:rPr>
        <w:t>VERSUS</w:t>
      </w:r>
      <w:r>
        <w:rPr>
          <w:i/>
          <w:color w:val="231F20"/>
          <w:spacing w:val="75"/>
          <w:w w:val="110"/>
        </w:rPr>
        <w:t> </w:t>
      </w:r>
      <w:r>
        <w:rPr>
          <w:i/>
          <w:color w:val="231F20"/>
          <w:w w:val="110"/>
        </w:rPr>
        <w:t>ACCRUAL</w:t>
      </w:r>
      <w:r>
        <w:rPr>
          <w:i/>
          <w:color w:val="231F20"/>
          <w:spacing w:val="74"/>
          <w:w w:val="110"/>
        </w:rPr>
        <w:t> </w:t>
      </w:r>
      <w:r>
        <w:rPr>
          <w:i/>
          <w:color w:val="231F20"/>
          <w:spacing w:val="8"/>
          <w:w w:val="110"/>
        </w:rPr>
        <w:t>ACCOUNTING</w:t>
      </w:r>
    </w:p>
    <w:p>
      <w:pPr>
        <w:pStyle w:val="BodyText"/>
        <w:spacing w:before="2"/>
        <w:rPr>
          <w:b/>
          <w:i/>
          <w:sz w:val="30"/>
        </w:rPr>
      </w:pPr>
    </w:p>
    <w:p>
      <w:pPr>
        <w:pStyle w:val="BodyText"/>
        <w:spacing w:line="292" w:lineRule="auto"/>
        <w:ind w:left="920" w:right="663"/>
        <w:jc w:val="both"/>
      </w:pPr>
      <w:r>
        <w:rPr>
          <w:color w:val="231F20"/>
        </w:rPr>
        <w:t>How the beans are being counted is important. Using </w:t>
      </w:r>
      <w:r>
        <w:rPr>
          <w:i/>
          <w:color w:val="231F20"/>
        </w:rPr>
        <w:t>cash basis </w:t>
      </w:r>
      <w:r>
        <w:rPr>
          <w:color w:val="231F20"/>
        </w:rPr>
        <w:t>ac- counting, transactions are recorded only when cash changes </w:t>
      </w:r>
      <w:r>
        <w:rPr>
          <w:color w:val="231F20"/>
        </w:rPr>
        <w:t>hands. Very small businesses can get all the accounting information they need from their checking account register. If a store pays two years’ rent in 2005, all the rent cost would be recorded as a cost in 2005,</w:t>
      </w:r>
      <w:r>
        <w:rPr>
          <w:color w:val="231F20"/>
          <w:spacing w:val="40"/>
        </w:rPr>
        <w:t> </w:t>
      </w:r>
      <w:r>
        <w:rPr>
          <w:color w:val="231F20"/>
        </w:rPr>
        <w:t>not over a period of two years. When a small machine shop pur- chases a power tool, its cost would be recorded when it was pur- chased, not over the useful life of the tool. Get the idea? Cash accounting tells you when and how much cash changed hands, but it doesn’t try to match the costs of conducting business with their re- lated sales.</w:t>
      </w:r>
    </w:p>
    <w:p>
      <w:pPr>
        <w:pStyle w:val="BodyText"/>
        <w:spacing w:line="292" w:lineRule="auto"/>
        <w:ind w:left="920" w:right="663" w:firstLine="340"/>
        <w:jc w:val="both"/>
      </w:pPr>
      <w:r>
        <w:rPr>
          <w:color w:val="231F20"/>
        </w:rPr>
        <w:t>Most companies of any significant size use the </w:t>
      </w:r>
      <w:r>
        <w:rPr>
          <w:i/>
          <w:color w:val="231F20"/>
        </w:rPr>
        <w:t>accrual </w:t>
      </w:r>
      <w:r>
        <w:rPr>
          <w:color w:val="231F20"/>
        </w:rPr>
        <w:t>account- ing method. Accrual accounting recognizes the financial effect of an activity when the activity takes place without regard to the move- ment of cash. Target’s rental costs are recorded each month with the benefits of occupancy. The cost of rivet guns at Boeing’s aircraft factory is recorded over the useful life of the tools as workers use them on the factory floor. Due to the dollar magnitude of Boeing’s purchases, cash accounting would distort its financial statements. Accrual accounting, as a consequence, raises two related issues, </w:t>
      </w:r>
      <w:r>
        <w:rPr>
          <w:i/>
          <w:color w:val="231F20"/>
        </w:rPr>
        <w:t>allo-</w:t>
      </w:r>
      <w:r>
        <w:rPr>
          <w:i/>
          <w:color w:val="231F20"/>
        </w:rPr>
        <w:t> cation </w:t>
      </w:r>
      <w:r>
        <w:rPr>
          <w:color w:val="231F20"/>
        </w:rPr>
        <w:t>and </w:t>
      </w:r>
      <w:r>
        <w:rPr>
          <w:i/>
          <w:color w:val="231F20"/>
        </w:rPr>
        <w:t>matching, </w:t>
      </w:r>
      <w:r>
        <w:rPr>
          <w:color w:val="231F20"/>
        </w:rPr>
        <w:t>because activity and cash movement most</w:t>
      </w:r>
      <w:r>
        <w:rPr>
          <w:color w:val="231F20"/>
          <w:spacing w:val="80"/>
          <w:w w:val="150"/>
        </w:rPr>
        <w:t> </w:t>
      </w:r>
      <w:r>
        <w:rPr>
          <w:color w:val="231F20"/>
        </w:rPr>
        <w:t>often do not occur at the same time.</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8"/>
        <w:jc w:val="both"/>
      </w:pPr>
      <w:r>
        <w:rPr>
          <w:i/>
          <w:color w:val="231F20"/>
        </w:rPr>
        <w:t>Allocations to Accounting Periods. </w:t>
      </w:r>
      <w:r>
        <w:rPr>
          <w:color w:val="231F20"/>
        </w:rPr>
        <w:t>Because profit-and-loss statements reflect activities over a specific time, the period of recognition is </w:t>
      </w:r>
      <w:r>
        <w:rPr>
          <w:i/>
          <w:color w:val="231F20"/>
        </w:rPr>
        <w:t>very</w:t>
      </w:r>
      <w:r>
        <w:rPr>
          <w:i/>
          <w:color w:val="231F20"/>
        </w:rPr>
        <w:t> </w:t>
      </w:r>
      <w:r>
        <w:rPr>
          <w:color w:val="231F20"/>
        </w:rPr>
        <w:t>important. If IBM sold a large computer on credit to Ford Motor Company on December 31, 2005, accrual accounting would record the</w:t>
      </w:r>
      <w:r>
        <w:rPr>
          <w:color w:val="231F20"/>
          <w:spacing w:val="-9"/>
        </w:rPr>
        <w:t> </w:t>
      </w:r>
      <w:r>
        <w:rPr>
          <w:color w:val="231F20"/>
        </w:rPr>
        <w:t>sale</w:t>
      </w:r>
      <w:r>
        <w:rPr>
          <w:color w:val="231F20"/>
          <w:spacing w:val="-9"/>
        </w:rPr>
        <w:t> </w:t>
      </w:r>
      <w:r>
        <w:rPr>
          <w:color w:val="231F20"/>
        </w:rPr>
        <w:t>in</w:t>
      </w:r>
      <w:r>
        <w:rPr>
          <w:color w:val="231F20"/>
          <w:spacing w:val="-9"/>
        </w:rPr>
        <w:t> </w:t>
      </w:r>
      <w:r>
        <w:rPr>
          <w:color w:val="231F20"/>
        </w:rPr>
        <w:t>2005</w:t>
      </w:r>
      <w:r>
        <w:rPr>
          <w:color w:val="231F20"/>
          <w:spacing w:val="-9"/>
        </w:rPr>
        <w:t> </w:t>
      </w:r>
      <w:r>
        <w:rPr>
          <w:color w:val="231F20"/>
        </w:rPr>
        <w:t>when</w:t>
      </w:r>
      <w:r>
        <w:rPr>
          <w:color w:val="231F20"/>
          <w:spacing w:val="-9"/>
        </w:rPr>
        <w:t> </w:t>
      </w:r>
      <w:r>
        <w:rPr>
          <w:color w:val="231F20"/>
        </w:rPr>
        <w:t>the</w:t>
      </w:r>
      <w:r>
        <w:rPr>
          <w:color w:val="231F20"/>
          <w:spacing w:val="-9"/>
        </w:rPr>
        <w:t> </w:t>
      </w:r>
      <w:r>
        <w:rPr>
          <w:color w:val="231F20"/>
        </w:rPr>
        <w:t>binding</w:t>
      </w:r>
      <w:r>
        <w:rPr>
          <w:color w:val="231F20"/>
          <w:spacing w:val="-9"/>
        </w:rPr>
        <w:t> </w:t>
      </w:r>
      <w:r>
        <w:rPr>
          <w:color w:val="231F20"/>
        </w:rPr>
        <w:t>contract</w:t>
      </w:r>
      <w:r>
        <w:rPr>
          <w:color w:val="231F20"/>
          <w:spacing w:val="-9"/>
        </w:rPr>
        <w:t> </w:t>
      </w:r>
      <w:r>
        <w:rPr>
          <w:color w:val="231F20"/>
        </w:rPr>
        <w:t>was</w:t>
      </w:r>
      <w:r>
        <w:rPr>
          <w:color w:val="231F20"/>
          <w:spacing w:val="-9"/>
        </w:rPr>
        <w:t> </w:t>
      </w:r>
      <w:r>
        <w:rPr>
          <w:color w:val="231F20"/>
        </w:rPr>
        <w:t>signed,</w:t>
      </w:r>
      <w:r>
        <w:rPr>
          <w:color w:val="231F20"/>
          <w:spacing w:val="-9"/>
        </w:rPr>
        <w:t> </w:t>
      </w:r>
      <w:r>
        <w:rPr>
          <w:color w:val="231F20"/>
        </w:rPr>
        <w:t>not</w:t>
      </w:r>
      <w:r>
        <w:rPr>
          <w:color w:val="231F20"/>
          <w:spacing w:val="-9"/>
        </w:rPr>
        <w:t> </w:t>
      </w:r>
      <w:r>
        <w:rPr>
          <w:color w:val="231F20"/>
        </w:rPr>
        <w:t>when</w:t>
      </w:r>
      <w:r>
        <w:rPr>
          <w:color w:val="231F20"/>
          <w:spacing w:val="-9"/>
        </w:rPr>
        <w:t> </w:t>
      </w:r>
      <w:r>
        <w:rPr>
          <w:color w:val="231F20"/>
        </w:rPr>
        <w:t>Ford actually laid out the cash in 2006. The sale could be recorded at that point, because it was then that Ford became legally bound to take delivery of the computer. That was also the </w:t>
      </w:r>
      <w:r>
        <w:rPr>
          <w:i/>
          <w:color w:val="231F20"/>
        </w:rPr>
        <w:t>period </w:t>
      </w:r>
      <w:r>
        <w:rPr>
          <w:color w:val="231F20"/>
        </w:rPr>
        <w:t>in which IBM’s accounting</w:t>
      </w:r>
      <w:r>
        <w:rPr>
          <w:color w:val="231F20"/>
          <w:spacing w:val="-3"/>
        </w:rPr>
        <w:t> </w:t>
      </w:r>
      <w:r>
        <w:rPr>
          <w:color w:val="231F20"/>
        </w:rPr>
        <w:t>records</w:t>
      </w:r>
      <w:r>
        <w:rPr>
          <w:color w:val="231F20"/>
          <w:spacing w:val="-3"/>
        </w:rPr>
        <w:t> </w:t>
      </w:r>
      <w:r>
        <w:rPr>
          <w:color w:val="231F20"/>
        </w:rPr>
        <w:t>would</w:t>
      </w:r>
      <w:r>
        <w:rPr>
          <w:color w:val="231F20"/>
          <w:spacing w:val="-3"/>
        </w:rPr>
        <w:t> </w:t>
      </w:r>
      <w:r>
        <w:rPr>
          <w:color w:val="231F20"/>
        </w:rPr>
        <w:t>recognize</w:t>
      </w:r>
      <w:r>
        <w:rPr>
          <w:color w:val="231F20"/>
          <w:spacing w:val="-3"/>
        </w:rPr>
        <w:t> </w:t>
      </w:r>
      <w:r>
        <w:rPr>
          <w:color w:val="231F20"/>
        </w:rPr>
        <w:t>the</w:t>
      </w:r>
      <w:r>
        <w:rPr>
          <w:color w:val="231F20"/>
          <w:spacing w:val="-3"/>
        </w:rPr>
        <w:t> </w:t>
      </w:r>
      <w:r>
        <w:rPr>
          <w:color w:val="231F20"/>
        </w:rPr>
        <w:t>sale</w:t>
      </w:r>
      <w:r>
        <w:rPr>
          <w:color w:val="231F20"/>
          <w:spacing w:val="-3"/>
        </w:rPr>
        <w:t> </w:t>
      </w:r>
      <w:r>
        <w:rPr>
          <w:color w:val="231F20"/>
        </w:rPr>
        <w:t>and</w:t>
      </w:r>
      <w:r>
        <w:rPr>
          <w:color w:val="231F20"/>
          <w:spacing w:val="-3"/>
        </w:rPr>
        <w:t> </w:t>
      </w:r>
      <w:r>
        <w:rPr>
          <w:color w:val="231F20"/>
        </w:rPr>
        <w:t>its</w:t>
      </w:r>
      <w:r>
        <w:rPr>
          <w:color w:val="231F20"/>
          <w:spacing w:val="-3"/>
        </w:rPr>
        <w:t> </w:t>
      </w:r>
      <w:r>
        <w:rPr>
          <w:color w:val="231F20"/>
        </w:rPr>
        <w:t>related</w:t>
      </w:r>
      <w:r>
        <w:rPr>
          <w:color w:val="231F20"/>
          <w:spacing w:val="-3"/>
        </w:rPr>
        <w:t> </w:t>
      </w:r>
      <w:r>
        <w:rPr>
          <w:color w:val="231F20"/>
        </w:rPr>
        <w:t>costs</w:t>
      </w:r>
      <w:r>
        <w:rPr>
          <w:color w:val="231F20"/>
          <w:spacing w:val="-3"/>
        </w:rPr>
        <w:t> </w:t>
      </w:r>
      <w:r>
        <w:rPr>
          <w:color w:val="231F20"/>
        </w:rPr>
        <w:t>and the profits. Ford, on the other hand, would recognize or </w:t>
      </w:r>
      <w:r>
        <w:rPr>
          <w:i/>
          <w:color w:val="231F20"/>
        </w:rPr>
        <w:t>accrue </w:t>
      </w:r>
      <w:r>
        <w:rPr>
          <w:color w:val="231F20"/>
        </w:rPr>
        <w:t>and </w:t>
      </w:r>
      <w:r>
        <w:rPr>
          <w:i/>
          <w:color w:val="231F20"/>
        </w:rPr>
        <w:t>allocate </w:t>
      </w:r>
      <w:r>
        <w:rPr>
          <w:color w:val="231F20"/>
        </w:rPr>
        <w:t>the cost of using the computer over its useful life.</w:t>
      </w:r>
    </w:p>
    <w:p>
      <w:pPr>
        <w:pStyle w:val="BodyText"/>
        <w:spacing w:before="2"/>
        <w:rPr>
          <w:sz w:val="25"/>
        </w:rPr>
      </w:pPr>
    </w:p>
    <w:p>
      <w:pPr>
        <w:pStyle w:val="BodyText"/>
        <w:spacing w:line="292" w:lineRule="auto" w:before="1"/>
        <w:ind w:left="830" w:right="753"/>
        <w:jc w:val="both"/>
      </w:pPr>
      <w:r>
        <w:rPr>
          <w:i/>
          <w:color w:val="231F20"/>
        </w:rPr>
        <w:t>Matching. </w:t>
      </w:r>
      <w:r>
        <w:rPr>
          <w:color w:val="231F20"/>
        </w:rPr>
        <w:t>Using the same logic as in allocation, sales made in one period are </w:t>
      </w:r>
      <w:r>
        <w:rPr>
          <w:i/>
          <w:color w:val="231F20"/>
        </w:rPr>
        <w:t>matched </w:t>
      </w:r>
      <w:r>
        <w:rPr>
          <w:color w:val="231F20"/>
        </w:rPr>
        <w:t>with their related selling costs or </w:t>
      </w:r>
      <w:r>
        <w:rPr>
          <w:i/>
          <w:color w:val="231F20"/>
        </w:rPr>
        <w:t>cost of goods</w:t>
      </w:r>
      <w:r>
        <w:rPr>
          <w:i/>
          <w:color w:val="231F20"/>
        </w:rPr>
        <w:t> sold </w:t>
      </w:r>
      <w:r>
        <w:rPr>
          <w:color w:val="231F20"/>
        </w:rPr>
        <w:t>(COGS) in the same accounting period. By matching sales </w:t>
      </w:r>
      <w:r>
        <w:rPr>
          <w:color w:val="231F20"/>
        </w:rPr>
        <w:t>dol- lars with their related costs, you can figure the profit a company has actually made. For example, when Safeway sells fresh produce on December 31, 2005, but doesn’t pay the supplier’s bill until 2006, accrual</w:t>
      </w:r>
      <w:r>
        <w:rPr>
          <w:color w:val="231F20"/>
          <w:spacing w:val="-1"/>
        </w:rPr>
        <w:t> </w:t>
      </w:r>
      <w:r>
        <w:rPr>
          <w:color w:val="231F20"/>
        </w:rPr>
        <w:t>accounting</w:t>
      </w:r>
      <w:r>
        <w:rPr>
          <w:color w:val="231F20"/>
          <w:spacing w:val="-1"/>
        </w:rPr>
        <w:t> </w:t>
      </w:r>
      <w:r>
        <w:rPr>
          <w:color w:val="231F20"/>
        </w:rPr>
        <w:t>will</w:t>
      </w:r>
      <w:r>
        <w:rPr>
          <w:color w:val="231F20"/>
          <w:spacing w:val="-1"/>
        </w:rPr>
        <w:t> </w:t>
      </w:r>
      <w:r>
        <w:rPr>
          <w:color w:val="231F20"/>
        </w:rPr>
        <w:t>nevertheless</w:t>
      </w:r>
      <w:r>
        <w:rPr>
          <w:color w:val="231F20"/>
          <w:spacing w:val="-1"/>
        </w:rPr>
        <w:t> </w:t>
      </w:r>
      <w:r>
        <w:rPr>
          <w:color w:val="231F20"/>
        </w:rPr>
        <w:t>record</w:t>
      </w:r>
      <w:r>
        <w:rPr>
          <w:color w:val="231F20"/>
          <w:spacing w:val="-1"/>
        </w:rPr>
        <w:t> </w:t>
      </w:r>
      <w:r>
        <w:rPr>
          <w:color w:val="231F20"/>
        </w:rPr>
        <w:t>the</w:t>
      </w:r>
      <w:r>
        <w:rPr>
          <w:color w:val="231F20"/>
          <w:spacing w:val="-1"/>
        </w:rPr>
        <w:t> </w:t>
      </w:r>
      <w:r>
        <w:rPr>
          <w:color w:val="231F20"/>
        </w:rPr>
        <w:t>costs</w:t>
      </w:r>
      <w:r>
        <w:rPr>
          <w:color w:val="231F20"/>
          <w:spacing w:val="-1"/>
        </w:rPr>
        <w:t> </w:t>
      </w:r>
      <w:r>
        <w:rPr>
          <w:color w:val="231F20"/>
        </w:rPr>
        <w:t>related</w:t>
      </w:r>
      <w:r>
        <w:rPr>
          <w:color w:val="231F20"/>
          <w:spacing w:val="-1"/>
        </w:rPr>
        <w:t> </w:t>
      </w:r>
      <w:r>
        <w:rPr>
          <w:color w:val="231F20"/>
        </w:rPr>
        <w:t>to</w:t>
      </w:r>
      <w:r>
        <w:rPr>
          <w:color w:val="231F20"/>
          <w:spacing w:val="-1"/>
        </w:rPr>
        <w:t> </w:t>
      </w:r>
      <w:r>
        <w:rPr>
          <w:color w:val="231F20"/>
        </w:rPr>
        <w:t>those sales in 2005. Safeway’s sales in 2005 caused the expense, and there- fore, the sales should have the related costs allocated against them in the same year. Without established policies for </w:t>
      </w:r>
      <w:r>
        <w:rPr>
          <w:i/>
          <w:color w:val="231F20"/>
        </w:rPr>
        <w:t>allocation </w:t>
      </w:r>
      <w:r>
        <w:rPr>
          <w:color w:val="231F20"/>
        </w:rPr>
        <w:t>and </w:t>
      </w:r>
      <w:r>
        <w:rPr>
          <w:i/>
          <w:color w:val="231F20"/>
        </w:rPr>
        <w:t>matching, </w:t>
      </w:r>
      <w:r>
        <w:rPr>
          <w:color w:val="231F20"/>
        </w:rPr>
        <w:t>accountants could easily manipulate financial reports by choosing when to record sales or expenses in order to cover up or delay bad results.</w:t>
      </w:r>
    </w:p>
    <w:p>
      <w:pPr>
        <w:pStyle w:val="BodyText"/>
        <w:rPr>
          <w:sz w:val="24"/>
        </w:rPr>
      </w:pPr>
    </w:p>
    <w:p>
      <w:pPr>
        <w:pStyle w:val="BodyText"/>
        <w:spacing w:before="9"/>
        <w:rPr>
          <w:sz w:val="26"/>
        </w:rPr>
      </w:pPr>
    </w:p>
    <w:p>
      <w:pPr>
        <w:pStyle w:val="Heading6"/>
        <w:ind w:left="299"/>
        <w:rPr>
          <w:i/>
        </w:rPr>
      </w:pPr>
      <w:r>
        <w:rPr>
          <w:i/>
          <w:color w:val="231F20"/>
          <w:spacing w:val="9"/>
          <w:w w:val="110"/>
        </w:rPr>
        <w:t>TRANSACTION</w:t>
      </w:r>
      <w:r>
        <w:rPr>
          <w:i/>
          <w:color w:val="231F20"/>
          <w:spacing w:val="69"/>
          <w:w w:val="110"/>
        </w:rPr>
        <w:t> </w:t>
      </w:r>
      <w:r>
        <w:rPr>
          <w:i/>
          <w:color w:val="231F20"/>
          <w:w w:val="110"/>
        </w:rPr>
        <w:t>DEFINITION</w:t>
      </w:r>
      <w:r>
        <w:rPr>
          <w:i/>
          <w:color w:val="231F20"/>
          <w:spacing w:val="70"/>
          <w:w w:val="110"/>
        </w:rPr>
        <w:t> </w:t>
      </w:r>
      <w:r>
        <w:rPr>
          <w:i/>
          <w:color w:val="231F20"/>
          <w:w w:val="110"/>
        </w:rPr>
        <w:t>AND</w:t>
      </w:r>
      <w:r>
        <w:rPr>
          <w:i/>
          <w:color w:val="231F20"/>
          <w:spacing w:val="70"/>
          <w:w w:val="110"/>
        </w:rPr>
        <w:t> </w:t>
      </w:r>
      <w:r>
        <w:rPr>
          <w:i/>
          <w:color w:val="231F20"/>
          <w:spacing w:val="8"/>
          <w:w w:val="110"/>
        </w:rPr>
        <w:t>OBJECTIVITY</w:t>
      </w:r>
    </w:p>
    <w:p>
      <w:pPr>
        <w:pStyle w:val="BodyText"/>
        <w:spacing w:before="2"/>
        <w:rPr>
          <w:b/>
          <w:i/>
          <w:sz w:val="30"/>
        </w:rPr>
      </w:pPr>
    </w:p>
    <w:p>
      <w:pPr>
        <w:pStyle w:val="BodyText"/>
        <w:spacing w:line="292" w:lineRule="auto"/>
        <w:ind w:left="830" w:right="753"/>
        <w:jc w:val="both"/>
      </w:pPr>
      <w:r>
        <w:rPr>
          <w:color w:val="231F20"/>
        </w:rPr>
        <w:t>Accounting records only contain transactions that have been </w:t>
      </w:r>
      <w:r>
        <w:rPr>
          <w:color w:val="231F20"/>
        </w:rPr>
        <w:t>“com- pleted” and that have a “quantifiable” monetary value. Sales that</w:t>
      </w:r>
      <w:r>
        <w:rPr>
          <w:color w:val="231F20"/>
          <w:spacing w:val="80"/>
        </w:rPr>
        <w:t> </w:t>
      </w:r>
      <w:r>
        <w:rPr>
          <w:color w:val="231F20"/>
        </w:rPr>
        <w:t>have not been completed, but are thought of as “sure things,” can-</w:t>
      </w:r>
      <w:r>
        <w:rPr>
          <w:color w:val="231F20"/>
          <w:spacing w:val="80"/>
        </w:rPr>
        <w:t> </w:t>
      </w:r>
      <w:r>
        <w:rPr>
          <w:color w:val="231F20"/>
        </w:rPr>
        <w:t>not</w:t>
      </w:r>
      <w:r>
        <w:rPr>
          <w:color w:val="231F20"/>
          <w:spacing w:val="40"/>
        </w:rPr>
        <w:t> </w:t>
      </w:r>
      <w:r>
        <w:rPr>
          <w:color w:val="231F20"/>
        </w:rPr>
        <w:t>be</w:t>
      </w:r>
      <w:r>
        <w:rPr>
          <w:color w:val="231F20"/>
          <w:spacing w:val="40"/>
        </w:rPr>
        <w:t> </w:t>
      </w:r>
      <w:r>
        <w:rPr>
          <w:color w:val="231F20"/>
        </w:rPr>
        <w:t>recorded.</w:t>
      </w:r>
      <w:r>
        <w:rPr>
          <w:color w:val="231F20"/>
          <w:spacing w:val="40"/>
        </w:rPr>
        <w:t> </w:t>
      </w:r>
      <w:r>
        <w:rPr>
          <w:color w:val="231F20"/>
        </w:rPr>
        <w:t>Even</w:t>
      </w:r>
      <w:r>
        <w:rPr>
          <w:color w:val="231F20"/>
          <w:spacing w:val="40"/>
        </w:rPr>
        <w:t> </w:t>
      </w:r>
      <w:r>
        <w:rPr>
          <w:color w:val="231F20"/>
        </w:rPr>
        <w:t>if</w:t>
      </w:r>
      <w:r>
        <w:rPr>
          <w:color w:val="231F20"/>
          <w:spacing w:val="40"/>
        </w:rPr>
        <w:t> </w:t>
      </w:r>
      <w:r>
        <w:rPr>
          <w:color w:val="231F20"/>
        </w:rPr>
        <w:t>a</w:t>
      </w:r>
      <w:r>
        <w:rPr>
          <w:color w:val="231F20"/>
          <w:spacing w:val="40"/>
        </w:rPr>
        <w:t> </w:t>
      </w:r>
      <w:r>
        <w:rPr>
          <w:color w:val="231F20"/>
        </w:rPr>
        <w:t>trustworthy</w:t>
      </w:r>
      <w:r>
        <w:rPr>
          <w:color w:val="231F20"/>
          <w:spacing w:val="40"/>
        </w:rPr>
        <w:t> </w:t>
      </w:r>
      <w:r>
        <w:rPr>
          <w:color w:val="231F20"/>
        </w:rPr>
        <w:t>salesman</w:t>
      </w:r>
      <w:r>
        <w:rPr>
          <w:color w:val="231F20"/>
          <w:spacing w:val="40"/>
        </w:rPr>
        <w:t> </w:t>
      </w:r>
      <w:r>
        <w:rPr>
          <w:color w:val="231F20"/>
        </w:rPr>
        <w:t>from</w:t>
      </w:r>
      <w:r>
        <w:rPr>
          <w:color w:val="231F20"/>
          <w:spacing w:val="40"/>
        </w:rPr>
        <w:t> </w:t>
      </w:r>
      <w:r>
        <w:rPr>
          <w:color w:val="231F20"/>
        </w:rPr>
        <w:t>CaseIH swears that farmer Jones is a sure bet to buy a combine, the accoun- tant</w:t>
      </w:r>
      <w:r>
        <w:rPr>
          <w:color w:val="231F20"/>
          <w:spacing w:val="42"/>
        </w:rPr>
        <w:t> </w:t>
      </w:r>
      <w:r>
        <w:rPr>
          <w:color w:val="231F20"/>
        </w:rPr>
        <w:t>would</w:t>
      </w:r>
      <w:r>
        <w:rPr>
          <w:color w:val="231F20"/>
          <w:spacing w:val="42"/>
        </w:rPr>
        <w:t> </w:t>
      </w:r>
      <w:r>
        <w:rPr>
          <w:color w:val="231F20"/>
        </w:rPr>
        <w:t>say</w:t>
      </w:r>
      <w:r>
        <w:rPr>
          <w:color w:val="231F20"/>
          <w:spacing w:val="42"/>
        </w:rPr>
        <w:t> </w:t>
      </w:r>
      <w:r>
        <w:rPr>
          <w:color w:val="231F20"/>
        </w:rPr>
        <w:t>no.</w:t>
      </w:r>
      <w:r>
        <w:rPr>
          <w:color w:val="231F20"/>
          <w:spacing w:val="43"/>
        </w:rPr>
        <w:t> </w:t>
      </w:r>
      <w:r>
        <w:rPr>
          <w:color w:val="231F20"/>
        </w:rPr>
        <w:t>For</w:t>
      </w:r>
      <w:r>
        <w:rPr>
          <w:color w:val="231F20"/>
          <w:spacing w:val="42"/>
        </w:rPr>
        <w:t> </w:t>
      </w:r>
      <w:r>
        <w:rPr>
          <w:color w:val="231F20"/>
        </w:rPr>
        <w:t>his</w:t>
      </w:r>
      <w:r>
        <w:rPr>
          <w:color w:val="231F20"/>
          <w:spacing w:val="42"/>
        </w:rPr>
        <w:t> </w:t>
      </w:r>
      <w:r>
        <w:rPr>
          <w:color w:val="231F20"/>
        </w:rPr>
        <w:t>accounting</w:t>
      </w:r>
      <w:r>
        <w:rPr>
          <w:color w:val="231F20"/>
          <w:spacing w:val="42"/>
        </w:rPr>
        <w:t> </w:t>
      </w:r>
      <w:r>
        <w:rPr>
          <w:color w:val="231F20"/>
        </w:rPr>
        <w:t>purposes,</w:t>
      </w:r>
      <w:r>
        <w:rPr>
          <w:color w:val="231F20"/>
          <w:spacing w:val="43"/>
        </w:rPr>
        <w:t> </w:t>
      </w:r>
      <w:r>
        <w:rPr>
          <w:color w:val="231F20"/>
        </w:rPr>
        <w:t>the</w:t>
      </w:r>
      <w:r>
        <w:rPr>
          <w:color w:val="231F20"/>
          <w:spacing w:val="42"/>
        </w:rPr>
        <w:t> </w:t>
      </w:r>
      <w:r>
        <w:rPr>
          <w:color w:val="231F20"/>
        </w:rPr>
        <w:t>sale</w:t>
      </w:r>
      <w:r>
        <w:rPr>
          <w:color w:val="231F20"/>
          <w:spacing w:val="42"/>
        </w:rPr>
        <w:t> </w:t>
      </w:r>
      <w:r>
        <w:rPr>
          <w:color w:val="231F20"/>
        </w:rPr>
        <w:t>has</w:t>
      </w:r>
      <w:r>
        <w:rPr>
          <w:color w:val="231F20"/>
          <w:spacing w:val="42"/>
        </w:rPr>
        <w:t> </w:t>
      </w:r>
      <w:r>
        <w:rPr>
          <w:color w:val="231F20"/>
          <w:spacing w:val="-5"/>
        </w:rPr>
        <w:t>not</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taken place. CaseIH has not delivered the machinery, nor has the farmer signed an enforceable contract.</w:t>
      </w:r>
    </w:p>
    <w:p>
      <w:pPr>
        <w:spacing w:line="292" w:lineRule="auto" w:before="0"/>
        <w:ind w:left="920" w:right="667" w:firstLine="339"/>
        <w:jc w:val="both"/>
        <w:rPr>
          <w:sz w:val="21"/>
        </w:rPr>
      </w:pPr>
      <w:r>
        <w:rPr>
          <w:color w:val="231F20"/>
          <w:sz w:val="21"/>
        </w:rPr>
        <w:t>Accountants also have an </w:t>
      </w:r>
      <w:r>
        <w:rPr>
          <w:i/>
          <w:color w:val="231F20"/>
          <w:sz w:val="21"/>
        </w:rPr>
        <w:t>objectivity </w:t>
      </w:r>
      <w:r>
        <w:rPr>
          <w:color w:val="231F20"/>
          <w:sz w:val="21"/>
        </w:rPr>
        <w:t>rule to guide them when </w:t>
      </w:r>
      <w:r>
        <w:rPr>
          <w:color w:val="231F20"/>
          <w:sz w:val="21"/>
        </w:rPr>
        <w:t>in doubt. There must be </w:t>
      </w:r>
      <w:r>
        <w:rPr>
          <w:i/>
          <w:color w:val="231F20"/>
          <w:sz w:val="21"/>
        </w:rPr>
        <w:t>reasonable and verifiable </w:t>
      </w:r>
      <w:r>
        <w:rPr>
          <w:color w:val="231F20"/>
          <w:sz w:val="21"/>
        </w:rPr>
        <w:t>evidence to support the transaction, or else it does not get recorded.</w:t>
      </w:r>
    </w:p>
    <w:p>
      <w:pPr>
        <w:pStyle w:val="BodyText"/>
        <w:spacing w:line="292" w:lineRule="auto"/>
        <w:ind w:left="920" w:right="663" w:firstLine="340"/>
        <w:jc w:val="both"/>
      </w:pPr>
      <w:r>
        <w:rPr>
          <w:color w:val="231F20"/>
        </w:rPr>
        <w:t>For example, the goodwill generated by a public service cam- paign</w:t>
      </w:r>
      <w:r>
        <w:rPr>
          <w:color w:val="231F20"/>
          <w:spacing w:val="29"/>
        </w:rPr>
        <w:t> </w:t>
      </w:r>
      <w:r>
        <w:rPr>
          <w:color w:val="231F20"/>
        </w:rPr>
        <w:t>cannot</w:t>
      </w:r>
      <w:r>
        <w:rPr>
          <w:color w:val="231F20"/>
          <w:spacing w:val="29"/>
        </w:rPr>
        <w:t> </w:t>
      </w:r>
      <w:r>
        <w:rPr>
          <w:color w:val="231F20"/>
        </w:rPr>
        <w:t>be</w:t>
      </w:r>
      <w:r>
        <w:rPr>
          <w:color w:val="231F20"/>
          <w:spacing w:val="29"/>
        </w:rPr>
        <w:t> </w:t>
      </w:r>
      <w:r>
        <w:rPr>
          <w:color w:val="231F20"/>
        </w:rPr>
        <w:t>recorded</w:t>
      </w:r>
      <w:r>
        <w:rPr>
          <w:color w:val="231F20"/>
          <w:spacing w:val="29"/>
        </w:rPr>
        <w:t> </w:t>
      </w:r>
      <w:r>
        <w:rPr>
          <w:color w:val="231F20"/>
        </w:rPr>
        <w:t>on</w:t>
      </w:r>
      <w:r>
        <w:rPr>
          <w:color w:val="231F20"/>
          <w:spacing w:val="29"/>
        </w:rPr>
        <w:t> </w:t>
      </w:r>
      <w:r>
        <w:rPr>
          <w:color w:val="231F20"/>
        </w:rPr>
        <w:t>the</w:t>
      </w:r>
      <w:r>
        <w:rPr>
          <w:color w:val="231F20"/>
          <w:spacing w:val="29"/>
        </w:rPr>
        <w:t> </w:t>
      </w:r>
      <w:r>
        <w:rPr>
          <w:color w:val="231F20"/>
        </w:rPr>
        <w:t>books.</w:t>
      </w:r>
      <w:r>
        <w:rPr>
          <w:color w:val="231F20"/>
          <w:spacing w:val="29"/>
        </w:rPr>
        <w:t> </w:t>
      </w:r>
      <w:r>
        <w:rPr>
          <w:color w:val="231F20"/>
        </w:rPr>
        <w:t>What</w:t>
      </w:r>
      <w:r>
        <w:rPr>
          <w:color w:val="231F20"/>
          <w:spacing w:val="29"/>
        </w:rPr>
        <w:t> </w:t>
      </w:r>
      <w:r>
        <w:rPr>
          <w:color w:val="231F20"/>
        </w:rPr>
        <w:t>value</w:t>
      </w:r>
      <w:r>
        <w:rPr>
          <w:color w:val="231F20"/>
          <w:spacing w:val="29"/>
        </w:rPr>
        <w:t> </w:t>
      </w:r>
      <w:r>
        <w:rPr>
          <w:color w:val="231F20"/>
        </w:rPr>
        <w:t>could</w:t>
      </w:r>
      <w:r>
        <w:rPr>
          <w:color w:val="231F20"/>
          <w:spacing w:val="29"/>
        </w:rPr>
        <w:t> </w:t>
      </w:r>
      <w:r>
        <w:rPr>
          <w:color w:val="231F20"/>
        </w:rPr>
        <w:t>you</w:t>
      </w:r>
      <w:r>
        <w:rPr>
          <w:color w:val="231F20"/>
          <w:spacing w:val="29"/>
        </w:rPr>
        <w:t> </w:t>
      </w:r>
      <w:r>
        <w:rPr>
          <w:color w:val="231F20"/>
        </w:rPr>
        <w:t>put on it? Archer Daniels Midland (ADM) regularly runs TV propa-</w:t>
      </w:r>
      <w:r>
        <w:rPr>
          <w:color w:val="231F20"/>
          <w:spacing w:val="80"/>
          <w:w w:val="150"/>
        </w:rPr>
        <w:t> </w:t>
      </w:r>
      <w:r>
        <w:rPr>
          <w:color w:val="231F20"/>
        </w:rPr>
        <w:t>ganda telling consumers how cheap food is in America compared with</w:t>
      </w:r>
      <w:r>
        <w:rPr>
          <w:color w:val="231F20"/>
          <w:spacing w:val="15"/>
        </w:rPr>
        <w:t> </w:t>
      </w:r>
      <w:r>
        <w:rPr>
          <w:color w:val="231F20"/>
        </w:rPr>
        <w:t>the</w:t>
      </w:r>
      <w:r>
        <w:rPr>
          <w:color w:val="231F20"/>
          <w:spacing w:val="15"/>
        </w:rPr>
        <w:t> </w:t>
      </w:r>
      <w:r>
        <w:rPr>
          <w:color w:val="231F20"/>
        </w:rPr>
        <w:t>rest</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world.</w:t>
      </w:r>
      <w:r>
        <w:rPr>
          <w:color w:val="231F20"/>
          <w:spacing w:val="15"/>
        </w:rPr>
        <w:t> </w:t>
      </w:r>
      <w:r>
        <w:rPr>
          <w:color w:val="231F20"/>
        </w:rPr>
        <w:t>How</w:t>
      </w:r>
      <w:r>
        <w:rPr>
          <w:color w:val="231F20"/>
          <w:spacing w:val="15"/>
        </w:rPr>
        <w:t> </w:t>
      </w:r>
      <w:r>
        <w:rPr>
          <w:color w:val="231F20"/>
        </w:rPr>
        <w:t>could</w:t>
      </w:r>
      <w:r>
        <w:rPr>
          <w:color w:val="231F20"/>
          <w:spacing w:val="15"/>
        </w:rPr>
        <w:t> </w:t>
      </w:r>
      <w:r>
        <w:rPr>
          <w:color w:val="231F20"/>
        </w:rPr>
        <w:t>an</w:t>
      </w:r>
      <w:r>
        <w:rPr>
          <w:color w:val="231F20"/>
          <w:spacing w:val="15"/>
        </w:rPr>
        <w:t> </w:t>
      </w:r>
      <w:r>
        <w:rPr>
          <w:color w:val="231F20"/>
        </w:rPr>
        <w:t>accountant</w:t>
      </w:r>
      <w:r>
        <w:rPr>
          <w:color w:val="231F20"/>
          <w:spacing w:val="15"/>
        </w:rPr>
        <w:t> </w:t>
      </w:r>
      <w:r>
        <w:rPr>
          <w:color w:val="231F20"/>
        </w:rPr>
        <w:t>objectively</w:t>
      </w:r>
      <w:r>
        <w:rPr>
          <w:color w:val="231F20"/>
          <w:spacing w:val="15"/>
        </w:rPr>
        <w:t> </w:t>
      </w:r>
      <w:r>
        <w:rPr>
          <w:color w:val="231F20"/>
        </w:rPr>
        <w:t>put a</w:t>
      </w:r>
      <w:r>
        <w:rPr>
          <w:color w:val="231F20"/>
          <w:spacing w:val="27"/>
        </w:rPr>
        <w:t> </w:t>
      </w:r>
      <w:r>
        <w:rPr>
          <w:color w:val="231F20"/>
        </w:rPr>
        <w:t>dollar</w:t>
      </w:r>
      <w:r>
        <w:rPr>
          <w:color w:val="231F20"/>
          <w:spacing w:val="27"/>
        </w:rPr>
        <w:t> </w:t>
      </w:r>
      <w:r>
        <w:rPr>
          <w:color w:val="231F20"/>
        </w:rPr>
        <w:t>value</w:t>
      </w:r>
      <w:r>
        <w:rPr>
          <w:color w:val="231F20"/>
          <w:spacing w:val="27"/>
        </w:rPr>
        <w:t> </w:t>
      </w:r>
      <w:r>
        <w:rPr>
          <w:color w:val="231F20"/>
        </w:rPr>
        <w:t>on</w:t>
      </w:r>
      <w:r>
        <w:rPr>
          <w:color w:val="231F20"/>
          <w:spacing w:val="27"/>
        </w:rPr>
        <w:t> </w:t>
      </w:r>
      <w:r>
        <w:rPr>
          <w:color w:val="231F20"/>
        </w:rPr>
        <w:t>the</w:t>
      </w:r>
      <w:r>
        <w:rPr>
          <w:color w:val="231F20"/>
          <w:spacing w:val="27"/>
        </w:rPr>
        <w:t> </w:t>
      </w:r>
      <w:r>
        <w:rPr>
          <w:color w:val="231F20"/>
        </w:rPr>
        <w:t>“good</w:t>
      </w:r>
      <w:r>
        <w:rPr>
          <w:color w:val="231F20"/>
          <w:spacing w:val="27"/>
        </w:rPr>
        <w:t> </w:t>
      </w:r>
      <w:r>
        <w:rPr>
          <w:color w:val="231F20"/>
        </w:rPr>
        <w:t>feelings”</w:t>
      </w:r>
      <w:r>
        <w:rPr>
          <w:color w:val="231F20"/>
          <w:spacing w:val="27"/>
        </w:rPr>
        <w:t> </w:t>
      </w:r>
      <w:r>
        <w:rPr>
          <w:color w:val="231F20"/>
        </w:rPr>
        <w:t>directed</w:t>
      </w:r>
      <w:r>
        <w:rPr>
          <w:color w:val="231F20"/>
          <w:spacing w:val="27"/>
        </w:rPr>
        <w:t> </w:t>
      </w:r>
      <w:r>
        <w:rPr>
          <w:color w:val="231F20"/>
        </w:rPr>
        <w:t>toward</w:t>
      </w:r>
      <w:r>
        <w:rPr>
          <w:color w:val="231F20"/>
          <w:spacing w:val="27"/>
        </w:rPr>
        <w:t> </w:t>
      </w:r>
      <w:r>
        <w:rPr>
          <w:color w:val="231F20"/>
        </w:rPr>
        <w:t>the</w:t>
      </w:r>
      <w:r>
        <w:rPr>
          <w:color w:val="231F20"/>
          <w:spacing w:val="27"/>
        </w:rPr>
        <w:t> </w:t>
      </w:r>
      <w:r>
        <w:rPr>
          <w:color w:val="231F20"/>
        </w:rPr>
        <w:t>company in the hearts of grateful Americans or incumbent congressmen? Patents and inventions are also hard to value. If Du Pont purchases a patent on a new chemical from an inventor for $1,000,000, it would be recorded on the books at $1,000,000. The patent has quantifiable market value. However, if a Du Pont scientist developed a new process in the lab, the accountants could not record the innovation until it was sold. The accountant would need to have a contract and</w:t>
      </w:r>
      <w:r>
        <w:rPr>
          <w:color w:val="231F20"/>
          <w:spacing w:val="80"/>
          <w:w w:val="150"/>
        </w:rPr>
        <w:t> </w:t>
      </w:r>
      <w:r>
        <w:rPr>
          <w:color w:val="231F20"/>
        </w:rPr>
        <w:t>a canceled check to substantiate the entry in the books.</w:t>
      </w:r>
    </w:p>
    <w:p>
      <w:pPr>
        <w:pStyle w:val="BodyText"/>
        <w:spacing w:line="292" w:lineRule="auto"/>
        <w:ind w:left="920" w:right="666" w:firstLine="340"/>
        <w:jc w:val="both"/>
      </w:pPr>
      <w:r>
        <w:rPr>
          <w:color w:val="231F20"/>
        </w:rPr>
        <w:t>In the case of WorldCom’s collapse in 2002, their network assets were overvalued on the books by $3.3 billion. Accountants </w:t>
      </w:r>
      <w:r>
        <w:rPr>
          <w:color w:val="231F20"/>
        </w:rPr>
        <w:t>added</w:t>
      </w:r>
      <w:r>
        <w:rPr>
          <w:color w:val="231F20"/>
          <w:spacing w:val="80"/>
          <w:w w:val="150"/>
        </w:rPr>
        <w:t> </w:t>
      </w:r>
      <w:r>
        <w:rPr>
          <w:color w:val="231F20"/>
        </w:rPr>
        <w:t>the costs for local access to the value of their network when they should have been ordinary costs to place customers’ long-distance </w:t>
      </w:r>
      <w:r>
        <w:rPr>
          <w:color w:val="231F20"/>
          <w:spacing w:val="-2"/>
        </w:rPr>
        <w:t>calls.</w:t>
      </w:r>
    </w:p>
    <w:p>
      <w:pPr>
        <w:pStyle w:val="BodyText"/>
        <w:rPr>
          <w:sz w:val="24"/>
        </w:rPr>
      </w:pPr>
    </w:p>
    <w:p>
      <w:pPr>
        <w:pStyle w:val="BodyText"/>
        <w:spacing w:before="5"/>
        <w:rPr>
          <w:sz w:val="26"/>
        </w:rPr>
      </w:pPr>
    </w:p>
    <w:p>
      <w:pPr>
        <w:pStyle w:val="Heading6"/>
        <w:ind w:left="966" w:right="0"/>
        <w:jc w:val="both"/>
        <w:rPr>
          <w:i/>
        </w:rPr>
      </w:pPr>
      <w:r>
        <w:rPr>
          <w:i/>
          <w:color w:val="231F20"/>
          <w:w w:val="110"/>
        </w:rPr>
        <w:t>ACCOUNTING</w:t>
      </w:r>
      <w:r>
        <w:rPr>
          <w:i/>
          <w:color w:val="231F20"/>
          <w:spacing w:val="27"/>
          <w:w w:val="110"/>
        </w:rPr>
        <w:t>  </w:t>
      </w:r>
      <w:r>
        <w:rPr>
          <w:i/>
          <w:color w:val="231F20"/>
          <w:w w:val="110"/>
        </w:rPr>
        <w:t>CONSERVATION</w:t>
      </w:r>
      <w:r>
        <w:rPr>
          <w:i/>
          <w:color w:val="231F20"/>
          <w:spacing w:val="27"/>
          <w:w w:val="110"/>
        </w:rPr>
        <w:t>  </w:t>
      </w:r>
      <w:r>
        <w:rPr>
          <w:i/>
          <w:color w:val="231F20"/>
          <w:w w:val="110"/>
        </w:rPr>
        <w:t>AND</w:t>
      </w:r>
      <w:r>
        <w:rPr>
          <w:i/>
          <w:color w:val="231F20"/>
          <w:spacing w:val="27"/>
          <w:w w:val="110"/>
        </w:rPr>
        <w:t>  </w:t>
      </w:r>
      <w:r>
        <w:rPr>
          <w:i/>
          <w:color w:val="231F20"/>
          <w:w w:val="110"/>
        </w:rPr>
        <w:t>HISTORICAL</w:t>
      </w:r>
      <w:r>
        <w:rPr>
          <w:i/>
          <w:color w:val="231F20"/>
          <w:spacing w:val="27"/>
          <w:w w:val="110"/>
        </w:rPr>
        <w:t>  </w:t>
      </w:r>
      <w:r>
        <w:rPr>
          <w:i/>
          <w:color w:val="231F20"/>
          <w:spacing w:val="6"/>
          <w:w w:val="110"/>
        </w:rPr>
        <w:t>COSTS</w:t>
      </w:r>
    </w:p>
    <w:p>
      <w:pPr>
        <w:pStyle w:val="BodyText"/>
        <w:spacing w:before="2"/>
        <w:rPr>
          <w:b/>
          <w:i/>
          <w:sz w:val="30"/>
        </w:rPr>
      </w:pPr>
    </w:p>
    <w:p>
      <w:pPr>
        <w:pStyle w:val="BodyText"/>
        <w:spacing w:line="292" w:lineRule="auto"/>
        <w:ind w:left="920" w:right="663"/>
        <w:jc w:val="both"/>
      </w:pPr>
      <w:r>
        <w:rPr>
          <w:color w:val="231F20"/>
        </w:rPr>
        <w:t>When companies incur losses that are </w:t>
      </w:r>
      <w:r>
        <w:rPr>
          <w:i/>
          <w:color w:val="231F20"/>
        </w:rPr>
        <w:t>probable </w:t>
      </w:r>
      <w:r>
        <w:rPr>
          <w:color w:val="231F20"/>
        </w:rPr>
        <w:t>and that can </w:t>
      </w:r>
      <w:r>
        <w:rPr>
          <w:i/>
          <w:color w:val="231F20"/>
        </w:rPr>
        <w:t>reason-</w:t>
      </w:r>
      <w:r>
        <w:rPr>
          <w:i/>
          <w:color w:val="231F20"/>
        </w:rPr>
        <w:t> ably be estimated, </w:t>
      </w:r>
      <w:r>
        <w:rPr>
          <w:color w:val="231F20"/>
        </w:rPr>
        <w:t>accountants record them, even if the losses </w:t>
      </w:r>
      <w:r>
        <w:rPr>
          <w:color w:val="231F20"/>
        </w:rPr>
        <w:t>have not actually been realized. When </w:t>
      </w:r>
      <w:r>
        <w:rPr>
          <w:i/>
          <w:color w:val="231F20"/>
        </w:rPr>
        <w:t>gains </w:t>
      </w:r>
      <w:r>
        <w:rPr>
          <w:color w:val="231F20"/>
        </w:rPr>
        <w:t>are expected, accountants postpone recording them until they are actually realized. If in 1986 the management of International Paper Company anticipated a big profit in 1988 on the sale of their Manhattan corporate headquar- ters, they could not record their profit until 1988. Their move to Memphis</w:t>
      </w:r>
      <w:r>
        <w:rPr>
          <w:color w:val="231F20"/>
          <w:spacing w:val="68"/>
        </w:rPr>
        <w:t> </w:t>
      </w:r>
      <w:r>
        <w:rPr>
          <w:color w:val="231F20"/>
        </w:rPr>
        <w:t>was</w:t>
      </w:r>
      <w:r>
        <w:rPr>
          <w:color w:val="231F20"/>
          <w:spacing w:val="68"/>
        </w:rPr>
        <w:t> </w:t>
      </w:r>
      <w:r>
        <w:rPr>
          <w:color w:val="231F20"/>
        </w:rPr>
        <w:t>uncertain.</w:t>
      </w:r>
      <w:r>
        <w:rPr>
          <w:color w:val="231F20"/>
          <w:spacing w:val="68"/>
        </w:rPr>
        <w:t> </w:t>
      </w:r>
      <w:r>
        <w:rPr>
          <w:color w:val="231F20"/>
        </w:rPr>
        <w:t>Management</w:t>
      </w:r>
      <w:r>
        <w:rPr>
          <w:color w:val="231F20"/>
          <w:spacing w:val="69"/>
        </w:rPr>
        <w:t> </w:t>
      </w:r>
      <w:r>
        <w:rPr>
          <w:color w:val="231F20"/>
        </w:rPr>
        <w:t>could</w:t>
      </w:r>
      <w:r>
        <w:rPr>
          <w:color w:val="231F20"/>
          <w:spacing w:val="68"/>
        </w:rPr>
        <w:t> </w:t>
      </w:r>
      <w:r>
        <w:rPr>
          <w:color w:val="231F20"/>
        </w:rPr>
        <w:t>have</w:t>
      </w:r>
      <w:r>
        <w:rPr>
          <w:color w:val="231F20"/>
          <w:spacing w:val="68"/>
        </w:rPr>
        <w:t> </w:t>
      </w:r>
      <w:r>
        <w:rPr>
          <w:color w:val="231F20"/>
        </w:rPr>
        <w:t>changed</w:t>
      </w:r>
      <w:r>
        <w:rPr>
          <w:color w:val="231F20"/>
          <w:spacing w:val="69"/>
        </w:rPr>
        <w:t> </w:t>
      </w:r>
      <w:r>
        <w:rPr>
          <w:color w:val="231F20"/>
          <w:spacing w:val="-2"/>
        </w:rPr>
        <w:t>their</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3"/>
        <w:jc w:val="both"/>
      </w:pPr>
      <w:r>
        <w:rPr>
          <w:color w:val="231F20"/>
        </w:rPr>
        <w:t>minds, or the real estate market could have tumbled. But for the</w:t>
      </w:r>
      <w:r>
        <w:rPr>
          <w:color w:val="231F20"/>
          <w:spacing w:val="80"/>
          <w:w w:val="150"/>
        </w:rPr>
        <w:t> </w:t>
      </w:r>
      <w:r>
        <w:rPr>
          <w:color w:val="231F20"/>
        </w:rPr>
        <w:t>sake</w:t>
      </w:r>
      <w:r>
        <w:rPr>
          <w:color w:val="231F20"/>
          <w:spacing w:val="-2"/>
        </w:rPr>
        <w:t> </w:t>
      </w:r>
      <w:r>
        <w:rPr>
          <w:color w:val="231F20"/>
        </w:rPr>
        <w:t>of</w:t>
      </w:r>
      <w:r>
        <w:rPr>
          <w:color w:val="231F20"/>
          <w:spacing w:val="-2"/>
        </w:rPr>
        <w:t> </w:t>
      </w:r>
      <w:r>
        <w:rPr>
          <w:color w:val="231F20"/>
        </w:rPr>
        <w:t>argument,</w:t>
      </w:r>
      <w:r>
        <w:rPr>
          <w:color w:val="231F20"/>
          <w:spacing w:val="-2"/>
        </w:rPr>
        <w:t> </w:t>
      </w:r>
      <w:r>
        <w:rPr>
          <w:color w:val="231F20"/>
        </w:rPr>
        <w:t>let’s</w:t>
      </w:r>
      <w:r>
        <w:rPr>
          <w:color w:val="231F20"/>
          <w:spacing w:val="-2"/>
        </w:rPr>
        <w:t> </w:t>
      </w:r>
      <w:r>
        <w:rPr>
          <w:color w:val="231F20"/>
        </w:rPr>
        <w:t>assume</w:t>
      </w:r>
      <w:r>
        <w:rPr>
          <w:color w:val="231F20"/>
          <w:spacing w:val="-2"/>
        </w:rPr>
        <w:t> </w:t>
      </w:r>
      <w:r>
        <w:rPr>
          <w:color w:val="231F20"/>
        </w:rPr>
        <w:t>that</w:t>
      </w:r>
      <w:r>
        <w:rPr>
          <w:color w:val="231F20"/>
          <w:spacing w:val="-2"/>
        </w:rPr>
        <w:t> </w:t>
      </w:r>
      <w:r>
        <w:rPr>
          <w:color w:val="231F20"/>
        </w:rPr>
        <w:t>International</w:t>
      </w:r>
      <w:r>
        <w:rPr>
          <w:color w:val="231F20"/>
          <w:spacing w:val="-2"/>
        </w:rPr>
        <w:t> </w:t>
      </w:r>
      <w:r>
        <w:rPr>
          <w:color w:val="231F20"/>
        </w:rPr>
        <w:t>Paper</w:t>
      </w:r>
      <w:r>
        <w:rPr>
          <w:color w:val="231F20"/>
          <w:spacing w:val="-2"/>
        </w:rPr>
        <w:t> </w:t>
      </w:r>
      <w:r>
        <w:rPr>
          <w:color w:val="231F20"/>
        </w:rPr>
        <w:t>discovered</w:t>
      </w:r>
      <w:r>
        <w:rPr>
          <w:color w:val="231F20"/>
          <w:spacing w:val="-2"/>
        </w:rPr>
        <w:t> </w:t>
      </w:r>
      <w:r>
        <w:rPr>
          <w:color w:val="231F20"/>
        </w:rPr>
        <w:t>in 1986 that in 1988 it would have to clean a toxic-waste pool beneath its building. Management would have to hire a consultant to esti- mate the cost of cleanup and record that cost in 1986. In this way,</w:t>
      </w:r>
      <w:r>
        <w:rPr>
          <w:color w:val="231F20"/>
          <w:spacing w:val="80"/>
        </w:rPr>
        <w:t> </w:t>
      </w:r>
      <w:r>
        <w:rPr>
          <w:color w:val="231F20"/>
        </w:rPr>
        <w:t>the financial-statement readers would be warned of dark clouds looming over the horizon in 1988. In the same way, the ongoing lawsuits related to asbestos that many companies battle are </w:t>
      </w:r>
      <w:r>
        <w:rPr>
          <w:i/>
          <w:color w:val="231F20"/>
        </w:rPr>
        <w:t>contin-</w:t>
      </w:r>
      <w:r>
        <w:rPr>
          <w:i/>
          <w:color w:val="231F20"/>
        </w:rPr>
        <w:t> gent liabilities </w:t>
      </w:r>
      <w:r>
        <w:rPr>
          <w:color w:val="231F20"/>
        </w:rPr>
        <w:t>that must be reviewed annually and disclosed to en- sure readers understand their possible impairment of corporate assets. Accounting </w:t>
      </w:r>
      <w:r>
        <w:rPr>
          <w:i/>
          <w:color w:val="231F20"/>
        </w:rPr>
        <w:t>conservatism </w:t>
      </w:r>
      <w:r>
        <w:rPr>
          <w:color w:val="231F20"/>
        </w:rPr>
        <w:t>governs the preparation of </w:t>
      </w:r>
      <w:r>
        <w:rPr>
          <w:color w:val="231F20"/>
        </w:rPr>
        <w:t>financial statements. When in doubt, be conservative. Accounting records contain only measurable and verifiable properties, debts, sales, and </w:t>
      </w:r>
      <w:r>
        <w:rPr>
          <w:color w:val="231F20"/>
          <w:spacing w:val="-2"/>
        </w:rPr>
        <w:t>costs.</w:t>
      </w:r>
    </w:p>
    <w:p>
      <w:pPr>
        <w:pStyle w:val="BodyText"/>
        <w:spacing w:line="292" w:lineRule="auto"/>
        <w:ind w:left="829" w:right="756" w:firstLine="340"/>
        <w:jc w:val="both"/>
      </w:pPr>
      <w:r>
        <w:rPr>
          <w:color w:val="231F20"/>
        </w:rPr>
        <w:t>Conservatism also dictates that transactions be recorded at </w:t>
      </w:r>
      <w:r>
        <w:rPr>
          <w:color w:val="231F20"/>
        </w:rPr>
        <w:t>their </w:t>
      </w:r>
      <w:r>
        <w:rPr>
          <w:i/>
          <w:color w:val="231F20"/>
        </w:rPr>
        <w:t>historical costs. </w:t>
      </w:r>
      <w:r>
        <w:rPr>
          <w:color w:val="231F20"/>
        </w:rPr>
        <w:t>International Paper’s New York headquarters ap- preciated in value during the real estate boom of the 1980s, and yet this gain could not be recognized, even if the company had paid the Indians a few trinkets for it in the 1600s. The records continue to value the real estate at the cost of the beads given to Indians in ex- change for the property. In the accountant’s mind, the value of the building may decline by the time it’s sold.</w:t>
      </w:r>
    </w:p>
    <w:p>
      <w:pPr>
        <w:pStyle w:val="BodyText"/>
        <w:spacing w:line="292" w:lineRule="auto"/>
        <w:ind w:left="830" w:right="756" w:firstLine="340"/>
        <w:jc w:val="both"/>
      </w:pPr>
      <w:r>
        <w:rPr>
          <w:color w:val="231F20"/>
        </w:rPr>
        <w:t>If the value of an asset falls below the recorded cost, that’s </w:t>
      </w:r>
      <w:r>
        <w:rPr>
          <w:color w:val="231F20"/>
        </w:rPr>
        <w:t>an- other story. Conservatism dictates that the loss be recognized </w:t>
      </w:r>
      <w:r>
        <w:rPr>
          <w:i/>
          <w:color w:val="231F20"/>
        </w:rPr>
        <w:t>today.</w:t>
      </w:r>
      <w:r>
        <w:rPr>
          <w:i/>
          <w:color w:val="231F20"/>
        </w:rPr>
        <w:t> </w:t>
      </w:r>
      <w:r>
        <w:rPr>
          <w:color w:val="231F20"/>
        </w:rPr>
        <w:t>To do otherwise could mislead the reader of a financial statement to believe that the assets represented are at least worth their historical </w:t>
      </w:r>
      <w:r>
        <w:rPr>
          <w:color w:val="231F20"/>
          <w:spacing w:val="-2"/>
        </w:rPr>
        <w:t>cost.</w:t>
      </w:r>
    </w:p>
    <w:p>
      <w:pPr>
        <w:pStyle w:val="BodyText"/>
        <w:spacing w:line="292" w:lineRule="auto"/>
        <w:ind w:left="829" w:right="753" w:firstLine="340"/>
        <w:jc w:val="both"/>
      </w:pPr>
      <w:r>
        <w:rPr>
          <w:color w:val="231F20"/>
        </w:rPr>
        <w:t>The value of goods held in inventory is also stated at historical cost. Even if prices change, the </w:t>
      </w:r>
      <w:r>
        <w:rPr>
          <w:i/>
          <w:color w:val="231F20"/>
        </w:rPr>
        <w:t>objective </w:t>
      </w:r>
      <w:r>
        <w:rPr>
          <w:color w:val="231F20"/>
        </w:rPr>
        <w:t>price is that which the busi- ness paid historically. There must be verifiable purchase orders </w:t>
      </w:r>
      <w:r>
        <w:rPr>
          <w:color w:val="231F20"/>
        </w:rPr>
        <w:t>and bills to support the cost. For instance, if Staples Office Supplies car- ries notepaper produced by International Paper on its books, it</w:t>
      </w:r>
      <w:r>
        <w:rPr>
          <w:color w:val="231F20"/>
          <w:spacing w:val="40"/>
        </w:rPr>
        <w:t> </w:t>
      </w:r>
      <w:r>
        <w:rPr>
          <w:color w:val="231F20"/>
        </w:rPr>
        <w:t>would value the paper at cost. Even if reorder costs for the same in- ventory had gone up, the cost of the merchandise on hand would re- main at Staples’ historical cost on the books.</w:t>
      </w:r>
    </w:p>
    <w:p>
      <w:pPr>
        <w:spacing w:after="0" w:line="292" w:lineRule="auto"/>
        <w:jc w:val="both"/>
        <w:sectPr>
          <w:pgSz w:w="8640" w:h="12960"/>
          <w:pgMar w:header="732" w:footer="0" w:top="920" w:bottom="280" w:left="340" w:right="500"/>
        </w:sectPr>
      </w:pPr>
    </w:p>
    <w:p>
      <w:pPr>
        <w:pStyle w:val="BodyText"/>
        <w:spacing w:before="8"/>
        <w:rPr>
          <w:sz w:val="17"/>
        </w:rPr>
      </w:pPr>
    </w:p>
    <w:p>
      <w:pPr>
        <w:pStyle w:val="Heading6"/>
        <w:spacing w:before="99"/>
        <w:rPr>
          <w:i/>
        </w:rPr>
      </w:pPr>
      <w:r>
        <w:rPr>
          <w:i/>
          <w:color w:val="231F20"/>
          <w:w w:val="115"/>
        </w:rPr>
        <w:t>GOING</w:t>
      </w:r>
      <w:r>
        <w:rPr>
          <w:i/>
          <w:color w:val="231F20"/>
          <w:spacing w:val="55"/>
          <w:w w:val="115"/>
        </w:rPr>
        <w:t> </w:t>
      </w:r>
      <w:r>
        <w:rPr>
          <w:i/>
          <w:color w:val="231F20"/>
          <w:spacing w:val="8"/>
          <w:w w:val="115"/>
        </w:rPr>
        <w:t>CONCERN</w:t>
      </w:r>
    </w:p>
    <w:p>
      <w:pPr>
        <w:pStyle w:val="BodyText"/>
        <w:spacing w:before="2"/>
        <w:rPr>
          <w:b/>
          <w:i/>
          <w:sz w:val="30"/>
        </w:rPr>
      </w:pPr>
    </w:p>
    <w:p>
      <w:pPr>
        <w:pStyle w:val="BodyText"/>
        <w:spacing w:line="292" w:lineRule="auto"/>
        <w:ind w:left="920" w:right="666"/>
        <w:jc w:val="both"/>
      </w:pPr>
      <w:r>
        <w:rPr>
          <w:color w:val="231F20"/>
        </w:rPr>
        <w:t>Financial statements describe businesses as </w:t>
      </w:r>
      <w:r>
        <w:rPr>
          <w:i/>
          <w:color w:val="231F20"/>
        </w:rPr>
        <w:t>operating </w:t>
      </w:r>
      <w:r>
        <w:rPr>
          <w:color w:val="231F20"/>
        </w:rPr>
        <w:t>entities. The values assigned to items in the accounting records assume that the business is a </w:t>
      </w:r>
      <w:r>
        <w:rPr>
          <w:i/>
          <w:color w:val="231F20"/>
        </w:rPr>
        <w:t>going concern. </w:t>
      </w:r>
      <w:r>
        <w:rPr>
          <w:color w:val="231F20"/>
        </w:rPr>
        <w:t>Accountants presume that companies</w:t>
      </w:r>
      <w:r>
        <w:rPr>
          <w:color w:val="231F20"/>
          <w:spacing w:val="40"/>
        </w:rPr>
        <w:t> </w:t>
      </w:r>
      <w:r>
        <w:rPr>
          <w:color w:val="231F20"/>
        </w:rPr>
        <w:t>will continue to operate in the foreseeable future; therefore, the val- ues assigned in the financial statements are not “fire sale” prices. They use historical costs, as you already know. Steel-rolling </w:t>
      </w:r>
      <w:r>
        <w:rPr>
          <w:color w:val="231F20"/>
        </w:rPr>
        <w:t>equip- ment, for example, is expensive to purchase. It may have great value to an ongoing manufacturing company such as US Steel, but put up</w:t>
      </w:r>
      <w:r>
        <w:rPr>
          <w:color w:val="231F20"/>
          <w:spacing w:val="40"/>
        </w:rPr>
        <w:t> </w:t>
      </w:r>
      <w:r>
        <w:rPr>
          <w:color w:val="231F20"/>
        </w:rPr>
        <w:t>for sale at a bankruptcy auction, its value would be pennies on the dollar. Used industrial equipment has limited value to outsiders. Ac- cordingly, accounting records use historical costs assuming that the company is using its machinery productively.</w:t>
      </w:r>
    </w:p>
    <w:p>
      <w:pPr>
        <w:pStyle w:val="BodyText"/>
        <w:rPr>
          <w:sz w:val="24"/>
        </w:rPr>
      </w:pPr>
    </w:p>
    <w:p>
      <w:pPr>
        <w:pStyle w:val="BodyText"/>
        <w:spacing w:before="9"/>
        <w:rPr>
          <w:sz w:val="26"/>
        </w:rPr>
      </w:pPr>
    </w:p>
    <w:p>
      <w:pPr>
        <w:pStyle w:val="Heading6"/>
        <w:rPr>
          <w:i/>
        </w:rPr>
      </w:pPr>
      <w:r>
        <w:rPr>
          <w:i/>
          <w:color w:val="231F20"/>
          <w:spacing w:val="8"/>
          <w:w w:val="115"/>
        </w:rPr>
        <w:t>CONSISTENCY</w:t>
      </w:r>
    </w:p>
    <w:p>
      <w:pPr>
        <w:pStyle w:val="BodyText"/>
        <w:spacing w:before="2"/>
        <w:rPr>
          <w:b/>
          <w:i/>
          <w:sz w:val="30"/>
        </w:rPr>
      </w:pPr>
    </w:p>
    <w:p>
      <w:pPr>
        <w:pStyle w:val="BodyText"/>
        <w:spacing w:line="292" w:lineRule="auto"/>
        <w:ind w:left="920" w:right="665"/>
        <w:jc w:val="both"/>
      </w:pPr>
      <w:r>
        <w:rPr>
          <w:color w:val="231F20"/>
        </w:rPr>
        <w:t>The </w:t>
      </w:r>
      <w:r>
        <w:rPr>
          <w:i/>
          <w:color w:val="231F20"/>
        </w:rPr>
        <w:t>consistency </w:t>
      </w:r>
      <w:r>
        <w:rPr>
          <w:color w:val="231F20"/>
        </w:rPr>
        <w:t>concept is crucial to readers of financial statements. Accounting rules demand that an entity use the same accounting rules year after year. That enables an analyst to compare past </w:t>
      </w:r>
      <w:r>
        <w:rPr>
          <w:color w:val="231F20"/>
        </w:rPr>
        <w:t>with current results. This rule, like the others presented earlier, tries to minimize the temptations of accounting monkey business that busi- nessmen like to engage in to cover up bad results.</w:t>
      </w:r>
    </w:p>
    <w:p>
      <w:pPr>
        <w:pStyle w:val="BodyText"/>
        <w:spacing w:line="292" w:lineRule="auto"/>
        <w:ind w:left="919" w:right="664" w:firstLine="340"/>
        <w:jc w:val="both"/>
      </w:pPr>
      <w:r>
        <w:rPr>
          <w:color w:val="231F20"/>
        </w:rPr>
        <w:t>The consistency rule insists that companies value their inventory </w:t>
      </w:r>
      <w:r>
        <w:rPr>
          <w:color w:val="231F20"/>
          <w:w w:val="105"/>
        </w:rPr>
        <w:t>the</w:t>
      </w:r>
      <w:r>
        <w:rPr>
          <w:color w:val="231F20"/>
          <w:spacing w:val="-10"/>
          <w:w w:val="105"/>
        </w:rPr>
        <w:t> </w:t>
      </w:r>
      <w:r>
        <w:rPr>
          <w:color w:val="231F20"/>
          <w:w w:val="105"/>
        </w:rPr>
        <w:t>same</w:t>
      </w:r>
      <w:r>
        <w:rPr>
          <w:color w:val="231F20"/>
          <w:spacing w:val="-10"/>
          <w:w w:val="105"/>
        </w:rPr>
        <w:t> </w:t>
      </w:r>
      <w:r>
        <w:rPr>
          <w:color w:val="231F20"/>
          <w:w w:val="105"/>
        </w:rPr>
        <w:t>way</w:t>
      </w:r>
      <w:r>
        <w:rPr>
          <w:color w:val="231F20"/>
          <w:spacing w:val="-10"/>
          <w:w w:val="105"/>
        </w:rPr>
        <w:t> </w:t>
      </w:r>
      <w:r>
        <w:rPr>
          <w:color w:val="231F20"/>
          <w:w w:val="105"/>
        </w:rPr>
        <w:t>from</w:t>
      </w:r>
      <w:r>
        <w:rPr>
          <w:color w:val="231F20"/>
          <w:spacing w:val="-10"/>
          <w:w w:val="105"/>
        </w:rPr>
        <w:t> </w:t>
      </w:r>
      <w:r>
        <w:rPr>
          <w:color w:val="231F20"/>
          <w:w w:val="105"/>
        </w:rPr>
        <w:t>year</w:t>
      </w:r>
      <w:r>
        <w:rPr>
          <w:color w:val="231F20"/>
          <w:spacing w:val="-10"/>
          <w:w w:val="105"/>
        </w:rPr>
        <w:t> </w:t>
      </w:r>
      <w:r>
        <w:rPr>
          <w:color w:val="231F20"/>
          <w:w w:val="105"/>
        </w:rPr>
        <w:t>to</w:t>
      </w:r>
      <w:r>
        <w:rPr>
          <w:color w:val="231F20"/>
          <w:spacing w:val="-10"/>
          <w:w w:val="105"/>
        </w:rPr>
        <w:t> </w:t>
      </w:r>
      <w:r>
        <w:rPr>
          <w:color w:val="231F20"/>
          <w:w w:val="105"/>
        </w:rPr>
        <w:t>year.</w:t>
      </w:r>
      <w:r>
        <w:rPr>
          <w:color w:val="231F20"/>
          <w:spacing w:val="-10"/>
          <w:w w:val="105"/>
        </w:rPr>
        <w:t> </w:t>
      </w:r>
      <w:r>
        <w:rPr>
          <w:color w:val="231F20"/>
          <w:w w:val="105"/>
        </w:rPr>
        <w:t>The</w:t>
      </w:r>
      <w:r>
        <w:rPr>
          <w:color w:val="231F20"/>
          <w:spacing w:val="-10"/>
          <w:w w:val="105"/>
        </w:rPr>
        <w:t> </w:t>
      </w:r>
      <w:r>
        <w:rPr>
          <w:color w:val="231F20"/>
          <w:w w:val="105"/>
        </w:rPr>
        <w:t>major</w:t>
      </w:r>
      <w:r>
        <w:rPr>
          <w:color w:val="231F20"/>
          <w:spacing w:val="-10"/>
          <w:w w:val="105"/>
        </w:rPr>
        <w:t> </w:t>
      </w:r>
      <w:r>
        <w:rPr>
          <w:color w:val="231F20"/>
          <w:w w:val="105"/>
        </w:rPr>
        <w:t>methods</w:t>
      </w:r>
      <w:r>
        <w:rPr>
          <w:color w:val="231F20"/>
          <w:spacing w:val="-10"/>
          <w:w w:val="105"/>
        </w:rPr>
        <w:t> </w:t>
      </w:r>
      <w:r>
        <w:rPr>
          <w:color w:val="231F20"/>
          <w:w w:val="105"/>
        </w:rPr>
        <w:t>available</w:t>
      </w:r>
      <w:r>
        <w:rPr>
          <w:color w:val="231F20"/>
          <w:spacing w:val="-10"/>
          <w:w w:val="105"/>
        </w:rPr>
        <w:t> </w:t>
      </w:r>
      <w:r>
        <w:rPr>
          <w:color w:val="231F20"/>
          <w:w w:val="105"/>
        </w:rPr>
        <w:t>are</w:t>
      </w:r>
      <w:r>
        <w:rPr>
          <w:color w:val="231F20"/>
          <w:spacing w:val="-10"/>
          <w:w w:val="105"/>
        </w:rPr>
        <w:t> </w:t>
      </w:r>
      <w:r>
        <w:rPr>
          <w:color w:val="231F20"/>
          <w:w w:val="105"/>
        </w:rPr>
        <w:t>a </w:t>
      </w:r>
      <w:r>
        <w:rPr>
          <w:i/>
          <w:color w:val="231F20"/>
          <w:w w:val="105"/>
        </w:rPr>
        <w:t>FIFO</w:t>
      </w:r>
      <w:r>
        <w:rPr>
          <w:i/>
          <w:color w:val="231F20"/>
          <w:w w:val="105"/>
        </w:rPr>
        <w:t> </w:t>
      </w:r>
      <w:r>
        <w:rPr>
          <w:color w:val="231F20"/>
          <w:w w:val="105"/>
        </w:rPr>
        <w:t>(First</w:t>
      </w:r>
      <w:r>
        <w:rPr>
          <w:color w:val="231F20"/>
          <w:w w:val="105"/>
        </w:rPr>
        <w:t> In</w:t>
      </w:r>
      <w:r>
        <w:rPr>
          <w:color w:val="231F20"/>
          <w:w w:val="105"/>
        </w:rPr>
        <w:t> First</w:t>
      </w:r>
      <w:r>
        <w:rPr>
          <w:color w:val="231F20"/>
          <w:w w:val="105"/>
        </w:rPr>
        <w:t> Out)</w:t>
      </w:r>
      <w:r>
        <w:rPr>
          <w:color w:val="231F20"/>
          <w:w w:val="105"/>
        </w:rPr>
        <w:t> or</w:t>
      </w:r>
      <w:r>
        <w:rPr>
          <w:color w:val="231F20"/>
          <w:w w:val="105"/>
        </w:rPr>
        <w:t> </w:t>
      </w:r>
      <w:r>
        <w:rPr>
          <w:i/>
          <w:color w:val="231F20"/>
          <w:w w:val="105"/>
        </w:rPr>
        <w:t>LIFO</w:t>
      </w:r>
      <w:r>
        <w:rPr>
          <w:i/>
          <w:color w:val="231F20"/>
          <w:w w:val="105"/>
        </w:rPr>
        <w:t> </w:t>
      </w:r>
      <w:r>
        <w:rPr>
          <w:color w:val="231F20"/>
          <w:w w:val="105"/>
        </w:rPr>
        <w:t>(Last</w:t>
      </w:r>
      <w:r>
        <w:rPr>
          <w:color w:val="231F20"/>
          <w:w w:val="105"/>
        </w:rPr>
        <w:t> In</w:t>
      </w:r>
      <w:r>
        <w:rPr>
          <w:color w:val="231F20"/>
          <w:w w:val="105"/>
        </w:rPr>
        <w:t> First</w:t>
      </w:r>
      <w:r>
        <w:rPr>
          <w:color w:val="231F20"/>
          <w:w w:val="105"/>
        </w:rPr>
        <w:t> Out)</w:t>
      </w:r>
      <w:r>
        <w:rPr>
          <w:color w:val="231F20"/>
          <w:w w:val="105"/>
        </w:rPr>
        <w:t> basis.</w:t>
      </w:r>
      <w:r>
        <w:rPr>
          <w:color w:val="231F20"/>
          <w:w w:val="105"/>
        </w:rPr>
        <w:t> </w:t>
      </w:r>
      <w:r>
        <w:rPr>
          <w:color w:val="231F20"/>
          <w:w w:val="105"/>
        </w:rPr>
        <w:t>Using FIFO,</w:t>
      </w:r>
      <w:r>
        <w:rPr>
          <w:color w:val="231F20"/>
          <w:w w:val="105"/>
        </w:rPr>
        <w:t> the</w:t>
      </w:r>
      <w:r>
        <w:rPr>
          <w:color w:val="231F20"/>
          <w:w w:val="105"/>
        </w:rPr>
        <w:t> oldest</w:t>
      </w:r>
      <w:r>
        <w:rPr>
          <w:color w:val="231F20"/>
          <w:w w:val="105"/>
        </w:rPr>
        <w:t> purchase</w:t>
      </w:r>
      <w:r>
        <w:rPr>
          <w:color w:val="231F20"/>
          <w:w w:val="105"/>
        </w:rPr>
        <w:t> costs</w:t>
      </w:r>
      <w:r>
        <w:rPr>
          <w:color w:val="231F20"/>
          <w:w w:val="105"/>
        </w:rPr>
        <w:t> of</w:t>
      </w:r>
      <w:r>
        <w:rPr>
          <w:color w:val="231F20"/>
          <w:w w:val="105"/>
        </w:rPr>
        <w:t> goods</w:t>
      </w:r>
      <w:r>
        <w:rPr>
          <w:color w:val="231F20"/>
          <w:w w:val="105"/>
        </w:rPr>
        <w:t> are</w:t>
      </w:r>
      <w:r>
        <w:rPr>
          <w:color w:val="231F20"/>
          <w:w w:val="105"/>
        </w:rPr>
        <w:t> recognized</w:t>
      </w:r>
      <w:r>
        <w:rPr>
          <w:color w:val="231F20"/>
          <w:w w:val="105"/>
        </w:rPr>
        <w:t> as</w:t>
      </w:r>
      <w:r>
        <w:rPr>
          <w:color w:val="231F20"/>
          <w:w w:val="105"/>
        </w:rPr>
        <w:t> costs “first,”</w:t>
      </w:r>
      <w:r>
        <w:rPr>
          <w:color w:val="231F20"/>
          <w:w w:val="105"/>
        </w:rPr>
        <w:t> leaving</w:t>
      </w:r>
      <w:r>
        <w:rPr>
          <w:color w:val="231F20"/>
          <w:w w:val="105"/>
        </w:rPr>
        <w:t> the</w:t>
      </w:r>
      <w:r>
        <w:rPr>
          <w:color w:val="231F20"/>
          <w:w w:val="105"/>
        </w:rPr>
        <w:t> most</w:t>
      </w:r>
      <w:r>
        <w:rPr>
          <w:color w:val="231F20"/>
          <w:w w:val="105"/>
        </w:rPr>
        <w:t> recently</w:t>
      </w:r>
      <w:r>
        <w:rPr>
          <w:color w:val="231F20"/>
          <w:w w:val="105"/>
        </w:rPr>
        <w:t> purchased</w:t>
      </w:r>
      <w:r>
        <w:rPr>
          <w:color w:val="231F20"/>
          <w:w w:val="105"/>
        </w:rPr>
        <w:t> cost</w:t>
      </w:r>
      <w:r>
        <w:rPr>
          <w:color w:val="231F20"/>
          <w:w w:val="105"/>
        </w:rPr>
        <w:t> of</w:t>
      </w:r>
      <w:r>
        <w:rPr>
          <w:color w:val="231F20"/>
          <w:w w:val="105"/>
        </w:rPr>
        <w:t> goods</w:t>
      </w:r>
      <w:r>
        <w:rPr>
          <w:color w:val="231F20"/>
          <w:w w:val="105"/>
        </w:rPr>
        <w:t> in</w:t>
      </w:r>
      <w:r>
        <w:rPr>
          <w:color w:val="231F20"/>
          <w:w w:val="105"/>
        </w:rPr>
        <w:t> the value</w:t>
      </w:r>
      <w:r>
        <w:rPr>
          <w:color w:val="231F20"/>
          <w:w w:val="105"/>
        </w:rPr>
        <w:t> of</w:t>
      </w:r>
      <w:r>
        <w:rPr>
          <w:color w:val="231F20"/>
          <w:w w:val="105"/>
        </w:rPr>
        <w:t> inventory</w:t>
      </w:r>
      <w:r>
        <w:rPr>
          <w:color w:val="231F20"/>
          <w:w w:val="105"/>
        </w:rPr>
        <w:t> held</w:t>
      </w:r>
      <w:r>
        <w:rPr>
          <w:color w:val="231F20"/>
          <w:w w:val="105"/>
        </w:rPr>
        <w:t> for</w:t>
      </w:r>
      <w:r>
        <w:rPr>
          <w:color w:val="231F20"/>
          <w:w w:val="105"/>
        </w:rPr>
        <w:t> sale.</w:t>
      </w:r>
      <w:r>
        <w:rPr>
          <w:color w:val="231F20"/>
          <w:w w:val="105"/>
        </w:rPr>
        <w:t> Using</w:t>
      </w:r>
      <w:r>
        <w:rPr>
          <w:color w:val="231F20"/>
          <w:w w:val="105"/>
        </w:rPr>
        <w:t> LIFO,</w:t>
      </w:r>
      <w:r>
        <w:rPr>
          <w:color w:val="231F20"/>
          <w:w w:val="105"/>
        </w:rPr>
        <w:t> the</w:t>
      </w:r>
      <w:r>
        <w:rPr>
          <w:color w:val="231F20"/>
          <w:w w:val="105"/>
        </w:rPr>
        <w:t> “last”</w:t>
      </w:r>
      <w:r>
        <w:rPr>
          <w:color w:val="231F20"/>
          <w:w w:val="105"/>
        </w:rPr>
        <w:t> costs</w:t>
      </w:r>
      <w:r>
        <w:rPr>
          <w:color w:val="231F20"/>
          <w:w w:val="105"/>
        </w:rPr>
        <w:t> of goods</w:t>
      </w:r>
      <w:r>
        <w:rPr>
          <w:color w:val="231F20"/>
          <w:w w:val="105"/>
        </w:rPr>
        <w:t> are</w:t>
      </w:r>
      <w:r>
        <w:rPr>
          <w:color w:val="231F20"/>
          <w:w w:val="105"/>
        </w:rPr>
        <w:t> recognized</w:t>
      </w:r>
      <w:r>
        <w:rPr>
          <w:color w:val="231F20"/>
          <w:w w:val="105"/>
        </w:rPr>
        <w:t> as</w:t>
      </w:r>
      <w:r>
        <w:rPr>
          <w:color w:val="231F20"/>
          <w:w w:val="105"/>
        </w:rPr>
        <w:t> costs</w:t>
      </w:r>
      <w:r>
        <w:rPr>
          <w:color w:val="231F20"/>
          <w:w w:val="105"/>
        </w:rPr>
        <w:t> first,</w:t>
      </w:r>
      <w:r>
        <w:rPr>
          <w:color w:val="231F20"/>
          <w:w w:val="105"/>
        </w:rPr>
        <w:t> leaving</w:t>
      </w:r>
      <w:r>
        <w:rPr>
          <w:color w:val="231F20"/>
          <w:w w:val="105"/>
        </w:rPr>
        <w:t> the</w:t>
      </w:r>
      <w:r>
        <w:rPr>
          <w:color w:val="231F20"/>
          <w:w w:val="105"/>
        </w:rPr>
        <w:t> oldest</w:t>
      </w:r>
      <w:r>
        <w:rPr>
          <w:color w:val="231F20"/>
          <w:w w:val="105"/>
        </w:rPr>
        <w:t> costs</w:t>
      </w:r>
      <w:r>
        <w:rPr>
          <w:color w:val="231F20"/>
          <w:w w:val="105"/>
        </w:rPr>
        <w:t> in</w:t>
      </w:r>
      <w:r>
        <w:rPr>
          <w:color w:val="231F20"/>
          <w:w w:val="105"/>
        </w:rPr>
        <w:t> the value</w:t>
      </w:r>
      <w:r>
        <w:rPr>
          <w:color w:val="231F20"/>
          <w:w w:val="105"/>
        </w:rPr>
        <w:t> of</w:t>
      </w:r>
      <w:r>
        <w:rPr>
          <w:color w:val="231F20"/>
          <w:w w:val="105"/>
        </w:rPr>
        <w:t> inventory.</w:t>
      </w:r>
      <w:r>
        <w:rPr>
          <w:color w:val="231F20"/>
          <w:w w:val="105"/>
        </w:rPr>
        <w:t> The</w:t>
      </w:r>
      <w:r>
        <w:rPr>
          <w:color w:val="231F20"/>
          <w:w w:val="105"/>
        </w:rPr>
        <w:t> accounting</w:t>
      </w:r>
      <w:r>
        <w:rPr>
          <w:color w:val="231F20"/>
          <w:w w:val="105"/>
        </w:rPr>
        <w:t> method</w:t>
      </w:r>
      <w:r>
        <w:rPr>
          <w:color w:val="231F20"/>
          <w:w w:val="105"/>
        </w:rPr>
        <w:t> is</w:t>
      </w:r>
      <w:r>
        <w:rPr>
          <w:color w:val="231F20"/>
          <w:w w:val="105"/>
        </w:rPr>
        <w:t> independent</w:t>
      </w:r>
      <w:r>
        <w:rPr>
          <w:color w:val="231F20"/>
          <w:w w:val="105"/>
        </w:rPr>
        <w:t> of</w:t>
      </w:r>
      <w:r>
        <w:rPr>
          <w:color w:val="231F20"/>
          <w:w w:val="105"/>
        </w:rPr>
        <w:t> the physical</w:t>
      </w:r>
      <w:r>
        <w:rPr>
          <w:color w:val="231F20"/>
          <w:spacing w:val="-13"/>
          <w:w w:val="105"/>
        </w:rPr>
        <w:t> </w:t>
      </w:r>
      <w:r>
        <w:rPr>
          <w:color w:val="231F20"/>
          <w:w w:val="105"/>
        </w:rPr>
        <w:t>movement</w:t>
      </w:r>
      <w:r>
        <w:rPr>
          <w:color w:val="231F20"/>
          <w:spacing w:val="-12"/>
          <w:w w:val="105"/>
        </w:rPr>
        <w:t> </w:t>
      </w:r>
      <w:r>
        <w:rPr>
          <w:color w:val="231F20"/>
          <w:w w:val="105"/>
        </w:rPr>
        <w:t>of</w:t>
      </w:r>
      <w:r>
        <w:rPr>
          <w:color w:val="231F20"/>
          <w:spacing w:val="-12"/>
          <w:w w:val="105"/>
        </w:rPr>
        <w:t> </w:t>
      </w:r>
      <w:r>
        <w:rPr>
          <w:color w:val="231F20"/>
          <w:w w:val="105"/>
        </w:rPr>
        <w:t>inventory.</w:t>
      </w:r>
      <w:r>
        <w:rPr>
          <w:color w:val="231F20"/>
          <w:spacing w:val="-12"/>
          <w:w w:val="105"/>
        </w:rPr>
        <w:t> </w:t>
      </w:r>
      <w:r>
        <w:rPr>
          <w:color w:val="231F20"/>
          <w:w w:val="105"/>
        </w:rPr>
        <w:t>It</w:t>
      </w:r>
      <w:r>
        <w:rPr>
          <w:color w:val="231F20"/>
          <w:spacing w:val="-12"/>
          <w:w w:val="105"/>
        </w:rPr>
        <w:t> </w:t>
      </w:r>
      <w:r>
        <w:rPr>
          <w:color w:val="231F20"/>
          <w:w w:val="105"/>
        </w:rPr>
        <w:t>is</w:t>
      </w:r>
      <w:r>
        <w:rPr>
          <w:color w:val="231F20"/>
          <w:spacing w:val="-12"/>
          <w:w w:val="105"/>
        </w:rPr>
        <w:t> </w:t>
      </w:r>
      <w:r>
        <w:rPr>
          <w:color w:val="231F20"/>
          <w:w w:val="105"/>
        </w:rPr>
        <w:t>just</w:t>
      </w:r>
      <w:r>
        <w:rPr>
          <w:color w:val="231F20"/>
          <w:spacing w:val="-12"/>
          <w:w w:val="105"/>
        </w:rPr>
        <w:t> </w:t>
      </w:r>
      <w:r>
        <w:rPr>
          <w:color w:val="231F20"/>
          <w:w w:val="105"/>
        </w:rPr>
        <w:t>an</w:t>
      </w:r>
      <w:r>
        <w:rPr>
          <w:color w:val="231F20"/>
          <w:spacing w:val="-13"/>
          <w:w w:val="105"/>
        </w:rPr>
        <w:t> </w:t>
      </w:r>
      <w:r>
        <w:rPr>
          <w:i/>
          <w:color w:val="231F20"/>
          <w:w w:val="105"/>
        </w:rPr>
        <w:t>accounting</w:t>
      </w:r>
      <w:r>
        <w:rPr>
          <w:i/>
          <w:color w:val="231F20"/>
          <w:spacing w:val="-12"/>
          <w:w w:val="105"/>
        </w:rPr>
        <w:t> </w:t>
      </w:r>
      <w:r>
        <w:rPr>
          <w:i/>
          <w:color w:val="231F20"/>
          <w:w w:val="105"/>
        </w:rPr>
        <w:t>method.</w:t>
      </w:r>
      <w:r>
        <w:rPr>
          <w:i/>
          <w:color w:val="231F20"/>
          <w:spacing w:val="-12"/>
          <w:w w:val="105"/>
        </w:rPr>
        <w:t> </w:t>
      </w:r>
      <w:r>
        <w:rPr>
          <w:color w:val="231F20"/>
          <w:w w:val="105"/>
        </w:rPr>
        <w:t>As you</w:t>
      </w:r>
      <w:r>
        <w:rPr>
          <w:color w:val="231F20"/>
          <w:spacing w:val="-11"/>
          <w:w w:val="105"/>
        </w:rPr>
        <w:t> </w:t>
      </w:r>
      <w:r>
        <w:rPr>
          <w:color w:val="231F20"/>
          <w:w w:val="105"/>
        </w:rPr>
        <w:t>might</w:t>
      </w:r>
      <w:r>
        <w:rPr>
          <w:color w:val="231F20"/>
          <w:spacing w:val="-11"/>
          <w:w w:val="105"/>
        </w:rPr>
        <w:t> </w:t>
      </w:r>
      <w:r>
        <w:rPr>
          <w:color w:val="231F20"/>
          <w:w w:val="105"/>
        </w:rPr>
        <w:t>imagine,</w:t>
      </w:r>
      <w:r>
        <w:rPr>
          <w:color w:val="231F20"/>
          <w:spacing w:val="-11"/>
          <w:w w:val="105"/>
        </w:rPr>
        <w:t> </w:t>
      </w:r>
      <w:r>
        <w:rPr>
          <w:color w:val="231F20"/>
          <w:w w:val="105"/>
        </w:rPr>
        <w:t>if</w:t>
      </w:r>
      <w:r>
        <w:rPr>
          <w:color w:val="231F20"/>
          <w:spacing w:val="-11"/>
          <w:w w:val="105"/>
        </w:rPr>
        <w:t> </w:t>
      </w:r>
      <w:r>
        <w:rPr>
          <w:color w:val="231F20"/>
          <w:w w:val="105"/>
        </w:rPr>
        <w:t>you</w:t>
      </w:r>
      <w:r>
        <w:rPr>
          <w:color w:val="231F20"/>
          <w:spacing w:val="-11"/>
          <w:w w:val="105"/>
        </w:rPr>
        <w:t> </w:t>
      </w:r>
      <w:r>
        <w:rPr>
          <w:color w:val="231F20"/>
          <w:w w:val="105"/>
        </w:rPr>
        <w:t>could</w:t>
      </w:r>
      <w:r>
        <w:rPr>
          <w:color w:val="231F20"/>
          <w:spacing w:val="-11"/>
          <w:w w:val="105"/>
        </w:rPr>
        <w:t> </w:t>
      </w:r>
      <w:r>
        <w:rPr>
          <w:color w:val="231F20"/>
          <w:w w:val="105"/>
        </w:rPr>
        <w:t>change</w:t>
      </w:r>
      <w:r>
        <w:rPr>
          <w:color w:val="231F20"/>
          <w:spacing w:val="-11"/>
          <w:w w:val="105"/>
        </w:rPr>
        <w:t> </w:t>
      </w:r>
      <w:r>
        <w:rPr>
          <w:color w:val="231F20"/>
          <w:w w:val="105"/>
        </w:rPr>
        <w:t>accounting</w:t>
      </w:r>
      <w:r>
        <w:rPr>
          <w:color w:val="231F20"/>
          <w:spacing w:val="-11"/>
          <w:w w:val="105"/>
        </w:rPr>
        <w:t> </w:t>
      </w:r>
      <w:r>
        <w:rPr>
          <w:color w:val="231F20"/>
          <w:w w:val="105"/>
        </w:rPr>
        <w:t>methods</w:t>
      </w:r>
      <w:r>
        <w:rPr>
          <w:color w:val="231F20"/>
          <w:spacing w:val="-11"/>
          <w:w w:val="105"/>
        </w:rPr>
        <w:t> </w:t>
      </w:r>
      <w:r>
        <w:rPr>
          <w:color w:val="231F20"/>
          <w:w w:val="105"/>
        </w:rPr>
        <w:t>at</w:t>
      </w:r>
      <w:r>
        <w:rPr>
          <w:color w:val="231F20"/>
          <w:spacing w:val="-11"/>
          <w:w w:val="105"/>
        </w:rPr>
        <w:t> </w:t>
      </w:r>
      <w:r>
        <w:rPr>
          <w:color w:val="231F20"/>
          <w:w w:val="105"/>
        </w:rPr>
        <w:t>will, </w:t>
      </w:r>
      <w:r>
        <w:rPr>
          <w:color w:val="231F20"/>
        </w:rPr>
        <w:t>a</w:t>
      </w:r>
      <w:r>
        <w:rPr>
          <w:color w:val="231F20"/>
          <w:spacing w:val="23"/>
        </w:rPr>
        <w:t> </w:t>
      </w:r>
      <w:r>
        <w:rPr>
          <w:color w:val="231F20"/>
        </w:rPr>
        <w:t>crafty</w:t>
      </w:r>
      <w:r>
        <w:rPr>
          <w:color w:val="231F20"/>
          <w:spacing w:val="23"/>
        </w:rPr>
        <w:t> </w:t>
      </w:r>
      <w:r>
        <w:rPr>
          <w:color w:val="231F20"/>
        </w:rPr>
        <w:t>accountant</w:t>
      </w:r>
      <w:r>
        <w:rPr>
          <w:color w:val="231F20"/>
          <w:spacing w:val="23"/>
        </w:rPr>
        <w:t> </w:t>
      </w:r>
      <w:r>
        <w:rPr>
          <w:color w:val="231F20"/>
        </w:rPr>
        <w:t>could</w:t>
      </w:r>
      <w:r>
        <w:rPr>
          <w:color w:val="231F20"/>
          <w:spacing w:val="23"/>
        </w:rPr>
        <w:t> </w:t>
      </w:r>
      <w:r>
        <w:rPr>
          <w:color w:val="231F20"/>
        </w:rPr>
        <w:t>manipulate</w:t>
      </w:r>
      <w:r>
        <w:rPr>
          <w:color w:val="231F20"/>
          <w:spacing w:val="23"/>
        </w:rPr>
        <w:t> </w:t>
      </w:r>
      <w:r>
        <w:rPr>
          <w:color w:val="231F20"/>
        </w:rPr>
        <w:t>the</w:t>
      </w:r>
      <w:r>
        <w:rPr>
          <w:color w:val="231F20"/>
          <w:spacing w:val="23"/>
        </w:rPr>
        <w:t> </w:t>
      </w:r>
      <w:r>
        <w:rPr>
          <w:color w:val="231F20"/>
        </w:rPr>
        <w:t>financial</w:t>
      </w:r>
      <w:r>
        <w:rPr>
          <w:color w:val="231F20"/>
          <w:spacing w:val="24"/>
        </w:rPr>
        <w:t> </w:t>
      </w:r>
      <w:r>
        <w:rPr>
          <w:color w:val="231F20"/>
        </w:rPr>
        <w:t>statements</w:t>
      </w:r>
      <w:r>
        <w:rPr>
          <w:color w:val="231F20"/>
          <w:spacing w:val="23"/>
        </w:rPr>
        <w:t> </w:t>
      </w:r>
      <w:r>
        <w:rPr>
          <w:color w:val="231F20"/>
          <w:spacing w:val="-4"/>
        </w:rPr>
        <w:t>from</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year to year. Consistency requires that the same accounting </w:t>
      </w:r>
      <w:r>
        <w:rPr>
          <w:color w:val="231F20"/>
        </w:rPr>
        <w:t>method be used from year to year.</w:t>
      </w:r>
    </w:p>
    <w:p>
      <w:pPr>
        <w:pStyle w:val="BodyText"/>
        <w:spacing w:line="292" w:lineRule="auto"/>
        <w:ind w:left="829" w:right="753" w:firstLine="340"/>
        <w:jc w:val="both"/>
      </w:pPr>
      <w:r>
        <w:rPr>
          <w:color w:val="231F20"/>
        </w:rPr>
        <w:t>As</w:t>
      </w:r>
      <w:r>
        <w:rPr>
          <w:color w:val="231F20"/>
          <w:spacing w:val="40"/>
        </w:rPr>
        <w:t> </w:t>
      </w:r>
      <w:r>
        <w:rPr>
          <w:color w:val="231F20"/>
        </w:rPr>
        <w:t>an</w:t>
      </w:r>
      <w:r>
        <w:rPr>
          <w:color w:val="231F20"/>
          <w:spacing w:val="40"/>
        </w:rPr>
        <w:t> </w:t>
      </w:r>
      <w:r>
        <w:rPr>
          <w:color w:val="231F20"/>
        </w:rPr>
        <w:t>example</w:t>
      </w:r>
      <w:r>
        <w:rPr>
          <w:color w:val="231F20"/>
          <w:spacing w:val="40"/>
        </w:rPr>
        <w:t> </w:t>
      </w:r>
      <w:r>
        <w:rPr>
          <w:color w:val="231F20"/>
        </w:rPr>
        <w:t>of</w:t>
      </w:r>
      <w:r>
        <w:rPr>
          <w:color w:val="231F20"/>
          <w:spacing w:val="40"/>
        </w:rPr>
        <w:t> </w:t>
      </w:r>
      <w:r>
        <w:rPr>
          <w:color w:val="231F20"/>
        </w:rPr>
        <w:t>FIFO</w:t>
      </w:r>
      <w:r>
        <w:rPr>
          <w:color w:val="231F20"/>
          <w:spacing w:val="40"/>
        </w:rPr>
        <w:t> </w:t>
      </w:r>
      <w:r>
        <w:rPr>
          <w:color w:val="231F20"/>
        </w:rPr>
        <w:t>and</w:t>
      </w:r>
      <w:r>
        <w:rPr>
          <w:color w:val="231F20"/>
          <w:spacing w:val="40"/>
        </w:rPr>
        <w:t> </w:t>
      </w:r>
      <w:r>
        <w:rPr>
          <w:color w:val="231F20"/>
        </w:rPr>
        <w:t>LIFO</w:t>
      </w:r>
      <w:r>
        <w:rPr>
          <w:color w:val="231F20"/>
          <w:spacing w:val="40"/>
        </w:rPr>
        <w:t> </w:t>
      </w:r>
      <w:r>
        <w:rPr>
          <w:color w:val="231F20"/>
        </w:rPr>
        <w:t>methods,</w:t>
      </w:r>
      <w:r>
        <w:rPr>
          <w:color w:val="231F20"/>
          <w:spacing w:val="40"/>
        </w:rPr>
        <w:t> </w:t>
      </w:r>
      <w:r>
        <w:rPr>
          <w:color w:val="231F20"/>
        </w:rPr>
        <w:t>consider</w:t>
      </w:r>
      <w:r>
        <w:rPr>
          <w:color w:val="231F20"/>
          <w:spacing w:val="40"/>
        </w:rPr>
        <w:t> </w:t>
      </w:r>
      <w:r>
        <w:rPr>
          <w:color w:val="231F20"/>
        </w:rPr>
        <w:t>a</w:t>
      </w:r>
      <w:r>
        <w:rPr>
          <w:color w:val="231F20"/>
          <w:spacing w:val="40"/>
        </w:rPr>
        <w:t> </w:t>
      </w:r>
      <w:r>
        <w:rPr>
          <w:color w:val="231F20"/>
        </w:rPr>
        <w:t>coin dealer</w:t>
      </w:r>
      <w:r>
        <w:rPr>
          <w:color w:val="231F20"/>
          <w:spacing w:val="29"/>
        </w:rPr>
        <w:t> </w:t>
      </w:r>
      <w:r>
        <w:rPr>
          <w:color w:val="231F20"/>
        </w:rPr>
        <w:t>who</w:t>
      </w:r>
      <w:r>
        <w:rPr>
          <w:color w:val="231F20"/>
          <w:spacing w:val="29"/>
        </w:rPr>
        <w:t> </w:t>
      </w:r>
      <w:r>
        <w:rPr>
          <w:color w:val="231F20"/>
        </w:rPr>
        <w:t>has</w:t>
      </w:r>
      <w:r>
        <w:rPr>
          <w:color w:val="231F20"/>
          <w:spacing w:val="29"/>
        </w:rPr>
        <w:t> </w:t>
      </w:r>
      <w:r>
        <w:rPr>
          <w:color w:val="231F20"/>
        </w:rPr>
        <w:t>only</w:t>
      </w:r>
      <w:r>
        <w:rPr>
          <w:color w:val="231F20"/>
          <w:spacing w:val="29"/>
        </w:rPr>
        <w:t> </w:t>
      </w:r>
      <w:r>
        <w:rPr>
          <w:color w:val="231F20"/>
        </w:rPr>
        <w:t>two</w:t>
      </w:r>
      <w:r>
        <w:rPr>
          <w:color w:val="231F20"/>
          <w:spacing w:val="29"/>
        </w:rPr>
        <w:t> </w:t>
      </w:r>
      <w:r>
        <w:rPr>
          <w:color w:val="231F20"/>
        </w:rPr>
        <w:t>identical</w:t>
      </w:r>
      <w:r>
        <w:rPr>
          <w:color w:val="231F20"/>
          <w:spacing w:val="29"/>
        </w:rPr>
        <w:t> </w:t>
      </w:r>
      <w:r>
        <w:rPr>
          <w:color w:val="231F20"/>
        </w:rPr>
        <w:t>gold</w:t>
      </w:r>
      <w:r>
        <w:rPr>
          <w:color w:val="231F20"/>
          <w:spacing w:val="29"/>
        </w:rPr>
        <w:t> </w:t>
      </w:r>
      <w:r>
        <w:rPr>
          <w:color w:val="231F20"/>
        </w:rPr>
        <w:t>coins</w:t>
      </w:r>
      <w:r>
        <w:rPr>
          <w:color w:val="231F20"/>
          <w:spacing w:val="29"/>
        </w:rPr>
        <w:t> </w:t>
      </w:r>
      <w:r>
        <w:rPr>
          <w:color w:val="231F20"/>
        </w:rPr>
        <w:t>in</w:t>
      </w:r>
      <w:r>
        <w:rPr>
          <w:color w:val="231F20"/>
          <w:spacing w:val="29"/>
        </w:rPr>
        <w:t> </w:t>
      </w:r>
      <w:r>
        <w:rPr>
          <w:color w:val="231F20"/>
        </w:rPr>
        <w:t>his</w:t>
      </w:r>
      <w:r>
        <w:rPr>
          <w:color w:val="231F20"/>
          <w:spacing w:val="29"/>
        </w:rPr>
        <w:t> </w:t>
      </w:r>
      <w:r>
        <w:rPr>
          <w:color w:val="231F20"/>
        </w:rPr>
        <w:t>showcase.</w:t>
      </w:r>
      <w:r>
        <w:rPr>
          <w:color w:val="231F20"/>
          <w:spacing w:val="29"/>
        </w:rPr>
        <w:t> </w:t>
      </w:r>
      <w:r>
        <w:rPr>
          <w:color w:val="231F20"/>
        </w:rPr>
        <w:t>One he</w:t>
      </w:r>
      <w:r>
        <w:rPr>
          <w:color w:val="231F20"/>
          <w:spacing w:val="19"/>
        </w:rPr>
        <w:t> </w:t>
      </w:r>
      <w:r>
        <w:rPr>
          <w:color w:val="231F20"/>
        </w:rPr>
        <w:t>bought</w:t>
      </w:r>
      <w:r>
        <w:rPr>
          <w:color w:val="231F20"/>
          <w:spacing w:val="20"/>
        </w:rPr>
        <w:t> </w:t>
      </w:r>
      <w:r>
        <w:rPr>
          <w:color w:val="231F20"/>
        </w:rPr>
        <w:t>in</w:t>
      </w:r>
      <w:r>
        <w:rPr>
          <w:color w:val="231F20"/>
          <w:spacing w:val="20"/>
        </w:rPr>
        <w:t> </w:t>
      </w:r>
      <w:r>
        <w:rPr>
          <w:color w:val="231F20"/>
        </w:rPr>
        <w:t>1965</w:t>
      </w:r>
      <w:r>
        <w:rPr>
          <w:color w:val="231F20"/>
          <w:spacing w:val="20"/>
        </w:rPr>
        <w:t> </w:t>
      </w:r>
      <w:r>
        <w:rPr>
          <w:color w:val="231F20"/>
        </w:rPr>
        <w:t>for</w:t>
      </w:r>
      <w:r>
        <w:rPr>
          <w:color w:val="231F20"/>
          <w:spacing w:val="20"/>
        </w:rPr>
        <w:t> </w:t>
      </w:r>
      <w:r>
        <w:rPr>
          <w:color w:val="231F20"/>
        </w:rPr>
        <w:t>$50,</w:t>
      </w:r>
      <w:r>
        <w:rPr>
          <w:color w:val="231F20"/>
          <w:spacing w:val="20"/>
        </w:rPr>
        <w:t> </w:t>
      </w:r>
      <w:r>
        <w:rPr>
          <w:color w:val="231F20"/>
        </w:rPr>
        <w:t>and</w:t>
      </w:r>
      <w:r>
        <w:rPr>
          <w:color w:val="231F20"/>
          <w:spacing w:val="20"/>
        </w:rPr>
        <w:t> </w:t>
      </w:r>
      <w:r>
        <w:rPr>
          <w:color w:val="231F20"/>
        </w:rPr>
        <w:t>the</w:t>
      </w:r>
      <w:r>
        <w:rPr>
          <w:color w:val="231F20"/>
          <w:spacing w:val="20"/>
        </w:rPr>
        <w:t> </w:t>
      </w:r>
      <w:r>
        <w:rPr>
          <w:color w:val="231F20"/>
        </w:rPr>
        <w:t>other</w:t>
      </w:r>
      <w:r>
        <w:rPr>
          <w:color w:val="231F20"/>
          <w:spacing w:val="19"/>
        </w:rPr>
        <w:t> </w:t>
      </w:r>
      <w:r>
        <w:rPr>
          <w:color w:val="231F20"/>
        </w:rPr>
        <w:t>he</w:t>
      </w:r>
      <w:r>
        <w:rPr>
          <w:color w:val="231F20"/>
          <w:spacing w:val="20"/>
        </w:rPr>
        <w:t> </w:t>
      </w:r>
      <w:r>
        <w:rPr>
          <w:color w:val="231F20"/>
        </w:rPr>
        <w:t>purchased</w:t>
      </w:r>
      <w:r>
        <w:rPr>
          <w:color w:val="231F20"/>
          <w:spacing w:val="20"/>
        </w:rPr>
        <w:t> </w:t>
      </w:r>
      <w:r>
        <w:rPr>
          <w:color w:val="231F20"/>
        </w:rPr>
        <w:t>in</w:t>
      </w:r>
      <w:r>
        <w:rPr>
          <w:color w:val="231F20"/>
          <w:spacing w:val="20"/>
        </w:rPr>
        <w:t> </w:t>
      </w:r>
      <w:r>
        <w:rPr>
          <w:color w:val="231F20"/>
        </w:rPr>
        <w:t>2005</w:t>
      </w:r>
      <w:r>
        <w:rPr>
          <w:color w:val="231F20"/>
          <w:spacing w:val="20"/>
        </w:rPr>
        <w:t> </w:t>
      </w:r>
      <w:r>
        <w:rPr>
          <w:color w:val="231F20"/>
          <w:spacing w:val="-5"/>
        </w:rPr>
        <w:t>for</w:t>
      </w:r>
    </w:p>
    <w:p>
      <w:pPr>
        <w:pStyle w:val="BodyText"/>
        <w:spacing w:line="245" w:lineRule="exact"/>
        <w:ind w:left="829"/>
        <w:jc w:val="both"/>
      </w:pPr>
      <w:r>
        <w:rPr>
          <w:color w:val="231F20"/>
        </w:rPr>
        <w:t>$500.</w:t>
      </w:r>
      <w:r>
        <w:rPr>
          <w:color w:val="231F20"/>
          <w:spacing w:val="4"/>
        </w:rPr>
        <w:t> </w:t>
      </w:r>
      <w:r>
        <w:rPr>
          <w:color w:val="231F20"/>
        </w:rPr>
        <w:t>A</w:t>
      </w:r>
      <w:r>
        <w:rPr>
          <w:color w:val="231F20"/>
          <w:spacing w:val="5"/>
        </w:rPr>
        <w:t> </w:t>
      </w:r>
      <w:r>
        <w:rPr>
          <w:color w:val="231F20"/>
        </w:rPr>
        <w:t>numismatist</w:t>
      </w:r>
      <w:r>
        <w:rPr>
          <w:color w:val="231F20"/>
          <w:spacing w:val="4"/>
        </w:rPr>
        <w:t> </w:t>
      </w:r>
      <w:r>
        <w:rPr>
          <w:color w:val="231F20"/>
        </w:rPr>
        <w:t>comes</w:t>
      </w:r>
      <w:r>
        <w:rPr>
          <w:color w:val="231F20"/>
          <w:spacing w:val="5"/>
        </w:rPr>
        <w:t> </w:t>
      </w:r>
      <w:r>
        <w:rPr>
          <w:color w:val="231F20"/>
        </w:rPr>
        <w:t>to</w:t>
      </w:r>
      <w:r>
        <w:rPr>
          <w:color w:val="231F20"/>
          <w:spacing w:val="4"/>
        </w:rPr>
        <w:t> </w:t>
      </w:r>
      <w:r>
        <w:rPr>
          <w:color w:val="231F20"/>
        </w:rPr>
        <w:t>his</w:t>
      </w:r>
      <w:r>
        <w:rPr>
          <w:color w:val="231F20"/>
          <w:spacing w:val="5"/>
        </w:rPr>
        <w:t> </w:t>
      </w:r>
      <w:r>
        <w:rPr>
          <w:color w:val="231F20"/>
        </w:rPr>
        <w:t>shop</w:t>
      </w:r>
      <w:r>
        <w:rPr>
          <w:color w:val="231F20"/>
          <w:spacing w:val="4"/>
        </w:rPr>
        <w:t> </w:t>
      </w:r>
      <w:r>
        <w:rPr>
          <w:color w:val="231F20"/>
        </w:rPr>
        <w:t>and</w:t>
      </w:r>
      <w:r>
        <w:rPr>
          <w:color w:val="231F20"/>
          <w:spacing w:val="5"/>
        </w:rPr>
        <w:t> </w:t>
      </w:r>
      <w:r>
        <w:rPr>
          <w:color w:val="231F20"/>
        </w:rPr>
        <w:t>buys</w:t>
      </w:r>
      <w:r>
        <w:rPr>
          <w:color w:val="231F20"/>
          <w:spacing w:val="4"/>
        </w:rPr>
        <w:t> </w:t>
      </w:r>
      <w:r>
        <w:rPr>
          <w:color w:val="231F20"/>
        </w:rPr>
        <w:t>one</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rPr>
        <w:t>coins</w:t>
      </w:r>
      <w:r>
        <w:rPr>
          <w:color w:val="231F20"/>
          <w:spacing w:val="5"/>
        </w:rPr>
        <w:t> </w:t>
      </w:r>
      <w:r>
        <w:rPr>
          <w:color w:val="231F20"/>
          <w:spacing w:val="-5"/>
        </w:rPr>
        <w:t>for</w:t>
      </w:r>
    </w:p>
    <w:p>
      <w:pPr>
        <w:pStyle w:val="BodyText"/>
        <w:spacing w:line="292" w:lineRule="auto" w:before="53"/>
        <w:ind w:left="829" w:right="753"/>
        <w:jc w:val="both"/>
      </w:pPr>
      <w:r>
        <w:rPr>
          <w:color w:val="231F20"/>
        </w:rPr>
        <w:t>$1,000.</w:t>
      </w:r>
      <w:r>
        <w:rPr>
          <w:color w:val="231F20"/>
          <w:spacing w:val="25"/>
        </w:rPr>
        <w:t> </w:t>
      </w:r>
      <w:r>
        <w:rPr>
          <w:color w:val="231F20"/>
        </w:rPr>
        <w:t>Using</w:t>
      </w:r>
      <w:r>
        <w:rPr>
          <w:color w:val="231F20"/>
          <w:spacing w:val="25"/>
        </w:rPr>
        <w:t> </w:t>
      </w:r>
      <w:r>
        <w:rPr>
          <w:color w:val="231F20"/>
        </w:rPr>
        <w:t>FIFO,</w:t>
      </w:r>
      <w:r>
        <w:rPr>
          <w:color w:val="231F20"/>
          <w:spacing w:val="25"/>
        </w:rPr>
        <w:t> </w:t>
      </w:r>
      <w:r>
        <w:rPr>
          <w:color w:val="231F20"/>
        </w:rPr>
        <w:t>the</w:t>
      </w:r>
      <w:r>
        <w:rPr>
          <w:color w:val="231F20"/>
          <w:spacing w:val="25"/>
        </w:rPr>
        <w:t> </w:t>
      </w:r>
      <w:r>
        <w:rPr>
          <w:color w:val="231F20"/>
        </w:rPr>
        <w:t>shop</w:t>
      </w:r>
      <w:r>
        <w:rPr>
          <w:color w:val="231F20"/>
          <w:spacing w:val="25"/>
        </w:rPr>
        <w:t> </w:t>
      </w:r>
      <w:r>
        <w:rPr>
          <w:color w:val="231F20"/>
        </w:rPr>
        <w:t>owner</w:t>
      </w:r>
      <w:r>
        <w:rPr>
          <w:color w:val="231F20"/>
          <w:spacing w:val="25"/>
        </w:rPr>
        <w:t> </w:t>
      </w:r>
      <w:r>
        <w:rPr>
          <w:color w:val="231F20"/>
        </w:rPr>
        <w:t>would</w:t>
      </w:r>
      <w:r>
        <w:rPr>
          <w:color w:val="231F20"/>
          <w:spacing w:val="25"/>
        </w:rPr>
        <w:t> </w:t>
      </w:r>
      <w:r>
        <w:rPr>
          <w:color w:val="231F20"/>
        </w:rPr>
        <w:t>record</w:t>
      </w:r>
      <w:r>
        <w:rPr>
          <w:color w:val="231F20"/>
          <w:spacing w:val="25"/>
        </w:rPr>
        <w:t> </w:t>
      </w:r>
      <w:r>
        <w:rPr>
          <w:color w:val="231F20"/>
        </w:rPr>
        <w:t>a</w:t>
      </w:r>
      <w:r>
        <w:rPr>
          <w:color w:val="231F20"/>
          <w:spacing w:val="25"/>
        </w:rPr>
        <w:t> </w:t>
      </w:r>
      <w:r>
        <w:rPr>
          <w:color w:val="231F20"/>
        </w:rPr>
        <w:t>sale</w:t>
      </w:r>
      <w:r>
        <w:rPr>
          <w:color w:val="231F20"/>
          <w:spacing w:val="25"/>
        </w:rPr>
        <w:t> </w:t>
      </w:r>
      <w:r>
        <w:rPr>
          <w:color w:val="231F20"/>
        </w:rPr>
        <w:t>of</w:t>
      </w:r>
      <w:r>
        <w:rPr>
          <w:color w:val="231F20"/>
          <w:spacing w:val="25"/>
        </w:rPr>
        <w:t> </w:t>
      </w:r>
      <w:r>
        <w:rPr>
          <w:color w:val="231F20"/>
        </w:rPr>
        <w:t>$1,000, a</w:t>
      </w:r>
      <w:r>
        <w:rPr>
          <w:color w:val="231F20"/>
          <w:spacing w:val="40"/>
        </w:rPr>
        <w:t> </w:t>
      </w:r>
      <w:r>
        <w:rPr>
          <w:color w:val="231F20"/>
        </w:rPr>
        <w:t>cost</w:t>
      </w:r>
      <w:r>
        <w:rPr>
          <w:color w:val="231F20"/>
          <w:spacing w:val="40"/>
        </w:rPr>
        <w:t> </w:t>
      </w:r>
      <w:r>
        <w:rPr>
          <w:color w:val="231F20"/>
        </w:rPr>
        <w:t>of</w:t>
      </w:r>
      <w:r>
        <w:rPr>
          <w:color w:val="231F20"/>
          <w:spacing w:val="40"/>
        </w:rPr>
        <w:t> </w:t>
      </w:r>
      <w:r>
        <w:rPr>
          <w:color w:val="231F20"/>
        </w:rPr>
        <w:t>$50,</w:t>
      </w:r>
      <w:r>
        <w:rPr>
          <w:color w:val="231F20"/>
          <w:spacing w:val="40"/>
        </w:rPr>
        <w:t> </w:t>
      </w:r>
      <w:r>
        <w:rPr>
          <w:color w:val="231F20"/>
        </w:rPr>
        <w:t>and</w:t>
      </w:r>
      <w:r>
        <w:rPr>
          <w:color w:val="231F20"/>
          <w:spacing w:val="40"/>
        </w:rPr>
        <w:t> </w:t>
      </w:r>
      <w:r>
        <w:rPr>
          <w:color w:val="231F20"/>
        </w:rPr>
        <w:t>a</w:t>
      </w:r>
      <w:r>
        <w:rPr>
          <w:color w:val="231F20"/>
          <w:spacing w:val="40"/>
        </w:rPr>
        <w:t> </w:t>
      </w:r>
      <w:r>
        <w:rPr>
          <w:color w:val="231F20"/>
        </w:rPr>
        <w:t>resulting</w:t>
      </w:r>
      <w:r>
        <w:rPr>
          <w:color w:val="231F20"/>
          <w:spacing w:val="40"/>
        </w:rPr>
        <w:t> </w:t>
      </w:r>
      <w:r>
        <w:rPr>
          <w:color w:val="231F20"/>
        </w:rPr>
        <w:t>profit</w:t>
      </w:r>
      <w:r>
        <w:rPr>
          <w:color w:val="231F20"/>
          <w:spacing w:val="40"/>
        </w:rPr>
        <w:t> </w:t>
      </w:r>
      <w:r>
        <w:rPr>
          <w:color w:val="231F20"/>
        </w:rPr>
        <w:t>of</w:t>
      </w:r>
      <w:r>
        <w:rPr>
          <w:color w:val="231F20"/>
          <w:spacing w:val="40"/>
        </w:rPr>
        <w:t> </w:t>
      </w:r>
      <w:r>
        <w:rPr>
          <w:color w:val="231F20"/>
        </w:rPr>
        <w:t>$950</w:t>
      </w:r>
      <w:r>
        <w:rPr>
          <w:color w:val="231F20"/>
          <w:spacing w:val="40"/>
        </w:rPr>
        <w:t> </w:t>
      </w:r>
      <w:r>
        <w:rPr>
          <w:color w:val="231F20"/>
        </w:rPr>
        <w:t>in</w:t>
      </w:r>
      <w:r>
        <w:rPr>
          <w:color w:val="231F20"/>
          <w:spacing w:val="40"/>
        </w:rPr>
        <w:t> </w:t>
      </w:r>
      <w:r>
        <w:rPr>
          <w:color w:val="231F20"/>
        </w:rPr>
        <w:t>his</w:t>
      </w:r>
      <w:r>
        <w:rPr>
          <w:color w:val="231F20"/>
          <w:spacing w:val="40"/>
        </w:rPr>
        <w:t> </w:t>
      </w:r>
      <w:r>
        <w:rPr>
          <w:color w:val="231F20"/>
        </w:rPr>
        <w:t>accounting records. His remaining inventory would reflect one coin at a </w:t>
      </w:r>
      <w:r>
        <w:rPr>
          <w:color w:val="231F20"/>
        </w:rPr>
        <w:t>histori- cal cost of $500. The cost of the first coin purchased was the first to be</w:t>
      </w:r>
      <w:r>
        <w:rPr>
          <w:color w:val="231F20"/>
          <w:spacing w:val="40"/>
        </w:rPr>
        <w:t> </w:t>
      </w:r>
      <w:r>
        <w:rPr>
          <w:color w:val="231F20"/>
        </w:rPr>
        <w:t>recorded</w:t>
      </w:r>
      <w:r>
        <w:rPr>
          <w:color w:val="231F20"/>
          <w:spacing w:val="40"/>
        </w:rPr>
        <w:t> </w:t>
      </w:r>
      <w:r>
        <w:rPr>
          <w:color w:val="231F20"/>
        </w:rPr>
        <w:t>as</w:t>
      </w:r>
      <w:r>
        <w:rPr>
          <w:color w:val="231F20"/>
          <w:spacing w:val="40"/>
        </w:rPr>
        <w:t> </w:t>
      </w:r>
      <w:r>
        <w:rPr>
          <w:color w:val="231F20"/>
        </w:rPr>
        <w:t>a</w:t>
      </w:r>
      <w:r>
        <w:rPr>
          <w:color w:val="231F20"/>
          <w:spacing w:val="40"/>
        </w:rPr>
        <w:t> </w:t>
      </w:r>
      <w:r>
        <w:rPr>
          <w:color w:val="231F20"/>
        </w:rPr>
        <w:t>cost</w:t>
      </w:r>
      <w:r>
        <w:rPr>
          <w:color w:val="231F20"/>
          <w:spacing w:val="40"/>
        </w:rPr>
        <w:t> </w:t>
      </w:r>
      <w:r>
        <w:rPr>
          <w:color w:val="231F20"/>
        </w:rPr>
        <w:t>of</w:t>
      </w:r>
      <w:r>
        <w:rPr>
          <w:color w:val="231F20"/>
          <w:spacing w:val="40"/>
        </w:rPr>
        <w:t> </w:t>
      </w:r>
      <w:r>
        <w:rPr>
          <w:color w:val="231F20"/>
        </w:rPr>
        <w:t>goods</w:t>
      </w:r>
      <w:r>
        <w:rPr>
          <w:color w:val="231F20"/>
          <w:spacing w:val="40"/>
        </w:rPr>
        <w:t> </w:t>
      </w:r>
      <w:r>
        <w:rPr>
          <w:color w:val="231F20"/>
        </w:rPr>
        <w:t>sold.</w:t>
      </w:r>
      <w:r>
        <w:rPr>
          <w:color w:val="231F20"/>
          <w:spacing w:val="40"/>
        </w:rPr>
        <w:t> </w:t>
      </w:r>
      <w:r>
        <w:rPr>
          <w:color w:val="231F20"/>
        </w:rPr>
        <w:t>Using</w:t>
      </w:r>
      <w:r>
        <w:rPr>
          <w:color w:val="231F20"/>
          <w:spacing w:val="40"/>
        </w:rPr>
        <w:t> </w:t>
      </w:r>
      <w:r>
        <w:rPr>
          <w:color w:val="231F20"/>
        </w:rPr>
        <w:t>the</w:t>
      </w:r>
      <w:r>
        <w:rPr>
          <w:color w:val="231F20"/>
          <w:spacing w:val="40"/>
        </w:rPr>
        <w:t> </w:t>
      </w:r>
      <w:r>
        <w:rPr>
          <w:color w:val="231F20"/>
        </w:rPr>
        <w:t>alternate</w:t>
      </w:r>
      <w:r>
        <w:rPr>
          <w:color w:val="231F20"/>
          <w:spacing w:val="40"/>
        </w:rPr>
        <w:t> </w:t>
      </w:r>
      <w:r>
        <w:rPr>
          <w:color w:val="231F20"/>
        </w:rPr>
        <w:t>LIFO method,</w:t>
      </w:r>
      <w:r>
        <w:rPr>
          <w:color w:val="231F20"/>
          <w:spacing w:val="11"/>
        </w:rPr>
        <w:t> </w:t>
      </w:r>
      <w:r>
        <w:rPr>
          <w:color w:val="231F20"/>
        </w:rPr>
        <w:t>the</w:t>
      </w:r>
      <w:r>
        <w:rPr>
          <w:color w:val="231F20"/>
          <w:spacing w:val="12"/>
        </w:rPr>
        <w:t> </w:t>
      </w:r>
      <w:r>
        <w:rPr>
          <w:color w:val="231F20"/>
        </w:rPr>
        <w:t>owner</w:t>
      </w:r>
      <w:r>
        <w:rPr>
          <w:color w:val="231F20"/>
          <w:spacing w:val="11"/>
        </w:rPr>
        <w:t> </w:t>
      </w:r>
      <w:r>
        <w:rPr>
          <w:color w:val="231F20"/>
        </w:rPr>
        <w:t>would</w:t>
      </w:r>
      <w:r>
        <w:rPr>
          <w:color w:val="231F20"/>
          <w:spacing w:val="12"/>
        </w:rPr>
        <w:t> </w:t>
      </w:r>
      <w:r>
        <w:rPr>
          <w:color w:val="231F20"/>
        </w:rPr>
        <w:t>record</w:t>
      </w:r>
      <w:r>
        <w:rPr>
          <w:color w:val="231F20"/>
          <w:spacing w:val="12"/>
        </w:rPr>
        <w:t> </w:t>
      </w:r>
      <w:r>
        <w:rPr>
          <w:color w:val="231F20"/>
        </w:rPr>
        <w:t>a</w:t>
      </w:r>
      <w:r>
        <w:rPr>
          <w:color w:val="231F20"/>
          <w:spacing w:val="11"/>
        </w:rPr>
        <w:t> </w:t>
      </w:r>
      <w:r>
        <w:rPr>
          <w:color w:val="231F20"/>
        </w:rPr>
        <w:t>cost</w:t>
      </w:r>
      <w:r>
        <w:rPr>
          <w:color w:val="231F20"/>
          <w:spacing w:val="12"/>
        </w:rPr>
        <w:t> </w:t>
      </w:r>
      <w:r>
        <w:rPr>
          <w:color w:val="231F20"/>
        </w:rPr>
        <w:t>of</w:t>
      </w:r>
      <w:r>
        <w:rPr>
          <w:color w:val="231F20"/>
          <w:spacing w:val="12"/>
        </w:rPr>
        <w:t> </w:t>
      </w:r>
      <w:r>
        <w:rPr>
          <w:color w:val="231F20"/>
        </w:rPr>
        <w:t>$500,</w:t>
      </w:r>
      <w:r>
        <w:rPr>
          <w:color w:val="231F20"/>
          <w:spacing w:val="11"/>
        </w:rPr>
        <w:t> </w:t>
      </w:r>
      <w:r>
        <w:rPr>
          <w:color w:val="231F20"/>
        </w:rPr>
        <w:t>and</w:t>
      </w:r>
      <w:r>
        <w:rPr>
          <w:color w:val="231F20"/>
          <w:spacing w:val="12"/>
        </w:rPr>
        <w:t> </w:t>
      </w:r>
      <w:r>
        <w:rPr>
          <w:color w:val="231F20"/>
        </w:rPr>
        <w:t>a</w:t>
      </w:r>
      <w:r>
        <w:rPr>
          <w:color w:val="231F20"/>
          <w:spacing w:val="12"/>
        </w:rPr>
        <w:t> </w:t>
      </w:r>
      <w:r>
        <w:rPr>
          <w:color w:val="231F20"/>
        </w:rPr>
        <w:t>profit</w:t>
      </w:r>
      <w:r>
        <w:rPr>
          <w:color w:val="231F20"/>
          <w:spacing w:val="11"/>
        </w:rPr>
        <w:t> </w:t>
      </w:r>
      <w:r>
        <w:rPr>
          <w:color w:val="231F20"/>
        </w:rPr>
        <w:t>of</w:t>
      </w:r>
      <w:r>
        <w:rPr>
          <w:color w:val="231F20"/>
          <w:spacing w:val="12"/>
        </w:rPr>
        <w:t> </w:t>
      </w:r>
      <w:r>
        <w:rPr>
          <w:color w:val="231F20"/>
          <w:spacing w:val="-4"/>
        </w:rPr>
        <w:t>only</w:t>
      </w:r>
    </w:p>
    <w:p>
      <w:pPr>
        <w:pStyle w:val="BodyText"/>
        <w:spacing w:line="292" w:lineRule="auto"/>
        <w:ind w:left="830" w:right="755"/>
        <w:jc w:val="both"/>
      </w:pPr>
      <w:r>
        <w:rPr>
          <w:color w:val="231F20"/>
        </w:rPr>
        <w:t>$500. His inventory records would show a coin with a value of $50. The last cost was used first. Which coin was actually sold, the 1965</w:t>
      </w:r>
      <w:r>
        <w:rPr>
          <w:color w:val="231F20"/>
          <w:spacing w:val="80"/>
        </w:rPr>
        <w:t> </w:t>
      </w:r>
      <w:r>
        <w:rPr>
          <w:color w:val="231F20"/>
        </w:rPr>
        <w:t>or the 2005 acquisition, does not matter. It’s only an accounting method. But the method chosen dramatically affects the way a </w:t>
      </w:r>
      <w:r>
        <w:rPr>
          <w:color w:val="231F20"/>
        </w:rPr>
        <w:t>com- pany calculates profits and values inventory. That </w:t>
      </w:r>
      <w:r>
        <w:rPr>
          <w:i/>
          <w:color w:val="231F20"/>
        </w:rPr>
        <w:t>does </w:t>
      </w:r>
      <w:r>
        <w:rPr>
          <w:color w:val="231F20"/>
        </w:rPr>
        <w:t>matter.</w:t>
      </w:r>
    </w:p>
    <w:p>
      <w:pPr>
        <w:pStyle w:val="BodyText"/>
        <w:spacing w:line="292" w:lineRule="auto"/>
        <w:ind w:left="830" w:right="756" w:firstLine="340"/>
        <w:jc w:val="both"/>
      </w:pPr>
      <w:r>
        <w:rPr>
          <w:color w:val="231F20"/>
        </w:rPr>
        <w:t>If a change of accounting method is necessary for a </w:t>
      </w:r>
      <w:r>
        <w:rPr>
          <w:color w:val="231F20"/>
        </w:rPr>
        <w:t>“substantial” reason, the financial statements must state the reason in the foot- notes located at the end of the report. The footnotes must also state how the change affected the profits and asset values that year. You can run, but you cannot hide from the accountants.</w:t>
      </w:r>
    </w:p>
    <w:p>
      <w:pPr>
        <w:pStyle w:val="BodyText"/>
        <w:rPr>
          <w:sz w:val="24"/>
        </w:rPr>
      </w:pPr>
    </w:p>
    <w:p>
      <w:pPr>
        <w:pStyle w:val="BodyText"/>
        <w:spacing w:before="8"/>
        <w:rPr>
          <w:sz w:val="26"/>
        </w:rPr>
      </w:pPr>
    </w:p>
    <w:p>
      <w:pPr>
        <w:pStyle w:val="Heading6"/>
        <w:ind w:left="299"/>
        <w:rPr>
          <w:i/>
        </w:rPr>
      </w:pPr>
      <w:r>
        <w:rPr>
          <w:i/>
          <w:color w:val="231F20"/>
          <w:spacing w:val="-2"/>
          <w:w w:val="110"/>
        </w:rPr>
        <w:t>MATERIALITY</w:t>
      </w:r>
    </w:p>
    <w:p>
      <w:pPr>
        <w:pStyle w:val="BodyText"/>
        <w:spacing w:before="2"/>
        <w:rPr>
          <w:b/>
          <w:i/>
          <w:sz w:val="30"/>
        </w:rPr>
      </w:pPr>
    </w:p>
    <w:p>
      <w:pPr>
        <w:pStyle w:val="BodyText"/>
        <w:spacing w:line="292" w:lineRule="auto"/>
        <w:ind w:left="829" w:right="753"/>
        <w:jc w:val="both"/>
      </w:pPr>
      <w:r>
        <w:rPr>
          <w:color w:val="231F20"/>
        </w:rPr>
        <w:t>An</w:t>
      </w:r>
      <w:r>
        <w:rPr>
          <w:color w:val="231F20"/>
          <w:spacing w:val="40"/>
        </w:rPr>
        <w:t> </w:t>
      </w:r>
      <w:r>
        <w:rPr>
          <w:color w:val="231F20"/>
        </w:rPr>
        <w:t>important</w:t>
      </w:r>
      <w:r>
        <w:rPr>
          <w:color w:val="231F20"/>
          <w:spacing w:val="40"/>
        </w:rPr>
        <w:t> </w:t>
      </w:r>
      <w:r>
        <w:rPr>
          <w:color w:val="231F20"/>
        </w:rPr>
        <w:t>caveat</w:t>
      </w:r>
      <w:r>
        <w:rPr>
          <w:color w:val="231F20"/>
          <w:spacing w:val="40"/>
        </w:rPr>
        <w:t> </w:t>
      </w:r>
      <w:r>
        <w:rPr>
          <w:color w:val="231F20"/>
        </w:rPr>
        <w:t>of</w:t>
      </w:r>
      <w:r>
        <w:rPr>
          <w:color w:val="231F20"/>
          <w:spacing w:val="40"/>
        </w:rPr>
        <w:t> </w:t>
      </w:r>
      <w:r>
        <w:rPr>
          <w:color w:val="231F20"/>
        </w:rPr>
        <w:t>financial</w:t>
      </w:r>
      <w:r>
        <w:rPr>
          <w:color w:val="231F20"/>
          <w:spacing w:val="40"/>
        </w:rPr>
        <w:t> </w:t>
      </w:r>
      <w:r>
        <w:rPr>
          <w:color w:val="231F20"/>
        </w:rPr>
        <w:t>statements</w:t>
      </w:r>
      <w:r>
        <w:rPr>
          <w:color w:val="231F20"/>
          <w:spacing w:val="40"/>
        </w:rPr>
        <w:t> </w:t>
      </w:r>
      <w:r>
        <w:rPr>
          <w:color w:val="231F20"/>
        </w:rPr>
        <w:t>is</w:t>
      </w:r>
      <w:r>
        <w:rPr>
          <w:color w:val="231F20"/>
          <w:spacing w:val="40"/>
        </w:rPr>
        <w:t> </w:t>
      </w:r>
      <w:r>
        <w:rPr>
          <w:color w:val="231F20"/>
        </w:rPr>
        <w:t>that</w:t>
      </w:r>
      <w:r>
        <w:rPr>
          <w:color w:val="231F20"/>
          <w:spacing w:val="40"/>
        </w:rPr>
        <w:t> </w:t>
      </w:r>
      <w:r>
        <w:rPr>
          <w:color w:val="231F20"/>
        </w:rPr>
        <w:t>they</w:t>
      </w:r>
      <w:r>
        <w:rPr>
          <w:color w:val="231F20"/>
          <w:spacing w:val="40"/>
        </w:rPr>
        <w:t> </w:t>
      </w:r>
      <w:r>
        <w:rPr>
          <w:color w:val="231F20"/>
        </w:rPr>
        <w:t>are</w:t>
      </w:r>
      <w:r>
        <w:rPr>
          <w:color w:val="231F20"/>
          <w:spacing w:val="40"/>
        </w:rPr>
        <w:t> </w:t>
      </w:r>
      <w:r>
        <w:rPr>
          <w:i/>
          <w:color w:val="231F20"/>
        </w:rPr>
        <w:t>not</w:t>
      </w:r>
      <w:r>
        <w:rPr>
          <w:i/>
          <w:color w:val="231F20"/>
        </w:rPr>
        <w:t> </w:t>
      </w:r>
      <w:r>
        <w:rPr>
          <w:color w:val="231F20"/>
        </w:rPr>
        <w:t>exact to the penny, even though you would expect that tenacious ac- countants would produce such reports. In fact, they are only </w:t>
      </w:r>
      <w:r>
        <w:rPr>
          <w:i/>
          <w:color w:val="231F20"/>
        </w:rPr>
        <w:t>materi-</w:t>
      </w:r>
      <w:r>
        <w:rPr>
          <w:i/>
          <w:color w:val="231F20"/>
        </w:rPr>
        <w:t> ally </w:t>
      </w:r>
      <w:r>
        <w:rPr>
          <w:color w:val="231F20"/>
        </w:rPr>
        <w:t>correct so that a reader can get a </w:t>
      </w:r>
      <w:r>
        <w:rPr>
          <w:i/>
          <w:color w:val="231F20"/>
        </w:rPr>
        <w:t>fairly stated </w:t>
      </w:r>
      <w:r>
        <w:rPr>
          <w:color w:val="231F20"/>
        </w:rPr>
        <w:t>view of where an entity stands. Financial statements give a materially accurate </w:t>
      </w:r>
      <w:r>
        <w:rPr>
          <w:color w:val="231F20"/>
        </w:rPr>
        <w:t>picture so that a reasonable person can make informed decisions based on the report. For a small soda fountain’s financial statements, a one- hundred-dollar error may materially distort the records, while a ten- dollar error may not. In contrast, huge multinational companies like Coca-Cola</w:t>
      </w:r>
      <w:r>
        <w:rPr>
          <w:color w:val="231F20"/>
          <w:spacing w:val="38"/>
        </w:rPr>
        <w:t> </w:t>
      </w:r>
      <w:r>
        <w:rPr>
          <w:color w:val="231F20"/>
        </w:rPr>
        <w:t>may</w:t>
      </w:r>
      <w:r>
        <w:rPr>
          <w:color w:val="231F20"/>
          <w:spacing w:val="39"/>
        </w:rPr>
        <w:t> </w:t>
      </w:r>
      <w:r>
        <w:rPr>
          <w:color w:val="231F20"/>
        </w:rPr>
        <w:t>have</w:t>
      </w:r>
      <w:r>
        <w:rPr>
          <w:color w:val="231F20"/>
          <w:spacing w:val="39"/>
        </w:rPr>
        <w:t> </w:t>
      </w:r>
      <w:r>
        <w:rPr>
          <w:color w:val="231F20"/>
        </w:rPr>
        <w:t>million-dollar</w:t>
      </w:r>
      <w:r>
        <w:rPr>
          <w:color w:val="231F20"/>
          <w:spacing w:val="38"/>
        </w:rPr>
        <w:t> </w:t>
      </w:r>
      <w:r>
        <w:rPr>
          <w:color w:val="231F20"/>
        </w:rPr>
        <w:t>errors</w:t>
      </w:r>
      <w:r>
        <w:rPr>
          <w:color w:val="231F20"/>
          <w:spacing w:val="39"/>
        </w:rPr>
        <w:t> </w:t>
      </w:r>
      <w:r>
        <w:rPr>
          <w:color w:val="231F20"/>
        </w:rPr>
        <w:t>in</w:t>
      </w:r>
      <w:r>
        <w:rPr>
          <w:color w:val="231F20"/>
          <w:spacing w:val="39"/>
        </w:rPr>
        <w:t> </w:t>
      </w:r>
      <w:r>
        <w:rPr>
          <w:color w:val="231F20"/>
        </w:rPr>
        <w:t>their</w:t>
      </w:r>
      <w:r>
        <w:rPr>
          <w:color w:val="231F20"/>
          <w:spacing w:val="39"/>
        </w:rPr>
        <w:t> </w:t>
      </w:r>
      <w:r>
        <w:rPr>
          <w:color w:val="231F20"/>
        </w:rPr>
        <w:t>reports</w:t>
      </w:r>
      <w:r>
        <w:rPr>
          <w:color w:val="231F20"/>
          <w:spacing w:val="38"/>
        </w:rPr>
        <w:t> </w:t>
      </w:r>
      <w:r>
        <w:rPr>
          <w:color w:val="231F20"/>
        </w:rPr>
        <w:t>and</w:t>
      </w:r>
      <w:r>
        <w:rPr>
          <w:color w:val="231F20"/>
          <w:spacing w:val="39"/>
        </w:rPr>
        <w:t> </w:t>
      </w:r>
      <w:r>
        <w:rPr>
          <w:color w:val="231F20"/>
          <w:spacing w:val="-5"/>
        </w:rPr>
        <w:t>not</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before="102"/>
        <w:ind w:left="920"/>
        <w:jc w:val="both"/>
      </w:pPr>
      <w:r>
        <w:rPr>
          <w:color w:val="231F20"/>
        </w:rPr>
        <w:t>materially</w:t>
      </w:r>
      <w:r>
        <w:rPr>
          <w:color w:val="231F20"/>
          <w:spacing w:val="4"/>
        </w:rPr>
        <w:t> </w:t>
      </w:r>
      <w:r>
        <w:rPr>
          <w:color w:val="231F20"/>
        </w:rPr>
        <w:t>distort</w:t>
      </w:r>
      <w:r>
        <w:rPr>
          <w:color w:val="231F20"/>
          <w:spacing w:val="4"/>
        </w:rPr>
        <w:t> </w:t>
      </w:r>
      <w:r>
        <w:rPr>
          <w:color w:val="231F20"/>
        </w:rPr>
        <w:t>the</w:t>
      </w:r>
      <w:r>
        <w:rPr>
          <w:color w:val="231F20"/>
          <w:spacing w:val="4"/>
        </w:rPr>
        <w:t> </w:t>
      </w:r>
      <w:r>
        <w:rPr>
          <w:color w:val="231F20"/>
        </w:rPr>
        <w:t>picture</w:t>
      </w:r>
      <w:r>
        <w:rPr>
          <w:color w:val="231F20"/>
          <w:spacing w:val="4"/>
        </w:rPr>
        <w:t> </w:t>
      </w:r>
      <w:r>
        <w:rPr>
          <w:color w:val="231F20"/>
        </w:rPr>
        <w:t>for</w:t>
      </w:r>
      <w:r>
        <w:rPr>
          <w:color w:val="231F20"/>
          <w:spacing w:val="4"/>
        </w:rPr>
        <w:t> </w:t>
      </w:r>
      <w:r>
        <w:rPr>
          <w:color w:val="231F20"/>
        </w:rPr>
        <w:t>decision</w:t>
      </w:r>
      <w:r>
        <w:rPr>
          <w:color w:val="231F20"/>
          <w:spacing w:val="4"/>
        </w:rPr>
        <w:t> </w:t>
      </w:r>
      <w:r>
        <w:rPr>
          <w:color w:val="231F20"/>
          <w:spacing w:val="-2"/>
        </w:rPr>
        <w:t>making.</w:t>
      </w:r>
    </w:p>
    <w:p>
      <w:pPr>
        <w:pStyle w:val="BodyText"/>
        <w:spacing w:before="1"/>
        <w:rPr>
          <w:sz w:val="30"/>
        </w:rPr>
      </w:pPr>
    </w:p>
    <w:p>
      <w:pPr>
        <w:pStyle w:val="BodyText"/>
        <w:spacing w:line="292" w:lineRule="auto" w:before="1"/>
        <w:ind w:left="920" w:right="663"/>
        <w:jc w:val="both"/>
      </w:pPr>
      <w:r>
        <w:rPr>
          <w:color w:val="231F20"/>
        </w:rPr>
        <w:t>By now you can begin to develop an insight into how accountants think about businesses and possibly why they are, for the most part, conservative even as people. In my previous edition I showed a </w:t>
      </w:r>
      <w:r>
        <w:rPr>
          <w:color w:val="231F20"/>
        </w:rPr>
        <w:t>car- toon that poked fun at the conservatism of accountants. I’d found it on a bulletin board at Arthur Andersen LLP, where I had worked as an auditor. Arthur strayed in the years after I left and collapsed in connection with its fraud involving the collapse of Enron. That left only the </w:t>
      </w:r>
      <w:r>
        <w:rPr>
          <w:i/>
          <w:color w:val="231F20"/>
        </w:rPr>
        <w:t>Big Four </w:t>
      </w:r>
      <w:r>
        <w:rPr>
          <w:color w:val="231F20"/>
        </w:rPr>
        <w:t>accounting firms: PricewaterhouseCoopers LLP, KPMG</w:t>
      </w:r>
      <w:r>
        <w:rPr>
          <w:color w:val="231F20"/>
          <w:spacing w:val="80"/>
        </w:rPr>
        <w:t> </w:t>
      </w:r>
      <w:r>
        <w:rPr>
          <w:color w:val="231F20"/>
        </w:rPr>
        <w:t>LLP,</w:t>
      </w:r>
      <w:r>
        <w:rPr>
          <w:color w:val="231F20"/>
          <w:spacing w:val="80"/>
        </w:rPr>
        <w:t> </w:t>
      </w:r>
      <w:r>
        <w:rPr>
          <w:color w:val="231F20"/>
        </w:rPr>
        <w:t>Deloitte</w:t>
      </w:r>
      <w:r>
        <w:rPr>
          <w:color w:val="231F20"/>
          <w:spacing w:val="80"/>
          <w:w w:val="110"/>
        </w:rPr>
        <w:t> </w:t>
      </w:r>
      <w:r>
        <w:rPr>
          <w:color w:val="231F20"/>
          <w:w w:val="110"/>
        </w:rPr>
        <w:t>&amp;</w:t>
      </w:r>
      <w:r>
        <w:rPr>
          <w:color w:val="231F20"/>
          <w:spacing w:val="80"/>
          <w:w w:val="110"/>
        </w:rPr>
        <w:t> </w:t>
      </w:r>
      <w:r>
        <w:rPr>
          <w:color w:val="231F20"/>
        </w:rPr>
        <w:t>Touche</w:t>
      </w:r>
      <w:r>
        <w:rPr>
          <w:color w:val="231F20"/>
          <w:spacing w:val="80"/>
        </w:rPr>
        <w:t> </w:t>
      </w:r>
      <w:r>
        <w:rPr>
          <w:color w:val="231F20"/>
        </w:rPr>
        <w:t>LLP,</w:t>
      </w:r>
      <w:r>
        <w:rPr>
          <w:color w:val="231F20"/>
          <w:spacing w:val="80"/>
        </w:rPr>
        <w:t> </w:t>
      </w:r>
      <w:r>
        <w:rPr>
          <w:color w:val="231F20"/>
        </w:rPr>
        <w:t>and</w:t>
      </w:r>
      <w:r>
        <w:rPr>
          <w:color w:val="231F20"/>
          <w:spacing w:val="80"/>
        </w:rPr>
        <w:t> </w:t>
      </w:r>
      <w:r>
        <w:rPr>
          <w:color w:val="231F20"/>
        </w:rPr>
        <w:t>Ernst</w:t>
      </w:r>
      <w:r>
        <w:rPr>
          <w:color w:val="231F20"/>
          <w:spacing w:val="80"/>
          <w:w w:val="110"/>
        </w:rPr>
        <w:t> </w:t>
      </w:r>
      <w:r>
        <w:rPr>
          <w:color w:val="231F20"/>
          <w:w w:val="110"/>
        </w:rPr>
        <w:t>&amp;</w:t>
      </w:r>
      <w:r>
        <w:rPr>
          <w:color w:val="231F20"/>
          <w:spacing w:val="80"/>
          <w:w w:val="110"/>
        </w:rPr>
        <w:t> </w:t>
      </w:r>
      <w:r>
        <w:rPr>
          <w:color w:val="231F20"/>
        </w:rPr>
        <w:t>Young</w:t>
      </w:r>
      <w:r>
        <w:rPr>
          <w:color w:val="231F20"/>
          <w:spacing w:val="80"/>
        </w:rPr>
        <w:t> </w:t>
      </w:r>
      <w:r>
        <w:rPr>
          <w:color w:val="231F20"/>
        </w:rPr>
        <w:t>LLP. In keeping with the changes I have selected a different cartoon,</w:t>
      </w:r>
      <w:r>
        <w:rPr>
          <w:color w:val="231F20"/>
          <w:spacing w:val="40"/>
        </w:rPr>
        <w:t> </w:t>
      </w:r>
      <w:r>
        <w:rPr>
          <w:color w:val="231F20"/>
          <w:spacing w:val="-2"/>
        </w:rPr>
        <w:t>below.</w:t>
      </w:r>
    </w:p>
    <w:p>
      <w:pPr>
        <w:pStyle w:val="BodyText"/>
        <w:rPr>
          <w:sz w:val="24"/>
        </w:rPr>
      </w:pPr>
    </w:p>
    <w:p>
      <w:pPr>
        <w:pStyle w:val="BodyText"/>
        <w:spacing w:before="7"/>
        <w:rPr>
          <w:sz w:val="24"/>
        </w:rPr>
      </w:pPr>
    </w:p>
    <w:p>
      <w:pPr>
        <w:pStyle w:val="Heading4"/>
        <w:ind w:left="469"/>
      </w:pPr>
      <w:r>
        <w:rPr>
          <w:color w:val="231F20"/>
          <w:w w:val="85"/>
        </w:rPr>
        <w:t>THE</w:t>
      </w:r>
      <w:r>
        <w:rPr>
          <w:color w:val="231F20"/>
          <w:spacing w:val="20"/>
        </w:rPr>
        <w:t> </w:t>
      </w:r>
      <w:r>
        <w:rPr>
          <w:color w:val="231F20"/>
          <w:spacing w:val="9"/>
          <w:w w:val="85"/>
        </w:rPr>
        <w:t>FINANCIAL</w:t>
      </w:r>
      <w:r>
        <w:rPr>
          <w:color w:val="231F20"/>
          <w:spacing w:val="21"/>
        </w:rPr>
        <w:t> </w:t>
      </w:r>
      <w:r>
        <w:rPr>
          <w:color w:val="231F20"/>
          <w:spacing w:val="-2"/>
          <w:w w:val="85"/>
        </w:rPr>
        <w:t>STATEMENTS</w:t>
      </w:r>
    </w:p>
    <w:p>
      <w:pPr>
        <w:pStyle w:val="BodyText"/>
        <w:spacing w:before="10"/>
        <w:rPr>
          <w:rFonts w:ascii="Trebuchet MS"/>
          <w:sz w:val="29"/>
        </w:rPr>
      </w:pPr>
    </w:p>
    <w:p>
      <w:pPr>
        <w:pStyle w:val="BodyText"/>
        <w:spacing w:line="292" w:lineRule="auto" w:before="1"/>
        <w:ind w:left="920" w:right="666"/>
        <w:jc w:val="both"/>
      </w:pPr>
      <w:r>
        <w:rPr>
          <w:color w:val="231F20"/>
        </w:rPr>
        <w:t>MBAs are not trained to key transactions into a computer; rather</w:t>
      </w:r>
      <w:r>
        <w:rPr>
          <w:color w:val="231F20"/>
          <w:spacing w:val="40"/>
        </w:rPr>
        <w:t> </w:t>
      </w:r>
      <w:r>
        <w:rPr>
          <w:color w:val="231F20"/>
        </w:rPr>
        <w:t>they are schooled to interpret the information that accountants </w:t>
      </w:r>
      <w:r>
        <w:rPr>
          <w:color w:val="231F20"/>
        </w:rPr>
        <w:t>gen- erate. The financial statements are the summary of all the individual transactions recorded during a period of time. Financial statements are the final product of the accounting function. They give interested users the opportunity to see in a neat summary what went on. To know a company, you must be able to read and understand three major financial statements:</w:t>
      </w:r>
    </w:p>
    <w:p>
      <w:pPr>
        <w:pStyle w:val="BodyText"/>
        <w:spacing w:before="1"/>
        <w:rPr>
          <w:sz w:val="27"/>
        </w:rPr>
      </w:pPr>
    </w:p>
    <w:p>
      <w:pPr>
        <w:spacing w:line="328" w:lineRule="auto" w:before="0"/>
        <w:ind w:left="1260" w:right="4385" w:firstLine="0"/>
        <w:jc w:val="left"/>
        <w:rPr>
          <w:rFonts w:ascii="Arial"/>
          <w:sz w:val="19"/>
        </w:rPr>
      </w:pPr>
      <w:r>
        <w:rPr>
          <w:rFonts w:ascii="Arial"/>
          <w:color w:val="231F20"/>
          <w:w w:val="110"/>
          <w:sz w:val="19"/>
        </w:rPr>
        <w:t>The Balance Sheet</w:t>
      </w:r>
      <w:r>
        <w:rPr>
          <w:rFonts w:ascii="Arial"/>
          <w:color w:val="231F20"/>
          <w:spacing w:val="40"/>
          <w:w w:val="110"/>
          <w:sz w:val="19"/>
        </w:rPr>
        <w:t> </w:t>
      </w:r>
      <w:r>
        <w:rPr>
          <w:rFonts w:ascii="Arial"/>
          <w:color w:val="231F20"/>
          <w:w w:val="110"/>
          <w:sz w:val="19"/>
        </w:rPr>
        <w:t>The Income Statement</w:t>
      </w:r>
    </w:p>
    <w:p>
      <w:pPr>
        <w:spacing w:before="2"/>
        <w:ind w:left="1260" w:right="0" w:firstLine="0"/>
        <w:jc w:val="left"/>
        <w:rPr>
          <w:rFonts w:ascii="Arial"/>
          <w:sz w:val="19"/>
        </w:rPr>
      </w:pPr>
      <w:r>
        <w:rPr>
          <w:rFonts w:ascii="Arial"/>
          <w:color w:val="231F20"/>
          <w:w w:val="110"/>
          <w:sz w:val="19"/>
        </w:rPr>
        <w:t>The</w:t>
      </w:r>
      <w:r>
        <w:rPr>
          <w:rFonts w:ascii="Arial"/>
          <w:color w:val="231F20"/>
          <w:spacing w:val="3"/>
          <w:w w:val="110"/>
          <w:sz w:val="19"/>
        </w:rPr>
        <w:t> </w:t>
      </w:r>
      <w:r>
        <w:rPr>
          <w:rFonts w:ascii="Arial"/>
          <w:color w:val="231F20"/>
          <w:w w:val="110"/>
          <w:sz w:val="19"/>
        </w:rPr>
        <w:t>Statement</w:t>
      </w:r>
      <w:r>
        <w:rPr>
          <w:rFonts w:ascii="Arial"/>
          <w:color w:val="231F20"/>
          <w:spacing w:val="4"/>
          <w:w w:val="110"/>
          <w:sz w:val="19"/>
        </w:rPr>
        <w:t> </w:t>
      </w:r>
      <w:r>
        <w:rPr>
          <w:rFonts w:ascii="Arial"/>
          <w:color w:val="231F20"/>
          <w:w w:val="110"/>
          <w:sz w:val="19"/>
        </w:rPr>
        <w:t>of</w:t>
      </w:r>
      <w:r>
        <w:rPr>
          <w:rFonts w:ascii="Arial"/>
          <w:color w:val="231F20"/>
          <w:spacing w:val="4"/>
          <w:w w:val="110"/>
          <w:sz w:val="19"/>
        </w:rPr>
        <w:t> </w:t>
      </w:r>
      <w:r>
        <w:rPr>
          <w:rFonts w:ascii="Arial"/>
          <w:color w:val="231F20"/>
          <w:w w:val="110"/>
          <w:sz w:val="19"/>
        </w:rPr>
        <w:t>Cash</w:t>
      </w:r>
      <w:r>
        <w:rPr>
          <w:rFonts w:ascii="Arial"/>
          <w:color w:val="231F20"/>
          <w:spacing w:val="4"/>
          <w:w w:val="110"/>
          <w:sz w:val="19"/>
        </w:rPr>
        <w:t> </w:t>
      </w:r>
      <w:r>
        <w:rPr>
          <w:rFonts w:ascii="Arial"/>
          <w:color w:val="231F20"/>
          <w:spacing w:val="-4"/>
          <w:w w:val="110"/>
          <w:sz w:val="19"/>
        </w:rPr>
        <w:t>Flows</w:t>
      </w:r>
    </w:p>
    <w:p>
      <w:pPr>
        <w:pStyle w:val="BodyText"/>
        <w:rPr>
          <w:rFonts w:ascii="Arial"/>
          <w:sz w:val="20"/>
        </w:rPr>
      </w:pPr>
    </w:p>
    <w:p>
      <w:pPr>
        <w:pStyle w:val="BodyText"/>
        <w:rPr>
          <w:rFonts w:ascii="Arial"/>
          <w:sz w:val="20"/>
        </w:rPr>
      </w:pPr>
    </w:p>
    <w:p>
      <w:pPr>
        <w:pStyle w:val="BodyText"/>
        <w:spacing w:before="4"/>
        <w:rPr>
          <w:rFonts w:ascii="Arial"/>
          <w:sz w:val="17"/>
        </w:rPr>
      </w:pPr>
    </w:p>
    <w:p>
      <w:pPr>
        <w:pStyle w:val="Heading6"/>
        <w:spacing w:before="1"/>
        <w:rPr>
          <w:i/>
        </w:rPr>
      </w:pPr>
      <w:r>
        <w:rPr>
          <w:i/>
          <w:color w:val="231F20"/>
          <w:w w:val="110"/>
        </w:rPr>
        <w:t>THE</w:t>
      </w:r>
      <w:r>
        <w:rPr>
          <w:i/>
          <w:color w:val="231F20"/>
          <w:spacing w:val="70"/>
          <w:w w:val="110"/>
        </w:rPr>
        <w:t> </w:t>
      </w:r>
      <w:r>
        <w:rPr>
          <w:i/>
          <w:color w:val="231F20"/>
          <w:w w:val="110"/>
        </w:rPr>
        <w:t>BALANCE</w:t>
      </w:r>
      <w:r>
        <w:rPr>
          <w:i/>
          <w:color w:val="231F20"/>
          <w:spacing w:val="70"/>
          <w:w w:val="110"/>
        </w:rPr>
        <w:t> </w:t>
      </w:r>
      <w:r>
        <w:rPr>
          <w:i/>
          <w:color w:val="231F20"/>
          <w:spacing w:val="8"/>
          <w:w w:val="110"/>
        </w:rPr>
        <w:t>SHEET</w:t>
      </w:r>
    </w:p>
    <w:p>
      <w:pPr>
        <w:pStyle w:val="BodyText"/>
        <w:spacing w:before="11"/>
        <w:rPr>
          <w:b/>
          <w:i/>
          <w:sz w:val="31"/>
        </w:rPr>
      </w:pPr>
    </w:p>
    <w:p>
      <w:pPr>
        <w:spacing w:before="0"/>
        <w:ind w:left="1260" w:right="0" w:firstLine="0"/>
        <w:jc w:val="left"/>
        <w:rPr>
          <w:rFonts w:ascii="Arial"/>
          <w:i/>
          <w:sz w:val="19"/>
        </w:rPr>
      </w:pPr>
      <w:r>
        <w:rPr>
          <w:rFonts w:ascii="Arial"/>
          <w:i/>
          <w:color w:val="231F20"/>
          <w:spacing w:val="-2"/>
          <w:w w:val="115"/>
          <w:sz w:val="19"/>
        </w:rPr>
        <w:t>Definitions</w:t>
      </w:r>
    </w:p>
    <w:p>
      <w:pPr>
        <w:pStyle w:val="BodyText"/>
        <w:spacing w:before="60"/>
        <w:ind w:left="835" w:right="666"/>
        <w:jc w:val="right"/>
      </w:pPr>
      <w:r>
        <w:rPr>
          <w:color w:val="231F20"/>
        </w:rPr>
        <w:t>To</w:t>
      </w:r>
      <w:r>
        <w:rPr>
          <w:color w:val="231F20"/>
          <w:spacing w:val="31"/>
        </w:rPr>
        <w:t> </w:t>
      </w:r>
      <w:r>
        <w:rPr>
          <w:color w:val="231F20"/>
        </w:rPr>
        <w:t>set</w:t>
      </w:r>
      <w:r>
        <w:rPr>
          <w:color w:val="231F20"/>
          <w:spacing w:val="31"/>
        </w:rPr>
        <w:t> </w:t>
      </w:r>
      <w:r>
        <w:rPr>
          <w:color w:val="231F20"/>
        </w:rPr>
        <w:t>the</w:t>
      </w:r>
      <w:r>
        <w:rPr>
          <w:color w:val="231F20"/>
          <w:spacing w:val="32"/>
        </w:rPr>
        <w:t> </w:t>
      </w:r>
      <w:r>
        <w:rPr>
          <w:color w:val="231F20"/>
        </w:rPr>
        <w:t>stage</w:t>
      </w:r>
      <w:r>
        <w:rPr>
          <w:color w:val="231F20"/>
          <w:spacing w:val="31"/>
        </w:rPr>
        <w:t> </w:t>
      </w:r>
      <w:r>
        <w:rPr>
          <w:color w:val="231F20"/>
        </w:rPr>
        <w:t>you</w:t>
      </w:r>
      <w:r>
        <w:rPr>
          <w:color w:val="231F20"/>
          <w:spacing w:val="31"/>
        </w:rPr>
        <w:t> </w:t>
      </w:r>
      <w:r>
        <w:rPr>
          <w:color w:val="231F20"/>
        </w:rPr>
        <w:t>need</w:t>
      </w:r>
      <w:r>
        <w:rPr>
          <w:color w:val="231F20"/>
          <w:spacing w:val="32"/>
        </w:rPr>
        <w:t> </w:t>
      </w:r>
      <w:r>
        <w:rPr>
          <w:color w:val="231F20"/>
        </w:rPr>
        <w:t>to</w:t>
      </w:r>
      <w:r>
        <w:rPr>
          <w:color w:val="231F20"/>
          <w:spacing w:val="31"/>
        </w:rPr>
        <w:t> </w:t>
      </w:r>
      <w:r>
        <w:rPr>
          <w:color w:val="231F20"/>
        </w:rPr>
        <w:t>know</w:t>
      </w:r>
      <w:r>
        <w:rPr>
          <w:color w:val="231F20"/>
          <w:spacing w:val="31"/>
        </w:rPr>
        <w:t> </w:t>
      </w:r>
      <w:r>
        <w:rPr>
          <w:color w:val="231F20"/>
        </w:rPr>
        <w:t>the</w:t>
      </w:r>
      <w:r>
        <w:rPr>
          <w:color w:val="231F20"/>
          <w:spacing w:val="32"/>
        </w:rPr>
        <w:t> </w:t>
      </w:r>
      <w:r>
        <w:rPr>
          <w:color w:val="231F20"/>
        </w:rPr>
        <w:t>basic</w:t>
      </w:r>
      <w:r>
        <w:rPr>
          <w:color w:val="231F20"/>
          <w:spacing w:val="31"/>
        </w:rPr>
        <w:t> </w:t>
      </w:r>
      <w:r>
        <w:rPr>
          <w:color w:val="231F20"/>
        </w:rPr>
        <w:t>vocabulary</w:t>
      </w:r>
      <w:r>
        <w:rPr>
          <w:color w:val="231F20"/>
          <w:spacing w:val="31"/>
        </w:rPr>
        <w:t> </w:t>
      </w:r>
      <w:r>
        <w:rPr>
          <w:color w:val="231F20"/>
        </w:rPr>
        <w:t>of</w:t>
      </w:r>
      <w:r>
        <w:rPr>
          <w:color w:val="231F20"/>
          <w:spacing w:val="32"/>
        </w:rPr>
        <w:t> </w:t>
      </w:r>
      <w:r>
        <w:rPr>
          <w:color w:val="231F20"/>
          <w:spacing w:val="-5"/>
        </w:rPr>
        <w:t>the</w:t>
      </w:r>
    </w:p>
    <w:p>
      <w:pPr>
        <w:spacing w:before="54"/>
        <w:ind w:left="835" w:right="668" w:firstLine="0"/>
        <w:jc w:val="right"/>
        <w:rPr>
          <w:sz w:val="21"/>
        </w:rPr>
      </w:pPr>
      <w:r>
        <w:rPr>
          <w:i/>
          <w:color w:val="231F20"/>
          <w:sz w:val="21"/>
        </w:rPr>
        <w:t>balance</w:t>
      </w:r>
      <w:r>
        <w:rPr>
          <w:i/>
          <w:color w:val="231F20"/>
          <w:spacing w:val="48"/>
          <w:sz w:val="21"/>
        </w:rPr>
        <w:t> </w:t>
      </w:r>
      <w:r>
        <w:rPr>
          <w:i/>
          <w:color w:val="231F20"/>
          <w:sz w:val="21"/>
        </w:rPr>
        <w:t>sheet.</w:t>
      </w:r>
      <w:r>
        <w:rPr>
          <w:i/>
          <w:color w:val="231F20"/>
          <w:spacing w:val="49"/>
          <w:sz w:val="21"/>
        </w:rPr>
        <w:t> </w:t>
      </w:r>
      <w:r>
        <w:rPr>
          <w:color w:val="231F20"/>
          <w:sz w:val="21"/>
        </w:rPr>
        <w:t>The</w:t>
      </w:r>
      <w:r>
        <w:rPr>
          <w:color w:val="231F20"/>
          <w:spacing w:val="48"/>
          <w:sz w:val="21"/>
        </w:rPr>
        <w:t> </w:t>
      </w:r>
      <w:r>
        <w:rPr>
          <w:color w:val="231F20"/>
          <w:sz w:val="21"/>
        </w:rPr>
        <w:t>balance</w:t>
      </w:r>
      <w:r>
        <w:rPr>
          <w:color w:val="231F20"/>
          <w:spacing w:val="49"/>
          <w:sz w:val="21"/>
        </w:rPr>
        <w:t> </w:t>
      </w:r>
      <w:r>
        <w:rPr>
          <w:color w:val="231F20"/>
          <w:sz w:val="21"/>
        </w:rPr>
        <w:t>sheet</w:t>
      </w:r>
      <w:r>
        <w:rPr>
          <w:color w:val="231F20"/>
          <w:spacing w:val="48"/>
          <w:sz w:val="21"/>
        </w:rPr>
        <w:t> </w:t>
      </w:r>
      <w:r>
        <w:rPr>
          <w:color w:val="231F20"/>
          <w:sz w:val="21"/>
        </w:rPr>
        <w:t>presents</w:t>
      </w:r>
      <w:r>
        <w:rPr>
          <w:color w:val="231F20"/>
          <w:spacing w:val="49"/>
          <w:sz w:val="21"/>
        </w:rPr>
        <w:t> </w:t>
      </w:r>
      <w:r>
        <w:rPr>
          <w:color w:val="231F20"/>
          <w:sz w:val="21"/>
        </w:rPr>
        <w:t>the</w:t>
      </w:r>
      <w:r>
        <w:rPr>
          <w:color w:val="231F20"/>
          <w:spacing w:val="48"/>
          <w:sz w:val="21"/>
        </w:rPr>
        <w:t> </w:t>
      </w:r>
      <w:r>
        <w:rPr>
          <w:i/>
          <w:color w:val="231F20"/>
          <w:sz w:val="21"/>
        </w:rPr>
        <w:t>assets</w:t>
      </w:r>
      <w:r>
        <w:rPr>
          <w:i/>
          <w:color w:val="231F20"/>
          <w:spacing w:val="49"/>
          <w:sz w:val="21"/>
        </w:rPr>
        <w:t> </w:t>
      </w:r>
      <w:r>
        <w:rPr>
          <w:color w:val="231F20"/>
          <w:sz w:val="21"/>
        </w:rPr>
        <w:t>owned</w:t>
      </w:r>
      <w:r>
        <w:rPr>
          <w:color w:val="231F20"/>
          <w:spacing w:val="48"/>
          <w:sz w:val="21"/>
        </w:rPr>
        <w:t> </w:t>
      </w:r>
      <w:r>
        <w:rPr>
          <w:color w:val="231F20"/>
          <w:sz w:val="21"/>
        </w:rPr>
        <w:t>by</w:t>
      </w:r>
      <w:r>
        <w:rPr>
          <w:color w:val="231F20"/>
          <w:spacing w:val="49"/>
          <w:sz w:val="21"/>
        </w:rPr>
        <w:t> </w:t>
      </w:r>
      <w:r>
        <w:rPr>
          <w:color w:val="231F20"/>
          <w:spacing w:val="-10"/>
          <w:sz w:val="21"/>
        </w:rPr>
        <w:t>a</w:t>
      </w:r>
    </w:p>
    <w:p>
      <w:pPr>
        <w:spacing w:after="0"/>
        <w:jc w:val="right"/>
        <w:rPr>
          <w:sz w:val="21"/>
        </w:rPr>
        <w:sectPr>
          <w:pgSz w:w="8640" w:h="12960"/>
          <w:pgMar w:header="734" w:footer="0" w:top="920" w:bottom="280" w:left="340" w:right="500"/>
        </w:sectPr>
      </w:pPr>
    </w:p>
    <w:p>
      <w:pPr>
        <w:pStyle w:val="BodyText"/>
        <w:spacing w:before="6"/>
        <w:rPr>
          <w:sz w:val="19"/>
        </w:rPr>
      </w:pPr>
    </w:p>
    <w:p>
      <w:pPr>
        <w:pStyle w:val="BodyText"/>
        <w:spacing w:line="292" w:lineRule="auto" w:before="102"/>
        <w:ind w:left="830" w:right="756"/>
        <w:jc w:val="both"/>
      </w:pPr>
      <w:r>
        <w:rPr>
          <w:color w:val="231F20"/>
        </w:rPr>
        <w:t>company, the </w:t>
      </w:r>
      <w:r>
        <w:rPr>
          <w:i/>
          <w:color w:val="231F20"/>
        </w:rPr>
        <w:t>liabilities </w:t>
      </w:r>
      <w:r>
        <w:rPr>
          <w:color w:val="231F20"/>
        </w:rPr>
        <w:t>owed to others, and the accumulated invest- ment of its owners. The balance sheet shows these </w:t>
      </w:r>
      <w:r>
        <w:rPr>
          <w:i/>
          <w:color w:val="231F20"/>
        </w:rPr>
        <w:t>balances </w:t>
      </w:r>
      <w:r>
        <w:rPr>
          <w:color w:val="231F20"/>
        </w:rPr>
        <w:t>as of a specific date. It is a snapshot of a company’s holdings at a given </w:t>
      </w:r>
      <w:r>
        <w:rPr>
          <w:color w:val="231F20"/>
        </w:rPr>
        <w:t>time. The balance sheet is the foundation for all accounting records, and you must be familiar with it. The following are the components of balance sheets.</w:t>
      </w:r>
    </w:p>
    <w:p>
      <w:pPr>
        <w:pStyle w:val="BodyText"/>
        <w:spacing w:line="292" w:lineRule="auto"/>
        <w:ind w:left="830" w:right="756" w:firstLine="340"/>
        <w:jc w:val="both"/>
      </w:pPr>
      <w:r>
        <w:rPr>
          <w:i/>
          <w:color w:val="231F20"/>
        </w:rPr>
        <w:t>Assets </w:t>
      </w:r>
      <w:r>
        <w:rPr>
          <w:color w:val="231F20"/>
        </w:rPr>
        <w:t>are the resources that the company possesses for the </w:t>
      </w:r>
      <w:r>
        <w:rPr>
          <w:color w:val="231F20"/>
        </w:rPr>
        <w:t>fu- ture benefit of the business.</w:t>
      </w:r>
    </w:p>
    <w:p>
      <w:pPr>
        <w:pStyle w:val="BodyText"/>
        <w:spacing w:before="1"/>
        <w:rPr>
          <w:sz w:val="22"/>
        </w:rPr>
      </w:pPr>
    </w:p>
    <w:p>
      <w:pPr>
        <w:pStyle w:val="ListParagraph"/>
        <w:numPr>
          <w:ilvl w:val="0"/>
          <w:numId w:val="13"/>
        </w:numPr>
        <w:tabs>
          <w:tab w:pos="1356" w:val="left" w:leader="none"/>
        </w:tabs>
        <w:spacing w:line="240" w:lineRule="auto" w:before="0" w:after="0"/>
        <w:ind w:left="1355" w:right="0" w:hanging="186"/>
        <w:jc w:val="left"/>
        <w:rPr>
          <w:sz w:val="19"/>
        </w:rPr>
      </w:pPr>
      <w:r>
        <w:rPr>
          <w:color w:val="231F20"/>
          <w:spacing w:val="-4"/>
          <w:w w:val="105"/>
          <w:sz w:val="19"/>
        </w:rPr>
        <w:t>Cash</w:t>
      </w:r>
    </w:p>
    <w:p>
      <w:pPr>
        <w:pStyle w:val="ListParagraph"/>
        <w:numPr>
          <w:ilvl w:val="0"/>
          <w:numId w:val="13"/>
        </w:numPr>
        <w:tabs>
          <w:tab w:pos="1356" w:val="left" w:leader="none"/>
        </w:tabs>
        <w:spacing w:line="240" w:lineRule="auto" w:before="81" w:after="0"/>
        <w:ind w:left="1355" w:right="0" w:hanging="186"/>
        <w:jc w:val="left"/>
        <w:rPr>
          <w:sz w:val="19"/>
        </w:rPr>
      </w:pPr>
      <w:r>
        <w:rPr>
          <w:color w:val="231F20"/>
          <w:spacing w:val="-2"/>
          <w:w w:val="115"/>
          <w:sz w:val="19"/>
        </w:rPr>
        <w:t>Inventory</w:t>
      </w:r>
    </w:p>
    <w:p>
      <w:pPr>
        <w:pStyle w:val="ListParagraph"/>
        <w:numPr>
          <w:ilvl w:val="0"/>
          <w:numId w:val="13"/>
        </w:numPr>
        <w:tabs>
          <w:tab w:pos="1356" w:val="left" w:leader="none"/>
        </w:tabs>
        <w:spacing w:line="240" w:lineRule="auto" w:before="82" w:after="0"/>
        <w:ind w:left="1355" w:right="0" w:hanging="186"/>
        <w:jc w:val="left"/>
        <w:rPr>
          <w:i/>
          <w:sz w:val="19"/>
        </w:rPr>
      </w:pPr>
      <w:r>
        <w:rPr>
          <w:color w:val="231F20"/>
          <w:w w:val="110"/>
          <w:sz w:val="19"/>
        </w:rPr>
        <w:t>Customers</w:t>
      </w:r>
      <w:r>
        <w:rPr>
          <w:color w:val="231F20"/>
          <w:spacing w:val="-1"/>
          <w:w w:val="110"/>
          <w:sz w:val="19"/>
        </w:rPr>
        <w:t> </w:t>
      </w:r>
      <w:r>
        <w:rPr>
          <w:color w:val="231F20"/>
          <w:w w:val="110"/>
          <w:sz w:val="19"/>
        </w:rPr>
        <w:t>receivables—</w:t>
      </w:r>
      <w:r>
        <w:rPr>
          <w:color w:val="231F20"/>
          <w:spacing w:val="-38"/>
          <w:w w:val="110"/>
          <w:sz w:val="19"/>
        </w:rPr>
        <w:t> </w:t>
      </w:r>
      <w:r>
        <w:rPr>
          <w:i/>
          <w:color w:val="231F20"/>
          <w:w w:val="110"/>
          <w:sz w:val="19"/>
        </w:rPr>
        <w:t>accounts</w:t>
      </w:r>
      <w:r>
        <w:rPr>
          <w:i/>
          <w:color w:val="231F20"/>
          <w:spacing w:val="-1"/>
          <w:w w:val="110"/>
          <w:sz w:val="19"/>
        </w:rPr>
        <w:t> </w:t>
      </w:r>
      <w:r>
        <w:rPr>
          <w:i/>
          <w:color w:val="231F20"/>
          <w:spacing w:val="-2"/>
          <w:w w:val="110"/>
          <w:sz w:val="19"/>
        </w:rPr>
        <w:t>receivable</w:t>
      </w:r>
    </w:p>
    <w:p>
      <w:pPr>
        <w:pStyle w:val="ListParagraph"/>
        <w:numPr>
          <w:ilvl w:val="0"/>
          <w:numId w:val="13"/>
        </w:numPr>
        <w:tabs>
          <w:tab w:pos="1356" w:val="left" w:leader="none"/>
        </w:tabs>
        <w:spacing w:line="240" w:lineRule="auto" w:before="81" w:after="0"/>
        <w:ind w:left="1355" w:right="0" w:hanging="186"/>
        <w:jc w:val="left"/>
        <w:rPr>
          <w:sz w:val="19"/>
        </w:rPr>
      </w:pPr>
      <w:r>
        <w:rPr>
          <w:color w:val="231F20"/>
          <w:spacing w:val="-2"/>
          <w:w w:val="115"/>
          <w:sz w:val="19"/>
        </w:rPr>
        <w:t>Equipment</w:t>
      </w:r>
    </w:p>
    <w:p>
      <w:pPr>
        <w:pStyle w:val="ListParagraph"/>
        <w:numPr>
          <w:ilvl w:val="0"/>
          <w:numId w:val="13"/>
        </w:numPr>
        <w:tabs>
          <w:tab w:pos="1356" w:val="left" w:leader="none"/>
        </w:tabs>
        <w:spacing w:line="240" w:lineRule="auto" w:before="82" w:after="0"/>
        <w:ind w:left="1355" w:right="0" w:hanging="186"/>
        <w:jc w:val="left"/>
        <w:rPr>
          <w:sz w:val="19"/>
        </w:rPr>
      </w:pPr>
      <w:r>
        <w:rPr>
          <w:color w:val="231F20"/>
          <w:spacing w:val="-2"/>
          <w:w w:val="115"/>
          <w:sz w:val="19"/>
        </w:rPr>
        <w:t>Buildings</w:t>
      </w:r>
    </w:p>
    <w:p>
      <w:pPr>
        <w:pStyle w:val="BodyText"/>
        <w:spacing w:before="1"/>
        <w:rPr>
          <w:rFonts w:ascii="Arial"/>
          <w:sz w:val="26"/>
        </w:rPr>
      </w:pPr>
    </w:p>
    <w:p>
      <w:pPr>
        <w:pStyle w:val="BodyText"/>
        <w:spacing w:line="292" w:lineRule="auto"/>
        <w:ind w:left="829" w:right="754" w:firstLine="340"/>
        <w:jc w:val="both"/>
      </w:pPr>
      <w:r>
        <w:rPr>
          <w:i/>
          <w:color w:val="231F20"/>
        </w:rPr>
        <w:t>Liabilities </w:t>
      </w:r>
      <w:r>
        <w:rPr>
          <w:color w:val="231F20"/>
        </w:rPr>
        <w:t>are dollar-specific obligations to repay borrowing, debts, and other obligations to provide goods or services to others.</w:t>
      </w:r>
    </w:p>
    <w:p>
      <w:pPr>
        <w:pStyle w:val="BodyText"/>
        <w:spacing w:before="2"/>
        <w:rPr>
          <w:sz w:val="22"/>
        </w:rPr>
      </w:pPr>
    </w:p>
    <w:p>
      <w:pPr>
        <w:pStyle w:val="ListParagraph"/>
        <w:numPr>
          <w:ilvl w:val="0"/>
          <w:numId w:val="13"/>
        </w:numPr>
        <w:tabs>
          <w:tab w:pos="1356" w:val="left" w:leader="none"/>
        </w:tabs>
        <w:spacing w:line="240" w:lineRule="auto" w:before="1" w:after="0"/>
        <w:ind w:left="1355" w:right="0" w:hanging="186"/>
        <w:jc w:val="left"/>
        <w:rPr>
          <w:sz w:val="19"/>
        </w:rPr>
      </w:pPr>
      <w:r>
        <w:rPr>
          <w:color w:val="231F20"/>
          <w:w w:val="110"/>
          <w:sz w:val="19"/>
        </w:rPr>
        <w:t>Bank</w:t>
      </w:r>
      <w:r>
        <w:rPr>
          <w:color w:val="231F20"/>
          <w:spacing w:val="-7"/>
          <w:w w:val="110"/>
          <w:sz w:val="19"/>
        </w:rPr>
        <w:t> </w:t>
      </w:r>
      <w:r>
        <w:rPr>
          <w:color w:val="231F20"/>
          <w:spacing w:val="-4"/>
          <w:w w:val="115"/>
          <w:sz w:val="19"/>
        </w:rPr>
        <w:t>debt</w:t>
      </w:r>
    </w:p>
    <w:p>
      <w:pPr>
        <w:pStyle w:val="ListParagraph"/>
        <w:numPr>
          <w:ilvl w:val="0"/>
          <w:numId w:val="13"/>
        </w:numPr>
        <w:tabs>
          <w:tab w:pos="1356" w:val="left" w:leader="none"/>
        </w:tabs>
        <w:spacing w:line="240" w:lineRule="auto" w:before="81" w:after="0"/>
        <w:ind w:left="1355" w:right="0" w:hanging="186"/>
        <w:jc w:val="left"/>
        <w:rPr>
          <w:i/>
          <w:sz w:val="19"/>
        </w:rPr>
      </w:pPr>
      <w:r>
        <w:rPr>
          <w:color w:val="231F20"/>
          <w:w w:val="110"/>
          <w:sz w:val="19"/>
        </w:rPr>
        <w:t>Amounts</w:t>
      </w:r>
      <w:r>
        <w:rPr>
          <w:color w:val="231F20"/>
          <w:spacing w:val="18"/>
          <w:w w:val="110"/>
          <w:sz w:val="19"/>
        </w:rPr>
        <w:t> </w:t>
      </w:r>
      <w:r>
        <w:rPr>
          <w:color w:val="231F20"/>
          <w:w w:val="110"/>
          <w:sz w:val="19"/>
        </w:rPr>
        <w:t>owed</w:t>
      </w:r>
      <w:r>
        <w:rPr>
          <w:color w:val="231F20"/>
          <w:spacing w:val="19"/>
          <w:w w:val="110"/>
          <w:sz w:val="19"/>
        </w:rPr>
        <w:t> </w:t>
      </w:r>
      <w:r>
        <w:rPr>
          <w:color w:val="231F20"/>
          <w:w w:val="110"/>
          <w:sz w:val="19"/>
        </w:rPr>
        <w:t>to</w:t>
      </w:r>
      <w:r>
        <w:rPr>
          <w:color w:val="231F20"/>
          <w:spacing w:val="19"/>
          <w:w w:val="110"/>
          <w:sz w:val="19"/>
        </w:rPr>
        <w:t> </w:t>
      </w:r>
      <w:r>
        <w:rPr>
          <w:color w:val="231F20"/>
          <w:w w:val="110"/>
          <w:sz w:val="19"/>
        </w:rPr>
        <w:t>suppliers—</w:t>
      </w:r>
      <w:r>
        <w:rPr>
          <w:color w:val="231F20"/>
          <w:spacing w:val="-31"/>
          <w:w w:val="110"/>
          <w:sz w:val="19"/>
        </w:rPr>
        <w:t> </w:t>
      </w:r>
      <w:r>
        <w:rPr>
          <w:i/>
          <w:color w:val="231F20"/>
          <w:w w:val="110"/>
          <w:sz w:val="19"/>
        </w:rPr>
        <w:t>accounts</w:t>
      </w:r>
      <w:r>
        <w:rPr>
          <w:i/>
          <w:color w:val="231F20"/>
          <w:spacing w:val="19"/>
          <w:w w:val="110"/>
          <w:sz w:val="19"/>
        </w:rPr>
        <w:t> </w:t>
      </w:r>
      <w:r>
        <w:rPr>
          <w:i/>
          <w:color w:val="231F20"/>
          <w:spacing w:val="-2"/>
          <w:w w:val="110"/>
          <w:sz w:val="19"/>
        </w:rPr>
        <w:t>payable</w:t>
      </w:r>
    </w:p>
    <w:p>
      <w:pPr>
        <w:pStyle w:val="ListParagraph"/>
        <w:numPr>
          <w:ilvl w:val="0"/>
          <w:numId w:val="13"/>
        </w:numPr>
        <w:tabs>
          <w:tab w:pos="1356" w:val="left" w:leader="none"/>
        </w:tabs>
        <w:spacing w:line="328" w:lineRule="auto" w:before="82" w:after="0"/>
        <w:ind w:left="1355" w:right="754" w:hanging="186"/>
        <w:jc w:val="left"/>
        <w:rPr>
          <w:sz w:val="19"/>
        </w:rPr>
      </w:pPr>
      <w:r>
        <w:rPr>
          <w:color w:val="231F20"/>
          <w:w w:val="115"/>
          <w:sz w:val="19"/>
        </w:rPr>
        <w:t>Prepaid accounts or advances from customers to deliver goods and services</w:t>
      </w:r>
    </w:p>
    <w:p>
      <w:pPr>
        <w:pStyle w:val="ListParagraph"/>
        <w:numPr>
          <w:ilvl w:val="0"/>
          <w:numId w:val="13"/>
        </w:numPr>
        <w:tabs>
          <w:tab w:pos="1356" w:val="left" w:leader="none"/>
        </w:tabs>
        <w:spacing w:line="240" w:lineRule="auto" w:before="1" w:after="0"/>
        <w:ind w:left="1355" w:right="0" w:hanging="186"/>
        <w:jc w:val="left"/>
        <w:rPr>
          <w:sz w:val="19"/>
        </w:rPr>
      </w:pPr>
      <w:r>
        <w:rPr>
          <w:color w:val="231F20"/>
          <w:spacing w:val="-4"/>
          <w:w w:val="105"/>
          <w:sz w:val="19"/>
        </w:rPr>
        <w:t>Taxes</w:t>
      </w:r>
      <w:r>
        <w:rPr>
          <w:color w:val="231F20"/>
          <w:spacing w:val="-8"/>
          <w:w w:val="105"/>
          <w:sz w:val="19"/>
        </w:rPr>
        <w:t> </w:t>
      </w:r>
      <w:r>
        <w:rPr>
          <w:color w:val="231F20"/>
          <w:spacing w:val="-4"/>
          <w:w w:val="110"/>
          <w:sz w:val="19"/>
        </w:rPr>
        <w:t>owed</w:t>
      </w:r>
    </w:p>
    <w:p>
      <w:pPr>
        <w:pStyle w:val="ListParagraph"/>
        <w:numPr>
          <w:ilvl w:val="0"/>
          <w:numId w:val="13"/>
        </w:numPr>
        <w:tabs>
          <w:tab w:pos="1356" w:val="left" w:leader="none"/>
        </w:tabs>
        <w:spacing w:line="240" w:lineRule="auto" w:before="82" w:after="0"/>
        <w:ind w:left="1355" w:right="0" w:hanging="186"/>
        <w:jc w:val="left"/>
        <w:rPr>
          <w:sz w:val="19"/>
        </w:rPr>
      </w:pPr>
      <w:r>
        <w:rPr>
          <w:color w:val="231F20"/>
          <w:w w:val="115"/>
          <w:sz w:val="19"/>
        </w:rPr>
        <w:t>Wages</w:t>
      </w:r>
      <w:r>
        <w:rPr>
          <w:color w:val="231F20"/>
          <w:spacing w:val="-15"/>
          <w:w w:val="115"/>
          <w:sz w:val="19"/>
        </w:rPr>
        <w:t> </w:t>
      </w:r>
      <w:r>
        <w:rPr>
          <w:color w:val="231F20"/>
          <w:w w:val="115"/>
          <w:sz w:val="19"/>
        </w:rPr>
        <w:t>owed</w:t>
      </w:r>
      <w:r>
        <w:rPr>
          <w:color w:val="231F20"/>
          <w:spacing w:val="-15"/>
          <w:w w:val="115"/>
          <w:sz w:val="19"/>
        </w:rPr>
        <w:t> </w:t>
      </w:r>
      <w:r>
        <w:rPr>
          <w:color w:val="231F20"/>
          <w:w w:val="115"/>
          <w:sz w:val="19"/>
        </w:rPr>
        <w:t>to</w:t>
      </w:r>
      <w:r>
        <w:rPr>
          <w:color w:val="231F20"/>
          <w:spacing w:val="-15"/>
          <w:w w:val="115"/>
          <w:sz w:val="19"/>
        </w:rPr>
        <w:t> </w:t>
      </w:r>
      <w:r>
        <w:rPr>
          <w:color w:val="231F20"/>
          <w:spacing w:val="-2"/>
          <w:w w:val="115"/>
          <w:sz w:val="19"/>
        </w:rPr>
        <w:t>employees</w:t>
      </w:r>
    </w:p>
    <w:p>
      <w:pPr>
        <w:pStyle w:val="BodyText"/>
        <w:spacing w:before="1"/>
        <w:rPr>
          <w:rFonts w:ascii="Arial"/>
          <w:sz w:val="26"/>
        </w:rPr>
      </w:pPr>
    </w:p>
    <w:p>
      <w:pPr>
        <w:pStyle w:val="BodyText"/>
        <w:spacing w:line="292" w:lineRule="auto"/>
        <w:ind w:left="829" w:right="759" w:firstLine="340"/>
        <w:jc w:val="both"/>
      </w:pPr>
      <w:r>
        <w:rPr>
          <w:i/>
          <w:color w:val="231F20"/>
        </w:rPr>
        <w:t>Owners’ equity </w:t>
      </w:r>
      <w:r>
        <w:rPr>
          <w:color w:val="231F20"/>
        </w:rPr>
        <w:t>is the accumulated dollar measure of the owners’ investment</w:t>
      </w:r>
      <w:r>
        <w:rPr>
          <w:color w:val="231F20"/>
          <w:spacing w:val="-12"/>
        </w:rPr>
        <w:t> </w:t>
      </w:r>
      <w:r>
        <w:rPr>
          <w:color w:val="231F20"/>
        </w:rPr>
        <w:t>in</w:t>
      </w:r>
      <w:r>
        <w:rPr>
          <w:color w:val="231F20"/>
          <w:spacing w:val="-12"/>
        </w:rPr>
        <w:t> </w:t>
      </w:r>
      <w:r>
        <w:rPr>
          <w:color w:val="231F20"/>
        </w:rPr>
        <w:t>the</w:t>
      </w:r>
      <w:r>
        <w:rPr>
          <w:color w:val="231F20"/>
          <w:spacing w:val="-11"/>
        </w:rPr>
        <w:t> </w:t>
      </w:r>
      <w:r>
        <w:rPr>
          <w:color w:val="231F20"/>
        </w:rPr>
        <w:t>company.</w:t>
      </w:r>
      <w:r>
        <w:rPr>
          <w:color w:val="231F20"/>
          <w:spacing w:val="-12"/>
        </w:rPr>
        <w:t> </w:t>
      </w:r>
      <w:r>
        <w:rPr>
          <w:color w:val="231F20"/>
        </w:rPr>
        <w:t>Their</w:t>
      </w:r>
      <w:r>
        <w:rPr>
          <w:color w:val="231F20"/>
          <w:spacing w:val="-11"/>
        </w:rPr>
        <w:t> </w:t>
      </w:r>
      <w:r>
        <w:rPr>
          <w:color w:val="231F20"/>
        </w:rPr>
        <w:t>investment</w:t>
      </w:r>
      <w:r>
        <w:rPr>
          <w:color w:val="231F20"/>
          <w:spacing w:val="-12"/>
        </w:rPr>
        <w:t> </w:t>
      </w:r>
      <w:r>
        <w:rPr>
          <w:color w:val="231F20"/>
        </w:rPr>
        <w:t>can</w:t>
      </w:r>
      <w:r>
        <w:rPr>
          <w:color w:val="231F20"/>
          <w:spacing w:val="-11"/>
        </w:rPr>
        <w:t> </w:t>
      </w:r>
      <w:r>
        <w:rPr>
          <w:color w:val="231F20"/>
        </w:rPr>
        <w:t>be</w:t>
      </w:r>
      <w:r>
        <w:rPr>
          <w:color w:val="231F20"/>
          <w:spacing w:val="-12"/>
        </w:rPr>
        <w:t> </w:t>
      </w:r>
      <w:r>
        <w:rPr>
          <w:color w:val="231F20"/>
        </w:rPr>
        <w:t>either</w:t>
      </w:r>
      <w:r>
        <w:rPr>
          <w:color w:val="231F20"/>
          <w:spacing w:val="-12"/>
        </w:rPr>
        <w:t> </w:t>
      </w:r>
      <w:r>
        <w:rPr>
          <w:color w:val="231F20"/>
        </w:rPr>
        <w:t>in</w:t>
      </w:r>
      <w:r>
        <w:rPr>
          <w:color w:val="231F20"/>
          <w:spacing w:val="-11"/>
        </w:rPr>
        <w:t> </w:t>
      </w:r>
      <w:r>
        <w:rPr>
          <w:color w:val="231F20"/>
        </w:rPr>
        <w:t>the</w:t>
      </w:r>
      <w:r>
        <w:rPr>
          <w:color w:val="231F20"/>
          <w:spacing w:val="-12"/>
        </w:rPr>
        <w:t> </w:t>
      </w:r>
      <w:r>
        <w:rPr>
          <w:color w:val="231F20"/>
        </w:rPr>
        <w:t>form of</w:t>
      </w:r>
      <w:r>
        <w:rPr>
          <w:color w:val="231F20"/>
          <w:spacing w:val="-1"/>
        </w:rPr>
        <w:t> </w:t>
      </w:r>
      <w:r>
        <w:rPr>
          <w:color w:val="231F20"/>
        </w:rPr>
        <w:t>cash,</w:t>
      </w:r>
      <w:r>
        <w:rPr>
          <w:color w:val="231F20"/>
          <w:spacing w:val="-1"/>
        </w:rPr>
        <w:t> </w:t>
      </w:r>
      <w:r>
        <w:rPr>
          <w:color w:val="231F20"/>
        </w:rPr>
        <w:t>other</w:t>
      </w:r>
      <w:r>
        <w:rPr>
          <w:color w:val="231F20"/>
          <w:spacing w:val="-1"/>
        </w:rPr>
        <w:t> </w:t>
      </w:r>
      <w:r>
        <w:rPr>
          <w:color w:val="231F20"/>
        </w:rPr>
        <w:t>assets,</w:t>
      </w:r>
      <w:r>
        <w:rPr>
          <w:color w:val="231F20"/>
          <w:spacing w:val="-1"/>
        </w:rPr>
        <w:t> </w:t>
      </w:r>
      <w:r>
        <w:rPr>
          <w:color w:val="231F20"/>
        </w:rPr>
        <w:t>or</w:t>
      </w:r>
      <w:r>
        <w:rPr>
          <w:color w:val="231F20"/>
          <w:spacing w:val="-1"/>
        </w:rPr>
        <w:t> </w:t>
      </w:r>
      <w:r>
        <w:rPr>
          <w:color w:val="231F20"/>
        </w:rPr>
        <w:t>the</w:t>
      </w:r>
      <w:r>
        <w:rPr>
          <w:color w:val="231F20"/>
          <w:spacing w:val="-1"/>
        </w:rPr>
        <w:t> </w:t>
      </w:r>
      <w:r>
        <w:rPr>
          <w:color w:val="231F20"/>
        </w:rPr>
        <w:t>reinvestment</w:t>
      </w:r>
      <w:r>
        <w:rPr>
          <w:color w:val="231F20"/>
          <w:spacing w:val="-1"/>
        </w:rPr>
        <w:t> </w:t>
      </w:r>
      <w:r>
        <w:rPr>
          <w:color w:val="231F20"/>
        </w:rPr>
        <w:t>of</w:t>
      </w:r>
      <w:r>
        <w:rPr>
          <w:color w:val="231F20"/>
          <w:spacing w:val="-1"/>
        </w:rPr>
        <w:t> </w:t>
      </w:r>
      <w:r>
        <w:rPr>
          <w:color w:val="231F20"/>
        </w:rPr>
        <w:t>earnings</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company.</w:t>
      </w:r>
    </w:p>
    <w:p>
      <w:pPr>
        <w:pStyle w:val="BodyText"/>
        <w:spacing w:before="2"/>
        <w:rPr>
          <w:sz w:val="22"/>
        </w:rPr>
      </w:pPr>
    </w:p>
    <w:p>
      <w:pPr>
        <w:pStyle w:val="ListParagraph"/>
        <w:numPr>
          <w:ilvl w:val="0"/>
          <w:numId w:val="13"/>
        </w:numPr>
        <w:tabs>
          <w:tab w:pos="1356" w:val="left" w:leader="none"/>
        </w:tabs>
        <w:spacing w:line="240" w:lineRule="auto" w:before="0" w:after="0"/>
        <w:ind w:left="1355" w:right="0" w:hanging="186"/>
        <w:jc w:val="left"/>
        <w:rPr>
          <w:i/>
          <w:sz w:val="19"/>
        </w:rPr>
      </w:pPr>
      <w:r>
        <w:rPr>
          <w:color w:val="231F20"/>
          <w:w w:val="110"/>
          <w:sz w:val="19"/>
        </w:rPr>
        <w:t>Common</w:t>
      </w:r>
      <w:r>
        <w:rPr>
          <w:color w:val="231F20"/>
          <w:spacing w:val="15"/>
          <w:w w:val="110"/>
          <w:sz w:val="19"/>
        </w:rPr>
        <w:t> </w:t>
      </w:r>
      <w:r>
        <w:rPr>
          <w:color w:val="231F20"/>
          <w:w w:val="110"/>
          <w:sz w:val="19"/>
        </w:rPr>
        <w:t>stock—</w:t>
      </w:r>
      <w:r>
        <w:rPr>
          <w:color w:val="231F20"/>
          <w:spacing w:val="-31"/>
          <w:w w:val="110"/>
          <w:sz w:val="19"/>
        </w:rPr>
        <w:t> </w:t>
      </w:r>
      <w:r>
        <w:rPr>
          <w:i/>
          <w:color w:val="231F20"/>
          <w:w w:val="110"/>
          <w:sz w:val="19"/>
        </w:rPr>
        <w:t>investment</w:t>
      </w:r>
      <w:r>
        <w:rPr>
          <w:i/>
          <w:color w:val="231F20"/>
          <w:spacing w:val="15"/>
          <w:w w:val="110"/>
          <w:sz w:val="19"/>
        </w:rPr>
        <w:t> </w:t>
      </w:r>
      <w:r>
        <w:rPr>
          <w:i/>
          <w:color w:val="231F20"/>
          <w:w w:val="110"/>
          <w:sz w:val="19"/>
        </w:rPr>
        <w:t>by</w:t>
      </w:r>
      <w:r>
        <w:rPr>
          <w:i/>
          <w:color w:val="231F20"/>
          <w:spacing w:val="16"/>
          <w:w w:val="110"/>
          <w:sz w:val="19"/>
        </w:rPr>
        <w:t> </w:t>
      </w:r>
      <w:r>
        <w:rPr>
          <w:i/>
          <w:color w:val="231F20"/>
          <w:spacing w:val="-2"/>
          <w:w w:val="110"/>
          <w:sz w:val="19"/>
        </w:rPr>
        <w:t>owners</w:t>
      </w:r>
    </w:p>
    <w:p>
      <w:pPr>
        <w:pStyle w:val="ListParagraph"/>
        <w:numPr>
          <w:ilvl w:val="0"/>
          <w:numId w:val="13"/>
        </w:numPr>
        <w:tabs>
          <w:tab w:pos="1356" w:val="left" w:leader="none"/>
        </w:tabs>
        <w:spacing w:line="240" w:lineRule="auto" w:before="82" w:after="0"/>
        <w:ind w:left="1355" w:right="0" w:hanging="186"/>
        <w:jc w:val="left"/>
        <w:rPr>
          <w:i/>
          <w:sz w:val="19"/>
        </w:rPr>
      </w:pPr>
      <w:r>
        <w:rPr>
          <w:color w:val="231F20"/>
          <w:w w:val="115"/>
          <w:sz w:val="19"/>
        </w:rPr>
        <w:t>Additional</w:t>
      </w:r>
      <w:r>
        <w:rPr>
          <w:color w:val="231F20"/>
          <w:spacing w:val="-12"/>
          <w:w w:val="115"/>
          <w:sz w:val="19"/>
        </w:rPr>
        <w:t> </w:t>
      </w:r>
      <w:r>
        <w:rPr>
          <w:color w:val="231F20"/>
          <w:w w:val="115"/>
          <w:sz w:val="19"/>
        </w:rPr>
        <w:t>paid-in</w:t>
      </w:r>
      <w:r>
        <w:rPr>
          <w:color w:val="231F20"/>
          <w:spacing w:val="-11"/>
          <w:w w:val="115"/>
          <w:sz w:val="19"/>
        </w:rPr>
        <w:t> </w:t>
      </w:r>
      <w:r>
        <w:rPr>
          <w:color w:val="231F20"/>
          <w:w w:val="115"/>
          <w:sz w:val="19"/>
        </w:rPr>
        <w:t>capital—</w:t>
      </w:r>
      <w:r>
        <w:rPr>
          <w:color w:val="231F20"/>
          <w:spacing w:val="-42"/>
          <w:w w:val="115"/>
          <w:sz w:val="19"/>
        </w:rPr>
        <w:t> </w:t>
      </w:r>
      <w:r>
        <w:rPr>
          <w:i/>
          <w:color w:val="231F20"/>
          <w:w w:val="115"/>
          <w:sz w:val="19"/>
        </w:rPr>
        <w:t>investment</w:t>
      </w:r>
      <w:r>
        <w:rPr>
          <w:i/>
          <w:color w:val="231F20"/>
          <w:spacing w:val="-11"/>
          <w:w w:val="115"/>
          <w:sz w:val="19"/>
        </w:rPr>
        <w:t> </w:t>
      </w:r>
      <w:r>
        <w:rPr>
          <w:i/>
          <w:color w:val="231F20"/>
          <w:w w:val="115"/>
          <w:sz w:val="19"/>
        </w:rPr>
        <w:t>by</w:t>
      </w:r>
      <w:r>
        <w:rPr>
          <w:i/>
          <w:color w:val="231F20"/>
          <w:spacing w:val="-11"/>
          <w:w w:val="115"/>
          <w:sz w:val="19"/>
        </w:rPr>
        <w:t> </w:t>
      </w:r>
      <w:r>
        <w:rPr>
          <w:i/>
          <w:color w:val="231F20"/>
          <w:spacing w:val="-2"/>
          <w:w w:val="115"/>
          <w:sz w:val="19"/>
        </w:rPr>
        <w:t>owners</w:t>
      </w:r>
    </w:p>
    <w:p>
      <w:pPr>
        <w:pStyle w:val="ListParagraph"/>
        <w:numPr>
          <w:ilvl w:val="0"/>
          <w:numId w:val="13"/>
        </w:numPr>
        <w:tabs>
          <w:tab w:pos="1356" w:val="left" w:leader="none"/>
        </w:tabs>
        <w:spacing w:line="240" w:lineRule="auto" w:before="81" w:after="0"/>
        <w:ind w:left="1355" w:right="0" w:hanging="186"/>
        <w:jc w:val="left"/>
        <w:rPr>
          <w:i/>
          <w:sz w:val="19"/>
        </w:rPr>
      </w:pPr>
      <w:r>
        <w:rPr>
          <w:color w:val="231F20"/>
          <w:w w:val="110"/>
          <w:sz w:val="19"/>
        </w:rPr>
        <w:t>Retained</w:t>
      </w:r>
      <w:r>
        <w:rPr>
          <w:color w:val="231F20"/>
          <w:spacing w:val="5"/>
          <w:w w:val="110"/>
          <w:sz w:val="19"/>
        </w:rPr>
        <w:t> </w:t>
      </w:r>
      <w:r>
        <w:rPr>
          <w:color w:val="231F20"/>
          <w:w w:val="110"/>
          <w:sz w:val="19"/>
        </w:rPr>
        <w:t>earnings—</w:t>
      </w:r>
      <w:r>
        <w:rPr>
          <w:color w:val="231F20"/>
          <w:spacing w:val="-35"/>
          <w:w w:val="110"/>
          <w:sz w:val="19"/>
        </w:rPr>
        <w:t> </w:t>
      </w:r>
      <w:r>
        <w:rPr>
          <w:i/>
          <w:color w:val="231F20"/>
          <w:w w:val="110"/>
          <w:sz w:val="19"/>
        </w:rPr>
        <w:t>reinvestment</w:t>
      </w:r>
      <w:r>
        <w:rPr>
          <w:i/>
          <w:color w:val="231F20"/>
          <w:spacing w:val="5"/>
          <w:w w:val="110"/>
          <w:sz w:val="19"/>
        </w:rPr>
        <w:t> </w:t>
      </w:r>
      <w:r>
        <w:rPr>
          <w:i/>
          <w:color w:val="231F20"/>
          <w:w w:val="110"/>
          <w:sz w:val="19"/>
        </w:rPr>
        <w:t>of</w:t>
      </w:r>
      <w:r>
        <w:rPr>
          <w:i/>
          <w:color w:val="231F20"/>
          <w:spacing w:val="5"/>
          <w:w w:val="110"/>
          <w:sz w:val="19"/>
        </w:rPr>
        <w:t> </w:t>
      </w:r>
      <w:r>
        <w:rPr>
          <w:i/>
          <w:color w:val="231F20"/>
          <w:w w:val="110"/>
          <w:sz w:val="19"/>
        </w:rPr>
        <w:t>earnings</w:t>
      </w:r>
      <w:r>
        <w:rPr>
          <w:i/>
          <w:color w:val="231F20"/>
          <w:spacing w:val="6"/>
          <w:w w:val="110"/>
          <w:sz w:val="19"/>
        </w:rPr>
        <w:t> </w:t>
      </w:r>
      <w:r>
        <w:rPr>
          <w:i/>
          <w:color w:val="231F20"/>
          <w:w w:val="110"/>
          <w:sz w:val="19"/>
        </w:rPr>
        <w:t>by</w:t>
      </w:r>
      <w:r>
        <w:rPr>
          <w:i/>
          <w:color w:val="231F20"/>
          <w:spacing w:val="5"/>
          <w:w w:val="110"/>
          <w:sz w:val="19"/>
        </w:rPr>
        <w:t> </w:t>
      </w:r>
      <w:r>
        <w:rPr>
          <w:i/>
          <w:color w:val="231F20"/>
          <w:spacing w:val="-2"/>
          <w:w w:val="110"/>
          <w:sz w:val="19"/>
        </w:rPr>
        <w:t>owners</w:t>
      </w:r>
    </w:p>
    <w:p>
      <w:pPr>
        <w:pStyle w:val="BodyText"/>
        <w:rPr>
          <w:rFonts w:ascii="Arial"/>
          <w:i/>
          <w:sz w:val="20"/>
        </w:rPr>
      </w:pPr>
    </w:p>
    <w:p>
      <w:pPr>
        <w:spacing w:before="152"/>
        <w:ind w:left="1170" w:right="0" w:firstLine="0"/>
        <w:jc w:val="left"/>
        <w:rPr>
          <w:rFonts w:ascii="Arial"/>
          <w:i/>
          <w:sz w:val="19"/>
        </w:rPr>
      </w:pPr>
      <w:r>
        <w:rPr>
          <w:rFonts w:ascii="Arial"/>
          <w:i/>
          <w:color w:val="231F20"/>
          <w:spacing w:val="-2"/>
          <w:w w:val="115"/>
          <w:sz w:val="19"/>
        </w:rPr>
        <w:t>The</w:t>
      </w:r>
      <w:r>
        <w:rPr>
          <w:rFonts w:ascii="Arial"/>
          <w:i/>
          <w:color w:val="231F20"/>
          <w:w w:val="115"/>
          <w:sz w:val="19"/>
        </w:rPr>
        <w:t> </w:t>
      </w:r>
      <w:r>
        <w:rPr>
          <w:rFonts w:ascii="Arial"/>
          <w:i/>
          <w:color w:val="231F20"/>
          <w:spacing w:val="-2"/>
          <w:w w:val="115"/>
          <w:sz w:val="19"/>
        </w:rPr>
        <w:t>Fundamental</w:t>
      </w:r>
      <w:r>
        <w:rPr>
          <w:rFonts w:ascii="Arial"/>
          <w:i/>
          <w:color w:val="231F20"/>
          <w:w w:val="115"/>
          <w:sz w:val="19"/>
        </w:rPr>
        <w:t> </w:t>
      </w:r>
      <w:r>
        <w:rPr>
          <w:rFonts w:ascii="Arial"/>
          <w:i/>
          <w:color w:val="231F20"/>
          <w:spacing w:val="-2"/>
          <w:w w:val="115"/>
          <w:sz w:val="19"/>
        </w:rPr>
        <w:t>Accounting</w:t>
      </w:r>
      <w:r>
        <w:rPr>
          <w:rFonts w:ascii="Arial"/>
          <w:i/>
          <w:color w:val="231F20"/>
          <w:spacing w:val="1"/>
          <w:w w:val="115"/>
          <w:sz w:val="19"/>
        </w:rPr>
        <w:t> </w:t>
      </w:r>
      <w:r>
        <w:rPr>
          <w:rFonts w:ascii="Arial"/>
          <w:i/>
          <w:color w:val="231F20"/>
          <w:spacing w:val="-2"/>
          <w:w w:val="115"/>
          <w:sz w:val="19"/>
        </w:rPr>
        <w:t>Equation</w:t>
      </w:r>
    </w:p>
    <w:p>
      <w:pPr>
        <w:pStyle w:val="BodyText"/>
        <w:spacing w:line="292" w:lineRule="auto" w:before="60"/>
        <w:ind w:left="830" w:right="756" w:firstLine="340"/>
        <w:jc w:val="both"/>
      </w:pPr>
      <w:r>
        <w:rPr>
          <w:color w:val="231F20"/>
        </w:rPr>
        <w:t>As the name implies, the balance sheet is a “balance” sheet. </w:t>
      </w:r>
      <w:r>
        <w:rPr>
          <w:color w:val="231F20"/>
        </w:rPr>
        <w:t>The fundamental equation that rules over accounting balance is:</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before="90"/>
        <w:ind w:left="469" w:right="219"/>
        <w:jc w:val="center"/>
      </w:pPr>
      <w:r>
        <w:rPr>
          <w:color w:val="231F20"/>
        </w:rPr>
        <w:t>Assets</w:t>
      </w:r>
      <w:r>
        <w:rPr>
          <w:color w:val="231F20"/>
          <w:spacing w:val="18"/>
        </w:rPr>
        <w:t> </w:t>
      </w:r>
      <w:r>
        <w:rPr>
          <w:color w:val="231F20"/>
        </w:rPr>
        <w:t>(A)</w:t>
      </w:r>
      <w:r>
        <w:rPr>
          <w:color w:val="231F20"/>
          <w:spacing w:val="18"/>
        </w:rPr>
        <w:t> </w:t>
      </w:r>
      <w:r>
        <w:rPr>
          <w:rFonts w:ascii="Symbol" w:hAnsi="Symbol"/>
          <w:color w:val="231F20"/>
        </w:rPr>
        <w:t></w:t>
      </w:r>
      <w:r>
        <w:rPr>
          <w:rFonts w:ascii="Times New Roman" w:hAnsi="Times New Roman"/>
          <w:color w:val="231F20"/>
          <w:spacing w:val="12"/>
        </w:rPr>
        <w:t> </w:t>
      </w:r>
      <w:r>
        <w:rPr>
          <w:color w:val="231F20"/>
        </w:rPr>
        <w:t>Liabilities</w:t>
      </w:r>
      <w:r>
        <w:rPr>
          <w:color w:val="231F20"/>
          <w:spacing w:val="18"/>
        </w:rPr>
        <w:t> </w:t>
      </w:r>
      <w:r>
        <w:rPr>
          <w:color w:val="231F20"/>
        </w:rPr>
        <w:t>(L)</w:t>
      </w:r>
      <w:r>
        <w:rPr>
          <w:color w:val="231F20"/>
          <w:spacing w:val="18"/>
        </w:rPr>
        <w:t> </w:t>
      </w:r>
      <w:r>
        <w:rPr>
          <w:rFonts w:ascii="Symbol" w:hAnsi="Symbol"/>
          <w:color w:val="231F20"/>
        </w:rPr>
        <w:t></w:t>
      </w:r>
      <w:r>
        <w:rPr>
          <w:rFonts w:ascii="Times New Roman" w:hAnsi="Times New Roman"/>
          <w:color w:val="231F20"/>
          <w:spacing w:val="12"/>
        </w:rPr>
        <w:t> </w:t>
      </w:r>
      <w:r>
        <w:rPr>
          <w:color w:val="231F20"/>
        </w:rPr>
        <w:t>Owners’</w:t>
      </w:r>
      <w:r>
        <w:rPr>
          <w:color w:val="231F20"/>
          <w:spacing w:val="18"/>
        </w:rPr>
        <w:t> </w:t>
      </w:r>
      <w:r>
        <w:rPr>
          <w:color w:val="231F20"/>
        </w:rPr>
        <w:t>Equity</w:t>
      </w:r>
      <w:r>
        <w:rPr>
          <w:color w:val="231F20"/>
          <w:spacing w:val="18"/>
        </w:rPr>
        <w:t> </w:t>
      </w:r>
      <w:r>
        <w:rPr>
          <w:color w:val="231F20"/>
          <w:spacing w:val="-4"/>
        </w:rPr>
        <w:t>(OE)</w:t>
      </w:r>
    </w:p>
    <w:p>
      <w:pPr>
        <w:pStyle w:val="BodyText"/>
        <w:spacing w:before="2"/>
        <w:rPr>
          <w:sz w:val="30"/>
        </w:rPr>
      </w:pPr>
    </w:p>
    <w:p>
      <w:pPr>
        <w:pStyle w:val="BodyText"/>
        <w:spacing w:line="292" w:lineRule="auto"/>
        <w:ind w:left="920" w:right="663"/>
        <w:jc w:val="both"/>
      </w:pPr>
      <w:r>
        <w:rPr>
          <w:color w:val="231F20"/>
        </w:rPr>
        <w:t>What you own (assets) equals the total of what you borrowed (liabilities) and what you have invested (equity) to pay for it. This equation or “identity” explains </w:t>
      </w:r>
      <w:r>
        <w:rPr>
          <w:i/>
          <w:color w:val="231F20"/>
        </w:rPr>
        <w:t>everything </w:t>
      </w:r>
      <w:r>
        <w:rPr>
          <w:color w:val="231F20"/>
        </w:rPr>
        <w:t>that happens in the ac- counting records of a company over time. Remember it!</w:t>
      </w:r>
    </w:p>
    <w:p>
      <w:pPr>
        <w:pStyle w:val="BodyText"/>
        <w:spacing w:before="3"/>
        <w:rPr>
          <w:sz w:val="27"/>
        </w:rPr>
      </w:pPr>
    </w:p>
    <w:p>
      <w:pPr>
        <w:spacing w:before="0"/>
        <w:ind w:left="1260" w:right="0" w:firstLine="0"/>
        <w:jc w:val="left"/>
        <w:rPr>
          <w:rFonts w:ascii="Arial" w:hAnsi="Arial"/>
          <w:i/>
          <w:sz w:val="19"/>
        </w:rPr>
      </w:pPr>
      <w:r>
        <w:rPr>
          <w:rFonts w:ascii="Arial" w:hAnsi="Arial"/>
          <w:i/>
          <w:color w:val="231F20"/>
          <w:w w:val="115"/>
          <w:sz w:val="19"/>
        </w:rPr>
        <w:t>Examples</w:t>
      </w:r>
      <w:r>
        <w:rPr>
          <w:rFonts w:ascii="Arial" w:hAnsi="Arial"/>
          <w:i/>
          <w:color w:val="231F20"/>
          <w:spacing w:val="-9"/>
          <w:w w:val="115"/>
          <w:sz w:val="19"/>
        </w:rPr>
        <w:t> </w:t>
      </w:r>
      <w:r>
        <w:rPr>
          <w:rFonts w:ascii="Arial" w:hAnsi="Arial"/>
          <w:i/>
          <w:color w:val="231F20"/>
          <w:w w:val="115"/>
          <w:sz w:val="19"/>
        </w:rPr>
        <w:t>of</w:t>
      </w:r>
      <w:r>
        <w:rPr>
          <w:rFonts w:ascii="Arial" w:hAnsi="Arial"/>
          <w:i/>
          <w:color w:val="231F20"/>
          <w:spacing w:val="-9"/>
          <w:w w:val="115"/>
          <w:sz w:val="19"/>
        </w:rPr>
        <w:t> </w:t>
      </w:r>
      <w:r>
        <w:rPr>
          <w:rFonts w:ascii="Arial" w:hAnsi="Arial"/>
          <w:i/>
          <w:color w:val="231F20"/>
          <w:w w:val="115"/>
          <w:sz w:val="19"/>
        </w:rPr>
        <w:t>the</w:t>
      </w:r>
      <w:r>
        <w:rPr>
          <w:rFonts w:ascii="Arial" w:hAnsi="Arial"/>
          <w:i/>
          <w:color w:val="231F20"/>
          <w:spacing w:val="-8"/>
          <w:w w:val="115"/>
          <w:sz w:val="19"/>
        </w:rPr>
        <w:t> </w:t>
      </w:r>
      <w:r>
        <w:rPr>
          <w:rFonts w:ascii="Arial" w:hAnsi="Arial"/>
          <w:i/>
          <w:color w:val="231F20"/>
          <w:w w:val="115"/>
          <w:sz w:val="19"/>
        </w:rPr>
        <w:t>“Balancing”</w:t>
      </w:r>
      <w:r>
        <w:rPr>
          <w:rFonts w:ascii="Arial" w:hAnsi="Arial"/>
          <w:i/>
          <w:color w:val="231F20"/>
          <w:spacing w:val="-9"/>
          <w:w w:val="115"/>
          <w:sz w:val="19"/>
        </w:rPr>
        <w:t> </w:t>
      </w:r>
      <w:r>
        <w:rPr>
          <w:rFonts w:ascii="Arial" w:hAnsi="Arial"/>
          <w:i/>
          <w:color w:val="231F20"/>
          <w:spacing w:val="-5"/>
          <w:w w:val="115"/>
          <w:sz w:val="19"/>
        </w:rPr>
        <w:t>Act</w:t>
      </w:r>
    </w:p>
    <w:p>
      <w:pPr>
        <w:pStyle w:val="BodyText"/>
        <w:spacing w:line="292" w:lineRule="auto" w:before="61"/>
        <w:ind w:left="920" w:right="664" w:firstLine="340"/>
        <w:jc w:val="both"/>
      </w:pPr>
      <w:r>
        <w:rPr>
          <w:color w:val="231F20"/>
        </w:rPr>
        <w:t>Using the example of a new local supermarket called Bob’s Market, I will give you three examples of how the balancing act</w:t>
      </w:r>
      <w:r>
        <w:rPr>
          <w:color w:val="231F20"/>
          <w:spacing w:val="40"/>
        </w:rPr>
        <w:t> </w:t>
      </w:r>
      <w:r>
        <w:rPr>
          <w:color w:val="231F20"/>
          <w:spacing w:val="-2"/>
        </w:rPr>
        <w:t>works.</w:t>
      </w:r>
    </w:p>
    <w:p>
      <w:pPr>
        <w:pStyle w:val="BodyText"/>
        <w:spacing w:before="3"/>
        <w:rPr>
          <w:sz w:val="27"/>
        </w:rPr>
      </w:pPr>
    </w:p>
    <w:p>
      <w:pPr>
        <w:pStyle w:val="ListParagraph"/>
        <w:numPr>
          <w:ilvl w:val="0"/>
          <w:numId w:val="19"/>
        </w:numPr>
        <w:tabs>
          <w:tab w:pos="1611" w:val="left" w:leader="none"/>
        </w:tabs>
        <w:spacing w:line="328" w:lineRule="auto" w:before="0" w:after="0"/>
        <w:ind w:left="1609" w:right="664" w:hanging="170"/>
        <w:jc w:val="both"/>
        <w:rPr>
          <w:sz w:val="19"/>
        </w:rPr>
      </w:pPr>
      <w:r>
        <w:rPr>
          <w:color w:val="231F20"/>
          <w:w w:val="110"/>
          <w:sz w:val="19"/>
        </w:rPr>
        <w:t>When the market opened up for business, Bob </w:t>
      </w:r>
      <w:r>
        <w:rPr>
          <w:color w:val="231F20"/>
          <w:w w:val="110"/>
          <w:sz w:val="19"/>
        </w:rPr>
        <w:t>purchased</w:t>
      </w:r>
      <w:r>
        <w:rPr>
          <w:color w:val="231F20"/>
          <w:spacing w:val="80"/>
          <w:w w:val="110"/>
          <w:sz w:val="19"/>
        </w:rPr>
        <w:t> </w:t>
      </w:r>
      <w:r>
        <w:rPr>
          <w:color w:val="231F20"/>
          <w:w w:val="110"/>
          <w:sz w:val="19"/>
        </w:rPr>
        <w:t>a</w:t>
      </w:r>
      <w:r>
        <w:rPr>
          <w:color w:val="231F20"/>
          <w:w w:val="110"/>
          <w:sz w:val="19"/>
        </w:rPr>
        <w:t> cash</w:t>
      </w:r>
      <w:r>
        <w:rPr>
          <w:color w:val="231F20"/>
          <w:w w:val="110"/>
          <w:sz w:val="19"/>
        </w:rPr>
        <w:t> register.</w:t>
      </w:r>
      <w:r>
        <w:rPr>
          <w:color w:val="231F20"/>
          <w:w w:val="110"/>
          <w:sz w:val="19"/>
        </w:rPr>
        <w:t> Assets</w:t>
      </w:r>
      <w:r>
        <w:rPr>
          <w:color w:val="231F20"/>
          <w:w w:val="110"/>
          <w:sz w:val="19"/>
        </w:rPr>
        <w:t> increased</w:t>
      </w:r>
      <w:r>
        <w:rPr>
          <w:color w:val="231F20"/>
          <w:w w:val="110"/>
          <w:sz w:val="19"/>
        </w:rPr>
        <w:t> on</w:t>
      </w:r>
      <w:r>
        <w:rPr>
          <w:color w:val="231F20"/>
          <w:w w:val="110"/>
          <w:sz w:val="19"/>
        </w:rPr>
        <w:t> the</w:t>
      </w:r>
      <w:r>
        <w:rPr>
          <w:color w:val="231F20"/>
          <w:w w:val="110"/>
          <w:sz w:val="19"/>
        </w:rPr>
        <w:t> left</w:t>
      </w:r>
      <w:r>
        <w:rPr>
          <w:color w:val="231F20"/>
          <w:w w:val="110"/>
          <w:sz w:val="19"/>
        </w:rPr>
        <w:t> side</w:t>
      </w:r>
      <w:r>
        <w:rPr>
          <w:color w:val="231F20"/>
          <w:w w:val="110"/>
          <w:sz w:val="19"/>
        </w:rPr>
        <w:t> of</w:t>
      </w:r>
      <w:r>
        <w:rPr>
          <w:color w:val="231F20"/>
          <w:w w:val="110"/>
          <w:sz w:val="19"/>
        </w:rPr>
        <w:t> the scale,</w:t>
      </w:r>
      <w:r>
        <w:rPr>
          <w:color w:val="231F20"/>
          <w:spacing w:val="-2"/>
          <w:w w:val="110"/>
          <w:sz w:val="19"/>
        </w:rPr>
        <w:t> </w:t>
      </w:r>
      <w:r>
        <w:rPr>
          <w:color w:val="231F20"/>
          <w:w w:val="110"/>
          <w:sz w:val="19"/>
        </w:rPr>
        <w:t>while</w:t>
      </w:r>
      <w:r>
        <w:rPr>
          <w:color w:val="231F20"/>
          <w:spacing w:val="-2"/>
          <w:w w:val="110"/>
          <w:sz w:val="19"/>
        </w:rPr>
        <w:t> </w:t>
      </w:r>
      <w:r>
        <w:rPr>
          <w:color w:val="231F20"/>
          <w:w w:val="110"/>
          <w:sz w:val="19"/>
        </w:rPr>
        <w:t>bank</w:t>
      </w:r>
      <w:r>
        <w:rPr>
          <w:color w:val="231F20"/>
          <w:spacing w:val="-2"/>
          <w:w w:val="110"/>
          <w:sz w:val="19"/>
        </w:rPr>
        <w:t> </w:t>
      </w:r>
      <w:r>
        <w:rPr>
          <w:color w:val="231F20"/>
          <w:w w:val="110"/>
          <w:sz w:val="19"/>
        </w:rPr>
        <w:t>debt,</w:t>
      </w:r>
      <w:r>
        <w:rPr>
          <w:color w:val="231F20"/>
          <w:spacing w:val="-2"/>
          <w:w w:val="110"/>
          <w:sz w:val="19"/>
        </w:rPr>
        <w:t> </w:t>
      </w:r>
      <w:r>
        <w:rPr>
          <w:color w:val="231F20"/>
          <w:w w:val="110"/>
          <w:sz w:val="19"/>
        </w:rPr>
        <w:t>a</w:t>
      </w:r>
      <w:r>
        <w:rPr>
          <w:color w:val="231F20"/>
          <w:spacing w:val="-2"/>
          <w:w w:val="110"/>
          <w:sz w:val="19"/>
        </w:rPr>
        <w:t> </w:t>
      </w:r>
      <w:r>
        <w:rPr>
          <w:color w:val="231F20"/>
          <w:w w:val="110"/>
          <w:sz w:val="19"/>
        </w:rPr>
        <w:t>liability,</w:t>
      </w:r>
      <w:r>
        <w:rPr>
          <w:color w:val="231F20"/>
          <w:spacing w:val="-2"/>
          <w:w w:val="110"/>
          <w:sz w:val="19"/>
        </w:rPr>
        <w:t> </w:t>
      </w:r>
      <w:r>
        <w:rPr>
          <w:color w:val="231F20"/>
          <w:w w:val="110"/>
          <w:sz w:val="19"/>
        </w:rPr>
        <w:t>was</w:t>
      </w:r>
      <w:r>
        <w:rPr>
          <w:color w:val="231F20"/>
          <w:spacing w:val="-2"/>
          <w:w w:val="110"/>
          <w:sz w:val="19"/>
        </w:rPr>
        <w:t> </w:t>
      </w:r>
      <w:r>
        <w:rPr>
          <w:color w:val="231F20"/>
          <w:w w:val="110"/>
          <w:sz w:val="19"/>
        </w:rPr>
        <w:t>also</w:t>
      </w:r>
      <w:r>
        <w:rPr>
          <w:color w:val="231F20"/>
          <w:spacing w:val="-2"/>
          <w:w w:val="110"/>
          <w:sz w:val="19"/>
        </w:rPr>
        <w:t> </w:t>
      </w:r>
      <w:r>
        <w:rPr>
          <w:color w:val="231F20"/>
          <w:w w:val="110"/>
          <w:sz w:val="19"/>
        </w:rPr>
        <w:t>increased</w:t>
      </w:r>
      <w:r>
        <w:rPr>
          <w:color w:val="231F20"/>
          <w:spacing w:val="-2"/>
          <w:w w:val="110"/>
          <w:sz w:val="19"/>
        </w:rPr>
        <w:t> </w:t>
      </w:r>
      <w:r>
        <w:rPr>
          <w:color w:val="231F20"/>
          <w:w w:val="110"/>
          <w:sz w:val="19"/>
        </w:rPr>
        <w:t>on</w:t>
      </w:r>
      <w:r>
        <w:rPr>
          <w:color w:val="231F20"/>
          <w:spacing w:val="-2"/>
          <w:w w:val="110"/>
          <w:sz w:val="19"/>
        </w:rPr>
        <w:t> </w:t>
      </w:r>
      <w:r>
        <w:rPr>
          <w:color w:val="231F20"/>
          <w:w w:val="110"/>
          <w:sz w:val="19"/>
        </w:rPr>
        <w:t>the</w:t>
      </w:r>
      <w:r>
        <w:rPr>
          <w:color w:val="231F20"/>
          <w:w w:val="110"/>
          <w:sz w:val="19"/>
        </w:rPr>
        <w:t> right to pay for it. The asset increase was balanced by </w:t>
      </w:r>
      <w:r>
        <w:rPr>
          <w:color w:val="231F20"/>
          <w:w w:val="110"/>
          <w:sz w:val="19"/>
        </w:rPr>
        <w:t>an</w:t>
      </w:r>
      <w:r>
        <w:rPr>
          <w:color w:val="231F20"/>
          <w:w w:val="110"/>
          <w:sz w:val="19"/>
        </w:rPr>
        <w:t> increase in liability.</w:t>
      </w:r>
    </w:p>
    <w:p>
      <w:pPr>
        <w:pStyle w:val="ListParagraph"/>
        <w:numPr>
          <w:ilvl w:val="0"/>
          <w:numId w:val="19"/>
        </w:numPr>
        <w:tabs>
          <w:tab w:pos="1611" w:val="left" w:leader="none"/>
        </w:tabs>
        <w:spacing w:line="328" w:lineRule="auto" w:before="4" w:after="0"/>
        <w:ind w:left="1609" w:right="666" w:hanging="219"/>
        <w:jc w:val="both"/>
        <w:rPr>
          <w:sz w:val="19"/>
        </w:rPr>
      </w:pPr>
      <w:r>
        <w:rPr>
          <w:color w:val="231F20"/>
          <w:w w:val="115"/>
          <w:sz w:val="19"/>
        </w:rPr>
        <w:t>When</w:t>
      </w:r>
      <w:r>
        <w:rPr>
          <w:color w:val="231F20"/>
          <w:spacing w:val="-12"/>
          <w:w w:val="115"/>
          <w:sz w:val="19"/>
        </w:rPr>
        <w:t> </w:t>
      </w:r>
      <w:r>
        <w:rPr>
          <w:color w:val="231F20"/>
          <w:w w:val="115"/>
          <w:sz w:val="19"/>
        </w:rPr>
        <w:t>Bob</w:t>
      </w:r>
      <w:r>
        <w:rPr>
          <w:color w:val="231F20"/>
          <w:spacing w:val="-12"/>
          <w:w w:val="115"/>
          <w:sz w:val="19"/>
        </w:rPr>
        <w:t> </w:t>
      </w:r>
      <w:r>
        <w:rPr>
          <w:color w:val="231F20"/>
          <w:w w:val="115"/>
          <w:sz w:val="19"/>
        </w:rPr>
        <w:t>invested</w:t>
      </w:r>
      <w:r>
        <w:rPr>
          <w:color w:val="231F20"/>
          <w:spacing w:val="-12"/>
          <w:w w:val="115"/>
          <w:sz w:val="19"/>
        </w:rPr>
        <w:t> </w:t>
      </w:r>
      <w:r>
        <w:rPr>
          <w:color w:val="231F20"/>
          <w:w w:val="115"/>
          <w:sz w:val="19"/>
        </w:rPr>
        <w:t>some</w:t>
      </w:r>
      <w:r>
        <w:rPr>
          <w:color w:val="231F20"/>
          <w:spacing w:val="-12"/>
          <w:w w:val="115"/>
          <w:sz w:val="19"/>
        </w:rPr>
        <w:t> </w:t>
      </w:r>
      <w:r>
        <w:rPr>
          <w:color w:val="231F20"/>
          <w:w w:val="115"/>
          <w:sz w:val="19"/>
        </w:rPr>
        <w:t>of</w:t>
      </w:r>
      <w:r>
        <w:rPr>
          <w:color w:val="231F20"/>
          <w:spacing w:val="-12"/>
          <w:w w:val="115"/>
          <w:sz w:val="19"/>
        </w:rPr>
        <w:t> </w:t>
      </w:r>
      <w:r>
        <w:rPr>
          <w:color w:val="231F20"/>
          <w:w w:val="115"/>
          <w:sz w:val="19"/>
        </w:rPr>
        <w:t>his</w:t>
      </w:r>
      <w:r>
        <w:rPr>
          <w:color w:val="231F20"/>
          <w:spacing w:val="-12"/>
          <w:w w:val="115"/>
          <w:sz w:val="19"/>
        </w:rPr>
        <w:t> </w:t>
      </w:r>
      <w:r>
        <w:rPr>
          <w:color w:val="231F20"/>
          <w:w w:val="115"/>
          <w:sz w:val="19"/>
        </w:rPr>
        <w:t>own</w:t>
      </w:r>
      <w:r>
        <w:rPr>
          <w:color w:val="231F20"/>
          <w:spacing w:val="-12"/>
          <w:w w:val="115"/>
          <w:sz w:val="19"/>
        </w:rPr>
        <w:t> </w:t>
      </w:r>
      <w:r>
        <w:rPr>
          <w:color w:val="231F20"/>
          <w:w w:val="115"/>
          <w:sz w:val="19"/>
        </w:rPr>
        <w:t>money</w:t>
      </w:r>
      <w:r>
        <w:rPr>
          <w:color w:val="231F20"/>
          <w:spacing w:val="-12"/>
          <w:w w:val="115"/>
          <w:sz w:val="19"/>
        </w:rPr>
        <w:t> </w:t>
      </w:r>
      <w:r>
        <w:rPr>
          <w:color w:val="231F20"/>
          <w:w w:val="115"/>
          <w:sz w:val="19"/>
        </w:rPr>
        <w:t>and</w:t>
      </w:r>
      <w:r>
        <w:rPr>
          <w:color w:val="231F20"/>
          <w:spacing w:val="-12"/>
          <w:w w:val="115"/>
          <w:sz w:val="19"/>
        </w:rPr>
        <w:t> </w:t>
      </w:r>
      <w:r>
        <w:rPr>
          <w:color w:val="231F20"/>
          <w:w w:val="115"/>
          <w:sz w:val="19"/>
        </w:rPr>
        <w:t>attracted some</w:t>
      </w:r>
      <w:r>
        <w:rPr>
          <w:color w:val="231F20"/>
          <w:spacing w:val="-1"/>
          <w:w w:val="115"/>
          <w:sz w:val="19"/>
        </w:rPr>
        <w:t> </w:t>
      </w:r>
      <w:r>
        <w:rPr>
          <w:color w:val="231F20"/>
          <w:w w:val="115"/>
          <w:sz w:val="19"/>
        </w:rPr>
        <w:t>of</w:t>
      </w:r>
      <w:r>
        <w:rPr>
          <w:color w:val="231F20"/>
          <w:spacing w:val="-1"/>
          <w:w w:val="115"/>
          <w:sz w:val="19"/>
        </w:rPr>
        <w:t> </w:t>
      </w:r>
      <w:r>
        <w:rPr>
          <w:color w:val="231F20"/>
          <w:w w:val="115"/>
          <w:sz w:val="19"/>
        </w:rPr>
        <w:t>his</w:t>
      </w:r>
      <w:r>
        <w:rPr>
          <w:color w:val="231F20"/>
          <w:spacing w:val="-1"/>
          <w:w w:val="115"/>
          <w:sz w:val="19"/>
        </w:rPr>
        <w:t> </w:t>
      </w:r>
      <w:r>
        <w:rPr>
          <w:color w:val="231F20"/>
          <w:w w:val="115"/>
          <w:sz w:val="19"/>
        </w:rPr>
        <w:t>father’s</w:t>
      </w:r>
      <w:r>
        <w:rPr>
          <w:color w:val="231F20"/>
          <w:spacing w:val="-1"/>
          <w:w w:val="115"/>
          <w:sz w:val="19"/>
        </w:rPr>
        <w:t> </w:t>
      </w:r>
      <w:r>
        <w:rPr>
          <w:color w:val="231F20"/>
          <w:w w:val="115"/>
          <w:sz w:val="19"/>
        </w:rPr>
        <w:t>to</w:t>
      </w:r>
      <w:r>
        <w:rPr>
          <w:color w:val="231F20"/>
          <w:spacing w:val="-1"/>
          <w:w w:val="115"/>
          <w:sz w:val="19"/>
        </w:rPr>
        <w:t> </w:t>
      </w:r>
      <w:r>
        <w:rPr>
          <w:color w:val="231F20"/>
          <w:w w:val="115"/>
          <w:sz w:val="19"/>
        </w:rPr>
        <w:t>open</w:t>
      </w:r>
      <w:r>
        <w:rPr>
          <w:color w:val="231F20"/>
          <w:spacing w:val="-1"/>
          <w:w w:val="115"/>
          <w:sz w:val="19"/>
        </w:rPr>
        <w:t> </w:t>
      </w:r>
      <w:r>
        <w:rPr>
          <w:color w:val="231F20"/>
          <w:w w:val="115"/>
          <w:sz w:val="19"/>
        </w:rPr>
        <w:t>the</w:t>
      </w:r>
      <w:r>
        <w:rPr>
          <w:color w:val="231F20"/>
          <w:spacing w:val="-1"/>
          <w:w w:val="115"/>
          <w:sz w:val="19"/>
        </w:rPr>
        <w:t> </w:t>
      </w:r>
      <w:r>
        <w:rPr>
          <w:color w:val="231F20"/>
          <w:w w:val="115"/>
          <w:sz w:val="19"/>
        </w:rPr>
        <w:t>market,</w:t>
      </w:r>
      <w:r>
        <w:rPr>
          <w:color w:val="231F20"/>
          <w:spacing w:val="-1"/>
          <w:w w:val="115"/>
          <w:sz w:val="19"/>
        </w:rPr>
        <w:t> </w:t>
      </w:r>
      <w:r>
        <w:rPr>
          <w:color w:val="231F20"/>
          <w:w w:val="115"/>
          <w:sz w:val="19"/>
        </w:rPr>
        <w:t>equity</w:t>
      </w:r>
      <w:r>
        <w:rPr>
          <w:color w:val="231F20"/>
          <w:spacing w:val="-1"/>
          <w:w w:val="115"/>
          <w:sz w:val="19"/>
        </w:rPr>
        <w:t> </w:t>
      </w:r>
      <w:r>
        <w:rPr>
          <w:color w:val="231F20"/>
          <w:w w:val="115"/>
          <w:sz w:val="19"/>
        </w:rPr>
        <w:t>increased </w:t>
      </w:r>
      <w:r>
        <w:rPr>
          <w:color w:val="231F20"/>
          <w:w w:val="110"/>
          <w:sz w:val="19"/>
        </w:rPr>
        <w:t>on</w:t>
      </w:r>
      <w:r>
        <w:rPr>
          <w:color w:val="231F20"/>
          <w:spacing w:val="-3"/>
          <w:w w:val="110"/>
          <w:sz w:val="19"/>
        </w:rPr>
        <w:t> </w:t>
      </w:r>
      <w:r>
        <w:rPr>
          <w:color w:val="231F20"/>
          <w:w w:val="110"/>
          <w:sz w:val="19"/>
        </w:rPr>
        <w:t>the</w:t>
      </w:r>
      <w:r>
        <w:rPr>
          <w:color w:val="231F20"/>
          <w:spacing w:val="-3"/>
          <w:w w:val="110"/>
          <w:sz w:val="19"/>
        </w:rPr>
        <w:t> </w:t>
      </w:r>
      <w:r>
        <w:rPr>
          <w:color w:val="231F20"/>
          <w:w w:val="110"/>
          <w:sz w:val="19"/>
        </w:rPr>
        <w:t>right</w:t>
      </w:r>
      <w:r>
        <w:rPr>
          <w:color w:val="231F20"/>
          <w:spacing w:val="-3"/>
          <w:w w:val="110"/>
          <w:sz w:val="19"/>
        </w:rPr>
        <w:t> </w:t>
      </w:r>
      <w:r>
        <w:rPr>
          <w:color w:val="231F20"/>
          <w:w w:val="110"/>
          <w:sz w:val="19"/>
        </w:rPr>
        <w:t>side</w:t>
      </w:r>
      <w:r>
        <w:rPr>
          <w:color w:val="231F20"/>
          <w:spacing w:val="-3"/>
          <w:w w:val="110"/>
          <w:sz w:val="19"/>
        </w:rPr>
        <w:t> </w:t>
      </w:r>
      <w:r>
        <w:rPr>
          <w:color w:val="231F20"/>
          <w:w w:val="110"/>
          <w:sz w:val="19"/>
        </w:rPr>
        <w:t>of</w:t>
      </w:r>
      <w:r>
        <w:rPr>
          <w:color w:val="231F20"/>
          <w:spacing w:val="-3"/>
          <w:w w:val="110"/>
          <w:sz w:val="19"/>
        </w:rPr>
        <w:t> </w:t>
      </w:r>
      <w:r>
        <w:rPr>
          <w:color w:val="231F20"/>
          <w:w w:val="110"/>
          <w:sz w:val="19"/>
        </w:rPr>
        <w:t>the</w:t>
      </w:r>
      <w:r>
        <w:rPr>
          <w:color w:val="231F20"/>
          <w:spacing w:val="-3"/>
          <w:w w:val="110"/>
          <w:sz w:val="19"/>
        </w:rPr>
        <w:t> </w:t>
      </w:r>
      <w:r>
        <w:rPr>
          <w:color w:val="231F20"/>
          <w:w w:val="110"/>
          <w:sz w:val="19"/>
        </w:rPr>
        <w:t>scale,</w:t>
      </w:r>
      <w:r>
        <w:rPr>
          <w:color w:val="231F20"/>
          <w:spacing w:val="-3"/>
          <w:w w:val="110"/>
          <w:sz w:val="19"/>
        </w:rPr>
        <w:t> </w:t>
      </w:r>
      <w:r>
        <w:rPr>
          <w:color w:val="231F20"/>
          <w:w w:val="110"/>
          <w:sz w:val="19"/>
        </w:rPr>
        <w:t>and</w:t>
      </w:r>
      <w:r>
        <w:rPr>
          <w:color w:val="231F20"/>
          <w:spacing w:val="-3"/>
          <w:w w:val="110"/>
          <w:sz w:val="19"/>
        </w:rPr>
        <w:t> </w:t>
      </w:r>
      <w:r>
        <w:rPr>
          <w:color w:val="231F20"/>
          <w:w w:val="110"/>
          <w:sz w:val="19"/>
        </w:rPr>
        <w:t>cash,</w:t>
      </w:r>
      <w:r>
        <w:rPr>
          <w:color w:val="231F20"/>
          <w:spacing w:val="-3"/>
          <w:w w:val="110"/>
          <w:sz w:val="19"/>
        </w:rPr>
        <w:t> </w:t>
      </w:r>
      <w:r>
        <w:rPr>
          <w:color w:val="231F20"/>
          <w:w w:val="110"/>
          <w:sz w:val="19"/>
        </w:rPr>
        <w:t>an</w:t>
      </w:r>
      <w:r>
        <w:rPr>
          <w:color w:val="231F20"/>
          <w:spacing w:val="-3"/>
          <w:w w:val="110"/>
          <w:sz w:val="19"/>
        </w:rPr>
        <w:t> </w:t>
      </w:r>
      <w:r>
        <w:rPr>
          <w:color w:val="231F20"/>
          <w:w w:val="110"/>
          <w:sz w:val="19"/>
        </w:rPr>
        <w:t>asset,</w:t>
      </w:r>
      <w:r>
        <w:rPr>
          <w:color w:val="231F20"/>
          <w:spacing w:val="-3"/>
          <w:w w:val="110"/>
          <w:sz w:val="19"/>
        </w:rPr>
        <w:t> </w:t>
      </w:r>
      <w:r>
        <w:rPr>
          <w:color w:val="231F20"/>
          <w:w w:val="110"/>
          <w:sz w:val="19"/>
        </w:rPr>
        <w:t>increased </w:t>
      </w:r>
      <w:r>
        <w:rPr>
          <w:color w:val="231F20"/>
          <w:w w:val="115"/>
          <w:sz w:val="19"/>
        </w:rPr>
        <w:t>on the left to balance the transaction.</w:t>
      </w:r>
    </w:p>
    <w:p>
      <w:pPr>
        <w:pStyle w:val="ListParagraph"/>
        <w:numPr>
          <w:ilvl w:val="0"/>
          <w:numId w:val="19"/>
        </w:numPr>
        <w:tabs>
          <w:tab w:pos="1611" w:val="left" w:leader="none"/>
        </w:tabs>
        <w:spacing w:line="328" w:lineRule="auto" w:before="2" w:after="0"/>
        <w:ind w:left="1609" w:right="665" w:hanging="223"/>
        <w:jc w:val="both"/>
        <w:rPr>
          <w:sz w:val="19"/>
        </w:rPr>
      </w:pPr>
      <w:r>
        <w:rPr>
          <w:color w:val="231F20"/>
          <w:w w:val="115"/>
          <w:sz w:val="19"/>
        </w:rPr>
        <w:t>When the store becomes successful, it will hopefully be able to pay off its bank debt for the register (liabilities re- </w:t>
      </w:r>
      <w:r>
        <w:rPr>
          <w:color w:val="231F20"/>
          <w:w w:val="110"/>
          <w:sz w:val="19"/>
        </w:rPr>
        <w:t>duced on the right). The cash, an asset, would be reduced, </w:t>
      </w:r>
      <w:r>
        <w:rPr>
          <w:color w:val="231F20"/>
          <w:w w:val="115"/>
          <w:sz w:val="19"/>
        </w:rPr>
        <w:t>thus balancing the transaction on the left.</w:t>
      </w:r>
    </w:p>
    <w:p>
      <w:pPr>
        <w:pStyle w:val="BodyText"/>
        <w:spacing w:before="4"/>
        <w:rPr>
          <w:rFonts w:ascii="Arial"/>
          <w:sz w:val="25"/>
        </w:rPr>
      </w:pPr>
    </w:p>
    <w:p>
      <w:pPr>
        <w:pStyle w:val="BodyText"/>
        <w:spacing w:line="288" w:lineRule="auto"/>
        <w:ind w:left="919" w:right="666" w:firstLine="340"/>
        <w:jc w:val="both"/>
      </w:pPr>
      <w:r>
        <w:rPr>
          <w:i/>
          <w:color w:val="231F20"/>
        </w:rPr>
        <w:t>All </w:t>
      </w:r>
      <w:r>
        <w:rPr>
          <w:color w:val="231F20"/>
        </w:rPr>
        <w:t>transactions adhere to this balancing concept. There is no</w:t>
      </w:r>
      <w:r>
        <w:rPr>
          <w:color w:val="231F20"/>
          <w:spacing w:val="80"/>
        </w:rPr>
        <w:t> </w:t>
      </w:r>
      <w:r>
        <w:rPr>
          <w:color w:val="231F20"/>
        </w:rPr>
        <w:t>way to affect one side of the balance sheet without a balancing entry. The accounting records are therefore said to be in “balance” </w:t>
      </w:r>
      <w:r>
        <w:rPr>
          <w:color w:val="231F20"/>
        </w:rPr>
        <w:t>when</w:t>
      </w:r>
      <w:r>
        <w:rPr>
          <w:color w:val="231F20"/>
          <w:spacing w:val="40"/>
        </w:rPr>
        <w:t> </w:t>
      </w:r>
      <w:r>
        <w:rPr>
          <w:color w:val="231F20"/>
        </w:rPr>
        <w:t>the assets equal the liabilities and owners’ equity (A </w:t>
      </w:r>
      <w:r>
        <w:rPr>
          <w:rFonts w:ascii="Symbol" w:hAnsi="Symbol"/>
          <w:color w:val="231F20"/>
        </w:rPr>
        <w:t></w:t>
      </w:r>
      <w:r>
        <w:rPr>
          <w:rFonts w:ascii="Times New Roman" w:hAnsi="Times New Roman"/>
          <w:color w:val="231F20"/>
        </w:rPr>
        <w:t> </w:t>
      </w:r>
      <w:r>
        <w:rPr>
          <w:color w:val="231F20"/>
        </w:rPr>
        <w:t>L </w:t>
      </w:r>
      <w:r>
        <w:rPr>
          <w:rFonts w:ascii="Symbol" w:hAnsi="Symbol"/>
          <w:color w:val="231F20"/>
        </w:rPr>
        <w:t></w:t>
      </w:r>
      <w:r>
        <w:rPr>
          <w:rFonts w:ascii="Times New Roman" w:hAnsi="Times New Roman"/>
          <w:color w:val="231F20"/>
        </w:rPr>
        <w:t> </w:t>
      </w:r>
      <w:r>
        <w:rPr>
          <w:color w:val="231F20"/>
        </w:rPr>
        <w:t>OE). If the records do not balance, an accountant has made a mistake.</w:t>
      </w:r>
    </w:p>
    <w:p>
      <w:pPr>
        <w:pStyle w:val="BodyText"/>
        <w:spacing w:before="2"/>
        <w:rPr>
          <w:sz w:val="28"/>
        </w:rPr>
      </w:pPr>
    </w:p>
    <w:p>
      <w:pPr>
        <w:spacing w:before="0"/>
        <w:ind w:left="1260" w:right="0" w:firstLine="0"/>
        <w:jc w:val="left"/>
        <w:rPr>
          <w:rFonts w:ascii="Arial"/>
          <w:i/>
          <w:sz w:val="19"/>
        </w:rPr>
      </w:pPr>
      <w:r>
        <w:rPr>
          <w:rFonts w:ascii="Arial"/>
          <w:i/>
          <w:color w:val="231F20"/>
          <w:w w:val="110"/>
          <w:sz w:val="19"/>
        </w:rPr>
        <w:t>The</w:t>
      </w:r>
      <w:r>
        <w:rPr>
          <w:rFonts w:ascii="Arial"/>
          <w:i/>
          <w:color w:val="231F20"/>
          <w:spacing w:val="7"/>
          <w:w w:val="110"/>
          <w:sz w:val="19"/>
        </w:rPr>
        <w:t> </w:t>
      </w:r>
      <w:r>
        <w:rPr>
          <w:rFonts w:ascii="Arial"/>
          <w:i/>
          <w:color w:val="231F20"/>
          <w:w w:val="110"/>
          <w:sz w:val="19"/>
        </w:rPr>
        <w:t>Accounting</w:t>
      </w:r>
      <w:r>
        <w:rPr>
          <w:rFonts w:ascii="Arial"/>
          <w:i/>
          <w:color w:val="231F20"/>
          <w:spacing w:val="7"/>
          <w:w w:val="110"/>
          <w:sz w:val="19"/>
        </w:rPr>
        <w:t> </w:t>
      </w:r>
      <w:r>
        <w:rPr>
          <w:rFonts w:ascii="Arial"/>
          <w:i/>
          <w:color w:val="231F20"/>
          <w:w w:val="110"/>
          <w:sz w:val="19"/>
        </w:rPr>
        <w:t>Process:</w:t>
      </w:r>
      <w:r>
        <w:rPr>
          <w:rFonts w:ascii="Arial"/>
          <w:i/>
          <w:color w:val="231F20"/>
          <w:spacing w:val="7"/>
          <w:w w:val="110"/>
          <w:sz w:val="19"/>
        </w:rPr>
        <w:t> </w:t>
      </w:r>
      <w:r>
        <w:rPr>
          <w:rFonts w:ascii="Arial"/>
          <w:i/>
          <w:color w:val="231F20"/>
          <w:w w:val="110"/>
          <w:sz w:val="19"/>
        </w:rPr>
        <w:t>The</w:t>
      </w:r>
      <w:r>
        <w:rPr>
          <w:rFonts w:ascii="Arial"/>
          <w:i/>
          <w:color w:val="231F20"/>
          <w:spacing w:val="7"/>
          <w:w w:val="110"/>
          <w:sz w:val="19"/>
        </w:rPr>
        <w:t> </w:t>
      </w:r>
      <w:r>
        <w:rPr>
          <w:rFonts w:ascii="Arial"/>
          <w:i/>
          <w:color w:val="231F20"/>
          <w:w w:val="110"/>
          <w:sz w:val="19"/>
        </w:rPr>
        <w:t>Double</w:t>
      </w:r>
      <w:r>
        <w:rPr>
          <w:rFonts w:ascii="Arial"/>
          <w:i/>
          <w:color w:val="231F20"/>
          <w:spacing w:val="7"/>
          <w:w w:val="110"/>
          <w:sz w:val="19"/>
        </w:rPr>
        <w:t> </w:t>
      </w:r>
      <w:r>
        <w:rPr>
          <w:rFonts w:ascii="Arial"/>
          <w:i/>
          <w:color w:val="231F20"/>
          <w:w w:val="110"/>
          <w:sz w:val="19"/>
        </w:rPr>
        <w:t>Entry</w:t>
      </w:r>
      <w:r>
        <w:rPr>
          <w:rFonts w:ascii="Arial"/>
          <w:i/>
          <w:color w:val="231F20"/>
          <w:spacing w:val="7"/>
          <w:w w:val="110"/>
          <w:sz w:val="19"/>
        </w:rPr>
        <w:t> </w:t>
      </w:r>
      <w:r>
        <w:rPr>
          <w:rFonts w:ascii="Arial"/>
          <w:i/>
          <w:color w:val="231F20"/>
          <w:spacing w:val="-2"/>
          <w:w w:val="110"/>
          <w:sz w:val="19"/>
        </w:rPr>
        <w:t>System</w:t>
      </w:r>
    </w:p>
    <w:p>
      <w:pPr>
        <w:pStyle w:val="BodyText"/>
        <w:spacing w:line="292" w:lineRule="auto" w:before="61"/>
        <w:ind w:left="919" w:right="664" w:firstLine="340"/>
        <w:jc w:val="both"/>
      </w:pPr>
      <w:r>
        <w:rPr>
          <w:color w:val="231F20"/>
        </w:rPr>
        <w:t>As</w:t>
      </w:r>
      <w:r>
        <w:rPr>
          <w:color w:val="231F20"/>
          <w:spacing w:val="40"/>
        </w:rPr>
        <w:t> </w:t>
      </w:r>
      <w:r>
        <w:rPr>
          <w:color w:val="231F20"/>
        </w:rPr>
        <w:t>you</w:t>
      </w:r>
      <w:r>
        <w:rPr>
          <w:color w:val="231F20"/>
          <w:spacing w:val="40"/>
        </w:rPr>
        <w:t> </w:t>
      </w:r>
      <w:r>
        <w:rPr>
          <w:color w:val="231F20"/>
        </w:rPr>
        <w:t>may</w:t>
      </w:r>
      <w:r>
        <w:rPr>
          <w:color w:val="231F20"/>
          <w:spacing w:val="40"/>
        </w:rPr>
        <w:t> </w:t>
      </w:r>
      <w:r>
        <w:rPr>
          <w:color w:val="231F20"/>
        </w:rPr>
        <w:t>have</w:t>
      </w:r>
      <w:r>
        <w:rPr>
          <w:color w:val="231F20"/>
          <w:spacing w:val="40"/>
        </w:rPr>
        <w:t> </w:t>
      </w:r>
      <w:r>
        <w:rPr>
          <w:color w:val="231F20"/>
        </w:rPr>
        <w:t>heard,</w:t>
      </w:r>
      <w:r>
        <w:rPr>
          <w:color w:val="231F20"/>
          <w:spacing w:val="40"/>
        </w:rPr>
        <w:t> </w:t>
      </w:r>
      <w:r>
        <w:rPr>
          <w:color w:val="231F20"/>
        </w:rPr>
        <w:t>accountants</w:t>
      </w:r>
      <w:r>
        <w:rPr>
          <w:color w:val="231F20"/>
          <w:spacing w:val="40"/>
        </w:rPr>
        <w:t> </w:t>
      </w:r>
      <w:r>
        <w:rPr>
          <w:color w:val="231F20"/>
        </w:rPr>
        <w:t>make</w:t>
      </w:r>
      <w:r>
        <w:rPr>
          <w:color w:val="231F20"/>
          <w:spacing w:val="40"/>
        </w:rPr>
        <w:t> </w:t>
      </w:r>
      <w:r>
        <w:rPr>
          <w:i/>
          <w:color w:val="231F20"/>
        </w:rPr>
        <w:t>journal</w:t>
      </w:r>
      <w:r>
        <w:rPr>
          <w:i/>
          <w:color w:val="231F20"/>
          <w:spacing w:val="40"/>
        </w:rPr>
        <w:t> </w:t>
      </w:r>
      <w:r>
        <w:rPr>
          <w:i/>
          <w:color w:val="231F20"/>
        </w:rPr>
        <w:t>entries</w:t>
      </w:r>
      <w:r>
        <w:rPr>
          <w:i/>
          <w:color w:val="231F20"/>
          <w:spacing w:val="40"/>
        </w:rPr>
        <w:t> </w:t>
      </w:r>
      <w:r>
        <w:rPr>
          <w:color w:val="231F20"/>
        </w:rPr>
        <w:t>in their books to record each of a business’s individual transactions. Accountants</w:t>
      </w:r>
      <w:r>
        <w:rPr>
          <w:color w:val="231F20"/>
          <w:spacing w:val="9"/>
        </w:rPr>
        <w:t> </w:t>
      </w:r>
      <w:r>
        <w:rPr>
          <w:color w:val="231F20"/>
        </w:rPr>
        <w:t>call</w:t>
      </w:r>
      <w:r>
        <w:rPr>
          <w:color w:val="231F20"/>
          <w:spacing w:val="10"/>
        </w:rPr>
        <w:t> </w:t>
      </w:r>
      <w:r>
        <w:rPr>
          <w:color w:val="231F20"/>
        </w:rPr>
        <w:t>their</w:t>
      </w:r>
      <w:r>
        <w:rPr>
          <w:color w:val="231F20"/>
          <w:spacing w:val="9"/>
        </w:rPr>
        <w:t> </w:t>
      </w:r>
      <w:r>
        <w:rPr>
          <w:color w:val="231F20"/>
        </w:rPr>
        <w:t>books</w:t>
      </w:r>
      <w:r>
        <w:rPr>
          <w:color w:val="231F20"/>
          <w:spacing w:val="10"/>
        </w:rPr>
        <w:t> </w:t>
      </w:r>
      <w:r>
        <w:rPr>
          <w:color w:val="231F20"/>
        </w:rPr>
        <w:t>the</w:t>
      </w:r>
      <w:r>
        <w:rPr>
          <w:color w:val="231F20"/>
          <w:spacing w:val="8"/>
        </w:rPr>
        <w:t> </w:t>
      </w:r>
      <w:r>
        <w:rPr>
          <w:i/>
          <w:color w:val="231F20"/>
        </w:rPr>
        <w:t>general</w:t>
      </w:r>
      <w:r>
        <w:rPr>
          <w:i/>
          <w:color w:val="231F20"/>
          <w:spacing w:val="10"/>
        </w:rPr>
        <w:t> </w:t>
      </w:r>
      <w:r>
        <w:rPr>
          <w:i/>
          <w:color w:val="231F20"/>
        </w:rPr>
        <w:t>ledger.</w:t>
      </w:r>
      <w:r>
        <w:rPr>
          <w:i/>
          <w:color w:val="231F20"/>
          <w:spacing w:val="10"/>
        </w:rPr>
        <w:t> </w:t>
      </w:r>
      <w:r>
        <w:rPr>
          <w:color w:val="231F20"/>
        </w:rPr>
        <w:t>The</w:t>
      </w:r>
      <w:r>
        <w:rPr>
          <w:color w:val="231F20"/>
          <w:spacing w:val="9"/>
        </w:rPr>
        <w:t> </w:t>
      </w:r>
      <w:r>
        <w:rPr>
          <w:color w:val="231F20"/>
        </w:rPr>
        <w:t>listing</w:t>
      </w:r>
      <w:r>
        <w:rPr>
          <w:color w:val="231F20"/>
          <w:spacing w:val="10"/>
        </w:rPr>
        <w:t> </w:t>
      </w:r>
      <w:r>
        <w:rPr>
          <w:color w:val="231F20"/>
        </w:rPr>
        <w:t>of</w:t>
      </w:r>
      <w:r>
        <w:rPr>
          <w:color w:val="231F20"/>
          <w:spacing w:val="9"/>
        </w:rPr>
        <w:t> </w:t>
      </w:r>
      <w:r>
        <w:rPr>
          <w:color w:val="231F20"/>
        </w:rPr>
        <w:t>the</w:t>
      </w:r>
      <w:r>
        <w:rPr>
          <w:color w:val="231F20"/>
          <w:spacing w:val="10"/>
        </w:rPr>
        <w:t> </w:t>
      </w:r>
      <w:r>
        <w:rPr>
          <w:color w:val="231F20"/>
          <w:spacing w:val="-5"/>
        </w:rPr>
        <w:t>ac-</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4"/>
        <w:jc w:val="both"/>
        <w:rPr>
          <w:i/>
        </w:rPr>
      </w:pPr>
      <w:r>
        <w:rPr>
          <w:color w:val="231F20"/>
        </w:rPr>
        <w:t>counts is called the </w:t>
      </w:r>
      <w:r>
        <w:rPr>
          <w:i/>
          <w:color w:val="231F20"/>
        </w:rPr>
        <w:t>chart of accounts. </w:t>
      </w:r>
      <w:r>
        <w:rPr>
          <w:color w:val="231F20"/>
        </w:rPr>
        <w:t>Using the same balancing </w:t>
      </w:r>
      <w:r>
        <w:rPr>
          <w:color w:val="231F20"/>
        </w:rPr>
        <w:t>con- cept shown by accounting’s </w:t>
      </w:r>
      <w:r>
        <w:rPr>
          <w:i/>
          <w:color w:val="231F20"/>
        </w:rPr>
        <w:t>fundamental equation, </w:t>
      </w:r>
      <w:r>
        <w:rPr>
          <w:color w:val="231F20"/>
        </w:rPr>
        <w:t>asset additions</w:t>
      </w:r>
      <w:r>
        <w:rPr>
          <w:color w:val="231F20"/>
          <w:spacing w:val="40"/>
        </w:rPr>
        <w:t> </w:t>
      </w:r>
      <w:r>
        <w:rPr>
          <w:color w:val="231F20"/>
        </w:rPr>
        <w:t>are placed on the left side, called a </w:t>
      </w:r>
      <w:r>
        <w:rPr>
          <w:i/>
          <w:color w:val="231F20"/>
        </w:rPr>
        <w:t>debit. </w:t>
      </w:r>
      <w:r>
        <w:rPr>
          <w:color w:val="231F20"/>
        </w:rPr>
        <w:t>Liabilities and owners’ eq- uity</w:t>
      </w:r>
      <w:r>
        <w:rPr>
          <w:color w:val="231F20"/>
          <w:spacing w:val="40"/>
        </w:rPr>
        <w:t> </w:t>
      </w:r>
      <w:r>
        <w:rPr>
          <w:color w:val="231F20"/>
        </w:rPr>
        <w:t>additions</w:t>
      </w:r>
      <w:r>
        <w:rPr>
          <w:color w:val="231F20"/>
          <w:spacing w:val="40"/>
        </w:rPr>
        <w:t> </w:t>
      </w:r>
      <w:r>
        <w:rPr>
          <w:color w:val="231F20"/>
        </w:rPr>
        <w:t>are</w:t>
      </w:r>
      <w:r>
        <w:rPr>
          <w:color w:val="231F20"/>
          <w:spacing w:val="40"/>
        </w:rPr>
        <w:t> </w:t>
      </w:r>
      <w:r>
        <w:rPr>
          <w:color w:val="231F20"/>
        </w:rPr>
        <w:t>placed</w:t>
      </w:r>
      <w:r>
        <w:rPr>
          <w:color w:val="231F20"/>
          <w:spacing w:val="40"/>
        </w:rPr>
        <w:t> </w:t>
      </w:r>
      <w:r>
        <w:rPr>
          <w:color w:val="231F20"/>
        </w:rPr>
        <w:t>on</w:t>
      </w:r>
      <w:r>
        <w:rPr>
          <w:color w:val="231F20"/>
          <w:spacing w:val="40"/>
        </w:rPr>
        <w:t> </w:t>
      </w:r>
      <w:r>
        <w:rPr>
          <w:color w:val="231F20"/>
        </w:rPr>
        <w:t>the</w:t>
      </w:r>
      <w:r>
        <w:rPr>
          <w:color w:val="231F20"/>
          <w:spacing w:val="40"/>
        </w:rPr>
        <w:t> </w:t>
      </w:r>
      <w:r>
        <w:rPr>
          <w:color w:val="231F20"/>
        </w:rPr>
        <w:t>right</w:t>
      </w:r>
      <w:r>
        <w:rPr>
          <w:color w:val="231F20"/>
          <w:spacing w:val="40"/>
        </w:rPr>
        <w:t> </w:t>
      </w:r>
      <w:r>
        <w:rPr>
          <w:color w:val="231F20"/>
        </w:rPr>
        <w:t>side,</w:t>
      </w:r>
      <w:r>
        <w:rPr>
          <w:color w:val="231F20"/>
          <w:spacing w:val="40"/>
        </w:rPr>
        <w:t> </w:t>
      </w:r>
      <w:r>
        <w:rPr>
          <w:color w:val="231F20"/>
        </w:rPr>
        <w:t>called</w:t>
      </w:r>
      <w:r>
        <w:rPr>
          <w:color w:val="231F20"/>
          <w:spacing w:val="40"/>
        </w:rPr>
        <w:t> </w:t>
      </w:r>
      <w:r>
        <w:rPr>
          <w:color w:val="231F20"/>
        </w:rPr>
        <w:t>a</w:t>
      </w:r>
      <w:r>
        <w:rPr>
          <w:color w:val="231F20"/>
          <w:spacing w:val="40"/>
        </w:rPr>
        <w:t> </w:t>
      </w:r>
      <w:r>
        <w:rPr>
          <w:i/>
          <w:color w:val="231F20"/>
        </w:rPr>
        <w:t>credit.</w:t>
      </w:r>
      <w:r>
        <w:rPr>
          <w:i/>
          <w:color w:val="231F20"/>
          <w:spacing w:val="40"/>
        </w:rPr>
        <w:t> </w:t>
      </w:r>
      <w:r>
        <w:rPr>
          <w:color w:val="231F20"/>
        </w:rPr>
        <w:t>In</w:t>
      </w:r>
      <w:r>
        <w:rPr>
          <w:color w:val="231F20"/>
          <w:spacing w:val="40"/>
        </w:rPr>
        <w:t> </w:t>
      </w:r>
      <w:r>
        <w:rPr>
          <w:color w:val="231F20"/>
        </w:rPr>
        <w:t>all cases, journal entries have at least two lines of data, a debit and a credit. Entries to reduce assets are placed on the right, a credit, and reductions of liabilities and equity are placed on the left, a debit. Be- cause of this right-side/left-side method, the manual record keeping of each account’s transactions resembles a </w:t>
      </w:r>
      <w:r>
        <w:rPr>
          <w:i/>
          <w:color w:val="231F20"/>
        </w:rPr>
        <w:t>T, </w:t>
      </w:r>
      <w:r>
        <w:rPr>
          <w:color w:val="231F20"/>
        </w:rPr>
        <w:t>and consequently these records are called </w:t>
      </w:r>
      <w:r>
        <w:rPr>
          <w:i/>
          <w:color w:val="231F20"/>
        </w:rPr>
        <w:t>T accounts.</w:t>
      </w:r>
    </w:p>
    <w:p>
      <w:pPr>
        <w:pStyle w:val="BodyText"/>
        <w:spacing w:line="292" w:lineRule="auto"/>
        <w:ind w:left="830" w:right="753" w:firstLine="340"/>
        <w:jc w:val="both"/>
      </w:pPr>
      <w:r>
        <w:rPr>
          <w:color w:val="231F20"/>
        </w:rPr>
        <w:t>To illustrate, at the beginning of the year Bob and his father is- sued themselves one thousand shares of stock for their initial </w:t>
      </w:r>
      <w:r>
        <w:rPr>
          <w:color w:val="231F20"/>
        </w:rPr>
        <w:t>invest- ment of $15,000 in their store. The journal entry to record the transaction looked like this:</w:t>
      </w:r>
    </w:p>
    <w:p>
      <w:pPr>
        <w:pStyle w:val="BodyText"/>
        <w:rPr>
          <w:sz w:val="28"/>
        </w:rPr>
      </w:pPr>
    </w:p>
    <w:p>
      <w:pPr>
        <w:spacing w:before="0"/>
        <w:ind w:left="295" w:right="219" w:firstLine="0"/>
        <w:jc w:val="center"/>
        <w:rPr>
          <w:b/>
          <w:sz w:val="20"/>
        </w:rPr>
      </w:pPr>
      <w:r>
        <w:rPr>
          <w:b/>
          <w:color w:val="231F20"/>
          <w:w w:val="110"/>
          <w:sz w:val="20"/>
        </w:rPr>
        <w:t>BALANCE</w:t>
      </w:r>
      <w:r>
        <w:rPr>
          <w:b/>
          <w:color w:val="231F20"/>
          <w:spacing w:val="69"/>
          <w:w w:val="150"/>
          <w:sz w:val="20"/>
        </w:rPr>
        <w:t> </w:t>
      </w:r>
      <w:r>
        <w:rPr>
          <w:b/>
          <w:color w:val="231F20"/>
          <w:w w:val="110"/>
          <w:sz w:val="20"/>
        </w:rPr>
        <w:t>SHEET</w:t>
      </w:r>
      <w:r>
        <w:rPr>
          <w:b/>
          <w:color w:val="231F20"/>
          <w:spacing w:val="70"/>
          <w:w w:val="150"/>
          <w:sz w:val="20"/>
        </w:rPr>
        <w:t> </w:t>
      </w:r>
      <w:r>
        <w:rPr>
          <w:b/>
          <w:color w:val="231F20"/>
          <w:w w:val="110"/>
          <w:sz w:val="20"/>
        </w:rPr>
        <w:t>JOURNAL</w:t>
      </w:r>
      <w:r>
        <w:rPr>
          <w:b/>
          <w:color w:val="231F20"/>
          <w:spacing w:val="70"/>
          <w:w w:val="150"/>
          <w:sz w:val="20"/>
        </w:rPr>
        <w:t> </w:t>
      </w:r>
      <w:r>
        <w:rPr>
          <w:b/>
          <w:color w:val="231F20"/>
          <w:w w:val="110"/>
          <w:sz w:val="20"/>
        </w:rPr>
        <w:t>ENTRY</w:t>
      </w:r>
      <w:r>
        <w:rPr>
          <w:b/>
          <w:color w:val="231F20"/>
          <w:spacing w:val="70"/>
          <w:w w:val="150"/>
          <w:sz w:val="20"/>
        </w:rPr>
        <w:t> </w:t>
      </w:r>
      <w:r>
        <w:rPr>
          <w:b/>
          <w:color w:val="231F20"/>
          <w:spacing w:val="-5"/>
          <w:w w:val="110"/>
          <w:sz w:val="20"/>
        </w:rPr>
        <w:t>#1</w:t>
      </w:r>
    </w:p>
    <w:p>
      <w:pPr>
        <w:pStyle w:val="BodyText"/>
        <w:spacing w:before="3"/>
        <w:rPr>
          <w:b/>
          <w:sz w:val="5"/>
        </w:rPr>
      </w:pPr>
      <w:r>
        <w:rPr/>
        <w:pict>
          <v:shape style="position:absolute;margin-left:75.5pt;margin-top:4.284832pt;width:276.5pt;height:.1pt;mso-position-horizontal-relative:page;mso-position-vertical-relative:paragraph;z-index:-15682560;mso-wrap-distance-left:0;mso-wrap-distance-right:0" id="docshape91" coordorigin="1510,86" coordsize="5530,0" path="m1510,86l7040,86e" filled="false" stroked="true" strokeweight="1pt" strokecolor="#231f20">
            <v:path arrowok="t"/>
            <v:stroke dashstyle="solid"/>
            <w10:wrap type="topAndBottom"/>
          </v:shape>
        </w:pict>
      </w:r>
    </w:p>
    <w:p>
      <w:pPr>
        <w:pStyle w:val="BodyText"/>
        <w:spacing w:after="1"/>
        <w:rPr>
          <w:b/>
          <w:sz w:val="20"/>
        </w:rPr>
      </w:pPr>
    </w:p>
    <w:tbl>
      <w:tblPr>
        <w:tblW w:w="0" w:type="auto"/>
        <w:jc w:val="left"/>
        <w:tblInd w:w="1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3"/>
        <w:gridCol w:w="1025"/>
        <w:gridCol w:w="969"/>
        <w:gridCol w:w="1012"/>
        <w:gridCol w:w="897"/>
      </w:tblGrid>
      <w:tr>
        <w:trPr>
          <w:trHeight w:val="250" w:hRule="atLeast"/>
        </w:trPr>
        <w:tc>
          <w:tcPr>
            <w:tcW w:w="1633" w:type="dxa"/>
          </w:tcPr>
          <w:p>
            <w:pPr>
              <w:pStyle w:val="TableParagraph"/>
              <w:spacing w:line="205" w:lineRule="exact" w:before="0"/>
              <w:ind w:left="50"/>
              <w:jc w:val="left"/>
              <w:rPr>
                <w:b/>
                <w:i/>
                <w:sz w:val="18"/>
              </w:rPr>
            </w:pPr>
            <w:r>
              <w:rPr>
                <w:b/>
                <w:i/>
                <w:color w:val="231F20"/>
                <w:w w:val="105"/>
                <w:sz w:val="18"/>
              </w:rPr>
              <w:t>ACCOUNT</w:t>
            </w:r>
            <w:r>
              <w:rPr>
                <w:b/>
                <w:i/>
                <w:color w:val="231F20"/>
                <w:spacing w:val="24"/>
                <w:w w:val="110"/>
                <w:sz w:val="18"/>
              </w:rPr>
              <w:t> </w:t>
            </w:r>
            <w:r>
              <w:rPr>
                <w:b/>
                <w:i/>
                <w:color w:val="231F20"/>
                <w:spacing w:val="-2"/>
                <w:w w:val="110"/>
                <w:sz w:val="18"/>
              </w:rPr>
              <w:t>TITLE</w:t>
            </w:r>
          </w:p>
        </w:tc>
        <w:tc>
          <w:tcPr>
            <w:tcW w:w="1025" w:type="dxa"/>
          </w:tcPr>
          <w:p>
            <w:pPr>
              <w:pStyle w:val="TableParagraph"/>
              <w:spacing w:line="205" w:lineRule="exact" w:before="0"/>
              <w:ind w:left="167"/>
              <w:jc w:val="left"/>
              <w:rPr>
                <w:b/>
                <w:i/>
                <w:sz w:val="18"/>
              </w:rPr>
            </w:pPr>
            <w:r>
              <w:rPr>
                <w:b/>
                <w:i/>
                <w:color w:val="231F20"/>
                <w:spacing w:val="-2"/>
                <w:w w:val="110"/>
                <w:sz w:val="18"/>
              </w:rPr>
              <w:t>(TYPE)</w:t>
            </w:r>
          </w:p>
        </w:tc>
        <w:tc>
          <w:tcPr>
            <w:tcW w:w="969" w:type="dxa"/>
          </w:tcPr>
          <w:p>
            <w:pPr>
              <w:pStyle w:val="TableParagraph"/>
              <w:spacing w:line="205" w:lineRule="exact" w:before="0"/>
              <w:ind w:right="177"/>
              <w:jc w:val="right"/>
              <w:rPr>
                <w:b/>
                <w:i/>
                <w:sz w:val="18"/>
              </w:rPr>
            </w:pPr>
            <w:r>
              <w:rPr>
                <w:b/>
                <w:i/>
                <w:color w:val="231F20"/>
                <w:spacing w:val="-4"/>
                <w:w w:val="110"/>
                <w:sz w:val="18"/>
              </w:rPr>
              <w:t>DEBIT</w:t>
            </w:r>
          </w:p>
        </w:tc>
        <w:tc>
          <w:tcPr>
            <w:tcW w:w="1012" w:type="dxa"/>
          </w:tcPr>
          <w:p>
            <w:pPr>
              <w:pStyle w:val="TableParagraph"/>
              <w:spacing w:line="205" w:lineRule="exact" w:before="0"/>
              <w:ind w:left="158" w:right="159"/>
              <w:rPr>
                <w:b/>
                <w:i/>
                <w:sz w:val="18"/>
              </w:rPr>
            </w:pPr>
            <w:r>
              <w:rPr>
                <w:b/>
                <w:i/>
                <w:color w:val="231F20"/>
                <w:spacing w:val="-2"/>
                <w:w w:val="110"/>
                <w:sz w:val="18"/>
              </w:rPr>
              <w:t>CREDIT</w:t>
            </w:r>
          </w:p>
        </w:tc>
        <w:tc>
          <w:tcPr>
            <w:tcW w:w="897" w:type="dxa"/>
          </w:tcPr>
          <w:p>
            <w:pPr>
              <w:pStyle w:val="TableParagraph"/>
              <w:spacing w:line="205" w:lineRule="exact" w:before="0"/>
              <w:ind w:right="49"/>
              <w:jc w:val="right"/>
              <w:rPr>
                <w:b/>
                <w:i/>
                <w:sz w:val="18"/>
              </w:rPr>
            </w:pPr>
            <w:r>
              <w:rPr>
                <w:b/>
                <w:i/>
                <w:color w:val="231F20"/>
                <w:spacing w:val="-2"/>
                <w:w w:val="110"/>
                <w:sz w:val="18"/>
              </w:rPr>
              <w:t>EFFECT</w:t>
            </w:r>
          </w:p>
        </w:tc>
      </w:tr>
      <w:tr>
        <w:trPr>
          <w:trHeight w:val="299" w:hRule="atLeast"/>
        </w:trPr>
        <w:tc>
          <w:tcPr>
            <w:tcW w:w="1633" w:type="dxa"/>
          </w:tcPr>
          <w:p>
            <w:pPr>
              <w:pStyle w:val="TableParagraph"/>
              <w:spacing w:before="43"/>
              <w:ind w:left="50"/>
              <w:jc w:val="left"/>
              <w:rPr>
                <w:sz w:val="18"/>
              </w:rPr>
            </w:pPr>
            <w:r>
              <w:rPr>
                <w:color w:val="231F20"/>
                <w:spacing w:val="-4"/>
                <w:w w:val="105"/>
                <w:sz w:val="18"/>
              </w:rPr>
              <w:t>Cash</w:t>
            </w:r>
          </w:p>
        </w:tc>
        <w:tc>
          <w:tcPr>
            <w:tcW w:w="1025" w:type="dxa"/>
          </w:tcPr>
          <w:p>
            <w:pPr>
              <w:pStyle w:val="TableParagraph"/>
              <w:spacing w:before="43"/>
              <w:ind w:left="167"/>
              <w:jc w:val="left"/>
              <w:rPr>
                <w:sz w:val="18"/>
              </w:rPr>
            </w:pPr>
            <w:r>
              <w:rPr>
                <w:color w:val="231F20"/>
                <w:spacing w:val="-2"/>
                <w:sz w:val="18"/>
              </w:rPr>
              <w:t>(Asset)</w:t>
            </w:r>
          </w:p>
        </w:tc>
        <w:tc>
          <w:tcPr>
            <w:tcW w:w="969" w:type="dxa"/>
          </w:tcPr>
          <w:p>
            <w:pPr>
              <w:pStyle w:val="TableParagraph"/>
              <w:spacing w:before="43"/>
              <w:ind w:right="174"/>
              <w:jc w:val="right"/>
              <w:rPr>
                <w:sz w:val="18"/>
              </w:rPr>
            </w:pPr>
            <w:r>
              <w:rPr>
                <w:color w:val="231F20"/>
                <w:spacing w:val="-2"/>
                <w:sz w:val="18"/>
              </w:rPr>
              <w:t>15,000</w:t>
            </w:r>
          </w:p>
        </w:tc>
        <w:tc>
          <w:tcPr>
            <w:tcW w:w="1012" w:type="dxa"/>
          </w:tcPr>
          <w:p>
            <w:pPr>
              <w:pStyle w:val="TableParagraph"/>
              <w:spacing w:before="0"/>
              <w:jc w:val="left"/>
              <w:rPr>
                <w:rFonts w:ascii="Times New Roman"/>
                <w:sz w:val="20"/>
              </w:rPr>
            </w:pPr>
          </w:p>
        </w:tc>
        <w:tc>
          <w:tcPr>
            <w:tcW w:w="897" w:type="dxa"/>
          </w:tcPr>
          <w:p>
            <w:pPr>
              <w:pStyle w:val="TableParagraph"/>
              <w:spacing w:before="43"/>
              <w:ind w:right="103"/>
              <w:jc w:val="right"/>
              <w:rPr>
                <w:sz w:val="18"/>
              </w:rPr>
            </w:pPr>
            <w:r>
              <w:rPr>
                <w:color w:val="231F20"/>
                <w:spacing w:val="-2"/>
                <w:sz w:val="18"/>
              </w:rPr>
              <w:t>increase</w:t>
            </w:r>
          </w:p>
        </w:tc>
      </w:tr>
      <w:tr>
        <w:trPr>
          <w:trHeight w:val="255" w:hRule="atLeast"/>
        </w:trPr>
        <w:tc>
          <w:tcPr>
            <w:tcW w:w="1633" w:type="dxa"/>
          </w:tcPr>
          <w:p>
            <w:pPr>
              <w:pStyle w:val="TableParagraph"/>
              <w:spacing w:line="192" w:lineRule="exact" w:before="43"/>
              <w:ind w:left="50"/>
              <w:jc w:val="left"/>
              <w:rPr>
                <w:sz w:val="18"/>
              </w:rPr>
            </w:pPr>
            <w:r>
              <w:rPr>
                <w:color w:val="231F20"/>
                <w:w w:val="105"/>
                <w:sz w:val="18"/>
              </w:rPr>
              <w:t>Common</w:t>
            </w:r>
            <w:r>
              <w:rPr>
                <w:color w:val="231F20"/>
                <w:spacing w:val="8"/>
                <w:w w:val="105"/>
                <w:sz w:val="18"/>
              </w:rPr>
              <w:t> </w:t>
            </w:r>
            <w:r>
              <w:rPr>
                <w:color w:val="231F20"/>
                <w:spacing w:val="-2"/>
                <w:w w:val="105"/>
                <w:sz w:val="18"/>
              </w:rPr>
              <w:t>Stock</w:t>
            </w:r>
          </w:p>
        </w:tc>
        <w:tc>
          <w:tcPr>
            <w:tcW w:w="1025" w:type="dxa"/>
          </w:tcPr>
          <w:p>
            <w:pPr>
              <w:pStyle w:val="TableParagraph"/>
              <w:spacing w:line="192" w:lineRule="exact" w:before="43"/>
              <w:ind w:left="167"/>
              <w:jc w:val="left"/>
              <w:rPr>
                <w:sz w:val="18"/>
              </w:rPr>
            </w:pPr>
            <w:r>
              <w:rPr>
                <w:color w:val="231F20"/>
                <w:spacing w:val="-4"/>
                <w:w w:val="105"/>
                <w:sz w:val="18"/>
              </w:rPr>
              <w:t>(OE)</w:t>
            </w:r>
          </w:p>
        </w:tc>
        <w:tc>
          <w:tcPr>
            <w:tcW w:w="969" w:type="dxa"/>
          </w:tcPr>
          <w:p>
            <w:pPr>
              <w:pStyle w:val="TableParagraph"/>
              <w:spacing w:before="0"/>
              <w:jc w:val="left"/>
              <w:rPr>
                <w:rFonts w:ascii="Times New Roman"/>
                <w:sz w:val="18"/>
              </w:rPr>
            </w:pPr>
          </w:p>
        </w:tc>
        <w:tc>
          <w:tcPr>
            <w:tcW w:w="1012" w:type="dxa"/>
          </w:tcPr>
          <w:p>
            <w:pPr>
              <w:pStyle w:val="TableParagraph"/>
              <w:spacing w:line="192" w:lineRule="exact" w:before="43"/>
              <w:ind w:left="47" w:right="159"/>
              <w:rPr>
                <w:sz w:val="18"/>
              </w:rPr>
            </w:pPr>
            <w:r>
              <w:rPr>
                <w:color w:val="231F20"/>
                <w:spacing w:val="-2"/>
                <w:sz w:val="18"/>
              </w:rPr>
              <w:t>15,000</w:t>
            </w:r>
          </w:p>
        </w:tc>
        <w:tc>
          <w:tcPr>
            <w:tcW w:w="897" w:type="dxa"/>
          </w:tcPr>
          <w:p>
            <w:pPr>
              <w:pStyle w:val="TableParagraph"/>
              <w:spacing w:line="192" w:lineRule="exact" w:before="43"/>
              <w:ind w:right="103"/>
              <w:jc w:val="right"/>
              <w:rPr>
                <w:sz w:val="18"/>
              </w:rPr>
            </w:pPr>
            <w:r>
              <w:rPr>
                <w:color w:val="231F20"/>
                <w:spacing w:val="-2"/>
                <w:sz w:val="18"/>
              </w:rPr>
              <w:t>increase</w:t>
            </w:r>
          </w:p>
        </w:tc>
      </w:tr>
    </w:tbl>
    <w:p>
      <w:pPr>
        <w:pStyle w:val="BodyText"/>
        <w:spacing w:before="10"/>
        <w:rPr>
          <w:b/>
          <w:sz w:val="32"/>
        </w:rPr>
      </w:pPr>
    </w:p>
    <w:p>
      <w:pPr>
        <w:spacing w:before="0"/>
        <w:ind w:left="1170" w:right="0" w:firstLine="0"/>
        <w:jc w:val="left"/>
        <w:rPr>
          <w:sz w:val="21"/>
        </w:rPr>
      </w:pPr>
      <w:r>
        <w:rPr>
          <w:color w:val="231F20"/>
          <w:sz w:val="21"/>
        </w:rPr>
        <w:t>Similarly</w:t>
      </w:r>
      <w:r>
        <w:rPr>
          <w:color w:val="231F20"/>
          <w:spacing w:val="11"/>
          <w:sz w:val="21"/>
        </w:rPr>
        <w:t> </w:t>
      </w:r>
      <w:r>
        <w:rPr>
          <w:color w:val="231F20"/>
          <w:sz w:val="21"/>
        </w:rPr>
        <w:t>a</w:t>
      </w:r>
      <w:r>
        <w:rPr>
          <w:color w:val="231F20"/>
          <w:spacing w:val="11"/>
          <w:sz w:val="21"/>
        </w:rPr>
        <w:t> </w:t>
      </w:r>
      <w:r>
        <w:rPr>
          <w:color w:val="231F20"/>
          <w:sz w:val="21"/>
        </w:rPr>
        <w:t>repayment</w:t>
      </w:r>
      <w:r>
        <w:rPr>
          <w:color w:val="231F20"/>
          <w:spacing w:val="12"/>
          <w:sz w:val="21"/>
        </w:rPr>
        <w:t> </w:t>
      </w:r>
      <w:r>
        <w:rPr>
          <w:color w:val="231F20"/>
          <w:sz w:val="21"/>
        </w:rPr>
        <w:t>of</w:t>
      </w:r>
      <w:r>
        <w:rPr>
          <w:color w:val="231F20"/>
          <w:spacing w:val="11"/>
          <w:sz w:val="21"/>
        </w:rPr>
        <w:t> </w:t>
      </w:r>
      <w:r>
        <w:rPr>
          <w:color w:val="231F20"/>
          <w:sz w:val="21"/>
        </w:rPr>
        <w:t>a</w:t>
      </w:r>
      <w:r>
        <w:rPr>
          <w:color w:val="231F20"/>
          <w:spacing w:val="11"/>
          <w:sz w:val="21"/>
        </w:rPr>
        <w:t> </w:t>
      </w:r>
      <w:r>
        <w:rPr>
          <w:color w:val="231F20"/>
          <w:sz w:val="21"/>
        </w:rPr>
        <w:t>debt</w:t>
      </w:r>
      <w:r>
        <w:rPr>
          <w:color w:val="231F20"/>
          <w:spacing w:val="12"/>
          <w:sz w:val="21"/>
        </w:rPr>
        <w:t> </w:t>
      </w:r>
      <w:r>
        <w:rPr>
          <w:color w:val="231F20"/>
          <w:sz w:val="21"/>
        </w:rPr>
        <w:t>would</w:t>
      </w:r>
      <w:r>
        <w:rPr>
          <w:color w:val="231F20"/>
          <w:spacing w:val="11"/>
          <w:sz w:val="21"/>
        </w:rPr>
        <w:t> </w:t>
      </w:r>
      <w:r>
        <w:rPr>
          <w:color w:val="231F20"/>
          <w:sz w:val="21"/>
        </w:rPr>
        <w:t>be</w:t>
      </w:r>
      <w:r>
        <w:rPr>
          <w:color w:val="231F20"/>
          <w:spacing w:val="10"/>
          <w:sz w:val="21"/>
        </w:rPr>
        <w:t> </w:t>
      </w:r>
      <w:r>
        <w:rPr>
          <w:i/>
          <w:color w:val="231F20"/>
          <w:sz w:val="21"/>
        </w:rPr>
        <w:t>journalized</w:t>
      </w:r>
      <w:r>
        <w:rPr>
          <w:i/>
          <w:color w:val="231F20"/>
          <w:spacing w:val="11"/>
          <w:sz w:val="21"/>
        </w:rPr>
        <w:t> </w:t>
      </w:r>
      <w:r>
        <w:rPr>
          <w:color w:val="231F20"/>
          <w:spacing w:val="-5"/>
          <w:sz w:val="21"/>
        </w:rPr>
        <w:t>as:</w:t>
      </w:r>
    </w:p>
    <w:p>
      <w:pPr>
        <w:pStyle w:val="BodyText"/>
        <w:rPr>
          <w:sz w:val="33"/>
        </w:rPr>
      </w:pPr>
    </w:p>
    <w:p>
      <w:pPr>
        <w:spacing w:before="0"/>
        <w:ind w:left="295" w:right="219" w:firstLine="0"/>
        <w:jc w:val="center"/>
        <w:rPr>
          <w:b/>
          <w:sz w:val="20"/>
        </w:rPr>
      </w:pPr>
      <w:r>
        <w:rPr>
          <w:b/>
          <w:color w:val="231F20"/>
          <w:w w:val="110"/>
          <w:sz w:val="20"/>
        </w:rPr>
        <w:t>BALANCE</w:t>
      </w:r>
      <w:r>
        <w:rPr>
          <w:b/>
          <w:color w:val="231F20"/>
          <w:spacing w:val="69"/>
          <w:w w:val="150"/>
          <w:sz w:val="20"/>
        </w:rPr>
        <w:t> </w:t>
      </w:r>
      <w:r>
        <w:rPr>
          <w:b/>
          <w:color w:val="231F20"/>
          <w:w w:val="110"/>
          <w:sz w:val="20"/>
        </w:rPr>
        <w:t>SHEET</w:t>
      </w:r>
      <w:r>
        <w:rPr>
          <w:b/>
          <w:color w:val="231F20"/>
          <w:spacing w:val="70"/>
          <w:w w:val="150"/>
          <w:sz w:val="20"/>
        </w:rPr>
        <w:t> </w:t>
      </w:r>
      <w:r>
        <w:rPr>
          <w:b/>
          <w:color w:val="231F20"/>
          <w:w w:val="110"/>
          <w:sz w:val="20"/>
        </w:rPr>
        <w:t>JOURNAL</w:t>
      </w:r>
      <w:r>
        <w:rPr>
          <w:b/>
          <w:color w:val="231F20"/>
          <w:spacing w:val="70"/>
          <w:w w:val="150"/>
          <w:sz w:val="20"/>
        </w:rPr>
        <w:t> </w:t>
      </w:r>
      <w:r>
        <w:rPr>
          <w:b/>
          <w:color w:val="231F20"/>
          <w:w w:val="110"/>
          <w:sz w:val="20"/>
        </w:rPr>
        <w:t>ENTRY</w:t>
      </w:r>
      <w:r>
        <w:rPr>
          <w:b/>
          <w:color w:val="231F20"/>
          <w:spacing w:val="70"/>
          <w:w w:val="150"/>
          <w:sz w:val="20"/>
        </w:rPr>
        <w:t> </w:t>
      </w:r>
      <w:r>
        <w:rPr>
          <w:b/>
          <w:color w:val="231F20"/>
          <w:spacing w:val="-5"/>
          <w:w w:val="110"/>
          <w:sz w:val="20"/>
        </w:rPr>
        <w:t>#2</w:t>
      </w:r>
    </w:p>
    <w:p>
      <w:pPr>
        <w:pStyle w:val="BodyText"/>
        <w:spacing w:before="3"/>
        <w:rPr>
          <w:b/>
          <w:sz w:val="5"/>
        </w:rPr>
      </w:pPr>
      <w:r>
        <w:rPr/>
        <w:pict>
          <v:shape style="position:absolute;margin-left:75.5pt;margin-top:4.300046pt;width:276.5pt;height:.1pt;mso-position-horizontal-relative:page;mso-position-vertical-relative:paragraph;z-index:-15682048;mso-wrap-distance-left:0;mso-wrap-distance-right:0" id="docshape92" coordorigin="1510,86" coordsize="5530,0" path="m1510,86l7040,86e" filled="false" stroked="true" strokeweight="1pt" strokecolor="#231f20">
            <v:path arrowok="t"/>
            <v:stroke dashstyle="solid"/>
            <w10:wrap type="topAndBottom"/>
          </v:shape>
        </w:pict>
      </w:r>
    </w:p>
    <w:p>
      <w:pPr>
        <w:pStyle w:val="BodyText"/>
        <w:spacing w:after="1"/>
        <w:rPr>
          <w:b/>
          <w:sz w:val="20"/>
        </w:rPr>
      </w:pPr>
    </w:p>
    <w:tbl>
      <w:tblPr>
        <w:tblW w:w="0" w:type="auto"/>
        <w:jc w:val="left"/>
        <w:tblInd w:w="1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3"/>
        <w:gridCol w:w="1103"/>
        <w:gridCol w:w="891"/>
        <w:gridCol w:w="1012"/>
        <w:gridCol w:w="898"/>
      </w:tblGrid>
      <w:tr>
        <w:trPr>
          <w:trHeight w:val="250" w:hRule="atLeast"/>
        </w:trPr>
        <w:tc>
          <w:tcPr>
            <w:tcW w:w="1633" w:type="dxa"/>
          </w:tcPr>
          <w:p>
            <w:pPr>
              <w:pStyle w:val="TableParagraph"/>
              <w:spacing w:line="205" w:lineRule="exact" w:before="0"/>
              <w:ind w:left="50"/>
              <w:jc w:val="left"/>
              <w:rPr>
                <w:b/>
                <w:i/>
                <w:sz w:val="18"/>
              </w:rPr>
            </w:pPr>
            <w:r>
              <w:rPr>
                <w:b/>
                <w:i/>
                <w:color w:val="231F20"/>
                <w:w w:val="105"/>
                <w:sz w:val="18"/>
              </w:rPr>
              <w:t>ACCOUNT</w:t>
            </w:r>
            <w:r>
              <w:rPr>
                <w:b/>
                <w:i/>
                <w:color w:val="231F20"/>
                <w:spacing w:val="24"/>
                <w:w w:val="110"/>
                <w:sz w:val="18"/>
              </w:rPr>
              <w:t> </w:t>
            </w:r>
            <w:r>
              <w:rPr>
                <w:b/>
                <w:i/>
                <w:color w:val="231F20"/>
                <w:spacing w:val="-2"/>
                <w:w w:val="110"/>
                <w:sz w:val="18"/>
              </w:rPr>
              <w:t>TITLE</w:t>
            </w:r>
          </w:p>
        </w:tc>
        <w:tc>
          <w:tcPr>
            <w:tcW w:w="1103" w:type="dxa"/>
          </w:tcPr>
          <w:p>
            <w:pPr>
              <w:pStyle w:val="TableParagraph"/>
              <w:spacing w:line="205" w:lineRule="exact" w:before="0"/>
              <w:ind w:left="167"/>
              <w:jc w:val="left"/>
              <w:rPr>
                <w:b/>
                <w:i/>
                <w:sz w:val="18"/>
              </w:rPr>
            </w:pPr>
            <w:r>
              <w:rPr>
                <w:b/>
                <w:i/>
                <w:color w:val="231F20"/>
                <w:spacing w:val="-2"/>
                <w:w w:val="110"/>
                <w:sz w:val="18"/>
              </w:rPr>
              <w:t>(TYPE)</w:t>
            </w:r>
          </w:p>
        </w:tc>
        <w:tc>
          <w:tcPr>
            <w:tcW w:w="891" w:type="dxa"/>
          </w:tcPr>
          <w:p>
            <w:pPr>
              <w:pStyle w:val="TableParagraph"/>
              <w:spacing w:line="205" w:lineRule="exact" w:before="0"/>
              <w:ind w:left="150" w:right="163"/>
              <w:rPr>
                <w:b/>
                <w:i/>
                <w:sz w:val="18"/>
              </w:rPr>
            </w:pPr>
            <w:r>
              <w:rPr>
                <w:b/>
                <w:i/>
                <w:color w:val="231F20"/>
                <w:spacing w:val="-4"/>
                <w:w w:val="110"/>
                <w:sz w:val="18"/>
              </w:rPr>
              <w:t>DEBIT</w:t>
            </w:r>
          </w:p>
        </w:tc>
        <w:tc>
          <w:tcPr>
            <w:tcW w:w="1012" w:type="dxa"/>
          </w:tcPr>
          <w:p>
            <w:pPr>
              <w:pStyle w:val="TableParagraph"/>
              <w:spacing w:line="205" w:lineRule="exact" w:before="0"/>
              <w:ind w:left="158" w:right="159"/>
              <w:rPr>
                <w:b/>
                <w:i/>
                <w:sz w:val="18"/>
              </w:rPr>
            </w:pPr>
            <w:r>
              <w:rPr>
                <w:b/>
                <w:i/>
                <w:color w:val="231F20"/>
                <w:spacing w:val="-2"/>
                <w:w w:val="110"/>
                <w:sz w:val="18"/>
              </w:rPr>
              <w:t>CREDIT</w:t>
            </w:r>
          </w:p>
        </w:tc>
        <w:tc>
          <w:tcPr>
            <w:tcW w:w="898" w:type="dxa"/>
          </w:tcPr>
          <w:p>
            <w:pPr>
              <w:pStyle w:val="TableParagraph"/>
              <w:spacing w:line="205" w:lineRule="exact" w:before="0"/>
              <w:ind w:right="50"/>
              <w:jc w:val="right"/>
              <w:rPr>
                <w:b/>
                <w:i/>
                <w:sz w:val="18"/>
              </w:rPr>
            </w:pPr>
            <w:r>
              <w:rPr>
                <w:b/>
                <w:i/>
                <w:color w:val="231F20"/>
                <w:spacing w:val="-2"/>
                <w:w w:val="110"/>
                <w:sz w:val="18"/>
              </w:rPr>
              <w:t>EFFECT</w:t>
            </w:r>
          </w:p>
        </w:tc>
      </w:tr>
      <w:tr>
        <w:trPr>
          <w:trHeight w:val="299" w:hRule="atLeast"/>
        </w:trPr>
        <w:tc>
          <w:tcPr>
            <w:tcW w:w="1633" w:type="dxa"/>
          </w:tcPr>
          <w:p>
            <w:pPr>
              <w:pStyle w:val="TableParagraph"/>
              <w:spacing w:before="43"/>
              <w:ind w:left="50"/>
              <w:jc w:val="left"/>
              <w:rPr>
                <w:sz w:val="18"/>
              </w:rPr>
            </w:pPr>
            <w:r>
              <w:rPr>
                <w:color w:val="231F20"/>
                <w:sz w:val="18"/>
              </w:rPr>
              <w:t>Bank</w:t>
            </w:r>
            <w:r>
              <w:rPr>
                <w:color w:val="231F20"/>
                <w:spacing w:val="13"/>
                <w:sz w:val="18"/>
              </w:rPr>
              <w:t> </w:t>
            </w:r>
            <w:r>
              <w:rPr>
                <w:color w:val="231F20"/>
                <w:spacing w:val="-4"/>
                <w:sz w:val="18"/>
              </w:rPr>
              <w:t>Debt</w:t>
            </w:r>
          </w:p>
        </w:tc>
        <w:tc>
          <w:tcPr>
            <w:tcW w:w="1103" w:type="dxa"/>
          </w:tcPr>
          <w:p>
            <w:pPr>
              <w:pStyle w:val="TableParagraph"/>
              <w:spacing w:before="43"/>
              <w:ind w:left="167"/>
              <w:jc w:val="left"/>
              <w:rPr>
                <w:sz w:val="18"/>
              </w:rPr>
            </w:pPr>
            <w:r>
              <w:rPr>
                <w:color w:val="231F20"/>
                <w:spacing w:val="-2"/>
                <w:sz w:val="18"/>
              </w:rPr>
              <w:t>(Liability)</w:t>
            </w:r>
          </w:p>
        </w:tc>
        <w:tc>
          <w:tcPr>
            <w:tcW w:w="891" w:type="dxa"/>
          </w:tcPr>
          <w:p>
            <w:pPr>
              <w:pStyle w:val="TableParagraph"/>
              <w:spacing w:before="43"/>
              <w:ind w:left="150" w:right="159"/>
              <w:rPr>
                <w:sz w:val="18"/>
              </w:rPr>
            </w:pPr>
            <w:r>
              <w:rPr>
                <w:color w:val="231F20"/>
                <w:spacing w:val="-2"/>
                <w:sz w:val="18"/>
              </w:rPr>
              <w:t>15,000</w:t>
            </w:r>
          </w:p>
        </w:tc>
        <w:tc>
          <w:tcPr>
            <w:tcW w:w="1012" w:type="dxa"/>
          </w:tcPr>
          <w:p>
            <w:pPr>
              <w:pStyle w:val="TableParagraph"/>
              <w:spacing w:before="0"/>
              <w:jc w:val="left"/>
              <w:rPr>
                <w:rFonts w:ascii="Times New Roman"/>
                <w:sz w:val="20"/>
              </w:rPr>
            </w:pPr>
          </w:p>
        </w:tc>
        <w:tc>
          <w:tcPr>
            <w:tcW w:w="898" w:type="dxa"/>
          </w:tcPr>
          <w:p>
            <w:pPr>
              <w:pStyle w:val="TableParagraph"/>
              <w:spacing w:before="43"/>
              <w:ind w:right="74"/>
              <w:jc w:val="right"/>
              <w:rPr>
                <w:sz w:val="18"/>
              </w:rPr>
            </w:pPr>
            <w:r>
              <w:rPr>
                <w:color w:val="231F20"/>
                <w:spacing w:val="-2"/>
                <w:sz w:val="18"/>
              </w:rPr>
              <w:t>decrease</w:t>
            </w:r>
          </w:p>
        </w:tc>
      </w:tr>
      <w:tr>
        <w:trPr>
          <w:trHeight w:val="255" w:hRule="atLeast"/>
        </w:trPr>
        <w:tc>
          <w:tcPr>
            <w:tcW w:w="1633" w:type="dxa"/>
          </w:tcPr>
          <w:p>
            <w:pPr>
              <w:pStyle w:val="TableParagraph"/>
              <w:spacing w:line="192" w:lineRule="exact" w:before="43"/>
              <w:ind w:left="50"/>
              <w:jc w:val="left"/>
              <w:rPr>
                <w:sz w:val="18"/>
              </w:rPr>
            </w:pPr>
            <w:r>
              <w:rPr>
                <w:color w:val="231F20"/>
                <w:spacing w:val="-4"/>
                <w:w w:val="105"/>
                <w:sz w:val="18"/>
              </w:rPr>
              <w:t>Cash</w:t>
            </w:r>
          </w:p>
        </w:tc>
        <w:tc>
          <w:tcPr>
            <w:tcW w:w="1103" w:type="dxa"/>
          </w:tcPr>
          <w:p>
            <w:pPr>
              <w:pStyle w:val="TableParagraph"/>
              <w:spacing w:line="192" w:lineRule="exact" w:before="43"/>
              <w:ind w:left="167"/>
              <w:jc w:val="left"/>
              <w:rPr>
                <w:sz w:val="18"/>
              </w:rPr>
            </w:pPr>
            <w:r>
              <w:rPr>
                <w:color w:val="231F20"/>
                <w:spacing w:val="-2"/>
                <w:sz w:val="18"/>
              </w:rPr>
              <w:t>(Asset)</w:t>
            </w:r>
          </w:p>
        </w:tc>
        <w:tc>
          <w:tcPr>
            <w:tcW w:w="891" w:type="dxa"/>
          </w:tcPr>
          <w:p>
            <w:pPr>
              <w:pStyle w:val="TableParagraph"/>
              <w:spacing w:before="0"/>
              <w:jc w:val="left"/>
              <w:rPr>
                <w:rFonts w:ascii="Times New Roman"/>
                <w:sz w:val="18"/>
              </w:rPr>
            </w:pPr>
          </w:p>
        </w:tc>
        <w:tc>
          <w:tcPr>
            <w:tcW w:w="1012" w:type="dxa"/>
          </w:tcPr>
          <w:p>
            <w:pPr>
              <w:pStyle w:val="TableParagraph"/>
              <w:spacing w:line="192" w:lineRule="exact" w:before="43"/>
              <w:ind w:left="46" w:right="159"/>
              <w:rPr>
                <w:sz w:val="18"/>
              </w:rPr>
            </w:pPr>
            <w:r>
              <w:rPr>
                <w:color w:val="231F20"/>
                <w:spacing w:val="-2"/>
                <w:sz w:val="18"/>
              </w:rPr>
              <w:t>15,000</w:t>
            </w:r>
          </w:p>
        </w:tc>
        <w:tc>
          <w:tcPr>
            <w:tcW w:w="898" w:type="dxa"/>
          </w:tcPr>
          <w:p>
            <w:pPr>
              <w:pStyle w:val="TableParagraph"/>
              <w:spacing w:line="192" w:lineRule="exact" w:before="43"/>
              <w:ind w:right="74"/>
              <w:jc w:val="right"/>
              <w:rPr>
                <w:sz w:val="18"/>
              </w:rPr>
            </w:pPr>
            <w:r>
              <w:rPr>
                <w:color w:val="231F20"/>
                <w:spacing w:val="-2"/>
                <w:sz w:val="18"/>
              </w:rPr>
              <w:t>decrease</w:t>
            </w:r>
          </w:p>
        </w:tc>
      </w:tr>
    </w:tbl>
    <w:p>
      <w:pPr>
        <w:pStyle w:val="BodyText"/>
        <w:spacing w:before="10"/>
        <w:rPr>
          <w:b/>
          <w:sz w:val="32"/>
        </w:rPr>
      </w:pPr>
    </w:p>
    <w:p>
      <w:pPr>
        <w:pStyle w:val="BodyText"/>
        <w:spacing w:line="288" w:lineRule="auto"/>
        <w:ind w:left="830" w:right="756"/>
        <w:jc w:val="both"/>
      </w:pPr>
      <w:r>
        <w:rPr>
          <w:color w:val="231F20"/>
        </w:rPr>
        <w:t>Because each entry to the records balances, at the end of a period </w:t>
      </w:r>
      <w:r>
        <w:rPr>
          <w:color w:val="231F20"/>
        </w:rPr>
        <w:t>of time, the entire balance sheet that summarizes the individual “ac- counts”</w:t>
      </w:r>
      <w:r>
        <w:rPr>
          <w:color w:val="231F20"/>
          <w:spacing w:val="31"/>
        </w:rPr>
        <w:t> </w:t>
      </w:r>
      <w:r>
        <w:rPr>
          <w:color w:val="231F20"/>
        </w:rPr>
        <w:t>and</w:t>
      </w:r>
      <w:r>
        <w:rPr>
          <w:color w:val="231F20"/>
          <w:spacing w:val="31"/>
        </w:rPr>
        <w:t> </w:t>
      </w:r>
      <w:r>
        <w:rPr>
          <w:color w:val="231F20"/>
        </w:rPr>
        <w:t>their</w:t>
      </w:r>
      <w:r>
        <w:rPr>
          <w:color w:val="231F20"/>
          <w:spacing w:val="31"/>
        </w:rPr>
        <w:t> </w:t>
      </w:r>
      <w:r>
        <w:rPr>
          <w:color w:val="231F20"/>
        </w:rPr>
        <w:t>net</w:t>
      </w:r>
      <w:r>
        <w:rPr>
          <w:color w:val="231F20"/>
          <w:spacing w:val="31"/>
        </w:rPr>
        <w:t> </w:t>
      </w:r>
      <w:r>
        <w:rPr>
          <w:color w:val="231F20"/>
        </w:rPr>
        <w:t>ending</w:t>
      </w:r>
      <w:r>
        <w:rPr>
          <w:color w:val="231F20"/>
          <w:spacing w:val="31"/>
        </w:rPr>
        <w:t> </w:t>
      </w:r>
      <w:r>
        <w:rPr>
          <w:color w:val="231F20"/>
        </w:rPr>
        <w:t>balances</w:t>
      </w:r>
      <w:r>
        <w:rPr>
          <w:color w:val="231F20"/>
          <w:spacing w:val="31"/>
        </w:rPr>
        <w:t> </w:t>
      </w:r>
      <w:r>
        <w:rPr>
          <w:color w:val="231F20"/>
        </w:rPr>
        <w:t>also</w:t>
      </w:r>
      <w:r>
        <w:rPr>
          <w:color w:val="231F20"/>
          <w:spacing w:val="31"/>
        </w:rPr>
        <w:t> </w:t>
      </w:r>
      <w:r>
        <w:rPr>
          <w:color w:val="231F20"/>
        </w:rPr>
        <w:t>balances</w:t>
      </w:r>
      <w:r>
        <w:rPr>
          <w:color w:val="231F20"/>
          <w:spacing w:val="31"/>
        </w:rPr>
        <w:t> </w:t>
      </w:r>
      <w:r>
        <w:rPr>
          <w:color w:val="231F20"/>
        </w:rPr>
        <w:t>(A </w:t>
      </w:r>
      <w:r>
        <w:rPr>
          <w:rFonts w:ascii="Symbol" w:hAnsi="Symbol"/>
          <w:color w:val="231F20"/>
        </w:rPr>
        <w:t></w:t>
      </w:r>
      <w:r>
        <w:rPr>
          <w:rFonts w:ascii="Times New Roman" w:hAnsi="Times New Roman"/>
          <w:color w:val="231F20"/>
        </w:rPr>
        <w:t> </w:t>
      </w:r>
      <w:r>
        <w:rPr>
          <w:color w:val="231F20"/>
        </w:rPr>
        <w:t>L</w:t>
      </w:r>
      <w:r>
        <w:rPr>
          <w:color w:val="231F20"/>
          <w:spacing w:val="30"/>
        </w:rPr>
        <w:t> </w:t>
      </w:r>
      <w:r>
        <w:rPr>
          <w:rFonts w:ascii="Symbol" w:hAnsi="Symbol"/>
          <w:color w:val="231F20"/>
        </w:rPr>
        <w:t></w:t>
      </w:r>
      <w:r>
        <w:rPr>
          <w:rFonts w:ascii="Times New Roman" w:hAnsi="Times New Roman"/>
          <w:color w:val="231F20"/>
        </w:rPr>
        <w:t> </w:t>
      </w:r>
      <w:r>
        <w:rPr>
          <w:color w:val="231F20"/>
        </w:rPr>
        <w:t>OE).</w:t>
      </w:r>
    </w:p>
    <w:p>
      <w:pPr>
        <w:pStyle w:val="BodyText"/>
        <w:spacing w:before="5"/>
        <w:rPr>
          <w:sz w:val="29"/>
        </w:rPr>
      </w:pPr>
    </w:p>
    <w:p>
      <w:pPr>
        <w:spacing w:before="0"/>
        <w:ind w:left="1170" w:right="0" w:firstLine="0"/>
        <w:jc w:val="left"/>
        <w:rPr>
          <w:rFonts w:ascii="Arial"/>
          <w:i/>
          <w:sz w:val="19"/>
        </w:rPr>
      </w:pPr>
      <w:r>
        <w:rPr>
          <w:rFonts w:ascii="Arial"/>
          <w:i/>
          <w:color w:val="231F20"/>
          <w:w w:val="110"/>
          <w:sz w:val="19"/>
        </w:rPr>
        <w:t>A</w:t>
      </w:r>
      <w:r>
        <w:rPr>
          <w:rFonts w:ascii="Arial"/>
          <w:i/>
          <w:color w:val="231F20"/>
          <w:spacing w:val="5"/>
          <w:w w:val="110"/>
          <w:sz w:val="19"/>
        </w:rPr>
        <w:t> </w:t>
      </w:r>
      <w:r>
        <w:rPr>
          <w:rFonts w:ascii="Arial"/>
          <w:i/>
          <w:color w:val="231F20"/>
          <w:w w:val="110"/>
          <w:sz w:val="19"/>
        </w:rPr>
        <w:t>Balance</w:t>
      </w:r>
      <w:r>
        <w:rPr>
          <w:rFonts w:ascii="Arial"/>
          <w:i/>
          <w:color w:val="231F20"/>
          <w:spacing w:val="5"/>
          <w:w w:val="110"/>
          <w:sz w:val="19"/>
        </w:rPr>
        <w:t> </w:t>
      </w:r>
      <w:r>
        <w:rPr>
          <w:rFonts w:ascii="Arial"/>
          <w:i/>
          <w:color w:val="231F20"/>
          <w:w w:val="110"/>
          <w:sz w:val="19"/>
        </w:rPr>
        <w:t>Sheet</w:t>
      </w:r>
      <w:r>
        <w:rPr>
          <w:rFonts w:ascii="Arial"/>
          <w:i/>
          <w:color w:val="231F20"/>
          <w:spacing w:val="5"/>
          <w:w w:val="110"/>
          <w:sz w:val="19"/>
        </w:rPr>
        <w:t> </w:t>
      </w:r>
      <w:r>
        <w:rPr>
          <w:rFonts w:ascii="Arial"/>
          <w:i/>
          <w:color w:val="231F20"/>
          <w:spacing w:val="-2"/>
          <w:w w:val="110"/>
          <w:sz w:val="19"/>
        </w:rPr>
        <w:t>Example</w:t>
      </w:r>
    </w:p>
    <w:p>
      <w:pPr>
        <w:pStyle w:val="BodyText"/>
        <w:spacing w:line="292" w:lineRule="auto" w:before="60"/>
        <w:ind w:left="830" w:right="756" w:firstLine="340"/>
        <w:jc w:val="both"/>
      </w:pPr>
      <w:r>
        <w:rPr>
          <w:color w:val="231F20"/>
        </w:rPr>
        <w:t>Let’s continue with the local grocery store example and see </w:t>
      </w:r>
      <w:r>
        <w:rPr>
          <w:color w:val="231F20"/>
        </w:rPr>
        <w:t>what balances appeared during its first year of operation.</w:t>
      </w:r>
    </w:p>
    <w:p>
      <w:pPr>
        <w:spacing w:after="0" w:line="292" w:lineRule="auto"/>
        <w:jc w:val="both"/>
        <w:sectPr>
          <w:pgSz w:w="8640" w:h="12960"/>
          <w:pgMar w:header="732" w:footer="0" w:top="920" w:bottom="280" w:left="340" w:right="500"/>
        </w:sectPr>
      </w:pPr>
    </w:p>
    <w:p>
      <w:pPr>
        <w:pStyle w:val="BodyText"/>
        <w:spacing w:before="8"/>
        <w:rPr>
          <w:sz w:val="17"/>
        </w:rPr>
      </w:pPr>
    </w:p>
    <w:p>
      <w:pPr>
        <w:spacing w:line="292" w:lineRule="auto" w:before="102"/>
        <w:ind w:left="920" w:right="663" w:firstLine="340"/>
        <w:jc w:val="both"/>
        <w:rPr>
          <w:sz w:val="21"/>
        </w:rPr>
      </w:pPr>
      <w:r>
        <w:rPr>
          <w:color w:val="231F20"/>
          <w:w w:val="105"/>
          <w:sz w:val="21"/>
        </w:rPr>
        <w:t>Bob’s</w:t>
      </w:r>
      <w:r>
        <w:rPr>
          <w:color w:val="231F20"/>
          <w:spacing w:val="-11"/>
          <w:w w:val="105"/>
          <w:sz w:val="21"/>
        </w:rPr>
        <w:t> </w:t>
      </w:r>
      <w:r>
        <w:rPr>
          <w:color w:val="231F20"/>
          <w:w w:val="105"/>
          <w:sz w:val="21"/>
        </w:rPr>
        <w:t>statement</w:t>
      </w:r>
      <w:r>
        <w:rPr>
          <w:color w:val="231F20"/>
          <w:spacing w:val="-11"/>
          <w:w w:val="105"/>
          <w:sz w:val="21"/>
        </w:rPr>
        <w:t> </w:t>
      </w:r>
      <w:r>
        <w:rPr>
          <w:color w:val="231F20"/>
          <w:w w:val="105"/>
          <w:sz w:val="21"/>
        </w:rPr>
        <w:t>on</w:t>
      </w:r>
      <w:r>
        <w:rPr>
          <w:color w:val="231F20"/>
          <w:spacing w:val="-11"/>
          <w:w w:val="105"/>
          <w:sz w:val="21"/>
        </w:rPr>
        <w:t> </w:t>
      </w:r>
      <w:r>
        <w:rPr>
          <w:color w:val="231F20"/>
          <w:w w:val="105"/>
          <w:sz w:val="21"/>
        </w:rPr>
        <w:t>the</w:t>
      </w:r>
      <w:r>
        <w:rPr>
          <w:color w:val="231F20"/>
          <w:spacing w:val="-11"/>
          <w:w w:val="105"/>
          <w:sz w:val="21"/>
        </w:rPr>
        <w:t> </w:t>
      </w:r>
      <w:r>
        <w:rPr>
          <w:color w:val="231F20"/>
          <w:w w:val="105"/>
          <w:sz w:val="21"/>
        </w:rPr>
        <w:t>next</w:t>
      </w:r>
      <w:r>
        <w:rPr>
          <w:color w:val="231F20"/>
          <w:spacing w:val="-11"/>
          <w:w w:val="105"/>
          <w:sz w:val="21"/>
        </w:rPr>
        <w:t> </w:t>
      </w:r>
      <w:r>
        <w:rPr>
          <w:color w:val="231F20"/>
          <w:w w:val="105"/>
          <w:sz w:val="21"/>
        </w:rPr>
        <w:t>page</w:t>
      </w:r>
      <w:r>
        <w:rPr>
          <w:color w:val="231F20"/>
          <w:spacing w:val="-11"/>
          <w:w w:val="105"/>
          <w:sz w:val="21"/>
        </w:rPr>
        <w:t> </w:t>
      </w:r>
      <w:r>
        <w:rPr>
          <w:color w:val="231F20"/>
          <w:w w:val="105"/>
          <w:sz w:val="21"/>
        </w:rPr>
        <w:t>resembles</w:t>
      </w:r>
      <w:r>
        <w:rPr>
          <w:color w:val="231F20"/>
          <w:spacing w:val="-11"/>
          <w:w w:val="105"/>
          <w:sz w:val="21"/>
        </w:rPr>
        <w:t> </w:t>
      </w:r>
      <w:r>
        <w:rPr>
          <w:color w:val="231F20"/>
          <w:w w:val="105"/>
          <w:sz w:val="21"/>
        </w:rPr>
        <w:t>the</w:t>
      </w:r>
      <w:r>
        <w:rPr>
          <w:color w:val="231F20"/>
          <w:spacing w:val="-11"/>
          <w:w w:val="105"/>
          <w:sz w:val="21"/>
        </w:rPr>
        <w:t> </w:t>
      </w:r>
      <w:r>
        <w:rPr>
          <w:color w:val="231F20"/>
          <w:w w:val="105"/>
          <w:sz w:val="21"/>
        </w:rPr>
        <w:t>typical</w:t>
      </w:r>
      <w:r>
        <w:rPr>
          <w:color w:val="231F20"/>
          <w:spacing w:val="-11"/>
          <w:w w:val="105"/>
          <w:sz w:val="21"/>
        </w:rPr>
        <w:t> </w:t>
      </w:r>
      <w:r>
        <w:rPr>
          <w:color w:val="231F20"/>
          <w:w w:val="105"/>
          <w:sz w:val="21"/>
        </w:rPr>
        <w:t>balance sheet</w:t>
      </w:r>
      <w:r>
        <w:rPr>
          <w:color w:val="231F20"/>
          <w:w w:val="105"/>
          <w:sz w:val="21"/>
        </w:rPr>
        <w:t> of</w:t>
      </w:r>
      <w:r>
        <w:rPr>
          <w:color w:val="231F20"/>
          <w:w w:val="105"/>
          <w:sz w:val="21"/>
        </w:rPr>
        <w:t> many</w:t>
      </w:r>
      <w:r>
        <w:rPr>
          <w:color w:val="231F20"/>
          <w:w w:val="105"/>
          <w:sz w:val="21"/>
        </w:rPr>
        <w:t> retail</w:t>
      </w:r>
      <w:r>
        <w:rPr>
          <w:color w:val="231F20"/>
          <w:w w:val="105"/>
          <w:sz w:val="21"/>
        </w:rPr>
        <w:t> and</w:t>
      </w:r>
      <w:r>
        <w:rPr>
          <w:color w:val="231F20"/>
          <w:w w:val="105"/>
          <w:sz w:val="21"/>
        </w:rPr>
        <w:t> manufacturing</w:t>
      </w:r>
      <w:r>
        <w:rPr>
          <w:color w:val="231F20"/>
          <w:w w:val="105"/>
          <w:sz w:val="21"/>
        </w:rPr>
        <w:t> firms.</w:t>
      </w:r>
      <w:r>
        <w:rPr>
          <w:color w:val="231F20"/>
          <w:w w:val="105"/>
          <w:sz w:val="21"/>
        </w:rPr>
        <w:t> Three</w:t>
      </w:r>
      <w:r>
        <w:rPr>
          <w:color w:val="231F20"/>
          <w:w w:val="105"/>
          <w:sz w:val="21"/>
        </w:rPr>
        <w:t> things</w:t>
      </w:r>
      <w:r>
        <w:rPr>
          <w:color w:val="231F20"/>
          <w:w w:val="105"/>
          <w:sz w:val="21"/>
        </w:rPr>
        <w:t> are worth</w:t>
      </w:r>
      <w:r>
        <w:rPr>
          <w:color w:val="231F20"/>
          <w:w w:val="105"/>
          <w:sz w:val="21"/>
        </w:rPr>
        <w:t> noting.</w:t>
      </w:r>
      <w:r>
        <w:rPr>
          <w:color w:val="231F20"/>
          <w:w w:val="105"/>
          <w:sz w:val="21"/>
        </w:rPr>
        <w:t> </w:t>
      </w:r>
      <w:r>
        <w:rPr>
          <w:i/>
          <w:color w:val="231F20"/>
          <w:w w:val="105"/>
          <w:sz w:val="21"/>
        </w:rPr>
        <w:t>The</w:t>
      </w:r>
      <w:r>
        <w:rPr>
          <w:i/>
          <w:color w:val="231F20"/>
          <w:w w:val="105"/>
          <w:sz w:val="21"/>
        </w:rPr>
        <w:t> total</w:t>
      </w:r>
      <w:r>
        <w:rPr>
          <w:i/>
          <w:color w:val="231F20"/>
          <w:w w:val="105"/>
          <w:sz w:val="21"/>
        </w:rPr>
        <w:t> of</w:t>
      </w:r>
      <w:r>
        <w:rPr>
          <w:i/>
          <w:color w:val="231F20"/>
          <w:w w:val="105"/>
          <w:sz w:val="21"/>
        </w:rPr>
        <w:t> assets</w:t>
      </w:r>
      <w:r>
        <w:rPr>
          <w:i/>
          <w:color w:val="231F20"/>
          <w:w w:val="105"/>
          <w:sz w:val="21"/>
        </w:rPr>
        <w:t> equals</w:t>
      </w:r>
      <w:r>
        <w:rPr>
          <w:i/>
          <w:color w:val="231F20"/>
          <w:w w:val="105"/>
          <w:sz w:val="21"/>
        </w:rPr>
        <w:t> the</w:t>
      </w:r>
      <w:r>
        <w:rPr>
          <w:i/>
          <w:color w:val="231F20"/>
          <w:w w:val="105"/>
          <w:sz w:val="21"/>
        </w:rPr>
        <w:t> total</w:t>
      </w:r>
      <w:r>
        <w:rPr>
          <w:i/>
          <w:color w:val="231F20"/>
          <w:w w:val="105"/>
          <w:sz w:val="21"/>
        </w:rPr>
        <w:t> of</w:t>
      </w:r>
      <w:r>
        <w:rPr>
          <w:i/>
          <w:color w:val="231F20"/>
          <w:w w:val="105"/>
          <w:sz w:val="21"/>
        </w:rPr>
        <w:t> liabilities</w:t>
      </w:r>
      <w:r>
        <w:rPr>
          <w:i/>
          <w:color w:val="231F20"/>
          <w:w w:val="105"/>
          <w:sz w:val="21"/>
        </w:rPr>
        <w:t> and</w:t>
      </w:r>
      <w:r>
        <w:rPr>
          <w:i/>
          <w:color w:val="231F20"/>
          <w:w w:val="105"/>
          <w:sz w:val="21"/>
        </w:rPr>
        <w:t> owners’</w:t>
      </w:r>
      <w:r>
        <w:rPr>
          <w:i/>
          <w:color w:val="231F20"/>
          <w:w w:val="105"/>
          <w:sz w:val="21"/>
        </w:rPr>
        <w:t> equity.</w:t>
      </w:r>
      <w:r>
        <w:rPr>
          <w:i/>
          <w:color w:val="231F20"/>
          <w:w w:val="105"/>
          <w:sz w:val="21"/>
        </w:rPr>
        <w:t> </w:t>
      </w:r>
      <w:r>
        <w:rPr>
          <w:color w:val="231F20"/>
          <w:w w:val="105"/>
          <w:sz w:val="21"/>
        </w:rPr>
        <w:t>Second,</w:t>
      </w:r>
      <w:r>
        <w:rPr>
          <w:color w:val="231F20"/>
          <w:w w:val="105"/>
          <w:sz w:val="21"/>
        </w:rPr>
        <w:t> the</w:t>
      </w:r>
      <w:r>
        <w:rPr>
          <w:color w:val="231F20"/>
          <w:w w:val="105"/>
          <w:sz w:val="21"/>
        </w:rPr>
        <w:t> </w:t>
      </w:r>
      <w:r>
        <w:rPr>
          <w:i/>
          <w:color w:val="231F20"/>
          <w:w w:val="105"/>
          <w:sz w:val="21"/>
        </w:rPr>
        <w:t>assets</w:t>
      </w:r>
      <w:r>
        <w:rPr>
          <w:i/>
          <w:color w:val="231F20"/>
          <w:w w:val="105"/>
          <w:sz w:val="21"/>
        </w:rPr>
        <w:t> are</w:t>
      </w:r>
      <w:r>
        <w:rPr>
          <w:i/>
          <w:color w:val="231F20"/>
          <w:w w:val="105"/>
          <w:sz w:val="21"/>
        </w:rPr>
        <w:t> on</w:t>
      </w:r>
      <w:r>
        <w:rPr>
          <w:i/>
          <w:color w:val="231F20"/>
          <w:w w:val="105"/>
          <w:sz w:val="21"/>
        </w:rPr>
        <w:t> the</w:t>
      </w:r>
      <w:r>
        <w:rPr>
          <w:i/>
          <w:color w:val="231F20"/>
          <w:w w:val="105"/>
          <w:sz w:val="21"/>
        </w:rPr>
        <w:t> left</w:t>
      </w:r>
      <w:r>
        <w:rPr>
          <w:i/>
          <w:color w:val="231F20"/>
          <w:w w:val="105"/>
          <w:sz w:val="21"/>
        </w:rPr>
        <w:t> </w:t>
      </w:r>
      <w:r>
        <w:rPr>
          <w:color w:val="231F20"/>
          <w:w w:val="105"/>
          <w:sz w:val="21"/>
        </w:rPr>
        <w:t>and</w:t>
      </w:r>
      <w:r>
        <w:rPr>
          <w:color w:val="231F20"/>
          <w:w w:val="105"/>
          <w:sz w:val="21"/>
        </w:rPr>
        <w:t> the</w:t>
      </w:r>
      <w:r>
        <w:rPr>
          <w:color w:val="231F20"/>
          <w:w w:val="105"/>
          <w:sz w:val="21"/>
        </w:rPr>
        <w:t> </w:t>
      </w:r>
      <w:r>
        <w:rPr>
          <w:i/>
          <w:color w:val="231F20"/>
          <w:w w:val="105"/>
          <w:sz w:val="21"/>
        </w:rPr>
        <w:t>liabilities</w:t>
      </w:r>
      <w:r>
        <w:rPr>
          <w:i/>
          <w:color w:val="231F20"/>
          <w:w w:val="105"/>
          <w:sz w:val="21"/>
        </w:rPr>
        <w:t> and</w:t>
      </w:r>
      <w:r>
        <w:rPr>
          <w:i/>
          <w:color w:val="231F20"/>
          <w:w w:val="105"/>
          <w:sz w:val="21"/>
        </w:rPr>
        <w:t> OE</w:t>
      </w:r>
      <w:r>
        <w:rPr>
          <w:i/>
          <w:color w:val="231F20"/>
          <w:w w:val="105"/>
          <w:sz w:val="21"/>
        </w:rPr>
        <w:t> are</w:t>
      </w:r>
      <w:r>
        <w:rPr>
          <w:i/>
          <w:color w:val="231F20"/>
          <w:w w:val="105"/>
          <w:sz w:val="21"/>
        </w:rPr>
        <w:t> on</w:t>
      </w:r>
      <w:r>
        <w:rPr>
          <w:i/>
          <w:color w:val="231F20"/>
          <w:w w:val="105"/>
          <w:sz w:val="21"/>
        </w:rPr>
        <w:t> the</w:t>
      </w:r>
      <w:r>
        <w:rPr>
          <w:i/>
          <w:color w:val="231F20"/>
          <w:w w:val="105"/>
          <w:sz w:val="21"/>
        </w:rPr>
        <w:t> right,</w:t>
      </w:r>
      <w:r>
        <w:rPr>
          <w:i/>
          <w:color w:val="231F20"/>
          <w:w w:val="105"/>
          <w:sz w:val="21"/>
        </w:rPr>
        <w:t> </w:t>
      </w:r>
      <w:r>
        <w:rPr>
          <w:color w:val="231F20"/>
          <w:w w:val="105"/>
          <w:sz w:val="21"/>
        </w:rPr>
        <w:t>just</w:t>
      </w:r>
      <w:r>
        <w:rPr>
          <w:color w:val="231F20"/>
          <w:w w:val="105"/>
          <w:sz w:val="21"/>
        </w:rPr>
        <w:t> like</w:t>
      </w:r>
      <w:r>
        <w:rPr>
          <w:color w:val="231F20"/>
          <w:w w:val="105"/>
          <w:sz w:val="21"/>
        </w:rPr>
        <w:t> the</w:t>
      </w:r>
      <w:r>
        <w:rPr>
          <w:color w:val="231F20"/>
          <w:w w:val="105"/>
          <w:sz w:val="21"/>
        </w:rPr>
        <w:t> journal</w:t>
      </w:r>
      <w:r>
        <w:rPr>
          <w:color w:val="231F20"/>
          <w:w w:val="105"/>
          <w:sz w:val="21"/>
        </w:rPr>
        <w:t> entries</w:t>
      </w:r>
      <w:r>
        <w:rPr>
          <w:color w:val="231F20"/>
          <w:w w:val="105"/>
          <w:sz w:val="21"/>
        </w:rPr>
        <w:t> of</w:t>
      </w:r>
      <w:r>
        <w:rPr>
          <w:color w:val="231F20"/>
          <w:w w:val="105"/>
          <w:sz w:val="21"/>
        </w:rPr>
        <w:t> debits</w:t>
      </w:r>
      <w:r>
        <w:rPr>
          <w:color w:val="231F20"/>
          <w:w w:val="105"/>
          <w:sz w:val="21"/>
        </w:rPr>
        <w:t> </w:t>
      </w:r>
      <w:r>
        <w:rPr>
          <w:color w:val="231F20"/>
          <w:w w:val="105"/>
          <w:sz w:val="21"/>
        </w:rPr>
        <w:t>and credits.</w:t>
      </w:r>
      <w:r>
        <w:rPr>
          <w:color w:val="231F20"/>
          <w:spacing w:val="-7"/>
          <w:w w:val="105"/>
          <w:sz w:val="21"/>
        </w:rPr>
        <w:t> </w:t>
      </w:r>
      <w:r>
        <w:rPr>
          <w:color w:val="231F20"/>
          <w:w w:val="105"/>
          <w:sz w:val="21"/>
        </w:rPr>
        <w:t>The</w:t>
      </w:r>
      <w:r>
        <w:rPr>
          <w:color w:val="231F20"/>
          <w:spacing w:val="-7"/>
          <w:w w:val="105"/>
          <w:sz w:val="21"/>
        </w:rPr>
        <w:t> </w:t>
      </w:r>
      <w:r>
        <w:rPr>
          <w:color w:val="231F20"/>
          <w:w w:val="105"/>
          <w:sz w:val="21"/>
        </w:rPr>
        <w:t>third</w:t>
      </w:r>
      <w:r>
        <w:rPr>
          <w:color w:val="231F20"/>
          <w:spacing w:val="-7"/>
          <w:w w:val="105"/>
          <w:sz w:val="21"/>
        </w:rPr>
        <w:t> </w:t>
      </w:r>
      <w:r>
        <w:rPr>
          <w:color w:val="231F20"/>
          <w:w w:val="105"/>
          <w:sz w:val="21"/>
        </w:rPr>
        <w:t>noteworthy</w:t>
      </w:r>
      <w:r>
        <w:rPr>
          <w:color w:val="231F20"/>
          <w:spacing w:val="-7"/>
          <w:w w:val="105"/>
          <w:sz w:val="21"/>
        </w:rPr>
        <w:t> </w:t>
      </w:r>
      <w:r>
        <w:rPr>
          <w:color w:val="231F20"/>
          <w:w w:val="105"/>
          <w:sz w:val="21"/>
        </w:rPr>
        <w:t>item</w:t>
      </w:r>
      <w:r>
        <w:rPr>
          <w:color w:val="231F20"/>
          <w:spacing w:val="-7"/>
          <w:w w:val="105"/>
          <w:sz w:val="21"/>
        </w:rPr>
        <w:t> </w:t>
      </w:r>
      <w:r>
        <w:rPr>
          <w:color w:val="231F20"/>
          <w:w w:val="105"/>
          <w:sz w:val="21"/>
        </w:rPr>
        <w:t>is</w:t>
      </w:r>
      <w:r>
        <w:rPr>
          <w:color w:val="231F20"/>
          <w:spacing w:val="-7"/>
          <w:w w:val="105"/>
          <w:sz w:val="21"/>
        </w:rPr>
        <w:t> </w:t>
      </w:r>
      <w:r>
        <w:rPr>
          <w:color w:val="231F20"/>
          <w:w w:val="105"/>
          <w:sz w:val="21"/>
        </w:rPr>
        <w:t>that</w:t>
      </w:r>
      <w:r>
        <w:rPr>
          <w:color w:val="231F20"/>
          <w:spacing w:val="-7"/>
          <w:w w:val="105"/>
          <w:sz w:val="21"/>
        </w:rPr>
        <w:t> </w:t>
      </w:r>
      <w:r>
        <w:rPr>
          <w:color w:val="231F20"/>
          <w:w w:val="105"/>
          <w:sz w:val="21"/>
        </w:rPr>
        <w:t>the</w:t>
      </w:r>
      <w:r>
        <w:rPr>
          <w:color w:val="231F20"/>
          <w:spacing w:val="-7"/>
          <w:w w:val="105"/>
          <w:sz w:val="21"/>
        </w:rPr>
        <w:t> </w:t>
      </w:r>
      <w:r>
        <w:rPr>
          <w:color w:val="231F20"/>
          <w:w w:val="105"/>
          <w:sz w:val="21"/>
        </w:rPr>
        <w:t>balance</w:t>
      </w:r>
      <w:r>
        <w:rPr>
          <w:color w:val="231F20"/>
          <w:spacing w:val="-7"/>
          <w:w w:val="105"/>
          <w:sz w:val="21"/>
        </w:rPr>
        <w:t> </w:t>
      </w:r>
      <w:r>
        <w:rPr>
          <w:color w:val="231F20"/>
          <w:w w:val="105"/>
          <w:sz w:val="21"/>
        </w:rPr>
        <w:t>sheet</w:t>
      </w:r>
      <w:r>
        <w:rPr>
          <w:color w:val="231F20"/>
          <w:spacing w:val="-7"/>
          <w:w w:val="105"/>
          <w:sz w:val="21"/>
        </w:rPr>
        <w:t> </w:t>
      </w:r>
      <w:r>
        <w:rPr>
          <w:color w:val="231F20"/>
          <w:w w:val="105"/>
          <w:sz w:val="21"/>
        </w:rPr>
        <w:t>is</w:t>
      </w:r>
      <w:r>
        <w:rPr>
          <w:color w:val="231F20"/>
          <w:spacing w:val="-7"/>
          <w:w w:val="105"/>
          <w:sz w:val="21"/>
        </w:rPr>
        <w:t> </w:t>
      </w:r>
      <w:r>
        <w:rPr>
          <w:color w:val="231F20"/>
          <w:w w:val="105"/>
          <w:sz w:val="21"/>
        </w:rPr>
        <w:t>as</w:t>
      </w:r>
      <w:r>
        <w:rPr>
          <w:color w:val="231F20"/>
          <w:spacing w:val="-7"/>
          <w:w w:val="105"/>
          <w:sz w:val="21"/>
        </w:rPr>
        <w:t> </w:t>
      </w:r>
      <w:r>
        <w:rPr>
          <w:color w:val="231F20"/>
          <w:w w:val="105"/>
          <w:sz w:val="21"/>
        </w:rPr>
        <w:t>of a</w:t>
      </w:r>
      <w:r>
        <w:rPr>
          <w:color w:val="231F20"/>
          <w:w w:val="105"/>
          <w:sz w:val="21"/>
        </w:rPr>
        <w:t> </w:t>
      </w:r>
      <w:r>
        <w:rPr>
          <w:i/>
          <w:color w:val="231F20"/>
          <w:w w:val="105"/>
          <w:sz w:val="21"/>
        </w:rPr>
        <w:t>point</w:t>
      </w:r>
      <w:r>
        <w:rPr>
          <w:i/>
          <w:color w:val="231F20"/>
          <w:w w:val="105"/>
          <w:sz w:val="21"/>
        </w:rPr>
        <w:t> certain</w:t>
      </w:r>
      <w:r>
        <w:rPr>
          <w:i/>
          <w:color w:val="231F20"/>
          <w:w w:val="105"/>
          <w:sz w:val="21"/>
        </w:rPr>
        <w:t> in</w:t>
      </w:r>
      <w:r>
        <w:rPr>
          <w:i/>
          <w:color w:val="231F20"/>
          <w:w w:val="105"/>
          <w:sz w:val="21"/>
        </w:rPr>
        <w:t> time,</w:t>
      </w:r>
      <w:r>
        <w:rPr>
          <w:i/>
          <w:color w:val="231F20"/>
          <w:w w:val="105"/>
          <w:sz w:val="21"/>
        </w:rPr>
        <w:t> </w:t>
      </w:r>
      <w:r>
        <w:rPr>
          <w:color w:val="231F20"/>
          <w:w w:val="105"/>
          <w:sz w:val="21"/>
        </w:rPr>
        <w:t>December</w:t>
      </w:r>
      <w:r>
        <w:rPr>
          <w:color w:val="231F20"/>
          <w:w w:val="105"/>
          <w:sz w:val="21"/>
        </w:rPr>
        <w:t> 31,</w:t>
      </w:r>
      <w:r>
        <w:rPr>
          <w:color w:val="231F20"/>
          <w:w w:val="105"/>
          <w:sz w:val="21"/>
        </w:rPr>
        <w:t> 2005,</w:t>
      </w:r>
      <w:r>
        <w:rPr>
          <w:color w:val="231F20"/>
          <w:w w:val="105"/>
          <w:sz w:val="21"/>
        </w:rPr>
        <w:t> a</w:t>
      </w:r>
      <w:r>
        <w:rPr>
          <w:color w:val="231F20"/>
          <w:w w:val="105"/>
          <w:sz w:val="21"/>
        </w:rPr>
        <w:t> specific</w:t>
      </w:r>
      <w:r>
        <w:rPr>
          <w:color w:val="231F20"/>
          <w:w w:val="105"/>
          <w:sz w:val="21"/>
        </w:rPr>
        <w:t> date.</w:t>
      </w:r>
      <w:r>
        <w:rPr>
          <w:color w:val="231F20"/>
          <w:w w:val="105"/>
          <w:sz w:val="21"/>
        </w:rPr>
        <w:t> Even though</w:t>
      </w:r>
      <w:r>
        <w:rPr>
          <w:color w:val="231F20"/>
          <w:spacing w:val="-1"/>
          <w:w w:val="105"/>
          <w:sz w:val="21"/>
        </w:rPr>
        <w:t> </w:t>
      </w:r>
      <w:r>
        <w:rPr>
          <w:color w:val="231F20"/>
          <w:w w:val="105"/>
          <w:sz w:val="21"/>
        </w:rPr>
        <w:t>a</w:t>
      </w:r>
      <w:r>
        <w:rPr>
          <w:color w:val="231F20"/>
          <w:spacing w:val="-1"/>
          <w:w w:val="105"/>
          <w:sz w:val="21"/>
        </w:rPr>
        <w:t> </w:t>
      </w:r>
      <w:r>
        <w:rPr>
          <w:color w:val="231F20"/>
          <w:w w:val="105"/>
          <w:sz w:val="21"/>
        </w:rPr>
        <w:t>business</w:t>
      </w:r>
      <w:r>
        <w:rPr>
          <w:color w:val="231F20"/>
          <w:spacing w:val="-1"/>
          <w:w w:val="105"/>
          <w:sz w:val="21"/>
        </w:rPr>
        <w:t> </w:t>
      </w:r>
      <w:r>
        <w:rPr>
          <w:color w:val="231F20"/>
          <w:w w:val="105"/>
          <w:sz w:val="21"/>
        </w:rPr>
        <w:t>is</w:t>
      </w:r>
      <w:r>
        <w:rPr>
          <w:color w:val="231F20"/>
          <w:spacing w:val="-1"/>
          <w:w w:val="105"/>
          <w:sz w:val="21"/>
        </w:rPr>
        <w:t> </w:t>
      </w:r>
      <w:r>
        <w:rPr>
          <w:color w:val="231F20"/>
          <w:w w:val="105"/>
          <w:sz w:val="21"/>
        </w:rPr>
        <w:t>the</w:t>
      </w:r>
      <w:r>
        <w:rPr>
          <w:color w:val="231F20"/>
          <w:spacing w:val="-1"/>
          <w:w w:val="105"/>
          <w:sz w:val="21"/>
        </w:rPr>
        <w:t> </w:t>
      </w:r>
      <w:r>
        <w:rPr>
          <w:color w:val="231F20"/>
          <w:w w:val="105"/>
          <w:sz w:val="21"/>
        </w:rPr>
        <w:t>result</w:t>
      </w:r>
      <w:r>
        <w:rPr>
          <w:color w:val="231F20"/>
          <w:spacing w:val="-1"/>
          <w:w w:val="105"/>
          <w:sz w:val="21"/>
        </w:rPr>
        <w:t> </w:t>
      </w:r>
      <w:r>
        <w:rPr>
          <w:color w:val="231F20"/>
          <w:w w:val="105"/>
          <w:sz w:val="21"/>
        </w:rPr>
        <w:t>of</w:t>
      </w:r>
      <w:r>
        <w:rPr>
          <w:color w:val="231F20"/>
          <w:spacing w:val="-1"/>
          <w:w w:val="105"/>
          <w:sz w:val="21"/>
        </w:rPr>
        <w:t> </w:t>
      </w:r>
      <w:r>
        <w:rPr>
          <w:color w:val="231F20"/>
          <w:w w:val="105"/>
          <w:sz w:val="21"/>
        </w:rPr>
        <w:t>buying</w:t>
      </w:r>
      <w:r>
        <w:rPr>
          <w:color w:val="231F20"/>
          <w:spacing w:val="-1"/>
          <w:w w:val="105"/>
          <w:sz w:val="21"/>
        </w:rPr>
        <w:t> </w:t>
      </w:r>
      <w:r>
        <w:rPr>
          <w:color w:val="231F20"/>
          <w:w w:val="105"/>
          <w:sz w:val="21"/>
        </w:rPr>
        <w:t>and</w:t>
      </w:r>
      <w:r>
        <w:rPr>
          <w:color w:val="231F20"/>
          <w:spacing w:val="-1"/>
          <w:w w:val="105"/>
          <w:sz w:val="21"/>
        </w:rPr>
        <w:t> </w:t>
      </w:r>
      <w:r>
        <w:rPr>
          <w:color w:val="231F20"/>
          <w:w w:val="105"/>
          <w:sz w:val="21"/>
        </w:rPr>
        <w:t>selling</w:t>
      </w:r>
      <w:r>
        <w:rPr>
          <w:color w:val="231F20"/>
          <w:spacing w:val="-1"/>
          <w:w w:val="105"/>
          <w:sz w:val="21"/>
        </w:rPr>
        <w:t> </w:t>
      </w:r>
      <w:r>
        <w:rPr>
          <w:color w:val="231F20"/>
          <w:w w:val="105"/>
          <w:sz w:val="21"/>
        </w:rPr>
        <w:t>over</w:t>
      </w:r>
      <w:r>
        <w:rPr>
          <w:color w:val="231F20"/>
          <w:spacing w:val="-1"/>
          <w:w w:val="105"/>
          <w:sz w:val="21"/>
        </w:rPr>
        <w:t> </w:t>
      </w:r>
      <w:r>
        <w:rPr>
          <w:color w:val="231F20"/>
          <w:w w:val="105"/>
          <w:sz w:val="21"/>
        </w:rPr>
        <w:t>time,</w:t>
      </w:r>
      <w:r>
        <w:rPr>
          <w:color w:val="231F20"/>
          <w:spacing w:val="-1"/>
          <w:w w:val="105"/>
          <w:sz w:val="21"/>
        </w:rPr>
        <w:t> </w:t>
      </w:r>
      <w:r>
        <w:rPr>
          <w:color w:val="231F20"/>
          <w:w w:val="105"/>
          <w:sz w:val="21"/>
        </w:rPr>
        <w:t>the balance</w:t>
      </w:r>
      <w:r>
        <w:rPr>
          <w:color w:val="231F20"/>
          <w:spacing w:val="-13"/>
          <w:w w:val="105"/>
          <w:sz w:val="21"/>
        </w:rPr>
        <w:t> </w:t>
      </w:r>
      <w:r>
        <w:rPr>
          <w:color w:val="231F20"/>
          <w:w w:val="105"/>
          <w:sz w:val="21"/>
        </w:rPr>
        <w:t>sheet</w:t>
      </w:r>
      <w:r>
        <w:rPr>
          <w:color w:val="231F20"/>
          <w:spacing w:val="-12"/>
          <w:w w:val="105"/>
          <w:sz w:val="21"/>
        </w:rPr>
        <w:t> </w:t>
      </w:r>
      <w:r>
        <w:rPr>
          <w:color w:val="231F20"/>
          <w:w w:val="105"/>
          <w:sz w:val="21"/>
        </w:rPr>
        <w:t>is</w:t>
      </w:r>
      <w:r>
        <w:rPr>
          <w:color w:val="231F20"/>
          <w:spacing w:val="-12"/>
          <w:w w:val="105"/>
          <w:sz w:val="21"/>
        </w:rPr>
        <w:t> </w:t>
      </w:r>
      <w:r>
        <w:rPr>
          <w:color w:val="231F20"/>
          <w:w w:val="105"/>
          <w:sz w:val="21"/>
        </w:rPr>
        <w:t>only</w:t>
      </w:r>
      <w:r>
        <w:rPr>
          <w:color w:val="231F20"/>
          <w:spacing w:val="-12"/>
          <w:w w:val="105"/>
          <w:sz w:val="21"/>
        </w:rPr>
        <w:t> </w:t>
      </w:r>
      <w:r>
        <w:rPr>
          <w:color w:val="231F20"/>
          <w:w w:val="105"/>
          <w:sz w:val="21"/>
        </w:rPr>
        <w:t>a</w:t>
      </w:r>
      <w:r>
        <w:rPr>
          <w:color w:val="231F20"/>
          <w:spacing w:val="-12"/>
          <w:w w:val="105"/>
          <w:sz w:val="21"/>
        </w:rPr>
        <w:t> </w:t>
      </w:r>
      <w:r>
        <w:rPr>
          <w:color w:val="231F20"/>
          <w:w w:val="105"/>
          <w:sz w:val="21"/>
        </w:rPr>
        <w:t>“snapshot”</w:t>
      </w:r>
      <w:r>
        <w:rPr>
          <w:color w:val="231F20"/>
          <w:spacing w:val="-12"/>
          <w:w w:val="105"/>
          <w:sz w:val="21"/>
        </w:rPr>
        <w:t> </w:t>
      </w:r>
      <w:r>
        <w:rPr>
          <w:color w:val="231F20"/>
          <w:w w:val="105"/>
          <w:sz w:val="21"/>
        </w:rPr>
        <w:t>of</w:t>
      </w:r>
      <w:r>
        <w:rPr>
          <w:color w:val="231F20"/>
          <w:spacing w:val="-12"/>
          <w:w w:val="105"/>
          <w:sz w:val="21"/>
        </w:rPr>
        <w:t> </w:t>
      </w:r>
      <w:r>
        <w:rPr>
          <w:color w:val="231F20"/>
          <w:w w:val="105"/>
          <w:sz w:val="21"/>
        </w:rPr>
        <w:t>what</w:t>
      </w:r>
      <w:r>
        <w:rPr>
          <w:color w:val="231F20"/>
          <w:spacing w:val="-13"/>
          <w:w w:val="105"/>
          <w:sz w:val="21"/>
        </w:rPr>
        <w:t> </w:t>
      </w:r>
      <w:r>
        <w:rPr>
          <w:color w:val="231F20"/>
          <w:w w:val="105"/>
          <w:sz w:val="21"/>
        </w:rPr>
        <w:t>the</w:t>
      </w:r>
      <w:r>
        <w:rPr>
          <w:color w:val="231F20"/>
          <w:spacing w:val="-12"/>
          <w:w w:val="105"/>
          <w:sz w:val="21"/>
        </w:rPr>
        <w:t> </w:t>
      </w:r>
      <w:r>
        <w:rPr>
          <w:color w:val="231F20"/>
          <w:w w:val="105"/>
          <w:sz w:val="21"/>
        </w:rPr>
        <w:t>company’s</w:t>
      </w:r>
      <w:r>
        <w:rPr>
          <w:color w:val="231F20"/>
          <w:spacing w:val="-12"/>
          <w:w w:val="105"/>
          <w:sz w:val="21"/>
        </w:rPr>
        <w:t> </w:t>
      </w:r>
      <w:r>
        <w:rPr>
          <w:color w:val="231F20"/>
          <w:w w:val="105"/>
          <w:sz w:val="21"/>
        </w:rPr>
        <w:t>resources and obligations are at a stated time.</w:t>
      </w:r>
    </w:p>
    <w:p>
      <w:pPr>
        <w:pStyle w:val="BodyText"/>
        <w:spacing w:before="1"/>
        <w:rPr>
          <w:sz w:val="27"/>
        </w:rPr>
      </w:pPr>
    </w:p>
    <w:p>
      <w:pPr>
        <w:spacing w:before="0"/>
        <w:ind w:left="1260" w:right="0" w:firstLine="0"/>
        <w:jc w:val="left"/>
        <w:rPr>
          <w:rFonts w:ascii="Arial"/>
          <w:i/>
          <w:sz w:val="19"/>
        </w:rPr>
      </w:pPr>
      <w:r>
        <w:rPr>
          <w:rFonts w:ascii="Arial"/>
          <w:i/>
          <w:color w:val="231F20"/>
          <w:w w:val="115"/>
          <w:sz w:val="19"/>
        </w:rPr>
        <w:t>Liquidity:</w:t>
      </w:r>
      <w:r>
        <w:rPr>
          <w:rFonts w:ascii="Arial"/>
          <w:i/>
          <w:color w:val="231F20"/>
          <w:spacing w:val="-13"/>
          <w:w w:val="115"/>
          <w:sz w:val="19"/>
        </w:rPr>
        <w:t> </w:t>
      </w:r>
      <w:r>
        <w:rPr>
          <w:rFonts w:ascii="Arial"/>
          <w:i/>
          <w:color w:val="231F20"/>
          <w:w w:val="115"/>
          <w:sz w:val="19"/>
        </w:rPr>
        <w:t>Current</w:t>
      </w:r>
      <w:r>
        <w:rPr>
          <w:rFonts w:ascii="Arial"/>
          <w:i/>
          <w:color w:val="231F20"/>
          <w:spacing w:val="-12"/>
          <w:w w:val="115"/>
          <w:sz w:val="19"/>
        </w:rPr>
        <w:t> </w:t>
      </w:r>
      <w:r>
        <w:rPr>
          <w:rFonts w:ascii="Arial"/>
          <w:i/>
          <w:color w:val="231F20"/>
          <w:w w:val="115"/>
          <w:sz w:val="19"/>
        </w:rPr>
        <w:t>and</w:t>
      </w:r>
      <w:r>
        <w:rPr>
          <w:rFonts w:ascii="Arial"/>
          <w:i/>
          <w:color w:val="231F20"/>
          <w:spacing w:val="-12"/>
          <w:w w:val="115"/>
          <w:sz w:val="19"/>
        </w:rPr>
        <w:t> </w:t>
      </w:r>
      <w:r>
        <w:rPr>
          <w:rFonts w:ascii="Arial"/>
          <w:i/>
          <w:color w:val="231F20"/>
          <w:w w:val="115"/>
          <w:sz w:val="19"/>
        </w:rPr>
        <w:t>Long-Term</w:t>
      </w:r>
      <w:r>
        <w:rPr>
          <w:rFonts w:ascii="Arial"/>
          <w:i/>
          <w:color w:val="231F20"/>
          <w:spacing w:val="-12"/>
          <w:w w:val="115"/>
          <w:sz w:val="19"/>
        </w:rPr>
        <w:t> </w:t>
      </w:r>
      <w:r>
        <w:rPr>
          <w:rFonts w:ascii="Arial"/>
          <w:i/>
          <w:color w:val="231F20"/>
          <w:spacing w:val="-2"/>
          <w:w w:val="115"/>
          <w:sz w:val="19"/>
        </w:rPr>
        <w:t>Classifications</w:t>
      </w:r>
    </w:p>
    <w:p>
      <w:pPr>
        <w:pStyle w:val="BodyText"/>
        <w:spacing w:line="292" w:lineRule="auto" w:before="60"/>
        <w:ind w:left="919" w:right="666" w:firstLine="340"/>
        <w:jc w:val="both"/>
      </w:pPr>
      <w:r>
        <w:rPr>
          <w:color w:val="231F20"/>
        </w:rPr>
        <w:t>An important aspect of the balance sheet statement is that the assets and liabilities are listed in order of their </w:t>
      </w:r>
      <w:r>
        <w:rPr>
          <w:i/>
          <w:color w:val="231F20"/>
        </w:rPr>
        <w:t>liquidity, </w:t>
      </w:r>
      <w:r>
        <w:rPr>
          <w:color w:val="231F20"/>
        </w:rPr>
        <w:t>from </w:t>
      </w:r>
      <w:r>
        <w:rPr>
          <w:color w:val="231F20"/>
        </w:rPr>
        <w:t>most liquid to least. Liquidity means the ability of an asset to be converted to</w:t>
      </w:r>
      <w:r>
        <w:rPr>
          <w:color w:val="231F20"/>
          <w:spacing w:val="40"/>
        </w:rPr>
        <w:t> </w:t>
      </w:r>
      <w:r>
        <w:rPr>
          <w:color w:val="231F20"/>
        </w:rPr>
        <w:t>cash.</w:t>
      </w:r>
      <w:r>
        <w:rPr>
          <w:color w:val="231F20"/>
          <w:spacing w:val="40"/>
        </w:rPr>
        <w:t> </w:t>
      </w:r>
      <w:r>
        <w:rPr>
          <w:color w:val="231F20"/>
        </w:rPr>
        <w:t>Cash,</w:t>
      </w:r>
      <w:r>
        <w:rPr>
          <w:color w:val="231F20"/>
          <w:spacing w:val="40"/>
        </w:rPr>
        <w:t> </w:t>
      </w:r>
      <w:r>
        <w:rPr>
          <w:color w:val="231F20"/>
        </w:rPr>
        <w:t>accounts</w:t>
      </w:r>
      <w:r>
        <w:rPr>
          <w:color w:val="231F20"/>
          <w:spacing w:val="40"/>
        </w:rPr>
        <w:t> </w:t>
      </w:r>
      <w:r>
        <w:rPr>
          <w:color w:val="231F20"/>
        </w:rPr>
        <w:t>receivable</w:t>
      </w:r>
      <w:r>
        <w:rPr>
          <w:color w:val="231F20"/>
          <w:spacing w:val="40"/>
        </w:rPr>
        <w:t> </w:t>
      </w:r>
      <w:r>
        <w:rPr>
          <w:color w:val="231F20"/>
        </w:rPr>
        <w:t>from</w:t>
      </w:r>
      <w:r>
        <w:rPr>
          <w:color w:val="231F20"/>
          <w:spacing w:val="40"/>
        </w:rPr>
        <w:t> </w:t>
      </w:r>
      <w:r>
        <w:rPr>
          <w:color w:val="231F20"/>
        </w:rPr>
        <w:t>customers,</w:t>
      </w:r>
      <w:r>
        <w:rPr>
          <w:color w:val="231F20"/>
          <w:spacing w:val="40"/>
        </w:rPr>
        <w:t> </w:t>
      </w:r>
      <w:r>
        <w:rPr>
          <w:color w:val="231F20"/>
        </w:rPr>
        <w:t>and</w:t>
      </w:r>
      <w:r>
        <w:rPr>
          <w:color w:val="231F20"/>
          <w:spacing w:val="40"/>
        </w:rPr>
        <w:t> </w:t>
      </w:r>
      <w:r>
        <w:rPr>
          <w:color w:val="231F20"/>
        </w:rPr>
        <w:t>inventory are labeled </w:t>
      </w:r>
      <w:r>
        <w:rPr>
          <w:i/>
          <w:color w:val="231F20"/>
        </w:rPr>
        <w:t>current </w:t>
      </w:r>
      <w:r>
        <w:rPr>
          <w:color w:val="231F20"/>
        </w:rPr>
        <w:t>and are listed first since they are easily trans- ferred and converted into cash within the next operating period, typ- ically in one year (i.e., they are liquid). Equipment is not easily sold; therefore, it is classified as </w:t>
      </w:r>
      <w:r>
        <w:rPr>
          <w:i/>
          <w:color w:val="231F20"/>
        </w:rPr>
        <w:t>fixed, long-term, </w:t>
      </w:r>
      <w:r>
        <w:rPr>
          <w:color w:val="231F20"/>
        </w:rPr>
        <w:t>or a </w:t>
      </w:r>
      <w:r>
        <w:rPr>
          <w:i/>
          <w:color w:val="231F20"/>
        </w:rPr>
        <w:t>noncurrent </w:t>
      </w:r>
      <w:r>
        <w:rPr>
          <w:color w:val="231F20"/>
        </w:rPr>
        <w:t>asset (NCA) and listed below the current items. Check out Bob’s balance sheet to verify the placement of these items.</w:t>
      </w:r>
    </w:p>
    <w:p>
      <w:pPr>
        <w:pStyle w:val="BodyText"/>
        <w:spacing w:line="292" w:lineRule="auto"/>
        <w:ind w:left="919" w:right="666" w:firstLine="340"/>
        <w:jc w:val="both"/>
      </w:pPr>
      <w:r>
        <w:rPr>
          <w:color w:val="231F20"/>
        </w:rPr>
        <w:t>On the liabilities side, the accounts payable to suppliers, </w:t>
      </w:r>
      <w:r>
        <w:rPr>
          <w:color w:val="231F20"/>
        </w:rPr>
        <w:t>wages payable to employees, and taxes payable are current liabilities. They are short-term obligations that will have to be paid within a year.</w:t>
      </w:r>
      <w:r>
        <w:rPr>
          <w:color w:val="231F20"/>
          <w:spacing w:val="80"/>
        </w:rPr>
        <w:t> </w:t>
      </w:r>
      <w:r>
        <w:rPr>
          <w:color w:val="231F20"/>
        </w:rPr>
        <w:t>The</w:t>
      </w:r>
      <w:r>
        <w:rPr>
          <w:color w:val="231F20"/>
          <w:spacing w:val="27"/>
        </w:rPr>
        <w:t> </w:t>
      </w:r>
      <w:r>
        <w:rPr>
          <w:color w:val="231F20"/>
        </w:rPr>
        <w:t>bank</w:t>
      </w:r>
      <w:r>
        <w:rPr>
          <w:color w:val="231F20"/>
          <w:spacing w:val="27"/>
        </w:rPr>
        <w:t> </w:t>
      </w:r>
      <w:r>
        <w:rPr>
          <w:color w:val="231F20"/>
        </w:rPr>
        <w:t>debt</w:t>
      </w:r>
      <w:r>
        <w:rPr>
          <w:color w:val="231F20"/>
          <w:spacing w:val="27"/>
        </w:rPr>
        <w:t> </w:t>
      </w:r>
      <w:r>
        <w:rPr>
          <w:color w:val="231F20"/>
        </w:rPr>
        <w:t>is</w:t>
      </w:r>
      <w:r>
        <w:rPr>
          <w:color w:val="231F20"/>
          <w:spacing w:val="26"/>
        </w:rPr>
        <w:t> </w:t>
      </w:r>
      <w:r>
        <w:rPr>
          <w:i/>
          <w:color w:val="231F20"/>
        </w:rPr>
        <w:t>long-term</w:t>
      </w:r>
      <w:r>
        <w:rPr>
          <w:i/>
          <w:color w:val="231F20"/>
          <w:spacing w:val="26"/>
        </w:rPr>
        <w:t> </w:t>
      </w:r>
      <w:r>
        <w:rPr>
          <w:color w:val="231F20"/>
        </w:rPr>
        <w:t>or</w:t>
      </w:r>
      <w:r>
        <w:rPr>
          <w:color w:val="231F20"/>
          <w:spacing w:val="27"/>
        </w:rPr>
        <w:t> </w:t>
      </w:r>
      <w:r>
        <w:rPr>
          <w:color w:val="231F20"/>
        </w:rPr>
        <w:t>a</w:t>
      </w:r>
      <w:r>
        <w:rPr>
          <w:color w:val="231F20"/>
          <w:spacing w:val="27"/>
        </w:rPr>
        <w:t> </w:t>
      </w:r>
      <w:r>
        <w:rPr>
          <w:i/>
          <w:color w:val="231F20"/>
        </w:rPr>
        <w:t>noncurrent</w:t>
      </w:r>
      <w:r>
        <w:rPr>
          <w:i/>
          <w:color w:val="231F20"/>
          <w:spacing w:val="26"/>
        </w:rPr>
        <w:t> </w:t>
      </w:r>
      <w:r>
        <w:rPr>
          <w:color w:val="231F20"/>
        </w:rPr>
        <w:t>liability</w:t>
      </w:r>
      <w:r>
        <w:rPr>
          <w:color w:val="231F20"/>
          <w:spacing w:val="27"/>
        </w:rPr>
        <w:t> </w:t>
      </w:r>
      <w:r>
        <w:rPr>
          <w:color w:val="231F20"/>
        </w:rPr>
        <w:t>(NCL)</w:t>
      </w:r>
      <w:r>
        <w:rPr>
          <w:color w:val="231F20"/>
          <w:spacing w:val="27"/>
        </w:rPr>
        <w:t> </w:t>
      </w:r>
      <w:r>
        <w:rPr>
          <w:color w:val="231F20"/>
        </w:rPr>
        <w:t>because it will be paid off over a period of years.</w:t>
      </w:r>
    </w:p>
    <w:p>
      <w:pPr>
        <w:pStyle w:val="BodyText"/>
        <w:spacing w:before="9"/>
        <w:rPr>
          <w:sz w:val="29"/>
        </w:rPr>
      </w:pPr>
      <w:r>
        <w:rPr/>
        <w:drawing>
          <wp:anchor distT="0" distB="0" distL="0" distR="0" allowOverlap="1" layoutInCell="1" locked="0" behindDoc="0" simplePos="0" relativeHeight="92">
            <wp:simplePos x="0" y="0"/>
            <wp:positionH relativeFrom="page">
              <wp:posOffset>879210</wp:posOffset>
            </wp:positionH>
            <wp:positionV relativeFrom="paragraph">
              <wp:posOffset>237363</wp:posOffset>
            </wp:positionV>
            <wp:extent cx="3748637" cy="1398174"/>
            <wp:effectExtent l="0" t="0" r="0" b="0"/>
            <wp:wrapTopAndBottom/>
            <wp:docPr id="25" name="image14.png"/>
            <wp:cNvGraphicFramePr>
              <a:graphicFrameLocks noChangeAspect="1"/>
            </wp:cNvGraphicFramePr>
            <a:graphic>
              <a:graphicData uri="http://schemas.openxmlformats.org/drawingml/2006/picture">
                <pic:pic>
                  <pic:nvPicPr>
                    <pic:cNvPr id="26" name="image14.png"/>
                    <pic:cNvPicPr/>
                  </pic:nvPicPr>
                  <pic:blipFill>
                    <a:blip r:embed="rId33" cstate="print"/>
                    <a:stretch>
                      <a:fillRect/>
                    </a:stretch>
                  </pic:blipFill>
                  <pic:spPr>
                    <a:xfrm>
                      <a:off x="0" y="0"/>
                      <a:ext cx="3748637" cy="1398174"/>
                    </a:xfrm>
                    <a:prstGeom prst="rect">
                      <a:avLst/>
                    </a:prstGeom>
                  </pic:spPr>
                </pic:pic>
              </a:graphicData>
            </a:graphic>
          </wp:anchor>
        </w:drawing>
      </w:r>
    </w:p>
    <w:p>
      <w:pPr>
        <w:spacing w:after="0"/>
        <w:rPr>
          <w:sz w:val="29"/>
        </w:rPr>
        <w:sectPr>
          <w:pgSz w:w="8640" w:h="12960"/>
          <w:pgMar w:header="734" w:footer="0" w:top="920" w:bottom="280" w:left="340" w:right="500"/>
        </w:sectPr>
      </w:pPr>
    </w:p>
    <w:p>
      <w:pPr>
        <w:pStyle w:val="BodyText"/>
        <w:spacing w:before="4"/>
        <w:rPr>
          <w:sz w:val="19"/>
        </w:rPr>
      </w:pPr>
    </w:p>
    <w:p>
      <w:pPr>
        <w:spacing w:before="99"/>
        <w:ind w:left="1170" w:right="0" w:firstLine="0"/>
        <w:jc w:val="left"/>
        <w:rPr>
          <w:rFonts w:ascii="Arial"/>
          <w:i/>
          <w:sz w:val="19"/>
        </w:rPr>
      </w:pPr>
      <w:r>
        <w:rPr>
          <w:rFonts w:ascii="Arial"/>
          <w:i/>
          <w:color w:val="231F20"/>
          <w:w w:val="115"/>
          <w:sz w:val="19"/>
        </w:rPr>
        <w:t>Working</w:t>
      </w:r>
      <w:r>
        <w:rPr>
          <w:rFonts w:ascii="Arial"/>
          <w:i/>
          <w:color w:val="231F20"/>
          <w:spacing w:val="8"/>
          <w:w w:val="115"/>
          <w:sz w:val="19"/>
        </w:rPr>
        <w:t> </w:t>
      </w:r>
      <w:r>
        <w:rPr>
          <w:rFonts w:ascii="Arial"/>
          <w:i/>
          <w:color w:val="231F20"/>
          <w:spacing w:val="-2"/>
          <w:w w:val="115"/>
          <w:sz w:val="19"/>
        </w:rPr>
        <w:t>Capital</w:t>
      </w:r>
    </w:p>
    <w:p>
      <w:pPr>
        <w:pStyle w:val="BodyText"/>
        <w:spacing w:line="292" w:lineRule="auto" w:before="60"/>
        <w:ind w:left="830" w:right="754" w:firstLine="340"/>
        <w:jc w:val="both"/>
      </w:pPr>
      <w:r>
        <w:rPr>
          <w:color w:val="231F20"/>
          <w:w w:val="105"/>
        </w:rPr>
        <w:t>A</w:t>
      </w:r>
      <w:r>
        <w:rPr>
          <w:color w:val="231F20"/>
          <w:spacing w:val="-13"/>
          <w:w w:val="105"/>
        </w:rPr>
        <w:t> </w:t>
      </w:r>
      <w:r>
        <w:rPr>
          <w:color w:val="231F20"/>
          <w:w w:val="105"/>
        </w:rPr>
        <w:t>commonly</w:t>
      </w:r>
      <w:r>
        <w:rPr>
          <w:color w:val="231F20"/>
          <w:spacing w:val="-12"/>
          <w:w w:val="105"/>
        </w:rPr>
        <w:t> </w:t>
      </w:r>
      <w:r>
        <w:rPr>
          <w:color w:val="231F20"/>
          <w:w w:val="105"/>
        </w:rPr>
        <w:t>used</w:t>
      </w:r>
      <w:r>
        <w:rPr>
          <w:color w:val="231F20"/>
          <w:spacing w:val="-12"/>
          <w:w w:val="105"/>
        </w:rPr>
        <w:t> </w:t>
      </w:r>
      <w:r>
        <w:rPr>
          <w:color w:val="231F20"/>
          <w:w w:val="105"/>
        </w:rPr>
        <w:t>term</w:t>
      </w:r>
      <w:r>
        <w:rPr>
          <w:color w:val="231F20"/>
          <w:spacing w:val="-12"/>
          <w:w w:val="105"/>
        </w:rPr>
        <w:t> </w:t>
      </w:r>
      <w:r>
        <w:rPr>
          <w:color w:val="231F20"/>
          <w:w w:val="105"/>
        </w:rPr>
        <w:t>in</w:t>
      </w:r>
      <w:r>
        <w:rPr>
          <w:color w:val="231F20"/>
          <w:spacing w:val="-12"/>
          <w:w w:val="105"/>
        </w:rPr>
        <w:t> </w:t>
      </w:r>
      <w:r>
        <w:rPr>
          <w:color w:val="231F20"/>
          <w:w w:val="105"/>
        </w:rPr>
        <w:t>accounting</w:t>
      </w:r>
      <w:r>
        <w:rPr>
          <w:color w:val="231F20"/>
          <w:spacing w:val="-12"/>
          <w:w w:val="105"/>
        </w:rPr>
        <w:t> </w:t>
      </w:r>
      <w:r>
        <w:rPr>
          <w:color w:val="231F20"/>
          <w:w w:val="105"/>
        </w:rPr>
        <w:t>as</w:t>
      </w:r>
      <w:r>
        <w:rPr>
          <w:color w:val="231F20"/>
          <w:spacing w:val="-12"/>
          <w:w w:val="105"/>
        </w:rPr>
        <w:t> </w:t>
      </w:r>
      <w:r>
        <w:rPr>
          <w:color w:val="231F20"/>
          <w:w w:val="105"/>
        </w:rPr>
        <w:t>well</w:t>
      </w:r>
      <w:r>
        <w:rPr>
          <w:color w:val="231F20"/>
          <w:spacing w:val="-13"/>
          <w:w w:val="105"/>
        </w:rPr>
        <w:t> </w:t>
      </w:r>
      <w:r>
        <w:rPr>
          <w:color w:val="231F20"/>
          <w:w w:val="105"/>
        </w:rPr>
        <w:t>as</w:t>
      </w:r>
      <w:r>
        <w:rPr>
          <w:color w:val="231F20"/>
          <w:spacing w:val="-12"/>
          <w:w w:val="105"/>
        </w:rPr>
        <w:t> </w:t>
      </w:r>
      <w:r>
        <w:rPr>
          <w:color w:val="231F20"/>
          <w:w w:val="105"/>
        </w:rPr>
        <w:t>finance</w:t>
      </w:r>
      <w:r>
        <w:rPr>
          <w:color w:val="231F20"/>
          <w:spacing w:val="-12"/>
          <w:w w:val="105"/>
        </w:rPr>
        <w:t> </w:t>
      </w:r>
      <w:r>
        <w:rPr>
          <w:color w:val="231F20"/>
          <w:w w:val="105"/>
        </w:rPr>
        <w:t>is</w:t>
      </w:r>
      <w:r>
        <w:rPr>
          <w:color w:val="231F20"/>
          <w:spacing w:val="-12"/>
          <w:w w:val="105"/>
        </w:rPr>
        <w:t> </w:t>
      </w:r>
      <w:r>
        <w:rPr>
          <w:i/>
          <w:color w:val="231F20"/>
          <w:w w:val="105"/>
        </w:rPr>
        <w:t>work-</w:t>
      </w:r>
      <w:r>
        <w:rPr>
          <w:i/>
          <w:color w:val="231F20"/>
          <w:w w:val="105"/>
        </w:rPr>
        <w:t> ing</w:t>
      </w:r>
      <w:r>
        <w:rPr>
          <w:i/>
          <w:color w:val="231F20"/>
          <w:spacing w:val="-12"/>
          <w:w w:val="105"/>
        </w:rPr>
        <w:t> </w:t>
      </w:r>
      <w:r>
        <w:rPr>
          <w:i/>
          <w:color w:val="231F20"/>
          <w:w w:val="105"/>
        </w:rPr>
        <w:t>capital.</w:t>
      </w:r>
      <w:r>
        <w:rPr>
          <w:i/>
          <w:color w:val="231F20"/>
          <w:spacing w:val="-12"/>
          <w:w w:val="105"/>
        </w:rPr>
        <w:t> </w:t>
      </w:r>
      <w:r>
        <w:rPr>
          <w:color w:val="231F20"/>
          <w:w w:val="105"/>
        </w:rPr>
        <w:t>It</w:t>
      </w:r>
      <w:r>
        <w:rPr>
          <w:color w:val="231F20"/>
          <w:spacing w:val="-12"/>
          <w:w w:val="105"/>
        </w:rPr>
        <w:t> </w:t>
      </w:r>
      <w:r>
        <w:rPr>
          <w:color w:val="231F20"/>
          <w:w w:val="105"/>
        </w:rPr>
        <w:t>refers</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assets</w:t>
      </w:r>
      <w:r>
        <w:rPr>
          <w:color w:val="231F20"/>
          <w:spacing w:val="-12"/>
          <w:w w:val="105"/>
        </w:rPr>
        <w:t> </w:t>
      </w:r>
      <w:r>
        <w:rPr>
          <w:color w:val="231F20"/>
          <w:w w:val="105"/>
        </w:rPr>
        <w:t>and</w:t>
      </w:r>
      <w:r>
        <w:rPr>
          <w:color w:val="231F20"/>
          <w:spacing w:val="-12"/>
          <w:w w:val="105"/>
        </w:rPr>
        <w:t> </w:t>
      </w:r>
      <w:r>
        <w:rPr>
          <w:color w:val="231F20"/>
          <w:w w:val="105"/>
        </w:rPr>
        <w:t>liabilities</w:t>
      </w:r>
      <w:r>
        <w:rPr>
          <w:color w:val="231F20"/>
          <w:spacing w:val="-12"/>
          <w:w w:val="105"/>
        </w:rPr>
        <w:t> </w:t>
      </w:r>
      <w:r>
        <w:rPr>
          <w:color w:val="231F20"/>
          <w:w w:val="105"/>
        </w:rPr>
        <w:t>that</w:t>
      </w:r>
      <w:r>
        <w:rPr>
          <w:color w:val="231F20"/>
          <w:spacing w:val="-12"/>
          <w:w w:val="105"/>
        </w:rPr>
        <w:t> </w:t>
      </w:r>
      <w:r>
        <w:rPr>
          <w:color w:val="231F20"/>
          <w:w w:val="105"/>
        </w:rPr>
        <w:t>a</w:t>
      </w:r>
      <w:r>
        <w:rPr>
          <w:color w:val="231F20"/>
          <w:spacing w:val="-12"/>
          <w:w w:val="105"/>
        </w:rPr>
        <w:t> </w:t>
      </w:r>
      <w:r>
        <w:rPr>
          <w:color w:val="231F20"/>
          <w:w w:val="105"/>
        </w:rPr>
        <w:t>company</w:t>
      </w:r>
      <w:r>
        <w:rPr>
          <w:color w:val="231F20"/>
          <w:spacing w:val="-12"/>
          <w:w w:val="105"/>
        </w:rPr>
        <w:t> </w:t>
      </w:r>
      <w:r>
        <w:rPr>
          <w:color w:val="231F20"/>
          <w:w w:val="105"/>
        </w:rPr>
        <w:t>con- stantly</w:t>
      </w:r>
      <w:r>
        <w:rPr>
          <w:color w:val="231F20"/>
          <w:w w:val="105"/>
        </w:rPr>
        <w:t> “works</w:t>
      </w:r>
      <w:r>
        <w:rPr>
          <w:color w:val="231F20"/>
          <w:w w:val="105"/>
        </w:rPr>
        <w:t> with”</w:t>
      </w:r>
      <w:r>
        <w:rPr>
          <w:color w:val="231F20"/>
          <w:w w:val="105"/>
        </w:rPr>
        <w:t> as</w:t>
      </w:r>
      <w:r>
        <w:rPr>
          <w:color w:val="231F20"/>
          <w:w w:val="105"/>
        </w:rPr>
        <w:t> part</w:t>
      </w:r>
      <w:r>
        <w:rPr>
          <w:color w:val="231F20"/>
          <w:w w:val="105"/>
        </w:rPr>
        <w:t> of</w:t>
      </w:r>
      <w:r>
        <w:rPr>
          <w:color w:val="231F20"/>
          <w:w w:val="105"/>
        </w:rPr>
        <w:t> its</w:t>
      </w:r>
      <w:r>
        <w:rPr>
          <w:color w:val="231F20"/>
          <w:w w:val="105"/>
        </w:rPr>
        <w:t> daily</w:t>
      </w:r>
      <w:r>
        <w:rPr>
          <w:color w:val="231F20"/>
          <w:w w:val="105"/>
        </w:rPr>
        <w:t> business.</w:t>
      </w:r>
      <w:r>
        <w:rPr>
          <w:color w:val="231F20"/>
          <w:w w:val="105"/>
        </w:rPr>
        <w:t> They</w:t>
      </w:r>
      <w:r>
        <w:rPr>
          <w:color w:val="231F20"/>
          <w:w w:val="105"/>
        </w:rPr>
        <w:t> are</w:t>
      </w:r>
      <w:r>
        <w:rPr>
          <w:color w:val="231F20"/>
          <w:w w:val="105"/>
        </w:rPr>
        <w:t> also most</w:t>
      </w:r>
      <w:r>
        <w:rPr>
          <w:color w:val="231F20"/>
          <w:spacing w:val="32"/>
          <w:w w:val="105"/>
        </w:rPr>
        <w:t> </w:t>
      </w:r>
      <w:r>
        <w:rPr>
          <w:i/>
          <w:color w:val="231F20"/>
          <w:w w:val="105"/>
        </w:rPr>
        <w:t>liquid</w:t>
      </w:r>
      <w:r>
        <w:rPr>
          <w:i/>
          <w:color w:val="231F20"/>
          <w:spacing w:val="32"/>
          <w:w w:val="105"/>
        </w:rPr>
        <w:t> </w:t>
      </w:r>
      <w:r>
        <w:rPr>
          <w:color w:val="231F20"/>
          <w:w w:val="105"/>
        </w:rPr>
        <w:t>assets,</w:t>
      </w:r>
      <w:r>
        <w:rPr>
          <w:color w:val="231F20"/>
          <w:spacing w:val="32"/>
          <w:w w:val="105"/>
        </w:rPr>
        <w:t> </w:t>
      </w:r>
      <w:r>
        <w:rPr>
          <w:color w:val="231F20"/>
          <w:w w:val="105"/>
        </w:rPr>
        <w:t>giving</w:t>
      </w:r>
      <w:r>
        <w:rPr>
          <w:color w:val="231F20"/>
          <w:spacing w:val="32"/>
          <w:w w:val="105"/>
        </w:rPr>
        <w:t> </w:t>
      </w:r>
      <w:r>
        <w:rPr>
          <w:color w:val="231F20"/>
          <w:w w:val="105"/>
        </w:rPr>
        <w:t>a</w:t>
      </w:r>
      <w:r>
        <w:rPr>
          <w:color w:val="231F20"/>
          <w:spacing w:val="32"/>
          <w:w w:val="105"/>
        </w:rPr>
        <w:t> </w:t>
      </w:r>
      <w:r>
        <w:rPr>
          <w:color w:val="231F20"/>
          <w:w w:val="105"/>
        </w:rPr>
        <w:t>financial</w:t>
      </w:r>
      <w:r>
        <w:rPr>
          <w:color w:val="231F20"/>
          <w:spacing w:val="32"/>
          <w:w w:val="105"/>
        </w:rPr>
        <w:t> </w:t>
      </w:r>
      <w:r>
        <w:rPr>
          <w:color w:val="231F20"/>
          <w:w w:val="105"/>
        </w:rPr>
        <w:t>statement</w:t>
      </w:r>
      <w:r>
        <w:rPr>
          <w:color w:val="231F20"/>
          <w:spacing w:val="32"/>
          <w:w w:val="105"/>
        </w:rPr>
        <w:t> </w:t>
      </w:r>
      <w:r>
        <w:rPr>
          <w:color w:val="231F20"/>
          <w:w w:val="105"/>
        </w:rPr>
        <w:t>reader</w:t>
      </w:r>
      <w:r>
        <w:rPr>
          <w:color w:val="231F20"/>
          <w:spacing w:val="32"/>
          <w:w w:val="105"/>
        </w:rPr>
        <w:t> </w:t>
      </w:r>
      <w:r>
        <w:rPr>
          <w:color w:val="231F20"/>
          <w:w w:val="105"/>
        </w:rPr>
        <w:t>a</w:t>
      </w:r>
      <w:r>
        <w:rPr>
          <w:color w:val="231F20"/>
          <w:spacing w:val="32"/>
          <w:w w:val="105"/>
        </w:rPr>
        <w:t> </w:t>
      </w:r>
      <w:r>
        <w:rPr>
          <w:color w:val="231F20"/>
          <w:w w:val="105"/>
        </w:rPr>
        <w:t>clue</w:t>
      </w:r>
      <w:r>
        <w:rPr>
          <w:color w:val="231F20"/>
          <w:spacing w:val="32"/>
          <w:w w:val="105"/>
        </w:rPr>
        <w:t> </w:t>
      </w:r>
      <w:r>
        <w:rPr>
          <w:color w:val="231F20"/>
          <w:w w:val="105"/>
        </w:rPr>
        <w:t>to a</w:t>
      </w:r>
      <w:r>
        <w:rPr>
          <w:color w:val="231F20"/>
          <w:spacing w:val="-6"/>
          <w:w w:val="105"/>
        </w:rPr>
        <w:t> </w:t>
      </w:r>
      <w:r>
        <w:rPr>
          <w:color w:val="231F20"/>
          <w:w w:val="105"/>
        </w:rPr>
        <w:t>firm’s</w:t>
      </w:r>
      <w:r>
        <w:rPr>
          <w:color w:val="231F20"/>
          <w:spacing w:val="-6"/>
          <w:w w:val="105"/>
        </w:rPr>
        <w:t> </w:t>
      </w:r>
      <w:r>
        <w:rPr>
          <w:color w:val="231F20"/>
          <w:w w:val="105"/>
        </w:rPr>
        <w:t>solvency.</w:t>
      </w:r>
      <w:r>
        <w:rPr>
          <w:color w:val="231F20"/>
          <w:spacing w:val="-6"/>
          <w:w w:val="105"/>
        </w:rPr>
        <w:t> </w:t>
      </w:r>
      <w:r>
        <w:rPr>
          <w:color w:val="231F20"/>
          <w:w w:val="105"/>
        </w:rPr>
        <w:t>Consequently,</w:t>
      </w:r>
      <w:r>
        <w:rPr>
          <w:color w:val="231F20"/>
          <w:spacing w:val="-6"/>
          <w:w w:val="105"/>
        </w:rPr>
        <w:t> </w:t>
      </w:r>
      <w:r>
        <w:rPr>
          <w:color w:val="231F20"/>
          <w:w w:val="105"/>
        </w:rPr>
        <w:t>working</w:t>
      </w:r>
      <w:r>
        <w:rPr>
          <w:color w:val="231F20"/>
          <w:spacing w:val="-6"/>
          <w:w w:val="105"/>
        </w:rPr>
        <w:t> </w:t>
      </w:r>
      <w:r>
        <w:rPr>
          <w:color w:val="231F20"/>
          <w:w w:val="105"/>
        </w:rPr>
        <w:t>capital</w:t>
      </w:r>
      <w:r>
        <w:rPr>
          <w:color w:val="231F20"/>
          <w:spacing w:val="-6"/>
          <w:w w:val="105"/>
        </w:rPr>
        <w:t> </w:t>
      </w:r>
      <w:r>
        <w:rPr>
          <w:color w:val="231F20"/>
          <w:w w:val="105"/>
        </w:rPr>
        <w:t>items</w:t>
      </w:r>
      <w:r>
        <w:rPr>
          <w:color w:val="231F20"/>
          <w:spacing w:val="-6"/>
          <w:w w:val="105"/>
        </w:rPr>
        <w:t> </w:t>
      </w:r>
      <w:r>
        <w:rPr>
          <w:color w:val="231F20"/>
          <w:w w:val="105"/>
        </w:rPr>
        <w:t>are</w:t>
      </w:r>
      <w:r>
        <w:rPr>
          <w:color w:val="231F20"/>
          <w:spacing w:val="-6"/>
          <w:w w:val="105"/>
        </w:rPr>
        <w:t> </w:t>
      </w:r>
      <w:r>
        <w:rPr>
          <w:color w:val="231F20"/>
          <w:w w:val="105"/>
        </w:rPr>
        <w:t>the</w:t>
      </w:r>
      <w:r>
        <w:rPr>
          <w:color w:val="231F20"/>
          <w:spacing w:val="-6"/>
          <w:w w:val="105"/>
        </w:rPr>
        <w:t> </w:t>
      </w:r>
      <w:r>
        <w:rPr>
          <w:color w:val="231F20"/>
          <w:w w:val="105"/>
        </w:rPr>
        <w:t>cur- </w:t>
      </w:r>
      <w:r>
        <w:rPr>
          <w:color w:val="231F20"/>
        </w:rPr>
        <w:t>rent assets </w:t>
      </w:r>
      <w:r>
        <w:rPr>
          <w:i/>
          <w:color w:val="231F20"/>
        </w:rPr>
        <w:t>and </w:t>
      </w:r>
      <w:r>
        <w:rPr>
          <w:color w:val="231F20"/>
        </w:rPr>
        <w:t>liabilities of the firm. </w:t>
      </w:r>
      <w:r>
        <w:rPr>
          <w:i/>
          <w:color w:val="231F20"/>
        </w:rPr>
        <w:t>Net working capital, </w:t>
      </w:r>
      <w:r>
        <w:rPr>
          <w:color w:val="231F20"/>
        </w:rPr>
        <w:t>a measure </w:t>
      </w:r>
      <w:r>
        <w:rPr>
          <w:color w:val="231F20"/>
          <w:w w:val="105"/>
        </w:rPr>
        <w:t>of</w:t>
      </w:r>
      <w:r>
        <w:rPr>
          <w:color w:val="231F20"/>
          <w:w w:val="105"/>
        </w:rPr>
        <w:t> solvency,</w:t>
      </w:r>
      <w:r>
        <w:rPr>
          <w:color w:val="231F20"/>
          <w:w w:val="105"/>
        </w:rPr>
        <w:t> is</w:t>
      </w:r>
      <w:r>
        <w:rPr>
          <w:color w:val="231F20"/>
          <w:w w:val="105"/>
        </w:rPr>
        <w:t> the</w:t>
      </w:r>
      <w:r>
        <w:rPr>
          <w:color w:val="231F20"/>
          <w:w w:val="105"/>
        </w:rPr>
        <w:t> total</w:t>
      </w:r>
      <w:r>
        <w:rPr>
          <w:color w:val="231F20"/>
          <w:w w:val="105"/>
        </w:rPr>
        <w:t> of</w:t>
      </w:r>
      <w:r>
        <w:rPr>
          <w:color w:val="231F20"/>
          <w:w w:val="105"/>
        </w:rPr>
        <w:t> current</w:t>
      </w:r>
      <w:r>
        <w:rPr>
          <w:color w:val="231F20"/>
          <w:w w:val="105"/>
        </w:rPr>
        <w:t> assets</w:t>
      </w:r>
      <w:r>
        <w:rPr>
          <w:color w:val="231F20"/>
          <w:w w:val="105"/>
        </w:rPr>
        <w:t> less</w:t>
      </w:r>
      <w:r>
        <w:rPr>
          <w:color w:val="231F20"/>
          <w:w w:val="105"/>
        </w:rPr>
        <w:t> the</w:t>
      </w:r>
      <w:r>
        <w:rPr>
          <w:color w:val="231F20"/>
          <w:w w:val="105"/>
        </w:rPr>
        <w:t> total</w:t>
      </w:r>
      <w:r>
        <w:rPr>
          <w:color w:val="231F20"/>
          <w:w w:val="105"/>
        </w:rPr>
        <w:t> of</w:t>
      </w:r>
      <w:r>
        <w:rPr>
          <w:color w:val="231F20"/>
          <w:w w:val="105"/>
        </w:rPr>
        <w:t> current </w:t>
      </w:r>
      <w:r>
        <w:rPr>
          <w:color w:val="231F20"/>
          <w:spacing w:val="-2"/>
          <w:w w:val="105"/>
        </w:rPr>
        <w:t>liabilities.</w:t>
      </w:r>
    </w:p>
    <w:p>
      <w:pPr>
        <w:pStyle w:val="BodyText"/>
        <w:spacing w:before="4"/>
        <w:rPr>
          <w:sz w:val="24"/>
        </w:rPr>
      </w:pPr>
    </w:p>
    <w:p>
      <w:pPr>
        <w:pStyle w:val="BodyText"/>
        <w:tabs>
          <w:tab w:pos="2802" w:val="left" w:leader="none"/>
        </w:tabs>
        <w:ind w:left="1218"/>
      </w:pPr>
      <w:r>
        <w:rPr/>
        <w:pict>
          <v:rect style="position:absolute;margin-left:148.761566pt;margin-top:7.680901pt;width:4.93095pt;height:.7242pt;mso-position-horizontal-relative:page;mso-position-vertical-relative:paragraph;z-index:-25181184" id="docshape93" filled="true" fillcolor="#231f20" stroked="false">
            <v:fill type="solid"/>
            <w10:wrap type="none"/>
          </v:rect>
        </w:pict>
      </w:r>
      <w:r>
        <w:rPr>
          <w:color w:val="231F20"/>
        </w:rPr>
        <w:t>Current</w:t>
      </w:r>
      <w:r>
        <w:rPr>
          <w:color w:val="231F20"/>
          <w:spacing w:val="32"/>
        </w:rPr>
        <w:t> </w:t>
      </w:r>
      <w:r>
        <w:rPr>
          <w:color w:val="231F20"/>
          <w:spacing w:val="-2"/>
        </w:rPr>
        <w:t>Assets</w:t>
      </w:r>
      <w:r>
        <w:rPr>
          <w:color w:val="231F20"/>
        </w:rPr>
        <w:tab/>
        <w:t>Current</w:t>
      </w:r>
      <w:r>
        <w:rPr>
          <w:color w:val="231F20"/>
          <w:spacing w:val="25"/>
        </w:rPr>
        <w:t> </w:t>
      </w:r>
      <w:r>
        <w:rPr>
          <w:color w:val="231F20"/>
        </w:rPr>
        <w:t>Liabilities</w:t>
      </w:r>
      <w:r>
        <w:rPr>
          <w:color w:val="231F20"/>
          <w:spacing w:val="26"/>
        </w:rPr>
        <w:t> </w:t>
      </w:r>
      <w:r>
        <w:rPr>
          <w:rFonts w:ascii="Symbol" w:hAnsi="Symbol"/>
          <w:color w:val="231F20"/>
        </w:rPr>
        <w:t></w:t>
      </w:r>
      <w:r>
        <w:rPr>
          <w:rFonts w:ascii="Times New Roman" w:hAnsi="Times New Roman"/>
          <w:color w:val="231F20"/>
          <w:spacing w:val="20"/>
        </w:rPr>
        <w:t> </w:t>
      </w:r>
      <w:r>
        <w:rPr>
          <w:color w:val="231F20"/>
        </w:rPr>
        <w:t>Net</w:t>
      </w:r>
      <w:r>
        <w:rPr>
          <w:color w:val="231F20"/>
          <w:spacing w:val="25"/>
        </w:rPr>
        <w:t> </w:t>
      </w:r>
      <w:r>
        <w:rPr>
          <w:color w:val="231F20"/>
        </w:rPr>
        <w:t>Working</w:t>
      </w:r>
      <w:r>
        <w:rPr>
          <w:color w:val="231F20"/>
          <w:spacing w:val="26"/>
        </w:rPr>
        <w:t> </w:t>
      </w:r>
      <w:r>
        <w:rPr>
          <w:color w:val="231F20"/>
          <w:spacing w:val="-2"/>
        </w:rPr>
        <w:t>Capital</w:t>
      </w:r>
    </w:p>
    <w:p>
      <w:pPr>
        <w:pStyle w:val="BodyText"/>
        <w:spacing w:before="2"/>
        <w:rPr>
          <w:sz w:val="30"/>
        </w:rPr>
      </w:pPr>
    </w:p>
    <w:p>
      <w:pPr>
        <w:pStyle w:val="BodyText"/>
        <w:spacing w:line="292" w:lineRule="auto"/>
        <w:ind w:left="830" w:right="753" w:firstLine="340"/>
        <w:jc w:val="both"/>
      </w:pPr>
      <w:r>
        <w:rPr/>
        <w:pict>
          <v:rect style="position:absolute;margin-left:110.311798pt;margin-top:22.101957pt;width:4.93095pt;height:.7242pt;mso-position-horizontal-relative:page;mso-position-vertical-relative:paragraph;z-index:-25180672" id="docshape94" filled="true" fillcolor="#231f20" stroked="false">
            <v:fill type="solid"/>
            <w10:wrap type="none"/>
          </v:rect>
        </w:pict>
      </w:r>
      <w:r>
        <w:rPr>
          <w:color w:val="231F20"/>
        </w:rPr>
        <w:t>At Bob’s Market net working capital amounts to $28,000 ($115,000</w:t>
      </w:r>
      <w:r>
        <w:rPr>
          <w:color w:val="231F20"/>
          <w:spacing w:val="80"/>
        </w:rPr>
        <w:t> </w:t>
      </w:r>
      <w:r>
        <w:rPr>
          <w:color w:val="231F20"/>
        </w:rPr>
        <w:t>$87,000). That’s Bob’s excess of liquid assets to make good on its current obligations. From a banker’s vantage point, a grocer with a large amount of net working capital may be consid- ered a good credit risk because the business can make its debt pay- ments. Conversely, it could also show a corporate raider or operations analyst that the store owner is mismanaging his inven- tory by holding too many goods on the shelves or too much cash in the registers. An astute operator would reduce inventory levels and the</w:t>
      </w:r>
      <w:r>
        <w:rPr>
          <w:color w:val="231F20"/>
          <w:spacing w:val="1"/>
        </w:rPr>
        <w:t> </w:t>
      </w:r>
      <w:r>
        <w:rPr>
          <w:color w:val="231F20"/>
        </w:rPr>
        <w:t>cash</w:t>
      </w:r>
      <w:r>
        <w:rPr>
          <w:color w:val="231F20"/>
          <w:spacing w:val="2"/>
        </w:rPr>
        <w:t> </w:t>
      </w:r>
      <w:r>
        <w:rPr>
          <w:color w:val="231F20"/>
        </w:rPr>
        <w:t>on</w:t>
      </w:r>
      <w:r>
        <w:rPr>
          <w:color w:val="231F20"/>
          <w:spacing w:val="2"/>
        </w:rPr>
        <w:t> </w:t>
      </w:r>
      <w:r>
        <w:rPr>
          <w:color w:val="231F20"/>
        </w:rPr>
        <w:t>hand</w:t>
      </w:r>
      <w:r>
        <w:rPr>
          <w:color w:val="231F20"/>
          <w:spacing w:val="2"/>
        </w:rPr>
        <w:t> </w:t>
      </w:r>
      <w:r>
        <w:rPr>
          <w:color w:val="231F20"/>
        </w:rPr>
        <w:t>to</w:t>
      </w:r>
      <w:r>
        <w:rPr>
          <w:color w:val="231F20"/>
          <w:spacing w:val="1"/>
        </w:rPr>
        <w:t> </w:t>
      </w:r>
      <w:r>
        <w:rPr>
          <w:color w:val="231F20"/>
        </w:rPr>
        <w:t>more</w:t>
      </w:r>
      <w:r>
        <w:rPr>
          <w:color w:val="231F20"/>
          <w:spacing w:val="2"/>
        </w:rPr>
        <w:t> </w:t>
      </w:r>
      <w:r>
        <w:rPr>
          <w:color w:val="231F20"/>
        </w:rPr>
        <w:t>efficient</w:t>
      </w:r>
      <w:r>
        <w:rPr>
          <w:color w:val="231F20"/>
          <w:spacing w:val="2"/>
        </w:rPr>
        <w:t> </w:t>
      </w:r>
      <w:r>
        <w:rPr>
          <w:color w:val="231F20"/>
        </w:rPr>
        <w:t>levels</w:t>
      </w:r>
      <w:r>
        <w:rPr>
          <w:color w:val="231F20"/>
          <w:spacing w:val="2"/>
        </w:rPr>
        <w:t> </w:t>
      </w:r>
      <w:r>
        <w:rPr>
          <w:color w:val="231F20"/>
        </w:rPr>
        <w:t>and</w:t>
      </w:r>
      <w:r>
        <w:rPr>
          <w:color w:val="231F20"/>
          <w:spacing w:val="2"/>
        </w:rPr>
        <w:t> </w:t>
      </w:r>
      <w:r>
        <w:rPr>
          <w:color w:val="231F20"/>
        </w:rPr>
        <w:t>pocket</w:t>
      </w:r>
      <w:r>
        <w:rPr>
          <w:color w:val="231F20"/>
          <w:spacing w:val="1"/>
        </w:rPr>
        <w:t> </w:t>
      </w:r>
      <w:r>
        <w:rPr>
          <w:color w:val="231F20"/>
        </w:rPr>
        <w:t>the</w:t>
      </w:r>
      <w:r>
        <w:rPr>
          <w:color w:val="231F20"/>
          <w:spacing w:val="2"/>
        </w:rPr>
        <w:t> </w:t>
      </w:r>
      <w:r>
        <w:rPr>
          <w:color w:val="231F20"/>
        </w:rPr>
        <w:t>difference</w:t>
      </w:r>
      <w:r>
        <w:rPr>
          <w:color w:val="231F20"/>
          <w:spacing w:val="2"/>
        </w:rPr>
        <w:t> </w:t>
      </w:r>
      <w:r>
        <w:rPr>
          <w:color w:val="231F20"/>
          <w:spacing w:val="-5"/>
        </w:rPr>
        <w:t>as</w:t>
      </w:r>
    </w:p>
    <w:p>
      <w:pPr>
        <w:pStyle w:val="BodyText"/>
        <w:rPr>
          <w:sz w:val="24"/>
        </w:rPr>
      </w:pPr>
    </w:p>
    <w:p>
      <w:pPr>
        <w:pStyle w:val="BodyText"/>
        <w:rPr>
          <w:sz w:val="24"/>
        </w:rPr>
      </w:pPr>
    </w:p>
    <w:p>
      <w:pPr>
        <w:pStyle w:val="BodyText"/>
        <w:rPr>
          <w:sz w:val="24"/>
        </w:rPr>
      </w:pPr>
    </w:p>
    <w:p>
      <w:pPr>
        <w:spacing w:before="147"/>
        <w:ind w:left="288" w:right="219" w:firstLine="0"/>
        <w:jc w:val="center"/>
        <w:rPr>
          <w:rFonts w:ascii="Arial"/>
          <w:sz w:val="14"/>
        </w:rPr>
      </w:pPr>
      <w:r>
        <w:rPr>
          <w:rFonts w:ascii="Arial"/>
          <w:color w:val="231F20"/>
          <w:w w:val="105"/>
          <w:sz w:val="14"/>
        </w:rPr>
        <w:t>RULES</w:t>
      </w:r>
      <w:r>
        <w:rPr>
          <w:rFonts w:ascii="Arial"/>
          <w:color w:val="231F20"/>
          <w:spacing w:val="15"/>
          <w:w w:val="105"/>
          <w:sz w:val="14"/>
        </w:rPr>
        <w:t> </w:t>
      </w:r>
      <w:r>
        <w:rPr>
          <w:rFonts w:ascii="Arial"/>
          <w:color w:val="231F20"/>
          <w:w w:val="105"/>
          <w:sz w:val="14"/>
        </w:rPr>
        <w:t>FOR</w:t>
      </w:r>
      <w:r>
        <w:rPr>
          <w:rFonts w:ascii="Arial"/>
          <w:color w:val="231F20"/>
          <w:spacing w:val="16"/>
          <w:w w:val="105"/>
          <w:sz w:val="14"/>
        </w:rPr>
        <w:t> </w:t>
      </w:r>
      <w:r>
        <w:rPr>
          <w:rFonts w:ascii="Arial"/>
          <w:color w:val="231F20"/>
          <w:w w:val="105"/>
          <w:sz w:val="14"/>
        </w:rPr>
        <w:t>ENTRIES</w:t>
      </w:r>
      <w:r>
        <w:rPr>
          <w:rFonts w:ascii="Arial"/>
          <w:color w:val="231F20"/>
          <w:spacing w:val="16"/>
          <w:w w:val="105"/>
          <w:sz w:val="14"/>
        </w:rPr>
        <w:t> </w:t>
      </w:r>
      <w:r>
        <w:rPr>
          <w:rFonts w:ascii="Arial"/>
          <w:color w:val="231F20"/>
          <w:w w:val="105"/>
          <w:sz w:val="14"/>
        </w:rPr>
        <w:t>INTO</w:t>
      </w:r>
      <w:r>
        <w:rPr>
          <w:rFonts w:ascii="Arial"/>
          <w:color w:val="231F20"/>
          <w:spacing w:val="16"/>
          <w:w w:val="105"/>
          <w:sz w:val="14"/>
        </w:rPr>
        <w:t> </w:t>
      </w:r>
      <w:r>
        <w:rPr>
          <w:rFonts w:ascii="Arial"/>
          <w:color w:val="231F20"/>
          <w:spacing w:val="-2"/>
          <w:w w:val="105"/>
          <w:sz w:val="14"/>
        </w:rPr>
        <w:t>ACCOUNTS</w:t>
      </w:r>
    </w:p>
    <w:p>
      <w:pPr>
        <w:pStyle w:val="BodyText"/>
        <w:spacing w:before="5"/>
        <w:rPr>
          <w:rFonts w:ascii="Arial"/>
          <w:sz w:val="16"/>
        </w:rPr>
      </w:pPr>
      <w:r>
        <w:rPr/>
        <w:drawing>
          <wp:anchor distT="0" distB="0" distL="0" distR="0" allowOverlap="1" layoutInCell="1" locked="0" behindDoc="0" simplePos="0" relativeHeight="93">
            <wp:simplePos x="0" y="0"/>
            <wp:positionH relativeFrom="page">
              <wp:posOffset>773424</wp:posOffset>
            </wp:positionH>
            <wp:positionV relativeFrom="paragraph">
              <wp:posOffset>135720</wp:posOffset>
            </wp:positionV>
            <wp:extent cx="3837343" cy="1536192"/>
            <wp:effectExtent l="0" t="0" r="0" b="0"/>
            <wp:wrapTopAndBottom/>
            <wp:docPr id="27" name="image15.png"/>
            <wp:cNvGraphicFramePr>
              <a:graphicFrameLocks noChangeAspect="1"/>
            </wp:cNvGraphicFramePr>
            <a:graphic>
              <a:graphicData uri="http://schemas.openxmlformats.org/drawingml/2006/picture">
                <pic:pic>
                  <pic:nvPicPr>
                    <pic:cNvPr id="28" name="image15.png"/>
                    <pic:cNvPicPr/>
                  </pic:nvPicPr>
                  <pic:blipFill>
                    <a:blip r:embed="rId34" cstate="print"/>
                    <a:stretch>
                      <a:fillRect/>
                    </a:stretch>
                  </pic:blipFill>
                  <pic:spPr>
                    <a:xfrm>
                      <a:off x="0" y="0"/>
                      <a:ext cx="3837343" cy="1536192"/>
                    </a:xfrm>
                    <a:prstGeom prst="rect">
                      <a:avLst/>
                    </a:prstGeom>
                  </pic:spPr>
                </pic:pic>
              </a:graphicData>
            </a:graphic>
          </wp:anchor>
        </w:drawing>
      </w:r>
    </w:p>
    <w:p>
      <w:pPr>
        <w:spacing w:after="0"/>
        <w:rPr>
          <w:rFonts w:ascii="Arial"/>
          <w:sz w:val="16"/>
        </w:rPr>
        <w:sectPr>
          <w:pgSz w:w="8640" w:h="12960"/>
          <w:pgMar w:header="732" w:footer="0" w:top="920" w:bottom="280" w:left="340" w:right="500"/>
        </w:sectPr>
      </w:pPr>
    </w:p>
    <w:p>
      <w:pPr>
        <w:pStyle w:val="BodyText"/>
        <w:rPr>
          <w:rFonts w:ascii="Arial"/>
          <w:sz w:val="18"/>
        </w:rPr>
      </w:pPr>
    </w:p>
    <w:p>
      <w:pPr>
        <w:pStyle w:val="BodyText"/>
        <w:spacing w:line="292" w:lineRule="auto" w:before="102"/>
        <w:ind w:left="920" w:right="666"/>
        <w:jc w:val="both"/>
      </w:pPr>
      <w:r>
        <w:rPr>
          <w:color w:val="231F20"/>
        </w:rPr>
        <w:t>a dividend. The proper amount of working capital depends on </w:t>
      </w:r>
      <w:r>
        <w:rPr>
          <w:color w:val="231F20"/>
        </w:rPr>
        <w:t>the </w:t>
      </w:r>
      <w:r>
        <w:rPr>
          <w:color w:val="231F20"/>
          <w:spacing w:val="-2"/>
        </w:rPr>
        <w:t>industry.</w:t>
      </w:r>
    </w:p>
    <w:p>
      <w:pPr>
        <w:pStyle w:val="BodyText"/>
        <w:spacing w:before="4"/>
        <w:rPr>
          <w:sz w:val="27"/>
        </w:rPr>
      </w:pPr>
    </w:p>
    <w:p>
      <w:pPr>
        <w:spacing w:before="0"/>
        <w:ind w:left="1260" w:right="0" w:firstLine="0"/>
        <w:jc w:val="both"/>
        <w:rPr>
          <w:rFonts w:ascii="Arial" w:hAnsi="Arial"/>
          <w:i/>
          <w:sz w:val="19"/>
        </w:rPr>
      </w:pPr>
      <w:r>
        <w:rPr>
          <w:rFonts w:ascii="Arial" w:hAnsi="Arial"/>
          <w:i/>
          <w:color w:val="231F20"/>
          <w:w w:val="115"/>
          <w:sz w:val="19"/>
        </w:rPr>
        <w:t>How</w:t>
      </w:r>
      <w:r>
        <w:rPr>
          <w:rFonts w:ascii="Arial" w:hAnsi="Arial"/>
          <w:i/>
          <w:color w:val="231F20"/>
          <w:spacing w:val="-8"/>
          <w:w w:val="115"/>
          <w:sz w:val="19"/>
        </w:rPr>
        <w:t> </w:t>
      </w:r>
      <w:r>
        <w:rPr>
          <w:rFonts w:ascii="Arial" w:hAnsi="Arial"/>
          <w:i/>
          <w:color w:val="231F20"/>
          <w:w w:val="115"/>
          <w:sz w:val="19"/>
        </w:rPr>
        <w:t>Owners’</w:t>
      </w:r>
      <w:r>
        <w:rPr>
          <w:rFonts w:ascii="Arial" w:hAnsi="Arial"/>
          <w:i/>
          <w:color w:val="231F20"/>
          <w:spacing w:val="-7"/>
          <w:w w:val="115"/>
          <w:sz w:val="19"/>
        </w:rPr>
        <w:t> </w:t>
      </w:r>
      <w:r>
        <w:rPr>
          <w:rFonts w:ascii="Arial" w:hAnsi="Arial"/>
          <w:i/>
          <w:color w:val="231F20"/>
          <w:w w:val="115"/>
          <w:sz w:val="19"/>
        </w:rPr>
        <w:t>Equity</w:t>
      </w:r>
      <w:r>
        <w:rPr>
          <w:rFonts w:ascii="Arial" w:hAnsi="Arial"/>
          <w:i/>
          <w:color w:val="231F20"/>
          <w:spacing w:val="-7"/>
          <w:w w:val="115"/>
          <w:sz w:val="19"/>
        </w:rPr>
        <w:t> </w:t>
      </w:r>
      <w:r>
        <w:rPr>
          <w:rFonts w:ascii="Arial" w:hAnsi="Arial"/>
          <w:i/>
          <w:color w:val="231F20"/>
          <w:w w:val="115"/>
          <w:sz w:val="19"/>
        </w:rPr>
        <w:t>Fits</w:t>
      </w:r>
      <w:r>
        <w:rPr>
          <w:rFonts w:ascii="Arial" w:hAnsi="Arial"/>
          <w:i/>
          <w:color w:val="231F20"/>
          <w:spacing w:val="-7"/>
          <w:w w:val="115"/>
          <w:sz w:val="19"/>
        </w:rPr>
        <w:t> </w:t>
      </w:r>
      <w:r>
        <w:rPr>
          <w:rFonts w:ascii="Arial" w:hAnsi="Arial"/>
          <w:i/>
          <w:color w:val="231F20"/>
          <w:spacing w:val="-5"/>
          <w:w w:val="115"/>
          <w:sz w:val="19"/>
        </w:rPr>
        <w:t>In</w:t>
      </w:r>
    </w:p>
    <w:p>
      <w:pPr>
        <w:pStyle w:val="BodyText"/>
        <w:spacing w:line="292" w:lineRule="auto" w:before="60"/>
        <w:ind w:left="920" w:right="666" w:firstLine="340"/>
        <w:jc w:val="both"/>
      </w:pPr>
      <w:r>
        <w:rPr>
          <w:color w:val="231F20"/>
        </w:rPr>
        <w:t>Owners’ equity represents the long-term obligation of a com- pany to its owners. Companies are obligated to pay the owners a re- turn on their investment based on the success of the firm. OE </w:t>
      </w:r>
      <w:r>
        <w:rPr>
          <w:color w:val="231F20"/>
        </w:rPr>
        <w:t>does not carry a set rate of interest or maturity like a bank loan, so it is segregated below the liabilities. Owners are paid only after all other debt payments are made. An owner’s return is dependent on the suc- cess of the company. If debt repayments cannot be made, the firm</w:t>
      </w:r>
      <w:r>
        <w:rPr>
          <w:color w:val="231F20"/>
          <w:spacing w:val="40"/>
        </w:rPr>
        <w:t> </w:t>
      </w:r>
      <w:r>
        <w:rPr>
          <w:color w:val="231F20"/>
        </w:rPr>
        <w:t>can be forced into bankruptcy. The inability to pay a dividend to in- vestors has no such penalty. If the company is highly profitable, the owners win. If not, they can lose all of their investment. That’s the risk of ownership.</w:t>
      </w:r>
    </w:p>
    <w:p>
      <w:pPr>
        <w:pStyle w:val="BodyText"/>
        <w:spacing w:line="242" w:lineRule="exact"/>
        <w:ind w:left="1260"/>
        <w:jc w:val="both"/>
      </w:pPr>
      <w:r>
        <w:rPr>
          <w:color w:val="231F20"/>
        </w:rPr>
        <w:t>By</w:t>
      </w:r>
      <w:r>
        <w:rPr>
          <w:color w:val="231F20"/>
          <w:spacing w:val="40"/>
        </w:rPr>
        <w:t> </w:t>
      </w:r>
      <w:r>
        <w:rPr>
          <w:color w:val="231F20"/>
        </w:rPr>
        <w:t>reversing</w:t>
      </w:r>
      <w:r>
        <w:rPr>
          <w:color w:val="231F20"/>
          <w:spacing w:val="41"/>
        </w:rPr>
        <w:t> </w:t>
      </w:r>
      <w:r>
        <w:rPr>
          <w:color w:val="231F20"/>
        </w:rPr>
        <w:t>algebraically</w:t>
      </w:r>
      <w:r>
        <w:rPr>
          <w:color w:val="231F20"/>
          <w:spacing w:val="41"/>
        </w:rPr>
        <w:t> </w:t>
      </w:r>
      <w:r>
        <w:rPr>
          <w:color w:val="231F20"/>
        </w:rPr>
        <w:t>our</w:t>
      </w:r>
      <w:r>
        <w:rPr>
          <w:color w:val="231F20"/>
          <w:spacing w:val="40"/>
        </w:rPr>
        <w:t> </w:t>
      </w:r>
      <w:r>
        <w:rPr>
          <w:color w:val="231F20"/>
        </w:rPr>
        <w:t>accounting</w:t>
      </w:r>
      <w:r>
        <w:rPr>
          <w:color w:val="231F20"/>
          <w:spacing w:val="41"/>
        </w:rPr>
        <w:t> </w:t>
      </w:r>
      <w:r>
        <w:rPr>
          <w:color w:val="231F20"/>
        </w:rPr>
        <w:t>identity</w:t>
      </w:r>
      <w:r>
        <w:rPr>
          <w:color w:val="231F20"/>
          <w:spacing w:val="41"/>
        </w:rPr>
        <w:t> </w:t>
      </w:r>
      <w:r>
        <w:rPr>
          <w:color w:val="231F20"/>
        </w:rPr>
        <w:t>from</w:t>
      </w:r>
      <w:r>
        <w:rPr>
          <w:color w:val="231F20"/>
          <w:spacing w:val="40"/>
        </w:rPr>
        <w:t> </w:t>
      </w:r>
      <w:r>
        <w:rPr>
          <w:color w:val="231F20"/>
        </w:rPr>
        <w:t>A</w:t>
      </w:r>
      <w:r>
        <w:rPr>
          <w:color w:val="231F20"/>
          <w:spacing w:val="40"/>
        </w:rPr>
        <w:t> </w:t>
      </w:r>
      <w:r>
        <w:rPr>
          <w:rFonts w:ascii="Symbol" w:hAnsi="Symbol"/>
          <w:color w:val="231F20"/>
        </w:rPr>
        <w:t></w:t>
      </w:r>
      <w:r>
        <w:rPr>
          <w:rFonts w:ascii="Times New Roman" w:hAnsi="Times New Roman"/>
          <w:color w:val="231F20"/>
          <w:spacing w:val="34"/>
        </w:rPr>
        <w:t> </w:t>
      </w:r>
      <w:r>
        <w:rPr>
          <w:color w:val="231F20"/>
          <w:spacing w:val="-10"/>
        </w:rPr>
        <w:t>L</w:t>
      </w:r>
    </w:p>
    <w:p>
      <w:pPr>
        <w:pStyle w:val="ListParagraph"/>
        <w:numPr>
          <w:ilvl w:val="0"/>
          <w:numId w:val="20"/>
        </w:numPr>
        <w:tabs>
          <w:tab w:pos="1088" w:val="left" w:leader="none"/>
        </w:tabs>
        <w:spacing w:line="292" w:lineRule="auto" w:before="42" w:after="0"/>
        <w:ind w:left="920" w:right="666" w:hanging="1"/>
        <w:jc w:val="both"/>
        <w:rPr>
          <w:rFonts w:ascii="Cambria" w:hAnsi="Cambria"/>
          <w:sz w:val="21"/>
        </w:rPr>
      </w:pPr>
      <w:r>
        <w:rPr/>
        <w:pict>
          <v:rect style="position:absolute;margin-left:138.1362pt;margin-top:9.780894pt;width:4.93095pt;height:.7242pt;mso-position-horizontal-relative:page;mso-position-vertical-relative:paragraph;z-index:-25180160" id="docshape95" filled="true" fillcolor="#231f20" stroked="false">
            <v:fill type="solid"/>
            <w10:wrap type="none"/>
          </v:rect>
        </w:pict>
      </w:r>
      <w:r>
        <w:rPr>
          <w:rFonts w:ascii="Cambria" w:hAnsi="Cambria"/>
          <w:color w:val="231F20"/>
          <w:w w:val="105"/>
          <w:sz w:val="21"/>
        </w:rPr>
        <w:t>OE to OE</w:t>
      </w:r>
      <w:r>
        <w:rPr>
          <w:rFonts w:ascii="Cambria" w:hAnsi="Cambria"/>
          <w:color w:val="231F20"/>
          <w:spacing w:val="-1"/>
          <w:w w:val="105"/>
          <w:sz w:val="21"/>
        </w:rPr>
        <w:t> </w:t>
      </w:r>
      <w:r>
        <w:rPr>
          <w:rFonts w:ascii="Symbol" w:hAnsi="Symbol"/>
          <w:color w:val="231F20"/>
          <w:w w:val="105"/>
          <w:sz w:val="21"/>
        </w:rPr>
        <w:t></w:t>
      </w:r>
      <w:r>
        <w:rPr>
          <w:rFonts w:ascii="Times New Roman" w:hAnsi="Times New Roman"/>
          <w:color w:val="231F20"/>
          <w:spacing w:val="-7"/>
          <w:w w:val="105"/>
          <w:sz w:val="21"/>
        </w:rPr>
        <w:t> </w:t>
      </w:r>
      <w:r>
        <w:rPr>
          <w:rFonts w:ascii="Cambria" w:hAnsi="Cambria"/>
          <w:color w:val="231F20"/>
          <w:w w:val="105"/>
          <w:sz w:val="21"/>
        </w:rPr>
        <w:t>A</w:t>
      </w:r>
      <w:r>
        <w:rPr>
          <w:rFonts w:ascii="Cambria" w:hAnsi="Cambria"/>
          <w:color w:val="231F20"/>
          <w:spacing w:val="80"/>
          <w:w w:val="150"/>
          <w:sz w:val="21"/>
        </w:rPr>
        <w:t> </w:t>
      </w:r>
      <w:r>
        <w:rPr>
          <w:rFonts w:ascii="Cambria" w:hAnsi="Cambria"/>
          <w:color w:val="231F20"/>
          <w:w w:val="105"/>
          <w:sz w:val="21"/>
        </w:rPr>
        <w:t>L, you can see that OE is the “residual” interest </w:t>
      </w:r>
      <w:r>
        <w:rPr>
          <w:rFonts w:ascii="Cambria" w:hAnsi="Cambria"/>
          <w:color w:val="231F20"/>
          <w:w w:val="105"/>
          <w:sz w:val="21"/>
        </w:rPr>
        <w:t>of</w:t>
      </w:r>
      <w:r>
        <w:rPr>
          <w:rFonts w:ascii="Cambria" w:hAnsi="Cambria"/>
          <w:color w:val="231F20"/>
          <w:w w:val="105"/>
          <w:sz w:val="21"/>
        </w:rPr>
        <w:t> the</w:t>
      </w:r>
      <w:r>
        <w:rPr>
          <w:rFonts w:ascii="Cambria" w:hAnsi="Cambria"/>
          <w:color w:val="231F20"/>
          <w:spacing w:val="-12"/>
          <w:w w:val="105"/>
          <w:sz w:val="21"/>
        </w:rPr>
        <w:t> </w:t>
      </w:r>
      <w:r>
        <w:rPr>
          <w:rFonts w:ascii="Cambria" w:hAnsi="Cambria"/>
          <w:color w:val="231F20"/>
          <w:w w:val="105"/>
          <w:sz w:val="21"/>
        </w:rPr>
        <w:t>firm,</w:t>
      </w:r>
      <w:r>
        <w:rPr>
          <w:rFonts w:ascii="Cambria" w:hAnsi="Cambria"/>
          <w:color w:val="231F20"/>
          <w:spacing w:val="-12"/>
          <w:w w:val="105"/>
          <w:sz w:val="21"/>
        </w:rPr>
        <w:t> </w:t>
      </w:r>
      <w:r>
        <w:rPr>
          <w:rFonts w:ascii="Cambria" w:hAnsi="Cambria"/>
          <w:color w:val="231F20"/>
          <w:w w:val="105"/>
          <w:sz w:val="21"/>
        </w:rPr>
        <w:t>assets</w:t>
      </w:r>
      <w:r>
        <w:rPr>
          <w:rFonts w:ascii="Cambria" w:hAnsi="Cambria"/>
          <w:color w:val="231F20"/>
          <w:spacing w:val="-12"/>
          <w:w w:val="105"/>
          <w:sz w:val="21"/>
        </w:rPr>
        <w:t> </w:t>
      </w:r>
      <w:r>
        <w:rPr>
          <w:rFonts w:ascii="Cambria" w:hAnsi="Cambria"/>
          <w:color w:val="231F20"/>
          <w:w w:val="105"/>
          <w:sz w:val="21"/>
        </w:rPr>
        <w:t>less</w:t>
      </w:r>
      <w:r>
        <w:rPr>
          <w:rFonts w:ascii="Cambria" w:hAnsi="Cambria"/>
          <w:color w:val="231F20"/>
          <w:spacing w:val="-12"/>
          <w:w w:val="105"/>
          <w:sz w:val="21"/>
        </w:rPr>
        <w:t> </w:t>
      </w:r>
      <w:r>
        <w:rPr>
          <w:rFonts w:ascii="Cambria" w:hAnsi="Cambria"/>
          <w:color w:val="231F20"/>
          <w:w w:val="105"/>
          <w:sz w:val="21"/>
        </w:rPr>
        <w:t>liabilities.</w:t>
      </w:r>
      <w:r>
        <w:rPr>
          <w:rFonts w:ascii="Cambria" w:hAnsi="Cambria"/>
          <w:color w:val="231F20"/>
          <w:spacing w:val="-12"/>
          <w:w w:val="105"/>
          <w:sz w:val="21"/>
        </w:rPr>
        <w:t> </w:t>
      </w:r>
      <w:r>
        <w:rPr>
          <w:rFonts w:ascii="Cambria" w:hAnsi="Cambria"/>
          <w:color w:val="231F20"/>
          <w:w w:val="105"/>
          <w:sz w:val="21"/>
        </w:rPr>
        <w:t>OE</w:t>
      </w:r>
      <w:r>
        <w:rPr>
          <w:rFonts w:ascii="Cambria" w:hAnsi="Cambria"/>
          <w:color w:val="231F20"/>
          <w:spacing w:val="-12"/>
          <w:w w:val="105"/>
          <w:sz w:val="21"/>
        </w:rPr>
        <w:t> </w:t>
      </w:r>
      <w:r>
        <w:rPr>
          <w:rFonts w:ascii="Cambria" w:hAnsi="Cambria"/>
          <w:color w:val="231F20"/>
          <w:w w:val="105"/>
          <w:sz w:val="21"/>
        </w:rPr>
        <w:t>is</w:t>
      </w:r>
      <w:r>
        <w:rPr>
          <w:rFonts w:ascii="Cambria" w:hAnsi="Cambria"/>
          <w:color w:val="231F20"/>
          <w:spacing w:val="-12"/>
          <w:w w:val="105"/>
          <w:sz w:val="21"/>
        </w:rPr>
        <w:t> </w:t>
      </w:r>
      <w:r>
        <w:rPr>
          <w:rFonts w:ascii="Cambria" w:hAnsi="Cambria"/>
          <w:color w:val="231F20"/>
          <w:w w:val="105"/>
          <w:sz w:val="21"/>
        </w:rPr>
        <w:t>also</w:t>
      </w:r>
      <w:r>
        <w:rPr>
          <w:rFonts w:ascii="Cambria" w:hAnsi="Cambria"/>
          <w:color w:val="231F20"/>
          <w:spacing w:val="-12"/>
          <w:w w:val="105"/>
          <w:sz w:val="21"/>
        </w:rPr>
        <w:t> </w:t>
      </w:r>
      <w:r>
        <w:rPr>
          <w:rFonts w:ascii="Cambria" w:hAnsi="Cambria"/>
          <w:color w:val="231F20"/>
          <w:w w:val="105"/>
          <w:sz w:val="21"/>
        </w:rPr>
        <w:t>called</w:t>
      </w:r>
      <w:r>
        <w:rPr>
          <w:rFonts w:ascii="Cambria" w:hAnsi="Cambria"/>
          <w:color w:val="231F20"/>
          <w:spacing w:val="-12"/>
          <w:w w:val="105"/>
          <w:sz w:val="21"/>
        </w:rPr>
        <w:t> </w:t>
      </w:r>
      <w:r>
        <w:rPr>
          <w:rFonts w:ascii="Cambria" w:hAnsi="Cambria"/>
          <w:i/>
          <w:color w:val="231F20"/>
          <w:w w:val="105"/>
          <w:sz w:val="21"/>
        </w:rPr>
        <w:t>net</w:t>
      </w:r>
      <w:r>
        <w:rPr>
          <w:rFonts w:ascii="Cambria" w:hAnsi="Cambria"/>
          <w:i/>
          <w:color w:val="231F20"/>
          <w:spacing w:val="-12"/>
          <w:w w:val="105"/>
          <w:sz w:val="21"/>
        </w:rPr>
        <w:t> </w:t>
      </w:r>
      <w:r>
        <w:rPr>
          <w:rFonts w:ascii="Cambria" w:hAnsi="Cambria"/>
          <w:i/>
          <w:color w:val="231F20"/>
          <w:w w:val="105"/>
          <w:sz w:val="21"/>
        </w:rPr>
        <w:t>worth,</w:t>
      </w:r>
      <w:r>
        <w:rPr>
          <w:rFonts w:ascii="Cambria" w:hAnsi="Cambria"/>
          <w:i/>
          <w:color w:val="231F20"/>
          <w:spacing w:val="-12"/>
          <w:w w:val="105"/>
          <w:sz w:val="21"/>
        </w:rPr>
        <w:t> </w:t>
      </w:r>
      <w:r>
        <w:rPr>
          <w:rFonts w:ascii="Cambria" w:hAnsi="Cambria"/>
          <w:color w:val="231F20"/>
          <w:w w:val="105"/>
          <w:sz w:val="21"/>
        </w:rPr>
        <w:t>as</w:t>
      </w:r>
      <w:r>
        <w:rPr>
          <w:rFonts w:ascii="Cambria" w:hAnsi="Cambria"/>
          <w:color w:val="231F20"/>
          <w:spacing w:val="-12"/>
          <w:w w:val="105"/>
          <w:sz w:val="21"/>
        </w:rPr>
        <w:t> </w:t>
      </w:r>
      <w:r>
        <w:rPr>
          <w:rFonts w:ascii="Cambria" w:hAnsi="Cambria"/>
          <w:color w:val="231F20"/>
          <w:w w:val="105"/>
          <w:sz w:val="21"/>
        </w:rPr>
        <w:t>it</w:t>
      </w:r>
      <w:r>
        <w:rPr>
          <w:rFonts w:ascii="Cambria" w:hAnsi="Cambria"/>
          <w:color w:val="231F20"/>
          <w:spacing w:val="-12"/>
          <w:w w:val="105"/>
          <w:sz w:val="21"/>
        </w:rPr>
        <w:t> </w:t>
      </w:r>
      <w:r>
        <w:rPr>
          <w:rFonts w:ascii="Cambria" w:hAnsi="Cambria"/>
          <w:color w:val="231F20"/>
          <w:w w:val="105"/>
          <w:sz w:val="21"/>
        </w:rPr>
        <w:t>is</w:t>
      </w:r>
      <w:r>
        <w:rPr>
          <w:rFonts w:ascii="Cambria" w:hAnsi="Cambria"/>
          <w:color w:val="231F20"/>
          <w:spacing w:val="-12"/>
          <w:w w:val="105"/>
          <w:sz w:val="21"/>
        </w:rPr>
        <w:t> </w:t>
      </w:r>
      <w:r>
        <w:rPr>
          <w:rFonts w:ascii="Cambria" w:hAnsi="Cambria"/>
          <w:color w:val="231F20"/>
          <w:w w:val="105"/>
          <w:sz w:val="21"/>
        </w:rPr>
        <w:t>the “net”</w:t>
      </w:r>
      <w:r>
        <w:rPr>
          <w:rFonts w:ascii="Cambria" w:hAnsi="Cambria"/>
          <w:color w:val="231F20"/>
          <w:spacing w:val="-8"/>
          <w:w w:val="105"/>
          <w:sz w:val="21"/>
        </w:rPr>
        <w:t> </w:t>
      </w:r>
      <w:r>
        <w:rPr>
          <w:rFonts w:ascii="Cambria" w:hAnsi="Cambria"/>
          <w:color w:val="231F20"/>
          <w:w w:val="105"/>
          <w:sz w:val="21"/>
        </w:rPr>
        <w:t>value</w:t>
      </w:r>
      <w:r>
        <w:rPr>
          <w:rFonts w:ascii="Cambria" w:hAnsi="Cambria"/>
          <w:color w:val="231F20"/>
          <w:spacing w:val="-8"/>
          <w:w w:val="105"/>
          <w:sz w:val="21"/>
        </w:rPr>
        <w:t> </w:t>
      </w:r>
      <w:r>
        <w:rPr>
          <w:rFonts w:ascii="Cambria" w:hAnsi="Cambria"/>
          <w:color w:val="231F20"/>
          <w:w w:val="105"/>
          <w:sz w:val="21"/>
        </w:rPr>
        <w:t>after</w:t>
      </w:r>
      <w:r>
        <w:rPr>
          <w:rFonts w:ascii="Cambria" w:hAnsi="Cambria"/>
          <w:color w:val="231F20"/>
          <w:spacing w:val="-8"/>
          <w:w w:val="105"/>
          <w:sz w:val="21"/>
        </w:rPr>
        <w:t> </w:t>
      </w:r>
      <w:r>
        <w:rPr>
          <w:rFonts w:ascii="Cambria" w:hAnsi="Cambria"/>
          <w:color w:val="231F20"/>
          <w:w w:val="105"/>
          <w:sz w:val="21"/>
        </w:rPr>
        <w:t>all</w:t>
      </w:r>
      <w:r>
        <w:rPr>
          <w:rFonts w:ascii="Cambria" w:hAnsi="Cambria"/>
          <w:color w:val="231F20"/>
          <w:spacing w:val="-8"/>
          <w:w w:val="105"/>
          <w:sz w:val="21"/>
        </w:rPr>
        <w:t> </w:t>
      </w:r>
      <w:r>
        <w:rPr>
          <w:rFonts w:ascii="Cambria" w:hAnsi="Cambria"/>
          <w:color w:val="231F20"/>
          <w:w w:val="105"/>
          <w:sz w:val="21"/>
        </w:rPr>
        <w:t>other</w:t>
      </w:r>
      <w:r>
        <w:rPr>
          <w:rFonts w:ascii="Cambria" w:hAnsi="Cambria"/>
          <w:color w:val="231F20"/>
          <w:spacing w:val="-8"/>
          <w:w w:val="105"/>
          <w:sz w:val="21"/>
        </w:rPr>
        <w:t> </w:t>
      </w:r>
      <w:r>
        <w:rPr>
          <w:rFonts w:ascii="Cambria" w:hAnsi="Cambria"/>
          <w:color w:val="231F20"/>
          <w:w w:val="105"/>
          <w:sz w:val="21"/>
        </w:rPr>
        <w:t>obligations.</w:t>
      </w:r>
      <w:r>
        <w:rPr>
          <w:rFonts w:ascii="Cambria" w:hAnsi="Cambria"/>
          <w:color w:val="231F20"/>
          <w:spacing w:val="-8"/>
          <w:w w:val="105"/>
          <w:sz w:val="21"/>
        </w:rPr>
        <w:t> </w:t>
      </w:r>
      <w:r>
        <w:rPr>
          <w:rFonts w:ascii="Cambria" w:hAnsi="Cambria"/>
          <w:color w:val="231F20"/>
          <w:w w:val="105"/>
          <w:sz w:val="21"/>
        </w:rPr>
        <w:t>In</w:t>
      </w:r>
      <w:r>
        <w:rPr>
          <w:rFonts w:ascii="Cambria" w:hAnsi="Cambria"/>
          <w:color w:val="231F20"/>
          <w:spacing w:val="-8"/>
          <w:w w:val="105"/>
          <w:sz w:val="21"/>
        </w:rPr>
        <w:t> </w:t>
      </w:r>
      <w:r>
        <w:rPr>
          <w:rFonts w:ascii="Cambria" w:hAnsi="Cambria"/>
          <w:color w:val="231F20"/>
          <w:w w:val="105"/>
          <w:sz w:val="21"/>
        </w:rPr>
        <w:t>the</w:t>
      </w:r>
      <w:r>
        <w:rPr>
          <w:rFonts w:ascii="Cambria" w:hAnsi="Cambria"/>
          <w:color w:val="231F20"/>
          <w:spacing w:val="-8"/>
          <w:w w:val="105"/>
          <w:sz w:val="21"/>
        </w:rPr>
        <w:t> </w:t>
      </w:r>
      <w:r>
        <w:rPr>
          <w:rFonts w:ascii="Cambria" w:hAnsi="Cambria"/>
          <w:color w:val="231F20"/>
          <w:w w:val="105"/>
          <w:sz w:val="21"/>
        </w:rPr>
        <w:t>case</w:t>
      </w:r>
      <w:r>
        <w:rPr>
          <w:rFonts w:ascii="Cambria" w:hAnsi="Cambria"/>
          <w:color w:val="231F20"/>
          <w:spacing w:val="-8"/>
          <w:w w:val="105"/>
          <w:sz w:val="21"/>
        </w:rPr>
        <w:t> </w:t>
      </w:r>
      <w:r>
        <w:rPr>
          <w:rFonts w:ascii="Cambria" w:hAnsi="Cambria"/>
          <w:color w:val="231F20"/>
          <w:w w:val="105"/>
          <w:sz w:val="21"/>
        </w:rPr>
        <w:t>of</w:t>
      </w:r>
      <w:r>
        <w:rPr>
          <w:rFonts w:ascii="Cambria" w:hAnsi="Cambria"/>
          <w:color w:val="231F20"/>
          <w:spacing w:val="-8"/>
          <w:w w:val="105"/>
          <w:sz w:val="21"/>
        </w:rPr>
        <w:t> </w:t>
      </w:r>
      <w:r>
        <w:rPr>
          <w:rFonts w:ascii="Cambria" w:hAnsi="Cambria"/>
          <w:color w:val="231F20"/>
          <w:w w:val="105"/>
          <w:sz w:val="21"/>
        </w:rPr>
        <w:t>Donald</w:t>
      </w:r>
      <w:r>
        <w:rPr>
          <w:rFonts w:ascii="Cambria" w:hAnsi="Cambria"/>
          <w:color w:val="231F20"/>
          <w:spacing w:val="-8"/>
          <w:w w:val="105"/>
          <w:sz w:val="21"/>
        </w:rPr>
        <w:t> </w:t>
      </w:r>
      <w:r>
        <w:rPr>
          <w:rFonts w:ascii="Cambria" w:hAnsi="Cambria"/>
          <w:color w:val="231F20"/>
          <w:w w:val="105"/>
          <w:sz w:val="21"/>
        </w:rPr>
        <w:t>Trump,</w:t>
      </w:r>
      <w:r>
        <w:rPr>
          <w:rFonts w:ascii="Cambria" w:hAnsi="Cambria"/>
          <w:color w:val="231F20"/>
          <w:w w:val="105"/>
          <w:sz w:val="21"/>
        </w:rPr>
        <w:t> </w:t>
      </w:r>
      <w:r>
        <w:rPr>
          <w:rFonts w:ascii="Cambria" w:hAnsi="Cambria"/>
          <w:color w:val="231F20"/>
          <w:spacing w:val="-2"/>
          <w:w w:val="105"/>
          <w:sz w:val="21"/>
        </w:rPr>
        <w:t>the</w:t>
      </w:r>
      <w:r>
        <w:rPr>
          <w:rFonts w:ascii="Cambria" w:hAnsi="Cambria"/>
          <w:color w:val="231F20"/>
          <w:spacing w:val="-6"/>
          <w:w w:val="105"/>
          <w:sz w:val="21"/>
        </w:rPr>
        <w:t> </w:t>
      </w:r>
      <w:r>
        <w:rPr>
          <w:rFonts w:ascii="Cambria" w:hAnsi="Cambria"/>
          <w:color w:val="231F20"/>
          <w:spacing w:val="-2"/>
          <w:w w:val="105"/>
          <w:sz w:val="21"/>
        </w:rPr>
        <w:t>notorious</w:t>
      </w:r>
      <w:r>
        <w:rPr>
          <w:rFonts w:ascii="Cambria" w:hAnsi="Cambria"/>
          <w:color w:val="231F20"/>
          <w:spacing w:val="-6"/>
          <w:w w:val="105"/>
          <w:sz w:val="21"/>
        </w:rPr>
        <w:t> </w:t>
      </w:r>
      <w:r>
        <w:rPr>
          <w:rFonts w:ascii="Cambria" w:hAnsi="Cambria"/>
          <w:color w:val="231F20"/>
          <w:spacing w:val="-2"/>
          <w:w w:val="105"/>
          <w:sz w:val="21"/>
        </w:rPr>
        <w:t>real</w:t>
      </w:r>
      <w:r>
        <w:rPr>
          <w:rFonts w:ascii="Cambria" w:hAnsi="Cambria"/>
          <w:color w:val="231F20"/>
          <w:spacing w:val="-6"/>
          <w:w w:val="105"/>
          <w:sz w:val="21"/>
        </w:rPr>
        <w:t> </w:t>
      </w:r>
      <w:r>
        <w:rPr>
          <w:rFonts w:ascii="Cambria" w:hAnsi="Cambria"/>
          <w:color w:val="231F20"/>
          <w:spacing w:val="-2"/>
          <w:w w:val="105"/>
          <w:sz w:val="21"/>
        </w:rPr>
        <w:t>estate</w:t>
      </w:r>
      <w:r>
        <w:rPr>
          <w:rFonts w:ascii="Cambria" w:hAnsi="Cambria"/>
          <w:color w:val="231F20"/>
          <w:spacing w:val="-6"/>
          <w:w w:val="105"/>
          <w:sz w:val="21"/>
        </w:rPr>
        <w:t> </w:t>
      </w:r>
      <w:r>
        <w:rPr>
          <w:rFonts w:ascii="Cambria" w:hAnsi="Cambria"/>
          <w:color w:val="231F20"/>
          <w:spacing w:val="-2"/>
          <w:w w:val="105"/>
          <w:sz w:val="21"/>
        </w:rPr>
        <w:t>magnate</w:t>
      </w:r>
      <w:r>
        <w:rPr>
          <w:rFonts w:ascii="Cambria" w:hAnsi="Cambria"/>
          <w:color w:val="231F20"/>
          <w:spacing w:val="-6"/>
          <w:w w:val="105"/>
          <w:sz w:val="21"/>
        </w:rPr>
        <w:t> </w:t>
      </w:r>
      <w:r>
        <w:rPr>
          <w:rFonts w:ascii="Cambria" w:hAnsi="Cambria"/>
          <w:color w:val="231F20"/>
          <w:spacing w:val="-2"/>
          <w:w w:val="105"/>
          <w:sz w:val="21"/>
        </w:rPr>
        <w:t>of</w:t>
      </w:r>
      <w:r>
        <w:rPr>
          <w:rFonts w:ascii="Cambria" w:hAnsi="Cambria"/>
          <w:color w:val="231F20"/>
          <w:spacing w:val="-6"/>
          <w:w w:val="105"/>
          <w:sz w:val="21"/>
        </w:rPr>
        <w:t> </w:t>
      </w:r>
      <w:r>
        <w:rPr>
          <w:rFonts w:ascii="Cambria" w:hAnsi="Cambria"/>
          <w:color w:val="231F20"/>
          <w:spacing w:val="-2"/>
          <w:w w:val="105"/>
          <w:sz w:val="21"/>
        </w:rPr>
        <w:t>the</w:t>
      </w:r>
      <w:r>
        <w:rPr>
          <w:rFonts w:ascii="Cambria" w:hAnsi="Cambria"/>
          <w:color w:val="231F20"/>
          <w:spacing w:val="-6"/>
          <w:w w:val="105"/>
          <w:sz w:val="21"/>
        </w:rPr>
        <w:t> </w:t>
      </w:r>
      <w:r>
        <w:rPr>
          <w:rFonts w:ascii="Cambria" w:hAnsi="Cambria"/>
          <w:color w:val="231F20"/>
          <w:spacing w:val="-2"/>
          <w:w w:val="105"/>
          <w:sz w:val="21"/>
        </w:rPr>
        <w:t>1980s,</w:t>
      </w:r>
      <w:r>
        <w:rPr>
          <w:rFonts w:ascii="Cambria" w:hAnsi="Cambria"/>
          <w:color w:val="231F20"/>
          <w:spacing w:val="-6"/>
          <w:w w:val="105"/>
          <w:sz w:val="21"/>
        </w:rPr>
        <w:t> </w:t>
      </w:r>
      <w:r>
        <w:rPr>
          <w:rFonts w:ascii="Cambria" w:hAnsi="Cambria"/>
          <w:color w:val="231F20"/>
          <w:spacing w:val="-2"/>
          <w:w w:val="105"/>
          <w:sz w:val="21"/>
        </w:rPr>
        <w:t>he</w:t>
      </w:r>
      <w:r>
        <w:rPr>
          <w:rFonts w:ascii="Cambria" w:hAnsi="Cambria"/>
          <w:color w:val="231F20"/>
          <w:spacing w:val="-6"/>
          <w:w w:val="105"/>
          <w:sz w:val="21"/>
        </w:rPr>
        <w:t> </w:t>
      </w:r>
      <w:r>
        <w:rPr>
          <w:rFonts w:ascii="Cambria" w:hAnsi="Cambria"/>
          <w:color w:val="231F20"/>
          <w:spacing w:val="-2"/>
          <w:w w:val="105"/>
          <w:sz w:val="21"/>
        </w:rPr>
        <w:t>may</w:t>
      </w:r>
      <w:r>
        <w:rPr>
          <w:rFonts w:ascii="Cambria" w:hAnsi="Cambria"/>
          <w:color w:val="231F20"/>
          <w:spacing w:val="-6"/>
          <w:w w:val="105"/>
          <w:sz w:val="21"/>
        </w:rPr>
        <w:t> </w:t>
      </w:r>
      <w:r>
        <w:rPr>
          <w:rFonts w:ascii="Cambria" w:hAnsi="Cambria"/>
          <w:color w:val="231F20"/>
          <w:spacing w:val="-2"/>
          <w:w w:val="105"/>
          <w:sz w:val="21"/>
        </w:rPr>
        <w:t>have</w:t>
      </w:r>
      <w:r>
        <w:rPr>
          <w:rFonts w:ascii="Cambria" w:hAnsi="Cambria"/>
          <w:color w:val="231F20"/>
          <w:spacing w:val="-6"/>
          <w:w w:val="105"/>
          <w:sz w:val="21"/>
        </w:rPr>
        <w:t> </w:t>
      </w:r>
      <w:r>
        <w:rPr>
          <w:rFonts w:ascii="Cambria" w:hAnsi="Cambria"/>
          <w:color w:val="231F20"/>
          <w:spacing w:val="-2"/>
          <w:w w:val="105"/>
          <w:sz w:val="21"/>
        </w:rPr>
        <w:t>owned billions</w:t>
      </w:r>
      <w:r>
        <w:rPr>
          <w:rFonts w:ascii="Cambria" w:hAnsi="Cambria"/>
          <w:color w:val="231F20"/>
          <w:spacing w:val="-8"/>
          <w:w w:val="105"/>
          <w:sz w:val="21"/>
        </w:rPr>
        <w:t> </w:t>
      </w:r>
      <w:r>
        <w:rPr>
          <w:rFonts w:ascii="Cambria" w:hAnsi="Cambria"/>
          <w:color w:val="231F20"/>
          <w:spacing w:val="-2"/>
          <w:w w:val="105"/>
          <w:sz w:val="21"/>
        </w:rPr>
        <w:t>of</w:t>
      </w:r>
      <w:r>
        <w:rPr>
          <w:rFonts w:ascii="Cambria" w:hAnsi="Cambria"/>
          <w:color w:val="231F20"/>
          <w:spacing w:val="-8"/>
          <w:w w:val="105"/>
          <w:sz w:val="21"/>
        </w:rPr>
        <w:t> </w:t>
      </w:r>
      <w:r>
        <w:rPr>
          <w:rFonts w:ascii="Cambria" w:hAnsi="Cambria"/>
          <w:color w:val="231F20"/>
          <w:spacing w:val="-2"/>
          <w:w w:val="105"/>
          <w:sz w:val="21"/>
        </w:rPr>
        <w:t>dollars</w:t>
      </w:r>
      <w:r>
        <w:rPr>
          <w:rFonts w:ascii="Cambria" w:hAnsi="Cambria"/>
          <w:color w:val="231F20"/>
          <w:spacing w:val="-8"/>
          <w:w w:val="105"/>
          <w:sz w:val="21"/>
        </w:rPr>
        <w:t> </w:t>
      </w:r>
      <w:r>
        <w:rPr>
          <w:rFonts w:ascii="Cambria" w:hAnsi="Cambria"/>
          <w:color w:val="231F20"/>
          <w:spacing w:val="-2"/>
          <w:w w:val="105"/>
          <w:sz w:val="21"/>
        </w:rPr>
        <w:t>of</w:t>
      </w:r>
      <w:r>
        <w:rPr>
          <w:rFonts w:ascii="Cambria" w:hAnsi="Cambria"/>
          <w:color w:val="231F20"/>
          <w:spacing w:val="-8"/>
          <w:w w:val="105"/>
          <w:sz w:val="21"/>
        </w:rPr>
        <w:t> </w:t>
      </w:r>
      <w:r>
        <w:rPr>
          <w:rFonts w:ascii="Cambria" w:hAnsi="Cambria"/>
          <w:color w:val="231F20"/>
          <w:spacing w:val="-2"/>
          <w:w w:val="105"/>
          <w:sz w:val="21"/>
        </w:rPr>
        <w:t>property,</w:t>
      </w:r>
      <w:r>
        <w:rPr>
          <w:rFonts w:ascii="Cambria" w:hAnsi="Cambria"/>
          <w:color w:val="231F20"/>
          <w:spacing w:val="-8"/>
          <w:w w:val="105"/>
          <w:sz w:val="21"/>
        </w:rPr>
        <w:t> </w:t>
      </w:r>
      <w:r>
        <w:rPr>
          <w:rFonts w:ascii="Cambria" w:hAnsi="Cambria"/>
          <w:color w:val="231F20"/>
          <w:spacing w:val="-2"/>
          <w:w w:val="105"/>
          <w:sz w:val="21"/>
        </w:rPr>
        <w:t>but</w:t>
      </w:r>
      <w:r>
        <w:rPr>
          <w:rFonts w:ascii="Cambria" w:hAnsi="Cambria"/>
          <w:color w:val="231F20"/>
          <w:spacing w:val="-8"/>
          <w:w w:val="105"/>
          <w:sz w:val="21"/>
        </w:rPr>
        <w:t> </w:t>
      </w:r>
      <w:r>
        <w:rPr>
          <w:rFonts w:ascii="Cambria" w:hAnsi="Cambria"/>
          <w:color w:val="231F20"/>
          <w:spacing w:val="-2"/>
          <w:w w:val="105"/>
          <w:sz w:val="21"/>
        </w:rPr>
        <w:t>temporarily</w:t>
      </w:r>
      <w:r>
        <w:rPr>
          <w:rFonts w:ascii="Cambria" w:hAnsi="Cambria"/>
          <w:color w:val="231F20"/>
          <w:spacing w:val="-8"/>
          <w:w w:val="105"/>
          <w:sz w:val="21"/>
        </w:rPr>
        <w:t> </w:t>
      </w:r>
      <w:r>
        <w:rPr>
          <w:rFonts w:ascii="Cambria" w:hAnsi="Cambria"/>
          <w:color w:val="231F20"/>
          <w:spacing w:val="-2"/>
          <w:w w:val="105"/>
          <w:sz w:val="21"/>
        </w:rPr>
        <w:t>his</w:t>
      </w:r>
      <w:r>
        <w:rPr>
          <w:rFonts w:ascii="Cambria" w:hAnsi="Cambria"/>
          <w:color w:val="231F20"/>
          <w:spacing w:val="-8"/>
          <w:w w:val="105"/>
          <w:sz w:val="21"/>
        </w:rPr>
        <w:t> </w:t>
      </w:r>
      <w:r>
        <w:rPr>
          <w:rFonts w:ascii="Cambria" w:hAnsi="Cambria"/>
          <w:color w:val="231F20"/>
          <w:spacing w:val="-2"/>
          <w:w w:val="105"/>
          <w:sz w:val="21"/>
        </w:rPr>
        <w:t>net</w:t>
      </w:r>
      <w:r>
        <w:rPr>
          <w:rFonts w:ascii="Cambria" w:hAnsi="Cambria"/>
          <w:color w:val="231F20"/>
          <w:spacing w:val="-8"/>
          <w:w w:val="105"/>
          <w:sz w:val="21"/>
        </w:rPr>
        <w:t> </w:t>
      </w:r>
      <w:r>
        <w:rPr>
          <w:rFonts w:ascii="Cambria" w:hAnsi="Cambria"/>
          <w:color w:val="231F20"/>
          <w:spacing w:val="-2"/>
          <w:w w:val="105"/>
          <w:sz w:val="21"/>
        </w:rPr>
        <w:t>worth</w:t>
      </w:r>
      <w:r>
        <w:rPr>
          <w:rFonts w:ascii="Cambria" w:hAnsi="Cambria"/>
          <w:color w:val="231F20"/>
          <w:spacing w:val="-8"/>
          <w:w w:val="105"/>
          <w:sz w:val="21"/>
        </w:rPr>
        <w:t> </w:t>
      </w:r>
      <w:r>
        <w:rPr>
          <w:rFonts w:ascii="Cambria" w:hAnsi="Cambria"/>
          <w:color w:val="231F20"/>
          <w:spacing w:val="-2"/>
          <w:w w:val="105"/>
          <w:sz w:val="21"/>
        </w:rPr>
        <w:t>report-</w:t>
      </w:r>
      <w:r>
        <w:rPr>
          <w:rFonts w:ascii="Cambria" w:hAnsi="Cambria"/>
          <w:color w:val="231F20"/>
          <w:spacing w:val="-2"/>
          <w:w w:val="105"/>
          <w:sz w:val="21"/>
        </w:rPr>
        <w:t> </w:t>
      </w:r>
      <w:r>
        <w:rPr>
          <w:rFonts w:ascii="Cambria" w:hAnsi="Cambria"/>
          <w:color w:val="231F20"/>
          <w:w w:val="105"/>
          <w:sz w:val="21"/>
        </w:rPr>
        <w:t>edly</w:t>
      </w:r>
      <w:r>
        <w:rPr>
          <w:rFonts w:ascii="Cambria" w:hAnsi="Cambria"/>
          <w:color w:val="231F20"/>
          <w:spacing w:val="-12"/>
          <w:w w:val="105"/>
          <w:sz w:val="21"/>
        </w:rPr>
        <w:t> </w:t>
      </w:r>
      <w:r>
        <w:rPr>
          <w:rFonts w:ascii="Cambria" w:hAnsi="Cambria"/>
          <w:color w:val="231F20"/>
          <w:w w:val="105"/>
          <w:sz w:val="21"/>
        </w:rPr>
        <w:t>became</w:t>
      </w:r>
      <w:r>
        <w:rPr>
          <w:rFonts w:ascii="Cambria" w:hAnsi="Cambria"/>
          <w:color w:val="231F20"/>
          <w:spacing w:val="-12"/>
          <w:w w:val="105"/>
          <w:sz w:val="21"/>
        </w:rPr>
        <w:t> </w:t>
      </w:r>
      <w:r>
        <w:rPr>
          <w:rFonts w:ascii="Cambria" w:hAnsi="Cambria"/>
          <w:color w:val="231F20"/>
          <w:w w:val="105"/>
          <w:sz w:val="21"/>
        </w:rPr>
        <w:t>negative</w:t>
      </w:r>
      <w:r>
        <w:rPr>
          <w:rFonts w:ascii="Cambria" w:hAnsi="Cambria"/>
          <w:color w:val="231F20"/>
          <w:spacing w:val="-12"/>
          <w:w w:val="105"/>
          <w:sz w:val="21"/>
        </w:rPr>
        <w:t> </w:t>
      </w:r>
      <w:r>
        <w:rPr>
          <w:rFonts w:ascii="Cambria" w:hAnsi="Cambria"/>
          <w:color w:val="231F20"/>
          <w:w w:val="105"/>
          <w:sz w:val="21"/>
        </w:rPr>
        <w:t>in</w:t>
      </w:r>
      <w:r>
        <w:rPr>
          <w:rFonts w:ascii="Cambria" w:hAnsi="Cambria"/>
          <w:color w:val="231F20"/>
          <w:spacing w:val="-12"/>
          <w:w w:val="105"/>
          <w:sz w:val="21"/>
        </w:rPr>
        <w:t> </w:t>
      </w:r>
      <w:r>
        <w:rPr>
          <w:rFonts w:ascii="Cambria" w:hAnsi="Cambria"/>
          <w:color w:val="231F20"/>
          <w:w w:val="105"/>
          <w:sz w:val="21"/>
        </w:rPr>
        <w:t>1990</w:t>
      </w:r>
      <w:r>
        <w:rPr>
          <w:rFonts w:ascii="Cambria" w:hAnsi="Cambria"/>
          <w:color w:val="231F20"/>
          <w:spacing w:val="-12"/>
          <w:w w:val="105"/>
          <w:sz w:val="21"/>
        </w:rPr>
        <w:t> </w:t>
      </w:r>
      <w:r>
        <w:rPr>
          <w:rFonts w:ascii="Cambria" w:hAnsi="Cambria"/>
          <w:color w:val="231F20"/>
          <w:w w:val="105"/>
          <w:sz w:val="21"/>
        </w:rPr>
        <w:t>as</w:t>
      </w:r>
      <w:r>
        <w:rPr>
          <w:rFonts w:ascii="Cambria" w:hAnsi="Cambria"/>
          <w:color w:val="231F20"/>
          <w:spacing w:val="-12"/>
          <w:w w:val="105"/>
          <w:sz w:val="21"/>
        </w:rPr>
        <w:t> </w:t>
      </w:r>
      <w:r>
        <w:rPr>
          <w:rFonts w:ascii="Cambria" w:hAnsi="Cambria"/>
          <w:color w:val="231F20"/>
          <w:w w:val="105"/>
          <w:sz w:val="21"/>
        </w:rPr>
        <w:t>his</w:t>
      </w:r>
      <w:r>
        <w:rPr>
          <w:rFonts w:ascii="Cambria" w:hAnsi="Cambria"/>
          <w:color w:val="231F20"/>
          <w:spacing w:val="-12"/>
          <w:w w:val="105"/>
          <w:sz w:val="21"/>
        </w:rPr>
        <w:t> </w:t>
      </w:r>
      <w:r>
        <w:rPr>
          <w:rFonts w:ascii="Cambria" w:hAnsi="Cambria"/>
          <w:color w:val="231F20"/>
          <w:w w:val="105"/>
          <w:sz w:val="21"/>
        </w:rPr>
        <w:t>debts</w:t>
      </w:r>
      <w:r>
        <w:rPr>
          <w:rFonts w:ascii="Cambria" w:hAnsi="Cambria"/>
          <w:color w:val="231F20"/>
          <w:spacing w:val="-12"/>
          <w:w w:val="105"/>
          <w:sz w:val="21"/>
        </w:rPr>
        <w:t> </w:t>
      </w:r>
      <w:r>
        <w:rPr>
          <w:rFonts w:ascii="Cambria" w:hAnsi="Cambria"/>
          <w:color w:val="231F20"/>
          <w:w w:val="105"/>
          <w:sz w:val="21"/>
        </w:rPr>
        <w:t>became</w:t>
      </w:r>
      <w:r>
        <w:rPr>
          <w:rFonts w:ascii="Cambria" w:hAnsi="Cambria"/>
          <w:color w:val="231F20"/>
          <w:spacing w:val="-12"/>
          <w:w w:val="105"/>
          <w:sz w:val="21"/>
        </w:rPr>
        <w:t> </w:t>
      </w:r>
      <w:r>
        <w:rPr>
          <w:rFonts w:ascii="Cambria" w:hAnsi="Cambria"/>
          <w:color w:val="231F20"/>
          <w:w w:val="105"/>
          <w:sz w:val="21"/>
        </w:rPr>
        <w:t>even</w:t>
      </w:r>
      <w:r>
        <w:rPr>
          <w:rFonts w:ascii="Cambria" w:hAnsi="Cambria"/>
          <w:color w:val="231F20"/>
          <w:spacing w:val="-12"/>
          <w:w w:val="105"/>
          <w:sz w:val="21"/>
        </w:rPr>
        <w:t> </w:t>
      </w:r>
      <w:r>
        <w:rPr>
          <w:rFonts w:ascii="Cambria" w:hAnsi="Cambria"/>
          <w:color w:val="231F20"/>
          <w:w w:val="105"/>
          <w:sz w:val="21"/>
        </w:rPr>
        <w:t>larger</w:t>
      </w:r>
      <w:r>
        <w:rPr>
          <w:rFonts w:ascii="Cambria" w:hAnsi="Cambria"/>
          <w:color w:val="231F20"/>
          <w:spacing w:val="-12"/>
          <w:w w:val="105"/>
          <w:sz w:val="21"/>
        </w:rPr>
        <w:t> </w:t>
      </w:r>
      <w:r>
        <w:rPr>
          <w:rFonts w:ascii="Cambria" w:hAnsi="Cambria"/>
          <w:color w:val="231F20"/>
          <w:w w:val="105"/>
          <w:sz w:val="21"/>
        </w:rPr>
        <w:t>than</w:t>
      </w:r>
      <w:r>
        <w:rPr>
          <w:rFonts w:ascii="Cambria" w:hAnsi="Cambria"/>
          <w:color w:val="231F20"/>
          <w:w w:val="105"/>
          <w:sz w:val="21"/>
        </w:rPr>
        <w:t> the value of his properties in New York City and Atlantic City.</w:t>
      </w:r>
    </w:p>
    <w:p>
      <w:pPr>
        <w:pStyle w:val="BodyText"/>
        <w:spacing w:line="292" w:lineRule="auto"/>
        <w:ind w:left="920" w:right="666" w:firstLine="340"/>
        <w:jc w:val="both"/>
      </w:pPr>
      <w:r>
        <w:rPr>
          <w:color w:val="231F20"/>
        </w:rPr>
        <w:t>Owners’ equity is increased by conducting business. </w:t>
      </w:r>
      <w:r>
        <w:rPr>
          <w:color w:val="231F20"/>
        </w:rPr>
        <w:t>Businesses buy and sell and provide and receive services. Hopefully after a pe- riod of time, the company has increased its wealth with those activi- ties.</w:t>
      </w:r>
      <w:r>
        <w:rPr>
          <w:color w:val="231F20"/>
          <w:spacing w:val="-2"/>
        </w:rPr>
        <w:t> </w:t>
      </w:r>
      <w:r>
        <w:rPr>
          <w:color w:val="231F20"/>
        </w:rPr>
        <w:t>If</w:t>
      </w:r>
      <w:r>
        <w:rPr>
          <w:color w:val="231F20"/>
          <w:spacing w:val="-2"/>
        </w:rPr>
        <w:t> </w:t>
      </w:r>
      <w:r>
        <w:rPr>
          <w:color w:val="231F20"/>
        </w:rPr>
        <w:t>the</w:t>
      </w:r>
      <w:r>
        <w:rPr>
          <w:color w:val="231F20"/>
          <w:spacing w:val="-2"/>
        </w:rPr>
        <w:t> </w:t>
      </w:r>
      <w:r>
        <w:rPr>
          <w:color w:val="231F20"/>
        </w:rPr>
        <w:t>net</w:t>
      </w:r>
      <w:r>
        <w:rPr>
          <w:color w:val="231F20"/>
          <w:spacing w:val="-2"/>
        </w:rPr>
        <w:t> </w:t>
      </w:r>
      <w:r>
        <w:rPr>
          <w:color w:val="231F20"/>
        </w:rPr>
        <w:t>assets</w:t>
      </w:r>
      <w:r>
        <w:rPr>
          <w:color w:val="231F20"/>
          <w:spacing w:val="-2"/>
        </w:rPr>
        <w:t> </w:t>
      </w:r>
      <w:r>
        <w:rPr>
          <w:color w:val="231F20"/>
        </w:rPr>
        <w:t>increased</w:t>
      </w:r>
      <w:r>
        <w:rPr>
          <w:color w:val="231F20"/>
          <w:spacing w:val="-2"/>
        </w:rPr>
        <w:t> </w:t>
      </w:r>
      <w:r>
        <w:rPr>
          <w:color w:val="231F20"/>
        </w:rPr>
        <w:t>over</w:t>
      </w:r>
      <w:r>
        <w:rPr>
          <w:color w:val="231F20"/>
          <w:spacing w:val="-2"/>
        </w:rPr>
        <w:t> </w:t>
      </w:r>
      <w:r>
        <w:rPr>
          <w:color w:val="231F20"/>
        </w:rPr>
        <w:t>time,</w:t>
      </w:r>
      <w:r>
        <w:rPr>
          <w:color w:val="231F20"/>
          <w:spacing w:val="-2"/>
        </w:rPr>
        <w:t> </w:t>
      </w:r>
      <w:r>
        <w:rPr>
          <w:color w:val="231F20"/>
        </w:rPr>
        <w:t>then</w:t>
      </w:r>
      <w:r>
        <w:rPr>
          <w:color w:val="231F20"/>
          <w:spacing w:val="-2"/>
        </w:rPr>
        <w:t> </w:t>
      </w:r>
      <w:r>
        <w:rPr>
          <w:color w:val="231F20"/>
        </w:rPr>
        <w:t>it</w:t>
      </w:r>
      <w:r>
        <w:rPr>
          <w:color w:val="231F20"/>
          <w:spacing w:val="-2"/>
        </w:rPr>
        <w:t> </w:t>
      </w:r>
      <w:r>
        <w:rPr>
          <w:color w:val="231F20"/>
        </w:rPr>
        <w:t>must</w:t>
      </w:r>
      <w:r>
        <w:rPr>
          <w:color w:val="231F20"/>
          <w:spacing w:val="-2"/>
        </w:rPr>
        <w:t> </w:t>
      </w:r>
      <w:r>
        <w:rPr>
          <w:color w:val="231F20"/>
        </w:rPr>
        <w:t>have</w:t>
      </w:r>
      <w:r>
        <w:rPr>
          <w:color w:val="231F20"/>
          <w:spacing w:val="-2"/>
        </w:rPr>
        <w:t> </w:t>
      </w:r>
      <w:r>
        <w:rPr>
          <w:color w:val="231F20"/>
        </w:rPr>
        <w:t>increased its OE.</w:t>
      </w:r>
    </w:p>
    <w:p>
      <w:pPr>
        <w:pStyle w:val="BodyText"/>
        <w:spacing w:line="292" w:lineRule="auto"/>
        <w:ind w:left="920" w:right="665" w:firstLine="340"/>
        <w:jc w:val="both"/>
      </w:pPr>
      <w:r>
        <w:rPr>
          <w:color w:val="231F20"/>
        </w:rPr>
        <w:t>The OE captions on the balance sheet can be affected in two</w:t>
      </w:r>
      <w:r>
        <w:rPr>
          <w:color w:val="231F20"/>
          <w:spacing w:val="80"/>
        </w:rPr>
        <w:t> </w:t>
      </w:r>
      <w:r>
        <w:rPr>
          <w:color w:val="231F20"/>
        </w:rPr>
        <w:t>ways. Investors can contribute more funds or they may elect that </w:t>
      </w:r>
      <w:r>
        <w:rPr>
          <w:color w:val="231F20"/>
        </w:rPr>
        <w:t>the company “retain” its profits. The line “retained earnings” is on the balance sheet for that purpose. If owners want to take out earnings, they may elect to receive </w:t>
      </w:r>
      <w:r>
        <w:rPr>
          <w:i/>
          <w:color w:val="231F20"/>
        </w:rPr>
        <w:t>dividends. </w:t>
      </w:r>
      <w:r>
        <w:rPr>
          <w:color w:val="231F20"/>
        </w:rPr>
        <w:t>Dividends reduce their accumu- lated retained earnings.</w:t>
      </w:r>
    </w:p>
    <w:p>
      <w:pPr>
        <w:spacing w:line="244" w:lineRule="exact" w:before="0"/>
        <w:ind w:left="1260" w:right="0" w:firstLine="0"/>
        <w:jc w:val="both"/>
        <w:rPr>
          <w:i/>
          <w:sz w:val="21"/>
        </w:rPr>
      </w:pPr>
      <w:r>
        <w:rPr>
          <w:color w:val="231F20"/>
          <w:w w:val="105"/>
          <w:sz w:val="21"/>
        </w:rPr>
        <w:t>Accountants</w:t>
      </w:r>
      <w:r>
        <w:rPr>
          <w:color w:val="231F20"/>
          <w:spacing w:val="60"/>
          <w:w w:val="105"/>
          <w:sz w:val="21"/>
        </w:rPr>
        <w:t> </w:t>
      </w:r>
      <w:r>
        <w:rPr>
          <w:color w:val="231F20"/>
          <w:w w:val="105"/>
          <w:sz w:val="21"/>
        </w:rPr>
        <w:t>sometimes</w:t>
      </w:r>
      <w:r>
        <w:rPr>
          <w:color w:val="231F20"/>
          <w:spacing w:val="61"/>
          <w:w w:val="105"/>
          <w:sz w:val="21"/>
        </w:rPr>
        <w:t> </w:t>
      </w:r>
      <w:r>
        <w:rPr>
          <w:color w:val="231F20"/>
          <w:w w:val="105"/>
          <w:sz w:val="21"/>
        </w:rPr>
        <w:t>prepare</w:t>
      </w:r>
      <w:r>
        <w:rPr>
          <w:color w:val="231F20"/>
          <w:spacing w:val="61"/>
          <w:w w:val="105"/>
          <w:sz w:val="21"/>
        </w:rPr>
        <w:t> </w:t>
      </w:r>
      <w:r>
        <w:rPr>
          <w:color w:val="231F20"/>
          <w:w w:val="105"/>
          <w:sz w:val="21"/>
        </w:rPr>
        <w:t>the</w:t>
      </w:r>
      <w:r>
        <w:rPr>
          <w:color w:val="231F20"/>
          <w:spacing w:val="61"/>
          <w:w w:val="105"/>
          <w:sz w:val="21"/>
        </w:rPr>
        <w:t> </w:t>
      </w:r>
      <w:r>
        <w:rPr>
          <w:i/>
          <w:color w:val="231F20"/>
          <w:w w:val="105"/>
          <w:sz w:val="21"/>
        </w:rPr>
        <w:t>Statement</w:t>
      </w:r>
      <w:r>
        <w:rPr>
          <w:i/>
          <w:color w:val="231F20"/>
          <w:spacing w:val="61"/>
          <w:w w:val="105"/>
          <w:sz w:val="21"/>
        </w:rPr>
        <w:t> </w:t>
      </w:r>
      <w:r>
        <w:rPr>
          <w:i/>
          <w:color w:val="231F20"/>
          <w:w w:val="105"/>
          <w:sz w:val="21"/>
        </w:rPr>
        <w:t>of</w:t>
      </w:r>
      <w:r>
        <w:rPr>
          <w:i/>
          <w:color w:val="231F20"/>
          <w:spacing w:val="61"/>
          <w:w w:val="105"/>
          <w:sz w:val="21"/>
        </w:rPr>
        <w:t> </w:t>
      </w:r>
      <w:r>
        <w:rPr>
          <w:i/>
          <w:color w:val="231F20"/>
          <w:spacing w:val="-2"/>
          <w:w w:val="105"/>
          <w:sz w:val="21"/>
        </w:rPr>
        <w:t>Owners’</w:t>
      </w:r>
    </w:p>
    <w:p>
      <w:pPr>
        <w:spacing w:after="0" w:line="244" w:lineRule="exact"/>
        <w:jc w:val="both"/>
        <w:rPr>
          <w:sz w:val="21"/>
        </w:rPr>
        <w:sectPr>
          <w:pgSz w:w="8640" w:h="12960"/>
          <w:pgMar w:header="734" w:footer="0" w:top="920" w:bottom="280" w:left="340" w:right="500"/>
        </w:sectPr>
      </w:pPr>
    </w:p>
    <w:p>
      <w:pPr>
        <w:pStyle w:val="BodyText"/>
        <w:spacing w:before="8"/>
        <w:rPr>
          <w:i/>
          <w:sz w:val="17"/>
        </w:rPr>
      </w:pPr>
    </w:p>
    <w:p>
      <w:pPr>
        <w:spacing w:before="93"/>
        <w:ind w:left="294" w:right="219" w:firstLine="0"/>
        <w:jc w:val="center"/>
        <w:rPr>
          <w:b/>
          <w:sz w:val="20"/>
        </w:rPr>
      </w:pPr>
      <w:r>
        <w:rPr>
          <w:b/>
          <w:color w:val="231F20"/>
          <w:w w:val="110"/>
          <w:sz w:val="20"/>
        </w:rPr>
        <w:t>BOB’S</w:t>
      </w:r>
      <w:r>
        <w:rPr>
          <w:b/>
          <w:color w:val="231F20"/>
          <w:spacing w:val="25"/>
          <w:w w:val="110"/>
          <w:sz w:val="20"/>
        </w:rPr>
        <w:t> </w:t>
      </w:r>
      <w:r>
        <w:rPr>
          <w:b/>
          <w:color w:val="231F20"/>
          <w:w w:val="110"/>
          <w:sz w:val="20"/>
        </w:rPr>
        <w:t>MARKET,</w:t>
      </w:r>
      <w:r>
        <w:rPr>
          <w:b/>
          <w:color w:val="231F20"/>
          <w:spacing w:val="26"/>
          <w:w w:val="110"/>
          <w:sz w:val="20"/>
        </w:rPr>
        <w:t> </w:t>
      </w:r>
      <w:r>
        <w:rPr>
          <w:b/>
          <w:color w:val="231F20"/>
          <w:w w:val="110"/>
          <w:sz w:val="20"/>
        </w:rPr>
        <w:t>FAIRWAY,</w:t>
      </w:r>
      <w:r>
        <w:rPr>
          <w:b/>
          <w:color w:val="231F20"/>
          <w:spacing w:val="25"/>
          <w:w w:val="110"/>
          <w:sz w:val="20"/>
        </w:rPr>
        <w:t> </w:t>
      </w:r>
      <w:r>
        <w:rPr>
          <w:b/>
          <w:color w:val="231F20"/>
          <w:spacing w:val="-2"/>
          <w:w w:val="110"/>
          <w:sz w:val="20"/>
        </w:rPr>
        <w:t>KANSAS</w:t>
      </w:r>
    </w:p>
    <w:p>
      <w:pPr>
        <w:spacing w:before="65"/>
        <w:ind w:left="294" w:right="219" w:firstLine="0"/>
        <w:jc w:val="center"/>
        <w:rPr>
          <w:b/>
          <w:sz w:val="20"/>
        </w:rPr>
      </w:pPr>
      <w:r>
        <w:rPr>
          <w:b/>
          <w:color w:val="231F20"/>
          <w:w w:val="110"/>
          <w:sz w:val="20"/>
        </w:rPr>
        <w:t>BALANCE</w:t>
      </w:r>
      <w:r>
        <w:rPr>
          <w:b/>
          <w:color w:val="231F20"/>
          <w:spacing w:val="53"/>
          <w:w w:val="110"/>
          <w:sz w:val="20"/>
        </w:rPr>
        <w:t> </w:t>
      </w:r>
      <w:r>
        <w:rPr>
          <w:b/>
          <w:color w:val="231F20"/>
          <w:w w:val="110"/>
          <w:sz w:val="20"/>
        </w:rPr>
        <w:t>SHEET</w:t>
      </w:r>
      <w:r>
        <w:rPr>
          <w:b/>
          <w:color w:val="231F20"/>
          <w:spacing w:val="53"/>
          <w:w w:val="110"/>
          <w:sz w:val="20"/>
        </w:rPr>
        <w:t> </w:t>
      </w:r>
      <w:r>
        <w:rPr>
          <w:b/>
          <w:color w:val="231F20"/>
          <w:w w:val="110"/>
          <w:sz w:val="20"/>
        </w:rPr>
        <w:t>AS</w:t>
      </w:r>
      <w:r>
        <w:rPr>
          <w:b/>
          <w:color w:val="231F20"/>
          <w:spacing w:val="54"/>
          <w:w w:val="110"/>
          <w:sz w:val="20"/>
        </w:rPr>
        <w:t> </w:t>
      </w:r>
      <w:r>
        <w:rPr>
          <w:b/>
          <w:color w:val="231F20"/>
          <w:w w:val="110"/>
          <w:sz w:val="20"/>
        </w:rPr>
        <w:t>OF</w:t>
      </w:r>
      <w:r>
        <w:rPr>
          <w:b/>
          <w:color w:val="231F20"/>
          <w:spacing w:val="53"/>
          <w:w w:val="110"/>
          <w:sz w:val="20"/>
        </w:rPr>
        <w:t> </w:t>
      </w:r>
      <w:r>
        <w:rPr>
          <w:b/>
          <w:color w:val="231F20"/>
          <w:w w:val="110"/>
          <w:sz w:val="20"/>
        </w:rPr>
        <w:t>DECEMBER</w:t>
      </w:r>
      <w:r>
        <w:rPr>
          <w:b/>
          <w:color w:val="231F20"/>
          <w:spacing w:val="54"/>
          <w:w w:val="110"/>
          <w:sz w:val="20"/>
        </w:rPr>
        <w:t> </w:t>
      </w:r>
      <w:r>
        <w:rPr>
          <w:b/>
          <w:color w:val="231F20"/>
          <w:w w:val="110"/>
          <w:sz w:val="20"/>
        </w:rPr>
        <w:t>31,</w:t>
      </w:r>
      <w:r>
        <w:rPr>
          <w:b/>
          <w:color w:val="231F20"/>
          <w:spacing w:val="53"/>
          <w:w w:val="110"/>
          <w:sz w:val="20"/>
        </w:rPr>
        <w:t> </w:t>
      </w:r>
      <w:r>
        <w:rPr>
          <w:b/>
          <w:color w:val="231F20"/>
          <w:spacing w:val="-4"/>
          <w:w w:val="110"/>
          <w:sz w:val="20"/>
        </w:rPr>
        <w:t>2005</w:t>
      </w:r>
    </w:p>
    <w:p>
      <w:pPr>
        <w:spacing w:before="69"/>
        <w:ind w:left="289" w:right="219" w:firstLine="0"/>
        <w:jc w:val="center"/>
        <w:rPr>
          <w:rFonts w:ascii="Times New Roman"/>
          <w:sz w:val="20"/>
        </w:rPr>
      </w:pPr>
      <w:r>
        <w:rPr>
          <w:rFonts w:ascii="Times New Roman"/>
          <w:color w:val="231F20"/>
          <w:w w:val="105"/>
          <w:sz w:val="20"/>
        </w:rPr>
        <w:t>(the</w:t>
      </w:r>
      <w:r>
        <w:rPr>
          <w:rFonts w:ascii="Times New Roman"/>
          <w:color w:val="231F20"/>
          <w:spacing w:val="-7"/>
          <w:w w:val="105"/>
          <w:sz w:val="20"/>
        </w:rPr>
        <w:t> </w:t>
      </w:r>
      <w:r>
        <w:rPr>
          <w:rFonts w:ascii="Times New Roman"/>
          <w:color w:val="231F20"/>
          <w:w w:val="105"/>
          <w:sz w:val="20"/>
        </w:rPr>
        <w:t>first</w:t>
      </w:r>
      <w:r>
        <w:rPr>
          <w:rFonts w:ascii="Times New Roman"/>
          <w:color w:val="231F20"/>
          <w:spacing w:val="-7"/>
          <w:w w:val="105"/>
          <w:sz w:val="20"/>
        </w:rPr>
        <w:t> </w:t>
      </w:r>
      <w:r>
        <w:rPr>
          <w:rFonts w:ascii="Times New Roman"/>
          <w:color w:val="231F20"/>
          <w:w w:val="105"/>
          <w:sz w:val="20"/>
        </w:rPr>
        <w:t>year</w:t>
      </w:r>
      <w:r>
        <w:rPr>
          <w:rFonts w:ascii="Times New Roman"/>
          <w:color w:val="231F20"/>
          <w:spacing w:val="-7"/>
          <w:w w:val="105"/>
          <w:sz w:val="20"/>
        </w:rPr>
        <w:t> </w:t>
      </w:r>
      <w:r>
        <w:rPr>
          <w:rFonts w:ascii="Times New Roman"/>
          <w:color w:val="231F20"/>
          <w:w w:val="105"/>
          <w:sz w:val="20"/>
        </w:rPr>
        <w:t>of</w:t>
      </w:r>
      <w:r>
        <w:rPr>
          <w:rFonts w:ascii="Times New Roman"/>
          <w:color w:val="231F20"/>
          <w:spacing w:val="-7"/>
          <w:w w:val="105"/>
          <w:sz w:val="20"/>
        </w:rPr>
        <w:t> </w:t>
      </w:r>
      <w:r>
        <w:rPr>
          <w:rFonts w:ascii="Times New Roman"/>
          <w:color w:val="231F20"/>
          <w:spacing w:val="-2"/>
          <w:w w:val="105"/>
          <w:sz w:val="20"/>
        </w:rPr>
        <w:t>operation)</w:t>
      </w:r>
    </w:p>
    <w:p>
      <w:pPr>
        <w:pStyle w:val="BodyText"/>
        <w:spacing w:before="5"/>
        <w:rPr>
          <w:rFonts w:ascii="Times New Roman"/>
          <w:sz w:val="5"/>
        </w:rPr>
      </w:pPr>
      <w:r>
        <w:rPr/>
        <w:pict>
          <v:shape style="position:absolute;margin-left:75.5pt;margin-top:4.359853pt;width:276.5pt;height:.1pt;mso-position-horizontal-relative:page;mso-position-vertical-relative:paragraph;z-index:-15678976;mso-wrap-distance-left:0;mso-wrap-distance-right:0" id="docshape96" coordorigin="1510,87" coordsize="5530,0" path="m1510,87l7040,87e" filled="false" stroked="true" strokeweight="1pt" strokecolor="#231f20">
            <v:path arrowok="t"/>
            <v:stroke dashstyle="solid"/>
            <w10:wrap type="topAndBottom"/>
          </v:shape>
        </w:pict>
      </w:r>
    </w:p>
    <w:p>
      <w:pPr>
        <w:pStyle w:val="BodyText"/>
        <w:spacing w:before="5"/>
        <w:rPr>
          <w:rFonts w:ascii="Times New Roman"/>
          <w:sz w:val="18"/>
        </w:rPr>
      </w:pPr>
    </w:p>
    <w:tbl>
      <w:tblPr>
        <w:tblW w:w="0" w:type="auto"/>
        <w:jc w:val="left"/>
        <w:tblInd w:w="1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00"/>
        <w:gridCol w:w="758"/>
        <w:gridCol w:w="1879"/>
        <w:gridCol w:w="824"/>
      </w:tblGrid>
      <w:tr>
        <w:trPr>
          <w:trHeight w:val="274" w:hRule="atLeast"/>
        </w:trPr>
        <w:tc>
          <w:tcPr>
            <w:tcW w:w="2100" w:type="dxa"/>
          </w:tcPr>
          <w:p>
            <w:pPr>
              <w:pStyle w:val="TableParagraph"/>
              <w:spacing w:line="227" w:lineRule="exact" w:before="0"/>
              <w:ind w:left="50"/>
              <w:jc w:val="left"/>
              <w:rPr>
                <w:b/>
                <w:i/>
                <w:sz w:val="20"/>
              </w:rPr>
            </w:pPr>
            <w:r>
              <w:rPr>
                <w:b/>
                <w:i/>
                <w:color w:val="231F20"/>
                <w:spacing w:val="-2"/>
                <w:w w:val="105"/>
                <w:sz w:val="20"/>
              </w:rPr>
              <w:t>ASSETS</w:t>
            </w:r>
          </w:p>
        </w:tc>
        <w:tc>
          <w:tcPr>
            <w:tcW w:w="758" w:type="dxa"/>
          </w:tcPr>
          <w:p>
            <w:pPr>
              <w:pStyle w:val="TableParagraph"/>
              <w:spacing w:before="0"/>
              <w:jc w:val="left"/>
              <w:rPr>
                <w:rFonts w:ascii="Times New Roman"/>
                <w:sz w:val="18"/>
              </w:rPr>
            </w:pPr>
          </w:p>
        </w:tc>
        <w:tc>
          <w:tcPr>
            <w:tcW w:w="1879" w:type="dxa"/>
          </w:tcPr>
          <w:p>
            <w:pPr>
              <w:pStyle w:val="TableParagraph"/>
              <w:spacing w:line="227" w:lineRule="exact" w:before="0"/>
              <w:ind w:left="132"/>
              <w:jc w:val="left"/>
              <w:rPr>
                <w:b/>
                <w:i/>
                <w:sz w:val="20"/>
              </w:rPr>
            </w:pPr>
            <w:r>
              <w:rPr>
                <w:b/>
                <w:i/>
                <w:color w:val="231F20"/>
                <w:spacing w:val="-2"/>
                <w:w w:val="110"/>
                <w:sz w:val="20"/>
              </w:rPr>
              <w:t>LIABILITIES</w:t>
            </w:r>
          </w:p>
        </w:tc>
        <w:tc>
          <w:tcPr>
            <w:tcW w:w="824" w:type="dxa"/>
          </w:tcPr>
          <w:p>
            <w:pPr>
              <w:pStyle w:val="TableParagraph"/>
              <w:spacing w:before="0"/>
              <w:jc w:val="left"/>
              <w:rPr>
                <w:rFonts w:ascii="Times New Roman"/>
                <w:sz w:val="18"/>
              </w:rPr>
            </w:pPr>
          </w:p>
        </w:tc>
      </w:tr>
      <w:tr>
        <w:trPr>
          <w:trHeight w:val="296" w:hRule="atLeast"/>
        </w:trPr>
        <w:tc>
          <w:tcPr>
            <w:tcW w:w="2100" w:type="dxa"/>
          </w:tcPr>
          <w:p>
            <w:pPr>
              <w:pStyle w:val="TableParagraph"/>
              <w:spacing w:before="38"/>
              <w:ind w:left="50"/>
              <w:jc w:val="left"/>
              <w:rPr>
                <w:b/>
                <w:sz w:val="18"/>
              </w:rPr>
            </w:pPr>
            <w:r>
              <w:rPr>
                <w:b/>
                <w:color w:val="231F20"/>
                <w:w w:val="95"/>
                <w:sz w:val="18"/>
              </w:rPr>
              <w:t>Current</w:t>
            </w:r>
            <w:r>
              <w:rPr>
                <w:b/>
                <w:color w:val="231F20"/>
                <w:spacing w:val="13"/>
                <w:sz w:val="18"/>
              </w:rPr>
              <w:t> </w:t>
            </w:r>
            <w:r>
              <w:rPr>
                <w:b/>
                <w:color w:val="231F20"/>
                <w:spacing w:val="-2"/>
                <w:sz w:val="18"/>
              </w:rPr>
              <w:t>Assets</w:t>
            </w:r>
          </w:p>
        </w:tc>
        <w:tc>
          <w:tcPr>
            <w:tcW w:w="758" w:type="dxa"/>
          </w:tcPr>
          <w:p>
            <w:pPr>
              <w:pStyle w:val="TableParagraph"/>
              <w:spacing w:before="0"/>
              <w:jc w:val="left"/>
              <w:rPr>
                <w:rFonts w:ascii="Times New Roman"/>
                <w:sz w:val="18"/>
              </w:rPr>
            </w:pPr>
          </w:p>
        </w:tc>
        <w:tc>
          <w:tcPr>
            <w:tcW w:w="1879" w:type="dxa"/>
          </w:tcPr>
          <w:p>
            <w:pPr>
              <w:pStyle w:val="TableParagraph"/>
              <w:spacing w:before="38"/>
              <w:ind w:left="132"/>
              <w:jc w:val="left"/>
              <w:rPr>
                <w:b/>
                <w:sz w:val="18"/>
              </w:rPr>
            </w:pPr>
            <w:r>
              <w:rPr>
                <w:b/>
                <w:color w:val="231F20"/>
                <w:w w:val="95"/>
                <w:sz w:val="18"/>
              </w:rPr>
              <w:t>Current</w:t>
            </w:r>
            <w:r>
              <w:rPr>
                <w:b/>
                <w:color w:val="231F20"/>
                <w:spacing w:val="13"/>
                <w:sz w:val="18"/>
              </w:rPr>
              <w:t> </w:t>
            </w:r>
            <w:r>
              <w:rPr>
                <w:b/>
                <w:color w:val="231F20"/>
                <w:spacing w:val="-2"/>
                <w:sz w:val="18"/>
              </w:rPr>
              <w:t>Liabilities</w:t>
            </w:r>
          </w:p>
        </w:tc>
        <w:tc>
          <w:tcPr>
            <w:tcW w:w="824" w:type="dxa"/>
          </w:tcPr>
          <w:p>
            <w:pPr>
              <w:pStyle w:val="TableParagraph"/>
              <w:spacing w:before="0"/>
              <w:jc w:val="left"/>
              <w:rPr>
                <w:rFonts w:ascii="Times New Roman"/>
                <w:sz w:val="18"/>
              </w:rPr>
            </w:pPr>
          </w:p>
        </w:tc>
      </w:tr>
      <w:tr>
        <w:trPr>
          <w:trHeight w:val="298" w:hRule="atLeast"/>
        </w:trPr>
        <w:tc>
          <w:tcPr>
            <w:tcW w:w="2100" w:type="dxa"/>
          </w:tcPr>
          <w:p>
            <w:pPr>
              <w:pStyle w:val="TableParagraph"/>
              <w:spacing w:before="41"/>
              <w:ind w:left="230"/>
              <w:jc w:val="left"/>
              <w:rPr>
                <w:sz w:val="18"/>
              </w:rPr>
            </w:pPr>
            <w:r>
              <w:rPr>
                <w:color w:val="231F20"/>
                <w:spacing w:val="-4"/>
                <w:w w:val="105"/>
                <w:sz w:val="18"/>
              </w:rPr>
              <w:t>Cash</w:t>
            </w:r>
          </w:p>
        </w:tc>
        <w:tc>
          <w:tcPr>
            <w:tcW w:w="758" w:type="dxa"/>
          </w:tcPr>
          <w:p>
            <w:pPr>
              <w:pStyle w:val="TableParagraph"/>
              <w:spacing w:before="41"/>
              <w:ind w:right="5"/>
              <w:jc w:val="right"/>
              <w:rPr>
                <w:sz w:val="18"/>
              </w:rPr>
            </w:pPr>
            <w:r>
              <w:rPr>
                <w:color w:val="231F20"/>
                <w:w w:val="105"/>
                <w:sz w:val="18"/>
              </w:rPr>
              <w:t>$</w:t>
            </w:r>
            <w:r>
              <w:rPr>
                <w:color w:val="231F20"/>
                <w:spacing w:val="58"/>
                <w:w w:val="105"/>
                <w:sz w:val="18"/>
              </w:rPr>
              <w:t>  </w:t>
            </w:r>
            <w:r>
              <w:rPr>
                <w:color w:val="231F20"/>
                <w:spacing w:val="-4"/>
                <w:w w:val="105"/>
                <w:sz w:val="18"/>
              </w:rPr>
              <w:t>5,000</w:t>
            </w:r>
          </w:p>
        </w:tc>
        <w:tc>
          <w:tcPr>
            <w:tcW w:w="1879" w:type="dxa"/>
          </w:tcPr>
          <w:p>
            <w:pPr>
              <w:pStyle w:val="TableParagraph"/>
              <w:spacing w:before="41"/>
              <w:ind w:left="312"/>
              <w:jc w:val="left"/>
              <w:rPr>
                <w:sz w:val="18"/>
              </w:rPr>
            </w:pPr>
            <w:r>
              <w:rPr>
                <w:color w:val="231F20"/>
                <w:sz w:val="18"/>
              </w:rPr>
              <w:t>Accounts</w:t>
            </w:r>
            <w:r>
              <w:rPr>
                <w:color w:val="231F20"/>
                <w:spacing w:val="24"/>
                <w:sz w:val="18"/>
              </w:rPr>
              <w:t> </w:t>
            </w:r>
            <w:r>
              <w:rPr>
                <w:color w:val="231F20"/>
                <w:spacing w:val="-2"/>
                <w:sz w:val="18"/>
              </w:rPr>
              <w:t>Payable</w:t>
            </w:r>
          </w:p>
        </w:tc>
        <w:tc>
          <w:tcPr>
            <w:tcW w:w="824" w:type="dxa"/>
          </w:tcPr>
          <w:p>
            <w:pPr>
              <w:pStyle w:val="TableParagraph"/>
              <w:spacing w:before="41"/>
              <w:jc w:val="right"/>
              <w:rPr>
                <w:sz w:val="18"/>
              </w:rPr>
            </w:pPr>
            <w:r>
              <w:rPr>
                <w:color w:val="231F20"/>
                <w:spacing w:val="-2"/>
                <w:w w:val="105"/>
                <w:sz w:val="18"/>
              </w:rPr>
              <w:t>$80,000</w:t>
            </w:r>
          </w:p>
        </w:tc>
      </w:tr>
      <w:tr>
        <w:trPr>
          <w:trHeight w:val="299" w:hRule="atLeast"/>
        </w:trPr>
        <w:tc>
          <w:tcPr>
            <w:tcW w:w="2100" w:type="dxa"/>
          </w:tcPr>
          <w:p>
            <w:pPr>
              <w:pStyle w:val="TableParagraph"/>
              <w:spacing w:before="43"/>
              <w:ind w:left="230"/>
              <w:jc w:val="left"/>
              <w:rPr>
                <w:sz w:val="18"/>
              </w:rPr>
            </w:pPr>
            <w:r>
              <w:rPr>
                <w:color w:val="231F20"/>
                <w:sz w:val="18"/>
              </w:rPr>
              <w:t>Accounts</w:t>
            </w:r>
            <w:r>
              <w:rPr>
                <w:color w:val="231F20"/>
                <w:spacing w:val="24"/>
                <w:sz w:val="18"/>
              </w:rPr>
              <w:t> </w:t>
            </w:r>
            <w:r>
              <w:rPr>
                <w:color w:val="231F20"/>
                <w:spacing w:val="-2"/>
                <w:sz w:val="18"/>
              </w:rPr>
              <w:t>Receivable</w:t>
            </w:r>
          </w:p>
        </w:tc>
        <w:tc>
          <w:tcPr>
            <w:tcW w:w="758" w:type="dxa"/>
          </w:tcPr>
          <w:p>
            <w:pPr>
              <w:pStyle w:val="TableParagraph"/>
              <w:spacing w:before="43"/>
              <w:ind w:right="5"/>
              <w:jc w:val="right"/>
              <w:rPr>
                <w:sz w:val="18"/>
              </w:rPr>
            </w:pPr>
            <w:r>
              <w:rPr>
                <w:color w:val="231F20"/>
                <w:spacing w:val="-2"/>
                <w:sz w:val="18"/>
              </w:rPr>
              <w:t>10,000</w:t>
            </w:r>
          </w:p>
        </w:tc>
        <w:tc>
          <w:tcPr>
            <w:tcW w:w="1879" w:type="dxa"/>
          </w:tcPr>
          <w:p>
            <w:pPr>
              <w:pStyle w:val="TableParagraph"/>
              <w:spacing w:before="43"/>
              <w:ind w:left="312"/>
              <w:jc w:val="left"/>
              <w:rPr>
                <w:sz w:val="18"/>
              </w:rPr>
            </w:pPr>
            <w:r>
              <w:rPr>
                <w:color w:val="231F20"/>
                <w:sz w:val="18"/>
              </w:rPr>
              <w:t>Wages</w:t>
            </w:r>
            <w:r>
              <w:rPr>
                <w:color w:val="231F20"/>
                <w:spacing w:val="-7"/>
                <w:sz w:val="18"/>
              </w:rPr>
              <w:t> </w:t>
            </w:r>
            <w:r>
              <w:rPr>
                <w:color w:val="231F20"/>
                <w:spacing w:val="-2"/>
                <w:sz w:val="18"/>
              </w:rPr>
              <w:t>Payable</w:t>
            </w:r>
          </w:p>
        </w:tc>
        <w:tc>
          <w:tcPr>
            <w:tcW w:w="824" w:type="dxa"/>
          </w:tcPr>
          <w:p>
            <w:pPr>
              <w:pStyle w:val="TableParagraph"/>
              <w:spacing w:before="43"/>
              <w:jc w:val="right"/>
              <w:rPr>
                <w:sz w:val="18"/>
              </w:rPr>
            </w:pPr>
            <w:r>
              <w:rPr>
                <w:color w:val="231F20"/>
                <w:spacing w:val="-2"/>
                <w:w w:val="105"/>
                <w:sz w:val="18"/>
              </w:rPr>
              <w:t>5,000</w:t>
            </w:r>
          </w:p>
        </w:tc>
      </w:tr>
      <w:tr>
        <w:trPr>
          <w:trHeight w:val="294" w:hRule="atLeast"/>
        </w:trPr>
        <w:tc>
          <w:tcPr>
            <w:tcW w:w="2100" w:type="dxa"/>
          </w:tcPr>
          <w:p>
            <w:pPr>
              <w:pStyle w:val="TableParagraph"/>
              <w:spacing w:before="43"/>
              <w:ind w:left="230"/>
              <w:jc w:val="left"/>
              <w:rPr>
                <w:sz w:val="18"/>
              </w:rPr>
            </w:pPr>
            <w:r>
              <w:rPr>
                <w:color w:val="231F20"/>
                <w:sz w:val="18"/>
              </w:rPr>
              <w:t>Store</w:t>
            </w:r>
            <w:r>
              <w:rPr>
                <w:color w:val="231F20"/>
                <w:spacing w:val="1"/>
                <w:sz w:val="18"/>
              </w:rPr>
              <w:t> </w:t>
            </w:r>
            <w:r>
              <w:rPr>
                <w:color w:val="231F20"/>
                <w:spacing w:val="-2"/>
                <w:sz w:val="18"/>
              </w:rPr>
              <w:t>Inventory</w:t>
            </w:r>
          </w:p>
        </w:tc>
        <w:tc>
          <w:tcPr>
            <w:tcW w:w="758" w:type="dxa"/>
            <w:tcBorders>
              <w:bottom w:val="single" w:sz="4" w:space="0" w:color="231F20"/>
            </w:tcBorders>
          </w:tcPr>
          <w:p>
            <w:pPr>
              <w:pStyle w:val="TableParagraph"/>
              <w:spacing w:before="43"/>
              <w:ind w:right="5"/>
              <w:jc w:val="right"/>
              <w:rPr>
                <w:sz w:val="18"/>
              </w:rPr>
            </w:pPr>
            <w:r>
              <w:rPr>
                <w:color w:val="231F20"/>
                <w:spacing w:val="-2"/>
                <w:sz w:val="18"/>
              </w:rPr>
              <w:t>100,000</w:t>
            </w:r>
          </w:p>
        </w:tc>
        <w:tc>
          <w:tcPr>
            <w:tcW w:w="1879" w:type="dxa"/>
          </w:tcPr>
          <w:p>
            <w:pPr>
              <w:pStyle w:val="TableParagraph"/>
              <w:spacing w:before="43"/>
              <w:ind w:left="312"/>
              <w:jc w:val="left"/>
              <w:rPr>
                <w:sz w:val="18"/>
              </w:rPr>
            </w:pPr>
            <w:r>
              <w:rPr>
                <w:color w:val="231F20"/>
                <w:sz w:val="18"/>
              </w:rPr>
              <w:t>Taxes</w:t>
            </w:r>
            <w:r>
              <w:rPr>
                <w:color w:val="231F20"/>
                <w:spacing w:val="3"/>
                <w:sz w:val="18"/>
              </w:rPr>
              <w:t> </w:t>
            </w:r>
            <w:r>
              <w:rPr>
                <w:color w:val="231F20"/>
                <w:spacing w:val="-2"/>
                <w:sz w:val="18"/>
              </w:rPr>
              <w:t>Payable</w:t>
            </w:r>
          </w:p>
        </w:tc>
        <w:tc>
          <w:tcPr>
            <w:tcW w:w="824" w:type="dxa"/>
          </w:tcPr>
          <w:p>
            <w:pPr>
              <w:pStyle w:val="TableParagraph"/>
              <w:spacing w:before="43"/>
              <w:jc w:val="right"/>
              <w:rPr>
                <w:sz w:val="18"/>
              </w:rPr>
            </w:pPr>
            <w:r>
              <w:rPr>
                <w:color w:val="231F20"/>
                <w:spacing w:val="-2"/>
                <w:w w:val="105"/>
                <w:sz w:val="18"/>
              </w:rPr>
              <w:t>2,000</w:t>
            </w:r>
          </w:p>
        </w:tc>
      </w:tr>
      <w:tr>
        <w:trPr>
          <w:trHeight w:val="295" w:hRule="atLeast"/>
        </w:trPr>
        <w:tc>
          <w:tcPr>
            <w:tcW w:w="2100" w:type="dxa"/>
          </w:tcPr>
          <w:p>
            <w:pPr>
              <w:pStyle w:val="TableParagraph"/>
              <w:spacing w:before="39"/>
              <w:ind w:left="230"/>
              <w:jc w:val="left"/>
              <w:rPr>
                <w:sz w:val="18"/>
              </w:rPr>
            </w:pPr>
            <w:r>
              <w:rPr>
                <w:color w:val="231F20"/>
                <w:sz w:val="18"/>
              </w:rPr>
              <w:t>Total</w:t>
            </w:r>
            <w:r>
              <w:rPr>
                <w:color w:val="231F20"/>
                <w:spacing w:val="13"/>
                <w:sz w:val="18"/>
              </w:rPr>
              <w:t> </w:t>
            </w:r>
            <w:r>
              <w:rPr>
                <w:color w:val="231F20"/>
                <w:sz w:val="18"/>
              </w:rPr>
              <w:t>Current</w:t>
            </w:r>
            <w:r>
              <w:rPr>
                <w:color w:val="231F20"/>
                <w:spacing w:val="13"/>
                <w:sz w:val="18"/>
              </w:rPr>
              <w:t> </w:t>
            </w:r>
            <w:r>
              <w:rPr>
                <w:color w:val="231F20"/>
                <w:spacing w:val="-2"/>
                <w:sz w:val="18"/>
              </w:rPr>
              <w:t>Assets</w:t>
            </w:r>
          </w:p>
        </w:tc>
        <w:tc>
          <w:tcPr>
            <w:tcW w:w="758" w:type="dxa"/>
            <w:tcBorders>
              <w:top w:val="single" w:sz="4" w:space="0" w:color="231F20"/>
            </w:tcBorders>
          </w:tcPr>
          <w:p>
            <w:pPr>
              <w:pStyle w:val="TableParagraph"/>
              <w:spacing w:before="39"/>
              <w:ind w:right="5"/>
              <w:jc w:val="right"/>
              <w:rPr>
                <w:sz w:val="18"/>
              </w:rPr>
            </w:pPr>
            <w:r>
              <w:rPr>
                <w:color w:val="231F20"/>
                <w:spacing w:val="-2"/>
                <w:sz w:val="18"/>
              </w:rPr>
              <w:t>$115,000</w:t>
            </w:r>
          </w:p>
        </w:tc>
        <w:tc>
          <w:tcPr>
            <w:tcW w:w="1879" w:type="dxa"/>
          </w:tcPr>
          <w:p>
            <w:pPr>
              <w:pStyle w:val="TableParagraph"/>
              <w:spacing w:before="39"/>
              <w:ind w:left="312"/>
              <w:jc w:val="left"/>
              <w:rPr>
                <w:sz w:val="18"/>
              </w:rPr>
            </w:pPr>
            <w:r>
              <w:rPr>
                <w:color w:val="231F20"/>
                <w:spacing w:val="-2"/>
                <w:w w:val="105"/>
                <w:sz w:val="18"/>
              </w:rPr>
              <w:t>Total Current</w:t>
            </w:r>
          </w:p>
        </w:tc>
        <w:tc>
          <w:tcPr>
            <w:tcW w:w="824" w:type="dxa"/>
          </w:tcPr>
          <w:p>
            <w:pPr>
              <w:pStyle w:val="TableParagraph"/>
              <w:spacing w:line="20" w:lineRule="exact" w:before="0"/>
              <w:ind w:left="193" w:right="-72"/>
              <w:jc w:val="left"/>
              <w:rPr>
                <w:rFonts w:ascii="Times New Roman"/>
                <w:sz w:val="2"/>
              </w:rPr>
            </w:pPr>
            <w:r>
              <w:rPr>
                <w:rFonts w:ascii="Times New Roman"/>
                <w:sz w:val="2"/>
              </w:rPr>
              <w:pict>
                <v:group style="width:31.5pt;height:.5pt;mso-position-horizontal-relative:char;mso-position-vertical-relative:line" id="docshapegroup97" coordorigin="0,0" coordsize="630,10">
                  <v:line style="position:absolute" from="0,5" to="630,5" stroked="true" strokeweight=".5pt" strokecolor="#231f20">
                    <v:stroke dashstyle="solid"/>
                  </v:line>
                </v:group>
              </w:pict>
            </w:r>
            <w:r>
              <w:rPr>
                <w:rFonts w:ascii="Times New Roman"/>
                <w:sz w:val="2"/>
              </w:rPr>
            </w:r>
          </w:p>
          <w:p>
            <w:pPr>
              <w:pStyle w:val="TableParagraph"/>
              <w:spacing w:before="19"/>
              <w:ind w:right="-15"/>
              <w:jc w:val="right"/>
              <w:rPr>
                <w:sz w:val="18"/>
              </w:rPr>
            </w:pPr>
            <w:r>
              <w:rPr>
                <w:color w:val="231F20"/>
                <w:spacing w:val="-2"/>
                <w:w w:val="105"/>
                <w:sz w:val="18"/>
              </w:rPr>
              <w:t>$87,000</w:t>
            </w:r>
          </w:p>
        </w:tc>
      </w:tr>
      <w:tr>
        <w:trPr>
          <w:trHeight w:val="452" w:hRule="atLeast"/>
        </w:trPr>
        <w:tc>
          <w:tcPr>
            <w:tcW w:w="2100" w:type="dxa"/>
          </w:tcPr>
          <w:p>
            <w:pPr>
              <w:pStyle w:val="TableParagraph"/>
              <w:spacing w:before="0"/>
              <w:jc w:val="left"/>
              <w:rPr>
                <w:rFonts w:ascii="Times New Roman"/>
                <w:sz w:val="18"/>
              </w:rPr>
            </w:pPr>
          </w:p>
        </w:tc>
        <w:tc>
          <w:tcPr>
            <w:tcW w:w="758" w:type="dxa"/>
          </w:tcPr>
          <w:p>
            <w:pPr>
              <w:pStyle w:val="TableParagraph"/>
              <w:spacing w:before="0"/>
              <w:jc w:val="left"/>
              <w:rPr>
                <w:rFonts w:ascii="Times New Roman"/>
                <w:sz w:val="18"/>
              </w:rPr>
            </w:pPr>
          </w:p>
        </w:tc>
        <w:tc>
          <w:tcPr>
            <w:tcW w:w="1879" w:type="dxa"/>
          </w:tcPr>
          <w:p>
            <w:pPr>
              <w:pStyle w:val="TableParagraph"/>
              <w:spacing w:before="43"/>
              <w:ind w:left="312"/>
              <w:jc w:val="left"/>
              <w:rPr>
                <w:sz w:val="18"/>
              </w:rPr>
            </w:pPr>
            <w:r>
              <w:rPr>
                <w:color w:val="231F20"/>
                <w:spacing w:val="-2"/>
                <w:sz w:val="18"/>
              </w:rPr>
              <w:t>Liabilities</w:t>
            </w:r>
          </w:p>
        </w:tc>
        <w:tc>
          <w:tcPr>
            <w:tcW w:w="824" w:type="dxa"/>
          </w:tcPr>
          <w:p>
            <w:pPr>
              <w:pStyle w:val="TableParagraph"/>
              <w:spacing w:before="0"/>
              <w:jc w:val="left"/>
              <w:rPr>
                <w:rFonts w:ascii="Times New Roman"/>
                <w:sz w:val="18"/>
              </w:rPr>
            </w:pPr>
          </w:p>
        </w:tc>
      </w:tr>
      <w:tr>
        <w:trPr>
          <w:trHeight w:val="449" w:hRule="atLeast"/>
        </w:trPr>
        <w:tc>
          <w:tcPr>
            <w:tcW w:w="2858" w:type="dxa"/>
            <w:gridSpan w:val="2"/>
          </w:tcPr>
          <w:p>
            <w:pPr>
              <w:pStyle w:val="TableParagraph"/>
              <w:spacing w:before="6"/>
              <w:jc w:val="left"/>
              <w:rPr>
                <w:rFonts w:ascii="Times New Roman"/>
                <w:sz w:val="16"/>
              </w:rPr>
            </w:pPr>
          </w:p>
          <w:p>
            <w:pPr>
              <w:pStyle w:val="TableParagraph"/>
              <w:spacing w:before="0"/>
              <w:ind w:left="50"/>
              <w:jc w:val="left"/>
              <w:rPr>
                <w:b/>
                <w:sz w:val="18"/>
              </w:rPr>
            </w:pPr>
            <w:r>
              <w:rPr>
                <w:b/>
                <w:color w:val="231F20"/>
                <w:w w:val="95"/>
                <w:sz w:val="18"/>
              </w:rPr>
              <w:t>Long-Term</w:t>
            </w:r>
            <w:r>
              <w:rPr>
                <w:b/>
                <w:color w:val="231F20"/>
                <w:spacing w:val="6"/>
                <w:sz w:val="18"/>
              </w:rPr>
              <w:t> </w:t>
            </w:r>
            <w:r>
              <w:rPr>
                <w:b/>
                <w:color w:val="231F20"/>
                <w:w w:val="95"/>
                <w:sz w:val="18"/>
              </w:rPr>
              <w:t>(Noncurrent)</w:t>
            </w:r>
            <w:r>
              <w:rPr>
                <w:b/>
                <w:color w:val="231F20"/>
                <w:spacing w:val="6"/>
                <w:sz w:val="18"/>
              </w:rPr>
              <w:t> </w:t>
            </w:r>
            <w:r>
              <w:rPr>
                <w:b/>
                <w:color w:val="231F20"/>
                <w:spacing w:val="-2"/>
                <w:w w:val="95"/>
                <w:sz w:val="18"/>
              </w:rPr>
              <w:t>Assets</w:t>
            </w:r>
          </w:p>
        </w:tc>
        <w:tc>
          <w:tcPr>
            <w:tcW w:w="2703" w:type="dxa"/>
            <w:gridSpan w:val="2"/>
          </w:tcPr>
          <w:p>
            <w:pPr>
              <w:pStyle w:val="TableParagraph"/>
              <w:spacing w:before="6"/>
              <w:jc w:val="left"/>
              <w:rPr>
                <w:rFonts w:ascii="Times New Roman"/>
                <w:sz w:val="16"/>
              </w:rPr>
            </w:pPr>
          </w:p>
          <w:p>
            <w:pPr>
              <w:pStyle w:val="TableParagraph"/>
              <w:spacing w:before="0"/>
              <w:ind w:left="132"/>
              <w:jc w:val="left"/>
              <w:rPr>
                <w:b/>
                <w:sz w:val="18"/>
              </w:rPr>
            </w:pPr>
            <w:r>
              <w:rPr>
                <w:b/>
                <w:color w:val="231F20"/>
                <w:w w:val="95"/>
                <w:sz w:val="18"/>
              </w:rPr>
              <w:t>Long-term</w:t>
            </w:r>
            <w:r>
              <w:rPr>
                <w:b/>
                <w:color w:val="231F20"/>
                <w:spacing w:val="5"/>
                <w:sz w:val="18"/>
              </w:rPr>
              <w:t> </w:t>
            </w:r>
            <w:r>
              <w:rPr>
                <w:b/>
                <w:color w:val="231F20"/>
                <w:w w:val="95"/>
                <w:sz w:val="18"/>
              </w:rPr>
              <w:t>(Noncurrent)</w:t>
            </w:r>
            <w:r>
              <w:rPr>
                <w:b/>
                <w:color w:val="231F20"/>
                <w:spacing w:val="7"/>
                <w:sz w:val="18"/>
              </w:rPr>
              <w:t> </w:t>
            </w:r>
            <w:r>
              <w:rPr>
                <w:b/>
                <w:color w:val="231F20"/>
                <w:spacing w:val="-2"/>
                <w:w w:val="95"/>
                <w:sz w:val="18"/>
              </w:rPr>
              <w:t>Debts</w:t>
            </w:r>
          </w:p>
        </w:tc>
      </w:tr>
      <w:tr>
        <w:trPr>
          <w:trHeight w:val="290" w:hRule="atLeast"/>
        </w:trPr>
        <w:tc>
          <w:tcPr>
            <w:tcW w:w="2100" w:type="dxa"/>
          </w:tcPr>
          <w:p>
            <w:pPr>
              <w:pStyle w:val="TableParagraph"/>
              <w:spacing w:before="41"/>
              <w:ind w:left="230"/>
              <w:jc w:val="left"/>
              <w:rPr>
                <w:sz w:val="18"/>
              </w:rPr>
            </w:pPr>
            <w:r>
              <w:rPr>
                <w:color w:val="231F20"/>
                <w:sz w:val="18"/>
              </w:rPr>
              <w:t>Store</w:t>
            </w:r>
            <w:r>
              <w:rPr>
                <w:color w:val="231F20"/>
                <w:spacing w:val="1"/>
                <w:sz w:val="18"/>
              </w:rPr>
              <w:t> </w:t>
            </w:r>
            <w:r>
              <w:rPr>
                <w:color w:val="231F20"/>
                <w:spacing w:val="-2"/>
                <w:sz w:val="18"/>
              </w:rPr>
              <w:t>Equipment</w:t>
            </w:r>
          </w:p>
        </w:tc>
        <w:tc>
          <w:tcPr>
            <w:tcW w:w="758" w:type="dxa"/>
          </w:tcPr>
          <w:p>
            <w:pPr>
              <w:pStyle w:val="TableParagraph"/>
              <w:spacing w:before="41"/>
              <w:ind w:right="5"/>
              <w:jc w:val="right"/>
              <w:rPr>
                <w:sz w:val="18"/>
              </w:rPr>
            </w:pPr>
            <w:r>
              <w:rPr>
                <w:color w:val="231F20"/>
                <w:spacing w:val="-2"/>
                <w:w w:val="105"/>
                <w:sz w:val="18"/>
              </w:rPr>
              <w:t>$30,000</w:t>
            </w:r>
          </w:p>
        </w:tc>
        <w:tc>
          <w:tcPr>
            <w:tcW w:w="1879" w:type="dxa"/>
          </w:tcPr>
          <w:p>
            <w:pPr>
              <w:pStyle w:val="TableParagraph"/>
              <w:spacing w:before="41"/>
              <w:ind w:left="312"/>
              <w:jc w:val="left"/>
              <w:rPr>
                <w:sz w:val="18"/>
              </w:rPr>
            </w:pPr>
            <w:r>
              <w:rPr>
                <w:color w:val="231F20"/>
                <w:sz w:val="18"/>
              </w:rPr>
              <w:t>Bank</w:t>
            </w:r>
            <w:r>
              <w:rPr>
                <w:color w:val="231F20"/>
                <w:spacing w:val="13"/>
                <w:sz w:val="18"/>
              </w:rPr>
              <w:t> </w:t>
            </w:r>
            <w:r>
              <w:rPr>
                <w:color w:val="231F20"/>
                <w:spacing w:val="-4"/>
                <w:sz w:val="18"/>
              </w:rPr>
              <w:t>Debt</w:t>
            </w:r>
          </w:p>
        </w:tc>
        <w:tc>
          <w:tcPr>
            <w:tcW w:w="824" w:type="dxa"/>
          </w:tcPr>
          <w:p>
            <w:pPr>
              <w:pStyle w:val="TableParagraph"/>
              <w:spacing w:before="41"/>
              <w:jc w:val="right"/>
              <w:rPr>
                <w:sz w:val="18"/>
              </w:rPr>
            </w:pPr>
            <w:r>
              <w:rPr>
                <w:color w:val="231F20"/>
                <w:spacing w:val="-2"/>
                <w:w w:val="105"/>
                <w:sz w:val="18"/>
              </w:rPr>
              <w:t>$10,000</w:t>
            </w:r>
          </w:p>
        </w:tc>
      </w:tr>
      <w:tr>
        <w:trPr>
          <w:trHeight w:val="309" w:hRule="atLeast"/>
        </w:trPr>
        <w:tc>
          <w:tcPr>
            <w:tcW w:w="2100" w:type="dxa"/>
          </w:tcPr>
          <w:p>
            <w:pPr>
              <w:pStyle w:val="TableParagraph"/>
              <w:spacing w:before="51"/>
              <w:ind w:left="230"/>
              <w:jc w:val="left"/>
              <w:rPr>
                <w:sz w:val="18"/>
              </w:rPr>
            </w:pPr>
            <w:r>
              <w:rPr>
                <w:color w:val="231F20"/>
                <w:sz w:val="18"/>
              </w:rPr>
              <w:t>less</w:t>
            </w:r>
            <w:r>
              <w:rPr>
                <w:color w:val="231F20"/>
                <w:spacing w:val="-5"/>
                <w:sz w:val="18"/>
              </w:rPr>
              <w:t> </w:t>
            </w:r>
            <w:r>
              <w:rPr>
                <w:color w:val="231F20"/>
                <w:sz w:val="18"/>
              </w:rPr>
              <w:t>one</w:t>
            </w:r>
            <w:r>
              <w:rPr>
                <w:color w:val="231F20"/>
                <w:spacing w:val="-4"/>
                <w:sz w:val="18"/>
              </w:rPr>
              <w:t> </w:t>
            </w:r>
            <w:r>
              <w:rPr>
                <w:color w:val="231F20"/>
                <w:spacing w:val="-2"/>
                <w:sz w:val="18"/>
              </w:rPr>
              <w:t>year’s</w:t>
            </w:r>
          </w:p>
        </w:tc>
        <w:tc>
          <w:tcPr>
            <w:tcW w:w="758" w:type="dxa"/>
          </w:tcPr>
          <w:p>
            <w:pPr>
              <w:pStyle w:val="TableParagraph"/>
              <w:spacing w:before="0"/>
              <w:jc w:val="left"/>
              <w:rPr>
                <w:rFonts w:ascii="Times New Roman"/>
                <w:sz w:val="18"/>
              </w:rPr>
            </w:pPr>
          </w:p>
        </w:tc>
        <w:tc>
          <w:tcPr>
            <w:tcW w:w="1879" w:type="dxa"/>
          </w:tcPr>
          <w:p>
            <w:pPr>
              <w:pStyle w:val="TableParagraph"/>
              <w:spacing w:before="51"/>
              <w:ind w:left="312"/>
              <w:jc w:val="left"/>
              <w:rPr>
                <w:sz w:val="18"/>
              </w:rPr>
            </w:pPr>
            <w:r>
              <w:rPr>
                <w:color w:val="231F20"/>
                <w:sz w:val="18"/>
              </w:rPr>
              <w:t>Total</w:t>
            </w:r>
            <w:r>
              <w:rPr>
                <w:color w:val="231F20"/>
                <w:spacing w:val="10"/>
                <w:sz w:val="18"/>
              </w:rPr>
              <w:t> </w:t>
            </w:r>
            <w:r>
              <w:rPr>
                <w:color w:val="231F20"/>
                <w:spacing w:val="-2"/>
                <w:sz w:val="18"/>
              </w:rPr>
              <w:t>Liabilities</w:t>
            </w:r>
          </w:p>
        </w:tc>
        <w:tc>
          <w:tcPr>
            <w:tcW w:w="824" w:type="dxa"/>
          </w:tcPr>
          <w:p>
            <w:pPr>
              <w:pStyle w:val="TableParagraph"/>
              <w:spacing w:line="20" w:lineRule="exact" w:before="0"/>
              <w:ind w:left="183" w:right="-58"/>
              <w:jc w:val="left"/>
              <w:rPr>
                <w:rFonts w:ascii="Times New Roman"/>
                <w:sz w:val="2"/>
              </w:rPr>
            </w:pPr>
            <w:r>
              <w:rPr>
                <w:rFonts w:ascii="Times New Roman"/>
                <w:sz w:val="2"/>
              </w:rPr>
              <w:pict>
                <v:group style="width:32pt;height:.5pt;mso-position-horizontal-relative:char;mso-position-vertical-relative:line" id="docshapegroup98" coordorigin="0,0" coordsize="640,10">
                  <v:line style="position:absolute" from="0,5" to="640,5" stroked="true" strokeweight=".5pt" strokecolor="#231f20">
                    <v:stroke dashstyle="solid"/>
                  </v:line>
                </v:group>
              </w:pict>
            </w:r>
            <w:r>
              <w:rPr>
                <w:rFonts w:ascii="Times New Roman"/>
                <w:sz w:val="2"/>
              </w:rPr>
            </w:r>
          </w:p>
          <w:p>
            <w:pPr>
              <w:pStyle w:val="TableParagraph"/>
              <w:spacing w:before="31"/>
              <w:jc w:val="right"/>
              <w:rPr>
                <w:sz w:val="18"/>
              </w:rPr>
            </w:pPr>
            <w:r>
              <w:rPr>
                <w:color w:val="231F20"/>
                <w:spacing w:val="-2"/>
                <w:w w:val="105"/>
                <w:sz w:val="18"/>
              </w:rPr>
              <w:t>$97,000</w:t>
            </w:r>
          </w:p>
        </w:tc>
      </w:tr>
      <w:tr>
        <w:trPr>
          <w:trHeight w:val="298" w:hRule="atLeast"/>
        </w:trPr>
        <w:tc>
          <w:tcPr>
            <w:tcW w:w="2100" w:type="dxa"/>
          </w:tcPr>
          <w:p>
            <w:pPr>
              <w:pStyle w:val="TableParagraph"/>
              <w:spacing w:before="42"/>
              <w:ind w:left="230"/>
              <w:jc w:val="left"/>
              <w:rPr>
                <w:i/>
                <w:sz w:val="18"/>
              </w:rPr>
            </w:pPr>
            <w:r>
              <w:rPr>
                <w:i/>
                <w:color w:val="231F20"/>
                <w:spacing w:val="-2"/>
                <w:w w:val="105"/>
                <w:sz w:val="18"/>
              </w:rPr>
              <w:t>Accumulated</w:t>
            </w:r>
          </w:p>
        </w:tc>
        <w:tc>
          <w:tcPr>
            <w:tcW w:w="758" w:type="dxa"/>
          </w:tcPr>
          <w:p>
            <w:pPr>
              <w:pStyle w:val="TableParagraph"/>
              <w:spacing w:before="0"/>
              <w:jc w:val="left"/>
              <w:rPr>
                <w:rFonts w:ascii="Times New Roman"/>
                <w:sz w:val="18"/>
              </w:rPr>
            </w:pPr>
          </w:p>
        </w:tc>
        <w:tc>
          <w:tcPr>
            <w:tcW w:w="1879" w:type="dxa"/>
          </w:tcPr>
          <w:p>
            <w:pPr>
              <w:pStyle w:val="TableParagraph"/>
              <w:spacing w:before="0"/>
              <w:jc w:val="left"/>
              <w:rPr>
                <w:rFonts w:ascii="Times New Roman"/>
                <w:sz w:val="18"/>
              </w:rPr>
            </w:pPr>
          </w:p>
        </w:tc>
        <w:tc>
          <w:tcPr>
            <w:tcW w:w="824" w:type="dxa"/>
          </w:tcPr>
          <w:p>
            <w:pPr>
              <w:pStyle w:val="TableParagraph"/>
              <w:spacing w:before="0"/>
              <w:jc w:val="left"/>
              <w:rPr>
                <w:rFonts w:ascii="Times New Roman"/>
                <w:sz w:val="18"/>
              </w:rPr>
            </w:pPr>
          </w:p>
        </w:tc>
      </w:tr>
      <w:tr>
        <w:trPr>
          <w:trHeight w:val="302" w:hRule="atLeast"/>
        </w:trPr>
        <w:tc>
          <w:tcPr>
            <w:tcW w:w="2100" w:type="dxa"/>
          </w:tcPr>
          <w:p>
            <w:pPr>
              <w:pStyle w:val="TableParagraph"/>
              <w:spacing w:before="43"/>
              <w:ind w:left="230"/>
              <w:jc w:val="left"/>
              <w:rPr>
                <w:i/>
                <w:sz w:val="18"/>
              </w:rPr>
            </w:pPr>
            <w:r>
              <w:rPr>
                <w:i/>
                <w:color w:val="231F20"/>
                <w:spacing w:val="-2"/>
                <w:w w:val="105"/>
                <w:sz w:val="18"/>
              </w:rPr>
              <w:t>Depreciation</w:t>
            </w:r>
          </w:p>
        </w:tc>
        <w:tc>
          <w:tcPr>
            <w:tcW w:w="758" w:type="dxa"/>
          </w:tcPr>
          <w:p>
            <w:pPr>
              <w:pStyle w:val="TableParagraph"/>
              <w:spacing w:before="43"/>
              <w:ind w:right="5"/>
              <w:jc w:val="right"/>
              <w:rPr>
                <w:sz w:val="18"/>
              </w:rPr>
            </w:pPr>
            <w:r>
              <w:rPr>
                <w:color w:val="231F20"/>
                <w:spacing w:val="-2"/>
                <w:sz w:val="18"/>
              </w:rPr>
              <w:t>(3,000)</w:t>
            </w:r>
          </w:p>
        </w:tc>
        <w:tc>
          <w:tcPr>
            <w:tcW w:w="1879" w:type="dxa"/>
          </w:tcPr>
          <w:p>
            <w:pPr>
              <w:pStyle w:val="TableParagraph"/>
              <w:spacing w:before="0"/>
              <w:jc w:val="left"/>
              <w:rPr>
                <w:rFonts w:ascii="Times New Roman"/>
                <w:sz w:val="18"/>
              </w:rPr>
            </w:pPr>
          </w:p>
        </w:tc>
        <w:tc>
          <w:tcPr>
            <w:tcW w:w="824" w:type="dxa"/>
          </w:tcPr>
          <w:p>
            <w:pPr>
              <w:pStyle w:val="TableParagraph"/>
              <w:spacing w:before="0"/>
              <w:jc w:val="left"/>
              <w:rPr>
                <w:rFonts w:ascii="Times New Roman"/>
                <w:sz w:val="18"/>
              </w:rPr>
            </w:pPr>
          </w:p>
        </w:tc>
      </w:tr>
      <w:tr>
        <w:trPr>
          <w:trHeight w:val="299" w:hRule="atLeast"/>
        </w:trPr>
        <w:tc>
          <w:tcPr>
            <w:tcW w:w="2100" w:type="dxa"/>
          </w:tcPr>
          <w:p>
            <w:pPr>
              <w:pStyle w:val="TableParagraph"/>
              <w:spacing w:before="41"/>
              <w:ind w:left="230"/>
              <w:jc w:val="left"/>
              <w:rPr>
                <w:sz w:val="18"/>
              </w:rPr>
            </w:pPr>
            <w:r>
              <w:rPr>
                <w:color w:val="231F20"/>
                <w:sz w:val="18"/>
              </w:rPr>
              <w:t>Net</w:t>
            </w:r>
            <w:r>
              <w:rPr>
                <w:color w:val="231F20"/>
                <w:spacing w:val="17"/>
                <w:sz w:val="18"/>
              </w:rPr>
              <w:t> </w:t>
            </w:r>
            <w:r>
              <w:rPr>
                <w:color w:val="231F20"/>
                <w:sz w:val="18"/>
              </w:rPr>
              <w:t>Long-Term</w:t>
            </w:r>
            <w:r>
              <w:rPr>
                <w:color w:val="231F20"/>
                <w:spacing w:val="18"/>
                <w:sz w:val="18"/>
              </w:rPr>
              <w:t> </w:t>
            </w:r>
            <w:r>
              <w:rPr>
                <w:color w:val="231F20"/>
                <w:spacing w:val="-2"/>
                <w:sz w:val="18"/>
              </w:rPr>
              <w:t>Assets</w:t>
            </w:r>
          </w:p>
        </w:tc>
        <w:tc>
          <w:tcPr>
            <w:tcW w:w="758" w:type="dxa"/>
          </w:tcPr>
          <w:p>
            <w:pPr>
              <w:pStyle w:val="TableParagraph"/>
              <w:spacing w:line="20" w:lineRule="exact" w:before="0"/>
              <w:ind w:left="110" w:right="-72"/>
              <w:jc w:val="left"/>
              <w:rPr>
                <w:rFonts w:ascii="Times New Roman"/>
                <w:sz w:val="2"/>
              </w:rPr>
            </w:pPr>
            <w:r>
              <w:rPr>
                <w:rFonts w:ascii="Times New Roman"/>
                <w:sz w:val="2"/>
              </w:rPr>
              <w:pict>
                <v:group style="width:32.5pt;height:.5pt;mso-position-horizontal-relative:char;mso-position-vertical-relative:line" id="docshapegroup99" coordorigin="0,0" coordsize="650,10">
                  <v:line style="position:absolute" from="650,5" to="0,5" stroked="true" strokeweight=".5pt" strokecolor="#231f20">
                    <v:stroke dashstyle="solid"/>
                  </v:line>
                </v:group>
              </w:pict>
            </w:r>
            <w:r>
              <w:rPr>
                <w:rFonts w:ascii="Times New Roman"/>
                <w:sz w:val="2"/>
              </w:rPr>
            </w:r>
          </w:p>
          <w:p>
            <w:pPr>
              <w:pStyle w:val="TableParagraph"/>
              <w:spacing w:before="21"/>
              <w:ind w:right="5"/>
              <w:jc w:val="right"/>
              <w:rPr>
                <w:sz w:val="18"/>
              </w:rPr>
            </w:pPr>
            <w:r>
              <w:rPr>
                <w:color w:val="231F20"/>
                <w:spacing w:val="-2"/>
                <w:w w:val="105"/>
                <w:sz w:val="18"/>
              </w:rPr>
              <w:t>$27,000</w:t>
            </w:r>
          </w:p>
        </w:tc>
        <w:tc>
          <w:tcPr>
            <w:tcW w:w="1879" w:type="dxa"/>
          </w:tcPr>
          <w:p>
            <w:pPr>
              <w:pStyle w:val="TableParagraph"/>
              <w:spacing w:before="41"/>
              <w:ind w:left="132"/>
              <w:jc w:val="left"/>
              <w:rPr>
                <w:b/>
                <w:sz w:val="18"/>
              </w:rPr>
            </w:pPr>
            <w:r>
              <w:rPr>
                <w:b/>
                <w:color w:val="231F20"/>
                <w:w w:val="95"/>
                <w:sz w:val="18"/>
              </w:rPr>
              <w:t>Owner’s</w:t>
            </w:r>
            <w:r>
              <w:rPr>
                <w:b/>
                <w:color w:val="231F20"/>
                <w:spacing w:val="9"/>
                <w:sz w:val="18"/>
              </w:rPr>
              <w:t> </w:t>
            </w:r>
            <w:r>
              <w:rPr>
                <w:b/>
                <w:color w:val="231F20"/>
                <w:spacing w:val="-2"/>
                <w:sz w:val="18"/>
              </w:rPr>
              <w:t>Equity</w:t>
            </w:r>
          </w:p>
        </w:tc>
        <w:tc>
          <w:tcPr>
            <w:tcW w:w="824" w:type="dxa"/>
          </w:tcPr>
          <w:p>
            <w:pPr>
              <w:pStyle w:val="TableParagraph"/>
              <w:spacing w:before="0"/>
              <w:jc w:val="left"/>
              <w:rPr>
                <w:rFonts w:ascii="Times New Roman"/>
                <w:sz w:val="18"/>
              </w:rPr>
            </w:pPr>
          </w:p>
        </w:tc>
      </w:tr>
      <w:tr>
        <w:trPr>
          <w:trHeight w:val="298" w:hRule="atLeast"/>
        </w:trPr>
        <w:tc>
          <w:tcPr>
            <w:tcW w:w="2100" w:type="dxa"/>
          </w:tcPr>
          <w:p>
            <w:pPr>
              <w:pStyle w:val="TableParagraph"/>
              <w:spacing w:before="0"/>
              <w:jc w:val="left"/>
              <w:rPr>
                <w:rFonts w:ascii="Times New Roman"/>
                <w:sz w:val="18"/>
              </w:rPr>
            </w:pPr>
          </w:p>
        </w:tc>
        <w:tc>
          <w:tcPr>
            <w:tcW w:w="758" w:type="dxa"/>
          </w:tcPr>
          <w:p>
            <w:pPr>
              <w:pStyle w:val="TableParagraph"/>
              <w:spacing w:before="0"/>
              <w:jc w:val="left"/>
              <w:rPr>
                <w:rFonts w:ascii="Times New Roman"/>
                <w:sz w:val="18"/>
              </w:rPr>
            </w:pPr>
          </w:p>
        </w:tc>
        <w:tc>
          <w:tcPr>
            <w:tcW w:w="1879" w:type="dxa"/>
          </w:tcPr>
          <w:p>
            <w:pPr>
              <w:pStyle w:val="TableParagraph"/>
              <w:spacing w:before="41"/>
              <w:ind w:left="132"/>
              <w:jc w:val="left"/>
              <w:rPr>
                <w:sz w:val="18"/>
              </w:rPr>
            </w:pPr>
            <w:r>
              <w:rPr>
                <w:color w:val="231F20"/>
                <w:sz w:val="18"/>
              </w:rPr>
              <w:t>Common</w:t>
            </w:r>
            <w:r>
              <w:rPr>
                <w:color w:val="231F20"/>
                <w:spacing w:val="31"/>
                <w:sz w:val="18"/>
              </w:rPr>
              <w:t> </w:t>
            </w:r>
            <w:r>
              <w:rPr>
                <w:color w:val="231F20"/>
                <w:sz w:val="18"/>
              </w:rPr>
              <w:t>Stock</w:t>
            </w:r>
            <w:r>
              <w:rPr>
                <w:color w:val="231F20"/>
                <w:spacing w:val="32"/>
                <w:sz w:val="18"/>
              </w:rPr>
              <w:t> </w:t>
            </w:r>
            <w:r>
              <w:rPr>
                <w:color w:val="231F20"/>
                <w:spacing w:val="-2"/>
                <w:sz w:val="18"/>
              </w:rPr>
              <w:t>issued</w:t>
            </w:r>
          </w:p>
        </w:tc>
        <w:tc>
          <w:tcPr>
            <w:tcW w:w="824" w:type="dxa"/>
          </w:tcPr>
          <w:p>
            <w:pPr>
              <w:pStyle w:val="TableParagraph"/>
              <w:spacing w:before="0"/>
              <w:jc w:val="left"/>
              <w:rPr>
                <w:rFonts w:ascii="Times New Roman"/>
                <w:sz w:val="18"/>
              </w:rPr>
            </w:pPr>
          </w:p>
        </w:tc>
      </w:tr>
      <w:tr>
        <w:trPr>
          <w:trHeight w:val="300" w:hRule="atLeast"/>
        </w:trPr>
        <w:tc>
          <w:tcPr>
            <w:tcW w:w="2100" w:type="dxa"/>
          </w:tcPr>
          <w:p>
            <w:pPr>
              <w:pStyle w:val="TableParagraph"/>
              <w:spacing w:before="0"/>
              <w:jc w:val="left"/>
              <w:rPr>
                <w:rFonts w:ascii="Times New Roman"/>
                <w:sz w:val="18"/>
              </w:rPr>
            </w:pPr>
          </w:p>
        </w:tc>
        <w:tc>
          <w:tcPr>
            <w:tcW w:w="758" w:type="dxa"/>
          </w:tcPr>
          <w:p>
            <w:pPr>
              <w:pStyle w:val="TableParagraph"/>
              <w:spacing w:before="0"/>
              <w:jc w:val="left"/>
              <w:rPr>
                <w:rFonts w:ascii="Times New Roman"/>
                <w:sz w:val="18"/>
              </w:rPr>
            </w:pPr>
          </w:p>
        </w:tc>
        <w:tc>
          <w:tcPr>
            <w:tcW w:w="1879" w:type="dxa"/>
          </w:tcPr>
          <w:p>
            <w:pPr>
              <w:pStyle w:val="TableParagraph"/>
              <w:spacing w:before="43"/>
              <w:ind w:left="132"/>
              <w:jc w:val="left"/>
              <w:rPr>
                <w:sz w:val="18"/>
              </w:rPr>
            </w:pPr>
            <w:r>
              <w:rPr>
                <w:color w:val="231F20"/>
                <w:sz w:val="18"/>
              </w:rPr>
              <w:t>(1,000</w:t>
            </w:r>
            <w:r>
              <w:rPr>
                <w:color w:val="231F20"/>
                <w:spacing w:val="15"/>
                <w:sz w:val="18"/>
              </w:rPr>
              <w:t> </w:t>
            </w:r>
            <w:r>
              <w:rPr>
                <w:color w:val="231F20"/>
                <w:spacing w:val="-2"/>
                <w:sz w:val="18"/>
              </w:rPr>
              <w:t>shares</w:t>
            </w:r>
          </w:p>
        </w:tc>
        <w:tc>
          <w:tcPr>
            <w:tcW w:w="824" w:type="dxa"/>
          </w:tcPr>
          <w:p>
            <w:pPr>
              <w:pStyle w:val="TableParagraph"/>
              <w:spacing w:before="0"/>
              <w:jc w:val="left"/>
              <w:rPr>
                <w:rFonts w:ascii="Times New Roman"/>
                <w:sz w:val="18"/>
              </w:rPr>
            </w:pPr>
          </w:p>
        </w:tc>
      </w:tr>
      <w:tr>
        <w:trPr>
          <w:trHeight w:val="300" w:hRule="atLeast"/>
        </w:trPr>
        <w:tc>
          <w:tcPr>
            <w:tcW w:w="2100" w:type="dxa"/>
          </w:tcPr>
          <w:p>
            <w:pPr>
              <w:pStyle w:val="TableParagraph"/>
              <w:spacing w:before="0"/>
              <w:jc w:val="left"/>
              <w:rPr>
                <w:rFonts w:ascii="Times New Roman"/>
                <w:sz w:val="18"/>
              </w:rPr>
            </w:pPr>
          </w:p>
        </w:tc>
        <w:tc>
          <w:tcPr>
            <w:tcW w:w="758" w:type="dxa"/>
          </w:tcPr>
          <w:p>
            <w:pPr>
              <w:pStyle w:val="TableParagraph"/>
              <w:spacing w:before="0"/>
              <w:jc w:val="left"/>
              <w:rPr>
                <w:rFonts w:ascii="Times New Roman"/>
                <w:sz w:val="18"/>
              </w:rPr>
            </w:pPr>
          </w:p>
        </w:tc>
        <w:tc>
          <w:tcPr>
            <w:tcW w:w="1879" w:type="dxa"/>
          </w:tcPr>
          <w:p>
            <w:pPr>
              <w:pStyle w:val="TableParagraph"/>
              <w:spacing w:before="43"/>
              <w:ind w:left="132"/>
              <w:jc w:val="left"/>
              <w:rPr>
                <w:sz w:val="18"/>
              </w:rPr>
            </w:pPr>
            <w:r>
              <w:rPr>
                <w:color w:val="231F20"/>
                <w:spacing w:val="-2"/>
                <w:sz w:val="18"/>
              </w:rPr>
              <w:t>outstanding)</w:t>
            </w:r>
          </w:p>
        </w:tc>
        <w:tc>
          <w:tcPr>
            <w:tcW w:w="824" w:type="dxa"/>
          </w:tcPr>
          <w:p>
            <w:pPr>
              <w:pStyle w:val="TableParagraph"/>
              <w:spacing w:before="43"/>
              <w:jc w:val="right"/>
              <w:rPr>
                <w:sz w:val="18"/>
              </w:rPr>
            </w:pPr>
            <w:r>
              <w:rPr>
                <w:color w:val="231F20"/>
                <w:spacing w:val="-2"/>
                <w:w w:val="105"/>
                <w:sz w:val="18"/>
              </w:rPr>
              <w:t>$15,000</w:t>
            </w:r>
          </w:p>
        </w:tc>
      </w:tr>
      <w:tr>
        <w:trPr>
          <w:trHeight w:val="292" w:hRule="atLeast"/>
        </w:trPr>
        <w:tc>
          <w:tcPr>
            <w:tcW w:w="2100" w:type="dxa"/>
          </w:tcPr>
          <w:p>
            <w:pPr>
              <w:pStyle w:val="TableParagraph"/>
              <w:spacing w:before="0"/>
              <w:jc w:val="left"/>
              <w:rPr>
                <w:rFonts w:ascii="Times New Roman"/>
                <w:sz w:val="18"/>
              </w:rPr>
            </w:pPr>
          </w:p>
        </w:tc>
        <w:tc>
          <w:tcPr>
            <w:tcW w:w="758" w:type="dxa"/>
          </w:tcPr>
          <w:p>
            <w:pPr>
              <w:pStyle w:val="TableParagraph"/>
              <w:spacing w:before="0"/>
              <w:jc w:val="left"/>
              <w:rPr>
                <w:rFonts w:ascii="Times New Roman"/>
                <w:sz w:val="18"/>
              </w:rPr>
            </w:pPr>
          </w:p>
        </w:tc>
        <w:tc>
          <w:tcPr>
            <w:tcW w:w="1879" w:type="dxa"/>
          </w:tcPr>
          <w:p>
            <w:pPr>
              <w:pStyle w:val="TableParagraph"/>
              <w:spacing w:before="43"/>
              <w:ind w:left="132"/>
              <w:jc w:val="left"/>
              <w:rPr>
                <w:sz w:val="18"/>
              </w:rPr>
            </w:pPr>
            <w:r>
              <w:rPr>
                <w:color w:val="231F20"/>
                <w:sz w:val="18"/>
              </w:rPr>
              <w:t>Retained</w:t>
            </w:r>
            <w:r>
              <w:rPr>
                <w:color w:val="231F20"/>
                <w:spacing w:val="10"/>
                <w:sz w:val="18"/>
              </w:rPr>
              <w:t> </w:t>
            </w:r>
            <w:r>
              <w:rPr>
                <w:color w:val="231F20"/>
                <w:spacing w:val="-2"/>
                <w:sz w:val="18"/>
              </w:rPr>
              <w:t>Earnings</w:t>
            </w:r>
          </w:p>
        </w:tc>
        <w:tc>
          <w:tcPr>
            <w:tcW w:w="824" w:type="dxa"/>
          </w:tcPr>
          <w:p>
            <w:pPr>
              <w:pStyle w:val="TableParagraph"/>
              <w:spacing w:before="43"/>
              <w:jc w:val="right"/>
              <w:rPr>
                <w:sz w:val="18"/>
              </w:rPr>
            </w:pPr>
            <w:r>
              <w:rPr>
                <w:color w:val="231F20"/>
                <w:spacing w:val="-2"/>
                <w:sz w:val="18"/>
              </w:rPr>
              <w:t>30,000</w:t>
            </w:r>
          </w:p>
        </w:tc>
      </w:tr>
      <w:tr>
        <w:trPr>
          <w:trHeight w:val="455" w:hRule="atLeast"/>
        </w:trPr>
        <w:tc>
          <w:tcPr>
            <w:tcW w:w="2100" w:type="dxa"/>
          </w:tcPr>
          <w:p>
            <w:pPr>
              <w:pStyle w:val="TableParagraph"/>
              <w:spacing w:before="0"/>
              <w:jc w:val="left"/>
              <w:rPr>
                <w:rFonts w:ascii="Times New Roman"/>
                <w:sz w:val="18"/>
              </w:rPr>
            </w:pPr>
          </w:p>
        </w:tc>
        <w:tc>
          <w:tcPr>
            <w:tcW w:w="758" w:type="dxa"/>
          </w:tcPr>
          <w:p>
            <w:pPr>
              <w:pStyle w:val="TableParagraph"/>
              <w:spacing w:before="0"/>
              <w:jc w:val="left"/>
              <w:rPr>
                <w:rFonts w:ascii="Times New Roman"/>
                <w:sz w:val="18"/>
              </w:rPr>
            </w:pPr>
          </w:p>
        </w:tc>
        <w:tc>
          <w:tcPr>
            <w:tcW w:w="1879" w:type="dxa"/>
          </w:tcPr>
          <w:p>
            <w:pPr>
              <w:pStyle w:val="TableParagraph"/>
              <w:spacing w:before="51"/>
              <w:ind w:left="132"/>
              <w:jc w:val="left"/>
              <w:rPr>
                <w:sz w:val="18"/>
              </w:rPr>
            </w:pPr>
            <w:r>
              <w:rPr>
                <w:color w:val="231F20"/>
                <w:w w:val="105"/>
                <w:sz w:val="18"/>
              </w:rPr>
              <w:t>Total</w:t>
            </w:r>
            <w:r>
              <w:rPr>
                <w:color w:val="231F20"/>
                <w:spacing w:val="-9"/>
                <w:w w:val="105"/>
                <w:sz w:val="18"/>
              </w:rPr>
              <w:t> </w:t>
            </w:r>
            <w:r>
              <w:rPr>
                <w:color w:val="231F20"/>
                <w:w w:val="105"/>
                <w:sz w:val="18"/>
              </w:rPr>
              <w:t>Owners’</w:t>
            </w:r>
            <w:r>
              <w:rPr>
                <w:color w:val="231F20"/>
                <w:spacing w:val="-8"/>
                <w:w w:val="105"/>
                <w:sz w:val="18"/>
              </w:rPr>
              <w:t> </w:t>
            </w:r>
            <w:r>
              <w:rPr>
                <w:color w:val="231F20"/>
                <w:spacing w:val="-2"/>
                <w:w w:val="105"/>
                <w:sz w:val="18"/>
              </w:rPr>
              <w:t>Equity</w:t>
            </w:r>
          </w:p>
        </w:tc>
        <w:tc>
          <w:tcPr>
            <w:tcW w:w="824" w:type="dxa"/>
          </w:tcPr>
          <w:p>
            <w:pPr>
              <w:pStyle w:val="TableParagraph"/>
              <w:spacing w:line="20" w:lineRule="exact" w:before="0"/>
              <w:ind w:left="183" w:right="-58"/>
              <w:jc w:val="left"/>
              <w:rPr>
                <w:rFonts w:ascii="Times New Roman"/>
                <w:sz w:val="2"/>
              </w:rPr>
            </w:pPr>
            <w:r>
              <w:rPr>
                <w:rFonts w:ascii="Times New Roman"/>
                <w:sz w:val="2"/>
              </w:rPr>
              <w:pict>
                <v:group style="width:32pt;height:.5pt;mso-position-horizontal-relative:char;mso-position-vertical-relative:line" id="docshapegroup100" coordorigin="0,0" coordsize="640,10">
                  <v:line style="position:absolute" from="640,5" to="0,5" stroked="true" strokeweight=".5pt" strokecolor="#231f20">
                    <v:stroke dashstyle="solid"/>
                  </v:line>
                </v:group>
              </w:pict>
            </w:r>
            <w:r>
              <w:rPr>
                <w:rFonts w:ascii="Times New Roman"/>
                <w:sz w:val="2"/>
              </w:rPr>
            </w:r>
          </w:p>
          <w:p>
            <w:pPr>
              <w:pStyle w:val="TableParagraph"/>
              <w:spacing w:before="31"/>
              <w:jc w:val="right"/>
              <w:rPr>
                <w:sz w:val="18"/>
              </w:rPr>
            </w:pPr>
            <w:r>
              <w:rPr>
                <w:color w:val="231F20"/>
                <w:spacing w:val="-2"/>
                <w:w w:val="105"/>
                <w:sz w:val="18"/>
              </w:rPr>
              <w:t>$45,000</w:t>
            </w:r>
          </w:p>
        </w:tc>
      </w:tr>
      <w:tr>
        <w:trPr>
          <w:trHeight w:val="450" w:hRule="atLeast"/>
        </w:trPr>
        <w:tc>
          <w:tcPr>
            <w:tcW w:w="2100" w:type="dxa"/>
          </w:tcPr>
          <w:p>
            <w:pPr>
              <w:pStyle w:val="TableParagraph"/>
              <w:spacing w:before="0"/>
              <w:jc w:val="left"/>
              <w:rPr>
                <w:rFonts w:ascii="Times New Roman"/>
                <w:sz w:val="18"/>
              </w:rPr>
            </w:pPr>
          </w:p>
        </w:tc>
        <w:tc>
          <w:tcPr>
            <w:tcW w:w="758" w:type="dxa"/>
          </w:tcPr>
          <w:p>
            <w:pPr>
              <w:pStyle w:val="TableParagraph"/>
              <w:spacing w:before="0"/>
              <w:jc w:val="left"/>
              <w:rPr>
                <w:rFonts w:ascii="Times New Roman"/>
                <w:sz w:val="18"/>
              </w:rPr>
            </w:pPr>
          </w:p>
        </w:tc>
        <w:tc>
          <w:tcPr>
            <w:tcW w:w="1879" w:type="dxa"/>
          </w:tcPr>
          <w:p>
            <w:pPr>
              <w:pStyle w:val="TableParagraph"/>
              <w:spacing w:before="195"/>
              <w:ind w:left="132"/>
              <w:jc w:val="left"/>
              <w:rPr>
                <w:b/>
                <w:sz w:val="18"/>
              </w:rPr>
            </w:pPr>
            <w:r>
              <w:rPr>
                <w:b/>
                <w:color w:val="231F20"/>
                <w:w w:val="95"/>
                <w:sz w:val="18"/>
              </w:rPr>
              <w:t>Total</w:t>
            </w:r>
            <w:r>
              <w:rPr>
                <w:b/>
                <w:color w:val="231F20"/>
                <w:spacing w:val="-4"/>
                <w:w w:val="95"/>
                <w:sz w:val="18"/>
              </w:rPr>
              <w:t> </w:t>
            </w:r>
            <w:r>
              <w:rPr>
                <w:b/>
                <w:color w:val="231F20"/>
                <w:w w:val="95"/>
                <w:sz w:val="18"/>
              </w:rPr>
              <w:t>Liablities</w:t>
            </w:r>
            <w:r>
              <w:rPr>
                <w:b/>
                <w:color w:val="231F20"/>
                <w:spacing w:val="-1"/>
                <w:w w:val="95"/>
                <w:sz w:val="18"/>
              </w:rPr>
              <w:t> </w:t>
            </w:r>
            <w:r>
              <w:rPr>
                <w:b/>
                <w:color w:val="231F20"/>
                <w:spacing w:val="-5"/>
                <w:w w:val="95"/>
                <w:sz w:val="18"/>
              </w:rPr>
              <w:t>and</w:t>
            </w:r>
          </w:p>
        </w:tc>
        <w:tc>
          <w:tcPr>
            <w:tcW w:w="824" w:type="dxa"/>
          </w:tcPr>
          <w:p>
            <w:pPr>
              <w:pStyle w:val="TableParagraph"/>
              <w:spacing w:before="0"/>
              <w:jc w:val="left"/>
              <w:rPr>
                <w:rFonts w:ascii="Times New Roman"/>
                <w:sz w:val="18"/>
              </w:rPr>
            </w:pPr>
          </w:p>
        </w:tc>
      </w:tr>
      <w:tr>
        <w:trPr>
          <w:trHeight w:val="349" w:hRule="atLeast"/>
        </w:trPr>
        <w:tc>
          <w:tcPr>
            <w:tcW w:w="2100" w:type="dxa"/>
          </w:tcPr>
          <w:p>
            <w:pPr>
              <w:pStyle w:val="TableParagraph"/>
              <w:spacing w:before="45"/>
              <w:ind w:left="50"/>
              <w:jc w:val="left"/>
              <w:rPr>
                <w:b/>
                <w:sz w:val="18"/>
              </w:rPr>
            </w:pPr>
            <w:r>
              <w:rPr>
                <w:b/>
                <w:color w:val="231F20"/>
                <w:spacing w:val="-2"/>
                <w:sz w:val="18"/>
              </w:rPr>
              <w:t>Total</w:t>
            </w:r>
            <w:r>
              <w:rPr>
                <w:b/>
                <w:color w:val="231F20"/>
                <w:spacing w:val="-6"/>
                <w:sz w:val="18"/>
              </w:rPr>
              <w:t> </w:t>
            </w:r>
            <w:r>
              <w:rPr>
                <w:b/>
                <w:color w:val="231F20"/>
                <w:spacing w:val="-2"/>
                <w:sz w:val="18"/>
              </w:rPr>
              <w:t>Assets</w:t>
            </w:r>
          </w:p>
        </w:tc>
        <w:tc>
          <w:tcPr>
            <w:tcW w:w="758" w:type="dxa"/>
            <w:tcBorders>
              <w:bottom w:val="single" w:sz="4" w:space="0" w:color="231F20"/>
            </w:tcBorders>
          </w:tcPr>
          <w:p>
            <w:pPr>
              <w:pStyle w:val="TableParagraph"/>
              <w:spacing w:before="45"/>
              <w:ind w:right="5"/>
              <w:jc w:val="right"/>
              <w:rPr>
                <w:b/>
                <w:sz w:val="18"/>
              </w:rPr>
            </w:pPr>
            <w:r>
              <w:rPr>
                <w:b/>
                <w:color w:val="231F20"/>
                <w:spacing w:val="-2"/>
                <w:w w:val="95"/>
                <w:sz w:val="18"/>
              </w:rPr>
              <w:t>$142,000</w:t>
            </w:r>
          </w:p>
        </w:tc>
        <w:tc>
          <w:tcPr>
            <w:tcW w:w="1879" w:type="dxa"/>
          </w:tcPr>
          <w:p>
            <w:pPr>
              <w:pStyle w:val="TableParagraph"/>
              <w:spacing w:before="45"/>
              <w:ind w:left="132"/>
              <w:jc w:val="left"/>
              <w:rPr>
                <w:b/>
                <w:sz w:val="18"/>
              </w:rPr>
            </w:pPr>
            <w:r>
              <w:rPr>
                <w:b/>
                <w:color w:val="231F20"/>
                <w:w w:val="95"/>
                <w:sz w:val="18"/>
              </w:rPr>
              <w:t>Owners’</w:t>
            </w:r>
            <w:r>
              <w:rPr>
                <w:b/>
                <w:color w:val="231F20"/>
                <w:spacing w:val="16"/>
                <w:sz w:val="18"/>
              </w:rPr>
              <w:t> </w:t>
            </w:r>
            <w:r>
              <w:rPr>
                <w:b/>
                <w:color w:val="231F20"/>
                <w:spacing w:val="-2"/>
                <w:sz w:val="18"/>
              </w:rPr>
              <w:t>Equity</w:t>
            </w:r>
          </w:p>
        </w:tc>
        <w:tc>
          <w:tcPr>
            <w:tcW w:w="824" w:type="dxa"/>
          </w:tcPr>
          <w:p>
            <w:pPr>
              <w:pStyle w:val="TableParagraph"/>
              <w:spacing w:before="45"/>
              <w:jc w:val="right"/>
              <w:rPr>
                <w:b/>
                <w:sz w:val="18"/>
              </w:rPr>
            </w:pPr>
            <w:r>
              <w:rPr>
                <w:b/>
                <w:color w:val="231F20"/>
                <w:spacing w:val="-2"/>
                <w:sz w:val="18"/>
              </w:rPr>
              <w:t>$142,000</w:t>
            </w:r>
          </w:p>
        </w:tc>
      </w:tr>
    </w:tbl>
    <w:p>
      <w:pPr>
        <w:pStyle w:val="BodyText"/>
        <w:rPr>
          <w:rFonts w:ascii="Times New Roman"/>
          <w:sz w:val="22"/>
        </w:rPr>
      </w:pPr>
    </w:p>
    <w:p>
      <w:pPr>
        <w:pStyle w:val="BodyText"/>
        <w:rPr>
          <w:rFonts w:ascii="Times New Roman"/>
          <w:sz w:val="22"/>
        </w:rPr>
      </w:pPr>
    </w:p>
    <w:p>
      <w:pPr>
        <w:pStyle w:val="BodyText"/>
        <w:spacing w:line="292" w:lineRule="auto" w:before="144"/>
        <w:ind w:left="830" w:right="753"/>
        <w:jc w:val="both"/>
      </w:pPr>
      <w:r>
        <w:rPr/>
        <w:pict>
          <v:line style="position:absolute;mso-position-horizontal-relative:page;mso-position-vertical-relative:paragraph;z-index:-25177088" from="178.5pt,-27.458645pt" to="216pt,-27.458645pt" stroked="true" strokeweight=".5pt" strokecolor="#231f20">
            <v:stroke dashstyle="solid"/>
            <w10:wrap type="none"/>
          </v:line>
        </w:pict>
      </w:r>
      <w:r>
        <w:rPr/>
        <w:pict>
          <v:shape style="position:absolute;margin-left:314pt;margin-top:-27.458645pt;width:37pt;height:2.5pt;mso-position-horizontal-relative:page;mso-position-vertical-relative:paragraph;z-index:-25176576" id="docshape101" coordorigin="6280,-549" coordsize="740,50" path="m6280,-549l7020,-549m6280,-499l7020,-499e" filled="false" stroked="true" strokeweight=".5pt" strokecolor="#231f20">
            <v:path arrowok="t"/>
            <v:stroke dashstyle="solid"/>
            <w10:wrap type="none"/>
          </v:shape>
        </w:pict>
      </w:r>
      <w:r>
        <w:rPr>
          <w:i/>
          <w:color w:val="231F20"/>
        </w:rPr>
        <w:t>Equity </w:t>
      </w:r>
      <w:r>
        <w:rPr>
          <w:color w:val="231F20"/>
        </w:rPr>
        <w:t>with the financial statements if the information is useful.</w:t>
      </w:r>
      <w:r>
        <w:rPr>
          <w:color w:val="231F20"/>
          <w:spacing w:val="40"/>
        </w:rPr>
        <w:t> </w:t>
      </w:r>
      <w:r>
        <w:rPr>
          <w:color w:val="231F20"/>
        </w:rPr>
        <w:t>These detailed statements outline the owners’ investments, their stock transactions, and the dividends paid to them during the </w:t>
      </w:r>
      <w:r>
        <w:rPr>
          <w:color w:val="231F20"/>
        </w:rPr>
        <w:t>year. These transactions affect the owners’ equity captions on the balance sheet. The Statement of Owners’ Equity, also called the </w:t>
      </w:r>
      <w:r>
        <w:rPr>
          <w:i/>
          <w:color w:val="231F20"/>
        </w:rPr>
        <w:t>Statement of</w:t>
      </w:r>
      <w:r>
        <w:rPr>
          <w:i/>
          <w:color w:val="231F20"/>
        </w:rPr>
        <w:t> Changes Shareholders’ Equity, </w:t>
      </w:r>
      <w:r>
        <w:rPr>
          <w:color w:val="231F20"/>
        </w:rPr>
        <w:t>is considered a minor statement. However, it may be important for companies that have a great deal</w:t>
      </w:r>
      <w:r>
        <w:rPr>
          <w:color w:val="231F20"/>
          <w:spacing w:val="80"/>
        </w:rPr>
        <w:t> </w:t>
      </w:r>
      <w:r>
        <w:rPr>
          <w:color w:val="231F20"/>
        </w:rPr>
        <w:t>of</w:t>
      </w:r>
      <w:r>
        <w:rPr>
          <w:color w:val="231F20"/>
          <w:spacing w:val="33"/>
        </w:rPr>
        <w:t> </w:t>
      </w:r>
      <w:r>
        <w:rPr>
          <w:color w:val="231F20"/>
        </w:rPr>
        <w:t>owner</w:t>
      </w:r>
      <w:r>
        <w:rPr>
          <w:color w:val="231F20"/>
          <w:spacing w:val="33"/>
        </w:rPr>
        <w:t> </w:t>
      </w:r>
      <w:r>
        <w:rPr>
          <w:color w:val="231F20"/>
        </w:rPr>
        <w:t>activity.</w:t>
      </w:r>
      <w:r>
        <w:rPr>
          <w:color w:val="231F20"/>
          <w:spacing w:val="33"/>
        </w:rPr>
        <w:t> </w:t>
      </w:r>
      <w:r>
        <w:rPr>
          <w:color w:val="231F20"/>
        </w:rPr>
        <w:t>Large</w:t>
      </w:r>
      <w:r>
        <w:rPr>
          <w:color w:val="231F20"/>
          <w:spacing w:val="33"/>
        </w:rPr>
        <w:t> </w:t>
      </w:r>
      <w:r>
        <w:rPr>
          <w:color w:val="231F20"/>
        </w:rPr>
        <w:t>companies</w:t>
      </w:r>
      <w:r>
        <w:rPr>
          <w:color w:val="231F20"/>
          <w:spacing w:val="33"/>
        </w:rPr>
        <w:t> </w:t>
      </w:r>
      <w:r>
        <w:rPr>
          <w:color w:val="231F20"/>
        </w:rPr>
        <w:t>always</w:t>
      </w:r>
      <w:r>
        <w:rPr>
          <w:color w:val="231F20"/>
          <w:spacing w:val="33"/>
        </w:rPr>
        <w:t> </w:t>
      </w:r>
      <w:r>
        <w:rPr>
          <w:color w:val="231F20"/>
        </w:rPr>
        <w:t>produce</w:t>
      </w:r>
      <w:r>
        <w:rPr>
          <w:color w:val="231F20"/>
          <w:spacing w:val="33"/>
        </w:rPr>
        <w:t> </w:t>
      </w:r>
      <w:r>
        <w:rPr>
          <w:color w:val="231F20"/>
        </w:rPr>
        <w:t>this</w:t>
      </w:r>
      <w:r>
        <w:rPr>
          <w:color w:val="231F20"/>
          <w:spacing w:val="33"/>
        </w:rPr>
        <w:t> </w:t>
      </w:r>
      <w:r>
        <w:rPr>
          <w:color w:val="231F20"/>
        </w:rPr>
        <w:t>statement</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because it reveals many transactions that interest the public. Take a moment and go back to Bob’s balance sheet and review its presenta- tion before you move on to the income statement.</w:t>
      </w:r>
    </w:p>
    <w:p>
      <w:pPr>
        <w:pStyle w:val="BodyText"/>
        <w:rPr>
          <w:sz w:val="24"/>
        </w:rPr>
      </w:pPr>
    </w:p>
    <w:p>
      <w:pPr>
        <w:pStyle w:val="BodyText"/>
        <w:spacing w:before="9"/>
        <w:rPr>
          <w:sz w:val="22"/>
        </w:rPr>
      </w:pPr>
    </w:p>
    <w:p>
      <w:pPr>
        <w:pStyle w:val="Heading6"/>
        <w:rPr>
          <w:i/>
        </w:rPr>
      </w:pPr>
      <w:r>
        <w:rPr>
          <w:i/>
          <w:color w:val="231F20"/>
          <w:w w:val="110"/>
        </w:rPr>
        <w:t>THE</w:t>
      </w:r>
      <w:r>
        <w:rPr>
          <w:i/>
          <w:color w:val="231F20"/>
          <w:spacing w:val="69"/>
          <w:w w:val="110"/>
        </w:rPr>
        <w:t> </w:t>
      </w:r>
      <w:r>
        <w:rPr>
          <w:i/>
          <w:color w:val="231F20"/>
          <w:w w:val="110"/>
        </w:rPr>
        <w:t>INCOME</w:t>
      </w:r>
      <w:r>
        <w:rPr>
          <w:i/>
          <w:color w:val="231F20"/>
          <w:spacing w:val="69"/>
          <w:w w:val="110"/>
        </w:rPr>
        <w:t> </w:t>
      </w:r>
      <w:r>
        <w:rPr>
          <w:i/>
          <w:color w:val="231F20"/>
          <w:spacing w:val="-2"/>
          <w:w w:val="110"/>
        </w:rPr>
        <w:t>STATEMENT</w:t>
      </w:r>
    </w:p>
    <w:p>
      <w:pPr>
        <w:pStyle w:val="BodyText"/>
        <w:spacing w:before="2"/>
        <w:rPr>
          <w:b/>
          <w:i/>
          <w:sz w:val="30"/>
        </w:rPr>
      </w:pPr>
    </w:p>
    <w:p>
      <w:pPr>
        <w:pStyle w:val="BodyText"/>
        <w:spacing w:line="292" w:lineRule="auto"/>
        <w:ind w:left="919" w:right="666"/>
        <w:jc w:val="both"/>
      </w:pPr>
      <w:r>
        <w:rPr>
          <w:color w:val="231F20"/>
        </w:rPr>
        <w:t>As the balance sheet shows </w:t>
      </w:r>
      <w:r>
        <w:rPr>
          <w:i/>
          <w:color w:val="231F20"/>
        </w:rPr>
        <w:t>balances </w:t>
      </w:r>
      <w:r>
        <w:rPr>
          <w:color w:val="231F20"/>
        </w:rPr>
        <w:t>as of a specific date, the income statement shows the “flow” of activity and transactions over a</w:t>
      </w:r>
      <w:r>
        <w:rPr>
          <w:color w:val="231F20"/>
          <w:spacing w:val="40"/>
        </w:rPr>
        <w:t> </w:t>
      </w:r>
      <w:r>
        <w:rPr>
          <w:color w:val="231F20"/>
        </w:rPr>
        <w:t>specific “period.” That period may be a month, a quarter, or a year. There are </w:t>
      </w:r>
      <w:r>
        <w:rPr>
          <w:i/>
          <w:color w:val="231F20"/>
        </w:rPr>
        <w:t>revenues </w:t>
      </w:r>
      <w:r>
        <w:rPr>
          <w:color w:val="231F20"/>
        </w:rPr>
        <w:t>from sales and </w:t>
      </w:r>
      <w:r>
        <w:rPr>
          <w:i/>
          <w:color w:val="231F20"/>
        </w:rPr>
        <w:t>expenses </w:t>
      </w:r>
      <w:r>
        <w:rPr>
          <w:color w:val="231F20"/>
        </w:rPr>
        <w:t>relating to those rev- enues. When revenues and expenses are properly </w:t>
      </w:r>
      <w:r>
        <w:rPr>
          <w:i/>
          <w:color w:val="231F20"/>
        </w:rPr>
        <w:t>matched </w:t>
      </w:r>
      <w:r>
        <w:rPr>
          <w:color w:val="231F20"/>
        </w:rPr>
        <w:t>using </w:t>
      </w:r>
      <w:r>
        <w:rPr>
          <w:i/>
          <w:color w:val="231F20"/>
        </w:rPr>
        <w:t>ac-</w:t>
      </w:r>
      <w:r>
        <w:rPr>
          <w:i/>
          <w:color w:val="231F20"/>
        </w:rPr>
        <w:t> crual accounting, </w:t>
      </w:r>
      <w:r>
        <w:rPr>
          <w:color w:val="231F20"/>
        </w:rPr>
        <w:t>the difference is “income.”</w:t>
      </w:r>
    </w:p>
    <w:p>
      <w:pPr>
        <w:pStyle w:val="BodyText"/>
        <w:spacing w:before="2"/>
        <w:rPr>
          <w:sz w:val="20"/>
        </w:rPr>
      </w:pPr>
    </w:p>
    <w:p>
      <w:pPr>
        <w:pStyle w:val="BodyText"/>
        <w:tabs>
          <w:tab w:pos="1266" w:val="left" w:leader="none"/>
        </w:tabs>
        <w:ind w:left="250"/>
        <w:jc w:val="center"/>
      </w:pPr>
      <w:r>
        <w:rPr/>
        <w:pict>
          <v:rect style="position:absolute;margin-left:191.574265pt;margin-top:7.6809pt;width:4.930940pt;height:.7242pt;mso-position-horizontal-relative:page;mso-position-vertical-relative:paragraph;z-index:-25176064" id="docshape102" filled="true" fillcolor="#231f20" stroked="false">
            <v:fill type="solid"/>
            <w10:wrap type="none"/>
          </v:rect>
        </w:pict>
      </w:r>
      <w:r>
        <w:rPr>
          <w:color w:val="231F20"/>
          <w:spacing w:val="-2"/>
        </w:rPr>
        <w:t>Revenue</w:t>
      </w:r>
      <w:r>
        <w:rPr>
          <w:color w:val="231F20"/>
        </w:rPr>
        <w:tab/>
        <w:t>Expenses</w:t>
      </w:r>
      <w:r>
        <w:rPr>
          <w:color w:val="231F20"/>
          <w:spacing w:val="8"/>
        </w:rPr>
        <w:t> </w:t>
      </w:r>
      <w:r>
        <w:rPr>
          <w:rFonts w:ascii="Symbol" w:hAnsi="Symbol"/>
          <w:color w:val="231F20"/>
        </w:rPr>
        <w:t></w:t>
      </w:r>
      <w:r>
        <w:rPr>
          <w:rFonts w:ascii="Times New Roman" w:hAnsi="Times New Roman"/>
          <w:color w:val="231F20"/>
          <w:spacing w:val="2"/>
        </w:rPr>
        <w:t> </w:t>
      </w:r>
      <w:r>
        <w:rPr>
          <w:color w:val="231F20"/>
          <w:spacing w:val="-2"/>
        </w:rPr>
        <w:t>Income</w:t>
      </w:r>
    </w:p>
    <w:p>
      <w:pPr>
        <w:pStyle w:val="BodyText"/>
        <w:spacing w:before="8"/>
        <w:rPr>
          <w:sz w:val="27"/>
        </w:rPr>
      </w:pPr>
    </w:p>
    <w:p>
      <w:pPr>
        <w:spacing w:before="1"/>
        <w:ind w:left="1260" w:right="0" w:firstLine="0"/>
        <w:jc w:val="left"/>
        <w:rPr>
          <w:rFonts w:ascii="Arial"/>
          <w:i/>
          <w:sz w:val="19"/>
        </w:rPr>
      </w:pPr>
      <w:r>
        <w:rPr>
          <w:rFonts w:ascii="Arial"/>
          <w:i/>
          <w:color w:val="231F20"/>
          <w:w w:val="115"/>
          <w:sz w:val="19"/>
        </w:rPr>
        <w:t>An</w:t>
      </w:r>
      <w:r>
        <w:rPr>
          <w:rFonts w:ascii="Arial"/>
          <w:i/>
          <w:color w:val="231F20"/>
          <w:spacing w:val="-11"/>
          <w:w w:val="115"/>
          <w:sz w:val="19"/>
        </w:rPr>
        <w:t> </w:t>
      </w:r>
      <w:r>
        <w:rPr>
          <w:rFonts w:ascii="Arial"/>
          <w:i/>
          <w:color w:val="231F20"/>
          <w:w w:val="115"/>
          <w:sz w:val="19"/>
        </w:rPr>
        <w:t>Income</w:t>
      </w:r>
      <w:r>
        <w:rPr>
          <w:rFonts w:ascii="Arial"/>
          <w:i/>
          <w:color w:val="231F20"/>
          <w:spacing w:val="-11"/>
          <w:w w:val="115"/>
          <w:sz w:val="19"/>
        </w:rPr>
        <w:t> </w:t>
      </w:r>
      <w:r>
        <w:rPr>
          <w:rFonts w:ascii="Arial"/>
          <w:i/>
          <w:color w:val="231F20"/>
          <w:w w:val="115"/>
          <w:sz w:val="19"/>
        </w:rPr>
        <w:t>Statement</w:t>
      </w:r>
      <w:r>
        <w:rPr>
          <w:rFonts w:ascii="Arial"/>
          <w:i/>
          <w:color w:val="231F20"/>
          <w:spacing w:val="-10"/>
          <w:w w:val="115"/>
          <w:sz w:val="19"/>
        </w:rPr>
        <w:t> </w:t>
      </w:r>
      <w:r>
        <w:rPr>
          <w:rFonts w:ascii="Arial"/>
          <w:i/>
          <w:color w:val="231F20"/>
          <w:spacing w:val="-2"/>
          <w:w w:val="115"/>
          <w:sz w:val="19"/>
        </w:rPr>
        <w:t>Example</w:t>
      </w:r>
    </w:p>
    <w:p>
      <w:pPr>
        <w:pStyle w:val="BodyText"/>
        <w:spacing w:line="292" w:lineRule="auto" w:before="60"/>
        <w:ind w:left="920" w:right="666" w:firstLine="340"/>
        <w:jc w:val="both"/>
      </w:pPr>
      <w:r>
        <w:rPr>
          <w:color w:val="231F20"/>
        </w:rPr>
        <w:t>On</w:t>
      </w:r>
      <w:r>
        <w:rPr>
          <w:color w:val="231F20"/>
          <w:spacing w:val="23"/>
        </w:rPr>
        <w:t> </w:t>
      </w:r>
      <w:r>
        <w:rPr>
          <w:color w:val="231F20"/>
        </w:rPr>
        <w:t>page</w:t>
      </w:r>
      <w:r>
        <w:rPr>
          <w:color w:val="231F20"/>
          <w:spacing w:val="23"/>
        </w:rPr>
        <w:t> </w:t>
      </w:r>
      <w:r>
        <w:rPr>
          <w:color w:val="231F20"/>
        </w:rPr>
        <w:t>90</w:t>
      </w:r>
      <w:r>
        <w:rPr>
          <w:color w:val="231F20"/>
          <w:spacing w:val="23"/>
        </w:rPr>
        <w:t> </w:t>
      </w:r>
      <w:r>
        <w:rPr>
          <w:color w:val="231F20"/>
        </w:rPr>
        <w:t>we’ll</w:t>
      </w:r>
      <w:r>
        <w:rPr>
          <w:color w:val="231F20"/>
          <w:spacing w:val="23"/>
        </w:rPr>
        <w:t> </w:t>
      </w:r>
      <w:r>
        <w:rPr>
          <w:color w:val="231F20"/>
        </w:rPr>
        <w:t>look</w:t>
      </w:r>
      <w:r>
        <w:rPr>
          <w:color w:val="231F20"/>
          <w:spacing w:val="23"/>
        </w:rPr>
        <w:t> </w:t>
      </w:r>
      <w:r>
        <w:rPr>
          <w:color w:val="231F20"/>
        </w:rPr>
        <w:t>at</w:t>
      </w:r>
      <w:r>
        <w:rPr>
          <w:color w:val="231F20"/>
          <w:spacing w:val="23"/>
        </w:rPr>
        <w:t> </w:t>
      </w:r>
      <w:r>
        <w:rPr>
          <w:color w:val="231F20"/>
        </w:rPr>
        <w:t>the</w:t>
      </w:r>
      <w:r>
        <w:rPr>
          <w:color w:val="231F20"/>
          <w:spacing w:val="23"/>
        </w:rPr>
        <w:t> </w:t>
      </w:r>
      <w:r>
        <w:rPr>
          <w:color w:val="231F20"/>
        </w:rPr>
        <w:t>income</w:t>
      </w:r>
      <w:r>
        <w:rPr>
          <w:color w:val="231F20"/>
          <w:spacing w:val="23"/>
        </w:rPr>
        <w:t> </w:t>
      </w:r>
      <w:r>
        <w:rPr>
          <w:color w:val="231F20"/>
        </w:rPr>
        <w:t>statement</w:t>
      </w:r>
      <w:r>
        <w:rPr>
          <w:color w:val="231F20"/>
          <w:spacing w:val="23"/>
        </w:rPr>
        <w:t> </w:t>
      </w:r>
      <w:r>
        <w:rPr>
          <w:color w:val="231F20"/>
        </w:rPr>
        <w:t>of</w:t>
      </w:r>
      <w:r>
        <w:rPr>
          <w:color w:val="231F20"/>
          <w:spacing w:val="23"/>
        </w:rPr>
        <w:t> </w:t>
      </w:r>
      <w:r>
        <w:rPr>
          <w:color w:val="231F20"/>
        </w:rPr>
        <w:t>Bob’s</w:t>
      </w:r>
      <w:r>
        <w:rPr>
          <w:color w:val="231F20"/>
          <w:spacing w:val="23"/>
        </w:rPr>
        <w:t> </w:t>
      </w:r>
      <w:r>
        <w:rPr>
          <w:color w:val="231F20"/>
        </w:rPr>
        <w:t>Market to see how his operation performed during his first year of business.</w:t>
      </w:r>
    </w:p>
    <w:p>
      <w:pPr>
        <w:pStyle w:val="BodyText"/>
        <w:spacing w:before="1"/>
        <w:rPr>
          <w:sz w:val="23"/>
        </w:rPr>
      </w:pPr>
    </w:p>
    <w:p>
      <w:pPr>
        <w:spacing w:before="0"/>
        <w:ind w:left="1260" w:right="0" w:firstLine="0"/>
        <w:jc w:val="left"/>
        <w:rPr>
          <w:rFonts w:ascii="Arial"/>
          <w:i/>
          <w:sz w:val="19"/>
        </w:rPr>
      </w:pPr>
      <w:r>
        <w:rPr>
          <w:rFonts w:ascii="Arial"/>
          <w:i/>
          <w:color w:val="231F20"/>
          <w:w w:val="115"/>
          <w:sz w:val="19"/>
        </w:rPr>
        <w:t>Income</w:t>
      </w:r>
      <w:r>
        <w:rPr>
          <w:rFonts w:ascii="Arial"/>
          <w:i/>
          <w:color w:val="231F20"/>
          <w:spacing w:val="-14"/>
          <w:w w:val="115"/>
          <w:sz w:val="19"/>
        </w:rPr>
        <w:t> </w:t>
      </w:r>
      <w:r>
        <w:rPr>
          <w:rFonts w:ascii="Arial"/>
          <w:i/>
          <w:color w:val="231F20"/>
          <w:w w:val="115"/>
          <w:sz w:val="19"/>
        </w:rPr>
        <w:t>Statement</w:t>
      </w:r>
      <w:r>
        <w:rPr>
          <w:rFonts w:ascii="Arial"/>
          <w:i/>
          <w:color w:val="231F20"/>
          <w:spacing w:val="-14"/>
          <w:w w:val="115"/>
          <w:sz w:val="19"/>
        </w:rPr>
        <w:t> </w:t>
      </w:r>
      <w:r>
        <w:rPr>
          <w:rFonts w:ascii="Arial"/>
          <w:i/>
          <w:color w:val="231F20"/>
          <w:spacing w:val="-2"/>
          <w:w w:val="115"/>
          <w:sz w:val="19"/>
        </w:rPr>
        <w:t>Terminology</w:t>
      </w:r>
    </w:p>
    <w:p>
      <w:pPr>
        <w:pStyle w:val="BodyText"/>
        <w:spacing w:line="292" w:lineRule="auto" w:before="60"/>
        <w:ind w:left="920" w:right="666" w:firstLine="340"/>
        <w:jc w:val="both"/>
      </w:pPr>
      <w:r>
        <w:rPr>
          <w:color w:val="231F20"/>
        </w:rPr>
        <w:t>As</w:t>
      </w:r>
      <w:r>
        <w:rPr>
          <w:color w:val="231F20"/>
          <w:spacing w:val="-4"/>
        </w:rPr>
        <w:t> </w:t>
      </w:r>
      <w:r>
        <w:rPr>
          <w:color w:val="231F20"/>
        </w:rPr>
        <w:t>with</w:t>
      </w:r>
      <w:r>
        <w:rPr>
          <w:color w:val="231F20"/>
          <w:spacing w:val="-4"/>
        </w:rPr>
        <w:t> </w:t>
      </w:r>
      <w:r>
        <w:rPr>
          <w:color w:val="231F20"/>
        </w:rPr>
        <w:t>the</w:t>
      </w:r>
      <w:r>
        <w:rPr>
          <w:color w:val="231F20"/>
          <w:spacing w:val="-4"/>
        </w:rPr>
        <w:t> </w:t>
      </w:r>
      <w:r>
        <w:rPr>
          <w:color w:val="231F20"/>
        </w:rPr>
        <w:t>balance</w:t>
      </w:r>
      <w:r>
        <w:rPr>
          <w:color w:val="231F20"/>
          <w:spacing w:val="-4"/>
        </w:rPr>
        <w:t> </w:t>
      </w:r>
      <w:r>
        <w:rPr>
          <w:color w:val="231F20"/>
        </w:rPr>
        <w:t>sheet,</w:t>
      </w:r>
      <w:r>
        <w:rPr>
          <w:color w:val="231F20"/>
          <w:spacing w:val="-4"/>
        </w:rPr>
        <w:t> </w:t>
      </w:r>
      <w:r>
        <w:rPr>
          <w:color w:val="231F20"/>
        </w:rPr>
        <w:t>the</w:t>
      </w:r>
      <w:r>
        <w:rPr>
          <w:color w:val="231F20"/>
          <w:spacing w:val="-4"/>
        </w:rPr>
        <w:t> </w:t>
      </w:r>
      <w:r>
        <w:rPr>
          <w:color w:val="231F20"/>
        </w:rPr>
        <w:t>income</w:t>
      </w:r>
      <w:r>
        <w:rPr>
          <w:color w:val="231F20"/>
          <w:spacing w:val="-4"/>
        </w:rPr>
        <w:t> </w:t>
      </w:r>
      <w:r>
        <w:rPr>
          <w:color w:val="231F20"/>
        </w:rPr>
        <w:t>statement</w:t>
      </w:r>
      <w:r>
        <w:rPr>
          <w:color w:val="231F20"/>
          <w:spacing w:val="-4"/>
        </w:rPr>
        <w:t> </w:t>
      </w:r>
      <w:r>
        <w:rPr>
          <w:color w:val="231F20"/>
        </w:rPr>
        <w:t>has</w:t>
      </w:r>
      <w:r>
        <w:rPr>
          <w:color w:val="231F20"/>
          <w:spacing w:val="-4"/>
        </w:rPr>
        <w:t> </w:t>
      </w:r>
      <w:r>
        <w:rPr>
          <w:color w:val="231F20"/>
        </w:rPr>
        <w:t>several</w:t>
      </w:r>
      <w:r>
        <w:rPr>
          <w:color w:val="231F20"/>
          <w:spacing w:val="-4"/>
        </w:rPr>
        <w:t> </w:t>
      </w:r>
      <w:r>
        <w:rPr>
          <w:color w:val="231F20"/>
        </w:rPr>
        <w:t>note- worthy features. In the income statement, the classifications of ex- penses are extremely important because different types of income are calculated. Each offers a particular insight about Bob’s operating results. Please refer to Bob’s income statement as you read through this terminology section.</w:t>
      </w:r>
    </w:p>
    <w:p>
      <w:pPr>
        <w:pStyle w:val="BodyText"/>
        <w:spacing w:before="1"/>
      </w:pPr>
    </w:p>
    <w:p>
      <w:pPr>
        <w:spacing w:line="292" w:lineRule="auto" w:before="1"/>
        <w:ind w:left="920" w:right="667" w:firstLine="0"/>
        <w:jc w:val="both"/>
        <w:rPr>
          <w:i/>
          <w:sz w:val="21"/>
        </w:rPr>
      </w:pPr>
      <w:r>
        <w:rPr>
          <w:i/>
          <w:color w:val="231F20"/>
          <w:sz w:val="21"/>
        </w:rPr>
        <w:t>Gross Margin. </w:t>
      </w:r>
      <w:r>
        <w:rPr>
          <w:color w:val="231F20"/>
          <w:sz w:val="21"/>
        </w:rPr>
        <w:t>The top part of the income statement calculates </w:t>
      </w:r>
      <w:r>
        <w:rPr>
          <w:i/>
          <w:color w:val="231F20"/>
          <w:sz w:val="21"/>
        </w:rPr>
        <w:t>gross</w:t>
      </w:r>
      <w:r>
        <w:rPr>
          <w:i/>
          <w:color w:val="231F20"/>
          <w:sz w:val="21"/>
        </w:rPr>
        <w:t> </w:t>
      </w:r>
      <w:r>
        <w:rPr>
          <w:i/>
          <w:color w:val="231F20"/>
          <w:spacing w:val="-2"/>
          <w:sz w:val="21"/>
        </w:rPr>
        <w:t>margin.</w:t>
      </w:r>
    </w:p>
    <w:p>
      <w:pPr>
        <w:pStyle w:val="BodyText"/>
        <w:spacing w:before="3"/>
        <w:rPr>
          <w:i/>
          <w:sz w:val="20"/>
        </w:rPr>
      </w:pPr>
    </w:p>
    <w:p>
      <w:pPr>
        <w:pStyle w:val="BodyText"/>
        <w:ind w:left="1460"/>
        <w:rPr>
          <w:rFonts w:ascii="Symbol" w:hAnsi="Symbol"/>
        </w:rPr>
      </w:pPr>
      <w:r>
        <w:rPr>
          <w:color w:val="231F20"/>
          <w:w w:val="105"/>
        </w:rPr>
        <w:t>Gross</w:t>
      </w:r>
      <w:r>
        <w:rPr>
          <w:color w:val="231F20"/>
          <w:spacing w:val="16"/>
          <w:w w:val="105"/>
        </w:rPr>
        <w:t> </w:t>
      </w:r>
      <w:r>
        <w:rPr>
          <w:color w:val="231F20"/>
          <w:w w:val="105"/>
        </w:rPr>
        <w:t>Margin</w:t>
      </w:r>
      <w:r>
        <w:rPr>
          <w:color w:val="231F20"/>
          <w:spacing w:val="16"/>
          <w:w w:val="105"/>
        </w:rPr>
        <w:t> </w:t>
      </w:r>
      <w:r>
        <w:rPr>
          <w:rFonts w:ascii="Symbol" w:hAnsi="Symbol"/>
          <w:color w:val="231F20"/>
          <w:spacing w:val="-10"/>
          <w:w w:val="105"/>
        </w:rPr>
        <w:t></w:t>
      </w:r>
    </w:p>
    <w:p>
      <w:pPr>
        <w:pStyle w:val="BodyText"/>
        <w:tabs>
          <w:tab w:pos="2144" w:val="left" w:leader="none"/>
        </w:tabs>
        <w:spacing w:before="54"/>
        <w:ind w:left="1460"/>
      </w:pPr>
      <w:r>
        <w:rPr/>
        <w:pict>
          <v:rect style="position:absolute;margin-left:115.894676pt;margin-top:9.801547pt;width:4.930940pt;height:.7242pt;mso-position-horizontal-relative:page;mso-position-vertical-relative:paragraph;z-index:-25175552" id="docshape103" filled="true" fillcolor="#231f20" stroked="false">
            <v:fill type="solid"/>
            <w10:wrap type="none"/>
          </v:rect>
        </w:pict>
      </w:r>
      <w:r>
        <w:rPr>
          <w:color w:val="231F20"/>
          <w:spacing w:val="-4"/>
          <w:w w:val="105"/>
        </w:rPr>
        <w:t>Sales</w:t>
      </w:r>
      <w:r>
        <w:rPr>
          <w:color w:val="231F20"/>
        </w:rPr>
        <w:tab/>
      </w:r>
      <w:r>
        <w:rPr>
          <w:color w:val="231F20"/>
          <w:w w:val="105"/>
        </w:rPr>
        <w:t>The</w:t>
      </w:r>
      <w:r>
        <w:rPr>
          <w:color w:val="231F20"/>
          <w:spacing w:val="9"/>
          <w:w w:val="105"/>
        </w:rPr>
        <w:t> </w:t>
      </w:r>
      <w:r>
        <w:rPr>
          <w:color w:val="231F20"/>
          <w:w w:val="105"/>
        </w:rPr>
        <w:t>“Direct”</w:t>
      </w:r>
      <w:r>
        <w:rPr>
          <w:color w:val="231F20"/>
          <w:spacing w:val="9"/>
          <w:w w:val="105"/>
        </w:rPr>
        <w:t> </w:t>
      </w:r>
      <w:r>
        <w:rPr>
          <w:color w:val="231F20"/>
          <w:w w:val="105"/>
        </w:rPr>
        <w:t>Cost</w:t>
      </w:r>
      <w:r>
        <w:rPr>
          <w:color w:val="231F20"/>
          <w:spacing w:val="9"/>
          <w:w w:val="105"/>
        </w:rPr>
        <w:t> </w:t>
      </w:r>
      <w:r>
        <w:rPr>
          <w:color w:val="231F20"/>
          <w:w w:val="105"/>
        </w:rPr>
        <w:t>of</w:t>
      </w:r>
      <w:r>
        <w:rPr>
          <w:color w:val="231F20"/>
          <w:spacing w:val="9"/>
          <w:w w:val="105"/>
        </w:rPr>
        <w:t> </w:t>
      </w:r>
      <w:r>
        <w:rPr>
          <w:color w:val="231F20"/>
          <w:w w:val="105"/>
        </w:rPr>
        <w:t>the</w:t>
      </w:r>
      <w:r>
        <w:rPr>
          <w:color w:val="231F20"/>
          <w:spacing w:val="9"/>
          <w:w w:val="105"/>
        </w:rPr>
        <w:t> </w:t>
      </w:r>
      <w:r>
        <w:rPr>
          <w:color w:val="231F20"/>
          <w:w w:val="105"/>
        </w:rPr>
        <w:t>Goods</w:t>
      </w:r>
      <w:r>
        <w:rPr>
          <w:color w:val="231F20"/>
          <w:spacing w:val="10"/>
          <w:w w:val="105"/>
        </w:rPr>
        <w:t> </w:t>
      </w:r>
      <w:r>
        <w:rPr>
          <w:color w:val="231F20"/>
          <w:w w:val="105"/>
        </w:rPr>
        <w:t>or</w:t>
      </w:r>
      <w:r>
        <w:rPr>
          <w:color w:val="231F20"/>
          <w:spacing w:val="9"/>
          <w:w w:val="105"/>
        </w:rPr>
        <w:t> </w:t>
      </w:r>
      <w:r>
        <w:rPr>
          <w:color w:val="231F20"/>
          <w:w w:val="105"/>
        </w:rPr>
        <w:t>Services</w:t>
      </w:r>
      <w:r>
        <w:rPr>
          <w:color w:val="231F20"/>
          <w:spacing w:val="9"/>
          <w:w w:val="105"/>
        </w:rPr>
        <w:t> </w:t>
      </w:r>
      <w:r>
        <w:rPr>
          <w:color w:val="231F20"/>
          <w:spacing w:val="-4"/>
          <w:w w:val="105"/>
        </w:rPr>
        <w:t>Sold</w:t>
      </w:r>
    </w:p>
    <w:p>
      <w:pPr>
        <w:pStyle w:val="BodyText"/>
        <w:spacing w:before="1"/>
        <w:rPr>
          <w:sz w:val="30"/>
        </w:rPr>
      </w:pPr>
    </w:p>
    <w:p>
      <w:pPr>
        <w:pStyle w:val="BodyText"/>
        <w:spacing w:line="292" w:lineRule="auto" w:before="1"/>
        <w:ind w:left="920" w:right="666" w:firstLine="340"/>
        <w:jc w:val="both"/>
      </w:pPr>
      <w:r>
        <w:rPr>
          <w:color w:val="231F20"/>
        </w:rPr>
        <w:t>At this point, the reader can determine if the company is mak-</w:t>
      </w:r>
      <w:r>
        <w:rPr>
          <w:color w:val="231F20"/>
          <w:spacing w:val="80"/>
        </w:rPr>
        <w:t> </w:t>
      </w:r>
      <w:r>
        <w:rPr>
          <w:color w:val="231F20"/>
        </w:rPr>
        <w:t>ing a profit without considering the burden of corporate expenses.</w:t>
      </w:r>
      <w:r>
        <w:rPr>
          <w:color w:val="231F20"/>
          <w:spacing w:val="80"/>
        </w:rPr>
        <w:t> </w:t>
      </w:r>
      <w:r>
        <w:rPr>
          <w:color w:val="231F20"/>
        </w:rPr>
        <w:t>At</w:t>
      </w:r>
      <w:r>
        <w:rPr>
          <w:color w:val="231F20"/>
          <w:spacing w:val="31"/>
        </w:rPr>
        <w:t> </w:t>
      </w:r>
      <w:r>
        <w:rPr>
          <w:color w:val="231F20"/>
        </w:rPr>
        <w:t>Bob’s</w:t>
      </w:r>
      <w:r>
        <w:rPr>
          <w:color w:val="231F20"/>
          <w:spacing w:val="31"/>
        </w:rPr>
        <w:t> </w:t>
      </w:r>
      <w:r>
        <w:rPr>
          <w:color w:val="231F20"/>
        </w:rPr>
        <w:t>Market</w:t>
      </w:r>
      <w:r>
        <w:rPr>
          <w:color w:val="231F20"/>
          <w:spacing w:val="31"/>
        </w:rPr>
        <w:t> </w:t>
      </w:r>
      <w:r>
        <w:rPr>
          <w:color w:val="231F20"/>
        </w:rPr>
        <w:t>gross</w:t>
      </w:r>
      <w:r>
        <w:rPr>
          <w:color w:val="231F20"/>
          <w:spacing w:val="32"/>
        </w:rPr>
        <w:t> </w:t>
      </w:r>
      <w:r>
        <w:rPr>
          <w:color w:val="231F20"/>
        </w:rPr>
        <w:t>margin</w:t>
      </w:r>
      <w:r>
        <w:rPr>
          <w:color w:val="231F20"/>
          <w:spacing w:val="31"/>
        </w:rPr>
        <w:t> </w:t>
      </w:r>
      <w:r>
        <w:rPr>
          <w:color w:val="231F20"/>
        </w:rPr>
        <w:t>was</w:t>
      </w:r>
      <w:r>
        <w:rPr>
          <w:color w:val="231F20"/>
          <w:spacing w:val="31"/>
        </w:rPr>
        <w:t> </w:t>
      </w:r>
      <w:r>
        <w:rPr>
          <w:color w:val="231F20"/>
        </w:rPr>
        <w:t>his</w:t>
      </w:r>
      <w:r>
        <w:rPr>
          <w:color w:val="231F20"/>
          <w:spacing w:val="32"/>
        </w:rPr>
        <w:t> </w:t>
      </w:r>
      <w:r>
        <w:rPr>
          <w:color w:val="231F20"/>
        </w:rPr>
        <w:t>sales</w:t>
      </w:r>
      <w:r>
        <w:rPr>
          <w:color w:val="231F20"/>
          <w:spacing w:val="31"/>
        </w:rPr>
        <w:t> </w:t>
      </w:r>
      <w:r>
        <w:rPr>
          <w:color w:val="231F20"/>
        </w:rPr>
        <w:t>less</w:t>
      </w:r>
      <w:r>
        <w:rPr>
          <w:color w:val="231F20"/>
          <w:spacing w:val="31"/>
        </w:rPr>
        <w:t> </w:t>
      </w:r>
      <w:r>
        <w:rPr>
          <w:color w:val="231F20"/>
        </w:rPr>
        <w:t>the</w:t>
      </w:r>
      <w:r>
        <w:rPr>
          <w:color w:val="231F20"/>
          <w:spacing w:val="31"/>
        </w:rPr>
        <w:t> </w:t>
      </w:r>
      <w:r>
        <w:rPr>
          <w:color w:val="231F20"/>
        </w:rPr>
        <w:t>cost</w:t>
      </w:r>
      <w:r>
        <w:rPr>
          <w:color w:val="231F20"/>
          <w:spacing w:val="32"/>
        </w:rPr>
        <w:t> </w:t>
      </w:r>
      <w:r>
        <w:rPr>
          <w:color w:val="231F20"/>
        </w:rPr>
        <w:t>of</w:t>
      </w:r>
      <w:r>
        <w:rPr>
          <w:color w:val="231F20"/>
          <w:spacing w:val="31"/>
        </w:rPr>
        <w:t> </w:t>
      </w:r>
      <w:r>
        <w:rPr>
          <w:color w:val="231F20"/>
          <w:spacing w:val="-2"/>
        </w:rPr>
        <w:t>goods</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3"/>
        <w:jc w:val="both"/>
      </w:pPr>
      <w:r>
        <w:rPr>
          <w:color w:val="231F20"/>
        </w:rPr>
        <w:t>sold (COGS). COGS includes the cost of groceries and all costs “directly” related to making the groceries salable, such as the cost </w:t>
      </w:r>
      <w:r>
        <w:rPr>
          <w:color w:val="231F20"/>
        </w:rPr>
        <w:t>of shipment from the wholesaler. In a manufacturing company it in- cludes the costs of production, materials, and labor. In a simple re- tail</w:t>
      </w:r>
      <w:r>
        <w:rPr>
          <w:color w:val="231F20"/>
          <w:spacing w:val="40"/>
        </w:rPr>
        <w:t> </w:t>
      </w:r>
      <w:r>
        <w:rPr>
          <w:color w:val="231F20"/>
        </w:rPr>
        <w:t>situation</w:t>
      </w:r>
      <w:r>
        <w:rPr>
          <w:color w:val="231F20"/>
          <w:spacing w:val="40"/>
        </w:rPr>
        <w:t> </w:t>
      </w:r>
      <w:r>
        <w:rPr>
          <w:color w:val="231F20"/>
        </w:rPr>
        <w:t>like</w:t>
      </w:r>
      <w:r>
        <w:rPr>
          <w:color w:val="231F20"/>
          <w:spacing w:val="40"/>
        </w:rPr>
        <w:t> </w:t>
      </w:r>
      <w:r>
        <w:rPr>
          <w:color w:val="231F20"/>
        </w:rPr>
        <w:t>Bob’s,</w:t>
      </w:r>
      <w:r>
        <w:rPr>
          <w:color w:val="231F20"/>
          <w:spacing w:val="40"/>
        </w:rPr>
        <w:t> </w:t>
      </w:r>
      <w:r>
        <w:rPr>
          <w:color w:val="231F20"/>
        </w:rPr>
        <w:t>COGS</w:t>
      </w:r>
      <w:r>
        <w:rPr>
          <w:color w:val="231F20"/>
          <w:spacing w:val="40"/>
        </w:rPr>
        <w:t> </w:t>
      </w:r>
      <w:r>
        <w:rPr>
          <w:color w:val="231F20"/>
        </w:rPr>
        <w:t>is</w:t>
      </w:r>
      <w:r>
        <w:rPr>
          <w:color w:val="231F20"/>
          <w:spacing w:val="40"/>
        </w:rPr>
        <w:t> </w:t>
      </w:r>
      <w:r>
        <w:rPr>
          <w:color w:val="231F20"/>
        </w:rPr>
        <w:t>calculated</w:t>
      </w:r>
      <w:r>
        <w:rPr>
          <w:color w:val="231F20"/>
          <w:spacing w:val="40"/>
        </w:rPr>
        <w:t> </w:t>
      </w:r>
      <w:r>
        <w:rPr>
          <w:color w:val="231F20"/>
        </w:rPr>
        <w:t>by</w:t>
      </w:r>
      <w:r>
        <w:rPr>
          <w:color w:val="231F20"/>
          <w:spacing w:val="40"/>
        </w:rPr>
        <w:t> </w:t>
      </w:r>
      <w:r>
        <w:rPr>
          <w:color w:val="231F20"/>
        </w:rPr>
        <w:t>this</w:t>
      </w:r>
      <w:r>
        <w:rPr>
          <w:color w:val="231F20"/>
          <w:spacing w:val="40"/>
        </w:rPr>
        <w:t> </w:t>
      </w:r>
      <w:r>
        <w:rPr>
          <w:color w:val="231F20"/>
        </w:rPr>
        <w:t>formula:</w:t>
      </w:r>
    </w:p>
    <w:p>
      <w:pPr>
        <w:pStyle w:val="BodyText"/>
        <w:spacing w:before="5"/>
        <w:rPr>
          <w:sz w:val="24"/>
        </w:rPr>
      </w:pPr>
    </w:p>
    <w:p>
      <w:pPr>
        <w:pStyle w:val="BodyText"/>
        <w:tabs>
          <w:tab w:pos="4894" w:val="left" w:leader="none"/>
        </w:tabs>
        <w:ind w:left="1169"/>
        <w:rPr>
          <w:rFonts w:ascii="Symbol" w:hAnsi="Symbol"/>
        </w:rPr>
      </w:pPr>
      <w:r>
        <w:rPr/>
        <w:pict>
          <v:rect style="position:absolute;margin-left:253.363052pt;margin-top:7.680896pt;width:4.930940pt;height:.7242pt;mso-position-horizontal-relative:page;mso-position-vertical-relative:paragraph;z-index:-25175040" id="docshape104" filled="true" fillcolor="#231f20" stroked="false">
            <v:fill type="solid"/>
            <w10:wrap type="none"/>
          </v:rect>
        </w:pict>
      </w:r>
      <w:r>
        <w:rPr>
          <w:color w:val="231F20"/>
        </w:rPr>
        <w:t>Beginning</w:t>
      </w:r>
      <w:r>
        <w:rPr>
          <w:color w:val="231F20"/>
          <w:spacing w:val="19"/>
        </w:rPr>
        <w:t> </w:t>
      </w:r>
      <w:r>
        <w:rPr>
          <w:color w:val="231F20"/>
        </w:rPr>
        <w:t>Inventory</w:t>
      </w:r>
      <w:r>
        <w:rPr>
          <w:color w:val="231F20"/>
          <w:spacing w:val="19"/>
        </w:rPr>
        <w:t> </w:t>
      </w:r>
      <w:r>
        <w:rPr>
          <w:rFonts w:ascii="Symbol" w:hAnsi="Symbol"/>
          <w:color w:val="231F20"/>
        </w:rPr>
        <w:t></w:t>
      </w:r>
      <w:r>
        <w:rPr>
          <w:rFonts w:ascii="Times New Roman" w:hAnsi="Times New Roman"/>
          <w:color w:val="231F20"/>
          <w:spacing w:val="14"/>
        </w:rPr>
        <w:t> </w:t>
      </w:r>
      <w:r>
        <w:rPr>
          <w:color w:val="231F20"/>
        </w:rPr>
        <w:t>New</w:t>
      </w:r>
      <w:r>
        <w:rPr>
          <w:color w:val="231F20"/>
          <w:spacing w:val="19"/>
        </w:rPr>
        <w:t> </w:t>
      </w:r>
      <w:r>
        <w:rPr>
          <w:color w:val="231F20"/>
          <w:spacing w:val="-2"/>
        </w:rPr>
        <w:t>Purchases</w:t>
      </w:r>
      <w:r>
        <w:rPr>
          <w:color w:val="231F20"/>
        </w:rPr>
        <w:tab/>
        <w:t>Ending</w:t>
      </w:r>
      <w:r>
        <w:rPr>
          <w:color w:val="231F20"/>
          <w:spacing w:val="18"/>
        </w:rPr>
        <w:t> </w:t>
      </w:r>
      <w:r>
        <w:rPr>
          <w:color w:val="231F20"/>
        </w:rPr>
        <w:t>Inventory</w:t>
      </w:r>
      <w:r>
        <w:rPr>
          <w:color w:val="231F20"/>
          <w:spacing w:val="18"/>
        </w:rPr>
        <w:t> </w:t>
      </w:r>
      <w:r>
        <w:rPr>
          <w:rFonts w:ascii="Symbol" w:hAnsi="Symbol"/>
          <w:color w:val="231F20"/>
          <w:spacing w:val="-10"/>
        </w:rPr>
        <w:t></w:t>
      </w:r>
    </w:p>
    <w:p>
      <w:pPr>
        <w:pStyle w:val="BodyText"/>
        <w:spacing w:before="54"/>
        <w:ind w:left="1190"/>
      </w:pPr>
      <w:r>
        <w:rPr>
          <w:color w:val="231F20"/>
          <w:w w:val="105"/>
        </w:rPr>
        <w:t>Cost</w:t>
      </w:r>
      <w:r>
        <w:rPr>
          <w:color w:val="231F20"/>
          <w:spacing w:val="20"/>
          <w:w w:val="105"/>
        </w:rPr>
        <w:t> </w:t>
      </w:r>
      <w:r>
        <w:rPr>
          <w:color w:val="231F20"/>
          <w:w w:val="105"/>
        </w:rPr>
        <w:t>of</w:t>
      </w:r>
      <w:r>
        <w:rPr>
          <w:color w:val="231F20"/>
          <w:spacing w:val="21"/>
          <w:w w:val="105"/>
        </w:rPr>
        <w:t> </w:t>
      </w:r>
      <w:r>
        <w:rPr>
          <w:color w:val="231F20"/>
          <w:w w:val="105"/>
        </w:rPr>
        <w:t>Goods</w:t>
      </w:r>
      <w:r>
        <w:rPr>
          <w:color w:val="231F20"/>
          <w:spacing w:val="21"/>
          <w:w w:val="105"/>
        </w:rPr>
        <w:t> </w:t>
      </w:r>
      <w:r>
        <w:rPr>
          <w:color w:val="231F20"/>
          <w:spacing w:val="-4"/>
          <w:w w:val="105"/>
        </w:rPr>
        <w:t>Sold</w:t>
      </w:r>
    </w:p>
    <w:p>
      <w:pPr>
        <w:pStyle w:val="BodyText"/>
        <w:spacing w:before="2"/>
        <w:rPr>
          <w:sz w:val="30"/>
        </w:rPr>
      </w:pPr>
    </w:p>
    <w:p>
      <w:pPr>
        <w:pStyle w:val="BodyText"/>
        <w:spacing w:line="292" w:lineRule="auto"/>
        <w:ind w:left="830" w:right="756" w:firstLine="340"/>
        <w:jc w:val="both"/>
      </w:pPr>
      <w:r>
        <w:rPr>
          <w:color w:val="231F20"/>
        </w:rPr>
        <w:t>If a business has a negative gross margin, either costs are out </w:t>
      </w:r>
      <w:r>
        <w:rPr>
          <w:color w:val="231F20"/>
        </w:rPr>
        <w:t>of control, or the pricing structure of the industry does not afford the company a profit. A small electronics manufacturer would en- counter this situation if it tried to compete with the Japanese DVD manufacturers Sony, Hitachi, and Panasonic. A small U.S. manufac- turer could not be as efficient and could not charge a higher price to cover its higher costs of production.</w:t>
      </w:r>
    </w:p>
    <w:p>
      <w:pPr>
        <w:pStyle w:val="BodyText"/>
        <w:spacing w:line="292" w:lineRule="auto"/>
        <w:ind w:left="830" w:right="756" w:firstLine="340"/>
        <w:jc w:val="both"/>
      </w:pPr>
      <w:r>
        <w:rPr>
          <w:i/>
          <w:color w:val="231F20"/>
        </w:rPr>
        <w:t>Operating Profit. </w:t>
      </w:r>
      <w:r>
        <w:rPr>
          <w:color w:val="231F20"/>
        </w:rPr>
        <w:t>The next part of the income statement </w:t>
      </w:r>
      <w:r>
        <w:rPr>
          <w:color w:val="231F20"/>
        </w:rPr>
        <w:t>relates</w:t>
      </w:r>
      <w:r>
        <w:rPr>
          <w:color w:val="231F20"/>
          <w:spacing w:val="80"/>
          <w:w w:val="150"/>
        </w:rPr>
        <w:t> </w:t>
      </w:r>
      <w:r>
        <w:rPr>
          <w:color w:val="231F20"/>
        </w:rPr>
        <w:t>to the </w:t>
      </w:r>
      <w:r>
        <w:rPr>
          <w:i/>
          <w:color w:val="231F20"/>
        </w:rPr>
        <w:t>operating profit </w:t>
      </w:r>
      <w:r>
        <w:rPr>
          <w:color w:val="231F20"/>
        </w:rPr>
        <w:t>of the company, the earnings before interest and taxes (EBIT). The further we move down the income statement, the more expenses that are deducted. At the operating level of profit measurement, all the other corporate expenses</w:t>
      </w:r>
      <w:r>
        <w:rPr>
          <w:color w:val="231F20"/>
          <w:spacing w:val="-2"/>
        </w:rPr>
        <w:t> </w:t>
      </w:r>
      <w:r>
        <w:rPr>
          <w:i/>
          <w:color w:val="231F20"/>
        </w:rPr>
        <w:t>directly</w:t>
      </w:r>
      <w:r>
        <w:rPr>
          <w:i/>
          <w:color w:val="231F20"/>
          <w:spacing w:val="-1"/>
        </w:rPr>
        <w:t> </w:t>
      </w:r>
      <w:r>
        <w:rPr>
          <w:color w:val="231F20"/>
        </w:rPr>
        <w:t>related to the revenue process are deducted. In Bob’s case he has employee wages, rent, utilities, advertising, and many other smaller items.</w:t>
      </w:r>
    </w:p>
    <w:p>
      <w:pPr>
        <w:pStyle w:val="BodyText"/>
        <w:spacing w:line="292" w:lineRule="auto"/>
        <w:ind w:left="830" w:right="753" w:firstLine="339"/>
        <w:jc w:val="both"/>
      </w:pPr>
      <w:r>
        <w:rPr>
          <w:color w:val="231F20"/>
        </w:rPr>
        <w:t>Accrual accounting dictates that the </w:t>
      </w:r>
      <w:r>
        <w:rPr>
          <w:i/>
          <w:color w:val="231F20"/>
        </w:rPr>
        <w:t>allocated cost of fixed as-</w:t>
      </w:r>
      <w:r>
        <w:rPr>
          <w:i/>
          <w:color w:val="231F20"/>
          <w:spacing w:val="80"/>
        </w:rPr>
        <w:t> </w:t>
      </w:r>
      <w:r>
        <w:rPr>
          <w:i/>
          <w:color w:val="231F20"/>
        </w:rPr>
        <w:t>sets, </w:t>
      </w:r>
      <w:r>
        <w:rPr>
          <w:color w:val="231F20"/>
        </w:rPr>
        <w:t>also called </w:t>
      </w:r>
      <w:r>
        <w:rPr>
          <w:i/>
          <w:color w:val="231F20"/>
        </w:rPr>
        <w:t>depreciation </w:t>
      </w:r>
      <w:r>
        <w:rPr>
          <w:color w:val="231F20"/>
        </w:rPr>
        <w:t>or </w:t>
      </w:r>
      <w:r>
        <w:rPr>
          <w:i/>
          <w:color w:val="231F20"/>
        </w:rPr>
        <w:t>amortization, </w:t>
      </w:r>
      <w:r>
        <w:rPr>
          <w:color w:val="231F20"/>
        </w:rPr>
        <w:t>be charged to earn-</w:t>
      </w:r>
      <w:r>
        <w:rPr>
          <w:color w:val="231F20"/>
          <w:spacing w:val="40"/>
        </w:rPr>
        <w:t> </w:t>
      </w:r>
      <w:r>
        <w:rPr>
          <w:color w:val="231F20"/>
        </w:rPr>
        <w:t>ings. Using the principle of </w:t>
      </w:r>
      <w:r>
        <w:rPr>
          <w:i/>
          <w:color w:val="231F20"/>
        </w:rPr>
        <w:t>matching, </w:t>
      </w:r>
      <w:r>
        <w:rPr>
          <w:color w:val="231F20"/>
        </w:rPr>
        <w:t>the cost of providing the company’s products is matched with its related revenues of the pe- riod. Accountants divide the cost of equipment, tools, buildings, </w:t>
      </w:r>
      <w:r>
        <w:rPr>
          <w:color w:val="231F20"/>
        </w:rPr>
        <w:t>and other fixed assets by their </w:t>
      </w:r>
      <w:r>
        <w:rPr>
          <w:i/>
          <w:color w:val="231F20"/>
        </w:rPr>
        <w:t>useful lives </w:t>
      </w:r>
      <w:r>
        <w:rPr>
          <w:color w:val="231F20"/>
        </w:rPr>
        <w:t>to estimate the cost of using up assets needed in the revenue-generating process. In Bob’s case, he spent $30,000 for shelves, carts, and cash registers. Because he esti- mated that they will last ten years, Bob’s income statement will show an expense of $3,000 ($30,000/10) each year </w:t>
      </w:r>
      <w:r>
        <w:rPr>
          <w:i/>
          <w:color w:val="231F20"/>
        </w:rPr>
        <w:t>to match and allocate</w:t>
      </w:r>
      <w:r>
        <w:rPr>
          <w:i/>
          <w:color w:val="231F20"/>
        </w:rPr>
        <w:t> </w:t>
      </w:r>
      <w:r>
        <w:rPr>
          <w:color w:val="231F20"/>
        </w:rPr>
        <w:t>the cost of using those assets with the period of sales benefited. A measure of profitability that many analysts calculate is EBITDA, earnings before interest, taxes, depreciation, and amortization.</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3" w:firstLine="340"/>
        <w:jc w:val="both"/>
      </w:pPr>
      <w:r>
        <w:rPr>
          <w:color w:val="231F20"/>
        </w:rPr>
        <w:t>“Other expenses” is a catchall category for items not large</w:t>
      </w:r>
      <w:r>
        <w:rPr>
          <w:color w:val="231F20"/>
          <w:spacing w:val="80"/>
        </w:rPr>
        <w:t> </w:t>
      </w:r>
      <w:r>
        <w:rPr>
          <w:color w:val="231F20"/>
        </w:rPr>
        <w:t>enough to justify a separate line on the income statement. On </w:t>
      </w:r>
      <w:r>
        <w:rPr>
          <w:color w:val="231F20"/>
        </w:rPr>
        <w:t>Bob’s income statement it includes fixing those annoying stuck wheels on his shopping carts and the losses on bad checks.</w:t>
      </w:r>
    </w:p>
    <w:p>
      <w:pPr>
        <w:pStyle w:val="BodyText"/>
        <w:spacing w:line="292" w:lineRule="auto"/>
        <w:ind w:left="919" w:right="664" w:firstLine="340"/>
        <w:jc w:val="both"/>
      </w:pPr>
      <w:r>
        <w:rPr>
          <w:i/>
          <w:color w:val="231F20"/>
        </w:rPr>
        <w:t>Net Income. </w:t>
      </w:r>
      <w:r>
        <w:rPr>
          <w:color w:val="231F20"/>
        </w:rPr>
        <w:t>Below the </w:t>
      </w:r>
      <w:r>
        <w:rPr>
          <w:i/>
          <w:color w:val="231F20"/>
        </w:rPr>
        <w:t>operational </w:t>
      </w:r>
      <w:r>
        <w:rPr>
          <w:color w:val="231F20"/>
        </w:rPr>
        <w:t>level of profit, items not di- rectly linked to operations are deducted to calculate income. The</w:t>
      </w:r>
      <w:r>
        <w:rPr>
          <w:color w:val="231F20"/>
          <w:spacing w:val="80"/>
        </w:rPr>
        <w:t> </w:t>
      </w:r>
      <w:r>
        <w:rPr>
          <w:color w:val="231F20"/>
        </w:rPr>
        <w:t>first is the interest expense for the period. A case can be made that corporate borrowing is used to support the operation. However, </w:t>
      </w:r>
      <w:r>
        <w:rPr>
          <w:color w:val="231F20"/>
        </w:rPr>
        <w:t>the method of financing the company is separate from the operating ac- tivities of the business. Accountants do not include interest in oper- ating income, because companies in similar businesses may have been funded by using differing proportions of bank borrowing and investors’ money. Investors’ dividends are not deducted. Owners pay dividends out of the net income at the bottom of the statement.</w:t>
      </w:r>
    </w:p>
    <w:p>
      <w:pPr>
        <w:pStyle w:val="BodyText"/>
        <w:spacing w:line="292" w:lineRule="auto"/>
        <w:ind w:left="919" w:right="666" w:firstLine="340"/>
        <w:jc w:val="both"/>
      </w:pPr>
      <w:r>
        <w:rPr>
          <w:color w:val="231F20"/>
        </w:rPr>
        <w:t>If interest were to be included in </w:t>
      </w:r>
      <w:r>
        <w:rPr>
          <w:i/>
          <w:color w:val="231F20"/>
        </w:rPr>
        <w:t>operating income, </w:t>
      </w:r>
      <w:r>
        <w:rPr>
          <w:color w:val="231F20"/>
        </w:rPr>
        <w:t>similar com- panies could have vastly differing operating incomes just by the </w:t>
      </w:r>
      <w:r>
        <w:rPr>
          <w:color w:val="231F20"/>
        </w:rPr>
        <w:t>way they funded their cash needs. A company under a different manage- ment could fund all its cash needs by additional investments from its owners. These funds would incur no interest charges, and, therefore, the company’s operating income would be higher. If the same com- pany borrowed for all its needs, its operating income would be re- duced by the interest expenses. By segregating interest expenses, the operating income reflects only the costs of “operating” the company, rather than “financing” it.</w:t>
      </w:r>
    </w:p>
    <w:p>
      <w:pPr>
        <w:pStyle w:val="BodyText"/>
        <w:spacing w:line="292" w:lineRule="auto"/>
        <w:ind w:left="919" w:right="666" w:firstLine="340"/>
        <w:jc w:val="both"/>
      </w:pPr>
      <w:r>
        <w:rPr>
          <w:color w:val="231F20"/>
        </w:rPr>
        <w:t>Using the same logic that excluded interest from operating in- come, tax expenses are segregated to leave operating income free </w:t>
      </w:r>
      <w:r>
        <w:rPr>
          <w:color w:val="231F20"/>
        </w:rPr>
        <w:t>of nonoperating expenses. Different tax strategies can result in greatly different tax expenses. Because taxes are often the product of a skilled tax accountant’s pen instead of operating results, tax ex- penses are put below operating results as a separate deduction, leav- ing </w:t>
      </w:r>
      <w:r>
        <w:rPr>
          <w:i/>
          <w:color w:val="231F20"/>
        </w:rPr>
        <w:t>net income </w:t>
      </w:r>
      <w:r>
        <w:rPr>
          <w:color w:val="231F20"/>
        </w:rPr>
        <w:t>as the </w:t>
      </w:r>
      <w:r>
        <w:rPr>
          <w:i/>
          <w:color w:val="231F20"/>
        </w:rPr>
        <w:t>final </w:t>
      </w:r>
      <w:r>
        <w:rPr>
          <w:color w:val="231F20"/>
        </w:rPr>
        <w:t>measure of income. Net income is the bottom-line profit of the company, and it is the figure that is re- ported in the media as the measure of success or failure.</w:t>
      </w:r>
    </w:p>
    <w:p>
      <w:pPr>
        <w:pStyle w:val="BodyText"/>
        <w:spacing w:before="4"/>
        <w:rPr>
          <w:sz w:val="26"/>
        </w:rPr>
      </w:pPr>
    </w:p>
    <w:p>
      <w:pPr>
        <w:spacing w:before="0"/>
        <w:ind w:left="1260" w:right="0" w:firstLine="0"/>
        <w:jc w:val="left"/>
        <w:rPr>
          <w:rFonts w:ascii="Arial"/>
          <w:i/>
          <w:sz w:val="19"/>
        </w:rPr>
      </w:pPr>
      <w:r>
        <w:rPr>
          <w:rFonts w:ascii="Arial"/>
          <w:i/>
          <w:color w:val="231F20"/>
          <w:w w:val="115"/>
          <w:sz w:val="19"/>
        </w:rPr>
        <w:t>How</w:t>
      </w:r>
      <w:r>
        <w:rPr>
          <w:rFonts w:ascii="Arial"/>
          <w:i/>
          <w:color w:val="231F20"/>
          <w:spacing w:val="-15"/>
          <w:w w:val="115"/>
          <w:sz w:val="19"/>
        </w:rPr>
        <w:t> </w:t>
      </w:r>
      <w:r>
        <w:rPr>
          <w:rFonts w:ascii="Arial"/>
          <w:i/>
          <w:color w:val="231F20"/>
          <w:w w:val="115"/>
          <w:sz w:val="19"/>
        </w:rPr>
        <w:t>Income</w:t>
      </w:r>
      <w:r>
        <w:rPr>
          <w:rFonts w:ascii="Arial"/>
          <w:i/>
          <w:color w:val="231F20"/>
          <w:spacing w:val="-14"/>
          <w:w w:val="115"/>
          <w:sz w:val="19"/>
        </w:rPr>
        <w:t> </w:t>
      </w:r>
      <w:r>
        <w:rPr>
          <w:rFonts w:ascii="Arial"/>
          <w:i/>
          <w:color w:val="231F20"/>
          <w:w w:val="115"/>
          <w:sz w:val="19"/>
        </w:rPr>
        <w:t>Statement</w:t>
      </w:r>
      <w:r>
        <w:rPr>
          <w:rFonts w:ascii="Arial"/>
          <w:i/>
          <w:color w:val="231F20"/>
          <w:spacing w:val="-15"/>
          <w:w w:val="115"/>
          <w:sz w:val="19"/>
        </w:rPr>
        <w:t> </w:t>
      </w:r>
      <w:r>
        <w:rPr>
          <w:rFonts w:ascii="Arial"/>
          <w:i/>
          <w:color w:val="231F20"/>
          <w:w w:val="115"/>
          <w:sz w:val="19"/>
        </w:rPr>
        <w:t>Journal</w:t>
      </w:r>
      <w:r>
        <w:rPr>
          <w:rFonts w:ascii="Arial"/>
          <w:i/>
          <w:color w:val="231F20"/>
          <w:spacing w:val="-14"/>
          <w:w w:val="115"/>
          <w:sz w:val="19"/>
        </w:rPr>
        <w:t> </w:t>
      </w:r>
      <w:r>
        <w:rPr>
          <w:rFonts w:ascii="Arial"/>
          <w:i/>
          <w:color w:val="231F20"/>
          <w:w w:val="115"/>
          <w:sz w:val="19"/>
        </w:rPr>
        <w:t>Entries</w:t>
      </w:r>
      <w:r>
        <w:rPr>
          <w:rFonts w:ascii="Arial"/>
          <w:i/>
          <w:color w:val="231F20"/>
          <w:spacing w:val="-14"/>
          <w:w w:val="115"/>
          <w:sz w:val="19"/>
        </w:rPr>
        <w:t> </w:t>
      </w:r>
      <w:r>
        <w:rPr>
          <w:rFonts w:ascii="Arial"/>
          <w:i/>
          <w:color w:val="231F20"/>
          <w:w w:val="115"/>
          <w:sz w:val="19"/>
        </w:rPr>
        <w:t>Are</w:t>
      </w:r>
      <w:r>
        <w:rPr>
          <w:rFonts w:ascii="Arial"/>
          <w:i/>
          <w:color w:val="231F20"/>
          <w:spacing w:val="-15"/>
          <w:w w:val="115"/>
          <w:sz w:val="19"/>
        </w:rPr>
        <w:t> </w:t>
      </w:r>
      <w:r>
        <w:rPr>
          <w:rFonts w:ascii="Arial"/>
          <w:i/>
          <w:color w:val="231F20"/>
          <w:spacing w:val="-4"/>
          <w:w w:val="115"/>
          <w:sz w:val="19"/>
        </w:rPr>
        <w:t>Made</w:t>
      </w:r>
    </w:p>
    <w:p>
      <w:pPr>
        <w:pStyle w:val="BodyText"/>
        <w:spacing w:before="60"/>
        <w:ind w:left="1260"/>
      </w:pPr>
      <w:r>
        <w:rPr>
          <w:color w:val="231F20"/>
        </w:rPr>
        <w:t>In</w:t>
      </w:r>
      <w:r>
        <w:rPr>
          <w:color w:val="231F20"/>
          <w:spacing w:val="29"/>
        </w:rPr>
        <w:t> </w:t>
      </w:r>
      <w:r>
        <w:rPr>
          <w:color w:val="231F20"/>
        </w:rPr>
        <w:t>keeping</w:t>
      </w:r>
      <w:r>
        <w:rPr>
          <w:color w:val="231F20"/>
          <w:spacing w:val="30"/>
        </w:rPr>
        <w:t> </w:t>
      </w:r>
      <w:r>
        <w:rPr>
          <w:color w:val="231F20"/>
        </w:rPr>
        <w:t>with</w:t>
      </w:r>
      <w:r>
        <w:rPr>
          <w:color w:val="231F20"/>
          <w:spacing w:val="30"/>
        </w:rPr>
        <w:t> </w:t>
      </w:r>
      <w:r>
        <w:rPr>
          <w:color w:val="231F20"/>
        </w:rPr>
        <w:t>their</w:t>
      </w:r>
      <w:r>
        <w:rPr>
          <w:color w:val="231F20"/>
          <w:spacing w:val="30"/>
        </w:rPr>
        <w:t> </w:t>
      </w:r>
      <w:r>
        <w:rPr>
          <w:color w:val="231F20"/>
        </w:rPr>
        <w:t>age-old</w:t>
      </w:r>
      <w:r>
        <w:rPr>
          <w:color w:val="231F20"/>
          <w:spacing w:val="30"/>
        </w:rPr>
        <w:t> </w:t>
      </w:r>
      <w:r>
        <w:rPr>
          <w:color w:val="231F20"/>
        </w:rPr>
        <w:t>duty</w:t>
      </w:r>
      <w:r>
        <w:rPr>
          <w:color w:val="231F20"/>
          <w:spacing w:val="29"/>
        </w:rPr>
        <w:t> </w:t>
      </w:r>
      <w:r>
        <w:rPr>
          <w:color w:val="231F20"/>
        </w:rPr>
        <w:t>to</w:t>
      </w:r>
      <w:r>
        <w:rPr>
          <w:color w:val="231F20"/>
          <w:spacing w:val="30"/>
        </w:rPr>
        <w:t> </w:t>
      </w:r>
      <w:r>
        <w:rPr>
          <w:color w:val="231F20"/>
        </w:rPr>
        <w:t>count</w:t>
      </w:r>
      <w:r>
        <w:rPr>
          <w:color w:val="231F20"/>
          <w:spacing w:val="30"/>
        </w:rPr>
        <w:t> </w:t>
      </w:r>
      <w:r>
        <w:rPr>
          <w:color w:val="231F20"/>
        </w:rPr>
        <w:t>the</w:t>
      </w:r>
      <w:r>
        <w:rPr>
          <w:color w:val="231F20"/>
          <w:spacing w:val="30"/>
        </w:rPr>
        <w:t> </w:t>
      </w:r>
      <w:r>
        <w:rPr>
          <w:color w:val="231F20"/>
        </w:rPr>
        <w:t>beans,</w:t>
      </w:r>
      <w:r>
        <w:rPr>
          <w:color w:val="231F20"/>
          <w:spacing w:val="30"/>
        </w:rPr>
        <w:t> </w:t>
      </w:r>
      <w:r>
        <w:rPr>
          <w:color w:val="231F20"/>
          <w:spacing w:val="-2"/>
        </w:rPr>
        <w:t>accoun-</w:t>
      </w:r>
    </w:p>
    <w:p>
      <w:pPr>
        <w:spacing w:after="0"/>
        <w:sectPr>
          <w:pgSz w:w="8640" w:h="12960"/>
          <w:pgMar w:header="734" w:footer="0" w:top="920" w:bottom="280" w:left="340" w:right="500"/>
        </w:sectPr>
      </w:pPr>
    </w:p>
    <w:p>
      <w:pPr>
        <w:pStyle w:val="BodyText"/>
        <w:spacing w:before="8"/>
        <w:rPr>
          <w:sz w:val="17"/>
        </w:rPr>
      </w:pPr>
    </w:p>
    <w:p>
      <w:pPr>
        <w:spacing w:before="93"/>
        <w:ind w:left="294" w:right="219" w:firstLine="0"/>
        <w:jc w:val="center"/>
        <w:rPr>
          <w:b/>
          <w:sz w:val="20"/>
        </w:rPr>
      </w:pPr>
      <w:r>
        <w:rPr>
          <w:b/>
          <w:color w:val="231F20"/>
          <w:w w:val="110"/>
          <w:sz w:val="20"/>
        </w:rPr>
        <w:t>BOB’S</w:t>
      </w:r>
      <w:r>
        <w:rPr>
          <w:b/>
          <w:color w:val="231F20"/>
          <w:spacing w:val="25"/>
          <w:w w:val="110"/>
          <w:sz w:val="20"/>
        </w:rPr>
        <w:t> </w:t>
      </w:r>
      <w:r>
        <w:rPr>
          <w:b/>
          <w:color w:val="231F20"/>
          <w:w w:val="110"/>
          <w:sz w:val="20"/>
        </w:rPr>
        <w:t>MARKET,</w:t>
      </w:r>
      <w:r>
        <w:rPr>
          <w:b/>
          <w:color w:val="231F20"/>
          <w:spacing w:val="26"/>
          <w:w w:val="110"/>
          <w:sz w:val="20"/>
        </w:rPr>
        <w:t> </w:t>
      </w:r>
      <w:r>
        <w:rPr>
          <w:b/>
          <w:color w:val="231F20"/>
          <w:w w:val="110"/>
          <w:sz w:val="20"/>
        </w:rPr>
        <w:t>FAIRWAY,</w:t>
      </w:r>
      <w:r>
        <w:rPr>
          <w:b/>
          <w:color w:val="231F20"/>
          <w:spacing w:val="25"/>
          <w:w w:val="110"/>
          <w:sz w:val="20"/>
        </w:rPr>
        <w:t> </w:t>
      </w:r>
      <w:r>
        <w:rPr>
          <w:b/>
          <w:color w:val="231F20"/>
          <w:spacing w:val="-2"/>
          <w:w w:val="110"/>
          <w:sz w:val="20"/>
        </w:rPr>
        <w:t>KANSAS</w:t>
      </w:r>
    </w:p>
    <w:p>
      <w:pPr>
        <w:spacing w:line="307" w:lineRule="auto" w:before="65"/>
        <w:ind w:left="1041" w:right="963" w:firstLine="0"/>
        <w:jc w:val="center"/>
        <w:rPr>
          <w:b/>
          <w:sz w:val="20"/>
        </w:rPr>
      </w:pPr>
      <w:r>
        <w:rPr/>
        <w:pict>
          <v:shape style="position:absolute;margin-left:75.5pt;margin-top:34.251774pt;width:276.5pt;height:.1pt;mso-position-horizontal-relative:page;mso-position-vertical-relative:paragraph;z-index:-15673856;mso-wrap-distance-left:0;mso-wrap-distance-right:0" id="docshape105" coordorigin="1510,685" coordsize="5530,0" path="m1510,685l7040,685e" filled="false" stroked="true" strokeweight="1pt" strokecolor="#231f20">
            <v:path arrowok="t"/>
            <v:stroke dashstyle="solid"/>
            <w10:wrap type="topAndBottom"/>
          </v:shape>
        </w:pict>
      </w:r>
      <w:r>
        <w:rPr>
          <w:b/>
          <w:color w:val="231F20"/>
          <w:w w:val="110"/>
          <w:sz w:val="20"/>
        </w:rPr>
        <w:t>INCOME</w:t>
      </w:r>
      <w:r>
        <w:rPr>
          <w:b/>
          <w:color w:val="231F20"/>
          <w:spacing w:val="40"/>
          <w:w w:val="110"/>
          <w:sz w:val="20"/>
        </w:rPr>
        <w:t> </w:t>
      </w:r>
      <w:r>
        <w:rPr>
          <w:b/>
          <w:color w:val="231F20"/>
          <w:w w:val="110"/>
          <w:sz w:val="20"/>
        </w:rPr>
        <w:t>STATEMENT</w:t>
      </w:r>
      <w:r>
        <w:rPr>
          <w:b/>
          <w:color w:val="231F20"/>
          <w:spacing w:val="40"/>
          <w:w w:val="110"/>
          <w:sz w:val="20"/>
        </w:rPr>
        <w:t> </w:t>
      </w:r>
      <w:r>
        <w:rPr>
          <w:b/>
          <w:color w:val="231F20"/>
          <w:w w:val="110"/>
          <w:sz w:val="20"/>
        </w:rPr>
        <w:t>FOR</w:t>
      </w:r>
      <w:r>
        <w:rPr>
          <w:b/>
          <w:color w:val="231F20"/>
          <w:spacing w:val="40"/>
          <w:w w:val="110"/>
          <w:sz w:val="20"/>
        </w:rPr>
        <w:t> </w:t>
      </w:r>
      <w:r>
        <w:rPr>
          <w:b/>
          <w:color w:val="231F20"/>
          <w:w w:val="110"/>
          <w:sz w:val="20"/>
        </w:rPr>
        <w:t>THE</w:t>
      </w:r>
      <w:r>
        <w:rPr>
          <w:b/>
          <w:color w:val="231F20"/>
          <w:spacing w:val="40"/>
          <w:w w:val="110"/>
          <w:sz w:val="20"/>
        </w:rPr>
        <w:t> </w:t>
      </w:r>
      <w:r>
        <w:rPr>
          <w:b/>
          <w:color w:val="231F20"/>
          <w:w w:val="110"/>
          <w:sz w:val="20"/>
        </w:rPr>
        <w:t>YEAR</w:t>
      </w:r>
      <w:r>
        <w:rPr>
          <w:b/>
          <w:color w:val="231F20"/>
          <w:spacing w:val="40"/>
          <w:w w:val="110"/>
          <w:sz w:val="20"/>
        </w:rPr>
        <w:t> </w:t>
      </w:r>
      <w:r>
        <w:rPr>
          <w:b/>
          <w:color w:val="231F20"/>
          <w:w w:val="110"/>
          <w:sz w:val="20"/>
        </w:rPr>
        <w:t>ENDING DECEMBER 31, 2005</w:t>
      </w:r>
    </w:p>
    <w:p>
      <w:pPr>
        <w:pStyle w:val="BodyText"/>
        <w:spacing w:before="7"/>
        <w:rPr>
          <w:b/>
          <w:sz w:val="19"/>
        </w:rPr>
      </w:pPr>
    </w:p>
    <w:tbl>
      <w:tblPr>
        <w:tblW w:w="0" w:type="auto"/>
        <w:jc w:val="left"/>
        <w:tblInd w:w="1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70"/>
        <w:gridCol w:w="901"/>
      </w:tblGrid>
      <w:tr>
        <w:trPr>
          <w:trHeight w:val="255" w:hRule="atLeast"/>
        </w:trPr>
        <w:tc>
          <w:tcPr>
            <w:tcW w:w="4670" w:type="dxa"/>
          </w:tcPr>
          <w:p>
            <w:pPr>
              <w:pStyle w:val="TableParagraph"/>
              <w:spacing w:line="210" w:lineRule="exact" w:before="0"/>
              <w:ind w:left="50"/>
              <w:jc w:val="left"/>
              <w:rPr>
                <w:sz w:val="18"/>
              </w:rPr>
            </w:pPr>
            <w:r>
              <w:rPr>
                <w:color w:val="231F20"/>
                <w:sz w:val="18"/>
              </w:rPr>
              <w:t>Sales</w:t>
            </w:r>
            <w:r>
              <w:rPr>
                <w:color w:val="231F20"/>
                <w:spacing w:val="5"/>
                <w:sz w:val="18"/>
              </w:rPr>
              <w:t> </w:t>
            </w:r>
            <w:r>
              <w:rPr>
                <w:color w:val="231F20"/>
                <w:sz w:val="18"/>
              </w:rPr>
              <w:t>to</w:t>
            </w:r>
            <w:r>
              <w:rPr>
                <w:color w:val="231F20"/>
                <w:spacing w:val="6"/>
                <w:sz w:val="18"/>
              </w:rPr>
              <w:t> </w:t>
            </w:r>
            <w:r>
              <w:rPr>
                <w:color w:val="231F20"/>
                <w:spacing w:val="-2"/>
                <w:sz w:val="18"/>
              </w:rPr>
              <w:t>Customers</w:t>
            </w:r>
          </w:p>
        </w:tc>
        <w:tc>
          <w:tcPr>
            <w:tcW w:w="901" w:type="dxa"/>
          </w:tcPr>
          <w:p>
            <w:pPr>
              <w:pStyle w:val="TableParagraph"/>
              <w:spacing w:line="210" w:lineRule="exact" w:before="0"/>
              <w:ind w:left="3" w:right="4"/>
              <w:rPr>
                <w:sz w:val="18"/>
              </w:rPr>
            </w:pPr>
            <w:r>
              <w:rPr>
                <w:color w:val="231F20"/>
                <w:spacing w:val="-2"/>
                <w:sz w:val="18"/>
              </w:rPr>
              <w:t>$5,200,000</w:t>
            </w:r>
          </w:p>
        </w:tc>
      </w:tr>
      <w:tr>
        <w:trPr>
          <w:trHeight w:val="297" w:hRule="atLeast"/>
        </w:trPr>
        <w:tc>
          <w:tcPr>
            <w:tcW w:w="4670" w:type="dxa"/>
          </w:tcPr>
          <w:p>
            <w:pPr>
              <w:pStyle w:val="TableParagraph"/>
              <w:spacing w:before="43"/>
              <w:ind w:left="50"/>
              <w:jc w:val="left"/>
              <w:rPr>
                <w:sz w:val="18"/>
              </w:rPr>
            </w:pPr>
            <w:r>
              <w:rPr>
                <w:color w:val="231F20"/>
                <w:w w:val="105"/>
                <w:sz w:val="18"/>
              </w:rPr>
              <w:t>Cost</w:t>
            </w:r>
            <w:r>
              <w:rPr>
                <w:color w:val="231F20"/>
                <w:spacing w:val="12"/>
                <w:w w:val="105"/>
                <w:sz w:val="18"/>
              </w:rPr>
              <w:t> </w:t>
            </w:r>
            <w:r>
              <w:rPr>
                <w:color w:val="231F20"/>
                <w:w w:val="105"/>
                <w:sz w:val="18"/>
              </w:rPr>
              <w:t>of</w:t>
            </w:r>
            <w:r>
              <w:rPr>
                <w:color w:val="231F20"/>
                <w:spacing w:val="12"/>
                <w:w w:val="105"/>
                <w:sz w:val="18"/>
              </w:rPr>
              <w:t> </w:t>
            </w:r>
            <w:r>
              <w:rPr>
                <w:color w:val="231F20"/>
                <w:w w:val="105"/>
                <w:sz w:val="18"/>
              </w:rPr>
              <w:t>Goods</w:t>
            </w:r>
            <w:r>
              <w:rPr>
                <w:color w:val="231F20"/>
                <w:spacing w:val="13"/>
                <w:w w:val="105"/>
                <w:sz w:val="18"/>
              </w:rPr>
              <w:t> </w:t>
            </w:r>
            <w:r>
              <w:rPr>
                <w:color w:val="231F20"/>
                <w:spacing w:val="-4"/>
                <w:w w:val="105"/>
                <w:sz w:val="18"/>
              </w:rPr>
              <w:t>Sold</w:t>
            </w:r>
          </w:p>
        </w:tc>
        <w:tc>
          <w:tcPr>
            <w:tcW w:w="901" w:type="dxa"/>
            <w:tcBorders>
              <w:bottom w:val="single" w:sz="4" w:space="0" w:color="231F20"/>
            </w:tcBorders>
          </w:tcPr>
          <w:p>
            <w:pPr>
              <w:pStyle w:val="TableParagraph"/>
              <w:spacing w:before="43"/>
              <w:ind w:left="103" w:right="4"/>
              <w:rPr>
                <w:sz w:val="18"/>
              </w:rPr>
            </w:pPr>
            <w:r>
              <w:rPr>
                <w:color w:val="231F20"/>
                <w:spacing w:val="-2"/>
                <w:sz w:val="18"/>
              </w:rPr>
              <w:t>3,900,000</w:t>
            </w:r>
          </w:p>
        </w:tc>
      </w:tr>
      <w:tr>
        <w:trPr>
          <w:trHeight w:val="848" w:hRule="atLeast"/>
        </w:trPr>
        <w:tc>
          <w:tcPr>
            <w:tcW w:w="4670" w:type="dxa"/>
          </w:tcPr>
          <w:p>
            <w:pPr>
              <w:pStyle w:val="TableParagraph"/>
              <w:spacing w:before="36"/>
              <w:ind w:left="50"/>
              <w:jc w:val="left"/>
              <w:rPr>
                <w:b/>
                <w:sz w:val="18"/>
              </w:rPr>
            </w:pPr>
            <w:r>
              <w:rPr>
                <w:b/>
                <w:color w:val="231F20"/>
                <w:w w:val="95"/>
                <w:sz w:val="18"/>
              </w:rPr>
              <w:t>Gross</w:t>
            </w:r>
            <w:r>
              <w:rPr>
                <w:b/>
                <w:color w:val="231F20"/>
                <w:spacing w:val="14"/>
                <w:sz w:val="18"/>
              </w:rPr>
              <w:t> </w:t>
            </w:r>
            <w:r>
              <w:rPr>
                <w:b/>
                <w:color w:val="231F20"/>
                <w:spacing w:val="-2"/>
                <w:sz w:val="18"/>
              </w:rPr>
              <w:t>Margin</w:t>
            </w:r>
          </w:p>
          <w:p>
            <w:pPr>
              <w:pStyle w:val="TableParagraph"/>
              <w:spacing w:before="0"/>
              <w:jc w:val="left"/>
              <w:rPr>
                <w:b/>
                <w:sz w:val="22"/>
              </w:rPr>
            </w:pPr>
          </w:p>
          <w:p>
            <w:pPr>
              <w:pStyle w:val="TableParagraph"/>
              <w:spacing w:line="192" w:lineRule="exact" w:before="131"/>
              <w:ind w:left="50"/>
              <w:jc w:val="left"/>
              <w:rPr>
                <w:b/>
                <w:sz w:val="18"/>
              </w:rPr>
            </w:pPr>
            <w:r>
              <w:rPr>
                <w:b/>
                <w:color w:val="231F20"/>
                <w:w w:val="95"/>
                <w:sz w:val="18"/>
              </w:rPr>
              <w:t>Less</w:t>
            </w:r>
            <w:r>
              <w:rPr>
                <w:b/>
                <w:color w:val="231F20"/>
                <w:spacing w:val="-3"/>
                <w:w w:val="95"/>
                <w:sz w:val="18"/>
              </w:rPr>
              <w:t> </w:t>
            </w:r>
            <w:r>
              <w:rPr>
                <w:b/>
                <w:color w:val="231F20"/>
                <w:w w:val="95"/>
                <w:sz w:val="18"/>
              </w:rPr>
              <w:t>Selling,</w:t>
            </w:r>
            <w:r>
              <w:rPr>
                <w:b/>
                <w:color w:val="231F20"/>
                <w:spacing w:val="-3"/>
                <w:w w:val="95"/>
                <w:sz w:val="18"/>
              </w:rPr>
              <w:t> </w:t>
            </w:r>
            <w:r>
              <w:rPr>
                <w:b/>
                <w:color w:val="231F20"/>
                <w:w w:val="95"/>
                <w:sz w:val="18"/>
              </w:rPr>
              <w:t>General,</w:t>
            </w:r>
            <w:r>
              <w:rPr>
                <w:b/>
                <w:color w:val="231F20"/>
                <w:spacing w:val="-2"/>
                <w:w w:val="95"/>
                <w:sz w:val="18"/>
              </w:rPr>
              <w:t> </w:t>
            </w:r>
            <w:r>
              <w:rPr>
                <w:b/>
                <w:color w:val="231F20"/>
                <w:w w:val="95"/>
                <w:sz w:val="18"/>
              </w:rPr>
              <w:t>and</w:t>
            </w:r>
            <w:r>
              <w:rPr>
                <w:b/>
                <w:color w:val="231F20"/>
                <w:spacing w:val="-3"/>
                <w:w w:val="95"/>
                <w:sz w:val="18"/>
              </w:rPr>
              <w:t> </w:t>
            </w:r>
            <w:r>
              <w:rPr>
                <w:b/>
                <w:color w:val="231F20"/>
                <w:w w:val="95"/>
                <w:sz w:val="18"/>
              </w:rPr>
              <w:t>Administrative</w:t>
            </w:r>
            <w:r>
              <w:rPr>
                <w:b/>
                <w:color w:val="231F20"/>
                <w:spacing w:val="-3"/>
                <w:w w:val="95"/>
                <w:sz w:val="18"/>
              </w:rPr>
              <w:t> </w:t>
            </w:r>
            <w:r>
              <w:rPr>
                <w:b/>
                <w:color w:val="231F20"/>
                <w:spacing w:val="-2"/>
                <w:w w:val="95"/>
                <w:sz w:val="18"/>
              </w:rPr>
              <w:t>Expenses</w:t>
            </w:r>
          </w:p>
        </w:tc>
        <w:tc>
          <w:tcPr>
            <w:tcW w:w="901" w:type="dxa"/>
            <w:tcBorders>
              <w:top w:val="single" w:sz="4" w:space="0" w:color="231F20"/>
            </w:tcBorders>
          </w:tcPr>
          <w:p>
            <w:pPr>
              <w:pStyle w:val="TableParagraph"/>
              <w:spacing w:before="36"/>
              <w:ind w:left="-1"/>
              <w:rPr>
                <w:b/>
                <w:sz w:val="18"/>
              </w:rPr>
            </w:pPr>
            <w:r>
              <w:rPr>
                <w:b/>
                <w:color w:val="231F20"/>
                <w:spacing w:val="-2"/>
                <w:w w:val="95"/>
                <w:sz w:val="18"/>
              </w:rPr>
              <w:t>$1,300,000</w:t>
            </w:r>
          </w:p>
        </w:tc>
      </w:tr>
    </w:tbl>
    <w:p>
      <w:pPr>
        <w:pStyle w:val="BodyText"/>
        <w:spacing w:before="7" w:after="1"/>
        <w:rPr>
          <w:b/>
          <w:sz w:val="7"/>
        </w:rPr>
      </w:pPr>
    </w:p>
    <w:tbl>
      <w:tblPr>
        <w:tblW w:w="0" w:type="auto"/>
        <w:jc w:val="left"/>
        <w:tblInd w:w="1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17"/>
        <w:gridCol w:w="923"/>
        <w:gridCol w:w="840"/>
        <w:gridCol w:w="240"/>
        <w:gridCol w:w="651"/>
      </w:tblGrid>
      <w:tr>
        <w:trPr>
          <w:trHeight w:val="255" w:hRule="atLeast"/>
        </w:trPr>
        <w:tc>
          <w:tcPr>
            <w:tcW w:w="2917" w:type="dxa"/>
          </w:tcPr>
          <w:p>
            <w:pPr>
              <w:pStyle w:val="TableParagraph"/>
              <w:spacing w:line="210" w:lineRule="exact" w:before="0"/>
              <w:ind w:left="50"/>
              <w:jc w:val="left"/>
              <w:rPr>
                <w:sz w:val="18"/>
              </w:rPr>
            </w:pPr>
            <w:r>
              <w:rPr>
                <w:color w:val="231F20"/>
                <w:spacing w:val="-2"/>
                <w:sz w:val="18"/>
              </w:rPr>
              <w:t>Payroll</w:t>
            </w:r>
          </w:p>
        </w:tc>
        <w:tc>
          <w:tcPr>
            <w:tcW w:w="923" w:type="dxa"/>
          </w:tcPr>
          <w:p>
            <w:pPr>
              <w:pStyle w:val="TableParagraph"/>
              <w:spacing w:line="210" w:lineRule="exact" w:before="0"/>
              <w:ind w:right="-15"/>
              <w:jc w:val="right"/>
              <w:rPr>
                <w:sz w:val="18"/>
              </w:rPr>
            </w:pPr>
            <w:r>
              <w:rPr>
                <w:color w:val="231F20"/>
                <w:spacing w:val="-2"/>
                <w:w w:val="105"/>
                <w:sz w:val="18"/>
              </w:rPr>
              <w:t>$1,000,000</w:t>
            </w:r>
          </w:p>
        </w:tc>
        <w:tc>
          <w:tcPr>
            <w:tcW w:w="840" w:type="dxa"/>
          </w:tcPr>
          <w:p>
            <w:pPr>
              <w:pStyle w:val="TableParagraph"/>
              <w:spacing w:before="0"/>
              <w:jc w:val="left"/>
              <w:rPr>
                <w:rFonts w:ascii="Times New Roman"/>
                <w:sz w:val="18"/>
              </w:rPr>
            </w:pPr>
          </w:p>
        </w:tc>
        <w:tc>
          <w:tcPr>
            <w:tcW w:w="240" w:type="dxa"/>
          </w:tcPr>
          <w:p>
            <w:pPr>
              <w:pStyle w:val="TableParagraph"/>
              <w:spacing w:before="0"/>
              <w:jc w:val="left"/>
              <w:rPr>
                <w:rFonts w:ascii="Times New Roman"/>
                <w:sz w:val="18"/>
              </w:rPr>
            </w:pPr>
          </w:p>
        </w:tc>
        <w:tc>
          <w:tcPr>
            <w:tcW w:w="651" w:type="dxa"/>
          </w:tcPr>
          <w:p>
            <w:pPr>
              <w:pStyle w:val="TableParagraph"/>
              <w:spacing w:before="0"/>
              <w:jc w:val="left"/>
              <w:rPr>
                <w:rFonts w:ascii="Times New Roman"/>
                <w:sz w:val="18"/>
              </w:rPr>
            </w:pPr>
          </w:p>
        </w:tc>
      </w:tr>
      <w:tr>
        <w:trPr>
          <w:trHeight w:val="300" w:hRule="atLeast"/>
        </w:trPr>
        <w:tc>
          <w:tcPr>
            <w:tcW w:w="2917" w:type="dxa"/>
          </w:tcPr>
          <w:p>
            <w:pPr>
              <w:pStyle w:val="TableParagraph"/>
              <w:spacing w:before="43"/>
              <w:ind w:left="50"/>
              <w:jc w:val="left"/>
              <w:rPr>
                <w:sz w:val="18"/>
              </w:rPr>
            </w:pPr>
            <w:r>
              <w:rPr>
                <w:color w:val="231F20"/>
                <w:spacing w:val="-4"/>
                <w:sz w:val="18"/>
              </w:rPr>
              <w:t>Rent</w:t>
            </w:r>
          </w:p>
        </w:tc>
        <w:tc>
          <w:tcPr>
            <w:tcW w:w="923" w:type="dxa"/>
          </w:tcPr>
          <w:p>
            <w:pPr>
              <w:pStyle w:val="TableParagraph"/>
              <w:spacing w:before="43"/>
              <w:ind w:right="-15"/>
              <w:jc w:val="right"/>
              <w:rPr>
                <w:sz w:val="18"/>
              </w:rPr>
            </w:pPr>
            <w:r>
              <w:rPr>
                <w:color w:val="231F20"/>
                <w:spacing w:val="-2"/>
                <w:sz w:val="18"/>
              </w:rPr>
              <w:t>150,000</w:t>
            </w:r>
          </w:p>
        </w:tc>
        <w:tc>
          <w:tcPr>
            <w:tcW w:w="840" w:type="dxa"/>
          </w:tcPr>
          <w:p>
            <w:pPr>
              <w:pStyle w:val="TableParagraph"/>
              <w:spacing w:before="0"/>
              <w:jc w:val="left"/>
              <w:rPr>
                <w:rFonts w:ascii="Times New Roman"/>
                <w:sz w:val="18"/>
              </w:rPr>
            </w:pPr>
          </w:p>
        </w:tc>
        <w:tc>
          <w:tcPr>
            <w:tcW w:w="240" w:type="dxa"/>
          </w:tcPr>
          <w:p>
            <w:pPr>
              <w:pStyle w:val="TableParagraph"/>
              <w:spacing w:before="0"/>
              <w:jc w:val="left"/>
              <w:rPr>
                <w:rFonts w:ascii="Times New Roman"/>
                <w:sz w:val="18"/>
              </w:rPr>
            </w:pPr>
          </w:p>
        </w:tc>
        <w:tc>
          <w:tcPr>
            <w:tcW w:w="651" w:type="dxa"/>
          </w:tcPr>
          <w:p>
            <w:pPr>
              <w:pStyle w:val="TableParagraph"/>
              <w:spacing w:before="0"/>
              <w:jc w:val="left"/>
              <w:rPr>
                <w:rFonts w:ascii="Times New Roman"/>
                <w:sz w:val="18"/>
              </w:rPr>
            </w:pPr>
          </w:p>
        </w:tc>
      </w:tr>
      <w:tr>
        <w:trPr>
          <w:trHeight w:val="300" w:hRule="atLeast"/>
        </w:trPr>
        <w:tc>
          <w:tcPr>
            <w:tcW w:w="2917" w:type="dxa"/>
          </w:tcPr>
          <w:p>
            <w:pPr>
              <w:pStyle w:val="TableParagraph"/>
              <w:spacing w:before="43"/>
              <w:ind w:left="50"/>
              <w:jc w:val="left"/>
              <w:rPr>
                <w:sz w:val="18"/>
              </w:rPr>
            </w:pPr>
            <w:r>
              <w:rPr>
                <w:color w:val="231F20"/>
                <w:spacing w:val="-2"/>
                <w:sz w:val="18"/>
              </w:rPr>
              <w:t>Utilities</w:t>
            </w:r>
          </w:p>
        </w:tc>
        <w:tc>
          <w:tcPr>
            <w:tcW w:w="923" w:type="dxa"/>
          </w:tcPr>
          <w:p>
            <w:pPr>
              <w:pStyle w:val="TableParagraph"/>
              <w:spacing w:before="43"/>
              <w:ind w:right="-15"/>
              <w:jc w:val="right"/>
              <w:rPr>
                <w:sz w:val="18"/>
              </w:rPr>
            </w:pPr>
            <w:r>
              <w:rPr>
                <w:color w:val="231F20"/>
                <w:spacing w:val="-2"/>
                <w:sz w:val="18"/>
              </w:rPr>
              <w:t>75,000</w:t>
            </w:r>
          </w:p>
        </w:tc>
        <w:tc>
          <w:tcPr>
            <w:tcW w:w="840" w:type="dxa"/>
          </w:tcPr>
          <w:p>
            <w:pPr>
              <w:pStyle w:val="TableParagraph"/>
              <w:spacing w:before="0"/>
              <w:jc w:val="left"/>
              <w:rPr>
                <w:rFonts w:ascii="Times New Roman"/>
                <w:sz w:val="18"/>
              </w:rPr>
            </w:pPr>
          </w:p>
        </w:tc>
        <w:tc>
          <w:tcPr>
            <w:tcW w:w="240" w:type="dxa"/>
          </w:tcPr>
          <w:p>
            <w:pPr>
              <w:pStyle w:val="TableParagraph"/>
              <w:spacing w:before="0"/>
              <w:jc w:val="left"/>
              <w:rPr>
                <w:rFonts w:ascii="Times New Roman"/>
                <w:sz w:val="18"/>
              </w:rPr>
            </w:pPr>
          </w:p>
        </w:tc>
        <w:tc>
          <w:tcPr>
            <w:tcW w:w="651" w:type="dxa"/>
          </w:tcPr>
          <w:p>
            <w:pPr>
              <w:pStyle w:val="TableParagraph"/>
              <w:spacing w:before="0"/>
              <w:jc w:val="left"/>
              <w:rPr>
                <w:rFonts w:ascii="Times New Roman"/>
                <w:sz w:val="18"/>
              </w:rPr>
            </w:pPr>
          </w:p>
        </w:tc>
      </w:tr>
      <w:tr>
        <w:trPr>
          <w:trHeight w:val="300" w:hRule="atLeast"/>
        </w:trPr>
        <w:tc>
          <w:tcPr>
            <w:tcW w:w="2917" w:type="dxa"/>
          </w:tcPr>
          <w:p>
            <w:pPr>
              <w:pStyle w:val="TableParagraph"/>
              <w:spacing w:before="43"/>
              <w:ind w:left="50"/>
              <w:jc w:val="left"/>
              <w:rPr>
                <w:sz w:val="18"/>
              </w:rPr>
            </w:pPr>
            <w:r>
              <w:rPr>
                <w:color w:val="231F20"/>
                <w:spacing w:val="-2"/>
                <w:sz w:val="18"/>
              </w:rPr>
              <w:t>Advertising</w:t>
            </w:r>
          </w:p>
        </w:tc>
        <w:tc>
          <w:tcPr>
            <w:tcW w:w="923" w:type="dxa"/>
          </w:tcPr>
          <w:p>
            <w:pPr>
              <w:pStyle w:val="TableParagraph"/>
              <w:spacing w:before="43"/>
              <w:ind w:right="-15"/>
              <w:jc w:val="right"/>
              <w:rPr>
                <w:sz w:val="18"/>
              </w:rPr>
            </w:pPr>
            <w:r>
              <w:rPr>
                <w:color w:val="231F20"/>
                <w:spacing w:val="-2"/>
                <w:sz w:val="18"/>
              </w:rPr>
              <w:t>18,000</w:t>
            </w:r>
          </w:p>
        </w:tc>
        <w:tc>
          <w:tcPr>
            <w:tcW w:w="840" w:type="dxa"/>
          </w:tcPr>
          <w:p>
            <w:pPr>
              <w:pStyle w:val="TableParagraph"/>
              <w:spacing w:before="0"/>
              <w:jc w:val="left"/>
              <w:rPr>
                <w:rFonts w:ascii="Times New Roman"/>
                <w:sz w:val="18"/>
              </w:rPr>
            </w:pPr>
          </w:p>
        </w:tc>
        <w:tc>
          <w:tcPr>
            <w:tcW w:w="240" w:type="dxa"/>
          </w:tcPr>
          <w:p>
            <w:pPr>
              <w:pStyle w:val="TableParagraph"/>
              <w:spacing w:before="0"/>
              <w:jc w:val="left"/>
              <w:rPr>
                <w:rFonts w:ascii="Times New Roman"/>
                <w:sz w:val="18"/>
              </w:rPr>
            </w:pPr>
          </w:p>
        </w:tc>
        <w:tc>
          <w:tcPr>
            <w:tcW w:w="651" w:type="dxa"/>
          </w:tcPr>
          <w:p>
            <w:pPr>
              <w:pStyle w:val="TableParagraph"/>
              <w:spacing w:before="0"/>
              <w:jc w:val="left"/>
              <w:rPr>
                <w:rFonts w:ascii="Times New Roman"/>
                <w:sz w:val="18"/>
              </w:rPr>
            </w:pPr>
          </w:p>
        </w:tc>
      </w:tr>
      <w:tr>
        <w:trPr>
          <w:trHeight w:val="300" w:hRule="atLeast"/>
        </w:trPr>
        <w:tc>
          <w:tcPr>
            <w:tcW w:w="2917" w:type="dxa"/>
          </w:tcPr>
          <w:p>
            <w:pPr>
              <w:pStyle w:val="TableParagraph"/>
              <w:spacing w:before="43"/>
              <w:ind w:left="50"/>
              <w:jc w:val="left"/>
              <w:rPr>
                <w:sz w:val="18"/>
              </w:rPr>
            </w:pPr>
            <w:r>
              <w:rPr>
                <w:color w:val="231F20"/>
                <w:sz w:val="18"/>
              </w:rPr>
              <w:t>Allocated</w:t>
            </w:r>
            <w:r>
              <w:rPr>
                <w:color w:val="231F20"/>
                <w:spacing w:val="19"/>
                <w:sz w:val="18"/>
              </w:rPr>
              <w:t> </w:t>
            </w:r>
            <w:r>
              <w:rPr>
                <w:color w:val="231F20"/>
                <w:sz w:val="18"/>
              </w:rPr>
              <w:t>Cost</w:t>
            </w:r>
            <w:r>
              <w:rPr>
                <w:color w:val="231F20"/>
                <w:spacing w:val="20"/>
                <w:sz w:val="18"/>
              </w:rPr>
              <w:t> </w:t>
            </w:r>
            <w:r>
              <w:rPr>
                <w:color w:val="231F20"/>
                <w:sz w:val="18"/>
              </w:rPr>
              <w:t>of</w:t>
            </w:r>
            <w:r>
              <w:rPr>
                <w:color w:val="231F20"/>
                <w:spacing w:val="20"/>
                <w:sz w:val="18"/>
              </w:rPr>
              <w:t> </w:t>
            </w:r>
            <w:r>
              <w:rPr>
                <w:color w:val="231F20"/>
                <w:sz w:val="18"/>
              </w:rPr>
              <w:t>Store</w:t>
            </w:r>
            <w:r>
              <w:rPr>
                <w:color w:val="231F20"/>
                <w:spacing w:val="19"/>
                <w:sz w:val="18"/>
              </w:rPr>
              <w:t> </w:t>
            </w:r>
            <w:r>
              <w:rPr>
                <w:color w:val="231F20"/>
                <w:spacing w:val="-2"/>
                <w:sz w:val="18"/>
              </w:rPr>
              <w:t>Equipment</w:t>
            </w:r>
          </w:p>
        </w:tc>
        <w:tc>
          <w:tcPr>
            <w:tcW w:w="923" w:type="dxa"/>
          </w:tcPr>
          <w:p>
            <w:pPr>
              <w:pStyle w:val="TableParagraph"/>
              <w:spacing w:before="43"/>
              <w:ind w:right="-15"/>
              <w:jc w:val="right"/>
              <w:rPr>
                <w:sz w:val="18"/>
              </w:rPr>
            </w:pPr>
            <w:r>
              <w:rPr>
                <w:color w:val="231F20"/>
                <w:spacing w:val="-2"/>
                <w:w w:val="105"/>
                <w:sz w:val="18"/>
              </w:rPr>
              <w:t>3,000</w:t>
            </w:r>
          </w:p>
        </w:tc>
        <w:tc>
          <w:tcPr>
            <w:tcW w:w="840" w:type="dxa"/>
          </w:tcPr>
          <w:p>
            <w:pPr>
              <w:pStyle w:val="TableParagraph"/>
              <w:spacing w:before="0"/>
              <w:jc w:val="left"/>
              <w:rPr>
                <w:rFonts w:ascii="Times New Roman"/>
                <w:sz w:val="18"/>
              </w:rPr>
            </w:pPr>
          </w:p>
        </w:tc>
        <w:tc>
          <w:tcPr>
            <w:tcW w:w="240" w:type="dxa"/>
          </w:tcPr>
          <w:p>
            <w:pPr>
              <w:pStyle w:val="TableParagraph"/>
              <w:spacing w:before="0"/>
              <w:jc w:val="left"/>
              <w:rPr>
                <w:rFonts w:ascii="Times New Roman"/>
                <w:sz w:val="18"/>
              </w:rPr>
            </w:pPr>
          </w:p>
        </w:tc>
        <w:tc>
          <w:tcPr>
            <w:tcW w:w="651" w:type="dxa"/>
          </w:tcPr>
          <w:p>
            <w:pPr>
              <w:pStyle w:val="TableParagraph"/>
              <w:spacing w:before="0"/>
              <w:jc w:val="left"/>
              <w:rPr>
                <w:rFonts w:ascii="Times New Roman"/>
                <w:sz w:val="18"/>
              </w:rPr>
            </w:pPr>
          </w:p>
        </w:tc>
      </w:tr>
      <w:tr>
        <w:trPr>
          <w:trHeight w:val="300" w:hRule="atLeast"/>
        </w:trPr>
        <w:tc>
          <w:tcPr>
            <w:tcW w:w="2917" w:type="dxa"/>
          </w:tcPr>
          <w:p>
            <w:pPr>
              <w:pStyle w:val="TableParagraph"/>
              <w:spacing w:before="43"/>
              <w:ind w:left="230"/>
              <w:jc w:val="left"/>
              <w:rPr>
                <w:sz w:val="18"/>
              </w:rPr>
            </w:pPr>
            <w:r>
              <w:rPr>
                <w:color w:val="231F20"/>
                <w:spacing w:val="-2"/>
                <w:sz w:val="18"/>
              </w:rPr>
              <w:t>(Depreciation)</w:t>
            </w:r>
          </w:p>
        </w:tc>
        <w:tc>
          <w:tcPr>
            <w:tcW w:w="923" w:type="dxa"/>
          </w:tcPr>
          <w:p>
            <w:pPr>
              <w:pStyle w:val="TableParagraph"/>
              <w:spacing w:before="0"/>
              <w:jc w:val="left"/>
              <w:rPr>
                <w:rFonts w:ascii="Times New Roman"/>
                <w:sz w:val="18"/>
              </w:rPr>
            </w:pPr>
          </w:p>
        </w:tc>
        <w:tc>
          <w:tcPr>
            <w:tcW w:w="840" w:type="dxa"/>
          </w:tcPr>
          <w:p>
            <w:pPr>
              <w:pStyle w:val="TableParagraph"/>
              <w:spacing w:before="0"/>
              <w:jc w:val="left"/>
              <w:rPr>
                <w:rFonts w:ascii="Times New Roman"/>
                <w:sz w:val="18"/>
              </w:rPr>
            </w:pPr>
          </w:p>
        </w:tc>
        <w:tc>
          <w:tcPr>
            <w:tcW w:w="240" w:type="dxa"/>
          </w:tcPr>
          <w:p>
            <w:pPr>
              <w:pStyle w:val="TableParagraph"/>
              <w:spacing w:before="0"/>
              <w:jc w:val="left"/>
              <w:rPr>
                <w:rFonts w:ascii="Times New Roman"/>
                <w:sz w:val="18"/>
              </w:rPr>
            </w:pPr>
          </w:p>
        </w:tc>
        <w:tc>
          <w:tcPr>
            <w:tcW w:w="651" w:type="dxa"/>
          </w:tcPr>
          <w:p>
            <w:pPr>
              <w:pStyle w:val="TableParagraph"/>
              <w:spacing w:before="0"/>
              <w:jc w:val="left"/>
              <w:rPr>
                <w:rFonts w:ascii="Times New Roman"/>
                <w:sz w:val="18"/>
              </w:rPr>
            </w:pPr>
          </w:p>
        </w:tc>
      </w:tr>
      <w:tr>
        <w:trPr>
          <w:trHeight w:val="302" w:hRule="atLeast"/>
        </w:trPr>
        <w:tc>
          <w:tcPr>
            <w:tcW w:w="2917" w:type="dxa"/>
          </w:tcPr>
          <w:p>
            <w:pPr>
              <w:pStyle w:val="TableParagraph"/>
              <w:spacing w:before="43"/>
              <w:ind w:left="50"/>
              <w:jc w:val="left"/>
              <w:rPr>
                <w:sz w:val="18"/>
              </w:rPr>
            </w:pPr>
            <w:r>
              <w:rPr>
                <w:color w:val="231F20"/>
                <w:w w:val="105"/>
                <w:sz w:val="18"/>
              </w:rPr>
              <w:t>All</w:t>
            </w:r>
            <w:r>
              <w:rPr>
                <w:color w:val="231F20"/>
                <w:spacing w:val="16"/>
                <w:w w:val="105"/>
                <w:sz w:val="18"/>
              </w:rPr>
              <w:t> </w:t>
            </w:r>
            <w:r>
              <w:rPr>
                <w:color w:val="231F20"/>
                <w:spacing w:val="-4"/>
                <w:w w:val="105"/>
                <w:sz w:val="18"/>
              </w:rPr>
              <w:t>Other</w:t>
            </w:r>
          </w:p>
        </w:tc>
        <w:tc>
          <w:tcPr>
            <w:tcW w:w="923" w:type="dxa"/>
          </w:tcPr>
          <w:p>
            <w:pPr>
              <w:pStyle w:val="TableParagraph"/>
              <w:spacing w:before="43"/>
              <w:ind w:right="-15"/>
              <w:jc w:val="right"/>
              <w:rPr>
                <w:sz w:val="18"/>
              </w:rPr>
            </w:pPr>
            <w:r>
              <w:rPr>
                <w:color w:val="231F20"/>
                <w:spacing w:val="-2"/>
                <w:w w:val="105"/>
                <w:sz w:val="18"/>
              </w:rPr>
              <w:t>$10,000</w:t>
            </w:r>
          </w:p>
        </w:tc>
        <w:tc>
          <w:tcPr>
            <w:tcW w:w="840" w:type="dxa"/>
          </w:tcPr>
          <w:p>
            <w:pPr>
              <w:pStyle w:val="TableParagraph"/>
              <w:spacing w:before="0"/>
              <w:jc w:val="left"/>
              <w:rPr>
                <w:rFonts w:ascii="Times New Roman"/>
                <w:sz w:val="18"/>
              </w:rPr>
            </w:pPr>
          </w:p>
        </w:tc>
        <w:tc>
          <w:tcPr>
            <w:tcW w:w="240" w:type="dxa"/>
          </w:tcPr>
          <w:p>
            <w:pPr>
              <w:pStyle w:val="TableParagraph"/>
              <w:spacing w:before="0"/>
              <w:jc w:val="left"/>
              <w:rPr>
                <w:rFonts w:ascii="Times New Roman"/>
                <w:sz w:val="18"/>
              </w:rPr>
            </w:pPr>
          </w:p>
        </w:tc>
        <w:tc>
          <w:tcPr>
            <w:tcW w:w="651" w:type="dxa"/>
          </w:tcPr>
          <w:p>
            <w:pPr>
              <w:pStyle w:val="TableParagraph"/>
              <w:spacing w:before="0"/>
              <w:jc w:val="left"/>
              <w:rPr>
                <w:rFonts w:ascii="Times New Roman"/>
                <w:sz w:val="18"/>
              </w:rPr>
            </w:pPr>
          </w:p>
        </w:tc>
      </w:tr>
      <w:tr>
        <w:trPr>
          <w:trHeight w:val="285" w:hRule="atLeast"/>
        </w:trPr>
        <w:tc>
          <w:tcPr>
            <w:tcW w:w="2917" w:type="dxa"/>
          </w:tcPr>
          <w:p>
            <w:pPr>
              <w:pStyle w:val="TableParagraph"/>
              <w:spacing w:before="0"/>
              <w:jc w:val="left"/>
              <w:rPr>
                <w:rFonts w:ascii="Times New Roman"/>
                <w:sz w:val="18"/>
              </w:rPr>
            </w:pPr>
          </w:p>
        </w:tc>
        <w:tc>
          <w:tcPr>
            <w:tcW w:w="923" w:type="dxa"/>
          </w:tcPr>
          <w:p>
            <w:pPr>
              <w:pStyle w:val="TableParagraph"/>
              <w:spacing w:line="20" w:lineRule="exact" w:before="0"/>
              <w:ind w:left="293" w:right="-72"/>
              <w:jc w:val="left"/>
              <w:rPr>
                <w:sz w:val="2"/>
              </w:rPr>
            </w:pPr>
            <w:r>
              <w:rPr>
                <w:sz w:val="2"/>
              </w:rPr>
              <w:pict>
                <v:group style="width:31.5pt;height:.5pt;mso-position-horizontal-relative:char;mso-position-vertical-relative:line" id="docshapegroup106" coordorigin="0,0" coordsize="630,10">
                  <v:line style="position:absolute" from="630,5" to="0,5" stroked="true" strokeweight=".5pt" strokecolor="#231f20">
                    <v:stroke dashstyle="solid"/>
                  </v:line>
                </v:group>
              </w:pict>
            </w:r>
            <w:r>
              <w:rPr>
                <w:sz w:val="2"/>
              </w:rPr>
            </w:r>
          </w:p>
        </w:tc>
        <w:tc>
          <w:tcPr>
            <w:tcW w:w="840" w:type="dxa"/>
          </w:tcPr>
          <w:p>
            <w:pPr>
              <w:pStyle w:val="TableParagraph"/>
              <w:spacing w:before="0"/>
              <w:jc w:val="left"/>
              <w:rPr>
                <w:rFonts w:ascii="Times New Roman"/>
                <w:sz w:val="18"/>
              </w:rPr>
            </w:pPr>
          </w:p>
        </w:tc>
        <w:tc>
          <w:tcPr>
            <w:tcW w:w="240" w:type="dxa"/>
            <w:tcBorders>
              <w:bottom w:val="single" w:sz="4" w:space="0" w:color="231F20"/>
            </w:tcBorders>
          </w:tcPr>
          <w:p>
            <w:pPr>
              <w:pStyle w:val="TableParagraph"/>
              <w:spacing w:before="41"/>
              <w:ind w:left="-11" w:right="-101"/>
              <w:jc w:val="left"/>
              <w:rPr>
                <w:sz w:val="18"/>
              </w:rPr>
            </w:pPr>
            <w:r>
              <w:rPr>
                <w:color w:val="231F20"/>
                <w:spacing w:val="-4"/>
                <w:w w:val="105"/>
                <w:sz w:val="18"/>
              </w:rPr>
              <w:t>$1,2</w:t>
            </w:r>
          </w:p>
        </w:tc>
        <w:tc>
          <w:tcPr>
            <w:tcW w:w="651" w:type="dxa"/>
            <w:tcBorders>
              <w:bottom w:val="single" w:sz="4" w:space="0" w:color="231F20"/>
            </w:tcBorders>
          </w:tcPr>
          <w:p>
            <w:pPr>
              <w:pStyle w:val="TableParagraph"/>
              <w:spacing w:before="41"/>
              <w:jc w:val="right"/>
              <w:rPr>
                <w:sz w:val="18"/>
              </w:rPr>
            </w:pPr>
            <w:r>
              <w:rPr>
                <w:color w:val="231F20"/>
                <w:spacing w:val="-2"/>
                <w:sz w:val="18"/>
              </w:rPr>
              <w:t>56,000</w:t>
            </w:r>
          </w:p>
        </w:tc>
      </w:tr>
      <w:tr>
        <w:trPr>
          <w:trHeight w:val="602" w:hRule="atLeast"/>
        </w:trPr>
        <w:tc>
          <w:tcPr>
            <w:tcW w:w="2917" w:type="dxa"/>
          </w:tcPr>
          <w:p>
            <w:pPr>
              <w:pStyle w:val="TableParagraph"/>
              <w:spacing w:before="6"/>
              <w:jc w:val="left"/>
              <w:rPr>
                <w:b/>
                <w:sz w:val="29"/>
              </w:rPr>
            </w:pPr>
          </w:p>
          <w:p>
            <w:pPr>
              <w:pStyle w:val="TableParagraph"/>
              <w:spacing w:before="0"/>
              <w:ind w:left="50"/>
              <w:jc w:val="left"/>
              <w:rPr>
                <w:b/>
                <w:sz w:val="18"/>
              </w:rPr>
            </w:pPr>
            <w:r>
              <w:rPr>
                <w:b/>
                <w:color w:val="231F20"/>
                <w:w w:val="95"/>
                <w:sz w:val="18"/>
              </w:rPr>
              <w:t>Operating</w:t>
            </w:r>
            <w:r>
              <w:rPr>
                <w:b/>
                <w:color w:val="231F20"/>
                <w:spacing w:val="-2"/>
                <w:w w:val="95"/>
                <w:sz w:val="18"/>
              </w:rPr>
              <w:t> </w:t>
            </w:r>
            <w:r>
              <w:rPr>
                <w:b/>
                <w:color w:val="231F20"/>
                <w:w w:val="95"/>
                <w:sz w:val="18"/>
              </w:rPr>
              <w:t>Income</w:t>
            </w:r>
            <w:r>
              <w:rPr>
                <w:b/>
                <w:color w:val="231F20"/>
                <w:spacing w:val="-1"/>
                <w:w w:val="95"/>
                <w:sz w:val="18"/>
              </w:rPr>
              <w:t> </w:t>
            </w:r>
            <w:r>
              <w:rPr>
                <w:b/>
                <w:color w:val="231F20"/>
                <w:spacing w:val="-2"/>
                <w:w w:val="95"/>
                <w:sz w:val="18"/>
              </w:rPr>
              <w:t>(EBIT)</w:t>
            </w:r>
          </w:p>
        </w:tc>
        <w:tc>
          <w:tcPr>
            <w:tcW w:w="923" w:type="dxa"/>
          </w:tcPr>
          <w:p>
            <w:pPr>
              <w:pStyle w:val="TableParagraph"/>
              <w:spacing w:before="0"/>
              <w:jc w:val="left"/>
              <w:rPr>
                <w:rFonts w:ascii="Times New Roman"/>
                <w:sz w:val="18"/>
              </w:rPr>
            </w:pPr>
          </w:p>
        </w:tc>
        <w:tc>
          <w:tcPr>
            <w:tcW w:w="840" w:type="dxa"/>
          </w:tcPr>
          <w:p>
            <w:pPr>
              <w:pStyle w:val="TableParagraph"/>
              <w:spacing w:before="0"/>
              <w:jc w:val="left"/>
              <w:rPr>
                <w:rFonts w:ascii="Times New Roman"/>
                <w:sz w:val="18"/>
              </w:rPr>
            </w:pPr>
          </w:p>
        </w:tc>
        <w:tc>
          <w:tcPr>
            <w:tcW w:w="240" w:type="dxa"/>
            <w:tcBorders>
              <w:top w:val="single" w:sz="4" w:space="0" w:color="231F20"/>
            </w:tcBorders>
          </w:tcPr>
          <w:p>
            <w:pPr>
              <w:pStyle w:val="TableParagraph"/>
              <w:spacing w:before="0"/>
              <w:jc w:val="left"/>
              <w:rPr>
                <w:rFonts w:ascii="Times New Roman"/>
                <w:sz w:val="18"/>
              </w:rPr>
            </w:pPr>
          </w:p>
        </w:tc>
        <w:tc>
          <w:tcPr>
            <w:tcW w:w="651" w:type="dxa"/>
            <w:tcBorders>
              <w:top w:val="single" w:sz="4" w:space="0" w:color="231F20"/>
            </w:tcBorders>
          </w:tcPr>
          <w:p>
            <w:pPr>
              <w:pStyle w:val="TableParagraph"/>
              <w:spacing w:before="6"/>
              <w:jc w:val="left"/>
              <w:rPr>
                <w:b/>
                <w:sz w:val="29"/>
              </w:rPr>
            </w:pPr>
          </w:p>
          <w:p>
            <w:pPr>
              <w:pStyle w:val="TableParagraph"/>
              <w:spacing w:before="0"/>
              <w:jc w:val="right"/>
              <w:rPr>
                <w:b/>
                <w:sz w:val="18"/>
              </w:rPr>
            </w:pPr>
            <w:r>
              <w:rPr>
                <w:b/>
                <w:color w:val="231F20"/>
                <w:spacing w:val="-2"/>
                <w:w w:val="95"/>
                <w:sz w:val="18"/>
              </w:rPr>
              <w:t>$44,000</w:t>
            </w:r>
          </w:p>
        </w:tc>
      </w:tr>
      <w:tr>
        <w:trPr>
          <w:trHeight w:val="297" w:hRule="atLeast"/>
        </w:trPr>
        <w:tc>
          <w:tcPr>
            <w:tcW w:w="2917" w:type="dxa"/>
          </w:tcPr>
          <w:p>
            <w:pPr>
              <w:pStyle w:val="TableParagraph"/>
              <w:spacing w:before="43"/>
              <w:ind w:left="50"/>
              <w:jc w:val="left"/>
              <w:rPr>
                <w:sz w:val="18"/>
              </w:rPr>
            </w:pPr>
            <w:r>
              <w:rPr>
                <w:color w:val="231F20"/>
                <w:w w:val="95"/>
                <w:sz w:val="18"/>
              </w:rPr>
              <w:t>Less</w:t>
            </w:r>
            <w:r>
              <w:rPr>
                <w:color w:val="231F20"/>
                <w:spacing w:val="13"/>
                <w:sz w:val="18"/>
              </w:rPr>
              <w:t> </w:t>
            </w:r>
            <w:r>
              <w:rPr>
                <w:color w:val="231F20"/>
                <w:w w:val="95"/>
                <w:sz w:val="18"/>
              </w:rPr>
              <w:t>Interest</w:t>
            </w:r>
            <w:r>
              <w:rPr>
                <w:color w:val="231F20"/>
                <w:spacing w:val="13"/>
                <w:sz w:val="18"/>
              </w:rPr>
              <w:t> </w:t>
            </w:r>
            <w:r>
              <w:rPr>
                <w:color w:val="231F20"/>
                <w:spacing w:val="-2"/>
                <w:w w:val="95"/>
                <w:sz w:val="18"/>
              </w:rPr>
              <w:t>Expense</w:t>
            </w:r>
          </w:p>
        </w:tc>
        <w:tc>
          <w:tcPr>
            <w:tcW w:w="923" w:type="dxa"/>
          </w:tcPr>
          <w:p>
            <w:pPr>
              <w:pStyle w:val="TableParagraph"/>
              <w:spacing w:before="0"/>
              <w:jc w:val="left"/>
              <w:rPr>
                <w:rFonts w:ascii="Times New Roman"/>
                <w:sz w:val="18"/>
              </w:rPr>
            </w:pPr>
          </w:p>
        </w:tc>
        <w:tc>
          <w:tcPr>
            <w:tcW w:w="840" w:type="dxa"/>
          </w:tcPr>
          <w:p>
            <w:pPr>
              <w:pStyle w:val="TableParagraph"/>
              <w:spacing w:before="0"/>
              <w:jc w:val="left"/>
              <w:rPr>
                <w:rFonts w:ascii="Times New Roman"/>
                <w:sz w:val="18"/>
              </w:rPr>
            </w:pPr>
          </w:p>
        </w:tc>
        <w:tc>
          <w:tcPr>
            <w:tcW w:w="240" w:type="dxa"/>
          </w:tcPr>
          <w:p>
            <w:pPr>
              <w:pStyle w:val="TableParagraph"/>
              <w:spacing w:before="0"/>
              <w:jc w:val="left"/>
              <w:rPr>
                <w:rFonts w:ascii="Times New Roman"/>
                <w:sz w:val="18"/>
              </w:rPr>
            </w:pPr>
          </w:p>
        </w:tc>
        <w:tc>
          <w:tcPr>
            <w:tcW w:w="651" w:type="dxa"/>
            <w:tcBorders>
              <w:bottom w:val="single" w:sz="4" w:space="0" w:color="231F20"/>
            </w:tcBorders>
          </w:tcPr>
          <w:p>
            <w:pPr>
              <w:pStyle w:val="TableParagraph"/>
              <w:spacing w:before="43"/>
              <w:jc w:val="right"/>
              <w:rPr>
                <w:sz w:val="18"/>
              </w:rPr>
            </w:pPr>
            <w:r>
              <w:rPr>
                <w:color w:val="231F20"/>
                <w:spacing w:val="-2"/>
                <w:w w:val="105"/>
                <w:sz w:val="18"/>
              </w:rPr>
              <w:t>1,000</w:t>
            </w:r>
          </w:p>
        </w:tc>
      </w:tr>
      <w:tr>
        <w:trPr>
          <w:trHeight w:val="592" w:hRule="atLeast"/>
        </w:trPr>
        <w:tc>
          <w:tcPr>
            <w:tcW w:w="2917" w:type="dxa"/>
          </w:tcPr>
          <w:p>
            <w:pPr>
              <w:pStyle w:val="TableParagraph"/>
              <w:spacing w:before="8"/>
              <w:jc w:val="left"/>
              <w:rPr>
                <w:b/>
                <w:sz w:val="28"/>
              </w:rPr>
            </w:pPr>
          </w:p>
          <w:p>
            <w:pPr>
              <w:pStyle w:val="TableParagraph"/>
              <w:spacing w:before="0"/>
              <w:ind w:left="50"/>
              <w:jc w:val="left"/>
              <w:rPr>
                <w:b/>
                <w:sz w:val="18"/>
              </w:rPr>
            </w:pPr>
            <w:r>
              <w:rPr>
                <w:b/>
                <w:color w:val="231F20"/>
                <w:w w:val="90"/>
                <w:sz w:val="18"/>
              </w:rPr>
              <w:t>Income</w:t>
            </w:r>
            <w:r>
              <w:rPr>
                <w:b/>
                <w:color w:val="231F20"/>
                <w:spacing w:val="21"/>
                <w:sz w:val="18"/>
              </w:rPr>
              <w:t> </w:t>
            </w:r>
            <w:r>
              <w:rPr>
                <w:b/>
                <w:color w:val="231F20"/>
                <w:w w:val="90"/>
                <w:sz w:val="18"/>
              </w:rPr>
              <w:t>Before</w:t>
            </w:r>
            <w:r>
              <w:rPr>
                <w:b/>
                <w:color w:val="231F20"/>
                <w:spacing w:val="22"/>
                <w:sz w:val="18"/>
              </w:rPr>
              <w:t> </w:t>
            </w:r>
            <w:r>
              <w:rPr>
                <w:b/>
                <w:color w:val="231F20"/>
                <w:spacing w:val="-4"/>
                <w:w w:val="90"/>
                <w:sz w:val="18"/>
              </w:rPr>
              <w:t>Taxes</w:t>
            </w:r>
          </w:p>
        </w:tc>
        <w:tc>
          <w:tcPr>
            <w:tcW w:w="923" w:type="dxa"/>
          </w:tcPr>
          <w:p>
            <w:pPr>
              <w:pStyle w:val="TableParagraph"/>
              <w:spacing w:before="0"/>
              <w:jc w:val="left"/>
              <w:rPr>
                <w:rFonts w:ascii="Times New Roman"/>
                <w:sz w:val="18"/>
              </w:rPr>
            </w:pPr>
          </w:p>
        </w:tc>
        <w:tc>
          <w:tcPr>
            <w:tcW w:w="840" w:type="dxa"/>
          </w:tcPr>
          <w:p>
            <w:pPr>
              <w:pStyle w:val="TableParagraph"/>
              <w:spacing w:before="0"/>
              <w:jc w:val="left"/>
              <w:rPr>
                <w:rFonts w:ascii="Times New Roman"/>
                <w:sz w:val="18"/>
              </w:rPr>
            </w:pPr>
          </w:p>
        </w:tc>
        <w:tc>
          <w:tcPr>
            <w:tcW w:w="240" w:type="dxa"/>
          </w:tcPr>
          <w:p>
            <w:pPr>
              <w:pStyle w:val="TableParagraph"/>
              <w:spacing w:before="0"/>
              <w:jc w:val="left"/>
              <w:rPr>
                <w:rFonts w:ascii="Times New Roman"/>
                <w:sz w:val="18"/>
              </w:rPr>
            </w:pPr>
          </w:p>
        </w:tc>
        <w:tc>
          <w:tcPr>
            <w:tcW w:w="651" w:type="dxa"/>
            <w:tcBorders>
              <w:top w:val="single" w:sz="4" w:space="0" w:color="231F20"/>
            </w:tcBorders>
          </w:tcPr>
          <w:p>
            <w:pPr>
              <w:pStyle w:val="TableParagraph"/>
              <w:spacing w:before="8"/>
              <w:jc w:val="left"/>
              <w:rPr>
                <w:b/>
                <w:sz w:val="28"/>
              </w:rPr>
            </w:pPr>
          </w:p>
          <w:p>
            <w:pPr>
              <w:pStyle w:val="TableParagraph"/>
              <w:spacing w:before="0"/>
              <w:jc w:val="right"/>
              <w:rPr>
                <w:b/>
                <w:sz w:val="18"/>
              </w:rPr>
            </w:pPr>
            <w:r>
              <w:rPr>
                <w:b/>
                <w:color w:val="231F20"/>
                <w:spacing w:val="-2"/>
                <w:w w:val="95"/>
                <w:sz w:val="18"/>
              </w:rPr>
              <w:t>$43,000</w:t>
            </w:r>
          </w:p>
        </w:tc>
      </w:tr>
      <w:tr>
        <w:trPr>
          <w:trHeight w:val="297" w:hRule="atLeast"/>
        </w:trPr>
        <w:tc>
          <w:tcPr>
            <w:tcW w:w="2917" w:type="dxa"/>
          </w:tcPr>
          <w:p>
            <w:pPr>
              <w:pStyle w:val="TableParagraph"/>
              <w:spacing w:before="43"/>
              <w:ind w:left="50"/>
              <w:jc w:val="left"/>
              <w:rPr>
                <w:sz w:val="18"/>
              </w:rPr>
            </w:pPr>
            <w:r>
              <w:rPr>
                <w:color w:val="231F20"/>
                <w:sz w:val="18"/>
              </w:rPr>
              <w:t>Less</w:t>
            </w:r>
            <w:r>
              <w:rPr>
                <w:color w:val="231F20"/>
                <w:spacing w:val="1"/>
                <w:sz w:val="18"/>
              </w:rPr>
              <w:t> </w:t>
            </w:r>
            <w:r>
              <w:rPr>
                <w:color w:val="231F20"/>
                <w:sz w:val="18"/>
              </w:rPr>
              <w:t>Federal</w:t>
            </w:r>
            <w:r>
              <w:rPr>
                <w:color w:val="231F20"/>
                <w:spacing w:val="2"/>
                <w:sz w:val="18"/>
              </w:rPr>
              <w:t> </w:t>
            </w:r>
            <w:r>
              <w:rPr>
                <w:color w:val="231F20"/>
                <w:sz w:val="18"/>
              </w:rPr>
              <w:t>and</w:t>
            </w:r>
            <w:r>
              <w:rPr>
                <w:color w:val="231F20"/>
                <w:spacing w:val="2"/>
                <w:sz w:val="18"/>
              </w:rPr>
              <w:t> </w:t>
            </w:r>
            <w:r>
              <w:rPr>
                <w:color w:val="231F20"/>
                <w:sz w:val="18"/>
              </w:rPr>
              <w:t>State</w:t>
            </w:r>
            <w:r>
              <w:rPr>
                <w:color w:val="231F20"/>
                <w:spacing w:val="2"/>
                <w:sz w:val="18"/>
              </w:rPr>
              <w:t> </w:t>
            </w:r>
            <w:r>
              <w:rPr>
                <w:color w:val="231F20"/>
                <w:sz w:val="18"/>
              </w:rPr>
              <w:t>Income</w:t>
            </w:r>
            <w:r>
              <w:rPr>
                <w:color w:val="231F20"/>
                <w:spacing w:val="1"/>
                <w:sz w:val="18"/>
              </w:rPr>
              <w:t> </w:t>
            </w:r>
            <w:r>
              <w:rPr>
                <w:color w:val="231F20"/>
                <w:spacing w:val="-4"/>
                <w:sz w:val="18"/>
              </w:rPr>
              <w:t>Taxes</w:t>
            </w:r>
          </w:p>
        </w:tc>
        <w:tc>
          <w:tcPr>
            <w:tcW w:w="923" w:type="dxa"/>
          </w:tcPr>
          <w:p>
            <w:pPr>
              <w:pStyle w:val="TableParagraph"/>
              <w:spacing w:before="0"/>
              <w:jc w:val="left"/>
              <w:rPr>
                <w:rFonts w:ascii="Times New Roman"/>
                <w:sz w:val="18"/>
              </w:rPr>
            </w:pPr>
          </w:p>
        </w:tc>
        <w:tc>
          <w:tcPr>
            <w:tcW w:w="840" w:type="dxa"/>
          </w:tcPr>
          <w:p>
            <w:pPr>
              <w:pStyle w:val="TableParagraph"/>
              <w:spacing w:before="0"/>
              <w:jc w:val="left"/>
              <w:rPr>
                <w:rFonts w:ascii="Times New Roman"/>
                <w:sz w:val="18"/>
              </w:rPr>
            </w:pPr>
          </w:p>
        </w:tc>
        <w:tc>
          <w:tcPr>
            <w:tcW w:w="240" w:type="dxa"/>
          </w:tcPr>
          <w:p>
            <w:pPr>
              <w:pStyle w:val="TableParagraph"/>
              <w:spacing w:before="0"/>
              <w:jc w:val="left"/>
              <w:rPr>
                <w:rFonts w:ascii="Times New Roman"/>
                <w:sz w:val="18"/>
              </w:rPr>
            </w:pPr>
          </w:p>
        </w:tc>
        <w:tc>
          <w:tcPr>
            <w:tcW w:w="651" w:type="dxa"/>
            <w:tcBorders>
              <w:bottom w:val="single" w:sz="4" w:space="0" w:color="231F20"/>
            </w:tcBorders>
          </w:tcPr>
          <w:p>
            <w:pPr>
              <w:pStyle w:val="TableParagraph"/>
              <w:spacing w:before="43"/>
              <w:jc w:val="right"/>
              <w:rPr>
                <w:sz w:val="18"/>
              </w:rPr>
            </w:pPr>
            <w:r>
              <w:rPr>
                <w:color w:val="231F20"/>
                <w:spacing w:val="-2"/>
                <w:sz w:val="18"/>
              </w:rPr>
              <w:t>13,000</w:t>
            </w:r>
          </w:p>
        </w:tc>
      </w:tr>
      <w:tr>
        <w:trPr>
          <w:trHeight w:val="590" w:hRule="atLeast"/>
        </w:trPr>
        <w:tc>
          <w:tcPr>
            <w:tcW w:w="2917" w:type="dxa"/>
          </w:tcPr>
          <w:p>
            <w:pPr>
              <w:pStyle w:val="TableParagraph"/>
              <w:spacing w:before="8"/>
              <w:jc w:val="left"/>
              <w:rPr>
                <w:b/>
                <w:sz w:val="28"/>
              </w:rPr>
            </w:pPr>
          </w:p>
          <w:p>
            <w:pPr>
              <w:pStyle w:val="TableParagraph"/>
              <w:spacing w:before="0"/>
              <w:ind w:left="50"/>
              <w:jc w:val="left"/>
              <w:rPr>
                <w:b/>
                <w:sz w:val="18"/>
              </w:rPr>
            </w:pPr>
            <w:r>
              <w:rPr>
                <w:b/>
                <w:color w:val="231F20"/>
                <w:sz w:val="18"/>
              </w:rPr>
              <w:t>Net</w:t>
            </w:r>
            <w:r>
              <w:rPr>
                <w:b/>
                <w:color w:val="231F20"/>
                <w:spacing w:val="15"/>
                <w:sz w:val="18"/>
              </w:rPr>
              <w:t> </w:t>
            </w:r>
            <w:r>
              <w:rPr>
                <w:b/>
                <w:color w:val="231F20"/>
                <w:spacing w:val="-2"/>
                <w:sz w:val="18"/>
              </w:rPr>
              <w:t>Income</w:t>
            </w:r>
          </w:p>
        </w:tc>
        <w:tc>
          <w:tcPr>
            <w:tcW w:w="923" w:type="dxa"/>
          </w:tcPr>
          <w:p>
            <w:pPr>
              <w:pStyle w:val="TableParagraph"/>
              <w:spacing w:before="0"/>
              <w:jc w:val="left"/>
              <w:rPr>
                <w:rFonts w:ascii="Times New Roman"/>
                <w:sz w:val="18"/>
              </w:rPr>
            </w:pPr>
          </w:p>
        </w:tc>
        <w:tc>
          <w:tcPr>
            <w:tcW w:w="840" w:type="dxa"/>
          </w:tcPr>
          <w:p>
            <w:pPr>
              <w:pStyle w:val="TableParagraph"/>
              <w:spacing w:before="0"/>
              <w:jc w:val="left"/>
              <w:rPr>
                <w:rFonts w:ascii="Times New Roman"/>
                <w:sz w:val="18"/>
              </w:rPr>
            </w:pPr>
          </w:p>
        </w:tc>
        <w:tc>
          <w:tcPr>
            <w:tcW w:w="240" w:type="dxa"/>
          </w:tcPr>
          <w:p>
            <w:pPr>
              <w:pStyle w:val="TableParagraph"/>
              <w:spacing w:before="0"/>
              <w:jc w:val="left"/>
              <w:rPr>
                <w:rFonts w:ascii="Times New Roman"/>
                <w:sz w:val="18"/>
              </w:rPr>
            </w:pPr>
          </w:p>
        </w:tc>
        <w:tc>
          <w:tcPr>
            <w:tcW w:w="651" w:type="dxa"/>
            <w:tcBorders>
              <w:top w:val="single" w:sz="4" w:space="0" w:color="231F20"/>
              <w:bottom w:val="single" w:sz="4" w:space="0" w:color="231F20"/>
            </w:tcBorders>
          </w:tcPr>
          <w:p>
            <w:pPr>
              <w:pStyle w:val="TableParagraph"/>
              <w:spacing w:before="8"/>
              <w:jc w:val="left"/>
              <w:rPr>
                <w:b/>
                <w:sz w:val="28"/>
              </w:rPr>
            </w:pPr>
          </w:p>
          <w:p>
            <w:pPr>
              <w:pStyle w:val="TableParagraph"/>
              <w:spacing w:before="0"/>
              <w:jc w:val="right"/>
              <w:rPr>
                <w:b/>
                <w:sz w:val="18"/>
              </w:rPr>
            </w:pPr>
            <w:r>
              <w:rPr>
                <w:b/>
                <w:color w:val="231F20"/>
                <w:spacing w:val="-2"/>
                <w:w w:val="95"/>
                <w:sz w:val="18"/>
              </w:rPr>
              <w:t>$30,000</w:t>
            </w:r>
          </w:p>
        </w:tc>
      </w:tr>
      <w:tr>
        <w:trPr>
          <w:trHeight w:val="248" w:hRule="atLeast"/>
        </w:trPr>
        <w:tc>
          <w:tcPr>
            <w:tcW w:w="3840" w:type="dxa"/>
            <w:gridSpan w:val="2"/>
          </w:tcPr>
          <w:p>
            <w:pPr>
              <w:pStyle w:val="TableParagraph"/>
              <w:spacing w:line="192" w:lineRule="exact" w:before="36"/>
              <w:ind w:left="50"/>
              <w:jc w:val="left"/>
              <w:rPr>
                <w:sz w:val="18"/>
              </w:rPr>
            </w:pPr>
            <w:r>
              <w:rPr>
                <w:color w:val="231F20"/>
                <w:sz w:val="18"/>
              </w:rPr>
              <w:t>Net</w:t>
            </w:r>
            <w:r>
              <w:rPr>
                <w:color w:val="231F20"/>
                <w:spacing w:val="5"/>
                <w:sz w:val="18"/>
              </w:rPr>
              <w:t> </w:t>
            </w:r>
            <w:r>
              <w:rPr>
                <w:color w:val="231F20"/>
                <w:sz w:val="18"/>
              </w:rPr>
              <w:t>Income</w:t>
            </w:r>
            <w:r>
              <w:rPr>
                <w:color w:val="231F20"/>
                <w:spacing w:val="5"/>
                <w:sz w:val="18"/>
              </w:rPr>
              <w:t> </w:t>
            </w:r>
            <w:r>
              <w:rPr>
                <w:color w:val="231F20"/>
                <w:sz w:val="18"/>
              </w:rPr>
              <w:t>per</w:t>
            </w:r>
            <w:r>
              <w:rPr>
                <w:color w:val="231F20"/>
                <w:spacing w:val="5"/>
                <w:sz w:val="18"/>
              </w:rPr>
              <w:t> </w:t>
            </w:r>
            <w:r>
              <w:rPr>
                <w:color w:val="231F20"/>
                <w:sz w:val="18"/>
              </w:rPr>
              <w:t>Share</w:t>
            </w:r>
            <w:r>
              <w:rPr>
                <w:color w:val="231F20"/>
                <w:spacing w:val="6"/>
                <w:sz w:val="18"/>
              </w:rPr>
              <w:t> </w:t>
            </w:r>
            <w:r>
              <w:rPr>
                <w:color w:val="231F20"/>
                <w:sz w:val="18"/>
              </w:rPr>
              <w:t>($30,000/1,000</w:t>
            </w:r>
            <w:r>
              <w:rPr>
                <w:color w:val="231F20"/>
                <w:spacing w:val="5"/>
                <w:sz w:val="18"/>
              </w:rPr>
              <w:t> </w:t>
            </w:r>
            <w:r>
              <w:rPr>
                <w:color w:val="231F20"/>
                <w:spacing w:val="-2"/>
                <w:sz w:val="18"/>
              </w:rPr>
              <w:t>shares)</w:t>
            </w:r>
          </w:p>
        </w:tc>
        <w:tc>
          <w:tcPr>
            <w:tcW w:w="840" w:type="dxa"/>
          </w:tcPr>
          <w:p>
            <w:pPr>
              <w:pStyle w:val="TableParagraph"/>
              <w:spacing w:before="0"/>
              <w:jc w:val="left"/>
              <w:rPr>
                <w:rFonts w:ascii="Times New Roman"/>
                <w:sz w:val="18"/>
              </w:rPr>
            </w:pPr>
          </w:p>
        </w:tc>
        <w:tc>
          <w:tcPr>
            <w:tcW w:w="240" w:type="dxa"/>
          </w:tcPr>
          <w:p>
            <w:pPr>
              <w:pStyle w:val="TableParagraph"/>
              <w:spacing w:before="0"/>
              <w:jc w:val="left"/>
              <w:rPr>
                <w:rFonts w:ascii="Times New Roman"/>
                <w:sz w:val="18"/>
              </w:rPr>
            </w:pPr>
          </w:p>
        </w:tc>
        <w:tc>
          <w:tcPr>
            <w:tcW w:w="651" w:type="dxa"/>
            <w:tcBorders>
              <w:top w:val="single" w:sz="4" w:space="0" w:color="231F20"/>
            </w:tcBorders>
          </w:tcPr>
          <w:p>
            <w:pPr>
              <w:pStyle w:val="TableParagraph"/>
              <w:spacing w:line="192" w:lineRule="exact" w:before="36"/>
              <w:ind w:right="-15"/>
              <w:jc w:val="right"/>
              <w:rPr>
                <w:sz w:val="18"/>
              </w:rPr>
            </w:pPr>
            <w:r>
              <w:rPr>
                <w:color w:val="231F20"/>
                <w:spacing w:val="-2"/>
                <w:w w:val="105"/>
                <w:sz w:val="18"/>
              </w:rPr>
              <w:t>30.00</w:t>
            </w:r>
          </w:p>
        </w:tc>
      </w:tr>
    </w:tbl>
    <w:p>
      <w:pPr>
        <w:pStyle w:val="BodyText"/>
        <w:rPr>
          <w:b/>
          <w:sz w:val="22"/>
        </w:rPr>
      </w:pPr>
    </w:p>
    <w:p>
      <w:pPr>
        <w:pStyle w:val="BodyText"/>
        <w:spacing w:line="292" w:lineRule="auto" w:before="184"/>
        <w:ind w:left="830" w:right="754"/>
        <w:jc w:val="both"/>
      </w:pPr>
      <w:r>
        <w:rPr>
          <w:color w:val="231F20"/>
        </w:rPr>
        <w:t>tants make </w:t>
      </w:r>
      <w:r>
        <w:rPr>
          <w:i/>
          <w:color w:val="231F20"/>
        </w:rPr>
        <w:t>journal entries </w:t>
      </w:r>
      <w:r>
        <w:rPr>
          <w:color w:val="231F20"/>
        </w:rPr>
        <w:t>to the company’s books to tally up net </w:t>
      </w:r>
      <w:r>
        <w:rPr>
          <w:color w:val="231F20"/>
        </w:rPr>
        <w:t>in- come during the year. Net income is the result of subtracting the ex- penses from the sales made during a defined period of time. Net income is also the net increase in assets for the same period of time. Journal entries keep track of the total of all the revenues and ex- penses as well as their corresponding increases and decreases in as- sets. Accountants make the entries for the income statement at the same time as they prepare the balance sheet.</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firstLine="340"/>
        <w:jc w:val="both"/>
      </w:pPr>
      <w:r>
        <w:rPr>
          <w:color w:val="231F20"/>
        </w:rPr>
        <w:t>During the year, running totals are accumulated for each </w:t>
      </w:r>
      <w:r>
        <w:rPr>
          <w:color w:val="231F20"/>
        </w:rPr>
        <w:t>revenue and expense to calculate the final net income figure for the entire year. At year’s end when the final tally is completed and net income</w:t>
      </w:r>
      <w:r>
        <w:rPr>
          <w:color w:val="231F20"/>
          <w:spacing w:val="40"/>
        </w:rPr>
        <w:t> </w:t>
      </w:r>
      <w:r>
        <w:rPr>
          <w:color w:val="231F20"/>
        </w:rPr>
        <w:t>is calculated, the running totals of revenues and expenses are set to zero for the new year, and the difference or net income or loss is recorded on the balance sheet as retained earnings. That accounting year, at times called a </w:t>
      </w:r>
      <w:r>
        <w:rPr>
          <w:i/>
          <w:color w:val="231F20"/>
        </w:rPr>
        <w:t>fiscal year, </w:t>
      </w:r>
      <w:r>
        <w:rPr>
          <w:color w:val="231F20"/>
        </w:rPr>
        <w:t>can begin in any month. It does not have to start in January.</w:t>
      </w:r>
    </w:p>
    <w:p>
      <w:pPr>
        <w:pStyle w:val="BodyText"/>
        <w:spacing w:line="292" w:lineRule="auto"/>
        <w:ind w:left="919" w:right="667" w:firstLine="340"/>
        <w:jc w:val="both"/>
      </w:pPr>
      <w:r>
        <w:rPr>
          <w:color w:val="231F20"/>
        </w:rPr>
        <w:t>The journal entries look the same as those that you have seen used for the balance sheet. To track the income statement, </w:t>
      </w:r>
      <w:r>
        <w:rPr>
          <w:i/>
          <w:color w:val="231F20"/>
        </w:rPr>
        <w:t>revenues</w:t>
      </w:r>
      <w:r>
        <w:rPr>
          <w:i/>
          <w:color w:val="231F20"/>
        </w:rPr>
        <w:t> </w:t>
      </w:r>
      <w:r>
        <w:rPr>
          <w:color w:val="231F20"/>
        </w:rPr>
        <w:t>are recorded as </w:t>
      </w:r>
      <w:r>
        <w:rPr>
          <w:i/>
          <w:color w:val="231F20"/>
        </w:rPr>
        <w:t>credits </w:t>
      </w:r>
      <w:r>
        <w:rPr>
          <w:color w:val="231F20"/>
        </w:rPr>
        <w:t>(on the right side), and </w:t>
      </w:r>
      <w:r>
        <w:rPr>
          <w:i/>
          <w:color w:val="231F20"/>
        </w:rPr>
        <w:t>expenses </w:t>
      </w:r>
      <w:r>
        <w:rPr>
          <w:color w:val="231F20"/>
        </w:rPr>
        <w:t>are recorded as </w:t>
      </w:r>
      <w:r>
        <w:rPr>
          <w:i/>
          <w:color w:val="231F20"/>
        </w:rPr>
        <w:t>debits </w:t>
      </w:r>
      <w:r>
        <w:rPr>
          <w:color w:val="231F20"/>
        </w:rPr>
        <w:t>(on the left).</w:t>
      </w:r>
    </w:p>
    <w:p>
      <w:pPr>
        <w:pStyle w:val="BodyText"/>
        <w:spacing w:line="292" w:lineRule="auto"/>
        <w:ind w:left="920" w:right="663" w:firstLine="340"/>
        <w:jc w:val="both"/>
      </w:pPr>
      <w:r>
        <w:rPr>
          <w:color w:val="231F20"/>
        </w:rPr>
        <w:t>Income statement entries are combined with balance sheet en- tries. A sale means that the business received something of value, an asset, in exchange for something else of value, an expense. At </w:t>
      </w:r>
      <w:r>
        <w:rPr>
          <w:color w:val="231F20"/>
        </w:rPr>
        <w:t>Bob’s grocery store, sales meant that an inflow of cash came in exchange</w:t>
      </w:r>
      <w:r>
        <w:rPr>
          <w:color w:val="231F20"/>
          <w:spacing w:val="40"/>
        </w:rPr>
        <w:t> </w:t>
      </w:r>
      <w:r>
        <w:rPr>
          <w:color w:val="231F20"/>
        </w:rPr>
        <w:t>for grocery inventory. Bob’s accountant made weekly entries to record his sales and their costs in the following way:</w:t>
      </w:r>
    </w:p>
    <w:p>
      <w:pPr>
        <w:pStyle w:val="BodyText"/>
        <w:spacing w:before="11"/>
        <w:rPr>
          <w:sz w:val="30"/>
        </w:rPr>
      </w:pPr>
    </w:p>
    <w:p>
      <w:pPr>
        <w:spacing w:before="0"/>
        <w:ind w:left="475" w:right="219" w:firstLine="0"/>
        <w:jc w:val="center"/>
        <w:rPr>
          <w:b/>
          <w:sz w:val="20"/>
        </w:rPr>
      </w:pPr>
      <w:r>
        <w:rPr>
          <w:b/>
          <w:color w:val="231F20"/>
          <w:w w:val="110"/>
          <w:sz w:val="20"/>
        </w:rPr>
        <w:t>INCOME</w:t>
      </w:r>
      <w:r>
        <w:rPr>
          <w:b/>
          <w:color w:val="231F20"/>
          <w:spacing w:val="65"/>
          <w:w w:val="150"/>
          <w:sz w:val="20"/>
        </w:rPr>
        <w:t> </w:t>
      </w:r>
      <w:r>
        <w:rPr>
          <w:b/>
          <w:color w:val="231F20"/>
          <w:w w:val="110"/>
          <w:sz w:val="20"/>
        </w:rPr>
        <w:t>STATEMENT</w:t>
      </w:r>
      <w:r>
        <w:rPr>
          <w:b/>
          <w:color w:val="231F20"/>
          <w:spacing w:val="65"/>
          <w:w w:val="150"/>
          <w:sz w:val="20"/>
        </w:rPr>
        <w:t> </w:t>
      </w:r>
      <w:r>
        <w:rPr>
          <w:b/>
          <w:color w:val="231F20"/>
          <w:w w:val="110"/>
          <w:sz w:val="20"/>
        </w:rPr>
        <w:t>JOURNAL</w:t>
      </w:r>
      <w:r>
        <w:rPr>
          <w:b/>
          <w:color w:val="231F20"/>
          <w:spacing w:val="66"/>
          <w:w w:val="150"/>
          <w:sz w:val="20"/>
        </w:rPr>
        <w:t> </w:t>
      </w:r>
      <w:r>
        <w:rPr>
          <w:b/>
          <w:color w:val="231F20"/>
          <w:w w:val="110"/>
          <w:sz w:val="20"/>
        </w:rPr>
        <w:t>ENTRY</w:t>
      </w:r>
      <w:r>
        <w:rPr>
          <w:b/>
          <w:color w:val="231F20"/>
          <w:spacing w:val="65"/>
          <w:w w:val="150"/>
          <w:sz w:val="20"/>
        </w:rPr>
        <w:t> </w:t>
      </w:r>
      <w:r>
        <w:rPr>
          <w:b/>
          <w:color w:val="231F20"/>
          <w:spacing w:val="-5"/>
          <w:w w:val="110"/>
          <w:sz w:val="20"/>
        </w:rPr>
        <w:t>#1</w:t>
      </w:r>
    </w:p>
    <w:p>
      <w:pPr>
        <w:pStyle w:val="BodyText"/>
        <w:spacing w:before="3"/>
        <w:rPr>
          <w:b/>
          <w:sz w:val="5"/>
        </w:rPr>
      </w:pPr>
      <w:r>
        <w:rPr/>
        <w:pict>
          <v:shape style="position:absolute;margin-left:80pt;margin-top:4.285155pt;width:276.5pt;height:.1pt;mso-position-horizontal-relative:page;mso-position-vertical-relative:paragraph;z-index:-15672832;mso-wrap-distance-left:0;mso-wrap-distance-right:0" id="docshape107" coordorigin="1600,86" coordsize="5530,0" path="m1600,86l7130,86e" filled="false" stroked="true" strokeweight="1pt" strokecolor="#231f20">
            <v:path arrowok="t"/>
            <v:stroke dashstyle="solid"/>
            <w10:wrap type="topAndBottom"/>
          </v:shape>
        </w:pict>
      </w:r>
    </w:p>
    <w:p>
      <w:pPr>
        <w:pStyle w:val="BodyText"/>
        <w:spacing w:before="6"/>
        <w:rPr>
          <w:b/>
          <w:sz w:val="19"/>
        </w:rPr>
      </w:pPr>
    </w:p>
    <w:p>
      <w:pPr>
        <w:tabs>
          <w:tab w:pos="3464" w:val="left" w:leader="none"/>
          <w:tab w:pos="4254" w:val="left" w:leader="none"/>
        </w:tabs>
        <w:spacing w:before="0"/>
        <w:ind w:left="234" w:right="0" w:firstLine="0"/>
        <w:jc w:val="center"/>
        <w:rPr>
          <w:b/>
          <w:i/>
          <w:sz w:val="18"/>
        </w:rPr>
      </w:pPr>
      <w:r>
        <w:rPr>
          <w:b/>
          <w:i/>
          <w:color w:val="231F20"/>
          <w:w w:val="110"/>
          <w:sz w:val="18"/>
        </w:rPr>
        <w:t>ACCOUNT</w:t>
      </w:r>
      <w:r>
        <w:rPr>
          <w:b/>
          <w:i/>
          <w:color w:val="231F20"/>
          <w:spacing w:val="-3"/>
          <w:w w:val="110"/>
          <w:sz w:val="18"/>
        </w:rPr>
        <w:t> </w:t>
      </w:r>
      <w:r>
        <w:rPr>
          <w:b/>
          <w:i/>
          <w:color w:val="231F20"/>
          <w:w w:val="110"/>
          <w:sz w:val="18"/>
        </w:rPr>
        <w:t>TITLE</w:t>
      </w:r>
      <w:r>
        <w:rPr>
          <w:b/>
          <w:i/>
          <w:color w:val="231F20"/>
          <w:spacing w:val="37"/>
          <w:w w:val="110"/>
          <w:sz w:val="18"/>
        </w:rPr>
        <w:t>  </w:t>
      </w:r>
      <w:r>
        <w:rPr>
          <w:b/>
          <w:i/>
          <w:color w:val="231F20"/>
          <w:spacing w:val="-2"/>
          <w:w w:val="110"/>
          <w:sz w:val="18"/>
        </w:rPr>
        <w:t>(TYPE)</w:t>
      </w:r>
      <w:r>
        <w:rPr>
          <w:b/>
          <w:i/>
          <w:color w:val="231F20"/>
          <w:sz w:val="18"/>
        </w:rPr>
        <w:tab/>
      </w:r>
      <w:r>
        <w:rPr>
          <w:b/>
          <w:i/>
          <w:color w:val="231F20"/>
          <w:spacing w:val="-4"/>
          <w:w w:val="110"/>
          <w:sz w:val="18"/>
        </w:rPr>
        <w:t>DEBIT</w:t>
      </w:r>
      <w:r>
        <w:rPr>
          <w:b/>
          <w:i/>
          <w:color w:val="231F20"/>
          <w:sz w:val="18"/>
        </w:rPr>
        <w:tab/>
      </w:r>
      <w:r>
        <w:rPr>
          <w:b/>
          <w:i/>
          <w:color w:val="231F20"/>
          <w:w w:val="110"/>
          <w:sz w:val="18"/>
        </w:rPr>
        <w:t>CREDIT</w:t>
      </w:r>
      <w:r>
        <w:rPr>
          <w:b/>
          <w:i/>
          <w:color w:val="231F20"/>
          <w:spacing w:val="31"/>
          <w:w w:val="110"/>
          <w:sz w:val="18"/>
        </w:rPr>
        <w:t>  </w:t>
      </w:r>
      <w:r>
        <w:rPr>
          <w:b/>
          <w:i/>
          <w:color w:val="231F20"/>
          <w:spacing w:val="-2"/>
          <w:w w:val="110"/>
          <w:sz w:val="18"/>
        </w:rPr>
        <w:t>EFFECT</w:t>
      </w:r>
    </w:p>
    <w:p>
      <w:pPr>
        <w:tabs>
          <w:tab w:pos="2849" w:val="left" w:leader="none"/>
          <w:tab w:pos="4490" w:val="left" w:leader="none"/>
          <w:tab w:pos="5280" w:val="left" w:leader="none"/>
          <w:tab w:pos="6100" w:val="left" w:leader="none"/>
        </w:tabs>
        <w:spacing w:line="340" w:lineRule="auto" w:before="89"/>
        <w:ind w:left="1260" w:right="1077" w:firstLine="0"/>
        <w:jc w:val="left"/>
        <w:rPr>
          <w:sz w:val="18"/>
        </w:rPr>
      </w:pPr>
      <w:r>
        <w:rPr>
          <w:color w:val="231F20"/>
          <w:spacing w:val="-4"/>
          <w:sz w:val="18"/>
        </w:rPr>
        <w:t>Cash</w:t>
      </w:r>
      <w:r>
        <w:rPr>
          <w:color w:val="231F20"/>
          <w:sz w:val="18"/>
        </w:rPr>
        <w:tab/>
      </w:r>
      <w:r>
        <w:rPr>
          <w:color w:val="231F20"/>
          <w:spacing w:val="-2"/>
          <w:sz w:val="18"/>
        </w:rPr>
        <w:t>(Asset)</w:t>
      </w:r>
      <w:r>
        <w:rPr>
          <w:color w:val="231F20"/>
          <w:sz w:val="18"/>
        </w:rPr>
        <w:tab/>
      </w:r>
      <w:r>
        <w:rPr>
          <w:color w:val="231F20"/>
          <w:spacing w:val="-2"/>
          <w:sz w:val="18"/>
        </w:rPr>
        <w:t>100,000</w:t>
      </w:r>
      <w:r>
        <w:rPr>
          <w:color w:val="231F20"/>
          <w:sz w:val="18"/>
        </w:rPr>
        <w:tab/>
        <w:tab/>
      </w:r>
      <w:r>
        <w:rPr>
          <w:color w:val="231F20"/>
          <w:spacing w:val="-6"/>
          <w:sz w:val="18"/>
        </w:rPr>
        <w:t>increase</w:t>
      </w:r>
      <w:r>
        <w:rPr>
          <w:color w:val="231F20"/>
          <w:spacing w:val="40"/>
          <w:sz w:val="18"/>
        </w:rPr>
        <w:t> </w:t>
      </w:r>
      <w:r>
        <w:rPr>
          <w:color w:val="231F20"/>
          <w:sz w:val="18"/>
        </w:rPr>
        <w:t>Sales</w:t>
      </w:r>
      <w:r>
        <w:rPr>
          <w:color w:val="231F20"/>
          <w:spacing w:val="-2"/>
          <w:sz w:val="18"/>
        </w:rPr>
        <w:t> Revenue</w:t>
      </w:r>
      <w:r>
        <w:rPr>
          <w:color w:val="231F20"/>
          <w:sz w:val="18"/>
        </w:rPr>
        <w:tab/>
      </w:r>
      <w:r>
        <w:rPr>
          <w:color w:val="231F20"/>
          <w:spacing w:val="-39"/>
          <w:sz w:val="18"/>
        </w:rPr>
        <w:t> </w:t>
      </w:r>
      <w:r>
        <w:rPr>
          <w:color w:val="231F20"/>
          <w:sz w:val="18"/>
        </w:rPr>
        <w:t>(Income</w:t>
      </w:r>
      <w:r>
        <w:rPr>
          <w:color w:val="231F20"/>
          <w:spacing w:val="-3"/>
          <w:sz w:val="18"/>
        </w:rPr>
        <w:t> </w:t>
      </w:r>
      <w:r>
        <w:rPr>
          <w:color w:val="231F20"/>
          <w:spacing w:val="-2"/>
          <w:sz w:val="18"/>
        </w:rPr>
        <w:t>Statement)</w:t>
      </w:r>
      <w:r>
        <w:rPr>
          <w:color w:val="231F20"/>
          <w:sz w:val="18"/>
        </w:rPr>
        <w:tab/>
        <w:tab/>
        <w:t>100,000</w:t>
      </w:r>
      <w:r>
        <w:rPr>
          <w:color w:val="231F20"/>
          <w:spacing w:val="51"/>
          <w:sz w:val="18"/>
        </w:rPr>
        <w:t>  </w:t>
      </w:r>
      <w:r>
        <w:rPr>
          <w:color w:val="231F20"/>
          <w:spacing w:val="-5"/>
          <w:sz w:val="18"/>
        </w:rPr>
        <w:t>increase</w:t>
      </w:r>
    </w:p>
    <w:p>
      <w:pPr>
        <w:pStyle w:val="BodyText"/>
        <w:spacing w:before="2"/>
        <w:rPr>
          <w:sz w:val="23"/>
        </w:rPr>
      </w:pPr>
    </w:p>
    <w:p>
      <w:pPr>
        <w:pStyle w:val="BodyText"/>
        <w:ind w:left="1260"/>
      </w:pPr>
      <w:r>
        <w:rPr>
          <w:color w:val="231F20"/>
        </w:rPr>
        <w:t>Similarly</w:t>
      </w:r>
      <w:r>
        <w:rPr>
          <w:color w:val="231F20"/>
          <w:spacing w:val="7"/>
        </w:rPr>
        <w:t> </w:t>
      </w:r>
      <w:r>
        <w:rPr>
          <w:color w:val="231F20"/>
        </w:rPr>
        <w:t>the</w:t>
      </w:r>
      <w:r>
        <w:rPr>
          <w:color w:val="231F20"/>
          <w:spacing w:val="8"/>
        </w:rPr>
        <w:t> </w:t>
      </w:r>
      <w:r>
        <w:rPr>
          <w:color w:val="231F20"/>
        </w:rPr>
        <w:t>accountant</w:t>
      </w:r>
      <w:r>
        <w:rPr>
          <w:color w:val="231F20"/>
          <w:spacing w:val="7"/>
        </w:rPr>
        <w:t> </w:t>
      </w:r>
      <w:r>
        <w:rPr>
          <w:color w:val="231F20"/>
        </w:rPr>
        <w:t>recorded</w:t>
      </w:r>
      <w:r>
        <w:rPr>
          <w:color w:val="231F20"/>
          <w:spacing w:val="8"/>
        </w:rPr>
        <w:t> </w:t>
      </w:r>
      <w:r>
        <w:rPr>
          <w:color w:val="231F20"/>
        </w:rPr>
        <w:t>the</w:t>
      </w:r>
      <w:r>
        <w:rPr>
          <w:color w:val="231F20"/>
          <w:spacing w:val="7"/>
        </w:rPr>
        <w:t> </w:t>
      </w:r>
      <w:r>
        <w:rPr>
          <w:color w:val="231F20"/>
        </w:rPr>
        <w:t>cost</w:t>
      </w:r>
      <w:r>
        <w:rPr>
          <w:color w:val="231F20"/>
          <w:spacing w:val="8"/>
        </w:rPr>
        <w:t> </w:t>
      </w:r>
      <w:r>
        <w:rPr>
          <w:color w:val="231F20"/>
        </w:rPr>
        <w:t>of</w:t>
      </w:r>
      <w:r>
        <w:rPr>
          <w:color w:val="231F20"/>
          <w:spacing w:val="7"/>
        </w:rPr>
        <w:t> </w:t>
      </w:r>
      <w:r>
        <w:rPr>
          <w:color w:val="231F20"/>
        </w:rPr>
        <w:t>those</w:t>
      </w:r>
      <w:r>
        <w:rPr>
          <w:color w:val="231F20"/>
          <w:spacing w:val="8"/>
        </w:rPr>
        <w:t> </w:t>
      </w:r>
      <w:r>
        <w:rPr>
          <w:color w:val="231F20"/>
          <w:spacing w:val="-2"/>
        </w:rPr>
        <w:t>sales:</w:t>
      </w:r>
    </w:p>
    <w:p>
      <w:pPr>
        <w:pStyle w:val="BodyText"/>
        <w:rPr>
          <w:sz w:val="24"/>
        </w:rPr>
      </w:pPr>
    </w:p>
    <w:p>
      <w:pPr>
        <w:spacing w:before="142"/>
        <w:ind w:left="475" w:right="219" w:firstLine="0"/>
        <w:jc w:val="center"/>
        <w:rPr>
          <w:b/>
          <w:sz w:val="20"/>
        </w:rPr>
      </w:pPr>
      <w:r>
        <w:rPr>
          <w:b/>
          <w:color w:val="231F20"/>
          <w:w w:val="110"/>
          <w:sz w:val="20"/>
        </w:rPr>
        <w:t>INCOME</w:t>
      </w:r>
      <w:r>
        <w:rPr>
          <w:b/>
          <w:color w:val="231F20"/>
          <w:spacing w:val="65"/>
          <w:w w:val="150"/>
          <w:sz w:val="20"/>
        </w:rPr>
        <w:t> </w:t>
      </w:r>
      <w:r>
        <w:rPr>
          <w:b/>
          <w:color w:val="231F20"/>
          <w:w w:val="110"/>
          <w:sz w:val="20"/>
        </w:rPr>
        <w:t>STATEMENT</w:t>
      </w:r>
      <w:r>
        <w:rPr>
          <w:b/>
          <w:color w:val="231F20"/>
          <w:spacing w:val="65"/>
          <w:w w:val="150"/>
          <w:sz w:val="20"/>
        </w:rPr>
        <w:t> </w:t>
      </w:r>
      <w:r>
        <w:rPr>
          <w:b/>
          <w:color w:val="231F20"/>
          <w:w w:val="110"/>
          <w:sz w:val="20"/>
        </w:rPr>
        <w:t>JOURNAL</w:t>
      </w:r>
      <w:r>
        <w:rPr>
          <w:b/>
          <w:color w:val="231F20"/>
          <w:spacing w:val="66"/>
          <w:w w:val="150"/>
          <w:sz w:val="20"/>
        </w:rPr>
        <w:t> </w:t>
      </w:r>
      <w:r>
        <w:rPr>
          <w:b/>
          <w:color w:val="231F20"/>
          <w:w w:val="110"/>
          <w:sz w:val="20"/>
        </w:rPr>
        <w:t>ENTRY</w:t>
      </w:r>
      <w:r>
        <w:rPr>
          <w:b/>
          <w:color w:val="231F20"/>
          <w:spacing w:val="65"/>
          <w:w w:val="150"/>
          <w:sz w:val="20"/>
        </w:rPr>
        <w:t> </w:t>
      </w:r>
      <w:r>
        <w:rPr>
          <w:b/>
          <w:color w:val="231F20"/>
          <w:spacing w:val="-5"/>
          <w:w w:val="110"/>
          <w:sz w:val="20"/>
        </w:rPr>
        <w:t>#2</w:t>
      </w:r>
    </w:p>
    <w:p>
      <w:pPr>
        <w:pStyle w:val="BodyText"/>
        <w:spacing w:before="3"/>
        <w:rPr>
          <w:b/>
          <w:sz w:val="5"/>
        </w:rPr>
      </w:pPr>
      <w:r>
        <w:rPr/>
        <w:pict>
          <v:shape style="position:absolute;margin-left:80pt;margin-top:4.311699pt;width:276.5pt;height:.1pt;mso-position-horizontal-relative:page;mso-position-vertical-relative:paragraph;z-index:-15672320;mso-wrap-distance-left:0;mso-wrap-distance-right:0" id="docshape108" coordorigin="1600,86" coordsize="5530,0" path="m1600,86l7130,86e" filled="false" stroked="true" strokeweight="1pt" strokecolor="#231f20">
            <v:path arrowok="t"/>
            <v:stroke dashstyle="solid"/>
            <w10:wrap type="topAndBottom"/>
          </v:shape>
        </w:pict>
      </w:r>
    </w:p>
    <w:p>
      <w:pPr>
        <w:pStyle w:val="BodyText"/>
        <w:spacing w:after="1"/>
        <w:rPr>
          <w:b/>
          <w:sz w:val="20"/>
        </w:rPr>
      </w:pPr>
    </w:p>
    <w:tbl>
      <w:tblPr>
        <w:tblW w:w="0" w:type="auto"/>
        <w:jc w:val="left"/>
        <w:tblInd w:w="1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3"/>
        <w:gridCol w:w="1663"/>
        <w:gridCol w:w="737"/>
        <w:gridCol w:w="862"/>
        <w:gridCol w:w="803"/>
      </w:tblGrid>
      <w:tr>
        <w:trPr>
          <w:trHeight w:val="250" w:hRule="atLeast"/>
        </w:trPr>
        <w:tc>
          <w:tcPr>
            <w:tcW w:w="1553" w:type="dxa"/>
          </w:tcPr>
          <w:p>
            <w:pPr>
              <w:pStyle w:val="TableParagraph"/>
              <w:spacing w:line="205" w:lineRule="exact" w:before="0"/>
              <w:ind w:left="50"/>
              <w:jc w:val="left"/>
              <w:rPr>
                <w:b/>
                <w:i/>
                <w:sz w:val="18"/>
              </w:rPr>
            </w:pPr>
            <w:r>
              <w:rPr>
                <w:b/>
                <w:i/>
                <w:color w:val="231F20"/>
                <w:w w:val="105"/>
                <w:sz w:val="18"/>
              </w:rPr>
              <w:t>ACCOUNT</w:t>
            </w:r>
            <w:r>
              <w:rPr>
                <w:b/>
                <w:i/>
                <w:color w:val="231F20"/>
                <w:spacing w:val="24"/>
                <w:w w:val="110"/>
                <w:sz w:val="18"/>
              </w:rPr>
              <w:t> </w:t>
            </w:r>
            <w:r>
              <w:rPr>
                <w:b/>
                <w:i/>
                <w:color w:val="231F20"/>
                <w:spacing w:val="-2"/>
                <w:w w:val="110"/>
                <w:sz w:val="18"/>
              </w:rPr>
              <w:t>TITLE</w:t>
            </w:r>
          </w:p>
        </w:tc>
        <w:tc>
          <w:tcPr>
            <w:tcW w:w="1663" w:type="dxa"/>
          </w:tcPr>
          <w:p>
            <w:pPr>
              <w:pStyle w:val="TableParagraph"/>
              <w:spacing w:line="205" w:lineRule="exact" w:before="0"/>
              <w:ind w:left="87"/>
              <w:jc w:val="left"/>
              <w:rPr>
                <w:b/>
                <w:i/>
                <w:sz w:val="18"/>
              </w:rPr>
            </w:pPr>
            <w:r>
              <w:rPr>
                <w:b/>
                <w:i/>
                <w:color w:val="231F20"/>
                <w:spacing w:val="-2"/>
                <w:w w:val="110"/>
                <w:sz w:val="18"/>
              </w:rPr>
              <w:t>(TYPE)</w:t>
            </w:r>
          </w:p>
        </w:tc>
        <w:tc>
          <w:tcPr>
            <w:tcW w:w="737" w:type="dxa"/>
          </w:tcPr>
          <w:p>
            <w:pPr>
              <w:pStyle w:val="TableParagraph"/>
              <w:spacing w:line="205" w:lineRule="exact" w:before="0"/>
              <w:ind w:left="64"/>
              <w:jc w:val="left"/>
              <w:rPr>
                <w:b/>
                <w:i/>
                <w:sz w:val="18"/>
              </w:rPr>
            </w:pPr>
            <w:r>
              <w:rPr>
                <w:b/>
                <w:i/>
                <w:color w:val="231F20"/>
                <w:spacing w:val="-4"/>
                <w:w w:val="110"/>
                <w:sz w:val="18"/>
              </w:rPr>
              <w:t>DEBIT</w:t>
            </w:r>
          </w:p>
        </w:tc>
        <w:tc>
          <w:tcPr>
            <w:tcW w:w="862" w:type="dxa"/>
          </w:tcPr>
          <w:p>
            <w:pPr>
              <w:pStyle w:val="TableParagraph"/>
              <w:spacing w:line="205" w:lineRule="exact" w:before="0"/>
              <w:ind w:left="101" w:right="65"/>
              <w:rPr>
                <w:b/>
                <w:i/>
                <w:sz w:val="18"/>
              </w:rPr>
            </w:pPr>
            <w:r>
              <w:rPr>
                <w:b/>
                <w:i/>
                <w:color w:val="231F20"/>
                <w:spacing w:val="-2"/>
                <w:w w:val="110"/>
                <w:sz w:val="18"/>
              </w:rPr>
              <w:t>CREDIT</w:t>
            </w:r>
          </w:p>
        </w:tc>
        <w:tc>
          <w:tcPr>
            <w:tcW w:w="803" w:type="dxa"/>
          </w:tcPr>
          <w:p>
            <w:pPr>
              <w:pStyle w:val="TableParagraph"/>
              <w:spacing w:line="205" w:lineRule="exact" w:before="0"/>
              <w:ind w:left="47" w:right="26"/>
              <w:rPr>
                <w:b/>
                <w:i/>
                <w:sz w:val="18"/>
              </w:rPr>
            </w:pPr>
            <w:r>
              <w:rPr>
                <w:b/>
                <w:i/>
                <w:color w:val="231F20"/>
                <w:spacing w:val="-2"/>
                <w:w w:val="110"/>
                <w:sz w:val="18"/>
              </w:rPr>
              <w:t>EFFECT</w:t>
            </w:r>
          </w:p>
        </w:tc>
      </w:tr>
      <w:tr>
        <w:trPr>
          <w:trHeight w:val="299" w:hRule="atLeast"/>
        </w:trPr>
        <w:tc>
          <w:tcPr>
            <w:tcW w:w="1553" w:type="dxa"/>
          </w:tcPr>
          <w:p>
            <w:pPr>
              <w:pStyle w:val="TableParagraph"/>
              <w:spacing w:before="43"/>
              <w:ind w:left="50"/>
              <w:jc w:val="left"/>
              <w:rPr>
                <w:sz w:val="18"/>
              </w:rPr>
            </w:pPr>
            <w:r>
              <w:rPr>
                <w:color w:val="231F20"/>
                <w:w w:val="105"/>
                <w:sz w:val="18"/>
              </w:rPr>
              <w:t>Cost</w:t>
            </w:r>
            <w:r>
              <w:rPr>
                <w:color w:val="231F20"/>
                <w:spacing w:val="12"/>
                <w:w w:val="105"/>
                <w:sz w:val="18"/>
              </w:rPr>
              <w:t> </w:t>
            </w:r>
            <w:r>
              <w:rPr>
                <w:color w:val="231F20"/>
                <w:w w:val="105"/>
                <w:sz w:val="18"/>
              </w:rPr>
              <w:t>of</w:t>
            </w:r>
            <w:r>
              <w:rPr>
                <w:color w:val="231F20"/>
                <w:spacing w:val="12"/>
                <w:w w:val="105"/>
                <w:sz w:val="18"/>
              </w:rPr>
              <w:t> </w:t>
            </w:r>
            <w:r>
              <w:rPr>
                <w:color w:val="231F20"/>
                <w:spacing w:val="-2"/>
                <w:w w:val="105"/>
                <w:sz w:val="18"/>
              </w:rPr>
              <w:t>Goods</w:t>
            </w:r>
          </w:p>
        </w:tc>
        <w:tc>
          <w:tcPr>
            <w:tcW w:w="1663" w:type="dxa"/>
          </w:tcPr>
          <w:p>
            <w:pPr>
              <w:pStyle w:val="TableParagraph"/>
              <w:spacing w:before="43"/>
              <w:ind w:left="87"/>
              <w:jc w:val="left"/>
              <w:rPr>
                <w:sz w:val="18"/>
              </w:rPr>
            </w:pPr>
            <w:r>
              <w:rPr>
                <w:color w:val="231F20"/>
                <w:sz w:val="18"/>
              </w:rPr>
              <w:t>(Income</w:t>
            </w:r>
            <w:r>
              <w:rPr>
                <w:color w:val="231F20"/>
                <w:spacing w:val="-3"/>
                <w:sz w:val="18"/>
              </w:rPr>
              <w:t> </w:t>
            </w:r>
            <w:r>
              <w:rPr>
                <w:color w:val="231F20"/>
                <w:spacing w:val="-2"/>
                <w:sz w:val="18"/>
              </w:rPr>
              <w:t>Statement)</w:t>
            </w:r>
          </w:p>
        </w:tc>
        <w:tc>
          <w:tcPr>
            <w:tcW w:w="737" w:type="dxa"/>
          </w:tcPr>
          <w:p>
            <w:pPr>
              <w:pStyle w:val="TableParagraph"/>
              <w:spacing w:before="43"/>
              <w:ind w:left="64"/>
              <w:jc w:val="left"/>
              <w:rPr>
                <w:sz w:val="18"/>
              </w:rPr>
            </w:pPr>
            <w:r>
              <w:rPr>
                <w:color w:val="231F20"/>
                <w:spacing w:val="-2"/>
                <w:sz w:val="18"/>
              </w:rPr>
              <w:t>95,000</w:t>
            </w:r>
          </w:p>
        </w:tc>
        <w:tc>
          <w:tcPr>
            <w:tcW w:w="862" w:type="dxa"/>
          </w:tcPr>
          <w:p>
            <w:pPr>
              <w:pStyle w:val="TableParagraph"/>
              <w:spacing w:before="0"/>
              <w:jc w:val="left"/>
              <w:rPr>
                <w:rFonts w:ascii="Times New Roman"/>
                <w:sz w:val="20"/>
              </w:rPr>
            </w:pPr>
          </w:p>
        </w:tc>
        <w:tc>
          <w:tcPr>
            <w:tcW w:w="803" w:type="dxa"/>
          </w:tcPr>
          <w:p>
            <w:pPr>
              <w:pStyle w:val="TableParagraph"/>
              <w:spacing w:before="43"/>
              <w:ind w:left="44" w:right="45"/>
              <w:rPr>
                <w:sz w:val="18"/>
              </w:rPr>
            </w:pPr>
            <w:r>
              <w:rPr>
                <w:color w:val="231F20"/>
                <w:spacing w:val="-2"/>
                <w:sz w:val="18"/>
              </w:rPr>
              <w:t>decrease</w:t>
            </w:r>
          </w:p>
        </w:tc>
      </w:tr>
      <w:tr>
        <w:trPr>
          <w:trHeight w:val="300" w:hRule="atLeast"/>
        </w:trPr>
        <w:tc>
          <w:tcPr>
            <w:tcW w:w="1553" w:type="dxa"/>
          </w:tcPr>
          <w:p>
            <w:pPr>
              <w:pStyle w:val="TableParagraph"/>
              <w:spacing w:before="43"/>
              <w:ind w:left="230"/>
              <w:jc w:val="left"/>
              <w:rPr>
                <w:sz w:val="18"/>
              </w:rPr>
            </w:pPr>
            <w:r>
              <w:rPr>
                <w:color w:val="231F20"/>
                <w:spacing w:val="-4"/>
                <w:sz w:val="18"/>
              </w:rPr>
              <w:t>Sold</w:t>
            </w:r>
          </w:p>
        </w:tc>
        <w:tc>
          <w:tcPr>
            <w:tcW w:w="1663" w:type="dxa"/>
          </w:tcPr>
          <w:p>
            <w:pPr>
              <w:pStyle w:val="TableParagraph"/>
              <w:spacing w:before="0"/>
              <w:jc w:val="left"/>
              <w:rPr>
                <w:rFonts w:ascii="Times New Roman"/>
                <w:sz w:val="20"/>
              </w:rPr>
            </w:pPr>
          </w:p>
        </w:tc>
        <w:tc>
          <w:tcPr>
            <w:tcW w:w="737" w:type="dxa"/>
          </w:tcPr>
          <w:p>
            <w:pPr>
              <w:pStyle w:val="TableParagraph"/>
              <w:spacing w:before="0"/>
              <w:jc w:val="left"/>
              <w:rPr>
                <w:rFonts w:ascii="Times New Roman"/>
                <w:sz w:val="20"/>
              </w:rPr>
            </w:pPr>
          </w:p>
        </w:tc>
        <w:tc>
          <w:tcPr>
            <w:tcW w:w="862" w:type="dxa"/>
          </w:tcPr>
          <w:p>
            <w:pPr>
              <w:pStyle w:val="TableParagraph"/>
              <w:spacing w:before="0"/>
              <w:jc w:val="left"/>
              <w:rPr>
                <w:rFonts w:ascii="Times New Roman"/>
                <w:sz w:val="20"/>
              </w:rPr>
            </w:pPr>
          </w:p>
        </w:tc>
        <w:tc>
          <w:tcPr>
            <w:tcW w:w="803" w:type="dxa"/>
          </w:tcPr>
          <w:p>
            <w:pPr>
              <w:pStyle w:val="TableParagraph"/>
              <w:spacing w:before="0"/>
              <w:jc w:val="left"/>
              <w:rPr>
                <w:rFonts w:ascii="Times New Roman"/>
                <w:sz w:val="20"/>
              </w:rPr>
            </w:pPr>
          </w:p>
        </w:tc>
      </w:tr>
      <w:tr>
        <w:trPr>
          <w:trHeight w:val="255" w:hRule="atLeast"/>
        </w:trPr>
        <w:tc>
          <w:tcPr>
            <w:tcW w:w="1553" w:type="dxa"/>
          </w:tcPr>
          <w:p>
            <w:pPr>
              <w:pStyle w:val="TableParagraph"/>
              <w:spacing w:line="192" w:lineRule="exact" w:before="43"/>
              <w:ind w:left="50"/>
              <w:jc w:val="left"/>
              <w:rPr>
                <w:sz w:val="18"/>
              </w:rPr>
            </w:pPr>
            <w:r>
              <w:rPr>
                <w:color w:val="231F20"/>
                <w:spacing w:val="-2"/>
                <w:sz w:val="18"/>
              </w:rPr>
              <w:t>Inventory</w:t>
            </w:r>
          </w:p>
        </w:tc>
        <w:tc>
          <w:tcPr>
            <w:tcW w:w="1663" w:type="dxa"/>
          </w:tcPr>
          <w:p>
            <w:pPr>
              <w:pStyle w:val="TableParagraph"/>
              <w:spacing w:line="192" w:lineRule="exact" w:before="43"/>
              <w:ind w:left="87"/>
              <w:jc w:val="left"/>
              <w:rPr>
                <w:sz w:val="18"/>
              </w:rPr>
            </w:pPr>
            <w:r>
              <w:rPr>
                <w:color w:val="231F20"/>
                <w:spacing w:val="-2"/>
                <w:sz w:val="18"/>
              </w:rPr>
              <w:t>(Asset)</w:t>
            </w:r>
          </w:p>
        </w:tc>
        <w:tc>
          <w:tcPr>
            <w:tcW w:w="737" w:type="dxa"/>
          </w:tcPr>
          <w:p>
            <w:pPr>
              <w:pStyle w:val="TableParagraph"/>
              <w:spacing w:before="0"/>
              <w:jc w:val="left"/>
              <w:rPr>
                <w:rFonts w:ascii="Times New Roman"/>
                <w:sz w:val="18"/>
              </w:rPr>
            </w:pPr>
          </w:p>
        </w:tc>
        <w:tc>
          <w:tcPr>
            <w:tcW w:w="862" w:type="dxa"/>
          </w:tcPr>
          <w:p>
            <w:pPr>
              <w:pStyle w:val="TableParagraph"/>
              <w:spacing w:line="192" w:lineRule="exact" w:before="43"/>
              <w:ind w:left="101" w:right="175"/>
              <w:rPr>
                <w:sz w:val="18"/>
              </w:rPr>
            </w:pPr>
            <w:r>
              <w:rPr>
                <w:color w:val="231F20"/>
                <w:spacing w:val="-2"/>
                <w:sz w:val="18"/>
              </w:rPr>
              <w:t>95,000</w:t>
            </w:r>
          </w:p>
        </w:tc>
        <w:tc>
          <w:tcPr>
            <w:tcW w:w="803" w:type="dxa"/>
          </w:tcPr>
          <w:p>
            <w:pPr>
              <w:pStyle w:val="TableParagraph"/>
              <w:spacing w:line="192" w:lineRule="exact" w:before="43"/>
              <w:ind w:left="45" w:right="45"/>
              <w:rPr>
                <w:sz w:val="18"/>
              </w:rPr>
            </w:pPr>
            <w:r>
              <w:rPr>
                <w:color w:val="231F20"/>
                <w:spacing w:val="-2"/>
                <w:sz w:val="18"/>
              </w:rPr>
              <w:t>decrease</w:t>
            </w:r>
          </w:p>
        </w:tc>
      </w:tr>
    </w:tbl>
    <w:p>
      <w:pPr>
        <w:pStyle w:val="BodyText"/>
        <w:spacing w:before="9"/>
        <w:rPr>
          <w:b/>
          <w:sz w:val="30"/>
        </w:rPr>
      </w:pPr>
    </w:p>
    <w:p>
      <w:pPr>
        <w:pStyle w:val="BodyText"/>
        <w:ind w:left="1260"/>
      </w:pPr>
      <w:r>
        <w:rPr>
          <w:color w:val="231F20"/>
        </w:rPr>
        <w:t>To</w:t>
      </w:r>
      <w:r>
        <w:rPr>
          <w:color w:val="231F20"/>
          <w:spacing w:val="19"/>
        </w:rPr>
        <w:t> </w:t>
      </w:r>
      <w:r>
        <w:rPr>
          <w:color w:val="231F20"/>
        </w:rPr>
        <w:t>illustrate</w:t>
      </w:r>
      <w:r>
        <w:rPr>
          <w:color w:val="231F20"/>
          <w:spacing w:val="19"/>
        </w:rPr>
        <w:t> </w:t>
      </w:r>
      <w:r>
        <w:rPr>
          <w:color w:val="231F20"/>
        </w:rPr>
        <w:t>a</w:t>
      </w:r>
      <w:r>
        <w:rPr>
          <w:color w:val="231F20"/>
          <w:spacing w:val="19"/>
        </w:rPr>
        <w:t> </w:t>
      </w:r>
      <w:r>
        <w:rPr>
          <w:color w:val="231F20"/>
        </w:rPr>
        <w:t>full</w:t>
      </w:r>
      <w:r>
        <w:rPr>
          <w:color w:val="231F20"/>
          <w:spacing w:val="19"/>
        </w:rPr>
        <w:t> </w:t>
      </w:r>
      <w:r>
        <w:rPr>
          <w:color w:val="231F20"/>
        </w:rPr>
        <w:t>year’s</w:t>
      </w:r>
      <w:r>
        <w:rPr>
          <w:color w:val="231F20"/>
          <w:spacing w:val="19"/>
        </w:rPr>
        <w:t> </w:t>
      </w:r>
      <w:r>
        <w:rPr>
          <w:color w:val="231F20"/>
        </w:rPr>
        <w:t>income</w:t>
      </w:r>
      <w:r>
        <w:rPr>
          <w:color w:val="231F20"/>
          <w:spacing w:val="19"/>
        </w:rPr>
        <w:t> </w:t>
      </w:r>
      <w:r>
        <w:rPr>
          <w:color w:val="231F20"/>
        </w:rPr>
        <w:t>statement</w:t>
      </w:r>
      <w:r>
        <w:rPr>
          <w:color w:val="231F20"/>
          <w:spacing w:val="19"/>
        </w:rPr>
        <w:t> </w:t>
      </w:r>
      <w:r>
        <w:rPr>
          <w:color w:val="231F20"/>
        </w:rPr>
        <w:t>entries,</w:t>
      </w:r>
      <w:r>
        <w:rPr>
          <w:color w:val="231F20"/>
          <w:spacing w:val="19"/>
        </w:rPr>
        <w:t> </w:t>
      </w:r>
      <w:r>
        <w:rPr>
          <w:color w:val="231F20"/>
        </w:rPr>
        <w:t>assume</w:t>
      </w:r>
      <w:r>
        <w:rPr>
          <w:color w:val="231F20"/>
          <w:spacing w:val="19"/>
        </w:rPr>
        <w:t> </w:t>
      </w:r>
      <w:r>
        <w:rPr>
          <w:color w:val="231F20"/>
          <w:spacing w:val="-4"/>
        </w:rPr>
        <w:t>that</w:t>
      </w:r>
    </w:p>
    <w:p>
      <w:pPr>
        <w:spacing w:after="0"/>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3"/>
        <w:jc w:val="both"/>
      </w:pPr>
      <w:r>
        <w:rPr>
          <w:color w:val="231F20"/>
        </w:rPr>
        <w:t>those two entries were the only sales and costs for the entire </w:t>
      </w:r>
      <w:r>
        <w:rPr>
          <w:color w:val="231F20"/>
        </w:rPr>
        <w:t>year. The net income for the year would have been the net of the total</w:t>
      </w:r>
      <w:r>
        <w:rPr>
          <w:color w:val="231F20"/>
          <w:spacing w:val="80"/>
        </w:rPr>
        <w:t> </w:t>
      </w:r>
      <w:r>
        <w:rPr>
          <w:color w:val="231F20"/>
        </w:rPr>
        <w:t>sales</w:t>
      </w:r>
      <w:r>
        <w:rPr>
          <w:color w:val="231F20"/>
          <w:spacing w:val="73"/>
        </w:rPr>
        <w:t> </w:t>
      </w:r>
      <w:r>
        <w:rPr>
          <w:color w:val="231F20"/>
        </w:rPr>
        <w:t>revenues</w:t>
      </w:r>
      <w:r>
        <w:rPr>
          <w:color w:val="231F20"/>
          <w:spacing w:val="74"/>
        </w:rPr>
        <w:t> </w:t>
      </w:r>
      <w:r>
        <w:rPr>
          <w:color w:val="231F20"/>
        </w:rPr>
        <w:t>of</w:t>
      </w:r>
      <w:r>
        <w:rPr>
          <w:color w:val="231F20"/>
          <w:spacing w:val="73"/>
        </w:rPr>
        <w:t> </w:t>
      </w:r>
      <w:r>
        <w:rPr>
          <w:color w:val="231F20"/>
        </w:rPr>
        <w:t>$100,000</w:t>
      </w:r>
      <w:r>
        <w:rPr>
          <w:color w:val="231F20"/>
          <w:spacing w:val="74"/>
        </w:rPr>
        <w:t> </w:t>
      </w:r>
      <w:r>
        <w:rPr>
          <w:color w:val="231F20"/>
        </w:rPr>
        <w:t>less</w:t>
      </w:r>
      <w:r>
        <w:rPr>
          <w:color w:val="231F20"/>
          <w:spacing w:val="74"/>
        </w:rPr>
        <w:t> </w:t>
      </w:r>
      <w:r>
        <w:rPr>
          <w:color w:val="231F20"/>
        </w:rPr>
        <w:t>the</w:t>
      </w:r>
      <w:r>
        <w:rPr>
          <w:color w:val="231F20"/>
          <w:spacing w:val="73"/>
        </w:rPr>
        <w:t> </w:t>
      </w:r>
      <w:r>
        <w:rPr>
          <w:color w:val="231F20"/>
        </w:rPr>
        <w:t>total</w:t>
      </w:r>
      <w:r>
        <w:rPr>
          <w:color w:val="231F20"/>
          <w:spacing w:val="74"/>
        </w:rPr>
        <w:t> </w:t>
      </w:r>
      <w:r>
        <w:rPr>
          <w:color w:val="231F20"/>
        </w:rPr>
        <w:t>COGS</w:t>
      </w:r>
      <w:r>
        <w:rPr>
          <w:color w:val="231F20"/>
          <w:spacing w:val="74"/>
        </w:rPr>
        <w:t> </w:t>
      </w:r>
      <w:r>
        <w:rPr>
          <w:color w:val="231F20"/>
        </w:rPr>
        <w:t>of</w:t>
      </w:r>
      <w:r>
        <w:rPr>
          <w:color w:val="231F20"/>
          <w:spacing w:val="73"/>
        </w:rPr>
        <w:t> </w:t>
      </w:r>
      <w:r>
        <w:rPr>
          <w:color w:val="231F20"/>
        </w:rPr>
        <w:t>$95,000,</w:t>
      </w:r>
      <w:r>
        <w:rPr>
          <w:color w:val="231F20"/>
          <w:spacing w:val="74"/>
        </w:rPr>
        <w:t> </w:t>
      </w:r>
      <w:r>
        <w:rPr>
          <w:color w:val="231F20"/>
          <w:spacing w:val="-5"/>
        </w:rPr>
        <w:t>or</w:t>
      </w:r>
    </w:p>
    <w:p>
      <w:pPr>
        <w:pStyle w:val="BodyText"/>
        <w:spacing w:line="292" w:lineRule="auto"/>
        <w:ind w:left="830" w:right="756"/>
        <w:jc w:val="both"/>
      </w:pPr>
      <w:r>
        <w:rPr>
          <w:color w:val="231F20"/>
        </w:rPr>
        <w:t>$5,000. That net income figure also mimicked the change in net </w:t>
      </w:r>
      <w:r>
        <w:rPr>
          <w:color w:val="231F20"/>
        </w:rPr>
        <w:t>as- sets recorded by those same entries. Cash increased $100,000 and groceries decreased $95,000, a net of $5,000.</w:t>
      </w:r>
    </w:p>
    <w:p>
      <w:pPr>
        <w:pStyle w:val="BodyText"/>
        <w:spacing w:line="292" w:lineRule="auto"/>
        <w:ind w:left="829" w:right="755" w:firstLine="340"/>
        <w:jc w:val="both"/>
      </w:pPr>
      <w:r>
        <w:rPr>
          <w:color w:val="231F20"/>
        </w:rPr>
        <w:t>At year’s end the net increase of assets of $5,000 equals the </w:t>
      </w:r>
      <w:r>
        <w:rPr>
          <w:color w:val="231F20"/>
        </w:rPr>
        <w:t>net income for the year. Bob would have recorded that net change on the balance sheet as an increase to retained earnings. He would also</w:t>
      </w:r>
      <w:r>
        <w:rPr>
          <w:color w:val="231F20"/>
          <w:spacing w:val="80"/>
        </w:rPr>
        <w:t> </w:t>
      </w:r>
      <w:r>
        <w:rPr>
          <w:i/>
          <w:color w:val="231F20"/>
        </w:rPr>
        <w:t>close out </w:t>
      </w:r>
      <w:r>
        <w:rPr>
          <w:color w:val="231F20"/>
        </w:rPr>
        <w:t>or set to zero all the revenue and expense accounts for the year in preparation for recording the next year’s activity in the fol- lowing entry:</w:t>
      </w:r>
    </w:p>
    <w:p>
      <w:pPr>
        <w:pStyle w:val="BodyText"/>
        <w:spacing w:before="1"/>
        <w:rPr>
          <w:sz w:val="31"/>
        </w:rPr>
      </w:pPr>
    </w:p>
    <w:p>
      <w:pPr>
        <w:spacing w:line="307" w:lineRule="auto" w:before="0"/>
        <w:ind w:left="2898" w:right="1742" w:hanging="706"/>
        <w:jc w:val="left"/>
        <w:rPr>
          <w:b/>
          <w:sz w:val="20"/>
        </w:rPr>
      </w:pPr>
      <w:r>
        <w:rPr/>
        <w:pict>
          <v:shape style="position:absolute;margin-left:75.5pt;margin-top:31.002232pt;width:276.5pt;height:.1pt;mso-position-horizontal-relative:page;mso-position-vertical-relative:paragraph;z-index:-15671808;mso-wrap-distance-left:0;mso-wrap-distance-right:0" id="docshape109" coordorigin="1510,620" coordsize="5530,0" path="m1510,620l7040,620e" filled="false" stroked="true" strokeweight="1pt" strokecolor="#231f20">
            <v:path arrowok="t"/>
            <v:stroke dashstyle="solid"/>
            <w10:wrap type="topAndBottom"/>
          </v:shape>
        </w:pict>
      </w:r>
      <w:r>
        <w:rPr>
          <w:b/>
          <w:color w:val="231F20"/>
          <w:w w:val="115"/>
          <w:sz w:val="20"/>
        </w:rPr>
        <w:t>INCOME STATEMENT YEAR END CLOSE OUT ENTRY</w:t>
      </w:r>
    </w:p>
    <w:p>
      <w:pPr>
        <w:pStyle w:val="BodyText"/>
        <w:spacing w:after="1"/>
        <w:rPr>
          <w:b/>
          <w:sz w:val="20"/>
        </w:rPr>
      </w:pPr>
    </w:p>
    <w:tbl>
      <w:tblPr>
        <w:tblW w:w="0" w:type="auto"/>
        <w:jc w:val="left"/>
        <w:tblInd w:w="1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5"/>
        <w:gridCol w:w="1663"/>
        <w:gridCol w:w="781"/>
        <w:gridCol w:w="810"/>
        <w:gridCol w:w="801"/>
      </w:tblGrid>
      <w:tr>
        <w:trPr>
          <w:trHeight w:val="250" w:hRule="atLeast"/>
        </w:trPr>
        <w:tc>
          <w:tcPr>
            <w:tcW w:w="1555" w:type="dxa"/>
          </w:tcPr>
          <w:p>
            <w:pPr>
              <w:pStyle w:val="TableParagraph"/>
              <w:spacing w:line="205" w:lineRule="exact" w:before="0"/>
              <w:ind w:left="50"/>
              <w:jc w:val="left"/>
              <w:rPr>
                <w:b/>
                <w:i/>
                <w:sz w:val="18"/>
              </w:rPr>
            </w:pPr>
            <w:r>
              <w:rPr>
                <w:b/>
                <w:i/>
                <w:color w:val="231F20"/>
                <w:w w:val="105"/>
                <w:sz w:val="18"/>
              </w:rPr>
              <w:t>ACCOUNT</w:t>
            </w:r>
            <w:r>
              <w:rPr>
                <w:b/>
                <w:i/>
                <w:color w:val="231F20"/>
                <w:spacing w:val="24"/>
                <w:w w:val="110"/>
                <w:sz w:val="18"/>
              </w:rPr>
              <w:t> </w:t>
            </w:r>
            <w:r>
              <w:rPr>
                <w:b/>
                <w:i/>
                <w:color w:val="231F20"/>
                <w:spacing w:val="-2"/>
                <w:w w:val="110"/>
                <w:sz w:val="18"/>
              </w:rPr>
              <w:t>TITLE</w:t>
            </w:r>
          </w:p>
        </w:tc>
        <w:tc>
          <w:tcPr>
            <w:tcW w:w="1663" w:type="dxa"/>
          </w:tcPr>
          <w:p>
            <w:pPr>
              <w:pStyle w:val="TableParagraph"/>
              <w:spacing w:line="205" w:lineRule="exact" w:before="0"/>
              <w:ind w:left="85"/>
              <w:jc w:val="left"/>
              <w:rPr>
                <w:b/>
                <w:i/>
                <w:sz w:val="18"/>
              </w:rPr>
            </w:pPr>
            <w:r>
              <w:rPr>
                <w:b/>
                <w:i/>
                <w:color w:val="231F20"/>
                <w:spacing w:val="-2"/>
                <w:w w:val="110"/>
                <w:sz w:val="18"/>
              </w:rPr>
              <w:t>(TYPE)</w:t>
            </w:r>
          </w:p>
        </w:tc>
        <w:tc>
          <w:tcPr>
            <w:tcW w:w="781" w:type="dxa"/>
          </w:tcPr>
          <w:p>
            <w:pPr>
              <w:pStyle w:val="TableParagraph"/>
              <w:spacing w:line="205" w:lineRule="exact" w:before="0"/>
              <w:ind w:left="48" w:right="155"/>
              <w:rPr>
                <w:b/>
                <w:i/>
                <w:sz w:val="18"/>
              </w:rPr>
            </w:pPr>
            <w:r>
              <w:rPr>
                <w:b/>
                <w:i/>
                <w:color w:val="231F20"/>
                <w:spacing w:val="-4"/>
                <w:w w:val="110"/>
                <w:sz w:val="18"/>
              </w:rPr>
              <w:t>DEBIT</w:t>
            </w:r>
          </w:p>
        </w:tc>
        <w:tc>
          <w:tcPr>
            <w:tcW w:w="810" w:type="dxa"/>
          </w:tcPr>
          <w:p>
            <w:pPr>
              <w:pStyle w:val="TableParagraph"/>
              <w:spacing w:line="205" w:lineRule="exact" w:before="0"/>
              <w:ind w:left="57" w:right="58"/>
              <w:rPr>
                <w:b/>
                <w:i/>
                <w:sz w:val="18"/>
              </w:rPr>
            </w:pPr>
            <w:r>
              <w:rPr>
                <w:b/>
                <w:i/>
                <w:color w:val="231F20"/>
                <w:spacing w:val="-2"/>
                <w:w w:val="110"/>
                <w:sz w:val="18"/>
              </w:rPr>
              <w:t>CREDIT</w:t>
            </w:r>
          </w:p>
        </w:tc>
        <w:tc>
          <w:tcPr>
            <w:tcW w:w="801" w:type="dxa"/>
          </w:tcPr>
          <w:p>
            <w:pPr>
              <w:pStyle w:val="TableParagraph"/>
              <w:spacing w:line="205" w:lineRule="exact" w:before="0"/>
              <w:ind w:left="56" w:right="21"/>
              <w:rPr>
                <w:b/>
                <w:i/>
                <w:sz w:val="18"/>
              </w:rPr>
            </w:pPr>
            <w:r>
              <w:rPr>
                <w:b/>
                <w:i/>
                <w:color w:val="231F20"/>
                <w:spacing w:val="-2"/>
                <w:w w:val="110"/>
                <w:sz w:val="18"/>
              </w:rPr>
              <w:t>EFFECT</w:t>
            </w:r>
          </w:p>
        </w:tc>
      </w:tr>
      <w:tr>
        <w:trPr>
          <w:trHeight w:val="299" w:hRule="atLeast"/>
        </w:trPr>
        <w:tc>
          <w:tcPr>
            <w:tcW w:w="1555" w:type="dxa"/>
          </w:tcPr>
          <w:p>
            <w:pPr>
              <w:pStyle w:val="TableParagraph"/>
              <w:spacing w:before="43"/>
              <w:ind w:left="50"/>
              <w:jc w:val="left"/>
              <w:rPr>
                <w:sz w:val="18"/>
              </w:rPr>
            </w:pPr>
            <w:r>
              <w:rPr>
                <w:color w:val="231F20"/>
                <w:sz w:val="18"/>
              </w:rPr>
              <w:t>Sales</w:t>
            </w:r>
            <w:r>
              <w:rPr>
                <w:color w:val="231F20"/>
                <w:spacing w:val="-2"/>
                <w:sz w:val="18"/>
              </w:rPr>
              <w:t> Revenue</w:t>
            </w:r>
          </w:p>
        </w:tc>
        <w:tc>
          <w:tcPr>
            <w:tcW w:w="1663" w:type="dxa"/>
          </w:tcPr>
          <w:p>
            <w:pPr>
              <w:pStyle w:val="TableParagraph"/>
              <w:spacing w:before="43"/>
              <w:ind w:left="85"/>
              <w:jc w:val="left"/>
              <w:rPr>
                <w:sz w:val="18"/>
              </w:rPr>
            </w:pPr>
            <w:r>
              <w:rPr>
                <w:color w:val="231F20"/>
                <w:sz w:val="18"/>
              </w:rPr>
              <w:t>(Income</w:t>
            </w:r>
            <w:r>
              <w:rPr>
                <w:color w:val="231F20"/>
                <w:spacing w:val="-3"/>
                <w:sz w:val="18"/>
              </w:rPr>
              <w:t> </w:t>
            </w:r>
            <w:r>
              <w:rPr>
                <w:color w:val="231F20"/>
                <w:spacing w:val="-2"/>
                <w:sz w:val="18"/>
              </w:rPr>
              <w:t>Statement)</w:t>
            </w:r>
          </w:p>
        </w:tc>
        <w:tc>
          <w:tcPr>
            <w:tcW w:w="781" w:type="dxa"/>
          </w:tcPr>
          <w:p>
            <w:pPr>
              <w:pStyle w:val="TableParagraph"/>
              <w:spacing w:before="43"/>
              <w:ind w:left="48" w:right="50"/>
              <w:rPr>
                <w:sz w:val="18"/>
              </w:rPr>
            </w:pPr>
            <w:r>
              <w:rPr>
                <w:color w:val="231F20"/>
                <w:spacing w:val="-2"/>
                <w:sz w:val="18"/>
              </w:rPr>
              <w:t>100,000</w:t>
            </w:r>
          </w:p>
        </w:tc>
        <w:tc>
          <w:tcPr>
            <w:tcW w:w="810" w:type="dxa"/>
          </w:tcPr>
          <w:p>
            <w:pPr>
              <w:pStyle w:val="TableParagraph"/>
              <w:spacing w:before="0"/>
              <w:jc w:val="left"/>
              <w:rPr>
                <w:rFonts w:ascii="Times New Roman"/>
                <w:sz w:val="20"/>
              </w:rPr>
            </w:pPr>
          </w:p>
        </w:tc>
        <w:tc>
          <w:tcPr>
            <w:tcW w:w="801" w:type="dxa"/>
          </w:tcPr>
          <w:p>
            <w:pPr>
              <w:pStyle w:val="TableParagraph"/>
              <w:spacing w:before="43"/>
              <w:ind w:left="2" w:right="37"/>
              <w:rPr>
                <w:sz w:val="18"/>
              </w:rPr>
            </w:pPr>
            <w:r>
              <w:rPr>
                <w:color w:val="231F20"/>
                <w:spacing w:val="-2"/>
                <w:sz w:val="18"/>
              </w:rPr>
              <w:t>reversal</w:t>
            </w:r>
          </w:p>
        </w:tc>
      </w:tr>
      <w:tr>
        <w:trPr>
          <w:trHeight w:val="300" w:hRule="atLeast"/>
        </w:trPr>
        <w:tc>
          <w:tcPr>
            <w:tcW w:w="3218" w:type="dxa"/>
            <w:gridSpan w:val="2"/>
          </w:tcPr>
          <w:p>
            <w:pPr>
              <w:pStyle w:val="TableParagraph"/>
              <w:spacing w:before="43"/>
              <w:ind w:left="50"/>
              <w:jc w:val="left"/>
              <w:rPr>
                <w:sz w:val="18"/>
              </w:rPr>
            </w:pPr>
            <w:r>
              <w:rPr>
                <w:color w:val="231F20"/>
                <w:sz w:val="18"/>
              </w:rPr>
              <w:t>Cost</w:t>
            </w:r>
            <w:r>
              <w:rPr>
                <w:color w:val="231F20"/>
                <w:spacing w:val="19"/>
                <w:sz w:val="18"/>
              </w:rPr>
              <w:t> </w:t>
            </w:r>
            <w:r>
              <w:rPr>
                <w:color w:val="231F20"/>
                <w:sz w:val="18"/>
              </w:rPr>
              <w:t>of</w:t>
            </w:r>
            <w:r>
              <w:rPr>
                <w:color w:val="231F20"/>
                <w:spacing w:val="20"/>
                <w:sz w:val="18"/>
              </w:rPr>
              <w:t> </w:t>
            </w:r>
            <w:r>
              <w:rPr>
                <w:color w:val="231F20"/>
                <w:sz w:val="18"/>
              </w:rPr>
              <w:t>Goods</w:t>
            </w:r>
            <w:r>
              <w:rPr>
                <w:color w:val="231F20"/>
                <w:spacing w:val="19"/>
                <w:sz w:val="18"/>
              </w:rPr>
              <w:t> </w:t>
            </w:r>
            <w:r>
              <w:rPr>
                <w:color w:val="231F20"/>
                <w:sz w:val="18"/>
              </w:rPr>
              <w:t>Sold</w:t>
            </w:r>
            <w:r>
              <w:rPr>
                <w:color w:val="231F20"/>
                <w:spacing w:val="43"/>
                <w:sz w:val="18"/>
              </w:rPr>
              <w:t> </w:t>
            </w:r>
            <w:r>
              <w:rPr>
                <w:color w:val="231F20"/>
                <w:sz w:val="18"/>
              </w:rPr>
              <w:t>(Income</w:t>
            </w:r>
            <w:r>
              <w:rPr>
                <w:color w:val="231F20"/>
                <w:spacing w:val="19"/>
                <w:sz w:val="18"/>
              </w:rPr>
              <w:t> </w:t>
            </w:r>
            <w:r>
              <w:rPr>
                <w:color w:val="231F20"/>
                <w:spacing w:val="-2"/>
                <w:sz w:val="18"/>
              </w:rPr>
              <w:t>Statement)</w:t>
            </w:r>
          </w:p>
        </w:tc>
        <w:tc>
          <w:tcPr>
            <w:tcW w:w="781" w:type="dxa"/>
          </w:tcPr>
          <w:p>
            <w:pPr>
              <w:pStyle w:val="TableParagraph"/>
              <w:spacing w:before="0"/>
              <w:jc w:val="left"/>
              <w:rPr>
                <w:rFonts w:ascii="Times New Roman"/>
                <w:sz w:val="20"/>
              </w:rPr>
            </w:pPr>
          </w:p>
        </w:tc>
        <w:tc>
          <w:tcPr>
            <w:tcW w:w="810" w:type="dxa"/>
          </w:tcPr>
          <w:p>
            <w:pPr>
              <w:pStyle w:val="TableParagraph"/>
              <w:spacing w:before="43"/>
              <w:ind w:left="57" w:right="170"/>
              <w:rPr>
                <w:sz w:val="18"/>
              </w:rPr>
            </w:pPr>
            <w:r>
              <w:rPr>
                <w:color w:val="231F20"/>
                <w:spacing w:val="-2"/>
                <w:sz w:val="18"/>
              </w:rPr>
              <w:t>95,000</w:t>
            </w:r>
          </w:p>
        </w:tc>
        <w:tc>
          <w:tcPr>
            <w:tcW w:w="801" w:type="dxa"/>
          </w:tcPr>
          <w:p>
            <w:pPr>
              <w:pStyle w:val="TableParagraph"/>
              <w:spacing w:before="43"/>
              <w:ind w:left="2" w:right="37"/>
              <w:rPr>
                <w:sz w:val="18"/>
              </w:rPr>
            </w:pPr>
            <w:r>
              <w:rPr>
                <w:color w:val="231F20"/>
                <w:spacing w:val="-2"/>
                <w:sz w:val="18"/>
              </w:rPr>
              <w:t>reversal</w:t>
            </w:r>
          </w:p>
        </w:tc>
      </w:tr>
      <w:tr>
        <w:trPr>
          <w:trHeight w:val="300" w:hRule="atLeast"/>
        </w:trPr>
        <w:tc>
          <w:tcPr>
            <w:tcW w:w="1555" w:type="dxa"/>
          </w:tcPr>
          <w:p>
            <w:pPr>
              <w:pStyle w:val="TableParagraph"/>
              <w:spacing w:before="43"/>
              <w:ind w:left="50"/>
              <w:jc w:val="left"/>
              <w:rPr>
                <w:sz w:val="18"/>
              </w:rPr>
            </w:pPr>
            <w:r>
              <w:rPr>
                <w:color w:val="231F20"/>
                <w:sz w:val="18"/>
              </w:rPr>
              <w:t>Retained</w:t>
            </w:r>
            <w:r>
              <w:rPr>
                <w:color w:val="231F20"/>
                <w:spacing w:val="10"/>
                <w:sz w:val="18"/>
              </w:rPr>
              <w:t> </w:t>
            </w:r>
            <w:r>
              <w:rPr>
                <w:color w:val="231F20"/>
                <w:spacing w:val="-2"/>
                <w:sz w:val="18"/>
              </w:rPr>
              <w:t>Earnings</w:t>
            </w:r>
          </w:p>
        </w:tc>
        <w:tc>
          <w:tcPr>
            <w:tcW w:w="1663" w:type="dxa"/>
          </w:tcPr>
          <w:p>
            <w:pPr>
              <w:pStyle w:val="TableParagraph"/>
              <w:spacing w:before="43"/>
              <w:ind w:left="85"/>
              <w:jc w:val="left"/>
              <w:rPr>
                <w:sz w:val="18"/>
              </w:rPr>
            </w:pPr>
            <w:r>
              <w:rPr>
                <w:color w:val="231F20"/>
                <w:sz w:val="18"/>
              </w:rPr>
              <w:t>(Owner’s</w:t>
            </w:r>
            <w:r>
              <w:rPr>
                <w:color w:val="231F20"/>
                <w:spacing w:val="11"/>
                <w:sz w:val="18"/>
              </w:rPr>
              <w:t> </w:t>
            </w:r>
            <w:r>
              <w:rPr>
                <w:color w:val="231F20"/>
                <w:sz w:val="18"/>
              </w:rPr>
              <w:t>Equity</w:t>
            </w:r>
            <w:r>
              <w:rPr>
                <w:color w:val="231F20"/>
                <w:spacing w:val="11"/>
                <w:sz w:val="18"/>
              </w:rPr>
              <w:t> </w:t>
            </w:r>
            <w:r>
              <w:rPr>
                <w:color w:val="231F20"/>
                <w:spacing w:val="-5"/>
                <w:sz w:val="18"/>
              </w:rPr>
              <w:t>on</w:t>
            </w:r>
          </w:p>
        </w:tc>
        <w:tc>
          <w:tcPr>
            <w:tcW w:w="781" w:type="dxa"/>
          </w:tcPr>
          <w:p>
            <w:pPr>
              <w:pStyle w:val="TableParagraph"/>
              <w:spacing w:before="0"/>
              <w:jc w:val="left"/>
              <w:rPr>
                <w:rFonts w:ascii="Times New Roman"/>
                <w:sz w:val="20"/>
              </w:rPr>
            </w:pPr>
          </w:p>
        </w:tc>
        <w:tc>
          <w:tcPr>
            <w:tcW w:w="810" w:type="dxa"/>
          </w:tcPr>
          <w:p>
            <w:pPr>
              <w:pStyle w:val="TableParagraph"/>
              <w:spacing w:before="43"/>
              <w:ind w:left="24" w:right="58"/>
              <w:rPr>
                <w:sz w:val="18"/>
              </w:rPr>
            </w:pPr>
            <w:r>
              <w:rPr>
                <w:color w:val="231F20"/>
                <w:spacing w:val="-2"/>
                <w:w w:val="105"/>
                <w:sz w:val="18"/>
              </w:rPr>
              <w:t>5,000</w:t>
            </w:r>
          </w:p>
        </w:tc>
        <w:tc>
          <w:tcPr>
            <w:tcW w:w="801" w:type="dxa"/>
          </w:tcPr>
          <w:p>
            <w:pPr>
              <w:pStyle w:val="TableParagraph"/>
              <w:spacing w:before="43"/>
              <w:ind w:left="22" w:right="37"/>
              <w:rPr>
                <w:sz w:val="18"/>
              </w:rPr>
            </w:pPr>
            <w:r>
              <w:rPr>
                <w:color w:val="231F20"/>
                <w:spacing w:val="-2"/>
                <w:sz w:val="18"/>
              </w:rPr>
              <w:t>increase</w:t>
            </w:r>
          </w:p>
        </w:tc>
      </w:tr>
      <w:tr>
        <w:trPr>
          <w:trHeight w:val="255" w:hRule="atLeast"/>
        </w:trPr>
        <w:tc>
          <w:tcPr>
            <w:tcW w:w="1555" w:type="dxa"/>
          </w:tcPr>
          <w:p>
            <w:pPr>
              <w:pStyle w:val="TableParagraph"/>
              <w:spacing w:before="0"/>
              <w:jc w:val="left"/>
              <w:rPr>
                <w:rFonts w:ascii="Times New Roman"/>
                <w:sz w:val="18"/>
              </w:rPr>
            </w:pPr>
          </w:p>
        </w:tc>
        <w:tc>
          <w:tcPr>
            <w:tcW w:w="1663" w:type="dxa"/>
          </w:tcPr>
          <w:p>
            <w:pPr>
              <w:pStyle w:val="TableParagraph"/>
              <w:spacing w:line="192" w:lineRule="exact" w:before="43"/>
              <w:ind w:left="84"/>
              <w:jc w:val="left"/>
              <w:rPr>
                <w:sz w:val="18"/>
              </w:rPr>
            </w:pPr>
            <w:r>
              <w:rPr>
                <w:color w:val="231F20"/>
                <w:sz w:val="18"/>
              </w:rPr>
              <w:t>the</w:t>
            </w:r>
            <w:r>
              <w:rPr>
                <w:color w:val="231F20"/>
                <w:spacing w:val="2"/>
                <w:sz w:val="18"/>
              </w:rPr>
              <w:t> </w:t>
            </w:r>
            <w:r>
              <w:rPr>
                <w:color w:val="231F20"/>
                <w:sz w:val="18"/>
              </w:rPr>
              <w:t>Balance</w:t>
            </w:r>
            <w:r>
              <w:rPr>
                <w:color w:val="231F20"/>
                <w:spacing w:val="2"/>
                <w:sz w:val="18"/>
              </w:rPr>
              <w:t> </w:t>
            </w:r>
            <w:r>
              <w:rPr>
                <w:color w:val="231F20"/>
                <w:spacing w:val="-2"/>
                <w:sz w:val="18"/>
              </w:rPr>
              <w:t>Sheet)</w:t>
            </w:r>
          </w:p>
        </w:tc>
        <w:tc>
          <w:tcPr>
            <w:tcW w:w="781" w:type="dxa"/>
          </w:tcPr>
          <w:p>
            <w:pPr>
              <w:pStyle w:val="TableParagraph"/>
              <w:spacing w:before="0"/>
              <w:jc w:val="left"/>
              <w:rPr>
                <w:rFonts w:ascii="Times New Roman"/>
                <w:sz w:val="18"/>
              </w:rPr>
            </w:pPr>
          </w:p>
        </w:tc>
        <w:tc>
          <w:tcPr>
            <w:tcW w:w="810" w:type="dxa"/>
          </w:tcPr>
          <w:p>
            <w:pPr>
              <w:pStyle w:val="TableParagraph"/>
              <w:spacing w:before="0"/>
              <w:jc w:val="left"/>
              <w:rPr>
                <w:rFonts w:ascii="Times New Roman"/>
                <w:sz w:val="18"/>
              </w:rPr>
            </w:pPr>
          </w:p>
        </w:tc>
        <w:tc>
          <w:tcPr>
            <w:tcW w:w="801" w:type="dxa"/>
          </w:tcPr>
          <w:p>
            <w:pPr>
              <w:pStyle w:val="TableParagraph"/>
              <w:spacing w:before="0"/>
              <w:jc w:val="left"/>
              <w:rPr>
                <w:rFonts w:ascii="Times New Roman"/>
                <w:sz w:val="18"/>
              </w:rPr>
            </w:pPr>
          </w:p>
        </w:tc>
      </w:tr>
    </w:tbl>
    <w:p>
      <w:pPr>
        <w:pStyle w:val="BodyText"/>
        <w:spacing w:before="9"/>
        <w:rPr>
          <w:b/>
          <w:sz w:val="30"/>
        </w:rPr>
      </w:pPr>
    </w:p>
    <w:p>
      <w:pPr>
        <w:pStyle w:val="BodyText"/>
        <w:spacing w:line="292" w:lineRule="auto"/>
        <w:ind w:left="830" w:right="756" w:firstLine="340"/>
        <w:jc w:val="both"/>
      </w:pPr>
      <w:r>
        <w:rPr>
          <w:color w:val="231F20"/>
        </w:rPr>
        <w:t>Notice that the journal entry balances. The income statement </w:t>
      </w:r>
      <w:r>
        <w:rPr>
          <w:color w:val="231F20"/>
        </w:rPr>
        <w:t>en- tries</w:t>
      </w:r>
      <w:r>
        <w:rPr>
          <w:color w:val="231F20"/>
          <w:spacing w:val="-9"/>
        </w:rPr>
        <w:t> </w:t>
      </w:r>
      <w:r>
        <w:rPr>
          <w:color w:val="231F20"/>
        </w:rPr>
        <w:t>reversed</w:t>
      </w:r>
      <w:r>
        <w:rPr>
          <w:color w:val="231F20"/>
          <w:spacing w:val="-9"/>
        </w:rPr>
        <w:t> </w:t>
      </w:r>
      <w:r>
        <w:rPr>
          <w:color w:val="231F20"/>
        </w:rPr>
        <w:t>themselves,</w:t>
      </w:r>
      <w:r>
        <w:rPr>
          <w:color w:val="231F20"/>
          <w:spacing w:val="-9"/>
        </w:rPr>
        <w:t> </w:t>
      </w:r>
      <w:r>
        <w:rPr>
          <w:color w:val="231F20"/>
        </w:rPr>
        <w:t>leaving</w:t>
      </w:r>
      <w:r>
        <w:rPr>
          <w:color w:val="231F20"/>
          <w:spacing w:val="-9"/>
        </w:rPr>
        <w:t> </w:t>
      </w:r>
      <w:r>
        <w:rPr>
          <w:color w:val="231F20"/>
        </w:rPr>
        <w:t>the</w:t>
      </w:r>
      <w:r>
        <w:rPr>
          <w:color w:val="231F20"/>
          <w:spacing w:val="-9"/>
        </w:rPr>
        <w:t> </w:t>
      </w:r>
      <w:r>
        <w:rPr>
          <w:color w:val="231F20"/>
        </w:rPr>
        <w:t>net</w:t>
      </w:r>
      <w:r>
        <w:rPr>
          <w:color w:val="231F20"/>
          <w:spacing w:val="-9"/>
        </w:rPr>
        <w:t> </w:t>
      </w:r>
      <w:r>
        <w:rPr>
          <w:color w:val="231F20"/>
        </w:rPr>
        <w:t>income</w:t>
      </w:r>
      <w:r>
        <w:rPr>
          <w:color w:val="231F20"/>
          <w:spacing w:val="-9"/>
        </w:rPr>
        <w:t> </w:t>
      </w:r>
      <w:r>
        <w:rPr>
          <w:color w:val="231F20"/>
        </w:rPr>
        <w:t>addition</w:t>
      </w:r>
      <w:r>
        <w:rPr>
          <w:color w:val="231F20"/>
          <w:spacing w:val="-9"/>
        </w:rPr>
        <w:t> </w:t>
      </w:r>
      <w:r>
        <w:rPr>
          <w:color w:val="231F20"/>
        </w:rPr>
        <w:t>to</w:t>
      </w:r>
      <w:r>
        <w:rPr>
          <w:color w:val="231F20"/>
          <w:spacing w:val="-9"/>
        </w:rPr>
        <w:t> </w:t>
      </w:r>
      <w:r>
        <w:rPr>
          <w:color w:val="231F20"/>
        </w:rPr>
        <w:t>retained earnings</w:t>
      </w:r>
      <w:r>
        <w:rPr>
          <w:color w:val="231F20"/>
          <w:spacing w:val="-2"/>
        </w:rPr>
        <w:t> </w:t>
      </w:r>
      <w:r>
        <w:rPr>
          <w:color w:val="231F20"/>
        </w:rPr>
        <w:t>on</w:t>
      </w:r>
      <w:r>
        <w:rPr>
          <w:color w:val="231F20"/>
          <w:spacing w:val="-2"/>
        </w:rPr>
        <w:t> </w:t>
      </w:r>
      <w:r>
        <w:rPr>
          <w:color w:val="231F20"/>
        </w:rPr>
        <w:t>the</w:t>
      </w:r>
      <w:r>
        <w:rPr>
          <w:color w:val="231F20"/>
          <w:spacing w:val="-2"/>
        </w:rPr>
        <w:t> </w:t>
      </w:r>
      <w:r>
        <w:rPr>
          <w:color w:val="231F20"/>
        </w:rPr>
        <w:t>balance</w:t>
      </w:r>
      <w:r>
        <w:rPr>
          <w:color w:val="231F20"/>
          <w:spacing w:val="-2"/>
        </w:rPr>
        <w:t> </w:t>
      </w:r>
      <w:r>
        <w:rPr>
          <w:color w:val="231F20"/>
        </w:rPr>
        <w:t>sheet.</w:t>
      </w:r>
      <w:r>
        <w:rPr>
          <w:color w:val="231F20"/>
          <w:spacing w:val="-2"/>
        </w:rPr>
        <w:t> </w:t>
      </w:r>
      <w:r>
        <w:rPr>
          <w:color w:val="231F20"/>
        </w:rPr>
        <w:t>Where</w:t>
      </w:r>
      <w:r>
        <w:rPr>
          <w:color w:val="231F20"/>
          <w:spacing w:val="-2"/>
        </w:rPr>
        <w:t> </w:t>
      </w:r>
      <w:r>
        <w:rPr>
          <w:color w:val="231F20"/>
        </w:rPr>
        <w:t>sales</w:t>
      </w:r>
      <w:r>
        <w:rPr>
          <w:color w:val="231F20"/>
          <w:spacing w:val="-2"/>
        </w:rPr>
        <w:t> </w:t>
      </w:r>
      <w:r>
        <w:rPr>
          <w:color w:val="231F20"/>
        </w:rPr>
        <w:t>of</w:t>
      </w:r>
      <w:r>
        <w:rPr>
          <w:color w:val="231F20"/>
          <w:spacing w:val="-2"/>
        </w:rPr>
        <w:t> </w:t>
      </w:r>
      <w:r>
        <w:rPr>
          <w:color w:val="231F20"/>
        </w:rPr>
        <w:t>$100,000</w:t>
      </w:r>
      <w:r>
        <w:rPr>
          <w:color w:val="231F20"/>
          <w:spacing w:val="-2"/>
        </w:rPr>
        <w:t> </w:t>
      </w:r>
      <w:r>
        <w:rPr>
          <w:color w:val="231F20"/>
        </w:rPr>
        <w:t>were</w:t>
      </w:r>
      <w:r>
        <w:rPr>
          <w:color w:val="231F20"/>
          <w:spacing w:val="-2"/>
        </w:rPr>
        <w:t> </w:t>
      </w:r>
      <w:r>
        <w:rPr>
          <w:color w:val="231F20"/>
        </w:rPr>
        <w:t>entered on</w:t>
      </w:r>
      <w:r>
        <w:rPr>
          <w:color w:val="231F20"/>
          <w:spacing w:val="38"/>
        </w:rPr>
        <w:t> </w:t>
      </w:r>
      <w:r>
        <w:rPr>
          <w:color w:val="231F20"/>
        </w:rPr>
        <w:t>the</w:t>
      </w:r>
      <w:r>
        <w:rPr>
          <w:color w:val="231F20"/>
          <w:spacing w:val="38"/>
        </w:rPr>
        <w:t> </w:t>
      </w:r>
      <w:r>
        <w:rPr>
          <w:color w:val="231F20"/>
        </w:rPr>
        <w:t>right</w:t>
      </w:r>
      <w:r>
        <w:rPr>
          <w:color w:val="231F20"/>
          <w:spacing w:val="38"/>
        </w:rPr>
        <w:t> </w:t>
      </w:r>
      <w:r>
        <w:rPr>
          <w:color w:val="231F20"/>
        </w:rPr>
        <w:t>during</w:t>
      </w:r>
      <w:r>
        <w:rPr>
          <w:color w:val="231F20"/>
          <w:spacing w:val="38"/>
        </w:rPr>
        <w:t> </w:t>
      </w:r>
      <w:r>
        <w:rPr>
          <w:color w:val="231F20"/>
        </w:rPr>
        <w:t>the</w:t>
      </w:r>
      <w:r>
        <w:rPr>
          <w:color w:val="231F20"/>
          <w:spacing w:val="39"/>
        </w:rPr>
        <w:t> </w:t>
      </w:r>
      <w:r>
        <w:rPr>
          <w:color w:val="231F20"/>
        </w:rPr>
        <w:t>year,</w:t>
      </w:r>
      <w:r>
        <w:rPr>
          <w:color w:val="231F20"/>
          <w:spacing w:val="38"/>
        </w:rPr>
        <w:t> </w:t>
      </w:r>
      <w:r>
        <w:rPr>
          <w:color w:val="231F20"/>
        </w:rPr>
        <w:t>they</w:t>
      </w:r>
      <w:r>
        <w:rPr>
          <w:color w:val="231F20"/>
          <w:spacing w:val="38"/>
        </w:rPr>
        <w:t> </w:t>
      </w:r>
      <w:r>
        <w:rPr>
          <w:color w:val="231F20"/>
        </w:rPr>
        <w:t>are</w:t>
      </w:r>
      <w:r>
        <w:rPr>
          <w:color w:val="231F20"/>
          <w:spacing w:val="38"/>
        </w:rPr>
        <w:t> </w:t>
      </w:r>
      <w:r>
        <w:rPr>
          <w:color w:val="231F20"/>
        </w:rPr>
        <w:t>cleared</w:t>
      </w:r>
      <w:r>
        <w:rPr>
          <w:color w:val="231F20"/>
          <w:spacing w:val="38"/>
        </w:rPr>
        <w:t> </w:t>
      </w:r>
      <w:r>
        <w:rPr>
          <w:color w:val="231F20"/>
        </w:rPr>
        <w:t>at</w:t>
      </w:r>
      <w:r>
        <w:rPr>
          <w:color w:val="231F20"/>
          <w:spacing w:val="39"/>
        </w:rPr>
        <w:t> </w:t>
      </w:r>
      <w:r>
        <w:rPr>
          <w:color w:val="231F20"/>
        </w:rPr>
        <w:t>year</w:t>
      </w:r>
      <w:r>
        <w:rPr>
          <w:color w:val="231F20"/>
          <w:spacing w:val="38"/>
        </w:rPr>
        <w:t> </w:t>
      </w:r>
      <w:r>
        <w:rPr>
          <w:color w:val="231F20"/>
        </w:rPr>
        <w:t>end</w:t>
      </w:r>
      <w:r>
        <w:rPr>
          <w:color w:val="231F20"/>
          <w:spacing w:val="38"/>
        </w:rPr>
        <w:t> </w:t>
      </w:r>
      <w:r>
        <w:rPr>
          <w:color w:val="231F20"/>
        </w:rPr>
        <w:t>with</w:t>
      </w:r>
      <w:r>
        <w:rPr>
          <w:color w:val="231F20"/>
          <w:spacing w:val="38"/>
        </w:rPr>
        <w:t> </w:t>
      </w:r>
      <w:r>
        <w:rPr>
          <w:color w:val="231F20"/>
          <w:spacing w:val="-10"/>
        </w:rPr>
        <w:t>a</w:t>
      </w:r>
    </w:p>
    <w:p>
      <w:pPr>
        <w:pStyle w:val="BodyText"/>
        <w:spacing w:line="292" w:lineRule="auto"/>
        <w:ind w:left="830" w:right="756"/>
        <w:jc w:val="both"/>
      </w:pPr>
      <w:r>
        <w:rPr>
          <w:color w:val="231F20"/>
        </w:rPr>
        <w:t>$100,000 entry on the left. The balance sheet’s asset, liability, </w:t>
      </w:r>
      <w:r>
        <w:rPr>
          <w:color w:val="231F20"/>
        </w:rPr>
        <w:t>and owners’ equity balances are permanent running totals that are car- ried forward to the next accounting year. There you have it. In a</w:t>
      </w:r>
      <w:r>
        <w:rPr>
          <w:color w:val="231F20"/>
          <w:spacing w:val="80"/>
          <w:w w:val="150"/>
        </w:rPr>
        <w:t> </w:t>
      </w:r>
      <w:r>
        <w:rPr>
          <w:color w:val="231F20"/>
        </w:rPr>
        <w:t>page you’ve witnessed an abbreviated version of an entire year’s ac- counting cycle and hours of MBA classroom consternation.</w:t>
      </w:r>
    </w:p>
    <w:p>
      <w:pPr>
        <w:pStyle w:val="BodyText"/>
        <w:spacing w:before="2"/>
        <w:rPr>
          <w:sz w:val="27"/>
        </w:rPr>
      </w:pPr>
    </w:p>
    <w:p>
      <w:pPr>
        <w:spacing w:before="0"/>
        <w:ind w:left="1170" w:right="0" w:firstLine="0"/>
        <w:jc w:val="left"/>
        <w:rPr>
          <w:rFonts w:ascii="Arial" w:hAnsi="Arial"/>
          <w:i/>
          <w:sz w:val="19"/>
        </w:rPr>
      </w:pPr>
      <w:r>
        <w:rPr>
          <w:rFonts w:ascii="Arial" w:hAnsi="Arial"/>
          <w:i/>
          <w:color w:val="231F20"/>
          <w:spacing w:val="-2"/>
          <w:w w:val="115"/>
          <w:sz w:val="19"/>
        </w:rPr>
        <w:t>The</w:t>
      </w:r>
      <w:r>
        <w:rPr>
          <w:rFonts w:ascii="Arial" w:hAnsi="Arial"/>
          <w:i/>
          <w:color w:val="231F20"/>
          <w:spacing w:val="-6"/>
          <w:w w:val="115"/>
          <w:sz w:val="19"/>
        </w:rPr>
        <w:t> </w:t>
      </w:r>
      <w:r>
        <w:rPr>
          <w:rFonts w:ascii="Arial" w:hAnsi="Arial"/>
          <w:i/>
          <w:color w:val="231F20"/>
          <w:spacing w:val="-2"/>
          <w:w w:val="115"/>
          <w:sz w:val="19"/>
        </w:rPr>
        <w:t>Income</w:t>
      </w:r>
      <w:r>
        <w:rPr>
          <w:rFonts w:ascii="Arial" w:hAnsi="Arial"/>
          <w:i/>
          <w:color w:val="231F20"/>
          <w:spacing w:val="-5"/>
          <w:w w:val="115"/>
          <w:sz w:val="19"/>
        </w:rPr>
        <w:t> </w:t>
      </w:r>
      <w:r>
        <w:rPr>
          <w:rFonts w:ascii="Arial" w:hAnsi="Arial"/>
          <w:i/>
          <w:color w:val="231F20"/>
          <w:spacing w:val="-2"/>
          <w:w w:val="115"/>
          <w:sz w:val="19"/>
        </w:rPr>
        <w:t>Statement’s</w:t>
      </w:r>
      <w:r>
        <w:rPr>
          <w:rFonts w:ascii="Arial" w:hAnsi="Arial"/>
          <w:i/>
          <w:color w:val="231F20"/>
          <w:spacing w:val="-5"/>
          <w:w w:val="115"/>
          <w:sz w:val="19"/>
        </w:rPr>
        <w:t> </w:t>
      </w:r>
      <w:r>
        <w:rPr>
          <w:rFonts w:ascii="Arial" w:hAnsi="Arial"/>
          <w:i/>
          <w:color w:val="231F20"/>
          <w:spacing w:val="-2"/>
          <w:w w:val="115"/>
          <w:sz w:val="19"/>
        </w:rPr>
        <w:t>Link</w:t>
      </w:r>
      <w:r>
        <w:rPr>
          <w:rFonts w:ascii="Arial" w:hAnsi="Arial"/>
          <w:i/>
          <w:color w:val="231F20"/>
          <w:spacing w:val="-5"/>
          <w:w w:val="115"/>
          <w:sz w:val="19"/>
        </w:rPr>
        <w:t> </w:t>
      </w:r>
      <w:r>
        <w:rPr>
          <w:rFonts w:ascii="Arial" w:hAnsi="Arial"/>
          <w:i/>
          <w:color w:val="231F20"/>
          <w:spacing w:val="-2"/>
          <w:w w:val="115"/>
          <w:sz w:val="19"/>
        </w:rPr>
        <w:t>to</w:t>
      </w:r>
      <w:r>
        <w:rPr>
          <w:rFonts w:ascii="Arial" w:hAnsi="Arial"/>
          <w:i/>
          <w:color w:val="231F20"/>
          <w:spacing w:val="-5"/>
          <w:w w:val="115"/>
          <w:sz w:val="19"/>
        </w:rPr>
        <w:t> </w:t>
      </w:r>
      <w:r>
        <w:rPr>
          <w:rFonts w:ascii="Arial" w:hAnsi="Arial"/>
          <w:i/>
          <w:color w:val="231F20"/>
          <w:spacing w:val="-2"/>
          <w:w w:val="115"/>
          <w:sz w:val="19"/>
        </w:rPr>
        <w:t>the</w:t>
      </w:r>
      <w:r>
        <w:rPr>
          <w:rFonts w:ascii="Arial" w:hAnsi="Arial"/>
          <w:i/>
          <w:color w:val="231F20"/>
          <w:spacing w:val="-5"/>
          <w:w w:val="115"/>
          <w:sz w:val="19"/>
        </w:rPr>
        <w:t> </w:t>
      </w:r>
      <w:r>
        <w:rPr>
          <w:rFonts w:ascii="Arial" w:hAnsi="Arial"/>
          <w:i/>
          <w:color w:val="231F20"/>
          <w:spacing w:val="-2"/>
          <w:w w:val="115"/>
          <w:sz w:val="19"/>
        </w:rPr>
        <w:t>Balance</w:t>
      </w:r>
      <w:r>
        <w:rPr>
          <w:rFonts w:ascii="Arial" w:hAnsi="Arial"/>
          <w:i/>
          <w:color w:val="231F20"/>
          <w:spacing w:val="-6"/>
          <w:w w:val="115"/>
          <w:sz w:val="19"/>
        </w:rPr>
        <w:t> </w:t>
      </w:r>
      <w:r>
        <w:rPr>
          <w:rFonts w:ascii="Arial" w:hAnsi="Arial"/>
          <w:i/>
          <w:color w:val="231F20"/>
          <w:spacing w:val="-4"/>
          <w:w w:val="115"/>
          <w:sz w:val="19"/>
        </w:rPr>
        <w:t>Sheet</w:t>
      </w:r>
    </w:p>
    <w:p>
      <w:pPr>
        <w:pStyle w:val="BodyText"/>
        <w:spacing w:line="292" w:lineRule="auto" w:before="60"/>
        <w:ind w:left="830" w:right="753" w:firstLine="340"/>
        <w:jc w:val="both"/>
      </w:pPr>
      <w:r>
        <w:rPr>
          <w:color w:val="231F20"/>
        </w:rPr>
        <w:t>From Bob’s actual income statement, the reader can see that the store</w:t>
      </w:r>
      <w:r>
        <w:rPr>
          <w:color w:val="231F20"/>
          <w:spacing w:val="62"/>
        </w:rPr>
        <w:t> </w:t>
      </w:r>
      <w:r>
        <w:rPr>
          <w:color w:val="231F20"/>
        </w:rPr>
        <w:t>had</w:t>
      </w:r>
      <w:r>
        <w:rPr>
          <w:color w:val="231F20"/>
          <w:spacing w:val="62"/>
        </w:rPr>
        <w:t> </w:t>
      </w:r>
      <w:r>
        <w:rPr>
          <w:color w:val="231F20"/>
        </w:rPr>
        <w:t>a</w:t>
      </w:r>
      <w:r>
        <w:rPr>
          <w:color w:val="231F20"/>
          <w:spacing w:val="63"/>
        </w:rPr>
        <w:t> </w:t>
      </w:r>
      <w:r>
        <w:rPr>
          <w:color w:val="231F20"/>
        </w:rPr>
        <w:t>marginally</w:t>
      </w:r>
      <w:r>
        <w:rPr>
          <w:color w:val="231F20"/>
          <w:spacing w:val="62"/>
        </w:rPr>
        <w:t> </w:t>
      </w:r>
      <w:r>
        <w:rPr>
          <w:color w:val="231F20"/>
        </w:rPr>
        <w:t>profitable</w:t>
      </w:r>
      <w:r>
        <w:rPr>
          <w:color w:val="231F20"/>
          <w:spacing w:val="63"/>
        </w:rPr>
        <w:t> </w:t>
      </w:r>
      <w:r>
        <w:rPr>
          <w:color w:val="231F20"/>
        </w:rPr>
        <w:t>year.</w:t>
      </w:r>
      <w:r>
        <w:rPr>
          <w:color w:val="231F20"/>
          <w:spacing w:val="62"/>
        </w:rPr>
        <w:t> </w:t>
      </w:r>
      <w:r>
        <w:rPr>
          <w:color w:val="231F20"/>
        </w:rPr>
        <w:t>He</w:t>
      </w:r>
      <w:r>
        <w:rPr>
          <w:color w:val="231F20"/>
          <w:spacing w:val="63"/>
        </w:rPr>
        <w:t> </w:t>
      </w:r>
      <w:r>
        <w:rPr>
          <w:color w:val="231F20"/>
        </w:rPr>
        <w:t>had</w:t>
      </w:r>
      <w:r>
        <w:rPr>
          <w:color w:val="231F20"/>
          <w:spacing w:val="62"/>
        </w:rPr>
        <w:t> </w:t>
      </w:r>
      <w:r>
        <w:rPr>
          <w:color w:val="231F20"/>
        </w:rPr>
        <w:t>a</w:t>
      </w:r>
      <w:r>
        <w:rPr>
          <w:color w:val="231F20"/>
          <w:spacing w:val="63"/>
        </w:rPr>
        <w:t> </w:t>
      </w:r>
      <w:r>
        <w:rPr>
          <w:i/>
          <w:color w:val="231F20"/>
        </w:rPr>
        <w:t>net</w:t>
      </w:r>
      <w:r>
        <w:rPr>
          <w:i/>
          <w:color w:val="231F20"/>
          <w:spacing w:val="62"/>
        </w:rPr>
        <w:t> </w:t>
      </w:r>
      <w:r>
        <w:rPr>
          <w:i/>
          <w:color w:val="231F20"/>
        </w:rPr>
        <w:t>income</w:t>
      </w:r>
      <w:r>
        <w:rPr>
          <w:i/>
          <w:color w:val="231F20"/>
          <w:spacing w:val="63"/>
        </w:rPr>
        <w:t> </w:t>
      </w:r>
      <w:r>
        <w:rPr>
          <w:color w:val="231F20"/>
          <w:spacing w:val="-5"/>
        </w:rPr>
        <w:t>of</w:t>
      </w:r>
    </w:p>
    <w:p>
      <w:pPr>
        <w:pStyle w:val="BodyText"/>
        <w:spacing w:line="245" w:lineRule="exact"/>
        <w:ind w:left="830"/>
        <w:jc w:val="both"/>
      </w:pPr>
      <w:r>
        <w:rPr>
          <w:color w:val="231F20"/>
        </w:rPr>
        <w:t>$30,000.</w:t>
      </w:r>
      <w:r>
        <w:rPr>
          <w:color w:val="231F20"/>
          <w:spacing w:val="21"/>
        </w:rPr>
        <w:t> </w:t>
      </w:r>
      <w:r>
        <w:rPr>
          <w:color w:val="231F20"/>
        </w:rPr>
        <w:t>What</w:t>
      </w:r>
      <w:r>
        <w:rPr>
          <w:color w:val="231F20"/>
          <w:spacing w:val="21"/>
        </w:rPr>
        <w:t> </w:t>
      </w:r>
      <w:r>
        <w:rPr>
          <w:color w:val="231F20"/>
        </w:rPr>
        <w:t>is</w:t>
      </w:r>
      <w:r>
        <w:rPr>
          <w:color w:val="231F20"/>
          <w:spacing w:val="22"/>
        </w:rPr>
        <w:t> </w:t>
      </w:r>
      <w:r>
        <w:rPr>
          <w:color w:val="231F20"/>
        </w:rPr>
        <w:t>even</w:t>
      </w:r>
      <w:r>
        <w:rPr>
          <w:color w:val="231F20"/>
          <w:spacing w:val="21"/>
        </w:rPr>
        <w:t> </w:t>
      </w:r>
      <w:r>
        <w:rPr>
          <w:color w:val="231F20"/>
        </w:rPr>
        <w:t>more</w:t>
      </w:r>
      <w:r>
        <w:rPr>
          <w:color w:val="231F20"/>
          <w:spacing w:val="21"/>
        </w:rPr>
        <w:t> </w:t>
      </w:r>
      <w:r>
        <w:rPr>
          <w:color w:val="231F20"/>
        </w:rPr>
        <w:t>important</w:t>
      </w:r>
      <w:r>
        <w:rPr>
          <w:color w:val="231F20"/>
          <w:spacing w:val="22"/>
        </w:rPr>
        <w:t> </w:t>
      </w:r>
      <w:r>
        <w:rPr>
          <w:color w:val="231F20"/>
        </w:rPr>
        <w:t>than</w:t>
      </w:r>
      <w:r>
        <w:rPr>
          <w:color w:val="231F20"/>
          <w:spacing w:val="21"/>
        </w:rPr>
        <w:t> </w:t>
      </w:r>
      <w:r>
        <w:rPr>
          <w:color w:val="231F20"/>
        </w:rPr>
        <w:t>just</w:t>
      </w:r>
      <w:r>
        <w:rPr>
          <w:color w:val="231F20"/>
          <w:spacing w:val="22"/>
        </w:rPr>
        <w:t> </w:t>
      </w:r>
      <w:r>
        <w:rPr>
          <w:color w:val="231F20"/>
        </w:rPr>
        <w:t>the</w:t>
      </w:r>
      <w:r>
        <w:rPr>
          <w:color w:val="231F20"/>
          <w:spacing w:val="21"/>
        </w:rPr>
        <w:t> </w:t>
      </w:r>
      <w:r>
        <w:rPr>
          <w:color w:val="231F20"/>
        </w:rPr>
        <w:t>calculations</w:t>
      </w:r>
      <w:r>
        <w:rPr>
          <w:color w:val="231F20"/>
          <w:spacing w:val="21"/>
        </w:rPr>
        <w:t> </w:t>
      </w:r>
      <w:r>
        <w:rPr>
          <w:color w:val="231F20"/>
          <w:spacing w:val="-5"/>
        </w:rPr>
        <w:t>of</w:t>
      </w:r>
    </w:p>
    <w:p>
      <w:pPr>
        <w:spacing w:after="0" w:line="245" w:lineRule="exact"/>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income is the understanding of how the income statement relates </w:t>
      </w:r>
      <w:r>
        <w:rPr>
          <w:color w:val="231F20"/>
        </w:rPr>
        <w:t>to the balance sheet. The income statement is the result of many activi- ties during the year. Assets and liabilities are affected upward and downward</w:t>
      </w:r>
      <w:r>
        <w:rPr>
          <w:color w:val="231F20"/>
          <w:spacing w:val="40"/>
        </w:rPr>
        <w:t> </w:t>
      </w:r>
      <w:r>
        <w:rPr>
          <w:color w:val="231F20"/>
        </w:rPr>
        <w:t>during</w:t>
      </w:r>
      <w:r>
        <w:rPr>
          <w:color w:val="231F20"/>
          <w:spacing w:val="40"/>
        </w:rPr>
        <w:t> </w:t>
      </w:r>
      <w:r>
        <w:rPr>
          <w:color w:val="231F20"/>
        </w:rPr>
        <w:t>the</w:t>
      </w:r>
      <w:r>
        <w:rPr>
          <w:color w:val="231F20"/>
          <w:spacing w:val="40"/>
        </w:rPr>
        <w:t> </w:t>
      </w:r>
      <w:r>
        <w:rPr>
          <w:color w:val="231F20"/>
        </w:rPr>
        <w:t>year</w:t>
      </w:r>
      <w:r>
        <w:rPr>
          <w:color w:val="231F20"/>
          <w:spacing w:val="40"/>
        </w:rPr>
        <w:t> </w:t>
      </w:r>
      <w:r>
        <w:rPr>
          <w:color w:val="231F20"/>
        </w:rPr>
        <w:t>through</w:t>
      </w:r>
      <w:r>
        <w:rPr>
          <w:color w:val="231F20"/>
          <w:spacing w:val="40"/>
        </w:rPr>
        <w:t> </w:t>
      </w:r>
      <w:r>
        <w:rPr>
          <w:color w:val="231F20"/>
        </w:rPr>
        <w:t>many</w:t>
      </w:r>
      <w:r>
        <w:rPr>
          <w:color w:val="231F20"/>
          <w:spacing w:val="40"/>
        </w:rPr>
        <w:t> </w:t>
      </w:r>
      <w:r>
        <w:rPr>
          <w:color w:val="231F20"/>
        </w:rPr>
        <w:t>individual</w:t>
      </w:r>
      <w:r>
        <w:rPr>
          <w:color w:val="231F20"/>
          <w:spacing w:val="40"/>
        </w:rPr>
        <w:t> </w:t>
      </w:r>
      <w:r>
        <w:rPr>
          <w:color w:val="231F20"/>
        </w:rPr>
        <w:t>transactions. At year’s end, the net assets of the firm, as totaled by the balance sheet, had changed because of operating activities. The net income,</w:t>
      </w:r>
      <w:r>
        <w:rPr>
          <w:color w:val="231F20"/>
          <w:spacing w:val="40"/>
        </w:rPr>
        <w:t> </w:t>
      </w:r>
      <w:r>
        <w:rPr>
          <w:color w:val="231F20"/>
        </w:rPr>
        <w:t>as</w:t>
      </w:r>
      <w:r>
        <w:rPr>
          <w:color w:val="231F20"/>
          <w:spacing w:val="-3"/>
        </w:rPr>
        <w:t> </w:t>
      </w:r>
      <w:r>
        <w:rPr>
          <w:color w:val="231F20"/>
        </w:rPr>
        <w:t>calculated</w:t>
      </w:r>
      <w:r>
        <w:rPr>
          <w:color w:val="231F20"/>
          <w:spacing w:val="-3"/>
        </w:rPr>
        <w:t> </w:t>
      </w:r>
      <w:r>
        <w:rPr>
          <w:color w:val="231F20"/>
        </w:rPr>
        <w:t>by</w:t>
      </w:r>
      <w:r>
        <w:rPr>
          <w:color w:val="231F20"/>
          <w:spacing w:val="-3"/>
        </w:rPr>
        <w:t> </w:t>
      </w:r>
      <w:r>
        <w:rPr>
          <w:color w:val="231F20"/>
        </w:rPr>
        <w:t>the</w:t>
      </w:r>
      <w:r>
        <w:rPr>
          <w:color w:val="231F20"/>
          <w:spacing w:val="-3"/>
        </w:rPr>
        <w:t> </w:t>
      </w:r>
      <w:r>
        <w:rPr>
          <w:color w:val="231F20"/>
        </w:rPr>
        <w:t>income</w:t>
      </w:r>
      <w:r>
        <w:rPr>
          <w:color w:val="231F20"/>
          <w:spacing w:val="-3"/>
        </w:rPr>
        <w:t> </w:t>
      </w:r>
      <w:r>
        <w:rPr>
          <w:color w:val="231F20"/>
        </w:rPr>
        <w:t>statement,</w:t>
      </w:r>
      <w:r>
        <w:rPr>
          <w:color w:val="231F20"/>
          <w:spacing w:val="-3"/>
        </w:rPr>
        <w:t> </w:t>
      </w:r>
      <w:r>
        <w:rPr>
          <w:color w:val="231F20"/>
        </w:rPr>
        <w:t>tells</w:t>
      </w:r>
      <w:r>
        <w:rPr>
          <w:color w:val="231F20"/>
          <w:spacing w:val="-3"/>
        </w:rPr>
        <w:t> </w:t>
      </w:r>
      <w:r>
        <w:rPr>
          <w:color w:val="231F20"/>
        </w:rPr>
        <w:t>the</w:t>
      </w:r>
      <w:r>
        <w:rPr>
          <w:color w:val="231F20"/>
          <w:spacing w:val="-3"/>
        </w:rPr>
        <w:t> </w:t>
      </w:r>
      <w:r>
        <w:rPr>
          <w:color w:val="231F20"/>
        </w:rPr>
        <w:t>story</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year’s</w:t>
      </w:r>
      <w:r>
        <w:rPr>
          <w:color w:val="231F20"/>
          <w:spacing w:val="-3"/>
        </w:rPr>
        <w:t> </w:t>
      </w:r>
      <w:r>
        <w:rPr>
          <w:color w:val="231F20"/>
        </w:rPr>
        <w:t>op- erations by showing </w:t>
      </w:r>
      <w:r>
        <w:rPr>
          <w:i/>
          <w:color w:val="231F20"/>
        </w:rPr>
        <w:t>how </w:t>
      </w:r>
      <w:r>
        <w:rPr>
          <w:color w:val="231F20"/>
        </w:rPr>
        <w:t>that change in net assets occurred. Because it was Bob’s first year, retained earnings equaled $30,000, the first year’s net income. In succeeding years it will be affected by the next year’s earnings and dividends.</w:t>
      </w:r>
    </w:p>
    <w:p>
      <w:pPr>
        <w:pStyle w:val="BodyText"/>
        <w:rPr>
          <w:sz w:val="24"/>
        </w:rPr>
      </w:pPr>
    </w:p>
    <w:p>
      <w:pPr>
        <w:pStyle w:val="BodyText"/>
        <w:spacing w:before="9"/>
        <w:rPr>
          <w:sz w:val="26"/>
        </w:rPr>
      </w:pPr>
    </w:p>
    <w:p>
      <w:pPr>
        <w:pStyle w:val="Heading6"/>
        <w:rPr>
          <w:i/>
        </w:rPr>
      </w:pPr>
      <w:r>
        <w:rPr>
          <w:i/>
          <w:color w:val="231F20"/>
          <w:w w:val="110"/>
        </w:rPr>
        <w:t>THE</w:t>
      </w:r>
      <w:r>
        <w:rPr>
          <w:i/>
          <w:color w:val="231F20"/>
          <w:spacing w:val="57"/>
          <w:w w:val="110"/>
        </w:rPr>
        <w:t> </w:t>
      </w:r>
      <w:r>
        <w:rPr>
          <w:i/>
          <w:color w:val="231F20"/>
          <w:w w:val="110"/>
        </w:rPr>
        <w:t>STATEMENT</w:t>
      </w:r>
      <w:r>
        <w:rPr>
          <w:i/>
          <w:color w:val="231F20"/>
          <w:spacing w:val="58"/>
          <w:w w:val="110"/>
        </w:rPr>
        <w:t> </w:t>
      </w:r>
      <w:r>
        <w:rPr>
          <w:i/>
          <w:color w:val="231F20"/>
          <w:w w:val="110"/>
        </w:rPr>
        <w:t>OF</w:t>
      </w:r>
      <w:r>
        <w:rPr>
          <w:i/>
          <w:color w:val="231F20"/>
          <w:spacing w:val="58"/>
          <w:w w:val="110"/>
        </w:rPr>
        <w:t> </w:t>
      </w:r>
      <w:r>
        <w:rPr>
          <w:i/>
          <w:color w:val="231F20"/>
          <w:w w:val="110"/>
        </w:rPr>
        <w:t>CASH</w:t>
      </w:r>
      <w:r>
        <w:rPr>
          <w:i/>
          <w:color w:val="231F20"/>
          <w:spacing w:val="57"/>
          <w:w w:val="110"/>
        </w:rPr>
        <w:t> </w:t>
      </w:r>
      <w:r>
        <w:rPr>
          <w:i/>
          <w:color w:val="231F20"/>
          <w:spacing w:val="8"/>
          <w:w w:val="110"/>
        </w:rPr>
        <w:t>FLOWS</w:t>
      </w:r>
    </w:p>
    <w:p>
      <w:pPr>
        <w:pStyle w:val="BodyText"/>
        <w:rPr>
          <w:b/>
          <w:i/>
          <w:sz w:val="32"/>
        </w:rPr>
      </w:pPr>
    </w:p>
    <w:p>
      <w:pPr>
        <w:spacing w:before="0"/>
        <w:ind w:left="1260" w:right="0" w:firstLine="0"/>
        <w:jc w:val="left"/>
        <w:rPr>
          <w:rFonts w:ascii="Arial"/>
          <w:i/>
          <w:sz w:val="19"/>
        </w:rPr>
      </w:pPr>
      <w:r>
        <w:rPr>
          <w:rFonts w:ascii="Arial"/>
          <w:i/>
          <w:color w:val="231F20"/>
          <w:w w:val="115"/>
          <w:sz w:val="19"/>
        </w:rPr>
        <w:t>The</w:t>
      </w:r>
      <w:r>
        <w:rPr>
          <w:rFonts w:ascii="Arial"/>
          <w:i/>
          <w:color w:val="231F20"/>
          <w:spacing w:val="-9"/>
          <w:w w:val="115"/>
          <w:sz w:val="19"/>
        </w:rPr>
        <w:t> </w:t>
      </w:r>
      <w:r>
        <w:rPr>
          <w:rFonts w:ascii="Arial"/>
          <w:i/>
          <w:color w:val="231F20"/>
          <w:w w:val="115"/>
          <w:sz w:val="19"/>
        </w:rPr>
        <w:t>Importance</w:t>
      </w:r>
      <w:r>
        <w:rPr>
          <w:rFonts w:ascii="Arial"/>
          <w:i/>
          <w:color w:val="231F20"/>
          <w:spacing w:val="-8"/>
          <w:w w:val="115"/>
          <w:sz w:val="19"/>
        </w:rPr>
        <w:t> </w:t>
      </w:r>
      <w:r>
        <w:rPr>
          <w:rFonts w:ascii="Arial"/>
          <w:i/>
          <w:color w:val="231F20"/>
          <w:w w:val="115"/>
          <w:sz w:val="19"/>
        </w:rPr>
        <w:t>of</w:t>
      </w:r>
      <w:r>
        <w:rPr>
          <w:rFonts w:ascii="Arial"/>
          <w:i/>
          <w:color w:val="231F20"/>
          <w:spacing w:val="-9"/>
          <w:w w:val="115"/>
          <w:sz w:val="19"/>
        </w:rPr>
        <w:t> </w:t>
      </w:r>
      <w:r>
        <w:rPr>
          <w:rFonts w:ascii="Arial"/>
          <w:i/>
          <w:color w:val="231F20"/>
          <w:spacing w:val="-4"/>
          <w:w w:val="115"/>
          <w:sz w:val="19"/>
        </w:rPr>
        <w:t>Cash</w:t>
      </w:r>
    </w:p>
    <w:p>
      <w:pPr>
        <w:pStyle w:val="BodyText"/>
        <w:spacing w:line="292" w:lineRule="auto" w:before="61"/>
        <w:ind w:left="920" w:right="666" w:firstLine="340"/>
        <w:jc w:val="both"/>
      </w:pPr>
      <w:r>
        <w:rPr>
          <w:color w:val="231F20"/>
        </w:rPr>
        <w:t>As the saying goes, “Cash is king.” Without the green a business cannot function. For example, let’s take a look at Leonard, Inc., </w:t>
      </w:r>
      <w:r>
        <w:rPr>
          <w:color w:val="231F20"/>
        </w:rPr>
        <w:t>who sold package-printing equipment to the food companies that sup- plied Bob’s Market. If Leonard, Inc., sold three printing presses to Kraft at $5 million each and earned $2 million on each, Leonard’s income statement would show $6 million in profits. However, Leonard manufactured the equipment during the summer and Kraft paid for it in the fall when it was delivered. The factory employees wouldn’t be too happy if their July paychecks bounced while the company waited for the cash in October.</w:t>
      </w:r>
    </w:p>
    <w:p>
      <w:pPr>
        <w:pStyle w:val="BodyText"/>
        <w:spacing w:line="292" w:lineRule="auto"/>
        <w:ind w:left="920" w:right="666" w:firstLine="340"/>
        <w:jc w:val="both"/>
      </w:pPr>
      <w:r>
        <w:rPr>
          <w:color w:val="231F20"/>
        </w:rPr>
        <w:t>Because the cash is critical for operations, and most important </w:t>
      </w:r>
      <w:r>
        <w:rPr>
          <w:color w:val="231F20"/>
        </w:rPr>
        <w:t>in order to stay out of bankruptcy, the FASB wrote rule No. 95, man- dating that all financial statements include the </w:t>
      </w:r>
      <w:r>
        <w:rPr>
          <w:i/>
          <w:color w:val="231F20"/>
        </w:rPr>
        <w:t>Statement of Cash</w:t>
      </w:r>
      <w:r>
        <w:rPr>
          <w:i/>
          <w:color w:val="231F20"/>
        </w:rPr>
        <w:t> Flows </w:t>
      </w:r>
      <w:r>
        <w:rPr>
          <w:color w:val="231F20"/>
        </w:rPr>
        <w:t>or </w:t>
      </w:r>
      <w:r>
        <w:rPr>
          <w:i/>
          <w:color w:val="231F20"/>
        </w:rPr>
        <w:t>Cash Flow Statement. </w:t>
      </w:r>
      <w:r>
        <w:rPr>
          <w:color w:val="231F20"/>
        </w:rPr>
        <w:t>Remember those FASB rules that I mentioned accountants make to address current business concerns? Because</w:t>
      </w:r>
      <w:r>
        <w:rPr>
          <w:color w:val="231F20"/>
          <w:spacing w:val="18"/>
        </w:rPr>
        <w:t> </w:t>
      </w:r>
      <w:r>
        <w:rPr>
          <w:color w:val="231F20"/>
        </w:rPr>
        <w:t>knowing</w:t>
      </w:r>
      <w:r>
        <w:rPr>
          <w:color w:val="231F20"/>
          <w:spacing w:val="18"/>
        </w:rPr>
        <w:t> </w:t>
      </w:r>
      <w:r>
        <w:rPr>
          <w:color w:val="231F20"/>
        </w:rPr>
        <w:t>the</w:t>
      </w:r>
      <w:r>
        <w:rPr>
          <w:color w:val="231F20"/>
          <w:spacing w:val="18"/>
        </w:rPr>
        <w:t> </w:t>
      </w:r>
      <w:r>
        <w:rPr>
          <w:color w:val="231F20"/>
        </w:rPr>
        <w:t>“sources”</w:t>
      </w:r>
      <w:r>
        <w:rPr>
          <w:color w:val="231F20"/>
          <w:spacing w:val="18"/>
        </w:rPr>
        <w:t> </w:t>
      </w:r>
      <w:r>
        <w:rPr>
          <w:color w:val="231F20"/>
        </w:rPr>
        <w:t>and</w:t>
      </w:r>
      <w:r>
        <w:rPr>
          <w:color w:val="231F20"/>
          <w:spacing w:val="18"/>
        </w:rPr>
        <w:t> </w:t>
      </w:r>
      <w:r>
        <w:rPr>
          <w:color w:val="231F20"/>
        </w:rPr>
        <w:t>“uses”</w:t>
      </w:r>
      <w:r>
        <w:rPr>
          <w:color w:val="231F20"/>
          <w:spacing w:val="18"/>
        </w:rPr>
        <w:t> </w:t>
      </w:r>
      <w:r>
        <w:rPr>
          <w:color w:val="231F20"/>
        </w:rPr>
        <w:t>of</w:t>
      </w:r>
      <w:r>
        <w:rPr>
          <w:color w:val="231F20"/>
          <w:spacing w:val="18"/>
        </w:rPr>
        <w:t> </w:t>
      </w:r>
      <w:r>
        <w:rPr>
          <w:color w:val="231F20"/>
        </w:rPr>
        <w:t>cash</w:t>
      </w:r>
      <w:r>
        <w:rPr>
          <w:color w:val="231F20"/>
          <w:spacing w:val="18"/>
        </w:rPr>
        <w:t> </w:t>
      </w:r>
      <w:r>
        <w:rPr>
          <w:color w:val="231F20"/>
        </w:rPr>
        <w:t>is</w:t>
      </w:r>
      <w:r>
        <w:rPr>
          <w:color w:val="231F20"/>
          <w:spacing w:val="18"/>
        </w:rPr>
        <w:t> </w:t>
      </w:r>
      <w:r>
        <w:rPr>
          <w:color w:val="231F20"/>
        </w:rPr>
        <w:t>paramount</w:t>
      </w:r>
      <w:r>
        <w:rPr>
          <w:color w:val="231F20"/>
          <w:spacing w:val="18"/>
        </w:rPr>
        <w:t> </w:t>
      </w:r>
      <w:r>
        <w:rPr>
          <w:color w:val="231F20"/>
        </w:rPr>
        <w:t>for a business, the addition of the statement of cash flows has widely been seen as a great improvement by the financial community.</w:t>
      </w:r>
    </w:p>
    <w:p>
      <w:pPr>
        <w:pStyle w:val="BodyText"/>
        <w:spacing w:line="292" w:lineRule="auto"/>
        <w:ind w:left="920" w:right="666" w:firstLine="340"/>
        <w:jc w:val="both"/>
      </w:pPr>
      <w:r>
        <w:rPr>
          <w:color w:val="231F20"/>
        </w:rPr>
        <w:t>The inability to manage a company’s cash needs is often the </w:t>
      </w:r>
      <w:r>
        <w:rPr>
          <w:color w:val="231F20"/>
        </w:rPr>
        <w:t>pri- mary</w:t>
      </w:r>
      <w:r>
        <w:rPr>
          <w:color w:val="231F20"/>
          <w:spacing w:val="35"/>
        </w:rPr>
        <w:t> </w:t>
      </w:r>
      <w:r>
        <w:rPr>
          <w:color w:val="231F20"/>
        </w:rPr>
        <w:t>cause</w:t>
      </w:r>
      <w:r>
        <w:rPr>
          <w:color w:val="231F20"/>
          <w:spacing w:val="35"/>
        </w:rPr>
        <w:t> </w:t>
      </w:r>
      <w:r>
        <w:rPr>
          <w:color w:val="231F20"/>
        </w:rPr>
        <w:t>of</w:t>
      </w:r>
      <w:r>
        <w:rPr>
          <w:color w:val="231F20"/>
          <w:spacing w:val="35"/>
        </w:rPr>
        <w:t> </w:t>
      </w:r>
      <w:r>
        <w:rPr>
          <w:color w:val="231F20"/>
        </w:rPr>
        <w:t>the</w:t>
      </w:r>
      <w:r>
        <w:rPr>
          <w:color w:val="231F20"/>
          <w:spacing w:val="36"/>
        </w:rPr>
        <w:t> </w:t>
      </w:r>
      <w:r>
        <w:rPr>
          <w:color w:val="231F20"/>
        </w:rPr>
        <w:t>demise</w:t>
      </w:r>
      <w:r>
        <w:rPr>
          <w:color w:val="231F20"/>
          <w:spacing w:val="35"/>
        </w:rPr>
        <w:t> </w:t>
      </w:r>
      <w:r>
        <w:rPr>
          <w:color w:val="231F20"/>
        </w:rPr>
        <w:t>of</w:t>
      </w:r>
      <w:r>
        <w:rPr>
          <w:color w:val="231F20"/>
          <w:spacing w:val="35"/>
        </w:rPr>
        <w:t> </w:t>
      </w:r>
      <w:r>
        <w:rPr>
          <w:color w:val="231F20"/>
        </w:rPr>
        <w:t>many</w:t>
      </w:r>
      <w:r>
        <w:rPr>
          <w:color w:val="231F20"/>
          <w:spacing w:val="36"/>
        </w:rPr>
        <w:t> </w:t>
      </w:r>
      <w:r>
        <w:rPr>
          <w:color w:val="231F20"/>
        </w:rPr>
        <w:t>“profitable”</w:t>
      </w:r>
      <w:r>
        <w:rPr>
          <w:color w:val="231F20"/>
          <w:spacing w:val="35"/>
        </w:rPr>
        <w:t> </w:t>
      </w:r>
      <w:r>
        <w:rPr>
          <w:color w:val="231F20"/>
        </w:rPr>
        <w:t>enterprises.</w:t>
      </w:r>
      <w:r>
        <w:rPr>
          <w:color w:val="231F20"/>
          <w:spacing w:val="35"/>
        </w:rPr>
        <w:t> </w:t>
      </w:r>
      <w:r>
        <w:rPr>
          <w:color w:val="231F20"/>
          <w:spacing w:val="-4"/>
        </w:rPr>
        <w:t>Many</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companies that measured their success by their net income have </w:t>
      </w:r>
      <w:r>
        <w:rPr>
          <w:color w:val="231F20"/>
        </w:rPr>
        <w:t>had a rude awakening when confronted with cash shortages and angry creditors. This is just what happened to Chrysler in 1979 when it went hat in hand to the federal government for a bailout.</w:t>
      </w:r>
    </w:p>
    <w:p>
      <w:pPr>
        <w:pStyle w:val="BodyText"/>
        <w:spacing w:line="292" w:lineRule="auto"/>
        <w:ind w:left="829" w:right="754" w:firstLine="340"/>
        <w:jc w:val="both"/>
      </w:pPr>
      <w:r>
        <w:rPr>
          <w:color w:val="231F20"/>
        </w:rPr>
        <w:t>Investors myopically looking at the income statement for a </w:t>
      </w:r>
      <w:r>
        <w:rPr>
          <w:color w:val="231F20"/>
        </w:rPr>
        <w:t>mea- sure of health can be deceived. For example, Boeing’s McDonnell Douglas, the defense contractor, had healthy earnings in 1990 that masked an underlying corporate illness. </w:t>
      </w:r>
      <w:r>
        <w:rPr>
          <w:i/>
          <w:color w:val="231F20"/>
        </w:rPr>
        <w:t>Forbes </w:t>
      </w:r>
      <w:r>
        <w:rPr>
          <w:color w:val="231F20"/>
        </w:rPr>
        <w:t>reported it to its </w:t>
      </w:r>
      <w:r>
        <w:rPr>
          <w:color w:val="231F20"/>
          <w:spacing w:val="-2"/>
        </w:rPr>
        <w:t>readers:</w:t>
      </w:r>
    </w:p>
    <w:p>
      <w:pPr>
        <w:pStyle w:val="BodyText"/>
        <w:spacing w:before="10"/>
        <w:rPr>
          <w:sz w:val="26"/>
        </w:rPr>
      </w:pPr>
    </w:p>
    <w:p>
      <w:pPr>
        <w:spacing w:line="324" w:lineRule="auto" w:before="1"/>
        <w:ind w:left="1170" w:right="1096" w:firstLine="0"/>
        <w:jc w:val="both"/>
        <w:rPr>
          <w:sz w:val="19"/>
        </w:rPr>
      </w:pPr>
      <w:r>
        <w:rPr>
          <w:color w:val="231F20"/>
          <w:w w:val="105"/>
          <w:sz w:val="19"/>
        </w:rPr>
        <w:t>On the surface, things don’t look so bad for McDonnell Douglas.</w:t>
      </w:r>
      <w:r>
        <w:rPr>
          <w:color w:val="231F20"/>
          <w:spacing w:val="80"/>
          <w:w w:val="105"/>
          <w:sz w:val="19"/>
        </w:rPr>
        <w:t> </w:t>
      </w:r>
      <w:r>
        <w:rPr>
          <w:color w:val="231F20"/>
          <w:sz w:val="19"/>
        </w:rPr>
        <w:t>It</w:t>
      </w:r>
      <w:r>
        <w:rPr>
          <w:color w:val="231F20"/>
          <w:spacing w:val="7"/>
          <w:sz w:val="19"/>
        </w:rPr>
        <w:t> </w:t>
      </w:r>
      <w:r>
        <w:rPr>
          <w:color w:val="231F20"/>
          <w:sz w:val="19"/>
        </w:rPr>
        <w:t>will</w:t>
      </w:r>
      <w:r>
        <w:rPr>
          <w:color w:val="231F20"/>
          <w:spacing w:val="8"/>
          <w:sz w:val="19"/>
        </w:rPr>
        <w:t> </w:t>
      </w:r>
      <w:r>
        <w:rPr>
          <w:color w:val="231F20"/>
          <w:sz w:val="19"/>
        </w:rPr>
        <w:t>probably</w:t>
      </w:r>
      <w:r>
        <w:rPr>
          <w:color w:val="231F20"/>
          <w:spacing w:val="8"/>
          <w:sz w:val="19"/>
        </w:rPr>
        <w:t> </w:t>
      </w:r>
      <w:r>
        <w:rPr>
          <w:color w:val="231F20"/>
          <w:sz w:val="19"/>
        </w:rPr>
        <w:t>report</w:t>
      </w:r>
      <w:r>
        <w:rPr>
          <w:color w:val="231F20"/>
          <w:spacing w:val="8"/>
          <w:sz w:val="19"/>
        </w:rPr>
        <w:t> </w:t>
      </w:r>
      <w:r>
        <w:rPr>
          <w:color w:val="231F20"/>
          <w:sz w:val="19"/>
        </w:rPr>
        <w:t>over</w:t>
      </w:r>
      <w:r>
        <w:rPr>
          <w:color w:val="231F20"/>
          <w:spacing w:val="8"/>
          <w:sz w:val="19"/>
        </w:rPr>
        <w:t> </w:t>
      </w:r>
      <w:r>
        <w:rPr>
          <w:color w:val="231F20"/>
          <w:sz w:val="19"/>
        </w:rPr>
        <w:t>$10</w:t>
      </w:r>
      <w:r>
        <w:rPr>
          <w:color w:val="231F20"/>
          <w:spacing w:val="8"/>
          <w:sz w:val="19"/>
        </w:rPr>
        <w:t> </w:t>
      </w:r>
      <w:r>
        <w:rPr>
          <w:color w:val="231F20"/>
          <w:sz w:val="19"/>
        </w:rPr>
        <w:t>a</w:t>
      </w:r>
      <w:r>
        <w:rPr>
          <w:color w:val="231F20"/>
          <w:spacing w:val="8"/>
          <w:sz w:val="19"/>
        </w:rPr>
        <w:t> </w:t>
      </w:r>
      <w:r>
        <w:rPr>
          <w:color w:val="231F20"/>
          <w:sz w:val="19"/>
        </w:rPr>
        <w:t>share</w:t>
      </w:r>
      <w:r>
        <w:rPr>
          <w:color w:val="231F20"/>
          <w:spacing w:val="8"/>
          <w:sz w:val="19"/>
        </w:rPr>
        <w:t> </w:t>
      </w:r>
      <w:r>
        <w:rPr>
          <w:color w:val="231F20"/>
          <w:sz w:val="19"/>
        </w:rPr>
        <w:t>in</w:t>
      </w:r>
      <w:r>
        <w:rPr>
          <w:color w:val="231F20"/>
          <w:spacing w:val="7"/>
          <w:sz w:val="19"/>
        </w:rPr>
        <w:t> </w:t>
      </w:r>
      <w:r>
        <w:rPr>
          <w:color w:val="231F20"/>
          <w:sz w:val="19"/>
        </w:rPr>
        <w:t>earnings</w:t>
      </w:r>
      <w:r>
        <w:rPr>
          <w:color w:val="231F20"/>
          <w:spacing w:val="8"/>
          <w:sz w:val="19"/>
        </w:rPr>
        <w:t> </w:t>
      </w:r>
      <w:r>
        <w:rPr>
          <w:color w:val="231F20"/>
          <w:sz w:val="19"/>
        </w:rPr>
        <w:t>in</w:t>
      </w:r>
      <w:r>
        <w:rPr>
          <w:color w:val="231F20"/>
          <w:spacing w:val="8"/>
          <w:sz w:val="19"/>
        </w:rPr>
        <w:t> </w:t>
      </w:r>
      <w:r>
        <w:rPr>
          <w:color w:val="231F20"/>
          <w:sz w:val="19"/>
        </w:rPr>
        <w:t>1990,</w:t>
      </w:r>
      <w:r>
        <w:rPr>
          <w:color w:val="231F20"/>
          <w:spacing w:val="8"/>
          <w:sz w:val="19"/>
        </w:rPr>
        <w:t> </w:t>
      </w:r>
      <w:r>
        <w:rPr>
          <w:color w:val="231F20"/>
          <w:spacing w:val="-2"/>
          <w:sz w:val="19"/>
        </w:rPr>
        <w:t>versus</w:t>
      </w:r>
    </w:p>
    <w:p>
      <w:pPr>
        <w:spacing w:line="324" w:lineRule="auto" w:before="0"/>
        <w:ind w:left="1170" w:right="1093" w:firstLine="0"/>
        <w:jc w:val="both"/>
        <w:rPr>
          <w:sz w:val="19"/>
        </w:rPr>
      </w:pPr>
      <w:r>
        <w:rPr>
          <w:color w:val="231F20"/>
          <w:w w:val="110"/>
          <w:sz w:val="19"/>
        </w:rPr>
        <w:t>$5.72</w:t>
      </w:r>
      <w:r>
        <w:rPr>
          <w:color w:val="231F20"/>
          <w:w w:val="110"/>
          <w:sz w:val="19"/>
        </w:rPr>
        <w:t> last</w:t>
      </w:r>
      <w:r>
        <w:rPr>
          <w:color w:val="231F20"/>
          <w:w w:val="110"/>
          <w:sz w:val="19"/>
        </w:rPr>
        <w:t> year.</w:t>
      </w:r>
      <w:r>
        <w:rPr>
          <w:color w:val="231F20"/>
          <w:w w:val="110"/>
          <w:sz w:val="19"/>
        </w:rPr>
        <w:t> But</w:t>
      </w:r>
      <w:r>
        <w:rPr>
          <w:color w:val="231F20"/>
          <w:w w:val="110"/>
          <w:sz w:val="19"/>
        </w:rPr>
        <w:t> even</w:t>
      </w:r>
      <w:r>
        <w:rPr>
          <w:color w:val="231F20"/>
          <w:w w:val="110"/>
          <w:sz w:val="19"/>
        </w:rPr>
        <w:t> a</w:t>
      </w:r>
      <w:r>
        <w:rPr>
          <w:color w:val="231F20"/>
          <w:w w:val="110"/>
          <w:sz w:val="19"/>
        </w:rPr>
        <w:t> cursory</w:t>
      </w:r>
      <w:r>
        <w:rPr>
          <w:color w:val="231F20"/>
          <w:w w:val="110"/>
          <w:sz w:val="19"/>
        </w:rPr>
        <w:t> glance</w:t>
      </w:r>
      <w:r>
        <w:rPr>
          <w:color w:val="231F20"/>
          <w:w w:val="110"/>
          <w:sz w:val="19"/>
        </w:rPr>
        <w:t> examination</w:t>
      </w:r>
      <w:r>
        <w:rPr>
          <w:color w:val="231F20"/>
          <w:w w:val="110"/>
          <w:sz w:val="19"/>
        </w:rPr>
        <w:t> of</w:t>
      </w:r>
      <w:r>
        <w:rPr>
          <w:color w:val="231F20"/>
          <w:w w:val="110"/>
          <w:sz w:val="19"/>
        </w:rPr>
        <w:t> the </w:t>
      </w:r>
      <w:r>
        <w:rPr>
          <w:color w:val="231F20"/>
          <w:w w:val="105"/>
          <w:sz w:val="19"/>
        </w:rPr>
        <w:t>numbers</w:t>
      </w:r>
      <w:r>
        <w:rPr>
          <w:color w:val="231F20"/>
          <w:w w:val="105"/>
          <w:sz w:val="19"/>
        </w:rPr>
        <w:t> shows</w:t>
      </w:r>
      <w:r>
        <w:rPr>
          <w:color w:val="231F20"/>
          <w:w w:val="105"/>
          <w:sz w:val="19"/>
        </w:rPr>
        <w:t> that</w:t>
      </w:r>
      <w:r>
        <w:rPr>
          <w:color w:val="231F20"/>
          <w:w w:val="105"/>
          <w:sz w:val="19"/>
        </w:rPr>
        <w:t> earnings</w:t>
      </w:r>
      <w:r>
        <w:rPr>
          <w:color w:val="231F20"/>
          <w:w w:val="105"/>
          <w:sz w:val="19"/>
        </w:rPr>
        <w:t> are</w:t>
      </w:r>
      <w:r>
        <w:rPr>
          <w:color w:val="231F20"/>
          <w:w w:val="105"/>
          <w:sz w:val="19"/>
        </w:rPr>
        <w:t> shaky,</w:t>
      </w:r>
      <w:r>
        <w:rPr>
          <w:color w:val="231F20"/>
          <w:w w:val="105"/>
          <w:sz w:val="19"/>
        </w:rPr>
        <w:t> if</w:t>
      </w:r>
      <w:r>
        <w:rPr>
          <w:color w:val="231F20"/>
          <w:w w:val="105"/>
          <w:sz w:val="19"/>
        </w:rPr>
        <w:t> not</w:t>
      </w:r>
      <w:r>
        <w:rPr>
          <w:color w:val="231F20"/>
          <w:w w:val="105"/>
          <w:sz w:val="19"/>
        </w:rPr>
        <w:t> ephemeral.</w:t>
      </w:r>
      <w:r>
        <w:rPr>
          <w:color w:val="231F20"/>
          <w:w w:val="105"/>
          <w:sz w:val="19"/>
        </w:rPr>
        <w:t> Start with</w:t>
      </w:r>
      <w:r>
        <w:rPr>
          <w:color w:val="231F20"/>
          <w:spacing w:val="-5"/>
          <w:w w:val="105"/>
          <w:sz w:val="19"/>
        </w:rPr>
        <w:t> </w:t>
      </w:r>
      <w:r>
        <w:rPr>
          <w:color w:val="231F20"/>
          <w:w w:val="105"/>
          <w:sz w:val="19"/>
        </w:rPr>
        <w:t>cash</w:t>
      </w:r>
      <w:r>
        <w:rPr>
          <w:color w:val="231F20"/>
          <w:spacing w:val="-5"/>
          <w:w w:val="105"/>
          <w:sz w:val="19"/>
        </w:rPr>
        <w:t> </w:t>
      </w:r>
      <w:r>
        <w:rPr>
          <w:color w:val="231F20"/>
          <w:w w:val="105"/>
          <w:sz w:val="19"/>
        </w:rPr>
        <w:t>flow.</w:t>
      </w:r>
      <w:r>
        <w:rPr>
          <w:color w:val="231F20"/>
          <w:spacing w:val="-5"/>
          <w:w w:val="105"/>
          <w:sz w:val="19"/>
        </w:rPr>
        <w:t> </w:t>
      </w:r>
      <w:r>
        <w:rPr>
          <w:color w:val="231F20"/>
          <w:w w:val="105"/>
          <w:sz w:val="19"/>
        </w:rPr>
        <w:t>It</w:t>
      </w:r>
      <w:r>
        <w:rPr>
          <w:color w:val="231F20"/>
          <w:spacing w:val="-5"/>
          <w:w w:val="105"/>
          <w:sz w:val="19"/>
        </w:rPr>
        <w:t> </w:t>
      </w:r>
      <w:r>
        <w:rPr>
          <w:color w:val="231F20"/>
          <w:w w:val="105"/>
          <w:sz w:val="19"/>
        </w:rPr>
        <w:t>was</w:t>
      </w:r>
      <w:r>
        <w:rPr>
          <w:color w:val="231F20"/>
          <w:spacing w:val="-5"/>
          <w:w w:val="105"/>
          <w:sz w:val="19"/>
        </w:rPr>
        <w:t> </w:t>
      </w:r>
      <w:r>
        <w:rPr>
          <w:color w:val="231F20"/>
          <w:w w:val="105"/>
          <w:sz w:val="19"/>
        </w:rPr>
        <w:t>negative</w:t>
      </w:r>
      <w:r>
        <w:rPr>
          <w:color w:val="231F20"/>
          <w:spacing w:val="-5"/>
          <w:w w:val="105"/>
          <w:sz w:val="19"/>
        </w:rPr>
        <w:t> </w:t>
      </w:r>
      <w:r>
        <w:rPr>
          <w:color w:val="231F20"/>
          <w:w w:val="105"/>
          <w:sz w:val="19"/>
        </w:rPr>
        <w:t>$35</w:t>
      </w:r>
      <w:r>
        <w:rPr>
          <w:color w:val="231F20"/>
          <w:spacing w:val="-5"/>
          <w:w w:val="105"/>
          <w:sz w:val="19"/>
        </w:rPr>
        <w:t> </w:t>
      </w:r>
      <w:r>
        <w:rPr>
          <w:color w:val="231F20"/>
          <w:w w:val="105"/>
          <w:sz w:val="19"/>
        </w:rPr>
        <w:t>million</w:t>
      </w:r>
      <w:r>
        <w:rPr>
          <w:color w:val="231F20"/>
          <w:spacing w:val="-5"/>
          <w:w w:val="105"/>
          <w:sz w:val="19"/>
        </w:rPr>
        <w:t> </w:t>
      </w:r>
      <w:r>
        <w:rPr>
          <w:color w:val="231F20"/>
          <w:w w:val="105"/>
          <w:sz w:val="19"/>
        </w:rPr>
        <w:t>by</w:t>
      </w:r>
      <w:r>
        <w:rPr>
          <w:color w:val="231F20"/>
          <w:spacing w:val="-5"/>
          <w:w w:val="105"/>
          <w:sz w:val="19"/>
        </w:rPr>
        <w:t> </w:t>
      </w:r>
      <w:r>
        <w:rPr>
          <w:color w:val="231F20"/>
          <w:w w:val="105"/>
          <w:sz w:val="19"/>
        </w:rPr>
        <w:t>the</w:t>
      </w:r>
      <w:r>
        <w:rPr>
          <w:color w:val="231F20"/>
          <w:spacing w:val="-5"/>
          <w:w w:val="105"/>
          <w:sz w:val="19"/>
        </w:rPr>
        <w:t> </w:t>
      </w:r>
      <w:r>
        <w:rPr>
          <w:color w:val="231F20"/>
          <w:w w:val="105"/>
          <w:sz w:val="19"/>
        </w:rPr>
        <w:t>third</w:t>
      </w:r>
      <w:r>
        <w:rPr>
          <w:color w:val="231F20"/>
          <w:spacing w:val="-5"/>
          <w:w w:val="105"/>
          <w:sz w:val="19"/>
        </w:rPr>
        <w:t> </w:t>
      </w:r>
      <w:r>
        <w:rPr>
          <w:color w:val="231F20"/>
          <w:w w:val="105"/>
          <w:sz w:val="19"/>
        </w:rPr>
        <w:t>quarter</w:t>
      </w:r>
      <w:r>
        <w:rPr>
          <w:color w:val="231F20"/>
          <w:spacing w:val="-5"/>
          <w:w w:val="105"/>
          <w:sz w:val="19"/>
        </w:rPr>
        <w:t> </w:t>
      </w:r>
      <w:r>
        <w:rPr>
          <w:color w:val="231F20"/>
          <w:w w:val="105"/>
          <w:sz w:val="19"/>
        </w:rPr>
        <w:t>of </w:t>
      </w:r>
      <w:r>
        <w:rPr>
          <w:color w:val="231F20"/>
          <w:w w:val="110"/>
          <w:sz w:val="19"/>
        </w:rPr>
        <w:t>1991</w:t>
      </w:r>
      <w:r>
        <w:rPr>
          <w:color w:val="231F20"/>
          <w:spacing w:val="-2"/>
          <w:w w:val="110"/>
          <w:sz w:val="19"/>
        </w:rPr>
        <w:t> </w:t>
      </w:r>
      <w:r>
        <w:rPr>
          <w:color w:val="231F20"/>
          <w:w w:val="110"/>
          <w:sz w:val="19"/>
        </w:rPr>
        <w:t>.</w:t>
      </w:r>
      <w:r>
        <w:rPr>
          <w:color w:val="231F20"/>
          <w:spacing w:val="-2"/>
          <w:w w:val="110"/>
          <w:sz w:val="19"/>
        </w:rPr>
        <w:t> </w:t>
      </w:r>
      <w:r>
        <w:rPr>
          <w:color w:val="231F20"/>
          <w:w w:val="110"/>
          <w:sz w:val="19"/>
        </w:rPr>
        <w:t>.</w:t>
      </w:r>
      <w:r>
        <w:rPr>
          <w:color w:val="231F20"/>
          <w:spacing w:val="-2"/>
          <w:w w:val="110"/>
          <w:sz w:val="19"/>
        </w:rPr>
        <w:t> </w:t>
      </w:r>
      <w:r>
        <w:rPr>
          <w:color w:val="231F20"/>
          <w:w w:val="110"/>
          <w:sz w:val="19"/>
        </w:rPr>
        <w:t>.</w:t>
      </w:r>
      <w:r>
        <w:rPr>
          <w:color w:val="231F20"/>
          <w:spacing w:val="-2"/>
          <w:w w:val="110"/>
          <w:sz w:val="19"/>
        </w:rPr>
        <w:t> </w:t>
      </w:r>
      <w:r>
        <w:rPr>
          <w:color w:val="231F20"/>
          <w:w w:val="110"/>
          <w:sz w:val="19"/>
        </w:rPr>
        <w:t>and</w:t>
      </w:r>
      <w:r>
        <w:rPr>
          <w:color w:val="231F20"/>
          <w:spacing w:val="-2"/>
          <w:w w:val="110"/>
          <w:sz w:val="19"/>
        </w:rPr>
        <w:t> </w:t>
      </w:r>
      <w:r>
        <w:rPr>
          <w:color w:val="231F20"/>
          <w:w w:val="110"/>
          <w:sz w:val="19"/>
        </w:rPr>
        <w:t>the</w:t>
      </w:r>
      <w:r>
        <w:rPr>
          <w:color w:val="231F20"/>
          <w:spacing w:val="-2"/>
          <w:w w:val="110"/>
          <w:sz w:val="19"/>
        </w:rPr>
        <w:t> </w:t>
      </w:r>
      <w:r>
        <w:rPr>
          <w:color w:val="231F20"/>
          <w:w w:val="110"/>
          <w:sz w:val="19"/>
        </w:rPr>
        <w:t>bleeding</w:t>
      </w:r>
      <w:r>
        <w:rPr>
          <w:color w:val="231F20"/>
          <w:spacing w:val="-2"/>
          <w:w w:val="110"/>
          <w:sz w:val="19"/>
        </w:rPr>
        <w:t> </w:t>
      </w:r>
      <w:r>
        <w:rPr>
          <w:color w:val="231F20"/>
          <w:w w:val="110"/>
          <w:sz w:val="19"/>
        </w:rPr>
        <w:t>of</w:t>
      </w:r>
      <w:r>
        <w:rPr>
          <w:color w:val="231F20"/>
          <w:spacing w:val="-2"/>
          <w:w w:val="110"/>
          <w:sz w:val="19"/>
        </w:rPr>
        <w:t> </w:t>
      </w:r>
      <w:r>
        <w:rPr>
          <w:color w:val="231F20"/>
          <w:w w:val="110"/>
          <w:sz w:val="19"/>
        </w:rPr>
        <w:t>cash</w:t>
      </w:r>
      <w:r>
        <w:rPr>
          <w:color w:val="231F20"/>
          <w:spacing w:val="-2"/>
          <w:w w:val="110"/>
          <w:sz w:val="19"/>
        </w:rPr>
        <w:t> </w:t>
      </w:r>
      <w:r>
        <w:rPr>
          <w:color w:val="231F20"/>
          <w:w w:val="110"/>
          <w:sz w:val="19"/>
        </w:rPr>
        <w:t>could</w:t>
      </w:r>
      <w:r>
        <w:rPr>
          <w:color w:val="231F20"/>
          <w:spacing w:val="-2"/>
          <w:w w:val="110"/>
          <w:sz w:val="19"/>
        </w:rPr>
        <w:t> </w:t>
      </w:r>
      <w:r>
        <w:rPr>
          <w:color w:val="231F20"/>
          <w:w w:val="110"/>
          <w:sz w:val="19"/>
        </w:rPr>
        <w:t>accelerate.</w:t>
      </w:r>
      <w:r>
        <w:rPr>
          <w:color w:val="231F20"/>
          <w:spacing w:val="-2"/>
          <w:w w:val="110"/>
          <w:sz w:val="19"/>
        </w:rPr>
        <w:t> </w:t>
      </w:r>
      <w:r>
        <w:rPr>
          <w:color w:val="231F20"/>
          <w:w w:val="110"/>
          <w:sz w:val="19"/>
        </w:rPr>
        <w:t>.</w:t>
      </w:r>
      <w:r>
        <w:rPr>
          <w:color w:val="231F20"/>
          <w:spacing w:val="-2"/>
          <w:w w:val="110"/>
          <w:sz w:val="19"/>
        </w:rPr>
        <w:t> </w:t>
      </w:r>
      <w:r>
        <w:rPr>
          <w:color w:val="231F20"/>
          <w:w w:val="110"/>
          <w:sz w:val="19"/>
        </w:rPr>
        <w:t>.</w:t>
      </w:r>
      <w:r>
        <w:rPr>
          <w:color w:val="231F20"/>
          <w:spacing w:val="-2"/>
          <w:w w:val="110"/>
          <w:sz w:val="19"/>
        </w:rPr>
        <w:t> </w:t>
      </w:r>
      <w:r>
        <w:rPr>
          <w:color w:val="231F20"/>
          <w:w w:val="110"/>
          <w:sz w:val="19"/>
        </w:rPr>
        <w:t>.</w:t>
      </w:r>
    </w:p>
    <w:p>
      <w:pPr>
        <w:pStyle w:val="BodyText"/>
        <w:spacing w:before="6"/>
        <w:rPr>
          <w:sz w:val="23"/>
        </w:rPr>
      </w:pPr>
    </w:p>
    <w:p>
      <w:pPr>
        <w:pStyle w:val="BodyText"/>
        <w:spacing w:line="292" w:lineRule="auto" w:before="1"/>
        <w:ind w:left="830" w:right="753" w:firstLine="340"/>
        <w:jc w:val="both"/>
      </w:pPr>
      <w:r>
        <w:rPr>
          <w:color w:val="231F20"/>
        </w:rPr>
        <w:t>The leveraged buyout (LBO) phenomenon of the 1980s used </w:t>
      </w:r>
      <w:r>
        <w:rPr>
          <w:color w:val="231F20"/>
        </w:rPr>
        <w:t>the principles of cash flow as its tool. A raider’s ability to repay the money borrowed to acquire a target company was based in large</w:t>
      </w:r>
      <w:r>
        <w:rPr>
          <w:color w:val="231F20"/>
          <w:spacing w:val="40"/>
        </w:rPr>
        <w:t> </w:t>
      </w:r>
      <w:r>
        <w:rPr>
          <w:color w:val="231F20"/>
        </w:rPr>
        <w:t>part on the cash-flow-generating ability of the acquisition. Much of that information lies in the statement of cash flows. In 1989,</w:t>
      </w:r>
      <w:r>
        <w:rPr>
          <w:color w:val="231F20"/>
          <w:spacing w:val="40"/>
        </w:rPr>
        <w:t> </w:t>
      </w:r>
      <w:r>
        <w:rPr>
          <w:color w:val="231F20"/>
        </w:rPr>
        <w:t>Kohlberg Kravis Roberts (KKR) bought RJR Nabisco in the largest leveraged buyout up to that time with $26.4 billion in debt financing based on the cash-generating ability of the company to pay off the </w:t>
      </w:r>
      <w:r>
        <w:rPr>
          <w:color w:val="231F20"/>
          <w:spacing w:val="-2"/>
        </w:rPr>
        <w:t>debt.</w:t>
      </w:r>
    </w:p>
    <w:p>
      <w:pPr>
        <w:pStyle w:val="BodyText"/>
        <w:spacing w:before="1"/>
        <w:rPr>
          <w:sz w:val="27"/>
        </w:rPr>
      </w:pPr>
    </w:p>
    <w:p>
      <w:pPr>
        <w:spacing w:before="0"/>
        <w:ind w:left="1170" w:right="0" w:firstLine="0"/>
        <w:jc w:val="both"/>
        <w:rPr>
          <w:rFonts w:ascii="Arial" w:hAnsi="Arial"/>
          <w:i/>
          <w:sz w:val="19"/>
        </w:rPr>
      </w:pPr>
      <w:r>
        <w:rPr>
          <w:rFonts w:ascii="Arial" w:hAnsi="Arial"/>
          <w:i/>
          <w:color w:val="231F20"/>
          <w:spacing w:val="-2"/>
          <w:w w:val="115"/>
          <w:sz w:val="19"/>
        </w:rPr>
        <w:t>The</w:t>
      </w:r>
      <w:r>
        <w:rPr>
          <w:rFonts w:ascii="Arial" w:hAnsi="Arial"/>
          <w:i/>
          <w:color w:val="231F20"/>
          <w:spacing w:val="-8"/>
          <w:w w:val="115"/>
          <w:sz w:val="19"/>
        </w:rPr>
        <w:t> </w:t>
      </w:r>
      <w:r>
        <w:rPr>
          <w:rFonts w:ascii="Arial" w:hAnsi="Arial"/>
          <w:i/>
          <w:color w:val="231F20"/>
          <w:spacing w:val="-2"/>
          <w:w w:val="115"/>
          <w:sz w:val="19"/>
        </w:rPr>
        <w:t>Cash</w:t>
      </w:r>
      <w:r>
        <w:rPr>
          <w:rFonts w:ascii="Arial" w:hAnsi="Arial"/>
          <w:i/>
          <w:color w:val="231F20"/>
          <w:spacing w:val="-7"/>
          <w:w w:val="115"/>
          <w:sz w:val="19"/>
        </w:rPr>
        <w:t> </w:t>
      </w:r>
      <w:r>
        <w:rPr>
          <w:rFonts w:ascii="Arial" w:hAnsi="Arial"/>
          <w:i/>
          <w:color w:val="231F20"/>
          <w:spacing w:val="-2"/>
          <w:w w:val="115"/>
          <w:sz w:val="19"/>
        </w:rPr>
        <w:t>Flow</w:t>
      </w:r>
      <w:r>
        <w:rPr>
          <w:rFonts w:ascii="Arial" w:hAnsi="Arial"/>
          <w:i/>
          <w:color w:val="231F20"/>
          <w:spacing w:val="-8"/>
          <w:w w:val="115"/>
          <w:sz w:val="19"/>
        </w:rPr>
        <w:t> </w:t>
      </w:r>
      <w:r>
        <w:rPr>
          <w:rFonts w:ascii="Arial" w:hAnsi="Arial"/>
          <w:i/>
          <w:color w:val="231F20"/>
          <w:spacing w:val="-2"/>
          <w:w w:val="115"/>
          <w:sz w:val="19"/>
        </w:rPr>
        <w:t>Statement’s</w:t>
      </w:r>
      <w:r>
        <w:rPr>
          <w:rFonts w:ascii="Arial" w:hAnsi="Arial"/>
          <w:i/>
          <w:color w:val="231F20"/>
          <w:spacing w:val="-7"/>
          <w:w w:val="115"/>
          <w:sz w:val="19"/>
        </w:rPr>
        <w:t> </w:t>
      </w:r>
      <w:r>
        <w:rPr>
          <w:rFonts w:ascii="Arial" w:hAnsi="Arial"/>
          <w:i/>
          <w:color w:val="231F20"/>
          <w:spacing w:val="-2"/>
          <w:w w:val="115"/>
          <w:sz w:val="19"/>
        </w:rPr>
        <w:t>Link</w:t>
      </w:r>
      <w:r>
        <w:rPr>
          <w:rFonts w:ascii="Arial" w:hAnsi="Arial"/>
          <w:i/>
          <w:color w:val="231F20"/>
          <w:spacing w:val="-8"/>
          <w:w w:val="115"/>
          <w:sz w:val="19"/>
        </w:rPr>
        <w:t> </w:t>
      </w:r>
      <w:r>
        <w:rPr>
          <w:rFonts w:ascii="Arial" w:hAnsi="Arial"/>
          <w:i/>
          <w:color w:val="231F20"/>
          <w:spacing w:val="-2"/>
          <w:w w:val="115"/>
          <w:sz w:val="19"/>
        </w:rPr>
        <w:t>to</w:t>
      </w:r>
      <w:r>
        <w:rPr>
          <w:rFonts w:ascii="Arial" w:hAnsi="Arial"/>
          <w:i/>
          <w:color w:val="231F20"/>
          <w:spacing w:val="-7"/>
          <w:w w:val="115"/>
          <w:sz w:val="19"/>
        </w:rPr>
        <w:t> </w:t>
      </w:r>
      <w:r>
        <w:rPr>
          <w:rFonts w:ascii="Arial" w:hAnsi="Arial"/>
          <w:i/>
          <w:color w:val="231F20"/>
          <w:spacing w:val="-2"/>
          <w:w w:val="115"/>
          <w:sz w:val="19"/>
        </w:rPr>
        <w:t>the</w:t>
      </w:r>
      <w:r>
        <w:rPr>
          <w:rFonts w:ascii="Arial" w:hAnsi="Arial"/>
          <w:i/>
          <w:color w:val="231F20"/>
          <w:spacing w:val="-8"/>
          <w:w w:val="115"/>
          <w:sz w:val="19"/>
        </w:rPr>
        <w:t> </w:t>
      </w:r>
      <w:r>
        <w:rPr>
          <w:rFonts w:ascii="Arial" w:hAnsi="Arial"/>
          <w:i/>
          <w:color w:val="231F20"/>
          <w:spacing w:val="-2"/>
          <w:w w:val="115"/>
          <w:sz w:val="19"/>
        </w:rPr>
        <w:t>Balance</w:t>
      </w:r>
      <w:r>
        <w:rPr>
          <w:rFonts w:ascii="Arial" w:hAnsi="Arial"/>
          <w:i/>
          <w:color w:val="231F20"/>
          <w:spacing w:val="-7"/>
          <w:w w:val="115"/>
          <w:sz w:val="19"/>
        </w:rPr>
        <w:t> </w:t>
      </w:r>
      <w:r>
        <w:rPr>
          <w:rFonts w:ascii="Arial" w:hAnsi="Arial"/>
          <w:i/>
          <w:color w:val="231F20"/>
          <w:spacing w:val="-2"/>
          <w:w w:val="115"/>
          <w:sz w:val="19"/>
        </w:rPr>
        <w:t>Sheet</w:t>
      </w:r>
    </w:p>
    <w:p>
      <w:pPr>
        <w:pStyle w:val="BodyText"/>
        <w:spacing w:line="292" w:lineRule="auto" w:before="60"/>
        <w:ind w:left="830" w:right="756" w:firstLine="340"/>
        <w:jc w:val="both"/>
      </w:pPr>
      <w:r>
        <w:rPr>
          <w:color w:val="231F20"/>
        </w:rPr>
        <w:t>The cash flow statement also follows the balancing-act </w:t>
      </w:r>
      <w:r>
        <w:rPr>
          <w:color w:val="231F20"/>
        </w:rPr>
        <w:t>principle of accounting. I will present the accounting math first so that you</w:t>
      </w:r>
      <w:r>
        <w:rPr>
          <w:color w:val="231F20"/>
          <w:spacing w:val="40"/>
        </w:rPr>
        <w:t> </w:t>
      </w:r>
      <w:r>
        <w:rPr>
          <w:color w:val="231F20"/>
        </w:rPr>
        <w:t>may understand the logic of what, at first glance, can be a confusing statement. With the math out of the way, the cash flow statement ex- ample can readily be understood. The equations that follow are not included to impress, merely to inform.</w:t>
      </w:r>
    </w:p>
    <w:p>
      <w:pPr>
        <w:spacing w:line="244" w:lineRule="exact" w:before="0"/>
        <w:ind w:left="1170" w:right="0" w:firstLine="0"/>
        <w:jc w:val="both"/>
        <w:rPr>
          <w:sz w:val="21"/>
        </w:rPr>
      </w:pPr>
      <w:r>
        <w:rPr>
          <w:color w:val="231F20"/>
          <w:sz w:val="21"/>
        </w:rPr>
        <w:t>Using</w:t>
      </w:r>
      <w:r>
        <w:rPr>
          <w:color w:val="231F20"/>
          <w:spacing w:val="20"/>
          <w:sz w:val="21"/>
        </w:rPr>
        <w:t> </w:t>
      </w:r>
      <w:r>
        <w:rPr>
          <w:color w:val="231F20"/>
          <w:sz w:val="21"/>
        </w:rPr>
        <w:t>the</w:t>
      </w:r>
      <w:r>
        <w:rPr>
          <w:color w:val="231F20"/>
          <w:spacing w:val="20"/>
          <w:sz w:val="21"/>
        </w:rPr>
        <w:t> </w:t>
      </w:r>
      <w:r>
        <w:rPr>
          <w:color w:val="231F20"/>
          <w:sz w:val="21"/>
        </w:rPr>
        <w:t>golden</w:t>
      </w:r>
      <w:r>
        <w:rPr>
          <w:color w:val="231F20"/>
          <w:spacing w:val="19"/>
          <w:sz w:val="21"/>
        </w:rPr>
        <w:t> </w:t>
      </w:r>
      <w:r>
        <w:rPr>
          <w:i/>
          <w:color w:val="231F20"/>
          <w:sz w:val="21"/>
        </w:rPr>
        <w:t>fundamental</w:t>
      </w:r>
      <w:r>
        <w:rPr>
          <w:i/>
          <w:color w:val="231F20"/>
          <w:spacing w:val="20"/>
          <w:sz w:val="21"/>
        </w:rPr>
        <w:t> </w:t>
      </w:r>
      <w:r>
        <w:rPr>
          <w:i/>
          <w:color w:val="231F20"/>
          <w:sz w:val="21"/>
        </w:rPr>
        <w:t>accounting</w:t>
      </w:r>
      <w:r>
        <w:rPr>
          <w:i/>
          <w:color w:val="231F20"/>
          <w:spacing w:val="20"/>
          <w:sz w:val="21"/>
        </w:rPr>
        <w:t> </w:t>
      </w:r>
      <w:r>
        <w:rPr>
          <w:i/>
          <w:color w:val="231F20"/>
          <w:sz w:val="21"/>
        </w:rPr>
        <w:t>equation</w:t>
      </w:r>
      <w:r>
        <w:rPr>
          <w:i/>
          <w:color w:val="231F20"/>
          <w:spacing w:val="19"/>
          <w:sz w:val="21"/>
        </w:rPr>
        <w:t> </w:t>
      </w:r>
      <w:r>
        <w:rPr>
          <w:color w:val="231F20"/>
          <w:sz w:val="21"/>
        </w:rPr>
        <w:t>we</w:t>
      </w:r>
      <w:r>
        <w:rPr>
          <w:color w:val="231F20"/>
          <w:spacing w:val="20"/>
          <w:sz w:val="21"/>
        </w:rPr>
        <w:t> </w:t>
      </w:r>
      <w:r>
        <w:rPr>
          <w:color w:val="231F20"/>
          <w:spacing w:val="-2"/>
          <w:sz w:val="21"/>
        </w:rPr>
        <w:t>have:</w:t>
      </w:r>
    </w:p>
    <w:p>
      <w:pPr>
        <w:spacing w:after="0" w:line="244" w:lineRule="exact"/>
        <w:jc w:val="both"/>
        <w:rPr>
          <w:sz w:val="21"/>
        </w:rPr>
        <w:sectPr>
          <w:pgSz w:w="8640" w:h="12960"/>
          <w:pgMar w:header="732" w:footer="0" w:top="920" w:bottom="280" w:left="340" w:right="500"/>
        </w:sectPr>
      </w:pPr>
    </w:p>
    <w:p>
      <w:pPr>
        <w:pStyle w:val="BodyText"/>
        <w:spacing w:before="8"/>
        <w:rPr>
          <w:sz w:val="17"/>
        </w:rPr>
      </w:pPr>
    </w:p>
    <w:p>
      <w:pPr>
        <w:pStyle w:val="BodyText"/>
        <w:spacing w:before="90"/>
        <w:ind w:left="912" w:right="2968"/>
        <w:jc w:val="center"/>
      </w:pPr>
      <w:r>
        <w:rPr>
          <w:color w:val="231F20"/>
          <w:w w:val="115"/>
        </w:rPr>
        <w:t>A</w:t>
      </w:r>
      <w:r>
        <w:rPr>
          <w:color w:val="231F20"/>
          <w:spacing w:val="-3"/>
          <w:w w:val="115"/>
        </w:rPr>
        <w:t> </w:t>
      </w:r>
      <w:r>
        <w:rPr>
          <w:rFonts w:ascii="Symbol" w:hAnsi="Symbol"/>
          <w:color w:val="231F20"/>
          <w:w w:val="115"/>
        </w:rPr>
        <w:t></w:t>
      </w:r>
      <w:r>
        <w:rPr>
          <w:rFonts w:ascii="Times New Roman" w:hAnsi="Times New Roman"/>
          <w:color w:val="231F20"/>
          <w:spacing w:val="-9"/>
          <w:w w:val="115"/>
        </w:rPr>
        <w:t> </w:t>
      </w:r>
      <w:r>
        <w:rPr>
          <w:color w:val="231F20"/>
          <w:w w:val="115"/>
        </w:rPr>
        <w:t>L</w:t>
      </w:r>
      <w:r>
        <w:rPr>
          <w:color w:val="231F20"/>
          <w:spacing w:val="-2"/>
          <w:w w:val="115"/>
        </w:rPr>
        <w:t> </w:t>
      </w:r>
      <w:r>
        <w:rPr>
          <w:rFonts w:ascii="Symbol" w:hAnsi="Symbol"/>
          <w:color w:val="231F20"/>
          <w:w w:val="115"/>
        </w:rPr>
        <w:t></w:t>
      </w:r>
      <w:r>
        <w:rPr>
          <w:rFonts w:ascii="Times New Roman" w:hAnsi="Times New Roman"/>
          <w:color w:val="231F20"/>
          <w:spacing w:val="-10"/>
          <w:w w:val="115"/>
        </w:rPr>
        <w:t> </w:t>
      </w:r>
      <w:r>
        <w:rPr>
          <w:color w:val="231F20"/>
          <w:spacing w:val="-5"/>
          <w:w w:val="115"/>
        </w:rPr>
        <w:t>OE</w:t>
      </w:r>
    </w:p>
    <w:p>
      <w:pPr>
        <w:pStyle w:val="BodyText"/>
        <w:spacing w:before="42"/>
        <w:ind w:left="480" w:right="219"/>
        <w:jc w:val="center"/>
      </w:pPr>
      <w:r>
        <w:rPr>
          <w:color w:val="231F20"/>
        </w:rPr>
        <w:t>Assets</w:t>
      </w:r>
      <w:r>
        <w:rPr>
          <w:color w:val="231F20"/>
          <w:spacing w:val="19"/>
        </w:rPr>
        <w:t> </w:t>
      </w:r>
      <w:r>
        <w:rPr>
          <w:rFonts w:ascii="Symbol" w:hAnsi="Symbol"/>
          <w:color w:val="231F20"/>
        </w:rPr>
        <w:t></w:t>
      </w:r>
      <w:r>
        <w:rPr>
          <w:rFonts w:ascii="Times New Roman" w:hAnsi="Times New Roman"/>
          <w:color w:val="231F20"/>
          <w:spacing w:val="13"/>
        </w:rPr>
        <w:t> </w:t>
      </w:r>
      <w:r>
        <w:rPr>
          <w:color w:val="231F20"/>
        </w:rPr>
        <w:t>Liabilities</w:t>
      </w:r>
      <w:r>
        <w:rPr>
          <w:color w:val="231F20"/>
          <w:spacing w:val="20"/>
        </w:rPr>
        <w:t> </w:t>
      </w:r>
      <w:r>
        <w:rPr>
          <w:rFonts w:ascii="Symbol" w:hAnsi="Symbol"/>
          <w:color w:val="231F20"/>
        </w:rPr>
        <w:t></w:t>
      </w:r>
      <w:r>
        <w:rPr>
          <w:rFonts w:ascii="Times New Roman" w:hAnsi="Times New Roman"/>
          <w:color w:val="231F20"/>
          <w:spacing w:val="13"/>
        </w:rPr>
        <w:t> </w:t>
      </w:r>
      <w:r>
        <w:rPr>
          <w:color w:val="231F20"/>
        </w:rPr>
        <w:t>Owners’</w:t>
      </w:r>
      <w:r>
        <w:rPr>
          <w:color w:val="231F20"/>
          <w:spacing w:val="19"/>
        </w:rPr>
        <w:t> </w:t>
      </w:r>
      <w:r>
        <w:rPr>
          <w:color w:val="231F20"/>
          <w:spacing w:val="-2"/>
        </w:rPr>
        <w:t>Equity</w:t>
      </w:r>
    </w:p>
    <w:p>
      <w:pPr>
        <w:pStyle w:val="BodyText"/>
        <w:rPr>
          <w:sz w:val="32"/>
        </w:rPr>
      </w:pPr>
    </w:p>
    <w:p>
      <w:pPr>
        <w:pStyle w:val="BodyText"/>
        <w:spacing w:line="292" w:lineRule="auto"/>
        <w:ind w:left="920" w:right="663" w:firstLine="340"/>
        <w:jc w:val="both"/>
      </w:pPr>
      <w:r>
        <w:rPr>
          <w:color w:val="231F20"/>
        </w:rPr>
        <w:t>Because assets and liabilities are composed of both current (short-term) and noncurrent (long-term) items, the equation can </w:t>
      </w:r>
      <w:r>
        <w:rPr>
          <w:color w:val="231F20"/>
        </w:rPr>
        <w:t>be </w:t>
      </w:r>
      <w:r>
        <w:rPr>
          <w:color w:val="231F20"/>
          <w:spacing w:val="-2"/>
        </w:rPr>
        <w:t>expanded:</w:t>
      </w:r>
    </w:p>
    <w:p>
      <w:pPr>
        <w:pStyle w:val="BodyText"/>
        <w:spacing w:before="4"/>
        <w:rPr>
          <w:sz w:val="26"/>
        </w:rPr>
      </w:pPr>
    </w:p>
    <w:p>
      <w:pPr>
        <w:pStyle w:val="BodyText"/>
        <w:ind w:left="469" w:right="219"/>
        <w:jc w:val="center"/>
      </w:pPr>
      <w:r>
        <w:rPr>
          <w:color w:val="231F20"/>
          <w:w w:val="115"/>
        </w:rPr>
        <w:t>CA</w:t>
      </w:r>
      <w:r>
        <w:rPr>
          <w:color w:val="231F20"/>
          <w:spacing w:val="9"/>
          <w:w w:val="115"/>
        </w:rPr>
        <w:t> </w:t>
      </w:r>
      <w:r>
        <w:rPr>
          <w:rFonts w:ascii="Symbol" w:hAnsi="Symbol"/>
          <w:color w:val="231F20"/>
          <w:w w:val="115"/>
        </w:rPr>
        <w:t></w:t>
      </w:r>
      <w:r>
        <w:rPr>
          <w:rFonts w:ascii="Times New Roman" w:hAnsi="Times New Roman"/>
          <w:color w:val="231F20"/>
          <w:spacing w:val="2"/>
          <w:w w:val="115"/>
        </w:rPr>
        <w:t> </w:t>
      </w:r>
      <w:r>
        <w:rPr>
          <w:color w:val="231F20"/>
          <w:w w:val="115"/>
        </w:rPr>
        <w:t>NCA</w:t>
      </w:r>
      <w:r>
        <w:rPr>
          <w:color w:val="231F20"/>
          <w:spacing w:val="10"/>
          <w:w w:val="115"/>
        </w:rPr>
        <w:t> </w:t>
      </w:r>
      <w:r>
        <w:rPr>
          <w:rFonts w:ascii="Symbol" w:hAnsi="Symbol"/>
          <w:color w:val="231F20"/>
          <w:w w:val="115"/>
        </w:rPr>
        <w:t></w:t>
      </w:r>
      <w:r>
        <w:rPr>
          <w:rFonts w:ascii="Times New Roman" w:hAnsi="Times New Roman"/>
          <w:color w:val="231F20"/>
          <w:spacing w:val="2"/>
          <w:w w:val="115"/>
        </w:rPr>
        <w:t> </w:t>
      </w:r>
      <w:r>
        <w:rPr>
          <w:color w:val="231F20"/>
          <w:w w:val="115"/>
        </w:rPr>
        <w:t>CL</w:t>
      </w:r>
      <w:r>
        <w:rPr>
          <w:color w:val="231F20"/>
          <w:spacing w:val="10"/>
          <w:w w:val="115"/>
        </w:rPr>
        <w:t> </w:t>
      </w:r>
      <w:r>
        <w:rPr>
          <w:rFonts w:ascii="Symbol" w:hAnsi="Symbol"/>
          <w:color w:val="231F20"/>
          <w:w w:val="115"/>
        </w:rPr>
        <w:t></w:t>
      </w:r>
      <w:r>
        <w:rPr>
          <w:rFonts w:ascii="Times New Roman" w:hAnsi="Times New Roman"/>
          <w:color w:val="231F20"/>
          <w:spacing w:val="2"/>
          <w:w w:val="115"/>
        </w:rPr>
        <w:t> </w:t>
      </w:r>
      <w:r>
        <w:rPr>
          <w:color w:val="231F20"/>
          <w:w w:val="115"/>
        </w:rPr>
        <w:t>NCL</w:t>
      </w:r>
      <w:r>
        <w:rPr>
          <w:color w:val="231F20"/>
          <w:spacing w:val="10"/>
          <w:w w:val="115"/>
        </w:rPr>
        <w:t> </w:t>
      </w:r>
      <w:r>
        <w:rPr>
          <w:rFonts w:ascii="Symbol" w:hAnsi="Symbol"/>
          <w:color w:val="231F20"/>
          <w:w w:val="115"/>
        </w:rPr>
        <w:t></w:t>
      </w:r>
      <w:r>
        <w:rPr>
          <w:rFonts w:ascii="Times New Roman" w:hAnsi="Times New Roman"/>
          <w:color w:val="231F20"/>
          <w:spacing w:val="2"/>
          <w:w w:val="115"/>
        </w:rPr>
        <w:t> </w:t>
      </w:r>
      <w:r>
        <w:rPr>
          <w:color w:val="231F20"/>
          <w:spacing w:val="-5"/>
          <w:w w:val="115"/>
        </w:rPr>
        <w:t>OE</w:t>
      </w:r>
    </w:p>
    <w:p>
      <w:pPr>
        <w:pStyle w:val="BodyText"/>
        <w:spacing w:before="192"/>
        <w:ind w:left="477" w:right="219"/>
        <w:jc w:val="center"/>
        <w:rPr>
          <w:rFonts w:ascii="Symbol" w:hAnsi="Symbol"/>
        </w:rPr>
      </w:pPr>
      <w:r>
        <w:rPr>
          <w:color w:val="231F20"/>
        </w:rPr>
        <w:t>Current</w:t>
      </w:r>
      <w:r>
        <w:rPr>
          <w:color w:val="231F20"/>
          <w:spacing w:val="19"/>
        </w:rPr>
        <w:t> </w:t>
      </w:r>
      <w:r>
        <w:rPr>
          <w:color w:val="231F20"/>
        </w:rPr>
        <w:t>Assets</w:t>
      </w:r>
      <w:r>
        <w:rPr>
          <w:color w:val="231F20"/>
          <w:spacing w:val="20"/>
        </w:rPr>
        <w:t> </w:t>
      </w:r>
      <w:r>
        <w:rPr>
          <w:rFonts w:ascii="Symbol" w:hAnsi="Symbol"/>
          <w:color w:val="231F20"/>
        </w:rPr>
        <w:t></w:t>
      </w:r>
      <w:r>
        <w:rPr>
          <w:rFonts w:ascii="Times New Roman" w:hAnsi="Times New Roman"/>
          <w:color w:val="231F20"/>
          <w:spacing w:val="14"/>
        </w:rPr>
        <w:t> </w:t>
      </w:r>
      <w:r>
        <w:rPr>
          <w:color w:val="231F20"/>
        </w:rPr>
        <w:t>Noncurrent</w:t>
      </w:r>
      <w:r>
        <w:rPr>
          <w:color w:val="231F20"/>
          <w:spacing w:val="19"/>
        </w:rPr>
        <w:t> </w:t>
      </w:r>
      <w:r>
        <w:rPr>
          <w:color w:val="231F20"/>
        </w:rPr>
        <w:t>Assets</w:t>
      </w:r>
      <w:r>
        <w:rPr>
          <w:color w:val="231F20"/>
          <w:spacing w:val="20"/>
        </w:rPr>
        <w:t> </w:t>
      </w:r>
      <w:r>
        <w:rPr>
          <w:rFonts w:ascii="Symbol" w:hAnsi="Symbol"/>
          <w:color w:val="231F20"/>
        </w:rPr>
        <w:t></w:t>
      </w:r>
      <w:r>
        <w:rPr>
          <w:rFonts w:ascii="Times New Roman" w:hAnsi="Times New Roman"/>
          <w:color w:val="231F20"/>
          <w:spacing w:val="14"/>
        </w:rPr>
        <w:t> </w:t>
      </w:r>
      <w:r>
        <w:rPr>
          <w:color w:val="231F20"/>
        </w:rPr>
        <w:t>Current</w:t>
      </w:r>
      <w:r>
        <w:rPr>
          <w:color w:val="231F20"/>
          <w:spacing w:val="19"/>
        </w:rPr>
        <w:t> </w:t>
      </w:r>
      <w:r>
        <w:rPr>
          <w:color w:val="231F20"/>
        </w:rPr>
        <w:t>Liabilities</w:t>
      </w:r>
      <w:r>
        <w:rPr>
          <w:color w:val="231F20"/>
          <w:spacing w:val="20"/>
        </w:rPr>
        <w:t> </w:t>
      </w:r>
      <w:r>
        <w:rPr>
          <w:rFonts w:ascii="Symbol" w:hAnsi="Symbol"/>
          <w:color w:val="231F20"/>
          <w:spacing w:val="-10"/>
        </w:rPr>
        <w:t></w:t>
      </w:r>
    </w:p>
    <w:p>
      <w:pPr>
        <w:pStyle w:val="BodyText"/>
        <w:spacing w:before="43"/>
        <w:ind w:left="1580"/>
      </w:pPr>
      <w:r>
        <w:rPr>
          <w:color w:val="231F20"/>
        </w:rPr>
        <w:t>Noncurrent</w:t>
      </w:r>
      <w:r>
        <w:rPr>
          <w:color w:val="231F20"/>
          <w:spacing w:val="31"/>
        </w:rPr>
        <w:t> </w:t>
      </w:r>
      <w:r>
        <w:rPr>
          <w:color w:val="231F20"/>
        </w:rPr>
        <w:t>Liabilities</w:t>
      </w:r>
      <w:r>
        <w:rPr>
          <w:color w:val="231F20"/>
          <w:spacing w:val="32"/>
        </w:rPr>
        <w:t> </w:t>
      </w:r>
      <w:r>
        <w:rPr>
          <w:rFonts w:ascii="Symbol" w:hAnsi="Symbol"/>
          <w:color w:val="231F20"/>
        </w:rPr>
        <w:t></w:t>
      </w:r>
      <w:r>
        <w:rPr>
          <w:rFonts w:ascii="Times New Roman" w:hAnsi="Times New Roman"/>
          <w:color w:val="231F20"/>
          <w:spacing w:val="25"/>
        </w:rPr>
        <w:t> </w:t>
      </w:r>
      <w:r>
        <w:rPr>
          <w:color w:val="231F20"/>
        </w:rPr>
        <w:t>Owners’</w:t>
      </w:r>
      <w:r>
        <w:rPr>
          <w:color w:val="231F20"/>
          <w:spacing w:val="32"/>
        </w:rPr>
        <w:t> </w:t>
      </w:r>
      <w:r>
        <w:rPr>
          <w:color w:val="231F20"/>
          <w:spacing w:val="-2"/>
        </w:rPr>
        <w:t>Equity</w:t>
      </w:r>
    </w:p>
    <w:p>
      <w:pPr>
        <w:pStyle w:val="BodyText"/>
        <w:rPr>
          <w:sz w:val="32"/>
        </w:rPr>
      </w:pPr>
    </w:p>
    <w:p>
      <w:pPr>
        <w:pStyle w:val="BodyText"/>
        <w:spacing w:line="292" w:lineRule="auto"/>
        <w:ind w:left="920" w:right="667" w:firstLine="339"/>
        <w:jc w:val="both"/>
      </w:pPr>
      <w:r>
        <w:rPr>
          <w:color w:val="231F20"/>
        </w:rPr>
        <w:t>To further break it down, the </w:t>
      </w:r>
      <w:r>
        <w:rPr>
          <w:i/>
          <w:color w:val="231F20"/>
        </w:rPr>
        <w:t>current asset </w:t>
      </w:r>
      <w:r>
        <w:rPr>
          <w:color w:val="231F20"/>
        </w:rPr>
        <w:t>class can be shown as its individual components:</w:t>
      </w:r>
    </w:p>
    <w:p>
      <w:pPr>
        <w:pStyle w:val="BodyText"/>
        <w:spacing w:before="4"/>
        <w:rPr>
          <w:sz w:val="26"/>
        </w:rPr>
      </w:pPr>
    </w:p>
    <w:p>
      <w:pPr>
        <w:pStyle w:val="BodyText"/>
        <w:ind w:left="1550"/>
        <w:rPr>
          <w:rFonts w:ascii="Symbol" w:hAnsi="Symbol"/>
        </w:rPr>
      </w:pPr>
      <w:r>
        <w:rPr>
          <w:color w:val="231F20"/>
        </w:rPr>
        <w:t>Cash</w:t>
      </w:r>
      <w:r>
        <w:rPr>
          <w:color w:val="231F20"/>
          <w:spacing w:val="29"/>
        </w:rPr>
        <w:t> </w:t>
      </w:r>
      <w:r>
        <w:rPr>
          <w:rFonts w:ascii="Symbol" w:hAnsi="Symbol"/>
          <w:color w:val="231F20"/>
        </w:rPr>
        <w:t></w:t>
      </w:r>
      <w:r>
        <w:rPr>
          <w:rFonts w:ascii="Times New Roman" w:hAnsi="Times New Roman"/>
          <w:color w:val="231F20"/>
          <w:spacing w:val="24"/>
        </w:rPr>
        <w:t> </w:t>
      </w:r>
      <w:r>
        <w:rPr>
          <w:color w:val="231F20"/>
        </w:rPr>
        <w:t>Accounts</w:t>
      </w:r>
      <w:r>
        <w:rPr>
          <w:color w:val="231F20"/>
          <w:spacing w:val="29"/>
        </w:rPr>
        <w:t> </w:t>
      </w:r>
      <w:r>
        <w:rPr>
          <w:color w:val="231F20"/>
        </w:rPr>
        <w:t>Receivable</w:t>
      </w:r>
      <w:r>
        <w:rPr>
          <w:color w:val="231F20"/>
          <w:spacing w:val="30"/>
        </w:rPr>
        <w:t> </w:t>
      </w:r>
      <w:r>
        <w:rPr>
          <w:color w:val="231F20"/>
        </w:rPr>
        <w:t>(AR)</w:t>
      </w:r>
      <w:r>
        <w:rPr>
          <w:color w:val="231F20"/>
          <w:spacing w:val="30"/>
        </w:rPr>
        <w:t> </w:t>
      </w:r>
      <w:r>
        <w:rPr>
          <w:rFonts w:ascii="Symbol" w:hAnsi="Symbol"/>
          <w:color w:val="231F20"/>
        </w:rPr>
        <w:t></w:t>
      </w:r>
      <w:r>
        <w:rPr>
          <w:rFonts w:ascii="Times New Roman" w:hAnsi="Times New Roman"/>
          <w:color w:val="231F20"/>
          <w:spacing w:val="23"/>
        </w:rPr>
        <w:t> </w:t>
      </w:r>
      <w:r>
        <w:rPr>
          <w:color w:val="231F20"/>
        </w:rPr>
        <w:t>Inventory</w:t>
      </w:r>
      <w:r>
        <w:rPr>
          <w:color w:val="231F20"/>
          <w:spacing w:val="30"/>
        </w:rPr>
        <w:t> </w:t>
      </w:r>
      <w:r>
        <w:rPr>
          <w:color w:val="231F20"/>
        </w:rPr>
        <w:t>(INV)</w:t>
      </w:r>
      <w:r>
        <w:rPr>
          <w:color w:val="231F20"/>
          <w:spacing w:val="29"/>
        </w:rPr>
        <w:t> </w:t>
      </w:r>
      <w:r>
        <w:rPr>
          <w:rFonts w:ascii="Symbol" w:hAnsi="Symbol"/>
          <w:color w:val="231F20"/>
          <w:spacing w:val="-10"/>
        </w:rPr>
        <w:t></w:t>
      </w:r>
    </w:p>
    <w:p>
      <w:pPr>
        <w:pStyle w:val="BodyText"/>
        <w:spacing w:before="42"/>
        <w:ind w:left="994" w:right="2968"/>
        <w:jc w:val="center"/>
      </w:pPr>
      <w:r>
        <w:rPr>
          <w:color w:val="231F20"/>
          <w:w w:val="115"/>
        </w:rPr>
        <w:t>NCA</w:t>
      </w:r>
      <w:r>
        <w:rPr>
          <w:color w:val="231F20"/>
          <w:spacing w:val="10"/>
          <w:w w:val="115"/>
        </w:rPr>
        <w:t> </w:t>
      </w:r>
      <w:r>
        <w:rPr>
          <w:rFonts w:ascii="Symbol" w:hAnsi="Symbol"/>
          <w:color w:val="231F20"/>
          <w:w w:val="115"/>
        </w:rPr>
        <w:t></w:t>
      </w:r>
      <w:r>
        <w:rPr>
          <w:rFonts w:ascii="Times New Roman" w:hAnsi="Times New Roman"/>
          <w:color w:val="231F20"/>
          <w:spacing w:val="3"/>
          <w:w w:val="115"/>
        </w:rPr>
        <w:t> </w:t>
      </w:r>
      <w:r>
        <w:rPr>
          <w:color w:val="231F20"/>
          <w:w w:val="115"/>
        </w:rPr>
        <w:t>CL</w:t>
      </w:r>
      <w:r>
        <w:rPr>
          <w:color w:val="231F20"/>
          <w:spacing w:val="10"/>
          <w:w w:val="115"/>
        </w:rPr>
        <w:t> </w:t>
      </w:r>
      <w:r>
        <w:rPr>
          <w:rFonts w:ascii="Symbol" w:hAnsi="Symbol"/>
          <w:color w:val="231F20"/>
          <w:w w:val="115"/>
        </w:rPr>
        <w:t></w:t>
      </w:r>
      <w:r>
        <w:rPr>
          <w:rFonts w:ascii="Times New Roman" w:hAnsi="Times New Roman"/>
          <w:color w:val="231F20"/>
          <w:spacing w:val="4"/>
          <w:w w:val="115"/>
        </w:rPr>
        <w:t> </w:t>
      </w:r>
      <w:r>
        <w:rPr>
          <w:color w:val="231F20"/>
          <w:w w:val="115"/>
        </w:rPr>
        <w:t>NCL</w:t>
      </w:r>
      <w:r>
        <w:rPr>
          <w:color w:val="231F20"/>
          <w:spacing w:val="10"/>
          <w:w w:val="115"/>
        </w:rPr>
        <w:t> </w:t>
      </w:r>
      <w:r>
        <w:rPr>
          <w:rFonts w:ascii="Symbol" w:hAnsi="Symbol"/>
          <w:color w:val="231F20"/>
          <w:w w:val="115"/>
        </w:rPr>
        <w:t></w:t>
      </w:r>
      <w:r>
        <w:rPr>
          <w:rFonts w:ascii="Times New Roman" w:hAnsi="Times New Roman"/>
          <w:color w:val="231F20"/>
          <w:spacing w:val="3"/>
          <w:w w:val="115"/>
        </w:rPr>
        <w:t> </w:t>
      </w:r>
      <w:r>
        <w:rPr>
          <w:color w:val="231F20"/>
          <w:spacing w:val="-5"/>
          <w:w w:val="115"/>
        </w:rPr>
        <w:t>OE</w:t>
      </w:r>
    </w:p>
    <w:p>
      <w:pPr>
        <w:pStyle w:val="BodyText"/>
        <w:rPr>
          <w:sz w:val="32"/>
        </w:rPr>
      </w:pPr>
    </w:p>
    <w:p>
      <w:pPr>
        <w:pStyle w:val="BodyText"/>
        <w:tabs>
          <w:tab w:pos="4420" w:val="left" w:leader="none"/>
          <w:tab w:pos="4963" w:val="left" w:leader="none"/>
          <w:tab w:pos="5600" w:val="left" w:leader="none"/>
        </w:tabs>
        <w:spacing w:line="595" w:lineRule="auto"/>
        <w:ind w:left="1965" w:right="1107" w:hanging="706"/>
      </w:pPr>
      <w:r>
        <w:rPr/>
        <w:pict>
          <v:rect style="position:absolute;margin-left:229.679199pt;margin-top:38.172874pt;width:4.930940pt;height:.7242pt;mso-position-horizontal-relative:page;mso-position-vertical-relative:paragraph;z-index:-25171968" id="docshape110" filled="true" fillcolor="#231f20" stroked="false">
            <v:fill type="solid"/>
            <w10:wrap type="none"/>
          </v:rect>
        </w:pict>
      </w:r>
      <w:r>
        <w:rPr/>
        <w:pict>
          <v:rect style="position:absolute;margin-left:256.815796pt;margin-top:38.172874pt;width:4.930940pt;height:.7242pt;mso-position-horizontal-relative:page;mso-position-vertical-relative:paragraph;z-index:-25171456" id="docshape111" filled="true" fillcolor="#231f20" stroked="false">
            <v:fill type="solid"/>
            <w10:wrap type="none"/>
          </v:rect>
        </w:pict>
      </w:r>
      <w:r>
        <w:rPr/>
        <w:pict>
          <v:rect style="position:absolute;margin-left:288.677490pt;margin-top:38.172874pt;width:4.930940pt;height:.7242pt;mso-position-horizontal-relative:page;mso-position-vertical-relative:paragraph;z-index:-25170944" id="docshape112" filled="true" fillcolor="#231f20" stroked="false">
            <v:fill type="solid"/>
            <w10:wrap type="none"/>
          </v:rect>
        </w:pict>
      </w:r>
      <w:r>
        <w:rPr>
          <w:color w:val="231F20"/>
        </w:rPr>
        <w:t>Rearranging the equation algebraically, we can isolate </w:t>
      </w:r>
      <w:r>
        <w:rPr>
          <w:color w:val="231F20"/>
        </w:rPr>
        <w:t>cash: </w:t>
      </w:r>
      <w:r>
        <w:rPr>
          <w:color w:val="231F20"/>
          <w:w w:val="110"/>
        </w:rPr>
        <w:t>Cash </w:t>
      </w:r>
      <w:r>
        <w:rPr>
          <w:rFonts w:ascii="Symbol" w:hAnsi="Symbol"/>
          <w:color w:val="231F20"/>
          <w:w w:val="110"/>
        </w:rPr>
        <w:t></w:t>
      </w:r>
      <w:r>
        <w:rPr>
          <w:rFonts w:ascii="Times New Roman" w:hAnsi="Times New Roman"/>
          <w:color w:val="231F20"/>
          <w:w w:val="110"/>
        </w:rPr>
        <w:t> </w:t>
      </w:r>
      <w:r>
        <w:rPr>
          <w:color w:val="231F20"/>
          <w:w w:val="110"/>
        </w:rPr>
        <w:t>CL </w:t>
      </w:r>
      <w:r>
        <w:rPr>
          <w:rFonts w:ascii="Symbol" w:hAnsi="Symbol"/>
          <w:color w:val="231F20"/>
          <w:w w:val="110"/>
        </w:rPr>
        <w:t></w:t>
      </w:r>
      <w:r>
        <w:rPr>
          <w:rFonts w:ascii="Times New Roman" w:hAnsi="Times New Roman"/>
          <w:color w:val="231F20"/>
          <w:w w:val="110"/>
        </w:rPr>
        <w:t> </w:t>
      </w:r>
      <w:r>
        <w:rPr>
          <w:color w:val="231F20"/>
          <w:w w:val="110"/>
        </w:rPr>
        <w:t>NCL </w:t>
      </w:r>
      <w:r>
        <w:rPr>
          <w:rFonts w:ascii="Symbol" w:hAnsi="Symbol"/>
          <w:color w:val="231F20"/>
          <w:w w:val="110"/>
        </w:rPr>
        <w:t></w:t>
      </w:r>
      <w:r>
        <w:rPr>
          <w:rFonts w:ascii="Times New Roman" w:hAnsi="Times New Roman"/>
          <w:color w:val="231F20"/>
          <w:w w:val="110"/>
        </w:rPr>
        <w:t> </w:t>
      </w:r>
      <w:r>
        <w:rPr>
          <w:color w:val="231F20"/>
          <w:w w:val="110"/>
        </w:rPr>
        <w:t>OE</w:t>
      </w:r>
      <w:r>
        <w:rPr>
          <w:color w:val="231F20"/>
        </w:rPr>
        <w:tab/>
      </w:r>
      <w:r>
        <w:rPr>
          <w:color w:val="231F20"/>
          <w:spacing w:val="-6"/>
          <w:w w:val="110"/>
        </w:rPr>
        <w:t>AR</w:t>
      </w:r>
      <w:r>
        <w:rPr>
          <w:color w:val="231F20"/>
        </w:rPr>
        <w:tab/>
      </w:r>
      <w:r>
        <w:rPr>
          <w:color w:val="231F20"/>
          <w:spacing w:val="-4"/>
          <w:w w:val="110"/>
        </w:rPr>
        <w:t>INV</w:t>
      </w:r>
      <w:r>
        <w:rPr>
          <w:color w:val="231F20"/>
        </w:rPr>
        <w:tab/>
      </w:r>
      <w:r>
        <w:rPr>
          <w:color w:val="231F20"/>
          <w:spacing w:val="-4"/>
          <w:w w:val="110"/>
        </w:rPr>
        <w:t>NCA</w:t>
      </w:r>
    </w:p>
    <w:p>
      <w:pPr>
        <w:pStyle w:val="BodyText"/>
        <w:spacing w:line="292" w:lineRule="auto"/>
        <w:ind w:left="920" w:right="663" w:firstLine="340"/>
        <w:jc w:val="both"/>
      </w:pPr>
      <w:r>
        <w:rPr>
          <w:color w:val="231F20"/>
        </w:rPr>
        <w:t>As revealed by the equation, an increase in a current liability</w:t>
      </w:r>
      <w:r>
        <w:rPr>
          <w:color w:val="231F20"/>
          <w:spacing w:val="80"/>
        </w:rPr>
        <w:t> </w:t>
      </w:r>
      <w:r>
        <w:rPr>
          <w:color w:val="231F20"/>
        </w:rPr>
        <w:t>(CL) on the right of the equals sign would mean an increase in cash</w:t>
      </w:r>
      <w:r>
        <w:rPr>
          <w:color w:val="231F20"/>
          <w:spacing w:val="40"/>
        </w:rPr>
        <w:t> </w:t>
      </w:r>
      <w:r>
        <w:rPr>
          <w:color w:val="231F20"/>
        </w:rPr>
        <w:t>on the left. Increasing your debts to suppliers frees up a </w:t>
      </w:r>
      <w:r>
        <w:rPr>
          <w:color w:val="231F20"/>
        </w:rPr>
        <w:t>business’s cash for other purposes. Conversely an increase in an asset such as inventory would mean a decrease in cash. It makes sense; buying in- ventory requires cash. Adding or subtracting on one side of the</w:t>
      </w:r>
      <w:r>
        <w:rPr>
          <w:color w:val="231F20"/>
          <w:spacing w:val="40"/>
        </w:rPr>
        <w:t> </w:t>
      </w:r>
      <w:r>
        <w:rPr>
          <w:color w:val="231F20"/>
        </w:rPr>
        <w:t>equals sign affects the total on the other side of the equation.</w:t>
      </w:r>
    </w:p>
    <w:p>
      <w:pPr>
        <w:pStyle w:val="BodyText"/>
        <w:spacing w:line="292" w:lineRule="auto"/>
        <w:ind w:left="920" w:right="666" w:firstLine="340"/>
        <w:jc w:val="both"/>
      </w:pPr>
      <w:r>
        <w:rPr>
          <w:color w:val="231F20"/>
        </w:rPr>
        <w:t>My study group at business school found cash flow statements </w:t>
      </w:r>
      <w:r>
        <w:rPr>
          <w:color w:val="231F20"/>
        </w:rPr>
        <w:t>to </w:t>
      </w:r>
      <w:r>
        <w:rPr>
          <w:color w:val="231F20"/>
          <w:w w:val="105"/>
        </w:rPr>
        <w:t>be</w:t>
      </w:r>
      <w:r>
        <w:rPr>
          <w:color w:val="231F20"/>
          <w:w w:val="105"/>
        </w:rPr>
        <w:t> the</w:t>
      </w:r>
      <w:r>
        <w:rPr>
          <w:color w:val="231F20"/>
          <w:w w:val="105"/>
        </w:rPr>
        <w:t> most</w:t>
      </w:r>
      <w:r>
        <w:rPr>
          <w:color w:val="231F20"/>
          <w:w w:val="105"/>
        </w:rPr>
        <w:t> confusing</w:t>
      </w:r>
      <w:r>
        <w:rPr>
          <w:color w:val="231F20"/>
          <w:w w:val="105"/>
        </w:rPr>
        <w:t> of</w:t>
      </w:r>
      <w:r>
        <w:rPr>
          <w:color w:val="231F20"/>
          <w:w w:val="105"/>
        </w:rPr>
        <w:t> the</w:t>
      </w:r>
      <w:r>
        <w:rPr>
          <w:color w:val="231F20"/>
          <w:w w:val="105"/>
        </w:rPr>
        <w:t> major</w:t>
      </w:r>
      <w:r>
        <w:rPr>
          <w:color w:val="231F20"/>
          <w:w w:val="105"/>
        </w:rPr>
        <w:t> topics</w:t>
      </w:r>
      <w:r>
        <w:rPr>
          <w:color w:val="231F20"/>
          <w:w w:val="105"/>
        </w:rPr>
        <w:t> in</w:t>
      </w:r>
      <w:r>
        <w:rPr>
          <w:color w:val="231F20"/>
          <w:w w:val="105"/>
        </w:rPr>
        <w:t> accounting.</w:t>
      </w:r>
      <w:r>
        <w:rPr>
          <w:color w:val="231F20"/>
          <w:w w:val="105"/>
        </w:rPr>
        <w:t> But</w:t>
      </w:r>
      <w:r>
        <w:rPr>
          <w:color w:val="231F20"/>
          <w:w w:val="105"/>
        </w:rPr>
        <w:t> if</w:t>
      </w:r>
      <w:r>
        <w:rPr>
          <w:color w:val="231F20"/>
          <w:w w:val="105"/>
        </w:rPr>
        <w:t> the former</w:t>
      </w:r>
      <w:r>
        <w:rPr>
          <w:color w:val="231F20"/>
          <w:spacing w:val="-3"/>
          <w:w w:val="105"/>
        </w:rPr>
        <w:t> </w:t>
      </w:r>
      <w:r>
        <w:rPr>
          <w:color w:val="231F20"/>
          <w:w w:val="105"/>
        </w:rPr>
        <w:t>Peace</w:t>
      </w:r>
      <w:r>
        <w:rPr>
          <w:color w:val="231F20"/>
          <w:spacing w:val="-3"/>
          <w:w w:val="105"/>
        </w:rPr>
        <w:t> </w:t>
      </w:r>
      <w:r>
        <w:rPr>
          <w:color w:val="231F20"/>
          <w:w w:val="105"/>
        </w:rPr>
        <w:t>Corps</w:t>
      </w:r>
      <w:r>
        <w:rPr>
          <w:color w:val="231F20"/>
          <w:spacing w:val="-3"/>
          <w:w w:val="105"/>
        </w:rPr>
        <w:t> </w:t>
      </w:r>
      <w:r>
        <w:rPr>
          <w:color w:val="231F20"/>
          <w:w w:val="105"/>
        </w:rPr>
        <w:t>volunteer</w:t>
      </w:r>
      <w:r>
        <w:rPr>
          <w:color w:val="231F20"/>
          <w:spacing w:val="-3"/>
          <w:w w:val="105"/>
        </w:rPr>
        <w:t> </w:t>
      </w:r>
      <w:r>
        <w:rPr>
          <w:color w:val="231F20"/>
          <w:w w:val="105"/>
        </w:rPr>
        <w:t>in</w:t>
      </w:r>
      <w:r>
        <w:rPr>
          <w:color w:val="231F20"/>
          <w:spacing w:val="-3"/>
          <w:w w:val="105"/>
        </w:rPr>
        <w:t> </w:t>
      </w:r>
      <w:r>
        <w:rPr>
          <w:color w:val="231F20"/>
          <w:w w:val="105"/>
        </w:rPr>
        <w:t>my</w:t>
      </w:r>
      <w:r>
        <w:rPr>
          <w:color w:val="231F20"/>
          <w:spacing w:val="-3"/>
          <w:w w:val="105"/>
        </w:rPr>
        <w:t> </w:t>
      </w:r>
      <w:r>
        <w:rPr>
          <w:color w:val="231F20"/>
          <w:w w:val="105"/>
        </w:rPr>
        <w:t>study</w:t>
      </w:r>
      <w:r>
        <w:rPr>
          <w:color w:val="231F20"/>
          <w:spacing w:val="-3"/>
          <w:w w:val="105"/>
        </w:rPr>
        <w:t> </w:t>
      </w:r>
      <w:r>
        <w:rPr>
          <w:color w:val="231F20"/>
          <w:w w:val="105"/>
        </w:rPr>
        <w:t>group</w:t>
      </w:r>
      <w:r>
        <w:rPr>
          <w:color w:val="231F20"/>
          <w:spacing w:val="-3"/>
          <w:w w:val="105"/>
        </w:rPr>
        <w:t> </w:t>
      </w:r>
      <w:r>
        <w:rPr>
          <w:color w:val="231F20"/>
          <w:w w:val="105"/>
        </w:rPr>
        <w:t>with</w:t>
      </w:r>
      <w:r>
        <w:rPr>
          <w:color w:val="231F20"/>
          <w:spacing w:val="-3"/>
          <w:w w:val="105"/>
        </w:rPr>
        <w:t> </w:t>
      </w:r>
      <w:r>
        <w:rPr>
          <w:color w:val="231F20"/>
          <w:w w:val="105"/>
        </w:rPr>
        <w:t>no</w:t>
      </w:r>
      <w:r>
        <w:rPr>
          <w:color w:val="231F20"/>
          <w:spacing w:val="-3"/>
          <w:w w:val="105"/>
        </w:rPr>
        <w:t> </w:t>
      </w:r>
      <w:r>
        <w:rPr>
          <w:color w:val="231F20"/>
          <w:w w:val="105"/>
        </w:rPr>
        <w:t>business training</w:t>
      </w:r>
      <w:r>
        <w:rPr>
          <w:color w:val="231F20"/>
          <w:spacing w:val="-13"/>
          <w:w w:val="105"/>
        </w:rPr>
        <w:t> </w:t>
      </w:r>
      <w:r>
        <w:rPr>
          <w:color w:val="231F20"/>
          <w:w w:val="105"/>
        </w:rPr>
        <w:t>caught</w:t>
      </w:r>
      <w:r>
        <w:rPr>
          <w:color w:val="231F20"/>
          <w:spacing w:val="-12"/>
          <w:w w:val="105"/>
        </w:rPr>
        <w:t> </w:t>
      </w:r>
      <w:r>
        <w:rPr>
          <w:color w:val="231F20"/>
          <w:w w:val="105"/>
        </w:rPr>
        <w:t>on,</w:t>
      </w:r>
      <w:r>
        <w:rPr>
          <w:color w:val="231F20"/>
          <w:spacing w:val="-12"/>
          <w:w w:val="105"/>
        </w:rPr>
        <w:t> </w:t>
      </w:r>
      <w:r>
        <w:rPr>
          <w:color w:val="231F20"/>
          <w:w w:val="105"/>
        </w:rPr>
        <w:t>I</w:t>
      </w:r>
      <w:r>
        <w:rPr>
          <w:color w:val="231F20"/>
          <w:spacing w:val="-12"/>
          <w:w w:val="105"/>
        </w:rPr>
        <w:t> </w:t>
      </w:r>
      <w:r>
        <w:rPr>
          <w:color w:val="231F20"/>
          <w:w w:val="105"/>
        </w:rPr>
        <w:t>have</w:t>
      </w:r>
      <w:r>
        <w:rPr>
          <w:color w:val="231F20"/>
          <w:spacing w:val="-12"/>
          <w:w w:val="105"/>
        </w:rPr>
        <w:t> </w:t>
      </w:r>
      <w:r>
        <w:rPr>
          <w:color w:val="231F20"/>
          <w:w w:val="105"/>
        </w:rPr>
        <w:t>full</w:t>
      </w:r>
      <w:r>
        <w:rPr>
          <w:color w:val="231F20"/>
          <w:spacing w:val="-12"/>
          <w:w w:val="105"/>
        </w:rPr>
        <w:t> </w:t>
      </w:r>
      <w:r>
        <w:rPr>
          <w:color w:val="231F20"/>
          <w:w w:val="105"/>
        </w:rPr>
        <w:t>confidence</w:t>
      </w:r>
      <w:r>
        <w:rPr>
          <w:color w:val="231F20"/>
          <w:spacing w:val="-12"/>
          <w:w w:val="105"/>
        </w:rPr>
        <w:t> </w:t>
      </w:r>
      <w:r>
        <w:rPr>
          <w:color w:val="231F20"/>
          <w:w w:val="105"/>
        </w:rPr>
        <w:t>in</w:t>
      </w:r>
      <w:r>
        <w:rPr>
          <w:color w:val="231F20"/>
          <w:spacing w:val="-13"/>
          <w:w w:val="105"/>
        </w:rPr>
        <w:t> </w:t>
      </w:r>
      <w:r>
        <w:rPr>
          <w:color w:val="231F20"/>
          <w:w w:val="105"/>
        </w:rPr>
        <w:t>your</w:t>
      </w:r>
      <w:r>
        <w:rPr>
          <w:color w:val="231F20"/>
          <w:spacing w:val="-12"/>
          <w:w w:val="105"/>
        </w:rPr>
        <w:t> </w:t>
      </w:r>
      <w:r>
        <w:rPr>
          <w:color w:val="231F20"/>
          <w:w w:val="105"/>
        </w:rPr>
        <w:t>ability</w:t>
      </w:r>
      <w:r>
        <w:rPr>
          <w:color w:val="231F20"/>
          <w:spacing w:val="-12"/>
          <w:w w:val="105"/>
        </w:rPr>
        <w:t> </w:t>
      </w:r>
      <w:r>
        <w:rPr>
          <w:color w:val="231F20"/>
          <w:w w:val="105"/>
        </w:rPr>
        <w:t>to</w:t>
      </w:r>
      <w:r>
        <w:rPr>
          <w:color w:val="231F20"/>
          <w:spacing w:val="-12"/>
          <w:w w:val="105"/>
        </w:rPr>
        <w:t> </w:t>
      </w:r>
      <w:r>
        <w:rPr>
          <w:color w:val="231F20"/>
          <w:w w:val="105"/>
        </w:rPr>
        <w:t>pick</w:t>
      </w:r>
      <w:r>
        <w:rPr>
          <w:color w:val="231F20"/>
          <w:spacing w:val="-12"/>
          <w:w w:val="105"/>
        </w:rPr>
        <w:t> </w:t>
      </w:r>
      <w:r>
        <w:rPr>
          <w:color w:val="231F20"/>
          <w:w w:val="105"/>
        </w:rPr>
        <w:t>it</w:t>
      </w:r>
      <w:r>
        <w:rPr>
          <w:color w:val="231F20"/>
          <w:spacing w:val="-12"/>
          <w:w w:val="105"/>
        </w:rPr>
        <w:t> </w:t>
      </w:r>
      <w:r>
        <w:rPr>
          <w:color w:val="231F20"/>
          <w:w w:val="105"/>
        </w:rPr>
        <w:t>up also.</w:t>
      </w:r>
      <w:r>
        <w:rPr>
          <w:color w:val="231F20"/>
          <w:w w:val="105"/>
        </w:rPr>
        <w:t> With</w:t>
      </w:r>
      <w:r>
        <w:rPr>
          <w:color w:val="231F20"/>
          <w:w w:val="105"/>
        </w:rPr>
        <w:t> the</w:t>
      </w:r>
      <w:r>
        <w:rPr>
          <w:color w:val="231F20"/>
          <w:w w:val="105"/>
        </w:rPr>
        <w:t> preceding</w:t>
      </w:r>
      <w:r>
        <w:rPr>
          <w:color w:val="231F20"/>
          <w:w w:val="105"/>
        </w:rPr>
        <w:t> as</w:t>
      </w:r>
      <w:r>
        <w:rPr>
          <w:color w:val="231F20"/>
          <w:w w:val="105"/>
        </w:rPr>
        <w:t> foundation,</w:t>
      </w:r>
      <w:r>
        <w:rPr>
          <w:color w:val="231F20"/>
          <w:w w:val="105"/>
        </w:rPr>
        <w:t> I</w:t>
      </w:r>
      <w:r>
        <w:rPr>
          <w:color w:val="231F20"/>
          <w:w w:val="105"/>
        </w:rPr>
        <w:t> will</w:t>
      </w:r>
      <w:r>
        <w:rPr>
          <w:color w:val="231F20"/>
          <w:w w:val="105"/>
        </w:rPr>
        <w:t> illustrate</w:t>
      </w:r>
      <w:r>
        <w:rPr>
          <w:color w:val="231F20"/>
          <w:w w:val="105"/>
        </w:rPr>
        <w:t> the</w:t>
      </w:r>
      <w:r>
        <w:rPr>
          <w:color w:val="231F20"/>
          <w:w w:val="105"/>
        </w:rPr>
        <w:t> impor- tance</w:t>
      </w:r>
      <w:r>
        <w:rPr>
          <w:color w:val="231F20"/>
          <w:spacing w:val="-6"/>
          <w:w w:val="105"/>
        </w:rPr>
        <w:t> </w:t>
      </w:r>
      <w:r>
        <w:rPr>
          <w:color w:val="231F20"/>
          <w:w w:val="105"/>
        </w:rPr>
        <w:t>of</w:t>
      </w:r>
      <w:r>
        <w:rPr>
          <w:color w:val="231F20"/>
          <w:spacing w:val="-6"/>
          <w:w w:val="105"/>
        </w:rPr>
        <w:t> </w:t>
      </w:r>
      <w:r>
        <w:rPr>
          <w:color w:val="231F20"/>
          <w:w w:val="105"/>
        </w:rPr>
        <w:t>the</w:t>
      </w:r>
      <w:r>
        <w:rPr>
          <w:color w:val="231F20"/>
          <w:spacing w:val="-6"/>
          <w:w w:val="105"/>
        </w:rPr>
        <w:t> </w:t>
      </w:r>
      <w:r>
        <w:rPr>
          <w:color w:val="231F20"/>
          <w:w w:val="105"/>
        </w:rPr>
        <w:t>cash</w:t>
      </w:r>
      <w:r>
        <w:rPr>
          <w:color w:val="231F20"/>
          <w:spacing w:val="-6"/>
          <w:w w:val="105"/>
        </w:rPr>
        <w:t> </w:t>
      </w:r>
      <w:r>
        <w:rPr>
          <w:color w:val="231F20"/>
          <w:w w:val="105"/>
        </w:rPr>
        <w:t>flow</w:t>
      </w:r>
      <w:r>
        <w:rPr>
          <w:color w:val="231F20"/>
          <w:spacing w:val="-6"/>
          <w:w w:val="105"/>
        </w:rPr>
        <w:t> </w:t>
      </w:r>
      <w:r>
        <w:rPr>
          <w:color w:val="231F20"/>
          <w:w w:val="105"/>
        </w:rPr>
        <w:t>statement</w:t>
      </w:r>
      <w:r>
        <w:rPr>
          <w:color w:val="231F20"/>
          <w:spacing w:val="-6"/>
          <w:w w:val="105"/>
        </w:rPr>
        <w:t> </w:t>
      </w:r>
      <w:r>
        <w:rPr>
          <w:color w:val="231F20"/>
          <w:w w:val="105"/>
        </w:rPr>
        <w:t>and</w:t>
      </w:r>
      <w:r>
        <w:rPr>
          <w:color w:val="231F20"/>
          <w:spacing w:val="-6"/>
          <w:w w:val="105"/>
        </w:rPr>
        <w:t> </w:t>
      </w:r>
      <w:r>
        <w:rPr>
          <w:color w:val="231F20"/>
          <w:w w:val="105"/>
        </w:rPr>
        <w:t>use</w:t>
      </w:r>
      <w:r>
        <w:rPr>
          <w:color w:val="231F20"/>
          <w:spacing w:val="-6"/>
          <w:w w:val="105"/>
        </w:rPr>
        <w:t> </w:t>
      </w:r>
      <w:r>
        <w:rPr>
          <w:color w:val="231F20"/>
          <w:w w:val="105"/>
        </w:rPr>
        <w:t>Bob’s</w:t>
      </w:r>
      <w:r>
        <w:rPr>
          <w:color w:val="231F20"/>
          <w:spacing w:val="-6"/>
          <w:w w:val="105"/>
        </w:rPr>
        <w:t> </w:t>
      </w:r>
      <w:r>
        <w:rPr>
          <w:color w:val="231F20"/>
          <w:w w:val="105"/>
        </w:rPr>
        <w:t>Market</w:t>
      </w:r>
      <w:r>
        <w:rPr>
          <w:color w:val="231F20"/>
          <w:spacing w:val="-6"/>
          <w:w w:val="105"/>
        </w:rPr>
        <w:t> </w:t>
      </w:r>
      <w:r>
        <w:rPr>
          <w:color w:val="231F20"/>
          <w:w w:val="105"/>
        </w:rPr>
        <w:t>as</w:t>
      </w:r>
      <w:r>
        <w:rPr>
          <w:color w:val="231F20"/>
          <w:spacing w:val="-6"/>
          <w:w w:val="105"/>
        </w:rPr>
        <w:t> </w:t>
      </w:r>
      <w:r>
        <w:rPr>
          <w:color w:val="231F20"/>
          <w:w w:val="105"/>
        </w:rPr>
        <w:t>an</w:t>
      </w:r>
      <w:r>
        <w:rPr>
          <w:color w:val="231F20"/>
          <w:spacing w:val="-6"/>
          <w:w w:val="105"/>
        </w:rPr>
        <w:t> </w:t>
      </w:r>
      <w:r>
        <w:rPr>
          <w:color w:val="231F20"/>
          <w:w w:val="105"/>
        </w:rPr>
        <w:t>exam- ple to finish off the cash flow lesson.</w:t>
      </w:r>
    </w:p>
    <w:p>
      <w:pPr>
        <w:spacing w:after="0" w:line="292" w:lineRule="auto"/>
        <w:jc w:val="both"/>
        <w:sectPr>
          <w:pgSz w:w="8640" w:h="12960"/>
          <w:pgMar w:header="734" w:footer="0" w:top="920" w:bottom="280" w:left="340" w:right="500"/>
        </w:sectPr>
      </w:pPr>
    </w:p>
    <w:p>
      <w:pPr>
        <w:pStyle w:val="BodyText"/>
        <w:spacing w:before="4"/>
        <w:rPr>
          <w:sz w:val="19"/>
        </w:rPr>
      </w:pPr>
    </w:p>
    <w:p>
      <w:pPr>
        <w:spacing w:before="99"/>
        <w:ind w:left="1170" w:right="0" w:firstLine="0"/>
        <w:jc w:val="left"/>
        <w:rPr>
          <w:rFonts w:ascii="Arial"/>
          <w:i/>
          <w:sz w:val="19"/>
        </w:rPr>
      </w:pPr>
      <w:r>
        <w:rPr>
          <w:rFonts w:ascii="Arial"/>
          <w:i/>
          <w:color w:val="231F20"/>
          <w:w w:val="110"/>
          <w:sz w:val="19"/>
        </w:rPr>
        <w:t>The</w:t>
      </w:r>
      <w:r>
        <w:rPr>
          <w:rFonts w:ascii="Arial"/>
          <w:i/>
          <w:color w:val="231F20"/>
          <w:spacing w:val="1"/>
          <w:w w:val="110"/>
          <w:sz w:val="19"/>
        </w:rPr>
        <w:t> </w:t>
      </w:r>
      <w:r>
        <w:rPr>
          <w:rFonts w:ascii="Arial"/>
          <w:i/>
          <w:color w:val="231F20"/>
          <w:w w:val="110"/>
          <w:sz w:val="19"/>
        </w:rPr>
        <w:t>Uses</w:t>
      </w:r>
      <w:r>
        <w:rPr>
          <w:rFonts w:ascii="Arial"/>
          <w:i/>
          <w:color w:val="231F20"/>
          <w:spacing w:val="1"/>
          <w:w w:val="110"/>
          <w:sz w:val="19"/>
        </w:rPr>
        <w:t> </w:t>
      </w:r>
      <w:r>
        <w:rPr>
          <w:rFonts w:ascii="Arial"/>
          <w:i/>
          <w:color w:val="231F20"/>
          <w:w w:val="110"/>
          <w:sz w:val="19"/>
        </w:rPr>
        <w:t>for</w:t>
      </w:r>
      <w:r>
        <w:rPr>
          <w:rFonts w:ascii="Arial"/>
          <w:i/>
          <w:color w:val="231F20"/>
          <w:spacing w:val="1"/>
          <w:w w:val="110"/>
          <w:sz w:val="19"/>
        </w:rPr>
        <w:t> </w:t>
      </w:r>
      <w:r>
        <w:rPr>
          <w:rFonts w:ascii="Arial"/>
          <w:i/>
          <w:color w:val="231F20"/>
          <w:w w:val="110"/>
          <w:sz w:val="19"/>
        </w:rPr>
        <w:t>the</w:t>
      </w:r>
      <w:r>
        <w:rPr>
          <w:rFonts w:ascii="Arial"/>
          <w:i/>
          <w:color w:val="231F20"/>
          <w:spacing w:val="2"/>
          <w:w w:val="110"/>
          <w:sz w:val="19"/>
        </w:rPr>
        <w:t> </w:t>
      </w:r>
      <w:r>
        <w:rPr>
          <w:rFonts w:ascii="Arial"/>
          <w:i/>
          <w:color w:val="231F20"/>
          <w:w w:val="110"/>
          <w:sz w:val="19"/>
        </w:rPr>
        <w:t>Cash</w:t>
      </w:r>
      <w:r>
        <w:rPr>
          <w:rFonts w:ascii="Arial"/>
          <w:i/>
          <w:color w:val="231F20"/>
          <w:spacing w:val="1"/>
          <w:w w:val="110"/>
          <w:sz w:val="19"/>
        </w:rPr>
        <w:t> </w:t>
      </w:r>
      <w:r>
        <w:rPr>
          <w:rFonts w:ascii="Arial"/>
          <w:i/>
          <w:color w:val="231F20"/>
          <w:w w:val="110"/>
          <w:sz w:val="19"/>
        </w:rPr>
        <w:t>Flow</w:t>
      </w:r>
      <w:r>
        <w:rPr>
          <w:rFonts w:ascii="Arial"/>
          <w:i/>
          <w:color w:val="231F20"/>
          <w:spacing w:val="1"/>
          <w:w w:val="110"/>
          <w:sz w:val="19"/>
        </w:rPr>
        <w:t> </w:t>
      </w:r>
      <w:r>
        <w:rPr>
          <w:rFonts w:ascii="Arial"/>
          <w:i/>
          <w:color w:val="231F20"/>
          <w:spacing w:val="-2"/>
          <w:w w:val="110"/>
          <w:sz w:val="19"/>
        </w:rPr>
        <w:t>Statement</w:t>
      </w:r>
    </w:p>
    <w:p>
      <w:pPr>
        <w:pStyle w:val="BodyText"/>
        <w:spacing w:line="292" w:lineRule="auto" w:before="60"/>
        <w:ind w:left="830" w:right="756" w:firstLine="340"/>
        <w:jc w:val="both"/>
      </w:pPr>
      <w:r>
        <w:rPr>
          <w:color w:val="231F20"/>
        </w:rPr>
        <w:t>The cash flow statement is a management tool to help avoid li- quidity problems. Both the income statement and the balance </w:t>
      </w:r>
      <w:r>
        <w:rPr>
          <w:color w:val="231F20"/>
        </w:rPr>
        <w:t>sheet are used to form the cash flow picture of a company. The statement answers the following important questions:</w:t>
      </w:r>
    </w:p>
    <w:p>
      <w:pPr>
        <w:pStyle w:val="BodyText"/>
        <w:spacing w:before="6"/>
        <w:rPr>
          <w:sz w:val="31"/>
        </w:rPr>
      </w:pPr>
    </w:p>
    <w:p>
      <w:pPr>
        <w:spacing w:line="328" w:lineRule="auto" w:before="0"/>
        <w:ind w:left="1170" w:right="1045" w:firstLine="0"/>
        <w:jc w:val="left"/>
        <w:rPr>
          <w:rFonts w:ascii="Arial"/>
          <w:sz w:val="19"/>
        </w:rPr>
      </w:pPr>
      <w:r>
        <w:rPr>
          <w:rFonts w:ascii="Arial"/>
          <w:color w:val="231F20"/>
          <w:w w:val="115"/>
          <w:sz w:val="19"/>
        </w:rPr>
        <w:t>What</w:t>
      </w:r>
      <w:r>
        <w:rPr>
          <w:rFonts w:ascii="Arial"/>
          <w:color w:val="231F20"/>
          <w:spacing w:val="-14"/>
          <w:w w:val="115"/>
          <w:sz w:val="19"/>
        </w:rPr>
        <w:t> </w:t>
      </w:r>
      <w:r>
        <w:rPr>
          <w:rFonts w:ascii="Arial"/>
          <w:color w:val="231F20"/>
          <w:w w:val="115"/>
          <w:sz w:val="19"/>
        </w:rPr>
        <w:t>is</w:t>
      </w:r>
      <w:r>
        <w:rPr>
          <w:rFonts w:ascii="Arial"/>
          <w:color w:val="231F20"/>
          <w:spacing w:val="-14"/>
          <w:w w:val="115"/>
          <w:sz w:val="19"/>
        </w:rPr>
        <w:t> </w:t>
      </w:r>
      <w:r>
        <w:rPr>
          <w:rFonts w:ascii="Arial"/>
          <w:color w:val="231F20"/>
          <w:w w:val="115"/>
          <w:sz w:val="19"/>
        </w:rPr>
        <w:t>the</w:t>
      </w:r>
      <w:r>
        <w:rPr>
          <w:rFonts w:ascii="Arial"/>
          <w:color w:val="231F20"/>
          <w:spacing w:val="-14"/>
          <w:w w:val="115"/>
          <w:sz w:val="19"/>
        </w:rPr>
        <w:t> </w:t>
      </w:r>
      <w:r>
        <w:rPr>
          <w:rFonts w:ascii="Arial"/>
          <w:color w:val="231F20"/>
          <w:w w:val="115"/>
          <w:sz w:val="19"/>
        </w:rPr>
        <w:t>relationship</w:t>
      </w:r>
      <w:r>
        <w:rPr>
          <w:rFonts w:ascii="Arial"/>
          <w:color w:val="231F20"/>
          <w:spacing w:val="-14"/>
          <w:w w:val="115"/>
          <w:sz w:val="19"/>
        </w:rPr>
        <w:t> </w:t>
      </w:r>
      <w:r>
        <w:rPr>
          <w:rFonts w:ascii="Arial"/>
          <w:color w:val="231F20"/>
          <w:w w:val="115"/>
          <w:sz w:val="19"/>
        </w:rPr>
        <w:t>between</w:t>
      </w:r>
      <w:r>
        <w:rPr>
          <w:rFonts w:ascii="Arial"/>
          <w:color w:val="231F20"/>
          <w:spacing w:val="-14"/>
          <w:w w:val="115"/>
          <w:sz w:val="19"/>
        </w:rPr>
        <w:t> </w:t>
      </w:r>
      <w:r>
        <w:rPr>
          <w:rFonts w:ascii="Arial"/>
          <w:color w:val="231F20"/>
          <w:w w:val="115"/>
          <w:sz w:val="19"/>
        </w:rPr>
        <w:t>cash</w:t>
      </w:r>
      <w:r>
        <w:rPr>
          <w:rFonts w:ascii="Arial"/>
          <w:color w:val="231F20"/>
          <w:spacing w:val="-14"/>
          <w:w w:val="115"/>
          <w:sz w:val="19"/>
        </w:rPr>
        <w:t> </w:t>
      </w:r>
      <w:r>
        <w:rPr>
          <w:rFonts w:ascii="Arial"/>
          <w:color w:val="231F20"/>
          <w:w w:val="115"/>
          <w:sz w:val="19"/>
        </w:rPr>
        <w:t>flow</w:t>
      </w:r>
      <w:r>
        <w:rPr>
          <w:rFonts w:ascii="Arial"/>
          <w:color w:val="231F20"/>
          <w:spacing w:val="-14"/>
          <w:w w:val="115"/>
          <w:sz w:val="19"/>
        </w:rPr>
        <w:t> </w:t>
      </w:r>
      <w:r>
        <w:rPr>
          <w:rFonts w:ascii="Arial"/>
          <w:color w:val="231F20"/>
          <w:w w:val="115"/>
          <w:sz w:val="19"/>
        </w:rPr>
        <w:t>and</w:t>
      </w:r>
      <w:r>
        <w:rPr>
          <w:rFonts w:ascii="Arial"/>
          <w:color w:val="231F20"/>
          <w:spacing w:val="-14"/>
          <w:w w:val="115"/>
          <w:sz w:val="19"/>
        </w:rPr>
        <w:t> </w:t>
      </w:r>
      <w:r>
        <w:rPr>
          <w:rFonts w:ascii="Arial"/>
          <w:color w:val="231F20"/>
          <w:w w:val="115"/>
          <w:sz w:val="19"/>
        </w:rPr>
        <w:t>earnings? How are dividends financed?</w:t>
      </w:r>
    </w:p>
    <w:p>
      <w:pPr>
        <w:spacing w:before="2"/>
        <w:ind w:left="1170" w:right="0" w:firstLine="0"/>
        <w:jc w:val="left"/>
        <w:rPr>
          <w:rFonts w:ascii="Arial"/>
          <w:sz w:val="19"/>
        </w:rPr>
      </w:pPr>
      <w:r>
        <w:rPr>
          <w:rFonts w:ascii="Arial"/>
          <w:color w:val="231F20"/>
          <w:w w:val="115"/>
          <w:sz w:val="19"/>
        </w:rPr>
        <w:t>How</w:t>
      </w:r>
      <w:r>
        <w:rPr>
          <w:rFonts w:ascii="Arial"/>
          <w:color w:val="231F20"/>
          <w:spacing w:val="-6"/>
          <w:w w:val="115"/>
          <w:sz w:val="19"/>
        </w:rPr>
        <w:t> </w:t>
      </w:r>
      <w:r>
        <w:rPr>
          <w:rFonts w:ascii="Arial"/>
          <w:color w:val="231F20"/>
          <w:w w:val="115"/>
          <w:sz w:val="19"/>
        </w:rPr>
        <w:t>are</w:t>
      </w:r>
      <w:r>
        <w:rPr>
          <w:rFonts w:ascii="Arial"/>
          <w:color w:val="231F20"/>
          <w:spacing w:val="-6"/>
          <w:w w:val="115"/>
          <w:sz w:val="19"/>
        </w:rPr>
        <w:t> </w:t>
      </w:r>
      <w:r>
        <w:rPr>
          <w:rFonts w:ascii="Arial"/>
          <w:color w:val="231F20"/>
          <w:w w:val="115"/>
          <w:sz w:val="19"/>
        </w:rPr>
        <w:t>debts</w:t>
      </w:r>
      <w:r>
        <w:rPr>
          <w:rFonts w:ascii="Arial"/>
          <w:color w:val="231F20"/>
          <w:spacing w:val="-6"/>
          <w:w w:val="115"/>
          <w:sz w:val="19"/>
        </w:rPr>
        <w:t> </w:t>
      </w:r>
      <w:r>
        <w:rPr>
          <w:rFonts w:ascii="Arial"/>
          <w:color w:val="231F20"/>
          <w:w w:val="115"/>
          <w:sz w:val="19"/>
        </w:rPr>
        <w:t>paid</w:t>
      </w:r>
      <w:r>
        <w:rPr>
          <w:rFonts w:ascii="Arial"/>
          <w:color w:val="231F20"/>
          <w:spacing w:val="-5"/>
          <w:w w:val="115"/>
          <w:sz w:val="19"/>
        </w:rPr>
        <w:t> </w:t>
      </w:r>
      <w:r>
        <w:rPr>
          <w:rFonts w:ascii="Arial"/>
          <w:color w:val="231F20"/>
          <w:spacing w:val="-4"/>
          <w:w w:val="115"/>
          <w:sz w:val="19"/>
        </w:rPr>
        <w:t>off?</w:t>
      </w:r>
    </w:p>
    <w:p>
      <w:pPr>
        <w:spacing w:before="81"/>
        <w:ind w:left="1170" w:right="0" w:firstLine="0"/>
        <w:jc w:val="left"/>
        <w:rPr>
          <w:rFonts w:ascii="Arial"/>
          <w:sz w:val="19"/>
        </w:rPr>
      </w:pPr>
      <w:r>
        <w:rPr>
          <w:rFonts w:ascii="Arial"/>
          <w:color w:val="231F20"/>
          <w:w w:val="115"/>
          <w:sz w:val="19"/>
        </w:rPr>
        <w:t>How</w:t>
      </w:r>
      <w:r>
        <w:rPr>
          <w:rFonts w:ascii="Arial"/>
          <w:color w:val="231F20"/>
          <w:spacing w:val="-14"/>
          <w:w w:val="115"/>
          <w:sz w:val="19"/>
        </w:rPr>
        <w:t> </w:t>
      </w:r>
      <w:r>
        <w:rPr>
          <w:rFonts w:ascii="Arial"/>
          <w:color w:val="231F20"/>
          <w:w w:val="115"/>
          <w:sz w:val="19"/>
        </w:rPr>
        <w:t>is</w:t>
      </w:r>
      <w:r>
        <w:rPr>
          <w:rFonts w:ascii="Arial"/>
          <w:color w:val="231F20"/>
          <w:spacing w:val="-13"/>
          <w:w w:val="115"/>
          <w:sz w:val="19"/>
        </w:rPr>
        <w:t> </w:t>
      </w:r>
      <w:r>
        <w:rPr>
          <w:rFonts w:ascii="Arial"/>
          <w:color w:val="231F20"/>
          <w:w w:val="115"/>
          <w:sz w:val="19"/>
        </w:rPr>
        <w:t>the</w:t>
      </w:r>
      <w:r>
        <w:rPr>
          <w:rFonts w:ascii="Arial"/>
          <w:color w:val="231F20"/>
          <w:spacing w:val="-13"/>
          <w:w w:val="115"/>
          <w:sz w:val="19"/>
        </w:rPr>
        <w:t> </w:t>
      </w:r>
      <w:r>
        <w:rPr>
          <w:rFonts w:ascii="Arial"/>
          <w:color w:val="231F20"/>
          <w:w w:val="115"/>
          <w:sz w:val="19"/>
        </w:rPr>
        <w:t>cash</w:t>
      </w:r>
      <w:r>
        <w:rPr>
          <w:rFonts w:ascii="Arial"/>
          <w:color w:val="231F20"/>
          <w:spacing w:val="-13"/>
          <w:w w:val="115"/>
          <w:sz w:val="19"/>
        </w:rPr>
        <w:t> </w:t>
      </w:r>
      <w:r>
        <w:rPr>
          <w:rFonts w:ascii="Arial"/>
          <w:color w:val="231F20"/>
          <w:w w:val="115"/>
          <w:sz w:val="19"/>
        </w:rPr>
        <w:t>generated</w:t>
      </w:r>
      <w:r>
        <w:rPr>
          <w:rFonts w:ascii="Arial"/>
          <w:color w:val="231F20"/>
          <w:spacing w:val="-13"/>
          <w:w w:val="115"/>
          <w:sz w:val="19"/>
        </w:rPr>
        <w:t> </w:t>
      </w:r>
      <w:r>
        <w:rPr>
          <w:rFonts w:ascii="Arial"/>
          <w:color w:val="231F20"/>
          <w:w w:val="115"/>
          <w:sz w:val="19"/>
        </w:rPr>
        <w:t>by</w:t>
      </w:r>
      <w:r>
        <w:rPr>
          <w:rFonts w:ascii="Arial"/>
          <w:color w:val="231F20"/>
          <w:spacing w:val="-13"/>
          <w:w w:val="115"/>
          <w:sz w:val="19"/>
        </w:rPr>
        <w:t> </w:t>
      </w:r>
      <w:r>
        <w:rPr>
          <w:rFonts w:ascii="Arial"/>
          <w:color w:val="231F20"/>
          <w:w w:val="115"/>
          <w:sz w:val="19"/>
        </w:rPr>
        <w:t>operations</w:t>
      </w:r>
      <w:r>
        <w:rPr>
          <w:rFonts w:ascii="Arial"/>
          <w:color w:val="231F20"/>
          <w:spacing w:val="-13"/>
          <w:w w:val="115"/>
          <w:sz w:val="19"/>
        </w:rPr>
        <w:t> </w:t>
      </w:r>
      <w:r>
        <w:rPr>
          <w:rFonts w:ascii="Arial"/>
          <w:color w:val="231F20"/>
          <w:spacing w:val="-2"/>
          <w:w w:val="115"/>
          <w:sz w:val="19"/>
        </w:rPr>
        <w:t>used?</w:t>
      </w:r>
    </w:p>
    <w:p>
      <w:pPr>
        <w:spacing w:line="328" w:lineRule="auto" w:before="82"/>
        <w:ind w:left="1510" w:right="667" w:hanging="340"/>
        <w:jc w:val="left"/>
        <w:rPr>
          <w:rFonts w:ascii="Arial" w:hAnsi="Arial"/>
          <w:sz w:val="19"/>
        </w:rPr>
      </w:pPr>
      <w:r>
        <w:rPr>
          <w:rFonts w:ascii="Arial" w:hAnsi="Arial"/>
          <w:color w:val="231F20"/>
          <w:w w:val="115"/>
          <w:sz w:val="19"/>
        </w:rPr>
        <w:t>Are</w:t>
      </w:r>
      <w:r>
        <w:rPr>
          <w:rFonts w:ascii="Arial" w:hAnsi="Arial"/>
          <w:color w:val="231F20"/>
          <w:spacing w:val="-11"/>
          <w:w w:val="115"/>
          <w:sz w:val="19"/>
        </w:rPr>
        <w:t> </w:t>
      </w:r>
      <w:r>
        <w:rPr>
          <w:rFonts w:ascii="Arial" w:hAnsi="Arial"/>
          <w:color w:val="231F20"/>
          <w:w w:val="115"/>
          <w:sz w:val="19"/>
        </w:rPr>
        <w:t>management’s</w:t>
      </w:r>
      <w:r>
        <w:rPr>
          <w:rFonts w:ascii="Arial" w:hAnsi="Arial"/>
          <w:color w:val="231F20"/>
          <w:spacing w:val="-11"/>
          <w:w w:val="115"/>
          <w:sz w:val="19"/>
        </w:rPr>
        <w:t> </w:t>
      </w:r>
      <w:r>
        <w:rPr>
          <w:rFonts w:ascii="Arial" w:hAnsi="Arial"/>
          <w:color w:val="231F20"/>
          <w:w w:val="115"/>
          <w:sz w:val="19"/>
        </w:rPr>
        <w:t>stated</w:t>
      </w:r>
      <w:r>
        <w:rPr>
          <w:rFonts w:ascii="Arial" w:hAnsi="Arial"/>
          <w:color w:val="231F20"/>
          <w:spacing w:val="-11"/>
          <w:w w:val="115"/>
          <w:sz w:val="19"/>
        </w:rPr>
        <w:t> </w:t>
      </w:r>
      <w:r>
        <w:rPr>
          <w:rFonts w:ascii="Arial" w:hAnsi="Arial"/>
          <w:color w:val="231F20"/>
          <w:w w:val="115"/>
          <w:sz w:val="19"/>
        </w:rPr>
        <w:t>financial</w:t>
      </w:r>
      <w:r>
        <w:rPr>
          <w:rFonts w:ascii="Arial" w:hAnsi="Arial"/>
          <w:color w:val="231F20"/>
          <w:spacing w:val="-11"/>
          <w:w w:val="115"/>
          <w:sz w:val="19"/>
        </w:rPr>
        <w:t> </w:t>
      </w:r>
      <w:r>
        <w:rPr>
          <w:rFonts w:ascii="Arial" w:hAnsi="Arial"/>
          <w:color w:val="231F20"/>
          <w:w w:val="115"/>
          <w:sz w:val="19"/>
        </w:rPr>
        <w:t>policies</w:t>
      </w:r>
      <w:r>
        <w:rPr>
          <w:rFonts w:ascii="Arial" w:hAnsi="Arial"/>
          <w:color w:val="231F20"/>
          <w:spacing w:val="-11"/>
          <w:w w:val="115"/>
          <w:sz w:val="19"/>
        </w:rPr>
        <w:t> </w:t>
      </w:r>
      <w:r>
        <w:rPr>
          <w:rFonts w:ascii="Arial" w:hAnsi="Arial"/>
          <w:color w:val="231F20"/>
          <w:w w:val="115"/>
          <w:sz w:val="19"/>
        </w:rPr>
        <w:t>reflected</w:t>
      </w:r>
      <w:r>
        <w:rPr>
          <w:rFonts w:ascii="Arial" w:hAnsi="Arial"/>
          <w:color w:val="231F20"/>
          <w:spacing w:val="-11"/>
          <w:w w:val="115"/>
          <w:sz w:val="19"/>
        </w:rPr>
        <w:t> </w:t>
      </w:r>
      <w:r>
        <w:rPr>
          <w:rFonts w:ascii="Arial" w:hAnsi="Arial"/>
          <w:color w:val="231F20"/>
          <w:w w:val="115"/>
          <w:sz w:val="19"/>
        </w:rPr>
        <w:t>in</w:t>
      </w:r>
      <w:r>
        <w:rPr>
          <w:rFonts w:ascii="Arial" w:hAnsi="Arial"/>
          <w:color w:val="231F20"/>
          <w:spacing w:val="-11"/>
          <w:w w:val="115"/>
          <w:sz w:val="19"/>
        </w:rPr>
        <w:t> </w:t>
      </w:r>
      <w:r>
        <w:rPr>
          <w:rFonts w:ascii="Arial" w:hAnsi="Arial"/>
          <w:color w:val="231F20"/>
          <w:w w:val="115"/>
          <w:sz w:val="19"/>
        </w:rPr>
        <w:t>the cash flow?</w:t>
      </w:r>
    </w:p>
    <w:p>
      <w:pPr>
        <w:pStyle w:val="BodyText"/>
        <w:spacing w:before="8"/>
        <w:rPr>
          <w:rFonts w:ascii="Arial"/>
          <w:sz w:val="28"/>
        </w:rPr>
      </w:pPr>
    </w:p>
    <w:p>
      <w:pPr>
        <w:pStyle w:val="BodyText"/>
        <w:spacing w:line="292" w:lineRule="auto"/>
        <w:ind w:left="830" w:right="667"/>
      </w:pPr>
      <w:r>
        <w:rPr>
          <w:color w:val="231F20"/>
        </w:rPr>
        <w:t>By using a statement of cash flows, managers can plan and </w:t>
      </w:r>
      <w:r>
        <w:rPr>
          <w:color w:val="231F20"/>
        </w:rPr>
        <w:t>manage</w:t>
      </w:r>
      <w:r>
        <w:rPr>
          <w:color w:val="231F20"/>
          <w:spacing w:val="40"/>
        </w:rPr>
        <w:t> </w:t>
      </w:r>
      <w:r>
        <w:rPr>
          <w:color w:val="231F20"/>
        </w:rPr>
        <w:t>their cash sources and needs from three types of business activities:</w:t>
      </w:r>
    </w:p>
    <w:p>
      <w:pPr>
        <w:pStyle w:val="BodyText"/>
        <w:spacing w:before="7"/>
        <w:rPr>
          <w:sz w:val="31"/>
        </w:rPr>
      </w:pPr>
    </w:p>
    <w:p>
      <w:pPr>
        <w:spacing w:line="328" w:lineRule="auto" w:before="0"/>
        <w:ind w:left="1170" w:right="4157" w:firstLine="0"/>
        <w:jc w:val="left"/>
        <w:rPr>
          <w:rFonts w:ascii="Arial"/>
          <w:sz w:val="19"/>
        </w:rPr>
      </w:pPr>
      <w:r>
        <w:rPr>
          <w:rFonts w:ascii="Arial"/>
          <w:color w:val="231F20"/>
          <w:w w:val="115"/>
          <w:sz w:val="19"/>
        </w:rPr>
        <w:t>Operations</w:t>
      </w:r>
      <w:r>
        <w:rPr>
          <w:rFonts w:ascii="Arial"/>
          <w:color w:val="231F20"/>
          <w:spacing w:val="-16"/>
          <w:w w:val="115"/>
          <w:sz w:val="19"/>
        </w:rPr>
        <w:t> </w:t>
      </w:r>
      <w:r>
        <w:rPr>
          <w:rFonts w:ascii="Arial"/>
          <w:color w:val="231F20"/>
          <w:w w:val="115"/>
          <w:sz w:val="19"/>
        </w:rPr>
        <w:t>Activities Investing Activities Financing Activities</w:t>
      </w:r>
    </w:p>
    <w:p>
      <w:pPr>
        <w:pStyle w:val="BodyText"/>
        <w:spacing w:before="9"/>
        <w:rPr>
          <w:rFonts w:ascii="Arial"/>
          <w:sz w:val="28"/>
        </w:rPr>
      </w:pPr>
    </w:p>
    <w:p>
      <w:pPr>
        <w:pStyle w:val="BodyText"/>
        <w:ind w:left="830"/>
      </w:pPr>
      <w:r>
        <w:rPr>
          <w:color w:val="231F20"/>
        </w:rPr>
        <w:t>These</w:t>
      </w:r>
      <w:r>
        <w:rPr>
          <w:color w:val="231F20"/>
          <w:spacing w:val="4"/>
        </w:rPr>
        <w:t> </w:t>
      </w:r>
      <w:r>
        <w:rPr>
          <w:color w:val="231F20"/>
        </w:rPr>
        <w:t>activities</w:t>
      </w:r>
      <w:r>
        <w:rPr>
          <w:color w:val="231F20"/>
          <w:spacing w:val="5"/>
        </w:rPr>
        <w:t> </w:t>
      </w:r>
      <w:r>
        <w:rPr>
          <w:color w:val="231F20"/>
        </w:rPr>
        <w:t>are</w:t>
      </w:r>
      <w:r>
        <w:rPr>
          <w:color w:val="231F20"/>
          <w:spacing w:val="5"/>
        </w:rPr>
        <w:t> </w:t>
      </w:r>
      <w:r>
        <w:rPr>
          <w:color w:val="231F20"/>
        </w:rPr>
        <w:t>shown</w:t>
      </w:r>
      <w:r>
        <w:rPr>
          <w:color w:val="231F20"/>
          <w:spacing w:val="5"/>
        </w:rPr>
        <w:t> </w:t>
      </w:r>
      <w:r>
        <w:rPr>
          <w:color w:val="231F20"/>
        </w:rPr>
        <w:t>clearly</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cash</w:t>
      </w:r>
      <w:r>
        <w:rPr>
          <w:color w:val="231F20"/>
          <w:spacing w:val="5"/>
        </w:rPr>
        <w:t> </w:t>
      </w:r>
      <w:r>
        <w:rPr>
          <w:color w:val="231F20"/>
        </w:rPr>
        <w:t>flow</w:t>
      </w:r>
      <w:r>
        <w:rPr>
          <w:color w:val="231F20"/>
          <w:spacing w:val="5"/>
        </w:rPr>
        <w:t> </w:t>
      </w:r>
      <w:r>
        <w:rPr>
          <w:color w:val="231F20"/>
          <w:spacing w:val="-2"/>
        </w:rPr>
        <w:t>statements.</w:t>
      </w:r>
    </w:p>
    <w:p>
      <w:pPr>
        <w:pStyle w:val="BodyText"/>
        <w:rPr>
          <w:sz w:val="24"/>
        </w:rPr>
      </w:pPr>
    </w:p>
    <w:p>
      <w:pPr>
        <w:spacing w:before="144"/>
        <w:ind w:left="1170" w:right="0" w:firstLine="0"/>
        <w:jc w:val="left"/>
        <w:rPr>
          <w:rFonts w:ascii="Arial"/>
          <w:i/>
          <w:sz w:val="19"/>
        </w:rPr>
      </w:pPr>
      <w:r>
        <w:rPr>
          <w:rFonts w:ascii="Arial"/>
          <w:i/>
          <w:color w:val="231F20"/>
          <w:w w:val="115"/>
          <w:sz w:val="19"/>
        </w:rPr>
        <w:t>A</w:t>
      </w:r>
      <w:r>
        <w:rPr>
          <w:rFonts w:ascii="Arial"/>
          <w:i/>
          <w:color w:val="231F20"/>
          <w:spacing w:val="-14"/>
          <w:w w:val="115"/>
          <w:sz w:val="19"/>
        </w:rPr>
        <w:t> </w:t>
      </w:r>
      <w:r>
        <w:rPr>
          <w:rFonts w:ascii="Arial"/>
          <w:i/>
          <w:color w:val="231F20"/>
          <w:w w:val="115"/>
          <w:sz w:val="19"/>
        </w:rPr>
        <w:t>Cash</w:t>
      </w:r>
      <w:r>
        <w:rPr>
          <w:rFonts w:ascii="Arial"/>
          <w:i/>
          <w:color w:val="231F20"/>
          <w:spacing w:val="-14"/>
          <w:w w:val="115"/>
          <w:sz w:val="19"/>
        </w:rPr>
        <w:t> </w:t>
      </w:r>
      <w:r>
        <w:rPr>
          <w:rFonts w:ascii="Arial"/>
          <w:i/>
          <w:color w:val="231F20"/>
          <w:w w:val="115"/>
          <w:sz w:val="19"/>
        </w:rPr>
        <w:t>Flow</w:t>
      </w:r>
      <w:r>
        <w:rPr>
          <w:rFonts w:ascii="Arial"/>
          <w:i/>
          <w:color w:val="231F20"/>
          <w:spacing w:val="-14"/>
          <w:w w:val="115"/>
          <w:sz w:val="19"/>
        </w:rPr>
        <w:t> </w:t>
      </w:r>
      <w:r>
        <w:rPr>
          <w:rFonts w:ascii="Arial"/>
          <w:i/>
          <w:color w:val="231F20"/>
          <w:w w:val="115"/>
          <w:sz w:val="19"/>
        </w:rPr>
        <w:t>Statement</w:t>
      </w:r>
      <w:r>
        <w:rPr>
          <w:rFonts w:ascii="Arial"/>
          <w:i/>
          <w:color w:val="231F20"/>
          <w:spacing w:val="-14"/>
          <w:w w:val="115"/>
          <w:sz w:val="19"/>
        </w:rPr>
        <w:t> </w:t>
      </w:r>
      <w:r>
        <w:rPr>
          <w:rFonts w:ascii="Arial"/>
          <w:i/>
          <w:color w:val="231F20"/>
          <w:spacing w:val="-2"/>
          <w:w w:val="115"/>
          <w:sz w:val="19"/>
        </w:rPr>
        <w:t>Example</w:t>
      </w:r>
    </w:p>
    <w:p>
      <w:pPr>
        <w:pStyle w:val="BodyText"/>
        <w:spacing w:line="292" w:lineRule="auto" w:before="60"/>
        <w:ind w:left="830" w:right="756" w:firstLine="340"/>
        <w:jc w:val="both"/>
      </w:pPr>
      <w:r>
        <w:rPr>
          <w:color w:val="231F20"/>
        </w:rPr>
        <w:t>Let’s</w:t>
      </w:r>
      <w:r>
        <w:rPr>
          <w:color w:val="231F20"/>
          <w:spacing w:val="34"/>
        </w:rPr>
        <w:t> </w:t>
      </w:r>
      <w:r>
        <w:rPr>
          <w:color w:val="231F20"/>
        </w:rPr>
        <w:t>look</w:t>
      </w:r>
      <w:r>
        <w:rPr>
          <w:color w:val="231F20"/>
          <w:spacing w:val="34"/>
        </w:rPr>
        <w:t> </w:t>
      </w:r>
      <w:r>
        <w:rPr>
          <w:color w:val="231F20"/>
        </w:rPr>
        <w:t>at</w:t>
      </w:r>
      <w:r>
        <w:rPr>
          <w:color w:val="231F20"/>
          <w:spacing w:val="34"/>
        </w:rPr>
        <w:t> </w:t>
      </w:r>
      <w:r>
        <w:rPr>
          <w:color w:val="231F20"/>
        </w:rPr>
        <w:t>Bob’s</w:t>
      </w:r>
      <w:r>
        <w:rPr>
          <w:color w:val="231F20"/>
          <w:spacing w:val="34"/>
        </w:rPr>
        <w:t> </w:t>
      </w:r>
      <w:r>
        <w:rPr>
          <w:color w:val="231F20"/>
        </w:rPr>
        <w:t>Market</w:t>
      </w:r>
      <w:r>
        <w:rPr>
          <w:color w:val="231F20"/>
          <w:spacing w:val="34"/>
        </w:rPr>
        <w:t> </w:t>
      </w:r>
      <w:r>
        <w:rPr>
          <w:color w:val="231F20"/>
        </w:rPr>
        <w:t>as</w:t>
      </w:r>
      <w:r>
        <w:rPr>
          <w:color w:val="231F20"/>
          <w:spacing w:val="34"/>
        </w:rPr>
        <w:t> </w:t>
      </w:r>
      <w:r>
        <w:rPr>
          <w:color w:val="231F20"/>
        </w:rPr>
        <w:t>a</w:t>
      </w:r>
      <w:r>
        <w:rPr>
          <w:color w:val="231F20"/>
          <w:spacing w:val="34"/>
        </w:rPr>
        <w:t> </w:t>
      </w:r>
      <w:r>
        <w:rPr>
          <w:color w:val="231F20"/>
        </w:rPr>
        <w:t>springboard</w:t>
      </w:r>
      <w:r>
        <w:rPr>
          <w:color w:val="231F20"/>
          <w:spacing w:val="34"/>
        </w:rPr>
        <w:t> </w:t>
      </w:r>
      <w:r>
        <w:rPr>
          <w:color w:val="231F20"/>
        </w:rPr>
        <w:t>from</w:t>
      </w:r>
      <w:r>
        <w:rPr>
          <w:color w:val="231F20"/>
          <w:spacing w:val="34"/>
        </w:rPr>
        <w:t> </w:t>
      </w:r>
      <w:r>
        <w:rPr>
          <w:color w:val="231F20"/>
        </w:rPr>
        <w:t>my</w:t>
      </w:r>
      <w:r>
        <w:rPr>
          <w:color w:val="231F20"/>
          <w:spacing w:val="34"/>
        </w:rPr>
        <w:t> </w:t>
      </w:r>
      <w:r>
        <w:rPr>
          <w:color w:val="231F20"/>
        </w:rPr>
        <w:t>theoreti- cal discussion and get into an actual cash flow statement, found on page 99.</w:t>
      </w:r>
    </w:p>
    <w:p>
      <w:pPr>
        <w:pStyle w:val="BodyText"/>
        <w:spacing w:before="8"/>
        <w:rPr>
          <w:sz w:val="29"/>
        </w:rPr>
      </w:pPr>
    </w:p>
    <w:p>
      <w:pPr>
        <w:pStyle w:val="BodyText"/>
        <w:spacing w:line="292" w:lineRule="auto" w:before="1"/>
        <w:ind w:left="830" w:right="755" w:firstLine="340"/>
        <w:jc w:val="both"/>
      </w:pPr>
      <w:r>
        <w:rPr>
          <w:color w:val="231F20"/>
        </w:rPr>
        <w:t>It is easy to get too wrapped up in the numbers and not </w:t>
      </w:r>
      <w:r>
        <w:rPr>
          <w:color w:val="231F20"/>
        </w:rPr>
        <w:t>really grasp the logic behind the preparation of the statement. Therefore, let’s look at each entry separately and explain the logic behind it.</w:t>
      </w:r>
      <w:r>
        <w:rPr>
          <w:color w:val="231F20"/>
          <w:spacing w:val="80"/>
          <w:w w:val="150"/>
        </w:rPr>
        <w:t> </w:t>
      </w:r>
      <w:r>
        <w:rPr>
          <w:color w:val="231F20"/>
        </w:rPr>
        <w:t>The MBA’s accounting education focuses on the logic behind the numbers, while undergraduate programs focus primarily on the ac- counting</w:t>
      </w:r>
      <w:r>
        <w:rPr>
          <w:color w:val="231F20"/>
          <w:spacing w:val="40"/>
        </w:rPr>
        <w:t> </w:t>
      </w:r>
      <w:r>
        <w:rPr>
          <w:color w:val="231F20"/>
        </w:rPr>
        <w:t>mechanics</w:t>
      </w:r>
      <w:r>
        <w:rPr>
          <w:color w:val="231F20"/>
          <w:spacing w:val="40"/>
        </w:rPr>
        <w:t> </w:t>
      </w:r>
      <w:r>
        <w:rPr>
          <w:color w:val="231F20"/>
        </w:rPr>
        <w:t>to</w:t>
      </w:r>
      <w:r>
        <w:rPr>
          <w:color w:val="231F20"/>
          <w:spacing w:val="40"/>
        </w:rPr>
        <w:t> </w:t>
      </w:r>
      <w:r>
        <w:rPr>
          <w:color w:val="231F20"/>
        </w:rPr>
        <w:t>turn</w:t>
      </w:r>
      <w:r>
        <w:rPr>
          <w:color w:val="231F20"/>
          <w:spacing w:val="40"/>
        </w:rPr>
        <w:t> </w:t>
      </w:r>
      <w:r>
        <w:rPr>
          <w:color w:val="231F20"/>
        </w:rPr>
        <w:t>out</w:t>
      </w:r>
      <w:r>
        <w:rPr>
          <w:color w:val="231F20"/>
          <w:spacing w:val="40"/>
        </w:rPr>
        <w:t> </w:t>
      </w:r>
      <w:r>
        <w:rPr>
          <w:color w:val="231F20"/>
        </w:rPr>
        <w:t>CPAs,</w:t>
      </w:r>
      <w:r>
        <w:rPr>
          <w:color w:val="231F20"/>
          <w:spacing w:val="40"/>
        </w:rPr>
        <w:t> </w:t>
      </w:r>
      <w:r>
        <w:rPr>
          <w:color w:val="231F20"/>
        </w:rPr>
        <w:t>not</w:t>
      </w:r>
      <w:r>
        <w:rPr>
          <w:color w:val="231F20"/>
          <w:spacing w:val="40"/>
        </w:rPr>
        <w:t> </w:t>
      </w:r>
      <w:r>
        <w:rPr>
          <w:color w:val="231F20"/>
        </w:rPr>
        <w:t>MBA</w:t>
      </w:r>
      <w:r>
        <w:rPr>
          <w:color w:val="231F20"/>
          <w:spacing w:val="40"/>
        </w:rPr>
        <w:t> </w:t>
      </w:r>
      <w:r>
        <w:rPr>
          <w:color w:val="231F20"/>
        </w:rPr>
        <w:t>managers.</w:t>
      </w:r>
    </w:p>
    <w:p>
      <w:pPr>
        <w:pStyle w:val="BodyText"/>
        <w:spacing w:line="292" w:lineRule="auto"/>
        <w:ind w:left="830" w:right="756" w:firstLine="340"/>
        <w:jc w:val="both"/>
      </w:pPr>
      <w:r>
        <w:rPr>
          <w:color w:val="231F20"/>
        </w:rPr>
        <w:t>Please refer to Bob’s cash flow statement during the following </w:t>
      </w:r>
      <w:r>
        <w:rPr>
          <w:color w:val="231F20"/>
          <w:spacing w:val="-2"/>
        </w:rPr>
        <w:t>discussion.</w:t>
      </w:r>
    </w:p>
    <w:p>
      <w:pPr>
        <w:spacing w:after="0" w:line="292" w:lineRule="auto"/>
        <w:jc w:val="both"/>
        <w:sectPr>
          <w:pgSz w:w="8640" w:h="12960"/>
          <w:pgMar w:header="732" w:footer="0" w:top="920" w:bottom="280" w:left="340" w:right="500"/>
        </w:sectPr>
      </w:pPr>
    </w:p>
    <w:p>
      <w:pPr>
        <w:pStyle w:val="BodyText"/>
        <w:spacing w:before="2"/>
        <w:rPr>
          <w:sz w:val="19"/>
        </w:rPr>
      </w:pPr>
    </w:p>
    <w:p>
      <w:pPr>
        <w:spacing w:before="99"/>
        <w:ind w:left="1260" w:right="0" w:firstLine="0"/>
        <w:jc w:val="left"/>
        <w:rPr>
          <w:rFonts w:ascii="Arial"/>
          <w:i/>
          <w:sz w:val="19"/>
        </w:rPr>
      </w:pPr>
      <w:r>
        <w:rPr>
          <w:rFonts w:ascii="Arial"/>
          <w:i/>
          <w:color w:val="231F20"/>
          <w:w w:val="115"/>
          <w:sz w:val="19"/>
        </w:rPr>
        <w:t>Operating</w:t>
      </w:r>
      <w:r>
        <w:rPr>
          <w:rFonts w:ascii="Arial"/>
          <w:i/>
          <w:color w:val="231F20"/>
          <w:spacing w:val="4"/>
          <w:w w:val="120"/>
          <w:sz w:val="19"/>
        </w:rPr>
        <w:t> </w:t>
      </w:r>
      <w:r>
        <w:rPr>
          <w:rFonts w:ascii="Arial"/>
          <w:i/>
          <w:color w:val="231F20"/>
          <w:spacing w:val="-2"/>
          <w:w w:val="120"/>
          <w:sz w:val="19"/>
        </w:rPr>
        <w:t>Activities</w:t>
      </w:r>
    </w:p>
    <w:p>
      <w:pPr>
        <w:pStyle w:val="BodyText"/>
        <w:spacing w:line="292" w:lineRule="auto" w:before="60"/>
        <w:ind w:left="920" w:right="663" w:firstLine="340"/>
        <w:jc w:val="both"/>
      </w:pPr>
      <w:r>
        <w:rPr>
          <w:color w:val="231F20"/>
        </w:rPr>
        <w:t>In</w:t>
      </w:r>
      <w:r>
        <w:rPr>
          <w:color w:val="231F20"/>
          <w:spacing w:val="40"/>
        </w:rPr>
        <w:t> </w:t>
      </w:r>
      <w:r>
        <w:rPr>
          <w:color w:val="231F20"/>
        </w:rPr>
        <w:t>the</w:t>
      </w:r>
      <w:r>
        <w:rPr>
          <w:color w:val="231F20"/>
          <w:spacing w:val="40"/>
        </w:rPr>
        <w:t> </w:t>
      </w:r>
      <w:r>
        <w:rPr>
          <w:i/>
          <w:color w:val="231F20"/>
        </w:rPr>
        <w:t>Operating</w:t>
      </w:r>
      <w:r>
        <w:rPr>
          <w:i/>
          <w:color w:val="231F20"/>
          <w:spacing w:val="40"/>
        </w:rPr>
        <w:t> </w:t>
      </w:r>
      <w:r>
        <w:rPr>
          <w:i/>
          <w:color w:val="231F20"/>
        </w:rPr>
        <w:t>Activities</w:t>
      </w:r>
      <w:r>
        <w:rPr>
          <w:i/>
          <w:color w:val="231F20"/>
          <w:spacing w:val="40"/>
        </w:rPr>
        <w:t> </w:t>
      </w:r>
      <w:r>
        <w:rPr>
          <w:color w:val="231F20"/>
        </w:rPr>
        <w:t>section,</w:t>
      </w:r>
      <w:r>
        <w:rPr>
          <w:color w:val="231F20"/>
          <w:spacing w:val="40"/>
        </w:rPr>
        <w:t> </w:t>
      </w:r>
      <w:r>
        <w:rPr>
          <w:color w:val="231F20"/>
        </w:rPr>
        <w:t>accountants</w:t>
      </w:r>
      <w:r>
        <w:rPr>
          <w:color w:val="231F20"/>
          <w:spacing w:val="40"/>
        </w:rPr>
        <w:t> </w:t>
      </w:r>
      <w:r>
        <w:rPr>
          <w:color w:val="231F20"/>
        </w:rPr>
        <w:t>calculate</w:t>
      </w:r>
      <w:r>
        <w:rPr>
          <w:color w:val="231F20"/>
          <w:spacing w:val="40"/>
        </w:rPr>
        <w:t> </w:t>
      </w:r>
      <w:r>
        <w:rPr>
          <w:color w:val="231F20"/>
        </w:rPr>
        <w:t>the cash generated from the day-to-day operating activities of a busi- ness. The income statement showed “accounting profit” of </w:t>
      </w:r>
      <w:r>
        <w:rPr>
          <w:color w:val="231F20"/>
        </w:rPr>
        <w:t>$30,000 for Bob, but it did not show how much </w:t>
      </w:r>
      <w:r>
        <w:rPr>
          <w:i/>
          <w:color w:val="231F20"/>
        </w:rPr>
        <w:t>cash </w:t>
      </w:r>
      <w:r>
        <w:rPr>
          <w:color w:val="231F20"/>
        </w:rPr>
        <w:t>was used or generated</w:t>
      </w:r>
      <w:r>
        <w:rPr>
          <w:color w:val="231F20"/>
          <w:spacing w:val="80"/>
        </w:rPr>
        <w:t> </w:t>
      </w:r>
      <w:r>
        <w:rPr>
          <w:color w:val="231F20"/>
        </w:rPr>
        <w:t>by his operations. As I explained earlier, most companies use </w:t>
      </w:r>
      <w:r>
        <w:rPr>
          <w:i/>
          <w:color w:val="231F20"/>
        </w:rPr>
        <w:t>accrual</w:t>
      </w:r>
      <w:r>
        <w:rPr>
          <w:i/>
          <w:color w:val="231F20"/>
        </w:rPr>
        <w:t> basis accounting, </w:t>
      </w:r>
      <w:r>
        <w:rPr>
          <w:color w:val="231F20"/>
        </w:rPr>
        <w:t>as Bob has, to determine his net income. The cash flow statement converts that accrual basis net income to a cash</w:t>
      </w:r>
      <w:r>
        <w:rPr>
          <w:color w:val="231F20"/>
          <w:spacing w:val="80"/>
        </w:rPr>
        <w:t> </w:t>
      </w:r>
      <w:r>
        <w:rPr>
          <w:color w:val="231F20"/>
        </w:rPr>
        <w:t>basis. To do that the net income has to be adjusted in two ways to</w:t>
      </w:r>
      <w:r>
        <w:rPr>
          <w:color w:val="231F20"/>
          <w:spacing w:val="80"/>
          <w:w w:val="150"/>
        </w:rPr>
        <w:t> </w:t>
      </w:r>
      <w:r>
        <w:rPr>
          <w:color w:val="231F20"/>
        </w:rPr>
        <w:t>get back to a cash basis.</w:t>
      </w:r>
    </w:p>
    <w:p>
      <w:pPr>
        <w:pStyle w:val="BodyText"/>
        <w:spacing w:before="3"/>
        <w:rPr>
          <w:sz w:val="25"/>
        </w:rPr>
      </w:pPr>
    </w:p>
    <w:p>
      <w:pPr>
        <w:pStyle w:val="BodyText"/>
        <w:spacing w:line="292" w:lineRule="auto" w:before="1"/>
        <w:ind w:left="920" w:right="666"/>
        <w:jc w:val="both"/>
      </w:pPr>
      <w:r>
        <w:rPr>
          <w:i/>
          <w:color w:val="231F20"/>
        </w:rPr>
        <w:t>Step 1. Adjust Net Income for Noncash Expenses. </w:t>
      </w:r>
      <w:r>
        <w:rPr>
          <w:color w:val="231F20"/>
        </w:rPr>
        <w:t>The first step </w:t>
      </w:r>
      <w:r>
        <w:rPr>
          <w:color w:val="231F20"/>
        </w:rPr>
        <w:t>to determine the flow of cash is to adjust the net income from the in- come statement. Operating items that did not use cash, but were de- ducted in the income statement as an expense, must be added back. </w:t>
      </w:r>
      <w:r>
        <w:rPr>
          <w:i/>
          <w:color w:val="231F20"/>
        </w:rPr>
        <w:t>Depreciation, </w:t>
      </w:r>
      <w:r>
        <w:rPr>
          <w:color w:val="231F20"/>
        </w:rPr>
        <w:t>as explained in the income statement section, does not actually take the company’s cash “out the door.” Only when Bob purchased the carts, registers, and displays was cash used. But over the life of these assets, depreciation is only an “accounting cost” that </w:t>
      </w:r>
      <w:r>
        <w:rPr>
          <w:i/>
          <w:color w:val="231F20"/>
        </w:rPr>
        <w:t>matches </w:t>
      </w:r>
      <w:r>
        <w:rPr>
          <w:color w:val="231F20"/>
        </w:rPr>
        <w:t>the original cash expenditure for these assets with the sales they benefit. Therefore, depreciation must be added back. It is not a use</w:t>
      </w:r>
      <w:r>
        <w:rPr>
          <w:color w:val="231F20"/>
          <w:spacing w:val="-3"/>
        </w:rPr>
        <w:t> </w:t>
      </w:r>
      <w:r>
        <w:rPr>
          <w:color w:val="231F20"/>
        </w:rPr>
        <w:t>of</w:t>
      </w:r>
      <w:r>
        <w:rPr>
          <w:color w:val="231F20"/>
          <w:spacing w:val="-3"/>
        </w:rPr>
        <w:t> </w:t>
      </w:r>
      <w:r>
        <w:rPr>
          <w:color w:val="231F20"/>
        </w:rPr>
        <w:t>cash.</w:t>
      </w:r>
      <w:r>
        <w:rPr>
          <w:color w:val="231F20"/>
          <w:spacing w:val="-3"/>
        </w:rPr>
        <w:t> </w:t>
      </w:r>
      <w:r>
        <w:rPr>
          <w:color w:val="231F20"/>
        </w:rPr>
        <w:t>The</w:t>
      </w:r>
      <w:r>
        <w:rPr>
          <w:color w:val="231F20"/>
          <w:spacing w:val="-3"/>
        </w:rPr>
        <w:t> </w:t>
      </w:r>
      <w:r>
        <w:rPr>
          <w:color w:val="231F20"/>
        </w:rPr>
        <w:t>purchases</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assets</w:t>
      </w:r>
      <w:r>
        <w:rPr>
          <w:color w:val="231F20"/>
          <w:spacing w:val="-3"/>
        </w:rPr>
        <w:t> </w:t>
      </w:r>
      <w:r>
        <w:rPr>
          <w:color w:val="231F20"/>
        </w:rPr>
        <w:t>themselves</w:t>
      </w:r>
      <w:r>
        <w:rPr>
          <w:color w:val="231F20"/>
          <w:spacing w:val="-3"/>
        </w:rPr>
        <w:t> </w:t>
      </w:r>
      <w:r>
        <w:rPr>
          <w:color w:val="231F20"/>
        </w:rPr>
        <w:t>are</w:t>
      </w:r>
      <w:r>
        <w:rPr>
          <w:color w:val="231F20"/>
          <w:spacing w:val="-3"/>
        </w:rPr>
        <w:t> </w:t>
      </w:r>
      <w:r>
        <w:rPr>
          <w:color w:val="231F20"/>
        </w:rPr>
        <w:t>included</w:t>
      </w:r>
      <w:r>
        <w:rPr>
          <w:color w:val="231F20"/>
          <w:spacing w:val="-3"/>
        </w:rPr>
        <w:t> </w:t>
      </w:r>
      <w:r>
        <w:rPr>
          <w:color w:val="231F20"/>
        </w:rPr>
        <w:t>later in the </w:t>
      </w:r>
      <w:r>
        <w:rPr>
          <w:i/>
          <w:color w:val="231F20"/>
        </w:rPr>
        <w:t>Investing Activities </w:t>
      </w:r>
      <w:r>
        <w:rPr>
          <w:color w:val="231F20"/>
        </w:rPr>
        <w:t>section.</w:t>
      </w:r>
    </w:p>
    <w:p>
      <w:pPr>
        <w:pStyle w:val="BodyText"/>
        <w:spacing w:before="2"/>
        <w:rPr>
          <w:sz w:val="25"/>
        </w:rPr>
      </w:pPr>
    </w:p>
    <w:p>
      <w:pPr>
        <w:spacing w:line="292" w:lineRule="auto" w:before="0"/>
        <w:ind w:left="920" w:right="666" w:firstLine="0"/>
        <w:jc w:val="both"/>
        <w:rPr>
          <w:sz w:val="21"/>
        </w:rPr>
      </w:pPr>
      <w:r>
        <w:rPr>
          <w:i/>
          <w:color w:val="231F20"/>
          <w:sz w:val="21"/>
        </w:rPr>
        <w:t>Step 2. Adjust Net Income for Changes in Working Capital. </w:t>
      </w:r>
      <w:r>
        <w:rPr>
          <w:color w:val="231F20"/>
          <w:sz w:val="21"/>
        </w:rPr>
        <w:t>Net </w:t>
      </w:r>
      <w:r>
        <w:rPr>
          <w:color w:val="231F20"/>
          <w:sz w:val="21"/>
        </w:rPr>
        <w:t>in-</w:t>
      </w:r>
      <w:r>
        <w:rPr>
          <w:color w:val="231F20"/>
          <w:spacing w:val="40"/>
          <w:sz w:val="21"/>
        </w:rPr>
        <w:t> </w:t>
      </w:r>
      <w:r>
        <w:rPr>
          <w:color w:val="231F20"/>
          <w:sz w:val="21"/>
        </w:rPr>
        <w:t>come</w:t>
      </w:r>
      <w:r>
        <w:rPr>
          <w:color w:val="231F20"/>
          <w:spacing w:val="-4"/>
          <w:sz w:val="21"/>
        </w:rPr>
        <w:t> </w:t>
      </w:r>
      <w:r>
        <w:rPr>
          <w:color w:val="231F20"/>
          <w:sz w:val="21"/>
        </w:rPr>
        <w:t>must</w:t>
      </w:r>
      <w:r>
        <w:rPr>
          <w:color w:val="231F20"/>
          <w:spacing w:val="-4"/>
          <w:sz w:val="21"/>
        </w:rPr>
        <w:t> </w:t>
      </w:r>
      <w:r>
        <w:rPr>
          <w:color w:val="231F20"/>
          <w:sz w:val="21"/>
        </w:rPr>
        <w:t>also</w:t>
      </w:r>
      <w:r>
        <w:rPr>
          <w:color w:val="231F20"/>
          <w:spacing w:val="-4"/>
          <w:sz w:val="21"/>
        </w:rPr>
        <w:t> </w:t>
      </w:r>
      <w:r>
        <w:rPr>
          <w:color w:val="231F20"/>
          <w:sz w:val="21"/>
        </w:rPr>
        <w:t>be</w:t>
      </w:r>
      <w:r>
        <w:rPr>
          <w:color w:val="231F20"/>
          <w:spacing w:val="-4"/>
          <w:sz w:val="21"/>
        </w:rPr>
        <w:t> </w:t>
      </w:r>
      <w:r>
        <w:rPr>
          <w:color w:val="231F20"/>
          <w:sz w:val="21"/>
        </w:rPr>
        <w:t>adjusted</w:t>
      </w:r>
      <w:r>
        <w:rPr>
          <w:color w:val="231F20"/>
          <w:spacing w:val="-4"/>
          <w:sz w:val="21"/>
        </w:rPr>
        <w:t> </w:t>
      </w:r>
      <w:r>
        <w:rPr>
          <w:color w:val="231F20"/>
          <w:sz w:val="21"/>
        </w:rPr>
        <w:t>for</w:t>
      </w:r>
      <w:r>
        <w:rPr>
          <w:color w:val="231F20"/>
          <w:spacing w:val="-4"/>
          <w:sz w:val="21"/>
        </w:rPr>
        <w:t> </w:t>
      </w:r>
      <w:r>
        <w:rPr>
          <w:color w:val="231F20"/>
          <w:sz w:val="21"/>
        </w:rPr>
        <w:t>the</w:t>
      </w:r>
      <w:r>
        <w:rPr>
          <w:color w:val="231F20"/>
          <w:spacing w:val="-4"/>
          <w:sz w:val="21"/>
        </w:rPr>
        <w:t> </w:t>
      </w:r>
      <w:r>
        <w:rPr>
          <w:color w:val="231F20"/>
          <w:sz w:val="21"/>
        </w:rPr>
        <w:t>changes</w:t>
      </w:r>
      <w:r>
        <w:rPr>
          <w:color w:val="231F20"/>
          <w:spacing w:val="-4"/>
          <w:sz w:val="21"/>
        </w:rPr>
        <w:t> </w:t>
      </w:r>
      <w:r>
        <w:rPr>
          <w:color w:val="231F20"/>
          <w:sz w:val="21"/>
        </w:rPr>
        <w:t>in</w:t>
      </w:r>
      <w:r>
        <w:rPr>
          <w:color w:val="231F20"/>
          <w:spacing w:val="-4"/>
          <w:sz w:val="21"/>
        </w:rPr>
        <w:t> </w:t>
      </w:r>
      <w:r>
        <w:rPr>
          <w:color w:val="231F20"/>
          <w:sz w:val="21"/>
        </w:rPr>
        <w:t>current</w:t>
      </w:r>
      <w:r>
        <w:rPr>
          <w:color w:val="231F20"/>
          <w:spacing w:val="-4"/>
          <w:sz w:val="21"/>
        </w:rPr>
        <w:t> </w:t>
      </w:r>
      <w:r>
        <w:rPr>
          <w:color w:val="231F20"/>
          <w:sz w:val="21"/>
        </w:rPr>
        <w:t>assets</w:t>
      </w:r>
      <w:r>
        <w:rPr>
          <w:color w:val="231F20"/>
          <w:spacing w:val="-4"/>
          <w:sz w:val="21"/>
        </w:rPr>
        <w:t> </w:t>
      </w:r>
      <w:r>
        <w:rPr>
          <w:color w:val="231F20"/>
          <w:sz w:val="21"/>
        </w:rPr>
        <w:t>and</w:t>
      </w:r>
      <w:r>
        <w:rPr>
          <w:color w:val="231F20"/>
          <w:spacing w:val="-4"/>
          <w:sz w:val="21"/>
        </w:rPr>
        <w:t> </w:t>
      </w:r>
      <w:r>
        <w:rPr>
          <w:color w:val="231F20"/>
          <w:sz w:val="21"/>
        </w:rPr>
        <w:t>cur- rent liabilities that </w:t>
      </w:r>
      <w:r>
        <w:rPr>
          <w:i/>
          <w:color w:val="231F20"/>
          <w:sz w:val="21"/>
        </w:rPr>
        <w:t>operational activities </w:t>
      </w:r>
      <w:r>
        <w:rPr>
          <w:color w:val="231F20"/>
          <w:sz w:val="21"/>
        </w:rPr>
        <w:t>affected during the year. By adjusting</w:t>
      </w:r>
      <w:r>
        <w:rPr>
          <w:color w:val="231F20"/>
          <w:spacing w:val="-1"/>
          <w:sz w:val="21"/>
        </w:rPr>
        <w:t> </w:t>
      </w:r>
      <w:r>
        <w:rPr>
          <w:color w:val="231F20"/>
          <w:sz w:val="21"/>
        </w:rPr>
        <w:t>net</w:t>
      </w:r>
      <w:r>
        <w:rPr>
          <w:color w:val="231F20"/>
          <w:spacing w:val="-1"/>
          <w:sz w:val="21"/>
        </w:rPr>
        <w:t> </w:t>
      </w:r>
      <w:r>
        <w:rPr>
          <w:color w:val="231F20"/>
          <w:sz w:val="21"/>
        </w:rPr>
        <w:t>income</w:t>
      </w:r>
      <w:r>
        <w:rPr>
          <w:color w:val="231F20"/>
          <w:spacing w:val="-1"/>
          <w:sz w:val="21"/>
        </w:rPr>
        <w:t> </w:t>
      </w:r>
      <w:r>
        <w:rPr>
          <w:color w:val="231F20"/>
          <w:sz w:val="21"/>
        </w:rPr>
        <w:t>for</w:t>
      </w:r>
      <w:r>
        <w:rPr>
          <w:color w:val="231F20"/>
          <w:spacing w:val="-1"/>
          <w:sz w:val="21"/>
        </w:rPr>
        <w:t> </w:t>
      </w:r>
      <w:r>
        <w:rPr>
          <w:color w:val="231F20"/>
          <w:sz w:val="21"/>
        </w:rPr>
        <w:t>working</w:t>
      </w:r>
      <w:r>
        <w:rPr>
          <w:color w:val="231F20"/>
          <w:spacing w:val="-1"/>
          <w:sz w:val="21"/>
        </w:rPr>
        <w:t> </w:t>
      </w:r>
      <w:r>
        <w:rPr>
          <w:color w:val="231F20"/>
          <w:sz w:val="21"/>
        </w:rPr>
        <w:t>capital</w:t>
      </w:r>
      <w:r>
        <w:rPr>
          <w:color w:val="231F20"/>
          <w:spacing w:val="-1"/>
          <w:sz w:val="21"/>
        </w:rPr>
        <w:t> </w:t>
      </w:r>
      <w:r>
        <w:rPr>
          <w:color w:val="231F20"/>
          <w:sz w:val="21"/>
        </w:rPr>
        <w:t>increases</w:t>
      </w:r>
      <w:r>
        <w:rPr>
          <w:color w:val="231F20"/>
          <w:spacing w:val="-1"/>
          <w:sz w:val="21"/>
        </w:rPr>
        <w:t> </w:t>
      </w:r>
      <w:r>
        <w:rPr>
          <w:color w:val="231F20"/>
          <w:sz w:val="21"/>
        </w:rPr>
        <w:t>and</w:t>
      </w:r>
      <w:r>
        <w:rPr>
          <w:color w:val="231F20"/>
          <w:spacing w:val="-1"/>
          <w:sz w:val="21"/>
        </w:rPr>
        <w:t> </w:t>
      </w:r>
      <w:r>
        <w:rPr>
          <w:color w:val="231F20"/>
          <w:sz w:val="21"/>
        </w:rPr>
        <w:t>decreases,</w:t>
      </w:r>
      <w:r>
        <w:rPr>
          <w:color w:val="231F20"/>
          <w:spacing w:val="-1"/>
          <w:sz w:val="21"/>
        </w:rPr>
        <w:t> </w:t>
      </w:r>
      <w:r>
        <w:rPr>
          <w:color w:val="231F20"/>
          <w:sz w:val="21"/>
        </w:rPr>
        <w:t>we can determine the effect on cash by using the fundamental account- ing equation.</w:t>
      </w:r>
    </w:p>
    <w:p>
      <w:pPr>
        <w:pStyle w:val="BodyText"/>
        <w:spacing w:line="292" w:lineRule="auto"/>
        <w:ind w:left="920" w:right="663" w:firstLine="340"/>
        <w:jc w:val="both"/>
      </w:pPr>
      <w:r>
        <w:rPr>
          <w:color w:val="231F20"/>
        </w:rPr>
        <w:t>When Bob increased his current assets, such as his shelf </w:t>
      </w:r>
      <w:r>
        <w:rPr>
          <w:color w:val="231F20"/>
        </w:rPr>
        <w:t>inven- tory, he used cash because it took cash to buy groceries. This is</w:t>
      </w:r>
      <w:r>
        <w:rPr>
          <w:color w:val="231F20"/>
          <w:spacing w:val="40"/>
        </w:rPr>
        <w:t> </w:t>
      </w:r>
      <w:r>
        <w:rPr>
          <w:color w:val="231F20"/>
        </w:rPr>
        <w:t>shown as subtractions on the cash flow statement. When he ex- tended credit to his customers, it delayed his receipt of cash, thus “using” cash that the store could have been using for other pur-</w:t>
      </w:r>
      <w:r>
        <w:rPr>
          <w:color w:val="231F20"/>
          <w:spacing w:val="40"/>
        </w:rPr>
        <w:t> </w:t>
      </w:r>
      <w:r>
        <w:rPr>
          <w:color w:val="231F20"/>
        </w:rPr>
        <w:t>poses.</w:t>
      </w:r>
      <w:r>
        <w:rPr>
          <w:color w:val="231F20"/>
          <w:spacing w:val="31"/>
        </w:rPr>
        <w:t> </w:t>
      </w:r>
      <w:r>
        <w:rPr>
          <w:color w:val="231F20"/>
        </w:rPr>
        <w:t>This</w:t>
      </w:r>
      <w:r>
        <w:rPr>
          <w:color w:val="231F20"/>
          <w:spacing w:val="31"/>
        </w:rPr>
        <w:t> </w:t>
      </w:r>
      <w:r>
        <w:rPr>
          <w:color w:val="231F20"/>
        </w:rPr>
        <w:t>is</w:t>
      </w:r>
      <w:r>
        <w:rPr>
          <w:color w:val="231F20"/>
          <w:spacing w:val="31"/>
        </w:rPr>
        <w:t> </w:t>
      </w:r>
      <w:r>
        <w:rPr>
          <w:color w:val="231F20"/>
        </w:rPr>
        <w:t>also</w:t>
      </w:r>
      <w:r>
        <w:rPr>
          <w:color w:val="231F20"/>
          <w:spacing w:val="32"/>
        </w:rPr>
        <w:t> </w:t>
      </w:r>
      <w:r>
        <w:rPr>
          <w:color w:val="231F20"/>
        </w:rPr>
        <w:t>shown</w:t>
      </w:r>
      <w:r>
        <w:rPr>
          <w:color w:val="231F20"/>
          <w:spacing w:val="31"/>
        </w:rPr>
        <w:t> </w:t>
      </w:r>
      <w:r>
        <w:rPr>
          <w:color w:val="231F20"/>
        </w:rPr>
        <w:t>as</w:t>
      </w:r>
      <w:r>
        <w:rPr>
          <w:color w:val="231F20"/>
          <w:spacing w:val="31"/>
        </w:rPr>
        <w:t> </w:t>
      </w:r>
      <w:r>
        <w:rPr>
          <w:color w:val="231F20"/>
        </w:rPr>
        <w:t>a</w:t>
      </w:r>
      <w:r>
        <w:rPr>
          <w:color w:val="231F20"/>
          <w:spacing w:val="31"/>
        </w:rPr>
        <w:t> </w:t>
      </w:r>
      <w:r>
        <w:rPr>
          <w:color w:val="231F20"/>
        </w:rPr>
        <w:t>subtraction</w:t>
      </w:r>
      <w:r>
        <w:rPr>
          <w:color w:val="231F20"/>
          <w:spacing w:val="32"/>
        </w:rPr>
        <w:t> </w:t>
      </w:r>
      <w:r>
        <w:rPr>
          <w:color w:val="231F20"/>
        </w:rPr>
        <w:t>on</w:t>
      </w:r>
      <w:r>
        <w:rPr>
          <w:color w:val="231F20"/>
          <w:spacing w:val="31"/>
        </w:rPr>
        <w:t> </w:t>
      </w:r>
      <w:r>
        <w:rPr>
          <w:color w:val="231F20"/>
        </w:rPr>
        <w:t>the</w:t>
      </w:r>
      <w:r>
        <w:rPr>
          <w:color w:val="231F20"/>
          <w:spacing w:val="31"/>
        </w:rPr>
        <w:t> </w:t>
      </w:r>
      <w:r>
        <w:rPr>
          <w:color w:val="231F20"/>
        </w:rPr>
        <w:t>statement.</w:t>
      </w:r>
      <w:r>
        <w:rPr>
          <w:color w:val="231F20"/>
          <w:spacing w:val="32"/>
        </w:rPr>
        <w:t> </w:t>
      </w:r>
      <w:r>
        <w:rPr>
          <w:color w:val="231F20"/>
          <w:spacing w:val="-4"/>
        </w:rPr>
        <w:t>Con-</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4"/>
        <w:jc w:val="both"/>
      </w:pPr>
      <w:r>
        <w:rPr>
          <w:color w:val="231F20"/>
        </w:rPr>
        <w:t>versely, reductions in inventory, i.e., sales, would have increased Bob’s cash. If receivables had declined, i.e., customers’ payments,</w:t>
      </w:r>
      <w:r>
        <w:rPr>
          <w:color w:val="231F20"/>
          <w:spacing w:val="40"/>
        </w:rPr>
        <w:t> </w:t>
      </w:r>
      <w:r>
        <w:rPr>
          <w:color w:val="231F20"/>
        </w:rPr>
        <w:t>cash would have been generated. </w:t>
      </w:r>
      <w:r>
        <w:rPr>
          <w:i/>
          <w:color w:val="231F20"/>
        </w:rPr>
        <w:t>Point of Learning: </w:t>
      </w:r>
      <w:r>
        <w:rPr>
          <w:color w:val="231F20"/>
        </w:rPr>
        <w:t>Increases in </w:t>
      </w:r>
      <w:r>
        <w:rPr>
          <w:color w:val="231F20"/>
        </w:rPr>
        <w:t>cur- rent assets use cash while decreases in current assets produce cash.</w:t>
      </w:r>
    </w:p>
    <w:p>
      <w:pPr>
        <w:pStyle w:val="BodyText"/>
        <w:spacing w:line="292" w:lineRule="auto"/>
        <w:ind w:left="829" w:right="756" w:firstLine="340"/>
        <w:jc w:val="both"/>
      </w:pPr>
      <w:r>
        <w:rPr>
          <w:color w:val="231F20"/>
        </w:rPr>
        <w:t>Current liabilities changes have the opposite effect on cash. In Bob’s case his vendors advanced him $80,000. When Bob ran up a large debt with his vendors and employees, this meant that credit was extended to him, which in turn freed his cash for other pur- poses. In a sense, cash was created. If Bob had reduced his liabilities, that would have meant that he had made payments to reduce his debts, reducing cash. </w:t>
      </w:r>
      <w:r>
        <w:rPr>
          <w:i/>
          <w:color w:val="231F20"/>
        </w:rPr>
        <w:t>Point of Learning: </w:t>
      </w:r>
      <w:r>
        <w:rPr>
          <w:color w:val="231F20"/>
        </w:rPr>
        <w:t>Increases in current </w:t>
      </w:r>
      <w:r>
        <w:rPr>
          <w:color w:val="231F20"/>
        </w:rPr>
        <w:t>liabili- ties increase cash while decreases use up cash.</w:t>
      </w:r>
    </w:p>
    <w:p>
      <w:pPr>
        <w:pStyle w:val="BodyText"/>
        <w:spacing w:line="292" w:lineRule="auto"/>
        <w:ind w:left="830" w:right="756" w:firstLine="340"/>
        <w:jc w:val="both"/>
      </w:pPr>
      <w:r>
        <w:rPr>
          <w:color w:val="231F20"/>
        </w:rPr>
        <w:t>To calculate the net changes for the year, simply subtract the be- ginning of the period’s balances of current assets and liabilities </w:t>
      </w:r>
      <w:r>
        <w:rPr>
          <w:color w:val="231F20"/>
        </w:rPr>
        <w:t>from the ending balances items. Because it was Bob’s first year (and to make it simple), the beginning balances were all zero and the ending balances are equal to the account increases for the year. The in- creases in current assets are “uses” and the increases in current lia- bilities are “sources” of cash.</w:t>
      </w:r>
    </w:p>
    <w:p>
      <w:pPr>
        <w:pStyle w:val="BodyText"/>
        <w:spacing w:line="288" w:lineRule="auto"/>
        <w:ind w:left="829" w:right="753" w:firstLine="340"/>
        <w:jc w:val="both"/>
      </w:pPr>
      <w:r>
        <w:rPr>
          <w:color w:val="231F20"/>
        </w:rPr>
        <w:t>Convince yourself that Bob’s cash flow statement is correct.</w:t>
      </w:r>
      <w:r>
        <w:rPr>
          <w:color w:val="231F20"/>
          <w:spacing w:val="80"/>
        </w:rPr>
        <w:t> </w:t>
      </w:r>
      <w:r>
        <w:rPr>
          <w:color w:val="231F20"/>
        </w:rPr>
        <w:t>Refer to his cash flow statement. Look back at the income statement to verify the net income. Review the balance sheet to check that the changes in the working capital items (CA </w:t>
      </w:r>
      <w:r>
        <w:rPr>
          <w:rFonts w:ascii="Symbol" w:hAnsi="Symbol"/>
          <w:color w:val="231F20"/>
        </w:rPr>
        <w:t></w:t>
      </w:r>
      <w:r>
        <w:rPr>
          <w:rFonts w:ascii="Times New Roman" w:hAnsi="Times New Roman"/>
          <w:color w:val="231F20"/>
        </w:rPr>
        <w:t> </w:t>
      </w:r>
      <w:r>
        <w:rPr>
          <w:color w:val="231F20"/>
        </w:rPr>
        <w:t>CL) equal the changes shown on the cash flow statement. It all fits together!</w:t>
      </w:r>
    </w:p>
    <w:p>
      <w:pPr>
        <w:pStyle w:val="BodyText"/>
        <w:spacing w:before="6"/>
        <w:rPr>
          <w:sz w:val="27"/>
        </w:rPr>
      </w:pPr>
    </w:p>
    <w:p>
      <w:pPr>
        <w:spacing w:before="1"/>
        <w:ind w:left="1170" w:right="0" w:firstLine="0"/>
        <w:jc w:val="left"/>
        <w:rPr>
          <w:rFonts w:ascii="Arial"/>
          <w:i/>
          <w:sz w:val="19"/>
        </w:rPr>
      </w:pPr>
      <w:r>
        <w:rPr>
          <w:rFonts w:ascii="Arial"/>
          <w:i/>
          <w:color w:val="231F20"/>
          <w:spacing w:val="-2"/>
          <w:w w:val="115"/>
          <w:sz w:val="19"/>
        </w:rPr>
        <w:t>Investing</w:t>
      </w:r>
      <w:r>
        <w:rPr>
          <w:rFonts w:ascii="Arial"/>
          <w:i/>
          <w:color w:val="231F20"/>
          <w:spacing w:val="2"/>
          <w:w w:val="115"/>
          <w:sz w:val="19"/>
        </w:rPr>
        <w:t> </w:t>
      </w:r>
      <w:r>
        <w:rPr>
          <w:rFonts w:ascii="Arial"/>
          <w:i/>
          <w:color w:val="231F20"/>
          <w:spacing w:val="-2"/>
          <w:w w:val="115"/>
          <w:sz w:val="19"/>
        </w:rPr>
        <w:t>Activities</w:t>
      </w:r>
    </w:p>
    <w:p>
      <w:pPr>
        <w:pStyle w:val="BodyText"/>
        <w:spacing w:line="292" w:lineRule="auto" w:before="60"/>
        <w:ind w:left="829" w:right="753" w:firstLine="340"/>
        <w:jc w:val="both"/>
      </w:pPr>
      <w:r>
        <w:rPr>
          <w:color w:val="231F20"/>
        </w:rPr>
        <w:t>As the title explains, this area of the cash flow statement </w:t>
      </w:r>
      <w:r>
        <w:rPr>
          <w:color w:val="231F20"/>
        </w:rPr>
        <w:t>deals with cash use and generation by long-term “investments” by the company. Accordingly, the investment activities section reflects the cash</w:t>
      </w:r>
      <w:r>
        <w:rPr>
          <w:color w:val="231F20"/>
          <w:spacing w:val="40"/>
        </w:rPr>
        <w:t> </w:t>
      </w:r>
      <w:r>
        <w:rPr>
          <w:color w:val="231F20"/>
        </w:rPr>
        <w:t>effects</w:t>
      </w:r>
      <w:r>
        <w:rPr>
          <w:color w:val="231F20"/>
          <w:spacing w:val="40"/>
        </w:rPr>
        <w:t> </w:t>
      </w:r>
      <w:r>
        <w:rPr>
          <w:color w:val="231F20"/>
        </w:rPr>
        <w:t>of</w:t>
      </w:r>
      <w:r>
        <w:rPr>
          <w:color w:val="231F20"/>
          <w:spacing w:val="40"/>
        </w:rPr>
        <w:t> </w:t>
      </w:r>
      <w:r>
        <w:rPr>
          <w:color w:val="231F20"/>
        </w:rPr>
        <w:t>transactions</w:t>
      </w:r>
      <w:r>
        <w:rPr>
          <w:color w:val="231F20"/>
          <w:spacing w:val="40"/>
        </w:rPr>
        <w:t> </w:t>
      </w:r>
      <w:r>
        <w:rPr>
          <w:color w:val="231F20"/>
        </w:rPr>
        <w:t>in</w:t>
      </w:r>
      <w:r>
        <w:rPr>
          <w:color w:val="231F20"/>
          <w:spacing w:val="40"/>
        </w:rPr>
        <w:t> </w:t>
      </w:r>
      <w:r>
        <w:rPr>
          <w:i/>
          <w:color w:val="231F20"/>
        </w:rPr>
        <w:t>long-term</w:t>
      </w:r>
      <w:r>
        <w:rPr>
          <w:i/>
          <w:color w:val="231F20"/>
          <w:spacing w:val="40"/>
        </w:rPr>
        <w:t> </w:t>
      </w:r>
      <w:r>
        <w:rPr>
          <w:color w:val="231F20"/>
        </w:rPr>
        <w:t>(noncurrent)</w:t>
      </w:r>
      <w:r>
        <w:rPr>
          <w:color w:val="231F20"/>
          <w:spacing w:val="40"/>
        </w:rPr>
        <w:t> </w:t>
      </w:r>
      <w:r>
        <w:rPr>
          <w:color w:val="231F20"/>
        </w:rPr>
        <w:t>assets</w:t>
      </w:r>
      <w:r>
        <w:rPr>
          <w:color w:val="231F20"/>
          <w:spacing w:val="40"/>
        </w:rPr>
        <w:t> </w:t>
      </w:r>
      <w:r>
        <w:rPr>
          <w:color w:val="231F20"/>
        </w:rPr>
        <w:t>on the balance sheet. When a company buys or sells a long-term asset like a building or piece of equipment, the cash relating to the trans- action is reflected in the </w:t>
      </w:r>
      <w:r>
        <w:rPr>
          <w:i/>
          <w:color w:val="231F20"/>
        </w:rPr>
        <w:t>investing activities </w:t>
      </w:r>
      <w:r>
        <w:rPr>
          <w:color w:val="231F20"/>
        </w:rPr>
        <w:t>section of the cash flow statement.</w:t>
      </w:r>
      <w:r>
        <w:rPr>
          <w:color w:val="231F20"/>
          <w:spacing w:val="15"/>
        </w:rPr>
        <w:t> </w:t>
      </w:r>
      <w:r>
        <w:rPr>
          <w:color w:val="231F20"/>
        </w:rPr>
        <w:t>In</w:t>
      </w:r>
      <w:r>
        <w:rPr>
          <w:color w:val="231F20"/>
          <w:spacing w:val="15"/>
        </w:rPr>
        <w:t> </w:t>
      </w:r>
      <w:r>
        <w:rPr>
          <w:color w:val="231F20"/>
        </w:rPr>
        <w:t>Bob’s</w:t>
      </w:r>
      <w:r>
        <w:rPr>
          <w:color w:val="231F20"/>
          <w:spacing w:val="15"/>
        </w:rPr>
        <w:t> </w:t>
      </w:r>
      <w:r>
        <w:rPr>
          <w:color w:val="231F20"/>
        </w:rPr>
        <w:t>case,</w:t>
      </w:r>
      <w:r>
        <w:rPr>
          <w:color w:val="231F20"/>
          <w:spacing w:val="16"/>
        </w:rPr>
        <w:t> </w:t>
      </w:r>
      <w:r>
        <w:rPr>
          <w:color w:val="231F20"/>
        </w:rPr>
        <w:t>he</w:t>
      </w:r>
      <w:r>
        <w:rPr>
          <w:color w:val="231F20"/>
          <w:spacing w:val="15"/>
        </w:rPr>
        <w:t> </w:t>
      </w:r>
      <w:r>
        <w:rPr>
          <w:color w:val="231F20"/>
        </w:rPr>
        <w:t>invested</w:t>
      </w:r>
      <w:r>
        <w:rPr>
          <w:color w:val="231F20"/>
          <w:spacing w:val="15"/>
        </w:rPr>
        <w:t> </w:t>
      </w:r>
      <w:r>
        <w:rPr>
          <w:color w:val="231F20"/>
        </w:rPr>
        <w:t>$30,000</w:t>
      </w:r>
      <w:r>
        <w:rPr>
          <w:color w:val="231F20"/>
          <w:spacing w:val="16"/>
        </w:rPr>
        <w:t> </w:t>
      </w:r>
      <w:r>
        <w:rPr>
          <w:color w:val="231F20"/>
        </w:rPr>
        <w:t>in</w:t>
      </w:r>
      <w:r>
        <w:rPr>
          <w:color w:val="231F20"/>
          <w:spacing w:val="15"/>
        </w:rPr>
        <w:t> </w:t>
      </w:r>
      <w:r>
        <w:rPr>
          <w:color w:val="231F20"/>
        </w:rPr>
        <w:t>store</w:t>
      </w:r>
      <w:r>
        <w:rPr>
          <w:color w:val="231F20"/>
          <w:spacing w:val="15"/>
        </w:rPr>
        <w:t> </w:t>
      </w:r>
      <w:r>
        <w:rPr>
          <w:color w:val="231F20"/>
        </w:rPr>
        <w:t>equipment</w:t>
      </w:r>
      <w:r>
        <w:rPr>
          <w:color w:val="231F20"/>
          <w:spacing w:val="16"/>
        </w:rPr>
        <w:t> </w:t>
      </w:r>
      <w:r>
        <w:rPr>
          <w:color w:val="231F20"/>
          <w:spacing w:val="-5"/>
        </w:rPr>
        <w:t>as</w:t>
      </w:r>
    </w:p>
    <w:p>
      <w:pPr>
        <w:spacing w:after="0" w:line="292" w:lineRule="auto"/>
        <w:jc w:val="both"/>
        <w:sectPr>
          <w:pgSz w:w="8640" w:h="12960"/>
          <w:pgMar w:header="732" w:footer="0" w:top="920" w:bottom="280" w:left="340" w:right="500"/>
        </w:sectPr>
      </w:pPr>
    </w:p>
    <w:p>
      <w:pPr>
        <w:pStyle w:val="BodyText"/>
        <w:spacing w:before="6"/>
        <w:rPr>
          <w:sz w:val="17"/>
        </w:rPr>
      </w:pPr>
    </w:p>
    <w:p>
      <w:pPr>
        <w:spacing w:before="93"/>
        <w:ind w:left="474" w:right="219" w:firstLine="0"/>
        <w:jc w:val="center"/>
        <w:rPr>
          <w:b/>
          <w:sz w:val="20"/>
        </w:rPr>
      </w:pPr>
      <w:r>
        <w:rPr>
          <w:b/>
          <w:color w:val="231F20"/>
          <w:w w:val="110"/>
          <w:sz w:val="20"/>
        </w:rPr>
        <w:t>BOB’S</w:t>
      </w:r>
      <w:r>
        <w:rPr>
          <w:b/>
          <w:color w:val="231F20"/>
          <w:spacing w:val="45"/>
          <w:w w:val="110"/>
          <w:sz w:val="20"/>
        </w:rPr>
        <w:t> </w:t>
      </w:r>
      <w:r>
        <w:rPr>
          <w:b/>
          <w:color w:val="231F20"/>
          <w:spacing w:val="-2"/>
          <w:w w:val="110"/>
          <w:sz w:val="20"/>
        </w:rPr>
        <w:t>MARKET</w:t>
      </w:r>
    </w:p>
    <w:p>
      <w:pPr>
        <w:spacing w:line="307" w:lineRule="auto" w:before="65"/>
        <w:ind w:left="1350" w:right="1092" w:firstLine="0"/>
        <w:jc w:val="center"/>
        <w:rPr>
          <w:b/>
          <w:sz w:val="20"/>
        </w:rPr>
      </w:pPr>
      <w:r>
        <w:rPr/>
        <w:pict>
          <v:shape style="position:absolute;margin-left:80pt;margin-top:34.251774pt;width:276.5pt;height:.1pt;mso-position-horizontal-relative:page;mso-position-vertical-relative:paragraph;z-index:-15669760;mso-wrap-distance-left:0;mso-wrap-distance-right:0" id="docshape113" coordorigin="1600,685" coordsize="5530,0" path="m1600,685l7130,685e" filled="false" stroked="true" strokeweight="1pt" strokecolor="#231f20">
            <v:path arrowok="t"/>
            <v:stroke dashstyle="solid"/>
            <w10:wrap type="topAndBottom"/>
          </v:shape>
        </w:pict>
      </w:r>
      <w:r>
        <w:rPr>
          <w:b/>
          <w:color w:val="231F20"/>
          <w:w w:val="110"/>
          <w:sz w:val="20"/>
        </w:rPr>
        <w:t>STATEMENT</w:t>
      </w:r>
      <w:r>
        <w:rPr>
          <w:b/>
          <w:color w:val="231F20"/>
          <w:spacing w:val="40"/>
          <w:w w:val="110"/>
          <w:sz w:val="20"/>
        </w:rPr>
        <w:t> </w:t>
      </w:r>
      <w:r>
        <w:rPr>
          <w:b/>
          <w:color w:val="231F20"/>
          <w:w w:val="110"/>
          <w:sz w:val="20"/>
        </w:rPr>
        <w:t>OF</w:t>
      </w:r>
      <w:r>
        <w:rPr>
          <w:b/>
          <w:color w:val="231F20"/>
          <w:spacing w:val="40"/>
          <w:w w:val="110"/>
          <w:sz w:val="20"/>
        </w:rPr>
        <w:t> </w:t>
      </w:r>
      <w:r>
        <w:rPr>
          <w:b/>
          <w:color w:val="231F20"/>
          <w:w w:val="110"/>
          <w:sz w:val="20"/>
        </w:rPr>
        <w:t>CASH</w:t>
      </w:r>
      <w:r>
        <w:rPr>
          <w:b/>
          <w:color w:val="231F20"/>
          <w:spacing w:val="40"/>
          <w:w w:val="110"/>
          <w:sz w:val="20"/>
        </w:rPr>
        <w:t> </w:t>
      </w:r>
      <w:r>
        <w:rPr>
          <w:b/>
          <w:color w:val="231F20"/>
          <w:w w:val="110"/>
          <w:sz w:val="20"/>
        </w:rPr>
        <w:t>FLOWS</w:t>
      </w:r>
      <w:r>
        <w:rPr>
          <w:b/>
          <w:color w:val="231F20"/>
          <w:spacing w:val="40"/>
          <w:w w:val="110"/>
          <w:sz w:val="20"/>
        </w:rPr>
        <w:t> </w:t>
      </w:r>
      <w:r>
        <w:rPr>
          <w:b/>
          <w:color w:val="231F20"/>
          <w:w w:val="110"/>
          <w:sz w:val="20"/>
        </w:rPr>
        <w:t>FOR</w:t>
      </w:r>
      <w:r>
        <w:rPr>
          <w:b/>
          <w:color w:val="231F20"/>
          <w:spacing w:val="40"/>
          <w:w w:val="110"/>
          <w:sz w:val="20"/>
        </w:rPr>
        <w:t> </w:t>
      </w:r>
      <w:r>
        <w:rPr>
          <w:b/>
          <w:color w:val="231F20"/>
          <w:w w:val="110"/>
          <w:sz w:val="20"/>
        </w:rPr>
        <w:t>THE</w:t>
      </w:r>
      <w:r>
        <w:rPr>
          <w:b/>
          <w:color w:val="231F20"/>
          <w:spacing w:val="40"/>
          <w:w w:val="110"/>
          <w:sz w:val="20"/>
        </w:rPr>
        <w:t> </w:t>
      </w:r>
      <w:r>
        <w:rPr>
          <w:b/>
          <w:color w:val="231F20"/>
          <w:w w:val="110"/>
          <w:sz w:val="20"/>
        </w:rPr>
        <w:t>YEAR ENDING DECEMBER 31, 2005</w:t>
      </w:r>
    </w:p>
    <w:p>
      <w:pPr>
        <w:pStyle w:val="BodyText"/>
        <w:spacing w:before="5"/>
        <w:rPr>
          <w:b/>
          <w:sz w:val="19"/>
        </w:rPr>
      </w:pPr>
    </w:p>
    <w:tbl>
      <w:tblPr>
        <w:tblW w:w="0" w:type="auto"/>
        <w:jc w:val="left"/>
        <w:tblInd w:w="1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6"/>
        <w:gridCol w:w="622"/>
        <w:gridCol w:w="1773"/>
        <w:gridCol w:w="771"/>
        <w:gridCol w:w="169"/>
        <w:gridCol w:w="120"/>
        <w:gridCol w:w="641"/>
      </w:tblGrid>
      <w:tr>
        <w:trPr>
          <w:trHeight w:val="250" w:hRule="atLeast"/>
        </w:trPr>
        <w:tc>
          <w:tcPr>
            <w:tcW w:w="5572" w:type="dxa"/>
            <w:gridSpan w:val="7"/>
          </w:tcPr>
          <w:p>
            <w:pPr>
              <w:pStyle w:val="TableParagraph"/>
              <w:spacing w:line="207" w:lineRule="exact" w:before="0"/>
              <w:ind w:left="50"/>
              <w:jc w:val="left"/>
              <w:rPr>
                <w:i/>
                <w:sz w:val="18"/>
              </w:rPr>
            </w:pPr>
            <w:r>
              <w:rPr>
                <w:i/>
                <w:color w:val="231F20"/>
                <w:w w:val="105"/>
                <w:sz w:val="18"/>
              </w:rPr>
              <w:t>Operating</w:t>
            </w:r>
            <w:r>
              <w:rPr>
                <w:i/>
                <w:color w:val="231F20"/>
                <w:spacing w:val="8"/>
                <w:w w:val="105"/>
                <w:sz w:val="18"/>
              </w:rPr>
              <w:t> </w:t>
            </w:r>
            <w:r>
              <w:rPr>
                <w:i/>
                <w:color w:val="231F20"/>
                <w:spacing w:val="-2"/>
                <w:w w:val="105"/>
                <w:sz w:val="18"/>
              </w:rPr>
              <w:t>Activities</w:t>
            </w:r>
          </w:p>
        </w:tc>
      </w:tr>
      <w:tr>
        <w:trPr>
          <w:trHeight w:val="375" w:hRule="atLeast"/>
        </w:trPr>
        <w:tc>
          <w:tcPr>
            <w:tcW w:w="1476" w:type="dxa"/>
          </w:tcPr>
          <w:p>
            <w:pPr>
              <w:pStyle w:val="TableParagraph"/>
              <w:spacing w:before="45"/>
              <w:ind w:left="50"/>
              <w:jc w:val="left"/>
              <w:rPr>
                <w:b/>
                <w:sz w:val="18"/>
              </w:rPr>
            </w:pPr>
            <w:r>
              <w:rPr>
                <w:b/>
                <w:color w:val="231F20"/>
                <w:sz w:val="18"/>
              </w:rPr>
              <w:t>Net</w:t>
            </w:r>
            <w:r>
              <w:rPr>
                <w:b/>
                <w:color w:val="231F20"/>
                <w:spacing w:val="15"/>
                <w:sz w:val="18"/>
              </w:rPr>
              <w:t> </w:t>
            </w:r>
            <w:r>
              <w:rPr>
                <w:b/>
                <w:color w:val="231F20"/>
                <w:spacing w:val="-2"/>
                <w:sz w:val="18"/>
              </w:rPr>
              <w:t>Income</w:t>
            </w:r>
          </w:p>
        </w:tc>
        <w:tc>
          <w:tcPr>
            <w:tcW w:w="622" w:type="dxa"/>
          </w:tcPr>
          <w:p>
            <w:pPr>
              <w:pStyle w:val="TableParagraph"/>
              <w:spacing w:before="0"/>
              <w:jc w:val="left"/>
              <w:rPr>
                <w:rFonts w:ascii="Times New Roman"/>
                <w:sz w:val="18"/>
              </w:rPr>
            </w:pPr>
          </w:p>
        </w:tc>
        <w:tc>
          <w:tcPr>
            <w:tcW w:w="1773" w:type="dxa"/>
          </w:tcPr>
          <w:p>
            <w:pPr>
              <w:pStyle w:val="TableParagraph"/>
              <w:spacing w:before="0"/>
              <w:jc w:val="left"/>
              <w:rPr>
                <w:rFonts w:ascii="Times New Roman"/>
                <w:sz w:val="18"/>
              </w:rPr>
            </w:pPr>
          </w:p>
        </w:tc>
        <w:tc>
          <w:tcPr>
            <w:tcW w:w="771" w:type="dxa"/>
          </w:tcPr>
          <w:p>
            <w:pPr>
              <w:pStyle w:val="TableParagraph"/>
              <w:spacing w:before="0"/>
              <w:jc w:val="left"/>
              <w:rPr>
                <w:rFonts w:ascii="Times New Roman"/>
                <w:sz w:val="18"/>
              </w:rPr>
            </w:pPr>
          </w:p>
        </w:tc>
        <w:tc>
          <w:tcPr>
            <w:tcW w:w="169" w:type="dxa"/>
          </w:tcPr>
          <w:p>
            <w:pPr>
              <w:pStyle w:val="TableParagraph"/>
              <w:spacing w:before="0"/>
              <w:jc w:val="left"/>
              <w:rPr>
                <w:rFonts w:ascii="Times New Roman"/>
                <w:sz w:val="18"/>
              </w:rPr>
            </w:pPr>
          </w:p>
        </w:tc>
        <w:tc>
          <w:tcPr>
            <w:tcW w:w="120" w:type="dxa"/>
          </w:tcPr>
          <w:p>
            <w:pPr>
              <w:pStyle w:val="TableParagraph"/>
              <w:spacing w:before="0"/>
              <w:jc w:val="left"/>
              <w:rPr>
                <w:rFonts w:ascii="Times New Roman"/>
                <w:sz w:val="18"/>
              </w:rPr>
            </w:pPr>
          </w:p>
        </w:tc>
        <w:tc>
          <w:tcPr>
            <w:tcW w:w="641" w:type="dxa"/>
          </w:tcPr>
          <w:p>
            <w:pPr>
              <w:pStyle w:val="TableParagraph"/>
              <w:spacing w:before="45"/>
              <w:ind w:right="1"/>
              <w:jc w:val="right"/>
              <w:rPr>
                <w:sz w:val="18"/>
              </w:rPr>
            </w:pPr>
            <w:r>
              <w:rPr>
                <w:color w:val="231F20"/>
                <w:spacing w:val="-2"/>
                <w:sz w:val="18"/>
              </w:rPr>
              <w:t>$30,000</w:t>
            </w:r>
          </w:p>
        </w:tc>
      </w:tr>
      <w:tr>
        <w:trPr>
          <w:trHeight w:val="377" w:hRule="atLeast"/>
        </w:trPr>
        <w:tc>
          <w:tcPr>
            <w:tcW w:w="5572" w:type="dxa"/>
            <w:gridSpan w:val="7"/>
          </w:tcPr>
          <w:p>
            <w:pPr>
              <w:pStyle w:val="TableParagraph"/>
              <w:spacing w:before="120"/>
              <w:ind w:left="50"/>
              <w:jc w:val="left"/>
              <w:rPr>
                <w:b/>
                <w:sz w:val="18"/>
              </w:rPr>
            </w:pPr>
            <w:r>
              <w:rPr>
                <w:b/>
                <w:color w:val="231F20"/>
                <w:sz w:val="18"/>
              </w:rPr>
              <w:t>Add</w:t>
            </w:r>
            <w:r>
              <w:rPr>
                <w:b/>
                <w:color w:val="231F20"/>
                <w:spacing w:val="-6"/>
                <w:sz w:val="18"/>
              </w:rPr>
              <w:t> </w:t>
            </w:r>
            <w:r>
              <w:rPr>
                <w:b/>
                <w:color w:val="231F20"/>
                <w:sz w:val="18"/>
              </w:rPr>
              <w:t>Back</w:t>
            </w:r>
            <w:r>
              <w:rPr>
                <w:b/>
                <w:color w:val="231F20"/>
                <w:spacing w:val="-6"/>
                <w:sz w:val="18"/>
              </w:rPr>
              <w:t> </w:t>
            </w:r>
            <w:r>
              <w:rPr>
                <w:b/>
                <w:color w:val="231F20"/>
                <w:sz w:val="18"/>
              </w:rPr>
              <w:t>Expenses</w:t>
            </w:r>
            <w:r>
              <w:rPr>
                <w:b/>
                <w:color w:val="231F20"/>
                <w:spacing w:val="-5"/>
                <w:sz w:val="18"/>
              </w:rPr>
              <w:t> </w:t>
            </w:r>
            <w:r>
              <w:rPr>
                <w:b/>
                <w:color w:val="231F20"/>
                <w:sz w:val="18"/>
              </w:rPr>
              <w:t>Not</w:t>
            </w:r>
            <w:r>
              <w:rPr>
                <w:b/>
                <w:color w:val="231F20"/>
                <w:spacing w:val="-6"/>
                <w:sz w:val="18"/>
              </w:rPr>
              <w:t> </w:t>
            </w:r>
            <w:r>
              <w:rPr>
                <w:b/>
                <w:color w:val="231F20"/>
                <w:sz w:val="18"/>
              </w:rPr>
              <w:t>Using</w:t>
            </w:r>
            <w:r>
              <w:rPr>
                <w:b/>
                <w:color w:val="231F20"/>
                <w:spacing w:val="-5"/>
                <w:sz w:val="18"/>
              </w:rPr>
              <w:t> </w:t>
            </w:r>
            <w:r>
              <w:rPr>
                <w:b/>
                <w:color w:val="231F20"/>
                <w:spacing w:val="-4"/>
                <w:sz w:val="18"/>
              </w:rPr>
              <w:t>Cash</w:t>
            </w:r>
          </w:p>
        </w:tc>
      </w:tr>
      <w:tr>
        <w:trPr>
          <w:trHeight w:val="297" w:hRule="atLeast"/>
        </w:trPr>
        <w:tc>
          <w:tcPr>
            <w:tcW w:w="4931" w:type="dxa"/>
            <w:gridSpan w:val="6"/>
          </w:tcPr>
          <w:p>
            <w:pPr>
              <w:pStyle w:val="TableParagraph"/>
              <w:spacing w:before="43"/>
              <w:ind w:left="50"/>
              <w:jc w:val="left"/>
              <w:rPr>
                <w:sz w:val="18"/>
              </w:rPr>
            </w:pPr>
            <w:r>
              <w:rPr>
                <w:color w:val="231F20"/>
                <w:sz w:val="18"/>
              </w:rPr>
              <w:t>Depreciation</w:t>
            </w:r>
            <w:r>
              <w:rPr>
                <w:color w:val="231F20"/>
                <w:spacing w:val="16"/>
                <w:sz w:val="18"/>
              </w:rPr>
              <w:t> </w:t>
            </w:r>
            <w:r>
              <w:rPr>
                <w:color w:val="231F20"/>
                <w:sz w:val="18"/>
              </w:rPr>
              <w:t>(Allocated</w:t>
            </w:r>
            <w:r>
              <w:rPr>
                <w:color w:val="231F20"/>
                <w:spacing w:val="16"/>
                <w:sz w:val="18"/>
              </w:rPr>
              <w:t> </w:t>
            </w:r>
            <w:r>
              <w:rPr>
                <w:color w:val="231F20"/>
                <w:sz w:val="18"/>
              </w:rPr>
              <w:t>Cost</w:t>
            </w:r>
            <w:r>
              <w:rPr>
                <w:color w:val="231F20"/>
                <w:spacing w:val="17"/>
                <w:sz w:val="18"/>
              </w:rPr>
              <w:t> </w:t>
            </w:r>
            <w:r>
              <w:rPr>
                <w:color w:val="231F20"/>
                <w:sz w:val="18"/>
              </w:rPr>
              <w:t>of</w:t>
            </w:r>
            <w:r>
              <w:rPr>
                <w:color w:val="231F20"/>
                <w:spacing w:val="16"/>
                <w:sz w:val="18"/>
              </w:rPr>
              <w:t> </w:t>
            </w:r>
            <w:r>
              <w:rPr>
                <w:color w:val="231F20"/>
                <w:sz w:val="18"/>
              </w:rPr>
              <w:t>Store</w:t>
            </w:r>
            <w:r>
              <w:rPr>
                <w:color w:val="231F20"/>
                <w:spacing w:val="17"/>
                <w:sz w:val="18"/>
              </w:rPr>
              <w:t> </w:t>
            </w:r>
            <w:r>
              <w:rPr>
                <w:color w:val="231F20"/>
                <w:spacing w:val="-2"/>
                <w:sz w:val="18"/>
              </w:rPr>
              <w:t>Equipment)</w:t>
            </w:r>
          </w:p>
        </w:tc>
        <w:tc>
          <w:tcPr>
            <w:tcW w:w="641" w:type="dxa"/>
            <w:tcBorders>
              <w:bottom w:val="single" w:sz="4" w:space="0" w:color="231F20"/>
            </w:tcBorders>
          </w:tcPr>
          <w:p>
            <w:pPr>
              <w:pStyle w:val="TableParagraph"/>
              <w:spacing w:before="43"/>
              <w:jc w:val="right"/>
              <w:rPr>
                <w:sz w:val="18"/>
              </w:rPr>
            </w:pPr>
            <w:r>
              <w:rPr>
                <w:color w:val="231F20"/>
                <w:spacing w:val="-2"/>
                <w:w w:val="105"/>
                <w:sz w:val="18"/>
              </w:rPr>
              <w:t>3,000</w:t>
            </w:r>
          </w:p>
        </w:tc>
      </w:tr>
      <w:tr>
        <w:trPr>
          <w:trHeight w:val="290" w:hRule="atLeast"/>
        </w:trPr>
        <w:tc>
          <w:tcPr>
            <w:tcW w:w="1476" w:type="dxa"/>
          </w:tcPr>
          <w:p>
            <w:pPr>
              <w:pStyle w:val="TableParagraph"/>
              <w:spacing w:before="0"/>
              <w:jc w:val="left"/>
              <w:rPr>
                <w:rFonts w:ascii="Times New Roman"/>
                <w:sz w:val="18"/>
              </w:rPr>
            </w:pPr>
          </w:p>
        </w:tc>
        <w:tc>
          <w:tcPr>
            <w:tcW w:w="622" w:type="dxa"/>
          </w:tcPr>
          <w:p>
            <w:pPr>
              <w:pStyle w:val="TableParagraph"/>
              <w:spacing w:before="0"/>
              <w:jc w:val="left"/>
              <w:rPr>
                <w:rFonts w:ascii="Times New Roman"/>
                <w:sz w:val="18"/>
              </w:rPr>
            </w:pPr>
          </w:p>
        </w:tc>
        <w:tc>
          <w:tcPr>
            <w:tcW w:w="1773" w:type="dxa"/>
          </w:tcPr>
          <w:p>
            <w:pPr>
              <w:pStyle w:val="TableParagraph"/>
              <w:spacing w:before="0"/>
              <w:jc w:val="left"/>
              <w:rPr>
                <w:rFonts w:ascii="Times New Roman"/>
                <w:sz w:val="18"/>
              </w:rPr>
            </w:pPr>
          </w:p>
        </w:tc>
        <w:tc>
          <w:tcPr>
            <w:tcW w:w="771" w:type="dxa"/>
          </w:tcPr>
          <w:p>
            <w:pPr>
              <w:pStyle w:val="TableParagraph"/>
              <w:spacing w:before="0"/>
              <w:jc w:val="left"/>
              <w:rPr>
                <w:rFonts w:ascii="Times New Roman"/>
                <w:sz w:val="18"/>
              </w:rPr>
            </w:pPr>
          </w:p>
        </w:tc>
        <w:tc>
          <w:tcPr>
            <w:tcW w:w="169" w:type="dxa"/>
          </w:tcPr>
          <w:p>
            <w:pPr>
              <w:pStyle w:val="TableParagraph"/>
              <w:spacing w:before="0"/>
              <w:jc w:val="left"/>
              <w:rPr>
                <w:rFonts w:ascii="Times New Roman"/>
                <w:sz w:val="18"/>
              </w:rPr>
            </w:pPr>
          </w:p>
        </w:tc>
        <w:tc>
          <w:tcPr>
            <w:tcW w:w="120" w:type="dxa"/>
          </w:tcPr>
          <w:p>
            <w:pPr>
              <w:pStyle w:val="TableParagraph"/>
              <w:spacing w:before="0"/>
              <w:jc w:val="left"/>
              <w:rPr>
                <w:rFonts w:ascii="Times New Roman"/>
                <w:sz w:val="18"/>
              </w:rPr>
            </w:pPr>
          </w:p>
        </w:tc>
        <w:tc>
          <w:tcPr>
            <w:tcW w:w="641" w:type="dxa"/>
            <w:tcBorders>
              <w:top w:val="single" w:sz="4" w:space="0" w:color="231F20"/>
            </w:tcBorders>
          </w:tcPr>
          <w:p>
            <w:pPr>
              <w:pStyle w:val="TableParagraph"/>
              <w:spacing w:before="36"/>
              <w:ind w:right="1"/>
              <w:jc w:val="right"/>
              <w:rPr>
                <w:sz w:val="18"/>
              </w:rPr>
            </w:pPr>
            <w:r>
              <w:rPr>
                <w:color w:val="231F20"/>
                <w:spacing w:val="-2"/>
                <w:sz w:val="18"/>
              </w:rPr>
              <w:t>$33,000</w:t>
            </w:r>
          </w:p>
        </w:tc>
      </w:tr>
      <w:tr>
        <w:trPr>
          <w:trHeight w:val="302" w:hRule="atLeast"/>
        </w:trPr>
        <w:tc>
          <w:tcPr>
            <w:tcW w:w="5572" w:type="dxa"/>
            <w:gridSpan w:val="7"/>
          </w:tcPr>
          <w:p>
            <w:pPr>
              <w:pStyle w:val="TableParagraph"/>
              <w:spacing w:before="45"/>
              <w:ind w:left="50"/>
              <w:jc w:val="left"/>
              <w:rPr>
                <w:b/>
                <w:sz w:val="18"/>
              </w:rPr>
            </w:pPr>
            <w:r>
              <w:rPr>
                <w:b/>
                <w:color w:val="231F20"/>
                <w:w w:val="95"/>
                <w:sz w:val="18"/>
              </w:rPr>
              <w:t>Adjust</w:t>
            </w:r>
            <w:r>
              <w:rPr>
                <w:b/>
                <w:color w:val="231F20"/>
                <w:spacing w:val="5"/>
                <w:sz w:val="18"/>
              </w:rPr>
              <w:t> </w:t>
            </w:r>
            <w:r>
              <w:rPr>
                <w:b/>
                <w:color w:val="231F20"/>
                <w:w w:val="95"/>
                <w:sz w:val="18"/>
              </w:rPr>
              <w:t>for</w:t>
            </w:r>
            <w:r>
              <w:rPr>
                <w:b/>
                <w:color w:val="231F20"/>
                <w:spacing w:val="6"/>
                <w:sz w:val="18"/>
              </w:rPr>
              <w:t> </w:t>
            </w:r>
            <w:r>
              <w:rPr>
                <w:b/>
                <w:color w:val="231F20"/>
                <w:w w:val="95"/>
                <w:sz w:val="18"/>
              </w:rPr>
              <w:t>Changes</w:t>
            </w:r>
            <w:r>
              <w:rPr>
                <w:b/>
                <w:color w:val="231F20"/>
                <w:spacing w:val="5"/>
                <w:sz w:val="18"/>
              </w:rPr>
              <w:t> </w:t>
            </w:r>
            <w:r>
              <w:rPr>
                <w:b/>
                <w:color w:val="231F20"/>
                <w:w w:val="95"/>
                <w:sz w:val="18"/>
              </w:rPr>
              <w:t>in</w:t>
            </w:r>
            <w:r>
              <w:rPr>
                <w:b/>
                <w:color w:val="231F20"/>
                <w:spacing w:val="6"/>
                <w:sz w:val="18"/>
              </w:rPr>
              <w:t> </w:t>
            </w:r>
            <w:r>
              <w:rPr>
                <w:b/>
                <w:color w:val="231F20"/>
                <w:w w:val="95"/>
                <w:sz w:val="18"/>
              </w:rPr>
              <w:t>Working</w:t>
            </w:r>
            <w:r>
              <w:rPr>
                <w:b/>
                <w:color w:val="231F20"/>
                <w:spacing w:val="6"/>
                <w:sz w:val="18"/>
              </w:rPr>
              <w:t> </w:t>
            </w:r>
            <w:r>
              <w:rPr>
                <w:b/>
                <w:color w:val="231F20"/>
                <w:spacing w:val="-2"/>
                <w:w w:val="95"/>
                <w:sz w:val="18"/>
              </w:rPr>
              <w:t>Capital</w:t>
            </w:r>
          </w:p>
        </w:tc>
      </w:tr>
      <w:tr>
        <w:trPr>
          <w:trHeight w:val="447" w:hRule="atLeast"/>
        </w:trPr>
        <w:tc>
          <w:tcPr>
            <w:tcW w:w="5572" w:type="dxa"/>
            <w:gridSpan w:val="7"/>
          </w:tcPr>
          <w:p>
            <w:pPr>
              <w:pStyle w:val="TableParagraph"/>
              <w:spacing w:before="43"/>
              <w:ind w:left="50"/>
              <w:jc w:val="left"/>
              <w:rPr>
                <w:sz w:val="18"/>
              </w:rPr>
            </w:pPr>
            <w:r>
              <w:rPr>
                <w:color w:val="231F20"/>
                <w:sz w:val="18"/>
              </w:rPr>
              <w:t>Increases</w:t>
            </w:r>
            <w:r>
              <w:rPr>
                <w:color w:val="231F20"/>
                <w:spacing w:val="-1"/>
                <w:sz w:val="18"/>
              </w:rPr>
              <w:t> </w:t>
            </w:r>
            <w:r>
              <w:rPr>
                <w:color w:val="231F20"/>
                <w:sz w:val="18"/>
              </w:rPr>
              <w:t>and</w:t>
            </w:r>
            <w:r>
              <w:rPr>
                <w:color w:val="231F20"/>
                <w:spacing w:val="-1"/>
                <w:sz w:val="18"/>
              </w:rPr>
              <w:t> </w:t>
            </w:r>
            <w:r>
              <w:rPr>
                <w:color w:val="231F20"/>
                <w:sz w:val="18"/>
              </w:rPr>
              <w:t>Decreases</w:t>
            </w:r>
            <w:r>
              <w:rPr>
                <w:color w:val="231F20"/>
                <w:spacing w:val="-1"/>
                <w:sz w:val="18"/>
              </w:rPr>
              <w:t> </w:t>
            </w:r>
            <w:r>
              <w:rPr>
                <w:color w:val="231F20"/>
                <w:sz w:val="18"/>
              </w:rPr>
              <w:t>During</w:t>
            </w:r>
            <w:r>
              <w:rPr>
                <w:color w:val="231F20"/>
                <w:spacing w:val="-1"/>
                <w:sz w:val="18"/>
              </w:rPr>
              <w:t> </w:t>
            </w:r>
            <w:r>
              <w:rPr>
                <w:color w:val="231F20"/>
                <w:sz w:val="18"/>
              </w:rPr>
              <w:t>the </w:t>
            </w:r>
            <w:r>
              <w:rPr>
                <w:color w:val="231F20"/>
                <w:spacing w:val="-4"/>
                <w:sz w:val="18"/>
              </w:rPr>
              <w:t>Year</w:t>
            </w:r>
          </w:p>
        </w:tc>
      </w:tr>
      <w:tr>
        <w:trPr>
          <w:trHeight w:val="452" w:hRule="atLeast"/>
        </w:trPr>
        <w:tc>
          <w:tcPr>
            <w:tcW w:w="1476" w:type="dxa"/>
          </w:tcPr>
          <w:p>
            <w:pPr>
              <w:pStyle w:val="TableParagraph"/>
              <w:spacing w:before="195"/>
              <w:ind w:left="230"/>
              <w:jc w:val="left"/>
              <w:rPr>
                <w:b/>
                <w:sz w:val="18"/>
              </w:rPr>
            </w:pPr>
            <w:r>
              <w:rPr>
                <w:b/>
                <w:color w:val="231F20"/>
                <w:w w:val="95"/>
                <w:sz w:val="18"/>
              </w:rPr>
              <w:t>Current</w:t>
            </w:r>
            <w:r>
              <w:rPr>
                <w:b/>
                <w:color w:val="231F20"/>
                <w:spacing w:val="3"/>
                <w:sz w:val="18"/>
              </w:rPr>
              <w:t> </w:t>
            </w:r>
            <w:r>
              <w:rPr>
                <w:b/>
                <w:color w:val="231F20"/>
                <w:spacing w:val="-2"/>
                <w:sz w:val="18"/>
              </w:rPr>
              <w:t>Assets</w:t>
            </w:r>
          </w:p>
        </w:tc>
        <w:tc>
          <w:tcPr>
            <w:tcW w:w="622" w:type="dxa"/>
          </w:tcPr>
          <w:p>
            <w:pPr>
              <w:pStyle w:val="TableParagraph"/>
              <w:spacing w:before="0"/>
              <w:jc w:val="left"/>
              <w:rPr>
                <w:rFonts w:ascii="Times New Roman"/>
                <w:sz w:val="18"/>
              </w:rPr>
            </w:pPr>
          </w:p>
        </w:tc>
        <w:tc>
          <w:tcPr>
            <w:tcW w:w="1773" w:type="dxa"/>
          </w:tcPr>
          <w:p>
            <w:pPr>
              <w:pStyle w:val="TableParagraph"/>
              <w:spacing w:before="0"/>
              <w:jc w:val="left"/>
              <w:rPr>
                <w:rFonts w:ascii="Times New Roman"/>
                <w:sz w:val="18"/>
              </w:rPr>
            </w:pPr>
          </w:p>
        </w:tc>
        <w:tc>
          <w:tcPr>
            <w:tcW w:w="771" w:type="dxa"/>
          </w:tcPr>
          <w:p>
            <w:pPr>
              <w:pStyle w:val="TableParagraph"/>
              <w:spacing w:before="0"/>
              <w:jc w:val="left"/>
              <w:rPr>
                <w:rFonts w:ascii="Times New Roman"/>
                <w:sz w:val="18"/>
              </w:rPr>
            </w:pPr>
          </w:p>
        </w:tc>
        <w:tc>
          <w:tcPr>
            <w:tcW w:w="169" w:type="dxa"/>
          </w:tcPr>
          <w:p>
            <w:pPr>
              <w:pStyle w:val="TableParagraph"/>
              <w:spacing w:before="0"/>
              <w:jc w:val="left"/>
              <w:rPr>
                <w:rFonts w:ascii="Times New Roman"/>
                <w:sz w:val="18"/>
              </w:rPr>
            </w:pPr>
          </w:p>
        </w:tc>
        <w:tc>
          <w:tcPr>
            <w:tcW w:w="120" w:type="dxa"/>
          </w:tcPr>
          <w:p>
            <w:pPr>
              <w:pStyle w:val="TableParagraph"/>
              <w:spacing w:before="0"/>
              <w:jc w:val="left"/>
              <w:rPr>
                <w:rFonts w:ascii="Times New Roman"/>
                <w:sz w:val="18"/>
              </w:rPr>
            </w:pPr>
          </w:p>
        </w:tc>
        <w:tc>
          <w:tcPr>
            <w:tcW w:w="641" w:type="dxa"/>
          </w:tcPr>
          <w:p>
            <w:pPr>
              <w:pStyle w:val="TableParagraph"/>
              <w:spacing w:before="0"/>
              <w:jc w:val="left"/>
              <w:rPr>
                <w:rFonts w:ascii="Times New Roman"/>
                <w:sz w:val="18"/>
              </w:rPr>
            </w:pPr>
          </w:p>
        </w:tc>
      </w:tr>
      <w:tr>
        <w:trPr>
          <w:trHeight w:val="300" w:hRule="atLeast"/>
        </w:trPr>
        <w:tc>
          <w:tcPr>
            <w:tcW w:w="2098" w:type="dxa"/>
            <w:gridSpan w:val="2"/>
          </w:tcPr>
          <w:p>
            <w:pPr>
              <w:pStyle w:val="TableParagraph"/>
              <w:spacing w:before="43"/>
              <w:ind w:left="230"/>
              <w:jc w:val="left"/>
              <w:rPr>
                <w:sz w:val="18"/>
              </w:rPr>
            </w:pPr>
            <w:r>
              <w:rPr>
                <w:color w:val="231F20"/>
                <w:sz w:val="18"/>
              </w:rPr>
              <w:t>Customer</w:t>
            </w:r>
            <w:r>
              <w:rPr>
                <w:color w:val="231F20"/>
                <w:spacing w:val="17"/>
                <w:sz w:val="18"/>
              </w:rPr>
              <w:t> </w:t>
            </w:r>
            <w:r>
              <w:rPr>
                <w:color w:val="231F20"/>
                <w:spacing w:val="-2"/>
                <w:sz w:val="18"/>
              </w:rPr>
              <w:t>Receivables</w:t>
            </w:r>
          </w:p>
        </w:tc>
        <w:tc>
          <w:tcPr>
            <w:tcW w:w="1773" w:type="dxa"/>
          </w:tcPr>
          <w:p>
            <w:pPr>
              <w:pStyle w:val="TableParagraph"/>
              <w:spacing w:before="43"/>
              <w:ind w:left="21"/>
              <w:jc w:val="left"/>
              <w:rPr>
                <w:sz w:val="18"/>
              </w:rPr>
            </w:pPr>
            <w:r>
              <w:rPr>
                <w:color w:val="231F20"/>
                <w:w w:val="95"/>
                <w:sz w:val="18"/>
              </w:rPr>
              <w:t>(Increase)</w:t>
            </w:r>
            <w:r>
              <w:rPr>
                <w:color w:val="231F20"/>
                <w:spacing w:val="2"/>
                <w:sz w:val="18"/>
              </w:rPr>
              <w:t> </w:t>
            </w:r>
            <w:r>
              <w:rPr>
                <w:color w:val="231F20"/>
                <w:spacing w:val="-2"/>
                <w:sz w:val="18"/>
              </w:rPr>
              <w:t>Decrease</w:t>
            </w:r>
          </w:p>
        </w:tc>
        <w:tc>
          <w:tcPr>
            <w:tcW w:w="771" w:type="dxa"/>
          </w:tcPr>
          <w:p>
            <w:pPr>
              <w:pStyle w:val="TableParagraph"/>
              <w:spacing w:before="43"/>
              <w:jc w:val="right"/>
              <w:rPr>
                <w:sz w:val="18"/>
              </w:rPr>
            </w:pPr>
            <w:r>
              <w:rPr>
                <w:color w:val="231F20"/>
                <w:spacing w:val="-2"/>
                <w:sz w:val="18"/>
              </w:rPr>
              <w:t>$(10,000)</w:t>
            </w:r>
          </w:p>
        </w:tc>
        <w:tc>
          <w:tcPr>
            <w:tcW w:w="169" w:type="dxa"/>
          </w:tcPr>
          <w:p>
            <w:pPr>
              <w:pStyle w:val="TableParagraph"/>
              <w:spacing w:before="0"/>
              <w:jc w:val="left"/>
              <w:rPr>
                <w:rFonts w:ascii="Times New Roman"/>
                <w:sz w:val="18"/>
              </w:rPr>
            </w:pPr>
          </w:p>
        </w:tc>
        <w:tc>
          <w:tcPr>
            <w:tcW w:w="120" w:type="dxa"/>
          </w:tcPr>
          <w:p>
            <w:pPr>
              <w:pStyle w:val="TableParagraph"/>
              <w:spacing w:before="0"/>
              <w:jc w:val="left"/>
              <w:rPr>
                <w:rFonts w:ascii="Times New Roman"/>
                <w:sz w:val="18"/>
              </w:rPr>
            </w:pPr>
          </w:p>
        </w:tc>
        <w:tc>
          <w:tcPr>
            <w:tcW w:w="641" w:type="dxa"/>
          </w:tcPr>
          <w:p>
            <w:pPr>
              <w:pStyle w:val="TableParagraph"/>
              <w:spacing w:before="0"/>
              <w:jc w:val="left"/>
              <w:rPr>
                <w:rFonts w:ascii="Times New Roman"/>
                <w:sz w:val="18"/>
              </w:rPr>
            </w:pPr>
          </w:p>
        </w:tc>
      </w:tr>
      <w:tr>
        <w:trPr>
          <w:trHeight w:val="447" w:hRule="atLeast"/>
        </w:trPr>
        <w:tc>
          <w:tcPr>
            <w:tcW w:w="1476" w:type="dxa"/>
          </w:tcPr>
          <w:p>
            <w:pPr>
              <w:pStyle w:val="TableParagraph"/>
              <w:spacing w:before="43"/>
              <w:ind w:right="44"/>
              <w:jc w:val="right"/>
              <w:rPr>
                <w:sz w:val="18"/>
              </w:rPr>
            </w:pPr>
            <w:r>
              <w:rPr>
                <w:color w:val="231F20"/>
                <w:sz w:val="18"/>
              </w:rPr>
              <w:t>Store</w:t>
            </w:r>
            <w:r>
              <w:rPr>
                <w:color w:val="231F20"/>
                <w:spacing w:val="1"/>
                <w:sz w:val="18"/>
              </w:rPr>
              <w:t> </w:t>
            </w:r>
            <w:r>
              <w:rPr>
                <w:color w:val="231F20"/>
                <w:spacing w:val="-2"/>
                <w:sz w:val="18"/>
              </w:rPr>
              <w:t>Inventory</w:t>
            </w:r>
          </w:p>
        </w:tc>
        <w:tc>
          <w:tcPr>
            <w:tcW w:w="2395" w:type="dxa"/>
            <w:gridSpan w:val="2"/>
          </w:tcPr>
          <w:p>
            <w:pPr>
              <w:pStyle w:val="TableParagraph"/>
              <w:spacing w:before="43"/>
              <w:ind w:left="133"/>
              <w:jc w:val="left"/>
              <w:rPr>
                <w:sz w:val="18"/>
              </w:rPr>
            </w:pPr>
            <w:r>
              <w:rPr>
                <w:color w:val="231F20"/>
                <w:w w:val="95"/>
                <w:sz w:val="18"/>
              </w:rPr>
              <w:t>(Increase)</w:t>
            </w:r>
            <w:r>
              <w:rPr>
                <w:color w:val="231F20"/>
                <w:spacing w:val="2"/>
                <w:sz w:val="18"/>
              </w:rPr>
              <w:t> </w:t>
            </w:r>
            <w:r>
              <w:rPr>
                <w:color w:val="231F20"/>
                <w:spacing w:val="-2"/>
                <w:sz w:val="18"/>
              </w:rPr>
              <w:t>Decrease</w:t>
            </w:r>
          </w:p>
        </w:tc>
        <w:tc>
          <w:tcPr>
            <w:tcW w:w="771" w:type="dxa"/>
          </w:tcPr>
          <w:p>
            <w:pPr>
              <w:pStyle w:val="TableParagraph"/>
              <w:spacing w:before="43"/>
              <w:ind w:right="1"/>
              <w:jc w:val="right"/>
              <w:rPr>
                <w:sz w:val="18"/>
              </w:rPr>
            </w:pPr>
            <w:r>
              <w:rPr>
                <w:color w:val="231F20"/>
                <w:spacing w:val="-2"/>
                <w:w w:val="95"/>
                <w:sz w:val="18"/>
              </w:rPr>
              <w:t>(100,000)</w:t>
            </w:r>
          </w:p>
        </w:tc>
        <w:tc>
          <w:tcPr>
            <w:tcW w:w="169" w:type="dxa"/>
          </w:tcPr>
          <w:p>
            <w:pPr>
              <w:pStyle w:val="TableParagraph"/>
              <w:spacing w:before="0"/>
              <w:jc w:val="left"/>
              <w:rPr>
                <w:rFonts w:ascii="Times New Roman"/>
                <w:sz w:val="18"/>
              </w:rPr>
            </w:pPr>
          </w:p>
        </w:tc>
        <w:tc>
          <w:tcPr>
            <w:tcW w:w="120" w:type="dxa"/>
          </w:tcPr>
          <w:p>
            <w:pPr>
              <w:pStyle w:val="TableParagraph"/>
              <w:spacing w:before="0"/>
              <w:jc w:val="left"/>
              <w:rPr>
                <w:rFonts w:ascii="Times New Roman"/>
                <w:sz w:val="18"/>
              </w:rPr>
            </w:pPr>
          </w:p>
        </w:tc>
        <w:tc>
          <w:tcPr>
            <w:tcW w:w="641" w:type="dxa"/>
          </w:tcPr>
          <w:p>
            <w:pPr>
              <w:pStyle w:val="TableParagraph"/>
              <w:spacing w:before="0"/>
              <w:jc w:val="left"/>
              <w:rPr>
                <w:rFonts w:ascii="Times New Roman"/>
                <w:sz w:val="18"/>
              </w:rPr>
            </w:pPr>
          </w:p>
        </w:tc>
      </w:tr>
      <w:tr>
        <w:trPr>
          <w:trHeight w:val="452" w:hRule="atLeast"/>
        </w:trPr>
        <w:tc>
          <w:tcPr>
            <w:tcW w:w="5572" w:type="dxa"/>
            <w:gridSpan w:val="7"/>
          </w:tcPr>
          <w:p>
            <w:pPr>
              <w:pStyle w:val="TableParagraph"/>
              <w:spacing w:before="195"/>
              <w:ind w:left="230"/>
              <w:jc w:val="left"/>
              <w:rPr>
                <w:b/>
                <w:sz w:val="18"/>
              </w:rPr>
            </w:pPr>
            <w:r>
              <w:rPr>
                <w:b/>
                <w:color w:val="231F20"/>
                <w:w w:val="95"/>
                <w:sz w:val="18"/>
              </w:rPr>
              <w:t>Current</w:t>
            </w:r>
            <w:r>
              <w:rPr>
                <w:b/>
                <w:color w:val="231F20"/>
                <w:spacing w:val="3"/>
                <w:sz w:val="18"/>
              </w:rPr>
              <w:t> </w:t>
            </w:r>
            <w:r>
              <w:rPr>
                <w:b/>
                <w:color w:val="231F20"/>
                <w:spacing w:val="-2"/>
                <w:sz w:val="18"/>
              </w:rPr>
              <w:t>Liabilities</w:t>
            </w:r>
          </w:p>
        </w:tc>
      </w:tr>
      <w:tr>
        <w:trPr>
          <w:trHeight w:val="300" w:hRule="atLeast"/>
        </w:trPr>
        <w:tc>
          <w:tcPr>
            <w:tcW w:w="1476" w:type="dxa"/>
          </w:tcPr>
          <w:p>
            <w:pPr>
              <w:pStyle w:val="TableParagraph"/>
              <w:spacing w:before="43"/>
              <w:ind w:right="26"/>
              <w:jc w:val="right"/>
              <w:rPr>
                <w:sz w:val="18"/>
              </w:rPr>
            </w:pPr>
            <w:r>
              <w:rPr>
                <w:color w:val="231F20"/>
                <w:sz w:val="18"/>
              </w:rPr>
              <w:t>Vendor</w:t>
            </w:r>
            <w:r>
              <w:rPr>
                <w:color w:val="231F20"/>
                <w:spacing w:val="7"/>
                <w:sz w:val="18"/>
              </w:rPr>
              <w:t> </w:t>
            </w:r>
            <w:r>
              <w:rPr>
                <w:color w:val="231F20"/>
                <w:spacing w:val="-2"/>
                <w:sz w:val="18"/>
              </w:rPr>
              <w:t>Payable</w:t>
            </w:r>
          </w:p>
        </w:tc>
        <w:tc>
          <w:tcPr>
            <w:tcW w:w="2395" w:type="dxa"/>
            <w:gridSpan w:val="2"/>
          </w:tcPr>
          <w:p>
            <w:pPr>
              <w:pStyle w:val="TableParagraph"/>
              <w:spacing w:before="43"/>
              <w:ind w:left="151"/>
              <w:jc w:val="left"/>
              <w:rPr>
                <w:sz w:val="18"/>
              </w:rPr>
            </w:pPr>
            <w:r>
              <w:rPr>
                <w:color w:val="231F20"/>
                <w:w w:val="95"/>
                <w:sz w:val="18"/>
              </w:rPr>
              <w:t>Increase</w:t>
            </w:r>
            <w:r>
              <w:rPr>
                <w:color w:val="231F20"/>
                <w:spacing w:val="16"/>
                <w:sz w:val="18"/>
              </w:rPr>
              <w:t> </w:t>
            </w:r>
            <w:r>
              <w:rPr>
                <w:color w:val="231F20"/>
                <w:spacing w:val="-2"/>
                <w:w w:val="95"/>
                <w:sz w:val="18"/>
              </w:rPr>
              <w:t>(Decrease)</w:t>
            </w:r>
          </w:p>
        </w:tc>
        <w:tc>
          <w:tcPr>
            <w:tcW w:w="771" w:type="dxa"/>
          </w:tcPr>
          <w:p>
            <w:pPr>
              <w:pStyle w:val="TableParagraph"/>
              <w:spacing w:before="43"/>
              <w:ind w:right="1"/>
              <w:jc w:val="right"/>
              <w:rPr>
                <w:sz w:val="18"/>
              </w:rPr>
            </w:pPr>
            <w:r>
              <w:rPr>
                <w:color w:val="231F20"/>
                <w:spacing w:val="-2"/>
                <w:sz w:val="18"/>
              </w:rPr>
              <w:t>80,000</w:t>
            </w:r>
          </w:p>
        </w:tc>
        <w:tc>
          <w:tcPr>
            <w:tcW w:w="169" w:type="dxa"/>
          </w:tcPr>
          <w:p>
            <w:pPr>
              <w:pStyle w:val="TableParagraph"/>
              <w:spacing w:before="0"/>
              <w:jc w:val="left"/>
              <w:rPr>
                <w:rFonts w:ascii="Times New Roman"/>
                <w:sz w:val="18"/>
              </w:rPr>
            </w:pPr>
          </w:p>
        </w:tc>
        <w:tc>
          <w:tcPr>
            <w:tcW w:w="120" w:type="dxa"/>
          </w:tcPr>
          <w:p>
            <w:pPr>
              <w:pStyle w:val="TableParagraph"/>
              <w:spacing w:before="0"/>
              <w:jc w:val="left"/>
              <w:rPr>
                <w:rFonts w:ascii="Times New Roman"/>
                <w:sz w:val="18"/>
              </w:rPr>
            </w:pPr>
          </w:p>
        </w:tc>
        <w:tc>
          <w:tcPr>
            <w:tcW w:w="641" w:type="dxa"/>
          </w:tcPr>
          <w:p>
            <w:pPr>
              <w:pStyle w:val="TableParagraph"/>
              <w:spacing w:before="0"/>
              <w:jc w:val="left"/>
              <w:rPr>
                <w:rFonts w:ascii="Times New Roman"/>
                <w:sz w:val="18"/>
              </w:rPr>
            </w:pPr>
          </w:p>
        </w:tc>
      </w:tr>
      <w:tr>
        <w:trPr>
          <w:trHeight w:val="300" w:hRule="atLeast"/>
        </w:trPr>
        <w:tc>
          <w:tcPr>
            <w:tcW w:w="1476" w:type="dxa"/>
          </w:tcPr>
          <w:p>
            <w:pPr>
              <w:pStyle w:val="TableParagraph"/>
              <w:spacing w:before="43"/>
              <w:ind w:right="99"/>
              <w:jc w:val="right"/>
              <w:rPr>
                <w:sz w:val="18"/>
              </w:rPr>
            </w:pPr>
            <w:r>
              <w:rPr>
                <w:color w:val="231F20"/>
                <w:sz w:val="18"/>
              </w:rPr>
              <w:t>Wages</w:t>
            </w:r>
            <w:r>
              <w:rPr>
                <w:color w:val="231F20"/>
                <w:spacing w:val="-7"/>
                <w:sz w:val="18"/>
              </w:rPr>
              <w:t> </w:t>
            </w:r>
            <w:r>
              <w:rPr>
                <w:color w:val="231F20"/>
                <w:spacing w:val="-2"/>
                <w:sz w:val="18"/>
              </w:rPr>
              <w:t>Payable</w:t>
            </w:r>
          </w:p>
        </w:tc>
        <w:tc>
          <w:tcPr>
            <w:tcW w:w="2395" w:type="dxa"/>
            <w:gridSpan w:val="2"/>
          </w:tcPr>
          <w:p>
            <w:pPr>
              <w:pStyle w:val="TableParagraph"/>
              <w:spacing w:before="43"/>
              <w:ind w:left="78"/>
              <w:jc w:val="left"/>
              <w:rPr>
                <w:sz w:val="18"/>
              </w:rPr>
            </w:pPr>
            <w:r>
              <w:rPr>
                <w:color w:val="231F20"/>
                <w:w w:val="95"/>
                <w:sz w:val="18"/>
              </w:rPr>
              <w:t>Increase</w:t>
            </w:r>
            <w:r>
              <w:rPr>
                <w:color w:val="231F20"/>
                <w:spacing w:val="16"/>
                <w:sz w:val="18"/>
              </w:rPr>
              <w:t> </w:t>
            </w:r>
            <w:r>
              <w:rPr>
                <w:color w:val="231F20"/>
                <w:spacing w:val="-2"/>
                <w:w w:val="95"/>
                <w:sz w:val="18"/>
              </w:rPr>
              <w:t>(Decrease)</w:t>
            </w:r>
          </w:p>
        </w:tc>
        <w:tc>
          <w:tcPr>
            <w:tcW w:w="771" w:type="dxa"/>
          </w:tcPr>
          <w:p>
            <w:pPr>
              <w:pStyle w:val="TableParagraph"/>
              <w:spacing w:before="43"/>
              <w:ind w:right="1"/>
              <w:jc w:val="right"/>
              <w:rPr>
                <w:sz w:val="18"/>
              </w:rPr>
            </w:pPr>
            <w:r>
              <w:rPr>
                <w:color w:val="231F20"/>
                <w:spacing w:val="-2"/>
                <w:w w:val="105"/>
                <w:sz w:val="18"/>
              </w:rPr>
              <w:t>5,000</w:t>
            </w:r>
          </w:p>
        </w:tc>
        <w:tc>
          <w:tcPr>
            <w:tcW w:w="169" w:type="dxa"/>
          </w:tcPr>
          <w:p>
            <w:pPr>
              <w:pStyle w:val="TableParagraph"/>
              <w:spacing w:before="0"/>
              <w:jc w:val="left"/>
              <w:rPr>
                <w:rFonts w:ascii="Times New Roman"/>
                <w:sz w:val="18"/>
              </w:rPr>
            </w:pPr>
          </w:p>
        </w:tc>
        <w:tc>
          <w:tcPr>
            <w:tcW w:w="120" w:type="dxa"/>
          </w:tcPr>
          <w:p>
            <w:pPr>
              <w:pStyle w:val="TableParagraph"/>
              <w:spacing w:before="0"/>
              <w:jc w:val="left"/>
              <w:rPr>
                <w:rFonts w:ascii="Times New Roman"/>
                <w:sz w:val="18"/>
              </w:rPr>
            </w:pPr>
          </w:p>
        </w:tc>
        <w:tc>
          <w:tcPr>
            <w:tcW w:w="641" w:type="dxa"/>
          </w:tcPr>
          <w:p>
            <w:pPr>
              <w:pStyle w:val="TableParagraph"/>
              <w:spacing w:before="0"/>
              <w:jc w:val="left"/>
              <w:rPr>
                <w:rFonts w:ascii="Times New Roman"/>
                <w:sz w:val="18"/>
              </w:rPr>
            </w:pPr>
          </w:p>
        </w:tc>
      </w:tr>
      <w:tr>
        <w:trPr>
          <w:trHeight w:val="297" w:hRule="atLeast"/>
        </w:trPr>
        <w:tc>
          <w:tcPr>
            <w:tcW w:w="1476" w:type="dxa"/>
          </w:tcPr>
          <w:p>
            <w:pPr>
              <w:pStyle w:val="TableParagraph"/>
              <w:spacing w:before="43"/>
              <w:ind w:left="230"/>
              <w:jc w:val="left"/>
              <w:rPr>
                <w:sz w:val="18"/>
              </w:rPr>
            </w:pPr>
            <w:r>
              <w:rPr>
                <w:color w:val="231F20"/>
                <w:sz w:val="18"/>
              </w:rPr>
              <w:t>Taxes</w:t>
            </w:r>
            <w:r>
              <w:rPr>
                <w:color w:val="231F20"/>
                <w:spacing w:val="3"/>
                <w:sz w:val="18"/>
              </w:rPr>
              <w:t> </w:t>
            </w:r>
            <w:r>
              <w:rPr>
                <w:color w:val="231F20"/>
                <w:spacing w:val="-2"/>
                <w:sz w:val="18"/>
              </w:rPr>
              <w:t>Payable</w:t>
            </w:r>
          </w:p>
        </w:tc>
        <w:tc>
          <w:tcPr>
            <w:tcW w:w="2395" w:type="dxa"/>
            <w:gridSpan w:val="2"/>
          </w:tcPr>
          <w:p>
            <w:pPr>
              <w:pStyle w:val="TableParagraph"/>
              <w:spacing w:before="43"/>
              <w:ind w:left="28"/>
              <w:jc w:val="left"/>
              <w:rPr>
                <w:sz w:val="18"/>
              </w:rPr>
            </w:pPr>
            <w:r>
              <w:rPr>
                <w:color w:val="231F20"/>
                <w:w w:val="95"/>
                <w:sz w:val="18"/>
              </w:rPr>
              <w:t>Increase</w:t>
            </w:r>
            <w:r>
              <w:rPr>
                <w:color w:val="231F20"/>
                <w:spacing w:val="16"/>
                <w:sz w:val="18"/>
              </w:rPr>
              <w:t> </w:t>
            </w:r>
            <w:r>
              <w:rPr>
                <w:color w:val="231F20"/>
                <w:spacing w:val="-2"/>
                <w:w w:val="95"/>
                <w:sz w:val="18"/>
              </w:rPr>
              <w:t>(Decrease)</w:t>
            </w:r>
          </w:p>
        </w:tc>
        <w:tc>
          <w:tcPr>
            <w:tcW w:w="771" w:type="dxa"/>
            <w:tcBorders>
              <w:bottom w:val="single" w:sz="4" w:space="0" w:color="231F20"/>
            </w:tcBorders>
          </w:tcPr>
          <w:p>
            <w:pPr>
              <w:pStyle w:val="TableParagraph"/>
              <w:spacing w:before="43"/>
              <w:ind w:right="1"/>
              <w:jc w:val="right"/>
              <w:rPr>
                <w:sz w:val="18"/>
              </w:rPr>
            </w:pPr>
            <w:r>
              <w:rPr>
                <w:color w:val="231F20"/>
                <w:spacing w:val="-2"/>
                <w:w w:val="105"/>
                <w:sz w:val="18"/>
              </w:rPr>
              <w:t>2,000</w:t>
            </w:r>
          </w:p>
        </w:tc>
        <w:tc>
          <w:tcPr>
            <w:tcW w:w="169" w:type="dxa"/>
          </w:tcPr>
          <w:p>
            <w:pPr>
              <w:pStyle w:val="TableParagraph"/>
              <w:spacing w:before="0"/>
              <w:jc w:val="left"/>
              <w:rPr>
                <w:rFonts w:ascii="Times New Roman"/>
                <w:sz w:val="18"/>
              </w:rPr>
            </w:pPr>
          </w:p>
        </w:tc>
        <w:tc>
          <w:tcPr>
            <w:tcW w:w="120" w:type="dxa"/>
          </w:tcPr>
          <w:p>
            <w:pPr>
              <w:pStyle w:val="TableParagraph"/>
              <w:spacing w:before="0"/>
              <w:jc w:val="left"/>
              <w:rPr>
                <w:rFonts w:ascii="Times New Roman"/>
                <w:sz w:val="18"/>
              </w:rPr>
            </w:pPr>
          </w:p>
        </w:tc>
        <w:tc>
          <w:tcPr>
            <w:tcW w:w="641" w:type="dxa"/>
          </w:tcPr>
          <w:p>
            <w:pPr>
              <w:pStyle w:val="TableParagraph"/>
              <w:spacing w:before="0"/>
              <w:jc w:val="left"/>
              <w:rPr>
                <w:rFonts w:ascii="Times New Roman"/>
                <w:sz w:val="18"/>
              </w:rPr>
            </w:pPr>
          </w:p>
        </w:tc>
      </w:tr>
      <w:tr>
        <w:trPr>
          <w:trHeight w:val="290" w:hRule="atLeast"/>
        </w:trPr>
        <w:tc>
          <w:tcPr>
            <w:tcW w:w="5572" w:type="dxa"/>
            <w:gridSpan w:val="7"/>
          </w:tcPr>
          <w:p>
            <w:pPr>
              <w:pStyle w:val="TableParagraph"/>
              <w:spacing w:before="36"/>
              <w:ind w:right="1"/>
              <w:jc w:val="right"/>
              <w:rPr>
                <w:sz w:val="18"/>
              </w:rPr>
            </w:pPr>
            <w:r>
              <w:rPr>
                <w:color w:val="231F20"/>
                <w:spacing w:val="-2"/>
                <w:sz w:val="18"/>
              </w:rPr>
              <w:t>$(23,000)</w:t>
            </w:r>
          </w:p>
        </w:tc>
      </w:tr>
      <w:tr>
        <w:trPr>
          <w:trHeight w:val="294" w:hRule="atLeast"/>
        </w:trPr>
        <w:tc>
          <w:tcPr>
            <w:tcW w:w="3871" w:type="dxa"/>
            <w:gridSpan w:val="3"/>
          </w:tcPr>
          <w:p>
            <w:pPr>
              <w:pStyle w:val="TableParagraph"/>
              <w:spacing w:before="36"/>
              <w:ind w:left="50"/>
              <w:jc w:val="left"/>
              <w:rPr>
                <w:b/>
                <w:sz w:val="18"/>
              </w:rPr>
            </w:pPr>
            <w:r>
              <w:rPr>
                <w:b/>
                <w:color w:val="231F20"/>
                <w:w w:val="95"/>
                <w:sz w:val="18"/>
              </w:rPr>
              <w:t>Cash</w:t>
            </w:r>
            <w:r>
              <w:rPr>
                <w:b/>
                <w:color w:val="231F20"/>
                <w:spacing w:val="12"/>
                <w:sz w:val="18"/>
              </w:rPr>
              <w:t> </w:t>
            </w:r>
            <w:r>
              <w:rPr>
                <w:b/>
                <w:color w:val="231F20"/>
                <w:w w:val="95"/>
                <w:sz w:val="18"/>
              </w:rPr>
              <w:t>Flow</w:t>
            </w:r>
            <w:r>
              <w:rPr>
                <w:b/>
                <w:color w:val="231F20"/>
                <w:spacing w:val="13"/>
                <w:sz w:val="18"/>
              </w:rPr>
              <w:t> </w:t>
            </w:r>
            <w:r>
              <w:rPr>
                <w:b/>
                <w:color w:val="231F20"/>
                <w:w w:val="95"/>
                <w:sz w:val="18"/>
              </w:rPr>
              <w:t>from</w:t>
            </w:r>
            <w:r>
              <w:rPr>
                <w:b/>
                <w:color w:val="231F20"/>
                <w:spacing w:val="13"/>
                <w:sz w:val="18"/>
              </w:rPr>
              <w:t> </w:t>
            </w:r>
            <w:r>
              <w:rPr>
                <w:b/>
                <w:color w:val="231F20"/>
                <w:w w:val="95"/>
                <w:sz w:val="18"/>
              </w:rPr>
              <w:t>Operating</w:t>
            </w:r>
            <w:r>
              <w:rPr>
                <w:b/>
                <w:color w:val="231F20"/>
                <w:spacing w:val="13"/>
                <w:sz w:val="18"/>
              </w:rPr>
              <w:t> </w:t>
            </w:r>
            <w:r>
              <w:rPr>
                <w:b/>
                <w:color w:val="231F20"/>
                <w:spacing w:val="-2"/>
                <w:w w:val="95"/>
                <w:sz w:val="18"/>
              </w:rPr>
              <w:t>Activities</w:t>
            </w:r>
          </w:p>
        </w:tc>
        <w:tc>
          <w:tcPr>
            <w:tcW w:w="771" w:type="dxa"/>
          </w:tcPr>
          <w:p>
            <w:pPr>
              <w:pStyle w:val="TableParagraph"/>
              <w:spacing w:before="0"/>
              <w:jc w:val="left"/>
              <w:rPr>
                <w:rFonts w:ascii="Times New Roman"/>
                <w:sz w:val="18"/>
              </w:rPr>
            </w:pPr>
          </w:p>
        </w:tc>
        <w:tc>
          <w:tcPr>
            <w:tcW w:w="169" w:type="dxa"/>
          </w:tcPr>
          <w:p>
            <w:pPr>
              <w:pStyle w:val="TableParagraph"/>
              <w:spacing w:before="0"/>
              <w:jc w:val="left"/>
              <w:rPr>
                <w:rFonts w:ascii="Times New Roman"/>
                <w:sz w:val="18"/>
              </w:rPr>
            </w:pPr>
          </w:p>
        </w:tc>
        <w:tc>
          <w:tcPr>
            <w:tcW w:w="120" w:type="dxa"/>
            <w:tcBorders>
              <w:top w:val="single" w:sz="4" w:space="0" w:color="231F20"/>
            </w:tcBorders>
          </w:tcPr>
          <w:p>
            <w:pPr>
              <w:pStyle w:val="TableParagraph"/>
              <w:spacing w:before="0"/>
              <w:jc w:val="left"/>
              <w:rPr>
                <w:rFonts w:ascii="Times New Roman"/>
                <w:sz w:val="18"/>
              </w:rPr>
            </w:pPr>
          </w:p>
        </w:tc>
        <w:tc>
          <w:tcPr>
            <w:tcW w:w="641" w:type="dxa"/>
            <w:tcBorders>
              <w:top w:val="single" w:sz="4" w:space="0" w:color="231F20"/>
            </w:tcBorders>
          </w:tcPr>
          <w:p>
            <w:pPr>
              <w:pStyle w:val="TableParagraph"/>
              <w:spacing w:before="36"/>
              <w:ind w:right="1"/>
              <w:jc w:val="right"/>
              <w:rPr>
                <w:sz w:val="18"/>
              </w:rPr>
            </w:pPr>
            <w:r>
              <w:rPr>
                <w:color w:val="231F20"/>
                <w:spacing w:val="-2"/>
                <w:sz w:val="18"/>
              </w:rPr>
              <w:t>$10,000</w:t>
            </w:r>
          </w:p>
        </w:tc>
      </w:tr>
      <w:tr>
        <w:trPr>
          <w:trHeight w:val="298" w:hRule="atLeast"/>
        </w:trPr>
        <w:tc>
          <w:tcPr>
            <w:tcW w:w="5572" w:type="dxa"/>
            <w:gridSpan w:val="7"/>
          </w:tcPr>
          <w:p>
            <w:pPr>
              <w:pStyle w:val="TableParagraph"/>
              <w:spacing w:before="42"/>
              <w:ind w:left="50"/>
              <w:jc w:val="left"/>
              <w:rPr>
                <w:i/>
                <w:sz w:val="18"/>
              </w:rPr>
            </w:pPr>
            <w:r>
              <w:rPr>
                <w:i/>
                <w:color w:val="231F20"/>
                <w:w w:val="105"/>
                <w:sz w:val="18"/>
              </w:rPr>
              <w:t>Investing</w:t>
            </w:r>
            <w:r>
              <w:rPr>
                <w:i/>
                <w:color w:val="231F20"/>
                <w:spacing w:val="-6"/>
                <w:w w:val="105"/>
                <w:sz w:val="18"/>
              </w:rPr>
              <w:t> </w:t>
            </w:r>
            <w:r>
              <w:rPr>
                <w:i/>
                <w:color w:val="231F20"/>
                <w:spacing w:val="-2"/>
                <w:w w:val="105"/>
                <w:sz w:val="18"/>
              </w:rPr>
              <w:t>Activities</w:t>
            </w:r>
          </w:p>
        </w:tc>
      </w:tr>
      <w:tr>
        <w:trPr>
          <w:trHeight w:val="296" w:hRule="atLeast"/>
        </w:trPr>
        <w:tc>
          <w:tcPr>
            <w:tcW w:w="3871" w:type="dxa"/>
            <w:gridSpan w:val="3"/>
          </w:tcPr>
          <w:p>
            <w:pPr>
              <w:pStyle w:val="TableParagraph"/>
              <w:spacing w:before="43"/>
              <w:ind w:left="50"/>
              <w:jc w:val="left"/>
              <w:rPr>
                <w:sz w:val="18"/>
              </w:rPr>
            </w:pPr>
            <w:r>
              <w:rPr>
                <w:color w:val="231F20"/>
                <w:sz w:val="18"/>
              </w:rPr>
              <w:t>Purchase</w:t>
            </w:r>
            <w:r>
              <w:rPr>
                <w:color w:val="231F20"/>
                <w:spacing w:val="3"/>
                <w:sz w:val="18"/>
              </w:rPr>
              <w:t> </w:t>
            </w:r>
            <w:r>
              <w:rPr>
                <w:color w:val="231F20"/>
                <w:sz w:val="18"/>
              </w:rPr>
              <w:t>of</w:t>
            </w:r>
            <w:r>
              <w:rPr>
                <w:color w:val="231F20"/>
                <w:spacing w:val="3"/>
                <w:sz w:val="18"/>
              </w:rPr>
              <w:t> </w:t>
            </w:r>
            <w:r>
              <w:rPr>
                <w:color w:val="231F20"/>
                <w:sz w:val="18"/>
              </w:rPr>
              <w:t>Store</w:t>
            </w:r>
            <w:r>
              <w:rPr>
                <w:color w:val="231F20"/>
                <w:spacing w:val="3"/>
                <w:sz w:val="18"/>
              </w:rPr>
              <w:t> </w:t>
            </w:r>
            <w:r>
              <w:rPr>
                <w:color w:val="231F20"/>
                <w:spacing w:val="-2"/>
                <w:sz w:val="18"/>
              </w:rPr>
              <w:t>Equipment</w:t>
            </w:r>
          </w:p>
        </w:tc>
        <w:tc>
          <w:tcPr>
            <w:tcW w:w="771" w:type="dxa"/>
            <w:tcBorders>
              <w:bottom w:val="single" w:sz="4" w:space="0" w:color="231F20"/>
            </w:tcBorders>
          </w:tcPr>
          <w:p>
            <w:pPr>
              <w:pStyle w:val="TableParagraph"/>
              <w:spacing w:before="43"/>
              <w:ind w:right="1"/>
              <w:jc w:val="right"/>
              <w:rPr>
                <w:sz w:val="18"/>
              </w:rPr>
            </w:pPr>
            <w:r>
              <w:rPr>
                <w:color w:val="231F20"/>
                <w:spacing w:val="-2"/>
                <w:sz w:val="18"/>
              </w:rPr>
              <w:t>$(30,000)</w:t>
            </w:r>
          </w:p>
        </w:tc>
        <w:tc>
          <w:tcPr>
            <w:tcW w:w="169" w:type="dxa"/>
          </w:tcPr>
          <w:p>
            <w:pPr>
              <w:pStyle w:val="TableParagraph"/>
              <w:spacing w:before="0"/>
              <w:jc w:val="left"/>
              <w:rPr>
                <w:rFonts w:ascii="Times New Roman"/>
                <w:sz w:val="18"/>
              </w:rPr>
            </w:pPr>
          </w:p>
        </w:tc>
        <w:tc>
          <w:tcPr>
            <w:tcW w:w="120" w:type="dxa"/>
          </w:tcPr>
          <w:p>
            <w:pPr>
              <w:pStyle w:val="TableParagraph"/>
              <w:spacing w:before="0"/>
              <w:jc w:val="left"/>
              <w:rPr>
                <w:rFonts w:ascii="Times New Roman"/>
                <w:sz w:val="18"/>
              </w:rPr>
            </w:pPr>
          </w:p>
        </w:tc>
        <w:tc>
          <w:tcPr>
            <w:tcW w:w="641" w:type="dxa"/>
          </w:tcPr>
          <w:p>
            <w:pPr>
              <w:pStyle w:val="TableParagraph"/>
              <w:spacing w:before="0"/>
              <w:jc w:val="left"/>
              <w:rPr>
                <w:rFonts w:ascii="Times New Roman"/>
                <w:sz w:val="18"/>
              </w:rPr>
            </w:pPr>
          </w:p>
        </w:tc>
      </w:tr>
      <w:tr>
        <w:trPr>
          <w:trHeight w:val="369" w:hRule="atLeast"/>
        </w:trPr>
        <w:tc>
          <w:tcPr>
            <w:tcW w:w="3871" w:type="dxa"/>
            <w:gridSpan w:val="3"/>
          </w:tcPr>
          <w:p>
            <w:pPr>
              <w:pStyle w:val="TableParagraph"/>
              <w:spacing w:before="36"/>
              <w:ind w:left="230"/>
              <w:jc w:val="left"/>
              <w:rPr>
                <w:b/>
                <w:sz w:val="18"/>
              </w:rPr>
            </w:pPr>
            <w:r>
              <w:rPr>
                <w:b/>
                <w:color w:val="231F20"/>
                <w:w w:val="95"/>
                <w:sz w:val="18"/>
              </w:rPr>
              <w:t>Cash</w:t>
            </w:r>
            <w:r>
              <w:rPr>
                <w:b/>
                <w:color w:val="231F20"/>
                <w:spacing w:val="5"/>
                <w:sz w:val="18"/>
              </w:rPr>
              <w:t> </w:t>
            </w:r>
            <w:r>
              <w:rPr>
                <w:b/>
                <w:color w:val="231F20"/>
                <w:w w:val="95"/>
                <w:sz w:val="18"/>
              </w:rPr>
              <w:t>Flow</w:t>
            </w:r>
            <w:r>
              <w:rPr>
                <w:b/>
                <w:color w:val="231F20"/>
                <w:spacing w:val="5"/>
                <w:sz w:val="18"/>
              </w:rPr>
              <w:t> </w:t>
            </w:r>
            <w:r>
              <w:rPr>
                <w:b/>
                <w:color w:val="231F20"/>
                <w:w w:val="95"/>
                <w:sz w:val="18"/>
              </w:rPr>
              <w:t>from</w:t>
            </w:r>
            <w:r>
              <w:rPr>
                <w:b/>
                <w:color w:val="231F20"/>
                <w:spacing w:val="5"/>
                <w:sz w:val="18"/>
              </w:rPr>
              <w:t> </w:t>
            </w:r>
            <w:r>
              <w:rPr>
                <w:b/>
                <w:color w:val="231F20"/>
                <w:w w:val="95"/>
                <w:sz w:val="18"/>
              </w:rPr>
              <w:t>Investing</w:t>
            </w:r>
            <w:r>
              <w:rPr>
                <w:b/>
                <w:color w:val="231F20"/>
                <w:spacing w:val="5"/>
                <w:sz w:val="18"/>
              </w:rPr>
              <w:t> </w:t>
            </w:r>
            <w:r>
              <w:rPr>
                <w:b/>
                <w:color w:val="231F20"/>
                <w:spacing w:val="-2"/>
                <w:w w:val="95"/>
                <w:sz w:val="18"/>
              </w:rPr>
              <w:t>Activities</w:t>
            </w:r>
          </w:p>
        </w:tc>
        <w:tc>
          <w:tcPr>
            <w:tcW w:w="1701" w:type="dxa"/>
            <w:gridSpan w:val="4"/>
          </w:tcPr>
          <w:p>
            <w:pPr>
              <w:pStyle w:val="TableParagraph"/>
              <w:spacing w:before="36"/>
              <w:ind w:left="928"/>
              <w:jc w:val="left"/>
              <w:rPr>
                <w:sz w:val="18"/>
              </w:rPr>
            </w:pPr>
            <w:r>
              <w:rPr>
                <w:color w:val="231F20"/>
                <w:spacing w:val="-2"/>
                <w:sz w:val="18"/>
              </w:rPr>
              <w:t>$(30,000)</w:t>
            </w:r>
          </w:p>
        </w:tc>
      </w:tr>
      <w:tr>
        <w:trPr>
          <w:trHeight w:val="373" w:hRule="atLeast"/>
        </w:trPr>
        <w:tc>
          <w:tcPr>
            <w:tcW w:w="5572" w:type="dxa"/>
            <w:gridSpan w:val="7"/>
          </w:tcPr>
          <w:p>
            <w:pPr>
              <w:pStyle w:val="TableParagraph"/>
              <w:spacing w:before="117"/>
              <w:ind w:left="50"/>
              <w:jc w:val="left"/>
              <w:rPr>
                <w:i/>
                <w:sz w:val="18"/>
              </w:rPr>
            </w:pPr>
            <w:r>
              <w:rPr>
                <w:i/>
                <w:color w:val="231F20"/>
                <w:sz w:val="18"/>
              </w:rPr>
              <w:t>Financing</w:t>
            </w:r>
            <w:r>
              <w:rPr>
                <w:i/>
                <w:color w:val="231F20"/>
                <w:spacing w:val="15"/>
                <w:w w:val="105"/>
                <w:sz w:val="18"/>
              </w:rPr>
              <w:t> </w:t>
            </w:r>
            <w:r>
              <w:rPr>
                <w:i/>
                <w:color w:val="231F20"/>
                <w:spacing w:val="-2"/>
                <w:w w:val="105"/>
                <w:sz w:val="18"/>
              </w:rPr>
              <w:t>Activities</w:t>
            </w:r>
          </w:p>
        </w:tc>
      </w:tr>
      <w:tr>
        <w:trPr>
          <w:trHeight w:val="300" w:hRule="atLeast"/>
        </w:trPr>
        <w:tc>
          <w:tcPr>
            <w:tcW w:w="3871" w:type="dxa"/>
            <w:gridSpan w:val="3"/>
          </w:tcPr>
          <w:p>
            <w:pPr>
              <w:pStyle w:val="TableParagraph"/>
              <w:spacing w:before="43"/>
              <w:ind w:left="50"/>
              <w:jc w:val="left"/>
              <w:rPr>
                <w:sz w:val="18"/>
              </w:rPr>
            </w:pPr>
            <w:r>
              <w:rPr>
                <w:color w:val="231F20"/>
                <w:sz w:val="18"/>
              </w:rPr>
              <w:t>Proceeds</w:t>
            </w:r>
            <w:r>
              <w:rPr>
                <w:color w:val="231F20"/>
                <w:spacing w:val="3"/>
                <w:sz w:val="18"/>
              </w:rPr>
              <w:t> </w:t>
            </w:r>
            <w:r>
              <w:rPr>
                <w:color w:val="231F20"/>
                <w:sz w:val="18"/>
              </w:rPr>
              <w:t>from</w:t>
            </w:r>
            <w:r>
              <w:rPr>
                <w:color w:val="231F20"/>
                <w:spacing w:val="3"/>
                <w:sz w:val="18"/>
              </w:rPr>
              <w:t> </w:t>
            </w:r>
            <w:r>
              <w:rPr>
                <w:color w:val="231F20"/>
                <w:sz w:val="18"/>
              </w:rPr>
              <w:t>Bank</w:t>
            </w:r>
            <w:r>
              <w:rPr>
                <w:color w:val="231F20"/>
                <w:spacing w:val="3"/>
                <w:sz w:val="18"/>
              </w:rPr>
              <w:t> </w:t>
            </w:r>
            <w:r>
              <w:rPr>
                <w:color w:val="231F20"/>
                <w:spacing w:val="-2"/>
                <w:sz w:val="18"/>
              </w:rPr>
              <w:t>Borrowing</w:t>
            </w:r>
          </w:p>
        </w:tc>
        <w:tc>
          <w:tcPr>
            <w:tcW w:w="771" w:type="dxa"/>
          </w:tcPr>
          <w:p>
            <w:pPr>
              <w:pStyle w:val="TableParagraph"/>
              <w:spacing w:before="43"/>
              <w:ind w:right="1"/>
              <w:jc w:val="right"/>
              <w:rPr>
                <w:sz w:val="18"/>
              </w:rPr>
            </w:pPr>
            <w:r>
              <w:rPr>
                <w:color w:val="231F20"/>
                <w:spacing w:val="-2"/>
                <w:w w:val="105"/>
                <w:sz w:val="18"/>
              </w:rPr>
              <w:t>$10,000</w:t>
            </w:r>
          </w:p>
        </w:tc>
        <w:tc>
          <w:tcPr>
            <w:tcW w:w="169" w:type="dxa"/>
          </w:tcPr>
          <w:p>
            <w:pPr>
              <w:pStyle w:val="TableParagraph"/>
              <w:spacing w:before="0"/>
              <w:jc w:val="left"/>
              <w:rPr>
                <w:rFonts w:ascii="Times New Roman"/>
                <w:sz w:val="18"/>
              </w:rPr>
            </w:pPr>
          </w:p>
        </w:tc>
        <w:tc>
          <w:tcPr>
            <w:tcW w:w="120" w:type="dxa"/>
          </w:tcPr>
          <w:p>
            <w:pPr>
              <w:pStyle w:val="TableParagraph"/>
              <w:spacing w:before="0"/>
              <w:jc w:val="left"/>
              <w:rPr>
                <w:rFonts w:ascii="Times New Roman"/>
                <w:sz w:val="18"/>
              </w:rPr>
            </w:pPr>
          </w:p>
        </w:tc>
        <w:tc>
          <w:tcPr>
            <w:tcW w:w="641" w:type="dxa"/>
          </w:tcPr>
          <w:p>
            <w:pPr>
              <w:pStyle w:val="TableParagraph"/>
              <w:spacing w:before="0"/>
              <w:jc w:val="left"/>
              <w:rPr>
                <w:rFonts w:ascii="Times New Roman"/>
                <w:sz w:val="18"/>
              </w:rPr>
            </w:pPr>
          </w:p>
        </w:tc>
      </w:tr>
      <w:tr>
        <w:trPr>
          <w:trHeight w:val="300" w:hRule="atLeast"/>
        </w:trPr>
        <w:tc>
          <w:tcPr>
            <w:tcW w:w="2098" w:type="dxa"/>
            <w:gridSpan w:val="2"/>
          </w:tcPr>
          <w:p>
            <w:pPr>
              <w:pStyle w:val="TableParagraph"/>
              <w:spacing w:before="43"/>
              <w:ind w:left="50"/>
              <w:jc w:val="left"/>
              <w:rPr>
                <w:sz w:val="18"/>
              </w:rPr>
            </w:pPr>
            <w:r>
              <w:rPr>
                <w:color w:val="231F20"/>
                <w:sz w:val="18"/>
              </w:rPr>
              <w:t>Sale</w:t>
            </w:r>
            <w:r>
              <w:rPr>
                <w:color w:val="231F20"/>
                <w:spacing w:val="13"/>
                <w:sz w:val="18"/>
              </w:rPr>
              <w:t> </w:t>
            </w:r>
            <w:r>
              <w:rPr>
                <w:color w:val="231F20"/>
                <w:sz w:val="18"/>
              </w:rPr>
              <w:t>of</w:t>
            </w:r>
            <w:r>
              <w:rPr>
                <w:color w:val="231F20"/>
                <w:spacing w:val="14"/>
                <w:sz w:val="18"/>
              </w:rPr>
              <w:t> </w:t>
            </w:r>
            <w:r>
              <w:rPr>
                <w:color w:val="231F20"/>
                <w:sz w:val="18"/>
              </w:rPr>
              <w:t>Stock</w:t>
            </w:r>
            <w:r>
              <w:rPr>
                <w:color w:val="231F20"/>
                <w:spacing w:val="13"/>
                <w:sz w:val="18"/>
              </w:rPr>
              <w:t> </w:t>
            </w:r>
            <w:r>
              <w:rPr>
                <w:color w:val="231F20"/>
                <w:sz w:val="18"/>
              </w:rPr>
              <w:t>to</w:t>
            </w:r>
            <w:r>
              <w:rPr>
                <w:color w:val="231F20"/>
                <w:spacing w:val="14"/>
                <w:sz w:val="18"/>
              </w:rPr>
              <w:t> </w:t>
            </w:r>
            <w:r>
              <w:rPr>
                <w:color w:val="231F20"/>
                <w:spacing w:val="-2"/>
                <w:sz w:val="18"/>
              </w:rPr>
              <w:t>Owners</w:t>
            </w:r>
          </w:p>
        </w:tc>
        <w:tc>
          <w:tcPr>
            <w:tcW w:w="1773" w:type="dxa"/>
          </w:tcPr>
          <w:p>
            <w:pPr>
              <w:pStyle w:val="TableParagraph"/>
              <w:spacing w:before="0"/>
              <w:jc w:val="left"/>
              <w:rPr>
                <w:rFonts w:ascii="Times New Roman"/>
                <w:sz w:val="18"/>
              </w:rPr>
            </w:pPr>
          </w:p>
        </w:tc>
        <w:tc>
          <w:tcPr>
            <w:tcW w:w="771" w:type="dxa"/>
          </w:tcPr>
          <w:p>
            <w:pPr>
              <w:pStyle w:val="TableParagraph"/>
              <w:spacing w:before="43"/>
              <w:ind w:right="1"/>
              <w:jc w:val="right"/>
              <w:rPr>
                <w:sz w:val="18"/>
              </w:rPr>
            </w:pPr>
            <w:r>
              <w:rPr>
                <w:color w:val="231F20"/>
                <w:spacing w:val="-2"/>
                <w:sz w:val="18"/>
              </w:rPr>
              <w:t>15,000</w:t>
            </w:r>
          </w:p>
        </w:tc>
        <w:tc>
          <w:tcPr>
            <w:tcW w:w="169" w:type="dxa"/>
          </w:tcPr>
          <w:p>
            <w:pPr>
              <w:pStyle w:val="TableParagraph"/>
              <w:spacing w:before="0"/>
              <w:jc w:val="left"/>
              <w:rPr>
                <w:rFonts w:ascii="Times New Roman"/>
                <w:sz w:val="18"/>
              </w:rPr>
            </w:pPr>
          </w:p>
        </w:tc>
        <w:tc>
          <w:tcPr>
            <w:tcW w:w="120" w:type="dxa"/>
          </w:tcPr>
          <w:p>
            <w:pPr>
              <w:pStyle w:val="TableParagraph"/>
              <w:spacing w:before="0"/>
              <w:jc w:val="left"/>
              <w:rPr>
                <w:rFonts w:ascii="Times New Roman"/>
                <w:sz w:val="18"/>
              </w:rPr>
            </w:pPr>
          </w:p>
        </w:tc>
        <w:tc>
          <w:tcPr>
            <w:tcW w:w="641" w:type="dxa"/>
          </w:tcPr>
          <w:p>
            <w:pPr>
              <w:pStyle w:val="TableParagraph"/>
              <w:spacing w:before="0"/>
              <w:jc w:val="left"/>
              <w:rPr>
                <w:rFonts w:ascii="Times New Roman"/>
                <w:sz w:val="18"/>
              </w:rPr>
            </w:pPr>
          </w:p>
        </w:tc>
      </w:tr>
      <w:tr>
        <w:trPr>
          <w:trHeight w:val="286" w:hRule="atLeast"/>
        </w:trPr>
        <w:tc>
          <w:tcPr>
            <w:tcW w:w="3871" w:type="dxa"/>
            <w:gridSpan w:val="3"/>
          </w:tcPr>
          <w:p>
            <w:pPr>
              <w:pStyle w:val="TableParagraph"/>
              <w:spacing w:before="43"/>
              <w:ind w:left="50"/>
              <w:jc w:val="left"/>
              <w:rPr>
                <w:sz w:val="18"/>
              </w:rPr>
            </w:pPr>
            <w:r>
              <w:rPr>
                <w:color w:val="231F20"/>
                <w:sz w:val="18"/>
              </w:rPr>
              <w:t>Payment</w:t>
            </w:r>
            <w:r>
              <w:rPr>
                <w:color w:val="231F20"/>
                <w:spacing w:val="9"/>
                <w:sz w:val="18"/>
              </w:rPr>
              <w:t> </w:t>
            </w:r>
            <w:r>
              <w:rPr>
                <w:color w:val="231F20"/>
                <w:sz w:val="18"/>
              </w:rPr>
              <w:t>of</w:t>
            </w:r>
            <w:r>
              <w:rPr>
                <w:color w:val="231F20"/>
                <w:spacing w:val="10"/>
                <w:sz w:val="18"/>
              </w:rPr>
              <w:t> </w:t>
            </w:r>
            <w:r>
              <w:rPr>
                <w:color w:val="231F20"/>
                <w:sz w:val="18"/>
              </w:rPr>
              <w:t>Dividends</w:t>
            </w:r>
            <w:r>
              <w:rPr>
                <w:color w:val="231F20"/>
                <w:spacing w:val="9"/>
                <w:sz w:val="18"/>
              </w:rPr>
              <w:t> </w:t>
            </w:r>
            <w:r>
              <w:rPr>
                <w:color w:val="231F20"/>
                <w:sz w:val="18"/>
              </w:rPr>
              <w:t>to</w:t>
            </w:r>
            <w:r>
              <w:rPr>
                <w:color w:val="231F20"/>
                <w:spacing w:val="10"/>
                <w:sz w:val="18"/>
              </w:rPr>
              <w:t> </w:t>
            </w:r>
            <w:r>
              <w:rPr>
                <w:color w:val="231F20"/>
                <w:spacing w:val="-2"/>
                <w:sz w:val="18"/>
              </w:rPr>
              <w:t>Owners</w:t>
            </w:r>
          </w:p>
        </w:tc>
        <w:tc>
          <w:tcPr>
            <w:tcW w:w="771" w:type="dxa"/>
            <w:tcBorders>
              <w:bottom w:val="single" w:sz="4" w:space="0" w:color="231F20"/>
            </w:tcBorders>
          </w:tcPr>
          <w:p>
            <w:pPr>
              <w:pStyle w:val="TableParagraph"/>
              <w:spacing w:before="43"/>
              <w:ind w:right="1"/>
              <w:jc w:val="right"/>
              <w:rPr>
                <w:sz w:val="18"/>
              </w:rPr>
            </w:pPr>
            <w:r>
              <w:rPr>
                <w:color w:val="231F20"/>
                <w:w w:val="100"/>
                <w:sz w:val="18"/>
              </w:rPr>
              <w:t>0</w:t>
            </w:r>
          </w:p>
        </w:tc>
        <w:tc>
          <w:tcPr>
            <w:tcW w:w="169" w:type="dxa"/>
          </w:tcPr>
          <w:p>
            <w:pPr>
              <w:pStyle w:val="TableParagraph"/>
              <w:spacing w:before="0"/>
              <w:jc w:val="left"/>
              <w:rPr>
                <w:rFonts w:ascii="Times New Roman"/>
                <w:sz w:val="18"/>
              </w:rPr>
            </w:pPr>
          </w:p>
        </w:tc>
        <w:tc>
          <w:tcPr>
            <w:tcW w:w="120" w:type="dxa"/>
          </w:tcPr>
          <w:p>
            <w:pPr>
              <w:pStyle w:val="TableParagraph"/>
              <w:spacing w:before="0"/>
              <w:jc w:val="left"/>
              <w:rPr>
                <w:rFonts w:ascii="Times New Roman"/>
                <w:sz w:val="18"/>
              </w:rPr>
            </w:pPr>
          </w:p>
        </w:tc>
        <w:tc>
          <w:tcPr>
            <w:tcW w:w="641" w:type="dxa"/>
          </w:tcPr>
          <w:p>
            <w:pPr>
              <w:pStyle w:val="TableParagraph"/>
              <w:spacing w:before="0"/>
              <w:jc w:val="left"/>
              <w:rPr>
                <w:rFonts w:ascii="Times New Roman"/>
                <w:sz w:val="18"/>
              </w:rPr>
            </w:pPr>
          </w:p>
        </w:tc>
      </w:tr>
      <w:tr>
        <w:trPr>
          <w:trHeight w:val="300" w:hRule="atLeast"/>
        </w:trPr>
        <w:tc>
          <w:tcPr>
            <w:tcW w:w="3871" w:type="dxa"/>
            <w:gridSpan w:val="3"/>
          </w:tcPr>
          <w:p>
            <w:pPr>
              <w:pStyle w:val="TableParagraph"/>
              <w:spacing w:before="46"/>
              <w:ind w:left="230"/>
              <w:jc w:val="left"/>
              <w:rPr>
                <w:b/>
                <w:sz w:val="18"/>
              </w:rPr>
            </w:pPr>
            <w:r>
              <w:rPr>
                <w:b/>
                <w:color w:val="231F20"/>
                <w:w w:val="95"/>
                <w:sz w:val="18"/>
              </w:rPr>
              <w:t>Cash</w:t>
            </w:r>
            <w:r>
              <w:rPr>
                <w:b/>
                <w:color w:val="231F20"/>
                <w:spacing w:val="10"/>
                <w:sz w:val="18"/>
              </w:rPr>
              <w:t> </w:t>
            </w:r>
            <w:r>
              <w:rPr>
                <w:b/>
                <w:color w:val="231F20"/>
                <w:w w:val="95"/>
                <w:sz w:val="18"/>
              </w:rPr>
              <w:t>Flow</w:t>
            </w:r>
            <w:r>
              <w:rPr>
                <w:b/>
                <w:color w:val="231F20"/>
                <w:spacing w:val="11"/>
                <w:sz w:val="18"/>
              </w:rPr>
              <w:t> </w:t>
            </w:r>
            <w:r>
              <w:rPr>
                <w:b/>
                <w:color w:val="231F20"/>
                <w:w w:val="95"/>
                <w:sz w:val="18"/>
              </w:rPr>
              <w:t>from</w:t>
            </w:r>
            <w:r>
              <w:rPr>
                <w:b/>
                <w:color w:val="231F20"/>
                <w:spacing w:val="11"/>
                <w:sz w:val="18"/>
              </w:rPr>
              <w:t> </w:t>
            </w:r>
            <w:r>
              <w:rPr>
                <w:b/>
                <w:color w:val="231F20"/>
                <w:w w:val="95"/>
                <w:sz w:val="18"/>
              </w:rPr>
              <w:t>Financing</w:t>
            </w:r>
            <w:r>
              <w:rPr>
                <w:b/>
                <w:color w:val="231F20"/>
                <w:spacing w:val="11"/>
                <w:sz w:val="18"/>
              </w:rPr>
              <w:t> </w:t>
            </w:r>
            <w:r>
              <w:rPr>
                <w:b/>
                <w:color w:val="231F20"/>
                <w:spacing w:val="-2"/>
                <w:w w:val="95"/>
                <w:sz w:val="18"/>
              </w:rPr>
              <w:t>Activities</w:t>
            </w:r>
          </w:p>
        </w:tc>
        <w:tc>
          <w:tcPr>
            <w:tcW w:w="771" w:type="dxa"/>
            <w:tcBorders>
              <w:top w:val="single" w:sz="4" w:space="0" w:color="231F20"/>
            </w:tcBorders>
          </w:tcPr>
          <w:p>
            <w:pPr>
              <w:pStyle w:val="TableParagraph"/>
              <w:spacing w:before="0"/>
              <w:jc w:val="left"/>
              <w:rPr>
                <w:rFonts w:ascii="Times New Roman"/>
                <w:sz w:val="18"/>
              </w:rPr>
            </w:pPr>
          </w:p>
        </w:tc>
        <w:tc>
          <w:tcPr>
            <w:tcW w:w="169" w:type="dxa"/>
          </w:tcPr>
          <w:p>
            <w:pPr>
              <w:pStyle w:val="TableParagraph"/>
              <w:spacing w:before="0"/>
              <w:jc w:val="left"/>
              <w:rPr>
                <w:rFonts w:ascii="Times New Roman"/>
                <w:sz w:val="18"/>
              </w:rPr>
            </w:pPr>
          </w:p>
        </w:tc>
        <w:tc>
          <w:tcPr>
            <w:tcW w:w="120" w:type="dxa"/>
          </w:tcPr>
          <w:p>
            <w:pPr>
              <w:pStyle w:val="TableParagraph"/>
              <w:spacing w:before="0"/>
              <w:jc w:val="left"/>
              <w:rPr>
                <w:rFonts w:ascii="Times New Roman"/>
                <w:sz w:val="18"/>
              </w:rPr>
            </w:pPr>
          </w:p>
        </w:tc>
        <w:tc>
          <w:tcPr>
            <w:tcW w:w="641" w:type="dxa"/>
            <w:tcBorders>
              <w:bottom w:val="single" w:sz="4" w:space="0" w:color="231F20"/>
            </w:tcBorders>
          </w:tcPr>
          <w:p>
            <w:pPr>
              <w:pStyle w:val="TableParagraph"/>
              <w:spacing w:before="46"/>
              <w:ind w:right="1"/>
              <w:jc w:val="right"/>
              <w:rPr>
                <w:sz w:val="18"/>
              </w:rPr>
            </w:pPr>
            <w:r>
              <w:rPr>
                <w:color w:val="231F20"/>
                <w:spacing w:val="-2"/>
                <w:sz w:val="18"/>
              </w:rPr>
              <w:t>$25,000</w:t>
            </w:r>
          </w:p>
        </w:tc>
      </w:tr>
      <w:tr>
        <w:trPr>
          <w:trHeight w:val="440" w:hRule="atLeast"/>
        </w:trPr>
        <w:tc>
          <w:tcPr>
            <w:tcW w:w="3871" w:type="dxa"/>
            <w:gridSpan w:val="3"/>
          </w:tcPr>
          <w:p>
            <w:pPr>
              <w:pStyle w:val="TableParagraph"/>
              <w:spacing w:before="10"/>
              <w:jc w:val="left"/>
              <w:rPr>
                <w:b/>
                <w:sz w:val="15"/>
              </w:rPr>
            </w:pPr>
          </w:p>
          <w:p>
            <w:pPr>
              <w:pStyle w:val="TableParagraph"/>
              <w:spacing w:before="0"/>
              <w:ind w:left="50"/>
              <w:jc w:val="left"/>
              <w:rPr>
                <w:i/>
                <w:sz w:val="18"/>
              </w:rPr>
            </w:pPr>
            <w:r>
              <w:rPr>
                <w:i/>
                <w:color w:val="231F20"/>
                <w:sz w:val="18"/>
              </w:rPr>
              <w:t>Increase</w:t>
            </w:r>
            <w:r>
              <w:rPr>
                <w:i/>
                <w:color w:val="231F20"/>
                <w:spacing w:val="20"/>
                <w:sz w:val="18"/>
              </w:rPr>
              <w:t> </w:t>
            </w:r>
            <w:r>
              <w:rPr>
                <w:i/>
                <w:color w:val="231F20"/>
                <w:sz w:val="18"/>
              </w:rPr>
              <w:t>in</w:t>
            </w:r>
            <w:r>
              <w:rPr>
                <w:i/>
                <w:color w:val="231F20"/>
                <w:spacing w:val="21"/>
                <w:sz w:val="18"/>
              </w:rPr>
              <w:t> </w:t>
            </w:r>
            <w:r>
              <w:rPr>
                <w:i/>
                <w:color w:val="231F20"/>
                <w:sz w:val="18"/>
              </w:rPr>
              <w:t>Cash</w:t>
            </w:r>
            <w:r>
              <w:rPr>
                <w:i/>
                <w:color w:val="231F20"/>
                <w:spacing w:val="21"/>
                <w:sz w:val="18"/>
              </w:rPr>
              <w:t> </w:t>
            </w:r>
            <w:r>
              <w:rPr>
                <w:i/>
                <w:color w:val="231F20"/>
                <w:sz w:val="18"/>
              </w:rPr>
              <w:t>for</w:t>
            </w:r>
            <w:r>
              <w:rPr>
                <w:i/>
                <w:color w:val="231F20"/>
                <w:spacing w:val="20"/>
                <w:sz w:val="18"/>
              </w:rPr>
              <w:t> </w:t>
            </w:r>
            <w:r>
              <w:rPr>
                <w:i/>
                <w:color w:val="231F20"/>
                <w:sz w:val="18"/>
              </w:rPr>
              <w:t>the</w:t>
            </w:r>
            <w:r>
              <w:rPr>
                <w:i/>
                <w:color w:val="231F20"/>
                <w:spacing w:val="21"/>
                <w:sz w:val="18"/>
              </w:rPr>
              <w:t> </w:t>
            </w:r>
            <w:r>
              <w:rPr>
                <w:i/>
                <w:color w:val="231F20"/>
                <w:spacing w:val="-4"/>
                <w:sz w:val="18"/>
              </w:rPr>
              <w:t>Year</w:t>
            </w:r>
          </w:p>
        </w:tc>
        <w:tc>
          <w:tcPr>
            <w:tcW w:w="771" w:type="dxa"/>
          </w:tcPr>
          <w:p>
            <w:pPr>
              <w:pStyle w:val="TableParagraph"/>
              <w:spacing w:before="0"/>
              <w:jc w:val="left"/>
              <w:rPr>
                <w:rFonts w:ascii="Times New Roman"/>
                <w:sz w:val="18"/>
              </w:rPr>
            </w:pPr>
          </w:p>
        </w:tc>
        <w:tc>
          <w:tcPr>
            <w:tcW w:w="169" w:type="dxa"/>
          </w:tcPr>
          <w:p>
            <w:pPr>
              <w:pStyle w:val="TableParagraph"/>
              <w:spacing w:before="0"/>
              <w:jc w:val="left"/>
              <w:rPr>
                <w:rFonts w:ascii="Times New Roman"/>
                <w:sz w:val="18"/>
              </w:rPr>
            </w:pPr>
          </w:p>
        </w:tc>
        <w:tc>
          <w:tcPr>
            <w:tcW w:w="120" w:type="dxa"/>
          </w:tcPr>
          <w:p>
            <w:pPr>
              <w:pStyle w:val="TableParagraph"/>
              <w:spacing w:before="0"/>
              <w:jc w:val="left"/>
              <w:rPr>
                <w:rFonts w:ascii="Times New Roman"/>
                <w:sz w:val="18"/>
              </w:rPr>
            </w:pPr>
          </w:p>
        </w:tc>
        <w:tc>
          <w:tcPr>
            <w:tcW w:w="641" w:type="dxa"/>
            <w:tcBorders>
              <w:top w:val="single" w:sz="4" w:space="0" w:color="231F20"/>
              <w:bottom w:val="single" w:sz="4" w:space="0" w:color="231F20"/>
            </w:tcBorders>
          </w:tcPr>
          <w:p>
            <w:pPr>
              <w:pStyle w:val="TableParagraph"/>
              <w:spacing w:before="10"/>
              <w:jc w:val="left"/>
              <w:rPr>
                <w:b/>
                <w:sz w:val="15"/>
              </w:rPr>
            </w:pPr>
          </w:p>
          <w:p>
            <w:pPr>
              <w:pStyle w:val="TableParagraph"/>
              <w:spacing w:before="0"/>
              <w:ind w:right="1"/>
              <w:jc w:val="right"/>
              <w:rPr>
                <w:sz w:val="18"/>
              </w:rPr>
            </w:pPr>
            <w:r>
              <w:rPr>
                <w:color w:val="231F20"/>
                <w:spacing w:val="-2"/>
                <w:w w:val="105"/>
                <w:sz w:val="18"/>
              </w:rPr>
              <w:t>$5,000</w:t>
            </w:r>
          </w:p>
        </w:tc>
      </w:tr>
      <w:tr>
        <w:trPr>
          <w:trHeight w:val="290" w:hRule="atLeast"/>
        </w:trPr>
        <w:tc>
          <w:tcPr>
            <w:tcW w:w="2098" w:type="dxa"/>
            <w:gridSpan w:val="2"/>
          </w:tcPr>
          <w:p>
            <w:pPr>
              <w:pStyle w:val="TableParagraph"/>
              <w:spacing w:before="36"/>
              <w:ind w:left="50"/>
              <w:jc w:val="left"/>
              <w:rPr>
                <w:sz w:val="18"/>
              </w:rPr>
            </w:pPr>
            <w:r>
              <w:rPr>
                <w:color w:val="231F20"/>
                <w:sz w:val="18"/>
              </w:rPr>
              <w:t>Cash</w:t>
            </w:r>
            <w:r>
              <w:rPr>
                <w:color w:val="231F20"/>
                <w:spacing w:val="15"/>
                <w:sz w:val="18"/>
              </w:rPr>
              <w:t> </w:t>
            </w:r>
            <w:r>
              <w:rPr>
                <w:color w:val="231F20"/>
                <w:sz w:val="18"/>
              </w:rPr>
              <w:t>at</w:t>
            </w:r>
            <w:r>
              <w:rPr>
                <w:color w:val="231F20"/>
                <w:spacing w:val="16"/>
                <w:sz w:val="18"/>
              </w:rPr>
              <w:t> </w:t>
            </w:r>
            <w:r>
              <w:rPr>
                <w:color w:val="231F20"/>
                <w:sz w:val="18"/>
              </w:rPr>
              <w:t>Beginning</w:t>
            </w:r>
            <w:r>
              <w:rPr>
                <w:color w:val="231F20"/>
                <w:spacing w:val="16"/>
                <w:sz w:val="18"/>
              </w:rPr>
              <w:t> </w:t>
            </w:r>
            <w:r>
              <w:rPr>
                <w:color w:val="231F20"/>
                <w:sz w:val="18"/>
              </w:rPr>
              <w:t>of</w:t>
            </w:r>
            <w:r>
              <w:rPr>
                <w:color w:val="231F20"/>
                <w:spacing w:val="16"/>
                <w:sz w:val="18"/>
              </w:rPr>
              <w:t> </w:t>
            </w:r>
            <w:r>
              <w:rPr>
                <w:color w:val="231F20"/>
                <w:spacing w:val="-4"/>
                <w:sz w:val="18"/>
              </w:rPr>
              <w:t>Year</w:t>
            </w:r>
          </w:p>
        </w:tc>
        <w:tc>
          <w:tcPr>
            <w:tcW w:w="1773" w:type="dxa"/>
          </w:tcPr>
          <w:p>
            <w:pPr>
              <w:pStyle w:val="TableParagraph"/>
              <w:spacing w:before="0"/>
              <w:jc w:val="left"/>
              <w:rPr>
                <w:rFonts w:ascii="Times New Roman"/>
                <w:sz w:val="18"/>
              </w:rPr>
            </w:pPr>
          </w:p>
        </w:tc>
        <w:tc>
          <w:tcPr>
            <w:tcW w:w="771" w:type="dxa"/>
          </w:tcPr>
          <w:p>
            <w:pPr>
              <w:pStyle w:val="TableParagraph"/>
              <w:spacing w:before="0"/>
              <w:jc w:val="left"/>
              <w:rPr>
                <w:rFonts w:ascii="Times New Roman"/>
                <w:sz w:val="18"/>
              </w:rPr>
            </w:pPr>
          </w:p>
        </w:tc>
        <w:tc>
          <w:tcPr>
            <w:tcW w:w="169" w:type="dxa"/>
          </w:tcPr>
          <w:p>
            <w:pPr>
              <w:pStyle w:val="TableParagraph"/>
              <w:spacing w:before="0"/>
              <w:jc w:val="left"/>
              <w:rPr>
                <w:rFonts w:ascii="Times New Roman"/>
                <w:sz w:val="18"/>
              </w:rPr>
            </w:pPr>
          </w:p>
        </w:tc>
        <w:tc>
          <w:tcPr>
            <w:tcW w:w="120" w:type="dxa"/>
          </w:tcPr>
          <w:p>
            <w:pPr>
              <w:pStyle w:val="TableParagraph"/>
              <w:spacing w:before="0"/>
              <w:jc w:val="left"/>
              <w:rPr>
                <w:rFonts w:ascii="Times New Roman"/>
                <w:sz w:val="18"/>
              </w:rPr>
            </w:pPr>
          </w:p>
        </w:tc>
        <w:tc>
          <w:tcPr>
            <w:tcW w:w="641" w:type="dxa"/>
            <w:tcBorders>
              <w:top w:val="single" w:sz="4" w:space="0" w:color="231F20"/>
              <w:bottom w:val="single" w:sz="4" w:space="0" w:color="231F20"/>
            </w:tcBorders>
          </w:tcPr>
          <w:p>
            <w:pPr>
              <w:pStyle w:val="TableParagraph"/>
              <w:spacing w:before="36"/>
              <w:ind w:right="1"/>
              <w:jc w:val="right"/>
              <w:rPr>
                <w:sz w:val="18"/>
              </w:rPr>
            </w:pPr>
            <w:r>
              <w:rPr>
                <w:color w:val="231F20"/>
                <w:w w:val="100"/>
                <w:sz w:val="18"/>
              </w:rPr>
              <w:t>0</w:t>
            </w:r>
          </w:p>
        </w:tc>
      </w:tr>
      <w:tr>
        <w:trPr>
          <w:trHeight w:val="290" w:hRule="atLeast"/>
        </w:trPr>
        <w:tc>
          <w:tcPr>
            <w:tcW w:w="2098" w:type="dxa"/>
            <w:gridSpan w:val="2"/>
          </w:tcPr>
          <w:p>
            <w:pPr>
              <w:pStyle w:val="TableParagraph"/>
              <w:spacing w:before="36"/>
              <w:ind w:left="50"/>
              <w:jc w:val="left"/>
              <w:rPr>
                <w:sz w:val="18"/>
              </w:rPr>
            </w:pPr>
            <w:r>
              <w:rPr>
                <w:color w:val="231F20"/>
                <w:w w:val="105"/>
                <w:sz w:val="18"/>
              </w:rPr>
              <w:t>Cash</w:t>
            </w:r>
            <w:r>
              <w:rPr>
                <w:color w:val="231F20"/>
                <w:spacing w:val="5"/>
                <w:w w:val="105"/>
                <w:sz w:val="18"/>
              </w:rPr>
              <w:t> </w:t>
            </w:r>
            <w:r>
              <w:rPr>
                <w:color w:val="231F20"/>
                <w:w w:val="105"/>
                <w:sz w:val="18"/>
              </w:rPr>
              <w:t>at</w:t>
            </w:r>
            <w:r>
              <w:rPr>
                <w:color w:val="231F20"/>
                <w:spacing w:val="5"/>
                <w:w w:val="105"/>
                <w:sz w:val="18"/>
              </w:rPr>
              <w:t> </w:t>
            </w:r>
            <w:r>
              <w:rPr>
                <w:color w:val="231F20"/>
                <w:w w:val="105"/>
                <w:sz w:val="18"/>
              </w:rPr>
              <w:t>End</w:t>
            </w:r>
            <w:r>
              <w:rPr>
                <w:color w:val="231F20"/>
                <w:spacing w:val="5"/>
                <w:w w:val="105"/>
                <w:sz w:val="18"/>
              </w:rPr>
              <w:t> </w:t>
            </w:r>
            <w:r>
              <w:rPr>
                <w:color w:val="231F20"/>
                <w:w w:val="105"/>
                <w:sz w:val="18"/>
              </w:rPr>
              <w:t>of</w:t>
            </w:r>
            <w:r>
              <w:rPr>
                <w:color w:val="231F20"/>
                <w:spacing w:val="5"/>
                <w:w w:val="105"/>
                <w:sz w:val="18"/>
              </w:rPr>
              <w:t> </w:t>
            </w:r>
            <w:r>
              <w:rPr>
                <w:color w:val="231F20"/>
                <w:spacing w:val="-4"/>
                <w:w w:val="105"/>
                <w:sz w:val="18"/>
              </w:rPr>
              <w:t>Year</w:t>
            </w:r>
          </w:p>
        </w:tc>
        <w:tc>
          <w:tcPr>
            <w:tcW w:w="1773" w:type="dxa"/>
          </w:tcPr>
          <w:p>
            <w:pPr>
              <w:pStyle w:val="TableParagraph"/>
              <w:spacing w:before="0"/>
              <w:jc w:val="left"/>
              <w:rPr>
                <w:rFonts w:ascii="Times New Roman"/>
                <w:sz w:val="18"/>
              </w:rPr>
            </w:pPr>
          </w:p>
        </w:tc>
        <w:tc>
          <w:tcPr>
            <w:tcW w:w="771" w:type="dxa"/>
          </w:tcPr>
          <w:p>
            <w:pPr>
              <w:pStyle w:val="TableParagraph"/>
              <w:spacing w:before="0"/>
              <w:jc w:val="left"/>
              <w:rPr>
                <w:rFonts w:ascii="Times New Roman"/>
                <w:sz w:val="18"/>
              </w:rPr>
            </w:pPr>
          </w:p>
        </w:tc>
        <w:tc>
          <w:tcPr>
            <w:tcW w:w="169" w:type="dxa"/>
          </w:tcPr>
          <w:p>
            <w:pPr>
              <w:pStyle w:val="TableParagraph"/>
              <w:spacing w:before="0"/>
              <w:jc w:val="left"/>
              <w:rPr>
                <w:rFonts w:ascii="Times New Roman"/>
                <w:sz w:val="18"/>
              </w:rPr>
            </w:pPr>
          </w:p>
        </w:tc>
        <w:tc>
          <w:tcPr>
            <w:tcW w:w="120" w:type="dxa"/>
          </w:tcPr>
          <w:p>
            <w:pPr>
              <w:pStyle w:val="TableParagraph"/>
              <w:spacing w:before="0"/>
              <w:jc w:val="left"/>
              <w:rPr>
                <w:rFonts w:ascii="Times New Roman"/>
                <w:sz w:val="18"/>
              </w:rPr>
            </w:pPr>
          </w:p>
        </w:tc>
        <w:tc>
          <w:tcPr>
            <w:tcW w:w="641" w:type="dxa"/>
            <w:tcBorders>
              <w:top w:val="single" w:sz="4" w:space="0" w:color="231F20"/>
              <w:bottom w:val="single" w:sz="4" w:space="0" w:color="231F20"/>
            </w:tcBorders>
          </w:tcPr>
          <w:p>
            <w:pPr>
              <w:pStyle w:val="TableParagraph"/>
              <w:spacing w:before="36"/>
              <w:ind w:right="1"/>
              <w:jc w:val="right"/>
              <w:rPr>
                <w:sz w:val="18"/>
              </w:rPr>
            </w:pPr>
            <w:r>
              <w:rPr>
                <w:color w:val="231F20"/>
                <w:spacing w:val="-2"/>
                <w:w w:val="105"/>
                <w:sz w:val="18"/>
              </w:rPr>
              <w:t>$5,000</w:t>
            </w:r>
          </w:p>
        </w:tc>
      </w:tr>
    </w:tbl>
    <w:p>
      <w:pPr>
        <w:spacing w:after="0"/>
        <w:jc w:val="right"/>
        <w:rPr>
          <w:sz w:val="18"/>
        </w:rPr>
        <w:sectPr>
          <w:pgSz w:w="8640" w:h="12960"/>
          <w:pgMar w:header="734" w:footer="0" w:top="920" w:bottom="280" w:left="340" w:right="500"/>
        </w:sectPr>
      </w:pPr>
    </w:p>
    <w:p>
      <w:pPr>
        <w:pStyle w:val="BodyText"/>
        <w:spacing w:before="10"/>
        <w:rPr>
          <w:b/>
          <w:sz w:val="17"/>
        </w:rPr>
      </w:pPr>
    </w:p>
    <w:p>
      <w:pPr>
        <w:pStyle w:val="BodyText"/>
        <w:spacing w:line="292" w:lineRule="auto" w:before="102"/>
        <w:ind w:left="830" w:right="756"/>
        <w:jc w:val="both"/>
      </w:pPr>
      <w:r>
        <w:rPr>
          <w:color w:val="231F20"/>
        </w:rPr>
        <w:t>shown on his statement. If he had sold the equipment, the cash </w:t>
      </w:r>
      <w:r>
        <w:rPr>
          <w:color w:val="231F20"/>
        </w:rPr>
        <w:t>re- ceived would have been reflected. Review the balance sheet to verify how the change in his long-term assets was reflected in the investing section of the cash flow statement.</w:t>
      </w:r>
    </w:p>
    <w:p>
      <w:pPr>
        <w:pStyle w:val="BodyText"/>
        <w:spacing w:before="3"/>
        <w:rPr>
          <w:sz w:val="27"/>
        </w:rPr>
      </w:pPr>
    </w:p>
    <w:p>
      <w:pPr>
        <w:spacing w:before="0"/>
        <w:ind w:left="1170" w:right="0" w:firstLine="0"/>
        <w:jc w:val="left"/>
        <w:rPr>
          <w:rFonts w:ascii="Arial"/>
          <w:i/>
          <w:sz w:val="19"/>
        </w:rPr>
      </w:pPr>
      <w:r>
        <w:rPr>
          <w:rFonts w:ascii="Arial"/>
          <w:i/>
          <w:color w:val="231F20"/>
          <w:w w:val="115"/>
          <w:sz w:val="19"/>
        </w:rPr>
        <w:t>Financing</w:t>
      </w:r>
      <w:r>
        <w:rPr>
          <w:rFonts w:ascii="Arial"/>
          <w:i/>
          <w:color w:val="231F20"/>
          <w:spacing w:val="-12"/>
          <w:w w:val="115"/>
          <w:sz w:val="19"/>
        </w:rPr>
        <w:t> </w:t>
      </w:r>
      <w:r>
        <w:rPr>
          <w:rFonts w:ascii="Arial"/>
          <w:i/>
          <w:color w:val="231F20"/>
          <w:spacing w:val="-2"/>
          <w:w w:val="115"/>
          <w:sz w:val="19"/>
        </w:rPr>
        <w:t>Activities</w:t>
      </w:r>
    </w:p>
    <w:p>
      <w:pPr>
        <w:pStyle w:val="BodyText"/>
        <w:spacing w:line="292" w:lineRule="auto" w:before="60"/>
        <w:ind w:left="830" w:right="756" w:firstLine="340"/>
        <w:jc w:val="both"/>
      </w:pPr>
      <w:r>
        <w:rPr>
          <w:color w:val="231F20"/>
        </w:rPr>
        <w:t>There are two ways a company can finance itself. Either man- agers borrow money or they raise money from investors. </w:t>
      </w:r>
      <w:r>
        <w:rPr>
          <w:color w:val="231F20"/>
        </w:rPr>
        <w:t>Borrowing would be reflected in changes in the long-term liabilities section of the balance sheet. The participation by investors would be reflected in changes in the owners’ equity accounts of the balance sheet.</w:t>
      </w:r>
    </w:p>
    <w:p>
      <w:pPr>
        <w:pStyle w:val="BodyText"/>
        <w:spacing w:line="292" w:lineRule="auto"/>
        <w:ind w:left="830" w:right="756" w:firstLine="340"/>
        <w:jc w:val="both"/>
      </w:pPr>
      <w:r>
        <w:rPr>
          <w:color w:val="231F20"/>
        </w:rPr>
        <w:t>Bob borrowed $10,000 from the bank, which increased cash. On the balance sheet, “bank debt” increased from $0 to $10,000 and </w:t>
      </w:r>
      <w:r>
        <w:rPr>
          <w:color w:val="231F20"/>
        </w:rPr>
        <w:t>it was reflected as a source of cash. When the store repays the debt, it will be reflected as a use of cash in the </w:t>
      </w:r>
      <w:r>
        <w:rPr>
          <w:i/>
          <w:color w:val="231F20"/>
        </w:rPr>
        <w:t>financing activities </w:t>
      </w:r>
      <w:r>
        <w:rPr>
          <w:color w:val="231F20"/>
        </w:rPr>
        <w:t>section.</w:t>
      </w:r>
    </w:p>
    <w:p>
      <w:pPr>
        <w:pStyle w:val="BodyText"/>
        <w:spacing w:line="292" w:lineRule="auto"/>
        <w:ind w:left="830" w:right="753" w:firstLine="340"/>
        <w:jc w:val="both"/>
      </w:pPr>
      <w:r>
        <w:rPr>
          <w:color w:val="231F20"/>
        </w:rPr>
        <w:t>Referring back to Bob’s Market’s balance sheet, the owners’ equity accounts are on the right side. The balance sheet shows </w:t>
      </w:r>
      <w:r>
        <w:rPr>
          <w:color w:val="231F20"/>
        </w:rPr>
        <w:t>that investors contributed $15,000 cash to start the business. That is shown on the balance sheet as “common stock” issued, and it is also reflected on the cash flow statement as a source of cash.</w:t>
      </w:r>
    </w:p>
    <w:p>
      <w:pPr>
        <w:pStyle w:val="BodyText"/>
        <w:spacing w:line="292" w:lineRule="auto"/>
        <w:ind w:left="830" w:right="756" w:firstLine="340"/>
        <w:jc w:val="both"/>
      </w:pPr>
      <w:r>
        <w:rPr>
          <w:color w:val="231F20"/>
        </w:rPr>
        <w:t>As we have already learned, the other component of the </w:t>
      </w:r>
      <w:r>
        <w:rPr>
          <w:color w:val="231F20"/>
        </w:rPr>
        <w:t>owners’ </w:t>
      </w:r>
      <w:r>
        <w:rPr>
          <w:color w:val="231F20"/>
          <w:w w:val="105"/>
        </w:rPr>
        <w:t>equity</w:t>
      </w:r>
      <w:r>
        <w:rPr>
          <w:color w:val="231F20"/>
          <w:spacing w:val="-8"/>
          <w:w w:val="105"/>
        </w:rPr>
        <w:t> </w:t>
      </w:r>
      <w:r>
        <w:rPr>
          <w:color w:val="231F20"/>
          <w:w w:val="105"/>
        </w:rPr>
        <w:t>section</w:t>
      </w:r>
      <w:r>
        <w:rPr>
          <w:color w:val="231F20"/>
          <w:spacing w:val="-8"/>
          <w:w w:val="105"/>
        </w:rPr>
        <w:t> </w:t>
      </w:r>
      <w:r>
        <w:rPr>
          <w:color w:val="231F20"/>
          <w:w w:val="105"/>
        </w:rPr>
        <w:t>is</w:t>
      </w:r>
      <w:r>
        <w:rPr>
          <w:color w:val="231F20"/>
          <w:spacing w:val="-8"/>
          <w:w w:val="105"/>
        </w:rPr>
        <w:t> </w:t>
      </w:r>
      <w:r>
        <w:rPr>
          <w:i/>
          <w:color w:val="231F20"/>
          <w:w w:val="105"/>
        </w:rPr>
        <w:t>retained</w:t>
      </w:r>
      <w:r>
        <w:rPr>
          <w:i/>
          <w:color w:val="231F20"/>
          <w:spacing w:val="-8"/>
          <w:w w:val="105"/>
        </w:rPr>
        <w:t> </w:t>
      </w:r>
      <w:r>
        <w:rPr>
          <w:i/>
          <w:color w:val="231F20"/>
          <w:w w:val="105"/>
        </w:rPr>
        <w:t>earnings</w:t>
      </w:r>
      <w:r>
        <w:rPr>
          <w:i/>
          <w:color w:val="231F20"/>
          <w:spacing w:val="-8"/>
          <w:w w:val="105"/>
        </w:rPr>
        <w:t> </w:t>
      </w:r>
      <w:r>
        <w:rPr>
          <w:color w:val="231F20"/>
          <w:w w:val="105"/>
        </w:rPr>
        <w:t>(RE).</w:t>
      </w:r>
      <w:r>
        <w:rPr>
          <w:color w:val="231F20"/>
          <w:spacing w:val="-8"/>
          <w:w w:val="105"/>
        </w:rPr>
        <w:t> </w:t>
      </w:r>
      <w:r>
        <w:rPr>
          <w:color w:val="231F20"/>
          <w:w w:val="105"/>
        </w:rPr>
        <w:t>As</w:t>
      </w:r>
      <w:r>
        <w:rPr>
          <w:color w:val="231F20"/>
          <w:spacing w:val="-8"/>
          <w:w w:val="105"/>
        </w:rPr>
        <w:t> </w:t>
      </w:r>
      <w:r>
        <w:rPr>
          <w:color w:val="231F20"/>
          <w:w w:val="105"/>
        </w:rPr>
        <w:t>explained,</w:t>
      </w:r>
      <w:r>
        <w:rPr>
          <w:color w:val="231F20"/>
          <w:spacing w:val="-8"/>
          <w:w w:val="105"/>
        </w:rPr>
        <w:t> </w:t>
      </w:r>
      <w:r>
        <w:rPr>
          <w:color w:val="231F20"/>
          <w:w w:val="105"/>
        </w:rPr>
        <w:t>there</w:t>
      </w:r>
      <w:r>
        <w:rPr>
          <w:color w:val="231F20"/>
          <w:spacing w:val="-8"/>
          <w:w w:val="105"/>
        </w:rPr>
        <w:t> </w:t>
      </w:r>
      <w:r>
        <w:rPr>
          <w:color w:val="231F20"/>
          <w:w w:val="105"/>
        </w:rPr>
        <w:t>will</w:t>
      </w:r>
      <w:r>
        <w:rPr>
          <w:color w:val="231F20"/>
          <w:spacing w:val="-8"/>
          <w:w w:val="105"/>
        </w:rPr>
        <w:t> </w:t>
      </w:r>
      <w:r>
        <w:rPr>
          <w:color w:val="231F20"/>
          <w:w w:val="105"/>
        </w:rPr>
        <w:t>be changes</w:t>
      </w:r>
      <w:r>
        <w:rPr>
          <w:color w:val="231F20"/>
          <w:spacing w:val="-13"/>
          <w:w w:val="105"/>
        </w:rPr>
        <w:t> </w:t>
      </w:r>
      <w:r>
        <w:rPr>
          <w:color w:val="231F20"/>
          <w:w w:val="105"/>
        </w:rPr>
        <w:t>in</w:t>
      </w:r>
      <w:r>
        <w:rPr>
          <w:color w:val="231F20"/>
          <w:spacing w:val="-12"/>
          <w:w w:val="105"/>
        </w:rPr>
        <w:t> </w:t>
      </w:r>
      <w:r>
        <w:rPr>
          <w:color w:val="231F20"/>
          <w:w w:val="105"/>
        </w:rPr>
        <w:t>RE</w:t>
      </w:r>
      <w:r>
        <w:rPr>
          <w:color w:val="231F20"/>
          <w:spacing w:val="-12"/>
          <w:w w:val="105"/>
        </w:rPr>
        <w:t> </w:t>
      </w:r>
      <w:r>
        <w:rPr>
          <w:color w:val="231F20"/>
          <w:w w:val="105"/>
        </w:rPr>
        <w:t>when</w:t>
      </w:r>
      <w:r>
        <w:rPr>
          <w:color w:val="231F20"/>
          <w:spacing w:val="-12"/>
          <w:w w:val="105"/>
        </w:rPr>
        <w:t> </w:t>
      </w:r>
      <w:r>
        <w:rPr>
          <w:color w:val="231F20"/>
          <w:w w:val="105"/>
        </w:rPr>
        <w:t>net</w:t>
      </w:r>
      <w:r>
        <w:rPr>
          <w:color w:val="231F20"/>
          <w:spacing w:val="-12"/>
          <w:w w:val="105"/>
        </w:rPr>
        <w:t> </w:t>
      </w:r>
      <w:r>
        <w:rPr>
          <w:color w:val="231F20"/>
          <w:w w:val="105"/>
        </w:rPr>
        <w:t>income</w:t>
      </w:r>
      <w:r>
        <w:rPr>
          <w:color w:val="231F20"/>
          <w:spacing w:val="-12"/>
          <w:w w:val="105"/>
        </w:rPr>
        <w:t> </w:t>
      </w:r>
      <w:r>
        <w:rPr>
          <w:color w:val="231F20"/>
          <w:w w:val="105"/>
        </w:rPr>
        <w:t>is</w:t>
      </w:r>
      <w:r>
        <w:rPr>
          <w:color w:val="231F20"/>
          <w:spacing w:val="-12"/>
          <w:w w:val="105"/>
        </w:rPr>
        <w:t> </w:t>
      </w:r>
      <w:r>
        <w:rPr>
          <w:color w:val="231F20"/>
          <w:w w:val="105"/>
        </w:rPr>
        <w:t>added</w:t>
      </w:r>
      <w:r>
        <w:rPr>
          <w:color w:val="231F20"/>
          <w:spacing w:val="-13"/>
          <w:w w:val="105"/>
        </w:rPr>
        <w:t> </w:t>
      </w:r>
      <w:r>
        <w:rPr>
          <w:color w:val="231F20"/>
          <w:w w:val="105"/>
        </w:rPr>
        <w:t>during</w:t>
      </w:r>
      <w:r>
        <w:rPr>
          <w:color w:val="231F20"/>
          <w:spacing w:val="-12"/>
          <w:w w:val="105"/>
        </w:rPr>
        <w:t> </w:t>
      </w:r>
      <w:r>
        <w:rPr>
          <w:color w:val="231F20"/>
          <w:w w:val="105"/>
        </w:rPr>
        <w:t>the</w:t>
      </w:r>
      <w:r>
        <w:rPr>
          <w:color w:val="231F20"/>
          <w:spacing w:val="-12"/>
          <w:w w:val="105"/>
        </w:rPr>
        <w:t> </w:t>
      </w:r>
      <w:r>
        <w:rPr>
          <w:color w:val="231F20"/>
          <w:w w:val="105"/>
        </w:rPr>
        <w:t>year</w:t>
      </w:r>
      <w:r>
        <w:rPr>
          <w:color w:val="231F20"/>
          <w:spacing w:val="-12"/>
          <w:w w:val="105"/>
        </w:rPr>
        <w:t> </w:t>
      </w:r>
      <w:r>
        <w:rPr>
          <w:color w:val="231F20"/>
          <w:w w:val="105"/>
        </w:rPr>
        <w:t>and</w:t>
      </w:r>
      <w:r>
        <w:rPr>
          <w:color w:val="231F20"/>
          <w:spacing w:val="-12"/>
          <w:w w:val="105"/>
        </w:rPr>
        <w:t> </w:t>
      </w:r>
      <w:r>
        <w:rPr>
          <w:color w:val="231F20"/>
          <w:w w:val="105"/>
        </w:rPr>
        <w:t>if</w:t>
      </w:r>
      <w:r>
        <w:rPr>
          <w:color w:val="231F20"/>
          <w:spacing w:val="-12"/>
          <w:w w:val="105"/>
        </w:rPr>
        <w:t> </w:t>
      </w:r>
      <w:r>
        <w:rPr>
          <w:i/>
          <w:color w:val="231F20"/>
          <w:w w:val="105"/>
        </w:rPr>
        <w:t>divi-</w:t>
      </w:r>
      <w:r>
        <w:rPr>
          <w:i/>
          <w:color w:val="231F20"/>
          <w:w w:val="105"/>
        </w:rPr>
        <w:t> dends</w:t>
      </w:r>
      <w:r>
        <w:rPr>
          <w:i/>
          <w:color w:val="231F20"/>
          <w:w w:val="105"/>
        </w:rPr>
        <w:t> </w:t>
      </w:r>
      <w:r>
        <w:rPr>
          <w:color w:val="231F20"/>
          <w:w w:val="105"/>
        </w:rPr>
        <w:t>are</w:t>
      </w:r>
      <w:r>
        <w:rPr>
          <w:color w:val="231F20"/>
          <w:w w:val="105"/>
        </w:rPr>
        <w:t> paid</w:t>
      </w:r>
      <w:r>
        <w:rPr>
          <w:color w:val="231F20"/>
          <w:w w:val="105"/>
        </w:rPr>
        <w:t> out</w:t>
      </w:r>
      <w:r>
        <w:rPr>
          <w:color w:val="231F20"/>
          <w:w w:val="105"/>
        </w:rPr>
        <w:t> to</w:t>
      </w:r>
      <w:r>
        <w:rPr>
          <w:color w:val="231F20"/>
          <w:w w:val="105"/>
        </w:rPr>
        <w:t> investors.</w:t>
      </w:r>
      <w:r>
        <w:rPr>
          <w:color w:val="231F20"/>
          <w:w w:val="105"/>
        </w:rPr>
        <w:t> Bob</w:t>
      </w:r>
      <w:r>
        <w:rPr>
          <w:color w:val="231F20"/>
          <w:w w:val="105"/>
        </w:rPr>
        <w:t> and</w:t>
      </w:r>
      <w:r>
        <w:rPr>
          <w:color w:val="231F20"/>
          <w:w w:val="105"/>
        </w:rPr>
        <w:t> his</w:t>
      </w:r>
      <w:r>
        <w:rPr>
          <w:color w:val="231F20"/>
          <w:w w:val="105"/>
        </w:rPr>
        <w:t> father</w:t>
      </w:r>
      <w:r>
        <w:rPr>
          <w:color w:val="231F20"/>
          <w:w w:val="105"/>
        </w:rPr>
        <w:t> elected</w:t>
      </w:r>
      <w:r>
        <w:rPr>
          <w:color w:val="231F20"/>
          <w:w w:val="105"/>
        </w:rPr>
        <w:t> to</w:t>
      </w:r>
      <w:r>
        <w:rPr>
          <w:color w:val="231F20"/>
          <w:w w:val="105"/>
        </w:rPr>
        <w:t> con- tinue to “finance” the business by having the company “retain” its </w:t>
      </w:r>
      <w:r>
        <w:rPr>
          <w:color w:val="231F20"/>
        </w:rPr>
        <w:t>earnings. The financing section, accordingly, does not show any div- </w:t>
      </w:r>
      <w:r>
        <w:rPr>
          <w:color w:val="231F20"/>
          <w:w w:val="105"/>
        </w:rPr>
        <w:t>idend</w:t>
      </w:r>
      <w:r>
        <w:rPr>
          <w:color w:val="231F20"/>
          <w:w w:val="105"/>
        </w:rPr>
        <w:t> payments.</w:t>
      </w:r>
      <w:r>
        <w:rPr>
          <w:color w:val="231F20"/>
          <w:w w:val="105"/>
        </w:rPr>
        <w:t> If</w:t>
      </w:r>
      <w:r>
        <w:rPr>
          <w:color w:val="231F20"/>
          <w:w w:val="105"/>
        </w:rPr>
        <w:t> the</w:t>
      </w:r>
      <w:r>
        <w:rPr>
          <w:color w:val="231F20"/>
          <w:w w:val="105"/>
        </w:rPr>
        <w:t> owners</w:t>
      </w:r>
      <w:r>
        <w:rPr>
          <w:color w:val="231F20"/>
          <w:w w:val="105"/>
        </w:rPr>
        <w:t> elected</w:t>
      </w:r>
      <w:r>
        <w:rPr>
          <w:color w:val="231F20"/>
          <w:w w:val="105"/>
        </w:rPr>
        <w:t> to</w:t>
      </w:r>
      <w:r>
        <w:rPr>
          <w:color w:val="231F20"/>
          <w:w w:val="105"/>
        </w:rPr>
        <w:t> pay</w:t>
      </w:r>
      <w:r>
        <w:rPr>
          <w:color w:val="231F20"/>
          <w:w w:val="105"/>
        </w:rPr>
        <w:t> a</w:t>
      </w:r>
      <w:r>
        <w:rPr>
          <w:color w:val="231F20"/>
          <w:w w:val="105"/>
        </w:rPr>
        <w:t> dividend,</w:t>
      </w:r>
      <w:r>
        <w:rPr>
          <w:color w:val="231F20"/>
          <w:w w:val="105"/>
        </w:rPr>
        <w:t> it</w:t>
      </w:r>
      <w:r>
        <w:rPr>
          <w:color w:val="231F20"/>
          <w:w w:val="105"/>
        </w:rPr>
        <w:t> would have been shown as a use.</w:t>
      </w:r>
    </w:p>
    <w:p>
      <w:pPr>
        <w:pStyle w:val="BodyText"/>
        <w:spacing w:line="292" w:lineRule="auto"/>
        <w:ind w:left="830" w:right="753" w:firstLine="340"/>
        <w:jc w:val="both"/>
      </w:pPr>
      <w:r>
        <w:rPr>
          <w:color w:val="231F20"/>
        </w:rPr>
        <w:t>After</w:t>
      </w:r>
      <w:r>
        <w:rPr>
          <w:color w:val="231F20"/>
          <w:spacing w:val="40"/>
        </w:rPr>
        <w:t> </w:t>
      </w:r>
      <w:r>
        <w:rPr>
          <w:color w:val="231F20"/>
        </w:rPr>
        <w:t>a</w:t>
      </w:r>
      <w:r>
        <w:rPr>
          <w:color w:val="231F20"/>
          <w:spacing w:val="40"/>
        </w:rPr>
        <w:t> </w:t>
      </w:r>
      <w:r>
        <w:rPr>
          <w:color w:val="231F20"/>
        </w:rPr>
        <w:t>year</w:t>
      </w:r>
      <w:r>
        <w:rPr>
          <w:color w:val="231F20"/>
          <w:spacing w:val="40"/>
        </w:rPr>
        <w:t> </w:t>
      </w:r>
      <w:r>
        <w:rPr>
          <w:color w:val="231F20"/>
        </w:rPr>
        <w:t>of</w:t>
      </w:r>
      <w:r>
        <w:rPr>
          <w:color w:val="231F20"/>
          <w:spacing w:val="40"/>
        </w:rPr>
        <w:t> </w:t>
      </w:r>
      <w:r>
        <w:rPr>
          <w:color w:val="231F20"/>
        </w:rPr>
        <w:t>operations</w:t>
      </w:r>
      <w:r>
        <w:rPr>
          <w:color w:val="231F20"/>
          <w:spacing w:val="40"/>
        </w:rPr>
        <w:t> </w:t>
      </w:r>
      <w:r>
        <w:rPr>
          <w:color w:val="231F20"/>
        </w:rPr>
        <w:t>Bob</w:t>
      </w:r>
      <w:r>
        <w:rPr>
          <w:color w:val="231F20"/>
          <w:spacing w:val="40"/>
        </w:rPr>
        <w:t> </w:t>
      </w:r>
      <w:r>
        <w:rPr>
          <w:color w:val="231F20"/>
        </w:rPr>
        <w:t>had</w:t>
      </w:r>
      <w:r>
        <w:rPr>
          <w:color w:val="231F20"/>
          <w:spacing w:val="40"/>
        </w:rPr>
        <w:t> </w:t>
      </w:r>
      <w:r>
        <w:rPr>
          <w:color w:val="231F20"/>
        </w:rPr>
        <w:t>$5,000</w:t>
      </w:r>
      <w:r>
        <w:rPr>
          <w:color w:val="231F20"/>
          <w:spacing w:val="40"/>
        </w:rPr>
        <w:t> </w:t>
      </w:r>
      <w:r>
        <w:rPr>
          <w:color w:val="231F20"/>
        </w:rPr>
        <w:t>more</w:t>
      </w:r>
      <w:r>
        <w:rPr>
          <w:color w:val="231F20"/>
          <w:spacing w:val="40"/>
        </w:rPr>
        <w:t> </w:t>
      </w:r>
      <w:r>
        <w:rPr>
          <w:color w:val="231F20"/>
        </w:rPr>
        <w:t>than</w:t>
      </w:r>
      <w:r>
        <w:rPr>
          <w:color w:val="231F20"/>
          <w:spacing w:val="40"/>
        </w:rPr>
        <w:t> </w:t>
      </w:r>
      <w:r>
        <w:rPr>
          <w:color w:val="231F20"/>
        </w:rPr>
        <w:t>when</w:t>
      </w:r>
      <w:r>
        <w:rPr>
          <w:color w:val="231F20"/>
          <w:spacing w:val="40"/>
        </w:rPr>
        <w:t> </w:t>
      </w:r>
      <w:r>
        <w:rPr>
          <w:color w:val="231F20"/>
        </w:rPr>
        <w:t>he started. With his cash flow statement he can understand how it </w:t>
      </w:r>
      <w:r>
        <w:rPr>
          <w:color w:val="231F20"/>
          <w:spacing w:val="-2"/>
        </w:rPr>
        <w:t>happened!</w:t>
      </w:r>
    </w:p>
    <w:p>
      <w:pPr>
        <w:pStyle w:val="BodyText"/>
        <w:spacing w:before="7"/>
        <w:rPr>
          <w:sz w:val="26"/>
        </w:rPr>
      </w:pPr>
    </w:p>
    <w:p>
      <w:pPr>
        <w:spacing w:before="1"/>
        <w:ind w:left="1170" w:right="0" w:firstLine="0"/>
        <w:jc w:val="left"/>
        <w:rPr>
          <w:rFonts w:ascii="Arial"/>
          <w:i/>
          <w:sz w:val="19"/>
        </w:rPr>
      </w:pPr>
      <w:r>
        <w:rPr>
          <w:rFonts w:ascii="Arial"/>
          <w:i/>
          <w:color w:val="231F20"/>
          <w:w w:val="115"/>
          <w:sz w:val="19"/>
        </w:rPr>
        <w:t>Once</w:t>
      </w:r>
      <w:r>
        <w:rPr>
          <w:rFonts w:ascii="Arial"/>
          <w:i/>
          <w:color w:val="231F20"/>
          <w:spacing w:val="-10"/>
          <w:w w:val="115"/>
          <w:sz w:val="19"/>
        </w:rPr>
        <w:t> </w:t>
      </w:r>
      <w:r>
        <w:rPr>
          <w:rFonts w:ascii="Arial"/>
          <w:i/>
          <w:color w:val="231F20"/>
          <w:w w:val="115"/>
          <w:sz w:val="19"/>
        </w:rPr>
        <w:t>prepared,</w:t>
      </w:r>
      <w:r>
        <w:rPr>
          <w:rFonts w:ascii="Arial"/>
          <w:i/>
          <w:color w:val="231F20"/>
          <w:spacing w:val="-9"/>
          <w:w w:val="115"/>
          <w:sz w:val="19"/>
        </w:rPr>
        <w:t> </w:t>
      </w:r>
      <w:r>
        <w:rPr>
          <w:rFonts w:ascii="Arial"/>
          <w:i/>
          <w:color w:val="231F20"/>
          <w:w w:val="115"/>
          <w:sz w:val="19"/>
        </w:rPr>
        <w:t>what</w:t>
      </w:r>
      <w:r>
        <w:rPr>
          <w:rFonts w:ascii="Arial"/>
          <w:i/>
          <w:color w:val="231F20"/>
          <w:spacing w:val="-9"/>
          <w:w w:val="115"/>
          <w:sz w:val="19"/>
        </w:rPr>
        <w:t> </w:t>
      </w:r>
      <w:r>
        <w:rPr>
          <w:rFonts w:ascii="Arial"/>
          <w:i/>
          <w:color w:val="231F20"/>
          <w:w w:val="115"/>
          <w:sz w:val="19"/>
        </w:rPr>
        <w:t>does</w:t>
      </w:r>
      <w:r>
        <w:rPr>
          <w:rFonts w:ascii="Arial"/>
          <w:i/>
          <w:color w:val="231F20"/>
          <w:spacing w:val="-9"/>
          <w:w w:val="115"/>
          <w:sz w:val="19"/>
        </w:rPr>
        <w:t> </w:t>
      </w:r>
      <w:r>
        <w:rPr>
          <w:rFonts w:ascii="Arial"/>
          <w:i/>
          <w:color w:val="231F20"/>
          <w:w w:val="115"/>
          <w:sz w:val="19"/>
        </w:rPr>
        <w:t>the</w:t>
      </w:r>
      <w:r>
        <w:rPr>
          <w:rFonts w:ascii="Arial"/>
          <w:i/>
          <w:color w:val="231F20"/>
          <w:spacing w:val="-9"/>
          <w:w w:val="115"/>
          <w:sz w:val="19"/>
        </w:rPr>
        <w:t> </w:t>
      </w:r>
      <w:r>
        <w:rPr>
          <w:rFonts w:ascii="Arial"/>
          <w:i/>
          <w:color w:val="231F20"/>
          <w:w w:val="115"/>
          <w:sz w:val="19"/>
        </w:rPr>
        <w:t>cash</w:t>
      </w:r>
      <w:r>
        <w:rPr>
          <w:rFonts w:ascii="Arial"/>
          <w:i/>
          <w:color w:val="231F20"/>
          <w:spacing w:val="-9"/>
          <w:w w:val="115"/>
          <w:sz w:val="19"/>
        </w:rPr>
        <w:t> </w:t>
      </w:r>
      <w:r>
        <w:rPr>
          <w:rFonts w:ascii="Arial"/>
          <w:i/>
          <w:color w:val="231F20"/>
          <w:w w:val="115"/>
          <w:sz w:val="19"/>
        </w:rPr>
        <w:t>flow</w:t>
      </w:r>
      <w:r>
        <w:rPr>
          <w:rFonts w:ascii="Arial"/>
          <w:i/>
          <w:color w:val="231F20"/>
          <w:spacing w:val="-9"/>
          <w:w w:val="115"/>
          <w:sz w:val="19"/>
        </w:rPr>
        <w:t> </w:t>
      </w:r>
      <w:r>
        <w:rPr>
          <w:rFonts w:ascii="Arial"/>
          <w:i/>
          <w:color w:val="231F20"/>
          <w:w w:val="115"/>
          <w:sz w:val="19"/>
        </w:rPr>
        <w:t>statement</w:t>
      </w:r>
      <w:r>
        <w:rPr>
          <w:rFonts w:ascii="Arial"/>
          <w:i/>
          <w:color w:val="231F20"/>
          <w:spacing w:val="-9"/>
          <w:w w:val="115"/>
          <w:sz w:val="19"/>
        </w:rPr>
        <w:t> </w:t>
      </w:r>
      <w:r>
        <w:rPr>
          <w:rFonts w:ascii="Arial"/>
          <w:i/>
          <w:color w:val="231F20"/>
          <w:spacing w:val="-4"/>
          <w:w w:val="115"/>
          <w:sz w:val="19"/>
        </w:rPr>
        <w:t>mean?</w:t>
      </w:r>
    </w:p>
    <w:p>
      <w:pPr>
        <w:pStyle w:val="BodyText"/>
        <w:spacing w:line="292" w:lineRule="auto" w:before="60"/>
        <w:ind w:left="830" w:right="756" w:firstLine="340"/>
        <w:jc w:val="both"/>
      </w:pPr>
      <w:r>
        <w:rPr>
          <w:color w:val="231F20"/>
        </w:rPr>
        <w:t>Take a step back, or else you can get lost in the mechanics. </w:t>
      </w:r>
      <w:r>
        <w:rPr>
          <w:color w:val="231F20"/>
        </w:rPr>
        <w:t>This cash flow statement shows the net change in cash for the year. It ap- pears</w:t>
      </w:r>
      <w:r>
        <w:rPr>
          <w:color w:val="231F20"/>
          <w:spacing w:val="17"/>
        </w:rPr>
        <w:t> </w:t>
      </w:r>
      <w:r>
        <w:rPr>
          <w:color w:val="231F20"/>
        </w:rPr>
        <w:t>at</w:t>
      </w:r>
      <w:r>
        <w:rPr>
          <w:color w:val="231F20"/>
          <w:spacing w:val="17"/>
        </w:rPr>
        <w:t> </w:t>
      </w:r>
      <w:r>
        <w:rPr>
          <w:color w:val="231F20"/>
        </w:rPr>
        <w:t>the</w:t>
      </w:r>
      <w:r>
        <w:rPr>
          <w:color w:val="231F20"/>
          <w:spacing w:val="16"/>
        </w:rPr>
        <w:t> </w:t>
      </w:r>
      <w:r>
        <w:rPr>
          <w:color w:val="231F20"/>
        </w:rPr>
        <w:t>bottom</w:t>
      </w:r>
      <w:r>
        <w:rPr>
          <w:color w:val="231F20"/>
          <w:spacing w:val="17"/>
        </w:rPr>
        <w:t> </w:t>
      </w:r>
      <w:r>
        <w:rPr>
          <w:color w:val="231F20"/>
        </w:rPr>
        <w:t>of</w:t>
      </w:r>
      <w:r>
        <w:rPr>
          <w:color w:val="231F20"/>
          <w:spacing w:val="17"/>
        </w:rPr>
        <w:t> </w:t>
      </w:r>
      <w:r>
        <w:rPr>
          <w:color w:val="231F20"/>
        </w:rPr>
        <w:t>the</w:t>
      </w:r>
      <w:r>
        <w:rPr>
          <w:color w:val="231F20"/>
          <w:spacing w:val="17"/>
        </w:rPr>
        <w:t> </w:t>
      </w:r>
      <w:r>
        <w:rPr>
          <w:color w:val="231F20"/>
        </w:rPr>
        <w:t>statement.</w:t>
      </w:r>
      <w:r>
        <w:rPr>
          <w:color w:val="231F20"/>
          <w:spacing w:val="17"/>
        </w:rPr>
        <w:t> </w:t>
      </w:r>
      <w:r>
        <w:rPr>
          <w:color w:val="231F20"/>
        </w:rPr>
        <w:t>Take</w:t>
      </w:r>
      <w:r>
        <w:rPr>
          <w:color w:val="231F20"/>
          <w:spacing w:val="17"/>
        </w:rPr>
        <w:t> </w:t>
      </w:r>
      <w:r>
        <w:rPr>
          <w:color w:val="231F20"/>
        </w:rPr>
        <w:t>a</w:t>
      </w:r>
      <w:r>
        <w:rPr>
          <w:color w:val="231F20"/>
          <w:spacing w:val="17"/>
        </w:rPr>
        <w:t> </w:t>
      </w:r>
      <w:r>
        <w:rPr>
          <w:color w:val="231F20"/>
        </w:rPr>
        <w:t>look.</w:t>
      </w:r>
      <w:r>
        <w:rPr>
          <w:color w:val="231F20"/>
          <w:spacing w:val="17"/>
        </w:rPr>
        <w:t> </w:t>
      </w:r>
      <w:r>
        <w:rPr>
          <w:color w:val="231F20"/>
        </w:rPr>
        <w:t>It</w:t>
      </w:r>
      <w:r>
        <w:rPr>
          <w:color w:val="231F20"/>
          <w:spacing w:val="17"/>
        </w:rPr>
        <w:t> </w:t>
      </w:r>
      <w:r>
        <w:rPr>
          <w:color w:val="231F20"/>
        </w:rPr>
        <w:t>sounds</w:t>
      </w:r>
      <w:r>
        <w:rPr>
          <w:color w:val="231F20"/>
          <w:spacing w:val="17"/>
        </w:rPr>
        <w:t> </w:t>
      </w:r>
      <w:r>
        <w:rPr>
          <w:color w:val="231F20"/>
          <w:spacing w:val="-2"/>
        </w:rPr>
        <w:t>simple,</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5"/>
        <w:jc w:val="both"/>
      </w:pPr>
      <w:r>
        <w:rPr>
          <w:color w:val="231F20"/>
        </w:rPr>
        <w:t>but</w:t>
      </w:r>
      <w:r>
        <w:rPr>
          <w:color w:val="231F20"/>
          <w:spacing w:val="40"/>
        </w:rPr>
        <w:t> </w:t>
      </w:r>
      <w:r>
        <w:rPr>
          <w:color w:val="231F20"/>
        </w:rPr>
        <w:t>some</w:t>
      </w:r>
      <w:r>
        <w:rPr>
          <w:color w:val="231F20"/>
          <w:spacing w:val="40"/>
        </w:rPr>
        <w:t> </w:t>
      </w:r>
      <w:r>
        <w:rPr>
          <w:color w:val="231F20"/>
        </w:rPr>
        <w:t>newly</w:t>
      </w:r>
      <w:r>
        <w:rPr>
          <w:color w:val="231F20"/>
          <w:spacing w:val="40"/>
        </w:rPr>
        <w:t> </w:t>
      </w:r>
      <w:r>
        <w:rPr>
          <w:color w:val="231F20"/>
        </w:rPr>
        <w:t>minted</w:t>
      </w:r>
      <w:r>
        <w:rPr>
          <w:color w:val="231F20"/>
          <w:spacing w:val="40"/>
        </w:rPr>
        <w:t> </w:t>
      </w:r>
      <w:r>
        <w:rPr>
          <w:color w:val="231F20"/>
        </w:rPr>
        <w:t>CPAs</w:t>
      </w:r>
      <w:r>
        <w:rPr>
          <w:color w:val="231F20"/>
          <w:spacing w:val="40"/>
        </w:rPr>
        <w:t> </w:t>
      </w:r>
      <w:r>
        <w:rPr>
          <w:color w:val="231F20"/>
        </w:rPr>
        <w:t>I</w:t>
      </w:r>
      <w:r>
        <w:rPr>
          <w:color w:val="231F20"/>
          <w:spacing w:val="40"/>
        </w:rPr>
        <w:t> </w:t>
      </w:r>
      <w:r>
        <w:rPr>
          <w:color w:val="231F20"/>
        </w:rPr>
        <w:t>worked</w:t>
      </w:r>
      <w:r>
        <w:rPr>
          <w:color w:val="231F20"/>
          <w:spacing w:val="40"/>
        </w:rPr>
        <w:t> </w:t>
      </w:r>
      <w:r>
        <w:rPr>
          <w:color w:val="231F20"/>
        </w:rPr>
        <w:t>with</w:t>
      </w:r>
      <w:r>
        <w:rPr>
          <w:color w:val="231F20"/>
          <w:spacing w:val="40"/>
        </w:rPr>
        <w:t> </w:t>
      </w:r>
      <w:r>
        <w:rPr>
          <w:color w:val="231F20"/>
        </w:rPr>
        <w:t>at</w:t>
      </w:r>
      <w:r>
        <w:rPr>
          <w:color w:val="231F20"/>
          <w:spacing w:val="40"/>
        </w:rPr>
        <w:t> </w:t>
      </w:r>
      <w:r>
        <w:rPr>
          <w:color w:val="231F20"/>
        </w:rPr>
        <w:t>Arthur</w:t>
      </w:r>
      <w:r>
        <w:rPr>
          <w:color w:val="231F20"/>
          <w:spacing w:val="40"/>
        </w:rPr>
        <w:t> </w:t>
      </w:r>
      <w:r>
        <w:rPr>
          <w:color w:val="231F20"/>
        </w:rPr>
        <w:t>Andersen LLP never really understood that fact as they labored to prepare the report’s details. You do. </w:t>
      </w:r>
      <w:r>
        <w:rPr>
          <w:i/>
          <w:color w:val="231F20"/>
        </w:rPr>
        <w:t>Where </w:t>
      </w:r>
      <w:r>
        <w:rPr>
          <w:color w:val="231F20"/>
        </w:rPr>
        <w:t>the changes in cash took place is of real importance to MBAs.</w:t>
      </w:r>
    </w:p>
    <w:p>
      <w:pPr>
        <w:pStyle w:val="BodyText"/>
        <w:rPr>
          <w:sz w:val="27"/>
        </w:rPr>
      </w:pPr>
    </w:p>
    <w:p>
      <w:pPr>
        <w:spacing w:line="324" w:lineRule="auto" w:before="1"/>
        <w:ind w:left="1260" w:right="1006" w:firstLine="0"/>
        <w:jc w:val="both"/>
        <w:rPr>
          <w:sz w:val="19"/>
        </w:rPr>
      </w:pPr>
      <w:r>
        <w:rPr>
          <w:color w:val="231F20"/>
          <w:sz w:val="19"/>
        </w:rPr>
        <w:t>Was the company a seemingly profitable company, but must </w:t>
      </w:r>
      <w:r>
        <w:rPr>
          <w:color w:val="231F20"/>
          <w:sz w:val="19"/>
        </w:rPr>
        <w:t>bor- row heavily just to stay alive?</w:t>
      </w:r>
    </w:p>
    <w:p>
      <w:pPr>
        <w:spacing w:line="324" w:lineRule="auto" w:before="0"/>
        <w:ind w:left="1259" w:right="1006" w:firstLine="340"/>
        <w:jc w:val="both"/>
        <w:rPr>
          <w:sz w:val="19"/>
        </w:rPr>
      </w:pPr>
      <w:r>
        <w:rPr>
          <w:color w:val="231F20"/>
          <w:sz w:val="19"/>
        </w:rPr>
        <w:t>Did the company’s operations throw off cash, even though it may be just marginally profitable according to the income state- </w:t>
      </w:r>
      <w:r>
        <w:rPr>
          <w:color w:val="231F20"/>
          <w:spacing w:val="-2"/>
          <w:sz w:val="19"/>
        </w:rPr>
        <w:t>ment?</w:t>
      </w:r>
    </w:p>
    <w:p>
      <w:pPr>
        <w:pStyle w:val="BodyText"/>
        <w:spacing w:before="7"/>
        <w:rPr>
          <w:sz w:val="23"/>
        </w:rPr>
      </w:pPr>
    </w:p>
    <w:p>
      <w:pPr>
        <w:pStyle w:val="BodyText"/>
        <w:spacing w:line="292" w:lineRule="auto"/>
        <w:ind w:left="920" w:right="666"/>
        <w:jc w:val="both"/>
      </w:pPr>
      <w:r>
        <w:rPr>
          <w:color w:val="231F20"/>
        </w:rPr>
        <w:t>Those are samples of the important questions that neither the bal- ance sheet nor the income statement can tell a reader. That is </w:t>
      </w:r>
      <w:r>
        <w:rPr>
          <w:color w:val="231F20"/>
        </w:rPr>
        <w:t>why</w:t>
      </w:r>
      <w:r>
        <w:rPr>
          <w:color w:val="231F20"/>
          <w:spacing w:val="40"/>
        </w:rPr>
        <w:t> </w:t>
      </w:r>
      <w:r>
        <w:rPr>
          <w:color w:val="231F20"/>
        </w:rPr>
        <w:t>the cash flow statement exists.</w:t>
      </w:r>
    </w:p>
    <w:p>
      <w:pPr>
        <w:pStyle w:val="BodyText"/>
        <w:spacing w:line="292" w:lineRule="auto"/>
        <w:ind w:left="919" w:right="663" w:firstLine="340"/>
        <w:jc w:val="both"/>
      </w:pPr>
      <w:r>
        <w:rPr>
          <w:color w:val="231F20"/>
        </w:rPr>
        <w:t>When a company is healthy, operating activities will generate cash. That message is delivered by the net income adjusted for changes in working capital. That is the </w:t>
      </w:r>
      <w:r>
        <w:rPr>
          <w:i/>
          <w:color w:val="231F20"/>
        </w:rPr>
        <w:t>operating activities </w:t>
      </w:r>
      <w:r>
        <w:rPr>
          <w:color w:val="231F20"/>
        </w:rPr>
        <w:t>section’s </w:t>
      </w:r>
      <w:r>
        <w:rPr>
          <w:color w:val="231F20"/>
          <w:spacing w:val="-2"/>
        </w:rPr>
        <w:t>function.</w:t>
      </w:r>
    </w:p>
    <w:p>
      <w:pPr>
        <w:pStyle w:val="BodyText"/>
        <w:spacing w:line="292" w:lineRule="auto"/>
        <w:ind w:left="919" w:right="666" w:firstLine="340"/>
        <w:jc w:val="both"/>
      </w:pPr>
      <w:r>
        <w:rPr>
          <w:color w:val="231F20"/>
        </w:rPr>
        <w:t>Does</w:t>
      </w:r>
      <w:r>
        <w:rPr>
          <w:color w:val="231F20"/>
          <w:spacing w:val="-1"/>
        </w:rPr>
        <w:t> </w:t>
      </w:r>
      <w:r>
        <w:rPr>
          <w:color w:val="231F20"/>
        </w:rPr>
        <w:t>the</w:t>
      </w:r>
      <w:r>
        <w:rPr>
          <w:color w:val="231F20"/>
          <w:spacing w:val="-1"/>
        </w:rPr>
        <w:t> </w:t>
      </w:r>
      <w:r>
        <w:rPr>
          <w:color w:val="231F20"/>
        </w:rPr>
        <w:t>company</w:t>
      </w:r>
      <w:r>
        <w:rPr>
          <w:color w:val="231F20"/>
          <w:spacing w:val="-1"/>
        </w:rPr>
        <w:t> </w:t>
      </w:r>
      <w:r>
        <w:rPr>
          <w:color w:val="231F20"/>
        </w:rPr>
        <w:t>require</w:t>
      </w:r>
      <w:r>
        <w:rPr>
          <w:color w:val="231F20"/>
          <w:spacing w:val="-1"/>
        </w:rPr>
        <w:t> </w:t>
      </w:r>
      <w:r>
        <w:rPr>
          <w:color w:val="231F20"/>
        </w:rPr>
        <w:t>a</w:t>
      </w:r>
      <w:r>
        <w:rPr>
          <w:color w:val="231F20"/>
          <w:spacing w:val="-1"/>
        </w:rPr>
        <w:t> </w:t>
      </w:r>
      <w:r>
        <w:rPr>
          <w:color w:val="231F20"/>
        </w:rPr>
        <w:t>great</w:t>
      </w:r>
      <w:r>
        <w:rPr>
          <w:color w:val="231F20"/>
          <w:spacing w:val="-1"/>
        </w:rPr>
        <w:t> </w:t>
      </w:r>
      <w:r>
        <w:rPr>
          <w:color w:val="231F20"/>
        </w:rPr>
        <w:t>investment</w:t>
      </w:r>
      <w:r>
        <w:rPr>
          <w:color w:val="231F20"/>
          <w:spacing w:val="-1"/>
        </w:rPr>
        <w:t> </w:t>
      </w:r>
      <w:r>
        <w:rPr>
          <w:color w:val="231F20"/>
        </w:rPr>
        <w:t>in</w:t>
      </w:r>
      <w:r>
        <w:rPr>
          <w:color w:val="231F20"/>
          <w:spacing w:val="-1"/>
        </w:rPr>
        <w:t> </w:t>
      </w:r>
      <w:r>
        <w:rPr>
          <w:color w:val="231F20"/>
        </w:rPr>
        <w:t>fixed</w:t>
      </w:r>
      <w:r>
        <w:rPr>
          <w:color w:val="231F20"/>
          <w:spacing w:val="-1"/>
        </w:rPr>
        <w:t> </w:t>
      </w:r>
      <w:r>
        <w:rPr>
          <w:color w:val="231F20"/>
        </w:rPr>
        <w:t>assets</w:t>
      </w:r>
      <w:r>
        <w:rPr>
          <w:color w:val="231F20"/>
          <w:spacing w:val="-1"/>
        </w:rPr>
        <w:t> </w:t>
      </w:r>
      <w:r>
        <w:rPr>
          <w:color w:val="231F20"/>
        </w:rPr>
        <w:t>such as new equipment or technology? Is the company selling off its </w:t>
      </w:r>
      <w:r>
        <w:rPr>
          <w:color w:val="231F20"/>
        </w:rPr>
        <w:t>as- sets to fill an insatiable cash drain from operations? That type of in- formation lies in the </w:t>
      </w:r>
      <w:r>
        <w:rPr>
          <w:i/>
          <w:color w:val="231F20"/>
        </w:rPr>
        <w:t>investment activities </w:t>
      </w:r>
      <w:r>
        <w:rPr>
          <w:color w:val="231F20"/>
        </w:rPr>
        <w:t>section.</w:t>
      </w:r>
    </w:p>
    <w:p>
      <w:pPr>
        <w:pStyle w:val="BodyText"/>
        <w:spacing w:line="292" w:lineRule="auto"/>
        <w:ind w:left="920" w:right="663" w:firstLine="340"/>
        <w:jc w:val="both"/>
      </w:pPr>
      <w:r>
        <w:rPr>
          <w:color w:val="231F20"/>
        </w:rPr>
        <w:t>Dying businesses stay alive by cannibalizing their assets to </w:t>
      </w:r>
      <w:r>
        <w:rPr>
          <w:color w:val="231F20"/>
        </w:rPr>
        <w:t>fund their unprofitable operations. Pan American Airlines, once the</w:t>
      </w:r>
      <w:r>
        <w:rPr>
          <w:color w:val="231F20"/>
          <w:spacing w:val="80"/>
        </w:rPr>
        <w:t> </w:t>
      </w:r>
      <w:r>
        <w:rPr>
          <w:color w:val="231F20"/>
        </w:rPr>
        <w:t>largest airline in the world, withered in 1991 when it sold its coveted European routes to its competitors to raise cash. Pan Am died in </w:t>
      </w:r>
      <w:r>
        <w:rPr>
          <w:color w:val="231F20"/>
          <w:spacing w:val="-2"/>
        </w:rPr>
        <w:t>1992.</w:t>
      </w:r>
    </w:p>
    <w:p>
      <w:pPr>
        <w:pStyle w:val="BodyText"/>
        <w:spacing w:line="292" w:lineRule="auto"/>
        <w:ind w:left="920" w:right="666" w:firstLine="340"/>
        <w:jc w:val="both"/>
      </w:pPr>
      <w:r>
        <w:rPr>
          <w:color w:val="231F20"/>
        </w:rPr>
        <w:t>Did the company borrow heavily or has the company gone to </w:t>
      </w:r>
      <w:r>
        <w:rPr>
          <w:color w:val="231F20"/>
        </w:rPr>
        <w:t>in- vestors to fund its operational or investing activities? The </w:t>
      </w:r>
      <w:r>
        <w:rPr>
          <w:i/>
          <w:color w:val="231F20"/>
        </w:rPr>
        <w:t>financing</w:t>
      </w:r>
      <w:r>
        <w:rPr>
          <w:i/>
          <w:color w:val="231F20"/>
        </w:rPr>
        <w:t> activities </w:t>
      </w:r>
      <w:r>
        <w:rPr>
          <w:color w:val="231F20"/>
        </w:rPr>
        <w:t>section tells that important story. In Bob’s case he bor- rowed from the bank and invested his own money.</w:t>
      </w:r>
    </w:p>
    <w:p>
      <w:pPr>
        <w:pStyle w:val="BodyText"/>
        <w:spacing w:line="292" w:lineRule="auto"/>
        <w:ind w:left="920" w:right="665" w:firstLine="340"/>
        <w:jc w:val="both"/>
      </w:pPr>
      <w:r>
        <w:rPr>
          <w:color w:val="231F20"/>
        </w:rPr>
        <w:t>Whatever the sources and uses of cash, the statement of cash flows tells a great deal about a business’s health. To many </w:t>
      </w:r>
      <w:r>
        <w:rPr>
          <w:color w:val="231F20"/>
        </w:rPr>
        <w:t>financial analysts, it is the most important statement of all.</w:t>
      </w:r>
    </w:p>
    <w:p>
      <w:pPr>
        <w:spacing w:after="0" w:line="292" w:lineRule="auto"/>
        <w:jc w:val="both"/>
        <w:sectPr>
          <w:pgSz w:w="8640" w:h="12960"/>
          <w:pgMar w:header="734" w:footer="0" w:top="920" w:bottom="280" w:left="340" w:right="500"/>
        </w:sectPr>
      </w:pPr>
    </w:p>
    <w:p>
      <w:pPr>
        <w:pStyle w:val="BodyText"/>
        <w:rPr>
          <w:sz w:val="20"/>
        </w:rPr>
      </w:pPr>
    </w:p>
    <w:p>
      <w:pPr>
        <w:pStyle w:val="BodyText"/>
        <w:spacing w:before="11"/>
        <w:rPr>
          <w:sz w:val="20"/>
        </w:rPr>
      </w:pPr>
    </w:p>
    <w:p>
      <w:pPr>
        <w:pStyle w:val="Heading4"/>
        <w:spacing w:before="102"/>
        <w:ind w:left="300"/>
      </w:pPr>
      <w:r>
        <w:rPr>
          <w:color w:val="231F20"/>
          <w:spacing w:val="10"/>
          <w:w w:val="85"/>
        </w:rPr>
        <w:t>ACCOUNTING’S</w:t>
      </w:r>
      <w:r>
        <w:rPr>
          <w:color w:val="231F20"/>
          <w:spacing w:val="-1"/>
        </w:rPr>
        <w:t> </w:t>
      </w:r>
      <w:r>
        <w:rPr>
          <w:color w:val="231F20"/>
          <w:w w:val="85"/>
        </w:rPr>
        <w:t>BIG</w:t>
      </w:r>
      <w:r>
        <w:rPr>
          <w:color w:val="231F20"/>
        </w:rPr>
        <w:t> </w:t>
      </w:r>
      <w:r>
        <w:rPr>
          <w:color w:val="231F20"/>
          <w:spacing w:val="8"/>
          <w:w w:val="85"/>
        </w:rPr>
        <w:t>PICTURE</w:t>
      </w:r>
    </w:p>
    <w:p>
      <w:pPr>
        <w:pStyle w:val="BodyText"/>
        <w:spacing w:before="11"/>
        <w:rPr>
          <w:rFonts w:ascii="Trebuchet MS"/>
          <w:sz w:val="29"/>
        </w:rPr>
      </w:pPr>
    </w:p>
    <w:p>
      <w:pPr>
        <w:pStyle w:val="BodyText"/>
        <w:spacing w:line="283" w:lineRule="auto"/>
        <w:ind w:left="830" w:right="754"/>
        <w:jc w:val="both"/>
        <w:rPr>
          <w:i/>
        </w:rPr>
      </w:pPr>
      <w:r>
        <w:rPr>
          <w:color w:val="231F20"/>
        </w:rPr>
        <w:t>A knowledgeable person can always get back to the fundamental equation of accounting to make sense of any jumble of </w:t>
      </w:r>
      <w:r>
        <w:rPr>
          <w:color w:val="231F20"/>
        </w:rPr>
        <w:t>numbers making up any of the financial statements of a company: </w:t>
      </w:r>
      <w:r>
        <w:rPr>
          <w:i/>
          <w:color w:val="231F20"/>
        </w:rPr>
        <w:t>Assets </w:t>
      </w:r>
      <w:r>
        <w:rPr>
          <w:rFonts w:ascii="Symbol" w:hAnsi="Symbol"/>
          <w:color w:val="231F20"/>
        </w:rPr>
        <w:t></w:t>
      </w:r>
      <w:r>
        <w:rPr>
          <w:rFonts w:ascii="Times New Roman" w:hAnsi="Times New Roman"/>
          <w:color w:val="231F20"/>
        </w:rPr>
        <w:t> </w:t>
      </w:r>
      <w:r>
        <w:rPr>
          <w:i/>
          <w:color w:val="231F20"/>
        </w:rPr>
        <w:t>Liabilities</w:t>
      </w:r>
      <w:r>
        <w:rPr>
          <w:i/>
          <w:color w:val="231F20"/>
          <w:spacing w:val="40"/>
        </w:rPr>
        <w:t> </w:t>
      </w:r>
      <w:r>
        <w:rPr>
          <w:rFonts w:ascii="Symbol" w:hAnsi="Symbol"/>
          <w:color w:val="231F20"/>
        </w:rPr>
        <w:t></w:t>
      </w:r>
      <w:r>
        <w:rPr>
          <w:rFonts w:ascii="Times New Roman" w:hAnsi="Times New Roman"/>
          <w:color w:val="231F20"/>
        </w:rPr>
        <w:t> </w:t>
      </w:r>
      <w:r>
        <w:rPr>
          <w:i/>
          <w:color w:val="231F20"/>
        </w:rPr>
        <w:t>Owners’</w:t>
      </w:r>
      <w:r>
        <w:rPr>
          <w:i/>
          <w:color w:val="231F20"/>
          <w:spacing w:val="40"/>
        </w:rPr>
        <w:t> </w:t>
      </w:r>
      <w:r>
        <w:rPr>
          <w:i/>
          <w:color w:val="231F20"/>
        </w:rPr>
        <w:t>Equity.</w:t>
      </w:r>
    </w:p>
    <w:p>
      <w:pPr>
        <w:pStyle w:val="BodyText"/>
        <w:spacing w:line="292" w:lineRule="auto" w:before="11"/>
        <w:ind w:left="830" w:right="753" w:firstLine="340"/>
        <w:jc w:val="both"/>
        <w:rPr>
          <w:i/>
        </w:rPr>
      </w:pPr>
      <w:r>
        <w:rPr>
          <w:color w:val="231F20"/>
        </w:rPr>
        <w:t>With the statement of cash flows it was demonstrated that the changes during the year in the cash balance had to result from changes in assets, liabilities, and owners’ equity. The assets and lia- bilities changes came from the balance sheet. The owners’ equity changes were the result of changes in net income, provided in detail by the income statement. </w:t>
      </w:r>
      <w:r>
        <w:rPr>
          <w:i/>
          <w:color w:val="231F20"/>
        </w:rPr>
        <w:t>The three basic financial statements are </w:t>
      </w:r>
      <w:r>
        <w:rPr>
          <w:i/>
          <w:color w:val="231F20"/>
        </w:rPr>
        <w:t>in-</w:t>
      </w:r>
      <w:r>
        <w:rPr>
          <w:i/>
          <w:color w:val="231F20"/>
        </w:rPr>
        <w:t> extricably tied together.</w:t>
      </w:r>
    </w:p>
    <w:p>
      <w:pPr>
        <w:pStyle w:val="BodyText"/>
        <w:spacing w:line="292" w:lineRule="auto"/>
        <w:ind w:left="830" w:right="755" w:firstLine="340"/>
        <w:jc w:val="both"/>
      </w:pPr>
      <w:r>
        <w:rPr>
          <w:color w:val="231F20"/>
        </w:rPr>
        <w:t>The fundamental accounting equation, the balance sheet, and each of the many journal entries made during the year </w:t>
      </w:r>
      <w:r>
        <w:rPr>
          <w:i/>
          <w:color w:val="231F20"/>
        </w:rPr>
        <w:t>always </w:t>
      </w:r>
      <w:r>
        <w:rPr>
          <w:color w:val="231F20"/>
        </w:rPr>
        <w:t>bal- ance.</w:t>
      </w:r>
      <w:r>
        <w:rPr>
          <w:color w:val="231F20"/>
          <w:spacing w:val="40"/>
        </w:rPr>
        <w:t> </w:t>
      </w:r>
      <w:r>
        <w:rPr>
          <w:color w:val="231F20"/>
        </w:rPr>
        <w:t>That</w:t>
      </w:r>
      <w:r>
        <w:rPr>
          <w:color w:val="231F20"/>
          <w:spacing w:val="40"/>
        </w:rPr>
        <w:t> </w:t>
      </w:r>
      <w:r>
        <w:rPr>
          <w:color w:val="231F20"/>
        </w:rPr>
        <w:t>fundamental</w:t>
      </w:r>
      <w:r>
        <w:rPr>
          <w:color w:val="231F20"/>
          <w:spacing w:val="40"/>
        </w:rPr>
        <w:t> </w:t>
      </w:r>
      <w:r>
        <w:rPr>
          <w:color w:val="231F20"/>
        </w:rPr>
        <w:t>property</w:t>
      </w:r>
      <w:r>
        <w:rPr>
          <w:color w:val="231F20"/>
          <w:spacing w:val="40"/>
        </w:rPr>
        <w:t> </w:t>
      </w:r>
      <w:r>
        <w:rPr>
          <w:color w:val="231F20"/>
        </w:rPr>
        <w:t>allows</w:t>
      </w:r>
      <w:r>
        <w:rPr>
          <w:color w:val="231F20"/>
          <w:spacing w:val="40"/>
        </w:rPr>
        <w:t> </w:t>
      </w:r>
      <w:r>
        <w:rPr>
          <w:color w:val="231F20"/>
        </w:rPr>
        <w:t>for</w:t>
      </w:r>
      <w:r>
        <w:rPr>
          <w:color w:val="231F20"/>
          <w:spacing w:val="40"/>
        </w:rPr>
        <w:t> </w:t>
      </w:r>
      <w:r>
        <w:rPr>
          <w:color w:val="231F20"/>
        </w:rPr>
        <w:t>changes</w:t>
      </w:r>
      <w:r>
        <w:rPr>
          <w:color w:val="231F20"/>
          <w:spacing w:val="40"/>
        </w:rPr>
        <w:t> </w:t>
      </w:r>
      <w:r>
        <w:rPr>
          <w:color w:val="231F20"/>
        </w:rPr>
        <w:t>in</w:t>
      </w:r>
      <w:r>
        <w:rPr>
          <w:color w:val="231F20"/>
          <w:spacing w:val="40"/>
        </w:rPr>
        <w:t> </w:t>
      </w:r>
      <w:r>
        <w:rPr>
          <w:color w:val="231F20"/>
        </w:rPr>
        <w:t>any</w:t>
      </w:r>
      <w:r>
        <w:rPr>
          <w:color w:val="231F20"/>
          <w:spacing w:val="40"/>
        </w:rPr>
        <w:t> </w:t>
      </w:r>
      <w:r>
        <w:rPr>
          <w:color w:val="231F20"/>
        </w:rPr>
        <w:t>piece of the accounting puzzle to be explained by changes in the other parts. By grasping this basic concept of the interrelationships of the financial statements, you have learned the essence of accounting. </w:t>
      </w:r>
      <w:r>
        <w:rPr>
          <w:color w:val="231F20"/>
          <w:spacing w:val="-2"/>
        </w:rPr>
        <w:t>Congratulations!</w:t>
      </w:r>
    </w:p>
    <w:p>
      <w:pPr>
        <w:pStyle w:val="BodyText"/>
        <w:rPr>
          <w:sz w:val="24"/>
        </w:rPr>
      </w:pPr>
    </w:p>
    <w:p>
      <w:pPr>
        <w:pStyle w:val="BodyText"/>
        <w:spacing w:before="6"/>
        <w:rPr>
          <w:sz w:val="24"/>
        </w:rPr>
      </w:pPr>
    </w:p>
    <w:p>
      <w:pPr>
        <w:pStyle w:val="Heading4"/>
        <w:ind w:left="301"/>
      </w:pPr>
      <w:r>
        <w:rPr>
          <w:color w:val="231F20"/>
          <w:spacing w:val="9"/>
          <w:w w:val="85"/>
        </w:rPr>
        <w:t>READING</w:t>
      </w:r>
      <w:r>
        <w:rPr>
          <w:color w:val="231F20"/>
          <w:spacing w:val="40"/>
        </w:rPr>
        <w:t> </w:t>
      </w:r>
      <w:r>
        <w:rPr>
          <w:color w:val="231F20"/>
          <w:w w:val="85"/>
        </w:rPr>
        <w:t>THE</w:t>
      </w:r>
      <w:r>
        <w:rPr>
          <w:color w:val="231F20"/>
          <w:spacing w:val="39"/>
        </w:rPr>
        <w:t> </w:t>
      </w:r>
      <w:r>
        <w:rPr>
          <w:color w:val="231F20"/>
          <w:spacing w:val="9"/>
          <w:w w:val="85"/>
        </w:rPr>
        <w:t>FINANCIAL</w:t>
      </w:r>
      <w:r>
        <w:rPr>
          <w:color w:val="231F20"/>
          <w:spacing w:val="40"/>
        </w:rPr>
        <w:t> </w:t>
      </w:r>
      <w:r>
        <w:rPr>
          <w:color w:val="231F20"/>
          <w:w w:val="85"/>
        </w:rPr>
        <w:t>STATEMENTS</w:t>
      </w:r>
      <w:r>
        <w:rPr>
          <w:color w:val="231F20"/>
          <w:spacing w:val="40"/>
        </w:rPr>
        <w:t> </w:t>
      </w:r>
      <w:r>
        <w:rPr>
          <w:color w:val="231F20"/>
          <w:w w:val="85"/>
        </w:rPr>
        <w:t>USING</w:t>
      </w:r>
      <w:r>
        <w:rPr>
          <w:color w:val="231F20"/>
          <w:spacing w:val="40"/>
        </w:rPr>
        <w:t> </w:t>
      </w:r>
      <w:r>
        <w:rPr>
          <w:color w:val="231F20"/>
          <w:spacing w:val="-2"/>
          <w:w w:val="85"/>
        </w:rPr>
        <w:t>RATIOS</w:t>
      </w:r>
    </w:p>
    <w:p>
      <w:pPr>
        <w:pStyle w:val="BodyText"/>
        <w:spacing w:before="10"/>
        <w:rPr>
          <w:rFonts w:ascii="Trebuchet MS"/>
          <w:sz w:val="29"/>
        </w:rPr>
      </w:pPr>
    </w:p>
    <w:p>
      <w:pPr>
        <w:pStyle w:val="BodyText"/>
        <w:spacing w:line="292" w:lineRule="auto"/>
        <w:ind w:left="829" w:right="755"/>
        <w:jc w:val="both"/>
      </w:pPr>
      <w:r>
        <w:rPr>
          <w:color w:val="231F20"/>
        </w:rPr>
        <w:t>With an understanding of how accountants create their financial statements, let me add some tools to interpret them: </w:t>
      </w:r>
      <w:r>
        <w:rPr>
          <w:i/>
          <w:color w:val="231F20"/>
        </w:rPr>
        <w:t>ratios. </w:t>
      </w:r>
      <w:r>
        <w:rPr>
          <w:color w:val="231F20"/>
        </w:rPr>
        <w:t>Absolute numbers in a financial statement in and of themselves often are of limited significance. The real information can be found in an </w:t>
      </w:r>
      <w:r>
        <w:rPr>
          <w:color w:val="231F20"/>
        </w:rPr>
        <w:t>analy-</w:t>
      </w:r>
      <w:r>
        <w:rPr>
          <w:color w:val="231F20"/>
          <w:spacing w:val="40"/>
        </w:rPr>
        <w:t> </w:t>
      </w:r>
      <w:r>
        <w:rPr>
          <w:color w:val="231F20"/>
        </w:rPr>
        <w:t>sis of the relationship of one number to another or of one company</w:t>
      </w:r>
      <w:r>
        <w:rPr>
          <w:color w:val="231F20"/>
          <w:spacing w:val="80"/>
        </w:rPr>
        <w:t> </w:t>
      </w:r>
      <w:r>
        <w:rPr>
          <w:color w:val="231F20"/>
        </w:rPr>
        <w:t>to another in the same industry—</w:t>
      </w:r>
      <w:r>
        <w:rPr>
          <w:color w:val="231F20"/>
          <w:spacing w:val="-12"/>
        </w:rPr>
        <w:t> </w:t>
      </w:r>
      <w:r>
        <w:rPr>
          <w:color w:val="231F20"/>
        </w:rPr>
        <w:t>using ratios. In the grocery game, profits are usually low in relation to sales, so grocers must sell in large volume to make any real profit. A jewelry store survives on slower-paced sales but higher profits per item. That is why ratios are used to compare performances among companies within an industry and against a company’s own historical performance.</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before="102"/>
        <w:ind w:left="1260"/>
      </w:pPr>
      <w:r>
        <w:rPr>
          <w:color w:val="231F20"/>
        </w:rPr>
        <w:t>There</w:t>
      </w:r>
      <w:r>
        <w:rPr>
          <w:color w:val="231F20"/>
          <w:spacing w:val="8"/>
        </w:rPr>
        <w:t> </w:t>
      </w:r>
      <w:r>
        <w:rPr>
          <w:color w:val="231F20"/>
        </w:rPr>
        <w:t>are</w:t>
      </w:r>
      <w:r>
        <w:rPr>
          <w:color w:val="231F20"/>
          <w:spacing w:val="8"/>
        </w:rPr>
        <w:t> </w:t>
      </w:r>
      <w:r>
        <w:rPr>
          <w:color w:val="231F20"/>
        </w:rPr>
        <w:t>four</w:t>
      </w:r>
      <w:r>
        <w:rPr>
          <w:color w:val="231F20"/>
          <w:spacing w:val="9"/>
        </w:rPr>
        <w:t> </w:t>
      </w:r>
      <w:r>
        <w:rPr>
          <w:color w:val="231F20"/>
        </w:rPr>
        <w:t>major</w:t>
      </w:r>
      <w:r>
        <w:rPr>
          <w:color w:val="231F20"/>
          <w:spacing w:val="8"/>
        </w:rPr>
        <w:t> </w:t>
      </w:r>
      <w:r>
        <w:rPr>
          <w:color w:val="231F20"/>
        </w:rPr>
        <w:t>categories</w:t>
      </w:r>
      <w:r>
        <w:rPr>
          <w:color w:val="231F20"/>
          <w:spacing w:val="9"/>
        </w:rPr>
        <w:t> </w:t>
      </w:r>
      <w:r>
        <w:rPr>
          <w:color w:val="231F20"/>
        </w:rPr>
        <w:t>of</w:t>
      </w:r>
      <w:r>
        <w:rPr>
          <w:color w:val="231F20"/>
          <w:spacing w:val="8"/>
        </w:rPr>
        <w:t> </w:t>
      </w:r>
      <w:r>
        <w:rPr>
          <w:color w:val="231F20"/>
          <w:spacing w:val="-2"/>
        </w:rPr>
        <w:t>ratios:</w:t>
      </w:r>
    </w:p>
    <w:p>
      <w:pPr>
        <w:pStyle w:val="BodyText"/>
        <w:spacing w:before="11"/>
        <w:rPr>
          <w:sz w:val="31"/>
        </w:rPr>
      </w:pPr>
    </w:p>
    <w:p>
      <w:pPr>
        <w:spacing w:line="328" w:lineRule="auto" w:before="0"/>
        <w:ind w:left="1600" w:right="1262" w:hanging="340"/>
        <w:jc w:val="left"/>
        <w:rPr>
          <w:rFonts w:ascii="Arial"/>
          <w:sz w:val="19"/>
        </w:rPr>
      </w:pPr>
      <w:r>
        <w:rPr>
          <w:rFonts w:ascii="Arial"/>
          <w:i/>
          <w:color w:val="231F20"/>
          <w:w w:val="115"/>
          <w:sz w:val="19"/>
        </w:rPr>
        <w:t>Liquidity</w:t>
      </w:r>
      <w:r>
        <w:rPr>
          <w:rFonts w:ascii="Arial"/>
          <w:i/>
          <w:color w:val="231F20"/>
          <w:spacing w:val="-16"/>
          <w:w w:val="115"/>
          <w:sz w:val="19"/>
        </w:rPr>
        <w:t> </w:t>
      </w:r>
      <w:r>
        <w:rPr>
          <w:rFonts w:ascii="Arial"/>
          <w:color w:val="231F20"/>
          <w:w w:val="115"/>
          <w:sz w:val="19"/>
        </w:rPr>
        <w:t>measures:</w:t>
      </w:r>
      <w:r>
        <w:rPr>
          <w:rFonts w:ascii="Arial"/>
          <w:color w:val="231F20"/>
          <w:spacing w:val="-15"/>
          <w:w w:val="115"/>
          <w:sz w:val="19"/>
        </w:rPr>
        <w:t> </w:t>
      </w:r>
      <w:r>
        <w:rPr>
          <w:rFonts w:ascii="Arial"/>
          <w:color w:val="231F20"/>
          <w:w w:val="115"/>
          <w:sz w:val="19"/>
        </w:rPr>
        <w:t>How</w:t>
      </w:r>
      <w:r>
        <w:rPr>
          <w:rFonts w:ascii="Arial"/>
          <w:color w:val="231F20"/>
          <w:spacing w:val="-14"/>
          <w:w w:val="115"/>
          <w:sz w:val="19"/>
        </w:rPr>
        <w:t> </w:t>
      </w:r>
      <w:r>
        <w:rPr>
          <w:rFonts w:ascii="Arial"/>
          <w:color w:val="231F20"/>
          <w:w w:val="115"/>
          <w:sz w:val="19"/>
        </w:rPr>
        <w:t>much</w:t>
      </w:r>
      <w:r>
        <w:rPr>
          <w:rFonts w:ascii="Arial"/>
          <w:color w:val="231F20"/>
          <w:spacing w:val="-15"/>
          <w:w w:val="115"/>
          <w:sz w:val="19"/>
        </w:rPr>
        <w:t> </w:t>
      </w:r>
      <w:r>
        <w:rPr>
          <w:rFonts w:ascii="Arial"/>
          <w:color w:val="231F20"/>
          <w:w w:val="115"/>
          <w:sz w:val="19"/>
        </w:rPr>
        <w:t>is</w:t>
      </w:r>
      <w:r>
        <w:rPr>
          <w:rFonts w:ascii="Arial"/>
          <w:color w:val="231F20"/>
          <w:spacing w:val="-15"/>
          <w:w w:val="115"/>
          <w:sz w:val="19"/>
        </w:rPr>
        <w:t> </w:t>
      </w:r>
      <w:r>
        <w:rPr>
          <w:rFonts w:ascii="Arial"/>
          <w:color w:val="231F20"/>
          <w:w w:val="115"/>
          <w:sz w:val="19"/>
        </w:rPr>
        <w:t>on</w:t>
      </w:r>
      <w:r>
        <w:rPr>
          <w:rFonts w:ascii="Arial"/>
          <w:color w:val="231F20"/>
          <w:spacing w:val="-15"/>
          <w:w w:val="115"/>
          <w:sz w:val="19"/>
        </w:rPr>
        <w:t> </w:t>
      </w:r>
      <w:r>
        <w:rPr>
          <w:rFonts w:ascii="Arial"/>
          <w:color w:val="231F20"/>
          <w:w w:val="115"/>
          <w:sz w:val="19"/>
        </w:rPr>
        <w:t>hand</w:t>
      </w:r>
      <w:r>
        <w:rPr>
          <w:rFonts w:ascii="Arial"/>
          <w:color w:val="231F20"/>
          <w:spacing w:val="-15"/>
          <w:w w:val="115"/>
          <w:sz w:val="19"/>
        </w:rPr>
        <w:t> </w:t>
      </w:r>
      <w:r>
        <w:rPr>
          <w:rFonts w:ascii="Arial"/>
          <w:color w:val="231F20"/>
          <w:w w:val="115"/>
          <w:sz w:val="19"/>
        </w:rPr>
        <w:t>that</w:t>
      </w:r>
      <w:r>
        <w:rPr>
          <w:rFonts w:ascii="Arial"/>
          <w:color w:val="231F20"/>
          <w:spacing w:val="-15"/>
          <w:w w:val="115"/>
          <w:sz w:val="19"/>
        </w:rPr>
        <w:t> </w:t>
      </w:r>
      <w:r>
        <w:rPr>
          <w:rFonts w:ascii="Arial"/>
          <w:color w:val="231F20"/>
          <w:w w:val="115"/>
          <w:sz w:val="19"/>
        </w:rPr>
        <w:t>can</w:t>
      </w:r>
      <w:r>
        <w:rPr>
          <w:rFonts w:ascii="Arial"/>
          <w:color w:val="231F20"/>
          <w:spacing w:val="-15"/>
          <w:w w:val="115"/>
          <w:sz w:val="19"/>
        </w:rPr>
        <w:t> </w:t>
      </w:r>
      <w:r>
        <w:rPr>
          <w:rFonts w:ascii="Arial"/>
          <w:color w:val="231F20"/>
          <w:w w:val="115"/>
          <w:sz w:val="19"/>
        </w:rPr>
        <w:t>be converted to cash to pay the bills?</w:t>
      </w:r>
    </w:p>
    <w:p>
      <w:pPr>
        <w:spacing w:line="328" w:lineRule="auto" w:before="2"/>
        <w:ind w:left="1600" w:right="667" w:hanging="340"/>
        <w:jc w:val="left"/>
        <w:rPr>
          <w:rFonts w:ascii="Arial"/>
          <w:sz w:val="19"/>
        </w:rPr>
      </w:pPr>
      <w:r>
        <w:rPr>
          <w:rFonts w:ascii="Arial"/>
          <w:i/>
          <w:color w:val="231F20"/>
          <w:w w:val="115"/>
          <w:sz w:val="19"/>
        </w:rPr>
        <w:t>Capitalization</w:t>
      </w:r>
      <w:r>
        <w:rPr>
          <w:rFonts w:ascii="Arial"/>
          <w:i/>
          <w:color w:val="231F20"/>
          <w:spacing w:val="-16"/>
          <w:w w:val="115"/>
          <w:sz w:val="19"/>
        </w:rPr>
        <w:t> </w:t>
      </w:r>
      <w:r>
        <w:rPr>
          <w:rFonts w:ascii="Arial"/>
          <w:color w:val="231F20"/>
          <w:w w:val="115"/>
          <w:sz w:val="19"/>
        </w:rPr>
        <w:t>measures:</w:t>
      </w:r>
      <w:r>
        <w:rPr>
          <w:rFonts w:ascii="Arial"/>
          <w:color w:val="231F20"/>
          <w:spacing w:val="-15"/>
          <w:w w:val="115"/>
          <w:sz w:val="19"/>
        </w:rPr>
        <w:t> </w:t>
      </w:r>
      <w:r>
        <w:rPr>
          <w:rFonts w:ascii="Arial"/>
          <w:color w:val="231F20"/>
          <w:w w:val="115"/>
          <w:sz w:val="19"/>
        </w:rPr>
        <w:t>Is</w:t>
      </w:r>
      <w:r>
        <w:rPr>
          <w:rFonts w:ascii="Arial"/>
          <w:color w:val="231F20"/>
          <w:spacing w:val="-15"/>
          <w:w w:val="115"/>
          <w:sz w:val="19"/>
        </w:rPr>
        <w:t> </w:t>
      </w:r>
      <w:r>
        <w:rPr>
          <w:rFonts w:ascii="Arial"/>
          <w:color w:val="231F20"/>
          <w:w w:val="115"/>
          <w:sz w:val="19"/>
        </w:rPr>
        <w:t>a</w:t>
      </w:r>
      <w:r>
        <w:rPr>
          <w:rFonts w:ascii="Arial"/>
          <w:color w:val="231F20"/>
          <w:spacing w:val="-15"/>
          <w:w w:val="115"/>
          <w:sz w:val="19"/>
        </w:rPr>
        <w:t> </w:t>
      </w:r>
      <w:r>
        <w:rPr>
          <w:rFonts w:ascii="Arial"/>
          <w:color w:val="231F20"/>
          <w:w w:val="115"/>
          <w:sz w:val="19"/>
        </w:rPr>
        <w:t>company</w:t>
      </w:r>
      <w:r>
        <w:rPr>
          <w:rFonts w:ascii="Arial"/>
          <w:color w:val="231F20"/>
          <w:spacing w:val="-15"/>
          <w:w w:val="115"/>
          <w:sz w:val="19"/>
        </w:rPr>
        <w:t> </w:t>
      </w:r>
      <w:r>
        <w:rPr>
          <w:rFonts w:ascii="Arial"/>
          <w:color w:val="231F20"/>
          <w:w w:val="115"/>
          <w:sz w:val="19"/>
        </w:rPr>
        <w:t>heavily</w:t>
      </w:r>
      <w:r>
        <w:rPr>
          <w:rFonts w:ascii="Arial"/>
          <w:color w:val="231F20"/>
          <w:spacing w:val="-16"/>
          <w:w w:val="115"/>
          <w:sz w:val="19"/>
        </w:rPr>
        <w:t> </w:t>
      </w:r>
      <w:r>
        <w:rPr>
          <w:rFonts w:ascii="Arial"/>
          <w:color w:val="231F20"/>
          <w:w w:val="115"/>
          <w:sz w:val="19"/>
        </w:rPr>
        <w:t>burdened</w:t>
      </w:r>
      <w:r>
        <w:rPr>
          <w:rFonts w:ascii="Arial"/>
          <w:color w:val="231F20"/>
          <w:spacing w:val="-15"/>
          <w:w w:val="115"/>
          <w:sz w:val="19"/>
        </w:rPr>
        <w:t> </w:t>
      </w:r>
      <w:r>
        <w:rPr>
          <w:rFonts w:ascii="Arial"/>
          <w:color w:val="231F20"/>
          <w:w w:val="115"/>
          <w:sz w:val="19"/>
        </w:rPr>
        <w:t>with debt?</w:t>
      </w:r>
      <w:r>
        <w:rPr>
          <w:rFonts w:ascii="Arial"/>
          <w:color w:val="231F20"/>
          <w:spacing w:val="-15"/>
          <w:w w:val="115"/>
          <w:sz w:val="19"/>
        </w:rPr>
        <w:t> </w:t>
      </w:r>
      <w:r>
        <w:rPr>
          <w:rFonts w:ascii="Arial"/>
          <w:color w:val="231F20"/>
          <w:w w:val="115"/>
          <w:sz w:val="19"/>
        </w:rPr>
        <w:t>Are</w:t>
      </w:r>
      <w:r>
        <w:rPr>
          <w:rFonts w:ascii="Arial"/>
          <w:color w:val="231F20"/>
          <w:spacing w:val="-15"/>
          <w:w w:val="115"/>
          <w:sz w:val="19"/>
        </w:rPr>
        <w:t> </w:t>
      </w:r>
      <w:r>
        <w:rPr>
          <w:rFonts w:ascii="Arial"/>
          <w:color w:val="231F20"/>
          <w:w w:val="115"/>
          <w:sz w:val="19"/>
        </w:rPr>
        <w:t>its</w:t>
      </w:r>
      <w:r>
        <w:rPr>
          <w:rFonts w:ascii="Arial"/>
          <w:color w:val="231F20"/>
          <w:spacing w:val="-15"/>
          <w:w w:val="115"/>
          <w:sz w:val="19"/>
        </w:rPr>
        <w:t> </w:t>
      </w:r>
      <w:r>
        <w:rPr>
          <w:rFonts w:ascii="Arial"/>
          <w:color w:val="231F20"/>
          <w:w w:val="115"/>
          <w:sz w:val="19"/>
        </w:rPr>
        <w:t>investors</w:t>
      </w:r>
      <w:r>
        <w:rPr>
          <w:rFonts w:ascii="Arial"/>
          <w:color w:val="231F20"/>
          <w:spacing w:val="-15"/>
          <w:w w:val="115"/>
          <w:sz w:val="19"/>
        </w:rPr>
        <w:t> </w:t>
      </w:r>
      <w:r>
        <w:rPr>
          <w:rFonts w:ascii="Arial"/>
          <w:color w:val="231F20"/>
          <w:w w:val="115"/>
          <w:sz w:val="19"/>
        </w:rPr>
        <w:t>financing</w:t>
      </w:r>
      <w:r>
        <w:rPr>
          <w:rFonts w:ascii="Arial"/>
          <w:color w:val="231F20"/>
          <w:spacing w:val="-15"/>
          <w:w w:val="115"/>
          <w:sz w:val="19"/>
        </w:rPr>
        <w:t> </w:t>
      </w:r>
      <w:r>
        <w:rPr>
          <w:rFonts w:ascii="Arial"/>
          <w:color w:val="231F20"/>
          <w:w w:val="115"/>
          <w:sz w:val="19"/>
        </w:rPr>
        <w:t>the</w:t>
      </w:r>
      <w:r>
        <w:rPr>
          <w:rFonts w:ascii="Arial"/>
          <w:color w:val="231F20"/>
          <w:spacing w:val="-15"/>
          <w:w w:val="115"/>
          <w:sz w:val="19"/>
        </w:rPr>
        <w:t> </w:t>
      </w:r>
      <w:r>
        <w:rPr>
          <w:rFonts w:ascii="Arial"/>
          <w:color w:val="231F20"/>
          <w:w w:val="115"/>
          <w:sz w:val="19"/>
        </w:rPr>
        <w:t>company?</w:t>
      </w:r>
      <w:r>
        <w:rPr>
          <w:rFonts w:ascii="Arial"/>
          <w:color w:val="231F20"/>
          <w:spacing w:val="-15"/>
          <w:w w:val="115"/>
          <w:sz w:val="19"/>
        </w:rPr>
        <w:t> </w:t>
      </w:r>
      <w:r>
        <w:rPr>
          <w:rFonts w:ascii="Arial"/>
          <w:color w:val="231F20"/>
          <w:w w:val="115"/>
          <w:sz w:val="19"/>
        </w:rPr>
        <w:t>How</w:t>
      </w:r>
      <w:r>
        <w:rPr>
          <w:rFonts w:ascii="Arial"/>
          <w:color w:val="231F20"/>
          <w:spacing w:val="-15"/>
          <w:w w:val="115"/>
          <w:sz w:val="19"/>
        </w:rPr>
        <w:t> </w:t>
      </w:r>
      <w:r>
        <w:rPr>
          <w:rFonts w:ascii="Arial"/>
          <w:color w:val="231F20"/>
          <w:w w:val="115"/>
          <w:sz w:val="19"/>
        </w:rPr>
        <w:t>is</w:t>
      </w:r>
      <w:r>
        <w:rPr>
          <w:rFonts w:ascii="Arial"/>
          <w:color w:val="231F20"/>
          <w:spacing w:val="-15"/>
          <w:w w:val="115"/>
          <w:sz w:val="19"/>
        </w:rPr>
        <w:t> </w:t>
      </w:r>
      <w:r>
        <w:rPr>
          <w:rFonts w:ascii="Arial"/>
          <w:color w:val="231F20"/>
          <w:w w:val="115"/>
          <w:sz w:val="19"/>
        </w:rPr>
        <w:t>the company funding itself?</w:t>
      </w:r>
    </w:p>
    <w:p>
      <w:pPr>
        <w:spacing w:line="328" w:lineRule="auto" w:before="2"/>
        <w:ind w:left="1600" w:right="667" w:hanging="340"/>
        <w:jc w:val="left"/>
        <w:rPr>
          <w:rFonts w:ascii="Arial" w:hAnsi="Arial"/>
          <w:sz w:val="19"/>
        </w:rPr>
      </w:pPr>
      <w:r>
        <w:rPr>
          <w:rFonts w:ascii="Arial" w:hAnsi="Arial"/>
          <w:i/>
          <w:color w:val="231F20"/>
          <w:spacing w:val="-2"/>
          <w:w w:val="115"/>
          <w:sz w:val="19"/>
        </w:rPr>
        <w:t>Activity</w:t>
      </w:r>
      <w:r>
        <w:rPr>
          <w:rFonts w:ascii="Arial" w:hAnsi="Arial"/>
          <w:i/>
          <w:color w:val="231F20"/>
          <w:spacing w:val="-9"/>
          <w:w w:val="115"/>
          <w:sz w:val="19"/>
        </w:rPr>
        <w:t> </w:t>
      </w:r>
      <w:r>
        <w:rPr>
          <w:rFonts w:ascii="Arial" w:hAnsi="Arial"/>
          <w:color w:val="231F20"/>
          <w:spacing w:val="-2"/>
          <w:w w:val="115"/>
          <w:sz w:val="19"/>
        </w:rPr>
        <w:t>measures:</w:t>
      </w:r>
      <w:r>
        <w:rPr>
          <w:rFonts w:ascii="Arial" w:hAnsi="Arial"/>
          <w:color w:val="231F20"/>
          <w:spacing w:val="-9"/>
          <w:w w:val="115"/>
          <w:sz w:val="19"/>
        </w:rPr>
        <w:t> </w:t>
      </w:r>
      <w:r>
        <w:rPr>
          <w:rFonts w:ascii="Arial" w:hAnsi="Arial"/>
          <w:color w:val="231F20"/>
          <w:spacing w:val="-2"/>
          <w:w w:val="115"/>
          <w:sz w:val="19"/>
        </w:rPr>
        <w:t>How</w:t>
      </w:r>
      <w:r>
        <w:rPr>
          <w:rFonts w:ascii="Arial" w:hAnsi="Arial"/>
          <w:color w:val="231F20"/>
          <w:spacing w:val="-8"/>
          <w:w w:val="115"/>
          <w:sz w:val="19"/>
        </w:rPr>
        <w:t> </w:t>
      </w:r>
      <w:r>
        <w:rPr>
          <w:rFonts w:ascii="Arial" w:hAnsi="Arial"/>
          <w:color w:val="231F20"/>
          <w:spacing w:val="-2"/>
          <w:w w:val="115"/>
          <w:sz w:val="19"/>
        </w:rPr>
        <w:t>actively</w:t>
      </w:r>
      <w:r>
        <w:rPr>
          <w:rFonts w:ascii="Arial" w:hAnsi="Arial"/>
          <w:color w:val="231F20"/>
          <w:spacing w:val="-8"/>
          <w:w w:val="115"/>
          <w:sz w:val="19"/>
        </w:rPr>
        <w:t> </w:t>
      </w:r>
      <w:r>
        <w:rPr>
          <w:rFonts w:ascii="Arial" w:hAnsi="Arial"/>
          <w:color w:val="231F20"/>
          <w:spacing w:val="-2"/>
          <w:w w:val="115"/>
          <w:sz w:val="19"/>
        </w:rPr>
        <w:t>are</w:t>
      </w:r>
      <w:r>
        <w:rPr>
          <w:rFonts w:ascii="Arial" w:hAnsi="Arial"/>
          <w:color w:val="231F20"/>
          <w:spacing w:val="-8"/>
          <w:w w:val="115"/>
          <w:sz w:val="19"/>
        </w:rPr>
        <w:t> </w:t>
      </w:r>
      <w:r>
        <w:rPr>
          <w:rFonts w:ascii="Arial" w:hAnsi="Arial"/>
          <w:color w:val="231F20"/>
          <w:spacing w:val="-2"/>
          <w:w w:val="115"/>
          <w:sz w:val="19"/>
        </w:rPr>
        <w:t>the</w:t>
      </w:r>
      <w:r>
        <w:rPr>
          <w:rFonts w:ascii="Arial" w:hAnsi="Arial"/>
          <w:color w:val="231F20"/>
          <w:spacing w:val="-8"/>
          <w:w w:val="115"/>
          <w:sz w:val="19"/>
        </w:rPr>
        <w:t> </w:t>
      </w:r>
      <w:r>
        <w:rPr>
          <w:rFonts w:ascii="Arial" w:hAnsi="Arial"/>
          <w:color w:val="231F20"/>
          <w:spacing w:val="-2"/>
          <w:w w:val="115"/>
          <w:sz w:val="19"/>
        </w:rPr>
        <w:t>firm’s</w:t>
      </w:r>
      <w:r>
        <w:rPr>
          <w:rFonts w:ascii="Arial" w:hAnsi="Arial"/>
          <w:color w:val="231F20"/>
          <w:spacing w:val="-8"/>
          <w:w w:val="115"/>
          <w:sz w:val="19"/>
        </w:rPr>
        <w:t> </w:t>
      </w:r>
      <w:r>
        <w:rPr>
          <w:rFonts w:ascii="Arial" w:hAnsi="Arial"/>
          <w:color w:val="231F20"/>
          <w:spacing w:val="-2"/>
          <w:w w:val="115"/>
          <w:sz w:val="19"/>
        </w:rPr>
        <w:t>assets</w:t>
      </w:r>
      <w:r>
        <w:rPr>
          <w:rFonts w:ascii="Arial" w:hAnsi="Arial"/>
          <w:color w:val="231F20"/>
          <w:spacing w:val="-8"/>
          <w:w w:val="115"/>
          <w:sz w:val="19"/>
        </w:rPr>
        <w:t> </w:t>
      </w:r>
      <w:r>
        <w:rPr>
          <w:rFonts w:ascii="Arial" w:hAnsi="Arial"/>
          <w:color w:val="231F20"/>
          <w:spacing w:val="-2"/>
          <w:w w:val="115"/>
          <w:sz w:val="19"/>
        </w:rPr>
        <w:t>being </w:t>
      </w:r>
      <w:r>
        <w:rPr>
          <w:rFonts w:ascii="Arial" w:hAnsi="Arial"/>
          <w:color w:val="231F20"/>
          <w:w w:val="115"/>
          <w:sz w:val="19"/>
        </w:rPr>
        <w:t>deployed? (MBAs</w:t>
      </w:r>
      <w:r>
        <w:rPr>
          <w:rFonts w:ascii="Arial" w:hAnsi="Arial"/>
          <w:color w:val="231F20"/>
          <w:spacing w:val="-1"/>
          <w:w w:val="115"/>
          <w:sz w:val="19"/>
        </w:rPr>
        <w:t> </w:t>
      </w:r>
      <w:r>
        <w:rPr>
          <w:rFonts w:ascii="Arial" w:hAnsi="Arial"/>
          <w:i/>
          <w:color w:val="231F20"/>
          <w:w w:val="115"/>
          <w:sz w:val="19"/>
        </w:rPr>
        <w:t>deploy</w:t>
      </w:r>
      <w:r>
        <w:rPr>
          <w:rFonts w:ascii="Arial" w:hAnsi="Arial"/>
          <w:i/>
          <w:color w:val="231F20"/>
          <w:spacing w:val="-1"/>
          <w:w w:val="115"/>
          <w:sz w:val="19"/>
        </w:rPr>
        <w:t> </w:t>
      </w:r>
      <w:r>
        <w:rPr>
          <w:rFonts w:ascii="Arial" w:hAnsi="Arial"/>
          <w:color w:val="231F20"/>
          <w:w w:val="115"/>
          <w:sz w:val="19"/>
        </w:rPr>
        <w:t>assets, rather than just use </w:t>
      </w:r>
      <w:r>
        <w:rPr>
          <w:rFonts w:ascii="Arial" w:hAnsi="Arial"/>
          <w:color w:val="231F20"/>
          <w:spacing w:val="-2"/>
          <w:w w:val="115"/>
          <w:sz w:val="19"/>
        </w:rPr>
        <w:t>them.)</w:t>
      </w:r>
    </w:p>
    <w:p>
      <w:pPr>
        <w:spacing w:line="328" w:lineRule="auto" w:before="2"/>
        <w:ind w:left="1600" w:right="667" w:hanging="340"/>
        <w:jc w:val="left"/>
        <w:rPr>
          <w:rFonts w:ascii="Arial"/>
          <w:sz w:val="19"/>
        </w:rPr>
      </w:pPr>
      <w:r>
        <w:rPr>
          <w:rFonts w:ascii="Arial"/>
          <w:i/>
          <w:color w:val="231F20"/>
          <w:w w:val="115"/>
          <w:sz w:val="19"/>
        </w:rPr>
        <w:t>Profitability </w:t>
      </w:r>
      <w:r>
        <w:rPr>
          <w:rFonts w:ascii="Arial"/>
          <w:color w:val="231F20"/>
          <w:w w:val="115"/>
          <w:sz w:val="19"/>
        </w:rPr>
        <w:t>measures: How profitable is a company in relation</w:t>
      </w:r>
      <w:r>
        <w:rPr>
          <w:rFonts w:ascii="Arial"/>
          <w:color w:val="231F20"/>
          <w:spacing w:val="-13"/>
          <w:w w:val="115"/>
          <w:sz w:val="19"/>
        </w:rPr>
        <w:t> </w:t>
      </w:r>
      <w:r>
        <w:rPr>
          <w:rFonts w:ascii="Arial"/>
          <w:color w:val="231F20"/>
          <w:w w:val="115"/>
          <w:sz w:val="19"/>
        </w:rPr>
        <w:t>to</w:t>
      </w:r>
      <w:r>
        <w:rPr>
          <w:rFonts w:ascii="Arial"/>
          <w:color w:val="231F20"/>
          <w:spacing w:val="-13"/>
          <w:w w:val="115"/>
          <w:sz w:val="19"/>
        </w:rPr>
        <w:t> </w:t>
      </w:r>
      <w:r>
        <w:rPr>
          <w:rFonts w:ascii="Arial"/>
          <w:color w:val="231F20"/>
          <w:w w:val="115"/>
          <w:sz w:val="19"/>
        </w:rPr>
        <w:t>the</w:t>
      </w:r>
      <w:r>
        <w:rPr>
          <w:rFonts w:ascii="Arial"/>
          <w:color w:val="231F20"/>
          <w:spacing w:val="-13"/>
          <w:w w:val="115"/>
          <w:sz w:val="19"/>
        </w:rPr>
        <w:t> </w:t>
      </w:r>
      <w:r>
        <w:rPr>
          <w:rFonts w:ascii="Arial"/>
          <w:color w:val="231F20"/>
          <w:w w:val="115"/>
          <w:sz w:val="19"/>
        </w:rPr>
        <w:t>assets</w:t>
      </w:r>
      <w:r>
        <w:rPr>
          <w:rFonts w:ascii="Arial"/>
          <w:color w:val="231F20"/>
          <w:spacing w:val="-13"/>
          <w:w w:val="115"/>
          <w:sz w:val="19"/>
        </w:rPr>
        <w:t> </w:t>
      </w:r>
      <w:r>
        <w:rPr>
          <w:rFonts w:ascii="Arial"/>
          <w:color w:val="231F20"/>
          <w:w w:val="115"/>
          <w:sz w:val="19"/>
        </w:rPr>
        <w:t>and</w:t>
      </w:r>
      <w:r>
        <w:rPr>
          <w:rFonts w:ascii="Arial"/>
          <w:color w:val="231F20"/>
          <w:spacing w:val="-13"/>
          <w:w w:val="115"/>
          <w:sz w:val="19"/>
        </w:rPr>
        <w:t> </w:t>
      </w:r>
      <w:r>
        <w:rPr>
          <w:rFonts w:ascii="Arial"/>
          <w:color w:val="231F20"/>
          <w:w w:val="115"/>
          <w:sz w:val="19"/>
        </w:rPr>
        <w:t>the</w:t>
      </w:r>
      <w:r>
        <w:rPr>
          <w:rFonts w:ascii="Arial"/>
          <w:color w:val="231F20"/>
          <w:spacing w:val="-13"/>
          <w:w w:val="115"/>
          <w:sz w:val="19"/>
        </w:rPr>
        <w:t> </w:t>
      </w:r>
      <w:r>
        <w:rPr>
          <w:rFonts w:ascii="Arial"/>
          <w:color w:val="231F20"/>
          <w:w w:val="115"/>
          <w:sz w:val="19"/>
        </w:rPr>
        <w:t>sales</w:t>
      </w:r>
      <w:r>
        <w:rPr>
          <w:rFonts w:ascii="Arial"/>
          <w:color w:val="231F20"/>
          <w:spacing w:val="-13"/>
          <w:w w:val="115"/>
          <w:sz w:val="19"/>
        </w:rPr>
        <w:t> </w:t>
      </w:r>
      <w:r>
        <w:rPr>
          <w:rFonts w:ascii="Arial"/>
          <w:color w:val="231F20"/>
          <w:w w:val="115"/>
          <w:sz w:val="19"/>
        </w:rPr>
        <w:t>that</w:t>
      </w:r>
      <w:r>
        <w:rPr>
          <w:rFonts w:ascii="Arial"/>
          <w:color w:val="231F20"/>
          <w:spacing w:val="-13"/>
          <w:w w:val="115"/>
          <w:sz w:val="19"/>
        </w:rPr>
        <w:t> </w:t>
      </w:r>
      <w:r>
        <w:rPr>
          <w:rFonts w:ascii="Arial"/>
          <w:color w:val="231F20"/>
          <w:w w:val="115"/>
          <w:sz w:val="19"/>
        </w:rPr>
        <w:t>made</w:t>
      </w:r>
      <w:r>
        <w:rPr>
          <w:rFonts w:ascii="Arial"/>
          <w:color w:val="231F20"/>
          <w:spacing w:val="-13"/>
          <w:w w:val="115"/>
          <w:sz w:val="19"/>
        </w:rPr>
        <w:t> </w:t>
      </w:r>
      <w:r>
        <w:rPr>
          <w:rFonts w:ascii="Arial"/>
          <w:color w:val="231F20"/>
          <w:w w:val="115"/>
          <w:sz w:val="19"/>
        </w:rPr>
        <w:t>its</w:t>
      </w:r>
      <w:r>
        <w:rPr>
          <w:rFonts w:ascii="Arial"/>
          <w:color w:val="231F20"/>
          <w:spacing w:val="-13"/>
          <w:w w:val="115"/>
          <w:sz w:val="19"/>
        </w:rPr>
        <w:t> </w:t>
      </w:r>
      <w:r>
        <w:rPr>
          <w:rFonts w:ascii="Arial"/>
          <w:color w:val="231F20"/>
          <w:w w:val="115"/>
          <w:sz w:val="19"/>
        </w:rPr>
        <w:t>profits </w:t>
      </w:r>
      <w:r>
        <w:rPr>
          <w:rFonts w:ascii="Arial"/>
          <w:color w:val="231F20"/>
          <w:spacing w:val="-2"/>
          <w:w w:val="115"/>
          <w:sz w:val="19"/>
        </w:rPr>
        <w:t>possible?</w:t>
      </w:r>
    </w:p>
    <w:p>
      <w:pPr>
        <w:pStyle w:val="BodyText"/>
        <w:spacing w:before="4"/>
        <w:rPr>
          <w:rFonts w:ascii="Arial"/>
          <w:sz w:val="24"/>
        </w:rPr>
      </w:pPr>
    </w:p>
    <w:p>
      <w:pPr>
        <w:pStyle w:val="BodyText"/>
        <w:spacing w:line="292" w:lineRule="auto"/>
        <w:ind w:left="920" w:right="663"/>
        <w:jc w:val="both"/>
      </w:pPr>
      <w:r>
        <w:rPr>
          <w:color w:val="231F20"/>
        </w:rPr>
        <w:t>There are literally hundreds of possible ratios, but most have their origin in eight basic ratios from the four categories listed above. Using Bob’s financial statements, I have calculated these eight </w:t>
      </w:r>
      <w:r>
        <w:rPr>
          <w:color w:val="231F20"/>
        </w:rPr>
        <w:t>ratios for his operation and have placed them below each of the ratio </w:t>
      </w:r>
      <w:r>
        <w:rPr>
          <w:color w:val="231F20"/>
          <w:spacing w:val="-2"/>
        </w:rPr>
        <w:t>explanations.</w:t>
      </w:r>
    </w:p>
    <w:p>
      <w:pPr>
        <w:pStyle w:val="BodyText"/>
        <w:rPr>
          <w:sz w:val="24"/>
        </w:rPr>
      </w:pPr>
    </w:p>
    <w:p>
      <w:pPr>
        <w:pStyle w:val="BodyText"/>
        <w:rPr>
          <w:sz w:val="27"/>
        </w:rPr>
      </w:pPr>
    </w:p>
    <w:p>
      <w:pPr>
        <w:pStyle w:val="Heading6"/>
        <w:spacing w:before="1"/>
        <w:rPr>
          <w:i/>
        </w:rPr>
      </w:pPr>
      <w:r>
        <w:rPr>
          <w:i/>
          <w:color w:val="231F20"/>
          <w:w w:val="110"/>
        </w:rPr>
        <w:t>LIQUIDITY</w:t>
      </w:r>
      <w:r>
        <w:rPr>
          <w:i/>
          <w:color w:val="231F20"/>
          <w:spacing w:val="36"/>
          <w:w w:val="110"/>
        </w:rPr>
        <w:t>  </w:t>
      </w:r>
      <w:r>
        <w:rPr>
          <w:i/>
          <w:color w:val="231F20"/>
          <w:spacing w:val="-2"/>
          <w:w w:val="110"/>
        </w:rPr>
        <w:t>RATIOS</w:t>
      </w:r>
    </w:p>
    <w:p>
      <w:pPr>
        <w:pStyle w:val="BodyText"/>
        <w:spacing w:before="2"/>
        <w:rPr>
          <w:b/>
          <w:i/>
          <w:sz w:val="29"/>
        </w:rPr>
      </w:pPr>
    </w:p>
    <w:p>
      <w:pPr>
        <w:pStyle w:val="ListParagraph"/>
        <w:numPr>
          <w:ilvl w:val="0"/>
          <w:numId w:val="21"/>
        </w:numPr>
        <w:tabs>
          <w:tab w:pos="1439" w:val="left" w:leader="none"/>
        </w:tabs>
        <w:spacing w:line="240" w:lineRule="auto" w:before="0" w:after="0"/>
        <w:ind w:left="1438" w:right="0" w:hanging="179"/>
        <w:jc w:val="left"/>
        <w:rPr>
          <w:i/>
          <w:sz w:val="19"/>
        </w:rPr>
      </w:pPr>
      <w:r>
        <w:rPr>
          <w:i/>
          <w:color w:val="231F20"/>
          <w:w w:val="115"/>
          <w:sz w:val="19"/>
        </w:rPr>
        <w:t>Current</w:t>
      </w:r>
      <w:r>
        <w:rPr>
          <w:i/>
          <w:color w:val="231F20"/>
          <w:spacing w:val="-9"/>
          <w:w w:val="115"/>
          <w:sz w:val="19"/>
        </w:rPr>
        <w:t> </w:t>
      </w:r>
      <w:r>
        <w:rPr>
          <w:i/>
          <w:color w:val="231F20"/>
          <w:w w:val="115"/>
          <w:sz w:val="19"/>
        </w:rPr>
        <w:t>Ratio</w:t>
      </w:r>
      <w:r>
        <w:rPr>
          <w:i/>
          <w:color w:val="231F20"/>
          <w:spacing w:val="-9"/>
          <w:w w:val="115"/>
          <w:sz w:val="19"/>
        </w:rPr>
        <w:t> </w:t>
      </w:r>
      <w:r>
        <w:rPr>
          <w:rFonts w:ascii="Symbol" w:hAnsi="Symbol"/>
          <w:color w:val="231F20"/>
          <w:w w:val="115"/>
          <w:sz w:val="21"/>
        </w:rPr>
        <w:t></w:t>
      </w:r>
      <w:r>
        <w:rPr>
          <w:rFonts w:ascii="Times New Roman" w:hAnsi="Times New Roman"/>
          <w:color w:val="231F20"/>
          <w:spacing w:val="-9"/>
          <w:w w:val="115"/>
          <w:sz w:val="21"/>
        </w:rPr>
        <w:t> </w:t>
      </w:r>
      <w:r>
        <w:rPr>
          <w:i/>
          <w:color w:val="231F20"/>
          <w:w w:val="115"/>
          <w:sz w:val="19"/>
        </w:rPr>
        <w:t>Current</w:t>
      </w:r>
      <w:r>
        <w:rPr>
          <w:i/>
          <w:color w:val="231F20"/>
          <w:spacing w:val="-9"/>
          <w:w w:val="115"/>
          <w:sz w:val="19"/>
        </w:rPr>
        <w:t> </w:t>
      </w:r>
      <w:r>
        <w:rPr>
          <w:i/>
          <w:color w:val="231F20"/>
          <w:w w:val="115"/>
          <w:sz w:val="19"/>
        </w:rPr>
        <w:t>Assets</w:t>
      </w:r>
      <w:r>
        <w:rPr>
          <w:i/>
          <w:color w:val="231F20"/>
          <w:spacing w:val="-9"/>
          <w:w w:val="115"/>
          <w:sz w:val="19"/>
        </w:rPr>
        <w:t> </w:t>
      </w:r>
      <w:r>
        <w:rPr>
          <w:i/>
          <w:color w:val="231F20"/>
          <w:w w:val="115"/>
          <w:sz w:val="19"/>
        </w:rPr>
        <w:t>/</w:t>
      </w:r>
      <w:r>
        <w:rPr>
          <w:i/>
          <w:color w:val="231F20"/>
          <w:spacing w:val="-9"/>
          <w:w w:val="115"/>
          <w:sz w:val="19"/>
        </w:rPr>
        <w:t> </w:t>
      </w:r>
      <w:r>
        <w:rPr>
          <w:i/>
          <w:color w:val="231F20"/>
          <w:w w:val="115"/>
          <w:sz w:val="19"/>
        </w:rPr>
        <w:t>Current</w:t>
      </w:r>
      <w:r>
        <w:rPr>
          <w:i/>
          <w:color w:val="231F20"/>
          <w:spacing w:val="-9"/>
          <w:w w:val="115"/>
          <w:sz w:val="19"/>
        </w:rPr>
        <w:t> </w:t>
      </w:r>
      <w:r>
        <w:rPr>
          <w:i/>
          <w:color w:val="231F20"/>
          <w:spacing w:val="-2"/>
          <w:w w:val="115"/>
          <w:sz w:val="19"/>
        </w:rPr>
        <w:t>Liabilities</w:t>
      </w:r>
    </w:p>
    <w:p>
      <w:pPr>
        <w:pStyle w:val="BodyText"/>
        <w:spacing w:line="292" w:lineRule="auto" w:before="54"/>
        <w:ind w:left="920" w:right="666" w:firstLine="340"/>
        <w:jc w:val="both"/>
      </w:pPr>
      <w:r>
        <w:rPr>
          <w:color w:val="231F20"/>
          <w:w w:val="105"/>
        </w:rPr>
        <w:t>Can</w:t>
      </w:r>
      <w:r>
        <w:rPr>
          <w:color w:val="231F20"/>
          <w:spacing w:val="-9"/>
          <w:w w:val="105"/>
        </w:rPr>
        <w:t> </w:t>
      </w:r>
      <w:r>
        <w:rPr>
          <w:color w:val="231F20"/>
          <w:w w:val="105"/>
        </w:rPr>
        <w:t>the</w:t>
      </w:r>
      <w:r>
        <w:rPr>
          <w:color w:val="231F20"/>
          <w:spacing w:val="-9"/>
          <w:w w:val="105"/>
        </w:rPr>
        <w:t> </w:t>
      </w:r>
      <w:r>
        <w:rPr>
          <w:color w:val="231F20"/>
          <w:w w:val="105"/>
        </w:rPr>
        <w:t>company</w:t>
      </w:r>
      <w:r>
        <w:rPr>
          <w:color w:val="231F20"/>
          <w:spacing w:val="-9"/>
          <w:w w:val="105"/>
        </w:rPr>
        <w:t> </w:t>
      </w:r>
      <w:r>
        <w:rPr>
          <w:color w:val="231F20"/>
          <w:w w:val="105"/>
        </w:rPr>
        <w:t>pay</w:t>
      </w:r>
      <w:r>
        <w:rPr>
          <w:color w:val="231F20"/>
          <w:spacing w:val="-9"/>
          <w:w w:val="105"/>
        </w:rPr>
        <w:t> </w:t>
      </w:r>
      <w:r>
        <w:rPr>
          <w:color w:val="231F20"/>
          <w:w w:val="105"/>
        </w:rPr>
        <w:t>its</w:t>
      </w:r>
      <w:r>
        <w:rPr>
          <w:color w:val="231F20"/>
          <w:spacing w:val="-9"/>
          <w:w w:val="105"/>
        </w:rPr>
        <w:t> </w:t>
      </w:r>
      <w:r>
        <w:rPr>
          <w:color w:val="231F20"/>
          <w:w w:val="105"/>
        </w:rPr>
        <w:t>bills</w:t>
      </w:r>
      <w:r>
        <w:rPr>
          <w:color w:val="231F20"/>
          <w:spacing w:val="-9"/>
          <w:w w:val="105"/>
        </w:rPr>
        <w:t> </w:t>
      </w:r>
      <w:r>
        <w:rPr>
          <w:color w:val="231F20"/>
          <w:w w:val="105"/>
        </w:rPr>
        <w:t>comfortably?</w:t>
      </w:r>
      <w:r>
        <w:rPr>
          <w:color w:val="231F20"/>
          <w:spacing w:val="-9"/>
          <w:w w:val="105"/>
        </w:rPr>
        <w:t> </w:t>
      </w:r>
      <w:r>
        <w:rPr>
          <w:color w:val="231F20"/>
          <w:w w:val="105"/>
        </w:rPr>
        <w:t>A</w:t>
      </w:r>
      <w:r>
        <w:rPr>
          <w:color w:val="231F20"/>
          <w:spacing w:val="-9"/>
          <w:w w:val="105"/>
        </w:rPr>
        <w:t> </w:t>
      </w:r>
      <w:r>
        <w:rPr>
          <w:color w:val="231F20"/>
          <w:w w:val="105"/>
        </w:rPr>
        <w:t>ratio</w:t>
      </w:r>
      <w:r>
        <w:rPr>
          <w:color w:val="231F20"/>
          <w:spacing w:val="-9"/>
          <w:w w:val="105"/>
        </w:rPr>
        <w:t> </w:t>
      </w:r>
      <w:r>
        <w:rPr>
          <w:color w:val="231F20"/>
          <w:w w:val="105"/>
        </w:rPr>
        <w:t>greater</w:t>
      </w:r>
      <w:r>
        <w:rPr>
          <w:color w:val="231F20"/>
          <w:spacing w:val="-9"/>
          <w:w w:val="105"/>
        </w:rPr>
        <w:t> </w:t>
      </w:r>
      <w:r>
        <w:rPr>
          <w:color w:val="231F20"/>
          <w:w w:val="105"/>
        </w:rPr>
        <w:t>than </w:t>
      </w:r>
      <w:r>
        <w:rPr>
          <w:color w:val="231F20"/>
          <w:spacing w:val="-2"/>
          <w:w w:val="105"/>
        </w:rPr>
        <w:t>1</w:t>
      </w:r>
      <w:r>
        <w:rPr>
          <w:color w:val="231F20"/>
          <w:spacing w:val="-6"/>
          <w:w w:val="105"/>
        </w:rPr>
        <w:t> </w:t>
      </w:r>
      <w:r>
        <w:rPr>
          <w:color w:val="231F20"/>
          <w:spacing w:val="-2"/>
          <w:w w:val="105"/>
        </w:rPr>
        <w:t>shows</w:t>
      </w:r>
      <w:r>
        <w:rPr>
          <w:color w:val="231F20"/>
          <w:spacing w:val="-6"/>
          <w:w w:val="105"/>
        </w:rPr>
        <w:t> </w:t>
      </w:r>
      <w:r>
        <w:rPr>
          <w:color w:val="231F20"/>
          <w:spacing w:val="-2"/>
          <w:w w:val="105"/>
        </w:rPr>
        <w:t>liquidity.</w:t>
      </w:r>
      <w:r>
        <w:rPr>
          <w:color w:val="231F20"/>
          <w:spacing w:val="-6"/>
          <w:w w:val="105"/>
        </w:rPr>
        <w:t> </w:t>
      </w:r>
      <w:r>
        <w:rPr>
          <w:color w:val="231F20"/>
          <w:spacing w:val="-2"/>
          <w:w w:val="105"/>
        </w:rPr>
        <w:t>It</w:t>
      </w:r>
      <w:r>
        <w:rPr>
          <w:color w:val="231F20"/>
          <w:spacing w:val="-6"/>
          <w:w w:val="105"/>
        </w:rPr>
        <w:t> </w:t>
      </w:r>
      <w:r>
        <w:rPr>
          <w:color w:val="231F20"/>
          <w:spacing w:val="-2"/>
          <w:w w:val="105"/>
        </w:rPr>
        <w:t>shows</w:t>
      </w:r>
      <w:r>
        <w:rPr>
          <w:color w:val="231F20"/>
          <w:spacing w:val="-6"/>
          <w:w w:val="105"/>
        </w:rPr>
        <w:t> </w:t>
      </w:r>
      <w:r>
        <w:rPr>
          <w:color w:val="231F20"/>
          <w:spacing w:val="-2"/>
          <w:w w:val="105"/>
        </w:rPr>
        <w:t>that</w:t>
      </w:r>
      <w:r>
        <w:rPr>
          <w:color w:val="231F20"/>
          <w:spacing w:val="-6"/>
          <w:w w:val="105"/>
        </w:rPr>
        <w:t> </w:t>
      </w:r>
      <w:r>
        <w:rPr>
          <w:color w:val="231F20"/>
          <w:spacing w:val="-2"/>
          <w:w w:val="105"/>
        </w:rPr>
        <w:t>there</w:t>
      </w:r>
      <w:r>
        <w:rPr>
          <w:color w:val="231F20"/>
          <w:spacing w:val="-6"/>
          <w:w w:val="105"/>
        </w:rPr>
        <w:t> </w:t>
      </w:r>
      <w:r>
        <w:rPr>
          <w:color w:val="231F20"/>
          <w:spacing w:val="-2"/>
          <w:w w:val="105"/>
        </w:rPr>
        <w:t>is</w:t>
      </w:r>
      <w:r>
        <w:rPr>
          <w:color w:val="231F20"/>
          <w:spacing w:val="-6"/>
          <w:w w:val="105"/>
        </w:rPr>
        <w:t> </w:t>
      </w:r>
      <w:r>
        <w:rPr>
          <w:color w:val="231F20"/>
          <w:spacing w:val="-2"/>
          <w:w w:val="105"/>
        </w:rPr>
        <w:t>leeway</w:t>
      </w:r>
      <w:r>
        <w:rPr>
          <w:color w:val="231F20"/>
          <w:spacing w:val="-6"/>
          <w:w w:val="105"/>
        </w:rPr>
        <w:t> </w:t>
      </w:r>
      <w:r>
        <w:rPr>
          <w:color w:val="231F20"/>
          <w:spacing w:val="-2"/>
          <w:w w:val="105"/>
        </w:rPr>
        <w:t>in</w:t>
      </w:r>
      <w:r>
        <w:rPr>
          <w:color w:val="231F20"/>
          <w:spacing w:val="-6"/>
          <w:w w:val="105"/>
        </w:rPr>
        <w:t> </w:t>
      </w:r>
      <w:r>
        <w:rPr>
          <w:color w:val="231F20"/>
          <w:spacing w:val="-2"/>
          <w:w w:val="105"/>
        </w:rPr>
        <w:t>the</w:t>
      </w:r>
      <w:r>
        <w:rPr>
          <w:color w:val="231F20"/>
          <w:spacing w:val="-6"/>
          <w:w w:val="105"/>
        </w:rPr>
        <w:t> </w:t>
      </w:r>
      <w:r>
        <w:rPr>
          <w:color w:val="231F20"/>
          <w:spacing w:val="-2"/>
          <w:w w:val="105"/>
        </w:rPr>
        <w:t>current</w:t>
      </w:r>
      <w:r>
        <w:rPr>
          <w:color w:val="231F20"/>
          <w:spacing w:val="-6"/>
          <w:w w:val="105"/>
        </w:rPr>
        <w:t> </w:t>
      </w:r>
      <w:r>
        <w:rPr>
          <w:color w:val="231F20"/>
          <w:spacing w:val="-2"/>
          <w:w w:val="105"/>
        </w:rPr>
        <w:t>assets </w:t>
      </w:r>
      <w:r>
        <w:rPr>
          <w:color w:val="231F20"/>
          <w:w w:val="105"/>
        </w:rPr>
        <w:t>available to pay for current liabilities.</w:t>
      </w:r>
    </w:p>
    <w:p>
      <w:pPr>
        <w:pStyle w:val="BodyText"/>
        <w:spacing w:before="9"/>
        <w:rPr>
          <w:sz w:val="14"/>
        </w:rPr>
      </w:pPr>
    </w:p>
    <w:p>
      <w:pPr>
        <w:spacing w:after="0"/>
        <w:rPr>
          <w:sz w:val="14"/>
        </w:rPr>
        <w:sectPr>
          <w:pgSz w:w="8640" w:h="12960"/>
          <w:pgMar w:header="734" w:footer="0" w:top="920" w:bottom="280" w:left="340" w:right="500"/>
        </w:sectPr>
      </w:pPr>
    </w:p>
    <w:p>
      <w:pPr>
        <w:pStyle w:val="BodyText"/>
        <w:spacing w:before="126"/>
        <w:jc w:val="right"/>
      </w:pPr>
      <w:r>
        <w:rPr/>
        <w:pict>
          <v:shape style="position:absolute;margin-left:173.000229pt;margin-top:4.987565pt;width:4pt;height:30pt;mso-position-horizontal-relative:page;mso-position-vertical-relative:paragraph;z-index:15788032" type="#_x0000_t202" id="docshape114" filled="false" stroked="false">
            <v:textbox inset="0,0,0,0">
              <w:txbxContent>
                <w:p>
                  <w:pPr>
                    <w:spacing w:line="584" w:lineRule="exact" w:before="0"/>
                    <w:ind w:left="0" w:right="0" w:firstLine="0"/>
                    <w:jc w:val="left"/>
                    <w:rPr>
                      <w:rFonts w:ascii="Symbol" w:hAnsi="Symbol"/>
                      <w:sz w:val="60"/>
                    </w:rPr>
                  </w:pPr>
                  <w:r>
                    <w:rPr>
                      <w:rFonts w:ascii="Symbol" w:hAnsi="Symbol"/>
                      <w:color w:val="231F20"/>
                      <w:w w:val="39"/>
                      <w:sz w:val="60"/>
                    </w:rPr>
                    <w:t></w:t>
                  </w:r>
                </w:p>
              </w:txbxContent>
            </v:textbox>
            <w10:wrap type="none"/>
          </v:shape>
        </w:pict>
      </w:r>
      <w:r>
        <w:rPr>
          <w:color w:val="231F20"/>
          <w:spacing w:val="-2"/>
          <w:w w:val="105"/>
          <w:u w:val="single" w:color="231F20"/>
        </w:rPr>
        <w:t>$115,000</w:t>
      </w:r>
    </w:p>
    <w:p>
      <w:pPr>
        <w:pStyle w:val="BodyText"/>
        <w:spacing w:before="54"/>
        <w:ind w:right="63"/>
        <w:jc w:val="right"/>
      </w:pPr>
      <w:r>
        <w:rPr>
          <w:color w:val="231F20"/>
          <w:spacing w:val="-2"/>
          <w:w w:val="105"/>
        </w:rPr>
        <w:t>$87,000</w:t>
      </w:r>
    </w:p>
    <w:p>
      <w:pPr>
        <w:spacing w:line="688" w:lineRule="exact" w:before="0"/>
        <w:ind w:left="19" w:right="0" w:firstLine="0"/>
        <w:jc w:val="left"/>
        <w:rPr>
          <w:rFonts w:ascii="Symbol" w:hAnsi="Symbol"/>
          <w:sz w:val="60"/>
        </w:rPr>
      </w:pPr>
      <w:r>
        <w:rPr/>
        <w:br w:type="column"/>
      </w:r>
      <w:r>
        <w:rPr>
          <w:rFonts w:ascii="Symbol" w:hAnsi="Symbol"/>
          <w:color w:val="231F20"/>
          <w:sz w:val="21"/>
        </w:rPr>
        <w:t></w:t>
      </w:r>
      <w:r>
        <w:rPr>
          <w:rFonts w:ascii="Times New Roman" w:hAnsi="Times New Roman"/>
          <w:color w:val="231F20"/>
          <w:spacing w:val="16"/>
          <w:sz w:val="21"/>
        </w:rPr>
        <w:t> </w:t>
      </w:r>
      <w:r>
        <w:rPr>
          <w:color w:val="231F20"/>
          <w:sz w:val="21"/>
        </w:rPr>
        <w:t>1.32</w:t>
      </w:r>
      <w:r>
        <w:rPr>
          <w:color w:val="231F20"/>
          <w:spacing w:val="18"/>
          <w:sz w:val="21"/>
        </w:rPr>
        <w:t> </w:t>
      </w:r>
      <w:r>
        <w:rPr>
          <w:rFonts w:ascii="Symbol" w:hAnsi="Symbol"/>
          <w:color w:val="231F20"/>
          <w:spacing w:val="-10"/>
          <w:w w:val="80"/>
          <w:position w:val="-7"/>
          <w:sz w:val="60"/>
        </w:rPr>
        <w:t></w:t>
      </w:r>
    </w:p>
    <w:p>
      <w:pPr>
        <w:spacing w:after="0" w:line="688" w:lineRule="exact"/>
        <w:jc w:val="left"/>
        <w:rPr>
          <w:rFonts w:ascii="Symbol" w:hAnsi="Symbol"/>
          <w:sz w:val="60"/>
        </w:rPr>
        <w:sectPr>
          <w:type w:val="continuous"/>
          <w:pgSz w:w="8640" w:h="12960"/>
          <w:pgMar w:header="732" w:footer="0" w:top="1220" w:bottom="280" w:left="340" w:right="500"/>
          <w:cols w:num="2" w:equalWidth="0">
            <w:col w:w="4139" w:space="40"/>
            <w:col w:w="3621"/>
          </w:cols>
        </w:sectPr>
      </w:pPr>
    </w:p>
    <w:p>
      <w:pPr>
        <w:pStyle w:val="BodyText"/>
        <w:spacing w:before="1"/>
        <w:rPr>
          <w:rFonts w:ascii="Symbol" w:hAnsi="Symbol"/>
          <w:sz w:val="17"/>
        </w:rPr>
      </w:pPr>
    </w:p>
    <w:p>
      <w:pPr>
        <w:pStyle w:val="Heading6"/>
        <w:spacing w:before="99"/>
        <w:ind w:left="299"/>
        <w:rPr>
          <w:i/>
        </w:rPr>
      </w:pPr>
      <w:r>
        <w:rPr>
          <w:i/>
          <w:color w:val="231F20"/>
          <w:w w:val="110"/>
        </w:rPr>
        <w:t>CAPITALIZATION</w:t>
      </w:r>
      <w:r>
        <w:rPr>
          <w:i/>
          <w:color w:val="231F20"/>
          <w:spacing w:val="42"/>
          <w:w w:val="110"/>
        </w:rPr>
        <w:t>  </w:t>
      </w:r>
      <w:r>
        <w:rPr>
          <w:i/>
          <w:color w:val="231F20"/>
          <w:spacing w:val="-2"/>
          <w:w w:val="110"/>
        </w:rPr>
        <w:t>RATIOS</w:t>
      </w:r>
    </w:p>
    <w:p>
      <w:pPr>
        <w:pStyle w:val="BodyText"/>
        <w:spacing w:before="2"/>
        <w:rPr>
          <w:b/>
          <w:i/>
          <w:sz w:val="29"/>
        </w:rPr>
      </w:pPr>
    </w:p>
    <w:p>
      <w:pPr>
        <w:pStyle w:val="ListParagraph"/>
        <w:numPr>
          <w:ilvl w:val="0"/>
          <w:numId w:val="21"/>
        </w:numPr>
        <w:tabs>
          <w:tab w:pos="1395" w:val="left" w:leader="none"/>
        </w:tabs>
        <w:spacing w:line="240" w:lineRule="auto" w:before="0" w:after="0"/>
        <w:ind w:left="1394" w:right="0" w:hanging="225"/>
        <w:jc w:val="left"/>
        <w:rPr>
          <w:i/>
          <w:sz w:val="19"/>
        </w:rPr>
      </w:pPr>
      <w:r>
        <w:rPr>
          <w:i/>
          <w:color w:val="231F20"/>
          <w:spacing w:val="-2"/>
          <w:w w:val="115"/>
          <w:sz w:val="19"/>
        </w:rPr>
        <w:t>Financial</w:t>
      </w:r>
      <w:r>
        <w:rPr>
          <w:i/>
          <w:color w:val="231F20"/>
          <w:spacing w:val="-8"/>
          <w:w w:val="115"/>
          <w:sz w:val="19"/>
        </w:rPr>
        <w:t> </w:t>
      </w:r>
      <w:r>
        <w:rPr>
          <w:i/>
          <w:color w:val="231F20"/>
          <w:spacing w:val="-2"/>
          <w:w w:val="115"/>
          <w:sz w:val="19"/>
        </w:rPr>
        <w:t>Leverage</w:t>
      </w:r>
      <w:r>
        <w:rPr>
          <w:i/>
          <w:color w:val="231F20"/>
          <w:spacing w:val="-8"/>
          <w:w w:val="115"/>
          <w:sz w:val="19"/>
        </w:rPr>
        <w:t> </w:t>
      </w:r>
      <w:r>
        <w:rPr>
          <w:rFonts w:ascii="Symbol" w:hAnsi="Symbol"/>
          <w:color w:val="231F20"/>
          <w:spacing w:val="-2"/>
          <w:w w:val="115"/>
          <w:sz w:val="21"/>
        </w:rPr>
        <w:t></w:t>
      </w:r>
      <w:r>
        <w:rPr>
          <w:rFonts w:ascii="Times New Roman" w:hAnsi="Times New Roman"/>
          <w:color w:val="231F20"/>
          <w:spacing w:val="-8"/>
          <w:w w:val="115"/>
          <w:sz w:val="21"/>
        </w:rPr>
        <w:t> </w:t>
      </w:r>
      <w:r>
        <w:rPr>
          <w:i/>
          <w:color w:val="231F20"/>
          <w:spacing w:val="-2"/>
          <w:w w:val="115"/>
          <w:sz w:val="19"/>
        </w:rPr>
        <w:t>(Total</w:t>
      </w:r>
      <w:r>
        <w:rPr>
          <w:i/>
          <w:color w:val="231F20"/>
          <w:spacing w:val="-8"/>
          <w:w w:val="115"/>
          <w:sz w:val="19"/>
        </w:rPr>
        <w:t> </w:t>
      </w:r>
      <w:r>
        <w:rPr>
          <w:i/>
          <w:color w:val="231F20"/>
          <w:spacing w:val="-2"/>
          <w:w w:val="115"/>
          <w:sz w:val="19"/>
        </w:rPr>
        <w:t>Liabilities</w:t>
      </w:r>
      <w:r>
        <w:rPr>
          <w:i/>
          <w:color w:val="231F20"/>
          <w:spacing w:val="-8"/>
          <w:w w:val="115"/>
          <w:sz w:val="19"/>
        </w:rPr>
        <w:t> </w:t>
      </w:r>
      <w:r>
        <w:rPr>
          <w:rFonts w:ascii="Symbol" w:hAnsi="Symbol"/>
          <w:color w:val="231F20"/>
          <w:spacing w:val="-2"/>
          <w:w w:val="115"/>
          <w:sz w:val="21"/>
        </w:rPr>
        <w:t></w:t>
      </w:r>
      <w:r>
        <w:rPr>
          <w:rFonts w:ascii="Times New Roman" w:hAnsi="Times New Roman"/>
          <w:color w:val="231F20"/>
          <w:spacing w:val="-8"/>
          <w:w w:val="115"/>
          <w:sz w:val="21"/>
        </w:rPr>
        <w:t> </w:t>
      </w:r>
      <w:r>
        <w:rPr>
          <w:i/>
          <w:color w:val="231F20"/>
          <w:spacing w:val="-2"/>
          <w:w w:val="115"/>
          <w:sz w:val="19"/>
        </w:rPr>
        <w:t>Owners’</w:t>
      </w:r>
      <w:r>
        <w:rPr>
          <w:i/>
          <w:color w:val="231F20"/>
          <w:spacing w:val="-8"/>
          <w:w w:val="115"/>
          <w:sz w:val="19"/>
        </w:rPr>
        <w:t> </w:t>
      </w:r>
      <w:r>
        <w:rPr>
          <w:i/>
          <w:color w:val="231F20"/>
          <w:spacing w:val="-2"/>
          <w:w w:val="115"/>
          <w:sz w:val="19"/>
        </w:rPr>
        <w:t>Equity)</w:t>
      </w:r>
    </w:p>
    <w:p>
      <w:pPr>
        <w:spacing w:before="76"/>
        <w:ind w:left="1170" w:right="0" w:firstLine="0"/>
        <w:jc w:val="left"/>
        <w:rPr>
          <w:rFonts w:ascii="Arial"/>
          <w:i/>
          <w:sz w:val="19"/>
        </w:rPr>
      </w:pPr>
      <w:r>
        <w:rPr>
          <w:rFonts w:ascii="Arial"/>
          <w:i/>
          <w:color w:val="231F20"/>
          <w:w w:val="165"/>
          <w:sz w:val="19"/>
        </w:rPr>
        <w:t>/</w:t>
      </w:r>
      <w:r>
        <w:rPr>
          <w:rFonts w:ascii="Arial"/>
          <w:i/>
          <w:color w:val="231F20"/>
          <w:spacing w:val="-18"/>
          <w:w w:val="165"/>
          <w:sz w:val="19"/>
        </w:rPr>
        <w:t> </w:t>
      </w:r>
      <w:r>
        <w:rPr>
          <w:rFonts w:ascii="Arial"/>
          <w:i/>
          <w:color w:val="231F20"/>
          <w:spacing w:val="-5"/>
          <w:w w:val="125"/>
          <w:sz w:val="19"/>
        </w:rPr>
        <w:t>OE</w:t>
      </w:r>
    </w:p>
    <w:p>
      <w:pPr>
        <w:pStyle w:val="BodyText"/>
        <w:spacing w:before="4"/>
        <w:rPr>
          <w:rFonts w:ascii="Arial"/>
          <w:i/>
          <w:sz w:val="20"/>
        </w:rPr>
      </w:pPr>
    </w:p>
    <w:p>
      <w:pPr>
        <w:spacing w:after="0"/>
        <w:rPr>
          <w:rFonts w:ascii="Arial"/>
          <w:sz w:val="20"/>
        </w:rPr>
        <w:sectPr>
          <w:pgSz w:w="8640" w:h="12960"/>
          <w:pgMar w:header="732" w:footer="0" w:top="920" w:bottom="280" w:left="340" w:right="500"/>
        </w:sectPr>
      </w:pPr>
    </w:p>
    <w:p>
      <w:pPr>
        <w:pStyle w:val="BodyText"/>
        <w:spacing w:before="126"/>
        <w:jc w:val="right"/>
      </w:pPr>
      <w:r>
        <w:rPr/>
        <w:pict>
          <v:shape style="position:absolute;margin-left:165.999481pt;margin-top:4.987471pt;width:4pt;height:30pt;mso-position-horizontal-relative:page;mso-position-vertical-relative:paragraph;z-index:15788544" type="#_x0000_t202" id="docshape115" filled="false" stroked="false">
            <v:textbox inset="0,0,0,0">
              <w:txbxContent>
                <w:p>
                  <w:pPr>
                    <w:spacing w:line="584" w:lineRule="exact" w:before="0"/>
                    <w:ind w:left="0" w:right="0" w:firstLine="0"/>
                    <w:jc w:val="left"/>
                    <w:rPr>
                      <w:rFonts w:ascii="Symbol" w:hAnsi="Symbol"/>
                      <w:sz w:val="60"/>
                    </w:rPr>
                  </w:pPr>
                  <w:r>
                    <w:rPr>
                      <w:rFonts w:ascii="Symbol" w:hAnsi="Symbol"/>
                      <w:color w:val="231F20"/>
                      <w:w w:val="39"/>
                      <w:sz w:val="60"/>
                    </w:rPr>
                    <w:t></w:t>
                  </w:r>
                </w:p>
              </w:txbxContent>
            </v:textbox>
            <w10:wrap type="none"/>
          </v:shape>
        </w:pict>
      </w:r>
      <w:r>
        <w:rPr>
          <w:color w:val="231F20"/>
          <w:spacing w:val="-2"/>
          <w:w w:val="105"/>
          <w:u w:val="single" w:color="231F20"/>
        </w:rPr>
        <w:t>$142,000</w:t>
      </w:r>
    </w:p>
    <w:p>
      <w:pPr>
        <w:pStyle w:val="BodyText"/>
        <w:spacing w:before="54"/>
        <w:ind w:right="63"/>
        <w:jc w:val="right"/>
      </w:pPr>
      <w:r>
        <w:rPr>
          <w:color w:val="231F20"/>
          <w:spacing w:val="-2"/>
          <w:w w:val="105"/>
        </w:rPr>
        <w:t>$45,000</w:t>
      </w:r>
    </w:p>
    <w:p>
      <w:pPr>
        <w:pStyle w:val="BodyText"/>
        <w:spacing w:line="688" w:lineRule="exact"/>
        <w:ind w:left="19"/>
        <w:rPr>
          <w:rFonts w:ascii="Symbol" w:hAnsi="Symbol"/>
          <w:sz w:val="60"/>
        </w:rPr>
      </w:pPr>
      <w:r>
        <w:rPr/>
        <w:br w:type="column"/>
      </w:r>
      <w:r>
        <w:rPr>
          <w:rFonts w:ascii="Symbol" w:hAnsi="Symbol"/>
          <w:color w:val="231F20"/>
        </w:rPr>
        <w:t></w:t>
      </w:r>
      <w:r>
        <w:rPr>
          <w:rFonts w:ascii="Times New Roman" w:hAnsi="Times New Roman"/>
          <w:color w:val="231F20"/>
          <w:spacing w:val="17"/>
        </w:rPr>
        <w:t> </w:t>
      </w:r>
      <w:r>
        <w:rPr>
          <w:color w:val="231F20"/>
        </w:rPr>
        <w:t>3.155</w:t>
      </w:r>
      <w:r>
        <w:rPr>
          <w:color w:val="231F20"/>
          <w:spacing w:val="18"/>
        </w:rPr>
        <w:t> </w:t>
      </w:r>
      <w:r>
        <w:rPr>
          <w:rFonts w:ascii="Symbol" w:hAnsi="Symbol"/>
          <w:color w:val="231F20"/>
          <w:spacing w:val="-10"/>
          <w:w w:val="80"/>
          <w:position w:val="-7"/>
          <w:sz w:val="60"/>
        </w:rPr>
        <w:t></w:t>
      </w:r>
    </w:p>
    <w:p>
      <w:pPr>
        <w:spacing w:after="0" w:line="688" w:lineRule="exact"/>
        <w:rPr>
          <w:rFonts w:ascii="Symbol" w:hAnsi="Symbol"/>
          <w:sz w:val="60"/>
        </w:rPr>
        <w:sectPr>
          <w:type w:val="continuous"/>
          <w:pgSz w:w="8640" w:h="12960"/>
          <w:pgMar w:header="734" w:footer="0" w:top="1220" w:bottom="280" w:left="340" w:right="500"/>
          <w:cols w:num="2" w:equalWidth="0">
            <w:col w:w="3999" w:space="40"/>
            <w:col w:w="3761"/>
          </w:cols>
        </w:sectPr>
      </w:pPr>
    </w:p>
    <w:p>
      <w:pPr>
        <w:pStyle w:val="BodyText"/>
        <w:spacing w:before="4"/>
        <w:rPr>
          <w:rFonts w:ascii="Symbol" w:hAnsi="Symbol"/>
          <w:sz w:val="19"/>
        </w:rPr>
      </w:pPr>
    </w:p>
    <w:p>
      <w:pPr>
        <w:pStyle w:val="BodyText"/>
        <w:spacing w:line="292" w:lineRule="auto" w:before="102"/>
        <w:ind w:left="830" w:right="755" w:firstLine="340"/>
        <w:jc w:val="both"/>
      </w:pPr>
      <w:r>
        <w:rPr>
          <w:color w:val="231F20"/>
        </w:rPr>
        <w:t>When a company assumes a larger proportion of debt than </w:t>
      </w:r>
      <w:r>
        <w:rPr>
          <w:color w:val="231F20"/>
        </w:rPr>
        <w:t>the amount invested by its owners, it is said to be </w:t>
      </w:r>
      <w:r>
        <w:rPr>
          <w:i/>
          <w:color w:val="231F20"/>
        </w:rPr>
        <w:t>leveraged. </w:t>
      </w:r>
      <w:r>
        <w:rPr>
          <w:color w:val="231F20"/>
        </w:rPr>
        <w:t>In a profitable company, by using a higher level of debt, the return is much higher because a smaller amount appears in the denominator of the ratio. The “same” amount of earnings is divided by a smaller equity</w:t>
      </w:r>
      <w:r>
        <w:rPr>
          <w:color w:val="231F20"/>
          <w:spacing w:val="16"/>
        </w:rPr>
        <w:t> </w:t>
      </w:r>
      <w:r>
        <w:rPr>
          <w:color w:val="231F20"/>
        </w:rPr>
        <w:t>base.</w:t>
      </w:r>
      <w:r>
        <w:rPr>
          <w:color w:val="231F20"/>
          <w:spacing w:val="16"/>
        </w:rPr>
        <w:t> </w:t>
      </w:r>
      <w:r>
        <w:rPr>
          <w:color w:val="231F20"/>
        </w:rPr>
        <w:t>Ratios</w:t>
      </w:r>
      <w:r>
        <w:rPr>
          <w:color w:val="231F20"/>
          <w:spacing w:val="16"/>
        </w:rPr>
        <w:t> </w:t>
      </w:r>
      <w:r>
        <w:rPr>
          <w:color w:val="231F20"/>
        </w:rPr>
        <w:t>of</w:t>
      </w:r>
      <w:r>
        <w:rPr>
          <w:color w:val="231F20"/>
          <w:spacing w:val="16"/>
        </w:rPr>
        <w:t> </w:t>
      </w:r>
      <w:r>
        <w:rPr>
          <w:color w:val="231F20"/>
        </w:rPr>
        <w:t>greater</w:t>
      </w:r>
      <w:r>
        <w:rPr>
          <w:color w:val="231F20"/>
          <w:spacing w:val="16"/>
        </w:rPr>
        <w:t> </w:t>
      </w:r>
      <w:r>
        <w:rPr>
          <w:color w:val="231F20"/>
        </w:rPr>
        <w:t>than</w:t>
      </w:r>
      <w:r>
        <w:rPr>
          <w:color w:val="231F20"/>
          <w:spacing w:val="16"/>
        </w:rPr>
        <w:t> </w:t>
      </w:r>
      <w:r>
        <w:rPr>
          <w:color w:val="231F20"/>
        </w:rPr>
        <w:t>2</w:t>
      </w:r>
      <w:r>
        <w:rPr>
          <w:color w:val="231F20"/>
          <w:spacing w:val="16"/>
        </w:rPr>
        <w:t> </w:t>
      </w:r>
      <w:r>
        <w:rPr>
          <w:color w:val="231F20"/>
        </w:rPr>
        <w:t>show</w:t>
      </w:r>
      <w:r>
        <w:rPr>
          <w:color w:val="231F20"/>
          <w:spacing w:val="16"/>
        </w:rPr>
        <w:t> </w:t>
      </w:r>
      <w:r>
        <w:rPr>
          <w:color w:val="231F20"/>
        </w:rPr>
        <w:t>an</w:t>
      </w:r>
      <w:r>
        <w:rPr>
          <w:color w:val="231F20"/>
          <w:spacing w:val="16"/>
        </w:rPr>
        <w:t> </w:t>
      </w:r>
      <w:r>
        <w:rPr>
          <w:color w:val="231F20"/>
        </w:rPr>
        <w:t>extensive</w:t>
      </w:r>
      <w:r>
        <w:rPr>
          <w:color w:val="231F20"/>
          <w:spacing w:val="16"/>
        </w:rPr>
        <w:t> </w:t>
      </w:r>
      <w:r>
        <w:rPr>
          <w:color w:val="231F20"/>
        </w:rPr>
        <w:t>use</w:t>
      </w:r>
      <w:r>
        <w:rPr>
          <w:color w:val="231F20"/>
          <w:spacing w:val="16"/>
        </w:rPr>
        <w:t> </w:t>
      </w:r>
      <w:r>
        <w:rPr>
          <w:color w:val="231F20"/>
        </w:rPr>
        <w:t>of</w:t>
      </w:r>
      <w:r>
        <w:rPr>
          <w:color w:val="231F20"/>
          <w:spacing w:val="16"/>
        </w:rPr>
        <w:t> </w:t>
      </w:r>
      <w:r>
        <w:rPr>
          <w:color w:val="231F20"/>
        </w:rPr>
        <w:t>debt. I will explain leverage more fully when discussing the profitability </w:t>
      </w:r>
      <w:r>
        <w:rPr>
          <w:color w:val="231F20"/>
          <w:spacing w:val="-2"/>
        </w:rPr>
        <w:t>ratios.</w:t>
      </w:r>
    </w:p>
    <w:p>
      <w:pPr>
        <w:pStyle w:val="BodyText"/>
        <w:spacing w:before="4"/>
        <w:rPr>
          <w:sz w:val="24"/>
        </w:rPr>
      </w:pPr>
    </w:p>
    <w:p>
      <w:pPr>
        <w:pStyle w:val="ListParagraph"/>
        <w:numPr>
          <w:ilvl w:val="0"/>
          <w:numId w:val="21"/>
        </w:numPr>
        <w:tabs>
          <w:tab w:pos="1397" w:val="left" w:leader="none"/>
        </w:tabs>
        <w:spacing w:line="280" w:lineRule="auto" w:before="0" w:after="0"/>
        <w:ind w:left="1170" w:right="1908" w:firstLine="0"/>
        <w:jc w:val="left"/>
        <w:rPr>
          <w:i/>
          <w:sz w:val="19"/>
        </w:rPr>
      </w:pPr>
      <w:r>
        <w:rPr>
          <w:i/>
          <w:color w:val="231F20"/>
          <w:w w:val="115"/>
          <w:sz w:val="19"/>
        </w:rPr>
        <w:t>Long-Term</w:t>
      </w:r>
      <w:r>
        <w:rPr>
          <w:i/>
          <w:color w:val="231F20"/>
          <w:spacing w:val="-13"/>
          <w:w w:val="115"/>
          <w:sz w:val="19"/>
        </w:rPr>
        <w:t> </w:t>
      </w:r>
      <w:r>
        <w:rPr>
          <w:i/>
          <w:color w:val="231F20"/>
          <w:w w:val="115"/>
          <w:sz w:val="19"/>
        </w:rPr>
        <w:t>Debt</w:t>
      </w:r>
      <w:r>
        <w:rPr>
          <w:i/>
          <w:color w:val="231F20"/>
          <w:spacing w:val="-13"/>
          <w:w w:val="115"/>
          <w:sz w:val="19"/>
        </w:rPr>
        <w:t> </w:t>
      </w:r>
      <w:r>
        <w:rPr>
          <w:i/>
          <w:color w:val="231F20"/>
          <w:w w:val="115"/>
          <w:sz w:val="19"/>
        </w:rPr>
        <w:t>to</w:t>
      </w:r>
      <w:r>
        <w:rPr>
          <w:i/>
          <w:color w:val="231F20"/>
          <w:spacing w:val="-13"/>
          <w:w w:val="115"/>
          <w:sz w:val="19"/>
        </w:rPr>
        <w:t> </w:t>
      </w:r>
      <w:r>
        <w:rPr>
          <w:i/>
          <w:color w:val="231F20"/>
          <w:w w:val="115"/>
          <w:sz w:val="19"/>
        </w:rPr>
        <w:t>Capital</w:t>
      </w:r>
      <w:r>
        <w:rPr>
          <w:i/>
          <w:color w:val="231F20"/>
          <w:spacing w:val="-13"/>
          <w:w w:val="115"/>
          <w:sz w:val="19"/>
        </w:rPr>
        <w:t> </w:t>
      </w:r>
      <w:r>
        <w:rPr>
          <w:rFonts w:ascii="Symbol" w:hAnsi="Symbol"/>
          <w:color w:val="231F20"/>
          <w:w w:val="115"/>
          <w:sz w:val="21"/>
        </w:rPr>
        <w:t></w:t>
      </w:r>
      <w:r>
        <w:rPr>
          <w:rFonts w:ascii="Times New Roman" w:hAnsi="Times New Roman"/>
          <w:color w:val="231F20"/>
          <w:spacing w:val="-13"/>
          <w:w w:val="115"/>
          <w:sz w:val="21"/>
        </w:rPr>
        <w:t> </w:t>
      </w:r>
      <w:r>
        <w:rPr>
          <w:i/>
          <w:color w:val="231F20"/>
          <w:w w:val="115"/>
          <w:sz w:val="19"/>
        </w:rPr>
        <w:t>Long-Term</w:t>
      </w:r>
      <w:r>
        <w:rPr>
          <w:i/>
          <w:color w:val="231F20"/>
          <w:spacing w:val="-13"/>
          <w:w w:val="115"/>
          <w:sz w:val="19"/>
        </w:rPr>
        <w:t> </w:t>
      </w:r>
      <w:r>
        <w:rPr>
          <w:i/>
          <w:color w:val="231F20"/>
          <w:w w:val="115"/>
          <w:sz w:val="19"/>
        </w:rPr>
        <w:t>Debt</w:t>
      </w:r>
      <w:r>
        <w:rPr>
          <w:i/>
          <w:color w:val="231F20"/>
          <w:spacing w:val="-13"/>
          <w:w w:val="115"/>
          <w:sz w:val="19"/>
        </w:rPr>
        <w:t> </w:t>
      </w:r>
      <w:r>
        <w:rPr>
          <w:i/>
          <w:color w:val="231F20"/>
          <w:w w:val="115"/>
          <w:sz w:val="19"/>
        </w:rPr>
        <w:t>/</w:t>
      </w:r>
      <w:r>
        <w:rPr>
          <w:i/>
          <w:color w:val="231F20"/>
          <w:w w:val="115"/>
          <w:sz w:val="19"/>
        </w:rPr>
        <w:t> </w:t>
      </w:r>
      <w:r>
        <w:rPr>
          <w:i/>
          <w:color w:val="231F20"/>
          <w:w w:val="120"/>
          <w:sz w:val="19"/>
        </w:rPr>
        <w:t>(Liabilities </w:t>
      </w:r>
      <w:r>
        <w:rPr>
          <w:rFonts w:ascii="Symbol" w:hAnsi="Symbol"/>
          <w:color w:val="231F20"/>
          <w:w w:val="120"/>
          <w:sz w:val="21"/>
        </w:rPr>
        <w:t></w:t>
      </w:r>
      <w:r>
        <w:rPr>
          <w:rFonts w:ascii="Times New Roman" w:hAnsi="Times New Roman"/>
          <w:color w:val="231F20"/>
          <w:w w:val="120"/>
          <w:sz w:val="21"/>
        </w:rPr>
        <w:t> </w:t>
      </w:r>
      <w:r>
        <w:rPr>
          <w:i/>
          <w:color w:val="231F20"/>
          <w:w w:val="120"/>
          <w:sz w:val="19"/>
        </w:rPr>
        <w:t>OE)</w:t>
      </w:r>
    </w:p>
    <w:p>
      <w:pPr>
        <w:pStyle w:val="BodyText"/>
        <w:spacing w:before="1"/>
        <w:rPr>
          <w:rFonts w:ascii="Arial"/>
          <w:i/>
          <w:sz w:val="18"/>
        </w:rPr>
      </w:pPr>
    </w:p>
    <w:p>
      <w:pPr>
        <w:pStyle w:val="BodyText"/>
        <w:spacing w:line="192" w:lineRule="exact" w:before="101"/>
        <w:ind w:left="2950"/>
      </w:pPr>
      <w:r>
        <w:rPr/>
        <w:pict>
          <v:shape style="position:absolute;margin-left:157.499908pt;margin-top:3.737471pt;width:4pt;height:30pt;mso-position-horizontal-relative:page;mso-position-vertical-relative:paragraph;z-index:15789056" type="#_x0000_t202" id="docshape116" filled="false" stroked="false">
            <v:textbox inset="0,0,0,0">
              <w:txbxContent>
                <w:p>
                  <w:pPr>
                    <w:spacing w:line="584" w:lineRule="exact" w:before="0"/>
                    <w:ind w:left="0" w:right="0" w:firstLine="0"/>
                    <w:jc w:val="left"/>
                    <w:rPr>
                      <w:rFonts w:ascii="Symbol" w:hAnsi="Symbol"/>
                      <w:sz w:val="60"/>
                    </w:rPr>
                  </w:pPr>
                  <w:r>
                    <w:rPr>
                      <w:rFonts w:ascii="Symbol" w:hAnsi="Symbol"/>
                      <w:color w:val="231F20"/>
                      <w:w w:val="39"/>
                      <w:sz w:val="60"/>
                    </w:rPr>
                    <w:t></w:t>
                  </w:r>
                </w:p>
              </w:txbxContent>
            </v:textbox>
            <w10:wrap type="none"/>
          </v:shape>
        </w:pict>
      </w:r>
      <w:r>
        <w:rPr/>
        <w:pict>
          <v:shape style="position:absolute;margin-left:265.6008pt;margin-top:3.737471pt;width:4pt;height:30pt;mso-position-horizontal-relative:page;mso-position-vertical-relative:paragraph;z-index:15789568" type="#_x0000_t202" id="docshape117" filled="false" stroked="false">
            <v:textbox inset="0,0,0,0">
              <w:txbxContent>
                <w:p>
                  <w:pPr>
                    <w:spacing w:line="584" w:lineRule="exact" w:before="0"/>
                    <w:ind w:left="0" w:right="0" w:firstLine="0"/>
                    <w:jc w:val="left"/>
                    <w:rPr>
                      <w:rFonts w:ascii="Symbol" w:hAnsi="Symbol"/>
                      <w:sz w:val="60"/>
                    </w:rPr>
                  </w:pPr>
                  <w:r>
                    <w:rPr>
                      <w:rFonts w:ascii="Symbol" w:hAnsi="Symbol"/>
                      <w:color w:val="231F20"/>
                      <w:w w:val="39"/>
                      <w:sz w:val="60"/>
                    </w:rPr>
                    <w:t></w:t>
                  </w:r>
                </w:p>
              </w:txbxContent>
            </v:textbox>
            <w10:wrap type="none"/>
          </v:shape>
        </w:pict>
      </w:r>
      <w:r>
        <w:rPr>
          <w:color w:val="231F20"/>
          <w:spacing w:val="4"/>
          <w:w w:val="105"/>
          <w:u w:val="single" w:color="231F20"/>
        </w:rPr>
        <w:t> </w:t>
      </w:r>
      <w:r>
        <w:rPr>
          <w:color w:val="231F20"/>
          <w:spacing w:val="-2"/>
          <w:w w:val="105"/>
          <w:u w:val="single" w:color="231F20"/>
        </w:rPr>
        <w:t>$10,000</w:t>
      </w:r>
    </w:p>
    <w:p>
      <w:pPr>
        <w:pStyle w:val="BodyText"/>
        <w:spacing w:line="354" w:lineRule="exact"/>
        <w:ind w:left="2940"/>
      </w:pPr>
      <w:r>
        <w:rPr>
          <w:color w:val="231F20"/>
          <w:w w:val="105"/>
        </w:rPr>
        <w:t>$142,000</w:t>
      </w:r>
      <w:r>
        <w:rPr>
          <w:color w:val="231F20"/>
          <w:spacing w:val="30"/>
          <w:w w:val="105"/>
        </w:rPr>
        <w:t> </w:t>
      </w:r>
      <w:r>
        <w:rPr>
          <w:rFonts w:ascii="Symbol" w:hAnsi="Symbol"/>
          <w:color w:val="231F20"/>
          <w:w w:val="105"/>
          <w:position w:val="15"/>
        </w:rPr>
        <w:t></w:t>
      </w:r>
      <w:r>
        <w:rPr>
          <w:rFonts w:ascii="Times New Roman" w:hAnsi="Times New Roman"/>
          <w:color w:val="231F20"/>
          <w:spacing w:val="1"/>
          <w:w w:val="105"/>
          <w:position w:val="15"/>
        </w:rPr>
        <w:t> </w:t>
      </w:r>
      <w:r>
        <w:rPr>
          <w:color w:val="231F20"/>
          <w:w w:val="105"/>
          <w:position w:val="15"/>
        </w:rPr>
        <w:t>.07</w:t>
      </w:r>
      <w:r>
        <w:rPr>
          <w:color w:val="231F20"/>
          <w:spacing w:val="7"/>
          <w:w w:val="105"/>
          <w:position w:val="15"/>
        </w:rPr>
        <w:t> </w:t>
      </w:r>
      <w:r>
        <w:rPr>
          <w:rFonts w:ascii="Symbol" w:hAnsi="Symbol"/>
          <w:color w:val="231F20"/>
          <w:w w:val="105"/>
          <w:position w:val="15"/>
        </w:rPr>
        <w:t></w:t>
      </w:r>
      <w:r>
        <w:rPr>
          <w:rFonts w:ascii="Times New Roman" w:hAnsi="Times New Roman"/>
          <w:color w:val="231F20"/>
          <w:w w:val="105"/>
          <w:position w:val="15"/>
        </w:rPr>
        <w:t> </w:t>
      </w:r>
      <w:r>
        <w:rPr>
          <w:color w:val="231F20"/>
          <w:spacing w:val="-5"/>
          <w:w w:val="105"/>
          <w:position w:val="15"/>
        </w:rPr>
        <w:t>7%</w:t>
      </w:r>
    </w:p>
    <w:p>
      <w:pPr>
        <w:pStyle w:val="BodyText"/>
        <w:spacing w:before="6"/>
      </w:pPr>
    </w:p>
    <w:p>
      <w:pPr>
        <w:pStyle w:val="BodyText"/>
        <w:spacing w:line="292" w:lineRule="auto" w:before="102"/>
        <w:ind w:left="830" w:right="753" w:firstLine="340"/>
        <w:jc w:val="both"/>
      </w:pPr>
      <w:r>
        <w:rPr>
          <w:color w:val="231F20"/>
        </w:rPr>
        <w:t>Because debt payments are fixed obligations that </w:t>
      </w:r>
      <w:r>
        <w:rPr>
          <w:i/>
          <w:color w:val="231F20"/>
        </w:rPr>
        <w:t>must </w:t>
      </w:r>
      <w:r>
        <w:rPr>
          <w:color w:val="231F20"/>
        </w:rPr>
        <w:t>be paid while dividends to investors are not, the level of debt is an important measure of a company’s riskiness. A ratio of greater than 50 percent shows</w:t>
      </w:r>
      <w:r>
        <w:rPr>
          <w:color w:val="231F20"/>
          <w:spacing w:val="15"/>
        </w:rPr>
        <w:t> </w:t>
      </w:r>
      <w:r>
        <w:rPr>
          <w:color w:val="231F20"/>
        </w:rPr>
        <w:t>a</w:t>
      </w:r>
      <w:r>
        <w:rPr>
          <w:color w:val="231F20"/>
          <w:spacing w:val="15"/>
        </w:rPr>
        <w:t> </w:t>
      </w:r>
      <w:r>
        <w:rPr>
          <w:color w:val="231F20"/>
        </w:rPr>
        <w:t>high</w:t>
      </w:r>
      <w:r>
        <w:rPr>
          <w:color w:val="231F20"/>
          <w:spacing w:val="15"/>
        </w:rPr>
        <w:t> </w:t>
      </w:r>
      <w:r>
        <w:rPr>
          <w:color w:val="231F20"/>
        </w:rPr>
        <w:t>level</w:t>
      </w:r>
      <w:r>
        <w:rPr>
          <w:color w:val="231F20"/>
          <w:spacing w:val="15"/>
        </w:rPr>
        <w:t> </w:t>
      </w:r>
      <w:r>
        <w:rPr>
          <w:color w:val="231F20"/>
        </w:rPr>
        <w:t>of</w:t>
      </w:r>
      <w:r>
        <w:rPr>
          <w:color w:val="231F20"/>
          <w:spacing w:val="15"/>
        </w:rPr>
        <w:t> </w:t>
      </w:r>
      <w:r>
        <w:rPr>
          <w:color w:val="231F20"/>
        </w:rPr>
        <w:t>debt.</w:t>
      </w:r>
      <w:r>
        <w:rPr>
          <w:color w:val="231F20"/>
          <w:spacing w:val="15"/>
        </w:rPr>
        <w:t> </w:t>
      </w:r>
      <w:r>
        <w:rPr>
          <w:color w:val="231F20"/>
        </w:rPr>
        <w:t>Depending</w:t>
      </w:r>
      <w:r>
        <w:rPr>
          <w:color w:val="231F20"/>
          <w:spacing w:val="15"/>
        </w:rPr>
        <w:t> </w:t>
      </w:r>
      <w:r>
        <w:rPr>
          <w:color w:val="231F20"/>
        </w:rPr>
        <w:t>on</w:t>
      </w:r>
      <w:r>
        <w:rPr>
          <w:color w:val="231F20"/>
          <w:spacing w:val="15"/>
        </w:rPr>
        <w:t> </w:t>
      </w:r>
      <w:r>
        <w:rPr>
          <w:color w:val="231F20"/>
        </w:rPr>
        <w:t>the</w:t>
      </w:r>
      <w:r>
        <w:rPr>
          <w:color w:val="231F20"/>
          <w:spacing w:val="15"/>
        </w:rPr>
        <w:t> </w:t>
      </w:r>
      <w:r>
        <w:rPr>
          <w:color w:val="231F20"/>
        </w:rPr>
        <w:t>timing</w:t>
      </w:r>
      <w:r>
        <w:rPr>
          <w:color w:val="231F20"/>
          <w:spacing w:val="15"/>
        </w:rPr>
        <w:t> </w:t>
      </w:r>
      <w:r>
        <w:rPr>
          <w:color w:val="231F20"/>
        </w:rPr>
        <w:t>and</w:t>
      </w:r>
      <w:r>
        <w:rPr>
          <w:color w:val="231F20"/>
          <w:spacing w:val="15"/>
        </w:rPr>
        <w:t> </w:t>
      </w:r>
      <w:r>
        <w:rPr>
          <w:color w:val="231F20"/>
        </w:rPr>
        <w:t>stability</w:t>
      </w:r>
      <w:r>
        <w:rPr>
          <w:color w:val="231F20"/>
          <w:spacing w:val="15"/>
        </w:rPr>
        <w:t> </w:t>
      </w:r>
      <w:r>
        <w:rPr>
          <w:color w:val="231F20"/>
        </w:rPr>
        <w:t>of a firm’s cash flows, 50 percent could be considered risky. Stable </w:t>
      </w:r>
      <w:r>
        <w:rPr>
          <w:color w:val="231F20"/>
        </w:rPr>
        <w:t>elec- tric utilities have predictable sales and cash flows; therefore, ratios over 50 percent are commonplace. Investment analysts on Wall Street consider those debt levels conservative.</w:t>
      </w:r>
    </w:p>
    <w:p>
      <w:pPr>
        <w:spacing w:after="0" w:line="292" w:lineRule="auto"/>
        <w:jc w:val="both"/>
        <w:sectPr>
          <w:type w:val="continuous"/>
          <w:pgSz w:w="8640" w:h="12960"/>
          <w:pgMar w:header="734" w:footer="0" w:top="1220" w:bottom="280" w:left="340" w:right="500"/>
        </w:sectPr>
      </w:pPr>
    </w:p>
    <w:p>
      <w:pPr>
        <w:pStyle w:val="BodyText"/>
        <w:spacing w:before="8"/>
        <w:rPr>
          <w:sz w:val="17"/>
        </w:rPr>
      </w:pPr>
    </w:p>
    <w:p>
      <w:pPr>
        <w:pStyle w:val="Heading6"/>
        <w:spacing w:before="99"/>
        <w:rPr>
          <w:i/>
        </w:rPr>
      </w:pPr>
      <w:r>
        <w:rPr>
          <w:i/>
          <w:color w:val="231F20"/>
          <w:w w:val="110"/>
        </w:rPr>
        <w:t>ACTIVITY</w:t>
      </w:r>
      <w:r>
        <w:rPr>
          <w:i/>
          <w:color w:val="231F20"/>
          <w:spacing w:val="26"/>
          <w:w w:val="110"/>
        </w:rPr>
        <w:t>  </w:t>
      </w:r>
      <w:r>
        <w:rPr>
          <w:i/>
          <w:color w:val="231F20"/>
          <w:spacing w:val="-2"/>
          <w:w w:val="110"/>
        </w:rPr>
        <w:t>RATIOS</w:t>
      </w:r>
    </w:p>
    <w:p>
      <w:pPr>
        <w:pStyle w:val="BodyText"/>
        <w:spacing w:before="2"/>
        <w:rPr>
          <w:b/>
          <w:i/>
          <w:sz w:val="29"/>
        </w:rPr>
      </w:pPr>
    </w:p>
    <w:p>
      <w:pPr>
        <w:pStyle w:val="ListParagraph"/>
        <w:numPr>
          <w:ilvl w:val="0"/>
          <w:numId w:val="21"/>
        </w:numPr>
        <w:tabs>
          <w:tab w:pos="1495" w:val="left" w:leader="none"/>
        </w:tabs>
        <w:spacing w:line="240" w:lineRule="auto" w:before="0" w:after="0"/>
        <w:ind w:left="1494" w:right="0" w:hanging="235"/>
        <w:jc w:val="left"/>
        <w:rPr>
          <w:i/>
          <w:sz w:val="19"/>
        </w:rPr>
      </w:pPr>
      <w:r>
        <w:rPr>
          <w:i/>
          <w:color w:val="231F20"/>
          <w:spacing w:val="-2"/>
          <w:w w:val="115"/>
          <w:sz w:val="19"/>
        </w:rPr>
        <w:t>Assets</w:t>
      </w:r>
      <w:r>
        <w:rPr>
          <w:i/>
          <w:color w:val="231F20"/>
          <w:spacing w:val="-12"/>
          <w:w w:val="115"/>
          <w:sz w:val="19"/>
        </w:rPr>
        <w:t> </w:t>
      </w:r>
      <w:r>
        <w:rPr>
          <w:i/>
          <w:color w:val="231F20"/>
          <w:spacing w:val="-2"/>
          <w:w w:val="115"/>
          <w:sz w:val="19"/>
        </w:rPr>
        <w:t>Turnover</w:t>
      </w:r>
      <w:r>
        <w:rPr>
          <w:i/>
          <w:color w:val="231F20"/>
          <w:spacing w:val="-11"/>
          <w:w w:val="115"/>
          <w:sz w:val="19"/>
        </w:rPr>
        <w:t> </w:t>
      </w:r>
      <w:r>
        <w:rPr>
          <w:i/>
          <w:color w:val="231F20"/>
          <w:spacing w:val="-2"/>
          <w:w w:val="115"/>
          <w:sz w:val="19"/>
        </w:rPr>
        <w:t>per</w:t>
      </w:r>
      <w:r>
        <w:rPr>
          <w:i/>
          <w:color w:val="231F20"/>
          <w:spacing w:val="-11"/>
          <w:w w:val="115"/>
          <w:sz w:val="19"/>
        </w:rPr>
        <w:t> </w:t>
      </w:r>
      <w:r>
        <w:rPr>
          <w:i/>
          <w:color w:val="231F20"/>
          <w:spacing w:val="-2"/>
          <w:w w:val="115"/>
          <w:sz w:val="19"/>
        </w:rPr>
        <w:t>Period</w:t>
      </w:r>
      <w:r>
        <w:rPr>
          <w:i/>
          <w:color w:val="231F20"/>
          <w:spacing w:val="-11"/>
          <w:w w:val="115"/>
          <w:sz w:val="19"/>
        </w:rPr>
        <w:t> </w:t>
      </w:r>
      <w:r>
        <w:rPr>
          <w:rFonts w:ascii="Symbol" w:hAnsi="Symbol"/>
          <w:color w:val="231F20"/>
          <w:spacing w:val="-2"/>
          <w:w w:val="115"/>
          <w:sz w:val="21"/>
        </w:rPr>
        <w:t></w:t>
      </w:r>
      <w:r>
        <w:rPr>
          <w:rFonts w:ascii="Times New Roman" w:hAnsi="Times New Roman"/>
          <w:color w:val="231F20"/>
          <w:spacing w:val="-11"/>
          <w:w w:val="115"/>
          <w:sz w:val="21"/>
        </w:rPr>
        <w:t> </w:t>
      </w:r>
      <w:r>
        <w:rPr>
          <w:i/>
          <w:color w:val="231F20"/>
          <w:spacing w:val="-2"/>
          <w:w w:val="115"/>
          <w:sz w:val="19"/>
        </w:rPr>
        <w:t>Sales</w:t>
      </w:r>
      <w:r>
        <w:rPr>
          <w:i/>
          <w:color w:val="231F20"/>
          <w:spacing w:val="-11"/>
          <w:w w:val="115"/>
          <w:sz w:val="19"/>
        </w:rPr>
        <w:t> </w:t>
      </w:r>
      <w:r>
        <w:rPr>
          <w:i/>
          <w:color w:val="231F20"/>
          <w:spacing w:val="-2"/>
          <w:w w:val="115"/>
          <w:sz w:val="19"/>
        </w:rPr>
        <w:t>/</w:t>
      </w:r>
      <w:r>
        <w:rPr>
          <w:i/>
          <w:color w:val="231F20"/>
          <w:spacing w:val="-11"/>
          <w:w w:val="115"/>
          <w:sz w:val="19"/>
        </w:rPr>
        <w:t> </w:t>
      </w:r>
      <w:r>
        <w:rPr>
          <w:i/>
          <w:color w:val="231F20"/>
          <w:spacing w:val="-2"/>
          <w:w w:val="115"/>
          <w:sz w:val="19"/>
        </w:rPr>
        <w:t>Total</w:t>
      </w:r>
      <w:r>
        <w:rPr>
          <w:i/>
          <w:color w:val="231F20"/>
          <w:spacing w:val="-11"/>
          <w:w w:val="115"/>
          <w:sz w:val="19"/>
        </w:rPr>
        <w:t> </w:t>
      </w:r>
      <w:r>
        <w:rPr>
          <w:i/>
          <w:color w:val="231F20"/>
          <w:spacing w:val="-2"/>
          <w:w w:val="115"/>
          <w:sz w:val="19"/>
        </w:rPr>
        <w:t>Assets</w:t>
      </w:r>
    </w:p>
    <w:p>
      <w:pPr>
        <w:pStyle w:val="BodyText"/>
        <w:spacing w:before="9"/>
        <w:rPr>
          <w:rFonts w:ascii="Arial"/>
          <w:i/>
          <w:sz w:val="19"/>
        </w:rPr>
      </w:pPr>
    </w:p>
    <w:p>
      <w:pPr>
        <w:spacing w:after="0"/>
        <w:rPr>
          <w:rFonts w:ascii="Arial"/>
          <w:sz w:val="19"/>
        </w:rPr>
        <w:sectPr>
          <w:pgSz w:w="8640" w:h="12960"/>
          <w:pgMar w:header="734" w:footer="0" w:top="920" w:bottom="280" w:left="340" w:right="500"/>
        </w:sectPr>
      </w:pPr>
    </w:p>
    <w:p>
      <w:pPr>
        <w:pStyle w:val="BodyText"/>
        <w:spacing w:before="127"/>
        <w:jc w:val="right"/>
      </w:pPr>
      <w:r>
        <w:rPr/>
        <w:pict>
          <v:shape style="position:absolute;margin-left:155.500763pt;margin-top:5.037561pt;width:4pt;height:30pt;mso-position-horizontal-relative:page;mso-position-vertical-relative:paragraph;z-index:15790080" type="#_x0000_t202" id="docshape118" filled="false" stroked="false">
            <v:textbox inset="0,0,0,0">
              <w:txbxContent>
                <w:p>
                  <w:pPr>
                    <w:spacing w:line="584" w:lineRule="exact" w:before="0"/>
                    <w:ind w:left="0" w:right="0" w:firstLine="0"/>
                    <w:jc w:val="left"/>
                    <w:rPr>
                      <w:rFonts w:ascii="Symbol" w:hAnsi="Symbol"/>
                      <w:sz w:val="60"/>
                    </w:rPr>
                  </w:pPr>
                  <w:r>
                    <w:rPr>
                      <w:rFonts w:ascii="Symbol" w:hAnsi="Symbol"/>
                      <w:color w:val="231F20"/>
                      <w:w w:val="39"/>
                      <w:sz w:val="60"/>
                    </w:rPr>
                    <w:t></w:t>
                  </w:r>
                </w:p>
              </w:txbxContent>
            </v:textbox>
            <w10:wrap type="none"/>
          </v:shape>
        </w:pict>
      </w:r>
      <w:r>
        <w:rPr>
          <w:color w:val="231F20"/>
          <w:spacing w:val="-2"/>
          <w:w w:val="105"/>
          <w:u w:val="single" w:color="231F20"/>
        </w:rPr>
        <w:t>$5,200,000</w:t>
      </w:r>
    </w:p>
    <w:p>
      <w:pPr>
        <w:pStyle w:val="BodyText"/>
        <w:spacing w:before="54"/>
        <w:ind w:right="90"/>
        <w:jc w:val="right"/>
      </w:pPr>
      <w:r>
        <w:rPr>
          <w:color w:val="231F20"/>
          <w:spacing w:val="-2"/>
          <w:w w:val="105"/>
        </w:rPr>
        <w:t>$142,000</w:t>
      </w:r>
    </w:p>
    <w:p>
      <w:pPr>
        <w:pStyle w:val="BodyText"/>
        <w:spacing w:line="689" w:lineRule="exact"/>
        <w:ind w:left="18"/>
        <w:rPr>
          <w:rFonts w:ascii="Symbol" w:hAnsi="Symbol"/>
          <w:sz w:val="60"/>
        </w:rPr>
      </w:pPr>
      <w:r>
        <w:rPr/>
        <w:br w:type="column"/>
      </w:r>
      <w:r>
        <w:rPr>
          <w:rFonts w:ascii="Symbol" w:hAnsi="Symbol"/>
          <w:color w:val="231F20"/>
        </w:rPr>
        <w:t></w:t>
      </w:r>
      <w:r>
        <w:rPr>
          <w:rFonts w:ascii="Times New Roman" w:hAnsi="Times New Roman"/>
          <w:color w:val="231F20"/>
          <w:spacing w:val="9"/>
        </w:rPr>
        <w:t> </w:t>
      </w:r>
      <w:r>
        <w:rPr>
          <w:color w:val="231F20"/>
        </w:rPr>
        <w:t>36.6</w:t>
      </w:r>
      <w:r>
        <w:rPr>
          <w:color w:val="231F20"/>
          <w:spacing w:val="16"/>
        </w:rPr>
        <w:t> </w:t>
      </w:r>
      <w:r>
        <w:rPr>
          <w:color w:val="231F20"/>
        </w:rPr>
        <w:t>turns</w:t>
      </w:r>
      <w:r>
        <w:rPr>
          <w:color w:val="231F20"/>
          <w:spacing w:val="6"/>
        </w:rPr>
        <w:t> </w:t>
      </w:r>
      <w:r>
        <w:rPr>
          <w:rFonts w:ascii="Symbol" w:hAnsi="Symbol"/>
          <w:color w:val="231F20"/>
          <w:spacing w:val="-10"/>
          <w:w w:val="80"/>
          <w:position w:val="-7"/>
          <w:sz w:val="60"/>
        </w:rPr>
        <w:t></w:t>
      </w:r>
    </w:p>
    <w:p>
      <w:pPr>
        <w:spacing w:after="0" w:line="689" w:lineRule="exact"/>
        <w:rPr>
          <w:rFonts w:ascii="Symbol" w:hAnsi="Symbol"/>
          <w:sz w:val="60"/>
        </w:rPr>
        <w:sectPr>
          <w:type w:val="continuous"/>
          <w:pgSz w:w="8640" w:h="12960"/>
          <w:pgMar w:header="732" w:footer="0" w:top="1220" w:bottom="280" w:left="340" w:right="500"/>
          <w:cols w:num="2" w:equalWidth="0">
            <w:col w:w="3966" w:space="40"/>
            <w:col w:w="3794"/>
          </w:cols>
        </w:sectPr>
      </w:pPr>
    </w:p>
    <w:p>
      <w:pPr>
        <w:pStyle w:val="BodyText"/>
        <w:spacing w:before="4"/>
        <w:rPr>
          <w:rFonts w:ascii="Symbol" w:hAnsi="Symbol"/>
          <w:sz w:val="19"/>
        </w:rPr>
      </w:pPr>
    </w:p>
    <w:p>
      <w:pPr>
        <w:pStyle w:val="BodyText"/>
        <w:spacing w:line="292" w:lineRule="auto" w:before="102"/>
        <w:ind w:left="920" w:right="665" w:firstLine="340"/>
        <w:jc w:val="both"/>
      </w:pPr>
      <w:r>
        <w:rPr>
          <w:color w:val="231F20"/>
        </w:rPr>
        <w:t>This ratio tells the reader how actively the firm uses all of its </w:t>
      </w:r>
      <w:r>
        <w:rPr>
          <w:color w:val="231F20"/>
        </w:rPr>
        <w:t>as- sets. The firm that can generate more sales with a given set of assets is said to have managed its assets efficiently. Ratios are industry- specific. Thirty-six is a high turnover of assets for most industries,</w:t>
      </w:r>
      <w:r>
        <w:rPr>
          <w:color w:val="231F20"/>
          <w:spacing w:val="40"/>
        </w:rPr>
        <w:t> </w:t>
      </w:r>
      <w:r>
        <w:rPr>
          <w:color w:val="231F20"/>
        </w:rPr>
        <w:t>but for an antique shop a turnover of three may be considered high. One-of-a-kind antiques sit waiting for the right collector to come along. In the grocery trade 36.6 turns per year is normal because the shelf inventory of a supermarket is sold about every week. The pro- duce, milk, and toilet paper inventory turn over several times a</w:t>
      </w:r>
      <w:r>
        <w:rPr>
          <w:color w:val="231F20"/>
          <w:spacing w:val="80"/>
        </w:rPr>
        <w:t> </w:t>
      </w:r>
      <w:r>
        <w:rPr>
          <w:color w:val="231F20"/>
        </w:rPr>
        <w:t>week, while the exotic spices take much longer to sell.</w:t>
      </w:r>
    </w:p>
    <w:p>
      <w:pPr>
        <w:pStyle w:val="BodyText"/>
        <w:spacing w:before="3"/>
        <w:rPr>
          <w:sz w:val="24"/>
        </w:rPr>
      </w:pPr>
    </w:p>
    <w:p>
      <w:pPr>
        <w:pStyle w:val="ListParagraph"/>
        <w:numPr>
          <w:ilvl w:val="0"/>
          <w:numId w:val="21"/>
        </w:numPr>
        <w:tabs>
          <w:tab w:pos="1486" w:val="left" w:leader="none"/>
        </w:tabs>
        <w:spacing w:line="309" w:lineRule="auto" w:before="0" w:after="0"/>
        <w:ind w:left="1260" w:right="1511" w:hanging="1"/>
        <w:jc w:val="left"/>
        <w:rPr>
          <w:i/>
          <w:sz w:val="19"/>
        </w:rPr>
      </w:pPr>
      <w:r>
        <w:rPr>
          <w:i/>
          <w:color w:val="231F20"/>
          <w:w w:val="115"/>
          <w:sz w:val="19"/>
        </w:rPr>
        <w:t>Inventory</w:t>
      </w:r>
      <w:r>
        <w:rPr>
          <w:i/>
          <w:color w:val="231F20"/>
          <w:spacing w:val="-11"/>
          <w:w w:val="115"/>
          <w:sz w:val="19"/>
        </w:rPr>
        <w:t> </w:t>
      </w:r>
      <w:r>
        <w:rPr>
          <w:i/>
          <w:color w:val="231F20"/>
          <w:w w:val="115"/>
          <w:sz w:val="19"/>
        </w:rPr>
        <w:t>Turns</w:t>
      </w:r>
      <w:r>
        <w:rPr>
          <w:i/>
          <w:color w:val="231F20"/>
          <w:spacing w:val="-11"/>
          <w:w w:val="115"/>
          <w:sz w:val="19"/>
        </w:rPr>
        <w:t> </w:t>
      </w:r>
      <w:r>
        <w:rPr>
          <w:i/>
          <w:color w:val="231F20"/>
          <w:w w:val="115"/>
          <w:sz w:val="19"/>
        </w:rPr>
        <w:t>per</w:t>
      </w:r>
      <w:r>
        <w:rPr>
          <w:i/>
          <w:color w:val="231F20"/>
          <w:spacing w:val="-11"/>
          <w:w w:val="115"/>
          <w:sz w:val="19"/>
        </w:rPr>
        <w:t> </w:t>
      </w:r>
      <w:r>
        <w:rPr>
          <w:i/>
          <w:color w:val="231F20"/>
          <w:w w:val="115"/>
          <w:sz w:val="19"/>
        </w:rPr>
        <w:t>Period</w:t>
      </w:r>
      <w:r>
        <w:rPr>
          <w:i/>
          <w:color w:val="231F20"/>
          <w:spacing w:val="-11"/>
          <w:w w:val="115"/>
          <w:sz w:val="19"/>
        </w:rPr>
        <w:t> </w:t>
      </w:r>
      <w:r>
        <w:rPr>
          <w:rFonts w:ascii="Symbol" w:hAnsi="Symbol"/>
          <w:color w:val="231F20"/>
          <w:w w:val="115"/>
          <w:sz w:val="21"/>
        </w:rPr>
        <w:t></w:t>
      </w:r>
      <w:r>
        <w:rPr>
          <w:rFonts w:ascii="Times New Roman" w:hAnsi="Times New Roman"/>
          <w:color w:val="231F20"/>
          <w:spacing w:val="-11"/>
          <w:w w:val="115"/>
          <w:sz w:val="21"/>
        </w:rPr>
        <w:t> </w:t>
      </w:r>
      <w:r>
        <w:rPr>
          <w:i/>
          <w:color w:val="231F20"/>
          <w:w w:val="115"/>
          <w:sz w:val="19"/>
        </w:rPr>
        <w:t>Cost</w:t>
      </w:r>
      <w:r>
        <w:rPr>
          <w:i/>
          <w:color w:val="231F20"/>
          <w:spacing w:val="-11"/>
          <w:w w:val="115"/>
          <w:sz w:val="19"/>
        </w:rPr>
        <w:t> </w:t>
      </w:r>
      <w:r>
        <w:rPr>
          <w:i/>
          <w:color w:val="231F20"/>
          <w:w w:val="115"/>
          <w:sz w:val="19"/>
        </w:rPr>
        <w:t>of</w:t>
      </w:r>
      <w:r>
        <w:rPr>
          <w:i/>
          <w:color w:val="231F20"/>
          <w:spacing w:val="-11"/>
          <w:w w:val="115"/>
          <w:sz w:val="19"/>
        </w:rPr>
        <w:t> </w:t>
      </w:r>
      <w:r>
        <w:rPr>
          <w:i/>
          <w:color w:val="231F20"/>
          <w:w w:val="115"/>
          <w:sz w:val="19"/>
        </w:rPr>
        <w:t>Goods</w:t>
      </w:r>
      <w:r>
        <w:rPr>
          <w:i/>
          <w:color w:val="231F20"/>
          <w:spacing w:val="-11"/>
          <w:w w:val="115"/>
          <w:sz w:val="19"/>
        </w:rPr>
        <w:t> </w:t>
      </w:r>
      <w:r>
        <w:rPr>
          <w:i/>
          <w:color w:val="231F20"/>
          <w:w w:val="115"/>
          <w:sz w:val="19"/>
        </w:rPr>
        <w:t>Sold</w:t>
      </w:r>
      <w:r>
        <w:rPr>
          <w:i/>
          <w:color w:val="231F20"/>
          <w:spacing w:val="-11"/>
          <w:w w:val="115"/>
          <w:sz w:val="19"/>
        </w:rPr>
        <w:t> </w:t>
      </w:r>
      <w:r>
        <w:rPr>
          <w:i/>
          <w:color w:val="231F20"/>
          <w:w w:val="115"/>
          <w:sz w:val="19"/>
        </w:rPr>
        <w:t>/</w:t>
      </w:r>
      <w:r>
        <w:rPr>
          <w:i/>
          <w:color w:val="231F20"/>
          <w:w w:val="115"/>
          <w:sz w:val="19"/>
        </w:rPr>
        <w:t> </w:t>
      </w:r>
      <w:r>
        <w:rPr>
          <w:i/>
          <w:color w:val="231F20"/>
          <w:w w:val="120"/>
          <w:sz w:val="19"/>
        </w:rPr>
        <w:t>Average</w:t>
      </w:r>
      <w:r>
        <w:rPr>
          <w:i/>
          <w:color w:val="231F20"/>
          <w:spacing w:val="-15"/>
          <w:w w:val="120"/>
          <w:sz w:val="19"/>
        </w:rPr>
        <w:t> </w:t>
      </w:r>
      <w:r>
        <w:rPr>
          <w:i/>
          <w:color w:val="231F20"/>
          <w:w w:val="120"/>
          <w:sz w:val="19"/>
        </w:rPr>
        <w:t>Inventory</w:t>
      </w:r>
      <w:r>
        <w:rPr>
          <w:i/>
          <w:color w:val="231F20"/>
          <w:spacing w:val="-15"/>
          <w:w w:val="120"/>
          <w:sz w:val="19"/>
        </w:rPr>
        <w:t> </w:t>
      </w:r>
      <w:r>
        <w:rPr>
          <w:i/>
          <w:color w:val="231F20"/>
          <w:w w:val="120"/>
          <w:sz w:val="19"/>
        </w:rPr>
        <w:t>Held</w:t>
      </w:r>
      <w:r>
        <w:rPr>
          <w:i/>
          <w:color w:val="231F20"/>
          <w:spacing w:val="-15"/>
          <w:w w:val="120"/>
          <w:sz w:val="19"/>
        </w:rPr>
        <w:t> </w:t>
      </w:r>
      <w:r>
        <w:rPr>
          <w:i/>
          <w:color w:val="231F20"/>
          <w:w w:val="120"/>
          <w:sz w:val="19"/>
        </w:rPr>
        <w:t>During</w:t>
      </w:r>
      <w:r>
        <w:rPr>
          <w:i/>
          <w:color w:val="231F20"/>
          <w:spacing w:val="-15"/>
          <w:w w:val="120"/>
          <w:sz w:val="19"/>
        </w:rPr>
        <w:t> </w:t>
      </w:r>
      <w:r>
        <w:rPr>
          <w:i/>
          <w:color w:val="231F20"/>
          <w:w w:val="120"/>
          <w:sz w:val="19"/>
        </w:rPr>
        <w:t>the</w:t>
      </w:r>
      <w:r>
        <w:rPr>
          <w:i/>
          <w:color w:val="231F20"/>
          <w:spacing w:val="-15"/>
          <w:w w:val="120"/>
          <w:sz w:val="19"/>
        </w:rPr>
        <w:t> </w:t>
      </w:r>
      <w:r>
        <w:rPr>
          <w:i/>
          <w:color w:val="231F20"/>
          <w:w w:val="120"/>
          <w:sz w:val="19"/>
        </w:rPr>
        <w:t>Period</w:t>
      </w:r>
    </w:p>
    <w:p>
      <w:pPr>
        <w:pStyle w:val="BodyText"/>
        <w:spacing w:line="292" w:lineRule="auto"/>
        <w:ind w:left="920" w:right="666" w:firstLine="340"/>
        <w:jc w:val="both"/>
      </w:pPr>
      <w:r>
        <w:rPr>
          <w:color w:val="231F20"/>
        </w:rPr>
        <w:t>(A simple way to calculate “average inventory” is by adding </w:t>
      </w:r>
      <w:r>
        <w:rPr>
          <w:color w:val="231F20"/>
        </w:rPr>
        <w:t>the beginning and ending inventory balances, then dividing by two.)</w:t>
      </w:r>
    </w:p>
    <w:p>
      <w:pPr>
        <w:pStyle w:val="BodyText"/>
        <w:spacing w:before="7"/>
        <w:rPr>
          <w:sz w:val="14"/>
        </w:rPr>
      </w:pPr>
    </w:p>
    <w:p>
      <w:pPr>
        <w:spacing w:after="0"/>
        <w:rPr>
          <w:sz w:val="14"/>
        </w:rPr>
        <w:sectPr>
          <w:type w:val="continuous"/>
          <w:pgSz w:w="8640" w:h="12960"/>
          <w:pgMar w:header="732" w:footer="0" w:top="1220" w:bottom="280" w:left="340" w:right="500"/>
        </w:sectPr>
      </w:pPr>
    </w:p>
    <w:p>
      <w:pPr>
        <w:pStyle w:val="BodyText"/>
        <w:spacing w:before="126"/>
        <w:jc w:val="right"/>
      </w:pPr>
      <w:r>
        <w:rPr/>
        <w:pict>
          <v:shape style="position:absolute;margin-left:139.499908pt;margin-top:4.987561pt;width:4pt;height:30pt;mso-position-horizontal-relative:page;mso-position-vertical-relative:paragraph;z-index:15790592" type="#_x0000_t202" id="docshape119" filled="false" stroked="false">
            <v:textbox inset="0,0,0,0">
              <w:txbxContent>
                <w:p>
                  <w:pPr>
                    <w:spacing w:line="584" w:lineRule="exact" w:before="0"/>
                    <w:ind w:left="0" w:right="0" w:firstLine="0"/>
                    <w:jc w:val="left"/>
                    <w:rPr>
                      <w:rFonts w:ascii="Symbol" w:hAnsi="Symbol"/>
                      <w:sz w:val="60"/>
                    </w:rPr>
                  </w:pPr>
                  <w:r>
                    <w:rPr>
                      <w:rFonts w:ascii="Symbol" w:hAnsi="Symbol"/>
                      <w:color w:val="231F20"/>
                      <w:w w:val="39"/>
                      <w:sz w:val="60"/>
                    </w:rPr>
                    <w:t></w:t>
                  </w:r>
                </w:p>
              </w:txbxContent>
            </v:textbox>
            <w10:wrap type="none"/>
          </v:shape>
        </w:pict>
      </w:r>
      <w:r>
        <w:rPr>
          <w:color w:val="231F20"/>
          <w:spacing w:val="-2"/>
          <w:w w:val="105"/>
          <w:u w:val="single" w:color="231F20"/>
        </w:rPr>
        <w:t>$3,900,000</w:t>
      </w:r>
    </w:p>
    <w:p>
      <w:pPr>
        <w:pStyle w:val="BodyText"/>
        <w:spacing w:before="54"/>
        <w:ind w:right="90"/>
        <w:jc w:val="right"/>
      </w:pPr>
      <w:r>
        <w:rPr>
          <w:color w:val="231F20"/>
          <w:spacing w:val="-2"/>
          <w:w w:val="105"/>
        </w:rPr>
        <w:t>$100,000</w:t>
      </w:r>
    </w:p>
    <w:p>
      <w:pPr>
        <w:pStyle w:val="BodyText"/>
        <w:spacing w:line="688" w:lineRule="exact"/>
        <w:ind w:left="18"/>
        <w:rPr>
          <w:rFonts w:ascii="Symbol" w:hAnsi="Symbol"/>
          <w:sz w:val="60"/>
        </w:rPr>
      </w:pPr>
      <w:r>
        <w:rPr/>
        <w:br w:type="column"/>
      </w:r>
      <w:r>
        <w:rPr>
          <w:rFonts w:ascii="Symbol" w:hAnsi="Symbol"/>
          <w:color w:val="231F20"/>
        </w:rPr>
        <w:t></w:t>
      </w:r>
      <w:r>
        <w:rPr>
          <w:rFonts w:ascii="Times New Roman" w:hAnsi="Times New Roman"/>
          <w:color w:val="231F20"/>
        </w:rPr>
        <w:t> </w:t>
      </w:r>
      <w:r>
        <w:rPr>
          <w:color w:val="231F20"/>
        </w:rPr>
        <w:t>39</w:t>
      </w:r>
      <w:r>
        <w:rPr>
          <w:color w:val="231F20"/>
          <w:spacing w:val="7"/>
        </w:rPr>
        <w:t> </w:t>
      </w:r>
      <w:r>
        <w:rPr>
          <w:color w:val="231F20"/>
        </w:rPr>
        <w:t>turns</w:t>
      </w:r>
      <w:r>
        <w:rPr>
          <w:color w:val="231F20"/>
          <w:spacing w:val="7"/>
        </w:rPr>
        <w:t> </w:t>
      </w:r>
      <w:r>
        <w:rPr>
          <w:color w:val="231F20"/>
        </w:rPr>
        <w:t>per</w:t>
      </w:r>
      <w:r>
        <w:rPr>
          <w:color w:val="231F20"/>
          <w:spacing w:val="7"/>
        </w:rPr>
        <w:t> </w:t>
      </w:r>
      <w:r>
        <w:rPr>
          <w:color w:val="231F20"/>
        </w:rPr>
        <w:t>year</w:t>
      </w:r>
      <w:r>
        <w:rPr>
          <w:color w:val="231F20"/>
          <w:spacing w:val="9"/>
        </w:rPr>
        <w:t> </w:t>
      </w:r>
      <w:r>
        <w:rPr>
          <w:rFonts w:ascii="Symbol" w:hAnsi="Symbol"/>
          <w:color w:val="231F20"/>
          <w:spacing w:val="-10"/>
          <w:w w:val="80"/>
          <w:position w:val="-7"/>
          <w:sz w:val="60"/>
        </w:rPr>
        <w:t></w:t>
      </w:r>
    </w:p>
    <w:p>
      <w:pPr>
        <w:spacing w:after="0" w:line="688" w:lineRule="exact"/>
        <w:rPr>
          <w:rFonts w:ascii="Symbol" w:hAnsi="Symbol"/>
          <w:sz w:val="60"/>
        </w:rPr>
        <w:sectPr>
          <w:type w:val="continuous"/>
          <w:pgSz w:w="8640" w:h="12960"/>
          <w:pgMar w:header="732" w:footer="0" w:top="1220" w:bottom="280" w:left="340" w:right="500"/>
          <w:cols w:num="2" w:equalWidth="0">
            <w:col w:w="3646" w:space="40"/>
            <w:col w:w="4114"/>
          </w:cols>
        </w:sectPr>
      </w:pPr>
    </w:p>
    <w:p>
      <w:pPr>
        <w:pStyle w:val="BodyText"/>
        <w:spacing w:before="6"/>
        <w:rPr>
          <w:rFonts w:ascii="Symbol" w:hAnsi="Symbol"/>
          <w:sz w:val="18"/>
        </w:rPr>
      </w:pPr>
    </w:p>
    <w:p>
      <w:pPr>
        <w:pStyle w:val="ListParagraph"/>
        <w:numPr>
          <w:ilvl w:val="0"/>
          <w:numId w:val="21"/>
        </w:numPr>
        <w:tabs>
          <w:tab w:pos="1404" w:val="left" w:leader="none"/>
        </w:tabs>
        <w:spacing w:line="309" w:lineRule="auto" w:before="66" w:after="0"/>
        <w:ind w:left="1169" w:right="1324" w:firstLine="0"/>
        <w:jc w:val="left"/>
        <w:rPr>
          <w:i/>
          <w:sz w:val="19"/>
        </w:rPr>
      </w:pPr>
      <w:r>
        <w:rPr>
          <w:i/>
          <w:color w:val="231F20"/>
          <w:w w:val="115"/>
          <w:sz w:val="19"/>
        </w:rPr>
        <w:t>Days</w:t>
      </w:r>
      <w:r>
        <w:rPr>
          <w:i/>
          <w:color w:val="231F20"/>
          <w:spacing w:val="-12"/>
          <w:w w:val="115"/>
          <w:sz w:val="19"/>
        </w:rPr>
        <w:t> </w:t>
      </w:r>
      <w:r>
        <w:rPr>
          <w:i/>
          <w:color w:val="231F20"/>
          <w:w w:val="115"/>
          <w:sz w:val="19"/>
        </w:rPr>
        <w:t>Sales</w:t>
      </w:r>
      <w:r>
        <w:rPr>
          <w:i/>
          <w:color w:val="231F20"/>
          <w:spacing w:val="-12"/>
          <w:w w:val="115"/>
          <w:sz w:val="19"/>
        </w:rPr>
        <w:t> </w:t>
      </w:r>
      <w:r>
        <w:rPr>
          <w:i/>
          <w:color w:val="231F20"/>
          <w:w w:val="115"/>
          <w:sz w:val="19"/>
        </w:rPr>
        <w:t>in</w:t>
      </w:r>
      <w:r>
        <w:rPr>
          <w:i/>
          <w:color w:val="231F20"/>
          <w:spacing w:val="-12"/>
          <w:w w:val="115"/>
          <w:sz w:val="19"/>
        </w:rPr>
        <w:t> </w:t>
      </w:r>
      <w:r>
        <w:rPr>
          <w:i/>
          <w:color w:val="231F20"/>
          <w:w w:val="115"/>
          <w:sz w:val="19"/>
        </w:rPr>
        <w:t>Inventory</w:t>
      </w:r>
      <w:r>
        <w:rPr>
          <w:i/>
          <w:color w:val="231F20"/>
          <w:spacing w:val="-12"/>
          <w:w w:val="115"/>
          <w:sz w:val="19"/>
        </w:rPr>
        <w:t> </w:t>
      </w:r>
      <w:r>
        <w:rPr>
          <w:rFonts w:ascii="Symbol" w:hAnsi="Symbol"/>
          <w:color w:val="231F20"/>
          <w:w w:val="115"/>
          <w:sz w:val="21"/>
        </w:rPr>
        <w:t></w:t>
      </w:r>
      <w:r>
        <w:rPr>
          <w:rFonts w:ascii="Times New Roman" w:hAnsi="Times New Roman"/>
          <w:color w:val="231F20"/>
          <w:spacing w:val="-12"/>
          <w:w w:val="115"/>
          <w:sz w:val="21"/>
        </w:rPr>
        <w:t> </w:t>
      </w:r>
      <w:r>
        <w:rPr>
          <w:i/>
          <w:color w:val="231F20"/>
          <w:w w:val="115"/>
          <w:sz w:val="19"/>
        </w:rPr>
        <w:t>Ending</w:t>
      </w:r>
      <w:r>
        <w:rPr>
          <w:i/>
          <w:color w:val="231F20"/>
          <w:spacing w:val="-12"/>
          <w:w w:val="115"/>
          <w:sz w:val="19"/>
        </w:rPr>
        <w:t> </w:t>
      </w:r>
      <w:r>
        <w:rPr>
          <w:i/>
          <w:color w:val="231F20"/>
          <w:w w:val="115"/>
          <w:sz w:val="19"/>
        </w:rPr>
        <w:t>Inventory</w:t>
      </w:r>
      <w:r>
        <w:rPr>
          <w:i/>
          <w:color w:val="231F20"/>
          <w:spacing w:val="-12"/>
          <w:w w:val="115"/>
          <w:sz w:val="19"/>
        </w:rPr>
        <w:t> </w:t>
      </w:r>
      <w:r>
        <w:rPr>
          <w:i/>
          <w:color w:val="231F20"/>
          <w:w w:val="115"/>
          <w:sz w:val="19"/>
        </w:rPr>
        <w:t>/</w:t>
      </w:r>
      <w:r>
        <w:rPr>
          <w:i/>
          <w:color w:val="231F20"/>
          <w:spacing w:val="-12"/>
          <w:w w:val="115"/>
          <w:sz w:val="19"/>
        </w:rPr>
        <w:t> </w:t>
      </w:r>
      <w:r>
        <w:rPr>
          <w:i/>
          <w:color w:val="231F20"/>
          <w:w w:val="115"/>
          <w:sz w:val="19"/>
        </w:rPr>
        <w:t>(Cost</w:t>
      </w:r>
      <w:r>
        <w:rPr>
          <w:i/>
          <w:color w:val="231F20"/>
          <w:spacing w:val="-12"/>
          <w:w w:val="115"/>
          <w:sz w:val="19"/>
        </w:rPr>
        <w:t> </w:t>
      </w:r>
      <w:r>
        <w:rPr>
          <w:i/>
          <w:color w:val="231F20"/>
          <w:w w:val="115"/>
          <w:sz w:val="19"/>
        </w:rPr>
        <w:t>of</w:t>
      </w:r>
      <w:r>
        <w:rPr>
          <w:i/>
          <w:color w:val="231F20"/>
          <w:w w:val="115"/>
          <w:sz w:val="19"/>
        </w:rPr>
        <w:t> </w:t>
      </w:r>
      <w:r>
        <w:rPr>
          <w:i/>
          <w:color w:val="231F20"/>
          <w:w w:val="125"/>
          <w:sz w:val="19"/>
        </w:rPr>
        <w:t>Goods Sold </w:t>
      </w:r>
      <w:r>
        <w:rPr>
          <w:i/>
          <w:color w:val="231F20"/>
          <w:w w:val="160"/>
          <w:sz w:val="19"/>
        </w:rPr>
        <w:t>/</w:t>
      </w:r>
      <w:r>
        <w:rPr>
          <w:i/>
          <w:color w:val="231F20"/>
          <w:spacing w:val="-19"/>
          <w:w w:val="160"/>
          <w:sz w:val="19"/>
        </w:rPr>
        <w:t> </w:t>
      </w:r>
      <w:r>
        <w:rPr>
          <w:i/>
          <w:color w:val="231F20"/>
          <w:w w:val="125"/>
          <w:sz w:val="19"/>
        </w:rPr>
        <w:t>365)</w:t>
      </w:r>
    </w:p>
    <w:p>
      <w:pPr>
        <w:pStyle w:val="BodyText"/>
        <w:spacing w:before="1"/>
        <w:rPr>
          <w:rFonts w:ascii="Arial"/>
          <w:i/>
          <w:sz w:val="17"/>
        </w:rPr>
      </w:pPr>
    </w:p>
    <w:p>
      <w:pPr>
        <w:pStyle w:val="BodyText"/>
        <w:tabs>
          <w:tab w:pos="2915" w:val="left" w:leader="none"/>
          <w:tab w:pos="4199" w:val="left" w:leader="none"/>
        </w:tabs>
        <w:spacing w:line="192" w:lineRule="exact" w:before="101"/>
        <w:ind w:left="2500"/>
      </w:pPr>
      <w:r>
        <w:rPr/>
        <w:pict>
          <v:shape style="position:absolute;margin-left:134.999176pt;margin-top:3.737443pt;width:4pt;height:30pt;mso-position-horizontal-relative:page;mso-position-vertical-relative:paragraph;z-index:15791104" type="#_x0000_t202" id="docshape120" filled="false" stroked="false">
            <v:textbox inset="0,0,0,0">
              <w:txbxContent>
                <w:p>
                  <w:pPr>
                    <w:spacing w:line="584" w:lineRule="exact" w:before="0"/>
                    <w:ind w:left="0" w:right="0" w:firstLine="0"/>
                    <w:jc w:val="left"/>
                    <w:rPr>
                      <w:rFonts w:ascii="Symbol" w:hAnsi="Symbol"/>
                      <w:sz w:val="60"/>
                    </w:rPr>
                  </w:pPr>
                  <w:r>
                    <w:rPr>
                      <w:rFonts w:ascii="Symbol" w:hAnsi="Symbol"/>
                      <w:color w:val="231F20"/>
                      <w:w w:val="39"/>
                      <w:sz w:val="60"/>
                    </w:rPr>
                    <w:t></w:t>
                  </w:r>
                </w:p>
              </w:txbxContent>
            </v:textbox>
            <w10:wrap type="none"/>
          </v:shape>
        </w:pict>
      </w:r>
      <w:r>
        <w:rPr/>
        <w:pict>
          <v:shape style="position:absolute;margin-left:287.960724pt;margin-top:3.737443pt;width:4pt;height:30pt;mso-position-horizontal-relative:page;mso-position-vertical-relative:paragraph;z-index:15792640" type="#_x0000_t202" id="docshape121" filled="false" stroked="false">
            <v:textbox inset="0,0,0,0">
              <w:txbxContent>
                <w:p>
                  <w:pPr>
                    <w:spacing w:line="584" w:lineRule="exact" w:before="0"/>
                    <w:ind w:left="0" w:right="0" w:firstLine="0"/>
                    <w:jc w:val="left"/>
                    <w:rPr>
                      <w:rFonts w:ascii="Symbol" w:hAnsi="Symbol"/>
                      <w:sz w:val="60"/>
                    </w:rPr>
                  </w:pPr>
                  <w:r>
                    <w:rPr>
                      <w:rFonts w:ascii="Symbol" w:hAnsi="Symbol"/>
                      <w:color w:val="231F20"/>
                      <w:w w:val="39"/>
                      <w:sz w:val="60"/>
                    </w:rPr>
                    <w:t></w:t>
                  </w:r>
                </w:p>
              </w:txbxContent>
            </v:textbox>
            <w10:wrap type="none"/>
          </v:shape>
        </w:pict>
      </w:r>
      <w:r>
        <w:rPr>
          <w:color w:val="231F20"/>
          <w:u w:val="single" w:color="231F20"/>
        </w:rPr>
        <w:tab/>
      </w:r>
      <w:r>
        <w:rPr>
          <w:color w:val="231F20"/>
          <w:spacing w:val="-2"/>
          <w:w w:val="105"/>
          <w:u w:val="single" w:color="231F20"/>
        </w:rPr>
        <w:t>$100,000</w:t>
      </w:r>
      <w:r>
        <w:rPr>
          <w:color w:val="231F20"/>
          <w:u w:val="single" w:color="231F20"/>
        </w:rPr>
        <w:tab/>
      </w:r>
    </w:p>
    <w:p>
      <w:pPr>
        <w:pStyle w:val="BodyText"/>
        <w:spacing w:line="354" w:lineRule="exact"/>
        <w:ind w:left="2490"/>
      </w:pPr>
      <w:r>
        <w:rPr>
          <w:color w:val="231F20"/>
        </w:rPr>
        <w:t>($3,900,000</w:t>
      </w:r>
      <w:r>
        <w:rPr>
          <w:color w:val="231F20"/>
          <w:spacing w:val="16"/>
        </w:rPr>
        <w:t> </w:t>
      </w:r>
      <w:r>
        <w:rPr>
          <w:color w:val="231F20"/>
          <w:w w:val="95"/>
        </w:rPr>
        <w:t>/</w:t>
      </w:r>
      <w:r>
        <w:rPr>
          <w:color w:val="231F20"/>
          <w:spacing w:val="16"/>
        </w:rPr>
        <w:t> </w:t>
      </w:r>
      <w:r>
        <w:rPr>
          <w:color w:val="231F20"/>
        </w:rPr>
        <w:t>365)</w:t>
      </w:r>
      <w:r>
        <w:rPr>
          <w:color w:val="231F20"/>
          <w:spacing w:val="16"/>
        </w:rPr>
        <w:t> </w:t>
      </w:r>
      <w:r>
        <w:rPr>
          <w:rFonts w:ascii="Symbol" w:hAnsi="Symbol"/>
          <w:color w:val="231F20"/>
          <w:position w:val="15"/>
        </w:rPr>
        <w:t></w:t>
      </w:r>
      <w:r>
        <w:rPr>
          <w:rFonts w:ascii="Times New Roman" w:hAnsi="Times New Roman"/>
          <w:color w:val="231F20"/>
          <w:spacing w:val="10"/>
          <w:position w:val="15"/>
        </w:rPr>
        <w:t> </w:t>
      </w:r>
      <w:r>
        <w:rPr>
          <w:color w:val="231F20"/>
          <w:position w:val="15"/>
        </w:rPr>
        <w:t>9.36</w:t>
      </w:r>
      <w:r>
        <w:rPr>
          <w:color w:val="231F20"/>
          <w:spacing w:val="16"/>
          <w:position w:val="15"/>
        </w:rPr>
        <w:t> </w:t>
      </w:r>
      <w:r>
        <w:rPr>
          <w:color w:val="231F20"/>
          <w:spacing w:val="-4"/>
          <w:position w:val="15"/>
        </w:rPr>
        <w:t>days</w:t>
      </w:r>
    </w:p>
    <w:p>
      <w:pPr>
        <w:pStyle w:val="BodyText"/>
        <w:spacing w:before="6"/>
      </w:pPr>
    </w:p>
    <w:p>
      <w:pPr>
        <w:pStyle w:val="BodyText"/>
        <w:spacing w:line="292" w:lineRule="auto" w:before="102"/>
        <w:ind w:left="829" w:right="756" w:firstLine="340"/>
        <w:jc w:val="both"/>
      </w:pPr>
      <w:r>
        <w:rPr>
          <w:color w:val="231F20"/>
        </w:rPr>
        <w:t>These two </w:t>
      </w:r>
      <w:r>
        <w:rPr>
          <w:i/>
          <w:color w:val="231F20"/>
        </w:rPr>
        <w:t>activity </w:t>
      </w:r>
      <w:r>
        <w:rPr>
          <w:color w:val="231F20"/>
        </w:rPr>
        <w:t>ratios show how actively a company’s </w:t>
      </w:r>
      <w:r>
        <w:rPr>
          <w:color w:val="231F20"/>
        </w:rPr>
        <w:t>inven- tory is being deployed. Is inventory sitting around collecting dust or is it being sold as soon as it hits the shelf? In a high-turnover busi- ness,</w:t>
      </w:r>
      <w:r>
        <w:rPr>
          <w:color w:val="231F20"/>
          <w:spacing w:val="-1"/>
        </w:rPr>
        <w:t> </w:t>
      </w:r>
      <w:r>
        <w:rPr>
          <w:color w:val="231F20"/>
        </w:rPr>
        <w:t>like</w:t>
      </w:r>
      <w:r>
        <w:rPr>
          <w:color w:val="231F20"/>
          <w:spacing w:val="-1"/>
        </w:rPr>
        <w:t> </w:t>
      </w:r>
      <w:r>
        <w:rPr>
          <w:color w:val="231F20"/>
        </w:rPr>
        <w:t>the</w:t>
      </w:r>
      <w:r>
        <w:rPr>
          <w:color w:val="231F20"/>
          <w:spacing w:val="-1"/>
        </w:rPr>
        <w:t> </w:t>
      </w:r>
      <w:r>
        <w:rPr>
          <w:color w:val="231F20"/>
        </w:rPr>
        <w:t>grocery</w:t>
      </w:r>
      <w:r>
        <w:rPr>
          <w:color w:val="231F20"/>
          <w:spacing w:val="-1"/>
        </w:rPr>
        <w:t> </w:t>
      </w:r>
      <w:r>
        <w:rPr>
          <w:color w:val="231F20"/>
        </w:rPr>
        <w:t>trade,</w:t>
      </w:r>
      <w:r>
        <w:rPr>
          <w:color w:val="231F20"/>
          <w:spacing w:val="-1"/>
        </w:rPr>
        <w:t> </w:t>
      </w:r>
      <w:r>
        <w:rPr>
          <w:color w:val="231F20"/>
        </w:rPr>
        <w:t>there</w:t>
      </w:r>
      <w:r>
        <w:rPr>
          <w:color w:val="231F20"/>
          <w:spacing w:val="-1"/>
        </w:rPr>
        <w:t> </w:t>
      </w:r>
      <w:r>
        <w:rPr>
          <w:color w:val="231F20"/>
        </w:rPr>
        <w:t>are</w:t>
      </w:r>
      <w:r>
        <w:rPr>
          <w:color w:val="231F20"/>
          <w:spacing w:val="-1"/>
        </w:rPr>
        <w:t> </w:t>
      </w:r>
      <w:r>
        <w:rPr>
          <w:color w:val="231F20"/>
        </w:rPr>
        <w:t>many</w:t>
      </w:r>
      <w:r>
        <w:rPr>
          <w:color w:val="231F20"/>
          <w:spacing w:val="-1"/>
        </w:rPr>
        <w:t> </w:t>
      </w:r>
      <w:r>
        <w:rPr>
          <w:color w:val="231F20"/>
        </w:rPr>
        <w:t>turns</w:t>
      </w:r>
      <w:r>
        <w:rPr>
          <w:color w:val="231F20"/>
          <w:spacing w:val="-1"/>
        </w:rPr>
        <w:t> </w:t>
      </w:r>
      <w:r>
        <w:rPr>
          <w:color w:val="231F20"/>
        </w:rPr>
        <w:t>of</w:t>
      </w:r>
      <w:r>
        <w:rPr>
          <w:color w:val="231F20"/>
          <w:spacing w:val="-1"/>
        </w:rPr>
        <w:t> </w:t>
      </w:r>
      <w:r>
        <w:rPr>
          <w:color w:val="231F20"/>
        </w:rPr>
        <w:t>inventory</w:t>
      </w:r>
      <w:r>
        <w:rPr>
          <w:color w:val="231F20"/>
          <w:spacing w:val="-1"/>
        </w:rPr>
        <w:t> </w:t>
      </w:r>
      <w:r>
        <w:rPr>
          <w:color w:val="231F20"/>
        </w:rPr>
        <w:t>during a year and only a few days of inventory on hand. Most grocery items are perishable and purchased frequently.</w:t>
      </w:r>
    </w:p>
    <w:p>
      <w:pPr>
        <w:pStyle w:val="BodyText"/>
        <w:rPr>
          <w:sz w:val="24"/>
        </w:rPr>
      </w:pPr>
    </w:p>
    <w:p>
      <w:pPr>
        <w:pStyle w:val="BodyText"/>
        <w:rPr>
          <w:sz w:val="27"/>
        </w:rPr>
      </w:pPr>
    </w:p>
    <w:p>
      <w:pPr>
        <w:pStyle w:val="Heading6"/>
        <w:ind w:left="299"/>
        <w:rPr>
          <w:i/>
        </w:rPr>
      </w:pPr>
      <w:r>
        <w:rPr>
          <w:i/>
          <w:color w:val="231F20"/>
          <w:w w:val="110"/>
        </w:rPr>
        <w:t>PROFITABILITY</w:t>
      </w:r>
      <w:r>
        <w:rPr>
          <w:i/>
          <w:color w:val="231F20"/>
          <w:spacing w:val="41"/>
          <w:w w:val="110"/>
        </w:rPr>
        <w:t>  </w:t>
      </w:r>
      <w:r>
        <w:rPr>
          <w:i/>
          <w:color w:val="231F20"/>
          <w:spacing w:val="-2"/>
          <w:w w:val="110"/>
        </w:rPr>
        <w:t>RATIOS</w:t>
      </w:r>
    </w:p>
    <w:p>
      <w:pPr>
        <w:pStyle w:val="BodyText"/>
        <w:spacing w:before="2"/>
        <w:rPr>
          <w:b/>
          <w:i/>
          <w:sz w:val="29"/>
        </w:rPr>
      </w:pPr>
    </w:p>
    <w:p>
      <w:pPr>
        <w:pStyle w:val="ListParagraph"/>
        <w:numPr>
          <w:ilvl w:val="0"/>
          <w:numId w:val="21"/>
        </w:numPr>
        <w:tabs>
          <w:tab w:pos="1375" w:val="left" w:leader="none"/>
        </w:tabs>
        <w:spacing w:line="240" w:lineRule="auto" w:before="0" w:after="0"/>
        <w:ind w:left="1374" w:right="0" w:hanging="205"/>
        <w:jc w:val="left"/>
        <w:rPr>
          <w:i/>
          <w:sz w:val="19"/>
        </w:rPr>
      </w:pPr>
      <w:r>
        <w:rPr>
          <w:i/>
          <w:color w:val="231F20"/>
          <w:spacing w:val="-2"/>
          <w:w w:val="115"/>
          <w:sz w:val="19"/>
        </w:rPr>
        <w:t>Return</w:t>
      </w:r>
      <w:r>
        <w:rPr>
          <w:i/>
          <w:color w:val="231F20"/>
          <w:spacing w:val="-14"/>
          <w:w w:val="115"/>
          <w:sz w:val="19"/>
        </w:rPr>
        <w:t> </w:t>
      </w:r>
      <w:r>
        <w:rPr>
          <w:i/>
          <w:color w:val="231F20"/>
          <w:spacing w:val="-2"/>
          <w:w w:val="115"/>
          <w:sz w:val="19"/>
        </w:rPr>
        <w:t>on</w:t>
      </w:r>
      <w:r>
        <w:rPr>
          <w:i/>
          <w:color w:val="231F20"/>
          <w:spacing w:val="-8"/>
          <w:w w:val="115"/>
          <w:sz w:val="19"/>
        </w:rPr>
        <w:t> </w:t>
      </w:r>
      <w:r>
        <w:rPr>
          <w:i/>
          <w:color w:val="231F20"/>
          <w:spacing w:val="-2"/>
          <w:w w:val="115"/>
          <w:sz w:val="19"/>
        </w:rPr>
        <w:t>Sales</w:t>
      </w:r>
      <w:r>
        <w:rPr>
          <w:i/>
          <w:color w:val="231F20"/>
          <w:spacing w:val="-8"/>
          <w:w w:val="115"/>
          <w:sz w:val="19"/>
        </w:rPr>
        <w:t> </w:t>
      </w:r>
      <w:r>
        <w:rPr>
          <w:i/>
          <w:color w:val="231F20"/>
          <w:spacing w:val="-2"/>
          <w:w w:val="115"/>
          <w:sz w:val="19"/>
        </w:rPr>
        <w:t>(ROS)</w:t>
      </w:r>
      <w:r>
        <w:rPr>
          <w:i/>
          <w:color w:val="231F20"/>
          <w:spacing w:val="-8"/>
          <w:w w:val="115"/>
          <w:sz w:val="19"/>
        </w:rPr>
        <w:t> </w:t>
      </w:r>
      <w:r>
        <w:rPr>
          <w:rFonts w:ascii="Symbol" w:hAnsi="Symbol"/>
          <w:color w:val="231F20"/>
          <w:spacing w:val="-2"/>
          <w:w w:val="115"/>
          <w:sz w:val="21"/>
        </w:rPr>
        <w:t></w:t>
      </w:r>
      <w:r>
        <w:rPr>
          <w:rFonts w:ascii="Times New Roman" w:hAnsi="Times New Roman"/>
          <w:color w:val="231F20"/>
          <w:spacing w:val="-7"/>
          <w:w w:val="115"/>
          <w:sz w:val="21"/>
        </w:rPr>
        <w:t> </w:t>
      </w:r>
      <w:r>
        <w:rPr>
          <w:i/>
          <w:color w:val="231F20"/>
          <w:spacing w:val="-2"/>
          <w:w w:val="115"/>
          <w:sz w:val="19"/>
        </w:rPr>
        <w:t>Net</w:t>
      </w:r>
      <w:r>
        <w:rPr>
          <w:i/>
          <w:color w:val="231F20"/>
          <w:spacing w:val="-8"/>
          <w:w w:val="115"/>
          <w:sz w:val="19"/>
        </w:rPr>
        <w:t> </w:t>
      </w:r>
      <w:r>
        <w:rPr>
          <w:i/>
          <w:color w:val="231F20"/>
          <w:spacing w:val="-2"/>
          <w:w w:val="115"/>
          <w:sz w:val="19"/>
        </w:rPr>
        <w:t>Income</w:t>
      </w:r>
      <w:r>
        <w:rPr>
          <w:i/>
          <w:color w:val="231F20"/>
          <w:spacing w:val="-8"/>
          <w:w w:val="115"/>
          <w:sz w:val="19"/>
        </w:rPr>
        <w:t> </w:t>
      </w:r>
      <w:r>
        <w:rPr>
          <w:i/>
          <w:color w:val="231F20"/>
          <w:spacing w:val="-2"/>
          <w:w w:val="150"/>
          <w:sz w:val="19"/>
        </w:rPr>
        <w:t>/</w:t>
      </w:r>
      <w:r>
        <w:rPr>
          <w:i/>
          <w:color w:val="231F20"/>
          <w:spacing w:val="-22"/>
          <w:w w:val="150"/>
          <w:sz w:val="19"/>
        </w:rPr>
        <w:t> </w:t>
      </w:r>
      <w:r>
        <w:rPr>
          <w:i/>
          <w:color w:val="231F20"/>
          <w:spacing w:val="-4"/>
          <w:w w:val="115"/>
          <w:sz w:val="19"/>
        </w:rPr>
        <w:t>Sales</w:t>
      </w:r>
    </w:p>
    <w:p>
      <w:pPr>
        <w:pStyle w:val="BodyText"/>
        <w:rPr>
          <w:rFonts w:ascii="Arial"/>
          <w:i/>
          <w:sz w:val="22"/>
        </w:rPr>
      </w:pPr>
    </w:p>
    <w:p>
      <w:pPr>
        <w:pStyle w:val="BodyText"/>
        <w:spacing w:line="192" w:lineRule="exact" w:before="102"/>
        <w:ind w:left="2540"/>
      </w:pPr>
      <w:r>
        <w:rPr/>
        <w:pict>
          <v:shape style="position:absolute;margin-left:136.999603pt;margin-top:3.787565pt;width:4pt;height:30pt;mso-position-horizontal-relative:page;mso-position-vertical-relative:paragraph;z-index:15791616" type="#_x0000_t202" id="docshape122" filled="false" stroked="false">
            <v:textbox inset="0,0,0,0">
              <w:txbxContent>
                <w:p>
                  <w:pPr>
                    <w:spacing w:line="584" w:lineRule="exact" w:before="0"/>
                    <w:ind w:left="0" w:right="0" w:firstLine="0"/>
                    <w:jc w:val="left"/>
                    <w:rPr>
                      <w:rFonts w:ascii="Symbol" w:hAnsi="Symbol"/>
                      <w:sz w:val="60"/>
                    </w:rPr>
                  </w:pPr>
                  <w:r>
                    <w:rPr>
                      <w:rFonts w:ascii="Symbol" w:hAnsi="Symbol"/>
                      <w:color w:val="231F20"/>
                      <w:w w:val="39"/>
                      <w:sz w:val="60"/>
                    </w:rPr>
                    <w:t></w:t>
                  </w:r>
                </w:p>
              </w:txbxContent>
            </v:textbox>
            <w10:wrap type="none"/>
          </v:shape>
        </w:pict>
      </w:r>
      <w:r>
        <w:rPr/>
        <w:pict>
          <v:shape style="position:absolute;margin-left:286.472809pt;margin-top:3.787565pt;width:4pt;height:30pt;mso-position-horizontal-relative:page;mso-position-vertical-relative:paragraph;z-index:15793152" type="#_x0000_t202" id="docshape123" filled="false" stroked="false">
            <v:textbox inset="0,0,0,0">
              <w:txbxContent>
                <w:p>
                  <w:pPr>
                    <w:spacing w:line="584" w:lineRule="exact" w:before="0"/>
                    <w:ind w:left="0" w:right="0" w:firstLine="0"/>
                    <w:jc w:val="left"/>
                    <w:rPr>
                      <w:rFonts w:ascii="Symbol" w:hAnsi="Symbol"/>
                      <w:sz w:val="60"/>
                    </w:rPr>
                  </w:pPr>
                  <w:r>
                    <w:rPr>
                      <w:rFonts w:ascii="Symbol" w:hAnsi="Symbol"/>
                      <w:color w:val="231F20"/>
                      <w:w w:val="39"/>
                      <w:sz w:val="60"/>
                    </w:rPr>
                    <w:t></w:t>
                  </w:r>
                </w:p>
              </w:txbxContent>
            </v:textbox>
            <w10:wrap type="none"/>
          </v:shape>
        </w:pict>
      </w:r>
      <w:r>
        <w:rPr>
          <w:color w:val="231F20"/>
          <w:spacing w:val="74"/>
          <w:w w:val="150"/>
          <w:u w:val="single" w:color="231F20"/>
        </w:rPr>
        <w:t> </w:t>
      </w:r>
      <w:r>
        <w:rPr>
          <w:color w:val="231F20"/>
          <w:spacing w:val="-2"/>
          <w:w w:val="105"/>
          <w:u w:val="single" w:color="231F20"/>
        </w:rPr>
        <w:t>$30,000</w:t>
      </w:r>
      <w:r>
        <w:rPr>
          <w:color w:val="231F20"/>
          <w:spacing w:val="40"/>
          <w:w w:val="105"/>
          <w:u w:val="single" w:color="231F20"/>
        </w:rPr>
        <w:t> </w:t>
      </w:r>
    </w:p>
    <w:p>
      <w:pPr>
        <w:pStyle w:val="BodyText"/>
        <w:spacing w:line="177" w:lineRule="auto"/>
        <w:ind w:left="2530"/>
      </w:pPr>
      <w:r>
        <w:rPr>
          <w:color w:val="231F20"/>
          <w:w w:val="105"/>
          <w:position w:val="-14"/>
        </w:rPr>
        <w:t>$5,200,000</w:t>
      </w:r>
      <w:r>
        <w:rPr>
          <w:color w:val="231F20"/>
          <w:spacing w:val="3"/>
          <w:w w:val="105"/>
          <w:position w:val="-14"/>
        </w:rPr>
        <w:t> </w:t>
      </w:r>
      <w:r>
        <w:rPr>
          <w:rFonts w:ascii="Symbol" w:hAnsi="Symbol"/>
          <w:color w:val="231F20"/>
          <w:w w:val="105"/>
        </w:rPr>
        <w:t></w:t>
      </w:r>
      <w:r>
        <w:rPr>
          <w:rFonts w:ascii="Times New Roman" w:hAnsi="Times New Roman"/>
          <w:color w:val="231F20"/>
          <w:spacing w:val="-2"/>
          <w:w w:val="105"/>
        </w:rPr>
        <w:t> </w:t>
      </w:r>
      <w:r>
        <w:rPr>
          <w:color w:val="231F20"/>
          <w:w w:val="105"/>
        </w:rPr>
        <w:t>.005769</w:t>
      </w:r>
      <w:r>
        <w:rPr>
          <w:color w:val="231F20"/>
          <w:spacing w:val="3"/>
          <w:w w:val="105"/>
        </w:rPr>
        <w:t> </w:t>
      </w:r>
      <w:r>
        <w:rPr>
          <w:rFonts w:ascii="Symbol" w:hAnsi="Symbol"/>
          <w:color w:val="231F20"/>
          <w:w w:val="105"/>
        </w:rPr>
        <w:t></w:t>
      </w:r>
      <w:r>
        <w:rPr>
          <w:rFonts w:ascii="Times New Roman" w:hAnsi="Times New Roman"/>
          <w:color w:val="231F20"/>
          <w:spacing w:val="-2"/>
          <w:w w:val="105"/>
        </w:rPr>
        <w:t> </w:t>
      </w:r>
      <w:r>
        <w:rPr>
          <w:color w:val="231F20"/>
          <w:spacing w:val="-4"/>
          <w:w w:val="105"/>
        </w:rPr>
        <w:t>.58%</w:t>
      </w:r>
    </w:p>
    <w:p>
      <w:pPr>
        <w:pStyle w:val="BodyText"/>
        <w:spacing w:before="7"/>
        <w:rPr>
          <w:sz w:val="22"/>
        </w:rPr>
      </w:pPr>
    </w:p>
    <w:p>
      <w:pPr>
        <w:pStyle w:val="BodyText"/>
        <w:spacing w:line="292" w:lineRule="auto" w:before="101"/>
        <w:ind w:left="830" w:right="756" w:firstLine="340"/>
        <w:jc w:val="both"/>
      </w:pPr>
      <w:r>
        <w:rPr>
          <w:color w:val="231F20"/>
        </w:rPr>
        <w:t>“Return” ratios are easy to calculate and investment analysts </w:t>
      </w:r>
      <w:r>
        <w:rPr>
          <w:color w:val="231F20"/>
        </w:rPr>
        <w:t>use them frequently. They calculate the return on just about any part of the balance sheet and income statement. Another common one is the return on assets (ROA).</w:t>
      </w:r>
    </w:p>
    <w:p>
      <w:pPr>
        <w:pStyle w:val="BodyText"/>
        <w:spacing w:before="6"/>
        <w:rPr>
          <w:sz w:val="24"/>
        </w:rPr>
      </w:pPr>
    </w:p>
    <w:p>
      <w:pPr>
        <w:pStyle w:val="ListParagraph"/>
        <w:numPr>
          <w:ilvl w:val="0"/>
          <w:numId w:val="21"/>
        </w:numPr>
        <w:tabs>
          <w:tab w:pos="1405" w:val="left" w:leader="none"/>
        </w:tabs>
        <w:spacing w:line="240" w:lineRule="auto" w:before="0" w:after="0"/>
        <w:ind w:left="1404" w:right="0" w:hanging="235"/>
        <w:jc w:val="left"/>
        <w:rPr>
          <w:i/>
          <w:sz w:val="19"/>
        </w:rPr>
      </w:pPr>
      <w:r>
        <w:rPr>
          <w:i/>
          <w:color w:val="231F20"/>
          <w:w w:val="115"/>
          <w:sz w:val="19"/>
        </w:rPr>
        <w:t>Return</w:t>
      </w:r>
      <w:r>
        <w:rPr>
          <w:i/>
          <w:color w:val="231F20"/>
          <w:spacing w:val="-8"/>
          <w:w w:val="115"/>
          <w:sz w:val="19"/>
        </w:rPr>
        <w:t> </w:t>
      </w:r>
      <w:r>
        <w:rPr>
          <w:i/>
          <w:color w:val="231F20"/>
          <w:w w:val="115"/>
          <w:sz w:val="19"/>
        </w:rPr>
        <w:t>on</w:t>
      </w:r>
      <w:r>
        <w:rPr>
          <w:i/>
          <w:color w:val="231F20"/>
          <w:spacing w:val="-7"/>
          <w:w w:val="115"/>
          <w:sz w:val="19"/>
        </w:rPr>
        <w:t> </w:t>
      </w:r>
      <w:r>
        <w:rPr>
          <w:i/>
          <w:color w:val="231F20"/>
          <w:w w:val="115"/>
          <w:sz w:val="19"/>
        </w:rPr>
        <w:t>Equity</w:t>
      </w:r>
      <w:r>
        <w:rPr>
          <w:i/>
          <w:color w:val="231F20"/>
          <w:spacing w:val="-7"/>
          <w:w w:val="115"/>
          <w:sz w:val="19"/>
        </w:rPr>
        <w:t> </w:t>
      </w:r>
      <w:r>
        <w:rPr>
          <w:i/>
          <w:color w:val="231F20"/>
          <w:w w:val="115"/>
          <w:sz w:val="19"/>
        </w:rPr>
        <w:t>(ROE)</w:t>
      </w:r>
      <w:r>
        <w:rPr>
          <w:i/>
          <w:color w:val="231F20"/>
          <w:spacing w:val="-7"/>
          <w:w w:val="115"/>
          <w:sz w:val="19"/>
        </w:rPr>
        <w:t> </w:t>
      </w:r>
      <w:r>
        <w:rPr>
          <w:rFonts w:ascii="Symbol" w:hAnsi="Symbol"/>
          <w:color w:val="231F20"/>
          <w:w w:val="115"/>
          <w:sz w:val="21"/>
        </w:rPr>
        <w:t></w:t>
      </w:r>
      <w:r>
        <w:rPr>
          <w:rFonts w:ascii="Times New Roman" w:hAnsi="Times New Roman"/>
          <w:color w:val="231F20"/>
          <w:spacing w:val="-7"/>
          <w:w w:val="115"/>
          <w:sz w:val="21"/>
        </w:rPr>
        <w:t> </w:t>
      </w:r>
      <w:r>
        <w:rPr>
          <w:i/>
          <w:color w:val="231F20"/>
          <w:w w:val="115"/>
          <w:sz w:val="19"/>
        </w:rPr>
        <w:t>Net</w:t>
      </w:r>
      <w:r>
        <w:rPr>
          <w:i/>
          <w:color w:val="231F20"/>
          <w:spacing w:val="-7"/>
          <w:w w:val="115"/>
          <w:sz w:val="19"/>
        </w:rPr>
        <w:t> </w:t>
      </w:r>
      <w:r>
        <w:rPr>
          <w:i/>
          <w:color w:val="231F20"/>
          <w:w w:val="115"/>
          <w:sz w:val="19"/>
        </w:rPr>
        <w:t>Income</w:t>
      </w:r>
      <w:r>
        <w:rPr>
          <w:i/>
          <w:color w:val="231F20"/>
          <w:spacing w:val="-7"/>
          <w:w w:val="115"/>
          <w:sz w:val="19"/>
        </w:rPr>
        <w:t> </w:t>
      </w:r>
      <w:r>
        <w:rPr>
          <w:i/>
          <w:color w:val="231F20"/>
          <w:w w:val="115"/>
          <w:sz w:val="19"/>
        </w:rPr>
        <w:t>/</w:t>
      </w:r>
      <w:r>
        <w:rPr>
          <w:i/>
          <w:color w:val="231F20"/>
          <w:spacing w:val="-7"/>
          <w:w w:val="115"/>
          <w:sz w:val="19"/>
        </w:rPr>
        <w:t> </w:t>
      </w:r>
      <w:r>
        <w:rPr>
          <w:i/>
          <w:color w:val="231F20"/>
          <w:w w:val="115"/>
          <w:sz w:val="19"/>
        </w:rPr>
        <w:t>Owners’</w:t>
      </w:r>
      <w:r>
        <w:rPr>
          <w:i/>
          <w:color w:val="231F20"/>
          <w:spacing w:val="-7"/>
          <w:w w:val="115"/>
          <w:sz w:val="19"/>
        </w:rPr>
        <w:t> </w:t>
      </w:r>
      <w:r>
        <w:rPr>
          <w:i/>
          <w:color w:val="231F20"/>
          <w:spacing w:val="-2"/>
          <w:w w:val="115"/>
          <w:sz w:val="19"/>
        </w:rPr>
        <w:t>Equity</w:t>
      </w:r>
    </w:p>
    <w:p>
      <w:pPr>
        <w:pStyle w:val="BodyText"/>
        <w:rPr>
          <w:rFonts w:ascii="Arial"/>
          <w:i/>
          <w:sz w:val="22"/>
        </w:rPr>
      </w:pPr>
    </w:p>
    <w:p>
      <w:pPr>
        <w:pStyle w:val="BodyText"/>
        <w:spacing w:line="192" w:lineRule="exact" w:before="101"/>
        <w:ind w:left="2830"/>
      </w:pPr>
      <w:r>
        <w:rPr/>
        <w:pict>
          <v:shape style="position:absolute;margin-left:151.999603pt;margin-top:3.73756pt;width:4pt;height:30pt;mso-position-horizontal-relative:page;mso-position-vertical-relative:paragraph;z-index:15792128" type="#_x0000_t202" id="docshape124" filled="false" stroked="false">
            <v:textbox inset="0,0,0,0">
              <w:txbxContent>
                <w:p>
                  <w:pPr>
                    <w:spacing w:line="584" w:lineRule="exact" w:before="0"/>
                    <w:ind w:left="0" w:right="0" w:firstLine="0"/>
                    <w:jc w:val="left"/>
                    <w:rPr>
                      <w:rFonts w:ascii="Symbol" w:hAnsi="Symbol"/>
                      <w:sz w:val="60"/>
                    </w:rPr>
                  </w:pPr>
                  <w:r>
                    <w:rPr>
                      <w:rFonts w:ascii="Symbol" w:hAnsi="Symbol"/>
                      <w:color w:val="231F20"/>
                      <w:w w:val="39"/>
                      <w:sz w:val="60"/>
                    </w:rPr>
                    <w:t></w:t>
                  </w:r>
                </w:p>
              </w:txbxContent>
            </v:textbox>
            <w10:wrap type="none"/>
          </v:shape>
        </w:pict>
      </w:r>
      <w:r>
        <w:rPr/>
        <w:pict>
          <v:shape style="position:absolute;margin-left:271.295197pt;margin-top:3.73756pt;width:4pt;height:30pt;mso-position-horizontal-relative:page;mso-position-vertical-relative:paragraph;z-index:15793664" type="#_x0000_t202" id="docshape125" filled="false" stroked="false">
            <v:textbox inset="0,0,0,0">
              <w:txbxContent>
                <w:p>
                  <w:pPr>
                    <w:spacing w:line="584" w:lineRule="exact" w:before="0"/>
                    <w:ind w:left="0" w:right="0" w:firstLine="0"/>
                    <w:jc w:val="left"/>
                    <w:rPr>
                      <w:rFonts w:ascii="Symbol" w:hAnsi="Symbol"/>
                      <w:sz w:val="60"/>
                    </w:rPr>
                  </w:pPr>
                  <w:r>
                    <w:rPr>
                      <w:rFonts w:ascii="Symbol" w:hAnsi="Symbol"/>
                      <w:color w:val="231F20"/>
                      <w:w w:val="39"/>
                      <w:sz w:val="60"/>
                    </w:rPr>
                    <w:t></w:t>
                  </w:r>
                </w:p>
              </w:txbxContent>
            </v:textbox>
            <w10:wrap type="none"/>
          </v:shape>
        </w:pict>
      </w:r>
      <w:r>
        <w:rPr>
          <w:color w:val="231F20"/>
          <w:spacing w:val="-2"/>
          <w:w w:val="105"/>
          <w:u w:val="single" w:color="231F20"/>
        </w:rPr>
        <w:t>$30,000</w:t>
      </w:r>
    </w:p>
    <w:p>
      <w:pPr>
        <w:pStyle w:val="BodyText"/>
        <w:spacing w:line="177" w:lineRule="auto"/>
        <w:ind w:left="2830"/>
      </w:pPr>
      <w:r>
        <w:rPr>
          <w:color w:val="231F20"/>
          <w:w w:val="105"/>
          <w:position w:val="-14"/>
        </w:rPr>
        <w:t>$45,000</w:t>
      </w:r>
      <w:r>
        <w:rPr>
          <w:color w:val="231F20"/>
          <w:spacing w:val="6"/>
          <w:w w:val="105"/>
          <w:position w:val="-14"/>
        </w:rPr>
        <w:t> </w:t>
      </w:r>
      <w:r>
        <w:rPr>
          <w:rFonts w:ascii="Symbol" w:hAnsi="Symbol"/>
          <w:color w:val="231F20"/>
          <w:w w:val="105"/>
        </w:rPr>
        <w:t></w:t>
      </w:r>
      <w:r>
        <w:rPr>
          <w:rFonts w:ascii="Times New Roman" w:hAnsi="Times New Roman"/>
          <w:color w:val="231F20"/>
          <w:spacing w:val="-1"/>
          <w:w w:val="105"/>
        </w:rPr>
        <w:t> </w:t>
      </w:r>
      <w:r>
        <w:rPr>
          <w:color w:val="231F20"/>
          <w:w w:val="105"/>
        </w:rPr>
        <w:t>.6667</w:t>
      </w:r>
      <w:r>
        <w:rPr>
          <w:color w:val="231F20"/>
          <w:spacing w:val="7"/>
          <w:w w:val="105"/>
        </w:rPr>
        <w:t> </w:t>
      </w:r>
      <w:r>
        <w:rPr>
          <w:rFonts w:ascii="Symbol" w:hAnsi="Symbol"/>
          <w:color w:val="231F20"/>
          <w:w w:val="105"/>
        </w:rPr>
        <w:t></w:t>
      </w:r>
      <w:r>
        <w:rPr>
          <w:rFonts w:ascii="Times New Roman" w:hAnsi="Times New Roman"/>
          <w:color w:val="231F20"/>
          <w:spacing w:val="-1"/>
          <w:w w:val="105"/>
        </w:rPr>
        <w:t> </w:t>
      </w:r>
      <w:r>
        <w:rPr>
          <w:color w:val="231F20"/>
          <w:spacing w:val="-5"/>
          <w:w w:val="105"/>
        </w:rPr>
        <w:t>67%</w:t>
      </w:r>
    </w:p>
    <w:p>
      <w:pPr>
        <w:pStyle w:val="BodyText"/>
        <w:spacing w:before="8"/>
        <w:rPr>
          <w:sz w:val="22"/>
        </w:rPr>
      </w:pPr>
    </w:p>
    <w:p>
      <w:pPr>
        <w:pStyle w:val="BodyText"/>
        <w:spacing w:line="292" w:lineRule="auto" w:before="101"/>
        <w:ind w:left="830" w:right="755" w:firstLine="340"/>
        <w:jc w:val="both"/>
      </w:pPr>
      <w:r>
        <w:rPr>
          <w:color w:val="231F20"/>
        </w:rPr>
        <w:t>The mix of debt and equity can dramatically affect the ratios. If </w:t>
      </w:r>
      <w:r>
        <w:rPr>
          <w:color w:val="231F20"/>
        </w:rPr>
        <w:t>a company has a high level of debt and a small amount of equity, the return on equity (ROE) can be tremendously affected. That is called </w:t>
      </w:r>
      <w:r>
        <w:rPr>
          <w:i/>
          <w:color w:val="231F20"/>
        </w:rPr>
        <w:t>financial leverage, </w:t>
      </w:r>
      <w:r>
        <w:rPr>
          <w:color w:val="231F20"/>
        </w:rPr>
        <w:t>the term that I mentioned before in discussing capitalization</w:t>
      </w:r>
      <w:r>
        <w:rPr>
          <w:color w:val="231F20"/>
          <w:spacing w:val="8"/>
        </w:rPr>
        <w:t> </w:t>
      </w:r>
      <w:r>
        <w:rPr>
          <w:color w:val="231F20"/>
        </w:rPr>
        <w:t>ratios.</w:t>
      </w:r>
      <w:r>
        <w:rPr>
          <w:color w:val="231F20"/>
          <w:spacing w:val="8"/>
        </w:rPr>
        <w:t> </w:t>
      </w:r>
      <w:r>
        <w:rPr>
          <w:color w:val="231F20"/>
        </w:rPr>
        <w:t>To</w:t>
      </w:r>
      <w:r>
        <w:rPr>
          <w:color w:val="231F20"/>
          <w:spacing w:val="8"/>
        </w:rPr>
        <w:t> </w:t>
      </w:r>
      <w:r>
        <w:rPr>
          <w:color w:val="231F20"/>
        </w:rPr>
        <w:t>illustrate</w:t>
      </w:r>
      <w:r>
        <w:rPr>
          <w:color w:val="231F20"/>
          <w:spacing w:val="8"/>
        </w:rPr>
        <w:t> </w:t>
      </w:r>
      <w:r>
        <w:rPr>
          <w:color w:val="231F20"/>
        </w:rPr>
        <w:t>the</w:t>
      </w:r>
      <w:r>
        <w:rPr>
          <w:color w:val="231F20"/>
          <w:spacing w:val="8"/>
        </w:rPr>
        <w:t> </w:t>
      </w:r>
      <w:r>
        <w:rPr>
          <w:color w:val="231F20"/>
        </w:rPr>
        <w:t>point,</w:t>
      </w:r>
      <w:r>
        <w:rPr>
          <w:color w:val="231F20"/>
          <w:spacing w:val="8"/>
        </w:rPr>
        <w:t> </w:t>
      </w:r>
      <w:r>
        <w:rPr>
          <w:color w:val="231F20"/>
        </w:rPr>
        <w:t>Bob</w:t>
      </w:r>
      <w:r>
        <w:rPr>
          <w:color w:val="231F20"/>
          <w:spacing w:val="9"/>
        </w:rPr>
        <w:t> </w:t>
      </w:r>
      <w:r>
        <w:rPr>
          <w:color w:val="231F20"/>
        </w:rPr>
        <w:t>and</w:t>
      </w:r>
      <w:r>
        <w:rPr>
          <w:color w:val="231F20"/>
          <w:spacing w:val="8"/>
        </w:rPr>
        <w:t> </w:t>
      </w:r>
      <w:r>
        <w:rPr>
          <w:color w:val="231F20"/>
        </w:rPr>
        <w:t>his</w:t>
      </w:r>
      <w:r>
        <w:rPr>
          <w:color w:val="231F20"/>
          <w:spacing w:val="8"/>
        </w:rPr>
        <w:t> </w:t>
      </w:r>
      <w:r>
        <w:rPr>
          <w:color w:val="231F20"/>
        </w:rPr>
        <w:t>father</w:t>
      </w:r>
      <w:r>
        <w:rPr>
          <w:color w:val="231F20"/>
          <w:spacing w:val="8"/>
        </w:rPr>
        <w:t> </w:t>
      </w:r>
      <w:r>
        <w:rPr>
          <w:color w:val="231F20"/>
          <w:spacing w:val="-2"/>
        </w:rPr>
        <w:t>could</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0" w:lineRule="auto" w:before="102"/>
        <w:ind w:left="920" w:right="665"/>
        <w:jc w:val="both"/>
      </w:pPr>
      <w:r>
        <w:rPr>
          <w:color w:val="231F20"/>
        </w:rPr>
        <w:t>have decided to leave very little equity in the company in 2005. They could have taken all of the $30,000 of net income made in 2005 </w:t>
      </w:r>
      <w:r>
        <w:rPr>
          <w:color w:val="231F20"/>
        </w:rPr>
        <w:t>out</w:t>
      </w:r>
      <w:r>
        <w:rPr>
          <w:color w:val="231F20"/>
          <w:spacing w:val="40"/>
        </w:rPr>
        <w:t> </w:t>
      </w:r>
      <w:r>
        <w:rPr>
          <w:color w:val="231F20"/>
        </w:rPr>
        <w:t>of the company as dividends and borrowed for their future cash needs. If that had happened, the balance sheet would have reflected</w:t>
      </w:r>
      <w:r>
        <w:rPr>
          <w:color w:val="231F20"/>
          <w:spacing w:val="80"/>
        </w:rPr>
        <w:t> </w:t>
      </w:r>
      <w:r>
        <w:rPr>
          <w:color w:val="231F20"/>
        </w:rPr>
        <w:t>a</w:t>
      </w:r>
      <w:r>
        <w:rPr>
          <w:color w:val="231F20"/>
          <w:spacing w:val="24"/>
        </w:rPr>
        <w:t> </w:t>
      </w:r>
      <w:r>
        <w:rPr>
          <w:color w:val="231F20"/>
        </w:rPr>
        <w:t>long-term</w:t>
      </w:r>
      <w:r>
        <w:rPr>
          <w:color w:val="231F20"/>
          <w:spacing w:val="24"/>
        </w:rPr>
        <w:t> </w:t>
      </w:r>
      <w:r>
        <w:rPr>
          <w:color w:val="231F20"/>
        </w:rPr>
        <w:t>debt</w:t>
      </w:r>
      <w:r>
        <w:rPr>
          <w:color w:val="231F20"/>
          <w:spacing w:val="24"/>
        </w:rPr>
        <w:t> </w:t>
      </w:r>
      <w:r>
        <w:rPr>
          <w:color w:val="231F20"/>
        </w:rPr>
        <w:t>balance</w:t>
      </w:r>
      <w:r>
        <w:rPr>
          <w:color w:val="231F20"/>
          <w:spacing w:val="25"/>
        </w:rPr>
        <w:t> </w:t>
      </w:r>
      <w:r>
        <w:rPr>
          <w:color w:val="231F20"/>
        </w:rPr>
        <w:t>of</w:t>
      </w:r>
      <w:r>
        <w:rPr>
          <w:color w:val="231F20"/>
          <w:spacing w:val="24"/>
        </w:rPr>
        <w:t> </w:t>
      </w:r>
      <w:r>
        <w:rPr>
          <w:color w:val="231F20"/>
        </w:rPr>
        <w:t>$40,000</w:t>
      </w:r>
      <w:r>
        <w:rPr>
          <w:color w:val="231F20"/>
          <w:spacing w:val="24"/>
        </w:rPr>
        <w:t> </w:t>
      </w:r>
      <w:r>
        <w:rPr>
          <w:color w:val="231F20"/>
        </w:rPr>
        <w:t>($10,000</w:t>
      </w:r>
      <w:r>
        <w:rPr>
          <w:color w:val="231F20"/>
          <w:spacing w:val="24"/>
        </w:rPr>
        <w:t> </w:t>
      </w:r>
      <w:r>
        <w:rPr>
          <w:rFonts w:ascii="Symbol" w:hAnsi="Symbol"/>
          <w:color w:val="231F20"/>
        </w:rPr>
        <w:t></w:t>
      </w:r>
      <w:r>
        <w:rPr>
          <w:rFonts w:ascii="Times New Roman" w:hAnsi="Times New Roman"/>
          <w:color w:val="231F20"/>
          <w:spacing w:val="18"/>
        </w:rPr>
        <w:t> </w:t>
      </w:r>
      <w:r>
        <w:rPr>
          <w:color w:val="231F20"/>
        </w:rPr>
        <w:t>$30,000)</w:t>
      </w:r>
      <w:r>
        <w:rPr>
          <w:color w:val="231F20"/>
          <w:spacing w:val="24"/>
        </w:rPr>
        <w:t> </w:t>
      </w:r>
      <w:r>
        <w:rPr>
          <w:color w:val="231F20"/>
        </w:rPr>
        <w:t>and</w:t>
      </w:r>
      <w:r>
        <w:rPr>
          <w:color w:val="231F20"/>
          <w:spacing w:val="24"/>
        </w:rPr>
        <w:t> </w:t>
      </w:r>
      <w:r>
        <w:rPr>
          <w:color w:val="231F20"/>
          <w:spacing w:val="-4"/>
        </w:rPr>
        <w:t>only</w:t>
      </w:r>
    </w:p>
    <w:p>
      <w:pPr>
        <w:pStyle w:val="BodyText"/>
        <w:spacing w:line="292" w:lineRule="auto"/>
        <w:ind w:left="920" w:right="663" w:hanging="1"/>
        <w:jc w:val="both"/>
      </w:pPr>
      <w:r>
        <w:rPr/>
        <w:pict>
          <v:rect style="position:absolute;margin-left:149.468323pt;margin-top:7.101554pt;width:4.93095pt;height:.7242pt;mso-position-horizontal-relative:page;mso-position-vertical-relative:paragraph;z-index:-25163776" id="docshape126" filled="true" fillcolor="#231f20" stroked="false">
            <v:fill type="solid"/>
            <w10:wrap type="none"/>
          </v:rect>
        </w:pict>
      </w:r>
      <w:r>
        <w:rPr>
          <w:color w:val="231F20"/>
        </w:rPr>
        <w:t>$15,000 ($45,000</w:t>
      </w:r>
      <w:r>
        <w:rPr>
          <w:color w:val="231F20"/>
          <w:spacing w:val="80"/>
        </w:rPr>
        <w:t> </w:t>
      </w:r>
      <w:r>
        <w:rPr>
          <w:color w:val="231F20"/>
        </w:rPr>
        <w:t>$30,000) in equity. The resulting </w:t>
      </w:r>
      <w:r>
        <w:rPr>
          <w:i/>
          <w:color w:val="231F20"/>
        </w:rPr>
        <w:t>debt to equity</w:t>
      </w:r>
      <w:r>
        <w:rPr>
          <w:i/>
          <w:color w:val="231F20"/>
        </w:rPr>
        <w:t> ratio </w:t>
      </w:r>
      <w:r>
        <w:rPr>
          <w:color w:val="231F20"/>
        </w:rPr>
        <w:t>would increase from 7 percent to 28 percent, and the </w:t>
      </w:r>
      <w:r>
        <w:rPr>
          <w:i/>
          <w:color w:val="231F20"/>
        </w:rPr>
        <w:t>return on</w:t>
      </w:r>
      <w:r>
        <w:rPr>
          <w:i/>
          <w:color w:val="231F20"/>
        </w:rPr>
        <w:t> equity </w:t>
      </w:r>
      <w:r>
        <w:rPr>
          <w:color w:val="231F20"/>
        </w:rPr>
        <w:t>would have increased from 67 percent to 200 percent ($30,000/$15,000). As shown, ratios can be greatly affected by the financial leverage used. The choice of a lower equity level can </w:t>
      </w:r>
      <w:r>
        <w:rPr>
          <w:color w:val="231F20"/>
        </w:rPr>
        <w:t>“lever- age” the ROE to extremely high levels.</w:t>
      </w:r>
    </w:p>
    <w:p>
      <w:pPr>
        <w:pStyle w:val="BodyText"/>
        <w:spacing w:line="292" w:lineRule="auto"/>
        <w:ind w:left="920" w:right="663" w:firstLine="340"/>
        <w:jc w:val="both"/>
      </w:pPr>
      <w:r>
        <w:rPr>
          <w:color w:val="231F20"/>
        </w:rPr>
        <w:t>ROE ratio is a widely accepted yardstick to measure success. In </w:t>
      </w:r>
      <w:r>
        <w:rPr>
          <w:i/>
          <w:color w:val="231F20"/>
        </w:rPr>
        <w:t>Forbes</w:t>
      </w:r>
      <w:r>
        <w:rPr>
          <w:color w:val="231F20"/>
        </w:rPr>
        <w:t>’s</w:t>
      </w:r>
      <w:r>
        <w:rPr>
          <w:color w:val="231F20"/>
          <w:spacing w:val="40"/>
        </w:rPr>
        <w:t> </w:t>
      </w:r>
      <w:r>
        <w:rPr>
          <w:color w:val="231F20"/>
        </w:rPr>
        <w:t>“Annual</w:t>
      </w:r>
      <w:r>
        <w:rPr>
          <w:color w:val="231F20"/>
          <w:spacing w:val="40"/>
        </w:rPr>
        <w:t> </w:t>
      </w:r>
      <w:r>
        <w:rPr>
          <w:color w:val="231F20"/>
        </w:rPr>
        <w:t>Report</w:t>
      </w:r>
      <w:r>
        <w:rPr>
          <w:color w:val="231F20"/>
          <w:spacing w:val="40"/>
        </w:rPr>
        <w:t> </w:t>
      </w:r>
      <w:r>
        <w:rPr>
          <w:color w:val="231F20"/>
        </w:rPr>
        <w:t>of</w:t>
      </w:r>
      <w:r>
        <w:rPr>
          <w:color w:val="231F20"/>
          <w:spacing w:val="40"/>
        </w:rPr>
        <w:t> </w:t>
      </w:r>
      <w:r>
        <w:rPr>
          <w:color w:val="231F20"/>
        </w:rPr>
        <w:t>American</w:t>
      </w:r>
      <w:r>
        <w:rPr>
          <w:color w:val="231F20"/>
          <w:spacing w:val="40"/>
        </w:rPr>
        <w:t> </w:t>
      </w:r>
      <w:r>
        <w:rPr>
          <w:color w:val="231F20"/>
        </w:rPr>
        <w:t>Industry,”</w:t>
      </w:r>
      <w:r>
        <w:rPr>
          <w:color w:val="231F20"/>
          <w:spacing w:val="40"/>
        </w:rPr>
        <w:t> </w:t>
      </w:r>
      <w:r>
        <w:rPr>
          <w:color w:val="231F20"/>
        </w:rPr>
        <w:t>companies</w:t>
      </w:r>
      <w:r>
        <w:rPr>
          <w:color w:val="231F20"/>
          <w:spacing w:val="40"/>
        </w:rPr>
        <w:t> </w:t>
      </w:r>
      <w:r>
        <w:rPr>
          <w:color w:val="231F20"/>
        </w:rPr>
        <w:t>with the greater ROEs were ranked higher than many of their more profitable counterparts simply because of their financing choices. </w:t>
      </w:r>
      <w:r>
        <w:rPr>
          <w:color w:val="231F20"/>
        </w:rPr>
        <w:t>If management’s goal is to achieve a higher profitability ratio through leverage, there is a risk cost. Higher debt levels require higher inter- est payments that a company may not be able to service if operations do poorly. The corporate failures in the 1990s of Revco Drugs, Southland’s 7-Eleven, and Federated Department Stores were cases in which management risked bankruptcy with high leverage and</w:t>
      </w:r>
      <w:r>
        <w:rPr>
          <w:color w:val="231F20"/>
          <w:spacing w:val="80"/>
          <w:w w:val="150"/>
        </w:rPr>
        <w:t> </w:t>
      </w:r>
      <w:r>
        <w:rPr>
          <w:color w:val="231F20"/>
          <w:spacing w:val="-2"/>
        </w:rPr>
        <w:t>lost.</w:t>
      </w:r>
    </w:p>
    <w:p>
      <w:pPr>
        <w:pStyle w:val="BodyText"/>
        <w:rPr>
          <w:sz w:val="24"/>
        </w:rPr>
      </w:pPr>
    </w:p>
    <w:p>
      <w:pPr>
        <w:pStyle w:val="BodyText"/>
        <w:spacing w:before="4"/>
        <w:rPr>
          <w:sz w:val="26"/>
        </w:rPr>
      </w:pPr>
    </w:p>
    <w:p>
      <w:pPr>
        <w:pStyle w:val="Heading6"/>
        <w:ind w:left="468"/>
        <w:rPr>
          <w:i/>
        </w:rPr>
      </w:pPr>
      <w:r>
        <w:rPr>
          <w:i/>
          <w:color w:val="231F20"/>
          <w:w w:val="110"/>
        </w:rPr>
        <w:t>THE</w:t>
      </w:r>
      <w:r>
        <w:rPr>
          <w:i/>
          <w:color w:val="231F20"/>
          <w:spacing w:val="47"/>
          <w:w w:val="110"/>
        </w:rPr>
        <w:t> </w:t>
      </w:r>
      <w:r>
        <w:rPr>
          <w:i/>
          <w:color w:val="231F20"/>
          <w:w w:val="110"/>
        </w:rPr>
        <w:t>DU</w:t>
      </w:r>
      <w:r>
        <w:rPr>
          <w:i/>
          <w:color w:val="231F20"/>
          <w:spacing w:val="47"/>
          <w:w w:val="110"/>
        </w:rPr>
        <w:t> </w:t>
      </w:r>
      <w:r>
        <w:rPr>
          <w:i/>
          <w:color w:val="231F20"/>
          <w:w w:val="110"/>
        </w:rPr>
        <w:t>PONT</w:t>
      </w:r>
      <w:r>
        <w:rPr>
          <w:i/>
          <w:color w:val="231F20"/>
          <w:spacing w:val="48"/>
          <w:w w:val="110"/>
        </w:rPr>
        <w:t> </w:t>
      </w:r>
      <w:r>
        <w:rPr>
          <w:i/>
          <w:color w:val="231F20"/>
          <w:spacing w:val="-2"/>
          <w:w w:val="110"/>
        </w:rPr>
        <w:t>CHART</w:t>
      </w:r>
    </w:p>
    <w:p>
      <w:pPr>
        <w:pStyle w:val="BodyText"/>
        <w:spacing w:before="2"/>
        <w:rPr>
          <w:b/>
          <w:i/>
          <w:sz w:val="30"/>
        </w:rPr>
      </w:pPr>
    </w:p>
    <w:p>
      <w:pPr>
        <w:pStyle w:val="BodyText"/>
        <w:spacing w:line="292" w:lineRule="auto"/>
        <w:ind w:left="919" w:right="666"/>
        <w:jc w:val="both"/>
      </w:pPr>
      <w:r>
        <w:rPr>
          <w:color w:val="231F20"/>
        </w:rPr>
        <w:t>Academics have a tendency to give imposing names to simple con- cepts. Your MBA vocabulary would not be complete without </w:t>
      </w:r>
      <w:r>
        <w:rPr>
          <w:color w:val="231F20"/>
        </w:rPr>
        <w:t>includ- ing the </w:t>
      </w:r>
      <w:r>
        <w:rPr>
          <w:i/>
          <w:color w:val="231F20"/>
        </w:rPr>
        <w:t>Du Pont Chart. </w:t>
      </w:r>
      <w:r>
        <w:rPr>
          <w:color w:val="231F20"/>
        </w:rPr>
        <w:t>The chart shows how several of the most important financial statement ratios are related to one another by displaying their components.</w:t>
      </w:r>
    </w:p>
    <w:p>
      <w:pPr>
        <w:pStyle w:val="BodyText"/>
        <w:spacing w:line="292" w:lineRule="auto"/>
        <w:ind w:left="919" w:right="666" w:firstLine="340"/>
        <w:jc w:val="both"/>
      </w:pPr>
      <w:r>
        <w:rPr>
          <w:color w:val="231F20"/>
        </w:rPr>
        <w:t>By charting the interrelationships among ratios, one can see </w:t>
      </w:r>
      <w:r>
        <w:rPr>
          <w:color w:val="231F20"/>
        </w:rPr>
        <w:t>that changes in a component of one ratio affect the other ratios. The ra- tios share the same inputs. For example, when Total Assets is re- duced, both the Asset Turnover and Return on Assets ratios increase because</w:t>
      </w:r>
      <w:r>
        <w:rPr>
          <w:color w:val="231F20"/>
          <w:spacing w:val="13"/>
        </w:rPr>
        <w:t> </w:t>
      </w:r>
      <w:r>
        <w:rPr>
          <w:color w:val="231F20"/>
        </w:rPr>
        <w:t>Total</w:t>
      </w:r>
      <w:r>
        <w:rPr>
          <w:color w:val="231F20"/>
          <w:spacing w:val="13"/>
        </w:rPr>
        <w:t> </w:t>
      </w:r>
      <w:r>
        <w:rPr>
          <w:color w:val="231F20"/>
        </w:rPr>
        <w:t>Assets</w:t>
      </w:r>
      <w:r>
        <w:rPr>
          <w:color w:val="231F20"/>
          <w:spacing w:val="14"/>
        </w:rPr>
        <w:t> </w:t>
      </w:r>
      <w:r>
        <w:rPr>
          <w:color w:val="231F20"/>
        </w:rPr>
        <w:t>are</w:t>
      </w:r>
      <w:r>
        <w:rPr>
          <w:color w:val="231F20"/>
          <w:spacing w:val="13"/>
        </w:rPr>
        <w:t> </w:t>
      </w:r>
      <w:r>
        <w:rPr>
          <w:color w:val="231F20"/>
        </w:rPr>
        <w:t>included</w:t>
      </w:r>
      <w:r>
        <w:rPr>
          <w:color w:val="231F20"/>
          <w:spacing w:val="14"/>
        </w:rPr>
        <w:t> </w:t>
      </w:r>
      <w:r>
        <w:rPr>
          <w:color w:val="231F20"/>
        </w:rPr>
        <w:t>in</w:t>
      </w:r>
      <w:r>
        <w:rPr>
          <w:color w:val="231F20"/>
          <w:spacing w:val="13"/>
        </w:rPr>
        <w:t> </w:t>
      </w:r>
      <w:r>
        <w:rPr>
          <w:color w:val="231F20"/>
        </w:rPr>
        <w:t>the</w:t>
      </w:r>
      <w:r>
        <w:rPr>
          <w:color w:val="231F20"/>
          <w:spacing w:val="14"/>
        </w:rPr>
        <w:t> </w:t>
      </w:r>
      <w:r>
        <w:rPr>
          <w:color w:val="231F20"/>
        </w:rPr>
        <w:t>calculation</w:t>
      </w:r>
      <w:r>
        <w:rPr>
          <w:color w:val="231F20"/>
          <w:spacing w:val="13"/>
        </w:rPr>
        <w:t> </w:t>
      </w:r>
      <w:r>
        <w:rPr>
          <w:color w:val="231F20"/>
        </w:rPr>
        <w:t>of</w:t>
      </w:r>
      <w:r>
        <w:rPr>
          <w:color w:val="231F20"/>
          <w:spacing w:val="13"/>
        </w:rPr>
        <w:t> </w:t>
      </w:r>
      <w:r>
        <w:rPr>
          <w:color w:val="231F20"/>
        </w:rPr>
        <w:t>both</w:t>
      </w:r>
      <w:r>
        <w:rPr>
          <w:color w:val="231F20"/>
          <w:spacing w:val="14"/>
        </w:rPr>
        <w:t> </w:t>
      </w:r>
      <w:r>
        <w:rPr>
          <w:color w:val="231F20"/>
        </w:rPr>
        <w:t>of</w:t>
      </w:r>
      <w:r>
        <w:rPr>
          <w:color w:val="231F20"/>
          <w:spacing w:val="13"/>
        </w:rPr>
        <w:t> </w:t>
      </w:r>
      <w:r>
        <w:rPr>
          <w:color w:val="231F20"/>
          <w:spacing w:val="-2"/>
        </w:rPr>
        <w:t>those</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3"/>
        <w:jc w:val="both"/>
      </w:pPr>
      <w:r>
        <w:rPr>
          <w:color w:val="231F20"/>
        </w:rPr>
        <w:t>ratios as a denominator. Conversely, a reduction of Total Assets (equal to total liabilities and owners’ equity) decreases Financial Leverage as it is used in that ratio’s numerator.</w:t>
      </w:r>
    </w:p>
    <w:p>
      <w:pPr>
        <w:pStyle w:val="BodyText"/>
        <w:rPr>
          <w:sz w:val="24"/>
        </w:rPr>
      </w:pPr>
    </w:p>
    <w:p>
      <w:pPr>
        <w:pStyle w:val="BodyText"/>
        <w:rPr>
          <w:sz w:val="27"/>
        </w:rPr>
      </w:pPr>
    </w:p>
    <w:p>
      <w:pPr>
        <w:pStyle w:val="Heading6"/>
        <w:spacing w:before="1"/>
        <w:ind w:left="299"/>
        <w:rPr>
          <w:i/>
        </w:rPr>
      </w:pPr>
      <w:r>
        <w:rPr>
          <w:i/>
          <w:color w:val="231F20"/>
          <w:w w:val="110"/>
        </w:rPr>
        <w:t>RATIOS</w:t>
      </w:r>
      <w:r>
        <w:rPr>
          <w:i/>
          <w:color w:val="231F20"/>
          <w:spacing w:val="65"/>
          <w:w w:val="150"/>
        </w:rPr>
        <w:t> </w:t>
      </w:r>
      <w:r>
        <w:rPr>
          <w:i/>
          <w:color w:val="231F20"/>
          <w:w w:val="110"/>
        </w:rPr>
        <w:t>ARE</w:t>
      </w:r>
      <w:r>
        <w:rPr>
          <w:i/>
          <w:color w:val="231F20"/>
          <w:spacing w:val="66"/>
          <w:w w:val="150"/>
        </w:rPr>
        <w:t> </w:t>
      </w:r>
      <w:r>
        <w:rPr>
          <w:i/>
          <w:color w:val="231F20"/>
          <w:w w:val="110"/>
        </w:rPr>
        <w:t>INDUSTRY-</w:t>
      </w:r>
      <w:r>
        <w:rPr>
          <w:i/>
          <w:color w:val="231F20"/>
          <w:spacing w:val="8"/>
          <w:w w:val="110"/>
        </w:rPr>
        <w:t>SPECIFIC</w:t>
      </w:r>
    </w:p>
    <w:p>
      <w:pPr>
        <w:pStyle w:val="BodyText"/>
        <w:spacing w:before="2"/>
        <w:rPr>
          <w:b/>
          <w:i/>
          <w:sz w:val="30"/>
        </w:rPr>
      </w:pPr>
    </w:p>
    <w:p>
      <w:pPr>
        <w:pStyle w:val="BodyText"/>
        <w:spacing w:line="292" w:lineRule="auto"/>
        <w:ind w:left="830" w:right="756"/>
        <w:jc w:val="both"/>
      </w:pPr>
      <w:r>
        <w:rPr>
          <w:color w:val="231F20"/>
        </w:rPr>
        <w:t>Profitability is, as in the case of all other ratios, industry-specific. Every industry has a profit level depending on the physical </w:t>
      </w:r>
      <w:r>
        <w:rPr>
          <w:color w:val="231F20"/>
        </w:rPr>
        <w:t>demands of the industry. Heavy manufacturers such as steel makers have a </w:t>
      </w:r>
      <w:r>
        <w:rPr>
          <w:i/>
          <w:color w:val="231F20"/>
        </w:rPr>
        <w:t>re-</w:t>
      </w:r>
      <w:r>
        <w:rPr>
          <w:i/>
          <w:color w:val="231F20"/>
        </w:rPr>
        <w:t> turn on assets </w:t>
      </w:r>
      <w:r>
        <w:rPr>
          <w:color w:val="231F20"/>
        </w:rPr>
        <w:t>(ROA) of less than 10 percent. They have large steel mills and a great deal of factory equipment. Service businesses such as profitable headhunting firms may have ROAs over 100 percent. The only assets they need are cash, office furniture, and customer re- ceivables. Their real asset is their staff’s talent for nursing and per- suading, which cannot be quantified on the balance sheet.</w:t>
      </w:r>
    </w:p>
    <w:p>
      <w:pPr>
        <w:pStyle w:val="BodyText"/>
        <w:spacing w:line="292" w:lineRule="auto"/>
        <w:ind w:left="830" w:right="755" w:firstLine="340"/>
        <w:jc w:val="both"/>
      </w:pPr>
      <w:r>
        <w:rPr>
          <w:color w:val="231F20"/>
        </w:rPr>
        <w:t>Profitability also depends on the level of competition. In the </w:t>
      </w:r>
      <w:r>
        <w:rPr>
          <w:color w:val="231F20"/>
        </w:rPr>
        <w:t>gro- cery business, intense competition keeps the </w:t>
      </w:r>
      <w:r>
        <w:rPr>
          <w:i/>
          <w:color w:val="231F20"/>
        </w:rPr>
        <w:t>return on sales </w:t>
      </w:r>
      <w:r>
        <w:rPr>
          <w:color w:val="231F20"/>
        </w:rPr>
        <w:t>to a low 1 percent. During Bob’s first year he had a .58 percent return, which was below the industry average. Considering that it was his first</w:t>
      </w:r>
      <w:r>
        <w:rPr>
          <w:color w:val="231F20"/>
          <w:spacing w:val="80"/>
        </w:rPr>
        <w:t> </w:t>
      </w:r>
      <w:r>
        <w:rPr>
          <w:color w:val="231F20"/>
        </w:rPr>
        <w:t>year, any profit should be commended.</w:t>
      </w:r>
    </w:p>
    <w:p>
      <w:pPr>
        <w:pStyle w:val="BodyText"/>
        <w:spacing w:line="292" w:lineRule="auto"/>
        <w:ind w:left="829" w:right="754" w:firstLine="340"/>
        <w:jc w:val="both"/>
      </w:pPr>
      <w:r>
        <w:rPr>
          <w:color w:val="231F20"/>
        </w:rPr>
        <w:t>Any part of the financial statements can be compared to </w:t>
      </w:r>
      <w:r>
        <w:rPr>
          <w:color w:val="231F20"/>
        </w:rPr>
        <w:t>another </w:t>
      </w:r>
      <w:r>
        <w:rPr>
          <w:color w:val="231F20"/>
          <w:w w:val="105"/>
        </w:rPr>
        <w:t>with</w:t>
      </w:r>
      <w:r>
        <w:rPr>
          <w:color w:val="231F20"/>
          <w:spacing w:val="-5"/>
          <w:w w:val="105"/>
        </w:rPr>
        <w:t> </w:t>
      </w:r>
      <w:r>
        <w:rPr>
          <w:color w:val="231F20"/>
          <w:w w:val="105"/>
        </w:rPr>
        <w:t>a</w:t>
      </w:r>
      <w:r>
        <w:rPr>
          <w:color w:val="231F20"/>
          <w:spacing w:val="-5"/>
          <w:w w:val="105"/>
        </w:rPr>
        <w:t> </w:t>
      </w:r>
      <w:r>
        <w:rPr>
          <w:color w:val="231F20"/>
          <w:w w:val="105"/>
        </w:rPr>
        <w:t>ratio</w:t>
      </w:r>
      <w:r>
        <w:rPr>
          <w:color w:val="231F20"/>
          <w:spacing w:val="-5"/>
          <w:w w:val="105"/>
        </w:rPr>
        <w:t> </w:t>
      </w:r>
      <w:r>
        <w:rPr>
          <w:color w:val="231F20"/>
          <w:w w:val="105"/>
        </w:rPr>
        <w:t>of</w:t>
      </w:r>
      <w:r>
        <w:rPr>
          <w:color w:val="231F20"/>
          <w:spacing w:val="-5"/>
          <w:w w:val="105"/>
        </w:rPr>
        <w:t> </w:t>
      </w:r>
      <w:r>
        <w:rPr>
          <w:color w:val="231F20"/>
          <w:w w:val="105"/>
        </w:rPr>
        <w:t>some</w:t>
      </w:r>
      <w:r>
        <w:rPr>
          <w:color w:val="231F20"/>
          <w:spacing w:val="-5"/>
          <w:w w:val="105"/>
        </w:rPr>
        <w:t> </w:t>
      </w:r>
      <w:r>
        <w:rPr>
          <w:color w:val="231F20"/>
          <w:w w:val="105"/>
        </w:rPr>
        <w:t>sort.</w:t>
      </w:r>
      <w:r>
        <w:rPr>
          <w:color w:val="231F20"/>
          <w:spacing w:val="-5"/>
          <w:w w:val="105"/>
        </w:rPr>
        <w:t> </w:t>
      </w:r>
      <w:r>
        <w:rPr>
          <w:color w:val="231F20"/>
          <w:w w:val="105"/>
        </w:rPr>
        <w:t>Any</w:t>
      </w:r>
      <w:r>
        <w:rPr>
          <w:color w:val="231F20"/>
          <w:spacing w:val="-5"/>
          <w:w w:val="105"/>
        </w:rPr>
        <w:t> </w:t>
      </w:r>
      <w:r>
        <w:rPr>
          <w:color w:val="231F20"/>
          <w:w w:val="105"/>
        </w:rPr>
        <w:t>calculator</w:t>
      </w:r>
      <w:r>
        <w:rPr>
          <w:color w:val="231F20"/>
          <w:spacing w:val="-5"/>
          <w:w w:val="105"/>
        </w:rPr>
        <w:t> </w:t>
      </w:r>
      <w:r>
        <w:rPr>
          <w:color w:val="231F20"/>
          <w:w w:val="105"/>
        </w:rPr>
        <w:t>can</w:t>
      </w:r>
      <w:r>
        <w:rPr>
          <w:color w:val="231F20"/>
          <w:spacing w:val="-5"/>
          <w:w w:val="105"/>
        </w:rPr>
        <w:t> </w:t>
      </w:r>
      <w:r>
        <w:rPr>
          <w:color w:val="231F20"/>
          <w:w w:val="105"/>
        </w:rPr>
        <w:t>divide</w:t>
      </w:r>
      <w:r>
        <w:rPr>
          <w:color w:val="231F20"/>
          <w:spacing w:val="-5"/>
          <w:w w:val="105"/>
        </w:rPr>
        <w:t> </w:t>
      </w:r>
      <w:r>
        <w:rPr>
          <w:color w:val="231F20"/>
          <w:w w:val="105"/>
        </w:rPr>
        <w:t>one</w:t>
      </w:r>
      <w:r>
        <w:rPr>
          <w:color w:val="231F20"/>
          <w:spacing w:val="-5"/>
          <w:w w:val="105"/>
        </w:rPr>
        <w:t> </w:t>
      </w:r>
      <w:r>
        <w:rPr>
          <w:color w:val="231F20"/>
          <w:w w:val="105"/>
        </w:rPr>
        <w:t>number</w:t>
      </w:r>
      <w:r>
        <w:rPr>
          <w:color w:val="231F20"/>
          <w:spacing w:val="-5"/>
          <w:w w:val="105"/>
        </w:rPr>
        <w:t> </w:t>
      </w:r>
      <w:r>
        <w:rPr>
          <w:color w:val="231F20"/>
          <w:w w:val="105"/>
        </w:rPr>
        <w:t>by </w:t>
      </w:r>
      <w:r>
        <w:rPr>
          <w:color w:val="231F20"/>
          <w:spacing w:val="-2"/>
          <w:w w:val="105"/>
        </w:rPr>
        <w:t>another.</w:t>
      </w:r>
      <w:r>
        <w:rPr>
          <w:color w:val="231F20"/>
          <w:spacing w:val="-7"/>
          <w:w w:val="105"/>
        </w:rPr>
        <w:t> </w:t>
      </w:r>
      <w:r>
        <w:rPr>
          <w:color w:val="231F20"/>
          <w:spacing w:val="-2"/>
          <w:w w:val="105"/>
        </w:rPr>
        <w:t>Only</w:t>
      </w:r>
      <w:r>
        <w:rPr>
          <w:color w:val="231F20"/>
          <w:spacing w:val="-7"/>
          <w:w w:val="105"/>
        </w:rPr>
        <w:t> </w:t>
      </w:r>
      <w:r>
        <w:rPr>
          <w:color w:val="231F20"/>
          <w:spacing w:val="-2"/>
          <w:w w:val="105"/>
        </w:rPr>
        <w:t>those</w:t>
      </w:r>
      <w:r>
        <w:rPr>
          <w:color w:val="231F20"/>
          <w:spacing w:val="-7"/>
          <w:w w:val="105"/>
        </w:rPr>
        <w:t> </w:t>
      </w:r>
      <w:r>
        <w:rPr>
          <w:color w:val="231F20"/>
          <w:spacing w:val="-2"/>
          <w:w w:val="105"/>
        </w:rPr>
        <w:t>ratios</w:t>
      </w:r>
      <w:r>
        <w:rPr>
          <w:color w:val="231F20"/>
          <w:spacing w:val="-7"/>
          <w:w w:val="105"/>
        </w:rPr>
        <w:t> </w:t>
      </w:r>
      <w:r>
        <w:rPr>
          <w:color w:val="231F20"/>
          <w:spacing w:val="-2"/>
          <w:w w:val="105"/>
        </w:rPr>
        <w:t>that</w:t>
      </w:r>
      <w:r>
        <w:rPr>
          <w:color w:val="231F20"/>
          <w:spacing w:val="-7"/>
          <w:w w:val="105"/>
        </w:rPr>
        <w:t> </w:t>
      </w:r>
      <w:r>
        <w:rPr>
          <w:color w:val="231F20"/>
          <w:spacing w:val="-2"/>
          <w:w w:val="105"/>
        </w:rPr>
        <w:t>can</w:t>
      </w:r>
      <w:r>
        <w:rPr>
          <w:color w:val="231F20"/>
          <w:spacing w:val="-7"/>
          <w:w w:val="105"/>
        </w:rPr>
        <w:t> </w:t>
      </w:r>
      <w:r>
        <w:rPr>
          <w:color w:val="231F20"/>
          <w:spacing w:val="-2"/>
          <w:w w:val="105"/>
        </w:rPr>
        <w:t>provide</w:t>
      </w:r>
      <w:r>
        <w:rPr>
          <w:color w:val="231F20"/>
          <w:spacing w:val="-7"/>
          <w:w w:val="105"/>
        </w:rPr>
        <w:t> </w:t>
      </w:r>
      <w:r>
        <w:rPr>
          <w:color w:val="231F20"/>
          <w:spacing w:val="-2"/>
          <w:w w:val="105"/>
        </w:rPr>
        <w:t>some</w:t>
      </w:r>
      <w:r>
        <w:rPr>
          <w:color w:val="231F20"/>
          <w:spacing w:val="-7"/>
          <w:w w:val="105"/>
        </w:rPr>
        <w:t> </w:t>
      </w:r>
      <w:r>
        <w:rPr>
          <w:color w:val="231F20"/>
          <w:spacing w:val="-2"/>
          <w:w w:val="105"/>
        </w:rPr>
        <w:t>insight</w:t>
      </w:r>
      <w:r>
        <w:rPr>
          <w:color w:val="231F20"/>
          <w:spacing w:val="-7"/>
          <w:w w:val="105"/>
        </w:rPr>
        <w:t> </w:t>
      </w:r>
      <w:r>
        <w:rPr>
          <w:color w:val="231F20"/>
          <w:spacing w:val="-2"/>
          <w:w w:val="105"/>
        </w:rPr>
        <w:t>into</w:t>
      </w:r>
      <w:r>
        <w:rPr>
          <w:color w:val="231F20"/>
          <w:spacing w:val="-7"/>
          <w:w w:val="105"/>
        </w:rPr>
        <w:t> </w:t>
      </w:r>
      <w:r>
        <w:rPr>
          <w:color w:val="231F20"/>
          <w:spacing w:val="-2"/>
          <w:w w:val="105"/>
        </w:rPr>
        <w:t>a</w:t>
      </w:r>
      <w:r>
        <w:rPr>
          <w:color w:val="231F20"/>
          <w:spacing w:val="-7"/>
          <w:w w:val="105"/>
        </w:rPr>
        <w:t> </w:t>
      </w:r>
      <w:r>
        <w:rPr>
          <w:color w:val="231F20"/>
          <w:spacing w:val="-2"/>
          <w:w w:val="105"/>
        </w:rPr>
        <w:t>busi- </w:t>
      </w:r>
      <w:r>
        <w:rPr>
          <w:color w:val="231F20"/>
          <w:w w:val="105"/>
        </w:rPr>
        <w:t>ness’s</w:t>
      </w:r>
      <w:r>
        <w:rPr>
          <w:color w:val="231F20"/>
          <w:w w:val="105"/>
        </w:rPr>
        <w:t> performance</w:t>
      </w:r>
      <w:r>
        <w:rPr>
          <w:color w:val="231F20"/>
          <w:w w:val="105"/>
        </w:rPr>
        <w:t> are</w:t>
      </w:r>
      <w:r>
        <w:rPr>
          <w:color w:val="231F20"/>
          <w:w w:val="105"/>
        </w:rPr>
        <w:t> valuable.</w:t>
      </w:r>
      <w:r>
        <w:rPr>
          <w:color w:val="231F20"/>
          <w:w w:val="105"/>
        </w:rPr>
        <w:t> The</w:t>
      </w:r>
      <w:r>
        <w:rPr>
          <w:color w:val="231F20"/>
          <w:w w:val="105"/>
        </w:rPr>
        <w:t> true</w:t>
      </w:r>
      <w:r>
        <w:rPr>
          <w:color w:val="231F20"/>
          <w:w w:val="105"/>
        </w:rPr>
        <w:t> value</w:t>
      </w:r>
      <w:r>
        <w:rPr>
          <w:color w:val="231F20"/>
          <w:w w:val="105"/>
        </w:rPr>
        <w:t> of</w:t>
      </w:r>
      <w:r>
        <w:rPr>
          <w:color w:val="231F20"/>
          <w:w w:val="105"/>
        </w:rPr>
        <w:t> ratios</w:t>
      </w:r>
      <w:r>
        <w:rPr>
          <w:color w:val="231F20"/>
          <w:w w:val="105"/>
        </w:rPr>
        <w:t> is</w:t>
      </w:r>
      <w:r>
        <w:rPr>
          <w:color w:val="231F20"/>
          <w:w w:val="105"/>
        </w:rPr>
        <w:t> seen </w:t>
      </w:r>
      <w:r>
        <w:rPr>
          <w:color w:val="231F20"/>
        </w:rPr>
        <w:t>when one firm’s ratios are compared to those of another in the same </w:t>
      </w:r>
      <w:r>
        <w:rPr>
          <w:color w:val="231F20"/>
          <w:w w:val="105"/>
        </w:rPr>
        <w:t>industry,</w:t>
      </w:r>
      <w:r>
        <w:rPr>
          <w:color w:val="231F20"/>
          <w:spacing w:val="-8"/>
          <w:w w:val="105"/>
        </w:rPr>
        <w:t> </w:t>
      </w:r>
      <w:r>
        <w:rPr>
          <w:color w:val="231F20"/>
          <w:w w:val="105"/>
        </w:rPr>
        <w:t>or</w:t>
      </w:r>
      <w:r>
        <w:rPr>
          <w:color w:val="231F20"/>
          <w:spacing w:val="-8"/>
          <w:w w:val="105"/>
        </w:rPr>
        <w:t> </w:t>
      </w:r>
      <w:r>
        <w:rPr>
          <w:color w:val="231F20"/>
          <w:w w:val="105"/>
        </w:rPr>
        <w:t>to</w:t>
      </w:r>
      <w:r>
        <w:rPr>
          <w:color w:val="231F20"/>
          <w:spacing w:val="-8"/>
          <w:w w:val="105"/>
        </w:rPr>
        <w:t> </w:t>
      </w:r>
      <w:r>
        <w:rPr>
          <w:color w:val="231F20"/>
          <w:w w:val="105"/>
        </w:rPr>
        <w:t>that</w:t>
      </w:r>
      <w:r>
        <w:rPr>
          <w:color w:val="231F20"/>
          <w:spacing w:val="-8"/>
          <w:w w:val="105"/>
        </w:rPr>
        <w:t> </w:t>
      </w:r>
      <w:r>
        <w:rPr>
          <w:color w:val="231F20"/>
          <w:w w:val="105"/>
        </w:rPr>
        <w:t>firm’s</w:t>
      </w:r>
      <w:r>
        <w:rPr>
          <w:color w:val="231F20"/>
          <w:spacing w:val="-8"/>
          <w:w w:val="105"/>
        </w:rPr>
        <w:t> </w:t>
      </w:r>
      <w:r>
        <w:rPr>
          <w:color w:val="231F20"/>
          <w:w w:val="105"/>
        </w:rPr>
        <w:t>historical</w:t>
      </w:r>
      <w:r>
        <w:rPr>
          <w:color w:val="231F20"/>
          <w:spacing w:val="-8"/>
          <w:w w:val="105"/>
        </w:rPr>
        <w:t> </w:t>
      </w:r>
      <w:r>
        <w:rPr>
          <w:color w:val="231F20"/>
          <w:w w:val="105"/>
        </w:rPr>
        <w:t>performance.</w:t>
      </w:r>
      <w:r>
        <w:rPr>
          <w:color w:val="231F20"/>
          <w:spacing w:val="-8"/>
          <w:w w:val="105"/>
        </w:rPr>
        <w:t> </w:t>
      </w:r>
      <w:r>
        <w:rPr>
          <w:color w:val="231F20"/>
          <w:w w:val="105"/>
        </w:rPr>
        <w:t>Alternatively</w:t>
      </w:r>
      <w:r>
        <w:rPr>
          <w:color w:val="231F20"/>
          <w:spacing w:val="-8"/>
          <w:w w:val="105"/>
        </w:rPr>
        <w:t> </w:t>
      </w:r>
      <w:r>
        <w:rPr>
          <w:color w:val="231F20"/>
          <w:w w:val="105"/>
        </w:rPr>
        <w:t>the </w:t>
      </w:r>
      <w:r>
        <w:rPr>
          <w:color w:val="231F20"/>
        </w:rPr>
        <w:t>“attractiveness” of various industries as business opportunities may be explored by comparing their averages. Each firm and industry has </w:t>
      </w:r>
      <w:r>
        <w:rPr>
          <w:color w:val="231F20"/>
          <w:w w:val="105"/>
        </w:rPr>
        <w:t>its own key operating statistics that are meaningful.</w:t>
      </w:r>
    </w:p>
    <w:p>
      <w:pPr>
        <w:pStyle w:val="BodyText"/>
        <w:spacing w:line="292" w:lineRule="auto"/>
        <w:ind w:left="829" w:right="756" w:firstLine="340"/>
        <w:jc w:val="both"/>
      </w:pPr>
      <w:r>
        <w:rPr>
          <w:color w:val="231F20"/>
        </w:rPr>
        <w:t>For industry-specific references on all these ratios, Robert </w:t>
      </w:r>
      <w:r>
        <w:rPr>
          <w:color w:val="231F20"/>
        </w:rPr>
        <w:t>Mor- ris Associates publishes its </w:t>
      </w:r>
      <w:r>
        <w:rPr>
          <w:i/>
          <w:color w:val="231F20"/>
        </w:rPr>
        <w:t>Annual Statement Studies. </w:t>
      </w:r>
      <w:r>
        <w:rPr>
          <w:color w:val="231F20"/>
        </w:rPr>
        <w:t>This valuable reference book, available in most libraries, includes financial and operating ratios for over three hundred manufacturers, wholesalers, retailers, services, contractors, and finance companies.</w:t>
      </w:r>
    </w:p>
    <w:p>
      <w:pPr>
        <w:spacing w:after="0" w:line="292" w:lineRule="auto"/>
        <w:jc w:val="both"/>
        <w:sectPr>
          <w:pgSz w:w="8640" w:h="12960"/>
          <w:pgMar w:header="732" w:footer="0" w:top="920" w:bottom="280" w:left="340" w:right="500"/>
        </w:sectPr>
      </w:pPr>
    </w:p>
    <w:p>
      <w:pPr>
        <w:pStyle w:val="BodyText"/>
        <w:rPr>
          <w:sz w:val="20"/>
        </w:rPr>
      </w:pPr>
    </w:p>
    <w:p>
      <w:pPr>
        <w:pStyle w:val="BodyText"/>
        <w:spacing w:before="9"/>
        <w:rPr>
          <w:sz w:val="20"/>
        </w:rPr>
      </w:pPr>
    </w:p>
    <w:p>
      <w:pPr>
        <w:pStyle w:val="Heading4"/>
        <w:spacing w:before="102"/>
      </w:pPr>
      <w:r>
        <w:rPr>
          <w:color w:val="231F20"/>
          <w:spacing w:val="9"/>
          <w:w w:val="85"/>
        </w:rPr>
        <w:t>MANAGERIAL</w:t>
      </w:r>
      <w:r>
        <w:rPr>
          <w:color w:val="231F20"/>
          <w:spacing w:val="7"/>
          <w:w w:val="95"/>
        </w:rPr>
        <w:t> </w:t>
      </w:r>
      <w:r>
        <w:rPr>
          <w:color w:val="231F20"/>
          <w:spacing w:val="9"/>
          <w:w w:val="95"/>
        </w:rPr>
        <w:t>ACCOUNTING</w:t>
      </w:r>
    </w:p>
    <w:p>
      <w:pPr>
        <w:pStyle w:val="BodyText"/>
        <w:spacing w:before="11"/>
        <w:rPr>
          <w:rFonts w:ascii="Trebuchet MS"/>
          <w:sz w:val="29"/>
        </w:rPr>
      </w:pPr>
    </w:p>
    <w:p>
      <w:pPr>
        <w:pStyle w:val="BodyText"/>
        <w:spacing w:line="292" w:lineRule="auto"/>
        <w:ind w:left="920" w:right="666"/>
        <w:jc w:val="both"/>
      </w:pPr>
      <w:r>
        <w:rPr>
          <w:i/>
          <w:color w:val="231F20"/>
        </w:rPr>
        <w:t>Managerial accounting, </w:t>
      </w:r>
      <w:r>
        <w:rPr>
          <w:color w:val="231F20"/>
        </w:rPr>
        <w:t>like ratio analysis, uses accounting data </w:t>
      </w:r>
      <w:r>
        <w:rPr>
          <w:color w:val="231F20"/>
        </w:rPr>
        <w:t>to manage and analyze operations. Managerial accounting focuses on operations. Instead of ratios, managerial accounting uses </w:t>
      </w:r>
      <w:r>
        <w:rPr>
          <w:i/>
          <w:color w:val="231F20"/>
        </w:rPr>
        <w:t>standards,</w:t>
      </w:r>
      <w:r>
        <w:rPr>
          <w:i/>
          <w:color w:val="231F20"/>
        </w:rPr>
        <w:t> budgets, </w:t>
      </w:r>
      <w:r>
        <w:rPr>
          <w:color w:val="231F20"/>
        </w:rPr>
        <w:t>and </w:t>
      </w:r>
      <w:r>
        <w:rPr>
          <w:i/>
          <w:color w:val="231F20"/>
        </w:rPr>
        <w:t>variances </w:t>
      </w:r>
      <w:r>
        <w:rPr>
          <w:color w:val="231F20"/>
        </w:rPr>
        <w:t>to run the business and explain operational results. The object of managerial accounting is to budget a</w:t>
      </w:r>
      <w:r>
        <w:rPr>
          <w:color w:val="231F20"/>
          <w:spacing w:val="80"/>
        </w:rPr>
        <w:t> </w:t>
      </w:r>
      <w:r>
        <w:rPr>
          <w:color w:val="231F20"/>
        </w:rPr>
        <w:t>company’s activities for a period of time, and then to explain why</w:t>
      </w:r>
      <w:r>
        <w:rPr>
          <w:color w:val="231F20"/>
          <w:spacing w:val="80"/>
          <w:w w:val="150"/>
        </w:rPr>
        <w:t> </w:t>
      </w:r>
      <w:r>
        <w:rPr>
          <w:color w:val="231F20"/>
        </w:rPr>
        <w:t>the actual results “varied” from the projections. In most manufac- turing settings, monthly budgeting and analysis are the norm so that management can take </w:t>
      </w:r>
      <w:r>
        <w:rPr>
          <w:i/>
          <w:color w:val="231F20"/>
        </w:rPr>
        <w:t>timely </w:t>
      </w:r>
      <w:r>
        <w:rPr>
          <w:color w:val="231F20"/>
        </w:rPr>
        <w:t>action.</w:t>
      </w:r>
    </w:p>
    <w:p>
      <w:pPr>
        <w:pStyle w:val="BodyText"/>
        <w:spacing w:line="292" w:lineRule="auto"/>
        <w:ind w:left="920" w:right="663" w:firstLine="340"/>
        <w:jc w:val="both"/>
      </w:pPr>
      <w:r>
        <w:rPr>
          <w:color w:val="231F20"/>
        </w:rPr>
        <w:t>To establish a yardstick for measuring performance, the factory team must set </w:t>
      </w:r>
      <w:r>
        <w:rPr>
          <w:i/>
          <w:color w:val="231F20"/>
        </w:rPr>
        <w:t>standards </w:t>
      </w:r>
      <w:r>
        <w:rPr>
          <w:color w:val="231F20"/>
        </w:rPr>
        <w:t>for comparison. This requires the input</w:t>
      </w:r>
      <w:r>
        <w:rPr>
          <w:color w:val="231F20"/>
          <w:spacing w:val="40"/>
        </w:rPr>
        <w:t> </w:t>
      </w:r>
      <w:r>
        <w:rPr>
          <w:color w:val="231F20"/>
        </w:rPr>
        <w:t>from more than just the accountants. In automobile </w:t>
      </w:r>
      <w:r>
        <w:rPr>
          <w:color w:val="231F20"/>
        </w:rPr>
        <w:t>manufacturing, the production manager establishes what he or she believes should be the standard costs for materials, labor, and other expenses. Indus- trial engineers help by performing studies to obtain the data. Factory managers work with sales managers to </w:t>
      </w:r>
      <w:r>
        <w:rPr>
          <w:i/>
          <w:color w:val="231F20"/>
        </w:rPr>
        <w:t>budget </w:t>
      </w:r>
      <w:r>
        <w:rPr>
          <w:color w:val="231F20"/>
        </w:rPr>
        <w:t>production volumes</w:t>
      </w:r>
      <w:r>
        <w:rPr>
          <w:color w:val="231F20"/>
          <w:spacing w:val="40"/>
        </w:rPr>
        <w:t> </w:t>
      </w:r>
      <w:r>
        <w:rPr>
          <w:color w:val="231F20"/>
        </w:rPr>
        <w:t>to meet forecasted demand and also to maintain assembly line efficiency.</w:t>
      </w:r>
      <w:r>
        <w:rPr>
          <w:color w:val="231F20"/>
          <w:spacing w:val="-3"/>
        </w:rPr>
        <w:t> </w:t>
      </w:r>
      <w:r>
        <w:rPr>
          <w:color w:val="231F20"/>
        </w:rPr>
        <w:t>Sales</w:t>
      </w:r>
      <w:r>
        <w:rPr>
          <w:color w:val="231F20"/>
          <w:spacing w:val="-3"/>
        </w:rPr>
        <w:t> </w:t>
      </w:r>
      <w:r>
        <w:rPr>
          <w:color w:val="231F20"/>
        </w:rPr>
        <w:t>managers</w:t>
      </w:r>
      <w:r>
        <w:rPr>
          <w:color w:val="231F20"/>
          <w:spacing w:val="-3"/>
        </w:rPr>
        <w:t> </w:t>
      </w:r>
      <w:r>
        <w:rPr>
          <w:color w:val="231F20"/>
        </w:rPr>
        <w:t>set</w:t>
      </w:r>
      <w:r>
        <w:rPr>
          <w:color w:val="231F20"/>
          <w:spacing w:val="-3"/>
        </w:rPr>
        <w:t> </w:t>
      </w:r>
      <w:r>
        <w:rPr>
          <w:color w:val="231F20"/>
        </w:rPr>
        <w:t>standard</w:t>
      </w:r>
      <w:r>
        <w:rPr>
          <w:color w:val="231F20"/>
          <w:spacing w:val="-3"/>
        </w:rPr>
        <w:t> </w:t>
      </w:r>
      <w:r>
        <w:rPr>
          <w:color w:val="231F20"/>
        </w:rPr>
        <w:t>prices</w:t>
      </w:r>
      <w:r>
        <w:rPr>
          <w:color w:val="231F20"/>
          <w:spacing w:val="-3"/>
        </w:rPr>
        <w:t> </w:t>
      </w:r>
      <w:r>
        <w:rPr>
          <w:color w:val="231F20"/>
        </w:rPr>
        <w:t>and</w:t>
      </w:r>
      <w:r>
        <w:rPr>
          <w:color w:val="231F20"/>
          <w:spacing w:val="-3"/>
        </w:rPr>
        <w:t> </w:t>
      </w:r>
      <w:r>
        <w:rPr>
          <w:color w:val="231F20"/>
        </w:rPr>
        <w:t>quantities</w:t>
      </w:r>
      <w:r>
        <w:rPr>
          <w:color w:val="231F20"/>
          <w:spacing w:val="-3"/>
        </w:rPr>
        <w:t> </w:t>
      </w:r>
      <w:r>
        <w:rPr>
          <w:color w:val="231F20"/>
        </w:rPr>
        <w:t>for</w:t>
      </w:r>
      <w:r>
        <w:rPr>
          <w:color w:val="231F20"/>
          <w:spacing w:val="-3"/>
        </w:rPr>
        <w:t> </w:t>
      </w:r>
      <w:r>
        <w:rPr>
          <w:color w:val="231F20"/>
        </w:rPr>
        <w:t>their products. Using those standards as a yardstick, managerial account- ants analyze actual results to explain the </w:t>
      </w:r>
      <w:r>
        <w:rPr>
          <w:i/>
          <w:color w:val="231F20"/>
        </w:rPr>
        <w:t>variances </w:t>
      </w:r>
      <w:r>
        <w:rPr>
          <w:color w:val="231F20"/>
        </w:rPr>
        <w:t>from those bud- gets</w:t>
      </w:r>
      <w:r>
        <w:rPr>
          <w:color w:val="231F20"/>
          <w:spacing w:val="10"/>
        </w:rPr>
        <w:t> </w:t>
      </w:r>
      <w:r>
        <w:rPr>
          <w:color w:val="231F20"/>
        </w:rPr>
        <w:t>and</w:t>
      </w:r>
      <w:r>
        <w:rPr>
          <w:color w:val="231F20"/>
          <w:spacing w:val="11"/>
        </w:rPr>
        <w:t> </w:t>
      </w:r>
      <w:r>
        <w:rPr>
          <w:color w:val="231F20"/>
        </w:rPr>
        <w:t>standards</w:t>
      </w:r>
      <w:r>
        <w:rPr>
          <w:color w:val="231F20"/>
          <w:spacing w:val="11"/>
        </w:rPr>
        <w:t> </w:t>
      </w:r>
      <w:r>
        <w:rPr>
          <w:color w:val="231F20"/>
        </w:rPr>
        <w:t>the</w:t>
      </w:r>
      <w:r>
        <w:rPr>
          <w:color w:val="231F20"/>
          <w:spacing w:val="11"/>
        </w:rPr>
        <w:t> </w:t>
      </w:r>
      <w:r>
        <w:rPr>
          <w:color w:val="231F20"/>
        </w:rPr>
        <w:t>company’s</w:t>
      </w:r>
      <w:r>
        <w:rPr>
          <w:color w:val="231F20"/>
          <w:spacing w:val="10"/>
        </w:rPr>
        <w:t> </w:t>
      </w:r>
      <w:r>
        <w:rPr>
          <w:color w:val="231F20"/>
        </w:rPr>
        <w:t>team</w:t>
      </w:r>
      <w:r>
        <w:rPr>
          <w:color w:val="231F20"/>
          <w:spacing w:val="11"/>
        </w:rPr>
        <w:t> </w:t>
      </w:r>
      <w:r>
        <w:rPr>
          <w:color w:val="231F20"/>
        </w:rPr>
        <w:t>developed.</w:t>
      </w:r>
      <w:r>
        <w:rPr>
          <w:color w:val="231F20"/>
          <w:spacing w:val="11"/>
        </w:rPr>
        <w:t> </w:t>
      </w:r>
      <w:r>
        <w:rPr>
          <w:color w:val="231F20"/>
        </w:rPr>
        <w:t>Once</w:t>
      </w:r>
      <w:r>
        <w:rPr>
          <w:color w:val="231F20"/>
          <w:spacing w:val="11"/>
        </w:rPr>
        <w:t> </w:t>
      </w:r>
      <w:r>
        <w:rPr>
          <w:color w:val="231F20"/>
          <w:spacing w:val="-2"/>
        </w:rPr>
        <w:t>completed,</w:t>
      </w:r>
    </w:p>
    <w:p>
      <w:pPr>
        <w:pStyle w:val="BodyText"/>
        <w:rPr>
          <w:sz w:val="24"/>
        </w:rPr>
      </w:pPr>
    </w:p>
    <w:p>
      <w:pPr>
        <w:pStyle w:val="BodyText"/>
        <w:spacing w:before="1"/>
        <w:rPr>
          <w:sz w:val="23"/>
        </w:rPr>
      </w:pPr>
    </w:p>
    <w:p>
      <w:pPr>
        <w:spacing w:before="0"/>
        <w:ind w:left="468" w:right="219" w:firstLine="0"/>
        <w:jc w:val="center"/>
        <w:rPr>
          <w:rFonts w:ascii="Arial"/>
          <w:sz w:val="14"/>
        </w:rPr>
      </w:pPr>
      <w:r>
        <w:rPr>
          <w:rFonts w:ascii="Arial"/>
          <w:color w:val="231F20"/>
          <w:w w:val="105"/>
          <w:sz w:val="14"/>
        </w:rPr>
        <w:t>THE</w:t>
      </w:r>
      <w:r>
        <w:rPr>
          <w:rFonts w:ascii="Arial"/>
          <w:color w:val="231F20"/>
          <w:spacing w:val="17"/>
          <w:w w:val="105"/>
          <w:sz w:val="14"/>
        </w:rPr>
        <w:t> </w:t>
      </w:r>
      <w:r>
        <w:rPr>
          <w:rFonts w:ascii="Arial"/>
          <w:color w:val="231F20"/>
          <w:w w:val="105"/>
          <w:sz w:val="14"/>
        </w:rPr>
        <w:t>DU</w:t>
      </w:r>
      <w:r>
        <w:rPr>
          <w:rFonts w:ascii="Arial"/>
          <w:color w:val="231F20"/>
          <w:spacing w:val="17"/>
          <w:w w:val="105"/>
          <w:sz w:val="14"/>
        </w:rPr>
        <w:t> </w:t>
      </w:r>
      <w:r>
        <w:rPr>
          <w:rFonts w:ascii="Arial"/>
          <w:color w:val="231F20"/>
          <w:w w:val="105"/>
          <w:sz w:val="14"/>
        </w:rPr>
        <w:t>PONT</w:t>
      </w:r>
      <w:r>
        <w:rPr>
          <w:rFonts w:ascii="Arial"/>
          <w:color w:val="231F20"/>
          <w:spacing w:val="17"/>
          <w:w w:val="105"/>
          <w:sz w:val="14"/>
        </w:rPr>
        <w:t> </w:t>
      </w:r>
      <w:r>
        <w:rPr>
          <w:rFonts w:ascii="Arial"/>
          <w:color w:val="231F20"/>
          <w:spacing w:val="-2"/>
          <w:w w:val="105"/>
          <w:sz w:val="14"/>
        </w:rPr>
        <w:t>CHART</w:t>
      </w:r>
    </w:p>
    <w:p>
      <w:pPr>
        <w:pStyle w:val="BodyText"/>
        <w:spacing w:before="7"/>
        <w:rPr>
          <w:rFonts w:ascii="Arial"/>
          <w:sz w:val="16"/>
        </w:rPr>
      </w:pPr>
      <w:r>
        <w:rPr/>
        <w:drawing>
          <wp:anchor distT="0" distB="0" distL="0" distR="0" allowOverlap="1" layoutInCell="1" locked="0" behindDoc="0" simplePos="0" relativeHeight="129">
            <wp:simplePos x="0" y="0"/>
            <wp:positionH relativeFrom="page">
              <wp:posOffset>785016</wp:posOffset>
            </wp:positionH>
            <wp:positionV relativeFrom="paragraph">
              <wp:posOffset>136952</wp:posOffset>
            </wp:positionV>
            <wp:extent cx="3914318" cy="1428178"/>
            <wp:effectExtent l="0" t="0" r="0" b="0"/>
            <wp:wrapTopAndBottom/>
            <wp:docPr id="29" name="image16.png"/>
            <wp:cNvGraphicFramePr>
              <a:graphicFrameLocks noChangeAspect="1"/>
            </wp:cNvGraphicFramePr>
            <a:graphic>
              <a:graphicData uri="http://schemas.openxmlformats.org/drawingml/2006/picture">
                <pic:pic>
                  <pic:nvPicPr>
                    <pic:cNvPr id="30" name="image16.png"/>
                    <pic:cNvPicPr/>
                  </pic:nvPicPr>
                  <pic:blipFill>
                    <a:blip r:embed="rId35" cstate="print"/>
                    <a:stretch>
                      <a:fillRect/>
                    </a:stretch>
                  </pic:blipFill>
                  <pic:spPr>
                    <a:xfrm>
                      <a:off x="0" y="0"/>
                      <a:ext cx="3914318" cy="1428178"/>
                    </a:xfrm>
                    <a:prstGeom prst="rect">
                      <a:avLst/>
                    </a:prstGeom>
                  </pic:spPr>
                </pic:pic>
              </a:graphicData>
            </a:graphic>
          </wp:anchor>
        </w:drawing>
      </w:r>
    </w:p>
    <w:p>
      <w:pPr>
        <w:spacing w:after="0"/>
        <w:rPr>
          <w:rFonts w:ascii="Arial"/>
          <w:sz w:val="16"/>
        </w:rPr>
        <w:sectPr>
          <w:pgSz w:w="8640" w:h="12960"/>
          <w:pgMar w:header="734" w:footer="0" w:top="920" w:bottom="280" w:left="340" w:right="500"/>
        </w:sectPr>
      </w:pPr>
    </w:p>
    <w:p>
      <w:pPr>
        <w:pStyle w:val="BodyText"/>
        <w:spacing w:before="2"/>
        <w:rPr>
          <w:rFonts w:ascii="Arial"/>
          <w:sz w:val="18"/>
        </w:rPr>
      </w:pPr>
    </w:p>
    <w:p>
      <w:pPr>
        <w:pStyle w:val="BodyText"/>
        <w:spacing w:line="292" w:lineRule="auto" w:before="102"/>
        <w:ind w:left="830" w:right="756"/>
        <w:jc w:val="both"/>
      </w:pPr>
      <w:r>
        <w:rPr>
          <w:color w:val="231F20"/>
        </w:rPr>
        <w:t>variance analysis highlights the source of positive or negative </w:t>
      </w:r>
      <w:r>
        <w:rPr>
          <w:color w:val="231F20"/>
        </w:rPr>
        <w:t>results for management decision making.</w:t>
      </w:r>
    </w:p>
    <w:p>
      <w:pPr>
        <w:pStyle w:val="BodyText"/>
        <w:rPr>
          <w:sz w:val="24"/>
        </w:rPr>
      </w:pPr>
    </w:p>
    <w:p>
      <w:pPr>
        <w:pStyle w:val="BodyText"/>
        <w:spacing w:before="1"/>
        <w:rPr>
          <w:sz w:val="27"/>
        </w:rPr>
      </w:pPr>
    </w:p>
    <w:p>
      <w:pPr>
        <w:pStyle w:val="Heading6"/>
        <w:ind w:left="299"/>
        <w:rPr>
          <w:i/>
        </w:rPr>
      </w:pPr>
      <w:r>
        <w:rPr>
          <w:i/>
          <w:color w:val="231F20"/>
          <w:w w:val="110"/>
        </w:rPr>
        <w:t>PRICE</w:t>
      </w:r>
      <w:r>
        <w:rPr>
          <w:i/>
          <w:color w:val="231F20"/>
          <w:spacing w:val="59"/>
          <w:w w:val="110"/>
        </w:rPr>
        <w:t> </w:t>
      </w:r>
      <w:r>
        <w:rPr>
          <w:i/>
          <w:color w:val="231F20"/>
          <w:w w:val="110"/>
        </w:rPr>
        <w:t>AND</w:t>
      </w:r>
      <w:r>
        <w:rPr>
          <w:i/>
          <w:color w:val="231F20"/>
          <w:spacing w:val="59"/>
          <w:w w:val="110"/>
        </w:rPr>
        <w:t> </w:t>
      </w:r>
      <w:r>
        <w:rPr>
          <w:i/>
          <w:color w:val="231F20"/>
          <w:w w:val="110"/>
        </w:rPr>
        <w:t>VOLUME</w:t>
      </w:r>
      <w:r>
        <w:rPr>
          <w:i/>
          <w:color w:val="231F20"/>
          <w:spacing w:val="60"/>
          <w:w w:val="110"/>
        </w:rPr>
        <w:t> </w:t>
      </w:r>
      <w:r>
        <w:rPr>
          <w:i/>
          <w:color w:val="231F20"/>
          <w:spacing w:val="-2"/>
          <w:w w:val="110"/>
        </w:rPr>
        <w:t>VARIANCES</w:t>
      </w:r>
    </w:p>
    <w:p>
      <w:pPr>
        <w:pStyle w:val="BodyText"/>
        <w:spacing w:before="2"/>
        <w:rPr>
          <w:b/>
          <w:i/>
          <w:sz w:val="30"/>
        </w:rPr>
      </w:pPr>
    </w:p>
    <w:p>
      <w:pPr>
        <w:pStyle w:val="BodyText"/>
        <w:spacing w:line="292" w:lineRule="auto"/>
        <w:ind w:left="830" w:right="753"/>
        <w:jc w:val="both"/>
      </w:pPr>
      <w:r>
        <w:rPr>
          <w:color w:val="231F20"/>
        </w:rPr>
        <w:t>There are two basic types of variances, </w:t>
      </w:r>
      <w:r>
        <w:rPr>
          <w:i/>
          <w:color w:val="231F20"/>
        </w:rPr>
        <w:t>price </w:t>
      </w:r>
      <w:r>
        <w:rPr>
          <w:color w:val="231F20"/>
        </w:rPr>
        <w:t>and </w:t>
      </w:r>
      <w:r>
        <w:rPr>
          <w:i/>
          <w:color w:val="231F20"/>
        </w:rPr>
        <w:t>volume variances.</w:t>
      </w:r>
      <w:r>
        <w:rPr>
          <w:i/>
          <w:color w:val="231F20"/>
          <w:spacing w:val="80"/>
        </w:rPr>
        <w:t> </w:t>
      </w:r>
      <w:r>
        <w:rPr>
          <w:color w:val="231F20"/>
        </w:rPr>
        <w:t>As with financial statement ratios, they are derived from simple mathematical formulas.</w:t>
      </w:r>
    </w:p>
    <w:p>
      <w:pPr>
        <w:pStyle w:val="BodyText"/>
        <w:spacing w:before="6"/>
        <w:rPr>
          <w:sz w:val="25"/>
        </w:rPr>
      </w:pPr>
    </w:p>
    <w:p>
      <w:pPr>
        <w:spacing w:line="292" w:lineRule="auto" w:before="0"/>
        <w:ind w:left="830" w:right="753" w:hanging="1"/>
        <w:jc w:val="both"/>
        <w:rPr>
          <w:sz w:val="21"/>
        </w:rPr>
      </w:pPr>
      <w:r>
        <w:rPr>
          <w:i/>
          <w:color w:val="231F20"/>
          <w:sz w:val="21"/>
        </w:rPr>
        <w:t>Sales</w:t>
      </w:r>
      <w:r>
        <w:rPr>
          <w:i/>
          <w:color w:val="231F20"/>
          <w:spacing w:val="40"/>
          <w:sz w:val="21"/>
        </w:rPr>
        <w:t> </w:t>
      </w:r>
      <w:r>
        <w:rPr>
          <w:i/>
          <w:color w:val="231F20"/>
          <w:sz w:val="21"/>
        </w:rPr>
        <w:t>Price</w:t>
      </w:r>
      <w:r>
        <w:rPr>
          <w:i/>
          <w:color w:val="231F20"/>
          <w:spacing w:val="40"/>
          <w:sz w:val="21"/>
        </w:rPr>
        <w:t> </w:t>
      </w:r>
      <w:r>
        <w:rPr>
          <w:i/>
          <w:color w:val="231F20"/>
          <w:sz w:val="21"/>
        </w:rPr>
        <w:t>Variances.</w:t>
      </w:r>
      <w:r>
        <w:rPr>
          <w:i/>
          <w:color w:val="231F20"/>
          <w:spacing w:val="40"/>
          <w:sz w:val="21"/>
        </w:rPr>
        <w:t> </w:t>
      </w:r>
      <w:r>
        <w:rPr>
          <w:color w:val="231F20"/>
          <w:sz w:val="21"/>
        </w:rPr>
        <w:t>The</w:t>
      </w:r>
      <w:r>
        <w:rPr>
          <w:color w:val="231F20"/>
          <w:spacing w:val="40"/>
          <w:sz w:val="21"/>
        </w:rPr>
        <w:t> </w:t>
      </w:r>
      <w:r>
        <w:rPr>
          <w:i/>
          <w:color w:val="231F20"/>
          <w:sz w:val="21"/>
        </w:rPr>
        <w:t>price</w:t>
      </w:r>
      <w:r>
        <w:rPr>
          <w:i/>
          <w:color w:val="231F20"/>
          <w:spacing w:val="40"/>
          <w:sz w:val="21"/>
        </w:rPr>
        <w:t> </w:t>
      </w:r>
      <w:r>
        <w:rPr>
          <w:i/>
          <w:color w:val="231F20"/>
          <w:sz w:val="21"/>
        </w:rPr>
        <w:t>variance</w:t>
      </w:r>
      <w:r>
        <w:rPr>
          <w:i/>
          <w:color w:val="231F20"/>
          <w:spacing w:val="40"/>
          <w:sz w:val="21"/>
        </w:rPr>
        <w:t> </w:t>
      </w:r>
      <w:r>
        <w:rPr>
          <w:color w:val="231F20"/>
          <w:sz w:val="21"/>
        </w:rPr>
        <w:t>tells</w:t>
      </w:r>
      <w:r>
        <w:rPr>
          <w:color w:val="231F20"/>
          <w:spacing w:val="40"/>
          <w:sz w:val="21"/>
        </w:rPr>
        <w:t> </w:t>
      </w:r>
      <w:r>
        <w:rPr>
          <w:color w:val="231F20"/>
          <w:sz w:val="21"/>
        </w:rPr>
        <w:t>the</w:t>
      </w:r>
      <w:r>
        <w:rPr>
          <w:color w:val="231F20"/>
          <w:spacing w:val="40"/>
          <w:sz w:val="21"/>
        </w:rPr>
        <w:t> </w:t>
      </w:r>
      <w:r>
        <w:rPr>
          <w:color w:val="231F20"/>
          <w:sz w:val="21"/>
        </w:rPr>
        <w:t>manager</w:t>
      </w:r>
      <w:r>
        <w:rPr>
          <w:color w:val="231F20"/>
          <w:spacing w:val="40"/>
          <w:sz w:val="21"/>
        </w:rPr>
        <w:t> </w:t>
      </w:r>
      <w:r>
        <w:rPr>
          <w:color w:val="231F20"/>
          <w:sz w:val="21"/>
        </w:rPr>
        <w:t>how much of the difference between budgeted sales revenue and actual sales revenues is due to changes in sales price changes.</w:t>
      </w:r>
    </w:p>
    <w:p>
      <w:pPr>
        <w:pStyle w:val="BodyText"/>
        <w:spacing w:before="6"/>
        <w:rPr>
          <w:sz w:val="24"/>
        </w:rPr>
      </w:pPr>
    </w:p>
    <w:p>
      <w:pPr>
        <w:pStyle w:val="BodyText"/>
        <w:tabs>
          <w:tab w:pos="1926" w:val="left" w:leader="none"/>
        </w:tabs>
        <w:ind w:right="278"/>
        <w:jc w:val="center"/>
        <w:rPr>
          <w:rFonts w:ascii="Symbol" w:hAnsi="Symbol"/>
        </w:rPr>
      </w:pPr>
      <w:r>
        <w:rPr/>
        <w:pict>
          <v:rect style="position:absolute;margin-left:192.48558pt;margin-top:7.680898pt;width:4.930940pt;height:.7242pt;mso-position-horizontal-relative:page;mso-position-vertical-relative:paragraph;z-index:-25162752" id="docshape127" filled="true" fillcolor="#231f20" stroked="false">
            <v:fill type="solid"/>
            <w10:wrap type="none"/>
          </v:rect>
        </w:pict>
      </w:r>
      <w:r>
        <w:rPr>
          <w:color w:val="231F20"/>
        </w:rPr>
        <w:t>(Actual</w:t>
      </w:r>
      <w:r>
        <w:rPr>
          <w:color w:val="231F20"/>
          <w:spacing w:val="17"/>
        </w:rPr>
        <w:t> </w:t>
      </w:r>
      <w:r>
        <w:rPr>
          <w:color w:val="231F20"/>
        </w:rPr>
        <w:t>Sales</w:t>
      </w:r>
      <w:r>
        <w:rPr>
          <w:color w:val="231F20"/>
          <w:spacing w:val="17"/>
        </w:rPr>
        <w:t> </w:t>
      </w:r>
      <w:r>
        <w:rPr>
          <w:color w:val="231F20"/>
          <w:spacing w:val="-2"/>
        </w:rPr>
        <w:t>Price</w:t>
      </w:r>
      <w:r>
        <w:rPr>
          <w:color w:val="231F20"/>
        </w:rPr>
        <w:tab/>
        <w:t>Standard</w:t>
      </w:r>
      <w:r>
        <w:rPr>
          <w:color w:val="231F20"/>
          <w:spacing w:val="4"/>
        </w:rPr>
        <w:t> </w:t>
      </w:r>
      <w:r>
        <w:rPr>
          <w:color w:val="231F20"/>
        </w:rPr>
        <w:t>Sales</w:t>
      </w:r>
      <w:r>
        <w:rPr>
          <w:color w:val="231F20"/>
          <w:spacing w:val="4"/>
        </w:rPr>
        <w:t> </w:t>
      </w:r>
      <w:r>
        <w:rPr>
          <w:color w:val="231F20"/>
        </w:rPr>
        <w:t>Price)</w:t>
      </w:r>
      <w:r>
        <w:rPr>
          <w:color w:val="231F20"/>
          <w:spacing w:val="5"/>
        </w:rPr>
        <w:t> </w:t>
      </w:r>
      <w:r>
        <w:rPr>
          <w:rFonts w:ascii="Symbol" w:hAnsi="Symbol"/>
          <w:color w:val="231F20"/>
          <w:spacing w:val="-10"/>
        </w:rPr>
        <w:t></w:t>
      </w:r>
    </w:p>
    <w:p>
      <w:pPr>
        <w:pStyle w:val="BodyText"/>
        <w:spacing w:before="42"/>
        <w:ind w:left="544" w:right="219"/>
        <w:jc w:val="center"/>
      </w:pPr>
      <w:r>
        <w:rPr>
          <w:color w:val="231F20"/>
          <w:w w:val="105"/>
        </w:rPr>
        <w:t>(Actual</w:t>
      </w:r>
      <w:r>
        <w:rPr>
          <w:color w:val="231F20"/>
          <w:spacing w:val="-8"/>
          <w:w w:val="105"/>
        </w:rPr>
        <w:t> </w:t>
      </w:r>
      <w:r>
        <w:rPr>
          <w:color w:val="231F20"/>
          <w:w w:val="105"/>
        </w:rPr>
        <w:t>Quantity</w:t>
      </w:r>
      <w:r>
        <w:rPr>
          <w:color w:val="231F20"/>
          <w:spacing w:val="-7"/>
          <w:w w:val="105"/>
        </w:rPr>
        <w:t> </w:t>
      </w:r>
      <w:r>
        <w:rPr>
          <w:color w:val="231F20"/>
          <w:w w:val="105"/>
        </w:rPr>
        <w:t>Sold)</w:t>
      </w:r>
      <w:r>
        <w:rPr>
          <w:color w:val="231F20"/>
          <w:spacing w:val="-7"/>
          <w:w w:val="105"/>
        </w:rPr>
        <w:t> </w:t>
      </w:r>
      <w:r>
        <w:rPr>
          <w:rFonts w:ascii="Symbol" w:hAnsi="Symbol"/>
          <w:color w:val="231F20"/>
          <w:w w:val="105"/>
        </w:rPr>
        <w:t></w:t>
      </w:r>
      <w:r>
        <w:rPr>
          <w:rFonts w:ascii="Times New Roman" w:hAnsi="Times New Roman"/>
          <w:color w:val="231F20"/>
          <w:spacing w:val="-14"/>
          <w:w w:val="105"/>
        </w:rPr>
        <w:t> </w:t>
      </w:r>
      <w:r>
        <w:rPr>
          <w:color w:val="231F20"/>
          <w:w w:val="105"/>
        </w:rPr>
        <w:t>Sales</w:t>
      </w:r>
      <w:r>
        <w:rPr>
          <w:color w:val="231F20"/>
          <w:spacing w:val="-7"/>
          <w:w w:val="105"/>
        </w:rPr>
        <w:t> </w:t>
      </w:r>
      <w:r>
        <w:rPr>
          <w:color w:val="231F20"/>
          <w:w w:val="105"/>
        </w:rPr>
        <w:t>Price</w:t>
      </w:r>
      <w:r>
        <w:rPr>
          <w:color w:val="231F20"/>
          <w:spacing w:val="-8"/>
          <w:w w:val="105"/>
        </w:rPr>
        <w:t> </w:t>
      </w:r>
      <w:r>
        <w:rPr>
          <w:color w:val="231F20"/>
          <w:spacing w:val="-2"/>
          <w:w w:val="105"/>
        </w:rPr>
        <w:t>Variance</w:t>
      </w:r>
    </w:p>
    <w:p>
      <w:pPr>
        <w:pStyle w:val="BodyText"/>
        <w:spacing w:before="2"/>
        <w:rPr>
          <w:sz w:val="30"/>
        </w:rPr>
      </w:pPr>
    </w:p>
    <w:p>
      <w:pPr>
        <w:spacing w:line="292" w:lineRule="auto" w:before="1"/>
        <w:ind w:left="830" w:right="756" w:hanging="1"/>
        <w:jc w:val="both"/>
        <w:rPr>
          <w:sz w:val="21"/>
        </w:rPr>
      </w:pPr>
      <w:r>
        <w:rPr>
          <w:i/>
          <w:color w:val="231F20"/>
          <w:w w:val="105"/>
          <w:sz w:val="21"/>
        </w:rPr>
        <w:t>Sales</w:t>
      </w:r>
      <w:r>
        <w:rPr>
          <w:i/>
          <w:color w:val="231F20"/>
          <w:spacing w:val="-3"/>
          <w:w w:val="105"/>
          <w:sz w:val="21"/>
        </w:rPr>
        <w:t> </w:t>
      </w:r>
      <w:r>
        <w:rPr>
          <w:i/>
          <w:color w:val="231F20"/>
          <w:w w:val="105"/>
          <w:sz w:val="21"/>
        </w:rPr>
        <w:t>Volume</w:t>
      </w:r>
      <w:r>
        <w:rPr>
          <w:i/>
          <w:color w:val="231F20"/>
          <w:spacing w:val="-3"/>
          <w:w w:val="105"/>
          <w:sz w:val="21"/>
        </w:rPr>
        <w:t> </w:t>
      </w:r>
      <w:r>
        <w:rPr>
          <w:i/>
          <w:color w:val="231F20"/>
          <w:w w:val="105"/>
          <w:sz w:val="21"/>
        </w:rPr>
        <w:t>Variances.</w:t>
      </w:r>
      <w:r>
        <w:rPr>
          <w:i/>
          <w:color w:val="231F20"/>
          <w:spacing w:val="-3"/>
          <w:w w:val="105"/>
          <w:sz w:val="21"/>
        </w:rPr>
        <w:t> </w:t>
      </w:r>
      <w:r>
        <w:rPr>
          <w:color w:val="231F20"/>
          <w:w w:val="105"/>
          <w:sz w:val="21"/>
        </w:rPr>
        <w:t>The</w:t>
      </w:r>
      <w:r>
        <w:rPr>
          <w:color w:val="231F20"/>
          <w:spacing w:val="-3"/>
          <w:w w:val="105"/>
          <w:sz w:val="21"/>
        </w:rPr>
        <w:t> </w:t>
      </w:r>
      <w:r>
        <w:rPr>
          <w:i/>
          <w:color w:val="231F20"/>
          <w:w w:val="105"/>
          <w:sz w:val="21"/>
        </w:rPr>
        <w:t>volume</w:t>
      </w:r>
      <w:r>
        <w:rPr>
          <w:i/>
          <w:color w:val="231F20"/>
          <w:spacing w:val="-3"/>
          <w:w w:val="105"/>
          <w:sz w:val="21"/>
        </w:rPr>
        <w:t> </w:t>
      </w:r>
      <w:r>
        <w:rPr>
          <w:i/>
          <w:color w:val="231F20"/>
          <w:w w:val="105"/>
          <w:sz w:val="21"/>
        </w:rPr>
        <w:t>variance</w:t>
      </w:r>
      <w:r>
        <w:rPr>
          <w:i/>
          <w:color w:val="231F20"/>
          <w:spacing w:val="-3"/>
          <w:w w:val="105"/>
          <w:sz w:val="21"/>
        </w:rPr>
        <w:t> </w:t>
      </w:r>
      <w:r>
        <w:rPr>
          <w:color w:val="231F20"/>
          <w:w w:val="105"/>
          <w:sz w:val="21"/>
        </w:rPr>
        <w:t>isolates</w:t>
      </w:r>
      <w:r>
        <w:rPr>
          <w:color w:val="231F20"/>
          <w:spacing w:val="-3"/>
          <w:w w:val="105"/>
          <w:sz w:val="21"/>
        </w:rPr>
        <w:t> </w:t>
      </w:r>
      <w:r>
        <w:rPr>
          <w:color w:val="231F20"/>
          <w:w w:val="105"/>
          <w:sz w:val="21"/>
        </w:rPr>
        <w:t>the</w:t>
      </w:r>
      <w:r>
        <w:rPr>
          <w:color w:val="231F20"/>
          <w:spacing w:val="-3"/>
          <w:w w:val="105"/>
          <w:sz w:val="21"/>
        </w:rPr>
        <w:t> </w:t>
      </w:r>
      <w:r>
        <w:rPr>
          <w:color w:val="231F20"/>
          <w:w w:val="105"/>
          <w:sz w:val="21"/>
        </w:rPr>
        <w:t>dollar</w:t>
      </w:r>
      <w:r>
        <w:rPr>
          <w:color w:val="231F20"/>
          <w:spacing w:val="-3"/>
          <w:w w:val="105"/>
          <w:sz w:val="21"/>
        </w:rPr>
        <w:t> </w:t>
      </w:r>
      <w:r>
        <w:rPr>
          <w:color w:val="231F20"/>
          <w:w w:val="105"/>
          <w:sz w:val="21"/>
        </w:rPr>
        <w:t>ef- </w:t>
      </w:r>
      <w:r>
        <w:rPr>
          <w:color w:val="231F20"/>
          <w:sz w:val="21"/>
        </w:rPr>
        <w:t>fect of a different unit volume from what was budgeted assuming </w:t>
      </w:r>
      <w:r>
        <w:rPr>
          <w:color w:val="231F20"/>
          <w:sz w:val="21"/>
        </w:rPr>
        <w:t>no </w:t>
      </w:r>
      <w:r>
        <w:rPr>
          <w:color w:val="231F20"/>
          <w:w w:val="105"/>
          <w:sz w:val="21"/>
        </w:rPr>
        <w:t>price changes.</w:t>
      </w:r>
    </w:p>
    <w:p>
      <w:pPr>
        <w:pStyle w:val="BodyText"/>
        <w:spacing w:before="5"/>
        <w:rPr>
          <w:sz w:val="24"/>
        </w:rPr>
      </w:pPr>
    </w:p>
    <w:p>
      <w:pPr>
        <w:pStyle w:val="BodyText"/>
        <w:spacing w:line="278" w:lineRule="auto"/>
        <w:ind w:left="1780" w:right="1416" w:hanging="241"/>
      </w:pPr>
      <w:r>
        <w:rPr/>
        <w:pict>
          <v:rect style="position:absolute;margin-left:309.709106pt;margin-top:7.680902pt;width:4.93095pt;height:.7242pt;mso-position-horizontal-relative:page;mso-position-vertical-relative:paragraph;z-index:-25162240" id="docshape128" filled="true" fillcolor="#231f20" stroked="false">
            <v:fill type="solid"/>
            <w10:wrap type="none"/>
          </v:rect>
        </w:pict>
      </w:r>
      <w:r>
        <w:rPr>
          <w:color w:val="231F20"/>
        </w:rPr>
        <w:t>(Standard Sales Price) </w:t>
      </w:r>
      <w:r>
        <w:rPr>
          <w:rFonts w:ascii="Symbol" w:hAnsi="Symbol"/>
          <w:color w:val="231F20"/>
        </w:rPr>
        <w:t></w:t>
      </w:r>
      <w:r>
        <w:rPr>
          <w:rFonts w:ascii="Times New Roman" w:hAnsi="Times New Roman"/>
          <w:color w:val="231F20"/>
        </w:rPr>
        <w:t> </w:t>
      </w:r>
      <w:r>
        <w:rPr>
          <w:color w:val="231F20"/>
        </w:rPr>
        <w:t>(Actual Quantity Sold Standard Quantity Sold) </w:t>
      </w:r>
      <w:r>
        <w:rPr>
          <w:rFonts w:ascii="Symbol" w:hAnsi="Symbol"/>
          <w:color w:val="231F20"/>
        </w:rPr>
        <w:t></w:t>
      </w:r>
      <w:r>
        <w:rPr>
          <w:rFonts w:ascii="Times New Roman" w:hAnsi="Times New Roman"/>
          <w:color w:val="231F20"/>
        </w:rPr>
        <w:t> </w:t>
      </w:r>
      <w:r>
        <w:rPr>
          <w:color w:val="231F20"/>
        </w:rPr>
        <w:t>Sales Volume </w:t>
      </w:r>
      <w:r>
        <w:rPr>
          <w:color w:val="231F20"/>
        </w:rPr>
        <w:t>Variance</w:t>
      </w:r>
    </w:p>
    <w:p>
      <w:pPr>
        <w:pStyle w:val="BodyText"/>
        <w:spacing w:before="9"/>
        <w:rPr>
          <w:sz w:val="26"/>
        </w:rPr>
      </w:pPr>
    </w:p>
    <w:p>
      <w:pPr>
        <w:pStyle w:val="BodyText"/>
        <w:spacing w:line="292" w:lineRule="auto"/>
        <w:ind w:left="830" w:right="753" w:firstLine="340"/>
        <w:jc w:val="both"/>
      </w:pPr>
      <w:r>
        <w:rPr>
          <w:color w:val="231F20"/>
        </w:rPr>
        <w:t>Using a hypothetical example, DaimlerChrysler AG planned </w:t>
      </w:r>
      <w:r>
        <w:rPr>
          <w:color w:val="231F20"/>
        </w:rPr>
        <w:t>to</w:t>
      </w:r>
      <w:r>
        <w:rPr>
          <w:color w:val="231F20"/>
          <w:spacing w:val="80"/>
        </w:rPr>
        <w:t> </w:t>
      </w:r>
      <w:r>
        <w:rPr>
          <w:color w:val="231F20"/>
        </w:rPr>
        <w:t>sell</w:t>
      </w:r>
      <w:r>
        <w:rPr>
          <w:color w:val="231F20"/>
          <w:spacing w:val="62"/>
        </w:rPr>
        <w:t> </w:t>
      </w:r>
      <w:r>
        <w:rPr>
          <w:color w:val="231F20"/>
        </w:rPr>
        <w:t>10,000</w:t>
      </w:r>
      <w:r>
        <w:rPr>
          <w:color w:val="231F20"/>
          <w:spacing w:val="62"/>
        </w:rPr>
        <w:t> </w:t>
      </w:r>
      <w:r>
        <w:rPr>
          <w:color w:val="231F20"/>
        </w:rPr>
        <w:t>Dodge</w:t>
      </w:r>
      <w:r>
        <w:rPr>
          <w:color w:val="231F20"/>
          <w:spacing w:val="63"/>
        </w:rPr>
        <w:t> </w:t>
      </w:r>
      <w:r>
        <w:rPr>
          <w:color w:val="231F20"/>
        </w:rPr>
        <w:t>Caravan</w:t>
      </w:r>
      <w:r>
        <w:rPr>
          <w:color w:val="231F20"/>
          <w:spacing w:val="62"/>
        </w:rPr>
        <w:t> </w:t>
      </w:r>
      <w:r>
        <w:rPr>
          <w:color w:val="231F20"/>
        </w:rPr>
        <w:t>minivans</w:t>
      </w:r>
      <w:r>
        <w:rPr>
          <w:color w:val="231F20"/>
          <w:spacing w:val="63"/>
        </w:rPr>
        <w:t> </w:t>
      </w:r>
      <w:r>
        <w:rPr>
          <w:color w:val="231F20"/>
        </w:rPr>
        <w:t>in</w:t>
      </w:r>
      <w:r>
        <w:rPr>
          <w:color w:val="231F20"/>
          <w:spacing w:val="62"/>
        </w:rPr>
        <w:t> </w:t>
      </w:r>
      <w:r>
        <w:rPr>
          <w:color w:val="231F20"/>
        </w:rPr>
        <w:t>July</w:t>
      </w:r>
      <w:r>
        <w:rPr>
          <w:color w:val="231F20"/>
          <w:spacing w:val="63"/>
        </w:rPr>
        <w:t> </w:t>
      </w:r>
      <w:r>
        <w:rPr>
          <w:color w:val="231F20"/>
        </w:rPr>
        <w:t>2006</w:t>
      </w:r>
      <w:r>
        <w:rPr>
          <w:color w:val="231F20"/>
          <w:spacing w:val="62"/>
        </w:rPr>
        <w:t> </w:t>
      </w:r>
      <w:r>
        <w:rPr>
          <w:color w:val="231F20"/>
        </w:rPr>
        <w:t>at</w:t>
      </w:r>
      <w:r>
        <w:rPr>
          <w:color w:val="231F20"/>
          <w:spacing w:val="63"/>
        </w:rPr>
        <w:t> </w:t>
      </w:r>
      <w:r>
        <w:rPr>
          <w:color w:val="231F20"/>
        </w:rPr>
        <w:t>a</w:t>
      </w:r>
      <w:r>
        <w:rPr>
          <w:color w:val="231F20"/>
          <w:spacing w:val="62"/>
        </w:rPr>
        <w:t> </w:t>
      </w:r>
      <w:r>
        <w:rPr>
          <w:color w:val="231F20"/>
        </w:rPr>
        <w:t>price</w:t>
      </w:r>
      <w:r>
        <w:rPr>
          <w:color w:val="231F20"/>
          <w:spacing w:val="62"/>
        </w:rPr>
        <w:t> </w:t>
      </w:r>
      <w:r>
        <w:rPr>
          <w:color w:val="231F20"/>
          <w:spacing w:val="-5"/>
        </w:rPr>
        <w:t>of</w:t>
      </w:r>
    </w:p>
    <w:p>
      <w:pPr>
        <w:pStyle w:val="BodyText"/>
        <w:spacing w:line="290" w:lineRule="auto"/>
        <w:ind w:left="830" w:right="756"/>
        <w:jc w:val="both"/>
      </w:pPr>
      <w:r>
        <w:rPr/>
        <w:pict>
          <v:rect style="position:absolute;margin-left:269.573853pt;margin-top:67.103294pt;width:4.930940pt;height:.7242pt;mso-position-horizontal-relative:page;mso-position-vertical-relative:paragraph;z-index:-25161728" id="docshape129" filled="true" fillcolor="#231f20" stroked="false">
            <v:fill type="solid"/>
            <w10:wrap type="none"/>
          </v:rect>
        </w:pict>
      </w:r>
      <w:r>
        <w:rPr>
          <w:color w:val="231F20"/>
        </w:rPr>
        <w:t>$20,000 each for a total of $200 million in sales. In August the </w:t>
      </w:r>
      <w:r>
        <w:rPr>
          <w:color w:val="231F20"/>
        </w:rPr>
        <w:t>ana- lyst received accounting data showing that sales were actually $380 million in July. Dodge actually sold 20,000 Caravans at an average price of $19,000 due to a $1,000 rebate program. The total variance of sales was $180 million. (10,000 </w:t>
      </w:r>
      <w:r>
        <w:rPr>
          <w:rFonts w:ascii="Symbol" w:hAnsi="Symbol"/>
          <w:color w:val="231F20"/>
        </w:rPr>
        <w:t></w:t>
      </w:r>
      <w:r>
        <w:rPr>
          <w:rFonts w:ascii="Times New Roman" w:hAnsi="Times New Roman"/>
          <w:color w:val="231F20"/>
        </w:rPr>
        <w:t> </w:t>
      </w:r>
      <w:r>
        <w:rPr>
          <w:color w:val="231F20"/>
        </w:rPr>
        <w:t>$20,000)</w:t>
      </w:r>
      <w:r>
        <w:rPr>
          <w:color w:val="231F20"/>
          <w:spacing w:val="80"/>
        </w:rPr>
        <w:t> </w:t>
      </w:r>
      <w:r>
        <w:rPr>
          <w:color w:val="231F20"/>
        </w:rPr>
        <w:t>(20,000 </w:t>
      </w:r>
      <w:r>
        <w:rPr>
          <w:rFonts w:ascii="Symbol" w:hAnsi="Symbol"/>
          <w:color w:val="231F20"/>
        </w:rPr>
        <w:t></w:t>
      </w:r>
      <w:r>
        <w:rPr>
          <w:rFonts w:ascii="Times New Roman" w:hAnsi="Times New Roman"/>
          <w:color w:val="231F20"/>
        </w:rPr>
        <w:t> </w:t>
      </w:r>
      <w:r>
        <w:rPr>
          <w:color w:val="231F20"/>
        </w:rPr>
        <w:t>$19,000). How did that occur? Variances told the story.</w:t>
      </w:r>
    </w:p>
    <w:p>
      <w:pPr>
        <w:pStyle w:val="BodyText"/>
        <w:spacing w:line="283" w:lineRule="auto"/>
        <w:ind w:left="830" w:right="757" w:firstLine="340"/>
        <w:jc w:val="both"/>
      </w:pPr>
      <w:r>
        <w:rPr/>
        <w:pict>
          <v:rect style="position:absolute;margin-left:183.922134pt;margin-top:22.10199pt;width:4.93095pt;height:.7242pt;mso-position-horizontal-relative:page;mso-position-vertical-relative:paragraph;z-index:-25161216" id="docshape130" filled="true" fillcolor="#231f20" stroked="false">
            <v:fill type="solid"/>
            <w10:wrap type="none"/>
          </v:rect>
        </w:pict>
      </w:r>
      <w:r>
        <w:rPr/>
        <w:pict>
          <v:rect style="position:absolute;margin-left:201.674606pt;margin-top:52.102798pt;width:4.93095pt;height:.7242pt;mso-position-horizontal-relative:page;mso-position-vertical-relative:paragraph;z-index:-25160704" id="docshape131" filled="true" fillcolor="#231f20" stroked="false">
            <v:fill type="solid"/>
            <w10:wrap type="none"/>
          </v:rect>
        </w:pict>
      </w:r>
      <w:r>
        <w:rPr>
          <w:color w:val="231F20"/>
        </w:rPr>
        <w:t>The variance solely due to price, the </w:t>
      </w:r>
      <w:r>
        <w:rPr>
          <w:i/>
          <w:color w:val="231F20"/>
        </w:rPr>
        <w:t>price variance, </w:t>
      </w:r>
      <w:r>
        <w:rPr>
          <w:color w:val="231F20"/>
        </w:rPr>
        <w:t>was a </w:t>
      </w:r>
      <w:r>
        <w:rPr>
          <w:color w:val="231F20"/>
        </w:rPr>
        <w:t>nega- tive $20 million (($19,000</w:t>
      </w:r>
      <w:r>
        <w:rPr>
          <w:color w:val="231F20"/>
          <w:spacing w:val="80"/>
        </w:rPr>
        <w:t> </w:t>
      </w:r>
      <w:r>
        <w:rPr>
          <w:color w:val="231F20"/>
        </w:rPr>
        <w:t>$20,000) </w:t>
      </w:r>
      <w:r>
        <w:rPr>
          <w:rFonts w:ascii="Symbol" w:hAnsi="Symbol"/>
          <w:color w:val="231F20"/>
        </w:rPr>
        <w:t></w:t>
      </w:r>
      <w:r>
        <w:rPr>
          <w:rFonts w:ascii="Times New Roman" w:hAnsi="Times New Roman"/>
          <w:color w:val="231F20"/>
        </w:rPr>
        <w:t> </w:t>
      </w:r>
      <w:r>
        <w:rPr>
          <w:color w:val="231F20"/>
        </w:rPr>
        <w:t>20,000 units). But because 10,000 more units were sold than planned, the </w:t>
      </w:r>
      <w:r>
        <w:rPr>
          <w:i/>
          <w:color w:val="231F20"/>
        </w:rPr>
        <w:t>volume variance </w:t>
      </w:r>
      <w:r>
        <w:rPr>
          <w:color w:val="231F20"/>
        </w:rPr>
        <w:t>was positive</w:t>
      </w:r>
      <w:r>
        <w:rPr>
          <w:color w:val="231F20"/>
          <w:spacing w:val="17"/>
        </w:rPr>
        <w:t> </w:t>
      </w:r>
      <w:r>
        <w:rPr>
          <w:color w:val="231F20"/>
        </w:rPr>
        <w:t>$200</w:t>
      </w:r>
      <w:r>
        <w:rPr>
          <w:color w:val="231F20"/>
          <w:spacing w:val="18"/>
        </w:rPr>
        <w:t> </w:t>
      </w:r>
      <w:r>
        <w:rPr>
          <w:color w:val="231F20"/>
        </w:rPr>
        <w:t>million</w:t>
      </w:r>
      <w:r>
        <w:rPr>
          <w:color w:val="231F20"/>
          <w:spacing w:val="18"/>
        </w:rPr>
        <w:t> </w:t>
      </w:r>
      <w:r>
        <w:rPr>
          <w:color w:val="231F20"/>
        </w:rPr>
        <w:t>((20,000</w:t>
      </w:r>
      <w:r>
        <w:rPr>
          <w:color w:val="231F20"/>
          <w:spacing w:val="60"/>
          <w:w w:val="150"/>
        </w:rPr>
        <w:t>  </w:t>
      </w:r>
      <w:r>
        <w:rPr>
          <w:color w:val="231F20"/>
        </w:rPr>
        <w:t>10,000</w:t>
      </w:r>
      <w:r>
        <w:rPr>
          <w:color w:val="231F20"/>
          <w:spacing w:val="19"/>
        </w:rPr>
        <w:t> </w:t>
      </w:r>
      <w:r>
        <w:rPr>
          <w:color w:val="231F20"/>
        </w:rPr>
        <w:t>units)</w:t>
      </w:r>
      <w:r>
        <w:rPr>
          <w:color w:val="231F20"/>
          <w:spacing w:val="18"/>
        </w:rPr>
        <w:t> </w:t>
      </w:r>
      <w:r>
        <w:rPr>
          <w:rFonts w:ascii="Symbol" w:hAnsi="Symbol"/>
          <w:color w:val="231F20"/>
        </w:rPr>
        <w:t></w:t>
      </w:r>
      <w:r>
        <w:rPr>
          <w:rFonts w:ascii="Times New Roman" w:hAnsi="Times New Roman"/>
          <w:color w:val="231F20"/>
          <w:spacing w:val="12"/>
        </w:rPr>
        <w:t> </w:t>
      </w:r>
      <w:r>
        <w:rPr>
          <w:color w:val="231F20"/>
        </w:rPr>
        <w:t>$20,000).</w:t>
      </w:r>
      <w:r>
        <w:rPr>
          <w:color w:val="231F20"/>
          <w:spacing w:val="18"/>
        </w:rPr>
        <w:t> </w:t>
      </w:r>
      <w:r>
        <w:rPr>
          <w:color w:val="231F20"/>
        </w:rPr>
        <w:t>The</w:t>
      </w:r>
      <w:r>
        <w:rPr>
          <w:color w:val="231F20"/>
          <w:spacing w:val="18"/>
        </w:rPr>
        <w:t> </w:t>
      </w:r>
      <w:r>
        <w:rPr>
          <w:color w:val="231F20"/>
          <w:spacing w:val="-5"/>
        </w:rPr>
        <w:t>two</w:t>
      </w:r>
    </w:p>
    <w:p>
      <w:pPr>
        <w:spacing w:after="0" w:line="283" w:lineRule="auto"/>
        <w:jc w:val="both"/>
        <w:sectPr>
          <w:pgSz w:w="8640" w:h="12960"/>
          <w:pgMar w:header="732" w:footer="0" w:top="920" w:bottom="280" w:left="340" w:right="500"/>
        </w:sectPr>
      </w:pPr>
    </w:p>
    <w:p>
      <w:pPr>
        <w:pStyle w:val="BodyText"/>
        <w:spacing w:before="8"/>
        <w:rPr>
          <w:sz w:val="17"/>
        </w:rPr>
      </w:pPr>
    </w:p>
    <w:p>
      <w:pPr>
        <w:pStyle w:val="BodyText"/>
        <w:spacing w:line="290" w:lineRule="auto" w:before="90"/>
        <w:ind w:left="920" w:right="666"/>
        <w:jc w:val="both"/>
      </w:pPr>
      <w:r>
        <w:rPr/>
        <w:pict>
          <v:rect style="position:absolute;margin-left:111.978127pt;margin-top:12.180894pt;width:4.93095pt;height:.7242pt;mso-position-horizontal-relative:page;mso-position-vertical-relative:paragraph;z-index:-25160192" id="docshape132" filled="true" fillcolor="#231f20" stroked="false">
            <v:fill type="solid"/>
            <w10:wrap type="none"/>
          </v:rect>
        </w:pict>
      </w:r>
      <w:r>
        <w:rPr/>
        <w:pict>
          <v:rect style="position:absolute;margin-left:174.554276pt;margin-top:27.181305pt;width:4.930940pt;height:.7242pt;mso-position-horizontal-relative:page;mso-position-vertical-relative:paragraph;z-index:-25159680" id="docshape133" filled="true" fillcolor="#231f20" stroked="false">
            <v:fill type="solid"/>
            <w10:wrap type="none"/>
          </v:rect>
        </w:pict>
      </w:r>
      <w:r>
        <w:rPr>
          <w:color w:val="231F20"/>
        </w:rPr>
        <w:t>variances (</w:t>
      </w:r>
      <w:r>
        <w:rPr>
          <w:color w:val="231F20"/>
          <w:spacing w:val="40"/>
        </w:rPr>
        <w:t> </w:t>
      </w:r>
      <w:r>
        <w:rPr>
          <w:color w:val="231F20"/>
        </w:rPr>
        <w:t>$20 </w:t>
      </w:r>
      <w:r>
        <w:rPr>
          <w:rFonts w:ascii="Symbol" w:hAnsi="Symbol"/>
          <w:color w:val="231F20"/>
        </w:rPr>
        <w:t></w:t>
      </w:r>
      <w:r>
        <w:rPr>
          <w:rFonts w:ascii="Times New Roman" w:hAnsi="Times New Roman"/>
          <w:color w:val="231F20"/>
          <w:spacing w:val="-4"/>
        </w:rPr>
        <w:t> </w:t>
      </w:r>
      <w:r>
        <w:rPr>
          <w:color w:val="231F20"/>
        </w:rPr>
        <w:t>$200 </w:t>
      </w:r>
      <w:r>
        <w:rPr>
          <w:rFonts w:ascii="Symbol" w:hAnsi="Symbol"/>
          <w:color w:val="231F20"/>
        </w:rPr>
        <w:t></w:t>
      </w:r>
      <w:r>
        <w:rPr>
          <w:rFonts w:ascii="Times New Roman" w:hAnsi="Times New Roman"/>
          <w:color w:val="231F20"/>
          <w:spacing w:val="-4"/>
        </w:rPr>
        <w:t> </w:t>
      </w:r>
      <w:r>
        <w:rPr>
          <w:rFonts w:ascii="Symbol" w:hAnsi="Symbol"/>
          <w:color w:val="231F20"/>
        </w:rPr>
        <w:t></w:t>
      </w:r>
      <w:r>
        <w:rPr>
          <w:color w:val="231F20"/>
        </w:rPr>
        <w:t>$180) equaled the total variance from </w:t>
      </w:r>
      <w:r>
        <w:rPr>
          <w:color w:val="231F20"/>
        </w:rPr>
        <w:t>the total sales budget ($380</w:t>
      </w:r>
      <w:r>
        <w:rPr>
          <w:color w:val="231F20"/>
          <w:spacing w:val="80"/>
        </w:rPr>
        <w:t> </w:t>
      </w:r>
      <w:r>
        <w:rPr>
          <w:color w:val="231F20"/>
        </w:rPr>
        <w:t>$200 </w:t>
      </w:r>
      <w:r>
        <w:rPr>
          <w:rFonts w:ascii="Symbol" w:hAnsi="Symbol"/>
          <w:color w:val="231F20"/>
        </w:rPr>
        <w:t></w:t>
      </w:r>
      <w:r>
        <w:rPr>
          <w:rFonts w:ascii="Times New Roman" w:hAnsi="Times New Roman"/>
          <w:color w:val="231F20"/>
        </w:rPr>
        <w:t> </w:t>
      </w:r>
      <w:r>
        <w:rPr>
          <w:rFonts w:ascii="Symbol" w:hAnsi="Symbol"/>
          <w:color w:val="231F20"/>
        </w:rPr>
        <w:t></w:t>
      </w:r>
      <w:r>
        <w:rPr>
          <w:color w:val="231F20"/>
        </w:rPr>
        <w:t>$180). The variance analysis told the DaimlerChrysler executive in charge of the Caravan model that the overall increase in sales was due to a larger sales volume, rather than to a price increase. Conversely, the small negative price vari- ance due to a rebate was more than made up for by a stronger sales volume. When you add together the price and the volume variances, they equal the “total” monthly sales variance from budget. The vari- ance analysis enabled the Dodge executive to explain why his results hit his division’s targets.</w:t>
      </w:r>
    </w:p>
    <w:p>
      <w:pPr>
        <w:pStyle w:val="BodyText"/>
        <w:rPr>
          <w:sz w:val="24"/>
        </w:rPr>
      </w:pPr>
    </w:p>
    <w:p>
      <w:pPr>
        <w:pStyle w:val="BodyText"/>
        <w:spacing w:before="7"/>
        <w:rPr>
          <w:sz w:val="27"/>
        </w:rPr>
      </w:pPr>
    </w:p>
    <w:p>
      <w:pPr>
        <w:pStyle w:val="Heading6"/>
        <w:spacing w:line="292" w:lineRule="auto"/>
        <w:ind w:left="2623" w:right="1948" w:hanging="356"/>
        <w:jc w:val="left"/>
      </w:pPr>
      <w:r>
        <w:rPr>
          <w:i/>
          <w:color w:val="231F20"/>
          <w:w w:val="110"/>
        </w:rPr>
        <w:t>PURCHASE</w:t>
      </w:r>
      <w:r>
        <w:rPr>
          <w:i/>
          <w:color w:val="231F20"/>
          <w:spacing w:val="40"/>
          <w:w w:val="110"/>
        </w:rPr>
        <w:t> </w:t>
      </w:r>
      <w:r>
        <w:rPr>
          <w:i/>
          <w:color w:val="231F20"/>
          <w:w w:val="110"/>
        </w:rPr>
        <w:t>PRICE,</w:t>
      </w:r>
      <w:r>
        <w:rPr>
          <w:i/>
          <w:color w:val="231F20"/>
          <w:spacing w:val="40"/>
          <w:w w:val="110"/>
        </w:rPr>
        <w:t> </w:t>
      </w:r>
      <w:r>
        <w:rPr>
          <w:i/>
          <w:color w:val="231F20"/>
          <w:w w:val="110"/>
        </w:rPr>
        <w:t>EFFICIENCY,</w:t>
      </w:r>
      <w:r>
        <w:rPr>
          <w:color w:val="231F20"/>
          <w:spacing w:val="80"/>
          <w:w w:val="110"/>
        </w:rPr>
        <w:t> </w:t>
      </w:r>
      <w:r>
        <w:rPr>
          <w:color w:val="231F20"/>
          <w:w w:val="110"/>
        </w:rPr>
        <w:t>AND</w:t>
      </w:r>
      <w:r>
        <w:rPr>
          <w:color w:val="231F20"/>
          <w:w w:val="110"/>
        </w:rPr>
        <w:t> VOLUME</w:t>
      </w:r>
      <w:r>
        <w:rPr>
          <w:color w:val="231F20"/>
          <w:w w:val="110"/>
        </w:rPr>
        <w:t> VARIANCES</w:t>
      </w:r>
    </w:p>
    <w:p>
      <w:pPr>
        <w:pStyle w:val="BodyText"/>
        <w:spacing w:before="6"/>
        <w:rPr>
          <w:b/>
          <w:i/>
          <w:sz w:val="25"/>
        </w:rPr>
      </w:pPr>
    </w:p>
    <w:p>
      <w:pPr>
        <w:spacing w:line="292" w:lineRule="auto" w:before="0"/>
        <w:ind w:left="919" w:right="664" w:firstLine="0"/>
        <w:jc w:val="both"/>
        <w:rPr>
          <w:sz w:val="21"/>
        </w:rPr>
      </w:pPr>
      <w:r>
        <w:rPr>
          <w:color w:val="231F20"/>
          <w:sz w:val="21"/>
        </w:rPr>
        <w:t>Using the same two basic formulas, </w:t>
      </w:r>
      <w:r>
        <w:rPr>
          <w:i/>
          <w:color w:val="231F20"/>
          <w:sz w:val="21"/>
        </w:rPr>
        <w:t>sales price </w:t>
      </w:r>
      <w:r>
        <w:rPr>
          <w:color w:val="231F20"/>
          <w:sz w:val="21"/>
        </w:rPr>
        <w:t>and </w:t>
      </w:r>
      <w:r>
        <w:rPr>
          <w:i/>
          <w:color w:val="231F20"/>
          <w:sz w:val="21"/>
        </w:rPr>
        <w:t>sales volume</w:t>
      </w:r>
      <w:r>
        <w:rPr>
          <w:i/>
          <w:color w:val="231F20"/>
          <w:sz w:val="21"/>
        </w:rPr>
        <w:t> variances, </w:t>
      </w:r>
      <w:r>
        <w:rPr>
          <w:color w:val="231F20"/>
          <w:sz w:val="21"/>
        </w:rPr>
        <w:t>production departments also calculate variances for man- agement control.</w:t>
      </w:r>
    </w:p>
    <w:p>
      <w:pPr>
        <w:spacing w:line="292" w:lineRule="auto" w:before="0"/>
        <w:ind w:left="919" w:right="667" w:firstLine="340"/>
        <w:jc w:val="both"/>
        <w:rPr>
          <w:i/>
          <w:sz w:val="21"/>
        </w:rPr>
      </w:pPr>
      <w:r>
        <w:rPr>
          <w:color w:val="231F20"/>
          <w:sz w:val="21"/>
        </w:rPr>
        <w:t>Purchases and usage of production materials have </w:t>
      </w:r>
      <w:r>
        <w:rPr>
          <w:i/>
          <w:color w:val="231F20"/>
          <w:sz w:val="21"/>
        </w:rPr>
        <w:t>purchase </w:t>
      </w:r>
      <w:r>
        <w:rPr>
          <w:i/>
          <w:color w:val="231F20"/>
          <w:sz w:val="21"/>
        </w:rPr>
        <w:t>price</w:t>
      </w:r>
      <w:r>
        <w:rPr>
          <w:i/>
          <w:color w:val="231F20"/>
          <w:sz w:val="21"/>
        </w:rPr>
        <w:t> </w:t>
      </w:r>
      <w:r>
        <w:rPr>
          <w:i/>
          <w:color w:val="231F20"/>
          <w:spacing w:val="-2"/>
          <w:sz w:val="21"/>
        </w:rPr>
        <w:t>variances.</w:t>
      </w:r>
    </w:p>
    <w:p>
      <w:pPr>
        <w:pStyle w:val="BodyText"/>
        <w:spacing w:before="2"/>
        <w:rPr>
          <w:i/>
          <w:sz w:val="20"/>
        </w:rPr>
      </w:pPr>
    </w:p>
    <w:p>
      <w:pPr>
        <w:pStyle w:val="BodyText"/>
        <w:tabs>
          <w:tab w:pos="5480" w:val="left" w:leader="none"/>
        </w:tabs>
        <w:ind w:left="1419"/>
      </w:pPr>
      <w:r>
        <w:rPr/>
        <w:pict>
          <v:rect style="position:absolute;margin-left:282.70636pt;margin-top:7.680894pt;width:4.930940pt;height:.7242pt;mso-position-horizontal-relative:page;mso-position-vertical-relative:paragraph;z-index:-25159168" id="docshape134" filled="true" fillcolor="#231f20" stroked="false">
            <v:fill type="solid"/>
            <w10:wrap type="none"/>
          </v:rect>
        </w:pict>
      </w:r>
      <w:r>
        <w:rPr>
          <w:color w:val="231F20"/>
        </w:rPr>
        <w:t>Purchase</w:t>
      </w:r>
      <w:r>
        <w:rPr>
          <w:color w:val="231F20"/>
          <w:spacing w:val="7"/>
        </w:rPr>
        <w:t> </w:t>
      </w:r>
      <w:r>
        <w:rPr>
          <w:color w:val="231F20"/>
        </w:rPr>
        <w:t>Price</w:t>
      </w:r>
      <w:r>
        <w:rPr>
          <w:color w:val="231F20"/>
          <w:spacing w:val="8"/>
        </w:rPr>
        <w:t> </w:t>
      </w:r>
      <w:r>
        <w:rPr>
          <w:color w:val="231F20"/>
        </w:rPr>
        <w:t>Variance</w:t>
      </w:r>
      <w:r>
        <w:rPr>
          <w:color w:val="231F20"/>
          <w:spacing w:val="8"/>
        </w:rPr>
        <w:t> </w:t>
      </w:r>
      <w:r>
        <w:rPr>
          <w:rFonts w:ascii="Symbol" w:hAnsi="Symbol"/>
          <w:color w:val="231F20"/>
        </w:rPr>
        <w:t></w:t>
      </w:r>
      <w:r>
        <w:rPr>
          <w:rFonts w:ascii="Times New Roman" w:hAnsi="Times New Roman"/>
          <w:color w:val="231F20"/>
          <w:spacing w:val="1"/>
        </w:rPr>
        <w:t> </w:t>
      </w:r>
      <w:r>
        <w:rPr>
          <w:color w:val="231F20"/>
        </w:rPr>
        <w:t>(Standard</w:t>
      </w:r>
      <w:r>
        <w:rPr>
          <w:color w:val="231F20"/>
          <w:spacing w:val="8"/>
        </w:rPr>
        <w:t> </w:t>
      </w:r>
      <w:r>
        <w:rPr>
          <w:color w:val="231F20"/>
          <w:spacing w:val="-2"/>
        </w:rPr>
        <w:t>Price</w:t>
      </w:r>
      <w:r>
        <w:rPr>
          <w:color w:val="231F20"/>
        </w:rPr>
        <w:tab/>
        <w:t>Actual</w:t>
      </w:r>
      <w:r>
        <w:rPr>
          <w:color w:val="231F20"/>
          <w:spacing w:val="40"/>
        </w:rPr>
        <w:t> </w:t>
      </w:r>
      <w:r>
        <w:rPr>
          <w:color w:val="231F20"/>
          <w:spacing w:val="-2"/>
        </w:rPr>
        <w:t>Price)</w:t>
      </w:r>
    </w:p>
    <w:p>
      <w:pPr>
        <w:pStyle w:val="ListParagraph"/>
        <w:numPr>
          <w:ilvl w:val="0"/>
          <w:numId w:val="22"/>
        </w:numPr>
        <w:tabs>
          <w:tab w:pos="1837" w:val="left" w:leader="none"/>
        </w:tabs>
        <w:spacing w:line="240" w:lineRule="auto" w:before="42" w:after="0"/>
        <w:ind w:left="1836" w:right="0" w:hanging="178"/>
        <w:jc w:val="left"/>
        <w:rPr>
          <w:rFonts w:ascii="Cambria" w:hAnsi="Cambria"/>
          <w:sz w:val="21"/>
        </w:rPr>
      </w:pPr>
      <w:r>
        <w:rPr>
          <w:rFonts w:ascii="Cambria" w:hAnsi="Cambria"/>
          <w:color w:val="231F20"/>
          <w:sz w:val="21"/>
        </w:rPr>
        <w:t>(Actual</w:t>
      </w:r>
      <w:r>
        <w:rPr>
          <w:rFonts w:ascii="Cambria" w:hAnsi="Cambria"/>
          <w:color w:val="231F20"/>
          <w:spacing w:val="26"/>
          <w:sz w:val="21"/>
        </w:rPr>
        <w:t> </w:t>
      </w:r>
      <w:r>
        <w:rPr>
          <w:rFonts w:ascii="Cambria" w:hAnsi="Cambria"/>
          <w:color w:val="231F20"/>
          <w:sz w:val="21"/>
        </w:rPr>
        <w:t>Quantity</w:t>
      </w:r>
      <w:r>
        <w:rPr>
          <w:rFonts w:ascii="Cambria" w:hAnsi="Cambria"/>
          <w:color w:val="231F20"/>
          <w:spacing w:val="27"/>
          <w:sz w:val="21"/>
        </w:rPr>
        <w:t> </w:t>
      </w:r>
      <w:r>
        <w:rPr>
          <w:rFonts w:ascii="Cambria" w:hAnsi="Cambria"/>
          <w:color w:val="231F20"/>
          <w:sz w:val="21"/>
        </w:rPr>
        <w:t>Purchased</w:t>
      </w:r>
      <w:r>
        <w:rPr>
          <w:rFonts w:ascii="Cambria" w:hAnsi="Cambria"/>
          <w:color w:val="231F20"/>
          <w:spacing w:val="27"/>
          <w:sz w:val="21"/>
        </w:rPr>
        <w:t> </w:t>
      </w:r>
      <w:r>
        <w:rPr>
          <w:rFonts w:ascii="Cambria" w:hAnsi="Cambria"/>
          <w:color w:val="231F20"/>
          <w:sz w:val="21"/>
        </w:rPr>
        <w:t>or</w:t>
      </w:r>
      <w:r>
        <w:rPr>
          <w:rFonts w:ascii="Cambria" w:hAnsi="Cambria"/>
          <w:color w:val="231F20"/>
          <w:spacing w:val="26"/>
          <w:sz w:val="21"/>
        </w:rPr>
        <w:t> </w:t>
      </w:r>
      <w:r>
        <w:rPr>
          <w:rFonts w:ascii="Cambria" w:hAnsi="Cambria"/>
          <w:color w:val="231F20"/>
          <w:spacing w:val="-2"/>
          <w:sz w:val="21"/>
        </w:rPr>
        <w:t>Used)</w:t>
      </w:r>
    </w:p>
    <w:p>
      <w:pPr>
        <w:pStyle w:val="BodyText"/>
        <w:spacing w:before="11"/>
        <w:rPr>
          <w:sz w:val="25"/>
        </w:rPr>
      </w:pPr>
    </w:p>
    <w:p>
      <w:pPr>
        <w:pStyle w:val="BodyText"/>
        <w:spacing w:line="292" w:lineRule="auto"/>
        <w:ind w:left="919" w:right="663" w:firstLine="340"/>
        <w:jc w:val="both"/>
      </w:pPr>
      <w:r>
        <w:rPr>
          <w:color w:val="231F20"/>
        </w:rPr>
        <w:t>The amount of materials and labor used to produce products</w:t>
      </w:r>
      <w:r>
        <w:rPr>
          <w:color w:val="231F20"/>
          <w:spacing w:val="80"/>
        </w:rPr>
        <w:t> </w:t>
      </w:r>
      <w:r>
        <w:rPr>
          <w:color w:val="231F20"/>
        </w:rPr>
        <w:t>may also differ from the standard amount. Similar to sales volume variances, these differences are called </w:t>
      </w:r>
      <w:r>
        <w:rPr>
          <w:i/>
          <w:color w:val="231F20"/>
        </w:rPr>
        <w:t>efficiency variances. </w:t>
      </w:r>
      <w:r>
        <w:rPr>
          <w:color w:val="231F20"/>
        </w:rPr>
        <w:t>Shoe workers, for example, can be more efficient by using more leather from a hide than planned. Chemically dependent workers on the </w:t>
      </w:r>
      <w:r>
        <w:rPr>
          <w:color w:val="231F20"/>
        </w:rPr>
        <w:t>as- sembly line in Detroit could take more labor hours than planned to produce their cars.</w:t>
      </w:r>
    </w:p>
    <w:p>
      <w:pPr>
        <w:pStyle w:val="BodyText"/>
        <w:spacing w:before="1"/>
        <w:rPr>
          <w:sz w:val="20"/>
        </w:rPr>
      </w:pPr>
    </w:p>
    <w:p>
      <w:pPr>
        <w:pStyle w:val="BodyText"/>
        <w:tabs>
          <w:tab w:pos="2783" w:val="left" w:leader="none"/>
        </w:tabs>
        <w:spacing w:line="285" w:lineRule="auto" w:before="1"/>
        <w:ind w:left="1719" w:right="1230" w:hanging="241"/>
      </w:pPr>
      <w:r>
        <w:rPr/>
        <w:pict>
          <v:rect style="position:absolute;margin-left:147.823257pt;margin-top:22.73131pt;width:4.930940pt;height:.7242pt;mso-position-horizontal-relative:page;mso-position-vertical-relative:paragraph;z-index:-25158656" id="docshape135" filled="true" fillcolor="#231f20" stroked="false">
            <v:fill type="solid"/>
            <w10:wrap type="none"/>
          </v:rect>
        </w:pict>
      </w:r>
      <w:r>
        <w:rPr>
          <w:color w:val="231F20"/>
          <w:w w:val="105"/>
        </w:rPr>
        <w:t>Material or Labor Efficiency Variance </w:t>
      </w:r>
      <w:r>
        <w:rPr>
          <w:rFonts w:ascii="Symbol" w:hAnsi="Symbol"/>
          <w:color w:val="231F20"/>
          <w:w w:val="105"/>
        </w:rPr>
        <w:t></w:t>
      </w:r>
      <w:r>
        <w:rPr>
          <w:rFonts w:ascii="Times New Roman" w:hAnsi="Times New Roman"/>
          <w:color w:val="231F20"/>
          <w:spacing w:val="-6"/>
          <w:w w:val="105"/>
        </w:rPr>
        <w:t> </w:t>
      </w:r>
      <w:r>
        <w:rPr>
          <w:color w:val="231F20"/>
          <w:w w:val="105"/>
        </w:rPr>
        <w:t>(Standard Use </w:t>
      </w:r>
      <w:r>
        <w:rPr>
          <w:color w:val="231F20"/>
          <w:spacing w:val="-2"/>
          <w:w w:val="105"/>
        </w:rPr>
        <w:t>Quantity</w:t>
      </w:r>
      <w:r>
        <w:rPr>
          <w:color w:val="231F20"/>
        </w:rPr>
        <w:tab/>
      </w:r>
      <w:r>
        <w:rPr>
          <w:color w:val="231F20"/>
          <w:w w:val="105"/>
        </w:rPr>
        <w:t>Actual</w:t>
      </w:r>
      <w:r>
        <w:rPr>
          <w:color w:val="231F20"/>
          <w:spacing w:val="-7"/>
          <w:w w:val="105"/>
        </w:rPr>
        <w:t> </w:t>
      </w:r>
      <w:r>
        <w:rPr>
          <w:color w:val="231F20"/>
          <w:w w:val="105"/>
        </w:rPr>
        <w:t>Usage</w:t>
      </w:r>
      <w:r>
        <w:rPr>
          <w:color w:val="231F20"/>
          <w:spacing w:val="-7"/>
          <w:w w:val="105"/>
        </w:rPr>
        <w:t> </w:t>
      </w:r>
      <w:r>
        <w:rPr>
          <w:color w:val="231F20"/>
          <w:w w:val="105"/>
        </w:rPr>
        <w:t>Quantity)</w:t>
      </w:r>
      <w:r>
        <w:rPr>
          <w:color w:val="231F20"/>
          <w:spacing w:val="-7"/>
          <w:w w:val="105"/>
        </w:rPr>
        <w:t> </w:t>
      </w:r>
      <w:r>
        <w:rPr>
          <w:rFonts w:ascii="Symbol" w:hAnsi="Symbol"/>
          <w:color w:val="231F20"/>
          <w:w w:val="105"/>
        </w:rPr>
        <w:t></w:t>
      </w:r>
      <w:r>
        <w:rPr>
          <w:rFonts w:ascii="Times New Roman" w:hAnsi="Times New Roman"/>
          <w:color w:val="231F20"/>
          <w:spacing w:val="-13"/>
          <w:w w:val="105"/>
        </w:rPr>
        <w:t> </w:t>
      </w:r>
      <w:r>
        <w:rPr>
          <w:color w:val="231F20"/>
          <w:w w:val="105"/>
        </w:rPr>
        <w:t>(Standard</w:t>
      </w:r>
      <w:r>
        <w:rPr>
          <w:color w:val="231F20"/>
          <w:spacing w:val="-7"/>
          <w:w w:val="105"/>
        </w:rPr>
        <w:t> </w:t>
      </w:r>
      <w:r>
        <w:rPr>
          <w:color w:val="231F20"/>
          <w:w w:val="105"/>
        </w:rPr>
        <w:t>Cost of Material or Labor)</w:t>
      </w:r>
    </w:p>
    <w:p>
      <w:pPr>
        <w:spacing w:after="0" w:line="285" w:lineRule="auto"/>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firstLine="340"/>
        <w:jc w:val="both"/>
      </w:pPr>
      <w:r>
        <w:rPr>
          <w:color w:val="231F20"/>
        </w:rPr>
        <w:t>Using the Caravan again as an example, the production </w:t>
      </w:r>
      <w:r>
        <w:rPr>
          <w:color w:val="231F20"/>
        </w:rPr>
        <w:t>foreman had budgeted in July that each Caravan made should use a standard</w:t>
      </w:r>
      <w:r>
        <w:rPr>
          <w:color w:val="231F20"/>
          <w:spacing w:val="80"/>
        </w:rPr>
        <w:t> </w:t>
      </w:r>
      <w:r>
        <w:rPr>
          <w:color w:val="231F20"/>
        </w:rPr>
        <w:t>8 gallons of paint at a cost of $10 per gallon. It actually took 7 gal- lons at a cost of $12 per gallon for the 20,000 minivans that were produced. The accountant calculated the following variances for the Dodge executive:</w:t>
      </w:r>
    </w:p>
    <w:p>
      <w:pPr>
        <w:pStyle w:val="BodyText"/>
        <w:spacing w:before="1"/>
        <w:rPr>
          <w:sz w:val="20"/>
        </w:rPr>
      </w:pPr>
    </w:p>
    <w:p>
      <w:pPr>
        <w:pStyle w:val="BodyText"/>
        <w:tabs>
          <w:tab w:pos="4465" w:val="left" w:leader="none"/>
        </w:tabs>
        <w:ind w:left="1410"/>
      </w:pPr>
      <w:r>
        <w:rPr/>
        <w:pict>
          <v:rect style="position:absolute;margin-left:231.919922pt;margin-top:7.6809pt;width:4.930940pt;height:.7242pt;mso-position-horizontal-relative:page;mso-position-vertical-relative:paragraph;z-index:-25158144" id="docshape136" filled="true" fillcolor="#231f20" stroked="false">
            <v:fill type="solid"/>
            <w10:wrap type="none"/>
          </v:rect>
        </w:pict>
      </w:r>
      <w:r>
        <w:rPr>
          <w:color w:val="231F20"/>
        </w:rPr>
        <w:t>Material</w:t>
      </w:r>
      <w:r>
        <w:rPr>
          <w:color w:val="231F20"/>
          <w:spacing w:val="20"/>
        </w:rPr>
        <w:t> </w:t>
      </w:r>
      <w:r>
        <w:rPr>
          <w:color w:val="231F20"/>
        </w:rPr>
        <w:t>Price</w:t>
      </w:r>
      <w:r>
        <w:rPr>
          <w:color w:val="231F20"/>
          <w:spacing w:val="20"/>
        </w:rPr>
        <w:t> </w:t>
      </w:r>
      <w:r>
        <w:rPr>
          <w:color w:val="231F20"/>
        </w:rPr>
        <w:t>Variance</w:t>
      </w:r>
      <w:r>
        <w:rPr>
          <w:color w:val="231F20"/>
          <w:spacing w:val="20"/>
        </w:rPr>
        <w:t> </w:t>
      </w:r>
      <w:r>
        <w:rPr>
          <w:rFonts w:ascii="Symbol" w:hAnsi="Symbol"/>
          <w:color w:val="231F20"/>
        </w:rPr>
        <w:t></w:t>
      </w:r>
      <w:r>
        <w:rPr>
          <w:rFonts w:ascii="Times New Roman" w:hAnsi="Times New Roman"/>
          <w:color w:val="231F20"/>
          <w:spacing w:val="14"/>
        </w:rPr>
        <w:t> </w:t>
      </w:r>
      <w:r>
        <w:rPr>
          <w:color w:val="231F20"/>
          <w:spacing w:val="-4"/>
        </w:rPr>
        <w:t>($10</w:t>
      </w:r>
      <w:r>
        <w:rPr>
          <w:color w:val="231F20"/>
        </w:rPr>
        <w:tab/>
        <w:t>$12</w:t>
      </w:r>
      <w:r>
        <w:rPr>
          <w:color w:val="231F20"/>
          <w:spacing w:val="9"/>
        </w:rPr>
        <w:t> </w:t>
      </w:r>
      <w:r>
        <w:rPr>
          <w:color w:val="231F20"/>
        </w:rPr>
        <w:t>price</w:t>
      </w:r>
      <w:r>
        <w:rPr>
          <w:color w:val="231F20"/>
          <w:spacing w:val="9"/>
        </w:rPr>
        <w:t> </w:t>
      </w:r>
      <w:r>
        <w:rPr>
          <w:color w:val="231F20"/>
        </w:rPr>
        <w:t>per</w:t>
      </w:r>
      <w:r>
        <w:rPr>
          <w:color w:val="231F20"/>
          <w:spacing w:val="10"/>
        </w:rPr>
        <w:t> </w:t>
      </w:r>
      <w:r>
        <w:rPr>
          <w:color w:val="231F20"/>
          <w:spacing w:val="-2"/>
        </w:rPr>
        <w:t>gallon)</w:t>
      </w:r>
    </w:p>
    <w:p>
      <w:pPr>
        <w:pStyle w:val="ListParagraph"/>
        <w:numPr>
          <w:ilvl w:val="0"/>
          <w:numId w:val="22"/>
        </w:numPr>
        <w:tabs>
          <w:tab w:pos="1827" w:val="left" w:leader="none"/>
        </w:tabs>
        <w:spacing w:line="290" w:lineRule="auto" w:before="43" w:after="0"/>
        <w:ind w:left="1650" w:right="1336" w:hanging="1"/>
        <w:jc w:val="left"/>
        <w:rPr>
          <w:rFonts w:ascii="Cambria" w:hAnsi="Cambria"/>
          <w:sz w:val="21"/>
        </w:rPr>
      </w:pPr>
      <w:r>
        <w:rPr/>
        <w:pict>
          <v:rect style="position:absolute;margin-left:222.830475pt;margin-top:9.830913pt;width:4.93095pt;height:.7242pt;mso-position-horizontal-relative:page;mso-position-vertical-relative:paragraph;z-index:-25157632" id="docshape137" filled="true" fillcolor="#231f20" stroked="false">
            <v:fill type="solid"/>
            <w10:wrap type="none"/>
          </v:rect>
        </w:pict>
      </w:r>
      <w:r>
        <w:rPr>
          <w:rFonts w:ascii="Cambria" w:hAnsi="Cambria"/>
          <w:color w:val="231F20"/>
          <w:sz w:val="21"/>
        </w:rPr>
        <w:t>(20,000 units </w:t>
      </w:r>
      <w:r>
        <w:rPr>
          <w:rFonts w:ascii="Symbol" w:hAnsi="Symbol"/>
          <w:color w:val="231F20"/>
          <w:sz w:val="21"/>
        </w:rPr>
        <w:t></w:t>
      </w:r>
      <w:r>
        <w:rPr>
          <w:rFonts w:ascii="Times New Roman" w:hAnsi="Times New Roman"/>
          <w:color w:val="231F20"/>
          <w:sz w:val="21"/>
        </w:rPr>
        <w:t> </w:t>
      </w:r>
      <w:r>
        <w:rPr>
          <w:rFonts w:ascii="Cambria" w:hAnsi="Cambria"/>
          <w:color w:val="231F20"/>
          <w:sz w:val="21"/>
        </w:rPr>
        <w:t>7 gal.) </w:t>
      </w:r>
      <w:r>
        <w:rPr>
          <w:rFonts w:ascii="Symbol" w:hAnsi="Symbol"/>
          <w:color w:val="231F20"/>
          <w:sz w:val="21"/>
        </w:rPr>
        <w:t></w:t>
      </w:r>
      <w:r>
        <w:rPr>
          <w:rFonts w:ascii="Times New Roman" w:hAnsi="Times New Roman"/>
          <w:color w:val="231F20"/>
          <w:spacing w:val="80"/>
          <w:sz w:val="21"/>
        </w:rPr>
        <w:t> </w:t>
      </w:r>
      <w:r>
        <w:rPr>
          <w:rFonts w:ascii="Cambria" w:hAnsi="Cambria"/>
          <w:color w:val="231F20"/>
          <w:sz w:val="21"/>
        </w:rPr>
        <w:t>$280,000 negative paint price variance</w:t>
      </w:r>
    </w:p>
    <w:p>
      <w:pPr>
        <w:pStyle w:val="BodyText"/>
        <w:spacing w:before="5"/>
      </w:pPr>
    </w:p>
    <w:p>
      <w:pPr>
        <w:pStyle w:val="BodyText"/>
        <w:spacing w:line="292" w:lineRule="auto"/>
        <w:ind w:left="830" w:right="753" w:firstLine="340"/>
        <w:jc w:val="both"/>
      </w:pPr>
      <w:r>
        <w:rPr>
          <w:color w:val="231F20"/>
        </w:rPr>
        <w:t>This was the effect of paying more per gallon than planned. In- stead of scratching his head, the Dodge executive could use this information to confront his purchasing agent and demand that he negotiate a better deal the following month.</w:t>
      </w:r>
    </w:p>
    <w:p>
      <w:pPr>
        <w:pStyle w:val="BodyText"/>
        <w:spacing w:before="6"/>
        <w:rPr>
          <w:sz w:val="24"/>
        </w:rPr>
      </w:pPr>
    </w:p>
    <w:p>
      <w:pPr>
        <w:pStyle w:val="BodyText"/>
        <w:tabs>
          <w:tab w:pos="4996" w:val="left" w:leader="none"/>
        </w:tabs>
        <w:spacing w:line="278" w:lineRule="auto"/>
        <w:ind w:left="1350" w:right="1263"/>
        <w:jc w:val="center"/>
      </w:pPr>
      <w:r>
        <w:rPr/>
        <w:pict>
          <v:rect style="position:absolute;margin-left:258.488464pt;margin-top:7.680897pt;width:4.930940pt;height:.7242pt;mso-position-horizontal-relative:page;mso-position-vertical-relative:paragraph;z-index:-25157120" id="docshape138" filled="true" fillcolor="#231f20" stroked="false">
            <v:fill type="solid"/>
            <w10:wrap type="none"/>
          </v:rect>
        </w:pict>
      </w:r>
      <w:r>
        <w:rPr>
          <w:color w:val="231F20"/>
        </w:rPr>
        <w:t>Material Efficiency Variance </w:t>
      </w:r>
      <w:r>
        <w:rPr>
          <w:rFonts w:ascii="Symbol" w:hAnsi="Symbol"/>
          <w:color w:val="231F20"/>
        </w:rPr>
        <w:t></w:t>
      </w:r>
      <w:r>
        <w:rPr>
          <w:rFonts w:ascii="Times New Roman" w:hAnsi="Times New Roman"/>
          <w:color w:val="231F20"/>
        </w:rPr>
        <w:t> </w:t>
      </w:r>
      <w:r>
        <w:rPr>
          <w:color w:val="231F20"/>
        </w:rPr>
        <w:t>(8 gal.</w:t>
        <w:tab/>
        <w:t>7 gal.) </w:t>
      </w:r>
      <w:r>
        <w:rPr>
          <w:rFonts w:ascii="Symbol" w:hAnsi="Symbol"/>
          <w:color w:val="231F20"/>
        </w:rPr>
        <w:t></w:t>
      </w:r>
      <w:r>
        <w:rPr>
          <w:rFonts w:ascii="Times New Roman" w:hAnsi="Times New Roman"/>
          <w:color w:val="231F20"/>
        </w:rPr>
        <w:t> </w:t>
      </w:r>
      <w:r>
        <w:rPr>
          <w:color w:val="231F20"/>
        </w:rPr>
        <w:t>(20,000 units) </w:t>
      </w:r>
      <w:r>
        <w:rPr>
          <w:rFonts w:ascii="Symbol" w:hAnsi="Symbol"/>
          <w:color w:val="231F20"/>
        </w:rPr>
        <w:t></w:t>
      </w:r>
      <w:r>
        <w:rPr>
          <w:rFonts w:ascii="Times New Roman" w:hAnsi="Times New Roman"/>
          <w:color w:val="231F20"/>
        </w:rPr>
        <w:t> </w:t>
      </w:r>
      <w:r>
        <w:rPr>
          <w:color w:val="231F20"/>
        </w:rPr>
        <w:t>$10 per gallon </w:t>
      </w:r>
      <w:r>
        <w:rPr>
          <w:rFonts w:ascii="Symbol" w:hAnsi="Symbol"/>
          <w:color w:val="231F20"/>
        </w:rPr>
        <w:t></w:t>
      </w:r>
      <w:r>
        <w:rPr>
          <w:rFonts w:ascii="Times New Roman" w:hAnsi="Times New Roman"/>
          <w:color w:val="231F20"/>
        </w:rPr>
        <w:t> </w:t>
      </w:r>
      <w:r>
        <w:rPr>
          <w:color w:val="231F20"/>
        </w:rPr>
        <w:t>$200,000 positive variance</w:t>
      </w:r>
    </w:p>
    <w:p>
      <w:pPr>
        <w:pStyle w:val="BodyText"/>
        <w:spacing w:before="9"/>
        <w:rPr>
          <w:sz w:val="26"/>
        </w:rPr>
      </w:pPr>
    </w:p>
    <w:p>
      <w:pPr>
        <w:pStyle w:val="BodyText"/>
        <w:ind w:left="1170"/>
        <w:jc w:val="both"/>
      </w:pPr>
      <w:r>
        <w:rPr>
          <w:color w:val="231F20"/>
        </w:rPr>
        <w:t>This</w:t>
      </w:r>
      <w:r>
        <w:rPr>
          <w:color w:val="231F20"/>
          <w:spacing w:val="6"/>
        </w:rPr>
        <w:t> </w:t>
      </w:r>
      <w:r>
        <w:rPr>
          <w:color w:val="231F20"/>
        </w:rPr>
        <w:t>was</w:t>
      </w:r>
      <w:r>
        <w:rPr>
          <w:color w:val="231F20"/>
          <w:spacing w:val="7"/>
        </w:rPr>
        <w:t> </w:t>
      </w:r>
      <w:r>
        <w:rPr>
          <w:color w:val="231F20"/>
        </w:rPr>
        <w:t>the</w:t>
      </w:r>
      <w:r>
        <w:rPr>
          <w:color w:val="231F20"/>
          <w:spacing w:val="6"/>
        </w:rPr>
        <w:t> </w:t>
      </w:r>
      <w:r>
        <w:rPr>
          <w:color w:val="231F20"/>
        </w:rPr>
        <w:t>effect</w:t>
      </w:r>
      <w:r>
        <w:rPr>
          <w:color w:val="231F20"/>
          <w:spacing w:val="7"/>
        </w:rPr>
        <w:t> </w:t>
      </w:r>
      <w:r>
        <w:rPr>
          <w:color w:val="231F20"/>
        </w:rPr>
        <w:t>of</w:t>
      </w:r>
      <w:r>
        <w:rPr>
          <w:color w:val="231F20"/>
          <w:spacing w:val="7"/>
        </w:rPr>
        <w:t> </w:t>
      </w:r>
      <w:r>
        <w:rPr>
          <w:color w:val="231F20"/>
        </w:rPr>
        <w:t>using</w:t>
      </w:r>
      <w:r>
        <w:rPr>
          <w:color w:val="231F20"/>
          <w:spacing w:val="6"/>
        </w:rPr>
        <w:t> </w:t>
      </w:r>
      <w:r>
        <w:rPr>
          <w:color w:val="231F20"/>
        </w:rPr>
        <w:t>less</w:t>
      </w:r>
      <w:r>
        <w:rPr>
          <w:color w:val="231F20"/>
          <w:spacing w:val="7"/>
        </w:rPr>
        <w:t> </w:t>
      </w:r>
      <w:r>
        <w:rPr>
          <w:color w:val="231F20"/>
        </w:rPr>
        <w:t>paint</w:t>
      </w:r>
      <w:r>
        <w:rPr>
          <w:color w:val="231F20"/>
          <w:spacing w:val="6"/>
        </w:rPr>
        <w:t> </w:t>
      </w:r>
      <w:r>
        <w:rPr>
          <w:color w:val="231F20"/>
        </w:rPr>
        <w:t>than</w:t>
      </w:r>
      <w:r>
        <w:rPr>
          <w:color w:val="231F20"/>
          <w:spacing w:val="7"/>
        </w:rPr>
        <w:t> </w:t>
      </w:r>
      <w:r>
        <w:rPr>
          <w:color w:val="231F20"/>
          <w:spacing w:val="-2"/>
        </w:rPr>
        <w:t>planned.</w:t>
      </w:r>
    </w:p>
    <w:p>
      <w:pPr>
        <w:pStyle w:val="BodyText"/>
        <w:spacing w:line="292" w:lineRule="auto" w:before="54"/>
        <w:ind w:left="830" w:right="753" w:firstLine="340"/>
        <w:jc w:val="both"/>
      </w:pPr>
      <w:r>
        <w:rPr>
          <w:color w:val="231F20"/>
        </w:rPr>
        <w:t>As with ratios, there are an infinite number of variances that can be</w:t>
      </w:r>
      <w:r>
        <w:rPr>
          <w:color w:val="231F20"/>
          <w:spacing w:val="40"/>
        </w:rPr>
        <w:t> </w:t>
      </w:r>
      <w:r>
        <w:rPr>
          <w:color w:val="231F20"/>
        </w:rPr>
        <w:t>cooked</w:t>
      </w:r>
      <w:r>
        <w:rPr>
          <w:color w:val="231F20"/>
          <w:spacing w:val="40"/>
        </w:rPr>
        <w:t> </w:t>
      </w:r>
      <w:r>
        <w:rPr>
          <w:color w:val="231F20"/>
        </w:rPr>
        <w:t>up</w:t>
      </w:r>
      <w:r>
        <w:rPr>
          <w:color w:val="231F20"/>
          <w:spacing w:val="40"/>
        </w:rPr>
        <w:t> </w:t>
      </w:r>
      <w:r>
        <w:rPr>
          <w:color w:val="231F20"/>
        </w:rPr>
        <w:t>to</w:t>
      </w:r>
      <w:r>
        <w:rPr>
          <w:color w:val="231F20"/>
          <w:spacing w:val="40"/>
        </w:rPr>
        <w:t> </w:t>
      </w:r>
      <w:r>
        <w:rPr>
          <w:color w:val="231F20"/>
        </w:rPr>
        <w:t>keep</w:t>
      </w:r>
      <w:r>
        <w:rPr>
          <w:color w:val="231F20"/>
          <w:spacing w:val="40"/>
        </w:rPr>
        <w:t> </w:t>
      </w:r>
      <w:r>
        <w:rPr>
          <w:color w:val="231F20"/>
        </w:rPr>
        <w:t>a</w:t>
      </w:r>
      <w:r>
        <w:rPr>
          <w:color w:val="231F20"/>
          <w:spacing w:val="40"/>
        </w:rPr>
        <w:t> </w:t>
      </w:r>
      <w:r>
        <w:rPr>
          <w:color w:val="231F20"/>
        </w:rPr>
        <w:t>department</w:t>
      </w:r>
      <w:r>
        <w:rPr>
          <w:color w:val="231F20"/>
          <w:spacing w:val="40"/>
        </w:rPr>
        <w:t> </w:t>
      </w:r>
      <w:r>
        <w:rPr>
          <w:color w:val="231F20"/>
        </w:rPr>
        <w:t>of</w:t>
      </w:r>
      <w:r>
        <w:rPr>
          <w:color w:val="231F20"/>
          <w:spacing w:val="40"/>
        </w:rPr>
        <w:t> </w:t>
      </w:r>
      <w:r>
        <w:rPr>
          <w:color w:val="231F20"/>
        </w:rPr>
        <w:t>accounting</w:t>
      </w:r>
      <w:r>
        <w:rPr>
          <w:color w:val="231F20"/>
          <w:spacing w:val="40"/>
        </w:rPr>
        <w:t> </w:t>
      </w:r>
      <w:r>
        <w:rPr>
          <w:color w:val="231F20"/>
        </w:rPr>
        <w:t>analysts</w:t>
      </w:r>
      <w:r>
        <w:rPr>
          <w:color w:val="231F20"/>
          <w:spacing w:val="40"/>
        </w:rPr>
        <w:t> </w:t>
      </w:r>
      <w:r>
        <w:rPr>
          <w:color w:val="231F20"/>
        </w:rPr>
        <w:t>busy from now until the next century. There are basically only two types</w:t>
      </w:r>
      <w:r>
        <w:rPr>
          <w:color w:val="231F20"/>
          <w:spacing w:val="40"/>
        </w:rPr>
        <w:t> </w:t>
      </w:r>
      <w:r>
        <w:rPr>
          <w:color w:val="231F20"/>
        </w:rPr>
        <w:t>of variances: </w:t>
      </w:r>
      <w:r>
        <w:rPr>
          <w:i/>
          <w:color w:val="231F20"/>
        </w:rPr>
        <w:t>price </w:t>
      </w:r>
      <w:r>
        <w:rPr>
          <w:color w:val="231F20"/>
        </w:rPr>
        <w:t>and </w:t>
      </w:r>
      <w:r>
        <w:rPr>
          <w:i/>
          <w:color w:val="231F20"/>
        </w:rPr>
        <w:t>volume </w:t>
      </w:r>
      <w:r>
        <w:rPr>
          <w:color w:val="231F20"/>
        </w:rPr>
        <w:t>variances. When you hear the words </w:t>
      </w:r>
      <w:r>
        <w:rPr>
          <w:i/>
          <w:color w:val="231F20"/>
        </w:rPr>
        <w:t>managerial accounting, </w:t>
      </w:r>
      <w:r>
        <w:rPr>
          <w:color w:val="231F20"/>
        </w:rPr>
        <w:t>think “variances.”</w:t>
      </w:r>
    </w:p>
    <w:p>
      <w:pPr>
        <w:pStyle w:val="BodyText"/>
        <w:rPr>
          <w:sz w:val="24"/>
        </w:rPr>
      </w:pPr>
    </w:p>
    <w:p>
      <w:pPr>
        <w:pStyle w:val="BodyText"/>
        <w:spacing w:before="9"/>
        <w:rPr>
          <w:sz w:val="24"/>
        </w:rPr>
      </w:pPr>
    </w:p>
    <w:p>
      <w:pPr>
        <w:pStyle w:val="Heading4"/>
        <w:ind w:left="300"/>
      </w:pPr>
      <w:r>
        <w:rPr>
          <w:color w:val="231F20"/>
          <w:w w:val="85"/>
        </w:rPr>
        <w:t>COST</w:t>
      </w:r>
      <w:r>
        <w:rPr>
          <w:color w:val="231F20"/>
          <w:spacing w:val="21"/>
        </w:rPr>
        <w:t> </w:t>
      </w:r>
      <w:r>
        <w:rPr>
          <w:color w:val="231F20"/>
          <w:spacing w:val="9"/>
          <w:w w:val="85"/>
        </w:rPr>
        <w:t>ACCOUNTING</w:t>
      </w:r>
      <w:r>
        <w:rPr>
          <w:color w:val="231F20"/>
          <w:spacing w:val="22"/>
        </w:rPr>
        <w:t> </w:t>
      </w:r>
      <w:r>
        <w:rPr>
          <w:color w:val="231F20"/>
          <w:w w:val="85"/>
        </w:rPr>
        <w:t>AND</w:t>
      </w:r>
      <w:r>
        <w:rPr>
          <w:color w:val="231F20"/>
          <w:spacing w:val="22"/>
        </w:rPr>
        <w:t> </w:t>
      </w:r>
      <w:r>
        <w:rPr>
          <w:color w:val="231F20"/>
          <w:spacing w:val="9"/>
          <w:w w:val="85"/>
        </w:rPr>
        <w:t>ACTIVITY-</w:t>
      </w:r>
      <w:r>
        <w:rPr>
          <w:color w:val="231F20"/>
          <w:w w:val="85"/>
        </w:rPr>
        <w:t>BASED</w:t>
      </w:r>
      <w:r>
        <w:rPr>
          <w:color w:val="231F20"/>
          <w:spacing w:val="22"/>
        </w:rPr>
        <w:t> </w:t>
      </w:r>
      <w:r>
        <w:rPr>
          <w:color w:val="231F20"/>
          <w:spacing w:val="9"/>
          <w:w w:val="85"/>
        </w:rPr>
        <w:t>COSTING</w:t>
      </w:r>
    </w:p>
    <w:p>
      <w:pPr>
        <w:pStyle w:val="BodyText"/>
        <w:spacing w:before="10"/>
        <w:rPr>
          <w:rFonts w:ascii="Trebuchet MS"/>
          <w:sz w:val="29"/>
        </w:rPr>
      </w:pPr>
    </w:p>
    <w:p>
      <w:pPr>
        <w:pStyle w:val="BodyText"/>
        <w:spacing w:line="292" w:lineRule="auto" w:before="1"/>
        <w:ind w:left="830" w:right="756"/>
        <w:jc w:val="both"/>
      </w:pPr>
      <w:r>
        <w:rPr>
          <w:color w:val="231F20"/>
        </w:rPr>
        <w:t>Cost accounting is the relatively straightforward process of deter- mining the cost of producing goods and services. It is closely associ- ated with managerial accounting, as all its “standards” are based on the data gathered by cost accountants. With manufactured goods, direct labor and direct materials are relatively simple to allocate </w:t>
      </w:r>
      <w:r>
        <w:rPr>
          <w:color w:val="231F20"/>
        </w:rPr>
        <w:t>to the cost of a product. However, allocating overhead is much more difficult.</w:t>
      </w:r>
      <w:r>
        <w:rPr>
          <w:color w:val="231F20"/>
          <w:spacing w:val="22"/>
        </w:rPr>
        <w:t> </w:t>
      </w:r>
      <w:r>
        <w:rPr>
          <w:color w:val="231F20"/>
        </w:rPr>
        <w:t>More</w:t>
      </w:r>
      <w:r>
        <w:rPr>
          <w:color w:val="231F20"/>
          <w:spacing w:val="23"/>
        </w:rPr>
        <w:t> </w:t>
      </w:r>
      <w:r>
        <w:rPr>
          <w:color w:val="231F20"/>
        </w:rPr>
        <w:t>important,</w:t>
      </w:r>
      <w:r>
        <w:rPr>
          <w:color w:val="231F20"/>
          <w:spacing w:val="23"/>
        </w:rPr>
        <w:t> </w:t>
      </w:r>
      <w:r>
        <w:rPr>
          <w:color w:val="231F20"/>
        </w:rPr>
        <w:t>if</w:t>
      </w:r>
      <w:r>
        <w:rPr>
          <w:color w:val="231F20"/>
          <w:spacing w:val="23"/>
        </w:rPr>
        <w:t> </w:t>
      </w:r>
      <w:r>
        <w:rPr>
          <w:color w:val="231F20"/>
        </w:rPr>
        <w:t>not</w:t>
      </w:r>
      <w:r>
        <w:rPr>
          <w:color w:val="231F20"/>
          <w:spacing w:val="23"/>
        </w:rPr>
        <w:t> </w:t>
      </w:r>
      <w:r>
        <w:rPr>
          <w:color w:val="231F20"/>
        </w:rPr>
        <w:t>done</w:t>
      </w:r>
      <w:r>
        <w:rPr>
          <w:color w:val="231F20"/>
          <w:spacing w:val="23"/>
        </w:rPr>
        <w:t> </w:t>
      </w:r>
      <w:r>
        <w:rPr>
          <w:color w:val="231F20"/>
        </w:rPr>
        <w:t>properly,</w:t>
      </w:r>
      <w:r>
        <w:rPr>
          <w:color w:val="231F20"/>
          <w:spacing w:val="23"/>
        </w:rPr>
        <w:t> </w:t>
      </w:r>
      <w:r>
        <w:rPr>
          <w:color w:val="231F20"/>
        </w:rPr>
        <w:t>it</w:t>
      </w:r>
      <w:r>
        <w:rPr>
          <w:color w:val="231F20"/>
          <w:spacing w:val="23"/>
        </w:rPr>
        <w:t> </w:t>
      </w:r>
      <w:r>
        <w:rPr>
          <w:color w:val="231F20"/>
        </w:rPr>
        <w:t>may</w:t>
      </w:r>
      <w:r>
        <w:rPr>
          <w:color w:val="231F20"/>
          <w:spacing w:val="23"/>
        </w:rPr>
        <w:t> </w:t>
      </w:r>
      <w:r>
        <w:rPr>
          <w:color w:val="231F20"/>
        </w:rPr>
        <w:t>falsely</w:t>
      </w:r>
      <w:r>
        <w:rPr>
          <w:color w:val="231F20"/>
          <w:spacing w:val="23"/>
        </w:rPr>
        <w:t> </w:t>
      </w:r>
      <w:r>
        <w:rPr>
          <w:color w:val="231F20"/>
          <w:spacing w:val="-2"/>
        </w:rPr>
        <w:t>deter-</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mine profitability of individual products and divisions of </w:t>
      </w:r>
      <w:r>
        <w:rPr>
          <w:color w:val="231F20"/>
        </w:rPr>
        <w:t>companies. Overhead must be allocated based on the actual usage of the over- head expenses; hence, it is called </w:t>
      </w:r>
      <w:r>
        <w:rPr>
          <w:i/>
          <w:color w:val="231F20"/>
        </w:rPr>
        <w:t>activity-based costing </w:t>
      </w:r>
      <w:r>
        <w:rPr>
          <w:color w:val="231F20"/>
        </w:rPr>
        <w:t>(ABC). Over- head should be allocated based on what it takes to create and deliver the product to the customer. In the past, overhead expenses were a relatively minor component in relation to materials and labor costs, but today expenses such as telephone, billing, consultants, and com- puter systems are huge.</w:t>
      </w:r>
    </w:p>
    <w:p>
      <w:pPr>
        <w:pStyle w:val="BodyText"/>
        <w:spacing w:line="292" w:lineRule="auto"/>
        <w:ind w:left="919" w:right="664" w:firstLine="340"/>
        <w:jc w:val="both"/>
      </w:pPr>
      <w:r>
        <w:rPr>
          <w:color w:val="231F20"/>
        </w:rPr>
        <w:t>For example, if a high-revenue division of a company makes</w:t>
      </w:r>
      <w:r>
        <w:rPr>
          <w:color w:val="231F20"/>
          <w:spacing w:val="80"/>
          <w:w w:val="150"/>
        </w:rPr>
        <w:t> </w:t>
      </w:r>
      <w:r>
        <w:rPr>
          <w:color w:val="231F20"/>
        </w:rPr>
        <w:t>sales to a few vendors with few orders, it should be allocated less of the cost of the billing department’s cost than a lower-sales division that has many small customers ordering many times a year. If ac- countants allocate based on sales, not volume of transactions, the profit picture would be distorted. When a manufacturing process of</w:t>
      </w:r>
      <w:r>
        <w:rPr>
          <w:color w:val="231F20"/>
          <w:spacing w:val="80"/>
        </w:rPr>
        <w:t> </w:t>
      </w:r>
      <w:r>
        <w:rPr>
          <w:color w:val="231F20"/>
        </w:rPr>
        <w:t>a product is highly automated and that of another product is not, al- location of computer system expense based on direct labor hours would be misleading. What often happens in a company is that </w:t>
      </w:r>
      <w:r>
        <w:rPr>
          <w:color w:val="231F20"/>
        </w:rPr>
        <w:t>ac- countants, detached from the business, arbitrarily or mechanically allocate overhead expenses. That distorts the financial results that managers live or die by. Entire product lines and divisions can be</w:t>
      </w:r>
      <w:r>
        <w:rPr>
          <w:color w:val="231F20"/>
          <w:spacing w:val="40"/>
        </w:rPr>
        <w:t> </w:t>
      </w:r>
      <w:r>
        <w:rPr>
          <w:color w:val="231F20"/>
        </w:rPr>
        <w:t>shut down and or outsourced because of these relatively “unimpor- tant” allocation decisions that neglect their ABC’s.</w:t>
      </w:r>
    </w:p>
    <w:p>
      <w:pPr>
        <w:pStyle w:val="BodyText"/>
        <w:rPr>
          <w:sz w:val="24"/>
        </w:rPr>
      </w:pPr>
    </w:p>
    <w:p>
      <w:pPr>
        <w:pStyle w:val="BodyText"/>
        <w:spacing w:before="3"/>
        <w:rPr>
          <w:sz w:val="24"/>
        </w:rPr>
      </w:pPr>
    </w:p>
    <w:p>
      <w:pPr>
        <w:pStyle w:val="Heading4"/>
        <w:ind w:left="1267" w:right="0"/>
        <w:jc w:val="left"/>
      </w:pPr>
      <w:r>
        <w:rPr>
          <w:color w:val="231F20"/>
          <w:w w:val="85"/>
        </w:rPr>
        <w:t>THE</w:t>
      </w:r>
      <w:r>
        <w:rPr>
          <w:color w:val="231F20"/>
          <w:spacing w:val="26"/>
        </w:rPr>
        <w:t> </w:t>
      </w:r>
      <w:r>
        <w:rPr>
          <w:color w:val="231F20"/>
          <w:spacing w:val="9"/>
          <w:w w:val="85"/>
        </w:rPr>
        <w:t>SKEPTICAL</w:t>
      </w:r>
      <w:r>
        <w:rPr>
          <w:color w:val="231F20"/>
          <w:spacing w:val="27"/>
        </w:rPr>
        <w:t> </w:t>
      </w:r>
      <w:r>
        <w:rPr>
          <w:color w:val="231F20"/>
          <w:spacing w:val="11"/>
          <w:w w:val="85"/>
        </w:rPr>
        <w:t>ACCOUNTING-</w:t>
      </w:r>
      <w:r>
        <w:rPr>
          <w:color w:val="231F20"/>
          <w:w w:val="85"/>
        </w:rPr>
        <w:t>INFORMATION</w:t>
      </w:r>
      <w:r>
        <w:rPr>
          <w:color w:val="231F20"/>
          <w:spacing w:val="27"/>
        </w:rPr>
        <w:t> </w:t>
      </w:r>
      <w:r>
        <w:rPr>
          <w:color w:val="231F20"/>
          <w:spacing w:val="9"/>
          <w:w w:val="85"/>
        </w:rPr>
        <w:t>CONSUMER</w:t>
      </w:r>
    </w:p>
    <w:p>
      <w:pPr>
        <w:pStyle w:val="BodyText"/>
        <w:spacing w:before="10"/>
        <w:rPr>
          <w:rFonts w:ascii="Trebuchet MS"/>
          <w:sz w:val="29"/>
        </w:rPr>
      </w:pPr>
    </w:p>
    <w:p>
      <w:pPr>
        <w:pStyle w:val="BodyText"/>
        <w:spacing w:line="292" w:lineRule="auto"/>
        <w:ind w:left="920" w:right="664"/>
        <w:jc w:val="both"/>
      </w:pPr>
      <w:r>
        <w:rPr>
          <w:color w:val="231F20"/>
        </w:rPr>
        <w:t>As</w:t>
      </w:r>
      <w:r>
        <w:rPr>
          <w:color w:val="231F20"/>
          <w:spacing w:val="40"/>
        </w:rPr>
        <w:t> </w:t>
      </w:r>
      <w:r>
        <w:rPr>
          <w:color w:val="231F20"/>
        </w:rPr>
        <w:t>described</w:t>
      </w:r>
      <w:r>
        <w:rPr>
          <w:color w:val="231F20"/>
          <w:spacing w:val="40"/>
        </w:rPr>
        <w:t> </w:t>
      </w:r>
      <w:r>
        <w:rPr>
          <w:color w:val="231F20"/>
        </w:rPr>
        <w:t>in</w:t>
      </w:r>
      <w:r>
        <w:rPr>
          <w:color w:val="231F20"/>
          <w:spacing w:val="40"/>
        </w:rPr>
        <w:t> </w:t>
      </w:r>
      <w:r>
        <w:rPr>
          <w:color w:val="231F20"/>
        </w:rPr>
        <w:t>the</w:t>
      </w:r>
      <w:r>
        <w:rPr>
          <w:color w:val="231F20"/>
          <w:spacing w:val="40"/>
        </w:rPr>
        <w:t> </w:t>
      </w:r>
      <w:r>
        <w:rPr>
          <w:color w:val="231F20"/>
        </w:rPr>
        <w:t>“Ethics”</w:t>
      </w:r>
      <w:r>
        <w:rPr>
          <w:color w:val="231F20"/>
          <w:spacing w:val="40"/>
        </w:rPr>
        <w:t> </w:t>
      </w:r>
      <w:r>
        <w:rPr>
          <w:color w:val="231F20"/>
        </w:rPr>
        <w:t>chapter,</w:t>
      </w:r>
      <w:r>
        <w:rPr>
          <w:color w:val="231F20"/>
          <w:spacing w:val="40"/>
        </w:rPr>
        <w:t> </w:t>
      </w:r>
      <w:r>
        <w:rPr>
          <w:color w:val="231F20"/>
        </w:rPr>
        <w:t>the</w:t>
      </w:r>
      <w:r>
        <w:rPr>
          <w:color w:val="231F20"/>
          <w:spacing w:val="40"/>
        </w:rPr>
        <w:t> </w:t>
      </w:r>
      <w:r>
        <w:rPr>
          <w:color w:val="231F20"/>
        </w:rPr>
        <w:t>Sarbanes-Oxley</w:t>
      </w:r>
      <w:r>
        <w:rPr>
          <w:color w:val="231F20"/>
          <w:spacing w:val="40"/>
        </w:rPr>
        <w:t> </w:t>
      </w:r>
      <w:r>
        <w:rPr>
          <w:color w:val="231F20"/>
        </w:rPr>
        <w:t>Act</w:t>
      </w:r>
      <w:r>
        <w:rPr>
          <w:color w:val="231F20"/>
          <w:spacing w:val="40"/>
        </w:rPr>
        <w:t> </w:t>
      </w:r>
      <w:r>
        <w:rPr>
          <w:color w:val="231F20"/>
        </w:rPr>
        <w:t>of 2002</w:t>
      </w:r>
      <w:r>
        <w:rPr>
          <w:color w:val="231F20"/>
          <w:spacing w:val="40"/>
        </w:rPr>
        <w:t> </w:t>
      </w:r>
      <w:r>
        <w:rPr>
          <w:color w:val="231F20"/>
        </w:rPr>
        <w:t>tried</w:t>
      </w:r>
      <w:r>
        <w:rPr>
          <w:color w:val="231F20"/>
          <w:spacing w:val="40"/>
        </w:rPr>
        <w:t> </w:t>
      </w:r>
      <w:r>
        <w:rPr>
          <w:color w:val="231F20"/>
        </w:rPr>
        <w:t>to</w:t>
      </w:r>
      <w:r>
        <w:rPr>
          <w:color w:val="231F20"/>
          <w:spacing w:val="40"/>
        </w:rPr>
        <w:t> </w:t>
      </w:r>
      <w:r>
        <w:rPr>
          <w:color w:val="231F20"/>
        </w:rPr>
        <w:t>make</w:t>
      </w:r>
      <w:r>
        <w:rPr>
          <w:color w:val="231F20"/>
          <w:spacing w:val="40"/>
        </w:rPr>
        <w:t> </w:t>
      </w:r>
      <w:r>
        <w:rPr>
          <w:color w:val="231F20"/>
        </w:rPr>
        <w:t>accountants</w:t>
      </w:r>
      <w:r>
        <w:rPr>
          <w:color w:val="231F20"/>
          <w:spacing w:val="40"/>
        </w:rPr>
        <w:t> </w:t>
      </w:r>
      <w:r>
        <w:rPr>
          <w:color w:val="231F20"/>
        </w:rPr>
        <w:t>more</w:t>
      </w:r>
      <w:r>
        <w:rPr>
          <w:color w:val="231F20"/>
          <w:spacing w:val="40"/>
        </w:rPr>
        <w:t> </w:t>
      </w:r>
      <w:r>
        <w:rPr>
          <w:color w:val="231F20"/>
        </w:rPr>
        <w:t>honest.</w:t>
      </w:r>
      <w:r>
        <w:rPr>
          <w:color w:val="231F20"/>
          <w:spacing w:val="40"/>
        </w:rPr>
        <w:t> </w:t>
      </w:r>
      <w:r>
        <w:rPr>
          <w:color w:val="231F20"/>
        </w:rPr>
        <w:t>As</w:t>
      </w:r>
      <w:r>
        <w:rPr>
          <w:color w:val="231F20"/>
          <w:spacing w:val="40"/>
        </w:rPr>
        <w:t> </w:t>
      </w:r>
      <w:r>
        <w:rPr>
          <w:color w:val="231F20"/>
        </w:rPr>
        <w:t>a</w:t>
      </w:r>
      <w:r>
        <w:rPr>
          <w:color w:val="231F20"/>
          <w:spacing w:val="40"/>
        </w:rPr>
        <w:t> </w:t>
      </w:r>
      <w:r>
        <w:rPr>
          <w:color w:val="231F20"/>
        </w:rPr>
        <w:t>Ten-Day</w:t>
      </w:r>
      <w:r>
        <w:rPr>
          <w:color w:val="231F20"/>
          <w:spacing w:val="40"/>
        </w:rPr>
        <w:t> </w:t>
      </w:r>
      <w:r>
        <w:rPr>
          <w:color w:val="231F20"/>
        </w:rPr>
        <w:t>MBA you should be aware of the major ways that accountants can “cook the books.” When big frauds or bankruptcies occur, “forensic” ac- countants try to discover how things went wrong and often find the problem in following areas:</w:t>
      </w:r>
    </w:p>
    <w:p>
      <w:pPr>
        <w:pStyle w:val="BodyText"/>
        <w:spacing w:before="5"/>
        <w:rPr>
          <w:sz w:val="25"/>
        </w:rPr>
      </w:pPr>
    </w:p>
    <w:p>
      <w:pPr>
        <w:pStyle w:val="Heading6"/>
        <w:ind w:left="1260" w:right="0"/>
        <w:jc w:val="left"/>
        <w:rPr>
          <w:i/>
        </w:rPr>
      </w:pPr>
      <w:r>
        <w:rPr>
          <w:i/>
          <w:color w:val="231F20"/>
        </w:rPr>
        <w:t>Ten</w:t>
      </w:r>
      <w:r>
        <w:rPr>
          <w:i/>
          <w:color w:val="231F20"/>
          <w:spacing w:val="20"/>
        </w:rPr>
        <w:t> </w:t>
      </w:r>
      <w:r>
        <w:rPr>
          <w:i/>
          <w:color w:val="231F20"/>
        </w:rPr>
        <w:t>Ways</w:t>
      </w:r>
      <w:r>
        <w:rPr>
          <w:i/>
          <w:color w:val="231F20"/>
          <w:spacing w:val="21"/>
        </w:rPr>
        <w:t> </w:t>
      </w:r>
      <w:r>
        <w:rPr>
          <w:i/>
          <w:color w:val="231F20"/>
        </w:rPr>
        <w:t>Accountants</w:t>
      </w:r>
      <w:r>
        <w:rPr>
          <w:i/>
          <w:color w:val="231F20"/>
          <w:spacing w:val="21"/>
        </w:rPr>
        <w:t> </w:t>
      </w:r>
      <w:r>
        <w:rPr>
          <w:i/>
          <w:color w:val="231F20"/>
        </w:rPr>
        <w:t>Can</w:t>
      </w:r>
      <w:r>
        <w:rPr>
          <w:i/>
          <w:color w:val="231F20"/>
          <w:spacing w:val="21"/>
        </w:rPr>
        <w:t> </w:t>
      </w:r>
      <w:r>
        <w:rPr>
          <w:i/>
          <w:color w:val="231F20"/>
        </w:rPr>
        <w:t>Misstate</w:t>
      </w:r>
      <w:r>
        <w:rPr>
          <w:i/>
          <w:color w:val="231F20"/>
          <w:spacing w:val="21"/>
        </w:rPr>
        <w:t> </w:t>
      </w:r>
      <w:r>
        <w:rPr>
          <w:i/>
          <w:color w:val="231F20"/>
          <w:spacing w:val="-2"/>
        </w:rPr>
        <w:t>Earnings</w:t>
      </w:r>
    </w:p>
    <w:p>
      <w:pPr>
        <w:pStyle w:val="ListParagraph"/>
        <w:numPr>
          <w:ilvl w:val="1"/>
          <w:numId w:val="21"/>
        </w:numPr>
        <w:tabs>
          <w:tab w:pos="1611" w:val="left" w:leader="none"/>
        </w:tabs>
        <w:spacing w:line="240" w:lineRule="auto" w:before="75" w:after="0"/>
        <w:ind w:left="1610" w:right="0" w:hanging="171"/>
        <w:jc w:val="left"/>
        <w:rPr>
          <w:sz w:val="19"/>
        </w:rPr>
      </w:pPr>
      <w:r>
        <w:rPr>
          <w:color w:val="231F20"/>
          <w:w w:val="110"/>
          <w:sz w:val="19"/>
        </w:rPr>
        <w:t>Misclassify</w:t>
      </w:r>
      <w:r>
        <w:rPr>
          <w:color w:val="231F20"/>
          <w:spacing w:val="42"/>
          <w:w w:val="110"/>
          <w:sz w:val="19"/>
        </w:rPr>
        <w:t> </w:t>
      </w:r>
      <w:r>
        <w:rPr>
          <w:color w:val="231F20"/>
          <w:w w:val="110"/>
          <w:sz w:val="19"/>
        </w:rPr>
        <w:t>expenses</w:t>
      </w:r>
      <w:r>
        <w:rPr>
          <w:color w:val="231F20"/>
          <w:spacing w:val="42"/>
          <w:w w:val="110"/>
          <w:sz w:val="19"/>
        </w:rPr>
        <w:t> </w:t>
      </w:r>
      <w:r>
        <w:rPr>
          <w:color w:val="231F20"/>
          <w:w w:val="110"/>
          <w:sz w:val="19"/>
        </w:rPr>
        <w:t>as</w:t>
      </w:r>
      <w:r>
        <w:rPr>
          <w:color w:val="231F20"/>
          <w:spacing w:val="42"/>
          <w:w w:val="110"/>
          <w:sz w:val="19"/>
        </w:rPr>
        <w:t> </w:t>
      </w:r>
      <w:r>
        <w:rPr>
          <w:color w:val="231F20"/>
          <w:w w:val="110"/>
          <w:sz w:val="19"/>
        </w:rPr>
        <w:t>assets.</w:t>
      </w:r>
      <w:r>
        <w:rPr>
          <w:color w:val="231F20"/>
          <w:spacing w:val="42"/>
          <w:w w:val="110"/>
          <w:sz w:val="19"/>
        </w:rPr>
        <w:t> </w:t>
      </w:r>
      <w:r>
        <w:rPr>
          <w:color w:val="231F20"/>
          <w:w w:val="110"/>
          <w:sz w:val="19"/>
        </w:rPr>
        <w:t>WorldCom</w:t>
      </w:r>
      <w:r>
        <w:rPr>
          <w:color w:val="231F20"/>
          <w:spacing w:val="42"/>
          <w:w w:val="110"/>
          <w:sz w:val="19"/>
        </w:rPr>
        <w:t> </w:t>
      </w:r>
      <w:r>
        <w:rPr>
          <w:color w:val="231F20"/>
          <w:w w:val="110"/>
          <w:sz w:val="19"/>
        </w:rPr>
        <w:t>classified</w:t>
      </w:r>
      <w:r>
        <w:rPr>
          <w:color w:val="231F20"/>
          <w:spacing w:val="42"/>
          <w:w w:val="110"/>
          <w:sz w:val="19"/>
        </w:rPr>
        <w:t> </w:t>
      </w:r>
      <w:r>
        <w:rPr>
          <w:color w:val="231F20"/>
          <w:spacing w:val="-5"/>
          <w:w w:val="110"/>
          <w:sz w:val="19"/>
        </w:rPr>
        <w:t>its</w:t>
      </w:r>
    </w:p>
    <w:p>
      <w:pPr>
        <w:spacing w:after="0" w:line="240" w:lineRule="auto"/>
        <w:jc w:val="left"/>
        <w:rPr>
          <w:sz w:val="19"/>
        </w:rPr>
        <w:sectPr>
          <w:pgSz w:w="8640" w:h="12960"/>
          <w:pgMar w:header="734" w:footer="0" w:top="920" w:bottom="280" w:left="340" w:right="500"/>
        </w:sectPr>
      </w:pPr>
    </w:p>
    <w:p>
      <w:pPr>
        <w:pStyle w:val="BodyText"/>
        <w:spacing w:before="10"/>
        <w:rPr>
          <w:rFonts w:ascii="Arial"/>
          <w:sz w:val="19"/>
        </w:rPr>
      </w:pPr>
    </w:p>
    <w:p>
      <w:pPr>
        <w:spacing w:line="328" w:lineRule="auto" w:before="95"/>
        <w:ind w:left="1520" w:right="757" w:firstLine="0"/>
        <w:jc w:val="both"/>
        <w:rPr>
          <w:rFonts w:ascii="Arial"/>
          <w:sz w:val="19"/>
        </w:rPr>
      </w:pPr>
      <w:r>
        <w:rPr>
          <w:rFonts w:ascii="Arial"/>
          <w:color w:val="231F20"/>
          <w:w w:val="115"/>
          <w:sz w:val="19"/>
        </w:rPr>
        <w:t>ordinary cost of purchasing local phone access as an in- vestment in their network.</w:t>
      </w:r>
    </w:p>
    <w:p>
      <w:pPr>
        <w:pStyle w:val="ListParagraph"/>
        <w:numPr>
          <w:ilvl w:val="1"/>
          <w:numId w:val="21"/>
        </w:numPr>
        <w:tabs>
          <w:tab w:pos="1521" w:val="left" w:leader="none"/>
        </w:tabs>
        <w:spacing w:line="328" w:lineRule="auto" w:before="2" w:after="0"/>
        <w:ind w:left="1520" w:right="755" w:hanging="219"/>
        <w:jc w:val="both"/>
        <w:rPr>
          <w:sz w:val="19"/>
        </w:rPr>
      </w:pPr>
      <w:r>
        <w:rPr>
          <w:color w:val="231F20"/>
          <w:w w:val="110"/>
          <w:sz w:val="19"/>
        </w:rPr>
        <w:t>Underestimate sales allowances for returns, discounts, </w:t>
      </w:r>
      <w:r>
        <w:rPr>
          <w:color w:val="231F20"/>
          <w:w w:val="110"/>
          <w:sz w:val="19"/>
        </w:rPr>
        <w:t>and</w:t>
      </w:r>
      <w:r>
        <w:rPr>
          <w:color w:val="231F20"/>
          <w:w w:val="110"/>
          <w:sz w:val="19"/>
        </w:rPr>
        <w:t> </w:t>
      </w:r>
      <w:r>
        <w:rPr>
          <w:color w:val="231F20"/>
          <w:w w:val="115"/>
          <w:sz w:val="19"/>
        </w:rPr>
        <w:t>markdowns.</w:t>
      </w:r>
      <w:r>
        <w:rPr>
          <w:color w:val="231F20"/>
          <w:spacing w:val="-14"/>
          <w:w w:val="115"/>
          <w:sz w:val="19"/>
        </w:rPr>
        <w:t> </w:t>
      </w:r>
      <w:r>
        <w:rPr>
          <w:color w:val="231F20"/>
          <w:w w:val="115"/>
          <w:sz w:val="19"/>
        </w:rPr>
        <w:t>Underestimating</w:t>
      </w:r>
      <w:r>
        <w:rPr>
          <w:color w:val="231F20"/>
          <w:spacing w:val="-14"/>
          <w:w w:val="115"/>
          <w:sz w:val="19"/>
        </w:rPr>
        <w:t> </w:t>
      </w:r>
      <w:r>
        <w:rPr>
          <w:color w:val="231F20"/>
          <w:w w:val="115"/>
          <w:sz w:val="19"/>
        </w:rPr>
        <w:t>allowances</w:t>
      </w:r>
      <w:r>
        <w:rPr>
          <w:color w:val="231F20"/>
          <w:spacing w:val="-14"/>
          <w:w w:val="115"/>
          <w:sz w:val="19"/>
        </w:rPr>
        <w:t> </w:t>
      </w:r>
      <w:r>
        <w:rPr>
          <w:color w:val="231F20"/>
          <w:w w:val="115"/>
          <w:sz w:val="19"/>
        </w:rPr>
        <w:t>raises</w:t>
      </w:r>
      <w:r>
        <w:rPr>
          <w:color w:val="231F20"/>
          <w:spacing w:val="-14"/>
          <w:w w:val="115"/>
          <w:sz w:val="19"/>
        </w:rPr>
        <w:t> </w:t>
      </w:r>
      <w:r>
        <w:rPr>
          <w:color w:val="231F20"/>
          <w:w w:val="115"/>
          <w:sz w:val="19"/>
        </w:rPr>
        <w:t>profits.</w:t>
      </w:r>
    </w:p>
    <w:p>
      <w:pPr>
        <w:pStyle w:val="ListParagraph"/>
        <w:numPr>
          <w:ilvl w:val="1"/>
          <w:numId w:val="21"/>
        </w:numPr>
        <w:tabs>
          <w:tab w:pos="1521" w:val="left" w:leader="none"/>
        </w:tabs>
        <w:spacing w:line="328" w:lineRule="auto" w:before="1" w:after="0"/>
        <w:ind w:left="1520" w:right="753" w:hanging="223"/>
        <w:jc w:val="both"/>
        <w:rPr>
          <w:sz w:val="19"/>
        </w:rPr>
      </w:pPr>
      <w:r>
        <w:rPr>
          <w:color w:val="231F20"/>
          <w:w w:val="115"/>
          <w:sz w:val="19"/>
        </w:rPr>
        <w:t>Underestimate</w:t>
      </w:r>
      <w:r>
        <w:rPr>
          <w:color w:val="231F20"/>
          <w:w w:val="115"/>
          <w:sz w:val="19"/>
        </w:rPr>
        <w:t> bad-debt</w:t>
      </w:r>
      <w:r>
        <w:rPr>
          <w:color w:val="231F20"/>
          <w:w w:val="115"/>
          <w:sz w:val="19"/>
        </w:rPr>
        <w:t> allowances</w:t>
      </w:r>
      <w:r>
        <w:rPr>
          <w:color w:val="231F20"/>
          <w:w w:val="115"/>
          <w:sz w:val="19"/>
        </w:rPr>
        <w:t> on</w:t>
      </w:r>
      <w:r>
        <w:rPr>
          <w:color w:val="231F20"/>
          <w:w w:val="115"/>
          <w:sz w:val="19"/>
        </w:rPr>
        <w:t> sales</w:t>
      </w:r>
      <w:r>
        <w:rPr>
          <w:color w:val="231F20"/>
          <w:w w:val="115"/>
          <w:sz w:val="19"/>
        </w:rPr>
        <w:t> made</w:t>
      </w:r>
      <w:r>
        <w:rPr>
          <w:color w:val="231F20"/>
          <w:w w:val="115"/>
          <w:sz w:val="19"/>
        </w:rPr>
        <w:t> on credit.</w:t>
      </w:r>
      <w:r>
        <w:rPr>
          <w:color w:val="231F20"/>
          <w:spacing w:val="-16"/>
          <w:w w:val="115"/>
          <w:sz w:val="19"/>
        </w:rPr>
        <w:t> </w:t>
      </w:r>
      <w:r>
        <w:rPr>
          <w:color w:val="231F20"/>
          <w:w w:val="115"/>
          <w:sz w:val="19"/>
        </w:rPr>
        <w:t>If</w:t>
      </w:r>
      <w:r>
        <w:rPr>
          <w:color w:val="231F20"/>
          <w:spacing w:val="-15"/>
          <w:w w:val="115"/>
          <w:sz w:val="19"/>
        </w:rPr>
        <w:t> </w:t>
      </w:r>
      <w:r>
        <w:rPr>
          <w:color w:val="231F20"/>
          <w:w w:val="115"/>
          <w:sz w:val="19"/>
        </w:rPr>
        <w:t>you</w:t>
      </w:r>
      <w:r>
        <w:rPr>
          <w:color w:val="231F20"/>
          <w:spacing w:val="-15"/>
          <w:w w:val="115"/>
          <w:sz w:val="19"/>
        </w:rPr>
        <w:t> </w:t>
      </w:r>
      <w:r>
        <w:rPr>
          <w:color w:val="231F20"/>
          <w:w w:val="115"/>
          <w:sz w:val="19"/>
        </w:rPr>
        <w:t>underestimate</w:t>
      </w:r>
      <w:r>
        <w:rPr>
          <w:color w:val="231F20"/>
          <w:spacing w:val="-15"/>
          <w:w w:val="115"/>
          <w:sz w:val="19"/>
        </w:rPr>
        <w:t> </w:t>
      </w:r>
      <w:r>
        <w:rPr>
          <w:color w:val="231F20"/>
          <w:w w:val="115"/>
          <w:sz w:val="19"/>
        </w:rPr>
        <w:t>the</w:t>
      </w:r>
      <w:r>
        <w:rPr>
          <w:color w:val="231F20"/>
          <w:spacing w:val="-15"/>
          <w:w w:val="115"/>
          <w:sz w:val="19"/>
        </w:rPr>
        <w:t> </w:t>
      </w:r>
      <w:r>
        <w:rPr>
          <w:color w:val="231F20"/>
          <w:w w:val="115"/>
          <w:sz w:val="19"/>
        </w:rPr>
        <w:t>allowance</w:t>
      </w:r>
      <w:r>
        <w:rPr>
          <w:color w:val="231F20"/>
          <w:spacing w:val="-16"/>
          <w:w w:val="115"/>
          <w:sz w:val="19"/>
        </w:rPr>
        <w:t> </w:t>
      </w:r>
      <w:r>
        <w:rPr>
          <w:color w:val="231F20"/>
          <w:w w:val="115"/>
          <w:sz w:val="19"/>
        </w:rPr>
        <w:t>for</w:t>
      </w:r>
      <w:r>
        <w:rPr>
          <w:color w:val="231F20"/>
          <w:spacing w:val="-15"/>
          <w:w w:val="115"/>
          <w:sz w:val="19"/>
        </w:rPr>
        <w:t> </w:t>
      </w:r>
      <w:r>
        <w:rPr>
          <w:color w:val="231F20"/>
          <w:w w:val="115"/>
          <w:sz w:val="19"/>
        </w:rPr>
        <w:t>bad-debt</w:t>
      </w:r>
      <w:r>
        <w:rPr>
          <w:color w:val="231F20"/>
          <w:spacing w:val="-15"/>
          <w:w w:val="115"/>
          <w:sz w:val="19"/>
        </w:rPr>
        <w:t> </w:t>
      </w:r>
      <w:r>
        <w:rPr>
          <w:color w:val="231F20"/>
          <w:w w:val="115"/>
          <w:sz w:val="19"/>
        </w:rPr>
        <w:t>ex- pense, profits are increased.</w:t>
      </w:r>
    </w:p>
    <w:p>
      <w:pPr>
        <w:pStyle w:val="ListParagraph"/>
        <w:numPr>
          <w:ilvl w:val="1"/>
          <w:numId w:val="21"/>
        </w:numPr>
        <w:tabs>
          <w:tab w:pos="1521" w:val="left" w:leader="none"/>
        </w:tabs>
        <w:spacing w:line="328" w:lineRule="auto" w:before="2" w:after="0"/>
        <w:ind w:left="1520" w:right="753" w:hanging="233"/>
        <w:jc w:val="both"/>
        <w:rPr>
          <w:sz w:val="19"/>
        </w:rPr>
      </w:pPr>
      <w:r>
        <w:rPr>
          <w:color w:val="231F20"/>
          <w:w w:val="115"/>
          <w:sz w:val="19"/>
        </w:rPr>
        <w:t>Create</w:t>
      </w:r>
      <w:r>
        <w:rPr>
          <w:color w:val="231F20"/>
          <w:w w:val="115"/>
          <w:sz w:val="19"/>
        </w:rPr>
        <w:t> off-balance-sheet</w:t>
      </w:r>
      <w:r>
        <w:rPr>
          <w:color w:val="231F20"/>
          <w:w w:val="115"/>
          <w:sz w:val="19"/>
        </w:rPr>
        <w:t> liabilities.</w:t>
      </w:r>
      <w:r>
        <w:rPr>
          <w:color w:val="231F20"/>
          <w:w w:val="115"/>
          <w:sz w:val="19"/>
        </w:rPr>
        <w:t> The</w:t>
      </w:r>
      <w:r>
        <w:rPr>
          <w:color w:val="231F20"/>
          <w:w w:val="115"/>
          <w:sz w:val="19"/>
        </w:rPr>
        <w:t> Rigas</w:t>
      </w:r>
      <w:r>
        <w:rPr>
          <w:color w:val="231F20"/>
          <w:w w:val="115"/>
          <w:sz w:val="19"/>
        </w:rPr>
        <w:t> family </w:t>
      </w:r>
      <w:r>
        <w:rPr>
          <w:color w:val="231F20"/>
          <w:spacing w:val="-2"/>
          <w:w w:val="115"/>
          <w:sz w:val="19"/>
        </w:rPr>
        <w:t>pledged</w:t>
      </w:r>
      <w:r>
        <w:rPr>
          <w:color w:val="231F20"/>
          <w:spacing w:val="-5"/>
          <w:w w:val="115"/>
          <w:sz w:val="19"/>
        </w:rPr>
        <w:t> </w:t>
      </w:r>
      <w:r>
        <w:rPr>
          <w:color w:val="231F20"/>
          <w:spacing w:val="-2"/>
          <w:w w:val="115"/>
          <w:sz w:val="19"/>
        </w:rPr>
        <w:t>Adelphia</w:t>
      </w:r>
      <w:r>
        <w:rPr>
          <w:color w:val="231F20"/>
          <w:spacing w:val="-5"/>
          <w:w w:val="115"/>
          <w:sz w:val="19"/>
        </w:rPr>
        <w:t> </w:t>
      </w:r>
      <w:r>
        <w:rPr>
          <w:color w:val="231F20"/>
          <w:spacing w:val="-2"/>
          <w:w w:val="115"/>
          <w:sz w:val="19"/>
        </w:rPr>
        <w:t>Communications</w:t>
      </w:r>
      <w:r>
        <w:rPr>
          <w:color w:val="231F20"/>
          <w:spacing w:val="-5"/>
          <w:w w:val="115"/>
          <w:sz w:val="19"/>
        </w:rPr>
        <w:t> </w:t>
      </w:r>
      <w:r>
        <w:rPr>
          <w:color w:val="231F20"/>
          <w:spacing w:val="-2"/>
          <w:w w:val="115"/>
          <w:sz w:val="19"/>
        </w:rPr>
        <w:t>assets</w:t>
      </w:r>
      <w:r>
        <w:rPr>
          <w:color w:val="231F20"/>
          <w:spacing w:val="-5"/>
          <w:w w:val="115"/>
          <w:sz w:val="19"/>
        </w:rPr>
        <w:t> </w:t>
      </w:r>
      <w:r>
        <w:rPr>
          <w:color w:val="231F20"/>
          <w:spacing w:val="-2"/>
          <w:w w:val="115"/>
          <w:sz w:val="19"/>
        </w:rPr>
        <w:t>as</w:t>
      </w:r>
      <w:r>
        <w:rPr>
          <w:color w:val="231F20"/>
          <w:spacing w:val="-5"/>
          <w:w w:val="115"/>
          <w:sz w:val="19"/>
        </w:rPr>
        <w:t> </w:t>
      </w:r>
      <w:r>
        <w:rPr>
          <w:color w:val="231F20"/>
          <w:spacing w:val="-2"/>
          <w:w w:val="115"/>
          <w:sz w:val="19"/>
        </w:rPr>
        <w:t>collateral</w:t>
      </w:r>
      <w:r>
        <w:rPr>
          <w:color w:val="231F20"/>
          <w:spacing w:val="-5"/>
          <w:w w:val="115"/>
          <w:sz w:val="19"/>
        </w:rPr>
        <w:t> </w:t>
      </w:r>
      <w:r>
        <w:rPr>
          <w:color w:val="231F20"/>
          <w:spacing w:val="-2"/>
          <w:w w:val="115"/>
          <w:sz w:val="19"/>
        </w:rPr>
        <w:t>for</w:t>
      </w:r>
    </w:p>
    <w:p>
      <w:pPr>
        <w:spacing w:line="328" w:lineRule="auto" w:before="2"/>
        <w:ind w:left="1520" w:right="754" w:firstLine="0"/>
        <w:jc w:val="both"/>
        <w:rPr>
          <w:rFonts w:ascii="Arial" w:hAnsi="Arial"/>
          <w:sz w:val="19"/>
        </w:rPr>
      </w:pPr>
      <w:r>
        <w:rPr>
          <w:rFonts w:ascii="Arial" w:hAnsi="Arial"/>
          <w:color w:val="231F20"/>
          <w:w w:val="115"/>
          <w:sz w:val="19"/>
        </w:rPr>
        <w:t>$3.5 billion in personal loans. The assets had to be sold when</w:t>
      </w:r>
      <w:r>
        <w:rPr>
          <w:rFonts w:ascii="Arial" w:hAnsi="Arial"/>
          <w:color w:val="231F20"/>
          <w:spacing w:val="-6"/>
          <w:w w:val="115"/>
          <w:sz w:val="19"/>
        </w:rPr>
        <w:t> </w:t>
      </w:r>
      <w:r>
        <w:rPr>
          <w:rFonts w:ascii="Arial" w:hAnsi="Arial"/>
          <w:color w:val="231F20"/>
          <w:w w:val="115"/>
          <w:sz w:val="19"/>
        </w:rPr>
        <w:t>the</w:t>
      </w:r>
      <w:r>
        <w:rPr>
          <w:rFonts w:ascii="Arial" w:hAnsi="Arial"/>
          <w:color w:val="231F20"/>
          <w:spacing w:val="-6"/>
          <w:w w:val="115"/>
          <w:sz w:val="19"/>
        </w:rPr>
        <w:t> </w:t>
      </w:r>
      <w:r>
        <w:rPr>
          <w:rFonts w:ascii="Arial" w:hAnsi="Arial"/>
          <w:color w:val="231F20"/>
          <w:w w:val="115"/>
          <w:sz w:val="19"/>
        </w:rPr>
        <w:t>loan</w:t>
      </w:r>
      <w:r>
        <w:rPr>
          <w:rFonts w:ascii="Arial" w:hAnsi="Arial"/>
          <w:color w:val="231F20"/>
          <w:spacing w:val="-6"/>
          <w:w w:val="115"/>
          <w:sz w:val="19"/>
        </w:rPr>
        <w:t> </w:t>
      </w:r>
      <w:r>
        <w:rPr>
          <w:rFonts w:ascii="Arial" w:hAnsi="Arial"/>
          <w:color w:val="231F20"/>
          <w:w w:val="115"/>
          <w:sz w:val="19"/>
        </w:rPr>
        <w:t>could</w:t>
      </w:r>
      <w:r>
        <w:rPr>
          <w:rFonts w:ascii="Arial" w:hAnsi="Arial"/>
          <w:color w:val="231F20"/>
          <w:spacing w:val="-6"/>
          <w:w w:val="115"/>
          <w:sz w:val="19"/>
        </w:rPr>
        <w:t> </w:t>
      </w:r>
      <w:r>
        <w:rPr>
          <w:rFonts w:ascii="Arial" w:hAnsi="Arial"/>
          <w:color w:val="231F20"/>
          <w:w w:val="115"/>
          <w:sz w:val="19"/>
        </w:rPr>
        <w:t>not</w:t>
      </w:r>
      <w:r>
        <w:rPr>
          <w:rFonts w:ascii="Arial" w:hAnsi="Arial"/>
          <w:color w:val="231F20"/>
          <w:spacing w:val="-6"/>
          <w:w w:val="115"/>
          <w:sz w:val="19"/>
        </w:rPr>
        <w:t> </w:t>
      </w:r>
      <w:r>
        <w:rPr>
          <w:rFonts w:ascii="Arial" w:hAnsi="Arial"/>
          <w:color w:val="231F20"/>
          <w:w w:val="115"/>
          <w:sz w:val="19"/>
        </w:rPr>
        <w:t>be</w:t>
      </w:r>
      <w:r>
        <w:rPr>
          <w:rFonts w:ascii="Arial" w:hAnsi="Arial"/>
          <w:color w:val="231F20"/>
          <w:spacing w:val="-6"/>
          <w:w w:val="115"/>
          <w:sz w:val="19"/>
        </w:rPr>
        <w:t> </w:t>
      </w:r>
      <w:r>
        <w:rPr>
          <w:rFonts w:ascii="Arial" w:hAnsi="Arial"/>
          <w:color w:val="231F20"/>
          <w:w w:val="115"/>
          <w:sz w:val="19"/>
        </w:rPr>
        <w:t>paid</w:t>
      </w:r>
      <w:r>
        <w:rPr>
          <w:rFonts w:ascii="Arial" w:hAnsi="Arial"/>
          <w:color w:val="231F20"/>
          <w:spacing w:val="-6"/>
          <w:w w:val="115"/>
          <w:sz w:val="19"/>
        </w:rPr>
        <w:t> </w:t>
      </w:r>
      <w:r>
        <w:rPr>
          <w:rFonts w:ascii="Arial" w:hAnsi="Arial"/>
          <w:color w:val="231F20"/>
          <w:w w:val="115"/>
          <w:sz w:val="19"/>
        </w:rPr>
        <w:t>in</w:t>
      </w:r>
      <w:r>
        <w:rPr>
          <w:rFonts w:ascii="Arial" w:hAnsi="Arial"/>
          <w:color w:val="231F20"/>
          <w:spacing w:val="-6"/>
          <w:w w:val="115"/>
          <w:sz w:val="19"/>
        </w:rPr>
        <w:t> </w:t>
      </w:r>
      <w:r>
        <w:rPr>
          <w:rFonts w:ascii="Arial" w:hAnsi="Arial"/>
          <w:color w:val="231F20"/>
          <w:w w:val="115"/>
          <w:sz w:val="19"/>
        </w:rPr>
        <w:t>2002.</w:t>
      </w:r>
      <w:r>
        <w:rPr>
          <w:rFonts w:ascii="Arial" w:hAnsi="Arial"/>
          <w:color w:val="231F20"/>
          <w:spacing w:val="-6"/>
          <w:w w:val="115"/>
          <w:sz w:val="19"/>
        </w:rPr>
        <w:t> </w:t>
      </w:r>
      <w:r>
        <w:rPr>
          <w:rFonts w:ascii="Arial" w:hAnsi="Arial"/>
          <w:color w:val="231F20"/>
          <w:w w:val="115"/>
          <w:sz w:val="19"/>
        </w:rPr>
        <w:t>Enron’s</w:t>
      </w:r>
      <w:r>
        <w:rPr>
          <w:rFonts w:ascii="Arial" w:hAnsi="Arial"/>
          <w:color w:val="231F20"/>
          <w:spacing w:val="-6"/>
          <w:w w:val="115"/>
          <w:sz w:val="19"/>
        </w:rPr>
        <w:t> </w:t>
      </w:r>
      <w:r>
        <w:rPr>
          <w:rFonts w:ascii="Arial" w:hAnsi="Arial"/>
          <w:color w:val="231F20"/>
          <w:w w:val="115"/>
          <w:sz w:val="19"/>
        </w:rPr>
        <w:t>“special purpose entities” that were off the balance sheet created billions</w:t>
      </w:r>
      <w:r>
        <w:rPr>
          <w:rFonts w:ascii="Arial" w:hAnsi="Arial"/>
          <w:color w:val="231F20"/>
          <w:spacing w:val="-13"/>
          <w:w w:val="115"/>
          <w:sz w:val="19"/>
        </w:rPr>
        <w:t> </w:t>
      </w:r>
      <w:r>
        <w:rPr>
          <w:rFonts w:ascii="Arial" w:hAnsi="Arial"/>
          <w:color w:val="231F20"/>
          <w:w w:val="115"/>
          <w:sz w:val="19"/>
        </w:rPr>
        <w:t>in</w:t>
      </w:r>
      <w:r>
        <w:rPr>
          <w:rFonts w:ascii="Arial" w:hAnsi="Arial"/>
          <w:color w:val="231F20"/>
          <w:spacing w:val="-13"/>
          <w:w w:val="115"/>
          <w:sz w:val="19"/>
        </w:rPr>
        <w:t> </w:t>
      </w:r>
      <w:r>
        <w:rPr>
          <w:rFonts w:ascii="Arial" w:hAnsi="Arial"/>
          <w:color w:val="231F20"/>
          <w:w w:val="115"/>
          <w:sz w:val="19"/>
        </w:rPr>
        <w:t>liabilities</w:t>
      </w:r>
      <w:r>
        <w:rPr>
          <w:rFonts w:ascii="Arial" w:hAnsi="Arial"/>
          <w:color w:val="231F20"/>
          <w:spacing w:val="-13"/>
          <w:w w:val="115"/>
          <w:sz w:val="19"/>
        </w:rPr>
        <w:t> </w:t>
      </w:r>
      <w:r>
        <w:rPr>
          <w:rFonts w:ascii="Arial" w:hAnsi="Arial"/>
          <w:color w:val="231F20"/>
          <w:w w:val="115"/>
          <w:sz w:val="19"/>
        </w:rPr>
        <w:t>that</w:t>
      </w:r>
      <w:r>
        <w:rPr>
          <w:rFonts w:ascii="Arial" w:hAnsi="Arial"/>
          <w:color w:val="231F20"/>
          <w:spacing w:val="-13"/>
          <w:w w:val="115"/>
          <w:sz w:val="19"/>
        </w:rPr>
        <w:t> </w:t>
      </w:r>
      <w:r>
        <w:rPr>
          <w:rFonts w:ascii="Arial" w:hAnsi="Arial"/>
          <w:color w:val="231F20"/>
          <w:w w:val="115"/>
          <w:sz w:val="19"/>
        </w:rPr>
        <w:t>caused</w:t>
      </w:r>
      <w:r>
        <w:rPr>
          <w:rFonts w:ascii="Arial" w:hAnsi="Arial"/>
          <w:color w:val="231F20"/>
          <w:spacing w:val="-13"/>
          <w:w w:val="115"/>
          <w:sz w:val="19"/>
        </w:rPr>
        <w:t> </w:t>
      </w:r>
      <w:r>
        <w:rPr>
          <w:rFonts w:ascii="Arial" w:hAnsi="Arial"/>
          <w:color w:val="231F20"/>
          <w:w w:val="115"/>
          <w:sz w:val="19"/>
        </w:rPr>
        <w:t>the</w:t>
      </w:r>
      <w:r>
        <w:rPr>
          <w:rFonts w:ascii="Arial" w:hAnsi="Arial"/>
          <w:color w:val="231F20"/>
          <w:spacing w:val="-13"/>
          <w:w w:val="115"/>
          <w:sz w:val="19"/>
        </w:rPr>
        <w:t> </w:t>
      </w:r>
      <w:r>
        <w:rPr>
          <w:rFonts w:ascii="Arial" w:hAnsi="Arial"/>
          <w:color w:val="231F20"/>
          <w:w w:val="115"/>
          <w:sz w:val="19"/>
        </w:rPr>
        <w:t>company’s</w:t>
      </w:r>
      <w:r>
        <w:rPr>
          <w:rFonts w:ascii="Arial" w:hAnsi="Arial"/>
          <w:color w:val="231F20"/>
          <w:spacing w:val="-13"/>
          <w:w w:val="115"/>
          <w:sz w:val="19"/>
        </w:rPr>
        <w:t> </w:t>
      </w:r>
      <w:r>
        <w:rPr>
          <w:rFonts w:ascii="Arial" w:hAnsi="Arial"/>
          <w:color w:val="231F20"/>
          <w:w w:val="115"/>
          <w:sz w:val="19"/>
        </w:rPr>
        <w:t>bankruptcy in 2002.</w:t>
      </w:r>
    </w:p>
    <w:p>
      <w:pPr>
        <w:pStyle w:val="ListParagraph"/>
        <w:numPr>
          <w:ilvl w:val="1"/>
          <w:numId w:val="21"/>
        </w:numPr>
        <w:tabs>
          <w:tab w:pos="1521" w:val="left" w:leader="none"/>
        </w:tabs>
        <w:spacing w:line="328" w:lineRule="auto" w:before="3" w:after="0"/>
        <w:ind w:left="1519" w:right="754" w:hanging="222"/>
        <w:jc w:val="both"/>
        <w:rPr>
          <w:sz w:val="19"/>
        </w:rPr>
      </w:pPr>
      <w:r>
        <w:rPr>
          <w:color w:val="231F20"/>
          <w:w w:val="110"/>
          <w:sz w:val="19"/>
        </w:rPr>
        <w:t>Recognize phantom revenues. Qwest Communications recognized $1.1 billion in revenues for selling fiber-network use that was contingent on purchasing fiber services from other telecommunications firms. Both transactions never actually occurred, but both parties claimed revenues and the profits.</w:t>
      </w:r>
    </w:p>
    <w:p>
      <w:pPr>
        <w:pStyle w:val="ListParagraph"/>
        <w:numPr>
          <w:ilvl w:val="1"/>
          <w:numId w:val="21"/>
        </w:numPr>
        <w:tabs>
          <w:tab w:pos="1520" w:val="left" w:leader="none"/>
        </w:tabs>
        <w:spacing w:line="328" w:lineRule="auto" w:before="4" w:after="0"/>
        <w:ind w:left="1520" w:right="755" w:hanging="229"/>
        <w:jc w:val="both"/>
        <w:rPr>
          <w:sz w:val="19"/>
        </w:rPr>
      </w:pPr>
      <w:r>
        <w:rPr>
          <w:color w:val="231F20"/>
          <w:w w:val="115"/>
          <w:sz w:val="19"/>
        </w:rPr>
        <w:t>Depreciate</w:t>
      </w:r>
      <w:r>
        <w:rPr>
          <w:color w:val="231F20"/>
          <w:w w:val="115"/>
          <w:sz w:val="19"/>
        </w:rPr>
        <w:t> assets</w:t>
      </w:r>
      <w:r>
        <w:rPr>
          <w:color w:val="231F20"/>
          <w:w w:val="115"/>
          <w:sz w:val="19"/>
        </w:rPr>
        <w:t> too</w:t>
      </w:r>
      <w:r>
        <w:rPr>
          <w:color w:val="231F20"/>
          <w:w w:val="115"/>
          <w:sz w:val="19"/>
        </w:rPr>
        <w:t> slowly.</w:t>
      </w:r>
      <w:r>
        <w:rPr>
          <w:color w:val="231F20"/>
          <w:w w:val="115"/>
          <w:sz w:val="19"/>
        </w:rPr>
        <w:t> Waste</w:t>
      </w:r>
      <w:r>
        <w:rPr>
          <w:color w:val="231F20"/>
          <w:w w:val="115"/>
          <w:sz w:val="19"/>
        </w:rPr>
        <w:t> Management</w:t>
      </w:r>
      <w:r>
        <w:rPr>
          <w:color w:val="231F20"/>
          <w:w w:val="115"/>
          <w:sz w:val="19"/>
        </w:rPr>
        <w:t> was caught in 1998 stretching out the depreciable lives of its </w:t>
      </w:r>
      <w:r>
        <w:rPr>
          <w:color w:val="231F20"/>
          <w:spacing w:val="-2"/>
          <w:w w:val="115"/>
          <w:sz w:val="19"/>
        </w:rPr>
        <w:t>landfills</w:t>
      </w:r>
      <w:r>
        <w:rPr>
          <w:color w:val="231F20"/>
          <w:spacing w:val="-11"/>
          <w:w w:val="115"/>
          <w:sz w:val="19"/>
        </w:rPr>
        <w:t> </w:t>
      </w:r>
      <w:r>
        <w:rPr>
          <w:color w:val="231F20"/>
          <w:spacing w:val="-2"/>
          <w:w w:val="115"/>
          <w:sz w:val="19"/>
        </w:rPr>
        <w:t>and</w:t>
      </w:r>
      <w:r>
        <w:rPr>
          <w:color w:val="231F20"/>
          <w:spacing w:val="-11"/>
          <w:w w:val="115"/>
          <w:sz w:val="19"/>
        </w:rPr>
        <w:t> </w:t>
      </w:r>
      <w:r>
        <w:rPr>
          <w:color w:val="231F20"/>
          <w:spacing w:val="-2"/>
          <w:w w:val="115"/>
          <w:sz w:val="19"/>
        </w:rPr>
        <w:t>underreported</w:t>
      </w:r>
      <w:r>
        <w:rPr>
          <w:color w:val="231F20"/>
          <w:spacing w:val="-11"/>
          <w:w w:val="115"/>
          <w:sz w:val="19"/>
        </w:rPr>
        <w:t> </w:t>
      </w:r>
      <w:r>
        <w:rPr>
          <w:color w:val="231F20"/>
          <w:spacing w:val="-2"/>
          <w:w w:val="115"/>
          <w:sz w:val="19"/>
        </w:rPr>
        <w:t>by</w:t>
      </w:r>
      <w:r>
        <w:rPr>
          <w:color w:val="231F20"/>
          <w:spacing w:val="-11"/>
          <w:w w:val="115"/>
          <w:sz w:val="19"/>
        </w:rPr>
        <w:t> </w:t>
      </w:r>
      <w:r>
        <w:rPr>
          <w:color w:val="231F20"/>
          <w:spacing w:val="-2"/>
          <w:w w:val="115"/>
          <w:sz w:val="19"/>
        </w:rPr>
        <w:t>$3.5</w:t>
      </w:r>
      <w:r>
        <w:rPr>
          <w:color w:val="231F20"/>
          <w:spacing w:val="-11"/>
          <w:w w:val="115"/>
          <w:sz w:val="19"/>
        </w:rPr>
        <w:t> </w:t>
      </w:r>
      <w:r>
        <w:rPr>
          <w:color w:val="231F20"/>
          <w:spacing w:val="-2"/>
          <w:w w:val="115"/>
          <w:sz w:val="19"/>
        </w:rPr>
        <w:t>billion</w:t>
      </w:r>
      <w:r>
        <w:rPr>
          <w:color w:val="231F20"/>
          <w:spacing w:val="-11"/>
          <w:w w:val="115"/>
          <w:sz w:val="19"/>
        </w:rPr>
        <w:t> </w:t>
      </w:r>
      <w:r>
        <w:rPr>
          <w:color w:val="231F20"/>
          <w:spacing w:val="-2"/>
          <w:w w:val="115"/>
          <w:sz w:val="19"/>
        </w:rPr>
        <w:t>its</w:t>
      </w:r>
      <w:r>
        <w:rPr>
          <w:color w:val="231F20"/>
          <w:spacing w:val="-11"/>
          <w:w w:val="115"/>
          <w:sz w:val="19"/>
        </w:rPr>
        <w:t> </w:t>
      </w:r>
      <w:r>
        <w:rPr>
          <w:color w:val="231F20"/>
          <w:spacing w:val="-2"/>
          <w:w w:val="115"/>
          <w:sz w:val="19"/>
        </w:rPr>
        <w:t>annual</w:t>
      </w:r>
      <w:r>
        <w:rPr>
          <w:color w:val="231F20"/>
          <w:spacing w:val="-11"/>
          <w:w w:val="115"/>
          <w:sz w:val="19"/>
        </w:rPr>
        <w:t> </w:t>
      </w:r>
      <w:r>
        <w:rPr>
          <w:color w:val="231F20"/>
          <w:spacing w:val="-2"/>
          <w:w w:val="115"/>
          <w:sz w:val="19"/>
        </w:rPr>
        <w:t>depre-</w:t>
      </w:r>
      <w:r>
        <w:rPr>
          <w:color w:val="231F20"/>
          <w:spacing w:val="-2"/>
          <w:w w:val="115"/>
          <w:sz w:val="19"/>
        </w:rPr>
        <w:t> </w:t>
      </w:r>
      <w:r>
        <w:rPr>
          <w:color w:val="231F20"/>
          <w:w w:val="115"/>
          <w:sz w:val="19"/>
        </w:rPr>
        <w:t>ciation expense.</w:t>
      </w:r>
    </w:p>
    <w:p>
      <w:pPr>
        <w:pStyle w:val="ListParagraph"/>
        <w:numPr>
          <w:ilvl w:val="1"/>
          <w:numId w:val="21"/>
        </w:numPr>
        <w:tabs>
          <w:tab w:pos="1521" w:val="left" w:leader="none"/>
        </w:tabs>
        <w:spacing w:line="328" w:lineRule="auto" w:before="3" w:after="0"/>
        <w:ind w:left="1520" w:right="756" w:hanging="199"/>
        <w:jc w:val="both"/>
        <w:rPr>
          <w:sz w:val="19"/>
        </w:rPr>
      </w:pPr>
      <w:r>
        <w:rPr>
          <w:color w:val="231F20"/>
          <w:w w:val="110"/>
          <w:sz w:val="19"/>
        </w:rPr>
        <w:t>Modify adjustments to inventory. A company can </w:t>
      </w:r>
      <w:r>
        <w:rPr>
          <w:color w:val="231F20"/>
          <w:w w:val="110"/>
          <w:sz w:val="19"/>
        </w:rPr>
        <w:t>underes-</w:t>
      </w:r>
      <w:r>
        <w:rPr>
          <w:color w:val="231F20"/>
          <w:w w:val="110"/>
          <w:sz w:val="19"/>
        </w:rPr>
        <w:t> timate how much inventory will become obsolete. Reduc- ing obsolescence expense increases profits.</w:t>
      </w:r>
    </w:p>
    <w:p>
      <w:pPr>
        <w:pStyle w:val="ListParagraph"/>
        <w:numPr>
          <w:ilvl w:val="1"/>
          <w:numId w:val="21"/>
        </w:numPr>
        <w:tabs>
          <w:tab w:pos="1521" w:val="left" w:leader="none"/>
        </w:tabs>
        <w:spacing w:line="328" w:lineRule="auto" w:before="2" w:after="0"/>
        <w:ind w:left="1519" w:right="755" w:hanging="226"/>
        <w:jc w:val="both"/>
        <w:rPr>
          <w:sz w:val="19"/>
        </w:rPr>
      </w:pPr>
      <w:r>
        <w:rPr>
          <w:color w:val="231F20"/>
          <w:w w:val="115"/>
          <w:sz w:val="19"/>
        </w:rPr>
        <w:t>Forecast</w:t>
      </w:r>
      <w:r>
        <w:rPr>
          <w:color w:val="231F20"/>
          <w:spacing w:val="-10"/>
          <w:w w:val="115"/>
          <w:sz w:val="19"/>
        </w:rPr>
        <w:t> </w:t>
      </w:r>
      <w:r>
        <w:rPr>
          <w:color w:val="231F20"/>
          <w:w w:val="115"/>
          <w:sz w:val="19"/>
        </w:rPr>
        <w:t>unusual</w:t>
      </w:r>
      <w:r>
        <w:rPr>
          <w:color w:val="231F20"/>
          <w:spacing w:val="-10"/>
          <w:w w:val="115"/>
          <w:sz w:val="19"/>
        </w:rPr>
        <w:t> </w:t>
      </w:r>
      <w:r>
        <w:rPr>
          <w:color w:val="231F20"/>
          <w:w w:val="115"/>
          <w:sz w:val="19"/>
        </w:rPr>
        <w:t>gains</w:t>
      </w:r>
      <w:r>
        <w:rPr>
          <w:color w:val="231F20"/>
          <w:spacing w:val="-10"/>
          <w:w w:val="115"/>
          <w:sz w:val="19"/>
        </w:rPr>
        <w:t> </w:t>
      </w:r>
      <w:r>
        <w:rPr>
          <w:color w:val="231F20"/>
          <w:w w:val="115"/>
          <w:sz w:val="19"/>
        </w:rPr>
        <w:t>or</w:t>
      </w:r>
      <w:r>
        <w:rPr>
          <w:color w:val="231F20"/>
          <w:spacing w:val="-10"/>
          <w:w w:val="115"/>
          <w:sz w:val="19"/>
        </w:rPr>
        <w:t> </w:t>
      </w:r>
      <w:r>
        <w:rPr>
          <w:color w:val="231F20"/>
          <w:w w:val="115"/>
          <w:sz w:val="19"/>
        </w:rPr>
        <w:t>losses.</w:t>
      </w:r>
      <w:r>
        <w:rPr>
          <w:color w:val="231F20"/>
          <w:spacing w:val="-10"/>
          <w:w w:val="115"/>
          <w:sz w:val="19"/>
        </w:rPr>
        <w:t> </w:t>
      </w:r>
      <w:r>
        <w:rPr>
          <w:color w:val="231F20"/>
          <w:w w:val="115"/>
          <w:sz w:val="19"/>
        </w:rPr>
        <w:t>By</w:t>
      </w:r>
      <w:r>
        <w:rPr>
          <w:color w:val="231F20"/>
          <w:spacing w:val="-10"/>
          <w:w w:val="115"/>
          <w:sz w:val="19"/>
        </w:rPr>
        <w:t> </w:t>
      </w:r>
      <w:r>
        <w:rPr>
          <w:color w:val="231F20"/>
          <w:w w:val="115"/>
          <w:sz w:val="19"/>
        </w:rPr>
        <w:t>underestimating</w:t>
      </w:r>
      <w:r>
        <w:rPr>
          <w:color w:val="231F20"/>
          <w:spacing w:val="-10"/>
          <w:w w:val="115"/>
          <w:sz w:val="19"/>
        </w:rPr>
        <w:t> </w:t>
      </w:r>
      <w:r>
        <w:rPr>
          <w:color w:val="231F20"/>
          <w:w w:val="115"/>
          <w:sz w:val="19"/>
        </w:rPr>
        <w:t>the cost of restructuring or overestimating the proceeds from assets</w:t>
      </w:r>
      <w:r>
        <w:rPr>
          <w:color w:val="231F20"/>
          <w:spacing w:val="-10"/>
          <w:w w:val="115"/>
          <w:sz w:val="19"/>
        </w:rPr>
        <w:t> </w:t>
      </w:r>
      <w:r>
        <w:rPr>
          <w:color w:val="231F20"/>
          <w:w w:val="115"/>
          <w:sz w:val="19"/>
        </w:rPr>
        <w:t>sales,</w:t>
      </w:r>
      <w:r>
        <w:rPr>
          <w:color w:val="231F20"/>
          <w:spacing w:val="-10"/>
          <w:w w:val="115"/>
          <w:sz w:val="19"/>
        </w:rPr>
        <w:t> </w:t>
      </w:r>
      <w:r>
        <w:rPr>
          <w:color w:val="231F20"/>
          <w:w w:val="115"/>
          <w:sz w:val="19"/>
        </w:rPr>
        <w:t>an</w:t>
      </w:r>
      <w:r>
        <w:rPr>
          <w:color w:val="231F20"/>
          <w:spacing w:val="-10"/>
          <w:w w:val="115"/>
          <w:sz w:val="19"/>
        </w:rPr>
        <w:t> </w:t>
      </w:r>
      <w:r>
        <w:rPr>
          <w:color w:val="231F20"/>
          <w:w w:val="115"/>
          <w:sz w:val="19"/>
        </w:rPr>
        <w:t>accountant</w:t>
      </w:r>
      <w:r>
        <w:rPr>
          <w:color w:val="231F20"/>
          <w:spacing w:val="-10"/>
          <w:w w:val="115"/>
          <w:sz w:val="19"/>
        </w:rPr>
        <w:t> </w:t>
      </w:r>
      <w:r>
        <w:rPr>
          <w:color w:val="231F20"/>
          <w:w w:val="115"/>
          <w:sz w:val="19"/>
        </w:rPr>
        <w:t>can</w:t>
      </w:r>
      <w:r>
        <w:rPr>
          <w:color w:val="231F20"/>
          <w:spacing w:val="-10"/>
          <w:w w:val="115"/>
          <w:sz w:val="19"/>
        </w:rPr>
        <w:t> </w:t>
      </w:r>
      <w:r>
        <w:rPr>
          <w:color w:val="231F20"/>
          <w:w w:val="115"/>
          <w:sz w:val="19"/>
        </w:rPr>
        <w:t>inflate</w:t>
      </w:r>
      <w:r>
        <w:rPr>
          <w:color w:val="231F20"/>
          <w:spacing w:val="-10"/>
          <w:w w:val="115"/>
          <w:sz w:val="19"/>
        </w:rPr>
        <w:t> </w:t>
      </w:r>
      <w:r>
        <w:rPr>
          <w:color w:val="231F20"/>
          <w:w w:val="115"/>
          <w:sz w:val="19"/>
        </w:rPr>
        <w:t>profits.</w:t>
      </w:r>
      <w:r>
        <w:rPr>
          <w:color w:val="231F20"/>
          <w:spacing w:val="-10"/>
          <w:w w:val="115"/>
          <w:sz w:val="19"/>
        </w:rPr>
        <w:t> </w:t>
      </w:r>
      <w:r>
        <w:rPr>
          <w:color w:val="231F20"/>
          <w:w w:val="115"/>
          <w:sz w:val="19"/>
        </w:rPr>
        <w:t>Under</w:t>
      </w:r>
      <w:r>
        <w:rPr>
          <w:color w:val="231F20"/>
          <w:spacing w:val="-10"/>
          <w:w w:val="115"/>
          <w:sz w:val="19"/>
        </w:rPr>
        <w:t> </w:t>
      </w:r>
      <w:r>
        <w:rPr>
          <w:color w:val="231F20"/>
          <w:w w:val="115"/>
          <w:sz w:val="19"/>
        </w:rPr>
        <w:t>cer-</w:t>
      </w:r>
      <w:r>
        <w:rPr>
          <w:color w:val="231F20"/>
          <w:w w:val="115"/>
          <w:sz w:val="19"/>
        </w:rPr>
        <w:t> tain circumstances these items are segregated in the in- come</w:t>
      </w:r>
      <w:r>
        <w:rPr>
          <w:color w:val="231F20"/>
          <w:spacing w:val="-1"/>
          <w:w w:val="115"/>
          <w:sz w:val="19"/>
        </w:rPr>
        <w:t> </w:t>
      </w:r>
      <w:r>
        <w:rPr>
          <w:color w:val="231F20"/>
          <w:w w:val="115"/>
          <w:sz w:val="19"/>
        </w:rPr>
        <w:t>statement</w:t>
      </w:r>
      <w:r>
        <w:rPr>
          <w:color w:val="231F20"/>
          <w:spacing w:val="-1"/>
          <w:w w:val="115"/>
          <w:sz w:val="19"/>
        </w:rPr>
        <w:t> </w:t>
      </w:r>
      <w:r>
        <w:rPr>
          <w:color w:val="231F20"/>
          <w:w w:val="115"/>
          <w:sz w:val="19"/>
        </w:rPr>
        <w:t>and</w:t>
      </w:r>
      <w:r>
        <w:rPr>
          <w:color w:val="231F20"/>
          <w:spacing w:val="-1"/>
          <w:w w:val="115"/>
          <w:sz w:val="19"/>
        </w:rPr>
        <w:t> </w:t>
      </w:r>
      <w:r>
        <w:rPr>
          <w:color w:val="231F20"/>
          <w:w w:val="115"/>
          <w:sz w:val="19"/>
        </w:rPr>
        <w:t>may</w:t>
      </w:r>
      <w:r>
        <w:rPr>
          <w:color w:val="231F20"/>
          <w:spacing w:val="-1"/>
          <w:w w:val="115"/>
          <w:sz w:val="19"/>
        </w:rPr>
        <w:t> </w:t>
      </w:r>
      <w:r>
        <w:rPr>
          <w:color w:val="231F20"/>
          <w:w w:val="115"/>
          <w:sz w:val="19"/>
        </w:rPr>
        <w:t>not</w:t>
      </w:r>
      <w:r>
        <w:rPr>
          <w:color w:val="231F20"/>
          <w:spacing w:val="-1"/>
          <w:w w:val="115"/>
          <w:sz w:val="19"/>
        </w:rPr>
        <w:t> </w:t>
      </w:r>
      <w:r>
        <w:rPr>
          <w:color w:val="231F20"/>
          <w:w w:val="115"/>
          <w:sz w:val="19"/>
        </w:rPr>
        <w:t>affect</w:t>
      </w:r>
      <w:r>
        <w:rPr>
          <w:color w:val="231F20"/>
          <w:spacing w:val="-1"/>
          <w:w w:val="115"/>
          <w:sz w:val="19"/>
        </w:rPr>
        <w:t> </w:t>
      </w:r>
      <w:r>
        <w:rPr>
          <w:color w:val="231F20"/>
          <w:w w:val="115"/>
          <w:sz w:val="19"/>
        </w:rPr>
        <w:t>“operating</w:t>
      </w:r>
      <w:r>
        <w:rPr>
          <w:color w:val="231F20"/>
          <w:spacing w:val="-1"/>
          <w:w w:val="115"/>
          <w:sz w:val="19"/>
        </w:rPr>
        <w:t> </w:t>
      </w:r>
      <w:r>
        <w:rPr>
          <w:color w:val="231F20"/>
          <w:w w:val="115"/>
          <w:sz w:val="19"/>
        </w:rPr>
        <w:t>earnings.”</w:t>
      </w:r>
    </w:p>
    <w:p>
      <w:pPr>
        <w:pStyle w:val="ListParagraph"/>
        <w:numPr>
          <w:ilvl w:val="1"/>
          <w:numId w:val="21"/>
        </w:numPr>
        <w:tabs>
          <w:tab w:pos="1520" w:val="left" w:leader="none"/>
        </w:tabs>
        <w:spacing w:line="328" w:lineRule="auto" w:before="3" w:after="0"/>
        <w:ind w:left="1519" w:right="757" w:hanging="227"/>
        <w:jc w:val="both"/>
        <w:rPr>
          <w:sz w:val="19"/>
        </w:rPr>
      </w:pPr>
      <w:r>
        <w:rPr>
          <w:color w:val="231F20"/>
          <w:spacing w:val="-2"/>
          <w:w w:val="115"/>
          <w:sz w:val="19"/>
        </w:rPr>
        <w:t>Create</w:t>
      </w:r>
      <w:r>
        <w:rPr>
          <w:color w:val="231F20"/>
          <w:spacing w:val="-14"/>
          <w:w w:val="115"/>
          <w:sz w:val="19"/>
        </w:rPr>
        <w:t> </w:t>
      </w:r>
      <w:r>
        <w:rPr>
          <w:color w:val="231F20"/>
          <w:spacing w:val="-2"/>
          <w:w w:val="115"/>
          <w:sz w:val="19"/>
        </w:rPr>
        <w:t>special</w:t>
      </w:r>
      <w:r>
        <w:rPr>
          <w:color w:val="231F20"/>
          <w:spacing w:val="-13"/>
          <w:w w:val="115"/>
          <w:sz w:val="19"/>
        </w:rPr>
        <w:t> </w:t>
      </w:r>
      <w:r>
        <w:rPr>
          <w:color w:val="231F20"/>
          <w:spacing w:val="-2"/>
          <w:w w:val="115"/>
          <w:sz w:val="19"/>
        </w:rPr>
        <w:t>reserves</w:t>
      </w:r>
      <w:r>
        <w:rPr>
          <w:color w:val="231F20"/>
          <w:spacing w:val="-13"/>
          <w:w w:val="115"/>
          <w:sz w:val="19"/>
        </w:rPr>
        <w:t> </w:t>
      </w:r>
      <w:r>
        <w:rPr>
          <w:color w:val="231F20"/>
          <w:spacing w:val="-2"/>
          <w:w w:val="115"/>
          <w:sz w:val="19"/>
        </w:rPr>
        <w:t>by</w:t>
      </w:r>
      <w:r>
        <w:rPr>
          <w:color w:val="231F20"/>
          <w:spacing w:val="-13"/>
          <w:w w:val="115"/>
          <w:sz w:val="19"/>
        </w:rPr>
        <w:t> </w:t>
      </w:r>
      <w:r>
        <w:rPr>
          <w:color w:val="231F20"/>
          <w:spacing w:val="-2"/>
          <w:w w:val="115"/>
          <w:sz w:val="19"/>
        </w:rPr>
        <w:t>overestimating</w:t>
      </w:r>
      <w:r>
        <w:rPr>
          <w:color w:val="231F20"/>
          <w:spacing w:val="-13"/>
          <w:w w:val="115"/>
          <w:sz w:val="19"/>
        </w:rPr>
        <w:t> </w:t>
      </w:r>
      <w:r>
        <w:rPr>
          <w:color w:val="231F20"/>
          <w:spacing w:val="-2"/>
          <w:w w:val="115"/>
          <w:sz w:val="19"/>
        </w:rPr>
        <w:t>future</w:t>
      </w:r>
      <w:r>
        <w:rPr>
          <w:color w:val="231F20"/>
          <w:spacing w:val="-14"/>
          <w:w w:val="115"/>
          <w:sz w:val="19"/>
        </w:rPr>
        <w:t> </w:t>
      </w:r>
      <w:r>
        <w:rPr>
          <w:color w:val="231F20"/>
          <w:spacing w:val="-2"/>
          <w:w w:val="115"/>
          <w:sz w:val="19"/>
        </w:rPr>
        <w:t>expenses </w:t>
      </w:r>
      <w:r>
        <w:rPr>
          <w:color w:val="231F20"/>
          <w:w w:val="115"/>
          <w:sz w:val="19"/>
        </w:rPr>
        <w:t>and boost profits by revising those estimates downward later.</w:t>
      </w:r>
      <w:r>
        <w:rPr>
          <w:color w:val="231F20"/>
          <w:spacing w:val="26"/>
          <w:w w:val="115"/>
          <w:sz w:val="19"/>
        </w:rPr>
        <w:t> </w:t>
      </w:r>
      <w:r>
        <w:rPr>
          <w:color w:val="231F20"/>
          <w:w w:val="115"/>
          <w:sz w:val="19"/>
        </w:rPr>
        <w:t>Using</w:t>
      </w:r>
      <w:r>
        <w:rPr>
          <w:color w:val="231F20"/>
          <w:spacing w:val="26"/>
          <w:w w:val="115"/>
          <w:sz w:val="19"/>
        </w:rPr>
        <w:t> </w:t>
      </w:r>
      <w:r>
        <w:rPr>
          <w:color w:val="231F20"/>
          <w:w w:val="115"/>
          <w:sz w:val="19"/>
        </w:rPr>
        <w:t>the</w:t>
      </w:r>
      <w:r>
        <w:rPr>
          <w:color w:val="231F20"/>
          <w:spacing w:val="26"/>
          <w:w w:val="115"/>
          <w:sz w:val="19"/>
        </w:rPr>
        <w:t> </w:t>
      </w:r>
      <w:r>
        <w:rPr>
          <w:color w:val="231F20"/>
          <w:w w:val="115"/>
          <w:sz w:val="19"/>
        </w:rPr>
        <w:t>same</w:t>
      </w:r>
      <w:r>
        <w:rPr>
          <w:color w:val="231F20"/>
          <w:spacing w:val="26"/>
          <w:w w:val="115"/>
          <w:sz w:val="19"/>
        </w:rPr>
        <w:t> </w:t>
      </w:r>
      <w:r>
        <w:rPr>
          <w:color w:val="231F20"/>
          <w:w w:val="115"/>
          <w:sz w:val="19"/>
        </w:rPr>
        <w:t>adjustments</w:t>
      </w:r>
      <w:r>
        <w:rPr>
          <w:color w:val="231F20"/>
          <w:spacing w:val="26"/>
          <w:w w:val="115"/>
          <w:sz w:val="19"/>
        </w:rPr>
        <w:t> </w:t>
      </w:r>
      <w:r>
        <w:rPr>
          <w:color w:val="231F20"/>
          <w:w w:val="115"/>
          <w:sz w:val="19"/>
        </w:rPr>
        <w:t>referred</w:t>
      </w:r>
      <w:r>
        <w:rPr>
          <w:color w:val="231F20"/>
          <w:spacing w:val="26"/>
          <w:w w:val="115"/>
          <w:sz w:val="19"/>
        </w:rPr>
        <w:t> </w:t>
      </w:r>
      <w:r>
        <w:rPr>
          <w:color w:val="231F20"/>
          <w:w w:val="115"/>
          <w:sz w:val="19"/>
        </w:rPr>
        <w:t>to</w:t>
      </w:r>
      <w:r>
        <w:rPr>
          <w:color w:val="231F20"/>
          <w:spacing w:val="26"/>
          <w:w w:val="115"/>
          <w:sz w:val="19"/>
        </w:rPr>
        <w:t> </w:t>
      </w:r>
      <w:r>
        <w:rPr>
          <w:color w:val="231F20"/>
          <w:w w:val="115"/>
          <w:sz w:val="19"/>
        </w:rPr>
        <w:t>above</w:t>
      </w:r>
      <w:r>
        <w:rPr>
          <w:color w:val="231F20"/>
          <w:spacing w:val="26"/>
          <w:w w:val="115"/>
          <w:sz w:val="19"/>
        </w:rPr>
        <w:t> </w:t>
      </w:r>
      <w:r>
        <w:rPr>
          <w:color w:val="231F20"/>
          <w:w w:val="115"/>
          <w:sz w:val="19"/>
        </w:rPr>
        <w:t>to</w:t>
      </w:r>
    </w:p>
    <w:p>
      <w:pPr>
        <w:spacing w:after="0" w:line="328" w:lineRule="auto"/>
        <w:jc w:val="both"/>
        <w:rPr>
          <w:sz w:val="19"/>
        </w:rPr>
        <w:sectPr>
          <w:pgSz w:w="8640" w:h="12960"/>
          <w:pgMar w:header="732" w:footer="0" w:top="920" w:bottom="280" w:left="340" w:right="500"/>
        </w:sectPr>
      </w:pPr>
    </w:p>
    <w:p>
      <w:pPr>
        <w:pStyle w:val="BodyText"/>
        <w:spacing w:before="8"/>
        <w:rPr>
          <w:rFonts w:ascii="Arial"/>
          <w:sz w:val="19"/>
        </w:rPr>
      </w:pPr>
    </w:p>
    <w:p>
      <w:pPr>
        <w:spacing w:line="328" w:lineRule="auto" w:before="95"/>
        <w:ind w:left="1610" w:right="664" w:firstLine="0"/>
        <w:jc w:val="both"/>
        <w:rPr>
          <w:rFonts w:ascii="Arial" w:hAnsi="Arial"/>
          <w:sz w:val="19"/>
        </w:rPr>
      </w:pPr>
      <w:r>
        <w:rPr>
          <w:rFonts w:ascii="Arial" w:hAnsi="Arial"/>
          <w:color w:val="231F20"/>
          <w:w w:val="115"/>
          <w:sz w:val="19"/>
        </w:rPr>
        <w:t>boost</w:t>
      </w:r>
      <w:r>
        <w:rPr>
          <w:rFonts w:ascii="Arial" w:hAnsi="Arial"/>
          <w:color w:val="231F20"/>
          <w:w w:val="115"/>
          <w:sz w:val="19"/>
        </w:rPr>
        <w:t> profits,</w:t>
      </w:r>
      <w:r>
        <w:rPr>
          <w:rFonts w:ascii="Arial" w:hAnsi="Arial"/>
          <w:color w:val="231F20"/>
          <w:w w:val="115"/>
          <w:sz w:val="19"/>
        </w:rPr>
        <w:t> a</w:t>
      </w:r>
      <w:r>
        <w:rPr>
          <w:rFonts w:ascii="Arial" w:hAnsi="Arial"/>
          <w:color w:val="231F20"/>
          <w:w w:val="115"/>
          <w:sz w:val="19"/>
        </w:rPr>
        <w:t> company</w:t>
      </w:r>
      <w:r>
        <w:rPr>
          <w:rFonts w:ascii="Arial" w:hAnsi="Arial"/>
          <w:color w:val="231F20"/>
          <w:w w:val="115"/>
          <w:sz w:val="19"/>
        </w:rPr>
        <w:t> can</w:t>
      </w:r>
      <w:r>
        <w:rPr>
          <w:rFonts w:ascii="Arial" w:hAnsi="Arial"/>
          <w:color w:val="231F20"/>
          <w:w w:val="115"/>
          <w:sz w:val="19"/>
        </w:rPr>
        <w:t> overestimate</w:t>
      </w:r>
      <w:r>
        <w:rPr>
          <w:rFonts w:ascii="Arial" w:hAnsi="Arial"/>
          <w:color w:val="231F20"/>
          <w:w w:val="115"/>
          <w:sz w:val="19"/>
        </w:rPr>
        <w:t> expense</w:t>
      </w:r>
      <w:r>
        <w:rPr>
          <w:rFonts w:ascii="Arial" w:hAnsi="Arial"/>
          <w:color w:val="231F20"/>
          <w:w w:val="115"/>
          <w:sz w:val="19"/>
        </w:rPr>
        <w:t> al- lowances</w:t>
      </w:r>
      <w:r>
        <w:rPr>
          <w:rFonts w:ascii="Arial" w:hAnsi="Arial"/>
          <w:color w:val="231F20"/>
          <w:w w:val="115"/>
          <w:sz w:val="19"/>
        </w:rPr>
        <w:t> to</w:t>
      </w:r>
      <w:r>
        <w:rPr>
          <w:rFonts w:ascii="Arial" w:hAnsi="Arial"/>
          <w:color w:val="231F20"/>
          <w:w w:val="115"/>
          <w:sz w:val="19"/>
        </w:rPr>
        <w:t> dampen</w:t>
      </w:r>
      <w:r>
        <w:rPr>
          <w:rFonts w:ascii="Arial" w:hAnsi="Arial"/>
          <w:color w:val="231F20"/>
          <w:w w:val="115"/>
          <w:sz w:val="19"/>
        </w:rPr>
        <w:t> profits</w:t>
      </w:r>
      <w:r>
        <w:rPr>
          <w:rFonts w:ascii="Arial" w:hAnsi="Arial"/>
          <w:color w:val="231F20"/>
          <w:w w:val="115"/>
          <w:sz w:val="19"/>
        </w:rPr>
        <w:t> when</w:t>
      </w:r>
      <w:r>
        <w:rPr>
          <w:rFonts w:ascii="Arial" w:hAnsi="Arial"/>
          <w:color w:val="231F20"/>
          <w:w w:val="115"/>
          <w:sz w:val="19"/>
        </w:rPr>
        <w:t> profits</w:t>
      </w:r>
      <w:r>
        <w:rPr>
          <w:rFonts w:ascii="Arial" w:hAnsi="Arial"/>
          <w:color w:val="231F20"/>
          <w:w w:val="115"/>
          <w:sz w:val="19"/>
        </w:rPr>
        <w:t> are</w:t>
      </w:r>
      <w:r>
        <w:rPr>
          <w:rFonts w:ascii="Arial" w:hAnsi="Arial"/>
          <w:color w:val="231F20"/>
          <w:w w:val="115"/>
          <w:sz w:val="19"/>
        </w:rPr>
        <w:t> high.</w:t>
      </w:r>
      <w:r>
        <w:rPr>
          <w:rFonts w:ascii="Arial" w:hAnsi="Arial"/>
          <w:color w:val="231F20"/>
          <w:w w:val="115"/>
          <w:sz w:val="19"/>
        </w:rPr>
        <w:t> This creates</w:t>
      </w:r>
      <w:r>
        <w:rPr>
          <w:rFonts w:ascii="Arial" w:hAnsi="Arial"/>
          <w:color w:val="231F20"/>
          <w:spacing w:val="-3"/>
          <w:w w:val="115"/>
          <w:sz w:val="19"/>
        </w:rPr>
        <w:t> </w:t>
      </w:r>
      <w:r>
        <w:rPr>
          <w:rFonts w:ascii="Arial" w:hAnsi="Arial"/>
          <w:color w:val="231F20"/>
          <w:w w:val="115"/>
          <w:sz w:val="19"/>
        </w:rPr>
        <w:t>a</w:t>
      </w:r>
      <w:r>
        <w:rPr>
          <w:rFonts w:ascii="Arial" w:hAnsi="Arial"/>
          <w:color w:val="231F20"/>
          <w:spacing w:val="-3"/>
          <w:w w:val="115"/>
          <w:sz w:val="19"/>
        </w:rPr>
        <w:t> </w:t>
      </w:r>
      <w:r>
        <w:rPr>
          <w:rFonts w:ascii="Arial" w:hAnsi="Arial"/>
          <w:color w:val="231F20"/>
          <w:w w:val="115"/>
          <w:sz w:val="19"/>
        </w:rPr>
        <w:t>“cookie</w:t>
      </w:r>
      <w:r>
        <w:rPr>
          <w:rFonts w:ascii="Arial" w:hAnsi="Arial"/>
          <w:color w:val="231F20"/>
          <w:spacing w:val="-3"/>
          <w:w w:val="115"/>
          <w:sz w:val="19"/>
        </w:rPr>
        <w:t> </w:t>
      </w:r>
      <w:r>
        <w:rPr>
          <w:rFonts w:ascii="Arial" w:hAnsi="Arial"/>
          <w:color w:val="231F20"/>
          <w:w w:val="115"/>
          <w:sz w:val="19"/>
        </w:rPr>
        <w:t>jar”</w:t>
      </w:r>
      <w:r>
        <w:rPr>
          <w:rFonts w:ascii="Arial" w:hAnsi="Arial"/>
          <w:color w:val="231F20"/>
          <w:spacing w:val="-3"/>
          <w:w w:val="115"/>
          <w:sz w:val="19"/>
        </w:rPr>
        <w:t> </w:t>
      </w:r>
      <w:r>
        <w:rPr>
          <w:rFonts w:ascii="Arial" w:hAnsi="Arial"/>
          <w:color w:val="231F20"/>
          <w:w w:val="115"/>
          <w:sz w:val="19"/>
        </w:rPr>
        <w:t>reserve</w:t>
      </w:r>
      <w:r>
        <w:rPr>
          <w:rFonts w:ascii="Arial" w:hAnsi="Arial"/>
          <w:color w:val="231F20"/>
          <w:spacing w:val="-3"/>
          <w:w w:val="115"/>
          <w:sz w:val="19"/>
        </w:rPr>
        <w:t> </w:t>
      </w:r>
      <w:r>
        <w:rPr>
          <w:rFonts w:ascii="Arial" w:hAnsi="Arial"/>
          <w:color w:val="231F20"/>
          <w:w w:val="115"/>
          <w:sz w:val="19"/>
        </w:rPr>
        <w:t>to</w:t>
      </w:r>
      <w:r>
        <w:rPr>
          <w:rFonts w:ascii="Arial" w:hAnsi="Arial"/>
          <w:color w:val="231F20"/>
          <w:spacing w:val="-3"/>
          <w:w w:val="115"/>
          <w:sz w:val="19"/>
        </w:rPr>
        <w:t> </w:t>
      </w:r>
      <w:r>
        <w:rPr>
          <w:rFonts w:ascii="Arial" w:hAnsi="Arial"/>
          <w:color w:val="231F20"/>
          <w:w w:val="115"/>
          <w:sz w:val="19"/>
        </w:rPr>
        <w:t>open</w:t>
      </w:r>
      <w:r>
        <w:rPr>
          <w:rFonts w:ascii="Arial" w:hAnsi="Arial"/>
          <w:color w:val="231F20"/>
          <w:spacing w:val="-3"/>
          <w:w w:val="115"/>
          <w:sz w:val="19"/>
        </w:rPr>
        <w:t> </w:t>
      </w:r>
      <w:r>
        <w:rPr>
          <w:rFonts w:ascii="Arial" w:hAnsi="Arial"/>
          <w:color w:val="231F20"/>
          <w:w w:val="115"/>
          <w:sz w:val="19"/>
        </w:rPr>
        <w:t>when</w:t>
      </w:r>
      <w:r>
        <w:rPr>
          <w:rFonts w:ascii="Arial" w:hAnsi="Arial"/>
          <w:color w:val="231F20"/>
          <w:spacing w:val="-3"/>
          <w:w w:val="115"/>
          <w:sz w:val="19"/>
        </w:rPr>
        <w:t> </w:t>
      </w:r>
      <w:r>
        <w:rPr>
          <w:rFonts w:ascii="Arial" w:hAnsi="Arial"/>
          <w:color w:val="231F20"/>
          <w:w w:val="115"/>
          <w:sz w:val="19"/>
        </w:rPr>
        <w:t>profits</w:t>
      </w:r>
      <w:r>
        <w:rPr>
          <w:rFonts w:ascii="Arial" w:hAnsi="Arial"/>
          <w:color w:val="231F20"/>
          <w:spacing w:val="-3"/>
          <w:w w:val="115"/>
          <w:sz w:val="19"/>
        </w:rPr>
        <w:t> </w:t>
      </w:r>
      <w:r>
        <w:rPr>
          <w:rFonts w:ascii="Arial" w:hAnsi="Arial"/>
          <w:color w:val="231F20"/>
          <w:w w:val="115"/>
          <w:sz w:val="19"/>
        </w:rPr>
        <w:t>sag</w:t>
      </w:r>
      <w:r>
        <w:rPr>
          <w:rFonts w:ascii="Arial" w:hAnsi="Arial"/>
          <w:color w:val="231F20"/>
          <w:spacing w:val="-3"/>
          <w:w w:val="115"/>
          <w:sz w:val="19"/>
        </w:rPr>
        <w:t> </w:t>
      </w:r>
      <w:r>
        <w:rPr>
          <w:rFonts w:ascii="Arial" w:hAnsi="Arial"/>
          <w:color w:val="231F20"/>
          <w:w w:val="115"/>
          <w:sz w:val="19"/>
        </w:rPr>
        <w:t>to “smooth” the fluctuations in earnings year to year. When companies</w:t>
      </w:r>
      <w:r>
        <w:rPr>
          <w:rFonts w:ascii="Arial" w:hAnsi="Arial"/>
          <w:color w:val="231F20"/>
          <w:spacing w:val="-11"/>
          <w:w w:val="115"/>
          <w:sz w:val="19"/>
        </w:rPr>
        <w:t> </w:t>
      </w:r>
      <w:r>
        <w:rPr>
          <w:rFonts w:ascii="Arial" w:hAnsi="Arial"/>
          <w:color w:val="231F20"/>
          <w:w w:val="115"/>
          <w:sz w:val="19"/>
        </w:rPr>
        <w:t>need</w:t>
      </w:r>
      <w:r>
        <w:rPr>
          <w:rFonts w:ascii="Arial" w:hAnsi="Arial"/>
          <w:color w:val="231F20"/>
          <w:spacing w:val="-11"/>
          <w:w w:val="115"/>
          <w:sz w:val="19"/>
        </w:rPr>
        <w:t> </w:t>
      </w:r>
      <w:r>
        <w:rPr>
          <w:rFonts w:ascii="Arial" w:hAnsi="Arial"/>
          <w:color w:val="231F20"/>
          <w:w w:val="115"/>
          <w:sz w:val="19"/>
        </w:rPr>
        <w:t>extra</w:t>
      </w:r>
      <w:r>
        <w:rPr>
          <w:rFonts w:ascii="Arial" w:hAnsi="Arial"/>
          <w:color w:val="231F20"/>
          <w:spacing w:val="-11"/>
          <w:w w:val="115"/>
          <w:sz w:val="19"/>
        </w:rPr>
        <w:t> </w:t>
      </w:r>
      <w:r>
        <w:rPr>
          <w:rFonts w:ascii="Arial" w:hAnsi="Arial"/>
          <w:color w:val="231F20"/>
          <w:w w:val="115"/>
          <w:sz w:val="19"/>
        </w:rPr>
        <w:t>profits,</w:t>
      </w:r>
      <w:r>
        <w:rPr>
          <w:rFonts w:ascii="Arial" w:hAnsi="Arial"/>
          <w:color w:val="231F20"/>
          <w:spacing w:val="-11"/>
          <w:w w:val="115"/>
          <w:sz w:val="19"/>
        </w:rPr>
        <w:t> </w:t>
      </w:r>
      <w:r>
        <w:rPr>
          <w:rFonts w:ascii="Arial" w:hAnsi="Arial"/>
          <w:color w:val="231F20"/>
          <w:w w:val="115"/>
          <w:sz w:val="19"/>
        </w:rPr>
        <w:t>accountants</w:t>
      </w:r>
      <w:r>
        <w:rPr>
          <w:rFonts w:ascii="Arial" w:hAnsi="Arial"/>
          <w:color w:val="231F20"/>
          <w:spacing w:val="-11"/>
          <w:w w:val="115"/>
          <w:sz w:val="19"/>
        </w:rPr>
        <w:t> </w:t>
      </w:r>
      <w:r>
        <w:rPr>
          <w:rFonts w:ascii="Arial" w:hAnsi="Arial"/>
          <w:color w:val="231F20"/>
          <w:w w:val="115"/>
          <w:sz w:val="19"/>
        </w:rPr>
        <w:t>revise</w:t>
      </w:r>
      <w:r>
        <w:rPr>
          <w:rFonts w:ascii="Arial" w:hAnsi="Arial"/>
          <w:color w:val="231F20"/>
          <w:spacing w:val="-11"/>
          <w:w w:val="115"/>
          <w:sz w:val="19"/>
        </w:rPr>
        <w:t> </w:t>
      </w:r>
      <w:r>
        <w:rPr>
          <w:rFonts w:ascii="Arial" w:hAnsi="Arial"/>
          <w:color w:val="231F20"/>
          <w:w w:val="115"/>
          <w:sz w:val="19"/>
        </w:rPr>
        <w:t>the</w:t>
      </w:r>
      <w:r>
        <w:rPr>
          <w:rFonts w:ascii="Arial" w:hAnsi="Arial"/>
          <w:color w:val="231F20"/>
          <w:spacing w:val="-11"/>
          <w:w w:val="115"/>
          <w:sz w:val="19"/>
        </w:rPr>
        <w:t> </w:t>
      </w:r>
      <w:r>
        <w:rPr>
          <w:rFonts w:ascii="Arial" w:hAnsi="Arial"/>
          <w:color w:val="231F20"/>
          <w:w w:val="115"/>
          <w:sz w:val="19"/>
        </w:rPr>
        <w:t>pre- vious</w:t>
      </w:r>
      <w:r>
        <w:rPr>
          <w:rFonts w:ascii="Arial" w:hAnsi="Arial"/>
          <w:color w:val="231F20"/>
          <w:spacing w:val="-2"/>
          <w:w w:val="115"/>
          <w:sz w:val="19"/>
        </w:rPr>
        <w:t> </w:t>
      </w:r>
      <w:r>
        <w:rPr>
          <w:rFonts w:ascii="Arial" w:hAnsi="Arial"/>
          <w:color w:val="231F20"/>
          <w:w w:val="115"/>
          <w:sz w:val="19"/>
        </w:rPr>
        <w:t>expense</w:t>
      </w:r>
      <w:r>
        <w:rPr>
          <w:rFonts w:ascii="Arial" w:hAnsi="Arial"/>
          <w:color w:val="231F20"/>
          <w:spacing w:val="-2"/>
          <w:w w:val="115"/>
          <w:sz w:val="19"/>
        </w:rPr>
        <w:t> </w:t>
      </w:r>
      <w:r>
        <w:rPr>
          <w:rFonts w:ascii="Arial" w:hAnsi="Arial"/>
          <w:color w:val="231F20"/>
          <w:w w:val="115"/>
          <w:sz w:val="19"/>
        </w:rPr>
        <w:t>estimates</w:t>
      </w:r>
      <w:r>
        <w:rPr>
          <w:rFonts w:ascii="Arial" w:hAnsi="Arial"/>
          <w:color w:val="231F20"/>
          <w:spacing w:val="-2"/>
          <w:w w:val="115"/>
          <w:sz w:val="19"/>
        </w:rPr>
        <w:t> </w:t>
      </w:r>
      <w:r>
        <w:rPr>
          <w:rFonts w:ascii="Arial" w:hAnsi="Arial"/>
          <w:color w:val="231F20"/>
          <w:w w:val="115"/>
          <w:sz w:val="19"/>
        </w:rPr>
        <w:t>downward</w:t>
      </w:r>
      <w:r>
        <w:rPr>
          <w:rFonts w:ascii="Arial" w:hAnsi="Arial"/>
          <w:color w:val="231F20"/>
          <w:spacing w:val="-2"/>
          <w:w w:val="115"/>
          <w:sz w:val="19"/>
        </w:rPr>
        <w:t> </w:t>
      </w:r>
      <w:r>
        <w:rPr>
          <w:rFonts w:ascii="Arial" w:hAnsi="Arial"/>
          <w:color w:val="231F20"/>
          <w:w w:val="115"/>
          <w:sz w:val="19"/>
        </w:rPr>
        <w:t>and</w:t>
      </w:r>
      <w:r>
        <w:rPr>
          <w:rFonts w:ascii="Arial" w:hAnsi="Arial"/>
          <w:color w:val="231F20"/>
          <w:spacing w:val="-2"/>
          <w:w w:val="115"/>
          <w:sz w:val="19"/>
        </w:rPr>
        <w:t> </w:t>
      </w:r>
      <w:r>
        <w:rPr>
          <w:rFonts w:ascii="Arial" w:hAnsi="Arial"/>
          <w:color w:val="231F20"/>
          <w:w w:val="115"/>
          <w:sz w:val="19"/>
        </w:rPr>
        <w:t>record</w:t>
      </w:r>
      <w:r>
        <w:rPr>
          <w:rFonts w:ascii="Arial" w:hAnsi="Arial"/>
          <w:color w:val="231F20"/>
          <w:spacing w:val="-2"/>
          <w:w w:val="115"/>
          <w:sz w:val="19"/>
        </w:rPr>
        <w:t> </w:t>
      </w:r>
      <w:r>
        <w:rPr>
          <w:rFonts w:ascii="Arial" w:hAnsi="Arial"/>
          <w:color w:val="231F20"/>
          <w:w w:val="115"/>
          <w:sz w:val="19"/>
        </w:rPr>
        <w:t>profits.</w:t>
      </w:r>
    </w:p>
    <w:p>
      <w:pPr>
        <w:pStyle w:val="ListParagraph"/>
        <w:numPr>
          <w:ilvl w:val="1"/>
          <w:numId w:val="21"/>
        </w:numPr>
        <w:tabs>
          <w:tab w:pos="1611" w:val="left" w:leader="none"/>
        </w:tabs>
        <w:spacing w:line="328" w:lineRule="auto" w:before="4" w:after="0"/>
        <w:ind w:left="1609" w:right="667" w:hanging="303"/>
        <w:jc w:val="both"/>
        <w:rPr>
          <w:sz w:val="19"/>
        </w:rPr>
      </w:pPr>
      <w:r>
        <w:rPr>
          <w:color w:val="231F20"/>
          <w:w w:val="110"/>
          <w:sz w:val="19"/>
        </w:rPr>
        <w:t>Manipulate measures of performance that are tied to key executive</w:t>
      </w:r>
      <w:r>
        <w:rPr>
          <w:color w:val="231F20"/>
          <w:w w:val="110"/>
          <w:sz w:val="19"/>
        </w:rPr>
        <w:t> bonus</w:t>
      </w:r>
      <w:r>
        <w:rPr>
          <w:color w:val="231F20"/>
          <w:w w:val="110"/>
          <w:sz w:val="19"/>
        </w:rPr>
        <w:t> compensation.</w:t>
      </w:r>
      <w:r>
        <w:rPr>
          <w:color w:val="231F20"/>
          <w:w w:val="110"/>
          <w:sz w:val="19"/>
        </w:rPr>
        <w:t> Depending</w:t>
      </w:r>
      <w:r>
        <w:rPr>
          <w:color w:val="231F20"/>
          <w:w w:val="110"/>
          <w:sz w:val="19"/>
        </w:rPr>
        <w:t> on</w:t>
      </w:r>
      <w:r>
        <w:rPr>
          <w:color w:val="231F20"/>
          <w:w w:val="110"/>
          <w:sz w:val="19"/>
        </w:rPr>
        <w:t> how bonuses are calculated, executives in collusion with finan- cial accountants can manipulate the financial data to gen- erate unearned bonuses and therefore reduce actual net </w:t>
      </w:r>
      <w:r>
        <w:rPr>
          <w:color w:val="231F20"/>
          <w:spacing w:val="-2"/>
          <w:w w:val="110"/>
          <w:sz w:val="19"/>
        </w:rPr>
        <w:t>income.</w:t>
      </w:r>
    </w:p>
    <w:p>
      <w:pPr>
        <w:pStyle w:val="BodyText"/>
        <w:rPr>
          <w:rFonts w:ascii="Arial"/>
          <w:sz w:val="20"/>
        </w:rPr>
      </w:pPr>
    </w:p>
    <w:p>
      <w:pPr>
        <w:pStyle w:val="BodyText"/>
        <w:spacing w:before="5"/>
        <w:rPr>
          <w:rFonts w:ascii="Arial"/>
          <w:sz w:val="28"/>
        </w:rPr>
      </w:pPr>
    </w:p>
    <w:p>
      <w:pPr>
        <w:pStyle w:val="Heading4"/>
      </w:pPr>
      <w:r>
        <w:rPr>
          <w:color w:val="231F20"/>
          <w:spacing w:val="9"/>
          <w:w w:val="80"/>
        </w:rPr>
        <w:t>ACCOUNTING</w:t>
      </w:r>
      <w:r>
        <w:rPr>
          <w:color w:val="231F20"/>
          <w:spacing w:val="46"/>
        </w:rPr>
        <w:t> </w:t>
      </w:r>
      <w:r>
        <w:rPr>
          <w:color w:val="231F20"/>
          <w:spacing w:val="8"/>
          <w:w w:val="95"/>
        </w:rPr>
        <w:t>OVERVIEW</w:t>
      </w:r>
    </w:p>
    <w:p>
      <w:pPr>
        <w:pStyle w:val="BodyText"/>
        <w:spacing w:before="11"/>
        <w:rPr>
          <w:rFonts w:ascii="Trebuchet MS"/>
          <w:sz w:val="29"/>
        </w:rPr>
      </w:pPr>
    </w:p>
    <w:p>
      <w:pPr>
        <w:pStyle w:val="BodyText"/>
        <w:spacing w:line="292" w:lineRule="auto"/>
        <w:ind w:left="920" w:right="666"/>
        <w:jc w:val="both"/>
      </w:pPr>
      <w:r>
        <w:rPr>
          <w:color w:val="231F20"/>
        </w:rPr>
        <w:t>I hope you have not struggled too hard through this chapter, but in </w:t>
      </w:r>
      <w:r>
        <w:rPr>
          <w:color w:val="231F20"/>
        </w:rPr>
        <w:t>a few pages I have tried to give you the essentials of accounting from both</w:t>
      </w:r>
      <w:r>
        <w:rPr>
          <w:color w:val="231F20"/>
          <w:spacing w:val="30"/>
        </w:rPr>
        <w:t> </w:t>
      </w:r>
      <w:r>
        <w:rPr>
          <w:color w:val="231F20"/>
        </w:rPr>
        <w:t>my</w:t>
      </w:r>
      <w:r>
        <w:rPr>
          <w:color w:val="231F20"/>
          <w:spacing w:val="30"/>
        </w:rPr>
        <w:t> </w:t>
      </w:r>
      <w:r>
        <w:rPr>
          <w:color w:val="231F20"/>
        </w:rPr>
        <w:t>CPA</w:t>
      </w:r>
      <w:r>
        <w:rPr>
          <w:color w:val="231F20"/>
          <w:spacing w:val="30"/>
        </w:rPr>
        <w:t> </w:t>
      </w:r>
      <w:r>
        <w:rPr>
          <w:color w:val="231F20"/>
        </w:rPr>
        <w:t>background</w:t>
      </w:r>
      <w:r>
        <w:rPr>
          <w:color w:val="231F20"/>
          <w:spacing w:val="30"/>
        </w:rPr>
        <w:t> </w:t>
      </w:r>
      <w:r>
        <w:rPr>
          <w:color w:val="231F20"/>
        </w:rPr>
        <w:t>and</w:t>
      </w:r>
      <w:r>
        <w:rPr>
          <w:color w:val="231F20"/>
          <w:spacing w:val="30"/>
        </w:rPr>
        <w:t> </w:t>
      </w:r>
      <w:r>
        <w:rPr>
          <w:color w:val="231F20"/>
        </w:rPr>
        <w:t>the</w:t>
      </w:r>
      <w:r>
        <w:rPr>
          <w:color w:val="231F20"/>
          <w:spacing w:val="30"/>
        </w:rPr>
        <w:t> </w:t>
      </w:r>
      <w:r>
        <w:rPr>
          <w:color w:val="231F20"/>
        </w:rPr>
        <w:t>MBA</w:t>
      </w:r>
      <w:r>
        <w:rPr>
          <w:color w:val="231F20"/>
          <w:spacing w:val="30"/>
        </w:rPr>
        <w:t> </w:t>
      </w:r>
      <w:r>
        <w:rPr>
          <w:color w:val="231F20"/>
        </w:rPr>
        <w:t>curriculum.</w:t>
      </w:r>
      <w:r>
        <w:rPr>
          <w:color w:val="231F20"/>
          <w:spacing w:val="30"/>
        </w:rPr>
        <w:t> </w:t>
      </w:r>
      <w:r>
        <w:rPr>
          <w:color w:val="231F20"/>
        </w:rPr>
        <w:t>If</w:t>
      </w:r>
      <w:r>
        <w:rPr>
          <w:color w:val="231F20"/>
          <w:spacing w:val="30"/>
        </w:rPr>
        <w:t> </w:t>
      </w:r>
      <w:r>
        <w:rPr>
          <w:color w:val="231F20"/>
        </w:rPr>
        <w:t>the</w:t>
      </w:r>
      <w:r>
        <w:rPr>
          <w:color w:val="231F20"/>
          <w:spacing w:val="30"/>
        </w:rPr>
        <w:t> </w:t>
      </w:r>
      <w:r>
        <w:rPr>
          <w:color w:val="231F20"/>
        </w:rPr>
        <w:t>material in this chapter was totally new for you, most probably you have not completely absorbed it. You should have remembered that:</w:t>
      </w:r>
    </w:p>
    <w:p>
      <w:pPr>
        <w:pStyle w:val="BodyText"/>
        <w:spacing w:before="5"/>
        <w:rPr>
          <w:sz w:val="24"/>
        </w:rPr>
      </w:pPr>
    </w:p>
    <w:p>
      <w:pPr>
        <w:pStyle w:val="ListParagraph"/>
        <w:numPr>
          <w:ilvl w:val="1"/>
          <w:numId w:val="20"/>
        </w:numPr>
        <w:tabs>
          <w:tab w:pos="1446" w:val="left" w:leader="none"/>
        </w:tabs>
        <w:spacing w:line="240" w:lineRule="auto" w:before="0" w:after="0"/>
        <w:ind w:left="1445" w:right="0" w:hanging="186"/>
        <w:jc w:val="both"/>
        <w:rPr>
          <w:sz w:val="19"/>
        </w:rPr>
      </w:pPr>
      <w:r>
        <w:rPr>
          <w:color w:val="231F20"/>
          <w:w w:val="110"/>
          <w:sz w:val="19"/>
        </w:rPr>
        <w:t>Assets</w:t>
      </w:r>
      <w:r>
        <w:rPr>
          <w:color w:val="231F20"/>
          <w:spacing w:val="-1"/>
          <w:w w:val="110"/>
          <w:sz w:val="19"/>
        </w:rPr>
        <w:t> </w:t>
      </w:r>
      <w:r>
        <w:rPr>
          <w:rFonts w:ascii="Symbol" w:hAnsi="Symbol"/>
          <w:color w:val="231F20"/>
          <w:w w:val="110"/>
          <w:sz w:val="21"/>
        </w:rPr>
        <w:t></w:t>
      </w:r>
      <w:r>
        <w:rPr>
          <w:rFonts w:ascii="Times New Roman" w:hAnsi="Times New Roman"/>
          <w:color w:val="231F20"/>
          <w:w w:val="110"/>
          <w:sz w:val="21"/>
        </w:rPr>
        <w:t> </w:t>
      </w:r>
      <w:r>
        <w:rPr>
          <w:color w:val="231F20"/>
          <w:w w:val="110"/>
          <w:sz w:val="19"/>
        </w:rPr>
        <w:t>Liabilities </w:t>
      </w:r>
      <w:r>
        <w:rPr>
          <w:rFonts w:ascii="Symbol" w:hAnsi="Symbol"/>
          <w:color w:val="231F20"/>
          <w:w w:val="110"/>
          <w:sz w:val="21"/>
        </w:rPr>
        <w:t></w:t>
      </w:r>
      <w:r>
        <w:rPr>
          <w:rFonts w:ascii="Times New Roman" w:hAnsi="Times New Roman"/>
          <w:color w:val="231F20"/>
          <w:w w:val="110"/>
          <w:sz w:val="21"/>
        </w:rPr>
        <w:t> </w:t>
      </w:r>
      <w:r>
        <w:rPr>
          <w:color w:val="231F20"/>
          <w:w w:val="110"/>
          <w:sz w:val="19"/>
        </w:rPr>
        <w:t>Owners’ </w:t>
      </w:r>
      <w:r>
        <w:rPr>
          <w:color w:val="231F20"/>
          <w:spacing w:val="-2"/>
          <w:w w:val="110"/>
          <w:sz w:val="19"/>
        </w:rPr>
        <w:t>Equity</w:t>
      </w:r>
    </w:p>
    <w:p>
      <w:pPr>
        <w:pStyle w:val="ListParagraph"/>
        <w:numPr>
          <w:ilvl w:val="1"/>
          <w:numId w:val="20"/>
        </w:numPr>
        <w:tabs>
          <w:tab w:pos="1446" w:val="left" w:leader="none"/>
        </w:tabs>
        <w:spacing w:line="328" w:lineRule="auto" w:before="76" w:after="0"/>
        <w:ind w:left="1445" w:right="668" w:hanging="186"/>
        <w:jc w:val="both"/>
        <w:rPr>
          <w:sz w:val="19"/>
        </w:rPr>
      </w:pPr>
      <w:r>
        <w:rPr>
          <w:color w:val="231F20"/>
          <w:w w:val="115"/>
          <w:sz w:val="19"/>
        </w:rPr>
        <w:t>There are three basic and interdependent financial state- ments:</w:t>
      </w:r>
      <w:r>
        <w:rPr>
          <w:color w:val="231F20"/>
          <w:w w:val="115"/>
          <w:sz w:val="19"/>
        </w:rPr>
        <w:t> balance</w:t>
      </w:r>
      <w:r>
        <w:rPr>
          <w:color w:val="231F20"/>
          <w:w w:val="115"/>
          <w:sz w:val="19"/>
        </w:rPr>
        <w:t> sheet,</w:t>
      </w:r>
      <w:r>
        <w:rPr>
          <w:color w:val="231F20"/>
          <w:w w:val="115"/>
          <w:sz w:val="19"/>
        </w:rPr>
        <w:t> income</w:t>
      </w:r>
      <w:r>
        <w:rPr>
          <w:color w:val="231F20"/>
          <w:w w:val="115"/>
          <w:sz w:val="19"/>
        </w:rPr>
        <w:t> statement,</w:t>
      </w:r>
      <w:r>
        <w:rPr>
          <w:color w:val="231F20"/>
          <w:w w:val="115"/>
          <w:sz w:val="19"/>
        </w:rPr>
        <w:t> and</w:t>
      </w:r>
      <w:r>
        <w:rPr>
          <w:color w:val="231F20"/>
          <w:w w:val="115"/>
          <w:sz w:val="19"/>
        </w:rPr>
        <w:t> cash</w:t>
      </w:r>
      <w:r>
        <w:rPr>
          <w:color w:val="231F20"/>
          <w:w w:val="115"/>
          <w:sz w:val="19"/>
        </w:rPr>
        <w:t> flow </w:t>
      </w:r>
      <w:r>
        <w:rPr>
          <w:color w:val="231F20"/>
          <w:spacing w:val="-2"/>
          <w:w w:val="115"/>
          <w:sz w:val="19"/>
        </w:rPr>
        <w:t>statement.</w:t>
      </w:r>
    </w:p>
    <w:p>
      <w:pPr>
        <w:pStyle w:val="ListParagraph"/>
        <w:numPr>
          <w:ilvl w:val="1"/>
          <w:numId w:val="20"/>
        </w:numPr>
        <w:tabs>
          <w:tab w:pos="1446" w:val="left" w:leader="none"/>
        </w:tabs>
        <w:spacing w:line="240" w:lineRule="auto" w:before="2" w:after="0"/>
        <w:ind w:left="1445" w:right="0" w:hanging="186"/>
        <w:jc w:val="both"/>
        <w:rPr>
          <w:sz w:val="19"/>
        </w:rPr>
      </w:pPr>
      <w:r>
        <w:rPr>
          <w:color w:val="231F20"/>
          <w:spacing w:val="-2"/>
          <w:w w:val="115"/>
          <w:sz w:val="19"/>
        </w:rPr>
        <w:t>Accounting</w:t>
      </w:r>
      <w:r>
        <w:rPr>
          <w:color w:val="231F20"/>
          <w:spacing w:val="-10"/>
          <w:w w:val="115"/>
          <w:sz w:val="19"/>
        </w:rPr>
        <w:t> </w:t>
      </w:r>
      <w:r>
        <w:rPr>
          <w:color w:val="231F20"/>
          <w:spacing w:val="-2"/>
          <w:w w:val="115"/>
          <w:sz w:val="19"/>
        </w:rPr>
        <w:t>records</w:t>
      </w:r>
      <w:r>
        <w:rPr>
          <w:color w:val="231F20"/>
          <w:spacing w:val="-9"/>
          <w:w w:val="115"/>
          <w:sz w:val="19"/>
        </w:rPr>
        <w:t> </w:t>
      </w:r>
      <w:r>
        <w:rPr>
          <w:color w:val="231F20"/>
          <w:spacing w:val="-2"/>
          <w:w w:val="115"/>
          <w:sz w:val="19"/>
        </w:rPr>
        <w:t>and</w:t>
      </w:r>
      <w:r>
        <w:rPr>
          <w:color w:val="231F20"/>
          <w:spacing w:val="-9"/>
          <w:w w:val="115"/>
          <w:sz w:val="19"/>
        </w:rPr>
        <w:t> </w:t>
      </w:r>
      <w:r>
        <w:rPr>
          <w:color w:val="231F20"/>
          <w:spacing w:val="-2"/>
          <w:w w:val="115"/>
          <w:sz w:val="19"/>
        </w:rPr>
        <w:t>statements</w:t>
      </w:r>
      <w:r>
        <w:rPr>
          <w:color w:val="231F20"/>
          <w:spacing w:val="-9"/>
          <w:w w:val="115"/>
          <w:sz w:val="19"/>
        </w:rPr>
        <w:t> </w:t>
      </w:r>
      <w:r>
        <w:rPr>
          <w:i/>
          <w:color w:val="231F20"/>
          <w:spacing w:val="-2"/>
          <w:w w:val="115"/>
          <w:sz w:val="19"/>
        </w:rPr>
        <w:t>always</w:t>
      </w:r>
      <w:r>
        <w:rPr>
          <w:i/>
          <w:color w:val="231F20"/>
          <w:spacing w:val="-9"/>
          <w:w w:val="115"/>
          <w:sz w:val="19"/>
        </w:rPr>
        <w:t> </w:t>
      </w:r>
      <w:r>
        <w:rPr>
          <w:color w:val="231F20"/>
          <w:spacing w:val="-2"/>
          <w:w w:val="115"/>
          <w:sz w:val="19"/>
        </w:rPr>
        <w:t>balance.</w:t>
      </w:r>
    </w:p>
    <w:p>
      <w:pPr>
        <w:pStyle w:val="ListParagraph"/>
        <w:numPr>
          <w:ilvl w:val="1"/>
          <w:numId w:val="20"/>
        </w:numPr>
        <w:tabs>
          <w:tab w:pos="1446" w:val="left" w:leader="none"/>
        </w:tabs>
        <w:spacing w:line="240" w:lineRule="auto" w:before="81" w:after="0"/>
        <w:ind w:left="1445" w:right="0" w:hanging="186"/>
        <w:jc w:val="both"/>
        <w:rPr>
          <w:sz w:val="19"/>
        </w:rPr>
      </w:pPr>
      <w:r>
        <w:rPr>
          <w:color w:val="231F20"/>
          <w:spacing w:val="-2"/>
          <w:w w:val="115"/>
          <w:sz w:val="19"/>
        </w:rPr>
        <w:t>The</w:t>
      </w:r>
      <w:r>
        <w:rPr>
          <w:color w:val="231F20"/>
          <w:spacing w:val="-7"/>
          <w:w w:val="115"/>
          <w:sz w:val="19"/>
        </w:rPr>
        <w:t> </w:t>
      </w:r>
      <w:r>
        <w:rPr>
          <w:color w:val="231F20"/>
          <w:spacing w:val="-2"/>
          <w:w w:val="115"/>
          <w:sz w:val="19"/>
        </w:rPr>
        <w:t>statements</w:t>
      </w:r>
      <w:r>
        <w:rPr>
          <w:color w:val="231F20"/>
          <w:spacing w:val="-6"/>
          <w:w w:val="115"/>
          <w:sz w:val="19"/>
        </w:rPr>
        <w:t> </w:t>
      </w:r>
      <w:r>
        <w:rPr>
          <w:color w:val="231F20"/>
          <w:spacing w:val="-2"/>
          <w:w w:val="115"/>
          <w:sz w:val="19"/>
        </w:rPr>
        <w:t>can</w:t>
      </w:r>
      <w:r>
        <w:rPr>
          <w:color w:val="231F20"/>
          <w:spacing w:val="-6"/>
          <w:w w:val="115"/>
          <w:sz w:val="19"/>
        </w:rPr>
        <w:t> </w:t>
      </w:r>
      <w:r>
        <w:rPr>
          <w:color w:val="231F20"/>
          <w:spacing w:val="-2"/>
          <w:w w:val="115"/>
          <w:sz w:val="19"/>
        </w:rPr>
        <w:t>be</w:t>
      </w:r>
      <w:r>
        <w:rPr>
          <w:color w:val="231F20"/>
          <w:spacing w:val="-6"/>
          <w:w w:val="115"/>
          <w:sz w:val="19"/>
        </w:rPr>
        <w:t> </w:t>
      </w:r>
      <w:r>
        <w:rPr>
          <w:color w:val="231F20"/>
          <w:spacing w:val="-2"/>
          <w:w w:val="115"/>
          <w:sz w:val="19"/>
        </w:rPr>
        <w:t>interpreted</w:t>
      </w:r>
      <w:r>
        <w:rPr>
          <w:color w:val="231F20"/>
          <w:spacing w:val="-6"/>
          <w:w w:val="115"/>
          <w:sz w:val="19"/>
        </w:rPr>
        <w:t> </w:t>
      </w:r>
      <w:r>
        <w:rPr>
          <w:color w:val="231F20"/>
          <w:spacing w:val="-2"/>
          <w:w w:val="115"/>
          <w:sz w:val="19"/>
        </w:rPr>
        <w:t>by</w:t>
      </w:r>
      <w:r>
        <w:rPr>
          <w:color w:val="231F20"/>
          <w:spacing w:val="-6"/>
          <w:w w:val="115"/>
          <w:sz w:val="19"/>
        </w:rPr>
        <w:t> </w:t>
      </w:r>
      <w:r>
        <w:rPr>
          <w:color w:val="231F20"/>
          <w:spacing w:val="-2"/>
          <w:w w:val="115"/>
          <w:sz w:val="19"/>
        </w:rPr>
        <w:t>using</w:t>
      </w:r>
      <w:r>
        <w:rPr>
          <w:color w:val="231F20"/>
          <w:spacing w:val="-6"/>
          <w:w w:val="115"/>
          <w:sz w:val="19"/>
        </w:rPr>
        <w:t> </w:t>
      </w:r>
      <w:r>
        <w:rPr>
          <w:color w:val="231F20"/>
          <w:spacing w:val="-2"/>
          <w:w w:val="115"/>
          <w:sz w:val="19"/>
        </w:rPr>
        <w:t>ratios.</w:t>
      </w:r>
    </w:p>
    <w:p>
      <w:pPr>
        <w:pStyle w:val="ListParagraph"/>
        <w:numPr>
          <w:ilvl w:val="1"/>
          <w:numId w:val="20"/>
        </w:numPr>
        <w:tabs>
          <w:tab w:pos="1446" w:val="left" w:leader="none"/>
        </w:tabs>
        <w:spacing w:line="328" w:lineRule="auto" w:before="82" w:after="0"/>
        <w:ind w:left="1445" w:right="667" w:hanging="186"/>
        <w:jc w:val="both"/>
        <w:rPr>
          <w:sz w:val="19"/>
        </w:rPr>
      </w:pPr>
      <w:r>
        <w:rPr>
          <w:color w:val="231F20"/>
          <w:w w:val="115"/>
          <w:sz w:val="19"/>
        </w:rPr>
        <w:t>Operating</w:t>
      </w:r>
      <w:r>
        <w:rPr>
          <w:color w:val="231F20"/>
          <w:spacing w:val="-16"/>
          <w:w w:val="115"/>
          <w:sz w:val="19"/>
        </w:rPr>
        <w:t> </w:t>
      </w:r>
      <w:r>
        <w:rPr>
          <w:color w:val="231F20"/>
          <w:w w:val="115"/>
          <w:sz w:val="19"/>
        </w:rPr>
        <w:t>results</w:t>
      </w:r>
      <w:r>
        <w:rPr>
          <w:color w:val="231F20"/>
          <w:spacing w:val="-15"/>
          <w:w w:val="115"/>
          <w:sz w:val="19"/>
        </w:rPr>
        <w:t> </w:t>
      </w:r>
      <w:r>
        <w:rPr>
          <w:color w:val="231F20"/>
          <w:w w:val="115"/>
          <w:sz w:val="19"/>
        </w:rPr>
        <w:t>can</w:t>
      </w:r>
      <w:r>
        <w:rPr>
          <w:color w:val="231F20"/>
          <w:spacing w:val="-15"/>
          <w:w w:val="115"/>
          <w:sz w:val="19"/>
        </w:rPr>
        <w:t> </w:t>
      </w:r>
      <w:r>
        <w:rPr>
          <w:color w:val="231F20"/>
          <w:w w:val="115"/>
          <w:sz w:val="19"/>
        </w:rPr>
        <w:t>be</w:t>
      </w:r>
      <w:r>
        <w:rPr>
          <w:color w:val="231F20"/>
          <w:spacing w:val="-15"/>
          <w:w w:val="115"/>
          <w:sz w:val="19"/>
        </w:rPr>
        <w:t> </w:t>
      </w:r>
      <w:r>
        <w:rPr>
          <w:color w:val="231F20"/>
          <w:w w:val="115"/>
          <w:sz w:val="19"/>
        </w:rPr>
        <w:t>analyzed</w:t>
      </w:r>
      <w:r>
        <w:rPr>
          <w:color w:val="231F20"/>
          <w:spacing w:val="-15"/>
          <w:w w:val="115"/>
          <w:sz w:val="19"/>
        </w:rPr>
        <w:t> </w:t>
      </w:r>
      <w:r>
        <w:rPr>
          <w:color w:val="231F20"/>
          <w:w w:val="115"/>
          <w:sz w:val="19"/>
        </w:rPr>
        <w:t>and</w:t>
      </w:r>
      <w:r>
        <w:rPr>
          <w:color w:val="231F20"/>
          <w:spacing w:val="-16"/>
          <w:w w:val="115"/>
          <w:sz w:val="19"/>
        </w:rPr>
        <w:t> </w:t>
      </w:r>
      <w:r>
        <w:rPr>
          <w:color w:val="231F20"/>
          <w:w w:val="115"/>
          <w:sz w:val="19"/>
        </w:rPr>
        <w:t>managed</w:t>
      </w:r>
      <w:r>
        <w:rPr>
          <w:color w:val="231F20"/>
          <w:spacing w:val="-15"/>
          <w:w w:val="115"/>
          <w:sz w:val="19"/>
        </w:rPr>
        <w:t> </w:t>
      </w:r>
      <w:r>
        <w:rPr>
          <w:color w:val="231F20"/>
          <w:w w:val="115"/>
          <w:sz w:val="19"/>
        </w:rPr>
        <w:t>using</w:t>
      </w:r>
      <w:r>
        <w:rPr>
          <w:color w:val="231F20"/>
          <w:spacing w:val="-15"/>
          <w:w w:val="115"/>
          <w:sz w:val="19"/>
        </w:rPr>
        <w:t> </w:t>
      </w:r>
      <w:r>
        <w:rPr>
          <w:color w:val="231F20"/>
          <w:w w:val="115"/>
          <w:sz w:val="19"/>
        </w:rPr>
        <w:t>vari- </w:t>
      </w:r>
      <w:r>
        <w:rPr>
          <w:color w:val="231F20"/>
          <w:spacing w:val="-2"/>
          <w:w w:val="115"/>
          <w:sz w:val="19"/>
        </w:rPr>
        <w:t>ances.</w:t>
      </w:r>
    </w:p>
    <w:p>
      <w:pPr>
        <w:pStyle w:val="BodyText"/>
        <w:spacing w:before="4"/>
        <w:rPr>
          <w:rFonts w:ascii="Arial"/>
          <w:sz w:val="24"/>
        </w:rPr>
      </w:pPr>
    </w:p>
    <w:p>
      <w:pPr>
        <w:pStyle w:val="BodyText"/>
        <w:spacing w:line="292" w:lineRule="auto"/>
        <w:ind w:left="920" w:right="666" w:firstLine="340"/>
        <w:jc w:val="both"/>
      </w:pPr>
      <w:r>
        <w:rPr>
          <w:color w:val="231F20"/>
        </w:rPr>
        <w:t>That’s the accounting game in a nutshell. At MBA school, ac- counting struck the most fear in the hearts of the liberal arts under- graduates. This chapter has given you, in a tidy predigested form, what kept them up late at night.</w:t>
      </w:r>
    </w:p>
    <w:p>
      <w:pPr>
        <w:spacing w:after="0" w:line="292" w:lineRule="auto"/>
        <w:jc w:val="both"/>
        <w:sectPr>
          <w:pgSz w:w="8640" w:h="12960"/>
          <w:pgMar w:header="734" w:footer="0" w:top="920" w:bottom="280" w:left="340" w:right="500"/>
        </w:sectPr>
      </w:pPr>
    </w:p>
    <w:p>
      <w:pPr>
        <w:pStyle w:val="BodyText"/>
        <w:rPr>
          <w:sz w:val="20"/>
        </w:rPr>
      </w:pPr>
    </w:p>
    <w:p>
      <w:pPr>
        <w:pStyle w:val="BodyText"/>
        <w:spacing w:before="11"/>
        <w:rPr>
          <w:sz w:val="20"/>
        </w:rPr>
      </w:pPr>
    </w:p>
    <w:p>
      <w:pPr>
        <w:pStyle w:val="Heading4"/>
        <w:spacing w:before="102"/>
        <w:ind w:left="300"/>
      </w:pPr>
      <w:r>
        <w:rPr>
          <w:color w:val="231F20"/>
          <w:w w:val="85"/>
        </w:rPr>
        <w:t>KEY</w:t>
      </w:r>
      <w:r>
        <w:rPr>
          <w:color w:val="231F20"/>
          <w:spacing w:val="3"/>
        </w:rPr>
        <w:t> </w:t>
      </w:r>
      <w:r>
        <w:rPr>
          <w:color w:val="231F20"/>
          <w:spacing w:val="9"/>
          <w:w w:val="85"/>
        </w:rPr>
        <w:t>ACCOUNTING</w:t>
      </w:r>
      <w:r>
        <w:rPr>
          <w:color w:val="231F20"/>
          <w:spacing w:val="3"/>
        </w:rPr>
        <w:t> </w:t>
      </w:r>
      <w:r>
        <w:rPr>
          <w:color w:val="231F20"/>
          <w:spacing w:val="-2"/>
          <w:w w:val="85"/>
        </w:rPr>
        <w:t>TAKEAWAYS</w:t>
      </w:r>
    </w:p>
    <w:p>
      <w:pPr>
        <w:pStyle w:val="BodyText"/>
        <w:spacing w:before="9"/>
        <w:rPr>
          <w:rFonts w:ascii="Trebuchet MS"/>
          <w:sz w:val="31"/>
        </w:rPr>
      </w:pPr>
    </w:p>
    <w:p>
      <w:pPr>
        <w:spacing w:line="328" w:lineRule="auto" w:before="0"/>
        <w:ind w:left="1509" w:right="1262" w:hanging="340"/>
        <w:jc w:val="left"/>
        <w:rPr>
          <w:rFonts w:ascii="Arial" w:hAnsi="Arial"/>
          <w:sz w:val="19"/>
        </w:rPr>
      </w:pPr>
      <w:r>
        <w:rPr>
          <w:rFonts w:ascii="Arial" w:hAnsi="Arial"/>
          <w:i/>
          <w:color w:val="231F20"/>
          <w:w w:val="110"/>
          <w:sz w:val="19"/>
        </w:rPr>
        <w:t>Cash Basis Accounting</w:t>
      </w:r>
      <w:r>
        <w:rPr>
          <w:rFonts w:ascii="Arial" w:hAnsi="Arial"/>
          <w:color w:val="231F20"/>
          <w:w w:val="110"/>
          <w:sz w:val="19"/>
        </w:rPr>
        <w:t>—The method of recording </w:t>
      </w:r>
      <w:r>
        <w:rPr>
          <w:rFonts w:ascii="Arial" w:hAnsi="Arial"/>
          <w:color w:val="231F20"/>
          <w:w w:val="115"/>
          <w:sz w:val="19"/>
        </w:rPr>
        <w:t>transactions only when cash changes hands</w:t>
      </w:r>
    </w:p>
    <w:p>
      <w:pPr>
        <w:spacing w:line="328" w:lineRule="auto" w:before="1"/>
        <w:ind w:left="1509" w:right="1262" w:hanging="340"/>
        <w:jc w:val="left"/>
        <w:rPr>
          <w:rFonts w:ascii="Arial" w:hAnsi="Arial"/>
          <w:sz w:val="19"/>
        </w:rPr>
      </w:pPr>
      <w:r>
        <w:rPr>
          <w:rFonts w:ascii="Arial" w:hAnsi="Arial"/>
          <w:i/>
          <w:color w:val="231F20"/>
          <w:w w:val="115"/>
          <w:sz w:val="19"/>
        </w:rPr>
        <w:t>Accrual</w:t>
      </w:r>
      <w:r>
        <w:rPr>
          <w:rFonts w:ascii="Arial" w:hAnsi="Arial"/>
          <w:i/>
          <w:color w:val="231F20"/>
          <w:spacing w:val="-10"/>
          <w:w w:val="115"/>
          <w:sz w:val="19"/>
        </w:rPr>
        <w:t> </w:t>
      </w:r>
      <w:r>
        <w:rPr>
          <w:rFonts w:ascii="Arial" w:hAnsi="Arial"/>
          <w:i/>
          <w:color w:val="231F20"/>
          <w:w w:val="115"/>
          <w:sz w:val="19"/>
        </w:rPr>
        <w:t>Basis</w:t>
      </w:r>
      <w:r>
        <w:rPr>
          <w:rFonts w:ascii="Arial" w:hAnsi="Arial"/>
          <w:i/>
          <w:color w:val="231F20"/>
          <w:spacing w:val="-10"/>
          <w:w w:val="115"/>
          <w:sz w:val="19"/>
        </w:rPr>
        <w:t> </w:t>
      </w:r>
      <w:r>
        <w:rPr>
          <w:rFonts w:ascii="Arial" w:hAnsi="Arial"/>
          <w:i/>
          <w:color w:val="231F20"/>
          <w:w w:val="115"/>
          <w:sz w:val="19"/>
        </w:rPr>
        <w:t>Accounting</w:t>
      </w:r>
      <w:r>
        <w:rPr>
          <w:rFonts w:ascii="Arial" w:hAnsi="Arial"/>
          <w:color w:val="231F20"/>
          <w:w w:val="115"/>
          <w:sz w:val="19"/>
        </w:rPr>
        <w:t>—The</w:t>
      </w:r>
      <w:r>
        <w:rPr>
          <w:rFonts w:ascii="Arial" w:hAnsi="Arial"/>
          <w:color w:val="231F20"/>
          <w:spacing w:val="-10"/>
          <w:w w:val="115"/>
          <w:sz w:val="19"/>
        </w:rPr>
        <w:t> </w:t>
      </w:r>
      <w:r>
        <w:rPr>
          <w:rFonts w:ascii="Arial" w:hAnsi="Arial"/>
          <w:color w:val="231F20"/>
          <w:w w:val="115"/>
          <w:sz w:val="19"/>
        </w:rPr>
        <w:t>method</w:t>
      </w:r>
      <w:r>
        <w:rPr>
          <w:rFonts w:ascii="Arial" w:hAnsi="Arial"/>
          <w:color w:val="231F20"/>
          <w:spacing w:val="-10"/>
          <w:w w:val="115"/>
          <w:sz w:val="19"/>
        </w:rPr>
        <w:t> </w:t>
      </w:r>
      <w:r>
        <w:rPr>
          <w:rFonts w:ascii="Arial" w:hAnsi="Arial"/>
          <w:color w:val="231F20"/>
          <w:w w:val="115"/>
          <w:sz w:val="19"/>
        </w:rPr>
        <w:t>of</w:t>
      </w:r>
      <w:r>
        <w:rPr>
          <w:rFonts w:ascii="Arial" w:hAnsi="Arial"/>
          <w:color w:val="231F20"/>
          <w:spacing w:val="-10"/>
          <w:w w:val="115"/>
          <w:sz w:val="19"/>
        </w:rPr>
        <w:t> </w:t>
      </w:r>
      <w:r>
        <w:rPr>
          <w:rFonts w:ascii="Arial" w:hAnsi="Arial"/>
          <w:color w:val="231F20"/>
          <w:w w:val="115"/>
          <w:sz w:val="19"/>
        </w:rPr>
        <w:t>recording </w:t>
      </w:r>
      <w:r>
        <w:rPr>
          <w:rFonts w:ascii="Arial" w:hAnsi="Arial"/>
          <w:color w:val="231F20"/>
          <w:w w:val="110"/>
          <w:sz w:val="19"/>
        </w:rPr>
        <w:t>transactions that matches revenues and expenses </w:t>
      </w:r>
      <w:r>
        <w:rPr>
          <w:rFonts w:ascii="Arial" w:hAnsi="Arial"/>
          <w:color w:val="231F20"/>
          <w:w w:val="115"/>
          <w:sz w:val="19"/>
        </w:rPr>
        <w:t>regardless of cash flow movements</w:t>
      </w:r>
    </w:p>
    <w:p>
      <w:pPr>
        <w:spacing w:line="328" w:lineRule="auto" w:before="2"/>
        <w:ind w:left="1509" w:right="667" w:hanging="340"/>
        <w:jc w:val="left"/>
        <w:rPr>
          <w:rFonts w:ascii="Arial" w:hAnsi="Arial"/>
          <w:sz w:val="19"/>
        </w:rPr>
      </w:pPr>
      <w:r>
        <w:rPr>
          <w:rFonts w:ascii="Arial" w:hAnsi="Arial"/>
          <w:i/>
          <w:color w:val="231F20"/>
          <w:w w:val="110"/>
          <w:sz w:val="19"/>
        </w:rPr>
        <w:t>The Balance Sheet</w:t>
      </w:r>
      <w:r>
        <w:rPr>
          <w:rFonts w:ascii="Arial" w:hAnsi="Arial"/>
          <w:i/>
          <w:color w:val="231F20"/>
          <w:spacing w:val="-39"/>
          <w:w w:val="110"/>
          <w:sz w:val="19"/>
        </w:rPr>
        <w:t> </w:t>
      </w:r>
      <w:r>
        <w:rPr>
          <w:rFonts w:ascii="Arial" w:hAnsi="Arial"/>
          <w:color w:val="231F20"/>
          <w:w w:val="110"/>
          <w:sz w:val="19"/>
        </w:rPr>
        <w:t>—The listing of what a company owns and owes at a point in time</w:t>
      </w:r>
    </w:p>
    <w:p>
      <w:pPr>
        <w:spacing w:line="226" w:lineRule="exact" w:before="0"/>
        <w:ind w:left="1169" w:right="0" w:firstLine="0"/>
        <w:jc w:val="left"/>
        <w:rPr>
          <w:rFonts w:ascii="Arial" w:hAnsi="Arial"/>
          <w:sz w:val="19"/>
        </w:rPr>
      </w:pPr>
      <w:r>
        <w:rPr>
          <w:rFonts w:ascii="Arial" w:hAnsi="Arial"/>
          <w:i/>
          <w:color w:val="231F20"/>
          <w:w w:val="110"/>
          <w:sz w:val="19"/>
        </w:rPr>
        <w:t>The</w:t>
      </w:r>
      <w:r>
        <w:rPr>
          <w:rFonts w:ascii="Arial" w:hAnsi="Arial"/>
          <w:i/>
          <w:color w:val="231F20"/>
          <w:spacing w:val="10"/>
          <w:w w:val="110"/>
          <w:sz w:val="19"/>
        </w:rPr>
        <w:t> </w:t>
      </w:r>
      <w:r>
        <w:rPr>
          <w:rFonts w:ascii="Arial" w:hAnsi="Arial"/>
          <w:i/>
          <w:color w:val="231F20"/>
          <w:w w:val="110"/>
          <w:sz w:val="19"/>
        </w:rPr>
        <w:t>Fundamental</w:t>
      </w:r>
      <w:r>
        <w:rPr>
          <w:rFonts w:ascii="Arial" w:hAnsi="Arial"/>
          <w:i/>
          <w:color w:val="231F20"/>
          <w:spacing w:val="10"/>
          <w:w w:val="110"/>
          <w:sz w:val="19"/>
        </w:rPr>
        <w:t> </w:t>
      </w:r>
      <w:r>
        <w:rPr>
          <w:rFonts w:ascii="Arial" w:hAnsi="Arial"/>
          <w:i/>
          <w:color w:val="231F20"/>
          <w:w w:val="110"/>
          <w:sz w:val="19"/>
        </w:rPr>
        <w:t>Accounting</w:t>
      </w:r>
      <w:r>
        <w:rPr>
          <w:rFonts w:ascii="Arial" w:hAnsi="Arial"/>
          <w:i/>
          <w:color w:val="231F20"/>
          <w:spacing w:val="11"/>
          <w:w w:val="110"/>
          <w:sz w:val="19"/>
        </w:rPr>
        <w:t> </w:t>
      </w:r>
      <w:r>
        <w:rPr>
          <w:rFonts w:ascii="Arial" w:hAnsi="Arial"/>
          <w:i/>
          <w:color w:val="231F20"/>
          <w:w w:val="110"/>
          <w:sz w:val="19"/>
        </w:rPr>
        <w:t>Equation</w:t>
      </w:r>
      <w:r>
        <w:rPr>
          <w:rFonts w:ascii="Arial" w:hAnsi="Arial"/>
          <w:color w:val="231F20"/>
          <w:w w:val="110"/>
          <w:sz w:val="19"/>
        </w:rPr>
        <w:t>—Assets</w:t>
      </w:r>
      <w:r>
        <w:rPr>
          <w:rFonts w:ascii="Arial" w:hAnsi="Arial"/>
          <w:color w:val="231F20"/>
          <w:spacing w:val="10"/>
          <w:w w:val="110"/>
          <w:sz w:val="19"/>
        </w:rPr>
        <w:t> </w:t>
      </w:r>
      <w:r>
        <w:rPr>
          <w:rFonts w:ascii="Symbol" w:hAnsi="Symbol"/>
          <w:color w:val="231F20"/>
          <w:w w:val="110"/>
          <w:sz w:val="21"/>
        </w:rPr>
        <w:t></w:t>
      </w:r>
      <w:r>
        <w:rPr>
          <w:rFonts w:ascii="Times New Roman" w:hAnsi="Times New Roman"/>
          <w:color w:val="231F20"/>
          <w:spacing w:val="10"/>
          <w:w w:val="110"/>
          <w:sz w:val="21"/>
        </w:rPr>
        <w:t> </w:t>
      </w:r>
      <w:r>
        <w:rPr>
          <w:rFonts w:ascii="Arial" w:hAnsi="Arial"/>
          <w:color w:val="231F20"/>
          <w:spacing w:val="-2"/>
          <w:w w:val="110"/>
          <w:sz w:val="19"/>
        </w:rPr>
        <w:t>Liabilities</w:t>
      </w:r>
    </w:p>
    <w:p>
      <w:pPr>
        <w:pStyle w:val="ListParagraph"/>
        <w:numPr>
          <w:ilvl w:val="0"/>
          <w:numId w:val="23"/>
        </w:numPr>
        <w:tabs>
          <w:tab w:pos="1685" w:val="left" w:leader="none"/>
        </w:tabs>
        <w:spacing w:line="240" w:lineRule="auto" w:before="43" w:after="0"/>
        <w:ind w:left="1684" w:right="0" w:hanging="175"/>
        <w:jc w:val="left"/>
        <w:rPr>
          <w:sz w:val="19"/>
        </w:rPr>
      </w:pPr>
      <w:r>
        <w:rPr>
          <w:color w:val="231F20"/>
          <w:w w:val="110"/>
          <w:sz w:val="19"/>
        </w:rPr>
        <w:t>Owners’</w:t>
      </w:r>
      <w:r>
        <w:rPr>
          <w:color w:val="231F20"/>
          <w:spacing w:val="6"/>
          <w:w w:val="110"/>
          <w:sz w:val="19"/>
        </w:rPr>
        <w:t> </w:t>
      </w:r>
      <w:r>
        <w:rPr>
          <w:color w:val="231F20"/>
          <w:spacing w:val="-2"/>
          <w:w w:val="110"/>
          <w:sz w:val="19"/>
        </w:rPr>
        <w:t>Equity</w:t>
      </w:r>
    </w:p>
    <w:p>
      <w:pPr>
        <w:spacing w:line="328" w:lineRule="auto" w:before="76"/>
        <w:ind w:left="1509" w:right="1262" w:hanging="340"/>
        <w:jc w:val="left"/>
        <w:rPr>
          <w:rFonts w:ascii="Arial" w:hAnsi="Arial"/>
          <w:sz w:val="19"/>
        </w:rPr>
      </w:pPr>
      <w:r>
        <w:rPr>
          <w:rFonts w:ascii="Arial" w:hAnsi="Arial"/>
          <w:i/>
          <w:color w:val="231F20"/>
          <w:spacing w:val="-2"/>
          <w:w w:val="115"/>
          <w:sz w:val="19"/>
        </w:rPr>
        <w:t>Net</w:t>
      </w:r>
      <w:r>
        <w:rPr>
          <w:rFonts w:ascii="Arial" w:hAnsi="Arial"/>
          <w:i/>
          <w:color w:val="231F20"/>
          <w:spacing w:val="-12"/>
          <w:w w:val="115"/>
          <w:sz w:val="19"/>
        </w:rPr>
        <w:t> </w:t>
      </w:r>
      <w:r>
        <w:rPr>
          <w:rFonts w:ascii="Arial" w:hAnsi="Arial"/>
          <w:i/>
          <w:color w:val="231F20"/>
          <w:spacing w:val="-2"/>
          <w:w w:val="115"/>
          <w:sz w:val="19"/>
        </w:rPr>
        <w:t>Working</w:t>
      </w:r>
      <w:r>
        <w:rPr>
          <w:rFonts w:ascii="Arial" w:hAnsi="Arial"/>
          <w:i/>
          <w:color w:val="231F20"/>
          <w:spacing w:val="-9"/>
          <w:w w:val="115"/>
          <w:sz w:val="19"/>
        </w:rPr>
        <w:t> </w:t>
      </w:r>
      <w:r>
        <w:rPr>
          <w:rFonts w:ascii="Arial" w:hAnsi="Arial"/>
          <w:i/>
          <w:color w:val="231F20"/>
          <w:spacing w:val="-2"/>
          <w:w w:val="115"/>
          <w:sz w:val="19"/>
        </w:rPr>
        <w:t>Capital</w:t>
      </w:r>
      <w:r>
        <w:rPr>
          <w:rFonts w:ascii="Arial" w:hAnsi="Arial"/>
          <w:i/>
          <w:color w:val="231F20"/>
          <w:spacing w:val="-42"/>
          <w:w w:val="115"/>
          <w:sz w:val="19"/>
        </w:rPr>
        <w:t> </w:t>
      </w:r>
      <w:r>
        <w:rPr>
          <w:rFonts w:ascii="Arial" w:hAnsi="Arial"/>
          <w:color w:val="231F20"/>
          <w:spacing w:val="-2"/>
          <w:w w:val="115"/>
          <w:sz w:val="19"/>
        </w:rPr>
        <w:t>—</w:t>
      </w:r>
      <w:r>
        <w:rPr>
          <w:rFonts w:ascii="Arial" w:hAnsi="Arial"/>
          <w:color w:val="231F20"/>
          <w:spacing w:val="-42"/>
          <w:w w:val="115"/>
          <w:sz w:val="19"/>
        </w:rPr>
        <w:t> </w:t>
      </w:r>
      <w:r>
        <w:rPr>
          <w:rFonts w:ascii="Arial" w:hAnsi="Arial"/>
          <w:color w:val="231F20"/>
          <w:spacing w:val="-2"/>
          <w:w w:val="115"/>
          <w:sz w:val="19"/>
        </w:rPr>
        <w:t>Short-term</w:t>
      </w:r>
      <w:r>
        <w:rPr>
          <w:rFonts w:ascii="Arial" w:hAnsi="Arial"/>
          <w:color w:val="231F20"/>
          <w:spacing w:val="-9"/>
          <w:w w:val="115"/>
          <w:sz w:val="19"/>
        </w:rPr>
        <w:t> </w:t>
      </w:r>
      <w:r>
        <w:rPr>
          <w:rFonts w:ascii="Arial" w:hAnsi="Arial"/>
          <w:color w:val="231F20"/>
          <w:spacing w:val="-2"/>
          <w:w w:val="115"/>
          <w:sz w:val="19"/>
        </w:rPr>
        <w:t>assets</w:t>
      </w:r>
      <w:r>
        <w:rPr>
          <w:rFonts w:ascii="Arial" w:hAnsi="Arial"/>
          <w:color w:val="231F20"/>
          <w:spacing w:val="-9"/>
          <w:w w:val="115"/>
          <w:sz w:val="19"/>
        </w:rPr>
        <w:t> </w:t>
      </w:r>
      <w:r>
        <w:rPr>
          <w:rFonts w:ascii="Arial" w:hAnsi="Arial"/>
          <w:color w:val="231F20"/>
          <w:spacing w:val="-2"/>
          <w:w w:val="115"/>
          <w:sz w:val="19"/>
        </w:rPr>
        <w:t>less</w:t>
      </w:r>
      <w:r>
        <w:rPr>
          <w:rFonts w:ascii="Arial" w:hAnsi="Arial"/>
          <w:color w:val="231F20"/>
          <w:spacing w:val="-9"/>
          <w:w w:val="115"/>
          <w:sz w:val="19"/>
        </w:rPr>
        <w:t> </w:t>
      </w:r>
      <w:r>
        <w:rPr>
          <w:rFonts w:ascii="Arial" w:hAnsi="Arial"/>
          <w:color w:val="231F20"/>
          <w:spacing w:val="-2"/>
          <w:w w:val="115"/>
          <w:sz w:val="19"/>
        </w:rPr>
        <w:t>short-term liabilities</w:t>
      </w:r>
    </w:p>
    <w:p>
      <w:pPr>
        <w:spacing w:line="328" w:lineRule="auto" w:before="1"/>
        <w:ind w:left="1509" w:right="1045" w:hanging="340"/>
        <w:jc w:val="left"/>
        <w:rPr>
          <w:rFonts w:ascii="Arial" w:hAnsi="Arial"/>
          <w:sz w:val="19"/>
        </w:rPr>
      </w:pPr>
      <w:r>
        <w:rPr>
          <w:rFonts w:ascii="Arial" w:hAnsi="Arial"/>
          <w:i/>
          <w:color w:val="231F20"/>
          <w:spacing w:val="-2"/>
          <w:w w:val="115"/>
          <w:sz w:val="19"/>
        </w:rPr>
        <w:t>The</w:t>
      </w:r>
      <w:r>
        <w:rPr>
          <w:rFonts w:ascii="Arial" w:hAnsi="Arial"/>
          <w:i/>
          <w:color w:val="231F20"/>
          <w:spacing w:val="-12"/>
          <w:w w:val="115"/>
          <w:sz w:val="19"/>
        </w:rPr>
        <w:t> </w:t>
      </w:r>
      <w:r>
        <w:rPr>
          <w:rFonts w:ascii="Arial" w:hAnsi="Arial"/>
          <w:i/>
          <w:color w:val="231F20"/>
          <w:spacing w:val="-2"/>
          <w:w w:val="115"/>
          <w:sz w:val="19"/>
        </w:rPr>
        <w:t>Income</w:t>
      </w:r>
      <w:r>
        <w:rPr>
          <w:rFonts w:ascii="Arial" w:hAnsi="Arial"/>
          <w:i/>
          <w:color w:val="231F20"/>
          <w:spacing w:val="-10"/>
          <w:w w:val="115"/>
          <w:sz w:val="19"/>
        </w:rPr>
        <w:t> </w:t>
      </w:r>
      <w:r>
        <w:rPr>
          <w:rFonts w:ascii="Arial" w:hAnsi="Arial"/>
          <w:i/>
          <w:color w:val="231F20"/>
          <w:spacing w:val="-2"/>
          <w:w w:val="115"/>
          <w:sz w:val="19"/>
        </w:rPr>
        <w:t>Statement</w:t>
      </w:r>
      <w:r>
        <w:rPr>
          <w:rFonts w:ascii="Arial" w:hAnsi="Arial"/>
          <w:i/>
          <w:color w:val="231F20"/>
          <w:spacing w:val="-42"/>
          <w:w w:val="115"/>
          <w:sz w:val="19"/>
        </w:rPr>
        <w:t> </w:t>
      </w:r>
      <w:r>
        <w:rPr>
          <w:rFonts w:ascii="Arial" w:hAnsi="Arial"/>
          <w:color w:val="231F20"/>
          <w:spacing w:val="-2"/>
          <w:w w:val="115"/>
          <w:sz w:val="19"/>
        </w:rPr>
        <w:t>—The</w:t>
      </w:r>
      <w:r>
        <w:rPr>
          <w:rFonts w:ascii="Arial" w:hAnsi="Arial"/>
          <w:color w:val="231F20"/>
          <w:spacing w:val="-10"/>
          <w:w w:val="115"/>
          <w:sz w:val="19"/>
        </w:rPr>
        <w:t> </w:t>
      </w:r>
      <w:r>
        <w:rPr>
          <w:rFonts w:ascii="Arial" w:hAnsi="Arial"/>
          <w:color w:val="231F20"/>
          <w:spacing w:val="-2"/>
          <w:w w:val="115"/>
          <w:sz w:val="19"/>
        </w:rPr>
        <w:t>summary</w:t>
      </w:r>
      <w:r>
        <w:rPr>
          <w:rFonts w:ascii="Arial" w:hAnsi="Arial"/>
          <w:color w:val="231F20"/>
          <w:spacing w:val="-10"/>
          <w:w w:val="115"/>
          <w:sz w:val="19"/>
        </w:rPr>
        <w:t> </w:t>
      </w:r>
      <w:r>
        <w:rPr>
          <w:rFonts w:ascii="Arial" w:hAnsi="Arial"/>
          <w:color w:val="231F20"/>
          <w:spacing w:val="-2"/>
          <w:w w:val="115"/>
          <w:sz w:val="19"/>
        </w:rPr>
        <w:t>of</w:t>
      </w:r>
      <w:r>
        <w:rPr>
          <w:rFonts w:ascii="Arial" w:hAnsi="Arial"/>
          <w:color w:val="231F20"/>
          <w:spacing w:val="-10"/>
          <w:w w:val="115"/>
          <w:sz w:val="19"/>
        </w:rPr>
        <w:t> </w:t>
      </w:r>
      <w:r>
        <w:rPr>
          <w:rFonts w:ascii="Arial" w:hAnsi="Arial"/>
          <w:color w:val="231F20"/>
          <w:spacing w:val="-2"/>
          <w:w w:val="115"/>
          <w:sz w:val="19"/>
        </w:rPr>
        <w:t>profit-generating </w:t>
      </w:r>
      <w:r>
        <w:rPr>
          <w:rFonts w:ascii="Arial" w:hAnsi="Arial"/>
          <w:color w:val="231F20"/>
          <w:w w:val="115"/>
          <w:sz w:val="19"/>
        </w:rPr>
        <w:t>activities during a period of time</w:t>
      </w:r>
    </w:p>
    <w:p>
      <w:pPr>
        <w:spacing w:before="1"/>
        <w:ind w:left="1169" w:right="0" w:firstLine="0"/>
        <w:jc w:val="left"/>
        <w:rPr>
          <w:rFonts w:ascii="Arial" w:hAnsi="Arial"/>
          <w:sz w:val="19"/>
        </w:rPr>
      </w:pPr>
      <w:r>
        <w:rPr>
          <w:rFonts w:ascii="Arial" w:hAnsi="Arial"/>
          <w:i/>
          <w:color w:val="231F20"/>
          <w:w w:val="110"/>
          <w:sz w:val="19"/>
        </w:rPr>
        <w:t>Gross</w:t>
      </w:r>
      <w:r>
        <w:rPr>
          <w:rFonts w:ascii="Arial" w:hAnsi="Arial"/>
          <w:i/>
          <w:color w:val="231F20"/>
          <w:spacing w:val="-2"/>
          <w:w w:val="110"/>
          <w:sz w:val="19"/>
        </w:rPr>
        <w:t> </w:t>
      </w:r>
      <w:r>
        <w:rPr>
          <w:rFonts w:ascii="Arial" w:hAnsi="Arial"/>
          <w:i/>
          <w:color w:val="231F20"/>
          <w:w w:val="110"/>
          <w:sz w:val="19"/>
        </w:rPr>
        <w:t>Margin</w:t>
      </w:r>
      <w:r>
        <w:rPr>
          <w:rFonts w:ascii="Arial" w:hAnsi="Arial"/>
          <w:i/>
          <w:color w:val="231F20"/>
          <w:spacing w:val="-39"/>
          <w:w w:val="110"/>
          <w:sz w:val="19"/>
        </w:rPr>
        <w:t> </w:t>
      </w:r>
      <w:r>
        <w:rPr>
          <w:rFonts w:ascii="Arial" w:hAnsi="Arial"/>
          <w:color w:val="231F20"/>
          <w:w w:val="110"/>
          <w:sz w:val="19"/>
        </w:rPr>
        <w:t>—</w:t>
      </w:r>
      <w:r>
        <w:rPr>
          <w:rFonts w:ascii="Arial" w:hAnsi="Arial"/>
          <w:color w:val="231F20"/>
          <w:spacing w:val="-39"/>
          <w:w w:val="110"/>
          <w:sz w:val="19"/>
        </w:rPr>
        <w:t> </w:t>
      </w:r>
      <w:r>
        <w:rPr>
          <w:rFonts w:ascii="Arial" w:hAnsi="Arial"/>
          <w:color w:val="231F20"/>
          <w:w w:val="110"/>
          <w:sz w:val="19"/>
        </w:rPr>
        <w:t>Revenues</w:t>
      </w:r>
      <w:r>
        <w:rPr>
          <w:rFonts w:ascii="Arial" w:hAnsi="Arial"/>
          <w:color w:val="231F20"/>
          <w:spacing w:val="-1"/>
          <w:w w:val="110"/>
          <w:sz w:val="19"/>
        </w:rPr>
        <w:t> </w:t>
      </w:r>
      <w:r>
        <w:rPr>
          <w:rFonts w:ascii="Arial" w:hAnsi="Arial"/>
          <w:color w:val="231F20"/>
          <w:w w:val="110"/>
          <w:sz w:val="19"/>
        </w:rPr>
        <w:t>less the</w:t>
      </w:r>
      <w:r>
        <w:rPr>
          <w:rFonts w:ascii="Arial" w:hAnsi="Arial"/>
          <w:color w:val="231F20"/>
          <w:spacing w:val="-1"/>
          <w:w w:val="110"/>
          <w:sz w:val="19"/>
        </w:rPr>
        <w:t> </w:t>
      </w:r>
      <w:r>
        <w:rPr>
          <w:rFonts w:ascii="Arial" w:hAnsi="Arial"/>
          <w:color w:val="231F20"/>
          <w:w w:val="110"/>
          <w:sz w:val="19"/>
        </w:rPr>
        <w:t>direct cost of</w:t>
      </w:r>
      <w:r>
        <w:rPr>
          <w:rFonts w:ascii="Arial" w:hAnsi="Arial"/>
          <w:color w:val="231F20"/>
          <w:spacing w:val="-1"/>
          <w:w w:val="110"/>
          <w:sz w:val="19"/>
        </w:rPr>
        <w:t> </w:t>
      </w:r>
      <w:r>
        <w:rPr>
          <w:rFonts w:ascii="Arial" w:hAnsi="Arial"/>
          <w:color w:val="231F20"/>
          <w:w w:val="110"/>
          <w:sz w:val="19"/>
        </w:rPr>
        <w:t>goods </w:t>
      </w:r>
      <w:r>
        <w:rPr>
          <w:rFonts w:ascii="Arial" w:hAnsi="Arial"/>
          <w:color w:val="231F20"/>
          <w:spacing w:val="-4"/>
          <w:w w:val="110"/>
          <w:sz w:val="19"/>
        </w:rPr>
        <w:t>sold</w:t>
      </w:r>
    </w:p>
    <w:p>
      <w:pPr>
        <w:spacing w:line="328" w:lineRule="auto" w:before="82"/>
        <w:ind w:left="1509" w:right="1045" w:hanging="340"/>
        <w:jc w:val="left"/>
        <w:rPr>
          <w:rFonts w:ascii="Arial" w:hAnsi="Arial"/>
          <w:sz w:val="19"/>
        </w:rPr>
      </w:pPr>
      <w:r>
        <w:rPr>
          <w:rFonts w:ascii="Arial" w:hAnsi="Arial"/>
          <w:i/>
          <w:color w:val="231F20"/>
          <w:w w:val="110"/>
          <w:sz w:val="19"/>
        </w:rPr>
        <w:t>The Statement of Cash Flows</w:t>
      </w:r>
      <w:r>
        <w:rPr>
          <w:rFonts w:ascii="Arial" w:hAnsi="Arial"/>
          <w:i/>
          <w:color w:val="231F20"/>
          <w:spacing w:val="-32"/>
          <w:w w:val="110"/>
          <w:sz w:val="19"/>
        </w:rPr>
        <w:t> </w:t>
      </w:r>
      <w:r>
        <w:rPr>
          <w:rFonts w:ascii="Arial" w:hAnsi="Arial"/>
          <w:color w:val="231F20"/>
          <w:w w:val="110"/>
          <w:sz w:val="19"/>
        </w:rPr>
        <w:t>—The summary of how a company generates and uses its cash during a period of </w:t>
      </w:r>
      <w:r>
        <w:rPr>
          <w:rFonts w:ascii="Arial" w:hAnsi="Arial"/>
          <w:color w:val="231F20"/>
          <w:spacing w:val="-4"/>
          <w:w w:val="110"/>
          <w:sz w:val="19"/>
        </w:rPr>
        <w:t>time</w:t>
      </w:r>
    </w:p>
    <w:p>
      <w:pPr>
        <w:spacing w:line="328" w:lineRule="auto" w:before="2"/>
        <w:ind w:left="1509" w:right="827" w:hanging="340"/>
        <w:jc w:val="left"/>
        <w:rPr>
          <w:rFonts w:ascii="Arial" w:hAnsi="Arial"/>
          <w:sz w:val="19"/>
        </w:rPr>
      </w:pPr>
      <w:r>
        <w:rPr>
          <w:rFonts w:ascii="Arial" w:hAnsi="Arial"/>
          <w:i/>
          <w:color w:val="231F20"/>
          <w:w w:val="115"/>
          <w:sz w:val="19"/>
        </w:rPr>
        <w:t>Depreciation</w:t>
      </w:r>
      <w:r>
        <w:rPr>
          <w:rFonts w:ascii="Arial" w:hAnsi="Arial"/>
          <w:color w:val="231F20"/>
          <w:w w:val="115"/>
          <w:sz w:val="19"/>
        </w:rPr>
        <w:t>—The</w:t>
      </w:r>
      <w:r>
        <w:rPr>
          <w:rFonts w:ascii="Arial" w:hAnsi="Arial"/>
          <w:color w:val="231F20"/>
          <w:spacing w:val="-16"/>
          <w:w w:val="115"/>
          <w:sz w:val="19"/>
        </w:rPr>
        <w:t> </w:t>
      </w:r>
      <w:r>
        <w:rPr>
          <w:rFonts w:ascii="Arial" w:hAnsi="Arial"/>
          <w:color w:val="231F20"/>
          <w:w w:val="115"/>
          <w:sz w:val="19"/>
        </w:rPr>
        <w:t>cost</w:t>
      </w:r>
      <w:r>
        <w:rPr>
          <w:rFonts w:ascii="Arial" w:hAnsi="Arial"/>
          <w:color w:val="231F20"/>
          <w:spacing w:val="-15"/>
          <w:w w:val="115"/>
          <w:sz w:val="19"/>
        </w:rPr>
        <w:t> </w:t>
      </w:r>
      <w:r>
        <w:rPr>
          <w:rFonts w:ascii="Arial" w:hAnsi="Arial"/>
          <w:color w:val="231F20"/>
          <w:w w:val="115"/>
          <w:sz w:val="19"/>
        </w:rPr>
        <w:t>of</w:t>
      </w:r>
      <w:r>
        <w:rPr>
          <w:rFonts w:ascii="Arial" w:hAnsi="Arial"/>
          <w:color w:val="231F20"/>
          <w:spacing w:val="-15"/>
          <w:w w:val="115"/>
          <w:sz w:val="19"/>
        </w:rPr>
        <w:t> </w:t>
      </w:r>
      <w:r>
        <w:rPr>
          <w:rFonts w:ascii="Arial" w:hAnsi="Arial"/>
          <w:color w:val="231F20"/>
          <w:w w:val="115"/>
          <w:sz w:val="19"/>
        </w:rPr>
        <w:t>using</w:t>
      </w:r>
      <w:r>
        <w:rPr>
          <w:rFonts w:ascii="Arial" w:hAnsi="Arial"/>
          <w:color w:val="231F20"/>
          <w:spacing w:val="-15"/>
          <w:w w:val="115"/>
          <w:sz w:val="19"/>
        </w:rPr>
        <w:t> </w:t>
      </w:r>
      <w:r>
        <w:rPr>
          <w:rFonts w:ascii="Arial" w:hAnsi="Arial"/>
          <w:color w:val="231F20"/>
          <w:w w:val="115"/>
          <w:sz w:val="19"/>
        </w:rPr>
        <w:t>equipment</w:t>
      </w:r>
      <w:r>
        <w:rPr>
          <w:rFonts w:ascii="Arial" w:hAnsi="Arial"/>
          <w:color w:val="231F20"/>
          <w:spacing w:val="-15"/>
          <w:w w:val="115"/>
          <w:sz w:val="19"/>
        </w:rPr>
        <w:t> </w:t>
      </w:r>
      <w:r>
        <w:rPr>
          <w:rFonts w:ascii="Arial" w:hAnsi="Arial"/>
          <w:color w:val="231F20"/>
          <w:w w:val="115"/>
          <w:sz w:val="19"/>
        </w:rPr>
        <w:t>allocated</w:t>
      </w:r>
      <w:r>
        <w:rPr>
          <w:rFonts w:ascii="Arial" w:hAnsi="Arial"/>
          <w:color w:val="231F20"/>
          <w:spacing w:val="-16"/>
          <w:w w:val="115"/>
          <w:sz w:val="19"/>
        </w:rPr>
        <w:t> </w:t>
      </w:r>
      <w:r>
        <w:rPr>
          <w:rFonts w:ascii="Arial" w:hAnsi="Arial"/>
          <w:color w:val="231F20"/>
          <w:w w:val="115"/>
          <w:sz w:val="19"/>
        </w:rPr>
        <w:t>over</w:t>
      </w:r>
      <w:r>
        <w:rPr>
          <w:rFonts w:ascii="Arial" w:hAnsi="Arial"/>
          <w:color w:val="231F20"/>
          <w:spacing w:val="-15"/>
          <w:w w:val="115"/>
          <w:sz w:val="19"/>
        </w:rPr>
        <w:t> </w:t>
      </w:r>
      <w:r>
        <w:rPr>
          <w:rFonts w:ascii="Arial" w:hAnsi="Arial"/>
          <w:color w:val="231F20"/>
          <w:w w:val="115"/>
          <w:sz w:val="19"/>
        </w:rPr>
        <w:t>its useful life</w:t>
      </w:r>
    </w:p>
    <w:p>
      <w:pPr>
        <w:spacing w:before="1"/>
        <w:ind w:left="1169" w:right="0" w:firstLine="0"/>
        <w:jc w:val="left"/>
        <w:rPr>
          <w:rFonts w:ascii="Arial" w:hAnsi="Arial"/>
          <w:sz w:val="19"/>
        </w:rPr>
      </w:pPr>
      <w:r>
        <w:rPr>
          <w:rFonts w:ascii="Arial" w:hAnsi="Arial"/>
          <w:i/>
          <w:color w:val="231F20"/>
          <w:w w:val="110"/>
          <w:sz w:val="19"/>
        </w:rPr>
        <w:t>The</w:t>
      </w:r>
      <w:r>
        <w:rPr>
          <w:rFonts w:ascii="Arial" w:hAnsi="Arial"/>
          <w:i/>
          <w:color w:val="231F20"/>
          <w:spacing w:val="8"/>
          <w:w w:val="110"/>
          <w:sz w:val="19"/>
        </w:rPr>
        <w:t> </w:t>
      </w:r>
      <w:r>
        <w:rPr>
          <w:rFonts w:ascii="Arial" w:hAnsi="Arial"/>
          <w:i/>
          <w:color w:val="231F20"/>
          <w:w w:val="110"/>
          <w:sz w:val="19"/>
        </w:rPr>
        <w:t>Eight</w:t>
      </w:r>
      <w:r>
        <w:rPr>
          <w:rFonts w:ascii="Arial" w:hAnsi="Arial"/>
          <w:i/>
          <w:color w:val="231F20"/>
          <w:spacing w:val="9"/>
          <w:w w:val="110"/>
          <w:sz w:val="19"/>
        </w:rPr>
        <w:t> </w:t>
      </w:r>
      <w:r>
        <w:rPr>
          <w:rFonts w:ascii="Arial" w:hAnsi="Arial"/>
          <w:i/>
          <w:color w:val="231F20"/>
          <w:w w:val="110"/>
          <w:sz w:val="19"/>
        </w:rPr>
        <w:t>Basic</w:t>
      </w:r>
      <w:r>
        <w:rPr>
          <w:rFonts w:ascii="Arial" w:hAnsi="Arial"/>
          <w:i/>
          <w:color w:val="231F20"/>
          <w:spacing w:val="9"/>
          <w:w w:val="110"/>
          <w:sz w:val="19"/>
        </w:rPr>
        <w:t> </w:t>
      </w:r>
      <w:r>
        <w:rPr>
          <w:rFonts w:ascii="Arial" w:hAnsi="Arial"/>
          <w:i/>
          <w:color w:val="231F20"/>
          <w:w w:val="110"/>
          <w:sz w:val="19"/>
        </w:rPr>
        <w:t>Ratios</w:t>
      </w:r>
      <w:r>
        <w:rPr>
          <w:rFonts w:ascii="Arial" w:hAnsi="Arial"/>
          <w:i/>
          <w:color w:val="231F20"/>
          <w:spacing w:val="9"/>
          <w:w w:val="110"/>
          <w:sz w:val="19"/>
        </w:rPr>
        <w:t> </w:t>
      </w:r>
      <w:r>
        <w:rPr>
          <w:rFonts w:ascii="Arial" w:hAnsi="Arial"/>
          <w:i/>
          <w:color w:val="231F20"/>
          <w:w w:val="110"/>
          <w:sz w:val="19"/>
        </w:rPr>
        <w:t>for</w:t>
      </w:r>
      <w:r>
        <w:rPr>
          <w:rFonts w:ascii="Arial" w:hAnsi="Arial"/>
          <w:i/>
          <w:color w:val="231F20"/>
          <w:spacing w:val="8"/>
          <w:w w:val="110"/>
          <w:sz w:val="19"/>
        </w:rPr>
        <w:t> </w:t>
      </w:r>
      <w:r>
        <w:rPr>
          <w:rFonts w:ascii="Arial" w:hAnsi="Arial"/>
          <w:i/>
          <w:color w:val="231F20"/>
          <w:w w:val="110"/>
          <w:sz w:val="19"/>
        </w:rPr>
        <w:t>Financial</w:t>
      </w:r>
      <w:r>
        <w:rPr>
          <w:rFonts w:ascii="Arial" w:hAnsi="Arial"/>
          <w:i/>
          <w:color w:val="231F20"/>
          <w:spacing w:val="9"/>
          <w:w w:val="110"/>
          <w:sz w:val="19"/>
        </w:rPr>
        <w:t> </w:t>
      </w:r>
      <w:r>
        <w:rPr>
          <w:rFonts w:ascii="Arial" w:hAnsi="Arial"/>
          <w:i/>
          <w:color w:val="231F20"/>
          <w:w w:val="110"/>
          <w:sz w:val="19"/>
        </w:rPr>
        <w:t>Statement</w:t>
      </w:r>
      <w:r>
        <w:rPr>
          <w:rFonts w:ascii="Arial" w:hAnsi="Arial"/>
          <w:i/>
          <w:color w:val="231F20"/>
          <w:spacing w:val="9"/>
          <w:w w:val="110"/>
          <w:sz w:val="19"/>
        </w:rPr>
        <w:t> </w:t>
      </w:r>
      <w:r>
        <w:rPr>
          <w:rFonts w:ascii="Arial" w:hAnsi="Arial"/>
          <w:i/>
          <w:color w:val="231F20"/>
          <w:w w:val="110"/>
          <w:sz w:val="19"/>
        </w:rPr>
        <w:t>Analysis</w:t>
      </w:r>
      <w:r>
        <w:rPr>
          <w:rFonts w:ascii="Arial" w:hAnsi="Arial"/>
          <w:i/>
          <w:color w:val="231F20"/>
          <w:spacing w:val="-39"/>
          <w:w w:val="110"/>
          <w:sz w:val="19"/>
        </w:rPr>
        <w:t> </w:t>
      </w:r>
      <w:r>
        <w:rPr>
          <w:rFonts w:ascii="Arial" w:hAnsi="Arial"/>
          <w:color w:val="231F20"/>
          <w:spacing w:val="-10"/>
          <w:w w:val="110"/>
          <w:sz w:val="19"/>
        </w:rPr>
        <w:t>—</w:t>
      </w:r>
    </w:p>
    <w:p>
      <w:pPr>
        <w:spacing w:line="328" w:lineRule="auto" w:before="82"/>
        <w:ind w:left="1509" w:right="966" w:firstLine="0"/>
        <w:jc w:val="left"/>
        <w:rPr>
          <w:rFonts w:ascii="Arial"/>
          <w:sz w:val="19"/>
        </w:rPr>
      </w:pPr>
      <w:r>
        <w:rPr>
          <w:rFonts w:ascii="Arial"/>
          <w:color w:val="231F20"/>
          <w:w w:val="115"/>
          <w:sz w:val="19"/>
        </w:rPr>
        <w:t>A</w:t>
      </w:r>
      <w:r>
        <w:rPr>
          <w:rFonts w:ascii="Arial"/>
          <w:color w:val="231F20"/>
          <w:spacing w:val="-9"/>
          <w:w w:val="115"/>
          <w:sz w:val="19"/>
        </w:rPr>
        <w:t> </w:t>
      </w:r>
      <w:r>
        <w:rPr>
          <w:rFonts w:ascii="Arial"/>
          <w:color w:val="231F20"/>
          <w:w w:val="115"/>
          <w:sz w:val="19"/>
        </w:rPr>
        <w:t>method</w:t>
      </w:r>
      <w:r>
        <w:rPr>
          <w:rFonts w:ascii="Arial"/>
          <w:color w:val="231F20"/>
          <w:spacing w:val="-9"/>
          <w:w w:val="115"/>
          <w:sz w:val="19"/>
        </w:rPr>
        <w:t> </w:t>
      </w:r>
      <w:r>
        <w:rPr>
          <w:rFonts w:ascii="Arial"/>
          <w:color w:val="231F20"/>
          <w:w w:val="115"/>
          <w:sz w:val="19"/>
        </w:rPr>
        <w:t>of</w:t>
      </w:r>
      <w:r>
        <w:rPr>
          <w:rFonts w:ascii="Arial"/>
          <w:color w:val="231F20"/>
          <w:spacing w:val="-9"/>
          <w:w w:val="115"/>
          <w:sz w:val="19"/>
        </w:rPr>
        <w:t> </w:t>
      </w:r>
      <w:r>
        <w:rPr>
          <w:rFonts w:ascii="Arial"/>
          <w:color w:val="231F20"/>
          <w:w w:val="115"/>
          <w:sz w:val="19"/>
        </w:rPr>
        <w:t>analyzing</w:t>
      </w:r>
      <w:r>
        <w:rPr>
          <w:rFonts w:ascii="Arial"/>
          <w:color w:val="231F20"/>
          <w:spacing w:val="-9"/>
          <w:w w:val="115"/>
          <w:sz w:val="19"/>
        </w:rPr>
        <w:t> </w:t>
      </w:r>
      <w:r>
        <w:rPr>
          <w:rFonts w:ascii="Arial"/>
          <w:color w:val="231F20"/>
          <w:w w:val="115"/>
          <w:sz w:val="19"/>
        </w:rPr>
        <w:t>statements</w:t>
      </w:r>
      <w:r>
        <w:rPr>
          <w:rFonts w:ascii="Arial"/>
          <w:color w:val="231F20"/>
          <w:spacing w:val="-9"/>
          <w:w w:val="115"/>
          <w:sz w:val="19"/>
        </w:rPr>
        <w:t> </w:t>
      </w:r>
      <w:r>
        <w:rPr>
          <w:rFonts w:ascii="Arial"/>
          <w:color w:val="231F20"/>
          <w:w w:val="115"/>
          <w:sz w:val="19"/>
        </w:rPr>
        <w:t>and</w:t>
      </w:r>
      <w:r>
        <w:rPr>
          <w:rFonts w:ascii="Arial"/>
          <w:color w:val="231F20"/>
          <w:spacing w:val="-9"/>
          <w:w w:val="115"/>
          <w:sz w:val="19"/>
        </w:rPr>
        <w:t> </w:t>
      </w:r>
      <w:r>
        <w:rPr>
          <w:rFonts w:ascii="Arial"/>
          <w:color w:val="231F20"/>
          <w:w w:val="115"/>
          <w:sz w:val="19"/>
        </w:rPr>
        <w:t>comparing</w:t>
      </w:r>
      <w:r>
        <w:rPr>
          <w:rFonts w:ascii="Arial"/>
          <w:color w:val="231F20"/>
          <w:spacing w:val="-9"/>
          <w:w w:val="115"/>
          <w:sz w:val="19"/>
        </w:rPr>
        <w:t> </w:t>
      </w:r>
      <w:r>
        <w:rPr>
          <w:rFonts w:ascii="Arial"/>
          <w:color w:val="231F20"/>
          <w:w w:val="115"/>
          <w:sz w:val="19"/>
        </w:rPr>
        <w:t>them to industry standards</w:t>
      </w:r>
    </w:p>
    <w:p>
      <w:pPr>
        <w:spacing w:line="328" w:lineRule="auto" w:before="1"/>
        <w:ind w:left="1509" w:right="1045" w:hanging="340"/>
        <w:jc w:val="left"/>
        <w:rPr>
          <w:rFonts w:ascii="Arial" w:hAnsi="Arial"/>
          <w:sz w:val="19"/>
        </w:rPr>
      </w:pPr>
      <w:r>
        <w:rPr>
          <w:rFonts w:ascii="Arial" w:hAnsi="Arial"/>
          <w:i/>
          <w:color w:val="231F20"/>
          <w:w w:val="115"/>
          <w:sz w:val="19"/>
        </w:rPr>
        <w:t>Price</w:t>
      </w:r>
      <w:r>
        <w:rPr>
          <w:rFonts w:ascii="Arial" w:hAnsi="Arial"/>
          <w:i/>
          <w:color w:val="231F20"/>
          <w:spacing w:val="-1"/>
          <w:w w:val="115"/>
          <w:sz w:val="19"/>
        </w:rPr>
        <w:t> </w:t>
      </w:r>
      <w:r>
        <w:rPr>
          <w:rFonts w:ascii="Arial" w:hAnsi="Arial"/>
          <w:i/>
          <w:color w:val="231F20"/>
          <w:w w:val="115"/>
          <w:sz w:val="19"/>
        </w:rPr>
        <w:t>and</w:t>
      </w:r>
      <w:r>
        <w:rPr>
          <w:rFonts w:ascii="Arial" w:hAnsi="Arial"/>
          <w:i/>
          <w:color w:val="231F20"/>
          <w:spacing w:val="-1"/>
          <w:w w:val="115"/>
          <w:sz w:val="19"/>
        </w:rPr>
        <w:t> </w:t>
      </w:r>
      <w:r>
        <w:rPr>
          <w:rFonts w:ascii="Arial" w:hAnsi="Arial"/>
          <w:i/>
          <w:color w:val="231F20"/>
          <w:w w:val="115"/>
          <w:sz w:val="19"/>
        </w:rPr>
        <w:t>Volume</w:t>
      </w:r>
      <w:r>
        <w:rPr>
          <w:rFonts w:ascii="Arial" w:hAnsi="Arial"/>
          <w:i/>
          <w:color w:val="231F20"/>
          <w:spacing w:val="-1"/>
          <w:w w:val="115"/>
          <w:sz w:val="19"/>
        </w:rPr>
        <w:t> </w:t>
      </w:r>
      <w:r>
        <w:rPr>
          <w:rFonts w:ascii="Arial" w:hAnsi="Arial"/>
          <w:i/>
          <w:color w:val="231F20"/>
          <w:w w:val="115"/>
          <w:sz w:val="19"/>
        </w:rPr>
        <w:t>Variances</w:t>
      </w:r>
      <w:r>
        <w:rPr>
          <w:rFonts w:ascii="Arial" w:hAnsi="Arial"/>
          <w:i/>
          <w:color w:val="231F20"/>
          <w:spacing w:val="-43"/>
          <w:w w:val="115"/>
          <w:sz w:val="19"/>
        </w:rPr>
        <w:t> </w:t>
      </w:r>
      <w:r>
        <w:rPr>
          <w:rFonts w:ascii="Arial" w:hAnsi="Arial"/>
          <w:color w:val="231F20"/>
          <w:spacing w:val="11"/>
          <w:w w:val="115"/>
          <w:sz w:val="19"/>
        </w:rPr>
        <w:t>—</w:t>
      </w:r>
      <w:r>
        <w:rPr>
          <w:rFonts w:ascii="Arial" w:hAnsi="Arial"/>
          <w:color w:val="231F20"/>
          <w:w w:val="115"/>
          <w:sz w:val="19"/>
        </w:rPr>
        <w:t>A method</w:t>
      </w:r>
      <w:r>
        <w:rPr>
          <w:rFonts w:ascii="Arial" w:hAnsi="Arial"/>
          <w:color w:val="231F20"/>
          <w:spacing w:val="-1"/>
          <w:w w:val="115"/>
          <w:sz w:val="19"/>
        </w:rPr>
        <w:t> </w:t>
      </w:r>
      <w:r>
        <w:rPr>
          <w:rFonts w:ascii="Arial" w:hAnsi="Arial"/>
          <w:color w:val="231F20"/>
          <w:w w:val="115"/>
          <w:sz w:val="19"/>
        </w:rPr>
        <w:t>of</w:t>
      </w:r>
      <w:r>
        <w:rPr>
          <w:rFonts w:ascii="Arial" w:hAnsi="Arial"/>
          <w:color w:val="231F20"/>
          <w:spacing w:val="-1"/>
          <w:w w:val="115"/>
          <w:sz w:val="19"/>
        </w:rPr>
        <w:t> </w:t>
      </w:r>
      <w:r>
        <w:rPr>
          <w:rFonts w:ascii="Arial" w:hAnsi="Arial"/>
          <w:color w:val="231F20"/>
          <w:w w:val="115"/>
          <w:sz w:val="19"/>
        </w:rPr>
        <w:t>explaining operational</w:t>
      </w:r>
      <w:r>
        <w:rPr>
          <w:rFonts w:ascii="Arial" w:hAnsi="Arial"/>
          <w:color w:val="231F20"/>
          <w:spacing w:val="-11"/>
          <w:w w:val="115"/>
          <w:sz w:val="19"/>
        </w:rPr>
        <w:t> </w:t>
      </w:r>
      <w:r>
        <w:rPr>
          <w:rFonts w:ascii="Arial" w:hAnsi="Arial"/>
          <w:color w:val="231F20"/>
          <w:w w:val="115"/>
          <w:sz w:val="19"/>
        </w:rPr>
        <w:t>results</w:t>
      </w:r>
      <w:r>
        <w:rPr>
          <w:rFonts w:ascii="Arial" w:hAnsi="Arial"/>
          <w:color w:val="231F20"/>
          <w:spacing w:val="-11"/>
          <w:w w:val="115"/>
          <w:sz w:val="19"/>
        </w:rPr>
        <w:t> </w:t>
      </w:r>
      <w:r>
        <w:rPr>
          <w:rFonts w:ascii="Arial" w:hAnsi="Arial"/>
          <w:color w:val="231F20"/>
          <w:w w:val="115"/>
          <w:sz w:val="19"/>
        </w:rPr>
        <w:t>by</w:t>
      </w:r>
      <w:r>
        <w:rPr>
          <w:rFonts w:ascii="Arial" w:hAnsi="Arial"/>
          <w:color w:val="231F20"/>
          <w:spacing w:val="-11"/>
          <w:w w:val="115"/>
          <w:sz w:val="19"/>
        </w:rPr>
        <w:t> </w:t>
      </w:r>
      <w:r>
        <w:rPr>
          <w:rFonts w:ascii="Arial" w:hAnsi="Arial"/>
          <w:color w:val="231F20"/>
          <w:w w:val="115"/>
          <w:sz w:val="19"/>
        </w:rPr>
        <w:t>isolating</w:t>
      </w:r>
      <w:r>
        <w:rPr>
          <w:rFonts w:ascii="Arial" w:hAnsi="Arial"/>
          <w:color w:val="231F20"/>
          <w:spacing w:val="-11"/>
          <w:w w:val="115"/>
          <w:sz w:val="19"/>
        </w:rPr>
        <w:t> </w:t>
      </w:r>
      <w:r>
        <w:rPr>
          <w:rFonts w:ascii="Arial" w:hAnsi="Arial"/>
          <w:color w:val="231F20"/>
          <w:w w:val="115"/>
          <w:sz w:val="19"/>
        </w:rPr>
        <w:t>the</w:t>
      </w:r>
      <w:r>
        <w:rPr>
          <w:rFonts w:ascii="Arial" w:hAnsi="Arial"/>
          <w:color w:val="231F20"/>
          <w:spacing w:val="-11"/>
          <w:w w:val="115"/>
          <w:sz w:val="19"/>
        </w:rPr>
        <w:t> </w:t>
      </w:r>
      <w:r>
        <w:rPr>
          <w:rFonts w:ascii="Arial" w:hAnsi="Arial"/>
          <w:color w:val="231F20"/>
          <w:w w:val="115"/>
          <w:sz w:val="19"/>
        </w:rPr>
        <w:t>effects</w:t>
      </w:r>
      <w:r>
        <w:rPr>
          <w:rFonts w:ascii="Arial" w:hAnsi="Arial"/>
          <w:color w:val="231F20"/>
          <w:spacing w:val="-11"/>
          <w:w w:val="115"/>
          <w:sz w:val="19"/>
        </w:rPr>
        <w:t> </w:t>
      </w:r>
      <w:r>
        <w:rPr>
          <w:rFonts w:ascii="Arial" w:hAnsi="Arial"/>
          <w:color w:val="231F20"/>
          <w:w w:val="115"/>
          <w:sz w:val="19"/>
        </w:rPr>
        <w:t>of</w:t>
      </w:r>
      <w:r>
        <w:rPr>
          <w:rFonts w:ascii="Arial" w:hAnsi="Arial"/>
          <w:color w:val="231F20"/>
          <w:spacing w:val="-11"/>
          <w:w w:val="115"/>
          <w:sz w:val="19"/>
        </w:rPr>
        <w:t> </w:t>
      </w:r>
      <w:r>
        <w:rPr>
          <w:rFonts w:ascii="Arial" w:hAnsi="Arial"/>
          <w:color w:val="231F20"/>
          <w:w w:val="115"/>
          <w:sz w:val="19"/>
        </w:rPr>
        <w:t>price</w:t>
      </w:r>
      <w:r>
        <w:rPr>
          <w:rFonts w:ascii="Arial" w:hAnsi="Arial"/>
          <w:color w:val="231F20"/>
          <w:spacing w:val="-11"/>
          <w:w w:val="115"/>
          <w:sz w:val="19"/>
        </w:rPr>
        <w:t> </w:t>
      </w:r>
      <w:r>
        <w:rPr>
          <w:rFonts w:ascii="Arial" w:hAnsi="Arial"/>
          <w:color w:val="231F20"/>
          <w:w w:val="115"/>
          <w:sz w:val="19"/>
        </w:rPr>
        <w:t>and volume differences from budgeted amounts</w:t>
      </w:r>
    </w:p>
    <w:p>
      <w:pPr>
        <w:spacing w:line="328" w:lineRule="auto" w:before="2"/>
        <w:ind w:left="1509" w:right="1045" w:hanging="340"/>
        <w:jc w:val="left"/>
        <w:rPr>
          <w:rFonts w:ascii="Arial" w:hAnsi="Arial"/>
          <w:sz w:val="19"/>
        </w:rPr>
      </w:pPr>
      <w:r>
        <w:rPr>
          <w:rFonts w:ascii="Arial" w:hAnsi="Arial"/>
          <w:i/>
          <w:color w:val="231F20"/>
          <w:w w:val="115"/>
          <w:sz w:val="19"/>
        </w:rPr>
        <w:t>Activity-Based</w:t>
      </w:r>
      <w:r>
        <w:rPr>
          <w:rFonts w:ascii="Arial" w:hAnsi="Arial"/>
          <w:i/>
          <w:color w:val="231F20"/>
          <w:spacing w:val="-16"/>
          <w:w w:val="115"/>
          <w:sz w:val="19"/>
        </w:rPr>
        <w:t> </w:t>
      </w:r>
      <w:r>
        <w:rPr>
          <w:rFonts w:ascii="Arial" w:hAnsi="Arial"/>
          <w:i/>
          <w:color w:val="231F20"/>
          <w:w w:val="115"/>
          <w:sz w:val="19"/>
        </w:rPr>
        <w:t>Costing</w:t>
      </w:r>
      <w:r>
        <w:rPr>
          <w:rFonts w:ascii="Arial" w:hAnsi="Arial"/>
          <w:i/>
          <w:color w:val="231F20"/>
          <w:spacing w:val="-15"/>
          <w:w w:val="115"/>
          <w:sz w:val="19"/>
        </w:rPr>
        <w:t> </w:t>
      </w:r>
      <w:r>
        <w:rPr>
          <w:rFonts w:ascii="Arial" w:hAnsi="Arial"/>
          <w:i/>
          <w:color w:val="231F20"/>
          <w:w w:val="115"/>
          <w:sz w:val="19"/>
        </w:rPr>
        <w:t>(ABC)</w:t>
      </w:r>
      <w:r>
        <w:rPr>
          <w:rFonts w:ascii="Arial" w:hAnsi="Arial"/>
          <w:i/>
          <w:color w:val="231F20"/>
          <w:spacing w:val="-43"/>
          <w:w w:val="115"/>
          <w:sz w:val="19"/>
        </w:rPr>
        <w:t> </w:t>
      </w:r>
      <w:r>
        <w:rPr>
          <w:rFonts w:ascii="Arial" w:hAnsi="Arial"/>
          <w:color w:val="231F20"/>
          <w:w w:val="115"/>
          <w:sz w:val="19"/>
        </w:rPr>
        <w:t>—The</w:t>
      </w:r>
      <w:r>
        <w:rPr>
          <w:rFonts w:ascii="Arial" w:hAnsi="Arial"/>
          <w:color w:val="231F20"/>
          <w:spacing w:val="-15"/>
          <w:w w:val="115"/>
          <w:sz w:val="19"/>
        </w:rPr>
        <w:t> </w:t>
      </w:r>
      <w:r>
        <w:rPr>
          <w:rFonts w:ascii="Arial" w:hAnsi="Arial"/>
          <w:color w:val="231F20"/>
          <w:w w:val="115"/>
          <w:sz w:val="19"/>
        </w:rPr>
        <w:t>method</w:t>
      </w:r>
      <w:r>
        <w:rPr>
          <w:rFonts w:ascii="Arial" w:hAnsi="Arial"/>
          <w:color w:val="231F20"/>
          <w:spacing w:val="-15"/>
          <w:w w:val="115"/>
          <w:sz w:val="19"/>
        </w:rPr>
        <w:t> </w:t>
      </w:r>
      <w:r>
        <w:rPr>
          <w:rFonts w:ascii="Arial" w:hAnsi="Arial"/>
          <w:color w:val="231F20"/>
          <w:w w:val="115"/>
          <w:sz w:val="19"/>
        </w:rPr>
        <w:t>of</w:t>
      </w:r>
      <w:r>
        <w:rPr>
          <w:rFonts w:ascii="Arial" w:hAnsi="Arial"/>
          <w:color w:val="231F20"/>
          <w:spacing w:val="-15"/>
          <w:w w:val="115"/>
          <w:sz w:val="19"/>
        </w:rPr>
        <w:t> </w:t>
      </w:r>
      <w:r>
        <w:rPr>
          <w:rFonts w:ascii="Arial" w:hAnsi="Arial"/>
          <w:color w:val="231F20"/>
          <w:w w:val="115"/>
          <w:sz w:val="19"/>
        </w:rPr>
        <w:t>allocating overhead</w:t>
      </w:r>
      <w:r>
        <w:rPr>
          <w:rFonts w:ascii="Arial" w:hAnsi="Arial"/>
          <w:color w:val="231F20"/>
          <w:spacing w:val="-2"/>
          <w:w w:val="115"/>
          <w:sz w:val="19"/>
        </w:rPr>
        <w:t> </w:t>
      </w:r>
      <w:r>
        <w:rPr>
          <w:rFonts w:ascii="Arial" w:hAnsi="Arial"/>
          <w:color w:val="231F20"/>
          <w:w w:val="115"/>
          <w:sz w:val="19"/>
        </w:rPr>
        <w:t>expenses</w:t>
      </w:r>
      <w:r>
        <w:rPr>
          <w:rFonts w:ascii="Arial" w:hAnsi="Arial"/>
          <w:color w:val="231F20"/>
          <w:spacing w:val="-2"/>
          <w:w w:val="115"/>
          <w:sz w:val="19"/>
        </w:rPr>
        <w:t> </w:t>
      </w:r>
      <w:r>
        <w:rPr>
          <w:rFonts w:ascii="Arial" w:hAnsi="Arial"/>
          <w:color w:val="231F20"/>
          <w:w w:val="115"/>
          <w:sz w:val="19"/>
        </w:rPr>
        <w:t>based</w:t>
      </w:r>
      <w:r>
        <w:rPr>
          <w:rFonts w:ascii="Arial" w:hAnsi="Arial"/>
          <w:color w:val="231F20"/>
          <w:spacing w:val="-2"/>
          <w:w w:val="115"/>
          <w:sz w:val="19"/>
        </w:rPr>
        <w:t> </w:t>
      </w:r>
      <w:r>
        <w:rPr>
          <w:rFonts w:ascii="Arial" w:hAnsi="Arial"/>
          <w:color w:val="231F20"/>
          <w:w w:val="115"/>
          <w:sz w:val="19"/>
        </w:rPr>
        <w:t>on</w:t>
      </w:r>
      <w:r>
        <w:rPr>
          <w:rFonts w:ascii="Arial" w:hAnsi="Arial"/>
          <w:color w:val="231F20"/>
          <w:spacing w:val="-2"/>
          <w:w w:val="115"/>
          <w:sz w:val="19"/>
        </w:rPr>
        <w:t> </w:t>
      </w:r>
      <w:r>
        <w:rPr>
          <w:rFonts w:ascii="Arial" w:hAnsi="Arial"/>
          <w:color w:val="231F20"/>
          <w:w w:val="115"/>
          <w:sz w:val="19"/>
        </w:rPr>
        <w:t>actual</w:t>
      </w:r>
      <w:r>
        <w:rPr>
          <w:rFonts w:ascii="Arial" w:hAnsi="Arial"/>
          <w:color w:val="231F20"/>
          <w:spacing w:val="-2"/>
          <w:w w:val="115"/>
          <w:sz w:val="19"/>
        </w:rPr>
        <w:t> </w:t>
      </w:r>
      <w:r>
        <w:rPr>
          <w:rFonts w:ascii="Arial" w:hAnsi="Arial"/>
          <w:color w:val="231F20"/>
          <w:w w:val="115"/>
          <w:sz w:val="19"/>
        </w:rPr>
        <w:t>usage,</w:t>
      </w:r>
      <w:r>
        <w:rPr>
          <w:rFonts w:ascii="Arial" w:hAnsi="Arial"/>
          <w:color w:val="231F20"/>
          <w:spacing w:val="-2"/>
          <w:w w:val="115"/>
          <w:sz w:val="19"/>
        </w:rPr>
        <w:t> </w:t>
      </w:r>
      <w:r>
        <w:rPr>
          <w:rFonts w:ascii="Arial" w:hAnsi="Arial"/>
          <w:color w:val="231F20"/>
          <w:w w:val="115"/>
          <w:sz w:val="19"/>
        </w:rPr>
        <w:t>not</w:t>
      </w:r>
      <w:r>
        <w:rPr>
          <w:rFonts w:ascii="Arial" w:hAnsi="Arial"/>
          <w:color w:val="231F20"/>
          <w:spacing w:val="-2"/>
          <w:w w:val="115"/>
          <w:sz w:val="19"/>
        </w:rPr>
        <w:t> </w:t>
      </w:r>
      <w:r>
        <w:rPr>
          <w:rFonts w:ascii="Arial" w:hAnsi="Arial"/>
          <w:color w:val="231F20"/>
          <w:w w:val="115"/>
          <w:sz w:val="19"/>
        </w:rPr>
        <w:t>on arbitrary measure</w:t>
      </w:r>
    </w:p>
    <w:p>
      <w:pPr>
        <w:spacing w:after="0" w:line="328" w:lineRule="auto"/>
        <w:jc w:val="left"/>
        <w:rPr>
          <w:rFonts w:ascii="Arial" w:hAnsi="Arial"/>
          <w:sz w:val="19"/>
        </w:rPr>
        <w:sectPr>
          <w:pgSz w:w="8640" w:h="12960"/>
          <w:pgMar w:header="732" w:footer="0" w:top="920" w:bottom="280" w:left="340" w:right="50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9"/>
        </w:rPr>
      </w:pPr>
    </w:p>
    <w:p>
      <w:pPr>
        <w:spacing w:before="86"/>
        <w:ind w:left="469" w:right="219" w:firstLine="0"/>
        <w:jc w:val="center"/>
        <w:rPr>
          <w:b/>
          <w:i/>
          <w:sz w:val="40"/>
        </w:rPr>
      </w:pPr>
      <w:bookmarkStart w:name="Day 4" w:id="15"/>
      <w:bookmarkEnd w:id="15"/>
      <w:r>
        <w:rPr/>
      </w:r>
      <w:bookmarkStart w:name="_bookmark7" w:id="16"/>
      <w:bookmarkEnd w:id="16"/>
      <w:r>
        <w:rPr/>
      </w:r>
      <w:hyperlink w:history="true" w:anchor="_bookmark1">
        <w:r>
          <w:rPr>
            <w:b/>
            <w:i/>
            <w:color w:val="0000FF"/>
            <w:spacing w:val="12"/>
            <w:sz w:val="40"/>
          </w:rPr>
          <w:t>Day</w:t>
        </w:r>
        <w:r>
          <w:rPr>
            <w:b/>
            <w:i/>
            <w:color w:val="0000FF"/>
            <w:spacing w:val="68"/>
            <w:sz w:val="40"/>
          </w:rPr>
          <w:t> </w:t>
        </w:r>
        <w:r>
          <w:rPr>
            <w:b/>
            <w:i/>
            <w:color w:val="0000FF"/>
            <w:spacing w:val="-10"/>
            <w:sz w:val="40"/>
          </w:rPr>
          <w:t>4</w:t>
        </w:r>
      </w:hyperlink>
    </w:p>
    <w:p>
      <w:pPr>
        <w:pStyle w:val="BodyText"/>
        <w:spacing w:before="10"/>
        <w:rPr>
          <w:b/>
          <w:i/>
          <w:sz w:val="10"/>
        </w:rPr>
      </w:pPr>
      <w:r>
        <w:rPr/>
        <w:pict>
          <v:shape style="position:absolute;margin-left:180.25pt;margin-top:7.583056pt;width:76pt;height:.1pt;mso-position-horizontal-relative:page;mso-position-vertical-relative:paragraph;z-index:-15655936;mso-wrap-distance-left:0;mso-wrap-distance-right:0" id="docshape139" coordorigin="3605,152" coordsize="1520,0" path="m3605,152l5125,152e" filled="false" stroked="true" strokeweight="6pt" strokecolor="#d1d3d4">
            <v:path arrowok="t"/>
            <v:stroke dashstyle="solid"/>
            <w10:wrap type="topAndBottom"/>
          </v:shape>
        </w:pict>
      </w:r>
    </w:p>
    <w:p>
      <w:pPr>
        <w:pStyle w:val="Heading1"/>
        <w:spacing w:line="244" w:lineRule="auto"/>
        <w:ind w:left="1041" w:right="748"/>
      </w:pPr>
      <w:r>
        <w:rPr>
          <w:color w:val="231F20"/>
          <w:spacing w:val="36"/>
          <w:w w:val="80"/>
        </w:rPr>
        <w:t>ORGANIZATIONAL </w:t>
      </w:r>
      <w:r>
        <w:rPr>
          <w:color w:val="231F20"/>
          <w:spacing w:val="36"/>
          <w:w w:val="90"/>
        </w:rPr>
        <w:t>BEHAVIOR</w:t>
      </w:r>
    </w:p>
    <w:p>
      <w:pPr>
        <w:pStyle w:val="BodyText"/>
        <w:spacing w:before="1"/>
        <w:rPr>
          <w:rFonts w:ascii="Trebuchet MS"/>
          <w:sz w:val="77"/>
        </w:rPr>
      </w:pPr>
    </w:p>
    <w:p>
      <w:pPr>
        <w:pStyle w:val="Heading5"/>
        <w:spacing w:before="1"/>
        <w:ind w:left="480"/>
        <w:rPr>
          <w:i/>
        </w:rPr>
      </w:pPr>
      <w:r>
        <w:rPr>
          <w:i/>
          <w:color w:val="231F20"/>
          <w:spacing w:val="9"/>
          <w:w w:val="90"/>
        </w:rPr>
        <w:t>Organizational</w:t>
      </w:r>
      <w:r>
        <w:rPr>
          <w:i/>
          <w:color w:val="231F20"/>
          <w:spacing w:val="48"/>
        </w:rPr>
        <w:t> </w:t>
      </w:r>
      <w:r>
        <w:rPr>
          <w:i/>
          <w:color w:val="231F20"/>
          <w:spacing w:val="9"/>
          <w:w w:val="90"/>
        </w:rPr>
        <w:t>Behavior</w:t>
      </w:r>
      <w:r>
        <w:rPr>
          <w:i/>
          <w:color w:val="231F20"/>
          <w:spacing w:val="48"/>
        </w:rPr>
        <w:t> </w:t>
      </w:r>
      <w:r>
        <w:rPr>
          <w:i/>
          <w:color w:val="231F20"/>
          <w:spacing w:val="-2"/>
          <w:w w:val="90"/>
        </w:rPr>
        <w:t>Topics</w:t>
      </w:r>
    </w:p>
    <w:p>
      <w:pPr>
        <w:spacing w:line="328" w:lineRule="auto" w:before="70"/>
        <w:ind w:left="1260" w:right="4157" w:firstLine="0"/>
        <w:jc w:val="left"/>
        <w:rPr>
          <w:rFonts w:ascii="Arial"/>
          <w:sz w:val="19"/>
        </w:rPr>
      </w:pPr>
      <w:r>
        <w:rPr>
          <w:rFonts w:ascii="Arial"/>
          <w:color w:val="808285"/>
          <w:w w:val="115"/>
          <w:sz w:val="19"/>
        </w:rPr>
        <w:t>Problem-Solving</w:t>
      </w:r>
      <w:r>
        <w:rPr>
          <w:rFonts w:ascii="Arial"/>
          <w:color w:val="808285"/>
          <w:spacing w:val="-1"/>
          <w:w w:val="115"/>
          <w:sz w:val="19"/>
        </w:rPr>
        <w:t> </w:t>
      </w:r>
      <w:r>
        <w:rPr>
          <w:rFonts w:ascii="Arial"/>
          <w:color w:val="808285"/>
          <w:w w:val="115"/>
          <w:sz w:val="19"/>
        </w:rPr>
        <w:t>Model Psychology Lesson </w:t>
      </w:r>
      <w:r>
        <w:rPr>
          <w:rFonts w:ascii="Arial"/>
          <w:color w:val="808285"/>
          <w:spacing w:val="-2"/>
          <w:w w:val="115"/>
          <w:sz w:val="19"/>
        </w:rPr>
        <w:t>Motivation</w:t>
      </w:r>
    </w:p>
    <w:p>
      <w:pPr>
        <w:spacing w:line="328" w:lineRule="auto" w:before="2"/>
        <w:ind w:left="1260" w:right="4813" w:firstLine="0"/>
        <w:jc w:val="left"/>
        <w:rPr>
          <w:rFonts w:ascii="Arial"/>
          <w:sz w:val="19"/>
        </w:rPr>
      </w:pPr>
      <w:r>
        <w:rPr>
          <w:rFonts w:ascii="Arial"/>
          <w:color w:val="808285"/>
          <w:spacing w:val="-2"/>
          <w:w w:val="115"/>
          <w:sz w:val="19"/>
        </w:rPr>
        <w:t>Leadership </w:t>
      </w:r>
      <w:r>
        <w:rPr>
          <w:rFonts w:ascii="Arial"/>
          <w:color w:val="808285"/>
          <w:spacing w:val="-2"/>
          <w:w w:val="120"/>
          <w:sz w:val="19"/>
        </w:rPr>
        <w:t>Creativity</w:t>
      </w:r>
    </w:p>
    <w:p>
      <w:pPr>
        <w:spacing w:line="328" w:lineRule="auto" w:before="2"/>
        <w:ind w:left="1260" w:right="3683" w:firstLine="0"/>
        <w:jc w:val="left"/>
        <w:rPr>
          <w:rFonts w:ascii="Arial"/>
          <w:sz w:val="19"/>
        </w:rPr>
      </w:pPr>
      <w:r>
        <w:rPr>
          <w:rFonts w:ascii="Arial"/>
          <w:color w:val="808285"/>
          <w:spacing w:val="-2"/>
          <w:w w:val="120"/>
          <w:sz w:val="19"/>
        </w:rPr>
        <w:t>On-the-Job</w:t>
      </w:r>
      <w:r>
        <w:rPr>
          <w:rFonts w:ascii="Arial"/>
          <w:color w:val="808285"/>
          <w:spacing w:val="-14"/>
          <w:w w:val="120"/>
          <w:sz w:val="19"/>
        </w:rPr>
        <w:t> </w:t>
      </w:r>
      <w:r>
        <w:rPr>
          <w:rFonts w:ascii="Arial"/>
          <w:color w:val="808285"/>
          <w:spacing w:val="-2"/>
          <w:w w:val="120"/>
          <w:sz w:val="19"/>
        </w:rPr>
        <w:t>Office</w:t>
      </w:r>
      <w:r>
        <w:rPr>
          <w:rFonts w:ascii="Arial"/>
          <w:color w:val="808285"/>
          <w:spacing w:val="-14"/>
          <w:w w:val="120"/>
          <w:sz w:val="19"/>
        </w:rPr>
        <w:t> </w:t>
      </w:r>
      <w:r>
        <w:rPr>
          <w:rFonts w:ascii="Arial"/>
          <w:color w:val="808285"/>
          <w:spacing w:val="-2"/>
          <w:w w:val="120"/>
          <w:sz w:val="19"/>
        </w:rPr>
        <w:t>Procedure Power</w:t>
      </w:r>
    </w:p>
    <w:p>
      <w:pPr>
        <w:spacing w:line="328" w:lineRule="auto" w:before="1"/>
        <w:ind w:left="1260" w:right="1742" w:firstLine="0"/>
        <w:jc w:val="left"/>
        <w:rPr>
          <w:rFonts w:ascii="Arial"/>
          <w:sz w:val="19"/>
        </w:rPr>
      </w:pPr>
      <w:r>
        <w:rPr>
          <w:rFonts w:ascii="Arial"/>
          <w:color w:val="808285"/>
          <w:w w:val="115"/>
          <w:sz w:val="19"/>
        </w:rPr>
        <w:t>The</w:t>
      </w:r>
      <w:r>
        <w:rPr>
          <w:rFonts w:ascii="Arial"/>
          <w:color w:val="808285"/>
          <w:spacing w:val="-1"/>
          <w:w w:val="115"/>
          <w:sz w:val="19"/>
        </w:rPr>
        <w:t> </w:t>
      </w:r>
      <w:r>
        <w:rPr>
          <w:rFonts w:ascii="Arial"/>
          <w:color w:val="808285"/>
          <w:w w:val="115"/>
          <w:sz w:val="19"/>
        </w:rPr>
        <w:t>Organizational</w:t>
      </w:r>
      <w:r>
        <w:rPr>
          <w:rFonts w:ascii="Arial"/>
          <w:color w:val="808285"/>
          <w:spacing w:val="-1"/>
          <w:w w:val="115"/>
          <w:sz w:val="19"/>
        </w:rPr>
        <w:t> </w:t>
      </w:r>
      <w:r>
        <w:rPr>
          <w:rFonts w:ascii="Arial"/>
          <w:color w:val="808285"/>
          <w:w w:val="115"/>
          <w:sz w:val="19"/>
        </w:rPr>
        <w:t>Model</w:t>
      </w:r>
      <w:r>
        <w:rPr>
          <w:rFonts w:ascii="Arial"/>
          <w:color w:val="808285"/>
          <w:spacing w:val="-1"/>
          <w:w w:val="115"/>
          <w:sz w:val="19"/>
        </w:rPr>
        <w:t> </w:t>
      </w:r>
      <w:r>
        <w:rPr>
          <w:rFonts w:ascii="Arial"/>
          <w:color w:val="808285"/>
          <w:w w:val="115"/>
          <w:sz w:val="19"/>
        </w:rPr>
        <w:t>and</w:t>
      </w:r>
      <w:r>
        <w:rPr>
          <w:rFonts w:ascii="Arial"/>
          <w:color w:val="808285"/>
          <w:spacing w:val="-1"/>
          <w:w w:val="115"/>
          <w:sz w:val="19"/>
        </w:rPr>
        <w:t> </w:t>
      </w:r>
      <w:r>
        <w:rPr>
          <w:rFonts w:ascii="Arial"/>
          <w:color w:val="808285"/>
          <w:w w:val="115"/>
          <w:sz w:val="19"/>
        </w:rPr>
        <w:t>Structures Systems Theory</w:t>
      </w:r>
    </w:p>
    <w:p>
      <w:pPr>
        <w:spacing w:line="328" w:lineRule="auto" w:before="1"/>
        <w:ind w:left="1260" w:right="1742" w:firstLine="0"/>
        <w:jc w:val="left"/>
        <w:rPr>
          <w:rFonts w:ascii="Arial"/>
          <w:sz w:val="19"/>
        </w:rPr>
      </w:pPr>
      <w:r>
        <w:rPr>
          <w:rFonts w:ascii="Arial"/>
          <w:color w:val="808285"/>
          <w:spacing w:val="-2"/>
          <w:w w:val="120"/>
          <w:sz w:val="19"/>
        </w:rPr>
        <w:t>Organizational</w:t>
      </w:r>
      <w:r>
        <w:rPr>
          <w:rFonts w:ascii="Arial"/>
          <w:color w:val="808285"/>
          <w:spacing w:val="-14"/>
          <w:w w:val="120"/>
          <w:sz w:val="19"/>
        </w:rPr>
        <w:t> </w:t>
      </w:r>
      <w:r>
        <w:rPr>
          <w:rFonts w:ascii="Arial"/>
          <w:color w:val="808285"/>
          <w:spacing w:val="-2"/>
          <w:w w:val="120"/>
          <w:sz w:val="19"/>
        </w:rPr>
        <w:t>Evolution</w:t>
      </w:r>
      <w:r>
        <w:rPr>
          <w:rFonts w:ascii="Arial"/>
          <w:color w:val="808285"/>
          <w:spacing w:val="-14"/>
          <w:w w:val="120"/>
          <w:sz w:val="19"/>
        </w:rPr>
        <w:t> </w:t>
      </w:r>
      <w:r>
        <w:rPr>
          <w:rFonts w:ascii="Arial"/>
          <w:color w:val="808285"/>
          <w:spacing w:val="-2"/>
          <w:w w:val="120"/>
          <w:sz w:val="19"/>
        </w:rPr>
        <w:t>and</w:t>
      </w:r>
      <w:r>
        <w:rPr>
          <w:rFonts w:ascii="Arial"/>
          <w:color w:val="808285"/>
          <w:spacing w:val="-14"/>
          <w:w w:val="120"/>
          <w:sz w:val="19"/>
        </w:rPr>
        <w:t> </w:t>
      </w:r>
      <w:r>
        <w:rPr>
          <w:rFonts w:ascii="Arial"/>
          <w:color w:val="808285"/>
          <w:spacing w:val="-2"/>
          <w:w w:val="120"/>
          <w:sz w:val="19"/>
        </w:rPr>
        <w:t>Revolution </w:t>
      </w:r>
      <w:r>
        <w:rPr>
          <w:rFonts w:ascii="Arial"/>
          <w:color w:val="808285"/>
          <w:w w:val="120"/>
          <w:sz w:val="19"/>
        </w:rPr>
        <w:t>Resistance to Change</w:t>
      </w:r>
    </w:p>
    <w:p>
      <w:pPr>
        <w:pStyle w:val="BodyText"/>
        <w:rPr>
          <w:rFonts w:ascii="Arial"/>
          <w:sz w:val="20"/>
        </w:rPr>
      </w:pPr>
    </w:p>
    <w:p>
      <w:pPr>
        <w:pStyle w:val="BodyText"/>
        <w:spacing w:before="10"/>
        <w:rPr>
          <w:rFonts w:ascii="Arial"/>
          <w:sz w:val="26"/>
        </w:rPr>
      </w:pPr>
    </w:p>
    <w:p>
      <w:pPr>
        <w:spacing w:line="324" w:lineRule="auto" w:before="0"/>
        <w:ind w:left="1259" w:right="1006" w:firstLine="0"/>
        <w:jc w:val="both"/>
        <w:rPr>
          <w:sz w:val="19"/>
        </w:rPr>
      </w:pPr>
      <w:r>
        <w:rPr>
          <w:rFonts w:ascii="Arial"/>
          <w:color w:val="231F20"/>
          <w:sz w:val="16"/>
        </w:rPr>
        <w:t>NEW</w:t>
      </w:r>
      <w:r>
        <w:rPr>
          <w:rFonts w:ascii="Arial"/>
          <w:color w:val="231F20"/>
          <w:spacing w:val="40"/>
          <w:sz w:val="16"/>
        </w:rPr>
        <w:t> </w:t>
      </w:r>
      <w:r>
        <w:rPr>
          <w:rFonts w:ascii="Arial"/>
          <w:color w:val="231F20"/>
          <w:sz w:val="16"/>
        </w:rPr>
        <w:t>MBA</w:t>
      </w:r>
      <w:r>
        <w:rPr>
          <w:rFonts w:ascii="Arial"/>
          <w:color w:val="231F20"/>
          <w:spacing w:val="40"/>
          <w:sz w:val="16"/>
        </w:rPr>
        <w:t> </w:t>
      </w:r>
      <w:r>
        <w:rPr>
          <w:rFonts w:ascii="Arial"/>
          <w:color w:val="231F20"/>
          <w:sz w:val="16"/>
        </w:rPr>
        <w:t>GRADUATE:</w:t>
      </w:r>
      <w:r>
        <w:rPr>
          <w:rFonts w:ascii="Arial"/>
          <w:color w:val="231F20"/>
          <w:spacing w:val="40"/>
          <w:sz w:val="16"/>
        </w:rPr>
        <w:t> </w:t>
      </w:r>
      <w:r>
        <w:rPr>
          <w:color w:val="231F20"/>
          <w:sz w:val="19"/>
        </w:rPr>
        <w:t>I</w:t>
      </w:r>
      <w:r>
        <w:rPr>
          <w:color w:val="231F20"/>
          <w:spacing w:val="40"/>
          <w:sz w:val="19"/>
        </w:rPr>
        <w:t> </w:t>
      </w:r>
      <w:r>
        <w:rPr>
          <w:color w:val="231F20"/>
          <w:sz w:val="19"/>
        </w:rPr>
        <w:t>have</w:t>
      </w:r>
      <w:r>
        <w:rPr>
          <w:color w:val="231F20"/>
          <w:spacing w:val="40"/>
          <w:sz w:val="19"/>
        </w:rPr>
        <w:t> </w:t>
      </w:r>
      <w:r>
        <w:rPr>
          <w:color w:val="231F20"/>
          <w:sz w:val="19"/>
        </w:rPr>
        <w:t>the</w:t>
      </w:r>
      <w:r>
        <w:rPr>
          <w:color w:val="231F20"/>
          <w:spacing w:val="40"/>
          <w:sz w:val="19"/>
        </w:rPr>
        <w:t> </w:t>
      </w:r>
      <w:r>
        <w:rPr>
          <w:color w:val="231F20"/>
          <w:sz w:val="19"/>
        </w:rPr>
        <w:t>answer!</w:t>
      </w:r>
      <w:r>
        <w:rPr>
          <w:color w:val="231F20"/>
          <w:spacing w:val="40"/>
          <w:sz w:val="19"/>
        </w:rPr>
        <w:t> </w:t>
      </w:r>
      <w:r>
        <w:rPr>
          <w:color w:val="231F20"/>
          <w:sz w:val="19"/>
        </w:rPr>
        <w:t>My</w:t>
      </w:r>
      <w:r>
        <w:rPr>
          <w:color w:val="231F20"/>
          <w:spacing w:val="40"/>
          <w:sz w:val="19"/>
        </w:rPr>
        <w:t> </w:t>
      </w:r>
      <w:r>
        <w:rPr>
          <w:color w:val="231F20"/>
          <w:sz w:val="19"/>
        </w:rPr>
        <w:t>Excel</w:t>
      </w:r>
      <w:r>
        <w:rPr>
          <w:color w:val="231F20"/>
          <w:spacing w:val="40"/>
          <w:sz w:val="19"/>
        </w:rPr>
        <w:t> </w:t>
      </w:r>
      <w:r>
        <w:rPr>
          <w:color w:val="231F20"/>
          <w:sz w:val="19"/>
        </w:rPr>
        <w:t>spreadsheet says that we should reorganize the company by geographic </w:t>
      </w:r>
      <w:r>
        <w:rPr>
          <w:color w:val="231F20"/>
          <w:sz w:val="19"/>
        </w:rPr>
        <w:t>region rather than by product. We could save at least three million dol-</w:t>
      </w:r>
      <w:r>
        <w:rPr>
          <w:color w:val="231F20"/>
          <w:spacing w:val="80"/>
          <w:sz w:val="19"/>
        </w:rPr>
        <w:t> </w:t>
      </w:r>
      <w:r>
        <w:rPr>
          <w:color w:val="231F20"/>
          <w:sz w:val="19"/>
        </w:rPr>
        <w:t>lars a year by cutting unnecessary staff and travel. We hypotheti- cally</w:t>
      </w:r>
      <w:r>
        <w:rPr>
          <w:color w:val="231F20"/>
          <w:spacing w:val="26"/>
          <w:sz w:val="19"/>
        </w:rPr>
        <w:t> </w:t>
      </w:r>
      <w:r>
        <w:rPr>
          <w:color w:val="231F20"/>
          <w:sz w:val="19"/>
        </w:rPr>
        <w:t>implemented</w:t>
      </w:r>
      <w:r>
        <w:rPr>
          <w:color w:val="231F20"/>
          <w:spacing w:val="26"/>
          <w:sz w:val="19"/>
        </w:rPr>
        <w:t> </w:t>
      </w:r>
      <w:r>
        <w:rPr>
          <w:color w:val="231F20"/>
          <w:sz w:val="19"/>
        </w:rPr>
        <w:t>a</w:t>
      </w:r>
      <w:r>
        <w:rPr>
          <w:color w:val="231F20"/>
          <w:spacing w:val="26"/>
          <w:sz w:val="19"/>
        </w:rPr>
        <w:t> </w:t>
      </w:r>
      <w:r>
        <w:rPr>
          <w:color w:val="231F20"/>
          <w:sz w:val="19"/>
        </w:rPr>
        <w:t>similar</w:t>
      </w:r>
      <w:r>
        <w:rPr>
          <w:color w:val="231F20"/>
          <w:spacing w:val="26"/>
          <w:sz w:val="19"/>
        </w:rPr>
        <w:t> </w:t>
      </w:r>
      <w:r>
        <w:rPr>
          <w:color w:val="231F20"/>
          <w:sz w:val="19"/>
        </w:rPr>
        <w:t>plan</w:t>
      </w:r>
      <w:r>
        <w:rPr>
          <w:color w:val="231F20"/>
          <w:spacing w:val="26"/>
          <w:sz w:val="19"/>
        </w:rPr>
        <w:t> </w:t>
      </w:r>
      <w:r>
        <w:rPr>
          <w:color w:val="231F20"/>
          <w:sz w:val="19"/>
        </w:rPr>
        <w:t>at</w:t>
      </w:r>
      <w:r>
        <w:rPr>
          <w:color w:val="231F20"/>
          <w:spacing w:val="26"/>
          <w:sz w:val="19"/>
        </w:rPr>
        <w:t> </w:t>
      </w:r>
      <w:r>
        <w:rPr>
          <w:color w:val="231F20"/>
          <w:sz w:val="19"/>
        </w:rPr>
        <w:t>the</w:t>
      </w:r>
      <w:r>
        <w:rPr>
          <w:color w:val="231F20"/>
          <w:spacing w:val="26"/>
          <w:sz w:val="19"/>
        </w:rPr>
        <w:t> </w:t>
      </w:r>
      <w:r>
        <w:rPr>
          <w:color w:val="231F20"/>
          <w:sz w:val="19"/>
        </w:rPr>
        <w:t>Brandon</w:t>
      </w:r>
      <w:r>
        <w:rPr>
          <w:color w:val="231F20"/>
          <w:spacing w:val="26"/>
          <w:sz w:val="19"/>
        </w:rPr>
        <w:t> </w:t>
      </w:r>
      <w:r>
        <w:rPr>
          <w:color w:val="231F20"/>
          <w:sz w:val="19"/>
        </w:rPr>
        <w:t>Lee</w:t>
      </w:r>
      <w:r>
        <w:rPr>
          <w:color w:val="231F20"/>
          <w:spacing w:val="26"/>
          <w:sz w:val="19"/>
        </w:rPr>
        <w:t> </w:t>
      </w:r>
      <w:r>
        <w:rPr>
          <w:color w:val="231F20"/>
          <w:sz w:val="19"/>
        </w:rPr>
        <w:t>Company</w:t>
      </w:r>
      <w:r>
        <w:rPr>
          <w:color w:val="231F20"/>
          <w:spacing w:val="26"/>
          <w:sz w:val="19"/>
        </w:rPr>
        <w:t> </w:t>
      </w:r>
      <w:r>
        <w:rPr>
          <w:color w:val="231F20"/>
          <w:sz w:val="19"/>
        </w:rPr>
        <w:t>in a class discussion. It worked real well.</w:t>
      </w:r>
    </w:p>
    <w:p>
      <w:pPr>
        <w:spacing w:line="218" w:lineRule="exact" w:before="0"/>
        <w:ind w:left="1260" w:right="0" w:firstLine="0"/>
        <w:jc w:val="both"/>
        <w:rPr>
          <w:sz w:val="19"/>
        </w:rPr>
      </w:pPr>
      <w:r>
        <w:rPr>
          <w:rFonts w:ascii="Arial" w:hAnsi="Arial"/>
          <w:color w:val="231F20"/>
          <w:w w:val="105"/>
          <w:sz w:val="16"/>
        </w:rPr>
        <w:t>BOSS:</w:t>
      </w:r>
      <w:r>
        <w:rPr>
          <w:rFonts w:ascii="Arial" w:hAnsi="Arial"/>
          <w:color w:val="231F20"/>
          <w:spacing w:val="-5"/>
          <w:w w:val="105"/>
          <w:sz w:val="16"/>
        </w:rPr>
        <w:t> </w:t>
      </w:r>
      <w:r>
        <w:rPr>
          <w:color w:val="231F20"/>
          <w:w w:val="105"/>
          <w:sz w:val="19"/>
        </w:rPr>
        <w:t>Sounds</w:t>
      </w:r>
      <w:r>
        <w:rPr>
          <w:color w:val="231F20"/>
          <w:spacing w:val="-8"/>
          <w:w w:val="105"/>
          <w:sz w:val="19"/>
        </w:rPr>
        <w:t> </w:t>
      </w:r>
      <w:r>
        <w:rPr>
          <w:color w:val="231F20"/>
          <w:w w:val="105"/>
          <w:sz w:val="19"/>
        </w:rPr>
        <w:t>great.</w:t>
      </w:r>
      <w:r>
        <w:rPr>
          <w:color w:val="231F20"/>
          <w:spacing w:val="-9"/>
          <w:w w:val="105"/>
          <w:sz w:val="19"/>
        </w:rPr>
        <w:t> </w:t>
      </w:r>
      <w:r>
        <w:rPr>
          <w:color w:val="231F20"/>
          <w:w w:val="105"/>
          <w:sz w:val="19"/>
        </w:rPr>
        <w:t>You’ve</w:t>
      </w:r>
      <w:r>
        <w:rPr>
          <w:color w:val="231F20"/>
          <w:spacing w:val="-8"/>
          <w:w w:val="105"/>
          <w:sz w:val="19"/>
        </w:rPr>
        <w:t> </w:t>
      </w:r>
      <w:r>
        <w:rPr>
          <w:color w:val="231F20"/>
          <w:w w:val="105"/>
          <w:sz w:val="19"/>
        </w:rPr>
        <w:t>been</w:t>
      </w:r>
      <w:r>
        <w:rPr>
          <w:color w:val="231F20"/>
          <w:spacing w:val="-8"/>
          <w:w w:val="105"/>
          <w:sz w:val="19"/>
        </w:rPr>
        <w:t> </w:t>
      </w:r>
      <w:r>
        <w:rPr>
          <w:color w:val="231F20"/>
          <w:w w:val="105"/>
          <w:sz w:val="19"/>
        </w:rPr>
        <w:t>with</w:t>
      </w:r>
      <w:r>
        <w:rPr>
          <w:color w:val="231F20"/>
          <w:spacing w:val="-8"/>
          <w:w w:val="105"/>
          <w:sz w:val="19"/>
        </w:rPr>
        <w:t> </w:t>
      </w:r>
      <w:r>
        <w:rPr>
          <w:color w:val="231F20"/>
          <w:w w:val="105"/>
          <w:sz w:val="19"/>
        </w:rPr>
        <w:t>the</w:t>
      </w:r>
      <w:r>
        <w:rPr>
          <w:color w:val="231F20"/>
          <w:spacing w:val="-8"/>
          <w:w w:val="105"/>
          <w:sz w:val="19"/>
        </w:rPr>
        <w:t> </w:t>
      </w:r>
      <w:r>
        <w:rPr>
          <w:color w:val="231F20"/>
          <w:w w:val="105"/>
          <w:sz w:val="19"/>
        </w:rPr>
        <w:t>company</w:t>
      </w:r>
      <w:r>
        <w:rPr>
          <w:color w:val="231F20"/>
          <w:spacing w:val="-8"/>
          <w:w w:val="105"/>
          <w:sz w:val="19"/>
        </w:rPr>
        <w:t> </w:t>
      </w:r>
      <w:r>
        <w:rPr>
          <w:color w:val="231F20"/>
          <w:w w:val="105"/>
          <w:sz w:val="19"/>
        </w:rPr>
        <w:t>seven</w:t>
      </w:r>
      <w:r>
        <w:rPr>
          <w:color w:val="231F20"/>
          <w:spacing w:val="-8"/>
          <w:w w:val="105"/>
          <w:sz w:val="19"/>
        </w:rPr>
        <w:t> </w:t>
      </w:r>
      <w:r>
        <w:rPr>
          <w:color w:val="231F20"/>
          <w:spacing w:val="-2"/>
          <w:w w:val="105"/>
          <w:sz w:val="19"/>
        </w:rPr>
        <w:t>months</w:t>
      </w:r>
    </w:p>
    <w:p>
      <w:pPr>
        <w:spacing w:after="0" w:line="218" w:lineRule="exact"/>
        <w:jc w:val="both"/>
        <w:rPr>
          <w:sz w:val="19"/>
        </w:rPr>
        <w:sectPr>
          <w:headerReference w:type="default" r:id="rId36"/>
          <w:pgSz w:w="8640" w:h="12960"/>
          <w:pgMar w:header="0" w:footer="0" w:top="1220" w:bottom="280" w:left="340" w:right="500"/>
        </w:sectPr>
      </w:pPr>
    </w:p>
    <w:p>
      <w:pPr>
        <w:pStyle w:val="BodyText"/>
        <w:spacing w:before="1"/>
        <w:rPr>
          <w:sz w:val="18"/>
        </w:rPr>
      </w:pPr>
    </w:p>
    <w:p>
      <w:pPr>
        <w:spacing w:line="324" w:lineRule="auto" w:before="106"/>
        <w:ind w:left="1170" w:right="1045" w:firstLine="0"/>
        <w:jc w:val="left"/>
        <w:rPr>
          <w:sz w:val="19"/>
        </w:rPr>
      </w:pPr>
      <w:r>
        <w:rPr>
          <w:color w:val="231F20"/>
          <w:w w:val="105"/>
          <w:sz w:val="19"/>
        </w:rPr>
        <w:t>and</w:t>
      </w:r>
      <w:r>
        <w:rPr>
          <w:color w:val="231F20"/>
          <w:spacing w:val="-9"/>
          <w:w w:val="105"/>
          <w:sz w:val="19"/>
        </w:rPr>
        <w:t> </w:t>
      </w:r>
      <w:r>
        <w:rPr>
          <w:color w:val="231F20"/>
          <w:w w:val="105"/>
          <w:sz w:val="19"/>
        </w:rPr>
        <w:t>you</w:t>
      </w:r>
      <w:r>
        <w:rPr>
          <w:color w:val="231F20"/>
          <w:spacing w:val="-9"/>
          <w:w w:val="105"/>
          <w:sz w:val="19"/>
        </w:rPr>
        <w:t> </w:t>
      </w:r>
      <w:r>
        <w:rPr>
          <w:color w:val="231F20"/>
          <w:w w:val="105"/>
          <w:sz w:val="19"/>
        </w:rPr>
        <w:t>want</w:t>
      </w:r>
      <w:r>
        <w:rPr>
          <w:color w:val="231F20"/>
          <w:spacing w:val="-9"/>
          <w:w w:val="105"/>
          <w:sz w:val="19"/>
        </w:rPr>
        <w:t> </w:t>
      </w:r>
      <w:r>
        <w:rPr>
          <w:color w:val="231F20"/>
          <w:w w:val="105"/>
          <w:sz w:val="19"/>
        </w:rPr>
        <w:t>to</w:t>
      </w:r>
      <w:r>
        <w:rPr>
          <w:color w:val="231F20"/>
          <w:spacing w:val="-9"/>
          <w:w w:val="105"/>
          <w:sz w:val="19"/>
        </w:rPr>
        <w:t> </w:t>
      </w:r>
      <w:r>
        <w:rPr>
          <w:color w:val="231F20"/>
          <w:w w:val="105"/>
          <w:sz w:val="19"/>
        </w:rPr>
        <w:t>do</w:t>
      </w:r>
      <w:r>
        <w:rPr>
          <w:color w:val="231F20"/>
          <w:spacing w:val="-9"/>
          <w:w w:val="105"/>
          <w:sz w:val="19"/>
        </w:rPr>
        <w:t> </w:t>
      </w:r>
      <w:r>
        <w:rPr>
          <w:color w:val="231F20"/>
          <w:w w:val="105"/>
          <w:sz w:val="19"/>
        </w:rPr>
        <w:t>a</w:t>
      </w:r>
      <w:r>
        <w:rPr>
          <w:color w:val="231F20"/>
          <w:spacing w:val="-9"/>
          <w:w w:val="105"/>
          <w:sz w:val="19"/>
        </w:rPr>
        <w:t> </w:t>
      </w:r>
      <w:r>
        <w:rPr>
          <w:color w:val="231F20"/>
          <w:w w:val="105"/>
          <w:sz w:val="19"/>
        </w:rPr>
        <w:t>radical</w:t>
      </w:r>
      <w:r>
        <w:rPr>
          <w:color w:val="231F20"/>
          <w:spacing w:val="-9"/>
          <w:w w:val="105"/>
          <w:sz w:val="19"/>
        </w:rPr>
        <w:t> </w:t>
      </w:r>
      <w:r>
        <w:rPr>
          <w:color w:val="231F20"/>
          <w:w w:val="105"/>
          <w:sz w:val="19"/>
        </w:rPr>
        <w:t>reorganization.</w:t>
      </w:r>
      <w:r>
        <w:rPr>
          <w:color w:val="231F20"/>
          <w:spacing w:val="-9"/>
          <w:w w:val="105"/>
          <w:sz w:val="19"/>
        </w:rPr>
        <w:t> </w:t>
      </w:r>
      <w:r>
        <w:rPr>
          <w:color w:val="231F20"/>
          <w:w w:val="105"/>
          <w:sz w:val="19"/>
        </w:rPr>
        <w:t>I</w:t>
      </w:r>
      <w:r>
        <w:rPr>
          <w:color w:val="231F20"/>
          <w:spacing w:val="-9"/>
          <w:w w:val="105"/>
          <w:sz w:val="19"/>
        </w:rPr>
        <w:t> </w:t>
      </w:r>
      <w:r>
        <w:rPr>
          <w:color w:val="231F20"/>
          <w:w w:val="105"/>
          <w:sz w:val="19"/>
        </w:rPr>
        <w:t>assume</w:t>
      </w:r>
      <w:r>
        <w:rPr>
          <w:color w:val="231F20"/>
          <w:spacing w:val="-9"/>
          <w:w w:val="105"/>
          <w:sz w:val="19"/>
        </w:rPr>
        <w:t> </w:t>
      </w:r>
      <w:r>
        <w:rPr>
          <w:color w:val="231F20"/>
          <w:w w:val="105"/>
          <w:sz w:val="19"/>
        </w:rPr>
        <w:t>you</w:t>
      </w:r>
      <w:r>
        <w:rPr>
          <w:color w:val="231F20"/>
          <w:spacing w:val="-9"/>
          <w:w w:val="105"/>
          <w:sz w:val="19"/>
        </w:rPr>
        <w:t> </w:t>
      </w:r>
      <w:r>
        <w:rPr>
          <w:color w:val="231F20"/>
          <w:w w:val="105"/>
          <w:sz w:val="19"/>
        </w:rPr>
        <w:t>already assembled a roster of redundant employees?</w:t>
      </w:r>
    </w:p>
    <w:p>
      <w:pPr>
        <w:spacing w:line="221" w:lineRule="exact" w:before="0"/>
        <w:ind w:left="1170" w:right="0" w:firstLine="0"/>
        <w:jc w:val="left"/>
        <w:rPr>
          <w:i/>
          <w:sz w:val="19"/>
        </w:rPr>
      </w:pPr>
      <w:r>
        <w:rPr>
          <w:rFonts w:ascii="Arial" w:hAnsi="Arial"/>
          <w:color w:val="231F20"/>
          <w:w w:val="105"/>
          <w:sz w:val="16"/>
        </w:rPr>
        <w:t>NEW</w:t>
      </w:r>
      <w:r>
        <w:rPr>
          <w:rFonts w:ascii="Arial" w:hAnsi="Arial"/>
          <w:color w:val="231F20"/>
          <w:spacing w:val="58"/>
          <w:w w:val="105"/>
          <w:sz w:val="16"/>
        </w:rPr>
        <w:t> </w:t>
      </w:r>
      <w:r>
        <w:rPr>
          <w:rFonts w:ascii="Arial" w:hAnsi="Arial"/>
          <w:color w:val="231F20"/>
          <w:w w:val="105"/>
          <w:sz w:val="16"/>
        </w:rPr>
        <w:t>MBA</w:t>
      </w:r>
      <w:r>
        <w:rPr>
          <w:rFonts w:ascii="Arial" w:hAnsi="Arial"/>
          <w:color w:val="231F20"/>
          <w:spacing w:val="58"/>
          <w:w w:val="105"/>
          <w:sz w:val="16"/>
        </w:rPr>
        <w:t> </w:t>
      </w:r>
      <w:r>
        <w:rPr>
          <w:rFonts w:ascii="Arial" w:hAnsi="Arial"/>
          <w:color w:val="231F20"/>
          <w:w w:val="105"/>
          <w:sz w:val="16"/>
        </w:rPr>
        <w:t>GRADUATE:</w:t>
      </w:r>
      <w:r>
        <w:rPr>
          <w:rFonts w:ascii="Arial" w:hAnsi="Arial"/>
          <w:color w:val="231F20"/>
          <w:spacing w:val="64"/>
          <w:w w:val="105"/>
          <w:sz w:val="16"/>
        </w:rPr>
        <w:t> </w:t>
      </w:r>
      <w:r>
        <w:rPr>
          <w:color w:val="231F20"/>
          <w:w w:val="105"/>
          <w:sz w:val="19"/>
        </w:rPr>
        <w:t>Well,</w:t>
      </w:r>
      <w:r>
        <w:rPr>
          <w:color w:val="231F20"/>
          <w:spacing w:val="57"/>
          <w:w w:val="105"/>
          <w:sz w:val="19"/>
        </w:rPr>
        <w:t> </w:t>
      </w:r>
      <w:r>
        <w:rPr>
          <w:color w:val="231F20"/>
          <w:w w:val="105"/>
          <w:sz w:val="19"/>
        </w:rPr>
        <w:t>I’ve</w:t>
      </w:r>
      <w:r>
        <w:rPr>
          <w:color w:val="231F20"/>
          <w:spacing w:val="57"/>
          <w:w w:val="105"/>
          <w:sz w:val="19"/>
        </w:rPr>
        <w:t> </w:t>
      </w:r>
      <w:r>
        <w:rPr>
          <w:color w:val="231F20"/>
          <w:w w:val="105"/>
          <w:sz w:val="19"/>
        </w:rPr>
        <w:t>not</w:t>
      </w:r>
      <w:r>
        <w:rPr>
          <w:color w:val="231F20"/>
          <w:spacing w:val="58"/>
          <w:w w:val="105"/>
          <w:sz w:val="19"/>
        </w:rPr>
        <w:t> </w:t>
      </w:r>
      <w:r>
        <w:rPr>
          <w:color w:val="231F20"/>
          <w:w w:val="105"/>
          <w:sz w:val="19"/>
        </w:rPr>
        <w:t>thought</w:t>
      </w:r>
      <w:r>
        <w:rPr>
          <w:color w:val="231F20"/>
          <w:spacing w:val="57"/>
          <w:w w:val="105"/>
          <w:sz w:val="19"/>
        </w:rPr>
        <w:t> </w:t>
      </w:r>
      <w:r>
        <w:rPr>
          <w:color w:val="231F20"/>
          <w:w w:val="105"/>
          <w:sz w:val="19"/>
        </w:rPr>
        <w:t>it</w:t>
      </w:r>
      <w:r>
        <w:rPr>
          <w:color w:val="231F20"/>
          <w:spacing w:val="57"/>
          <w:w w:val="105"/>
          <w:sz w:val="19"/>
        </w:rPr>
        <w:t> </w:t>
      </w:r>
      <w:r>
        <w:rPr>
          <w:color w:val="231F20"/>
          <w:w w:val="105"/>
          <w:sz w:val="19"/>
        </w:rPr>
        <w:t>through</w:t>
      </w:r>
      <w:r>
        <w:rPr>
          <w:color w:val="231F20"/>
          <w:spacing w:val="57"/>
          <w:w w:val="105"/>
          <w:sz w:val="19"/>
        </w:rPr>
        <w:t> </w:t>
      </w:r>
      <w:r>
        <w:rPr>
          <w:i/>
          <w:color w:val="231F20"/>
          <w:spacing w:val="-4"/>
          <w:w w:val="105"/>
          <w:sz w:val="19"/>
        </w:rPr>
        <w:t>that</w:t>
      </w:r>
    </w:p>
    <w:p>
      <w:pPr>
        <w:spacing w:before="77"/>
        <w:ind w:left="1169" w:right="0" w:firstLine="0"/>
        <w:jc w:val="left"/>
        <w:rPr>
          <w:sz w:val="19"/>
        </w:rPr>
      </w:pPr>
      <w:r>
        <w:rPr/>
        <w:pict>
          <v:shape style="position:absolute;margin-left:58.5pt;margin-top:20.886251pt;width:17.8pt;height:40.050pt;mso-position-horizontal-relative:page;mso-position-vertical-relative:paragraph;z-index:-25156096" type="#_x0000_t202" id="docshape142" filled="false" stroked="false">
            <v:textbox inset="0,0,0,0">
              <w:txbxContent>
                <w:p>
                  <w:pPr>
                    <w:spacing w:line="789" w:lineRule="exact" w:before="11"/>
                    <w:ind w:left="0" w:right="0" w:firstLine="0"/>
                    <w:jc w:val="left"/>
                    <w:rPr>
                      <w:rFonts w:ascii="Trebuchet MS"/>
                      <w:sz w:val="68"/>
                    </w:rPr>
                  </w:pPr>
                  <w:r>
                    <w:rPr>
                      <w:rFonts w:ascii="Trebuchet MS"/>
                      <w:color w:val="808285"/>
                      <w:w w:val="77"/>
                      <w:sz w:val="68"/>
                    </w:rPr>
                    <w:t>O</w:t>
                  </w:r>
                </w:p>
              </w:txbxContent>
            </v:textbox>
            <w10:wrap type="none"/>
          </v:shape>
        </w:pict>
      </w:r>
      <w:r>
        <w:rPr>
          <w:color w:val="231F20"/>
          <w:w w:val="105"/>
          <w:sz w:val="19"/>
        </w:rPr>
        <w:t>far</w:t>
      </w:r>
      <w:r>
        <w:rPr>
          <w:color w:val="231F20"/>
          <w:spacing w:val="1"/>
          <w:w w:val="105"/>
          <w:sz w:val="19"/>
        </w:rPr>
        <w:t> </w:t>
      </w:r>
      <w:r>
        <w:rPr>
          <w:color w:val="231F20"/>
          <w:spacing w:val="-4"/>
          <w:w w:val="105"/>
          <w:sz w:val="19"/>
        </w:rPr>
        <w:t>yet.</w:t>
      </w:r>
    </w:p>
    <w:p>
      <w:pPr>
        <w:pStyle w:val="BodyText"/>
        <w:spacing w:before="10"/>
        <w:rPr>
          <w:sz w:val="22"/>
        </w:rPr>
      </w:pPr>
    </w:p>
    <w:p>
      <w:pPr>
        <w:pStyle w:val="BodyText"/>
        <w:spacing w:line="292" w:lineRule="auto"/>
        <w:ind w:left="829" w:right="756" w:firstLine="355"/>
        <w:jc w:val="right"/>
      </w:pPr>
      <w:r>
        <w:rPr>
          <w:color w:val="231F20"/>
        </w:rPr>
        <w:t>rganizational Behavior (OB) classes attempt to teach MBAs </w:t>
      </w:r>
      <w:r>
        <w:rPr>
          <w:color w:val="231F20"/>
        </w:rPr>
        <w:t>how to</w:t>
      </w:r>
      <w:r>
        <w:rPr>
          <w:color w:val="231F20"/>
          <w:spacing w:val="40"/>
        </w:rPr>
        <w:t> </w:t>
      </w:r>
      <w:r>
        <w:rPr>
          <w:color w:val="231F20"/>
        </w:rPr>
        <w:t>deal</w:t>
      </w:r>
      <w:r>
        <w:rPr>
          <w:color w:val="231F20"/>
          <w:spacing w:val="40"/>
        </w:rPr>
        <w:t> </w:t>
      </w:r>
      <w:r>
        <w:rPr>
          <w:color w:val="231F20"/>
        </w:rPr>
        <w:t>with</w:t>
      </w:r>
      <w:r>
        <w:rPr>
          <w:color w:val="231F20"/>
          <w:spacing w:val="40"/>
        </w:rPr>
        <w:t> </w:t>
      </w:r>
      <w:r>
        <w:rPr>
          <w:color w:val="231F20"/>
        </w:rPr>
        <w:t>the</w:t>
      </w:r>
      <w:r>
        <w:rPr>
          <w:color w:val="231F20"/>
          <w:spacing w:val="40"/>
        </w:rPr>
        <w:t> </w:t>
      </w:r>
      <w:r>
        <w:rPr>
          <w:color w:val="231F20"/>
        </w:rPr>
        <w:t>human</w:t>
      </w:r>
      <w:r>
        <w:rPr>
          <w:color w:val="231F20"/>
          <w:spacing w:val="40"/>
        </w:rPr>
        <w:t> </w:t>
      </w:r>
      <w:r>
        <w:rPr>
          <w:color w:val="231F20"/>
        </w:rPr>
        <w:t>challenges</w:t>
      </w:r>
      <w:r>
        <w:rPr>
          <w:color w:val="231F20"/>
          <w:spacing w:val="40"/>
        </w:rPr>
        <w:t> </w:t>
      </w:r>
      <w:r>
        <w:rPr>
          <w:color w:val="231F20"/>
        </w:rPr>
        <w:t>in</w:t>
      </w:r>
      <w:r>
        <w:rPr>
          <w:color w:val="231F20"/>
          <w:spacing w:val="40"/>
        </w:rPr>
        <w:t> </w:t>
      </w:r>
      <w:r>
        <w:rPr>
          <w:color w:val="231F20"/>
        </w:rPr>
        <w:t>the</w:t>
      </w:r>
      <w:r>
        <w:rPr>
          <w:color w:val="231F20"/>
          <w:spacing w:val="40"/>
        </w:rPr>
        <w:t> </w:t>
      </w:r>
      <w:r>
        <w:rPr>
          <w:color w:val="231F20"/>
        </w:rPr>
        <w:t>workplace.</w:t>
      </w:r>
      <w:r>
        <w:rPr>
          <w:color w:val="231F20"/>
          <w:spacing w:val="40"/>
        </w:rPr>
        <w:t> </w:t>
      </w:r>
      <w:r>
        <w:rPr>
          <w:color w:val="231F20"/>
        </w:rPr>
        <w:t>Quantita- tive</w:t>
      </w:r>
      <w:r>
        <w:rPr>
          <w:color w:val="231F20"/>
          <w:spacing w:val="32"/>
        </w:rPr>
        <w:t> </w:t>
      </w:r>
      <w:r>
        <w:rPr>
          <w:color w:val="231F20"/>
        </w:rPr>
        <w:t>skills</w:t>
      </w:r>
      <w:r>
        <w:rPr>
          <w:color w:val="231F20"/>
          <w:spacing w:val="32"/>
        </w:rPr>
        <w:t> </w:t>
      </w:r>
      <w:r>
        <w:rPr>
          <w:color w:val="231F20"/>
        </w:rPr>
        <w:t>may</w:t>
      </w:r>
      <w:r>
        <w:rPr>
          <w:color w:val="231F20"/>
          <w:spacing w:val="32"/>
        </w:rPr>
        <w:t> </w:t>
      </w:r>
      <w:r>
        <w:rPr>
          <w:color w:val="231F20"/>
        </w:rPr>
        <w:t>provide</w:t>
      </w:r>
      <w:r>
        <w:rPr>
          <w:color w:val="231F20"/>
          <w:spacing w:val="32"/>
        </w:rPr>
        <w:t> </w:t>
      </w:r>
      <w:r>
        <w:rPr>
          <w:color w:val="231F20"/>
        </w:rPr>
        <w:t>the</w:t>
      </w:r>
      <w:r>
        <w:rPr>
          <w:color w:val="231F20"/>
          <w:spacing w:val="32"/>
        </w:rPr>
        <w:t> </w:t>
      </w:r>
      <w:r>
        <w:rPr>
          <w:color w:val="231F20"/>
        </w:rPr>
        <w:t>magic</w:t>
      </w:r>
      <w:r>
        <w:rPr>
          <w:color w:val="231F20"/>
          <w:spacing w:val="32"/>
        </w:rPr>
        <w:t> </w:t>
      </w:r>
      <w:r>
        <w:rPr>
          <w:color w:val="231F20"/>
        </w:rPr>
        <w:t>theoretical</w:t>
      </w:r>
      <w:r>
        <w:rPr>
          <w:color w:val="231F20"/>
          <w:spacing w:val="32"/>
        </w:rPr>
        <w:t> </w:t>
      </w:r>
      <w:r>
        <w:rPr>
          <w:color w:val="231F20"/>
        </w:rPr>
        <w:t>pill</w:t>
      </w:r>
      <w:r>
        <w:rPr>
          <w:color w:val="231F20"/>
          <w:spacing w:val="32"/>
        </w:rPr>
        <w:t> </w:t>
      </w:r>
      <w:r>
        <w:rPr>
          <w:color w:val="231F20"/>
        </w:rPr>
        <w:t>in</w:t>
      </w:r>
      <w:r>
        <w:rPr>
          <w:color w:val="231F20"/>
          <w:spacing w:val="32"/>
        </w:rPr>
        <w:t> </w:t>
      </w:r>
      <w:r>
        <w:rPr>
          <w:color w:val="231F20"/>
        </w:rPr>
        <w:t>the</w:t>
      </w:r>
      <w:r>
        <w:rPr>
          <w:color w:val="231F20"/>
          <w:spacing w:val="32"/>
        </w:rPr>
        <w:t> </w:t>
      </w:r>
      <w:r>
        <w:rPr>
          <w:color w:val="231F20"/>
        </w:rPr>
        <w:t>classroom, but</w:t>
      </w:r>
      <w:r>
        <w:rPr>
          <w:color w:val="231F20"/>
          <w:spacing w:val="19"/>
        </w:rPr>
        <w:t> </w:t>
      </w:r>
      <w:r>
        <w:rPr>
          <w:color w:val="231F20"/>
        </w:rPr>
        <w:t>OB</w:t>
      </w:r>
      <w:r>
        <w:rPr>
          <w:color w:val="231F20"/>
          <w:spacing w:val="20"/>
        </w:rPr>
        <w:t> </w:t>
      </w:r>
      <w:r>
        <w:rPr>
          <w:color w:val="231F20"/>
        </w:rPr>
        <w:t>tries</w:t>
      </w:r>
      <w:r>
        <w:rPr>
          <w:color w:val="231F20"/>
          <w:spacing w:val="20"/>
        </w:rPr>
        <w:t> </w:t>
      </w:r>
      <w:r>
        <w:rPr>
          <w:color w:val="231F20"/>
        </w:rPr>
        <w:t>to</w:t>
      </w:r>
      <w:r>
        <w:rPr>
          <w:color w:val="231F20"/>
          <w:spacing w:val="20"/>
        </w:rPr>
        <w:t> </w:t>
      </w:r>
      <w:r>
        <w:rPr>
          <w:color w:val="231F20"/>
        </w:rPr>
        <w:t>instill</w:t>
      </w:r>
      <w:r>
        <w:rPr>
          <w:color w:val="231F20"/>
          <w:spacing w:val="19"/>
        </w:rPr>
        <w:t> </w:t>
      </w:r>
      <w:r>
        <w:rPr>
          <w:color w:val="231F20"/>
        </w:rPr>
        <w:t>in</w:t>
      </w:r>
      <w:r>
        <w:rPr>
          <w:color w:val="231F20"/>
          <w:spacing w:val="20"/>
        </w:rPr>
        <w:t> </w:t>
      </w:r>
      <w:r>
        <w:rPr>
          <w:color w:val="231F20"/>
        </w:rPr>
        <w:t>young</w:t>
      </w:r>
      <w:r>
        <w:rPr>
          <w:color w:val="231F20"/>
          <w:spacing w:val="20"/>
        </w:rPr>
        <w:t> </w:t>
      </w:r>
      <w:r>
        <w:rPr>
          <w:color w:val="231F20"/>
        </w:rPr>
        <w:t>MBA</w:t>
      </w:r>
      <w:r>
        <w:rPr>
          <w:color w:val="231F20"/>
          <w:spacing w:val="20"/>
        </w:rPr>
        <w:t> </w:t>
      </w:r>
      <w:r>
        <w:rPr>
          <w:color w:val="231F20"/>
        </w:rPr>
        <w:t>Turks</w:t>
      </w:r>
      <w:r>
        <w:rPr>
          <w:color w:val="231F20"/>
          <w:spacing w:val="20"/>
        </w:rPr>
        <w:t> </w:t>
      </w:r>
      <w:r>
        <w:rPr>
          <w:color w:val="231F20"/>
        </w:rPr>
        <w:t>the</w:t>
      </w:r>
      <w:r>
        <w:rPr>
          <w:color w:val="231F20"/>
          <w:spacing w:val="19"/>
        </w:rPr>
        <w:t> </w:t>
      </w:r>
      <w:r>
        <w:rPr>
          <w:color w:val="231F20"/>
        </w:rPr>
        <w:t>human</w:t>
      </w:r>
      <w:r>
        <w:rPr>
          <w:color w:val="231F20"/>
          <w:spacing w:val="20"/>
        </w:rPr>
        <w:t> </w:t>
      </w:r>
      <w:r>
        <w:rPr>
          <w:color w:val="231F20"/>
        </w:rPr>
        <w:t>sensitivity</w:t>
      </w:r>
      <w:r>
        <w:rPr>
          <w:color w:val="231F20"/>
          <w:spacing w:val="20"/>
        </w:rPr>
        <w:t> </w:t>
      </w:r>
      <w:r>
        <w:rPr>
          <w:color w:val="231F20"/>
          <w:spacing w:val="-5"/>
        </w:rPr>
        <w:t>to</w:t>
      </w:r>
    </w:p>
    <w:p>
      <w:pPr>
        <w:pStyle w:val="BodyText"/>
        <w:spacing w:line="245" w:lineRule="exact"/>
        <w:ind w:left="829"/>
        <w:jc w:val="both"/>
      </w:pPr>
      <w:r>
        <w:rPr>
          <w:color w:val="231F20"/>
          <w:w w:val="105"/>
        </w:rPr>
        <w:t>apply</w:t>
      </w:r>
      <w:r>
        <w:rPr>
          <w:color w:val="231F20"/>
          <w:spacing w:val="-9"/>
          <w:w w:val="105"/>
        </w:rPr>
        <w:t> </w:t>
      </w:r>
      <w:r>
        <w:rPr>
          <w:color w:val="231F20"/>
          <w:w w:val="105"/>
        </w:rPr>
        <w:t>their</w:t>
      </w:r>
      <w:r>
        <w:rPr>
          <w:color w:val="231F20"/>
          <w:spacing w:val="-7"/>
          <w:w w:val="105"/>
        </w:rPr>
        <w:t> </w:t>
      </w:r>
      <w:r>
        <w:rPr>
          <w:color w:val="231F20"/>
          <w:w w:val="105"/>
        </w:rPr>
        <w:t>MBA</w:t>
      </w:r>
      <w:r>
        <w:rPr>
          <w:color w:val="231F20"/>
          <w:spacing w:val="-7"/>
          <w:w w:val="105"/>
        </w:rPr>
        <w:t> </w:t>
      </w:r>
      <w:r>
        <w:rPr>
          <w:color w:val="231F20"/>
          <w:w w:val="105"/>
        </w:rPr>
        <w:t>skills</w:t>
      </w:r>
      <w:r>
        <w:rPr>
          <w:color w:val="231F20"/>
          <w:spacing w:val="-7"/>
          <w:w w:val="105"/>
        </w:rPr>
        <w:t> </w:t>
      </w:r>
      <w:r>
        <w:rPr>
          <w:color w:val="231F20"/>
          <w:w w:val="105"/>
        </w:rPr>
        <w:t>in</w:t>
      </w:r>
      <w:r>
        <w:rPr>
          <w:color w:val="231F20"/>
          <w:spacing w:val="-7"/>
          <w:w w:val="105"/>
        </w:rPr>
        <w:t> </w:t>
      </w:r>
      <w:r>
        <w:rPr>
          <w:color w:val="231F20"/>
          <w:w w:val="105"/>
        </w:rPr>
        <w:t>the</w:t>
      </w:r>
      <w:r>
        <w:rPr>
          <w:color w:val="231F20"/>
          <w:spacing w:val="-7"/>
          <w:w w:val="105"/>
        </w:rPr>
        <w:t> </w:t>
      </w:r>
      <w:r>
        <w:rPr>
          <w:color w:val="231F20"/>
          <w:w w:val="105"/>
        </w:rPr>
        <w:t>real</w:t>
      </w:r>
      <w:r>
        <w:rPr>
          <w:color w:val="231F20"/>
          <w:spacing w:val="-7"/>
          <w:w w:val="105"/>
        </w:rPr>
        <w:t> </w:t>
      </w:r>
      <w:r>
        <w:rPr>
          <w:color w:val="231F20"/>
          <w:spacing w:val="-2"/>
          <w:w w:val="105"/>
        </w:rPr>
        <w:t>world.</w:t>
      </w:r>
    </w:p>
    <w:p>
      <w:pPr>
        <w:pStyle w:val="BodyText"/>
        <w:spacing w:line="292" w:lineRule="auto" w:before="54"/>
        <w:ind w:left="829" w:right="756" w:firstLine="340"/>
        <w:jc w:val="both"/>
      </w:pPr>
      <w:r>
        <w:rPr>
          <w:color w:val="231F20"/>
        </w:rPr>
        <w:t>Many</w:t>
      </w:r>
      <w:r>
        <w:rPr>
          <w:color w:val="231F20"/>
          <w:spacing w:val="31"/>
        </w:rPr>
        <w:t> </w:t>
      </w:r>
      <w:r>
        <w:rPr>
          <w:color w:val="231F20"/>
        </w:rPr>
        <w:t>organizational</w:t>
      </w:r>
      <w:r>
        <w:rPr>
          <w:color w:val="231F20"/>
          <w:spacing w:val="31"/>
        </w:rPr>
        <w:t> </w:t>
      </w:r>
      <w:r>
        <w:rPr>
          <w:color w:val="231F20"/>
        </w:rPr>
        <w:t>theories</w:t>
      </w:r>
      <w:r>
        <w:rPr>
          <w:color w:val="231F20"/>
          <w:spacing w:val="31"/>
        </w:rPr>
        <w:t> </w:t>
      </w:r>
      <w:r>
        <w:rPr>
          <w:color w:val="231F20"/>
        </w:rPr>
        <w:t>are</w:t>
      </w:r>
      <w:r>
        <w:rPr>
          <w:color w:val="231F20"/>
          <w:spacing w:val="31"/>
        </w:rPr>
        <w:t> </w:t>
      </w:r>
      <w:r>
        <w:rPr>
          <w:color w:val="231F20"/>
        </w:rPr>
        <w:t>not</w:t>
      </w:r>
      <w:r>
        <w:rPr>
          <w:color w:val="231F20"/>
          <w:spacing w:val="31"/>
        </w:rPr>
        <w:t> </w:t>
      </w:r>
      <w:r>
        <w:rPr>
          <w:color w:val="231F20"/>
        </w:rPr>
        <w:t>unlike</w:t>
      </w:r>
      <w:r>
        <w:rPr>
          <w:color w:val="231F20"/>
          <w:spacing w:val="31"/>
        </w:rPr>
        <w:t> </w:t>
      </w:r>
      <w:r>
        <w:rPr>
          <w:color w:val="231F20"/>
        </w:rPr>
        <w:t>what</w:t>
      </w:r>
      <w:r>
        <w:rPr>
          <w:color w:val="231F20"/>
          <w:spacing w:val="31"/>
        </w:rPr>
        <w:t> </w:t>
      </w:r>
      <w:r>
        <w:rPr>
          <w:color w:val="231F20"/>
        </w:rPr>
        <w:t>you</w:t>
      </w:r>
      <w:r>
        <w:rPr>
          <w:color w:val="231F20"/>
          <w:spacing w:val="31"/>
        </w:rPr>
        <w:t> </w:t>
      </w:r>
      <w:r>
        <w:rPr>
          <w:color w:val="231F20"/>
        </w:rPr>
        <w:t>can</w:t>
      </w:r>
      <w:r>
        <w:rPr>
          <w:color w:val="231F20"/>
          <w:spacing w:val="31"/>
        </w:rPr>
        <w:t> </w:t>
      </w:r>
      <w:r>
        <w:rPr>
          <w:color w:val="231F20"/>
        </w:rPr>
        <w:t>find in books about self-awareness and sensitivity training at the local B. Dalton</w:t>
      </w:r>
      <w:r>
        <w:rPr>
          <w:color w:val="231F20"/>
          <w:spacing w:val="26"/>
        </w:rPr>
        <w:t> </w:t>
      </w:r>
      <w:r>
        <w:rPr>
          <w:color w:val="231F20"/>
        </w:rPr>
        <w:t>or</w:t>
      </w:r>
      <w:r>
        <w:rPr>
          <w:color w:val="231F20"/>
          <w:spacing w:val="26"/>
        </w:rPr>
        <w:t> </w:t>
      </w:r>
      <w:r>
        <w:rPr>
          <w:color w:val="231F20"/>
        </w:rPr>
        <w:t>Waldenbooks.</w:t>
      </w:r>
      <w:r>
        <w:rPr>
          <w:color w:val="231F20"/>
          <w:spacing w:val="26"/>
        </w:rPr>
        <w:t> </w:t>
      </w:r>
      <w:r>
        <w:rPr>
          <w:color w:val="231F20"/>
        </w:rPr>
        <w:t>The</w:t>
      </w:r>
      <w:r>
        <w:rPr>
          <w:color w:val="231F20"/>
          <w:spacing w:val="26"/>
        </w:rPr>
        <w:t> </w:t>
      </w:r>
      <w:r>
        <w:rPr>
          <w:color w:val="231F20"/>
        </w:rPr>
        <w:t>reason</w:t>
      </w:r>
      <w:r>
        <w:rPr>
          <w:color w:val="231F20"/>
          <w:spacing w:val="26"/>
        </w:rPr>
        <w:t> </w:t>
      </w:r>
      <w:r>
        <w:rPr>
          <w:color w:val="231F20"/>
        </w:rPr>
        <w:t>for</w:t>
      </w:r>
      <w:r>
        <w:rPr>
          <w:color w:val="231F20"/>
          <w:spacing w:val="26"/>
        </w:rPr>
        <w:t> </w:t>
      </w:r>
      <w:r>
        <w:rPr>
          <w:color w:val="231F20"/>
        </w:rPr>
        <w:t>the</w:t>
      </w:r>
      <w:r>
        <w:rPr>
          <w:color w:val="231F20"/>
          <w:spacing w:val="26"/>
        </w:rPr>
        <w:t> </w:t>
      </w:r>
      <w:r>
        <w:rPr>
          <w:color w:val="231F20"/>
        </w:rPr>
        <w:t>similarity</w:t>
      </w:r>
      <w:r>
        <w:rPr>
          <w:color w:val="231F20"/>
          <w:spacing w:val="26"/>
        </w:rPr>
        <w:t> </w:t>
      </w:r>
      <w:r>
        <w:rPr>
          <w:color w:val="231F20"/>
        </w:rPr>
        <w:t>is</w:t>
      </w:r>
      <w:r>
        <w:rPr>
          <w:color w:val="231F20"/>
          <w:spacing w:val="26"/>
        </w:rPr>
        <w:t> </w:t>
      </w:r>
      <w:r>
        <w:rPr>
          <w:color w:val="231F20"/>
        </w:rPr>
        <w:t>that</w:t>
      </w:r>
      <w:r>
        <w:rPr>
          <w:color w:val="231F20"/>
          <w:spacing w:val="26"/>
        </w:rPr>
        <w:t> </w:t>
      </w:r>
      <w:r>
        <w:rPr>
          <w:color w:val="231F20"/>
        </w:rPr>
        <w:t>many of</w:t>
      </w:r>
      <w:r>
        <w:rPr>
          <w:color w:val="231F20"/>
          <w:spacing w:val="-1"/>
        </w:rPr>
        <w:t> </w:t>
      </w:r>
      <w:r>
        <w:rPr>
          <w:color w:val="231F20"/>
        </w:rPr>
        <w:t>those</w:t>
      </w:r>
      <w:r>
        <w:rPr>
          <w:color w:val="231F20"/>
          <w:spacing w:val="-1"/>
        </w:rPr>
        <w:t> </w:t>
      </w:r>
      <w:r>
        <w:rPr>
          <w:color w:val="231F20"/>
        </w:rPr>
        <w:t>books</w:t>
      </w:r>
      <w:r>
        <w:rPr>
          <w:color w:val="231F20"/>
          <w:spacing w:val="-1"/>
        </w:rPr>
        <w:t> </w:t>
      </w:r>
      <w:r>
        <w:rPr>
          <w:color w:val="231F20"/>
        </w:rPr>
        <w:t>are</w:t>
      </w:r>
      <w:r>
        <w:rPr>
          <w:color w:val="231F20"/>
          <w:spacing w:val="-1"/>
        </w:rPr>
        <w:t> </w:t>
      </w:r>
      <w:r>
        <w:rPr>
          <w:color w:val="231F20"/>
        </w:rPr>
        <w:t>written</w:t>
      </w:r>
      <w:r>
        <w:rPr>
          <w:color w:val="231F20"/>
          <w:spacing w:val="-1"/>
        </w:rPr>
        <w:t> </w:t>
      </w:r>
      <w:r>
        <w:rPr>
          <w:color w:val="231F20"/>
        </w:rPr>
        <w:t>by</w:t>
      </w:r>
      <w:r>
        <w:rPr>
          <w:color w:val="231F20"/>
          <w:spacing w:val="-1"/>
        </w:rPr>
        <w:t> </w:t>
      </w:r>
      <w:r>
        <w:rPr>
          <w:color w:val="231F20"/>
        </w:rPr>
        <w:t>the</w:t>
      </w:r>
      <w:r>
        <w:rPr>
          <w:color w:val="231F20"/>
          <w:spacing w:val="-1"/>
        </w:rPr>
        <w:t> </w:t>
      </w:r>
      <w:r>
        <w:rPr>
          <w:color w:val="231F20"/>
        </w:rPr>
        <w:t>same</w:t>
      </w:r>
      <w:r>
        <w:rPr>
          <w:color w:val="231F20"/>
          <w:spacing w:val="-1"/>
        </w:rPr>
        <w:t> </w:t>
      </w:r>
      <w:r>
        <w:rPr>
          <w:color w:val="231F20"/>
        </w:rPr>
        <w:t>professors</w:t>
      </w:r>
      <w:r>
        <w:rPr>
          <w:color w:val="231F20"/>
          <w:spacing w:val="-1"/>
        </w:rPr>
        <w:t> </w:t>
      </w:r>
      <w:r>
        <w:rPr>
          <w:color w:val="231F20"/>
        </w:rPr>
        <w:t>who</w:t>
      </w:r>
      <w:r>
        <w:rPr>
          <w:color w:val="231F20"/>
          <w:spacing w:val="-1"/>
        </w:rPr>
        <w:t> </w:t>
      </w:r>
      <w:r>
        <w:rPr>
          <w:color w:val="231F20"/>
        </w:rPr>
        <w:t>propound</w:t>
      </w:r>
      <w:r>
        <w:rPr>
          <w:color w:val="231F20"/>
          <w:spacing w:val="-1"/>
        </w:rPr>
        <w:t> </w:t>
      </w:r>
      <w:r>
        <w:rPr>
          <w:color w:val="231F20"/>
        </w:rPr>
        <w:t>the academic theories that appear in MBA curricula. The difference is</w:t>
      </w:r>
      <w:r>
        <w:rPr>
          <w:color w:val="231F20"/>
          <w:spacing w:val="40"/>
        </w:rPr>
        <w:t> </w:t>
      </w:r>
      <w:r>
        <w:rPr>
          <w:color w:val="231F20"/>
        </w:rPr>
        <w:t>that</w:t>
      </w:r>
      <w:r>
        <w:rPr>
          <w:color w:val="231F20"/>
          <w:spacing w:val="34"/>
        </w:rPr>
        <w:t> </w:t>
      </w:r>
      <w:r>
        <w:rPr>
          <w:color w:val="231F20"/>
        </w:rPr>
        <w:t>faddish</w:t>
      </w:r>
      <w:r>
        <w:rPr>
          <w:color w:val="231F20"/>
          <w:spacing w:val="34"/>
        </w:rPr>
        <w:t> </w:t>
      </w:r>
      <w:r>
        <w:rPr>
          <w:color w:val="231F20"/>
        </w:rPr>
        <w:t>books</w:t>
      </w:r>
      <w:r>
        <w:rPr>
          <w:color w:val="231F20"/>
          <w:spacing w:val="34"/>
        </w:rPr>
        <w:t> </w:t>
      </w:r>
      <w:r>
        <w:rPr>
          <w:color w:val="231F20"/>
        </w:rPr>
        <w:t>about</w:t>
      </w:r>
      <w:r>
        <w:rPr>
          <w:color w:val="231F20"/>
          <w:spacing w:val="34"/>
        </w:rPr>
        <w:t> </w:t>
      </w:r>
      <w:r>
        <w:rPr>
          <w:color w:val="231F20"/>
        </w:rPr>
        <w:t>the</w:t>
      </w:r>
      <w:r>
        <w:rPr>
          <w:color w:val="231F20"/>
          <w:spacing w:val="34"/>
        </w:rPr>
        <w:t> </w:t>
      </w:r>
      <w:r>
        <w:rPr>
          <w:color w:val="231F20"/>
        </w:rPr>
        <w:t>“new”</w:t>
      </w:r>
      <w:r>
        <w:rPr>
          <w:color w:val="231F20"/>
          <w:spacing w:val="34"/>
        </w:rPr>
        <w:t> </w:t>
      </w:r>
      <w:r>
        <w:rPr>
          <w:color w:val="231F20"/>
        </w:rPr>
        <w:t>corporate</w:t>
      </w:r>
      <w:r>
        <w:rPr>
          <w:color w:val="231F20"/>
          <w:spacing w:val="34"/>
        </w:rPr>
        <w:t> </w:t>
      </w:r>
      <w:r>
        <w:rPr>
          <w:color w:val="231F20"/>
        </w:rPr>
        <w:t>rejuvenation</w:t>
      </w:r>
      <w:r>
        <w:rPr>
          <w:color w:val="231F20"/>
          <w:spacing w:val="34"/>
        </w:rPr>
        <w:t> </w:t>
      </w:r>
      <w:r>
        <w:rPr>
          <w:color w:val="231F20"/>
        </w:rPr>
        <w:t>theory or the “one-second manager” make more money than articles that appear in obscure academic journals.</w:t>
      </w:r>
    </w:p>
    <w:p>
      <w:pPr>
        <w:pStyle w:val="BodyText"/>
        <w:spacing w:line="292" w:lineRule="auto"/>
        <w:ind w:left="829" w:right="753" w:firstLine="340"/>
        <w:jc w:val="both"/>
      </w:pPr>
      <w:r>
        <w:rPr>
          <w:color w:val="231F20"/>
          <w:w w:val="105"/>
        </w:rPr>
        <w:t>Organizational</w:t>
      </w:r>
      <w:r>
        <w:rPr>
          <w:color w:val="231F20"/>
          <w:w w:val="105"/>
        </w:rPr>
        <w:t> behavior,</w:t>
      </w:r>
      <w:r>
        <w:rPr>
          <w:color w:val="231F20"/>
          <w:w w:val="105"/>
        </w:rPr>
        <w:t> the</w:t>
      </w:r>
      <w:r>
        <w:rPr>
          <w:color w:val="231F20"/>
          <w:w w:val="105"/>
        </w:rPr>
        <w:t> “touchy-feely”</w:t>
      </w:r>
      <w:r>
        <w:rPr>
          <w:color w:val="231F20"/>
          <w:w w:val="105"/>
        </w:rPr>
        <w:t> subject,</w:t>
      </w:r>
      <w:r>
        <w:rPr>
          <w:color w:val="231F20"/>
          <w:w w:val="105"/>
        </w:rPr>
        <w:t> is</w:t>
      </w:r>
      <w:r>
        <w:rPr>
          <w:color w:val="231F20"/>
          <w:w w:val="105"/>
        </w:rPr>
        <w:t> often where</w:t>
      </w:r>
      <w:r>
        <w:rPr>
          <w:color w:val="231F20"/>
          <w:w w:val="105"/>
        </w:rPr>
        <w:t> MBAs</w:t>
      </w:r>
      <w:r>
        <w:rPr>
          <w:color w:val="231F20"/>
          <w:w w:val="105"/>
        </w:rPr>
        <w:t> show</w:t>
      </w:r>
      <w:r>
        <w:rPr>
          <w:color w:val="231F20"/>
          <w:w w:val="105"/>
        </w:rPr>
        <w:t> their</w:t>
      </w:r>
      <w:r>
        <w:rPr>
          <w:color w:val="231F20"/>
          <w:w w:val="105"/>
        </w:rPr>
        <w:t> true</w:t>
      </w:r>
      <w:r>
        <w:rPr>
          <w:color w:val="231F20"/>
          <w:w w:val="105"/>
        </w:rPr>
        <w:t> colors.</w:t>
      </w:r>
      <w:r>
        <w:rPr>
          <w:color w:val="231F20"/>
          <w:w w:val="105"/>
        </w:rPr>
        <w:t> Sexism,</w:t>
      </w:r>
      <w:r>
        <w:rPr>
          <w:color w:val="231F20"/>
          <w:w w:val="105"/>
        </w:rPr>
        <w:t> prejudice,</w:t>
      </w:r>
      <w:r>
        <w:rPr>
          <w:color w:val="231F20"/>
          <w:w w:val="105"/>
        </w:rPr>
        <w:t> and</w:t>
      </w:r>
      <w:r>
        <w:rPr>
          <w:color w:val="231F20"/>
          <w:w w:val="105"/>
        </w:rPr>
        <w:t> greed rear</w:t>
      </w:r>
      <w:r>
        <w:rPr>
          <w:color w:val="231F20"/>
          <w:spacing w:val="-2"/>
          <w:w w:val="105"/>
        </w:rPr>
        <w:t> </w:t>
      </w:r>
      <w:r>
        <w:rPr>
          <w:color w:val="231F20"/>
          <w:w w:val="105"/>
        </w:rPr>
        <w:t>their</w:t>
      </w:r>
      <w:r>
        <w:rPr>
          <w:color w:val="231F20"/>
          <w:spacing w:val="-3"/>
          <w:w w:val="105"/>
        </w:rPr>
        <w:t> </w:t>
      </w:r>
      <w:r>
        <w:rPr>
          <w:color w:val="231F20"/>
          <w:w w:val="105"/>
        </w:rPr>
        <w:t>ugly</w:t>
      </w:r>
      <w:r>
        <w:rPr>
          <w:color w:val="231F20"/>
          <w:spacing w:val="-2"/>
          <w:w w:val="105"/>
        </w:rPr>
        <w:t> </w:t>
      </w:r>
      <w:r>
        <w:rPr>
          <w:color w:val="231F20"/>
          <w:w w:val="105"/>
        </w:rPr>
        <w:t>heads</w:t>
      </w:r>
      <w:r>
        <w:rPr>
          <w:color w:val="231F20"/>
          <w:spacing w:val="-3"/>
          <w:w w:val="105"/>
        </w:rPr>
        <w:t> </w:t>
      </w:r>
      <w:r>
        <w:rPr>
          <w:color w:val="231F20"/>
          <w:w w:val="105"/>
        </w:rPr>
        <w:t>in</w:t>
      </w:r>
      <w:r>
        <w:rPr>
          <w:color w:val="231F20"/>
          <w:spacing w:val="-2"/>
          <w:w w:val="105"/>
        </w:rPr>
        <w:t> </w:t>
      </w:r>
      <w:r>
        <w:rPr>
          <w:color w:val="231F20"/>
          <w:w w:val="105"/>
        </w:rPr>
        <w:t>classes</w:t>
      </w:r>
      <w:r>
        <w:rPr>
          <w:color w:val="231F20"/>
          <w:spacing w:val="-3"/>
          <w:w w:val="105"/>
        </w:rPr>
        <w:t> </w:t>
      </w:r>
      <w:r>
        <w:rPr>
          <w:color w:val="231F20"/>
          <w:w w:val="105"/>
        </w:rPr>
        <w:t>when</w:t>
      </w:r>
      <w:r>
        <w:rPr>
          <w:color w:val="231F20"/>
          <w:spacing w:val="-2"/>
          <w:w w:val="105"/>
        </w:rPr>
        <w:t> </w:t>
      </w:r>
      <w:r>
        <w:rPr>
          <w:color w:val="231F20"/>
          <w:w w:val="105"/>
        </w:rPr>
        <w:t>seemingly</w:t>
      </w:r>
      <w:r>
        <w:rPr>
          <w:color w:val="231F20"/>
          <w:spacing w:val="-3"/>
          <w:w w:val="105"/>
        </w:rPr>
        <w:t> </w:t>
      </w:r>
      <w:r>
        <w:rPr>
          <w:color w:val="231F20"/>
          <w:w w:val="105"/>
        </w:rPr>
        <w:t>open-minded</w:t>
      </w:r>
      <w:r>
        <w:rPr>
          <w:color w:val="231F20"/>
          <w:spacing w:val="-2"/>
          <w:w w:val="105"/>
        </w:rPr>
        <w:t> </w:t>
      </w:r>
      <w:r>
        <w:rPr>
          <w:color w:val="231F20"/>
          <w:w w:val="105"/>
        </w:rPr>
        <w:t>stu- </w:t>
      </w:r>
      <w:r>
        <w:rPr>
          <w:color w:val="231F20"/>
        </w:rPr>
        <w:t>dents attempt to cope with the cases at hand. Regardless, the classes </w:t>
      </w:r>
      <w:r>
        <w:rPr>
          <w:color w:val="231F20"/>
          <w:w w:val="105"/>
        </w:rPr>
        <w:t>are</w:t>
      </w:r>
      <w:r>
        <w:rPr>
          <w:color w:val="231F20"/>
          <w:spacing w:val="-4"/>
          <w:w w:val="105"/>
        </w:rPr>
        <w:t> </w:t>
      </w:r>
      <w:r>
        <w:rPr>
          <w:color w:val="231F20"/>
          <w:w w:val="105"/>
        </w:rPr>
        <w:t>a</w:t>
      </w:r>
      <w:r>
        <w:rPr>
          <w:color w:val="231F20"/>
          <w:spacing w:val="-4"/>
          <w:w w:val="105"/>
        </w:rPr>
        <w:t> </w:t>
      </w:r>
      <w:r>
        <w:rPr>
          <w:color w:val="231F20"/>
          <w:w w:val="105"/>
        </w:rPr>
        <w:t>welcome</w:t>
      </w:r>
      <w:r>
        <w:rPr>
          <w:color w:val="231F20"/>
          <w:spacing w:val="-4"/>
          <w:w w:val="105"/>
        </w:rPr>
        <w:t> </w:t>
      </w:r>
      <w:r>
        <w:rPr>
          <w:color w:val="231F20"/>
          <w:w w:val="105"/>
        </w:rPr>
        <w:t>relief</w:t>
      </w:r>
      <w:r>
        <w:rPr>
          <w:color w:val="231F20"/>
          <w:spacing w:val="-4"/>
          <w:w w:val="105"/>
        </w:rPr>
        <w:t> </w:t>
      </w:r>
      <w:r>
        <w:rPr>
          <w:color w:val="231F20"/>
          <w:w w:val="105"/>
        </w:rPr>
        <w:t>to</w:t>
      </w:r>
      <w:r>
        <w:rPr>
          <w:color w:val="231F20"/>
          <w:spacing w:val="-4"/>
          <w:w w:val="105"/>
        </w:rPr>
        <w:t> </w:t>
      </w:r>
      <w:r>
        <w:rPr>
          <w:color w:val="231F20"/>
          <w:w w:val="105"/>
        </w:rPr>
        <w:t>overworked</w:t>
      </w:r>
      <w:r>
        <w:rPr>
          <w:color w:val="231F20"/>
          <w:spacing w:val="-4"/>
          <w:w w:val="105"/>
        </w:rPr>
        <w:t> </w:t>
      </w:r>
      <w:r>
        <w:rPr>
          <w:color w:val="231F20"/>
          <w:w w:val="105"/>
        </w:rPr>
        <w:t>MBAs.</w:t>
      </w:r>
      <w:r>
        <w:rPr>
          <w:color w:val="231F20"/>
          <w:spacing w:val="-4"/>
          <w:w w:val="105"/>
        </w:rPr>
        <w:t> </w:t>
      </w:r>
      <w:r>
        <w:rPr>
          <w:color w:val="231F20"/>
          <w:w w:val="105"/>
        </w:rPr>
        <w:t>There</w:t>
      </w:r>
      <w:r>
        <w:rPr>
          <w:color w:val="231F20"/>
          <w:spacing w:val="-4"/>
          <w:w w:val="105"/>
        </w:rPr>
        <w:t> </w:t>
      </w:r>
      <w:r>
        <w:rPr>
          <w:color w:val="231F20"/>
          <w:w w:val="105"/>
        </w:rPr>
        <w:t>is</w:t>
      </w:r>
      <w:r>
        <w:rPr>
          <w:color w:val="231F20"/>
          <w:spacing w:val="-4"/>
          <w:w w:val="105"/>
        </w:rPr>
        <w:t> </w:t>
      </w:r>
      <w:r>
        <w:rPr>
          <w:color w:val="231F20"/>
          <w:w w:val="105"/>
        </w:rPr>
        <w:t>no</w:t>
      </w:r>
      <w:r>
        <w:rPr>
          <w:color w:val="231F20"/>
          <w:spacing w:val="-4"/>
          <w:w w:val="105"/>
        </w:rPr>
        <w:t> </w:t>
      </w:r>
      <w:r>
        <w:rPr>
          <w:color w:val="231F20"/>
          <w:w w:val="105"/>
        </w:rPr>
        <w:t>need</w:t>
      </w:r>
      <w:r>
        <w:rPr>
          <w:color w:val="231F20"/>
          <w:spacing w:val="-4"/>
          <w:w w:val="105"/>
        </w:rPr>
        <w:t> </w:t>
      </w:r>
      <w:r>
        <w:rPr>
          <w:color w:val="231F20"/>
          <w:w w:val="105"/>
        </w:rPr>
        <w:t>for</w:t>
      </w:r>
      <w:r>
        <w:rPr>
          <w:color w:val="231F20"/>
          <w:spacing w:val="-4"/>
          <w:w w:val="105"/>
        </w:rPr>
        <w:t> </w:t>
      </w:r>
      <w:r>
        <w:rPr>
          <w:color w:val="231F20"/>
          <w:w w:val="105"/>
        </w:rPr>
        <w:t>in- tricate</w:t>
      </w:r>
      <w:r>
        <w:rPr>
          <w:color w:val="231F20"/>
          <w:w w:val="105"/>
        </w:rPr>
        <w:t> quantitative</w:t>
      </w:r>
      <w:r>
        <w:rPr>
          <w:color w:val="231F20"/>
          <w:w w:val="105"/>
        </w:rPr>
        <w:t> analysis</w:t>
      </w:r>
      <w:r>
        <w:rPr>
          <w:color w:val="231F20"/>
          <w:w w:val="105"/>
        </w:rPr>
        <w:t> or</w:t>
      </w:r>
      <w:r>
        <w:rPr>
          <w:color w:val="231F20"/>
          <w:w w:val="105"/>
        </w:rPr>
        <w:t> extensive</w:t>
      </w:r>
      <w:r>
        <w:rPr>
          <w:color w:val="231F20"/>
          <w:w w:val="105"/>
        </w:rPr>
        <w:t> reading.</w:t>
      </w:r>
      <w:r>
        <w:rPr>
          <w:color w:val="231F20"/>
          <w:w w:val="105"/>
        </w:rPr>
        <w:t> As</w:t>
      </w:r>
      <w:r>
        <w:rPr>
          <w:color w:val="231F20"/>
          <w:w w:val="105"/>
        </w:rPr>
        <w:t> with</w:t>
      </w:r>
      <w:r>
        <w:rPr>
          <w:color w:val="231F20"/>
          <w:w w:val="105"/>
        </w:rPr>
        <w:t> other MBA</w:t>
      </w:r>
      <w:r>
        <w:rPr>
          <w:color w:val="231F20"/>
          <w:spacing w:val="-10"/>
          <w:w w:val="105"/>
        </w:rPr>
        <w:t> </w:t>
      </w:r>
      <w:r>
        <w:rPr>
          <w:color w:val="231F20"/>
          <w:w w:val="105"/>
        </w:rPr>
        <w:t>subjects,</w:t>
      </w:r>
      <w:r>
        <w:rPr>
          <w:color w:val="231F20"/>
          <w:spacing w:val="-10"/>
          <w:w w:val="105"/>
        </w:rPr>
        <w:t> </w:t>
      </w:r>
      <w:r>
        <w:rPr>
          <w:color w:val="231F20"/>
          <w:w w:val="105"/>
        </w:rPr>
        <w:t>knowing</w:t>
      </w:r>
      <w:r>
        <w:rPr>
          <w:color w:val="231F20"/>
          <w:spacing w:val="-10"/>
          <w:w w:val="105"/>
        </w:rPr>
        <w:t> </w:t>
      </w:r>
      <w:r>
        <w:rPr>
          <w:color w:val="231F20"/>
          <w:w w:val="105"/>
        </w:rPr>
        <w:t>the</w:t>
      </w:r>
      <w:r>
        <w:rPr>
          <w:color w:val="231F20"/>
          <w:spacing w:val="-10"/>
          <w:w w:val="105"/>
        </w:rPr>
        <w:t> </w:t>
      </w:r>
      <w:r>
        <w:rPr>
          <w:color w:val="231F20"/>
          <w:w w:val="105"/>
        </w:rPr>
        <w:t>vocabulary</w:t>
      </w:r>
      <w:r>
        <w:rPr>
          <w:color w:val="231F20"/>
          <w:spacing w:val="-10"/>
          <w:w w:val="105"/>
        </w:rPr>
        <w:t> </w:t>
      </w:r>
      <w:r>
        <w:rPr>
          <w:color w:val="231F20"/>
          <w:w w:val="105"/>
        </w:rPr>
        <w:t>and</w:t>
      </w:r>
      <w:r>
        <w:rPr>
          <w:color w:val="231F20"/>
          <w:spacing w:val="-10"/>
          <w:w w:val="105"/>
        </w:rPr>
        <w:t> </w:t>
      </w:r>
      <w:r>
        <w:rPr>
          <w:color w:val="231F20"/>
          <w:w w:val="105"/>
        </w:rPr>
        <w:t>using</w:t>
      </w:r>
      <w:r>
        <w:rPr>
          <w:color w:val="231F20"/>
          <w:spacing w:val="-10"/>
          <w:w w:val="105"/>
        </w:rPr>
        <w:t> </w:t>
      </w:r>
      <w:r>
        <w:rPr>
          <w:color w:val="231F20"/>
          <w:w w:val="105"/>
        </w:rPr>
        <w:t>it</w:t>
      </w:r>
      <w:r>
        <w:rPr>
          <w:color w:val="231F20"/>
          <w:spacing w:val="-10"/>
          <w:w w:val="105"/>
        </w:rPr>
        <w:t> </w:t>
      </w:r>
      <w:r>
        <w:rPr>
          <w:color w:val="231F20"/>
          <w:w w:val="105"/>
        </w:rPr>
        <w:t>at</w:t>
      </w:r>
      <w:r>
        <w:rPr>
          <w:color w:val="231F20"/>
          <w:spacing w:val="-10"/>
          <w:w w:val="105"/>
        </w:rPr>
        <w:t> </w:t>
      </w:r>
      <w:r>
        <w:rPr>
          <w:color w:val="231F20"/>
          <w:w w:val="105"/>
        </w:rPr>
        <w:t>the</w:t>
      </w:r>
      <w:r>
        <w:rPr>
          <w:color w:val="231F20"/>
          <w:spacing w:val="-10"/>
          <w:w w:val="105"/>
        </w:rPr>
        <w:t> </w:t>
      </w:r>
      <w:r>
        <w:rPr>
          <w:color w:val="231F20"/>
          <w:w w:val="105"/>
        </w:rPr>
        <w:t>right</w:t>
      </w:r>
      <w:r>
        <w:rPr>
          <w:color w:val="231F20"/>
          <w:spacing w:val="-10"/>
          <w:w w:val="105"/>
        </w:rPr>
        <w:t> </w:t>
      </w:r>
      <w:r>
        <w:rPr>
          <w:color w:val="231F20"/>
          <w:w w:val="105"/>
        </w:rPr>
        <w:t>mo- ments goes a long way in establishing credibility on the job.</w:t>
      </w:r>
    </w:p>
    <w:p>
      <w:pPr>
        <w:pStyle w:val="BodyText"/>
        <w:spacing w:line="292" w:lineRule="auto"/>
        <w:ind w:left="829" w:right="756" w:firstLine="340"/>
        <w:jc w:val="both"/>
      </w:pPr>
      <w:r>
        <w:rPr>
          <w:color w:val="231F20"/>
        </w:rPr>
        <w:t>What is taught in the OB classes, if internalized, are the </w:t>
      </w:r>
      <w:r>
        <w:rPr>
          <w:color w:val="231F20"/>
        </w:rPr>
        <w:t>lessons that well may be the most influential in the careers of MBAs. With- out people skills, MBAs are equipped with the power tools but are without the electric cord to use them.</w:t>
      </w:r>
    </w:p>
    <w:p>
      <w:pPr>
        <w:pStyle w:val="BodyText"/>
        <w:spacing w:before="3"/>
        <w:rPr>
          <w:sz w:val="31"/>
        </w:rPr>
      </w:pPr>
    </w:p>
    <w:p>
      <w:pPr>
        <w:pStyle w:val="Heading4"/>
        <w:spacing w:before="1"/>
        <w:ind w:left="300"/>
      </w:pPr>
      <w:r>
        <w:rPr>
          <w:color w:val="231F20"/>
          <w:w w:val="85"/>
        </w:rPr>
        <w:t>THE</w:t>
      </w:r>
      <w:r>
        <w:rPr>
          <w:color w:val="231F20"/>
          <w:spacing w:val="29"/>
        </w:rPr>
        <w:t> </w:t>
      </w:r>
      <w:r>
        <w:rPr>
          <w:color w:val="231F20"/>
          <w:w w:val="85"/>
        </w:rPr>
        <w:t>OB</w:t>
      </w:r>
      <w:r>
        <w:rPr>
          <w:color w:val="231F20"/>
          <w:spacing w:val="30"/>
        </w:rPr>
        <w:t> </w:t>
      </w:r>
      <w:r>
        <w:rPr>
          <w:color w:val="231F20"/>
          <w:spacing w:val="11"/>
          <w:w w:val="85"/>
        </w:rPr>
        <w:t>PROBLEM-</w:t>
      </w:r>
      <w:r>
        <w:rPr>
          <w:color w:val="231F20"/>
          <w:w w:val="85"/>
        </w:rPr>
        <w:t>SOLVING</w:t>
      </w:r>
      <w:r>
        <w:rPr>
          <w:color w:val="231F20"/>
          <w:spacing w:val="30"/>
        </w:rPr>
        <w:t> </w:t>
      </w:r>
      <w:r>
        <w:rPr>
          <w:color w:val="231F20"/>
          <w:spacing w:val="9"/>
          <w:w w:val="85"/>
        </w:rPr>
        <w:t>MODEL</w:t>
      </w:r>
    </w:p>
    <w:p>
      <w:pPr>
        <w:pStyle w:val="BodyText"/>
        <w:spacing w:before="10"/>
        <w:rPr>
          <w:rFonts w:ascii="Trebuchet MS"/>
          <w:sz w:val="29"/>
        </w:rPr>
      </w:pPr>
    </w:p>
    <w:p>
      <w:pPr>
        <w:pStyle w:val="BodyText"/>
        <w:spacing w:line="292" w:lineRule="auto"/>
        <w:ind w:left="830" w:right="756"/>
        <w:jc w:val="both"/>
      </w:pPr>
      <w:r>
        <w:rPr>
          <w:color w:val="231F20"/>
        </w:rPr>
        <w:t>Just as marketing offers seven steps to marketing strategy </w:t>
      </w:r>
      <w:r>
        <w:rPr>
          <w:color w:val="231F20"/>
        </w:rPr>
        <w:t>develop- ment, OB provides a three-step technique to solve organizational </w:t>
      </w:r>
      <w:r>
        <w:rPr>
          <w:color w:val="231F20"/>
          <w:spacing w:val="-2"/>
        </w:rPr>
        <w:t>problems.</w:t>
      </w:r>
    </w:p>
    <w:p>
      <w:pPr>
        <w:spacing w:after="0" w:line="292" w:lineRule="auto"/>
        <w:jc w:val="both"/>
        <w:sectPr>
          <w:headerReference w:type="even" r:id="rId37"/>
          <w:headerReference w:type="default" r:id="rId38"/>
          <w:pgSz w:w="8640" w:h="12960"/>
          <w:pgMar w:header="732" w:footer="0" w:top="920" w:bottom="280" w:left="340" w:right="500"/>
          <w:pgNumType w:start="118"/>
        </w:sectPr>
      </w:pPr>
    </w:p>
    <w:p>
      <w:pPr>
        <w:pStyle w:val="BodyText"/>
        <w:spacing w:before="2"/>
        <w:rPr>
          <w:sz w:val="19"/>
        </w:rPr>
      </w:pPr>
    </w:p>
    <w:p>
      <w:pPr>
        <w:spacing w:line="328" w:lineRule="auto" w:before="97"/>
        <w:ind w:left="1260" w:right="4157" w:firstLine="0"/>
        <w:jc w:val="left"/>
        <w:rPr>
          <w:rFonts w:ascii="Arial"/>
          <w:sz w:val="19"/>
        </w:rPr>
      </w:pPr>
      <w:r>
        <w:rPr>
          <w:rFonts w:ascii="Arial"/>
          <w:color w:val="231F20"/>
          <w:w w:val="115"/>
          <w:sz w:val="19"/>
        </w:rPr>
        <w:t>Problem</w:t>
      </w:r>
      <w:r>
        <w:rPr>
          <w:rFonts w:ascii="Arial"/>
          <w:color w:val="231F20"/>
          <w:spacing w:val="-16"/>
          <w:w w:val="115"/>
          <w:sz w:val="19"/>
        </w:rPr>
        <w:t> </w:t>
      </w:r>
      <w:r>
        <w:rPr>
          <w:rFonts w:ascii="Arial"/>
          <w:color w:val="231F20"/>
          <w:w w:val="115"/>
          <w:sz w:val="19"/>
        </w:rPr>
        <w:t>Definition </w:t>
      </w:r>
      <w:r>
        <w:rPr>
          <w:rFonts w:ascii="Arial"/>
          <w:color w:val="231F20"/>
          <w:spacing w:val="-2"/>
          <w:w w:val="115"/>
          <w:sz w:val="19"/>
        </w:rPr>
        <w:t>Analysis</w:t>
      </w:r>
    </w:p>
    <w:p>
      <w:pPr>
        <w:spacing w:before="1"/>
        <w:ind w:left="1260" w:right="0" w:firstLine="0"/>
        <w:jc w:val="left"/>
        <w:rPr>
          <w:rFonts w:ascii="Arial"/>
          <w:sz w:val="19"/>
        </w:rPr>
      </w:pPr>
      <w:r>
        <w:rPr>
          <w:rFonts w:ascii="Arial"/>
          <w:color w:val="231F20"/>
          <w:w w:val="115"/>
          <w:sz w:val="19"/>
        </w:rPr>
        <w:t>Action</w:t>
      </w:r>
      <w:r>
        <w:rPr>
          <w:rFonts w:ascii="Arial"/>
          <w:color w:val="231F20"/>
          <w:spacing w:val="18"/>
          <w:w w:val="115"/>
          <w:sz w:val="19"/>
        </w:rPr>
        <w:t> </w:t>
      </w:r>
      <w:r>
        <w:rPr>
          <w:rFonts w:ascii="Arial"/>
          <w:color w:val="231F20"/>
          <w:spacing w:val="-2"/>
          <w:w w:val="115"/>
          <w:sz w:val="19"/>
        </w:rPr>
        <w:t>Planning</w:t>
      </w:r>
    </w:p>
    <w:p>
      <w:pPr>
        <w:pStyle w:val="BodyText"/>
        <w:rPr>
          <w:rFonts w:ascii="Arial"/>
          <w:sz w:val="20"/>
        </w:rPr>
      </w:pPr>
    </w:p>
    <w:p>
      <w:pPr>
        <w:pStyle w:val="BodyText"/>
        <w:rPr>
          <w:rFonts w:ascii="Arial"/>
          <w:sz w:val="20"/>
        </w:rPr>
      </w:pPr>
    </w:p>
    <w:p>
      <w:pPr>
        <w:pStyle w:val="BodyText"/>
        <w:spacing w:before="6"/>
        <w:rPr>
          <w:rFonts w:ascii="Arial"/>
          <w:sz w:val="23"/>
        </w:rPr>
      </w:pPr>
    </w:p>
    <w:p>
      <w:pPr>
        <w:pStyle w:val="Heading6"/>
        <w:rPr>
          <w:i/>
        </w:rPr>
      </w:pPr>
      <w:r>
        <w:rPr>
          <w:i/>
          <w:color w:val="231F20"/>
          <w:w w:val="105"/>
        </w:rPr>
        <w:t>PROBLEM</w:t>
      </w:r>
      <w:r>
        <w:rPr>
          <w:i/>
          <w:color w:val="231F20"/>
          <w:spacing w:val="26"/>
          <w:w w:val="110"/>
        </w:rPr>
        <w:t>  </w:t>
      </w:r>
      <w:r>
        <w:rPr>
          <w:i/>
          <w:color w:val="231F20"/>
          <w:spacing w:val="8"/>
          <w:w w:val="110"/>
        </w:rPr>
        <w:t>DEFINITION</w:t>
      </w:r>
    </w:p>
    <w:p>
      <w:pPr>
        <w:pStyle w:val="BodyText"/>
        <w:spacing w:before="2"/>
        <w:rPr>
          <w:b/>
          <w:i/>
          <w:sz w:val="30"/>
        </w:rPr>
      </w:pPr>
    </w:p>
    <w:p>
      <w:pPr>
        <w:pStyle w:val="BodyText"/>
        <w:spacing w:line="292" w:lineRule="auto"/>
        <w:ind w:left="920" w:right="666"/>
        <w:jc w:val="both"/>
      </w:pPr>
      <w:r>
        <w:rPr>
          <w:color w:val="231F20"/>
        </w:rPr>
        <w:t>The first step to solving an organizational problem is to know the source of the difficulty. Real problems are often masked by symp- toms. It is easy to be misled into solving the symptoms instead of their cause. Unless the cause is dealt with, fresh headaches will </w:t>
      </w:r>
      <w:r>
        <w:rPr>
          <w:color w:val="231F20"/>
        </w:rPr>
        <w:t>un- doubtedly arise. MBAs are taught several analytical techniques to</w:t>
      </w:r>
      <w:r>
        <w:rPr>
          <w:color w:val="231F20"/>
          <w:spacing w:val="80"/>
          <w:w w:val="150"/>
        </w:rPr>
        <w:t> </w:t>
      </w:r>
      <w:r>
        <w:rPr>
          <w:color w:val="231F20"/>
        </w:rPr>
        <w:t>aid in flushing out the sources of trouble.</w:t>
      </w:r>
    </w:p>
    <w:p>
      <w:pPr>
        <w:pStyle w:val="BodyText"/>
        <w:spacing w:before="6"/>
        <w:rPr>
          <w:sz w:val="30"/>
        </w:rPr>
      </w:pPr>
    </w:p>
    <w:p>
      <w:pPr>
        <w:pStyle w:val="BodyText"/>
        <w:spacing w:line="292" w:lineRule="auto"/>
        <w:ind w:left="920" w:right="666"/>
        <w:jc w:val="both"/>
        <w:rPr>
          <w:i/>
        </w:rPr>
      </w:pPr>
      <w:r>
        <w:rPr>
          <w:i/>
          <w:color w:val="231F20"/>
        </w:rPr>
        <w:t>Want</w:t>
      </w:r>
      <w:r>
        <w:rPr>
          <w:i/>
          <w:color w:val="231F20"/>
          <w:spacing w:val="35"/>
        </w:rPr>
        <w:t> </w:t>
      </w:r>
      <w:r>
        <w:rPr>
          <w:i/>
          <w:color w:val="231F20"/>
        </w:rPr>
        <w:t>Got</w:t>
      </w:r>
      <w:r>
        <w:rPr>
          <w:i/>
          <w:color w:val="231F20"/>
          <w:spacing w:val="35"/>
        </w:rPr>
        <w:t> </w:t>
      </w:r>
      <w:r>
        <w:rPr>
          <w:i/>
          <w:color w:val="231F20"/>
        </w:rPr>
        <w:t>Gaps.</w:t>
      </w:r>
      <w:r>
        <w:rPr>
          <w:i/>
          <w:color w:val="231F20"/>
          <w:spacing w:val="35"/>
        </w:rPr>
        <w:t> </w:t>
      </w:r>
      <w:r>
        <w:rPr>
          <w:color w:val="231F20"/>
        </w:rPr>
        <w:t>There</w:t>
      </w:r>
      <w:r>
        <w:rPr>
          <w:color w:val="231F20"/>
          <w:spacing w:val="35"/>
        </w:rPr>
        <w:t> </w:t>
      </w:r>
      <w:r>
        <w:rPr>
          <w:color w:val="231F20"/>
        </w:rPr>
        <w:t>is</w:t>
      </w:r>
      <w:r>
        <w:rPr>
          <w:color w:val="231F20"/>
          <w:spacing w:val="35"/>
        </w:rPr>
        <w:t> </w:t>
      </w:r>
      <w:r>
        <w:rPr>
          <w:color w:val="231F20"/>
        </w:rPr>
        <w:t>a</w:t>
      </w:r>
      <w:r>
        <w:rPr>
          <w:color w:val="231F20"/>
          <w:spacing w:val="35"/>
        </w:rPr>
        <w:t> </w:t>
      </w:r>
      <w:r>
        <w:rPr>
          <w:color w:val="231F20"/>
        </w:rPr>
        <w:t>problem</w:t>
      </w:r>
      <w:r>
        <w:rPr>
          <w:color w:val="231F20"/>
          <w:spacing w:val="35"/>
        </w:rPr>
        <w:t> </w:t>
      </w:r>
      <w:r>
        <w:rPr>
          <w:color w:val="231F20"/>
        </w:rPr>
        <w:t>when</w:t>
      </w:r>
      <w:r>
        <w:rPr>
          <w:color w:val="231F20"/>
          <w:spacing w:val="35"/>
        </w:rPr>
        <w:t> </w:t>
      </w:r>
      <w:r>
        <w:rPr>
          <w:color w:val="231F20"/>
        </w:rPr>
        <w:t>a</w:t>
      </w:r>
      <w:r>
        <w:rPr>
          <w:color w:val="231F20"/>
          <w:spacing w:val="35"/>
        </w:rPr>
        <w:t> </w:t>
      </w:r>
      <w:r>
        <w:rPr>
          <w:color w:val="231F20"/>
        </w:rPr>
        <w:t>gap</w:t>
      </w:r>
      <w:r>
        <w:rPr>
          <w:color w:val="231F20"/>
          <w:spacing w:val="35"/>
        </w:rPr>
        <w:t> </w:t>
      </w:r>
      <w:r>
        <w:rPr>
          <w:color w:val="231F20"/>
        </w:rPr>
        <w:t>or</w:t>
      </w:r>
      <w:r>
        <w:rPr>
          <w:color w:val="231F20"/>
          <w:spacing w:val="35"/>
        </w:rPr>
        <w:t> </w:t>
      </w:r>
      <w:r>
        <w:rPr>
          <w:color w:val="231F20"/>
        </w:rPr>
        <w:t>“deviation”</w:t>
      </w:r>
      <w:r>
        <w:rPr>
          <w:color w:val="231F20"/>
          <w:spacing w:val="35"/>
        </w:rPr>
        <w:t> </w:t>
      </w:r>
      <w:r>
        <w:rPr>
          <w:color w:val="231F20"/>
        </w:rPr>
        <w:t>ex- ists between what a manager thinks “ought” to be occurring and</w:t>
      </w:r>
      <w:r>
        <w:rPr>
          <w:color w:val="231F20"/>
          <w:spacing w:val="40"/>
        </w:rPr>
        <w:t> </w:t>
      </w:r>
      <w:r>
        <w:rPr>
          <w:color w:val="231F20"/>
        </w:rPr>
        <w:t>what is “actually” occurring. Defining the problem entails </w:t>
      </w:r>
      <w:r>
        <w:rPr>
          <w:color w:val="231F20"/>
        </w:rPr>
        <w:t>viewing situations from the perspectives of all the participants and outlining their </w:t>
      </w:r>
      <w:r>
        <w:rPr>
          <w:i/>
          <w:color w:val="231F20"/>
        </w:rPr>
        <w:t>Want Got Gaps.</w:t>
      </w:r>
    </w:p>
    <w:p>
      <w:pPr>
        <w:pStyle w:val="BodyText"/>
        <w:spacing w:line="292" w:lineRule="auto"/>
        <w:ind w:left="919" w:right="665" w:firstLine="340"/>
        <w:jc w:val="both"/>
      </w:pPr>
      <w:r>
        <w:rPr>
          <w:color w:val="231F20"/>
        </w:rPr>
        <w:t>In the wake of a failure to introduce a critical new computer technology, a large service organization hired a new vice president, Hank Helpful, to lead the computer department out of its trouble. </w:t>
      </w:r>
      <w:r>
        <w:rPr>
          <w:color w:val="231F20"/>
        </w:rPr>
        <w:t>In his</w:t>
      </w:r>
      <w:r>
        <w:rPr>
          <w:color w:val="231F20"/>
          <w:spacing w:val="-2"/>
        </w:rPr>
        <w:t> </w:t>
      </w:r>
      <w:r>
        <w:rPr>
          <w:color w:val="231F20"/>
        </w:rPr>
        <w:t>judgment</w:t>
      </w:r>
      <w:r>
        <w:rPr>
          <w:color w:val="231F20"/>
          <w:spacing w:val="-2"/>
        </w:rPr>
        <w:t> </w:t>
      </w:r>
      <w:r>
        <w:rPr>
          <w:color w:val="231F20"/>
        </w:rPr>
        <w:t>the</w:t>
      </w:r>
      <w:r>
        <w:rPr>
          <w:color w:val="231F20"/>
          <w:spacing w:val="-2"/>
        </w:rPr>
        <w:t> </w:t>
      </w:r>
      <w:r>
        <w:rPr>
          <w:color w:val="231F20"/>
        </w:rPr>
        <w:t>problem</w:t>
      </w:r>
      <w:r>
        <w:rPr>
          <w:color w:val="231F20"/>
          <w:spacing w:val="-2"/>
        </w:rPr>
        <w:t> </w:t>
      </w:r>
      <w:r>
        <w:rPr>
          <w:color w:val="231F20"/>
        </w:rPr>
        <w:t>was</w:t>
      </w:r>
      <w:r>
        <w:rPr>
          <w:color w:val="231F20"/>
          <w:spacing w:val="-2"/>
        </w:rPr>
        <w:t> </w:t>
      </w:r>
      <w:r>
        <w:rPr>
          <w:color w:val="231F20"/>
        </w:rPr>
        <w:t>caused</w:t>
      </w:r>
      <w:r>
        <w:rPr>
          <w:color w:val="231F20"/>
          <w:spacing w:val="-2"/>
        </w:rPr>
        <w:t> </w:t>
      </w:r>
      <w:r>
        <w:rPr>
          <w:color w:val="231F20"/>
        </w:rPr>
        <w:t>by</w:t>
      </w:r>
      <w:r>
        <w:rPr>
          <w:color w:val="231F20"/>
          <w:spacing w:val="-2"/>
        </w:rPr>
        <w:t> </w:t>
      </w:r>
      <w:r>
        <w:rPr>
          <w:color w:val="231F20"/>
        </w:rPr>
        <w:t>interdepartmental</w:t>
      </w:r>
      <w:r>
        <w:rPr>
          <w:color w:val="231F20"/>
          <w:spacing w:val="-2"/>
        </w:rPr>
        <w:t> </w:t>
      </w:r>
      <w:r>
        <w:rPr>
          <w:color w:val="231F20"/>
        </w:rPr>
        <w:t>rivalries. He felt that the computer department was isolated and always at odds with the rest of the company. Hank saw the gap as follows:</w:t>
      </w:r>
    </w:p>
    <w:p>
      <w:pPr>
        <w:pStyle w:val="BodyText"/>
        <w:spacing w:before="5"/>
        <w:rPr>
          <w:sz w:val="30"/>
        </w:rPr>
      </w:pPr>
    </w:p>
    <w:p>
      <w:pPr>
        <w:pStyle w:val="BodyText"/>
        <w:ind w:left="919"/>
        <w:jc w:val="both"/>
      </w:pPr>
      <w:r>
        <w:rPr/>
        <w:pict>
          <v:shape style="position:absolute;margin-left:96.981819pt;margin-top:5.024801pt;width:9.35pt;height:3.5pt;mso-position-horizontal-relative:page;mso-position-vertical-relative:paragraph;z-index:-25155584" id="docshape143" coordorigin="1940,100" coordsize="187,70" path="m2064,100l2059,111,2103,129,1940,129,1940,141,2103,141,2059,159,2064,170,2126,143,2126,127,2064,100xe" filled="true" fillcolor="#231f20" stroked="false">
            <v:path arrowok="t"/>
            <v:fill type="solid"/>
            <w10:wrap type="none"/>
          </v:shape>
        </w:pict>
      </w:r>
      <w:r>
        <w:rPr/>
        <w:pict>
          <v:shape style="position:absolute;margin-left:132.357773pt;margin-top:5.024801pt;width:9.35pt;height:3.5pt;mso-position-horizontal-relative:page;mso-position-vertical-relative:paragraph;z-index:-25155072" id="docshape144" coordorigin="2647,100" coordsize="187,70" path="m2710,100l2647,127,2647,143,2710,170,2714,159,2671,141,2834,141,2834,129,2671,129,2714,111,2710,100xe" filled="true" fillcolor="#231f20" stroked="false">
            <v:path arrowok="t"/>
            <v:fill type="solid"/>
            <w10:wrap type="none"/>
          </v:shape>
        </w:pict>
      </w:r>
      <w:r>
        <w:rPr>
          <w:color w:val="231F20"/>
          <w:w w:val="105"/>
        </w:rPr>
        <w:t>I</w:t>
      </w:r>
      <w:r>
        <w:rPr>
          <w:color w:val="231F20"/>
          <w:spacing w:val="4"/>
          <w:w w:val="105"/>
        </w:rPr>
        <w:t> </w:t>
      </w:r>
      <w:r>
        <w:rPr>
          <w:color w:val="231F20"/>
          <w:w w:val="105"/>
        </w:rPr>
        <w:t>Want</w:t>
      </w:r>
      <w:r>
        <w:rPr>
          <w:color w:val="231F20"/>
          <w:spacing w:val="56"/>
          <w:w w:val="105"/>
        </w:rPr>
        <w:t>   </w:t>
      </w:r>
      <w:r>
        <w:rPr>
          <w:color w:val="231F20"/>
          <w:w w:val="105"/>
        </w:rPr>
        <w:t>Gap</w:t>
      </w:r>
      <w:r>
        <w:rPr>
          <w:color w:val="231F20"/>
          <w:spacing w:val="57"/>
          <w:w w:val="105"/>
        </w:rPr>
        <w:t>   </w:t>
      </w:r>
      <w:r>
        <w:rPr>
          <w:color w:val="231F20"/>
          <w:w w:val="105"/>
        </w:rPr>
        <w:t>I</w:t>
      </w:r>
      <w:r>
        <w:rPr>
          <w:color w:val="231F20"/>
          <w:spacing w:val="6"/>
          <w:w w:val="105"/>
        </w:rPr>
        <w:t> </w:t>
      </w:r>
      <w:r>
        <w:rPr>
          <w:color w:val="231F20"/>
          <w:spacing w:val="-5"/>
          <w:w w:val="105"/>
        </w:rPr>
        <w:t>Got</w:t>
      </w:r>
    </w:p>
    <w:p>
      <w:pPr>
        <w:pStyle w:val="BodyText"/>
        <w:spacing w:before="3"/>
        <w:rPr>
          <w:sz w:val="35"/>
        </w:rPr>
      </w:pPr>
    </w:p>
    <w:p>
      <w:pPr>
        <w:pStyle w:val="BodyText"/>
        <w:tabs>
          <w:tab w:pos="2892" w:val="left" w:leader="none"/>
          <w:tab w:pos="3599" w:val="left" w:leader="none"/>
          <w:tab w:pos="4300" w:val="left" w:leader="none"/>
        </w:tabs>
        <w:spacing w:line="292" w:lineRule="auto"/>
        <w:ind w:left="1180" w:right="2157" w:hanging="261"/>
      </w:pPr>
      <w:r>
        <w:rPr/>
        <w:pict>
          <v:shape style="position:absolute;margin-left:149.039795pt;margin-top:5.024804pt;width:9.35pt;height:3.5pt;mso-position-horizontal-relative:page;mso-position-vertical-relative:paragraph;z-index:-25154560" id="docshape145" coordorigin="2981,100" coordsize="187,70" path="m3105,100l3100,111,3144,129,2981,129,2981,141,3144,141,3100,159,3105,170,3167,143,3167,127,3105,100xe" filled="true" fillcolor="#231f20" stroked="false">
            <v:path arrowok="t"/>
            <v:fill type="solid"/>
            <w10:wrap type="none"/>
          </v:shape>
        </w:pict>
      </w:r>
      <w:r>
        <w:rPr/>
        <w:pict>
          <v:shape style="position:absolute;margin-left:184.415756pt;margin-top:5.024804pt;width:9.35pt;height:3.5pt;mso-position-horizontal-relative:page;mso-position-vertical-relative:paragraph;z-index:-25154048" id="docshape146" coordorigin="3688,100" coordsize="187,70" path="m3751,100l3688,127,3688,143,3751,170,3755,159,3712,141,3875,141,3875,129,3712,129,3755,111,3751,100xe" filled="true" fillcolor="#231f20" stroked="false">
            <v:path arrowok="t"/>
            <v:fill type="solid"/>
            <w10:wrap type="none"/>
          </v:shape>
        </w:pict>
      </w:r>
      <w:r>
        <w:rPr>
          <w:color w:val="231F20"/>
          <w:spacing w:val="-2"/>
        </w:rPr>
        <w:t>Interdepartmental</w:t>
      </w:r>
      <w:r>
        <w:rPr>
          <w:color w:val="231F20"/>
        </w:rPr>
        <w:tab/>
      </w:r>
      <w:r>
        <w:rPr>
          <w:color w:val="231F20"/>
          <w:spacing w:val="-4"/>
        </w:rPr>
        <w:t>Gap</w:t>
      </w:r>
      <w:r>
        <w:rPr>
          <w:color w:val="231F20"/>
        </w:rPr>
        <w:tab/>
        <w:t>Isolated</w:t>
      </w:r>
      <w:r>
        <w:rPr>
          <w:color w:val="231F20"/>
          <w:spacing w:val="-6"/>
        </w:rPr>
        <w:t> </w:t>
      </w:r>
      <w:r>
        <w:rPr>
          <w:color w:val="231F20"/>
        </w:rPr>
        <w:t>Departmental </w:t>
      </w:r>
      <w:r>
        <w:rPr>
          <w:color w:val="231F20"/>
          <w:spacing w:val="-2"/>
        </w:rPr>
        <w:t>Cooperation</w:t>
      </w:r>
      <w:r>
        <w:rPr>
          <w:color w:val="231F20"/>
        </w:rPr>
        <w:tab/>
        <w:tab/>
        <w:tab/>
      </w:r>
      <w:r>
        <w:rPr>
          <w:color w:val="231F20"/>
          <w:spacing w:val="-2"/>
        </w:rPr>
        <w:t>Islands</w:t>
      </w:r>
    </w:p>
    <w:p>
      <w:pPr>
        <w:pStyle w:val="BodyText"/>
        <w:spacing w:before="8"/>
        <w:rPr>
          <w:sz w:val="30"/>
        </w:rPr>
      </w:pPr>
    </w:p>
    <w:p>
      <w:pPr>
        <w:pStyle w:val="BodyText"/>
        <w:spacing w:line="292" w:lineRule="auto"/>
        <w:ind w:left="920" w:right="665" w:firstLine="340"/>
        <w:jc w:val="both"/>
      </w:pPr>
      <w:r>
        <w:rPr>
          <w:color w:val="231F20"/>
        </w:rPr>
        <w:t>The VP felt that other gaps existed as well. The computer </w:t>
      </w:r>
      <w:r>
        <w:rPr>
          <w:color w:val="231F20"/>
        </w:rPr>
        <w:t>depart- ment believed it lacked the respect of the operational arm of the company. The people in the department felt that they were being treated</w:t>
      </w:r>
      <w:r>
        <w:rPr>
          <w:color w:val="231F20"/>
          <w:spacing w:val="9"/>
        </w:rPr>
        <w:t> </w:t>
      </w:r>
      <w:r>
        <w:rPr>
          <w:color w:val="231F20"/>
        </w:rPr>
        <w:t>as</w:t>
      </w:r>
      <w:r>
        <w:rPr>
          <w:color w:val="231F20"/>
          <w:spacing w:val="10"/>
        </w:rPr>
        <w:t> </w:t>
      </w:r>
      <w:r>
        <w:rPr>
          <w:color w:val="231F20"/>
        </w:rPr>
        <w:t>second-class</w:t>
      </w:r>
      <w:r>
        <w:rPr>
          <w:color w:val="231F20"/>
          <w:spacing w:val="9"/>
        </w:rPr>
        <w:t> </w:t>
      </w:r>
      <w:r>
        <w:rPr>
          <w:color w:val="231F20"/>
        </w:rPr>
        <w:t>citizens.</w:t>
      </w:r>
      <w:r>
        <w:rPr>
          <w:color w:val="231F20"/>
          <w:spacing w:val="10"/>
        </w:rPr>
        <w:t> </w:t>
      </w:r>
      <w:r>
        <w:rPr>
          <w:color w:val="231F20"/>
        </w:rPr>
        <w:t>Both</w:t>
      </w:r>
      <w:r>
        <w:rPr>
          <w:color w:val="231F20"/>
          <w:spacing w:val="9"/>
        </w:rPr>
        <w:t> </w:t>
      </w:r>
      <w:r>
        <w:rPr>
          <w:color w:val="231F20"/>
        </w:rPr>
        <w:t>perceptions</w:t>
      </w:r>
      <w:r>
        <w:rPr>
          <w:color w:val="231F20"/>
          <w:spacing w:val="10"/>
        </w:rPr>
        <w:t> </w:t>
      </w:r>
      <w:r>
        <w:rPr>
          <w:color w:val="231F20"/>
        </w:rPr>
        <w:t>were</w:t>
      </w:r>
      <w:r>
        <w:rPr>
          <w:color w:val="231F20"/>
          <w:spacing w:val="9"/>
        </w:rPr>
        <w:t> </w:t>
      </w:r>
      <w:r>
        <w:rPr>
          <w:color w:val="231F20"/>
        </w:rPr>
        <w:t>true.</w:t>
      </w:r>
      <w:r>
        <w:rPr>
          <w:color w:val="231F20"/>
          <w:spacing w:val="10"/>
        </w:rPr>
        <w:t> </w:t>
      </w:r>
      <w:r>
        <w:rPr>
          <w:color w:val="231F20"/>
        </w:rPr>
        <w:t>But</w:t>
      </w:r>
      <w:r>
        <w:rPr>
          <w:color w:val="231F20"/>
          <w:spacing w:val="9"/>
        </w:rPr>
        <w:t> </w:t>
      </w:r>
      <w:r>
        <w:rPr>
          <w:color w:val="231F20"/>
          <w:spacing w:val="-5"/>
        </w:rPr>
        <w:t>the</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4"/>
        <w:jc w:val="both"/>
      </w:pPr>
      <w:r>
        <w:rPr>
          <w:color w:val="231F20"/>
        </w:rPr>
        <w:t>other sales and operating departments had their own gaps. They wanted timely computer services at an affordable cost.</w:t>
      </w:r>
    </w:p>
    <w:p>
      <w:pPr>
        <w:pStyle w:val="BodyText"/>
        <w:spacing w:line="292" w:lineRule="auto"/>
        <w:ind w:left="830" w:right="756" w:firstLine="340"/>
        <w:jc w:val="both"/>
      </w:pPr>
      <w:r>
        <w:rPr>
          <w:color w:val="231F20"/>
        </w:rPr>
        <w:t>In many instances, organizational problems are less easily </w:t>
      </w:r>
      <w:r>
        <w:rPr>
          <w:color w:val="231F20"/>
        </w:rPr>
        <w:t>diag- nosed. Often managers do not know exactly what the gap is. Is there</w:t>
      </w:r>
      <w:r>
        <w:rPr>
          <w:color w:val="231F20"/>
          <w:spacing w:val="80"/>
        </w:rPr>
        <w:t> </w:t>
      </w:r>
      <w:r>
        <w:rPr>
          <w:color w:val="231F20"/>
        </w:rPr>
        <w:t>a gap at all? A manager’s perceptions can cloud what is “actually” happening. That is often the cause of trouble in the first place.</w:t>
      </w:r>
    </w:p>
    <w:p>
      <w:pPr>
        <w:pStyle w:val="BodyText"/>
        <w:spacing w:before="4"/>
        <w:rPr>
          <w:sz w:val="25"/>
        </w:rPr>
      </w:pPr>
    </w:p>
    <w:p>
      <w:pPr>
        <w:pStyle w:val="BodyText"/>
        <w:spacing w:line="292" w:lineRule="auto"/>
        <w:ind w:left="830" w:right="756"/>
        <w:jc w:val="both"/>
      </w:pPr>
      <w:r>
        <w:rPr>
          <w:i/>
          <w:color w:val="231F20"/>
        </w:rPr>
        <w:t>The Level of Problems. </w:t>
      </w:r>
      <w:r>
        <w:rPr>
          <w:color w:val="231F20"/>
        </w:rPr>
        <w:t>When you know what gaps exist, it is then important to understand the ways in which they affect the </w:t>
      </w:r>
      <w:r>
        <w:rPr>
          <w:color w:val="231F20"/>
        </w:rPr>
        <w:t>organiza- tion. Problems can affect a company in three ways:</w:t>
      </w:r>
    </w:p>
    <w:p>
      <w:pPr>
        <w:pStyle w:val="BodyText"/>
        <w:spacing w:before="4"/>
        <w:rPr>
          <w:sz w:val="27"/>
        </w:rPr>
      </w:pPr>
    </w:p>
    <w:p>
      <w:pPr>
        <w:pStyle w:val="ListParagraph"/>
        <w:numPr>
          <w:ilvl w:val="0"/>
          <w:numId w:val="24"/>
        </w:numPr>
        <w:tabs>
          <w:tab w:pos="1356" w:val="left" w:leader="none"/>
        </w:tabs>
        <w:spacing w:line="240" w:lineRule="auto" w:before="0" w:after="0"/>
        <w:ind w:left="1355" w:right="0" w:hanging="186"/>
        <w:jc w:val="left"/>
        <w:rPr>
          <w:sz w:val="19"/>
        </w:rPr>
      </w:pPr>
      <w:r>
        <w:rPr>
          <w:color w:val="231F20"/>
          <w:w w:val="115"/>
          <w:sz w:val="19"/>
        </w:rPr>
        <w:t>Within</w:t>
      </w:r>
      <w:r>
        <w:rPr>
          <w:color w:val="231F20"/>
          <w:spacing w:val="-2"/>
          <w:w w:val="115"/>
          <w:sz w:val="19"/>
        </w:rPr>
        <w:t> </w:t>
      </w:r>
      <w:r>
        <w:rPr>
          <w:color w:val="231F20"/>
          <w:w w:val="115"/>
          <w:sz w:val="19"/>
        </w:rPr>
        <w:t>or</w:t>
      </w:r>
      <w:r>
        <w:rPr>
          <w:color w:val="231F20"/>
          <w:spacing w:val="-2"/>
          <w:w w:val="115"/>
          <w:sz w:val="19"/>
        </w:rPr>
        <w:t> </w:t>
      </w:r>
      <w:r>
        <w:rPr>
          <w:color w:val="231F20"/>
          <w:w w:val="115"/>
          <w:sz w:val="19"/>
        </w:rPr>
        <w:t>between</w:t>
      </w:r>
      <w:r>
        <w:rPr>
          <w:color w:val="231F20"/>
          <w:spacing w:val="-1"/>
          <w:w w:val="115"/>
          <w:sz w:val="19"/>
        </w:rPr>
        <w:t> </w:t>
      </w:r>
      <w:r>
        <w:rPr>
          <w:color w:val="231F20"/>
          <w:w w:val="115"/>
          <w:sz w:val="19"/>
        </w:rPr>
        <w:t>certain</w:t>
      </w:r>
      <w:r>
        <w:rPr>
          <w:color w:val="231F20"/>
          <w:spacing w:val="-2"/>
          <w:w w:val="115"/>
          <w:sz w:val="19"/>
        </w:rPr>
        <w:t> people</w:t>
      </w:r>
    </w:p>
    <w:p>
      <w:pPr>
        <w:pStyle w:val="ListParagraph"/>
        <w:numPr>
          <w:ilvl w:val="0"/>
          <w:numId w:val="24"/>
        </w:numPr>
        <w:tabs>
          <w:tab w:pos="1356" w:val="left" w:leader="none"/>
        </w:tabs>
        <w:spacing w:line="240" w:lineRule="auto" w:before="82" w:after="0"/>
        <w:ind w:left="1355" w:right="0" w:hanging="186"/>
        <w:jc w:val="left"/>
        <w:rPr>
          <w:sz w:val="19"/>
        </w:rPr>
      </w:pPr>
      <w:r>
        <w:rPr>
          <w:color w:val="231F20"/>
          <w:w w:val="115"/>
          <w:sz w:val="19"/>
        </w:rPr>
        <w:t>Within</w:t>
      </w:r>
      <w:r>
        <w:rPr>
          <w:color w:val="231F20"/>
          <w:spacing w:val="-1"/>
          <w:w w:val="115"/>
          <w:sz w:val="19"/>
        </w:rPr>
        <w:t> </w:t>
      </w:r>
      <w:r>
        <w:rPr>
          <w:color w:val="231F20"/>
          <w:w w:val="115"/>
          <w:sz w:val="19"/>
        </w:rPr>
        <w:t>or between </w:t>
      </w:r>
      <w:r>
        <w:rPr>
          <w:color w:val="231F20"/>
          <w:spacing w:val="-2"/>
          <w:w w:val="115"/>
          <w:sz w:val="19"/>
        </w:rPr>
        <w:t>groups</w:t>
      </w:r>
    </w:p>
    <w:p>
      <w:pPr>
        <w:pStyle w:val="ListParagraph"/>
        <w:numPr>
          <w:ilvl w:val="0"/>
          <w:numId w:val="24"/>
        </w:numPr>
        <w:tabs>
          <w:tab w:pos="1356" w:val="left" w:leader="none"/>
        </w:tabs>
        <w:spacing w:line="240" w:lineRule="auto" w:before="81" w:after="0"/>
        <w:ind w:left="1355" w:right="0" w:hanging="186"/>
        <w:jc w:val="left"/>
        <w:rPr>
          <w:sz w:val="19"/>
        </w:rPr>
      </w:pPr>
      <w:r>
        <w:rPr>
          <w:color w:val="231F20"/>
          <w:w w:val="115"/>
          <w:sz w:val="19"/>
        </w:rPr>
        <w:t>Within</w:t>
      </w:r>
      <w:r>
        <w:rPr>
          <w:color w:val="231F20"/>
          <w:spacing w:val="-5"/>
          <w:w w:val="115"/>
          <w:sz w:val="19"/>
        </w:rPr>
        <w:t> </w:t>
      </w:r>
      <w:r>
        <w:rPr>
          <w:color w:val="231F20"/>
          <w:w w:val="115"/>
          <w:sz w:val="19"/>
        </w:rPr>
        <w:t>the</w:t>
      </w:r>
      <w:r>
        <w:rPr>
          <w:color w:val="231F20"/>
          <w:spacing w:val="-4"/>
          <w:w w:val="115"/>
          <w:sz w:val="19"/>
        </w:rPr>
        <w:t> </w:t>
      </w:r>
      <w:r>
        <w:rPr>
          <w:color w:val="231F20"/>
          <w:w w:val="115"/>
          <w:sz w:val="19"/>
        </w:rPr>
        <w:t>whole</w:t>
      </w:r>
      <w:r>
        <w:rPr>
          <w:color w:val="231F20"/>
          <w:spacing w:val="-5"/>
          <w:w w:val="115"/>
          <w:sz w:val="19"/>
        </w:rPr>
        <w:t> </w:t>
      </w:r>
      <w:r>
        <w:rPr>
          <w:color w:val="231F20"/>
          <w:spacing w:val="-2"/>
          <w:w w:val="115"/>
          <w:sz w:val="19"/>
        </w:rPr>
        <w:t>organization</w:t>
      </w:r>
    </w:p>
    <w:p>
      <w:pPr>
        <w:pStyle w:val="BodyText"/>
        <w:rPr>
          <w:rFonts w:ascii="Arial"/>
          <w:sz w:val="20"/>
        </w:rPr>
      </w:pPr>
    </w:p>
    <w:p>
      <w:pPr>
        <w:pStyle w:val="BodyText"/>
        <w:spacing w:line="292" w:lineRule="auto" w:before="130"/>
        <w:ind w:left="830" w:right="754" w:firstLine="340"/>
        <w:jc w:val="both"/>
      </w:pPr>
      <w:r>
        <w:rPr>
          <w:color w:val="231F20"/>
        </w:rPr>
        <w:t>In the case of the computer department described above, the problem existed at all three of these levels. Each level had to be </w:t>
      </w:r>
      <w:r>
        <w:rPr>
          <w:color w:val="231F20"/>
        </w:rPr>
        <w:t>ad- dressed to successfully “solve” it. The hard feelings between individ- uals occurred at a </w:t>
      </w:r>
      <w:r>
        <w:rPr>
          <w:i/>
          <w:color w:val="231F20"/>
        </w:rPr>
        <w:t>personal </w:t>
      </w:r>
      <w:r>
        <w:rPr>
          <w:color w:val="231F20"/>
        </w:rPr>
        <w:t>level. The interdepartmental squabbling was an </w:t>
      </w:r>
      <w:r>
        <w:rPr>
          <w:i/>
          <w:color w:val="231F20"/>
        </w:rPr>
        <w:t>intergroup </w:t>
      </w:r>
      <w:r>
        <w:rPr>
          <w:color w:val="231F20"/>
        </w:rPr>
        <w:t>problem. The company’s failure to adopt compet- itive new technologies occurred at the </w:t>
      </w:r>
      <w:r>
        <w:rPr>
          <w:i/>
          <w:color w:val="231F20"/>
        </w:rPr>
        <w:t>organizational </w:t>
      </w:r>
      <w:r>
        <w:rPr>
          <w:color w:val="231F20"/>
        </w:rPr>
        <w:t>level.</w:t>
      </w:r>
    </w:p>
    <w:p>
      <w:pPr>
        <w:pStyle w:val="BodyText"/>
        <w:spacing w:before="5"/>
        <w:rPr>
          <w:sz w:val="25"/>
        </w:rPr>
      </w:pPr>
    </w:p>
    <w:p>
      <w:pPr>
        <w:pStyle w:val="BodyText"/>
        <w:spacing w:line="292" w:lineRule="auto"/>
        <w:ind w:left="830" w:right="756"/>
        <w:jc w:val="both"/>
      </w:pPr>
      <w:r>
        <w:rPr>
          <w:i/>
          <w:color w:val="231F20"/>
        </w:rPr>
        <w:t>Source</w:t>
      </w:r>
      <w:r>
        <w:rPr>
          <w:i/>
          <w:color w:val="231F20"/>
          <w:spacing w:val="40"/>
        </w:rPr>
        <w:t> </w:t>
      </w:r>
      <w:r>
        <w:rPr>
          <w:i/>
          <w:color w:val="231F20"/>
        </w:rPr>
        <w:t>Problems</w:t>
      </w:r>
      <w:r>
        <w:rPr>
          <w:i/>
          <w:color w:val="231F20"/>
          <w:spacing w:val="40"/>
        </w:rPr>
        <w:t> </w:t>
      </w:r>
      <w:r>
        <w:rPr>
          <w:i/>
          <w:color w:val="231F20"/>
        </w:rPr>
        <w:t>and</w:t>
      </w:r>
      <w:r>
        <w:rPr>
          <w:i/>
          <w:color w:val="231F20"/>
          <w:spacing w:val="40"/>
        </w:rPr>
        <w:t> </w:t>
      </w:r>
      <w:r>
        <w:rPr>
          <w:i/>
          <w:color w:val="231F20"/>
        </w:rPr>
        <w:t>Causal</w:t>
      </w:r>
      <w:r>
        <w:rPr>
          <w:i/>
          <w:color w:val="231F20"/>
          <w:spacing w:val="40"/>
        </w:rPr>
        <w:t> </w:t>
      </w:r>
      <w:r>
        <w:rPr>
          <w:i/>
          <w:color w:val="231F20"/>
        </w:rPr>
        <w:t>Chains.</w:t>
      </w:r>
      <w:r>
        <w:rPr>
          <w:i/>
          <w:color w:val="231F20"/>
          <w:spacing w:val="40"/>
        </w:rPr>
        <w:t> </w:t>
      </w:r>
      <w:r>
        <w:rPr>
          <w:color w:val="231F20"/>
        </w:rPr>
        <w:t>The</w:t>
      </w:r>
      <w:r>
        <w:rPr>
          <w:color w:val="231F20"/>
          <w:spacing w:val="40"/>
        </w:rPr>
        <w:t> </w:t>
      </w:r>
      <w:r>
        <w:rPr>
          <w:color w:val="231F20"/>
        </w:rPr>
        <w:t>goal</w:t>
      </w:r>
      <w:r>
        <w:rPr>
          <w:color w:val="231F20"/>
          <w:spacing w:val="40"/>
        </w:rPr>
        <w:t> </w:t>
      </w:r>
      <w:r>
        <w:rPr>
          <w:color w:val="231F20"/>
        </w:rPr>
        <w:t>of</w:t>
      </w:r>
      <w:r>
        <w:rPr>
          <w:color w:val="231F20"/>
          <w:spacing w:val="40"/>
        </w:rPr>
        <w:t> </w:t>
      </w:r>
      <w:r>
        <w:rPr>
          <w:color w:val="231F20"/>
        </w:rPr>
        <w:t>an</w:t>
      </w:r>
      <w:r>
        <w:rPr>
          <w:color w:val="231F20"/>
          <w:spacing w:val="40"/>
        </w:rPr>
        <w:t> </w:t>
      </w:r>
      <w:r>
        <w:rPr>
          <w:color w:val="231F20"/>
        </w:rPr>
        <w:t>effective</w:t>
      </w:r>
      <w:r>
        <w:rPr>
          <w:color w:val="231F20"/>
          <w:spacing w:val="40"/>
        </w:rPr>
        <w:t> </w:t>
      </w:r>
      <w:r>
        <w:rPr>
          <w:color w:val="231F20"/>
        </w:rPr>
        <w:t>MBA is to find the most important problems and solve those first. Those are called the </w:t>
      </w:r>
      <w:r>
        <w:rPr>
          <w:i/>
          <w:color w:val="231F20"/>
        </w:rPr>
        <w:t>source problems. </w:t>
      </w:r>
      <w:r>
        <w:rPr>
          <w:color w:val="231F20"/>
        </w:rPr>
        <w:t>Eliminate the source, eliminate the </w:t>
      </w:r>
      <w:r>
        <w:rPr>
          <w:i/>
          <w:color w:val="231F20"/>
        </w:rPr>
        <w:t>symptoms. </w:t>
      </w:r>
      <w:r>
        <w:rPr>
          <w:color w:val="231F20"/>
        </w:rPr>
        <w:t>Source problems, such as the lack of respect for the com- puter department, caused a multitude of other problems.</w:t>
      </w:r>
    </w:p>
    <w:p>
      <w:pPr>
        <w:pStyle w:val="BodyText"/>
        <w:spacing w:line="292" w:lineRule="auto"/>
        <w:ind w:left="830" w:right="756" w:firstLine="340"/>
        <w:jc w:val="both"/>
      </w:pPr>
      <w:r>
        <w:rPr/>
        <w:pict>
          <v:shape style="position:absolute;margin-left:166.775665pt;margin-top:65.025597pt;width:9.35pt;height:3.5pt;mso-position-horizontal-relative:page;mso-position-vertical-relative:paragraph;z-index:-25153536" id="docshape147" coordorigin="3336,1301" coordsize="187,70" path="m3459,1301l3455,1311,3498,1329,3336,1329,3336,1341,3498,1341,3455,1359,3459,1370,3522,1343,3522,1327,3459,1301xe" filled="true" fillcolor="#231f20" stroked="false">
            <v:path arrowok="t"/>
            <v:fill type="solid"/>
            <w10:wrap type="none"/>
          </v:shape>
        </w:pict>
      </w:r>
      <w:r>
        <w:rPr/>
        <w:pict>
          <v:shape style="position:absolute;margin-left:254.483551pt;margin-top:65.025597pt;width:9.35pt;height:3.5pt;mso-position-horizontal-relative:page;mso-position-vertical-relative:paragraph;z-index:-25153024" id="docshape148" coordorigin="5090,1301" coordsize="187,70" path="m5214,1301l5209,1311,5253,1329,5090,1329,5090,1341,5253,1341,5209,1359,5214,1370,5276,1343,5276,1327,5214,1301xe" filled="true" fillcolor="#231f20" stroked="false">
            <v:path arrowok="t"/>
            <v:fill type="solid"/>
            <w10:wrap type="none"/>
          </v:shape>
        </w:pict>
      </w:r>
      <w:r>
        <w:rPr/>
        <w:pict>
          <v:shape style="position:absolute;margin-left:149.291321pt;margin-top:95.025497pt;width:9.35pt;height:3.5pt;mso-position-horizontal-relative:page;mso-position-vertical-relative:paragraph;z-index:-25152512" id="docshape149" coordorigin="2986,1901" coordsize="187,70" path="m3110,1901l3105,1911,3149,1929,2986,1929,2986,1941,3149,1941,3105,1959,3110,1970,3172,1943,3172,1927,3110,1901xe" filled="true" fillcolor="#231f20" stroked="false">
            <v:path arrowok="t"/>
            <v:fill type="solid"/>
            <w10:wrap type="none"/>
          </v:shape>
        </w:pict>
      </w:r>
      <w:r>
        <w:rPr/>
        <w:pict>
          <v:shape style="position:absolute;margin-left:255.504745pt;margin-top:95.025497pt;width:9.35pt;height:3.5pt;mso-position-horizontal-relative:page;mso-position-vertical-relative:paragraph;z-index:-25152000" id="docshape150" coordorigin="5110,1901" coordsize="187,70" path="m5234,1901l5229,1911,5273,1929,5110,1929,5110,1941,5273,1941,5229,1959,5234,1970,5296,1943,5296,1927,5234,1901xe" filled="true" fillcolor="#231f20" stroked="false">
            <v:path arrowok="t"/>
            <v:fill type="solid"/>
            <w10:wrap type="none"/>
          </v:shape>
        </w:pict>
      </w:r>
      <w:r>
        <w:rPr>
          <w:color w:val="231F20"/>
        </w:rPr>
        <w:t>A graphical method used to get at source problems is to draw </w:t>
      </w:r>
      <w:r>
        <w:rPr>
          <w:color w:val="231F20"/>
        </w:rPr>
        <w:t>a </w:t>
      </w:r>
      <w:r>
        <w:rPr>
          <w:i/>
          <w:color w:val="231F20"/>
        </w:rPr>
        <w:t>causal chain. </w:t>
      </w:r>
      <w:r>
        <w:rPr>
          <w:color w:val="231F20"/>
        </w:rPr>
        <w:t>Using a causal chain, the company’s interdepartmental problem would look like this:</w:t>
      </w:r>
    </w:p>
    <w:p>
      <w:pPr>
        <w:pStyle w:val="BodyText"/>
        <w:spacing w:before="2" w:after="1"/>
        <w:rPr>
          <w:sz w:val="25"/>
        </w:rPr>
      </w:pPr>
    </w:p>
    <w:tbl>
      <w:tblPr>
        <w:tblW w:w="0" w:type="auto"/>
        <w:jc w:val="left"/>
        <w:tblInd w:w="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9"/>
        <w:gridCol w:w="1764"/>
        <w:gridCol w:w="1789"/>
      </w:tblGrid>
      <w:tr>
        <w:trPr>
          <w:trHeight w:val="424" w:hRule="atLeast"/>
        </w:trPr>
        <w:tc>
          <w:tcPr>
            <w:tcW w:w="2309" w:type="dxa"/>
          </w:tcPr>
          <w:p>
            <w:pPr>
              <w:pStyle w:val="TableParagraph"/>
              <w:spacing w:before="1"/>
              <w:ind w:left="50"/>
              <w:jc w:val="left"/>
              <w:rPr>
                <w:sz w:val="21"/>
              </w:rPr>
            </w:pPr>
            <w:r>
              <w:rPr>
                <w:color w:val="231F20"/>
                <w:sz w:val="21"/>
              </w:rPr>
              <w:t>Contributing</w:t>
            </w:r>
            <w:r>
              <w:rPr>
                <w:color w:val="231F20"/>
                <w:spacing w:val="52"/>
                <w:sz w:val="21"/>
              </w:rPr>
              <w:t> </w:t>
            </w:r>
            <w:r>
              <w:rPr>
                <w:color w:val="231F20"/>
                <w:spacing w:val="-2"/>
                <w:sz w:val="21"/>
              </w:rPr>
              <w:t>Problems</w:t>
            </w:r>
          </w:p>
        </w:tc>
        <w:tc>
          <w:tcPr>
            <w:tcW w:w="1764" w:type="dxa"/>
          </w:tcPr>
          <w:p>
            <w:pPr>
              <w:pStyle w:val="TableParagraph"/>
              <w:spacing w:before="1"/>
              <w:ind w:left="158"/>
              <w:jc w:val="left"/>
              <w:rPr>
                <w:sz w:val="21"/>
              </w:rPr>
            </w:pPr>
            <w:r>
              <w:rPr>
                <w:color w:val="231F20"/>
                <w:sz w:val="21"/>
              </w:rPr>
              <w:t>Source</w:t>
            </w:r>
            <w:r>
              <w:rPr>
                <w:color w:val="231F20"/>
                <w:spacing w:val="7"/>
                <w:sz w:val="21"/>
              </w:rPr>
              <w:t> </w:t>
            </w:r>
            <w:r>
              <w:rPr>
                <w:color w:val="231F20"/>
                <w:spacing w:val="-2"/>
                <w:sz w:val="21"/>
              </w:rPr>
              <w:t>Problem</w:t>
            </w:r>
          </w:p>
        </w:tc>
        <w:tc>
          <w:tcPr>
            <w:tcW w:w="1789" w:type="dxa"/>
          </w:tcPr>
          <w:p>
            <w:pPr>
              <w:pStyle w:val="TableParagraph"/>
              <w:spacing w:before="1"/>
              <w:ind w:left="148"/>
              <w:jc w:val="left"/>
              <w:rPr>
                <w:sz w:val="21"/>
              </w:rPr>
            </w:pPr>
            <w:r>
              <w:rPr>
                <w:color w:val="231F20"/>
                <w:w w:val="95"/>
                <w:sz w:val="21"/>
              </w:rPr>
              <w:t>Business</w:t>
            </w:r>
            <w:r>
              <w:rPr>
                <w:color w:val="231F20"/>
                <w:spacing w:val="22"/>
                <w:sz w:val="21"/>
              </w:rPr>
              <w:t> </w:t>
            </w:r>
            <w:r>
              <w:rPr>
                <w:color w:val="231F20"/>
                <w:spacing w:val="-2"/>
                <w:sz w:val="21"/>
              </w:rPr>
              <w:t>Problem</w:t>
            </w:r>
          </w:p>
        </w:tc>
      </w:tr>
      <w:tr>
        <w:trPr>
          <w:trHeight w:val="724" w:hRule="atLeast"/>
        </w:trPr>
        <w:tc>
          <w:tcPr>
            <w:tcW w:w="2309" w:type="dxa"/>
          </w:tcPr>
          <w:p>
            <w:pPr>
              <w:pStyle w:val="TableParagraph"/>
              <w:spacing w:line="300" w:lineRule="atLeast" w:before="105"/>
              <w:ind w:left="50" w:hanging="1"/>
              <w:jc w:val="left"/>
              <w:rPr>
                <w:sz w:val="21"/>
              </w:rPr>
            </w:pPr>
            <w:r>
              <w:rPr>
                <w:color w:val="231F20"/>
                <w:sz w:val="21"/>
              </w:rPr>
              <w:t>Lack of Interaction Personality</w:t>
            </w:r>
            <w:r>
              <w:rPr>
                <w:color w:val="231F20"/>
                <w:spacing w:val="-12"/>
                <w:sz w:val="21"/>
              </w:rPr>
              <w:t> </w:t>
            </w:r>
            <w:r>
              <w:rPr>
                <w:color w:val="231F20"/>
                <w:sz w:val="21"/>
              </w:rPr>
              <w:t>Differences</w:t>
            </w:r>
          </w:p>
        </w:tc>
        <w:tc>
          <w:tcPr>
            <w:tcW w:w="1764" w:type="dxa"/>
          </w:tcPr>
          <w:p>
            <w:pPr>
              <w:pStyle w:val="TableParagraph"/>
              <w:spacing w:line="300" w:lineRule="atLeast" w:before="105"/>
              <w:ind w:left="161" w:hanging="1"/>
              <w:jc w:val="left"/>
              <w:rPr>
                <w:sz w:val="21"/>
              </w:rPr>
            </w:pPr>
            <w:r>
              <w:rPr>
                <w:color w:val="231F20"/>
                <w:sz w:val="21"/>
              </w:rPr>
              <w:t>Lack of </w:t>
            </w:r>
            <w:r>
              <w:rPr>
                <w:color w:val="231F20"/>
                <w:sz w:val="21"/>
              </w:rPr>
              <w:t>Respect for Techies</w:t>
            </w:r>
          </w:p>
        </w:tc>
        <w:tc>
          <w:tcPr>
            <w:tcW w:w="1789" w:type="dxa"/>
          </w:tcPr>
          <w:p>
            <w:pPr>
              <w:pStyle w:val="TableParagraph"/>
              <w:spacing w:before="176"/>
              <w:ind w:left="168"/>
              <w:jc w:val="left"/>
              <w:rPr>
                <w:sz w:val="21"/>
              </w:rPr>
            </w:pPr>
            <w:r>
              <w:rPr>
                <w:color w:val="231F20"/>
                <w:sz w:val="21"/>
              </w:rPr>
              <w:t>Project </w:t>
            </w:r>
            <w:r>
              <w:rPr>
                <w:color w:val="231F20"/>
                <w:spacing w:val="-2"/>
                <w:sz w:val="21"/>
              </w:rPr>
              <w:t>Failures</w:t>
            </w:r>
          </w:p>
        </w:tc>
      </w:tr>
    </w:tbl>
    <w:p>
      <w:pPr>
        <w:spacing w:after="0"/>
        <w:jc w:val="left"/>
        <w:rPr>
          <w:sz w:val="21"/>
        </w:rPr>
        <w:sectPr>
          <w:pgSz w:w="8640" w:h="12960"/>
          <w:pgMar w:header="732" w:footer="0" w:top="920" w:bottom="280" w:left="340" w:right="500"/>
        </w:sectPr>
      </w:pPr>
    </w:p>
    <w:p>
      <w:pPr>
        <w:pStyle w:val="BodyText"/>
        <w:spacing w:before="8"/>
        <w:rPr>
          <w:sz w:val="17"/>
        </w:rPr>
      </w:pPr>
    </w:p>
    <w:p>
      <w:pPr>
        <w:pStyle w:val="Heading6"/>
        <w:spacing w:before="99"/>
        <w:rPr>
          <w:i/>
        </w:rPr>
      </w:pPr>
      <w:r>
        <w:rPr>
          <w:i/>
          <w:color w:val="231F20"/>
          <w:spacing w:val="-2"/>
          <w:w w:val="110"/>
        </w:rPr>
        <w:t>ANALYSIS</w:t>
      </w:r>
    </w:p>
    <w:p>
      <w:pPr>
        <w:pStyle w:val="BodyText"/>
        <w:spacing w:before="2"/>
        <w:rPr>
          <w:b/>
          <w:i/>
          <w:sz w:val="30"/>
        </w:rPr>
      </w:pPr>
    </w:p>
    <w:p>
      <w:pPr>
        <w:pStyle w:val="BodyText"/>
        <w:spacing w:line="292" w:lineRule="auto"/>
        <w:ind w:left="919" w:right="664"/>
        <w:jc w:val="both"/>
      </w:pPr>
      <w:r>
        <w:rPr>
          <w:color w:val="231F20"/>
        </w:rPr>
        <w:t>After</w:t>
      </w:r>
      <w:r>
        <w:rPr>
          <w:color w:val="231F20"/>
          <w:spacing w:val="29"/>
        </w:rPr>
        <w:t> </w:t>
      </w:r>
      <w:r>
        <w:rPr>
          <w:color w:val="231F20"/>
        </w:rPr>
        <w:t>defining</w:t>
      </w:r>
      <w:r>
        <w:rPr>
          <w:color w:val="231F20"/>
          <w:spacing w:val="29"/>
        </w:rPr>
        <w:t> </w:t>
      </w:r>
      <w:r>
        <w:rPr>
          <w:color w:val="231F20"/>
        </w:rPr>
        <w:t>the</w:t>
      </w:r>
      <w:r>
        <w:rPr>
          <w:color w:val="231F20"/>
          <w:spacing w:val="29"/>
        </w:rPr>
        <w:t> </w:t>
      </w:r>
      <w:r>
        <w:rPr>
          <w:color w:val="231F20"/>
        </w:rPr>
        <w:t>gaps</w:t>
      </w:r>
      <w:r>
        <w:rPr>
          <w:color w:val="231F20"/>
          <w:spacing w:val="29"/>
        </w:rPr>
        <w:t> </w:t>
      </w:r>
      <w:r>
        <w:rPr>
          <w:color w:val="231F20"/>
        </w:rPr>
        <w:t>and</w:t>
      </w:r>
      <w:r>
        <w:rPr>
          <w:color w:val="231F20"/>
          <w:spacing w:val="29"/>
        </w:rPr>
        <w:t> </w:t>
      </w:r>
      <w:r>
        <w:rPr>
          <w:color w:val="231F20"/>
        </w:rPr>
        <w:t>using</w:t>
      </w:r>
      <w:r>
        <w:rPr>
          <w:color w:val="231F20"/>
          <w:spacing w:val="29"/>
        </w:rPr>
        <w:t> </w:t>
      </w:r>
      <w:r>
        <w:rPr>
          <w:color w:val="231F20"/>
        </w:rPr>
        <w:t>causal</w:t>
      </w:r>
      <w:r>
        <w:rPr>
          <w:color w:val="231F20"/>
          <w:spacing w:val="29"/>
        </w:rPr>
        <w:t> </w:t>
      </w:r>
      <w:r>
        <w:rPr>
          <w:color w:val="231F20"/>
        </w:rPr>
        <w:t>chains,</w:t>
      </w:r>
      <w:r>
        <w:rPr>
          <w:color w:val="231F20"/>
          <w:spacing w:val="29"/>
        </w:rPr>
        <w:t> </w:t>
      </w:r>
      <w:r>
        <w:rPr>
          <w:color w:val="231F20"/>
        </w:rPr>
        <w:t>the</w:t>
      </w:r>
      <w:r>
        <w:rPr>
          <w:color w:val="231F20"/>
          <w:spacing w:val="29"/>
        </w:rPr>
        <w:t> </w:t>
      </w:r>
      <w:r>
        <w:rPr>
          <w:color w:val="231F20"/>
        </w:rPr>
        <w:t>MBA</w:t>
      </w:r>
      <w:r>
        <w:rPr>
          <w:color w:val="231F20"/>
          <w:spacing w:val="29"/>
        </w:rPr>
        <w:t> </w:t>
      </w:r>
      <w:r>
        <w:rPr>
          <w:color w:val="231F20"/>
        </w:rPr>
        <w:t>is</w:t>
      </w:r>
      <w:r>
        <w:rPr>
          <w:color w:val="231F20"/>
          <w:spacing w:val="29"/>
        </w:rPr>
        <w:t> </w:t>
      </w:r>
      <w:r>
        <w:rPr>
          <w:color w:val="231F20"/>
        </w:rPr>
        <w:t>taught to link the problems to their causes. In addition to drawing causal chains, during this analytical step you try to </w:t>
      </w:r>
      <w:r>
        <w:rPr>
          <w:i/>
          <w:color w:val="231F20"/>
        </w:rPr>
        <w:t>understand </w:t>
      </w:r>
      <w:r>
        <w:rPr>
          <w:color w:val="231F20"/>
        </w:rPr>
        <w:t>the causes. Why do they exist? What environmental factors play a role? By ask- ing these types of questions you can begin to confront which causes can be corrected through management action. If one problem is in- surmountable, different solutions have to be tried. In the example above, firing uncooperative people was an option for the vice </w:t>
      </w:r>
      <w:r>
        <w:rPr>
          <w:color w:val="231F20"/>
        </w:rPr>
        <w:t>presi- dent. Sensitivity training and interdepartmental discussions were other possibilities. As in a marketing plan, there are many possible avenues for action available to achieve a successful resolution to a </w:t>
      </w:r>
      <w:r>
        <w:rPr>
          <w:color w:val="231F20"/>
          <w:spacing w:val="-2"/>
        </w:rPr>
        <w:t>problem.</w:t>
      </w:r>
    </w:p>
    <w:p>
      <w:pPr>
        <w:pStyle w:val="BodyText"/>
        <w:rPr>
          <w:sz w:val="24"/>
        </w:rPr>
      </w:pPr>
    </w:p>
    <w:p>
      <w:pPr>
        <w:pStyle w:val="BodyText"/>
        <w:spacing w:before="9"/>
        <w:rPr>
          <w:sz w:val="26"/>
        </w:rPr>
      </w:pPr>
    </w:p>
    <w:p>
      <w:pPr>
        <w:pStyle w:val="Heading6"/>
        <w:rPr>
          <w:i/>
        </w:rPr>
      </w:pPr>
      <w:r>
        <w:rPr>
          <w:i/>
          <w:color w:val="231F20"/>
          <w:w w:val="110"/>
        </w:rPr>
        <w:t>ACTION</w:t>
      </w:r>
      <w:r>
        <w:rPr>
          <w:i/>
          <w:color w:val="231F20"/>
          <w:spacing w:val="63"/>
          <w:w w:val="150"/>
        </w:rPr>
        <w:t> </w:t>
      </w:r>
      <w:r>
        <w:rPr>
          <w:i/>
          <w:color w:val="231F20"/>
          <w:spacing w:val="8"/>
          <w:w w:val="110"/>
        </w:rPr>
        <w:t>PLANNING</w:t>
      </w:r>
    </w:p>
    <w:p>
      <w:pPr>
        <w:pStyle w:val="BodyText"/>
        <w:spacing w:before="2"/>
        <w:rPr>
          <w:b/>
          <w:i/>
          <w:sz w:val="30"/>
        </w:rPr>
      </w:pPr>
    </w:p>
    <w:p>
      <w:pPr>
        <w:pStyle w:val="BodyText"/>
        <w:spacing w:line="292" w:lineRule="auto"/>
        <w:ind w:left="920" w:right="666"/>
        <w:jc w:val="both"/>
      </w:pPr>
      <w:r>
        <w:rPr>
          <w:color w:val="231F20"/>
        </w:rPr>
        <w:t>MBAs are taught to be decisive and </w:t>
      </w:r>
      <w:r>
        <w:rPr>
          <w:i/>
          <w:color w:val="231F20"/>
        </w:rPr>
        <w:t>proactive</w:t>
      </w:r>
      <w:r>
        <w:rPr>
          <w:i/>
          <w:color w:val="231F20"/>
          <w:spacing w:val="-12"/>
        </w:rPr>
        <w:t> </w:t>
      </w:r>
      <w:r>
        <w:rPr>
          <w:color w:val="231F20"/>
        </w:rPr>
        <w:t>—</w:t>
      </w:r>
      <w:r>
        <w:rPr>
          <w:color w:val="231F20"/>
          <w:spacing w:val="-12"/>
        </w:rPr>
        <w:t> </w:t>
      </w:r>
      <w:r>
        <w:rPr>
          <w:color w:val="231F20"/>
        </w:rPr>
        <w:t>a frequently used MBA adjective. After a thorough analysis, MBAs should be able to formulate a plan. The </w:t>
      </w:r>
      <w:r>
        <w:rPr>
          <w:i/>
          <w:color w:val="231F20"/>
        </w:rPr>
        <w:t>action plan </w:t>
      </w:r>
      <w:r>
        <w:rPr>
          <w:color w:val="231F20"/>
        </w:rPr>
        <w:t>has six important steps.</w:t>
      </w:r>
    </w:p>
    <w:p>
      <w:pPr>
        <w:pStyle w:val="BodyText"/>
        <w:spacing w:before="4"/>
        <w:rPr>
          <w:sz w:val="27"/>
        </w:rPr>
      </w:pPr>
    </w:p>
    <w:p>
      <w:pPr>
        <w:pStyle w:val="ListParagraph"/>
        <w:numPr>
          <w:ilvl w:val="0"/>
          <w:numId w:val="25"/>
        </w:numPr>
        <w:tabs>
          <w:tab w:pos="1611" w:val="left" w:leader="none"/>
        </w:tabs>
        <w:spacing w:line="240" w:lineRule="auto" w:before="0" w:after="0"/>
        <w:ind w:left="1610" w:right="0" w:hanging="171"/>
        <w:jc w:val="left"/>
        <w:rPr>
          <w:sz w:val="19"/>
        </w:rPr>
      </w:pPr>
      <w:r>
        <w:rPr>
          <w:color w:val="231F20"/>
          <w:w w:val="110"/>
          <w:sz w:val="19"/>
        </w:rPr>
        <w:t>Set</w:t>
      </w:r>
      <w:r>
        <w:rPr>
          <w:color w:val="231F20"/>
          <w:spacing w:val="4"/>
          <w:w w:val="110"/>
          <w:sz w:val="19"/>
        </w:rPr>
        <w:t> </w:t>
      </w:r>
      <w:r>
        <w:rPr>
          <w:color w:val="231F20"/>
          <w:w w:val="110"/>
          <w:sz w:val="19"/>
        </w:rPr>
        <w:t>specific</w:t>
      </w:r>
      <w:r>
        <w:rPr>
          <w:color w:val="231F20"/>
          <w:spacing w:val="5"/>
          <w:w w:val="110"/>
          <w:sz w:val="19"/>
        </w:rPr>
        <w:t> </w:t>
      </w:r>
      <w:r>
        <w:rPr>
          <w:color w:val="231F20"/>
          <w:spacing w:val="-2"/>
          <w:w w:val="110"/>
          <w:sz w:val="19"/>
        </w:rPr>
        <w:t>goals.</w:t>
      </w:r>
    </w:p>
    <w:p>
      <w:pPr>
        <w:pStyle w:val="ListParagraph"/>
        <w:numPr>
          <w:ilvl w:val="0"/>
          <w:numId w:val="25"/>
        </w:numPr>
        <w:tabs>
          <w:tab w:pos="1611" w:val="left" w:leader="none"/>
        </w:tabs>
        <w:spacing w:line="240" w:lineRule="auto" w:before="82" w:after="0"/>
        <w:ind w:left="1610" w:right="0" w:hanging="220"/>
        <w:jc w:val="left"/>
        <w:rPr>
          <w:sz w:val="19"/>
        </w:rPr>
      </w:pPr>
      <w:r>
        <w:rPr>
          <w:color w:val="231F20"/>
          <w:w w:val="110"/>
          <w:sz w:val="19"/>
        </w:rPr>
        <w:t>Define</w:t>
      </w:r>
      <w:r>
        <w:rPr>
          <w:color w:val="231F20"/>
          <w:spacing w:val="-2"/>
          <w:w w:val="110"/>
          <w:sz w:val="19"/>
        </w:rPr>
        <w:t> </w:t>
      </w:r>
      <w:r>
        <w:rPr>
          <w:color w:val="231F20"/>
          <w:w w:val="110"/>
          <w:sz w:val="19"/>
        </w:rPr>
        <w:t>activities,</w:t>
      </w:r>
      <w:r>
        <w:rPr>
          <w:color w:val="231F20"/>
          <w:spacing w:val="-1"/>
          <w:w w:val="110"/>
          <w:sz w:val="19"/>
        </w:rPr>
        <w:t> </w:t>
      </w:r>
      <w:r>
        <w:rPr>
          <w:color w:val="231F20"/>
          <w:w w:val="110"/>
          <w:sz w:val="19"/>
        </w:rPr>
        <w:t>resources</w:t>
      </w:r>
      <w:r>
        <w:rPr>
          <w:color w:val="231F20"/>
          <w:spacing w:val="-1"/>
          <w:w w:val="110"/>
          <w:sz w:val="19"/>
        </w:rPr>
        <w:t> </w:t>
      </w:r>
      <w:r>
        <w:rPr>
          <w:color w:val="231F20"/>
          <w:w w:val="110"/>
          <w:sz w:val="19"/>
        </w:rPr>
        <w:t>needed,</w:t>
      </w:r>
      <w:r>
        <w:rPr>
          <w:color w:val="231F20"/>
          <w:spacing w:val="-2"/>
          <w:w w:val="110"/>
          <w:sz w:val="19"/>
        </w:rPr>
        <w:t> responsibilities.</w:t>
      </w:r>
    </w:p>
    <w:p>
      <w:pPr>
        <w:pStyle w:val="ListParagraph"/>
        <w:numPr>
          <w:ilvl w:val="0"/>
          <w:numId w:val="25"/>
        </w:numPr>
        <w:tabs>
          <w:tab w:pos="1611" w:val="left" w:leader="none"/>
        </w:tabs>
        <w:spacing w:line="240" w:lineRule="auto" w:before="81" w:after="0"/>
        <w:ind w:left="1610" w:right="0" w:hanging="224"/>
        <w:jc w:val="left"/>
        <w:rPr>
          <w:sz w:val="19"/>
        </w:rPr>
      </w:pPr>
      <w:r>
        <w:rPr>
          <w:color w:val="231F20"/>
          <w:w w:val="115"/>
          <w:sz w:val="19"/>
        </w:rPr>
        <w:t>Set</w:t>
      </w:r>
      <w:r>
        <w:rPr>
          <w:color w:val="231F20"/>
          <w:spacing w:val="-12"/>
          <w:w w:val="115"/>
          <w:sz w:val="19"/>
        </w:rPr>
        <w:t> </w:t>
      </w:r>
      <w:r>
        <w:rPr>
          <w:color w:val="231F20"/>
          <w:w w:val="115"/>
          <w:sz w:val="19"/>
        </w:rPr>
        <w:t>a</w:t>
      </w:r>
      <w:r>
        <w:rPr>
          <w:color w:val="231F20"/>
          <w:spacing w:val="-11"/>
          <w:w w:val="115"/>
          <w:sz w:val="19"/>
        </w:rPr>
        <w:t> </w:t>
      </w:r>
      <w:r>
        <w:rPr>
          <w:color w:val="231F20"/>
          <w:w w:val="115"/>
          <w:sz w:val="19"/>
        </w:rPr>
        <w:t>timetable</w:t>
      </w:r>
      <w:r>
        <w:rPr>
          <w:color w:val="231F20"/>
          <w:spacing w:val="-11"/>
          <w:w w:val="115"/>
          <w:sz w:val="19"/>
        </w:rPr>
        <w:t> </w:t>
      </w:r>
      <w:r>
        <w:rPr>
          <w:color w:val="231F20"/>
          <w:w w:val="115"/>
          <w:sz w:val="19"/>
        </w:rPr>
        <w:t>for</w:t>
      </w:r>
      <w:r>
        <w:rPr>
          <w:color w:val="231F20"/>
          <w:spacing w:val="-11"/>
          <w:w w:val="115"/>
          <w:sz w:val="19"/>
        </w:rPr>
        <w:t> </w:t>
      </w:r>
      <w:r>
        <w:rPr>
          <w:color w:val="231F20"/>
          <w:spacing w:val="-2"/>
          <w:w w:val="115"/>
          <w:sz w:val="19"/>
        </w:rPr>
        <w:t>action.</w:t>
      </w:r>
    </w:p>
    <w:p>
      <w:pPr>
        <w:pStyle w:val="ListParagraph"/>
        <w:numPr>
          <w:ilvl w:val="0"/>
          <w:numId w:val="25"/>
        </w:numPr>
        <w:tabs>
          <w:tab w:pos="1611" w:val="left" w:leader="none"/>
        </w:tabs>
        <w:spacing w:line="240" w:lineRule="auto" w:before="82" w:after="0"/>
        <w:ind w:left="1610" w:right="0" w:hanging="234"/>
        <w:jc w:val="left"/>
        <w:rPr>
          <w:sz w:val="19"/>
        </w:rPr>
      </w:pPr>
      <w:r>
        <w:rPr>
          <w:color w:val="231F20"/>
          <w:w w:val="110"/>
          <w:sz w:val="19"/>
        </w:rPr>
        <w:t>Forecast</w:t>
      </w:r>
      <w:r>
        <w:rPr>
          <w:color w:val="231F20"/>
          <w:spacing w:val="7"/>
          <w:w w:val="110"/>
          <w:sz w:val="19"/>
        </w:rPr>
        <w:t> </w:t>
      </w:r>
      <w:r>
        <w:rPr>
          <w:color w:val="231F20"/>
          <w:w w:val="110"/>
          <w:sz w:val="19"/>
        </w:rPr>
        <w:t>outcomes,</w:t>
      </w:r>
      <w:r>
        <w:rPr>
          <w:color w:val="231F20"/>
          <w:spacing w:val="8"/>
          <w:w w:val="110"/>
          <w:sz w:val="19"/>
        </w:rPr>
        <w:t> </w:t>
      </w:r>
      <w:r>
        <w:rPr>
          <w:color w:val="231F20"/>
          <w:w w:val="110"/>
          <w:sz w:val="19"/>
        </w:rPr>
        <w:t>develop</w:t>
      </w:r>
      <w:r>
        <w:rPr>
          <w:color w:val="231F20"/>
          <w:spacing w:val="8"/>
          <w:w w:val="110"/>
          <w:sz w:val="19"/>
        </w:rPr>
        <w:t> </w:t>
      </w:r>
      <w:r>
        <w:rPr>
          <w:color w:val="231F20"/>
          <w:spacing w:val="-2"/>
          <w:w w:val="110"/>
          <w:sz w:val="19"/>
        </w:rPr>
        <w:t>contingencies.</w:t>
      </w:r>
    </w:p>
    <w:p>
      <w:pPr>
        <w:pStyle w:val="ListParagraph"/>
        <w:numPr>
          <w:ilvl w:val="0"/>
          <w:numId w:val="25"/>
        </w:numPr>
        <w:tabs>
          <w:tab w:pos="1610" w:val="left" w:leader="none"/>
        </w:tabs>
        <w:spacing w:line="240" w:lineRule="auto" w:before="81" w:after="0"/>
        <w:ind w:left="1609" w:right="0" w:hanging="222"/>
        <w:jc w:val="left"/>
        <w:rPr>
          <w:i/>
          <w:sz w:val="19"/>
        </w:rPr>
      </w:pPr>
      <w:r>
        <w:rPr>
          <w:color w:val="231F20"/>
          <w:spacing w:val="-2"/>
          <w:w w:val="115"/>
          <w:sz w:val="19"/>
        </w:rPr>
        <w:t>Formulate</w:t>
      </w:r>
      <w:r>
        <w:rPr>
          <w:color w:val="231F20"/>
          <w:spacing w:val="-7"/>
          <w:w w:val="115"/>
          <w:sz w:val="19"/>
        </w:rPr>
        <w:t> </w:t>
      </w:r>
      <w:r>
        <w:rPr>
          <w:color w:val="231F20"/>
          <w:spacing w:val="-2"/>
          <w:w w:val="115"/>
          <w:sz w:val="19"/>
        </w:rPr>
        <w:t>a</w:t>
      </w:r>
      <w:r>
        <w:rPr>
          <w:color w:val="231F20"/>
          <w:spacing w:val="-7"/>
          <w:w w:val="115"/>
          <w:sz w:val="19"/>
        </w:rPr>
        <w:t> </w:t>
      </w:r>
      <w:r>
        <w:rPr>
          <w:color w:val="231F20"/>
          <w:spacing w:val="-2"/>
          <w:w w:val="115"/>
          <w:sz w:val="19"/>
        </w:rPr>
        <w:t>detailed</w:t>
      </w:r>
      <w:r>
        <w:rPr>
          <w:color w:val="231F20"/>
          <w:spacing w:val="-6"/>
          <w:w w:val="115"/>
          <w:sz w:val="19"/>
        </w:rPr>
        <w:t> </w:t>
      </w:r>
      <w:r>
        <w:rPr>
          <w:color w:val="231F20"/>
          <w:spacing w:val="-2"/>
          <w:w w:val="115"/>
          <w:sz w:val="19"/>
        </w:rPr>
        <w:t>plan</w:t>
      </w:r>
      <w:r>
        <w:rPr>
          <w:color w:val="231F20"/>
          <w:spacing w:val="-7"/>
          <w:w w:val="115"/>
          <w:sz w:val="19"/>
        </w:rPr>
        <w:t> </w:t>
      </w:r>
      <w:r>
        <w:rPr>
          <w:color w:val="231F20"/>
          <w:spacing w:val="-2"/>
          <w:w w:val="115"/>
          <w:sz w:val="19"/>
        </w:rPr>
        <w:t>of</w:t>
      </w:r>
      <w:r>
        <w:rPr>
          <w:color w:val="231F20"/>
          <w:spacing w:val="-6"/>
          <w:w w:val="115"/>
          <w:sz w:val="19"/>
        </w:rPr>
        <w:t> </w:t>
      </w:r>
      <w:r>
        <w:rPr>
          <w:color w:val="231F20"/>
          <w:spacing w:val="-2"/>
          <w:w w:val="115"/>
          <w:sz w:val="19"/>
        </w:rPr>
        <w:t>action</w:t>
      </w:r>
      <w:r>
        <w:rPr>
          <w:color w:val="231F20"/>
          <w:spacing w:val="-7"/>
          <w:w w:val="115"/>
          <w:sz w:val="19"/>
        </w:rPr>
        <w:t> </w:t>
      </w:r>
      <w:r>
        <w:rPr>
          <w:i/>
          <w:color w:val="231F20"/>
          <w:spacing w:val="-2"/>
          <w:w w:val="115"/>
          <w:sz w:val="19"/>
        </w:rPr>
        <w:t>in</w:t>
      </w:r>
      <w:r>
        <w:rPr>
          <w:i/>
          <w:color w:val="231F20"/>
          <w:spacing w:val="-7"/>
          <w:w w:val="115"/>
          <w:sz w:val="19"/>
        </w:rPr>
        <w:t> </w:t>
      </w:r>
      <w:r>
        <w:rPr>
          <w:i/>
          <w:color w:val="231F20"/>
          <w:spacing w:val="-2"/>
          <w:w w:val="115"/>
          <w:sz w:val="19"/>
        </w:rPr>
        <w:t>time</w:t>
      </w:r>
      <w:r>
        <w:rPr>
          <w:i/>
          <w:color w:val="231F20"/>
          <w:spacing w:val="-6"/>
          <w:w w:val="115"/>
          <w:sz w:val="19"/>
        </w:rPr>
        <w:t> </w:t>
      </w:r>
      <w:r>
        <w:rPr>
          <w:i/>
          <w:color w:val="231F20"/>
          <w:spacing w:val="-2"/>
          <w:w w:val="115"/>
          <w:sz w:val="19"/>
        </w:rPr>
        <w:t>sequence.</w:t>
      </w:r>
    </w:p>
    <w:p>
      <w:pPr>
        <w:pStyle w:val="ListParagraph"/>
        <w:numPr>
          <w:ilvl w:val="0"/>
          <w:numId w:val="25"/>
        </w:numPr>
        <w:tabs>
          <w:tab w:pos="1611" w:val="left" w:leader="none"/>
        </w:tabs>
        <w:spacing w:line="328" w:lineRule="auto" w:before="82" w:after="0"/>
        <w:ind w:left="1609" w:right="663" w:hanging="229"/>
        <w:jc w:val="left"/>
        <w:rPr>
          <w:sz w:val="19"/>
        </w:rPr>
      </w:pPr>
      <w:r>
        <w:rPr>
          <w:color w:val="231F20"/>
          <w:w w:val="110"/>
          <w:sz w:val="19"/>
        </w:rPr>
        <w:t>Implement,</w:t>
      </w:r>
      <w:r>
        <w:rPr>
          <w:color w:val="231F20"/>
          <w:spacing w:val="40"/>
          <w:w w:val="110"/>
          <w:sz w:val="19"/>
        </w:rPr>
        <w:t> </w:t>
      </w:r>
      <w:r>
        <w:rPr>
          <w:color w:val="231F20"/>
          <w:w w:val="110"/>
          <w:sz w:val="19"/>
        </w:rPr>
        <w:t>supervise</w:t>
      </w:r>
      <w:r>
        <w:rPr>
          <w:color w:val="231F20"/>
          <w:spacing w:val="40"/>
          <w:w w:val="110"/>
          <w:sz w:val="19"/>
        </w:rPr>
        <w:t> </w:t>
      </w:r>
      <w:r>
        <w:rPr>
          <w:color w:val="231F20"/>
          <w:w w:val="110"/>
          <w:sz w:val="19"/>
        </w:rPr>
        <w:t>execution,</w:t>
      </w:r>
      <w:r>
        <w:rPr>
          <w:color w:val="231F20"/>
          <w:spacing w:val="40"/>
          <w:w w:val="110"/>
          <w:sz w:val="19"/>
        </w:rPr>
        <w:t> </w:t>
      </w:r>
      <w:r>
        <w:rPr>
          <w:color w:val="231F20"/>
          <w:w w:val="110"/>
          <w:sz w:val="19"/>
        </w:rPr>
        <w:t>and</w:t>
      </w:r>
      <w:r>
        <w:rPr>
          <w:color w:val="231F20"/>
          <w:spacing w:val="40"/>
          <w:w w:val="110"/>
          <w:sz w:val="19"/>
        </w:rPr>
        <w:t> </w:t>
      </w:r>
      <w:r>
        <w:rPr>
          <w:color w:val="231F20"/>
          <w:w w:val="110"/>
          <w:sz w:val="19"/>
        </w:rPr>
        <w:t>evaluate</w:t>
      </w:r>
      <w:r>
        <w:rPr>
          <w:color w:val="231F20"/>
          <w:spacing w:val="40"/>
          <w:w w:val="110"/>
          <w:sz w:val="19"/>
        </w:rPr>
        <w:t> </w:t>
      </w:r>
      <w:r>
        <w:rPr>
          <w:color w:val="231F20"/>
          <w:w w:val="110"/>
          <w:sz w:val="19"/>
        </w:rPr>
        <w:t>based</w:t>
      </w:r>
      <w:r>
        <w:rPr>
          <w:color w:val="231F20"/>
          <w:spacing w:val="40"/>
          <w:w w:val="110"/>
          <w:sz w:val="19"/>
        </w:rPr>
        <w:t> </w:t>
      </w:r>
      <w:r>
        <w:rPr>
          <w:color w:val="231F20"/>
          <w:w w:val="110"/>
          <w:sz w:val="19"/>
        </w:rPr>
        <w:t>on goals in step one.</w:t>
      </w:r>
    </w:p>
    <w:p>
      <w:pPr>
        <w:pStyle w:val="BodyText"/>
        <w:spacing w:before="4"/>
        <w:rPr>
          <w:rFonts w:ascii="Arial"/>
          <w:sz w:val="24"/>
        </w:rPr>
      </w:pPr>
    </w:p>
    <w:p>
      <w:pPr>
        <w:pStyle w:val="BodyText"/>
        <w:spacing w:line="292" w:lineRule="auto"/>
        <w:ind w:left="920" w:right="666" w:firstLine="340"/>
        <w:jc w:val="both"/>
      </w:pPr>
      <w:r>
        <w:rPr>
          <w:color w:val="231F20"/>
        </w:rPr>
        <w:t>As</w:t>
      </w:r>
      <w:r>
        <w:rPr>
          <w:color w:val="231F20"/>
          <w:spacing w:val="30"/>
        </w:rPr>
        <w:t> </w:t>
      </w:r>
      <w:r>
        <w:rPr>
          <w:color w:val="231F20"/>
        </w:rPr>
        <w:t>you</w:t>
      </w:r>
      <w:r>
        <w:rPr>
          <w:color w:val="231F20"/>
          <w:spacing w:val="30"/>
        </w:rPr>
        <w:t> </w:t>
      </w:r>
      <w:r>
        <w:rPr>
          <w:color w:val="231F20"/>
        </w:rPr>
        <w:t>can</w:t>
      </w:r>
      <w:r>
        <w:rPr>
          <w:color w:val="231F20"/>
          <w:spacing w:val="30"/>
        </w:rPr>
        <w:t> </w:t>
      </w:r>
      <w:r>
        <w:rPr>
          <w:color w:val="231F20"/>
        </w:rPr>
        <w:t>imagine,</w:t>
      </w:r>
      <w:r>
        <w:rPr>
          <w:color w:val="231F20"/>
          <w:spacing w:val="30"/>
        </w:rPr>
        <w:t> </w:t>
      </w:r>
      <w:r>
        <w:rPr>
          <w:color w:val="231F20"/>
        </w:rPr>
        <w:t>solving</w:t>
      </w:r>
      <w:r>
        <w:rPr>
          <w:color w:val="231F20"/>
          <w:spacing w:val="30"/>
        </w:rPr>
        <w:t> </w:t>
      </w:r>
      <w:r>
        <w:rPr>
          <w:color w:val="231F20"/>
        </w:rPr>
        <w:t>problems</w:t>
      </w:r>
      <w:r>
        <w:rPr>
          <w:color w:val="231F20"/>
          <w:spacing w:val="30"/>
        </w:rPr>
        <w:t> </w:t>
      </w:r>
      <w:r>
        <w:rPr>
          <w:color w:val="231F20"/>
        </w:rPr>
        <w:t>MBA-style</w:t>
      </w:r>
      <w:r>
        <w:rPr>
          <w:color w:val="231F20"/>
          <w:spacing w:val="30"/>
        </w:rPr>
        <w:t> </w:t>
      </w:r>
      <w:r>
        <w:rPr>
          <w:color w:val="231F20"/>
        </w:rPr>
        <w:t>is</w:t>
      </w:r>
      <w:r>
        <w:rPr>
          <w:color w:val="231F20"/>
          <w:spacing w:val="30"/>
        </w:rPr>
        <w:t> </w:t>
      </w:r>
      <w:r>
        <w:rPr>
          <w:color w:val="231F20"/>
        </w:rPr>
        <w:t>not</w:t>
      </w:r>
      <w:r>
        <w:rPr>
          <w:color w:val="231F20"/>
          <w:spacing w:val="30"/>
        </w:rPr>
        <w:t> </w:t>
      </w:r>
      <w:r>
        <w:rPr>
          <w:color w:val="231F20"/>
        </w:rPr>
        <w:t>simple. It requires time and effort. To add to your MBA vocabulary, you should refer to your menu of possible actions as </w:t>
      </w:r>
      <w:r>
        <w:rPr>
          <w:i/>
          <w:color w:val="231F20"/>
        </w:rPr>
        <w:t>action levers. </w:t>
      </w:r>
      <w:r>
        <w:rPr>
          <w:color w:val="231F20"/>
        </w:rPr>
        <w:t>This sounds forceful and progressive. An action lever may be a reward, a control, or a planning system.</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4" w:firstLine="340"/>
        <w:jc w:val="both"/>
      </w:pPr>
      <w:r>
        <w:rPr>
          <w:color w:val="231F20"/>
        </w:rPr>
        <w:t>The idea behind OB is to train MBAs to avoid tactical errors </w:t>
      </w:r>
      <w:r>
        <w:rPr>
          <w:color w:val="231F20"/>
        </w:rPr>
        <w:t>be- cause they failed to take into consideration the people involved.</w:t>
      </w:r>
      <w:r>
        <w:rPr>
          <w:color w:val="231F20"/>
          <w:spacing w:val="80"/>
        </w:rPr>
        <w:t> </w:t>
      </w:r>
      <w:r>
        <w:rPr>
          <w:color w:val="231F20"/>
        </w:rPr>
        <w:t>With a framework to tackle challenges, the MBA curriculum incul- cates in its students the theories and methods of the day so that they can use them.</w:t>
      </w:r>
    </w:p>
    <w:p>
      <w:pPr>
        <w:pStyle w:val="BodyText"/>
        <w:rPr>
          <w:sz w:val="24"/>
        </w:rPr>
      </w:pPr>
    </w:p>
    <w:p>
      <w:pPr>
        <w:pStyle w:val="BodyText"/>
        <w:spacing w:before="9"/>
        <w:rPr>
          <w:sz w:val="24"/>
        </w:rPr>
      </w:pPr>
    </w:p>
    <w:p>
      <w:pPr>
        <w:pStyle w:val="Heading4"/>
        <w:ind w:left="300"/>
      </w:pPr>
      <w:r>
        <w:rPr>
          <w:color w:val="231F20"/>
          <w:spacing w:val="9"/>
          <w:w w:val="85"/>
        </w:rPr>
        <w:t>INDIVIDUAL</w:t>
      </w:r>
      <w:r>
        <w:rPr>
          <w:color w:val="231F20"/>
          <w:spacing w:val="16"/>
        </w:rPr>
        <w:t> </w:t>
      </w:r>
      <w:r>
        <w:rPr>
          <w:color w:val="231F20"/>
          <w:w w:val="85"/>
        </w:rPr>
        <w:t>AND</w:t>
      </w:r>
      <w:r>
        <w:rPr>
          <w:color w:val="231F20"/>
          <w:spacing w:val="16"/>
        </w:rPr>
        <w:t> </w:t>
      </w:r>
      <w:r>
        <w:rPr>
          <w:color w:val="231F20"/>
          <w:spacing w:val="9"/>
          <w:w w:val="85"/>
        </w:rPr>
        <w:t>ORGANIZATIONAL</w:t>
      </w:r>
      <w:r>
        <w:rPr>
          <w:color w:val="231F20"/>
          <w:spacing w:val="16"/>
        </w:rPr>
        <w:t> </w:t>
      </w:r>
      <w:r>
        <w:rPr>
          <w:color w:val="231F20"/>
          <w:w w:val="85"/>
        </w:rPr>
        <w:t>LEVEL</w:t>
      </w:r>
      <w:r>
        <w:rPr>
          <w:color w:val="231F20"/>
          <w:spacing w:val="16"/>
        </w:rPr>
        <w:t> </w:t>
      </w:r>
      <w:r>
        <w:rPr>
          <w:color w:val="231F20"/>
          <w:w w:val="85"/>
        </w:rPr>
        <w:t>OB</w:t>
      </w:r>
      <w:r>
        <w:rPr>
          <w:color w:val="231F20"/>
          <w:spacing w:val="17"/>
        </w:rPr>
        <w:t> </w:t>
      </w:r>
      <w:r>
        <w:rPr>
          <w:color w:val="231F20"/>
          <w:spacing w:val="8"/>
          <w:w w:val="85"/>
        </w:rPr>
        <w:t>TOPICS</w:t>
      </w:r>
    </w:p>
    <w:p>
      <w:pPr>
        <w:pStyle w:val="BodyText"/>
        <w:spacing w:before="10"/>
        <w:rPr>
          <w:rFonts w:ascii="Trebuchet MS"/>
          <w:sz w:val="29"/>
        </w:rPr>
      </w:pPr>
    </w:p>
    <w:p>
      <w:pPr>
        <w:pStyle w:val="BodyText"/>
        <w:spacing w:line="292" w:lineRule="auto" w:before="1"/>
        <w:ind w:left="830" w:right="753"/>
        <w:jc w:val="both"/>
      </w:pPr>
      <w:r>
        <w:rPr>
          <w:color w:val="231F20"/>
        </w:rPr>
        <w:t>The previous discussion covered the frameworks used to analyze a problem and implement a solution. The next sections deal with the topics that provide the background for that process. The MBA </w:t>
      </w:r>
      <w:r>
        <w:rPr>
          <w:color w:val="231F20"/>
        </w:rPr>
        <w:t>cur- riculum logically starts with the theories and topics that deal with</w:t>
      </w:r>
      <w:r>
        <w:rPr>
          <w:color w:val="231F20"/>
          <w:spacing w:val="80"/>
        </w:rPr>
        <w:t> </w:t>
      </w:r>
      <w:r>
        <w:rPr>
          <w:color w:val="231F20"/>
        </w:rPr>
        <w:t>the individual, then builds to larger organizational issues that be- come</w:t>
      </w:r>
      <w:r>
        <w:rPr>
          <w:color w:val="231F20"/>
          <w:spacing w:val="40"/>
        </w:rPr>
        <w:t> </w:t>
      </w:r>
      <w:r>
        <w:rPr>
          <w:color w:val="231F20"/>
        </w:rPr>
        <w:t>progressively</w:t>
      </w:r>
      <w:r>
        <w:rPr>
          <w:color w:val="231F20"/>
          <w:spacing w:val="40"/>
        </w:rPr>
        <w:t> </w:t>
      </w:r>
      <w:r>
        <w:rPr>
          <w:color w:val="231F20"/>
        </w:rPr>
        <w:t>complex</w:t>
      </w:r>
      <w:r>
        <w:rPr>
          <w:color w:val="231F20"/>
          <w:spacing w:val="40"/>
        </w:rPr>
        <w:t> </w:t>
      </w:r>
      <w:r>
        <w:rPr>
          <w:color w:val="231F20"/>
        </w:rPr>
        <w:t>with</w:t>
      </w:r>
      <w:r>
        <w:rPr>
          <w:color w:val="231F20"/>
          <w:spacing w:val="40"/>
        </w:rPr>
        <w:t> </w:t>
      </w:r>
      <w:r>
        <w:rPr>
          <w:color w:val="231F20"/>
        </w:rPr>
        <w:t>the</w:t>
      </w:r>
      <w:r>
        <w:rPr>
          <w:color w:val="231F20"/>
          <w:spacing w:val="40"/>
        </w:rPr>
        <w:t> </w:t>
      </w:r>
      <w:r>
        <w:rPr>
          <w:color w:val="231F20"/>
        </w:rPr>
        <w:t>addition</w:t>
      </w:r>
      <w:r>
        <w:rPr>
          <w:color w:val="231F20"/>
          <w:spacing w:val="40"/>
        </w:rPr>
        <w:t> </w:t>
      </w:r>
      <w:r>
        <w:rPr>
          <w:color w:val="231F20"/>
        </w:rPr>
        <w:t>of</w:t>
      </w:r>
      <w:r>
        <w:rPr>
          <w:color w:val="231F20"/>
          <w:spacing w:val="40"/>
        </w:rPr>
        <w:t> </w:t>
      </w:r>
      <w:r>
        <w:rPr>
          <w:color w:val="231F20"/>
        </w:rPr>
        <w:t>more</w:t>
      </w:r>
      <w:r>
        <w:rPr>
          <w:color w:val="231F20"/>
          <w:spacing w:val="40"/>
        </w:rPr>
        <w:t> </w:t>
      </w:r>
      <w:r>
        <w:rPr>
          <w:color w:val="231F20"/>
        </w:rPr>
        <w:t>people. Along the way, students are asked to apply their newly acquired</w:t>
      </w:r>
      <w:r>
        <w:rPr>
          <w:color w:val="231F20"/>
          <w:spacing w:val="40"/>
        </w:rPr>
        <w:t> </w:t>
      </w:r>
      <w:r>
        <w:rPr>
          <w:color w:val="231F20"/>
        </w:rPr>
        <w:t>skills to analyze and plan solutions to increasingly complex and challenging case situations.</w:t>
      </w:r>
    </w:p>
    <w:p>
      <w:pPr>
        <w:pStyle w:val="BodyText"/>
        <w:rPr>
          <w:sz w:val="24"/>
        </w:rPr>
      </w:pPr>
    </w:p>
    <w:p>
      <w:pPr>
        <w:pStyle w:val="BodyText"/>
        <w:spacing w:before="10"/>
        <w:rPr>
          <w:sz w:val="26"/>
        </w:rPr>
      </w:pPr>
    </w:p>
    <w:p>
      <w:pPr>
        <w:pStyle w:val="Heading6"/>
        <w:ind w:left="299"/>
        <w:rPr>
          <w:i/>
        </w:rPr>
      </w:pPr>
      <w:r>
        <w:rPr>
          <w:i/>
          <w:color w:val="231F20"/>
          <w:w w:val="110"/>
        </w:rPr>
        <w:t>THE</w:t>
      </w:r>
      <w:r>
        <w:rPr>
          <w:i/>
          <w:color w:val="231F20"/>
          <w:spacing w:val="69"/>
          <w:w w:val="110"/>
        </w:rPr>
        <w:t> </w:t>
      </w:r>
      <w:r>
        <w:rPr>
          <w:i/>
          <w:color w:val="231F20"/>
          <w:w w:val="110"/>
        </w:rPr>
        <w:t>MBA</w:t>
      </w:r>
      <w:r>
        <w:rPr>
          <w:i/>
          <w:color w:val="231F20"/>
          <w:spacing w:val="70"/>
          <w:w w:val="110"/>
        </w:rPr>
        <w:t> </w:t>
      </w:r>
      <w:r>
        <w:rPr>
          <w:i/>
          <w:color w:val="231F20"/>
          <w:w w:val="110"/>
        </w:rPr>
        <w:t>PSYCHOLOGY</w:t>
      </w:r>
      <w:r>
        <w:rPr>
          <w:i/>
          <w:color w:val="231F20"/>
          <w:spacing w:val="70"/>
          <w:w w:val="110"/>
        </w:rPr>
        <w:t> </w:t>
      </w:r>
      <w:r>
        <w:rPr>
          <w:i/>
          <w:color w:val="231F20"/>
          <w:w w:val="110"/>
        </w:rPr>
        <w:t>LESSON:</w:t>
      </w:r>
      <w:r>
        <w:rPr>
          <w:i/>
          <w:color w:val="231F20"/>
          <w:spacing w:val="70"/>
          <w:w w:val="110"/>
        </w:rPr>
        <w:t> </w:t>
      </w:r>
      <w:r>
        <w:rPr>
          <w:i/>
          <w:color w:val="231F20"/>
          <w:w w:val="110"/>
        </w:rPr>
        <w:t>THE</w:t>
      </w:r>
      <w:r>
        <w:rPr>
          <w:i/>
          <w:color w:val="231F20"/>
          <w:spacing w:val="70"/>
          <w:w w:val="110"/>
        </w:rPr>
        <w:t> </w:t>
      </w:r>
      <w:r>
        <w:rPr>
          <w:i/>
          <w:color w:val="231F20"/>
          <w:w w:val="110"/>
        </w:rPr>
        <w:t>APCFB</w:t>
      </w:r>
      <w:r>
        <w:rPr>
          <w:i/>
          <w:color w:val="231F20"/>
          <w:spacing w:val="70"/>
          <w:w w:val="110"/>
        </w:rPr>
        <w:t> </w:t>
      </w:r>
      <w:r>
        <w:rPr>
          <w:i/>
          <w:color w:val="231F20"/>
          <w:spacing w:val="6"/>
          <w:w w:val="110"/>
        </w:rPr>
        <w:t>MODEL</w:t>
      </w:r>
    </w:p>
    <w:p>
      <w:pPr>
        <w:pStyle w:val="BodyText"/>
        <w:spacing w:before="2"/>
        <w:rPr>
          <w:b/>
          <w:i/>
          <w:sz w:val="30"/>
        </w:rPr>
      </w:pPr>
    </w:p>
    <w:p>
      <w:pPr>
        <w:pStyle w:val="BodyText"/>
        <w:spacing w:line="292" w:lineRule="auto"/>
        <w:ind w:left="829" w:right="756"/>
        <w:jc w:val="both"/>
      </w:pPr>
      <w:r>
        <w:rPr>
          <w:color w:val="231F20"/>
        </w:rPr>
        <w:t>In</w:t>
      </w:r>
      <w:r>
        <w:rPr>
          <w:color w:val="231F20"/>
          <w:spacing w:val="18"/>
        </w:rPr>
        <w:t> </w:t>
      </w:r>
      <w:r>
        <w:rPr>
          <w:color w:val="231F20"/>
        </w:rPr>
        <w:t>the</w:t>
      </w:r>
      <w:r>
        <w:rPr>
          <w:color w:val="231F20"/>
          <w:spacing w:val="18"/>
        </w:rPr>
        <w:t> </w:t>
      </w:r>
      <w:r>
        <w:rPr>
          <w:color w:val="231F20"/>
        </w:rPr>
        <w:t>effort</w:t>
      </w:r>
      <w:r>
        <w:rPr>
          <w:color w:val="231F20"/>
          <w:spacing w:val="18"/>
        </w:rPr>
        <w:t> </w:t>
      </w:r>
      <w:r>
        <w:rPr>
          <w:color w:val="231F20"/>
        </w:rPr>
        <w:t>to</w:t>
      </w:r>
      <w:r>
        <w:rPr>
          <w:color w:val="231F20"/>
          <w:spacing w:val="18"/>
        </w:rPr>
        <w:t> </w:t>
      </w:r>
      <w:r>
        <w:rPr>
          <w:color w:val="231F20"/>
        </w:rPr>
        <w:t>gain</w:t>
      </w:r>
      <w:r>
        <w:rPr>
          <w:color w:val="231F20"/>
          <w:spacing w:val="18"/>
        </w:rPr>
        <w:t> </w:t>
      </w:r>
      <w:r>
        <w:rPr>
          <w:color w:val="231F20"/>
        </w:rPr>
        <w:t>an</w:t>
      </w:r>
      <w:r>
        <w:rPr>
          <w:color w:val="231F20"/>
          <w:spacing w:val="18"/>
        </w:rPr>
        <w:t> </w:t>
      </w:r>
      <w:r>
        <w:rPr>
          <w:color w:val="231F20"/>
        </w:rPr>
        <w:t>insight</w:t>
      </w:r>
      <w:r>
        <w:rPr>
          <w:color w:val="231F20"/>
          <w:spacing w:val="18"/>
        </w:rPr>
        <w:t> </w:t>
      </w:r>
      <w:r>
        <w:rPr>
          <w:color w:val="231F20"/>
        </w:rPr>
        <w:t>into</w:t>
      </w:r>
      <w:r>
        <w:rPr>
          <w:color w:val="231F20"/>
          <w:spacing w:val="18"/>
        </w:rPr>
        <w:t> </w:t>
      </w:r>
      <w:r>
        <w:rPr>
          <w:color w:val="231F20"/>
        </w:rPr>
        <w:t>why</w:t>
      </w:r>
      <w:r>
        <w:rPr>
          <w:color w:val="231F20"/>
          <w:spacing w:val="18"/>
        </w:rPr>
        <w:t> </w:t>
      </w:r>
      <w:r>
        <w:rPr>
          <w:color w:val="231F20"/>
        </w:rPr>
        <w:t>people</w:t>
      </w:r>
      <w:r>
        <w:rPr>
          <w:color w:val="231F20"/>
          <w:spacing w:val="18"/>
        </w:rPr>
        <w:t> </w:t>
      </w:r>
      <w:r>
        <w:rPr>
          <w:color w:val="231F20"/>
        </w:rPr>
        <w:t>act</w:t>
      </w:r>
      <w:r>
        <w:rPr>
          <w:color w:val="231F20"/>
          <w:spacing w:val="18"/>
        </w:rPr>
        <w:t> </w:t>
      </w:r>
      <w:r>
        <w:rPr>
          <w:color w:val="231F20"/>
        </w:rPr>
        <w:t>the</w:t>
      </w:r>
      <w:r>
        <w:rPr>
          <w:color w:val="231F20"/>
          <w:spacing w:val="18"/>
        </w:rPr>
        <w:t> </w:t>
      </w:r>
      <w:r>
        <w:rPr>
          <w:color w:val="231F20"/>
        </w:rPr>
        <w:t>way</w:t>
      </w:r>
      <w:r>
        <w:rPr>
          <w:color w:val="231F20"/>
          <w:spacing w:val="18"/>
        </w:rPr>
        <w:t> </w:t>
      </w:r>
      <w:r>
        <w:rPr>
          <w:color w:val="231F20"/>
        </w:rPr>
        <w:t>they</w:t>
      </w:r>
      <w:r>
        <w:rPr>
          <w:color w:val="231F20"/>
          <w:spacing w:val="18"/>
        </w:rPr>
        <w:t> </w:t>
      </w:r>
      <w:r>
        <w:rPr>
          <w:color w:val="231F20"/>
        </w:rPr>
        <w:t>do at work, the MBA curriculum includes some form of the </w:t>
      </w:r>
      <w:r>
        <w:rPr>
          <w:i/>
          <w:color w:val="231F20"/>
        </w:rPr>
        <w:t>APCFB</w:t>
      </w:r>
      <w:r>
        <w:rPr>
          <w:i/>
          <w:color w:val="231F20"/>
          <w:spacing w:val="80"/>
          <w:w w:val="150"/>
        </w:rPr>
        <w:t> </w:t>
      </w:r>
      <w:r>
        <w:rPr>
          <w:i/>
          <w:color w:val="231F20"/>
        </w:rPr>
        <w:t>model </w:t>
      </w:r>
      <w:r>
        <w:rPr>
          <w:color w:val="231F20"/>
        </w:rPr>
        <w:t>pictured here. This model attempts to explain the cognitive process of linking external events to employee behavior. </w:t>
      </w:r>
      <w:r>
        <w:rPr>
          <w:i/>
          <w:color w:val="231F20"/>
        </w:rPr>
        <w:t>Assump-</w:t>
      </w:r>
      <w:r>
        <w:rPr>
          <w:i/>
          <w:color w:val="231F20"/>
        </w:rPr>
        <w:t> tions</w:t>
      </w:r>
      <w:r>
        <w:rPr>
          <w:i/>
          <w:color w:val="231F20"/>
          <w:spacing w:val="40"/>
        </w:rPr>
        <w:t> </w:t>
      </w:r>
      <w:r>
        <w:rPr>
          <w:color w:val="231F20"/>
        </w:rPr>
        <w:t>affect</w:t>
      </w:r>
      <w:r>
        <w:rPr>
          <w:color w:val="231F20"/>
          <w:spacing w:val="40"/>
        </w:rPr>
        <w:t> </w:t>
      </w:r>
      <w:r>
        <w:rPr>
          <w:color w:val="231F20"/>
        </w:rPr>
        <w:t>the</w:t>
      </w:r>
      <w:r>
        <w:rPr>
          <w:color w:val="231F20"/>
          <w:spacing w:val="40"/>
        </w:rPr>
        <w:t> </w:t>
      </w:r>
      <w:r>
        <w:rPr>
          <w:i/>
          <w:color w:val="231F20"/>
        </w:rPr>
        <w:t>perceptions</w:t>
      </w:r>
      <w:r>
        <w:rPr>
          <w:i/>
          <w:color w:val="231F20"/>
          <w:spacing w:val="40"/>
        </w:rPr>
        <w:t> </w:t>
      </w:r>
      <w:r>
        <w:rPr>
          <w:color w:val="231F20"/>
        </w:rPr>
        <w:t>people</w:t>
      </w:r>
      <w:r>
        <w:rPr>
          <w:color w:val="231F20"/>
          <w:spacing w:val="40"/>
        </w:rPr>
        <w:t> </w:t>
      </w:r>
      <w:r>
        <w:rPr>
          <w:color w:val="231F20"/>
        </w:rPr>
        <w:t>have.</w:t>
      </w:r>
      <w:r>
        <w:rPr>
          <w:color w:val="231F20"/>
          <w:spacing w:val="40"/>
        </w:rPr>
        <w:t> </w:t>
      </w:r>
      <w:r>
        <w:rPr>
          <w:color w:val="231F20"/>
        </w:rPr>
        <w:t>Those</w:t>
      </w:r>
      <w:r>
        <w:rPr>
          <w:color w:val="231F20"/>
          <w:spacing w:val="40"/>
        </w:rPr>
        <w:t> </w:t>
      </w:r>
      <w:r>
        <w:rPr>
          <w:color w:val="231F20"/>
        </w:rPr>
        <w:t>perceptions</w:t>
      </w:r>
      <w:r>
        <w:rPr>
          <w:color w:val="231F20"/>
          <w:spacing w:val="40"/>
        </w:rPr>
        <w:t> </w:t>
      </w:r>
      <w:r>
        <w:rPr>
          <w:color w:val="231F20"/>
        </w:rPr>
        <w:t>affect the </w:t>
      </w:r>
      <w:r>
        <w:rPr>
          <w:i/>
          <w:color w:val="231F20"/>
        </w:rPr>
        <w:t>conclusions. </w:t>
      </w:r>
      <w:r>
        <w:rPr>
          <w:color w:val="231F20"/>
        </w:rPr>
        <w:t>And those conclusions prompt </w:t>
      </w:r>
      <w:r>
        <w:rPr>
          <w:i/>
          <w:color w:val="231F20"/>
        </w:rPr>
        <w:t>feelings. </w:t>
      </w:r>
      <w:r>
        <w:rPr>
          <w:color w:val="231F20"/>
        </w:rPr>
        <w:t>Ultimately those feelings drive </w:t>
      </w:r>
      <w:r>
        <w:rPr>
          <w:i/>
          <w:color w:val="231F20"/>
        </w:rPr>
        <w:t>behaviors </w:t>
      </w:r>
      <w:r>
        <w:rPr>
          <w:color w:val="231F20"/>
        </w:rPr>
        <w:t>that managers observe. By trying to understand this process, MBAs may have a chance to influence posi- tive</w:t>
      </w:r>
      <w:r>
        <w:rPr>
          <w:color w:val="231F20"/>
          <w:spacing w:val="-3"/>
        </w:rPr>
        <w:t> </w:t>
      </w:r>
      <w:r>
        <w:rPr>
          <w:color w:val="231F20"/>
        </w:rPr>
        <w:t>behaviors</w:t>
      </w:r>
      <w:r>
        <w:rPr>
          <w:color w:val="231F20"/>
          <w:spacing w:val="-3"/>
        </w:rPr>
        <w:t> </w:t>
      </w:r>
      <w:r>
        <w:rPr>
          <w:color w:val="231F20"/>
        </w:rPr>
        <w:t>in</w:t>
      </w:r>
      <w:r>
        <w:rPr>
          <w:color w:val="231F20"/>
          <w:spacing w:val="-3"/>
        </w:rPr>
        <w:t> </w:t>
      </w:r>
      <w:r>
        <w:rPr>
          <w:color w:val="231F20"/>
        </w:rPr>
        <w:t>themselves</w:t>
      </w:r>
      <w:r>
        <w:rPr>
          <w:color w:val="231F20"/>
          <w:spacing w:val="-3"/>
        </w:rPr>
        <w:t> </w:t>
      </w:r>
      <w:r>
        <w:rPr>
          <w:color w:val="231F20"/>
        </w:rPr>
        <w:t>as</w:t>
      </w:r>
      <w:r>
        <w:rPr>
          <w:color w:val="231F20"/>
          <w:spacing w:val="-3"/>
        </w:rPr>
        <w:t> </w:t>
      </w:r>
      <w:r>
        <w:rPr>
          <w:color w:val="231F20"/>
        </w:rPr>
        <w:t>well</w:t>
      </w:r>
      <w:r>
        <w:rPr>
          <w:color w:val="231F20"/>
          <w:spacing w:val="-3"/>
        </w:rPr>
        <w:t> </w:t>
      </w:r>
      <w:r>
        <w:rPr>
          <w:color w:val="231F20"/>
        </w:rPr>
        <w:t>as</w:t>
      </w:r>
      <w:r>
        <w:rPr>
          <w:color w:val="231F20"/>
          <w:spacing w:val="-3"/>
        </w:rPr>
        <w:t> </w:t>
      </w:r>
      <w:r>
        <w:rPr>
          <w:color w:val="231F20"/>
        </w:rPr>
        <w:t>in</w:t>
      </w:r>
      <w:r>
        <w:rPr>
          <w:color w:val="231F20"/>
          <w:spacing w:val="-3"/>
        </w:rPr>
        <w:t> </w:t>
      </w:r>
      <w:r>
        <w:rPr>
          <w:color w:val="231F20"/>
        </w:rPr>
        <w:t>their</w:t>
      </w:r>
      <w:r>
        <w:rPr>
          <w:color w:val="231F20"/>
          <w:spacing w:val="-3"/>
        </w:rPr>
        <w:t> </w:t>
      </w:r>
      <w:r>
        <w:rPr>
          <w:color w:val="231F20"/>
        </w:rPr>
        <w:t>coworkers.</w:t>
      </w:r>
      <w:r>
        <w:rPr>
          <w:color w:val="231F20"/>
          <w:spacing w:val="-3"/>
        </w:rPr>
        <w:t> </w:t>
      </w:r>
      <w:r>
        <w:rPr>
          <w:color w:val="231F20"/>
        </w:rPr>
        <w:t>The</w:t>
      </w:r>
      <w:r>
        <w:rPr>
          <w:color w:val="231F20"/>
          <w:spacing w:val="-3"/>
        </w:rPr>
        <w:t> </w:t>
      </w:r>
      <w:r>
        <w:rPr>
          <w:color w:val="231F20"/>
        </w:rPr>
        <w:t>model looks like that on page 125.</w:t>
      </w:r>
    </w:p>
    <w:p>
      <w:pPr>
        <w:pStyle w:val="BodyText"/>
        <w:spacing w:line="292" w:lineRule="auto"/>
        <w:ind w:left="830" w:right="757" w:firstLine="340"/>
        <w:jc w:val="both"/>
      </w:pPr>
      <w:r>
        <w:rPr>
          <w:color w:val="231F20"/>
        </w:rPr>
        <w:t>Given</w:t>
      </w:r>
      <w:r>
        <w:rPr>
          <w:color w:val="231F20"/>
          <w:spacing w:val="40"/>
        </w:rPr>
        <w:t> </w:t>
      </w:r>
      <w:r>
        <w:rPr>
          <w:color w:val="231F20"/>
        </w:rPr>
        <w:t>an</w:t>
      </w:r>
      <w:r>
        <w:rPr>
          <w:color w:val="231F20"/>
          <w:spacing w:val="40"/>
        </w:rPr>
        <w:t> </w:t>
      </w:r>
      <w:r>
        <w:rPr>
          <w:color w:val="231F20"/>
        </w:rPr>
        <w:t>analytical</w:t>
      </w:r>
      <w:r>
        <w:rPr>
          <w:color w:val="231F20"/>
          <w:spacing w:val="40"/>
        </w:rPr>
        <w:t> </w:t>
      </w:r>
      <w:r>
        <w:rPr>
          <w:color w:val="231F20"/>
        </w:rPr>
        <w:t>tool,</w:t>
      </w:r>
      <w:r>
        <w:rPr>
          <w:color w:val="231F20"/>
          <w:spacing w:val="40"/>
        </w:rPr>
        <w:t> </w:t>
      </w:r>
      <w:r>
        <w:rPr>
          <w:color w:val="231F20"/>
        </w:rPr>
        <w:t>MBAs</w:t>
      </w:r>
      <w:r>
        <w:rPr>
          <w:color w:val="231F20"/>
          <w:spacing w:val="40"/>
        </w:rPr>
        <w:t> </w:t>
      </w:r>
      <w:r>
        <w:rPr>
          <w:color w:val="231F20"/>
        </w:rPr>
        <w:t>are</w:t>
      </w:r>
      <w:r>
        <w:rPr>
          <w:color w:val="231F20"/>
          <w:spacing w:val="40"/>
        </w:rPr>
        <w:t> </w:t>
      </w:r>
      <w:r>
        <w:rPr>
          <w:color w:val="231F20"/>
        </w:rPr>
        <w:t>made</w:t>
      </w:r>
      <w:r>
        <w:rPr>
          <w:color w:val="231F20"/>
          <w:spacing w:val="40"/>
        </w:rPr>
        <w:t> </w:t>
      </w:r>
      <w:r>
        <w:rPr>
          <w:color w:val="231F20"/>
        </w:rPr>
        <w:t>to</w:t>
      </w:r>
      <w:r>
        <w:rPr>
          <w:color w:val="231F20"/>
          <w:spacing w:val="40"/>
        </w:rPr>
        <w:t> </w:t>
      </w:r>
      <w:r>
        <w:rPr>
          <w:color w:val="231F20"/>
        </w:rPr>
        <w:t>believe</w:t>
      </w:r>
      <w:r>
        <w:rPr>
          <w:color w:val="231F20"/>
          <w:spacing w:val="40"/>
        </w:rPr>
        <w:t> </w:t>
      </w:r>
      <w:r>
        <w:rPr>
          <w:color w:val="231F20"/>
        </w:rPr>
        <w:t>that</w:t>
      </w:r>
      <w:r>
        <w:rPr>
          <w:color w:val="231F20"/>
          <w:spacing w:val="40"/>
        </w:rPr>
        <w:t> </w:t>
      </w:r>
      <w:r>
        <w:rPr>
          <w:color w:val="231F20"/>
        </w:rPr>
        <w:t>they can understand anything. However, confounding forces within peo- ple prevent perfect communication and understanding. We all see </w:t>
      </w:r>
      <w:r>
        <w:rPr>
          <w:color w:val="231F20"/>
          <w:spacing w:val="-2"/>
        </w:rPr>
        <w:t>through</w:t>
      </w:r>
      <w:r>
        <w:rPr>
          <w:color w:val="231F20"/>
          <w:spacing w:val="-3"/>
        </w:rPr>
        <w:t> </w:t>
      </w:r>
      <w:r>
        <w:rPr>
          <w:i/>
          <w:color w:val="231F20"/>
          <w:spacing w:val="-2"/>
        </w:rPr>
        <w:t>filters</w:t>
      </w:r>
      <w:r>
        <w:rPr>
          <w:i/>
          <w:color w:val="231F20"/>
          <w:spacing w:val="-3"/>
        </w:rPr>
        <w:t> </w:t>
      </w:r>
      <w:r>
        <w:rPr>
          <w:color w:val="231F20"/>
          <w:spacing w:val="-2"/>
        </w:rPr>
        <w:t>that</w:t>
      </w:r>
      <w:r>
        <w:rPr>
          <w:color w:val="231F20"/>
          <w:spacing w:val="-3"/>
        </w:rPr>
        <w:t> </w:t>
      </w:r>
      <w:r>
        <w:rPr>
          <w:color w:val="231F20"/>
          <w:spacing w:val="-2"/>
        </w:rPr>
        <w:t>often</w:t>
      </w:r>
      <w:r>
        <w:rPr>
          <w:color w:val="231F20"/>
          <w:spacing w:val="-3"/>
        </w:rPr>
        <w:t> </w:t>
      </w:r>
      <w:r>
        <w:rPr>
          <w:color w:val="231F20"/>
          <w:spacing w:val="-2"/>
        </w:rPr>
        <w:t>prevent</w:t>
      </w:r>
      <w:r>
        <w:rPr>
          <w:color w:val="231F20"/>
          <w:spacing w:val="-3"/>
        </w:rPr>
        <w:t> </w:t>
      </w:r>
      <w:r>
        <w:rPr>
          <w:color w:val="231F20"/>
          <w:spacing w:val="-2"/>
        </w:rPr>
        <w:t>us</w:t>
      </w:r>
      <w:r>
        <w:rPr>
          <w:color w:val="231F20"/>
          <w:spacing w:val="-3"/>
        </w:rPr>
        <w:t> </w:t>
      </w:r>
      <w:r>
        <w:rPr>
          <w:color w:val="231F20"/>
          <w:spacing w:val="-2"/>
        </w:rPr>
        <w:t>from</w:t>
      </w:r>
      <w:r>
        <w:rPr>
          <w:color w:val="231F20"/>
          <w:spacing w:val="-3"/>
        </w:rPr>
        <w:t> </w:t>
      </w:r>
      <w:r>
        <w:rPr>
          <w:color w:val="231F20"/>
          <w:spacing w:val="-2"/>
        </w:rPr>
        <w:t>perceiving</w:t>
      </w:r>
      <w:r>
        <w:rPr>
          <w:color w:val="231F20"/>
          <w:spacing w:val="-3"/>
        </w:rPr>
        <w:t> </w:t>
      </w:r>
      <w:r>
        <w:rPr>
          <w:color w:val="231F20"/>
          <w:spacing w:val="-2"/>
        </w:rPr>
        <w:t>events</w:t>
      </w:r>
      <w:r>
        <w:rPr>
          <w:color w:val="231F20"/>
          <w:spacing w:val="-3"/>
        </w:rPr>
        <w:t> </w:t>
      </w:r>
      <w:r>
        <w:rPr>
          <w:color w:val="231F20"/>
          <w:spacing w:val="-2"/>
        </w:rPr>
        <w:t>accurately.</w:t>
      </w:r>
    </w:p>
    <w:p>
      <w:pPr>
        <w:spacing w:after="0" w:line="292" w:lineRule="auto"/>
        <w:jc w:val="both"/>
        <w:sectPr>
          <w:pgSz w:w="8640" w:h="12960"/>
          <w:pgMar w:header="732" w:footer="0" w:top="920" w:bottom="280" w:left="340" w:right="500"/>
        </w:sectPr>
      </w:pPr>
    </w:p>
    <w:p>
      <w:pPr>
        <w:pStyle w:val="BodyText"/>
        <w:spacing w:before="8"/>
        <w:rPr>
          <w:sz w:val="19"/>
        </w:rPr>
      </w:pPr>
    </w:p>
    <w:p>
      <w:pPr>
        <w:spacing w:before="96"/>
        <w:ind w:left="473" w:right="219" w:firstLine="0"/>
        <w:jc w:val="center"/>
        <w:rPr>
          <w:rFonts w:ascii="Arial"/>
          <w:sz w:val="14"/>
        </w:rPr>
      </w:pPr>
      <w:r>
        <w:rPr>
          <w:rFonts w:ascii="Arial"/>
          <w:color w:val="231F20"/>
          <w:w w:val="105"/>
          <w:sz w:val="14"/>
        </w:rPr>
        <w:t>THE</w:t>
      </w:r>
      <w:r>
        <w:rPr>
          <w:rFonts w:ascii="Arial"/>
          <w:color w:val="231F20"/>
          <w:spacing w:val="20"/>
          <w:w w:val="105"/>
          <w:sz w:val="14"/>
        </w:rPr>
        <w:t> </w:t>
      </w:r>
      <w:r>
        <w:rPr>
          <w:rFonts w:ascii="Arial"/>
          <w:color w:val="231F20"/>
          <w:w w:val="105"/>
          <w:sz w:val="14"/>
        </w:rPr>
        <w:t>APCFB</w:t>
      </w:r>
      <w:r>
        <w:rPr>
          <w:rFonts w:ascii="Arial"/>
          <w:color w:val="231F20"/>
          <w:spacing w:val="20"/>
          <w:w w:val="105"/>
          <w:sz w:val="14"/>
        </w:rPr>
        <w:t> </w:t>
      </w:r>
      <w:r>
        <w:rPr>
          <w:rFonts w:ascii="Arial"/>
          <w:color w:val="231F20"/>
          <w:w w:val="105"/>
          <w:sz w:val="14"/>
        </w:rPr>
        <w:t>PSYCHOLOGY</w:t>
      </w:r>
      <w:r>
        <w:rPr>
          <w:rFonts w:ascii="Arial"/>
          <w:color w:val="231F20"/>
          <w:spacing w:val="20"/>
          <w:w w:val="105"/>
          <w:sz w:val="14"/>
        </w:rPr>
        <w:t> </w:t>
      </w:r>
      <w:r>
        <w:rPr>
          <w:rFonts w:ascii="Arial"/>
          <w:color w:val="231F20"/>
          <w:spacing w:val="-2"/>
          <w:w w:val="105"/>
          <w:sz w:val="14"/>
        </w:rPr>
        <w:t>MODEL</w:t>
      </w:r>
    </w:p>
    <w:p>
      <w:pPr>
        <w:pStyle w:val="BodyText"/>
        <w:spacing w:before="5"/>
        <w:rPr>
          <w:rFonts w:ascii="Arial"/>
          <w:sz w:val="16"/>
        </w:rPr>
      </w:pPr>
      <w:r>
        <w:rPr/>
        <w:drawing>
          <wp:anchor distT="0" distB="0" distL="0" distR="0" allowOverlap="1" layoutInCell="1" locked="0" behindDoc="0" simplePos="0" relativeHeight="152">
            <wp:simplePos x="0" y="0"/>
            <wp:positionH relativeFrom="page">
              <wp:posOffset>1524919</wp:posOffset>
            </wp:positionH>
            <wp:positionV relativeFrom="paragraph">
              <wp:posOffset>135295</wp:posOffset>
            </wp:positionV>
            <wp:extent cx="2479630" cy="2773679"/>
            <wp:effectExtent l="0" t="0" r="0" b="0"/>
            <wp:wrapTopAndBottom/>
            <wp:docPr id="31" name="image17.png"/>
            <wp:cNvGraphicFramePr>
              <a:graphicFrameLocks noChangeAspect="1"/>
            </wp:cNvGraphicFramePr>
            <a:graphic>
              <a:graphicData uri="http://schemas.openxmlformats.org/drawingml/2006/picture">
                <pic:pic>
                  <pic:nvPicPr>
                    <pic:cNvPr id="32" name="image17.png"/>
                    <pic:cNvPicPr/>
                  </pic:nvPicPr>
                  <pic:blipFill>
                    <a:blip r:embed="rId39" cstate="print"/>
                    <a:stretch>
                      <a:fillRect/>
                    </a:stretch>
                  </pic:blipFill>
                  <pic:spPr>
                    <a:xfrm>
                      <a:off x="0" y="0"/>
                      <a:ext cx="2479630" cy="2773679"/>
                    </a:xfrm>
                    <a:prstGeom prst="rect">
                      <a:avLst/>
                    </a:prstGeom>
                  </pic:spPr>
                </pic:pic>
              </a:graphicData>
            </a:graphic>
          </wp:anchor>
        </w:drawing>
      </w:r>
    </w:p>
    <w:p>
      <w:pPr>
        <w:pStyle w:val="BodyText"/>
        <w:rPr>
          <w:rFonts w:ascii="Arial"/>
          <w:sz w:val="14"/>
        </w:rPr>
      </w:pPr>
    </w:p>
    <w:p>
      <w:pPr>
        <w:pStyle w:val="BodyText"/>
        <w:spacing w:before="6"/>
        <w:rPr>
          <w:rFonts w:ascii="Arial"/>
          <w:sz w:val="15"/>
        </w:rPr>
      </w:pPr>
    </w:p>
    <w:p>
      <w:pPr>
        <w:spacing w:line="244" w:lineRule="auto" w:before="0"/>
        <w:ind w:left="920" w:right="666" w:firstLine="0"/>
        <w:jc w:val="both"/>
        <w:rPr>
          <w:sz w:val="20"/>
        </w:rPr>
      </w:pPr>
      <w:r>
        <w:rPr>
          <w:color w:val="231F20"/>
          <w:sz w:val="20"/>
        </w:rPr>
        <w:t>“Why People Behave the Way They Do,” Case UVA-OB-183, Figure 5. Copyright © 1986 by the Darden Graduate Business School </w:t>
      </w:r>
      <w:r>
        <w:rPr>
          <w:color w:val="231F20"/>
          <w:sz w:val="20"/>
        </w:rPr>
        <w:t>Foundation, Charlottesville, Virginia.</w:t>
      </w:r>
    </w:p>
    <w:p>
      <w:pPr>
        <w:pStyle w:val="BodyText"/>
        <w:rPr>
          <w:sz w:val="22"/>
        </w:rPr>
      </w:pPr>
    </w:p>
    <w:p>
      <w:pPr>
        <w:pStyle w:val="BodyText"/>
        <w:spacing w:before="2"/>
        <w:rPr>
          <w:sz w:val="19"/>
        </w:rPr>
      </w:pPr>
    </w:p>
    <w:p>
      <w:pPr>
        <w:pStyle w:val="BodyText"/>
        <w:spacing w:line="292" w:lineRule="auto"/>
        <w:ind w:left="920" w:right="667"/>
        <w:jc w:val="both"/>
      </w:pPr>
      <w:r>
        <w:rPr>
          <w:color w:val="231F20"/>
        </w:rPr>
        <w:t>Filters also prevent us from acting out our true desires. We all have internal</w:t>
      </w:r>
      <w:r>
        <w:rPr>
          <w:color w:val="231F20"/>
          <w:spacing w:val="-3"/>
        </w:rPr>
        <w:t> </w:t>
      </w:r>
      <w:r>
        <w:rPr>
          <w:i/>
          <w:color w:val="231F20"/>
        </w:rPr>
        <w:t>defense</w:t>
      </w:r>
      <w:r>
        <w:rPr>
          <w:i/>
          <w:color w:val="231F20"/>
          <w:spacing w:val="-3"/>
        </w:rPr>
        <w:t> </w:t>
      </w:r>
      <w:r>
        <w:rPr>
          <w:i/>
          <w:color w:val="231F20"/>
        </w:rPr>
        <w:t>mechanisms</w:t>
      </w:r>
      <w:r>
        <w:rPr>
          <w:i/>
          <w:color w:val="231F20"/>
          <w:spacing w:val="-3"/>
        </w:rPr>
        <w:t> </w:t>
      </w:r>
      <w:r>
        <w:rPr>
          <w:color w:val="231F20"/>
        </w:rPr>
        <w:t>that</w:t>
      </w:r>
      <w:r>
        <w:rPr>
          <w:color w:val="231F20"/>
          <w:spacing w:val="-3"/>
        </w:rPr>
        <w:t> </w:t>
      </w:r>
      <w:r>
        <w:rPr>
          <w:color w:val="231F20"/>
        </w:rPr>
        <w:t>act</w:t>
      </w:r>
      <w:r>
        <w:rPr>
          <w:color w:val="231F20"/>
          <w:spacing w:val="-3"/>
        </w:rPr>
        <w:t> </w:t>
      </w:r>
      <w:r>
        <w:rPr>
          <w:color w:val="231F20"/>
        </w:rPr>
        <w:t>as</w:t>
      </w:r>
      <w:r>
        <w:rPr>
          <w:color w:val="231F20"/>
          <w:spacing w:val="-3"/>
        </w:rPr>
        <w:t> </w:t>
      </w:r>
      <w:r>
        <w:rPr>
          <w:color w:val="231F20"/>
        </w:rPr>
        <w:t>additional</w:t>
      </w:r>
      <w:r>
        <w:rPr>
          <w:color w:val="231F20"/>
          <w:spacing w:val="-3"/>
        </w:rPr>
        <w:t> </w:t>
      </w:r>
      <w:r>
        <w:rPr>
          <w:color w:val="231F20"/>
        </w:rPr>
        <w:t>filters</w:t>
      </w:r>
      <w:r>
        <w:rPr>
          <w:color w:val="231F20"/>
          <w:spacing w:val="-3"/>
        </w:rPr>
        <w:t> </w:t>
      </w:r>
      <w:r>
        <w:rPr>
          <w:color w:val="231F20"/>
        </w:rPr>
        <w:t>to</w:t>
      </w:r>
      <w:r>
        <w:rPr>
          <w:color w:val="231F20"/>
          <w:spacing w:val="-3"/>
        </w:rPr>
        <w:t> </w:t>
      </w:r>
      <w:r>
        <w:rPr>
          <w:color w:val="231F20"/>
        </w:rPr>
        <w:t>protect</w:t>
      </w:r>
      <w:r>
        <w:rPr>
          <w:color w:val="231F20"/>
          <w:spacing w:val="-3"/>
        </w:rPr>
        <w:t> </w:t>
      </w:r>
      <w:r>
        <w:rPr>
          <w:color w:val="231F20"/>
        </w:rPr>
        <w:t>us from psychological damage. They also prevent an accurate psycho- logical</w:t>
      </w:r>
      <w:r>
        <w:rPr>
          <w:color w:val="231F20"/>
          <w:spacing w:val="-6"/>
        </w:rPr>
        <w:t> </w:t>
      </w:r>
      <w:r>
        <w:rPr>
          <w:color w:val="231F20"/>
        </w:rPr>
        <w:t>reading</w:t>
      </w:r>
      <w:r>
        <w:rPr>
          <w:color w:val="231F20"/>
          <w:spacing w:val="-6"/>
        </w:rPr>
        <w:t> </w:t>
      </w:r>
      <w:r>
        <w:rPr>
          <w:color w:val="231F20"/>
        </w:rPr>
        <w:t>of</w:t>
      </w:r>
      <w:r>
        <w:rPr>
          <w:color w:val="231F20"/>
          <w:spacing w:val="-6"/>
        </w:rPr>
        <w:t> </w:t>
      </w:r>
      <w:r>
        <w:rPr>
          <w:color w:val="231F20"/>
        </w:rPr>
        <w:t>other</w:t>
      </w:r>
      <w:r>
        <w:rPr>
          <w:color w:val="231F20"/>
          <w:spacing w:val="-6"/>
        </w:rPr>
        <w:t> </w:t>
      </w:r>
      <w:r>
        <w:rPr>
          <w:color w:val="231F20"/>
        </w:rPr>
        <w:t>people.</w:t>
      </w:r>
      <w:r>
        <w:rPr>
          <w:color w:val="231F20"/>
          <w:spacing w:val="-6"/>
        </w:rPr>
        <w:t> </w:t>
      </w:r>
      <w:r>
        <w:rPr>
          <w:color w:val="231F20"/>
        </w:rPr>
        <w:t>For</w:t>
      </w:r>
      <w:r>
        <w:rPr>
          <w:color w:val="231F20"/>
          <w:spacing w:val="-6"/>
        </w:rPr>
        <w:t> </w:t>
      </w:r>
      <w:r>
        <w:rPr>
          <w:color w:val="231F20"/>
        </w:rPr>
        <w:t>example,</w:t>
      </w:r>
      <w:r>
        <w:rPr>
          <w:color w:val="231F20"/>
          <w:spacing w:val="-6"/>
        </w:rPr>
        <w:t> </w:t>
      </w:r>
      <w:r>
        <w:rPr>
          <w:color w:val="231F20"/>
        </w:rPr>
        <w:t>if</w:t>
      </w:r>
      <w:r>
        <w:rPr>
          <w:color w:val="231F20"/>
          <w:spacing w:val="-6"/>
        </w:rPr>
        <w:t> </w:t>
      </w:r>
      <w:r>
        <w:rPr>
          <w:color w:val="231F20"/>
        </w:rPr>
        <w:t>an</w:t>
      </w:r>
      <w:r>
        <w:rPr>
          <w:color w:val="231F20"/>
          <w:spacing w:val="-6"/>
        </w:rPr>
        <w:t> </w:t>
      </w:r>
      <w:r>
        <w:rPr>
          <w:color w:val="231F20"/>
        </w:rPr>
        <w:t>insecure</w:t>
      </w:r>
      <w:r>
        <w:rPr>
          <w:color w:val="231F20"/>
          <w:spacing w:val="-6"/>
        </w:rPr>
        <w:t> </w:t>
      </w:r>
      <w:r>
        <w:rPr>
          <w:color w:val="231F20"/>
        </w:rPr>
        <w:t>supervisor has a poor aptitude for numbers, then by way of defense, he may find fault with an analyst’s technical presentation. That would help him avoid confronting his own ineptitude with numbers.</w:t>
      </w:r>
    </w:p>
    <w:p>
      <w:pPr>
        <w:pStyle w:val="BodyText"/>
        <w:spacing w:line="292" w:lineRule="auto"/>
        <w:ind w:left="920" w:right="664" w:firstLine="340"/>
        <w:jc w:val="both"/>
      </w:pPr>
      <w:r>
        <w:rPr>
          <w:color w:val="231F20"/>
        </w:rPr>
        <w:t>MBAs have a chance to affect </w:t>
      </w:r>
      <w:r>
        <w:rPr>
          <w:i/>
          <w:color w:val="231F20"/>
        </w:rPr>
        <w:t>assumptions, </w:t>
      </w:r>
      <w:r>
        <w:rPr>
          <w:color w:val="231F20"/>
        </w:rPr>
        <w:t>the beliefs we hold about the way the world or other people or ourselves </w:t>
      </w:r>
      <w:r>
        <w:rPr>
          <w:i/>
          <w:color w:val="231F20"/>
        </w:rPr>
        <w:t>should </w:t>
      </w:r>
      <w:r>
        <w:rPr>
          <w:color w:val="231F20"/>
        </w:rPr>
        <w:t>or</w:t>
      </w:r>
      <w:r>
        <w:rPr>
          <w:color w:val="231F20"/>
          <w:spacing w:val="80"/>
        </w:rPr>
        <w:t> </w:t>
      </w:r>
      <w:r>
        <w:rPr>
          <w:i/>
          <w:color w:val="231F20"/>
        </w:rPr>
        <w:t>ought to </w:t>
      </w:r>
      <w:r>
        <w:rPr>
          <w:color w:val="231F20"/>
        </w:rPr>
        <w:t>be. These assumptions make up our value system. Listed in order of ease of accessibility, assumptions include:</w:t>
      </w:r>
    </w:p>
    <w:p>
      <w:pPr>
        <w:pStyle w:val="BodyText"/>
        <w:spacing w:before="1"/>
        <w:rPr>
          <w:sz w:val="27"/>
        </w:rPr>
      </w:pPr>
    </w:p>
    <w:p>
      <w:pPr>
        <w:spacing w:line="328" w:lineRule="auto" w:before="0"/>
        <w:ind w:left="1260" w:right="5299" w:firstLine="0"/>
        <w:jc w:val="left"/>
        <w:rPr>
          <w:rFonts w:ascii="Arial"/>
          <w:sz w:val="19"/>
        </w:rPr>
      </w:pPr>
      <w:r>
        <w:rPr>
          <w:rFonts w:ascii="Arial"/>
          <w:color w:val="231F20"/>
          <w:spacing w:val="-2"/>
          <w:w w:val="110"/>
          <w:sz w:val="19"/>
        </w:rPr>
        <w:t>Expectations Beliefs Values</w:t>
      </w:r>
    </w:p>
    <w:p>
      <w:pPr>
        <w:spacing w:after="0" w:line="328" w:lineRule="auto"/>
        <w:jc w:val="left"/>
        <w:rPr>
          <w:rFonts w:ascii="Arial"/>
          <w:sz w:val="19"/>
        </w:rPr>
        <w:sectPr>
          <w:pgSz w:w="8640" w:h="12960"/>
          <w:pgMar w:header="734" w:footer="0" w:top="920" w:bottom="280" w:left="340" w:right="500"/>
        </w:sectPr>
      </w:pPr>
    </w:p>
    <w:p>
      <w:pPr>
        <w:pStyle w:val="BodyText"/>
        <w:spacing w:before="2"/>
        <w:rPr>
          <w:rFonts w:ascii="Arial"/>
          <w:sz w:val="18"/>
        </w:rPr>
      </w:pPr>
    </w:p>
    <w:p>
      <w:pPr>
        <w:pStyle w:val="BodyText"/>
        <w:spacing w:line="292" w:lineRule="auto" w:before="102"/>
        <w:ind w:left="830" w:right="757" w:firstLine="340"/>
        <w:jc w:val="both"/>
      </w:pPr>
      <w:r>
        <w:rPr>
          <w:i/>
          <w:color w:val="231F20"/>
        </w:rPr>
        <w:t>Expectations </w:t>
      </w:r>
      <w:r>
        <w:rPr>
          <w:color w:val="231F20"/>
        </w:rPr>
        <w:t>and to some extent </w:t>
      </w:r>
      <w:r>
        <w:rPr>
          <w:i/>
          <w:color w:val="231F20"/>
        </w:rPr>
        <w:t>beliefs </w:t>
      </w:r>
      <w:r>
        <w:rPr>
          <w:color w:val="231F20"/>
        </w:rPr>
        <w:t>can be changed </w:t>
      </w:r>
      <w:r>
        <w:rPr>
          <w:color w:val="231F20"/>
        </w:rPr>
        <w:t>through clear management intent and action. </w:t>
      </w:r>
      <w:r>
        <w:rPr>
          <w:i/>
          <w:color w:val="231F20"/>
        </w:rPr>
        <w:t>Values </w:t>
      </w:r>
      <w:r>
        <w:rPr>
          <w:color w:val="231F20"/>
        </w:rPr>
        <w:t>are deeply held assump- tions that may be altered, if at all, only in time.</w:t>
      </w:r>
    </w:p>
    <w:p>
      <w:pPr>
        <w:pStyle w:val="BodyText"/>
        <w:spacing w:line="292" w:lineRule="auto"/>
        <w:ind w:left="830" w:right="753" w:firstLine="340"/>
        <w:jc w:val="both"/>
      </w:pPr>
      <w:r>
        <w:rPr>
          <w:color w:val="231F20"/>
        </w:rPr>
        <w:t>When a manager is able to tap into the values of subordinates, then</w:t>
      </w:r>
      <w:r>
        <w:rPr>
          <w:color w:val="231F20"/>
          <w:spacing w:val="38"/>
        </w:rPr>
        <w:t> </w:t>
      </w:r>
      <w:r>
        <w:rPr>
          <w:color w:val="231F20"/>
        </w:rPr>
        <w:t>real</w:t>
      </w:r>
      <w:r>
        <w:rPr>
          <w:color w:val="231F20"/>
          <w:spacing w:val="38"/>
        </w:rPr>
        <w:t> </w:t>
      </w:r>
      <w:r>
        <w:rPr>
          <w:color w:val="231F20"/>
        </w:rPr>
        <w:t>productivity</w:t>
      </w:r>
      <w:r>
        <w:rPr>
          <w:color w:val="231F20"/>
          <w:spacing w:val="38"/>
        </w:rPr>
        <w:t> </w:t>
      </w:r>
      <w:r>
        <w:rPr>
          <w:color w:val="231F20"/>
        </w:rPr>
        <w:t>may</w:t>
      </w:r>
      <w:r>
        <w:rPr>
          <w:color w:val="231F20"/>
          <w:spacing w:val="38"/>
        </w:rPr>
        <w:t> </w:t>
      </w:r>
      <w:r>
        <w:rPr>
          <w:color w:val="231F20"/>
        </w:rPr>
        <w:t>result.</w:t>
      </w:r>
      <w:r>
        <w:rPr>
          <w:color w:val="231F20"/>
          <w:spacing w:val="38"/>
        </w:rPr>
        <w:t> </w:t>
      </w:r>
      <w:r>
        <w:rPr>
          <w:color w:val="231F20"/>
        </w:rPr>
        <w:t>Personally,</w:t>
      </w:r>
      <w:r>
        <w:rPr>
          <w:color w:val="231F20"/>
          <w:spacing w:val="38"/>
        </w:rPr>
        <w:t> </w:t>
      </w:r>
      <w:r>
        <w:rPr>
          <w:color w:val="231F20"/>
        </w:rPr>
        <w:t>I</w:t>
      </w:r>
      <w:r>
        <w:rPr>
          <w:color w:val="231F20"/>
          <w:spacing w:val="38"/>
        </w:rPr>
        <w:t> </w:t>
      </w:r>
      <w:r>
        <w:rPr>
          <w:color w:val="231F20"/>
        </w:rPr>
        <w:t>place</w:t>
      </w:r>
      <w:r>
        <w:rPr>
          <w:color w:val="231F20"/>
          <w:spacing w:val="38"/>
        </w:rPr>
        <w:t> </w:t>
      </w:r>
      <w:r>
        <w:rPr>
          <w:color w:val="231F20"/>
        </w:rPr>
        <w:t>a</w:t>
      </w:r>
      <w:r>
        <w:rPr>
          <w:color w:val="231F20"/>
          <w:spacing w:val="38"/>
        </w:rPr>
        <w:t> </w:t>
      </w:r>
      <w:r>
        <w:rPr>
          <w:color w:val="231F20"/>
        </w:rPr>
        <w:t>high</w:t>
      </w:r>
      <w:r>
        <w:rPr>
          <w:color w:val="231F20"/>
          <w:spacing w:val="38"/>
        </w:rPr>
        <w:t> </w:t>
      </w:r>
      <w:r>
        <w:rPr>
          <w:color w:val="231F20"/>
        </w:rPr>
        <w:t>value on creativity and freedom. When my manager taps into that well inside</w:t>
      </w:r>
      <w:r>
        <w:rPr>
          <w:color w:val="231F20"/>
          <w:spacing w:val="40"/>
        </w:rPr>
        <w:t> </w:t>
      </w:r>
      <w:r>
        <w:rPr>
          <w:color w:val="231F20"/>
        </w:rPr>
        <w:t>me,</w:t>
      </w:r>
      <w:r>
        <w:rPr>
          <w:color w:val="231F20"/>
          <w:spacing w:val="40"/>
        </w:rPr>
        <w:t> </w:t>
      </w:r>
      <w:r>
        <w:rPr>
          <w:color w:val="231F20"/>
        </w:rPr>
        <w:t>he</w:t>
      </w:r>
      <w:r>
        <w:rPr>
          <w:color w:val="231F20"/>
          <w:spacing w:val="40"/>
        </w:rPr>
        <w:t> </w:t>
      </w:r>
      <w:r>
        <w:rPr>
          <w:color w:val="231F20"/>
        </w:rPr>
        <w:t>elicits</w:t>
      </w:r>
      <w:r>
        <w:rPr>
          <w:color w:val="231F20"/>
          <w:spacing w:val="40"/>
        </w:rPr>
        <w:t> </w:t>
      </w:r>
      <w:r>
        <w:rPr>
          <w:color w:val="231F20"/>
        </w:rPr>
        <w:t>my</w:t>
      </w:r>
      <w:r>
        <w:rPr>
          <w:color w:val="231F20"/>
          <w:spacing w:val="40"/>
        </w:rPr>
        <w:t> </w:t>
      </w:r>
      <w:r>
        <w:rPr>
          <w:color w:val="231F20"/>
        </w:rPr>
        <w:t>best</w:t>
      </w:r>
      <w:r>
        <w:rPr>
          <w:color w:val="231F20"/>
          <w:spacing w:val="40"/>
        </w:rPr>
        <w:t> </w:t>
      </w:r>
      <w:r>
        <w:rPr>
          <w:color w:val="231F20"/>
        </w:rPr>
        <w:t>work.</w:t>
      </w:r>
      <w:r>
        <w:rPr>
          <w:color w:val="231F20"/>
          <w:spacing w:val="40"/>
        </w:rPr>
        <w:t> </w:t>
      </w:r>
      <w:r>
        <w:rPr>
          <w:color w:val="231F20"/>
        </w:rPr>
        <w:t>For</w:t>
      </w:r>
      <w:r>
        <w:rPr>
          <w:color w:val="231F20"/>
          <w:spacing w:val="40"/>
        </w:rPr>
        <w:t> </w:t>
      </w:r>
      <w:r>
        <w:rPr>
          <w:color w:val="231F20"/>
        </w:rPr>
        <w:t>example,</w:t>
      </w:r>
      <w:r>
        <w:rPr>
          <w:color w:val="231F20"/>
          <w:spacing w:val="40"/>
        </w:rPr>
        <w:t> </w:t>
      </w:r>
      <w:r>
        <w:rPr>
          <w:color w:val="231F20"/>
        </w:rPr>
        <w:t>when</w:t>
      </w:r>
      <w:r>
        <w:rPr>
          <w:color w:val="231F20"/>
          <w:spacing w:val="40"/>
        </w:rPr>
        <w:t> </w:t>
      </w:r>
      <w:r>
        <w:rPr>
          <w:color w:val="231F20"/>
        </w:rPr>
        <w:t>my</w:t>
      </w:r>
      <w:r>
        <w:rPr>
          <w:color w:val="231F20"/>
          <w:spacing w:val="40"/>
        </w:rPr>
        <w:t> </w:t>
      </w:r>
      <w:r>
        <w:rPr>
          <w:color w:val="231F20"/>
        </w:rPr>
        <w:t>boss seeks an insightful marketing analysis, he presents me with an </w:t>
      </w:r>
      <w:r>
        <w:rPr>
          <w:color w:val="231F20"/>
        </w:rPr>
        <w:t>op- portunity to express my creativity. Our goals are said to be </w:t>
      </w:r>
      <w:r>
        <w:rPr>
          <w:i/>
          <w:color w:val="231F20"/>
        </w:rPr>
        <w:t>congru-</w:t>
      </w:r>
      <w:r>
        <w:rPr>
          <w:i/>
          <w:color w:val="231F20"/>
        </w:rPr>
        <w:t> ent </w:t>
      </w:r>
      <w:r>
        <w:rPr>
          <w:color w:val="231F20"/>
        </w:rPr>
        <w:t>or equivalent because we are both aiming at the same thing. The desired behavior is produced. </w:t>
      </w:r>
      <w:r>
        <w:rPr>
          <w:i/>
          <w:color w:val="231F20"/>
        </w:rPr>
        <w:t>Goal congruence </w:t>
      </w:r>
      <w:r>
        <w:rPr>
          <w:color w:val="231F20"/>
        </w:rPr>
        <w:t>among the indi- viduals of an organization makes the group productive. </w:t>
      </w:r>
      <w:r>
        <w:rPr>
          <w:i/>
          <w:color w:val="231F20"/>
        </w:rPr>
        <w:t>Goal con-</w:t>
      </w:r>
      <w:r>
        <w:rPr>
          <w:i/>
          <w:color w:val="231F20"/>
        </w:rPr>
        <w:t> gruence </w:t>
      </w:r>
      <w:r>
        <w:rPr>
          <w:color w:val="231F20"/>
        </w:rPr>
        <w:t>is a popular MBA phrase—</w:t>
      </w:r>
      <w:r>
        <w:rPr>
          <w:color w:val="231F20"/>
          <w:spacing w:val="-12"/>
        </w:rPr>
        <w:t> </w:t>
      </w:r>
      <w:r>
        <w:rPr>
          <w:color w:val="231F20"/>
        </w:rPr>
        <w:t>it sounds great, and it is in fact </w:t>
      </w:r>
      <w:r>
        <w:rPr>
          <w:color w:val="231F20"/>
          <w:spacing w:val="-2"/>
        </w:rPr>
        <w:t>meaningful.</w:t>
      </w:r>
    </w:p>
    <w:p>
      <w:pPr>
        <w:pStyle w:val="BodyText"/>
        <w:spacing w:line="292" w:lineRule="auto"/>
        <w:ind w:left="830" w:right="753" w:firstLine="340"/>
        <w:jc w:val="both"/>
      </w:pPr>
      <w:r>
        <w:rPr>
          <w:color w:val="231F20"/>
        </w:rPr>
        <w:t>Let’s take the example of a strategic planning manager. He</w:t>
      </w:r>
      <w:r>
        <w:rPr>
          <w:color w:val="231F20"/>
          <w:spacing w:val="40"/>
        </w:rPr>
        <w:t> </w:t>
      </w:r>
      <w:r>
        <w:rPr>
          <w:color w:val="231F20"/>
        </w:rPr>
        <w:t>wanted</w:t>
      </w:r>
      <w:r>
        <w:rPr>
          <w:color w:val="231F20"/>
          <w:spacing w:val="25"/>
        </w:rPr>
        <w:t> </w:t>
      </w:r>
      <w:r>
        <w:rPr>
          <w:color w:val="231F20"/>
        </w:rPr>
        <w:t>to</w:t>
      </w:r>
      <w:r>
        <w:rPr>
          <w:color w:val="231F20"/>
          <w:spacing w:val="25"/>
        </w:rPr>
        <w:t> </w:t>
      </w:r>
      <w:r>
        <w:rPr>
          <w:color w:val="231F20"/>
        </w:rPr>
        <w:t>tap</w:t>
      </w:r>
      <w:r>
        <w:rPr>
          <w:color w:val="231F20"/>
          <w:spacing w:val="25"/>
        </w:rPr>
        <w:t> </w:t>
      </w:r>
      <w:r>
        <w:rPr>
          <w:color w:val="231F20"/>
        </w:rPr>
        <w:t>his</w:t>
      </w:r>
      <w:r>
        <w:rPr>
          <w:color w:val="231F20"/>
          <w:spacing w:val="25"/>
        </w:rPr>
        <w:t> </w:t>
      </w:r>
      <w:r>
        <w:rPr>
          <w:color w:val="231F20"/>
        </w:rPr>
        <w:t>team’s</w:t>
      </w:r>
      <w:r>
        <w:rPr>
          <w:color w:val="231F20"/>
          <w:spacing w:val="25"/>
        </w:rPr>
        <w:t> </w:t>
      </w:r>
      <w:r>
        <w:rPr>
          <w:color w:val="231F20"/>
        </w:rPr>
        <w:t>creativity</w:t>
      </w:r>
      <w:r>
        <w:rPr>
          <w:color w:val="231F20"/>
          <w:spacing w:val="25"/>
        </w:rPr>
        <w:t> </w:t>
      </w:r>
      <w:r>
        <w:rPr>
          <w:color w:val="231F20"/>
        </w:rPr>
        <w:t>in</w:t>
      </w:r>
      <w:r>
        <w:rPr>
          <w:color w:val="231F20"/>
          <w:spacing w:val="25"/>
        </w:rPr>
        <w:t> </w:t>
      </w:r>
      <w:r>
        <w:rPr>
          <w:color w:val="231F20"/>
        </w:rPr>
        <w:t>developing</w:t>
      </w:r>
      <w:r>
        <w:rPr>
          <w:color w:val="231F20"/>
          <w:spacing w:val="25"/>
        </w:rPr>
        <w:t> </w:t>
      </w:r>
      <w:r>
        <w:rPr>
          <w:color w:val="231F20"/>
        </w:rPr>
        <w:t>plans</w:t>
      </w:r>
      <w:r>
        <w:rPr>
          <w:color w:val="231F20"/>
          <w:spacing w:val="25"/>
        </w:rPr>
        <w:t> </w:t>
      </w:r>
      <w:r>
        <w:rPr>
          <w:color w:val="231F20"/>
        </w:rPr>
        <w:t>to</w:t>
      </w:r>
      <w:r>
        <w:rPr>
          <w:color w:val="231F20"/>
          <w:spacing w:val="25"/>
        </w:rPr>
        <w:t> </w:t>
      </w:r>
      <w:r>
        <w:rPr>
          <w:color w:val="231F20"/>
        </w:rPr>
        <w:t>compete in</w:t>
      </w:r>
      <w:r>
        <w:rPr>
          <w:color w:val="231F20"/>
          <w:spacing w:val="40"/>
        </w:rPr>
        <w:t> </w:t>
      </w:r>
      <w:r>
        <w:rPr>
          <w:color w:val="231F20"/>
        </w:rPr>
        <w:t>an</w:t>
      </w:r>
      <w:r>
        <w:rPr>
          <w:color w:val="231F20"/>
          <w:spacing w:val="40"/>
        </w:rPr>
        <w:t> </w:t>
      </w:r>
      <w:r>
        <w:rPr>
          <w:color w:val="231F20"/>
        </w:rPr>
        <w:t>evolving</w:t>
      </w:r>
      <w:r>
        <w:rPr>
          <w:color w:val="231F20"/>
          <w:spacing w:val="40"/>
        </w:rPr>
        <w:t> </w:t>
      </w:r>
      <w:r>
        <w:rPr>
          <w:color w:val="231F20"/>
        </w:rPr>
        <w:t>marketplace.</w:t>
      </w:r>
      <w:r>
        <w:rPr>
          <w:color w:val="231F20"/>
          <w:spacing w:val="40"/>
        </w:rPr>
        <w:t> </w:t>
      </w:r>
      <w:r>
        <w:rPr>
          <w:color w:val="231F20"/>
        </w:rPr>
        <w:t>In</w:t>
      </w:r>
      <w:r>
        <w:rPr>
          <w:color w:val="231F20"/>
          <w:spacing w:val="40"/>
        </w:rPr>
        <w:t> </w:t>
      </w:r>
      <w:r>
        <w:rPr>
          <w:color w:val="231F20"/>
        </w:rPr>
        <w:t>the</w:t>
      </w:r>
      <w:r>
        <w:rPr>
          <w:color w:val="231F20"/>
          <w:spacing w:val="40"/>
        </w:rPr>
        <w:t> </w:t>
      </w:r>
      <w:r>
        <w:rPr>
          <w:color w:val="231F20"/>
        </w:rPr>
        <w:t>past,</w:t>
      </w:r>
      <w:r>
        <w:rPr>
          <w:color w:val="231F20"/>
          <w:spacing w:val="40"/>
        </w:rPr>
        <w:t> </w:t>
      </w:r>
      <w:r>
        <w:rPr>
          <w:color w:val="231F20"/>
        </w:rPr>
        <w:t>he</w:t>
      </w:r>
      <w:r>
        <w:rPr>
          <w:color w:val="231F20"/>
          <w:spacing w:val="40"/>
        </w:rPr>
        <w:t> </w:t>
      </w:r>
      <w:r>
        <w:rPr>
          <w:color w:val="231F20"/>
        </w:rPr>
        <w:t>had</w:t>
      </w:r>
      <w:r>
        <w:rPr>
          <w:color w:val="231F20"/>
          <w:spacing w:val="40"/>
        </w:rPr>
        <w:t> </w:t>
      </w:r>
      <w:r>
        <w:rPr>
          <w:color w:val="231F20"/>
        </w:rPr>
        <w:t>done</w:t>
      </w:r>
      <w:r>
        <w:rPr>
          <w:color w:val="231F20"/>
          <w:spacing w:val="40"/>
        </w:rPr>
        <w:t> </w:t>
      </w:r>
      <w:r>
        <w:rPr>
          <w:color w:val="231F20"/>
        </w:rPr>
        <w:t>all</w:t>
      </w:r>
      <w:r>
        <w:rPr>
          <w:color w:val="231F20"/>
          <w:spacing w:val="40"/>
        </w:rPr>
        <w:t> </w:t>
      </w:r>
      <w:r>
        <w:rPr>
          <w:color w:val="231F20"/>
        </w:rPr>
        <w:t>the</w:t>
      </w:r>
      <w:r>
        <w:rPr>
          <w:color w:val="231F20"/>
          <w:spacing w:val="40"/>
        </w:rPr>
        <w:t> </w:t>
      </w:r>
      <w:r>
        <w:rPr>
          <w:color w:val="231F20"/>
        </w:rPr>
        <w:t>cre- ative work himself. His staff members were simply used to crunch numbers. To elicit a change in their behavior, he had to learn to tolerate the trial and error that are part of the creative process. Be- cause staff failures in the past had been met with firings and ridicule, the team would understandably be slow to comply with his wishes. The staff’s assumptions stood in the way. To effect the desired change, he needed to build trust by rewarding creative behavior </w:t>
      </w:r>
      <w:r>
        <w:rPr>
          <w:color w:val="231F20"/>
          <w:spacing w:val="-2"/>
        </w:rPr>
        <w:t>consistently.</w:t>
      </w:r>
    </w:p>
    <w:p>
      <w:pPr>
        <w:pStyle w:val="BodyText"/>
        <w:spacing w:line="292" w:lineRule="auto"/>
        <w:ind w:left="830" w:right="756" w:firstLine="340"/>
        <w:jc w:val="both"/>
      </w:pPr>
      <w:r>
        <w:rPr>
          <w:color w:val="231F20"/>
        </w:rPr>
        <w:t>The bottom line is that understanding a bit of psychology is use- ful if you wish to motivate people.</w:t>
      </w:r>
    </w:p>
    <w:p>
      <w:pPr>
        <w:pStyle w:val="BodyText"/>
        <w:rPr>
          <w:sz w:val="24"/>
        </w:rPr>
      </w:pPr>
    </w:p>
    <w:p>
      <w:pPr>
        <w:pStyle w:val="BodyText"/>
        <w:spacing w:before="4"/>
        <w:rPr>
          <w:sz w:val="26"/>
        </w:rPr>
      </w:pPr>
    </w:p>
    <w:p>
      <w:pPr>
        <w:pStyle w:val="Heading6"/>
        <w:ind w:left="299"/>
        <w:rPr>
          <w:i/>
        </w:rPr>
      </w:pPr>
      <w:r>
        <w:rPr>
          <w:i/>
          <w:color w:val="231F20"/>
          <w:w w:val="110"/>
        </w:rPr>
        <w:t>EXPECTANCY</w:t>
      </w:r>
      <w:r>
        <w:rPr>
          <w:i/>
          <w:color w:val="231F20"/>
          <w:spacing w:val="63"/>
          <w:w w:val="150"/>
        </w:rPr>
        <w:t> </w:t>
      </w:r>
      <w:r>
        <w:rPr>
          <w:i/>
          <w:color w:val="231F20"/>
          <w:w w:val="110"/>
        </w:rPr>
        <w:t>THEORY</w:t>
      </w:r>
      <w:r>
        <w:rPr>
          <w:i/>
          <w:color w:val="231F20"/>
          <w:spacing w:val="64"/>
          <w:w w:val="150"/>
        </w:rPr>
        <w:t> </w:t>
      </w:r>
      <w:r>
        <w:rPr>
          <w:i/>
          <w:color w:val="231F20"/>
          <w:w w:val="110"/>
        </w:rPr>
        <w:t>OF</w:t>
      </w:r>
      <w:r>
        <w:rPr>
          <w:i/>
          <w:color w:val="231F20"/>
          <w:spacing w:val="63"/>
          <w:w w:val="150"/>
        </w:rPr>
        <w:t> </w:t>
      </w:r>
      <w:r>
        <w:rPr>
          <w:i/>
          <w:color w:val="231F20"/>
          <w:spacing w:val="-2"/>
          <w:w w:val="110"/>
        </w:rPr>
        <w:t>MOTIVATION</w:t>
      </w:r>
    </w:p>
    <w:p>
      <w:pPr>
        <w:pStyle w:val="BodyText"/>
        <w:spacing w:before="2"/>
        <w:rPr>
          <w:b/>
          <w:i/>
          <w:sz w:val="30"/>
        </w:rPr>
      </w:pPr>
    </w:p>
    <w:p>
      <w:pPr>
        <w:pStyle w:val="BodyText"/>
        <w:spacing w:line="292" w:lineRule="auto"/>
        <w:ind w:left="830" w:right="753"/>
        <w:jc w:val="both"/>
      </w:pPr>
      <w:r>
        <w:rPr>
          <w:color w:val="231F20"/>
        </w:rPr>
        <w:t>Motivation is an elusive animal that all organizations want to</w:t>
      </w:r>
      <w:r>
        <w:rPr>
          <w:color w:val="231F20"/>
          <w:spacing w:val="40"/>
        </w:rPr>
        <w:t> </w:t>
      </w:r>
      <w:r>
        <w:rPr>
          <w:color w:val="231F20"/>
        </w:rPr>
        <w:t>capture. </w:t>
      </w:r>
      <w:r>
        <w:rPr>
          <w:i/>
          <w:color w:val="231F20"/>
        </w:rPr>
        <w:t>Expectancy </w:t>
      </w:r>
      <w:r>
        <w:rPr>
          <w:color w:val="231F20"/>
        </w:rPr>
        <w:t>theory outlines the factors that produce </w:t>
      </w:r>
      <w:r>
        <w:rPr>
          <w:color w:val="231F20"/>
        </w:rPr>
        <w:t>moti- vation with individuals. Managers, staff, and even you can use ex- pectancy theory to attempt to understand employees’ behavior.</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before="90"/>
        <w:ind w:left="1260"/>
      </w:pPr>
      <w:r>
        <w:rPr>
          <w:color w:val="231F20"/>
          <w:w w:val="105"/>
        </w:rPr>
        <w:t>Motivation</w:t>
      </w:r>
      <w:r>
        <w:rPr>
          <w:color w:val="231F20"/>
          <w:spacing w:val="2"/>
          <w:w w:val="105"/>
        </w:rPr>
        <w:t> </w:t>
      </w:r>
      <w:r>
        <w:rPr>
          <w:rFonts w:ascii="Symbol" w:hAnsi="Symbol"/>
          <w:color w:val="231F20"/>
          <w:w w:val="105"/>
        </w:rPr>
        <w:t></w:t>
      </w:r>
      <w:r>
        <w:rPr>
          <w:rFonts w:ascii="Times New Roman" w:hAnsi="Times New Roman"/>
          <w:color w:val="231F20"/>
          <w:spacing w:val="-5"/>
          <w:w w:val="105"/>
        </w:rPr>
        <w:t> </w:t>
      </w:r>
      <w:r>
        <w:rPr>
          <w:color w:val="231F20"/>
          <w:w w:val="105"/>
        </w:rPr>
        <w:t>Expectation</w:t>
      </w:r>
      <w:r>
        <w:rPr>
          <w:color w:val="231F20"/>
          <w:spacing w:val="2"/>
          <w:w w:val="105"/>
        </w:rPr>
        <w:t> </w:t>
      </w:r>
      <w:r>
        <w:rPr>
          <w:color w:val="231F20"/>
          <w:w w:val="105"/>
        </w:rPr>
        <w:t>of</w:t>
      </w:r>
      <w:r>
        <w:rPr>
          <w:color w:val="231F20"/>
          <w:spacing w:val="2"/>
          <w:w w:val="105"/>
        </w:rPr>
        <w:t> </w:t>
      </w:r>
      <w:r>
        <w:rPr>
          <w:color w:val="231F20"/>
          <w:w w:val="105"/>
        </w:rPr>
        <w:t>Work</w:t>
      </w:r>
      <w:r>
        <w:rPr>
          <w:color w:val="231F20"/>
          <w:spacing w:val="3"/>
          <w:w w:val="105"/>
        </w:rPr>
        <w:t> </w:t>
      </w:r>
      <w:r>
        <w:rPr>
          <w:color w:val="231F20"/>
          <w:w w:val="105"/>
        </w:rPr>
        <w:t>will</w:t>
      </w:r>
      <w:r>
        <w:rPr>
          <w:color w:val="231F20"/>
          <w:spacing w:val="2"/>
          <w:w w:val="105"/>
        </w:rPr>
        <w:t> </w:t>
      </w:r>
      <w:r>
        <w:rPr>
          <w:color w:val="231F20"/>
          <w:w w:val="105"/>
        </w:rPr>
        <w:t>lead</w:t>
      </w:r>
      <w:r>
        <w:rPr>
          <w:color w:val="231F20"/>
          <w:spacing w:val="2"/>
          <w:w w:val="105"/>
        </w:rPr>
        <w:t> </w:t>
      </w:r>
      <w:r>
        <w:rPr>
          <w:color w:val="231F20"/>
          <w:w w:val="105"/>
        </w:rPr>
        <w:t>to</w:t>
      </w:r>
      <w:r>
        <w:rPr>
          <w:color w:val="231F20"/>
          <w:spacing w:val="3"/>
          <w:w w:val="105"/>
        </w:rPr>
        <w:t> </w:t>
      </w:r>
      <w:r>
        <w:rPr>
          <w:color w:val="231F20"/>
          <w:spacing w:val="-2"/>
          <w:w w:val="105"/>
        </w:rPr>
        <w:t>Performance</w:t>
      </w:r>
    </w:p>
    <w:p>
      <w:pPr>
        <w:pStyle w:val="ListParagraph"/>
        <w:numPr>
          <w:ilvl w:val="0"/>
          <w:numId w:val="26"/>
        </w:numPr>
        <w:tabs>
          <w:tab w:pos="2712" w:val="left" w:leader="none"/>
        </w:tabs>
        <w:spacing w:line="278" w:lineRule="auto" w:before="42" w:after="0"/>
        <w:ind w:left="2534" w:right="1678" w:firstLine="0"/>
        <w:jc w:val="left"/>
        <w:rPr>
          <w:rFonts w:ascii="Cambria" w:hAnsi="Cambria"/>
          <w:sz w:val="21"/>
        </w:rPr>
      </w:pPr>
      <w:r>
        <w:rPr>
          <w:rFonts w:ascii="Cambria" w:hAnsi="Cambria"/>
          <w:color w:val="231F20"/>
          <w:sz w:val="21"/>
        </w:rPr>
        <w:t>Expectation Performance will lead </w:t>
      </w:r>
      <w:r>
        <w:rPr>
          <w:rFonts w:ascii="Cambria" w:hAnsi="Cambria"/>
          <w:color w:val="231F20"/>
          <w:sz w:val="21"/>
        </w:rPr>
        <w:t>to</w:t>
      </w:r>
      <w:r>
        <w:rPr>
          <w:rFonts w:ascii="Cambria" w:hAnsi="Cambria"/>
          <w:color w:val="231F20"/>
          <w:sz w:val="21"/>
        </w:rPr>
        <w:t> </w:t>
      </w:r>
      <w:r>
        <w:rPr>
          <w:rFonts w:ascii="Cambria" w:hAnsi="Cambria"/>
          <w:color w:val="231F20"/>
          <w:w w:val="105"/>
          <w:sz w:val="21"/>
        </w:rPr>
        <w:t>Reward </w:t>
      </w:r>
      <w:r>
        <w:rPr>
          <w:rFonts w:ascii="Symbol" w:hAnsi="Symbol"/>
          <w:color w:val="231F20"/>
          <w:w w:val="105"/>
          <w:sz w:val="21"/>
        </w:rPr>
        <w:t></w:t>
      </w:r>
      <w:r>
        <w:rPr>
          <w:rFonts w:ascii="Times New Roman" w:hAnsi="Times New Roman"/>
          <w:color w:val="231F20"/>
          <w:w w:val="105"/>
          <w:sz w:val="21"/>
        </w:rPr>
        <w:t> </w:t>
      </w:r>
      <w:r>
        <w:rPr>
          <w:rFonts w:ascii="Cambria" w:hAnsi="Cambria"/>
          <w:color w:val="231F20"/>
          <w:w w:val="105"/>
          <w:sz w:val="21"/>
        </w:rPr>
        <w:t>Value of Reward</w:t>
      </w:r>
    </w:p>
    <w:p>
      <w:pPr>
        <w:pStyle w:val="BodyText"/>
        <w:spacing w:before="9"/>
        <w:rPr>
          <w:sz w:val="26"/>
        </w:rPr>
      </w:pPr>
    </w:p>
    <w:p>
      <w:pPr>
        <w:pStyle w:val="BodyText"/>
        <w:spacing w:line="292" w:lineRule="auto"/>
        <w:ind w:left="920" w:right="663" w:firstLine="340"/>
        <w:jc w:val="both"/>
      </w:pPr>
      <w:r>
        <w:rPr>
          <w:color w:val="231F20"/>
        </w:rPr>
        <w:t>This equation may be helpful in isolating the source of a prob- lem. Each of the equation’s components can explain some aspect of motivation. If a marketing manager of a declining make of automo- bile has been losing market share to a better-manufactured and better-promoted competitor, he might feel that no matter what he does</w:t>
      </w:r>
      <w:r>
        <w:rPr>
          <w:color w:val="231F20"/>
          <w:spacing w:val="40"/>
        </w:rPr>
        <w:t> </w:t>
      </w:r>
      <w:r>
        <w:rPr>
          <w:color w:val="231F20"/>
        </w:rPr>
        <w:t>he</w:t>
      </w:r>
      <w:r>
        <w:rPr>
          <w:color w:val="231F20"/>
          <w:spacing w:val="40"/>
        </w:rPr>
        <w:t> </w:t>
      </w:r>
      <w:r>
        <w:rPr>
          <w:color w:val="231F20"/>
        </w:rPr>
        <w:t>will</w:t>
      </w:r>
      <w:r>
        <w:rPr>
          <w:color w:val="231F20"/>
          <w:spacing w:val="40"/>
        </w:rPr>
        <w:t> </w:t>
      </w:r>
      <w:r>
        <w:rPr>
          <w:color w:val="231F20"/>
        </w:rPr>
        <w:t>fail.</w:t>
      </w:r>
      <w:r>
        <w:rPr>
          <w:color w:val="231F20"/>
          <w:spacing w:val="40"/>
        </w:rPr>
        <w:t> </w:t>
      </w:r>
      <w:r>
        <w:rPr>
          <w:color w:val="231F20"/>
        </w:rPr>
        <w:t>That</w:t>
      </w:r>
      <w:r>
        <w:rPr>
          <w:color w:val="231F20"/>
          <w:spacing w:val="40"/>
        </w:rPr>
        <w:t> </w:t>
      </w:r>
      <w:r>
        <w:rPr>
          <w:color w:val="231F20"/>
        </w:rPr>
        <w:t>would</w:t>
      </w:r>
      <w:r>
        <w:rPr>
          <w:color w:val="231F20"/>
          <w:spacing w:val="40"/>
        </w:rPr>
        <w:t> </w:t>
      </w:r>
      <w:r>
        <w:rPr>
          <w:color w:val="231F20"/>
        </w:rPr>
        <w:t>naturally</w:t>
      </w:r>
      <w:r>
        <w:rPr>
          <w:color w:val="231F20"/>
          <w:spacing w:val="40"/>
        </w:rPr>
        <w:t> </w:t>
      </w:r>
      <w:r>
        <w:rPr>
          <w:color w:val="231F20"/>
        </w:rPr>
        <w:t>decrease</w:t>
      </w:r>
      <w:r>
        <w:rPr>
          <w:color w:val="231F20"/>
          <w:spacing w:val="40"/>
        </w:rPr>
        <w:t> </w:t>
      </w:r>
      <w:r>
        <w:rPr>
          <w:color w:val="231F20"/>
        </w:rPr>
        <w:t>his</w:t>
      </w:r>
      <w:r>
        <w:rPr>
          <w:color w:val="231F20"/>
          <w:spacing w:val="40"/>
        </w:rPr>
        <w:t> </w:t>
      </w:r>
      <w:r>
        <w:rPr>
          <w:color w:val="231F20"/>
        </w:rPr>
        <w:t>motivation.</w:t>
      </w:r>
      <w:r>
        <w:rPr>
          <w:color w:val="231F20"/>
          <w:spacing w:val="40"/>
        </w:rPr>
        <w:t> </w:t>
      </w:r>
      <w:r>
        <w:rPr>
          <w:color w:val="231F20"/>
        </w:rPr>
        <w:t>If the company never rewarded superior performance, that would </w:t>
      </w:r>
      <w:r>
        <w:rPr>
          <w:color w:val="231F20"/>
        </w:rPr>
        <w:t>also lead to discontent. And finally, if the reward were simply a set of</w:t>
      </w:r>
      <w:r>
        <w:rPr>
          <w:color w:val="231F20"/>
          <w:spacing w:val="80"/>
        </w:rPr>
        <w:t> </w:t>
      </w:r>
      <w:r>
        <w:rPr>
          <w:color w:val="231F20"/>
        </w:rPr>
        <w:t>keys to the executive washroom, then a manager might think of working elsewhere.</w:t>
      </w:r>
    </w:p>
    <w:p>
      <w:pPr>
        <w:pStyle w:val="BodyText"/>
        <w:spacing w:line="292" w:lineRule="auto"/>
        <w:ind w:left="920" w:right="663" w:firstLine="340"/>
        <w:jc w:val="both"/>
      </w:pPr>
      <w:r>
        <w:rPr>
          <w:color w:val="231F20"/>
        </w:rPr>
        <w:t>Three academic heavyweights, Hertzberg, Maslow, and McClel- land, believe that behavior is motivated by the urge to satisfy needs. Fred Hertzberg posits that motivation will be enhanced by maximiz- ing the motivators or </w:t>
      </w:r>
      <w:r>
        <w:rPr>
          <w:i/>
          <w:color w:val="231F20"/>
        </w:rPr>
        <w:t>satisfiers </w:t>
      </w:r>
      <w:r>
        <w:rPr>
          <w:color w:val="231F20"/>
        </w:rPr>
        <w:t>on the job and minimizing the </w:t>
      </w:r>
      <w:r>
        <w:rPr>
          <w:i/>
          <w:color w:val="231F20"/>
        </w:rPr>
        <w:t>dis-</w:t>
      </w:r>
      <w:r>
        <w:rPr>
          <w:i/>
          <w:color w:val="231F20"/>
        </w:rPr>
        <w:t> satisfiers </w:t>
      </w:r>
      <w:r>
        <w:rPr>
          <w:color w:val="231F20"/>
        </w:rPr>
        <w:t>or maintenance factors. A promotion or an award can be a satisfier. Maintenance factors don’t necessarily bring happiness, </w:t>
      </w:r>
      <w:r>
        <w:rPr>
          <w:color w:val="231F20"/>
        </w:rPr>
        <w:t>but they are expected. A safe place to work and a living wage are typical maintenance factors. Abraham Maslow sees employee motivation as</w:t>
      </w:r>
      <w:r>
        <w:rPr>
          <w:color w:val="231F20"/>
          <w:spacing w:val="40"/>
        </w:rPr>
        <w:t> </w:t>
      </w:r>
      <w:r>
        <w:rPr>
          <w:color w:val="231F20"/>
        </w:rPr>
        <w:t>a function of meeting an employee’s </w:t>
      </w:r>
      <w:r>
        <w:rPr>
          <w:i/>
          <w:color w:val="231F20"/>
        </w:rPr>
        <w:t>hierarchy of needs. </w:t>
      </w:r>
      <w:r>
        <w:rPr>
          <w:color w:val="231F20"/>
        </w:rPr>
        <w:t>The hierar- chy is frequently depicted as a pyramid. The need for food and water is at the bottom of the pyramid, followed by the </w:t>
      </w:r>
      <w:r>
        <w:rPr>
          <w:i/>
          <w:color w:val="231F20"/>
        </w:rPr>
        <w:t>need for safety, </w:t>
      </w:r>
      <w:r>
        <w:rPr>
          <w:color w:val="231F20"/>
        </w:rPr>
        <w:t>the </w:t>
      </w:r>
      <w:r>
        <w:rPr>
          <w:i/>
          <w:color w:val="231F20"/>
        </w:rPr>
        <w:t>need</w:t>
      </w:r>
      <w:r>
        <w:rPr>
          <w:i/>
          <w:color w:val="231F20"/>
          <w:spacing w:val="40"/>
        </w:rPr>
        <w:t> </w:t>
      </w:r>
      <w:r>
        <w:rPr>
          <w:i/>
          <w:color w:val="231F20"/>
        </w:rPr>
        <w:t>to</w:t>
      </w:r>
      <w:r>
        <w:rPr>
          <w:i/>
          <w:color w:val="231F20"/>
          <w:spacing w:val="40"/>
        </w:rPr>
        <w:t> </w:t>
      </w:r>
      <w:r>
        <w:rPr>
          <w:i/>
          <w:color w:val="231F20"/>
        </w:rPr>
        <w:t>belong,</w:t>
      </w:r>
      <w:r>
        <w:rPr>
          <w:i/>
          <w:color w:val="231F20"/>
          <w:spacing w:val="40"/>
        </w:rPr>
        <w:t> </w:t>
      </w:r>
      <w:r>
        <w:rPr>
          <w:color w:val="231F20"/>
        </w:rPr>
        <w:t>and</w:t>
      </w:r>
      <w:r>
        <w:rPr>
          <w:color w:val="231F20"/>
          <w:spacing w:val="40"/>
        </w:rPr>
        <w:t> </w:t>
      </w:r>
      <w:r>
        <w:rPr>
          <w:color w:val="231F20"/>
        </w:rPr>
        <w:t>the</w:t>
      </w:r>
      <w:r>
        <w:rPr>
          <w:color w:val="231F20"/>
          <w:spacing w:val="40"/>
        </w:rPr>
        <w:t> </w:t>
      </w:r>
      <w:r>
        <w:rPr>
          <w:i/>
          <w:color w:val="231F20"/>
        </w:rPr>
        <w:t>need</w:t>
      </w:r>
      <w:r>
        <w:rPr>
          <w:i/>
          <w:color w:val="231F20"/>
          <w:spacing w:val="40"/>
        </w:rPr>
        <w:t> </w:t>
      </w:r>
      <w:r>
        <w:rPr>
          <w:i/>
          <w:color w:val="231F20"/>
        </w:rPr>
        <w:t>for</w:t>
      </w:r>
      <w:r>
        <w:rPr>
          <w:i/>
          <w:color w:val="231F20"/>
          <w:spacing w:val="40"/>
        </w:rPr>
        <w:t> </w:t>
      </w:r>
      <w:r>
        <w:rPr>
          <w:i/>
          <w:color w:val="231F20"/>
        </w:rPr>
        <w:t>status,</w:t>
      </w:r>
      <w:r>
        <w:rPr>
          <w:i/>
          <w:color w:val="231F20"/>
          <w:spacing w:val="40"/>
        </w:rPr>
        <w:t> </w:t>
      </w:r>
      <w:r>
        <w:rPr>
          <w:color w:val="231F20"/>
        </w:rPr>
        <w:t>while</w:t>
      </w:r>
      <w:r>
        <w:rPr>
          <w:color w:val="231F20"/>
          <w:spacing w:val="40"/>
        </w:rPr>
        <w:t> </w:t>
      </w:r>
      <w:r>
        <w:rPr>
          <w:i/>
          <w:color w:val="231F20"/>
        </w:rPr>
        <w:t>self-actualization</w:t>
      </w:r>
      <w:r>
        <w:rPr>
          <w:i/>
          <w:color w:val="231F20"/>
        </w:rPr>
        <w:t> needs </w:t>
      </w:r>
      <w:r>
        <w:rPr>
          <w:color w:val="231F20"/>
        </w:rPr>
        <w:t>are seen as the highest order of needs. These needs are met when a person experiences a sense of personal growth and self- fulfillment by accomplishing a challenging goal.</w:t>
      </w:r>
    </w:p>
    <w:p>
      <w:pPr>
        <w:spacing w:line="292" w:lineRule="auto" w:before="0"/>
        <w:ind w:left="920" w:right="666" w:firstLine="340"/>
        <w:jc w:val="both"/>
        <w:rPr>
          <w:sz w:val="21"/>
        </w:rPr>
      </w:pPr>
      <w:r>
        <w:rPr>
          <w:color w:val="231F20"/>
          <w:spacing w:val="-2"/>
          <w:w w:val="105"/>
          <w:sz w:val="21"/>
        </w:rPr>
        <w:t>Finally,</w:t>
      </w:r>
      <w:r>
        <w:rPr>
          <w:color w:val="231F20"/>
          <w:spacing w:val="-5"/>
          <w:w w:val="105"/>
          <w:sz w:val="21"/>
        </w:rPr>
        <w:t> </w:t>
      </w:r>
      <w:r>
        <w:rPr>
          <w:color w:val="231F20"/>
          <w:spacing w:val="-2"/>
          <w:w w:val="105"/>
          <w:sz w:val="21"/>
        </w:rPr>
        <w:t>David</w:t>
      </w:r>
      <w:r>
        <w:rPr>
          <w:color w:val="231F20"/>
          <w:spacing w:val="-5"/>
          <w:w w:val="105"/>
          <w:sz w:val="21"/>
        </w:rPr>
        <w:t> </w:t>
      </w:r>
      <w:r>
        <w:rPr>
          <w:color w:val="231F20"/>
          <w:spacing w:val="-2"/>
          <w:w w:val="105"/>
          <w:sz w:val="21"/>
        </w:rPr>
        <w:t>McClelland</w:t>
      </w:r>
      <w:r>
        <w:rPr>
          <w:color w:val="231F20"/>
          <w:spacing w:val="-5"/>
          <w:w w:val="105"/>
          <w:sz w:val="21"/>
        </w:rPr>
        <w:t> </w:t>
      </w:r>
      <w:r>
        <w:rPr>
          <w:color w:val="231F20"/>
          <w:spacing w:val="-2"/>
          <w:w w:val="105"/>
          <w:sz w:val="21"/>
        </w:rPr>
        <w:t>proposes</w:t>
      </w:r>
      <w:r>
        <w:rPr>
          <w:color w:val="231F20"/>
          <w:spacing w:val="-5"/>
          <w:w w:val="105"/>
          <w:sz w:val="21"/>
        </w:rPr>
        <w:t> </w:t>
      </w:r>
      <w:r>
        <w:rPr>
          <w:color w:val="231F20"/>
          <w:spacing w:val="-2"/>
          <w:w w:val="105"/>
          <w:sz w:val="21"/>
        </w:rPr>
        <w:t>that</w:t>
      </w:r>
      <w:r>
        <w:rPr>
          <w:color w:val="231F20"/>
          <w:spacing w:val="-5"/>
          <w:w w:val="105"/>
          <w:sz w:val="21"/>
        </w:rPr>
        <w:t> </w:t>
      </w:r>
      <w:r>
        <w:rPr>
          <w:color w:val="231F20"/>
          <w:spacing w:val="-2"/>
          <w:w w:val="105"/>
          <w:sz w:val="21"/>
        </w:rPr>
        <w:t>people</w:t>
      </w:r>
      <w:r>
        <w:rPr>
          <w:color w:val="231F20"/>
          <w:spacing w:val="-5"/>
          <w:w w:val="105"/>
          <w:sz w:val="21"/>
        </w:rPr>
        <w:t> </w:t>
      </w:r>
      <w:r>
        <w:rPr>
          <w:color w:val="231F20"/>
          <w:spacing w:val="-2"/>
          <w:w w:val="105"/>
          <w:sz w:val="21"/>
        </w:rPr>
        <w:t>have</w:t>
      </w:r>
      <w:r>
        <w:rPr>
          <w:color w:val="231F20"/>
          <w:spacing w:val="-5"/>
          <w:w w:val="105"/>
          <w:sz w:val="21"/>
        </w:rPr>
        <w:t> </w:t>
      </w:r>
      <w:r>
        <w:rPr>
          <w:color w:val="231F20"/>
          <w:spacing w:val="-2"/>
          <w:w w:val="105"/>
          <w:sz w:val="21"/>
        </w:rPr>
        <w:t>three</w:t>
      </w:r>
      <w:r>
        <w:rPr>
          <w:color w:val="231F20"/>
          <w:spacing w:val="-5"/>
          <w:w w:val="105"/>
          <w:sz w:val="21"/>
        </w:rPr>
        <w:t> </w:t>
      </w:r>
      <w:r>
        <w:rPr>
          <w:color w:val="231F20"/>
          <w:spacing w:val="-2"/>
          <w:w w:val="105"/>
          <w:sz w:val="21"/>
        </w:rPr>
        <w:t>basic </w:t>
      </w:r>
      <w:r>
        <w:rPr>
          <w:color w:val="231F20"/>
          <w:w w:val="105"/>
          <w:sz w:val="21"/>
        </w:rPr>
        <w:t>needs,</w:t>
      </w:r>
      <w:r>
        <w:rPr>
          <w:color w:val="231F20"/>
          <w:w w:val="105"/>
          <w:sz w:val="21"/>
        </w:rPr>
        <w:t> the</w:t>
      </w:r>
      <w:r>
        <w:rPr>
          <w:color w:val="231F20"/>
          <w:w w:val="105"/>
          <w:sz w:val="21"/>
        </w:rPr>
        <w:t> </w:t>
      </w:r>
      <w:r>
        <w:rPr>
          <w:i/>
          <w:color w:val="231F20"/>
          <w:w w:val="105"/>
          <w:sz w:val="21"/>
        </w:rPr>
        <w:t>need</w:t>
      </w:r>
      <w:r>
        <w:rPr>
          <w:i/>
          <w:color w:val="231F20"/>
          <w:w w:val="105"/>
          <w:sz w:val="21"/>
        </w:rPr>
        <w:t> for</w:t>
      </w:r>
      <w:r>
        <w:rPr>
          <w:i/>
          <w:color w:val="231F20"/>
          <w:w w:val="105"/>
          <w:sz w:val="21"/>
        </w:rPr>
        <w:t> achievement,</w:t>
      </w:r>
      <w:r>
        <w:rPr>
          <w:i/>
          <w:color w:val="231F20"/>
          <w:w w:val="105"/>
          <w:sz w:val="21"/>
        </w:rPr>
        <w:t> </w:t>
      </w:r>
      <w:r>
        <w:rPr>
          <w:color w:val="231F20"/>
          <w:w w:val="105"/>
          <w:sz w:val="21"/>
        </w:rPr>
        <w:t>the</w:t>
      </w:r>
      <w:r>
        <w:rPr>
          <w:color w:val="231F20"/>
          <w:w w:val="105"/>
          <w:sz w:val="21"/>
        </w:rPr>
        <w:t> </w:t>
      </w:r>
      <w:r>
        <w:rPr>
          <w:i/>
          <w:color w:val="231F20"/>
          <w:w w:val="105"/>
          <w:sz w:val="21"/>
        </w:rPr>
        <w:t>need</w:t>
      </w:r>
      <w:r>
        <w:rPr>
          <w:i/>
          <w:color w:val="231F20"/>
          <w:w w:val="105"/>
          <w:sz w:val="21"/>
        </w:rPr>
        <w:t> for</w:t>
      </w:r>
      <w:r>
        <w:rPr>
          <w:i/>
          <w:color w:val="231F20"/>
          <w:w w:val="105"/>
          <w:sz w:val="21"/>
        </w:rPr>
        <w:t> power,</w:t>
      </w:r>
      <w:r>
        <w:rPr>
          <w:i/>
          <w:color w:val="231F20"/>
          <w:w w:val="105"/>
          <w:sz w:val="21"/>
        </w:rPr>
        <w:t> </w:t>
      </w:r>
      <w:r>
        <w:rPr>
          <w:color w:val="231F20"/>
          <w:w w:val="105"/>
          <w:sz w:val="21"/>
        </w:rPr>
        <w:t>and</w:t>
      </w:r>
      <w:r>
        <w:rPr>
          <w:color w:val="231F20"/>
          <w:w w:val="105"/>
          <w:sz w:val="21"/>
        </w:rPr>
        <w:t> the</w:t>
      </w:r>
      <w:r>
        <w:rPr>
          <w:color w:val="231F20"/>
          <w:w w:val="105"/>
          <w:sz w:val="21"/>
        </w:rPr>
        <w:t> </w:t>
      </w:r>
      <w:r>
        <w:rPr>
          <w:i/>
          <w:color w:val="231F20"/>
          <w:w w:val="105"/>
          <w:sz w:val="21"/>
        </w:rPr>
        <w:t>need</w:t>
      </w:r>
      <w:r>
        <w:rPr>
          <w:i/>
          <w:color w:val="231F20"/>
          <w:w w:val="105"/>
          <w:sz w:val="21"/>
        </w:rPr>
        <w:t> for</w:t>
      </w:r>
      <w:r>
        <w:rPr>
          <w:i/>
          <w:color w:val="231F20"/>
          <w:w w:val="105"/>
          <w:sz w:val="21"/>
        </w:rPr>
        <w:t> affiliation.</w:t>
      </w:r>
      <w:r>
        <w:rPr>
          <w:i/>
          <w:color w:val="231F20"/>
          <w:w w:val="105"/>
          <w:sz w:val="21"/>
        </w:rPr>
        <w:t> </w:t>
      </w:r>
      <w:r>
        <w:rPr>
          <w:color w:val="231F20"/>
          <w:w w:val="105"/>
          <w:sz w:val="21"/>
        </w:rPr>
        <w:t>Whatever</w:t>
      </w:r>
      <w:r>
        <w:rPr>
          <w:color w:val="231F20"/>
          <w:w w:val="105"/>
          <w:sz w:val="21"/>
        </w:rPr>
        <w:t> the</w:t>
      </w:r>
      <w:r>
        <w:rPr>
          <w:color w:val="231F20"/>
          <w:w w:val="105"/>
          <w:sz w:val="21"/>
        </w:rPr>
        <w:t> theory,</w:t>
      </w:r>
      <w:r>
        <w:rPr>
          <w:color w:val="231F20"/>
          <w:w w:val="105"/>
          <w:sz w:val="21"/>
        </w:rPr>
        <w:t> managers</w:t>
      </w:r>
      <w:r>
        <w:rPr>
          <w:color w:val="231F20"/>
          <w:w w:val="105"/>
          <w:sz w:val="21"/>
        </w:rPr>
        <w:t> must</w:t>
      </w:r>
      <w:r>
        <w:rPr>
          <w:color w:val="231F20"/>
          <w:w w:val="105"/>
          <w:sz w:val="21"/>
        </w:rPr>
        <w:t> recognize</w:t>
      </w:r>
      <w:r>
        <w:rPr>
          <w:color w:val="231F20"/>
          <w:w w:val="105"/>
          <w:sz w:val="21"/>
        </w:rPr>
        <w:t> the needs of employees.</w:t>
      </w:r>
    </w:p>
    <w:p>
      <w:pPr>
        <w:spacing w:after="0" w:line="292" w:lineRule="auto"/>
        <w:jc w:val="both"/>
        <w:rPr>
          <w:sz w:val="21"/>
        </w:rPr>
        <w:sectPr>
          <w:pgSz w:w="8640" w:h="12960"/>
          <w:pgMar w:header="734" w:footer="0" w:top="920" w:bottom="280" w:left="340" w:right="500"/>
        </w:sectPr>
      </w:pPr>
    </w:p>
    <w:p>
      <w:pPr>
        <w:pStyle w:val="BodyText"/>
        <w:spacing w:before="10"/>
        <w:rPr>
          <w:sz w:val="17"/>
        </w:rPr>
      </w:pPr>
    </w:p>
    <w:p>
      <w:pPr>
        <w:pStyle w:val="Heading6"/>
        <w:spacing w:before="99"/>
        <w:ind w:left="299"/>
        <w:rPr>
          <w:i/>
        </w:rPr>
      </w:pPr>
      <w:r>
        <w:rPr>
          <w:i/>
          <w:color w:val="231F20"/>
          <w:w w:val="115"/>
        </w:rPr>
        <w:t>JOB</w:t>
      </w:r>
      <w:r>
        <w:rPr>
          <w:i/>
          <w:color w:val="231F20"/>
          <w:spacing w:val="52"/>
          <w:w w:val="115"/>
        </w:rPr>
        <w:t> </w:t>
      </w:r>
      <w:r>
        <w:rPr>
          <w:i/>
          <w:color w:val="231F20"/>
          <w:spacing w:val="8"/>
          <w:w w:val="115"/>
        </w:rPr>
        <w:t>DESIGN</w:t>
      </w:r>
    </w:p>
    <w:p>
      <w:pPr>
        <w:pStyle w:val="BodyText"/>
        <w:spacing w:before="2"/>
        <w:rPr>
          <w:b/>
          <w:i/>
          <w:sz w:val="30"/>
        </w:rPr>
      </w:pPr>
    </w:p>
    <w:p>
      <w:pPr>
        <w:pStyle w:val="BodyText"/>
        <w:spacing w:line="292" w:lineRule="auto"/>
        <w:ind w:left="829" w:right="756"/>
        <w:jc w:val="both"/>
      </w:pPr>
      <w:r>
        <w:rPr>
          <w:color w:val="231F20"/>
        </w:rPr>
        <w:t>Another way to understand and affect employee motivation is to </w:t>
      </w:r>
      <w:r>
        <w:rPr>
          <w:color w:val="231F20"/>
        </w:rPr>
        <w:t>in- vestigate the way a job is designed. Each job has certain </w:t>
      </w:r>
      <w:r>
        <w:rPr>
          <w:i/>
          <w:color w:val="231F20"/>
        </w:rPr>
        <w:t>core job di-</w:t>
      </w:r>
      <w:r>
        <w:rPr>
          <w:i/>
          <w:color w:val="231F20"/>
        </w:rPr>
        <w:t> mensions </w:t>
      </w:r>
      <w:r>
        <w:rPr>
          <w:color w:val="231F20"/>
        </w:rPr>
        <w:t>that describe the duties performed. These duties lead to </w:t>
      </w:r>
      <w:r>
        <w:rPr>
          <w:i/>
          <w:color w:val="231F20"/>
        </w:rPr>
        <w:t>critical psychological states </w:t>
      </w:r>
      <w:r>
        <w:rPr>
          <w:color w:val="231F20"/>
        </w:rPr>
        <w:t>within employees that result in a variety of </w:t>
      </w:r>
      <w:r>
        <w:rPr>
          <w:i/>
          <w:color w:val="231F20"/>
        </w:rPr>
        <w:t>outcomes. </w:t>
      </w:r>
      <w:r>
        <w:rPr>
          <w:color w:val="231F20"/>
        </w:rPr>
        <w:t>Outcomes are the visible manifestations of work per- formance, while psychological states are hidden in the hearts and minds of people. If the human element is ignored, then quality and efficiency will suffer.</w:t>
      </w:r>
    </w:p>
    <w:p>
      <w:pPr>
        <w:pStyle w:val="BodyText"/>
        <w:spacing w:line="292" w:lineRule="auto"/>
        <w:ind w:left="829" w:right="753" w:firstLine="340"/>
        <w:jc w:val="both"/>
      </w:pPr>
      <w:r>
        <w:rPr>
          <w:color w:val="231F20"/>
        </w:rPr>
        <w:t>If</w:t>
      </w:r>
      <w:r>
        <w:rPr>
          <w:color w:val="231F20"/>
          <w:spacing w:val="40"/>
        </w:rPr>
        <w:t> </w:t>
      </w:r>
      <w:r>
        <w:rPr>
          <w:color w:val="231F20"/>
        </w:rPr>
        <w:t>the</w:t>
      </w:r>
      <w:r>
        <w:rPr>
          <w:color w:val="231F20"/>
          <w:spacing w:val="40"/>
        </w:rPr>
        <w:t> </w:t>
      </w:r>
      <w:r>
        <w:rPr>
          <w:color w:val="231F20"/>
        </w:rPr>
        <w:t>MBA</w:t>
      </w:r>
      <w:r>
        <w:rPr>
          <w:color w:val="231F20"/>
          <w:spacing w:val="40"/>
        </w:rPr>
        <w:t> </w:t>
      </w:r>
      <w:r>
        <w:rPr>
          <w:color w:val="231F20"/>
        </w:rPr>
        <w:t>is</w:t>
      </w:r>
      <w:r>
        <w:rPr>
          <w:color w:val="231F20"/>
          <w:spacing w:val="40"/>
        </w:rPr>
        <w:t> </w:t>
      </w:r>
      <w:r>
        <w:rPr>
          <w:color w:val="231F20"/>
        </w:rPr>
        <w:t>confronted</w:t>
      </w:r>
      <w:r>
        <w:rPr>
          <w:color w:val="231F20"/>
          <w:spacing w:val="40"/>
        </w:rPr>
        <w:t> </w:t>
      </w:r>
      <w:r>
        <w:rPr>
          <w:color w:val="231F20"/>
        </w:rPr>
        <w:t>with</w:t>
      </w:r>
      <w:r>
        <w:rPr>
          <w:color w:val="231F20"/>
          <w:spacing w:val="40"/>
        </w:rPr>
        <w:t> </w:t>
      </w:r>
      <w:r>
        <w:rPr>
          <w:color w:val="231F20"/>
        </w:rPr>
        <w:t>a</w:t>
      </w:r>
      <w:r>
        <w:rPr>
          <w:color w:val="231F20"/>
          <w:spacing w:val="40"/>
        </w:rPr>
        <w:t> </w:t>
      </w:r>
      <w:r>
        <w:rPr>
          <w:color w:val="231F20"/>
        </w:rPr>
        <w:t>personnel</w:t>
      </w:r>
      <w:r>
        <w:rPr>
          <w:color w:val="231F20"/>
          <w:spacing w:val="40"/>
        </w:rPr>
        <w:t> </w:t>
      </w:r>
      <w:r>
        <w:rPr>
          <w:color w:val="231F20"/>
        </w:rPr>
        <w:t>problem,</w:t>
      </w:r>
      <w:r>
        <w:rPr>
          <w:color w:val="231F20"/>
          <w:spacing w:val="40"/>
        </w:rPr>
        <w:t> </w:t>
      </w:r>
      <w:r>
        <w:rPr>
          <w:color w:val="231F20"/>
        </w:rPr>
        <w:t>it</w:t>
      </w:r>
      <w:r>
        <w:rPr>
          <w:color w:val="231F20"/>
          <w:spacing w:val="40"/>
        </w:rPr>
        <w:t> </w:t>
      </w:r>
      <w:r>
        <w:rPr>
          <w:color w:val="231F20"/>
        </w:rPr>
        <w:t>may</w:t>
      </w:r>
      <w:r>
        <w:rPr>
          <w:color w:val="231F20"/>
          <w:spacing w:val="80"/>
        </w:rPr>
        <w:t> </w:t>
      </w:r>
      <w:r>
        <w:rPr>
          <w:color w:val="231F20"/>
        </w:rPr>
        <w:t>be the result of job design. A close study of the core job dimensions can often yield great benefits without significant costs. For </w:t>
      </w:r>
      <w:r>
        <w:rPr>
          <w:color w:val="231F20"/>
        </w:rPr>
        <w:t>example, at</w:t>
      </w:r>
      <w:r>
        <w:rPr>
          <w:color w:val="231F20"/>
          <w:spacing w:val="40"/>
        </w:rPr>
        <w:t> </w:t>
      </w:r>
      <w:r>
        <w:rPr>
          <w:color w:val="231F20"/>
        </w:rPr>
        <w:t>a</w:t>
      </w:r>
      <w:r>
        <w:rPr>
          <w:color w:val="231F20"/>
          <w:spacing w:val="40"/>
        </w:rPr>
        <w:t> </w:t>
      </w:r>
      <w:r>
        <w:rPr>
          <w:color w:val="231F20"/>
        </w:rPr>
        <w:t>Lockheed</w:t>
      </w:r>
      <w:r>
        <w:rPr>
          <w:color w:val="231F20"/>
          <w:spacing w:val="40"/>
        </w:rPr>
        <w:t> </w:t>
      </w:r>
      <w:r>
        <w:rPr>
          <w:color w:val="231F20"/>
        </w:rPr>
        <w:t>parts</w:t>
      </w:r>
      <w:r>
        <w:rPr>
          <w:color w:val="231F20"/>
          <w:spacing w:val="40"/>
        </w:rPr>
        <w:t> </w:t>
      </w:r>
      <w:r>
        <w:rPr>
          <w:color w:val="231F20"/>
        </w:rPr>
        <w:t>factory</w:t>
      </w:r>
      <w:r>
        <w:rPr>
          <w:color w:val="231F20"/>
          <w:spacing w:val="40"/>
        </w:rPr>
        <w:t> </w:t>
      </w:r>
      <w:r>
        <w:rPr>
          <w:color w:val="231F20"/>
        </w:rPr>
        <w:t>in</w:t>
      </w:r>
      <w:r>
        <w:rPr>
          <w:color w:val="231F20"/>
          <w:spacing w:val="40"/>
        </w:rPr>
        <w:t> </w:t>
      </w:r>
      <w:r>
        <w:rPr>
          <w:color w:val="231F20"/>
        </w:rPr>
        <w:t>Los</w:t>
      </w:r>
      <w:r>
        <w:rPr>
          <w:color w:val="231F20"/>
          <w:spacing w:val="40"/>
        </w:rPr>
        <w:t> </w:t>
      </w:r>
      <w:r>
        <w:rPr>
          <w:color w:val="231F20"/>
        </w:rPr>
        <w:t>Angeles,</w:t>
      </w:r>
      <w:r>
        <w:rPr>
          <w:color w:val="231F20"/>
          <w:spacing w:val="40"/>
        </w:rPr>
        <w:t> </w:t>
      </w:r>
      <w:r>
        <w:rPr>
          <w:color w:val="231F20"/>
        </w:rPr>
        <w:t>unskilled</w:t>
      </w:r>
      <w:r>
        <w:rPr>
          <w:color w:val="231F20"/>
          <w:spacing w:val="40"/>
        </w:rPr>
        <w:t> </w:t>
      </w:r>
      <w:r>
        <w:rPr>
          <w:color w:val="231F20"/>
        </w:rPr>
        <w:t>minorities were</w:t>
      </w:r>
      <w:r>
        <w:rPr>
          <w:color w:val="231F20"/>
          <w:spacing w:val="22"/>
        </w:rPr>
        <w:t> </w:t>
      </w:r>
      <w:r>
        <w:rPr>
          <w:color w:val="231F20"/>
        </w:rPr>
        <w:t>hired</w:t>
      </w:r>
      <w:r>
        <w:rPr>
          <w:color w:val="231F20"/>
          <w:spacing w:val="23"/>
        </w:rPr>
        <w:t> </w:t>
      </w:r>
      <w:r>
        <w:rPr>
          <w:color w:val="231F20"/>
        </w:rPr>
        <w:t>and</w:t>
      </w:r>
      <w:r>
        <w:rPr>
          <w:color w:val="231F20"/>
          <w:spacing w:val="22"/>
        </w:rPr>
        <w:t> </w:t>
      </w:r>
      <w:r>
        <w:rPr>
          <w:color w:val="231F20"/>
        </w:rPr>
        <w:t>trained</w:t>
      </w:r>
      <w:r>
        <w:rPr>
          <w:color w:val="231F20"/>
          <w:spacing w:val="23"/>
        </w:rPr>
        <w:t> </w:t>
      </w:r>
      <w:r>
        <w:rPr>
          <w:color w:val="231F20"/>
        </w:rPr>
        <w:t>to</w:t>
      </w:r>
      <w:r>
        <w:rPr>
          <w:color w:val="231F20"/>
          <w:spacing w:val="22"/>
        </w:rPr>
        <w:t> </w:t>
      </w:r>
      <w:r>
        <w:rPr>
          <w:color w:val="231F20"/>
        </w:rPr>
        <w:t>assemble</w:t>
      </w:r>
      <w:r>
        <w:rPr>
          <w:color w:val="231F20"/>
          <w:spacing w:val="23"/>
        </w:rPr>
        <w:t> </w:t>
      </w:r>
      <w:r>
        <w:rPr>
          <w:color w:val="231F20"/>
        </w:rPr>
        <w:t>parts</w:t>
      </w:r>
      <w:r>
        <w:rPr>
          <w:color w:val="231F20"/>
          <w:spacing w:val="23"/>
        </w:rPr>
        <w:t> </w:t>
      </w:r>
      <w:r>
        <w:rPr>
          <w:color w:val="231F20"/>
        </w:rPr>
        <w:t>for</w:t>
      </w:r>
      <w:r>
        <w:rPr>
          <w:color w:val="231F20"/>
          <w:spacing w:val="22"/>
        </w:rPr>
        <w:t> </w:t>
      </w:r>
      <w:r>
        <w:rPr>
          <w:color w:val="231F20"/>
        </w:rPr>
        <w:t>jumbo</w:t>
      </w:r>
      <w:r>
        <w:rPr>
          <w:color w:val="231F20"/>
          <w:spacing w:val="23"/>
        </w:rPr>
        <w:t> </w:t>
      </w:r>
      <w:r>
        <w:rPr>
          <w:color w:val="231F20"/>
        </w:rPr>
        <w:t>jets</w:t>
      </w:r>
      <w:r>
        <w:rPr>
          <w:color w:val="231F20"/>
          <w:spacing w:val="22"/>
        </w:rPr>
        <w:t> </w:t>
      </w:r>
      <w:r>
        <w:rPr>
          <w:color w:val="231F20"/>
          <w:spacing w:val="-2"/>
        </w:rPr>
        <w:t>fabricated</w:t>
      </w:r>
    </w:p>
    <w:p>
      <w:pPr>
        <w:pStyle w:val="BodyText"/>
        <w:rPr>
          <w:sz w:val="24"/>
        </w:rPr>
      </w:pPr>
    </w:p>
    <w:p>
      <w:pPr>
        <w:spacing w:before="204"/>
        <w:ind w:left="293" w:right="219" w:firstLine="0"/>
        <w:jc w:val="center"/>
        <w:rPr>
          <w:rFonts w:ascii="Arial"/>
          <w:sz w:val="14"/>
        </w:rPr>
      </w:pPr>
      <w:r>
        <w:rPr>
          <w:rFonts w:ascii="Arial"/>
          <w:color w:val="231F20"/>
          <w:w w:val="105"/>
          <w:sz w:val="14"/>
        </w:rPr>
        <w:t>JOB</w:t>
      </w:r>
      <w:r>
        <w:rPr>
          <w:rFonts w:ascii="Arial"/>
          <w:color w:val="231F20"/>
          <w:spacing w:val="23"/>
          <w:w w:val="105"/>
          <w:sz w:val="14"/>
        </w:rPr>
        <w:t> </w:t>
      </w:r>
      <w:r>
        <w:rPr>
          <w:rFonts w:ascii="Arial"/>
          <w:color w:val="231F20"/>
          <w:w w:val="105"/>
          <w:sz w:val="14"/>
        </w:rPr>
        <w:t>DESIGN</w:t>
      </w:r>
      <w:r>
        <w:rPr>
          <w:rFonts w:ascii="Arial"/>
          <w:color w:val="231F20"/>
          <w:spacing w:val="23"/>
          <w:w w:val="105"/>
          <w:sz w:val="14"/>
        </w:rPr>
        <w:t> </w:t>
      </w:r>
      <w:r>
        <w:rPr>
          <w:rFonts w:ascii="Arial"/>
          <w:color w:val="231F20"/>
          <w:spacing w:val="-2"/>
          <w:w w:val="105"/>
          <w:sz w:val="14"/>
        </w:rPr>
        <w:t>MODEL</w:t>
      </w:r>
    </w:p>
    <w:p>
      <w:pPr>
        <w:pStyle w:val="BodyText"/>
        <w:spacing w:before="5"/>
        <w:rPr>
          <w:rFonts w:ascii="Arial"/>
          <w:sz w:val="11"/>
        </w:rPr>
      </w:pPr>
      <w:r>
        <w:rPr/>
        <w:drawing>
          <wp:anchor distT="0" distB="0" distL="0" distR="0" allowOverlap="1" layoutInCell="1" locked="0" behindDoc="0" simplePos="0" relativeHeight="153">
            <wp:simplePos x="0" y="0"/>
            <wp:positionH relativeFrom="page">
              <wp:posOffset>709179</wp:posOffset>
            </wp:positionH>
            <wp:positionV relativeFrom="paragraph">
              <wp:posOffset>98755</wp:posOffset>
            </wp:positionV>
            <wp:extent cx="4053448" cy="2779776"/>
            <wp:effectExtent l="0" t="0" r="0" b="0"/>
            <wp:wrapTopAndBottom/>
            <wp:docPr id="33" name="image18.png"/>
            <wp:cNvGraphicFramePr>
              <a:graphicFrameLocks noChangeAspect="1"/>
            </wp:cNvGraphicFramePr>
            <a:graphic>
              <a:graphicData uri="http://schemas.openxmlformats.org/drawingml/2006/picture">
                <pic:pic>
                  <pic:nvPicPr>
                    <pic:cNvPr id="34" name="image18.png"/>
                    <pic:cNvPicPr/>
                  </pic:nvPicPr>
                  <pic:blipFill>
                    <a:blip r:embed="rId40" cstate="print"/>
                    <a:stretch>
                      <a:fillRect/>
                    </a:stretch>
                  </pic:blipFill>
                  <pic:spPr>
                    <a:xfrm>
                      <a:off x="0" y="0"/>
                      <a:ext cx="4053448" cy="2779776"/>
                    </a:xfrm>
                    <a:prstGeom prst="rect">
                      <a:avLst/>
                    </a:prstGeom>
                  </pic:spPr>
                </pic:pic>
              </a:graphicData>
            </a:graphic>
          </wp:anchor>
        </w:drawing>
      </w:r>
    </w:p>
    <w:p>
      <w:pPr>
        <w:pStyle w:val="BodyText"/>
        <w:rPr>
          <w:rFonts w:ascii="Arial"/>
          <w:sz w:val="14"/>
        </w:rPr>
      </w:pPr>
    </w:p>
    <w:p>
      <w:pPr>
        <w:pStyle w:val="BodyText"/>
        <w:spacing w:before="3"/>
        <w:rPr>
          <w:rFonts w:ascii="Arial"/>
          <w:sz w:val="16"/>
        </w:rPr>
      </w:pPr>
    </w:p>
    <w:p>
      <w:pPr>
        <w:spacing w:line="244" w:lineRule="auto" w:before="0"/>
        <w:ind w:left="830" w:right="755" w:firstLine="0"/>
        <w:jc w:val="both"/>
        <w:rPr>
          <w:sz w:val="20"/>
        </w:rPr>
      </w:pPr>
      <w:r>
        <w:rPr>
          <w:color w:val="231F20"/>
          <w:sz w:val="20"/>
        </w:rPr>
        <w:t>Adapted from “Introduction to Job Design,” by Professor William Zier- den, Case UVA-OB-91R, Figure 1. Copyright © 1975 by the Darden Graduate Business School Foundation, Charlottesville, Virginia.</w:t>
      </w:r>
    </w:p>
    <w:p>
      <w:pPr>
        <w:spacing w:after="0" w:line="244" w:lineRule="auto"/>
        <w:jc w:val="both"/>
        <w:rPr>
          <w:sz w:val="20"/>
        </w:rPr>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3"/>
        <w:jc w:val="both"/>
      </w:pPr>
      <w:r>
        <w:rPr>
          <w:color w:val="231F20"/>
        </w:rPr>
        <w:t>at another factory. The employees were unmotivated and the quality of their output was poor. In talking with the men workers, the man- agers</w:t>
      </w:r>
      <w:r>
        <w:rPr>
          <w:color w:val="231F20"/>
          <w:spacing w:val="40"/>
        </w:rPr>
        <w:t> </w:t>
      </w:r>
      <w:r>
        <w:rPr>
          <w:color w:val="231F20"/>
        </w:rPr>
        <w:t>realized</w:t>
      </w:r>
      <w:r>
        <w:rPr>
          <w:color w:val="231F20"/>
          <w:spacing w:val="40"/>
        </w:rPr>
        <w:t> </w:t>
      </w:r>
      <w:r>
        <w:rPr>
          <w:color w:val="231F20"/>
        </w:rPr>
        <w:t>that</w:t>
      </w:r>
      <w:r>
        <w:rPr>
          <w:color w:val="231F20"/>
          <w:spacing w:val="40"/>
        </w:rPr>
        <w:t> </w:t>
      </w:r>
      <w:r>
        <w:rPr>
          <w:color w:val="231F20"/>
        </w:rPr>
        <w:t>the</w:t>
      </w:r>
      <w:r>
        <w:rPr>
          <w:color w:val="231F20"/>
          <w:spacing w:val="40"/>
        </w:rPr>
        <w:t> </w:t>
      </w:r>
      <w:r>
        <w:rPr>
          <w:color w:val="231F20"/>
        </w:rPr>
        <w:t>work</w:t>
      </w:r>
      <w:r>
        <w:rPr>
          <w:color w:val="231F20"/>
          <w:spacing w:val="40"/>
        </w:rPr>
        <w:t> </w:t>
      </w:r>
      <w:r>
        <w:rPr>
          <w:color w:val="231F20"/>
        </w:rPr>
        <w:t>had</w:t>
      </w:r>
      <w:r>
        <w:rPr>
          <w:color w:val="231F20"/>
          <w:spacing w:val="40"/>
        </w:rPr>
        <w:t> </w:t>
      </w:r>
      <w:r>
        <w:rPr>
          <w:color w:val="231F20"/>
        </w:rPr>
        <w:t>no</w:t>
      </w:r>
      <w:r>
        <w:rPr>
          <w:color w:val="231F20"/>
          <w:spacing w:val="40"/>
        </w:rPr>
        <w:t> </w:t>
      </w:r>
      <w:r>
        <w:rPr>
          <w:color w:val="231F20"/>
        </w:rPr>
        <w:t>meaning</w:t>
      </w:r>
      <w:r>
        <w:rPr>
          <w:color w:val="231F20"/>
          <w:spacing w:val="40"/>
        </w:rPr>
        <w:t> </w:t>
      </w:r>
      <w:r>
        <w:rPr>
          <w:color w:val="231F20"/>
        </w:rPr>
        <w:t>to</w:t>
      </w:r>
      <w:r>
        <w:rPr>
          <w:color w:val="231F20"/>
          <w:spacing w:val="40"/>
        </w:rPr>
        <w:t> </w:t>
      </w:r>
      <w:r>
        <w:rPr>
          <w:color w:val="231F20"/>
        </w:rPr>
        <w:t>them.</w:t>
      </w:r>
      <w:r>
        <w:rPr>
          <w:color w:val="231F20"/>
          <w:spacing w:val="40"/>
        </w:rPr>
        <w:t> </w:t>
      </w:r>
      <w:r>
        <w:rPr>
          <w:color w:val="231F20"/>
        </w:rPr>
        <w:t>They</w:t>
      </w:r>
      <w:r>
        <w:rPr>
          <w:color w:val="231F20"/>
          <w:spacing w:val="40"/>
        </w:rPr>
        <w:t> </w:t>
      </w:r>
      <w:r>
        <w:rPr>
          <w:color w:val="231F20"/>
        </w:rPr>
        <w:t>did not understand what they were producing. To fix that, the workers were taken to the aircraft assembly plant to see where their parts were installed. They also met those who were inconvenienced </w:t>
      </w:r>
      <w:r>
        <w:rPr>
          <w:color w:val="231F20"/>
        </w:rPr>
        <w:t>when they received a defective product. Realizing the relevance of their work, the employees became more productive and part defects de- creased. Their previously pointless assembly task acquired significance, and they responded by performing better. The result was</w:t>
      </w:r>
      <w:r>
        <w:rPr>
          <w:color w:val="231F20"/>
          <w:spacing w:val="40"/>
        </w:rPr>
        <w:t> </w:t>
      </w:r>
      <w:r>
        <w:rPr>
          <w:color w:val="231F20"/>
        </w:rPr>
        <w:t>a</w:t>
      </w:r>
      <w:r>
        <w:rPr>
          <w:color w:val="231F20"/>
          <w:spacing w:val="40"/>
        </w:rPr>
        <w:t> </w:t>
      </w:r>
      <w:r>
        <w:rPr>
          <w:color w:val="231F20"/>
        </w:rPr>
        <w:t>happier</w:t>
      </w:r>
      <w:r>
        <w:rPr>
          <w:color w:val="231F20"/>
          <w:spacing w:val="40"/>
        </w:rPr>
        <w:t> </w:t>
      </w:r>
      <w:r>
        <w:rPr>
          <w:color w:val="231F20"/>
        </w:rPr>
        <w:t>workforce</w:t>
      </w:r>
      <w:r>
        <w:rPr>
          <w:color w:val="231F20"/>
          <w:spacing w:val="40"/>
        </w:rPr>
        <w:t> </w:t>
      </w:r>
      <w:r>
        <w:rPr>
          <w:color w:val="231F20"/>
        </w:rPr>
        <w:t>that</w:t>
      </w:r>
      <w:r>
        <w:rPr>
          <w:color w:val="231F20"/>
          <w:spacing w:val="40"/>
        </w:rPr>
        <w:t> </w:t>
      </w:r>
      <w:r>
        <w:rPr>
          <w:color w:val="231F20"/>
        </w:rPr>
        <w:t>took</w:t>
      </w:r>
      <w:r>
        <w:rPr>
          <w:color w:val="231F20"/>
          <w:spacing w:val="40"/>
        </w:rPr>
        <w:t> </w:t>
      </w:r>
      <w:r>
        <w:rPr>
          <w:color w:val="231F20"/>
        </w:rPr>
        <w:t>pride</w:t>
      </w:r>
      <w:r>
        <w:rPr>
          <w:color w:val="231F20"/>
          <w:spacing w:val="40"/>
        </w:rPr>
        <w:t> </w:t>
      </w:r>
      <w:r>
        <w:rPr>
          <w:color w:val="231F20"/>
        </w:rPr>
        <w:t>in</w:t>
      </w:r>
      <w:r>
        <w:rPr>
          <w:color w:val="231F20"/>
          <w:spacing w:val="40"/>
        </w:rPr>
        <w:t> </w:t>
      </w:r>
      <w:r>
        <w:rPr>
          <w:color w:val="231F20"/>
        </w:rPr>
        <w:t>a</w:t>
      </w:r>
      <w:r>
        <w:rPr>
          <w:color w:val="231F20"/>
          <w:spacing w:val="40"/>
        </w:rPr>
        <w:t> </w:t>
      </w:r>
      <w:r>
        <w:rPr>
          <w:color w:val="231F20"/>
        </w:rPr>
        <w:t>job</w:t>
      </w:r>
      <w:r>
        <w:rPr>
          <w:color w:val="231F20"/>
          <w:spacing w:val="40"/>
        </w:rPr>
        <w:t> </w:t>
      </w:r>
      <w:r>
        <w:rPr>
          <w:color w:val="231F20"/>
        </w:rPr>
        <w:t>well</w:t>
      </w:r>
      <w:r>
        <w:rPr>
          <w:color w:val="231F20"/>
          <w:spacing w:val="40"/>
        </w:rPr>
        <w:t> </w:t>
      </w:r>
      <w:r>
        <w:rPr>
          <w:color w:val="231F20"/>
        </w:rPr>
        <w:t>done.</w:t>
      </w:r>
      <w:r>
        <w:rPr>
          <w:color w:val="231F20"/>
          <w:spacing w:val="40"/>
        </w:rPr>
        <w:t> </w:t>
      </w:r>
      <w:r>
        <w:rPr>
          <w:color w:val="231F20"/>
        </w:rPr>
        <w:t>The MBA</w:t>
      </w:r>
      <w:r>
        <w:rPr>
          <w:color w:val="231F20"/>
          <w:spacing w:val="40"/>
        </w:rPr>
        <w:t> </w:t>
      </w:r>
      <w:r>
        <w:rPr>
          <w:color w:val="231F20"/>
        </w:rPr>
        <w:t>term</w:t>
      </w:r>
      <w:r>
        <w:rPr>
          <w:color w:val="231F20"/>
          <w:spacing w:val="40"/>
        </w:rPr>
        <w:t> </w:t>
      </w:r>
      <w:r>
        <w:rPr>
          <w:color w:val="231F20"/>
        </w:rPr>
        <w:t>for</w:t>
      </w:r>
      <w:r>
        <w:rPr>
          <w:color w:val="231F20"/>
          <w:spacing w:val="40"/>
        </w:rPr>
        <w:t> </w:t>
      </w:r>
      <w:r>
        <w:rPr>
          <w:color w:val="231F20"/>
        </w:rPr>
        <w:t>such</w:t>
      </w:r>
      <w:r>
        <w:rPr>
          <w:color w:val="231F20"/>
          <w:spacing w:val="40"/>
        </w:rPr>
        <w:t> </w:t>
      </w:r>
      <w:r>
        <w:rPr>
          <w:color w:val="231F20"/>
        </w:rPr>
        <w:t>employee</w:t>
      </w:r>
      <w:r>
        <w:rPr>
          <w:color w:val="231F20"/>
          <w:spacing w:val="40"/>
        </w:rPr>
        <w:t> </w:t>
      </w:r>
      <w:r>
        <w:rPr>
          <w:color w:val="231F20"/>
        </w:rPr>
        <w:t>happiness</w:t>
      </w:r>
      <w:r>
        <w:rPr>
          <w:color w:val="231F20"/>
          <w:spacing w:val="40"/>
        </w:rPr>
        <w:t> </w:t>
      </w:r>
      <w:r>
        <w:rPr>
          <w:color w:val="231F20"/>
        </w:rPr>
        <w:t>is</w:t>
      </w:r>
      <w:r>
        <w:rPr>
          <w:color w:val="231F20"/>
          <w:spacing w:val="40"/>
        </w:rPr>
        <w:t> </w:t>
      </w:r>
      <w:r>
        <w:rPr>
          <w:i/>
          <w:color w:val="231F20"/>
        </w:rPr>
        <w:t>quality</w:t>
      </w:r>
      <w:r>
        <w:rPr>
          <w:i/>
          <w:color w:val="231F20"/>
          <w:spacing w:val="40"/>
        </w:rPr>
        <w:t> </w:t>
      </w:r>
      <w:r>
        <w:rPr>
          <w:i/>
          <w:color w:val="231F20"/>
        </w:rPr>
        <w:t>of</w:t>
      </w:r>
      <w:r>
        <w:rPr>
          <w:i/>
          <w:color w:val="231F20"/>
          <w:spacing w:val="40"/>
        </w:rPr>
        <w:t> </w:t>
      </w:r>
      <w:r>
        <w:rPr>
          <w:i/>
          <w:color w:val="231F20"/>
        </w:rPr>
        <w:t>work</w:t>
      </w:r>
      <w:r>
        <w:rPr>
          <w:i/>
          <w:color w:val="231F20"/>
          <w:spacing w:val="40"/>
        </w:rPr>
        <w:t> </w:t>
      </w:r>
      <w:r>
        <w:rPr>
          <w:i/>
          <w:color w:val="231F20"/>
        </w:rPr>
        <w:t>life</w:t>
      </w:r>
      <w:r>
        <w:rPr>
          <w:i/>
          <w:color w:val="231F20"/>
        </w:rPr>
        <w:t> </w:t>
      </w:r>
      <w:r>
        <w:rPr>
          <w:color w:val="231F20"/>
        </w:rPr>
        <w:t>(QWL). When employees are given the chance to be all that they can be, the word MBAs use to describe this is </w:t>
      </w:r>
      <w:r>
        <w:rPr>
          <w:i/>
          <w:color w:val="231F20"/>
        </w:rPr>
        <w:t>empowerment. </w:t>
      </w:r>
      <w:r>
        <w:rPr>
          <w:color w:val="231F20"/>
        </w:rPr>
        <w:t>You can hardly pick up a business book today without tripping over that</w:t>
      </w:r>
      <w:r>
        <w:rPr>
          <w:color w:val="231F20"/>
          <w:spacing w:val="40"/>
        </w:rPr>
        <w:t> </w:t>
      </w:r>
      <w:r>
        <w:rPr>
          <w:color w:val="231F20"/>
          <w:spacing w:val="-2"/>
        </w:rPr>
        <w:t>word.</w:t>
      </w:r>
    </w:p>
    <w:p>
      <w:pPr>
        <w:pStyle w:val="BodyText"/>
        <w:rPr>
          <w:sz w:val="24"/>
        </w:rPr>
      </w:pPr>
    </w:p>
    <w:p>
      <w:pPr>
        <w:pStyle w:val="BodyText"/>
        <w:spacing w:before="7"/>
        <w:rPr>
          <w:sz w:val="26"/>
        </w:rPr>
      </w:pPr>
    </w:p>
    <w:p>
      <w:pPr>
        <w:pStyle w:val="Heading6"/>
        <w:spacing w:before="1"/>
        <w:rPr>
          <w:i/>
        </w:rPr>
      </w:pPr>
      <w:r>
        <w:rPr>
          <w:i/>
          <w:color w:val="231F20"/>
          <w:w w:val="110"/>
        </w:rPr>
        <w:t>MBA</w:t>
      </w:r>
      <w:r>
        <w:rPr>
          <w:i/>
          <w:color w:val="231F20"/>
          <w:spacing w:val="17"/>
          <w:w w:val="110"/>
        </w:rPr>
        <w:t> </w:t>
      </w:r>
      <w:r>
        <w:rPr>
          <w:i/>
          <w:color w:val="231F20"/>
          <w:spacing w:val="9"/>
          <w:w w:val="110"/>
        </w:rPr>
        <w:t>PERSONALITY</w:t>
      </w:r>
      <w:r>
        <w:rPr>
          <w:i/>
          <w:color w:val="231F20"/>
          <w:spacing w:val="18"/>
          <w:w w:val="110"/>
        </w:rPr>
        <w:t> </w:t>
      </w:r>
      <w:r>
        <w:rPr>
          <w:i/>
          <w:color w:val="231F20"/>
          <w:spacing w:val="8"/>
          <w:w w:val="110"/>
        </w:rPr>
        <w:t>TRAITS</w:t>
      </w:r>
    </w:p>
    <w:p>
      <w:pPr>
        <w:pStyle w:val="BodyText"/>
        <w:spacing w:before="1"/>
        <w:rPr>
          <w:b/>
          <w:i/>
          <w:sz w:val="30"/>
        </w:rPr>
      </w:pPr>
    </w:p>
    <w:p>
      <w:pPr>
        <w:pStyle w:val="BodyText"/>
        <w:spacing w:line="292" w:lineRule="auto" w:before="1"/>
        <w:ind w:left="920" w:right="666"/>
        <w:jc w:val="both"/>
      </w:pPr>
      <w:r>
        <w:rPr>
          <w:color w:val="231F20"/>
        </w:rPr>
        <w:t>Business schools teach young women and men business skills, but they also try to motivate their students to maximize their own </w:t>
      </w:r>
      <w:r>
        <w:rPr>
          <w:color w:val="231F20"/>
        </w:rPr>
        <w:t>po- tential. In that vein, MBAs are taught to be innovative leaders.</w:t>
      </w:r>
    </w:p>
    <w:p>
      <w:pPr>
        <w:pStyle w:val="BodyText"/>
        <w:spacing w:before="5"/>
        <w:rPr>
          <w:sz w:val="25"/>
        </w:rPr>
      </w:pPr>
    </w:p>
    <w:p>
      <w:pPr>
        <w:pStyle w:val="BodyText"/>
        <w:spacing w:line="292" w:lineRule="auto" w:before="1"/>
        <w:ind w:left="920" w:right="664"/>
        <w:jc w:val="both"/>
      </w:pPr>
      <w:r>
        <w:rPr>
          <w:i/>
          <w:color w:val="231F20"/>
        </w:rPr>
        <w:t>Leadership. </w:t>
      </w:r>
      <w:r>
        <w:rPr>
          <w:color w:val="231F20"/>
        </w:rPr>
        <w:t>The top MBA schools claim to be incubators for </w:t>
      </w:r>
      <w:r>
        <w:rPr>
          <w:color w:val="231F20"/>
        </w:rPr>
        <w:t>the business leaders of tomorrow. In this pursuit, organizational behav- ior classes probe the subject of leadership and its responsibilities. Some schools even send their students to the woods for Outward Bound experiences to unleash the leaders inside them and develop team skills. Leaders shape goals. Leaders develop new ideas. Leaders reach people on an emotional level. Managers, on the other hand, react to events. Managers solve problems, while leaders take on challenges. Of course, at the top business schools, everyone fancies himself or herself as a future captain of industry. At the end of the book in chapter 10, there is a Ten-Minute Leadership Coach to help you to succeed.</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i/>
          <w:color w:val="231F20"/>
          <w:w w:val="105"/>
        </w:rPr>
        <w:t>The Leadership VCM Model. </w:t>
      </w:r>
      <w:r>
        <w:rPr>
          <w:color w:val="231F20"/>
          <w:w w:val="105"/>
        </w:rPr>
        <w:t>The VCM leadership model </w:t>
      </w:r>
      <w:r>
        <w:rPr>
          <w:color w:val="231F20"/>
          <w:w w:val="105"/>
        </w:rPr>
        <w:t>proposes </w:t>
      </w:r>
      <w:r>
        <w:rPr>
          <w:color w:val="231F20"/>
        </w:rPr>
        <w:t>that</w:t>
      </w:r>
      <w:r>
        <w:rPr>
          <w:color w:val="231F20"/>
          <w:spacing w:val="-1"/>
        </w:rPr>
        <w:t> </w:t>
      </w:r>
      <w:r>
        <w:rPr>
          <w:color w:val="231F20"/>
        </w:rPr>
        <w:t>the</w:t>
      </w:r>
      <w:r>
        <w:rPr>
          <w:color w:val="231F20"/>
          <w:spacing w:val="-1"/>
        </w:rPr>
        <w:t> </w:t>
      </w:r>
      <w:r>
        <w:rPr>
          <w:color w:val="231F20"/>
        </w:rPr>
        <w:t>following</w:t>
      </w:r>
      <w:r>
        <w:rPr>
          <w:color w:val="231F20"/>
          <w:spacing w:val="-1"/>
        </w:rPr>
        <w:t> </w:t>
      </w:r>
      <w:r>
        <w:rPr>
          <w:color w:val="231F20"/>
        </w:rPr>
        <w:t>three</w:t>
      </w:r>
      <w:r>
        <w:rPr>
          <w:color w:val="231F20"/>
          <w:spacing w:val="-1"/>
        </w:rPr>
        <w:t> </w:t>
      </w:r>
      <w:r>
        <w:rPr>
          <w:color w:val="231F20"/>
        </w:rPr>
        <w:t>characteristics</w:t>
      </w:r>
      <w:r>
        <w:rPr>
          <w:color w:val="231F20"/>
          <w:spacing w:val="-1"/>
        </w:rPr>
        <w:t> </w:t>
      </w:r>
      <w:r>
        <w:rPr>
          <w:color w:val="231F20"/>
        </w:rPr>
        <w:t>are</w:t>
      </w:r>
      <w:r>
        <w:rPr>
          <w:color w:val="231F20"/>
          <w:spacing w:val="-1"/>
        </w:rPr>
        <w:t> </w:t>
      </w:r>
      <w:r>
        <w:rPr>
          <w:color w:val="231F20"/>
        </w:rPr>
        <w:t>part</w:t>
      </w:r>
      <w:r>
        <w:rPr>
          <w:color w:val="231F20"/>
          <w:spacing w:val="-1"/>
        </w:rPr>
        <w:t> </w:t>
      </w:r>
      <w:r>
        <w:rPr>
          <w:color w:val="231F20"/>
        </w:rPr>
        <w:t>of</w:t>
      </w:r>
      <w:r>
        <w:rPr>
          <w:color w:val="231F20"/>
          <w:spacing w:val="-1"/>
        </w:rPr>
        <w:t> </w:t>
      </w:r>
      <w:r>
        <w:rPr>
          <w:color w:val="231F20"/>
        </w:rPr>
        <w:t>a</w:t>
      </w:r>
      <w:r>
        <w:rPr>
          <w:color w:val="231F20"/>
          <w:spacing w:val="-1"/>
        </w:rPr>
        <w:t> </w:t>
      </w:r>
      <w:r>
        <w:rPr>
          <w:color w:val="231F20"/>
        </w:rPr>
        <w:t>leader’s</w:t>
      </w:r>
      <w:r>
        <w:rPr>
          <w:color w:val="231F20"/>
          <w:spacing w:val="-1"/>
        </w:rPr>
        <w:t> </w:t>
      </w:r>
      <w:r>
        <w:rPr>
          <w:color w:val="231F20"/>
        </w:rPr>
        <w:t>personal </w:t>
      </w:r>
      <w:r>
        <w:rPr>
          <w:color w:val="231F20"/>
          <w:spacing w:val="-2"/>
          <w:w w:val="105"/>
        </w:rPr>
        <w:t>profile:</w:t>
      </w:r>
    </w:p>
    <w:p>
      <w:pPr>
        <w:pStyle w:val="BodyText"/>
        <w:spacing w:before="3"/>
        <w:rPr>
          <w:sz w:val="27"/>
        </w:rPr>
      </w:pPr>
    </w:p>
    <w:p>
      <w:pPr>
        <w:pStyle w:val="ListParagraph"/>
        <w:numPr>
          <w:ilvl w:val="0"/>
          <w:numId w:val="24"/>
        </w:numPr>
        <w:tabs>
          <w:tab w:pos="1356" w:val="left" w:leader="none"/>
        </w:tabs>
        <w:spacing w:line="240" w:lineRule="auto" w:before="0" w:after="0"/>
        <w:ind w:left="1355" w:right="0" w:hanging="186"/>
        <w:jc w:val="left"/>
        <w:rPr>
          <w:sz w:val="19"/>
        </w:rPr>
      </w:pPr>
      <w:r>
        <w:rPr>
          <w:color w:val="231F20"/>
          <w:spacing w:val="-2"/>
          <w:w w:val="110"/>
          <w:sz w:val="19"/>
        </w:rPr>
        <w:t>Vision</w:t>
      </w:r>
    </w:p>
    <w:p>
      <w:pPr>
        <w:pStyle w:val="ListParagraph"/>
        <w:numPr>
          <w:ilvl w:val="0"/>
          <w:numId w:val="24"/>
        </w:numPr>
        <w:tabs>
          <w:tab w:pos="1356" w:val="left" w:leader="none"/>
        </w:tabs>
        <w:spacing w:line="240" w:lineRule="auto" w:before="82" w:after="0"/>
        <w:ind w:left="1355" w:right="0" w:hanging="186"/>
        <w:jc w:val="left"/>
        <w:rPr>
          <w:sz w:val="19"/>
        </w:rPr>
      </w:pPr>
      <w:r>
        <w:rPr>
          <w:color w:val="231F20"/>
          <w:spacing w:val="-2"/>
          <w:w w:val="115"/>
          <w:sz w:val="19"/>
        </w:rPr>
        <w:t>Commitment</w:t>
      </w:r>
    </w:p>
    <w:p>
      <w:pPr>
        <w:pStyle w:val="ListParagraph"/>
        <w:numPr>
          <w:ilvl w:val="0"/>
          <w:numId w:val="24"/>
        </w:numPr>
        <w:tabs>
          <w:tab w:pos="1356" w:val="left" w:leader="none"/>
        </w:tabs>
        <w:spacing w:line="240" w:lineRule="auto" w:before="81" w:after="0"/>
        <w:ind w:left="1355" w:right="0" w:hanging="186"/>
        <w:jc w:val="left"/>
        <w:rPr>
          <w:sz w:val="19"/>
        </w:rPr>
      </w:pPr>
      <w:r>
        <w:rPr>
          <w:color w:val="231F20"/>
          <w:w w:val="110"/>
          <w:sz w:val="19"/>
        </w:rPr>
        <w:t>Management</w:t>
      </w:r>
      <w:r>
        <w:rPr>
          <w:color w:val="231F20"/>
          <w:spacing w:val="15"/>
          <w:w w:val="110"/>
          <w:sz w:val="19"/>
        </w:rPr>
        <w:t> </w:t>
      </w:r>
      <w:r>
        <w:rPr>
          <w:color w:val="231F20"/>
          <w:spacing w:val="-2"/>
          <w:w w:val="110"/>
          <w:sz w:val="19"/>
        </w:rPr>
        <w:t>Skills</w:t>
      </w:r>
    </w:p>
    <w:p>
      <w:pPr>
        <w:pStyle w:val="BodyText"/>
        <w:rPr>
          <w:rFonts w:ascii="Arial"/>
          <w:sz w:val="20"/>
        </w:rPr>
      </w:pPr>
    </w:p>
    <w:p>
      <w:pPr>
        <w:pStyle w:val="BodyText"/>
        <w:spacing w:line="292" w:lineRule="auto" w:before="131"/>
        <w:ind w:left="830" w:right="754" w:firstLine="340"/>
        <w:jc w:val="both"/>
      </w:pPr>
      <w:r>
        <w:rPr>
          <w:color w:val="231F20"/>
        </w:rPr>
        <w:t>Leaders exhibit these qualities in differing proportions. No </w:t>
      </w:r>
      <w:r>
        <w:rPr>
          <w:color w:val="231F20"/>
        </w:rPr>
        <w:t>par- ticular mix works best. It all depends on the individual and the job situation. Steve Jobs could be viewed as being high on vision when</w:t>
      </w:r>
      <w:r>
        <w:rPr>
          <w:color w:val="231F20"/>
          <w:spacing w:val="80"/>
        </w:rPr>
        <w:t> </w:t>
      </w:r>
      <w:r>
        <w:rPr>
          <w:color w:val="231F20"/>
        </w:rPr>
        <w:t>he saw the potential for user-friendly personal computing in the 1980s. In the accounting profession, vision is not as critical, whereas </w:t>
      </w:r>
      <w:r>
        <w:rPr>
          <w:i/>
          <w:color w:val="231F20"/>
        </w:rPr>
        <w:t>management skills </w:t>
      </w:r>
      <w:r>
        <w:rPr>
          <w:color w:val="231F20"/>
        </w:rPr>
        <w:t>and </w:t>
      </w:r>
      <w:r>
        <w:rPr>
          <w:i/>
          <w:color w:val="231F20"/>
        </w:rPr>
        <w:t>commitment </w:t>
      </w:r>
      <w:r>
        <w:rPr>
          <w:color w:val="231F20"/>
        </w:rPr>
        <w:t>to long hours are the keys to </w:t>
      </w:r>
      <w:r>
        <w:rPr>
          <w:color w:val="231F20"/>
          <w:spacing w:val="-2"/>
        </w:rPr>
        <w:t>success.</w:t>
      </w:r>
    </w:p>
    <w:p>
      <w:pPr>
        <w:pStyle w:val="BodyText"/>
        <w:spacing w:before="4"/>
        <w:rPr>
          <w:sz w:val="25"/>
        </w:rPr>
      </w:pPr>
    </w:p>
    <w:p>
      <w:pPr>
        <w:pStyle w:val="BodyText"/>
        <w:spacing w:line="292" w:lineRule="auto"/>
        <w:ind w:left="829" w:right="753"/>
        <w:jc w:val="both"/>
      </w:pPr>
      <w:r>
        <w:rPr>
          <w:i/>
          <w:color w:val="231F20"/>
          <w:w w:val="105"/>
        </w:rPr>
        <w:t>Leadership</w:t>
      </w:r>
      <w:r>
        <w:rPr>
          <w:i/>
          <w:color w:val="231F20"/>
          <w:w w:val="105"/>
        </w:rPr>
        <w:t> Patterns. </w:t>
      </w:r>
      <w:r>
        <w:rPr>
          <w:color w:val="231F20"/>
          <w:w w:val="105"/>
        </w:rPr>
        <w:t>There</w:t>
      </w:r>
      <w:r>
        <w:rPr>
          <w:color w:val="231F20"/>
          <w:w w:val="105"/>
        </w:rPr>
        <w:t> are</w:t>
      </w:r>
      <w:r>
        <w:rPr>
          <w:color w:val="231F20"/>
          <w:w w:val="105"/>
        </w:rPr>
        <w:t> as</w:t>
      </w:r>
      <w:r>
        <w:rPr>
          <w:color w:val="231F20"/>
          <w:w w:val="105"/>
        </w:rPr>
        <w:t> many</w:t>
      </w:r>
      <w:r>
        <w:rPr>
          <w:color w:val="231F20"/>
          <w:w w:val="105"/>
        </w:rPr>
        <w:t> ways</w:t>
      </w:r>
      <w:r>
        <w:rPr>
          <w:color w:val="231F20"/>
          <w:w w:val="105"/>
        </w:rPr>
        <w:t> to</w:t>
      </w:r>
      <w:r>
        <w:rPr>
          <w:color w:val="231F20"/>
          <w:w w:val="105"/>
        </w:rPr>
        <w:t> lead</w:t>
      </w:r>
      <w:r>
        <w:rPr>
          <w:color w:val="231F20"/>
          <w:w w:val="105"/>
        </w:rPr>
        <w:t> the</w:t>
      </w:r>
      <w:r>
        <w:rPr>
          <w:color w:val="231F20"/>
          <w:w w:val="105"/>
        </w:rPr>
        <w:t> troops</w:t>
      </w:r>
      <w:r>
        <w:rPr>
          <w:color w:val="231F20"/>
          <w:w w:val="105"/>
        </w:rPr>
        <w:t> as there</w:t>
      </w:r>
      <w:r>
        <w:rPr>
          <w:color w:val="231F20"/>
          <w:w w:val="105"/>
        </w:rPr>
        <w:t> are</w:t>
      </w:r>
      <w:r>
        <w:rPr>
          <w:color w:val="231F20"/>
          <w:w w:val="105"/>
        </w:rPr>
        <w:t> people.</w:t>
      </w:r>
      <w:r>
        <w:rPr>
          <w:color w:val="231F20"/>
          <w:w w:val="105"/>
        </w:rPr>
        <w:t> Leadership</w:t>
      </w:r>
      <w:r>
        <w:rPr>
          <w:color w:val="231F20"/>
          <w:w w:val="105"/>
        </w:rPr>
        <w:t> styles</w:t>
      </w:r>
      <w:r>
        <w:rPr>
          <w:color w:val="231F20"/>
          <w:w w:val="105"/>
        </w:rPr>
        <w:t> lie</w:t>
      </w:r>
      <w:r>
        <w:rPr>
          <w:color w:val="231F20"/>
          <w:w w:val="105"/>
        </w:rPr>
        <w:t> on</w:t>
      </w:r>
      <w:r>
        <w:rPr>
          <w:color w:val="231F20"/>
          <w:w w:val="105"/>
        </w:rPr>
        <w:t> a</w:t>
      </w:r>
      <w:r>
        <w:rPr>
          <w:color w:val="231F20"/>
          <w:w w:val="105"/>
        </w:rPr>
        <w:t> spectrum</w:t>
      </w:r>
      <w:r>
        <w:rPr>
          <w:color w:val="231F20"/>
          <w:w w:val="105"/>
        </w:rPr>
        <w:t> from</w:t>
      </w:r>
      <w:r>
        <w:rPr>
          <w:color w:val="231F20"/>
          <w:w w:val="105"/>
        </w:rPr>
        <w:t> </w:t>
      </w:r>
      <w:r>
        <w:rPr>
          <w:i/>
          <w:color w:val="231F20"/>
          <w:w w:val="105"/>
        </w:rPr>
        <w:t>boss-</w:t>
      </w:r>
      <w:r>
        <w:rPr>
          <w:i/>
          <w:color w:val="231F20"/>
          <w:w w:val="105"/>
        </w:rPr>
        <w:t> centered</w:t>
      </w:r>
      <w:r>
        <w:rPr>
          <w:i/>
          <w:color w:val="231F20"/>
          <w:spacing w:val="-7"/>
          <w:w w:val="105"/>
        </w:rPr>
        <w:t> </w:t>
      </w:r>
      <w:r>
        <w:rPr>
          <w:color w:val="231F20"/>
          <w:w w:val="105"/>
        </w:rPr>
        <w:t>to</w:t>
      </w:r>
      <w:r>
        <w:rPr>
          <w:color w:val="231F20"/>
          <w:spacing w:val="-7"/>
          <w:w w:val="105"/>
        </w:rPr>
        <w:t> </w:t>
      </w:r>
      <w:r>
        <w:rPr>
          <w:i/>
          <w:color w:val="231F20"/>
          <w:w w:val="105"/>
        </w:rPr>
        <w:t>subordinate-centered.</w:t>
      </w:r>
      <w:r>
        <w:rPr>
          <w:i/>
          <w:color w:val="231F20"/>
          <w:spacing w:val="-7"/>
          <w:w w:val="105"/>
        </w:rPr>
        <w:t> </w:t>
      </w:r>
      <w:r>
        <w:rPr>
          <w:color w:val="231F20"/>
          <w:w w:val="105"/>
        </w:rPr>
        <w:t>In</w:t>
      </w:r>
      <w:r>
        <w:rPr>
          <w:color w:val="231F20"/>
          <w:spacing w:val="-7"/>
          <w:w w:val="105"/>
        </w:rPr>
        <w:t> </w:t>
      </w:r>
      <w:r>
        <w:rPr>
          <w:color w:val="231F20"/>
          <w:w w:val="105"/>
        </w:rPr>
        <w:t>the</w:t>
      </w:r>
      <w:r>
        <w:rPr>
          <w:color w:val="231F20"/>
          <w:spacing w:val="-7"/>
          <w:w w:val="105"/>
        </w:rPr>
        <w:t> </w:t>
      </w:r>
      <w:r>
        <w:rPr>
          <w:color w:val="231F20"/>
          <w:w w:val="105"/>
        </w:rPr>
        <w:t>1960s,</w:t>
      </w:r>
      <w:r>
        <w:rPr>
          <w:color w:val="231F20"/>
          <w:spacing w:val="-7"/>
          <w:w w:val="105"/>
        </w:rPr>
        <w:t> </w:t>
      </w:r>
      <w:r>
        <w:rPr>
          <w:color w:val="231F20"/>
          <w:w w:val="105"/>
        </w:rPr>
        <w:t>executives</w:t>
      </w:r>
      <w:r>
        <w:rPr>
          <w:color w:val="231F20"/>
          <w:spacing w:val="-7"/>
          <w:w w:val="105"/>
        </w:rPr>
        <w:t> </w:t>
      </w:r>
      <w:r>
        <w:rPr>
          <w:color w:val="231F20"/>
          <w:w w:val="105"/>
        </w:rPr>
        <w:t>raced</w:t>
      </w:r>
      <w:r>
        <w:rPr>
          <w:color w:val="231F20"/>
          <w:spacing w:val="-7"/>
          <w:w w:val="105"/>
        </w:rPr>
        <w:t> </w:t>
      </w:r>
      <w:r>
        <w:rPr>
          <w:color w:val="231F20"/>
          <w:w w:val="105"/>
        </w:rPr>
        <w:t>to </w:t>
      </w:r>
      <w:r>
        <w:rPr>
          <w:color w:val="231F20"/>
        </w:rPr>
        <w:t>be tested to see where they fell on the spectrum. Based on a </w:t>
      </w:r>
      <w:r>
        <w:rPr>
          <w:i/>
          <w:color w:val="231F20"/>
        </w:rPr>
        <w:t>manage-</w:t>
      </w:r>
      <w:r>
        <w:rPr>
          <w:i/>
          <w:color w:val="231F20"/>
        </w:rPr>
        <w:t> </w:t>
      </w:r>
      <w:r>
        <w:rPr>
          <w:i/>
          <w:color w:val="231F20"/>
          <w:w w:val="105"/>
        </w:rPr>
        <w:t>rial</w:t>
      </w:r>
      <w:r>
        <w:rPr>
          <w:i/>
          <w:color w:val="231F20"/>
          <w:w w:val="105"/>
        </w:rPr>
        <w:t> grid,</w:t>
      </w:r>
      <w:r>
        <w:rPr>
          <w:i/>
          <w:color w:val="231F20"/>
          <w:w w:val="105"/>
        </w:rPr>
        <w:t> </w:t>
      </w:r>
      <w:r>
        <w:rPr>
          <w:color w:val="231F20"/>
          <w:w w:val="105"/>
        </w:rPr>
        <w:t>they</w:t>
      </w:r>
      <w:r>
        <w:rPr>
          <w:color w:val="231F20"/>
          <w:w w:val="105"/>
        </w:rPr>
        <w:t> could</w:t>
      </w:r>
      <w:r>
        <w:rPr>
          <w:color w:val="231F20"/>
          <w:w w:val="105"/>
        </w:rPr>
        <w:t> be</w:t>
      </w:r>
      <w:r>
        <w:rPr>
          <w:color w:val="231F20"/>
          <w:w w:val="105"/>
        </w:rPr>
        <w:t> classified</w:t>
      </w:r>
      <w:r>
        <w:rPr>
          <w:color w:val="231F20"/>
          <w:w w:val="105"/>
        </w:rPr>
        <w:t> a</w:t>
      </w:r>
      <w:r>
        <w:rPr>
          <w:color w:val="231F20"/>
          <w:w w:val="105"/>
        </w:rPr>
        <w:t> “dictator”</w:t>
      </w:r>
      <w:r>
        <w:rPr>
          <w:color w:val="231F20"/>
          <w:w w:val="105"/>
        </w:rPr>
        <w:t> or</w:t>
      </w:r>
      <w:r>
        <w:rPr>
          <w:color w:val="231F20"/>
          <w:w w:val="105"/>
        </w:rPr>
        <w:t> a</w:t>
      </w:r>
      <w:r>
        <w:rPr>
          <w:color w:val="231F20"/>
          <w:w w:val="105"/>
        </w:rPr>
        <w:t> “wimp.”</w:t>
      </w:r>
      <w:r>
        <w:rPr>
          <w:color w:val="231F20"/>
          <w:w w:val="105"/>
        </w:rPr>
        <w:t> Some bosses</w:t>
      </w:r>
      <w:r>
        <w:rPr>
          <w:color w:val="231F20"/>
          <w:spacing w:val="-13"/>
          <w:w w:val="105"/>
        </w:rPr>
        <w:t> </w:t>
      </w:r>
      <w:r>
        <w:rPr>
          <w:color w:val="231F20"/>
          <w:w w:val="105"/>
        </w:rPr>
        <w:t>use</w:t>
      </w:r>
      <w:r>
        <w:rPr>
          <w:color w:val="231F20"/>
          <w:spacing w:val="-12"/>
          <w:w w:val="105"/>
        </w:rPr>
        <w:t> </w:t>
      </w:r>
      <w:r>
        <w:rPr>
          <w:color w:val="231F20"/>
          <w:w w:val="105"/>
        </w:rPr>
        <w:t>their</w:t>
      </w:r>
      <w:r>
        <w:rPr>
          <w:color w:val="231F20"/>
          <w:spacing w:val="-12"/>
          <w:w w:val="105"/>
        </w:rPr>
        <w:t> </w:t>
      </w:r>
      <w:r>
        <w:rPr>
          <w:color w:val="231F20"/>
          <w:w w:val="105"/>
        </w:rPr>
        <w:t>authority</w:t>
      </w:r>
      <w:r>
        <w:rPr>
          <w:color w:val="231F20"/>
          <w:spacing w:val="-12"/>
          <w:w w:val="105"/>
        </w:rPr>
        <w:t> </w:t>
      </w:r>
      <w:r>
        <w:rPr>
          <w:color w:val="231F20"/>
          <w:w w:val="105"/>
        </w:rPr>
        <w:t>directly</w:t>
      </w:r>
      <w:r>
        <w:rPr>
          <w:color w:val="231F20"/>
          <w:spacing w:val="-12"/>
          <w:w w:val="105"/>
        </w:rPr>
        <w:t> </w:t>
      </w:r>
      <w:r>
        <w:rPr>
          <w:color w:val="231F20"/>
          <w:w w:val="105"/>
        </w:rPr>
        <w:t>to</w:t>
      </w:r>
      <w:r>
        <w:rPr>
          <w:color w:val="231F20"/>
          <w:spacing w:val="-12"/>
          <w:w w:val="105"/>
        </w:rPr>
        <w:t> </w:t>
      </w:r>
      <w:r>
        <w:rPr>
          <w:color w:val="231F20"/>
          <w:w w:val="105"/>
        </w:rPr>
        <w:t>press</w:t>
      </w:r>
      <w:r>
        <w:rPr>
          <w:color w:val="231F20"/>
          <w:spacing w:val="-12"/>
          <w:w w:val="105"/>
        </w:rPr>
        <w:t> </w:t>
      </w:r>
      <w:r>
        <w:rPr>
          <w:color w:val="231F20"/>
          <w:w w:val="105"/>
        </w:rPr>
        <w:t>their</w:t>
      </w:r>
      <w:r>
        <w:rPr>
          <w:color w:val="231F20"/>
          <w:spacing w:val="-13"/>
          <w:w w:val="105"/>
        </w:rPr>
        <w:t> </w:t>
      </w:r>
      <w:r>
        <w:rPr>
          <w:color w:val="231F20"/>
          <w:w w:val="105"/>
        </w:rPr>
        <w:t>people</w:t>
      </w:r>
      <w:r>
        <w:rPr>
          <w:color w:val="231F20"/>
          <w:spacing w:val="-12"/>
          <w:w w:val="105"/>
        </w:rPr>
        <w:t> </w:t>
      </w:r>
      <w:r>
        <w:rPr>
          <w:color w:val="231F20"/>
          <w:w w:val="105"/>
        </w:rPr>
        <w:t>into</w:t>
      </w:r>
      <w:r>
        <w:rPr>
          <w:color w:val="231F20"/>
          <w:spacing w:val="-12"/>
          <w:w w:val="105"/>
        </w:rPr>
        <w:t> </w:t>
      </w:r>
      <w:r>
        <w:rPr>
          <w:color w:val="231F20"/>
          <w:w w:val="105"/>
        </w:rPr>
        <w:t>action. They</w:t>
      </w:r>
      <w:r>
        <w:rPr>
          <w:color w:val="231F20"/>
          <w:w w:val="105"/>
        </w:rPr>
        <w:t> do</w:t>
      </w:r>
      <w:r>
        <w:rPr>
          <w:color w:val="231F20"/>
          <w:w w:val="105"/>
        </w:rPr>
        <w:t> the</w:t>
      </w:r>
      <w:r>
        <w:rPr>
          <w:color w:val="231F20"/>
          <w:w w:val="105"/>
        </w:rPr>
        <w:t> thinking,</w:t>
      </w:r>
      <w:r>
        <w:rPr>
          <w:color w:val="231F20"/>
          <w:w w:val="105"/>
        </w:rPr>
        <w:t> and</w:t>
      </w:r>
      <w:r>
        <w:rPr>
          <w:color w:val="231F20"/>
          <w:w w:val="105"/>
        </w:rPr>
        <w:t> the</w:t>
      </w:r>
      <w:r>
        <w:rPr>
          <w:color w:val="231F20"/>
          <w:w w:val="105"/>
        </w:rPr>
        <w:t> staff</w:t>
      </w:r>
      <w:r>
        <w:rPr>
          <w:color w:val="231F20"/>
          <w:w w:val="105"/>
        </w:rPr>
        <w:t> does</w:t>
      </w:r>
      <w:r>
        <w:rPr>
          <w:color w:val="231F20"/>
          <w:w w:val="105"/>
        </w:rPr>
        <w:t> the</w:t>
      </w:r>
      <w:r>
        <w:rPr>
          <w:color w:val="231F20"/>
          <w:w w:val="105"/>
        </w:rPr>
        <w:t> legwork.</w:t>
      </w:r>
      <w:r>
        <w:rPr>
          <w:color w:val="231F20"/>
          <w:w w:val="105"/>
        </w:rPr>
        <w:t> Others</w:t>
      </w:r>
      <w:r>
        <w:rPr>
          <w:color w:val="231F20"/>
          <w:w w:val="105"/>
        </w:rPr>
        <w:t> give their</w:t>
      </w:r>
      <w:r>
        <w:rPr>
          <w:color w:val="231F20"/>
          <w:spacing w:val="-2"/>
          <w:w w:val="105"/>
        </w:rPr>
        <w:t> </w:t>
      </w:r>
      <w:r>
        <w:rPr>
          <w:color w:val="231F20"/>
          <w:w w:val="105"/>
        </w:rPr>
        <w:t>people</w:t>
      </w:r>
      <w:r>
        <w:rPr>
          <w:color w:val="231F20"/>
          <w:spacing w:val="-2"/>
          <w:w w:val="105"/>
        </w:rPr>
        <w:t> </w:t>
      </w:r>
      <w:r>
        <w:rPr>
          <w:color w:val="231F20"/>
          <w:w w:val="105"/>
        </w:rPr>
        <w:t>the</w:t>
      </w:r>
      <w:r>
        <w:rPr>
          <w:color w:val="231F20"/>
          <w:spacing w:val="-2"/>
          <w:w w:val="105"/>
        </w:rPr>
        <w:t> </w:t>
      </w:r>
      <w:r>
        <w:rPr>
          <w:color w:val="231F20"/>
          <w:w w:val="105"/>
        </w:rPr>
        <w:t>freedom</w:t>
      </w:r>
      <w:r>
        <w:rPr>
          <w:color w:val="231F20"/>
          <w:spacing w:val="-2"/>
          <w:w w:val="105"/>
        </w:rPr>
        <w:t> </w:t>
      </w:r>
      <w:r>
        <w:rPr>
          <w:color w:val="231F20"/>
          <w:w w:val="105"/>
        </w:rPr>
        <w:t>to</w:t>
      </w:r>
      <w:r>
        <w:rPr>
          <w:color w:val="231F20"/>
          <w:spacing w:val="-2"/>
          <w:w w:val="105"/>
        </w:rPr>
        <w:t> </w:t>
      </w:r>
      <w:r>
        <w:rPr>
          <w:color w:val="231F20"/>
          <w:w w:val="105"/>
        </w:rPr>
        <w:t>use</w:t>
      </w:r>
      <w:r>
        <w:rPr>
          <w:color w:val="231F20"/>
          <w:spacing w:val="-2"/>
          <w:w w:val="105"/>
        </w:rPr>
        <w:t> </w:t>
      </w:r>
      <w:r>
        <w:rPr>
          <w:color w:val="231F20"/>
          <w:w w:val="105"/>
        </w:rPr>
        <w:t>their</w:t>
      </w:r>
      <w:r>
        <w:rPr>
          <w:color w:val="231F20"/>
          <w:spacing w:val="-2"/>
          <w:w w:val="105"/>
        </w:rPr>
        <w:t> </w:t>
      </w:r>
      <w:r>
        <w:rPr>
          <w:color w:val="231F20"/>
          <w:w w:val="105"/>
        </w:rPr>
        <w:t>own</w:t>
      </w:r>
      <w:r>
        <w:rPr>
          <w:color w:val="231F20"/>
          <w:spacing w:val="-2"/>
          <w:w w:val="105"/>
        </w:rPr>
        <w:t> </w:t>
      </w:r>
      <w:r>
        <w:rPr>
          <w:color w:val="231F20"/>
          <w:w w:val="105"/>
        </w:rPr>
        <w:t>wits</w:t>
      </w:r>
      <w:r>
        <w:rPr>
          <w:color w:val="231F20"/>
          <w:spacing w:val="-2"/>
          <w:w w:val="105"/>
        </w:rPr>
        <w:t> </w:t>
      </w:r>
      <w:r>
        <w:rPr>
          <w:color w:val="231F20"/>
          <w:w w:val="105"/>
        </w:rPr>
        <w:t>to</w:t>
      </w:r>
      <w:r>
        <w:rPr>
          <w:color w:val="231F20"/>
          <w:spacing w:val="-2"/>
          <w:w w:val="105"/>
        </w:rPr>
        <w:t> </w:t>
      </w:r>
      <w:r>
        <w:rPr>
          <w:color w:val="231F20"/>
          <w:w w:val="105"/>
        </w:rPr>
        <w:t>organize</w:t>
      </w:r>
      <w:r>
        <w:rPr>
          <w:color w:val="231F20"/>
          <w:spacing w:val="-2"/>
          <w:w w:val="105"/>
        </w:rPr>
        <w:t> </w:t>
      </w:r>
      <w:r>
        <w:rPr>
          <w:color w:val="231F20"/>
          <w:w w:val="105"/>
        </w:rPr>
        <w:t>and</w:t>
      </w:r>
      <w:r>
        <w:rPr>
          <w:color w:val="231F20"/>
          <w:spacing w:val="-2"/>
          <w:w w:val="105"/>
        </w:rPr>
        <w:t> </w:t>
      </w:r>
      <w:r>
        <w:rPr>
          <w:color w:val="231F20"/>
          <w:w w:val="105"/>
        </w:rPr>
        <w:t>ac- complish</w:t>
      </w:r>
      <w:r>
        <w:rPr>
          <w:color w:val="231F20"/>
          <w:w w:val="105"/>
        </w:rPr>
        <w:t> tasks.</w:t>
      </w:r>
      <w:r>
        <w:rPr>
          <w:color w:val="231F20"/>
          <w:w w:val="105"/>
        </w:rPr>
        <w:t> The</w:t>
      </w:r>
      <w:r>
        <w:rPr>
          <w:color w:val="231F20"/>
          <w:w w:val="105"/>
        </w:rPr>
        <w:t> boss’s</w:t>
      </w:r>
      <w:r>
        <w:rPr>
          <w:color w:val="231F20"/>
          <w:w w:val="105"/>
        </w:rPr>
        <w:t> function</w:t>
      </w:r>
      <w:r>
        <w:rPr>
          <w:color w:val="231F20"/>
          <w:w w:val="105"/>
        </w:rPr>
        <w:t> is</w:t>
      </w:r>
      <w:r>
        <w:rPr>
          <w:color w:val="231F20"/>
          <w:w w:val="105"/>
        </w:rPr>
        <w:t> to</w:t>
      </w:r>
      <w:r>
        <w:rPr>
          <w:color w:val="231F20"/>
          <w:w w:val="105"/>
        </w:rPr>
        <w:t> give</w:t>
      </w:r>
      <w:r>
        <w:rPr>
          <w:color w:val="231F20"/>
          <w:w w:val="105"/>
        </w:rPr>
        <w:t> general</w:t>
      </w:r>
      <w:r>
        <w:rPr>
          <w:color w:val="231F20"/>
          <w:w w:val="105"/>
        </w:rPr>
        <w:t> direction. Which</w:t>
      </w:r>
      <w:r>
        <w:rPr>
          <w:color w:val="231F20"/>
          <w:spacing w:val="-9"/>
          <w:w w:val="105"/>
        </w:rPr>
        <w:t> </w:t>
      </w:r>
      <w:r>
        <w:rPr>
          <w:color w:val="231F20"/>
          <w:w w:val="105"/>
        </w:rPr>
        <w:t>leadership</w:t>
      </w:r>
      <w:r>
        <w:rPr>
          <w:color w:val="231F20"/>
          <w:spacing w:val="-9"/>
          <w:w w:val="105"/>
        </w:rPr>
        <w:t> </w:t>
      </w:r>
      <w:r>
        <w:rPr>
          <w:color w:val="231F20"/>
          <w:w w:val="105"/>
        </w:rPr>
        <w:t>style</w:t>
      </w:r>
      <w:r>
        <w:rPr>
          <w:color w:val="231F20"/>
          <w:spacing w:val="-9"/>
          <w:w w:val="105"/>
        </w:rPr>
        <w:t> </w:t>
      </w:r>
      <w:r>
        <w:rPr>
          <w:color w:val="231F20"/>
          <w:w w:val="105"/>
        </w:rPr>
        <w:t>a</w:t>
      </w:r>
      <w:r>
        <w:rPr>
          <w:color w:val="231F20"/>
          <w:spacing w:val="-9"/>
          <w:w w:val="105"/>
        </w:rPr>
        <w:t> </w:t>
      </w:r>
      <w:r>
        <w:rPr>
          <w:color w:val="231F20"/>
          <w:w w:val="105"/>
        </w:rPr>
        <w:t>leader</w:t>
      </w:r>
      <w:r>
        <w:rPr>
          <w:color w:val="231F20"/>
          <w:spacing w:val="-9"/>
          <w:w w:val="105"/>
        </w:rPr>
        <w:t> </w:t>
      </w:r>
      <w:r>
        <w:rPr>
          <w:color w:val="231F20"/>
          <w:w w:val="105"/>
        </w:rPr>
        <w:t>chooses</w:t>
      </w:r>
      <w:r>
        <w:rPr>
          <w:color w:val="231F20"/>
          <w:spacing w:val="-9"/>
          <w:w w:val="105"/>
        </w:rPr>
        <w:t> </w:t>
      </w:r>
      <w:r>
        <w:rPr>
          <w:color w:val="231F20"/>
          <w:w w:val="105"/>
        </w:rPr>
        <w:t>is</w:t>
      </w:r>
      <w:r>
        <w:rPr>
          <w:color w:val="231F20"/>
          <w:spacing w:val="-9"/>
          <w:w w:val="105"/>
        </w:rPr>
        <w:t> </w:t>
      </w:r>
      <w:r>
        <w:rPr>
          <w:color w:val="231F20"/>
          <w:w w:val="105"/>
        </w:rPr>
        <w:t>regulated</w:t>
      </w:r>
      <w:r>
        <w:rPr>
          <w:color w:val="231F20"/>
          <w:spacing w:val="-9"/>
          <w:w w:val="105"/>
        </w:rPr>
        <w:t> </w:t>
      </w:r>
      <w:r>
        <w:rPr>
          <w:color w:val="231F20"/>
          <w:w w:val="105"/>
        </w:rPr>
        <w:t>by</w:t>
      </w:r>
      <w:r>
        <w:rPr>
          <w:color w:val="231F20"/>
          <w:spacing w:val="-9"/>
          <w:w w:val="105"/>
        </w:rPr>
        <w:t> </w:t>
      </w:r>
      <w:r>
        <w:rPr>
          <w:color w:val="231F20"/>
          <w:w w:val="105"/>
        </w:rPr>
        <w:t>three</w:t>
      </w:r>
      <w:r>
        <w:rPr>
          <w:color w:val="231F20"/>
          <w:spacing w:val="-9"/>
          <w:w w:val="105"/>
        </w:rPr>
        <w:t> </w:t>
      </w:r>
      <w:r>
        <w:rPr>
          <w:color w:val="231F20"/>
          <w:w w:val="105"/>
        </w:rPr>
        <w:t>basic </w:t>
      </w:r>
      <w:r>
        <w:rPr>
          <w:color w:val="231F20"/>
          <w:spacing w:val="-2"/>
          <w:w w:val="105"/>
        </w:rPr>
        <w:t>forces:</w:t>
      </w:r>
    </w:p>
    <w:p>
      <w:pPr>
        <w:pStyle w:val="BodyText"/>
        <w:spacing w:before="1"/>
        <w:rPr>
          <w:sz w:val="27"/>
        </w:rPr>
      </w:pPr>
    </w:p>
    <w:p>
      <w:pPr>
        <w:pStyle w:val="ListParagraph"/>
        <w:numPr>
          <w:ilvl w:val="0"/>
          <w:numId w:val="24"/>
        </w:numPr>
        <w:tabs>
          <w:tab w:pos="1356" w:val="left" w:leader="none"/>
        </w:tabs>
        <w:spacing w:line="240" w:lineRule="auto" w:before="0" w:after="0"/>
        <w:ind w:left="1355" w:right="0" w:hanging="186"/>
        <w:jc w:val="left"/>
        <w:rPr>
          <w:sz w:val="19"/>
        </w:rPr>
      </w:pPr>
      <w:r>
        <w:rPr>
          <w:color w:val="231F20"/>
          <w:w w:val="115"/>
          <w:sz w:val="19"/>
        </w:rPr>
        <w:t>The</w:t>
      </w:r>
      <w:r>
        <w:rPr>
          <w:color w:val="231F20"/>
          <w:spacing w:val="-11"/>
          <w:w w:val="115"/>
          <w:sz w:val="19"/>
        </w:rPr>
        <w:t> </w:t>
      </w:r>
      <w:r>
        <w:rPr>
          <w:color w:val="231F20"/>
          <w:w w:val="115"/>
          <w:sz w:val="19"/>
        </w:rPr>
        <w:t>forces</w:t>
      </w:r>
      <w:r>
        <w:rPr>
          <w:color w:val="231F20"/>
          <w:spacing w:val="-10"/>
          <w:w w:val="115"/>
          <w:sz w:val="19"/>
        </w:rPr>
        <w:t> </w:t>
      </w:r>
      <w:r>
        <w:rPr>
          <w:color w:val="231F20"/>
          <w:w w:val="115"/>
          <w:sz w:val="19"/>
        </w:rPr>
        <w:t>within</w:t>
      </w:r>
      <w:r>
        <w:rPr>
          <w:color w:val="231F20"/>
          <w:spacing w:val="-11"/>
          <w:w w:val="115"/>
          <w:sz w:val="19"/>
        </w:rPr>
        <w:t> </w:t>
      </w:r>
      <w:r>
        <w:rPr>
          <w:color w:val="231F20"/>
          <w:w w:val="115"/>
          <w:sz w:val="19"/>
        </w:rPr>
        <w:t>the</w:t>
      </w:r>
      <w:r>
        <w:rPr>
          <w:color w:val="231F20"/>
          <w:spacing w:val="-10"/>
          <w:w w:val="115"/>
          <w:sz w:val="19"/>
        </w:rPr>
        <w:t> </w:t>
      </w:r>
      <w:r>
        <w:rPr>
          <w:color w:val="231F20"/>
          <w:spacing w:val="-2"/>
          <w:w w:val="115"/>
          <w:sz w:val="19"/>
        </w:rPr>
        <w:t>manager</w:t>
      </w:r>
    </w:p>
    <w:p>
      <w:pPr>
        <w:pStyle w:val="ListParagraph"/>
        <w:numPr>
          <w:ilvl w:val="0"/>
          <w:numId w:val="24"/>
        </w:numPr>
        <w:tabs>
          <w:tab w:pos="1356" w:val="left" w:leader="none"/>
        </w:tabs>
        <w:spacing w:line="240" w:lineRule="auto" w:before="81" w:after="0"/>
        <w:ind w:left="1355" w:right="0" w:hanging="186"/>
        <w:jc w:val="left"/>
        <w:rPr>
          <w:sz w:val="19"/>
        </w:rPr>
      </w:pPr>
      <w:r>
        <w:rPr>
          <w:color w:val="231F20"/>
          <w:w w:val="115"/>
          <w:sz w:val="19"/>
        </w:rPr>
        <w:t>The</w:t>
      </w:r>
      <w:r>
        <w:rPr>
          <w:color w:val="231F20"/>
          <w:spacing w:val="-13"/>
          <w:w w:val="115"/>
          <w:sz w:val="19"/>
        </w:rPr>
        <w:t> </w:t>
      </w:r>
      <w:r>
        <w:rPr>
          <w:color w:val="231F20"/>
          <w:w w:val="115"/>
          <w:sz w:val="19"/>
        </w:rPr>
        <w:t>forces</w:t>
      </w:r>
      <w:r>
        <w:rPr>
          <w:color w:val="231F20"/>
          <w:spacing w:val="-13"/>
          <w:w w:val="115"/>
          <w:sz w:val="19"/>
        </w:rPr>
        <w:t> </w:t>
      </w:r>
      <w:r>
        <w:rPr>
          <w:color w:val="231F20"/>
          <w:w w:val="115"/>
          <w:sz w:val="19"/>
        </w:rPr>
        <w:t>within</w:t>
      </w:r>
      <w:r>
        <w:rPr>
          <w:color w:val="231F20"/>
          <w:spacing w:val="-13"/>
          <w:w w:val="115"/>
          <w:sz w:val="19"/>
        </w:rPr>
        <w:t> </w:t>
      </w:r>
      <w:r>
        <w:rPr>
          <w:color w:val="231F20"/>
          <w:w w:val="115"/>
          <w:sz w:val="19"/>
        </w:rPr>
        <w:t>the</w:t>
      </w:r>
      <w:r>
        <w:rPr>
          <w:color w:val="231F20"/>
          <w:spacing w:val="-13"/>
          <w:w w:val="115"/>
          <w:sz w:val="19"/>
        </w:rPr>
        <w:t> </w:t>
      </w:r>
      <w:r>
        <w:rPr>
          <w:color w:val="231F20"/>
          <w:spacing w:val="-2"/>
          <w:w w:val="115"/>
          <w:sz w:val="19"/>
        </w:rPr>
        <w:t>subordinates</w:t>
      </w:r>
    </w:p>
    <w:p>
      <w:pPr>
        <w:pStyle w:val="ListParagraph"/>
        <w:numPr>
          <w:ilvl w:val="0"/>
          <w:numId w:val="24"/>
        </w:numPr>
        <w:tabs>
          <w:tab w:pos="1356" w:val="left" w:leader="none"/>
        </w:tabs>
        <w:spacing w:line="240" w:lineRule="auto" w:before="82" w:after="0"/>
        <w:ind w:left="1355" w:right="0" w:hanging="186"/>
        <w:jc w:val="left"/>
        <w:rPr>
          <w:sz w:val="19"/>
        </w:rPr>
      </w:pPr>
      <w:r>
        <w:rPr>
          <w:color w:val="231F20"/>
          <w:w w:val="115"/>
          <w:sz w:val="19"/>
        </w:rPr>
        <w:t>The</w:t>
      </w:r>
      <w:r>
        <w:rPr>
          <w:color w:val="231F20"/>
          <w:spacing w:val="-15"/>
          <w:w w:val="115"/>
          <w:sz w:val="19"/>
        </w:rPr>
        <w:t> </w:t>
      </w:r>
      <w:r>
        <w:rPr>
          <w:color w:val="231F20"/>
          <w:w w:val="115"/>
          <w:sz w:val="19"/>
        </w:rPr>
        <w:t>forces</w:t>
      </w:r>
      <w:r>
        <w:rPr>
          <w:color w:val="231F20"/>
          <w:spacing w:val="-15"/>
          <w:w w:val="115"/>
          <w:sz w:val="19"/>
        </w:rPr>
        <w:t> </w:t>
      </w:r>
      <w:r>
        <w:rPr>
          <w:color w:val="231F20"/>
          <w:w w:val="115"/>
          <w:sz w:val="19"/>
        </w:rPr>
        <w:t>of</w:t>
      </w:r>
      <w:r>
        <w:rPr>
          <w:color w:val="231F20"/>
          <w:spacing w:val="-15"/>
          <w:w w:val="115"/>
          <w:sz w:val="19"/>
        </w:rPr>
        <w:t> </w:t>
      </w:r>
      <w:r>
        <w:rPr>
          <w:color w:val="231F20"/>
          <w:w w:val="115"/>
          <w:sz w:val="19"/>
        </w:rPr>
        <w:t>the</w:t>
      </w:r>
      <w:r>
        <w:rPr>
          <w:color w:val="231F20"/>
          <w:spacing w:val="-15"/>
          <w:w w:val="115"/>
          <w:sz w:val="19"/>
        </w:rPr>
        <w:t> </w:t>
      </w:r>
      <w:r>
        <w:rPr>
          <w:color w:val="231F20"/>
          <w:spacing w:val="-2"/>
          <w:w w:val="115"/>
          <w:sz w:val="19"/>
        </w:rPr>
        <w:t>situation</w:t>
      </w:r>
    </w:p>
    <w:p>
      <w:pPr>
        <w:pStyle w:val="BodyText"/>
        <w:rPr>
          <w:rFonts w:ascii="Arial"/>
          <w:sz w:val="20"/>
        </w:rPr>
      </w:pPr>
    </w:p>
    <w:p>
      <w:pPr>
        <w:pStyle w:val="BodyText"/>
        <w:spacing w:line="292" w:lineRule="auto" w:before="130"/>
        <w:ind w:left="830" w:right="756" w:firstLine="340"/>
        <w:jc w:val="both"/>
      </w:pPr>
      <w:r>
        <w:rPr>
          <w:color w:val="231F20"/>
        </w:rPr>
        <w:t>If the leaders do not have confidence in their subordinates, they cannot delegate tasks. If a staff doesn’t have the ability to work </w:t>
      </w:r>
      <w:r>
        <w:rPr>
          <w:color w:val="231F20"/>
        </w:rPr>
        <w:t>un- supervised,</w:t>
      </w:r>
      <w:r>
        <w:rPr>
          <w:color w:val="231F20"/>
          <w:spacing w:val="33"/>
        </w:rPr>
        <w:t> </w:t>
      </w:r>
      <w:r>
        <w:rPr>
          <w:color w:val="231F20"/>
        </w:rPr>
        <w:t>full</w:t>
      </w:r>
      <w:r>
        <w:rPr>
          <w:color w:val="231F20"/>
          <w:spacing w:val="34"/>
        </w:rPr>
        <w:t> </w:t>
      </w:r>
      <w:r>
        <w:rPr>
          <w:color w:val="231F20"/>
        </w:rPr>
        <w:t>delegation</w:t>
      </w:r>
      <w:r>
        <w:rPr>
          <w:color w:val="231F20"/>
          <w:spacing w:val="34"/>
        </w:rPr>
        <w:t> </w:t>
      </w:r>
      <w:r>
        <w:rPr>
          <w:color w:val="231F20"/>
        </w:rPr>
        <w:t>of</w:t>
      </w:r>
      <w:r>
        <w:rPr>
          <w:color w:val="231F20"/>
          <w:spacing w:val="33"/>
        </w:rPr>
        <w:t> </w:t>
      </w:r>
      <w:r>
        <w:rPr>
          <w:color w:val="231F20"/>
        </w:rPr>
        <w:t>authority</w:t>
      </w:r>
      <w:r>
        <w:rPr>
          <w:color w:val="231F20"/>
          <w:spacing w:val="34"/>
        </w:rPr>
        <w:t> </w:t>
      </w:r>
      <w:r>
        <w:rPr>
          <w:color w:val="231F20"/>
        </w:rPr>
        <w:t>is</w:t>
      </w:r>
      <w:r>
        <w:rPr>
          <w:color w:val="231F20"/>
          <w:spacing w:val="34"/>
        </w:rPr>
        <w:t> </w:t>
      </w:r>
      <w:r>
        <w:rPr>
          <w:color w:val="231F20"/>
        </w:rPr>
        <w:t>inappropriate.</w:t>
      </w:r>
      <w:r>
        <w:rPr>
          <w:color w:val="231F20"/>
          <w:spacing w:val="33"/>
        </w:rPr>
        <w:t> </w:t>
      </w:r>
      <w:r>
        <w:rPr>
          <w:color w:val="231F20"/>
        </w:rPr>
        <w:t>When</w:t>
      </w:r>
      <w:r>
        <w:rPr>
          <w:color w:val="231F20"/>
          <w:spacing w:val="34"/>
        </w:rPr>
        <w:t> </w:t>
      </w:r>
      <w:r>
        <w:rPr>
          <w:color w:val="231F20"/>
          <w:spacing w:val="-5"/>
        </w:rPr>
        <w:t>the</w:t>
      </w:r>
    </w:p>
    <w:p>
      <w:pPr>
        <w:spacing w:after="0" w:line="292" w:lineRule="auto"/>
        <w:jc w:val="both"/>
        <w:sectPr>
          <w:pgSz w:w="8640" w:h="12960"/>
          <w:pgMar w:header="732" w:footer="0" w:top="920" w:bottom="280" w:left="340" w:right="500"/>
        </w:sectPr>
      </w:pPr>
    </w:p>
    <w:p>
      <w:pPr>
        <w:pStyle w:val="BodyText"/>
        <w:spacing w:before="8"/>
        <w:rPr>
          <w:sz w:val="19"/>
        </w:rPr>
      </w:pPr>
    </w:p>
    <w:p>
      <w:pPr>
        <w:spacing w:before="96"/>
        <w:ind w:left="473" w:right="219" w:firstLine="0"/>
        <w:jc w:val="center"/>
        <w:rPr>
          <w:rFonts w:ascii="Arial"/>
          <w:sz w:val="14"/>
        </w:rPr>
      </w:pPr>
      <w:r>
        <w:rPr>
          <w:rFonts w:ascii="Arial"/>
          <w:color w:val="231F20"/>
          <w:w w:val="105"/>
          <w:sz w:val="14"/>
        </w:rPr>
        <w:t>LEADERSHIP</w:t>
      </w:r>
      <w:r>
        <w:rPr>
          <w:rFonts w:ascii="Arial"/>
          <w:color w:val="231F20"/>
          <w:spacing w:val="26"/>
          <w:w w:val="105"/>
          <w:sz w:val="14"/>
        </w:rPr>
        <w:t> </w:t>
      </w:r>
      <w:r>
        <w:rPr>
          <w:rFonts w:ascii="Arial"/>
          <w:color w:val="231F20"/>
          <w:w w:val="105"/>
          <w:sz w:val="14"/>
        </w:rPr>
        <w:t>STYLES:</w:t>
      </w:r>
      <w:r>
        <w:rPr>
          <w:rFonts w:ascii="Arial"/>
          <w:color w:val="231F20"/>
          <w:spacing w:val="27"/>
          <w:w w:val="105"/>
          <w:sz w:val="14"/>
        </w:rPr>
        <w:t> </w:t>
      </w:r>
      <w:r>
        <w:rPr>
          <w:rFonts w:ascii="Arial"/>
          <w:color w:val="231F20"/>
          <w:w w:val="105"/>
          <w:sz w:val="14"/>
        </w:rPr>
        <w:t>VISION,</w:t>
      </w:r>
      <w:r>
        <w:rPr>
          <w:rFonts w:ascii="Arial"/>
          <w:color w:val="231F20"/>
          <w:spacing w:val="27"/>
          <w:w w:val="105"/>
          <w:sz w:val="14"/>
        </w:rPr>
        <w:t> </w:t>
      </w:r>
      <w:r>
        <w:rPr>
          <w:rFonts w:ascii="Arial"/>
          <w:color w:val="231F20"/>
          <w:w w:val="105"/>
          <w:sz w:val="14"/>
        </w:rPr>
        <w:t>COMMITMENT,</w:t>
      </w:r>
      <w:r>
        <w:rPr>
          <w:rFonts w:ascii="Arial"/>
          <w:color w:val="231F20"/>
          <w:spacing w:val="26"/>
          <w:w w:val="105"/>
          <w:sz w:val="14"/>
        </w:rPr>
        <w:t> </w:t>
      </w:r>
      <w:r>
        <w:rPr>
          <w:rFonts w:ascii="Arial"/>
          <w:color w:val="231F20"/>
          <w:w w:val="105"/>
          <w:sz w:val="14"/>
        </w:rPr>
        <w:t>AND</w:t>
      </w:r>
      <w:r>
        <w:rPr>
          <w:rFonts w:ascii="Arial"/>
          <w:color w:val="231F20"/>
          <w:spacing w:val="27"/>
          <w:w w:val="105"/>
          <w:sz w:val="14"/>
        </w:rPr>
        <w:t> </w:t>
      </w:r>
      <w:r>
        <w:rPr>
          <w:rFonts w:ascii="Arial"/>
          <w:color w:val="231F20"/>
          <w:spacing w:val="-2"/>
          <w:w w:val="105"/>
          <w:sz w:val="14"/>
        </w:rPr>
        <w:t>MANAGEMENT</w:t>
      </w:r>
    </w:p>
    <w:p>
      <w:pPr>
        <w:pStyle w:val="BodyText"/>
        <w:spacing w:before="10"/>
        <w:rPr>
          <w:rFonts w:ascii="Arial"/>
          <w:sz w:val="16"/>
        </w:rPr>
      </w:pPr>
      <w:r>
        <w:rPr/>
        <w:pict>
          <v:group style="position:absolute;margin-left:64.540009pt;margin-top:10.909053pt;width:81.350pt;height:81.4pt;mso-position-horizontal-relative:page;mso-position-vertical-relative:paragraph;z-index:-15649792;mso-wrap-distance-left:0;mso-wrap-distance-right:0" id="docshapegroup151" coordorigin="1291,218" coordsize="1627,1628">
            <v:shape style="position:absolute;left:1300;top:228;width:1607;height:1608" id="docshape152" coordorigin="1301,228" coordsize="1607,1608" path="m2104,228l2181,232,2258,243,2333,261,2407,287,2478,320,2547,361,2612,409,2673,464,2725,521,2771,582,2810,646,2842,713,2869,782,2888,852,2901,924,2908,996,2908,1069,2901,1141,2888,1213,2869,1283,2842,1352,2810,1419,2771,1483,2725,1544,2673,1601,2616,1653,2555,1699,2491,1738,2424,1771,2355,1797,2285,1816,2213,1829,2141,1836,2068,1836,1996,1829,1924,1816,1853,1797,1785,1771,1718,1738,1654,1699,1593,1653,1536,1601,1483,1544,1438,1483,1399,1419,1366,1352,1340,1283,1320,1213,1307,1141,1301,1069,1301,996,1307,924,1320,852,1340,782,1366,713,1399,646,1438,582,1483,521,1536,464,1597,409,1662,361,1730,320,1802,287,1875,261,1951,243,2027,232,2104,228xm2104,228l2104,1032,1551,1602m2104,1032l2673,1601e" filled="false" stroked="true" strokeweight="1pt" strokecolor="#231f20">
              <v:path arrowok="t"/>
              <v:stroke dashstyle="solid"/>
            </v:shape>
            <v:shape style="position:absolute;left:1544;top:672;width:187;height:297" type="#_x0000_t202" id="docshape153" filled="false" stroked="false">
              <v:textbox inset="0,0,0,0">
                <w:txbxContent>
                  <w:p>
                    <w:pPr>
                      <w:spacing w:before="19"/>
                      <w:ind w:left="0" w:right="0" w:firstLine="0"/>
                      <w:jc w:val="left"/>
                      <w:rPr>
                        <w:rFonts w:ascii="Arial"/>
                        <w:b/>
                        <w:sz w:val="20"/>
                      </w:rPr>
                    </w:pPr>
                    <w:r>
                      <w:rPr>
                        <w:rFonts w:ascii="Arial"/>
                        <w:b/>
                        <w:color w:val="231F20"/>
                        <w:w w:val="99"/>
                        <w:sz w:val="20"/>
                      </w:rPr>
                      <w:t>M</w:t>
                    </w:r>
                  </w:p>
                </w:txbxContent>
              </v:textbox>
              <w10:wrap type="none"/>
            </v:shape>
            <v:shape style="position:absolute;left:2418;top:672;width:154;height:297" type="#_x0000_t202" id="docshape154" filled="false" stroked="false">
              <v:textbox inset="0,0,0,0">
                <w:txbxContent>
                  <w:p>
                    <w:pPr>
                      <w:spacing w:before="19"/>
                      <w:ind w:left="0" w:right="0" w:firstLine="0"/>
                      <w:jc w:val="left"/>
                      <w:rPr>
                        <w:rFonts w:ascii="Arial"/>
                        <w:b/>
                        <w:sz w:val="20"/>
                      </w:rPr>
                    </w:pPr>
                    <w:r>
                      <w:rPr>
                        <w:rFonts w:ascii="Arial"/>
                        <w:b/>
                        <w:color w:val="231F20"/>
                        <w:w w:val="100"/>
                        <w:sz w:val="20"/>
                      </w:rPr>
                      <w:t>V</w:t>
                    </w:r>
                  </w:p>
                </w:txbxContent>
              </v:textbox>
              <w10:wrap type="none"/>
            </v:shape>
            <v:shape style="position:absolute;left:1978;top:1298;width:165;height:297" type="#_x0000_t202" id="docshape155" filled="false" stroked="false">
              <v:textbox inset="0,0,0,0">
                <w:txbxContent>
                  <w:p>
                    <w:pPr>
                      <w:spacing w:before="19"/>
                      <w:ind w:left="0" w:right="0" w:firstLine="0"/>
                      <w:jc w:val="left"/>
                      <w:rPr>
                        <w:rFonts w:ascii="Arial"/>
                        <w:b/>
                        <w:sz w:val="20"/>
                      </w:rPr>
                    </w:pPr>
                    <w:r>
                      <w:rPr>
                        <w:rFonts w:ascii="Arial"/>
                        <w:b/>
                        <w:color w:val="231F20"/>
                        <w:w w:val="99"/>
                        <w:sz w:val="20"/>
                      </w:rPr>
                      <w:t>C</w:t>
                    </w:r>
                  </w:p>
                </w:txbxContent>
              </v:textbox>
              <w10:wrap type="none"/>
            </v:shape>
            <w10:wrap type="topAndBottom"/>
          </v:group>
        </w:pict>
      </w:r>
      <w:r>
        <w:rPr/>
        <w:pict>
          <v:group style="position:absolute;margin-left:178.10202pt;margin-top:10.909053pt;width:81.350pt;height:81.4pt;mso-position-horizontal-relative:page;mso-position-vertical-relative:paragraph;z-index:-15649280;mso-wrap-distance-left:0;mso-wrap-distance-right:0" id="docshapegroup156" coordorigin="3562,218" coordsize="1627,1628">
            <v:shape style="position:absolute;left:3572;top:228;width:1607;height:1608" id="docshape157" coordorigin="3572,228" coordsize="1607,1608" path="m4375,228l4453,232,4529,243,4604,261,4678,287,4750,320,4818,361,4883,409,4944,464,4996,521,5042,582,5081,646,5114,713,5140,782,5159,852,5172,924,5179,996,5179,1069,5172,1141,5159,1213,5140,1283,5114,1352,5081,1419,5042,1483,4996,1544,4944,1601,4887,1653,4826,1699,4762,1738,4695,1771,4626,1797,4556,1816,4484,1829,4412,1836,4339,1836,4267,1829,4195,1816,4125,1797,4056,1771,3989,1738,3925,1699,3864,1653,3807,1601,3755,1544,3709,1483,3670,1419,3637,1352,3611,1283,3592,1213,3579,1141,3572,1069,3572,996,3579,924,3592,852,3611,782,3637,713,3670,646,3709,582,3755,521,3807,464,3868,409,3933,361,4001,320,4073,287,4147,261,4222,243,4298,232,4375,228xm3635,722l4352,1072,4352,228m4352,1072l3918,367e" filled="false" stroked="true" strokeweight="1pt" strokecolor="#231f20">
              <v:path arrowok="t"/>
              <v:stroke dashstyle="solid"/>
            </v:shape>
            <v:shape style="position:absolute;left:3858;top:364;width:452;height:454" type="#_x0000_t202" id="docshape158" filled="false" stroked="false">
              <v:textbox inset="0,0,0,0">
                <w:txbxContent>
                  <w:p>
                    <w:pPr>
                      <w:spacing w:before="19"/>
                      <w:ind w:left="0" w:right="0" w:firstLine="0"/>
                      <w:jc w:val="left"/>
                      <w:rPr>
                        <w:rFonts w:ascii="Arial"/>
                        <w:b/>
                        <w:sz w:val="20"/>
                      </w:rPr>
                    </w:pPr>
                    <w:r>
                      <w:rPr>
                        <w:rFonts w:ascii="Arial"/>
                        <w:b/>
                        <w:color w:val="231F20"/>
                        <w:position w:val="-15"/>
                        <w:sz w:val="20"/>
                      </w:rPr>
                      <w:t>C</w:t>
                    </w:r>
                    <w:r>
                      <w:rPr>
                        <w:rFonts w:ascii="Arial"/>
                        <w:b/>
                        <w:color w:val="231F20"/>
                        <w:spacing w:val="62"/>
                        <w:position w:val="-15"/>
                        <w:sz w:val="20"/>
                      </w:rPr>
                      <w:t> </w:t>
                    </w:r>
                    <w:r>
                      <w:rPr>
                        <w:rFonts w:ascii="Arial"/>
                        <w:b/>
                        <w:color w:val="231F20"/>
                        <w:spacing w:val="-10"/>
                        <w:sz w:val="20"/>
                      </w:rPr>
                      <w:t>M</w:t>
                    </w:r>
                  </w:p>
                </w:txbxContent>
              </v:textbox>
              <w10:wrap type="none"/>
            </v:shape>
            <v:shape style="position:absolute;left:4508;top:1244;width:154;height:297" type="#_x0000_t202" id="docshape159" filled="false" stroked="false">
              <v:textbox inset="0,0,0,0">
                <w:txbxContent>
                  <w:p>
                    <w:pPr>
                      <w:spacing w:before="19"/>
                      <w:ind w:left="0" w:right="0" w:firstLine="0"/>
                      <w:jc w:val="left"/>
                      <w:rPr>
                        <w:rFonts w:ascii="Arial"/>
                        <w:b/>
                        <w:sz w:val="20"/>
                      </w:rPr>
                    </w:pPr>
                    <w:r>
                      <w:rPr>
                        <w:rFonts w:ascii="Arial"/>
                        <w:b/>
                        <w:color w:val="231F20"/>
                        <w:w w:val="100"/>
                        <w:sz w:val="20"/>
                      </w:rPr>
                      <w:t>V</w:t>
                    </w:r>
                  </w:p>
                </w:txbxContent>
              </v:textbox>
              <w10:wrap type="none"/>
            </v:shape>
            <w10:wrap type="topAndBottom"/>
          </v:group>
        </w:pict>
      </w:r>
      <w:r>
        <w:rPr/>
        <w:pict>
          <v:group style="position:absolute;margin-left:291.060028pt;margin-top:10.909053pt;width:81.350pt;height:81.4pt;mso-position-horizontal-relative:page;mso-position-vertical-relative:paragraph;z-index:-15648768;mso-wrap-distance-left:0;mso-wrap-distance-right:0" id="docshapegroup160" coordorigin="5821,218" coordsize="1627,1628">
            <v:shape style="position:absolute;left:5831;top:228;width:1607;height:1608" id="docshape161" coordorigin="5831,228" coordsize="1607,1608" path="m6635,228l6712,232,6788,243,6864,261,6937,287,7009,320,7077,361,7142,409,7203,464,7256,521,7301,582,7340,646,7373,713,7399,782,7419,852,7432,924,7438,996,7438,1069,7432,1141,7419,1213,7399,1283,7373,1352,7340,1419,7301,1483,7256,1544,7203,1601,7146,1653,7085,1699,7021,1738,6954,1771,6886,1797,6815,1816,6743,1829,6671,1836,6598,1836,6526,1829,6454,1816,6384,1797,6315,1771,6248,1738,6184,1699,6123,1653,6066,1601,6014,1544,5968,1483,5929,1419,5896,1352,5870,1283,5851,1213,5838,1141,5831,1069,5831,996,5838,924,5851,852,5870,782,5896,713,5929,646,5968,582,6014,521,6066,464,6127,409,6192,361,6261,320,6332,287,6406,261,6481,243,6558,232,6635,228xm6635,228l6642,1066,7316,1451m6642,1066l7316,608e" filled="false" stroked="true" strokeweight="1pt" strokecolor="#231f20">
              <v:path arrowok="t"/>
              <v:stroke dashstyle="solid"/>
            </v:shape>
            <v:shape style="position:absolute;left:6792;top:515;width:154;height:297" type="#_x0000_t202" id="docshape162" filled="false" stroked="false">
              <v:textbox inset="0,0,0,0">
                <w:txbxContent>
                  <w:p>
                    <w:pPr>
                      <w:spacing w:before="19"/>
                      <w:ind w:left="0" w:right="0" w:firstLine="0"/>
                      <w:jc w:val="left"/>
                      <w:rPr>
                        <w:rFonts w:ascii="Arial"/>
                        <w:b/>
                        <w:sz w:val="20"/>
                      </w:rPr>
                    </w:pPr>
                    <w:r>
                      <w:rPr>
                        <w:rFonts w:ascii="Arial"/>
                        <w:b/>
                        <w:color w:val="231F20"/>
                        <w:w w:val="100"/>
                        <w:sz w:val="20"/>
                      </w:rPr>
                      <w:t>V</w:t>
                    </w:r>
                  </w:p>
                </w:txbxContent>
              </v:textbox>
              <w10:wrap type="none"/>
            </v:shape>
            <v:shape style="position:absolute;left:6183;top:1021;width:187;height:297" type="#_x0000_t202" id="docshape163" filled="false" stroked="false">
              <v:textbox inset="0,0,0,0">
                <w:txbxContent>
                  <w:p>
                    <w:pPr>
                      <w:spacing w:before="19"/>
                      <w:ind w:left="0" w:right="0" w:firstLine="0"/>
                      <w:jc w:val="left"/>
                      <w:rPr>
                        <w:rFonts w:ascii="Arial"/>
                        <w:b/>
                        <w:sz w:val="20"/>
                      </w:rPr>
                    </w:pPr>
                    <w:r>
                      <w:rPr>
                        <w:rFonts w:ascii="Arial"/>
                        <w:b/>
                        <w:color w:val="231F20"/>
                        <w:w w:val="99"/>
                        <w:sz w:val="20"/>
                      </w:rPr>
                      <w:t>M</w:t>
                    </w:r>
                  </w:p>
                </w:txbxContent>
              </v:textbox>
              <w10:wrap type="none"/>
            </v:shape>
            <v:shape style="position:absolute;left:7093;top:907;width:165;height:297" type="#_x0000_t202" id="docshape164" filled="false" stroked="false">
              <v:textbox inset="0,0,0,0">
                <w:txbxContent>
                  <w:p>
                    <w:pPr>
                      <w:spacing w:before="19"/>
                      <w:ind w:left="0" w:right="0" w:firstLine="0"/>
                      <w:jc w:val="left"/>
                      <w:rPr>
                        <w:rFonts w:ascii="Arial"/>
                        <w:b/>
                        <w:sz w:val="20"/>
                      </w:rPr>
                    </w:pPr>
                    <w:r>
                      <w:rPr>
                        <w:rFonts w:ascii="Arial"/>
                        <w:b/>
                        <w:color w:val="231F20"/>
                        <w:w w:val="99"/>
                        <w:sz w:val="20"/>
                      </w:rPr>
                      <w:t>C</w:t>
                    </w:r>
                  </w:p>
                </w:txbxContent>
              </v:textbox>
              <w10:wrap type="none"/>
            </v:shape>
            <w10:wrap type="topAndBottom"/>
          </v:group>
        </w:pict>
      </w:r>
    </w:p>
    <w:p>
      <w:pPr>
        <w:pStyle w:val="BodyText"/>
        <w:spacing w:before="3"/>
        <w:rPr>
          <w:rFonts w:ascii="Arial"/>
          <w:sz w:val="23"/>
        </w:rPr>
      </w:pPr>
    </w:p>
    <w:p>
      <w:pPr>
        <w:spacing w:after="0"/>
        <w:rPr>
          <w:rFonts w:ascii="Arial"/>
          <w:sz w:val="23"/>
        </w:rPr>
        <w:sectPr>
          <w:pgSz w:w="8640" w:h="12960"/>
          <w:pgMar w:header="734" w:footer="0" w:top="920" w:bottom="280" w:left="340" w:right="500"/>
        </w:sectPr>
      </w:pPr>
    </w:p>
    <w:p>
      <w:pPr>
        <w:spacing w:before="120"/>
        <w:ind w:left="1305" w:right="0" w:firstLine="0"/>
        <w:jc w:val="left"/>
        <w:rPr>
          <w:rFonts w:ascii="Arial"/>
          <w:b/>
          <w:sz w:val="20"/>
        </w:rPr>
      </w:pPr>
      <w:r>
        <w:rPr>
          <w:rFonts w:ascii="Arial"/>
          <w:b/>
          <w:color w:val="231F20"/>
          <w:spacing w:val="-2"/>
          <w:sz w:val="20"/>
        </w:rPr>
        <w:t>Balanced</w:t>
      </w:r>
    </w:p>
    <w:p>
      <w:pPr>
        <w:spacing w:before="120"/>
        <w:ind w:left="1305" w:right="0" w:firstLine="0"/>
        <w:jc w:val="left"/>
        <w:rPr>
          <w:rFonts w:ascii="Arial"/>
          <w:b/>
          <w:sz w:val="20"/>
        </w:rPr>
      </w:pPr>
      <w:r>
        <w:rPr/>
        <w:br w:type="column"/>
      </w:r>
      <w:r>
        <w:rPr>
          <w:rFonts w:ascii="Arial"/>
          <w:b/>
          <w:color w:val="231F20"/>
          <w:spacing w:val="-2"/>
          <w:sz w:val="20"/>
        </w:rPr>
        <w:t>Visionary</w:t>
      </w:r>
    </w:p>
    <w:p>
      <w:pPr>
        <w:spacing w:before="120"/>
        <w:ind w:left="1242" w:right="0" w:firstLine="0"/>
        <w:jc w:val="left"/>
        <w:rPr>
          <w:rFonts w:ascii="Arial"/>
          <w:b/>
          <w:sz w:val="20"/>
        </w:rPr>
      </w:pPr>
      <w:r>
        <w:rPr/>
        <w:br w:type="column"/>
      </w:r>
      <w:r>
        <w:rPr>
          <w:rFonts w:ascii="Arial"/>
          <w:b/>
          <w:color w:val="231F20"/>
          <w:spacing w:val="-2"/>
          <w:sz w:val="20"/>
        </w:rPr>
        <w:t>Managerial</w:t>
      </w:r>
    </w:p>
    <w:p>
      <w:pPr>
        <w:spacing w:after="0"/>
        <w:jc w:val="left"/>
        <w:rPr>
          <w:rFonts w:ascii="Arial"/>
          <w:sz w:val="20"/>
        </w:rPr>
        <w:sectPr>
          <w:type w:val="continuous"/>
          <w:pgSz w:w="8640" w:h="12960"/>
          <w:pgMar w:header="732" w:footer="0" w:top="1220" w:bottom="280" w:left="340" w:right="500"/>
          <w:cols w:num="3" w:equalWidth="0">
            <w:col w:w="2235" w:space="59"/>
            <w:col w:w="2202" w:space="39"/>
            <w:col w:w="3265"/>
          </w:cols>
        </w:sectPr>
      </w:pPr>
    </w:p>
    <w:p>
      <w:pPr>
        <w:pStyle w:val="BodyText"/>
        <w:spacing w:before="1"/>
        <w:rPr>
          <w:rFonts w:ascii="Arial"/>
          <w:b/>
          <w:sz w:val="25"/>
        </w:rPr>
      </w:pPr>
    </w:p>
    <w:p>
      <w:pPr>
        <w:spacing w:line="244" w:lineRule="auto" w:before="99"/>
        <w:ind w:left="920" w:right="666" w:firstLine="0"/>
        <w:jc w:val="both"/>
        <w:rPr>
          <w:sz w:val="20"/>
        </w:rPr>
      </w:pPr>
      <w:r>
        <w:rPr>
          <w:color w:val="231F20"/>
          <w:sz w:val="20"/>
        </w:rPr>
        <w:t>Adapted from “Survey of Managerial Style,” by Professor James </w:t>
      </w:r>
      <w:r>
        <w:rPr>
          <w:color w:val="231F20"/>
          <w:sz w:val="20"/>
        </w:rPr>
        <w:t>Claw- son, Case UVA-OB-358, p. 14. Copyright © 1988 by the Darden Gradu-</w:t>
      </w:r>
      <w:r>
        <w:rPr>
          <w:color w:val="231F20"/>
          <w:spacing w:val="40"/>
          <w:sz w:val="20"/>
        </w:rPr>
        <w:t> </w:t>
      </w:r>
      <w:r>
        <w:rPr>
          <w:color w:val="231F20"/>
          <w:sz w:val="20"/>
        </w:rPr>
        <w:t>ate Business School Foundation, Charlottesville, Virginia.</w:t>
      </w:r>
    </w:p>
    <w:p>
      <w:pPr>
        <w:pStyle w:val="BodyText"/>
        <w:rPr>
          <w:sz w:val="22"/>
        </w:rPr>
      </w:pPr>
    </w:p>
    <w:p>
      <w:pPr>
        <w:pStyle w:val="BodyText"/>
        <w:rPr>
          <w:sz w:val="22"/>
        </w:rPr>
      </w:pPr>
    </w:p>
    <w:p>
      <w:pPr>
        <w:pStyle w:val="BodyText"/>
        <w:spacing w:before="2"/>
        <w:rPr>
          <w:sz w:val="20"/>
        </w:rPr>
      </w:pPr>
    </w:p>
    <w:p>
      <w:pPr>
        <w:pStyle w:val="BodyText"/>
        <w:spacing w:line="292" w:lineRule="auto"/>
        <w:ind w:left="920" w:right="666"/>
        <w:jc w:val="both"/>
      </w:pPr>
      <w:r>
        <w:rPr>
          <w:color w:val="231F20"/>
        </w:rPr>
        <w:t>staff has a clear understanding of the business situation and how to address it, it’s best to delegate authority.</w:t>
      </w:r>
    </w:p>
    <w:p>
      <w:pPr>
        <w:pStyle w:val="BodyText"/>
        <w:spacing w:line="292" w:lineRule="auto"/>
        <w:ind w:left="920" w:right="666" w:firstLine="340"/>
        <w:jc w:val="both"/>
      </w:pPr>
      <w:r>
        <w:rPr>
          <w:color w:val="231F20"/>
        </w:rPr>
        <w:t>It is important for a leader to understand his or her own </w:t>
      </w:r>
      <w:r>
        <w:rPr>
          <w:color w:val="231F20"/>
        </w:rPr>
        <w:t>person- ality traits. As you might imagine, a leader’s insecurities may lead to an authoritarian style, regardless of what the situation may dictate. That is why self-awareness is important; it will enable you to avoid inappropriate management styles.</w:t>
      </w:r>
    </w:p>
    <w:p>
      <w:pPr>
        <w:pStyle w:val="BodyText"/>
        <w:rPr>
          <w:sz w:val="27"/>
        </w:rPr>
      </w:pPr>
    </w:p>
    <w:p>
      <w:pPr>
        <w:spacing w:line="324" w:lineRule="auto" w:before="0"/>
        <w:ind w:left="1260" w:right="1003" w:firstLine="0"/>
        <w:jc w:val="both"/>
        <w:rPr>
          <w:sz w:val="19"/>
        </w:rPr>
      </w:pPr>
      <w:r>
        <w:rPr>
          <w:color w:val="231F20"/>
          <w:w w:val="110"/>
          <w:sz w:val="19"/>
        </w:rPr>
        <w:t>My</w:t>
      </w:r>
      <w:r>
        <w:rPr>
          <w:color w:val="231F20"/>
          <w:w w:val="110"/>
          <w:sz w:val="19"/>
        </w:rPr>
        <w:t> faults</w:t>
      </w:r>
      <w:r>
        <w:rPr>
          <w:color w:val="231F20"/>
          <w:w w:val="110"/>
          <w:sz w:val="19"/>
        </w:rPr>
        <w:t> and</w:t>
      </w:r>
      <w:r>
        <w:rPr>
          <w:color w:val="231F20"/>
          <w:w w:val="110"/>
          <w:sz w:val="19"/>
        </w:rPr>
        <w:t> my</w:t>
      </w:r>
      <w:r>
        <w:rPr>
          <w:color w:val="231F20"/>
          <w:w w:val="110"/>
          <w:sz w:val="19"/>
        </w:rPr>
        <w:t> virtues</w:t>
      </w:r>
      <w:r>
        <w:rPr>
          <w:color w:val="231F20"/>
          <w:w w:val="110"/>
          <w:sz w:val="19"/>
        </w:rPr>
        <w:t> are</w:t>
      </w:r>
      <w:r>
        <w:rPr>
          <w:color w:val="231F20"/>
          <w:w w:val="110"/>
          <w:sz w:val="19"/>
        </w:rPr>
        <w:t> the</w:t>
      </w:r>
      <w:r>
        <w:rPr>
          <w:color w:val="231F20"/>
          <w:w w:val="110"/>
          <w:sz w:val="19"/>
        </w:rPr>
        <w:t> same . . . Nothing</w:t>
      </w:r>
      <w:r>
        <w:rPr>
          <w:color w:val="231F20"/>
          <w:w w:val="110"/>
          <w:sz w:val="19"/>
        </w:rPr>
        <w:t> is</w:t>
      </w:r>
      <w:r>
        <w:rPr>
          <w:color w:val="231F20"/>
          <w:w w:val="110"/>
          <w:sz w:val="19"/>
        </w:rPr>
        <w:t> ever </w:t>
      </w:r>
      <w:r>
        <w:rPr>
          <w:color w:val="231F20"/>
          <w:w w:val="105"/>
          <w:sz w:val="19"/>
        </w:rPr>
        <w:t>enough.</w:t>
      </w:r>
      <w:r>
        <w:rPr>
          <w:color w:val="231F20"/>
          <w:spacing w:val="-11"/>
          <w:w w:val="105"/>
          <w:sz w:val="19"/>
        </w:rPr>
        <w:t> </w:t>
      </w:r>
      <w:r>
        <w:rPr>
          <w:color w:val="231F20"/>
          <w:w w:val="105"/>
          <w:sz w:val="19"/>
        </w:rPr>
        <w:t>I</w:t>
      </w:r>
      <w:r>
        <w:rPr>
          <w:color w:val="231F20"/>
          <w:spacing w:val="-11"/>
          <w:w w:val="105"/>
          <w:sz w:val="19"/>
        </w:rPr>
        <w:t> </w:t>
      </w:r>
      <w:r>
        <w:rPr>
          <w:color w:val="231F20"/>
          <w:w w:val="105"/>
          <w:sz w:val="19"/>
        </w:rPr>
        <w:t>must</w:t>
      </w:r>
      <w:r>
        <w:rPr>
          <w:color w:val="231F20"/>
          <w:spacing w:val="-11"/>
          <w:w w:val="105"/>
          <w:sz w:val="19"/>
        </w:rPr>
        <w:t> </w:t>
      </w:r>
      <w:r>
        <w:rPr>
          <w:color w:val="231F20"/>
          <w:w w:val="105"/>
          <w:sz w:val="19"/>
        </w:rPr>
        <w:t>check</w:t>
      </w:r>
      <w:r>
        <w:rPr>
          <w:color w:val="231F20"/>
          <w:spacing w:val="-4"/>
          <w:w w:val="105"/>
          <w:sz w:val="19"/>
        </w:rPr>
        <w:t> </w:t>
      </w:r>
      <w:r>
        <w:rPr>
          <w:color w:val="231F20"/>
          <w:w w:val="105"/>
          <w:sz w:val="19"/>
        </w:rPr>
        <w:t>everything.</w:t>
      </w:r>
      <w:r>
        <w:rPr>
          <w:color w:val="231F20"/>
          <w:spacing w:val="-5"/>
          <w:w w:val="105"/>
          <w:sz w:val="19"/>
        </w:rPr>
        <w:t> </w:t>
      </w:r>
      <w:r>
        <w:rPr>
          <w:color w:val="231F20"/>
          <w:w w:val="105"/>
          <w:sz w:val="19"/>
        </w:rPr>
        <w:t>It</w:t>
      </w:r>
      <w:r>
        <w:rPr>
          <w:color w:val="231F20"/>
          <w:spacing w:val="-5"/>
          <w:w w:val="105"/>
          <w:sz w:val="19"/>
        </w:rPr>
        <w:t> </w:t>
      </w:r>
      <w:r>
        <w:rPr>
          <w:color w:val="231F20"/>
          <w:w w:val="105"/>
          <w:sz w:val="19"/>
        </w:rPr>
        <w:t>causes</w:t>
      </w:r>
      <w:r>
        <w:rPr>
          <w:color w:val="231F20"/>
          <w:spacing w:val="-5"/>
          <w:w w:val="105"/>
          <w:sz w:val="19"/>
        </w:rPr>
        <w:t> </w:t>
      </w:r>
      <w:r>
        <w:rPr>
          <w:color w:val="231F20"/>
          <w:w w:val="105"/>
          <w:sz w:val="19"/>
        </w:rPr>
        <w:t>me</w:t>
      </w:r>
      <w:r>
        <w:rPr>
          <w:color w:val="231F20"/>
          <w:spacing w:val="-5"/>
          <w:w w:val="105"/>
          <w:sz w:val="19"/>
        </w:rPr>
        <w:t> </w:t>
      </w:r>
      <w:r>
        <w:rPr>
          <w:color w:val="231F20"/>
          <w:w w:val="105"/>
          <w:sz w:val="19"/>
        </w:rPr>
        <w:t>problems—</w:t>
      </w:r>
      <w:r>
        <w:rPr>
          <w:color w:val="231F20"/>
          <w:spacing w:val="-11"/>
          <w:w w:val="105"/>
          <w:sz w:val="19"/>
        </w:rPr>
        <w:t> </w:t>
      </w:r>
      <w:r>
        <w:rPr>
          <w:color w:val="231F20"/>
          <w:w w:val="105"/>
          <w:sz w:val="19"/>
        </w:rPr>
        <w:t>people </w:t>
      </w:r>
      <w:r>
        <w:rPr>
          <w:color w:val="231F20"/>
          <w:w w:val="110"/>
          <w:sz w:val="19"/>
        </w:rPr>
        <w:t>think</w:t>
      </w:r>
      <w:r>
        <w:rPr>
          <w:color w:val="231F20"/>
          <w:spacing w:val="-5"/>
          <w:w w:val="110"/>
          <w:sz w:val="19"/>
        </w:rPr>
        <w:t> </w:t>
      </w:r>
      <w:r>
        <w:rPr>
          <w:color w:val="231F20"/>
          <w:w w:val="110"/>
          <w:sz w:val="19"/>
        </w:rPr>
        <w:t>I</w:t>
      </w:r>
      <w:r>
        <w:rPr>
          <w:color w:val="231F20"/>
          <w:spacing w:val="-5"/>
          <w:w w:val="110"/>
          <w:sz w:val="19"/>
        </w:rPr>
        <w:t> </w:t>
      </w:r>
      <w:r>
        <w:rPr>
          <w:color w:val="231F20"/>
          <w:w w:val="110"/>
          <w:sz w:val="19"/>
        </w:rPr>
        <w:t>don’t</w:t>
      </w:r>
      <w:r>
        <w:rPr>
          <w:color w:val="231F20"/>
          <w:spacing w:val="-5"/>
          <w:w w:val="110"/>
          <w:sz w:val="19"/>
        </w:rPr>
        <w:t> </w:t>
      </w:r>
      <w:r>
        <w:rPr>
          <w:color w:val="231F20"/>
          <w:w w:val="110"/>
          <w:sz w:val="19"/>
        </w:rPr>
        <w:t>trust</w:t>
      </w:r>
      <w:r>
        <w:rPr>
          <w:color w:val="231F20"/>
          <w:spacing w:val="-5"/>
          <w:w w:val="110"/>
          <w:sz w:val="19"/>
        </w:rPr>
        <w:t> </w:t>
      </w:r>
      <w:r>
        <w:rPr>
          <w:color w:val="231F20"/>
          <w:w w:val="110"/>
          <w:sz w:val="19"/>
        </w:rPr>
        <w:t>anyone.</w:t>
      </w:r>
      <w:r>
        <w:rPr>
          <w:color w:val="231F20"/>
          <w:spacing w:val="-5"/>
          <w:w w:val="110"/>
          <w:sz w:val="19"/>
        </w:rPr>
        <w:t> </w:t>
      </w:r>
      <w:r>
        <w:rPr>
          <w:color w:val="231F20"/>
          <w:w w:val="110"/>
          <w:sz w:val="19"/>
        </w:rPr>
        <w:t>But</w:t>
      </w:r>
      <w:r>
        <w:rPr>
          <w:color w:val="231F20"/>
          <w:spacing w:val="-5"/>
          <w:w w:val="110"/>
          <w:sz w:val="19"/>
        </w:rPr>
        <w:t> </w:t>
      </w:r>
      <w:r>
        <w:rPr>
          <w:color w:val="231F20"/>
          <w:w w:val="110"/>
          <w:sz w:val="19"/>
        </w:rPr>
        <w:t>I</w:t>
      </w:r>
      <w:r>
        <w:rPr>
          <w:color w:val="231F20"/>
          <w:spacing w:val="-5"/>
          <w:w w:val="110"/>
          <w:sz w:val="19"/>
        </w:rPr>
        <w:t> </w:t>
      </w:r>
      <w:r>
        <w:rPr>
          <w:color w:val="231F20"/>
          <w:w w:val="110"/>
          <w:sz w:val="19"/>
        </w:rPr>
        <w:t>must</w:t>
      </w:r>
      <w:r>
        <w:rPr>
          <w:color w:val="231F20"/>
          <w:spacing w:val="-5"/>
          <w:w w:val="110"/>
          <w:sz w:val="19"/>
        </w:rPr>
        <w:t> </w:t>
      </w:r>
      <w:r>
        <w:rPr>
          <w:color w:val="231F20"/>
          <w:w w:val="110"/>
          <w:sz w:val="19"/>
        </w:rPr>
        <w:t>know</w:t>
      </w:r>
      <w:r>
        <w:rPr>
          <w:color w:val="231F20"/>
          <w:spacing w:val="-5"/>
          <w:w w:val="110"/>
          <w:sz w:val="19"/>
        </w:rPr>
        <w:t> </w:t>
      </w:r>
      <w:r>
        <w:rPr>
          <w:color w:val="231F20"/>
          <w:w w:val="110"/>
          <w:sz w:val="19"/>
        </w:rPr>
        <w:t>what’s</w:t>
      </w:r>
      <w:r>
        <w:rPr>
          <w:color w:val="231F20"/>
          <w:spacing w:val="-5"/>
          <w:w w:val="110"/>
          <w:sz w:val="19"/>
        </w:rPr>
        <w:t> </w:t>
      </w:r>
      <w:r>
        <w:rPr>
          <w:color w:val="231F20"/>
          <w:w w:val="110"/>
          <w:sz w:val="19"/>
        </w:rPr>
        <w:t>going</w:t>
      </w:r>
      <w:r>
        <w:rPr>
          <w:color w:val="231F20"/>
          <w:spacing w:val="-5"/>
          <w:w w:val="110"/>
          <w:sz w:val="19"/>
        </w:rPr>
        <w:t> </w:t>
      </w:r>
      <w:r>
        <w:rPr>
          <w:color w:val="231F20"/>
          <w:w w:val="110"/>
          <w:sz w:val="19"/>
        </w:rPr>
        <w:t>on.</w:t>
      </w:r>
    </w:p>
    <w:p>
      <w:pPr>
        <w:spacing w:before="17"/>
        <w:ind w:left="3340" w:right="0" w:firstLine="0"/>
        <w:jc w:val="both"/>
        <w:rPr>
          <w:sz w:val="17"/>
        </w:rPr>
      </w:pPr>
      <w:r>
        <w:rPr>
          <w:color w:val="231F20"/>
          <w:w w:val="105"/>
          <w:sz w:val="17"/>
        </w:rPr>
        <w:t>—</w:t>
      </w:r>
      <w:r>
        <w:rPr>
          <w:color w:val="231F20"/>
          <w:spacing w:val="-18"/>
          <w:w w:val="105"/>
          <w:sz w:val="17"/>
        </w:rPr>
        <w:t> </w:t>
      </w:r>
      <w:r>
        <w:rPr>
          <w:color w:val="231F20"/>
          <w:w w:val="105"/>
          <w:sz w:val="17"/>
        </w:rPr>
        <w:t>Giorgio</w:t>
      </w:r>
      <w:r>
        <w:rPr>
          <w:color w:val="231F20"/>
          <w:spacing w:val="21"/>
          <w:w w:val="105"/>
          <w:sz w:val="17"/>
        </w:rPr>
        <w:t> </w:t>
      </w:r>
      <w:r>
        <w:rPr>
          <w:color w:val="231F20"/>
          <w:w w:val="105"/>
          <w:sz w:val="17"/>
        </w:rPr>
        <w:t>Armani,</w:t>
      </w:r>
      <w:r>
        <w:rPr>
          <w:color w:val="231F20"/>
          <w:spacing w:val="20"/>
          <w:w w:val="105"/>
          <w:sz w:val="17"/>
        </w:rPr>
        <w:t> </w:t>
      </w:r>
      <w:r>
        <w:rPr>
          <w:i/>
          <w:color w:val="231F20"/>
          <w:w w:val="105"/>
          <w:sz w:val="17"/>
        </w:rPr>
        <w:t>Forbes,</w:t>
      </w:r>
      <w:r>
        <w:rPr>
          <w:i/>
          <w:color w:val="231F20"/>
          <w:spacing w:val="21"/>
          <w:w w:val="105"/>
          <w:sz w:val="17"/>
        </w:rPr>
        <w:t> </w:t>
      </w:r>
      <w:r>
        <w:rPr>
          <w:color w:val="231F20"/>
          <w:w w:val="105"/>
          <w:sz w:val="17"/>
        </w:rPr>
        <w:t>October</w:t>
      </w:r>
      <w:r>
        <w:rPr>
          <w:color w:val="231F20"/>
          <w:spacing w:val="21"/>
          <w:w w:val="105"/>
          <w:sz w:val="17"/>
        </w:rPr>
        <w:t> </w:t>
      </w:r>
      <w:r>
        <w:rPr>
          <w:color w:val="231F20"/>
          <w:w w:val="105"/>
          <w:sz w:val="17"/>
        </w:rPr>
        <w:t>28,</w:t>
      </w:r>
      <w:r>
        <w:rPr>
          <w:color w:val="231F20"/>
          <w:spacing w:val="21"/>
          <w:w w:val="105"/>
          <w:sz w:val="17"/>
        </w:rPr>
        <w:t> </w:t>
      </w:r>
      <w:r>
        <w:rPr>
          <w:color w:val="231F20"/>
          <w:spacing w:val="-4"/>
          <w:w w:val="105"/>
          <w:sz w:val="17"/>
        </w:rPr>
        <w:t>1991</w:t>
      </w:r>
    </w:p>
    <w:p>
      <w:pPr>
        <w:pStyle w:val="BodyText"/>
        <w:rPr>
          <w:sz w:val="20"/>
        </w:rPr>
      </w:pPr>
    </w:p>
    <w:p>
      <w:pPr>
        <w:pStyle w:val="BodyText"/>
        <w:spacing w:line="292" w:lineRule="auto" w:before="128"/>
        <w:ind w:left="920" w:right="666"/>
        <w:jc w:val="both"/>
        <w:rPr>
          <w:i/>
        </w:rPr>
      </w:pPr>
      <w:r>
        <w:rPr>
          <w:i/>
          <w:color w:val="231F20"/>
          <w:w w:val="105"/>
        </w:rPr>
        <w:t>Creativity.</w:t>
      </w:r>
      <w:r>
        <w:rPr>
          <w:i/>
          <w:color w:val="231F20"/>
          <w:w w:val="105"/>
        </w:rPr>
        <w:t> </w:t>
      </w:r>
      <w:r>
        <w:rPr>
          <w:color w:val="231F20"/>
          <w:w w:val="105"/>
        </w:rPr>
        <w:t>Not</w:t>
      </w:r>
      <w:r>
        <w:rPr>
          <w:color w:val="231F20"/>
          <w:w w:val="105"/>
        </w:rPr>
        <w:t> only</w:t>
      </w:r>
      <w:r>
        <w:rPr>
          <w:color w:val="231F20"/>
          <w:w w:val="105"/>
        </w:rPr>
        <w:t> are</w:t>
      </w:r>
      <w:r>
        <w:rPr>
          <w:color w:val="231F20"/>
          <w:w w:val="105"/>
        </w:rPr>
        <w:t> MBAs</w:t>
      </w:r>
      <w:r>
        <w:rPr>
          <w:color w:val="231F20"/>
          <w:w w:val="105"/>
        </w:rPr>
        <w:t> schooled</w:t>
      </w:r>
      <w:r>
        <w:rPr>
          <w:color w:val="231F20"/>
          <w:w w:val="105"/>
        </w:rPr>
        <w:t> to</w:t>
      </w:r>
      <w:r>
        <w:rPr>
          <w:color w:val="231F20"/>
          <w:w w:val="105"/>
        </w:rPr>
        <w:t> understand</w:t>
      </w:r>
      <w:r>
        <w:rPr>
          <w:color w:val="231F20"/>
          <w:w w:val="105"/>
        </w:rPr>
        <w:t> </w:t>
      </w:r>
      <w:r>
        <w:rPr>
          <w:color w:val="231F20"/>
          <w:w w:val="105"/>
        </w:rPr>
        <w:t>leadership, they</w:t>
      </w:r>
      <w:r>
        <w:rPr>
          <w:color w:val="231F20"/>
          <w:spacing w:val="-3"/>
          <w:w w:val="105"/>
        </w:rPr>
        <w:t> </w:t>
      </w:r>
      <w:r>
        <w:rPr>
          <w:color w:val="231F20"/>
          <w:w w:val="105"/>
        </w:rPr>
        <w:t>are</w:t>
      </w:r>
      <w:r>
        <w:rPr>
          <w:color w:val="231F20"/>
          <w:spacing w:val="-3"/>
          <w:w w:val="105"/>
        </w:rPr>
        <w:t> </w:t>
      </w:r>
      <w:r>
        <w:rPr>
          <w:color w:val="231F20"/>
          <w:w w:val="105"/>
        </w:rPr>
        <w:t>taught</w:t>
      </w:r>
      <w:r>
        <w:rPr>
          <w:color w:val="231F20"/>
          <w:spacing w:val="-3"/>
          <w:w w:val="105"/>
        </w:rPr>
        <w:t> </w:t>
      </w:r>
      <w:r>
        <w:rPr>
          <w:color w:val="231F20"/>
          <w:w w:val="105"/>
        </w:rPr>
        <w:t>to</w:t>
      </w:r>
      <w:r>
        <w:rPr>
          <w:color w:val="231F20"/>
          <w:spacing w:val="-3"/>
          <w:w w:val="105"/>
        </w:rPr>
        <w:t> </w:t>
      </w:r>
      <w:r>
        <w:rPr>
          <w:color w:val="231F20"/>
          <w:w w:val="105"/>
        </w:rPr>
        <w:t>become</w:t>
      </w:r>
      <w:r>
        <w:rPr>
          <w:color w:val="231F20"/>
          <w:spacing w:val="-3"/>
          <w:w w:val="105"/>
        </w:rPr>
        <w:t> </w:t>
      </w:r>
      <w:r>
        <w:rPr>
          <w:color w:val="231F20"/>
          <w:w w:val="105"/>
        </w:rPr>
        <w:t>leaders</w:t>
      </w:r>
      <w:r>
        <w:rPr>
          <w:color w:val="231F20"/>
          <w:spacing w:val="-3"/>
          <w:w w:val="105"/>
        </w:rPr>
        <w:t> </w:t>
      </w:r>
      <w:r>
        <w:rPr>
          <w:color w:val="231F20"/>
          <w:w w:val="105"/>
        </w:rPr>
        <w:t>by</w:t>
      </w:r>
      <w:r>
        <w:rPr>
          <w:color w:val="231F20"/>
          <w:spacing w:val="-3"/>
          <w:w w:val="105"/>
        </w:rPr>
        <w:t> </w:t>
      </w:r>
      <w:r>
        <w:rPr>
          <w:color w:val="231F20"/>
          <w:w w:val="105"/>
        </w:rPr>
        <w:t>tapping</w:t>
      </w:r>
      <w:r>
        <w:rPr>
          <w:color w:val="231F20"/>
          <w:spacing w:val="-3"/>
          <w:w w:val="105"/>
        </w:rPr>
        <w:t> </w:t>
      </w:r>
      <w:r>
        <w:rPr>
          <w:color w:val="231F20"/>
          <w:w w:val="105"/>
        </w:rPr>
        <w:t>their</w:t>
      </w:r>
      <w:r>
        <w:rPr>
          <w:color w:val="231F20"/>
          <w:spacing w:val="-3"/>
          <w:w w:val="105"/>
        </w:rPr>
        <w:t> </w:t>
      </w:r>
      <w:r>
        <w:rPr>
          <w:color w:val="231F20"/>
          <w:w w:val="105"/>
        </w:rPr>
        <w:t>own</w:t>
      </w:r>
      <w:r>
        <w:rPr>
          <w:color w:val="231F20"/>
          <w:spacing w:val="-3"/>
          <w:w w:val="105"/>
        </w:rPr>
        <w:t> </w:t>
      </w:r>
      <w:r>
        <w:rPr>
          <w:color w:val="231F20"/>
          <w:w w:val="105"/>
        </w:rPr>
        <w:t>creativity. Because</w:t>
      </w:r>
      <w:r>
        <w:rPr>
          <w:color w:val="231F20"/>
          <w:w w:val="105"/>
        </w:rPr>
        <w:t> </w:t>
      </w:r>
      <w:r>
        <w:rPr>
          <w:i/>
          <w:color w:val="231F20"/>
          <w:w w:val="105"/>
        </w:rPr>
        <w:t>vision</w:t>
      </w:r>
      <w:r>
        <w:rPr>
          <w:i/>
          <w:color w:val="231F20"/>
          <w:w w:val="105"/>
        </w:rPr>
        <w:t> </w:t>
      </w:r>
      <w:r>
        <w:rPr>
          <w:color w:val="231F20"/>
          <w:w w:val="105"/>
        </w:rPr>
        <w:t>is</w:t>
      </w:r>
      <w:r>
        <w:rPr>
          <w:color w:val="231F20"/>
          <w:w w:val="105"/>
        </w:rPr>
        <w:t> an</w:t>
      </w:r>
      <w:r>
        <w:rPr>
          <w:color w:val="231F20"/>
          <w:w w:val="105"/>
        </w:rPr>
        <w:t> element</w:t>
      </w:r>
      <w:r>
        <w:rPr>
          <w:color w:val="231F20"/>
          <w:w w:val="105"/>
        </w:rPr>
        <w:t> in</w:t>
      </w:r>
      <w:r>
        <w:rPr>
          <w:color w:val="231F20"/>
          <w:w w:val="105"/>
        </w:rPr>
        <w:t> the</w:t>
      </w:r>
      <w:r>
        <w:rPr>
          <w:color w:val="231F20"/>
          <w:w w:val="105"/>
        </w:rPr>
        <w:t> VCM</w:t>
      </w:r>
      <w:r>
        <w:rPr>
          <w:color w:val="231F20"/>
          <w:w w:val="105"/>
        </w:rPr>
        <w:t> pie,</w:t>
      </w:r>
      <w:r>
        <w:rPr>
          <w:color w:val="231F20"/>
          <w:w w:val="105"/>
        </w:rPr>
        <w:t> MBAs</w:t>
      </w:r>
      <w:r>
        <w:rPr>
          <w:color w:val="231F20"/>
          <w:w w:val="105"/>
        </w:rPr>
        <w:t> ought</w:t>
      </w:r>
      <w:r>
        <w:rPr>
          <w:color w:val="231F20"/>
          <w:w w:val="105"/>
        </w:rPr>
        <w:t> to</w:t>
      </w:r>
      <w:r>
        <w:rPr>
          <w:color w:val="231F20"/>
          <w:w w:val="105"/>
        </w:rPr>
        <w:t> nur- </w:t>
      </w:r>
      <w:r>
        <w:rPr>
          <w:color w:val="231F20"/>
        </w:rPr>
        <w:t>ture their own creativity. Everyone has </w:t>
      </w:r>
      <w:r>
        <w:rPr>
          <w:i/>
          <w:color w:val="231F20"/>
        </w:rPr>
        <w:t>idea-friendly times </w:t>
      </w:r>
      <w:r>
        <w:rPr>
          <w:color w:val="231F20"/>
        </w:rPr>
        <w:t>when they are most creative. For some it may be while in the shower, for others </w:t>
      </w:r>
      <w:r>
        <w:rPr>
          <w:color w:val="231F20"/>
          <w:w w:val="105"/>
        </w:rPr>
        <w:t>on</w:t>
      </w:r>
      <w:r>
        <w:rPr>
          <w:color w:val="231F20"/>
          <w:spacing w:val="-13"/>
          <w:w w:val="105"/>
        </w:rPr>
        <w:t> </w:t>
      </w:r>
      <w:r>
        <w:rPr>
          <w:color w:val="231F20"/>
          <w:w w:val="105"/>
        </w:rPr>
        <w:t>the</w:t>
      </w:r>
      <w:r>
        <w:rPr>
          <w:color w:val="231F20"/>
          <w:spacing w:val="-12"/>
          <w:w w:val="105"/>
        </w:rPr>
        <w:t> </w:t>
      </w:r>
      <w:r>
        <w:rPr>
          <w:color w:val="231F20"/>
          <w:w w:val="105"/>
        </w:rPr>
        <w:t>porcelain</w:t>
      </w:r>
      <w:r>
        <w:rPr>
          <w:color w:val="231F20"/>
          <w:spacing w:val="-12"/>
          <w:w w:val="105"/>
        </w:rPr>
        <w:t> </w:t>
      </w:r>
      <w:r>
        <w:rPr>
          <w:color w:val="231F20"/>
          <w:w w:val="105"/>
        </w:rPr>
        <w:t>throne</w:t>
      </w:r>
      <w:r>
        <w:rPr>
          <w:color w:val="231F20"/>
          <w:spacing w:val="-12"/>
          <w:w w:val="105"/>
        </w:rPr>
        <w:t> </w:t>
      </w:r>
      <w:r>
        <w:rPr>
          <w:color w:val="231F20"/>
          <w:w w:val="105"/>
        </w:rPr>
        <w:t>or</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car.</w:t>
      </w:r>
      <w:r>
        <w:rPr>
          <w:color w:val="231F20"/>
          <w:spacing w:val="-13"/>
          <w:w w:val="105"/>
        </w:rPr>
        <w:t> </w:t>
      </w:r>
      <w:r>
        <w:rPr>
          <w:color w:val="231F20"/>
          <w:w w:val="105"/>
        </w:rPr>
        <w:t>Creative</w:t>
      </w:r>
      <w:r>
        <w:rPr>
          <w:color w:val="231F20"/>
          <w:spacing w:val="-12"/>
          <w:w w:val="105"/>
        </w:rPr>
        <w:t> </w:t>
      </w:r>
      <w:r>
        <w:rPr>
          <w:color w:val="231F20"/>
          <w:w w:val="105"/>
        </w:rPr>
        <w:t>thought</w:t>
      </w:r>
      <w:r>
        <w:rPr>
          <w:color w:val="231F20"/>
          <w:spacing w:val="-12"/>
          <w:w w:val="105"/>
        </w:rPr>
        <w:t> </w:t>
      </w:r>
      <w:r>
        <w:rPr>
          <w:color w:val="231F20"/>
          <w:w w:val="105"/>
        </w:rPr>
        <w:t>is</w:t>
      </w:r>
      <w:r>
        <w:rPr>
          <w:color w:val="231F20"/>
          <w:spacing w:val="-12"/>
          <w:w w:val="105"/>
        </w:rPr>
        <w:t> </w:t>
      </w:r>
      <w:r>
        <w:rPr>
          <w:color w:val="231F20"/>
          <w:w w:val="105"/>
        </w:rPr>
        <w:t>often</w:t>
      </w:r>
      <w:r>
        <w:rPr>
          <w:color w:val="231F20"/>
          <w:spacing w:val="-12"/>
          <w:w w:val="105"/>
        </w:rPr>
        <w:t> </w:t>
      </w:r>
      <w:r>
        <w:rPr>
          <w:color w:val="231F20"/>
          <w:w w:val="105"/>
        </w:rPr>
        <w:t>fleet- </w:t>
      </w:r>
      <w:r>
        <w:rPr>
          <w:color w:val="231F20"/>
        </w:rPr>
        <w:t>ing;</w:t>
      </w:r>
      <w:r>
        <w:rPr>
          <w:color w:val="231F20"/>
          <w:spacing w:val="7"/>
        </w:rPr>
        <w:t> </w:t>
      </w:r>
      <w:r>
        <w:rPr>
          <w:color w:val="231F20"/>
        </w:rPr>
        <w:t>you</w:t>
      </w:r>
      <w:r>
        <w:rPr>
          <w:color w:val="231F20"/>
          <w:spacing w:val="8"/>
        </w:rPr>
        <w:t> </w:t>
      </w:r>
      <w:r>
        <w:rPr>
          <w:color w:val="231F20"/>
        </w:rPr>
        <w:t>must</w:t>
      </w:r>
      <w:r>
        <w:rPr>
          <w:color w:val="231F20"/>
          <w:spacing w:val="8"/>
        </w:rPr>
        <w:t> </w:t>
      </w:r>
      <w:r>
        <w:rPr>
          <w:color w:val="231F20"/>
        </w:rPr>
        <w:t>be</w:t>
      </w:r>
      <w:r>
        <w:rPr>
          <w:color w:val="231F20"/>
          <w:spacing w:val="8"/>
        </w:rPr>
        <w:t> </w:t>
      </w:r>
      <w:r>
        <w:rPr>
          <w:color w:val="231F20"/>
        </w:rPr>
        <w:t>able</w:t>
      </w:r>
      <w:r>
        <w:rPr>
          <w:color w:val="231F20"/>
          <w:spacing w:val="8"/>
        </w:rPr>
        <w:t> </w:t>
      </w:r>
      <w:r>
        <w:rPr>
          <w:color w:val="231F20"/>
        </w:rPr>
        <w:t>to</w:t>
      </w:r>
      <w:r>
        <w:rPr>
          <w:color w:val="231F20"/>
          <w:spacing w:val="8"/>
        </w:rPr>
        <w:t> </w:t>
      </w:r>
      <w:r>
        <w:rPr>
          <w:color w:val="231F20"/>
        </w:rPr>
        <w:t>capture</w:t>
      </w:r>
      <w:r>
        <w:rPr>
          <w:color w:val="231F20"/>
          <w:spacing w:val="8"/>
        </w:rPr>
        <w:t> </w:t>
      </w:r>
      <w:r>
        <w:rPr>
          <w:color w:val="231F20"/>
        </w:rPr>
        <w:t>it</w:t>
      </w:r>
      <w:r>
        <w:rPr>
          <w:color w:val="231F20"/>
          <w:spacing w:val="8"/>
        </w:rPr>
        <w:t> </w:t>
      </w:r>
      <w:r>
        <w:rPr>
          <w:color w:val="231F20"/>
        </w:rPr>
        <w:t>in</w:t>
      </w:r>
      <w:r>
        <w:rPr>
          <w:color w:val="231F20"/>
          <w:spacing w:val="8"/>
        </w:rPr>
        <w:t> </w:t>
      </w:r>
      <w:r>
        <w:rPr>
          <w:color w:val="231F20"/>
        </w:rPr>
        <w:t>its</w:t>
      </w:r>
      <w:r>
        <w:rPr>
          <w:color w:val="231F20"/>
          <w:spacing w:val="8"/>
        </w:rPr>
        <w:t> </w:t>
      </w:r>
      <w:r>
        <w:rPr>
          <w:color w:val="231F20"/>
        </w:rPr>
        <w:t>tender,</w:t>
      </w:r>
      <w:r>
        <w:rPr>
          <w:color w:val="231F20"/>
          <w:spacing w:val="8"/>
        </w:rPr>
        <w:t> </w:t>
      </w:r>
      <w:r>
        <w:rPr>
          <w:color w:val="231F20"/>
        </w:rPr>
        <w:t>nascent</w:t>
      </w:r>
      <w:r>
        <w:rPr>
          <w:color w:val="231F20"/>
          <w:spacing w:val="8"/>
        </w:rPr>
        <w:t> </w:t>
      </w:r>
      <w:r>
        <w:rPr>
          <w:color w:val="231F20"/>
        </w:rPr>
        <w:t>stage.</w:t>
      </w:r>
      <w:r>
        <w:rPr>
          <w:color w:val="231F20"/>
          <w:spacing w:val="7"/>
        </w:rPr>
        <w:t> </w:t>
      </w:r>
      <w:r>
        <w:rPr>
          <w:i/>
          <w:color w:val="231F20"/>
          <w:spacing w:val="-4"/>
        </w:rPr>
        <w:t>What</w:t>
      </w:r>
    </w:p>
    <w:p>
      <w:pPr>
        <w:spacing w:after="0" w:line="292" w:lineRule="auto"/>
        <w:jc w:val="both"/>
        <w:sectPr>
          <w:type w:val="continuous"/>
          <w:pgSz w:w="8640" w:h="12960"/>
          <w:pgMar w:header="732" w:footer="0" w:top="1220" w:bottom="280" w:left="340" w:right="500"/>
        </w:sectPr>
      </w:pPr>
    </w:p>
    <w:p>
      <w:pPr>
        <w:pStyle w:val="BodyText"/>
        <w:spacing w:before="10"/>
        <w:rPr>
          <w:i/>
          <w:sz w:val="17"/>
        </w:rPr>
      </w:pPr>
    </w:p>
    <w:p>
      <w:pPr>
        <w:pStyle w:val="BodyText"/>
        <w:spacing w:line="292" w:lineRule="auto" w:before="102"/>
        <w:ind w:left="830" w:right="756"/>
        <w:jc w:val="both"/>
      </w:pPr>
      <w:r>
        <w:rPr>
          <w:i/>
          <w:color w:val="231F20"/>
          <w:w w:val="105"/>
        </w:rPr>
        <w:t>a</w:t>
      </w:r>
      <w:r>
        <w:rPr>
          <w:i/>
          <w:color w:val="231F20"/>
          <w:w w:val="105"/>
        </w:rPr>
        <w:t> Great</w:t>
      </w:r>
      <w:r>
        <w:rPr>
          <w:i/>
          <w:color w:val="231F20"/>
          <w:w w:val="105"/>
        </w:rPr>
        <w:t> Idea</w:t>
      </w:r>
      <w:r>
        <w:rPr>
          <w:i/>
          <w:color w:val="231F20"/>
          <w:w w:val="105"/>
        </w:rPr>
        <w:t> </w:t>
      </w:r>
      <w:r>
        <w:rPr>
          <w:color w:val="231F20"/>
          <w:w w:val="105"/>
        </w:rPr>
        <w:t>by</w:t>
      </w:r>
      <w:r>
        <w:rPr>
          <w:color w:val="231F20"/>
          <w:w w:val="105"/>
        </w:rPr>
        <w:t> Chick</w:t>
      </w:r>
      <w:r>
        <w:rPr>
          <w:color w:val="231F20"/>
          <w:w w:val="105"/>
        </w:rPr>
        <w:t> Thompson</w:t>
      </w:r>
      <w:r>
        <w:rPr>
          <w:color w:val="231F20"/>
          <w:w w:val="105"/>
        </w:rPr>
        <w:t> suggests</w:t>
      </w:r>
      <w:r>
        <w:rPr>
          <w:color w:val="231F20"/>
          <w:w w:val="105"/>
        </w:rPr>
        <w:t> that</w:t>
      </w:r>
      <w:r>
        <w:rPr>
          <w:color w:val="231F20"/>
          <w:w w:val="105"/>
        </w:rPr>
        <w:t> we</w:t>
      </w:r>
      <w:r>
        <w:rPr>
          <w:color w:val="231F20"/>
          <w:w w:val="105"/>
        </w:rPr>
        <w:t> should</w:t>
      </w:r>
      <w:r>
        <w:rPr>
          <w:color w:val="231F20"/>
          <w:w w:val="105"/>
        </w:rPr>
        <w:t> always </w:t>
      </w:r>
      <w:r>
        <w:rPr>
          <w:color w:val="231F20"/>
        </w:rPr>
        <w:t>keep</w:t>
      </w:r>
      <w:r>
        <w:rPr>
          <w:color w:val="231F20"/>
          <w:spacing w:val="-3"/>
        </w:rPr>
        <w:t> </w:t>
      </w:r>
      <w:r>
        <w:rPr>
          <w:color w:val="231F20"/>
        </w:rPr>
        <w:t>a</w:t>
      </w:r>
      <w:r>
        <w:rPr>
          <w:color w:val="231F20"/>
          <w:spacing w:val="-3"/>
        </w:rPr>
        <w:t> </w:t>
      </w:r>
      <w:r>
        <w:rPr>
          <w:color w:val="231F20"/>
        </w:rPr>
        <w:t>pen,</w:t>
      </w:r>
      <w:r>
        <w:rPr>
          <w:color w:val="231F20"/>
          <w:spacing w:val="-3"/>
        </w:rPr>
        <w:t> </w:t>
      </w:r>
      <w:r>
        <w:rPr>
          <w:color w:val="231F20"/>
        </w:rPr>
        <w:t>a</w:t>
      </w:r>
      <w:r>
        <w:rPr>
          <w:color w:val="231F20"/>
          <w:spacing w:val="-3"/>
        </w:rPr>
        <w:t> </w:t>
      </w:r>
      <w:r>
        <w:rPr>
          <w:color w:val="231F20"/>
        </w:rPr>
        <w:t>tape</w:t>
      </w:r>
      <w:r>
        <w:rPr>
          <w:color w:val="231F20"/>
          <w:spacing w:val="-3"/>
        </w:rPr>
        <w:t> </w:t>
      </w:r>
      <w:r>
        <w:rPr>
          <w:color w:val="231F20"/>
        </w:rPr>
        <w:t>recorder,</w:t>
      </w:r>
      <w:r>
        <w:rPr>
          <w:color w:val="231F20"/>
          <w:spacing w:val="-3"/>
        </w:rPr>
        <w:t> </w:t>
      </w:r>
      <w:r>
        <w:rPr>
          <w:color w:val="231F20"/>
        </w:rPr>
        <w:t>or</w:t>
      </w:r>
      <w:r>
        <w:rPr>
          <w:color w:val="231F20"/>
          <w:spacing w:val="-3"/>
        </w:rPr>
        <w:t> </w:t>
      </w:r>
      <w:r>
        <w:rPr>
          <w:color w:val="231F20"/>
        </w:rPr>
        <w:t>a</w:t>
      </w:r>
      <w:r>
        <w:rPr>
          <w:color w:val="231F20"/>
          <w:spacing w:val="-3"/>
        </w:rPr>
        <w:t> </w:t>
      </w:r>
      <w:r>
        <w:rPr>
          <w:color w:val="231F20"/>
        </w:rPr>
        <w:t>grease</w:t>
      </w:r>
      <w:r>
        <w:rPr>
          <w:color w:val="231F20"/>
          <w:spacing w:val="-3"/>
        </w:rPr>
        <w:t> </w:t>
      </w:r>
      <w:r>
        <w:rPr>
          <w:color w:val="231F20"/>
        </w:rPr>
        <w:t>pencil</w:t>
      </w:r>
      <w:r>
        <w:rPr>
          <w:color w:val="231F20"/>
          <w:spacing w:val="-3"/>
        </w:rPr>
        <w:t> </w:t>
      </w:r>
      <w:r>
        <w:rPr>
          <w:color w:val="231F20"/>
        </w:rPr>
        <w:t>(for</w:t>
      </w:r>
      <w:r>
        <w:rPr>
          <w:color w:val="231F20"/>
          <w:spacing w:val="-3"/>
        </w:rPr>
        <w:t> </w:t>
      </w:r>
      <w:r>
        <w:rPr>
          <w:color w:val="231F20"/>
        </w:rPr>
        <w:t>the</w:t>
      </w:r>
      <w:r>
        <w:rPr>
          <w:color w:val="231F20"/>
          <w:spacing w:val="-3"/>
        </w:rPr>
        <w:t> </w:t>
      </w:r>
      <w:r>
        <w:rPr>
          <w:color w:val="231F20"/>
        </w:rPr>
        <w:t>shower)</w:t>
      </w:r>
      <w:r>
        <w:rPr>
          <w:color w:val="231F20"/>
          <w:spacing w:val="-3"/>
        </w:rPr>
        <w:t> </w:t>
      </w:r>
      <w:r>
        <w:rPr>
          <w:color w:val="231F20"/>
        </w:rPr>
        <w:t>handy </w:t>
      </w:r>
      <w:r>
        <w:rPr>
          <w:color w:val="231F20"/>
          <w:w w:val="105"/>
        </w:rPr>
        <w:t>in each of our </w:t>
      </w:r>
      <w:r>
        <w:rPr>
          <w:i/>
          <w:color w:val="231F20"/>
          <w:w w:val="105"/>
        </w:rPr>
        <w:t>friendly </w:t>
      </w:r>
      <w:r>
        <w:rPr>
          <w:color w:val="231F20"/>
          <w:w w:val="105"/>
        </w:rPr>
        <w:t>places.</w:t>
      </w:r>
    </w:p>
    <w:p>
      <w:pPr>
        <w:pStyle w:val="BodyText"/>
        <w:spacing w:line="292" w:lineRule="auto"/>
        <w:ind w:left="830" w:right="754" w:firstLine="340"/>
        <w:jc w:val="both"/>
      </w:pPr>
      <w:r>
        <w:rPr>
          <w:color w:val="231F20"/>
        </w:rPr>
        <w:t>The</w:t>
      </w:r>
      <w:r>
        <w:rPr>
          <w:color w:val="231F20"/>
          <w:spacing w:val="40"/>
        </w:rPr>
        <w:t> </w:t>
      </w:r>
      <w:r>
        <w:rPr>
          <w:i/>
          <w:color w:val="231F20"/>
        </w:rPr>
        <w:t>mind-mapping</w:t>
      </w:r>
      <w:r>
        <w:rPr>
          <w:i/>
          <w:color w:val="231F20"/>
          <w:spacing w:val="40"/>
        </w:rPr>
        <w:t> </w:t>
      </w:r>
      <w:r>
        <w:rPr>
          <w:color w:val="231F20"/>
        </w:rPr>
        <w:t>technique</w:t>
      </w:r>
      <w:r>
        <w:rPr>
          <w:color w:val="231F20"/>
          <w:spacing w:val="40"/>
        </w:rPr>
        <w:t> </w:t>
      </w:r>
      <w:r>
        <w:rPr>
          <w:color w:val="231F20"/>
        </w:rPr>
        <w:t>is</w:t>
      </w:r>
      <w:r>
        <w:rPr>
          <w:color w:val="231F20"/>
          <w:spacing w:val="40"/>
        </w:rPr>
        <w:t> </w:t>
      </w:r>
      <w:r>
        <w:rPr>
          <w:color w:val="231F20"/>
        </w:rPr>
        <w:t>also</w:t>
      </w:r>
      <w:r>
        <w:rPr>
          <w:color w:val="231F20"/>
          <w:spacing w:val="40"/>
        </w:rPr>
        <w:t> </w:t>
      </w:r>
      <w:r>
        <w:rPr>
          <w:color w:val="231F20"/>
        </w:rPr>
        <w:t>available.</w:t>
      </w:r>
      <w:r>
        <w:rPr>
          <w:color w:val="231F20"/>
          <w:spacing w:val="40"/>
        </w:rPr>
        <w:t> </w:t>
      </w:r>
      <w:r>
        <w:rPr>
          <w:color w:val="231F20"/>
        </w:rPr>
        <w:t>Take</w:t>
      </w:r>
      <w:r>
        <w:rPr>
          <w:color w:val="231F20"/>
          <w:spacing w:val="40"/>
        </w:rPr>
        <w:t> </w:t>
      </w:r>
      <w:r>
        <w:rPr>
          <w:color w:val="231F20"/>
        </w:rPr>
        <w:t>a</w:t>
      </w:r>
      <w:r>
        <w:rPr>
          <w:color w:val="231F20"/>
          <w:spacing w:val="40"/>
        </w:rPr>
        <w:t> </w:t>
      </w:r>
      <w:r>
        <w:rPr>
          <w:color w:val="231F20"/>
        </w:rPr>
        <w:t>blank piece of paper and start thinking about a creative challenge, then write down the subject and circle it. Proceed, in a completely </w:t>
      </w:r>
      <w:r>
        <w:rPr>
          <w:color w:val="231F20"/>
        </w:rPr>
        <w:t>unin- hibited style, to scribble and circle all your related thoughts around that subject’s key words and connect them like the spokes on a</w:t>
      </w:r>
      <w:r>
        <w:rPr>
          <w:color w:val="231F20"/>
          <w:spacing w:val="40"/>
        </w:rPr>
        <w:t> </w:t>
      </w:r>
      <w:r>
        <w:rPr>
          <w:color w:val="231F20"/>
        </w:rPr>
        <w:t>wheel. Each of the spokes should have spokes around it, and so on.</w:t>
      </w:r>
      <w:r>
        <w:rPr>
          <w:color w:val="231F20"/>
          <w:spacing w:val="40"/>
        </w:rPr>
        <w:t> </w:t>
      </w:r>
      <w:r>
        <w:rPr>
          <w:color w:val="231F20"/>
        </w:rPr>
        <w:t>No thought is too stupid! After it’s all done, something may emerge from the jumble of free association. I’ve used the technique to think up titles, promotional copy, and project solutions for this book. Try it—</w:t>
      </w:r>
      <w:r>
        <w:rPr>
          <w:color w:val="231F20"/>
          <w:spacing w:val="-8"/>
        </w:rPr>
        <w:t> </w:t>
      </w:r>
      <w:r>
        <w:rPr>
          <w:color w:val="231F20"/>
        </w:rPr>
        <w:t>you have nothing to lose.</w:t>
      </w:r>
    </w:p>
    <w:p>
      <w:pPr>
        <w:pStyle w:val="BodyText"/>
        <w:spacing w:line="292" w:lineRule="auto"/>
        <w:ind w:left="830" w:right="756" w:firstLine="340"/>
        <w:jc w:val="both"/>
      </w:pPr>
      <w:r>
        <w:rPr>
          <w:color w:val="231F20"/>
        </w:rPr>
        <w:t>An abbreviated mind-mapping session to develop the name </w:t>
      </w:r>
      <w:r>
        <w:rPr>
          <w:color w:val="231F20"/>
        </w:rPr>
        <w:t>for this book looked like the diagram at right.</w:t>
      </w:r>
    </w:p>
    <w:p>
      <w:pPr>
        <w:pStyle w:val="BodyText"/>
        <w:spacing w:before="1"/>
        <w:rPr>
          <w:sz w:val="25"/>
        </w:rPr>
      </w:pPr>
    </w:p>
    <w:p>
      <w:pPr>
        <w:pStyle w:val="BodyText"/>
        <w:spacing w:line="292" w:lineRule="auto"/>
        <w:ind w:left="830" w:right="753"/>
        <w:jc w:val="both"/>
      </w:pPr>
      <w:r>
        <w:rPr>
          <w:i/>
          <w:color w:val="231F20"/>
        </w:rPr>
        <w:t>Type A and B Behaviors. </w:t>
      </w:r>
      <w:r>
        <w:rPr>
          <w:color w:val="231F20"/>
        </w:rPr>
        <w:t>OB professors have introduced the concept</w:t>
      </w:r>
      <w:r>
        <w:rPr>
          <w:color w:val="231F20"/>
          <w:spacing w:val="40"/>
        </w:rPr>
        <w:t> </w:t>
      </w:r>
      <w:r>
        <w:rPr>
          <w:color w:val="231F20"/>
        </w:rPr>
        <w:t>of behavior typing into the curriculum as an added tool for </w:t>
      </w:r>
      <w:r>
        <w:rPr>
          <w:color w:val="231F20"/>
        </w:rPr>
        <w:t>personal understanding. Since most MBAs attending the Top Ten schools</w:t>
      </w:r>
      <w:r>
        <w:rPr>
          <w:color w:val="231F20"/>
          <w:spacing w:val="80"/>
        </w:rPr>
        <w:t> </w:t>
      </w:r>
      <w:r>
        <w:rPr>
          <w:color w:val="231F20"/>
        </w:rPr>
        <w:t>were admitted because their type A personalities helped them to the top of their college classes, it seems appropriate that they should un- derstand that aspect of themselves. </w:t>
      </w:r>
      <w:r>
        <w:rPr>
          <w:i/>
          <w:color w:val="231F20"/>
        </w:rPr>
        <w:t>Type A behavior </w:t>
      </w:r>
      <w:r>
        <w:rPr>
          <w:color w:val="231F20"/>
        </w:rPr>
        <w:t>was originally identified in 1959 by two cardiologists, Meyer Friedman and Ray Roseman. They noticed that patients with severe coronary heart dis- ease were often characterized by these traits:</w:t>
      </w:r>
    </w:p>
    <w:p>
      <w:pPr>
        <w:pStyle w:val="BodyText"/>
        <w:spacing w:before="1"/>
        <w:rPr>
          <w:sz w:val="27"/>
        </w:rPr>
      </w:pPr>
    </w:p>
    <w:p>
      <w:pPr>
        <w:pStyle w:val="ListParagraph"/>
        <w:numPr>
          <w:ilvl w:val="0"/>
          <w:numId w:val="24"/>
        </w:numPr>
        <w:tabs>
          <w:tab w:pos="1356" w:val="left" w:leader="none"/>
        </w:tabs>
        <w:spacing w:line="240" w:lineRule="auto" w:before="1" w:after="0"/>
        <w:ind w:left="1355" w:right="0" w:hanging="186"/>
        <w:jc w:val="left"/>
        <w:rPr>
          <w:sz w:val="19"/>
        </w:rPr>
      </w:pPr>
      <w:r>
        <w:rPr>
          <w:color w:val="231F20"/>
          <w:w w:val="115"/>
          <w:sz w:val="19"/>
        </w:rPr>
        <w:t>A</w:t>
      </w:r>
      <w:r>
        <w:rPr>
          <w:color w:val="231F20"/>
          <w:spacing w:val="-4"/>
          <w:w w:val="115"/>
          <w:sz w:val="19"/>
        </w:rPr>
        <w:t> </w:t>
      </w:r>
      <w:r>
        <w:rPr>
          <w:color w:val="231F20"/>
          <w:w w:val="115"/>
          <w:sz w:val="19"/>
        </w:rPr>
        <w:t>Competitive</w:t>
      </w:r>
      <w:r>
        <w:rPr>
          <w:color w:val="231F20"/>
          <w:spacing w:val="-3"/>
          <w:w w:val="115"/>
          <w:sz w:val="19"/>
        </w:rPr>
        <w:t> </w:t>
      </w:r>
      <w:r>
        <w:rPr>
          <w:color w:val="231F20"/>
          <w:w w:val="115"/>
          <w:sz w:val="19"/>
        </w:rPr>
        <w:t>Need</w:t>
      </w:r>
      <w:r>
        <w:rPr>
          <w:color w:val="231F20"/>
          <w:spacing w:val="-3"/>
          <w:w w:val="115"/>
          <w:sz w:val="19"/>
        </w:rPr>
        <w:t> </w:t>
      </w:r>
      <w:r>
        <w:rPr>
          <w:color w:val="231F20"/>
          <w:w w:val="115"/>
          <w:sz w:val="19"/>
        </w:rPr>
        <w:t>for</w:t>
      </w:r>
      <w:r>
        <w:rPr>
          <w:color w:val="231F20"/>
          <w:spacing w:val="-3"/>
          <w:w w:val="115"/>
          <w:sz w:val="19"/>
        </w:rPr>
        <w:t> </w:t>
      </w:r>
      <w:r>
        <w:rPr>
          <w:color w:val="231F20"/>
          <w:spacing w:val="-2"/>
          <w:w w:val="115"/>
          <w:sz w:val="19"/>
        </w:rPr>
        <w:t>Achievement</w:t>
      </w:r>
    </w:p>
    <w:p>
      <w:pPr>
        <w:pStyle w:val="ListParagraph"/>
        <w:numPr>
          <w:ilvl w:val="0"/>
          <w:numId w:val="24"/>
        </w:numPr>
        <w:tabs>
          <w:tab w:pos="1356" w:val="left" w:leader="none"/>
        </w:tabs>
        <w:spacing w:line="240" w:lineRule="auto" w:before="81" w:after="0"/>
        <w:ind w:left="1355" w:right="0" w:hanging="186"/>
        <w:jc w:val="left"/>
        <w:rPr>
          <w:sz w:val="19"/>
        </w:rPr>
      </w:pPr>
      <w:r>
        <w:rPr>
          <w:color w:val="231F20"/>
          <w:w w:val="110"/>
          <w:sz w:val="19"/>
        </w:rPr>
        <w:t>A</w:t>
      </w:r>
      <w:r>
        <w:rPr>
          <w:color w:val="231F20"/>
          <w:spacing w:val="-7"/>
          <w:w w:val="110"/>
          <w:sz w:val="19"/>
        </w:rPr>
        <w:t> </w:t>
      </w:r>
      <w:r>
        <w:rPr>
          <w:color w:val="231F20"/>
          <w:w w:val="110"/>
          <w:sz w:val="19"/>
        </w:rPr>
        <w:t>Sense</w:t>
      </w:r>
      <w:r>
        <w:rPr>
          <w:color w:val="231F20"/>
          <w:spacing w:val="-7"/>
          <w:w w:val="110"/>
          <w:sz w:val="19"/>
        </w:rPr>
        <w:t> </w:t>
      </w:r>
      <w:r>
        <w:rPr>
          <w:color w:val="231F20"/>
          <w:w w:val="110"/>
          <w:sz w:val="19"/>
        </w:rPr>
        <w:t>of</w:t>
      </w:r>
      <w:r>
        <w:rPr>
          <w:color w:val="231F20"/>
          <w:spacing w:val="-7"/>
          <w:w w:val="110"/>
          <w:sz w:val="19"/>
        </w:rPr>
        <w:t> </w:t>
      </w:r>
      <w:r>
        <w:rPr>
          <w:color w:val="231F20"/>
          <w:w w:val="110"/>
          <w:sz w:val="19"/>
        </w:rPr>
        <w:t>Time</w:t>
      </w:r>
      <w:r>
        <w:rPr>
          <w:color w:val="231F20"/>
          <w:spacing w:val="-7"/>
          <w:w w:val="110"/>
          <w:sz w:val="19"/>
        </w:rPr>
        <w:t> </w:t>
      </w:r>
      <w:r>
        <w:rPr>
          <w:color w:val="231F20"/>
          <w:spacing w:val="-2"/>
          <w:w w:val="110"/>
          <w:sz w:val="19"/>
        </w:rPr>
        <w:t>Urgency</w:t>
      </w:r>
    </w:p>
    <w:p>
      <w:pPr>
        <w:pStyle w:val="ListParagraph"/>
        <w:numPr>
          <w:ilvl w:val="0"/>
          <w:numId w:val="24"/>
        </w:numPr>
        <w:tabs>
          <w:tab w:pos="1356" w:val="left" w:leader="none"/>
        </w:tabs>
        <w:spacing w:line="240" w:lineRule="auto" w:before="82" w:after="0"/>
        <w:ind w:left="1355" w:right="0" w:hanging="186"/>
        <w:jc w:val="left"/>
        <w:rPr>
          <w:sz w:val="19"/>
        </w:rPr>
      </w:pPr>
      <w:r>
        <w:rPr>
          <w:color w:val="231F20"/>
          <w:spacing w:val="-2"/>
          <w:w w:val="110"/>
          <w:sz w:val="19"/>
        </w:rPr>
        <w:t>Aggressiveness</w:t>
      </w:r>
    </w:p>
    <w:p>
      <w:pPr>
        <w:pStyle w:val="ListParagraph"/>
        <w:numPr>
          <w:ilvl w:val="0"/>
          <w:numId w:val="24"/>
        </w:numPr>
        <w:tabs>
          <w:tab w:pos="1356" w:val="left" w:leader="none"/>
        </w:tabs>
        <w:spacing w:line="240" w:lineRule="auto" w:before="81" w:after="0"/>
        <w:ind w:left="1355" w:right="0" w:hanging="186"/>
        <w:jc w:val="left"/>
        <w:rPr>
          <w:sz w:val="19"/>
        </w:rPr>
      </w:pPr>
      <w:r>
        <w:rPr>
          <w:color w:val="231F20"/>
          <w:w w:val="115"/>
          <w:sz w:val="19"/>
        </w:rPr>
        <w:t>Hostility</w:t>
      </w:r>
      <w:r>
        <w:rPr>
          <w:color w:val="231F20"/>
          <w:spacing w:val="-5"/>
          <w:w w:val="115"/>
          <w:sz w:val="19"/>
        </w:rPr>
        <w:t> </w:t>
      </w:r>
      <w:r>
        <w:rPr>
          <w:color w:val="231F20"/>
          <w:w w:val="115"/>
          <w:sz w:val="19"/>
        </w:rPr>
        <w:t>to</w:t>
      </w:r>
      <w:r>
        <w:rPr>
          <w:color w:val="231F20"/>
          <w:spacing w:val="-4"/>
          <w:w w:val="115"/>
          <w:sz w:val="19"/>
        </w:rPr>
        <w:t> </w:t>
      </w:r>
      <w:r>
        <w:rPr>
          <w:color w:val="231F20"/>
          <w:w w:val="115"/>
          <w:sz w:val="19"/>
        </w:rPr>
        <w:t>Others</w:t>
      </w:r>
      <w:r>
        <w:rPr>
          <w:color w:val="231F20"/>
          <w:spacing w:val="-4"/>
          <w:w w:val="115"/>
          <w:sz w:val="19"/>
        </w:rPr>
        <w:t> </w:t>
      </w:r>
      <w:r>
        <w:rPr>
          <w:color w:val="231F20"/>
          <w:w w:val="115"/>
          <w:sz w:val="19"/>
        </w:rPr>
        <w:t>and</w:t>
      </w:r>
      <w:r>
        <w:rPr>
          <w:color w:val="231F20"/>
          <w:spacing w:val="-4"/>
          <w:w w:val="115"/>
          <w:sz w:val="19"/>
        </w:rPr>
        <w:t> </w:t>
      </w:r>
      <w:r>
        <w:rPr>
          <w:color w:val="231F20"/>
          <w:w w:val="115"/>
          <w:sz w:val="19"/>
        </w:rPr>
        <w:t>the</w:t>
      </w:r>
      <w:r>
        <w:rPr>
          <w:color w:val="231F20"/>
          <w:spacing w:val="-4"/>
          <w:w w:val="115"/>
          <w:sz w:val="19"/>
        </w:rPr>
        <w:t> </w:t>
      </w:r>
      <w:r>
        <w:rPr>
          <w:color w:val="231F20"/>
          <w:spacing w:val="-2"/>
          <w:w w:val="115"/>
          <w:sz w:val="19"/>
        </w:rPr>
        <w:t>World</w:t>
      </w:r>
    </w:p>
    <w:p>
      <w:pPr>
        <w:pStyle w:val="BodyText"/>
        <w:rPr>
          <w:rFonts w:ascii="Arial"/>
          <w:sz w:val="20"/>
        </w:rPr>
      </w:pPr>
    </w:p>
    <w:p>
      <w:pPr>
        <w:pStyle w:val="BodyText"/>
        <w:spacing w:line="292" w:lineRule="auto" w:before="130"/>
        <w:ind w:left="830" w:right="755" w:firstLine="340"/>
        <w:jc w:val="both"/>
      </w:pPr>
      <w:r>
        <w:rPr>
          <w:color w:val="231F20"/>
        </w:rPr>
        <w:t>Additional manifestations of type A behavior include </w:t>
      </w:r>
      <w:r>
        <w:rPr>
          <w:color w:val="231F20"/>
        </w:rPr>
        <w:t>explosive, accelerated speech, interruption of others, a fast-paced approach to life, and impatience. Type A’s always try to do more than one activity at once. That’s what those Palm Pilots are for. Type A’s are often dis- satisfied</w:t>
      </w:r>
      <w:r>
        <w:rPr>
          <w:color w:val="231F20"/>
          <w:spacing w:val="40"/>
        </w:rPr>
        <w:t> </w:t>
      </w:r>
      <w:r>
        <w:rPr>
          <w:color w:val="231F20"/>
        </w:rPr>
        <w:t>with</w:t>
      </w:r>
      <w:r>
        <w:rPr>
          <w:color w:val="231F20"/>
          <w:spacing w:val="40"/>
        </w:rPr>
        <w:t> </w:t>
      </w:r>
      <w:r>
        <w:rPr>
          <w:color w:val="231F20"/>
        </w:rPr>
        <w:t>life,</w:t>
      </w:r>
      <w:r>
        <w:rPr>
          <w:color w:val="231F20"/>
          <w:spacing w:val="40"/>
        </w:rPr>
        <w:t> </w:t>
      </w:r>
      <w:r>
        <w:rPr>
          <w:color w:val="231F20"/>
        </w:rPr>
        <w:t>showing</w:t>
      </w:r>
      <w:r>
        <w:rPr>
          <w:color w:val="231F20"/>
          <w:spacing w:val="40"/>
        </w:rPr>
        <w:t> </w:t>
      </w:r>
      <w:r>
        <w:rPr>
          <w:color w:val="231F20"/>
        </w:rPr>
        <w:t>a</w:t>
      </w:r>
      <w:r>
        <w:rPr>
          <w:color w:val="231F20"/>
          <w:spacing w:val="40"/>
        </w:rPr>
        <w:t> </w:t>
      </w:r>
      <w:r>
        <w:rPr>
          <w:color w:val="231F20"/>
        </w:rPr>
        <w:t>free-floating</w:t>
      </w:r>
      <w:r>
        <w:rPr>
          <w:color w:val="231F20"/>
          <w:spacing w:val="40"/>
        </w:rPr>
        <w:t> </w:t>
      </w:r>
      <w:r>
        <w:rPr>
          <w:color w:val="231F20"/>
        </w:rPr>
        <w:t>hostility.</w:t>
      </w:r>
      <w:r>
        <w:rPr>
          <w:color w:val="231F20"/>
          <w:spacing w:val="40"/>
        </w:rPr>
        <w:t> </w:t>
      </w:r>
      <w:r>
        <w:rPr>
          <w:color w:val="231F20"/>
        </w:rPr>
        <w:t>They</w:t>
      </w:r>
      <w:r>
        <w:rPr>
          <w:color w:val="231F20"/>
          <w:spacing w:val="40"/>
        </w:rPr>
        <w:t> </w:t>
      </w:r>
      <w:r>
        <w:rPr>
          <w:color w:val="231F20"/>
        </w:rPr>
        <w:t>evaluate</w:t>
      </w:r>
    </w:p>
    <w:p>
      <w:pPr>
        <w:spacing w:after="0" w:line="292" w:lineRule="auto"/>
        <w:jc w:val="both"/>
        <w:sectPr>
          <w:pgSz w:w="8640" w:h="12960"/>
          <w:pgMar w:header="732" w:footer="0" w:top="920" w:bottom="280" w:left="340" w:right="500"/>
        </w:sectPr>
      </w:pPr>
    </w:p>
    <w:p>
      <w:pPr>
        <w:pStyle w:val="BodyText"/>
        <w:spacing w:before="8"/>
        <w:rPr>
          <w:sz w:val="19"/>
        </w:rPr>
      </w:pPr>
    </w:p>
    <w:p>
      <w:pPr>
        <w:spacing w:before="96"/>
        <w:ind w:left="473" w:right="219" w:firstLine="0"/>
        <w:jc w:val="center"/>
        <w:rPr>
          <w:rFonts w:ascii="Arial"/>
          <w:sz w:val="14"/>
        </w:rPr>
      </w:pPr>
      <w:r>
        <w:rPr>
          <w:rFonts w:ascii="Arial"/>
          <w:color w:val="231F20"/>
          <w:w w:val="105"/>
          <w:sz w:val="14"/>
        </w:rPr>
        <w:t>MIND</w:t>
      </w:r>
      <w:r>
        <w:rPr>
          <w:rFonts w:ascii="Arial"/>
          <w:color w:val="231F20"/>
          <w:spacing w:val="25"/>
          <w:w w:val="105"/>
          <w:sz w:val="14"/>
        </w:rPr>
        <w:t> </w:t>
      </w:r>
      <w:r>
        <w:rPr>
          <w:rFonts w:ascii="Arial"/>
          <w:color w:val="231F20"/>
          <w:w w:val="105"/>
          <w:sz w:val="14"/>
        </w:rPr>
        <w:t>MAPPING</w:t>
      </w:r>
      <w:r>
        <w:rPr>
          <w:rFonts w:ascii="Arial"/>
          <w:color w:val="231F20"/>
          <w:spacing w:val="25"/>
          <w:w w:val="105"/>
          <w:sz w:val="14"/>
        </w:rPr>
        <w:t> </w:t>
      </w:r>
      <w:r>
        <w:rPr>
          <w:rFonts w:ascii="Arial"/>
          <w:color w:val="231F20"/>
          <w:w w:val="105"/>
          <w:sz w:val="14"/>
        </w:rPr>
        <w:t>FOR</w:t>
      </w:r>
      <w:r>
        <w:rPr>
          <w:rFonts w:ascii="Arial"/>
          <w:color w:val="231F20"/>
          <w:spacing w:val="26"/>
          <w:w w:val="105"/>
          <w:sz w:val="14"/>
        </w:rPr>
        <w:t> </w:t>
      </w:r>
      <w:r>
        <w:rPr>
          <w:rFonts w:ascii="Arial"/>
          <w:color w:val="231F20"/>
          <w:w w:val="105"/>
          <w:sz w:val="14"/>
        </w:rPr>
        <w:t>A</w:t>
      </w:r>
      <w:r>
        <w:rPr>
          <w:rFonts w:ascii="Arial"/>
          <w:color w:val="231F20"/>
          <w:spacing w:val="25"/>
          <w:w w:val="105"/>
          <w:sz w:val="14"/>
        </w:rPr>
        <w:t> </w:t>
      </w:r>
      <w:r>
        <w:rPr>
          <w:rFonts w:ascii="Arial"/>
          <w:color w:val="231F20"/>
          <w:w w:val="105"/>
          <w:sz w:val="14"/>
        </w:rPr>
        <w:t>BOOK</w:t>
      </w:r>
      <w:r>
        <w:rPr>
          <w:rFonts w:ascii="Arial"/>
          <w:color w:val="231F20"/>
          <w:spacing w:val="25"/>
          <w:w w:val="105"/>
          <w:sz w:val="14"/>
        </w:rPr>
        <w:t> </w:t>
      </w:r>
      <w:r>
        <w:rPr>
          <w:rFonts w:ascii="Arial"/>
          <w:color w:val="231F20"/>
          <w:spacing w:val="-2"/>
          <w:w w:val="105"/>
          <w:sz w:val="14"/>
        </w:rPr>
        <w:t>TITLE</w:t>
      </w:r>
    </w:p>
    <w:p>
      <w:pPr>
        <w:pStyle w:val="BodyText"/>
        <w:spacing w:before="4"/>
        <w:rPr>
          <w:rFonts w:ascii="Arial"/>
          <w:sz w:val="17"/>
        </w:rPr>
      </w:pPr>
      <w:r>
        <w:rPr/>
        <w:drawing>
          <wp:anchor distT="0" distB="0" distL="0" distR="0" allowOverlap="1" layoutInCell="1" locked="0" behindDoc="0" simplePos="0" relativeHeight="157">
            <wp:simplePos x="0" y="0"/>
            <wp:positionH relativeFrom="page">
              <wp:posOffset>848783</wp:posOffset>
            </wp:positionH>
            <wp:positionV relativeFrom="paragraph">
              <wp:posOffset>142263</wp:posOffset>
            </wp:positionV>
            <wp:extent cx="3864816" cy="4230624"/>
            <wp:effectExtent l="0" t="0" r="0" b="0"/>
            <wp:wrapTopAndBottom/>
            <wp:docPr id="35" name="image19.png"/>
            <wp:cNvGraphicFramePr>
              <a:graphicFrameLocks noChangeAspect="1"/>
            </wp:cNvGraphicFramePr>
            <a:graphic>
              <a:graphicData uri="http://schemas.openxmlformats.org/drawingml/2006/picture">
                <pic:pic>
                  <pic:nvPicPr>
                    <pic:cNvPr id="36" name="image19.png"/>
                    <pic:cNvPicPr/>
                  </pic:nvPicPr>
                  <pic:blipFill>
                    <a:blip r:embed="rId41" cstate="print"/>
                    <a:stretch>
                      <a:fillRect/>
                    </a:stretch>
                  </pic:blipFill>
                  <pic:spPr>
                    <a:xfrm>
                      <a:off x="0" y="0"/>
                      <a:ext cx="3864816" cy="4230624"/>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line="292" w:lineRule="auto" w:before="91"/>
        <w:ind w:left="920" w:right="666"/>
        <w:jc w:val="both"/>
      </w:pPr>
      <w:r>
        <w:rPr>
          <w:color w:val="231F20"/>
        </w:rPr>
        <w:t>their self-worth based on external achievements. One sure </w:t>
      </w:r>
      <w:r>
        <w:rPr>
          <w:color w:val="231F20"/>
        </w:rPr>
        <w:t>symptom is competition with others in noncompetitive situations. A classmate reported such a case: “During the interview season I was struck by a pizza company executive who boasted that his performance on the treadmill, during the company’s annual physical, was superior to</w:t>
      </w:r>
      <w:r>
        <w:rPr>
          <w:color w:val="231F20"/>
          <w:spacing w:val="80"/>
        </w:rPr>
        <w:t> </w:t>
      </w:r>
      <w:r>
        <w:rPr>
          <w:color w:val="231F20"/>
        </w:rPr>
        <w:t>that of his coworkers.” That executive was a type A.</w:t>
      </w:r>
    </w:p>
    <w:p>
      <w:pPr>
        <w:pStyle w:val="BodyText"/>
        <w:spacing w:line="292" w:lineRule="auto"/>
        <w:ind w:left="919" w:right="665" w:firstLine="340"/>
        <w:jc w:val="both"/>
      </w:pPr>
      <w:r>
        <w:rPr>
          <w:color w:val="231F20"/>
        </w:rPr>
        <w:t>On the opposite side of the spectrum, there are the type B’s, who enjoy life and are more relaxed. Some type B’s also sneak into </w:t>
      </w:r>
      <w:r>
        <w:rPr>
          <w:color w:val="231F20"/>
        </w:rPr>
        <w:t>busi- ness</w:t>
      </w:r>
      <w:r>
        <w:rPr>
          <w:color w:val="231F20"/>
          <w:spacing w:val="40"/>
        </w:rPr>
        <w:t> </w:t>
      </w:r>
      <w:r>
        <w:rPr>
          <w:color w:val="231F20"/>
        </w:rPr>
        <w:t>schools.</w:t>
      </w:r>
      <w:r>
        <w:rPr>
          <w:color w:val="231F20"/>
          <w:spacing w:val="40"/>
        </w:rPr>
        <w:t> </w:t>
      </w:r>
      <w:r>
        <w:rPr>
          <w:color w:val="231F20"/>
        </w:rPr>
        <w:t>Most</w:t>
      </w:r>
      <w:r>
        <w:rPr>
          <w:color w:val="231F20"/>
          <w:spacing w:val="40"/>
        </w:rPr>
        <w:t> </w:t>
      </w:r>
      <w:r>
        <w:rPr>
          <w:color w:val="231F20"/>
        </w:rPr>
        <w:t>individuals</w:t>
      </w:r>
      <w:r>
        <w:rPr>
          <w:color w:val="231F20"/>
          <w:spacing w:val="40"/>
        </w:rPr>
        <w:t> </w:t>
      </w:r>
      <w:r>
        <w:rPr>
          <w:color w:val="231F20"/>
        </w:rPr>
        <w:t>fall</w:t>
      </w:r>
      <w:r>
        <w:rPr>
          <w:color w:val="231F20"/>
          <w:spacing w:val="40"/>
        </w:rPr>
        <w:t> </w:t>
      </w:r>
      <w:r>
        <w:rPr>
          <w:color w:val="231F20"/>
        </w:rPr>
        <w:t>in</w:t>
      </w:r>
      <w:r>
        <w:rPr>
          <w:color w:val="231F20"/>
          <w:spacing w:val="40"/>
        </w:rPr>
        <w:t> </w:t>
      </w:r>
      <w:r>
        <w:rPr>
          <w:color w:val="231F20"/>
        </w:rPr>
        <w:t>the</w:t>
      </w:r>
      <w:r>
        <w:rPr>
          <w:color w:val="231F20"/>
          <w:spacing w:val="40"/>
        </w:rPr>
        <w:t> </w:t>
      </w:r>
      <w:r>
        <w:rPr>
          <w:color w:val="231F20"/>
        </w:rPr>
        <w:t>continuum</w:t>
      </w:r>
      <w:r>
        <w:rPr>
          <w:color w:val="231F20"/>
          <w:spacing w:val="40"/>
        </w:rPr>
        <w:t> </w:t>
      </w:r>
      <w:r>
        <w:rPr>
          <w:color w:val="231F20"/>
        </w:rPr>
        <w:t>between</w:t>
      </w:r>
      <w:r>
        <w:rPr>
          <w:color w:val="231F20"/>
          <w:spacing w:val="40"/>
        </w:rPr>
        <w:t> </w:t>
      </w:r>
      <w:r>
        <w:rPr>
          <w:color w:val="231F20"/>
        </w:rPr>
        <w:t>the two</w:t>
      </w:r>
      <w:r>
        <w:rPr>
          <w:color w:val="231F20"/>
          <w:spacing w:val="48"/>
        </w:rPr>
        <w:t> </w:t>
      </w:r>
      <w:r>
        <w:rPr>
          <w:color w:val="231F20"/>
        </w:rPr>
        <w:t>poles.</w:t>
      </w:r>
      <w:r>
        <w:rPr>
          <w:color w:val="231F20"/>
          <w:spacing w:val="49"/>
        </w:rPr>
        <w:t> </w:t>
      </w:r>
      <w:r>
        <w:rPr>
          <w:color w:val="231F20"/>
        </w:rPr>
        <w:t>Hopefully,</w:t>
      </w:r>
      <w:r>
        <w:rPr>
          <w:color w:val="231F20"/>
          <w:spacing w:val="48"/>
        </w:rPr>
        <w:t> </w:t>
      </w:r>
      <w:r>
        <w:rPr>
          <w:color w:val="231F20"/>
        </w:rPr>
        <w:t>by</w:t>
      </w:r>
      <w:r>
        <w:rPr>
          <w:color w:val="231F20"/>
          <w:spacing w:val="49"/>
        </w:rPr>
        <w:t> </w:t>
      </w:r>
      <w:r>
        <w:rPr>
          <w:color w:val="231F20"/>
        </w:rPr>
        <w:t>recognizing</w:t>
      </w:r>
      <w:r>
        <w:rPr>
          <w:color w:val="231F20"/>
          <w:spacing w:val="49"/>
        </w:rPr>
        <w:t> </w:t>
      </w:r>
      <w:r>
        <w:rPr>
          <w:color w:val="231F20"/>
        </w:rPr>
        <w:t>the</w:t>
      </w:r>
      <w:r>
        <w:rPr>
          <w:color w:val="231F20"/>
          <w:spacing w:val="48"/>
        </w:rPr>
        <w:t> </w:t>
      </w:r>
      <w:r>
        <w:rPr>
          <w:color w:val="231F20"/>
        </w:rPr>
        <w:t>type</w:t>
      </w:r>
      <w:r>
        <w:rPr>
          <w:color w:val="231F20"/>
          <w:spacing w:val="49"/>
        </w:rPr>
        <w:t> </w:t>
      </w:r>
      <w:r>
        <w:rPr>
          <w:color w:val="231F20"/>
        </w:rPr>
        <w:t>A</w:t>
      </w:r>
      <w:r>
        <w:rPr>
          <w:color w:val="231F20"/>
          <w:spacing w:val="49"/>
        </w:rPr>
        <w:t> </w:t>
      </w:r>
      <w:r>
        <w:rPr>
          <w:color w:val="231F20"/>
        </w:rPr>
        <w:t>signs,</w:t>
      </w:r>
      <w:r>
        <w:rPr>
          <w:color w:val="231F20"/>
          <w:spacing w:val="48"/>
        </w:rPr>
        <w:t> </w:t>
      </w:r>
      <w:r>
        <w:rPr>
          <w:color w:val="231F20"/>
        </w:rPr>
        <w:t>MBA</w:t>
      </w:r>
      <w:r>
        <w:rPr>
          <w:color w:val="231F20"/>
          <w:spacing w:val="49"/>
        </w:rPr>
        <w:t> </w:t>
      </w:r>
      <w:r>
        <w:rPr>
          <w:color w:val="231F20"/>
          <w:spacing w:val="-4"/>
        </w:rPr>
        <w:t>hard</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chargers may be able to head off a heart attack by exercising some control over their behavior. If not, behavior typing can make </w:t>
      </w:r>
      <w:r>
        <w:rPr>
          <w:color w:val="231F20"/>
        </w:rPr>
        <w:t>good</w:t>
      </w:r>
      <w:r>
        <w:rPr>
          <w:color w:val="231F20"/>
          <w:spacing w:val="40"/>
        </w:rPr>
        <w:t> </w:t>
      </w:r>
      <w:r>
        <w:rPr>
          <w:color w:val="231F20"/>
        </w:rPr>
        <w:t>bar conversation for MBAs heading for coronary oblivion.</w:t>
      </w:r>
    </w:p>
    <w:p>
      <w:pPr>
        <w:pStyle w:val="BodyText"/>
        <w:rPr>
          <w:sz w:val="24"/>
        </w:rPr>
      </w:pPr>
    </w:p>
    <w:p>
      <w:pPr>
        <w:pStyle w:val="BodyText"/>
        <w:rPr>
          <w:sz w:val="27"/>
        </w:rPr>
      </w:pPr>
    </w:p>
    <w:p>
      <w:pPr>
        <w:pStyle w:val="Heading6"/>
        <w:spacing w:before="1"/>
        <w:ind w:left="299"/>
        <w:rPr>
          <w:i/>
        </w:rPr>
      </w:pPr>
      <w:r>
        <w:rPr>
          <w:i/>
          <w:color w:val="231F20"/>
          <w:w w:val="110"/>
        </w:rPr>
        <w:t>MBA</w:t>
      </w:r>
      <w:r>
        <w:rPr>
          <w:i/>
          <w:color w:val="231F20"/>
          <w:spacing w:val="55"/>
          <w:w w:val="110"/>
        </w:rPr>
        <w:t> </w:t>
      </w:r>
      <w:r>
        <w:rPr>
          <w:i/>
          <w:color w:val="231F20"/>
          <w:w w:val="110"/>
        </w:rPr>
        <w:t>OFFICE</w:t>
      </w:r>
      <w:r>
        <w:rPr>
          <w:i/>
          <w:color w:val="231F20"/>
          <w:spacing w:val="56"/>
          <w:w w:val="110"/>
        </w:rPr>
        <w:t> </w:t>
      </w:r>
      <w:r>
        <w:rPr>
          <w:i/>
          <w:color w:val="231F20"/>
          <w:spacing w:val="8"/>
          <w:w w:val="110"/>
        </w:rPr>
        <w:t>PROCEDURES</w:t>
      </w:r>
    </w:p>
    <w:p>
      <w:pPr>
        <w:pStyle w:val="BodyText"/>
        <w:spacing w:before="2"/>
        <w:rPr>
          <w:b/>
          <w:i/>
          <w:sz w:val="30"/>
        </w:rPr>
      </w:pPr>
    </w:p>
    <w:p>
      <w:pPr>
        <w:pStyle w:val="BodyText"/>
        <w:spacing w:line="292" w:lineRule="auto"/>
        <w:ind w:left="830" w:right="754"/>
        <w:jc w:val="both"/>
      </w:pPr>
      <w:r>
        <w:rPr>
          <w:color w:val="231F20"/>
        </w:rPr>
        <w:t>The OB faculty, besides making students aware of their potentials</w:t>
      </w:r>
      <w:r>
        <w:rPr>
          <w:color w:val="231F20"/>
          <w:spacing w:val="40"/>
        </w:rPr>
        <w:t> </w:t>
      </w:r>
      <w:r>
        <w:rPr>
          <w:color w:val="231F20"/>
        </w:rPr>
        <w:t>and shortcomings, tried to teach us some practical interpersonal skills that would help us to succeed on the job.</w:t>
      </w:r>
    </w:p>
    <w:p>
      <w:pPr>
        <w:pStyle w:val="BodyText"/>
        <w:spacing w:before="5"/>
        <w:rPr>
          <w:sz w:val="25"/>
        </w:rPr>
      </w:pPr>
    </w:p>
    <w:p>
      <w:pPr>
        <w:spacing w:line="292" w:lineRule="auto" w:before="1"/>
        <w:ind w:left="830" w:right="756" w:firstLine="0"/>
        <w:jc w:val="both"/>
        <w:rPr>
          <w:sz w:val="21"/>
        </w:rPr>
      </w:pPr>
      <w:r>
        <w:rPr>
          <w:i/>
          <w:color w:val="231F20"/>
          <w:sz w:val="21"/>
        </w:rPr>
        <w:t>Active Listening. </w:t>
      </w:r>
      <w:r>
        <w:rPr>
          <w:color w:val="231F20"/>
          <w:sz w:val="21"/>
        </w:rPr>
        <w:t>One of the most valuable skills is to be able to </w:t>
      </w:r>
      <w:r>
        <w:rPr>
          <w:i/>
          <w:color w:val="231F20"/>
          <w:sz w:val="21"/>
        </w:rPr>
        <w:t>re-</w:t>
      </w:r>
      <w:r>
        <w:rPr>
          <w:i/>
          <w:color w:val="231F20"/>
          <w:spacing w:val="80"/>
          <w:sz w:val="21"/>
        </w:rPr>
        <w:t> </w:t>
      </w:r>
      <w:r>
        <w:rPr>
          <w:i/>
          <w:color w:val="231F20"/>
          <w:sz w:val="21"/>
        </w:rPr>
        <w:t>ally </w:t>
      </w:r>
      <w:r>
        <w:rPr>
          <w:color w:val="231F20"/>
          <w:sz w:val="21"/>
        </w:rPr>
        <w:t>listen. </w:t>
      </w:r>
      <w:r>
        <w:rPr>
          <w:i/>
          <w:color w:val="231F20"/>
          <w:sz w:val="21"/>
        </w:rPr>
        <w:t>Active listening </w:t>
      </w:r>
      <w:r>
        <w:rPr>
          <w:color w:val="231F20"/>
          <w:sz w:val="21"/>
        </w:rPr>
        <w:t>helps you to gain a clear </w:t>
      </w:r>
      <w:r>
        <w:rPr>
          <w:i/>
          <w:color w:val="231F20"/>
          <w:sz w:val="21"/>
        </w:rPr>
        <w:t>perception </w:t>
      </w:r>
      <w:r>
        <w:rPr>
          <w:color w:val="231F20"/>
          <w:sz w:val="21"/>
        </w:rPr>
        <w:t>of sit- uations so that you can effectively deal with them. It differs from conversation in three ways:</w:t>
      </w:r>
    </w:p>
    <w:p>
      <w:pPr>
        <w:pStyle w:val="BodyText"/>
        <w:spacing w:before="3"/>
        <w:rPr>
          <w:sz w:val="27"/>
        </w:rPr>
      </w:pPr>
    </w:p>
    <w:p>
      <w:pPr>
        <w:pStyle w:val="ListParagraph"/>
        <w:numPr>
          <w:ilvl w:val="0"/>
          <w:numId w:val="24"/>
        </w:numPr>
        <w:tabs>
          <w:tab w:pos="1356" w:val="left" w:leader="none"/>
        </w:tabs>
        <w:spacing w:line="240" w:lineRule="auto" w:before="0" w:after="0"/>
        <w:ind w:left="1355" w:right="0" w:hanging="186"/>
        <w:jc w:val="left"/>
        <w:rPr>
          <w:sz w:val="19"/>
        </w:rPr>
      </w:pPr>
      <w:r>
        <w:rPr>
          <w:color w:val="231F20"/>
          <w:spacing w:val="-2"/>
          <w:w w:val="115"/>
          <w:sz w:val="19"/>
        </w:rPr>
        <w:t>You</w:t>
      </w:r>
      <w:r>
        <w:rPr>
          <w:color w:val="231F20"/>
          <w:spacing w:val="-8"/>
          <w:w w:val="115"/>
          <w:sz w:val="19"/>
        </w:rPr>
        <w:t> </w:t>
      </w:r>
      <w:r>
        <w:rPr>
          <w:color w:val="231F20"/>
          <w:spacing w:val="-2"/>
          <w:w w:val="115"/>
          <w:sz w:val="19"/>
        </w:rPr>
        <w:t>Respond</w:t>
      </w:r>
      <w:r>
        <w:rPr>
          <w:color w:val="231F20"/>
          <w:spacing w:val="-7"/>
          <w:w w:val="115"/>
          <w:sz w:val="19"/>
        </w:rPr>
        <w:t> </w:t>
      </w:r>
      <w:r>
        <w:rPr>
          <w:color w:val="231F20"/>
          <w:spacing w:val="-2"/>
          <w:w w:val="115"/>
          <w:sz w:val="19"/>
        </w:rPr>
        <w:t>to</w:t>
      </w:r>
      <w:r>
        <w:rPr>
          <w:color w:val="231F20"/>
          <w:spacing w:val="-7"/>
          <w:w w:val="115"/>
          <w:sz w:val="19"/>
        </w:rPr>
        <w:t> </w:t>
      </w:r>
      <w:r>
        <w:rPr>
          <w:color w:val="231F20"/>
          <w:spacing w:val="-2"/>
          <w:w w:val="115"/>
          <w:sz w:val="19"/>
        </w:rPr>
        <w:t>Information</w:t>
      </w:r>
      <w:r>
        <w:rPr>
          <w:color w:val="231F20"/>
          <w:spacing w:val="-7"/>
          <w:w w:val="115"/>
          <w:sz w:val="19"/>
        </w:rPr>
        <w:t> </w:t>
      </w:r>
      <w:r>
        <w:rPr>
          <w:color w:val="231F20"/>
          <w:spacing w:val="-2"/>
          <w:w w:val="115"/>
          <w:sz w:val="19"/>
        </w:rPr>
        <w:t>and</w:t>
      </w:r>
      <w:r>
        <w:rPr>
          <w:color w:val="231F20"/>
          <w:spacing w:val="-7"/>
          <w:w w:val="115"/>
          <w:sz w:val="19"/>
        </w:rPr>
        <w:t> </w:t>
      </w:r>
      <w:r>
        <w:rPr>
          <w:color w:val="231F20"/>
          <w:spacing w:val="-2"/>
          <w:w w:val="115"/>
          <w:sz w:val="19"/>
        </w:rPr>
        <w:t>Don’t</w:t>
      </w:r>
      <w:r>
        <w:rPr>
          <w:color w:val="231F20"/>
          <w:spacing w:val="-7"/>
          <w:w w:val="115"/>
          <w:sz w:val="19"/>
        </w:rPr>
        <w:t> </w:t>
      </w:r>
      <w:r>
        <w:rPr>
          <w:color w:val="231F20"/>
          <w:spacing w:val="-4"/>
          <w:w w:val="115"/>
          <w:sz w:val="19"/>
        </w:rPr>
        <w:t>Lead.</w:t>
      </w:r>
    </w:p>
    <w:p>
      <w:pPr>
        <w:pStyle w:val="ListParagraph"/>
        <w:numPr>
          <w:ilvl w:val="0"/>
          <w:numId w:val="24"/>
        </w:numPr>
        <w:tabs>
          <w:tab w:pos="1356" w:val="left" w:leader="none"/>
        </w:tabs>
        <w:spacing w:line="328" w:lineRule="auto" w:before="81" w:after="0"/>
        <w:ind w:left="1355" w:right="757" w:hanging="186"/>
        <w:jc w:val="left"/>
        <w:rPr>
          <w:sz w:val="19"/>
        </w:rPr>
      </w:pPr>
      <w:r>
        <w:rPr>
          <w:color w:val="231F20"/>
          <w:w w:val="115"/>
          <w:sz w:val="19"/>
        </w:rPr>
        <w:t>You</w:t>
      </w:r>
      <w:r>
        <w:rPr>
          <w:color w:val="231F20"/>
          <w:spacing w:val="40"/>
          <w:w w:val="115"/>
          <w:sz w:val="19"/>
        </w:rPr>
        <w:t> </w:t>
      </w:r>
      <w:r>
        <w:rPr>
          <w:color w:val="231F20"/>
          <w:w w:val="115"/>
          <w:sz w:val="19"/>
        </w:rPr>
        <w:t>Respond</w:t>
      </w:r>
      <w:r>
        <w:rPr>
          <w:color w:val="231F20"/>
          <w:spacing w:val="40"/>
          <w:w w:val="115"/>
          <w:sz w:val="19"/>
        </w:rPr>
        <w:t> </w:t>
      </w:r>
      <w:r>
        <w:rPr>
          <w:color w:val="231F20"/>
          <w:w w:val="115"/>
          <w:sz w:val="19"/>
        </w:rPr>
        <w:t>to</w:t>
      </w:r>
      <w:r>
        <w:rPr>
          <w:color w:val="231F20"/>
          <w:spacing w:val="40"/>
          <w:w w:val="115"/>
          <w:sz w:val="19"/>
        </w:rPr>
        <w:t> </w:t>
      </w:r>
      <w:r>
        <w:rPr>
          <w:color w:val="231F20"/>
          <w:w w:val="115"/>
          <w:sz w:val="19"/>
        </w:rPr>
        <w:t>Personal</w:t>
      </w:r>
      <w:r>
        <w:rPr>
          <w:color w:val="231F20"/>
          <w:spacing w:val="40"/>
          <w:w w:val="115"/>
          <w:sz w:val="19"/>
        </w:rPr>
        <w:t> </w:t>
      </w:r>
      <w:r>
        <w:rPr>
          <w:color w:val="231F20"/>
          <w:w w:val="115"/>
          <w:sz w:val="19"/>
        </w:rPr>
        <w:t>Information</w:t>
      </w:r>
      <w:r>
        <w:rPr>
          <w:color w:val="231F20"/>
          <w:spacing w:val="40"/>
          <w:w w:val="115"/>
          <w:sz w:val="19"/>
        </w:rPr>
        <w:t> </w:t>
      </w:r>
      <w:r>
        <w:rPr>
          <w:color w:val="231F20"/>
          <w:w w:val="115"/>
          <w:sz w:val="19"/>
        </w:rPr>
        <w:t>and</w:t>
      </w:r>
      <w:r>
        <w:rPr>
          <w:color w:val="231F20"/>
          <w:spacing w:val="40"/>
          <w:w w:val="115"/>
          <w:sz w:val="19"/>
        </w:rPr>
        <w:t> </w:t>
      </w:r>
      <w:r>
        <w:rPr>
          <w:color w:val="231F20"/>
          <w:w w:val="115"/>
          <w:sz w:val="19"/>
        </w:rPr>
        <w:t>Don’t</w:t>
      </w:r>
      <w:r>
        <w:rPr>
          <w:color w:val="231F20"/>
          <w:spacing w:val="40"/>
          <w:w w:val="115"/>
          <w:sz w:val="19"/>
        </w:rPr>
        <w:t> </w:t>
      </w:r>
      <w:r>
        <w:rPr>
          <w:color w:val="231F20"/>
          <w:w w:val="115"/>
          <w:sz w:val="19"/>
        </w:rPr>
        <w:t>Give</w:t>
      </w:r>
      <w:r>
        <w:rPr>
          <w:color w:val="231F20"/>
          <w:spacing w:val="40"/>
          <w:w w:val="115"/>
          <w:sz w:val="19"/>
        </w:rPr>
        <w:t> </w:t>
      </w:r>
      <w:r>
        <w:rPr>
          <w:color w:val="231F20"/>
          <w:spacing w:val="-2"/>
          <w:w w:val="115"/>
          <w:sz w:val="19"/>
        </w:rPr>
        <w:t>Advice.</w:t>
      </w:r>
    </w:p>
    <w:p>
      <w:pPr>
        <w:pStyle w:val="ListParagraph"/>
        <w:numPr>
          <w:ilvl w:val="0"/>
          <w:numId w:val="24"/>
        </w:numPr>
        <w:tabs>
          <w:tab w:pos="1356" w:val="left" w:leader="none"/>
        </w:tabs>
        <w:spacing w:line="328" w:lineRule="auto" w:before="2" w:after="0"/>
        <w:ind w:left="1355" w:right="754" w:hanging="186"/>
        <w:jc w:val="left"/>
        <w:rPr>
          <w:sz w:val="19"/>
        </w:rPr>
      </w:pPr>
      <w:r>
        <w:rPr>
          <w:color w:val="231F20"/>
          <w:w w:val="115"/>
          <w:sz w:val="19"/>
        </w:rPr>
        <w:t>You</w:t>
      </w:r>
      <w:r>
        <w:rPr>
          <w:color w:val="231F20"/>
          <w:spacing w:val="40"/>
          <w:w w:val="115"/>
          <w:sz w:val="19"/>
        </w:rPr>
        <w:t> </w:t>
      </w:r>
      <w:r>
        <w:rPr>
          <w:color w:val="231F20"/>
          <w:w w:val="115"/>
          <w:sz w:val="19"/>
        </w:rPr>
        <w:t>Identify</w:t>
      </w:r>
      <w:r>
        <w:rPr>
          <w:color w:val="231F20"/>
          <w:spacing w:val="40"/>
          <w:w w:val="115"/>
          <w:sz w:val="19"/>
        </w:rPr>
        <w:t> </w:t>
      </w:r>
      <w:r>
        <w:rPr>
          <w:color w:val="231F20"/>
          <w:w w:val="115"/>
          <w:sz w:val="19"/>
        </w:rPr>
        <w:t>the</w:t>
      </w:r>
      <w:r>
        <w:rPr>
          <w:color w:val="231F20"/>
          <w:spacing w:val="40"/>
          <w:w w:val="115"/>
          <w:sz w:val="19"/>
        </w:rPr>
        <w:t> </w:t>
      </w:r>
      <w:r>
        <w:rPr>
          <w:color w:val="231F20"/>
          <w:w w:val="115"/>
          <w:sz w:val="19"/>
        </w:rPr>
        <w:t>Interviewee’s</w:t>
      </w:r>
      <w:r>
        <w:rPr>
          <w:color w:val="231F20"/>
          <w:spacing w:val="40"/>
          <w:w w:val="115"/>
          <w:sz w:val="19"/>
        </w:rPr>
        <w:t> </w:t>
      </w:r>
      <w:r>
        <w:rPr>
          <w:color w:val="231F20"/>
          <w:w w:val="115"/>
          <w:sz w:val="19"/>
        </w:rPr>
        <w:t>Feelings</w:t>
      </w:r>
      <w:r>
        <w:rPr>
          <w:color w:val="231F20"/>
          <w:spacing w:val="40"/>
          <w:w w:val="115"/>
          <w:sz w:val="19"/>
        </w:rPr>
        <w:t> </w:t>
      </w:r>
      <w:r>
        <w:rPr>
          <w:color w:val="231F20"/>
          <w:w w:val="115"/>
          <w:sz w:val="19"/>
        </w:rPr>
        <w:t>as</w:t>
      </w:r>
      <w:r>
        <w:rPr>
          <w:color w:val="231F20"/>
          <w:spacing w:val="40"/>
          <w:w w:val="115"/>
          <w:sz w:val="19"/>
        </w:rPr>
        <w:t> </w:t>
      </w:r>
      <w:r>
        <w:rPr>
          <w:color w:val="231F20"/>
          <w:w w:val="115"/>
          <w:sz w:val="19"/>
        </w:rPr>
        <w:t>Well</w:t>
      </w:r>
      <w:r>
        <w:rPr>
          <w:color w:val="231F20"/>
          <w:spacing w:val="40"/>
          <w:w w:val="115"/>
          <w:sz w:val="19"/>
        </w:rPr>
        <w:t> </w:t>
      </w:r>
      <w:r>
        <w:rPr>
          <w:color w:val="231F20"/>
          <w:w w:val="115"/>
          <w:sz w:val="19"/>
        </w:rPr>
        <w:t>as</w:t>
      </w:r>
      <w:r>
        <w:rPr>
          <w:color w:val="231F20"/>
          <w:spacing w:val="40"/>
          <w:w w:val="115"/>
          <w:sz w:val="19"/>
        </w:rPr>
        <w:t> </w:t>
      </w:r>
      <w:r>
        <w:rPr>
          <w:color w:val="231F20"/>
          <w:w w:val="115"/>
          <w:sz w:val="19"/>
        </w:rPr>
        <w:t>the </w:t>
      </w:r>
      <w:r>
        <w:rPr>
          <w:color w:val="231F20"/>
          <w:spacing w:val="-2"/>
          <w:w w:val="115"/>
          <w:sz w:val="19"/>
        </w:rPr>
        <w:t>Content.</w:t>
      </w:r>
    </w:p>
    <w:p>
      <w:pPr>
        <w:pStyle w:val="BodyText"/>
        <w:spacing w:before="2"/>
        <w:rPr>
          <w:rFonts w:ascii="Arial"/>
          <w:sz w:val="25"/>
        </w:rPr>
      </w:pPr>
    </w:p>
    <w:p>
      <w:pPr>
        <w:pStyle w:val="BodyText"/>
        <w:spacing w:line="292" w:lineRule="auto"/>
        <w:ind w:left="830" w:right="756" w:firstLine="340"/>
        <w:jc w:val="both"/>
      </w:pPr>
      <w:r>
        <w:rPr>
          <w:color w:val="231F20"/>
        </w:rPr>
        <w:t>An active listener cedes control of the conversation to the </w:t>
      </w:r>
      <w:r>
        <w:rPr>
          <w:color w:val="231F20"/>
        </w:rPr>
        <w:t>other party. Given enough leeway, true motivations, feelings, and beliefs can come forth. After the active listening session runs its course, you can</w:t>
      </w:r>
      <w:r>
        <w:rPr>
          <w:color w:val="231F20"/>
          <w:spacing w:val="39"/>
        </w:rPr>
        <w:t> </w:t>
      </w:r>
      <w:r>
        <w:rPr>
          <w:color w:val="231F20"/>
        </w:rPr>
        <w:t>start</w:t>
      </w:r>
      <w:r>
        <w:rPr>
          <w:color w:val="231F20"/>
          <w:spacing w:val="39"/>
        </w:rPr>
        <w:t> </w:t>
      </w:r>
      <w:r>
        <w:rPr>
          <w:color w:val="231F20"/>
        </w:rPr>
        <w:t>to</w:t>
      </w:r>
      <w:r>
        <w:rPr>
          <w:color w:val="231F20"/>
          <w:spacing w:val="39"/>
        </w:rPr>
        <w:t> </w:t>
      </w:r>
      <w:r>
        <w:rPr>
          <w:color w:val="231F20"/>
        </w:rPr>
        <w:t>talk</w:t>
      </w:r>
      <w:r>
        <w:rPr>
          <w:color w:val="231F20"/>
          <w:spacing w:val="39"/>
        </w:rPr>
        <w:t> </w:t>
      </w:r>
      <w:r>
        <w:rPr>
          <w:color w:val="231F20"/>
        </w:rPr>
        <w:t>and</w:t>
      </w:r>
      <w:r>
        <w:rPr>
          <w:color w:val="231F20"/>
          <w:spacing w:val="39"/>
        </w:rPr>
        <w:t> </w:t>
      </w:r>
      <w:r>
        <w:rPr>
          <w:color w:val="231F20"/>
        </w:rPr>
        <w:t>act</w:t>
      </w:r>
      <w:r>
        <w:rPr>
          <w:color w:val="231F20"/>
          <w:spacing w:val="39"/>
        </w:rPr>
        <w:t> </w:t>
      </w:r>
      <w:r>
        <w:rPr>
          <w:color w:val="231F20"/>
        </w:rPr>
        <w:t>like</w:t>
      </w:r>
      <w:r>
        <w:rPr>
          <w:color w:val="231F20"/>
          <w:spacing w:val="39"/>
        </w:rPr>
        <w:t> </w:t>
      </w:r>
      <w:r>
        <w:rPr>
          <w:color w:val="231F20"/>
        </w:rPr>
        <w:t>an</w:t>
      </w:r>
      <w:r>
        <w:rPr>
          <w:color w:val="231F20"/>
          <w:spacing w:val="39"/>
        </w:rPr>
        <w:t> </w:t>
      </w:r>
      <w:r>
        <w:rPr>
          <w:color w:val="231F20"/>
        </w:rPr>
        <w:t>MBA</w:t>
      </w:r>
      <w:r>
        <w:rPr>
          <w:color w:val="231F20"/>
          <w:spacing w:val="39"/>
        </w:rPr>
        <w:t> </w:t>
      </w:r>
      <w:r>
        <w:rPr>
          <w:color w:val="231F20"/>
        </w:rPr>
        <w:t>know-it-all</w:t>
      </w:r>
      <w:r>
        <w:rPr>
          <w:color w:val="231F20"/>
          <w:spacing w:val="39"/>
        </w:rPr>
        <w:t> </w:t>
      </w:r>
      <w:r>
        <w:rPr>
          <w:color w:val="231F20"/>
        </w:rPr>
        <w:t>again.</w:t>
      </w:r>
    </w:p>
    <w:p>
      <w:pPr>
        <w:pStyle w:val="BodyText"/>
        <w:spacing w:before="6"/>
        <w:rPr>
          <w:sz w:val="25"/>
        </w:rPr>
      </w:pPr>
    </w:p>
    <w:p>
      <w:pPr>
        <w:pStyle w:val="BodyText"/>
        <w:spacing w:line="292" w:lineRule="auto"/>
        <w:ind w:left="830" w:right="753"/>
        <w:jc w:val="both"/>
      </w:pPr>
      <w:r>
        <w:rPr>
          <w:i/>
          <w:color w:val="231F20"/>
        </w:rPr>
        <w:t>Performance Appraisals. </w:t>
      </w:r>
      <w:r>
        <w:rPr>
          <w:color w:val="231F20"/>
        </w:rPr>
        <w:t>One of the most mismanaged tools for or- ganizational improvement is the performance appraisal. Rating</w:t>
      </w:r>
      <w:r>
        <w:rPr>
          <w:color w:val="231F20"/>
          <w:spacing w:val="40"/>
        </w:rPr>
        <w:t> </w:t>
      </w:r>
      <w:r>
        <w:rPr>
          <w:color w:val="231F20"/>
        </w:rPr>
        <w:t>forms are sometimes used effectively for timely feedback and per- sonal development. However, most of the time it is a task that is </w:t>
      </w:r>
      <w:r>
        <w:rPr>
          <w:color w:val="231F20"/>
        </w:rPr>
        <w:t>de- layed until the appraisal has really lost all usefulness. </w:t>
      </w:r>
      <w:r>
        <w:rPr>
          <w:i/>
          <w:color w:val="231F20"/>
        </w:rPr>
        <w:t>Effective</w:t>
      </w:r>
      <w:r>
        <w:rPr>
          <w:i/>
          <w:color w:val="231F20"/>
        </w:rPr>
        <w:t> </w:t>
      </w:r>
      <w:r>
        <w:rPr>
          <w:color w:val="231F20"/>
        </w:rPr>
        <w:t>appraisals ought to have three types of goals:</w:t>
      </w:r>
    </w:p>
    <w:p>
      <w:pPr>
        <w:pStyle w:val="BodyText"/>
        <w:spacing w:before="2"/>
        <w:rPr>
          <w:sz w:val="27"/>
        </w:rPr>
      </w:pPr>
    </w:p>
    <w:p>
      <w:pPr>
        <w:spacing w:before="0"/>
        <w:ind w:left="1170" w:right="0" w:firstLine="0"/>
        <w:jc w:val="left"/>
        <w:rPr>
          <w:rFonts w:ascii="Arial"/>
          <w:sz w:val="19"/>
        </w:rPr>
      </w:pPr>
      <w:r>
        <w:rPr>
          <w:rFonts w:ascii="Arial"/>
          <w:color w:val="231F20"/>
          <w:spacing w:val="-2"/>
          <w:w w:val="115"/>
          <w:sz w:val="19"/>
        </w:rPr>
        <w:t>Organizational</w:t>
      </w:r>
    </w:p>
    <w:p>
      <w:pPr>
        <w:spacing w:before="82"/>
        <w:ind w:left="1170" w:right="0" w:firstLine="0"/>
        <w:jc w:val="left"/>
        <w:rPr>
          <w:rFonts w:ascii="Arial"/>
          <w:sz w:val="19"/>
        </w:rPr>
      </w:pPr>
      <w:r>
        <w:rPr>
          <w:rFonts w:ascii="Arial"/>
          <w:color w:val="231F20"/>
          <w:w w:val="110"/>
          <w:sz w:val="19"/>
        </w:rPr>
        <w:t>Feedback</w:t>
      </w:r>
      <w:r>
        <w:rPr>
          <w:rFonts w:ascii="Arial"/>
          <w:color w:val="231F20"/>
          <w:spacing w:val="9"/>
          <w:w w:val="110"/>
          <w:sz w:val="19"/>
        </w:rPr>
        <w:t> </w:t>
      </w:r>
      <w:r>
        <w:rPr>
          <w:rFonts w:ascii="Arial"/>
          <w:color w:val="231F20"/>
          <w:w w:val="110"/>
          <w:sz w:val="19"/>
        </w:rPr>
        <w:t>and</w:t>
      </w:r>
      <w:r>
        <w:rPr>
          <w:rFonts w:ascii="Arial"/>
          <w:color w:val="231F20"/>
          <w:spacing w:val="9"/>
          <w:w w:val="110"/>
          <w:sz w:val="19"/>
        </w:rPr>
        <w:t> </w:t>
      </w:r>
      <w:r>
        <w:rPr>
          <w:rFonts w:ascii="Arial"/>
          <w:color w:val="231F20"/>
          <w:spacing w:val="-2"/>
          <w:w w:val="110"/>
          <w:sz w:val="19"/>
        </w:rPr>
        <w:t>Evaluation</w:t>
      </w:r>
    </w:p>
    <w:p>
      <w:pPr>
        <w:spacing w:after="0"/>
        <w:jc w:val="left"/>
        <w:rPr>
          <w:rFonts w:ascii="Arial"/>
          <w:sz w:val="19"/>
        </w:rPr>
        <w:sectPr>
          <w:pgSz w:w="8640" w:h="12960"/>
          <w:pgMar w:header="732" w:footer="0" w:top="920" w:bottom="280" w:left="340" w:right="500"/>
        </w:sectPr>
      </w:pPr>
    </w:p>
    <w:p>
      <w:pPr>
        <w:pStyle w:val="BodyText"/>
        <w:spacing w:before="6"/>
        <w:rPr>
          <w:rFonts w:ascii="Arial"/>
          <w:sz w:val="19"/>
        </w:rPr>
      </w:pPr>
    </w:p>
    <w:p>
      <w:pPr>
        <w:spacing w:before="97"/>
        <w:ind w:left="1260" w:right="0" w:firstLine="0"/>
        <w:jc w:val="left"/>
        <w:rPr>
          <w:rFonts w:ascii="Arial"/>
          <w:sz w:val="19"/>
        </w:rPr>
      </w:pPr>
      <w:r>
        <w:rPr>
          <w:rFonts w:ascii="Arial"/>
          <w:color w:val="231F20"/>
          <w:w w:val="110"/>
          <w:sz w:val="19"/>
        </w:rPr>
        <w:t>Coaching</w:t>
      </w:r>
      <w:r>
        <w:rPr>
          <w:rFonts w:ascii="Arial"/>
          <w:color w:val="231F20"/>
          <w:spacing w:val="11"/>
          <w:w w:val="110"/>
          <w:sz w:val="19"/>
        </w:rPr>
        <w:t> </w:t>
      </w:r>
      <w:r>
        <w:rPr>
          <w:rFonts w:ascii="Arial"/>
          <w:color w:val="231F20"/>
          <w:w w:val="110"/>
          <w:sz w:val="19"/>
        </w:rPr>
        <w:t>and</w:t>
      </w:r>
      <w:r>
        <w:rPr>
          <w:rFonts w:ascii="Arial"/>
          <w:color w:val="231F20"/>
          <w:spacing w:val="12"/>
          <w:w w:val="110"/>
          <w:sz w:val="19"/>
        </w:rPr>
        <w:t> </w:t>
      </w:r>
      <w:r>
        <w:rPr>
          <w:rFonts w:ascii="Arial"/>
          <w:color w:val="231F20"/>
          <w:spacing w:val="-2"/>
          <w:w w:val="110"/>
          <w:sz w:val="19"/>
        </w:rPr>
        <w:t>Development</w:t>
      </w:r>
    </w:p>
    <w:p>
      <w:pPr>
        <w:pStyle w:val="BodyText"/>
        <w:rPr>
          <w:rFonts w:ascii="Arial"/>
          <w:sz w:val="20"/>
        </w:rPr>
      </w:pPr>
    </w:p>
    <w:p>
      <w:pPr>
        <w:pStyle w:val="BodyText"/>
        <w:spacing w:line="292" w:lineRule="auto" w:before="131"/>
        <w:ind w:left="920" w:right="664" w:firstLine="339"/>
        <w:jc w:val="both"/>
      </w:pPr>
      <w:r>
        <w:rPr>
          <w:i/>
          <w:color w:val="231F20"/>
        </w:rPr>
        <w:t>Organizational </w:t>
      </w:r>
      <w:r>
        <w:rPr>
          <w:color w:val="231F20"/>
        </w:rPr>
        <w:t>goals aim to ensure proper conduct and levels </w:t>
      </w:r>
      <w:r>
        <w:rPr>
          <w:color w:val="231F20"/>
        </w:rPr>
        <w:t>of performance, placement, promotion, and pay. The </w:t>
      </w:r>
      <w:r>
        <w:rPr>
          <w:i/>
          <w:color w:val="231F20"/>
        </w:rPr>
        <w:t>feedback and</w:t>
      </w:r>
      <w:r>
        <w:rPr>
          <w:i/>
          <w:color w:val="231F20"/>
        </w:rPr>
        <w:t> evaluation </w:t>
      </w:r>
      <w:r>
        <w:rPr>
          <w:color w:val="231F20"/>
        </w:rPr>
        <w:t>aspects provide both employees and employers with a formal process and documentation of performance. </w:t>
      </w:r>
      <w:r>
        <w:rPr>
          <w:i/>
          <w:color w:val="231F20"/>
        </w:rPr>
        <w:t>Coaching and</w:t>
      </w:r>
      <w:r>
        <w:rPr>
          <w:i/>
          <w:color w:val="231F20"/>
        </w:rPr>
        <w:t> development </w:t>
      </w:r>
      <w:r>
        <w:rPr>
          <w:color w:val="231F20"/>
        </w:rPr>
        <w:t>should ultimately be the primary goals of an appraisal. How can we improve, rather than punish, unsatisfactory perfor- mance?</w:t>
      </w:r>
      <w:r>
        <w:rPr>
          <w:color w:val="231F20"/>
          <w:spacing w:val="-3"/>
        </w:rPr>
        <w:t> </w:t>
      </w:r>
      <w:r>
        <w:rPr>
          <w:color w:val="231F20"/>
        </w:rPr>
        <w:t>Working</w:t>
      </w:r>
      <w:r>
        <w:rPr>
          <w:color w:val="231F20"/>
          <w:spacing w:val="-3"/>
        </w:rPr>
        <w:t> </w:t>
      </w:r>
      <w:r>
        <w:rPr>
          <w:color w:val="231F20"/>
        </w:rPr>
        <w:t>together,</w:t>
      </w:r>
      <w:r>
        <w:rPr>
          <w:color w:val="231F20"/>
          <w:spacing w:val="-3"/>
        </w:rPr>
        <w:t> </w:t>
      </w:r>
      <w:r>
        <w:rPr>
          <w:color w:val="231F20"/>
        </w:rPr>
        <w:t>the</w:t>
      </w:r>
      <w:r>
        <w:rPr>
          <w:color w:val="231F20"/>
          <w:spacing w:val="-3"/>
        </w:rPr>
        <w:t> </w:t>
      </w:r>
      <w:r>
        <w:rPr>
          <w:color w:val="231F20"/>
        </w:rPr>
        <w:t>boss</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subordinate</w:t>
      </w:r>
      <w:r>
        <w:rPr>
          <w:color w:val="231F20"/>
          <w:spacing w:val="-3"/>
        </w:rPr>
        <w:t> </w:t>
      </w:r>
      <w:r>
        <w:rPr>
          <w:color w:val="231F20"/>
        </w:rPr>
        <w:t>should</w:t>
      </w:r>
      <w:r>
        <w:rPr>
          <w:color w:val="231F20"/>
          <w:spacing w:val="-3"/>
        </w:rPr>
        <w:t> </w:t>
      </w:r>
      <w:r>
        <w:rPr>
          <w:color w:val="231F20"/>
        </w:rPr>
        <w:t>agree on specific targets and timetables for improvement. These plans for the future lay the groundwork for a follow-up.</w:t>
      </w:r>
    </w:p>
    <w:p>
      <w:pPr>
        <w:pStyle w:val="BodyText"/>
        <w:spacing w:line="292" w:lineRule="auto"/>
        <w:ind w:left="920" w:right="663" w:firstLine="340"/>
        <w:jc w:val="both"/>
      </w:pPr>
      <w:r>
        <w:rPr>
          <w:color w:val="231F20"/>
        </w:rPr>
        <w:t>The problem is that managers tend to avoid this evaluation process. Subordinates are defensive. The appraisal must be </w:t>
      </w:r>
      <w:r>
        <w:rPr>
          <w:color w:val="231F20"/>
        </w:rPr>
        <w:t>timely; both participants must be prepared. The boss should foster an open climate of real communication (both ways) and make the purpose of the appraisal clear. As simple as the appraisal can be, it is seldom done right.</w:t>
      </w:r>
    </w:p>
    <w:p>
      <w:pPr>
        <w:pStyle w:val="BodyText"/>
        <w:spacing w:line="292" w:lineRule="auto"/>
        <w:ind w:left="920" w:right="666" w:firstLine="340"/>
        <w:jc w:val="both"/>
      </w:pPr>
      <w:r>
        <w:rPr>
          <w:color w:val="231F20"/>
        </w:rPr>
        <w:t>In addition to the potential for improvement, appraisals </w:t>
      </w:r>
      <w:r>
        <w:rPr>
          <w:color w:val="231F20"/>
        </w:rPr>
        <w:t>provide employers the documentation to legally fire an employee. Without documentation a disgruntled worker could sue the company for lack of just cause.</w:t>
      </w:r>
    </w:p>
    <w:p>
      <w:pPr>
        <w:pStyle w:val="BodyText"/>
        <w:spacing w:before="8"/>
        <w:rPr>
          <w:sz w:val="20"/>
        </w:rPr>
      </w:pPr>
    </w:p>
    <w:p>
      <w:pPr>
        <w:pStyle w:val="BodyText"/>
        <w:spacing w:line="292" w:lineRule="auto"/>
        <w:ind w:left="920" w:right="663"/>
        <w:jc w:val="both"/>
      </w:pPr>
      <w:r>
        <w:rPr>
          <w:i/>
          <w:color w:val="231F20"/>
        </w:rPr>
        <w:t>Reprimands.</w:t>
      </w:r>
      <w:r>
        <w:rPr>
          <w:i/>
          <w:color w:val="231F20"/>
          <w:spacing w:val="40"/>
        </w:rPr>
        <w:t> </w:t>
      </w:r>
      <w:r>
        <w:rPr>
          <w:color w:val="231F20"/>
        </w:rPr>
        <w:t>Sometimes</w:t>
      </w:r>
      <w:r>
        <w:rPr>
          <w:color w:val="231F20"/>
          <w:spacing w:val="40"/>
        </w:rPr>
        <w:t> </w:t>
      </w:r>
      <w:r>
        <w:rPr>
          <w:color w:val="231F20"/>
        </w:rPr>
        <w:t>an</w:t>
      </w:r>
      <w:r>
        <w:rPr>
          <w:color w:val="231F20"/>
          <w:spacing w:val="40"/>
        </w:rPr>
        <w:t> </w:t>
      </w:r>
      <w:r>
        <w:rPr>
          <w:color w:val="231F20"/>
        </w:rPr>
        <w:t>MBA</w:t>
      </w:r>
      <w:r>
        <w:rPr>
          <w:color w:val="231F20"/>
          <w:spacing w:val="40"/>
        </w:rPr>
        <w:t> </w:t>
      </w:r>
      <w:r>
        <w:rPr>
          <w:color w:val="231F20"/>
        </w:rPr>
        <w:t>will</w:t>
      </w:r>
      <w:r>
        <w:rPr>
          <w:color w:val="231F20"/>
          <w:spacing w:val="40"/>
        </w:rPr>
        <w:t> </w:t>
      </w:r>
      <w:r>
        <w:rPr>
          <w:color w:val="231F20"/>
        </w:rPr>
        <w:t>be</w:t>
      </w:r>
      <w:r>
        <w:rPr>
          <w:color w:val="231F20"/>
          <w:spacing w:val="40"/>
        </w:rPr>
        <w:t> </w:t>
      </w:r>
      <w:r>
        <w:rPr>
          <w:color w:val="231F20"/>
        </w:rPr>
        <w:t>called</w:t>
      </w:r>
      <w:r>
        <w:rPr>
          <w:color w:val="231F20"/>
          <w:spacing w:val="40"/>
        </w:rPr>
        <w:t> </w:t>
      </w:r>
      <w:r>
        <w:rPr>
          <w:color w:val="231F20"/>
        </w:rPr>
        <w:t>on</w:t>
      </w:r>
      <w:r>
        <w:rPr>
          <w:color w:val="231F20"/>
          <w:spacing w:val="40"/>
        </w:rPr>
        <w:t> </w:t>
      </w:r>
      <w:r>
        <w:rPr>
          <w:color w:val="231F20"/>
        </w:rPr>
        <w:t>to</w:t>
      </w:r>
      <w:r>
        <w:rPr>
          <w:color w:val="231F20"/>
          <w:spacing w:val="40"/>
        </w:rPr>
        <w:t> </w:t>
      </w:r>
      <w:r>
        <w:rPr>
          <w:color w:val="231F20"/>
        </w:rPr>
        <w:t>lower</w:t>
      </w:r>
      <w:r>
        <w:rPr>
          <w:color w:val="231F20"/>
          <w:spacing w:val="40"/>
        </w:rPr>
        <w:t> </w:t>
      </w:r>
      <w:r>
        <w:rPr>
          <w:color w:val="231F20"/>
        </w:rPr>
        <w:t>the boom. In line with my class discussions, the MBA should </w:t>
      </w:r>
      <w:r>
        <w:rPr>
          <w:color w:val="231F20"/>
        </w:rPr>
        <w:t>reprimand</w:t>
      </w:r>
      <w:r>
        <w:rPr>
          <w:color w:val="231F20"/>
          <w:spacing w:val="80"/>
          <w:w w:val="150"/>
        </w:rPr>
        <w:t> </w:t>
      </w:r>
      <w:r>
        <w:rPr>
          <w:color w:val="231F20"/>
        </w:rPr>
        <w:t>a subordinate using the following four steps.</w:t>
      </w:r>
    </w:p>
    <w:p>
      <w:pPr>
        <w:pStyle w:val="BodyText"/>
        <w:spacing w:before="1"/>
        <w:rPr>
          <w:sz w:val="23"/>
        </w:rPr>
      </w:pPr>
    </w:p>
    <w:p>
      <w:pPr>
        <w:pStyle w:val="ListParagraph"/>
        <w:numPr>
          <w:ilvl w:val="0"/>
          <w:numId w:val="27"/>
        </w:numPr>
        <w:tabs>
          <w:tab w:pos="1611" w:val="left" w:leader="none"/>
        </w:tabs>
        <w:spacing w:line="328" w:lineRule="auto" w:before="0" w:after="0"/>
        <w:ind w:left="1610" w:right="665" w:hanging="177"/>
        <w:jc w:val="both"/>
        <w:rPr>
          <w:sz w:val="19"/>
        </w:rPr>
      </w:pPr>
      <w:r>
        <w:rPr>
          <w:color w:val="231F20"/>
          <w:w w:val="115"/>
          <w:sz w:val="19"/>
        </w:rPr>
        <w:t>Check out the facts first. Ask yourself if you caused the </w:t>
      </w:r>
      <w:r>
        <w:rPr>
          <w:color w:val="231F20"/>
          <w:spacing w:val="-2"/>
          <w:w w:val="115"/>
          <w:sz w:val="19"/>
        </w:rPr>
        <w:t>problem.</w:t>
      </w:r>
    </w:p>
    <w:p>
      <w:pPr>
        <w:pStyle w:val="ListParagraph"/>
        <w:numPr>
          <w:ilvl w:val="0"/>
          <w:numId w:val="27"/>
        </w:numPr>
        <w:tabs>
          <w:tab w:pos="1610" w:val="left" w:leader="none"/>
        </w:tabs>
        <w:spacing w:line="240" w:lineRule="auto" w:before="1" w:after="0"/>
        <w:ind w:left="1610" w:right="0" w:hanging="223"/>
        <w:jc w:val="both"/>
        <w:rPr>
          <w:sz w:val="19"/>
        </w:rPr>
      </w:pPr>
      <w:r>
        <w:rPr>
          <w:color w:val="231F20"/>
          <w:w w:val="115"/>
          <w:sz w:val="19"/>
        </w:rPr>
        <w:t>Give</w:t>
      </w:r>
      <w:r>
        <w:rPr>
          <w:color w:val="231F20"/>
          <w:spacing w:val="-10"/>
          <w:w w:val="115"/>
          <w:sz w:val="19"/>
        </w:rPr>
        <w:t> </w:t>
      </w:r>
      <w:r>
        <w:rPr>
          <w:color w:val="231F20"/>
          <w:w w:val="115"/>
          <w:sz w:val="19"/>
        </w:rPr>
        <w:t>warning</w:t>
      </w:r>
      <w:r>
        <w:rPr>
          <w:color w:val="231F20"/>
          <w:spacing w:val="-9"/>
          <w:w w:val="115"/>
          <w:sz w:val="19"/>
        </w:rPr>
        <w:t> </w:t>
      </w:r>
      <w:r>
        <w:rPr>
          <w:color w:val="231F20"/>
          <w:w w:val="115"/>
          <w:sz w:val="19"/>
        </w:rPr>
        <w:t>that</w:t>
      </w:r>
      <w:r>
        <w:rPr>
          <w:color w:val="231F20"/>
          <w:spacing w:val="-9"/>
          <w:w w:val="115"/>
          <w:sz w:val="19"/>
        </w:rPr>
        <w:t> </w:t>
      </w:r>
      <w:r>
        <w:rPr>
          <w:color w:val="231F20"/>
          <w:w w:val="115"/>
          <w:sz w:val="19"/>
        </w:rPr>
        <w:t>you</w:t>
      </w:r>
      <w:r>
        <w:rPr>
          <w:color w:val="231F20"/>
          <w:spacing w:val="-9"/>
          <w:w w:val="115"/>
          <w:sz w:val="19"/>
        </w:rPr>
        <w:t> </w:t>
      </w:r>
      <w:r>
        <w:rPr>
          <w:color w:val="231F20"/>
          <w:w w:val="115"/>
          <w:sz w:val="19"/>
        </w:rPr>
        <w:t>need</w:t>
      </w:r>
      <w:r>
        <w:rPr>
          <w:color w:val="231F20"/>
          <w:spacing w:val="-9"/>
          <w:w w:val="115"/>
          <w:sz w:val="19"/>
        </w:rPr>
        <w:t> </w:t>
      </w:r>
      <w:r>
        <w:rPr>
          <w:color w:val="231F20"/>
          <w:w w:val="115"/>
          <w:sz w:val="19"/>
        </w:rPr>
        <w:t>to</w:t>
      </w:r>
      <w:r>
        <w:rPr>
          <w:color w:val="231F20"/>
          <w:spacing w:val="-9"/>
          <w:w w:val="115"/>
          <w:sz w:val="19"/>
        </w:rPr>
        <w:t> </w:t>
      </w:r>
      <w:r>
        <w:rPr>
          <w:color w:val="231F20"/>
          <w:w w:val="115"/>
          <w:sz w:val="19"/>
        </w:rPr>
        <w:t>talk</w:t>
      </w:r>
      <w:r>
        <w:rPr>
          <w:color w:val="231F20"/>
          <w:spacing w:val="-10"/>
          <w:w w:val="115"/>
          <w:sz w:val="19"/>
        </w:rPr>
        <w:t> </w:t>
      </w:r>
      <w:r>
        <w:rPr>
          <w:color w:val="231F20"/>
          <w:w w:val="115"/>
          <w:sz w:val="19"/>
        </w:rPr>
        <w:t>about</w:t>
      </w:r>
      <w:r>
        <w:rPr>
          <w:color w:val="231F20"/>
          <w:spacing w:val="-9"/>
          <w:w w:val="115"/>
          <w:sz w:val="19"/>
        </w:rPr>
        <w:t> </w:t>
      </w:r>
      <w:r>
        <w:rPr>
          <w:color w:val="231F20"/>
          <w:w w:val="115"/>
          <w:sz w:val="19"/>
        </w:rPr>
        <w:t>the</w:t>
      </w:r>
      <w:r>
        <w:rPr>
          <w:color w:val="231F20"/>
          <w:spacing w:val="-9"/>
          <w:w w:val="115"/>
          <w:sz w:val="19"/>
        </w:rPr>
        <w:t> </w:t>
      </w:r>
      <w:r>
        <w:rPr>
          <w:color w:val="231F20"/>
          <w:spacing w:val="-2"/>
          <w:w w:val="115"/>
          <w:sz w:val="19"/>
        </w:rPr>
        <w:t>problem.</w:t>
      </w:r>
    </w:p>
    <w:p>
      <w:pPr>
        <w:pStyle w:val="ListParagraph"/>
        <w:numPr>
          <w:ilvl w:val="0"/>
          <w:numId w:val="27"/>
        </w:numPr>
        <w:tabs>
          <w:tab w:pos="1611" w:val="left" w:leader="none"/>
        </w:tabs>
        <w:spacing w:line="328" w:lineRule="auto" w:before="82" w:after="0"/>
        <w:ind w:left="1610" w:right="667" w:hanging="226"/>
        <w:jc w:val="both"/>
        <w:rPr>
          <w:sz w:val="19"/>
        </w:rPr>
      </w:pPr>
      <w:r>
        <w:rPr>
          <w:color w:val="231F20"/>
          <w:w w:val="115"/>
          <w:sz w:val="19"/>
        </w:rPr>
        <w:t>Pause</w:t>
      </w:r>
      <w:r>
        <w:rPr>
          <w:color w:val="231F20"/>
          <w:spacing w:val="-16"/>
          <w:w w:val="115"/>
          <w:sz w:val="19"/>
        </w:rPr>
        <w:t> </w:t>
      </w:r>
      <w:r>
        <w:rPr>
          <w:color w:val="231F20"/>
          <w:w w:val="115"/>
          <w:sz w:val="19"/>
        </w:rPr>
        <w:t>and</w:t>
      </w:r>
      <w:r>
        <w:rPr>
          <w:color w:val="231F20"/>
          <w:spacing w:val="-15"/>
          <w:w w:val="115"/>
          <w:sz w:val="19"/>
        </w:rPr>
        <w:t> </w:t>
      </w:r>
      <w:r>
        <w:rPr>
          <w:color w:val="231F20"/>
          <w:w w:val="115"/>
          <w:sz w:val="19"/>
        </w:rPr>
        <w:t>express</w:t>
      </w:r>
      <w:r>
        <w:rPr>
          <w:color w:val="231F20"/>
          <w:spacing w:val="-15"/>
          <w:w w:val="115"/>
          <w:sz w:val="19"/>
        </w:rPr>
        <w:t> </w:t>
      </w:r>
      <w:r>
        <w:rPr>
          <w:color w:val="231F20"/>
          <w:w w:val="115"/>
          <w:sz w:val="19"/>
        </w:rPr>
        <w:t>your</w:t>
      </w:r>
      <w:r>
        <w:rPr>
          <w:color w:val="231F20"/>
          <w:spacing w:val="-15"/>
          <w:w w:val="115"/>
          <w:sz w:val="19"/>
        </w:rPr>
        <w:t> </w:t>
      </w:r>
      <w:r>
        <w:rPr>
          <w:color w:val="231F20"/>
          <w:w w:val="115"/>
          <w:sz w:val="19"/>
        </w:rPr>
        <w:t>displeasure.</w:t>
      </w:r>
      <w:r>
        <w:rPr>
          <w:color w:val="231F20"/>
          <w:spacing w:val="-15"/>
          <w:w w:val="115"/>
          <w:sz w:val="19"/>
        </w:rPr>
        <w:t> </w:t>
      </w:r>
      <w:r>
        <w:rPr>
          <w:color w:val="231F20"/>
          <w:w w:val="115"/>
          <w:sz w:val="19"/>
        </w:rPr>
        <w:t>Tell</w:t>
      </w:r>
      <w:r>
        <w:rPr>
          <w:color w:val="231F20"/>
          <w:spacing w:val="-16"/>
          <w:w w:val="115"/>
          <w:sz w:val="19"/>
        </w:rPr>
        <w:t> </w:t>
      </w:r>
      <w:r>
        <w:rPr>
          <w:color w:val="231F20"/>
          <w:w w:val="115"/>
          <w:sz w:val="19"/>
        </w:rPr>
        <w:t>it</w:t>
      </w:r>
      <w:r>
        <w:rPr>
          <w:color w:val="231F20"/>
          <w:spacing w:val="-15"/>
          <w:w w:val="115"/>
          <w:sz w:val="19"/>
        </w:rPr>
        <w:t> </w:t>
      </w:r>
      <w:r>
        <w:rPr>
          <w:color w:val="231F20"/>
          <w:w w:val="115"/>
          <w:sz w:val="19"/>
        </w:rPr>
        <w:t>exactly</w:t>
      </w:r>
      <w:r>
        <w:rPr>
          <w:color w:val="231F20"/>
          <w:spacing w:val="-15"/>
          <w:w w:val="115"/>
          <w:sz w:val="19"/>
        </w:rPr>
        <w:t> </w:t>
      </w:r>
      <w:r>
        <w:rPr>
          <w:color w:val="231F20"/>
          <w:w w:val="115"/>
          <w:sz w:val="19"/>
        </w:rPr>
        <w:t>as</w:t>
      </w:r>
      <w:r>
        <w:rPr>
          <w:color w:val="231F20"/>
          <w:spacing w:val="-15"/>
          <w:w w:val="115"/>
          <w:sz w:val="19"/>
        </w:rPr>
        <w:t> </w:t>
      </w:r>
      <w:r>
        <w:rPr>
          <w:color w:val="231F20"/>
          <w:w w:val="115"/>
          <w:sz w:val="19"/>
        </w:rPr>
        <w:t>you</w:t>
      </w:r>
      <w:r>
        <w:rPr>
          <w:color w:val="231F20"/>
          <w:w w:val="115"/>
          <w:sz w:val="19"/>
        </w:rPr>
        <w:t> see it. Yelling is counterproductive.</w:t>
      </w:r>
    </w:p>
    <w:p>
      <w:pPr>
        <w:pStyle w:val="ListParagraph"/>
        <w:numPr>
          <w:ilvl w:val="0"/>
          <w:numId w:val="27"/>
        </w:numPr>
        <w:tabs>
          <w:tab w:pos="1610" w:val="left" w:leader="none"/>
        </w:tabs>
        <w:spacing w:line="328" w:lineRule="auto" w:before="1" w:after="0"/>
        <w:ind w:left="1610" w:right="666" w:hanging="237"/>
        <w:jc w:val="both"/>
        <w:rPr>
          <w:sz w:val="19"/>
        </w:rPr>
      </w:pPr>
      <w:r>
        <w:rPr>
          <w:color w:val="231F20"/>
          <w:w w:val="115"/>
          <w:sz w:val="19"/>
        </w:rPr>
        <w:t>Display</w:t>
      </w:r>
      <w:r>
        <w:rPr>
          <w:color w:val="231F20"/>
          <w:spacing w:val="-13"/>
          <w:w w:val="115"/>
          <w:sz w:val="19"/>
        </w:rPr>
        <w:t> </w:t>
      </w:r>
      <w:r>
        <w:rPr>
          <w:color w:val="231F20"/>
          <w:w w:val="115"/>
          <w:sz w:val="19"/>
        </w:rPr>
        <w:t>a</w:t>
      </w:r>
      <w:r>
        <w:rPr>
          <w:color w:val="231F20"/>
          <w:spacing w:val="-13"/>
          <w:w w:val="115"/>
          <w:sz w:val="19"/>
        </w:rPr>
        <w:t> </w:t>
      </w:r>
      <w:r>
        <w:rPr>
          <w:color w:val="231F20"/>
          <w:w w:val="115"/>
          <w:sz w:val="19"/>
        </w:rPr>
        <w:t>caring</w:t>
      </w:r>
      <w:r>
        <w:rPr>
          <w:color w:val="231F20"/>
          <w:spacing w:val="-13"/>
          <w:w w:val="115"/>
          <w:sz w:val="19"/>
        </w:rPr>
        <w:t> </w:t>
      </w:r>
      <w:r>
        <w:rPr>
          <w:color w:val="231F20"/>
          <w:w w:val="115"/>
          <w:sz w:val="19"/>
        </w:rPr>
        <w:t>attitude.</w:t>
      </w:r>
      <w:r>
        <w:rPr>
          <w:color w:val="231F20"/>
          <w:spacing w:val="-13"/>
          <w:w w:val="115"/>
          <w:sz w:val="19"/>
        </w:rPr>
        <w:t> </w:t>
      </w:r>
      <w:r>
        <w:rPr>
          <w:color w:val="231F20"/>
          <w:w w:val="115"/>
          <w:sz w:val="19"/>
        </w:rPr>
        <w:t>“I</w:t>
      </w:r>
      <w:r>
        <w:rPr>
          <w:color w:val="231F20"/>
          <w:spacing w:val="-13"/>
          <w:w w:val="115"/>
          <w:sz w:val="19"/>
        </w:rPr>
        <w:t> </w:t>
      </w:r>
      <w:r>
        <w:rPr>
          <w:color w:val="231F20"/>
          <w:w w:val="115"/>
          <w:sz w:val="19"/>
        </w:rPr>
        <w:t>did</w:t>
      </w:r>
      <w:r>
        <w:rPr>
          <w:color w:val="231F20"/>
          <w:spacing w:val="-13"/>
          <w:w w:val="115"/>
          <w:sz w:val="19"/>
        </w:rPr>
        <w:t> </w:t>
      </w:r>
      <w:r>
        <w:rPr>
          <w:color w:val="231F20"/>
          <w:w w:val="115"/>
          <w:sz w:val="19"/>
        </w:rPr>
        <w:t>not</w:t>
      </w:r>
      <w:r>
        <w:rPr>
          <w:color w:val="231F20"/>
          <w:spacing w:val="-13"/>
          <w:w w:val="115"/>
          <w:sz w:val="19"/>
        </w:rPr>
        <w:t> </w:t>
      </w:r>
      <w:r>
        <w:rPr>
          <w:color w:val="231F20"/>
          <w:w w:val="115"/>
          <w:sz w:val="19"/>
        </w:rPr>
        <w:t>approve</w:t>
      </w:r>
      <w:r>
        <w:rPr>
          <w:color w:val="231F20"/>
          <w:spacing w:val="-13"/>
          <w:w w:val="115"/>
          <w:sz w:val="19"/>
        </w:rPr>
        <w:t> </w:t>
      </w:r>
      <w:r>
        <w:rPr>
          <w:color w:val="231F20"/>
          <w:w w:val="115"/>
          <w:sz w:val="19"/>
        </w:rPr>
        <w:t>of</w:t>
      </w:r>
      <w:r>
        <w:rPr>
          <w:color w:val="231F20"/>
          <w:spacing w:val="-13"/>
          <w:w w:val="115"/>
          <w:sz w:val="19"/>
        </w:rPr>
        <w:t> </w:t>
      </w:r>
      <w:r>
        <w:rPr>
          <w:color w:val="231F20"/>
          <w:w w:val="115"/>
          <w:sz w:val="19"/>
        </w:rPr>
        <w:t>your</w:t>
      </w:r>
      <w:r>
        <w:rPr>
          <w:color w:val="231F20"/>
          <w:spacing w:val="-13"/>
          <w:w w:val="115"/>
          <w:sz w:val="19"/>
        </w:rPr>
        <w:t> </w:t>
      </w:r>
      <w:r>
        <w:rPr>
          <w:color w:val="231F20"/>
          <w:w w:val="115"/>
          <w:sz w:val="19"/>
        </w:rPr>
        <w:t>behav- ior,</w:t>
      </w:r>
      <w:r>
        <w:rPr>
          <w:color w:val="231F20"/>
          <w:spacing w:val="-1"/>
          <w:w w:val="115"/>
          <w:sz w:val="19"/>
        </w:rPr>
        <w:t> </w:t>
      </w:r>
      <w:r>
        <w:rPr>
          <w:color w:val="231F20"/>
          <w:w w:val="115"/>
          <w:sz w:val="19"/>
        </w:rPr>
        <w:t>but</w:t>
      </w:r>
      <w:r>
        <w:rPr>
          <w:color w:val="231F20"/>
          <w:spacing w:val="-1"/>
          <w:w w:val="115"/>
          <w:sz w:val="19"/>
        </w:rPr>
        <w:t> </w:t>
      </w:r>
      <w:r>
        <w:rPr>
          <w:color w:val="231F20"/>
          <w:w w:val="115"/>
          <w:sz w:val="19"/>
        </w:rPr>
        <w:t>you</w:t>
      </w:r>
      <w:r>
        <w:rPr>
          <w:color w:val="231F20"/>
          <w:spacing w:val="-1"/>
          <w:w w:val="115"/>
          <w:sz w:val="19"/>
        </w:rPr>
        <w:t> </w:t>
      </w:r>
      <w:r>
        <w:rPr>
          <w:color w:val="231F20"/>
          <w:w w:val="115"/>
          <w:sz w:val="19"/>
        </w:rPr>
        <w:t>are</w:t>
      </w:r>
      <w:r>
        <w:rPr>
          <w:color w:val="231F20"/>
          <w:spacing w:val="-1"/>
          <w:w w:val="115"/>
          <w:sz w:val="19"/>
        </w:rPr>
        <w:t> </w:t>
      </w:r>
      <w:r>
        <w:rPr>
          <w:color w:val="231F20"/>
          <w:w w:val="115"/>
          <w:sz w:val="19"/>
        </w:rPr>
        <w:t>still</w:t>
      </w:r>
      <w:r>
        <w:rPr>
          <w:color w:val="231F20"/>
          <w:spacing w:val="-1"/>
          <w:w w:val="115"/>
          <w:sz w:val="19"/>
        </w:rPr>
        <w:t> </w:t>
      </w:r>
      <w:r>
        <w:rPr>
          <w:color w:val="231F20"/>
          <w:w w:val="115"/>
          <w:sz w:val="19"/>
        </w:rPr>
        <w:t>okay.”</w:t>
      </w:r>
      <w:r>
        <w:rPr>
          <w:color w:val="231F20"/>
          <w:spacing w:val="-1"/>
          <w:w w:val="115"/>
          <w:sz w:val="19"/>
        </w:rPr>
        <w:t> </w:t>
      </w:r>
      <w:r>
        <w:rPr>
          <w:color w:val="231F20"/>
          <w:w w:val="115"/>
          <w:sz w:val="19"/>
        </w:rPr>
        <w:t>“Let’s</w:t>
      </w:r>
      <w:r>
        <w:rPr>
          <w:color w:val="231F20"/>
          <w:spacing w:val="-1"/>
          <w:w w:val="115"/>
          <w:sz w:val="19"/>
        </w:rPr>
        <w:t> </w:t>
      </w:r>
      <w:r>
        <w:rPr>
          <w:color w:val="231F20"/>
          <w:w w:val="115"/>
          <w:sz w:val="19"/>
        </w:rPr>
        <w:t>learn</w:t>
      </w:r>
      <w:r>
        <w:rPr>
          <w:color w:val="231F20"/>
          <w:spacing w:val="-1"/>
          <w:w w:val="115"/>
          <w:sz w:val="19"/>
        </w:rPr>
        <w:t> </w:t>
      </w:r>
      <w:r>
        <w:rPr>
          <w:color w:val="231F20"/>
          <w:w w:val="115"/>
          <w:sz w:val="19"/>
        </w:rPr>
        <w:t>from</w:t>
      </w:r>
      <w:r>
        <w:rPr>
          <w:color w:val="231F20"/>
          <w:spacing w:val="-1"/>
          <w:w w:val="115"/>
          <w:sz w:val="19"/>
        </w:rPr>
        <w:t> </w:t>
      </w:r>
      <w:r>
        <w:rPr>
          <w:color w:val="231F20"/>
          <w:w w:val="115"/>
          <w:sz w:val="19"/>
        </w:rPr>
        <w:t>this</w:t>
      </w:r>
      <w:r>
        <w:rPr>
          <w:color w:val="231F20"/>
          <w:spacing w:val="-1"/>
          <w:w w:val="115"/>
          <w:sz w:val="19"/>
        </w:rPr>
        <w:t> </w:t>
      </w:r>
      <w:r>
        <w:rPr>
          <w:color w:val="231F20"/>
          <w:w w:val="115"/>
          <w:sz w:val="19"/>
        </w:rPr>
        <w:t>and</w:t>
      </w:r>
      <w:r>
        <w:rPr>
          <w:color w:val="231F20"/>
          <w:spacing w:val="-1"/>
          <w:w w:val="115"/>
          <w:sz w:val="19"/>
        </w:rPr>
        <w:t> </w:t>
      </w:r>
      <w:r>
        <w:rPr>
          <w:color w:val="231F20"/>
          <w:w w:val="115"/>
          <w:sz w:val="19"/>
        </w:rPr>
        <w:t>put</w:t>
      </w:r>
      <w:r>
        <w:rPr>
          <w:color w:val="231F20"/>
          <w:spacing w:val="-1"/>
          <w:w w:val="115"/>
          <w:sz w:val="19"/>
        </w:rPr>
        <w:t> </w:t>
      </w:r>
      <w:r>
        <w:rPr>
          <w:color w:val="231F20"/>
          <w:w w:val="115"/>
          <w:sz w:val="19"/>
        </w:rPr>
        <w:t>it</w:t>
      </w:r>
      <w:r>
        <w:rPr>
          <w:color w:val="231F20"/>
          <w:w w:val="115"/>
          <w:sz w:val="19"/>
        </w:rPr>
        <w:t> behind</w:t>
      </w:r>
      <w:r>
        <w:rPr>
          <w:color w:val="231F20"/>
          <w:spacing w:val="-14"/>
          <w:w w:val="115"/>
          <w:sz w:val="19"/>
        </w:rPr>
        <w:t> </w:t>
      </w:r>
      <w:r>
        <w:rPr>
          <w:color w:val="231F20"/>
          <w:w w:val="115"/>
          <w:sz w:val="19"/>
        </w:rPr>
        <w:t>us.”</w:t>
      </w:r>
      <w:r>
        <w:rPr>
          <w:color w:val="231F20"/>
          <w:spacing w:val="-14"/>
          <w:w w:val="115"/>
          <w:sz w:val="19"/>
        </w:rPr>
        <w:t> </w:t>
      </w:r>
      <w:r>
        <w:rPr>
          <w:color w:val="231F20"/>
          <w:w w:val="115"/>
          <w:sz w:val="19"/>
        </w:rPr>
        <w:t>The</w:t>
      </w:r>
      <w:r>
        <w:rPr>
          <w:color w:val="231F20"/>
          <w:spacing w:val="-14"/>
          <w:w w:val="115"/>
          <w:sz w:val="19"/>
        </w:rPr>
        <w:t> </w:t>
      </w:r>
      <w:r>
        <w:rPr>
          <w:color w:val="231F20"/>
          <w:w w:val="115"/>
          <w:sz w:val="19"/>
        </w:rPr>
        <w:t>idea</w:t>
      </w:r>
      <w:r>
        <w:rPr>
          <w:color w:val="231F20"/>
          <w:spacing w:val="-14"/>
          <w:w w:val="115"/>
          <w:sz w:val="19"/>
        </w:rPr>
        <w:t> </w:t>
      </w:r>
      <w:r>
        <w:rPr>
          <w:color w:val="231F20"/>
          <w:w w:val="115"/>
          <w:sz w:val="19"/>
        </w:rPr>
        <w:t>is</w:t>
      </w:r>
      <w:r>
        <w:rPr>
          <w:color w:val="231F20"/>
          <w:spacing w:val="-14"/>
          <w:w w:val="115"/>
          <w:sz w:val="19"/>
        </w:rPr>
        <w:t> </w:t>
      </w:r>
      <w:r>
        <w:rPr>
          <w:color w:val="231F20"/>
          <w:w w:val="115"/>
          <w:sz w:val="19"/>
        </w:rPr>
        <w:t>to</w:t>
      </w:r>
      <w:r>
        <w:rPr>
          <w:color w:val="231F20"/>
          <w:spacing w:val="-14"/>
          <w:w w:val="115"/>
          <w:sz w:val="19"/>
        </w:rPr>
        <w:t> </w:t>
      </w:r>
      <w:r>
        <w:rPr>
          <w:color w:val="231F20"/>
          <w:w w:val="115"/>
          <w:sz w:val="19"/>
        </w:rPr>
        <w:t>do</w:t>
      </w:r>
      <w:r>
        <w:rPr>
          <w:color w:val="231F20"/>
          <w:spacing w:val="-14"/>
          <w:w w:val="115"/>
          <w:sz w:val="19"/>
        </w:rPr>
        <w:t> </w:t>
      </w:r>
      <w:r>
        <w:rPr>
          <w:color w:val="231F20"/>
          <w:w w:val="115"/>
          <w:sz w:val="19"/>
        </w:rPr>
        <w:t>it</w:t>
      </w:r>
      <w:r>
        <w:rPr>
          <w:color w:val="231F20"/>
          <w:spacing w:val="-14"/>
          <w:w w:val="115"/>
          <w:sz w:val="19"/>
        </w:rPr>
        <w:t> </w:t>
      </w:r>
      <w:r>
        <w:rPr>
          <w:color w:val="231F20"/>
          <w:w w:val="115"/>
          <w:sz w:val="19"/>
        </w:rPr>
        <w:t>firmly,</w:t>
      </w:r>
      <w:r>
        <w:rPr>
          <w:color w:val="231F20"/>
          <w:spacing w:val="-14"/>
          <w:w w:val="115"/>
          <w:sz w:val="19"/>
        </w:rPr>
        <w:t> </w:t>
      </w:r>
      <w:r>
        <w:rPr>
          <w:color w:val="231F20"/>
          <w:w w:val="115"/>
          <w:sz w:val="19"/>
        </w:rPr>
        <w:t>clearly,</w:t>
      </w:r>
      <w:r>
        <w:rPr>
          <w:color w:val="231F20"/>
          <w:spacing w:val="-14"/>
          <w:w w:val="115"/>
          <w:sz w:val="19"/>
        </w:rPr>
        <w:t> </w:t>
      </w:r>
      <w:r>
        <w:rPr>
          <w:color w:val="231F20"/>
          <w:w w:val="115"/>
          <w:sz w:val="19"/>
        </w:rPr>
        <w:t>and</w:t>
      </w:r>
      <w:r>
        <w:rPr>
          <w:color w:val="231F20"/>
          <w:spacing w:val="-14"/>
          <w:w w:val="115"/>
          <w:sz w:val="19"/>
        </w:rPr>
        <w:t> </w:t>
      </w:r>
      <w:r>
        <w:rPr>
          <w:color w:val="231F20"/>
          <w:w w:val="115"/>
          <w:sz w:val="19"/>
        </w:rPr>
        <w:t>move</w:t>
      </w:r>
      <w:r>
        <w:rPr>
          <w:color w:val="231F20"/>
          <w:spacing w:val="-14"/>
          <w:w w:val="115"/>
          <w:sz w:val="19"/>
        </w:rPr>
        <w:t> </w:t>
      </w:r>
      <w:r>
        <w:rPr>
          <w:color w:val="231F20"/>
          <w:w w:val="115"/>
          <w:sz w:val="19"/>
        </w:rPr>
        <w:t>on</w:t>
      </w:r>
      <w:r>
        <w:rPr>
          <w:color w:val="231F20"/>
          <w:w w:val="115"/>
          <w:sz w:val="19"/>
        </w:rPr>
        <w:t> to new business.</w:t>
      </w:r>
    </w:p>
    <w:p>
      <w:pPr>
        <w:spacing w:after="0" w:line="328" w:lineRule="auto"/>
        <w:jc w:val="both"/>
        <w:rPr>
          <w:sz w:val="19"/>
        </w:rPr>
        <w:sectPr>
          <w:pgSz w:w="8640" w:h="12960"/>
          <w:pgMar w:header="734" w:footer="0" w:top="920" w:bottom="280" w:left="340" w:right="500"/>
        </w:sectPr>
      </w:pPr>
    </w:p>
    <w:p>
      <w:pPr>
        <w:pStyle w:val="BodyText"/>
        <w:spacing w:before="2"/>
        <w:rPr>
          <w:rFonts w:ascii="Arial"/>
          <w:sz w:val="18"/>
        </w:rPr>
      </w:pPr>
    </w:p>
    <w:p>
      <w:pPr>
        <w:pStyle w:val="BodyText"/>
        <w:spacing w:before="102"/>
        <w:ind w:left="830"/>
        <w:jc w:val="both"/>
      </w:pPr>
      <w:r>
        <w:rPr>
          <w:color w:val="231F20"/>
        </w:rPr>
        <w:t>“A</w:t>
      </w:r>
      <w:r>
        <w:rPr>
          <w:color w:val="231F20"/>
          <w:spacing w:val="15"/>
        </w:rPr>
        <w:t> </w:t>
      </w:r>
      <w:r>
        <w:rPr>
          <w:color w:val="231F20"/>
        </w:rPr>
        <w:t>good</w:t>
      </w:r>
      <w:r>
        <w:rPr>
          <w:color w:val="231F20"/>
          <w:spacing w:val="16"/>
        </w:rPr>
        <w:t> </w:t>
      </w:r>
      <w:r>
        <w:rPr>
          <w:color w:val="231F20"/>
        </w:rPr>
        <w:t>manager</w:t>
      </w:r>
      <w:r>
        <w:rPr>
          <w:color w:val="231F20"/>
          <w:spacing w:val="16"/>
        </w:rPr>
        <w:t> </w:t>
      </w:r>
      <w:r>
        <w:rPr>
          <w:color w:val="231F20"/>
        </w:rPr>
        <w:t>can</w:t>
      </w:r>
      <w:r>
        <w:rPr>
          <w:color w:val="231F20"/>
          <w:spacing w:val="15"/>
        </w:rPr>
        <w:t> </w:t>
      </w:r>
      <w:r>
        <w:rPr>
          <w:color w:val="231F20"/>
        </w:rPr>
        <w:t>balance</w:t>
      </w:r>
      <w:r>
        <w:rPr>
          <w:color w:val="231F20"/>
          <w:spacing w:val="16"/>
        </w:rPr>
        <w:t> </w:t>
      </w:r>
      <w:r>
        <w:rPr>
          <w:color w:val="231F20"/>
        </w:rPr>
        <w:t>his</w:t>
      </w:r>
      <w:r>
        <w:rPr>
          <w:color w:val="231F20"/>
          <w:spacing w:val="16"/>
        </w:rPr>
        <w:t> </w:t>
      </w:r>
      <w:r>
        <w:rPr>
          <w:color w:val="231F20"/>
        </w:rPr>
        <w:t>reprimands</w:t>
      </w:r>
      <w:r>
        <w:rPr>
          <w:color w:val="231F20"/>
          <w:spacing w:val="15"/>
        </w:rPr>
        <w:t> </w:t>
      </w:r>
      <w:r>
        <w:rPr>
          <w:color w:val="231F20"/>
        </w:rPr>
        <w:t>with</w:t>
      </w:r>
      <w:r>
        <w:rPr>
          <w:color w:val="231F20"/>
          <w:spacing w:val="16"/>
        </w:rPr>
        <w:t> </w:t>
      </w:r>
      <w:r>
        <w:rPr>
          <w:color w:val="231F20"/>
          <w:spacing w:val="-2"/>
        </w:rPr>
        <w:t>praise.”</w:t>
      </w:r>
    </w:p>
    <w:p>
      <w:pPr>
        <w:pStyle w:val="BodyText"/>
        <w:spacing w:before="10"/>
        <w:rPr>
          <w:sz w:val="25"/>
        </w:rPr>
      </w:pPr>
    </w:p>
    <w:p>
      <w:pPr>
        <w:pStyle w:val="BodyText"/>
        <w:spacing w:line="292" w:lineRule="auto" w:before="1"/>
        <w:ind w:left="830" w:right="756"/>
        <w:jc w:val="both"/>
      </w:pPr>
      <w:r>
        <w:rPr>
          <w:i/>
          <w:color w:val="231F20"/>
        </w:rPr>
        <w:t>Managing Your Boss. </w:t>
      </w:r>
      <w:r>
        <w:rPr>
          <w:color w:val="231F20"/>
        </w:rPr>
        <w:t>MBAs are not always bosses. Most start out </w:t>
      </w:r>
      <w:r>
        <w:rPr>
          <w:color w:val="231F20"/>
        </w:rPr>
        <w:t>as lowly analysts, planners, and associates. Ironically, these are the po- sitions that operations classes characterize as corporate fat, ripe for trimming. Even if MBAs find themselves in more senior managerial jobs, it’s a safe bet that they will have a boss to deal with. Even pres- idents have to deal with chairmen!</w:t>
      </w:r>
    </w:p>
    <w:p>
      <w:pPr>
        <w:pStyle w:val="BodyText"/>
        <w:spacing w:line="292" w:lineRule="auto"/>
        <w:ind w:left="829" w:right="756" w:firstLine="340"/>
        <w:jc w:val="both"/>
      </w:pPr>
      <w:r>
        <w:rPr>
          <w:color w:val="231F20"/>
        </w:rPr>
        <w:t>Management of the relationship </w:t>
      </w:r>
      <w:r>
        <w:rPr>
          <w:i/>
          <w:color w:val="231F20"/>
        </w:rPr>
        <w:t>upward </w:t>
      </w:r>
      <w:r>
        <w:rPr>
          <w:color w:val="231F20"/>
        </w:rPr>
        <w:t>is as important as </w:t>
      </w:r>
      <w:r>
        <w:rPr>
          <w:color w:val="231F20"/>
        </w:rPr>
        <w:t>man- </w:t>
      </w:r>
      <w:r>
        <w:rPr>
          <w:color w:val="231F20"/>
          <w:w w:val="105"/>
        </w:rPr>
        <w:t>aging</w:t>
      </w:r>
      <w:r>
        <w:rPr>
          <w:color w:val="231F20"/>
          <w:w w:val="105"/>
        </w:rPr>
        <w:t> your</w:t>
      </w:r>
      <w:r>
        <w:rPr>
          <w:color w:val="231F20"/>
          <w:w w:val="105"/>
        </w:rPr>
        <w:t> relationship</w:t>
      </w:r>
      <w:r>
        <w:rPr>
          <w:color w:val="231F20"/>
          <w:w w:val="105"/>
        </w:rPr>
        <w:t> below.</w:t>
      </w:r>
      <w:r>
        <w:rPr>
          <w:color w:val="231F20"/>
          <w:w w:val="105"/>
        </w:rPr>
        <w:t> That’s</w:t>
      </w:r>
      <w:r>
        <w:rPr>
          <w:color w:val="231F20"/>
          <w:w w:val="105"/>
        </w:rPr>
        <w:t> why</w:t>
      </w:r>
      <w:r>
        <w:rPr>
          <w:color w:val="231F20"/>
          <w:w w:val="105"/>
        </w:rPr>
        <w:t> I’ve</w:t>
      </w:r>
      <w:r>
        <w:rPr>
          <w:color w:val="231F20"/>
          <w:w w:val="105"/>
        </w:rPr>
        <w:t> included</w:t>
      </w:r>
      <w:r>
        <w:rPr>
          <w:color w:val="231F20"/>
          <w:w w:val="105"/>
        </w:rPr>
        <w:t> it</w:t>
      </w:r>
      <w:r>
        <w:rPr>
          <w:color w:val="231F20"/>
          <w:w w:val="105"/>
        </w:rPr>
        <w:t> in</w:t>
      </w:r>
      <w:r>
        <w:rPr>
          <w:color w:val="231F20"/>
          <w:w w:val="105"/>
        </w:rPr>
        <w:t> this </w:t>
      </w:r>
      <w:r>
        <w:rPr>
          <w:color w:val="231F20"/>
        </w:rPr>
        <w:t>book. To give the MBA an edge, the curriculum includes a session on </w:t>
      </w:r>
      <w:r>
        <w:rPr>
          <w:color w:val="231F20"/>
          <w:w w:val="105"/>
        </w:rPr>
        <w:t>how to </w:t>
      </w:r>
      <w:r>
        <w:rPr>
          <w:i/>
          <w:color w:val="231F20"/>
          <w:w w:val="105"/>
        </w:rPr>
        <w:t>manage your boss. </w:t>
      </w:r>
      <w:r>
        <w:rPr>
          <w:color w:val="231F20"/>
          <w:w w:val="105"/>
        </w:rPr>
        <w:t>“Managing Your Boss” appeared in the </w:t>
      </w:r>
      <w:r>
        <w:rPr>
          <w:i/>
          <w:color w:val="231F20"/>
          <w:w w:val="105"/>
        </w:rPr>
        <w:t>Harvard</w:t>
      </w:r>
      <w:r>
        <w:rPr>
          <w:i/>
          <w:color w:val="231F20"/>
          <w:w w:val="105"/>
        </w:rPr>
        <w:t> Business</w:t>
      </w:r>
      <w:r>
        <w:rPr>
          <w:i/>
          <w:color w:val="231F20"/>
          <w:w w:val="105"/>
        </w:rPr>
        <w:t> Review</w:t>
      </w:r>
      <w:r>
        <w:rPr>
          <w:i/>
          <w:color w:val="231F20"/>
          <w:w w:val="105"/>
        </w:rPr>
        <w:t> </w:t>
      </w:r>
      <w:r>
        <w:rPr>
          <w:color w:val="231F20"/>
          <w:w w:val="105"/>
        </w:rPr>
        <w:t>in</w:t>
      </w:r>
      <w:r>
        <w:rPr>
          <w:color w:val="231F20"/>
          <w:w w:val="105"/>
        </w:rPr>
        <w:t> January</w:t>
      </w:r>
      <w:r>
        <w:rPr>
          <w:color w:val="231F20"/>
          <w:w w:val="105"/>
        </w:rPr>
        <w:t> 1980.</w:t>
      </w:r>
      <w:r>
        <w:rPr>
          <w:color w:val="231F20"/>
          <w:w w:val="105"/>
        </w:rPr>
        <w:t> It</w:t>
      </w:r>
      <w:r>
        <w:rPr>
          <w:color w:val="231F20"/>
          <w:w w:val="105"/>
        </w:rPr>
        <w:t> was</w:t>
      </w:r>
      <w:r>
        <w:rPr>
          <w:color w:val="231F20"/>
          <w:w w:val="105"/>
        </w:rPr>
        <w:t> written</w:t>
      </w:r>
      <w:r>
        <w:rPr>
          <w:color w:val="231F20"/>
          <w:w w:val="105"/>
        </w:rPr>
        <w:t> by</w:t>
      </w:r>
      <w:r>
        <w:rPr>
          <w:color w:val="231F20"/>
          <w:w w:val="105"/>
        </w:rPr>
        <w:t> John Gabarro and John Kotter, and it captures the subject well.</w:t>
      </w:r>
    </w:p>
    <w:p>
      <w:pPr>
        <w:pStyle w:val="BodyText"/>
        <w:spacing w:before="11"/>
        <w:rPr>
          <w:sz w:val="20"/>
        </w:rPr>
      </w:pPr>
    </w:p>
    <w:p>
      <w:pPr>
        <w:pStyle w:val="BodyText"/>
        <w:spacing w:line="292" w:lineRule="auto"/>
        <w:ind w:left="829" w:right="756" w:firstLine="340"/>
        <w:jc w:val="both"/>
      </w:pPr>
      <w:r>
        <w:rPr>
          <w:color w:val="231F20"/>
        </w:rPr>
        <w:t>“The first step to success on the job is to understand bosses and their context, including:</w:t>
      </w:r>
    </w:p>
    <w:p>
      <w:pPr>
        <w:pStyle w:val="BodyText"/>
        <w:spacing w:before="1"/>
        <w:rPr>
          <w:sz w:val="23"/>
        </w:rPr>
      </w:pPr>
    </w:p>
    <w:p>
      <w:pPr>
        <w:pStyle w:val="ListParagraph"/>
        <w:numPr>
          <w:ilvl w:val="0"/>
          <w:numId w:val="24"/>
        </w:numPr>
        <w:tabs>
          <w:tab w:pos="1356" w:val="left" w:leader="none"/>
        </w:tabs>
        <w:spacing w:line="240" w:lineRule="auto" w:before="0" w:after="0"/>
        <w:ind w:left="1355" w:right="0" w:hanging="186"/>
        <w:jc w:val="left"/>
        <w:rPr>
          <w:sz w:val="19"/>
        </w:rPr>
      </w:pPr>
      <w:r>
        <w:rPr>
          <w:color w:val="231F20"/>
          <w:spacing w:val="-2"/>
          <w:w w:val="115"/>
          <w:sz w:val="19"/>
        </w:rPr>
        <w:t>Their</w:t>
      </w:r>
      <w:r>
        <w:rPr>
          <w:color w:val="231F20"/>
          <w:spacing w:val="-10"/>
          <w:w w:val="115"/>
          <w:sz w:val="19"/>
        </w:rPr>
        <w:t> </w:t>
      </w:r>
      <w:r>
        <w:rPr>
          <w:color w:val="231F20"/>
          <w:spacing w:val="-2"/>
          <w:w w:val="115"/>
          <w:sz w:val="19"/>
        </w:rPr>
        <w:t>stated</w:t>
      </w:r>
      <w:r>
        <w:rPr>
          <w:color w:val="231F20"/>
          <w:spacing w:val="-10"/>
          <w:w w:val="115"/>
          <w:sz w:val="19"/>
        </w:rPr>
        <w:t> </w:t>
      </w:r>
      <w:r>
        <w:rPr>
          <w:color w:val="231F20"/>
          <w:spacing w:val="-2"/>
          <w:w w:val="115"/>
          <w:sz w:val="19"/>
        </w:rPr>
        <w:t>and</w:t>
      </w:r>
      <w:r>
        <w:rPr>
          <w:color w:val="231F20"/>
          <w:spacing w:val="-10"/>
          <w:w w:val="115"/>
          <w:sz w:val="19"/>
        </w:rPr>
        <w:t> </w:t>
      </w:r>
      <w:r>
        <w:rPr>
          <w:color w:val="231F20"/>
          <w:spacing w:val="-2"/>
          <w:w w:val="115"/>
          <w:sz w:val="19"/>
        </w:rPr>
        <w:t>unstated</w:t>
      </w:r>
      <w:r>
        <w:rPr>
          <w:color w:val="231F20"/>
          <w:spacing w:val="-10"/>
          <w:w w:val="115"/>
          <w:sz w:val="19"/>
        </w:rPr>
        <w:t> </w:t>
      </w:r>
      <w:r>
        <w:rPr>
          <w:color w:val="231F20"/>
          <w:spacing w:val="-2"/>
          <w:w w:val="115"/>
          <w:sz w:val="19"/>
        </w:rPr>
        <w:t>goals</w:t>
      </w:r>
      <w:r>
        <w:rPr>
          <w:color w:val="231F20"/>
          <w:spacing w:val="-9"/>
          <w:w w:val="115"/>
          <w:sz w:val="19"/>
        </w:rPr>
        <w:t> </w:t>
      </w:r>
      <w:r>
        <w:rPr>
          <w:color w:val="231F20"/>
          <w:spacing w:val="-2"/>
          <w:w w:val="115"/>
          <w:sz w:val="19"/>
        </w:rPr>
        <w:t>and</w:t>
      </w:r>
      <w:r>
        <w:rPr>
          <w:color w:val="231F20"/>
          <w:spacing w:val="-10"/>
          <w:w w:val="115"/>
          <w:sz w:val="19"/>
        </w:rPr>
        <w:t> </w:t>
      </w:r>
      <w:r>
        <w:rPr>
          <w:color w:val="231F20"/>
          <w:spacing w:val="-2"/>
          <w:w w:val="115"/>
          <w:sz w:val="19"/>
        </w:rPr>
        <w:t>objectives</w:t>
      </w:r>
    </w:p>
    <w:p>
      <w:pPr>
        <w:pStyle w:val="ListParagraph"/>
        <w:numPr>
          <w:ilvl w:val="0"/>
          <w:numId w:val="24"/>
        </w:numPr>
        <w:tabs>
          <w:tab w:pos="1356" w:val="left" w:leader="none"/>
        </w:tabs>
        <w:spacing w:line="240" w:lineRule="auto" w:before="81" w:after="0"/>
        <w:ind w:left="1355" w:right="0" w:hanging="186"/>
        <w:jc w:val="left"/>
        <w:rPr>
          <w:sz w:val="19"/>
        </w:rPr>
      </w:pPr>
      <w:r>
        <w:rPr>
          <w:color w:val="231F20"/>
          <w:w w:val="110"/>
          <w:sz w:val="19"/>
        </w:rPr>
        <w:t>The</w:t>
      </w:r>
      <w:r>
        <w:rPr>
          <w:color w:val="231F20"/>
          <w:spacing w:val="-10"/>
          <w:w w:val="110"/>
          <w:sz w:val="19"/>
        </w:rPr>
        <w:t> </w:t>
      </w:r>
      <w:r>
        <w:rPr>
          <w:color w:val="231F20"/>
          <w:w w:val="110"/>
          <w:sz w:val="19"/>
        </w:rPr>
        <w:t>pressures</w:t>
      </w:r>
      <w:r>
        <w:rPr>
          <w:color w:val="231F20"/>
          <w:spacing w:val="-9"/>
          <w:w w:val="110"/>
          <w:sz w:val="19"/>
        </w:rPr>
        <w:t> </w:t>
      </w:r>
      <w:r>
        <w:rPr>
          <w:color w:val="231F20"/>
          <w:w w:val="110"/>
          <w:sz w:val="19"/>
        </w:rPr>
        <w:t>on</w:t>
      </w:r>
      <w:r>
        <w:rPr>
          <w:color w:val="231F20"/>
          <w:spacing w:val="-9"/>
          <w:w w:val="110"/>
          <w:sz w:val="19"/>
        </w:rPr>
        <w:t> </w:t>
      </w:r>
      <w:r>
        <w:rPr>
          <w:color w:val="231F20"/>
          <w:spacing w:val="-4"/>
          <w:w w:val="110"/>
          <w:sz w:val="19"/>
        </w:rPr>
        <w:t>them</w:t>
      </w:r>
    </w:p>
    <w:p>
      <w:pPr>
        <w:pStyle w:val="ListParagraph"/>
        <w:numPr>
          <w:ilvl w:val="0"/>
          <w:numId w:val="24"/>
        </w:numPr>
        <w:tabs>
          <w:tab w:pos="1356" w:val="left" w:leader="none"/>
        </w:tabs>
        <w:spacing w:line="240" w:lineRule="auto" w:before="82" w:after="0"/>
        <w:ind w:left="1355" w:right="0" w:hanging="186"/>
        <w:jc w:val="left"/>
        <w:rPr>
          <w:sz w:val="19"/>
        </w:rPr>
      </w:pPr>
      <w:r>
        <w:rPr>
          <w:color w:val="231F20"/>
          <w:w w:val="110"/>
          <w:sz w:val="19"/>
        </w:rPr>
        <w:t>Their strengths,</w:t>
      </w:r>
      <w:r>
        <w:rPr>
          <w:color w:val="231F20"/>
          <w:spacing w:val="1"/>
          <w:w w:val="110"/>
          <w:sz w:val="19"/>
        </w:rPr>
        <w:t> </w:t>
      </w:r>
      <w:r>
        <w:rPr>
          <w:color w:val="231F20"/>
          <w:w w:val="110"/>
          <w:sz w:val="19"/>
        </w:rPr>
        <w:t>weaknesses, blind</w:t>
      </w:r>
      <w:r>
        <w:rPr>
          <w:color w:val="231F20"/>
          <w:spacing w:val="1"/>
          <w:w w:val="110"/>
          <w:sz w:val="19"/>
        </w:rPr>
        <w:t> </w:t>
      </w:r>
      <w:r>
        <w:rPr>
          <w:color w:val="231F20"/>
          <w:spacing w:val="-2"/>
          <w:w w:val="110"/>
          <w:sz w:val="19"/>
        </w:rPr>
        <w:t>spots</w:t>
      </w:r>
    </w:p>
    <w:p>
      <w:pPr>
        <w:pStyle w:val="ListParagraph"/>
        <w:numPr>
          <w:ilvl w:val="0"/>
          <w:numId w:val="24"/>
        </w:numPr>
        <w:tabs>
          <w:tab w:pos="1356" w:val="left" w:leader="none"/>
        </w:tabs>
        <w:spacing w:line="240" w:lineRule="auto" w:before="81" w:after="0"/>
        <w:ind w:left="1355" w:right="0" w:hanging="186"/>
        <w:jc w:val="left"/>
        <w:rPr>
          <w:sz w:val="19"/>
        </w:rPr>
      </w:pPr>
      <w:r>
        <w:rPr>
          <w:color w:val="231F20"/>
          <w:w w:val="115"/>
          <w:sz w:val="19"/>
        </w:rPr>
        <w:t>Their</w:t>
      </w:r>
      <w:r>
        <w:rPr>
          <w:color w:val="231F20"/>
          <w:spacing w:val="-10"/>
          <w:w w:val="115"/>
          <w:sz w:val="19"/>
        </w:rPr>
        <w:t> </w:t>
      </w:r>
      <w:r>
        <w:rPr>
          <w:color w:val="231F20"/>
          <w:w w:val="115"/>
          <w:sz w:val="19"/>
        </w:rPr>
        <w:t>preferred</w:t>
      </w:r>
      <w:r>
        <w:rPr>
          <w:color w:val="231F20"/>
          <w:spacing w:val="-10"/>
          <w:w w:val="115"/>
          <w:sz w:val="19"/>
        </w:rPr>
        <w:t> </w:t>
      </w:r>
      <w:r>
        <w:rPr>
          <w:color w:val="231F20"/>
          <w:w w:val="115"/>
          <w:sz w:val="19"/>
        </w:rPr>
        <w:t>work</w:t>
      </w:r>
      <w:r>
        <w:rPr>
          <w:color w:val="231F20"/>
          <w:spacing w:val="-10"/>
          <w:w w:val="115"/>
          <w:sz w:val="19"/>
        </w:rPr>
        <w:t> </w:t>
      </w:r>
      <w:r>
        <w:rPr>
          <w:color w:val="231F20"/>
          <w:spacing w:val="-2"/>
          <w:w w:val="115"/>
          <w:sz w:val="19"/>
        </w:rPr>
        <w:t>styles</w:t>
      </w:r>
    </w:p>
    <w:p>
      <w:pPr>
        <w:pStyle w:val="BodyText"/>
        <w:spacing w:before="10"/>
        <w:rPr>
          <w:rFonts w:ascii="Arial"/>
          <w:sz w:val="27"/>
        </w:rPr>
      </w:pPr>
    </w:p>
    <w:p>
      <w:pPr>
        <w:pStyle w:val="BodyText"/>
        <w:spacing w:line="292" w:lineRule="auto"/>
        <w:ind w:left="830" w:right="756" w:firstLine="340"/>
        <w:jc w:val="both"/>
      </w:pPr>
      <w:r>
        <w:rPr>
          <w:color w:val="231F20"/>
        </w:rPr>
        <w:t>“The second step is to be introspective and assess yourself </w:t>
      </w:r>
      <w:r>
        <w:rPr>
          <w:color w:val="231F20"/>
        </w:rPr>
        <w:t>and your needs, including:</w:t>
      </w:r>
    </w:p>
    <w:p>
      <w:pPr>
        <w:pStyle w:val="BodyText"/>
        <w:spacing w:before="1"/>
        <w:rPr>
          <w:sz w:val="23"/>
        </w:rPr>
      </w:pPr>
    </w:p>
    <w:p>
      <w:pPr>
        <w:pStyle w:val="ListParagraph"/>
        <w:numPr>
          <w:ilvl w:val="0"/>
          <w:numId w:val="24"/>
        </w:numPr>
        <w:tabs>
          <w:tab w:pos="1356" w:val="left" w:leader="none"/>
        </w:tabs>
        <w:spacing w:line="240" w:lineRule="auto" w:before="0" w:after="0"/>
        <w:ind w:left="1355" w:right="0" w:hanging="186"/>
        <w:jc w:val="left"/>
        <w:rPr>
          <w:sz w:val="19"/>
        </w:rPr>
      </w:pPr>
      <w:r>
        <w:rPr>
          <w:color w:val="231F20"/>
          <w:spacing w:val="-2"/>
          <w:w w:val="115"/>
          <w:sz w:val="19"/>
        </w:rPr>
        <w:t>Your</w:t>
      </w:r>
      <w:r>
        <w:rPr>
          <w:color w:val="231F20"/>
          <w:spacing w:val="-8"/>
          <w:w w:val="115"/>
          <w:sz w:val="19"/>
        </w:rPr>
        <w:t> </w:t>
      </w:r>
      <w:r>
        <w:rPr>
          <w:color w:val="231F20"/>
          <w:spacing w:val="-2"/>
          <w:w w:val="115"/>
          <w:sz w:val="19"/>
        </w:rPr>
        <w:t>own</w:t>
      </w:r>
      <w:r>
        <w:rPr>
          <w:color w:val="231F20"/>
          <w:spacing w:val="-8"/>
          <w:w w:val="115"/>
          <w:sz w:val="19"/>
        </w:rPr>
        <w:t> </w:t>
      </w:r>
      <w:r>
        <w:rPr>
          <w:color w:val="231F20"/>
          <w:spacing w:val="-2"/>
          <w:w w:val="115"/>
          <w:sz w:val="19"/>
        </w:rPr>
        <w:t>strengths</w:t>
      </w:r>
      <w:r>
        <w:rPr>
          <w:color w:val="231F20"/>
          <w:spacing w:val="-7"/>
          <w:w w:val="115"/>
          <w:sz w:val="19"/>
        </w:rPr>
        <w:t> </w:t>
      </w:r>
      <w:r>
        <w:rPr>
          <w:color w:val="231F20"/>
          <w:spacing w:val="-2"/>
          <w:w w:val="115"/>
          <w:sz w:val="19"/>
        </w:rPr>
        <w:t>and</w:t>
      </w:r>
      <w:r>
        <w:rPr>
          <w:color w:val="231F20"/>
          <w:spacing w:val="-8"/>
          <w:w w:val="115"/>
          <w:sz w:val="19"/>
        </w:rPr>
        <w:t> </w:t>
      </w:r>
      <w:r>
        <w:rPr>
          <w:color w:val="231F20"/>
          <w:spacing w:val="-2"/>
          <w:w w:val="115"/>
          <w:sz w:val="19"/>
        </w:rPr>
        <w:t>weaknesses</w:t>
      </w:r>
    </w:p>
    <w:p>
      <w:pPr>
        <w:pStyle w:val="ListParagraph"/>
        <w:numPr>
          <w:ilvl w:val="0"/>
          <w:numId w:val="24"/>
        </w:numPr>
        <w:tabs>
          <w:tab w:pos="1356" w:val="left" w:leader="none"/>
        </w:tabs>
        <w:spacing w:line="240" w:lineRule="auto" w:before="82" w:after="0"/>
        <w:ind w:left="1355" w:right="0" w:hanging="186"/>
        <w:jc w:val="left"/>
        <w:rPr>
          <w:sz w:val="19"/>
        </w:rPr>
      </w:pPr>
      <w:r>
        <w:rPr>
          <w:color w:val="231F20"/>
          <w:w w:val="110"/>
          <w:sz w:val="19"/>
        </w:rPr>
        <w:t>Your</w:t>
      </w:r>
      <w:r>
        <w:rPr>
          <w:color w:val="231F20"/>
          <w:spacing w:val="-2"/>
          <w:w w:val="110"/>
          <w:sz w:val="19"/>
        </w:rPr>
        <w:t> </w:t>
      </w:r>
      <w:r>
        <w:rPr>
          <w:color w:val="231F20"/>
          <w:w w:val="110"/>
          <w:sz w:val="19"/>
        </w:rPr>
        <w:t>personal</w:t>
      </w:r>
      <w:r>
        <w:rPr>
          <w:color w:val="231F20"/>
          <w:spacing w:val="-1"/>
          <w:w w:val="110"/>
          <w:sz w:val="19"/>
        </w:rPr>
        <w:t> </w:t>
      </w:r>
      <w:r>
        <w:rPr>
          <w:color w:val="231F20"/>
          <w:spacing w:val="-4"/>
          <w:w w:val="110"/>
          <w:sz w:val="19"/>
        </w:rPr>
        <w:t>style</w:t>
      </w:r>
    </w:p>
    <w:p>
      <w:pPr>
        <w:pStyle w:val="ListParagraph"/>
        <w:numPr>
          <w:ilvl w:val="0"/>
          <w:numId w:val="24"/>
        </w:numPr>
        <w:tabs>
          <w:tab w:pos="1356" w:val="left" w:leader="none"/>
        </w:tabs>
        <w:spacing w:line="328" w:lineRule="auto" w:before="81" w:after="0"/>
        <w:ind w:left="1355" w:right="756" w:hanging="186"/>
        <w:jc w:val="left"/>
        <w:rPr>
          <w:sz w:val="19"/>
        </w:rPr>
      </w:pPr>
      <w:r>
        <w:rPr>
          <w:color w:val="231F20"/>
          <w:w w:val="115"/>
          <w:sz w:val="19"/>
        </w:rPr>
        <w:t>Your</w:t>
      </w:r>
      <w:r>
        <w:rPr>
          <w:color w:val="231F20"/>
          <w:spacing w:val="-9"/>
          <w:w w:val="115"/>
          <w:sz w:val="19"/>
        </w:rPr>
        <w:t> </w:t>
      </w:r>
      <w:r>
        <w:rPr>
          <w:color w:val="231F20"/>
          <w:w w:val="115"/>
          <w:sz w:val="19"/>
        </w:rPr>
        <w:t>predisposition</w:t>
      </w:r>
      <w:r>
        <w:rPr>
          <w:color w:val="231F20"/>
          <w:spacing w:val="-9"/>
          <w:w w:val="115"/>
          <w:sz w:val="19"/>
        </w:rPr>
        <w:t> </w:t>
      </w:r>
      <w:r>
        <w:rPr>
          <w:color w:val="231F20"/>
          <w:w w:val="115"/>
          <w:sz w:val="19"/>
        </w:rPr>
        <w:t>toward</w:t>
      </w:r>
      <w:r>
        <w:rPr>
          <w:color w:val="231F20"/>
          <w:spacing w:val="-9"/>
          <w:w w:val="115"/>
          <w:sz w:val="19"/>
        </w:rPr>
        <w:t> </w:t>
      </w:r>
      <w:r>
        <w:rPr>
          <w:color w:val="231F20"/>
          <w:w w:val="115"/>
          <w:sz w:val="19"/>
        </w:rPr>
        <w:t>dependence</w:t>
      </w:r>
      <w:r>
        <w:rPr>
          <w:color w:val="231F20"/>
          <w:spacing w:val="-9"/>
          <w:w w:val="115"/>
          <w:sz w:val="19"/>
        </w:rPr>
        <w:t> </w:t>
      </w:r>
      <w:r>
        <w:rPr>
          <w:color w:val="231F20"/>
          <w:w w:val="115"/>
          <w:sz w:val="19"/>
        </w:rPr>
        <w:t>on</w:t>
      </w:r>
      <w:r>
        <w:rPr>
          <w:color w:val="231F20"/>
          <w:spacing w:val="-9"/>
          <w:w w:val="115"/>
          <w:sz w:val="19"/>
        </w:rPr>
        <w:t> </w:t>
      </w:r>
      <w:r>
        <w:rPr>
          <w:color w:val="231F20"/>
          <w:w w:val="115"/>
          <w:sz w:val="19"/>
        </w:rPr>
        <w:t>or</w:t>
      </w:r>
      <w:r>
        <w:rPr>
          <w:color w:val="231F20"/>
          <w:spacing w:val="-9"/>
          <w:w w:val="115"/>
          <w:sz w:val="19"/>
        </w:rPr>
        <w:t> </w:t>
      </w:r>
      <w:r>
        <w:rPr>
          <w:color w:val="231F20"/>
          <w:w w:val="115"/>
          <w:sz w:val="19"/>
        </w:rPr>
        <w:t>resistance</w:t>
      </w:r>
      <w:r>
        <w:rPr>
          <w:color w:val="231F20"/>
          <w:spacing w:val="-9"/>
          <w:w w:val="115"/>
          <w:sz w:val="19"/>
        </w:rPr>
        <w:t> </w:t>
      </w:r>
      <w:r>
        <w:rPr>
          <w:color w:val="231F20"/>
          <w:w w:val="115"/>
          <w:sz w:val="19"/>
        </w:rPr>
        <w:t>to authority figures</w:t>
      </w:r>
    </w:p>
    <w:p>
      <w:pPr>
        <w:pStyle w:val="BodyText"/>
        <w:rPr>
          <w:rFonts w:ascii="Arial"/>
          <w:sz w:val="20"/>
        </w:rPr>
      </w:pPr>
    </w:p>
    <w:p>
      <w:pPr>
        <w:pStyle w:val="BodyText"/>
        <w:spacing w:line="292" w:lineRule="auto"/>
        <w:ind w:left="830" w:right="756" w:firstLine="340"/>
        <w:jc w:val="both"/>
      </w:pPr>
      <w:r>
        <w:rPr>
          <w:color w:val="231F20"/>
        </w:rPr>
        <w:t>“The third step is to incorporate the first two steps and </w:t>
      </w:r>
      <w:r>
        <w:rPr>
          <w:color w:val="231F20"/>
        </w:rPr>
        <w:t>develop and maintain a relationship that:</w:t>
      </w:r>
    </w:p>
    <w:p>
      <w:pPr>
        <w:pStyle w:val="BodyText"/>
        <w:spacing w:before="1"/>
        <w:rPr>
          <w:sz w:val="23"/>
        </w:rPr>
      </w:pPr>
    </w:p>
    <w:p>
      <w:pPr>
        <w:pStyle w:val="ListParagraph"/>
        <w:numPr>
          <w:ilvl w:val="0"/>
          <w:numId w:val="24"/>
        </w:numPr>
        <w:tabs>
          <w:tab w:pos="1356" w:val="left" w:leader="none"/>
        </w:tabs>
        <w:spacing w:line="240" w:lineRule="auto" w:before="0" w:after="0"/>
        <w:ind w:left="1355" w:right="0" w:hanging="186"/>
        <w:jc w:val="left"/>
        <w:rPr>
          <w:sz w:val="19"/>
        </w:rPr>
      </w:pPr>
      <w:r>
        <w:rPr>
          <w:color w:val="231F20"/>
          <w:w w:val="115"/>
          <w:sz w:val="19"/>
        </w:rPr>
        <w:t>Fits</w:t>
      </w:r>
      <w:r>
        <w:rPr>
          <w:color w:val="231F20"/>
          <w:spacing w:val="-11"/>
          <w:w w:val="115"/>
          <w:sz w:val="19"/>
        </w:rPr>
        <w:t> </w:t>
      </w:r>
      <w:r>
        <w:rPr>
          <w:color w:val="231F20"/>
          <w:w w:val="115"/>
          <w:sz w:val="19"/>
        </w:rPr>
        <w:t>both</w:t>
      </w:r>
      <w:r>
        <w:rPr>
          <w:color w:val="231F20"/>
          <w:spacing w:val="-11"/>
          <w:w w:val="115"/>
          <w:sz w:val="19"/>
        </w:rPr>
        <w:t> </w:t>
      </w:r>
      <w:r>
        <w:rPr>
          <w:color w:val="231F20"/>
          <w:w w:val="115"/>
          <w:sz w:val="19"/>
        </w:rPr>
        <w:t>your</w:t>
      </w:r>
      <w:r>
        <w:rPr>
          <w:color w:val="231F20"/>
          <w:spacing w:val="-11"/>
          <w:w w:val="115"/>
          <w:sz w:val="19"/>
        </w:rPr>
        <w:t> </w:t>
      </w:r>
      <w:r>
        <w:rPr>
          <w:color w:val="231F20"/>
          <w:w w:val="115"/>
          <w:sz w:val="19"/>
        </w:rPr>
        <w:t>needs</w:t>
      </w:r>
      <w:r>
        <w:rPr>
          <w:color w:val="231F20"/>
          <w:spacing w:val="-10"/>
          <w:w w:val="115"/>
          <w:sz w:val="19"/>
        </w:rPr>
        <w:t> </w:t>
      </w:r>
      <w:r>
        <w:rPr>
          <w:color w:val="231F20"/>
          <w:w w:val="115"/>
          <w:sz w:val="19"/>
        </w:rPr>
        <w:t>and</w:t>
      </w:r>
      <w:r>
        <w:rPr>
          <w:color w:val="231F20"/>
          <w:spacing w:val="-11"/>
          <w:w w:val="115"/>
          <w:sz w:val="19"/>
        </w:rPr>
        <w:t> </w:t>
      </w:r>
      <w:r>
        <w:rPr>
          <w:color w:val="231F20"/>
          <w:spacing w:val="-2"/>
          <w:w w:val="115"/>
          <w:sz w:val="19"/>
        </w:rPr>
        <w:t>styles</w:t>
      </w:r>
    </w:p>
    <w:p>
      <w:pPr>
        <w:pStyle w:val="ListParagraph"/>
        <w:numPr>
          <w:ilvl w:val="0"/>
          <w:numId w:val="24"/>
        </w:numPr>
        <w:tabs>
          <w:tab w:pos="1356" w:val="left" w:leader="none"/>
        </w:tabs>
        <w:spacing w:line="240" w:lineRule="auto" w:before="82" w:after="0"/>
        <w:ind w:left="1355" w:right="0" w:hanging="186"/>
        <w:jc w:val="left"/>
        <w:rPr>
          <w:sz w:val="19"/>
        </w:rPr>
      </w:pPr>
      <w:r>
        <w:rPr>
          <w:color w:val="231F20"/>
          <w:spacing w:val="-2"/>
          <w:w w:val="115"/>
          <w:sz w:val="19"/>
        </w:rPr>
        <w:t>Is</w:t>
      </w:r>
      <w:r>
        <w:rPr>
          <w:color w:val="231F20"/>
          <w:spacing w:val="-7"/>
          <w:w w:val="115"/>
          <w:sz w:val="19"/>
        </w:rPr>
        <w:t> </w:t>
      </w:r>
      <w:r>
        <w:rPr>
          <w:color w:val="231F20"/>
          <w:spacing w:val="-2"/>
          <w:w w:val="115"/>
          <w:sz w:val="19"/>
        </w:rPr>
        <w:t>characterized</w:t>
      </w:r>
      <w:r>
        <w:rPr>
          <w:color w:val="231F20"/>
          <w:spacing w:val="-7"/>
          <w:w w:val="115"/>
          <w:sz w:val="19"/>
        </w:rPr>
        <w:t> </w:t>
      </w:r>
      <w:r>
        <w:rPr>
          <w:color w:val="231F20"/>
          <w:spacing w:val="-2"/>
          <w:w w:val="115"/>
          <w:sz w:val="19"/>
        </w:rPr>
        <w:t>by</w:t>
      </w:r>
      <w:r>
        <w:rPr>
          <w:color w:val="231F20"/>
          <w:spacing w:val="-6"/>
          <w:w w:val="115"/>
          <w:sz w:val="19"/>
        </w:rPr>
        <w:t> </w:t>
      </w:r>
      <w:r>
        <w:rPr>
          <w:color w:val="231F20"/>
          <w:spacing w:val="-2"/>
          <w:w w:val="115"/>
          <w:sz w:val="19"/>
        </w:rPr>
        <w:t>mutual</w:t>
      </w:r>
      <w:r>
        <w:rPr>
          <w:color w:val="231F20"/>
          <w:spacing w:val="-7"/>
          <w:w w:val="115"/>
          <w:sz w:val="19"/>
        </w:rPr>
        <w:t> </w:t>
      </w:r>
      <w:r>
        <w:rPr>
          <w:color w:val="231F20"/>
          <w:spacing w:val="-2"/>
          <w:w w:val="115"/>
          <w:sz w:val="19"/>
        </w:rPr>
        <w:t>expectations</w:t>
      </w:r>
    </w:p>
    <w:p>
      <w:pPr>
        <w:pStyle w:val="ListParagraph"/>
        <w:numPr>
          <w:ilvl w:val="0"/>
          <w:numId w:val="24"/>
        </w:numPr>
        <w:tabs>
          <w:tab w:pos="1356" w:val="left" w:leader="none"/>
        </w:tabs>
        <w:spacing w:line="240" w:lineRule="auto" w:before="81" w:after="0"/>
        <w:ind w:left="1355" w:right="0" w:hanging="186"/>
        <w:jc w:val="left"/>
        <w:rPr>
          <w:sz w:val="19"/>
        </w:rPr>
      </w:pPr>
      <w:r>
        <w:rPr>
          <w:color w:val="231F20"/>
          <w:w w:val="110"/>
          <w:sz w:val="19"/>
        </w:rPr>
        <w:t>Keeps</w:t>
      </w:r>
      <w:r>
        <w:rPr>
          <w:color w:val="231F20"/>
          <w:spacing w:val="-3"/>
          <w:w w:val="110"/>
          <w:sz w:val="19"/>
        </w:rPr>
        <w:t> </w:t>
      </w:r>
      <w:r>
        <w:rPr>
          <w:color w:val="231F20"/>
          <w:w w:val="110"/>
          <w:sz w:val="19"/>
        </w:rPr>
        <w:t>your</w:t>
      </w:r>
      <w:r>
        <w:rPr>
          <w:color w:val="231F20"/>
          <w:spacing w:val="-3"/>
          <w:w w:val="110"/>
          <w:sz w:val="19"/>
        </w:rPr>
        <w:t> </w:t>
      </w:r>
      <w:r>
        <w:rPr>
          <w:color w:val="231F20"/>
          <w:w w:val="110"/>
          <w:sz w:val="19"/>
        </w:rPr>
        <w:t>boss</w:t>
      </w:r>
      <w:r>
        <w:rPr>
          <w:color w:val="231F20"/>
          <w:spacing w:val="-2"/>
          <w:w w:val="110"/>
          <w:sz w:val="19"/>
        </w:rPr>
        <w:t> </w:t>
      </w:r>
      <w:r>
        <w:rPr>
          <w:color w:val="231F20"/>
          <w:w w:val="110"/>
          <w:sz w:val="19"/>
        </w:rPr>
        <w:t>informed—</w:t>
      </w:r>
      <w:r>
        <w:rPr>
          <w:color w:val="231F20"/>
          <w:spacing w:val="-38"/>
          <w:w w:val="110"/>
          <w:sz w:val="19"/>
        </w:rPr>
        <w:t> </w:t>
      </w:r>
      <w:r>
        <w:rPr>
          <w:color w:val="231F20"/>
          <w:w w:val="110"/>
          <w:sz w:val="19"/>
        </w:rPr>
        <w:t>bosses</w:t>
      </w:r>
      <w:r>
        <w:rPr>
          <w:color w:val="231F20"/>
          <w:spacing w:val="-3"/>
          <w:w w:val="110"/>
          <w:sz w:val="19"/>
        </w:rPr>
        <w:t> </w:t>
      </w:r>
      <w:r>
        <w:rPr>
          <w:color w:val="231F20"/>
          <w:w w:val="110"/>
          <w:sz w:val="19"/>
        </w:rPr>
        <w:t>hate</w:t>
      </w:r>
      <w:r>
        <w:rPr>
          <w:color w:val="231F20"/>
          <w:spacing w:val="-3"/>
          <w:w w:val="110"/>
          <w:sz w:val="19"/>
        </w:rPr>
        <w:t> </w:t>
      </w:r>
      <w:r>
        <w:rPr>
          <w:color w:val="231F20"/>
          <w:spacing w:val="-2"/>
          <w:w w:val="110"/>
          <w:sz w:val="19"/>
        </w:rPr>
        <w:t>surprises!</w:t>
      </w:r>
    </w:p>
    <w:p>
      <w:pPr>
        <w:spacing w:after="0" w:line="240" w:lineRule="auto"/>
        <w:jc w:val="left"/>
        <w:rPr>
          <w:sz w:val="19"/>
        </w:rPr>
        <w:sectPr>
          <w:pgSz w:w="8640" w:h="12960"/>
          <w:pgMar w:header="732" w:footer="0" w:top="920" w:bottom="280" w:left="340" w:right="500"/>
        </w:sectPr>
      </w:pPr>
    </w:p>
    <w:p>
      <w:pPr>
        <w:pStyle w:val="BodyText"/>
        <w:spacing w:before="6"/>
        <w:rPr>
          <w:rFonts w:ascii="Arial"/>
          <w:sz w:val="19"/>
        </w:rPr>
      </w:pPr>
    </w:p>
    <w:p>
      <w:pPr>
        <w:pStyle w:val="ListParagraph"/>
        <w:numPr>
          <w:ilvl w:val="1"/>
          <w:numId w:val="24"/>
        </w:numPr>
        <w:tabs>
          <w:tab w:pos="1446" w:val="left" w:leader="none"/>
        </w:tabs>
        <w:spacing w:line="240" w:lineRule="auto" w:before="97" w:after="0"/>
        <w:ind w:left="1445" w:right="0" w:hanging="186"/>
        <w:jc w:val="left"/>
        <w:rPr>
          <w:sz w:val="19"/>
        </w:rPr>
      </w:pPr>
      <w:r>
        <w:rPr>
          <w:color w:val="231F20"/>
          <w:w w:val="115"/>
          <w:sz w:val="19"/>
        </w:rPr>
        <w:t>Is</w:t>
      </w:r>
      <w:r>
        <w:rPr>
          <w:color w:val="231F20"/>
          <w:spacing w:val="-14"/>
          <w:w w:val="115"/>
          <w:sz w:val="19"/>
        </w:rPr>
        <w:t> </w:t>
      </w:r>
      <w:r>
        <w:rPr>
          <w:color w:val="231F20"/>
          <w:w w:val="115"/>
          <w:sz w:val="19"/>
        </w:rPr>
        <w:t>based</w:t>
      </w:r>
      <w:r>
        <w:rPr>
          <w:color w:val="231F20"/>
          <w:spacing w:val="-13"/>
          <w:w w:val="115"/>
          <w:sz w:val="19"/>
        </w:rPr>
        <w:t> </w:t>
      </w:r>
      <w:r>
        <w:rPr>
          <w:color w:val="231F20"/>
          <w:w w:val="115"/>
          <w:sz w:val="19"/>
        </w:rPr>
        <w:t>on</w:t>
      </w:r>
      <w:r>
        <w:rPr>
          <w:color w:val="231F20"/>
          <w:spacing w:val="-14"/>
          <w:w w:val="115"/>
          <w:sz w:val="19"/>
        </w:rPr>
        <w:t> </w:t>
      </w:r>
      <w:r>
        <w:rPr>
          <w:color w:val="231F20"/>
          <w:w w:val="115"/>
          <w:sz w:val="19"/>
        </w:rPr>
        <w:t>dependability</w:t>
      </w:r>
      <w:r>
        <w:rPr>
          <w:color w:val="231F20"/>
          <w:spacing w:val="-13"/>
          <w:w w:val="115"/>
          <w:sz w:val="19"/>
        </w:rPr>
        <w:t> </w:t>
      </w:r>
      <w:r>
        <w:rPr>
          <w:color w:val="231F20"/>
          <w:w w:val="115"/>
          <w:sz w:val="19"/>
        </w:rPr>
        <w:t>and</w:t>
      </w:r>
      <w:r>
        <w:rPr>
          <w:color w:val="231F20"/>
          <w:spacing w:val="-13"/>
          <w:w w:val="115"/>
          <w:sz w:val="19"/>
        </w:rPr>
        <w:t> </w:t>
      </w:r>
      <w:r>
        <w:rPr>
          <w:color w:val="231F20"/>
          <w:spacing w:val="-2"/>
          <w:w w:val="115"/>
          <w:sz w:val="19"/>
        </w:rPr>
        <w:t>honesty</w:t>
      </w:r>
    </w:p>
    <w:p>
      <w:pPr>
        <w:pStyle w:val="ListParagraph"/>
        <w:numPr>
          <w:ilvl w:val="1"/>
          <w:numId w:val="24"/>
        </w:numPr>
        <w:tabs>
          <w:tab w:pos="1446" w:val="left" w:leader="none"/>
        </w:tabs>
        <w:spacing w:line="240" w:lineRule="auto" w:before="82" w:after="0"/>
        <w:ind w:left="1445" w:right="0" w:hanging="186"/>
        <w:jc w:val="left"/>
        <w:rPr>
          <w:sz w:val="19"/>
        </w:rPr>
      </w:pPr>
      <w:r>
        <w:rPr>
          <w:color w:val="231F20"/>
          <w:w w:val="110"/>
          <w:sz w:val="19"/>
        </w:rPr>
        <w:t>Selectively</w:t>
      </w:r>
      <w:r>
        <w:rPr>
          <w:color w:val="231F20"/>
          <w:spacing w:val="1"/>
          <w:w w:val="110"/>
          <w:sz w:val="19"/>
        </w:rPr>
        <w:t> </w:t>
      </w:r>
      <w:r>
        <w:rPr>
          <w:color w:val="231F20"/>
          <w:w w:val="110"/>
          <w:sz w:val="19"/>
        </w:rPr>
        <w:t>uses</w:t>
      </w:r>
      <w:r>
        <w:rPr>
          <w:color w:val="231F20"/>
          <w:spacing w:val="2"/>
          <w:w w:val="110"/>
          <w:sz w:val="19"/>
        </w:rPr>
        <w:t> </w:t>
      </w:r>
      <w:r>
        <w:rPr>
          <w:color w:val="231F20"/>
          <w:w w:val="110"/>
          <w:sz w:val="19"/>
        </w:rPr>
        <w:t>your</w:t>
      </w:r>
      <w:r>
        <w:rPr>
          <w:color w:val="231F20"/>
          <w:spacing w:val="2"/>
          <w:w w:val="110"/>
          <w:sz w:val="19"/>
        </w:rPr>
        <w:t> </w:t>
      </w:r>
      <w:r>
        <w:rPr>
          <w:color w:val="231F20"/>
          <w:w w:val="110"/>
          <w:sz w:val="19"/>
        </w:rPr>
        <w:t>boss’s</w:t>
      </w:r>
      <w:r>
        <w:rPr>
          <w:color w:val="231F20"/>
          <w:spacing w:val="2"/>
          <w:w w:val="110"/>
          <w:sz w:val="19"/>
        </w:rPr>
        <w:t> </w:t>
      </w:r>
      <w:r>
        <w:rPr>
          <w:color w:val="231F20"/>
          <w:w w:val="110"/>
          <w:sz w:val="19"/>
        </w:rPr>
        <w:t>time</w:t>
      </w:r>
      <w:r>
        <w:rPr>
          <w:color w:val="231F20"/>
          <w:spacing w:val="2"/>
          <w:w w:val="110"/>
          <w:sz w:val="19"/>
        </w:rPr>
        <w:t> </w:t>
      </w:r>
      <w:r>
        <w:rPr>
          <w:color w:val="231F20"/>
          <w:w w:val="110"/>
          <w:sz w:val="19"/>
        </w:rPr>
        <w:t>and</w:t>
      </w:r>
      <w:r>
        <w:rPr>
          <w:color w:val="231F20"/>
          <w:spacing w:val="2"/>
          <w:w w:val="110"/>
          <w:sz w:val="19"/>
        </w:rPr>
        <w:t> </w:t>
      </w:r>
      <w:r>
        <w:rPr>
          <w:color w:val="231F20"/>
          <w:spacing w:val="-2"/>
          <w:w w:val="110"/>
          <w:sz w:val="19"/>
        </w:rPr>
        <w:t>resources”*</w:t>
      </w:r>
    </w:p>
    <w:p>
      <w:pPr>
        <w:pStyle w:val="BodyText"/>
        <w:spacing w:before="11"/>
        <w:rPr>
          <w:rFonts w:ascii="Arial"/>
          <w:sz w:val="26"/>
        </w:rPr>
      </w:pPr>
    </w:p>
    <w:p>
      <w:pPr>
        <w:pStyle w:val="BodyText"/>
        <w:spacing w:line="292" w:lineRule="auto"/>
        <w:ind w:left="920" w:right="666" w:firstLine="340"/>
        <w:jc w:val="both"/>
      </w:pPr>
      <w:r>
        <w:rPr>
          <w:color w:val="231F20"/>
        </w:rPr>
        <w:t>Simply by asking a few questions at the start of the relationship, you can avoid making major political blunders in the future. </w:t>
      </w:r>
      <w:r>
        <w:rPr>
          <w:color w:val="231F20"/>
        </w:rPr>
        <w:t>Some bosses like a formal relationship, memos, and meetings with agenda. Others prefer informal notes and frequent unstructured meetings. Smart MBAs take the initiative to ask their bosses how they would prefer to communicate rather than guess. Careers often hang in the balance. I still keep Gabarro and Kotter’s article at my desk as a re- minder to manage my boss.</w:t>
      </w:r>
    </w:p>
    <w:p>
      <w:pPr>
        <w:pStyle w:val="BodyText"/>
        <w:spacing w:before="1"/>
      </w:pPr>
    </w:p>
    <w:p>
      <w:pPr>
        <w:spacing w:line="292" w:lineRule="auto" w:before="0"/>
        <w:ind w:left="920" w:right="666" w:firstLine="0"/>
        <w:jc w:val="both"/>
        <w:rPr>
          <w:sz w:val="21"/>
        </w:rPr>
      </w:pPr>
      <w:r>
        <w:rPr>
          <w:i/>
          <w:color w:val="231F20"/>
          <w:w w:val="105"/>
          <w:sz w:val="21"/>
        </w:rPr>
        <w:t>Understanding</w:t>
      </w:r>
      <w:r>
        <w:rPr>
          <w:i/>
          <w:color w:val="231F20"/>
          <w:w w:val="105"/>
          <w:sz w:val="21"/>
        </w:rPr>
        <w:t> Power</w:t>
      </w:r>
      <w:r>
        <w:rPr>
          <w:i/>
          <w:color w:val="231F20"/>
          <w:w w:val="105"/>
          <w:sz w:val="21"/>
        </w:rPr>
        <w:t> on</w:t>
      </w:r>
      <w:r>
        <w:rPr>
          <w:i/>
          <w:color w:val="231F20"/>
          <w:w w:val="105"/>
          <w:sz w:val="21"/>
        </w:rPr>
        <w:t> the</w:t>
      </w:r>
      <w:r>
        <w:rPr>
          <w:i/>
          <w:color w:val="231F20"/>
          <w:w w:val="105"/>
          <w:sz w:val="21"/>
        </w:rPr>
        <w:t> Job.</w:t>
      </w:r>
      <w:r>
        <w:rPr>
          <w:i/>
          <w:color w:val="231F20"/>
          <w:w w:val="105"/>
          <w:sz w:val="21"/>
        </w:rPr>
        <w:t> </w:t>
      </w:r>
      <w:r>
        <w:rPr>
          <w:color w:val="231F20"/>
          <w:w w:val="105"/>
          <w:sz w:val="21"/>
        </w:rPr>
        <w:t>If</w:t>
      </w:r>
      <w:r>
        <w:rPr>
          <w:color w:val="231F20"/>
          <w:w w:val="105"/>
          <w:sz w:val="21"/>
        </w:rPr>
        <w:t> MBAs</w:t>
      </w:r>
      <w:r>
        <w:rPr>
          <w:color w:val="231F20"/>
          <w:w w:val="105"/>
          <w:sz w:val="21"/>
        </w:rPr>
        <w:t> want</w:t>
      </w:r>
      <w:r>
        <w:rPr>
          <w:color w:val="231F20"/>
          <w:w w:val="105"/>
          <w:sz w:val="21"/>
        </w:rPr>
        <w:t> power,</w:t>
      </w:r>
      <w:r>
        <w:rPr>
          <w:color w:val="231F20"/>
          <w:w w:val="105"/>
          <w:sz w:val="21"/>
        </w:rPr>
        <w:t> then</w:t>
      </w:r>
      <w:r>
        <w:rPr>
          <w:color w:val="231F20"/>
          <w:w w:val="105"/>
          <w:sz w:val="21"/>
        </w:rPr>
        <w:t> </w:t>
      </w:r>
      <w:r>
        <w:rPr>
          <w:color w:val="231F20"/>
          <w:w w:val="105"/>
          <w:sz w:val="21"/>
        </w:rPr>
        <w:t>they ought</w:t>
      </w:r>
      <w:r>
        <w:rPr>
          <w:color w:val="231F20"/>
          <w:w w:val="105"/>
          <w:sz w:val="21"/>
        </w:rPr>
        <w:t> to</w:t>
      </w:r>
      <w:r>
        <w:rPr>
          <w:color w:val="231F20"/>
          <w:w w:val="105"/>
          <w:sz w:val="21"/>
        </w:rPr>
        <w:t> know</w:t>
      </w:r>
      <w:r>
        <w:rPr>
          <w:color w:val="231F20"/>
          <w:w w:val="105"/>
          <w:sz w:val="21"/>
        </w:rPr>
        <w:t> more</w:t>
      </w:r>
      <w:r>
        <w:rPr>
          <w:color w:val="231F20"/>
          <w:w w:val="105"/>
          <w:sz w:val="21"/>
        </w:rPr>
        <w:t> about</w:t>
      </w:r>
      <w:r>
        <w:rPr>
          <w:color w:val="231F20"/>
          <w:w w:val="105"/>
          <w:sz w:val="21"/>
        </w:rPr>
        <w:t> what</w:t>
      </w:r>
      <w:r>
        <w:rPr>
          <w:color w:val="231F20"/>
          <w:w w:val="105"/>
          <w:sz w:val="21"/>
        </w:rPr>
        <w:t> they</w:t>
      </w:r>
      <w:r>
        <w:rPr>
          <w:color w:val="231F20"/>
          <w:w w:val="105"/>
          <w:sz w:val="21"/>
        </w:rPr>
        <w:t> seek.</w:t>
      </w:r>
      <w:r>
        <w:rPr>
          <w:color w:val="231F20"/>
          <w:w w:val="105"/>
          <w:sz w:val="21"/>
        </w:rPr>
        <w:t> There</w:t>
      </w:r>
      <w:r>
        <w:rPr>
          <w:color w:val="231F20"/>
          <w:w w:val="105"/>
          <w:sz w:val="21"/>
        </w:rPr>
        <w:t> are</w:t>
      </w:r>
      <w:r>
        <w:rPr>
          <w:color w:val="231F20"/>
          <w:w w:val="105"/>
          <w:sz w:val="21"/>
        </w:rPr>
        <w:t> actually</w:t>
      </w:r>
      <w:r>
        <w:rPr>
          <w:color w:val="231F20"/>
          <w:w w:val="105"/>
          <w:sz w:val="21"/>
        </w:rPr>
        <w:t> five types of power:</w:t>
      </w:r>
    </w:p>
    <w:p>
      <w:pPr>
        <w:pStyle w:val="BodyText"/>
        <w:spacing w:before="3"/>
        <w:rPr>
          <w:sz w:val="27"/>
        </w:rPr>
      </w:pPr>
    </w:p>
    <w:p>
      <w:pPr>
        <w:spacing w:line="328" w:lineRule="auto" w:before="1"/>
        <w:ind w:left="1260" w:right="5299" w:firstLine="0"/>
        <w:jc w:val="left"/>
        <w:rPr>
          <w:rFonts w:ascii="Arial"/>
          <w:sz w:val="19"/>
        </w:rPr>
      </w:pPr>
      <w:r>
        <w:rPr>
          <w:rFonts w:ascii="Arial"/>
          <w:color w:val="231F20"/>
          <w:spacing w:val="-2"/>
          <w:w w:val="115"/>
          <w:sz w:val="19"/>
        </w:rPr>
        <w:t>Coercive Reward Referent Legitimate Expert</w:t>
      </w:r>
    </w:p>
    <w:p>
      <w:pPr>
        <w:pStyle w:val="BodyText"/>
        <w:spacing w:before="4"/>
        <w:rPr>
          <w:rFonts w:ascii="Arial"/>
          <w:sz w:val="25"/>
        </w:rPr>
      </w:pPr>
    </w:p>
    <w:p>
      <w:pPr>
        <w:pStyle w:val="BodyText"/>
        <w:spacing w:line="292" w:lineRule="auto"/>
        <w:ind w:left="920" w:right="663" w:firstLine="340"/>
        <w:jc w:val="both"/>
      </w:pPr>
      <w:r>
        <w:rPr>
          <w:i/>
          <w:color w:val="231F20"/>
        </w:rPr>
        <w:t>Coercive power </w:t>
      </w:r>
      <w:r>
        <w:rPr>
          <w:color w:val="231F20"/>
        </w:rPr>
        <w:t>is based on fear. Failure to comply with a re-</w:t>
      </w:r>
      <w:r>
        <w:rPr>
          <w:color w:val="231F20"/>
          <w:spacing w:val="40"/>
        </w:rPr>
        <w:t> </w:t>
      </w:r>
      <w:r>
        <w:rPr>
          <w:color w:val="231F20"/>
        </w:rPr>
        <w:t>quest could result in some form of punishment. A person with coer- cive power can influence or directly fire, demote, or transfer an employee. At a firehouse, the chief has the power to assign shifts. If you get on the chief’s bad side, it could mean you work holidays.</w:t>
      </w:r>
    </w:p>
    <w:p>
      <w:pPr>
        <w:pStyle w:val="BodyText"/>
        <w:spacing w:line="292" w:lineRule="auto"/>
        <w:ind w:left="919" w:right="666" w:firstLine="340"/>
        <w:jc w:val="both"/>
      </w:pPr>
      <w:r>
        <w:rPr>
          <w:i/>
          <w:color w:val="231F20"/>
        </w:rPr>
        <w:t>Reward power </w:t>
      </w:r>
      <w:r>
        <w:rPr>
          <w:color w:val="231F20"/>
        </w:rPr>
        <w:t>is based upon the expectation of receiving </w:t>
      </w:r>
      <w:r>
        <w:rPr>
          <w:color w:val="231F20"/>
        </w:rPr>
        <w:t>praise, recognition, or income. It’s the opposite of coercive power.</w:t>
      </w:r>
    </w:p>
    <w:p>
      <w:pPr>
        <w:pStyle w:val="BodyText"/>
        <w:spacing w:line="292" w:lineRule="auto"/>
        <w:ind w:left="919" w:right="666" w:firstLine="340"/>
        <w:jc w:val="both"/>
      </w:pPr>
      <w:r>
        <w:rPr>
          <w:i/>
          <w:color w:val="231F20"/>
        </w:rPr>
        <w:t>Referent power </w:t>
      </w:r>
      <w:r>
        <w:rPr>
          <w:color w:val="231F20"/>
        </w:rPr>
        <w:t>is derived from being a person whom other </w:t>
      </w:r>
      <w:r>
        <w:rPr>
          <w:color w:val="231F20"/>
        </w:rPr>
        <w:t>peo- ple</w:t>
      </w:r>
      <w:r>
        <w:rPr>
          <w:color w:val="231F20"/>
          <w:spacing w:val="17"/>
        </w:rPr>
        <w:t> </w:t>
      </w:r>
      <w:r>
        <w:rPr>
          <w:color w:val="231F20"/>
        </w:rPr>
        <w:t>admire</w:t>
      </w:r>
      <w:r>
        <w:rPr>
          <w:color w:val="231F20"/>
          <w:spacing w:val="18"/>
        </w:rPr>
        <w:t> </w:t>
      </w:r>
      <w:r>
        <w:rPr>
          <w:color w:val="231F20"/>
        </w:rPr>
        <w:t>regardless</w:t>
      </w:r>
      <w:r>
        <w:rPr>
          <w:color w:val="231F20"/>
          <w:spacing w:val="17"/>
        </w:rPr>
        <w:t> </w:t>
      </w:r>
      <w:r>
        <w:rPr>
          <w:color w:val="231F20"/>
        </w:rPr>
        <w:t>of</w:t>
      </w:r>
      <w:r>
        <w:rPr>
          <w:color w:val="231F20"/>
          <w:spacing w:val="18"/>
        </w:rPr>
        <w:t> </w:t>
      </w:r>
      <w:r>
        <w:rPr>
          <w:color w:val="231F20"/>
        </w:rPr>
        <w:t>formal</w:t>
      </w:r>
      <w:r>
        <w:rPr>
          <w:color w:val="231F20"/>
          <w:spacing w:val="18"/>
        </w:rPr>
        <w:t> </w:t>
      </w:r>
      <w:r>
        <w:rPr>
          <w:color w:val="231F20"/>
        </w:rPr>
        <w:t>job</w:t>
      </w:r>
      <w:r>
        <w:rPr>
          <w:color w:val="231F20"/>
          <w:spacing w:val="17"/>
        </w:rPr>
        <w:t> </w:t>
      </w:r>
      <w:r>
        <w:rPr>
          <w:color w:val="231F20"/>
        </w:rPr>
        <w:t>status.</w:t>
      </w:r>
      <w:r>
        <w:rPr>
          <w:color w:val="231F20"/>
          <w:spacing w:val="18"/>
        </w:rPr>
        <w:t> </w:t>
      </w:r>
      <w:r>
        <w:rPr>
          <w:color w:val="231F20"/>
        </w:rPr>
        <w:t>These</w:t>
      </w:r>
      <w:r>
        <w:rPr>
          <w:color w:val="231F20"/>
          <w:spacing w:val="18"/>
        </w:rPr>
        <w:t> </w:t>
      </w:r>
      <w:r>
        <w:rPr>
          <w:color w:val="231F20"/>
        </w:rPr>
        <w:t>people</w:t>
      </w:r>
      <w:r>
        <w:rPr>
          <w:color w:val="231F20"/>
          <w:spacing w:val="17"/>
        </w:rPr>
        <w:t> </w:t>
      </w:r>
      <w:r>
        <w:rPr>
          <w:color w:val="231F20"/>
        </w:rPr>
        <w:t>are</w:t>
      </w:r>
      <w:r>
        <w:rPr>
          <w:color w:val="231F20"/>
          <w:spacing w:val="18"/>
        </w:rPr>
        <w:t> </w:t>
      </w:r>
      <w:r>
        <w:rPr>
          <w:color w:val="231F20"/>
        </w:rPr>
        <w:t>said</w:t>
      </w:r>
      <w:r>
        <w:rPr>
          <w:color w:val="231F20"/>
          <w:spacing w:val="18"/>
        </w:rPr>
        <w:t> </w:t>
      </w:r>
      <w:r>
        <w:rPr>
          <w:color w:val="231F20"/>
          <w:spacing w:val="-5"/>
        </w:rPr>
        <w:t>to</w:t>
      </w:r>
    </w:p>
    <w:p>
      <w:pPr>
        <w:pStyle w:val="BodyText"/>
        <w:rPr>
          <w:sz w:val="24"/>
        </w:rPr>
      </w:pPr>
    </w:p>
    <w:p>
      <w:pPr>
        <w:pStyle w:val="BodyText"/>
        <w:spacing w:before="4"/>
        <w:rPr>
          <w:sz w:val="26"/>
        </w:rPr>
      </w:pPr>
    </w:p>
    <w:p>
      <w:pPr>
        <w:pStyle w:val="ListParagraph"/>
        <w:numPr>
          <w:ilvl w:val="0"/>
          <w:numId w:val="28"/>
        </w:numPr>
        <w:tabs>
          <w:tab w:pos="1078" w:val="left" w:leader="none"/>
        </w:tabs>
        <w:spacing w:line="259" w:lineRule="auto" w:before="0" w:after="0"/>
        <w:ind w:left="919" w:right="667" w:firstLine="0"/>
        <w:jc w:val="both"/>
        <w:rPr>
          <w:rFonts w:ascii="Cambria" w:hAnsi="Cambria"/>
          <w:sz w:val="19"/>
        </w:rPr>
      </w:pPr>
      <w:r>
        <w:rPr>
          <w:rFonts w:ascii="Cambria" w:hAnsi="Cambria"/>
          <w:color w:val="231F20"/>
          <w:w w:val="105"/>
          <w:sz w:val="19"/>
        </w:rPr>
        <w:t>Reprinted by permission of </w:t>
      </w:r>
      <w:r>
        <w:rPr>
          <w:rFonts w:ascii="Cambria" w:hAnsi="Cambria"/>
          <w:i/>
          <w:color w:val="231F20"/>
          <w:w w:val="105"/>
          <w:sz w:val="19"/>
        </w:rPr>
        <w:t>Harvard Business Review, </w:t>
      </w:r>
      <w:r>
        <w:rPr>
          <w:rFonts w:ascii="Cambria" w:hAnsi="Cambria"/>
          <w:color w:val="231F20"/>
          <w:w w:val="105"/>
          <w:sz w:val="19"/>
        </w:rPr>
        <w:t>“Managing </w:t>
      </w:r>
      <w:r>
        <w:rPr>
          <w:rFonts w:ascii="Cambria" w:hAnsi="Cambria"/>
          <w:color w:val="231F20"/>
          <w:w w:val="105"/>
          <w:sz w:val="19"/>
        </w:rPr>
        <w:t>Your</w:t>
      </w:r>
      <w:r>
        <w:rPr>
          <w:rFonts w:ascii="Cambria" w:hAnsi="Cambria"/>
          <w:color w:val="231F20"/>
          <w:w w:val="105"/>
          <w:sz w:val="19"/>
        </w:rPr>
        <w:t> Boss”</w:t>
      </w:r>
      <w:r>
        <w:rPr>
          <w:rFonts w:ascii="Cambria" w:hAnsi="Cambria"/>
          <w:color w:val="231F20"/>
          <w:w w:val="105"/>
          <w:sz w:val="19"/>
        </w:rPr>
        <w:t> by</w:t>
      </w:r>
      <w:r>
        <w:rPr>
          <w:rFonts w:ascii="Cambria" w:hAnsi="Cambria"/>
          <w:color w:val="231F20"/>
          <w:w w:val="105"/>
          <w:sz w:val="19"/>
        </w:rPr>
        <w:t> John</w:t>
      </w:r>
      <w:r>
        <w:rPr>
          <w:rFonts w:ascii="Cambria" w:hAnsi="Cambria"/>
          <w:color w:val="231F20"/>
          <w:w w:val="105"/>
          <w:sz w:val="19"/>
        </w:rPr>
        <w:t> J.</w:t>
      </w:r>
      <w:r>
        <w:rPr>
          <w:rFonts w:ascii="Cambria" w:hAnsi="Cambria"/>
          <w:color w:val="231F20"/>
          <w:w w:val="105"/>
          <w:sz w:val="19"/>
        </w:rPr>
        <w:t> Gabarro</w:t>
      </w:r>
      <w:r>
        <w:rPr>
          <w:rFonts w:ascii="Cambria" w:hAnsi="Cambria"/>
          <w:color w:val="231F20"/>
          <w:w w:val="105"/>
          <w:sz w:val="19"/>
        </w:rPr>
        <w:t> and</w:t>
      </w:r>
      <w:r>
        <w:rPr>
          <w:rFonts w:ascii="Cambria" w:hAnsi="Cambria"/>
          <w:color w:val="231F20"/>
          <w:w w:val="105"/>
          <w:sz w:val="19"/>
        </w:rPr>
        <w:t> John</w:t>
      </w:r>
      <w:r>
        <w:rPr>
          <w:rFonts w:ascii="Cambria" w:hAnsi="Cambria"/>
          <w:color w:val="231F20"/>
          <w:w w:val="105"/>
          <w:sz w:val="19"/>
        </w:rPr>
        <w:t> P.</w:t>
      </w:r>
      <w:r>
        <w:rPr>
          <w:rFonts w:ascii="Cambria" w:hAnsi="Cambria"/>
          <w:color w:val="231F20"/>
          <w:w w:val="105"/>
          <w:sz w:val="19"/>
        </w:rPr>
        <w:t> Kotter</w:t>
      </w:r>
      <w:r>
        <w:rPr>
          <w:rFonts w:ascii="Cambria" w:hAnsi="Cambria"/>
          <w:color w:val="231F20"/>
          <w:w w:val="105"/>
          <w:sz w:val="19"/>
        </w:rPr>
        <w:t> (January/February</w:t>
      </w:r>
      <w:r>
        <w:rPr>
          <w:rFonts w:ascii="Cambria" w:hAnsi="Cambria"/>
          <w:color w:val="231F20"/>
          <w:w w:val="105"/>
          <w:sz w:val="19"/>
        </w:rPr>
        <w:t> 1980). Copyright</w:t>
      </w:r>
      <w:r>
        <w:rPr>
          <w:rFonts w:ascii="Cambria" w:hAnsi="Cambria"/>
          <w:color w:val="231F20"/>
          <w:w w:val="105"/>
          <w:sz w:val="19"/>
        </w:rPr>
        <w:t> ©</w:t>
      </w:r>
      <w:r>
        <w:rPr>
          <w:rFonts w:ascii="Cambria" w:hAnsi="Cambria"/>
          <w:color w:val="231F20"/>
          <w:w w:val="105"/>
          <w:sz w:val="19"/>
        </w:rPr>
        <w:t> 1979</w:t>
      </w:r>
      <w:r>
        <w:rPr>
          <w:rFonts w:ascii="Cambria" w:hAnsi="Cambria"/>
          <w:color w:val="231F20"/>
          <w:w w:val="105"/>
          <w:sz w:val="19"/>
        </w:rPr>
        <w:t> by</w:t>
      </w:r>
      <w:r>
        <w:rPr>
          <w:rFonts w:ascii="Cambria" w:hAnsi="Cambria"/>
          <w:color w:val="231F20"/>
          <w:w w:val="105"/>
          <w:sz w:val="19"/>
        </w:rPr>
        <w:t> the</w:t>
      </w:r>
      <w:r>
        <w:rPr>
          <w:rFonts w:ascii="Cambria" w:hAnsi="Cambria"/>
          <w:color w:val="231F20"/>
          <w:w w:val="105"/>
          <w:sz w:val="19"/>
        </w:rPr>
        <w:t> President</w:t>
      </w:r>
      <w:r>
        <w:rPr>
          <w:rFonts w:ascii="Cambria" w:hAnsi="Cambria"/>
          <w:color w:val="231F20"/>
          <w:w w:val="105"/>
          <w:sz w:val="19"/>
        </w:rPr>
        <w:t> and</w:t>
      </w:r>
      <w:r>
        <w:rPr>
          <w:rFonts w:ascii="Cambria" w:hAnsi="Cambria"/>
          <w:color w:val="231F20"/>
          <w:w w:val="105"/>
          <w:sz w:val="19"/>
        </w:rPr>
        <w:t> Fellows</w:t>
      </w:r>
      <w:r>
        <w:rPr>
          <w:rFonts w:ascii="Cambria" w:hAnsi="Cambria"/>
          <w:color w:val="231F20"/>
          <w:w w:val="105"/>
          <w:sz w:val="19"/>
        </w:rPr>
        <w:t> of</w:t>
      </w:r>
      <w:r>
        <w:rPr>
          <w:rFonts w:ascii="Cambria" w:hAnsi="Cambria"/>
          <w:color w:val="231F20"/>
          <w:w w:val="105"/>
          <w:sz w:val="19"/>
        </w:rPr>
        <w:t> Harvard</w:t>
      </w:r>
      <w:r>
        <w:rPr>
          <w:rFonts w:ascii="Cambria" w:hAnsi="Cambria"/>
          <w:color w:val="231F20"/>
          <w:w w:val="105"/>
          <w:sz w:val="19"/>
        </w:rPr>
        <w:t> College;</w:t>
      </w:r>
      <w:r>
        <w:rPr>
          <w:rFonts w:ascii="Cambria" w:hAnsi="Cambria"/>
          <w:color w:val="231F20"/>
          <w:w w:val="105"/>
          <w:sz w:val="19"/>
        </w:rPr>
        <w:t> all rights reserved.</w:t>
      </w:r>
    </w:p>
    <w:p>
      <w:pPr>
        <w:spacing w:after="0" w:line="259" w:lineRule="auto"/>
        <w:jc w:val="both"/>
        <w:rPr>
          <w:rFonts w:ascii="Cambria" w:hAnsi="Cambria"/>
          <w:sz w:val="19"/>
        </w:rPr>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7"/>
        <w:jc w:val="both"/>
      </w:pPr>
      <w:r>
        <w:rPr>
          <w:color w:val="231F20"/>
        </w:rPr>
        <w:t>have charisma to inspire and to attract followers. Star salespeople have this role in sales organizations.</w:t>
      </w:r>
    </w:p>
    <w:p>
      <w:pPr>
        <w:pStyle w:val="BodyText"/>
        <w:spacing w:line="292" w:lineRule="auto"/>
        <w:ind w:left="830" w:right="752" w:firstLine="339"/>
        <w:jc w:val="both"/>
      </w:pPr>
      <w:r>
        <w:rPr>
          <w:i/>
          <w:color w:val="231F20"/>
          <w:w w:val="105"/>
        </w:rPr>
        <w:t>Legitimate power </w:t>
      </w:r>
      <w:r>
        <w:rPr>
          <w:color w:val="231F20"/>
          <w:w w:val="105"/>
        </w:rPr>
        <w:t>is due to the formal status held in the orga- nizational</w:t>
      </w:r>
      <w:r>
        <w:rPr>
          <w:color w:val="231F20"/>
          <w:w w:val="105"/>
        </w:rPr>
        <w:t> hierarchy.</w:t>
      </w:r>
      <w:r>
        <w:rPr>
          <w:color w:val="231F20"/>
          <w:w w:val="105"/>
        </w:rPr>
        <w:t> Those</w:t>
      </w:r>
      <w:r>
        <w:rPr>
          <w:color w:val="231F20"/>
          <w:w w:val="105"/>
        </w:rPr>
        <w:t> with</w:t>
      </w:r>
      <w:r>
        <w:rPr>
          <w:color w:val="231F20"/>
          <w:w w:val="105"/>
        </w:rPr>
        <w:t> this</w:t>
      </w:r>
      <w:r>
        <w:rPr>
          <w:color w:val="231F20"/>
          <w:w w:val="105"/>
        </w:rPr>
        <w:t> type</w:t>
      </w:r>
      <w:r>
        <w:rPr>
          <w:color w:val="231F20"/>
          <w:w w:val="105"/>
        </w:rPr>
        <w:t> of</w:t>
      </w:r>
      <w:r>
        <w:rPr>
          <w:color w:val="231F20"/>
          <w:w w:val="105"/>
        </w:rPr>
        <w:t> power</w:t>
      </w:r>
      <w:r>
        <w:rPr>
          <w:color w:val="231F20"/>
          <w:w w:val="105"/>
        </w:rPr>
        <w:t> can</w:t>
      </w:r>
      <w:r>
        <w:rPr>
          <w:color w:val="231F20"/>
          <w:w w:val="105"/>
        </w:rPr>
        <w:t> use</w:t>
      </w:r>
      <w:r>
        <w:rPr>
          <w:color w:val="231F20"/>
          <w:w w:val="105"/>
        </w:rPr>
        <w:t> it</w:t>
      </w:r>
      <w:r>
        <w:rPr>
          <w:color w:val="231F20"/>
          <w:w w:val="105"/>
        </w:rPr>
        <w:t> to reward,</w:t>
      </w:r>
      <w:r>
        <w:rPr>
          <w:color w:val="231F20"/>
          <w:w w:val="105"/>
        </w:rPr>
        <w:t> to</w:t>
      </w:r>
      <w:r>
        <w:rPr>
          <w:color w:val="231F20"/>
          <w:w w:val="105"/>
        </w:rPr>
        <w:t> ax,</w:t>
      </w:r>
      <w:r>
        <w:rPr>
          <w:color w:val="231F20"/>
          <w:w w:val="105"/>
        </w:rPr>
        <w:t> and</w:t>
      </w:r>
      <w:r>
        <w:rPr>
          <w:color w:val="231F20"/>
          <w:w w:val="105"/>
        </w:rPr>
        <w:t> to</w:t>
      </w:r>
      <w:r>
        <w:rPr>
          <w:color w:val="231F20"/>
          <w:w w:val="105"/>
        </w:rPr>
        <w:t> influence</w:t>
      </w:r>
      <w:r>
        <w:rPr>
          <w:color w:val="231F20"/>
          <w:w w:val="105"/>
        </w:rPr>
        <w:t> the</w:t>
      </w:r>
      <w:r>
        <w:rPr>
          <w:color w:val="231F20"/>
          <w:w w:val="105"/>
        </w:rPr>
        <w:t> lives</w:t>
      </w:r>
      <w:r>
        <w:rPr>
          <w:color w:val="231F20"/>
          <w:w w:val="105"/>
        </w:rPr>
        <w:t> of</w:t>
      </w:r>
      <w:r>
        <w:rPr>
          <w:color w:val="231F20"/>
          <w:w w:val="105"/>
        </w:rPr>
        <w:t> others</w:t>
      </w:r>
      <w:r>
        <w:rPr>
          <w:color w:val="231F20"/>
          <w:w w:val="105"/>
        </w:rPr>
        <w:t> in</w:t>
      </w:r>
      <w:r>
        <w:rPr>
          <w:color w:val="231F20"/>
          <w:w w:val="105"/>
        </w:rPr>
        <w:t> the</w:t>
      </w:r>
      <w:r>
        <w:rPr>
          <w:color w:val="231F20"/>
          <w:w w:val="105"/>
        </w:rPr>
        <w:t> organi- zation.</w:t>
      </w:r>
      <w:r>
        <w:rPr>
          <w:color w:val="231F20"/>
          <w:w w:val="105"/>
        </w:rPr>
        <w:t> A</w:t>
      </w:r>
      <w:r>
        <w:rPr>
          <w:color w:val="231F20"/>
          <w:w w:val="105"/>
        </w:rPr>
        <w:t> shift</w:t>
      </w:r>
      <w:r>
        <w:rPr>
          <w:color w:val="231F20"/>
          <w:w w:val="105"/>
        </w:rPr>
        <w:t> foreman</w:t>
      </w:r>
      <w:r>
        <w:rPr>
          <w:color w:val="231F20"/>
          <w:w w:val="105"/>
        </w:rPr>
        <w:t> has</w:t>
      </w:r>
      <w:r>
        <w:rPr>
          <w:color w:val="231F20"/>
          <w:w w:val="105"/>
        </w:rPr>
        <w:t> the</w:t>
      </w:r>
      <w:r>
        <w:rPr>
          <w:color w:val="231F20"/>
          <w:w w:val="105"/>
        </w:rPr>
        <w:t> power</w:t>
      </w:r>
      <w:r>
        <w:rPr>
          <w:color w:val="231F20"/>
          <w:w w:val="105"/>
        </w:rPr>
        <w:t> to</w:t>
      </w:r>
      <w:r>
        <w:rPr>
          <w:color w:val="231F20"/>
          <w:w w:val="105"/>
        </w:rPr>
        <w:t> assign</w:t>
      </w:r>
      <w:r>
        <w:rPr>
          <w:color w:val="231F20"/>
          <w:w w:val="105"/>
        </w:rPr>
        <w:t> duties</w:t>
      </w:r>
      <w:r>
        <w:rPr>
          <w:color w:val="231F20"/>
          <w:w w:val="105"/>
        </w:rPr>
        <w:t> on</w:t>
      </w:r>
      <w:r>
        <w:rPr>
          <w:color w:val="231F20"/>
          <w:w w:val="105"/>
        </w:rPr>
        <w:t> an</w:t>
      </w:r>
      <w:r>
        <w:rPr>
          <w:color w:val="231F20"/>
          <w:w w:val="105"/>
        </w:rPr>
        <w:t> as- sembly line.</w:t>
      </w:r>
    </w:p>
    <w:p>
      <w:pPr>
        <w:pStyle w:val="BodyText"/>
        <w:spacing w:line="292" w:lineRule="auto"/>
        <w:ind w:left="829" w:right="756" w:firstLine="340"/>
        <w:jc w:val="both"/>
      </w:pPr>
      <w:r>
        <w:rPr>
          <w:i/>
          <w:color w:val="231F20"/>
        </w:rPr>
        <w:t>Expert power </w:t>
      </w:r>
      <w:r>
        <w:rPr>
          <w:color w:val="231F20"/>
        </w:rPr>
        <w:t>comes from one’s own skill, knowledge, or </w:t>
      </w:r>
      <w:r>
        <w:rPr>
          <w:color w:val="231F20"/>
        </w:rPr>
        <w:t>experi- ence. People with expert power have the ability to manipulate oth- ers. This is without regard to their position in the company. Often it</w:t>
      </w:r>
      <w:r>
        <w:rPr>
          <w:color w:val="231F20"/>
          <w:spacing w:val="40"/>
        </w:rPr>
        <w:t> </w:t>
      </w:r>
      <w:r>
        <w:rPr>
          <w:color w:val="231F20"/>
        </w:rPr>
        <w:t>is a lowly computer technician who may have the power to bring a senior executive to his cubbyhole. The boss must crawl for assis- tance. Crafty technicians fix it so that they alone have the ability to</w:t>
      </w:r>
      <w:r>
        <w:rPr>
          <w:color w:val="231F20"/>
          <w:spacing w:val="40"/>
        </w:rPr>
        <w:t> </w:t>
      </w:r>
      <w:r>
        <w:rPr>
          <w:color w:val="231F20"/>
        </w:rPr>
        <w:t>tap into the database. This preserves their expert power. It’s a manager’s job to cross-train people to prevent the birth of such little generals in their organizations.</w:t>
      </w:r>
    </w:p>
    <w:p>
      <w:pPr>
        <w:pStyle w:val="BodyText"/>
        <w:spacing w:line="292" w:lineRule="auto"/>
        <w:ind w:left="829" w:right="756" w:firstLine="340"/>
        <w:jc w:val="both"/>
      </w:pPr>
      <w:r>
        <w:rPr>
          <w:color w:val="231F20"/>
        </w:rPr>
        <w:t>In</w:t>
      </w:r>
      <w:r>
        <w:rPr>
          <w:color w:val="231F20"/>
          <w:spacing w:val="40"/>
        </w:rPr>
        <w:t> </w:t>
      </w:r>
      <w:r>
        <w:rPr>
          <w:color w:val="231F20"/>
        </w:rPr>
        <w:t>the</w:t>
      </w:r>
      <w:r>
        <w:rPr>
          <w:color w:val="231F20"/>
          <w:spacing w:val="40"/>
        </w:rPr>
        <w:t> </w:t>
      </w:r>
      <w:r>
        <w:rPr>
          <w:color w:val="231F20"/>
        </w:rPr>
        <w:t>political</w:t>
      </w:r>
      <w:r>
        <w:rPr>
          <w:color w:val="231F20"/>
          <w:spacing w:val="40"/>
        </w:rPr>
        <w:t> </w:t>
      </w:r>
      <w:r>
        <w:rPr>
          <w:color w:val="231F20"/>
        </w:rPr>
        <w:t>gamesmanship</w:t>
      </w:r>
      <w:r>
        <w:rPr>
          <w:color w:val="231F20"/>
          <w:spacing w:val="40"/>
        </w:rPr>
        <w:t> </w:t>
      </w:r>
      <w:r>
        <w:rPr>
          <w:color w:val="231F20"/>
        </w:rPr>
        <w:t>of</w:t>
      </w:r>
      <w:r>
        <w:rPr>
          <w:color w:val="231F20"/>
          <w:spacing w:val="40"/>
        </w:rPr>
        <w:t> </w:t>
      </w:r>
      <w:r>
        <w:rPr>
          <w:color w:val="231F20"/>
        </w:rPr>
        <w:t>corporations,</w:t>
      </w:r>
      <w:r>
        <w:rPr>
          <w:color w:val="231F20"/>
          <w:spacing w:val="40"/>
        </w:rPr>
        <w:t> </w:t>
      </w:r>
      <w:r>
        <w:rPr>
          <w:color w:val="231F20"/>
        </w:rPr>
        <w:t>it</w:t>
      </w:r>
      <w:r>
        <w:rPr>
          <w:color w:val="231F20"/>
          <w:spacing w:val="40"/>
        </w:rPr>
        <w:t> </w:t>
      </w:r>
      <w:r>
        <w:rPr>
          <w:color w:val="231F20"/>
        </w:rPr>
        <w:t>is</w:t>
      </w:r>
      <w:r>
        <w:rPr>
          <w:color w:val="231F20"/>
          <w:spacing w:val="40"/>
        </w:rPr>
        <w:t> </w:t>
      </w:r>
      <w:r>
        <w:rPr>
          <w:color w:val="231F20"/>
        </w:rPr>
        <w:t>important for MBAs to recognize all the people in the organization with the power to influence their lives.</w:t>
      </w:r>
    </w:p>
    <w:p>
      <w:pPr>
        <w:pStyle w:val="BodyText"/>
        <w:rPr>
          <w:sz w:val="25"/>
        </w:rPr>
      </w:pPr>
    </w:p>
    <w:p>
      <w:pPr>
        <w:pStyle w:val="BodyText"/>
        <w:spacing w:line="292" w:lineRule="auto"/>
        <w:ind w:left="829" w:right="754"/>
        <w:jc w:val="both"/>
      </w:pPr>
      <w:r>
        <w:rPr>
          <w:i/>
          <w:color w:val="231F20"/>
          <w:w w:val="105"/>
        </w:rPr>
        <w:t>MBO and MBWA. </w:t>
      </w:r>
      <w:r>
        <w:rPr>
          <w:color w:val="231F20"/>
          <w:w w:val="105"/>
        </w:rPr>
        <w:t>MBO and MBWA are frequently used abbrevia- tions in MBA babble. MBO means </w:t>
      </w:r>
      <w:r>
        <w:rPr>
          <w:i/>
          <w:color w:val="231F20"/>
          <w:w w:val="105"/>
        </w:rPr>
        <w:t>management by objective. </w:t>
      </w:r>
      <w:r>
        <w:rPr>
          <w:color w:val="231F20"/>
          <w:w w:val="105"/>
        </w:rPr>
        <w:t>It is a </w:t>
      </w:r>
      <w:r>
        <w:rPr>
          <w:color w:val="231F20"/>
        </w:rPr>
        <w:t>management style popularized by management guru Peter </w:t>
      </w:r>
      <w:r>
        <w:rPr>
          <w:color w:val="231F20"/>
        </w:rPr>
        <w:t>Drucker </w:t>
      </w:r>
      <w:r>
        <w:rPr>
          <w:color w:val="231F20"/>
          <w:w w:val="105"/>
        </w:rPr>
        <w:t>in</w:t>
      </w:r>
      <w:r>
        <w:rPr>
          <w:color w:val="231F20"/>
          <w:w w:val="105"/>
        </w:rPr>
        <w:t> the</w:t>
      </w:r>
      <w:r>
        <w:rPr>
          <w:color w:val="231F20"/>
          <w:w w:val="105"/>
        </w:rPr>
        <w:t> 1950s.</w:t>
      </w:r>
      <w:r>
        <w:rPr>
          <w:color w:val="231F20"/>
          <w:w w:val="105"/>
        </w:rPr>
        <w:t> Bosses</w:t>
      </w:r>
      <w:r>
        <w:rPr>
          <w:color w:val="231F20"/>
          <w:w w:val="105"/>
        </w:rPr>
        <w:t> delegate</w:t>
      </w:r>
      <w:r>
        <w:rPr>
          <w:color w:val="231F20"/>
          <w:w w:val="105"/>
        </w:rPr>
        <w:t> tasks</w:t>
      </w:r>
      <w:r>
        <w:rPr>
          <w:color w:val="231F20"/>
          <w:w w:val="105"/>
        </w:rPr>
        <w:t> by</w:t>
      </w:r>
      <w:r>
        <w:rPr>
          <w:color w:val="231F20"/>
          <w:w w:val="105"/>
        </w:rPr>
        <w:t> “negotiating</w:t>
      </w:r>
      <w:r>
        <w:rPr>
          <w:color w:val="231F20"/>
          <w:w w:val="105"/>
        </w:rPr>
        <w:t> a</w:t>
      </w:r>
      <w:r>
        <w:rPr>
          <w:color w:val="231F20"/>
          <w:w w:val="105"/>
        </w:rPr>
        <w:t> contract</w:t>
      </w:r>
      <w:r>
        <w:rPr>
          <w:color w:val="231F20"/>
          <w:w w:val="105"/>
        </w:rPr>
        <w:t> of goals”</w:t>
      </w:r>
      <w:r>
        <w:rPr>
          <w:color w:val="231F20"/>
          <w:w w:val="105"/>
        </w:rPr>
        <w:t> with</w:t>
      </w:r>
      <w:r>
        <w:rPr>
          <w:color w:val="231F20"/>
          <w:w w:val="105"/>
        </w:rPr>
        <w:t> their</w:t>
      </w:r>
      <w:r>
        <w:rPr>
          <w:color w:val="231F20"/>
          <w:w w:val="105"/>
        </w:rPr>
        <w:t> subordinates</w:t>
      </w:r>
      <w:r>
        <w:rPr>
          <w:color w:val="231F20"/>
          <w:w w:val="105"/>
        </w:rPr>
        <w:t> without</w:t>
      </w:r>
      <w:r>
        <w:rPr>
          <w:color w:val="231F20"/>
          <w:w w:val="105"/>
        </w:rPr>
        <w:t> dictating</w:t>
      </w:r>
      <w:r>
        <w:rPr>
          <w:color w:val="231F20"/>
          <w:w w:val="105"/>
        </w:rPr>
        <w:t> a</w:t>
      </w:r>
      <w:r>
        <w:rPr>
          <w:color w:val="231F20"/>
          <w:w w:val="105"/>
        </w:rPr>
        <w:t> detailed</w:t>
      </w:r>
      <w:r>
        <w:rPr>
          <w:color w:val="231F20"/>
          <w:w w:val="105"/>
        </w:rPr>
        <w:t> road map</w:t>
      </w:r>
      <w:r>
        <w:rPr>
          <w:color w:val="231F20"/>
          <w:w w:val="105"/>
        </w:rPr>
        <w:t> for</w:t>
      </w:r>
      <w:r>
        <w:rPr>
          <w:color w:val="231F20"/>
          <w:w w:val="105"/>
        </w:rPr>
        <w:t> implementation.</w:t>
      </w:r>
      <w:r>
        <w:rPr>
          <w:color w:val="231F20"/>
          <w:w w:val="105"/>
        </w:rPr>
        <w:t> MBO</w:t>
      </w:r>
      <w:r>
        <w:rPr>
          <w:color w:val="231F20"/>
          <w:w w:val="105"/>
        </w:rPr>
        <w:t> managers</w:t>
      </w:r>
      <w:r>
        <w:rPr>
          <w:color w:val="231F20"/>
          <w:w w:val="105"/>
        </w:rPr>
        <w:t> focus</w:t>
      </w:r>
      <w:r>
        <w:rPr>
          <w:color w:val="231F20"/>
          <w:w w:val="105"/>
        </w:rPr>
        <w:t> on</w:t>
      </w:r>
      <w:r>
        <w:rPr>
          <w:color w:val="231F20"/>
          <w:w w:val="105"/>
        </w:rPr>
        <w:t> the</w:t>
      </w:r>
      <w:r>
        <w:rPr>
          <w:color w:val="231F20"/>
          <w:w w:val="105"/>
        </w:rPr>
        <w:t> result,</w:t>
      </w:r>
      <w:r>
        <w:rPr>
          <w:color w:val="231F20"/>
          <w:w w:val="105"/>
        </w:rPr>
        <w:t> not the</w:t>
      </w:r>
      <w:r>
        <w:rPr>
          <w:color w:val="231F20"/>
          <w:w w:val="105"/>
        </w:rPr>
        <w:t> activity.</w:t>
      </w:r>
      <w:r>
        <w:rPr>
          <w:color w:val="231F20"/>
          <w:w w:val="105"/>
        </w:rPr>
        <w:t> At</w:t>
      </w:r>
      <w:r>
        <w:rPr>
          <w:color w:val="231F20"/>
          <w:w w:val="105"/>
        </w:rPr>
        <w:t> Frito-Lay,</w:t>
      </w:r>
      <w:r>
        <w:rPr>
          <w:color w:val="231F20"/>
          <w:w w:val="105"/>
        </w:rPr>
        <w:t> for</w:t>
      </w:r>
      <w:r>
        <w:rPr>
          <w:color w:val="231F20"/>
          <w:w w:val="105"/>
        </w:rPr>
        <w:t> example,</w:t>
      </w:r>
      <w:r>
        <w:rPr>
          <w:color w:val="231F20"/>
          <w:w w:val="105"/>
        </w:rPr>
        <w:t> a</w:t>
      </w:r>
      <w:r>
        <w:rPr>
          <w:color w:val="231F20"/>
          <w:w w:val="105"/>
        </w:rPr>
        <w:t> vice</w:t>
      </w:r>
      <w:r>
        <w:rPr>
          <w:color w:val="231F20"/>
          <w:w w:val="105"/>
        </w:rPr>
        <w:t> president</w:t>
      </w:r>
      <w:r>
        <w:rPr>
          <w:color w:val="231F20"/>
          <w:w w:val="105"/>
        </w:rPr>
        <w:t> might</w:t>
      </w:r>
      <w:r>
        <w:rPr>
          <w:color w:val="231F20"/>
          <w:w w:val="105"/>
        </w:rPr>
        <w:t> set</w:t>
      </w:r>
      <w:r>
        <w:rPr>
          <w:color w:val="231F20"/>
          <w:w w:val="105"/>
        </w:rPr>
        <w:t> a sales</w:t>
      </w:r>
      <w:r>
        <w:rPr>
          <w:color w:val="231F20"/>
          <w:w w:val="105"/>
        </w:rPr>
        <w:t> target</w:t>
      </w:r>
      <w:r>
        <w:rPr>
          <w:color w:val="231F20"/>
          <w:w w:val="105"/>
        </w:rPr>
        <w:t> for</w:t>
      </w:r>
      <w:r>
        <w:rPr>
          <w:color w:val="231F20"/>
          <w:w w:val="105"/>
        </w:rPr>
        <w:t> her</w:t>
      </w:r>
      <w:r>
        <w:rPr>
          <w:color w:val="231F20"/>
          <w:w w:val="105"/>
        </w:rPr>
        <w:t> regional</w:t>
      </w:r>
      <w:r>
        <w:rPr>
          <w:color w:val="231F20"/>
          <w:w w:val="105"/>
        </w:rPr>
        <w:t> sales</w:t>
      </w:r>
      <w:r>
        <w:rPr>
          <w:color w:val="231F20"/>
          <w:w w:val="105"/>
        </w:rPr>
        <w:t> managers.</w:t>
      </w:r>
      <w:r>
        <w:rPr>
          <w:color w:val="231F20"/>
          <w:w w:val="105"/>
        </w:rPr>
        <w:t> The</w:t>
      </w:r>
      <w:r>
        <w:rPr>
          <w:color w:val="231F20"/>
          <w:w w:val="105"/>
        </w:rPr>
        <w:t> managers</w:t>
      </w:r>
      <w:r>
        <w:rPr>
          <w:color w:val="231F20"/>
          <w:w w:val="105"/>
        </w:rPr>
        <w:t> decide what</w:t>
      </w:r>
      <w:r>
        <w:rPr>
          <w:color w:val="231F20"/>
          <w:spacing w:val="-7"/>
          <w:w w:val="105"/>
        </w:rPr>
        <w:t> </w:t>
      </w:r>
      <w:r>
        <w:rPr>
          <w:color w:val="231F20"/>
          <w:w w:val="105"/>
        </w:rPr>
        <w:t>tactics</w:t>
      </w:r>
      <w:r>
        <w:rPr>
          <w:color w:val="231F20"/>
          <w:spacing w:val="-7"/>
          <w:w w:val="105"/>
        </w:rPr>
        <w:t> </w:t>
      </w:r>
      <w:r>
        <w:rPr>
          <w:color w:val="231F20"/>
          <w:w w:val="105"/>
        </w:rPr>
        <w:t>and</w:t>
      </w:r>
      <w:r>
        <w:rPr>
          <w:color w:val="231F20"/>
          <w:spacing w:val="-7"/>
          <w:w w:val="105"/>
        </w:rPr>
        <w:t> </w:t>
      </w:r>
      <w:r>
        <w:rPr>
          <w:color w:val="231F20"/>
          <w:w w:val="105"/>
        </w:rPr>
        <w:t>strategy</w:t>
      </w:r>
      <w:r>
        <w:rPr>
          <w:color w:val="231F20"/>
          <w:spacing w:val="-7"/>
          <w:w w:val="105"/>
        </w:rPr>
        <w:t> </w:t>
      </w:r>
      <w:r>
        <w:rPr>
          <w:color w:val="231F20"/>
          <w:w w:val="105"/>
        </w:rPr>
        <w:t>are</w:t>
      </w:r>
      <w:r>
        <w:rPr>
          <w:color w:val="231F20"/>
          <w:spacing w:val="-7"/>
          <w:w w:val="105"/>
        </w:rPr>
        <w:t> </w:t>
      </w:r>
      <w:r>
        <w:rPr>
          <w:color w:val="231F20"/>
          <w:w w:val="105"/>
        </w:rPr>
        <w:t>needed</w:t>
      </w:r>
      <w:r>
        <w:rPr>
          <w:color w:val="231F20"/>
          <w:spacing w:val="-7"/>
          <w:w w:val="105"/>
        </w:rPr>
        <w:t> </w:t>
      </w:r>
      <w:r>
        <w:rPr>
          <w:color w:val="231F20"/>
          <w:w w:val="105"/>
        </w:rPr>
        <w:t>to</w:t>
      </w:r>
      <w:r>
        <w:rPr>
          <w:color w:val="231F20"/>
          <w:spacing w:val="-7"/>
          <w:w w:val="105"/>
        </w:rPr>
        <w:t> </w:t>
      </w:r>
      <w:r>
        <w:rPr>
          <w:color w:val="231F20"/>
          <w:w w:val="105"/>
        </w:rPr>
        <w:t>meet</w:t>
      </w:r>
      <w:r>
        <w:rPr>
          <w:color w:val="231F20"/>
          <w:spacing w:val="-7"/>
          <w:w w:val="105"/>
        </w:rPr>
        <w:t> </w:t>
      </w:r>
      <w:r>
        <w:rPr>
          <w:color w:val="231F20"/>
          <w:w w:val="105"/>
        </w:rPr>
        <w:t>the</w:t>
      </w:r>
      <w:r>
        <w:rPr>
          <w:color w:val="231F20"/>
          <w:spacing w:val="-7"/>
          <w:w w:val="105"/>
        </w:rPr>
        <w:t> </w:t>
      </w:r>
      <w:r>
        <w:rPr>
          <w:color w:val="231F20"/>
          <w:w w:val="105"/>
        </w:rPr>
        <w:t>objective.</w:t>
      </w:r>
    </w:p>
    <w:p>
      <w:pPr>
        <w:pStyle w:val="BodyText"/>
        <w:spacing w:line="292" w:lineRule="auto"/>
        <w:ind w:left="829" w:right="754" w:firstLine="340"/>
        <w:jc w:val="both"/>
      </w:pPr>
      <w:r>
        <w:rPr>
          <w:color w:val="231F20"/>
        </w:rPr>
        <w:t>The</w:t>
      </w:r>
      <w:r>
        <w:rPr>
          <w:color w:val="231F20"/>
          <w:spacing w:val="40"/>
        </w:rPr>
        <w:t> </w:t>
      </w:r>
      <w:r>
        <w:rPr>
          <w:color w:val="231F20"/>
        </w:rPr>
        <w:t>MBO</w:t>
      </w:r>
      <w:r>
        <w:rPr>
          <w:color w:val="231F20"/>
          <w:spacing w:val="40"/>
        </w:rPr>
        <w:t> </w:t>
      </w:r>
      <w:r>
        <w:rPr>
          <w:color w:val="231F20"/>
        </w:rPr>
        <w:t>style</w:t>
      </w:r>
      <w:r>
        <w:rPr>
          <w:color w:val="231F20"/>
          <w:spacing w:val="40"/>
        </w:rPr>
        <w:t> </w:t>
      </w:r>
      <w:r>
        <w:rPr>
          <w:color w:val="231F20"/>
        </w:rPr>
        <w:t>is</w:t>
      </w:r>
      <w:r>
        <w:rPr>
          <w:color w:val="231F20"/>
          <w:spacing w:val="40"/>
        </w:rPr>
        <w:t> </w:t>
      </w:r>
      <w:r>
        <w:rPr>
          <w:color w:val="231F20"/>
        </w:rPr>
        <w:t>appropriate</w:t>
      </w:r>
      <w:r>
        <w:rPr>
          <w:color w:val="231F20"/>
          <w:spacing w:val="40"/>
        </w:rPr>
        <w:t> </w:t>
      </w:r>
      <w:r>
        <w:rPr>
          <w:color w:val="231F20"/>
        </w:rPr>
        <w:t>when</w:t>
      </w:r>
      <w:r>
        <w:rPr>
          <w:color w:val="231F20"/>
          <w:spacing w:val="40"/>
        </w:rPr>
        <w:t> </w:t>
      </w:r>
      <w:r>
        <w:rPr>
          <w:color w:val="231F20"/>
        </w:rPr>
        <w:t>your</w:t>
      </w:r>
      <w:r>
        <w:rPr>
          <w:color w:val="231F20"/>
          <w:spacing w:val="40"/>
        </w:rPr>
        <w:t> </w:t>
      </w:r>
      <w:r>
        <w:rPr>
          <w:color w:val="231F20"/>
        </w:rPr>
        <w:t>staff</w:t>
      </w:r>
      <w:r>
        <w:rPr>
          <w:color w:val="231F20"/>
          <w:spacing w:val="40"/>
        </w:rPr>
        <w:t> </w:t>
      </w:r>
      <w:r>
        <w:rPr>
          <w:color w:val="231F20"/>
        </w:rPr>
        <w:t>is</w:t>
      </w:r>
      <w:r>
        <w:rPr>
          <w:color w:val="231F20"/>
          <w:spacing w:val="40"/>
        </w:rPr>
        <w:t> </w:t>
      </w:r>
      <w:r>
        <w:rPr>
          <w:color w:val="231F20"/>
        </w:rPr>
        <w:t>competent. Chief</w:t>
      </w:r>
      <w:r>
        <w:rPr>
          <w:color w:val="231F20"/>
          <w:spacing w:val="40"/>
        </w:rPr>
        <w:t> </w:t>
      </w:r>
      <w:r>
        <w:rPr>
          <w:color w:val="231F20"/>
        </w:rPr>
        <w:t>executives</w:t>
      </w:r>
      <w:r>
        <w:rPr>
          <w:color w:val="231F20"/>
          <w:spacing w:val="40"/>
        </w:rPr>
        <w:t> </w:t>
      </w:r>
      <w:r>
        <w:rPr>
          <w:color w:val="231F20"/>
        </w:rPr>
        <w:t>of</w:t>
      </w:r>
      <w:r>
        <w:rPr>
          <w:color w:val="231F20"/>
          <w:spacing w:val="40"/>
        </w:rPr>
        <w:t> </w:t>
      </w:r>
      <w:r>
        <w:rPr>
          <w:color w:val="231F20"/>
        </w:rPr>
        <w:t>multinational</w:t>
      </w:r>
      <w:r>
        <w:rPr>
          <w:color w:val="231F20"/>
          <w:spacing w:val="40"/>
        </w:rPr>
        <w:t> </w:t>
      </w:r>
      <w:r>
        <w:rPr>
          <w:color w:val="231F20"/>
        </w:rPr>
        <w:t>corporations</w:t>
      </w:r>
      <w:r>
        <w:rPr>
          <w:color w:val="231F20"/>
          <w:spacing w:val="40"/>
        </w:rPr>
        <w:t> </w:t>
      </w:r>
      <w:r>
        <w:rPr>
          <w:color w:val="231F20"/>
        </w:rPr>
        <w:t>(MNCs)</w:t>
      </w:r>
      <w:r>
        <w:rPr>
          <w:color w:val="231F20"/>
          <w:spacing w:val="40"/>
        </w:rPr>
        <w:t> </w:t>
      </w:r>
      <w:r>
        <w:rPr>
          <w:color w:val="231F20"/>
        </w:rPr>
        <w:t>use</w:t>
      </w:r>
      <w:r>
        <w:rPr>
          <w:color w:val="231F20"/>
          <w:spacing w:val="40"/>
        </w:rPr>
        <w:t> </w:t>
      </w:r>
      <w:r>
        <w:rPr>
          <w:color w:val="231F20"/>
        </w:rPr>
        <w:t>MBO for their country managers abroad. Their bosses in the United States often have little knowledge of what is required for success in those international markets. MBO is appropriate in situations where </w:t>
      </w:r>
      <w:r>
        <w:rPr>
          <w:color w:val="231F20"/>
        </w:rPr>
        <w:t>you wish to build employees’ management skills and tap their creativity and</w:t>
      </w:r>
      <w:r>
        <w:rPr>
          <w:color w:val="231F20"/>
          <w:spacing w:val="49"/>
        </w:rPr>
        <w:t> </w:t>
      </w:r>
      <w:r>
        <w:rPr>
          <w:color w:val="231F20"/>
        </w:rPr>
        <w:t>initiative.</w:t>
      </w:r>
      <w:r>
        <w:rPr>
          <w:color w:val="231F20"/>
          <w:spacing w:val="49"/>
        </w:rPr>
        <w:t> </w:t>
      </w:r>
      <w:r>
        <w:rPr>
          <w:color w:val="231F20"/>
        </w:rPr>
        <w:t>The</w:t>
      </w:r>
      <w:r>
        <w:rPr>
          <w:color w:val="231F20"/>
          <w:spacing w:val="49"/>
        </w:rPr>
        <w:t> </w:t>
      </w:r>
      <w:r>
        <w:rPr>
          <w:color w:val="231F20"/>
        </w:rPr>
        <w:t>drawback</w:t>
      </w:r>
      <w:r>
        <w:rPr>
          <w:color w:val="231F20"/>
          <w:spacing w:val="49"/>
        </w:rPr>
        <w:t> </w:t>
      </w:r>
      <w:r>
        <w:rPr>
          <w:color w:val="231F20"/>
        </w:rPr>
        <w:t>to</w:t>
      </w:r>
      <w:r>
        <w:rPr>
          <w:color w:val="231F20"/>
          <w:spacing w:val="49"/>
        </w:rPr>
        <w:t> </w:t>
      </w:r>
      <w:r>
        <w:rPr>
          <w:color w:val="231F20"/>
        </w:rPr>
        <w:t>MBO</w:t>
      </w:r>
      <w:r>
        <w:rPr>
          <w:color w:val="231F20"/>
          <w:spacing w:val="49"/>
        </w:rPr>
        <w:t> </w:t>
      </w:r>
      <w:r>
        <w:rPr>
          <w:color w:val="231F20"/>
        </w:rPr>
        <w:t>is</w:t>
      </w:r>
      <w:r>
        <w:rPr>
          <w:color w:val="231F20"/>
          <w:spacing w:val="49"/>
        </w:rPr>
        <w:t> </w:t>
      </w:r>
      <w:r>
        <w:rPr>
          <w:color w:val="231F20"/>
        </w:rPr>
        <w:t>the</w:t>
      </w:r>
      <w:r>
        <w:rPr>
          <w:color w:val="231F20"/>
          <w:spacing w:val="49"/>
        </w:rPr>
        <w:t> </w:t>
      </w:r>
      <w:r>
        <w:rPr>
          <w:color w:val="231F20"/>
        </w:rPr>
        <w:t>time</w:t>
      </w:r>
      <w:r>
        <w:rPr>
          <w:color w:val="231F20"/>
          <w:spacing w:val="49"/>
        </w:rPr>
        <w:t> </w:t>
      </w:r>
      <w:r>
        <w:rPr>
          <w:color w:val="231F20"/>
        </w:rPr>
        <w:t>needed</w:t>
      </w:r>
      <w:r>
        <w:rPr>
          <w:color w:val="231F20"/>
          <w:spacing w:val="49"/>
        </w:rPr>
        <w:t> </w:t>
      </w:r>
      <w:r>
        <w:rPr>
          <w:color w:val="231F20"/>
        </w:rPr>
        <w:t>to</w:t>
      </w:r>
      <w:r>
        <w:rPr>
          <w:color w:val="231F20"/>
          <w:spacing w:val="49"/>
        </w:rPr>
        <w:t> </w:t>
      </w:r>
      <w:r>
        <w:rPr>
          <w:color w:val="231F20"/>
          <w:spacing w:val="-4"/>
        </w:rPr>
        <w:t>ade-</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3"/>
        <w:jc w:val="both"/>
      </w:pPr>
      <w:r>
        <w:rPr>
          <w:color w:val="231F20"/>
        </w:rPr>
        <w:t>quately</w:t>
      </w:r>
      <w:r>
        <w:rPr>
          <w:color w:val="231F20"/>
          <w:spacing w:val="40"/>
        </w:rPr>
        <w:t> </w:t>
      </w:r>
      <w:r>
        <w:rPr>
          <w:color w:val="231F20"/>
        </w:rPr>
        <w:t>negotiate</w:t>
      </w:r>
      <w:r>
        <w:rPr>
          <w:color w:val="231F20"/>
          <w:spacing w:val="40"/>
        </w:rPr>
        <w:t> </w:t>
      </w:r>
      <w:r>
        <w:rPr>
          <w:color w:val="231F20"/>
        </w:rPr>
        <w:t>and</w:t>
      </w:r>
      <w:r>
        <w:rPr>
          <w:color w:val="231F20"/>
          <w:spacing w:val="40"/>
        </w:rPr>
        <w:t> </w:t>
      </w:r>
      <w:r>
        <w:rPr>
          <w:color w:val="231F20"/>
        </w:rPr>
        <w:t>document</w:t>
      </w:r>
      <w:r>
        <w:rPr>
          <w:color w:val="231F20"/>
          <w:spacing w:val="40"/>
        </w:rPr>
        <w:t> </w:t>
      </w:r>
      <w:r>
        <w:rPr>
          <w:color w:val="231F20"/>
        </w:rPr>
        <w:t>the</w:t>
      </w:r>
      <w:r>
        <w:rPr>
          <w:color w:val="231F20"/>
          <w:spacing w:val="40"/>
        </w:rPr>
        <w:t> </w:t>
      </w:r>
      <w:r>
        <w:rPr>
          <w:color w:val="231F20"/>
        </w:rPr>
        <w:t>process.</w:t>
      </w:r>
      <w:r>
        <w:rPr>
          <w:color w:val="231F20"/>
          <w:spacing w:val="40"/>
        </w:rPr>
        <w:t> </w:t>
      </w:r>
      <w:r>
        <w:rPr>
          <w:color w:val="231F20"/>
        </w:rPr>
        <w:t>Therefore,</w:t>
      </w:r>
      <w:r>
        <w:rPr>
          <w:color w:val="231F20"/>
          <w:spacing w:val="40"/>
        </w:rPr>
        <w:t> </w:t>
      </w:r>
      <w:r>
        <w:rPr>
          <w:color w:val="231F20"/>
        </w:rPr>
        <w:t>MBO should be used in appropriate situations.</w:t>
      </w:r>
    </w:p>
    <w:p>
      <w:pPr>
        <w:pStyle w:val="BodyText"/>
        <w:spacing w:line="292" w:lineRule="auto"/>
        <w:ind w:left="919" w:right="665" w:firstLine="340"/>
        <w:jc w:val="both"/>
      </w:pPr>
      <w:r>
        <w:rPr>
          <w:color w:val="231F20"/>
        </w:rPr>
        <w:t>MBWA, </w:t>
      </w:r>
      <w:r>
        <w:rPr>
          <w:i/>
          <w:color w:val="231F20"/>
        </w:rPr>
        <w:t>management by walking around, </w:t>
      </w:r>
      <w:r>
        <w:rPr>
          <w:color w:val="231F20"/>
        </w:rPr>
        <w:t>was a theory ex- pounded at Hewlett-Packard, the computer giant. HP executives</w:t>
      </w:r>
      <w:r>
        <w:rPr>
          <w:color w:val="231F20"/>
          <w:spacing w:val="80"/>
        </w:rPr>
        <w:t> </w:t>
      </w:r>
      <w:r>
        <w:rPr>
          <w:color w:val="231F20"/>
        </w:rPr>
        <w:t>were encouraged to be out of their offices working on building rela- tionships, motivating, and keeping in direct touch with the activities of</w:t>
      </w:r>
      <w:r>
        <w:rPr>
          <w:color w:val="231F20"/>
          <w:spacing w:val="21"/>
        </w:rPr>
        <w:t> </w:t>
      </w:r>
      <w:r>
        <w:rPr>
          <w:color w:val="231F20"/>
        </w:rPr>
        <w:t>the</w:t>
      </w:r>
      <w:r>
        <w:rPr>
          <w:color w:val="231F20"/>
          <w:spacing w:val="21"/>
        </w:rPr>
        <w:t> </w:t>
      </w:r>
      <w:r>
        <w:rPr>
          <w:color w:val="231F20"/>
        </w:rPr>
        <w:t>company.</w:t>
      </w:r>
      <w:r>
        <w:rPr>
          <w:color w:val="231F20"/>
          <w:spacing w:val="21"/>
        </w:rPr>
        <w:t> </w:t>
      </w:r>
      <w:r>
        <w:rPr>
          <w:color w:val="231F20"/>
        </w:rPr>
        <w:t>MBWA</w:t>
      </w:r>
      <w:r>
        <w:rPr>
          <w:color w:val="231F20"/>
          <w:spacing w:val="21"/>
        </w:rPr>
        <w:t> </w:t>
      </w:r>
      <w:r>
        <w:rPr>
          <w:color w:val="231F20"/>
        </w:rPr>
        <w:t>is</w:t>
      </w:r>
      <w:r>
        <w:rPr>
          <w:color w:val="231F20"/>
          <w:spacing w:val="21"/>
        </w:rPr>
        <w:t> </w:t>
      </w:r>
      <w:r>
        <w:rPr>
          <w:color w:val="231F20"/>
        </w:rPr>
        <w:t>a</w:t>
      </w:r>
      <w:r>
        <w:rPr>
          <w:color w:val="231F20"/>
          <w:spacing w:val="21"/>
        </w:rPr>
        <w:t> </w:t>
      </w:r>
      <w:r>
        <w:rPr>
          <w:color w:val="231F20"/>
        </w:rPr>
        <w:t>simple</w:t>
      </w:r>
      <w:r>
        <w:rPr>
          <w:color w:val="231F20"/>
          <w:spacing w:val="21"/>
        </w:rPr>
        <w:t> </w:t>
      </w:r>
      <w:r>
        <w:rPr>
          <w:color w:val="231F20"/>
        </w:rPr>
        <w:t>concept,</w:t>
      </w:r>
      <w:r>
        <w:rPr>
          <w:color w:val="231F20"/>
          <w:spacing w:val="21"/>
        </w:rPr>
        <w:t> </w:t>
      </w:r>
      <w:r>
        <w:rPr>
          <w:color w:val="231F20"/>
        </w:rPr>
        <w:t>but</w:t>
      </w:r>
      <w:r>
        <w:rPr>
          <w:color w:val="231F20"/>
          <w:spacing w:val="21"/>
        </w:rPr>
        <w:t> </w:t>
      </w:r>
      <w:r>
        <w:rPr>
          <w:color w:val="231F20"/>
        </w:rPr>
        <w:t>it</w:t>
      </w:r>
      <w:r>
        <w:rPr>
          <w:color w:val="231F20"/>
          <w:spacing w:val="21"/>
        </w:rPr>
        <w:t> </w:t>
      </w:r>
      <w:r>
        <w:rPr>
          <w:color w:val="231F20"/>
        </w:rPr>
        <w:t>has</w:t>
      </w:r>
      <w:r>
        <w:rPr>
          <w:color w:val="231F20"/>
          <w:spacing w:val="21"/>
        </w:rPr>
        <w:t> </w:t>
      </w:r>
      <w:r>
        <w:rPr>
          <w:color w:val="231F20"/>
        </w:rPr>
        <w:t>become</w:t>
      </w:r>
      <w:r>
        <w:rPr>
          <w:color w:val="231F20"/>
          <w:spacing w:val="21"/>
        </w:rPr>
        <w:t> </w:t>
      </w:r>
      <w:r>
        <w:rPr>
          <w:color w:val="231F20"/>
        </w:rPr>
        <w:t>part of an MBA’s portfolio of management theories.</w:t>
      </w:r>
    </w:p>
    <w:p>
      <w:pPr>
        <w:pStyle w:val="BodyText"/>
        <w:rPr>
          <w:sz w:val="24"/>
        </w:rPr>
      </w:pPr>
    </w:p>
    <w:p>
      <w:pPr>
        <w:pStyle w:val="BodyText"/>
        <w:spacing w:before="8"/>
        <w:rPr>
          <w:sz w:val="24"/>
        </w:rPr>
      </w:pPr>
    </w:p>
    <w:p>
      <w:pPr>
        <w:pStyle w:val="Heading4"/>
        <w:ind w:left="481"/>
      </w:pPr>
      <w:r>
        <w:rPr>
          <w:color w:val="231F20"/>
          <w:spacing w:val="9"/>
          <w:w w:val="85"/>
        </w:rPr>
        <w:t>ORGANIZATIONAL</w:t>
      </w:r>
      <w:r>
        <w:rPr>
          <w:color w:val="231F20"/>
          <w:spacing w:val="11"/>
        </w:rPr>
        <w:t> </w:t>
      </w:r>
      <w:r>
        <w:rPr>
          <w:color w:val="231F20"/>
          <w:w w:val="85"/>
        </w:rPr>
        <w:t>LEVEL</w:t>
      </w:r>
      <w:r>
        <w:rPr>
          <w:color w:val="231F20"/>
          <w:spacing w:val="12"/>
        </w:rPr>
        <w:t> </w:t>
      </w:r>
      <w:r>
        <w:rPr>
          <w:color w:val="231F20"/>
          <w:spacing w:val="8"/>
          <w:w w:val="85"/>
        </w:rPr>
        <w:t>TOPICS</w:t>
      </w:r>
    </w:p>
    <w:p>
      <w:pPr>
        <w:pStyle w:val="BodyText"/>
        <w:spacing w:before="10"/>
        <w:rPr>
          <w:rFonts w:ascii="Trebuchet MS"/>
          <w:sz w:val="29"/>
        </w:rPr>
      </w:pPr>
    </w:p>
    <w:p>
      <w:pPr>
        <w:pStyle w:val="BodyText"/>
        <w:spacing w:line="292" w:lineRule="auto"/>
        <w:ind w:left="920" w:right="665"/>
        <w:jc w:val="both"/>
      </w:pPr>
      <w:r>
        <w:rPr>
          <w:color w:val="231F20"/>
        </w:rPr>
        <w:t>With</w:t>
      </w:r>
      <w:r>
        <w:rPr>
          <w:color w:val="231F20"/>
          <w:spacing w:val="40"/>
        </w:rPr>
        <w:t> </w:t>
      </w:r>
      <w:r>
        <w:rPr>
          <w:color w:val="231F20"/>
        </w:rPr>
        <w:t>a</w:t>
      </w:r>
      <w:r>
        <w:rPr>
          <w:color w:val="231F20"/>
          <w:spacing w:val="40"/>
        </w:rPr>
        <w:t> </w:t>
      </w:r>
      <w:r>
        <w:rPr>
          <w:color w:val="231F20"/>
        </w:rPr>
        <w:t>psychology</w:t>
      </w:r>
      <w:r>
        <w:rPr>
          <w:color w:val="231F20"/>
          <w:spacing w:val="40"/>
        </w:rPr>
        <w:t> </w:t>
      </w:r>
      <w:r>
        <w:rPr>
          <w:color w:val="231F20"/>
        </w:rPr>
        <w:t>lesson</w:t>
      </w:r>
      <w:r>
        <w:rPr>
          <w:color w:val="231F20"/>
          <w:spacing w:val="40"/>
        </w:rPr>
        <w:t> </w:t>
      </w:r>
      <w:r>
        <w:rPr>
          <w:color w:val="231F20"/>
        </w:rPr>
        <w:t>and</w:t>
      </w:r>
      <w:r>
        <w:rPr>
          <w:color w:val="231F20"/>
          <w:spacing w:val="40"/>
        </w:rPr>
        <w:t> </w:t>
      </w:r>
      <w:r>
        <w:rPr>
          <w:color w:val="231F20"/>
        </w:rPr>
        <w:t>a</w:t>
      </w:r>
      <w:r>
        <w:rPr>
          <w:color w:val="231F20"/>
          <w:spacing w:val="40"/>
        </w:rPr>
        <w:t> </w:t>
      </w:r>
      <w:r>
        <w:rPr>
          <w:color w:val="231F20"/>
        </w:rPr>
        <w:t>set</w:t>
      </w:r>
      <w:r>
        <w:rPr>
          <w:color w:val="231F20"/>
          <w:spacing w:val="40"/>
        </w:rPr>
        <w:t> </w:t>
      </w:r>
      <w:r>
        <w:rPr>
          <w:color w:val="231F20"/>
        </w:rPr>
        <w:t>of</w:t>
      </w:r>
      <w:r>
        <w:rPr>
          <w:color w:val="231F20"/>
          <w:spacing w:val="40"/>
        </w:rPr>
        <w:t> </w:t>
      </w:r>
      <w:r>
        <w:rPr>
          <w:color w:val="231F20"/>
        </w:rPr>
        <w:t>MBA</w:t>
      </w:r>
      <w:r>
        <w:rPr>
          <w:color w:val="231F20"/>
          <w:spacing w:val="40"/>
        </w:rPr>
        <w:t> </w:t>
      </w:r>
      <w:r>
        <w:rPr>
          <w:color w:val="231F20"/>
        </w:rPr>
        <w:t>office</w:t>
      </w:r>
      <w:r>
        <w:rPr>
          <w:color w:val="231F20"/>
          <w:spacing w:val="40"/>
        </w:rPr>
        <w:t> </w:t>
      </w:r>
      <w:r>
        <w:rPr>
          <w:color w:val="231F20"/>
        </w:rPr>
        <w:t>procedures</w:t>
      </w:r>
      <w:r>
        <w:rPr>
          <w:color w:val="231F20"/>
          <w:spacing w:val="40"/>
        </w:rPr>
        <w:t> </w:t>
      </w:r>
      <w:r>
        <w:rPr>
          <w:color w:val="231F20"/>
        </w:rPr>
        <w:t>to work with, the OB courses take a “bigger picture” look at </w:t>
      </w:r>
      <w:r>
        <w:rPr>
          <w:color w:val="231F20"/>
        </w:rPr>
        <w:t>organiza- tions. With a larger scope also come grander theories and the vocab- ulary to accompany them.</w:t>
      </w:r>
    </w:p>
    <w:p>
      <w:pPr>
        <w:pStyle w:val="BodyText"/>
        <w:rPr>
          <w:sz w:val="24"/>
        </w:rPr>
      </w:pPr>
    </w:p>
    <w:p>
      <w:pPr>
        <w:pStyle w:val="BodyText"/>
        <w:spacing w:before="1"/>
        <w:rPr>
          <w:sz w:val="27"/>
        </w:rPr>
      </w:pPr>
    </w:p>
    <w:p>
      <w:pPr>
        <w:pStyle w:val="Heading6"/>
        <w:rPr>
          <w:i/>
        </w:rPr>
      </w:pPr>
      <w:r>
        <w:rPr>
          <w:i/>
          <w:color w:val="231F20"/>
          <w:w w:val="110"/>
        </w:rPr>
        <w:t>THE</w:t>
      </w:r>
      <w:r>
        <w:rPr>
          <w:i/>
          <w:color w:val="231F20"/>
          <w:spacing w:val="67"/>
          <w:w w:val="150"/>
        </w:rPr>
        <w:t> </w:t>
      </w:r>
      <w:r>
        <w:rPr>
          <w:i/>
          <w:color w:val="231F20"/>
          <w:w w:val="110"/>
        </w:rPr>
        <w:t>BASIC</w:t>
      </w:r>
      <w:r>
        <w:rPr>
          <w:i/>
          <w:color w:val="231F20"/>
          <w:spacing w:val="68"/>
          <w:w w:val="150"/>
        </w:rPr>
        <w:t> </w:t>
      </w:r>
      <w:r>
        <w:rPr>
          <w:i/>
          <w:color w:val="231F20"/>
          <w:w w:val="110"/>
        </w:rPr>
        <w:t>ORGANIZATIONAL</w:t>
      </w:r>
      <w:r>
        <w:rPr>
          <w:i/>
          <w:color w:val="231F20"/>
          <w:spacing w:val="67"/>
          <w:w w:val="150"/>
        </w:rPr>
        <w:t> </w:t>
      </w:r>
      <w:r>
        <w:rPr>
          <w:i/>
          <w:color w:val="231F20"/>
          <w:spacing w:val="6"/>
          <w:w w:val="110"/>
        </w:rPr>
        <w:t>MODEL</w:t>
      </w:r>
    </w:p>
    <w:p>
      <w:pPr>
        <w:pStyle w:val="BodyText"/>
        <w:spacing w:before="2"/>
        <w:rPr>
          <w:b/>
          <w:i/>
          <w:sz w:val="30"/>
        </w:rPr>
      </w:pPr>
    </w:p>
    <w:p>
      <w:pPr>
        <w:pStyle w:val="BodyText"/>
        <w:spacing w:line="292" w:lineRule="auto"/>
        <w:ind w:left="920" w:right="666"/>
        <w:jc w:val="both"/>
        <w:rPr>
          <w:i/>
        </w:rPr>
      </w:pPr>
      <w:r>
        <w:rPr>
          <w:color w:val="231F20"/>
        </w:rPr>
        <w:t>To understand an organization, you have to consider all of its com- ponents. Organizations are networks of related parts. Each </w:t>
      </w:r>
      <w:r>
        <w:rPr>
          <w:color w:val="231F20"/>
        </w:rPr>
        <w:t>element works together to support efficient operations. The new MBA buzz- word for it all is </w:t>
      </w:r>
      <w:r>
        <w:rPr>
          <w:i/>
          <w:color w:val="231F20"/>
        </w:rPr>
        <w:t>organizational architecture.</w:t>
      </w:r>
    </w:p>
    <w:p>
      <w:pPr>
        <w:pStyle w:val="BodyText"/>
        <w:spacing w:line="292" w:lineRule="auto"/>
        <w:ind w:left="920" w:right="666" w:firstLine="340"/>
        <w:jc w:val="both"/>
      </w:pPr>
      <w:r>
        <w:rPr>
          <w:color w:val="231F20"/>
        </w:rPr>
        <w:t>A noteworthy feature of the diagram is that the individual is at</w:t>
      </w:r>
      <w:r>
        <w:rPr>
          <w:color w:val="231F20"/>
          <w:spacing w:val="40"/>
        </w:rPr>
        <w:t> </w:t>
      </w:r>
      <w:r>
        <w:rPr>
          <w:color w:val="231F20"/>
        </w:rPr>
        <w:t>the center. The reason for this is that organizations are made not of brick and mortar but of people. Organizations affect those </w:t>
      </w:r>
      <w:r>
        <w:rPr>
          <w:color w:val="231F20"/>
        </w:rPr>
        <w:t>individu- als. The theories in the previous sections focused on the individual.</w:t>
      </w:r>
      <w:r>
        <w:rPr>
          <w:color w:val="231F20"/>
          <w:spacing w:val="40"/>
        </w:rPr>
        <w:t> </w:t>
      </w:r>
      <w:r>
        <w:rPr>
          <w:color w:val="231F20"/>
        </w:rPr>
        <w:t>In the following sections the macro-view of the organizations is ex- plored in MBA terms.</w:t>
      </w:r>
    </w:p>
    <w:p>
      <w:pPr>
        <w:pStyle w:val="BodyText"/>
        <w:spacing w:line="292" w:lineRule="auto"/>
        <w:ind w:left="920" w:right="663" w:firstLine="340"/>
        <w:jc w:val="both"/>
      </w:pPr>
      <w:r>
        <w:rPr>
          <w:color w:val="231F20"/>
        </w:rPr>
        <w:t>As shown in the diagram, six elements define organizations.</w:t>
      </w:r>
      <w:r>
        <w:rPr>
          <w:color w:val="231F20"/>
          <w:spacing w:val="40"/>
        </w:rPr>
        <w:t> </w:t>
      </w:r>
      <w:r>
        <w:rPr>
          <w:color w:val="231F20"/>
        </w:rPr>
        <w:t>Some are self-explanatory, but others have special MBA </w:t>
      </w:r>
      <w:r>
        <w:rPr>
          <w:color w:val="231F20"/>
        </w:rPr>
        <w:t>significance that you should be aware of.</w:t>
      </w:r>
    </w:p>
    <w:p>
      <w:pPr>
        <w:pStyle w:val="BodyText"/>
        <w:spacing w:before="2"/>
        <w:rPr>
          <w:sz w:val="25"/>
        </w:rPr>
      </w:pPr>
    </w:p>
    <w:p>
      <w:pPr>
        <w:pStyle w:val="BodyText"/>
        <w:spacing w:line="292" w:lineRule="auto" w:before="1"/>
        <w:ind w:left="920" w:right="666"/>
        <w:jc w:val="both"/>
      </w:pPr>
      <w:r>
        <w:rPr>
          <w:i/>
          <w:color w:val="231F20"/>
        </w:rPr>
        <w:t>Strategy. </w:t>
      </w:r>
      <w:r>
        <w:rPr>
          <w:color w:val="231F20"/>
        </w:rPr>
        <w:t>Strategy describes an explicit or implicit plan for success in the</w:t>
      </w:r>
      <w:r>
        <w:rPr>
          <w:color w:val="231F20"/>
          <w:spacing w:val="13"/>
        </w:rPr>
        <w:t> </w:t>
      </w:r>
      <w:r>
        <w:rPr>
          <w:color w:val="231F20"/>
        </w:rPr>
        <w:t>marketplace.</w:t>
      </w:r>
      <w:r>
        <w:rPr>
          <w:color w:val="231F20"/>
          <w:spacing w:val="14"/>
        </w:rPr>
        <w:t> </w:t>
      </w:r>
      <w:r>
        <w:rPr>
          <w:color w:val="231F20"/>
        </w:rPr>
        <w:t>When</w:t>
      </w:r>
      <w:r>
        <w:rPr>
          <w:color w:val="231F20"/>
          <w:spacing w:val="14"/>
        </w:rPr>
        <w:t> </w:t>
      </w:r>
      <w:r>
        <w:rPr>
          <w:color w:val="231F20"/>
        </w:rPr>
        <w:t>an</w:t>
      </w:r>
      <w:r>
        <w:rPr>
          <w:color w:val="231F20"/>
          <w:spacing w:val="14"/>
        </w:rPr>
        <w:t> </w:t>
      </w:r>
      <w:r>
        <w:rPr>
          <w:color w:val="231F20"/>
        </w:rPr>
        <w:t>airline</w:t>
      </w:r>
      <w:r>
        <w:rPr>
          <w:color w:val="231F20"/>
          <w:spacing w:val="14"/>
        </w:rPr>
        <w:t> </w:t>
      </w:r>
      <w:r>
        <w:rPr>
          <w:color w:val="231F20"/>
        </w:rPr>
        <w:t>decides</w:t>
      </w:r>
      <w:r>
        <w:rPr>
          <w:color w:val="231F20"/>
          <w:spacing w:val="13"/>
        </w:rPr>
        <w:t> </w:t>
      </w:r>
      <w:r>
        <w:rPr>
          <w:color w:val="231F20"/>
        </w:rPr>
        <w:t>to</w:t>
      </w:r>
      <w:r>
        <w:rPr>
          <w:color w:val="231F20"/>
          <w:spacing w:val="14"/>
        </w:rPr>
        <w:t> </w:t>
      </w:r>
      <w:r>
        <w:rPr>
          <w:color w:val="231F20"/>
        </w:rPr>
        <w:t>lure</w:t>
      </w:r>
      <w:r>
        <w:rPr>
          <w:color w:val="231F20"/>
          <w:spacing w:val="14"/>
        </w:rPr>
        <w:t> </w:t>
      </w:r>
      <w:r>
        <w:rPr>
          <w:color w:val="231F20"/>
        </w:rPr>
        <w:t>customers</w:t>
      </w:r>
      <w:r>
        <w:rPr>
          <w:color w:val="231F20"/>
          <w:spacing w:val="14"/>
        </w:rPr>
        <w:t> </w:t>
      </w:r>
      <w:r>
        <w:rPr>
          <w:color w:val="231F20"/>
        </w:rPr>
        <w:t>with</w:t>
      </w:r>
      <w:r>
        <w:rPr>
          <w:color w:val="231F20"/>
          <w:spacing w:val="14"/>
        </w:rPr>
        <w:t> </w:t>
      </w:r>
      <w:r>
        <w:rPr>
          <w:color w:val="231F20"/>
          <w:spacing w:val="-5"/>
        </w:rPr>
        <w:t>ei-</w:t>
      </w:r>
    </w:p>
    <w:p>
      <w:pPr>
        <w:spacing w:after="0" w:line="292" w:lineRule="auto"/>
        <w:jc w:val="both"/>
        <w:sectPr>
          <w:pgSz w:w="8640" w:h="12960"/>
          <w:pgMar w:header="734" w:footer="0" w:top="920" w:bottom="280" w:left="340" w:right="500"/>
        </w:sectPr>
      </w:pPr>
    </w:p>
    <w:p>
      <w:pPr>
        <w:pStyle w:val="BodyText"/>
        <w:spacing w:before="10"/>
        <w:rPr>
          <w:sz w:val="19"/>
        </w:rPr>
      </w:pPr>
    </w:p>
    <w:p>
      <w:pPr>
        <w:spacing w:before="96"/>
        <w:ind w:left="292" w:right="219" w:firstLine="0"/>
        <w:jc w:val="center"/>
        <w:rPr>
          <w:rFonts w:ascii="Arial"/>
          <w:sz w:val="14"/>
        </w:rPr>
      </w:pPr>
      <w:r>
        <w:rPr>
          <w:rFonts w:ascii="Arial"/>
          <w:color w:val="231F20"/>
          <w:w w:val="105"/>
          <w:sz w:val="14"/>
        </w:rPr>
        <w:t>THE</w:t>
      </w:r>
      <w:r>
        <w:rPr>
          <w:rFonts w:ascii="Arial"/>
          <w:color w:val="231F20"/>
          <w:spacing w:val="46"/>
          <w:w w:val="105"/>
          <w:sz w:val="14"/>
        </w:rPr>
        <w:t> </w:t>
      </w:r>
      <w:r>
        <w:rPr>
          <w:rFonts w:ascii="Arial"/>
          <w:color w:val="231F20"/>
          <w:w w:val="105"/>
          <w:sz w:val="14"/>
        </w:rPr>
        <w:t>BASIC</w:t>
      </w:r>
      <w:r>
        <w:rPr>
          <w:rFonts w:ascii="Arial"/>
          <w:color w:val="231F20"/>
          <w:spacing w:val="47"/>
          <w:w w:val="105"/>
          <w:sz w:val="14"/>
        </w:rPr>
        <w:t> </w:t>
      </w:r>
      <w:r>
        <w:rPr>
          <w:rFonts w:ascii="Arial"/>
          <w:color w:val="231F20"/>
          <w:w w:val="105"/>
          <w:sz w:val="14"/>
        </w:rPr>
        <w:t>ORGANIZATIONAL</w:t>
      </w:r>
      <w:r>
        <w:rPr>
          <w:rFonts w:ascii="Arial"/>
          <w:color w:val="231F20"/>
          <w:spacing w:val="47"/>
          <w:w w:val="105"/>
          <w:sz w:val="14"/>
        </w:rPr>
        <w:t> </w:t>
      </w:r>
      <w:r>
        <w:rPr>
          <w:rFonts w:ascii="Arial"/>
          <w:color w:val="231F20"/>
          <w:spacing w:val="-2"/>
          <w:w w:val="105"/>
          <w:sz w:val="14"/>
        </w:rPr>
        <w:t>MODEL</w:t>
      </w:r>
    </w:p>
    <w:p>
      <w:pPr>
        <w:pStyle w:val="BodyText"/>
        <w:spacing w:before="2"/>
        <w:rPr>
          <w:rFonts w:ascii="Arial"/>
          <w:sz w:val="8"/>
        </w:rPr>
      </w:pPr>
      <w:r>
        <w:rPr/>
        <w:drawing>
          <wp:anchor distT="0" distB="0" distL="0" distR="0" allowOverlap="1" layoutInCell="1" locked="0" behindDoc="0" simplePos="0" relativeHeight="158">
            <wp:simplePos x="0" y="0"/>
            <wp:positionH relativeFrom="page">
              <wp:posOffset>734502</wp:posOffset>
            </wp:positionH>
            <wp:positionV relativeFrom="paragraph">
              <wp:posOffset>75126</wp:posOffset>
            </wp:positionV>
            <wp:extent cx="3999794" cy="4047744"/>
            <wp:effectExtent l="0" t="0" r="0" b="0"/>
            <wp:wrapTopAndBottom/>
            <wp:docPr id="37" name="image20.png"/>
            <wp:cNvGraphicFramePr>
              <a:graphicFrameLocks noChangeAspect="1"/>
            </wp:cNvGraphicFramePr>
            <a:graphic>
              <a:graphicData uri="http://schemas.openxmlformats.org/drawingml/2006/picture">
                <pic:pic>
                  <pic:nvPicPr>
                    <pic:cNvPr id="38" name="image20.png"/>
                    <pic:cNvPicPr/>
                  </pic:nvPicPr>
                  <pic:blipFill>
                    <a:blip r:embed="rId42" cstate="print"/>
                    <a:stretch>
                      <a:fillRect/>
                    </a:stretch>
                  </pic:blipFill>
                  <pic:spPr>
                    <a:xfrm>
                      <a:off x="0" y="0"/>
                      <a:ext cx="3999794" cy="4047744"/>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spacing w:before="11"/>
        <w:rPr>
          <w:rFonts w:ascii="Arial"/>
          <w:sz w:val="17"/>
        </w:rPr>
      </w:pPr>
    </w:p>
    <w:p>
      <w:pPr>
        <w:pStyle w:val="BodyText"/>
        <w:spacing w:line="292" w:lineRule="auto"/>
        <w:ind w:left="830" w:right="756"/>
        <w:jc w:val="both"/>
      </w:pPr>
      <w:r>
        <w:rPr>
          <w:color w:val="231F20"/>
        </w:rPr>
        <w:t>ther</w:t>
      </w:r>
      <w:r>
        <w:rPr>
          <w:color w:val="231F20"/>
          <w:spacing w:val="-4"/>
        </w:rPr>
        <w:t> </w:t>
      </w:r>
      <w:r>
        <w:rPr>
          <w:color w:val="231F20"/>
        </w:rPr>
        <w:t>lower</w:t>
      </w:r>
      <w:r>
        <w:rPr>
          <w:color w:val="231F20"/>
          <w:spacing w:val="-4"/>
        </w:rPr>
        <w:t> </w:t>
      </w:r>
      <w:r>
        <w:rPr>
          <w:color w:val="231F20"/>
        </w:rPr>
        <w:t>prices</w:t>
      </w:r>
      <w:r>
        <w:rPr>
          <w:color w:val="231F20"/>
          <w:spacing w:val="-4"/>
        </w:rPr>
        <w:t> </w:t>
      </w:r>
      <w:r>
        <w:rPr>
          <w:color w:val="231F20"/>
        </w:rPr>
        <w:t>or</w:t>
      </w:r>
      <w:r>
        <w:rPr>
          <w:color w:val="231F20"/>
          <w:spacing w:val="-4"/>
        </w:rPr>
        <w:t> </w:t>
      </w:r>
      <w:r>
        <w:rPr>
          <w:color w:val="231F20"/>
        </w:rPr>
        <w:t>better</w:t>
      </w:r>
      <w:r>
        <w:rPr>
          <w:color w:val="231F20"/>
          <w:spacing w:val="-4"/>
        </w:rPr>
        <w:t> </w:t>
      </w:r>
      <w:r>
        <w:rPr>
          <w:color w:val="231F20"/>
        </w:rPr>
        <w:t>service,</w:t>
      </w:r>
      <w:r>
        <w:rPr>
          <w:color w:val="231F20"/>
          <w:spacing w:val="-4"/>
        </w:rPr>
        <w:t> </w:t>
      </w:r>
      <w:r>
        <w:rPr>
          <w:color w:val="231F20"/>
        </w:rPr>
        <w:t>that</w:t>
      </w:r>
      <w:r>
        <w:rPr>
          <w:color w:val="231F20"/>
          <w:spacing w:val="-4"/>
        </w:rPr>
        <w:t> </w:t>
      </w:r>
      <w:r>
        <w:rPr>
          <w:color w:val="231F20"/>
        </w:rPr>
        <w:t>is</w:t>
      </w:r>
      <w:r>
        <w:rPr>
          <w:color w:val="231F20"/>
          <w:spacing w:val="-4"/>
        </w:rPr>
        <w:t> </w:t>
      </w:r>
      <w:r>
        <w:rPr>
          <w:color w:val="231F20"/>
        </w:rPr>
        <w:t>a</w:t>
      </w:r>
      <w:r>
        <w:rPr>
          <w:color w:val="231F20"/>
          <w:spacing w:val="-4"/>
        </w:rPr>
        <w:t> </w:t>
      </w:r>
      <w:r>
        <w:rPr>
          <w:color w:val="231F20"/>
        </w:rPr>
        <w:t>corporate</w:t>
      </w:r>
      <w:r>
        <w:rPr>
          <w:color w:val="231F20"/>
          <w:spacing w:val="-4"/>
        </w:rPr>
        <w:t> </w:t>
      </w:r>
      <w:r>
        <w:rPr>
          <w:color w:val="231F20"/>
        </w:rPr>
        <w:t>strategy.</w:t>
      </w:r>
      <w:r>
        <w:rPr>
          <w:color w:val="231F20"/>
          <w:spacing w:val="-4"/>
        </w:rPr>
        <w:t> </w:t>
      </w:r>
      <w:r>
        <w:rPr>
          <w:color w:val="231F20"/>
        </w:rPr>
        <w:t>(Later in the book, I devote an entire chapter to this truly MBA topic.)</w:t>
      </w:r>
    </w:p>
    <w:p>
      <w:pPr>
        <w:pStyle w:val="BodyText"/>
        <w:spacing w:before="6"/>
        <w:rPr>
          <w:sz w:val="25"/>
        </w:rPr>
      </w:pPr>
    </w:p>
    <w:p>
      <w:pPr>
        <w:pStyle w:val="BodyText"/>
        <w:spacing w:line="292" w:lineRule="auto"/>
        <w:ind w:left="829" w:right="755"/>
        <w:jc w:val="both"/>
      </w:pPr>
      <w:r>
        <w:rPr>
          <w:i/>
          <w:color w:val="231F20"/>
        </w:rPr>
        <w:t>Policies</w:t>
      </w:r>
      <w:r>
        <w:rPr>
          <w:i/>
          <w:color w:val="231F20"/>
          <w:spacing w:val="40"/>
        </w:rPr>
        <w:t> </w:t>
      </w:r>
      <w:r>
        <w:rPr>
          <w:i/>
          <w:color w:val="231F20"/>
        </w:rPr>
        <w:t>and</w:t>
      </w:r>
      <w:r>
        <w:rPr>
          <w:i/>
          <w:color w:val="231F20"/>
          <w:spacing w:val="40"/>
        </w:rPr>
        <w:t> </w:t>
      </w:r>
      <w:r>
        <w:rPr>
          <w:i/>
          <w:color w:val="231F20"/>
        </w:rPr>
        <w:t>Procedures.</w:t>
      </w:r>
      <w:r>
        <w:rPr>
          <w:i/>
          <w:color w:val="231F20"/>
          <w:spacing w:val="40"/>
        </w:rPr>
        <w:t> </w:t>
      </w:r>
      <w:r>
        <w:rPr>
          <w:i/>
          <w:color w:val="231F20"/>
        </w:rPr>
        <w:t>Policies</w:t>
      </w:r>
      <w:r>
        <w:rPr>
          <w:i/>
          <w:color w:val="231F20"/>
          <w:spacing w:val="40"/>
        </w:rPr>
        <w:t> </w:t>
      </w:r>
      <w:r>
        <w:rPr>
          <w:color w:val="231F20"/>
        </w:rPr>
        <w:t>are</w:t>
      </w:r>
      <w:r>
        <w:rPr>
          <w:color w:val="231F20"/>
          <w:spacing w:val="40"/>
        </w:rPr>
        <w:t> </w:t>
      </w:r>
      <w:r>
        <w:rPr>
          <w:color w:val="231F20"/>
        </w:rPr>
        <w:t>formal</w:t>
      </w:r>
      <w:r>
        <w:rPr>
          <w:color w:val="231F20"/>
          <w:spacing w:val="40"/>
        </w:rPr>
        <w:t> </w:t>
      </w:r>
      <w:r>
        <w:rPr>
          <w:color w:val="231F20"/>
        </w:rPr>
        <w:t>rules</w:t>
      </w:r>
      <w:r>
        <w:rPr>
          <w:color w:val="231F20"/>
          <w:spacing w:val="40"/>
        </w:rPr>
        <w:t> </w:t>
      </w:r>
      <w:r>
        <w:rPr>
          <w:color w:val="231F20"/>
        </w:rPr>
        <w:t>that,</w:t>
      </w:r>
      <w:r>
        <w:rPr>
          <w:color w:val="231F20"/>
          <w:spacing w:val="40"/>
        </w:rPr>
        <w:t> </w:t>
      </w:r>
      <w:r>
        <w:rPr>
          <w:color w:val="231F20"/>
        </w:rPr>
        <w:t>in</w:t>
      </w:r>
      <w:r>
        <w:rPr>
          <w:color w:val="231F20"/>
          <w:spacing w:val="40"/>
        </w:rPr>
        <w:t> </w:t>
      </w:r>
      <w:r>
        <w:rPr>
          <w:color w:val="231F20"/>
        </w:rPr>
        <w:t>all</w:t>
      </w:r>
      <w:r>
        <w:rPr>
          <w:color w:val="231F20"/>
          <w:spacing w:val="40"/>
        </w:rPr>
        <w:t> </w:t>
      </w:r>
      <w:r>
        <w:rPr>
          <w:color w:val="231F20"/>
        </w:rPr>
        <w:t>but small companies, are captured in a handbook, while </w:t>
      </w:r>
      <w:r>
        <w:rPr>
          <w:i/>
          <w:color w:val="231F20"/>
        </w:rPr>
        <w:t>procedures </w:t>
      </w:r>
      <w:r>
        <w:rPr>
          <w:color w:val="231F20"/>
        </w:rPr>
        <w:t>are the observable ways in which a company conducts business. Vaca- tion and benefits are policies that are codified. Routine tasks such as how waste paper should be separated for recycling may not be com- mitted to paper. It’s a procedure that is understood.</w:t>
      </w:r>
    </w:p>
    <w:p>
      <w:pPr>
        <w:pStyle w:val="BodyText"/>
        <w:spacing w:before="5"/>
        <w:rPr>
          <w:sz w:val="25"/>
        </w:rPr>
      </w:pPr>
    </w:p>
    <w:p>
      <w:pPr>
        <w:spacing w:before="0"/>
        <w:ind w:left="829" w:right="0" w:firstLine="0"/>
        <w:jc w:val="both"/>
        <w:rPr>
          <w:sz w:val="21"/>
        </w:rPr>
      </w:pPr>
      <w:r>
        <w:rPr>
          <w:i/>
          <w:color w:val="231F20"/>
          <w:w w:val="105"/>
          <w:sz w:val="21"/>
        </w:rPr>
        <w:t>Organizational</w:t>
      </w:r>
      <w:r>
        <w:rPr>
          <w:i/>
          <w:color w:val="231F20"/>
          <w:spacing w:val="-10"/>
          <w:w w:val="105"/>
          <w:sz w:val="21"/>
        </w:rPr>
        <w:t> </w:t>
      </w:r>
      <w:r>
        <w:rPr>
          <w:i/>
          <w:color w:val="231F20"/>
          <w:w w:val="105"/>
          <w:sz w:val="21"/>
        </w:rPr>
        <w:t>Structures.</w:t>
      </w:r>
      <w:r>
        <w:rPr>
          <w:i/>
          <w:color w:val="231F20"/>
          <w:spacing w:val="-10"/>
          <w:w w:val="105"/>
          <w:sz w:val="21"/>
        </w:rPr>
        <w:t> </w:t>
      </w:r>
      <w:r>
        <w:rPr>
          <w:color w:val="231F20"/>
          <w:w w:val="105"/>
          <w:sz w:val="21"/>
        </w:rPr>
        <w:t>Structure</w:t>
      </w:r>
      <w:r>
        <w:rPr>
          <w:color w:val="231F20"/>
          <w:spacing w:val="-9"/>
          <w:w w:val="105"/>
          <w:sz w:val="21"/>
        </w:rPr>
        <w:t> </w:t>
      </w:r>
      <w:r>
        <w:rPr>
          <w:color w:val="231F20"/>
          <w:w w:val="105"/>
          <w:sz w:val="21"/>
        </w:rPr>
        <w:t>vocabulary</w:t>
      </w:r>
      <w:r>
        <w:rPr>
          <w:color w:val="231F20"/>
          <w:spacing w:val="-10"/>
          <w:w w:val="105"/>
          <w:sz w:val="21"/>
        </w:rPr>
        <w:t> </w:t>
      </w:r>
      <w:r>
        <w:rPr>
          <w:color w:val="231F20"/>
          <w:w w:val="105"/>
          <w:sz w:val="21"/>
        </w:rPr>
        <w:t>is</w:t>
      </w:r>
      <w:r>
        <w:rPr>
          <w:color w:val="231F20"/>
          <w:spacing w:val="-9"/>
          <w:w w:val="105"/>
          <w:sz w:val="21"/>
        </w:rPr>
        <w:t> </w:t>
      </w:r>
      <w:r>
        <w:rPr>
          <w:color w:val="231F20"/>
          <w:w w:val="105"/>
          <w:sz w:val="21"/>
        </w:rPr>
        <w:t>a</w:t>
      </w:r>
      <w:r>
        <w:rPr>
          <w:color w:val="231F20"/>
          <w:spacing w:val="-9"/>
          <w:w w:val="105"/>
          <w:sz w:val="21"/>
        </w:rPr>
        <w:t> </w:t>
      </w:r>
      <w:r>
        <w:rPr>
          <w:color w:val="231F20"/>
          <w:w w:val="105"/>
          <w:sz w:val="21"/>
        </w:rPr>
        <w:t>lexicon</w:t>
      </w:r>
      <w:r>
        <w:rPr>
          <w:color w:val="231F20"/>
          <w:spacing w:val="-9"/>
          <w:w w:val="105"/>
          <w:sz w:val="21"/>
        </w:rPr>
        <w:t> </w:t>
      </w:r>
      <w:r>
        <w:rPr>
          <w:color w:val="231F20"/>
          <w:w w:val="105"/>
          <w:sz w:val="21"/>
        </w:rPr>
        <w:t>that</w:t>
      </w:r>
      <w:r>
        <w:rPr>
          <w:color w:val="231F20"/>
          <w:spacing w:val="-10"/>
          <w:w w:val="105"/>
          <w:sz w:val="21"/>
        </w:rPr>
        <w:t> </w:t>
      </w:r>
      <w:r>
        <w:rPr>
          <w:color w:val="231F20"/>
          <w:spacing w:val="-5"/>
          <w:w w:val="105"/>
          <w:sz w:val="21"/>
        </w:rPr>
        <w:t>no</w:t>
      </w:r>
    </w:p>
    <w:p>
      <w:pPr>
        <w:spacing w:after="0"/>
        <w:jc w:val="both"/>
        <w:rPr>
          <w:sz w:val="21"/>
        </w:rPr>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MBA can be without. It is a frequent subject of discussion in corpo- rate meetings and is also an important tool for managing </w:t>
      </w:r>
      <w:r>
        <w:rPr>
          <w:color w:val="231F20"/>
        </w:rPr>
        <w:t>organiza- tional behavior. Structures describe the hierarchy of authority and accountability in an organization. These “formal” relationships are frequently diagrammed in </w:t>
      </w:r>
      <w:r>
        <w:rPr>
          <w:i/>
          <w:color w:val="231F20"/>
        </w:rPr>
        <w:t>organization charts. </w:t>
      </w:r>
      <w:r>
        <w:rPr>
          <w:color w:val="231F20"/>
        </w:rPr>
        <w:t>Most companies use some mix of structures to accomplish their goals. People who are di- rectly involved in producing or marketing the firm’s products or ser- vices are called </w:t>
      </w:r>
      <w:r>
        <w:rPr>
          <w:i/>
          <w:color w:val="231F20"/>
        </w:rPr>
        <w:t>line </w:t>
      </w:r>
      <w:r>
        <w:rPr>
          <w:color w:val="231F20"/>
        </w:rPr>
        <w:t>employees. The others who advise, serve, and support the line are called </w:t>
      </w:r>
      <w:r>
        <w:rPr>
          <w:i/>
          <w:color w:val="231F20"/>
        </w:rPr>
        <w:t>staff </w:t>
      </w:r>
      <w:r>
        <w:rPr>
          <w:color w:val="231F20"/>
        </w:rPr>
        <w:t>employees. Line and staff employees can be organized along the following lines:</w:t>
      </w:r>
    </w:p>
    <w:p>
      <w:pPr>
        <w:pStyle w:val="BodyText"/>
        <w:spacing w:before="1"/>
        <w:rPr>
          <w:sz w:val="27"/>
        </w:rPr>
      </w:pPr>
    </w:p>
    <w:p>
      <w:pPr>
        <w:spacing w:line="328" w:lineRule="auto" w:before="0"/>
        <w:ind w:left="1260" w:right="5410" w:firstLine="0"/>
        <w:jc w:val="left"/>
        <w:rPr>
          <w:rFonts w:ascii="Arial"/>
          <w:sz w:val="19"/>
        </w:rPr>
      </w:pPr>
      <w:r>
        <w:rPr>
          <w:rFonts w:ascii="Arial"/>
          <w:color w:val="231F20"/>
          <w:spacing w:val="-2"/>
          <w:w w:val="115"/>
          <w:sz w:val="19"/>
        </w:rPr>
        <w:t>Functional Product Customer Geographic Divisional Matrix Amorphous</w:t>
      </w:r>
    </w:p>
    <w:p>
      <w:pPr>
        <w:pStyle w:val="BodyText"/>
        <w:spacing w:before="7"/>
        <w:rPr>
          <w:rFonts w:ascii="Arial"/>
          <w:sz w:val="24"/>
        </w:rPr>
      </w:pPr>
    </w:p>
    <w:p>
      <w:pPr>
        <w:pStyle w:val="BodyText"/>
        <w:spacing w:line="292" w:lineRule="auto"/>
        <w:ind w:left="919" w:right="666" w:firstLine="340"/>
        <w:jc w:val="both"/>
      </w:pPr>
      <w:r>
        <w:rPr>
          <w:i/>
          <w:color w:val="231F20"/>
          <w:w w:val="105"/>
        </w:rPr>
        <w:t>Functional. </w:t>
      </w:r>
      <w:r>
        <w:rPr>
          <w:color w:val="231F20"/>
          <w:w w:val="105"/>
        </w:rPr>
        <w:t>The functional form divides work by tasks, e.g., </w:t>
      </w:r>
      <w:r>
        <w:rPr>
          <w:color w:val="231F20"/>
          <w:w w:val="105"/>
        </w:rPr>
        <w:t>ad- vertising,</w:t>
      </w:r>
      <w:r>
        <w:rPr>
          <w:color w:val="231F20"/>
          <w:spacing w:val="-13"/>
          <w:w w:val="105"/>
        </w:rPr>
        <w:t> </w:t>
      </w:r>
      <w:r>
        <w:rPr>
          <w:color w:val="231F20"/>
          <w:w w:val="105"/>
        </w:rPr>
        <w:t>accounting,</w:t>
      </w:r>
      <w:r>
        <w:rPr>
          <w:color w:val="231F20"/>
          <w:spacing w:val="-12"/>
          <w:w w:val="105"/>
        </w:rPr>
        <w:t> </w:t>
      </w:r>
      <w:r>
        <w:rPr>
          <w:color w:val="231F20"/>
          <w:w w:val="105"/>
        </w:rPr>
        <w:t>finance,</w:t>
      </w:r>
      <w:r>
        <w:rPr>
          <w:color w:val="231F20"/>
          <w:spacing w:val="-12"/>
          <w:w w:val="105"/>
        </w:rPr>
        <w:t> </w:t>
      </w:r>
      <w:r>
        <w:rPr>
          <w:color w:val="231F20"/>
          <w:w w:val="105"/>
        </w:rPr>
        <w:t>and</w:t>
      </w:r>
      <w:r>
        <w:rPr>
          <w:color w:val="231F20"/>
          <w:spacing w:val="-12"/>
          <w:w w:val="105"/>
        </w:rPr>
        <w:t> </w:t>
      </w:r>
      <w:r>
        <w:rPr>
          <w:color w:val="231F20"/>
          <w:w w:val="105"/>
        </w:rPr>
        <w:t>sales.</w:t>
      </w:r>
      <w:r>
        <w:rPr>
          <w:color w:val="231F20"/>
          <w:spacing w:val="-12"/>
          <w:w w:val="105"/>
        </w:rPr>
        <w:t> </w:t>
      </w:r>
      <w:r>
        <w:rPr>
          <w:color w:val="231F20"/>
          <w:w w:val="105"/>
        </w:rPr>
        <w:t>These</w:t>
      </w:r>
      <w:r>
        <w:rPr>
          <w:color w:val="231F20"/>
          <w:spacing w:val="-12"/>
          <w:w w:val="105"/>
        </w:rPr>
        <w:t> </w:t>
      </w:r>
      <w:r>
        <w:rPr>
          <w:color w:val="231F20"/>
          <w:w w:val="105"/>
        </w:rPr>
        <w:t>departments</w:t>
      </w:r>
      <w:r>
        <w:rPr>
          <w:color w:val="231F20"/>
          <w:spacing w:val="-12"/>
          <w:w w:val="105"/>
        </w:rPr>
        <w:t> </w:t>
      </w:r>
      <w:r>
        <w:rPr>
          <w:color w:val="231F20"/>
          <w:w w:val="105"/>
        </w:rPr>
        <w:t>report to the senior executives.</w:t>
      </w:r>
    </w:p>
    <w:p>
      <w:pPr>
        <w:pStyle w:val="BodyText"/>
        <w:spacing w:before="6"/>
        <w:rPr>
          <w:sz w:val="25"/>
        </w:rPr>
      </w:pPr>
    </w:p>
    <w:p>
      <w:pPr>
        <w:pStyle w:val="BodyText"/>
        <w:spacing w:line="292" w:lineRule="auto"/>
        <w:ind w:left="919" w:right="666"/>
        <w:jc w:val="both"/>
      </w:pPr>
      <w:r>
        <w:rPr>
          <w:i/>
          <w:color w:val="231F20"/>
        </w:rPr>
        <w:t>Product. </w:t>
      </w:r>
      <w:r>
        <w:rPr>
          <w:color w:val="231F20"/>
        </w:rPr>
        <w:t>The product structure groups all functions necessary to </w:t>
      </w:r>
      <w:r>
        <w:rPr>
          <w:color w:val="231F20"/>
        </w:rPr>
        <w:t>de- liver a specific product. Product managers manage individual prod- ucts as smaller businesses within a company. Black </w:t>
      </w:r>
      <w:r>
        <w:rPr>
          <w:color w:val="231F20"/>
          <w:w w:val="110"/>
        </w:rPr>
        <w:t>&amp;</w:t>
      </w:r>
      <w:r>
        <w:rPr>
          <w:color w:val="231F20"/>
          <w:w w:val="110"/>
        </w:rPr>
        <w:t> </w:t>
      </w:r>
      <w:r>
        <w:rPr>
          <w:color w:val="231F20"/>
        </w:rPr>
        <w:t>Decker, for example, is divided into separate units responsible for power tools, small appliances, and accessories (see top chart, right).</w:t>
      </w:r>
    </w:p>
    <w:p>
      <w:pPr>
        <w:pStyle w:val="BodyText"/>
        <w:spacing w:before="5"/>
        <w:rPr>
          <w:sz w:val="25"/>
        </w:rPr>
      </w:pPr>
    </w:p>
    <w:p>
      <w:pPr>
        <w:pStyle w:val="BodyText"/>
        <w:spacing w:line="292" w:lineRule="auto"/>
        <w:ind w:left="919" w:right="666"/>
        <w:jc w:val="both"/>
      </w:pPr>
      <w:r>
        <w:rPr>
          <w:i/>
          <w:color w:val="231F20"/>
        </w:rPr>
        <w:t>Customer.</w:t>
      </w:r>
      <w:r>
        <w:rPr>
          <w:i/>
          <w:color w:val="231F20"/>
          <w:spacing w:val="-5"/>
        </w:rPr>
        <w:t> </w:t>
      </w:r>
      <w:r>
        <w:rPr>
          <w:color w:val="231F20"/>
        </w:rPr>
        <w:t>The customer structure focuses on—</w:t>
      </w:r>
      <w:r>
        <w:rPr>
          <w:color w:val="231F20"/>
          <w:spacing w:val="-12"/>
        </w:rPr>
        <w:t> </w:t>
      </w:r>
      <w:r>
        <w:rPr>
          <w:color w:val="231F20"/>
        </w:rPr>
        <w:t>you guessed it—</w:t>
      </w:r>
      <w:r>
        <w:rPr>
          <w:color w:val="231F20"/>
          <w:spacing w:val="-12"/>
        </w:rPr>
        <w:t> </w:t>
      </w:r>
      <w:r>
        <w:rPr>
          <w:color w:val="231F20"/>
        </w:rPr>
        <w:t>the customer. Activities, such as production and marketing, are grouped with other functions to satisfy specific customer needs. The cus- tomer structure is common in service industries. Banks often </w:t>
      </w:r>
      <w:r>
        <w:rPr>
          <w:color w:val="231F20"/>
        </w:rPr>
        <w:t>divide responsibility by customer type. For instance, some loan officers are trained</w:t>
      </w:r>
      <w:r>
        <w:rPr>
          <w:color w:val="231F20"/>
          <w:spacing w:val="29"/>
        </w:rPr>
        <w:t> </w:t>
      </w:r>
      <w:r>
        <w:rPr>
          <w:color w:val="231F20"/>
        </w:rPr>
        <w:t>to</w:t>
      </w:r>
      <w:r>
        <w:rPr>
          <w:color w:val="231F20"/>
          <w:spacing w:val="29"/>
        </w:rPr>
        <w:t> </w:t>
      </w:r>
      <w:r>
        <w:rPr>
          <w:color w:val="231F20"/>
        </w:rPr>
        <w:t>serve</w:t>
      </w:r>
      <w:r>
        <w:rPr>
          <w:color w:val="231F20"/>
          <w:spacing w:val="29"/>
        </w:rPr>
        <w:t> </w:t>
      </w:r>
      <w:r>
        <w:rPr>
          <w:color w:val="231F20"/>
        </w:rPr>
        <w:t>business</w:t>
      </w:r>
      <w:r>
        <w:rPr>
          <w:color w:val="231F20"/>
          <w:spacing w:val="29"/>
        </w:rPr>
        <w:t> </w:t>
      </w:r>
      <w:r>
        <w:rPr>
          <w:color w:val="231F20"/>
        </w:rPr>
        <w:t>clients,</w:t>
      </w:r>
      <w:r>
        <w:rPr>
          <w:color w:val="231F20"/>
          <w:spacing w:val="30"/>
        </w:rPr>
        <w:t> </w:t>
      </w:r>
      <w:r>
        <w:rPr>
          <w:color w:val="231F20"/>
        </w:rPr>
        <w:t>others</w:t>
      </w:r>
      <w:r>
        <w:rPr>
          <w:color w:val="231F20"/>
          <w:spacing w:val="29"/>
        </w:rPr>
        <w:t> </w:t>
      </w:r>
      <w:r>
        <w:rPr>
          <w:color w:val="231F20"/>
        </w:rPr>
        <w:t>to</w:t>
      </w:r>
      <w:r>
        <w:rPr>
          <w:color w:val="231F20"/>
          <w:spacing w:val="29"/>
        </w:rPr>
        <w:t> </w:t>
      </w:r>
      <w:r>
        <w:rPr>
          <w:color w:val="231F20"/>
        </w:rPr>
        <w:t>serve</w:t>
      </w:r>
      <w:r>
        <w:rPr>
          <w:color w:val="231F20"/>
          <w:spacing w:val="29"/>
        </w:rPr>
        <w:t> </w:t>
      </w:r>
      <w:r>
        <w:rPr>
          <w:color w:val="231F20"/>
        </w:rPr>
        <w:t>individuals.</w:t>
      </w:r>
      <w:r>
        <w:rPr>
          <w:color w:val="231F20"/>
          <w:spacing w:val="30"/>
        </w:rPr>
        <w:t> </w:t>
      </w:r>
      <w:r>
        <w:rPr>
          <w:color w:val="231F20"/>
          <w:spacing w:val="-4"/>
        </w:rPr>
        <w:t>Each</w:t>
      </w:r>
    </w:p>
    <w:p>
      <w:pPr>
        <w:spacing w:after="0" w:line="292" w:lineRule="auto"/>
        <w:jc w:val="both"/>
        <w:sectPr>
          <w:pgSz w:w="8640" w:h="12960"/>
          <w:pgMar w:header="734" w:footer="0" w:top="920" w:bottom="280" w:left="340" w:right="500"/>
        </w:sectPr>
      </w:pPr>
    </w:p>
    <w:p>
      <w:pPr>
        <w:pStyle w:val="BodyText"/>
        <w:spacing w:before="2"/>
        <w:rPr>
          <w:sz w:val="29"/>
        </w:rPr>
      </w:pPr>
    </w:p>
    <w:p>
      <w:pPr>
        <w:pStyle w:val="BodyText"/>
        <w:ind w:left="964"/>
        <w:rPr>
          <w:sz w:val="20"/>
        </w:rPr>
      </w:pPr>
      <w:r>
        <w:rPr>
          <w:sz w:val="20"/>
        </w:rPr>
        <w:drawing>
          <wp:inline distT="0" distB="0" distL="0" distR="0">
            <wp:extent cx="3785879" cy="1859279"/>
            <wp:effectExtent l="0" t="0" r="0" b="0"/>
            <wp:docPr id="39" name="image21.png"/>
            <wp:cNvGraphicFramePr>
              <a:graphicFrameLocks noChangeAspect="1"/>
            </wp:cNvGraphicFramePr>
            <a:graphic>
              <a:graphicData uri="http://schemas.openxmlformats.org/drawingml/2006/picture">
                <pic:pic>
                  <pic:nvPicPr>
                    <pic:cNvPr id="40" name="image21.png"/>
                    <pic:cNvPicPr/>
                  </pic:nvPicPr>
                  <pic:blipFill>
                    <a:blip r:embed="rId43" cstate="print"/>
                    <a:stretch>
                      <a:fillRect/>
                    </a:stretch>
                  </pic:blipFill>
                  <pic:spPr>
                    <a:xfrm>
                      <a:off x="0" y="0"/>
                      <a:ext cx="3785879" cy="1859279"/>
                    </a:xfrm>
                    <a:prstGeom prst="rect">
                      <a:avLst/>
                    </a:prstGeom>
                  </pic:spPr>
                </pic:pic>
              </a:graphicData>
            </a:graphic>
          </wp:inline>
        </w:drawing>
      </w:r>
      <w:r>
        <w:rPr>
          <w:sz w:val="20"/>
        </w:rPr>
      </w:r>
    </w:p>
    <w:p>
      <w:pPr>
        <w:pStyle w:val="BodyText"/>
        <w:spacing w:before="8"/>
        <w:rPr>
          <w:sz w:val="25"/>
        </w:rPr>
      </w:pPr>
    </w:p>
    <w:p>
      <w:pPr>
        <w:spacing w:line="244" w:lineRule="auto" w:before="99"/>
        <w:ind w:left="830" w:right="756" w:firstLine="0"/>
        <w:jc w:val="both"/>
        <w:rPr>
          <w:sz w:val="20"/>
        </w:rPr>
      </w:pPr>
      <w:r>
        <w:rPr>
          <w:color w:val="231F20"/>
          <w:sz w:val="20"/>
        </w:rPr>
        <w:t>“Organizational Structure,” written by Professor James Clawson, </w:t>
      </w:r>
      <w:r>
        <w:rPr>
          <w:color w:val="231F20"/>
          <w:sz w:val="20"/>
        </w:rPr>
        <w:t>Case UVA-OB-361, Figures 1</w:t>
      </w:r>
      <w:r>
        <w:rPr>
          <w:color w:val="231F20"/>
          <w:spacing w:val="-12"/>
          <w:sz w:val="20"/>
        </w:rPr>
        <w:t> </w:t>
      </w:r>
      <w:r>
        <w:rPr>
          <w:color w:val="231F20"/>
          <w:sz w:val="20"/>
        </w:rPr>
        <w:t>–</w:t>
      </w:r>
      <w:r>
        <w:rPr>
          <w:color w:val="231F20"/>
          <w:spacing w:val="-11"/>
          <w:sz w:val="20"/>
        </w:rPr>
        <w:t> </w:t>
      </w:r>
      <w:r>
        <w:rPr>
          <w:color w:val="231F20"/>
          <w:sz w:val="20"/>
        </w:rPr>
        <w:t>8. Copyright © 1988 by the Darden Graduate Business School Foundation, Charlottesville, Virginia.</w:t>
      </w:r>
    </w:p>
    <w:p>
      <w:pPr>
        <w:pStyle w:val="BodyText"/>
        <w:rPr>
          <w:sz w:val="22"/>
        </w:rPr>
      </w:pPr>
    </w:p>
    <w:p>
      <w:pPr>
        <w:pStyle w:val="BodyText"/>
        <w:spacing w:line="292" w:lineRule="auto" w:before="165"/>
        <w:ind w:left="830" w:right="756"/>
        <w:jc w:val="both"/>
      </w:pPr>
      <w:r>
        <w:rPr>
          <w:color w:val="231F20"/>
        </w:rPr>
        <w:t>has “expert” knowledge to deal with his or her customers’ </w:t>
      </w:r>
      <w:r>
        <w:rPr>
          <w:color w:val="231F20"/>
        </w:rPr>
        <w:t>specific needs (see bottom chart, right).</w:t>
      </w:r>
    </w:p>
    <w:p>
      <w:pPr>
        <w:pStyle w:val="BodyText"/>
        <w:spacing w:before="6"/>
        <w:rPr>
          <w:sz w:val="25"/>
        </w:rPr>
      </w:pPr>
    </w:p>
    <w:p>
      <w:pPr>
        <w:pStyle w:val="BodyText"/>
        <w:spacing w:line="292" w:lineRule="auto"/>
        <w:ind w:left="830" w:right="753"/>
        <w:jc w:val="both"/>
      </w:pPr>
      <w:r>
        <w:rPr>
          <w:i/>
          <w:color w:val="231F20"/>
        </w:rPr>
        <w:t>Geographic. </w:t>
      </w:r>
      <w:r>
        <w:rPr>
          <w:color w:val="231F20"/>
        </w:rPr>
        <w:t>In this arrangement work is divided by location. Geo- graphic structures cut across customers and products. Regional offices are established to manage the business. This is especially </w:t>
      </w:r>
      <w:r>
        <w:rPr>
          <w:color w:val="231F20"/>
        </w:rPr>
        <w:t>true of international businesses, where each country’s office would adopt its own structure (see top chart, page 144).</w:t>
      </w:r>
    </w:p>
    <w:p>
      <w:pPr>
        <w:pStyle w:val="BodyText"/>
        <w:spacing w:before="5"/>
        <w:rPr>
          <w:sz w:val="25"/>
        </w:rPr>
      </w:pPr>
    </w:p>
    <w:p>
      <w:pPr>
        <w:pStyle w:val="BodyText"/>
        <w:spacing w:line="292" w:lineRule="auto"/>
        <w:ind w:left="830" w:right="753"/>
        <w:jc w:val="both"/>
      </w:pPr>
      <w:r>
        <w:rPr>
          <w:i/>
          <w:color w:val="231F20"/>
        </w:rPr>
        <w:t>Divisional. </w:t>
      </w:r>
      <w:r>
        <w:rPr>
          <w:color w:val="231F20"/>
        </w:rPr>
        <w:t>Divisions are independent businesses operating under</w:t>
      </w:r>
      <w:r>
        <w:rPr>
          <w:color w:val="231F20"/>
          <w:spacing w:val="80"/>
          <w:w w:val="150"/>
        </w:rPr>
        <w:t> </w:t>
      </w:r>
      <w:r>
        <w:rPr>
          <w:color w:val="231F20"/>
        </w:rPr>
        <w:t>the umbrella of a parent corporation. Unlike the previous four </w:t>
      </w:r>
      <w:r>
        <w:rPr>
          <w:color w:val="231F20"/>
        </w:rPr>
        <w:t>struc- tures, divisions run somewhat autonomously. They do it all them- selves, from marketing to buying raw materials. However, most divisions use the parent company for financing. For example, the Philip Morris Companies includes Miller Brewing, Kraft Foods, and Philip Morris Tobacco. These three businesses are centrally owned but separately operated. Within each of the divisions there may be other organizational substructures. For example, Miller may use the geographic form and Kraft Foods may use a product structure (see bottom chart, left).</w:t>
      </w:r>
    </w:p>
    <w:p>
      <w:pPr>
        <w:spacing w:after="0" w:line="292" w:lineRule="auto"/>
        <w:jc w:val="both"/>
        <w:sectPr>
          <w:pgSz w:w="8640" w:h="12960"/>
          <w:pgMar w:header="732" w:footer="0" w:top="920" w:bottom="280" w:left="340" w:right="500"/>
        </w:sectPr>
      </w:pPr>
    </w:p>
    <w:p>
      <w:pPr>
        <w:pStyle w:val="BodyText"/>
        <w:spacing w:before="2"/>
        <w:rPr>
          <w:sz w:val="29"/>
        </w:rPr>
      </w:pPr>
    </w:p>
    <w:p>
      <w:pPr>
        <w:pStyle w:val="BodyText"/>
        <w:ind w:left="967"/>
        <w:rPr>
          <w:sz w:val="20"/>
        </w:rPr>
      </w:pPr>
      <w:r>
        <w:rPr>
          <w:sz w:val="20"/>
        </w:rPr>
        <w:drawing>
          <wp:inline distT="0" distB="0" distL="0" distR="0">
            <wp:extent cx="3818267" cy="6246780"/>
            <wp:effectExtent l="0" t="0" r="0" b="0"/>
            <wp:docPr id="41" name="image22.png"/>
            <wp:cNvGraphicFramePr>
              <a:graphicFrameLocks noChangeAspect="1"/>
            </wp:cNvGraphicFramePr>
            <a:graphic>
              <a:graphicData uri="http://schemas.openxmlformats.org/drawingml/2006/picture">
                <pic:pic>
                  <pic:nvPicPr>
                    <pic:cNvPr id="42" name="image22.png"/>
                    <pic:cNvPicPr/>
                  </pic:nvPicPr>
                  <pic:blipFill>
                    <a:blip r:embed="rId44" cstate="print"/>
                    <a:stretch>
                      <a:fillRect/>
                    </a:stretch>
                  </pic:blipFill>
                  <pic:spPr>
                    <a:xfrm>
                      <a:off x="0" y="0"/>
                      <a:ext cx="3818267" cy="6246780"/>
                    </a:xfrm>
                    <a:prstGeom prst="rect">
                      <a:avLst/>
                    </a:prstGeom>
                  </pic:spPr>
                </pic:pic>
              </a:graphicData>
            </a:graphic>
          </wp:inline>
        </w:drawing>
      </w:r>
      <w:r>
        <w:rPr>
          <w:sz w:val="20"/>
        </w:rPr>
      </w:r>
    </w:p>
    <w:p>
      <w:pPr>
        <w:spacing w:after="0"/>
        <w:rPr>
          <w:sz w:val="20"/>
        </w:rPr>
        <w:sectPr>
          <w:pgSz w:w="8640" w:h="12960"/>
          <w:pgMar w:header="734" w:footer="0" w:top="920" w:bottom="280" w:left="340" w:right="500"/>
        </w:sectPr>
      </w:pPr>
    </w:p>
    <w:p>
      <w:pPr>
        <w:pStyle w:val="BodyText"/>
        <w:spacing w:before="3"/>
        <w:rPr>
          <w:sz w:val="29"/>
        </w:rPr>
      </w:pPr>
    </w:p>
    <w:p>
      <w:pPr>
        <w:pStyle w:val="BodyText"/>
        <w:ind w:left="945"/>
        <w:rPr>
          <w:sz w:val="20"/>
        </w:rPr>
      </w:pPr>
      <w:r>
        <w:rPr>
          <w:sz w:val="20"/>
        </w:rPr>
        <w:drawing>
          <wp:inline distT="0" distB="0" distL="0" distR="0">
            <wp:extent cx="3807436" cy="2560320"/>
            <wp:effectExtent l="0" t="0" r="0" b="0"/>
            <wp:docPr id="43" name="image23.png"/>
            <wp:cNvGraphicFramePr>
              <a:graphicFrameLocks noChangeAspect="1"/>
            </wp:cNvGraphicFramePr>
            <a:graphic>
              <a:graphicData uri="http://schemas.openxmlformats.org/drawingml/2006/picture">
                <pic:pic>
                  <pic:nvPicPr>
                    <pic:cNvPr id="44" name="image23.png"/>
                    <pic:cNvPicPr/>
                  </pic:nvPicPr>
                  <pic:blipFill>
                    <a:blip r:embed="rId45" cstate="print"/>
                    <a:stretch>
                      <a:fillRect/>
                    </a:stretch>
                  </pic:blipFill>
                  <pic:spPr>
                    <a:xfrm>
                      <a:off x="0" y="0"/>
                      <a:ext cx="3807436" cy="2560320"/>
                    </a:xfrm>
                    <a:prstGeom prst="rect">
                      <a:avLst/>
                    </a:prstGeom>
                  </pic:spPr>
                </pic:pic>
              </a:graphicData>
            </a:graphic>
          </wp:inline>
        </w:drawing>
      </w:r>
      <w:r>
        <w:rPr>
          <w:sz w:val="20"/>
        </w:rPr>
      </w:r>
    </w:p>
    <w:p>
      <w:pPr>
        <w:pStyle w:val="BodyText"/>
        <w:rPr>
          <w:sz w:val="20"/>
        </w:rPr>
      </w:pPr>
    </w:p>
    <w:p>
      <w:pPr>
        <w:pStyle w:val="BodyText"/>
        <w:rPr>
          <w:sz w:val="24"/>
        </w:rPr>
      </w:pPr>
    </w:p>
    <w:p>
      <w:pPr>
        <w:pStyle w:val="BodyText"/>
        <w:spacing w:line="292" w:lineRule="auto"/>
        <w:ind w:left="830" w:right="753" w:hanging="1"/>
        <w:jc w:val="both"/>
      </w:pPr>
      <w:r>
        <w:rPr>
          <w:i/>
          <w:color w:val="231F20"/>
        </w:rPr>
        <w:t>Matrix. </w:t>
      </w:r>
      <w:r>
        <w:rPr>
          <w:color w:val="231F20"/>
        </w:rPr>
        <w:t>The matrix structure departs from the principle of </w:t>
      </w:r>
      <w:r>
        <w:rPr>
          <w:i/>
          <w:color w:val="231F20"/>
        </w:rPr>
        <w:t>unity of</w:t>
      </w:r>
      <w:r>
        <w:rPr>
          <w:i/>
          <w:color w:val="231F20"/>
        </w:rPr>
        <w:t> command: </w:t>
      </w:r>
      <w:r>
        <w:rPr>
          <w:color w:val="231F20"/>
        </w:rPr>
        <w:t>only one boss for each employee. Here there are two or more lines of authority. The matrix is common in businesses in- volved in large, complex projects that require highly specialized</w:t>
      </w:r>
      <w:r>
        <w:rPr>
          <w:color w:val="231F20"/>
          <w:spacing w:val="40"/>
        </w:rPr>
        <w:t> </w:t>
      </w:r>
      <w:r>
        <w:rPr>
          <w:color w:val="231F20"/>
        </w:rPr>
        <w:t>skills.</w:t>
      </w:r>
      <w:r>
        <w:rPr>
          <w:color w:val="231F20"/>
          <w:spacing w:val="34"/>
        </w:rPr>
        <w:t> </w:t>
      </w:r>
      <w:r>
        <w:rPr>
          <w:color w:val="231F20"/>
        </w:rPr>
        <w:t>In</w:t>
      </w:r>
      <w:r>
        <w:rPr>
          <w:color w:val="231F20"/>
          <w:spacing w:val="34"/>
        </w:rPr>
        <w:t> </w:t>
      </w:r>
      <w:r>
        <w:rPr>
          <w:color w:val="231F20"/>
        </w:rPr>
        <w:t>this</w:t>
      </w:r>
      <w:r>
        <w:rPr>
          <w:color w:val="231F20"/>
          <w:spacing w:val="34"/>
        </w:rPr>
        <w:t> </w:t>
      </w:r>
      <w:r>
        <w:rPr>
          <w:color w:val="231F20"/>
        </w:rPr>
        <w:t>structure,</w:t>
      </w:r>
      <w:r>
        <w:rPr>
          <w:color w:val="231F20"/>
          <w:spacing w:val="34"/>
        </w:rPr>
        <w:t> </w:t>
      </w:r>
      <w:r>
        <w:rPr>
          <w:color w:val="231F20"/>
        </w:rPr>
        <w:t>both</w:t>
      </w:r>
      <w:r>
        <w:rPr>
          <w:color w:val="231F20"/>
          <w:spacing w:val="34"/>
        </w:rPr>
        <w:t> </w:t>
      </w:r>
      <w:r>
        <w:rPr>
          <w:color w:val="231F20"/>
        </w:rPr>
        <w:t>the</w:t>
      </w:r>
      <w:r>
        <w:rPr>
          <w:color w:val="231F20"/>
          <w:spacing w:val="34"/>
        </w:rPr>
        <w:t> </w:t>
      </w:r>
      <w:r>
        <w:rPr>
          <w:color w:val="231F20"/>
        </w:rPr>
        <w:t>product</w:t>
      </w:r>
      <w:r>
        <w:rPr>
          <w:color w:val="231F20"/>
          <w:spacing w:val="34"/>
        </w:rPr>
        <w:t> </w:t>
      </w:r>
      <w:r>
        <w:rPr>
          <w:color w:val="231F20"/>
        </w:rPr>
        <w:t>and</w:t>
      </w:r>
      <w:r>
        <w:rPr>
          <w:color w:val="231F20"/>
          <w:spacing w:val="34"/>
        </w:rPr>
        <w:t> </w:t>
      </w:r>
      <w:r>
        <w:rPr>
          <w:color w:val="231F20"/>
        </w:rPr>
        <w:t>the</w:t>
      </w:r>
      <w:r>
        <w:rPr>
          <w:color w:val="231F20"/>
          <w:spacing w:val="34"/>
        </w:rPr>
        <w:t> </w:t>
      </w:r>
      <w:r>
        <w:rPr>
          <w:color w:val="231F20"/>
        </w:rPr>
        <w:t>functional</w:t>
      </w:r>
      <w:r>
        <w:rPr>
          <w:color w:val="231F20"/>
          <w:spacing w:val="34"/>
        </w:rPr>
        <w:t> </w:t>
      </w:r>
      <w:r>
        <w:rPr>
          <w:color w:val="231F20"/>
          <w:spacing w:val="-2"/>
        </w:rPr>
        <w:t>struc-</w:t>
      </w:r>
    </w:p>
    <w:p>
      <w:pPr>
        <w:pStyle w:val="BodyText"/>
        <w:rPr>
          <w:sz w:val="20"/>
        </w:rPr>
      </w:pPr>
    </w:p>
    <w:p>
      <w:pPr>
        <w:pStyle w:val="BodyText"/>
        <w:spacing w:before="5"/>
        <w:rPr>
          <w:sz w:val="16"/>
        </w:rPr>
      </w:pPr>
      <w:r>
        <w:rPr/>
        <w:drawing>
          <wp:anchor distT="0" distB="0" distL="0" distR="0" allowOverlap="1" layoutInCell="1" locked="0" behindDoc="0" simplePos="0" relativeHeight="159">
            <wp:simplePos x="0" y="0"/>
            <wp:positionH relativeFrom="page">
              <wp:posOffset>791712</wp:posOffset>
            </wp:positionH>
            <wp:positionV relativeFrom="paragraph">
              <wp:posOffset>137527</wp:posOffset>
            </wp:positionV>
            <wp:extent cx="3851905" cy="2682240"/>
            <wp:effectExtent l="0" t="0" r="0" b="0"/>
            <wp:wrapTopAndBottom/>
            <wp:docPr id="45" name="image24.png"/>
            <wp:cNvGraphicFramePr>
              <a:graphicFrameLocks noChangeAspect="1"/>
            </wp:cNvGraphicFramePr>
            <a:graphic>
              <a:graphicData uri="http://schemas.openxmlformats.org/drawingml/2006/picture">
                <pic:pic>
                  <pic:nvPicPr>
                    <pic:cNvPr id="46" name="image24.png"/>
                    <pic:cNvPicPr/>
                  </pic:nvPicPr>
                  <pic:blipFill>
                    <a:blip r:embed="rId46" cstate="print"/>
                    <a:stretch>
                      <a:fillRect/>
                    </a:stretch>
                  </pic:blipFill>
                  <pic:spPr>
                    <a:xfrm>
                      <a:off x="0" y="0"/>
                      <a:ext cx="3851905" cy="2682240"/>
                    </a:xfrm>
                    <a:prstGeom prst="rect">
                      <a:avLst/>
                    </a:prstGeom>
                  </pic:spPr>
                </pic:pic>
              </a:graphicData>
            </a:graphic>
          </wp:anchor>
        </w:drawing>
      </w:r>
    </w:p>
    <w:p>
      <w:pPr>
        <w:spacing w:after="0"/>
        <w:rPr>
          <w:sz w:val="16"/>
        </w:rPr>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tures coexist. Employees report to both a project manager in </w:t>
      </w:r>
      <w:r>
        <w:rPr>
          <w:color w:val="231F20"/>
        </w:rPr>
        <w:t>charge of their assigned product and a functional manager who controls specific activities such as manufacturing, finance, and marketing. As you might expect, this organizational form can be confusing. It re- quires a staff that is flexible and professional. The defense and com- puter industries often opt for the matrix structure to handle large development projects (see top chart, page 146).</w:t>
      </w:r>
    </w:p>
    <w:p>
      <w:pPr>
        <w:pStyle w:val="BodyText"/>
        <w:spacing w:before="4"/>
        <w:rPr>
          <w:sz w:val="25"/>
        </w:rPr>
      </w:pPr>
    </w:p>
    <w:p>
      <w:pPr>
        <w:pStyle w:val="BodyText"/>
        <w:spacing w:line="292" w:lineRule="auto"/>
        <w:ind w:left="920" w:right="664"/>
        <w:jc w:val="both"/>
      </w:pPr>
      <w:r>
        <w:rPr>
          <w:i/>
          <w:color w:val="231F20"/>
        </w:rPr>
        <w:t>Amorphous. </w:t>
      </w:r>
      <w:r>
        <w:rPr>
          <w:color w:val="231F20"/>
        </w:rPr>
        <w:t>This is my personal favorite. The amorphous structure</w:t>
      </w:r>
      <w:r>
        <w:rPr>
          <w:color w:val="231F20"/>
          <w:spacing w:val="80"/>
          <w:w w:val="150"/>
        </w:rPr>
        <w:t> </w:t>
      </w:r>
      <w:r>
        <w:rPr>
          <w:color w:val="231F20"/>
        </w:rPr>
        <w:t>is no formal structure at all. It’s the free bird. In these companies highly motivated and productive managers create and dissolve re- porting relationships as the task at hand requires. In these compa- nies, the structure incrementally grows as events dictate. Digital Equipment Corporation is said to have grown with an amorphous structure (see bottom chart, page 146).</w:t>
      </w:r>
    </w:p>
    <w:p>
      <w:pPr>
        <w:pStyle w:val="BodyText"/>
        <w:spacing w:before="4"/>
        <w:rPr>
          <w:sz w:val="25"/>
        </w:rPr>
      </w:pPr>
    </w:p>
    <w:p>
      <w:pPr>
        <w:pStyle w:val="BodyText"/>
        <w:spacing w:line="292" w:lineRule="auto"/>
        <w:ind w:left="920" w:right="664"/>
        <w:jc w:val="both"/>
      </w:pPr>
      <w:r>
        <w:rPr>
          <w:i/>
          <w:color w:val="231F20"/>
        </w:rPr>
        <w:t>Hybrid. </w:t>
      </w:r>
      <w:r>
        <w:rPr>
          <w:color w:val="231F20"/>
        </w:rPr>
        <w:t>These entities are composed of a mix of operational </w:t>
      </w:r>
      <w:r>
        <w:rPr>
          <w:color w:val="231F20"/>
        </w:rPr>
        <w:t>struc- tures. Most companies fall into this category. General Electric has a divisional corporate structure that includes the NBC television net- work, GE Lighting, GE Capital, and GE Aerospace. But within each division, there are geographic manufacturing organizations, matrix research staffs, and customer-sales-grouped organizations. In the example on page 147 a single business is organized in a functional/ product hybrid. The brand managers control their products and marketing, but they do not have complete control over the financing or operations of the business.</w:t>
      </w:r>
    </w:p>
    <w:p>
      <w:pPr>
        <w:pStyle w:val="BodyText"/>
        <w:spacing w:line="292" w:lineRule="auto"/>
        <w:ind w:left="919" w:right="666" w:firstLine="340"/>
        <w:jc w:val="both"/>
      </w:pPr>
      <w:r>
        <w:rPr>
          <w:color w:val="231F20"/>
        </w:rPr>
        <w:t>The choice of structure dramatically affects the operations of a company. There needs to be a </w:t>
      </w:r>
      <w:r>
        <w:rPr>
          <w:i/>
          <w:color w:val="231F20"/>
        </w:rPr>
        <w:t>fit </w:t>
      </w:r>
      <w:r>
        <w:rPr>
          <w:color w:val="231F20"/>
        </w:rPr>
        <w:t>between the business activities </w:t>
      </w:r>
      <w:r>
        <w:rPr>
          <w:color w:val="231F20"/>
        </w:rPr>
        <w:t>re- quired</w:t>
      </w:r>
      <w:r>
        <w:rPr>
          <w:color w:val="231F20"/>
          <w:spacing w:val="-2"/>
        </w:rPr>
        <w:t> </w:t>
      </w:r>
      <w:r>
        <w:rPr>
          <w:color w:val="231F20"/>
        </w:rPr>
        <w:t>and</w:t>
      </w:r>
      <w:r>
        <w:rPr>
          <w:color w:val="231F20"/>
          <w:spacing w:val="-2"/>
        </w:rPr>
        <w:t> </w:t>
      </w:r>
      <w:r>
        <w:rPr>
          <w:color w:val="231F20"/>
        </w:rPr>
        <w:t>the</w:t>
      </w:r>
      <w:r>
        <w:rPr>
          <w:color w:val="231F20"/>
          <w:spacing w:val="-2"/>
        </w:rPr>
        <w:t> </w:t>
      </w:r>
      <w:r>
        <w:rPr>
          <w:color w:val="231F20"/>
        </w:rPr>
        <w:t>corporate</w:t>
      </w:r>
      <w:r>
        <w:rPr>
          <w:color w:val="231F20"/>
          <w:spacing w:val="-2"/>
        </w:rPr>
        <w:t> </w:t>
      </w:r>
      <w:r>
        <w:rPr>
          <w:color w:val="231F20"/>
        </w:rPr>
        <w:t>apparatus</w:t>
      </w:r>
      <w:r>
        <w:rPr>
          <w:color w:val="231F20"/>
          <w:spacing w:val="-2"/>
        </w:rPr>
        <w:t> </w:t>
      </w:r>
      <w:r>
        <w:rPr>
          <w:color w:val="231F20"/>
        </w:rPr>
        <w:t>set</w:t>
      </w:r>
      <w:r>
        <w:rPr>
          <w:color w:val="231F20"/>
          <w:spacing w:val="-2"/>
        </w:rPr>
        <w:t> </w:t>
      </w:r>
      <w:r>
        <w:rPr>
          <w:color w:val="231F20"/>
        </w:rPr>
        <w:t>up</w:t>
      </w:r>
      <w:r>
        <w:rPr>
          <w:color w:val="231F20"/>
          <w:spacing w:val="-2"/>
        </w:rPr>
        <w:t> </w:t>
      </w:r>
      <w:r>
        <w:rPr>
          <w:color w:val="231F20"/>
        </w:rPr>
        <w:t>to</w:t>
      </w:r>
      <w:r>
        <w:rPr>
          <w:color w:val="231F20"/>
          <w:spacing w:val="-2"/>
        </w:rPr>
        <w:t> </w:t>
      </w:r>
      <w:r>
        <w:rPr>
          <w:color w:val="231F20"/>
        </w:rPr>
        <w:t>produce</w:t>
      </w:r>
      <w:r>
        <w:rPr>
          <w:color w:val="231F20"/>
          <w:spacing w:val="-2"/>
        </w:rPr>
        <w:t> </w:t>
      </w:r>
      <w:r>
        <w:rPr>
          <w:color w:val="231F20"/>
        </w:rPr>
        <w:t>and</w:t>
      </w:r>
      <w:r>
        <w:rPr>
          <w:color w:val="231F20"/>
          <w:spacing w:val="-2"/>
        </w:rPr>
        <w:t> </w:t>
      </w:r>
      <w:r>
        <w:rPr>
          <w:color w:val="231F20"/>
        </w:rPr>
        <w:t>deliver</w:t>
      </w:r>
      <w:r>
        <w:rPr>
          <w:color w:val="231F20"/>
          <w:spacing w:val="-2"/>
        </w:rPr>
        <w:t> </w:t>
      </w:r>
      <w:r>
        <w:rPr>
          <w:color w:val="231F20"/>
        </w:rPr>
        <w:t>the </w:t>
      </w:r>
      <w:r>
        <w:rPr>
          <w:color w:val="231F20"/>
          <w:spacing w:val="-2"/>
        </w:rPr>
        <w:t>service.</w:t>
      </w:r>
    </w:p>
    <w:p>
      <w:pPr>
        <w:pStyle w:val="BodyText"/>
        <w:spacing w:line="292" w:lineRule="auto"/>
        <w:ind w:left="919" w:right="666" w:firstLine="340"/>
        <w:jc w:val="both"/>
      </w:pPr>
      <w:r>
        <w:rPr>
          <w:color w:val="231F20"/>
        </w:rPr>
        <w:t>Managers should select a structure that reflects their goals </w:t>
      </w:r>
      <w:r>
        <w:rPr>
          <w:color w:val="231F20"/>
        </w:rPr>
        <w:t>and strategy.</w:t>
      </w:r>
      <w:r>
        <w:rPr>
          <w:color w:val="231F20"/>
          <w:spacing w:val="-4"/>
        </w:rPr>
        <w:t> </w:t>
      </w:r>
      <w:r>
        <w:rPr>
          <w:color w:val="231F20"/>
        </w:rPr>
        <w:t>The</w:t>
      </w:r>
      <w:r>
        <w:rPr>
          <w:color w:val="231F20"/>
          <w:spacing w:val="-4"/>
        </w:rPr>
        <w:t> </w:t>
      </w:r>
      <w:r>
        <w:rPr>
          <w:color w:val="231F20"/>
        </w:rPr>
        <w:t>structure</w:t>
      </w:r>
      <w:r>
        <w:rPr>
          <w:color w:val="231F20"/>
          <w:spacing w:val="-4"/>
        </w:rPr>
        <w:t> </w:t>
      </w:r>
      <w:r>
        <w:rPr>
          <w:color w:val="231F20"/>
        </w:rPr>
        <w:t>that</w:t>
      </w:r>
      <w:r>
        <w:rPr>
          <w:color w:val="231F20"/>
          <w:spacing w:val="-4"/>
        </w:rPr>
        <w:t> </w:t>
      </w:r>
      <w:r>
        <w:rPr>
          <w:color w:val="231F20"/>
        </w:rPr>
        <w:t>is</w:t>
      </w:r>
      <w:r>
        <w:rPr>
          <w:color w:val="231F20"/>
          <w:spacing w:val="-4"/>
        </w:rPr>
        <w:t> </w:t>
      </w:r>
      <w:r>
        <w:rPr>
          <w:color w:val="231F20"/>
        </w:rPr>
        <w:t>set</w:t>
      </w:r>
      <w:r>
        <w:rPr>
          <w:color w:val="231F20"/>
          <w:spacing w:val="-4"/>
        </w:rPr>
        <w:t> </w:t>
      </w:r>
      <w:r>
        <w:rPr>
          <w:color w:val="231F20"/>
        </w:rPr>
        <w:t>up</w:t>
      </w:r>
      <w:r>
        <w:rPr>
          <w:color w:val="231F20"/>
          <w:spacing w:val="-4"/>
        </w:rPr>
        <w:t> </w:t>
      </w:r>
      <w:r>
        <w:rPr>
          <w:color w:val="231F20"/>
        </w:rPr>
        <w:t>enables</w:t>
      </w:r>
      <w:r>
        <w:rPr>
          <w:color w:val="231F20"/>
          <w:spacing w:val="-4"/>
        </w:rPr>
        <w:t> </w:t>
      </w:r>
      <w:r>
        <w:rPr>
          <w:color w:val="231F20"/>
        </w:rPr>
        <w:t>individuals</w:t>
      </w:r>
      <w:r>
        <w:rPr>
          <w:color w:val="231F20"/>
          <w:spacing w:val="-4"/>
        </w:rPr>
        <w:t> </w:t>
      </w:r>
      <w:r>
        <w:rPr>
          <w:color w:val="231F20"/>
        </w:rPr>
        <w:t>to</w:t>
      </w:r>
      <w:r>
        <w:rPr>
          <w:color w:val="231F20"/>
          <w:spacing w:val="-4"/>
        </w:rPr>
        <w:t> </w:t>
      </w:r>
      <w:r>
        <w:rPr>
          <w:color w:val="231F20"/>
        </w:rPr>
        <w:t>interact</w:t>
      </w:r>
      <w:r>
        <w:rPr>
          <w:color w:val="231F20"/>
          <w:spacing w:val="-4"/>
        </w:rPr>
        <w:t> </w:t>
      </w:r>
      <w:r>
        <w:rPr>
          <w:color w:val="231F20"/>
        </w:rPr>
        <w:t>in ways that will best achieve goals. Informal reporting relationships form spontaneously, and these fail to be represented in the organiza- tional</w:t>
      </w:r>
      <w:r>
        <w:rPr>
          <w:color w:val="231F20"/>
          <w:spacing w:val="38"/>
        </w:rPr>
        <w:t> </w:t>
      </w:r>
      <w:r>
        <w:rPr>
          <w:color w:val="231F20"/>
        </w:rPr>
        <w:t>charts</w:t>
      </w:r>
      <w:r>
        <w:rPr>
          <w:color w:val="231F20"/>
          <w:spacing w:val="38"/>
        </w:rPr>
        <w:t> </w:t>
      </w:r>
      <w:r>
        <w:rPr>
          <w:color w:val="231F20"/>
        </w:rPr>
        <w:t>kept</w:t>
      </w:r>
      <w:r>
        <w:rPr>
          <w:color w:val="231F20"/>
          <w:spacing w:val="38"/>
        </w:rPr>
        <w:t> </w:t>
      </w:r>
      <w:r>
        <w:rPr>
          <w:color w:val="231F20"/>
        </w:rPr>
        <w:t>by</w:t>
      </w:r>
      <w:r>
        <w:rPr>
          <w:color w:val="231F20"/>
          <w:spacing w:val="38"/>
        </w:rPr>
        <w:t> </w:t>
      </w:r>
      <w:r>
        <w:rPr>
          <w:color w:val="231F20"/>
        </w:rPr>
        <w:t>the</w:t>
      </w:r>
      <w:r>
        <w:rPr>
          <w:color w:val="231F20"/>
          <w:spacing w:val="38"/>
        </w:rPr>
        <w:t> </w:t>
      </w:r>
      <w:r>
        <w:rPr>
          <w:color w:val="231F20"/>
        </w:rPr>
        <w:t>personnel</w:t>
      </w:r>
      <w:r>
        <w:rPr>
          <w:color w:val="231F20"/>
          <w:spacing w:val="38"/>
        </w:rPr>
        <w:t> </w:t>
      </w:r>
      <w:r>
        <w:rPr>
          <w:color w:val="231F20"/>
        </w:rPr>
        <w:t>department.</w:t>
      </w:r>
      <w:r>
        <w:rPr>
          <w:color w:val="231F20"/>
          <w:spacing w:val="38"/>
        </w:rPr>
        <w:t> </w:t>
      </w:r>
      <w:r>
        <w:rPr>
          <w:color w:val="231F20"/>
        </w:rPr>
        <w:t>Recognizing</w:t>
      </w:r>
      <w:r>
        <w:rPr>
          <w:color w:val="231F20"/>
          <w:spacing w:val="38"/>
        </w:rPr>
        <w:t> </w:t>
      </w:r>
      <w:r>
        <w:rPr>
          <w:color w:val="231F20"/>
        </w:rPr>
        <w:t>both</w:t>
      </w:r>
    </w:p>
    <w:p>
      <w:pPr>
        <w:spacing w:after="0" w:line="292" w:lineRule="auto"/>
        <w:jc w:val="both"/>
        <w:sectPr>
          <w:pgSz w:w="8640" w:h="12960"/>
          <w:pgMar w:header="734" w:footer="0" w:top="920" w:bottom="280" w:left="340" w:right="500"/>
        </w:sectPr>
      </w:pPr>
    </w:p>
    <w:p>
      <w:pPr>
        <w:pStyle w:val="BodyText"/>
        <w:spacing w:before="2"/>
        <w:rPr>
          <w:sz w:val="29"/>
        </w:rPr>
      </w:pPr>
    </w:p>
    <w:p>
      <w:pPr>
        <w:pStyle w:val="BodyText"/>
        <w:ind w:left="925"/>
        <w:rPr>
          <w:sz w:val="20"/>
        </w:rPr>
      </w:pPr>
      <w:r>
        <w:rPr>
          <w:sz w:val="20"/>
        </w:rPr>
        <w:drawing>
          <wp:inline distT="0" distB="0" distL="0" distR="0">
            <wp:extent cx="3767895" cy="6132766"/>
            <wp:effectExtent l="0" t="0" r="0" b="0"/>
            <wp:docPr id="47" name="image25.png"/>
            <wp:cNvGraphicFramePr>
              <a:graphicFrameLocks noChangeAspect="1"/>
            </wp:cNvGraphicFramePr>
            <a:graphic>
              <a:graphicData uri="http://schemas.openxmlformats.org/drawingml/2006/picture">
                <pic:pic>
                  <pic:nvPicPr>
                    <pic:cNvPr id="48" name="image25.png"/>
                    <pic:cNvPicPr/>
                  </pic:nvPicPr>
                  <pic:blipFill>
                    <a:blip r:embed="rId47" cstate="print"/>
                    <a:stretch>
                      <a:fillRect/>
                    </a:stretch>
                  </pic:blipFill>
                  <pic:spPr>
                    <a:xfrm>
                      <a:off x="0" y="0"/>
                      <a:ext cx="3767895" cy="6132766"/>
                    </a:xfrm>
                    <a:prstGeom prst="rect">
                      <a:avLst/>
                    </a:prstGeom>
                  </pic:spPr>
                </pic:pic>
              </a:graphicData>
            </a:graphic>
          </wp:inline>
        </w:drawing>
      </w:r>
      <w:r>
        <w:rPr>
          <w:sz w:val="20"/>
        </w:rPr>
      </w:r>
    </w:p>
    <w:p>
      <w:pPr>
        <w:spacing w:after="0"/>
        <w:rPr>
          <w:sz w:val="20"/>
        </w:rPr>
        <w:sectPr>
          <w:pgSz w:w="8640" w:h="12960"/>
          <w:pgMar w:header="732" w:footer="0" w:top="920" w:bottom="280" w:left="340" w:right="500"/>
        </w:sectPr>
      </w:pPr>
    </w:p>
    <w:p>
      <w:pPr>
        <w:pStyle w:val="BodyText"/>
        <w:spacing w:before="5" w:after="1"/>
        <w:rPr>
          <w:sz w:val="27"/>
        </w:rPr>
      </w:pPr>
    </w:p>
    <w:p>
      <w:pPr>
        <w:pStyle w:val="BodyText"/>
        <w:ind w:left="1044"/>
        <w:rPr>
          <w:sz w:val="20"/>
        </w:rPr>
      </w:pPr>
      <w:r>
        <w:rPr>
          <w:sz w:val="20"/>
        </w:rPr>
        <w:drawing>
          <wp:inline distT="0" distB="0" distL="0" distR="0">
            <wp:extent cx="3789888" cy="3425952"/>
            <wp:effectExtent l="0" t="0" r="0" b="0"/>
            <wp:docPr id="49" name="image26.png"/>
            <wp:cNvGraphicFramePr>
              <a:graphicFrameLocks noChangeAspect="1"/>
            </wp:cNvGraphicFramePr>
            <a:graphic>
              <a:graphicData uri="http://schemas.openxmlformats.org/drawingml/2006/picture">
                <pic:pic>
                  <pic:nvPicPr>
                    <pic:cNvPr id="50" name="image26.png"/>
                    <pic:cNvPicPr/>
                  </pic:nvPicPr>
                  <pic:blipFill>
                    <a:blip r:embed="rId48" cstate="print"/>
                    <a:stretch>
                      <a:fillRect/>
                    </a:stretch>
                  </pic:blipFill>
                  <pic:spPr>
                    <a:xfrm>
                      <a:off x="0" y="0"/>
                      <a:ext cx="3789888" cy="3425952"/>
                    </a:xfrm>
                    <a:prstGeom prst="rect">
                      <a:avLst/>
                    </a:prstGeom>
                  </pic:spPr>
                </pic:pic>
              </a:graphicData>
            </a:graphic>
          </wp:inline>
        </w:drawing>
      </w:r>
      <w:r>
        <w:rPr>
          <w:sz w:val="20"/>
        </w:rPr>
      </w:r>
    </w:p>
    <w:p>
      <w:pPr>
        <w:pStyle w:val="BodyText"/>
        <w:rPr>
          <w:sz w:val="20"/>
        </w:rPr>
      </w:pPr>
    </w:p>
    <w:p>
      <w:pPr>
        <w:pStyle w:val="BodyText"/>
        <w:spacing w:before="8"/>
      </w:pPr>
    </w:p>
    <w:p>
      <w:pPr>
        <w:pStyle w:val="BodyText"/>
        <w:spacing w:line="292" w:lineRule="auto" w:before="102"/>
        <w:ind w:left="920" w:right="666"/>
        <w:jc w:val="both"/>
        <w:rPr>
          <w:i/>
        </w:rPr>
      </w:pPr>
      <w:r>
        <w:rPr>
          <w:color w:val="231F20"/>
        </w:rPr>
        <w:t>the formal and informal structures is crucial in executing a </w:t>
      </w:r>
      <w:r>
        <w:rPr>
          <w:color w:val="231F20"/>
        </w:rPr>
        <w:t>success- ful </w:t>
      </w:r>
      <w:r>
        <w:rPr>
          <w:i/>
          <w:color w:val="231F20"/>
        </w:rPr>
        <w:t>action plan.</w:t>
      </w:r>
    </w:p>
    <w:p>
      <w:pPr>
        <w:pStyle w:val="BodyText"/>
        <w:spacing w:line="292" w:lineRule="auto"/>
        <w:ind w:left="919" w:right="665" w:firstLine="340"/>
        <w:jc w:val="both"/>
      </w:pPr>
      <w:r>
        <w:rPr>
          <w:color w:val="231F20"/>
        </w:rPr>
        <w:t>An important issue related to reporting relationships is the </w:t>
      </w:r>
      <w:r>
        <w:rPr>
          <w:i/>
          <w:color w:val="231F20"/>
        </w:rPr>
        <w:t>span</w:t>
      </w:r>
      <w:r>
        <w:rPr>
          <w:i/>
          <w:color w:val="231F20"/>
        </w:rPr>
        <w:t> of control. </w:t>
      </w:r>
      <w:r>
        <w:rPr>
          <w:color w:val="231F20"/>
        </w:rPr>
        <w:t>The span describes the number of people who report to a manager. During restructuring, downsizing, and recessions this topic becomes popular. Using a decreased span of control, large corpora- tions often fire middle-manager MBAs. The remaining managers</w:t>
      </w:r>
      <w:r>
        <w:rPr>
          <w:color w:val="231F20"/>
          <w:spacing w:val="80"/>
        </w:rPr>
        <w:t> </w:t>
      </w:r>
      <w:r>
        <w:rPr>
          <w:color w:val="231F20"/>
        </w:rPr>
        <w:t>have more staff. If a sales organization changes from a policy of one regional manager for every three regions to one for every four, that displaces 25 percent of the regional managers. MBAs call these lay- offs</w:t>
      </w:r>
      <w:r>
        <w:rPr>
          <w:color w:val="231F20"/>
          <w:spacing w:val="40"/>
        </w:rPr>
        <w:t> </w:t>
      </w:r>
      <w:r>
        <w:rPr>
          <w:color w:val="231F20"/>
        </w:rPr>
        <w:t>a</w:t>
      </w:r>
      <w:r>
        <w:rPr>
          <w:color w:val="231F20"/>
          <w:spacing w:val="40"/>
        </w:rPr>
        <w:t> </w:t>
      </w:r>
      <w:r>
        <w:rPr>
          <w:i/>
          <w:color w:val="231F20"/>
        </w:rPr>
        <w:t>reduction</w:t>
      </w:r>
      <w:r>
        <w:rPr>
          <w:i/>
          <w:color w:val="231F20"/>
          <w:spacing w:val="40"/>
        </w:rPr>
        <w:t> </w:t>
      </w:r>
      <w:r>
        <w:rPr>
          <w:i/>
          <w:color w:val="231F20"/>
        </w:rPr>
        <w:t>in</w:t>
      </w:r>
      <w:r>
        <w:rPr>
          <w:i/>
          <w:color w:val="231F20"/>
          <w:spacing w:val="40"/>
        </w:rPr>
        <w:t> </w:t>
      </w:r>
      <w:r>
        <w:rPr>
          <w:i/>
          <w:color w:val="231F20"/>
        </w:rPr>
        <w:t>force</w:t>
      </w:r>
      <w:r>
        <w:rPr>
          <w:i/>
          <w:color w:val="231F20"/>
          <w:spacing w:val="40"/>
        </w:rPr>
        <w:t> </w:t>
      </w:r>
      <w:r>
        <w:rPr>
          <w:color w:val="231F20"/>
        </w:rPr>
        <w:t>(RIF),</w:t>
      </w:r>
      <w:r>
        <w:rPr>
          <w:color w:val="231F20"/>
          <w:spacing w:val="40"/>
        </w:rPr>
        <w:t> </w:t>
      </w:r>
      <w:r>
        <w:rPr>
          <w:i/>
          <w:color w:val="231F20"/>
        </w:rPr>
        <w:t>demassing,</w:t>
      </w:r>
      <w:r>
        <w:rPr>
          <w:i/>
          <w:color w:val="231F20"/>
          <w:spacing w:val="40"/>
        </w:rPr>
        <w:t> </w:t>
      </w:r>
      <w:r>
        <w:rPr>
          <w:color w:val="231F20"/>
        </w:rPr>
        <w:t>or</w:t>
      </w:r>
      <w:r>
        <w:rPr>
          <w:color w:val="231F20"/>
          <w:spacing w:val="40"/>
        </w:rPr>
        <w:t> </w:t>
      </w:r>
      <w:r>
        <w:rPr>
          <w:i/>
          <w:color w:val="231F20"/>
        </w:rPr>
        <w:t>restructuring.</w:t>
      </w:r>
      <w:r>
        <w:rPr>
          <w:i/>
          <w:color w:val="231F20"/>
          <w:spacing w:val="40"/>
        </w:rPr>
        <w:t> </w:t>
      </w:r>
      <w:r>
        <w:rPr>
          <w:color w:val="231F20"/>
        </w:rPr>
        <w:t>It’s</w:t>
      </w:r>
      <w:r>
        <w:rPr>
          <w:color w:val="231F20"/>
          <w:spacing w:val="40"/>
        </w:rPr>
        <w:t> </w:t>
      </w:r>
      <w:r>
        <w:rPr>
          <w:color w:val="231F20"/>
        </w:rPr>
        <w:t>a nice, antiseptic way for managers to describe the firing of many peo- ple. Span-of-control policies are powerful organizational tools.</w:t>
      </w:r>
    </w:p>
    <w:p>
      <w:pPr>
        <w:pStyle w:val="BodyText"/>
        <w:spacing w:before="2"/>
        <w:rPr>
          <w:sz w:val="25"/>
        </w:rPr>
      </w:pPr>
    </w:p>
    <w:p>
      <w:pPr>
        <w:pStyle w:val="BodyText"/>
        <w:spacing w:line="292" w:lineRule="auto"/>
        <w:ind w:left="920" w:right="666"/>
        <w:jc w:val="both"/>
      </w:pPr>
      <w:r>
        <w:rPr>
          <w:i/>
          <w:color w:val="231F20"/>
        </w:rPr>
        <w:t>Systems. </w:t>
      </w:r>
      <w:r>
        <w:rPr>
          <w:color w:val="231F20"/>
        </w:rPr>
        <w:t>Each organization develops </w:t>
      </w:r>
      <w:r>
        <w:rPr>
          <w:i/>
          <w:color w:val="231F20"/>
        </w:rPr>
        <w:t>systems </w:t>
      </w:r>
      <w:r>
        <w:rPr>
          <w:color w:val="231F20"/>
        </w:rPr>
        <w:t>for allocating, con- trolling,</w:t>
      </w:r>
      <w:r>
        <w:rPr>
          <w:color w:val="231F20"/>
          <w:spacing w:val="45"/>
        </w:rPr>
        <w:t> </w:t>
      </w:r>
      <w:r>
        <w:rPr>
          <w:color w:val="231F20"/>
        </w:rPr>
        <w:t>and</w:t>
      </w:r>
      <w:r>
        <w:rPr>
          <w:color w:val="231F20"/>
          <w:spacing w:val="48"/>
        </w:rPr>
        <w:t> </w:t>
      </w:r>
      <w:r>
        <w:rPr>
          <w:color w:val="231F20"/>
        </w:rPr>
        <w:t>monitoring</w:t>
      </w:r>
      <w:r>
        <w:rPr>
          <w:color w:val="231F20"/>
          <w:spacing w:val="47"/>
        </w:rPr>
        <w:t> </w:t>
      </w:r>
      <w:r>
        <w:rPr>
          <w:color w:val="231F20"/>
        </w:rPr>
        <w:t>money,</w:t>
      </w:r>
      <w:r>
        <w:rPr>
          <w:color w:val="231F20"/>
          <w:spacing w:val="48"/>
        </w:rPr>
        <w:t> </w:t>
      </w:r>
      <w:r>
        <w:rPr>
          <w:color w:val="231F20"/>
        </w:rPr>
        <w:t>things,</w:t>
      </w:r>
      <w:r>
        <w:rPr>
          <w:color w:val="231F20"/>
          <w:spacing w:val="48"/>
        </w:rPr>
        <w:t> </w:t>
      </w:r>
      <w:r>
        <w:rPr>
          <w:color w:val="231F20"/>
        </w:rPr>
        <w:t>and</w:t>
      </w:r>
      <w:r>
        <w:rPr>
          <w:color w:val="231F20"/>
          <w:spacing w:val="47"/>
        </w:rPr>
        <w:t> </w:t>
      </w:r>
      <w:r>
        <w:rPr>
          <w:color w:val="231F20"/>
        </w:rPr>
        <w:t>people.</w:t>
      </w:r>
      <w:r>
        <w:rPr>
          <w:color w:val="231F20"/>
          <w:spacing w:val="48"/>
        </w:rPr>
        <w:t> </w:t>
      </w:r>
      <w:r>
        <w:rPr>
          <w:color w:val="231F20"/>
        </w:rPr>
        <w:t>Systems</w:t>
      </w:r>
      <w:r>
        <w:rPr>
          <w:color w:val="231F20"/>
          <w:spacing w:val="48"/>
        </w:rPr>
        <w:t> </w:t>
      </w:r>
      <w:r>
        <w:rPr>
          <w:color w:val="231F20"/>
          <w:spacing w:val="-4"/>
        </w:rPr>
        <w:t>also</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perform informational activities by gathering information and </w:t>
      </w:r>
      <w:r>
        <w:rPr>
          <w:color w:val="231F20"/>
        </w:rPr>
        <w:t>chan- neling it to interested users. Systems fall into one of six categories:</w:t>
      </w:r>
    </w:p>
    <w:p>
      <w:pPr>
        <w:pStyle w:val="BodyText"/>
        <w:spacing w:before="3"/>
        <w:rPr>
          <w:sz w:val="27"/>
        </w:rPr>
      </w:pPr>
    </w:p>
    <w:p>
      <w:pPr>
        <w:spacing w:line="328" w:lineRule="auto" w:before="1"/>
        <w:ind w:left="1509" w:right="1262" w:hanging="340"/>
        <w:jc w:val="left"/>
        <w:rPr>
          <w:rFonts w:ascii="Arial" w:hAnsi="Arial"/>
          <w:sz w:val="19"/>
        </w:rPr>
      </w:pPr>
      <w:r>
        <w:rPr>
          <w:rFonts w:ascii="Arial" w:hAnsi="Arial"/>
          <w:i/>
          <w:color w:val="231F20"/>
          <w:spacing w:val="-1"/>
          <w:w w:val="115"/>
          <w:sz w:val="19"/>
        </w:rPr>
        <w:t>Money</w:t>
      </w:r>
      <w:r>
        <w:rPr>
          <w:rFonts w:ascii="Arial" w:hAnsi="Arial"/>
          <w:i/>
          <w:color w:val="231F20"/>
          <w:spacing w:val="-15"/>
          <w:w w:val="115"/>
          <w:sz w:val="19"/>
        </w:rPr>
        <w:t> </w:t>
      </w:r>
      <w:r>
        <w:rPr>
          <w:rFonts w:ascii="Arial" w:hAnsi="Arial"/>
          <w:i/>
          <w:color w:val="231F20"/>
          <w:spacing w:val="-1"/>
          <w:w w:val="115"/>
          <w:sz w:val="19"/>
        </w:rPr>
        <w:t>Allocation,</w:t>
      </w:r>
      <w:r>
        <w:rPr>
          <w:rFonts w:ascii="Arial" w:hAnsi="Arial"/>
          <w:i/>
          <w:color w:val="231F20"/>
          <w:spacing w:val="-14"/>
          <w:w w:val="115"/>
          <w:sz w:val="19"/>
        </w:rPr>
        <w:t> </w:t>
      </w:r>
      <w:r>
        <w:rPr>
          <w:rFonts w:ascii="Arial" w:hAnsi="Arial"/>
          <w:i/>
          <w:color w:val="231F20"/>
          <w:spacing w:val="-1"/>
          <w:w w:val="115"/>
          <w:sz w:val="19"/>
        </w:rPr>
        <w:t>Control,</w:t>
      </w:r>
      <w:r>
        <w:rPr>
          <w:rFonts w:ascii="Arial" w:hAnsi="Arial"/>
          <w:i/>
          <w:color w:val="231F20"/>
          <w:spacing w:val="-14"/>
          <w:w w:val="115"/>
          <w:sz w:val="19"/>
        </w:rPr>
        <w:t> </w:t>
      </w:r>
      <w:r>
        <w:rPr>
          <w:rFonts w:ascii="Arial" w:hAnsi="Arial"/>
          <w:i/>
          <w:color w:val="231F20"/>
          <w:spacing w:val="-1"/>
          <w:w w:val="115"/>
          <w:sz w:val="19"/>
        </w:rPr>
        <w:t>and</w:t>
      </w:r>
      <w:r>
        <w:rPr>
          <w:rFonts w:ascii="Arial" w:hAnsi="Arial"/>
          <w:i/>
          <w:color w:val="231F20"/>
          <w:spacing w:val="-14"/>
          <w:w w:val="115"/>
          <w:sz w:val="19"/>
        </w:rPr>
        <w:t> </w:t>
      </w:r>
      <w:r>
        <w:rPr>
          <w:rFonts w:ascii="Arial" w:hAnsi="Arial"/>
          <w:i/>
          <w:color w:val="231F20"/>
          <w:spacing w:val="-1"/>
          <w:w w:val="115"/>
          <w:sz w:val="19"/>
        </w:rPr>
        <w:t>Monitoring</w:t>
      </w:r>
      <w:r>
        <w:rPr>
          <w:rFonts w:ascii="Arial" w:hAnsi="Arial"/>
          <w:i/>
          <w:color w:val="231F20"/>
          <w:spacing w:val="-42"/>
          <w:w w:val="115"/>
          <w:sz w:val="19"/>
        </w:rPr>
        <w:t> </w:t>
      </w:r>
      <w:r>
        <w:rPr>
          <w:rFonts w:ascii="Arial" w:hAnsi="Arial"/>
          <w:color w:val="231F20"/>
          <w:spacing w:val="-1"/>
          <w:w w:val="115"/>
          <w:sz w:val="19"/>
        </w:rPr>
        <w:t>—Accounting, </w:t>
      </w:r>
      <w:r>
        <w:rPr>
          <w:rFonts w:ascii="Arial" w:hAnsi="Arial"/>
          <w:color w:val="231F20"/>
          <w:w w:val="115"/>
          <w:sz w:val="19"/>
        </w:rPr>
        <w:t>investment, and budgeting systems</w:t>
      </w:r>
    </w:p>
    <w:p>
      <w:pPr>
        <w:spacing w:line="328" w:lineRule="auto" w:before="1"/>
        <w:ind w:left="1509" w:right="1045" w:hanging="340"/>
        <w:jc w:val="left"/>
        <w:rPr>
          <w:rFonts w:ascii="Arial" w:hAnsi="Arial"/>
          <w:sz w:val="19"/>
        </w:rPr>
      </w:pPr>
      <w:r>
        <w:rPr>
          <w:rFonts w:ascii="Arial" w:hAnsi="Arial"/>
          <w:i/>
          <w:color w:val="231F20"/>
          <w:w w:val="115"/>
          <w:sz w:val="19"/>
        </w:rPr>
        <w:t>Object</w:t>
      </w:r>
      <w:r>
        <w:rPr>
          <w:rFonts w:ascii="Arial" w:hAnsi="Arial"/>
          <w:i/>
          <w:color w:val="231F20"/>
          <w:spacing w:val="-16"/>
          <w:w w:val="115"/>
          <w:sz w:val="19"/>
        </w:rPr>
        <w:t> </w:t>
      </w:r>
      <w:r>
        <w:rPr>
          <w:rFonts w:ascii="Arial" w:hAnsi="Arial"/>
          <w:i/>
          <w:color w:val="231F20"/>
          <w:w w:val="115"/>
          <w:sz w:val="19"/>
        </w:rPr>
        <w:t>Allocation,</w:t>
      </w:r>
      <w:r>
        <w:rPr>
          <w:rFonts w:ascii="Arial" w:hAnsi="Arial"/>
          <w:i/>
          <w:color w:val="231F20"/>
          <w:spacing w:val="-15"/>
          <w:w w:val="115"/>
          <w:sz w:val="19"/>
        </w:rPr>
        <w:t> </w:t>
      </w:r>
      <w:r>
        <w:rPr>
          <w:rFonts w:ascii="Arial" w:hAnsi="Arial"/>
          <w:i/>
          <w:color w:val="231F20"/>
          <w:w w:val="115"/>
          <w:sz w:val="19"/>
        </w:rPr>
        <w:t>Control,</w:t>
      </w:r>
      <w:r>
        <w:rPr>
          <w:rFonts w:ascii="Arial" w:hAnsi="Arial"/>
          <w:i/>
          <w:color w:val="231F20"/>
          <w:spacing w:val="-15"/>
          <w:w w:val="115"/>
          <w:sz w:val="19"/>
        </w:rPr>
        <w:t> </w:t>
      </w:r>
      <w:r>
        <w:rPr>
          <w:rFonts w:ascii="Arial" w:hAnsi="Arial"/>
          <w:i/>
          <w:color w:val="231F20"/>
          <w:w w:val="115"/>
          <w:sz w:val="19"/>
        </w:rPr>
        <w:t>and</w:t>
      </w:r>
      <w:r>
        <w:rPr>
          <w:rFonts w:ascii="Arial" w:hAnsi="Arial"/>
          <w:i/>
          <w:color w:val="231F20"/>
          <w:spacing w:val="-15"/>
          <w:w w:val="115"/>
          <w:sz w:val="19"/>
        </w:rPr>
        <w:t> </w:t>
      </w:r>
      <w:r>
        <w:rPr>
          <w:rFonts w:ascii="Arial" w:hAnsi="Arial"/>
          <w:i/>
          <w:color w:val="231F20"/>
          <w:w w:val="115"/>
          <w:sz w:val="19"/>
        </w:rPr>
        <w:t>Monitoring</w:t>
      </w:r>
      <w:r>
        <w:rPr>
          <w:rFonts w:ascii="Arial" w:hAnsi="Arial"/>
          <w:color w:val="231F20"/>
          <w:w w:val="115"/>
          <w:sz w:val="19"/>
        </w:rPr>
        <w:t>—</w:t>
      </w:r>
      <w:r>
        <w:rPr>
          <w:rFonts w:ascii="Arial" w:hAnsi="Arial"/>
          <w:color w:val="231F20"/>
          <w:spacing w:val="-42"/>
          <w:w w:val="115"/>
          <w:sz w:val="19"/>
        </w:rPr>
        <w:t> </w:t>
      </w:r>
      <w:r>
        <w:rPr>
          <w:rFonts w:ascii="Arial" w:hAnsi="Arial"/>
          <w:color w:val="231F20"/>
          <w:w w:val="115"/>
          <w:sz w:val="19"/>
        </w:rPr>
        <w:t>Inventory</w:t>
      </w:r>
      <w:r>
        <w:rPr>
          <w:rFonts w:ascii="Arial" w:hAnsi="Arial"/>
          <w:color w:val="231F20"/>
          <w:spacing w:val="-15"/>
          <w:w w:val="115"/>
          <w:sz w:val="19"/>
        </w:rPr>
        <w:t> </w:t>
      </w:r>
      <w:r>
        <w:rPr>
          <w:rFonts w:ascii="Arial" w:hAnsi="Arial"/>
          <w:color w:val="231F20"/>
          <w:w w:val="115"/>
          <w:sz w:val="19"/>
        </w:rPr>
        <w:t>and production systems</w:t>
      </w:r>
    </w:p>
    <w:p>
      <w:pPr>
        <w:spacing w:line="328" w:lineRule="auto" w:before="1"/>
        <w:ind w:left="1509" w:right="667" w:hanging="340"/>
        <w:jc w:val="left"/>
        <w:rPr>
          <w:rFonts w:ascii="Arial" w:hAnsi="Arial"/>
          <w:sz w:val="19"/>
        </w:rPr>
      </w:pPr>
      <w:r>
        <w:rPr>
          <w:rFonts w:ascii="Arial" w:hAnsi="Arial"/>
          <w:i/>
          <w:color w:val="231F20"/>
          <w:w w:val="110"/>
          <w:sz w:val="19"/>
        </w:rPr>
        <w:t>People Allocation, Control, and Monitoring</w:t>
      </w:r>
      <w:r>
        <w:rPr>
          <w:rFonts w:ascii="Arial" w:hAnsi="Arial"/>
          <w:i/>
          <w:color w:val="231F20"/>
          <w:spacing w:val="-35"/>
          <w:w w:val="110"/>
          <w:sz w:val="19"/>
        </w:rPr>
        <w:t> </w:t>
      </w:r>
      <w:r>
        <w:rPr>
          <w:rFonts w:ascii="Arial" w:hAnsi="Arial"/>
          <w:color w:val="231F20"/>
          <w:w w:val="110"/>
          <w:sz w:val="19"/>
        </w:rPr>
        <w:t>—</w:t>
      </w:r>
      <w:r>
        <w:rPr>
          <w:rFonts w:ascii="Arial" w:hAnsi="Arial"/>
          <w:color w:val="231F20"/>
          <w:spacing w:val="-35"/>
          <w:w w:val="110"/>
          <w:sz w:val="19"/>
        </w:rPr>
        <w:t> </w:t>
      </w:r>
      <w:r>
        <w:rPr>
          <w:rFonts w:ascii="Arial" w:hAnsi="Arial"/>
          <w:color w:val="231F20"/>
          <w:w w:val="110"/>
          <w:sz w:val="19"/>
        </w:rPr>
        <w:t>Human resource planning, employee data and appraisals</w:t>
      </w:r>
    </w:p>
    <w:p>
      <w:pPr>
        <w:spacing w:line="328" w:lineRule="auto" w:before="2"/>
        <w:ind w:left="1509" w:right="1045" w:hanging="340"/>
        <w:jc w:val="left"/>
        <w:rPr>
          <w:rFonts w:ascii="Arial" w:hAnsi="Arial"/>
          <w:sz w:val="19"/>
        </w:rPr>
      </w:pPr>
      <w:r>
        <w:rPr>
          <w:rFonts w:ascii="Arial" w:hAnsi="Arial"/>
          <w:i/>
          <w:color w:val="231F20"/>
          <w:spacing w:val="-2"/>
          <w:w w:val="115"/>
          <w:sz w:val="19"/>
        </w:rPr>
        <w:t>Future</w:t>
      </w:r>
      <w:r>
        <w:rPr>
          <w:rFonts w:ascii="Arial" w:hAnsi="Arial"/>
          <w:i/>
          <w:color w:val="231F20"/>
          <w:spacing w:val="-7"/>
          <w:w w:val="115"/>
          <w:sz w:val="19"/>
        </w:rPr>
        <w:t> </w:t>
      </w:r>
      <w:r>
        <w:rPr>
          <w:rFonts w:ascii="Arial" w:hAnsi="Arial"/>
          <w:i/>
          <w:color w:val="231F20"/>
          <w:spacing w:val="-2"/>
          <w:w w:val="115"/>
          <w:sz w:val="19"/>
        </w:rPr>
        <w:t>Anticipation</w:t>
      </w:r>
      <w:r>
        <w:rPr>
          <w:rFonts w:ascii="Arial" w:hAnsi="Arial"/>
          <w:color w:val="231F20"/>
          <w:spacing w:val="-2"/>
          <w:w w:val="115"/>
          <w:sz w:val="19"/>
        </w:rPr>
        <w:t>—</w:t>
      </w:r>
      <w:r>
        <w:rPr>
          <w:rFonts w:ascii="Arial" w:hAnsi="Arial"/>
          <w:color w:val="231F20"/>
          <w:spacing w:val="-42"/>
          <w:w w:val="115"/>
          <w:sz w:val="19"/>
        </w:rPr>
        <w:t> </w:t>
      </w:r>
      <w:r>
        <w:rPr>
          <w:rFonts w:ascii="Arial" w:hAnsi="Arial"/>
          <w:color w:val="231F20"/>
          <w:spacing w:val="-2"/>
          <w:w w:val="115"/>
          <w:sz w:val="19"/>
        </w:rPr>
        <w:t>Strategic</w:t>
      </w:r>
      <w:r>
        <w:rPr>
          <w:rFonts w:ascii="Arial" w:hAnsi="Arial"/>
          <w:color w:val="231F20"/>
          <w:spacing w:val="-6"/>
          <w:w w:val="115"/>
          <w:sz w:val="19"/>
        </w:rPr>
        <w:t> </w:t>
      </w:r>
      <w:r>
        <w:rPr>
          <w:rFonts w:ascii="Arial" w:hAnsi="Arial"/>
          <w:color w:val="231F20"/>
          <w:spacing w:val="-2"/>
          <w:w w:val="115"/>
          <w:sz w:val="19"/>
        </w:rPr>
        <w:t>planning,</w:t>
      </w:r>
      <w:r>
        <w:rPr>
          <w:rFonts w:ascii="Arial" w:hAnsi="Arial"/>
          <w:color w:val="231F20"/>
          <w:spacing w:val="-6"/>
          <w:w w:val="115"/>
          <w:sz w:val="19"/>
        </w:rPr>
        <w:t> </w:t>
      </w:r>
      <w:r>
        <w:rPr>
          <w:rFonts w:ascii="Arial" w:hAnsi="Arial"/>
          <w:color w:val="231F20"/>
          <w:spacing w:val="-2"/>
          <w:w w:val="115"/>
          <w:sz w:val="19"/>
        </w:rPr>
        <w:t>marketing-sales </w:t>
      </w:r>
      <w:r>
        <w:rPr>
          <w:rFonts w:ascii="Arial" w:hAnsi="Arial"/>
          <w:color w:val="231F20"/>
          <w:w w:val="115"/>
          <w:sz w:val="19"/>
        </w:rPr>
        <w:t>planning, business development functions</w:t>
      </w:r>
    </w:p>
    <w:p>
      <w:pPr>
        <w:spacing w:line="328" w:lineRule="auto" w:before="1"/>
        <w:ind w:left="1509" w:right="1045" w:hanging="340"/>
        <w:jc w:val="left"/>
        <w:rPr>
          <w:rFonts w:ascii="Arial" w:hAnsi="Arial"/>
          <w:sz w:val="19"/>
        </w:rPr>
      </w:pPr>
      <w:r>
        <w:rPr>
          <w:rFonts w:ascii="Arial" w:hAnsi="Arial"/>
          <w:i/>
          <w:color w:val="231F20"/>
          <w:w w:val="110"/>
          <w:sz w:val="19"/>
        </w:rPr>
        <w:t>People</w:t>
      </w:r>
      <w:r>
        <w:rPr>
          <w:rFonts w:ascii="Arial" w:hAnsi="Arial"/>
          <w:i/>
          <w:color w:val="231F20"/>
          <w:spacing w:val="-11"/>
          <w:w w:val="110"/>
          <w:sz w:val="19"/>
        </w:rPr>
        <w:t> </w:t>
      </w:r>
      <w:r>
        <w:rPr>
          <w:rFonts w:ascii="Arial" w:hAnsi="Arial"/>
          <w:i/>
          <w:color w:val="231F20"/>
          <w:w w:val="110"/>
          <w:sz w:val="19"/>
        </w:rPr>
        <w:t>Reward</w:t>
      </w:r>
      <w:r>
        <w:rPr>
          <w:rFonts w:ascii="Arial" w:hAnsi="Arial"/>
          <w:i/>
          <w:color w:val="231F20"/>
          <w:spacing w:val="-7"/>
          <w:w w:val="110"/>
          <w:sz w:val="19"/>
        </w:rPr>
        <w:t> </w:t>
      </w:r>
      <w:r>
        <w:rPr>
          <w:rFonts w:ascii="Arial" w:hAnsi="Arial"/>
          <w:i/>
          <w:color w:val="231F20"/>
          <w:w w:val="110"/>
          <w:sz w:val="19"/>
        </w:rPr>
        <w:t>and</w:t>
      </w:r>
      <w:r>
        <w:rPr>
          <w:rFonts w:ascii="Arial" w:hAnsi="Arial"/>
          <w:i/>
          <w:color w:val="231F20"/>
          <w:spacing w:val="-7"/>
          <w:w w:val="110"/>
          <w:sz w:val="19"/>
        </w:rPr>
        <w:t> </w:t>
      </w:r>
      <w:r>
        <w:rPr>
          <w:rFonts w:ascii="Arial" w:hAnsi="Arial"/>
          <w:i/>
          <w:color w:val="231F20"/>
          <w:w w:val="110"/>
          <w:sz w:val="19"/>
        </w:rPr>
        <w:t>Incentives</w:t>
      </w:r>
      <w:r>
        <w:rPr>
          <w:rFonts w:ascii="Arial" w:hAnsi="Arial"/>
          <w:i/>
          <w:color w:val="231F20"/>
          <w:spacing w:val="-41"/>
          <w:w w:val="110"/>
          <w:sz w:val="19"/>
        </w:rPr>
        <w:t> </w:t>
      </w:r>
      <w:r>
        <w:rPr>
          <w:rFonts w:ascii="Arial" w:hAnsi="Arial"/>
          <w:color w:val="231F20"/>
          <w:w w:val="110"/>
          <w:sz w:val="19"/>
        </w:rPr>
        <w:t>—</w:t>
      </w:r>
      <w:r>
        <w:rPr>
          <w:rFonts w:ascii="Arial" w:hAnsi="Arial"/>
          <w:color w:val="231F20"/>
          <w:spacing w:val="-39"/>
          <w:w w:val="110"/>
          <w:sz w:val="19"/>
        </w:rPr>
        <w:t> </w:t>
      </w:r>
      <w:r>
        <w:rPr>
          <w:rFonts w:ascii="Arial" w:hAnsi="Arial"/>
          <w:color w:val="231F20"/>
          <w:w w:val="110"/>
          <w:sz w:val="19"/>
        </w:rPr>
        <w:t>Compensation</w:t>
      </w:r>
      <w:r>
        <w:rPr>
          <w:rFonts w:ascii="Arial" w:hAnsi="Arial"/>
          <w:color w:val="231F20"/>
          <w:spacing w:val="-7"/>
          <w:w w:val="110"/>
          <w:sz w:val="19"/>
        </w:rPr>
        <w:t> </w:t>
      </w:r>
      <w:r>
        <w:rPr>
          <w:rFonts w:ascii="Arial" w:hAnsi="Arial"/>
          <w:color w:val="231F20"/>
          <w:w w:val="110"/>
          <w:sz w:val="19"/>
        </w:rPr>
        <w:t>schemes, bonus plans, profit-sharing plans</w:t>
      </w:r>
    </w:p>
    <w:p>
      <w:pPr>
        <w:spacing w:line="328" w:lineRule="auto" w:before="1"/>
        <w:ind w:left="1509" w:right="667" w:hanging="340"/>
        <w:jc w:val="left"/>
        <w:rPr>
          <w:rFonts w:ascii="Arial" w:hAnsi="Arial"/>
          <w:sz w:val="19"/>
        </w:rPr>
      </w:pPr>
      <w:r>
        <w:rPr>
          <w:rFonts w:ascii="Arial" w:hAnsi="Arial"/>
          <w:i/>
          <w:color w:val="231F20"/>
          <w:w w:val="115"/>
          <w:sz w:val="19"/>
        </w:rPr>
        <w:t>Integrative</w:t>
      </w:r>
      <w:r>
        <w:rPr>
          <w:rFonts w:ascii="Arial" w:hAnsi="Arial"/>
          <w:i/>
          <w:color w:val="231F20"/>
          <w:spacing w:val="-40"/>
          <w:w w:val="115"/>
          <w:sz w:val="19"/>
        </w:rPr>
        <w:t> </w:t>
      </w:r>
      <w:r>
        <w:rPr>
          <w:rFonts w:ascii="Arial" w:hAnsi="Arial"/>
          <w:color w:val="231F20"/>
          <w:w w:val="115"/>
          <w:sz w:val="19"/>
        </w:rPr>
        <w:t>—</w:t>
      </w:r>
      <w:r>
        <w:rPr>
          <w:rFonts w:ascii="Arial" w:hAnsi="Arial"/>
          <w:color w:val="231F20"/>
          <w:spacing w:val="-40"/>
          <w:w w:val="115"/>
          <w:sz w:val="19"/>
        </w:rPr>
        <w:t> </w:t>
      </w:r>
      <w:r>
        <w:rPr>
          <w:rFonts w:ascii="Arial" w:hAnsi="Arial"/>
          <w:color w:val="231F20"/>
          <w:w w:val="115"/>
          <w:sz w:val="19"/>
        </w:rPr>
        <w:t>Mixes of the first five. In well-managed companies,</w:t>
      </w:r>
      <w:r>
        <w:rPr>
          <w:rFonts w:ascii="Arial" w:hAnsi="Arial"/>
          <w:color w:val="231F20"/>
          <w:spacing w:val="-7"/>
          <w:w w:val="115"/>
          <w:sz w:val="19"/>
        </w:rPr>
        <w:t> </w:t>
      </w:r>
      <w:r>
        <w:rPr>
          <w:rFonts w:ascii="Arial" w:hAnsi="Arial"/>
          <w:color w:val="231F20"/>
          <w:w w:val="115"/>
          <w:sz w:val="19"/>
        </w:rPr>
        <w:t>integrated</w:t>
      </w:r>
      <w:r>
        <w:rPr>
          <w:rFonts w:ascii="Arial" w:hAnsi="Arial"/>
          <w:color w:val="231F20"/>
          <w:spacing w:val="-7"/>
          <w:w w:val="115"/>
          <w:sz w:val="19"/>
        </w:rPr>
        <w:t> </w:t>
      </w:r>
      <w:r>
        <w:rPr>
          <w:rFonts w:ascii="Arial" w:hAnsi="Arial"/>
          <w:color w:val="231F20"/>
          <w:w w:val="115"/>
          <w:sz w:val="19"/>
        </w:rPr>
        <w:t>systems</w:t>
      </w:r>
      <w:r>
        <w:rPr>
          <w:rFonts w:ascii="Arial" w:hAnsi="Arial"/>
          <w:color w:val="231F20"/>
          <w:spacing w:val="-7"/>
          <w:w w:val="115"/>
          <w:sz w:val="19"/>
        </w:rPr>
        <w:t> </w:t>
      </w:r>
      <w:r>
        <w:rPr>
          <w:rFonts w:ascii="Arial" w:hAnsi="Arial"/>
          <w:color w:val="231F20"/>
          <w:w w:val="115"/>
          <w:sz w:val="19"/>
        </w:rPr>
        <w:t>forecast</w:t>
      </w:r>
      <w:r>
        <w:rPr>
          <w:rFonts w:ascii="Arial" w:hAnsi="Arial"/>
          <w:color w:val="231F20"/>
          <w:spacing w:val="-7"/>
          <w:w w:val="115"/>
          <w:sz w:val="19"/>
        </w:rPr>
        <w:t> </w:t>
      </w:r>
      <w:r>
        <w:rPr>
          <w:rFonts w:ascii="Arial" w:hAnsi="Arial"/>
          <w:color w:val="231F20"/>
          <w:w w:val="115"/>
          <w:sz w:val="19"/>
        </w:rPr>
        <w:t>sales,</w:t>
      </w:r>
      <w:r>
        <w:rPr>
          <w:rFonts w:ascii="Arial" w:hAnsi="Arial"/>
          <w:color w:val="231F20"/>
          <w:spacing w:val="-7"/>
          <w:w w:val="115"/>
          <w:sz w:val="19"/>
        </w:rPr>
        <w:t> </w:t>
      </w:r>
      <w:r>
        <w:rPr>
          <w:rFonts w:ascii="Arial" w:hAnsi="Arial"/>
          <w:color w:val="231F20"/>
          <w:w w:val="115"/>
          <w:sz w:val="19"/>
        </w:rPr>
        <w:t>which</w:t>
      </w:r>
      <w:r>
        <w:rPr>
          <w:rFonts w:ascii="Arial" w:hAnsi="Arial"/>
          <w:color w:val="231F20"/>
          <w:spacing w:val="-7"/>
          <w:w w:val="115"/>
          <w:sz w:val="19"/>
        </w:rPr>
        <w:t> </w:t>
      </w:r>
      <w:r>
        <w:rPr>
          <w:rFonts w:ascii="Arial" w:hAnsi="Arial"/>
          <w:color w:val="231F20"/>
          <w:w w:val="115"/>
          <w:sz w:val="19"/>
        </w:rPr>
        <w:t>in turn</w:t>
      </w:r>
      <w:r>
        <w:rPr>
          <w:rFonts w:ascii="Arial" w:hAnsi="Arial"/>
          <w:color w:val="231F20"/>
          <w:spacing w:val="-5"/>
          <w:w w:val="115"/>
          <w:sz w:val="19"/>
        </w:rPr>
        <w:t> </w:t>
      </w:r>
      <w:r>
        <w:rPr>
          <w:rFonts w:ascii="Arial" w:hAnsi="Arial"/>
          <w:color w:val="231F20"/>
          <w:w w:val="115"/>
          <w:sz w:val="19"/>
        </w:rPr>
        <w:t>dictates</w:t>
      </w:r>
      <w:r>
        <w:rPr>
          <w:rFonts w:ascii="Arial" w:hAnsi="Arial"/>
          <w:color w:val="231F20"/>
          <w:spacing w:val="-5"/>
          <w:w w:val="115"/>
          <w:sz w:val="19"/>
        </w:rPr>
        <w:t> </w:t>
      </w:r>
      <w:r>
        <w:rPr>
          <w:rFonts w:ascii="Arial" w:hAnsi="Arial"/>
          <w:color w:val="231F20"/>
          <w:w w:val="115"/>
          <w:sz w:val="19"/>
        </w:rPr>
        <w:t>production</w:t>
      </w:r>
      <w:r>
        <w:rPr>
          <w:rFonts w:ascii="Arial" w:hAnsi="Arial"/>
          <w:color w:val="231F20"/>
          <w:spacing w:val="-6"/>
          <w:w w:val="115"/>
          <w:sz w:val="19"/>
        </w:rPr>
        <w:t> </w:t>
      </w:r>
      <w:r>
        <w:rPr>
          <w:rFonts w:ascii="Arial" w:hAnsi="Arial"/>
          <w:color w:val="231F20"/>
          <w:w w:val="115"/>
          <w:sz w:val="19"/>
        </w:rPr>
        <w:t>schedules</w:t>
      </w:r>
      <w:r>
        <w:rPr>
          <w:rFonts w:ascii="Arial" w:hAnsi="Arial"/>
          <w:color w:val="231F20"/>
          <w:spacing w:val="-5"/>
          <w:w w:val="115"/>
          <w:sz w:val="19"/>
        </w:rPr>
        <w:t> </w:t>
      </w:r>
      <w:r>
        <w:rPr>
          <w:rFonts w:ascii="Arial" w:hAnsi="Arial"/>
          <w:color w:val="231F20"/>
          <w:w w:val="115"/>
          <w:sz w:val="19"/>
        </w:rPr>
        <w:t>required</w:t>
      </w:r>
      <w:r>
        <w:rPr>
          <w:rFonts w:ascii="Arial" w:hAnsi="Arial"/>
          <w:color w:val="231F20"/>
          <w:spacing w:val="-5"/>
          <w:w w:val="115"/>
          <w:sz w:val="19"/>
        </w:rPr>
        <w:t> </w:t>
      </w:r>
      <w:r>
        <w:rPr>
          <w:rFonts w:ascii="Arial" w:hAnsi="Arial"/>
          <w:color w:val="231F20"/>
          <w:w w:val="115"/>
          <w:sz w:val="19"/>
        </w:rPr>
        <w:t>to</w:t>
      </w:r>
      <w:r>
        <w:rPr>
          <w:rFonts w:ascii="Arial" w:hAnsi="Arial"/>
          <w:color w:val="231F20"/>
          <w:spacing w:val="-6"/>
          <w:w w:val="115"/>
          <w:sz w:val="19"/>
        </w:rPr>
        <w:t> </w:t>
      </w:r>
      <w:r>
        <w:rPr>
          <w:rFonts w:ascii="Arial" w:hAnsi="Arial"/>
          <w:color w:val="231F20"/>
          <w:w w:val="115"/>
          <w:sz w:val="19"/>
        </w:rPr>
        <w:t>meet</w:t>
      </w:r>
      <w:r>
        <w:rPr>
          <w:rFonts w:ascii="Arial" w:hAnsi="Arial"/>
          <w:color w:val="231F20"/>
          <w:spacing w:val="-5"/>
          <w:w w:val="115"/>
          <w:sz w:val="19"/>
        </w:rPr>
        <w:t> </w:t>
      </w:r>
      <w:r>
        <w:rPr>
          <w:rFonts w:ascii="Arial" w:hAnsi="Arial"/>
          <w:color w:val="231F20"/>
          <w:w w:val="115"/>
          <w:sz w:val="19"/>
        </w:rPr>
        <w:t>that </w:t>
      </w:r>
      <w:r>
        <w:rPr>
          <w:rFonts w:ascii="Arial" w:hAnsi="Arial"/>
          <w:color w:val="231F20"/>
          <w:spacing w:val="-2"/>
          <w:w w:val="115"/>
          <w:sz w:val="19"/>
        </w:rPr>
        <w:t>need.</w:t>
      </w:r>
    </w:p>
    <w:p>
      <w:pPr>
        <w:pStyle w:val="BodyText"/>
        <w:spacing w:before="4"/>
        <w:rPr>
          <w:rFonts w:ascii="Arial"/>
          <w:sz w:val="25"/>
        </w:rPr>
      </w:pPr>
    </w:p>
    <w:p>
      <w:pPr>
        <w:pStyle w:val="BodyText"/>
        <w:spacing w:line="292" w:lineRule="auto"/>
        <w:ind w:left="830" w:right="756" w:firstLine="340"/>
        <w:jc w:val="both"/>
      </w:pPr>
      <w:r>
        <w:rPr>
          <w:color w:val="231F20"/>
        </w:rPr>
        <w:t>It is crucial to understand the systems of an organization, be- cause they are the tools for change. Systems provide both a </w:t>
      </w:r>
      <w:r>
        <w:rPr>
          <w:color w:val="231F20"/>
        </w:rPr>
        <w:t>means and, at times, a barrier to corporate change.</w:t>
      </w:r>
    </w:p>
    <w:p>
      <w:pPr>
        <w:pStyle w:val="BodyText"/>
        <w:spacing w:before="6"/>
        <w:rPr>
          <w:sz w:val="25"/>
        </w:rPr>
      </w:pPr>
    </w:p>
    <w:p>
      <w:pPr>
        <w:pStyle w:val="BodyText"/>
        <w:spacing w:line="292" w:lineRule="auto"/>
        <w:ind w:left="830" w:right="753"/>
        <w:jc w:val="both"/>
      </w:pPr>
      <w:r>
        <w:rPr>
          <w:i/>
          <w:color w:val="231F20"/>
        </w:rPr>
        <w:t>Climate.</w:t>
      </w:r>
      <w:r>
        <w:rPr>
          <w:i/>
          <w:color w:val="231F20"/>
          <w:spacing w:val="31"/>
        </w:rPr>
        <w:t> </w:t>
      </w:r>
      <w:r>
        <w:rPr>
          <w:color w:val="231F20"/>
        </w:rPr>
        <w:t>This</w:t>
      </w:r>
      <w:r>
        <w:rPr>
          <w:color w:val="231F20"/>
          <w:spacing w:val="31"/>
        </w:rPr>
        <w:t> </w:t>
      </w:r>
      <w:r>
        <w:rPr>
          <w:color w:val="231F20"/>
        </w:rPr>
        <w:t>is</w:t>
      </w:r>
      <w:r>
        <w:rPr>
          <w:color w:val="231F20"/>
          <w:spacing w:val="31"/>
        </w:rPr>
        <w:t> </w:t>
      </w:r>
      <w:r>
        <w:rPr>
          <w:color w:val="231F20"/>
        </w:rPr>
        <w:t>a</w:t>
      </w:r>
      <w:r>
        <w:rPr>
          <w:color w:val="231F20"/>
          <w:spacing w:val="31"/>
        </w:rPr>
        <w:t> </w:t>
      </w:r>
      <w:r>
        <w:rPr>
          <w:color w:val="231F20"/>
        </w:rPr>
        <w:t>nebulous</w:t>
      </w:r>
      <w:r>
        <w:rPr>
          <w:color w:val="231F20"/>
          <w:spacing w:val="31"/>
        </w:rPr>
        <w:t> </w:t>
      </w:r>
      <w:r>
        <w:rPr>
          <w:color w:val="231F20"/>
        </w:rPr>
        <w:t>term</w:t>
      </w:r>
      <w:r>
        <w:rPr>
          <w:color w:val="231F20"/>
          <w:spacing w:val="31"/>
        </w:rPr>
        <w:t> </w:t>
      </w:r>
      <w:r>
        <w:rPr>
          <w:color w:val="231F20"/>
        </w:rPr>
        <w:t>that</w:t>
      </w:r>
      <w:r>
        <w:rPr>
          <w:color w:val="231F20"/>
          <w:spacing w:val="31"/>
        </w:rPr>
        <w:t> </w:t>
      </w:r>
      <w:r>
        <w:rPr>
          <w:color w:val="231F20"/>
        </w:rPr>
        <w:t>refers</w:t>
      </w:r>
      <w:r>
        <w:rPr>
          <w:color w:val="231F20"/>
          <w:spacing w:val="31"/>
        </w:rPr>
        <w:t> </w:t>
      </w:r>
      <w:r>
        <w:rPr>
          <w:color w:val="231F20"/>
        </w:rPr>
        <w:t>to</w:t>
      </w:r>
      <w:r>
        <w:rPr>
          <w:color w:val="231F20"/>
          <w:spacing w:val="31"/>
        </w:rPr>
        <w:t> </w:t>
      </w:r>
      <w:r>
        <w:rPr>
          <w:color w:val="231F20"/>
        </w:rPr>
        <w:t>the</w:t>
      </w:r>
      <w:r>
        <w:rPr>
          <w:color w:val="231F20"/>
          <w:spacing w:val="31"/>
        </w:rPr>
        <w:t> </w:t>
      </w:r>
      <w:r>
        <w:rPr>
          <w:color w:val="231F20"/>
        </w:rPr>
        <w:t>emotional</w:t>
      </w:r>
      <w:r>
        <w:rPr>
          <w:color w:val="231F20"/>
          <w:spacing w:val="31"/>
        </w:rPr>
        <w:t> </w:t>
      </w:r>
      <w:r>
        <w:rPr>
          <w:color w:val="231F20"/>
        </w:rPr>
        <w:t>state of an organization’s members. Many companies hire expensive con- sultants</w:t>
      </w:r>
      <w:r>
        <w:rPr>
          <w:color w:val="231F20"/>
          <w:spacing w:val="34"/>
        </w:rPr>
        <w:t> </w:t>
      </w:r>
      <w:r>
        <w:rPr>
          <w:color w:val="231F20"/>
        </w:rPr>
        <w:t>to</w:t>
      </w:r>
      <w:r>
        <w:rPr>
          <w:color w:val="231F20"/>
          <w:spacing w:val="34"/>
        </w:rPr>
        <w:t> </w:t>
      </w:r>
      <w:r>
        <w:rPr>
          <w:color w:val="231F20"/>
        </w:rPr>
        <w:t>perform</w:t>
      </w:r>
      <w:r>
        <w:rPr>
          <w:color w:val="231F20"/>
          <w:spacing w:val="34"/>
        </w:rPr>
        <w:t> </w:t>
      </w:r>
      <w:r>
        <w:rPr>
          <w:color w:val="231F20"/>
        </w:rPr>
        <w:t>satisfaction</w:t>
      </w:r>
      <w:r>
        <w:rPr>
          <w:color w:val="231F20"/>
          <w:spacing w:val="34"/>
        </w:rPr>
        <w:t> </w:t>
      </w:r>
      <w:r>
        <w:rPr>
          <w:color w:val="231F20"/>
        </w:rPr>
        <w:t>studies</w:t>
      </w:r>
      <w:r>
        <w:rPr>
          <w:color w:val="231F20"/>
          <w:spacing w:val="34"/>
        </w:rPr>
        <w:t> </w:t>
      </w:r>
      <w:r>
        <w:rPr>
          <w:color w:val="231F20"/>
        </w:rPr>
        <w:t>to</w:t>
      </w:r>
      <w:r>
        <w:rPr>
          <w:color w:val="231F20"/>
          <w:spacing w:val="34"/>
        </w:rPr>
        <w:t> </w:t>
      </w:r>
      <w:r>
        <w:rPr>
          <w:color w:val="231F20"/>
        </w:rPr>
        <w:t>determine</w:t>
      </w:r>
      <w:r>
        <w:rPr>
          <w:color w:val="231F20"/>
          <w:spacing w:val="34"/>
        </w:rPr>
        <w:t> </w:t>
      </w:r>
      <w:r>
        <w:rPr>
          <w:color w:val="231F20"/>
        </w:rPr>
        <w:t>the</w:t>
      </w:r>
      <w:r>
        <w:rPr>
          <w:color w:val="231F20"/>
          <w:spacing w:val="34"/>
        </w:rPr>
        <w:t> </w:t>
      </w:r>
      <w:r>
        <w:rPr>
          <w:color w:val="231F20"/>
        </w:rPr>
        <w:t>“climate” of their organization so that improvements can be made. In service industries</w:t>
      </w:r>
      <w:r>
        <w:rPr>
          <w:color w:val="231F20"/>
          <w:spacing w:val="40"/>
        </w:rPr>
        <w:t> </w:t>
      </w:r>
      <w:r>
        <w:rPr>
          <w:color w:val="231F20"/>
        </w:rPr>
        <w:t>where</w:t>
      </w:r>
      <w:r>
        <w:rPr>
          <w:color w:val="231F20"/>
          <w:spacing w:val="40"/>
        </w:rPr>
        <w:t> </w:t>
      </w:r>
      <w:r>
        <w:rPr>
          <w:color w:val="231F20"/>
        </w:rPr>
        <w:t>people</w:t>
      </w:r>
      <w:r>
        <w:rPr>
          <w:color w:val="231F20"/>
          <w:spacing w:val="40"/>
        </w:rPr>
        <w:t> </w:t>
      </w:r>
      <w:r>
        <w:rPr>
          <w:color w:val="231F20"/>
        </w:rPr>
        <w:t>are</w:t>
      </w:r>
      <w:r>
        <w:rPr>
          <w:color w:val="231F20"/>
          <w:spacing w:val="40"/>
        </w:rPr>
        <w:t> </w:t>
      </w:r>
      <w:r>
        <w:rPr>
          <w:color w:val="231F20"/>
        </w:rPr>
        <w:t>the</w:t>
      </w:r>
      <w:r>
        <w:rPr>
          <w:color w:val="231F20"/>
          <w:spacing w:val="40"/>
        </w:rPr>
        <w:t> </w:t>
      </w:r>
      <w:r>
        <w:rPr>
          <w:color w:val="231F20"/>
        </w:rPr>
        <w:t>most</w:t>
      </w:r>
      <w:r>
        <w:rPr>
          <w:color w:val="231F20"/>
          <w:spacing w:val="40"/>
        </w:rPr>
        <w:t> </w:t>
      </w:r>
      <w:r>
        <w:rPr>
          <w:color w:val="231F20"/>
        </w:rPr>
        <w:t>valuable</w:t>
      </w:r>
      <w:r>
        <w:rPr>
          <w:color w:val="231F20"/>
          <w:spacing w:val="40"/>
        </w:rPr>
        <w:t> </w:t>
      </w:r>
      <w:r>
        <w:rPr>
          <w:color w:val="231F20"/>
        </w:rPr>
        <w:t>assets,</w:t>
      </w:r>
      <w:r>
        <w:rPr>
          <w:color w:val="231F20"/>
          <w:spacing w:val="40"/>
        </w:rPr>
        <w:t> </w:t>
      </w:r>
      <w:r>
        <w:rPr>
          <w:color w:val="231F20"/>
        </w:rPr>
        <w:t>such</w:t>
      </w:r>
      <w:r>
        <w:rPr>
          <w:color w:val="231F20"/>
          <w:spacing w:val="40"/>
        </w:rPr>
        <w:t> </w:t>
      </w:r>
      <w:r>
        <w:rPr>
          <w:color w:val="231F20"/>
        </w:rPr>
        <w:t>as</w:t>
      </w:r>
      <w:r>
        <w:rPr>
          <w:color w:val="231F20"/>
          <w:spacing w:val="80"/>
        </w:rPr>
        <w:t> </w:t>
      </w:r>
      <w:r>
        <w:rPr>
          <w:color w:val="231F20"/>
        </w:rPr>
        <w:t>law firms, investment banking houses, and consulting practices, the climate of the firm plays an important role in determining service </w:t>
      </w:r>
      <w:r>
        <w:rPr>
          <w:color w:val="231F20"/>
          <w:spacing w:val="-2"/>
        </w:rPr>
        <w:t>quality.</w:t>
      </w:r>
    </w:p>
    <w:p>
      <w:pPr>
        <w:pStyle w:val="BodyText"/>
        <w:spacing w:before="4"/>
        <w:rPr>
          <w:sz w:val="25"/>
        </w:rPr>
      </w:pPr>
    </w:p>
    <w:p>
      <w:pPr>
        <w:pStyle w:val="BodyText"/>
        <w:spacing w:line="292" w:lineRule="auto"/>
        <w:ind w:left="830" w:right="756"/>
        <w:jc w:val="both"/>
      </w:pPr>
      <w:r>
        <w:rPr>
          <w:i/>
          <w:color w:val="231F20"/>
        </w:rPr>
        <w:t>Culture. </w:t>
      </w:r>
      <w:r>
        <w:rPr>
          <w:color w:val="231F20"/>
        </w:rPr>
        <w:t>This is another hazy term. Culture is the mix of behaviors, thoughts, beliefs, symbols, and artifacts that are conveyed to </w:t>
      </w:r>
      <w:r>
        <w:rPr>
          <w:color w:val="231F20"/>
        </w:rPr>
        <w:t>people throughout an organization over time. It may extend to such silly things as an unwritten rule that all men must wear white pinpoint oxford</w:t>
      </w:r>
      <w:r>
        <w:rPr>
          <w:color w:val="231F20"/>
          <w:spacing w:val="35"/>
        </w:rPr>
        <w:t> </w:t>
      </w:r>
      <w:r>
        <w:rPr>
          <w:color w:val="231F20"/>
        </w:rPr>
        <w:t>shirts</w:t>
      </w:r>
      <w:r>
        <w:rPr>
          <w:color w:val="231F20"/>
          <w:spacing w:val="36"/>
        </w:rPr>
        <w:t> </w:t>
      </w:r>
      <w:r>
        <w:rPr>
          <w:color w:val="231F20"/>
        </w:rPr>
        <w:t>or</w:t>
      </w:r>
      <w:r>
        <w:rPr>
          <w:color w:val="231F20"/>
          <w:spacing w:val="36"/>
        </w:rPr>
        <w:t> </w:t>
      </w:r>
      <w:r>
        <w:rPr>
          <w:color w:val="231F20"/>
        </w:rPr>
        <w:t>corporate</w:t>
      </w:r>
      <w:r>
        <w:rPr>
          <w:color w:val="231F20"/>
          <w:spacing w:val="36"/>
        </w:rPr>
        <w:t> </w:t>
      </w:r>
      <w:r>
        <w:rPr>
          <w:color w:val="231F20"/>
        </w:rPr>
        <w:t>lapel</w:t>
      </w:r>
      <w:r>
        <w:rPr>
          <w:color w:val="231F20"/>
          <w:spacing w:val="36"/>
        </w:rPr>
        <w:t> </w:t>
      </w:r>
      <w:r>
        <w:rPr>
          <w:color w:val="231F20"/>
        </w:rPr>
        <w:t>pins.</w:t>
      </w:r>
      <w:r>
        <w:rPr>
          <w:color w:val="231F20"/>
          <w:spacing w:val="36"/>
        </w:rPr>
        <w:t> </w:t>
      </w:r>
      <w:r>
        <w:rPr>
          <w:color w:val="231F20"/>
        </w:rPr>
        <w:t>Culture</w:t>
      </w:r>
      <w:r>
        <w:rPr>
          <w:color w:val="231F20"/>
          <w:spacing w:val="36"/>
        </w:rPr>
        <w:t> </w:t>
      </w:r>
      <w:r>
        <w:rPr>
          <w:color w:val="231F20"/>
        </w:rPr>
        <w:t>may</w:t>
      </w:r>
      <w:r>
        <w:rPr>
          <w:color w:val="231F20"/>
          <w:spacing w:val="36"/>
        </w:rPr>
        <w:t> </w:t>
      </w:r>
      <w:r>
        <w:rPr>
          <w:color w:val="231F20"/>
        </w:rPr>
        <w:t>include</w:t>
      </w:r>
      <w:r>
        <w:rPr>
          <w:color w:val="231F20"/>
          <w:spacing w:val="36"/>
        </w:rPr>
        <w:t> </w:t>
      </w:r>
      <w:r>
        <w:rPr>
          <w:color w:val="231F20"/>
        </w:rPr>
        <w:t>a</w:t>
      </w:r>
      <w:r>
        <w:rPr>
          <w:color w:val="231F20"/>
          <w:spacing w:val="36"/>
        </w:rPr>
        <w:t> </w:t>
      </w:r>
      <w:r>
        <w:rPr>
          <w:color w:val="231F20"/>
          <w:spacing w:val="-2"/>
        </w:rPr>
        <w:t>belief</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5"/>
        <w:jc w:val="both"/>
      </w:pPr>
      <w:r>
        <w:rPr>
          <w:color w:val="231F20"/>
          <w:w w:val="105"/>
        </w:rPr>
        <w:t>about</w:t>
      </w:r>
      <w:r>
        <w:rPr>
          <w:color w:val="231F20"/>
          <w:w w:val="105"/>
        </w:rPr>
        <w:t> desired</w:t>
      </w:r>
      <w:r>
        <w:rPr>
          <w:color w:val="231F20"/>
          <w:w w:val="105"/>
        </w:rPr>
        <w:t> employee</w:t>
      </w:r>
      <w:r>
        <w:rPr>
          <w:color w:val="231F20"/>
          <w:w w:val="105"/>
        </w:rPr>
        <w:t> conduct.</w:t>
      </w:r>
      <w:r>
        <w:rPr>
          <w:color w:val="231F20"/>
          <w:w w:val="105"/>
        </w:rPr>
        <w:t> “Senior</w:t>
      </w:r>
      <w:r>
        <w:rPr>
          <w:color w:val="231F20"/>
          <w:w w:val="105"/>
        </w:rPr>
        <w:t> executives</w:t>
      </w:r>
      <w:r>
        <w:rPr>
          <w:color w:val="231F20"/>
          <w:w w:val="105"/>
        </w:rPr>
        <w:t> must</w:t>
      </w:r>
      <w:r>
        <w:rPr>
          <w:color w:val="231F20"/>
          <w:w w:val="105"/>
        </w:rPr>
        <w:t> always work past six o’clock.” “It’s important to look busy at all times.” </w:t>
      </w:r>
      <w:r>
        <w:rPr>
          <w:color w:val="231F20"/>
          <w:w w:val="105"/>
        </w:rPr>
        <w:t>A main</w:t>
      </w:r>
      <w:r>
        <w:rPr>
          <w:color w:val="231F20"/>
          <w:w w:val="105"/>
        </w:rPr>
        <w:t> criterion</w:t>
      </w:r>
      <w:r>
        <w:rPr>
          <w:color w:val="231F20"/>
          <w:w w:val="105"/>
        </w:rPr>
        <w:t> for</w:t>
      </w:r>
      <w:r>
        <w:rPr>
          <w:color w:val="231F20"/>
          <w:w w:val="105"/>
        </w:rPr>
        <w:t> recruiting</w:t>
      </w:r>
      <w:r>
        <w:rPr>
          <w:color w:val="231F20"/>
          <w:w w:val="105"/>
        </w:rPr>
        <w:t> is</w:t>
      </w:r>
      <w:r>
        <w:rPr>
          <w:color w:val="231F20"/>
          <w:w w:val="105"/>
        </w:rPr>
        <w:t> often</w:t>
      </w:r>
      <w:r>
        <w:rPr>
          <w:color w:val="231F20"/>
          <w:w w:val="105"/>
        </w:rPr>
        <w:t> the</w:t>
      </w:r>
      <w:r>
        <w:rPr>
          <w:color w:val="231F20"/>
          <w:w w:val="105"/>
        </w:rPr>
        <w:t> perceived</w:t>
      </w:r>
      <w:r>
        <w:rPr>
          <w:color w:val="231F20"/>
          <w:w w:val="105"/>
        </w:rPr>
        <w:t> “fit”</w:t>
      </w:r>
      <w:r>
        <w:rPr>
          <w:color w:val="231F20"/>
          <w:w w:val="105"/>
        </w:rPr>
        <w:t> of</w:t>
      </w:r>
      <w:r>
        <w:rPr>
          <w:color w:val="231F20"/>
          <w:w w:val="105"/>
        </w:rPr>
        <w:t> inter- viewees</w:t>
      </w:r>
      <w:r>
        <w:rPr>
          <w:color w:val="231F20"/>
          <w:w w:val="105"/>
        </w:rPr>
        <w:t> with</w:t>
      </w:r>
      <w:r>
        <w:rPr>
          <w:color w:val="231F20"/>
          <w:w w:val="105"/>
        </w:rPr>
        <w:t> the</w:t>
      </w:r>
      <w:r>
        <w:rPr>
          <w:color w:val="231F20"/>
          <w:w w:val="105"/>
        </w:rPr>
        <w:t> organization.</w:t>
      </w:r>
      <w:r>
        <w:rPr>
          <w:color w:val="231F20"/>
          <w:w w:val="105"/>
        </w:rPr>
        <w:t> If</w:t>
      </w:r>
      <w:r>
        <w:rPr>
          <w:color w:val="231F20"/>
          <w:w w:val="105"/>
        </w:rPr>
        <w:t> a</w:t>
      </w:r>
      <w:r>
        <w:rPr>
          <w:color w:val="231F20"/>
          <w:w w:val="105"/>
        </w:rPr>
        <w:t> person</w:t>
      </w:r>
      <w:r>
        <w:rPr>
          <w:color w:val="231F20"/>
          <w:w w:val="105"/>
        </w:rPr>
        <w:t> does</w:t>
      </w:r>
      <w:r>
        <w:rPr>
          <w:color w:val="231F20"/>
          <w:w w:val="105"/>
        </w:rPr>
        <w:t> not</w:t>
      </w:r>
      <w:r>
        <w:rPr>
          <w:color w:val="231F20"/>
          <w:w w:val="105"/>
        </w:rPr>
        <w:t> appear</w:t>
      </w:r>
      <w:r>
        <w:rPr>
          <w:color w:val="231F20"/>
          <w:w w:val="105"/>
        </w:rPr>
        <w:t> to</w:t>
      </w:r>
      <w:r>
        <w:rPr>
          <w:color w:val="231F20"/>
          <w:w w:val="105"/>
        </w:rPr>
        <w:t> “fit” into</w:t>
      </w:r>
      <w:r>
        <w:rPr>
          <w:color w:val="231F20"/>
          <w:w w:val="105"/>
        </w:rPr>
        <w:t> the</w:t>
      </w:r>
      <w:r>
        <w:rPr>
          <w:color w:val="231F20"/>
          <w:w w:val="105"/>
        </w:rPr>
        <w:t> corporate</w:t>
      </w:r>
      <w:r>
        <w:rPr>
          <w:color w:val="231F20"/>
          <w:w w:val="105"/>
        </w:rPr>
        <w:t> culture,</w:t>
      </w:r>
      <w:r>
        <w:rPr>
          <w:color w:val="231F20"/>
          <w:w w:val="105"/>
        </w:rPr>
        <w:t> then</w:t>
      </w:r>
      <w:r>
        <w:rPr>
          <w:color w:val="231F20"/>
          <w:w w:val="105"/>
        </w:rPr>
        <w:t> he</w:t>
      </w:r>
      <w:r>
        <w:rPr>
          <w:color w:val="231F20"/>
          <w:w w:val="105"/>
        </w:rPr>
        <w:t> or</w:t>
      </w:r>
      <w:r>
        <w:rPr>
          <w:color w:val="231F20"/>
          <w:w w:val="105"/>
        </w:rPr>
        <w:t> she</w:t>
      </w:r>
      <w:r>
        <w:rPr>
          <w:color w:val="231F20"/>
          <w:w w:val="105"/>
        </w:rPr>
        <w:t> in</w:t>
      </w:r>
      <w:r>
        <w:rPr>
          <w:color w:val="231F20"/>
          <w:w w:val="105"/>
        </w:rPr>
        <w:t> many</w:t>
      </w:r>
      <w:r>
        <w:rPr>
          <w:color w:val="231F20"/>
          <w:w w:val="105"/>
        </w:rPr>
        <w:t> recruiters’</w:t>
      </w:r>
      <w:r>
        <w:rPr>
          <w:color w:val="231F20"/>
          <w:w w:val="105"/>
        </w:rPr>
        <w:t> eyes will probably not be an effective employee.</w:t>
      </w:r>
    </w:p>
    <w:p>
      <w:pPr>
        <w:pStyle w:val="BodyText"/>
        <w:spacing w:line="292" w:lineRule="auto"/>
        <w:ind w:left="919" w:right="663" w:firstLine="340"/>
        <w:jc w:val="both"/>
        <w:rPr>
          <w:i/>
        </w:rPr>
      </w:pPr>
      <w:r>
        <w:rPr>
          <w:color w:val="231F20"/>
        </w:rPr>
        <w:t>The six elements of an organization (strategy, policies, </w:t>
      </w:r>
      <w:r>
        <w:rPr>
          <w:color w:val="231F20"/>
        </w:rPr>
        <w:t>structure, systems, climate, and culture) dynamically affect one another. Each element interacts with the environment as a business strives toward its goals. The </w:t>
      </w:r>
      <w:r>
        <w:rPr>
          <w:i/>
          <w:color w:val="231F20"/>
        </w:rPr>
        <w:t>problem definition/action planning </w:t>
      </w:r>
      <w:r>
        <w:rPr>
          <w:color w:val="231F20"/>
        </w:rPr>
        <w:t>process requires</w:t>
      </w:r>
      <w:r>
        <w:rPr>
          <w:color w:val="231F20"/>
          <w:spacing w:val="40"/>
        </w:rPr>
        <w:t> </w:t>
      </w:r>
      <w:r>
        <w:rPr>
          <w:color w:val="231F20"/>
        </w:rPr>
        <w:t>that a manager look at all six elements of the organization model to determine which </w:t>
      </w:r>
      <w:r>
        <w:rPr>
          <w:i/>
          <w:color w:val="231F20"/>
        </w:rPr>
        <w:t>action levers </w:t>
      </w:r>
      <w:r>
        <w:rPr>
          <w:color w:val="231F20"/>
        </w:rPr>
        <w:t>will exist to implement positive change. If the environment changes, the organizational elements</w:t>
      </w:r>
      <w:r>
        <w:rPr>
          <w:color w:val="231F20"/>
          <w:spacing w:val="40"/>
        </w:rPr>
        <w:t> </w:t>
      </w:r>
      <w:r>
        <w:rPr>
          <w:color w:val="231F20"/>
        </w:rPr>
        <w:t>must adapt. MBAs like to refer to companies that can change as </w:t>
      </w:r>
      <w:r>
        <w:rPr>
          <w:i/>
          <w:color w:val="231F20"/>
        </w:rPr>
        <w:t>learning organizations.</w:t>
      </w:r>
    </w:p>
    <w:p>
      <w:pPr>
        <w:pStyle w:val="BodyText"/>
        <w:spacing w:line="292" w:lineRule="auto"/>
        <w:ind w:left="919" w:right="666" w:firstLine="340"/>
        <w:jc w:val="both"/>
      </w:pPr>
      <w:r>
        <w:rPr>
          <w:color w:val="231F20"/>
          <w:w w:val="105"/>
        </w:rPr>
        <w:t>Organizations</w:t>
      </w:r>
      <w:r>
        <w:rPr>
          <w:color w:val="231F20"/>
          <w:spacing w:val="-11"/>
          <w:w w:val="105"/>
        </w:rPr>
        <w:t> </w:t>
      </w:r>
      <w:r>
        <w:rPr>
          <w:color w:val="231F20"/>
          <w:w w:val="105"/>
        </w:rPr>
        <w:t>that</w:t>
      </w:r>
      <w:r>
        <w:rPr>
          <w:color w:val="231F20"/>
          <w:spacing w:val="-11"/>
          <w:w w:val="105"/>
        </w:rPr>
        <w:t> </w:t>
      </w:r>
      <w:r>
        <w:rPr>
          <w:color w:val="231F20"/>
          <w:w w:val="105"/>
        </w:rPr>
        <w:t>are</w:t>
      </w:r>
      <w:r>
        <w:rPr>
          <w:color w:val="231F20"/>
          <w:spacing w:val="-11"/>
          <w:w w:val="105"/>
        </w:rPr>
        <w:t> </w:t>
      </w:r>
      <w:r>
        <w:rPr>
          <w:color w:val="231F20"/>
          <w:w w:val="105"/>
        </w:rPr>
        <w:t>stuck</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same</w:t>
      </w:r>
      <w:r>
        <w:rPr>
          <w:color w:val="231F20"/>
          <w:spacing w:val="-11"/>
          <w:w w:val="105"/>
        </w:rPr>
        <w:t> </w:t>
      </w:r>
      <w:r>
        <w:rPr>
          <w:color w:val="231F20"/>
          <w:w w:val="105"/>
        </w:rPr>
        <w:t>old</w:t>
      </w:r>
      <w:r>
        <w:rPr>
          <w:color w:val="231F20"/>
          <w:spacing w:val="-11"/>
          <w:w w:val="105"/>
        </w:rPr>
        <w:t> </w:t>
      </w:r>
      <w:r>
        <w:rPr>
          <w:color w:val="231F20"/>
          <w:w w:val="105"/>
        </w:rPr>
        <w:t>pattern</w:t>
      </w:r>
      <w:r>
        <w:rPr>
          <w:color w:val="231F20"/>
          <w:spacing w:val="-11"/>
          <w:w w:val="105"/>
        </w:rPr>
        <w:t> </w:t>
      </w:r>
      <w:r>
        <w:rPr>
          <w:color w:val="231F20"/>
          <w:w w:val="105"/>
        </w:rPr>
        <w:t>of</w:t>
      </w:r>
      <w:r>
        <w:rPr>
          <w:color w:val="231F20"/>
          <w:spacing w:val="-11"/>
          <w:w w:val="105"/>
        </w:rPr>
        <w:t> </w:t>
      </w:r>
      <w:r>
        <w:rPr>
          <w:color w:val="231F20"/>
          <w:w w:val="105"/>
        </w:rPr>
        <w:t>thinking and</w:t>
      </w:r>
      <w:r>
        <w:rPr>
          <w:color w:val="231F20"/>
          <w:w w:val="105"/>
        </w:rPr>
        <w:t> acting</w:t>
      </w:r>
      <w:r>
        <w:rPr>
          <w:color w:val="231F20"/>
          <w:w w:val="105"/>
        </w:rPr>
        <w:t> are</w:t>
      </w:r>
      <w:r>
        <w:rPr>
          <w:color w:val="231F20"/>
          <w:w w:val="105"/>
        </w:rPr>
        <w:t> said</w:t>
      </w:r>
      <w:r>
        <w:rPr>
          <w:color w:val="231F20"/>
          <w:w w:val="105"/>
        </w:rPr>
        <w:t> to</w:t>
      </w:r>
      <w:r>
        <w:rPr>
          <w:color w:val="231F20"/>
          <w:w w:val="105"/>
        </w:rPr>
        <w:t> be</w:t>
      </w:r>
      <w:r>
        <w:rPr>
          <w:color w:val="231F20"/>
          <w:w w:val="105"/>
        </w:rPr>
        <w:t> trapped</w:t>
      </w:r>
      <w:r>
        <w:rPr>
          <w:color w:val="231F20"/>
          <w:w w:val="105"/>
        </w:rPr>
        <w:t> by</w:t>
      </w:r>
      <w:r>
        <w:rPr>
          <w:color w:val="231F20"/>
          <w:w w:val="105"/>
        </w:rPr>
        <w:t> their</w:t>
      </w:r>
      <w:r>
        <w:rPr>
          <w:color w:val="231F20"/>
          <w:w w:val="105"/>
        </w:rPr>
        <w:t> </w:t>
      </w:r>
      <w:r>
        <w:rPr>
          <w:i/>
          <w:color w:val="231F20"/>
          <w:w w:val="105"/>
        </w:rPr>
        <w:t>paradigms</w:t>
      </w:r>
      <w:r>
        <w:rPr>
          <w:i/>
          <w:color w:val="231F20"/>
          <w:w w:val="105"/>
        </w:rPr>
        <w:t> </w:t>
      </w:r>
      <w:r>
        <w:rPr>
          <w:color w:val="231F20"/>
          <w:w w:val="105"/>
        </w:rPr>
        <w:t>or</w:t>
      </w:r>
      <w:r>
        <w:rPr>
          <w:color w:val="231F20"/>
          <w:w w:val="105"/>
        </w:rPr>
        <w:t> mind-set. High-priced</w:t>
      </w:r>
      <w:r>
        <w:rPr>
          <w:color w:val="231F20"/>
          <w:spacing w:val="-9"/>
          <w:w w:val="105"/>
        </w:rPr>
        <w:t> </w:t>
      </w:r>
      <w:r>
        <w:rPr>
          <w:color w:val="231F20"/>
          <w:w w:val="105"/>
        </w:rPr>
        <w:t>consultants</w:t>
      </w:r>
      <w:r>
        <w:rPr>
          <w:color w:val="231F20"/>
          <w:spacing w:val="-9"/>
          <w:w w:val="105"/>
        </w:rPr>
        <w:t> </w:t>
      </w:r>
      <w:r>
        <w:rPr>
          <w:color w:val="231F20"/>
          <w:w w:val="105"/>
        </w:rPr>
        <w:t>often</w:t>
      </w:r>
      <w:r>
        <w:rPr>
          <w:color w:val="231F20"/>
          <w:spacing w:val="-9"/>
          <w:w w:val="105"/>
        </w:rPr>
        <w:t> </w:t>
      </w:r>
      <w:r>
        <w:rPr>
          <w:color w:val="231F20"/>
          <w:w w:val="105"/>
        </w:rPr>
        <w:t>counsel</w:t>
      </w:r>
      <w:r>
        <w:rPr>
          <w:color w:val="231F20"/>
          <w:spacing w:val="-9"/>
          <w:w w:val="105"/>
        </w:rPr>
        <w:t> </w:t>
      </w:r>
      <w:r>
        <w:rPr>
          <w:color w:val="231F20"/>
          <w:w w:val="105"/>
        </w:rPr>
        <w:t>stagnant</w:t>
      </w:r>
      <w:r>
        <w:rPr>
          <w:color w:val="231F20"/>
          <w:spacing w:val="-9"/>
          <w:w w:val="105"/>
        </w:rPr>
        <w:t> </w:t>
      </w:r>
      <w:r>
        <w:rPr>
          <w:color w:val="231F20"/>
          <w:w w:val="105"/>
        </w:rPr>
        <w:t>companies</w:t>
      </w:r>
      <w:r>
        <w:rPr>
          <w:color w:val="231F20"/>
          <w:spacing w:val="-9"/>
          <w:w w:val="105"/>
        </w:rPr>
        <w:t> </w:t>
      </w:r>
      <w:r>
        <w:rPr>
          <w:color w:val="231F20"/>
          <w:w w:val="105"/>
        </w:rPr>
        <w:t>on</w:t>
      </w:r>
      <w:r>
        <w:rPr>
          <w:color w:val="231F20"/>
          <w:spacing w:val="-9"/>
          <w:w w:val="105"/>
        </w:rPr>
        <w:t> </w:t>
      </w:r>
      <w:r>
        <w:rPr>
          <w:color w:val="231F20"/>
          <w:w w:val="105"/>
        </w:rPr>
        <w:t>how to</w:t>
      </w:r>
      <w:r>
        <w:rPr>
          <w:color w:val="231F20"/>
          <w:w w:val="105"/>
        </w:rPr>
        <w:t> break</w:t>
      </w:r>
      <w:r>
        <w:rPr>
          <w:color w:val="231F20"/>
          <w:w w:val="105"/>
        </w:rPr>
        <w:t> their</w:t>
      </w:r>
      <w:r>
        <w:rPr>
          <w:color w:val="231F20"/>
          <w:w w:val="105"/>
        </w:rPr>
        <w:t> old</w:t>
      </w:r>
      <w:r>
        <w:rPr>
          <w:color w:val="231F20"/>
          <w:w w:val="105"/>
        </w:rPr>
        <w:t> paradigms</w:t>
      </w:r>
      <w:r>
        <w:rPr>
          <w:color w:val="231F20"/>
          <w:w w:val="105"/>
        </w:rPr>
        <w:t> so</w:t>
      </w:r>
      <w:r>
        <w:rPr>
          <w:color w:val="231F20"/>
          <w:w w:val="105"/>
        </w:rPr>
        <w:t> that</w:t>
      </w:r>
      <w:r>
        <w:rPr>
          <w:color w:val="231F20"/>
          <w:w w:val="105"/>
        </w:rPr>
        <w:t> they</w:t>
      </w:r>
      <w:r>
        <w:rPr>
          <w:color w:val="231F20"/>
          <w:w w:val="105"/>
        </w:rPr>
        <w:t> can</w:t>
      </w:r>
      <w:r>
        <w:rPr>
          <w:color w:val="231F20"/>
          <w:w w:val="105"/>
        </w:rPr>
        <w:t> change</w:t>
      </w:r>
      <w:r>
        <w:rPr>
          <w:color w:val="231F20"/>
          <w:w w:val="105"/>
        </w:rPr>
        <w:t> and</w:t>
      </w:r>
      <w:r>
        <w:rPr>
          <w:color w:val="231F20"/>
          <w:w w:val="105"/>
        </w:rPr>
        <w:t> succeed. Use</w:t>
      </w:r>
      <w:r>
        <w:rPr>
          <w:color w:val="231F20"/>
          <w:spacing w:val="-5"/>
          <w:w w:val="105"/>
        </w:rPr>
        <w:t> </w:t>
      </w:r>
      <w:r>
        <w:rPr>
          <w:color w:val="231F20"/>
          <w:w w:val="105"/>
        </w:rPr>
        <w:t>the</w:t>
      </w:r>
      <w:r>
        <w:rPr>
          <w:color w:val="231F20"/>
          <w:spacing w:val="-5"/>
          <w:w w:val="105"/>
        </w:rPr>
        <w:t> </w:t>
      </w:r>
      <w:r>
        <w:rPr>
          <w:color w:val="231F20"/>
          <w:w w:val="105"/>
        </w:rPr>
        <w:t>word</w:t>
      </w:r>
      <w:r>
        <w:rPr>
          <w:color w:val="231F20"/>
          <w:spacing w:val="-5"/>
          <w:w w:val="105"/>
        </w:rPr>
        <w:t> </w:t>
      </w:r>
      <w:r>
        <w:rPr>
          <w:i/>
          <w:color w:val="231F20"/>
          <w:w w:val="105"/>
        </w:rPr>
        <w:t>paradigm</w:t>
      </w:r>
      <w:r>
        <w:rPr>
          <w:i/>
          <w:color w:val="231F20"/>
          <w:spacing w:val="-5"/>
          <w:w w:val="105"/>
        </w:rPr>
        <w:t> </w:t>
      </w:r>
      <w:r>
        <w:rPr>
          <w:color w:val="231F20"/>
          <w:w w:val="105"/>
        </w:rPr>
        <w:t>several</w:t>
      </w:r>
      <w:r>
        <w:rPr>
          <w:color w:val="231F20"/>
          <w:spacing w:val="-5"/>
          <w:w w:val="105"/>
        </w:rPr>
        <w:t> </w:t>
      </w:r>
      <w:r>
        <w:rPr>
          <w:color w:val="231F20"/>
          <w:w w:val="105"/>
        </w:rPr>
        <w:t>times</w:t>
      </w:r>
      <w:r>
        <w:rPr>
          <w:color w:val="231F20"/>
          <w:spacing w:val="-5"/>
          <w:w w:val="105"/>
        </w:rPr>
        <w:t> </w:t>
      </w:r>
      <w:r>
        <w:rPr>
          <w:color w:val="231F20"/>
          <w:w w:val="105"/>
        </w:rPr>
        <w:t>in</w:t>
      </w:r>
      <w:r>
        <w:rPr>
          <w:color w:val="231F20"/>
          <w:spacing w:val="-5"/>
          <w:w w:val="105"/>
        </w:rPr>
        <w:t> </w:t>
      </w:r>
      <w:r>
        <w:rPr>
          <w:color w:val="231F20"/>
          <w:w w:val="105"/>
        </w:rPr>
        <w:t>a</w:t>
      </w:r>
      <w:r>
        <w:rPr>
          <w:color w:val="231F20"/>
          <w:spacing w:val="-5"/>
          <w:w w:val="105"/>
        </w:rPr>
        <w:t> </w:t>
      </w:r>
      <w:r>
        <w:rPr>
          <w:color w:val="231F20"/>
          <w:w w:val="105"/>
        </w:rPr>
        <w:t>conversation</w:t>
      </w:r>
      <w:r>
        <w:rPr>
          <w:color w:val="231F20"/>
          <w:spacing w:val="-5"/>
          <w:w w:val="105"/>
        </w:rPr>
        <w:t> </w:t>
      </w:r>
      <w:r>
        <w:rPr>
          <w:color w:val="231F20"/>
          <w:w w:val="105"/>
        </w:rPr>
        <w:t>tomorrow, and you’re one step closer to becoming a Ten-Day MBA.</w:t>
      </w:r>
    </w:p>
    <w:p>
      <w:pPr>
        <w:pStyle w:val="BodyText"/>
        <w:rPr>
          <w:sz w:val="24"/>
        </w:rPr>
      </w:pPr>
    </w:p>
    <w:p>
      <w:pPr>
        <w:pStyle w:val="BodyText"/>
        <w:spacing w:before="8"/>
        <w:rPr>
          <w:sz w:val="19"/>
        </w:rPr>
      </w:pPr>
    </w:p>
    <w:p>
      <w:pPr>
        <w:pStyle w:val="Heading6"/>
        <w:rPr>
          <w:i/>
        </w:rPr>
      </w:pPr>
      <w:r>
        <w:rPr>
          <w:i/>
          <w:color w:val="231F20"/>
          <w:w w:val="110"/>
        </w:rPr>
        <w:t>THE</w:t>
      </w:r>
      <w:r>
        <w:rPr>
          <w:i/>
          <w:color w:val="231F20"/>
          <w:spacing w:val="56"/>
          <w:w w:val="110"/>
        </w:rPr>
        <w:t> </w:t>
      </w:r>
      <w:r>
        <w:rPr>
          <w:i/>
          <w:color w:val="231F20"/>
          <w:w w:val="110"/>
        </w:rPr>
        <w:t>HUMAN</w:t>
      </w:r>
      <w:r>
        <w:rPr>
          <w:i/>
          <w:color w:val="231F20"/>
          <w:spacing w:val="56"/>
          <w:w w:val="110"/>
        </w:rPr>
        <w:t> </w:t>
      </w:r>
      <w:r>
        <w:rPr>
          <w:i/>
          <w:color w:val="231F20"/>
          <w:w w:val="110"/>
        </w:rPr>
        <w:t>TALENT</w:t>
      </w:r>
      <w:r>
        <w:rPr>
          <w:i/>
          <w:color w:val="231F20"/>
          <w:spacing w:val="56"/>
          <w:w w:val="110"/>
        </w:rPr>
        <w:t> </w:t>
      </w:r>
      <w:r>
        <w:rPr>
          <w:i/>
          <w:color w:val="231F20"/>
          <w:w w:val="110"/>
        </w:rPr>
        <w:t>FLOW</w:t>
      </w:r>
      <w:r>
        <w:rPr>
          <w:i/>
          <w:color w:val="231F20"/>
          <w:spacing w:val="57"/>
          <w:w w:val="110"/>
        </w:rPr>
        <w:t> </w:t>
      </w:r>
      <w:r>
        <w:rPr>
          <w:i/>
          <w:color w:val="231F20"/>
          <w:spacing w:val="8"/>
          <w:w w:val="110"/>
        </w:rPr>
        <w:t>PYRAMID</w:t>
      </w:r>
    </w:p>
    <w:p>
      <w:pPr>
        <w:pStyle w:val="BodyText"/>
        <w:spacing w:before="2"/>
        <w:rPr>
          <w:b/>
          <w:i/>
          <w:sz w:val="30"/>
        </w:rPr>
      </w:pPr>
    </w:p>
    <w:p>
      <w:pPr>
        <w:pStyle w:val="BodyText"/>
        <w:spacing w:line="292" w:lineRule="auto"/>
        <w:ind w:left="920" w:right="666"/>
        <w:jc w:val="both"/>
      </w:pPr>
      <w:r>
        <w:rPr>
          <w:color w:val="231F20"/>
        </w:rPr>
        <w:t>The structure of a firm dictates not only how employees are </w:t>
      </w:r>
      <w:r>
        <w:rPr>
          <w:color w:val="231F20"/>
        </w:rPr>
        <w:t>grouped but also how they can advance in a firm. At each progressive stage</w:t>
      </w:r>
      <w:r>
        <w:rPr>
          <w:color w:val="231F20"/>
          <w:spacing w:val="40"/>
        </w:rPr>
        <w:t> </w:t>
      </w:r>
      <w:r>
        <w:rPr>
          <w:color w:val="231F20"/>
        </w:rPr>
        <w:t>the individual assumes more authority. People either leave, get fired, or are promoted. A handy MBA tool to track this flow of human capital is a pyramid diagram.</w:t>
      </w:r>
    </w:p>
    <w:p>
      <w:pPr>
        <w:pStyle w:val="BodyText"/>
        <w:spacing w:line="292" w:lineRule="auto"/>
        <w:ind w:left="919" w:right="666" w:firstLine="340"/>
        <w:jc w:val="both"/>
      </w:pPr>
      <w:r>
        <w:rPr>
          <w:color w:val="231F20"/>
        </w:rPr>
        <w:t>By tracking the flows of people in and out of an organization, </w:t>
      </w:r>
      <w:r>
        <w:rPr>
          <w:color w:val="231F20"/>
        </w:rPr>
        <w:t>we can clearly identify turnover problems, skill deficiencies,</w:t>
      </w:r>
      <w:r>
        <w:rPr>
          <w:color w:val="231F20"/>
        </w:rPr>
        <w:t> and en- trenched management. The diagram helps to point out graphically</w:t>
      </w:r>
      <w:r>
        <w:rPr>
          <w:color w:val="231F20"/>
          <w:spacing w:val="40"/>
        </w:rPr>
        <w:t> </w:t>
      </w:r>
      <w:r>
        <w:rPr>
          <w:color w:val="231F20"/>
        </w:rPr>
        <w:t>the “leakages” and “blockages” of people flows within the organi- zation. Employees enter all levels of the organization as depicted at the</w:t>
      </w:r>
      <w:r>
        <w:rPr>
          <w:color w:val="231F20"/>
          <w:spacing w:val="13"/>
        </w:rPr>
        <w:t> </w:t>
      </w:r>
      <w:r>
        <w:rPr>
          <w:color w:val="231F20"/>
        </w:rPr>
        <w:t>left</w:t>
      </w:r>
      <w:r>
        <w:rPr>
          <w:color w:val="231F20"/>
          <w:spacing w:val="14"/>
        </w:rPr>
        <w:t> </w:t>
      </w:r>
      <w:r>
        <w:rPr>
          <w:color w:val="231F20"/>
        </w:rPr>
        <w:t>and</w:t>
      </w:r>
      <w:r>
        <w:rPr>
          <w:color w:val="231F20"/>
          <w:spacing w:val="14"/>
        </w:rPr>
        <w:t> </w:t>
      </w:r>
      <w:r>
        <w:rPr>
          <w:color w:val="231F20"/>
        </w:rPr>
        <w:t>move</w:t>
      </w:r>
      <w:r>
        <w:rPr>
          <w:color w:val="231F20"/>
          <w:spacing w:val="14"/>
        </w:rPr>
        <w:t> </w:t>
      </w:r>
      <w:r>
        <w:rPr>
          <w:color w:val="231F20"/>
        </w:rPr>
        <w:t>up</w:t>
      </w:r>
      <w:r>
        <w:rPr>
          <w:color w:val="231F20"/>
          <w:spacing w:val="14"/>
        </w:rPr>
        <w:t> </w:t>
      </w:r>
      <w:r>
        <w:rPr>
          <w:color w:val="231F20"/>
        </w:rPr>
        <w:t>within</w:t>
      </w:r>
      <w:r>
        <w:rPr>
          <w:color w:val="231F20"/>
          <w:spacing w:val="13"/>
        </w:rPr>
        <w:t> </w:t>
      </w:r>
      <w:r>
        <w:rPr>
          <w:color w:val="231F20"/>
        </w:rPr>
        <w:t>the</w:t>
      </w:r>
      <w:r>
        <w:rPr>
          <w:color w:val="231F20"/>
          <w:spacing w:val="14"/>
        </w:rPr>
        <w:t> </w:t>
      </w:r>
      <w:r>
        <w:rPr>
          <w:color w:val="231F20"/>
        </w:rPr>
        <w:t>pyramid.</w:t>
      </w:r>
      <w:r>
        <w:rPr>
          <w:color w:val="231F20"/>
          <w:spacing w:val="14"/>
        </w:rPr>
        <w:t> </w:t>
      </w:r>
      <w:r>
        <w:rPr>
          <w:color w:val="231F20"/>
        </w:rPr>
        <w:t>If</w:t>
      </w:r>
      <w:r>
        <w:rPr>
          <w:color w:val="231F20"/>
          <w:spacing w:val="14"/>
        </w:rPr>
        <w:t> </w:t>
      </w:r>
      <w:r>
        <w:rPr>
          <w:color w:val="231F20"/>
        </w:rPr>
        <w:t>there</w:t>
      </w:r>
      <w:r>
        <w:rPr>
          <w:color w:val="231F20"/>
          <w:spacing w:val="14"/>
        </w:rPr>
        <w:t> </w:t>
      </w:r>
      <w:r>
        <w:rPr>
          <w:color w:val="231F20"/>
        </w:rPr>
        <w:t>is</w:t>
      </w:r>
      <w:r>
        <w:rPr>
          <w:color w:val="231F20"/>
          <w:spacing w:val="14"/>
        </w:rPr>
        <w:t> </w:t>
      </w:r>
      <w:r>
        <w:rPr>
          <w:color w:val="231F20"/>
        </w:rPr>
        <w:t>little</w:t>
      </w:r>
      <w:r>
        <w:rPr>
          <w:color w:val="231F20"/>
          <w:spacing w:val="13"/>
        </w:rPr>
        <w:t> </w:t>
      </w:r>
      <w:r>
        <w:rPr>
          <w:color w:val="231F20"/>
          <w:spacing w:val="-2"/>
        </w:rPr>
        <w:t>movement</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from one level to another, this blockage may cause many people </w:t>
      </w:r>
      <w:r>
        <w:rPr>
          <w:color w:val="231F20"/>
        </w:rPr>
        <w:t>to become frustrated and leave to the right of the pyramid, a leakage. Discrimination issues such as “glass ceilings” for women and minor- ity promotions can be analyzed using this pictorial technique.</w:t>
      </w:r>
    </w:p>
    <w:p>
      <w:pPr>
        <w:pStyle w:val="BodyText"/>
        <w:rPr>
          <w:sz w:val="24"/>
        </w:rPr>
      </w:pPr>
    </w:p>
    <w:p>
      <w:pPr>
        <w:pStyle w:val="BodyText"/>
        <w:rPr>
          <w:sz w:val="27"/>
        </w:rPr>
      </w:pPr>
    </w:p>
    <w:p>
      <w:pPr>
        <w:pStyle w:val="Heading6"/>
        <w:ind w:left="299"/>
        <w:rPr>
          <w:i/>
        </w:rPr>
      </w:pPr>
      <w:r>
        <w:rPr>
          <w:i/>
          <w:color w:val="231F20"/>
          <w:w w:val="110"/>
        </w:rPr>
        <w:t>SYSTEMS</w:t>
      </w:r>
      <w:r>
        <w:rPr>
          <w:i/>
          <w:color w:val="231F20"/>
          <w:spacing w:val="65"/>
          <w:w w:val="150"/>
        </w:rPr>
        <w:t> </w:t>
      </w:r>
      <w:r>
        <w:rPr>
          <w:i/>
          <w:color w:val="231F20"/>
          <w:w w:val="110"/>
        </w:rPr>
        <w:t>THEORY</w:t>
      </w:r>
      <w:r>
        <w:rPr>
          <w:i/>
          <w:color w:val="231F20"/>
          <w:spacing w:val="65"/>
          <w:w w:val="150"/>
        </w:rPr>
        <w:t> </w:t>
      </w:r>
      <w:r>
        <w:rPr>
          <w:i/>
          <w:color w:val="231F20"/>
          <w:w w:val="110"/>
        </w:rPr>
        <w:t>AND</w:t>
      </w:r>
      <w:r>
        <w:rPr>
          <w:i/>
          <w:color w:val="231F20"/>
          <w:spacing w:val="65"/>
          <w:w w:val="150"/>
        </w:rPr>
        <w:t> </w:t>
      </w:r>
      <w:r>
        <w:rPr>
          <w:i/>
          <w:color w:val="231F20"/>
          <w:w w:val="110"/>
        </w:rPr>
        <w:t>ORGANIZATIONAL</w:t>
      </w:r>
      <w:r>
        <w:rPr>
          <w:i/>
          <w:color w:val="231F20"/>
          <w:spacing w:val="65"/>
          <w:w w:val="150"/>
        </w:rPr>
        <w:t> </w:t>
      </w:r>
      <w:r>
        <w:rPr>
          <w:i/>
          <w:color w:val="231F20"/>
          <w:spacing w:val="-2"/>
          <w:w w:val="110"/>
        </w:rPr>
        <w:t>ANALYSIS</w:t>
      </w:r>
    </w:p>
    <w:p>
      <w:pPr>
        <w:pStyle w:val="BodyText"/>
        <w:spacing w:before="2"/>
        <w:rPr>
          <w:b/>
          <w:i/>
          <w:sz w:val="30"/>
        </w:rPr>
      </w:pPr>
    </w:p>
    <w:p>
      <w:pPr>
        <w:pStyle w:val="BodyText"/>
        <w:spacing w:line="292" w:lineRule="auto"/>
        <w:ind w:left="830" w:right="756"/>
        <w:jc w:val="both"/>
      </w:pPr>
      <w:r>
        <w:rPr>
          <w:i/>
          <w:color w:val="231F20"/>
        </w:rPr>
        <w:t>Systems theory </w:t>
      </w:r>
      <w:r>
        <w:rPr>
          <w:color w:val="231F20"/>
        </w:rPr>
        <w:t>is a concept that likens organizations to living </w:t>
      </w:r>
      <w:r>
        <w:rPr>
          <w:color w:val="231F20"/>
        </w:rPr>
        <w:t>organ- isms. Just as animals have their endocrine, digestive, and nervous systems, academics propose that organizational bodies have similar </w:t>
      </w:r>
      <w:r>
        <w:rPr>
          <w:i/>
          <w:color w:val="231F20"/>
        </w:rPr>
        <w:t>subsystems </w:t>
      </w:r>
      <w:r>
        <w:rPr>
          <w:color w:val="231F20"/>
        </w:rPr>
        <w:t>that enable them to live. When diagrammed, an organi- zation looks like a paramecium.</w:t>
      </w:r>
    </w:p>
    <w:p>
      <w:pPr>
        <w:pStyle w:val="BodyText"/>
        <w:spacing w:line="292" w:lineRule="auto"/>
        <w:ind w:left="829" w:right="754" w:firstLine="340"/>
        <w:jc w:val="both"/>
      </w:pPr>
      <w:r>
        <w:rPr>
          <w:color w:val="231F20"/>
        </w:rPr>
        <w:t>The</w:t>
      </w:r>
      <w:r>
        <w:rPr>
          <w:color w:val="231F20"/>
          <w:spacing w:val="80"/>
        </w:rPr>
        <w:t> </w:t>
      </w:r>
      <w:r>
        <w:rPr>
          <w:i/>
          <w:color w:val="231F20"/>
        </w:rPr>
        <w:t>management</w:t>
      </w:r>
      <w:r>
        <w:rPr>
          <w:i/>
          <w:color w:val="231F20"/>
          <w:spacing w:val="80"/>
        </w:rPr>
        <w:t> </w:t>
      </w:r>
      <w:r>
        <w:rPr>
          <w:i/>
          <w:color w:val="231F20"/>
        </w:rPr>
        <w:t>subsystem</w:t>
      </w:r>
      <w:r>
        <w:rPr>
          <w:i/>
          <w:color w:val="231F20"/>
          <w:spacing w:val="80"/>
        </w:rPr>
        <w:t> </w:t>
      </w:r>
      <w:r>
        <w:rPr>
          <w:color w:val="231F20"/>
        </w:rPr>
        <w:t>is</w:t>
      </w:r>
      <w:r>
        <w:rPr>
          <w:color w:val="231F20"/>
          <w:spacing w:val="80"/>
        </w:rPr>
        <w:t> </w:t>
      </w:r>
      <w:r>
        <w:rPr>
          <w:color w:val="231F20"/>
        </w:rPr>
        <w:t>the</w:t>
      </w:r>
      <w:r>
        <w:rPr>
          <w:color w:val="231F20"/>
          <w:spacing w:val="80"/>
        </w:rPr>
        <w:t> </w:t>
      </w:r>
      <w:r>
        <w:rPr>
          <w:color w:val="231F20"/>
        </w:rPr>
        <w:t>organ</w:t>
      </w:r>
      <w:r>
        <w:rPr>
          <w:color w:val="231F20"/>
          <w:spacing w:val="80"/>
        </w:rPr>
        <w:t> </w:t>
      </w:r>
      <w:r>
        <w:rPr>
          <w:color w:val="231F20"/>
        </w:rPr>
        <w:t>that</w:t>
      </w:r>
      <w:r>
        <w:rPr>
          <w:color w:val="231F20"/>
          <w:spacing w:val="80"/>
        </w:rPr>
        <w:t> </w:t>
      </w:r>
      <w:r>
        <w:rPr>
          <w:color w:val="231F20"/>
        </w:rPr>
        <w:t>sets</w:t>
      </w:r>
      <w:r>
        <w:rPr>
          <w:color w:val="231F20"/>
          <w:spacing w:val="80"/>
        </w:rPr>
        <w:t> </w:t>
      </w:r>
      <w:r>
        <w:rPr>
          <w:color w:val="231F20"/>
        </w:rPr>
        <w:t>the goals, plans, and controls, similar to the brain. This is the role of </w:t>
      </w:r>
      <w:r>
        <w:rPr>
          <w:color w:val="231F20"/>
          <w:spacing w:val="-2"/>
        </w:rPr>
        <w:t>executives.</w:t>
      </w:r>
    </w:p>
    <w:p>
      <w:pPr>
        <w:pStyle w:val="BodyText"/>
        <w:spacing w:line="292" w:lineRule="auto"/>
        <w:ind w:left="830" w:right="756" w:firstLine="339"/>
        <w:jc w:val="both"/>
      </w:pPr>
      <w:r>
        <w:rPr>
          <w:color w:val="231F20"/>
        </w:rPr>
        <w:t>The </w:t>
      </w:r>
      <w:r>
        <w:rPr>
          <w:i/>
          <w:color w:val="231F20"/>
        </w:rPr>
        <w:t>adaptive subsystem </w:t>
      </w:r>
      <w:r>
        <w:rPr>
          <w:color w:val="231F20"/>
        </w:rPr>
        <w:t>acts as a firm’s eyes to monitor the </w:t>
      </w:r>
      <w:r>
        <w:rPr>
          <w:color w:val="231F20"/>
        </w:rPr>
        <w:t>envi- ronment. The system also makes sure that the firm’s products and services are appropriate in a changing environment to ensure sur- vival. Information gathered from market researchers, customer ser- vice representatives, and salespeople makes a company adaptive.</w:t>
      </w:r>
    </w:p>
    <w:p>
      <w:pPr>
        <w:spacing w:line="292" w:lineRule="auto" w:before="0"/>
        <w:ind w:left="829" w:right="753" w:firstLine="340"/>
        <w:jc w:val="both"/>
        <w:rPr>
          <w:sz w:val="21"/>
        </w:rPr>
      </w:pPr>
      <w:r>
        <w:rPr>
          <w:color w:val="231F20"/>
          <w:sz w:val="21"/>
        </w:rPr>
        <w:t>The</w:t>
      </w:r>
      <w:r>
        <w:rPr>
          <w:color w:val="231F20"/>
          <w:spacing w:val="40"/>
          <w:sz w:val="21"/>
        </w:rPr>
        <w:t> </w:t>
      </w:r>
      <w:r>
        <w:rPr>
          <w:i/>
          <w:color w:val="231F20"/>
          <w:sz w:val="21"/>
        </w:rPr>
        <w:t>boundary</w:t>
      </w:r>
      <w:r>
        <w:rPr>
          <w:i/>
          <w:color w:val="231F20"/>
          <w:spacing w:val="40"/>
          <w:sz w:val="21"/>
        </w:rPr>
        <w:t> </w:t>
      </w:r>
      <w:r>
        <w:rPr>
          <w:i/>
          <w:color w:val="231F20"/>
          <w:sz w:val="21"/>
        </w:rPr>
        <w:t>spanning</w:t>
      </w:r>
      <w:r>
        <w:rPr>
          <w:i/>
          <w:color w:val="231F20"/>
          <w:spacing w:val="40"/>
          <w:sz w:val="21"/>
        </w:rPr>
        <w:t> </w:t>
      </w:r>
      <w:r>
        <w:rPr>
          <w:i/>
          <w:color w:val="231F20"/>
          <w:sz w:val="21"/>
        </w:rPr>
        <w:t>in</w:t>
      </w:r>
      <w:r>
        <w:rPr>
          <w:i/>
          <w:color w:val="231F20"/>
          <w:spacing w:val="40"/>
          <w:sz w:val="21"/>
        </w:rPr>
        <w:t> </w:t>
      </w:r>
      <w:r>
        <w:rPr>
          <w:i/>
          <w:color w:val="231F20"/>
          <w:sz w:val="21"/>
        </w:rPr>
        <w:t>subsystem</w:t>
      </w:r>
      <w:r>
        <w:rPr>
          <w:i/>
          <w:color w:val="231F20"/>
          <w:spacing w:val="40"/>
          <w:sz w:val="21"/>
        </w:rPr>
        <w:t> </w:t>
      </w:r>
      <w:r>
        <w:rPr>
          <w:color w:val="231F20"/>
          <w:sz w:val="21"/>
        </w:rPr>
        <w:t>is</w:t>
      </w:r>
      <w:r>
        <w:rPr>
          <w:color w:val="231F20"/>
          <w:spacing w:val="40"/>
          <w:sz w:val="21"/>
        </w:rPr>
        <w:t> </w:t>
      </w:r>
      <w:r>
        <w:rPr>
          <w:color w:val="231F20"/>
          <w:sz w:val="21"/>
        </w:rPr>
        <w:t>the</w:t>
      </w:r>
      <w:r>
        <w:rPr>
          <w:color w:val="231F20"/>
          <w:spacing w:val="40"/>
          <w:sz w:val="21"/>
        </w:rPr>
        <w:t> </w:t>
      </w:r>
      <w:r>
        <w:rPr>
          <w:color w:val="231F20"/>
          <w:sz w:val="21"/>
        </w:rPr>
        <w:t>mouth.</w:t>
      </w:r>
      <w:r>
        <w:rPr>
          <w:color w:val="231F20"/>
          <w:spacing w:val="40"/>
          <w:sz w:val="21"/>
        </w:rPr>
        <w:t> </w:t>
      </w:r>
      <w:r>
        <w:rPr>
          <w:color w:val="231F20"/>
          <w:sz w:val="21"/>
        </w:rPr>
        <w:t>It</w:t>
      </w:r>
      <w:r>
        <w:rPr>
          <w:color w:val="231F20"/>
          <w:spacing w:val="40"/>
          <w:sz w:val="21"/>
        </w:rPr>
        <w:t> </w:t>
      </w:r>
      <w:r>
        <w:rPr>
          <w:color w:val="231F20"/>
          <w:sz w:val="21"/>
        </w:rPr>
        <w:t>controls the</w:t>
      </w:r>
      <w:r>
        <w:rPr>
          <w:color w:val="231F20"/>
          <w:spacing w:val="78"/>
          <w:sz w:val="21"/>
        </w:rPr>
        <w:t> </w:t>
      </w:r>
      <w:r>
        <w:rPr>
          <w:color w:val="231F20"/>
          <w:sz w:val="21"/>
        </w:rPr>
        <w:t>intake</w:t>
      </w:r>
      <w:r>
        <w:rPr>
          <w:color w:val="231F20"/>
          <w:spacing w:val="79"/>
          <w:sz w:val="21"/>
        </w:rPr>
        <w:t> </w:t>
      </w:r>
      <w:r>
        <w:rPr>
          <w:color w:val="231F20"/>
          <w:sz w:val="21"/>
        </w:rPr>
        <w:t>of</w:t>
      </w:r>
      <w:r>
        <w:rPr>
          <w:color w:val="231F20"/>
          <w:spacing w:val="79"/>
          <w:sz w:val="21"/>
        </w:rPr>
        <w:t> </w:t>
      </w:r>
      <w:r>
        <w:rPr>
          <w:color w:val="231F20"/>
          <w:sz w:val="21"/>
        </w:rPr>
        <w:t>the</w:t>
      </w:r>
      <w:r>
        <w:rPr>
          <w:color w:val="231F20"/>
          <w:spacing w:val="79"/>
          <w:sz w:val="21"/>
        </w:rPr>
        <w:t> </w:t>
      </w:r>
      <w:r>
        <w:rPr>
          <w:color w:val="231F20"/>
          <w:sz w:val="21"/>
        </w:rPr>
        <w:t>organization’s</w:t>
      </w:r>
      <w:r>
        <w:rPr>
          <w:color w:val="231F20"/>
          <w:spacing w:val="79"/>
          <w:sz w:val="21"/>
        </w:rPr>
        <w:t> </w:t>
      </w:r>
      <w:r>
        <w:rPr>
          <w:color w:val="231F20"/>
          <w:sz w:val="21"/>
        </w:rPr>
        <w:t>food.</w:t>
      </w:r>
      <w:r>
        <w:rPr>
          <w:color w:val="231F20"/>
          <w:spacing w:val="79"/>
          <w:sz w:val="21"/>
        </w:rPr>
        <w:t> </w:t>
      </w:r>
      <w:r>
        <w:rPr>
          <w:color w:val="231F20"/>
          <w:sz w:val="21"/>
        </w:rPr>
        <w:t>In</w:t>
      </w:r>
      <w:r>
        <w:rPr>
          <w:color w:val="231F20"/>
          <w:spacing w:val="79"/>
          <w:sz w:val="21"/>
        </w:rPr>
        <w:t> </w:t>
      </w:r>
      <w:r>
        <w:rPr>
          <w:color w:val="231F20"/>
          <w:sz w:val="21"/>
        </w:rPr>
        <w:t>a</w:t>
      </w:r>
      <w:r>
        <w:rPr>
          <w:color w:val="231F20"/>
          <w:spacing w:val="79"/>
          <w:sz w:val="21"/>
        </w:rPr>
        <w:t> </w:t>
      </w:r>
      <w:r>
        <w:rPr>
          <w:color w:val="231F20"/>
          <w:sz w:val="21"/>
        </w:rPr>
        <w:t>company,</w:t>
      </w:r>
      <w:r>
        <w:rPr>
          <w:color w:val="231F20"/>
          <w:spacing w:val="79"/>
          <w:sz w:val="21"/>
        </w:rPr>
        <w:t> </w:t>
      </w:r>
      <w:r>
        <w:rPr>
          <w:color w:val="231F20"/>
          <w:sz w:val="21"/>
        </w:rPr>
        <w:t>this</w:t>
      </w:r>
      <w:r>
        <w:rPr>
          <w:color w:val="231F20"/>
          <w:spacing w:val="79"/>
          <w:sz w:val="21"/>
        </w:rPr>
        <w:t> </w:t>
      </w:r>
      <w:r>
        <w:rPr>
          <w:color w:val="231F20"/>
          <w:spacing w:val="-4"/>
          <w:sz w:val="21"/>
        </w:rPr>
        <w:t>sub-</w:t>
      </w:r>
    </w:p>
    <w:p>
      <w:pPr>
        <w:pStyle w:val="BodyText"/>
        <w:rPr>
          <w:sz w:val="24"/>
        </w:rPr>
      </w:pPr>
    </w:p>
    <w:p>
      <w:pPr>
        <w:spacing w:before="171"/>
        <w:ind w:left="292" w:right="219" w:firstLine="0"/>
        <w:jc w:val="center"/>
        <w:rPr>
          <w:rFonts w:ascii="Arial"/>
          <w:sz w:val="14"/>
        </w:rPr>
      </w:pPr>
      <w:r>
        <w:rPr>
          <w:rFonts w:ascii="Arial"/>
          <w:color w:val="231F20"/>
          <w:w w:val="105"/>
          <w:sz w:val="14"/>
        </w:rPr>
        <w:t>THE</w:t>
      </w:r>
      <w:r>
        <w:rPr>
          <w:rFonts w:ascii="Arial"/>
          <w:color w:val="231F20"/>
          <w:spacing w:val="30"/>
          <w:w w:val="105"/>
          <w:sz w:val="14"/>
        </w:rPr>
        <w:t> </w:t>
      </w:r>
      <w:r>
        <w:rPr>
          <w:rFonts w:ascii="Arial"/>
          <w:color w:val="231F20"/>
          <w:w w:val="105"/>
          <w:sz w:val="14"/>
        </w:rPr>
        <w:t>HUMAN</w:t>
      </w:r>
      <w:r>
        <w:rPr>
          <w:rFonts w:ascii="Arial"/>
          <w:color w:val="231F20"/>
          <w:spacing w:val="31"/>
          <w:w w:val="105"/>
          <w:sz w:val="14"/>
        </w:rPr>
        <w:t> </w:t>
      </w:r>
      <w:r>
        <w:rPr>
          <w:rFonts w:ascii="Arial"/>
          <w:color w:val="231F20"/>
          <w:w w:val="105"/>
          <w:sz w:val="14"/>
        </w:rPr>
        <w:t>TALENT</w:t>
      </w:r>
      <w:r>
        <w:rPr>
          <w:rFonts w:ascii="Arial"/>
          <w:color w:val="231F20"/>
          <w:spacing w:val="31"/>
          <w:w w:val="105"/>
          <w:sz w:val="14"/>
        </w:rPr>
        <w:t> </w:t>
      </w:r>
      <w:r>
        <w:rPr>
          <w:rFonts w:ascii="Arial"/>
          <w:color w:val="231F20"/>
          <w:w w:val="105"/>
          <w:sz w:val="14"/>
        </w:rPr>
        <w:t>FLOW</w:t>
      </w:r>
      <w:r>
        <w:rPr>
          <w:rFonts w:ascii="Arial"/>
          <w:color w:val="231F20"/>
          <w:spacing w:val="31"/>
          <w:w w:val="105"/>
          <w:sz w:val="14"/>
        </w:rPr>
        <w:t> </w:t>
      </w:r>
      <w:r>
        <w:rPr>
          <w:rFonts w:ascii="Arial"/>
          <w:color w:val="231F20"/>
          <w:spacing w:val="-2"/>
          <w:w w:val="105"/>
          <w:sz w:val="14"/>
        </w:rPr>
        <w:t>PYRAMID</w:t>
      </w:r>
    </w:p>
    <w:p>
      <w:pPr>
        <w:pStyle w:val="BodyText"/>
        <w:spacing w:before="5"/>
        <w:rPr>
          <w:rFonts w:ascii="Arial"/>
          <w:sz w:val="16"/>
        </w:rPr>
      </w:pPr>
      <w:r>
        <w:rPr/>
        <w:drawing>
          <wp:anchor distT="0" distB="0" distL="0" distR="0" allowOverlap="1" layoutInCell="1" locked="0" behindDoc="0" simplePos="0" relativeHeight="160">
            <wp:simplePos x="0" y="0"/>
            <wp:positionH relativeFrom="page">
              <wp:posOffset>803804</wp:posOffset>
            </wp:positionH>
            <wp:positionV relativeFrom="paragraph">
              <wp:posOffset>135619</wp:posOffset>
            </wp:positionV>
            <wp:extent cx="3786230" cy="1860232"/>
            <wp:effectExtent l="0" t="0" r="0" b="0"/>
            <wp:wrapTopAndBottom/>
            <wp:docPr id="51" name="image27.png"/>
            <wp:cNvGraphicFramePr>
              <a:graphicFrameLocks noChangeAspect="1"/>
            </wp:cNvGraphicFramePr>
            <a:graphic>
              <a:graphicData uri="http://schemas.openxmlformats.org/drawingml/2006/picture">
                <pic:pic>
                  <pic:nvPicPr>
                    <pic:cNvPr id="52" name="image27.png"/>
                    <pic:cNvPicPr/>
                  </pic:nvPicPr>
                  <pic:blipFill>
                    <a:blip r:embed="rId49" cstate="print"/>
                    <a:stretch>
                      <a:fillRect/>
                    </a:stretch>
                  </pic:blipFill>
                  <pic:spPr>
                    <a:xfrm>
                      <a:off x="0" y="0"/>
                      <a:ext cx="3786230" cy="1860232"/>
                    </a:xfrm>
                    <a:prstGeom prst="rect">
                      <a:avLst/>
                    </a:prstGeom>
                  </pic:spPr>
                </pic:pic>
              </a:graphicData>
            </a:graphic>
          </wp:anchor>
        </w:drawing>
      </w:r>
    </w:p>
    <w:p>
      <w:pPr>
        <w:spacing w:after="0"/>
        <w:rPr>
          <w:rFonts w:ascii="Arial"/>
          <w:sz w:val="16"/>
        </w:rPr>
        <w:sectPr>
          <w:pgSz w:w="8640" w:h="12960"/>
          <w:pgMar w:header="732" w:footer="0" w:top="920" w:bottom="280" w:left="340" w:right="500"/>
        </w:sectPr>
      </w:pPr>
    </w:p>
    <w:p>
      <w:pPr>
        <w:pStyle w:val="BodyText"/>
        <w:rPr>
          <w:rFonts w:ascii="Arial"/>
          <w:sz w:val="18"/>
        </w:rPr>
      </w:pPr>
    </w:p>
    <w:p>
      <w:pPr>
        <w:pStyle w:val="BodyText"/>
        <w:spacing w:line="292" w:lineRule="auto" w:before="102"/>
        <w:ind w:left="920" w:right="666"/>
        <w:jc w:val="both"/>
      </w:pPr>
      <w:r>
        <w:rPr>
          <w:color w:val="231F20"/>
        </w:rPr>
        <w:t>system includes recruiting people, buying raw materials, and </w:t>
      </w:r>
      <w:r>
        <w:rPr>
          <w:color w:val="231F20"/>
        </w:rPr>
        <w:t>raising </w:t>
      </w:r>
      <w:r>
        <w:rPr>
          <w:color w:val="231F20"/>
          <w:spacing w:val="-2"/>
        </w:rPr>
        <w:t>money.</w:t>
      </w:r>
    </w:p>
    <w:p>
      <w:pPr>
        <w:pStyle w:val="BodyText"/>
        <w:spacing w:line="292" w:lineRule="auto"/>
        <w:ind w:left="919" w:right="663" w:firstLine="340"/>
        <w:jc w:val="both"/>
      </w:pPr>
      <w:r>
        <w:rPr>
          <w:color w:val="231F20"/>
        </w:rPr>
        <w:t>The bowels of the company are the </w:t>
      </w:r>
      <w:r>
        <w:rPr>
          <w:i/>
          <w:color w:val="231F20"/>
        </w:rPr>
        <w:t>production subsystem. </w:t>
      </w:r>
      <w:r>
        <w:rPr>
          <w:color w:val="231F20"/>
        </w:rPr>
        <w:t>It converts the inputs into goods and services. In a manufacturing company, these are the factories.</w:t>
      </w:r>
    </w:p>
    <w:p>
      <w:pPr>
        <w:pStyle w:val="BodyText"/>
        <w:spacing w:line="292" w:lineRule="auto"/>
        <w:ind w:left="919" w:right="663" w:firstLine="340"/>
        <w:jc w:val="both"/>
      </w:pPr>
      <w:r>
        <w:rPr>
          <w:color w:val="231F20"/>
        </w:rPr>
        <w:t>The bowels lead to the </w:t>
      </w:r>
      <w:r>
        <w:rPr>
          <w:i/>
          <w:color w:val="231F20"/>
        </w:rPr>
        <w:t>boundary spanning out subsystem. </w:t>
      </w:r>
      <w:r>
        <w:rPr>
          <w:color w:val="231F20"/>
        </w:rPr>
        <w:t>The marketing crew helps the company produce its products and ser- vices. The personnel department deals with the outplacement of em- ployees who have not met company standards. And finally, the</w:t>
      </w:r>
      <w:r>
        <w:rPr>
          <w:color w:val="231F20"/>
          <w:spacing w:val="80"/>
        </w:rPr>
        <w:t> </w:t>
      </w:r>
      <w:r>
        <w:rPr>
          <w:color w:val="231F20"/>
        </w:rPr>
        <w:t>public relations department tries to put a good face on the</w:t>
      </w:r>
      <w:r>
        <w:rPr>
          <w:color w:val="231F20"/>
          <w:spacing w:val="80"/>
        </w:rPr>
        <w:t> </w:t>
      </w:r>
      <w:r>
        <w:rPr>
          <w:color w:val="231F20"/>
        </w:rPr>
        <w:t>company’s actions.</w:t>
      </w:r>
    </w:p>
    <w:p>
      <w:pPr>
        <w:pStyle w:val="BodyText"/>
        <w:spacing w:line="292" w:lineRule="auto"/>
        <w:ind w:left="919" w:right="663" w:firstLine="340"/>
        <w:jc w:val="both"/>
      </w:pPr>
      <w:r>
        <w:rPr>
          <w:color w:val="231F20"/>
        </w:rPr>
        <w:t>Once the animal is breathing and functioning properly, the </w:t>
      </w:r>
      <w:r>
        <w:rPr>
          <w:i/>
          <w:color w:val="231F20"/>
        </w:rPr>
        <w:t>maintenance subsystem </w:t>
      </w:r>
      <w:r>
        <w:rPr>
          <w:color w:val="231F20"/>
        </w:rPr>
        <w:t>tries to keep the other subsystems working efficiently together. This cerebellum maintains a balance in the orga- nization</w:t>
      </w:r>
      <w:r>
        <w:rPr>
          <w:color w:val="231F20"/>
          <w:spacing w:val="31"/>
        </w:rPr>
        <w:t> </w:t>
      </w:r>
      <w:r>
        <w:rPr>
          <w:color w:val="231F20"/>
        </w:rPr>
        <w:t>by</w:t>
      </w:r>
      <w:r>
        <w:rPr>
          <w:color w:val="231F20"/>
          <w:spacing w:val="31"/>
        </w:rPr>
        <w:t> </w:t>
      </w:r>
      <w:r>
        <w:rPr>
          <w:color w:val="231F20"/>
        </w:rPr>
        <w:t>coordinating</w:t>
      </w:r>
      <w:r>
        <w:rPr>
          <w:color w:val="231F20"/>
          <w:spacing w:val="31"/>
        </w:rPr>
        <w:t> </w:t>
      </w:r>
      <w:r>
        <w:rPr>
          <w:color w:val="231F20"/>
        </w:rPr>
        <w:t>all</w:t>
      </w:r>
      <w:r>
        <w:rPr>
          <w:color w:val="231F20"/>
          <w:spacing w:val="31"/>
        </w:rPr>
        <w:t> </w:t>
      </w:r>
      <w:r>
        <w:rPr>
          <w:color w:val="231F20"/>
        </w:rPr>
        <w:t>the</w:t>
      </w:r>
      <w:r>
        <w:rPr>
          <w:color w:val="231F20"/>
          <w:spacing w:val="31"/>
        </w:rPr>
        <w:t> </w:t>
      </w:r>
      <w:r>
        <w:rPr>
          <w:color w:val="231F20"/>
        </w:rPr>
        <w:t>movements</w:t>
      </w:r>
      <w:r>
        <w:rPr>
          <w:color w:val="231F20"/>
          <w:spacing w:val="31"/>
        </w:rPr>
        <w:t> </w:t>
      </w:r>
      <w:r>
        <w:rPr>
          <w:color w:val="231F20"/>
        </w:rPr>
        <w:t>of</w:t>
      </w:r>
      <w:r>
        <w:rPr>
          <w:color w:val="231F20"/>
          <w:spacing w:val="31"/>
        </w:rPr>
        <w:t> </w:t>
      </w:r>
      <w:r>
        <w:rPr>
          <w:color w:val="231F20"/>
        </w:rPr>
        <w:t>the</w:t>
      </w:r>
      <w:r>
        <w:rPr>
          <w:color w:val="231F20"/>
          <w:spacing w:val="31"/>
        </w:rPr>
        <w:t> </w:t>
      </w:r>
      <w:r>
        <w:rPr>
          <w:color w:val="231F20"/>
        </w:rPr>
        <w:t>body.</w:t>
      </w:r>
      <w:r>
        <w:rPr>
          <w:color w:val="231F20"/>
          <w:spacing w:val="31"/>
        </w:rPr>
        <w:t> </w:t>
      </w:r>
      <w:r>
        <w:rPr>
          <w:color w:val="231F20"/>
        </w:rPr>
        <w:t>Examples of the maintenance subsystems include employee incentives and company newsletters.</w:t>
      </w:r>
    </w:p>
    <w:p>
      <w:pPr>
        <w:pStyle w:val="BodyText"/>
        <w:spacing w:line="292" w:lineRule="auto"/>
        <w:ind w:left="919" w:right="666" w:firstLine="340"/>
        <w:jc w:val="both"/>
      </w:pPr>
      <w:r>
        <w:rPr>
          <w:color w:val="231F20"/>
        </w:rPr>
        <w:t>Systems theory provides yet another way of analyzing an </w:t>
      </w:r>
      <w:r>
        <w:rPr>
          <w:color w:val="231F20"/>
        </w:rPr>
        <w:t>organi- zation to gauge its health or to make a change in its lifestyle.</w:t>
      </w:r>
    </w:p>
    <w:p>
      <w:pPr>
        <w:pStyle w:val="BodyText"/>
        <w:rPr>
          <w:sz w:val="24"/>
        </w:rPr>
      </w:pPr>
    </w:p>
    <w:p>
      <w:pPr>
        <w:pStyle w:val="BodyText"/>
        <w:spacing w:before="7"/>
        <w:rPr>
          <w:sz w:val="26"/>
        </w:rPr>
      </w:pPr>
    </w:p>
    <w:p>
      <w:pPr>
        <w:pStyle w:val="Heading6"/>
        <w:spacing w:line="292" w:lineRule="auto"/>
        <w:ind w:left="2552" w:right="2157" w:hanging="241"/>
        <w:jc w:val="left"/>
      </w:pPr>
      <w:r>
        <w:rPr>
          <w:i/>
          <w:color w:val="231F20"/>
          <w:w w:val="110"/>
        </w:rPr>
        <w:t>EVOLUTION</w:t>
      </w:r>
      <w:r>
        <w:rPr>
          <w:i/>
          <w:color w:val="231F20"/>
          <w:w w:val="110"/>
        </w:rPr>
        <w:t> AND</w:t>
      </w:r>
      <w:r>
        <w:rPr>
          <w:i/>
          <w:color w:val="231F20"/>
          <w:w w:val="110"/>
        </w:rPr>
        <w:t> </w:t>
      </w:r>
      <w:r>
        <w:rPr>
          <w:i/>
          <w:color w:val="231F20"/>
          <w:spacing w:val="10"/>
          <w:w w:val="110"/>
        </w:rPr>
        <w:t>REVOLUTION</w:t>
      </w:r>
      <w:r>
        <w:rPr>
          <w:color w:val="231F20"/>
          <w:spacing w:val="10"/>
          <w:w w:val="110"/>
        </w:rPr>
        <w:t> </w:t>
      </w:r>
      <w:r>
        <w:rPr>
          <w:color w:val="231F20"/>
          <w:w w:val="110"/>
        </w:rPr>
        <w:t>AS</w:t>
      </w:r>
      <w:r>
        <w:rPr>
          <w:color w:val="231F20"/>
          <w:w w:val="110"/>
        </w:rPr>
        <w:t> ORGANIZATIONS</w:t>
      </w:r>
      <w:r>
        <w:rPr>
          <w:color w:val="231F20"/>
          <w:w w:val="110"/>
        </w:rPr>
        <w:t> </w:t>
      </w:r>
      <w:r>
        <w:rPr>
          <w:color w:val="231F20"/>
          <w:spacing w:val="10"/>
          <w:w w:val="110"/>
        </w:rPr>
        <w:t>GROW</w:t>
      </w:r>
    </w:p>
    <w:p>
      <w:pPr>
        <w:pStyle w:val="BodyText"/>
        <w:spacing w:before="6"/>
        <w:rPr>
          <w:b/>
          <w:i/>
          <w:sz w:val="25"/>
        </w:rPr>
      </w:pPr>
    </w:p>
    <w:p>
      <w:pPr>
        <w:pStyle w:val="BodyText"/>
        <w:spacing w:line="292" w:lineRule="auto"/>
        <w:ind w:left="920" w:right="666"/>
        <w:jc w:val="both"/>
      </w:pPr>
      <w:r>
        <w:rPr>
          <w:color w:val="231F20"/>
        </w:rPr>
        <w:t>Larry E. Greiner of the Harvard Business School wrote a classic </w:t>
      </w:r>
      <w:r>
        <w:rPr>
          <w:color w:val="231F20"/>
        </w:rPr>
        <w:t>arti- cle with this title in the </w:t>
      </w:r>
      <w:r>
        <w:rPr>
          <w:i/>
          <w:color w:val="231F20"/>
        </w:rPr>
        <w:t>Harvard Business Review </w:t>
      </w:r>
      <w:r>
        <w:rPr>
          <w:color w:val="231F20"/>
        </w:rPr>
        <w:t>in July 1972, de- scribing the growing pains that organizations go through.</w:t>
      </w:r>
    </w:p>
    <w:p>
      <w:pPr>
        <w:pStyle w:val="BodyText"/>
        <w:spacing w:line="292" w:lineRule="auto"/>
        <w:ind w:left="920" w:right="671" w:firstLine="340"/>
        <w:jc w:val="both"/>
      </w:pPr>
      <w:r>
        <w:rPr>
          <w:color w:val="231F20"/>
          <w:spacing w:val="-2"/>
        </w:rPr>
        <w:t>Greiner</w:t>
      </w:r>
      <w:r>
        <w:rPr>
          <w:color w:val="231F20"/>
          <w:spacing w:val="-5"/>
        </w:rPr>
        <w:t> </w:t>
      </w:r>
      <w:r>
        <w:rPr>
          <w:color w:val="231F20"/>
          <w:spacing w:val="-2"/>
        </w:rPr>
        <w:t>proposed</w:t>
      </w:r>
      <w:r>
        <w:rPr>
          <w:color w:val="231F20"/>
          <w:spacing w:val="-5"/>
        </w:rPr>
        <w:t> </w:t>
      </w:r>
      <w:r>
        <w:rPr>
          <w:color w:val="231F20"/>
          <w:spacing w:val="-2"/>
        </w:rPr>
        <w:t>that</w:t>
      </w:r>
      <w:r>
        <w:rPr>
          <w:color w:val="231F20"/>
          <w:spacing w:val="-5"/>
        </w:rPr>
        <w:t> </w:t>
      </w:r>
      <w:r>
        <w:rPr>
          <w:color w:val="231F20"/>
          <w:spacing w:val="-2"/>
        </w:rPr>
        <w:t>organizations</w:t>
      </w:r>
      <w:r>
        <w:rPr>
          <w:color w:val="231F20"/>
          <w:spacing w:val="-5"/>
        </w:rPr>
        <w:t> </w:t>
      </w:r>
      <w:r>
        <w:rPr>
          <w:color w:val="231F20"/>
          <w:spacing w:val="-2"/>
        </w:rPr>
        <w:t>exhibit</w:t>
      </w:r>
      <w:r>
        <w:rPr>
          <w:color w:val="231F20"/>
          <w:spacing w:val="-5"/>
        </w:rPr>
        <w:t> </w:t>
      </w:r>
      <w:r>
        <w:rPr>
          <w:color w:val="231F20"/>
          <w:spacing w:val="-2"/>
        </w:rPr>
        <w:t>five</w:t>
      </w:r>
      <w:r>
        <w:rPr>
          <w:color w:val="231F20"/>
          <w:spacing w:val="-5"/>
        </w:rPr>
        <w:t> </w:t>
      </w:r>
      <w:r>
        <w:rPr>
          <w:color w:val="231F20"/>
          <w:spacing w:val="-2"/>
        </w:rPr>
        <w:t>predictable</w:t>
      </w:r>
      <w:r>
        <w:rPr>
          <w:color w:val="231F20"/>
          <w:spacing w:val="-5"/>
        </w:rPr>
        <w:t> </w:t>
      </w:r>
      <w:r>
        <w:rPr>
          <w:color w:val="231F20"/>
          <w:spacing w:val="-2"/>
        </w:rPr>
        <w:t>stages </w:t>
      </w:r>
      <w:r>
        <w:rPr>
          <w:color w:val="231F20"/>
        </w:rPr>
        <w:t>of</w:t>
      </w:r>
      <w:r>
        <w:rPr>
          <w:color w:val="231F20"/>
          <w:spacing w:val="-12"/>
        </w:rPr>
        <w:t> </w:t>
      </w:r>
      <w:r>
        <w:rPr>
          <w:color w:val="231F20"/>
        </w:rPr>
        <w:t>growth</w:t>
      </w:r>
      <w:r>
        <w:rPr>
          <w:color w:val="231F20"/>
          <w:spacing w:val="-12"/>
        </w:rPr>
        <w:t> </w:t>
      </w:r>
      <w:r>
        <w:rPr>
          <w:color w:val="231F20"/>
        </w:rPr>
        <w:t>called</w:t>
      </w:r>
      <w:r>
        <w:rPr>
          <w:color w:val="231F20"/>
          <w:spacing w:val="-11"/>
        </w:rPr>
        <w:t> </w:t>
      </w:r>
      <w:r>
        <w:rPr>
          <w:i/>
          <w:color w:val="231F20"/>
        </w:rPr>
        <w:t>evolutions</w:t>
      </w:r>
      <w:r>
        <w:rPr>
          <w:i/>
          <w:color w:val="231F20"/>
          <w:spacing w:val="-12"/>
        </w:rPr>
        <w:t> </w:t>
      </w:r>
      <w:r>
        <w:rPr>
          <w:color w:val="231F20"/>
        </w:rPr>
        <w:t>and</w:t>
      </w:r>
      <w:r>
        <w:rPr>
          <w:color w:val="231F20"/>
          <w:spacing w:val="-11"/>
        </w:rPr>
        <w:t> </w:t>
      </w:r>
      <w:r>
        <w:rPr>
          <w:color w:val="231F20"/>
        </w:rPr>
        <w:t>five</w:t>
      </w:r>
      <w:r>
        <w:rPr>
          <w:color w:val="231F20"/>
          <w:spacing w:val="-12"/>
        </w:rPr>
        <w:t> </w:t>
      </w:r>
      <w:r>
        <w:rPr>
          <w:color w:val="231F20"/>
        </w:rPr>
        <w:t>periods</w:t>
      </w:r>
      <w:r>
        <w:rPr>
          <w:color w:val="231F20"/>
          <w:spacing w:val="-11"/>
        </w:rPr>
        <w:t> </w:t>
      </w:r>
      <w:r>
        <w:rPr>
          <w:color w:val="231F20"/>
        </w:rPr>
        <w:t>of</w:t>
      </w:r>
      <w:r>
        <w:rPr>
          <w:color w:val="231F20"/>
          <w:spacing w:val="-12"/>
        </w:rPr>
        <w:t> </w:t>
      </w:r>
      <w:r>
        <w:rPr>
          <w:color w:val="231F20"/>
        </w:rPr>
        <w:t>crises</w:t>
      </w:r>
      <w:r>
        <w:rPr>
          <w:color w:val="231F20"/>
          <w:spacing w:val="-12"/>
        </w:rPr>
        <w:t> </w:t>
      </w:r>
      <w:r>
        <w:rPr>
          <w:color w:val="231F20"/>
        </w:rPr>
        <w:t>called</w:t>
      </w:r>
      <w:r>
        <w:rPr>
          <w:color w:val="231F20"/>
          <w:spacing w:val="-11"/>
        </w:rPr>
        <w:t> </w:t>
      </w:r>
      <w:r>
        <w:rPr>
          <w:i/>
          <w:color w:val="231F20"/>
        </w:rPr>
        <w:t>revolutions.</w:t>
      </w:r>
      <w:r>
        <w:rPr>
          <w:i/>
          <w:color w:val="231F20"/>
        </w:rPr>
        <w:t> </w:t>
      </w:r>
      <w:r>
        <w:rPr>
          <w:color w:val="231F20"/>
        </w:rPr>
        <w:t>His theory is readily applicable to many organizations. The growth pattern consists of tightening and loosening of management reins in response to changes within the organization and the environment.</w:t>
      </w:r>
    </w:p>
    <w:p>
      <w:pPr>
        <w:pStyle w:val="BodyText"/>
        <w:spacing w:line="292" w:lineRule="auto"/>
        <w:ind w:left="920" w:right="666" w:firstLine="340"/>
        <w:jc w:val="both"/>
      </w:pPr>
      <w:r>
        <w:rPr>
          <w:color w:val="231F20"/>
        </w:rPr>
        <w:t>The evolution/revolution pattern, as shown by Apple </w:t>
      </w:r>
      <w:r>
        <w:rPr>
          <w:color w:val="231F20"/>
        </w:rPr>
        <w:t>Computer, is an excellent way to put a company’s history into MBA perspec-</w:t>
      </w:r>
      <w:r>
        <w:rPr>
          <w:color w:val="231F20"/>
          <w:spacing w:val="40"/>
        </w:rPr>
        <w:t> </w:t>
      </w:r>
      <w:r>
        <w:rPr>
          <w:color w:val="231F20"/>
        </w:rPr>
        <w:t>tive. Apple Computer sprang forth from the </w:t>
      </w:r>
      <w:r>
        <w:rPr>
          <w:i/>
          <w:color w:val="231F20"/>
        </w:rPr>
        <w:t>creativity </w:t>
      </w:r>
      <w:r>
        <w:rPr>
          <w:color w:val="231F20"/>
        </w:rPr>
        <w:t>of Steven Jobs and</w:t>
      </w:r>
      <w:r>
        <w:rPr>
          <w:color w:val="231F20"/>
          <w:spacing w:val="29"/>
        </w:rPr>
        <w:t> </w:t>
      </w:r>
      <w:r>
        <w:rPr>
          <w:color w:val="231F20"/>
        </w:rPr>
        <w:t>Stephen</w:t>
      </w:r>
      <w:r>
        <w:rPr>
          <w:color w:val="231F20"/>
          <w:spacing w:val="30"/>
        </w:rPr>
        <w:t> </w:t>
      </w:r>
      <w:r>
        <w:rPr>
          <w:color w:val="231F20"/>
        </w:rPr>
        <w:t>Wozniak.</w:t>
      </w:r>
      <w:r>
        <w:rPr>
          <w:color w:val="231F20"/>
          <w:spacing w:val="29"/>
        </w:rPr>
        <w:t> </w:t>
      </w:r>
      <w:r>
        <w:rPr>
          <w:color w:val="231F20"/>
        </w:rPr>
        <w:t>Beginning</w:t>
      </w:r>
      <w:r>
        <w:rPr>
          <w:color w:val="231F20"/>
          <w:spacing w:val="30"/>
        </w:rPr>
        <w:t> </w:t>
      </w:r>
      <w:r>
        <w:rPr>
          <w:color w:val="231F20"/>
        </w:rPr>
        <w:t>in</w:t>
      </w:r>
      <w:r>
        <w:rPr>
          <w:color w:val="231F20"/>
          <w:spacing w:val="30"/>
        </w:rPr>
        <w:t> </w:t>
      </w:r>
      <w:r>
        <w:rPr>
          <w:color w:val="231F20"/>
        </w:rPr>
        <w:t>1976,</w:t>
      </w:r>
      <w:r>
        <w:rPr>
          <w:color w:val="231F20"/>
          <w:spacing w:val="29"/>
        </w:rPr>
        <w:t> </w:t>
      </w:r>
      <w:r>
        <w:rPr>
          <w:color w:val="231F20"/>
        </w:rPr>
        <w:t>these</w:t>
      </w:r>
      <w:r>
        <w:rPr>
          <w:color w:val="231F20"/>
          <w:spacing w:val="30"/>
        </w:rPr>
        <w:t> </w:t>
      </w:r>
      <w:r>
        <w:rPr>
          <w:color w:val="231F20"/>
        </w:rPr>
        <w:t>two</w:t>
      </w:r>
      <w:r>
        <w:rPr>
          <w:color w:val="231F20"/>
          <w:spacing w:val="30"/>
        </w:rPr>
        <w:t> </w:t>
      </w:r>
      <w:r>
        <w:rPr>
          <w:color w:val="231F20"/>
          <w:spacing w:val="-2"/>
        </w:rPr>
        <w:t>entrepreneurs</w:t>
      </w:r>
    </w:p>
    <w:p>
      <w:pPr>
        <w:spacing w:after="0" w:line="292" w:lineRule="auto"/>
        <w:jc w:val="both"/>
        <w:sectPr>
          <w:pgSz w:w="8640" w:h="12960"/>
          <w:pgMar w:header="734" w:footer="0" w:top="920" w:bottom="280" w:left="340" w:right="500"/>
        </w:sectPr>
      </w:pPr>
    </w:p>
    <w:p>
      <w:pPr>
        <w:pStyle w:val="BodyText"/>
        <w:spacing w:before="10"/>
        <w:rPr>
          <w:sz w:val="19"/>
        </w:rPr>
      </w:pPr>
    </w:p>
    <w:p>
      <w:pPr>
        <w:spacing w:before="96"/>
        <w:ind w:left="289" w:right="219" w:firstLine="0"/>
        <w:jc w:val="center"/>
        <w:rPr>
          <w:rFonts w:ascii="Arial"/>
          <w:sz w:val="14"/>
        </w:rPr>
      </w:pPr>
      <w:r>
        <w:rPr>
          <w:rFonts w:ascii="Arial"/>
          <w:color w:val="231F20"/>
          <w:sz w:val="14"/>
        </w:rPr>
        <w:t>SYSTEMS</w:t>
      </w:r>
      <w:r>
        <w:rPr>
          <w:rFonts w:ascii="Arial"/>
          <w:color w:val="231F20"/>
          <w:spacing w:val="24"/>
          <w:sz w:val="14"/>
        </w:rPr>
        <w:t> </w:t>
      </w:r>
      <w:r>
        <w:rPr>
          <w:rFonts w:ascii="Arial"/>
          <w:color w:val="231F20"/>
          <w:spacing w:val="-2"/>
          <w:sz w:val="14"/>
        </w:rPr>
        <w:t>THEORY</w:t>
      </w:r>
    </w:p>
    <w:p>
      <w:pPr>
        <w:pStyle w:val="BodyText"/>
        <w:spacing w:before="2"/>
        <w:rPr>
          <w:rFonts w:ascii="Arial"/>
          <w:sz w:val="14"/>
        </w:rPr>
      </w:pPr>
      <w:r>
        <w:rPr/>
        <w:pict>
          <v:group style="position:absolute;margin-left:71.994003pt;margin-top:9.367743pt;width:283.2pt;height:261.3pt;mso-position-horizontal-relative:page;mso-position-vertical-relative:paragraph;z-index:-15646208;mso-wrap-distance-left:0;mso-wrap-distance-right:0" id="docshapegroup165" coordorigin="1440,187" coordsize="5664,5226">
            <v:shape style="position:absolute;left:2082;top:2543;width:1114;height:1114" id="docshape166" coordorigin="2082,2544" coordsize="1114,1114" path="m3195,3100l3190,3176,3176,3248,3152,3317,3119,3381,3079,3440,3032,3494,2979,3541,2920,3581,2855,3613,2787,3637,2714,3652,2639,3657,2563,3652,2491,3637,2422,3613,2358,3581,2299,3541,2245,3494,2198,3440,2158,3381,2126,3317,2102,3248,2087,3176,2082,3100,2087,3025,2102,2952,2126,2884,2158,2819,2198,2760,2245,2707,2299,2660,2358,2620,2422,2587,2491,2564,2563,2549,2639,2544,2714,2549,2787,2564,2855,2587,2920,2620,2979,2660,3032,2707,3079,2760,3119,2819,3152,2884,3176,2952,3190,3025,3195,3100xe" filled="false" stroked="true" strokeweight="1.5pt" strokecolor="#231f20">
              <v:path arrowok="t"/>
              <v:stroke dashstyle="solid"/>
            </v:shape>
            <v:shape style="position:absolute;left:1454;top:1639;width:3023;height:3151" id="docshape167" coordorigin="1455,1640" coordsize="3023,3151" path="m4478,4193l4473,4268,4459,4340,4437,4409,4408,4473,4371,4534,4327,4589,4277,4639,4222,4683,4161,4720,4096,4750,4027,4772,3955,4785,3880,4790,3806,4785,3733,4772,3665,4750,3600,4720,3539,4683,3484,4639,3434,4589,3390,4534,3353,4473,3324,4409,3302,4340,3288,4268,3283,4193,3288,4118,3302,4046,3324,3977,3353,3912,3390,3852,3434,3796,3484,3746,3539,3703,3600,3666,3665,3636,3733,3614,3806,3600,3880,3596,3955,3600,4027,3614,4096,3636,4161,3666,4222,3703,4277,3746,4327,3796,4371,3852,4408,3912,4437,3977,4459,4046,4473,4118,4478,4193xm1455,1910l1510,2271,1596,2498,1771,2688,2096,2935m3047,1640l2821,1995,2703,2208,2655,2363,2639,2544e" filled="false" stroked="true" strokeweight="1.5pt" strokecolor="#231f20">
              <v:path arrowok="t"/>
              <v:stroke dashstyle="solid"/>
            </v:shape>
            <v:shape style="position:absolute;left:3795;top:627;width:2024;height:1532" id="docshape168" coordorigin="3796,628" coordsize="2024,1532" path="m4767,1673l4762,1745,4747,1814,4722,1878,4689,1938,4648,1992,4600,2040,4546,2081,4486,2114,4422,2138,4353,2154,4282,2159,4210,2154,4141,2138,4077,2114,4017,2081,3963,2040,3915,1992,3874,1938,3841,1878,3816,1814,3801,1745,3796,1673,3801,1601,3816,1533,3841,1468,3874,1409,3915,1355,3963,1307,4017,1266,4077,1233,4141,1208,4210,1193,4282,1187,4353,1193,4422,1208,4486,1233,4546,1266,4600,1307,4648,1355,4689,1409,4722,1468,4747,1533,4762,1601,4767,1673xm5820,1113l5814,1185,5799,1254,5775,1318,5741,1378,5701,1432,5653,1480,5598,1521,5539,1554,5474,1578,5406,1594,5334,1599,5262,1594,5194,1578,5129,1554,5069,1521,5015,1480,4967,1432,4927,1378,4893,1318,4869,1254,4854,1185,4848,1113,4854,1042,4869,973,4893,909,4927,849,4967,795,5015,747,5069,706,5129,673,5194,648,5262,633,5334,628,5406,633,5474,648,5539,673,5598,706,5653,747,5701,795,5741,849,5775,909,5799,973,5814,1042,5820,1113xe" filled="false" stroked="true" strokeweight="1.5pt" strokecolor="#231f20">
              <v:path arrowok="t"/>
              <v:stroke dashstyle="solid"/>
            </v:shape>
            <v:shape style="position:absolute;left:2248;top:452;width:4840;height:4945" id="docshape169" coordorigin="2248,453" coordsize="4840,4945" path="m3789,1707l3366,2105,3134,2331,3012,2472,2919,2611m4707,1437l4895,1329m5793,3636l5787,3708,5772,3777,5748,3841,5715,3901,5674,3955,5626,4003,5572,4044,5512,4077,5447,4102,5379,4117,5307,4122,5235,4117,5167,4102,5102,4077,5043,4044,4988,4003,4940,3955,4900,3901,4866,3841,4842,3777,4827,3708,4821,3636,4827,3565,4842,3496,4866,3432,4900,3372,4940,3318,4988,3270,5043,3229,5102,3196,5167,3171,5235,3156,5307,3151,5379,3156,5447,3171,5512,3196,5572,3229,5626,3270,5674,3318,5715,3372,5748,3432,5772,3496,5787,3565,5793,3636xm5334,1599l5307,3151m3182,3225l4821,3522m3094,3407l3149,3527,3204,3604,3292,3672,3445,3765m2359,3596l2248,4019,2333,4295,2722,4548,3526,4898m6791,4834l6786,4908,6772,4980,6748,5048,6716,5111,6677,5170,6630,5223,6578,5269,6519,5309,6456,5341,6388,5364,6316,5379,6242,5384,6167,5379,6095,5364,6028,5341,5964,5309,5906,5269,5853,5223,5806,5170,5767,5111,5735,5048,5711,4980,5697,4908,5692,4834,5697,4759,5711,4688,5735,4620,5767,4556,5806,4498,5853,4445,5906,4399,5964,4359,6028,4327,6095,4304,6167,4289,6242,4284,6316,4289,6388,4304,6456,4327,6519,4359,6578,4399,6630,4445,6677,4498,6716,4556,6748,4620,6772,4688,6786,4759,6791,4834xm6784,4716l6872,4716,6899,4588,7088,5033,6757,5397,6791,5236,6643,5209m3782,5047l4474,5288,4917,5383,5299,5345,5813,5188m4261,4649l4997,4844,5393,4944,5584,4981,5705,4986m2743,3650l3290,4048m4430,3954l4848,3799m5611,4021l5914,4385m4464,4332l4798,4462,5040,4541,5305,4599,5712,4669m4390,1201l4693,864,4872,683,4995,593,5132,533,5173,517,5219,501,5268,486,5321,473,5377,462,5435,455,5496,453,5558,456,5623,466,5688,483,5755,509,5821,545,5888,590,5955,648,6021,717,6086,800,6150,898,6180,971,6209,1050,6237,1134,6264,1221,6290,1312,6315,1406,6339,1501,6362,1597,6384,1694,6405,1790,6424,1886,6443,1980,6460,2072,6476,2161,6491,2247,6505,2328,6518,2404,6529,2474,6539,2538,6547,2595,6555,2645,6561,2686,6565,2717,6569,2739,6574,2777,6581,2833,6589,2905,6599,2989,6610,3083,6621,3184,6633,3289,6645,3394,6657,3497,6669,3594,6680,3683,6690,3760,6698,3823,6705,3868,6710,3893,6718,3932,6727,3995,6734,4074,6737,4164,6736,4258,6727,4349,6710,4432,6683,4500e" filled="false" stroked="true" strokeweight="1.5pt" strokecolor="#231f20">
              <v:path arrowok="t"/>
              <v:stroke dashstyle="solid"/>
            </v:shape>
            <v:shape style="position:absolute;left:3434;top:1416;width:397;height:101" type="#_x0000_t75" id="docshape170" stroked="false">
              <v:imagedata r:id="rId50" o:title=""/>
            </v:shape>
            <v:shape style="position:absolute;left:3480;top:1220;width:389;height:187" id="docshape171" coordorigin="3481,1220" coordsize="389,187" path="m3481,1248l3510,1229,3525,1220,3533,1222,3539,1231,3543,1244,3544,1256,3548,1263,3560,1264,3578,1259,3594,1254,3607,1253,3616,1258,3622,1274,3628,1294,3636,1310,3649,1313,3667,1307,3685,1301,3699,1299,3708,1305,3711,1320,3716,1336,3724,1349,3738,1351,3762,1341,3793,1327,3822,1321,3842,1331,3853,1355,3862,1379,3867,1399,3869,1406e" filled="false" stroked="true" strokeweight="1pt" strokecolor="#231f20">
              <v:path arrowok="t"/>
              <v:stroke dashstyle="solid"/>
            </v:shape>
            <v:shape style="position:absolute;left:3676;top:971;width:326;height:309" type="#_x0000_t75" id="docshape172" stroked="false">
              <v:imagedata r:id="rId51" o:title=""/>
            </v:shape>
            <v:shape style="position:absolute;left:3960;top:801;width:165;height:399" id="docshape173" coordorigin="3961,801" coordsize="165,399" path="m3984,801l3965,826,3961,840,3972,847,4001,853,4019,864,4008,879,3992,895,3995,904,4014,908,4030,911,4040,915,4038,923,4027,935,4018,946,4014,956,4020,965,4034,970,4046,973,4054,978,4055,989,4048,1006,4038,1028,4034,1049,4043,1063,4059,1069,4074,1073,4084,1078,4089,1087,4087,1099,4082,1112,4079,1125,4084,1138,4096,1155,4110,1176,4121,1193,4125,1200e" filled="false" stroked="true" strokeweight="1.0pt" strokecolor="#231f20">
              <v:path arrowok="t"/>
              <v:stroke dashstyle="solid"/>
            </v:shape>
            <v:shape style="position:absolute;left:4462;top:2138;width:672;height:1026" id="docshape174" coordorigin="4463,2139" coordsize="672,1026" path="m4463,2139l4583,2323m4654,2429l4774,2613m4831,2683l4951,2867m5014,2980l5135,3164e" filled="false" stroked="true" strokeweight="1.5pt" strokecolor="#231f20">
              <v:path arrowok="t"/>
              <v:stroke dashstyle="solid"/>
            </v:shape>
            <v:shape style="position:absolute;left:1525;top:187;width:1299;height:1674" type="#_x0000_t202" id="docshape175" filled="false" stroked="false">
              <v:textbox inset="0,0,0,0">
                <w:txbxContent>
                  <w:p>
                    <w:pPr>
                      <w:spacing w:line="249" w:lineRule="auto" w:before="0"/>
                      <w:ind w:left="118" w:right="239" w:hanging="119"/>
                      <w:jc w:val="left"/>
                      <w:rPr>
                        <w:rFonts w:ascii="Arial"/>
                        <w:sz w:val="14"/>
                      </w:rPr>
                    </w:pPr>
                    <w:r>
                      <w:rPr>
                        <w:rFonts w:ascii="Arial"/>
                        <w:color w:val="231F20"/>
                        <w:spacing w:val="-2"/>
                        <w:sz w:val="14"/>
                        <w:u w:val="single" w:color="231F20"/>
                      </w:rPr>
                      <w:t>Environment</w:t>
                    </w:r>
                    <w:r>
                      <w:rPr>
                        <w:rFonts w:ascii="Arial"/>
                        <w:color w:val="231F20"/>
                        <w:spacing w:val="40"/>
                        <w:sz w:val="14"/>
                      </w:rPr>
                      <w:t> </w:t>
                    </w:r>
                    <w:r>
                      <w:rPr>
                        <w:rFonts w:ascii="Arial"/>
                        <w:color w:val="231F20"/>
                        <w:spacing w:val="-2"/>
                        <w:sz w:val="14"/>
                      </w:rPr>
                      <w:t>Economy</w:t>
                    </w:r>
                    <w:r>
                      <w:rPr>
                        <w:rFonts w:ascii="Arial"/>
                        <w:color w:val="231F20"/>
                        <w:spacing w:val="40"/>
                        <w:sz w:val="14"/>
                      </w:rPr>
                      <w:t> </w:t>
                    </w:r>
                    <w:r>
                      <w:rPr>
                        <w:rFonts w:ascii="Arial"/>
                        <w:color w:val="231F20"/>
                        <w:sz w:val="14"/>
                      </w:rPr>
                      <w:t>Funds</w:t>
                    </w:r>
                    <w:r>
                      <w:rPr>
                        <w:rFonts w:ascii="Arial"/>
                        <w:color w:val="231F20"/>
                        <w:spacing w:val="-4"/>
                        <w:sz w:val="14"/>
                      </w:rPr>
                      <w:t> </w:t>
                    </w:r>
                    <w:r>
                      <w:rPr>
                        <w:rFonts w:ascii="Arial"/>
                        <w:color w:val="231F20"/>
                        <w:sz w:val="14"/>
                      </w:rPr>
                      <w:t>Flow</w:t>
                    </w:r>
                    <w:r>
                      <w:rPr>
                        <w:rFonts w:ascii="Arial"/>
                        <w:color w:val="231F20"/>
                        <w:spacing w:val="40"/>
                        <w:sz w:val="14"/>
                      </w:rPr>
                      <w:t> </w:t>
                    </w:r>
                    <w:r>
                      <w:rPr>
                        <w:rFonts w:ascii="Arial"/>
                        <w:color w:val="231F20"/>
                        <w:spacing w:val="-2"/>
                        <w:sz w:val="14"/>
                      </w:rPr>
                      <w:t>Marketplace</w:t>
                    </w:r>
                    <w:r>
                      <w:rPr>
                        <w:rFonts w:ascii="Arial"/>
                        <w:color w:val="231F20"/>
                        <w:spacing w:val="40"/>
                        <w:sz w:val="14"/>
                      </w:rPr>
                      <w:t> </w:t>
                    </w:r>
                    <w:r>
                      <w:rPr>
                        <w:rFonts w:ascii="Arial"/>
                        <w:color w:val="231F20"/>
                        <w:spacing w:val="-2"/>
                        <w:sz w:val="14"/>
                      </w:rPr>
                      <w:t>Competition</w:t>
                    </w:r>
                    <w:r>
                      <w:rPr>
                        <w:rFonts w:ascii="Arial"/>
                        <w:color w:val="231F20"/>
                        <w:spacing w:val="40"/>
                        <w:sz w:val="14"/>
                      </w:rPr>
                      <w:t> </w:t>
                    </w:r>
                    <w:r>
                      <w:rPr>
                        <w:rFonts w:ascii="Arial"/>
                        <w:color w:val="231F20"/>
                        <w:sz w:val="14"/>
                      </w:rPr>
                      <w:t>Social</w:t>
                    </w:r>
                    <w:r>
                      <w:rPr>
                        <w:rFonts w:ascii="Arial"/>
                        <w:color w:val="231F20"/>
                        <w:spacing w:val="-4"/>
                        <w:sz w:val="14"/>
                      </w:rPr>
                      <w:t> </w:t>
                    </w:r>
                    <w:r>
                      <w:rPr>
                        <w:rFonts w:ascii="Arial"/>
                        <w:color w:val="231F20"/>
                        <w:sz w:val="14"/>
                      </w:rPr>
                      <w:t>Forces</w:t>
                    </w:r>
                    <w:r>
                      <w:rPr>
                        <w:rFonts w:ascii="Arial"/>
                        <w:color w:val="231F20"/>
                        <w:spacing w:val="40"/>
                        <w:sz w:val="14"/>
                      </w:rPr>
                      <w:t> </w:t>
                    </w:r>
                    <w:r>
                      <w:rPr>
                        <w:rFonts w:ascii="Arial"/>
                        <w:color w:val="231F20"/>
                        <w:spacing w:val="-2"/>
                        <w:sz w:val="14"/>
                      </w:rPr>
                      <w:t>Political</w:t>
                    </w:r>
                    <w:r>
                      <w:rPr>
                        <w:rFonts w:ascii="Arial"/>
                        <w:color w:val="231F20"/>
                        <w:spacing w:val="-8"/>
                        <w:sz w:val="14"/>
                      </w:rPr>
                      <w:t> </w:t>
                    </w:r>
                    <w:r>
                      <w:rPr>
                        <w:rFonts w:ascii="Arial"/>
                        <w:color w:val="231F20"/>
                        <w:spacing w:val="-2"/>
                        <w:sz w:val="14"/>
                      </w:rPr>
                      <w:t>Forces</w:t>
                    </w:r>
                    <w:r>
                      <w:rPr>
                        <w:rFonts w:ascii="Arial"/>
                        <w:color w:val="231F20"/>
                        <w:spacing w:val="40"/>
                        <w:sz w:val="14"/>
                      </w:rPr>
                      <w:t> </w:t>
                    </w:r>
                    <w:r>
                      <w:rPr>
                        <w:rFonts w:ascii="Arial"/>
                        <w:color w:val="231F20"/>
                        <w:sz w:val="14"/>
                      </w:rPr>
                      <w:t>Legal</w:t>
                    </w:r>
                    <w:r>
                      <w:rPr>
                        <w:rFonts w:ascii="Arial"/>
                        <w:color w:val="231F20"/>
                        <w:spacing w:val="-4"/>
                        <w:sz w:val="14"/>
                      </w:rPr>
                      <w:t> </w:t>
                    </w:r>
                    <w:r>
                      <w:rPr>
                        <w:rFonts w:ascii="Arial"/>
                        <w:color w:val="231F20"/>
                        <w:sz w:val="14"/>
                      </w:rPr>
                      <w:t>Forces</w:t>
                    </w:r>
                  </w:p>
                  <w:p>
                    <w:pPr>
                      <w:spacing w:line="249" w:lineRule="auto" w:before="0"/>
                      <w:ind w:left="119" w:right="10" w:firstLine="0"/>
                      <w:jc w:val="left"/>
                      <w:rPr>
                        <w:rFonts w:ascii="Arial"/>
                        <w:sz w:val="14"/>
                      </w:rPr>
                    </w:pPr>
                    <w:r>
                      <w:rPr>
                        <w:rFonts w:ascii="Arial"/>
                        <w:color w:val="231F20"/>
                        <w:sz w:val="14"/>
                      </w:rPr>
                      <w:t>Human</w:t>
                    </w:r>
                    <w:r>
                      <w:rPr>
                        <w:rFonts w:ascii="Arial"/>
                        <w:color w:val="231F20"/>
                        <w:spacing w:val="-10"/>
                        <w:sz w:val="14"/>
                      </w:rPr>
                      <w:t> </w:t>
                    </w:r>
                    <w:r>
                      <w:rPr>
                        <w:rFonts w:ascii="Arial"/>
                        <w:color w:val="231F20"/>
                        <w:sz w:val="14"/>
                      </w:rPr>
                      <w:t>Resources</w:t>
                    </w:r>
                    <w:r>
                      <w:rPr>
                        <w:rFonts w:ascii="Arial"/>
                        <w:color w:val="231F20"/>
                        <w:spacing w:val="40"/>
                        <w:sz w:val="14"/>
                      </w:rPr>
                      <w:t> </w:t>
                    </w:r>
                    <w:r>
                      <w:rPr>
                        <w:rFonts w:ascii="Arial"/>
                        <w:color w:val="231F20"/>
                        <w:spacing w:val="-2"/>
                        <w:sz w:val="14"/>
                      </w:rPr>
                      <w:t>Technology</w:t>
                    </w:r>
                  </w:p>
                </w:txbxContent>
              </v:textbox>
              <w10:wrap type="none"/>
            </v:shape>
            <v:shape style="position:absolute;left:4965;top:954;width:804;height:283" type="#_x0000_t202" id="docshape176" filled="false" stroked="false">
              <v:textbox inset="0,0,0,0">
                <w:txbxContent>
                  <w:p>
                    <w:pPr>
                      <w:spacing w:line="249" w:lineRule="auto" w:before="0"/>
                      <w:ind w:left="0" w:right="17" w:firstLine="0"/>
                      <w:jc w:val="left"/>
                      <w:rPr>
                        <w:rFonts w:ascii="Arial"/>
                        <w:sz w:val="12"/>
                      </w:rPr>
                    </w:pPr>
                    <w:r>
                      <w:rPr>
                        <w:rFonts w:ascii="Arial"/>
                        <w:color w:val="231F20"/>
                        <w:spacing w:val="-2"/>
                        <w:sz w:val="12"/>
                      </w:rPr>
                      <w:t>MANAGERIAL</w:t>
                    </w:r>
                    <w:r>
                      <w:rPr>
                        <w:rFonts w:ascii="Arial"/>
                        <w:color w:val="231F20"/>
                        <w:spacing w:val="40"/>
                        <w:sz w:val="12"/>
                      </w:rPr>
                      <w:t> </w:t>
                    </w:r>
                    <w:r>
                      <w:rPr>
                        <w:rFonts w:ascii="Arial"/>
                        <w:color w:val="231F20"/>
                        <w:spacing w:val="-2"/>
                        <w:sz w:val="12"/>
                      </w:rPr>
                      <w:t>SUBSYSTEM</w:t>
                    </w:r>
                  </w:p>
                </w:txbxContent>
              </v:textbox>
              <w10:wrap type="none"/>
            </v:shape>
            <v:shape style="position:absolute;left:3919;top:1512;width:761;height:283" type="#_x0000_t202" id="docshape177" filled="false" stroked="false">
              <v:textbox inset="0,0,0,0">
                <w:txbxContent>
                  <w:p>
                    <w:pPr>
                      <w:spacing w:line="249" w:lineRule="auto" w:before="0"/>
                      <w:ind w:left="0" w:right="0" w:firstLine="0"/>
                      <w:jc w:val="left"/>
                      <w:rPr>
                        <w:rFonts w:ascii="Arial"/>
                        <w:sz w:val="12"/>
                      </w:rPr>
                    </w:pPr>
                    <w:r>
                      <w:rPr>
                        <w:rFonts w:ascii="Arial"/>
                        <w:color w:val="231F20"/>
                        <w:spacing w:val="-2"/>
                        <w:sz w:val="12"/>
                      </w:rPr>
                      <w:t>ADAPTIVE</w:t>
                    </w:r>
                    <w:r>
                      <w:rPr>
                        <w:rFonts w:ascii="Arial"/>
                        <w:color w:val="231F20"/>
                        <w:spacing w:val="40"/>
                        <w:sz w:val="12"/>
                      </w:rPr>
                      <w:t> </w:t>
                    </w:r>
                    <w:r>
                      <w:rPr>
                        <w:rFonts w:ascii="Arial"/>
                        <w:color w:val="231F20"/>
                        <w:spacing w:val="-2"/>
                        <w:sz w:val="12"/>
                      </w:rPr>
                      <w:t>SUBSYSTEM</w:t>
                    </w:r>
                  </w:p>
                </w:txbxContent>
              </v:textbox>
              <w10:wrap type="none"/>
            </v:shape>
            <v:shape style="position:absolute;left:1804;top:2194;width:534;height:162" type="#_x0000_t202" id="docshape178" filled="false" stroked="false">
              <v:textbox inset="0,0,0,0">
                <w:txbxContent>
                  <w:p>
                    <w:pPr>
                      <w:spacing w:line="160" w:lineRule="exact" w:before="0"/>
                      <w:ind w:left="0" w:right="0" w:firstLine="0"/>
                      <w:jc w:val="left"/>
                      <w:rPr>
                        <w:rFonts w:ascii="Arial"/>
                        <w:sz w:val="14"/>
                      </w:rPr>
                    </w:pPr>
                    <w:r>
                      <w:rPr>
                        <w:rFonts w:ascii="Arial"/>
                        <w:color w:val="231F20"/>
                        <w:spacing w:val="-2"/>
                        <w:sz w:val="14"/>
                      </w:rPr>
                      <w:t>INPUTS</w:t>
                    </w:r>
                  </w:p>
                </w:txbxContent>
              </v:textbox>
              <w10:wrap type="none"/>
            </v:shape>
            <v:shape style="position:absolute;left:2193;top:2849;width:914;height:427" type="#_x0000_t202" id="docshape179" filled="false" stroked="false">
              <v:textbox inset="0,0,0,0">
                <w:txbxContent>
                  <w:p>
                    <w:pPr>
                      <w:spacing w:line="249" w:lineRule="auto" w:before="0"/>
                      <w:ind w:left="0" w:right="0" w:firstLine="0"/>
                      <w:jc w:val="left"/>
                      <w:rPr>
                        <w:rFonts w:ascii="Arial"/>
                        <w:sz w:val="12"/>
                      </w:rPr>
                    </w:pPr>
                    <w:r>
                      <w:rPr>
                        <w:rFonts w:ascii="Arial"/>
                        <w:color w:val="231F20"/>
                        <w:spacing w:val="-4"/>
                        <w:sz w:val="12"/>
                      </w:rPr>
                      <w:t>BOUNDARY</w:t>
                    </w:r>
                    <w:r>
                      <w:rPr>
                        <w:rFonts w:ascii="Arial"/>
                        <w:color w:val="231F20"/>
                        <w:spacing w:val="40"/>
                        <w:sz w:val="12"/>
                      </w:rPr>
                      <w:t> </w:t>
                    </w:r>
                    <w:r>
                      <w:rPr>
                        <w:rFonts w:ascii="Arial"/>
                        <w:color w:val="231F20"/>
                        <w:spacing w:val="-2"/>
                        <w:sz w:val="12"/>
                      </w:rPr>
                      <w:t>SPANNING</w:t>
                    </w:r>
                  </w:p>
                  <w:p>
                    <w:pPr>
                      <w:spacing w:before="0"/>
                      <w:ind w:left="0" w:right="0" w:firstLine="0"/>
                      <w:jc w:val="left"/>
                      <w:rPr>
                        <w:rFonts w:ascii="Arial"/>
                        <w:sz w:val="12"/>
                      </w:rPr>
                    </w:pPr>
                    <w:r>
                      <w:rPr>
                        <w:rFonts w:ascii="Arial"/>
                        <w:color w:val="231F20"/>
                        <w:sz w:val="12"/>
                      </w:rPr>
                      <w:t>IN </w:t>
                    </w:r>
                    <w:r>
                      <w:rPr>
                        <w:rFonts w:ascii="Arial"/>
                        <w:color w:val="231F20"/>
                        <w:spacing w:val="-2"/>
                        <w:sz w:val="12"/>
                      </w:rPr>
                      <w:t>SUBSYSTEM</w:t>
                    </w:r>
                  </w:p>
                </w:txbxContent>
              </v:textbox>
              <w10:wrap type="none"/>
            </v:shape>
            <v:shape style="position:absolute;left:4881;top:3521;width:894;height:283" type="#_x0000_t202" id="docshape180" filled="false" stroked="false">
              <v:textbox inset="0,0,0,0">
                <w:txbxContent>
                  <w:p>
                    <w:pPr>
                      <w:spacing w:line="249" w:lineRule="auto" w:before="0"/>
                      <w:ind w:left="0" w:right="0" w:firstLine="0"/>
                      <w:jc w:val="left"/>
                      <w:rPr>
                        <w:rFonts w:ascii="Arial"/>
                        <w:sz w:val="12"/>
                      </w:rPr>
                    </w:pPr>
                    <w:r>
                      <w:rPr>
                        <w:rFonts w:ascii="Arial"/>
                        <w:color w:val="231F20"/>
                        <w:spacing w:val="-2"/>
                        <w:sz w:val="12"/>
                      </w:rPr>
                      <w:t>MAINTENANCE</w:t>
                    </w:r>
                    <w:r>
                      <w:rPr>
                        <w:rFonts w:ascii="Arial"/>
                        <w:color w:val="231F20"/>
                        <w:spacing w:val="40"/>
                        <w:sz w:val="12"/>
                      </w:rPr>
                      <w:t> </w:t>
                    </w:r>
                    <w:r>
                      <w:rPr>
                        <w:rFonts w:ascii="Arial"/>
                        <w:color w:val="231F20"/>
                        <w:spacing w:val="-2"/>
                        <w:sz w:val="12"/>
                      </w:rPr>
                      <w:t>SUBSYSTEM</w:t>
                    </w:r>
                  </w:p>
                </w:txbxContent>
              </v:textbox>
              <w10:wrap type="none"/>
            </v:shape>
            <v:shape style="position:absolute;left:3480;top:4073;width:825;height:283" type="#_x0000_t202" id="docshape181" filled="false" stroked="false">
              <v:textbox inset="0,0,0,0">
                <w:txbxContent>
                  <w:p>
                    <w:pPr>
                      <w:spacing w:line="249" w:lineRule="auto" w:before="0"/>
                      <w:ind w:left="0" w:right="0" w:firstLine="0"/>
                      <w:jc w:val="left"/>
                      <w:rPr>
                        <w:rFonts w:ascii="Arial"/>
                        <w:sz w:val="12"/>
                      </w:rPr>
                    </w:pPr>
                    <w:r>
                      <w:rPr>
                        <w:rFonts w:ascii="Arial"/>
                        <w:color w:val="231F20"/>
                        <w:spacing w:val="-2"/>
                        <w:sz w:val="12"/>
                      </w:rPr>
                      <w:t>PRODUCTION</w:t>
                    </w:r>
                    <w:r>
                      <w:rPr>
                        <w:rFonts w:ascii="Arial"/>
                        <w:color w:val="231F20"/>
                        <w:spacing w:val="40"/>
                        <w:sz w:val="12"/>
                      </w:rPr>
                      <w:t> </w:t>
                    </w:r>
                    <w:r>
                      <w:rPr>
                        <w:rFonts w:ascii="Arial"/>
                        <w:color w:val="231F20"/>
                        <w:spacing w:val="-2"/>
                        <w:sz w:val="12"/>
                      </w:rPr>
                      <w:t>SUBSYSTEM</w:t>
                    </w:r>
                  </w:p>
                </w:txbxContent>
              </v:textbox>
              <w10:wrap type="none"/>
            </v:shape>
            <v:shape style="position:absolute;left:2964;top:4889;width:1565;height:162" type="#_x0000_t202" id="docshape182" filled="false" stroked="false">
              <v:textbox inset="0,0,0,0">
                <w:txbxContent>
                  <w:p>
                    <w:pPr>
                      <w:spacing w:line="160" w:lineRule="exact" w:before="0"/>
                      <w:ind w:left="0" w:right="0" w:firstLine="0"/>
                      <w:jc w:val="left"/>
                      <w:rPr>
                        <w:rFonts w:ascii="Arial"/>
                        <w:sz w:val="14"/>
                      </w:rPr>
                    </w:pPr>
                    <w:r>
                      <w:rPr>
                        <w:rFonts w:ascii="Arial"/>
                        <w:color w:val="231F20"/>
                        <w:sz w:val="14"/>
                      </w:rPr>
                      <w:t>Organizational</w:t>
                    </w:r>
                    <w:r>
                      <w:rPr>
                        <w:rFonts w:ascii="Arial"/>
                        <w:color w:val="231F20"/>
                        <w:spacing w:val="-10"/>
                        <w:sz w:val="14"/>
                      </w:rPr>
                      <w:t> </w:t>
                    </w:r>
                    <w:r>
                      <w:rPr>
                        <w:rFonts w:ascii="Arial"/>
                        <w:color w:val="231F20"/>
                        <w:spacing w:val="-2"/>
                        <w:sz w:val="14"/>
                      </w:rPr>
                      <w:t>Boundary</w:t>
                    </w:r>
                  </w:p>
                </w:txbxContent>
              </v:textbox>
              <w10:wrap type="none"/>
            </v:shape>
            <v:shape style="position:absolute;left:5828;top:4610;width:920;height:427" type="#_x0000_t202" id="docshape183" filled="false" stroked="false">
              <v:textbox inset="0,0,0,0">
                <w:txbxContent>
                  <w:p>
                    <w:pPr>
                      <w:spacing w:line="249" w:lineRule="auto" w:before="0"/>
                      <w:ind w:left="0" w:right="15" w:firstLine="0"/>
                      <w:jc w:val="left"/>
                      <w:rPr>
                        <w:rFonts w:ascii="Arial"/>
                        <w:sz w:val="12"/>
                      </w:rPr>
                    </w:pPr>
                    <w:r>
                      <w:rPr>
                        <w:rFonts w:ascii="Arial"/>
                        <w:color w:val="231F20"/>
                        <w:spacing w:val="-2"/>
                        <w:sz w:val="12"/>
                      </w:rPr>
                      <w:t>BOUNDARY</w:t>
                    </w:r>
                    <w:r>
                      <w:rPr>
                        <w:rFonts w:ascii="Arial"/>
                        <w:color w:val="231F20"/>
                        <w:spacing w:val="40"/>
                        <w:sz w:val="12"/>
                      </w:rPr>
                      <w:t> </w:t>
                    </w:r>
                    <w:r>
                      <w:rPr>
                        <w:rFonts w:ascii="Arial"/>
                        <w:color w:val="231F20"/>
                        <w:spacing w:val="-2"/>
                        <w:sz w:val="12"/>
                      </w:rPr>
                      <w:t>SPANNING</w:t>
                    </w:r>
                    <w:r>
                      <w:rPr>
                        <w:rFonts w:ascii="Arial"/>
                        <w:color w:val="231F20"/>
                        <w:spacing w:val="-7"/>
                        <w:sz w:val="12"/>
                      </w:rPr>
                      <w:t> </w:t>
                    </w:r>
                    <w:r>
                      <w:rPr>
                        <w:rFonts w:ascii="Arial"/>
                        <w:color w:val="231F20"/>
                        <w:spacing w:val="-2"/>
                        <w:sz w:val="12"/>
                      </w:rPr>
                      <w:t>OUT</w:t>
                    </w:r>
                    <w:r>
                      <w:rPr>
                        <w:rFonts w:ascii="Arial"/>
                        <w:color w:val="231F20"/>
                        <w:spacing w:val="40"/>
                        <w:sz w:val="12"/>
                      </w:rPr>
                      <w:t> </w:t>
                    </w:r>
                    <w:r>
                      <w:rPr>
                        <w:rFonts w:ascii="Arial"/>
                        <w:color w:val="231F20"/>
                        <w:spacing w:val="-2"/>
                        <w:sz w:val="12"/>
                      </w:rPr>
                      <w:t>SUBSYSTEM</w:t>
                    </w:r>
                  </w:p>
                </w:txbxContent>
              </v:textbox>
              <w10:wrap type="none"/>
            </v:shape>
            <w10:wrap type="topAndBottom"/>
          </v:group>
        </w:pict>
      </w:r>
    </w:p>
    <w:p>
      <w:pPr>
        <w:pStyle w:val="BodyText"/>
        <w:spacing w:before="3"/>
        <w:rPr>
          <w:rFonts w:ascii="Arial"/>
          <w:sz w:val="24"/>
        </w:rPr>
      </w:pPr>
    </w:p>
    <w:p>
      <w:pPr>
        <w:spacing w:line="244" w:lineRule="auto" w:before="99"/>
        <w:ind w:left="830" w:right="753" w:firstLine="0"/>
        <w:jc w:val="both"/>
        <w:rPr>
          <w:sz w:val="20"/>
        </w:rPr>
      </w:pPr>
      <w:r>
        <w:rPr>
          <w:color w:val="231F20"/>
          <w:sz w:val="20"/>
        </w:rPr>
        <w:t>“Systems Theory and Organizational Analysis,” by Professor James Clawson, Case UVA-OB-214, Figure 1. Copyright © 1983 by the Darden Graduate Business School Foundation, Charlottesville, Virginia.</w:t>
      </w:r>
    </w:p>
    <w:p>
      <w:pPr>
        <w:pStyle w:val="BodyText"/>
        <w:rPr>
          <w:sz w:val="22"/>
        </w:rPr>
      </w:pPr>
    </w:p>
    <w:p>
      <w:pPr>
        <w:pStyle w:val="BodyText"/>
        <w:spacing w:before="9"/>
      </w:pPr>
    </w:p>
    <w:p>
      <w:pPr>
        <w:pStyle w:val="BodyText"/>
        <w:spacing w:line="292" w:lineRule="auto"/>
        <w:ind w:left="830" w:right="755"/>
        <w:jc w:val="both"/>
      </w:pPr>
      <w:r>
        <w:rPr>
          <w:color w:val="231F20"/>
        </w:rPr>
        <w:t>were</w:t>
      </w:r>
      <w:r>
        <w:rPr>
          <w:color w:val="231F20"/>
          <w:spacing w:val="28"/>
        </w:rPr>
        <w:t> </w:t>
      </w:r>
      <w:r>
        <w:rPr>
          <w:color w:val="231F20"/>
        </w:rPr>
        <w:t>on</w:t>
      </w:r>
      <w:r>
        <w:rPr>
          <w:color w:val="231F20"/>
          <w:spacing w:val="28"/>
        </w:rPr>
        <w:t> </w:t>
      </w:r>
      <w:r>
        <w:rPr>
          <w:color w:val="231F20"/>
        </w:rPr>
        <w:t>a</w:t>
      </w:r>
      <w:r>
        <w:rPr>
          <w:color w:val="231F20"/>
          <w:spacing w:val="28"/>
        </w:rPr>
        <w:t> </w:t>
      </w:r>
      <w:r>
        <w:rPr>
          <w:color w:val="231F20"/>
        </w:rPr>
        <w:t>freight</w:t>
      </w:r>
      <w:r>
        <w:rPr>
          <w:color w:val="231F20"/>
          <w:spacing w:val="28"/>
        </w:rPr>
        <w:t> </w:t>
      </w:r>
      <w:r>
        <w:rPr>
          <w:color w:val="231F20"/>
        </w:rPr>
        <w:t>train</w:t>
      </w:r>
      <w:r>
        <w:rPr>
          <w:color w:val="231F20"/>
          <w:spacing w:val="28"/>
        </w:rPr>
        <w:t> </w:t>
      </w:r>
      <w:r>
        <w:rPr>
          <w:color w:val="231F20"/>
        </w:rPr>
        <w:t>of</w:t>
      </w:r>
      <w:r>
        <w:rPr>
          <w:color w:val="231F20"/>
          <w:spacing w:val="28"/>
        </w:rPr>
        <w:t> </w:t>
      </w:r>
      <w:r>
        <w:rPr>
          <w:color w:val="231F20"/>
        </w:rPr>
        <w:t>rapid</w:t>
      </w:r>
      <w:r>
        <w:rPr>
          <w:color w:val="231F20"/>
          <w:spacing w:val="28"/>
        </w:rPr>
        <w:t> </w:t>
      </w:r>
      <w:r>
        <w:rPr>
          <w:color w:val="231F20"/>
        </w:rPr>
        <w:t>growth</w:t>
      </w:r>
      <w:r>
        <w:rPr>
          <w:color w:val="231F20"/>
          <w:spacing w:val="28"/>
        </w:rPr>
        <w:t> </w:t>
      </w:r>
      <w:r>
        <w:rPr>
          <w:color w:val="231F20"/>
        </w:rPr>
        <w:t>until</w:t>
      </w:r>
      <w:r>
        <w:rPr>
          <w:color w:val="231F20"/>
          <w:spacing w:val="28"/>
        </w:rPr>
        <w:t> </w:t>
      </w:r>
      <w:r>
        <w:rPr>
          <w:color w:val="231F20"/>
        </w:rPr>
        <w:t>the</w:t>
      </w:r>
      <w:r>
        <w:rPr>
          <w:color w:val="231F20"/>
          <w:spacing w:val="28"/>
        </w:rPr>
        <w:t> </w:t>
      </w:r>
      <w:r>
        <w:rPr>
          <w:color w:val="231F20"/>
        </w:rPr>
        <w:t>company</w:t>
      </w:r>
      <w:r>
        <w:rPr>
          <w:color w:val="231F20"/>
          <w:spacing w:val="28"/>
        </w:rPr>
        <w:t> </w:t>
      </w:r>
      <w:r>
        <w:rPr>
          <w:color w:val="231F20"/>
        </w:rPr>
        <w:t>became so unwieldy that it almost jumped the tracks in 1983. Apple was</w:t>
      </w:r>
      <w:r>
        <w:rPr>
          <w:color w:val="231F20"/>
          <w:spacing w:val="40"/>
        </w:rPr>
        <w:t> </w:t>
      </w:r>
      <w:r>
        <w:rPr>
          <w:color w:val="231F20"/>
        </w:rPr>
        <w:t>faced</w:t>
      </w:r>
      <w:r>
        <w:rPr>
          <w:color w:val="231F20"/>
          <w:spacing w:val="40"/>
        </w:rPr>
        <w:t> </w:t>
      </w:r>
      <w:r>
        <w:rPr>
          <w:color w:val="231F20"/>
        </w:rPr>
        <w:t>with</w:t>
      </w:r>
      <w:r>
        <w:rPr>
          <w:color w:val="231F20"/>
          <w:spacing w:val="40"/>
        </w:rPr>
        <w:t> </w:t>
      </w:r>
      <w:r>
        <w:rPr>
          <w:color w:val="231F20"/>
        </w:rPr>
        <w:t>the</w:t>
      </w:r>
      <w:r>
        <w:rPr>
          <w:color w:val="231F20"/>
          <w:spacing w:val="40"/>
        </w:rPr>
        <w:t> </w:t>
      </w:r>
      <w:r>
        <w:rPr>
          <w:i/>
          <w:color w:val="231F20"/>
        </w:rPr>
        <w:t>leadership</w:t>
      </w:r>
      <w:r>
        <w:rPr>
          <w:i/>
          <w:color w:val="231F20"/>
          <w:spacing w:val="40"/>
        </w:rPr>
        <w:t> </w:t>
      </w:r>
      <w:r>
        <w:rPr>
          <w:i/>
          <w:color w:val="231F20"/>
        </w:rPr>
        <w:t>crisis</w:t>
      </w:r>
      <w:r>
        <w:rPr>
          <w:i/>
          <w:color w:val="231F20"/>
          <w:spacing w:val="40"/>
        </w:rPr>
        <w:t> </w:t>
      </w:r>
      <w:r>
        <w:rPr>
          <w:color w:val="231F20"/>
        </w:rPr>
        <w:t>of</w:t>
      </w:r>
      <w:r>
        <w:rPr>
          <w:color w:val="231F20"/>
          <w:spacing w:val="40"/>
        </w:rPr>
        <w:t> </w:t>
      </w:r>
      <w:r>
        <w:rPr>
          <w:color w:val="231F20"/>
        </w:rPr>
        <w:t>a</w:t>
      </w:r>
      <w:r>
        <w:rPr>
          <w:color w:val="231F20"/>
          <w:spacing w:val="40"/>
        </w:rPr>
        <w:t> </w:t>
      </w:r>
      <w:r>
        <w:rPr>
          <w:color w:val="231F20"/>
        </w:rPr>
        <w:t>growth</w:t>
      </w:r>
      <w:r>
        <w:rPr>
          <w:color w:val="231F20"/>
          <w:spacing w:val="40"/>
        </w:rPr>
        <w:t> </w:t>
      </w:r>
      <w:r>
        <w:rPr>
          <w:color w:val="231F20"/>
        </w:rPr>
        <w:t>company</w:t>
      </w:r>
      <w:r>
        <w:rPr>
          <w:color w:val="231F20"/>
          <w:spacing w:val="40"/>
        </w:rPr>
        <w:t> </w:t>
      </w:r>
      <w:r>
        <w:rPr>
          <w:color w:val="231F20"/>
        </w:rPr>
        <w:t>that</w:t>
      </w:r>
      <w:r>
        <w:rPr>
          <w:color w:val="231F20"/>
          <w:spacing w:val="40"/>
        </w:rPr>
        <w:t> </w:t>
      </w:r>
      <w:r>
        <w:rPr>
          <w:color w:val="231F20"/>
        </w:rPr>
        <w:t>didn’t have anyone who could efficiently run its day-to-day operations.</w:t>
      </w:r>
      <w:r>
        <w:rPr>
          <w:color w:val="231F20"/>
          <w:spacing w:val="80"/>
        </w:rPr>
        <w:t> </w:t>
      </w:r>
      <w:r>
        <w:rPr>
          <w:color w:val="231F20"/>
        </w:rPr>
        <w:t>Jobs was a lofty visionary making speeches, while Wozniak was </w:t>
      </w:r>
      <w:r>
        <w:rPr>
          <w:color w:val="231F20"/>
        </w:rPr>
        <w:t>the magic technician.</w:t>
      </w:r>
    </w:p>
    <w:p>
      <w:pPr>
        <w:pStyle w:val="BodyText"/>
        <w:spacing w:line="292" w:lineRule="auto"/>
        <w:ind w:left="829" w:right="756" w:firstLine="340"/>
        <w:jc w:val="both"/>
      </w:pPr>
      <w:r>
        <w:rPr>
          <w:color w:val="231F20"/>
        </w:rPr>
        <w:t>The company started to run out of gas as its creative fuel ran</w:t>
      </w:r>
      <w:r>
        <w:rPr>
          <w:color w:val="231F20"/>
          <w:spacing w:val="80"/>
          <w:w w:val="150"/>
        </w:rPr>
        <w:t> </w:t>
      </w:r>
      <w:r>
        <w:rPr>
          <w:color w:val="231F20"/>
        </w:rPr>
        <w:t>low. Apple II sales slumped and the new Lisa computer failed. John Sculley (Wharton MBA ’63) was brought in from Pepsi-Cola to </w:t>
      </w:r>
      <w:r>
        <w:rPr>
          <w:color w:val="231F20"/>
        </w:rPr>
        <w:t>give the company </w:t>
      </w:r>
      <w:r>
        <w:rPr>
          <w:i/>
          <w:color w:val="231F20"/>
        </w:rPr>
        <w:t>direction. </w:t>
      </w:r>
      <w:r>
        <w:rPr>
          <w:color w:val="231F20"/>
        </w:rPr>
        <w:t>Sculley reorganized Apple and cut costs in its bloated</w:t>
      </w:r>
      <w:r>
        <w:rPr>
          <w:color w:val="231F20"/>
          <w:spacing w:val="19"/>
        </w:rPr>
        <w:t> </w:t>
      </w:r>
      <w:r>
        <w:rPr>
          <w:color w:val="231F20"/>
        </w:rPr>
        <w:t>headquarters.</w:t>
      </w:r>
      <w:r>
        <w:rPr>
          <w:color w:val="231F20"/>
          <w:spacing w:val="19"/>
        </w:rPr>
        <w:t> </w:t>
      </w:r>
      <w:r>
        <w:rPr>
          <w:color w:val="231F20"/>
        </w:rPr>
        <w:t>Steve</w:t>
      </w:r>
      <w:r>
        <w:rPr>
          <w:color w:val="231F20"/>
          <w:spacing w:val="20"/>
        </w:rPr>
        <w:t> </w:t>
      </w:r>
      <w:r>
        <w:rPr>
          <w:color w:val="231F20"/>
        </w:rPr>
        <w:t>Jobs</w:t>
      </w:r>
      <w:r>
        <w:rPr>
          <w:color w:val="231F20"/>
          <w:spacing w:val="19"/>
        </w:rPr>
        <w:t> </w:t>
      </w:r>
      <w:r>
        <w:rPr>
          <w:color w:val="231F20"/>
        </w:rPr>
        <w:t>and</w:t>
      </w:r>
      <w:r>
        <w:rPr>
          <w:color w:val="231F20"/>
          <w:spacing w:val="20"/>
        </w:rPr>
        <w:t> </w:t>
      </w:r>
      <w:r>
        <w:rPr>
          <w:color w:val="231F20"/>
        </w:rPr>
        <w:t>his</w:t>
      </w:r>
      <w:r>
        <w:rPr>
          <w:color w:val="231F20"/>
          <w:spacing w:val="19"/>
        </w:rPr>
        <w:t> </w:t>
      </w:r>
      <w:r>
        <w:rPr>
          <w:color w:val="231F20"/>
        </w:rPr>
        <w:t>followers</w:t>
      </w:r>
      <w:r>
        <w:rPr>
          <w:color w:val="231F20"/>
          <w:spacing w:val="20"/>
        </w:rPr>
        <w:t> </w:t>
      </w:r>
      <w:r>
        <w:rPr>
          <w:color w:val="231F20"/>
        </w:rPr>
        <w:t>demanded</w:t>
      </w:r>
      <w:r>
        <w:rPr>
          <w:color w:val="231F20"/>
          <w:spacing w:val="19"/>
        </w:rPr>
        <w:t> </w:t>
      </w:r>
      <w:r>
        <w:rPr>
          <w:color w:val="231F20"/>
          <w:spacing w:val="-4"/>
        </w:rPr>
        <w:t>more</w:t>
      </w:r>
    </w:p>
    <w:p>
      <w:pPr>
        <w:spacing w:after="0" w:line="292" w:lineRule="auto"/>
        <w:jc w:val="both"/>
        <w:sectPr>
          <w:pgSz w:w="8640" w:h="12960"/>
          <w:pgMar w:header="732" w:footer="0" w:top="920" w:bottom="280" w:left="340" w:right="500"/>
        </w:sectPr>
      </w:pPr>
    </w:p>
    <w:p>
      <w:pPr>
        <w:pStyle w:val="BodyText"/>
        <w:spacing w:before="8"/>
        <w:rPr>
          <w:sz w:val="19"/>
        </w:rPr>
      </w:pPr>
    </w:p>
    <w:p>
      <w:pPr>
        <w:spacing w:before="96"/>
        <w:ind w:left="472" w:right="219" w:firstLine="0"/>
        <w:jc w:val="center"/>
        <w:rPr>
          <w:rFonts w:ascii="Arial"/>
          <w:sz w:val="14"/>
        </w:rPr>
      </w:pPr>
      <w:r>
        <w:rPr>
          <w:rFonts w:ascii="Arial"/>
          <w:color w:val="231F20"/>
          <w:w w:val="110"/>
          <w:sz w:val="14"/>
        </w:rPr>
        <w:t>EVOLUTION</w:t>
      </w:r>
      <w:r>
        <w:rPr>
          <w:rFonts w:ascii="Arial"/>
          <w:color w:val="231F20"/>
          <w:spacing w:val="9"/>
          <w:w w:val="110"/>
          <w:sz w:val="14"/>
        </w:rPr>
        <w:t> </w:t>
      </w:r>
      <w:r>
        <w:rPr>
          <w:rFonts w:ascii="Arial"/>
          <w:color w:val="231F20"/>
          <w:w w:val="110"/>
          <w:sz w:val="14"/>
        </w:rPr>
        <w:t>AND</w:t>
      </w:r>
      <w:r>
        <w:rPr>
          <w:rFonts w:ascii="Arial"/>
          <w:color w:val="231F20"/>
          <w:spacing w:val="10"/>
          <w:w w:val="110"/>
          <w:sz w:val="14"/>
        </w:rPr>
        <w:t> </w:t>
      </w:r>
      <w:r>
        <w:rPr>
          <w:rFonts w:ascii="Arial"/>
          <w:color w:val="231F20"/>
          <w:w w:val="110"/>
          <w:sz w:val="14"/>
        </w:rPr>
        <w:t>REVOLUTION</w:t>
      </w:r>
      <w:r>
        <w:rPr>
          <w:rFonts w:ascii="Arial"/>
          <w:color w:val="231F20"/>
          <w:spacing w:val="9"/>
          <w:w w:val="110"/>
          <w:sz w:val="14"/>
        </w:rPr>
        <w:t> </w:t>
      </w:r>
      <w:r>
        <w:rPr>
          <w:rFonts w:ascii="Arial"/>
          <w:color w:val="231F20"/>
          <w:w w:val="110"/>
          <w:sz w:val="14"/>
        </w:rPr>
        <w:t>OF</w:t>
      </w:r>
      <w:r>
        <w:rPr>
          <w:rFonts w:ascii="Arial"/>
          <w:color w:val="231F20"/>
          <w:spacing w:val="10"/>
          <w:w w:val="110"/>
          <w:sz w:val="14"/>
        </w:rPr>
        <w:t> </w:t>
      </w:r>
      <w:r>
        <w:rPr>
          <w:rFonts w:ascii="Arial"/>
          <w:color w:val="231F20"/>
          <w:spacing w:val="-2"/>
          <w:w w:val="110"/>
          <w:sz w:val="14"/>
        </w:rPr>
        <w:t>ORGANIZATIONS</w:t>
      </w:r>
    </w:p>
    <w:p>
      <w:pPr>
        <w:pStyle w:val="BodyText"/>
        <w:rPr>
          <w:rFonts w:ascii="Arial"/>
          <w:sz w:val="16"/>
        </w:rPr>
      </w:pPr>
      <w:r>
        <w:rPr/>
        <w:pict>
          <v:group style="position:absolute;margin-left:64.000031pt;margin-top:10.405063pt;width:309.2pt;height:281.1pt;mso-position-horizontal-relative:page;mso-position-vertical-relative:paragraph;z-index:-15645696;mso-wrap-distance-left:0;mso-wrap-distance-right:0" id="docshapegroup184" coordorigin="1280,208" coordsize="6184,5622">
            <v:rect style="position:absolute;left:1290;top:218;width:6164;height:5602" id="docshape185" filled="true" fillcolor="#bbbdc0" stroked="false">
              <v:fill type="solid"/>
            </v:rect>
            <v:rect style="position:absolute;left:1290;top:218;width:6164;height:5602" id="docshape186" filled="false" stroked="true" strokeweight="1pt" strokecolor="#231f20">
              <v:stroke dashstyle="solid"/>
            </v:rect>
            <v:rect style="position:absolute;left:1748;top:624;width:5586;height:4754" id="docshape187" filled="true" fillcolor="#ffffff" stroked="false">
              <v:fill type="solid"/>
            </v:rect>
            <v:rect style="position:absolute;left:1748;top:624;width:5586;height:4754" id="docshape188" filled="false" stroked="true" strokeweight=".75pt" strokecolor="#231f20">
              <v:stroke dashstyle="solid"/>
            </v:rect>
            <v:line style="position:absolute" from="2087,1042" to="2416,1042" stroked="true" strokeweight="1pt" strokecolor="#231f20">
              <v:stroke dashstyle="solid"/>
            </v:line>
            <v:shape style="position:absolute;left:2040;top:1194;width:396;height:145" id="docshape189" coordorigin="2040,1195" coordsize="396,145" path="m2040,1331l2099,1316,2130,1299,2143,1269,2148,1215,2151,1234,2158,1275,2165,1317,2169,1335,2235,1215,2261,1339,2312,1203,2326,1331,2345,1259,2363,1221,2390,1204,2436,1195e" filled="false" stroked="true" strokeweight="1pt" strokecolor="#231f20">
              <v:path arrowok="t"/>
              <v:stroke dashstyle="solid"/>
            </v:shape>
            <v:shape style="position:absolute;left:1854;top:414;width:5478;height:4966" id="docshape190" coordorigin="1854,415" coordsize="5478,4966" path="m1854,5380l2590,4814,2625,4694,2675,4802,2691,4682,2751,4783,2770,4663,2824,4754,2823,4688,2832,4647,2857,4617,2906,4581,3070,4461,3347,4257,3608,4063,3723,3978,3761,3864,3812,3962,3818,3832,3884,3930,3897,3791,3957,3883,3949,3840,3950,3814,3964,3794,3995,3769,4019,3751,4063,3719,4124,3674,4197,3619,4280,3558,4368,3494,4457,3428,4543,3364,4624,3304,4694,3252,4750,3210,4789,3180,4806,3166,4822,3139,4836,3101,4847,3067,4850,3053,4898,3141,4904,2999,4973,3116,4986,2983,5043,3097,5046,3027,5053,2987,5070,2963,5103,2939,5246,2834,5504,2641,5753,2454,5864,2371,5880,2356,5889,2346,5893,2338,5895,2327,5897,2300,5898,2261,5898,2226,5898,2210,5961,2330,5977,2197,6037,2317,6050,2182,6103,2301,6099,2246,6102,2213,6118,2190,6151,2163,6293,2056,6549,1865,6795,1682,6905,1601,6946,1509,6990,1591,7022,1474,7063,1553,7085,1452,7139,1531,7136,1482,7138,1453,7150,1435,7174,1418,7216,1389,7268,1354,7313,1325,7332,1312m2854,440l2854,948m2854,5314l2854,5375m2854,1361l2854,5003m3966,4786l3966,5375m3966,440l3966,4456m5078,4107l5078,5370m5078,415l5078,3776m6165,3319l6165,5370m6165,2747l6165,2975m6165,427l6165,2429m2493,4428l2612,4593e" filled="false" stroked="true" strokeweight=".75pt" strokecolor="#231f20">
              <v:path arrowok="t"/>
              <v:stroke dashstyle="solid"/>
            </v:shape>
            <v:shape style="position:absolute;left:2574;top:4557;width:92;height:111" id="docshape191" coordorigin="2575,4558" coordsize="92,111" path="m2624,4558l2575,4593,2666,4668,2624,4558xe" filled="true" fillcolor="#231f20" stroked="false">
              <v:path arrowok="t"/>
              <v:fill type="solid"/>
            </v:shape>
            <v:line style="position:absolute" from="3597,3601" to="3715,3766" stroked="true" strokeweight=".75pt" strokecolor="#231f20">
              <v:stroke dashstyle="solid"/>
            </v:line>
            <v:shape style="position:absolute;left:3678;top:3731;width:92;height:111" id="docshape192" coordorigin="3679,3731" coordsize="92,111" path="m3728,3731l3679,3767,3770,3842,3728,3731xe" filled="true" fillcolor="#231f20" stroked="false">
              <v:path arrowok="t"/>
              <v:fill type="solid"/>
            </v:shape>
            <v:line style="position:absolute" from="4743,2867" to="4804,2946" stroked="true" strokeweight=".75pt" strokecolor="#231f20">
              <v:stroke dashstyle="solid"/>
            </v:line>
            <v:shape style="position:absolute;left:4767;top:2911;width:92;height:111" id="docshape193" coordorigin="4768,2911" coordsize="92,111" path="m4817,2911l4768,2947,4859,3021,4817,2911xe" filled="true" fillcolor="#231f20" stroked="false">
              <v:path arrowok="t"/>
              <v:fill type="solid"/>
            </v:shape>
            <v:line style="position:absolute" from="5713,2086" to="5821,2179" stroked="true" strokeweight=".75pt" strokecolor="#231f20">
              <v:stroke dashstyle="solid"/>
            </v:line>
            <v:shape style="position:absolute;left:5785;top:2142;width:105;height:100" id="docshape194" coordorigin="5785,2142" coordsize="105,100" path="m5826,2142l5785,2187,5890,2242,5826,2142xe" filled="true" fillcolor="#231f20" stroked="false">
              <v:path arrowok="t"/>
              <v:fill type="solid"/>
            </v:shape>
            <v:line style="position:absolute" from="6794,1290" to="6923,1397" stroked="true" strokeweight=".75pt" strokecolor="#231f20">
              <v:stroke dashstyle="solid"/>
            </v:line>
            <v:shape style="position:absolute;left:6887;top:1359;width:105;height:100" id="docshape195" coordorigin="6887,1360" coordsize="105,100" path="m6929,1360l6887,1405,6992,1459,6929,1360xe" filled="true" fillcolor="#231f20" stroked="false">
              <v:path arrowok="t"/>
              <v:fill type="solid"/>
            </v:shape>
            <v:line style="position:absolute" from="2539,5220" to="2335,5126" stroked="true" strokeweight=".75pt" strokecolor="#231f20">
              <v:stroke dashstyle="solid"/>
            </v:line>
            <v:shape style="position:absolute;left:2250;top:5087;width:117;height:76" id="docshape196" coordorigin="2251,5088" coordsize="117,76" path="m2251,5088l2341,5163,2367,5108,2251,5088xe" filled="true" fillcolor="#231f20" stroked="false">
              <v:path arrowok="t"/>
              <v:fill type="solid"/>
            </v:shape>
            <v:line style="position:absolute" from="3576,4460" to="3462,4309" stroked="true" strokeweight=".75pt" strokecolor="#231f20">
              <v:stroke dashstyle="solid"/>
            </v:line>
            <v:shape style="position:absolute;left:3407;top:4233;width:91;height:111" id="docshape197" coordorigin="3407,4233" coordsize="91,111" path="m3407,4233l3448,4344,3498,4308,3407,4233xe" filled="true" fillcolor="#231f20" stroked="false">
              <v:path arrowok="t"/>
              <v:fill type="solid"/>
            </v:shape>
            <v:line style="position:absolute" from="4510,3786" to="4395,3635" stroked="true" strokeweight=".75pt" strokecolor="#231f20">
              <v:stroke dashstyle="solid"/>
            </v:line>
            <v:shape style="position:absolute;left:4340;top:3559;width:91;height:111" id="docshape198" coordorigin="4341,3559" coordsize="91,111" path="m4341,3559l4382,3670,4432,3634,4341,3559xe" filled="true" fillcolor="#231f20" stroked="false">
              <v:path arrowok="t"/>
              <v:fill type="solid"/>
            </v:shape>
            <v:line style="position:absolute" from="5690,2970" to="5537,2775" stroked="true" strokeweight=".75pt" strokecolor="#231f20">
              <v:stroke dashstyle="solid"/>
            </v:line>
            <v:shape style="position:absolute;left:5482;top:2699;width:91;height:111" id="docshape199" coordorigin="5482,2700" coordsize="91,111" path="m5482,2700l5523,2810,5573,2775,5482,2700xe" filled="true" fillcolor="#231f20" stroked="false">
              <v:path arrowok="t"/>
              <v:fill type="solid"/>
            </v:shape>
            <v:line style="position:absolute" from="6622,2424" to="6529,2038" stroked="true" strokeweight=".75pt" strokecolor="#231f20">
              <v:stroke dashstyle="solid"/>
            </v:line>
            <v:shape style="position:absolute;left:6502;top:1946;width:60;height:118" id="docshape200" coordorigin="6503,1947" coordsize="60,118" path="m6512,1947l6503,2064,6562,2053,6512,1947xe" filled="true" fillcolor="#231f20" stroked="false">
              <v:path arrowok="t"/>
              <v:fill type="solid"/>
            </v:shape>
            <v:rect style="position:absolute;left:4131;top:3776;width:1119;height:331" id="docshape201" filled="true" fillcolor="#bbbdc0" stroked="false">
              <v:fill type="solid"/>
            </v:rect>
            <v:rect style="position:absolute;left:4131;top:3776;width:1119;height:331" id="docshape202" filled="false" stroked="true" strokeweight=".75pt" strokecolor="#231f20">
              <v:stroke dashstyle="solid"/>
            </v:rect>
            <v:rect style="position:absolute;left:5138;top:2975;width:1119;height:344" id="docshape203" filled="true" fillcolor="#bbbdc0" stroked="false">
              <v:fill type="solid"/>
            </v:rect>
            <v:rect style="position:absolute;left:5138;top:2975;width:1119;height:344" id="docshape204" filled="false" stroked="true" strokeweight=".75pt" strokecolor="#231f20">
              <v:stroke dashstyle="solid"/>
            </v:rect>
            <v:rect style="position:absolute;left:6117;top:2428;width:1144;height:318" id="docshape205" filled="true" fillcolor="#bbbdc0" stroked="false">
              <v:fill type="solid"/>
            </v:rect>
            <v:rect style="position:absolute;left:6117;top:2428;width:1144;height:318" id="docshape206" filled="false" stroked="true" strokeweight=".75pt" strokecolor="#231f20">
              <v:stroke dashstyle="solid"/>
            </v:rect>
            <v:rect style="position:absolute;left:3266;top:4456;width:1074;height:331" id="docshape207" filled="true" fillcolor="#bbbdc0" stroked="false">
              <v:fill type="solid"/>
            </v:rect>
            <v:rect style="position:absolute;left:3266;top:4456;width:1074;height:331" id="docshape208" filled="false" stroked="true" strokeweight=".75pt" strokecolor="#231f20">
              <v:stroke dashstyle="solid"/>
            </v:rect>
            <v:rect style="position:absolute;left:2542;top:5002;width:1132;height:312" id="docshape209" filled="true" fillcolor="#bbbdc0" stroked="false">
              <v:fill type="solid"/>
            </v:rect>
            <v:rect style="position:absolute;left:2542;top:5002;width:1132;height:312" id="docshape210" filled="false" stroked="true" strokeweight=".75pt" strokecolor="#231f20">
              <v:stroke dashstyle="solid"/>
            </v:rect>
            <v:shape style="position:absolute;left:1348;top:459;width:375;height:548" type="#_x0000_t202" id="docshape211" filled="false" stroked="false">
              <v:textbox inset="0,0,0,0">
                <w:txbxContent>
                  <w:p>
                    <w:pPr>
                      <w:spacing w:line="172" w:lineRule="auto" w:before="30"/>
                      <w:ind w:left="0" w:right="18" w:firstLine="0"/>
                      <w:jc w:val="left"/>
                      <w:rPr>
                        <w:rFonts w:ascii="Times New Roman"/>
                        <w:i/>
                        <w:sz w:val="12"/>
                      </w:rPr>
                    </w:pPr>
                    <w:r>
                      <w:rPr>
                        <w:rFonts w:ascii="Times New Roman"/>
                        <w:i/>
                        <w:color w:val="231F20"/>
                        <w:sz w:val="12"/>
                      </w:rPr>
                      <w:t>Size</w:t>
                    </w:r>
                    <w:r>
                      <w:rPr>
                        <w:rFonts w:ascii="Times New Roman"/>
                        <w:i/>
                        <w:color w:val="231F20"/>
                        <w:spacing w:val="-8"/>
                        <w:sz w:val="12"/>
                      </w:rPr>
                      <w:t> </w:t>
                    </w:r>
                    <w:r>
                      <w:rPr>
                        <w:rFonts w:ascii="Times New Roman"/>
                        <w:i/>
                        <w:color w:val="231F20"/>
                        <w:sz w:val="12"/>
                      </w:rPr>
                      <w:t>of</w:t>
                    </w:r>
                    <w:r>
                      <w:rPr>
                        <w:rFonts w:ascii="Times New Roman"/>
                        <w:i/>
                        <w:color w:val="231F20"/>
                        <w:spacing w:val="40"/>
                        <w:sz w:val="12"/>
                      </w:rPr>
                      <w:t> </w:t>
                    </w:r>
                    <w:r>
                      <w:rPr>
                        <w:rFonts w:ascii="Times New Roman"/>
                        <w:i/>
                        <w:color w:val="231F20"/>
                        <w:spacing w:val="-2"/>
                        <w:sz w:val="12"/>
                      </w:rPr>
                      <w:t>organi-</w:t>
                    </w:r>
                    <w:r>
                      <w:rPr>
                        <w:rFonts w:ascii="Times New Roman"/>
                        <w:i/>
                        <w:color w:val="231F20"/>
                        <w:spacing w:val="40"/>
                        <w:sz w:val="12"/>
                      </w:rPr>
                      <w:t> </w:t>
                    </w:r>
                    <w:r>
                      <w:rPr>
                        <w:rFonts w:ascii="Times New Roman"/>
                        <w:i/>
                        <w:color w:val="231F20"/>
                        <w:spacing w:val="-2"/>
                        <w:sz w:val="12"/>
                      </w:rPr>
                      <w:t>zation</w:t>
                    </w:r>
                  </w:p>
                  <w:p>
                    <w:pPr>
                      <w:spacing w:before="80"/>
                      <w:ind w:left="0" w:right="0" w:firstLine="0"/>
                      <w:jc w:val="left"/>
                      <w:rPr>
                        <w:rFonts w:ascii="Times New Roman"/>
                        <w:sz w:val="12"/>
                      </w:rPr>
                    </w:pPr>
                    <w:r>
                      <w:rPr>
                        <w:rFonts w:ascii="Times New Roman"/>
                        <w:color w:val="231F20"/>
                        <w:spacing w:val="-2"/>
                        <w:sz w:val="12"/>
                      </w:rPr>
                      <w:t>Large</w:t>
                    </w:r>
                  </w:p>
                </w:txbxContent>
              </v:textbox>
              <w10:wrap type="none"/>
            </v:shape>
            <v:shape style="position:absolute;left:2073;top:378;width:490;height:134" type="#_x0000_t202" id="docshape212" filled="false" stroked="false">
              <v:textbox inset="0,0,0,0">
                <w:txbxContent>
                  <w:p>
                    <w:pPr>
                      <w:spacing w:line="133" w:lineRule="exact" w:before="0"/>
                      <w:ind w:left="0" w:right="0" w:firstLine="0"/>
                      <w:jc w:val="left"/>
                      <w:rPr>
                        <w:rFonts w:ascii="Times New Roman"/>
                        <w:sz w:val="12"/>
                      </w:rPr>
                    </w:pPr>
                    <w:r>
                      <w:rPr>
                        <w:rFonts w:ascii="Times New Roman"/>
                        <w:color w:val="231F20"/>
                        <w:sz w:val="12"/>
                      </w:rPr>
                      <w:t>PHASE</w:t>
                    </w:r>
                    <w:r>
                      <w:rPr>
                        <w:rFonts w:ascii="Times New Roman"/>
                        <w:color w:val="231F20"/>
                        <w:spacing w:val="-5"/>
                        <w:sz w:val="12"/>
                      </w:rPr>
                      <w:t> </w:t>
                    </w:r>
                    <w:r>
                      <w:rPr>
                        <w:rFonts w:ascii="Times New Roman"/>
                        <w:color w:val="231F20"/>
                        <w:spacing w:val="-10"/>
                        <w:sz w:val="12"/>
                      </w:rPr>
                      <w:t>1</w:t>
                    </w:r>
                  </w:p>
                </w:txbxContent>
              </v:textbox>
              <w10:wrap type="none"/>
            </v:shape>
            <v:shape style="position:absolute;left:3195;top:378;width:490;height:134" type="#_x0000_t202" id="docshape213" filled="false" stroked="false">
              <v:textbox inset="0,0,0,0">
                <w:txbxContent>
                  <w:p>
                    <w:pPr>
                      <w:spacing w:line="133" w:lineRule="exact" w:before="0"/>
                      <w:ind w:left="0" w:right="0" w:firstLine="0"/>
                      <w:jc w:val="left"/>
                      <w:rPr>
                        <w:rFonts w:ascii="Times New Roman"/>
                        <w:sz w:val="12"/>
                      </w:rPr>
                    </w:pPr>
                    <w:r>
                      <w:rPr>
                        <w:rFonts w:ascii="Times New Roman"/>
                        <w:color w:val="231F20"/>
                        <w:sz w:val="12"/>
                      </w:rPr>
                      <w:t>PHASE</w:t>
                    </w:r>
                    <w:r>
                      <w:rPr>
                        <w:rFonts w:ascii="Times New Roman"/>
                        <w:color w:val="231F20"/>
                        <w:spacing w:val="-5"/>
                        <w:sz w:val="12"/>
                      </w:rPr>
                      <w:t> </w:t>
                    </w:r>
                    <w:r>
                      <w:rPr>
                        <w:rFonts w:ascii="Times New Roman"/>
                        <w:color w:val="231F20"/>
                        <w:spacing w:val="-10"/>
                        <w:sz w:val="12"/>
                      </w:rPr>
                      <w:t>2</w:t>
                    </w:r>
                  </w:p>
                </w:txbxContent>
              </v:textbox>
              <w10:wrap type="none"/>
            </v:shape>
            <v:shape style="position:absolute;left:4279;top:378;width:490;height:134" type="#_x0000_t202" id="docshape214" filled="false" stroked="false">
              <v:textbox inset="0,0,0,0">
                <w:txbxContent>
                  <w:p>
                    <w:pPr>
                      <w:spacing w:line="133" w:lineRule="exact" w:before="0"/>
                      <w:ind w:left="0" w:right="0" w:firstLine="0"/>
                      <w:jc w:val="left"/>
                      <w:rPr>
                        <w:rFonts w:ascii="Times New Roman"/>
                        <w:sz w:val="12"/>
                      </w:rPr>
                    </w:pPr>
                    <w:r>
                      <w:rPr>
                        <w:rFonts w:ascii="Times New Roman"/>
                        <w:color w:val="231F20"/>
                        <w:sz w:val="12"/>
                      </w:rPr>
                      <w:t>PHASE</w:t>
                    </w:r>
                    <w:r>
                      <w:rPr>
                        <w:rFonts w:ascii="Times New Roman"/>
                        <w:color w:val="231F20"/>
                        <w:spacing w:val="-5"/>
                        <w:sz w:val="12"/>
                      </w:rPr>
                      <w:t> </w:t>
                    </w:r>
                    <w:r>
                      <w:rPr>
                        <w:rFonts w:ascii="Times New Roman"/>
                        <w:color w:val="231F20"/>
                        <w:spacing w:val="-10"/>
                        <w:sz w:val="12"/>
                      </w:rPr>
                      <w:t>3</w:t>
                    </w:r>
                  </w:p>
                </w:txbxContent>
              </v:textbox>
              <w10:wrap type="none"/>
            </v:shape>
            <v:shape style="position:absolute;left:5406;top:378;width:490;height:134" type="#_x0000_t202" id="docshape215" filled="false" stroked="false">
              <v:textbox inset="0,0,0,0">
                <w:txbxContent>
                  <w:p>
                    <w:pPr>
                      <w:spacing w:line="133" w:lineRule="exact" w:before="0"/>
                      <w:ind w:left="0" w:right="0" w:firstLine="0"/>
                      <w:jc w:val="left"/>
                      <w:rPr>
                        <w:rFonts w:ascii="Times New Roman"/>
                        <w:sz w:val="12"/>
                      </w:rPr>
                    </w:pPr>
                    <w:r>
                      <w:rPr>
                        <w:rFonts w:ascii="Times New Roman"/>
                        <w:color w:val="231F20"/>
                        <w:sz w:val="12"/>
                      </w:rPr>
                      <w:t>PHASE</w:t>
                    </w:r>
                    <w:r>
                      <w:rPr>
                        <w:rFonts w:ascii="Times New Roman"/>
                        <w:color w:val="231F20"/>
                        <w:spacing w:val="-5"/>
                        <w:sz w:val="12"/>
                      </w:rPr>
                      <w:t> </w:t>
                    </w:r>
                    <w:r>
                      <w:rPr>
                        <w:rFonts w:ascii="Times New Roman"/>
                        <w:color w:val="231F20"/>
                        <w:spacing w:val="-10"/>
                        <w:sz w:val="12"/>
                      </w:rPr>
                      <w:t>4</w:t>
                    </w:r>
                  </w:p>
                </w:txbxContent>
              </v:textbox>
              <w10:wrap type="none"/>
            </v:shape>
            <v:shape style="position:absolute;left:6461;top:378;width:490;height:134" type="#_x0000_t202" id="docshape216" filled="false" stroked="false">
              <v:textbox inset="0,0,0,0">
                <w:txbxContent>
                  <w:p>
                    <w:pPr>
                      <w:spacing w:line="133" w:lineRule="exact" w:before="0"/>
                      <w:ind w:left="0" w:right="0" w:firstLine="0"/>
                      <w:jc w:val="left"/>
                      <w:rPr>
                        <w:rFonts w:ascii="Times New Roman"/>
                        <w:sz w:val="12"/>
                      </w:rPr>
                    </w:pPr>
                    <w:r>
                      <w:rPr>
                        <w:rFonts w:ascii="Times New Roman"/>
                        <w:color w:val="231F20"/>
                        <w:sz w:val="12"/>
                      </w:rPr>
                      <w:t>PHASE</w:t>
                    </w:r>
                    <w:r>
                      <w:rPr>
                        <w:rFonts w:ascii="Times New Roman"/>
                        <w:color w:val="231F20"/>
                        <w:spacing w:val="-5"/>
                        <w:sz w:val="12"/>
                      </w:rPr>
                      <w:t> </w:t>
                    </w:r>
                    <w:r>
                      <w:rPr>
                        <w:rFonts w:ascii="Times New Roman"/>
                        <w:color w:val="231F20"/>
                        <w:spacing w:val="-10"/>
                        <w:sz w:val="12"/>
                      </w:rPr>
                      <w:t>5</w:t>
                    </w:r>
                  </w:p>
                </w:txbxContent>
              </v:textbox>
              <w10:wrap type="none"/>
            </v:shape>
            <v:shape style="position:absolute;left:2579;top:952;width:1085;height:382" type="#_x0000_t202" id="docshape217" filled="false" stroked="false">
              <v:textbox inset="0,0,0,0">
                <w:txbxContent>
                  <w:p>
                    <w:pPr>
                      <w:spacing w:line="167" w:lineRule="exact" w:before="0"/>
                      <w:ind w:left="0" w:right="0" w:firstLine="0"/>
                      <w:jc w:val="left"/>
                      <w:rPr>
                        <w:rFonts w:ascii="Times New Roman"/>
                        <w:sz w:val="15"/>
                      </w:rPr>
                    </w:pPr>
                    <w:r>
                      <w:rPr>
                        <w:rFonts w:ascii="Times New Roman"/>
                        <w:color w:val="231F20"/>
                        <w:sz w:val="15"/>
                      </w:rPr>
                      <w:t>Evolution</w:t>
                    </w:r>
                    <w:r>
                      <w:rPr>
                        <w:rFonts w:ascii="Times New Roman"/>
                        <w:color w:val="231F20"/>
                        <w:spacing w:val="-3"/>
                        <w:sz w:val="15"/>
                      </w:rPr>
                      <w:t> </w:t>
                    </w:r>
                    <w:r>
                      <w:rPr>
                        <w:rFonts w:ascii="Times New Roman"/>
                        <w:color w:val="231F20"/>
                        <w:spacing w:val="-2"/>
                        <w:sz w:val="15"/>
                      </w:rPr>
                      <w:t>stages</w:t>
                    </w:r>
                  </w:p>
                  <w:p>
                    <w:pPr>
                      <w:spacing w:before="41"/>
                      <w:ind w:left="0" w:right="0" w:firstLine="0"/>
                      <w:jc w:val="left"/>
                      <w:rPr>
                        <w:rFonts w:ascii="Times New Roman"/>
                        <w:sz w:val="15"/>
                      </w:rPr>
                    </w:pPr>
                    <w:r>
                      <w:rPr>
                        <w:rFonts w:ascii="Times New Roman"/>
                        <w:color w:val="231F20"/>
                        <w:sz w:val="15"/>
                      </w:rPr>
                      <w:t>Revolution</w:t>
                    </w:r>
                    <w:r>
                      <w:rPr>
                        <w:rFonts w:ascii="Times New Roman"/>
                        <w:color w:val="231F20"/>
                        <w:spacing w:val="-7"/>
                        <w:sz w:val="15"/>
                      </w:rPr>
                      <w:t> </w:t>
                    </w:r>
                    <w:r>
                      <w:rPr>
                        <w:rFonts w:ascii="Times New Roman"/>
                        <w:color w:val="231F20"/>
                        <w:spacing w:val="-2"/>
                        <w:sz w:val="15"/>
                      </w:rPr>
                      <w:t>stages</w:t>
                    </w:r>
                  </w:p>
                </w:txbxContent>
              </v:textbox>
              <w10:wrap type="none"/>
            </v:shape>
            <v:shape style="position:absolute;left:6188;top:2449;width:1025;height:274" type="#_x0000_t202" id="docshape218" filled="false" stroked="false">
              <v:textbox inset="0,0,0,0">
                <w:txbxContent>
                  <w:p>
                    <w:pPr>
                      <w:spacing w:line="242" w:lineRule="auto" w:before="0"/>
                      <w:ind w:left="0" w:right="11" w:firstLine="0"/>
                      <w:jc w:val="left"/>
                      <w:rPr>
                        <w:rFonts w:ascii="Times New Roman"/>
                        <w:sz w:val="12"/>
                      </w:rPr>
                    </w:pPr>
                    <w:r>
                      <w:rPr>
                        <w:rFonts w:ascii="Times New Roman"/>
                        <w:color w:val="231F20"/>
                        <w:sz w:val="12"/>
                      </w:rPr>
                      <w:t>5: Growth through</w:t>
                    </w:r>
                    <w:r>
                      <w:rPr>
                        <w:rFonts w:ascii="Times New Roman"/>
                        <w:color w:val="231F20"/>
                        <w:spacing w:val="40"/>
                        <w:sz w:val="12"/>
                      </w:rPr>
                      <w:t> </w:t>
                    </w:r>
                    <w:r>
                      <w:rPr>
                        <w:rFonts w:ascii="Times New Roman"/>
                        <w:color w:val="231F20"/>
                        <w:spacing w:val="-2"/>
                        <w:sz w:val="12"/>
                      </w:rPr>
                      <w:t>COLLABORATION</w:t>
                    </w:r>
                  </w:p>
                </w:txbxContent>
              </v:textbox>
              <w10:wrap type="none"/>
            </v:shape>
            <v:shape style="position:absolute;left:5232;top:3006;width:921;height:274" type="#_x0000_t202" id="docshape219" filled="false" stroked="false">
              <v:textbox inset="0,0,0,0">
                <w:txbxContent>
                  <w:p>
                    <w:pPr>
                      <w:spacing w:line="242" w:lineRule="auto" w:before="0"/>
                      <w:ind w:left="0" w:right="0" w:firstLine="0"/>
                      <w:jc w:val="left"/>
                      <w:rPr>
                        <w:rFonts w:ascii="Times New Roman"/>
                        <w:sz w:val="12"/>
                      </w:rPr>
                    </w:pPr>
                    <w:r>
                      <w:rPr>
                        <w:rFonts w:ascii="Times New Roman"/>
                        <w:color w:val="231F20"/>
                        <w:sz w:val="12"/>
                      </w:rPr>
                      <w:t>4:</w:t>
                    </w:r>
                    <w:r>
                      <w:rPr>
                        <w:rFonts w:ascii="Times New Roman"/>
                        <w:color w:val="231F20"/>
                        <w:spacing w:val="-8"/>
                        <w:sz w:val="12"/>
                      </w:rPr>
                      <w:t> </w:t>
                    </w:r>
                    <w:r>
                      <w:rPr>
                        <w:rFonts w:ascii="Times New Roman"/>
                        <w:color w:val="231F20"/>
                        <w:sz w:val="12"/>
                      </w:rPr>
                      <w:t>Growth</w:t>
                    </w:r>
                    <w:r>
                      <w:rPr>
                        <w:rFonts w:ascii="Times New Roman"/>
                        <w:color w:val="231F20"/>
                        <w:spacing w:val="-7"/>
                        <w:sz w:val="12"/>
                      </w:rPr>
                      <w:t> </w:t>
                    </w:r>
                    <w:r>
                      <w:rPr>
                        <w:rFonts w:ascii="Times New Roman"/>
                        <w:color w:val="231F20"/>
                        <w:sz w:val="12"/>
                      </w:rPr>
                      <w:t>through</w:t>
                    </w:r>
                    <w:r>
                      <w:rPr>
                        <w:rFonts w:ascii="Times New Roman"/>
                        <w:color w:val="231F20"/>
                        <w:spacing w:val="40"/>
                        <w:sz w:val="12"/>
                      </w:rPr>
                      <w:t> </w:t>
                    </w:r>
                    <w:r>
                      <w:rPr>
                        <w:rFonts w:ascii="Times New Roman"/>
                        <w:color w:val="231F20"/>
                        <w:spacing w:val="-4"/>
                        <w:sz w:val="12"/>
                      </w:rPr>
                      <w:t>COORDINATION</w:t>
                    </w:r>
                  </w:p>
                </w:txbxContent>
              </v:textbox>
              <w10:wrap type="none"/>
            </v:shape>
            <v:shape style="position:absolute;left:4227;top:3804;width:909;height:274" type="#_x0000_t202" id="docshape220" filled="false" stroked="false">
              <v:textbox inset="0,0,0,0">
                <w:txbxContent>
                  <w:p>
                    <w:pPr>
                      <w:spacing w:line="242" w:lineRule="auto" w:before="0"/>
                      <w:ind w:left="0" w:right="10" w:firstLine="0"/>
                      <w:jc w:val="left"/>
                      <w:rPr>
                        <w:rFonts w:ascii="Times New Roman"/>
                        <w:sz w:val="12"/>
                      </w:rPr>
                    </w:pPr>
                    <w:r>
                      <w:rPr>
                        <w:rFonts w:ascii="Times New Roman"/>
                        <w:color w:val="231F20"/>
                        <w:sz w:val="12"/>
                      </w:rPr>
                      <w:t>3:</w:t>
                    </w:r>
                    <w:r>
                      <w:rPr>
                        <w:rFonts w:ascii="Times New Roman"/>
                        <w:color w:val="231F20"/>
                        <w:spacing w:val="-8"/>
                        <w:sz w:val="12"/>
                      </w:rPr>
                      <w:t> </w:t>
                    </w:r>
                    <w:r>
                      <w:rPr>
                        <w:rFonts w:ascii="Times New Roman"/>
                        <w:color w:val="231F20"/>
                        <w:sz w:val="12"/>
                      </w:rPr>
                      <w:t>Growth</w:t>
                    </w:r>
                    <w:r>
                      <w:rPr>
                        <w:rFonts w:ascii="Times New Roman"/>
                        <w:color w:val="231F20"/>
                        <w:spacing w:val="-7"/>
                        <w:sz w:val="12"/>
                      </w:rPr>
                      <w:t> </w:t>
                    </w:r>
                    <w:r>
                      <w:rPr>
                        <w:rFonts w:ascii="Times New Roman"/>
                        <w:color w:val="231F20"/>
                        <w:sz w:val="12"/>
                      </w:rPr>
                      <w:t>through</w:t>
                    </w:r>
                    <w:r>
                      <w:rPr>
                        <w:rFonts w:ascii="Times New Roman"/>
                        <w:color w:val="231F20"/>
                        <w:spacing w:val="40"/>
                        <w:sz w:val="12"/>
                      </w:rPr>
                      <w:t> </w:t>
                    </w:r>
                    <w:r>
                      <w:rPr>
                        <w:rFonts w:ascii="Times New Roman"/>
                        <w:color w:val="231F20"/>
                        <w:spacing w:val="-2"/>
                        <w:sz w:val="12"/>
                      </w:rPr>
                      <w:t>DELEGATION</w:t>
                    </w:r>
                  </w:p>
                </w:txbxContent>
              </v:textbox>
              <w10:wrap type="none"/>
            </v:shape>
            <v:shape style="position:absolute;left:3328;top:4483;width:909;height:275" type="#_x0000_t202" id="docshape221" filled="false" stroked="false">
              <v:textbox inset="0,0,0,0">
                <w:txbxContent>
                  <w:p>
                    <w:pPr>
                      <w:spacing w:line="242" w:lineRule="auto" w:before="0"/>
                      <w:ind w:left="0" w:right="10" w:firstLine="0"/>
                      <w:jc w:val="left"/>
                      <w:rPr>
                        <w:rFonts w:ascii="Times New Roman"/>
                        <w:sz w:val="12"/>
                      </w:rPr>
                    </w:pPr>
                    <w:r>
                      <w:rPr>
                        <w:rFonts w:ascii="Times New Roman"/>
                        <w:color w:val="231F20"/>
                        <w:sz w:val="12"/>
                      </w:rPr>
                      <w:t>2:</w:t>
                    </w:r>
                    <w:r>
                      <w:rPr>
                        <w:rFonts w:ascii="Times New Roman"/>
                        <w:color w:val="231F20"/>
                        <w:spacing w:val="-8"/>
                        <w:sz w:val="12"/>
                      </w:rPr>
                      <w:t> </w:t>
                    </w:r>
                    <w:r>
                      <w:rPr>
                        <w:rFonts w:ascii="Times New Roman"/>
                        <w:color w:val="231F20"/>
                        <w:sz w:val="12"/>
                      </w:rPr>
                      <w:t>Growth</w:t>
                    </w:r>
                    <w:r>
                      <w:rPr>
                        <w:rFonts w:ascii="Times New Roman"/>
                        <w:color w:val="231F20"/>
                        <w:spacing w:val="-7"/>
                        <w:sz w:val="12"/>
                      </w:rPr>
                      <w:t> </w:t>
                    </w:r>
                    <w:r>
                      <w:rPr>
                        <w:rFonts w:ascii="Times New Roman"/>
                        <w:color w:val="231F20"/>
                        <w:sz w:val="12"/>
                      </w:rPr>
                      <w:t>through</w:t>
                    </w:r>
                    <w:r>
                      <w:rPr>
                        <w:rFonts w:ascii="Times New Roman"/>
                        <w:color w:val="231F20"/>
                        <w:spacing w:val="40"/>
                        <w:sz w:val="12"/>
                      </w:rPr>
                      <w:t> </w:t>
                    </w:r>
                    <w:r>
                      <w:rPr>
                        <w:rFonts w:ascii="Times New Roman"/>
                        <w:color w:val="231F20"/>
                        <w:spacing w:val="-2"/>
                        <w:sz w:val="12"/>
                      </w:rPr>
                      <w:t>DIRECTION</w:t>
                    </w:r>
                  </w:p>
                </w:txbxContent>
              </v:textbox>
              <w10:wrap type="none"/>
            </v:shape>
            <v:shape style="position:absolute;left:1348;top:5121;width:300;height:134" type="#_x0000_t202" id="docshape222" filled="false" stroked="false">
              <v:textbox inset="0,0,0,0">
                <w:txbxContent>
                  <w:p>
                    <w:pPr>
                      <w:spacing w:line="133" w:lineRule="exact" w:before="0"/>
                      <w:ind w:left="0" w:right="0" w:firstLine="0"/>
                      <w:jc w:val="left"/>
                      <w:rPr>
                        <w:rFonts w:ascii="Times New Roman"/>
                        <w:sz w:val="12"/>
                      </w:rPr>
                    </w:pPr>
                    <w:r>
                      <w:rPr>
                        <w:rFonts w:ascii="Times New Roman"/>
                        <w:color w:val="231F20"/>
                        <w:spacing w:val="-4"/>
                        <w:sz w:val="12"/>
                      </w:rPr>
                      <w:t>Small</w:t>
                    </w:r>
                  </w:p>
                </w:txbxContent>
              </v:textbox>
              <w10:wrap type="none"/>
            </v:shape>
            <v:shape style="position:absolute;left:2642;top:5019;width:909;height:274" type="#_x0000_t202" id="docshape223" filled="false" stroked="false">
              <v:textbox inset="0,0,0,0">
                <w:txbxContent>
                  <w:p>
                    <w:pPr>
                      <w:spacing w:line="242" w:lineRule="auto" w:before="0"/>
                      <w:ind w:left="0" w:right="10" w:firstLine="0"/>
                      <w:jc w:val="left"/>
                      <w:rPr>
                        <w:rFonts w:ascii="Times New Roman"/>
                        <w:sz w:val="12"/>
                      </w:rPr>
                    </w:pPr>
                    <w:r>
                      <w:rPr>
                        <w:rFonts w:ascii="Times New Roman"/>
                        <w:color w:val="231F20"/>
                        <w:sz w:val="12"/>
                      </w:rPr>
                      <w:t>1:</w:t>
                    </w:r>
                    <w:r>
                      <w:rPr>
                        <w:rFonts w:ascii="Times New Roman"/>
                        <w:color w:val="231F20"/>
                        <w:spacing w:val="-8"/>
                        <w:sz w:val="12"/>
                      </w:rPr>
                      <w:t> </w:t>
                    </w:r>
                    <w:r>
                      <w:rPr>
                        <w:rFonts w:ascii="Times New Roman"/>
                        <w:color w:val="231F20"/>
                        <w:sz w:val="12"/>
                      </w:rPr>
                      <w:t>Growth</w:t>
                    </w:r>
                    <w:r>
                      <w:rPr>
                        <w:rFonts w:ascii="Times New Roman"/>
                        <w:color w:val="231F20"/>
                        <w:spacing w:val="-7"/>
                        <w:sz w:val="12"/>
                      </w:rPr>
                      <w:t> </w:t>
                    </w:r>
                    <w:r>
                      <w:rPr>
                        <w:rFonts w:ascii="Times New Roman"/>
                        <w:color w:val="231F20"/>
                        <w:sz w:val="12"/>
                      </w:rPr>
                      <w:t>through</w:t>
                    </w:r>
                    <w:r>
                      <w:rPr>
                        <w:rFonts w:ascii="Times New Roman"/>
                        <w:color w:val="231F20"/>
                        <w:spacing w:val="40"/>
                        <w:sz w:val="12"/>
                      </w:rPr>
                      <w:t> </w:t>
                    </w:r>
                    <w:r>
                      <w:rPr>
                        <w:rFonts w:ascii="Times New Roman"/>
                        <w:color w:val="231F20"/>
                        <w:spacing w:val="-2"/>
                        <w:sz w:val="12"/>
                      </w:rPr>
                      <w:t>CREATIVITY</w:t>
                    </w:r>
                  </w:p>
                </w:txbxContent>
              </v:textbox>
              <w10:wrap type="none"/>
            </v:shape>
            <v:shape style="position:absolute;left:1388;top:5435;width:966;height:285" type="#_x0000_t202" id="docshape224" filled="false" stroked="false">
              <v:textbox inset="0,0,0,0">
                <w:txbxContent>
                  <w:p>
                    <w:pPr>
                      <w:spacing w:line="133" w:lineRule="exact" w:before="0"/>
                      <w:ind w:left="374" w:right="0" w:firstLine="0"/>
                      <w:jc w:val="left"/>
                      <w:rPr>
                        <w:rFonts w:ascii="Times New Roman"/>
                        <w:sz w:val="12"/>
                      </w:rPr>
                    </w:pPr>
                    <w:r>
                      <w:rPr>
                        <w:rFonts w:ascii="Times New Roman"/>
                        <w:color w:val="231F20"/>
                        <w:spacing w:val="-2"/>
                        <w:sz w:val="12"/>
                      </w:rPr>
                      <w:t>Young</w:t>
                    </w:r>
                  </w:p>
                  <w:p>
                    <w:pPr>
                      <w:spacing w:before="9"/>
                      <w:ind w:left="0" w:right="0" w:firstLine="0"/>
                      <w:jc w:val="left"/>
                      <w:rPr>
                        <w:rFonts w:ascii="Times New Roman"/>
                        <w:i/>
                        <w:sz w:val="12"/>
                      </w:rPr>
                    </w:pPr>
                    <w:r>
                      <w:rPr>
                        <w:rFonts w:ascii="Times New Roman"/>
                        <w:i/>
                        <w:color w:val="231F20"/>
                        <w:sz w:val="12"/>
                      </w:rPr>
                      <w:t>Age</w:t>
                    </w:r>
                    <w:r>
                      <w:rPr>
                        <w:rFonts w:ascii="Times New Roman"/>
                        <w:i/>
                        <w:color w:val="231F20"/>
                        <w:spacing w:val="-4"/>
                        <w:sz w:val="12"/>
                      </w:rPr>
                      <w:t> </w:t>
                    </w:r>
                    <w:r>
                      <w:rPr>
                        <w:rFonts w:ascii="Times New Roman"/>
                        <w:i/>
                        <w:color w:val="231F20"/>
                        <w:sz w:val="12"/>
                      </w:rPr>
                      <w:t>of</w:t>
                    </w:r>
                    <w:r>
                      <w:rPr>
                        <w:rFonts w:ascii="Times New Roman"/>
                        <w:i/>
                        <w:color w:val="231F20"/>
                        <w:spacing w:val="-3"/>
                        <w:sz w:val="12"/>
                      </w:rPr>
                      <w:t> </w:t>
                    </w:r>
                    <w:r>
                      <w:rPr>
                        <w:rFonts w:ascii="Times New Roman"/>
                        <w:i/>
                        <w:color w:val="231F20"/>
                        <w:spacing w:val="-2"/>
                        <w:sz w:val="12"/>
                      </w:rPr>
                      <w:t>organization</w:t>
                    </w:r>
                  </w:p>
                </w:txbxContent>
              </v:textbox>
              <w10:wrap type="none"/>
            </v:shape>
            <v:shape style="position:absolute;left:6975;top:5435;width:366;height:134" type="#_x0000_t202" id="docshape225" filled="false" stroked="false">
              <v:textbox inset="0,0,0,0">
                <w:txbxContent>
                  <w:p>
                    <w:pPr>
                      <w:spacing w:line="133" w:lineRule="exact" w:before="0"/>
                      <w:ind w:left="0" w:right="0" w:firstLine="0"/>
                      <w:jc w:val="left"/>
                      <w:rPr>
                        <w:rFonts w:ascii="Times New Roman"/>
                        <w:sz w:val="12"/>
                      </w:rPr>
                    </w:pPr>
                    <w:r>
                      <w:rPr>
                        <w:rFonts w:ascii="Times New Roman"/>
                        <w:color w:val="231F20"/>
                        <w:spacing w:val="-2"/>
                        <w:sz w:val="12"/>
                      </w:rPr>
                      <w:t>Mature</w:t>
                    </w:r>
                  </w:p>
                </w:txbxContent>
              </v:textbox>
              <w10:wrap type="none"/>
            </v:shape>
            <v:shape style="position:absolute;left:1900;top:4119;width:852;height:312" type="#_x0000_t202" id="docshape226" filled="true" fillcolor="#bbbdc0" stroked="true" strokeweight=".75pt" strokecolor="#231f20">
              <v:textbox inset="0,0,0,0">
                <w:txbxContent>
                  <w:p>
                    <w:pPr>
                      <w:spacing w:line="242" w:lineRule="auto" w:before="0"/>
                      <w:ind w:left="82" w:right="0" w:firstLine="0"/>
                      <w:jc w:val="left"/>
                      <w:rPr>
                        <w:rFonts w:ascii="Times New Roman"/>
                        <w:color w:val="000000"/>
                        <w:sz w:val="12"/>
                      </w:rPr>
                    </w:pPr>
                    <w:r>
                      <w:rPr>
                        <w:rFonts w:ascii="Times New Roman"/>
                        <w:color w:val="231F20"/>
                        <w:sz w:val="12"/>
                      </w:rPr>
                      <w:t>1: Crisis of</w:t>
                    </w:r>
                    <w:r>
                      <w:rPr>
                        <w:rFonts w:ascii="Times New Roman"/>
                        <w:color w:val="231F20"/>
                        <w:spacing w:val="40"/>
                        <w:sz w:val="12"/>
                      </w:rPr>
                      <w:t> </w:t>
                    </w:r>
                    <w:r>
                      <w:rPr>
                        <w:rFonts w:ascii="Times New Roman"/>
                        <w:color w:val="231F20"/>
                        <w:spacing w:val="-2"/>
                        <w:sz w:val="12"/>
                      </w:rPr>
                      <w:t>LEADERSHIP</w:t>
                    </w:r>
                  </w:p>
                </w:txbxContent>
              </v:textbox>
              <v:fill type="solid"/>
              <v:stroke dashstyle="solid"/>
              <w10:wrap type="none"/>
            </v:shape>
            <v:shape style="position:absolute;left:2987;top:3293;width:852;height:318" type="#_x0000_t202" id="docshape227" filled="true" fillcolor="#bbbdc0" stroked="true" strokeweight=".75pt" strokecolor="#231f20">
              <v:textbox inset="0,0,0,0">
                <w:txbxContent>
                  <w:p>
                    <w:pPr>
                      <w:spacing w:line="242" w:lineRule="auto" w:before="7"/>
                      <w:ind w:left="89" w:right="0" w:firstLine="0"/>
                      <w:jc w:val="left"/>
                      <w:rPr>
                        <w:rFonts w:ascii="Times New Roman"/>
                        <w:color w:val="000000"/>
                        <w:sz w:val="12"/>
                      </w:rPr>
                    </w:pPr>
                    <w:r>
                      <w:rPr>
                        <w:rFonts w:ascii="Times New Roman"/>
                        <w:color w:val="231F20"/>
                        <w:sz w:val="12"/>
                      </w:rPr>
                      <w:t>2: Crisis of</w:t>
                    </w:r>
                    <w:r>
                      <w:rPr>
                        <w:rFonts w:ascii="Times New Roman"/>
                        <w:color w:val="231F20"/>
                        <w:spacing w:val="40"/>
                        <w:sz w:val="12"/>
                      </w:rPr>
                      <w:t> </w:t>
                    </w:r>
                    <w:r>
                      <w:rPr>
                        <w:rFonts w:ascii="Times New Roman"/>
                        <w:color w:val="231F20"/>
                        <w:spacing w:val="-4"/>
                        <w:sz w:val="12"/>
                      </w:rPr>
                      <w:t>AUTONOMY</w:t>
                    </w:r>
                  </w:p>
                </w:txbxContent>
              </v:textbox>
              <v:fill type="solid"/>
              <v:stroke dashstyle="solid"/>
              <w10:wrap type="none"/>
            </v:shape>
            <v:shape style="position:absolute;left:4137;top:2562;width:827;height:306" type="#_x0000_t202" id="docshape228" filled="true" fillcolor="#bbbdc0" stroked="true" strokeweight=".75pt" strokecolor="#231f20">
              <v:textbox inset="0,0,0,0">
                <w:txbxContent>
                  <w:p>
                    <w:pPr>
                      <w:spacing w:line="208" w:lineRule="auto" w:before="39"/>
                      <w:ind w:left="103" w:right="136" w:firstLine="0"/>
                      <w:jc w:val="left"/>
                      <w:rPr>
                        <w:rFonts w:ascii="Times New Roman"/>
                        <w:color w:val="000000"/>
                        <w:sz w:val="12"/>
                      </w:rPr>
                    </w:pPr>
                    <w:r>
                      <w:rPr>
                        <w:rFonts w:ascii="Times New Roman"/>
                        <w:color w:val="231F20"/>
                        <w:sz w:val="12"/>
                      </w:rPr>
                      <w:t>3:</w:t>
                    </w:r>
                    <w:r>
                      <w:rPr>
                        <w:rFonts w:ascii="Times New Roman"/>
                        <w:color w:val="231F20"/>
                        <w:spacing w:val="-5"/>
                        <w:sz w:val="12"/>
                      </w:rPr>
                      <w:t> </w:t>
                    </w:r>
                    <w:r>
                      <w:rPr>
                        <w:rFonts w:ascii="Times New Roman"/>
                        <w:color w:val="231F20"/>
                        <w:sz w:val="12"/>
                      </w:rPr>
                      <w:t>Crisis</w:t>
                    </w:r>
                    <w:r>
                      <w:rPr>
                        <w:rFonts w:ascii="Times New Roman"/>
                        <w:color w:val="231F20"/>
                        <w:spacing w:val="-5"/>
                        <w:sz w:val="12"/>
                      </w:rPr>
                      <w:t> </w:t>
                    </w:r>
                    <w:r>
                      <w:rPr>
                        <w:rFonts w:ascii="Times New Roman"/>
                        <w:color w:val="231F20"/>
                        <w:sz w:val="12"/>
                      </w:rPr>
                      <w:t>of</w:t>
                    </w:r>
                    <w:r>
                      <w:rPr>
                        <w:rFonts w:ascii="Times New Roman"/>
                        <w:color w:val="231F20"/>
                        <w:spacing w:val="40"/>
                        <w:sz w:val="12"/>
                      </w:rPr>
                      <w:t> </w:t>
                    </w:r>
                    <w:r>
                      <w:rPr>
                        <w:rFonts w:ascii="Times New Roman"/>
                        <w:color w:val="231F20"/>
                        <w:spacing w:val="-2"/>
                        <w:sz w:val="12"/>
                      </w:rPr>
                      <w:t>CONTROL</w:t>
                    </w:r>
                  </w:p>
                </w:txbxContent>
              </v:textbox>
              <v:fill type="solid"/>
              <v:stroke dashstyle="solid"/>
              <w10:wrap type="none"/>
            </v:shape>
            <v:shape style="position:absolute;left:5204;top:1768;width:846;height:312" type="#_x0000_t202" id="docshape229" filled="true" fillcolor="#bbbdc0" stroked="true" strokeweight=".75pt" strokecolor="#231f20">
              <v:textbox inset="0,0,0,0">
                <w:txbxContent>
                  <w:p>
                    <w:pPr>
                      <w:spacing w:line="208" w:lineRule="auto" w:before="35"/>
                      <w:ind w:left="115" w:right="150" w:firstLine="0"/>
                      <w:jc w:val="left"/>
                      <w:rPr>
                        <w:rFonts w:ascii="Times New Roman"/>
                        <w:color w:val="000000"/>
                        <w:sz w:val="12"/>
                      </w:rPr>
                    </w:pPr>
                    <w:r>
                      <w:rPr>
                        <w:rFonts w:ascii="Times New Roman"/>
                        <w:color w:val="231F20"/>
                        <w:sz w:val="12"/>
                      </w:rPr>
                      <w:t>4:</w:t>
                    </w:r>
                    <w:r>
                      <w:rPr>
                        <w:rFonts w:ascii="Times New Roman"/>
                        <w:color w:val="231F20"/>
                        <w:spacing w:val="-7"/>
                        <w:sz w:val="12"/>
                      </w:rPr>
                      <w:t> </w:t>
                    </w:r>
                    <w:r>
                      <w:rPr>
                        <w:rFonts w:ascii="Times New Roman"/>
                        <w:color w:val="231F20"/>
                        <w:sz w:val="12"/>
                      </w:rPr>
                      <w:t>Crisis</w:t>
                    </w:r>
                    <w:r>
                      <w:rPr>
                        <w:rFonts w:ascii="Times New Roman"/>
                        <w:color w:val="231F20"/>
                        <w:spacing w:val="-7"/>
                        <w:sz w:val="12"/>
                      </w:rPr>
                      <w:t> </w:t>
                    </w:r>
                    <w:r>
                      <w:rPr>
                        <w:rFonts w:ascii="Times New Roman"/>
                        <w:color w:val="231F20"/>
                        <w:sz w:val="12"/>
                      </w:rPr>
                      <w:t>of</w:t>
                    </w:r>
                    <w:r>
                      <w:rPr>
                        <w:rFonts w:ascii="Times New Roman"/>
                        <w:color w:val="231F20"/>
                        <w:spacing w:val="40"/>
                        <w:sz w:val="12"/>
                      </w:rPr>
                      <w:t> </w:t>
                    </w:r>
                    <w:r>
                      <w:rPr>
                        <w:rFonts w:ascii="Times New Roman"/>
                        <w:color w:val="231F20"/>
                        <w:sz w:val="12"/>
                      </w:rPr>
                      <w:t>RED</w:t>
                    </w:r>
                    <w:r>
                      <w:rPr>
                        <w:rFonts w:ascii="Times New Roman"/>
                        <w:color w:val="231F20"/>
                        <w:spacing w:val="-4"/>
                        <w:sz w:val="12"/>
                      </w:rPr>
                      <w:t> </w:t>
                    </w:r>
                    <w:r>
                      <w:rPr>
                        <w:rFonts w:ascii="Times New Roman"/>
                        <w:color w:val="231F20"/>
                        <w:spacing w:val="-5"/>
                        <w:sz w:val="12"/>
                      </w:rPr>
                      <w:t>TAPE</w:t>
                    </w:r>
                  </w:p>
                </w:txbxContent>
              </v:textbox>
              <v:fill type="solid"/>
              <v:stroke dashstyle="solid"/>
              <w10:wrap type="none"/>
            </v:shape>
            <v:shape style="position:absolute;left:6336;top:961;width:814;height:325" type="#_x0000_t202" id="docshape230" filled="true" fillcolor="#bbbdc0" stroked="true" strokeweight=".75pt" strokecolor="#231f20">
              <v:textbox inset="0,0,0,0">
                <w:txbxContent>
                  <w:p>
                    <w:pPr>
                      <w:spacing w:before="85"/>
                      <w:ind w:left="77" w:right="0" w:firstLine="0"/>
                      <w:jc w:val="left"/>
                      <w:rPr>
                        <w:rFonts w:ascii="Times New Roman"/>
                        <w:color w:val="000000"/>
                        <w:sz w:val="12"/>
                      </w:rPr>
                    </w:pPr>
                    <w:r>
                      <w:rPr>
                        <w:rFonts w:ascii="Times New Roman"/>
                        <w:color w:val="231F20"/>
                        <w:sz w:val="12"/>
                      </w:rPr>
                      <w:t>5:</w:t>
                    </w:r>
                    <w:r>
                      <w:rPr>
                        <w:rFonts w:ascii="Times New Roman"/>
                        <w:color w:val="231F20"/>
                        <w:spacing w:val="-3"/>
                        <w:sz w:val="12"/>
                      </w:rPr>
                      <w:t> </w:t>
                    </w:r>
                    <w:r>
                      <w:rPr>
                        <w:rFonts w:ascii="Times New Roman"/>
                        <w:color w:val="231F20"/>
                        <w:sz w:val="12"/>
                      </w:rPr>
                      <w:t>Crisis</w:t>
                    </w:r>
                    <w:r>
                      <w:rPr>
                        <w:rFonts w:ascii="Times New Roman"/>
                        <w:color w:val="231F20"/>
                        <w:spacing w:val="-3"/>
                        <w:sz w:val="12"/>
                      </w:rPr>
                      <w:t> </w:t>
                    </w:r>
                    <w:r>
                      <w:rPr>
                        <w:rFonts w:ascii="Times New Roman"/>
                        <w:color w:val="231F20"/>
                        <w:sz w:val="12"/>
                      </w:rPr>
                      <w:t>of</w:t>
                    </w:r>
                    <w:r>
                      <w:rPr>
                        <w:rFonts w:ascii="Times New Roman"/>
                        <w:color w:val="231F20"/>
                        <w:spacing w:val="-2"/>
                        <w:sz w:val="12"/>
                      </w:rPr>
                      <w:t> </w:t>
                    </w:r>
                    <w:r>
                      <w:rPr>
                        <w:rFonts w:ascii="Times New Roman"/>
                        <w:color w:val="231F20"/>
                        <w:spacing w:val="-10"/>
                        <w:sz w:val="12"/>
                      </w:rPr>
                      <w:t>?</w:t>
                    </w:r>
                  </w:p>
                </w:txbxContent>
              </v:textbox>
              <v:fill type="solid"/>
              <v:stroke dashstyle="solid"/>
              <w10:wrap type="none"/>
            </v:shape>
            <w10:wrap type="topAndBottom"/>
          </v:group>
        </w:pict>
      </w:r>
    </w:p>
    <w:p>
      <w:pPr>
        <w:pStyle w:val="BodyText"/>
        <w:spacing w:before="1"/>
        <w:rPr>
          <w:rFonts w:ascii="Arial"/>
          <w:sz w:val="27"/>
        </w:rPr>
      </w:pPr>
    </w:p>
    <w:p>
      <w:pPr>
        <w:spacing w:line="244" w:lineRule="auto" w:before="99"/>
        <w:ind w:left="919" w:right="666" w:firstLine="0"/>
        <w:jc w:val="both"/>
        <w:rPr>
          <w:sz w:val="20"/>
        </w:rPr>
      </w:pPr>
      <w:r>
        <w:rPr>
          <w:color w:val="231F20"/>
          <w:sz w:val="20"/>
        </w:rPr>
        <w:t>Reprinted by permission of </w:t>
      </w:r>
      <w:r>
        <w:rPr>
          <w:i/>
          <w:color w:val="231F20"/>
          <w:sz w:val="20"/>
        </w:rPr>
        <w:t>Harvard Business Review. </w:t>
      </w:r>
      <w:r>
        <w:rPr>
          <w:color w:val="231F20"/>
          <w:sz w:val="20"/>
        </w:rPr>
        <w:t>An exhibit </w:t>
      </w:r>
      <w:r>
        <w:rPr>
          <w:color w:val="231F20"/>
          <w:sz w:val="20"/>
        </w:rPr>
        <w:t>from “Evolution and Revolution as Organizations Grow” by Larry E. Greiner, Volume 50, Number 4 (July/August 1972). Copyright © 1972 by the President and Fellows of Harvard College; all rights reserved.</w:t>
      </w:r>
    </w:p>
    <w:p>
      <w:pPr>
        <w:pStyle w:val="BodyText"/>
        <w:rPr>
          <w:sz w:val="22"/>
        </w:rPr>
      </w:pPr>
    </w:p>
    <w:p>
      <w:pPr>
        <w:pStyle w:val="BodyText"/>
        <w:rPr>
          <w:sz w:val="22"/>
        </w:rPr>
      </w:pPr>
    </w:p>
    <w:p>
      <w:pPr>
        <w:pStyle w:val="BodyText"/>
        <w:spacing w:before="9"/>
        <w:rPr>
          <w:sz w:val="17"/>
        </w:rPr>
      </w:pPr>
    </w:p>
    <w:p>
      <w:pPr>
        <w:pStyle w:val="BodyText"/>
        <w:spacing w:line="292" w:lineRule="auto"/>
        <w:ind w:left="941" w:right="666"/>
        <w:jc w:val="right"/>
      </w:pPr>
      <w:r>
        <w:rPr>
          <w:i/>
          <w:color w:val="231F20"/>
        </w:rPr>
        <w:t>autonomy </w:t>
      </w:r>
      <w:r>
        <w:rPr>
          <w:color w:val="231F20"/>
        </w:rPr>
        <w:t>to develop a new breakthrough product, and Sculley gave</w:t>
      </w:r>
      <w:r>
        <w:rPr>
          <w:color w:val="231F20"/>
          <w:spacing w:val="40"/>
        </w:rPr>
        <w:t> </w:t>
      </w:r>
      <w:r>
        <w:rPr>
          <w:color w:val="231F20"/>
        </w:rPr>
        <w:t>it to them. The </w:t>
      </w:r>
      <w:r>
        <w:rPr>
          <w:i/>
          <w:color w:val="231F20"/>
        </w:rPr>
        <w:t>delegation </w:t>
      </w:r>
      <w:r>
        <w:rPr>
          <w:color w:val="231F20"/>
        </w:rPr>
        <w:t>resulted in the creation of the Macintosh. The</w:t>
      </w:r>
      <w:r>
        <w:rPr>
          <w:color w:val="231F20"/>
          <w:spacing w:val="80"/>
        </w:rPr>
        <w:t> </w:t>
      </w:r>
      <w:r>
        <w:rPr>
          <w:color w:val="231F20"/>
        </w:rPr>
        <w:t>Mac</w:t>
      </w:r>
      <w:r>
        <w:rPr>
          <w:color w:val="231F20"/>
          <w:spacing w:val="80"/>
        </w:rPr>
        <w:t> </w:t>
      </w:r>
      <w:r>
        <w:rPr>
          <w:color w:val="231F20"/>
        </w:rPr>
        <w:t>created</w:t>
      </w:r>
      <w:r>
        <w:rPr>
          <w:color w:val="231F20"/>
          <w:spacing w:val="80"/>
        </w:rPr>
        <w:t> </w:t>
      </w:r>
      <w:r>
        <w:rPr>
          <w:color w:val="231F20"/>
        </w:rPr>
        <w:t>another</w:t>
      </w:r>
      <w:r>
        <w:rPr>
          <w:color w:val="231F20"/>
          <w:spacing w:val="80"/>
        </w:rPr>
        <w:t> </w:t>
      </w:r>
      <w:r>
        <w:rPr>
          <w:color w:val="231F20"/>
        </w:rPr>
        <w:t>explosive</w:t>
      </w:r>
      <w:r>
        <w:rPr>
          <w:color w:val="231F20"/>
          <w:spacing w:val="80"/>
        </w:rPr>
        <w:t> </w:t>
      </w:r>
      <w:r>
        <w:rPr>
          <w:color w:val="231F20"/>
        </w:rPr>
        <w:t>growth</w:t>
      </w:r>
      <w:r>
        <w:rPr>
          <w:color w:val="231F20"/>
          <w:spacing w:val="80"/>
        </w:rPr>
        <w:t> </w:t>
      </w:r>
      <w:r>
        <w:rPr>
          <w:color w:val="231F20"/>
        </w:rPr>
        <w:t>period.</w:t>
      </w:r>
      <w:r>
        <w:rPr>
          <w:color w:val="231F20"/>
          <w:spacing w:val="80"/>
        </w:rPr>
        <w:t> </w:t>
      </w:r>
      <w:r>
        <w:rPr>
          <w:color w:val="231F20"/>
        </w:rPr>
        <w:t>However, Jobs</w:t>
      </w:r>
      <w:r>
        <w:rPr>
          <w:color w:val="231F20"/>
          <w:spacing w:val="40"/>
        </w:rPr>
        <w:t> </w:t>
      </w:r>
      <w:r>
        <w:rPr>
          <w:color w:val="231F20"/>
        </w:rPr>
        <w:t>could</w:t>
      </w:r>
      <w:r>
        <w:rPr>
          <w:color w:val="231F20"/>
          <w:spacing w:val="40"/>
        </w:rPr>
        <w:t> </w:t>
      </w:r>
      <w:r>
        <w:rPr>
          <w:color w:val="231F20"/>
        </w:rPr>
        <w:t>not</w:t>
      </w:r>
      <w:r>
        <w:rPr>
          <w:color w:val="231F20"/>
          <w:spacing w:val="40"/>
        </w:rPr>
        <w:t> </w:t>
      </w:r>
      <w:r>
        <w:rPr>
          <w:color w:val="231F20"/>
        </w:rPr>
        <w:t>work</w:t>
      </w:r>
      <w:r>
        <w:rPr>
          <w:color w:val="231F20"/>
          <w:spacing w:val="40"/>
        </w:rPr>
        <w:t> </w:t>
      </w:r>
      <w:r>
        <w:rPr>
          <w:color w:val="231F20"/>
        </w:rPr>
        <w:t>in</w:t>
      </w:r>
      <w:r>
        <w:rPr>
          <w:color w:val="231F20"/>
          <w:spacing w:val="40"/>
        </w:rPr>
        <w:t> </w:t>
      </w:r>
      <w:r>
        <w:rPr>
          <w:color w:val="231F20"/>
        </w:rPr>
        <w:t>a</w:t>
      </w:r>
      <w:r>
        <w:rPr>
          <w:color w:val="231F20"/>
          <w:spacing w:val="40"/>
        </w:rPr>
        <w:t> </w:t>
      </w:r>
      <w:r>
        <w:rPr>
          <w:color w:val="231F20"/>
        </w:rPr>
        <w:t>growing</w:t>
      </w:r>
      <w:r>
        <w:rPr>
          <w:color w:val="231F20"/>
          <w:spacing w:val="40"/>
        </w:rPr>
        <w:t> </w:t>
      </w:r>
      <w:r>
        <w:rPr>
          <w:color w:val="231F20"/>
        </w:rPr>
        <w:t>corporate</w:t>
      </w:r>
      <w:r>
        <w:rPr>
          <w:color w:val="231F20"/>
          <w:spacing w:val="40"/>
        </w:rPr>
        <w:t> </w:t>
      </w:r>
      <w:r>
        <w:rPr>
          <w:color w:val="231F20"/>
        </w:rPr>
        <w:t>bureaucracy,</w:t>
      </w:r>
      <w:r>
        <w:rPr>
          <w:color w:val="231F20"/>
          <w:spacing w:val="40"/>
        </w:rPr>
        <w:t> </w:t>
      </w:r>
      <w:r>
        <w:rPr>
          <w:color w:val="231F20"/>
        </w:rPr>
        <w:t>and</w:t>
      </w:r>
      <w:r>
        <w:rPr>
          <w:color w:val="231F20"/>
          <w:spacing w:val="40"/>
        </w:rPr>
        <w:t> </w:t>
      </w:r>
      <w:r>
        <w:rPr>
          <w:color w:val="231F20"/>
        </w:rPr>
        <w:t>he started</w:t>
      </w:r>
      <w:r>
        <w:rPr>
          <w:color w:val="231F20"/>
          <w:spacing w:val="35"/>
        </w:rPr>
        <w:t> </w:t>
      </w:r>
      <w:r>
        <w:rPr>
          <w:color w:val="231F20"/>
        </w:rPr>
        <w:t>a</w:t>
      </w:r>
      <w:r>
        <w:rPr>
          <w:color w:val="231F20"/>
          <w:spacing w:val="35"/>
        </w:rPr>
        <w:t> </w:t>
      </w:r>
      <w:r>
        <w:rPr>
          <w:color w:val="231F20"/>
        </w:rPr>
        <w:t>new</w:t>
      </w:r>
      <w:r>
        <w:rPr>
          <w:color w:val="231F20"/>
          <w:spacing w:val="35"/>
        </w:rPr>
        <w:t> </w:t>
      </w:r>
      <w:r>
        <w:rPr>
          <w:color w:val="231F20"/>
        </w:rPr>
        <w:t>company</w:t>
      </w:r>
      <w:r>
        <w:rPr>
          <w:color w:val="231F20"/>
          <w:spacing w:val="35"/>
        </w:rPr>
        <w:t> </w:t>
      </w:r>
      <w:r>
        <w:rPr>
          <w:color w:val="231F20"/>
        </w:rPr>
        <w:t>called</w:t>
      </w:r>
      <w:r>
        <w:rPr>
          <w:color w:val="231F20"/>
          <w:spacing w:val="35"/>
        </w:rPr>
        <w:t> </w:t>
      </w:r>
      <w:r>
        <w:rPr>
          <w:color w:val="231F20"/>
        </w:rPr>
        <w:t>NeXT.</w:t>
      </w:r>
      <w:r>
        <w:rPr>
          <w:color w:val="231F20"/>
          <w:spacing w:val="35"/>
        </w:rPr>
        <w:t> </w:t>
      </w:r>
      <w:r>
        <w:rPr>
          <w:color w:val="231F20"/>
        </w:rPr>
        <w:t>In</w:t>
      </w:r>
      <w:r>
        <w:rPr>
          <w:color w:val="231F20"/>
          <w:spacing w:val="35"/>
        </w:rPr>
        <w:t> </w:t>
      </w:r>
      <w:r>
        <w:rPr>
          <w:color w:val="231F20"/>
        </w:rPr>
        <w:t>1989</w:t>
      </w:r>
      <w:r>
        <w:rPr>
          <w:color w:val="231F20"/>
          <w:spacing w:val="35"/>
        </w:rPr>
        <w:t> </w:t>
      </w:r>
      <w:r>
        <w:rPr>
          <w:color w:val="231F20"/>
        </w:rPr>
        <w:t>the</w:t>
      </w:r>
      <w:r>
        <w:rPr>
          <w:color w:val="231F20"/>
          <w:spacing w:val="35"/>
        </w:rPr>
        <w:t> </w:t>
      </w:r>
      <w:r>
        <w:rPr>
          <w:color w:val="231F20"/>
        </w:rPr>
        <w:t>aging</w:t>
      </w:r>
      <w:r>
        <w:rPr>
          <w:color w:val="231F20"/>
          <w:spacing w:val="35"/>
        </w:rPr>
        <w:t> </w:t>
      </w:r>
      <w:r>
        <w:rPr>
          <w:color w:val="231F20"/>
        </w:rPr>
        <w:t>Mac</w:t>
      </w:r>
      <w:r>
        <w:rPr>
          <w:color w:val="231F20"/>
          <w:spacing w:val="35"/>
        </w:rPr>
        <w:t> </w:t>
      </w:r>
      <w:r>
        <w:rPr>
          <w:color w:val="231F20"/>
        </w:rPr>
        <w:t>faced fierce competition, and as profits declined in 1990, a new Apple cri- sis of </w:t>
      </w:r>
      <w:r>
        <w:rPr>
          <w:i/>
          <w:color w:val="231F20"/>
        </w:rPr>
        <w:t>control </w:t>
      </w:r>
      <w:r>
        <w:rPr>
          <w:color w:val="231F20"/>
        </w:rPr>
        <w:t>was brewing. Michael Spindler was appointed as chief operating officer to assist Sculley as chairman to take control and re- turn</w:t>
      </w:r>
      <w:r>
        <w:rPr>
          <w:color w:val="231F20"/>
          <w:spacing w:val="19"/>
        </w:rPr>
        <w:t> </w:t>
      </w:r>
      <w:r>
        <w:rPr>
          <w:color w:val="231F20"/>
        </w:rPr>
        <w:t>the</w:t>
      </w:r>
      <w:r>
        <w:rPr>
          <w:color w:val="231F20"/>
          <w:spacing w:val="20"/>
        </w:rPr>
        <w:t> </w:t>
      </w:r>
      <w:r>
        <w:rPr>
          <w:color w:val="231F20"/>
        </w:rPr>
        <w:t>company</w:t>
      </w:r>
      <w:r>
        <w:rPr>
          <w:color w:val="231F20"/>
          <w:spacing w:val="19"/>
        </w:rPr>
        <w:t> </w:t>
      </w:r>
      <w:r>
        <w:rPr>
          <w:color w:val="231F20"/>
        </w:rPr>
        <w:t>to</w:t>
      </w:r>
      <w:r>
        <w:rPr>
          <w:color w:val="231F20"/>
          <w:spacing w:val="20"/>
        </w:rPr>
        <w:t> </w:t>
      </w:r>
      <w:r>
        <w:rPr>
          <w:color w:val="231F20"/>
        </w:rPr>
        <w:t>increasing</w:t>
      </w:r>
      <w:r>
        <w:rPr>
          <w:color w:val="231F20"/>
          <w:spacing w:val="19"/>
        </w:rPr>
        <w:t> </w:t>
      </w:r>
      <w:r>
        <w:rPr>
          <w:color w:val="231F20"/>
        </w:rPr>
        <w:t>profitability.</w:t>
      </w:r>
      <w:r>
        <w:rPr>
          <w:color w:val="231F20"/>
          <w:spacing w:val="20"/>
        </w:rPr>
        <w:t> </w:t>
      </w:r>
      <w:r>
        <w:rPr>
          <w:color w:val="231F20"/>
        </w:rPr>
        <w:t>By</w:t>
      </w:r>
      <w:r>
        <w:rPr>
          <w:color w:val="231F20"/>
          <w:spacing w:val="19"/>
        </w:rPr>
        <w:t> </w:t>
      </w:r>
      <w:r>
        <w:rPr>
          <w:color w:val="231F20"/>
        </w:rPr>
        <w:t>1992</w:t>
      </w:r>
      <w:r>
        <w:rPr>
          <w:color w:val="231F20"/>
          <w:spacing w:val="20"/>
        </w:rPr>
        <w:t> </w:t>
      </w:r>
      <w:r>
        <w:rPr>
          <w:color w:val="231F20"/>
        </w:rPr>
        <w:t>they</w:t>
      </w:r>
      <w:r>
        <w:rPr>
          <w:color w:val="231F20"/>
          <w:spacing w:val="19"/>
        </w:rPr>
        <w:t> </w:t>
      </w:r>
      <w:r>
        <w:rPr>
          <w:color w:val="231F20"/>
        </w:rPr>
        <w:t>had</w:t>
      </w:r>
      <w:r>
        <w:rPr>
          <w:color w:val="231F20"/>
          <w:spacing w:val="20"/>
        </w:rPr>
        <w:t> </w:t>
      </w:r>
      <w:r>
        <w:rPr>
          <w:color w:val="231F20"/>
          <w:spacing w:val="-4"/>
        </w:rPr>
        <w:t>suc-</w:t>
      </w:r>
    </w:p>
    <w:p>
      <w:pPr>
        <w:spacing w:after="0" w:line="292" w:lineRule="auto"/>
        <w:jc w:val="right"/>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ceeded, but fell into crisis in 1995. Steve Jobs returned and led </w:t>
      </w:r>
      <w:r>
        <w:rPr>
          <w:color w:val="231F20"/>
        </w:rPr>
        <w:t>yet another recovery in 1998 with the iMac and G3 computers and in 2002 with the iPod music player.</w:t>
      </w:r>
    </w:p>
    <w:p>
      <w:pPr>
        <w:pStyle w:val="BodyText"/>
        <w:rPr>
          <w:sz w:val="24"/>
        </w:rPr>
      </w:pPr>
    </w:p>
    <w:p>
      <w:pPr>
        <w:pStyle w:val="BodyText"/>
        <w:rPr>
          <w:sz w:val="27"/>
        </w:rPr>
      </w:pPr>
    </w:p>
    <w:p>
      <w:pPr>
        <w:pStyle w:val="Heading6"/>
        <w:spacing w:before="1"/>
        <w:ind w:left="299"/>
        <w:rPr>
          <w:i/>
        </w:rPr>
      </w:pPr>
      <w:r>
        <w:rPr>
          <w:i/>
          <w:color w:val="231F20"/>
          <w:w w:val="110"/>
        </w:rPr>
        <w:t>CHANGE</w:t>
      </w:r>
      <w:r>
        <w:rPr>
          <w:i/>
          <w:color w:val="231F20"/>
          <w:spacing w:val="73"/>
          <w:w w:val="150"/>
        </w:rPr>
        <w:t> </w:t>
      </w:r>
      <w:r>
        <w:rPr>
          <w:i/>
          <w:color w:val="231F20"/>
          <w:w w:val="110"/>
        </w:rPr>
        <w:t>MANAGEMENT</w:t>
      </w:r>
      <w:r>
        <w:rPr>
          <w:i/>
          <w:color w:val="231F20"/>
          <w:spacing w:val="74"/>
          <w:w w:val="150"/>
        </w:rPr>
        <w:t> </w:t>
      </w:r>
      <w:r>
        <w:rPr>
          <w:i/>
          <w:color w:val="231F20"/>
          <w:spacing w:val="-2"/>
          <w:w w:val="110"/>
        </w:rPr>
        <w:t>STRATEGIES</w:t>
      </w:r>
    </w:p>
    <w:p>
      <w:pPr>
        <w:pStyle w:val="BodyText"/>
        <w:spacing w:before="2"/>
        <w:rPr>
          <w:b/>
          <w:i/>
          <w:sz w:val="30"/>
        </w:rPr>
      </w:pPr>
    </w:p>
    <w:p>
      <w:pPr>
        <w:pStyle w:val="BodyText"/>
        <w:spacing w:line="292" w:lineRule="auto"/>
        <w:ind w:left="830" w:right="756"/>
        <w:jc w:val="both"/>
      </w:pPr>
      <w:r>
        <w:rPr>
          <w:color w:val="231F20"/>
          <w:w w:val="105"/>
        </w:rPr>
        <w:t>In</w:t>
      </w:r>
      <w:r>
        <w:rPr>
          <w:color w:val="231F20"/>
          <w:w w:val="105"/>
        </w:rPr>
        <w:t> addition</w:t>
      </w:r>
      <w:r>
        <w:rPr>
          <w:color w:val="231F20"/>
          <w:w w:val="105"/>
        </w:rPr>
        <w:t> to</w:t>
      </w:r>
      <w:r>
        <w:rPr>
          <w:color w:val="231F20"/>
          <w:w w:val="105"/>
        </w:rPr>
        <w:t> all</w:t>
      </w:r>
      <w:r>
        <w:rPr>
          <w:color w:val="231F20"/>
          <w:w w:val="105"/>
        </w:rPr>
        <w:t> the</w:t>
      </w:r>
      <w:r>
        <w:rPr>
          <w:color w:val="231F20"/>
          <w:w w:val="105"/>
        </w:rPr>
        <w:t> theory</w:t>
      </w:r>
      <w:r>
        <w:rPr>
          <w:color w:val="231F20"/>
          <w:w w:val="105"/>
        </w:rPr>
        <w:t> about</w:t>
      </w:r>
      <w:r>
        <w:rPr>
          <w:color w:val="231F20"/>
          <w:w w:val="105"/>
        </w:rPr>
        <w:t> the</w:t>
      </w:r>
      <w:r>
        <w:rPr>
          <w:color w:val="231F20"/>
          <w:w w:val="105"/>
        </w:rPr>
        <w:t> mind</w:t>
      </w:r>
      <w:r>
        <w:rPr>
          <w:color w:val="231F20"/>
          <w:w w:val="105"/>
        </w:rPr>
        <w:t> and</w:t>
      </w:r>
      <w:r>
        <w:rPr>
          <w:color w:val="231F20"/>
          <w:w w:val="105"/>
        </w:rPr>
        <w:t> corporate</w:t>
      </w:r>
      <w:r>
        <w:rPr>
          <w:color w:val="231F20"/>
          <w:w w:val="105"/>
        </w:rPr>
        <w:t> body, MBAs</w:t>
      </w:r>
      <w:r>
        <w:rPr>
          <w:color w:val="231F20"/>
          <w:spacing w:val="-7"/>
          <w:w w:val="105"/>
        </w:rPr>
        <w:t> </w:t>
      </w:r>
      <w:r>
        <w:rPr>
          <w:color w:val="231F20"/>
          <w:w w:val="105"/>
        </w:rPr>
        <w:t>receive</w:t>
      </w:r>
      <w:r>
        <w:rPr>
          <w:color w:val="231F20"/>
          <w:spacing w:val="-7"/>
          <w:w w:val="105"/>
        </w:rPr>
        <w:t> </w:t>
      </w:r>
      <w:r>
        <w:rPr>
          <w:color w:val="231F20"/>
          <w:w w:val="105"/>
        </w:rPr>
        <w:t>practical</w:t>
      </w:r>
      <w:r>
        <w:rPr>
          <w:color w:val="231F20"/>
          <w:spacing w:val="-7"/>
          <w:w w:val="105"/>
        </w:rPr>
        <w:t> </w:t>
      </w:r>
      <w:r>
        <w:rPr>
          <w:color w:val="231F20"/>
          <w:w w:val="105"/>
        </w:rPr>
        <w:t>guidance</w:t>
      </w:r>
      <w:r>
        <w:rPr>
          <w:color w:val="231F20"/>
          <w:spacing w:val="-7"/>
          <w:w w:val="105"/>
        </w:rPr>
        <w:t> </w:t>
      </w:r>
      <w:r>
        <w:rPr>
          <w:color w:val="231F20"/>
          <w:w w:val="105"/>
        </w:rPr>
        <w:t>for</w:t>
      </w:r>
      <w:r>
        <w:rPr>
          <w:color w:val="231F20"/>
          <w:spacing w:val="-7"/>
          <w:w w:val="105"/>
        </w:rPr>
        <w:t> </w:t>
      </w:r>
      <w:r>
        <w:rPr>
          <w:color w:val="231F20"/>
          <w:w w:val="105"/>
        </w:rPr>
        <w:t>taking</w:t>
      </w:r>
      <w:r>
        <w:rPr>
          <w:color w:val="231F20"/>
          <w:spacing w:val="-7"/>
          <w:w w:val="105"/>
        </w:rPr>
        <w:t> </w:t>
      </w:r>
      <w:r>
        <w:rPr>
          <w:color w:val="231F20"/>
          <w:w w:val="105"/>
        </w:rPr>
        <w:t>action</w:t>
      </w:r>
      <w:r>
        <w:rPr>
          <w:color w:val="231F20"/>
          <w:spacing w:val="-7"/>
          <w:w w:val="105"/>
        </w:rPr>
        <w:t> </w:t>
      </w:r>
      <w:r>
        <w:rPr>
          <w:color w:val="231F20"/>
          <w:w w:val="105"/>
        </w:rPr>
        <w:t>in</w:t>
      </w:r>
      <w:r>
        <w:rPr>
          <w:color w:val="231F20"/>
          <w:spacing w:val="-7"/>
          <w:w w:val="105"/>
        </w:rPr>
        <w:t> </w:t>
      </w:r>
      <w:r>
        <w:rPr>
          <w:color w:val="231F20"/>
          <w:w w:val="105"/>
        </w:rPr>
        <w:t>difficult</w:t>
      </w:r>
      <w:r>
        <w:rPr>
          <w:color w:val="231F20"/>
          <w:spacing w:val="-7"/>
          <w:w w:val="105"/>
        </w:rPr>
        <w:t> </w:t>
      </w:r>
      <w:r>
        <w:rPr>
          <w:color w:val="231F20"/>
          <w:w w:val="105"/>
        </w:rPr>
        <w:t>situa- tions.</w:t>
      </w:r>
      <w:r>
        <w:rPr>
          <w:color w:val="231F20"/>
          <w:spacing w:val="-1"/>
          <w:w w:val="105"/>
        </w:rPr>
        <w:t> </w:t>
      </w:r>
      <w:r>
        <w:rPr>
          <w:color w:val="231F20"/>
          <w:w w:val="105"/>
        </w:rPr>
        <w:t>Even</w:t>
      </w:r>
      <w:r>
        <w:rPr>
          <w:color w:val="231F20"/>
          <w:spacing w:val="-1"/>
          <w:w w:val="105"/>
        </w:rPr>
        <w:t> </w:t>
      </w:r>
      <w:r>
        <w:rPr>
          <w:color w:val="231F20"/>
          <w:w w:val="105"/>
        </w:rPr>
        <w:t>if</w:t>
      </w:r>
      <w:r>
        <w:rPr>
          <w:color w:val="231F20"/>
          <w:spacing w:val="-1"/>
          <w:w w:val="105"/>
        </w:rPr>
        <w:t> </w:t>
      </w:r>
      <w:r>
        <w:rPr>
          <w:color w:val="231F20"/>
          <w:w w:val="105"/>
        </w:rPr>
        <w:t>an</w:t>
      </w:r>
      <w:r>
        <w:rPr>
          <w:color w:val="231F20"/>
          <w:spacing w:val="-1"/>
          <w:w w:val="105"/>
        </w:rPr>
        <w:t> </w:t>
      </w:r>
      <w:r>
        <w:rPr>
          <w:color w:val="231F20"/>
          <w:w w:val="105"/>
        </w:rPr>
        <w:t>action</w:t>
      </w:r>
      <w:r>
        <w:rPr>
          <w:color w:val="231F20"/>
          <w:spacing w:val="-1"/>
          <w:w w:val="105"/>
        </w:rPr>
        <w:t> </w:t>
      </w:r>
      <w:r>
        <w:rPr>
          <w:color w:val="231F20"/>
          <w:w w:val="105"/>
        </w:rPr>
        <w:t>plan</w:t>
      </w:r>
      <w:r>
        <w:rPr>
          <w:color w:val="231F20"/>
          <w:spacing w:val="-1"/>
          <w:w w:val="105"/>
        </w:rPr>
        <w:t> </w:t>
      </w:r>
      <w:r>
        <w:rPr>
          <w:color w:val="231F20"/>
          <w:w w:val="105"/>
        </w:rPr>
        <w:t>is</w:t>
      </w:r>
      <w:r>
        <w:rPr>
          <w:color w:val="231F20"/>
          <w:spacing w:val="-1"/>
          <w:w w:val="105"/>
        </w:rPr>
        <w:t> </w:t>
      </w:r>
      <w:r>
        <w:rPr>
          <w:color w:val="231F20"/>
          <w:w w:val="105"/>
        </w:rPr>
        <w:t>“perfect,”</w:t>
      </w:r>
      <w:r>
        <w:rPr>
          <w:color w:val="231F20"/>
          <w:spacing w:val="-1"/>
          <w:w w:val="105"/>
        </w:rPr>
        <w:t> </w:t>
      </w:r>
      <w:r>
        <w:rPr>
          <w:color w:val="231F20"/>
          <w:w w:val="105"/>
        </w:rPr>
        <w:t>there</w:t>
      </w:r>
      <w:r>
        <w:rPr>
          <w:color w:val="231F20"/>
          <w:spacing w:val="-1"/>
          <w:w w:val="105"/>
        </w:rPr>
        <w:t> </w:t>
      </w:r>
      <w:r>
        <w:rPr>
          <w:color w:val="231F20"/>
          <w:w w:val="105"/>
        </w:rPr>
        <w:t>is</w:t>
      </w:r>
      <w:r>
        <w:rPr>
          <w:color w:val="231F20"/>
          <w:spacing w:val="-1"/>
          <w:w w:val="105"/>
        </w:rPr>
        <w:t> </w:t>
      </w:r>
      <w:r>
        <w:rPr>
          <w:color w:val="231F20"/>
          <w:w w:val="105"/>
        </w:rPr>
        <w:t>always</w:t>
      </w:r>
      <w:r>
        <w:rPr>
          <w:color w:val="231F20"/>
          <w:spacing w:val="-1"/>
          <w:w w:val="105"/>
        </w:rPr>
        <w:t> </w:t>
      </w:r>
      <w:r>
        <w:rPr>
          <w:color w:val="231F20"/>
          <w:w w:val="105"/>
        </w:rPr>
        <w:t>resistance to</w:t>
      </w:r>
      <w:r>
        <w:rPr>
          <w:color w:val="231F20"/>
          <w:w w:val="105"/>
        </w:rPr>
        <w:t> change.</w:t>
      </w:r>
      <w:r>
        <w:rPr>
          <w:color w:val="231F20"/>
          <w:w w:val="105"/>
        </w:rPr>
        <w:t> Even</w:t>
      </w:r>
      <w:r>
        <w:rPr>
          <w:color w:val="231F20"/>
          <w:w w:val="105"/>
        </w:rPr>
        <w:t> those</w:t>
      </w:r>
      <w:r>
        <w:rPr>
          <w:color w:val="231F20"/>
          <w:w w:val="105"/>
        </w:rPr>
        <w:t> well-thought-out</w:t>
      </w:r>
      <w:r>
        <w:rPr>
          <w:color w:val="231F20"/>
          <w:w w:val="105"/>
        </w:rPr>
        <w:t> plans</w:t>
      </w:r>
      <w:r>
        <w:rPr>
          <w:color w:val="231F20"/>
          <w:w w:val="105"/>
        </w:rPr>
        <w:t> such</w:t>
      </w:r>
      <w:r>
        <w:rPr>
          <w:color w:val="231F20"/>
          <w:w w:val="105"/>
        </w:rPr>
        <w:t> as</w:t>
      </w:r>
      <w:r>
        <w:rPr>
          <w:color w:val="231F20"/>
          <w:w w:val="105"/>
        </w:rPr>
        <w:t> the</w:t>
      </w:r>
      <w:r>
        <w:rPr>
          <w:color w:val="231F20"/>
          <w:w w:val="105"/>
        </w:rPr>
        <w:t> one</w:t>
      </w:r>
      <w:r>
        <w:rPr>
          <w:color w:val="231F20"/>
          <w:w w:val="105"/>
        </w:rPr>
        <w:t> the new</w:t>
      </w:r>
      <w:r>
        <w:rPr>
          <w:color w:val="231F20"/>
          <w:spacing w:val="-12"/>
          <w:w w:val="105"/>
        </w:rPr>
        <w:t> </w:t>
      </w:r>
      <w:r>
        <w:rPr>
          <w:color w:val="231F20"/>
          <w:w w:val="105"/>
        </w:rPr>
        <w:t>MBA</w:t>
      </w:r>
      <w:r>
        <w:rPr>
          <w:color w:val="231F20"/>
          <w:spacing w:val="-12"/>
          <w:w w:val="105"/>
        </w:rPr>
        <w:t> </w:t>
      </w:r>
      <w:r>
        <w:rPr>
          <w:color w:val="231F20"/>
          <w:w w:val="105"/>
        </w:rPr>
        <w:t>proposed</w:t>
      </w:r>
      <w:r>
        <w:rPr>
          <w:color w:val="231F20"/>
          <w:spacing w:val="-12"/>
          <w:w w:val="105"/>
        </w:rPr>
        <w:t> </w:t>
      </w:r>
      <w:r>
        <w:rPr>
          <w:color w:val="231F20"/>
          <w:w w:val="105"/>
        </w:rPr>
        <w:t>to</w:t>
      </w:r>
      <w:r>
        <w:rPr>
          <w:color w:val="231F20"/>
          <w:spacing w:val="-12"/>
          <w:w w:val="105"/>
        </w:rPr>
        <w:t> </w:t>
      </w:r>
      <w:r>
        <w:rPr>
          <w:color w:val="231F20"/>
          <w:w w:val="105"/>
        </w:rPr>
        <w:t>his</w:t>
      </w:r>
      <w:r>
        <w:rPr>
          <w:color w:val="231F20"/>
          <w:spacing w:val="-12"/>
          <w:w w:val="105"/>
        </w:rPr>
        <w:t> </w:t>
      </w:r>
      <w:r>
        <w:rPr>
          <w:color w:val="231F20"/>
          <w:w w:val="105"/>
        </w:rPr>
        <w:t>boss</w:t>
      </w:r>
      <w:r>
        <w:rPr>
          <w:color w:val="231F20"/>
          <w:spacing w:val="-12"/>
          <w:w w:val="105"/>
        </w:rPr>
        <w:t> </w:t>
      </w:r>
      <w:r>
        <w:rPr>
          <w:color w:val="231F20"/>
          <w:w w:val="105"/>
        </w:rPr>
        <w:t>at</w:t>
      </w:r>
      <w:r>
        <w:rPr>
          <w:color w:val="231F20"/>
          <w:spacing w:val="-12"/>
          <w:w w:val="105"/>
        </w:rPr>
        <w:t> </w:t>
      </w:r>
      <w:r>
        <w:rPr>
          <w:color w:val="231F20"/>
          <w:w w:val="105"/>
        </w:rPr>
        <w:t>the</w:t>
      </w:r>
      <w:r>
        <w:rPr>
          <w:color w:val="231F20"/>
          <w:spacing w:val="-12"/>
          <w:w w:val="105"/>
        </w:rPr>
        <w:t> </w:t>
      </w:r>
      <w:r>
        <w:rPr>
          <w:color w:val="231F20"/>
          <w:w w:val="105"/>
        </w:rPr>
        <w:t>beginning</w:t>
      </w:r>
      <w:r>
        <w:rPr>
          <w:color w:val="231F20"/>
          <w:spacing w:val="-12"/>
          <w:w w:val="105"/>
        </w:rPr>
        <w:t> </w:t>
      </w:r>
      <w:r>
        <w:rPr>
          <w:color w:val="231F20"/>
          <w:w w:val="105"/>
        </w:rPr>
        <w:t>of</w:t>
      </w:r>
      <w:r>
        <w:rPr>
          <w:color w:val="231F20"/>
          <w:spacing w:val="-12"/>
          <w:w w:val="105"/>
        </w:rPr>
        <w:t> </w:t>
      </w:r>
      <w:r>
        <w:rPr>
          <w:color w:val="231F20"/>
          <w:w w:val="105"/>
        </w:rPr>
        <w:t>this</w:t>
      </w:r>
      <w:r>
        <w:rPr>
          <w:color w:val="231F20"/>
          <w:spacing w:val="-12"/>
          <w:w w:val="105"/>
        </w:rPr>
        <w:t> </w:t>
      </w:r>
      <w:r>
        <w:rPr>
          <w:color w:val="231F20"/>
          <w:w w:val="105"/>
        </w:rPr>
        <w:t>chapter</w:t>
      </w:r>
      <w:r>
        <w:rPr>
          <w:color w:val="231F20"/>
          <w:spacing w:val="-12"/>
          <w:w w:val="105"/>
        </w:rPr>
        <w:t> </w:t>
      </w:r>
      <w:r>
        <w:rPr>
          <w:color w:val="231F20"/>
          <w:w w:val="105"/>
        </w:rPr>
        <w:t>may run</w:t>
      </w:r>
      <w:r>
        <w:rPr>
          <w:color w:val="231F20"/>
          <w:w w:val="105"/>
        </w:rPr>
        <w:t> up</w:t>
      </w:r>
      <w:r>
        <w:rPr>
          <w:color w:val="231F20"/>
          <w:w w:val="105"/>
        </w:rPr>
        <w:t> against</w:t>
      </w:r>
      <w:r>
        <w:rPr>
          <w:color w:val="231F20"/>
          <w:w w:val="105"/>
        </w:rPr>
        <w:t> a</w:t>
      </w:r>
      <w:r>
        <w:rPr>
          <w:color w:val="231F20"/>
          <w:w w:val="105"/>
        </w:rPr>
        <w:t> wall.</w:t>
      </w:r>
      <w:r>
        <w:rPr>
          <w:color w:val="231F20"/>
          <w:w w:val="105"/>
        </w:rPr>
        <w:t> Fortunately,</w:t>
      </w:r>
      <w:r>
        <w:rPr>
          <w:color w:val="231F20"/>
          <w:w w:val="105"/>
        </w:rPr>
        <w:t> John</w:t>
      </w:r>
      <w:r>
        <w:rPr>
          <w:color w:val="231F20"/>
          <w:w w:val="105"/>
        </w:rPr>
        <w:t> P.</w:t>
      </w:r>
      <w:r>
        <w:rPr>
          <w:color w:val="231F20"/>
          <w:w w:val="105"/>
        </w:rPr>
        <w:t> Kotter</w:t>
      </w:r>
      <w:r>
        <w:rPr>
          <w:color w:val="231F20"/>
          <w:w w:val="105"/>
        </w:rPr>
        <w:t> and</w:t>
      </w:r>
      <w:r>
        <w:rPr>
          <w:color w:val="231F20"/>
          <w:w w:val="105"/>
        </w:rPr>
        <w:t> Leonard</w:t>
      </w:r>
      <w:r>
        <w:rPr>
          <w:color w:val="231F20"/>
          <w:w w:val="105"/>
        </w:rPr>
        <w:t> A. Schlesinger</w:t>
      </w:r>
      <w:r>
        <w:rPr>
          <w:color w:val="231F20"/>
          <w:spacing w:val="-2"/>
          <w:w w:val="105"/>
        </w:rPr>
        <w:t> </w:t>
      </w:r>
      <w:r>
        <w:rPr>
          <w:color w:val="231F20"/>
          <w:w w:val="105"/>
        </w:rPr>
        <w:t>formulated</w:t>
      </w:r>
      <w:r>
        <w:rPr>
          <w:color w:val="231F20"/>
          <w:spacing w:val="-2"/>
          <w:w w:val="105"/>
        </w:rPr>
        <w:t> </w:t>
      </w:r>
      <w:r>
        <w:rPr>
          <w:color w:val="231F20"/>
          <w:w w:val="105"/>
        </w:rPr>
        <w:t>a</w:t>
      </w:r>
      <w:r>
        <w:rPr>
          <w:color w:val="231F20"/>
          <w:spacing w:val="-2"/>
          <w:w w:val="105"/>
        </w:rPr>
        <w:t> </w:t>
      </w:r>
      <w:r>
        <w:rPr>
          <w:color w:val="231F20"/>
          <w:w w:val="105"/>
        </w:rPr>
        <w:t>tidy</w:t>
      </w:r>
      <w:r>
        <w:rPr>
          <w:color w:val="231F20"/>
          <w:spacing w:val="-2"/>
          <w:w w:val="105"/>
        </w:rPr>
        <w:t> </w:t>
      </w:r>
      <w:r>
        <w:rPr>
          <w:color w:val="231F20"/>
          <w:w w:val="105"/>
        </w:rPr>
        <w:t>model</w:t>
      </w:r>
      <w:r>
        <w:rPr>
          <w:color w:val="231F20"/>
          <w:spacing w:val="-2"/>
          <w:w w:val="105"/>
        </w:rPr>
        <w:t> </w:t>
      </w:r>
      <w:r>
        <w:rPr>
          <w:color w:val="231F20"/>
          <w:w w:val="105"/>
        </w:rPr>
        <w:t>to</w:t>
      </w:r>
      <w:r>
        <w:rPr>
          <w:color w:val="231F20"/>
          <w:spacing w:val="-2"/>
          <w:w w:val="105"/>
        </w:rPr>
        <w:t> </w:t>
      </w:r>
      <w:r>
        <w:rPr>
          <w:color w:val="231F20"/>
          <w:w w:val="105"/>
        </w:rPr>
        <w:t>assist</w:t>
      </w:r>
      <w:r>
        <w:rPr>
          <w:color w:val="231F20"/>
          <w:spacing w:val="-2"/>
          <w:w w:val="105"/>
        </w:rPr>
        <w:t> </w:t>
      </w:r>
      <w:r>
        <w:rPr>
          <w:color w:val="231F20"/>
          <w:w w:val="105"/>
        </w:rPr>
        <w:t>MBAs</w:t>
      </w:r>
      <w:r>
        <w:rPr>
          <w:color w:val="231F20"/>
          <w:spacing w:val="-2"/>
          <w:w w:val="105"/>
        </w:rPr>
        <w:t> </w:t>
      </w:r>
      <w:r>
        <w:rPr>
          <w:color w:val="231F20"/>
          <w:w w:val="105"/>
        </w:rPr>
        <w:t>in</w:t>
      </w:r>
      <w:r>
        <w:rPr>
          <w:color w:val="231F20"/>
          <w:spacing w:val="-2"/>
          <w:w w:val="105"/>
        </w:rPr>
        <w:t> </w:t>
      </w:r>
      <w:r>
        <w:rPr>
          <w:color w:val="231F20"/>
          <w:w w:val="105"/>
        </w:rPr>
        <w:t>their</w:t>
      </w:r>
      <w:r>
        <w:rPr>
          <w:color w:val="231F20"/>
          <w:spacing w:val="-2"/>
          <w:w w:val="105"/>
        </w:rPr>
        <w:t> </w:t>
      </w:r>
      <w:r>
        <w:rPr>
          <w:color w:val="231F20"/>
          <w:w w:val="105"/>
        </w:rPr>
        <w:t>article “Choosing Strategies for Change” in the </w:t>
      </w:r>
      <w:r>
        <w:rPr>
          <w:i/>
          <w:color w:val="231F20"/>
          <w:w w:val="105"/>
        </w:rPr>
        <w:t>Harvard Business Review</w:t>
      </w:r>
      <w:r>
        <w:rPr>
          <w:i/>
          <w:color w:val="231F20"/>
          <w:w w:val="105"/>
        </w:rPr>
        <w:t> </w:t>
      </w:r>
      <w:r>
        <w:rPr>
          <w:color w:val="231F20"/>
          <w:w w:val="105"/>
        </w:rPr>
        <w:t>of</w:t>
      </w:r>
      <w:r>
        <w:rPr>
          <w:color w:val="231F20"/>
          <w:spacing w:val="-12"/>
          <w:w w:val="105"/>
        </w:rPr>
        <w:t> </w:t>
      </w:r>
      <w:r>
        <w:rPr>
          <w:color w:val="231F20"/>
          <w:w w:val="105"/>
        </w:rPr>
        <w:t>March</w:t>
      </w:r>
      <w:r>
        <w:rPr>
          <w:color w:val="231F20"/>
          <w:spacing w:val="-12"/>
          <w:w w:val="105"/>
        </w:rPr>
        <w:t> </w:t>
      </w:r>
      <w:r>
        <w:rPr>
          <w:color w:val="231F20"/>
          <w:w w:val="105"/>
        </w:rPr>
        <w:t>1979.</w:t>
      </w:r>
      <w:r>
        <w:rPr>
          <w:color w:val="231F20"/>
          <w:spacing w:val="-12"/>
          <w:w w:val="105"/>
        </w:rPr>
        <w:t> </w:t>
      </w:r>
      <w:r>
        <w:rPr>
          <w:color w:val="231F20"/>
          <w:w w:val="105"/>
        </w:rPr>
        <w:t>The</w:t>
      </w:r>
      <w:r>
        <w:rPr>
          <w:color w:val="231F20"/>
          <w:spacing w:val="-12"/>
          <w:w w:val="105"/>
        </w:rPr>
        <w:t> </w:t>
      </w:r>
      <w:r>
        <w:rPr>
          <w:color w:val="231F20"/>
          <w:w w:val="105"/>
        </w:rPr>
        <w:t>appropriate</w:t>
      </w:r>
      <w:r>
        <w:rPr>
          <w:color w:val="231F20"/>
          <w:spacing w:val="-12"/>
          <w:w w:val="105"/>
        </w:rPr>
        <w:t> </w:t>
      </w:r>
      <w:r>
        <w:rPr>
          <w:color w:val="231F20"/>
          <w:w w:val="105"/>
        </w:rPr>
        <w:t>course</w:t>
      </w:r>
      <w:r>
        <w:rPr>
          <w:color w:val="231F20"/>
          <w:spacing w:val="-12"/>
          <w:w w:val="105"/>
        </w:rPr>
        <w:t> </w:t>
      </w:r>
      <w:r>
        <w:rPr>
          <w:color w:val="231F20"/>
          <w:w w:val="105"/>
        </w:rPr>
        <w:t>of</w:t>
      </w:r>
      <w:r>
        <w:rPr>
          <w:color w:val="231F20"/>
          <w:spacing w:val="-12"/>
          <w:w w:val="105"/>
        </w:rPr>
        <w:t> </w:t>
      </w:r>
      <w:r>
        <w:rPr>
          <w:color w:val="231F20"/>
          <w:w w:val="105"/>
        </w:rPr>
        <w:t>action</w:t>
      </w:r>
      <w:r>
        <w:rPr>
          <w:color w:val="231F20"/>
          <w:spacing w:val="-12"/>
          <w:w w:val="105"/>
        </w:rPr>
        <w:t> </w:t>
      </w:r>
      <w:r>
        <w:rPr>
          <w:color w:val="231F20"/>
          <w:w w:val="105"/>
        </w:rPr>
        <w:t>all</w:t>
      </w:r>
      <w:r>
        <w:rPr>
          <w:color w:val="231F20"/>
          <w:spacing w:val="-12"/>
          <w:w w:val="105"/>
        </w:rPr>
        <w:t> </w:t>
      </w:r>
      <w:r>
        <w:rPr>
          <w:color w:val="231F20"/>
          <w:w w:val="105"/>
        </w:rPr>
        <w:t>depends</w:t>
      </w:r>
      <w:r>
        <w:rPr>
          <w:color w:val="231F20"/>
          <w:spacing w:val="-12"/>
          <w:w w:val="105"/>
        </w:rPr>
        <w:t> </w:t>
      </w:r>
      <w:r>
        <w:rPr>
          <w:color w:val="231F20"/>
          <w:w w:val="105"/>
        </w:rPr>
        <w:t>on</w:t>
      </w:r>
      <w:r>
        <w:rPr>
          <w:color w:val="231F20"/>
          <w:spacing w:val="-12"/>
          <w:w w:val="105"/>
        </w:rPr>
        <w:t> </w:t>
      </w:r>
      <w:r>
        <w:rPr>
          <w:color w:val="231F20"/>
          <w:w w:val="105"/>
        </w:rPr>
        <w:t>the </w:t>
      </w:r>
      <w:r>
        <w:rPr>
          <w:color w:val="231F20"/>
          <w:spacing w:val="-2"/>
          <w:w w:val="105"/>
        </w:rPr>
        <w:t>situation.</w:t>
      </w:r>
    </w:p>
    <w:p>
      <w:pPr>
        <w:pStyle w:val="BodyText"/>
        <w:spacing w:before="6"/>
        <w:rPr>
          <w:sz w:val="29"/>
        </w:rPr>
      </w:pPr>
    </w:p>
    <w:p>
      <w:pPr>
        <w:spacing w:before="0"/>
        <w:ind w:left="830" w:right="0" w:firstLine="0"/>
        <w:jc w:val="both"/>
        <w:rPr>
          <w:b/>
          <w:sz w:val="21"/>
        </w:rPr>
      </w:pPr>
      <w:r>
        <w:rPr/>
        <w:pict>
          <v:shape style="position:absolute;margin-left:103.176811pt;margin-top:5.024798pt;width:9.35pt;height:3.5pt;mso-position-horizontal-relative:page;mso-position-vertical-relative:paragraph;z-index:-25145856" id="docshape231" coordorigin="2064,100" coordsize="187,70" path="m2188,100l2183,111,2226,129,2064,129,2064,141,2226,141,2183,159,2188,170,2250,143,2250,127,2188,100xe" filled="true" fillcolor="#231f20" stroked="false">
            <v:path arrowok="t"/>
            <v:fill type="solid"/>
            <w10:wrap type="none"/>
          </v:shape>
        </w:pict>
      </w:r>
      <w:r>
        <w:rPr>
          <w:b/>
          <w:color w:val="231F20"/>
          <w:sz w:val="21"/>
        </w:rPr>
        <w:t>Situation</w:t>
      </w:r>
      <w:r>
        <w:rPr>
          <w:b/>
          <w:color w:val="231F20"/>
          <w:spacing w:val="72"/>
          <w:sz w:val="21"/>
        </w:rPr>
        <w:t>  </w:t>
      </w:r>
      <w:r>
        <w:rPr>
          <w:b/>
          <w:color w:val="231F20"/>
          <w:sz w:val="21"/>
        </w:rPr>
        <w:t>Action</w:t>
      </w:r>
      <w:r>
        <w:rPr>
          <w:b/>
          <w:color w:val="231F20"/>
          <w:spacing w:val="-5"/>
          <w:sz w:val="21"/>
        </w:rPr>
        <w:t> </w:t>
      </w:r>
      <w:r>
        <w:rPr>
          <w:b/>
          <w:color w:val="231F20"/>
          <w:sz w:val="21"/>
        </w:rPr>
        <w:t>Needed</w:t>
      </w:r>
      <w:r>
        <w:rPr>
          <w:b/>
          <w:color w:val="231F20"/>
          <w:spacing w:val="-6"/>
          <w:sz w:val="21"/>
        </w:rPr>
        <w:t> </w:t>
      </w:r>
      <w:r>
        <w:rPr>
          <w:b/>
          <w:color w:val="231F20"/>
          <w:sz w:val="21"/>
        </w:rPr>
        <w:t>for</w:t>
      </w:r>
      <w:r>
        <w:rPr>
          <w:b/>
          <w:color w:val="231F20"/>
          <w:spacing w:val="-6"/>
          <w:sz w:val="21"/>
        </w:rPr>
        <w:t> </w:t>
      </w:r>
      <w:r>
        <w:rPr>
          <w:b/>
          <w:color w:val="231F20"/>
          <w:spacing w:val="-2"/>
          <w:sz w:val="21"/>
        </w:rPr>
        <w:t>Change</w:t>
      </w:r>
    </w:p>
    <w:p>
      <w:pPr>
        <w:pStyle w:val="BodyText"/>
        <w:spacing w:before="5"/>
        <w:rPr>
          <w:b/>
          <w:sz w:val="34"/>
        </w:rPr>
      </w:pPr>
    </w:p>
    <w:p>
      <w:pPr>
        <w:pStyle w:val="BodyText"/>
        <w:spacing w:line="292" w:lineRule="auto"/>
        <w:ind w:left="830" w:right="753"/>
        <w:jc w:val="both"/>
      </w:pPr>
      <w:r>
        <w:rPr/>
        <w:pict>
          <v:shape style="position:absolute;margin-left:203.248245pt;margin-top:5.024796pt;width:9.35pt;height:3.5pt;mso-position-horizontal-relative:page;mso-position-vertical-relative:paragraph;z-index:-25145344" id="docshape232" coordorigin="4065,100" coordsize="187,70" path="m4189,100l4184,111,4228,129,4065,129,4065,141,4228,141,4184,159,4189,170,4251,143,4251,127,4189,100xe" filled="true" fillcolor="#231f20" stroked="false">
            <v:path arrowok="t"/>
            <v:fill type="solid"/>
            <w10:wrap type="none"/>
          </v:shape>
        </w:pict>
      </w:r>
      <w:r>
        <w:rPr>
          <w:color w:val="231F20"/>
          <w:w w:val="105"/>
        </w:rPr>
        <w:t>Company</w:t>
      </w:r>
      <w:r>
        <w:rPr>
          <w:color w:val="231F20"/>
          <w:w w:val="105"/>
        </w:rPr>
        <w:t> Lacks</w:t>
      </w:r>
      <w:r>
        <w:rPr>
          <w:color w:val="231F20"/>
          <w:w w:val="105"/>
        </w:rPr>
        <w:t> Information</w:t>
      </w:r>
      <w:r>
        <w:rPr>
          <w:color w:val="231F20"/>
          <w:spacing w:val="80"/>
          <w:w w:val="105"/>
        </w:rPr>
        <w:t> </w:t>
      </w:r>
      <w:r>
        <w:rPr>
          <w:color w:val="231F20"/>
          <w:w w:val="105"/>
        </w:rPr>
        <w:t>Education</w:t>
      </w:r>
      <w:r>
        <w:rPr>
          <w:color w:val="231F20"/>
          <w:w w:val="105"/>
        </w:rPr>
        <w:t> and</w:t>
      </w:r>
      <w:r>
        <w:rPr>
          <w:color w:val="231F20"/>
          <w:w w:val="105"/>
        </w:rPr>
        <w:t> Communication </w:t>
      </w:r>
      <w:r>
        <w:rPr>
          <w:color w:val="231F20"/>
          <w:spacing w:val="-2"/>
          <w:w w:val="105"/>
        </w:rPr>
        <w:t>Tactics</w:t>
      </w:r>
    </w:p>
    <w:p>
      <w:pPr>
        <w:pStyle w:val="BodyText"/>
        <w:spacing w:before="9"/>
        <w:rPr>
          <w:sz w:val="29"/>
        </w:rPr>
      </w:pPr>
    </w:p>
    <w:p>
      <w:pPr>
        <w:pStyle w:val="BodyText"/>
        <w:spacing w:line="292" w:lineRule="auto" w:before="1"/>
        <w:ind w:left="830" w:right="753" w:firstLine="340"/>
        <w:jc w:val="both"/>
      </w:pPr>
      <w:r>
        <w:rPr>
          <w:color w:val="231F20"/>
        </w:rPr>
        <w:t>In a stodgily run manufacturing company in Salt Lake City, the employees were kept in the dark about corporate profitability. </w:t>
      </w:r>
      <w:r>
        <w:rPr>
          <w:color w:val="231F20"/>
        </w:rPr>
        <w:t>Judg- ing by the expensive cars of the owner, they assumed that all was well. Unfortunately, the company was losing money and layoffs</w:t>
      </w:r>
      <w:r>
        <w:rPr>
          <w:color w:val="231F20"/>
          <w:spacing w:val="40"/>
        </w:rPr>
        <w:t> </w:t>
      </w:r>
      <w:r>
        <w:rPr>
          <w:color w:val="231F20"/>
        </w:rPr>
        <w:t>would be inevitable unless productivity rose. In this situation, the employees would need to be informed about the true condition of</w:t>
      </w:r>
      <w:r>
        <w:rPr>
          <w:color w:val="231F20"/>
          <w:spacing w:val="80"/>
        </w:rPr>
        <w:t> </w:t>
      </w:r>
      <w:r>
        <w:rPr>
          <w:color w:val="231F20"/>
        </w:rPr>
        <w:t>the company before they gave their full cooperation to work more </w:t>
      </w:r>
      <w:r>
        <w:rPr>
          <w:color w:val="231F20"/>
          <w:spacing w:val="-2"/>
        </w:rPr>
        <w:t>efficiently.</w:t>
      </w:r>
    </w:p>
    <w:p>
      <w:pPr>
        <w:pStyle w:val="BodyText"/>
        <w:spacing w:before="7"/>
        <w:rPr>
          <w:sz w:val="29"/>
        </w:rPr>
      </w:pPr>
    </w:p>
    <w:p>
      <w:pPr>
        <w:pStyle w:val="BodyText"/>
        <w:spacing w:line="292" w:lineRule="auto"/>
        <w:ind w:left="830" w:right="757"/>
        <w:jc w:val="both"/>
      </w:pPr>
      <w:r>
        <w:rPr/>
        <w:pict>
          <v:shape style="position:absolute;margin-left:311.156189pt;margin-top:5.024805pt;width:9.35pt;height:3.5pt;mso-position-horizontal-relative:page;mso-position-vertical-relative:paragraph;z-index:-25144832" id="docshape233" coordorigin="6223,100" coordsize="187,70" path="m6347,100l6342,111,6386,129,6223,129,6223,141,6386,141,6342,159,6347,170,6409,143,6409,127,6347,100xe" filled="true" fillcolor="#231f20" stroked="false">
            <v:path arrowok="t"/>
            <v:fill type="solid"/>
            <w10:wrap type="none"/>
          </v:shape>
        </w:pict>
      </w:r>
      <w:r>
        <w:rPr>
          <w:color w:val="231F20"/>
        </w:rPr>
        <w:t>You Need Information and You Have Little Leverage</w:t>
      </w:r>
      <w:r>
        <w:rPr>
          <w:color w:val="231F20"/>
          <w:spacing w:val="80"/>
        </w:rPr>
        <w:t>  </w:t>
      </w:r>
      <w:r>
        <w:rPr>
          <w:color w:val="231F20"/>
        </w:rPr>
        <w:t>Participa-</w:t>
      </w:r>
      <w:r>
        <w:rPr>
          <w:color w:val="231F20"/>
          <w:spacing w:val="80"/>
        </w:rPr>
        <w:t> </w:t>
      </w:r>
      <w:r>
        <w:rPr>
          <w:color w:val="231F20"/>
        </w:rPr>
        <w:t>tion and Involvement Tactics</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4" w:firstLine="340"/>
        <w:jc w:val="both"/>
      </w:pPr>
      <w:r>
        <w:rPr>
          <w:color w:val="231F20"/>
        </w:rPr>
        <w:t>A metal fabrication plant in Kansas City hired a consultant to</w:t>
      </w:r>
      <w:r>
        <w:rPr>
          <w:color w:val="231F20"/>
          <w:spacing w:val="80"/>
        </w:rPr>
        <w:t> </w:t>
      </w:r>
      <w:r>
        <w:rPr>
          <w:color w:val="231F20"/>
        </w:rPr>
        <w:t>cure absenteeism. The consultant did not know the people, the </w:t>
      </w:r>
      <w:r>
        <w:rPr>
          <w:color w:val="231F20"/>
        </w:rPr>
        <w:t>per- sonalities, or the town. Because she was an outsider, she had no power to demand cooperation for her investigation. She first had to gain the trust of the workers and begin to talk with them about the problems that prompted so many sick days. She needed their coop- eration and involvement to define and solve a problem for the work- ers as well as for management.</w:t>
      </w:r>
    </w:p>
    <w:p>
      <w:pPr>
        <w:pStyle w:val="BodyText"/>
        <w:spacing w:before="7"/>
        <w:rPr>
          <w:sz w:val="29"/>
        </w:rPr>
      </w:pPr>
    </w:p>
    <w:p>
      <w:pPr>
        <w:pStyle w:val="BodyText"/>
        <w:tabs>
          <w:tab w:pos="3205" w:val="left" w:leader="none"/>
        </w:tabs>
        <w:ind w:left="920"/>
      </w:pPr>
      <w:r>
        <w:rPr/>
        <w:pict>
          <v:shape style="position:absolute;margin-left:164.725922pt;margin-top:5.024803pt;width:9.35pt;height:3.5pt;mso-position-horizontal-relative:page;mso-position-vertical-relative:paragraph;z-index:-25144320" id="docshape234" coordorigin="3295,100" coordsize="187,70" path="m3418,100l3414,111,3457,129,3295,129,3295,141,3457,141,3414,159,3418,170,3481,143,3481,127,3418,100xe" filled="true" fillcolor="#231f20" stroked="false">
            <v:path arrowok="t"/>
            <v:fill type="solid"/>
            <w10:wrap type="none"/>
          </v:shape>
        </w:pict>
      </w:r>
      <w:r>
        <w:rPr>
          <w:color w:val="231F20"/>
        </w:rPr>
        <w:t>Adjustment</w:t>
      </w:r>
      <w:r>
        <w:rPr>
          <w:color w:val="231F20"/>
          <w:spacing w:val="17"/>
        </w:rPr>
        <w:t> </w:t>
      </w:r>
      <w:r>
        <w:rPr>
          <w:color w:val="231F20"/>
          <w:spacing w:val="-2"/>
        </w:rPr>
        <w:t>Problems</w:t>
      </w:r>
      <w:r>
        <w:rPr>
          <w:color w:val="231F20"/>
        </w:rPr>
        <w:tab/>
        <w:t>Support</w:t>
      </w:r>
      <w:r>
        <w:rPr>
          <w:color w:val="231F20"/>
          <w:spacing w:val="18"/>
        </w:rPr>
        <w:t> </w:t>
      </w:r>
      <w:r>
        <w:rPr>
          <w:color w:val="231F20"/>
        </w:rPr>
        <w:t>and</w:t>
      </w:r>
      <w:r>
        <w:rPr>
          <w:color w:val="231F20"/>
          <w:spacing w:val="18"/>
        </w:rPr>
        <w:t> </w:t>
      </w:r>
      <w:r>
        <w:rPr>
          <w:color w:val="231F20"/>
        </w:rPr>
        <w:t>Facilitation</w:t>
      </w:r>
      <w:r>
        <w:rPr>
          <w:color w:val="231F20"/>
          <w:spacing w:val="19"/>
        </w:rPr>
        <w:t> </w:t>
      </w:r>
      <w:r>
        <w:rPr>
          <w:color w:val="231F20"/>
          <w:spacing w:val="-2"/>
        </w:rPr>
        <w:t>Tactics</w:t>
      </w:r>
    </w:p>
    <w:p>
      <w:pPr>
        <w:pStyle w:val="BodyText"/>
        <w:spacing w:before="2"/>
        <w:rPr>
          <w:sz w:val="30"/>
        </w:rPr>
      </w:pPr>
    </w:p>
    <w:p>
      <w:pPr>
        <w:pStyle w:val="BodyText"/>
        <w:spacing w:line="292" w:lineRule="auto"/>
        <w:ind w:left="920" w:right="666" w:firstLine="340"/>
        <w:jc w:val="both"/>
      </w:pPr>
      <w:r>
        <w:rPr>
          <w:color w:val="231F20"/>
        </w:rPr>
        <w:t>As offices become computerized across the country, secretarial work</w:t>
      </w:r>
      <w:r>
        <w:rPr>
          <w:color w:val="231F20"/>
          <w:spacing w:val="-4"/>
        </w:rPr>
        <w:t> </w:t>
      </w:r>
      <w:r>
        <w:rPr>
          <w:color w:val="231F20"/>
        </w:rPr>
        <w:t>has</w:t>
      </w:r>
      <w:r>
        <w:rPr>
          <w:color w:val="231F20"/>
          <w:spacing w:val="-4"/>
        </w:rPr>
        <w:t> </w:t>
      </w:r>
      <w:r>
        <w:rPr>
          <w:color w:val="231F20"/>
        </w:rPr>
        <w:t>changed.</w:t>
      </w:r>
      <w:r>
        <w:rPr>
          <w:color w:val="231F20"/>
          <w:spacing w:val="-4"/>
        </w:rPr>
        <w:t> </w:t>
      </w:r>
      <w:r>
        <w:rPr>
          <w:color w:val="231F20"/>
        </w:rPr>
        <w:t>There</w:t>
      </w:r>
      <w:r>
        <w:rPr>
          <w:color w:val="231F20"/>
          <w:spacing w:val="-4"/>
        </w:rPr>
        <w:t> </w:t>
      </w:r>
      <w:r>
        <w:rPr>
          <w:color w:val="231F20"/>
        </w:rPr>
        <w:t>are</w:t>
      </w:r>
      <w:r>
        <w:rPr>
          <w:color w:val="231F20"/>
          <w:spacing w:val="-4"/>
        </w:rPr>
        <w:t> </w:t>
      </w:r>
      <w:r>
        <w:rPr>
          <w:color w:val="231F20"/>
        </w:rPr>
        <w:t>no</w:t>
      </w:r>
      <w:r>
        <w:rPr>
          <w:color w:val="231F20"/>
          <w:spacing w:val="-4"/>
        </w:rPr>
        <w:t> </w:t>
      </w:r>
      <w:r>
        <w:rPr>
          <w:color w:val="231F20"/>
        </w:rPr>
        <w:t>more</w:t>
      </w:r>
      <w:r>
        <w:rPr>
          <w:color w:val="231F20"/>
          <w:spacing w:val="-4"/>
        </w:rPr>
        <w:t> </w:t>
      </w:r>
      <w:r>
        <w:rPr>
          <w:color w:val="231F20"/>
        </w:rPr>
        <w:t>typewriters.</w:t>
      </w:r>
      <w:r>
        <w:rPr>
          <w:color w:val="231F20"/>
          <w:spacing w:val="-4"/>
        </w:rPr>
        <w:t> </w:t>
      </w:r>
      <w:r>
        <w:rPr>
          <w:color w:val="231F20"/>
        </w:rPr>
        <w:t>Secretaries</w:t>
      </w:r>
      <w:r>
        <w:rPr>
          <w:color w:val="231F20"/>
          <w:spacing w:val="-4"/>
        </w:rPr>
        <w:t> </w:t>
      </w:r>
      <w:r>
        <w:rPr>
          <w:color w:val="231F20"/>
        </w:rPr>
        <w:t>are</w:t>
      </w:r>
      <w:r>
        <w:rPr>
          <w:color w:val="231F20"/>
          <w:spacing w:val="-4"/>
        </w:rPr>
        <w:t> </w:t>
      </w:r>
      <w:r>
        <w:rPr>
          <w:color w:val="231F20"/>
        </w:rPr>
        <w:t>re- quired to use word processor programs on computers. Instead of hiring new help, companies need to retrain their staffs. Companies must hire computer support staff to help with this adjustment.</w:t>
      </w:r>
    </w:p>
    <w:p>
      <w:pPr>
        <w:pStyle w:val="BodyText"/>
        <w:spacing w:before="2"/>
      </w:pPr>
    </w:p>
    <w:p>
      <w:pPr>
        <w:pStyle w:val="BodyText"/>
        <w:tabs>
          <w:tab w:pos="3058" w:val="left" w:leader="none"/>
        </w:tabs>
        <w:spacing w:line="292" w:lineRule="auto"/>
        <w:ind w:left="920" w:right="667"/>
      </w:pPr>
      <w:r>
        <w:rPr/>
        <w:pict>
          <v:shape style="position:absolute;margin-left:157.355865pt;margin-top:20.024248pt;width:9.35pt;height:3.5pt;mso-position-horizontal-relative:page;mso-position-vertical-relative:paragraph;z-index:-25143808" id="docshape235" coordorigin="3147,400" coordsize="187,70" path="m3271,400l3266,411,3310,429,3147,429,3147,441,3310,441,3266,459,3271,469,3333,443,3333,427,3271,400xe" filled="true" fillcolor="#231f20" stroked="false">
            <v:path arrowok="t"/>
            <v:fill type="solid"/>
            <w10:wrap type="none"/>
          </v:shape>
        </w:pict>
      </w:r>
      <w:r>
        <w:rPr>
          <w:color w:val="231F20"/>
          <w:w w:val="105"/>
        </w:rPr>
        <w:t>Your</w:t>
      </w:r>
      <w:r>
        <w:rPr>
          <w:color w:val="231F20"/>
          <w:spacing w:val="40"/>
          <w:w w:val="105"/>
        </w:rPr>
        <w:t> </w:t>
      </w:r>
      <w:r>
        <w:rPr>
          <w:color w:val="231F20"/>
          <w:w w:val="105"/>
        </w:rPr>
        <w:t>Desired</w:t>
      </w:r>
      <w:r>
        <w:rPr>
          <w:color w:val="231F20"/>
          <w:spacing w:val="40"/>
          <w:w w:val="105"/>
        </w:rPr>
        <w:t> </w:t>
      </w:r>
      <w:r>
        <w:rPr>
          <w:color w:val="231F20"/>
          <w:w w:val="105"/>
        </w:rPr>
        <w:t>Changes</w:t>
      </w:r>
      <w:r>
        <w:rPr>
          <w:color w:val="231F20"/>
          <w:spacing w:val="40"/>
          <w:w w:val="105"/>
        </w:rPr>
        <w:t> </w:t>
      </w:r>
      <w:r>
        <w:rPr>
          <w:color w:val="231F20"/>
          <w:w w:val="105"/>
        </w:rPr>
        <w:t>Will</w:t>
      </w:r>
      <w:r>
        <w:rPr>
          <w:color w:val="231F20"/>
          <w:spacing w:val="40"/>
          <w:w w:val="105"/>
        </w:rPr>
        <w:t> </w:t>
      </w:r>
      <w:r>
        <w:rPr>
          <w:color w:val="231F20"/>
          <w:w w:val="105"/>
        </w:rPr>
        <w:t>Cause</w:t>
      </w:r>
      <w:r>
        <w:rPr>
          <w:color w:val="231F20"/>
          <w:spacing w:val="40"/>
          <w:w w:val="105"/>
        </w:rPr>
        <w:t> </w:t>
      </w:r>
      <w:r>
        <w:rPr>
          <w:color w:val="231F20"/>
          <w:w w:val="105"/>
        </w:rPr>
        <w:t>Losses</w:t>
      </w:r>
      <w:r>
        <w:rPr>
          <w:color w:val="231F20"/>
          <w:spacing w:val="40"/>
          <w:w w:val="105"/>
        </w:rPr>
        <w:t> </w:t>
      </w:r>
      <w:r>
        <w:rPr>
          <w:color w:val="231F20"/>
          <w:w w:val="105"/>
        </w:rPr>
        <w:t>and</w:t>
      </w:r>
      <w:r>
        <w:rPr>
          <w:color w:val="231F20"/>
          <w:spacing w:val="40"/>
          <w:w w:val="105"/>
        </w:rPr>
        <w:t> </w:t>
      </w:r>
      <w:r>
        <w:rPr>
          <w:color w:val="231F20"/>
          <w:w w:val="105"/>
        </w:rPr>
        <w:t>Opponents</w:t>
      </w:r>
      <w:r>
        <w:rPr>
          <w:color w:val="231F20"/>
          <w:spacing w:val="40"/>
          <w:w w:val="105"/>
        </w:rPr>
        <w:t> </w:t>
      </w:r>
      <w:r>
        <w:rPr>
          <w:color w:val="231F20"/>
          <w:w w:val="105"/>
        </w:rPr>
        <w:t>Have Power to Block You</w:t>
      </w:r>
      <w:r>
        <w:rPr>
          <w:color w:val="231F20"/>
        </w:rPr>
        <w:tab/>
      </w:r>
      <w:r>
        <w:rPr>
          <w:color w:val="231F20"/>
          <w:w w:val="105"/>
        </w:rPr>
        <w:t>Negotiation and Agreement Tactics</w:t>
      </w:r>
    </w:p>
    <w:p>
      <w:pPr>
        <w:pStyle w:val="BodyText"/>
        <w:spacing w:before="3"/>
      </w:pPr>
    </w:p>
    <w:p>
      <w:pPr>
        <w:pStyle w:val="BodyText"/>
        <w:spacing w:line="292" w:lineRule="auto"/>
        <w:ind w:left="920" w:right="663" w:firstLine="340"/>
        <w:jc w:val="both"/>
      </w:pP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1980s</w:t>
      </w:r>
      <w:r>
        <w:rPr>
          <w:color w:val="231F20"/>
          <w:spacing w:val="-10"/>
          <w:w w:val="105"/>
        </w:rPr>
        <w:t> </w:t>
      </w:r>
      <w:r>
        <w:rPr>
          <w:color w:val="231F20"/>
          <w:w w:val="105"/>
        </w:rPr>
        <w:t>robotics</w:t>
      </w:r>
      <w:r>
        <w:rPr>
          <w:color w:val="231F20"/>
          <w:spacing w:val="-10"/>
          <w:w w:val="105"/>
        </w:rPr>
        <w:t> </w:t>
      </w:r>
      <w:r>
        <w:rPr>
          <w:color w:val="231F20"/>
          <w:w w:val="105"/>
        </w:rPr>
        <w:t>were</w:t>
      </w:r>
      <w:r>
        <w:rPr>
          <w:color w:val="231F20"/>
          <w:spacing w:val="-10"/>
          <w:w w:val="105"/>
        </w:rPr>
        <w:t> </w:t>
      </w:r>
      <w:r>
        <w:rPr>
          <w:color w:val="231F20"/>
          <w:w w:val="105"/>
        </w:rPr>
        <w:t>introduced</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American</w:t>
      </w:r>
      <w:r>
        <w:rPr>
          <w:color w:val="231F20"/>
          <w:spacing w:val="-10"/>
          <w:w w:val="105"/>
        </w:rPr>
        <w:t> </w:t>
      </w:r>
      <w:r>
        <w:rPr>
          <w:color w:val="231F20"/>
          <w:w w:val="105"/>
        </w:rPr>
        <w:t>auto</w:t>
      </w:r>
      <w:r>
        <w:rPr>
          <w:color w:val="231F20"/>
          <w:spacing w:val="-10"/>
          <w:w w:val="105"/>
        </w:rPr>
        <w:t> </w:t>
      </w:r>
      <w:r>
        <w:rPr>
          <w:color w:val="231F20"/>
          <w:w w:val="105"/>
        </w:rPr>
        <w:t>in- dustry.</w:t>
      </w:r>
      <w:r>
        <w:rPr>
          <w:color w:val="231F20"/>
          <w:spacing w:val="-6"/>
          <w:w w:val="105"/>
        </w:rPr>
        <w:t> </w:t>
      </w:r>
      <w:r>
        <w:rPr>
          <w:color w:val="231F20"/>
          <w:w w:val="105"/>
        </w:rPr>
        <w:t>Japanese</w:t>
      </w:r>
      <w:r>
        <w:rPr>
          <w:color w:val="231F20"/>
          <w:spacing w:val="-6"/>
          <w:w w:val="105"/>
        </w:rPr>
        <w:t> </w:t>
      </w:r>
      <w:r>
        <w:rPr>
          <w:color w:val="231F20"/>
          <w:w w:val="105"/>
        </w:rPr>
        <w:t>imports</w:t>
      </w:r>
      <w:r>
        <w:rPr>
          <w:color w:val="231F20"/>
          <w:spacing w:val="-6"/>
          <w:w w:val="105"/>
        </w:rPr>
        <w:t> </w:t>
      </w:r>
      <w:r>
        <w:rPr>
          <w:color w:val="231F20"/>
          <w:w w:val="105"/>
        </w:rPr>
        <w:t>were</w:t>
      </w:r>
      <w:r>
        <w:rPr>
          <w:color w:val="231F20"/>
          <w:spacing w:val="-6"/>
          <w:w w:val="105"/>
        </w:rPr>
        <w:t> </w:t>
      </w:r>
      <w:r>
        <w:rPr>
          <w:color w:val="231F20"/>
          <w:w w:val="105"/>
        </w:rPr>
        <w:t>taking</w:t>
      </w:r>
      <w:r>
        <w:rPr>
          <w:color w:val="231F20"/>
          <w:spacing w:val="-6"/>
          <w:w w:val="105"/>
        </w:rPr>
        <w:t> </w:t>
      </w:r>
      <w:r>
        <w:rPr>
          <w:color w:val="231F20"/>
          <w:w w:val="105"/>
        </w:rPr>
        <w:t>jobs</w:t>
      </w:r>
      <w:r>
        <w:rPr>
          <w:color w:val="231F20"/>
          <w:spacing w:val="-6"/>
          <w:w w:val="105"/>
        </w:rPr>
        <w:t> </w:t>
      </w:r>
      <w:r>
        <w:rPr>
          <w:color w:val="231F20"/>
          <w:w w:val="105"/>
        </w:rPr>
        <w:t>overseas.</w:t>
      </w:r>
      <w:r>
        <w:rPr>
          <w:color w:val="231F20"/>
          <w:spacing w:val="-6"/>
          <w:w w:val="105"/>
        </w:rPr>
        <w:t> </w:t>
      </w:r>
      <w:r>
        <w:rPr>
          <w:color w:val="231F20"/>
          <w:w w:val="105"/>
        </w:rPr>
        <w:t>GM,</w:t>
      </w:r>
      <w:r>
        <w:rPr>
          <w:color w:val="231F20"/>
          <w:spacing w:val="-6"/>
          <w:w w:val="105"/>
        </w:rPr>
        <w:t> </w:t>
      </w:r>
      <w:r>
        <w:rPr>
          <w:color w:val="231F20"/>
          <w:w w:val="105"/>
        </w:rPr>
        <w:t>Ford,</w:t>
      </w:r>
      <w:r>
        <w:rPr>
          <w:color w:val="231F20"/>
          <w:spacing w:val="-6"/>
          <w:w w:val="105"/>
        </w:rPr>
        <w:t> </w:t>
      </w:r>
      <w:r>
        <w:rPr>
          <w:color w:val="231F20"/>
          <w:w w:val="105"/>
        </w:rPr>
        <w:t>and Chrysler</w:t>
      </w:r>
      <w:r>
        <w:rPr>
          <w:color w:val="231F20"/>
          <w:w w:val="105"/>
        </w:rPr>
        <w:t> chose</w:t>
      </w:r>
      <w:r>
        <w:rPr>
          <w:color w:val="231F20"/>
          <w:w w:val="105"/>
        </w:rPr>
        <w:t> to</w:t>
      </w:r>
      <w:r>
        <w:rPr>
          <w:color w:val="231F20"/>
          <w:w w:val="105"/>
        </w:rPr>
        <w:t> negotiate</w:t>
      </w:r>
      <w:r>
        <w:rPr>
          <w:color w:val="231F20"/>
          <w:w w:val="105"/>
        </w:rPr>
        <w:t> new</w:t>
      </w:r>
      <w:r>
        <w:rPr>
          <w:color w:val="231F20"/>
          <w:w w:val="105"/>
        </w:rPr>
        <w:t> agreements</w:t>
      </w:r>
      <w:r>
        <w:rPr>
          <w:color w:val="231F20"/>
          <w:w w:val="105"/>
        </w:rPr>
        <w:t> with</w:t>
      </w:r>
      <w:r>
        <w:rPr>
          <w:color w:val="231F20"/>
          <w:w w:val="105"/>
        </w:rPr>
        <w:t> the</w:t>
      </w:r>
      <w:r>
        <w:rPr>
          <w:color w:val="231F20"/>
          <w:w w:val="105"/>
        </w:rPr>
        <w:t> powerful </w:t>
      </w:r>
      <w:r>
        <w:rPr>
          <w:color w:val="231F20"/>
        </w:rPr>
        <w:t>United Auto Workers union to allow work-rule changes required by the new technology. If the corporations had decided to play hardball </w:t>
      </w:r>
      <w:r>
        <w:rPr>
          <w:color w:val="231F20"/>
          <w:w w:val="105"/>
        </w:rPr>
        <w:t>and</w:t>
      </w:r>
      <w:r>
        <w:rPr>
          <w:color w:val="231F20"/>
          <w:w w:val="105"/>
        </w:rPr>
        <w:t> impose</w:t>
      </w:r>
      <w:r>
        <w:rPr>
          <w:color w:val="231F20"/>
          <w:w w:val="105"/>
        </w:rPr>
        <w:t> their</w:t>
      </w:r>
      <w:r>
        <w:rPr>
          <w:color w:val="231F20"/>
          <w:w w:val="105"/>
        </w:rPr>
        <w:t> will</w:t>
      </w:r>
      <w:r>
        <w:rPr>
          <w:color w:val="231F20"/>
          <w:w w:val="105"/>
        </w:rPr>
        <w:t> upon</w:t>
      </w:r>
      <w:r>
        <w:rPr>
          <w:color w:val="231F20"/>
          <w:w w:val="105"/>
        </w:rPr>
        <w:t> the</w:t>
      </w:r>
      <w:r>
        <w:rPr>
          <w:color w:val="231F20"/>
          <w:w w:val="105"/>
        </w:rPr>
        <w:t> UAW,</w:t>
      </w:r>
      <w:r>
        <w:rPr>
          <w:color w:val="231F20"/>
          <w:w w:val="105"/>
        </w:rPr>
        <w:t> the</w:t>
      </w:r>
      <w:r>
        <w:rPr>
          <w:color w:val="231F20"/>
          <w:w w:val="105"/>
        </w:rPr>
        <w:t> union</w:t>
      </w:r>
      <w:r>
        <w:rPr>
          <w:color w:val="231F20"/>
          <w:w w:val="105"/>
        </w:rPr>
        <w:t> could</w:t>
      </w:r>
      <w:r>
        <w:rPr>
          <w:color w:val="231F20"/>
          <w:w w:val="105"/>
        </w:rPr>
        <w:t> have</w:t>
      </w:r>
      <w:r>
        <w:rPr>
          <w:color w:val="231F20"/>
          <w:w w:val="105"/>
        </w:rPr>
        <w:t> struck, and</w:t>
      </w:r>
      <w:r>
        <w:rPr>
          <w:color w:val="231F20"/>
          <w:spacing w:val="-5"/>
          <w:w w:val="105"/>
        </w:rPr>
        <w:t> </w:t>
      </w:r>
      <w:r>
        <w:rPr>
          <w:color w:val="231F20"/>
          <w:w w:val="105"/>
        </w:rPr>
        <w:t>both</w:t>
      </w:r>
      <w:r>
        <w:rPr>
          <w:color w:val="231F20"/>
          <w:spacing w:val="-5"/>
          <w:w w:val="105"/>
        </w:rPr>
        <w:t> </w:t>
      </w:r>
      <w:r>
        <w:rPr>
          <w:color w:val="231F20"/>
          <w:w w:val="105"/>
        </w:rPr>
        <w:t>parties</w:t>
      </w:r>
      <w:r>
        <w:rPr>
          <w:color w:val="231F20"/>
          <w:spacing w:val="-5"/>
          <w:w w:val="105"/>
        </w:rPr>
        <w:t> </w:t>
      </w:r>
      <w:r>
        <w:rPr>
          <w:color w:val="231F20"/>
          <w:w w:val="105"/>
        </w:rPr>
        <w:t>would</w:t>
      </w:r>
      <w:r>
        <w:rPr>
          <w:color w:val="231F20"/>
          <w:spacing w:val="-5"/>
          <w:w w:val="105"/>
        </w:rPr>
        <w:t> </w:t>
      </w:r>
      <w:r>
        <w:rPr>
          <w:color w:val="231F20"/>
          <w:w w:val="105"/>
        </w:rPr>
        <w:t>have</w:t>
      </w:r>
      <w:r>
        <w:rPr>
          <w:color w:val="231F20"/>
          <w:spacing w:val="-5"/>
          <w:w w:val="105"/>
        </w:rPr>
        <w:t> </w:t>
      </w:r>
      <w:r>
        <w:rPr>
          <w:color w:val="231F20"/>
          <w:w w:val="105"/>
        </w:rPr>
        <w:t>ended</w:t>
      </w:r>
      <w:r>
        <w:rPr>
          <w:color w:val="231F20"/>
          <w:spacing w:val="-5"/>
          <w:w w:val="105"/>
        </w:rPr>
        <w:t> </w:t>
      </w:r>
      <w:r>
        <w:rPr>
          <w:color w:val="231F20"/>
          <w:w w:val="105"/>
        </w:rPr>
        <w:t>up</w:t>
      </w:r>
      <w:r>
        <w:rPr>
          <w:color w:val="231F20"/>
          <w:spacing w:val="-5"/>
          <w:w w:val="105"/>
        </w:rPr>
        <w:t> </w:t>
      </w:r>
      <w:r>
        <w:rPr>
          <w:color w:val="231F20"/>
          <w:w w:val="105"/>
        </w:rPr>
        <w:t>losing.</w:t>
      </w:r>
      <w:r>
        <w:rPr>
          <w:color w:val="231F20"/>
          <w:spacing w:val="-5"/>
          <w:w w:val="105"/>
        </w:rPr>
        <w:t> </w:t>
      </w:r>
      <w:r>
        <w:rPr>
          <w:color w:val="231F20"/>
          <w:w w:val="105"/>
        </w:rPr>
        <w:t>By</w:t>
      </w:r>
      <w:r>
        <w:rPr>
          <w:color w:val="231F20"/>
          <w:spacing w:val="-5"/>
          <w:w w:val="105"/>
        </w:rPr>
        <w:t> </w:t>
      </w:r>
      <w:r>
        <w:rPr>
          <w:color w:val="231F20"/>
          <w:w w:val="105"/>
        </w:rPr>
        <w:t>cooperating</w:t>
      </w:r>
      <w:r>
        <w:rPr>
          <w:color w:val="231F20"/>
          <w:spacing w:val="-5"/>
          <w:w w:val="105"/>
        </w:rPr>
        <w:t> </w:t>
      </w:r>
      <w:r>
        <w:rPr>
          <w:color w:val="231F20"/>
          <w:w w:val="105"/>
        </w:rPr>
        <w:t>both had a chance of surviving.</w:t>
      </w:r>
    </w:p>
    <w:p>
      <w:pPr>
        <w:pStyle w:val="BodyText"/>
        <w:spacing w:before="1"/>
      </w:pPr>
    </w:p>
    <w:p>
      <w:pPr>
        <w:pStyle w:val="BodyText"/>
        <w:spacing w:line="292" w:lineRule="auto"/>
        <w:ind w:left="920"/>
      </w:pPr>
      <w:r>
        <w:rPr/>
        <w:pict>
          <v:shape style="position:absolute;margin-left:363.588684pt;margin-top:5.0248pt;width:9.35pt;height:3.5pt;mso-position-horizontal-relative:page;mso-position-vertical-relative:paragraph;z-index:15814656" id="docshape236" coordorigin="7272,100" coordsize="187,70" path="m7396,100l7391,111,7435,129,7272,129,7272,141,7435,141,7391,159,7396,170,7458,143,7458,127,7396,100xe" filled="true" fillcolor="#231f20" stroked="false">
            <v:path arrowok="t"/>
            <v:fill type="solid"/>
            <w10:wrap type="none"/>
          </v:shape>
        </w:pict>
      </w:r>
      <w:r>
        <w:rPr>
          <w:color w:val="231F20"/>
          <w:w w:val="105"/>
        </w:rPr>
        <w:t>You</w:t>
      </w:r>
      <w:r>
        <w:rPr>
          <w:color w:val="231F20"/>
          <w:spacing w:val="76"/>
          <w:w w:val="105"/>
        </w:rPr>
        <w:t> </w:t>
      </w:r>
      <w:r>
        <w:rPr>
          <w:color w:val="231F20"/>
          <w:w w:val="105"/>
        </w:rPr>
        <w:t>Have</w:t>
      </w:r>
      <w:r>
        <w:rPr>
          <w:color w:val="231F20"/>
          <w:spacing w:val="76"/>
          <w:w w:val="105"/>
        </w:rPr>
        <w:t> </w:t>
      </w:r>
      <w:r>
        <w:rPr>
          <w:color w:val="231F20"/>
          <w:w w:val="105"/>
        </w:rPr>
        <w:t>No</w:t>
      </w:r>
      <w:r>
        <w:rPr>
          <w:color w:val="231F20"/>
          <w:spacing w:val="76"/>
          <w:w w:val="105"/>
        </w:rPr>
        <w:t> </w:t>
      </w:r>
      <w:r>
        <w:rPr>
          <w:color w:val="231F20"/>
          <w:w w:val="105"/>
        </w:rPr>
        <w:t>Alternatives</w:t>
      </w:r>
      <w:r>
        <w:rPr>
          <w:color w:val="231F20"/>
          <w:spacing w:val="76"/>
          <w:w w:val="105"/>
        </w:rPr>
        <w:t> </w:t>
      </w:r>
      <w:r>
        <w:rPr>
          <w:color w:val="231F20"/>
          <w:w w:val="105"/>
        </w:rPr>
        <w:t>and</w:t>
      </w:r>
      <w:r>
        <w:rPr>
          <w:color w:val="231F20"/>
          <w:spacing w:val="76"/>
          <w:w w:val="105"/>
        </w:rPr>
        <w:t> </w:t>
      </w:r>
      <w:r>
        <w:rPr>
          <w:color w:val="231F20"/>
          <w:w w:val="105"/>
        </w:rPr>
        <w:t>No</w:t>
      </w:r>
      <w:r>
        <w:rPr>
          <w:color w:val="231F20"/>
          <w:spacing w:val="76"/>
          <w:w w:val="105"/>
        </w:rPr>
        <w:t> </w:t>
      </w:r>
      <w:r>
        <w:rPr>
          <w:color w:val="231F20"/>
          <w:w w:val="105"/>
        </w:rPr>
        <w:t>Money</w:t>
      </w:r>
      <w:r>
        <w:rPr>
          <w:color w:val="231F20"/>
          <w:spacing w:val="76"/>
          <w:w w:val="105"/>
        </w:rPr>
        <w:t> </w:t>
      </w:r>
      <w:r>
        <w:rPr>
          <w:color w:val="231F20"/>
          <w:w w:val="105"/>
        </w:rPr>
        <w:t>for</w:t>
      </w:r>
      <w:r>
        <w:rPr>
          <w:color w:val="231F20"/>
          <w:spacing w:val="76"/>
          <w:w w:val="105"/>
        </w:rPr>
        <w:t> </w:t>
      </w:r>
      <w:r>
        <w:rPr>
          <w:color w:val="231F20"/>
          <w:w w:val="105"/>
        </w:rPr>
        <w:t>Facilitation Manipulation (Give No Choices)</w:t>
      </w:r>
    </w:p>
    <w:p>
      <w:pPr>
        <w:pStyle w:val="BodyText"/>
        <w:spacing w:before="3"/>
      </w:pPr>
    </w:p>
    <w:p>
      <w:pPr>
        <w:pStyle w:val="BodyText"/>
        <w:spacing w:line="292" w:lineRule="auto"/>
        <w:ind w:left="920" w:right="666" w:firstLine="340"/>
        <w:jc w:val="both"/>
      </w:pPr>
      <w:r>
        <w:rPr>
          <w:color w:val="231F20"/>
        </w:rPr>
        <w:t>In distressed companies there are often no alternatives to </w:t>
      </w:r>
      <w:r>
        <w:rPr>
          <w:color w:val="231F20"/>
        </w:rPr>
        <w:t>layoffs and wage cuts. A manufacturer of electronic switches in Trenton,</w:t>
      </w:r>
      <w:r>
        <w:rPr>
          <w:color w:val="231F20"/>
          <w:spacing w:val="40"/>
        </w:rPr>
        <w:t> </w:t>
      </w:r>
      <w:r>
        <w:rPr>
          <w:color w:val="231F20"/>
        </w:rPr>
        <w:t>New Jersey, gave its employees the choice of lower wages or no jobs at all. They took the pay cut, but the company failed anyway.</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firstLine="340"/>
        <w:jc w:val="both"/>
      </w:pPr>
      <w:r>
        <w:rPr>
          <w:color w:val="231F20"/>
        </w:rPr>
        <w:t>Frank Lorenzo of Texas Airlines, in his leveraged buyout of East- ern Airlines, saddled the air carrier with a huge debt. As a result </w:t>
      </w:r>
      <w:r>
        <w:rPr>
          <w:color w:val="231F20"/>
        </w:rPr>
        <w:t>he obligated the company to make huge interest payments. To salvage the situation, Lorenzo demanded across-the-board pay cuts, but he underestimated the union’s resolve to resist his demands. In 1990 Eastern ceased operations.</w:t>
      </w:r>
    </w:p>
    <w:p>
      <w:pPr>
        <w:pStyle w:val="BodyText"/>
        <w:spacing w:before="1"/>
      </w:pPr>
    </w:p>
    <w:p>
      <w:pPr>
        <w:pStyle w:val="BodyText"/>
        <w:spacing w:line="292" w:lineRule="auto"/>
        <w:ind w:left="830" w:right="757"/>
        <w:jc w:val="both"/>
      </w:pPr>
      <w:r>
        <w:rPr/>
        <w:pict>
          <v:shape style="position:absolute;margin-left:262.709808pt;margin-top:5.024804pt;width:9.35pt;height:3.5pt;mso-position-horizontal-relative:page;mso-position-vertical-relative:paragraph;z-index:-25142784" id="docshape237" coordorigin="5254,100" coordsize="187,70" path="m5378,100l5373,111,5417,129,5254,129,5254,141,5417,141,5373,159,5378,170,5441,143,5441,127,5378,100xe" filled="true" fillcolor="#231f20" stroked="false">
            <v:path arrowok="t"/>
            <v:fill type="solid"/>
            <w10:wrap type="none"/>
          </v:shape>
        </w:pict>
      </w:r>
      <w:r>
        <w:rPr>
          <w:color w:val="231F20"/>
          <w:w w:val="105"/>
        </w:rPr>
        <w:t>Speed</w:t>
      </w:r>
      <w:r>
        <w:rPr>
          <w:color w:val="231F20"/>
          <w:w w:val="105"/>
        </w:rPr>
        <w:t> Is</w:t>
      </w:r>
      <w:r>
        <w:rPr>
          <w:color w:val="231F20"/>
          <w:w w:val="105"/>
        </w:rPr>
        <w:t> Needed</w:t>
      </w:r>
      <w:r>
        <w:rPr>
          <w:color w:val="231F20"/>
          <w:w w:val="105"/>
        </w:rPr>
        <w:t> and</w:t>
      </w:r>
      <w:r>
        <w:rPr>
          <w:color w:val="231F20"/>
          <w:w w:val="105"/>
        </w:rPr>
        <w:t> You</w:t>
      </w:r>
      <w:r>
        <w:rPr>
          <w:color w:val="231F20"/>
          <w:w w:val="105"/>
        </w:rPr>
        <w:t> Have</w:t>
      </w:r>
      <w:r>
        <w:rPr>
          <w:color w:val="231F20"/>
          <w:w w:val="105"/>
        </w:rPr>
        <w:t> the</w:t>
      </w:r>
      <w:r>
        <w:rPr>
          <w:color w:val="231F20"/>
          <w:w w:val="105"/>
        </w:rPr>
        <w:t> Power</w:t>
      </w:r>
      <w:r>
        <w:rPr>
          <w:color w:val="231F20"/>
          <w:spacing w:val="80"/>
          <w:w w:val="105"/>
        </w:rPr>
        <w:t> </w:t>
      </w:r>
      <w:r>
        <w:rPr>
          <w:color w:val="231F20"/>
          <w:w w:val="105"/>
        </w:rPr>
        <w:t>Explicit</w:t>
      </w:r>
      <w:r>
        <w:rPr>
          <w:color w:val="231F20"/>
          <w:w w:val="105"/>
        </w:rPr>
        <w:t> Orders</w:t>
      </w:r>
      <w:r>
        <w:rPr>
          <w:color w:val="231F20"/>
          <w:w w:val="105"/>
        </w:rPr>
        <w:t> and Coercion Tactics</w:t>
      </w:r>
    </w:p>
    <w:p>
      <w:pPr>
        <w:pStyle w:val="BodyText"/>
        <w:spacing w:before="3"/>
      </w:pPr>
    </w:p>
    <w:p>
      <w:pPr>
        <w:pStyle w:val="BodyText"/>
        <w:spacing w:line="292" w:lineRule="auto"/>
        <w:ind w:left="830" w:right="754" w:firstLine="340"/>
        <w:jc w:val="both"/>
      </w:pPr>
      <w:r>
        <w:rPr>
          <w:color w:val="231F20"/>
        </w:rPr>
        <w:t>This situation is most common in the consulting, law, and public accounting professions. The familiar scene begins with a client re- questing a project due “yesterday.” The partner calls in a lowly asso- ciate and demands that the assignment be completed “the day </w:t>
      </w:r>
      <w:r>
        <w:rPr>
          <w:color w:val="231F20"/>
        </w:rPr>
        <w:t>before yesterday.” The partner says jump and the associate jumps. The partners hold the power. The rub is that employees burn out and leave. Fortunately for the firms, there are legions of eager college graduates to replace their ranks. If you choose coercion tactics, you have to be sure you have the power and are willing to deal with the </w:t>
      </w:r>
      <w:r>
        <w:rPr>
          <w:color w:val="231F20"/>
          <w:spacing w:val="-2"/>
        </w:rPr>
        <w:t>consequences.</w:t>
      </w:r>
    </w:p>
    <w:p>
      <w:pPr>
        <w:pStyle w:val="BodyText"/>
        <w:rPr>
          <w:sz w:val="24"/>
        </w:rPr>
      </w:pPr>
    </w:p>
    <w:p>
      <w:pPr>
        <w:pStyle w:val="BodyText"/>
        <w:rPr>
          <w:sz w:val="24"/>
        </w:rPr>
      </w:pPr>
    </w:p>
    <w:p>
      <w:pPr>
        <w:pStyle w:val="Heading4"/>
        <w:spacing w:before="158"/>
        <w:ind w:left="300"/>
      </w:pPr>
      <w:r>
        <w:rPr>
          <w:color w:val="231F20"/>
          <w:w w:val="85"/>
        </w:rPr>
        <w:t>AN</w:t>
      </w:r>
      <w:r>
        <w:rPr>
          <w:color w:val="231F20"/>
          <w:spacing w:val="11"/>
        </w:rPr>
        <w:t> </w:t>
      </w:r>
      <w:r>
        <w:rPr>
          <w:color w:val="231F20"/>
          <w:w w:val="85"/>
        </w:rPr>
        <w:t>OVERVIEW</w:t>
      </w:r>
      <w:r>
        <w:rPr>
          <w:color w:val="231F20"/>
          <w:spacing w:val="12"/>
        </w:rPr>
        <w:t> </w:t>
      </w:r>
      <w:r>
        <w:rPr>
          <w:color w:val="231F20"/>
          <w:w w:val="85"/>
        </w:rPr>
        <w:t>OF</w:t>
      </w:r>
      <w:r>
        <w:rPr>
          <w:color w:val="231F20"/>
          <w:spacing w:val="12"/>
        </w:rPr>
        <w:t> </w:t>
      </w:r>
      <w:r>
        <w:rPr>
          <w:color w:val="231F20"/>
          <w:spacing w:val="9"/>
          <w:w w:val="85"/>
        </w:rPr>
        <w:t>ORGANIZATIONAL</w:t>
      </w:r>
      <w:r>
        <w:rPr>
          <w:color w:val="231F20"/>
          <w:spacing w:val="11"/>
        </w:rPr>
        <w:t> </w:t>
      </w:r>
      <w:r>
        <w:rPr>
          <w:color w:val="231F20"/>
          <w:spacing w:val="8"/>
          <w:w w:val="85"/>
        </w:rPr>
        <w:t>BEHAVIOR</w:t>
      </w:r>
    </w:p>
    <w:p>
      <w:pPr>
        <w:pStyle w:val="BodyText"/>
        <w:spacing w:before="10"/>
        <w:rPr>
          <w:rFonts w:ascii="Trebuchet MS"/>
          <w:sz w:val="29"/>
        </w:rPr>
      </w:pPr>
    </w:p>
    <w:p>
      <w:pPr>
        <w:pStyle w:val="BodyText"/>
        <w:spacing w:line="292" w:lineRule="auto" w:before="1"/>
        <w:ind w:left="830" w:right="754"/>
        <w:jc w:val="both"/>
      </w:pPr>
      <w:r>
        <w:rPr>
          <w:color w:val="231F20"/>
        </w:rPr>
        <w:t>Above all, MBAs should think before they act. When MBAs need to take action, they should thoroughly analyze the situation, first from the perspective of the individual and then from an organizational vantage point, to create a coordinated and effective action plan.</w:t>
      </w:r>
      <w:r>
        <w:rPr>
          <w:color w:val="231F20"/>
          <w:spacing w:val="40"/>
        </w:rPr>
        <w:t> </w:t>
      </w:r>
      <w:r>
        <w:rPr>
          <w:color w:val="231F20"/>
        </w:rPr>
        <w:t>MBAs are not trained to be “organizational experts” by any </w:t>
      </w:r>
      <w:r>
        <w:rPr>
          <w:color w:val="231F20"/>
        </w:rPr>
        <w:t>means, but with a few theories and frameworks, they should have a better chance of acting effectively.</w:t>
      </w:r>
    </w:p>
    <w:p>
      <w:pPr>
        <w:spacing w:after="0" w:line="292" w:lineRule="auto"/>
        <w:jc w:val="both"/>
        <w:sectPr>
          <w:pgSz w:w="8640" w:h="12960"/>
          <w:pgMar w:header="732" w:footer="0" w:top="920" w:bottom="280" w:left="340" w:right="500"/>
        </w:sectPr>
      </w:pPr>
    </w:p>
    <w:p>
      <w:pPr>
        <w:pStyle w:val="BodyText"/>
        <w:rPr>
          <w:sz w:val="20"/>
        </w:rPr>
      </w:pPr>
    </w:p>
    <w:p>
      <w:pPr>
        <w:pStyle w:val="BodyText"/>
        <w:spacing w:before="9"/>
        <w:rPr>
          <w:sz w:val="20"/>
        </w:rPr>
      </w:pPr>
    </w:p>
    <w:p>
      <w:pPr>
        <w:pStyle w:val="Heading4"/>
        <w:spacing w:before="102"/>
      </w:pPr>
      <w:r>
        <w:rPr>
          <w:color w:val="231F20"/>
          <w:w w:val="90"/>
        </w:rPr>
        <w:t>KEY</w:t>
      </w:r>
      <w:r>
        <w:rPr>
          <w:color w:val="231F20"/>
          <w:spacing w:val="3"/>
        </w:rPr>
        <w:t> </w:t>
      </w:r>
      <w:r>
        <w:rPr>
          <w:color w:val="231F20"/>
          <w:w w:val="90"/>
        </w:rPr>
        <w:t>OB</w:t>
      </w:r>
      <w:r>
        <w:rPr>
          <w:color w:val="231F20"/>
          <w:spacing w:val="5"/>
        </w:rPr>
        <w:t> </w:t>
      </w:r>
      <w:r>
        <w:rPr>
          <w:color w:val="231F20"/>
          <w:spacing w:val="-2"/>
          <w:w w:val="90"/>
        </w:rPr>
        <w:t>TAKEAWAYS</w:t>
      </w:r>
    </w:p>
    <w:p>
      <w:pPr>
        <w:pStyle w:val="BodyText"/>
        <w:spacing w:before="9"/>
        <w:rPr>
          <w:rFonts w:ascii="Trebuchet MS"/>
          <w:sz w:val="31"/>
        </w:rPr>
      </w:pPr>
    </w:p>
    <w:p>
      <w:pPr>
        <w:spacing w:before="0"/>
        <w:ind w:left="1260" w:right="0" w:firstLine="0"/>
        <w:jc w:val="left"/>
        <w:rPr>
          <w:rFonts w:ascii="Arial" w:hAnsi="Arial"/>
          <w:sz w:val="19"/>
        </w:rPr>
      </w:pPr>
      <w:r>
        <w:rPr>
          <w:rFonts w:ascii="Arial" w:hAnsi="Arial"/>
          <w:i/>
          <w:color w:val="231F20"/>
          <w:w w:val="110"/>
          <w:sz w:val="19"/>
        </w:rPr>
        <w:t>Want Got Gaps</w:t>
      </w:r>
      <w:r>
        <w:rPr>
          <w:rFonts w:ascii="Arial" w:hAnsi="Arial"/>
          <w:i/>
          <w:color w:val="231F20"/>
          <w:spacing w:val="-39"/>
          <w:w w:val="110"/>
          <w:sz w:val="19"/>
        </w:rPr>
        <w:t> </w:t>
      </w:r>
      <w:r>
        <w:rPr>
          <w:rFonts w:ascii="Arial" w:hAnsi="Arial"/>
          <w:color w:val="231F20"/>
          <w:w w:val="110"/>
          <w:sz w:val="19"/>
        </w:rPr>
        <w:t>—</w:t>
      </w:r>
      <w:r>
        <w:rPr>
          <w:rFonts w:ascii="Arial" w:hAnsi="Arial"/>
          <w:color w:val="231F20"/>
          <w:spacing w:val="-39"/>
          <w:w w:val="110"/>
          <w:sz w:val="19"/>
        </w:rPr>
        <w:t> </w:t>
      </w:r>
      <w:r>
        <w:rPr>
          <w:rFonts w:ascii="Arial" w:hAnsi="Arial"/>
          <w:color w:val="231F20"/>
          <w:w w:val="110"/>
          <w:sz w:val="19"/>
        </w:rPr>
        <w:t>Organizational</w:t>
      </w:r>
      <w:r>
        <w:rPr>
          <w:rFonts w:ascii="Arial" w:hAnsi="Arial"/>
          <w:color w:val="231F20"/>
          <w:spacing w:val="1"/>
          <w:w w:val="110"/>
          <w:sz w:val="19"/>
        </w:rPr>
        <w:t> </w:t>
      </w:r>
      <w:r>
        <w:rPr>
          <w:rFonts w:ascii="Arial" w:hAnsi="Arial"/>
          <w:color w:val="231F20"/>
          <w:spacing w:val="-2"/>
          <w:w w:val="110"/>
          <w:sz w:val="19"/>
        </w:rPr>
        <w:t>problems</w:t>
      </w:r>
    </w:p>
    <w:p>
      <w:pPr>
        <w:spacing w:before="81"/>
        <w:ind w:left="1260" w:right="0" w:firstLine="0"/>
        <w:jc w:val="left"/>
        <w:rPr>
          <w:rFonts w:ascii="Arial" w:hAnsi="Arial"/>
          <w:sz w:val="19"/>
        </w:rPr>
      </w:pPr>
      <w:r>
        <w:rPr>
          <w:rFonts w:ascii="Arial" w:hAnsi="Arial"/>
          <w:i/>
          <w:color w:val="231F20"/>
          <w:w w:val="110"/>
          <w:sz w:val="19"/>
        </w:rPr>
        <w:t>Causal</w:t>
      </w:r>
      <w:r>
        <w:rPr>
          <w:rFonts w:ascii="Arial" w:hAnsi="Arial"/>
          <w:i/>
          <w:color w:val="231F20"/>
          <w:spacing w:val="-2"/>
          <w:w w:val="110"/>
          <w:sz w:val="19"/>
        </w:rPr>
        <w:t> </w:t>
      </w:r>
      <w:r>
        <w:rPr>
          <w:rFonts w:ascii="Arial" w:hAnsi="Arial"/>
          <w:i/>
          <w:color w:val="231F20"/>
          <w:w w:val="110"/>
          <w:sz w:val="19"/>
        </w:rPr>
        <w:t>Chains</w:t>
      </w:r>
      <w:r>
        <w:rPr>
          <w:rFonts w:ascii="Arial" w:hAnsi="Arial"/>
          <w:i/>
          <w:color w:val="231F20"/>
          <w:spacing w:val="-39"/>
          <w:w w:val="110"/>
          <w:sz w:val="19"/>
        </w:rPr>
        <w:t> </w:t>
      </w:r>
      <w:r>
        <w:rPr>
          <w:rFonts w:ascii="Arial" w:hAnsi="Arial"/>
          <w:color w:val="231F20"/>
          <w:w w:val="110"/>
          <w:sz w:val="19"/>
        </w:rPr>
        <w:t>—The</w:t>
      </w:r>
      <w:r>
        <w:rPr>
          <w:rFonts w:ascii="Arial" w:hAnsi="Arial"/>
          <w:color w:val="231F20"/>
          <w:spacing w:val="-1"/>
          <w:w w:val="110"/>
          <w:sz w:val="19"/>
        </w:rPr>
        <w:t> </w:t>
      </w:r>
      <w:r>
        <w:rPr>
          <w:rFonts w:ascii="Arial" w:hAnsi="Arial"/>
          <w:color w:val="231F20"/>
          <w:w w:val="110"/>
          <w:sz w:val="19"/>
        </w:rPr>
        <w:t>relationship</w:t>
      </w:r>
      <w:r>
        <w:rPr>
          <w:rFonts w:ascii="Arial" w:hAnsi="Arial"/>
          <w:color w:val="231F20"/>
          <w:spacing w:val="-1"/>
          <w:w w:val="110"/>
          <w:sz w:val="19"/>
        </w:rPr>
        <w:t> </w:t>
      </w:r>
      <w:r>
        <w:rPr>
          <w:rFonts w:ascii="Arial" w:hAnsi="Arial"/>
          <w:color w:val="231F20"/>
          <w:w w:val="110"/>
          <w:sz w:val="19"/>
        </w:rPr>
        <w:t>of</w:t>
      </w:r>
      <w:r>
        <w:rPr>
          <w:rFonts w:ascii="Arial" w:hAnsi="Arial"/>
          <w:color w:val="231F20"/>
          <w:spacing w:val="-1"/>
          <w:w w:val="110"/>
          <w:sz w:val="19"/>
        </w:rPr>
        <w:t> </w:t>
      </w:r>
      <w:r>
        <w:rPr>
          <w:rFonts w:ascii="Arial" w:hAnsi="Arial"/>
          <w:color w:val="231F20"/>
          <w:w w:val="110"/>
          <w:sz w:val="19"/>
        </w:rPr>
        <w:t>problems</w:t>
      </w:r>
      <w:r>
        <w:rPr>
          <w:rFonts w:ascii="Arial" w:hAnsi="Arial"/>
          <w:color w:val="231F20"/>
          <w:spacing w:val="-1"/>
          <w:w w:val="110"/>
          <w:sz w:val="19"/>
        </w:rPr>
        <w:t> </w:t>
      </w:r>
      <w:r>
        <w:rPr>
          <w:rFonts w:ascii="Arial" w:hAnsi="Arial"/>
          <w:color w:val="231F20"/>
          <w:w w:val="110"/>
          <w:sz w:val="19"/>
        </w:rPr>
        <w:t>to</w:t>
      </w:r>
      <w:r>
        <w:rPr>
          <w:rFonts w:ascii="Arial" w:hAnsi="Arial"/>
          <w:color w:val="231F20"/>
          <w:spacing w:val="-2"/>
          <w:w w:val="110"/>
          <w:sz w:val="19"/>
        </w:rPr>
        <w:t> </w:t>
      </w:r>
      <w:r>
        <w:rPr>
          <w:rFonts w:ascii="Arial" w:hAnsi="Arial"/>
          <w:color w:val="231F20"/>
          <w:w w:val="110"/>
          <w:sz w:val="19"/>
        </w:rPr>
        <w:t>one</w:t>
      </w:r>
      <w:r>
        <w:rPr>
          <w:rFonts w:ascii="Arial" w:hAnsi="Arial"/>
          <w:color w:val="231F20"/>
          <w:spacing w:val="-1"/>
          <w:w w:val="110"/>
          <w:sz w:val="19"/>
        </w:rPr>
        <w:t> </w:t>
      </w:r>
      <w:r>
        <w:rPr>
          <w:rFonts w:ascii="Arial" w:hAnsi="Arial"/>
          <w:color w:val="231F20"/>
          <w:spacing w:val="-2"/>
          <w:w w:val="110"/>
          <w:sz w:val="19"/>
        </w:rPr>
        <w:t>another</w:t>
      </w:r>
    </w:p>
    <w:p>
      <w:pPr>
        <w:spacing w:line="328" w:lineRule="auto" w:before="82"/>
        <w:ind w:left="1600" w:right="0" w:hanging="340"/>
        <w:jc w:val="left"/>
        <w:rPr>
          <w:rFonts w:ascii="Arial" w:hAnsi="Arial"/>
          <w:sz w:val="19"/>
        </w:rPr>
      </w:pPr>
      <w:r>
        <w:rPr>
          <w:rFonts w:ascii="Arial" w:hAnsi="Arial"/>
          <w:i/>
          <w:color w:val="231F20"/>
          <w:spacing w:val="-1"/>
          <w:w w:val="115"/>
          <w:sz w:val="19"/>
        </w:rPr>
        <w:t>Action</w:t>
      </w:r>
      <w:r>
        <w:rPr>
          <w:rFonts w:ascii="Arial" w:hAnsi="Arial"/>
          <w:i/>
          <w:color w:val="231F20"/>
          <w:spacing w:val="-15"/>
          <w:w w:val="115"/>
          <w:sz w:val="19"/>
        </w:rPr>
        <w:t> </w:t>
      </w:r>
      <w:r>
        <w:rPr>
          <w:rFonts w:ascii="Arial" w:hAnsi="Arial"/>
          <w:i/>
          <w:color w:val="231F20"/>
          <w:spacing w:val="-1"/>
          <w:w w:val="115"/>
          <w:sz w:val="19"/>
        </w:rPr>
        <w:t>Planning</w:t>
      </w:r>
      <w:r>
        <w:rPr>
          <w:rFonts w:ascii="Arial" w:hAnsi="Arial"/>
          <w:i/>
          <w:color w:val="231F20"/>
          <w:spacing w:val="-42"/>
          <w:w w:val="115"/>
          <w:sz w:val="19"/>
        </w:rPr>
        <w:t> </w:t>
      </w:r>
      <w:r>
        <w:rPr>
          <w:rFonts w:ascii="Arial" w:hAnsi="Arial"/>
          <w:color w:val="231F20"/>
          <w:spacing w:val="-1"/>
          <w:w w:val="115"/>
          <w:sz w:val="19"/>
        </w:rPr>
        <w:t>—A</w:t>
      </w:r>
      <w:r>
        <w:rPr>
          <w:rFonts w:ascii="Arial" w:hAnsi="Arial"/>
          <w:color w:val="231F20"/>
          <w:spacing w:val="-14"/>
          <w:w w:val="115"/>
          <w:sz w:val="19"/>
        </w:rPr>
        <w:t> </w:t>
      </w:r>
      <w:r>
        <w:rPr>
          <w:rFonts w:ascii="Arial" w:hAnsi="Arial"/>
          <w:color w:val="231F20"/>
          <w:spacing w:val="-1"/>
          <w:w w:val="115"/>
          <w:sz w:val="19"/>
        </w:rPr>
        <w:t>specific</w:t>
      </w:r>
      <w:r>
        <w:rPr>
          <w:rFonts w:ascii="Arial" w:hAnsi="Arial"/>
          <w:color w:val="231F20"/>
          <w:spacing w:val="-12"/>
          <w:w w:val="115"/>
          <w:sz w:val="19"/>
        </w:rPr>
        <w:t> </w:t>
      </w:r>
      <w:r>
        <w:rPr>
          <w:rFonts w:ascii="Arial" w:hAnsi="Arial"/>
          <w:color w:val="231F20"/>
          <w:spacing w:val="-1"/>
          <w:w w:val="115"/>
          <w:sz w:val="19"/>
        </w:rPr>
        <w:t>series</w:t>
      </w:r>
      <w:r>
        <w:rPr>
          <w:rFonts w:ascii="Arial" w:hAnsi="Arial"/>
          <w:color w:val="231F20"/>
          <w:spacing w:val="-13"/>
          <w:w w:val="115"/>
          <w:sz w:val="19"/>
        </w:rPr>
        <w:t> </w:t>
      </w:r>
      <w:r>
        <w:rPr>
          <w:rFonts w:ascii="Arial" w:hAnsi="Arial"/>
          <w:color w:val="231F20"/>
          <w:spacing w:val="-1"/>
          <w:w w:val="115"/>
          <w:sz w:val="19"/>
        </w:rPr>
        <w:t>of</w:t>
      </w:r>
      <w:r>
        <w:rPr>
          <w:rFonts w:ascii="Arial" w:hAnsi="Arial"/>
          <w:color w:val="231F20"/>
          <w:spacing w:val="-13"/>
          <w:w w:val="115"/>
          <w:sz w:val="19"/>
        </w:rPr>
        <w:t> </w:t>
      </w:r>
      <w:r>
        <w:rPr>
          <w:rFonts w:ascii="Arial" w:hAnsi="Arial"/>
          <w:color w:val="231F20"/>
          <w:spacing w:val="-1"/>
          <w:w w:val="115"/>
          <w:sz w:val="19"/>
        </w:rPr>
        <w:t>activities</w:t>
      </w:r>
      <w:r>
        <w:rPr>
          <w:rFonts w:ascii="Arial" w:hAnsi="Arial"/>
          <w:color w:val="231F20"/>
          <w:spacing w:val="-13"/>
          <w:w w:val="115"/>
          <w:sz w:val="19"/>
        </w:rPr>
        <w:t> </w:t>
      </w:r>
      <w:r>
        <w:rPr>
          <w:rFonts w:ascii="Arial" w:hAnsi="Arial"/>
          <w:color w:val="231F20"/>
          <w:spacing w:val="-1"/>
          <w:w w:val="115"/>
          <w:sz w:val="19"/>
        </w:rPr>
        <w:t>to</w:t>
      </w:r>
      <w:r>
        <w:rPr>
          <w:rFonts w:ascii="Arial" w:hAnsi="Arial"/>
          <w:color w:val="231F20"/>
          <w:spacing w:val="-13"/>
          <w:w w:val="115"/>
          <w:sz w:val="19"/>
        </w:rPr>
        <w:t> </w:t>
      </w:r>
      <w:r>
        <w:rPr>
          <w:rFonts w:ascii="Arial" w:hAnsi="Arial"/>
          <w:color w:val="231F20"/>
          <w:spacing w:val="-1"/>
          <w:w w:val="115"/>
          <w:sz w:val="19"/>
        </w:rPr>
        <w:t>solve</w:t>
      </w:r>
      <w:r>
        <w:rPr>
          <w:rFonts w:ascii="Arial" w:hAnsi="Arial"/>
          <w:color w:val="231F20"/>
          <w:spacing w:val="-13"/>
          <w:w w:val="115"/>
          <w:sz w:val="19"/>
        </w:rPr>
        <w:t> </w:t>
      </w:r>
      <w:r>
        <w:rPr>
          <w:rFonts w:ascii="Arial" w:hAnsi="Arial"/>
          <w:color w:val="231F20"/>
          <w:spacing w:val="-1"/>
          <w:w w:val="115"/>
          <w:sz w:val="19"/>
        </w:rPr>
        <w:t>an </w:t>
      </w:r>
      <w:r>
        <w:rPr>
          <w:rFonts w:ascii="Arial" w:hAnsi="Arial"/>
          <w:color w:val="231F20"/>
          <w:w w:val="115"/>
          <w:sz w:val="19"/>
        </w:rPr>
        <w:t>organizational problem</w:t>
      </w:r>
    </w:p>
    <w:p>
      <w:pPr>
        <w:spacing w:before="1"/>
        <w:ind w:left="1259" w:right="0" w:firstLine="0"/>
        <w:jc w:val="left"/>
        <w:rPr>
          <w:rFonts w:ascii="Arial" w:hAnsi="Arial"/>
          <w:sz w:val="19"/>
        </w:rPr>
      </w:pPr>
      <w:r>
        <w:rPr>
          <w:rFonts w:ascii="Arial" w:hAnsi="Arial"/>
          <w:i/>
          <w:color w:val="231F20"/>
          <w:w w:val="110"/>
          <w:sz w:val="19"/>
        </w:rPr>
        <w:t>APCFB</w:t>
      </w:r>
      <w:r>
        <w:rPr>
          <w:rFonts w:ascii="Arial" w:hAnsi="Arial"/>
          <w:i/>
          <w:color w:val="231F20"/>
          <w:spacing w:val="3"/>
          <w:w w:val="110"/>
          <w:sz w:val="19"/>
        </w:rPr>
        <w:t> </w:t>
      </w:r>
      <w:r>
        <w:rPr>
          <w:rFonts w:ascii="Arial" w:hAnsi="Arial"/>
          <w:i/>
          <w:color w:val="231F20"/>
          <w:w w:val="110"/>
          <w:sz w:val="19"/>
        </w:rPr>
        <w:t>Model</w:t>
      </w:r>
      <w:r>
        <w:rPr>
          <w:rFonts w:ascii="Arial" w:hAnsi="Arial"/>
          <w:i/>
          <w:color w:val="231F20"/>
          <w:spacing w:val="-39"/>
          <w:w w:val="110"/>
          <w:sz w:val="19"/>
        </w:rPr>
        <w:t> </w:t>
      </w:r>
      <w:r>
        <w:rPr>
          <w:rFonts w:ascii="Arial" w:hAnsi="Arial"/>
          <w:color w:val="231F20"/>
          <w:spacing w:val="11"/>
          <w:w w:val="110"/>
          <w:sz w:val="19"/>
        </w:rPr>
        <w:t>—</w:t>
      </w:r>
      <w:r>
        <w:rPr>
          <w:rFonts w:ascii="Arial" w:hAnsi="Arial"/>
          <w:color w:val="231F20"/>
          <w:w w:val="110"/>
          <w:sz w:val="19"/>
        </w:rPr>
        <w:t>A</w:t>
      </w:r>
      <w:r>
        <w:rPr>
          <w:rFonts w:ascii="Arial" w:hAnsi="Arial"/>
          <w:color w:val="231F20"/>
          <w:spacing w:val="4"/>
          <w:w w:val="110"/>
          <w:sz w:val="19"/>
        </w:rPr>
        <w:t> </w:t>
      </w:r>
      <w:r>
        <w:rPr>
          <w:rFonts w:ascii="Arial" w:hAnsi="Arial"/>
          <w:color w:val="231F20"/>
          <w:w w:val="110"/>
          <w:sz w:val="19"/>
        </w:rPr>
        <w:t>human</w:t>
      </w:r>
      <w:r>
        <w:rPr>
          <w:rFonts w:ascii="Arial" w:hAnsi="Arial"/>
          <w:color w:val="231F20"/>
          <w:spacing w:val="3"/>
          <w:w w:val="110"/>
          <w:sz w:val="19"/>
        </w:rPr>
        <w:t> </w:t>
      </w:r>
      <w:r>
        <w:rPr>
          <w:rFonts w:ascii="Arial" w:hAnsi="Arial"/>
          <w:color w:val="231F20"/>
          <w:w w:val="110"/>
          <w:sz w:val="19"/>
        </w:rPr>
        <w:t>psychology</w:t>
      </w:r>
      <w:r>
        <w:rPr>
          <w:rFonts w:ascii="Arial" w:hAnsi="Arial"/>
          <w:color w:val="231F20"/>
          <w:spacing w:val="3"/>
          <w:w w:val="110"/>
          <w:sz w:val="19"/>
        </w:rPr>
        <w:t> </w:t>
      </w:r>
      <w:r>
        <w:rPr>
          <w:rFonts w:ascii="Arial" w:hAnsi="Arial"/>
          <w:color w:val="231F20"/>
          <w:spacing w:val="-2"/>
          <w:w w:val="110"/>
          <w:sz w:val="19"/>
        </w:rPr>
        <w:t>model</w:t>
      </w:r>
    </w:p>
    <w:p>
      <w:pPr>
        <w:spacing w:line="328" w:lineRule="auto" w:before="82"/>
        <w:ind w:left="1600" w:right="1045" w:hanging="340"/>
        <w:jc w:val="left"/>
        <w:rPr>
          <w:rFonts w:ascii="Arial" w:hAnsi="Arial"/>
          <w:sz w:val="19"/>
        </w:rPr>
      </w:pPr>
      <w:r>
        <w:rPr>
          <w:rFonts w:ascii="Arial" w:hAnsi="Arial"/>
          <w:i/>
          <w:color w:val="231F20"/>
          <w:w w:val="110"/>
          <w:sz w:val="19"/>
        </w:rPr>
        <w:t>Goal Congruence</w:t>
      </w:r>
      <w:r>
        <w:rPr>
          <w:rFonts w:ascii="Arial" w:hAnsi="Arial"/>
          <w:i/>
          <w:color w:val="231F20"/>
          <w:spacing w:val="-36"/>
          <w:w w:val="110"/>
          <w:sz w:val="19"/>
        </w:rPr>
        <w:t> </w:t>
      </w:r>
      <w:r>
        <w:rPr>
          <w:rFonts w:ascii="Arial" w:hAnsi="Arial"/>
          <w:color w:val="231F20"/>
          <w:w w:val="110"/>
          <w:sz w:val="19"/>
        </w:rPr>
        <w:t>—</w:t>
      </w:r>
      <w:r>
        <w:rPr>
          <w:rFonts w:ascii="Arial" w:hAnsi="Arial"/>
          <w:color w:val="231F20"/>
          <w:spacing w:val="-36"/>
          <w:w w:val="110"/>
          <w:sz w:val="19"/>
        </w:rPr>
        <w:t> </w:t>
      </w:r>
      <w:r>
        <w:rPr>
          <w:rFonts w:ascii="Arial" w:hAnsi="Arial"/>
          <w:color w:val="231F20"/>
          <w:w w:val="110"/>
          <w:sz w:val="19"/>
        </w:rPr>
        <w:t>People with similar goals work </w:t>
      </w:r>
      <w:r>
        <w:rPr>
          <w:rFonts w:ascii="Arial" w:hAnsi="Arial"/>
          <w:color w:val="231F20"/>
          <w:w w:val="110"/>
          <w:sz w:val="19"/>
        </w:rPr>
        <w:t>better </w:t>
      </w:r>
      <w:r>
        <w:rPr>
          <w:rFonts w:ascii="Arial" w:hAnsi="Arial"/>
          <w:color w:val="231F20"/>
          <w:spacing w:val="-2"/>
          <w:w w:val="110"/>
          <w:sz w:val="19"/>
        </w:rPr>
        <w:t>together.</w:t>
      </w:r>
    </w:p>
    <w:p>
      <w:pPr>
        <w:spacing w:line="328" w:lineRule="auto" w:before="1"/>
        <w:ind w:left="1600" w:right="1262" w:hanging="340"/>
        <w:jc w:val="left"/>
        <w:rPr>
          <w:rFonts w:ascii="Arial" w:hAnsi="Arial"/>
          <w:sz w:val="19"/>
        </w:rPr>
      </w:pPr>
      <w:r>
        <w:rPr>
          <w:rFonts w:ascii="Arial" w:hAnsi="Arial"/>
          <w:i/>
          <w:color w:val="231F20"/>
          <w:w w:val="110"/>
          <w:sz w:val="19"/>
        </w:rPr>
        <w:t>Expectancy Theory</w:t>
      </w:r>
      <w:r>
        <w:rPr>
          <w:rFonts w:ascii="Arial" w:hAnsi="Arial"/>
          <w:i/>
          <w:color w:val="231F20"/>
          <w:spacing w:val="-36"/>
          <w:w w:val="110"/>
          <w:sz w:val="19"/>
        </w:rPr>
        <w:t> </w:t>
      </w:r>
      <w:r>
        <w:rPr>
          <w:rFonts w:ascii="Arial" w:hAnsi="Arial"/>
          <w:color w:val="231F20"/>
          <w:w w:val="110"/>
          <w:sz w:val="19"/>
        </w:rPr>
        <w:t>—</w:t>
      </w:r>
      <w:r>
        <w:rPr>
          <w:rFonts w:ascii="Arial" w:hAnsi="Arial"/>
          <w:color w:val="231F20"/>
          <w:spacing w:val="-36"/>
          <w:w w:val="110"/>
          <w:sz w:val="19"/>
        </w:rPr>
        <w:t> </w:t>
      </w:r>
      <w:r>
        <w:rPr>
          <w:rFonts w:ascii="Arial" w:hAnsi="Arial"/>
          <w:color w:val="231F20"/>
          <w:w w:val="110"/>
          <w:sz w:val="19"/>
        </w:rPr>
        <w:t>Motivation is a function of how an employee’s actions translate into a reward.</w:t>
      </w:r>
    </w:p>
    <w:p>
      <w:pPr>
        <w:spacing w:line="328" w:lineRule="auto" w:before="1"/>
        <w:ind w:left="1600" w:right="1262" w:hanging="340"/>
        <w:jc w:val="left"/>
        <w:rPr>
          <w:rFonts w:ascii="Arial" w:hAnsi="Arial"/>
          <w:sz w:val="19"/>
        </w:rPr>
      </w:pPr>
      <w:r>
        <w:rPr>
          <w:rFonts w:ascii="Arial" w:hAnsi="Arial"/>
          <w:i/>
          <w:color w:val="231F20"/>
          <w:w w:val="110"/>
          <w:sz w:val="19"/>
        </w:rPr>
        <w:t>VCM</w:t>
      </w:r>
      <w:r>
        <w:rPr>
          <w:rFonts w:ascii="Arial" w:hAnsi="Arial"/>
          <w:i/>
          <w:color w:val="231F20"/>
          <w:spacing w:val="-3"/>
          <w:w w:val="110"/>
          <w:sz w:val="19"/>
        </w:rPr>
        <w:t> </w:t>
      </w:r>
      <w:r>
        <w:rPr>
          <w:rFonts w:ascii="Arial" w:hAnsi="Arial"/>
          <w:i/>
          <w:color w:val="231F20"/>
          <w:w w:val="110"/>
          <w:sz w:val="19"/>
        </w:rPr>
        <w:t>Leadership</w:t>
      </w:r>
      <w:r>
        <w:rPr>
          <w:rFonts w:ascii="Arial" w:hAnsi="Arial"/>
          <w:i/>
          <w:color w:val="231F20"/>
          <w:spacing w:val="-2"/>
          <w:w w:val="110"/>
          <w:sz w:val="19"/>
        </w:rPr>
        <w:t> </w:t>
      </w:r>
      <w:r>
        <w:rPr>
          <w:rFonts w:ascii="Arial" w:hAnsi="Arial"/>
          <w:i/>
          <w:color w:val="231F20"/>
          <w:w w:val="110"/>
          <w:sz w:val="19"/>
        </w:rPr>
        <w:t>Model</w:t>
      </w:r>
      <w:r>
        <w:rPr>
          <w:rFonts w:ascii="Arial" w:hAnsi="Arial"/>
          <w:i/>
          <w:color w:val="231F20"/>
          <w:spacing w:val="-40"/>
          <w:w w:val="110"/>
          <w:sz w:val="19"/>
        </w:rPr>
        <w:t> </w:t>
      </w:r>
      <w:r>
        <w:rPr>
          <w:rFonts w:ascii="Arial" w:hAnsi="Arial"/>
          <w:color w:val="231F20"/>
          <w:w w:val="110"/>
          <w:sz w:val="19"/>
        </w:rPr>
        <w:t>—The</w:t>
      </w:r>
      <w:r>
        <w:rPr>
          <w:rFonts w:ascii="Arial" w:hAnsi="Arial"/>
          <w:color w:val="231F20"/>
          <w:spacing w:val="-1"/>
          <w:w w:val="110"/>
          <w:sz w:val="19"/>
        </w:rPr>
        <w:t> </w:t>
      </w:r>
      <w:r>
        <w:rPr>
          <w:rFonts w:ascii="Arial" w:hAnsi="Arial"/>
          <w:color w:val="231F20"/>
          <w:w w:val="110"/>
          <w:sz w:val="19"/>
        </w:rPr>
        <w:t>vision,</w:t>
      </w:r>
      <w:r>
        <w:rPr>
          <w:rFonts w:ascii="Arial" w:hAnsi="Arial"/>
          <w:color w:val="231F20"/>
          <w:spacing w:val="-2"/>
          <w:w w:val="110"/>
          <w:sz w:val="19"/>
        </w:rPr>
        <w:t> </w:t>
      </w:r>
      <w:r>
        <w:rPr>
          <w:rFonts w:ascii="Arial" w:hAnsi="Arial"/>
          <w:color w:val="231F20"/>
          <w:w w:val="110"/>
          <w:sz w:val="19"/>
        </w:rPr>
        <w:t>commitment,</w:t>
      </w:r>
      <w:r>
        <w:rPr>
          <w:rFonts w:ascii="Arial" w:hAnsi="Arial"/>
          <w:color w:val="231F20"/>
          <w:spacing w:val="-2"/>
          <w:w w:val="110"/>
          <w:sz w:val="19"/>
        </w:rPr>
        <w:t> </w:t>
      </w:r>
      <w:r>
        <w:rPr>
          <w:rFonts w:ascii="Arial" w:hAnsi="Arial"/>
          <w:color w:val="231F20"/>
          <w:w w:val="110"/>
          <w:sz w:val="19"/>
        </w:rPr>
        <w:t>and management aspects of leadership</w:t>
      </w:r>
    </w:p>
    <w:p>
      <w:pPr>
        <w:spacing w:before="2"/>
        <w:ind w:left="1259" w:right="0" w:firstLine="0"/>
        <w:jc w:val="left"/>
        <w:rPr>
          <w:rFonts w:ascii="Arial" w:hAnsi="Arial"/>
          <w:sz w:val="19"/>
        </w:rPr>
      </w:pPr>
      <w:r>
        <w:rPr>
          <w:rFonts w:ascii="Arial" w:hAnsi="Arial"/>
          <w:i/>
          <w:color w:val="231F20"/>
          <w:w w:val="110"/>
          <w:sz w:val="19"/>
        </w:rPr>
        <w:t>Active</w:t>
      </w:r>
      <w:r>
        <w:rPr>
          <w:rFonts w:ascii="Arial" w:hAnsi="Arial"/>
          <w:i/>
          <w:color w:val="231F20"/>
          <w:spacing w:val="12"/>
          <w:w w:val="110"/>
          <w:sz w:val="19"/>
        </w:rPr>
        <w:t> </w:t>
      </w:r>
      <w:r>
        <w:rPr>
          <w:rFonts w:ascii="Arial" w:hAnsi="Arial"/>
          <w:i/>
          <w:color w:val="231F20"/>
          <w:w w:val="110"/>
          <w:sz w:val="19"/>
        </w:rPr>
        <w:t>Listening</w:t>
      </w:r>
      <w:r>
        <w:rPr>
          <w:rFonts w:ascii="Arial" w:hAnsi="Arial"/>
          <w:i/>
          <w:color w:val="231F20"/>
          <w:spacing w:val="-35"/>
          <w:w w:val="110"/>
          <w:sz w:val="19"/>
        </w:rPr>
        <w:t> </w:t>
      </w:r>
      <w:r>
        <w:rPr>
          <w:rFonts w:ascii="Arial" w:hAnsi="Arial"/>
          <w:color w:val="231F20"/>
          <w:w w:val="110"/>
          <w:sz w:val="19"/>
        </w:rPr>
        <w:t>—</w:t>
      </w:r>
      <w:r>
        <w:rPr>
          <w:rFonts w:ascii="Arial" w:hAnsi="Arial"/>
          <w:color w:val="231F20"/>
          <w:spacing w:val="-35"/>
          <w:w w:val="110"/>
          <w:sz w:val="19"/>
        </w:rPr>
        <w:t> </w:t>
      </w:r>
      <w:r>
        <w:rPr>
          <w:rFonts w:ascii="Arial" w:hAnsi="Arial"/>
          <w:color w:val="231F20"/>
          <w:w w:val="110"/>
          <w:sz w:val="19"/>
        </w:rPr>
        <w:t>Listening</w:t>
      </w:r>
      <w:r>
        <w:rPr>
          <w:rFonts w:ascii="Arial" w:hAnsi="Arial"/>
          <w:color w:val="231F20"/>
          <w:spacing w:val="13"/>
          <w:w w:val="110"/>
          <w:sz w:val="19"/>
        </w:rPr>
        <w:t> </w:t>
      </w:r>
      <w:r>
        <w:rPr>
          <w:rFonts w:ascii="Arial" w:hAnsi="Arial"/>
          <w:color w:val="231F20"/>
          <w:w w:val="110"/>
          <w:sz w:val="19"/>
        </w:rPr>
        <w:t>to</w:t>
      </w:r>
      <w:r>
        <w:rPr>
          <w:rFonts w:ascii="Arial" w:hAnsi="Arial"/>
          <w:color w:val="231F20"/>
          <w:spacing w:val="13"/>
          <w:w w:val="110"/>
          <w:sz w:val="19"/>
        </w:rPr>
        <w:t> </w:t>
      </w:r>
      <w:r>
        <w:rPr>
          <w:rFonts w:ascii="Arial" w:hAnsi="Arial"/>
          <w:color w:val="231F20"/>
          <w:w w:val="110"/>
          <w:sz w:val="19"/>
        </w:rPr>
        <w:t>gain</w:t>
      </w:r>
      <w:r>
        <w:rPr>
          <w:rFonts w:ascii="Arial" w:hAnsi="Arial"/>
          <w:color w:val="231F20"/>
          <w:spacing w:val="13"/>
          <w:w w:val="110"/>
          <w:sz w:val="19"/>
        </w:rPr>
        <w:t> </w:t>
      </w:r>
      <w:r>
        <w:rPr>
          <w:rFonts w:ascii="Arial" w:hAnsi="Arial"/>
          <w:color w:val="231F20"/>
          <w:spacing w:val="-2"/>
          <w:w w:val="110"/>
          <w:sz w:val="19"/>
        </w:rPr>
        <w:t>insight</w:t>
      </w:r>
    </w:p>
    <w:p>
      <w:pPr>
        <w:spacing w:line="328" w:lineRule="auto" w:before="81"/>
        <w:ind w:left="1599" w:right="667" w:hanging="340"/>
        <w:jc w:val="left"/>
        <w:rPr>
          <w:rFonts w:ascii="Arial" w:hAnsi="Arial"/>
          <w:sz w:val="19"/>
        </w:rPr>
      </w:pPr>
      <w:r>
        <w:rPr>
          <w:rFonts w:ascii="Arial" w:hAnsi="Arial"/>
          <w:i/>
          <w:color w:val="231F20"/>
          <w:spacing w:val="-2"/>
          <w:w w:val="115"/>
          <w:sz w:val="19"/>
        </w:rPr>
        <w:t>The</w:t>
      </w:r>
      <w:r>
        <w:rPr>
          <w:rFonts w:ascii="Arial" w:hAnsi="Arial"/>
          <w:i/>
          <w:color w:val="231F20"/>
          <w:spacing w:val="-14"/>
          <w:w w:val="115"/>
          <w:sz w:val="19"/>
        </w:rPr>
        <w:t> </w:t>
      </w:r>
      <w:r>
        <w:rPr>
          <w:rFonts w:ascii="Arial" w:hAnsi="Arial"/>
          <w:i/>
          <w:color w:val="231F20"/>
          <w:spacing w:val="-2"/>
          <w:w w:val="115"/>
          <w:sz w:val="19"/>
        </w:rPr>
        <w:t>Five</w:t>
      </w:r>
      <w:r>
        <w:rPr>
          <w:rFonts w:ascii="Arial" w:hAnsi="Arial"/>
          <w:i/>
          <w:color w:val="231F20"/>
          <w:spacing w:val="-12"/>
          <w:w w:val="115"/>
          <w:sz w:val="19"/>
        </w:rPr>
        <w:t> </w:t>
      </w:r>
      <w:r>
        <w:rPr>
          <w:rFonts w:ascii="Arial" w:hAnsi="Arial"/>
          <w:i/>
          <w:color w:val="231F20"/>
          <w:spacing w:val="-2"/>
          <w:w w:val="115"/>
          <w:sz w:val="19"/>
        </w:rPr>
        <w:t>Forms</w:t>
      </w:r>
      <w:r>
        <w:rPr>
          <w:rFonts w:ascii="Arial" w:hAnsi="Arial"/>
          <w:i/>
          <w:color w:val="231F20"/>
          <w:spacing w:val="-12"/>
          <w:w w:val="115"/>
          <w:sz w:val="19"/>
        </w:rPr>
        <w:t> </w:t>
      </w:r>
      <w:r>
        <w:rPr>
          <w:rFonts w:ascii="Arial" w:hAnsi="Arial"/>
          <w:i/>
          <w:color w:val="231F20"/>
          <w:spacing w:val="-2"/>
          <w:w w:val="115"/>
          <w:sz w:val="19"/>
        </w:rPr>
        <w:t>of</w:t>
      </w:r>
      <w:r>
        <w:rPr>
          <w:rFonts w:ascii="Arial" w:hAnsi="Arial"/>
          <w:i/>
          <w:color w:val="231F20"/>
          <w:spacing w:val="-12"/>
          <w:w w:val="115"/>
          <w:sz w:val="19"/>
        </w:rPr>
        <w:t> </w:t>
      </w:r>
      <w:r>
        <w:rPr>
          <w:rFonts w:ascii="Arial" w:hAnsi="Arial"/>
          <w:i/>
          <w:color w:val="231F20"/>
          <w:spacing w:val="-2"/>
          <w:w w:val="115"/>
          <w:sz w:val="19"/>
        </w:rPr>
        <w:t>Power</w:t>
      </w:r>
      <w:r>
        <w:rPr>
          <w:rFonts w:ascii="Arial" w:hAnsi="Arial"/>
          <w:color w:val="231F20"/>
          <w:spacing w:val="-2"/>
          <w:w w:val="115"/>
          <w:sz w:val="19"/>
        </w:rPr>
        <w:t>—</w:t>
      </w:r>
      <w:r>
        <w:rPr>
          <w:rFonts w:ascii="Arial" w:hAnsi="Arial"/>
          <w:color w:val="231F20"/>
          <w:spacing w:val="-42"/>
          <w:w w:val="115"/>
          <w:sz w:val="19"/>
        </w:rPr>
        <w:t> </w:t>
      </w:r>
      <w:r>
        <w:rPr>
          <w:rFonts w:ascii="Arial" w:hAnsi="Arial"/>
          <w:color w:val="231F20"/>
          <w:spacing w:val="-2"/>
          <w:w w:val="115"/>
          <w:sz w:val="19"/>
        </w:rPr>
        <w:t>Power</w:t>
      </w:r>
      <w:r>
        <w:rPr>
          <w:rFonts w:ascii="Arial" w:hAnsi="Arial"/>
          <w:color w:val="231F20"/>
          <w:spacing w:val="-11"/>
          <w:w w:val="115"/>
          <w:sz w:val="19"/>
        </w:rPr>
        <w:t> </w:t>
      </w:r>
      <w:r>
        <w:rPr>
          <w:rFonts w:ascii="Arial" w:hAnsi="Arial"/>
          <w:color w:val="231F20"/>
          <w:spacing w:val="-2"/>
          <w:w w:val="115"/>
          <w:sz w:val="19"/>
        </w:rPr>
        <w:t>is</w:t>
      </w:r>
      <w:r>
        <w:rPr>
          <w:rFonts w:ascii="Arial" w:hAnsi="Arial"/>
          <w:color w:val="231F20"/>
          <w:spacing w:val="-11"/>
          <w:w w:val="115"/>
          <w:sz w:val="19"/>
        </w:rPr>
        <w:t> </w:t>
      </w:r>
      <w:r>
        <w:rPr>
          <w:rFonts w:ascii="Arial" w:hAnsi="Arial"/>
          <w:color w:val="231F20"/>
          <w:spacing w:val="-2"/>
          <w:w w:val="115"/>
          <w:sz w:val="19"/>
        </w:rPr>
        <w:t>derived</w:t>
      </w:r>
      <w:r>
        <w:rPr>
          <w:rFonts w:ascii="Arial" w:hAnsi="Arial"/>
          <w:color w:val="231F20"/>
          <w:spacing w:val="-11"/>
          <w:w w:val="115"/>
          <w:sz w:val="19"/>
        </w:rPr>
        <w:t> </w:t>
      </w:r>
      <w:r>
        <w:rPr>
          <w:rFonts w:ascii="Arial" w:hAnsi="Arial"/>
          <w:color w:val="231F20"/>
          <w:spacing w:val="-2"/>
          <w:w w:val="115"/>
          <w:sz w:val="19"/>
        </w:rPr>
        <w:t>from</w:t>
      </w:r>
      <w:r>
        <w:rPr>
          <w:rFonts w:ascii="Arial" w:hAnsi="Arial"/>
          <w:color w:val="231F20"/>
          <w:spacing w:val="-11"/>
          <w:w w:val="115"/>
          <w:sz w:val="19"/>
        </w:rPr>
        <w:t> </w:t>
      </w:r>
      <w:r>
        <w:rPr>
          <w:rFonts w:ascii="Arial" w:hAnsi="Arial"/>
          <w:color w:val="231F20"/>
          <w:spacing w:val="-2"/>
          <w:w w:val="115"/>
          <w:sz w:val="19"/>
        </w:rPr>
        <w:t>more</w:t>
      </w:r>
      <w:r>
        <w:rPr>
          <w:rFonts w:ascii="Arial" w:hAnsi="Arial"/>
          <w:color w:val="231F20"/>
          <w:spacing w:val="-11"/>
          <w:w w:val="115"/>
          <w:sz w:val="19"/>
        </w:rPr>
        <w:t> </w:t>
      </w:r>
      <w:r>
        <w:rPr>
          <w:rFonts w:ascii="Arial" w:hAnsi="Arial"/>
          <w:color w:val="231F20"/>
          <w:spacing w:val="-2"/>
          <w:w w:val="115"/>
          <w:sz w:val="19"/>
        </w:rPr>
        <w:t>than</w:t>
      </w:r>
      <w:r>
        <w:rPr>
          <w:rFonts w:ascii="Arial" w:hAnsi="Arial"/>
          <w:color w:val="231F20"/>
          <w:spacing w:val="-11"/>
          <w:w w:val="115"/>
          <w:sz w:val="19"/>
        </w:rPr>
        <w:t> </w:t>
      </w:r>
      <w:r>
        <w:rPr>
          <w:rFonts w:ascii="Arial" w:hAnsi="Arial"/>
          <w:color w:val="231F20"/>
          <w:spacing w:val="-2"/>
          <w:w w:val="115"/>
          <w:sz w:val="19"/>
        </w:rPr>
        <w:t>a title.</w:t>
      </w:r>
    </w:p>
    <w:p>
      <w:pPr>
        <w:spacing w:line="328" w:lineRule="auto" w:before="2"/>
        <w:ind w:left="1599" w:right="0" w:hanging="340"/>
        <w:jc w:val="left"/>
        <w:rPr>
          <w:rFonts w:ascii="Arial" w:hAnsi="Arial"/>
          <w:sz w:val="19"/>
        </w:rPr>
      </w:pPr>
      <w:r>
        <w:rPr>
          <w:rFonts w:ascii="Arial" w:hAnsi="Arial"/>
          <w:i/>
          <w:color w:val="231F20"/>
          <w:w w:val="110"/>
          <w:sz w:val="19"/>
        </w:rPr>
        <w:t>The Basic Organizational Model</w:t>
      </w:r>
      <w:r>
        <w:rPr>
          <w:rFonts w:ascii="Arial" w:hAnsi="Arial"/>
          <w:i/>
          <w:color w:val="231F20"/>
          <w:spacing w:val="-39"/>
          <w:w w:val="110"/>
          <w:sz w:val="19"/>
        </w:rPr>
        <w:t> </w:t>
      </w:r>
      <w:r>
        <w:rPr>
          <w:rFonts w:ascii="Arial" w:hAnsi="Arial"/>
          <w:color w:val="231F20"/>
          <w:w w:val="110"/>
          <w:sz w:val="19"/>
        </w:rPr>
        <w:t>—</w:t>
      </w:r>
      <w:r>
        <w:rPr>
          <w:rFonts w:ascii="Arial" w:hAnsi="Arial"/>
          <w:color w:val="231F20"/>
          <w:spacing w:val="-39"/>
          <w:w w:val="110"/>
          <w:sz w:val="19"/>
        </w:rPr>
        <w:t> </w:t>
      </w:r>
      <w:r>
        <w:rPr>
          <w:rFonts w:ascii="Arial" w:hAnsi="Arial"/>
          <w:color w:val="231F20"/>
          <w:w w:val="110"/>
          <w:sz w:val="19"/>
        </w:rPr>
        <w:t>Strategy, policies, structure, </w:t>
      </w:r>
      <w:r>
        <w:rPr>
          <w:rFonts w:ascii="Arial" w:hAnsi="Arial"/>
          <w:color w:val="231F20"/>
          <w:w w:val="115"/>
          <w:sz w:val="19"/>
        </w:rPr>
        <w:t>systems, climate, and culture</w:t>
      </w:r>
    </w:p>
    <w:p>
      <w:pPr>
        <w:spacing w:before="1"/>
        <w:ind w:left="1259" w:right="0" w:firstLine="0"/>
        <w:jc w:val="left"/>
        <w:rPr>
          <w:rFonts w:ascii="Arial" w:hAnsi="Arial"/>
          <w:sz w:val="19"/>
        </w:rPr>
      </w:pPr>
      <w:r>
        <w:rPr>
          <w:rFonts w:ascii="Arial" w:hAnsi="Arial"/>
          <w:i/>
          <w:color w:val="231F20"/>
          <w:w w:val="110"/>
          <w:sz w:val="19"/>
        </w:rPr>
        <w:t>Structure</w:t>
      </w:r>
      <w:r>
        <w:rPr>
          <w:rFonts w:ascii="Arial" w:hAnsi="Arial"/>
          <w:i/>
          <w:color w:val="231F20"/>
          <w:spacing w:val="-38"/>
          <w:w w:val="110"/>
          <w:sz w:val="19"/>
        </w:rPr>
        <w:t> </w:t>
      </w:r>
      <w:r>
        <w:rPr>
          <w:rFonts w:ascii="Arial" w:hAnsi="Arial"/>
          <w:color w:val="231F20"/>
          <w:w w:val="110"/>
          <w:sz w:val="19"/>
        </w:rPr>
        <w:t>—The</w:t>
      </w:r>
      <w:r>
        <w:rPr>
          <w:rFonts w:ascii="Arial" w:hAnsi="Arial"/>
          <w:color w:val="231F20"/>
          <w:spacing w:val="3"/>
          <w:w w:val="110"/>
          <w:sz w:val="19"/>
        </w:rPr>
        <w:t> </w:t>
      </w:r>
      <w:r>
        <w:rPr>
          <w:rFonts w:ascii="Arial" w:hAnsi="Arial"/>
          <w:color w:val="231F20"/>
          <w:w w:val="110"/>
          <w:sz w:val="19"/>
        </w:rPr>
        <w:t>way</w:t>
      </w:r>
      <w:r>
        <w:rPr>
          <w:rFonts w:ascii="Arial" w:hAnsi="Arial"/>
          <w:color w:val="231F20"/>
          <w:spacing w:val="4"/>
          <w:w w:val="110"/>
          <w:sz w:val="19"/>
        </w:rPr>
        <w:t> </w:t>
      </w:r>
      <w:r>
        <w:rPr>
          <w:rFonts w:ascii="Arial" w:hAnsi="Arial"/>
          <w:color w:val="231F20"/>
          <w:w w:val="110"/>
          <w:sz w:val="19"/>
        </w:rPr>
        <w:t>a</w:t>
      </w:r>
      <w:r>
        <w:rPr>
          <w:rFonts w:ascii="Arial" w:hAnsi="Arial"/>
          <w:color w:val="231F20"/>
          <w:spacing w:val="3"/>
          <w:w w:val="110"/>
          <w:sz w:val="19"/>
        </w:rPr>
        <w:t> </w:t>
      </w:r>
      <w:r>
        <w:rPr>
          <w:rFonts w:ascii="Arial" w:hAnsi="Arial"/>
          <w:color w:val="231F20"/>
          <w:w w:val="110"/>
          <w:sz w:val="19"/>
        </w:rPr>
        <w:t>company</w:t>
      </w:r>
      <w:r>
        <w:rPr>
          <w:rFonts w:ascii="Arial" w:hAnsi="Arial"/>
          <w:color w:val="231F20"/>
          <w:spacing w:val="4"/>
          <w:w w:val="110"/>
          <w:sz w:val="19"/>
        </w:rPr>
        <w:t> </w:t>
      </w:r>
      <w:r>
        <w:rPr>
          <w:rFonts w:ascii="Arial" w:hAnsi="Arial"/>
          <w:color w:val="231F20"/>
          <w:w w:val="110"/>
          <w:sz w:val="19"/>
        </w:rPr>
        <w:t>organizes</w:t>
      </w:r>
      <w:r>
        <w:rPr>
          <w:rFonts w:ascii="Arial" w:hAnsi="Arial"/>
          <w:color w:val="231F20"/>
          <w:spacing w:val="4"/>
          <w:w w:val="110"/>
          <w:sz w:val="19"/>
        </w:rPr>
        <w:t> </w:t>
      </w:r>
      <w:r>
        <w:rPr>
          <w:rFonts w:ascii="Arial" w:hAnsi="Arial"/>
          <w:color w:val="231F20"/>
          <w:spacing w:val="-2"/>
          <w:w w:val="110"/>
          <w:sz w:val="19"/>
        </w:rPr>
        <w:t>itself</w:t>
      </w:r>
    </w:p>
    <w:p>
      <w:pPr>
        <w:spacing w:line="328" w:lineRule="auto" w:before="82"/>
        <w:ind w:left="1599" w:right="667" w:hanging="340"/>
        <w:jc w:val="left"/>
        <w:rPr>
          <w:rFonts w:ascii="Arial" w:hAnsi="Arial"/>
          <w:sz w:val="19"/>
        </w:rPr>
      </w:pPr>
      <w:r>
        <w:rPr>
          <w:rFonts w:ascii="Arial" w:hAnsi="Arial"/>
          <w:i/>
          <w:color w:val="231F20"/>
          <w:w w:val="115"/>
          <w:sz w:val="19"/>
        </w:rPr>
        <w:t>Span</w:t>
      </w:r>
      <w:r>
        <w:rPr>
          <w:rFonts w:ascii="Arial" w:hAnsi="Arial"/>
          <w:i/>
          <w:color w:val="231F20"/>
          <w:spacing w:val="-16"/>
          <w:w w:val="115"/>
          <w:sz w:val="19"/>
        </w:rPr>
        <w:t> </w:t>
      </w:r>
      <w:r>
        <w:rPr>
          <w:rFonts w:ascii="Arial" w:hAnsi="Arial"/>
          <w:i/>
          <w:color w:val="231F20"/>
          <w:w w:val="115"/>
          <w:sz w:val="19"/>
        </w:rPr>
        <w:t>of</w:t>
      </w:r>
      <w:r>
        <w:rPr>
          <w:rFonts w:ascii="Arial" w:hAnsi="Arial"/>
          <w:i/>
          <w:color w:val="231F20"/>
          <w:spacing w:val="-15"/>
          <w:w w:val="115"/>
          <w:sz w:val="19"/>
        </w:rPr>
        <w:t> </w:t>
      </w:r>
      <w:r>
        <w:rPr>
          <w:rFonts w:ascii="Arial" w:hAnsi="Arial"/>
          <w:i/>
          <w:color w:val="231F20"/>
          <w:w w:val="115"/>
          <w:sz w:val="19"/>
        </w:rPr>
        <w:t>Control</w:t>
      </w:r>
      <w:r>
        <w:rPr>
          <w:rFonts w:ascii="Arial" w:hAnsi="Arial"/>
          <w:color w:val="231F20"/>
          <w:w w:val="115"/>
          <w:sz w:val="19"/>
        </w:rPr>
        <w:t>—The</w:t>
      </w:r>
      <w:r>
        <w:rPr>
          <w:rFonts w:ascii="Arial" w:hAnsi="Arial"/>
          <w:color w:val="231F20"/>
          <w:spacing w:val="-15"/>
          <w:w w:val="115"/>
          <w:sz w:val="19"/>
        </w:rPr>
        <w:t> </w:t>
      </w:r>
      <w:r>
        <w:rPr>
          <w:rFonts w:ascii="Arial" w:hAnsi="Arial"/>
          <w:color w:val="231F20"/>
          <w:w w:val="115"/>
          <w:sz w:val="19"/>
        </w:rPr>
        <w:t>number</w:t>
      </w:r>
      <w:r>
        <w:rPr>
          <w:rFonts w:ascii="Arial" w:hAnsi="Arial"/>
          <w:color w:val="231F20"/>
          <w:spacing w:val="-15"/>
          <w:w w:val="115"/>
          <w:sz w:val="19"/>
        </w:rPr>
        <w:t> </w:t>
      </w:r>
      <w:r>
        <w:rPr>
          <w:rFonts w:ascii="Arial" w:hAnsi="Arial"/>
          <w:color w:val="231F20"/>
          <w:w w:val="115"/>
          <w:sz w:val="19"/>
        </w:rPr>
        <w:t>of</w:t>
      </w:r>
      <w:r>
        <w:rPr>
          <w:rFonts w:ascii="Arial" w:hAnsi="Arial"/>
          <w:color w:val="231F20"/>
          <w:spacing w:val="-15"/>
          <w:w w:val="115"/>
          <w:sz w:val="19"/>
        </w:rPr>
        <w:t> </w:t>
      </w:r>
      <w:r>
        <w:rPr>
          <w:rFonts w:ascii="Arial" w:hAnsi="Arial"/>
          <w:color w:val="231F20"/>
          <w:w w:val="115"/>
          <w:sz w:val="19"/>
        </w:rPr>
        <w:t>people</w:t>
      </w:r>
      <w:r>
        <w:rPr>
          <w:rFonts w:ascii="Arial" w:hAnsi="Arial"/>
          <w:color w:val="231F20"/>
          <w:spacing w:val="-16"/>
          <w:w w:val="115"/>
          <w:sz w:val="19"/>
        </w:rPr>
        <w:t> </w:t>
      </w:r>
      <w:r>
        <w:rPr>
          <w:rFonts w:ascii="Arial" w:hAnsi="Arial"/>
          <w:color w:val="231F20"/>
          <w:w w:val="115"/>
          <w:sz w:val="19"/>
        </w:rPr>
        <w:t>a</w:t>
      </w:r>
      <w:r>
        <w:rPr>
          <w:rFonts w:ascii="Arial" w:hAnsi="Arial"/>
          <w:color w:val="231F20"/>
          <w:spacing w:val="-15"/>
          <w:w w:val="115"/>
          <w:sz w:val="19"/>
        </w:rPr>
        <w:t> </w:t>
      </w:r>
      <w:r>
        <w:rPr>
          <w:rFonts w:ascii="Arial" w:hAnsi="Arial"/>
          <w:color w:val="231F20"/>
          <w:w w:val="115"/>
          <w:sz w:val="19"/>
        </w:rPr>
        <w:t>manager</w:t>
      </w:r>
      <w:r>
        <w:rPr>
          <w:rFonts w:ascii="Arial" w:hAnsi="Arial"/>
          <w:color w:val="231F20"/>
          <w:spacing w:val="-15"/>
          <w:w w:val="115"/>
          <w:sz w:val="19"/>
        </w:rPr>
        <w:t> </w:t>
      </w:r>
      <w:r>
        <w:rPr>
          <w:rFonts w:ascii="Arial" w:hAnsi="Arial"/>
          <w:color w:val="231F20"/>
          <w:w w:val="115"/>
          <w:sz w:val="19"/>
        </w:rPr>
        <w:t>directly </w:t>
      </w:r>
      <w:r>
        <w:rPr>
          <w:rFonts w:ascii="Arial" w:hAnsi="Arial"/>
          <w:color w:val="231F20"/>
          <w:spacing w:val="-2"/>
          <w:w w:val="115"/>
          <w:sz w:val="19"/>
        </w:rPr>
        <w:t>controls</w:t>
      </w:r>
    </w:p>
    <w:p>
      <w:pPr>
        <w:spacing w:before="1"/>
        <w:ind w:left="1259" w:right="0" w:firstLine="0"/>
        <w:jc w:val="left"/>
        <w:rPr>
          <w:rFonts w:ascii="Arial" w:hAnsi="Arial"/>
          <w:sz w:val="19"/>
        </w:rPr>
      </w:pPr>
      <w:r>
        <w:rPr>
          <w:rFonts w:ascii="Arial" w:hAnsi="Arial"/>
          <w:i/>
          <w:color w:val="231F20"/>
          <w:w w:val="115"/>
          <w:sz w:val="19"/>
        </w:rPr>
        <w:t>Paradigm</w:t>
      </w:r>
      <w:r>
        <w:rPr>
          <w:rFonts w:ascii="Arial" w:hAnsi="Arial"/>
          <w:i/>
          <w:color w:val="231F20"/>
          <w:spacing w:val="-42"/>
          <w:w w:val="115"/>
          <w:sz w:val="19"/>
        </w:rPr>
        <w:t> </w:t>
      </w:r>
      <w:r>
        <w:rPr>
          <w:rFonts w:ascii="Arial" w:hAnsi="Arial"/>
          <w:color w:val="231F20"/>
          <w:spacing w:val="11"/>
          <w:w w:val="115"/>
          <w:sz w:val="19"/>
        </w:rPr>
        <w:t>—</w:t>
      </w:r>
      <w:r>
        <w:rPr>
          <w:rFonts w:ascii="Arial" w:hAnsi="Arial"/>
          <w:color w:val="231F20"/>
          <w:w w:val="115"/>
          <w:sz w:val="19"/>
        </w:rPr>
        <w:t>A</w:t>
      </w:r>
      <w:r>
        <w:rPr>
          <w:rFonts w:ascii="Arial" w:hAnsi="Arial"/>
          <w:color w:val="231F20"/>
          <w:spacing w:val="-12"/>
          <w:w w:val="115"/>
          <w:sz w:val="19"/>
        </w:rPr>
        <w:t> </w:t>
      </w:r>
      <w:r>
        <w:rPr>
          <w:rFonts w:ascii="Arial" w:hAnsi="Arial"/>
          <w:color w:val="231F20"/>
          <w:w w:val="115"/>
          <w:sz w:val="19"/>
        </w:rPr>
        <w:t>corporate</w:t>
      </w:r>
      <w:r>
        <w:rPr>
          <w:rFonts w:ascii="Arial" w:hAnsi="Arial"/>
          <w:color w:val="231F20"/>
          <w:spacing w:val="-10"/>
          <w:w w:val="115"/>
          <w:sz w:val="19"/>
        </w:rPr>
        <w:t> </w:t>
      </w:r>
      <w:r>
        <w:rPr>
          <w:rFonts w:ascii="Arial" w:hAnsi="Arial"/>
          <w:color w:val="231F20"/>
          <w:w w:val="115"/>
          <w:sz w:val="19"/>
        </w:rPr>
        <w:t>mind-set</w:t>
      </w:r>
      <w:r>
        <w:rPr>
          <w:rFonts w:ascii="Arial" w:hAnsi="Arial"/>
          <w:color w:val="231F20"/>
          <w:spacing w:val="-10"/>
          <w:w w:val="115"/>
          <w:sz w:val="19"/>
        </w:rPr>
        <w:t> </w:t>
      </w:r>
      <w:r>
        <w:rPr>
          <w:rFonts w:ascii="Arial" w:hAnsi="Arial"/>
          <w:color w:val="231F20"/>
          <w:w w:val="115"/>
          <w:sz w:val="19"/>
        </w:rPr>
        <w:t>or</w:t>
      </w:r>
      <w:r>
        <w:rPr>
          <w:rFonts w:ascii="Arial" w:hAnsi="Arial"/>
          <w:color w:val="231F20"/>
          <w:spacing w:val="-9"/>
          <w:w w:val="115"/>
          <w:sz w:val="19"/>
        </w:rPr>
        <w:t> </w:t>
      </w:r>
      <w:r>
        <w:rPr>
          <w:rFonts w:ascii="Arial" w:hAnsi="Arial"/>
          <w:color w:val="231F20"/>
          <w:w w:val="115"/>
          <w:sz w:val="19"/>
        </w:rPr>
        <w:t>pattern</w:t>
      </w:r>
      <w:r>
        <w:rPr>
          <w:rFonts w:ascii="Arial" w:hAnsi="Arial"/>
          <w:color w:val="231F20"/>
          <w:spacing w:val="-10"/>
          <w:w w:val="115"/>
          <w:sz w:val="19"/>
        </w:rPr>
        <w:t> </w:t>
      </w:r>
      <w:r>
        <w:rPr>
          <w:rFonts w:ascii="Arial" w:hAnsi="Arial"/>
          <w:color w:val="231F20"/>
          <w:w w:val="115"/>
          <w:sz w:val="19"/>
        </w:rPr>
        <w:t>of</w:t>
      </w:r>
      <w:r>
        <w:rPr>
          <w:rFonts w:ascii="Arial" w:hAnsi="Arial"/>
          <w:color w:val="231F20"/>
          <w:spacing w:val="-9"/>
          <w:w w:val="115"/>
          <w:sz w:val="19"/>
        </w:rPr>
        <w:t> </w:t>
      </w:r>
      <w:r>
        <w:rPr>
          <w:rFonts w:ascii="Arial" w:hAnsi="Arial"/>
          <w:color w:val="231F20"/>
          <w:w w:val="115"/>
          <w:sz w:val="19"/>
        </w:rPr>
        <w:t>doing</w:t>
      </w:r>
      <w:r>
        <w:rPr>
          <w:rFonts w:ascii="Arial" w:hAnsi="Arial"/>
          <w:color w:val="231F20"/>
          <w:spacing w:val="-10"/>
          <w:w w:val="115"/>
          <w:sz w:val="19"/>
        </w:rPr>
        <w:t> </w:t>
      </w:r>
      <w:r>
        <w:rPr>
          <w:rFonts w:ascii="Arial" w:hAnsi="Arial"/>
          <w:color w:val="231F20"/>
          <w:spacing w:val="-2"/>
          <w:w w:val="115"/>
          <w:sz w:val="19"/>
        </w:rPr>
        <w:t>things</w:t>
      </w:r>
    </w:p>
    <w:p>
      <w:pPr>
        <w:spacing w:before="81"/>
        <w:ind w:left="1259" w:right="0" w:firstLine="0"/>
        <w:jc w:val="left"/>
        <w:rPr>
          <w:rFonts w:ascii="Arial" w:hAnsi="Arial"/>
          <w:sz w:val="19"/>
        </w:rPr>
      </w:pPr>
      <w:r>
        <w:rPr>
          <w:rFonts w:ascii="Arial" w:hAnsi="Arial"/>
          <w:i/>
          <w:color w:val="231F20"/>
          <w:w w:val="110"/>
          <w:sz w:val="19"/>
        </w:rPr>
        <w:t>Systems</w:t>
      </w:r>
      <w:r>
        <w:rPr>
          <w:rFonts w:ascii="Arial" w:hAnsi="Arial"/>
          <w:i/>
          <w:color w:val="231F20"/>
          <w:spacing w:val="4"/>
          <w:w w:val="110"/>
          <w:sz w:val="19"/>
        </w:rPr>
        <w:t> </w:t>
      </w:r>
      <w:r>
        <w:rPr>
          <w:rFonts w:ascii="Arial" w:hAnsi="Arial"/>
          <w:i/>
          <w:color w:val="231F20"/>
          <w:w w:val="110"/>
          <w:sz w:val="19"/>
        </w:rPr>
        <w:t>Theory</w:t>
      </w:r>
      <w:r>
        <w:rPr>
          <w:rFonts w:ascii="Arial" w:hAnsi="Arial"/>
          <w:i/>
          <w:color w:val="231F20"/>
          <w:spacing w:val="-38"/>
          <w:w w:val="110"/>
          <w:sz w:val="19"/>
        </w:rPr>
        <w:t> </w:t>
      </w:r>
      <w:r>
        <w:rPr>
          <w:rFonts w:ascii="Arial" w:hAnsi="Arial"/>
          <w:color w:val="231F20"/>
          <w:spacing w:val="11"/>
          <w:w w:val="110"/>
          <w:sz w:val="19"/>
        </w:rPr>
        <w:t>—</w:t>
      </w:r>
      <w:r>
        <w:rPr>
          <w:rFonts w:ascii="Arial" w:hAnsi="Arial"/>
          <w:color w:val="231F20"/>
          <w:w w:val="110"/>
          <w:sz w:val="19"/>
        </w:rPr>
        <w:t>An</w:t>
      </w:r>
      <w:r>
        <w:rPr>
          <w:rFonts w:ascii="Arial" w:hAnsi="Arial"/>
          <w:color w:val="231F20"/>
          <w:spacing w:val="5"/>
          <w:w w:val="110"/>
          <w:sz w:val="19"/>
        </w:rPr>
        <w:t> </w:t>
      </w:r>
      <w:r>
        <w:rPr>
          <w:rFonts w:ascii="Arial" w:hAnsi="Arial"/>
          <w:color w:val="231F20"/>
          <w:w w:val="110"/>
          <w:sz w:val="19"/>
        </w:rPr>
        <w:t>organization</w:t>
      </w:r>
      <w:r>
        <w:rPr>
          <w:rFonts w:ascii="Arial" w:hAnsi="Arial"/>
          <w:color w:val="231F20"/>
          <w:spacing w:val="4"/>
          <w:w w:val="110"/>
          <w:sz w:val="19"/>
        </w:rPr>
        <w:t> </w:t>
      </w:r>
      <w:r>
        <w:rPr>
          <w:rFonts w:ascii="Arial" w:hAnsi="Arial"/>
          <w:color w:val="231F20"/>
          <w:w w:val="110"/>
          <w:sz w:val="19"/>
        </w:rPr>
        <w:t>functions</w:t>
      </w:r>
      <w:r>
        <w:rPr>
          <w:rFonts w:ascii="Arial" w:hAnsi="Arial"/>
          <w:color w:val="231F20"/>
          <w:spacing w:val="4"/>
          <w:w w:val="110"/>
          <w:sz w:val="19"/>
        </w:rPr>
        <w:t> </w:t>
      </w:r>
      <w:r>
        <w:rPr>
          <w:rFonts w:ascii="Arial" w:hAnsi="Arial"/>
          <w:color w:val="231F20"/>
          <w:w w:val="110"/>
          <w:sz w:val="19"/>
        </w:rPr>
        <w:t>much</w:t>
      </w:r>
      <w:r>
        <w:rPr>
          <w:rFonts w:ascii="Arial" w:hAnsi="Arial"/>
          <w:color w:val="231F20"/>
          <w:spacing w:val="5"/>
          <w:w w:val="110"/>
          <w:sz w:val="19"/>
        </w:rPr>
        <w:t> </w:t>
      </w:r>
      <w:r>
        <w:rPr>
          <w:rFonts w:ascii="Arial" w:hAnsi="Arial"/>
          <w:color w:val="231F20"/>
          <w:w w:val="110"/>
          <w:sz w:val="19"/>
        </w:rPr>
        <w:t>like</w:t>
      </w:r>
      <w:r>
        <w:rPr>
          <w:rFonts w:ascii="Arial" w:hAnsi="Arial"/>
          <w:color w:val="231F20"/>
          <w:spacing w:val="4"/>
          <w:w w:val="110"/>
          <w:sz w:val="19"/>
        </w:rPr>
        <w:t> </w:t>
      </w:r>
      <w:r>
        <w:rPr>
          <w:rFonts w:ascii="Arial" w:hAnsi="Arial"/>
          <w:color w:val="231F20"/>
          <w:w w:val="110"/>
          <w:sz w:val="19"/>
        </w:rPr>
        <w:t>a</w:t>
      </w:r>
      <w:r>
        <w:rPr>
          <w:rFonts w:ascii="Arial" w:hAnsi="Arial"/>
          <w:color w:val="231F20"/>
          <w:spacing w:val="5"/>
          <w:w w:val="110"/>
          <w:sz w:val="19"/>
        </w:rPr>
        <w:t> </w:t>
      </w:r>
      <w:r>
        <w:rPr>
          <w:rFonts w:ascii="Arial" w:hAnsi="Arial"/>
          <w:color w:val="231F20"/>
          <w:spacing w:val="-2"/>
          <w:w w:val="110"/>
          <w:sz w:val="19"/>
        </w:rPr>
        <w:t>body.</w:t>
      </w:r>
    </w:p>
    <w:p>
      <w:pPr>
        <w:spacing w:line="328" w:lineRule="auto" w:before="82"/>
        <w:ind w:left="1599" w:right="667" w:hanging="340"/>
        <w:jc w:val="left"/>
        <w:rPr>
          <w:rFonts w:ascii="Arial" w:hAnsi="Arial"/>
          <w:sz w:val="19"/>
        </w:rPr>
      </w:pPr>
      <w:r>
        <w:rPr>
          <w:rFonts w:ascii="Arial" w:hAnsi="Arial"/>
          <w:i/>
          <w:color w:val="231F20"/>
          <w:w w:val="110"/>
          <w:sz w:val="19"/>
        </w:rPr>
        <w:t>The Evolution and Revolution Pattern</w:t>
      </w:r>
      <w:r>
        <w:rPr>
          <w:rFonts w:ascii="Arial" w:hAnsi="Arial"/>
          <w:i/>
          <w:color w:val="231F20"/>
          <w:spacing w:val="-28"/>
          <w:w w:val="110"/>
          <w:sz w:val="19"/>
        </w:rPr>
        <w:t> </w:t>
      </w:r>
      <w:r>
        <w:rPr>
          <w:rFonts w:ascii="Arial" w:hAnsi="Arial"/>
          <w:color w:val="231F20"/>
          <w:w w:val="110"/>
          <w:sz w:val="19"/>
        </w:rPr>
        <w:t>—</w:t>
      </w:r>
      <w:r>
        <w:rPr>
          <w:rFonts w:ascii="Arial" w:hAnsi="Arial"/>
          <w:color w:val="231F20"/>
          <w:spacing w:val="-26"/>
          <w:w w:val="110"/>
          <w:sz w:val="19"/>
        </w:rPr>
        <w:t> </w:t>
      </w:r>
      <w:r>
        <w:rPr>
          <w:rFonts w:ascii="Arial" w:hAnsi="Arial"/>
          <w:color w:val="231F20"/>
          <w:w w:val="110"/>
          <w:sz w:val="19"/>
        </w:rPr>
        <w:t>Organizations go through a series of growth and crisis periods during </w:t>
      </w:r>
      <w:r>
        <w:rPr>
          <w:rFonts w:ascii="Arial" w:hAnsi="Arial"/>
          <w:color w:val="231F20"/>
          <w:w w:val="110"/>
          <w:sz w:val="19"/>
        </w:rPr>
        <w:t>their </w:t>
      </w:r>
      <w:r>
        <w:rPr>
          <w:rFonts w:ascii="Arial" w:hAnsi="Arial"/>
          <w:color w:val="231F20"/>
          <w:spacing w:val="-2"/>
          <w:w w:val="110"/>
          <w:sz w:val="19"/>
        </w:rPr>
        <w:t>lifetimes.</w:t>
      </w:r>
    </w:p>
    <w:p>
      <w:pPr>
        <w:spacing w:after="0" w:line="328" w:lineRule="auto"/>
        <w:jc w:val="left"/>
        <w:rPr>
          <w:rFonts w:ascii="Arial" w:hAnsi="Arial"/>
          <w:sz w:val="19"/>
        </w:rPr>
        <w:sectPr>
          <w:pgSz w:w="8640" w:h="12960"/>
          <w:pgMar w:header="734" w:footer="0" w:top="920" w:bottom="280" w:left="340" w:right="50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9"/>
        </w:rPr>
      </w:pPr>
    </w:p>
    <w:p>
      <w:pPr>
        <w:spacing w:before="86"/>
        <w:ind w:left="289" w:right="219" w:firstLine="0"/>
        <w:jc w:val="center"/>
        <w:rPr>
          <w:b/>
          <w:i/>
          <w:sz w:val="40"/>
        </w:rPr>
      </w:pPr>
      <w:bookmarkStart w:name="Day 5" w:id="17"/>
      <w:bookmarkEnd w:id="17"/>
      <w:r>
        <w:rPr/>
      </w:r>
      <w:bookmarkStart w:name="_bookmark8" w:id="18"/>
      <w:bookmarkEnd w:id="18"/>
      <w:r>
        <w:rPr/>
      </w:r>
      <w:hyperlink w:history="true" w:anchor="_bookmark1">
        <w:r>
          <w:rPr>
            <w:b/>
            <w:i/>
            <w:color w:val="0000FF"/>
            <w:spacing w:val="12"/>
            <w:sz w:val="40"/>
          </w:rPr>
          <w:t>Day</w:t>
        </w:r>
        <w:r>
          <w:rPr>
            <w:b/>
            <w:i/>
            <w:color w:val="0000FF"/>
            <w:spacing w:val="68"/>
            <w:sz w:val="40"/>
          </w:rPr>
          <w:t> </w:t>
        </w:r>
        <w:r>
          <w:rPr>
            <w:b/>
            <w:i/>
            <w:color w:val="0000FF"/>
            <w:spacing w:val="-10"/>
            <w:sz w:val="40"/>
          </w:rPr>
          <w:t>5</w:t>
        </w:r>
      </w:hyperlink>
    </w:p>
    <w:p>
      <w:pPr>
        <w:pStyle w:val="BodyText"/>
        <w:spacing w:before="10"/>
        <w:rPr>
          <w:b/>
          <w:i/>
          <w:sz w:val="10"/>
        </w:rPr>
      </w:pPr>
      <w:r>
        <w:rPr/>
        <w:pict>
          <v:shape style="position:absolute;margin-left:175.75pt;margin-top:7.583056pt;width:76pt;height:.1pt;mso-position-horizontal-relative:page;mso-position-vertical-relative:paragraph;z-index:-15641600;mso-wrap-distance-left:0;mso-wrap-distance-right:0" id="docshape238" coordorigin="3515,152" coordsize="1520,0" path="m3515,152l5035,152e" filled="false" stroked="true" strokeweight="6pt" strokecolor="#d1d3d4">
            <v:path arrowok="t"/>
            <v:stroke dashstyle="solid"/>
            <w10:wrap type="topAndBottom"/>
          </v:shape>
        </w:pict>
      </w:r>
    </w:p>
    <w:p>
      <w:pPr>
        <w:pStyle w:val="Heading1"/>
        <w:ind w:left="258" w:right="147"/>
      </w:pPr>
      <w:r>
        <w:rPr>
          <w:color w:val="231F20"/>
          <w:spacing w:val="32"/>
          <w:w w:val="80"/>
        </w:rPr>
        <w:t>QUANTITATIVE</w:t>
      </w:r>
      <w:r>
        <w:rPr>
          <w:color w:val="231F20"/>
          <w:spacing w:val="48"/>
          <w:w w:val="150"/>
        </w:rPr>
        <w:t> </w:t>
      </w:r>
      <w:r>
        <w:rPr>
          <w:color w:val="231F20"/>
          <w:spacing w:val="35"/>
          <w:w w:val="95"/>
        </w:rPr>
        <w:t>ANALYSIS</w:t>
      </w:r>
    </w:p>
    <w:p>
      <w:pPr>
        <w:pStyle w:val="BodyText"/>
        <w:spacing w:before="6"/>
        <w:rPr>
          <w:rFonts w:ascii="Trebuchet MS"/>
          <w:sz w:val="78"/>
        </w:rPr>
      </w:pPr>
    </w:p>
    <w:p>
      <w:pPr>
        <w:pStyle w:val="Heading5"/>
        <w:rPr>
          <w:i/>
        </w:rPr>
      </w:pPr>
      <w:r>
        <w:rPr>
          <w:i/>
          <w:color w:val="231F20"/>
          <w:spacing w:val="10"/>
          <w:w w:val="90"/>
        </w:rPr>
        <w:t>Quantitative</w:t>
      </w:r>
      <w:r>
        <w:rPr>
          <w:i/>
          <w:color w:val="231F20"/>
          <w:spacing w:val="54"/>
        </w:rPr>
        <w:t> </w:t>
      </w:r>
      <w:r>
        <w:rPr>
          <w:i/>
          <w:color w:val="231F20"/>
          <w:spacing w:val="9"/>
          <w:w w:val="90"/>
        </w:rPr>
        <w:t>Analysis</w:t>
      </w:r>
      <w:r>
        <w:rPr>
          <w:i/>
          <w:color w:val="231F20"/>
          <w:spacing w:val="54"/>
        </w:rPr>
        <w:t> </w:t>
      </w:r>
      <w:r>
        <w:rPr>
          <w:i/>
          <w:color w:val="231F20"/>
          <w:spacing w:val="-2"/>
          <w:w w:val="90"/>
        </w:rPr>
        <w:t>Topics</w:t>
      </w:r>
    </w:p>
    <w:p>
      <w:pPr>
        <w:spacing w:line="328" w:lineRule="auto" w:before="71"/>
        <w:ind w:left="1170" w:right="4403" w:firstLine="0"/>
        <w:jc w:val="left"/>
        <w:rPr>
          <w:rFonts w:ascii="Arial"/>
          <w:sz w:val="19"/>
        </w:rPr>
      </w:pPr>
      <w:r>
        <w:rPr>
          <w:rFonts w:ascii="Arial"/>
          <w:color w:val="808285"/>
          <w:spacing w:val="-2"/>
          <w:w w:val="115"/>
          <w:sz w:val="19"/>
        </w:rPr>
        <w:t>Decision</w:t>
      </w:r>
      <w:r>
        <w:rPr>
          <w:rFonts w:ascii="Arial"/>
          <w:color w:val="808285"/>
          <w:spacing w:val="-14"/>
          <w:w w:val="115"/>
          <w:sz w:val="19"/>
        </w:rPr>
        <w:t> </w:t>
      </w:r>
      <w:r>
        <w:rPr>
          <w:rFonts w:ascii="Arial"/>
          <w:color w:val="808285"/>
          <w:spacing w:val="-2"/>
          <w:w w:val="115"/>
          <w:sz w:val="19"/>
        </w:rPr>
        <w:t>Tree</w:t>
      </w:r>
      <w:r>
        <w:rPr>
          <w:rFonts w:ascii="Arial"/>
          <w:color w:val="808285"/>
          <w:spacing w:val="-13"/>
          <w:w w:val="115"/>
          <w:sz w:val="19"/>
        </w:rPr>
        <w:t> </w:t>
      </w:r>
      <w:r>
        <w:rPr>
          <w:rFonts w:ascii="Arial"/>
          <w:color w:val="808285"/>
          <w:spacing w:val="-2"/>
          <w:w w:val="115"/>
          <w:sz w:val="19"/>
        </w:rPr>
        <w:t>Analysis </w:t>
      </w:r>
      <w:r>
        <w:rPr>
          <w:rFonts w:ascii="Arial"/>
          <w:color w:val="808285"/>
          <w:w w:val="115"/>
          <w:sz w:val="19"/>
        </w:rPr>
        <w:t>Cash Flow Analysis Net Present Value Probability Theory</w:t>
      </w:r>
    </w:p>
    <w:p>
      <w:pPr>
        <w:spacing w:before="3"/>
        <w:ind w:left="1170" w:right="0" w:firstLine="0"/>
        <w:jc w:val="left"/>
        <w:rPr>
          <w:rFonts w:ascii="Arial"/>
          <w:sz w:val="19"/>
        </w:rPr>
      </w:pPr>
      <w:r>
        <w:rPr>
          <w:rFonts w:ascii="Arial"/>
          <w:color w:val="808285"/>
          <w:spacing w:val="-2"/>
          <w:w w:val="115"/>
          <w:sz w:val="19"/>
        </w:rPr>
        <w:t>Regression Analysis and Forecasting</w:t>
      </w:r>
    </w:p>
    <w:p>
      <w:pPr>
        <w:pStyle w:val="BodyText"/>
        <w:rPr>
          <w:rFonts w:ascii="Arial"/>
          <w:sz w:val="20"/>
        </w:rPr>
      </w:pPr>
    </w:p>
    <w:p>
      <w:pPr>
        <w:pStyle w:val="BodyText"/>
        <w:spacing w:line="292" w:lineRule="auto" w:before="135"/>
        <w:ind w:left="829" w:right="756" w:firstLine="355"/>
        <w:jc w:val="right"/>
      </w:pPr>
      <w:r>
        <w:rPr/>
        <w:pict>
          <v:shape style="position:absolute;margin-left:58.5pt;margin-top:-.763862pt;width:17.8pt;height:40.050pt;mso-position-horizontal-relative:page;mso-position-vertical-relative:paragraph;z-index:-25141760" type="#_x0000_t202" id="docshape239" filled="false" stroked="false">
            <v:textbox inset="0,0,0,0">
              <w:txbxContent>
                <w:p>
                  <w:pPr>
                    <w:spacing w:line="789" w:lineRule="exact" w:before="11"/>
                    <w:ind w:left="0" w:right="0" w:firstLine="0"/>
                    <w:jc w:val="left"/>
                    <w:rPr>
                      <w:rFonts w:ascii="Trebuchet MS"/>
                      <w:sz w:val="68"/>
                    </w:rPr>
                  </w:pPr>
                  <w:r>
                    <w:rPr>
                      <w:rFonts w:ascii="Trebuchet MS"/>
                      <w:color w:val="808285"/>
                      <w:w w:val="77"/>
                      <w:sz w:val="68"/>
                    </w:rPr>
                    <w:t>Q</w:t>
                  </w:r>
                </w:p>
              </w:txbxContent>
            </v:textbox>
            <w10:wrap type="none"/>
          </v:shape>
        </w:pict>
      </w:r>
      <w:r>
        <w:rPr>
          <w:color w:val="231F20"/>
        </w:rPr>
        <w:t>uantitative</w:t>
      </w:r>
      <w:r>
        <w:rPr>
          <w:color w:val="231F20"/>
          <w:spacing w:val="32"/>
        </w:rPr>
        <w:t> </w:t>
      </w:r>
      <w:r>
        <w:rPr>
          <w:color w:val="231F20"/>
        </w:rPr>
        <w:t>analysis</w:t>
      </w:r>
      <w:r>
        <w:rPr>
          <w:color w:val="231F20"/>
          <w:spacing w:val="32"/>
        </w:rPr>
        <w:t> </w:t>
      </w:r>
      <w:r>
        <w:rPr>
          <w:color w:val="231F20"/>
        </w:rPr>
        <w:t>(QA)</w:t>
      </w:r>
      <w:r>
        <w:rPr>
          <w:color w:val="231F20"/>
          <w:spacing w:val="32"/>
        </w:rPr>
        <w:t> </w:t>
      </w:r>
      <w:r>
        <w:rPr>
          <w:color w:val="231F20"/>
        </w:rPr>
        <w:t>is</w:t>
      </w:r>
      <w:r>
        <w:rPr>
          <w:color w:val="231F20"/>
          <w:spacing w:val="32"/>
        </w:rPr>
        <w:t> </w:t>
      </w:r>
      <w:r>
        <w:rPr>
          <w:color w:val="231F20"/>
        </w:rPr>
        <w:t>probably</w:t>
      </w:r>
      <w:r>
        <w:rPr>
          <w:color w:val="231F20"/>
          <w:spacing w:val="32"/>
        </w:rPr>
        <w:t> </w:t>
      </w:r>
      <w:r>
        <w:rPr>
          <w:color w:val="231F20"/>
        </w:rPr>
        <w:t>the</w:t>
      </w:r>
      <w:r>
        <w:rPr>
          <w:color w:val="231F20"/>
          <w:spacing w:val="32"/>
        </w:rPr>
        <w:t> </w:t>
      </w:r>
      <w:r>
        <w:rPr>
          <w:color w:val="231F20"/>
        </w:rPr>
        <w:t>most</w:t>
      </w:r>
      <w:r>
        <w:rPr>
          <w:color w:val="231F20"/>
          <w:spacing w:val="32"/>
        </w:rPr>
        <w:t> </w:t>
      </w:r>
      <w:r>
        <w:rPr>
          <w:color w:val="231F20"/>
        </w:rPr>
        <w:t>challenging</w:t>
      </w:r>
      <w:r>
        <w:rPr>
          <w:color w:val="231F20"/>
          <w:spacing w:val="32"/>
        </w:rPr>
        <w:t> </w:t>
      </w:r>
      <w:r>
        <w:rPr>
          <w:color w:val="231F20"/>
        </w:rPr>
        <w:t>and most</w:t>
      </w:r>
      <w:r>
        <w:rPr>
          <w:color w:val="231F20"/>
          <w:spacing w:val="40"/>
        </w:rPr>
        <w:t> </w:t>
      </w:r>
      <w:r>
        <w:rPr>
          <w:color w:val="231F20"/>
        </w:rPr>
        <w:t>important</w:t>
      </w:r>
      <w:r>
        <w:rPr>
          <w:color w:val="231F20"/>
          <w:spacing w:val="40"/>
        </w:rPr>
        <w:t> </w:t>
      </w:r>
      <w:r>
        <w:rPr>
          <w:color w:val="231F20"/>
        </w:rPr>
        <w:t>course</w:t>
      </w:r>
      <w:r>
        <w:rPr>
          <w:color w:val="231F20"/>
          <w:spacing w:val="40"/>
        </w:rPr>
        <w:t> </w:t>
      </w:r>
      <w:r>
        <w:rPr>
          <w:color w:val="231F20"/>
        </w:rPr>
        <w:t>in</w:t>
      </w:r>
      <w:r>
        <w:rPr>
          <w:color w:val="231F20"/>
          <w:spacing w:val="40"/>
        </w:rPr>
        <w:t> </w:t>
      </w:r>
      <w:r>
        <w:rPr>
          <w:color w:val="231F20"/>
        </w:rPr>
        <w:t>the</w:t>
      </w:r>
      <w:r>
        <w:rPr>
          <w:color w:val="231F20"/>
          <w:spacing w:val="40"/>
        </w:rPr>
        <w:t> </w:t>
      </w:r>
      <w:r>
        <w:rPr>
          <w:color w:val="231F20"/>
        </w:rPr>
        <w:t>MBA</w:t>
      </w:r>
      <w:r>
        <w:rPr>
          <w:color w:val="231F20"/>
          <w:spacing w:val="40"/>
        </w:rPr>
        <w:t> </w:t>
      </w:r>
      <w:r>
        <w:rPr>
          <w:color w:val="231F20"/>
        </w:rPr>
        <w:t>curriculum.</w:t>
      </w:r>
      <w:r>
        <w:rPr>
          <w:color w:val="231F20"/>
          <w:spacing w:val="40"/>
        </w:rPr>
        <w:t> </w:t>
      </w:r>
      <w:r>
        <w:rPr>
          <w:color w:val="231F20"/>
        </w:rPr>
        <w:t>It</w:t>
      </w:r>
      <w:r>
        <w:rPr>
          <w:color w:val="231F20"/>
          <w:spacing w:val="40"/>
        </w:rPr>
        <w:t> </w:t>
      </w:r>
      <w:r>
        <w:rPr>
          <w:color w:val="231F20"/>
        </w:rPr>
        <w:t>provides</w:t>
      </w:r>
      <w:r>
        <w:rPr>
          <w:color w:val="231F20"/>
          <w:spacing w:val="40"/>
        </w:rPr>
        <w:t> </w:t>
      </w:r>
      <w:r>
        <w:rPr>
          <w:color w:val="231F20"/>
        </w:rPr>
        <w:t>the basic</w:t>
      </w:r>
      <w:r>
        <w:rPr>
          <w:color w:val="231F20"/>
          <w:spacing w:val="38"/>
        </w:rPr>
        <w:t> </w:t>
      </w:r>
      <w:r>
        <w:rPr>
          <w:color w:val="231F20"/>
        </w:rPr>
        <w:t>tools</w:t>
      </w:r>
      <w:r>
        <w:rPr>
          <w:color w:val="231F20"/>
          <w:spacing w:val="38"/>
        </w:rPr>
        <w:t> </w:t>
      </w:r>
      <w:r>
        <w:rPr>
          <w:color w:val="231F20"/>
        </w:rPr>
        <w:t>principally</w:t>
      </w:r>
      <w:r>
        <w:rPr>
          <w:color w:val="231F20"/>
          <w:spacing w:val="38"/>
        </w:rPr>
        <w:t> </w:t>
      </w:r>
      <w:r>
        <w:rPr>
          <w:color w:val="231F20"/>
        </w:rPr>
        <w:t>used</w:t>
      </w:r>
      <w:r>
        <w:rPr>
          <w:color w:val="231F20"/>
          <w:spacing w:val="38"/>
        </w:rPr>
        <w:t> </w:t>
      </w:r>
      <w:r>
        <w:rPr>
          <w:color w:val="231F20"/>
        </w:rPr>
        <w:t>in</w:t>
      </w:r>
      <w:r>
        <w:rPr>
          <w:color w:val="231F20"/>
          <w:spacing w:val="38"/>
        </w:rPr>
        <w:t> </w:t>
      </w:r>
      <w:r>
        <w:rPr>
          <w:color w:val="231F20"/>
        </w:rPr>
        <w:t>finance,</w:t>
      </w:r>
      <w:r>
        <w:rPr>
          <w:color w:val="231F20"/>
          <w:spacing w:val="38"/>
        </w:rPr>
        <w:t> </w:t>
      </w:r>
      <w:r>
        <w:rPr>
          <w:color w:val="231F20"/>
        </w:rPr>
        <w:t>accounting,</w:t>
      </w:r>
      <w:r>
        <w:rPr>
          <w:color w:val="231F20"/>
          <w:spacing w:val="38"/>
        </w:rPr>
        <w:t> </w:t>
      </w:r>
      <w:r>
        <w:rPr>
          <w:color w:val="231F20"/>
        </w:rPr>
        <w:t>marketing,</w:t>
      </w:r>
      <w:r>
        <w:rPr>
          <w:color w:val="231F20"/>
          <w:spacing w:val="38"/>
        </w:rPr>
        <w:t> </w:t>
      </w:r>
      <w:r>
        <w:rPr>
          <w:color w:val="231F20"/>
        </w:rPr>
        <w:t>and operations. Therefore, these pages are not to be skipped over simply because</w:t>
      </w:r>
      <w:r>
        <w:rPr>
          <w:color w:val="231F20"/>
          <w:spacing w:val="7"/>
        </w:rPr>
        <w:t> </w:t>
      </w:r>
      <w:r>
        <w:rPr>
          <w:color w:val="231F20"/>
        </w:rPr>
        <w:t>you</w:t>
      </w:r>
      <w:r>
        <w:rPr>
          <w:color w:val="231F20"/>
          <w:spacing w:val="7"/>
        </w:rPr>
        <w:t> </w:t>
      </w:r>
      <w:r>
        <w:rPr>
          <w:color w:val="231F20"/>
        </w:rPr>
        <w:t>are</w:t>
      </w:r>
      <w:r>
        <w:rPr>
          <w:color w:val="231F20"/>
          <w:spacing w:val="7"/>
        </w:rPr>
        <w:t> </w:t>
      </w:r>
      <w:r>
        <w:rPr>
          <w:color w:val="231F20"/>
        </w:rPr>
        <w:t>not</w:t>
      </w:r>
      <w:r>
        <w:rPr>
          <w:color w:val="231F20"/>
          <w:spacing w:val="8"/>
        </w:rPr>
        <w:t> </w:t>
      </w:r>
      <w:r>
        <w:rPr>
          <w:color w:val="231F20"/>
        </w:rPr>
        <w:t>accustomed</w:t>
      </w:r>
      <w:r>
        <w:rPr>
          <w:color w:val="231F20"/>
          <w:spacing w:val="7"/>
        </w:rPr>
        <w:t> </w:t>
      </w:r>
      <w:r>
        <w:rPr>
          <w:color w:val="231F20"/>
        </w:rPr>
        <w:t>to</w:t>
      </w:r>
      <w:r>
        <w:rPr>
          <w:color w:val="231F20"/>
          <w:spacing w:val="7"/>
        </w:rPr>
        <w:t> </w:t>
      </w:r>
      <w:r>
        <w:rPr>
          <w:color w:val="231F20"/>
        </w:rPr>
        <w:t>dealing</w:t>
      </w:r>
      <w:r>
        <w:rPr>
          <w:color w:val="231F20"/>
          <w:spacing w:val="8"/>
        </w:rPr>
        <w:t> </w:t>
      </w:r>
      <w:r>
        <w:rPr>
          <w:color w:val="231F20"/>
        </w:rPr>
        <w:t>with</w:t>
      </w:r>
      <w:r>
        <w:rPr>
          <w:color w:val="231F20"/>
          <w:spacing w:val="7"/>
        </w:rPr>
        <w:t> </w:t>
      </w:r>
      <w:r>
        <w:rPr>
          <w:color w:val="231F20"/>
        </w:rPr>
        <w:t>numbers</w:t>
      </w:r>
      <w:r>
        <w:rPr>
          <w:color w:val="231F20"/>
          <w:spacing w:val="7"/>
        </w:rPr>
        <w:t> </w:t>
      </w:r>
      <w:r>
        <w:rPr>
          <w:color w:val="231F20"/>
        </w:rPr>
        <w:t>and</w:t>
      </w:r>
      <w:r>
        <w:rPr>
          <w:color w:val="231F20"/>
          <w:spacing w:val="8"/>
        </w:rPr>
        <w:t> </w:t>
      </w:r>
      <w:r>
        <w:rPr>
          <w:color w:val="231F20"/>
          <w:spacing w:val="-2"/>
        </w:rPr>
        <w:t>statis-</w:t>
      </w:r>
    </w:p>
    <w:p>
      <w:pPr>
        <w:pStyle w:val="BodyText"/>
        <w:spacing w:line="244" w:lineRule="exact"/>
        <w:ind w:left="829"/>
        <w:jc w:val="both"/>
      </w:pPr>
      <w:r>
        <w:rPr>
          <w:color w:val="231F20"/>
          <w:w w:val="105"/>
        </w:rPr>
        <w:t>tics.</w:t>
      </w:r>
      <w:r>
        <w:rPr>
          <w:color w:val="231F20"/>
          <w:spacing w:val="2"/>
          <w:w w:val="105"/>
        </w:rPr>
        <w:t> </w:t>
      </w:r>
      <w:r>
        <w:rPr>
          <w:color w:val="231F20"/>
          <w:w w:val="105"/>
        </w:rPr>
        <w:t>Give</w:t>
      </w:r>
      <w:r>
        <w:rPr>
          <w:color w:val="231F20"/>
          <w:spacing w:val="3"/>
          <w:w w:val="105"/>
        </w:rPr>
        <w:t> </w:t>
      </w:r>
      <w:r>
        <w:rPr>
          <w:color w:val="231F20"/>
          <w:w w:val="105"/>
        </w:rPr>
        <w:t>it</w:t>
      </w:r>
      <w:r>
        <w:rPr>
          <w:color w:val="231F20"/>
          <w:spacing w:val="3"/>
          <w:w w:val="105"/>
        </w:rPr>
        <w:t> </w:t>
      </w:r>
      <w:r>
        <w:rPr>
          <w:color w:val="231F20"/>
          <w:w w:val="105"/>
        </w:rPr>
        <w:t>a</w:t>
      </w:r>
      <w:r>
        <w:rPr>
          <w:color w:val="231F20"/>
          <w:spacing w:val="3"/>
          <w:w w:val="105"/>
        </w:rPr>
        <w:t> </w:t>
      </w:r>
      <w:r>
        <w:rPr>
          <w:color w:val="231F20"/>
          <w:spacing w:val="-2"/>
          <w:w w:val="105"/>
        </w:rPr>
        <w:t>chance!</w:t>
      </w:r>
    </w:p>
    <w:p>
      <w:pPr>
        <w:pStyle w:val="BodyText"/>
        <w:spacing w:line="292" w:lineRule="auto" w:before="54"/>
        <w:ind w:left="829" w:right="755" w:firstLine="340"/>
        <w:jc w:val="both"/>
      </w:pPr>
      <w:r>
        <w:rPr>
          <w:color w:val="231F20"/>
        </w:rPr>
        <w:t>Quantitative techniques provide MBAs with a way to </w:t>
      </w:r>
      <w:r>
        <w:rPr>
          <w:color w:val="231F20"/>
        </w:rPr>
        <w:t>distinguish themselves</w:t>
      </w:r>
      <w:r>
        <w:rPr>
          <w:color w:val="231F20"/>
          <w:spacing w:val="40"/>
        </w:rPr>
        <w:t> </w:t>
      </w:r>
      <w:r>
        <w:rPr>
          <w:color w:val="231F20"/>
        </w:rPr>
        <w:t>from</w:t>
      </w:r>
      <w:r>
        <w:rPr>
          <w:color w:val="231F20"/>
          <w:spacing w:val="40"/>
        </w:rPr>
        <w:t> </w:t>
      </w:r>
      <w:r>
        <w:rPr>
          <w:color w:val="231F20"/>
        </w:rPr>
        <w:t>their</w:t>
      </w:r>
      <w:r>
        <w:rPr>
          <w:color w:val="231F20"/>
          <w:spacing w:val="40"/>
        </w:rPr>
        <w:t> </w:t>
      </w:r>
      <w:r>
        <w:rPr>
          <w:color w:val="231F20"/>
        </w:rPr>
        <w:t>non-MBA</w:t>
      </w:r>
      <w:r>
        <w:rPr>
          <w:color w:val="231F20"/>
          <w:spacing w:val="40"/>
        </w:rPr>
        <w:t> </w:t>
      </w:r>
      <w:r>
        <w:rPr>
          <w:color w:val="231F20"/>
        </w:rPr>
        <w:t>peers.</w:t>
      </w:r>
      <w:r>
        <w:rPr>
          <w:color w:val="231F20"/>
          <w:spacing w:val="40"/>
        </w:rPr>
        <w:t> </w:t>
      </w:r>
      <w:r>
        <w:rPr>
          <w:color w:val="231F20"/>
        </w:rPr>
        <w:t>MBAs</w:t>
      </w:r>
      <w:r>
        <w:rPr>
          <w:color w:val="231F20"/>
          <w:spacing w:val="40"/>
        </w:rPr>
        <w:t> </w:t>
      </w:r>
      <w:r>
        <w:rPr>
          <w:color w:val="231F20"/>
        </w:rPr>
        <w:t>can</w:t>
      </w:r>
      <w:r>
        <w:rPr>
          <w:color w:val="231F20"/>
          <w:spacing w:val="40"/>
        </w:rPr>
        <w:t> </w:t>
      </w:r>
      <w:r>
        <w:rPr>
          <w:color w:val="231F20"/>
        </w:rPr>
        <w:t>make</w:t>
      </w:r>
      <w:r>
        <w:rPr>
          <w:color w:val="231F20"/>
          <w:spacing w:val="40"/>
        </w:rPr>
        <w:t> </w:t>
      </w:r>
      <w:r>
        <w:rPr>
          <w:color w:val="231F20"/>
        </w:rPr>
        <w:t>a</w:t>
      </w:r>
      <w:r>
        <w:rPr>
          <w:color w:val="231F20"/>
          <w:spacing w:val="40"/>
        </w:rPr>
        <w:t> </w:t>
      </w:r>
      <w:r>
        <w:rPr>
          <w:color w:val="231F20"/>
        </w:rPr>
        <w:t>splash with their bosses by creating sophisticated charts and graphs and by using impressive language. Hopefully, the conclusions they have to deliver are a welcomed story.</w:t>
      </w:r>
    </w:p>
    <w:p>
      <w:pPr>
        <w:pStyle w:val="BodyText"/>
        <w:spacing w:line="292" w:lineRule="auto"/>
        <w:ind w:left="829" w:right="756" w:firstLine="340"/>
        <w:jc w:val="both"/>
      </w:pPr>
      <w:r>
        <w:rPr>
          <w:color w:val="231F20"/>
        </w:rPr>
        <w:t>Using QA theories to solve business problems is the MBA’s </w:t>
      </w:r>
      <w:r>
        <w:rPr>
          <w:color w:val="231F20"/>
        </w:rPr>
        <w:t>main job. Quantitative analysis helps MBAs remain objective when solv-</w:t>
      </w:r>
      <w:r>
        <w:rPr>
          <w:color w:val="231F20"/>
          <w:spacing w:val="40"/>
        </w:rPr>
        <w:t> </w:t>
      </w:r>
      <w:r>
        <w:rPr>
          <w:color w:val="231F20"/>
        </w:rPr>
        <w:t>ing complicated problems. The theories behind the techniques are inconsequential. Their application to solve real business problems is what</w:t>
      </w:r>
      <w:r>
        <w:rPr>
          <w:color w:val="231F20"/>
          <w:spacing w:val="7"/>
        </w:rPr>
        <w:t> </w:t>
      </w:r>
      <w:r>
        <w:rPr>
          <w:color w:val="231F20"/>
        </w:rPr>
        <w:t>is</w:t>
      </w:r>
      <w:r>
        <w:rPr>
          <w:color w:val="231F20"/>
          <w:spacing w:val="7"/>
        </w:rPr>
        <w:t> </w:t>
      </w:r>
      <w:r>
        <w:rPr>
          <w:color w:val="231F20"/>
        </w:rPr>
        <w:t>important.</w:t>
      </w:r>
      <w:r>
        <w:rPr>
          <w:color w:val="231F20"/>
          <w:spacing w:val="7"/>
        </w:rPr>
        <w:t> </w:t>
      </w:r>
      <w:r>
        <w:rPr>
          <w:color w:val="231F20"/>
        </w:rPr>
        <w:t>Yet</w:t>
      </w:r>
      <w:r>
        <w:rPr>
          <w:color w:val="231F20"/>
          <w:spacing w:val="8"/>
        </w:rPr>
        <w:t> </w:t>
      </w:r>
      <w:r>
        <w:rPr>
          <w:color w:val="231F20"/>
        </w:rPr>
        <w:t>it</w:t>
      </w:r>
      <w:r>
        <w:rPr>
          <w:color w:val="231F20"/>
          <w:spacing w:val="7"/>
        </w:rPr>
        <w:t> </w:t>
      </w:r>
      <w:r>
        <w:rPr>
          <w:color w:val="231F20"/>
        </w:rPr>
        <w:t>should</w:t>
      </w:r>
      <w:r>
        <w:rPr>
          <w:color w:val="231F20"/>
          <w:spacing w:val="7"/>
        </w:rPr>
        <w:t> </w:t>
      </w:r>
      <w:r>
        <w:rPr>
          <w:color w:val="231F20"/>
        </w:rPr>
        <w:t>be</w:t>
      </w:r>
      <w:r>
        <w:rPr>
          <w:color w:val="231F20"/>
          <w:spacing w:val="8"/>
        </w:rPr>
        <w:t> </w:t>
      </w:r>
      <w:r>
        <w:rPr>
          <w:color w:val="231F20"/>
        </w:rPr>
        <w:t>noted</w:t>
      </w:r>
      <w:r>
        <w:rPr>
          <w:color w:val="231F20"/>
          <w:spacing w:val="7"/>
        </w:rPr>
        <w:t> </w:t>
      </w:r>
      <w:r>
        <w:rPr>
          <w:color w:val="231F20"/>
        </w:rPr>
        <w:t>that</w:t>
      </w:r>
      <w:r>
        <w:rPr>
          <w:color w:val="231F20"/>
          <w:spacing w:val="7"/>
        </w:rPr>
        <w:t> </w:t>
      </w:r>
      <w:r>
        <w:rPr>
          <w:color w:val="231F20"/>
        </w:rPr>
        <w:t>no</w:t>
      </w:r>
      <w:r>
        <w:rPr>
          <w:color w:val="231F20"/>
          <w:spacing w:val="8"/>
        </w:rPr>
        <w:t> </w:t>
      </w:r>
      <w:r>
        <w:rPr>
          <w:color w:val="231F20"/>
        </w:rPr>
        <w:t>matter</w:t>
      </w:r>
      <w:r>
        <w:rPr>
          <w:color w:val="231F20"/>
          <w:spacing w:val="7"/>
        </w:rPr>
        <w:t> </w:t>
      </w:r>
      <w:r>
        <w:rPr>
          <w:color w:val="231F20"/>
        </w:rPr>
        <w:t>how</w:t>
      </w:r>
      <w:r>
        <w:rPr>
          <w:color w:val="231F20"/>
          <w:spacing w:val="7"/>
        </w:rPr>
        <w:t> </w:t>
      </w:r>
      <w:r>
        <w:rPr>
          <w:color w:val="231F20"/>
          <w:spacing w:val="-2"/>
        </w:rPr>
        <w:t>mathe-</w:t>
      </w:r>
    </w:p>
    <w:p>
      <w:pPr>
        <w:spacing w:after="0" w:line="292" w:lineRule="auto"/>
        <w:jc w:val="both"/>
        <w:sectPr>
          <w:headerReference w:type="even" r:id="rId52"/>
          <w:pgSz w:w="8640" w:h="12960"/>
          <w:pgMar w:header="0" w:footer="0" w:top="1220" w:bottom="280" w:left="340" w:right="500"/>
        </w:sectPr>
      </w:pPr>
    </w:p>
    <w:p>
      <w:pPr>
        <w:pStyle w:val="BodyText"/>
        <w:spacing w:before="8"/>
        <w:rPr>
          <w:sz w:val="17"/>
        </w:rPr>
      </w:pPr>
    </w:p>
    <w:p>
      <w:pPr>
        <w:pStyle w:val="BodyText"/>
        <w:spacing w:line="292" w:lineRule="auto" w:before="102"/>
        <w:ind w:left="920" w:right="666"/>
        <w:jc w:val="both"/>
      </w:pPr>
      <w:r>
        <w:rPr>
          <w:color w:val="231F20"/>
        </w:rPr>
        <w:t>matically precise the tools of quantitative may appear, they are </w:t>
      </w:r>
      <w:r>
        <w:rPr>
          <w:color w:val="231F20"/>
        </w:rPr>
        <w:t>no substitute for an MBA’s own best judgment.</w:t>
      </w:r>
    </w:p>
    <w:p>
      <w:pPr>
        <w:pStyle w:val="BodyText"/>
        <w:rPr>
          <w:sz w:val="24"/>
        </w:rPr>
      </w:pPr>
    </w:p>
    <w:p>
      <w:pPr>
        <w:pStyle w:val="BodyText"/>
        <w:spacing w:before="10"/>
        <w:rPr>
          <w:sz w:val="24"/>
        </w:rPr>
      </w:pPr>
    </w:p>
    <w:p>
      <w:pPr>
        <w:pStyle w:val="Heading4"/>
        <w:ind w:left="468"/>
      </w:pPr>
      <w:r>
        <w:rPr>
          <w:color w:val="231F20"/>
          <w:spacing w:val="9"/>
          <w:w w:val="90"/>
        </w:rPr>
        <w:t>DECISION</w:t>
      </w:r>
      <w:r>
        <w:rPr>
          <w:color w:val="231F20"/>
          <w:spacing w:val="4"/>
        </w:rPr>
        <w:t> </w:t>
      </w:r>
      <w:r>
        <w:rPr>
          <w:color w:val="231F20"/>
          <w:spacing w:val="-2"/>
          <w:w w:val="90"/>
        </w:rPr>
        <w:t>THEORY</w:t>
      </w:r>
    </w:p>
    <w:p>
      <w:pPr>
        <w:pStyle w:val="BodyText"/>
        <w:spacing w:before="10"/>
        <w:rPr>
          <w:rFonts w:ascii="Trebuchet MS"/>
          <w:sz w:val="29"/>
        </w:rPr>
      </w:pPr>
    </w:p>
    <w:p>
      <w:pPr>
        <w:pStyle w:val="BodyText"/>
        <w:spacing w:line="292" w:lineRule="auto" w:before="1"/>
        <w:ind w:left="920" w:right="663"/>
        <w:jc w:val="both"/>
      </w:pPr>
      <w:r>
        <w:rPr>
          <w:color w:val="231F20"/>
        </w:rPr>
        <w:t>Decision theory teaches how to break complex problems into </w:t>
      </w:r>
      <w:r>
        <w:rPr>
          <w:color w:val="231F20"/>
        </w:rPr>
        <w:t>man- ageable parts. Without a framework to attack difficult situations,</w:t>
      </w:r>
      <w:r>
        <w:rPr>
          <w:color w:val="231F20"/>
          <w:spacing w:val="40"/>
        </w:rPr>
        <w:t> </w:t>
      </w:r>
      <w:r>
        <w:rPr>
          <w:color w:val="231F20"/>
        </w:rPr>
        <w:t>such cases quickly become unmanageable. For example, QA can be used to help a wildcatter decide whether to drill for oil. The inherent risks of oil exploration, however, cannot be eliminated. A </w:t>
      </w:r>
      <w:r>
        <w:rPr>
          <w:i/>
          <w:color w:val="231F20"/>
        </w:rPr>
        <w:t>decision</w:t>
      </w:r>
      <w:r>
        <w:rPr>
          <w:i/>
          <w:color w:val="231F20"/>
          <w:spacing w:val="40"/>
        </w:rPr>
        <w:t> </w:t>
      </w:r>
      <w:r>
        <w:rPr>
          <w:i/>
          <w:color w:val="231F20"/>
        </w:rPr>
        <w:t>tree diagram </w:t>
      </w:r>
      <w:r>
        <w:rPr>
          <w:color w:val="231F20"/>
        </w:rPr>
        <w:t>can organize the problem’s alternatives, risks, and </w:t>
      </w:r>
      <w:r>
        <w:rPr>
          <w:color w:val="231F20"/>
          <w:spacing w:val="-2"/>
        </w:rPr>
        <w:t>uncertainty.</w:t>
      </w:r>
    </w:p>
    <w:p>
      <w:pPr>
        <w:pStyle w:val="BodyText"/>
        <w:spacing w:line="244" w:lineRule="exact"/>
        <w:ind w:left="1259"/>
        <w:jc w:val="both"/>
      </w:pPr>
      <w:r>
        <w:rPr>
          <w:color w:val="231F20"/>
        </w:rPr>
        <w:t>Decision</w:t>
      </w:r>
      <w:r>
        <w:rPr>
          <w:color w:val="231F20"/>
          <w:spacing w:val="7"/>
        </w:rPr>
        <w:t> </w:t>
      </w:r>
      <w:r>
        <w:rPr>
          <w:color w:val="231F20"/>
        </w:rPr>
        <w:t>tree</w:t>
      </w:r>
      <w:r>
        <w:rPr>
          <w:color w:val="231F20"/>
          <w:spacing w:val="6"/>
        </w:rPr>
        <w:t> </w:t>
      </w:r>
      <w:r>
        <w:rPr>
          <w:color w:val="231F20"/>
        </w:rPr>
        <w:t>analysis</w:t>
      </w:r>
      <w:r>
        <w:rPr>
          <w:color w:val="231F20"/>
          <w:spacing w:val="7"/>
        </w:rPr>
        <w:t> </w:t>
      </w:r>
      <w:r>
        <w:rPr>
          <w:color w:val="231F20"/>
        </w:rPr>
        <w:t>consists</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following</w:t>
      </w:r>
      <w:r>
        <w:rPr>
          <w:color w:val="231F20"/>
          <w:spacing w:val="7"/>
        </w:rPr>
        <w:t> </w:t>
      </w:r>
      <w:r>
        <w:rPr>
          <w:color w:val="231F20"/>
        </w:rPr>
        <w:t>five</w:t>
      </w:r>
      <w:r>
        <w:rPr>
          <w:color w:val="231F20"/>
          <w:spacing w:val="7"/>
        </w:rPr>
        <w:t> </w:t>
      </w:r>
      <w:r>
        <w:rPr>
          <w:color w:val="231F20"/>
          <w:spacing w:val="-2"/>
        </w:rPr>
        <w:t>steps:</w:t>
      </w:r>
    </w:p>
    <w:p>
      <w:pPr>
        <w:pStyle w:val="BodyText"/>
        <w:spacing w:before="11"/>
        <w:rPr>
          <w:sz w:val="31"/>
        </w:rPr>
      </w:pPr>
    </w:p>
    <w:p>
      <w:pPr>
        <w:pStyle w:val="ListParagraph"/>
        <w:numPr>
          <w:ilvl w:val="0"/>
          <w:numId w:val="29"/>
        </w:numPr>
        <w:tabs>
          <w:tab w:pos="1611" w:val="left" w:leader="none"/>
        </w:tabs>
        <w:spacing w:line="328" w:lineRule="auto" w:before="0" w:after="0"/>
        <w:ind w:left="1609" w:right="667" w:hanging="170"/>
        <w:jc w:val="left"/>
        <w:rPr>
          <w:sz w:val="19"/>
        </w:rPr>
      </w:pPr>
      <w:r>
        <w:rPr>
          <w:color w:val="231F20"/>
          <w:w w:val="110"/>
          <w:sz w:val="19"/>
        </w:rPr>
        <w:t>Determine all the possible </w:t>
      </w:r>
      <w:r>
        <w:rPr>
          <w:i/>
          <w:color w:val="231F20"/>
          <w:w w:val="110"/>
          <w:sz w:val="19"/>
        </w:rPr>
        <w:t>alternatives and risks </w:t>
      </w:r>
      <w:r>
        <w:rPr>
          <w:color w:val="231F20"/>
          <w:w w:val="110"/>
          <w:sz w:val="19"/>
        </w:rPr>
        <w:t>associated </w:t>
      </w:r>
      <w:r>
        <w:rPr>
          <w:color w:val="231F20"/>
          <w:w w:val="115"/>
          <w:sz w:val="19"/>
        </w:rPr>
        <w:t>with the situation.</w:t>
      </w:r>
    </w:p>
    <w:p>
      <w:pPr>
        <w:pStyle w:val="ListParagraph"/>
        <w:numPr>
          <w:ilvl w:val="0"/>
          <w:numId w:val="29"/>
        </w:numPr>
        <w:tabs>
          <w:tab w:pos="1611" w:val="left" w:leader="none"/>
        </w:tabs>
        <w:spacing w:line="328" w:lineRule="auto" w:before="2" w:after="0"/>
        <w:ind w:left="1609" w:right="664" w:hanging="219"/>
        <w:jc w:val="left"/>
        <w:rPr>
          <w:sz w:val="19"/>
        </w:rPr>
      </w:pPr>
      <w:r>
        <w:rPr>
          <w:color w:val="231F20"/>
          <w:w w:val="110"/>
          <w:sz w:val="19"/>
        </w:rPr>
        <w:t>Calculate</w:t>
      </w:r>
      <w:r>
        <w:rPr>
          <w:color w:val="231F20"/>
          <w:spacing w:val="80"/>
          <w:w w:val="110"/>
          <w:sz w:val="19"/>
        </w:rPr>
        <w:t> </w:t>
      </w:r>
      <w:r>
        <w:rPr>
          <w:color w:val="231F20"/>
          <w:w w:val="110"/>
          <w:sz w:val="19"/>
        </w:rPr>
        <w:t>the</w:t>
      </w:r>
      <w:r>
        <w:rPr>
          <w:color w:val="231F20"/>
          <w:spacing w:val="80"/>
          <w:w w:val="110"/>
          <w:sz w:val="19"/>
        </w:rPr>
        <w:t> </w:t>
      </w:r>
      <w:r>
        <w:rPr>
          <w:i/>
          <w:color w:val="231F20"/>
          <w:w w:val="110"/>
          <w:sz w:val="19"/>
        </w:rPr>
        <w:t>monetary</w:t>
      </w:r>
      <w:r>
        <w:rPr>
          <w:i/>
          <w:color w:val="231F20"/>
          <w:spacing w:val="80"/>
          <w:w w:val="110"/>
          <w:sz w:val="19"/>
        </w:rPr>
        <w:t> </w:t>
      </w:r>
      <w:r>
        <w:rPr>
          <w:i/>
          <w:color w:val="231F20"/>
          <w:w w:val="110"/>
          <w:sz w:val="19"/>
        </w:rPr>
        <w:t>consequences</w:t>
      </w:r>
      <w:r>
        <w:rPr>
          <w:i/>
          <w:color w:val="231F20"/>
          <w:spacing w:val="80"/>
          <w:w w:val="110"/>
          <w:sz w:val="19"/>
        </w:rPr>
        <w:t> </w:t>
      </w:r>
      <w:r>
        <w:rPr>
          <w:color w:val="231F20"/>
          <w:w w:val="110"/>
          <w:sz w:val="19"/>
        </w:rPr>
        <w:t>of</w:t>
      </w:r>
      <w:r>
        <w:rPr>
          <w:color w:val="231F20"/>
          <w:spacing w:val="80"/>
          <w:w w:val="110"/>
          <w:sz w:val="19"/>
        </w:rPr>
        <w:t> </w:t>
      </w:r>
      <w:r>
        <w:rPr>
          <w:color w:val="231F20"/>
          <w:w w:val="110"/>
          <w:sz w:val="19"/>
        </w:rPr>
        <w:t>each</w:t>
      </w:r>
      <w:r>
        <w:rPr>
          <w:color w:val="231F20"/>
          <w:spacing w:val="80"/>
          <w:w w:val="110"/>
          <w:sz w:val="19"/>
        </w:rPr>
        <w:t> </w:t>
      </w:r>
      <w:r>
        <w:rPr>
          <w:color w:val="231F20"/>
          <w:w w:val="110"/>
          <w:sz w:val="19"/>
        </w:rPr>
        <w:t>of</w:t>
      </w:r>
      <w:r>
        <w:rPr>
          <w:color w:val="231F20"/>
          <w:spacing w:val="80"/>
          <w:w w:val="110"/>
          <w:sz w:val="19"/>
        </w:rPr>
        <w:t> </w:t>
      </w:r>
      <w:r>
        <w:rPr>
          <w:color w:val="231F20"/>
          <w:w w:val="110"/>
          <w:sz w:val="19"/>
        </w:rPr>
        <w:t>the </w:t>
      </w:r>
      <w:r>
        <w:rPr>
          <w:color w:val="231F20"/>
          <w:spacing w:val="-2"/>
          <w:w w:val="110"/>
          <w:sz w:val="19"/>
        </w:rPr>
        <w:t>alternatives.</w:t>
      </w:r>
    </w:p>
    <w:p>
      <w:pPr>
        <w:pStyle w:val="ListParagraph"/>
        <w:numPr>
          <w:ilvl w:val="0"/>
          <w:numId w:val="29"/>
        </w:numPr>
        <w:tabs>
          <w:tab w:pos="1611" w:val="left" w:leader="none"/>
        </w:tabs>
        <w:spacing w:line="240" w:lineRule="auto" w:before="1" w:after="0"/>
        <w:ind w:left="1610" w:right="0" w:hanging="222"/>
        <w:jc w:val="left"/>
        <w:rPr>
          <w:sz w:val="19"/>
        </w:rPr>
      </w:pPr>
      <w:r>
        <w:rPr>
          <w:color w:val="231F20"/>
          <w:w w:val="110"/>
          <w:sz w:val="19"/>
        </w:rPr>
        <w:t>Determine the </w:t>
      </w:r>
      <w:r>
        <w:rPr>
          <w:i/>
          <w:color w:val="231F20"/>
          <w:w w:val="110"/>
          <w:sz w:val="19"/>
        </w:rPr>
        <w:t>uncertainty </w:t>
      </w:r>
      <w:r>
        <w:rPr>
          <w:color w:val="231F20"/>
          <w:w w:val="110"/>
          <w:sz w:val="19"/>
        </w:rPr>
        <w:t>associated with</w:t>
      </w:r>
      <w:r>
        <w:rPr>
          <w:color w:val="231F20"/>
          <w:spacing w:val="1"/>
          <w:w w:val="110"/>
          <w:sz w:val="19"/>
        </w:rPr>
        <w:t> </w:t>
      </w:r>
      <w:r>
        <w:rPr>
          <w:color w:val="231F20"/>
          <w:w w:val="110"/>
          <w:sz w:val="19"/>
        </w:rPr>
        <w:t>each </w:t>
      </w:r>
      <w:r>
        <w:rPr>
          <w:color w:val="231F20"/>
          <w:spacing w:val="-2"/>
          <w:w w:val="110"/>
          <w:sz w:val="19"/>
        </w:rPr>
        <w:t>alternative.</w:t>
      </w:r>
    </w:p>
    <w:p>
      <w:pPr>
        <w:pStyle w:val="ListParagraph"/>
        <w:numPr>
          <w:ilvl w:val="0"/>
          <w:numId w:val="29"/>
        </w:numPr>
        <w:tabs>
          <w:tab w:pos="1611" w:val="left" w:leader="none"/>
        </w:tabs>
        <w:spacing w:line="240" w:lineRule="auto" w:before="82" w:after="0"/>
        <w:ind w:left="1610" w:right="0" w:hanging="234"/>
        <w:jc w:val="left"/>
        <w:rPr>
          <w:sz w:val="19"/>
        </w:rPr>
      </w:pPr>
      <w:r>
        <w:rPr>
          <w:color w:val="231F20"/>
          <w:w w:val="115"/>
          <w:sz w:val="19"/>
        </w:rPr>
        <w:t>Combine</w:t>
      </w:r>
      <w:r>
        <w:rPr>
          <w:color w:val="231F20"/>
          <w:spacing w:val="-15"/>
          <w:w w:val="115"/>
          <w:sz w:val="19"/>
        </w:rPr>
        <w:t> </w:t>
      </w:r>
      <w:r>
        <w:rPr>
          <w:color w:val="231F20"/>
          <w:w w:val="115"/>
          <w:sz w:val="19"/>
        </w:rPr>
        <w:t>the</w:t>
      </w:r>
      <w:r>
        <w:rPr>
          <w:color w:val="231F20"/>
          <w:spacing w:val="-14"/>
          <w:w w:val="115"/>
          <w:sz w:val="19"/>
        </w:rPr>
        <w:t> </w:t>
      </w:r>
      <w:r>
        <w:rPr>
          <w:color w:val="231F20"/>
          <w:w w:val="115"/>
          <w:sz w:val="19"/>
        </w:rPr>
        <w:t>first</w:t>
      </w:r>
      <w:r>
        <w:rPr>
          <w:color w:val="231F20"/>
          <w:spacing w:val="-15"/>
          <w:w w:val="115"/>
          <w:sz w:val="19"/>
        </w:rPr>
        <w:t> </w:t>
      </w:r>
      <w:r>
        <w:rPr>
          <w:color w:val="231F20"/>
          <w:w w:val="115"/>
          <w:sz w:val="19"/>
        </w:rPr>
        <w:t>three</w:t>
      </w:r>
      <w:r>
        <w:rPr>
          <w:color w:val="231F20"/>
          <w:spacing w:val="-14"/>
          <w:w w:val="115"/>
          <w:sz w:val="19"/>
        </w:rPr>
        <w:t> </w:t>
      </w:r>
      <w:r>
        <w:rPr>
          <w:color w:val="231F20"/>
          <w:w w:val="115"/>
          <w:sz w:val="19"/>
        </w:rPr>
        <w:t>steps</w:t>
      </w:r>
      <w:r>
        <w:rPr>
          <w:color w:val="231F20"/>
          <w:spacing w:val="-15"/>
          <w:w w:val="115"/>
          <w:sz w:val="19"/>
        </w:rPr>
        <w:t> </w:t>
      </w:r>
      <w:r>
        <w:rPr>
          <w:color w:val="231F20"/>
          <w:w w:val="115"/>
          <w:sz w:val="19"/>
        </w:rPr>
        <w:t>into</w:t>
      </w:r>
      <w:r>
        <w:rPr>
          <w:color w:val="231F20"/>
          <w:spacing w:val="-14"/>
          <w:w w:val="115"/>
          <w:sz w:val="19"/>
        </w:rPr>
        <w:t> </w:t>
      </w:r>
      <w:r>
        <w:rPr>
          <w:color w:val="231F20"/>
          <w:w w:val="115"/>
          <w:sz w:val="19"/>
        </w:rPr>
        <w:t>a</w:t>
      </w:r>
      <w:r>
        <w:rPr>
          <w:color w:val="231F20"/>
          <w:spacing w:val="-15"/>
          <w:w w:val="115"/>
          <w:sz w:val="19"/>
        </w:rPr>
        <w:t> </w:t>
      </w:r>
      <w:r>
        <w:rPr>
          <w:color w:val="231F20"/>
          <w:w w:val="115"/>
          <w:sz w:val="19"/>
        </w:rPr>
        <w:t>tree</w:t>
      </w:r>
      <w:r>
        <w:rPr>
          <w:color w:val="231F20"/>
          <w:spacing w:val="-14"/>
          <w:w w:val="115"/>
          <w:sz w:val="19"/>
        </w:rPr>
        <w:t> </w:t>
      </w:r>
      <w:r>
        <w:rPr>
          <w:color w:val="231F20"/>
          <w:spacing w:val="-2"/>
          <w:w w:val="115"/>
          <w:sz w:val="19"/>
        </w:rPr>
        <w:t>diagram.</w:t>
      </w:r>
    </w:p>
    <w:p>
      <w:pPr>
        <w:pStyle w:val="ListParagraph"/>
        <w:numPr>
          <w:ilvl w:val="0"/>
          <w:numId w:val="29"/>
        </w:numPr>
        <w:tabs>
          <w:tab w:pos="1611" w:val="left" w:leader="none"/>
        </w:tabs>
        <w:spacing w:line="328" w:lineRule="auto" w:before="81" w:after="0"/>
        <w:ind w:left="1609" w:right="667" w:hanging="222"/>
        <w:jc w:val="left"/>
        <w:rPr>
          <w:sz w:val="19"/>
        </w:rPr>
      </w:pPr>
      <w:r>
        <w:rPr>
          <w:color w:val="231F20"/>
          <w:spacing w:val="-2"/>
          <w:w w:val="115"/>
          <w:sz w:val="19"/>
        </w:rPr>
        <w:t>Determine</w:t>
      </w:r>
      <w:r>
        <w:rPr>
          <w:color w:val="231F20"/>
          <w:spacing w:val="-8"/>
          <w:w w:val="115"/>
          <w:sz w:val="19"/>
        </w:rPr>
        <w:t> </w:t>
      </w:r>
      <w:r>
        <w:rPr>
          <w:color w:val="231F20"/>
          <w:spacing w:val="-2"/>
          <w:w w:val="115"/>
          <w:sz w:val="19"/>
        </w:rPr>
        <w:t>the</w:t>
      </w:r>
      <w:r>
        <w:rPr>
          <w:color w:val="231F20"/>
          <w:spacing w:val="-8"/>
          <w:w w:val="115"/>
          <w:sz w:val="19"/>
        </w:rPr>
        <w:t> </w:t>
      </w:r>
      <w:r>
        <w:rPr>
          <w:i/>
          <w:color w:val="231F20"/>
          <w:spacing w:val="-2"/>
          <w:w w:val="115"/>
          <w:sz w:val="19"/>
        </w:rPr>
        <w:t>best</w:t>
      </w:r>
      <w:r>
        <w:rPr>
          <w:i/>
          <w:color w:val="231F20"/>
          <w:spacing w:val="-8"/>
          <w:w w:val="115"/>
          <w:sz w:val="19"/>
        </w:rPr>
        <w:t> </w:t>
      </w:r>
      <w:r>
        <w:rPr>
          <w:i/>
          <w:color w:val="231F20"/>
          <w:spacing w:val="-2"/>
          <w:w w:val="115"/>
          <w:sz w:val="19"/>
        </w:rPr>
        <w:t>alternative</w:t>
      </w:r>
      <w:r>
        <w:rPr>
          <w:i/>
          <w:color w:val="231F20"/>
          <w:spacing w:val="-8"/>
          <w:w w:val="115"/>
          <w:sz w:val="19"/>
        </w:rPr>
        <w:t> </w:t>
      </w:r>
      <w:r>
        <w:rPr>
          <w:color w:val="231F20"/>
          <w:spacing w:val="-2"/>
          <w:w w:val="115"/>
          <w:sz w:val="19"/>
        </w:rPr>
        <w:t>and</w:t>
      </w:r>
      <w:r>
        <w:rPr>
          <w:color w:val="231F20"/>
          <w:spacing w:val="-8"/>
          <w:w w:val="115"/>
          <w:sz w:val="19"/>
        </w:rPr>
        <w:t> </w:t>
      </w:r>
      <w:r>
        <w:rPr>
          <w:color w:val="231F20"/>
          <w:spacing w:val="-2"/>
          <w:w w:val="115"/>
          <w:sz w:val="19"/>
        </w:rPr>
        <w:t>consider</w:t>
      </w:r>
      <w:r>
        <w:rPr>
          <w:color w:val="231F20"/>
          <w:spacing w:val="-8"/>
          <w:w w:val="115"/>
          <w:sz w:val="19"/>
        </w:rPr>
        <w:t> </w:t>
      </w:r>
      <w:r>
        <w:rPr>
          <w:color w:val="231F20"/>
          <w:spacing w:val="-2"/>
          <w:w w:val="115"/>
          <w:sz w:val="19"/>
        </w:rPr>
        <w:t>the</w:t>
      </w:r>
      <w:r>
        <w:rPr>
          <w:color w:val="231F20"/>
          <w:spacing w:val="-8"/>
          <w:w w:val="115"/>
          <w:sz w:val="19"/>
        </w:rPr>
        <w:t> </w:t>
      </w:r>
      <w:r>
        <w:rPr>
          <w:color w:val="231F20"/>
          <w:spacing w:val="-2"/>
          <w:w w:val="115"/>
          <w:sz w:val="19"/>
        </w:rPr>
        <w:t>nonmone-</w:t>
      </w:r>
      <w:r>
        <w:rPr>
          <w:color w:val="231F20"/>
          <w:spacing w:val="-2"/>
          <w:w w:val="115"/>
          <w:sz w:val="19"/>
        </w:rPr>
        <w:t> </w:t>
      </w:r>
      <w:r>
        <w:rPr>
          <w:color w:val="231F20"/>
          <w:w w:val="115"/>
          <w:sz w:val="19"/>
        </w:rPr>
        <w:t>tary aspects of the problem.</w:t>
      </w:r>
    </w:p>
    <w:p>
      <w:pPr>
        <w:pStyle w:val="BodyText"/>
        <w:spacing w:before="2"/>
        <w:rPr>
          <w:rFonts w:ascii="Arial"/>
          <w:sz w:val="25"/>
        </w:rPr>
      </w:pPr>
    </w:p>
    <w:p>
      <w:pPr>
        <w:pStyle w:val="BodyText"/>
        <w:spacing w:line="292" w:lineRule="auto" w:before="1"/>
        <w:ind w:left="920" w:right="666" w:firstLine="340"/>
        <w:jc w:val="both"/>
        <w:rPr>
          <w:i/>
        </w:rPr>
      </w:pPr>
      <w:r>
        <w:rPr>
          <w:color w:val="231F20"/>
        </w:rPr>
        <w:t>Decision tree diagrams include </w:t>
      </w:r>
      <w:r>
        <w:rPr>
          <w:i/>
          <w:color w:val="231F20"/>
        </w:rPr>
        <w:t>activity forks </w:t>
      </w:r>
      <w:r>
        <w:rPr>
          <w:color w:val="231F20"/>
        </w:rPr>
        <w:t>and </w:t>
      </w:r>
      <w:r>
        <w:rPr>
          <w:i/>
          <w:color w:val="231F20"/>
        </w:rPr>
        <w:t>event forks </w:t>
      </w:r>
      <w:r>
        <w:rPr>
          <w:color w:val="231F20"/>
        </w:rPr>
        <w:t>at</w:t>
      </w:r>
      <w:r>
        <w:rPr>
          <w:color w:val="231F20"/>
          <w:spacing w:val="40"/>
        </w:rPr>
        <w:t> </w:t>
      </w:r>
      <w:r>
        <w:rPr>
          <w:color w:val="231F20"/>
        </w:rPr>
        <w:t>the junctures where alternatives are possible. For example, the deci- sion whether to drill for oil represents an activity fork in the tree for an oil wildcatter. It is symbolized on a decision tree by a </w:t>
      </w:r>
      <w:r>
        <w:rPr>
          <w:i/>
          <w:color w:val="231F20"/>
        </w:rPr>
        <w:t>square. </w:t>
      </w:r>
      <w:r>
        <w:rPr>
          <w:color w:val="231F20"/>
        </w:rPr>
        <w:t>If</w:t>
      </w:r>
      <w:r>
        <w:rPr>
          <w:color w:val="231F20"/>
          <w:spacing w:val="80"/>
        </w:rPr>
        <w:t> </w:t>
      </w:r>
      <w:r>
        <w:rPr>
          <w:color w:val="231F20"/>
        </w:rPr>
        <w:t>the different alternatives are </w:t>
      </w:r>
      <w:r>
        <w:rPr>
          <w:i/>
          <w:color w:val="231F20"/>
        </w:rPr>
        <w:t>subject to uncertainty, </w:t>
      </w:r>
      <w:r>
        <w:rPr>
          <w:color w:val="231F20"/>
        </w:rPr>
        <w:t>that is an </w:t>
      </w:r>
      <w:r>
        <w:rPr>
          <w:i/>
          <w:color w:val="231F20"/>
        </w:rPr>
        <w:t>event</w:t>
      </w:r>
      <w:r>
        <w:rPr>
          <w:i/>
          <w:color w:val="231F20"/>
        </w:rPr>
        <w:t> </w:t>
      </w:r>
      <w:r>
        <w:rPr>
          <w:color w:val="231F20"/>
        </w:rPr>
        <w:t>fork. The uncertain outcome of a well producing oil would be con- sidered an </w:t>
      </w:r>
      <w:r>
        <w:rPr>
          <w:i/>
          <w:color w:val="231F20"/>
        </w:rPr>
        <w:t>event. </w:t>
      </w:r>
      <w:r>
        <w:rPr>
          <w:color w:val="231F20"/>
        </w:rPr>
        <w:t>It is symbolized on a decision tree by a </w:t>
      </w:r>
      <w:r>
        <w:rPr>
          <w:i/>
          <w:color w:val="231F20"/>
        </w:rPr>
        <w:t>circle.</w:t>
      </w:r>
    </w:p>
    <w:p>
      <w:pPr>
        <w:pStyle w:val="BodyText"/>
        <w:rPr>
          <w:i/>
          <w:sz w:val="24"/>
        </w:rPr>
      </w:pPr>
    </w:p>
    <w:p>
      <w:pPr>
        <w:pStyle w:val="BodyText"/>
        <w:spacing w:before="1"/>
        <w:rPr>
          <w:i/>
          <w:sz w:val="20"/>
        </w:rPr>
      </w:pPr>
    </w:p>
    <w:p>
      <w:pPr>
        <w:pStyle w:val="Heading6"/>
        <w:rPr>
          <w:i/>
        </w:rPr>
      </w:pPr>
      <w:r>
        <w:rPr>
          <w:i/>
          <w:color w:val="231F20"/>
          <w:w w:val="110"/>
        </w:rPr>
        <w:t>DECISION</w:t>
      </w:r>
      <w:r>
        <w:rPr>
          <w:i/>
          <w:color w:val="231F20"/>
          <w:spacing w:val="78"/>
          <w:w w:val="150"/>
        </w:rPr>
        <w:t> </w:t>
      </w:r>
      <w:r>
        <w:rPr>
          <w:i/>
          <w:color w:val="231F20"/>
          <w:w w:val="110"/>
        </w:rPr>
        <w:t>TREE</w:t>
      </w:r>
      <w:r>
        <w:rPr>
          <w:i/>
          <w:color w:val="231F20"/>
          <w:spacing w:val="79"/>
          <w:w w:val="150"/>
        </w:rPr>
        <w:t> </w:t>
      </w:r>
      <w:r>
        <w:rPr>
          <w:i/>
          <w:color w:val="231F20"/>
          <w:spacing w:val="8"/>
          <w:w w:val="110"/>
        </w:rPr>
        <w:t>EXAMPLE</w:t>
      </w:r>
    </w:p>
    <w:p>
      <w:pPr>
        <w:pStyle w:val="BodyText"/>
        <w:spacing w:before="2"/>
        <w:rPr>
          <w:b/>
          <w:i/>
          <w:sz w:val="30"/>
        </w:rPr>
      </w:pPr>
    </w:p>
    <w:p>
      <w:pPr>
        <w:pStyle w:val="BodyText"/>
        <w:ind w:left="920"/>
        <w:jc w:val="both"/>
      </w:pPr>
      <w:r>
        <w:rPr>
          <w:color w:val="231F20"/>
        </w:rPr>
        <w:t>As</w:t>
      </w:r>
      <w:r>
        <w:rPr>
          <w:color w:val="231F20"/>
          <w:spacing w:val="41"/>
        </w:rPr>
        <w:t> </w:t>
      </w:r>
      <w:r>
        <w:rPr>
          <w:color w:val="231F20"/>
        </w:rPr>
        <w:t>an</w:t>
      </w:r>
      <w:r>
        <w:rPr>
          <w:color w:val="231F20"/>
          <w:spacing w:val="41"/>
        </w:rPr>
        <w:t> </w:t>
      </w:r>
      <w:r>
        <w:rPr>
          <w:color w:val="231F20"/>
        </w:rPr>
        <w:t>illustration</w:t>
      </w:r>
      <w:r>
        <w:rPr>
          <w:color w:val="231F20"/>
          <w:spacing w:val="41"/>
        </w:rPr>
        <w:t> </w:t>
      </w:r>
      <w:r>
        <w:rPr>
          <w:color w:val="231F20"/>
        </w:rPr>
        <w:t>of</w:t>
      </w:r>
      <w:r>
        <w:rPr>
          <w:color w:val="231F20"/>
          <w:spacing w:val="41"/>
        </w:rPr>
        <w:t> </w:t>
      </w:r>
      <w:r>
        <w:rPr>
          <w:color w:val="231F20"/>
        </w:rPr>
        <w:t>a</w:t>
      </w:r>
      <w:r>
        <w:rPr>
          <w:color w:val="231F20"/>
          <w:spacing w:val="41"/>
        </w:rPr>
        <w:t> </w:t>
      </w:r>
      <w:r>
        <w:rPr>
          <w:color w:val="231F20"/>
        </w:rPr>
        <w:t>situation</w:t>
      </w:r>
      <w:r>
        <w:rPr>
          <w:color w:val="231F20"/>
          <w:spacing w:val="41"/>
        </w:rPr>
        <w:t> </w:t>
      </w:r>
      <w:r>
        <w:rPr>
          <w:color w:val="231F20"/>
        </w:rPr>
        <w:t>where</w:t>
      </w:r>
      <w:r>
        <w:rPr>
          <w:color w:val="231F20"/>
          <w:spacing w:val="41"/>
        </w:rPr>
        <w:t> </w:t>
      </w:r>
      <w:r>
        <w:rPr>
          <w:color w:val="231F20"/>
        </w:rPr>
        <w:t>the</w:t>
      </w:r>
      <w:r>
        <w:rPr>
          <w:color w:val="231F20"/>
          <w:spacing w:val="42"/>
        </w:rPr>
        <w:t> </w:t>
      </w:r>
      <w:r>
        <w:rPr>
          <w:color w:val="231F20"/>
        </w:rPr>
        <w:t>decision</w:t>
      </w:r>
      <w:r>
        <w:rPr>
          <w:color w:val="231F20"/>
          <w:spacing w:val="41"/>
        </w:rPr>
        <w:t> </w:t>
      </w:r>
      <w:r>
        <w:rPr>
          <w:color w:val="231F20"/>
        </w:rPr>
        <w:t>tree</w:t>
      </w:r>
      <w:r>
        <w:rPr>
          <w:color w:val="231F20"/>
          <w:spacing w:val="41"/>
        </w:rPr>
        <w:t> </w:t>
      </w:r>
      <w:r>
        <w:rPr>
          <w:color w:val="231F20"/>
        </w:rPr>
        <w:t>could</w:t>
      </w:r>
      <w:r>
        <w:rPr>
          <w:color w:val="231F20"/>
          <w:spacing w:val="41"/>
        </w:rPr>
        <w:t> </w:t>
      </w:r>
      <w:r>
        <w:rPr>
          <w:color w:val="231F20"/>
          <w:spacing w:val="-5"/>
        </w:rPr>
        <w:t>be</w:t>
      </w:r>
    </w:p>
    <w:p>
      <w:pPr>
        <w:spacing w:after="0"/>
        <w:jc w:val="both"/>
        <w:sectPr>
          <w:headerReference w:type="default" r:id="rId53"/>
          <w:headerReference w:type="even" r:id="rId54"/>
          <w:pgSz w:w="8640" w:h="12960"/>
          <w:pgMar w:header="734" w:footer="0" w:top="920" w:bottom="280" w:left="340" w:right="500"/>
          <w:pgNumType w:start="157"/>
        </w:sectPr>
      </w:pPr>
    </w:p>
    <w:p>
      <w:pPr>
        <w:pStyle w:val="BodyText"/>
        <w:spacing w:before="10"/>
        <w:rPr>
          <w:sz w:val="17"/>
        </w:rPr>
      </w:pPr>
    </w:p>
    <w:p>
      <w:pPr>
        <w:pStyle w:val="BodyText"/>
        <w:spacing w:line="292" w:lineRule="auto" w:before="102"/>
        <w:ind w:left="830" w:right="753"/>
        <w:jc w:val="both"/>
      </w:pPr>
      <w:r>
        <w:rPr>
          <w:color w:val="231F20"/>
        </w:rPr>
        <w:t>helpful,</w:t>
      </w:r>
      <w:r>
        <w:rPr>
          <w:color w:val="231F20"/>
          <w:spacing w:val="35"/>
        </w:rPr>
        <w:t> </w:t>
      </w:r>
      <w:r>
        <w:rPr>
          <w:color w:val="231F20"/>
        </w:rPr>
        <w:t>consider</w:t>
      </w:r>
      <w:r>
        <w:rPr>
          <w:color w:val="231F20"/>
          <w:spacing w:val="35"/>
        </w:rPr>
        <w:t> </w:t>
      </w:r>
      <w:r>
        <w:rPr>
          <w:color w:val="231F20"/>
        </w:rPr>
        <w:t>Mr.</w:t>
      </w:r>
      <w:r>
        <w:rPr>
          <w:color w:val="231F20"/>
          <w:spacing w:val="35"/>
        </w:rPr>
        <w:t> </w:t>
      </w:r>
      <w:r>
        <w:rPr>
          <w:color w:val="231F20"/>
        </w:rPr>
        <w:t>Sam</w:t>
      </w:r>
      <w:r>
        <w:rPr>
          <w:color w:val="231F20"/>
          <w:spacing w:val="35"/>
        </w:rPr>
        <w:t> </w:t>
      </w:r>
      <w:r>
        <w:rPr>
          <w:color w:val="231F20"/>
        </w:rPr>
        <w:t>Houston</w:t>
      </w:r>
      <w:r>
        <w:rPr>
          <w:color w:val="231F20"/>
          <w:spacing w:val="35"/>
        </w:rPr>
        <w:t> </w:t>
      </w:r>
      <w:r>
        <w:rPr>
          <w:color w:val="231F20"/>
        </w:rPr>
        <w:t>of</w:t>
      </w:r>
      <w:r>
        <w:rPr>
          <w:color w:val="231F20"/>
          <w:spacing w:val="35"/>
        </w:rPr>
        <w:t> </w:t>
      </w:r>
      <w:r>
        <w:rPr>
          <w:color w:val="231F20"/>
        </w:rPr>
        <w:t>Texas.</w:t>
      </w:r>
      <w:r>
        <w:rPr>
          <w:color w:val="231F20"/>
          <w:spacing w:val="35"/>
        </w:rPr>
        <w:t> </w:t>
      </w:r>
      <w:r>
        <w:rPr>
          <w:color w:val="231F20"/>
        </w:rPr>
        <w:t>Mr.</w:t>
      </w:r>
      <w:r>
        <w:rPr>
          <w:color w:val="231F20"/>
          <w:spacing w:val="35"/>
        </w:rPr>
        <w:t> </w:t>
      </w:r>
      <w:r>
        <w:rPr>
          <w:color w:val="231F20"/>
        </w:rPr>
        <w:t>Houston</w:t>
      </w:r>
      <w:r>
        <w:rPr>
          <w:color w:val="231F20"/>
          <w:spacing w:val="35"/>
        </w:rPr>
        <w:t> </w:t>
      </w:r>
      <w:r>
        <w:rPr>
          <w:color w:val="231F20"/>
        </w:rPr>
        <w:t>is</w:t>
      </w:r>
      <w:r>
        <w:rPr>
          <w:color w:val="231F20"/>
          <w:spacing w:val="35"/>
        </w:rPr>
        <w:t> </w:t>
      </w:r>
      <w:r>
        <w:rPr>
          <w:color w:val="231F20"/>
        </w:rPr>
        <w:t>about to exercise his option to drill for oil on a promising parcel. Should he drill? If he hits a gusher, there is an estimated $1,000,000 to be gained. When he investigated all of the alternatives, Mr. Houston made the following list:</w:t>
      </w:r>
    </w:p>
    <w:p>
      <w:pPr>
        <w:pStyle w:val="BodyText"/>
        <w:spacing w:before="2"/>
        <w:rPr>
          <w:sz w:val="27"/>
        </w:rPr>
      </w:pPr>
    </w:p>
    <w:p>
      <w:pPr>
        <w:pStyle w:val="ListParagraph"/>
        <w:numPr>
          <w:ilvl w:val="0"/>
          <w:numId w:val="30"/>
        </w:numPr>
        <w:tabs>
          <w:tab w:pos="1521" w:val="left" w:leader="none"/>
        </w:tabs>
        <w:spacing w:line="240" w:lineRule="auto" w:before="1" w:after="0"/>
        <w:ind w:left="1520" w:right="0" w:hanging="171"/>
        <w:jc w:val="both"/>
        <w:rPr>
          <w:sz w:val="19"/>
        </w:rPr>
      </w:pPr>
      <w:r>
        <w:rPr>
          <w:color w:val="231F20"/>
          <w:w w:val="115"/>
          <w:sz w:val="19"/>
        </w:rPr>
        <w:t>Sam</w:t>
      </w:r>
      <w:r>
        <w:rPr>
          <w:color w:val="231F20"/>
          <w:spacing w:val="-7"/>
          <w:w w:val="115"/>
          <w:sz w:val="19"/>
        </w:rPr>
        <w:t> </w:t>
      </w:r>
      <w:r>
        <w:rPr>
          <w:color w:val="231F20"/>
          <w:w w:val="115"/>
          <w:sz w:val="19"/>
        </w:rPr>
        <w:t>paid</w:t>
      </w:r>
      <w:r>
        <w:rPr>
          <w:color w:val="231F20"/>
          <w:spacing w:val="-6"/>
          <w:w w:val="115"/>
          <w:sz w:val="19"/>
        </w:rPr>
        <w:t> </w:t>
      </w:r>
      <w:r>
        <w:rPr>
          <w:color w:val="231F20"/>
          <w:w w:val="115"/>
          <w:sz w:val="19"/>
        </w:rPr>
        <w:t>$20,000</w:t>
      </w:r>
      <w:r>
        <w:rPr>
          <w:color w:val="231F20"/>
          <w:spacing w:val="-6"/>
          <w:w w:val="115"/>
          <w:sz w:val="19"/>
        </w:rPr>
        <w:t> </w:t>
      </w:r>
      <w:r>
        <w:rPr>
          <w:color w:val="231F20"/>
          <w:w w:val="115"/>
          <w:sz w:val="19"/>
        </w:rPr>
        <w:t>for</w:t>
      </w:r>
      <w:r>
        <w:rPr>
          <w:color w:val="231F20"/>
          <w:spacing w:val="-6"/>
          <w:w w:val="115"/>
          <w:sz w:val="19"/>
        </w:rPr>
        <w:t> </w:t>
      </w:r>
      <w:r>
        <w:rPr>
          <w:color w:val="231F20"/>
          <w:w w:val="115"/>
          <w:sz w:val="19"/>
        </w:rPr>
        <w:t>the</w:t>
      </w:r>
      <w:r>
        <w:rPr>
          <w:color w:val="231F20"/>
          <w:spacing w:val="-6"/>
          <w:w w:val="115"/>
          <w:sz w:val="19"/>
        </w:rPr>
        <w:t> </w:t>
      </w:r>
      <w:r>
        <w:rPr>
          <w:color w:val="231F20"/>
          <w:w w:val="115"/>
          <w:sz w:val="19"/>
        </w:rPr>
        <w:t>drilling</w:t>
      </w:r>
      <w:r>
        <w:rPr>
          <w:color w:val="231F20"/>
          <w:spacing w:val="-6"/>
          <w:w w:val="115"/>
          <w:sz w:val="19"/>
        </w:rPr>
        <w:t> </w:t>
      </w:r>
      <w:r>
        <w:rPr>
          <w:color w:val="231F20"/>
          <w:spacing w:val="-2"/>
          <w:w w:val="115"/>
          <w:sz w:val="19"/>
        </w:rPr>
        <w:t>option.</w:t>
      </w:r>
    </w:p>
    <w:p>
      <w:pPr>
        <w:pStyle w:val="ListParagraph"/>
        <w:numPr>
          <w:ilvl w:val="0"/>
          <w:numId w:val="30"/>
        </w:numPr>
        <w:tabs>
          <w:tab w:pos="1521" w:val="left" w:leader="none"/>
        </w:tabs>
        <w:spacing w:line="328" w:lineRule="auto" w:before="81" w:after="0"/>
        <w:ind w:left="1519" w:right="755" w:hanging="219"/>
        <w:jc w:val="both"/>
        <w:rPr>
          <w:sz w:val="19"/>
        </w:rPr>
      </w:pPr>
      <w:r>
        <w:rPr>
          <w:color w:val="231F20"/>
          <w:w w:val="115"/>
          <w:sz w:val="19"/>
        </w:rPr>
        <w:t>Sam</w:t>
      </w:r>
      <w:r>
        <w:rPr>
          <w:color w:val="231F20"/>
          <w:spacing w:val="-16"/>
          <w:w w:val="115"/>
          <w:sz w:val="19"/>
        </w:rPr>
        <w:t> </w:t>
      </w:r>
      <w:r>
        <w:rPr>
          <w:color w:val="231F20"/>
          <w:w w:val="115"/>
          <w:sz w:val="19"/>
        </w:rPr>
        <w:t>could</w:t>
      </w:r>
      <w:r>
        <w:rPr>
          <w:color w:val="231F20"/>
          <w:spacing w:val="-15"/>
          <w:w w:val="115"/>
          <w:sz w:val="19"/>
        </w:rPr>
        <w:t> </w:t>
      </w:r>
      <w:r>
        <w:rPr>
          <w:color w:val="231F20"/>
          <w:w w:val="115"/>
          <w:sz w:val="19"/>
        </w:rPr>
        <w:t>lower</w:t>
      </w:r>
      <w:r>
        <w:rPr>
          <w:color w:val="231F20"/>
          <w:spacing w:val="-15"/>
          <w:w w:val="115"/>
          <w:sz w:val="19"/>
        </w:rPr>
        <w:t> </w:t>
      </w:r>
      <w:r>
        <w:rPr>
          <w:color w:val="231F20"/>
          <w:w w:val="115"/>
          <w:sz w:val="19"/>
        </w:rPr>
        <w:t>his</w:t>
      </w:r>
      <w:r>
        <w:rPr>
          <w:color w:val="231F20"/>
          <w:spacing w:val="-15"/>
          <w:w w:val="115"/>
          <w:sz w:val="19"/>
        </w:rPr>
        <w:t> </w:t>
      </w:r>
      <w:r>
        <w:rPr>
          <w:color w:val="231F20"/>
          <w:w w:val="115"/>
          <w:sz w:val="19"/>
        </w:rPr>
        <w:t>risks</w:t>
      </w:r>
      <w:r>
        <w:rPr>
          <w:color w:val="231F20"/>
          <w:spacing w:val="-15"/>
          <w:w w:val="115"/>
          <w:sz w:val="19"/>
        </w:rPr>
        <w:t> </w:t>
      </w:r>
      <w:r>
        <w:rPr>
          <w:color w:val="231F20"/>
          <w:w w:val="115"/>
          <w:sz w:val="19"/>
        </w:rPr>
        <w:t>if</w:t>
      </w:r>
      <w:r>
        <w:rPr>
          <w:color w:val="231F20"/>
          <w:spacing w:val="-16"/>
          <w:w w:val="115"/>
          <w:sz w:val="19"/>
        </w:rPr>
        <w:t> </w:t>
      </w:r>
      <w:r>
        <w:rPr>
          <w:color w:val="231F20"/>
          <w:w w:val="115"/>
          <w:sz w:val="19"/>
        </w:rPr>
        <w:t>he</w:t>
      </w:r>
      <w:r>
        <w:rPr>
          <w:color w:val="231F20"/>
          <w:spacing w:val="-15"/>
          <w:w w:val="115"/>
          <w:sz w:val="19"/>
        </w:rPr>
        <w:t> </w:t>
      </w:r>
      <w:r>
        <w:rPr>
          <w:color w:val="231F20"/>
          <w:w w:val="115"/>
          <w:sz w:val="19"/>
        </w:rPr>
        <w:t>hired</w:t>
      </w:r>
      <w:r>
        <w:rPr>
          <w:color w:val="231F20"/>
          <w:spacing w:val="-15"/>
          <w:w w:val="115"/>
          <w:sz w:val="19"/>
        </w:rPr>
        <w:t> </w:t>
      </w:r>
      <w:r>
        <w:rPr>
          <w:color w:val="231F20"/>
          <w:w w:val="115"/>
          <w:sz w:val="19"/>
        </w:rPr>
        <w:t>a</w:t>
      </w:r>
      <w:r>
        <w:rPr>
          <w:color w:val="231F20"/>
          <w:spacing w:val="-15"/>
          <w:w w:val="115"/>
          <w:sz w:val="19"/>
        </w:rPr>
        <w:t> </w:t>
      </w:r>
      <w:r>
        <w:rPr>
          <w:color w:val="231F20"/>
          <w:w w:val="115"/>
          <w:sz w:val="19"/>
        </w:rPr>
        <w:t>geologist</w:t>
      </w:r>
      <w:r>
        <w:rPr>
          <w:color w:val="231F20"/>
          <w:spacing w:val="-15"/>
          <w:w w:val="115"/>
          <w:sz w:val="19"/>
        </w:rPr>
        <w:t> </w:t>
      </w:r>
      <w:r>
        <w:rPr>
          <w:color w:val="231F20"/>
          <w:w w:val="115"/>
          <w:sz w:val="19"/>
        </w:rPr>
        <w:t>to</w:t>
      </w:r>
      <w:r>
        <w:rPr>
          <w:color w:val="231F20"/>
          <w:spacing w:val="-15"/>
          <w:w w:val="115"/>
          <w:sz w:val="19"/>
        </w:rPr>
        <w:t> </w:t>
      </w:r>
      <w:r>
        <w:rPr>
          <w:color w:val="231F20"/>
          <w:w w:val="115"/>
          <w:sz w:val="19"/>
        </w:rPr>
        <w:t>perform seismic</w:t>
      </w:r>
      <w:r>
        <w:rPr>
          <w:color w:val="231F20"/>
          <w:spacing w:val="-13"/>
          <w:w w:val="115"/>
          <w:sz w:val="19"/>
        </w:rPr>
        <w:t> </w:t>
      </w:r>
      <w:r>
        <w:rPr>
          <w:color w:val="231F20"/>
          <w:w w:val="115"/>
          <w:sz w:val="19"/>
        </w:rPr>
        <w:t>testing</w:t>
      </w:r>
      <w:r>
        <w:rPr>
          <w:color w:val="231F20"/>
          <w:spacing w:val="-13"/>
          <w:w w:val="115"/>
          <w:sz w:val="19"/>
        </w:rPr>
        <w:t> </w:t>
      </w:r>
      <w:r>
        <w:rPr>
          <w:color w:val="231F20"/>
          <w:w w:val="115"/>
          <w:sz w:val="19"/>
        </w:rPr>
        <w:t>($50,000).</w:t>
      </w:r>
      <w:r>
        <w:rPr>
          <w:color w:val="231F20"/>
          <w:spacing w:val="-13"/>
          <w:w w:val="115"/>
          <w:sz w:val="19"/>
        </w:rPr>
        <w:t> </w:t>
      </w:r>
      <w:r>
        <w:rPr>
          <w:color w:val="231F20"/>
          <w:w w:val="115"/>
          <w:sz w:val="19"/>
        </w:rPr>
        <w:t>That</w:t>
      </w:r>
      <w:r>
        <w:rPr>
          <w:color w:val="231F20"/>
          <w:spacing w:val="-13"/>
          <w:w w:val="115"/>
          <w:sz w:val="19"/>
        </w:rPr>
        <w:t> </w:t>
      </w:r>
      <w:r>
        <w:rPr>
          <w:color w:val="231F20"/>
          <w:w w:val="115"/>
          <w:sz w:val="19"/>
        </w:rPr>
        <w:t>would</w:t>
      </w:r>
      <w:r>
        <w:rPr>
          <w:color w:val="231F20"/>
          <w:spacing w:val="-13"/>
          <w:w w:val="115"/>
          <w:sz w:val="19"/>
        </w:rPr>
        <w:t> </w:t>
      </w:r>
      <w:r>
        <w:rPr>
          <w:color w:val="231F20"/>
          <w:w w:val="115"/>
          <w:sz w:val="19"/>
        </w:rPr>
        <w:t>give</w:t>
      </w:r>
      <w:r>
        <w:rPr>
          <w:color w:val="231F20"/>
          <w:spacing w:val="-13"/>
          <w:w w:val="115"/>
          <w:sz w:val="19"/>
        </w:rPr>
        <w:t> </w:t>
      </w:r>
      <w:r>
        <w:rPr>
          <w:color w:val="231F20"/>
          <w:w w:val="115"/>
          <w:sz w:val="19"/>
        </w:rPr>
        <w:t>him</w:t>
      </w:r>
      <w:r>
        <w:rPr>
          <w:color w:val="231F20"/>
          <w:spacing w:val="-13"/>
          <w:w w:val="115"/>
          <w:sz w:val="19"/>
        </w:rPr>
        <w:t> </w:t>
      </w:r>
      <w:r>
        <w:rPr>
          <w:color w:val="231F20"/>
          <w:w w:val="115"/>
          <w:sz w:val="19"/>
        </w:rPr>
        <w:t>a</w:t>
      </w:r>
      <w:r>
        <w:rPr>
          <w:color w:val="231F20"/>
          <w:spacing w:val="-13"/>
          <w:w w:val="115"/>
          <w:sz w:val="19"/>
        </w:rPr>
        <w:t> </w:t>
      </w:r>
      <w:r>
        <w:rPr>
          <w:color w:val="231F20"/>
          <w:w w:val="115"/>
          <w:sz w:val="19"/>
        </w:rPr>
        <w:t>better</w:t>
      </w:r>
      <w:r>
        <w:rPr>
          <w:color w:val="231F20"/>
          <w:spacing w:val="-13"/>
          <w:w w:val="115"/>
          <w:sz w:val="19"/>
        </w:rPr>
        <w:t> </w:t>
      </w:r>
      <w:r>
        <w:rPr>
          <w:color w:val="231F20"/>
          <w:w w:val="115"/>
          <w:sz w:val="19"/>
        </w:rPr>
        <w:t>in- dication of success and lower his risk of wasting drilling </w:t>
      </w:r>
      <w:r>
        <w:rPr>
          <w:color w:val="231F20"/>
          <w:spacing w:val="-2"/>
          <w:w w:val="115"/>
          <w:sz w:val="19"/>
        </w:rPr>
        <w:t>costs.</w:t>
      </w:r>
    </w:p>
    <w:p>
      <w:pPr>
        <w:pStyle w:val="ListParagraph"/>
        <w:numPr>
          <w:ilvl w:val="0"/>
          <w:numId w:val="30"/>
        </w:numPr>
        <w:tabs>
          <w:tab w:pos="1521" w:val="left" w:leader="none"/>
        </w:tabs>
        <w:spacing w:line="328" w:lineRule="auto" w:before="3" w:after="0"/>
        <w:ind w:left="1519" w:right="756" w:hanging="223"/>
        <w:jc w:val="both"/>
        <w:rPr>
          <w:sz w:val="19"/>
        </w:rPr>
      </w:pPr>
      <w:r>
        <w:rPr>
          <w:color w:val="231F20"/>
          <w:w w:val="115"/>
          <w:sz w:val="19"/>
        </w:rPr>
        <w:t>Should</w:t>
      </w:r>
      <w:r>
        <w:rPr>
          <w:color w:val="231F20"/>
          <w:spacing w:val="-11"/>
          <w:w w:val="115"/>
          <w:sz w:val="19"/>
        </w:rPr>
        <w:t> </w:t>
      </w:r>
      <w:r>
        <w:rPr>
          <w:color w:val="231F20"/>
          <w:w w:val="115"/>
          <w:sz w:val="19"/>
        </w:rPr>
        <w:t>he</w:t>
      </w:r>
      <w:r>
        <w:rPr>
          <w:color w:val="231F20"/>
          <w:spacing w:val="-11"/>
          <w:w w:val="115"/>
          <w:sz w:val="19"/>
        </w:rPr>
        <w:t> </w:t>
      </w:r>
      <w:r>
        <w:rPr>
          <w:color w:val="231F20"/>
          <w:w w:val="115"/>
          <w:sz w:val="19"/>
        </w:rPr>
        <w:t>roll</w:t>
      </w:r>
      <w:r>
        <w:rPr>
          <w:color w:val="231F20"/>
          <w:spacing w:val="-11"/>
          <w:w w:val="115"/>
          <w:sz w:val="19"/>
        </w:rPr>
        <w:t> </w:t>
      </w:r>
      <w:r>
        <w:rPr>
          <w:color w:val="231F20"/>
          <w:w w:val="115"/>
          <w:sz w:val="19"/>
        </w:rPr>
        <w:t>the</w:t>
      </w:r>
      <w:r>
        <w:rPr>
          <w:color w:val="231F20"/>
          <w:spacing w:val="-11"/>
          <w:w w:val="115"/>
          <w:sz w:val="19"/>
        </w:rPr>
        <w:t> </w:t>
      </w:r>
      <w:r>
        <w:rPr>
          <w:color w:val="231F20"/>
          <w:w w:val="115"/>
          <w:sz w:val="19"/>
        </w:rPr>
        <w:t>dice</w:t>
      </w:r>
      <w:r>
        <w:rPr>
          <w:color w:val="231F20"/>
          <w:spacing w:val="-11"/>
          <w:w w:val="115"/>
          <w:sz w:val="19"/>
        </w:rPr>
        <w:t> </w:t>
      </w:r>
      <w:r>
        <w:rPr>
          <w:color w:val="231F20"/>
          <w:w w:val="115"/>
          <w:sz w:val="19"/>
        </w:rPr>
        <w:t>and</w:t>
      </w:r>
      <w:r>
        <w:rPr>
          <w:color w:val="231F20"/>
          <w:spacing w:val="-11"/>
          <w:w w:val="115"/>
          <w:sz w:val="19"/>
        </w:rPr>
        <w:t> </w:t>
      </w:r>
      <w:r>
        <w:rPr>
          <w:color w:val="231F20"/>
          <w:w w:val="115"/>
          <w:sz w:val="19"/>
        </w:rPr>
        <w:t>incur</w:t>
      </w:r>
      <w:r>
        <w:rPr>
          <w:color w:val="231F20"/>
          <w:spacing w:val="-11"/>
          <w:w w:val="115"/>
          <w:sz w:val="19"/>
        </w:rPr>
        <w:t> </w:t>
      </w:r>
      <w:r>
        <w:rPr>
          <w:color w:val="231F20"/>
          <w:w w:val="115"/>
          <w:sz w:val="19"/>
        </w:rPr>
        <w:t>$200,000</w:t>
      </w:r>
      <w:r>
        <w:rPr>
          <w:color w:val="231F20"/>
          <w:spacing w:val="-11"/>
          <w:w w:val="115"/>
          <w:sz w:val="19"/>
        </w:rPr>
        <w:t> </w:t>
      </w:r>
      <w:r>
        <w:rPr>
          <w:color w:val="231F20"/>
          <w:w w:val="115"/>
          <w:sz w:val="19"/>
        </w:rPr>
        <w:t>in</w:t>
      </w:r>
      <w:r>
        <w:rPr>
          <w:color w:val="231F20"/>
          <w:spacing w:val="-11"/>
          <w:w w:val="115"/>
          <w:sz w:val="19"/>
        </w:rPr>
        <w:t> </w:t>
      </w:r>
      <w:r>
        <w:rPr>
          <w:color w:val="231F20"/>
          <w:w w:val="115"/>
          <w:sz w:val="19"/>
        </w:rPr>
        <w:t>drilling</w:t>
      </w:r>
      <w:r>
        <w:rPr>
          <w:color w:val="231F20"/>
          <w:spacing w:val="-11"/>
          <w:w w:val="115"/>
          <w:sz w:val="19"/>
        </w:rPr>
        <w:t> </w:t>
      </w:r>
      <w:r>
        <w:rPr>
          <w:color w:val="231F20"/>
          <w:w w:val="115"/>
          <w:sz w:val="19"/>
        </w:rPr>
        <w:t>costs without a seismic evaluation to guide him?</w:t>
      </w:r>
    </w:p>
    <w:p>
      <w:pPr>
        <w:pStyle w:val="ListParagraph"/>
        <w:numPr>
          <w:ilvl w:val="0"/>
          <w:numId w:val="30"/>
        </w:numPr>
        <w:tabs>
          <w:tab w:pos="1521" w:val="left" w:leader="none"/>
        </w:tabs>
        <w:spacing w:line="328" w:lineRule="auto" w:before="1" w:after="0"/>
        <w:ind w:left="1519" w:right="756" w:hanging="233"/>
        <w:jc w:val="both"/>
        <w:rPr>
          <w:sz w:val="19"/>
        </w:rPr>
      </w:pPr>
      <w:r>
        <w:rPr>
          <w:color w:val="231F20"/>
          <w:w w:val="115"/>
          <w:sz w:val="19"/>
        </w:rPr>
        <w:t>Sam</w:t>
      </w:r>
      <w:r>
        <w:rPr>
          <w:color w:val="231F20"/>
          <w:spacing w:val="-16"/>
          <w:w w:val="115"/>
          <w:sz w:val="19"/>
        </w:rPr>
        <w:t> </w:t>
      </w:r>
      <w:r>
        <w:rPr>
          <w:color w:val="231F20"/>
          <w:w w:val="115"/>
          <w:sz w:val="19"/>
        </w:rPr>
        <w:t>consulted</w:t>
      </w:r>
      <w:r>
        <w:rPr>
          <w:color w:val="231F20"/>
          <w:spacing w:val="-15"/>
          <w:w w:val="115"/>
          <w:sz w:val="19"/>
        </w:rPr>
        <w:t> </w:t>
      </w:r>
      <w:r>
        <w:rPr>
          <w:color w:val="231F20"/>
          <w:w w:val="115"/>
          <w:sz w:val="19"/>
        </w:rPr>
        <w:t>with</w:t>
      </w:r>
      <w:r>
        <w:rPr>
          <w:color w:val="231F20"/>
          <w:spacing w:val="-15"/>
          <w:w w:val="115"/>
          <w:sz w:val="19"/>
        </w:rPr>
        <w:t> </w:t>
      </w:r>
      <w:r>
        <w:rPr>
          <w:color w:val="231F20"/>
          <w:w w:val="115"/>
          <w:sz w:val="19"/>
        </w:rPr>
        <w:t>oil</w:t>
      </w:r>
      <w:r>
        <w:rPr>
          <w:color w:val="231F20"/>
          <w:spacing w:val="-15"/>
          <w:w w:val="115"/>
          <w:sz w:val="19"/>
        </w:rPr>
        <w:t> </w:t>
      </w:r>
      <w:r>
        <w:rPr>
          <w:color w:val="231F20"/>
          <w:w w:val="115"/>
          <w:sz w:val="19"/>
        </w:rPr>
        <w:t>experts.</w:t>
      </w:r>
      <w:r>
        <w:rPr>
          <w:color w:val="231F20"/>
          <w:spacing w:val="-15"/>
          <w:w w:val="115"/>
          <w:sz w:val="19"/>
        </w:rPr>
        <w:t> </w:t>
      </w:r>
      <w:r>
        <w:rPr>
          <w:color w:val="231F20"/>
          <w:w w:val="115"/>
          <w:sz w:val="19"/>
        </w:rPr>
        <w:t>They</w:t>
      </w:r>
      <w:r>
        <w:rPr>
          <w:color w:val="231F20"/>
          <w:spacing w:val="-16"/>
          <w:w w:val="115"/>
          <w:sz w:val="19"/>
        </w:rPr>
        <w:t> </w:t>
      </w:r>
      <w:r>
        <w:rPr>
          <w:color w:val="231F20"/>
          <w:w w:val="115"/>
          <w:sz w:val="19"/>
        </w:rPr>
        <w:t>believe</w:t>
      </w:r>
      <w:r>
        <w:rPr>
          <w:color w:val="231F20"/>
          <w:spacing w:val="-15"/>
          <w:w w:val="115"/>
          <w:sz w:val="19"/>
        </w:rPr>
        <w:t> </w:t>
      </w:r>
      <w:r>
        <w:rPr>
          <w:color w:val="231F20"/>
          <w:w w:val="115"/>
          <w:sz w:val="19"/>
        </w:rPr>
        <w:t>Sam’s</w:t>
      </w:r>
      <w:r>
        <w:rPr>
          <w:color w:val="231F20"/>
          <w:spacing w:val="-15"/>
          <w:w w:val="115"/>
          <w:sz w:val="19"/>
        </w:rPr>
        <w:t> </w:t>
      </w:r>
      <w:r>
        <w:rPr>
          <w:color w:val="231F20"/>
          <w:w w:val="115"/>
          <w:sz w:val="19"/>
        </w:rPr>
        <w:t>parcel has a 60 percent chance of having oil without the </w:t>
      </w:r>
      <w:r>
        <w:rPr>
          <w:color w:val="231F20"/>
          <w:w w:val="115"/>
          <w:sz w:val="19"/>
        </w:rPr>
        <w:t>benefit</w:t>
      </w:r>
      <w:r>
        <w:rPr>
          <w:color w:val="231F20"/>
          <w:w w:val="115"/>
          <w:sz w:val="19"/>
        </w:rPr>
        <w:t> of any tests.</w:t>
      </w:r>
    </w:p>
    <w:p>
      <w:pPr>
        <w:pStyle w:val="ListParagraph"/>
        <w:numPr>
          <w:ilvl w:val="0"/>
          <w:numId w:val="30"/>
        </w:numPr>
        <w:tabs>
          <w:tab w:pos="1521" w:val="left" w:leader="none"/>
        </w:tabs>
        <w:spacing w:line="328" w:lineRule="auto" w:before="2" w:after="0"/>
        <w:ind w:left="1519" w:right="755" w:hanging="222"/>
        <w:jc w:val="both"/>
        <w:rPr>
          <w:sz w:val="19"/>
        </w:rPr>
      </w:pPr>
      <w:r>
        <w:rPr>
          <w:color w:val="231F20"/>
          <w:w w:val="110"/>
          <w:sz w:val="19"/>
        </w:rPr>
        <w:t>It</w:t>
      </w:r>
      <w:r>
        <w:rPr>
          <w:color w:val="231F20"/>
          <w:spacing w:val="-4"/>
          <w:w w:val="110"/>
          <w:sz w:val="19"/>
        </w:rPr>
        <w:t> </w:t>
      </w:r>
      <w:r>
        <w:rPr>
          <w:color w:val="231F20"/>
          <w:w w:val="110"/>
          <w:sz w:val="19"/>
        </w:rPr>
        <w:t>has</w:t>
      </w:r>
      <w:r>
        <w:rPr>
          <w:color w:val="231F20"/>
          <w:spacing w:val="-4"/>
          <w:w w:val="110"/>
          <w:sz w:val="19"/>
        </w:rPr>
        <w:t> </w:t>
      </w:r>
      <w:r>
        <w:rPr>
          <w:color w:val="231F20"/>
          <w:w w:val="110"/>
          <w:sz w:val="19"/>
        </w:rPr>
        <w:t>also</w:t>
      </w:r>
      <w:r>
        <w:rPr>
          <w:color w:val="231F20"/>
          <w:spacing w:val="-4"/>
          <w:w w:val="110"/>
          <w:sz w:val="19"/>
        </w:rPr>
        <w:t> </w:t>
      </w:r>
      <w:r>
        <w:rPr>
          <w:color w:val="231F20"/>
          <w:w w:val="110"/>
          <w:sz w:val="19"/>
        </w:rPr>
        <w:t>been</w:t>
      </w:r>
      <w:r>
        <w:rPr>
          <w:color w:val="231F20"/>
          <w:spacing w:val="-4"/>
          <w:w w:val="110"/>
          <w:sz w:val="19"/>
        </w:rPr>
        <w:t> </w:t>
      </w:r>
      <w:r>
        <w:rPr>
          <w:color w:val="231F20"/>
          <w:w w:val="110"/>
          <w:sz w:val="19"/>
        </w:rPr>
        <w:t>the</w:t>
      </w:r>
      <w:r>
        <w:rPr>
          <w:color w:val="231F20"/>
          <w:spacing w:val="-4"/>
          <w:w w:val="110"/>
          <w:sz w:val="19"/>
        </w:rPr>
        <w:t> </w:t>
      </w:r>
      <w:r>
        <w:rPr>
          <w:color w:val="231F20"/>
          <w:w w:val="110"/>
          <w:sz w:val="19"/>
        </w:rPr>
        <w:t>experts’</w:t>
      </w:r>
      <w:r>
        <w:rPr>
          <w:color w:val="231F20"/>
          <w:spacing w:val="-4"/>
          <w:w w:val="110"/>
          <w:sz w:val="19"/>
        </w:rPr>
        <w:t> </w:t>
      </w:r>
      <w:r>
        <w:rPr>
          <w:color w:val="231F20"/>
          <w:w w:val="110"/>
          <w:sz w:val="19"/>
        </w:rPr>
        <w:t>experience</w:t>
      </w:r>
      <w:r>
        <w:rPr>
          <w:color w:val="231F20"/>
          <w:spacing w:val="-4"/>
          <w:w w:val="110"/>
          <w:sz w:val="19"/>
        </w:rPr>
        <w:t> </w:t>
      </w:r>
      <w:r>
        <w:rPr>
          <w:color w:val="231F20"/>
          <w:w w:val="110"/>
          <w:sz w:val="19"/>
        </w:rPr>
        <w:t>that</w:t>
      </w:r>
      <w:r>
        <w:rPr>
          <w:color w:val="231F20"/>
          <w:spacing w:val="-4"/>
          <w:w w:val="110"/>
          <w:sz w:val="19"/>
        </w:rPr>
        <w:t> </w:t>
      </w:r>
      <w:r>
        <w:rPr>
          <w:color w:val="231F20"/>
          <w:w w:val="110"/>
          <w:sz w:val="19"/>
        </w:rPr>
        <w:t>if</w:t>
      </w:r>
      <w:r>
        <w:rPr>
          <w:color w:val="231F20"/>
          <w:spacing w:val="-4"/>
          <w:w w:val="110"/>
          <w:sz w:val="19"/>
        </w:rPr>
        <w:t> </w:t>
      </w:r>
      <w:r>
        <w:rPr>
          <w:color w:val="231F20"/>
          <w:w w:val="110"/>
          <w:sz w:val="19"/>
        </w:rPr>
        <w:t>seismic</w:t>
      </w:r>
      <w:r>
        <w:rPr>
          <w:color w:val="231F20"/>
          <w:spacing w:val="-4"/>
          <w:w w:val="110"/>
          <w:sz w:val="19"/>
        </w:rPr>
        <w:t> </w:t>
      </w:r>
      <w:r>
        <w:rPr>
          <w:color w:val="231F20"/>
          <w:w w:val="110"/>
          <w:sz w:val="19"/>
        </w:rPr>
        <w:t>tests are positive for the oil, there is a 90 percent chance there is “some” oil. And conversely, there is a 10 percent chance </w:t>
      </w:r>
      <w:r>
        <w:rPr>
          <w:color w:val="231F20"/>
          <w:w w:val="110"/>
          <w:sz w:val="19"/>
        </w:rPr>
        <w:t>of</w:t>
      </w:r>
      <w:r>
        <w:rPr>
          <w:color w:val="231F20"/>
          <w:w w:val="110"/>
          <w:sz w:val="19"/>
        </w:rPr>
        <w:t> </w:t>
      </w:r>
      <w:r>
        <w:rPr>
          <w:color w:val="231F20"/>
          <w:spacing w:val="-2"/>
          <w:w w:val="110"/>
          <w:sz w:val="19"/>
        </w:rPr>
        <w:t>failure.</w:t>
      </w:r>
    </w:p>
    <w:p>
      <w:pPr>
        <w:pStyle w:val="ListParagraph"/>
        <w:numPr>
          <w:ilvl w:val="0"/>
          <w:numId w:val="30"/>
        </w:numPr>
        <w:tabs>
          <w:tab w:pos="1521" w:val="left" w:leader="none"/>
        </w:tabs>
        <w:spacing w:line="328" w:lineRule="auto" w:before="3" w:after="0"/>
        <w:ind w:left="1519" w:right="754" w:hanging="229"/>
        <w:jc w:val="both"/>
        <w:rPr>
          <w:sz w:val="19"/>
        </w:rPr>
      </w:pPr>
      <w:r>
        <w:rPr>
          <w:color w:val="231F20"/>
          <w:w w:val="110"/>
          <w:sz w:val="19"/>
        </w:rPr>
        <w:t>If the seismic tests are negative, Sam could still drill but</w:t>
      </w:r>
      <w:r>
        <w:rPr>
          <w:color w:val="231F20"/>
          <w:spacing w:val="40"/>
          <w:w w:val="110"/>
          <w:sz w:val="19"/>
        </w:rPr>
        <w:t> </w:t>
      </w:r>
      <w:r>
        <w:rPr>
          <w:color w:val="231F20"/>
          <w:w w:val="110"/>
          <w:sz w:val="19"/>
        </w:rPr>
        <w:t>with</w:t>
      </w:r>
      <w:r>
        <w:rPr>
          <w:color w:val="231F20"/>
          <w:w w:val="110"/>
          <w:sz w:val="19"/>
        </w:rPr>
        <w:t> a</w:t>
      </w:r>
      <w:r>
        <w:rPr>
          <w:color w:val="231F20"/>
          <w:w w:val="110"/>
          <w:sz w:val="19"/>
        </w:rPr>
        <w:t> 10</w:t>
      </w:r>
      <w:r>
        <w:rPr>
          <w:color w:val="231F20"/>
          <w:w w:val="110"/>
          <w:sz w:val="19"/>
        </w:rPr>
        <w:t> percent</w:t>
      </w:r>
      <w:r>
        <w:rPr>
          <w:color w:val="231F20"/>
          <w:w w:val="110"/>
          <w:sz w:val="19"/>
        </w:rPr>
        <w:t> chance</w:t>
      </w:r>
      <w:r>
        <w:rPr>
          <w:color w:val="231F20"/>
          <w:w w:val="110"/>
          <w:sz w:val="19"/>
        </w:rPr>
        <w:t> of</w:t>
      </w:r>
      <w:r>
        <w:rPr>
          <w:color w:val="231F20"/>
          <w:w w:val="110"/>
          <w:sz w:val="19"/>
        </w:rPr>
        <w:t> success</w:t>
      </w:r>
      <w:r>
        <w:rPr>
          <w:color w:val="231F20"/>
          <w:w w:val="110"/>
          <w:sz w:val="19"/>
        </w:rPr>
        <w:t> and</w:t>
      </w:r>
      <w:r>
        <w:rPr>
          <w:color w:val="231F20"/>
          <w:w w:val="110"/>
          <w:sz w:val="19"/>
        </w:rPr>
        <w:t> a</w:t>
      </w:r>
      <w:r>
        <w:rPr>
          <w:color w:val="231F20"/>
          <w:w w:val="110"/>
          <w:sz w:val="19"/>
        </w:rPr>
        <w:t> 90</w:t>
      </w:r>
      <w:r>
        <w:rPr>
          <w:color w:val="231F20"/>
          <w:w w:val="110"/>
          <w:sz w:val="19"/>
        </w:rPr>
        <w:t> percent chance of failure.</w:t>
      </w:r>
    </w:p>
    <w:p>
      <w:pPr>
        <w:pStyle w:val="ListParagraph"/>
        <w:numPr>
          <w:ilvl w:val="0"/>
          <w:numId w:val="30"/>
        </w:numPr>
        <w:tabs>
          <w:tab w:pos="1521" w:val="left" w:leader="none"/>
        </w:tabs>
        <w:spacing w:line="240" w:lineRule="auto" w:before="2" w:after="0"/>
        <w:ind w:left="1520" w:right="0" w:hanging="200"/>
        <w:jc w:val="both"/>
        <w:rPr>
          <w:sz w:val="19"/>
        </w:rPr>
      </w:pPr>
      <w:r>
        <w:rPr>
          <w:color w:val="231F20"/>
          <w:w w:val="115"/>
          <w:sz w:val="19"/>
        </w:rPr>
        <w:t>Sam</w:t>
      </w:r>
      <w:r>
        <w:rPr>
          <w:color w:val="231F20"/>
          <w:spacing w:val="-12"/>
          <w:w w:val="115"/>
          <w:sz w:val="19"/>
        </w:rPr>
        <w:t> </w:t>
      </w:r>
      <w:r>
        <w:rPr>
          <w:color w:val="231F20"/>
          <w:w w:val="115"/>
          <w:sz w:val="19"/>
        </w:rPr>
        <w:t>could</w:t>
      </w:r>
      <w:r>
        <w:rPr>
          <w:color w:val="231F20"/>
          <w:spacing w:val="-11"/>
          <w:w w:val="115"/>
          <w:sz w:val="19"/>
        </w:rPr>
        <w:t> </w:t>
      </w:r>
      <w:r>
        <w:rPr>
          <w:color w:val="231F20"/>
          <w:w w:val="115"/>
          <w:sz w:val="19"/>
        </w:rPr>
        <w:t>decide</w:t>
      </w:r>
      <w:r>
        <w:rPr>
          <w:color w:val="231F20"/>
          <w:spacing w:val="-12"/>
          <w:w w:val="115"/>
          <w:sz w:val="19"/>
        </w:rPr>
        <w:t> </w:t>
      </w:r>
      <w:r>
        <w:rPr>
          <w:color w:val="231F20"/>
          <w:w w:val="115"/>
          <w:sz w:val="19"/>
        </w:rPr>
        <w:t>not</w:t>
      </w:r>
      <w:r>
        <w:rPr>
          <w:color w:val="231F20"/>
          <w:spacing w:val="-11"/>
          <w:w w:val="115"/>
          <w:sz w:val="19"/>
        </w:rPr>
        <w:t> </w:t>
      </w:r>
      <w:r>
        <w:rPr>
          <w:color w:val="231F20"/>
          <w:w w:val="115"/>
          <w:sz w:val="19"/>
        </w:rPr>
        <w:t>to</w:t>
      </w:r>
      <w:r>
        <w:rPr>
          <w:color w:val="231F20"/>
          <w:spacing w:val="-12"/>
          <w:w w:val="115"/>
          <w:sz w:val="19"/>
        </w:rPr>
        <w:t> </w:t>
      </w:r>
      <w:r>
        <w:rPr>
          <w:color w:val="231F20"/>
          <w:w w:val="115"/>
          <w:sz w:val="19"/>
        </w:rPr>
        <w:t>drill</w:t>
      </w:r>
      <w:r>
        <w:rPr>
          <w:color w:val="231F20"/>
          <w:spacing w:val="-11"/>
          <w:w w:val="115"/>
          <w:sz w:val="19"/>
        </w:rPr>
        <w:t> </w:t>
      </w:r>
      <w:r>
        <w:rPr>
          <w:color w:val="231F20"/>
          <w:w w:val="115"/>
          <w:sz w:val="19"/>
        </w:rPr>
        <w:t>at</w:t>
      </w:r>
      <w:r>
        <w:rPr>
          <w:color w:val="231F20"/>
          <w:spacing w:val="-12"/>
          <w:w w:val="115"/>
          <w:sz w:val="19"/>
        </w:rPr>
        <w:t> </w:t>
      </w:r>
      <w:r>
        <w:rPr>
          <w:color w:val="231F20"/>
          <w:spacing w:val="-4"/>
          <w:w w:val="115"/>
          <w:sz w:val="19"/>
        </w:rPr>
        <w:t>all.</w:t>
      </w:r>
    </w:p>
    <w:p>
      <w:pPr>
        <w:pStyle w:val="BodyText"/>
        <w:rPr>
          <w:rFonts w:ascii="Arial"/>
          <w:sz w:val="20"/>
        </w:rPr>
      </w:pPr>
    </w:p>
    <w:p>
      <w:pPr>
        <w:pStyle w:val="BodyText"/>
        <w:spacing w:line="292" w:lineRule="auto" w:before="130"/>
        <w:ind w:left="830" w:right="753" w:firstLine="340"/>
        <w:jc w:val="both"/>
      </w:pPr>
      <w:r>
        <w:rPr>
          <w:color w:val="231F20"/>
        </w:rPr>
        <w:t>Each piece of information above is incorporated into a tree diagram. A tree diagram graphically organizes Mr. Houston’s </w:t>
      </w:r>
      <w:r>
        <w:rPr>
          <w:color w:val="231F20"/>
          <w:spacing w:val="-2"/>
        </w:rPr>
        <w:t>alternatives.</w:t>
      </w:r>
    </w:p>
    <w:p>
      <w:pPr>
        <w:pStyle w:val="BodyText"/>
        <w:spacing w:line="292" w:lineRule="auto"/>
        <w:ind w:left="830" w:right="753" w:firstLine="340"/>
        <w:jc w:val="both"/>
      </w:pPr>
      <w:r>
        <w:rPr>
          <w:color w:val="231F20"/>
        </w:rPr>
        <w:t>Before you get too enthusiastic over the drawing of trees, you must</w:t>
      </w:r>
      <w:r>
        <w:rPr>
          <w:color w:val="231F20"/>
          <w:spacing w:val="57"/>
        </w:rPr>
        <w:t> </w:t>
      </w:r>
      <w:r>
        <w:rPr>
          <w:color w:val="231F20"/>
        </w:rPr>
        <w:t>determine</w:t>
      </w:r>
      <w:r>
        <w:rPr>
          <w:color w:val="231F20"/>
          <w:spacing w:val="57"/>
        </w:rPr>
        <w:t> </w:t>
      </w:r>
      <w:r>
        <w:rPr>
          <w:color w:val="231F20"/>
        </w:rPr>
        <w:t>what</w:t>
      </w:r>
      <w:r>
        <w:rPr>
          <w:color w:val="231F20"/>
          <w:spacing w:val="57"/>
        </w:rPr>
        <w:t> </w:t>
      </w:r>
      <w:r>
        <w:rPr>
          <w:color w:val="231F20"/>
        </w:rPr>
        <w:t>information</w:t>
      </w:r>
      <w:r>
        <w:rPr>
          <w:color w:val="231F20"/>
          <w:spacing w:val="57"/>
        </w:rPr>
        <w:t> </w:t>
      </w:r>
      <w:r>
        <w:rPr>
          <w:color w:val="231F20"/>
        </w:rPr>
        <w:t>is</w:t>
      </w:r>
      <w:r>
        <w:rPr>
          <w:color w:val="231F20"/>
          <w:spacing w:val="58"/>
        </w:rPr>
        <w:t> </w:t>
      </w:r>
      <w:r>
        <w:rPr>
          <w:color w:val="231F20"/>
        </w:rPr>
        <w:t>irrelevant.</w:t>
      </w:r>
      <w:r>
        <w:rPr>
          <w:color w:val="231F20"/>
          <w:spacing w:val="57"/>
        </w:rPr>
        <w:t> </w:t>
      </w:r>
      <w:r>
        <w:rPr>
          <w:color w:val="231F20"/>
        </w:rPr>
        <w:t>In</w:t>
      </w:r>
      <w:r>
        <w:rPr>
          <w:color w:val="231F20"/>
          <w:spacing w:val="57"/>
        </w:rPr>
        <w:t> </w:t>
      </w:r>
      <w:r>
        <w:rPr>
          <w:color w:val="231F20"/>
        </w:rPr>
        <w:t>this</w:t>
      </w:r>
      <w:r>
        <w:rPr>
          <w:color w:val="231F20"/>
          <w:spacing w:val="57"/>
        </w:rPr>
        <w:t> </w:t>
      </w:r>
      <w:r>
        <w:rPr>
          <w:color w:val="231F20"/>
        </w:rPr>
        <w:t>case,</w:t>
      </w:r>
      <w:r>
        <w:rPr>
          <w:color w:val="231F20"/>
          <w:spacing w:val="57"/>
        </w:rPr>
        <w:t> </w:t>
      </w:r>
      <w:r>
        <w:rPr>
          <w:color w:val="231F20"/>
          <w:spacing w:val="-5"/>
        </w:rPr>
        <w:t>the</w:t>
      </w:r>
    </w:p>
    <w:p>
      <w:pPr>
        <w:pStyle w:val="BodyText"/>
        <w:spacing w:line="292" w:lineRule="auto"/>
        <w:ind w:left="830" w:right="756"/>
        <w:jc w:val="both"/>
      </w:pPr>
      <w:r>
        <w:rPr>
          <w:color w:val="231F20"/>
        </w:rPr>
        <w:t>$20,000 Sam paid for his drilling option is extraneous; it is a </w:t>
      </w:r>
      <w:r>
        <w:rPr>
          <w:i/>
          <w:color w:val="231F20"/>
        </w:rPr>
        <w:t>sunk</w:t>
      </w:r>
      <w:r>
        <w:rPr>
          <w:i/>
          <w:color w:val="231F20"/>
        </w:rPr>
        <w:t> cost. </w:t>
      </w:r>
      <w:r>
        <w:rPr>
          <w:color w:val="231F20"/>
        </w:rPr>
        <w:t>The money is out the door, sunk down a well. It isn’t coming back no matter what Sam decides. Sunk costs are therefore excluded from decision trees.</w:t>
      </w:r>
    </w:p>
    <w:p>
      <w:pPr>
        <w:spacing w:after="0" w:line="292" w:lineRule="auto"/>
        <w:jc w:val="both"/>
        <w:sectPr>
          <w:pgSz w:w="8640" w:h="12960"/>
          <w:pgMar w:header="732" w:footer="0" w:top="920" w:bottom="280" w:left="340" w:right="500"/>
        </w:sectPr>
      </w:pPr>
    </w:p>
    <w:p>
      <w:pPr>
        <w:pStyle w:val="BodyText"/>
        <w:spacing w:before="8"/>
        <w:rPr>
          <w:sz w:val="17"/>
        </w:rPr>
      </w:pPr>
    </w:p>
    <w:p>
      <w:pPr>
        <w:pStyle w:val="Heading6"/>
        <w:spacing w:before="99"/>
        <w:rPr>
          <w:i/>
        </w:rPr>
      </w:pPr>
      <w:r>
        <w:rPr>
          <w:i/>
          <w:color w:val="231F20"/>
          <w:w w:val="110"/>
        </w:rPr>
        <w:t>DRAWING</w:t>
      </w:r>
      <w:r>
        <w:rPr>
          <w:i/>
          <w:color w:val="231F20"/>
          <w:spacing w:val="66"/>
          <w:w w:val="110"/>
        </w:rPr>
        <w:t> </w:t>
      </w:r>
      <w:r>
        <w:rPr>
          <w:i/>
          <w:color w:val="231F20"/>
          <w:w w:val="110"/>
        </w:rPr>
        <w:t>A</w:t>
      </w:r>
      <w:r>
        <w:rPr>
          <w:i/>
          <w:color w:val="231F20"/>
          <w:spacing w:val="66"/>
          <w:w w:val="110"/>
        </w:rPr>
        <w:t> </w:t>
      </w:r>
      <w:r>
        <w:rPr>
          <w:i/>
          <w:color w:val="231F20"/>
          <w:w w:val="110"/>
        </w:rPr>
        <w:t>DECISION</w:t>
      </w:r>
      <w:r>
        <w:rPr>
          <w:i/>
          <w:color w:val="231F20"/>
          <w:spacing w:val="66"/>
          <w:w w:val="110"/>
        </w:rPr>
        <w:t> </w:t>
      </w:r>
      <w:r>
        <w:rPr>
          <w:i/>
          <w:color w:val="231F20"/>
          <w:spacing w:val="6"/>
          <w:w w:val="110"/>
        </w:rPr>
        <w:t>TREE</w:t>
      </w:r>
    </w:p>
    <w:p>
      <w:pPr>
        <w:pStyle w:val="BodyText"/>
        <w:spacing w:before="2"/>
        <w:rPr>
          <w:b/>
          <w:i/>
          <w:sz w:val="30"/>
        </w:rPr>
      </w:pPr>
    </w:p>
    <w:p>
      <w:pPr>
        <w:pStyle w:val="BodyText"/>
        <w:spacing w:line="292" w:lineRule="auto"/>
        <w:ind w:left="919" w:right="666"/>
        <w:jc w:val="both"/>
      </w:pPr>
      <w:r>
        <w:rPr>
          <w:color w:val="231F20"/>
        </w:rPr>
        <w:t>The</w:t>
      </w:r>
      <w:r>
        <w:rPr>
          <w:color w:val="231F20"/>
          <w:spacing w:val="-4"/>
        </w:rPr>
        <w:t> </w:t>
      </w:r>
      <w:r>
        <w:rPr>
          <w:color w:val="231F20"/>
        </w:rPr>
        <w:t>first</w:t>
      </w:r>
      <w:r>
        <w:rPr>
          <w:color w:val="231F20"/>
          <w:spacing w:val="-4"/>
        </w:rPr>
        <w:t> </w:t>
      </w:r>
      <w:r>
        <w:rPr>
          <w:color w:val="231F20"/>
        </w:rPr>
        <w:t>step</w:t>
      </w:r>
      <w:r>
        <w:rPr>
          <w:color w:val="231F20"/>
          <w:spacing w:val="-4"/>
        </w:rPr>
        <w:t> </w:t>
      </w:r>
      <w:r>
        <w:rPr>
          <w:color w:val="231F20"/>
        </w:rPr>
        <w:t>to</w:t>
      </w:r>
      <w:r>
        <w:rPr>
          <w:color w:val="231F20"/>
          <w:spacing w:val="-4"/>
        </w:rPr>
        <w:t> </w:t>
      </w:r>
      <w:r>
        <w:rPr>
          <w:color w:val="231F20"/>
        </w:rPr>
        <w:t>drawing</w:t>
      </w:r>
      <w:r>
        <w:rPr>
          <w:color w:val="231F20"/>
          <w:spacing w:val="-4"/>
        </w:rPr>
        <w:t> </w:t>
      </w:r>
      <w:r>
        <w:rPr>
          <w:color w:val="231F20"/>
        </w:rPr>
        <w:t>the</w:t>
      </w:r>
      <w:r>
        <w:rPr>
          <w:color w:val="231F20"/>
          <w:spacing w:val="-4"/>
        </w:rPr>
        <w:t> </w:t>
      </w:r>
      <w:r>
        <w:rPr>
          <w:color w:val="231F20"/>
        </w:rPr>
        <w:t>tree</w:t>
      </w:r>
      <w:r>
        <w:rPr>
          <w:color w:val="231F20"/>
          <w:spacing w:val="-4"/>
        </w:rPr>
        <w:t> </w:t>
      </w:r>
      <w:r>
        <w:rPr>
          <w:color w:val="231F20"/>
        </w:rPr>
        <w:t>is</w:t>
      </w:r>
      <w:r>
        <w:rPr>
          <w:color w:val="231F20"/>
          <w:spacing w:val="-4"/>
        </w:rPr>
        <w:t> </w:t>
      </w:r>
      <w:r>
        <w:rPr>
          <w:color w:val="231F20"/>
        </w:rPr>
        <w:t>to</w:t>
      </w:r>
      <w:r>
        <w:rPr>
          <w:color w:val="231F20"/>
          <w:spacing w:val="-4"/>
        </w:rPr>
        <w:t> </w:t>
      </w:r>
      <w:r>
        <w:rPr>
          <w:color w:val="231F20"/>
        </w:rPr>
        <w:t>determine</w:t>
      </w:r>
      <w:r>
        <w:rPr>
          <w:color w:val="231F20"/>
          <w:spacing w:val="-4"/>
        </w:rPr>
        <w:t> </w:t>
      </w:r>
      <w:r>
        <w:rPr>
          <w:color w:val="231F20"/>
        </w:rPr>
        <w:t>the</w:t>
      </w:r>
      <w:r>
        <w:rPr>
          <w:color w:val="231F20"/>
          <w:spacing w:val="-4"/>
        </w:rPr>
        <w:t> </w:t>
      </w:r>
      <w:r>
        <w:rPr>
          <w:color w:val="231F20"/>
        </w:rPr>
        <w:t>first</w:t>
      </w:r>
      <w:r>
        <w:rPr>
          <w:color w:val="231F20"/>
          <w:spacing w:val="-4"/>
        </w:rPr>
        <w:t> </w:t>
      </w:r>
      <w:r>
        <w:rPr>
          <w:color w:val="231F20"/>
        </w:rPr>
        <w:t>decision</w:t>
      </w:r>
      <w:r>
        <w:rPr>
          <w:color w:val="231F20"/>
          <w:spacing w:val="-4"/>
        </w:rPr>
        <w:t> </w:t>
      </w:r>
      <w:r>
        <w:rPr>
          <w:color w:val="231F20"/>
        </w:rPr>
        <w:t>(or </w:t>
      </w:r>
      <w:r>
        <w:rPr>
          <w:i/>
          <w:color w:val="231F20"/>
        </w:rPr>
        <w:t>fork of the tree</w:t>
      </w:r>
      <w:r>
        <w:rPr>
          <w:color w:val="231F20"/>
        </w:rPr>
        <w:t>) that needs to be made. Should Sam choose to </w:t>
      </w:r>
      <w:r>
        <w:rPr>
          <w:color w:val="231F20"/>
        </w:rPr>
        <w:t>test first? If seismic testing is chosen, it would precede all of the other ac- tivities that follow. It is reflected in the tree as a </w:t>
      </w:r>
      <w:r>
        <w:rPr>
          <w:i/>
          <w:color w:val="231F20"/>
        </w:rPr>
        <w:t>square </w:t>
      </w:r>
      <w:r>
        <w:rPr>
          <w:color w:val="231F20"/>
        </w:rPr>
        <w:t>at the first </w:t>
      </w:r>
      <w:r>
        <w:rPr>
          <w:color w:val="231F20"/>
          <w:spacing w:val="-2"/>
        </w:rPr>
        <w:t>fork.</w:t>
      </w:r>
    </w:p>
    <w:p>
      <w:pPr>
        <w:pStyle w:val="BodyText"/>
        <w:spacing w:line="292" w:lineRule="auto"/>
        <w:ind w:left="919" w:right="663" w:firstLine="340"/>
        <w:jc w:val="both"/>
      </w:pPr>
      <w:r>
        <w:rPr>
          <w:color w:val="231F20"/>
        </w:rPr>
        <w:t>If</w:t>
      </w:r>
      <w:r>
        <w:rPr>
          <w:color w:val="231F20"/>
          <w:spacing w:val="-2"/>
        </w:rPr>
        <w:t> </w:t>
      </w:r>
      <w:r>
        <w:rPr>
          <w:color w:val="231F20"/>
        </w:rPr>
        <w:t>Sam</w:t>
      </w:r>
      <w:r>
        <w:rPr>
          <w:color w:val="231F20"/>
          <w:spacing w:val="-2"/>
        </w:rPr>
        <w:t> </w:t>
      </w:r>
      <w:r>
        <w:rPr>
          <w:color w:val="231F20"/>
        </w:rPr>
        <w:t>tests,</w:t>
      </w:r>
      <w:r>
        <w:rPr>
          <w:color w:val="231F20"/>
          <w:spacing w:val="-2"/>
        </w:rPr>
        <w:t> </w:t>
      </w:r>
      <w:r>
        <w:rPr>
          <w:color w:val="231F20"/>
        </w:rPr>
        <w:t>it</w:t>
      </w:r>
      <w:r>
        <w:rPr>
          <w:color w:val="231F20"/>
          <w:spacing w:val="-2"/>
        </w:rPr>
        <w:t> </w:t>
      </w:r>
      <w:r>
        <w:rPr>
          <w:color w:val="231F20"/>
        </w:rPr>
        <w:t>could</w:t>
      </w:r>
      <w:r>
        <w:rPr>
          <w:color w:val="231F20"/>
          <w:spacing w:val="-2"/>
        </w:rPr>
        <w:t> </w:t>
      </w:r>
      <w:r>
        <w:rPr>
          <w:color w:val="231F20"/>
        </w:rPr>
        <w:t>result</w:t>
      </w:r>
      <w:r>
        <w:rPr>
          <w:color w:val="231F20"/>
          <w:spacing w:val="-2"/>
        </w:rPr>
        <w:t> </w:t>
      </w:r>
      <w:r>
        <w:rPr>
          <w:color w:val="231F20"/>
        </w:rPr>
        <w:t>in</w:t>
      </w:r>
      <w:r>
        <w:rPr>
          <w:color w:val="231F20"/>
          <w:spacing w:val="-2"/>
        </w:rPr>
        <w:t> </w:t>
      </w:r>
      <w:r>
        <w:rPr>
          <w:color w:val="231F20"/>
        </w:rPr>
        <w:t>a</w:t>
      </w:r>
      <w:r>
        <w:rPr>
          <w:color w:val="231F20"/>
          <w:spacing w:val="-2"/>
        </w:rPr>
        <w:t> </w:t>
      </w:r>
      <w:r>
        <w:rPr>
          <w:color w:val="231F20"/>
        </w:rPr>
        <w:t>positive</w:t>
      </w:r>
      <w:r>
        <w:rPr>
          <w:color w:val="231F20"/>
          <w:spacing w:val="-3"/>
        </w:rPr>
        <w:t> </w:t>
      </w:r>
      <w:r>
        <w:rPr>
          <w:i/>
          <w:color w:val="231F20"/>
        </w:rPr>
        <w:t>event</w:t>
      </w:r>
      <w:r>
        <w:rPr>
          <w:i/>
          <w:color w:val="231F20"/>
          <w:spacing w:val="-2"/>
        </w:rPr>
        <w:t> </w:t>
      </w:r>
      <w:r>
        <w:rPr>
          <w:color w:val="231F20"/>
        </w:rPr>
        <w:t>(60</w:t>
      </w:r>
      <w:r>
        <w:rPr>
          <w:color w:val="231F20"/>
          <w:spacing w:val="-2"/>
        </w:rPr>
        <w:t> </w:t>
      </w:r>
      <w:r>
        <w:rPr>
          <w:color w:val="231F20"/>
        </w:rPr>
        <w:t>percent</w:t>
      </w:r>
      <w:r>
        <w:rPr>
          <w:color w:val="231F20"/>
          <w:spacing w:val="-2"/>
        </w:rPr>
        <w:t> </w:t>
      </w:r>
      <w:r>
        <w:rPr>
          <w:color w:val="231F20"/>
        </w:rPr>
        <w:t>chance) or negative event (40 percent). If there are no tests, he can still choose to drill or not (square). Regardless of the results of the seis- mic</w:t>
      </w:r>
      <w:r>
        <w:rPr>
          <w:color w:val="231F20"/>
          <w:spacing w:val="12"/>
        </w:rPr>
        <w:t> </w:t>
      </w:r>
      <w:r>
        <w:rPr>
          <w:color w:val="231F20"/>
        </w:rPr>
        <w:t>report,</w:t>
      </w:r>
      <w:r>
        <w:rPr>
          <w:color w:val="231F20"/>
          <w:spacing w:val="13"/>
        </w:rPr>
        <w:t> </w:t>
      </w:r>
      <w:r>
        <w:rPr>
          <w:color w:val="231F20"/>
        </w:rPr>
        <w:t>Sam</w:t>
      </w:r>
      <w:r>
        <w:rPr>
          <w:color w:val="231F20"/>
          <w:spacing w:val="13"/>
        </w:rPr>
        <w:t> </w:t>
      </w:r>
      <w:r>
        <w:rPr>
          <w:color w:val="231F20"/>
        </w:rPr>
        <w:t>can</w:t>
      </w:r>
      <w:r>
        <w:rPr>
          <w:color w:val="231F20"/>
          <w:spacing w:val="12"/>
        </w:rPr>
        <w:t> </w:t>
      </w:r>
      <w:r>
        <w:rPr>
          <w:color w:val="231F20"/>
        </w:rPr>
        <w:t>still</w:t>
      </w:r>
      <w:r>
        <w:rPr>
          <w:color w:val="231F20"/>
          <w:spacing w:val="13"/>
        </w:rPr>
        <w:t> </w:t>
      </w:r>
      <w:r>
        <w:rPr>
          <w:color w:val="231F20"/>
        </w:rPr>
        <w:t>“choose”</w:t>
      </w:r>
      <w:r>
        <w:rPr>
          <w:color w:val="231F20"/>
          <w:spacing w:val="13"/>
        </w:rPr>
        <w:t> </w:t>
      </w:r>
      <w:r>
        <w:rPr>
          <w:color w:val="231F20"/>
        </w:rPr>
        <w:t>to</w:t>
      </w:r>
      <w:r>
        <w:rPr>
          <w:color w:val="231F20"/>
          <w:spacing w:val="13"/>
        </w:rPr>
        <w:t> </w:t>
      </w:r>
      <w:r>
        <w:rPr>
          <w:color w:val="231F20"/>
        </w:rPr>
        <w:t>drill</w:t>
      </w:r>
      <w:r>
        <w:rPr>
          <w:color w:val="231F20"/>
          <w:spacing w:val="12"/>
        </w:rPr>
        <w:t> </w:t>
      </w:r>
      <w:r>
        <w:rPr>
          <w:color w:val="231F20"/>
        </w:rPr>
        <w:t>or</w:t>
      </w:r>
      <w:r>
        <w:rPr>
          <w:color w:val="231F20"/>
          <w:spacing w:val="13"/>
        </w:rPr>
        <w:t> </w:t>
      </w:r>
      <w:r>
        <w:rPr>
          <w:color w:val="231F20"/>
        </w:rPr>
        <w:t>not.</w:t>
      </w:r>
      <w:r>
        <w:rPr>
          <w:color w:val="231F20"/>
          <w:spacing w:val="13"/>
        </w:rPr>
        <w:t> </w:t>
      </w:r>
      <w:r>
        <w:rPr>
          <w:color w:val="231F20"/>
        </w:rPr>
        <w:t>But</w:t>
      </w:r>
      <w:r>
        <w:rPr>
          <w:color w:val="231F20"/>
          <w:spacing w:val="12"/>
        </w:rPr>
        <w:t> </w:t>
      </w:r>
      <w:r>
        <w:rPr>
          <w:color w:val="231F20"/>
        </w:rPr>
        <w:t>once</w:t>
      </w:r>
      <w:r>
        <w:rPr>
          <w:color w:val="231F20"/>
          <w:spacing w:val="13"/>
        </w:rPr>
        <w:t> </w:t>
      </w:r>
      <w:r>
        <w:rPr>
          <w:color w:val="231F20"/>
        </w:rPr>
        <w:t>the</w:t>
      </w:r>
      <w:r>
        <w:rPr>
          <w:color w:val="231F20"/>
          <w:spacing w:val="13"/>
        </w:rPr>
        <w:t> </w:t>
      </w:r>
      <w:r>
        <w:rPr>
          <w:color w:val="231F20"/>
        </w:rPr>
        <w:t>oil</w:t>
      </w:r>
      <w:r>
        <w:rPr>
          <w:color w:val="231F20"/>
          <w:spacing w:val="13"/>
        </w:rPr>
        <w:t> </w:t>
      </w:r>
      <w:r>
        <w:rPr>
          <w:color w:val="231F20"/>
          <w:spacing w:val="-5"/>
        </w:rPr>
        <w:t>rig</w:t>
      </w:r>
    </w:p>
    <w:p>
      <w:pPr>
        <w:pStyle w:val="BodyText"/>
        <w:rPr>
          <w:sz w:val="24"/>
        </w:rPr>
      </w:pPr>
    </w:p>
    <w:p>
      <w:pPr>
        <w:pStyle w:val="BodyText"/>
        <w:rPr>
          <w:sz w:val="24"/>
        </w:rPr>
      </w:pPr>
    </w:p>
    <w:p>
      <w:pPr>
        <w:pStyle w:val="BodyText"/>
        <w:spacing w:before="9"/>
        <w:rPr>
          <w:sz w:val="20"/>
        </w:rPr>
      </w:pPr>
    </w:p>
    <w:p>
      <w:pPr>
        <w:tabs>
          <w:tab w:pos="3979" w:val="left" w:leader="none"/>
        </w:tabs>
        <w:spacing w:before="1"/>
        <w:ind w:left="0" w:right="261" w:firstLine="0"/>
        <w:jc w:val="center"/>
        <w:rPr>
          <w:rFonts w:ascii="Arial"/>
          <w:sz w:val="14"/>
        </w:rPr>
      </w:pPr>
      <w:r>
        <w:rPr>
          <w:rFonts w:ascii="Arial"/>
          <w:color w:val="231F20"/>
          <w:w w:val="105"/>
          <w:sz w:val="14"/>
        </w:rPr>
        <w:t>ACTIVITY</w:t>
      </w:r>
      <w:r>
        <w:rPr>
          <w:rFonts w:ascii="Arial"/>
          <w:color w:val="231F20"/>
          <w:spacing w:val="48"/>
          <w:w w:val="105"/>
          <w:sz w:val="14"/>
        </w:rPr>
        <w:t> </w:t>
      </w:r>
      <w:r>
        <w:rPr>
          <w:rFonts w:ascii="Arial"/>
          <w:color w:val="231F20"/>
          <w:spacing w:val="-2"/>
          <w:w w:val="105"/>
          <w:sz w:val="14"/>
        </w:rPr>
        <w:t>FORKS</w:t>
      </w:r>
      <w:r>
        <w:rPr>
          <w:rFonts w:ascii="Arial"/>
          <w:color w:val="231F20"/>
          <w:sz w:val="14"/>
        </w:rPr>
        <w:tab/>
      </w:r>
      <w:r>
        <w:rPr>
          <w:rFonts w:ascii="Arial"/>
          <w:color w:val="231F20"/>
          <w:w w:val="105"/>
          <w:sz w:val="14"/>
        </w:rPr>
        <w:t>EVENT</w:t>
      </w:r>
      <w:r>
        <w:rPr>
          <w:rFonts w:ascii="Arial"/>
          <w:color w:val="231F20"/>
          <w:spacing w:val="25"/>
          <w:w w:val="105"/>
          <w:sz w:val="14"/>
        </w:rPr>
        <w:t> </w:t>
      </w:r>
      <w:r>
        <w:rPr>
          <w:rFonts w:ascii="Arial"/>
          <w:color w:val="231F20"/>
          <w:spacing w:val="-2"/>
          <w:w w:val="105"/>
          <w:sz w:val="14"/>
        </w:rPr>
        <w:t>FORKS</w:t>
      </w:r>
    </w:p>
    <w:p>
      <w:pPr>
        <w:pStyle w:val="BodyText"/>
        <w:spacing w:before="4"/>
        <w:rPr>
          <w:rFonts w:ascii="Arial"/>
          <w:sz w:val="16"/>
        </w:rPr>
      </w:pPr>
      <w:r>
        <w:rPr/>
        <w:drawing>
          <wp:anchor distT="0" distB="0" distL="0" distR="0" allowOverlap="1" layoutInCell="1" locked="0" behindDoc="0" simplePos="0" relativeHeight="172">
            <wp:simplePos x="0" y="0"/>
            <wp:positionH relativeFrom="page">
              <wp:posOffset>910805</wp:posOffset>
            </wp:positionH>
            <wp:positionV relativeFrom="paragraph">
              <wp:posOffset>135148</wp:posOffset>
            </wp:positionV>
            <wp:extent cx="3737595" cy="1359408"/>
            <wp:effectExtent l="0" t="0" r="0" b="0"/>
            <wp:wrapTopAndBottom/>
            <wp:docPr id="53" name="image30.png"/>
            <wp:cNvGraphicFramePr>
              <a:graphicFrameLocks noChangeAspect="1"/>
            </wp:cNvGraphicFramePr>
            <a:graphic>
              <a:graphicData uri="http://schemas.openxmlformats.org/drawingml/2006/picture">
                <pic:pic>
                  <pic:nvPicPr>
                    <pic:cNvPr id="54" name="image30.png"/>
                    <pic:cNvPicPr/>
                  </pic:nvPicPr>
                  <pic:blipFill>
                    <a:blip r:embed="rId55" cstate="print"/>
                    <a:stretch>
                      <a:fillRect/>
                    </a:stretch>
                  </pic:blipFill>
                  <pic:spPr>
                    <a:xfrm>
                      <a:off x="0" y="0"/>
                      <a:ext cx="3737595" cy="1359408"/>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pStyle w:val="BodyText"/>
        <w:spacing w:line="292" w:lineRule="auto" w:before="95"/>
        <w:ind w:left="920" w:right="667"/>
        <w:jc w:val="both"/>
      </w:pPr>
      <w:r>
        <w:rPr>
          <w:color w:val="231F20"/>
        </w:rPr>
        <w:t>is drilling, the existence of oil is an </w:t>
      </w:r>
      <w:r>
        <w:rPr>
          <w:i/>
          <w:color w:val="231F20"/>
        </w:rPr>
        <w:t>uncontrollable </w:t>
      </w:r>
      <w:r>
        <w:rPr>
          <w:color w:val="231F20"/>
        </w:rPr>
        <w:t>event. Either </w:t>
      </w:r>
      <w:r>
        <w:rPr>
          <w:color w:val="231F20"/>
        </w:rPr>
        <w:t>there will be a lucrative oil event or not.</w:t>
      </w:r>
    </w:p>
    <w:p>
      <w:pPr>
        <w:pStyle w:val="BodyText"/>
        <w:spacing w:line="292" w:lineRule="auto"/>
        <w:ind w:left="919" w:right="667" w:firstLine="340"/>
        <w:jc w:val="both"/>
      </w:pPr>
      <w:r>
        <w:rPr>
          <w:color w:val="231F20"/>
        </w:rPr>
        <w:t>The next step is to add the monetary consequences—</w:t>
      </w:r>
      <w:r>
        <w:rPr>
          <w:color w:val="231F20"/>
          <w:spacing w:val="-12"/>
        </w:rPr>
        <w:t> </w:t>
      </w:r>
      <w:r>
        <w:rPr>
          <w:color w:val="231F20"/>
        </w:rPr>
        <w:t>they are like</w:t>
      </w:r>
      <w:r>
        <w:rPr>
          <w:color w:val="231F20"/>
          <w:spacing w:val="64"/>
          <w:w w:val="150"/>
        </w:rPr>
        <w:t> </w:t>
      </w:r>
      <w:r>
        <w:rPr>
          <w:color w:val="231F20"/>
        </w:rPr>
        <w:t>the</w:t>
      </w:r>
      <w:r>
        <w:rPr>
          <w:color w:val="231F20"/>
          <w:spacing w:val="65"/>
          <w:w w:val="150"/>
        </w:rPr>
        <w:t> </w:t>
      </w:r>
      <w:r>
        <w:rPr>
          <w:color w:val="231F20"/>
        </w:rPr>
        <w:t>“leaves</w:t>
      </w:r>
      <w:r>
        <w:rPr>
          <w:color w:val="231F20"/>
          <w:spacing w:val="64"/>
          <w:w w:val="150"/>
        </w:rPr>
        <w:t> </w:t>
      </w:r>
      <w:r>
        <w:rPr>
          <w:color w:val="231F20"/>
        </w:rPr>
        <w:t>to</w:t>
      </w:r>
      <w:r>
        <w:rPr>
          <w:color w:val="231F20"/>
          <w:spacing w:val="65"/>
          <w:w w:val="150"/>
        </w:rPr>
        <w:t> </w:t>
      </w:r>
      <w:r>
        <w:rPr>
          <w:color w:val="231F20"/>
        </w:rPr>
        <w:t>a</w:t>
      </w:r>
      <w:r>
        <w:rPr>
          <w:color w:val="231F20"/>
          <w:spacing w:val="65"/>
          <w:w w:val="150"/>
        </w:rPr>
        <w:t> </w:t>
      </w:r>
      <w:r>
        <w:rPr>
          <w:color w:val="231F20"/>
        </w:rPr>
        <w:t>tree.”</w:t>
      </w:r>
      <w:r>
        <w:rPr>
          <w:color w:val="231F20"/>
          <w:spacing w:val="64"/>
          <w:w w:val="150"/>
        </w:rPr>
        <w:t> </w:t>
      </w:r>
      <w:r>
        <w:rPr>
          <w:color w:val="231F20"/>
        </w:rPr>
        <w:t>If</w:t>
      </w:r>
      <w:r>
        <w:rPr>
          <w:color w:val="231F20"/>
          <w:spacing w:val="65"/>
          <w:w w:val="150"/>
        </w:rPr>
        <w:t> </w:t>
      </w:r>
      <w:r>
        <w:rPr>
          <w:color w:val="231F20"/>
        </w:rPr>
        <w:t>there</w:t>
      </w:r>
      <w:r>
        <w:rPr>
          <w:color w:val="231F20"/>
          <w:spacing w:val="64"/>
          <w:w w:val="150"/>
        </w:rPr>
        <w:t> </w:t>
      </w:r>
      <w:r>
        <w:rPr>
          <w:color w:val="231F20"/>
        </w:rPr>
        <w:t>is</w:t>
      </w:r>
      <w:r>
        <w:rPr>
          <w:color w:val="231F20"/>
          <w:spacing w:val="65"/>
          <w:w w:val="150"/>
        </w:rPr>
        <w:t> </w:t>
      </w:r>
      <w:r>
        <w:rPr>
          <w:color w:val="231F20"/>
        </w:rPr>
        <w:t>oil,</w:t>
      </w:r>
      <w:r>
        <w:rPr>
          <w:color w:val="231F20"/>
          <w:spacing w:val="65"/>
          <w:w w:val="150"/>
        </w:rPr>
        <w:t> </w:t>
      </w:r>
      <w:r>
        <w:rPr>
          <w:color w:val="231F20"/>
        </w:rPr>
        <w:t>there</w:t>
      </w:r>
      <w:r>
        <w:rPr>
          <w:color w:val="231F20"/>
          <w:spacing w:val="64"/>
          <w:w w:val="150"/>
        </w:rPr>
        <w:t> </w:t>
      </w:r>
      <w:r>
        <w:rPr>
          <w:color w:val="231F20"/>
        </w:rPr>
        <w:t>would</w:t>
      </w:r>
      <w:r>
        <w:rPr>
          <w:color w:val="231F20"/>
          <w:spacing w:val="65"/>
          <w:w w:val="150"/>
        </w:rPr>
        <w:t> </w:t>
      </w:r>
      <w:r>
        <w:rPr>
          <w:color w:val="231F20"/>
        </w:rPr>
        <w:t>be</w:t>
      </w:r>
      <w:r>
        <w:rPr>
          <w:color w:val="231F20"/>
          <w:spacing w:val="65"/>
          <w:w w:val="150"/>
        </w:rPr>
        <w:t> </w:t>
      </w:r>
      <w:r>
        <w:rPr>
          <w:color w:val="231F20"/>
          <w:spacing w:val="-10"/>
        </w:rPr>
        <w:t>a</w:t>
      </w:r>
    </w:p>
    <w:p>
      <w:pPr>
        <w:pStyle w:val="BodyText"/>
        <w:spacing w:line="292" w:lineRule="auto"/>
        <w:ind w:left="919" w:right="666"/>
        <w:jc w:val="both"/>
      </w:pPr>
      <w:r>
        <w:rPr>
          <w:color w:val="231F20"/>
        </w:rPr>
        <w:t>$1,000,000 payday. Drilling costs are $200,000 per well. Testing</w:t>
      </w:r>
      <w:r>
        <w:rPr>
          <w:color w:val="231F20"/>
          <w:spacing w:val="40"/>
        </w:rPr>
        <w:t> </w:t>
      </w:r>
      <w:r>
        <w:rPr>
          <w:color w:val="231F20"/>
        </w:rPr>
        <w:t>costs are $50,000 per well.</w:t>
      </w:r>
    </w:p>
    <w:p>
      <w:pPr>
        <w:pStyle w:val="BodyText"/>
        <w:spacing w:line="288" w:lineRule="auto"/>
        <w:ind w:left="920" w:right="664" w:firstLine="340"/>
        <w:jc w:val="both"/>
      </w:pPr>
      <w:r>
        <w:rPr>
          <w:color w:val="231F20"/>
        </w:rPr>
        <w:t>To know the potential financial outcomes of each decision, </w:t>
      </w:r>
      <w:r>
        <w:rPr>
          <w:color w:val="231F20"/>
        </w:rPr>
        <w:t>mul- tiply the possible dollar outcomes by their probabilities at forks where there is an “event circle.” ([$1,000,000 payday </w:t>
      </w:r>
      <w:r>
        <w:rPr>
          <w:rFonts w:ascii="Symbol" w:hAnsi="Symbol"/>
          <w:color w:val="231F20"/>
        </w:rPr>
        <w:t></w:t>
      </w:r>
      <w:r>
        <w:rPr>
          <w:rFonts w:ascii="Times New Roman" w:hAnsi="Times New Roman"/>
          <w:color w:val="231F20"/>
        </w:rPr>
        <w:t> </w:t>
      </w:r>
      <w:r>
        <w:rPr>
          <w:color w:val="231F20"/>
        </w:rPr>
        <w:t>.90 proba- bility] </w:t>
      </w:r>
      <w:r>
        <w:rPr>
          <w:rFonts w:ascii="Symbol" w:hAnsi="Symbol"/>
          <w:color w:val="231F20"/>
        </w:rPr>
        <w:t></w:t>
      </w:r>
      <w:r>
        <w:rPr>
          <w:rFonts w:ascii="Times New Roman" w:hAnsi="Times New Roman"/>
          <w:color w:val="231F20"/>
        </w:rPr>
        <w:t> </w:t>
      </w:r>
      <w:r>
        <w:rPr>
          <w:color w:val="231F20"/>
        </w:rPr>
        <w:t>[$0 payday </w:t>
      </w:r>
      <w:r>
        <w:rPr>
          <w:rFonts w:ascii="Symbol" w:hAnsi="Symbol"/>
          <w:color w:val="231F20"/>
        </w:rPr>
        <w:t></w:t>
      </w:r>
      <w:r>
        <w:rPr>
          <w:rFonts w:ascii="Times New Roman" w:hAnsi="Times New Roman"/>
          <w:color w:val="231F20"/>
        </w:rPr>
        <w:t> </w:t>
      </w:r>
      <w:r>
        <w:rPr>
          <w:color w:val="231F20"/>
        </w:rPr>
        <w:t>.10 probability] </w:t>
      </w:r>
      <w:r>
        <w:rPr>
          <w:rFonts w:ascii="Symbol" w:hAnsi="Symbol"/>
          <w:color w:val="231F20"/>
        </w:rPr>
        <w:t></w:t>
      </w:r>
      <w:r>
        <w:rPr>
          <w:rFonts w:ascii="Times New Roman" w:hAnsi="Times New Roman"/>
          <w:color w:val="231F20"/>
        </w:rPr>
        <w:t> </w:t>
      </w:r>
      <w:r>
        <w:rPr>
          <w:color w:val="231F20"/>
        </w:rPr>
        <w:t>$900,000.) This gives you</w:t>
      </w:r>
      <w:r>
        <w:rPr>
          <w:color w:val="231F20"/>
          <w:spacing w:val="80"/>
        </w:rPr>
        <w:t> </w:t>
      </w:r>
      <w:r>
        <w:rPr>
          <w:color w:val="231F20"/>
        </w:rPr>
        <w:t>the </w:t>
      </w:r>
      <w:r>
        <w:rPr>
          <w:i/>
          <w:color w:val="231F20"/>
        </w:rPr>
        <w:t>expected monetary value </w:t>
      </w:r>
      <w:r>
        <w:rPr>
          <w:color w:val="231F20"/>
        </w:rPr>
        <w:t>(EMV) of the event, although the ac-</w:t>
      </w:r>
      <w:r>
        <w:rPr>
          <w:color w:val="231F20"/>
          <w:spacing w:val="80"/>
          <w:w w:val="150"/>
        </w:rPr>
        <w:t> </w:t>
      </w:r>
      <w:r>
        <w:rPr>
          <w:color w:val="231F20"/>
        </w:rPr>
        <w:t>tual</w:t>
      </w:r>
      <w:r>
        <w:rPr>
          <w:color w:val="231F20"/>
          <w:spacing w:val="17"/>
        </w:rPr>
        <w:t> </w:t>
      </w:r>
      <w:r>
        <w:rPr>
          <w:color w:val="231F20"/>
        </w:rPr>
        <w:t>individual</w:t>
      </w:r>
      <w:r>
        <w:rPr>
          <w:color w:val="231F20"/>
          <w:spacing w:val="18"/>
        </w:rPr>
        <w:t> </w:t>
      </w:r>
      <w:r>
        <w:rPr>
          <w:color w:val="231F20"/>
        </w:rPr>
        <w:t>outcomes</w:t>
      </w:r>
      <w:r>
        <w:rPr>
          <w:color w:val="231F20"/>
          <w:spacing w:val="18"/>
        </w:rPr>
        <w:t> </w:t>
      </w:r>
      <w:r>
        <w:rPr>
          <w:color w:val="231F20"/>
        </w:rPr>
        <w:t>can</w:t>
      </w:r>
      <w:r>
        <w:rPr>
          <w:color w:val="231F20"/>
          <w:spacing w:val="18"/>
        </w:rPr>
        <w:t> </w:t>
      </w:r>
      <w:r>
        <w:rPr>
          <w:color w:val="231F20"/>
        </w:rPr>
        <w:t>be</w:t>
      </w:r>
      <w:r>
        <w:rPr>
          <w:color w:val="231F20"/>
          <w:spacing w:val="18"/>
        </w:rPr>
        <w:t> </w:t>
      </w:r>
      <w:r>
        <w:rPr>
          <w:color w:val="231F20"/>
        </w:rPr>
        <w:t>a</w:t>
      </w:r>
      <w:r>
        <w:rPr>
          <w:color w:val="231F20"/>
          <w:spacing w:val="17"/>
        </w:rPr>
        <w:t> </w:t>
      </w:r>
      <w:r>
        <w:rPr>
          <w:color w:val="231F20"/>
        </w:rPr>
        <w:t>range</w:t>
      </w:r>
      <w:r>
        <w:rPr>
          <w:color w:val="231F20"/>
          <w:spacing w:val="18"/>
        </w:rPr>
        <w:t> </w:t>
      </w:r>
      <w:r>
        <w:rPr>
          <w:color w:val="231F20"/>
        </w:rPr>
        <w:t>of</w:t>
      </w:r>
      <w:r>
        <w:rPr>
          <w:color w:val="231F20"/>
          <w:spacing w:val="18"/>
        </w:rPr>
        <w:t> </w:t>
      </w:r>
      <w:r>
        <w:rPr>
          <w:color w:val="231F20"/>
        </w:rPr>
        <w:t>values.</w:t>
      </w:r>
      <w:r>
        <w:rPr>
          <w:color w:val="231F20"/>
          <w:spacing w:val="18"/>
        </w:rPr>
        <w:t> </w:t>
      </w:r>
      <w:r>
        <w:rPr>
          <w:color w:val="231F20"/>
        </w:rPr>
        <w:t>At</w:t>
      </w:r>
      <w:r>
        <w:rPr>
          <w:color w:val="231F20"/>
          <w:spacing w:val="18"/>
        </w:rPr>
        <w:t> </w:t>
      </w:r>
      <w:r>
        <w:rPr>
          <w:color w:val="231F20"/>
        </w:rPr>
        <w:t>any</w:t>
      </w:r>
      <w:r>
        <w:rPr>
          <w:color w:val="231F20"/>
          <w:spacing w:val="18"/>
        </w:rPr>
        <w:t> </w:t>
      </w:r>
      <w:r>
        <w:rPr>
          <w:color w:val="231F20"/>
        </w:rPr>
        <w:t>circle,</w:t>
      </w:r>
      <w:r>
        <w:rPr>
          <w:color w:val="231F20"/>
          <w:spacing w:val="17"/>
        </w:rPr>
        <w:t> </w:t>
      </w:r>
      <w:r>
        <w:rPr>
          <w:color w:val="231F20"/>
          <w:spacing w:val="-5"/>
        </w:rPr>
        <w:t>the</w:t>
      </w:r>
    </w:p>
    <w:p>
      <w:pPr>
        <w:spacing w:after="0" w:line="288"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90"/>
        <w:ind w:left="830" w:right="756" w:hanging="1"/>
        <w:jc w:val="both"/>
        <w:rPr>
          <w:i/>
        </w:rPr>
      </w:pPr>
      <w:r>
        <w:rPr>
          <w:color w:val="231F20"/>
        </w:rPr>
        <w:t>probabilities must add up to 100 percent (.90 </w:t>
      </w:r>
      <w:r>
        <w:rPr>
          <w:rFonts w:ascii="Symbol" w:hAnsi="Symbol"/>
          <w:color w:val="231F20"/>
        </w:rPr>
        <w:t></w:t>
      </w:r>
      <w:r>
        <w:rPr>
          <w:rFonts w:ascii="Times New Roman" w:hAnsi="Times New Roman"/>
          <w:color w:val="231F20"/>
          <w:spacing w:val="-3"/>
        </w:rPr>
        <w:t> </w:t>
      </w:r>
      <w:r>
        <w:rPr>
          <w:color w:val="231F20"/>
        </w:rPr>
        <w:t>.10 </w:t>
      </w:r>
      <w:r>
        <w:rPr>
          <w:rFonts w:ascii="Symbol" w:hAnsi="Symbol"/>
          <w:color w:val="231F20"/>
        </w:rPr>
        <w:t></w:t>
      </w:r>
      <w:r>
        <w:rPr>
          <w:rFonts w:ascii="Times New Roman" w:hAnsi="Times New Roman"/>
          <w:color w:val="231F20"/>
          <w:spacing w:val="-3"/>
        </w:rPr>
        <w:t> </w:t>
      </w:r>
      <w:r>
        <w:rPr>
          <w:color w:val="231F20"/>
        </w:rPr>
        <w:t>1.00) to </w:t>
      </w:r>
      <w:r>
        <w:rPr>
          <w:color w:val="231F20"/>
        </w:rPr>
        <w:t>denote that all possibilities are accounted for. Each fork is </w:t>
      </w:r>
      <w:r>
        <w:rPr>
          <w:i/>
          <w:color w:val="231F20"/>
        </w:rPr>
        <w:t>mutually exclu-</w:t>
      </w:r>
      <w:r>
        <w:rPr>
          <w:i/>
          <w:color w:val="231F20"/>
        </w:rPr>
        <w:t> sive </w:t>
      </w:r>
      <w:r>
        <w:rPr>
          <w:color w:val="231F20"/>
        </w:rPr>
        <w:t>of other alternatives, and within that alternative the probability is 100 percent or </w:t>
      </w:r>
      <w:r>
        <w:rPr>
          <w:i/>
          <w:color w:val="231F20"/>
        </w:rPr>
        <w:t>collectively exhaustive.</w:t>
      </w:r>
    </w:p>
    <w:p>
      <w:pPr>
        <w:pStyle w:val="BodyText"/>
        <w:spacing w:line="292" w:lineRule="auto"/>
        <w:ind w:left="830" w:right="756" w:firstLine="340"/>
        <w:jc w:val="both"/>
      </w:pPr>
      <w:r>
        <w:rPr>
          <w:color w:val="231F20"/>
        </w:rPr>
        <w:t>At </w:t>
      </w:r>
      <w:r>
        <w:rPr>
          <w:i/>
          <w:color w:val="231F20"/>
        </w:rPr>
        <w:t>activity squares </w:t>
      </w:r>
      <w:r>
        <w:rPr>
          <w:color w:val="231F20"/>
        </w:rPr>
        <w:t>the decision maker has the ability to </w:t>
      </w:r>
      <w:r>
        <w:rPr>
          <w:color w:val="231F20"/>
        </w:rPr>
        <w:t>choose</w:t>
      </w:r>
      <w:r>
        <w:rPr>
          <w:color w:val="231F20"/>
          <w:spacing w:val="40"/>
        </w:rPr>
        <w:t> </w:t>
      </w:r>
      <w:r>
        <w:rPr>
          <w:color w:val="231F20"/>
        </w:rPr>
        <w:t>the best outcome. To determine the best alternative, subtract the ap- plicable cost from the payoff of the alternative. You calculate the monetary consequences by beginning at the far right and working your way to the left. This process is said to be “folding back” or “pruning” the tree to arrive at your best action plan decision. At square forks you should choose the highest dollar alternative. At the circle multiply the possible payoffs by their probabilities.</w:t>
      </w:r>
    </w:p>
    <w:p>
      <w:pPr>
        <w:pStyle w:val="BodyText"/>
        <w:spacing w:line="292" w:lineRule="auto"/>
        <w:ind w:left="829" w:right="753" w:firstLine="340"/>
        <w:jc w:val="both"/>
      </w:pPr>
      <w:r>
        <w:rPr>
          <w:color w:val="231F20"/>
        </w:rPr>
        <w:t>The decision dictated by the tree is to throw caution to the </w:t>
      </w:r>
      <w:r>
        <w:rPr>
          <w:color w:val="231F20"/>
        </w:rPr>
        <w:t>wind and forgo the seismic tests. The expected monetary value of going ahead with testing is $370,000 (420</w:t>
      </w:r>
      <w:r>
        <w:rPr>
          <w:color w:val="231F20"/>
          <w:spacing w:val="-12"/>
        </w:rPr>
        <w:t> </w:t>
      </w:r>
      <w:r>
        <w:rPr>
          <w:color w:val="231F20"/>
        </w:rPr>
        <w:t>–</w:t>
      </w:r>
      <w:r>
        <w:rPr>
          <w:color w:val="231F20"/>
          <w:spacing w:val="-12"/>
        </w:rPr>
        <w:t> </w:t>
      </w:r>
      <w:r>
        <w:rPr>
          <w:color w:val="231F20"/>
        </w:rPr>
        <w:t>50), while the EMV of going ahead without tests is $400,000. You choose the highest </w:t>
      </w:r>
      <w:r>
        <w:rPr>
          <w:i/>
          <w:color w:val="231F20"/>
        </w:rPr>
        <w:t>expected</w:t>
      </w:r>
      <w:r>
        <w:rPr>
          <w:i/>
          <w:color w:val="231F20"/>
        </w:rPr>
        <w:t> monetary value </w:t>
      </w:r>
      <w:r>
        <w:rPr>
          <w:color w:val="231F20"/>
        </w:rPr>
        <w:t>(EMV). This relatively simple conceptual frame-</w:t>
      </w:r>
      <w:r>
        <w:rPr>
          <w:color w:val="231F20"/>
          <w:spacing w:val="80"/>
        </w:rPr>
        <w:t> </w:t>
      </w:r>
      <w:r>
        <w:rPr>
          <w:color w:val="231F20"/>
        </w:rPr>
        <w:t>work can be applied to new product development, real estate devel- opment, and store inventory level decisions. Whatever the decision</w:t>
      </w:r>
      <w:r>
        <w:rPr>
          <w:color w:val="231F20"/>
          <w:spacing w:val="40"/>
        </w:rPr>
        <w:t> </w:t>
      </w:r>
      <w:r>
        <w:rPr>
          <w:color w:val="231F20"/>
        </w:rPr>
        <w:t>to be considered, a decision tree structure forces the decision maker to take a comprehensive view of all the alternatives, to make an evaluation of the uncertainty (you often have to make your best</w:t>
      </w:r>
      <w:r>
        <w:rPr>
          <w:color w:val="231F20"/>
          <w:spacing w:val="40"/>
        </w:rPr>
        <w:t> </w:t>
      </w:r>
      <w:r>
        <w:rPr>
          <w:color w:val="231F20"/>
        </w:rPr>
        <w:t>guess about probabilities), and to explicitly calculate the dollar out- comes possible. The tree forces decision makers to state their as- sumptions</w:t>
      </w:r>
      <w:r>
        <w:rPr>
          <w:color w:val="231F20"/>
          <w:spacing w:val="71"/>
          <w:w w:val="150"/>
        </w:rPr>
        <w:t> </w:t>
      </w:r>
      <w:r>
        <w:rPr>
          <w:color w:val="231F20"/>
        </w:rPr>
        <w:t>explicitly.</w:t>
      </w:r>
      <w:r>
        <w:rPr>
          <w:color w:val="231F20"/>
          <w:spacing w:val="71"/>
          <w:w w:val="150"/>
        </w:rPr>
        <w:t> </w:t>
      </w:r>
      <w:r>
        <w:rPr>
          <w:color w:val="231F20"/>
        </w:rPr>
        <w:t>In</w:t>
      </w:r>
      <w:r>
        <w:rPr>
          <w:color w:val="231F20"/>
          <w:spacing w:val="71"/>
          <w:w w:val="150"/>
        </w:rPr>
        <w:t> </w:t>
      </w:r>
      <w:r>
        <w:rPr>
          <w:color w:val="231F20"/>
        </w:rPr>
        <w:t>this</w:t>
      </w:r>
      <w:r>
        <w:rPr>
          <w:color w:val="231F20"/>
          <w:spacing w:val="72"/>
          <w:w w:val="150"/>
        </w:rPr>
        <w:t> </w:t>
      </w:r>
      <w:r>
        <w:rPr>
          <w:color w:val="231F20"/>
        </w:rPr>
        <w:t>case,</w:t>
      </w:r>
      <w:r>
        <w:rPr>
          <w:color w:val="231F20"/>
          <w:spacing w:val="71"/>
          <w:w w:val="150"/>
        </w:rPr>
        <w:t> </w:t>
      </w:r>
      <w:r>
        <w:rPr>
          <w:color w:val="231F20"/>
        </w:rPr>
        <w:t>you</w:t>
      </w:r>
      <w:r>
        <w:rPr>
          <w:color w:val="231F20"/>
          <w:spacing w:val="71"/>
          <w:w w:val="150"/>
        </w:rPr>
        <w:t> </w:t>
      </w:r>
      <w:r>
        <w:rPr>
          <w:color w:val="231F20"/>
        </w:rPr>
        <w:t>may</w:t>
      </w:r>
      <w:r>
        <w:rPr>
          <w:color w:val="231F20"/>
          <w:spacing w:val="71"/>
          <w:w w:val="150"/>
        </w:rPr>
        <w:t> </w:t>
      </w:r>
      <w:r>
        <w:rPr>
          <w:color w:val="231F20"/>
        </w:rPr>
        <w:t>consider</w:t>
      </w:r>
      <w:r>
        <w:rPr>
          <w:color w:val="231F20"/>
          <w:spacing w:val="71"/>
          <w:w w:val="150"/>
        </w:rPr>
        <w:t> </w:t>
      </w:r>
      <w:r>
        <w:rPr>
          <w:color w:val="231F20"/>
        </w:rPr>
        <w:t>that</w:t>
      </w:r>
      <w:r>
        <w:rPr>
          <w:color w:val="231F20"/>
          <w:spacing w:val="72"/>
          <w:w w:val="150"/>
        </w:rPr>
        <w:t> </w:t>
      </w:r>
      <w:r>
        <w:rPr>
          <w:color w:val="231F20"/>
          <w:spacing w:val="-5"/>
        </w:rPr>
        <w:t>the</w:t>
      </w:r>
    </w:p>
    <w:p>
      <w:pPr>
        <w:pStyle w:val="BodyText"/>
        <w:rPr>
          <w:sz w:val="20"/>
        </w:rPr>
      </w:pPr>
    </w:p>
    <w:p>
      <w:pPr>
        <w:pStyle w:val="BodyText"/>
        <w:rPr>
          <w:sz w:val="20"/>
        </w:rPr>
      </w:pPr>
    </w:p>
    <w:p>
      <w:pPr>
        <w:pStyle w:val="BodyText"/>
        <w:rPr>
          <w:sz w:val="20"/>
        </w:rPr>
      </w:pPr>
    </w:p>
    <w:p>
      <w:pPr>
        <w:pStyle w:val="BodyText"/>
        <w:spacing w:before="4"/>
        <w:rPr>
          <w:sz w:val="10"/>
        </w:rPr>
      </w:pPr>
      <w:r>
        <w:rPr/>
        <w:drawing>
          <wp:anchor distT="0" distB="0" distL="0" distR="0" allowOverlap="1" layoutInCell="1" locked="0" behindDoc="0" simplePos="0" relativeHeight="173">
            <wp:simplePos x="0" y="0"/>
            <wp:positionH relativeFrom="page">
              <wp:posOffset>2057393</wp:posOffset>
            </wp:positionH>
            <wp:positionV relativeFrom="paragraph">
              <wp:posOffset>92761</wp:posOffset>
            </wp:positionV>
            <wp:extent cx="1308289" cy="1278159"/>
            <wp:effectExtent l="0" t="0" r="0" b="0"/>
            <wp:wrapTopAndBottom/>
            <wp:docPr id="55" name="image31.png"/>
            <wp:cNvGraphicFramePr>
              <a:graphicFrameLocks noChangeAspect="1"/>
            </wp:cNvGraphicFramePr>
            <a:graphic>
              <a:graphicData uri="http://schemas.openxmlformats.org/drawingml/2006/picture">
                <pic:pic>
                  <pic:nvPicPr>
                    <pic:cNvPr id="56" name="image31.png"/>
                    <pic:cNvPicPr/>
                  </pic:nvPicPr>
                  <pic:blipFill>
                    <a:blip r:embed="rId56" cstate="print"/>
                    <a:stretch>
                      <a:fillRect/>
                    </a:stretch>
                  </pic:blipFill>
                  <pic:spPr>
                    <a:xfrm>
                      <a:off x="0" y="0"/>
                      <a:ext cx="1308289" cy="1278159"/>
                    </a:xfrm>
                    <a:prstGeom prst="rect">
                      <a:avLst/>
                    </a:prstGeom>
                  </pic:spPr>
                </pic:pic>
              </a:graphicData>
            </a:graphic>
          </wp:anchor>
        </w:drawing>
      </w:r>
    </w:p>
    <w:p>
      <w:pPr>
        <w:spacing w:after="0"/>
        <w:rPr>
          <w:sz w:val="10"/>
        </w:rPr>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probability of oil when there is a test result to be misstated. In </w:t>
      </w:r>
      <w:r>
        <w:rPr>
          <w:color w:val="231F20"/>
        </w:rPr>
        <w:t>that case, using a different assumption, you may get the opposite final answer. Others looking at the same situation could see it otherwise. By comparing trees, analysts can debate specific assumptions in an organized way.</w:t>
      </w:r>
    </w:p>
    <w:p>
      <w:pPr>
        <w:pStyle w:val="BodyText"/>
        <w:spacing w:line="292" w:lineRule="auto"/>
        <w:ind w:left="920" w:right="666" w:firstLine="340"/>
        <w:jc w:val="both"/>
      </w:pPr>
      <w:r>
        <w:rPr>
          <w:color w:val="231F20"/>
        </w:rPr>
        <w:t>“Draw a tree and get a B” was the saying on exams involving </w:t>
      </w:r>
      <w:r>
        <w:rPr>
          <w:color w:val="231F20"/>
        </w:rPr>
        <w:t>de- cision trees. The complexity of seemingly simple problems can be seen using decision trees. Therefore, just creating an accurate tree framework was a challenge during a four-hour exam; it takes a lot of practice to become proficient.</w:t>
      </w:r>
    </w:p>
    <w:p>
      <w:pPr>
        <w:pStyle w:val="BodyText"/>
        <w:rPr>
          <w:sz w:val="24"/>
        </w:rPr>
      </w:pPr>
    </w:p>
    <w:p>
      <w:pPr>
        <w:pStyle w:val="BodyText"/>
        <w:spacing w:before="7"/>
        <w:rPr>
          <w:sz w:val="24"/>
        </w:rPr>
      </w:pPr>
    </w:p>
    <w:p>
      <w:pPr>
        <w:pStyle w:val="Heading4"/>
      </w:pPr>
      <w:r>
        <w:rPr>
          <w:color w:val="231F20"/>
          <w:w w:val="90"/>
        </w:rPr>
        <w:t>CASH</w:t>
      </w:r>
      <w:r>
        <w:rPr>
          <w:color w:val="231F20"/>
          <w:spacing w:val="11"/>
        </w:rPr>
        <w:t> </w:t>
      </w:r>
      <w:r>
        <w:rPr>
          <w:color w:val="231F20"/>
          <w:w w:val="90"/>
        </w:rPr>
        <w:t>FLOW</w:t>
      </w:r>
      <w:r>
        <w:rPr>
          <w:color w:val="231F20"/>
          <w:spacing w:val="11"/>
        </w:rPr>
        <w:t> </w:t>
      </w:r>
      <w:r>
        <w:rPr>
          <w:color w:val="231F20"/>
          <w:spacing w:val="7"/>
          <w:w w:val="90"/>
        </w:rPr>
        <w:t>ANALYSIS</w:t>
      </w:r>
    </w:p>
    <w:p>
      <w:pPr>
        <w:pStyle w:val="BodyText"/>
        <w:spacing w:before="11"/>
        <w:rPr>
          <w:rFonts w:ascii="Trebuchet MS"/>
          <w:sz w:val="29"/>
        </w:rPr>
      </w:pPr>
    </w:p>
    <w:p>
      <w:pPr>
        <w:pStyle w:val="BodyText"/>
        <w:spacing w:line="292" w:lineRule="auto"/>
        <w:ind w:left="920" w:right="666" w:hanging="1"/>
        <w:jc w:val="both"/>
      </w:pPr>
      <w:r>
        <w:rPr>
          <w:color w:val="231F20"/>
        </w:rPr>
        <w:t>The term </w:t>
      </w:r>
      <w:r>
        <w:rPr>
          <w:i/>
          <w:color w:val="231F20"/>
        </w:rPr>
        <w:t>cash flow </w:t>
      </w:r>
      <w:r>
        <w:rPr>
          <w:color w:val="231F20"/>
        </w:rPr>
        <w:t>is often used in connection with leveraged </w:t>
      </w:r>
      <w:r>
        <w:rPr>
          <w:color w:val="231F20"/>
        </w:rPr>
        <w:t>buy- outs (LBOs), and it is the basis of financial analysis. Wall Street tech- nicians</w:t>
      </w:r>
      <w:r>
        <w:rPr>
          <w:color w:val="231F20"/>
          <w:spacing w:val="-5"/>
        </w:rPr>
        <w:t> </w:t>
      </w:r>
      <w:r>
        <w:rPr>
          <w:color w:val="231F20"/>
        </w:rPr>
        <w:t>may</w:t>
      </w:r>
      <w:r>
        <w:rPr>
          <w:color w:val="231F20"/>
          <w:spacing w:val="-5"/>
        </w:rPr>
        <w:t> </w:t>
      </w:r>
      <w:r>
        <w:rPr>
          <w:color w:val="231F20"/>
        </w:rPr>
        <w:t>ponder</w:t>
      </w:r>
      <w:r>
        <w:rPr>
          <w:color w:val="231F20"/>
          <w:spacing w:val="-5"/>
        </w:rPr>
        <w:t> </w:t>
      </w:r>
      <w:r>
        <w:rPr>
          <w:color w:val="231F20"/>
        </w:rPr>
        <w:t>briefly</w:t>
      </w:r>
      <w:r>
        <w:rPr>
          <w:color w:val="231F20"/>
          <w:spacing w:val="-5"/>
        </w:rPr>
        <w:t> </w:t>
      </w:r>
      <w:r>
        <w:rPr>
          <w:color w:val="231F20"/>
        </w:rPr>
        <w:t>the</w:t>
      </w:r>
      <w:r>
        <w:rPr>
          <w:color w:val="231F20"/>
          <w:spacing w:val="-5"/>
        </w:rPr>
        <w:t> </w:t>
      </w:r>
      <w:r>
        <w:rPr>
          <w:color w:val="231F20"/>
        </w:rPr>
        <w:t>qualitative</w:t>
      </w:r>
      <w:r>
        <w:rPr>
          <w:color w:val="231F20"/>
          <w:spacing w:val="-5"/>
        </w:rPr>
        <w:t> </w:t>
      </w:r>
      <w:r>
        <w:rPr>
          <w:color w:val="231F20"/>
        </w:rPr>
        <w:t>aspects</w:t>
      </w:r>
      <w:r>
        <w:rPr>
          <w:color w:val="231F20"/>
          <w:spacing w:val="-5"/>
        </w:rPr>
        <w:t> </w:t>
      </w:r>
      <w:r>
        <w:rPr>
          <w:color w:val="231F20"/>
        </w:rPr>
        <w:t>of</w:t>
      </w:r>
      <w:r>
        <w:rPr>
          <w:color w:val="231F20"/>
          <w:spacing w:val="-5"/>
        </w:rPr>
        <w:t> </w:t>
      </w:r>
      <w:r>
        <w:rPr>
          <w:color w:val="231F20"/>
        </w:rPr>
        <w:t>their</w:t>
      </w:r>
      <w:r>
        <w:rPr>
          <w:color w:val="231F20"/>
          <w:spacing w:val="-5"/>
        </w:rPr>
        <w:t> </w:t>
      </w:r>
      <w:r>
        <w:rPr>
          <w:color w:val="231F20"/>
        </w:rPr>
        <w:t>investment decisions, but ultimately, only the cash consequences have any real relevance for them. Cash flow analysis is based on the same informa- tion used by the accountant’s Statement of Cash Flows. Cash flow analysis answers the simple question: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r>
        <w:rPr/>
        <w:drawing>
          <wp:anchor distT="0" distB="0" distL="0" distR="0" allowOverlap="1" layoutInCell="1" locked="0" behindDoc="0" simplePos="0" relativeHeight="174">
            <wp:simplePos x="0" y="0"/>
            <wp:positionH relativeFrom="page">
              <wp:posOffset>1368548</wp:posOffset>
            </wp:positionH>
            <wp:positionV relativeFrom="paragraph">
              <wp:posOffset>208484</wp:posOffset>
            </wp:positionV>
            <wp:extent cx="2768986" cy="1776222"/>
            <wp:effectExtent l="0" t="0" r="0" b="0"/>
            <wp:wrapTopAndBottom/>
            <wp:docPr id="57" name="image32.png"/>
            <wp:cNvGraphicFramePr>
              <a:graphicFrameLocks noChangeAspect="1"/>
            </wp:cNvGraphicFramePr>
            <a:graphic>
              <a:graphicData uri="http://schemas.openxmlformats.org/drawingml/2006/picture">
                <pic:pic>
                  <pic:nvPicPr>
                    <pic:cNvPr id="58" name="image32.png"/>
                    <pic:cNvPicPr/>
                  </pic:nvPicPr>
                  <pic:blipFill>
                    <a:blip r:embed="rId57" cstate="print"/>
                    <a:stretch>
                      <a:fillRect/>
                    </a:stretch>
                  </pic:blipFill>
                  <pic:spPr>
                    <a:xfrm>
                      <a:off x="0" y="0"/>
                      <a:ext cx="2768986" cy="1776222"/>
                    </a:xfrm>
                    <a:prstGeom prst="rect">
                      <a:avLst/>
                    </a:prstGeom>
                  </pic:spPr>
                </pic:pic>
              </a:graphicData>
            </a:graphic>
          </wp:anchor>
        </w:drawing>
      </w:r>
    </w:p>
    <w:p>
      <w:pPr>
        <w:spacing w:after="0"/>
        <w:rPr>
          <w:sz w:val="25"/>
        </w:rPr>
        <w:sectPr>
          <w:pgSz w:w="8640" w:h="12960"/>
          <w:pgMar w:header="734" w:footer="0" w:top="920" w:bottom="280" w:left="340" w:right="500"/>
        </w:sectPr>
      </w:pPr>
    </w:p>
    <w:p>
      <w:pPr>
        <w:pStyle w:val="BodyText"/>
        <w:spacing w:before="10"/>
        <w:rPr>
          <w:sz w:val="19"/>
        </w:rPr>
      </w:pPr>
    </w:p>
    <w:p>
      <w:pPr>
        <w:spacing w:before="96"/>
        <w:ind w:left="293" w:right="219" w:firstLine="0"/>
        <w:jc w:val="center"/>
        <w:rPr>
          <w:rFonts w:ascii="Arial"/>
          <w:sz w:val="14"/>
        </w:rPr>
      </w:pPr>
      <w:r>
        <w:rPr>
          <w:rFonts w:ascii="Arial"/>
          <w:color w:val="231F20"/>
          <w:w w:val="105"/>
          <w:sz w:val="14"/>
        </w:rPr>
        <w:t>THE</w:t>
      </w:r>
      <w:r>
        <w:rPr>
          <w:rFonts w:ascii="Arial"/>
          <w:color w:val="231F20"/>
          <w:spacing w:val="18"/>
          <w:w w:val="105"/>
          <w:sz w:val="14"/>
        </w:rPr>
        <w:t> </w:t>
      </w:r>
      <w:r>
        <w:rPr>
          <w:rFonts w:ascii="Arial"/>
          <w:color w:val="231F20"/>
          <w:w w:val="105"/>
          <w:sz w:val="14"/>
        </w:rPr>
        <w:t>DECISION</w:t>
      </w:r>
      <w:r>
        <w:rPr>
          <w:rFonts w:ascii="Arial"/>
          <w:color w:val="231F20"/>
          <w:spacing w:val="18"/>
          <w:w w:val="105"/>
          <w:sz w:val="14"/>
        </w:rPr>
        <w:t> </w:t>
      </w:r>
      <w:r>
        <w:rPr>
          <w:rFonts w:ascii="Arial"/>
          <w:color w:val="231F20"/>
          <w:w w:val="105"/>
          <w:sz w:val="14"/>
        </w:rPr>
        <w:t>TREE</w:t>
      </w:r>
      <w:r>
        <w:rPr>
          <w:rFonts w:ascii="Arial"/>
          <w:color w:val="231F20"/>
          <w:spacing w:val="19"/>
          <w:w w:val="105"/>
          <w:sz w:val="14"/>
        </w:rPr>
        <w:t> </w:t>
      </w:r>
      <w:r>
        <w:rPr>
          <w:rFonts w:ascii="Arial"/>
          <w:color w:val="231F20"/>
          <w:w w:val="105"/>
          <w:sz w:val="14"/>
        </w:rPr>
        <w:t>OIL</w:t>
      </w:r>
      <w:r>
        <w:rPr>
          <w:rFonts w:ascii="Arial"/>
          <w:color w:val="231F20"/>
          <w:spacing w:val="18"/>
          <w:w w:val="105"/>
          <w:sz w:val="14"/>
        </w:rPr>
        <w:t> </w:t>
      </w:r>
      <w:r>
        <w:rPr>
          <w:rFonts w:ascii="Arial"/>
          <w:color w:val="231F20"/>
          <w:spacing w:val="-2"/>
          <w:w w:val="105"/>
          <w:sz w:val="14"/>
        </w:rPr>
        <w:t>DRILLING</w:t>
      </w:r>
    </w:p>
    <w:p>
      <w:pPr>
        <w:pStyle w:val="BodyText"/>
        <w:spacing w:before="8"/>
        <w:rPr>
          <w:rFonts w:ascii="Arial"/>
          <w:sz w:val="15"/>
        </w:rPr>
      </w:pPr>
      <w:r>
        <w:rPr/>
        <w:drawing>
          <wp:anchor distT="0" distB="0" distL="0" distR="0" allowOverlap="1" layoutInCell="1" locked="0" behindDoc="0" simplePos="0" relativeHeight="175">
            <wp:simplePos x="0" y="0"/>
            <wp:positionH relativeFrom="page">
              <wp:posOffset>1109146</wp:posOffset>
            </wp:positionH>
            <wp:positionV relativeFrom="paragraph">
              <wp:posOffset>130164</wp:posOffset>
            </wp:positionV>
            <wp:extent cx="3219259" cy="2828544"/>
            <wp:effectExtent l="0" t="0" r="0" b="0"/>
            <wp:wrapTopAndBottom/>
            <wp:docPr id="59" name="image33.png"/>
            <wp:cNvGraphicFramePr>
              <a:graphicFrameLocks noChangeAspect="1"/>
            </wp:cNvGraphicFramePr>
            <a:graphic>
              <a:graphicData uri="http://schemas.openxmlformats.org/drawingml/2006/picture">
                <pic:pic>
                  <pic:nvPicPr>
                    <pic:cNvPr id="60" name="image33.png"/>
                    <pic:cNvPicPr/>
                  </pic:nvPicPr>
                  <pic:blipFill>
                    <a:blip r:embed="rId58" cstate="print"/>
                    <a:stretch>
                      <a:fillRect/>
                    </a:stretch>
                  </pic:blipFill>
                  <pic:spPr>
                    <a:xfrm>
                      <a:off x="0" y="0"/>
                      <a:ext cx="3219259" cy="2828544"/>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spacing w:line="324" w:lineRule="auto" w:before="84"/>
        <w:ind w:left="1170" w:right="1045" w:firstLine="0"/>
        <w:jc w:val="left"/>
        <w:rPr>
          <w:sz w:val="19"/>
        </w:rPr>
      </w:pPr>
      <w:r>
        <w:rPr>
          <w:color w:val="231F20"/>
          <w:sz w:val="19"/>
        </w:rPr>
        <w:t>What does the investment cost and how much cash will it </w:t>
      </w:r>
      <w:r>
        <w:rPr>
          <w:color w:val="231F20"/>
          <w:sz w:val="19"/>
        </w:rPr>
        <w:t>generate each year?</w:t>
      </w:r>
    </w:p>
    <w:p>
      <w:pPr>
        <w:pStyle w:val="BodyText"/>
        <w:spacing w:before="10"/>
        <w:rPr>
          <w:sz w:val="23"/>
        </w:rPr>
      </w:pPr>
    </w:p>
    <w:p>
      <w:pPr>
        <w:pStyle w:val="BodyText"/>
        <w:spacing w:line="292" w:lineRule="auto"/>
        <w:ind w:left="830" w:right="755"/>
        <w:jc w:val="both"/>
      </w:pPr>
      <w:r>
        <w:rPr>
          <w:color w:val="231F20"/>
        </w:rPr>
        <w:t>The cash generated by a company can be used to pay off debt, </w:t>
      </w:r>
      <w:r>
        <w:rPr>
          <w:color w:val="231F20"/>
        </w:rPr>
        <w:t>pay dividends, invest in research, purchase new equipment, or invest in a real estate development. The goal is to determine when and how much cash flows in a given case scenario.</w:t>
      </w:r>
    </w:p>
    <w:p>
      <w:pPr>
        <w:pStyle w:val="BodyText"/>
        <w:spacing w:line="292" w:lineRule="auto"/>
        <w:ind w:left="829" w:right="756" w:firstLine="340"/>
        <w:jc w:val="both"/>
      </w:pPr>
      <w:r>
        <w:rPr>
          <w:color w:val="231F20"/>
        </w:rPr>
        <w:t>In</w:t>
      </w:r>
      <w:r>
        <w:rPr>
          <w:color w:val="231F20"/>
          <w:spacing w:val="-3"/>
        </w:rPr>
        <w:t> </w:t>
      </w:r>
      <w:r>
        <w:rPr>
          <w:color w:val="231F20"/>
        </w:rPr>
        <w:t>making</w:t>
      </w:r>
      <w:r>
        <w:rPr>
          <w:color w:val="231F20"/>
          <w:spacing w:val="-3"/>
        </w:rPr>
        <w:t> </w:t>
      </w:r>
      <w:r>
        <w:rPr>
          <w:color w:val="231F20"/>
        </w:rPr>
        <w:t>an</w:t>
      </w:r>
      <w:r>
        <w:rPr>
          <w:color w:val="231F20"/>
          <w:spacing w:val="-3"/>
        </w:rPr>
        <w:t> </w:t>
      </w:r>
      <w:r>
        <w:rPr>
          <w:color w:val="231F20"/>
        </w:rPr>
        <w:t>investment</w:t>
      </w:r>
      <w:r>
        <w:rPr>
          <w:color w:val="231F20"/>
          <w:spacing w:val="-3"/>
        </w:rPr>
        <w:t> </w:t>
      </w:r>
      <w:r>
        <w:rPr>
          <w:color w:val="231F20"/>
        </w:rPr>
        <w:t>there</w:t>
      </w:r>
      <w:r>
        <w:rPr>
          <w:color w:val="231F20"/>
          <w:spacing w:val="-3"/>
        </w:rPr>
        <w:t> </w:t>
      </w:r>
      <w:r>
        <w:rPr>
          <w:color w:val="231F20"/>
        </w:rPr>
        <w:t>may</w:t>
      </w:r>
      <w:r>
        <w:rPr>
          <w:color w:val="231F20"/>
          <w:spacing w:val="-3"/>
        </w:rPr>
        <w:t> </w:t>
      </w:r>
      <w:r>
        <w:rPr>
          <w:color w:val="231F20"/>
        </w:rPr>
        <w:t>be</w:t>
      </w:r>
      <w:r>
        <w:rPr>
          <w:color w:val="231F20"/>
          <w:spacing w:val="-3"/>
        </w:rPr>
        <w:t> </w:t>
      </w:r>
      <w:r>
        <w:rPr>
          <w:color w:val="231F20"/>
        </w:rPr>
        <w:t>several</w:t>
      </w:r>
      <w:r>
        <w:rPr>
          <w:color w:val="231F20"/>
          <w:spacing w:val="-3"/>
        </w:rPr>
        <w:t> </w:t>
      </w:r>
      <w:r>
        <w:rPr>
          <w:color w:val="231F20"/>
        </w:rPr>
        <w:t>objectives</w:t>
      </w:r>
      <w:r>
        <w:rPr>
          <w:color w:val="231F20"/>
          <w:spacing w:val="-3"/>
        </w:rPr>
        <w:t> </w:t>
      </w:r>
      <w:r>
        <w:rPr>
          <w:color w:val="231F20"/>
        </w:rPr>
        <w:t>in</w:t>
      </w:r>
      <w:r>
        <w:rPr>
          <w:color w:val="231F20"/>
          <w:spacing w:val="-3"/>
        </w:rPr>
        <w:t> </w:t>
      </w:r>
      <w:r>
        <w:rPr>
          <w:color w:val="231F20"/>
        </w:rPr>
        <w:t>mind, but cash flow analysis concerns itself only with the dollars. A company’s advertising may create goodwill with the public, for ex- ample, but if the benefits cannot be measured in dollars, cash flow analysis is not appropriate.</w:t>
      </w:r>
    </w:p>
    <w:p>
      <w:pPr>
        <w:pStyle w:val="BodyText"/>
        <w:spacing w:line="292" w:lineRule="auto"/>
        <w:ind w:left="830" w:right="756" w:firstLine="340"/>
        <w:jc w:val="both"/>
      </w:pPr>
      <w:r>
        <w:rPr>
          <w:color w:val="231F20"/>
        </w:rPr>
        <w:t>Cash flow analysis is as relevant to the purchase of a piece of </w:t>
      </w:r>
      <w:r>
        <w:rPr>
          <w:color w:val="231F20"/>
        </w:rPr>
        <w:t>ma- chinery as it is to the acquisition of a corporation. So let us restate</w:t>
      </w:r>
      <w:r>
        <w:rPr>
          <w:color w:val="231F20"/>
          <w:spacing w:val="40"/>
        </w:rPr>
        <w:t> </w:t>
      </w:r>
      <w:r>
        <w:rPr>
          <w:color w:val="231F20"/>
        </w:rPr>
        <w:t>the first question asked:</w:t>
      </w:r>
    </w:p>
    <w:p>
      <w:pPr>
        <w:pStyle w:val="BodyText"/>
        <w:spacing w:line="245" w:lineRule="exact"/>
        <w:ind w:left="1169"/>
        <w:jc w:val="both"/>
      </w:pPr>
      <w:r>
        <w:rPr>
          <w:color w:val="231F20"/>
        </w:rPr>
        <w:t>What</w:t>
      </w:r>
      <w:r>
        <w:rPr>
          <w:color w:val="231F20"/>
          <w:spacing w:val="4"/>
        </w:rPr>
        <w:t> </w:t>
      </w:r>
      <w:r>
        <w:rPr>
          <w:color w:val="231F20"/>
        </w:rPr>
        <w:t>is</w:t>
      </w:r>
      <w:r>
        <w:rPr>
          <w:color w:val="231F20"/>
          <w:spacing w:val="5"/>
        </w:rPr>
        <w:t> </w:t>
      </w:r>
      <w:r>
        <w:rPr>
          <w:color w:val="231F20"/>
        </w:rPr>
        <w:t>the</w:t>
      </w:r>
      <w:r>
        <w:rPr>
          <w:color w:val="231F20"/>
          <w:spacing w:val="5"/>
        </w:rPr>
        <w:t> </w:t>
      </w:r>
      <w:r>
        <w:rPr>
          <w:color w:val="231F20"/>
        </w:rPr>
        <w:t>current</w:t>
      </w:r>
      <w:r>
        <w:rPr>
          <w:color w:val="231F20"/>
          <w:spacing w:val="5"/>
        </w:rPr>
        <w:t> </w:t>
      </w:r>
      <w:r>
        <w:rPr>
          <w:color w:val="231F20"/>
        </w:rPr>
        <w:t>investment</w:t>
      </w:r>
      <w:r>
        <w:rPr>
          <w:color w:val="231F20"/>
          <w:spacing w:val="5"/>
        </w:rPr>
        <w:t> </w:t>
      </w:r>
      <w:r>
        <w:rPr>
          <w:color w:val="231F20"/>
        </w:rPr>
        <w:t>and</w:t>
      </w:r>
      <w:r>
        <w:rPr>
          <w:color w:val="231F20"/>
          <w:spacing w:val="5"/>
        </w:rPr>
        <w:t> </w:t>
      </w:r>
      <w:r>
        <w:rPr>
          <w:color w:val="231F20"/>
        </w:rPr>
        <w:t>what</w:t>
      </w:r>
      <w:r>
        <w:rPr>
          <w:color w:val="231F20"/>
          <w:spacing w:val="4"/>
        </w:rPr>
        <w:t> </w:t>
      </w:r>
      <w:r>
        <w:rPr>
          <w:color w:val="231F20"/>
        </w:rPr>
        <w:t>are</w:t>
      </w:r>
      <w:r>
        <w:rPr>
          <w:color w:val="231F20"/>
          <w:spacing w:val="5"/>
        </w:rPr>
        <w:t> </w:t>
      </w:r>
      <w:r>
        <w:rPr>
          <w:color w:val="231F20"/>
        </w:rPr>
        <w:t>the</w:t>
      </w:r>
      <w:r>
        <w:rPr>
          <w:color w:val="231F20"/>
          <w:spacing w:val="5"/>
        </w:rPr>
        <w:t> </w:t>
      </w:r>
      <w:r>
        <w:rPr>
          <w:color w:val="231F20"/>
        </w:rPr>
        <w:t>future</w:t>
      </w:r>
      <w:r>
        <w:rPr>
          <w:color w:val="231F20"/>
          <w:spacing w:val="5"/>
        </w:rPr>
        <w:t> </w:t>
      </w:r>
      <w:r>
        <w:rPr>
          <w:color w:val="231F20"/>
          <w:spacing w:val="-2"/>
        </w:rPr>
        <w:t>benefits?</w:t>
      </w:r>
    </w:p>
    <w:p>
      <w:pPr>
        <w:pStyle w:val="BodyText"/>
        <w:spacing w:before="51"/>
        <w:ind w:left="829"/>
        <w:jc w:val="both"/>
      </w:pPr>
      <w:r>
        <w:rPr>
          <w:color w:val="231F20"/>
        </w:rPr>
        <w:t>The</w:t>
      </w:r>
      <w:r>
        <w:rPr>
          <w:color w:val="231F20"/>
          <w:spacing w:val="1"/>
        </w:rPr>
        <w:t> </w:t>
      </w:r>
      <w:r>
        <w:rPr>
          <w:color w:val="231F20"/>
        </w:rPr>
        <w:t>steps</w:t>
      </w:r>
      <w:r>
        <w:rPr>
          <w:color w:val="231F20"/>
          <w:spacing w:val="1"/>
        </w:rPr>
        <w:t> </w:t>
      </w:r>
      <w:r>
        <w:rPr>
          <w:color w:val="231F20"/>
        </w:rPr>
        <w:t>to</w:t>
      </w:r>
      <w:r>
        <w:rPr>
          <w:color w:val="231F20"/>
          <w:spacing w:val="1"/>
        </w:rPr>
        <w:t> </w:t>
      </w:r>
      <w:r>
        <w:rPr>
          <w:color w:val="231F20"/>
        </w:rPr>
        <w:t>answer</w:t>
      </w:r>
      <w:r>
        <w:rPr>
          <w:color w:val="231F20"/>
          <w:spacing w:val="1"/>
        </w:rPr>
        <w:t> </w:t>
      </w:r>
      <w:r>
        <w:rPr>
          <w:color w:val="231F20"/>
        </w:rPr>
        <w:t>the</w:t>
      </w:r>
      <w:r>
        <w:rPr>
          <w:color w:val="231F20"/>
          <w:spacing w:val="2"/>
        </w:rPr>
        <w:t> </w:t>
      </w:r>
      <w:r>
        <w:rPr>
          <w:color w:val="231F20"/>
        </w:rPr>
        <w:t>question</w:t>
      </w:r>
      <w:r>
        <w:rPr>
          <w:color w:val="231F20"/>
          <w:spacing w:val="1"/>
        </w:rPr>
        <w:t> </w:t>
      </w:r>
      <w:r>
        <w:rPr>
          <w:color w:val="231F20"/>
          <w:spacing w:val="-4"/>
        </w:rPr>
        <w:t>are:</w:t>
      </w:r>
    </w:p>
    <w:p>
      <w:pPr>
        <w:spacing w:after="0"/>
        <w:jc w:val="both"/>
        <w:sectPr>
          <w:pgSz w:w="8640" w:h="12960"/>
          <w:pgMar w:header="732" w:footer="0" w:top="920" w:bottom="280" w:left="340" w:right="500"/>
        </w:sectPr>
      </w:pPr>
    </w:p>
    <w:p>
      <w:pPr>
        <w:pStyle w:val="BodyText"/>
        <w:spacing w:before="4"/>
        <w:rPr>
          <w:sz w:val="19"/>
        </w:rPr>
      </w:pPr>
    </w:p>
    <w:p>
      <w:pPr>
        <w:pStyle w:val="ListParagraph"/>
        <w:numPr>
          <w:ilvl w:val="1"/>
          <w:numId w:val="30"/>
        </w:numPr>
        <w:tabs>
          <w:tab w:pos="1611" w:val="left" w:leader="none"/>
        </w:tabs>
        <w:spacing w:line="240" w:lineRule="auto" w:before="95" w:after="0"/>
        <w:ind w:left="1610" w:right="0" w:hanging="171"/>
        <w:jc w:val="left"/>
        <w:rPr>
          <w:sz w:val="19"/>
        </w:rPr>
      </w:pPr>
      <w:r>
        <w:rPr>
          <w:color w:val="231F20"/>
          <w:spacing w:val="-2"/>
          <w:w w:val="115"/>
          <w:sz w:val="19"/>
        </w:rPr>
        <w:t>Define</w:t>
      </w:r>
      <w:r>
        <w:rPr>
          <w:color w:val="231F20"/>
          <w:spacing w:val="-8"/>
          <w:w w:val="115"/>
          <w:sz w:val="19"/>
        </w:rPr>
        <w:t> </w:t>
      </w:r>
      <w:r>
        <w:rPr>
          <w:color w:val="231F20"/>
          <w:spacing w:val="-2"/>
          <w:w w:val="115"/>
          <w:sz w:val="19"/>
        </w:rPr>
        <w:t>the</w:t>
      </w:r>
      <w:r>
        <w:rPr>
          <w:color w:val="231F20"/>
          <w:spacing w:val="-8"/>
          <w:w w:val="115"/>
          <w:sz w:val="19"/>
        </w:rPr>
        <w:t> </w:t>
      </w:r>
      <w:r>
        <w:rPr>
          <w:color w:val="231F20"/>
          <w:spacing w:val="-2"/>
          <w:w w:val="115"/>
          <w:sz w:val="19"/>
        </w:rPr>
        <w:t>value</w:t>
      </w:r>
      <w:r>
        <w:rPr>
          <w:color w:val="231F20"/>
          <w:spacing w:val="-8"/>
          <w:w w:val="115"/>
          <w:sz w:val="19"/>
        </w:rPr>
        <w:t> </w:t>
      </w:r>
      <w:r>
        <w:rPr>
          <w:color w:val="231F20"/>
          <w:spacing w:val="-2"/>
          <w:w w:val="115"/>
          <w:sz w:val="19"/>
        </w:rPr>
        <w:t>of</w:t>
      </w:r>
      <w:r>
        <w:rPr>
          <w:color w:val="231F20"/>
          <w:spacing w:val="-8"/>
          <w:w w:val="115"/>
          <w:sz w:val="19"/>
        </w:rPr>
        <w:t> </w:t>
      </w:r>
      <w:r>
        <w:rPr>
          <w:color w:val="231F20"/>
          <w:spacing w:val="-2"/>
          <w:w w:val="115"/>
          <w:sz w:val="19"/>
        </w:rPr>
        <w:t>the</w:t>
      </w:r>
      <w:r>
        <w:rPr>
          <w:color w:val="231F20"/>
          <w:spacing w:val="-8"/>
          <w:w w:val="115"/>
          <w:sz w:val="19"/>
        </w:rPr>
        <w:t> </w:t>
      </w:r>
      <w:r>
        <w:rPr>
          <w:color w:val="231F20"/>
          <w:spacing w:val="-2"/>
          <w:w w:val="115"/>
          <w:sz w:val="19"/>
        </w:rPr>
        <w:t>investment</w:t>
      </w:r>
    </w:p>
    <w:p>
      <w:pPr>
        <w:pStyle w:val="ListParagraph"/>
        <w:numPr>
          <w:ilvl w:val="1"/>
          <w:numId w:val="30"/>
        </w:numPr>
        <w:tabs>
          <w:tab w:pos="1610" w:val="left" w:leader="none"/>
        </w:tabs>
        <w:spacing w:line="240" w:lineRule="auto" w:before="82" w:after="0"/>
        <w:ind w:left="1609" w:right="0" w:hanging="219"/>
        <w:jc w:val="left"/>
        <w:rPr>
          <w:sz w:val="19"/>
        </w:rPr>
      </w:pPr>
      <w:r>
        <w:rPr>
          <w:color w:val="231F20"/>
          <w:spacing w:val="-2"/>
          <w:w w:val="115"/>
          <w:sz w:val="19"/>
        </w:rPr>
        <w:t>Calculate</w:t>
      </w:r>
      <w:r>
        <w:rPr>
          <w:color w:val="231F20"/>
          <w:spacing w:val="-8"/>
          <w:w w:val="115"/>
          <w:sz w:val="19"/>
        </w:rPr>
        <w:t> </w:t>
      </w:r>
      <w:r>
        <w:rPr>
          <w:color w:val="231F20"/>
          <w:spacing w:val="-2"/>
          <w:w w:val="115"/>
          <w:sz w:val="19"/>
        </w:rPr>
        <w:t>the</w:t>
      </w:r>
      <w:r>
        <w:rPr>
          <w:color w:val="231F20"/>
          <w:spacing w:val="-7"/>
          <w:w w:val="115"/>
          <w:sz w:val="19"/>
        </w:rPr>
        <w:t> </w:t>
      </w:r>
      <w:r>
        <w:rPr>
          <w:color w:val="231F20"/>
          <w:spacing w:val="-2"/>
          <w:w w:val="115"/>
          <w:sz w:val="19"/>
        </w:rPr>
        <w:t>magnitude</w:t>
      </w:r>
      <w:r>
        <w:rPr>
          <w:color w:val="231F20"/>
          <w:spacing w:val="-7"/>
          <w:w w:val="115"/>
          <w:sz w:val="19"/>
        </w:rPr>
        <w:t> </w:t>
      </w:r>
      <w:r>
        <w:rPr>
          <w:color w:val="231F20"/>
          <w:spacing w:val="-2"/>
          <w:w w:val="115"/>
          <w:sz w:val="19"/>
        </w:rPr>
        <w:t>of</w:t>
      </w:r>
      <w:r>
        <w:rPr>
          <w:color w:val="231F20"/>
          <w:spacing w:val="-7"/>
          <w:w w:val="115"/>
          <w:sz w:val="19"/>
        </w:rPr>
        <w:t> </w:t>
      </w:r>
      <w:r>
        <w:rPr>
          <w:color w:val="231F20"/>
          <w:spacing w:val="-2"/>
          <w:w w:val="115"/>
          <w:sz w:val="19"/>
        </w:rPr>
        <w:t>the</w:t>
      </w:r>
      <w:r>
        <w:rPr>
          <w:color w:val="231F20"/>
          <w:spacing w:val="-8"/>
          <w:w w:val="115"/>
          <w:sz w:val="19"/>
        </w:rPr>
        <w:t> </w:t>
      </w:r>
      <w:r>
        <w:rPr>
          <w:color w:val="231F20"/>
          <w:spacing w:val="-2"/>
          <w:w w:val="115"/>
          <w:sz w:val="19"/>
        </w:rPr>
        <w:t>benefits</w:t>
      </w:r>
    </w:p>
    <w:p>
      <w:pPr>
        <w:pStyle w:val="ListParagraph"/>
        <w:numPr>
          <w:ilvl w:val="1"/>
          <w:numId w:val="30"/>
        </w:numPr>
        <w:tabs>
          <w:tab w:pos="1611" w:val="left" w:leader="none"/>
        </w:tabs>
        <w:spacing w:line="240" w:lineRule="auto" w:before="81" w:after="0"/>
        <w:ind w:left="1610" w:right="0" w:hanging="224"/>
        <w:jc w:val="left"/>
        <w:rPr>
          <w:sz w:val="19"/>
        </w:rPr>
      </w:pPr>
      <w:r>
        <w:rPr>
          <w:color w:val="231F20"/>
          <w:w w:val="115"/>
          <w:sz w:val="19"/>
        </w:rPr>
        <w:t>Determine</w:t>
      </w:r>
      <w:r>
        <w:rPr>
          <w:color w:val="231F20"/>
          <w:spacing w:val="-7"/>
          <w:w w:val="115"/>
          <w:sz w:val="19"/>
        </w:rPr>
        <w:t> </w:t>
      </w:r>
      <w:r>
        <w:rPr>
          <w:color w:val="231F20"/>
          <w:w w:val="115"/>
          <w:sz w:val="19"/>
        </w:rPr>
        <w:t>the</w:t>
      </w:r>
      <w:r>
        <w:rPr>
          <w:color w:val="231F20"/>
          <w:spacing w:val="-7"/>
          <w:w w:val="115"/>
          <w:sz w:val="19"/>
        </w:rPr>
        <w:t> </w:t>
      </w:r>
      <w:r>
        <w:rPr>
          <w:color w:val="231F20"/>
          <w:w w:val="115"/>
          <w:sz w:val="19"/>
        </w:rPr>
        <w:t>timing</w:t>
      </w:r>
      <w:r>
        <w:rPr>
          <w:color w:val="231F20"/>
          <w:spacing w:val="-7"/>
          <w:w w:val="115"/>
          <w:sz w:val="19"/>
        </w:rPr>
        <w:t> </w:t>
      </w:r>
      <w:r>
        <w:rPr>
          <w:color w:val="231F20"/>
          <w:w w:val="115"/>
          <w:sz w:val="19"/>
        </w:rPr>
        <w:t>of</w:t>
      </w:r>
      <w:r>
        <w:rPr>
          <w:color w:val="231F20"/>
          <w:spacing w:val="-6"/>
          <w:w w:val="115"/>
          <w:sz w:val="19"/>
        </w:rPr>
        <w:t> </w:t>
      </w:r>
      <w:r>
        <w:rPr>
          <w:color w:val="231F20"/>
          <w:w w:val="115"/>
          <w:sz w:val="19"/>
        </w:rPr>
        <w:t>the</w:t>
      </w:r>
      <w:r>
        <w:rPr>
          <w:color w:val="231F20"/>
          <w:spacing w:val="-7"/>
          <w:w w:val="115"/>
          <w:sz w:val="19"/>
        </w:rPr>
        <w:t> </w:t>
      </w:r>
      <w:r>
        <w:rPr>
          <w:color w:val="231F20"/>
          <w:spacing w:val="-2"/>
          <w:w w:val="115"/>
          <w:sz w:val="19"/>
        </w:rPr>
        <w:t>benefits</w:t>
      </w:r>
    </w:p>
    <w:p>
      <w:pPr>
        <w:pStyle w:val="ListParagraph"/>
        <w:numPr>
          <w:ilvl w:val="1"/>
          <w:numId w:val="30"/>
        </w:numPr>
        <w:tabs>
          <w:tab w:pos="1611" w:val="left" w:leader="none"/>
        </w:tabs>
        <w:spacing w:line="240" w:lineRule="auto" w:before="82" w:after="0"/>
        <w:ind w:left="1610" w:right="0" w:hanging="234"/>
        <w:jc w:val="left"/>
        <w:rPr>
          <w:sz w:val="19"/>
        </w:rPr>
      </w:pPr>
      <w:r>
        <w:rPr>
          <w:color w:val="231F20"/>
          <w:w w:val="115"/>
          <w:sz w:val="19"/>
        </w:rPr>
        <w:t>Quantify</w:t>
      </w:r>
      <w:r>
        <w:rPr>
          <w:color w:val="231F20"/>
          <w:spacing w:val="-5"/>
          <w:w w:val="115"/>
          <w:sz w:val="19"/>
        </w:rPr>
        <w:t> </w:t>
      </w:r>
      <w:r>
        <w:rPr>
          <w:color w:val="231F20"/>
          <w:w w:val="115"/>
          <w:sz w:val="19"/>
        </w:rPr>
        <w:t>the</w:t>
      </w:r>
      <w:r>
        <w:rPr>
          <w:color w:val="231F20"/>
          <w:spacing w:val="-5"/>
          <w:w w:val="115"/>
          <w:sz w:val="19"/>
        </w:rPr>
        <w:t> </w:t>
      </w:r>
      <w:r>
        <w:rPr>
          <w:color w:val="231F20"/>
          <w:w w:val="115"/>
          <w:sz w:val="19"/>
        </w:rPr>
        <w:t>uncertainty</w:t>
      </w:r>
      <w:r>
        <w:rPr>
          <w:color w:val="231F20"/>
          <w:spacing w:val="-5"/>
          <w:w w:val="115"/>
          <w:sz w:val="19"/>
        </w:rPr>
        <w:t> </w:t>
      </w:r>
      <w:r>
        <w:rPr>
          <w:color w:val="231F20"/>
          <w:w w:val="115"/>
          <w:sz w:val="19"/>
        </w:rPr>
        <w:t>of</w:t>
      </w:r>
      <w:r>
        <w:rPr>
          <w:color w:val="231F20"/>
          <w:spacing w:val="-5"/>
          <w:w w:val="115"/>
          <w:sz w:val="19"/>
        </w:rPr>
        <w:t> </w:t>
      </w:r>
      <w:r>
        <w:rPr>
          <w:color w:val="231F20"/>
          <w:w w:val="115"/>
          <w:sz w:val="19"/>
        </w:rPr>
        <w:t>the</w:t>
      </w:r>
      <w:r>
        <w:rPr>
          <w:color w:val="231F20"/>
          <w:spacing w:val="-5"/>
          <w:w w:val="115"/>
          <w:sz w:val="19"/>
        </w:rPr>
        <w:t> </w:t>
      </w:r>
      <w:r>
        <w:rPr>
          <w:color w:val="231F20"/>
          <w:spacing w:val="-2"/>
          <w:w w:val="115"/>
          <w:sz w:val="19"/>
        </w:rPr>
        <w:t>benefits</w:t>
      </w:r>
    </w:p>
    <w:p>
      <w:pPr>
        <w:pStyle w:val="ListParagraph"/>
        <w:numPr>
          <w:ilvl w:val="1"/>
          <w:numId w:val="30"/>
        </w:numPr>
        <w:tabs>
          <w:tab w:pos="1611" w:val="left" w:leader="none"/>
        </w:tabs>
        <w:spacing w:line="240" w:lineRule="auto" w:before="81" w:after="0"/>
        <w:ind w:left="1610" w:right="0" w:hanging="223"/>
        <w:jc w:val="left"/>
        <w:rPr>
          <w:sz w:val="19"/>
        </w:rPr>
      </w:pPr>
      <w:r>
        <w:rPr>
          <w:color w:val="231F20"/>
          <w:w w:val="115"/>
          <w:sz w:val="19"/>
        </w:rPr>
        <w:t>Do</w:t>
      </w:r>
      <w:r>
        <w:rPr>
          <w:color w:val="231F20"/>
          <w:spacing w:val="-10"/>
          <w:w w:val="115"/>
          <w:sz w:val="19"/>
        </w:rPr>
        <w:t> </w:t>
      </w:r>
      <w:r>
        <w:rPr>
          <w:color w:val="231F20"/>
          <w:w w:val="115"/>
          <w:sz w:val="19"/>
        </w:rPr>
        <w:t>the</w:t>
      </w:r>
      <w:r>
        <w:rPr>
          <w:color w:val="231F20"/>
          <w:spacing w:val="-9"/>
          <w:w w:val="115"/>
          <w:sz w:val="19"/>
        </w:rPr>
        <w:t> </w:t>
      </w:r>
      <w:r>
        <w:rPr>
          <w:color w:val="231F20"/>
          <w:w w:val="115"/>
          <w:sz w:val="19"/>
        </w:rPr>
        <w:t>benefits</w:t>
      </w:r>
      <w:r>
        <w:rPr>
          <w:color w:val="231F20"/>
          <w:spacing w:val="-9"/>
          <w:w w:val="115"/>
          <w:sz w:val="19"/>
        </w:rPr>
        <w:t> </w:t>
      </w:r>
      <w:r>
        <w:rPr>
          <w:color w:val="231F20"/>
          <w:w w:val="115"/>
          <w:sz w:val="19"/>
        </w:rPr>
        <w:t>justify</w:t>
      </w:r>
      <w:r>
        <w:rPr>
          <w:color w:val="231F20"/>
          <w:spacing w:val="-9"/>
          <w:w w:val="115"/>
          <w:sz w:val="19"/>
        </w:rPr>
        <w:t> </w:t>
      </w:r>
      <w:r>
        <w:rPr>
          <w:color w:val="231F20"/>
          <w:w w:val="115"/>
          <w:sz w:val="19"/>
        </w:rPr>
        <w:t>the</w:t>
      </w:r>
      <w:r>
        <w:rPr>
          <w:color w:val="231F20"/>
          <w:spacing w:val="-9"/>
          <w:w w:val="115"/>
          <w:sz w:val="19"/>
        </w:rPr>
        <w:t> </w:t>
      </w:r>
      <w:r>
        <w:rPr>
          <w:color w:val="231F20"/>
          <w:spacing w:val="-2"/>
          <w:w w:val="115"/>
          <w:sz w:val="19"/>
        </w:rPr>
        <w:t>wait?</w:t>
      </w:r>
    </w:p>
    <w:p>
      <w:pPr>
        <w:pStyle w:val="BodyText"/>
        <w:rPr>
          <w:rFonts w:ascii="Arial"/>
          <w:sz w:val="20"/>
        </w:rPr>
      </w:pPr>
    </w:p>
    <w:p>
      <w:pPr>
        <w:pStyle w:val="BodyText"/>
        <w:spacing w:line="292" w:lineRule="auto" w:before="140"/>
        <w:ind w:left="920" w:right="665" w:firstLine="340"/>
        <w:jc w:val="both"/>
      </w:pPr>
      <w:r>
        <w:rPr>
          <w:color w:val="231F20"/>
        </w:rPr>
        <w:t>One important issue to consider is that cash flow analysis </w:t>
      </w:r>
      <w:r>
        <w:rPr>
          <w:color w:val="231F20"/>
        </w:rPr>
        <w:t>indi- cates cash flows, not profits. For example, a successful computer start-up company in Silicon Valley may be making an “accounting” profit of $3 million. But if the company requires a $20 million in- vestment in research and a $30 million outlay to build a factory, the company is actually a net user of cash. In this case the company’s profitability lies in the future.</w:t>
      </w:r>
    </w:p>
    <w:p>
      <w:pPr>
        <w:pStyle w:val="BodyText"/>
        <w:spacing w:line="292" w:lineRule="auto"/>
        <w:ind w:left="920" w:right="667" w:firstLine="340"/>
        <w:jc w:val="both"/>
      </w:pPr>
      <w:r>
        <w:rPr>
          <w:color w:val="231F20"/>
        </w:rPr>
        <w:t>Accounting profits, as reported in the income statement, are a short-term</w:t>
      </w:r>
      <w:r>
        <w:rPr>
          <w:color w:val="231F20"/>
          <w:spacing w:val="27"/>
        </w:rPr>
        <w:t> </w:t>
      </w:r>
      <w:r>
        <w:rPr>
          <w:color w:val="231F20"/>
        </w:rPr>
        <w:t>measurement</w:t>
      </w:r>
      <w:r>
        <w:rPr>
          <w:color w:val="231F20"/>
          <w:spacing w:val="27"/>
        </w:rPr>
        <w:t> </w:t>
      </w:r>
      <w:r>
        <w:rPr>
          <w:color w:val="231F20"/>
        </w:rPr>
        <w:t>of</w:t>
      </w:r>
      <w:r>
        <w:rPr>
          <w:color w:val="231F20"/>
          <w:spacing w:val="27"/>
        </w:rPr>
        <w:t> </w:t>
      </w:r>
      <w:r>
        <w:rPr>
          <w:color w:val="231F20"/>
        </w:rPr>
        <w:t>an</w:t>
      </w:r>
      <w:r>
        <w:rPr>
          <w:color w:val="231F20"/>
          <w:spacing w:val="27"/>
        </w:rPr>
        <w:t> </w:t>
      </w:r>
      <w:r>
        <w:rPr>
          <w:color w:val="231F20"/>
        </w:rPr>
        <w:t>investment</w:t>
      </w:r>
      <w:r>
        <w:rPr>
          <w:color w:val="231F20"/>
          <w:spacing w:val="27"/>
        </w:rPr>
        <w:t> </w:t>
      </w:r>
      <w:r>
        <w:rPr>
          <w:color w:val="231F20"/>
        </w:rPr>
        <w:t>in</w:t>
      </w:r>
      <w:r>
        <w:rPr>
          <w:color w:val="231F20"/>
          <w:spacing w:val="27"/>
        </w:rPr>
        <w:t> </w:t>
      </w:r>
      <w:r>
        <w:rPr>
          <w:color w:val="231F20"/>
        </w:rPr>
        <w:t>a</w:t>
      </w:r>
      <w:r>
        <w:rPr>
          <w:color w:val="231F20"/>
          <w:spacing w:val="27"/>
        </w:rPr>
        <w:t> </w:t>
      </w:r>
      <w:r>
        <w:rPr>
          <w:color w:val="231F20"/>
        </w:rPr>
        <w:t>time</w:t>
      </w:r>
      <w:r>
        <w:rPr>
          <w:color w:val="231F20"/>
          <w:spacing w:val="27"/>
        </w:rPr>
        <w:t> </w:t>
      </w:r>
      <w:r>
        <w:rPr>
          <w:color w:val="231F20"/>
        </w:rPr>
        <w:t>frame</w:t>
      </w:r>
      <w:r>
        <w:rPr>
          <w:color w:val="231F20"/>
          <w:spacing w:val="27"/>
        </w:rPr>
        <w:t> </w:t>
      </w:r>
      <w:r>
        <w:rPr>
          <w:color w:val="231F20"/>
        </w:rPr>
        <w:t>shorter</w:t>
      </w:r>
    </w:p>
    <w:p>
      <w:pPr>
        <w:pStyle w:val="BodyText"/>
        <w:spacing w:before="6"/>
        <w:rPr>
          <w:sz w:val="33"/>
        </w:rPr>
      </w:pPr>
    </w:p>
    <w:p>
      <w:pPr>
        <w:spacing w:before="0"/>
        <w:ind w:left="473" w:right="219" w:firstLine="0"/>
        <w:jc w:val="center"/>
        <w:rPr>
          <w:rFonts w:ascii="Arial"/>
          <w:sz w:val="14"/>
        </w:rPr>
      </w:pPr>
      <w:r>
        <w:rPr>
          <w:rFonts w:ascii="Arial"/>
          <w:color w:val="231F20"/>
          <w:w w:val="105"/>
          <w:sz w:val="14"/>
        </w:rPr>
        <w:t>THE</w:t>
      </w:r>
      <w:r>
        <w:rPr>
          <w:rFonts w:ascii="Arial"/>
          <w:color w:val="231F20"/>
          <w:spacing w:val="18"/>
          <w:w w:val="105"/>
          <w:sz w:val="14"/>
        </w:rPr>
        <w:t> </w:t>
      </w:r>
      <w:r>
        <w:rPr>
          <w:rFonts w:ascii="Arial"/>
          <w:color w:val="231F20"/>
          <w:w w:val="105"/>
          <w:sz w:val="14"/>
        </w:rPr>
        <w:t>DECISION</w:t>
      </w:r>
      <w:r>
        <w:rPr>
          <w:rFonts w:ascii="Arial"/>
          <w:color w:val="231F20"/>
          <w:spacing w:val="18"/>
          <w:w w:val="105"/>
          <w:sz w:val="14"/>
        </w:rPr>
        <w:t> </w:t>
      </w:r>
      <w:r>
        <w:rPr>
          <w:rFonts w:ascii="Arial"/>
          <w:color w:val="231F20"/>
          <w:w w:val="105"/>
          <w:sz w:val="14"/>
        </w:rPr>
        <w:t>TREE</w:t>
      </w:r>
      <w:r>
        <w:rPr>
          <w:rFonts w:ascii="Arial"/>
          <w:color w:val="231F20"/>
          <w:spacing w:val="19"/>
          <w:w w:val="105"/>
          <w:sz w:val="14"/>
        </w:rPr>
        <w:t> </w:t>
      </w:r>
      <w:r>
        <w:rPr>
          <w:rFonts w:ascii="Arial"/>
          <w:color w:val="231F20"/>
          <w:w w:val="105"/>
          <w:sz w:val="14"/>
        </w:rPr>
        <w:t>OIL</w:t>
      </w:r>
      <w:r>
        <w:rPr>
          <w:rFonts w:ascii="Arial"/>
          <w:color w:val="231F20"/>
          <w:spacing w:val="18"/>
          <w:w w:val="105"/>
          <w:sz w:val="14"/>
        </w:rPr>
        <w:t> </w:t>
      </w:r>
      <w:r>
        <w:rPr>
          <w:rFonts w:ascii="Arial"/>
          <w:color w:val="231F20"/>
          <w:spacing w:val="-2"/>
          <w:w w:val="105"/>
          <w:sz w:val="14"/>
        </w:rPr>
        <w:t>DRILLING</w:t>
      </w:r>
    </w:p>
    <w:p>
      <w:pPr>
        <w:spacing w:before="80"/>
        <w:ind w:left="469" w:right="219" w:firstLine="0"/>
        <w:jc w:val="center"/>
        <w:rPr>
          <w:rFonts w:ascii="Times New Roman"/>
          <w:sz w:val="14"/>
        </w:rPr>
      </w:pPr>
      <w:r>
        <w:rPr/>
        <w:pict>
          <v:group style="position:absolute;margin-left:51pt;margin-top:14.452414pt;width:331pt;height:271.75pt;mso-position-horizontal-relative:page;mso-position-vertical-relative:paragraph;z-index:-15638528;mso-wrap-distance-left:0;mso-wrap-distance-right:0" id="docshapegroup242" coordorigin="1020,289" coordsize="6620,5435">
            <v:shape style="position:absolute;left:1020;top:403;width:6620;height:5320" id="docshape243" coordorigin="1020,404" coordsize="6620,5320" path="m7640,404l4850,404,4680,484,1060,484,1020,5724,7640,5724,7640,404xe" filled="true" fillcolor="#ffffff" stroked="false">
              <v:path arrowok="t"/>
              <v:fill type="solid"/>
            </v:shape>
            <v:line style="position:absolute" from="3833,2543" to="5691,1544" stroked="true" strokeweight=".89999pt" strokecolor="#231f20">
              <v:stroke dashstyle="solid"/>
            </v:line>
            <v:shape style="position:absolute;left:2783;top:2325;width:1544;height:718" id="docshape244" coordorigin="2784,2325" coordsize="1544,718" path="m2784,2325l4327,3042,2784,2325xe" filled="true" fillcolor="#ffffff" stroked="false">
              <v:path arrowok="t"/>
              <v:fill type="solid"/>
            </v:shape>
            <v:line style="position:absolute" from="2784,2325" to="4327,3042" stroked="true" strokeweight=".89999pt" strokecolor="#231f20">
              <v:stroke dashstyle="solid"/>
            </v:line>
            <v:shape style="position:absolute;left:3871;top:2779;width:1839;height:935" id="docshape245" coordorigin="3871,2780" coordsize="1839,935" path="m5710,2780l3871,3715,5710,2780xe" filled="true" fillcolor="#ffffff" stroked="false">
              <v:path arrowok="t"/>
              <v:fill type="solid"/>
            </v:shape>
            <v:line style="position:absolute" from="3871,3715" to="5710,2780" stroked="true" strokeweight=".89999pt" strokecolor="#231f20">
              <v:stroke dashstyle="solid"/>
            </v:line>
            <v:shape style="position:absolute;left:1855;top:2984;width:2504;height:1236" id="docshape246" coordorigin="1855,2985" coordsize="2504,1236" path="m1855,2985l4359,4221,1855,2985xe" filled="true" fillcolor="#ffffff" stroked="false">
              <v:path arrowok="t"/>
              <v:fill type="solid"/>
            </v:shape>
            <v:shape style="position:absolute;left:1599;top:2715;width:2760;height:1505" id="docshape247" coordorigin="1599,2716" coordsize="2760,1505" path="m1855,2985l4359,4221m1855,2985l1599,2985,1599,2716,1855,2716,1855,2985e" filled="false" stroked="true" strokeweight=".89999pt" strokecolor="#231f20">
              <v:path arrowok="t"/>
              <v:stroke dashstyle="solid"/>
            </v:shape>
            <v:rect style="position:absolute;left:3576;top:2542;width:257;height:269" id="docshape248" filled="true" fillcolor="#ffffff" stroked="false">
              <v:fill type="solid"/>
            </v:rect>
            <v:rect style="position:absolute;left:3576;top:2542;width:257;height:269" id="docshape249" filled="false" stroked="true" strokeweight=".89999pt" strokecolor="#231f20">
              <v:stroke dashstyle="solid"/>
            </v:rect>
            <v:rect style="position:absolute;left:3615;top:3714;width:257;height:269" id="docshape250" filled="true" fillcolor="#ffffff" stroked="false">
              <v:fill type="solid"/>
            </v:rect>
            <v:rect style="position:absolute;left:3615;top:3714;width:257;height:269" id="docshape251" filled="false" stroked="true" strokeweight=".89999pt" strokecolor="#231f20">
              <v:stroke dashstyle="solid"/>
            </v:rect>
            <v:shape style="position:absolute;left:2518;top:2124;width:287;height:287" type="#_x0000_t75" id="docshape252" stroked="false">
              <v:imagedata r:id="rId59" o:title=""/>
            </v:shape>
            <v:shape style="position:absolute;left:4753;top:1842;width:307;height:307" type="#_x0000_t75" id="docshape253" stroked="false">
              <v:imagedata r:id="rId60" o:title=""/>
            </v:shape>
            <v:shape style="position:absolute;left:4791;top:3034;width:307;height:307" type="#_x0000_t75" id="docshape254" stroked="false">
              <v:imagedata r:id="rId61" o:title=""/>
            </v:shape>
            <v:shape style="position:absolute;left:1842;top:564;width:3817;height:2152" id="docshape255" coordorigin="1843,564" coordsize="3817,2152" path="m1843,2716l2541,2338m2784,2191l5659,564e" filled="false" stroked="true" strokeweight=".89999pt" strokecolor="#231f20">
              <v:path arrowok="t"/>
              <v:stroke dashstyle="solid"/>
            </v:shape>
            <v:rect style="position:absolute;left:3558;top:1620;width:257;height:269" id="docshape256" filled="true" fillcolor="#ffffff" stroked="false">
              <v:fill type="solid"/>
            </v:rect>
            <v:rect style="position:absolute;left:3558;top:1620;width:257;height:269" id="docshape257" filled="false" stroked="true" strokeweight=".89999pt" strokecolor="#231f20">
              <v:stroke dashstyle="solid"/>
            </v:rect>
            <v:shape style="position:absolute;left:4721;top:900;width:294;height:294" type="#_x0000_t75" id="docshape258" stroked="false">
              <v:imagedata r:id="rId62" o:title=""/>
            </v:shape>
            <v:shape style="position:absolute;left:4999;top:1095;width:679;height:308" id="docshape259" coordorigin="4999,1096" coordsize="679,308" path="m4999,1096l5678,1403,4999,1096xe" filled="true" fillcolor="#ffffff" stroked="false">
              <v:path arrowok="t"/>
              <v:fill type="solid"/>
            </v:shape>
            <v:line style="position:absolute" from="4999,1096" to="5678,1403" stroked="true" strokeweight=".89999pt" strokecolor="#231f20">
              <v:stroke dashstyle="solid"/>
            </v:line>
            <v:shape style="position:absolute;left:3814;top:1889;width:494;height:231" id="docshape260" coordorigin="3815,1890" coordsize="494,231" path="m3815,1890l4308,2120,3815,1890xe" filled="true" fillcolor="#ffffff" stroked="false">
              <v:path arrowok="t"/>
              <v:fill type="solid"/>
            </v:shape>
            <v:line style="position:absolute" from="3815,1890" to="4308,2120" stroked="true" strokeweight=".89999pt" strokecolor="#231f20">
              <v:stroke dashstyle="solid"/>
            </v:line>
            <v:shape style="position:absolute;left:4973;top:3330;width:756;height:327" id="docshape261" coordorigin="4974,3330" coordsize="756,327" path="m4974,3330l5729,3657,4974,3330xe" filled="true" fillcolor="#ffffff" stroked="false">
              <v:path arrowok="t"/>
              <v:fill type="solid"/>
            </v:shape>
            <v:line style="position:absolute" from="4974,3330" to="5729,3657" stroked="true" strokeweight=".89999pt" strokecolor="#231f20">
              <v:stroke dashstyle="solid"/>
            </v:line>
            <v:shape style="position:absolute;left:4986;top:2120;width:724;height:327" id="docshape262" coordorigin="4987,2120" coordsize="724,327" path="m4987,2120l5710,2447,4987,2120xe" filled="true" fillcolor="#ffffff" stroked="false">
              <v:path arrowok="t"/>
              <v:fill type="solid"/>
            </v:shape>
            <v:line style="position:absolute" from="4987,2120" to="5710,2447" stroked="true" strokeweight=".89999pt" strokecolor="#231f20">
              <v:stroke dashstyle="solid"/>
            </v:line>
            <v:shape style="position:absolute;left:2685;top:4896;width:4352;height:2" id="docshape263" coordorigin="2686,4897" coordsize="4352,0" path="m7037,4897l2686,4897,7037,4897xe" filled="true" fillcolor="#231f20" stroked="false">
              <v:path arrowok="t"/>
              <v:fill type="solid"/>
            </v:shape>
            <v:rect style="position:absolute;left:2685;top:4887;width:4352;height:18" id="docshape264" filled="true" fillcolor="#231f20" stroked="false">
              <v:fill type="solid"/>
            </v:rect>
            <v:shape style="position:absolute;left:2576;top:4829;width:117;height:135" id="docshape265" coordorigin="2576,4829" coordsize="117,135" path="m2693,4829l2576,4896,2693,4964,2693,4829xe" filled="true" fillcolor="#231f20" stroked="false">
              <v:path arrowok="t"/>
              <v:fill type="solid"/>
            </v:shape>
            <v:shape style="position:absolute;left:2988;top:289;width:1557;height:167" type="#_x0000_t202" id="docshape266" filled="false" stroked="false">
              <v:textbox inset="0,0,0,0">
                <w:txbxContent>
                  <w:p>
                    <w:pPr>
                      <w:spacing w:before="2"/>
                      <w:ind w:left="0" w:right="0" w:firstLine="0"/>
                      <w:jc w:val="left"/>
                      <w:rPr>
                        <w:rFonts w:ascii="Arial"/>
                        <w:sz w:val="14"/>
                      </w:rPr>
                    </w:pPr>
                    <w:r>
                      <w:rPr>
                        <w:rFonts w:ascii="Arial"/>
                        <w:color w:val="231F20"/>
                        <w:sz w:val="14"/>
                      </w:rPr>
                      <w:t>(in</w:t>
                    </w:r>
                    <w:r>
                      <w:rPr>
                        <w:rFonts w:ascii="Arial"/>
                        <w:color w:val="231F20"/>
                        <w:spacing w:val="7"/>
                        <w:sz w:val="14"/>
                      </w:rPr>
                      <w:t> </w:t>
                    </w:r>
                    <w:r>
                      <w:rPr>
                        <w:rFonts w:ascii="Arial"/>
                        <w:color w:val="231F20"/>
                        <w:sz w:val="14"/>
                      </w:rPr>
                      <w:t>thousands</w:t>
                    </w:r>
                    <w:r>
                      <w:rPr>
                        <w:rFonts w:ascii="Arial"/>
                        <w:color w:val="231F20"/>
                        <w:spacing w:val="7"/>
                        <w:sz w:val="14"/>
                      </w:rPr>
                      <w:t> </w:t>
                    </w:r>
                    <w:r>
                      <w:rPr>
                        <w:rFonts w:ascii="Arial"/>
                        <w:color w:val="231F20"/>
                        <w:sz w:val="14"/>
                      </w:rPr>
                      <w:t>of</w:t>
                    </w:r>
                    <w:r>
                      <w:rPr>
                        <w:rFonts w:ascii="Arial"/>
                        <w:color w:val="231F20"/>
                        <w:spacing w:val="7"/>
                        <w:sz w:val="14"/>
                      </w:rPr>
                      <w:t> </w:t>
                    </w:r>
                    <w:r>
                      <w:rPr>
                        <w:rFonts w:ascii="Arial"/>
                        <w:color w:val="231F20"/>
                        <w:spacing w:val="-2"/>
                        <w:sz w:val="14"/>
                      </w:rPr>
                      <w:t>dollars)</w:t>
                    </w:r>
                  </w:p>
                </w:txbxContent>
              </v:textbox>
              <w10:wrap type="none"/>
            </v:shape>
            <v:shape style="position:absolute;left:3494;top:1217;width:772;height:365" type="#_x0000_t202" id="docshape267" filled="false" stroked="false">
              <v:textbox inset="0,0,0,0">
                <w:txbxContent>
                  <w:p>
                    <w:pPr>
                      <w:spacing w:before="2"/>
                      <w:ind w:left="173" w:right="0" w:firstLine="0"/>
                      <w:jc w:val="left"/>
                      <w:rPr>
                        <w:rFonts w:ascii="Arial"/>
                        <w:sz w:val="14"/>
                      </w:rPr>
                    </w:pPr>
                    <w:r>
                      <w:rPr>
                        <w:rFonts w:ascii="Arial"/>
                        <w:color w:val="231F20"/>
                        <w:sz w:val="14"/>
                      </w:rPr>
                      <w:t>Drill</w:t>
                    </w:r>
                    <w:r>
                      <w:rPr>
                        <w:rFonts w:ascii="Arial"/>
                        <w:color w:val="231F20"/>
                        <w:spacing w:val="8"/>
                        <w:sz w:val="14"/>
                      </w:rPr>
                      <w:t> </w:t>
                    </w:r>
                    <w:r>
                      <w:rPr>
                        <w:rFonts w:ascii="Arial"/>
                        <w:color w:val="231F20"/>
                        <w:sz w:val="14"/>
                      </w:rPr>
                      <w:t>-</w:t>
                    </w:r>
                    <w:r>
                      <w:rPr>
                        <w:rFonts w:ascii="Arial"/>
                        <w:color w:val="231F20"/>
                        <w:spacing w:val="-5"/>
                        <w:sz w:val="14"/>
                      </w:rPr>
                      <w:t>200</w:t>
                    </w:r>
                  </w:p>
                  <w:p>
                    <w:pPr>
                      <w:spacing w:before="38"/>
                      <w:ind w:left="0" w:right="0" w:firstLine="0"/>
                      <w:jc w:val="left"/>
                      <w:rPr>
                        <w:rFonts w:ascii="Arial"/>
                        <w:sz w:val="14"/>
                      </w:rPr>
                    </w:pPr>
                    <w:r>
                      <w:rPr>
                        <w:rFonts w:ascii="Arial"/>
                        <w:color w:val="231F20"/>
                        <w:spacing w:val="-4"/>
                        <w:sz w:val="14"/>
                      </w:rPr>
                      <w:t>$700</w:t>
                    </w:r>
                  </w:p>
                </w:txbxContent>
              </v:textbox>
              <w10:wrap type="none"/>
            </v:shape>
            <v:shape style="position:absolute;left:3963;top:1768;width:495;height:167" type="#_x0000_t202" id="docshape268" filled="false" stroked="false">
              <v:textbox inset="0,0,0,0">
                <w:txbxContent>
                  <w:p>
                    <w:pPr>
                      <w:spacing w:before="2"/>
                      <w:ind w:left="0" w:right="0" w:firstLine="0"/>
                      <w:jc w:val="left"/>
                      <w:rPr>
                        <w:rFonts w:ascii="Arial"/>
                        <w:sz w:val="14"/>
                      </w:rPr>
                    </w:pPr>
                    <w:r>
                      <w:rPr>
                        <w:rFonts w:ascii="Arial"/>
                        <w:color w:val="231F20"/>
                        <w:sz w:val="14"/>
                      </w:rPr>
                      <w:t>No</w:t>
                    </w:r>
                    <w:r>
                      <w:rPr>
                        <w:rFonts w:ascii="Arial"/>
                        <w:color w:val="231F20"/>
                        <w:spacing w:val="4"/>
                        <w:sz w:val="14"/>
                      </w:rPr>
                      <w:t> </w:t>
                    </w:r>
                    <w:r>
                      <w:rPr>
                        <w:rFonts w:ascii="Arial"/>
                        <w:color w:val="231F20"/>
                        <w:spacing w:val="-2"/>
                        <w:sz w:val="14"/>
                      </w:rPr>
                      <w:t>Drill</w:t>
                    </w:r>
                  </w:p>
                </w:txbxContent>
              </v:textbox>
              <w10:wrap type="none"/>
            </v:shape>
            <v:shape style="position:absolute;left:4602;top:494;width:982;height:1339" type="#_x0000_t202" id="docshape269" filled="false" stroked="false">
              <v:textbox inset="0,0,0,0">
                <w:txbxContent>
                  <w:p>
                    <w:pPr>
                      <w:spacing w:before="2"/>
                      <w:ind w:left="565" w:right="0" w:firstLine="0"/>
                      <w:jc w:val="left"/>
                      <w:rPr>
                        <w:rFonts w:ascii="Arial"/>
                        <w:sz w:val="14"/>
                      </w:rPr>
                    </w:pPr>
                    <w:r>
                      <w:rPr>
                        <w:rFonts w:ascii="Arial"/>
                        <w:color w:val="231F20"/>
                        <w:spacing w:val="-5"/>
                        <w:sz w:val="14"/>
                      </w:rPr>
                      <w:t>Oil</w:t>
                    </w:r>
                  </w:p>
                  <w:p>
                    <w:pPr>
                      <w:spacing w:before="8"/>
                      <w:ind w:left="0" w:right="405" w:firstLine="0"/>
                      <w:jc w:val="right"/>
                      <w:rPr>
                        <w:rFonts w:ascii="Arial"/>
                        <w:sz w:val="14"/>
                      </w:rPr>
                    </w:pPr>
                    <w:r>
                      <w:rPr>
                        <w:rFonts w:ascii="Arial"/>
                        <w:color w:val="231F20"/>
                        <w:sz w:val="14"/>
                      </w:rPr>
                      <w:t>$900</w:t>
                    </w:r>
                    <w:r>
                      <w:rPr>
                        <w:rFonts w:ascii="Arial"/>
                        <w:color w:val="231F20"/>
                        <w:spacing w:val="20"/>
                        <w:sz w:val="14"/>
                      </w:rPr>
                      <w:t> </w:t>
                    </w:r>
                    <w:r>
                      <w:rPr>
                        <w:rFonts w:ascii="Arial"/>
                        <w:color w:val="231F20"/>
                        <w:spacing w:val="-5"/>
                        <w:position w:val="3"/>
                        <w:sz w:val="14"/>
                      </w:rPr>
                      <w:t>.90</w:t>
                    </w:r>
                  </w:p>
                  <w:p>
                    <w:pPr>
                      <w:spacing w:before="153"/>
                      <w:ind w:left="0" w:right="18" w:firstLine="0"/>
                      <w:jc w:val="right"/>
                      <w:rPr>
                        <w:rFonts w:ascii="Arial"/>
                        <w:sz w:val="14"/>
                      </w:rPr>
                    </w:pPr>
                    <w:r>
                      <w:rPr>
                        <w:rFonts w:ascii="Arial"/>
                        <w:color w:val="231F20"/>
                        <w:spacing w:val="-5"/>
                        <w:sz w:val="14"/>
                      </w:rPr>
                      <w:t>Dry</w:t>
                    </w:r>
                  </w:p>
                  <w:p>
                    <w:pPr>
                      <w:spacing w:before="18"/>
                      <w:ind w:left="0" w:right="418" w:firstLine="0"/>
                      <w:jc w:val="right"/>
                      <w:rPr>
                        <w:rFonts w:ascii="Arial"/>
                        <w:sz w:val="14"/>
                      </w:rPr>
                    </w:pPr>
                    <w:r>
                      <w:rPr>
                        <w:rFonts w:ascii="Arial"/>
                        <w:color w:val="231F20"/>
                        <w:spacing w:val="-5"/>
                        <w:sz w:val="14"/>
                      </w:rPr>
                      <w:t>.10</w:t>
                    </w:r>
                  </w:p>
                  <w:p>
                    <w:pPr>
                      <w:spacing w:before="114"/>
                      <w:ind w:left="583" w:right="0" w:firstLine="0"/>
                      <w:jc w:val="left"/>
                      <w:rPr>
                        <w:rFonts w:ascii="Arial"/>
                        <w:sz w:val="14"/>
                      </w:rPr>
                    </w:pPr>
                    <w:r>
                      <w:rPr>
                        <w:rFonts w:ascii="Arial"/>
                        <w:color w:val="231F20"/>
                        <w:spacing w:val="-5"/>
                        <w:sz w:val="14"/>
                      </w:rPr>
                      <w:t>Oil</w:t>
                    </w:r>
                  </w:p>
                  <w:p>
                    <w:pPr>
                      <w:spacing w:before="14"/>
                      <w:ind w:left="0" w:right="392" w:firstLine="0"/>
                      <w:jc w:val="right"/>
                      <w:rPr>
                        <w:rFonts w:ascii="Arial"/>
                        <w:sz w:val="14"/>
                      </w:rPr>
                    </w:pPr>
                    <w:r>
                      <w:rPr>
                        <w:rFonts w:ascii="Arial"/>
                        <w:color w:val="231F20"/>
                        <w:sz w:val="14"/>
                      </w:rPr>
                      <w:t>$100</w:t>
                    </w:r>
                    <w:r>
                      <w:rPr>
                        <w:rFonts w:ascii="Arial"/>
                        <w:color w:val="231F20"/>
                        <w:spacing w:val="1"/>
                        <w:sz w:val="14"/>
                      </w:rPr>
                      <w:t> </w:t>
                    </w:r>
                    <w:r>
                      <w:rPr>
                        <w:rFonts w:ascii="Arial"/>
                        <w:color w:val="231F20"/>
                        <w:spacing w:val="-5"/>
                        <w:position w:val="3"/>
                        <w:sz w:val="14"/>
                      </w:rPr>
                      <w:t>.10</w:t>
                    </w:r>
                  </w:p>
                </w:txbxContent>
              </v:textbox>
              <w10:wrap type="none"/>
            </v:shape>
            <v:shape style="position:absolute;left:5752;top:409;width:1421;height:340" type="#_x0000_t202" id="docshape270" filled="false" stroked="false">
              <v:textbox inset="0,0,0,0">
                <w:txbxContent>
                  <w:p>
                    <w:pPr>
                      <w:spacing w:before="3"/>
                      <w:ind w:left="0" w:right="0" w:firstLine="0"/>
                      <w:jc w:val="left"/>
                      <w:rPr>
                        <w:rFonts w:ascii="Arial"/>
                        <w:sz w:val="14"/>
                      </w:rPr>
                    </w:pPr>
                    <w:r>
                      <w:rPr>
                        <w:rFonts w:ascii="Arial"/>
                        <w:color w:val="231F20"/>
                        <w:sz w:val="14"/>
                      </w:rPr>
                      <w:t>$1,000</w:t>
                    </w:r>
                    <w:r>
                      <w:rPr>
                        <w:rFonts w:ascii="Arial"/>
                        <w:color w:val="231F20"/>
                        <w:spacing w:val="60"/>
                        <w:sz w:val="14"/>
                      </w:rPr>
                      <w:t>  </w:t>
                    </w:r>
                    <w:r>
                      <w:rPr>
                        <w:rFonts w:ascii="Arial"/>
                        <w:color w:val="231F20"/>
                        <w:sz w:val="14"/>
                      </w:rPr>
                      <w:t>EMV</w:t>
                    </w:r>
                    <w:r>
                      <w:rPr>
                        <w:rFonts w:ascii="Arial"/>
                        <w:color w:val="231F20"/>
                        <w:spacing w:val="3"/>
                        <w:sz w:val="14"/>
                      </w:rPr>
                      <w:t> </w:t>
                    </w:r>
                    <w:r>
                      <w:rPr>
                        <w:rFonts w:ascii="Arial"/>
                        <w:color w:val="231F20"/>
                        <w:sz w:val="14"/>
                      </w:rPr>
                      <w:t>&gt;</w:t>
                    </w:r>
                    <w:r>
                      <w:rPr>
                        <w:rFonts w:ascii="Arial"/>
                        <w:color w:val="231F20"/>
                        <w:spacing w:val="4"/>
                        <w:sz w:val="14"/>
                      </w:rPr>
                      <w:t> </w:t>
                    </w:r>
                    <w:r>
                      <w:rPr>
                        <w:rFonts w:ascii="Arial"/>
                        <w:color w:val="231F20"/>
                        <w:spacing w:val="-4"/>
                        <w:sz w:val="14"/>
                      </w:rPr>
                      <w:t>Cost</w:t>
                    </w:r>
                  </w:p>
                  <w:p>
                    <w:pPr>
                      <w:spacing w:before="12"/>
                      <w:ind w:left="890" w:right="0" w:firstLine="0"/>
                      <w:jc w:val="left"/>
                      <w:rPr>
                        <w:rFonts w:ascii="Arial"/>
                        <w:sz w:val="14"/>
                      </w:rPr>
                    </w:pPr>
                    <w:r>
                      <w:rPr>
                        <w:rFonts w:ascii="Arial"/>
                        <w:color w:val="231F20"/>
                        <w:spacing w:val="-2"/>
                        <w:sz w:val="14"/>
                      </w:rPr>
                      <w:t>Drill</w:t>
                    </w:r>
                  </w:p>
                </w:txbxContent>
              </v:textbox>
              <w10:wrap type="none"/>
            </v:shape>
            <v:shape style="position:absolute;left:5750;top:1275;width:463;height:338" type="#_x0000_t202" id="docshape271" filled="false" stroked="false">
              <v:textbox inset="0,0,0,0">
                <w:txbxContent>
                  <w:p>
                    <w:pPr>
                      <w:spacing w:before="2"/>
                      <w:ind w:left="0" w:right="0" w:firstLine="0"/>
                      <w:jc w:val="left"/>
                      <w:rPr>
                        <w:rFonts w:ascii="Arial"/>
                        <w:sz w:val="14"/>
                      </w:rPr>
                    </w:pPr>
                    <w:r>
                      <w:rPr>
                        <w:rFonts w:ascii="Arial"/>
                        <w:color w:val="231F20"/>
                        <w:sz w:val="14"/>
                      </w:rPr>
                      <w:t>-</w:t>
                    </w:r>
                    <w:r>
                      <w:rPr>
                        <w:rFonts w:ascii="Arial"/>
                        <w:color w:val="231F20"/>
                        <w:spacing w:val="-5"/>
                        <w:sz w:val="14"/>
                      </w:rPr>
                      <w:t>0-</w:t>
                    </w:r>
                  </w:p>
                  <w:p>
                    <w:pPr>
                      <w:spacing w:before="11"/>
                      <w:ind w:left="2" w:right="0" w:firstLine="0"/>
                      <w:jc w:val="left"/>
                      <w:rPr>
                        <w:rFonts w:ascii="Arial"/>
                        <w:sz w:val="14"/>
                      </w:rPr>
                    </w:pPr>
                    <w:r>
                      <w:rPr>
                        <w:rFonts w:ascii="Arial"/>
                        <w:color w:val="231F20"/>
                        <w:spacing w:val="-2"/>
                        <w:sz w:val="14"/>
                      </w:rPr>
                      <w:t>$1,000</w:t>
                    </w:r>
                  </w:p>
                </w:txbxContent>
              </v:textbox>
              <w10:wrap type="none"/>
            </v:shape>
            <v:shape style="position:absolute;left:2393;top:1614;width:1030;height:506" type="#_x0000_t202" id="docshape272" filled="false" stroked="false">
              <v:textbox inset="0,0,0,0">
                <w:txbxContent>
                  <w:p>
                    <w:pPr>
                      <w:spacing w:before="2"/>
                      <w:ind w:left="516" w:right="0" w:firstLine="0"/>
                      <w:jc w:val="left"/>
                      <w:rPr>
                        <w:rFonts w:ascii="Arial"/>
                        <w:sz w:val="14"/>
                      </w:rPr>
                    </w:pPr>
                    <w:r>
                      <w:rPr>
                        <w:rFonts w:ascii="Arial"/>
                        <w:color w:val="231F20"/>
                        <w:spacing w:val="-2"/>
                        <w:sz w:val="14"/>
                      </w:rPr>
                      <w:t>Positive</w:t>
                    </w:r>
                  </w:p>
                  <w:p>
                    <w:pPr>
                      <w:spacing w:before="139"/>
                      <w:ind w:left="0" w:right="0" w:firstLine="0"/>
                      <w:jc w:val="left"/>
                      <w:rPr>
                        <w:rFonts w:ascii="Arial"/>
                        <w:sz w:val="14"/>
                      </w:rPr>
                    </w:pPr>
                    <w:r>
                      <w:rPr>
                        <w:rFonts w:ascii="Arial"/>
                        <w:color w:val="231F20"/>
                        <w:sz w:val="14"/>
                      </w:rPr>
                      <w:t>$420</w:t>
                    </w:r>
                    <w:r>
                      <w:rPr>
                        <w:rFonts w:ascii="Arial"/>
                        <w:color w:val="231F20"/>
                        <w:spacing w:val="20"/>
                        <w:sz w:val="14"/>
                      </w:rPr>
                      <w:t> </w:t>
                    </w:r>
                    <w:r>
                      <w:rPr>
                        <w:rFonts w:ascii="Arial"/>
                        <w:color w:val="231F20"/>
                        <w:spacing w:val="-5"/>
                        <w:position w:val="4"/>
                        <w:sz w:val="14"/>
                      </w:rPr>
                      <w:t>.60</w:t>
                    </w:r>
                  </w:p>
                </w:txbxContent>
              </v:textbox>
              <w10:wrap type="none"/>
            </v:shape>
            <v:shape style="position:absolute;left:6380;top:1432;width:793;height:340" type="#_x0000_t202" id="docshape273" filled="false" stroked="false">
              <v:textbox inset="0,0,0,0">
                <w:txbxContent>
                  <w:p>
                    <w:pPr>
                      <w:spacing w:line="256" w:lineRule="auto" w:before="0"/>
                      <w:ind w:left="150" w:right="0" w:hanging="151"/>
                      <w:jc w:val="left"/>
                      <w:rPr>
                        <w:rFonts w:ascii="Arial"/>
                        <w:sz w:val="14"/>
                      </w:rPr>
                    </w:pPr>
                    <w:r>
                      <w:rPr>
                        <w:rFonts w:ascii="Arial"/>
                        <w:color w:val="231F20"/>
                        <w:sz w:val="14"/>
                      </w:rPr>
                      <w:t>EMV</w:t>
                    </w:r>
                    <w:r>
                      <w:rPr>
                        <w:rFonts w:ascii="Arial"/>
                        <w:color w:val="231F20"/>
                        <w:spacing w:val="-8"/>
                        <w:sz w:val="14"/>
                      </w:rPr>
                      <w:t> </w:t>
                    </w:r>
                    <w:r>
                      <w:rPr>
                        <w:rFonts w:ascii="Arial"/>
                        <w:color w:val="231F20"/>
                        <w:sz w:val="14"/>
                      </w:rPr>
                      <w:t>&gt;</w:t>
                    </w:r>
                    <w:r>
                      <w:rPr>
                        <w:rFonts w:ascii="Arial"/>
                        <w:color w:val="231F20"/>
                        <w:spacing w:val="-8"/>
                        <w:sz w:val="14"/>
                      </w:rPr>
                      <w:t> </w:t>
                    </w:r>
                    <w:r>
                      <w:rPr>
                        <w:rFonts w:ascii="Arial"/>
                        <w:color w:val="231F20"/>
                        <w:sz w:val="14"/>
                      </w:rPr>
                      <w:t>Cost</w:t>
                    </w:r>
                    <w:r>
                      <w:rPr>
                        <w:rFonts w:ascii="Arial"/>
                        <w:color w:val="231F20"/>
                        <w:spacing w:val="40"/>
                        <w:sz w:val="14"/>
                      </w:rPr>
                      <w:t> </w:t>
                    </w:r>
                    <w:r>
                      <w:rPr>
                        <w:rFonts w:ascii="Arial"/>
                        <w:color w:val="231F20"/>
                        <w:sz w:val="14"/>
                      </w:rPr>
                      <w:t>No Drill</w:t>
                    </w:r>
                  </w:p>
                </w:txbxContent>
              </v:textbox>
              <w10:wrap type="none"/>
            </v:shape>
            <v:shape style="position:absolute;left:4328;top:2030;width:196;height:167" type="#_x0000_t202" id="docshape274" filled="false" stroked="false">
              <v:textbox inset="0,0,0,0">
                <w:txbxContent>
                  <w:p>
                    <w:pPr>
                      <w:spacing w:before="2"/>
                      <w:ind w:left="0" w:right="0" w:firstLine="0"/>
                      <w:jc w:val="left"/>
                      <w:rPr>
                        <w:rFonts w:ascii="Arial"/>
                        <w:sz w:val="14"/>
                      </w:rPr>
                    </w:pPr>
                    <w:r>
                      <w:rPr>
                        <w:rFonts w:ascii="Arial"/>
                        <w:color w:val="231F20"/>
                        <w:sz w:val="14"/>
                      </w:rPr>
                      <w:t>-</w:t>
                    </w:r>
                    <w:r>
                      <w:rPr>
                        <w:rFonts w:ascii="Arial"/>
                        <w:color w:val="231F20"/>
                        <w:spacing w:val="-5"/>
                        <w:sz w:val="14"/>
                      </w:rPr>
                      <w:t>0-</w:t>
                    </w:r>
                  </w:p>
                </w:txbxContent>
              </v:textbox>
              <w10:wrap type="none"/>
            </v:shape>
            <v:shape style="position:absolute;left:5374;top:2018;width:249;height:167" type="#_x0000_t202" id="docshape275" filled="false" stroked="false">
              <v:textbox inset="0,0,0,0">
                <w:txbxContent>
                  <w:p>
                    <w:pPr>
                      <w:spacing w:before="2"/>
                      <w:ind w:left="0" w:right="0" w:firstLine="0"/>
                      <w:jc w:val="left"/>
                      <w:rPr>
                        <w:rFonts w:ascii="Arial"/>
                        <w:sz w:val="14"/>
                      </w:rPr>
                    </w:pPr>
                    <w:r>
                      <w:rPr>
                        <w:rFonts w:ascii="Arial"/>
                        <w:color w:val="231F20"/>
                        <w:spacing w:val="-5"/>
                        <w:sz w:val="14"/>
                      </w:rPr>
                      <w:t>Dry</w:t>
                    </w:r>
                  </w:p>
                </w:txbxContent>
              </v:textbox>
              <w10:wrap type="none"/>
            </v:shape>
            <v:shape style="position:absolute;left:1554;top:2210;width:831;height:468" type="#_x0000_t202" id="docshape276" filled="false" stroked="false">
              <v:textbox inset="0,0,0,0">
                <w:txbxContent>
                  <w:p>
                    <w:pPr>
                      <w:spacing w:before="2"/>
                      <w:ind w:left="299" w:right="0" w:firstLine="0"/>
                      <w:jc w:val="left"/>
                      <w:rPr>
                        <w:rFonts w:ascii="Arial"/>
                        <w:sz w:val="14"/>
                      </w:rPr>
                    </w:pPr>
                    <w:r>
                      <w:rPr>
                        <w:rFonts w:ascii="Arial"/>
                        <w:color w:val="231F20"/>
                        <w:spacing w:val="-2"/>
                        <w:sz w:val="14"/>
                      </w:rPr>
                      <w:t>Test</w:t>
                    </w:r>
                    <w:r>
                      <w:rPr>
                        <w:rFonts w:ascii="Arial"/>
                        <w:color w:val="231F20"/>
                        <w:spacing w:val="-1"/>
                        <w:sz w:val="14"/>
                      </w:rPr>
                      <w:t> </w:t>
                    </w:r>
                    <w:r>
                      <w:rPr>
                        <w:rFonts w:ascii="Arial"/>
                        <w:color w:val="231F20"/>
                        <w:spacing w:val="-2"/>
                        <w:sz w:val="14"/>
                      </w:rPr>
                      <w:t>-</w:t>
                    </w:r>
                    <w:r>
                      <w:rPr>
                        <w:rFonts w:ascii="Arial"/>
                        <w:color w:val="231F20"/>
                        <w:spacing w:val="-5"/>
                        <w:sz w:val="14"/>
                      </w:rPr>
                      <w:t>50</w:t>
                    </w:r>
                  </w:p>
                  <w:p>
                    <w:pPr>
                      <w:spacing w:before="140"/>
                      <w:ind w:left="0" w:right="0" w:firstLine="0"/>
                      <w:jc w:val="left"/>
                      <w:rPr>
                        <w:rFonts w:ascii="Arial"/>
                        <w:sz w:val="14"/>
                      </w:rPr>
                    </w:pPr>
                    <w:r>
                      <w:rPr>
                        <w:rFonts w:ascii="Arial"/>
                        <w:color w:val="231F20"/>
                        <w:spacing w:val="-4"/>
                        <w:sz w:val="14"/>
                      </w:rPr>
                      <w:t>$400</w:t>
                    </w:r>
                  </w:p>
                </w:txbxContent>
              </v:textbox>
              <w10:wrap type="none"/>
            </v:shape>
            <v:shape style="position:absolute;left:2935;top:2159;width:1299;height:205" type="#_x0000_t202" id="docshape277" filled="false" stroked="false">
              <v:textbox inset="0,0,0,0">
                <w:txbxContent>
                  <w:p>
                    <w:pPr>
                      <w:spacing w:before="1"/>
                      <w:ind w:left="0" w:right="0" w:firstLine="0"/>
                      <w:jc w:val="left"/>
                      <w:rPr>
                        <w:rFonts w:ascii="Arial"/>
                        <w:sz w:val="14"/>
                      </w:rPr>
                    </w:pPr>
                    <w:r>
                      <w:rPr>
                        <w:rFonts w:ascii="Arial"/>
                        <w:color w:val="231F20"/>
                        <w:position w:val="4"/>
                        <w:sz w:val="14"/>
                      </w:rPr>
                      <w:t>Negative</w:t>
                    </w:r>
                    <w:r>
                      <w:rPr>
                        <w:rFonts w:ascii="Arial"/>
                        <w:color w:val="231F20"/>
                        <w:spacing w:val="34"/>
                        <w:position w:val="4"/>
                        <w:sz w:val="14"/>
                      </w:rPr>
                      <w:t>  </w:t>
                    </w:r>
                    <w:r>
                      <w:rPr>
                        <w:rFonts w:ascii="Arial"/>
                        <w:color w:val="231F20"/>
                        <w:sz w:val="14"/>
                      </w:rPr>
                      <w:t>Drill</w:t>
                    </w:r>
                    <w:r>
                      <w:rPr>
                        <w:rFonts w:ascii="Arial"/>
                        <w:color w:val="231F20"/>
                        <w:spacing w:val="4"/>
                        <w:sz w:val="14"/>
                      </w:rPr>
                      <w:t> </w:t>
                    </w:r>
                    <w:r>
                      <w:rPr>
                        <w:rFonts w:ascii="Arial"/>
                        <w:color w:val="231F20"/>
                        <w:sz w:val="14"/>
                      </w:rPr>
                      <w:t>-</w:t>
                    </w:r>
                    <w:r>
                      <w:rPr>
                        <w:rFonts w:ascii="Arial"/>
                        <w:color w:val="231F20"/>
                        <w:spacing w:val="-5"/>
                        <w:sz w:val="14"/>
                      </w:rPr>
                      <w:t>200</w:t>
                    </w:r>
                  </w:p>
                </w:txbxContent>
              </v:textbox>
              <w10:wrap type="none"/>
            </v:shape>
            <v:shape style="position:absolute;left:5008;top:2223;width:221;height:167" type="#_x0000_t202" id="docshape278" filled="false" stroked="false">
              <v:textbox inset="0,0,0,0">
                <w:txbxContent>
                  <w:p>
                    <w:pPr>
                      <w:spacing w:before="2"/>
                      <w:ind w:left="0" w:right="0" w:firstLine="0"/>
                      <w:jc w:val="left"/>
                      <w:rPr>
                        <w:rFonts w:ascii="Arial"/>
                        <w:sz w:val="14"/>
                      </w:rPr>
                    </w:pPr>
                    <w:r>
                      <w:rPr>
                        <w:rFonts w:ascii="Arial"/>
                        <w:color w:val="231F20"/>
                        <w:spacing w:val="-5"/>
                        <w:sz w:val="14"/>
                      </w:rPr>
                      <w:t>.90</w:t>
                    </w:r>
                  </w:p>
                </w:txbxContent>
              </v:textbox>
              <w10:wrap type="none"/>
            </v:shape>
            <v:shape style="position:absolute;left:2754;top:2395;width:221;height:167" type="#_x0000_t202" id="docshape279" filled="false" stroked="false">
              <v:textbox inset="0,0,0,0">
                <w:txbxContent>
                  <w:p>
                    <w:pPr>
                      <w:spacing w:before="2"/>
                      <w:ind w:left="0" w:right="0" w:firstLine="0"/>
                      <w:jc w:val="left"/>
                      <w:rPr>
                        <w:rFonts w:ascii="Arial"/>
                        <w:sz w:val="14"/>
                      </w:rPr>
                    </w:pPr>
                    <w:r>
                      <w:rPr>
                        <w:rFonts w:ascii="Arial"/>
                        <w:color w:val="231F20"/>
                        <w:spacing w:val="-5"/>
                        <w:sz w:val="14"/>
                      </w:rPr>
                      <w:t>.40</w:t>
                    </w:r>
                  </w:p>
                </w:txbxContent>
              </v:textbox>
              <w10:wrap type="none"/>
            </v:shape>
            <v:shape style="position:absolute;left:3611;top:2351;width:196;height:167" type="#_x0000_t202" id="docshape280" filled="false" stroked="false">
              <v:textbox inset="0,0,0,0">
                <w:txbxContent>
                  <w:p>
                    <w:pPr>
                      <w:spacing w:before="2"/>
                      <w:ind w:left="0" w:right="0" w:firstLine="0"/>
                      <w:jc w:val="left"/>
                      <w:rPr>
                        <w:rFonts w:ascii="Arial"/>
                        <w:sz w:val="14"/>
                      </w:rPr>
                    </w:pPr>
                    <w:r>
                      <w:rPr>
                        <w:rFonts w:ascii="Arial"/>
                        <w:color w:val="231F20"/>
                        <w:sz w:val="14"/>
                      </w:rPr>
                      <w:t>-</w:t>
                    </w:r>
                    <w:r>
                      <w:rPr>
                        <w:rFonts w:ascii="Arial"/>
                        <w:color w:val="231F20"/>
                        <w:spacing w:val="-5"/>
                        <w:sz w:val="14"/>
                      </w:rPr>
                      <w:t>0-</w:t>
                    </w:r>
                  </w:p>
                </w:txbxContent>
              </v:textbox>
              <w10:wrap type="none"/>
            </v:shape>
            <v:shape style="position:absolute;left:1968;top:2863;width:507;height:167" type="#_x0000_t202" id="docshape281" filled="false" stroked="false">
              <v:textbox inset="0,0,0,0">
                <w:txbxContent>
                  <w:p>
                    <w:pPr>
                      <w:spacing w:before="2"/>
                      <w:ind w:left="0" w:right="0" w:firstLine="0"/>
                      <w:jc w:val="left"/>
                      <w:rPr>
                        <w:rFonts w:ascii="Arial"/>
                        <w:sz w:val="14"/>
                      </w:rPr>
                    </w:pPr>
                    <w:r>
                      <w:rPr>
                        <w:rFonts w:ascii="Arial"/>
                        <w:color w:val="231F20"/>
                        <w:sz w:val="14"/>
                      </w:rPr>
                      <w:t>No</w:t>
                    </w:r>
                    <w:r>
                      <w:rPr>
                        <w:rFonts w:ascii="Arial"/>
                        <w:color w:val="231F20"/>
                        <w:spacing w:val="4"/>
                        <w:sz w:val="14"/>
                      </w:rPr>
                      <w:t> </w:t>
                    </w:r>
                    <w:r>
                      <w:rPr>
                        <w:rFonts w:ascii="Arial"/>
                        <w:color w:val="231F20"/>
                        <w:spacing w:val="-4"/>
                        <w:sz w:val="14"/>
                      </w:rPr>
                      <w:t>Test</w:t>
                    </w:r>
                  </w:p>
                </w:txbxContent>
              </v:textbox>
              <w10:wrap type="none"/>
            </v:shape>
            <v:shape style="position:absolute;left:4020;top:2677;width:1234;height:683" type="#_x0000_t202" id="docshape282" filled="false" stroked="false">
              <v:textbox inset="0,0,0,0">
                <w:txbxContent>
                  <w:p>
                    <w:pPr>
                      <w:spacing w:before="2"/>
                      <w:ind w:left="0" w:right="0" w:firstLine="0"/>
                      <w:jc w:val="left"/>
                      <w:rPr>
                        <w:rFonts w:ascii="Arial"/>
                        <w:sz w:val="14"/>
                      </w:rPr>
                    </w:pPr>
                    <w:r>
                      <w:rPr>
                        <w:rFonts w:ascii="Arial"/>
                        <w:color w:val="231F20"/>
                        <w:sz w:val="14"/>
                      </w:rPr>
                      <w:t>No</w:t>
                    </w:r>
                    <w:r>
                      <w:rPr>
                        <w:rFonts w:ascii="Arial"/>
                        <w:color w:val="231F20"/>
                        <w:spacing w:val="4"/>
                        <w:sz w:val="14"/>
                      </w:rPr>
                      <w:t> </w:t>
                    </w:r>
                    <w:r>
                      <w:rPr>
                        <w:rFonts w:ascii="Arial"/>
                        <w:color w:val="231F20"/>
                        <w:spacing w:val="-2"/>
                        <w:sz w:val="14"/>
                      </w:rPr>
                      <w:t>Drill</w:t>
                    </w:r>
                  </w:p>
                  <w:p>
                    <w:pPr>
                      <w:spacing w:line="216" w:lineRule="auto" w:before="8"/>
                      <w:ind w:left="333" w:right="0" w:firstLine="0"/>
                      <w:jc w:val="left"/>
                      <w:rPr>
                        <w:rFonts w:ascii="Arial"/>
                        <w:sz w:val="14"/>
                      </w:rPr>
                    </w:pPr>
                    <w:r>
                      <w:rPr>
                        <w:rFonts w:ascii="Arial"/>
                        <w:color w:val="231F20"/>
                        <w:position w:val="-8"/>
                        <w:sz w:val="14"/>
                      </w:rPr>
                      <w:t>-0-</w:t>
                    </w:r>
                    <w:r>
                      <w:rPr>
                        <w:rFonts w:ascii="Arial"/>
                        <w:color w:val="231F20"/>
                        <w:spacing w:val="32"/>
                        <w:position w:val="-8"/>
                        <w:sz w:val="14"/>
                      </w:rPr>
                      <w:t>  </w:t>
                    </w:r>
                    <w:r>
                      <w:rPr>
                        <w:rFonts w:ascii="Arial"/>
                        <w:color w:val="231F20"/>
                        <w:sz w:val="14"/>
                      </w:rPr>
                      <w:t>$600</w:t>
                    </w:r>
                    <w:r>
                      <w:rPr>
                        <w:rFonts w:ascii="Arial"/>
                        <w:color w:val="231F20"/>
                        <w:spacing w:val="10"/>
                        <w:sz w:val="14"/>
                      </w:rPr>
                      <w:t> </w:t>
                    </w:r>
                    <w:r>
                      <w:rPr>
                        <w:rFonts w:ascii="Arial"/>
                        <w:color w:val="231F20"/>
                        <w:spacing w:val="-5"/>
                        <w:position w:val="4"/>
                        <w:sz w:val="14"/>
                      </w:rPr>
                      <w:t>.60</w:t>
                    </w:r>
                  </w:p>
                  <w:p>
                    <w:pPr>
                      <w:spacing w:line="230" w:lineRule="exact" w:before="0"/>
                      <w:ind w:left="0" w:right="271" w:firstLine="0"/>
                      <w:jc w:val="right"/>
                      <w:rPr>
                        <w:rFonts w:ascii="Arial"/>
                        <w:sz w:val="21"/>
                      </w:rPr>
                    </w:pPr>
                    <w:r>
                      <w:rPr>
                        <w:rFonts w:ascii="Arial"/>
                        <w:color w:val="231F20"/>
                        <w:w w:val="102"/>
                        <w:sz w:val="21"/>
                      </w:rPr>
                      <w:t>*</w:t>
                    </w:r>
                  </w:p>
                </w:txbxContent>
              </v:textbox>
              <w10:wrap type="none"/>
            </v:shape>
            <v:shape style="position:absolute;left:5243;top:2397;width:1930;height:602" type="#_x0000_t202" id="docshape283" filled="false" stroked="false">
              <v:textbox inset="0,0,0,0">
                <w:txbxContent>
                  <w:p>
                    <w:pPr>
                      <w:spacing w:before="2"/>
                      <w:ind w:left="543" w:right="0" w:firstLine="0"/>
                      <w:jc w:val="left"/>
                      <w:rPr>
                        <w:rFonts w:ascii="Arial"/>
                        <w:sz w:val="14"/>
                      </w:rPr>
                    </w:pPr>
                    <w:r>
                      <w:rPr>
                        <w:rFonts w:ascii="Arial"/>
                        <w:color w:val="231F20"/>
                        <w:sz w:val="14"/>
                      </w:rPr>
                      <w:t>-</w:t>
                    </w:r>
                    <w:r>
                      <w:rPr>
                        <w:rFonts w:ascii="Arial"/>
                        <w:color w:val="231F20"/>
                        <w:spacing w:val="-5"/>
                        <w:sz w:val="14"/>
                      </w:rPr>
                      <w:t>0-</w:t>
                    </w:r>
                  </w:p>
                  <w:p>
                    <w:pPr>
                      <w:tabs>
                        <w:tab w:pos="509" w:val="left" w:leader="none"/>
                      </w:tabs>
                      <w:spacing w:before="93"/>
                      <w:ind w:left="0" w:right="0" w:firstLine="0"/>
                      <w:jc w:val="left"/>
                      <w:rPr>
                        <w:rFonts w:ascii="Arial"/>
                        <w:sz w:val="14"/>
                      </w:rPr>
                    </w:pPr>
                    <w:r>
                      <w:rPr>
                        <w:rFonts w:ascii="Arial"/>
                        <w:color w:val="231F20"/>
                        <w:spacing w:val="-5"/>
                        <w:position w:val="1"/>
                        <w:sz w:val="14"/>
                      </w:rPr>
                      <w:t>Oil</w:t>
                    </w:r>
                    <w:r>
                      <w:rPr>
                        <w:rFonts w:ascii="Arial"/>
                        <w:color w:val="231F20"/>
                        <w:position w:val="1"/>
                        <w:sz w:val="14"/>
                      </w:rPr>
                      <w:tab/>
                    </w:r>
                    <w:r>
                      <w:rPr>
                        <w:rFonts w:ascii="Arial"/>
                        <w:color w:val="231F20"/>
                        <w:sz w:val="14"/>
                      </w:rPr>
                      <w:t>$1,000</w:t>
                    </w:r>
                    <w:r>
                      <w:rPr>
                        <w:rFonts w:ascii="Arial"/>
                        <w:color w:val="231F20"/>
                        <w:spacing w:val="60"/>
                        <w:sz w:val="14"/>
                      </w:rPr>
                      <w:t>  </w:t>
                    </w:r>
                    <w:r>
                      <w:rPr>
                        <w:rFonts w:ascii="Arial"/>
                        <w:color w:val="231F20"/>
                        <w:sz w:val="14"/>
                      </w:rPr>
                      <w:t>EMV</w:t>
                    </w:r>
                    <w:r>
                      <w:rPr>
                        <w:rFonts w:ascii="Arial"/>
                        <w:color w:val="231F20"/>
                        <w:spacing w:val="3"/>
                        <w:sz w:val="14"/>
                      </w:rPr>
                      <w:t> </w:t>
                    </w:r>
                    <w:r>
                      <w:rPr>
                        <w:rFonts w:ascii="Arial"/>
                        <w:color w:val="231F20"/>
                        <w:sz w:val="14"/>
                      </w:rPr>
                      <w:t>&gt;</w:t>
                    </w:r>
                    <w:r>
                      <w:rPr>
                        <w:rFonts w:ascii="Arial"/>
                        <w:color w:val="231F20"/>
                        <w:spacing w:val="4"/>
                        <w:sz w:val="14"/>
                      </w:rPr>
                      <w:t> </w:t>
                    </w:r>
                    <w:r>
                      <w:rPr>
                        <w:rFonts w:ascii="Arial"/>
                        <w:color w:val="231F20"/>
                        <w:spacing w:val="-4"/>
                        <w:sz w:val="14"/>
                      </w:rPr>
                      <w:t>Cost</w:t>
                    </w:r>
                  </w:p>
                  <w:p>
                    <w:pPr>
                      <w:spacing w:before="10"/>
                      <w:ind w:left="1399" w:right="0" w:firstLine="0"/>
                      <w:jc w:val="left"/>
                      <w:rPr>
                        <w:rFonts w:ascii="Arial"/>
                        <w:sz w:val="14"/>
                      </w:rPr>
                    </w:pPr>
                    <w:r>
                      <w:rPr>
                        <w:rFonts w:ascii="Arial"/>
                        <w:color w:val="231F20"/>
                        <w:spacing w:val="-2"/>
                        <w:sz w:val="14"/>
                      </w:rPr>
                      <w:t>Drill</w:t>
                    </w:r>
                  </w:p>
                </w:txbxContent>
              </v:textbox>
              <w10:wrap type="none"/>
            </v:shape>
            <v:shape style="position:absolute;left:3558;top:3324;width:740;height:359" type="#_x0000_t202" id="docshape284" filled="false" stroked="false">
              <v:textbox inset="0,0,0,0">
                <w:txbxContent>
                  <w:p>
                    <w:pPr>
                      <w:spacing w:before="2"/>
                      <w:ind w:left="141" w:right="0" w:firstLine="0"/>
                      <w:jc w:val="left"/>
                      <w:rPr>
                        <w:rFonts w:ascii="Arial"/>
                        <w:sz w:val="14"/>
                      </w:rPr>
                    </w:pPr>
                    <w:r>
                      <w:rPr>
                        <w:rFonts w:ascii="Arial"/>
                        <w:color w:val="231F20"/>
                        <w:sz w:val="14"/>
                      </w:rPr>
                      <w:t>Drill</w:t>
                    </w:r>
                    <w:r>
                      <w:rPr>
                        <w:rFonts w:ascii="Arial"/>
                        <w:color w:val="231F20"/>
                        <w:spacing w:val="8"/>
                        <w:sz w:val="14"/>
                      </w:rPr>
                      <w:t> </w:t>
                    </w:r>
                    <w:r>
                      <w:rPr>
                        <w:rFonts w:ascii="Arial"/>
                        <w:color w:val="231F20"/>
                        <w:sz w:val="14"/>
                      </w:rPr>
                      <w:t>-</w:t>
                    </w:r>
                    <w:r>
                      <w:rPr>
                        <w:rFonts w:ascii="Arial"/>
                        <w:color w:val="231F20"/>
                        <w:spacing w:val="-5"/>
                        <w:sz w:val="14"/>
                      </w:rPr>
                      <w:t>200</w:t>
                    </w:r>
                  </w:p>
                  <w:p>
                    <w:pPr>
                      <w:spacing w:before="32"/>
                      <w:ind w:left="0" w:right="0" w:firstLine="0"/>
                      <w:jc w:val="left"/>
                      <w:rPr>
                        <w:rFonts w:ascii="Arial"/>
                        <w:sz w:val="14"/>
                      </w:rPr>
                    </w:pPr>
                    <w:r>
                      <w:rPr>
                        <w:rFonts w:ascii="Arial"/>
                        <w:color w:val="231F20"/>
                        <w:spacing w:val="-4"/>
                        <w:sz w:val="14"/>
                      </w:rPr>
                      <w:t>$400</w:t>
                    </w:r>
                  </w:p>
                </w:txbxContent>
              </v:textbox>
              <w10:wrap type="none"/>
            </v:shape>
            <v:shape style="position:absolute;left:5425;top:3273;width:249;height:167" type="#_x0000_t202" id="docshape285" filled="false" stroked="false">
              <v:textbox inset="0,0,0,0">
                <w:txbxContent>
                  <w:p>
                    <w:pPr>
                      <w:spacing w:before="2"/>
                      <w:ind w:left="0" w:right="0" w:firstLine="0"/>
                      <w:jc w:val="left"/>
                      <w:rPr>
                        <w:rFonts w:ascii="Arial"/>
                        <w:sz w:val="14"/>
                      </w:rPr>
                    </w:pPr>
                    <w:r>
                      <w:rPr>
                        <w:rFonts w:ascii="Arial"/>
                        <w:color w:val="231F20"/>
                        <w:spacing w:val="-5"/>
                        <w:sz w:val="14"/>
                      </w:rPr>
                      <w:t>Dry</w:t>
                    </w:r>
                  </w:p>
                </w:txbxContent>
              </v:textbox>
              <w10:wrap type="none"/>
            </v:shape>
            <v:shape style="position:absolute;left:5027;top:3439;width:221;height:167" type="#_x0000_t202" id="docshape286" filled="false" stroked="false">
              <v:textbox inset="0,0,0,0">
                <w:txbxContent>
                  <w:p>
                    <w:pPr>
                      <w:spacing w:before="2"/>
                      <w:ind w:left="0" w:right="0" w:firstLine="0"/>
                      <w:jc w:val="left"/>
                      <w:rPr>
                        <w:rFonts w:ascii="Arial"/>
                        <w:sz w:val="14"/>
                      </w:rPr>
                    </w:pPr>
                    <w:r>
                      <w:rPr>
                        <w:rFonts w:ascii="Arial"/>
                        <w:color w:val="231F20"/>
                        <w:spacing w:val="-5"/>
                        <w:sz w:val="14"/>
                      </w:rPr>
                      <w:t>.40</w:t>
                    </w:r>
                  </w:p>
                </w:txbxContent>
              </v:textbox>
              <w10:wrap type="none"/>
            </v:shape>
            <v:shape style="position:absolute;left:5818;top:3585;width:196;height:167" type="#_x0000_t202" id="docshape287" filled="false" stroked="false">
              <v:textbox inset="0,0,0,0">
                <w:txbxContent>
                  <w:p>
                    <w:pPr>
                      <w:spacing w:before="2"/>
                      <w:ind w:left="0" w:right="0" w:firstLine="0"/>
                      <w:jc w:val="left"/>
                      <w:rPr>
                        <w:rFonts w:ascii="Arial"/>
                        <w:sz w:val="14"/>
                      </w:rPr>
                    </w:pPr>
                    <w:r>
                      <w:rPr>
                        <w:rFonts w:ascii="Arial"/>
                        <w:color w:val="231F20"/>
                        <w:sz w:val="14"/>
                      </w:rPr>
                      <w:t>-</w:t>
                    </w:r>
                    <w:r>
                      <w:rPr>
                        <w:rFonts w:ascii="Arial"/>
                        <w:color w:val="231F20"/>
                        <w:spacing w:val="-5"/>
                        <w:sz w:val="14"/>
                      </w:rPr>
                      <w:t>0-</w:t>
                    </w:r>
                  </w:p>
                </w:txbxContent>
              </v:textbox>
              <w10:wrap type="none"/>
            </v:shape>
            <v:shape style="position:absolute;left:3701;top:3777;width:814;height:250" type="#_x0000_t202" id="docshape288" filled="false" stroked="false">
              <v:textbox inset="0,0,0,0">
                <w:txbxContent>
                  <w:p>
                    <w:pPr>
                      <w:tabs>
                        <w:tab w:pos="319" w:val="left" w:leader="none"/>
                      </w:tabs>
                      <w:spacing w:before="4"/>
                      <w:ind w:left="0" w:right="0" w:firstLine="0"/>
                      <w:jc w:val="left"/>
                      <w:rPr>
                        <w:rFonts w:ascii="Arial"/>
                        <w:sz w:val="14"/>
                      </w:rPr>
                    </w:pPr>
                    <w:r>
                      <w:rPr>
                        <w:rFonts w:ascii="Arial"/>
                        <w:color w:val="231F20"/>
                        <w:spacing w:val="-10"/>
                        <w:sz w:val="21"/>
                      </w:rPr>
                      <w:t>*</w:t>
                    </w:r>
                    <w:r>
                      <w:rPr>
                        <w:rFonts w:ascii="Arial"/>
                        <w:color w:val="231F20"/>
                        <w:sz w:val="21"/>
                      </w:rPr>
                      <w:tab/>
                    </w:r>
                    <w:r>
                      <w:rPr>
                        <w:rFonts w:ascii="Arial"/>
                        <w:color w:val="231F20"/>
                        <w:position w:val="1"/>
                        <w:sz w:val="14"/>
                      </w:rPr>
                      <w:t>No</w:t>
                    </w:r>
                    <w:r>
                      <w:rPr>
                        <w:rFonts w:ascii="Arial"/>
                        <w:color w:val="231F20"/>
                        <w:spacing w:val="4"/>
                        <w:position w:val="1"/>
                        <w:sz w:val="14"/>
                      </w:rPr>
                      <w:t> </w:t>
                    </w:r>
                    <w:r>
                      <w:rPr>
                        <w:rFonts w:ascii="Arial"/>
                        <w:color w:val="231F20"/>
                        <w:spacing w:val="-4"/>
                        <w:position w:val="1"/>
                        <w:sz w:val="14"/>
                      </w:rPr>
                      <w:t>Drill</w:t>
                    </w:r>
                  </w:p>
                </w:txbxContent>
              </v:textbox>
              <w10:wrap type="none"/>
            </v:shape>
            <v:shape style="position:absolute;left:4874;top:3971;width:1077;height:167" type="#_x0000_t202" id="docshape289" filled="false" stroked="false">
              <v:textbox inset="0,0,0,0">
                <w:txbxContent>
                  <w:p>
                    <w:pPr>
                      <w:spacing w:before="2"/>
                      <w:ind w:left="0" w:right="0" w:firstLine="0"/>
                      <w:jc w:val="left"/>
                      <w:rPr>
                        <w:rFonts w:ascii="Arial"/>
                        <w:sz w:val="14"/>
                      </w:rPr>
                    </w:pPr>
                    <w:r>
                      <w:rPr>
                        <w:rFonts w:ascii="Arial"/>
                        <w:color w:val="231F20"/>
                        <w:sz w:val="14"/>
                      </w:rPr>
                      <w:t>*optimal</w:t>
                    </w:r>
                    <w:r>
                      <w:rPr>
                        <w:rFonts w:ascii="Arial"/>
                        <w:color w:val="231F20"/>
                        <w:spacing w:val="11"/>
                        <w:sz w:val="14"/>
                      </w:rPr>
                      <w:t> </w:t>
                    </w:r>
                    <w:r>
                      <w:rPr>
                        <w:rFonts w:ascii="Arial"/>
                        <w:color w:val="231F20"/>
                        <w:spacing w:val="-2"/>
                        <w:sz w:val="14"/>
                      </w:rPr>
                      <w:t>solution</w:t>
                    </w:r>
                  </w:p>
                </w:txbxContent>
              </v:textbox>
              <w10:wrap type="none"/>
            </v:shape>
            <v:shape style="position:absolute;left:4390;top:4169;width:196;height:167" type="#_x0000_t202" id="docshape290" filled="false" stroked="false">
              <v:textbox inset="0,0,0,0">
                <w:txbxContent>
                  <w:p>
                    <w:pPr>
                      <w:spacing w:before="2"/>
                      <w:ind w:left="0" w:right="0" w:firstLine="0"/>
                      <w:jc w:val="left"/>
                      <w:rPr>
                        <w:rFonts w:ascii="Arial"/>
                        <w:sz w:val="14"/>
                      </w:rPr>
                    </w:pPr>
                    <w:r>
                      <w:rPr>
                        <w:rFonts w:ascii="Arial"/>
                        <w:color w:val="231F20"/>
                        <w:sz w:val="14"/>
                      </w:rPr>
                      <w:t>-</w:t>
                    </w:r>
                    <w:r>
                      <w:rPr>
                        <w:rFonts w:ascii="Arial"/>
                        <w:color w:val="231F20"/>
                        <w:spacing w:val="-5"/>
                        <w:sz w:val="14"/>
                      </w:rPr>
                      <w:t>0-</w:t>
                    </w:r>
                  </w:p>
                </w:txbxContent>
              </v:textbox>
              <w10:wrap type="none"/>
            </v:shape>
            <v:shape style="position:absolute;left:1550;top:4656;width:877;height:387" type="#_x0000_t202" id="docshape291" filled="false" stroked="false">
              <v:textbox inset="0,0,0,0">
                <w:txbxContent>
                  <w:p>
                    <w:pPr>
                      <w:spacing w:line="256" w:lineRule="auto" w:before="17"/>
                      <w:ind w:left="0" w:right="0" w:firstLine="0"/>
                      <w:jc w:val="left"/>
                      <w:rPr>
                        <w:rFonts w:ascii="Arial"/>
                        <w:b/>
                        <w:sz w:val="14"/>
                      </w:rPr>
                    </w:pPr>
                    <w:r>
                      <w:rPr>
                        <w:rFonts w:ascii="Arial"/>
                        <w:b/>
                        <w:color w:val="231F20"/>
                        <w:sz w:val="14"/>
                      </w:rPr>
                      <w:t>Flow of</w:t>
                    </w:r>
                    <w:r>
                      <w:rPr>
                        <w:rFonts w:ascii="Arial"/>
                        <w:b/>
                        <w:color w:val="231F20"/>
                        <w:spacing w:val="40"/>
                        <w:sz w:val="14"/>
                      </w:rPr>
                      <w:t> </w:t>
                    </w:r>
                    <w:r>
                      <w:rPr>
                        <w:rFonts w:ascii="Arial"/>
                        <w:b/>
                        <w:color w:val="231F20"/>
                        <w:spacing w:val="-2"/>
                        <w:sz w:val="14"/>
                      </w:rPr>
                      <w:t>Calculations</w:t>
                    </w:r>
                  </w:p>
                </w:txbxContent>
              </v:textbox>
              <w10:wrap type="none"/>
            </v:shape>
            <v:shape style="position:absolute;left:2882;top:4974;width:861;height:685" type="#_x0000_t202" id="docshape292" filled="false" stroked="false">
              <v:textbox inset="0,0,0,0">
                <w:txbxContent>
                  <w:p>
                    <w:pPr>
                      <w:spacing w:line="256" w:lineRule="auto" w:before="0"/>
                      <w:ind w:left="0" w:right="0" w:firstLine="0"/>
                      <w:jc w:val="left"/>
                      <w:rPr>
                        <w:rFonts w:ascii="Arial"/>
                        <w:sz w:val="14"/>
                      </w:rPr>
                    </w:pPr>
                    <w:r>
                      <w:rPr>
                        <w:rFonts w:ascii="Arial"/>
                        <w:color w:val="231F20"/>
                        <w:sz w:val="14"/>
                      </w:rPr>
                      <w:t>3.</w:t>
                    </w:r>
                    <w:r>
                      <w:rPr>
                        <w:rFonts w:ascii="Arial"/>
                        <w:color w:val="231F20"/>
                        <w:spacing w:val="-2"/>
                        <w:sz w:val="14"/>
                      </w:rPr>
                      <w:t> </w:t>
                    </w:r>
                    <w:r>
                      <w:rPr>
                        <w:rFonts w:ascii="Arial"/>
                        <w:color w:val="231F20"/>
                        <w:sz w:val="14"/>
                      </w:rPr>
                      <w:t>Choose to</w:t>
                    </w:r>
                    <w:r>
                      <w:rPr>
                        <w:rFonts w:ascii="Arial"/>
                        <w:color w:val="231F20"/>
                        <w:spacing w:val="40"/>
                        <w:sz w:val="14"/>
                      </w:rPr>
                      <w:t> </w:t>
                    </w:r>
                    <w:r>
                      <w:rPr>
                        <w:rFonts w:ascii="Arial"/>
                        <w:color w:val="231F20"/>
                        <w:sz w:val="14"/>
                      </w:rPr>
                      <w:t>Test by</w:t>
                    </w:r>
                    <w:r>
                      <w:rPr>
                        <w:rFonts w:ascii="Arial"/>
                        <w:color w:val="231F20"/>
                        <w:spacing w:val="40"/>
                        <w:sz w:val="14"/>
                      </w:rPr>
                      <w:t> </w:t>
                    </w:r>
                    <w:r>
                      <w:rPr>
                        <w:rFonts w:ascii="Arial"/>
                        <w:color w:val="231F20"/>
                        <w:spacing w:val="-2"/>
                        <w:sz w:val="14"/>
                      </w:rPr>
                      <w:t>Selecting</w:t>
                    </w:r>
                    <w:r>
                      <w:rPr>
                        <w:rFonts w:ascii="Arial"/>
                        <w:color w:val="231F20"/>
                        <w:spacing w:val="40"/>
                        <w:sz w:val="14"/>
                      </w:rPr>
                      <w:t> </w:t>
                    </w:r>
                    <w:r>
                      <w:rPr>
                        <w:rFonts w:ascii="Arial"/>
                        <w:color w:val="231F20"/>
                        <w:sz w:val="14"/>
                      </w:rPr>
                      <w:t>Highest</w:t>
                    </w:r>
                    <w:r>
                      <w:rPr>
                        <w:rFonts w:ascii="Arial"/>
                        <w:color w:val="231F20"/>
                        <w:spacing w:val="-10"/>
                        <w:sz w:val="14"/>
                      </w:rPr>
                      <w:t> </w:t>
                    </w:r>
                    <w:r>
                      <w:rPr>
                        <w:rFonts w:ascii="Arial"/>
                        <w:color w:val="231F20"/>
                        <w:sz w:val="14"/>
                      </w:rPr>
                      <w:t>EMV</w:t>
                    </w:r>
                  </w:p>
                </w:txbxContent>
              </v:textbox>
              <w10:wrap type="none"/>
            </v:shape>
            <v:shape style="position:absolute;left:4355;top:4974;width:913;height:513" type="#_x0000_t202" id="docshape293" filled="false" stroked="false">
              <v:textbox inset="0,0,0,0">
                <w:txbxContent>
                  <w:p>
                    <w:pPr>
                      <w:spacing w:line="256" w:lineRule="auto" w:before="2"/>
                      <w:ind w:left="0" w:right="188" w:firstLine="0"/>
                      <w:jc w:val="left"/>
                      <w:rPr>
                        <w:rFonts w:ascii="Arial"/>
                        <w:sz w:val="14"/>
                      </w:rPr>
                    </w:pPr>
                    <w:r>
                      <w:rPr>
                        <w:rFonts w:ascii="Arial"/>
                        <w:color w:val="231F20"/>
                        <w:sz w:val="14"/>
                      </w:rPr>
                      <w:t>2.</w:t>
                    </w:r>
                    <w:r>
                      <w:rPr>
                        <w:rFonts w:ascii="Arial"/>
                        <w:color w:val="231F20"/>
                        <w:spacing w:val="-10"/>
                        <w:sz w:val="14"/>
                      </w:rPr>
                      <w:t> </w:t>
                    </w:r>
                    <w:r>
                      <w:rPr>
                        <w:rFonts w:ascii="Arial"/>
                        <w:color w:val="231F20"/>
                        <w:sz w:val="14"/>
                      </w:rPr>
                      <w:t>Choose</w:t>
                    </w:r>
                    <w:r>
                      <w:rPr>
                        <w:rFonts w:ascii="Arial"/>
                        <w:color w:val="231F20"/>
                        <w:spacing w:val="40"/>
                        <w:sz w:val="14"/>
                      </w:rPr>
                      <w:t> </w:t>
                    </w:r>
                    <w:r>
                      <w:rPr>
                        <w:rFonts w:ascii="Arial"/>
                        <w:color w:val="231F20"/>
                        <w:sz w:val="14"/>
                      </w:rPr>
                      <w:t>to Drill</w:t>
                    </w:r>
                  </w:p>
                  <w:p>
                    <w:pPr>
                      <w:spacing w:before="2"/>
                      <w:ind w:left="0" w:right="0" w:firstLine="0"/>
                      <w:jc w:val="left"/>
                      <w:rPr>
                        <w:rFonts w:ascii="Arial"/>
                        <w:sz w:val="14"/>
                      </w:rPr>
                    </w:pPr>
                    <w:r>
                      <w:rPr>
                        <w:rFonts w:ascii="Arial"/>
                        <w:color w:val="231F20"/>
                        <w:sz w:val="14"/>
                      </w:rPr>
                      <w:t>If</w:t>
                    </w:r>
                    <w:r>
                      <w:rPr>
                        <w:rFonts w:ascii="Arial"/>
                        <w:color w:val="231F20"/>
                        <w:spacing w:val="4"/>
                        <w:sz w:val="14"/>
                      </w:rPr>
                      <w:t> </w:t>
                    </w:r>
                    <w:r>
                      <w:rPr>
                        <w:rFonts w:ascii="Arial"/>
                        <w:color w:val="231F20"/>
                        <w:sz w:val="14"/>
                      </w:rPr>
                      <w:t>EMV</w:t>
                    </w:r>
                    <w:r>
                      <w:rPr>
                        <w:rFonts w:ascii="Arial"/>
                        <w:color w:val="231F20"/>
                        <w:spacing w:val="4"/>
                        <w:sz w:val="14"/>
                      </w:rPr>
                      <w:t> </w:t>
                    </w:r>
                    <w:r>
                      <w:rPr>
                        <w:rFonts w:ascii="Arial"/>
                        <w:color w:val="231F20"/>
                        <w:sz w:val="14"/>
                      </w:rPr>
                      <w:t>&gt;</w:t>
                    </w:r>
                    <w:r>
                      <w:rPr>
                        <w:rFonts w:ascii="Arial"/>
                        <w:color w:val="231F20"/>
                        <w:spacing w:val="4"/>
                        <w:sz w:val="14"/>
                      </w:rPr>
                      <w:t> </w:t>
                    </w:r>
                    <w:r>
                      <w:rPr>
                        <w:rFonts w:ascii="Arial"/>
                        <w:color w:val="231F20"/>
                        <w:spacing w:val="-4"/>
                        <w:sz w:val="14"/>
                      </w:rPr>
                      <w:t>Cost</w:t>
                    </w:r>
                  </w:p>
                </w:txbxContent>
              </v:textbox>
              <w10:wrap type="none"/>
            </v:shape>
            <v:shape style="position:absolute;left:5825;top:4974;width:975;height:685" type="#_x0000_t202" id="docshape294" filled="false" stroked="false">
              <v:textbox inset="0,0,0,0">
                <w:txbxContent>
                  <w:p>
                    <w:pPr>
                      <w:spacing w:line="256" w:lineRule="auto" w:before="0"/>
                      <w:ind w:left="0" w:right="0" w:firstLine="0"/>
                      <w:jc w:val="left"/>
                      <w:rPr>
                        <w:rFonts w:ascii="Arial"/>
                        <w:sz w:val="14"/>
                      </w:rPr>
                    </w:pPr>
                    <w:r>
                      <w:rPr>
                        <w:rFonts w:ascii="Arial"/>
                        <w:color w:val="231F20"/>
                        <w:sz w:val="14"/>
                      </w:rPr>
                      <w:t>1.</w:t>
                    </w:r>
                    <w:r>
                      <w:rPr>
                        <w:rFonts w:ascii="Arial"/>
                        <w:color w:val="231F20"/>
                        <w:spacing w:val="-10"/>
                        <w:sz w:val="14"/>
                      </w:rPr>
                      <w:t> </w:t>
                    </w:r>
                    <w:r>
                      <w:rPr>
                        <w:rFonts w:ascii="Arial"/>
                        <w:color w:val="231F20"/>
                        <w:sz w:val="14"/>
                      </w:rPr>
                      <w:t>Multiply</w:t>
                    </w:r>
                    <w:r>
                      <w:rPr>
                        <w:rFonts w:ascii="Arial"/>
                        <w:color w:val="231F20"/>
                        <w:spacing w:val="40"/>
                        <w:sz w:val="14"/>
                      </w:rPr>
                      <w:t> </w:t>
                    </w:r>
                    <w:r>
                      <w:rPr>
                        <w:rFonts w:ascii="Arial"/>
                        <w:color w:val="231F20"/>
                        <w:sz w:val="14"/>
                      </w:rPr>
                      <w:t>Outcomes by</w:t>
                    </w:r>
                    <w:r>
                      <w:rPr>
                        <w:rFonts w:ascii="Arial"/>
                        <w:color w:val="231F20"/>
                        <w:spacing w:val="40"/>
                        <w:sz w:val="14"/>
                      </w:rPr>
                      <w:t> </w:t>
                    </w:r>
                    <w:r>
                      <w:rPr>
                        <w:rFonts w:ascii="Arial"/>
                        <w:color w:val="231F20"/>
                        <w:sz w:val="14"/>
                      </w:rPr>
                      <w:t>Probabilities =</w:t>
                    </w:r>
                    <w:r>
                      <w:rPr>
                        <w:rFonts w:ascii="Arial"/>
                        <w:color w:val="231F20"/>
                        <w:spacing w:val="40"/>
                        <w:sz w:val="14"/>
                      </w:rPr>
                      <w:t> </w:t>
                    </w:r>
                    <w:r>
                      <w:rPr>
                        <w:rFonts w:ascii="Arial"/>
                        <w:color w:val="231F20"/>
                        <w:sz w:val="14"/>
                      </w:rPr>
                      <w:t>EMV</w:t>
                    </w:r>
                    <w:r>
                      <w:rPr>
                        <w:rFonts w:ascii="Arial"/>
                        <w:color w:val="231F20"/>
                        <w:spacing w:val="5"/>
                        <w:sz w:val="14"/>
                      </w:rPr>
                      <w:t> </w:t>
                    </w:r>
                    <w:r>
                      <w:rPr>
                        <w:rFonts w:ascii="Arial"/>
                        <w:color w:val="231F20"/>
                        <w:sz w:val="14"/>
                      </w:rPr>
                      <w:t>of</w:t>
                    </w:r>
                    <w:r>
                      <w:rPr>
                        <w:rFonts w:ascii="Arial"/>
                        <w:color w:val="231F20"/>
                        <w:spacing w:val="5"/>
                        <w:sz w:val="14"/>
                      </w:rPr>
                      <w:t> </w:t>
                    </w:r>
                    <w:r>
                      <w:rPr>
                        <w:rFonts w:ascii="Arial"/>
                        <w:color w:val="231F20"/>
                        <w:spacing w:val="-2"/>
                        <w:sz w:val="14"/>
                      </w:rPr>
                      <w:t>Drilling</w:t>
                    </w:r>
                  </w:p>
                </w:txbxContent>
              </v:textbox>
              <w10:wrap type="none"/>
            </v:shape>
            <w10:wrap type="topAndBottom"/>
          </v:group>
        </w:pict>
      </w:r>
      <w:r>
        <w:rPr>
          <w:rFonts w:ascii="Times New Roman"/>
          <w:color w:val="231F20"/>
          <w:w w:val="105"/>
          <w:sz w:val="14"/>
        </w:rPr>
        <w:t>(in</w:t>
      </w:r>
      <w:r>
        <w:rPr>
          <w:rFonts w:ascii="Times New Roman"/>
          <w:color w:val="231F20"/>
          <w:spacing w:val="-5"/>
          <w:w w:val="105"/>
          <w:sz w:val="14"/>
        </w:rPr>
        <w:t> </w:t>
      </w:r>
      <w:r>
        <w:rPr>
          <w:rFonts w:ascii="Times New Roman"/>
          <w:color w:val="231F20"/>
          <w:w w:val="105"/>
          <w:sz w:val="14"/>
        </w:rPr>
        <w:t>thousands</w:t>
      </w:r>
      <w:r>
        <w:rPr>
          <w:rFonts w:ascii="Times New Roman"/>
          <w:color w:val="231F20"/>
          <w:spacing w:val="-4"/>
          <w:w w:val="105"/>
          <w:sz w:val="14"/>
        </w:rPr>
        <w:t> </w:t>
      </w:r>
      <w:r>
        <w:rPr>
          <w:rFonts w:ascii="Times New Roman"/>
          <w:color w:val="231F20"/>
          <w:w w:val="105"/>
          <w:sz w:val="14"/>
        </w:rPr>
        <w:t>of</w:t>
      </w:r>
      <w:r>
        <w:rPr>
          <w:rFonts w:ascii="Times New Roman"/>
          <w:color w:val="231F20"/>
          <w:spacing w:val="-5"/>
          <w:w w:val="105"/>
          <w:sz w:val="14"/>
        </w:rPr>
        <w:t> </w:t>
      </w:r>
      <w:r>
        <w:rPr>
          <w:rFonts w:ascii="Times New Roman"/>
          <w:color w:val="231F20"/>
          <w:spacing w:val="-2"/>
          <w:w w:val="105"/>
          <w:sz w:val="14"/>
        </w:rPr>
        <w:t>dollars)</w:t>
      </w:r>
    </w:p>
    <w:p>
      <w:pPr>
        <w:spacing w:after="0"/>
        <w:jc w:val="center"/>
        <w:rPr>
          <w:rFonts w:ascii="Times New Roman"/>
          <w:sz w:val="14"/>
        </w:rPr>
        <w:sectPr>
          <w:pgSz w:w="8640" w:h="12960"/>
          <w:pgMar w:header="734" w:footer="0" w:top="920" w:bottom="280" w:left="340" w:right="500"/>
        </w:sectPr>
      </w:pPr>
    </w:p>
    <w:p>
      <w:pPr>
        <w:pStyle w:val="BodyText"/>
        <w:spacing w:before="2"/>
        <w:rPr>
          <w:rFonts w:ascii="Times New Roman"/>
          <w:sz w:val="18"/>
        </w:rPr>
      </w:pPr>
    </w:p>
    <w:p>
      <w:pPr>
        <w:pStyle w:val="BodyText"/>
        <w:spacing w:line="292" w:lineRule="auto" w:before="102"/>
        <w:ind w:left="835" w:right="756"/>
        <w:jc w:val="right"/>
      </w:pPr>
      <w:r>
        <w:rPr>
          <w:color w:val="231F20"/>
        </w:rPr>
        <w:t>than the life of the investment, whereas cash flow analysis is a tech- nique used to evaluate individual projects over the life of the </w:t>
      </w:r>
      <w:r>
        <w:rPr>
          <w:color w:val="231F20"/>
        </w:rPr>
        <w:t>project. The</w:t>
      </w:r>
      <w:r>
        <w:rPr>
          <w:color w:val="231F20"/>
          <w:spacing w:val="40"/>
        </w:rPr>
        <w:t> </w:t>
      </w:r>
      <w:r>
        <w:rPr>
          <w:color w:val="231F20"/>
        </w:rPr>
        <w:t>following</w:t>
      </w:r>
      <w:r>
        <w:rPr>
          <w:color w:val="231F20"/>
          <w:spacing w:val="40"/>
        </w:rPr>
        <w:t> </w:t>
      </w:r>
      <w:r>
        <w:rPr>
          <w:color w:val="231F20"/>
        </w:rPr>
        <w:t>specific</w:t>
      </w:r>
      <w:r>
        <w:rPr>
          <w:color w:val="231F20"/>
          <w:spacing w:val="40"/>
        </w:rPr>
        <w:t> </w:t>
      </w:r>
      <w:r>
        <w:rPr>
          <w:color w:val="231F20"/>
        </w:rPr>
        <w:t>information</w:t>
      </w:r>
      <w:r>
        <w:rPr>
          <w:color w:val="231F20"/>
          <w:spacing w:val="40"/>
        </w:rPr>
        <w:t> </w:t>
      </w:r>
      <w:r>
        <w:rPr>
          <w:color w:val="231F20"/>
        </w:rPr>
        <w:t>would</w:t>
      </w:r>
      <w:r>
        <w:rPr>
          <w:color w:val="231F20"/>
          <w:spacing w:val="40"/>
        </w:rPr>
        <w:t> </w:t>
      </w:r>
      <w:r>
        <w:rPr>
          <w:color w:val="231F20"/>
        </w:rPr>
        <w:t>be</w:t>
      </w:r>
      <w:r>
        <w:rPr>
          <w:color w:val="231F20"/>
          <w:spacing w:val="40"/>
        </w:rPr>
        <w:t> </w:t>
      </w:r>
      <w:r>
        <w:rPr>
          <w:color w:val="231F20"/>
        </w:rPr>
        <w:t>required</w:t>
      </w:r>
      <w:r>
        <w:rPr>
          <w:color w:val="231F20"/>
          <w:spacing w:val="40"/>
        </w:rPr>
        <w:t> </w:t>
      </w:r>
      <w:r>
        <w:rPr>
          <w:color w:val="231F20"/>
        </w:rPr>
        <w:t>to</w:t>
      </w:r>
      <w:r>
        <w:rPr>
          <w:color w:val="231F20"/>
          <w:spacing w:val="40"/>
        </w:rPr>
        <w:t> </w:t>
      </w:r>
      <w:r>
        <w:rPr>
          <w:color w:val="231F20"/>
        </w:rPr>
        <w:t>quan-</w:t>
      </w:r>
    </w:p>
    <w:p>
      <w:pPr>
        <w:pStyle w:val="BodyText"/>
        <w:spacing w:line="245" w:lineRule="exact"/>
        <w:ind w:left="830"/>
      </w:pPr>
      <w:r>
        <w:rPr>
          <w:color w:val="231F20"/>
        </w:rPr>
        <w:t>tify</w:t>
      </w:r>
      <w:r>
        <w:rPr>
          <w:color w:val="231F20"/>
          <w:spacing w:val="10"/>
        </w:rPr>
        <w:t> </w:t>
      </w:r>
      <w:r>
        <w:rPr>
          <w:color w:val="231F20"/>
        </w:rPr>
        <w:t>the</w:t>
      </w:r>
      <w:r>
        <w:rPr>
          <w:color w:val="231F20"/>
          <w:spacing w:val="10"/>
        </w:rPr>
        <w:t> </w:t>
      </w:r>
      <w:r>
        <w:rPr>
          <w:color w:val="231F20"/>
        </w:rPr>
        <w:t>initial</w:t>
      </w:r>
      <w:r>
        <w:rPr>
          <w:color w:val="231F20"/>
          <w:spacing w:val="10"/>
        </w:rPr>
        <w:t> </w:t>
      </w:r>
      <w:r>
        <w:rPr>
          <w:color w:val="231F20"/>
        </w:rPr>
        <w:t>cash</w:t>
      </w:r>
      <w:r>
        <w:rPr>
          <w:color w:val="231F20"/>
          <w:spacing w:val="10"/>
        </w:rPr>
        <w:t> </w:t>
      </w:r>
      <w:r>
        <w:rPr>
          <w:color w:val="231F20"/>
        </w:rPr>
        <w:t>flows</w:t>
      </w:r>
      <w:r>
        <w:rPr>
          <w:color w:val="231F20"/>
          <w:spacing w:val="11"/>
        </w:rPr>
        <w:t> </w:t>
      </w:r>
      <w:r>
        <w:rPr>
          <w:color w:val="231F20"/>
        </w:rPr>
        <w:t>of</w:t>
      </w:r>
      <w:r>
        <w:rPr>
          <w:color w:val="231F20"/>
          <w:spacing w:val="10"/>
        </w:rPr>
        <w:t> </w:t>
      </w:r>
      <w:r>
        <w:rPr>
          <w:color w:val="231F20"/>
        </w:rPr>
        <w:t>a</w:t>
      </w:r>
      <w:r>
        <w:rPr>
          <w:color w:val="231F20"/>
          <w:spacing w:val="10"/>
        </w:rPr>
        <w:t> </w:t>
      </w:r>
      <w:r>
        <w:rPr>
          <w:color w:val="231F20"/>
          <w:spacing w:val="-2"/>
        </w:rPr>
        <w:t>project:</w:t>
      </w:r>
    </w:p>
    <w:p>
      <w:pPr>
        <w:pStyle w:val="BodyText"/>
        <w:rPr>
          <w:sz w:val="32"/>
        </w:rPr>
      </w:pPr>
    </w:p>
    <w:p>
      <w:pPr>
        <w:spacing w:before="0"/>
        <w:ind w:left="1170" w:right="0" w:firstLine="0"/>
        <w:jc w:val="left"/>
        <w:rPr>
          <w:rFonts w:ascii="Arial"/>
          <w:i/>
          <w:sz w:val="19"/>
        </w:rPr>
      </w:pPr>
      <w:r>
        <w:rPr>
          <w:rFonts w:ascii="Arial"/>
          <w:i/>
          <w:color w:val="231F20"/>
          <w:w w:val="105"/>
          <w:sz w:val="19"/>
        </w:rPr>
        <w:t>Cash</w:t>
      </w:r>
      <w:r>
        <w:rPr>
          <w:rFonts w:ascii="Arial"/>
          <w:i/>
          <w:color w:val="231F20"/>
          <w:spacing w:val="6"/>
          <w:w w:val="105"/>
          <w:sz w:val="19"/>
        </w:rPr>
        <w:t> </w:t>
      </w:r>
      <w:r>
        <w:rPr>
          <w:rFonts w:ascii="Arial"/>
          <w:i/>
          <w:color w:val="231F20"/>
          <w:spacing w:val="-4"/>
          <w:w w:val="105"/>
          <w:sz w:val="19"/>
        </w:rPr>
        <w:t>Uses</w:t>
      </w:r>
    </w:p>
    <w:p>
      <w:pPr>
        <w:pStyle w:val="ListParagraph"/>
        <w:numPr>
          <w:ilvl w:val="1"/>
          <w:numId w:val="28"/>
        </w:numPr>
        <w:tabs>
          <w:tab w:pos="1356" w:val="left" w:leader="none"/>
        </w:tabs>
        <w:spacing w:line="240" w:lineRule="auto" w:before="81" w:after="0"/>
        <w:ind w:left="1355" w:right="0" w:hanging="186"/>
        <w:jc w:val="left"/>
        <w:rPr>
          <w:sz w:val="19"/>
        </w:rPr>
      </w:pPr>
      <w:r>
        <w:rPr>
          <w:color w:val="231F20"/>
          <w:w w:val="115"/>
          <w:sz w:val="19"/>
        </w:rPr>
        <w:t>Construction</w:t>
      </w:r>
      <w:r>
        <w:rPr>
          <w:color w:val="231F20"/>
          <w:spacing w:val="-8"/>
          <w:w w:val="115"/>
          <w:sz w:val="19"/>
        </w:rPr>
        <w:t> </w:t>
      </w:r>
      <w:r>
        <w:rPr>
          <w:color w:val="231F20"/>
          <w:spacing w:val="-2"/>
          <w:w w:val="115"/>
          <w:sz w:val="19"/>
        </w:rPr>
        <w:t>Costs</w:t>
      </w:r>
    </w:p>
    <w:p>
      <w:pPr>
        <w:pStyle w:val="ListParagraph"/>
        <w:numPr>
          <w:ilvl w:val="1"/>
          <w:numId w:val="28"/>
        </w:numPr>
        <w:tabs>
          <w:tab w:pos="1356" w:val="left" w:leader="none"/>
        </w:tabs>
        <w:spacing w:line="240" w:lineRule="auto" w:before="82" w:after="0"/>
        <w:ind w:left="1355" w:right="0" w:hanging="186"/>
        <w:jc w:val="left"/>
        <w:rPr>
          <w:sz w:val="19"/>
        </w:rPr>
      </w:pPr>
      <w:r>
        <w:rPr>
          <w:color w:val="231F20"/>
          <w:w w:val="115"/>
          <w:sz w:val="19"/>
        </w:rPr>
        <w:t>Initial</w:t>
      </w:r>
      <w:r>
        <w:rPr>
          <w:color w:val="231F20"/>
          <w:spacing w:val="-12"/>
          <w:w w:val="115"/>
          <w:sz w:val="19"/>
        </w:rPr>
        <w:t> </w:t>
      </w:r>
      <w:r>
        <w:rPr>
          <w:color w:val="231F20"/>
          <w:w w:val="115"/>
          <w:sz w:val="19"/>
        </w:rPr>
        <w:t>Inventory</w:t>
      </w:r>
      <w:r>
        <w:rPr>
          <w:color w:val="231F20"/>
          <w:spacing w:val="-12"/>
          <w:w w:val="115"/>
          <w:sz w:val="19"/>
        </w:rPr>
        <w:t> </w:t>
      </w:r>
      <w:r>
        <w:rPr>
          <w:color w:val="231F20"/>
          <w:spacing w:val="-2"/>
          <w:w w:val="115"/>
          <w:sz w:val="19"/>
        </w:rPr>
        <w:t>Stock</w:t>
      </w:r>
    </w:p>
    <w:p>
      <w:pPr>
        <w:pStyle w:val="ListParagraph"/>
        <w:numPr>
          <w:ilvl w:val="1"/>
          <w:numId w:val="28"/>
        </w:numPr>
        <w:tabs>
          <w:tab w:pos="1356" w:val="left" w:leader="none"/>
        </w:tabs>
        <w:spacing w:line="240" w:lineRule="auto" w:before="81" w:after="0"/>
        <w:ind w:left="1355" w:right="0" w:hanging="186"/>
        <w:jc w:val="left"/>
        <w:rPr>
          <w:sz w:val="19"/>
        </w:rPr>
      </w:pPr>
      <w:r>
        <w:rPr>
          <w:color w:val="231F20"/>
          <w:w w:val="110"/>
          <w:sz w:val="19"/>
        </w:rPr>
        <w:t>Equipment</w:t>
      </w:r>
      <w:r>
        <w:rPr>
          <w:color w:val="231F20"/>
          <w:spacing w:val="39"/>
          <w:w w:val="110"/>
          <w:sz w:val="19"/>
        </w:rPr>
        <w:t> </w:t>
      </w:r>
      <w:r>
        <w:rPr>
          <w:color w:val="231F20"/>
          <w:spacing w:val="-2"/>
          <w:w w:val="110"/>
          <w:sz w:val="19"/>
        </w:rPr>
        <w:t>Purchases</w:t>
      </w:r>
    </w:p>
    <w:p>
      <w:pPr>
        <w:pStyle w:val="ListParagraph"/>
        <w:numPr>
          <w:ilvl w:val="1"/>
          <w:numId w:val="28"/>
        </w:numPr>
        <w:tabs>
          <w:tab w:pos="1356" w:val="left" w:leader="none"/>
        </w:tabs>
        <w:spacing w:line="328" w:lineRule="auto" w:before="82" w:after="0"/>
        <w:ind w:left="1355" w:right="757" w:hanging="186"/>
        <w:jc w:val="left"/>
        <w:rPr>
          <w:sz w:val="19"/>
        </w:rPr>
      </w:pPr>
      <w:r>
        <w:rPr>
          <w:color w:val="231F20"/>
          <w:w w:val="115"/>
          <w:sz w:val="19"/>
        </w:rPr>
        <w:t>Increases in Accounts Receivable (allowing customers to borrow from you for goods sold to them)</w:t>
      </w:r>
    </w:p>
    <w:p>
      <w:pPr>
        <w:pStyle w:val="BodyText"/>
        <w:rPr>
          <w:rFonts w:ascii="Arial"/>
          <w:sz w:val="20"/>
        </w:rPr>
      </w:pPr>
    </w:p>
    <w:p>
      <w:pPr>
        <w:pStyle w:val="BodyText"/>
        <w:rPr>
          <w:rFonts w:ascii="Arial"/>
          <w:sz w:val="20"/>
        </w:rPr>
      </w:pPr>
    </w:p>
    <w:p>
      <w:pPr>
        <w:spacing w:before="141"/>
        <w:ind w:left="1170" w:right="0" w:firstLine="0"/>
        <w:jc w:val="left"/>
        <w:rPr>
          <w:rFonts w:ascii="Arial"/>
          <w:i/>
          <w:sz w:val="19"/>
        </w:rPr>
      </w:pPr>
      <w:r>
        <w:rPr>
          <w:rFonts w:ascii="Arial"/>
          <w:i/>
          <w:color w:val="231F20"/>
          <w:w w:val="105"/>
          <w:sz w:val="19"/>
        </w:rPr>
        <w:t>Cash</w:t>
      </w:r>
      <w:r>
        <w:rPr>
          <w:rFonts w:ascii="Arial"/>
          <w:i/>
          <w:color w:val="231F20"/>
          <w:spacing w:val="3"/>
          <w:w w:val="105"/>
          <w:sz w:val="19"/>
        </w:rPr>
        <w:t> </w:t>
      </w:r>
      <w:r>
        <w:rPr>
          <w:rFonts w:ascii="Arial"/>
          <w:i/>
          <w:color w:val="231F20"/>
          <w:spacing w:val="-2"/>
          <w:w w:val="105"/>
          <w:sz w:val="19"/>
        </w:rPr>
        <w:t>Sources</w:t>
      </w:r>
    </w:p>
    <w:p>
      <w:pPr>
        <w:pStyle w:val="ListParagraph"/>
        <w:numPr>
          <w:ilvl w:val="1"/>
          <w:numId w:val="28"/>
        </w:numPr>
        <w:tabs>
          <w:tab w:pos="1356" w:val="left" w:leader="none"/>
        </w:tabs>
        <w:spacing w:line="240" w:lineRule="auto" w:before="82" w:after="0"/>
        <w:ind w:left="1355" w:right="0" w:hanging="186"/>
        <w:jc w:val="left"/>
        <w:rPr>
          <w:sz w:val="19"/>
        </w:rPr>
      </w:pPr>
      <w:r>
        <w:rPr>
          <w:color w:val="231F20"/>
          <w:w w:val="110"/>
          <w:sz w:val="19"/>
        </w:rPr>
        <w:t>Sales</w:t>
      </w:r>
      <w:r>
        <w:rPr>
          <w:color w:val="231F20"/>
          <w:spacing w:val="9"/>
          <w:w w:val="110"/>
          <w:sz w:val="19"/>
        </w:rPr>
        <w:t> </w:t>
      </w:r>
      <w:r>
        <w:rPr>
          <w:color w:val="231F20"/>
          <w:w w:val="110"/>
          <w:sz w:val="19"/>
        </w:rPr>
        <w:t>of</w:t>
      </w:r>
      <w:r>
        <w:rPr>
          <w:color w:val="231F20"/>
          <w:spacing w:val="12"/>
          <w:w w:val="110"/>
          <w:sz w:val="19"/>
        </w:rPr>
        <w:t> </w:t>
      </w:r>
      <w:r>
        <w:rPr>
          <w:color w:val="231F20"/>
          <w:w w:val="110"/>
          <w:sz w:val="19"/>
        </w:rPr>
        <w:t>Equipment</w:t>
      </w:r>
      <w:r>
        <w:rPr>
          <w:color w:val="231F20"/>
          <w:spacing w:val="12"/>
          <w:w w:val="110"/>
          <w:sz w:val="19"/>
        </w:rPr>
        <w:t> </w:t>
      </w:r>
      <w:r>
        <w:rPr>
          <w:color w:val="231F20"/>
          <w:w w:val="110"/>
          <w:sz w:val="19"/>
        </w:rPr>
        <w:t>(if</w:t>
      </w:r>
      <w:r>
        <w:rPr>
          <w:color w:val="231F20"/>
          <w:spacing w:val="12"/>
          <w:w w:val="110"/>
          <w:sz w:val="19"/>
        </w:rPr>
        <w:t> </w:t>
      </w:r>
      <w:r>
        <w:rPr>
          <w:color w:val="231F20"/>
          <w:w w:val="110"/>
          <w:sz w:val="19"/>
        </w:rPr>
        <w:t>disposed</w:t>
      </w:r>
      <w:r>
        <w:rPr>
          <w:color w:val="231F20"/>
          <w:spacing w:val="12"/>
          <w:w w:val="110"/>
          <w:sz w:val="19"/>
        </w:rPr>
        <w:t> </w:t>
      </w:r>
      <w:r>
        <w:rPr>
          <w:color w:val="231F20"/>
          <w:spacing w:val="-5"/>
          <w:w w:val="110"/>
          <w:sz w:val="19"/>
        </w:rPr>
        <w:t>of)</w:t>
      </w:r>
    </w:p>
    <w:p>
      <w:pPr>
        <w:pStyle w:val="ListParagraph"/>
        <w:numPr>
          <w:ilvl w:val="1"/>
          <w:numId w:val="28"/>
        </w:numPr>
        <w:tabs>
          <w:tab w:pos="1356" w:val="left" w:leader="none"/>
        </w:tabs>
        <w:spacing w:line="328" w:lineRule="auto" w:before="81" w:after="0"/>
        <w:ind w:left="1355" w:right="756" w:hanging="186"/>
        <w:jc w:val="left"/>
        <w:rPr>
          <w:sz w:val="19"/>
        </w:rPr>
      </w:pPr>
      <w:r>
        <w:rPr>
          <w:color w:val="231F20"/>
          <w:spacing w:val="-2"/>
          <w:w w:val="115"/>
          <w:sz w:val="19"/>
        </w:rPr>
        <w:t>Increases</w:t>
      </w:r>
      <w:r>
        <w:rPr>
          <w:color w:val="231F20"/>
          <w:spacing w:val="-10"/>
          <w:w w:val="115"/>
          <w:sz w:val="19"/>
        </w:rPr>
        <w:t> </w:t>
      </w:r>
      <w:r>
        <w:rPr>
          <w:color w:val="231F20"/>
          <w:spacing w:val="-2"/>
          <w:w w:val="115"/>
          <w:sz w:val="19"/>
        </w:rPr>
        <w:t>in</w:t>
      </w:r>
      <w:r>
        <w:rPr>
          <w:color w:val="231F20"/>
          <w:spacing w:val="-10"/>
          <w:w w:val="115"/>
          <w:sz w:val="19"/>
        </w:rPr>
        <w:t> </w:t>
      </w:r>
      <w:r>
        <w:rPr>
          <w:color w:val="231F20"/>
          <w:spacing w:val="-2"/>
          <w:w w:val="115"/>
          <w:sz w:val="19"/>
        </w:rPr>
        <w:t>Accounts</w:t>
      </w:r>
      <w:r>
        <w:rPr>
          <w:color w:val="231F20"/>
          <w:spacing w:val="-10"/>
          <w:w w:val="115"/>
          <w:sz w:val="19"/>
        </w:rPr>
        <w:t> </w:t>
      </w:r>
      <w:r>
        <w:rPr>
          <w:color w:val="231F20"/>
          <w:spacing w:val="-2"/>
          <w:w w:val="115"/>
          <w:sz w:val="19"/>
        </w:rPr>
        <w:t>Payable</w:t>
      </w:r>
      <w:r>
        <w:rPr>
          <w:color w:val="231F20"/>
          <w:spacing w:val="-10"/>
          <w:w w:val="115"/>
          <w:sz w:val="19"/>
        </w:rPr>
        <w:t> </w:t>
      </w:r>
      <w:r>
        <w:rPr>
          <w:color w:val="231F20"/>
          <w:spacing w:val="-2"/>
          <w:w w:val="115"/>
          <w:sz w:val="19"/>
        </w:rPr>
        <w:t>(borrowing</w:t>
      </w:r>
      <w:r>
        <w:rPr>
          <w:color w:val="231F20"/>
          <w:spacing w:val="-10"/>
          <w:w w:val="115"/>
          <w:sz w:val="19"/>
        </w:rPr>
        <w:t> </w:t>
      </w:r>
      <w:r>
        <w:rPr>
          <w:color w:val="231F20"/>
          <w:spacing w:val="-2"/>
          <w:w w:val="115"/>
          <w:sz w:val="19"/>
        </w:rPr>
        <w:t>from</w:t>
      </w:r>
      <w:r>
        <w:rPr>
          <w:color w:val="231F20"/>
          <w:spacing w:val="-10"/>
          <w:w w:val="115"/>
          <w:sz w:val="19"/>
        </w:rPr>
        <w:t> </w:t>
      </w:r>
      <w:r>
        <w:rPr>
          <w:color w:val="231F20"/>
          <w:spacing w:val="-2"/>
          <w:w w:val="115"/>
          <w:sz w:val="19"/>
        </w:rPr>
        <w:t>suppliers</w:t>
      </w:r>
      <w:r>
        <w:rPr>
          <w:color w:val="231F20"/>
          <w:spacing w:val="-10"/>
          <w:w w:val="115"/>
          <w:sz w:val="19"/>
        </w:rPr>
        <w:t> </w:t>
      </w:r>
      <w:r>
        <w:rPr>
          <w:color w:val="231F20"/>
          <w:spacing w:val="-2"/>
          <w:w w:val="115"/>
          <w:sz w:val="19"/>
        </w:rPr>
        <w:t>on </w:t>
      </w:r>
      <w:r>
        <w:rPr>
          <w:color w:val="231F20"/>
          <w:w w:val="115"/>
          <w:sz w:val="19"/>
        </w:rPr>
        <w:t>materials purchased)</w:t>
      </w:r>
    </w:p>
    <w:p>
      <w:pPr>
        <w:pStyle w:val="BodyText"/>
        <w:spacing w:before="4"/>
        <w:rPr>
          <w:rFonts w:ascii="Arial"/>
          <w:sz w:val="24"/>
        </w:rPr>
      </w:pPr>
    </w:p>
    <w:p>
      <w:pPr>
        <w:pStyle w:val="BodyText"/>
        <w:ind w:left="830"/>
      </w:pPr>
      <w:r>
        <w:rPr>
          <w:color w:val="231F20"/>
        </w:rPr>
        <w:t>To</w:t>
      </w:r>
      <w:r>
        <w:rPr>
          <w:color w:val="231F20"/>
          <w:spacing w:val="1"/>
        </w:rPr>
        <w:t> </w:t>
      </w:r>
      <w:r>
        <w:rPr>
          <w:color w:val="231F20"/>
        </w:rPr>
        <w:t>determine</w:t>
      </w:r>
      <w:r>
        <w:rPr>
          <w:color w:val="231F20"/>
          <w:spacing w:val="2"/>
        </w:rPr>
        <w:t> </w:t>
      </w:r>
      <w:r>
        <w:rPr>
          <w:color w:val="231F20"/>
        </w:rPr>
        <w:t>the</w:t>
      </w:r>
      <w:r>
        <w:rPr>
          <w:color w:val="231F20"/>
          <w:spacing w:val="1"/>
        </w:rPr>
        <w:t> </w:t>
      </w:r>
      <w:r>
        <w:rPr>
          <w:color w:val="231F20"/>
        </w:rPr>
        <w:t>cash</w:t>
      </w:r>
      <w:r>
        <w:rPr>
          <w:color w:val="231F20"/>
          <w:spacing w:val="2"/>
        </w:rPr>
        <w:t> </w:t>
      </w:r>
      <w:r>
        <w:rPr>
          <w:color w:val="231F20"/>
        </w:rPr>
        <w:t>uses</w:t>
      </w:r>
      <w:r>
        <w:rPr>
          <w:color w:val="231F20"/>
          <w:spacing w:val="2"/>
        </w:rPr>
        <w:t> </w:t>
      </w:r>
      <w:r>
        <w:rPr>
          <w:color w:val="231F20"/>
        </w:rPr>
        <w:t>during</w:t>
      </w:r>
      <w:r>
        <w:rPr>
          <w:color w:val="231F20"/>
          <w:spacing w:val="1"/>
        </w:rPr>
        <w:t> </w:t>
      </w:r>
      <w:r>
        <w:rPr>
          <w:color w:val="231F20"/>
        </w:rPr>
        <w:t>the</w:t>
      </w:r>
      <w:r>
        <w:rPr>
          <w:color w:val="231F20"/>
          <w:spacing w:val="2"/>
        </w:rPr>
        <w:t> </w:t>
      </w:r>
      <w:r>
        <w:rPr>
          <w:color w:val="231F20"/>
        </w:rPr>
        <w:t>life</w:t>
      </w:r>
      <w:r>
        <w:rPr>
          <w:color w:val="231F20"/>
          <w:spacing w:val="2"/>
        </w:rPr>
        <w:t> </w:t>
      </w:r>
      <w:r>
        <w:rPr>
          <w:color w:val="231F20"/>
        </w:rPr>
        <w:t>of</w:t>
      </w:r>
      <w:r>
        <w:rPr>
          <w:color w:val="231F20"/>
          <w:spacing w:val="1"/>
        </w:rPr>
        <w:t> </w:t>
      </w:r>
      <w:r>
        <w:rPr>
          <w:color w:val="231F20"/>
        </w:rPr>
        <w:t>the</w:t>
      </w:r>
      <w:r>
        <w:rPr>
          <w:color w:val="231F20"/>
          <w:spacing w:val="2"/>
        </w:rPr>
        <w:t> </w:t>
      </w:r>
      <w:r>
        <w:rPr>
          <w:color w:val="231F20"/>
          <w:spacing w:val="-2"/>
        </w:rPr>
        <w:t>project:</w:t>
      </w:r>
    </w:p>
    <w:p>
      <w:pPr>
        <w:pStyle w:val="BodyText"/>
        <w:rPr>
          <w:sz w:val="32"/>
        </w:rPr>
      </w:pPr>
    </w:p>
    <w:p>
      <w:pPr>
        <w:spacing w:before="0"/>
        <w:ind w:left="1170" w:right="0" w:firstLine="0"/>
        <w:jc w:val="left"/>
        <w:rPr>
          <w:rFonts w:ascii="Arial"/>
          <w:i/>
          <w:sz w:val="19"/>
        </w:rPr>
      </w:pPr>
      <w:r>
        <w:rPr>
          <w:rFonts w:ascii="Arial"/>
          <w:i/>
          <w:color w:val="231F20"/>
          <w:w w:val="105"/>
          <w:sz w:val="19"/>
        </w:rPr>
        <w:t>Cash</w:t>
      </w:r>
      <w:r>
        <w:rPr>
          <w:rFonts w:ascii="Arial"/>
          <w:i/>
          <w:color w:val="231F20"/>
          <w:spacing w:val="3"/>
          <w:w w:val="105"/>
          <w:sz w:val="19"/>
        </w:rPr>
        <w:t> </w:t>
      </w:r>
      <w:r>
        <w:rPr>
          <w:rFonts w:ascii="Arial"/>
          <w:i/>
          <w:color w:val="231F20"/>
          <w:spacing w:val="-2"/>
          <w:w w:val="105"/>
          <w:sz w:val="19"/>
        </w:rPr>
        <w:t>Sources</w:t>
      </w:r>
    </w:p>
    <w:p>
      <w:pPr>
        <w:pStyle w:val="ListParagraph"/>
        <w:numPr>
          <w:ilvl w:val="1"/>
          <w:numId w:val="28"/>
        </w:numPr>
        <w:tabs>
          <w:tab w:pos="1356" w:val="left" w:leader="none"/>
        </w:tabs>
        <w:spacing w:line="240" w:lineRule="auto" w:before="82" w:after="0"/>
        <w:ind w:left="1355" w:right="0" w:hanging="186"/>
        <w:jc w:val="left"/>
        <w:rPr>
          <w:sz w:val="19"/>
        </w:rPr>
      </w:pPr>
      <w:r>
        <w:rPr>
          <w:color w:val="231F20"/>
          <w:w w:val="110"/>
          <w:sz w:val="19"/>
        </w:rPr>
        <w:t>Revenues</w:t>
      </w:r>
      <w:r>
        <w:rPr>
          <w:color w:val="231F20"/>
          <w:spacing w:val="-13"/>
          <w:w w:val="110"/>
          <w:sz w:val="19"/>
        </w:rPr>
        <w:t> </w:t>
      </w:r>
      <w:r>
        <w:rPr>
          <w:color w:val="231F20"/>
          <w:w w:val="110"/>
          <w:sz w:val="19"/>
        </w:rPr>
        <w:t>or</w:t>
      </w:r>
      <w:r>
        <w:rPr>
          <w:color w:val="231F20"/>
          <w:spacing w:val="-12"/>
          <w:w w:val="110"/>
          <w:sz w:val="19"/>
        </w:rPr>
        <w:t> </w:t>
      </w:r>
      <w:r>
        <w:rPr>
          <w:color w:val="231F20"/>
          <w:spacing w:val="-2"/>
          <w:w w:val="110"/>
          <w:sz w:val="19"/>
        </w:rPr>
        <w:t>Sales</w:t>
      </w:r>
    </w:p>
    <w:p>
      <w:pPr>
        <w:pStyle w:val="ListParagraph"/>
        <w:numPr>
          <w:ilvl w:val="1"/>
          <w:numId w:val="28"/>
        </w:numPr>
        <w:tabs>
          <w:tab w:pos="1356" w:val="left" w:leader="none"/>
        </w:tabs>
        <w:spacing w:line="240" w:lineRule="auto" w:before="81" w:after="0"/>
        <w:ind w:left="1355" w:right="0" w:hanging="186"/>
        <w:jc w:val="left"/>
        <w:rPr>
          <w:sz w:val="19"/>
        </w:rPr>
      </w:pPr>
      <w:r>
        <w:rPr>
          <w:color w:val="231F20"/>
          <w:spacing w:val="-2"/>
          <w:w w:val="115"/>
          <w:sz w:val="19"/>
        </w:rPr>
        <w:t>Royalties</w:t>
      </w:r>
    </w:p>
    <w:p>
      <w:pPr>
        <w:pStyle w:val="BodyText"/>
        <w:rPr>
          <w:rFonts w:ascii="Arial"/>
          <w:sz w:val="20"/>
        </w:rPr>
      </w:pPr>
    </w:p>
    <w:p>
      <w:pPr>
        <w:spacing w:before="152"/>
        <w:ind w:left="1170" w:right="0" w:firstLine="0"/>
        <w:jc w:val="left"/>
        <w:rPr>
          <w:rFonts w:ascii="Arial"/>
          <w:i/>
          <w:sz w:val="19"/>
        </w:rPr>
      </w:pPr>
      <w:r>
        <w:rPr>
          <w:rFonts w:ascii="Arial"/>
          <w:i/>
          <w:color w:val="231F20"/>
          <w:w w:val="105"/>
          <w:sz w:val="19"/>
        </w:rPr>
        <w:t>Cash</w:t>
      </w:r>
      <w:r>
        <w:rPr>
          <w:rFonts w:ascii="Arial"/>
          <w:i/>
          <w:color w:val="231F20"/>
          <w:spacing w:val="6"/>
          <w:w w:val="105"/>
          <w:sz w:val="19"/>
        </w:rPr>
        <w:t> </w:t>
      </w:r>
      <w:r>
        <w:rPr>
          <w:rFonts w:ascii="Arial"/>
          <w:i/>
          <w:color w:val="231F20"/>
          <w:spacing w:val="-4"/>
          <w:w w:val="105"/>
          <w:sz w:val="19"/>
        </w:rPr>
        <w:t>Uses</w:t>
      </w:r>
    </w:p>
    <w:p>
      <w:pPr>
        <w:pStyle w:val="ListParagraph"/>
        <w:numPr>
          <w:ilvl w:val="1"/>
          <w:numId w:val="28"/>
        </w:numPr>
        <w:tabs>
          <w:tab w:pos="1356" w:val="left" w:leader="none"/>
        </w:tabs>
        <w:spacing w:line="240" w:lineRule="auto" w:before="82" w:after="0"/>
        <w:ind w:left="1355" w:right="0" w:hanging="186"/>
        <w:jc w:val="left"/>
        <w:rPr>
          <w:sz w:val="19"/>
        </w:rPr>
      </w:pPr>
      <w:r>
        <w:rPr>
          <w:color w:val="231F20"/>
          <w:w w:val="110"/>
          <w:sz w:val="19"/>
        </w:rPr>
        <w:t>Costs</w:t>
      </w:r>
      <w:r>
        <w:rPr>
          <w:color w:val="231F20"/>
          <w:spacing w:val="1"/>
          <w:w w:val="110"/>
          <w:sz w:val="19"/>
        </w:rPr>
        <w:t> </w:t>
      </w:r>
      <w:r>
        <w:rPr>
          <w:color w:val="231F20"/>
          <w:w w:val="110"/>
          <w:sz w:val="19"/>
        </w:rPr>
        <w:t>of</w:t>
      </w:r>
      <w:r>
        <w:rPr>
          <w:color w:val="231F20"/>
          <w:spacing w:val="1"/>
          <w:w w:val="110"/>
          <w:sz w:val="19"/>
        </w:rPr>
        <w:t> </w:t>
      </w:r>
      <w:r>
        <w:rPr>
          <w:color w:val="231F20"/>
          <w:w w:val="110"/>
          <w:sz w:val="19"/>
        </w:rPr>
        <w:t>Goods</w:t>
      </w:r>
      <w:r>
        <w:rPr>
          <w:color w:val="231F20"/>
          <w:spacing w:val="2"/>
          <w:w w:val="110"/>
          <w:sz w:val="19"/>
        </w:rPr>
        <w:t> </w:t>
      </w:r>
      <w:r>
        <w:rPr>
          <w:color w:val="231F20"/>
          <w:spacing w:val="-4"/>
          <w:w w:val="110"/>
          <w:sz w:val="19"/>
        </w:rPr>
        <w:t>Sold</w:t>
      </w:r>
    </w:p>
    <w:p>
      <w:pPr>
        <w:pStyle w:val="ListParagraph"/>
        <w:numPr>
          <w:ilvl w:val="1"/>
          <w:numId w:val="28"/>
        </w:numPr>
        <w:tabs>
          <w:tab w:pos="1356" w:val="left" w:leader="none"/>
        </w:tabs>
        <w:spacing w:line="240" w:lineRule="auto" w:before="81" w:after="0"/>
        <w:ind w:left="1355" w:right="0" w:hanging="186"/>
        <w:jc w:val="left"/>
        <w:rPr>
          <w:sz w:val="19"/>
        </w:rPr>
      </w:pPr>
      <w:r>
        <w:rPr>
          <w:color w:val="231F20"/>
          <w:w w:val="110"/>
          <w:sz w:val="19"/>
        </w:rPr>
        <w:t>Selling</w:t>
      </w:r>
      <w:r>
        <w:rPr>
          <w:color w:val="231F20"/>
          <w:spacing w:val="-1"/>
          <w:w w:val="110"/>
          <w:sz w:val="19"/>
        </w:rPr>
        <w:t> </w:t>
      </w:r>
      <w:r>
        <w:rPr>
          <w:color w:val="231F20"/>
          <w:spacing w:val="-2"/>
          <w:w w:val="110"/>
          <w:sz w:val="19"/>
        </w:rPr>
        <w:t>Costs</w:t>
      </w:r>
    </w:p>
    <w:p>
      <w:pPr>
        <w:pStyle w:val="ListParagraph"/>
        <w:numPr>
          <w:ilvl w:val="1"/>
          <w:numId w:val="28"/>
        </w:numPr>
        <w:tabs>
          <w:tab w:pos="1356" w:val="left" w:leader="none"/>
        </w:tabs>
        <w:spacing w:line="240" w:lineRule="auto" w:before="82" w:after="0"/>
        <w:ind w:left="1355" w:right="0" w:hanging="186"/>
        <w:jc w:val="left"/>
        <w:rPr>
          <w:sz w:val="19"/>
        </w:rPr>
      </w:pPr>
      <w:r>
        <w:rPr>
          <w:color w:val="231F20"/>
          <w:w w:val="110"/>
          <w:sz w:val="19"/>
        </w:rPr>
        <w:t>General</w:t>
      </w:r>
      <w:r>
        <w:rPr>
          <w:color w:val="231F20"/>
          <w:spacing w:val="10"/>
          <w:w w:val="110"/>
          <w:sz w:val="19"/>
        </w:rPr>
        <w:t> </w:t>
      </w:r>
      <w:r>
        <w:rPr>
          <w:color w:val="231F20"/>
          <w:w w:val="110"/>
          <w:sz w:val="19"/>
        </w:rPr>
        <w:t>and</w:t>
      </w:r>
      <w:r>
        <w:rPr>
          <w:color w:val="231F20"/>
          <w:spacing w:val="11"/>
          <w:w w:val="110"/>
          <w:sz w:val="19"/>
        </w:rPr>
        <w:t> </w:t>
      </w:r>
      <w:r>
        <w:rPr>
          <w:color w:val="231F20"/>
          <w:w w:val="110"/>
          <w:sz w:val="19"/>
        </w:rPr>
        <w:t>Administrative</w:t>
      </w:r>
      <w:r>
        <w:rPr>
          <w:color w:val="231F20"/>
          <w:spacing w:val="10"/>
          <w:w w:val="110"/>
          <w:sz w:val="19"/>
        </w:rPr>
        <w:t> </w:t>
      </w:r>
      <w:r>
        <w:rPr>
          <w:color w:val="231F20"/>
          <w:spacing w:val="-4"/>
          <w:w w:val="110"/>
          <w:sz w:val="19"/>
        </w:rPr>
        <w:t>Costs</w:t>
      </w:r>
    </w:p>
    <w:p>
      <w:pPr>
        <w:pStyle w:val="ListParagraph"/>
        <w:numPr>
          <w:ilvl w:val="1"/>
          <w:numId w:val="28"/>
        </w:numPr>
        <w:tabs>
          <w:tab w:pos="1356" w:val="left" w:leader="none"/>
        </w:tabs>
        <w:spacing w:line="240" w:lineRule="auto" w:before="81" w:after="0"/>
        <w:ind w:left="1355" w:right="0" w:hanging="186"/>
        <w:jc w:val="left"/>
        <w:rPr>
          <w:sz w:val="19"/>
        </w:rPr>
      </w:pPr>
      <w:r>
        <w:rPr>
          <w:color w:val="231F20"/>
          <w:spacing w:val="-2"/>
          <w:w w:val="105"/>
          <w:sz w:val="19"/>
        </w:rPr>
        <w:t>Taxes</w:t>
      </w:r>
    </w:p>
    <w:p>
      <w:pPr>
        <w:pStyle w:val="BodyText"/>
        <w:rPr>
          <w:rFonts w:ascii="Arial"/>
          <w:sz w:val="20"/>
        </w:rPr>
      </w:pPr>
    </w:p>
    <w:p>
      <w:pPr>
        <w:pStyle w:val="BodyText"/>
        <w:spacing w:line="292" w:lineRule="auto" w:before="130"/>
        <w:ind w:left="829" w:right="756" w:firstLine="340"/>
        <w:jc w:val="both"/>
      </w:pPr>
      <w:r>
        <w:rPr>
          <w:i/>
          <w:color w:val="231F20"/>
        </w:rPr>
        <w:t>Depreciation, </w:t>
      </w:r>
      <w:r>
        <w:rPr>
          <w:color w:val="231F20"/>
        </w:rPr>
        <w:t>which appears in income statements, is not rele- vant in cash flow analysis. Depreciation is an accounting </w:t>
      </w:r>
      <w:r>
        <w:rPr>
          <w:color w:val="231F20"/>
        </w:rPr>
        <w:t>allowance that says that if a piece of equipment has a useful life of five years, then one fifth of the cost in each year of use can be deducted from in- come.</w:t>
      </w:r>
      <w:r>
        <w:rPr>
          <w:color w:val="231F20"/>
          <w:spacing w:val="17"/>
        </w:rPr>
        <w:t> </w:t>
      </w:r>
      <w:r>
        <w:rPr>
          <w:color w:val="231F20"/>
        </w:rPr>
        <w:t>In</w:t>
      </w:r>
      <w:r>
        <w:rPr>
          <w:color w:val="231F20"/>
          <w:spacing w:val="18"/>
        </w:rPr>
        <w:t> </w:t>
      </w:r>
      <w:r>
        <w:rPr>
          <w:color w:val="231F20"/>
        </w:rPr>
        <w:t>a</w:t>
      </w:r>
      <w:r>
        <w:rPr>
          <w:color w:val="231F20"/>
          <w:spacing w:val="18"/>
        </w:rPr>
        <w:t> </w:t>
      </w:r>
      <w:r>
        <w:rPr>
          <w:color w:val="231F20"/>
        </w:rPr>
        <w:t>cash</w:t>
      </w:r>
      <w:r>
        <w:rPr>
          <w:color w:val="231F20"/>
          <w:spacing w:val="18"/>
        </w:rPr>
        <w:t> </w:t>
      </w:r>
      <w:r>
        <w:rPr>
          <w:color w:val="231F20"/>
        </w:rPr>
        <w:t>flow</w:t>
      </w:r>
      <w:r>
        <w:rPr>
          <w:color w:val="231F20"/>
          <w:spacing w:val="18"/>
        </w:rPr>
        <w:t> </w:t>
      </w:r>
      <w:r>
        <w:rPr>
          <w:color w:val="231F20"/>
        </w:rPr>
        <w:t>analysis,</w:t>
      </w:r>
      <w:r>
        <w:rPr>
          <w:color w:val="231F20"/>
          <w:spacing w:val="18"/>
        </w:rPr>
        <w:t> </w:t>
      </w:r>
      <w:r>
        <w:rPr>
          <w:color w:val="231F20"/>
        </w:rPr>
        <w:t>hard</w:t>
      </w:r>
      <w:r>
        <w:rPr>
          <w:color w:val="231F20"/>
          <w:spacing w:val="18"/>
        </w:rPr>
        <w:t> </w:t>
      </w:r>
      <w:r>
        <w:rPr>
          <w:color w:val="231F20"/>
        </w:rPr>
        <w:t>cash</w:t>
      </w:r>
      <w:r>
        <w:rPr>
          <w:color w:val="231F20"/>
          <w:spacing w:val="18"/>
        </w:rPr>
        <w:t> </w:t>
      </w:r>
      <w:r>
        <w:rPr>
          <w:color w:val="231F20"/>
        </w:rPr>
        <w:t>is</w:t>
      </w:r>
      <w:r>
        <w:rPr>
          <w:color w:val="231F20"/>
          <w:spacing w:val="18"/>
        </w:rPr>
        <w:t> </w:t>
      </w:r>
      <w:r>
        <w:rPr>
          <w:color w:val="231F20"/>
        </w:rPr>
        <w:t>used</w:t>
      </w:r>
      <w:r>
        <w:rPr>
          <w:color w:val="231F20"/>
          <w:spacing w:val="18"/>
        </w:rPr>
        <w:t> </w:t>
      </w:r>
      <w:r>
        <w:rPr>
          <w:color w:val="231F20"/>
        </w:rPr>
        <w:t>to</w:t>
      </w:r>
      <w:r>
        <w:rPr>
          <w:color w:val="231F20"/>
          <w:spacing w:val="18"/>
        </w:rPr>
        <w:t> </w:t>
      </w:r>
      <w:r>
        <w:rPr>
          <w:color w:val="231F20"/>
        </w:rPr>
        <w:t>buy</w:t>
      </w:r>
      <w:r>
        <w:rPr>
          <w:color w:val="231F20"/>
          <w:spacing w:val="18"/>
        </w:rPr>
        <w:t> </w:t>
      </w:r>
      <w:r>
        <w:rPr>
          <w:color w:val="231F20"/>
        </w:rPr>
        <w:t>the</w:t>
      </w:r>
      <w:r>
        <w:rPr>
          <w:color w:val="231F20"/>
          <w:spacing w:val="18"/>
        </w:rPr>
        <w:t> </w:t>
      </w:r>
      <w:r>
        <w:rPr>
          <w:color w:val="231F20"/>
          <w:spacing w:val="-2"/>
        </w:rPr>
        <w:t>machine</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4"/>
        <w:jc w:val="both"/>
      </w:pPr>
      <w:r>
        <w:rPr>
          <w:color w:val="231F20"/>
        </w:rPr>
        <w:t>today, therefore it is shown as a use of cash at the time of purchase. Depreciation is only applicable inasmuch as it is used to reduce “ac- counting</w:t>
      </w:r>
      <w:r>
        <w:rPr>
          <w:color w:val="231F20"/>
          <w:spacing w:val="40"/>
        </w:rPr>
        <w:t> </w:t>
      </w:r>
      <w:r>
        <w:rPr>
          <w:color w:val="231F20"/>
        </w:rPr>
        <w:t>income,”</w:t>
      </w:r>
      <w:r>
        <w:rPr>
          <w:color w:val="231F20"/>
          <w:spacing w:val="40"/>
        </w:rPr>
        <w:t> </w:t>
      </w:r>
      <w:r>
        <w:rPr>
          <w:color w:val="231F20"/>
        </w:rPr>
        <w:t>thereby</w:t>
      </w:r>
      <w:r>
        <w:rPr>
          <w:color w:val="231F20"/>
          <w:spacing w:val="40"/>
        </w:rPr>
        <w:t> </w:t>
      </w:r>
      <w:r>
        <w:rPr>
          <w:color w:val="231F20"/>
        </w:rPr>
        <w:t>reducing</w:t>
      </w:r>
      <w:r>
        <w:rPr>
          <w:color w:val="231F20"/>
          <w:spacing w:val="40"/>
        </w:rPr>
        <w:t> </w:t>
      </w:r>
      <w:r>
        <w:rPr>
          <w:color w:val="231F20"/>
        </w:rPr>
        <w:t>the</w:t>
      </w:r>
      <w:r>
        <w:rPr>
          <w:color w:val="231F20"/>
          <w:spacing w:val="40"/>
        </w:rPr>
        <w:t> </w:t>
      </w:r>
      <w:r>
        <w:rPr>
          <w:color w:val="231F20"/>
        </w:rPr>
        <w:t>“cash”</w:t>
      </w:r>
      <w:r>
        <w:rPr>
          <w:color w:val="231F20"/>
          <w:spacing w:val="40"/>
        </w:rPr>
        <w:t> </w:t>
      </w:r>
      <w:r>
        <w:rPr>
          <w:color w:val="231F20"/>
        </w:rPr>
        <w:t>out</w:t>
      </w:r>
      <w:r>
        <w:rPr>
          <w:color w:val="231F20"/>
          <w:spacing w:val="40"/>
        </w:rPr>
        <w:t> </w:t>
      </w:r>
      <w:r>
        <w:rPr>
          <w:color w:val="231F20"/>
        </w:rPr>
        <w:t>the</w:t>
      </w:r>
      <w:r>
        <w:rPr>
          <w:color w:val="231F20"/>
          <w:spacing w:val="40"/>
        </w:rPr>
        <w:t> </w:t>
      </w:r>
      <w:r>
        <w:rPr>
          <w:color w:val="231F20"/>
        </w:rPr>
        <w:t>door</w:t>
      </w:r>
      <w:r>
        <w:rPr>
          <w:color w:val="231F20"/>
          <w:spacing w:val="40"/>
        </w:rPr>
        <w:t> </w:t>
      </w:r>
      <w:r>
        <w:rPr>
          <w:color w:val="231F20"/>
        </w:rPr>
        <w:t>for taxes. In the Bob’s Market example in the accounting chapter, the store expensed its cash registers and shopping carts over ten </w:t>
      </w:r>
      <w:r>
        <w:rPr>
          <w:color w:val="231F20"/>
        </w:rPr>
        <w:t>years even though they were paid for at the store’s opening.</w:t>
      </w:r>
    </w:p>
    <w:p>
      <w:pPr>
        <w:pStyle w:val="BodyText"/>
        <w:spacing w:line="292" w:lineRule="auto"/>
        <w:ind w:left="919" w:right="666" w:firstLine="340"/>
        <w:jc w:val="both"/>
      </w:pPr>
      <w:r>
        <w:rPr>
          <w:color w:val="231F20"/>
        </w:rPr>
        <w:t>A second important point is that financing costs are not included in cash flow analysis. The investment decision is separate from </w:t>
      </w:r>
      <w:r>
        <w:rPr>
          <w:color w:val="231F20"/>
        </w:rPr>
        <w:t>the financing decision. At General Electric there are thousands of proj- ects and many classes of financing—</w:t>
      </w:r>
      <w:r>
        <w:rPr>
          <w:color w:val="231F20"/>
          <w:spacing w:val="-12"/>
        </w:rPr>
        <w:t> </w:t>
      </w:r>
      <w:r>
        <w:rPr>
          <w:color w:val="231F20"/>
        </w:rPr>
        <w:t>debt (bonds, bank debt) and stock. To match debt with individual projects would be impossible.</w:t>
      </w:r>
      <w:r>
        <w:rPr>
          <w:color w:val="231F20"/>
          <w:spacing w:val="80"/>
        </w:rPr>
        <w:t> </w:t>
      </w:r>
      <w:r>
        <w:rPr>
          <w:color w:val="231F20"/>
        </w:rPr>
        <w:t>In reality, the finance department borrows to meet all of its current corporate needs, and it is the capital budgeting department that de- cides which projects to adopt. If the two decisions were linked, all projects that were financed by debt would look much better than those for which cash is paid up front, even though in substance they are the same.</w:t>
      </w:r>
    </w:p>
    <w:p>
      <w:pPr>
        <w:pStyle w:val="BodyText"/>
        <w:rPr>
          <w:sz w:val="24"/>
        </w:rPr>
      </w:pPr>
    </w:p>
    <w:p>
      <w:pPr>
        <w:pStyle w:val="BodyText"/>
        <w:spacing w:before="7"/>
        <w:rPr>
          <w:sz w:val="26"/>
        </w:rPr>
      </w:pPr>
    </w:p>
    <w:p>
      <w:pPr>
        <w:pStyle w:val="Heading6"/>
        <w:rPr>
          <w:i/>
        </w:rPr>
      </w:pPr>
      <w:r>
        <w:rPr>
          <w:i/>
          <w:color w:val="231F20"/>
          <w:w w:val="110"/>
        </w:rPr>
        <w:t>A</w:t>
      </w:r>
      <w:r>
        <w:rPr>
          <w:i/>
          <w:color w:val="231F20"/>
          <w:spacing w:val="39"/>
          <w:w w:val="110"/>
        </w:rPr>
        <w:t> </w:t>
      </w:r>
      <w:r>
        <w:rPr>
          <w:i/>
          <w:color w:val="231F20"/>
          <w:w w:val="110"/>
        </w:rPr>
        <w:t>CASH</w:t>
      </w:r>
      <w:r>
        <w:rPr>
          <w:i/>
          <w:color w:val="231F20"/>
          <w:spacing w:val="39"/>
          <w:w w:val="110"/>
        </w:rPr>
        <w:t> </w:t>
      </w:r>
      <w:r>
        <w:rPr>
          <w:i/>
          <w:color w:val="231F20"/>
          <w:w w:val="110"/>
        </w:rPr>
        <w:t>FLOW</w:t>
      </w:r>
      <w:r>
        <w:rPr>
          <w:i/>
          <w:color w:val="231F20"/>
          <w:spacing w:val="39"/>
          <w:w w:val="110"/>
        </w:rPr>
        <w:t> </w:t>
      </w:r>
      <w:r>
        <w:rPr>
          <w:i/>
          <w:color w:val="231F20"/>
          <w:spacing w:val="8"/>
          <w:w w:val="110"/>
        </w:rPr>
        <w:t>EXAMPLE</w:t>
      </w:r>
    </w:p>
    <w:p>
      <w:pPr>
        <w:pStyle w:val="BodyText"/>
        <w:spacing w:before="2"/>
        <w:rPr>
          <w:b/>
          <w:i/>
          <w:sz w:val="30"/>
        </w:rPr>
      </w:pPr>
    </w:p>
    <w:p>
      <w:pPr>
        <w:pStyle w:val="BodyText"/>
        <w:spacing w:line="292" w:lineRule="auto"/>
        <w:ind w:left="920" w:right="665"/>
        <w:jc w:val="both"/>
      </w:pPr>
      <w:r>
        <w:rPr>
          <w:color w:val="231F20"/>
        </w:rPr>
        <w:t>Quaker Oats is considering a $100,000 investment in a cereal </w:t>
      </w:r>
      <w:r>
        <w:rPr>
          <w:color w:val="231F20"/>
        </w:rPr>
        <w:t>filling machine for its plant in Kansas City. The fiber craze has spurred the demand</w:t>
      </w:r>
      <w:r>
        <w:rPr>
          <w:color w:val="231F20"/>
          <w:spacing w:val="40"/>
        </w:rPr>
        <w:t> </w:t>
      </w:r>
      <w:r>
        <w:rPr>
          <w:color w:val="231F20"/>
        </w:rPr>
        <w:t>for</w:t>
      </w:r>
      <w:r>
        <w:rPr>
          <w:color w:val="231F20"/>
          <w:spacing w:val="40"/>
        </w:rPr>
        <w:t> </w:t>
      </w:r>
      <w:r>
        <w:rPr>
          <w:color w:val="231F20"/>
        </w:rPr>
        <w:t>oatmeal</w:t>
      </w:r>
      <w:r>
        <w:rPr>
          <w:color w:val="231F20"/>
          <w:spacing w:val="40"/>
        </w:rPr>
        <w:t> </w:t>
      </w:r>
      <w:r>
        <w:rPr>
          <w:color w:val="231F20"/>
        </w:rPr>
        <w:t>to</w:t>
      </w:r>
      <w:r>
        <w:rPr>
          <w:color w:val="231F20"/>
          <w:spacing w:val="40"/>
        </w:rPr>
        <w:t> </w:t>
      </w:r>
      <w:r>
        <w:rPr>
          <w:color w:val="231F20"/>
        </w:rPr>
        <w:t>the</w:t>
      </w:r>
      <w:r>
        <w:rPr>
          <w:color w:val="231F20"/>
          <w:spacing w:val="40"/>
        </w:rPr>
        <w:t> </w:t>
      </w:r>
      <w:r>
        <w:rPr>
          <w:color w:val="231F20"/>
        </w:rPr>
        <w:t>point</w:t>
      </w:r>
      <w:r>
        <w:rPr>
          <w:color w:val="231F20"/>
          <w:spacing w:val="40"/>
        </w:rPr>
        <w:t> </w:t>
      </w:r>
      <w:r>
        <w:rPr>
          <w:color w:val="231F20"/>
        </w:rPr>
        <w:t>of</w:t>
      </w:r>
      <w:r>
        <w:rPr>
          <w:color w:val="231F20"/>
          <w:spacing w:val="40"/>
        </w:rPr>
        <w:t> </w:t>
      </w:r>
      <w:r>
        <w:rPr>
          <w:color w:val="231F20"/>
        </w:rPr>
        <w:t>exhausting</w:t>
      </w:r>
      <w:r>
        <w:rPr>
          <w:color w:val="231F20"/>
          <w:spacing w:val="40"/>
        </w:rPr>
        <w:t> </w:t>
      </w:r>
      <w:r>
        <w:rPr>
          <w:color w:val="231F20"/>
        </w:rPr>
        <w:t>plant</w:t>
      </w:r>
      <w:r>
        <w:rPr>
          <w:color w:val="231F20"/>
          <w:spacing w:val="40"/>
        </w:rPr>
        <w:t> </w:t>
      </w:r>
      <w:r>
        <w:rPr>
          <w:color w:val="231F20"/>
        </w:rPr>
        <w:t>capacity.</w:t>
      </w:r>
      <w:r>
        <w:rPr>
          <w:color w:val="231F20"/>
          <w:spacing w:val="40"/>
        </w:rPr>
        <w:t> </w:t>
      </w:r>
      <w:r>
        <w:rPr>
          <w:color w:val="231F20"/>
        </w:rPr>
        <w:t>If the machine is purchased, additional cereal sales of $80,000 could</w:t>
      </w:r>
      <w:r>
        <w:rPr>
          <w:color w:val="231F20"/>
          <w:spacing w:val="80"/>
          <w:w w:val="150"/>
        </w:rPr>
        <w:t> </w:t>
      </w:r>
      <w:r>
        <w:rPr>
          <w:color w:val="231F20"/>
        </w:rPr>
        <w:t>be made each year. The cost of goods sold is only $20,000 and the profits derived would be taxed at 30 percent. The increased sales</w:t>
      </w:r>
      <w:r>
        <w:rPr>
          <w:color w:val="231F20"/>
          <w:spacing w:val="80"/>
        </w:rPr>
        <w:t> </w:t>
      </w:r>
      <w:r>
        <w:rPr>
          <w:color w:val="231F20"/>
        </w:rPr>
        <w:t>will also require holding $10,000 in inventory. Quaker will partially offset that use of cash by increasing its payables by $8,000 to farm- ers for the oats and Stone Container for the boxes to net a $2,000 additional cash investment.</w:t>
      </w:r>
    </w:p>
    <w:p>
      <w:pPr>
        <w:pStyle w:val="BodyText"/>
        <w:spacing w:line="292" w:lineRule="auto"/>
        <w:ind w:left="919" w:right="663" w:firstLine="340"/>
        <w:jc w:val="both"/>
      </w:pPr>
      <w:r>
        <w:rPr>
          <w:color w:val="231F20"/>
        </w:rPr>
        <w:t>At the end of three years the machine will be worn-out, but </w:t>
      </w:r>
      <w:r>
        <w:rPr>
          <w:color w:val="231F20"/>
        </w:rPr>
        <w:t>the equipment</w:t>
      </w:r>
      <w:r>
        <w:rPr>
          <w:color w:val="231F20"/>
          <w:spacing w:val="40"/>
        </w:rPr>
        <w:t> </w:t>
      </w:r>
      <w:r>
        <w:rPr>
          <w:color w:val="231F20"/>
        </w:rPr>
        <w:t>will</w:t>
      </w:r>
      <w:r>
        <w:rPr>
          <w:color w:val="231F20"/>
          <w:spacing w:val="40"/>
        </w:rPr>
        <w:t> </w:t>
      </w:r>
      <w:r>
        <w:rPr>
          <w:color w:val="231F20"/>
        </w:rPr>
        <w:t>still</w:t>
      </w:r>
      <w:r>
        <w:rPr>
          <w:color w:val="231F20"/>
          <w:spacing w:val="40"/>
        </w:rPr>
        <w:t> </w:t>
      </w:r>
      <w:r>
        <w:rPr>
          <w:color w:val="231F20"/>
        </w:rPr>
        <w:t>be</w:t>
      </w:r>
      <w:r>
        <w:rPr>
          <w:color w:val="231F20"/>
          <w:spacing w:val="40"/>
        </w:rPr>
        <w:t> </w:t>
      </w:r>
      <w:r>
        <w:rPr>
          <w:color w:val="231F20"/>
        </w:rPr>
        <w:t>useful</w:t>
      </w:r>
      <w:r>
        <w:rPr>
          <w:color w:val="231F20"/>
          <w:spacing w:val="40"/>
        </w:rPr>
        <w:t> </w:t>
      </w:r>
      <w:r>
        <w:rPr>
          <w:color w:val="231F20"/>
        </w:rPr>
        <w:t>to</w:t>
      </w:r>
      <w:r>
        <w:rPr>
          <w:color w:val="231F20"/>
          <w:spacing w:val="40"/>
        </w:rPr>
        <w:t> </w:t>
      </w:r>
      <w:r>
        <w:rPr>
          <w:color w:val="231F20"/>
        </w:rPr>
        <w:t>a</w:t>
      </w:r>
      <w:r>
        <w:rPr>
          <w:color w:val="231F20"/>
          <w:spacing w:val="40"/>
        </w:rPr>
        <w:t> </w:t>
      </w:r>
      <w:r>
        <w:rPr>
          <w:color w:val="231F20"/>
        </w:rPr>
        <w:t>milling</w:t>
      </w:r>
      <w:r>
        <w:rPr>
          <w:color w:val="231F20"/>
          <w:spacing w:val="40"/>
        </w:rPr>
        <w:t> </w:t>
      </w:r>
      <w:r>
        <w:rPr>
          <w:color w:val="231F20"/>
        </w:rPr>
        <w:t>company</w:t>
      </w:r>
      <w:r>
        <w:rPr>
          <w:color w:val="231F20"/>
          <w:spacing w:val="40"/>
        </w:rPr>
        <w:t> </w:t>
      </w:r>
      <w:r>
        <w:rPr>
          <w:color w:val="231F20"/>
        </w:rPr>
        <w:t>in</w:t>
      </w:r>
      <w:r>
        <w:rPr>
          <w:color w:val="231F20"/>
          <w:spacing w:val="40"/>
        </w:rPr>
        <w:t> </w:t>
      </w:r>
      <w:r>
        <w:rPr>
          <w:color w:val="231F20"/>
        </w:rPr>
        <w:t>Mexico. Quaker</w:t>
      </w:r>
      <w:r>
        <w:rPr>
          <w:color w:val="231F20"/>
          <w:spacing w:val="37"/>
        </w:rPr>
        <w:t> </w:t>
      </w:r>
      <w:r>
        <w:rPr>
          <w:color w:val="231F20"/>
        </w:rPr>
        <w:t>plans</w:t>
      </w:r>
      <w:r>
        <w:rPr>
          <w:color w:val="231F20"/>
          <w:spacing w:val="37"/>
        </w:rPr>
        <w:t> </w:t>
      </w:r>
      <w:r>
        <w:rPr>
          <w:color w:val="231F20"/>
        </w:rPr>
        <w:t>to</w:t>
      </w:r>
      <w:r>
        <w:rPr>
          <w:color w:val="231F20"/>
          <w:spacing w:val="37"/>
        </w:rPr>
        <w:t> </w:t>
      </w:r>
      <w:r>
        <w:rPr>
          <w:color w:val="231F20"/>
        </w:rPr>
        <w:t>sell</w:t>
      </w:r>
      <w:r>
        <w:rPr>
          <w:color w:val="231F20"/>
          <w:spacing w:val="37"/>
        </w:rPr>
        <w:t> </w:t>
      </w:r>
      <w:r>
        <w:rPr>
          <w:color w:val="231F20"/>
        </w:rPr>
        <w:t>it</w:t>
      </w:r>
      <w:r>
        <w:rPr>
          <w:color w:val="231F20"/>
          <w:spacing w:val="37"/>
        </w:rPr>
        <w:t> </w:t>
      </w:r>
      <w:r>
        <w:rPr>
          <w:color w:val="231F20"/>
        </w:rPr>
        <w:t>to</w:t>
      </w:r>
      <w:r>
        <w:rPr>
          <w:color w:val="231F20"/>
          <w:spacing w:val="37"/>
        </w:rPr>
        <w:t> </w:t>
      </w:r>
      <w:r>
        <w:rPr>
          <w:color w:val="231F20"/>
        </w:rPr>
        <w:t>Molino</w:t>
      </w:r>
      <w:r>
        <w:rPr>
          <w:color w:val="231F20"/>
          <w:spacing w:val="37"/>
        </w:rPr>
        <w:t> </w:t>
      </w:r>
      <w:r>
        <w:rPr>
          <w:color w:val="231F20"/>
        </w:rPr>
        <w:t>Grande</w:t>
      </w:r>
      <w:r>
        <w:rPr>
          <w:color w:val="231F20"/>
          <w:spacing w:val="37"/>
        </w:rPr>
        <w:t> </w:t>
      </w:r>
      <w:r>
        <w:rPr>
          <w:color w:val="231F20"/>
        </w:rPr>
        <w:t>at</w:t>
      </w:r>
      <w:r>
        <w:rPr>
          <w:color w:val="231F20"/>
          <w:spacing w:val="37"/>
        </w:rPr>
        <w:t> </w:t>
      </w:r>
      <w:r>
        <w:rPr>
          <w:color w:val="231F20"/>
        </w:rPr>
        <w:t>a</w:t>
      </w:r>
      <w:r>
        <w:rPr>
          <w:color w:val="231F20"/>
          <w:spacing w:val="37"/>
        </w:rPr>
        <w:t> </w:t>
      </w:r>
      <w:r>
        <w:rPr>
          <w:color w:val="231F20"/>
        </w:rPr>
        <w:t>price</w:t>
      </w:r>
      <w:r>
        <w:rPr>
          <w:color w:val="231F20"/>
          <w:spacing w:val="37"/>
        </w:rPr>
        <w:t> </w:t>
      </w:r>
      <w:r>
        <w:rPr>
          <w:color w:val="231F20"/>
        </w:rPr>
        <w:t>of</w:t>
      </w:r>
      <w:r>
        <w:rPr>
          <w:color w:val="231F20"/>
          <w:spacing w:val="37"/>
        </w:rPr>
        <w:t> </w:t>
      </w:r>
      <w:r>
        <w:rPr>
          <w:color w:val="231F20"/>
        </w:rPr>
        <w:t>$10,000.</w:t>
      </w:r>
    </w:p>
    <w:p>
      <w:pPr>
        <w:pStyle w:val="BodyText"/>
        <w:spacing w:line="245" w:lineRule="exact"/>
        <w:ind w:left="1259"/>
        <w:jc w:val="both"/>
      </w:pPr>
      <w:r>
        <w:rPr>
          <w:color w:val="231F20"/>
        </w:rPr>
        <w:t>In</w:t>
      </w:r>
      <w:r>
        <w:rPr>
          <w:color w:val="231F20"/>
          <w:spacing w:val="5"/>
        </w:rPr>
        <w:t> </w:t>
      </w:r>
      <w:r>
        <w:rPr>
          <w:color w:val="231F20"/>
        </w:rPr>
        <w:t>this</w:t>
      </w:r>
      <w:r>
        <w:rPr>
          <w:color w:val="231F20"/>
          <w:spacing w:val="6"/>
        </w:rPr>
        <w:t> </w:t>
      </w:r>
      <w:r>
        <w:rPr>
          <w:color w:val="231F20"/>
        </w:rPr>
        <w:t>example</w:t>
      </w:r>
      <w:r>
        <w:rPr>
          <w:color w:val="231F20"/>
          <w:spacing w:val="6"/>
        </w:rPr>
        <w:t> </w:t>
      </w:r>
      <w:r>
        <w:rPr>
          <w:color w:val="231F20"/>
        </w:rPr>
        <w:t>the</w:t>
      </w:r>
      <w:r>
        <w:rPr>
          <w:color w:val="231F20"/>
          <w:spacing w:val="6"/>
        </w:rPr>
        <w:t> </w:t>
      </w:r>
      <w:r>
        <w:rPr>
          <w:color w:val="231F20"/>
        </w:rPr>
        <w:t>timing</w:t>
      </w:r>
      <w:r>
        <w:rPr>
          <w:color w:val="231F20"/>
          <w:spacing w:val="5"/>
        </w:rPr>
        <w:t> </w:t>
      </w:r>
      <w:r>
        <w:rPr>
          <w:color w:val="231F20"/>
        </w:rPr>
        <w:t>of</w:t>
      </w:r>
      <w:r>
        <w:rPr>
          <w:color w:val="231F20"/>
          <w:spacing w:val="6"/>
        </w:rPr>
        <w:t> </w:t>
      </w:r>
      <w:r>
        <w:rPr>
          <w:color w:val="231F20"/>
        </w:rPr>
        <w:t>cash</w:t>
      </w:r>
      <w:r>
        <w:rPr>
          <w:color w:val="231F20"/>
          <w:spacing w:val="6"/>
        </w:rPr>
        <w:t> </w:t>
      </w:r>
      <w:r>
        <w:rPr>
          <w:color w:val="231F20"/>
        </w:rPr>
        <w:t>flows</w:t>
      </w:r>
      <w:r>
        <w:rPr>
          <w:color w:val="231F20"/>
          <w:spacing w:val="6"/>
        </w:rPr>
        <w:t> </w:t>
      </w:r>
      <w:r>
        <w:rPr>
          <w:color w:val="231F20"/>
        </w:rPr>
        <w:t>is</w:t>
      </w:r>
      <w:r>
        <w:rPr>
          <w:color w:val="231F20"/>
          <w:spacing w:val="5"/>
        </w:rPr>
        <w:t> </w:t>
      </w:r>
      <w:r>
        <w:rPr>
          <w:color w:val="231F20"/>
        </w:rPr>
        <w:t>critical</w:t>
      </w:r>
      <w:r>
        <w:rPr>
          <w:color w:val="231F20"/>
          <w:spacing w:val="6"/>
        </w:rPr>
        <w:t> </w:t>
      </w:r>
      <w:r>
        <w:rPr>
          <w:color w:val="231F20"/>
        </w:rPr>
        <w:t>to</w:t>
      </w:r>
      <w:r>
        <w:rPr>
          <w:color w:val="231F20"/>
          <w:spacing w:val="6"/>
        </w:rPr>
        <w:t> </w:t>
      </w:r>
      <w:r>
        <w:rPr>
          <w:color w:val="231F20"/>
          <w:spacing w:val="-2"/>
        </w:rPr>
        <w:t>determining</w:t>
      </w:r>
    </w:p>
    <w:p>
      <w:pPr>
        <w:spacing w:after="0" w:line="245" w:lineRule="exact"/>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5" w:right="756"/>
        <w:jc w:val="right"/>
      </w:pPr>
      <w:r>
        <w:rPr>
          <w:color w:val="231F20"/>
        </w:rPr>
        <w:t>the project’s value. A commonly used representation of the timing of cash</w:t>
      </w:r>
      <w:r>
        <w:rPr>
          <w:color w:val="231F20"/>
          <w:spacing w:val="40"/>
        </w:rPr>
        <w:t> </w:t>
      </w:r>
      <w:r>
        <w:rPr>
          <w:color w:val="231F20"/>
        </w:rPr>
        <w:t>flows</w:t>
      </w:r>
      <w:r>
        <w:rPr>
          <w:color w:val="231F20"/>
          <w:spacing w:val="40"/>
        </w:rPr>
        <w:t> </w:t>
      </w:r>
      <w:r>
        <w:rPr>
          <w:color w:val="231F20"/>
        </w:rPr>
        <w:t>is</w:t>
      </w:r>
      <w:r>
        <w:rPr>
          <w:color w:val="231F20"/>
          <w:spacing w:val="40"/>
        </w:rPr>
        <w:t> </w:t>
      </w:r>
      <w:r>
        <w:rPr>
          <w:color w:val="231F20"/>
        </w:rPr>
        <w:t>a</w:t>
      </w:r>
      <w:r>
        <w:rPr>
          <w:color w:val="231F20"/>
          <w:spacing w:val="40"/>
        </w:rPr>
        <w:t> </w:t>
      </w:r>
      <w:r>
        <w:rPr>
          <w:color w:val="231F20"/>
        </w:rPr>
        <w:t>bar</w:t>
      </w:r>
      <w:r>
        <w:rPr>
          <w:color w:val="231F20"/>
          <w:spacing w:val="40"/>
        </w:rPr>
        <w:t> </w:t>
      </w:r>
      <w:r>
        <w:rPr>
          <w:color w:val="231F20"/>
        </w:rPr>
        <w:t>graph.</w:t>
      </w:r>
      <w:r>
        <w:rPr>
          <w:color w:val="231F20"/>
          <w:spacing w:val="40"/>
        </w:rPr>
        <w:t> </w:t>
      </w:r>
      <w:r>
        <w:rPr>
          <w:color w:val="231F20"/>
        </w:rPr>
        <w:t>Each</w:t>
      </w:r>
      <w:r>
        <w:rPr>
          <w:color w:val="231F20"/>
          <w:spacing w:val="40"/>
        </w:rPr>
        <w:t> </w:t>
      </w:r>
      <w:r>
        <w:rPr>
          <w:color w:val="231F20"/>
        </w:rPr>
        <w:t>period,</w:t>
      </w:r>
      <w:r>
        <w:rPr>
          <w:color w:val="231F20"/>
          <w:spacing w:val="40"/>
        </w:rPr>
        <w:t> </w:t>
      </w:r>
      <w:r>
        <w:rPr>
          <w:color w:val="231F20"/>
        </w:rPr>
        <w:t>cumulative</w:t>
      </w:r>
      <w:r>
        <w:rPr>
          <w:color w:val="231F20"/>
          <w:spacing w:val="40"/>
        </w:rPr>
        <w:t> </w:t>
      </w:r>
      <w:r>
        <w:rPr>
          <w:color w:val="231F20"/>
        </w:rPr>
        <w:t>cash</w:t>
      </w:r>
      <w:r>
        <w:rPr>
          <w:color w:val="231F20"/>
          <w:spacing w:val="40"/>
        </w:rPr>
        <w:t> </w:t>
      </w:r>
      <w:r>
        <w:rPr>
          <w:color w:val="231F20"/>
        </w:rPr>
        <w:t>flow</w:t>
      </w:r>
      <w:r>
        <w:rPr>
          <w:color w:val="231F20"/>
          <w:spacing w:val="40"/>
        </w:rPr>
        <w:t> </w:t>
      </w:r>
      <w:r>
        <w:rPr>
          <w:color w:val="231F20"/>
        </w:rPr>
        <w:t>is reflected either below the line for cash investments or above the line for</w:t>
      </w:r>
      <w:r>
        <w:rPr>
          <w:color w:val="231F20"/>
          <w:spacing w:val="-4"/>
        </w:rPr>
        <w:t> </w:t>
      </w:r>
      <w:r>
        <w:rPr>
          <w:color w:val="231F20"/>
        </w:rPr>
        <w:t>returns.</w:t>
      </w:r>
      <w:r>
        <w:rPr>
          <w:color w:val="231F20"/>
          <w:spacing w:val="-3"/>
        </w:rPr>
        <w:t> </w:t>
      </w:r>
      <w:r>
        <w:rPr>
          <w:color w:val="231F20"/>
        </w:rPr>
        <w:t>Our</w:t>
      </w:r>
      <w:r>
        <w:rPr>
          <w:color w:val="231F20"/>
          <w:spacing w:val="-3"/>
        </w:rPr>
        <w:t> </w:t>
      </w:r>
      <w:r>
        <w:rPr>
          <w:color w:val="231F20"/>
        </w:rPr>
        <w:t>Quaker</w:t>
      </w:r>
      <w:r>
        <w:rPr>
          <w:color w:val="231F20"/>
          <w:spacing w:val="-3"/>
        </w:rPr>
        <w:t> </w:t>
      </w:r>
      <w:r>
        <w:rPr>
          <w:color w:val="231F20"/>
        </w:rPr>
        <w:t>example</w:t>
      </w:r>
      <w:r>
        <w:rPr>
          <w:color w:val="231F20"/>
          <w:spacing w:val="-3"/>
        </w:rPr>
        <w:t> </w:t>
      </w:r>
      <w:r>
        <w:rPr>
          <w:color w:val="231F20"/>
        </w:rPr>
        <w:t>is</w:t>
      </w:r>
      <w:r>
        <w:rPr>
          <w:color w:val="231F20"/>
          <w:spacing w:val="-3"/>
        </w:rPr>
        <w:t> </w:t>
      </w:r>
      <w:r>
        <w:rPr>
          <w:color w:val="231F20"/>
        </w:rPr>
        <w:t>shown</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following</w:t>
      </w:r>
      <w:r>
        <w:rPr>
          <w:color w:val="231F20"/>
          <w:spacing w:val="-4"/>
        </w:rPr>
        <w:t> </w:t>
      </w:r>
      <w:r>
        <w:rPr>
          <w:color w:val="231F20"/>
        </w:rPr>
        <w:t>bar</w:t>
      </w:r>
      <w:r>
        <w:rPr>
          <w:color w:val="231F20"/>
          <w:spacing w:val="-3"/>
        </w:rPr>
        <w:t> </w:t>
      </w:r>
      <w:r>
        <w:rPr>
          <w:color w:val="231F20"/>
          <w:spacing w:val="-2"/>
        </w:rPr>
        <w:t>graph:</w:t>
      </w:r>
    </w:p>
    <w:p>
      <w:pPr>
        <w:pStyle w:val="BodyText"/>
        <w:spacing w:line="292" w:lineRule="auto"/>
        <w:ind w:left="829" w:right="667" w:firstLine="340"/>
      </w:pPr>
      <w:r>
        <w:rPr>
          <w:color w:val="231F20"/>
        </w:rPr>
        <w:t>Suppose</w:t>
      </w:r>
      <w:r>
        <w:rPr>
          <w:color w:val="231F20"/>
          <w:spacing w:val="24"/>
        </w:rPr>
        <w:t> </w:t>
      </w:r>
      <w:r>
        <w:rPr>
          <w:color w:val="231F20"/>
        </w:rPr>
        <w:t>that</w:t>
      </w:r>
      <w:r>
        <w:rPr>
          <w:color w:val="231F20"/>
          <w:spacing w:val="24"/>
        </w:rPr>
        <w:t> </w:t>
      </w:r>
      <w:r>
        <w:rPr>
          <w:color w:val="231F20"/>
        </w:rPr>
        <w:t>the</w:t>
      </w:r>
      <w:r>
        <w:rPr>
          <w:color w:val="231F20"/>
          <w:spacing w:val="24"/>
        </w:rPr>
        <w:t> </w:t>
      </w:r>
      <w:r>
        <w:rPr>
          <w:color w:val="231F20"/>
        </w:rPr>
        <w:t>cash</w:t>
      </w:r>
      <w:r>
        <w:rPr>
          <w:color w:val="231F20"/>
          <w:spacing w:val="24"/>
        </w:rPr>
        <w:t> </w:t>
      </w:r>
      <w:r>
        <w:rPr>
          <w:color w:val="231F20"/>
        </w:rPr>
        <w:t>flows</w:t>
      </w:r>
      <w:r>
        <w:rPr>
          <w:color w:val="231F20"/>
          <w:spacing w:val="24"/>
        </w:rPr>
        <w:t> </w:t>
      </w:r>
      <w:r>
        <w:rPr>
          <w:color w:val="231F20"/>
        </w:rPr>
        <w:t>are</w:t>
      </w:r>
      <w:r>
        <w:rPr>
          <w:color w:val="231F20"/>
          <w:spacing w:val="24"/>
        </w:rPr>
        <w:t> </w:t>
      </w:r>
      <w:r>
        <w:rPr>
          <w:color w:val="231F20"/>
        </w:rPr>
        <w:t>the</w:t>
      </w:r>
      <w:r>
        <w:rPr>
          <w:color w:val="231F20"/>
          <w:spacing w:val="24"/>
        </w:rPr>
        <w:t> </w:t>
      </w:r>
      <w:r>
        <w:rPr>
          <w:color w:val="231F20"/>
        </w:rPr>
        <w:t>same</w:t>
      </w:r>
      <w:r>
        <w:rPr>
          <w:color w:val="231F20"/>
          <w:spacing w:val="24"/>
        </w:rPr>
        <w:t> </w:t>
      </w:r>
      <w:r>
        <w:rPr>
          <w:color w:val="231F20"/>
        </w:rPr>
        <w:t>but</w:t>
      </w:r>
      <w:r>
        <w:rPr>
          <w:color w:val="231F20"/>
          <w:spacing w:val="24"/>
        </w:rPr>
        <w:t> </w:t>
      </w:r>
      <w:r>
        <w:rPr>
          <w:color w:val="231F20"/>
        </w:rPr>
        <w:t>the</w:t>
      </w:r>
      <w:r>
        <w:rPr>
          <w:color w:val="231F20"/>
          <w:spacing w:val="24"/>
        </w:rPr>
        <w:t> </w:t>
      </w:r>
      <w:r>
        <w:rPr>
          <w:color w:val="231F20"/>
        </w:rPr>
        <w:t>timing</w:t>
      </w:r>
      <w:r>
        <w:rPr>
          <w:color w:val="231F20"/>
          <w:spacing w:val="24"/>
        </w:rPr>
        <w:t> </w:t>
      </w:r>
      <w:r>
        <w:rPr>
          <w:color w:val="231F20"/>
        </w:rPr>
        <w:t>of</w:t>
      </w:r>
      <w:r>
        <w:rPr>
          <w:color w:val="231F20"/>
          <w:spacing w:val="24"/>
        </w:rPr>
        <w:t> </w:t>
      </w:r>
      <w:r>
        <w:rPr>
          <w:color w:val="231F20"/>
        </w:rPr>
        <w:t>the cash is advanced as follows:</w:t>
      </w:r>
    </w:p>
    <w:p>
      <w:pPr>
        <w:pStyle w:val="BodyText"/>
        <w:spacing w:line="245" w:lineRule="exact"/>
        <w:ind w:left="829"/>
      </w:pPr>
      <w:r>
        <w:rPr>
          <w:color w:val="231F20"/>
        </w:rPr>
        <w:t>or</w:t>
      </w:r>
      <w:r>
        <w:rPr>
          <w:color w:val="231F20"/>
          <w:spacing w:val="9"/>
        </w:rPr>
        <w:t> </w:t>
      </w:r>
      <w:r>
        <w:rPr>
          <w:color w:val="231F20"/>
        </w:rPr>
        <w:t>prolonged</w:t>
      </w:r>
      <w:r>
        <w:rPr>
          <w:color w:val="231F20"/>
          <w:spacing w:val="9"/>
        </w:rPr>
        <w:t> </w:t>
      </w:r>
      <w:r>
        <w:rPr>
          <w:color w:val="231F20"/>
        </w:rPr>
        <w:t>as</w:t>
      </w:r>
      <w:r>
        <w:rPr>
          <w:color w:val="231F20"/>
          <w:spacing w:val="10"/>
        </w:rPr>
        <w:t> </w:t>
      </w:r>
      <w:r>
        <w:rPr>
          <w:color w:val="231F20"/>
          <w:spacing w:val="-2"/>
        </w:rPr>
        <w:t>follows:</w:t>
      </w:r>
    </w:p>
    <w:p>
      <w:pPr>
        <w:pStyle w:val="BodyText"/>
        <w:spacing w:before="52"/>
        <w:ind w:left="1169"/>
      </w:pPr>
      <w:r>
        <w:rPr>
          <w:color w:val="231F20"/>
        </w:rPr>
        <w:t>These</w:t>
      </w:r>
      <w:r>
        <w:rPr>
          <w:color w:val="231F20"/>
          <w:spacing w:val="12"/>
        </w:rPr>
        <w:t> </w:t>
      </w:r>
      <w:r>
        <w:rPr>
          <w:color w:val="231F20"/>
        </w:rPr>
        <w:t>diagrams</w:t>
      </w:r>
      <w:r>
        <w:rPr>
          <w:color w:val="231F20"/>
          <w:spacing w:val="12"/>
        </w:rPr>
        <w:t> </w:t>
      </w:r>
      <w:r>
        <w:rPr>
          <w:color w:val="231F20"/>
        </w:rPr>
        <w:t>raise</w:t>
      </w:r>
      <w:r>
        <w:rPr>
          <w:color w:val="231F20"/>
          <w:spacing w:val="13"/>
        </w:rPr>
        <w:t> </w:t>
      </w:r>
      <w:r>
        <w:rPr>
          <w:color w:val="231F20"/>
        </w:rPr>
        <w:t>the</w:t>
      </w:r>
      <w:r>
        <w:rPr>
          <w:color w:val="231F20"/>
          <w:spacing w:val="12"/>
        </w:rPr>
        <w:t> </w:t>
      </w:r>
      <w:r>
        <w:rPr>
          <w:color w:val="231F20"/>
        </w:rPr>
        <w:t>critical</w:t>
      </w:r>
      <w:r>
        <w:rPr>
          <w:color w:val="231F20"/>
          <w:spacing w:val="12"/>
        </w:rPr>
        <w:t> </w:t>
      </w:r>
      <w:r>
        <w:rPr>
          <w:color w:val="231F20"/>
        </w:rPr>
        <w:t>issue</w:t>
      </w:r>
      <w:r>
        <w:rPr>
          <w:color w:val="231F20"/>
          <w:spacing w:val="13"/>
        </w:rPr>
        <w:t> </w:t>
      </w:r>
      <w:r>
        <w:rPr>
          <w:color w:val="231F20"/>
        </w:rPr>
        <w:t>of</w:t>
      </w:r>
      <w:r>
        <w:rPr>
          <w:color w:val="231F20"/>
          <w:spacing w:val="12"/>
        </w:rPr>
        <w:t> </w:t>
      </w:r>
      <w:r>
        <w:rPr>
          <w:color w:val="231F20"/>
        </w:rPr>
        <w:t>the</w:t>
      </w:r>
      <w:r>
        <w:rPr>
          <w:color w:val="231F20"/>
          <w:spacing w:val="13"/>
        </w:rPr>
        <w:t> </w:t>
      </w:r>
      <w:r>
        <w:rPr>
          <w:color w:val="231F20"/>
        </w:rPr>
        <w:t>“value”</w:t>
      </w:r>
      <w:r>
        <w:rPr>
          <w:color w:val="231F20"/>
          <w:spacing w:val="12"/>
        </w:rPr>
        <w:t> </w:t>
      </w:r>
      <w:r>
        <w:rPr>
          <w:color w:val="231F20"/>
        </w:rPr>
        <w:t>of</w:t>
      </w:r>
      <w:r>
        <w:rPr>
          <w:color w:val="231F20"/>
          <w:spacing w:val="12"/>
        </w:rPr>
        <w:t> </w:t>
      </w:r>
      <w:r>
        <w:rPr>
          <w:color w:val="231F20"/>
          <w:spacing w:val="-2"/>
        </w:rPr>
        <w:t>timing.</w:t>
      </w:r>
    </w:p>
    <w:p>
      <w:pPr>
        <w:pStyle w:val="BodyText"/>
        <w:rPr>
          <w:sz w:val="24"/>
        </w:rPr>
      </w:pPr>
    </w:p>
    <w:p>
      <w:pPr>
        <w:pStyle w:val="BodyText"/>
        <w:spacing w:before="9"/>
        <w:rPr>
          <w:sz w:val="31"/>
        </w:rPr>
      </w:pPr>
    </w:p>
    <w:p>
      <w:pPr>
        <w:pStyle w:val="Heading6"/>
        <w:ind w:left="299"/>
        <w:rPr>
          <w:i/>
        </w:rPr>
      </w:pPr>
      <w:r>
        <w:rPr>
          <w:i/>
          <w:color w:val="231F20"/>
          <w:w w:val="110"/>
        </w:rPr>
        <w:t>ACCUMULATED</w:t>
      </w:r>
      <w:r>
        <w:rPr>
          <w:i/>
          <w:color w:val="231F20"/>
          <w:spacing w:val="34"/>
          <w:w w:val="110"/>
        </w:rPr>
        <w:t>  </w:t>
      </w:r>
      <w:r>
        <w:rPr>
          <w:i/>
          <w:color w:val="231F20"/>
          <w:spacing w:val="-4"/>
          <w:w w:val="110"/>
        </w:rPr>
        <w:t>VALUE</w:t>
      </w:r>
    </w:p>
    <w:p>
      <w:pPr>
        <w:pStyle w:val="BodyText"/>
        <w:spacing w:before="2"/>
        <w:rPr>
          <w:b/>
          <w:i/>
          <w:sz w:val="30"/>
        </w:rPr>
      </w:pPr>
    </w:p>
    <w:p>
      <w:pPr>
        <w:pStyle w:val="BodyText"/>
        <w:spacing w:line="292" w:lineRule="auto"/>
        <w:ind w:left="830" w:right="754"/>
        <w:jc w:val="both"/>
      </w:pPr>
      <w:r>
        <w:rPr>
          <w:color w:val="231F20"/>
        </w:rPr>
        <w:t>When the milling project produces cash, Quaker </w:t>
      </w:r>
      <w:r>
        <w:rPr>
          <w:i/>
          <w:color w:val="231F20"/>
        </w:rPr>
        <w:t>reinvests </w:t>
      </w:r>
      <w:r>
        <w:rPr>
          <w:color w:val="231F20"/>
        </w:rPr>
        <w:t>it </w:t>
      </w:r>
      <w:r>
        <w:rPr>
          <w:color w:val="231F20"/>
        </w:rPr>
        <w:t>rather than</w:t>
      </w:r>
      <w:r>
        <w:rPr>
          <w:color w:val="231F20"/>
          <w:spacing w:val="77"/>
        </w:rPr>
        <w:t> </w:t>
      </w:r>
      <w:r>
        <w:rPr>
          <w:color w:val="231F20"/>
        </w:rPr>
        <w:t>let</w:t>
      </w:r>
      <w:r>
        <w:rPr>
          <w:color w:val="231F20"/>
          <w:spacing w:val="77"/>
        </w:rPr>
        <w:t> </w:t>
      </w:r>
      <w:r>
        <w:rPr>
          <w:color w:val="231F20"/>
        </w:rPr>
        <w:t>it</w:t>
      </w:r>
      <w:r>
        <w:rPr>
          <w:color w:val="231F20"/>
          <w:spacing w:val="77"/>
        </w:rPr>
        <w:t> </w:t>
      </w:r>
      <w:r>
        <w:rPr>
          <w:color w:val="231F20"/>
        </w:rPr>
        <w:t>remain</w:t>
      </w:r>
      <w:r>
        <w:rPr>
          <w:color w:val="231F20"/>
          <w:spacing w:val="78"/>
        </w:rPr>
        <w:t> </w:t>
      </w:r>
      <w:r>
        <w:rPr>
          <w:color w:val="231F20"/>
        </w:rPr>
        <w:t>idle.</w:t>
      </w:r>
      <w:r>
        <w:rPr>
          <w:color w:val="231F20"/>
          <w:spacing w:val="77"/>
        </w:rPr>
        <w:t> </w:t>
      </w:r>
      <w:r>
        <w:rPr>
          <w:color w:val="231F20"/>
        </w:rPr>
        <w:t>Therefore</w:t>
      </w:r>
      <w:r>
        <w:rPr>
          <w:color w:val="231F20"/>
          <w:spacing w:val="77"/>
        </w:rPr>
        <w:t> </w:t>
      </w:r>
      <w:r>
        <w:rPr>
          <w:color w:val="231F20"/>
        </w:rPr>
        <w:t>if</w:t>
      </w:r>
      <w:r>
        <w:rPr>
          <w:color w:val="231F20"/>
          <w:spacing w:val="78"/>
        </w:rPr>
        <w:t> </w:t>
      </w:r>
      <w:r>
        <w:rPr>
          <w:color w:val="231F20"/>
        </w:rPr>
        <w:t>Quaker</w:t>
      </w:r>
      <w:r>
        <w:rPr>
          <w:color w:val="231F20"/>
          <w:spacing w:val="77"/>
        </w:rPr>
        <w:t> </w:t>
      </w:r>
      <w:r>
        <w:rPr>
          <w:color w:val="231F20"/>
        </w:rPr>
        <w:t>receives</w:t>
      </w:r>
      <w:r>
        <w:rPr>
          <w:color w:val="231F20"/>
          <w:spacing w:val="77"/>
        </w:rPr>
        <w:t> </w:t>
      </w:r>
      <w:r>
        <w:rPr>
          <w:color w:val="231F20"/>
          <w:spacing w:val="-2"/>
        </w:rPr>
        <w:t>$51,000,</w:t>
      </w:r>
    </w:p>
    <w:p>
      <w:pPr>
        <w:pStyle w:val="BodyText"/>
        <w:spacing w:line="292" w:lineRule="auto"/>
        <w:ind w:left="830" w:right="756"/>
        <w:jc w:val="both"/>
      </w:pPr>
      <w:r>
        <w:rPr>
          <w:color w:val="231F20"/>
        </w:rPr>
        <w:t>$51,000, and $61,000 as described earlier, the company earns in- come with the cash for two more years in Scenario A than in </w:t>
      </w:r>
      <w:r>
        <w:rPr>
          <w:color w:val="231F20"/>
        </w:rPr>
        <w:t>Sce- nario B.</w:t>
      </w:r>
    </w:p>
    <w:p>
      <w:pPr>
        <w:pStyle w:val="BodyText"/>
        <w:spacing w:line="292" w:lineRule="auto"/>
        <w:ind w:left="830" w:right="667" w:firstLine="340"/>
      </w:pPr>
      <w:r>
        <w:rPr>
          <w:color w:val="231F20"/>
        </w:rPr>
        <w:t>If</w:t>
      </w:r>
      <w:r>
        <w:rPr>
          <w:color w:val="231F20"/>
          <w:spacing w:val="24"/>
        </w:rPr>
        <w:t> </w:t>
      </w:r>
      <w:r>
        <w:rPr>
          <w:color w:val="231F20"/>
        </w:rPr>
        <w:t>the</w:t>
      </w:r>
      <w:r>
        <w:rPr>
          <w:color w:val="231F20"/>
          <w:spacing w:val="24"/>
        </w:rPr>
        <w:t> </w:t>
      </w:r>
      <w:r>
        <w:rPr>
          <w:color w:val="231F20"/>
        </w:rPr>
        <w:t>company</w:t>
      </w:r>
      <w:r>
        <w:rPr>
          <w:color w:val="231F20"/>
          <w:spacing w:val="24"/>
        </w:rPr>
        <w:t> </w:t>
      </w:r>
      <w:r>
        <w:rPr>
          <w:color w:val="231F20"/>
        </w:rPr>
        <w:t>has</w:t>
      </w:r>
      <w:r>
        <w:rPr>
          <w:color w:val="231F20"/>
          <w:spacing w:val="24"/>
        </w:rPr>
        <w:t> </w:t>
      </w:r>
      <w:r>
        <w:rPr>
          <w:color w:val="231F20"/>
        </w:rPr>
        <w:t>investment</w:t>
      </w:r>
      <w:r>
        <w:rPr>
          <w:color w:val="231F20"/>
          <w:spacing w:val="24"/>
        </w:rPr>
        <w:t> </w:t>
      </w:r>
      <w:r>
        <w:rPr>
          <w:color w:val="231F20"/>
        </w:rPr>
        <w:t>opportunities</w:t>
      </w:r>
      <w:r>
        <w:rPr>
          <w:color w:val="231F20"/>
          <w:spacing w:val="24"/>
        </w:rPr>
        <w:t> </w:t>
      </w:r>
      <w:r>
        <w:rPr>
          <w:color w:val="231F20"/>
        </w:rPr>
        <w:t>that</w:t>
      </w:r>
      <w:r>
        <w:rPr>
          <w:color w:val="231F20"/>
          <w:spacing w:val="24"/>
        </w:rPr>
        <w:t> </w:t>
      </w:r>
      <w:r>
        <w:rPr>
          <w:color w:val="231F20"/>
        </w:rPr>
        <w:t>yield</w:t>
      </w:r>
      <w:r>
        <w:rPr>
          <w:color w:val="231F20"/>
          <w:spacing w:val="24"/>
        </w:rPr>
        <w:t> </w:t>
      </w:r>
      <w:r>
        <w:rPr>
          <w:color w:val="231F20"/>
        </w:rPr>
        <w:t>10</w:t>
      </w:r>
      <w:r>
        <w:rPr>
          <w:color w:val="231F20"/>
          <w:spacing w:val="24"/>
        </w:rPr>
        <w:t> </w:t>
      </w:r>
      <w:r>
        <w:rPr>
          <w:color w:val="231F20"/>
        </w:rPr>
        <w:t>per- cent, then Scenario A will produce $34,230 more than Scenario B.</w:t>
      </w:r>
    </w:p>
    <w:p>
      <w:pPr>
        <w:spacing w:line="245" w:lineRule="exact" w:before="0"/>
        <w:ind w:left="1169" w:right="0" w:firstLine="0"/>
        <w:jc w:val="left"/>
        <w:rPr>
          <w:sz w:val="21"/>
        </w:rPr>
      </w:pPr>
      <w:r>
        <w:rPr>
          <w:color w:val="231F20"/>
          <w:sz w:val="21"/>
        </w:rPr>
        <w:t>The</w:t>
      </w:r>
      <w:r>
        <w:rPr>
          <w:color w:val="231F20"/>
          <w:spacing w:val="7"/>
          <w:sz w:val="21"/>
        </w:rPr>
        <w:t> </w:t>
      </w:r>
      <w:r>
        <w:rPr>
          <w:color w:val="231F20"/>
          <w:sz w:val="21"/>
        </w:rPr>
        <w:t>flows</w:t>
      </w:r>
      <w:r>
        <w:rPr>
          <w:color w:val="231F20"/>
          <w:spacing w:val="7"/>
          <w:sz w:val="21"/>
        </w:rPr>
        <w:t> </w:t>
      </w:r>
      <w:r>
        <w:rPr>
          <w:color w:val="231F20"/>
          <w:sz w:val="21"/>
        </w:rPr>
        <w:t>have</w:t>
      </w:r>
      <w:r>
        <w:rPr>
          <w:color w:val="231F20"/>
          <w:spacing w:val="7"/>
          <w:sz w:val="21"/>
        </w:rPr>
        <w:t> </w:t>
      </w:r>
      <w:r>
        <w:rPr>
          <w:color w:val="231F20"/>
          <w:sz w:val="21"/>
        </w:rPr>
        <w:t>an</w:t>
      </w:r>
      <w:r>
        <w:rPr>
          <w:color w:val="231F20"/>
          <w:spacing w:val="6"/>
          <w:sz w:val="21"/>
        </w:rPr>
        <w:t> </w:t>
      </w:r>
      <w:r>
        <w:rPr>
          <w:i/>
          <w:color w:val="231F20"/>
          <w:sz w:val="21"/>
        </w:rPr>
        <w:t>accumulated</w:t>
      </w:r>
      <w:r>
        <w:rPr>
          <w:i/>
          <w:color w:val="231F20"/>
          <w:spacing w:val="7"/>
          <w:sz w:val="21"/>
        </w:rPr>
        <w:t> </w:t>
      </w:r>
      <w:r>
        <w:rPr>
          <w:i/>
          <w:color w:val="231F20"/>
          <w:sz w:val="21"/>
        </w:rPr>
        <w:t>value</w:t>
      </w:r>
      <w:r>
        <w:rPr>
          <w:i/>
          <w:color w:val="231F20"/>
          <w:spacing w:val="6"/>
          <w:sz w:val="21"/>
        </w:rPr>
        <w:t> </w:t>
      </w:r>
      <w:r>
        <w:rPr>
          <w:color w:val="231F20"/>
          <w:sz w:val="21"/>
        </w:rPr>
        <w:t>at</w:t>
      </w:r>
      <w:r>
        <w:rPr>
          <w:color w:val="231F20"/>
          <w:spacing w:val="7"/>
          <w:sz w:val="21"/>
        </w:rPr>
        <w:t> </w:t>
      </w:r>
      <w:r>
        <w:rPr>
          <w:color w:val="231F20"/>
          <w:sz w:val="21"/>
        </w:rPr>
        <w:t>the</w:t>
      </w:r>
      <w:r>
        <w:rPr>
          <w:color w:val="231F20"/>
          <w:spacing w:val="8"/>
          <w:sz w:val="21"/>
        </w:rPr>
        <w:t> </w:t>
      </w:r>
      <w:r>
        <w:rPr>
          <w:color w:val="231F20"/>
          <w:sz w:val="21"/>
        </w:rPr>
        <w:t>end</w:t>
      </w:r>
      <w:r>
        <w:rPr>
          <w:color w:val="231F20"/>
          <w:spacing w:val="7"/>
          <w:sz w:val="21"/>
        </w:rPr>
        <w:t> </w:t>
      </w:r>
      <w:r>
        <w:rPr>
          <w:color w:val="231F20"/>
          <w:sz w:val="21"/>
        </w:rPr>
        <w:t>of</w:t>
      </w:r>
      <w:r>
        <w:rPr>
          <w:color w:val="231F20"/>
          <w:spacing w:val="7"/>
          <w:sz w:val="21"/>
        </w:rPr>
        <w:t> </w:t>
      </w:r>
      <w:r>
        <w:rPr>
          <w:color w:val="231F20"/>
          <w:sz w:val="21"/>
        </w:rPr>
        <w:t>three</w:t>
      </w:r>
      <w:r>
        <w:rPr>
          <w:color w:val="231F20"/>
          <w:spacing w:val="7"/>
          <w:sz w:val="21"/>
        </w:rPr>
        <w:t> </w:t>
      </w:r>
      <w:r>
        <w:rPr>
          <w:color w:val="231F20"/>
          <w:sz w:val="21"/>
        </w:rPr>
        <w:t>years</w:t>
      </w:r>
      <w:r>
        <w:rPr>
          <w:color w:val="231F20"/>
          <w:spacing w:val="7"/>
          <w:sz w:val="21"/>
        </w:rPr>
        <w:t> </w:t>
      </w:r>
      <w:r>
        <w:rPr>
          <w:color w:val="231F20"/>
          <w:spacing w:val="-5"/>
          <w:sz w:val="21"/>
        </w:rPr>
        <w:t>of</w:t>
      </w:r>
    </w:p>
    <w:p>
      <w:pPr>
        <w:pStyle w:val="BodyText"/>
        <w:spacing w:line="292" w:lineRule="auto" w:before="52"/>
        <w:ind w:left="830" w:right="667"/>
      </w:pPr>
      <w:r>
        <w:rPr>
          <w:color w:val="231F20"/>
        </w:rPr>
        <w:t>$163,000 plus earned interest of $34,230 that equals $197,230. </w:t>
      </w:r>
      <w:r>
        <w:rPr>
          <w:color w:val="231F20"/>
        </w:rPr>
        <w:t>Sce- nario A is clearly the better scenario.</w:t>
      </w:r>
    </w:p>
    <w:p>
      <w:pPr>
        <w:pStyle w:val="BodyText"/>
        <w:spacing w:line="292" w:lineRule="auto"/>
        <w:ind w:left="829" w:right="667" w:firstLine="340"/>
      </w:pPr>
      <w:r>
        <w:rPr>
          <w:color w:val="231F20"/>
        </w:rPr>
        <w:t>A simpler calculation is to use the formula for the </w:t>
      </w:r>
      <w:r>
        <w:rPr>
          <w:color w:val="231F20"/>
        </w:rPr>
        <w:t>accumulated</w:t>
      </w:r>
      <w:r>
        <w:rPr>
          <w:color w:val="231F20"/>
          <w:spacing w:val="80"/>
        </w:rPr>
        <w:t> </w:t>
      </w:r>
      <w:r>
        <w:rPr>
          <w:color w:val="231F20"/>
        </w:rPr>
        <w:t>value or </w:t>
      </w:r>
      <w:r>
        <w:rPr>
          <w:i/>
          <w:color w:val="231F20"/>
        </w:rPr>
        <w:t>future value </w:t>
      </w:r>
      <w:r>
        <w:rPr>
          <w:color w:val="231F20"/>
        </w:rPr>
        <w:t>of a dollar:</w:t>
      </w:r>
    </w:p>
    <w:p>
      <w:pPr>
        <w:pStyle w:val="BodyText"/>
        <w:spacing w:before="6"/>
        <w:rPr>
          <w:sz w:val="24"/>
        </w:rPr>
      </w:pPr>
    </w:p>
    <w:p>
      <w:pPr>
        <w:pStyle w:val="BodyText"/>
        <w:ind w:left="1490"/>
        <w:rPr>
          <w:rFonts w:ascii="Symbol" w:hAnsi="Symbol"/>
        </w:rPr>
      </w:pPr>
      <w:r>
        <w:rPr>
          <w:color w:val="231F20"/>
          <w:w w:val="105"/>
        </w:rPr>
        <w:t>Future</w:t>
      </w:r>
      <w:r>
        <w:rPr>
          <w:color w:val="231F20"/>
          <w:spacing w:val="-2"/>
          <w:w w:val="105"/>
        </w:rPr>
        <w:t> </w:t>
      </w:r>
      <w:r>
        <w:rPr>
          <w:color w:val="231F20"/>
          <w:w w:val="105"/>
        </w:rPr>
        <w:t>Value</w:t>
      </w:r>
      <w:r>
        <w:rPr>
          <w:color w:val="231F20"/>
          <w:spacing w:val="-1"/>
          <w:w w:val="105"/>
        </w:rPr>
        <w:t> </w:t>
      </w:r>
      <w:r>
        <w:rPr>
          <w:color w:val="231F20"/>
          <w:w w:val="105"/>
        </w:rPr>
        <w:t>of</w:t>
      </w:r>
      <w:r>
        <w:rPr>
          <w:color w:val="231F20"/>
          <w:spacing w:val="-2"/>
          <w:w w:val="105"/>
        </w:rPr>
        <w:t> </w:t>
      </w:r>
      <w:r>
        <w:rPr>
          <w:color w:val="231F20"/>
          <w:w w:val="105"/>
        </w:rPr>
        <w:t>a</w:t>
      </w:r>
      <w:r>
        <w:rPr>
          <w:color w:val="231F20"/>
          <w:spacing w:val="-1"/>
          <w:w w:val="105"/>
        </w:rPr>
        <w:t> </w:t>
      </w:r>
      <w:r>
        <w:rPr>
          <w:color w:val="231F20"/>
          <w:w w:val="105"/>
        </w:rPr>
        <w:t>$</w:t>
      </w:r>
      <w:r>
        <w:rPr>
          <w:color w:val="231F20"/>
          <w:spacing w:val="-1"/>
          <w:w w:val="105"/>
        </w:rPr>
        <w:t> </w:t>
      </w:r>
      <w:r>
        <w:rPr>
          <w:color w:val="231F20"/>
          <w:w w:val="105"/>
        </w:rPr>
        <w:t>in</w:t>
      </w:r>
      <w:r>
        <w:rPr>
          <w:color w:val="231F20"/>
          <w:spacing w:val="-2"/>
          <w:w w:val="105"/>
        </w:rPr>
        <w:t> </w:t>
      </w:r>
      <w:r>
        <w:rPr>
          <w:i/>
          <w:color w:val="231F20"/>
          <w:w w:val="105"/>
        </w:rPr>
        <w:t>x</w:t>
      </w:r>
      <w:r>
        <w:rPr>
          <w:i/>
          <w:color w:val="231F20"/>
          <w:spacing w:val="-1"/>
          <w:w w:val="105"/>
        </w:rPr>
        <w:t> </w:t>
      </w:r>
      <w:r>
        <w:rPr>
          <w:color w:val="231F20"/>
          <w:w w:val="105"/>
        </w:rPr>
        <w:t>periods</w:t>
      </w:r>
      <w:r>
        <w:rPr>
          <w:color w:val="231F20"/>
          <w:spacing w:val="-1"/>
          <w:w w:val="105"/>
        </w:rPr>
        <w:t> </w:t>
      </w:r>
      <w:r>
        <w:rPr>
          <w:rFonts w:ascii="Symbol" w:hAnsi="Symbol"/>
          <w:color w:val="231F20"/>
          <w:w w:val="105"/>
        </w:rPr>
        <w:t></w:t>
      </w:r>
      <w:r>
        <w:rPr>
          <w:rFonts w:ascii="Times New Roman" w:hAnsi="Times New Roman"/>
          <w:color w:val="231F20"/>
          <w:spacing w:val="-8"/>
          <w:w w:val="105"/>
        </w:rPr>
        <w:t> </w:t>
      </w:r>
      <w:r>
        <w:rPr>
          <w:color w:val="231F20"/>
          <w:w w:val="105"/>
        </w:rPr>
        <w:t>($</w:t>
      </w:r>
      <w:r>
        <w:rPr>
          <w:color w:val="231F20"/>
          <w:spacing w:val="-2"/>
          <w:w w:val="105"/>
        </w:rPr>
        <w:t> </w:t>
      </w:r>
      <w:r>
        <w:rPr>
          <w:color w:val="231F20"/>
          <w:w w:val="105"/>
        </w:rPr>
        <w:t>today)</w:t>
      </w:r>
      <w:r>
        <w:rPr>
          <w:color w:val="231F20"/>
          <w:spacing w:val="-1"/>
          <w:w w:val="105"/>
        </w:rPr>
        <w:t> </w:t>
      </w:r>
      <w:r>
        <w:rPr>
          <w:rFonts w:ascii="Symbol" w:hAnsi="Symbol"/>
          <w:color w:val="231F20"/>
          <w:spacing w:val="-10"/>
          <w:w w:val="105"/>
        </w:rPr>
        <w:t></w:t>
      </w:r>
    </w:p>
    <w:p>
      <w:pPr>
        <w:spacing w:before="42"/>
        <w:ind w:left="1490" w:right="0" w:firstLine="0"/>
        <w:jc w:val="left"/>
        <w:rPr>
          <w:sz w:val="10"/>
        </w:rPr>
      </w:pPr>
      <w:r>
        <w:rPr>
          <w:color w:val="231F20"/>
          <w:sz w:val="21"/>
        </w:rPr>
        <w:t>(1</w:t>
      </w:r>
      <w:r>
        <w:rPr>
          <w:color w:val="231F20"/>
          <w:spacing w:val="19"/>
          <w:sz w:val="21"/>
        </w:rPr>
        <w:t> </w:t>
      </w:r>
      <w:r>
        <w:rPr>
          <w:rFonts w:ascii="Symbol" w:hAnsi="Symbol"/>
          <w:color w:val="231F20"/>
          <w:sz w:val="21"/>
        </w:rPr>
        <w:t></w:t>
      </w:r>
      <w:r>
        <w:rPr>
          <w:rFonts w:ascii="Times New Roman" w:hAnsi="Times New Roman"/>
          <w:color w:val="231F20"/>
          <w:spacing w:val="13"/>
          <w:sz w:val="21"/>
        </w:rPr>
        <w:t> </w:t>
      </w:r>
      <w:r>
        <w:rPr>
          <w:color w:val="231F20"/>
          <w:sz w:val="21"/>
        </w:rPr>
        <w:t>Reinvestment</w:t>
      </w:r>
      <w:r>
        <w:rPr>
          <w:color w:val="231F20"/>
          <w:spacing w:val="20"/>
          <w:sz w:val="21"/>
        </w:rPr>
        <w:t> </w:t>
      </w:r>
      <w:r>
        <w:rPr>
          <w:color w:val="231F20"/>
          <w:sz w:val="21"/>
        </w:rPr>
        <w:t>Rate)</w:t>
      </w:r>
      <w:r>
        <w:rPr>
          <w:color w:val="231F20"/>
          <w:spacing w:val="-24"/>
          <w:sz w:val="21"/>
        </w:rPr>
        <w:t> </w:t>
      </w:r>
      <w:r>
        <w:rPr>
          <w:color w:val="231F20"/>
          <w:position w:val="8"/>
          <w:sz w:val="10"/>
        </w:rPr>
        <w:t>Number</w:t>
      </w:r>
      <w:r>
        <w:rPr>
          <w:color w:val="231F20"/>
          <w:spacing w:val="11"/>
          <w:position w:val="8"/>
          <w:sz w:val="10"/>
        </w:rPr>
        <w:t> </w:t>
      </w:r>
      <w:r>
        <w:rPr>
          <w:color w:val="231F20"/>
          <w:position w:val="8"/>
          <w:sz w:val="10"/>
        </w:rPr>
        <w:t>of</w:t>
      </w:r>
      <w:r>
        <w:rPr>
          <w:color w:val="231F20"/>
          <w:spacing w:val="11"/>
          <w:position w:val="8"/>
          <w:sz w:val="10"/>
        </w:rPr>
        <w:t> </w:t>
      </w:r>
      <w:r>
        <w:rPr>
          <w:color w:val="231F20"/>
          <w:spacing w:val="-2"/>
          <w:position w:val="8"/>
          <w:sz w:val="10"/>
        </w:rPr>
        <w:t>Periods</w:t>
      </w:r>
    </w:p>
    <w:p>
      <w:pPr>
        <w:pStyle w:val="BodyText"/>
        <w:spacing w:before="192"/>
        <w:ind w:left="1490"/>
      </w:pPr>
      <w:r>
        <w:rPr>
          <w:color w:val="231F20"/>
          <w:w w:val="105"/>
        </w:rPr>
        <w:t>At</w:t>
      </w:r>
      <w:r>
        <w:rPr>
          <w:color w:val="231F20"/>
          <w:spacing w:val="3"/>
          <w:w w:val="105"/>
        </w:rPr>
        <w:t> </w:t>
      </w:r>
      <w:r>
        <w:rPr>
          <w:color w:val="231F20"/>
          <w:w w:val="105"/>
        </w:rPr>
        <w:t>10%</w:t>
      </w:r>
      <w:r>
        <w:rPr>
          <w:color w:val="231F20"/>
          <w:spacing w:val="3"/>
          <w:w w:val="105"/>
        </w:rPr>
        <w:t> </w:t>
      </w:r>
      <w:r>
        <w:rPr>
          <w:color w:val="231F20"/>
          <w:w w:val="105"/>
        </w:rPr>
        <w:t>the</w:t>
      </w:r>
      <w:r>
        <w:rPr>
          <w:color w:val="231F20"/>
          <w:spacing w:val="3"/>
          <w:w w:val="105"/>
        </w:rPr>
        <w:t> </w:t>
      </w:r>
      <w:r>
        <w:rPr>
          <w:color w:val="231F20"/>
          <w:w w:val="105"/>
        </w:rPr>
        <w:t>factor</w:t>
      </w:r>
      <w:r>
        <w:rPr>
          <w:color w:val="231F20"/>
          <w:spacing w:val="3"/>
          <w:w w:val="105"/>
        </w:rPr>
        <w:t> </w:t>
      </w:r>
      <w:r>
        <w:rPr>
          <w:color w:val="231F20"/>
          <w:w w:val="105"/>
        </w:rPr>
        <w:t>for</w:t>
      </w:r>
      <w:r>
        <w:rPr>
          <w:color w:val="231F20"/>
          <w:spacing w:val="4"/>
          <w:w w:val="105"/>
        </w:rPr>
        <w:t> </w:t>
      </w:r>
      <w:r>
        <w:rPr>
          <w:color w:val="231F20"/>
          <w:w w:val="105"/>
        </w:rPr>
        <w:t>1</w:t>
      </w:r>
      <w:r>
        <w:rPr>
          <w:color w:val="231F20"/>
          <w:spacing w:val="3"/>
          <w:w w:val="105"/>
        </w:rPr>
        <w:t> </w:t>
      </w:r>
      <w:r>
        <w:rPr>
          <w:color w:val="231F20"/>
          <w:w w:val="105"/>
        </w:rPr>
        <w:t>year</w:t>
      </w:r>
      <w:r>
        <w:rPr>
          <w:color w:val="231F20"/>
          <w:spacing w:val="3"/>
          <w:w w:val="105"/>
        </w:rPr>
        <w:t> </w:t>
      </w:r>
      <w:r>
        <w:rPr>
          <w:rFonts w:ascii="Symbol" w:hAnsi="Symbol"/>
          <w:color w:val="231F20"/>
          <w:w w:val="105"/>
        </w:rPr>
        <w:t></w:t>
      </w:r>
      <w:r>
        <w:rPr>
          <w:rFonts w:ascii="Times New Roman" w:hAnsi="Times New Roman"/>
          <w:color w:val="231F20"/>
          <w:spacing w:val="-3"/>
          <w:w w:val="105"/>
        </w:rPr>
        <w:t> </w:t>
      </w:r>
      <w:r>
        <w:rPr>
          <w:color w:val="231F20"/>
          <w:w w:val="105"/>
        </w:rPr>
        <w:t>$1</w:t>
      </w:r>
      <w:r>
        <w:rPr>
          <w:color w:val="231F20"/>
          <w:spacing w:val="3"/>
          <w:w w:val="105"/>
        </w:rPr>
        <w:t> </w:t>
      </w:r>
      <w:r>
        <w:rPr>
          <w:rFonts w:ascii="Symbol" w:hAnsi="Symbol"/>
          <w:color w:val="231F20"/>
          <w:w w:val="105"/>
        </w:rPr>
        <w:t></w:t>
      </w:r>
      <w:r>
        <w:rPr>
          <w:rFonts w:ascii="Times New Roman" w:hAnsi="Times New Roman"/>
          <w:color w:val="231F20"/>
          <w:spacing w:val="-3"/>
          <w:w w:val="105"/>
        </w:rPr>
        <w:t> </w:t>
      </w:r>
      <w:r>
        <w:rPr>
          <w:color w:val="231F20"/>
          <w:w w:val="105"/>
        </w:rPr>
        <w:t>(1</w:t>
      </w:r>
      <w:r>
        <w:rPr>
          <w:color w:val="231F20"/>
          <w:spacing w:val="3"/>
          <w:w w:val="105"/>
        </w:rPr>
        <w:t> </w:t>
      </w:r>
      <w:r>
        <w:rPr>
          <w:rFonts w:ascii="Symbol" w:hAnsi="Symbol"/>
          <w:color w:val="231F20"/>
          <w:w w:val="105"/>
        </w:rPr>
        <w:t></w:t>
      </w:r>
      <w:r>
        <w:rPr>
          <w:rFonts w:ascii="Times New Roman" w:hAnsi="Times New Roman"/>
          <w:color w:val="231F20"/>
          <w:spacing w:val="-3"/>
          <w:w w:val="105"/>
        </w:rPr>
        <w:t> </w:t>
      </w:r>
      <w:r>
        <w:rPr>
          <w:color w:val="231F20"/>
          <w:w w:val="105"/>
        </w:rPr>
        <w:t>.10)</w:t>
      </w:r>
      <w:r>
        <w:rPr>
          <w:color w:val="231F20"/>
          <w:w w:val="105"/>
          <w:position w:val="7"/>
          <w:sz w:val="10"/>
        </w:rPr>
        <w:t>1</w:t>
      </w:r>
      <w:r>
        <w:rPr>
          <w:color w:val="231F20"/>
          <w:spacing w:val="30"/>
          <w:w w:val="105"/>
          <w:position w:val="7"/>
          <w:sz w:val="10"/>
        </w:rPr>
        <w:t> </w:t>
      </w:r>
      <w:r>
        <w:rPr>
          <w:rFonts w:ascii="Symbol" w:hAnsi="Symbol"/>
          <w:color w:val="231F20"/>
          <w:w w:val="105"/>
        </w:rPr>
        <w:t></w:t>
      </w:r>
      <w:r>
        <w:rPr>
          <w:rFonts w:ascii="Times New Roman" w:hAnsi="Times New Roman"/>
          <w:color w:val="231F20"/>
          <w:spacing w:val="-3"/>
          <w:w w:val="105"/>
        </w:rPr>
        <w:t> </w:t>
      </w:r>
      <w:r>
        <w:rPr>
          <w:color w:val="231F20"/>
          <w:spacing w:val="-2"/>
          <w:w w:val="105"/>
        </w:rPr>
        <w:t>1.10.</w:t>
      </w:r>
    </w:p>
    <w:p>
      <w:pPr>
        <w:pStyle w:val="BodyText"/>
        <w:spacing w:before="2"/>
        <w:rPr>
          <w:sz w:val="30"/>
        </w:rPr>
      </w:pPr>
    </w:p>
    <w:p>
      <w:pPr>
        <w:pStyle w:val="BodyText"/>
        <w:spacing w:line="292" w:lineRule="auto"/>
        <w:ind w:left="830" w:right="753"/>
        <w:jc w:val="both"/>
      </w:pPr>
      <w:r>
        <w:rPr>
          <w:color w:val="231F20"/>
        </w:rPr>
        <w:t>You don’t have to memorize the factors or calculate them each</w:t>
      </w:r>
      <w:r>
        <w:rPr>
          <w:color w:val="231F20"/>
          <w:spacing w:val="40"/>
        </w:rPr>
        <w:t> </w:t>
      </w:r>
      <w:r>
        <w:rPr>
          <w:color w:val="231F20"/>
        </w:rPr>
        <w:t>time—</w:t>
      </w:r>
      <w:r>
        <w:rPr>
          <w:color w:val="231F20"/>
          <w:spacing w:val="-12"/>
        </w:rPr>
        <w:t> </w:t>
      </w:r>
      <w:r>
        <w:rPr>
          <w:color w:val="231F20"/>
        </w:rPr>
        <w:t>you</w:t>
      </w:r>
      <w:r>
        <w:rPr>
          <w:color w:val="231F20"/>
          <w:spacing w:val="-2"/>
        </w:rPr>
        <w:t> </w:t>
      </w:r>
      <w:r>
        <w:rPr>
          <w:color w:val="231F20"/>
        </w:rPr>
        <w:t>can use the tables provided in the appendix, or any basic business calculator. (The best calculator in my opinion is the</w:t>
      </w:r>
      <w:r>
        <w:rPr>
          <w:color w:val="231F20"/>
          <w:spacing w:val="40"/>
        </w:rPr>
        <w:t> </w:t>
      </w:r>
      <w:r>
        <w:rPr>
          <w:color w:val="231F20"/>
        </w:rPr>
        <w:t>Hewlett-Packard 17B. Owning an HP, an MBA icon, also sends a strong signal to others that you are serious about numbers.)</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19" w:right="667" w:firstLine="340"/>
      </w:pPr>
      <w:r>
        <w:rPr>
          <w:color w:val="231F20"/>
        </w:rPr>
        <w:t>Per the tables at Appendix A, the </w:t>
      </w:r>
      <w:r>
        <w:rPr>
          <w:i/>
          <w:color w:val="231F20"/>
        </w:rPr>
        <w:t>accumulated value </w:t>
      </w:r>
      <w:r>
        <w:rPr>
          <w:color w:val="231F20"/>
        </w:rPr>
        <w:t>factors for</w:t>
      </w:r>
      <w:r>
        <w:rPr>
          <w:color w:val="231F20"/>
          <w:spacing w:val="80"/>
        </w:rPr>
        <w:t> </w:t>
      </w:r>
      <w:r>
        <w:rPr>
          <w:color w:val="231F20"/>
        </w:rPr>
        <w:t>varying rates and investment periods at 10 percent are:</w:t>
      </w:r>
    </w:p>
    <w:p>
      <w:pPr>
        <w:pStyle w:val="BodyText"/>
        <w:rPr>
          <w:sz w:val="24"/>
        </w:rPr>
      </w:pPr>
    </w:p>
    <w:p>
      <w:pPr>
        <w:pStyle w:val="BodyText"/>
        <w:spacing w:before="10"/>
        <w:rPr>
          <w:sz w:val="27"/>
        </w:rPr>
      </w:pPr>
    </w:p>
    <w:p>
      <w:pPr>
        <w:spacing w:before="0"/>
        <w:ind w:left="475" w:right="219" w:firstLine="0"/>
        <w:jc w:val="center"/>
        <w:rPr>
          <w:b/>
          <w:sz w:val="20"/>
        </w:rPr>
      </w:pPr>
      <w:r>
        <w:rPr>
          <w:b/>
          <w:color w:val="231F20"/>
          <w:w w:val="115"/>
          <w:sz w:val="20"/>
        </w:rPr>
        <w:t>ACCUMULATION</w:t>
      </w:r>
      <w:r>
        <w:rPr>
          <w:b/>
          <w:color w:val="231F20"/>
          <w:spacing w:val="59"/>
          <w:w w:val="115"/>
          <w:sz w:val="20"/>
        </w:rPr>
        <w:t> </w:t>
      </w:r>
      <w:r>
        <w:rPr>
          <w:b/>
          <w:color w:val="231F20"/>
          <w:spacing w:val="-2"/>
          <w:w w:val="115"/>
          <w:sz w:val="20"/>
        </w:rPr>
        <w:t>FACTORS</w:t>
      </w:r>
    </w:p>
    <w:p>
      <w:pPr>
        <w:pStyle w:val="BodyText"/>
        <w:spacing w:before="5"/>
        <w:rPr>
          <w:b/>
          <w:sz w:val="6"/>
        </w:rPr>
      </w:pPr>
    </w:p>
    <w:tbl>
      <w:tblPr>
        <w:tblW w:w="0" w:type="auto"/>
        <w:jc w:val="left"/>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2"/>
        <w:gridCol w:w="1503"/>
        <w:gridCol w:w="2286"/>
      </w:tblGrid>
      <w:tr>
        <w:trPr>
          <w:trHeight w:val="473" w:hRule="atLeast"/>
        </w:trPr>
        <w:tc>
          <w:tcPr>
            <w:tcW w:w="1742" w:type="dxa"/>
            <w:tcBorders>
              <w:top w:val="single" w:sz="8" w:space="0" w:color="231F20"/>
            </w:tcBorders>
          </w:tcPr>
          <w:p>
            <w:pPr>
              <w:pStyle w:val="TableParagraph"/>
              <w:spacing w:before="200"/>
              <w:jc w:val="left"/>
              <w:rPr>
                <w:b/>
                <w:sz w:val="21"/>
              </w:rPr>
            </w:pPr>
            <w:r>
              <w:rPr>
                <w:b/>
                <w:color w:val="231F20"/>
                <w:sz w:val="21"/>
              </w:rPr>
              <w:t>$1</w:t>
            </w:r>
            <w:r>
              <w:rPr>
                <w:b/>
                <w:color w:val="231F20"/>
                <w:spacing w:val="9"/>
                <w:sz w:val="21"/>
              </w:rPr>
              <w:t> </w:t>
            </w:r>
            <w:r>
              <w:rPr>
                <w:b/>
                <w:color w:val="231F20"/>
                <w:spacing w:val="-2"/>
                <w:sz w:val="21"/>
              </w:rPr>
              <w:t>today</w:t>
            </w:r>
          </w:p>
        </w:tc>
        <w:tc>
          <w:tcPr>
            <w:tcW w:w="1503" w:type="dxa"/>
            <w:tcBorders>
              <w:top w:val="single" w:sz="8" w:space="0" w:color="231F20"/>
            </w:tcBorders>
          </w:tcPr>
          <w:p>
            <w:pPr>
              <w:pStyle w:val="TableParagraph"/>
              <w:spacing w:before="1"/>
              <w:jc w:val="left"/>
              <w:rPr>
                <w:b/>
                <w:sz w:val="16"/>
              </w:rPr>
            </w:pPr>
          </w:p>
          <w:p>
            <w:pPr>
              <w:pStyle w:val="TableParagraph"/>
              <w:spacing w:before="0"/>
              <w:ind w:left="13"/>
              <w:rPr>
                <w:rFonts w:ascii="Symbol" w:hAnsi="Symbol"/>
                <w:sz w:val="21"/>
              </w:rPr>
            </w:pPr>
            <w:r>
              <w:rPr>
                <w:rFonts w:ascii="Symbol" w:hAnsi="Symbol"/>
                <w:color w:val="231F20"/>
                <w:w w:val="101"/>
                <w:sz w:val="21"/>
              </w:rPr>
              <w:t></w:t>
            </w:r>
          </w:p>
        </w:tc>
        <w:tc>
          <w:tcPr>
            <w:tcW w:w="2286" w:type="dxa"/>
            <w:tcBorders>
              <w:top w:val="single" w:sz="8" w:space="0" w:color="231F20"/>
            </w:tcBorders>
          </w:tcPr>
          <w:p>
            <w:pPr>
              <w:pStyle w:val="TableParagraph"/>
              <w:spacing w:before="200"/>
              <w:ind w:left="685"/>
              <w:jc w:val="left"/>
              <w:rPr>
                <w:b/>
                <w:sz w:val="21"/>
              </w:rPr>
            </w:pPr>
            <w:r>
              <w:rPr>
                <w:b/>
                <w:color w:val="231F20"/>
                <w:sz w:val="21"/>
              </w:rPr>
              <w:t>$1</w:t>
            </w:r>
            <w:r>
              <w:rPr>
                <w:b/>
                <w:color w:val="231F20"/>
                <w:spacing w:val="9"/>
                <w:sz w:val="21"/>
              </w:rPr>
              <w:t> </w:t>
            </w:r>
            <w:r>
              <w:rPr>
                <w:b/>
                <w:color w:val="231F20"/>
                <w:spacing w:val="-2"/>
                <w:sz w:val="21"/>
              </w:rPr>
              <w:t>today</w:t>
            </w:r>
          </w:p>
        </w:tc>
      </w:tr>
      <w:tr>
        <w:trPr>
          <w:trHeight w:val="300" w:hRule="atLeast"/>
        </w:trPr>
        <w:tc>
          <w:tcPr>
            <w:tcW w:w="1742" w:type="dxa"/>
          </w:tcPr>
          <w:p>
            <w:pPr>
              <w:pStyle w:val="TableParagraph"/>
              <w:spacing w:before="27"/>
              <w:jc w:val="left"/>
              <w:rPr>
                <w:b/>
                <w:sz w:val="21"/>
              </w:rPr>
            </w:pPr>
            <w:r>
              <w:rPr>
                <w:b/>
                <w:color w:val="231F20"/>
                <w:sz w:val="21"/>
              </w:rPr>
              <w:t>$1</w:t>
            </w:r>
            <w:r>
              <w:rPr>
                <w:b/>
                <w:color w:val="231F20"/>
                <w:spacing w:val="9"/>
                <w:sz w:val="21"/>
              </w:rPr>
              <w:t> </w:t>
            </w:r>
            <w:r>
              <w:rPr>
                <w:b/>
                <w:color w:val="231F20"/>
                <w:spacing w:val="-2"/>
                <w:sz w:val="21"/>
              </w:rPr>
              <w:t>invested</w:t>
            </w:r>
          </w:p>
        </w:tc>
        <w:tc>
          <w:tcPr>
            <w:tcW w:w="1503" w:type="dxa"/>
          </w:tcPr>
          <w:p>
            <w:pPr>
              <w:pStyle w:val="TableParagraph"/>
              <w:spacing w:before="15"/>
              <w:ind w:left="13"/>
              <w:rPr>
                <w:rFonts w:ascii="Symbol" w:hAnsi="Symbol"/>
                <w:sz w:val="21"/>
              </w:rPr>
            </w:pPr>
            <w:r>
              <w:rPr>
                <w:rFonts w:ascii="Symbol" w:hAnsi="Symbol"/>
                <w:color w:val="231F20"/>
                <w:w w:val="101"/>
                <w:sz w:val="21"/>
              </w:rPr>
              <w:t></w:t>
            </w:r>
          </w:p>
        </w:tc>
        <w:tc>
          <w:tcPr>
            <w:tcW w:w="2286" w:type="dxa"/>
          </w:tcPr>
          <w:p>
            <w:pPr>
              <w:pStyle w:val="TableParagraph"/>
              <w:spacing w:before="27"/>
              <w:ind w:left="685"/>
              <w:jc w:val="left"/>
              <w:rPr>
                <w:b/>
                <w:sz w:val="21"/>
              </w:rPr>
            </w:pPr>
            <w:r>
              <w:rPr>
                <w:b/>
                <w:color w:val="231F20"/>
                <w:sz w:val="21"/>
              </w:rPr>
              <w:t>$1.100 in 1</w:t>
            </w:r>
            <w:r>
              <w:rPr>
                <w:b/>
                <w:color w:val="231F20"/>
                <w:spacing w:val="1"/>
                <w:sz w:val="21"/>
              </w:rPr>
              <w:t> </w:t>
            </w:r>
            <w:r>
              <w:rPr>
                <w:b/>
                <w:color w:val="231F20"/>
                <w:spacing w:val="-4"/>
                <w:sz w:val="21"/>
              </w:rPr>
              <w:t>year</w:t>
            </w:r>
          </w:p>
        </w:tc>
      </w:tr>
      <w:tr>
        <w:trPr>
          <w:trHeight w:val="279" w:hRule="atLeast"/>
        </w:trPr>
        <w:tc>
          <w:tcPr>
            <w:tcW w:w="1742" w:type="dxa"/>
          </w:tcPr>
          <w:p>
            <w:pPr>
              <w:pStyle w:val="TableParagraph"/>
              <w:spacing w:line="232" w:lineRule="exact" w:before="27"/>
              <w:jc w:val="left"/>
              <w:rPr>
                <w:b/>
                <w:sz w:val="21"/>
              </w:rPr>
            </w:pPr>
            <w:r>
              <w:rPr>
                <w:b/>
                <w:color w:val="231F20"/>
                <w:sz w:val="21"/>
              </w:rPr>
              <w:t>$1</w:t>
            </w:r>
            <w:r>
              <w:rPr>
                <w:b/>
                <w:color w:val="231F20"/>
                <w:spacing w:val="9"/>
                <w:sz w:val="21"/>
              </w:rPr>
              <w:t> </w:t>
            </w:r>
            <w:r>
              <w:rPr>
                <w:b/>
                <w:color w:val="231F20"/>
                <w:spacing w:val="-2"/>
                <w:sz w:val="21"/>
              </w:rPr>
              <w:t>invested</w:t>
            </w:r>
          </w:p>
        </w:tc>
        <w:tc>
          <w:tcPr>
            <w:tcW w:w="1503" w:type="dxa"/>
          </w:tcPr>
          <w:p>
            <w:pPr>
              <w:pStyle w:val="TableParagraph"/>
              <w:spacing w:line="243" w:lineRule="exact" w:before="15"/>
              <w:ind w:left="13"/>
              <w:rPr>
                <w:rFonts w:ascii="Symbol" w:hAnsi="Symbol"/>
                <w:sz w:val="21"/>
              </w:rPr>
            </w:pPr>
            <w:r>
              <w:rPr>
                <w:rFonts w:ascii="Symbol" w:hAnsi="Symbol"/>
                <w:color w:val="231F20"/>
                <w:w w:val="101"/>
                <w:sz w:val="21"/>
              </w:rPr>
              <w:t></w:t>
            </w:r>
          </w:p>
        </w:tc>
        <w:tc>
          <w:tcPr>
            <w:tcW w:w="2286" w:type="dxa"/>
          </w:tcPr>
          <w:p>
            <w:pPr>
              <w:pStyle w:val="TableParagraph"/>
              <w:spacing w:line="232" w:lineRule="exact" w:before="27"/>
              <w:ind w:left="685"/>
              <w:jc w:val="left"/>
              <w:rPr>
                <w:b/>
                <w:sz w:val="21"/>
              </w:rPr>
            </w:pPr>
            <w:r>
              <w:rPr>
                <w:b/>
                <w:color w:val="231F20"/>
                <w:sz w:val="21"/>
              </w:rPr>
              <w:t>$1.210 in 2</w:t>
            </w:r>
            <w:r>
              <w:rPr>
                <w:b/>
                <w:color w:val="231F20"/>
                <w:spacing w:val="1"/>
                <w:sz w:val="21"/>
              </w:rPr>
              <w:t> </w:t>
            </w:r>
            <w:r>
              <w:rPr>
                <w:b/>
                <w:color w:val="231F20"/>
                <w:spacing w:val="-4"/>
                <w:w w:val="90"/>
                <w:sz w:val="21"/>
              </w:rPr>
              <w:t>years</w:t>
            </w:r>
          </w:p>
        </w:tc>
      </w:tr>
    </w:tbl>
    <w:p>
      <w:pPr>
        <w:pStyle w:val="BodyText"/>
        <w:spacing w:before="9"/>
        <w:rPr>
          <w:b/>
          <w:sz w:val="29"/>
        </w:rPr>
      </w:pPr>
    </w:p>
    <w:p>
      <w:pPr>
        <w:pStyle w:val="BodyText"/>
        <w:ind w:left="1260"/>
      </w:pPr>
      <w:r>
        <w:rPr>
          <w:color w:val="231F20"/>
        </w:rPr>
        <w:t>Using</w:t>
      </w:r>
      <w:r>
        <w:rPr>
          <w:color w:val="231F20"/>
          <w:spacing w:val="11"/>
        </w:rPr>
        <w:t> </w:t>
      </w:r>
      <w:r>
        <w:rPr>
          <w:color w:val="231F20"/>
        </w:rPr>
        <w:t>our</w:t>
      </w:r>
      <w:r>
        <w:rPr>
          <w:color w:val="231F20"/>
          <w:spacing w:val="11"/>
        </w:rPr>
        <w:t> </w:t>
      </w:r>
      <w:r>
        <w:rPr>
          <w:color w:val="231F20"/>
        </w:rPr>
        <w:t>factors</w:t>
      </w:r>
      <w:r>
        <w:rPr>
          <w:color w:val="231F20"/>
          <w:spacing w:val="11"/>
        </w:rPr>
        <w:t> </w:t>
      </w:r>
      <w:r>
        <w:rPr>
          <w:color w:val="231F20"/>
        </w:rPr>
        <w:t>on</w:t>
      </w:r>
      <w:r>
        <w:rPr>
          <w:color w:val="231F20"/>
          <w:spacing w:val="12"/>
        </w:rPr>
        <w:t> </w:t>
      </w:r>
      <w:r>
        <w:rPr>
          <w:color w:val="231F20"/>
        </w:rPr>
        <w:t>Scenario</w:t>
      </w:r>
      <w:r>
        <w:rPr>
          <w:color w:val="231F20"/>
          <w:spacing w:val="11"/>
        </w:rPr>
        <w:t> </w:t>
      </w:r>
      <w:r>
        <w:rPr>
          <w:color w:val="231F20"/>
        </w:rPr>
        <w:t>A,</w:t>
      </w:r>
      <w:r>
        <w:rPr>
          <w:color w:val="231F20"/>
          <w:spacing w:val="11"/>
        </w:rPr>
        <w:t> </w:t>
      </w:r>
      <w:r>
        <w:rPr>
          <w:color w:val="231F20"/>
        </w:rPr>
        <w:t>on</w:t>
      </w:r>
      <w:r>
        <w:rPr>
          <w:color w:val="231F20"/>
          <w:spacing w:val="11"/>
        </w:rPr>
        <w:t> </w:t>
      </w:r>
      <w:r>
        <w:rPr>
          <w:color w:val="231F20"/>
        </w:rPr>
        <w:t>the</w:t>
      </w:r>
      <w:r>
        <w:rPr>
          <w:color w:val="231F20"/>
          <w:spacing w:val="12"/>
        </w:rPr>
        <w:t> </w:t>
      </w:r>
      <w:r>
        <w:rPr>
          <w:color w:val="231F20"/>
        </w:rPr>
        <w:t>$163,000</w:t>
      </w:r>
      <w:r>
        <w:rPr>
          <w:color w:val="231F20"/>
          <w:spacing w:val="11"/>
        </w:rPr>
        <w:t> </w:t>
      </w:r>
      <w:r>
        <w:rPr>
          <w:color w:val="231F20"/>
        </w:rPr>
        <w:t>received</w:t>
      </w:r>
      <w:r>
        <w:rPr>
          <w:color w:val="231F20"/>
          <w:spacing w:val="11"/>
        </w:rPr>
        <w:t> </w:t>
      </w:r>
      <w:r>
        <w:rPr>
          <w:color w:val="231F20"/>
        </w:rPr>
        <w:t>at</w:t>
      </w:r>
      <w:r>
        <w:rPr>
          <w:color w:val="231F20"/>
          <w:spacing w:val="11"/>
        </w:rPr>
        <w:t> </w:t>
      </w:r>
      <w:r>
        <w:rPr>
          <w:color w:val="231F20"/>
          <w:spacing w:val="-5"/>
        </w:rPr>
        <w:t>the</w:t>
      </w:r>
    </w:p>
    <w:p>
      <w:pPr>
        <w:pStyle w:val="BodyText"/>
        <w:rPr>
          <w:sz w:val="24"/>
        </w:rPr>
      </w:pPr>
    </w:p>
    <w:p>
      <w:pPr>
        <w:pStyle w:val="BodyText"/>
        <w:rPr>
          <w:sz w:val="30"/>
        </w:rPr>
      </w:pPr>
    </w:p>
    <w:p>
      <w:pPr>
        <w:spacing w:before="0"/>
        <w:ind w:left="475" w:right="219" w:firstLine="0"/>
        <w:jc w:val="center"/>
        <w:rPr>
          <w:b/>
          <w:sz w:val="20"/>
        </w:rPr>
      </w:pPr>
      <w:r>
        <w:rPr>
          <w:b/>
          <w:color w:val="231F20"/>
          <w:w w:val="115"/>
          <w:sz w:val="20"/>
        </w:rPr>
        <w:t>THE</w:t>
      </w:r>
      <w:r>
        <w:rPr>
          <w:b/>
          <w:color w:val="231F20"/>
          <w:spacing w:val="26"/>
          <w:w w:val="115"/>
          <w:sz w:val="20"/>
        </w:rPr>
        <w:t> </w:t>
      </w:r>
      <w:r>
        <w:rPr>
          <w:b/>
          <w:color w:val="231F20"/>
          <w:w w:val="115"/>
          <w:sz w:val="20"/>
        </w:rPr>
        <w:t>TIMING</w:t>
      </w:r>
      <w:r>
        <w:rPr>
          <w:b/>
          <w:color w:val="231F20"/>
          <w:spacing w:val="26"/>
          <w:w w:val="115"/>
          <w:sz w:val="20"/>
        </w:rPr>
        <w:t> </w:t>
      </w:r>
      <w:r>
        <w:rPr>
          <w:b/>
          <w:color w:val="231F20"/>
          <w:w w:val="115"/>
          <w:sz w:val="20"/>
        </w:rPr>
        <w:t>OF</w:t>
      </w:r>
      <w:r>
        <w:rPr>
          <w:b/>
          <w:color w:val="231F20"/>
          <w:spacing w:val="26"/>
          <w:w w:val="115"/>
          <w:sz w:val="20"/>
        </w:rPr>
        <w:t> </w:t>
      </w:r>
      <w:r>
        <w:rPr>
          <w:b/>
          <w:color w:val="231F20"/>
          <w:w w:val="115"/>
          <w:sz w:val="20"/>
        </w:rPr>
        <w:t>CASH</w:t>
      </w:r>
      <w:r>
        <w:rPr>
          <w:b/>
          <w:color w:val="231F20"/>
          <w:spacing w:val="27"/>
          <w:w w:val="115"/>
          <w:sz w:val="20"/>
        </w:rPr>
        <w:t> </w:t>
      </w:r>
      <w:r>
        <w:rPr>
          <w:b/>
          <w:color w:val="231F20"/>
          <w:spacing w:val="-2"/>
          <w:w w:val="115"/>
          <w:sz w:val="20"/>
        </w:rPr>
        <w:t>FLOWS</w:t>
      </w:r>
    </w:p>
    <w:p>
      <w:pPr>
        <w:spacing w:before="66"/>
        <w:ind w:left="475" w:right="219" w:firstLine="0"/>
        <w:jc w:val="center"/>
        <w:rPr>
          <w:b/>
          <w:sz w:val="20"/>
        </w:rPr>
      </w:pPr>
      <w:r>
        <w:rPr>
          <w:b/>
          <w:color w:val="231F20"/>
          <w:w w:val="115"/>
          <w:sz w:val="20"/>
        </w:rPr>
        <w:t>QUAKER</w:t>
      </w:r>
      <w:r>
        <w:rPr>
          <w:b/>
          <w:color w:val="231F20"/>
          <w:spacing w:val="40"/>
          <w:w w:val="115"/>
          <w:sz w:val="20"/>
        </w:rPr>
        <w:t> </w:t>
      </w:r>
      <w:r>
        <w:rPr>
          <w:b/>
          <w:color w:val="231F20"/>
          <w:w w:val="115"/>
          <w:sz w:val="20"/>
        </w:rPr>
        <w:t>OATS</w:t>
      </w:r>
      <w:r>
        <w:rPr>
          <w:b/>
          <w:color w:val="231F20"/>
          <w:spacing w:val="39"/>
          <w:w w:val="115"/>
          <w:sz w:val="20"/>
        </w:rPr>
        <w:t> </w:t>
      </w:r>
      <w:r>
        <w:rPr>
          <w:b/>
          <w:color w:val="231F20"/>
          <w:w w:val="115"/>
          <w:sz w:val="20"/>
        </w:rPr>
        <w:t>FILLING</w:t>
      </w:r>
      <w:r>
        <w:rPr>
          <w:b/>
          <w:color w:val="231F20"/>
          <w:spacing w:val="40"/>
          <w:w w:val="115"/>
          <w:sz w:val="20"/>
        </w:rPr>
        <w:t> </w:t>
      </w:r>
      <w:r>
        <w:rPr>
          <w:b/>
          <w:color w:val="231F20"/>
          <w:w w:val="115"/>
          <w:sz w:val="20"/>
        </w:rPr>
        <w:t>MACHINE</w:t>
      </w:r>
      <w:r>
        <w:rPr>
          <w:b/>
          <w:color w:val="231F20"/>
          <w:spacing w:val="40"/>
          <w:w w:val="115"/>
          <w:sz w:val="20"/>
        </w:rPr>
        <w:t> </w:t>
      </w:r>
      <w:r>
        <w:rPr>
          <w:b/>
          <w:color w:val="231F20"/>
          <w:spacing w:val="-2"/>
          <w:w w:val="115"/>
          <w:sz w:val="20"/>
        </w:rPr>
        <w:t>PROJECT</w:t>
      </w:r>
    </w:p>
    <w:p>
      <w:pPr>
        <w:spacing w:before="68"/>
        <w:ind w:left="469" w:right="219" w:firstLine="0"/>
        <w:jc w:val="center"/>
        <w:rPr>
          <w:rFonts w:ascii="Times New Roman"/>
          <w:sz w:val="20"/>
        </w:rPr>
      </w:pPr>
      <w:r>
        <w:rPr>
          <w:rFonts w:ascii="Times New Roman"/>
          <w:color w:val="231F20"/>
          <w:w w:val="105"/>
          <w:sz w:val="20"/>
        </w:rPr>
        <w:t>(in</w:t>
      </w:r>
      <w:r>
        <w:rPr>
          <w:rFonts w:ascii="Times New Roman"/>
          <w:color w:val="231F20"/>
          <w:spacing w:val="-7"/>
          <w:w w:val="105"/>
          <w:sz w:val="20"/>
        </w:rPr>
        <w:t> </w:t>
      </w:r>
      <w:r>
        <w:rPr>
          <w:rFonts w:ascii="Times New Roman"/>
          <w:color w:val="231F20"/>
          <w:w w:val="105"/>
          <w:sz w:val="20"/>
        </w:rPr>
        <w:t>thousands</w:t>
      </w:r>
      <w:r>
        <w:rPr>
          <w:rFonts w:ascii="Times New Roman"/>
          <w:color w:val="231F20"/>
          <w:spacing w:val="-6"/>
          <w:w w:val="105"/>
          <w:sz w:val="20"/>
        </w:rPr>
        <w:t> </w:t>
      </w:r>
      <w:r>
        <w:rPr>
          <w:rFonts w:ascii="Times New Roman"/>
          <w:color w:val="231F20"/>
          <w:w w:val="105"/>
          <w:sz w:val="20"/>
        </w:rPr>
        <w:t>of</w:t>
      </w:r>
      <w:r>
        <w:rPr>
          <w:rFonts w:ascii="Times New Roman"/>
          <w:color w:val="231F20"/>
          <w:spacing w:val="-6"/>
          <w:w w:val="105"/>
          <w:sz w:val="20"/>
        </w:rPr>
        <w:t> </w:t>
      </w:r>
      <w:r>
        <w:rPr>
          <w:rFonts w:ascii="Times New Roman"/>
          <w:color w:val="231F20"/>
          <w:spacing w:val="-2"/>
          <w:w w:val="105"/>
          <w:sz w:val="20"/>
        </w:rPr>
        <w:t>dollars)</w:t>
      </w:r>
    </w:p>
    <w:p>
      <w:pPr>
        <w:pStyle w:val="BodyText"/>
        <w:spacing w:before="5"/>
        <w:rPr>
          <w:rFonts w:ascii="Times New Roman"/>
          <w:sz w:val="5"/>
        </w:rPr>
      </w:pPr>
      <w:r>
        <w:rPr/>
        <w:pict>
          <v:shape style="position:absolute;margin-left:80pt;margin-top:4.369649pt;width:276.5pt;height:.1pt;mso-position-horizontal-relative:page;mso-position-vertical-relative:paragraph;z-index:-15638016;mso-wrap-distance-left:0;mso-wrap-distance-right:0" id="docshape295" coordorigin="1600,87" coordsize="5530,0" path="m1600,87l7130,87e" filled="false" stroked="true" strokeweight="1pt" strokecolor="#231f20">
            <v:path arrowok="t"/>
            <v:stroke dashstyle="solid"/>
            <w10:wrap type="topAndBottom"/>
          </v:shape>
        </w:pict>
      </w:r>
    </w:p>
    <w:p>
      <w:pPr>
        <w:pStyle w:val="BodyText"/>
        <w:spacing w:before="2"/>
        <w:rPr>
          <w:rFonts w:ascii="Times New Roman"/>
          <w:sz w:val="10"/>
        </w:rPr>
      </w:pPr>
    </w:p>
    <w:p>
      <w:pPr>
        <w:spacing w:after="0"/>
        <w:rPr>
          <w:rFonts w:ascii="Times New Roman"/>
          <w:sz w:val="10"/>
        </w:rPr>
        <w:sectPr>
          <w:pgSz w:w="8640" w:h="12960"/>
          <w:pgMar w:header="734" w:footer="0" w:top="920" w:bottom="280" w:left="340" w:right="500"/>
        </w:sectPr>
      </w:pPr>
    </w:p>
    <w:p>
      <w:pPr>
        <w:pStyle w:val="BodyText"/>
        <w:spacing w:before="4"/>
        <w:rPr>
          <w:rFonts w:ascii="Times New Roman"/>
          <w:sz w:val="33"/>
        </w:rPr>
      </w:pPr>
    </w:p>
    <w:p>
      <w:pPr>
        <w:pStyle w:val="BodyText"/>
        <w:spacing w:line="292" w:lineRule="auto"/>
        <w:ind w:left="1260" w:right="237"/>
      </w:pPr>
      <w:r>
        <w:rPr>
          <w:color w:val="231F20"/>
          <w:spacing w:val="-2"/>
          <w:w w:val="95"/>
        </w:rPr>
        <w:t>Investment </w:t>
      </w:r>
      <w:r>
        <w:rPr>
          <w:color w:val="231F20"/>
          <w:spacing w:val="-2"/>
        </w:rPr>
        <w:t>Revenue</w:t>
      </w:r>
    </w:p>
    <w:p>
      <w:pPr>
        <w:pStyle w:val="BodyText"/>
        <w:spacing w:line="439" w:lineRule="auto"/>
        <w:ind w:left="1260" w:hanging="1"/>
      </w:pPr>
      <w:r>
        <w:rPr>
          <w:color w:val="231F20"/>
          <w:w w:val="110"/>
        </w:rPr>
        <w:t>Cost</w:t>
      </w:r>
      <w:r>
        <w:rPr>
          <w:color w:val="231F20"/>
          <w:spacing w:val="-13"/>
          <w:w w:val="110"/>
        </w:rPr>
        <w:t> </w:t>
      </w:r>
      <w:r>
        <w:rPr>
          <w:color w:val="231F20"/>
          <w:w w:val="110"/>
        </w:rPr>
        <w:t>of</w:t>
      </w:r>
      <w:r>
        <w:rPr>
          <w:color w:val="231F20"/>
          <w:spacing w:val="-13"/>
          <w:w w:val="110"/>
        </w:rPr>
        <w:t> </w:t>
      </w:r>
      <w:r>
        <w:rPr>
          <w:color w:val="231F20"/>
          <w:w w:val="110"/>
        </w:rPr>
        <w:t>Goods</w:t>
      </w:r>
      <w:r>
        <w:rPr>
          <w:color w:val="231F20"/>
          <w:spacing w:val="-13"/>
          <w:w w:val="110"/>
        </w:rPr>
        <w:t> </w:t>
      </w:r>
      <w:r>
        <w:rPr>
          <w:color w:val="231F20"/>
          <w:w w:val="110"/>
        </w:rPr>
        <w:t>Sold Taxes</w:t>
      </w:r>
      <w:r>
        <w:rPr>
          <w:color w:val="231F20"/>
          <w:spacing w:val="-30"/>
          <w:w w:val="110"/>
        </w:rPr>
        <w:t> </w:t>
      </w:r>
      <w:r>
        <w:rPr>
          <w:color w:val="231F20"/>
          <w:w w:val="110"/>
        </w:rPr>
        <w:t>*</w:t>
      </w:r>
    </w:p>
    <w:p>
      <w:pPr>
        <w:pStyle w:val="BodyText"/>
        <w:spacing w:line="292" w:lineRule="auto"/>
        <w:ind w:left="1260"/>
      </w:pPr>
      <w:r>
        <w:rPr>
          <w:color w:val="231F20"/>
        </w:rPr>
        <w:t>Increase</w:t>
      </w:r>
      <w:r>
        <w:rPr>
          <w:color w:val="231F20"/>
          <w:spacing w:val="-9"/>
        </w:rPr>
        <w:t> </w:t>
      </w:r>
      <w:r>
        <w:rPr>
          <w:color w:val="231F20"/>
        </w:rPr>
        <w:t>in</w:t>
      </w:r>
      <w:r>
        <w:rPr>
          <w:color w:val="231F20"/>
          <w:spacing w:val="-8"/>
        </w:rPr>
        <w:t> </w:t>
      </w:r>
      <w:r>
        <w:rPr>
          <w:color w:val="231F20"/>
        </w:rPr>
        <w:t>Inventory Increase in Payables</w:t>
      </w:r>
    </w:p>
    <w:p>
      <w:pPr>
        <w:tabs>
          <w:tab w:pos="1956" w:val="left" w:leader="none"/>
          <w:tab w:pos="2836" w:val="left" w:leader="none"/>
        </w:tabs>
        <w:spacing w:before="93"/>
        <w:ind w:left="241" w:right="0" w:firstLine="0"/>
        <w:jc w:val="left"/>
        <w:rPr>
          <w:b/>
          <w:i/>
          <w:sz w:val="20"/>
        </w:rPr>
      </w:pPr>
      <w:r>
        <w:rPr/>
        <w:br w:type="column"/>
      </w:r>
      <w:r>
        <w:rPr>
          <w:b/>
          <w:i/>
          <w:color w:val="231F20"/>
          <w:sz w:val="20"/>
        </w:rPr>
        <w:t>YEAR</w:t>
      </w:r>
      <w:r>
        <w:rPr>
          <w:b/>
          <w:i/>
          <w:color w:val="231F20"/>
          <w:spacing w:val="9"/>
          <w:sz w:val="20"/>
        </w:rPr>
        <w:t> </w:t>
      </w:r>
      <w:r>
        <w:rPr>
          <w:b/>
          <w:i/>
          <w:color w:val="231F20"/>
          <w:sz w:val="20"/>
        </w:rPr>
        <w:t>0</w:t>
      </w:r>
      <w:r>
        <w:rPr>
          <w:b/>
          <w:i/>
          <w:color w:val="231F20"/>
          <w:spacing w:val="55"/>
          <w:sz w:val="20"/>
        </w:rPr>
        <w:t>  </w:t>
      </w:r>
      <w:r>
        <w:rPr>
          <w:b/>
          <w:i/>
          <w:color w:val="231F20"/>
          <w:sz w:val="20"/>
        </w:rPr>
        <w:t>YEAR</w:t>
      </w:r>
      <w:r>
        <w:rPr>
          <w:b/>
          <w:i/>
          <w:color w:val="231F20"/>
          <w:spacing w:val="10"/>
          <w:sz w:val="20"/>
        </w:rPr>
        <w:t> </w:t>
      </w:r>
      <w:r>
        <w:rPr>
          <w:b/>
          <w:i/>
          <w:color w:val="231F20"/>
          <w:spacing w:val="-10"/>
          <w:sz w:val="20"/>
        </w:rPr>
        <w:t>1</w:t>
      </w:r>
      <w:r>
        <w:rPr>
          <w:b/>
          <w:i/>
          <w:color w:val="231F20"/>
          <w:sz w:val="20"/>
        </w:rPr>
        <w:tab/>
        <w:t>YEAR</w:t>
      </w:r>
      <w:r>
        <w:rPr>
          <w:b/>
          <w:i/>
          <w:color w:val="231F20"/>
          <w:spacing w:val="24"/>
          <w:sz w:val="20"/>
        </w:rPr>
        <w:t> </w:t>
      </w:r>
      <w:r>
        <w:rPr>
          <w:b/>
          <w:i/>
          <w:color w:val="231F20"/>
          <w:spacing w:val="-10"/>
          <w:sz w:val="20"/>
        </w:rPr>
        <w:t>2</w:t>
      </w:r>
      <w:r>
        <w:rPr>
          <w:b/>
          <w:i/>
          <w:color w:val="231F20"/>
          <w:sz w:val="20"/>
        </w:rPr>
        <w:tab/>
        <w:t>YEAR</w:t>
      </w:r>
      <w:r>
        <w:rPr>
          <w:b/>
          <w:i/>
          <w:color w:val="231F20"/>
          <w:spacing w:val="24"/>
          <w:sz w:val="20"/>
        </w:rPr>
        <w:t> </w:t>
      </w:r>
      <w:r>
        <w:rPr>
          <w:b/>
          <w:i/>
          <w:color w:val="231F20"/>
          <w:spacing w:val="-10"/>
          <w:sz w:val="20"/>
        </w:rPr>
        <w:t>3</w:t>
      </w:r>
    </w:p>
    <w:p>
      <w:pPr>
        <w:pStyle w:val="BodyText"/>
        <w:spacing w:before="56"/>
        <w:ind w:right="3677"/>
        <w:jc w:val="right"/>
      </w:pPr>
      <w:r>
        <w:rPr/>
        <w:pict>
          <v:rect style="position:absolute;margin-left:190.203949pt;margin-top:9.90155pt;width:4.930940pt;height:.7242pt;mso-position-horizontal-relative:page;mso-position-vertical-relative:paragraph;z-index:15821312" id="docshape296" filled="true" fillcolor="#231f20" stroked="false">
            <v:fill type="solid"/>
            <w10:wrap type="none"/>
          </v:rect>
        </w:pict>
      </w:r>
      <w:r>
        <w:rPr>
          <w:color w:val="231F20"/>
          <w:spacing w:val="-4"/>
          <w:w w:val="105"/>
        </w:rPr>
        <w:t>$100</w:t>
      </w:r>
    </w:p>
    <w:p>
      <w:pPr>
        <w:pStyle w:val="BodyText"/>
        <w:tabs>
          <w:tab w:pos="879" w:val="left" w:leader="none"/>
          <w:tab w:pos="1759" w:val="left" w:leader="none"/>
        </w:tabs>
        <w:spacing w:before="42"/>
        <w:ind w:right="1082"/>
        <w:jc w:val="right"/>
      </w:pPr>
      <w:r>
        <w:rPr>
          <w:rFonts w:ascii="Symbol" w:hAnsi="Symbol"/>
          <w:color w:val="231F20"/>
          <w:w w:val="105"/>
        </w:rPr>
        <w:t></w:t>
      </w:r>
      <w:r>
        <w:rPr>
          <w:rFonts w:ascii="Times New Roman" w:hAnsi="Times New Roman"/>
          <w:color w:val="231F20"/>
          <w:spacing w:val="-2"/>
          <w:w w:val="105"/>
        </w:rPr>
        <w:t> </w:t>
      </w:r>
      <w:r>
        <w:rPr>
          <w:color w:val="231F20"/>
          <w:spacing w:val="-5"/>
          <w:w w:val="105"/>
        </w:rPr>
        <w:t>$80</w:t>
      </w:r>
      <w:r>
        <w:rPr>
          <w:color w:val="231F20"/>
        </w:rPr>
        <w:tab/>
      </w:r>
      <w:r>
        <w:rPr>
          <w:rFonts w:ascii="Symbol" w:hAnsi="Symbol"/>
          <w:color w:val="231F20"/>
          <w:w w:val="105"/>
        </w:rPr>
        <w:t></w:t>
      </w:r>
      <w:r>
        <w:rPr>
          <w:rFonts w:ascii="Times New Roman" w:hAnsi="Times New Roman"/>
          <w:color w:val="231F20"/>
          <w:spacing w:val="-2"/>
          <w:w w:val="105"/>
        </w:rPr>
        <w:t> </w:t>
      </w:r>
      <w:r>
        <w:rPr>
          <w:color w:val="231F20"/>
          <w:spacing w:val="-5"/>
          <w:w w:val="105"/>
        </w:rPr>
        <w:t>$80</w:t>
      </w:r>
      <w:r>
        <w:rPr>
          <w:color w:val="231F20"/>
        </w:rPr>
        <w:tab/>
      </w:r>
      <w:r>
        <w:rPr>
          <w:rFonts w:ascii="Symbol" w:hAnsi="Symbol"/>
          <w:color w:val="231F20"/>
          <w:w w:val="105"/>
        </w:rPr>
        <w:t></w:t>
      </w:r>
      <w:r>
        <w:rPr>
          <w:rFonts w:ascii="Times New Roman" w:hAnsi="Times New Roman"/>
          <w:color w:val="231F20"/>
          <w:spacing w:val="-2"/>
          <w:w w:val="105"/>
        </w:rPr>
        <w:t> </w:t>
      </w:r>
      <w:r>
        <w:rPr>
          <w:color w:val="231F20"/>
          <w:spacing w:val="-5"/>
          <w:w w:val="105"/>
        </w:rPr>
        <w:t>$80</w:t>
      </w:r>
    </w:p>
    <w:p>
      <w:pPr>
        <w:pStyle w:val="BodyText"/>
        <w:tabs>
          <w:tab w:pos="879" w:val="left" w:leader="none"/>
          <w:tab w:pos="1759" w:val="left" w:leader="none"/>
        </w:tabs>
        <w:spacing w:before="54"/>
        <w:ind w:right="1082"/>
        <w:jc w:val="right"/>
      </w:pPr>
      <w:r>
        <w:rPr/>
        <w:pict>
          <v:rect style="position:absolute;margin-left:238.643417pt;margin-top:9.801556pt;width:4.930940pt;height:.7242pt;mso-position-horizontal-relative:page;mso-position-vertical-relative:paragraph;z-index:15821824" id="docshape297" filled="true" fillcolor="#231f20" stroked="false">
            <v:fill type="solid"/>
            <w10:wrap type="none"/>
          </v:rect>
        </w:pict>
      </w:r>
      <w:r>
        <w:rPr/>
        <w:pict>
          <v:rect style="position:absolute;margin-left:282.64386pt;margin-top:9.801556pt;width:4.930940pt;height:.7242pt;mso-position-horizontal-relative:page;mso-position-vertical-relative:paragraph;z-index:-25135616" id="docshape298" filled="true" fillcolor="#231f20" stroked="false">
            <v:fill type="solid"/>
            <w10:wrap type="none"/>
          </v:rect>
        </w:pict>
      </w:r>
      <w:r>
        <w:rPr>
          <w:color w:val="231F20"/>
          <w:spacing w:val="-5"/>
          <w:w w:val="105"/>
        </w:rPr>
        <w:t>$20</w:t>
      </w:r>
      <w:r>
        <w:rPr>
          <w:color w:val="231F20"/>
        </w:rPr>
        <w:tab/>
      </w:r>
      <w:r>
        <w:rPr>
          <w:color w:val="231F20"/>
          <w:spacing w:val="-5"/>
          <w:w w:val="105"/>
        </w:rPr>
        <w:t>$20</w:t>
      </w:r>
      <w:r>
        <w:rPr>
          <w:color w:val="231F20"/>
        </w:rPr>
        <w:tab/>
      </w:r>
      <w:r>
        <w:rPr>
          <w:color w:val="231F20"/>
          <w:spacing w:val="-5"/>
          <w:w w:val="105"/>
        </w:rPr>
        <w:t>$20</w:t>
      </w:r>
    </w:p>
    <w:p>
      <w:pPr>
        <w:pStyle w:val="BodyText"/>
        <w:tabs>
          <w:tab w:pos="879" w:val="left" w:leader="none"/>
          <w:tab w:pos="1759" w:val="left" w:leader="none"/>
        </w:tabs>
        <w:spacing w:before="204"/>
        <w:ind w:right="1082"/>
        <w:jc w:val="right"/>
      </w:pPr>
      <w:r>
        <w:rPr/>
        <w:pict>
          <v:rect style="position:absolute;margin-left:239.239975pt;margin-top:17.301552pt;width:4.930940pt;height:.7242pt;mso-position-horizontal-relative:page;mso-position-vertical-relative:paragraph;z-index:15822848" id="docshape299" filled="true" fillcolor="#231f20" stroked="false">
            <v:fill type="solid"/>
            <w10:wrap type="none"/>
          </v:rect>
        </w:pict>
      </w:r>
      <w:r>
        <w:rPr/>
        <w:pict>
          <v:rect style="position:absolute;margin-left:283.240417pt;margin-top:17.301552pt;width:4.930940pt;height:.7242pt;mso-position-horizontal-relative:page;mso-position-vertical-relative:paragraph;z-index:-25134592" id="docshape300" filled="true" fillcolor="#231f20" stroked="false">
            <v:fill type="solid"/>
            <w10:wrap type="none"/>
          </v:rect>
        </w:pict>
      </w:r>
      <w:r>
        <w:rPr/>
        <w:pict>
          <v:rect style="position:absolute;margin-left:327.240875pt;margin-top:17.301552pt;width:4.930940pt;height:.7242pt;mso-position-horizontal-relative:page;mso-position-vertical-relative:paragraph;z-index:-25134080" id="docshape301" filled="true" fillcolor="#231f20" stroked="false">
            <v:fill type="solid"/>
            <w10:wrap type="none"/>
          </v:rect>
        </w:pict>
      </w:r>
      <w:r>
        <w:rPr>
          <w:color w:val="231F20"/>
          <w:w w:val="110"/>
        </w:rPr>
        <w:t>$</w:t>
      </w:r>
      <w:r>
        <w:rPr>
          <w:color w:val="231F20"/>
          <w:spacing w:val="55"/>
          <w:w w:val="110"/>
        </w:rPr>
        <w:t> </w:t>
      </w:r>
      <w:r>
        <w:rPr>
          <w:color w:val="231F20"/>
          <w:spacing w:val="-12"/>
          <w:w w:val="110"/>
        </w:rPr>
        <w:t>9</w:t>
      </w:r>
      <w:r>
        <w:rPr>
          <w:color w:val="231F20"/>
        </w:rPr>
        <w:tab/>
      </w:r>
      <w:r>
        <w:rPr>
          <w:color w:val="231F20"/>
          <w:w w:val="110"/>
        </w:rPr>
        <w:t>$</w:t>
      </w:r>
      <w:r>
        <w:rPr>
          <w:color w:val="231F20"/>
          <w:spacing w:val="55"/>
          <w:w w:val="110"/>
        </w:rPr>
        <w:t> </w:t>
      </w:r>
      <w:r>
        <w:rPr>
          <w:color w:val="231F20"/>
          <w:spacing w:val="-10"/>
          <w:w w:val="110"/>
        </w:rPr>
        <w:t>9</w:t>
      </w:r>
      <w:r>
        <w:rPr>
          <w:color w:val="231F20"/>
        </w:rPr>
        <w:tab/>
      </w:r>
      <w:r>
        <w:rPr>
          <w:color w:val="231F20"/>
          <w:w w:val="110"/>
        </w:rPr>
        <w:t>$</w:t>
      </w:r>
      <w:r>
        <w:rPr>
          <w:color w:val="231F20"/>
          <w:spacing w:val="55"/>
          <w:w w:val="110"/>
        </w:rPr>
        <w:t> </w:t>
      </w:r>
      <w:r>
        <w:rPr>
          <w:color w:val="231F20"/>
          <w:spacing w:val="-10"/>
          <w:w w:val="110"/>
        </w:rPr>
        <w:t>9</w:t>
      </w:r>
    </w:p>
    <w:p>
      <w:pPr>
        <w:pStyle w:val="BodyText"/>
        <w:spacing w:before="203"/>
        <w:ind w:right="3677"/>
        <w:jc w:val="right"/>
      </w:pPr>
      <w:r>
        <w:rPr/>
        <w:pict>
          <v:rect style="position:absolute;margin-left:189.737717pt;margin-top:17.251547pt;width:4.930940pt;height:.7242pt;mso-position-horizontal-relative:page;mso-position-vertical-relative:paragraph;z-index:15824384" id="docshape302" filled="true" fillcolor="#231f20" stroked="false">
            <v:fill type="solid"/>
            <w10:wrap type="none"/>
          </v:rect>
        </w:pict>
      </w:r>
      <w:r>
        <w:rPr>
          <w:color w:val="231F20"/>
          <w:w w:val="105"/>
        </w:rPr>
        <w:t>$</w:t>
      </w:r>
      <w:r>
        <w:rPr>
          <w:color w:val="231F20"/>
          <w:spacing w:val="63"/>
          <w:w w:val="105"/>
        </w:rPr>
        <w:t> </w:t>
      </w:r>
      <w:r>
        <w:rPr>
          <w:color w:val="231F20"/>
          <w:spacing w:val="-5"/>
          <w:w w:val="105"/>
        </w:rPr>
        <w:t>10</w:t>
      </w:r>
    </w:p>
    <w:p>
      <w:pPr>
        <w:pStyle w:val="BodyText"/>
        <w:tabs>
          <w:tab w:pos="554" w:val="left" w:leader="none"/>
        </w:tabs>
        <w:spacing w:before="43"/>
        <w:ind w:right="3677"/>
        <w:jc w:val="right"/>
      </w:pPr>
      <w:r>
        <w:rPr>
          <w:rFonts w:ascii="Symbol" w:hAnsi="Symbol"/>
          <w:color w:val="231F20"/>
          <w:w w:val="105"/>
        </w:rPr>
        <w:t></w:t>
      </w:r>
      <w:r>
        <w:rPr>
          <w:rFonts w:ascii="Times New Roman" w:hAnsi="Times New Roman"/>
          <w:color w:val="231F20"/>
          <w:spacing w:val="45"/>
          <w:w w:val="105"/>
        </w:rPr>
        <w:t> </w:t>
      </w:r>
      <w:r>
        <w:rPr>
          <w:color w:val="231F20"/>
          <w:spacing w:val="-10"/>
          <w:w w:val="105"/>
        </w:rPr>
        <w:t>$</w:t>
      </w:r>
      <w:r>
        <w:rPr>
          <w:color w:val="231F20"/>
        </w:rPr>
        <w:tab/>
      </w:r>
      <w:r>
        <w:rPr>
          <w:color w:val="231F20"/>
          <w:spacing w:val="-10"/>
          <w:w w:val="105"/>
        </w:rPr>
        <w:t>8</w:t>
      </w:r>
    </w:p>
    <w:p>
      <w:pPr>
        <w:spacing w:after="0"/>
        <w:jc w:val="right"/>
        <w:sectPr>
          <w:type w:val="continuous"/>
          <w:pgSz w:w="8640" w:h="12960"/>
          <w:pgMar w:header="732" w:footer="0" w:top="1220" w:bottom="280" w:left="340" w:right="500"/>
          <w:cols w:num="2" w:equalWidth="0">
            <w:col w:w="3189" w:space="40"/>
            <w:col w:w="4571"/>
          </w:cols>
        </w:sectPr>
      </w:pPr>
    </w:p>
    <w:p>
      <w:pPr>
        <w:pStyle w:val="BodyText"/>
        <w:tabs>
          <w:tab w:pos="2396" w:val="left" w:leader="none"/>
          <w:tab w:pos="3035" w:val="left" w:leader="none"/>
          <w:tab w:pos="3870" w:val="left" w:leader="none"/>
          <w:tab w:pos="4110" w:val="left" w:leader="none"/>
          <w:tab w:pos="4749" w:val="left" w:leader="none"/>
          <w:tab w:pos="5098" w:val="left" w:leader="none"/>
        </w:tabs>
        <w:spacing w:before="136"/>
        <w:ind w:left="175"/>
        <w:jc w:val="center"/>
      </w:pPr>
      <w:r>
        <w:rPr/>
        <w:pict>
          <v:shape style="position:absolute;margin-left:325.5pt;margin-top:21.235165pt;width:27pt;height:.1pt;mso-position-horizontal-relative:page;mso-position-vertical-relative:paragraph;z-index:-15637504;mso-wrap-distance-left:0;mso-wrap-distance-right:0" id="docshape303" coordorigin="6510,425" coordsize="540,0" path="m7050,425l6510,425e" filled="false" stroked="true" strokeweight=".5pt" strokecolor="#231f20">
            <v:path arrowok="t"/>
            <v:stroke dashstyle="solid"/>
            <w10:wrap type="topAndBottom"/>
          </v:shape>
        </w:pict>
      </w:r>
      <w:r>
        <w:rPr>
          <w:color w:val="231F20"/>
        </w:rPr>
        <w:t>Sale</w:t>
      </w:r>
      <w:r>
        <w:rPr>
          <w:color w:val="231F20"/>
          <w:spacing w:val="19"/>
        </w:rPr>
        <w:t> </w:t>
      </w:r>
      <w:r>
        <w:rPr>
          <w:color w:val="231F20"/>
        </w:rPr>
        <w:t>of</w:t>
      </w:r>
      <w:r>
        <w:rPr>
          <w:color w:val="231F20"/>
          <w:spacing w:val="19"/>
        </w:rPr>
        <w:t> </w:t>
      </w:r>
      <w:r>
        <w:rPr>
          <w:color w:val="231F20"/>
          <w:spacing w:val="-2"/>
        </w:rPr>
        <w:t>Equipment</w:t>
      </w:r>
      <w:r>
        <w:rPr>
          <w:color w:val="231F20"/>
        </w:rPr>
        <w:tab/>
      </w:r>
      <w:r>
        <w:rPr>
          <w:color w:val="231F20"/>
          <w:u w:val="single" w:color="221E1F"/>
        </w:rPr>
        <w:tab/>
      </w:r>
      <w:r>
        <w:rPr>
          <w:color w:val="231F20"/>
          <w:spacing w:val="148"/>
        </w:rPr>
        <w:t> </w:t>
      </w:r>
      <w:r>
        <w:rPr>
          <w:color w:val="231F20"/>
          <w:u w:val="single" w:color="221E1F"/>
        </w:rPr>
        <w:tab/>
      </w:r>
      <w:r>
        <w:rPr>
          <w:color w:val="231F20"/>
        </w:rPr>
        <w:tab/>
      </w:r>
      <w:r>
        <w:rPr>
          <w:color w:val="231F20"/>
          <w:u w:val="single" w:color="221E1F"/>
        </w:rPr>
        <w:tab/>
      </w:r>
      <w:r>
        <w:rPr>
          <w:color w:val="231F20"/>
        </w:rPr>
        <w:tab/>
      </w:r>
      <w:r>
        <w:rPr>
          <w:rFonts w:ascii="Symbol" w:hAnsi="Symbol"/>
          <w:color w:val="231F20"/>
        </w:rPr>
        <w:t></w:t>
      </w:r>
      <w:r>
        <w:rPr>
          <w:rFonts w:ascii="Times New Roman" w:hAnsi="Times New Roman"/>
          <w:color w:val="231F20"/>
          <w:spacing w:val="7"/>
        </w:rPr>
        <w:t> </w:t>
      </w:r>
      <w:r>
        <w:rPr>
          <w:color w:val="231F20"/>
          <w:spacing w:val="-5"/>
        </w:rPr>
        <w:t>$10</w:t>
      </w:r>
    </w:p>
    <w:p>
      <w:pPr>
        <w:pStyle w:val="BodyText"/>
        <w:spacing w:before="11"/>
        <w:rPr>
          <w:sz w:val="5"/>
        </w:rPr>
      </w:pPr>
    </w:p>
    <w:p>
      <w:pPr>
        <w:spacing w:after="0"/>
        <w:rPr>
          <w:sz w:val="5"/>
        </w:rPr>
        <w:sectPr>
          <w:type w:val="continuous"/>
          <w:pgSz w:w="8640" w:h="12960"/>
          <w:pgMar w:header="732" w:footer="0" w:top="1220" w:bottom="280" w:left="340" w:right="500"/>
        </w:sectPr>
      </w:pPr>
    </w:p>
    <w:p>
      <w:pPr>
        <w:pStyle w:val="BodyText"/>
        <w:spacing w:before="98"/>
        <w:ind w:left="1260"/>
      </w:pPr>
      <w:r>
        <w:rPr>
          <w:color w:val="231F20"/>
          <w:w w:val="105"/>
        </w:rPr>
        <w:t>Total</w:t>
      </w:r>
      <w:r>
        <w:rPr>
          <w:color w:val="231F20"/>
          <w:spacing w:val="7"/>
          <w:w w:val="105"/>
        </w:rPr>
        <w:t> </w:t>
      </w:r>
      <w:r>
        <w:rPr>
          <w:color w:val="231F20"/>
          <w:w w:val="105"/>
        </w:rPr>
        <w:t>Cash</w:t>
      </w:r>
      <w:r>
        <w:rPr>
          <w:color w:val="231F20"/>
          <w:spacing w:val="7"/>
          <w:w w:val="105"/>
        </w:rPr>
        <w:t> </w:t>
      </w:r>
      <w:r>
        <w:rPr>
          <w:color w:val="231F20"/>
          <w:spacing w:val="-4"/>
          <w:w w:val="105"/>
        </w:rPr>
        <w:t>Flow</w:t>
      </w:r>
    </w:p>
    <w:p>
      <w:pPr>
        <w:pStyle w:val="BodyText"/>
        <w:spacing w:line="292" w:lineRule="auto" w:before="204"/>
        <w:ind w:left="1473" w:hanging="213"/>
      </w:pPr>
      <w:r>
        <w:rPr>
          <w:color w:val="231F20"/>
          <w:spacing w:val="-2"/>
          <w:w w:val="110"/>
        </w:rPr>
        <w:t>*</w:t>
      </w:r>
      <w:r>
        <w:rPr>
          <w:color w:val="231F20"/>
          <w:spacing w:val="-30"/>
          <w:w w:val="110"/>
        </w:rPr>
        <w:t> </w:t>
      </w:r>
      <w:r>
        <w:rPr>
          <w:color w:val="231F20"/>
          <w:spacing w:val="-2"/>
          <w:w w:val="110"/>
        </w:rPr>
        <w:t>Tax</w:t>
      </w:r>
      <w:r>
        <w:rPr>
          <w:color w:val="231F20"/>
          <w:spacing w:val="-11"/>
          <w:w w:val="110"/>
        </w:rPr>
        <w:t> </w:t>
      </w:r>
      <w:r>
        <w:rPr>
          <w:color w:val="231F20"/>
          <w:spacing w:val="-2"/>
          <w:w w:val="110"/>
        </w:rPr>
        <w:t>Calculation Revenue</w:t>
      </w:r>
    </w:p>
    <w:p>
      <w:pPr>
        <w:pStyle w:val="BodyText"/>
        <w:spacing w:line="292" w:lineRule="auto"/>
        <w:ind w:left="1473" w:right="526"/>
      </w:pPr>
      <w:r>
        <w:rPr>
          <w:color w:val="231F20"/>
          <w:spacing w:val="-4"/>
          <w:w w:val="110"/>
        </w:rPr>
        <w:t>Cost </w:t>
      </w:r>
      <w:r>
        <w:rPr>
          <w:color w:val="231F20"/>
          <w:spacing w:val="-2"/>
          <w:w w:val="105"/>
        </w:rPr>
        <w:t>Margin</w:t>
      </w:r>
    </w:p>
    <w:p>
      <w:pPr>
        <w:pStyle w:val="BodyText"/>
        <w:spacing w:line="292" w:lineRule="auto"/>
        <w:ind w:left="1473"/>
      </w:pPr>
      <w:r>
        <w:rPr>
          <w:color w:val="231F20"/>
          <w:spacing w:val="-2"/>
          <w:w w:val="105"/>
        </w:rPr>
        <w:t>Depreciation </w:t>
      </w:r>
      <w:r>
        <w:rPr>
          <w:color w:val="231F20"/>
          <w:spacing w:val="-4"/>
          <w:w w:val="105"/>
        </w:rPr>
        <w:t>Earnings</w:t>
      </w:r>
      <w:r>
        <w:rPr>
          <w:color w:val="231F20"/>
          <w:spacing w:val="-9"/>
          <w:w w:val="105"/>
        </w:rPr>
        <w:t> </w:t>
      </w:r>
      <w:r>
        <w:rPr>
          <w:color w:val="231F20"/>
          <w:spacing w:val="-4"/>
          <w:w w:val="105"/>
        </w:rPr>
        <w:t>Pre-Tax </w:t>
      </w:r>
      <w:r>
        <w:rPr>
          <w:color w:val="231F20"/>
          <w:w w:val="105"/>
        </w:rPr>
        <w:t>Tax Rate</w:t>
      </w:r>
    </w:p>
    <w:p>
      <w:pPr>
        <w:pStyle w:val="BodyText"/>
        <w:spacing w:line="245" w:lineRule="exact"/>
        <w:ind w:left="1473"/>
      </w:pPr>
      <w:r>
        <w:rPr>
          <w:color w:val="231F20"/>
          <w:spacing w:val="-5"/>
          <w:w w:val="110"/>
        </w:rPr>
        <w:t>Tax</w:t>
      </w:r>
    </w:p>
    <w:p>
      <w:pPr>
        <w:pStyle w:val="BodyText"/>
        <w:tabs>
          <w:tab w:pos="1331" w:val="left" w:leader="none"/>
          <w:tab w:pos="2211" w:val="left" w:leader="none"/>
          <w:tab w:pos="3091" w:val="left" w:leader="none"/>
        </w:tabs>
        <w:spacing w:before="86"/>
        <w:ind w:left="553"/>
      </w:pPr>
      <w:r>
        <w:rPr/>
        <w:br w:type="column"/>
      </w:r>
      <w:r>
        <w:rPr>
          <w:color w:val="231F20"/>
          <w:spacing w:val="-4"/>
          <w:w w:val="105"/>
        </w:rPr>
        <w:t>$102</w:t>
      </w:r>
      <w:r>
        <w:rPr>
          <w:color w:val="231F20"/>
        </w:rPr>
        <w:tab/>
      </w:r>
      <w:r>
        <w:rPr>
          <w:rFonts w:ascii="Symbol" w:hAnsi="Symbol"/>
          <w:color w:val="231F20"/>
          <w:w w:val="105"/>
        </w:rPr>
        <w:t></w:t>
      </w:r>
      <w:r>
        <w:rPr>
          <w:rFonts w:ascii="Times New Roman" w:hAnsi="Times New Roman"/>
          <w:color w:val="231F20"/>
          <w:spacing w:val="-2"/>
          <w:w w:val="105"/>
        </w:rPr>
        <w:t> </w:t>
      </w:r>
      <w:r>
        <w:rPr>
          <w:color w:val="231F20"/>
          <w:spacing w:val="-5"/>
          <w:w w:val="105"/>
        </w:rPr>
        <w:t>$51</w:t>
      </w:r>
      <w:r>
        <w:rPr>
          <w:color w:val="231F20"/>
        </w:rPr>
        <w:tab/>
      </w:r>
      <w:r>
        <w:rPr>
          <w:rFonts w:ascii="Symbol" w:hAnsi="Symbol"/>
          <w:color w:val="231F20"/>
          <w:w w:val="105"/>
        </w:rPr>
        <w:t></w:t>
      </w:r>
      <w:r>
        <w:rPr>
          <w:rFonts w:ascii="Times New Roman" w:hAnsi="Times New Roman"/>
          <w:color w:val="231F20"/>
          <w:spacing w:val="-2"/>
          <w:w w:val="105"/>
        </w:rPr>
        <w:t> </w:t>
      </w:r>
      <w:r>
        <w:rPr>
          <w:color w:val="231F20"/>
          <w:spacing w:val="-5"/>
          <w:w w:val="105"/>
        </w:rPr>
        <w:t>$51</w:t>
      </w:r>
      <w:r>
        <w:rPr>
          <w:color w:val="231F20"/>
        </w:rPr>
        <w:tab/>
      </w:r>
      <w:r>
        <w:rPr>
          <w:rFonts w:ascii="Symbol" w:hAnsi="Symbol"/>
          <w:color w:val="231F20"/>
          <w:w w:val="105"/>
        </w:rPr>
        <w:t></w:t>
      </w:r>
      <w:r>
        <w:rPr>
          <w:rFonts w:ascii="Times New Roman" w:hAnsi="Times New Roman"/>
          <w:color w:val="231F20"/>
          <w:spacing w:val="-2"/>
          <w:w w:val="105"/>
        </w:rPr>
        <w:t> </w:t>
      </w:r>
      <w:r>
        <w:rPr>
          <w:color w:val="231F20"/>
          <w:spacing w:val="-5"/>
          <w:w w:val="105"/>
        </w:rPr>
        <w:t>$61</w:t>
      </w:r>
    </w:p>
    <w:p>
      <w:pPr>
        <w:pStyle w:val="BodyText"/>
        <w:rPr>
          <w:sz w:val="24"/>
        </w:rPr>
      </w:pPr>
    </w:p>
    <w:p>
      <w:pPr>
        <w:pStyle w:val="BodyText"/>
        <w:rPr>
          <w:sz w:val="19"/>
        </w:rPr>
      </w:pPr>
    </w:p>
    <w:p>
      <w:pPr>
        <w:pStyle w:val="BodyText"/>
        <w:ind w:right="3677"/>
        <w:jc w:val="right"/>
      </w:pPr>
      <w:r>
        <w:rPr/>
        <w:pict>
          <v:rect style="position:absolute;margin-left:190.207336pt;margin-top:-30.399151pt;width:4.930940pt;height:.7242pt;mso-position-horizontal-relative:page;mso-position-vertical-relative:paragraph;z-index:15824896" id="docshape304" filled="true" fillcolor="#231f20" stroked="false">
            <v:fill type="solid"/>
            <w10:wrap type="none"/>
          </v:rect>
        </w:pict>
      </w:r>
      <w:r>
        <w:rPr>
          <w:color w:val="231F20"/>
          <w:w w:val="105"/>
        </w:rPr>
        <w:t>$</w:t>
      </w:r>
      <w:r>
        <w:rPr>
          <w:color w:val="231F20"/>
          <w:spacing w:val="75"/>
          <w:w w:val="105"/>
        </w:rPr>
        <w:t> </w:t>
      </w:r>
      <w:r>
        <w:rPr>
          <w:color w:val="231F20"/>
          <w:spacing w:val="-5"/>
          <w:w w:val="105"/>
        </w:rPr>
        <w:t>80</w:t>
      </w:r>
    </w:p>
    <w:p>
      <w:pPr>
        <w:pStyle w:val="BodyText"/>
        <w:spacing w:before="54"/>
        <w:ind w:right="3677"/>
        <w:jc w:val="right"/>
      </w:pPr>
      <w:r>
        <w:rPr/>
        <w:pict>
          <v:rect style="position:absolute;margin-left:189.505646pt;margin-top:9.801554pt;width:4.930940pt;height:.7242pt;mso-position-horizontal-relative:page;mso-position-vertical-relative:paragraph;z-index:15825408" id="docshape305" filled="true" fillcolor="#231f20" stroked="false">
            <v:fill type="solid"/>
            <w10:wrap type="none"/>
          </v:rect>
        </w:pict>
      </w:r>
      <w:r>
        <w:rPr>
          <w:color w:val="231F20"/>
          <w:spacing w:val="-5"/>
          <w:u w:val="single" w:color="231F20"/>
        </w:rPr>
        <w:t>20</w:t>
      </w:r>
    </w:p>
    <w:p>
      <w:pPr>
        <w:pStyle w:val="BodyText"/>
        <w:spacing w:before="54"/>
        <w:ind w:right="3677"/>
        <w:jc w:val="right"/>
      </w:pPr>
      <w:r>
        <w:rPr>
          <w:color w:val="231F20"/>
          <w:w w:val="105"/>
        </w:rPr>
        <w:t>$</w:t>
      </w:r>
      <w:r>
        <w:rPr>
          <w:color w:val="231F20"/>
          <w:spacing w:val="75"/>
          <w:w w:val="105"/>
        </w:rPr>
        <w:t> </w:t>
      </w:r>
      <w:r>
        <w:rPr>
          <w:color w:val="231F20"/>
          <w:spacing w:val="-5"/>
          <w:w w:val="105"/>
        </w:rPr>
        <w:t>60</w:t>
      </w:r>
    </w:p>
    <w:p>
      <w:pPr>
        <w:pStyle w:val="BodyText"/>
        <w:tabs>
          <w:tab w:pos="1307" w:val="left" w:leader="none"/>
          <w:tab w:pos="1968" w:val="left" w:leader="none"/>
        </w:tabs>
        <w:spacing w:before="54"/>
        <w:ind w:left="790"/>
      </w:pPr>
      <w:r>
        <w:rPr/>
        <w:pict>
          <v:rect style="position:absolute;margin-left:189.505646pt;margin-top:9.801552pt;width:4.930940pt;height:.7242pt;mso-position-horizontal-relative:page;mso-position-vertical-relative:paragraph;z-index:15825920" id="docshape306" filled="true" fillcolor="#231f20" stroked="false">
            <v:fill type="solid"/>
            <w10:wrap type="none"/>
          </v:rect>
        </w:pict>
      </w:r>
      <w:r>
        <w:rPr/>
        <w:pict>
          <v:rect style="position:absolute;margin-left:261.726532pt;margin-top:9.801552pt;width:4.930940pt;height:.7242pt;mso-position-horizontal-relative:page;mso-position-vertical-relative:paragraph;z-index:-25131520" id="docshape307" filled="true" fillcolor="#231f20" stroked="false">
            <v:fill type="solid"/>
            <w10:wrap type="none"/>
          </v:rect>
        </w:pict>
      </w:r>
      <w:r>
        <w:rPr>
          <w:color w:val="231F20"/>
          <w:spacing w:val="-5"/>
        </w:rPr>
        <w:t>30</w:t>
      </w:r>
      <w:r>
        <w:rPr>
          <w:color w:val="231F20"/>
        </w:rPr>
        <w:tab/>
      </w:r>
      <w:r>
        <w:rPr>
          <w:color w:val="231F20"/>
          <w:spacing w:val="-4"/>
        </w:rPr>
        <w:t>(100</w:t>
      </w:r>
      <w:r>
        <w:rPr>
          <w:color w:val="231F20"/>
        </w:rPr>
        <w:tab/>
      </w:r>
      <w:r>
        <w:rPr>
          <w:color w:val="231F20"/>
          <w:spacing w:val="-2"/>
        </w:rPr>
        <w:t>10)/3</w:t>
      </w:r>
    </w:p>
    <w:p>
      <w:pPr>
        <w:pStyle w:val="BodyText"/>
        <w:spacing w:before="7"/>
        <w:rPr>
          <w:sz w:val="2"/>
        </w:rPr>
      </w:pPr>
    </w:p>
    <w:p>
      <w:pPr>
        <w:pStyle w:val="BodyText"/>
        <w:spacing w:line="20" w:lineRule="exact"/>
        <w:ind w:left="787"/>
        <w:rPr>
          <w:sz w:val="2"/>
        </w:rPr>
      </w:pPr>
      <w:r>
        <w:rPr>
          <w:sz w:val="2"/>
        </w:rPr>
        <w:pict>
          <v:group style="width:11.5pt;height:.5pt;mso-position-horizontal-relative:char;mso-position-vertical-relative:line" id="docshapegroup308" coordorigin="0,0" coordsize="230,10">
            <v:line style="position:absolute" from="230,5" to="0,5" stroked="true" strokeweight=".5pt" strokecolor="#231f20">
              <v:stroke dashstyle="solid"/>
            </v:line>
          </v:group>
        </w:pict>
      </w:r>
      <w:r>
        <w:rPr>
          <w:sz w:val="2"/>
        </w:rPr>
      </w:r>
    </w:p>
    <w:p>
      <w:pPr>
        <w:pStyle w:val="BodyText"/>
        <w:spacing w:before="3"/>
        <w:ind w:right="3677"/>
        <w:jc w:val="right"/>
      </w:pPr>
      <w:r>
        <w:rPr>
          <w:color w:val="231F20"/>
          <w:w w:val="105"/>
        </w:rPr>
        <w:t>$</w:t>
      </w:r>
      <w:r>
        <w:rPr>
          <w:color w:val="231F20"/>
          <w:spacing w:val="75"/>
          <w:w w:val="105"/>
        </w:rPr>
        <w:t> </w:t>
      </w:r>
      <w:r>
        <w:rPr>
          <w:color w:val="231F20"/>
          <w:spacing w:val="-5"/>
          <w:w w:val="105"/>
        </w:rPr>
        <w:t>30</w:t>
      </w:r>
    </w:p>
    <w:p>
      <w:pPr>
        <w:pStyle w:val="BodyText"/>
        <w:tabs>
          <w:tab w:pos="373" w:val="left" w:leader="none"/>
        </w:tabs>
        <w:spacing w:before="42"/>
        <w:ind w:right="3677"/>
        <w:jc w:val="right"/>
      </w:pPr>
      <w:r>
        <w:rPr>
          <w:rFonts w:ascii="Symbol" w:hAnsi="Symbol"/>
          <w:color w:val="231F20"/>
          <w:spacing w:val="-10"/>
          <w:w w:val="105"/>
        </w:rPr>
        <w:t></w:t>
      </w:r>
      <w:r>
        <w:rPr>
          <w:rFonts w:ascii="Times New Roman" w:hAnsi="Times New Roman"/>
          <w:color w:val="231F20"/>
        </w:rPr>
        <w:tab/>
      </w:r>
      <w:r>
        <w:rPr>
          <w:color w:val="231F20"/>
          <w:spacing w:val="-5"/>
          <w:w w:val="105"/>
        </w:rPr>
        <w:t>.30</w:t>
      </w:r>
    </w:p>
    <w:p>
      <w:pPr>
        <w:pStyle w:val="BodyText"/>
        <w:spacing w:before="7"/>
        <w:rPr>
          <w:sz w:val="2"/>
        </w:rPr>
      </w:pPr>
    </w:p>
    <w:p>
      <w:pPr>
        <w:pStyle w:val="BodyText"/>
        <w:spacing w:line="20" w:lineRule="exact"/>
        <w:ind w:left="727"/>
        <w:rPr>
          <w:sz w:val="2"/>
        </w:rPr>
      </w:pPr>
      <w:r>
        <w:rPr>
          <w:sz w:val="2"/>
        </w:rPr>
        <w:pict>
          <v:group style="width:14.5pt;height:.5pt;mso-position-horizontal-relative:char;mso-position-vertical-relative:line" id="docshapegroup309" coordorigin="0,0" coordsize="290,10">
            <v:line style="position:absolute" from="290,5" to="0,5" stroked="true" strokeweight=".5pt" strokecolor="#231f20">
              <v:stroke dashstyle="solid"/>
            </v:line>
          </v:group>
        </w:pict>
      </w:r>
      <w:r>
        <w:rPr>
          <w:sz w:val="2"/>
        </w:rPr>
      </w:r>
    </w:p>
    <w:p>
      <w:pPr>
        <w:pStyle w:val="BodyText"/>
        <w:tabs>
          <w:tab w:pos="343" w:val="left" w:leader="none"/>
        </w:tabs>
        <w:spacing w:before="3"/>
        <w:ind w:right="3677"/>
        <w:jc w:val="right"/>
      </w:pPr>
      <w:r>
        <w:rPr>
          <w:color w:val="231F20"/>
          <w:spacing w:val="-10"/>
          <w:w w:val="110"/>
        </w:rPr>
        <w:t>$</w:t>
      </w:r>
      <w:r>
        <w:rPr>
          <w:color w:val="231F20"/>
        </w:rPr>
        <w:tab/>
      </w:r>
      <w:r>
        <w:rPr>
          <w:color w:val="231F20"/>
          <w:spacing w:val="-10"/>
          <w:w w:val="110"/>
        </w:rPr>
        <w:t>9</w:t>
      </w:r>
    </w:p>
    <w:p>
      <w:pPr>
        <w:spacing w:after="0"/>
        <w:jc w:val="right"/>
        <w:sectPr>
          <w:type w:val="continuous"/>
          <w:pgSz w:w="8640" w:h="12960"/>
          <w:pgMar w:header="732" w:footer="0" w:top="1220" w:bottom="280" w:left="340" w:right="500"/>
          <w:cols w:num="2" w:equalWidth="0">
            <w:col w:w="3053" w:space="40"/>
            <w:col w:w="4707"/>
          </w:cols>
        </w:sectPr>
      </w:pPr>
    </w:p>
    <w:p>
      <w:pPr>
        <w:pStyle w:val="BodyText"/>
        <w:spacing w:before="10"/>
        <w:rPr>
          <w:sz w:val="17"/>
        </w:rPr>
      </w:pPr>
    </w:p>
    <w:p>
      <w:pPr>
        <w:pStyle w:val="BodyText"/>
        <w:spacing w:line="292" w:lineRule="auto" w:before="102"/>
        <w:ind w:left="830"/>
      </w:pPr>
      <w:r>
        <w:rPr>
          <w:color w:val="231F20"/>
        </w:rPr>
        <w:t>end</w:t>
      </w:r>
      <w:r>
        <w:rPr>
          <w:color w:val="231F20"/>
          <w:spacing w:val="22"/>
        </w:rPr>
        <w:t> </w:t>
      </w:r>
      <w:r>
        <w:rPr>
          <w:color w:val="231F20"/>
        </w:rPr>
        <w:t>of</w:t>
      </w:r>
      <w:r>
        <w:rPr>
          <w:color w:val="231F20"/>
          <w:spacing w:val="22"/>
        </w:rPr>
        <w:t> </w:t>
      </w:r>
      <w:r>
        <w:rPr>
          <w:color w:val="231F20"/>
        </w:rPr>
        <w:t>Year</w:t>
      </w:r>
      <w:r>
        <w:rPr>
          <w:color w:val="231F20"/>
          <w:spacing w:val="22"/>
        </w:rPr>
        <w:t> </w:t>
      </w:r>
      <w:r>
        <w:rPr>
          <w:color w:val="231F20"/>
        </w:rPr>
        <w:t>1</w:t>
      </w:r>
      <w:r>
        <w:rPr>
          <w:color w:val="231F20"/>
          <w:spacing w:val="22"/>
        </w:rPr>
        <w:t> </w:t>
      </w:r>
      <w:r>
        <w:rPr>
          <w:color w:val="231F20"/>
        </w:rPr>
        <w:t>and</w:t>
      </w:r>
      <w:r>
        <w:rPr>
          <w:color w:val="231F20"/>
          <w:spacing w:val="22"/>
        </w:rPr>
        <w:t> </w:t>
      </w:r>
      <w:r>
        <w:rPr>
          <w:color w:val="231F20"/>
        </w:rPr>
        <w:t>invested</w:t>
      </w:r>
      <w:r>
        <w:rPr>
          <w:color w:val="231F20"/>
          <w:spacing w:val="22"/>
        </w:rPr>
        <w:t> </w:t>
      </w:r>
      <w:r>
        <w:rPr>
          <w:color w:val="231F20"/>
        </w:rPr>
        <w:t>for</w:t>
      </w:r>
      <w:r>
        <w:rPr>
          <w:color w:val="231F20"/>
          <w:spacing w:val="22"/>
        </w:rPr>
        <w:t> </w:t>
      </w:r>
      <w:r>
        <w:rPr>
          <w:color w:val="231F20"/>
        </w:rPr>
        <w:t>two</w:t>
      </w:r>
      <w:r>
        <w:rPr>
          <w:color w:val="231F20"/>
          <w:spacing w:val="22"/>
        </w:rPr>
        <w:t> </w:t>
      </w:r>
      <w:r>
        <w:rPr>
          <w:color w:val="231F20"/>
        </w:rPr>
        <w:t>years</w:t>
      </w:r>
      <w:r>
        <w:rPr>
          <w:color w:val="231F20"/>
          <w:spacing w:val="22"/>
        </w:rPr>
        <w:t> </w:t>
      </w:r>
      <w:r>
        <w:rPr>
          <w:color w:val="231F20"/>
        </w:rPr>
        <w:t>till</w:t>
      </w:r>
      <w:r>
        <w:rPr>
          <w:color w:val="231F20"/>
          <w:spacing w:val="22"/>
        </w:rPr>
        <w:t> </w:t>
      </w:r>
      <w:r>
        <w:rPr>
          <w:color w:val="231F20"/>
        </w:rPr>
        <w:t>the</w:t>
      </w:r>
      <w:r>
        <w:rPr>
          <w:color w:val="231F20"/>
          <w:spacing w:val="22"/>
        </w:rPr>
        <w:t> </w:t>
      </w:r>
      <w:r>
        <w:rPr>
          <w:color w:val="231F20"/>
        </w:rPr>
        <w:t>end</w:t>
      </w:r>
      <w:r>
        <w:rPr>
          <w:color w:val="231F20"/>
          <w:spacing w:val="22"/>
        </w:rPr>
        <w:t> </w:t>
      </w:r>
      <w:r>
        <w:rPr>
          <w:color w:val="231F20"/>
        </w:rPr>
        <w:t>of</w:t>
      </w:r>
      <w:r>
        <w:rPr>
          <w:color w:val="231F20"/>
          <w:spacing w:val="22"/>
        </w:rPr>
        <w:t> </w:t>
      </w:r>
      <w:r>
        <w:rPr>
          <w:color w:val="231F20"/>
        </w:rPr>
        <w:t>Year</w:t>
      </w:r>
      <w:r>
        <w:rPr>
          <w:color w:val="231F20"/>
          <w:spacing w:val="22"/>
        </w:rPr>
        <w:t> </w:t>
      </w:r>
      <w:r>
        <w:rPr>
          <w:color w:val="231F20"/>
        </w:rPr>
        <w:t>3,</w:t>
      </w:r>
      <w:r>
        <w:rPr>
          <w:color w:val="231F20"/>
          <w:spacing w:val="22"/>
        </w:rPr>
        <w:t> </w:t>
      </w:r>
      <w:r>
        <w:rPr>
          <w:color w:val="231F20"/>
        </w:rPr>
        <w:t>the accumulated value is:</w:t>
      </w:r>
    </w:p>
    <w:p>
      <w:pPr>
        <w:pStyle w:val="BodyText"/>
        <w:rPr>
          <w:sz w:val="20"/>
        </w:rPr>
      </w:pPr>
    </w:p>
    <w:p>
      <w:pPr>
        <w:pStyle w:val="BodyText"/>
        <w:spacing w:before="2"/>
        <w:rPr>
          <w:sz w:val="18"/>
        </w:rPr>
      </w:pPr>
      <w:r>
        <w:rPr/>
        <w:drawing>
          <wp:anchor distT="0" distB="0" distL="0" distR="0" allowOverlap="1" layoutInCell="1" locked="0" behindDoc="0" simplePos="0" relativeHeight="192">
            <wp:simplePos x="0" y="0"/>
            <wp:positionH relativeFrom="page">
              <wp:posOffset>1487673</wp:posOffset>
            </wp:positionH>
            <wp:positionV relativeFrom="paragraph">
              <wp:posOffset>150884</wp:posOffset>
            </wp:positionV>
            <wp:extent cx="2460151" cy="1216152"/>
            <wp:effectExtent l="0" t="0" r="0" b="0"/>
            <wp:wrapTopAndBottom/>
            <wp:docPr id="61" name="image38.png"/>
            <wp:cNvGraphicFramePr>
              <a:graphicFrameLocks noChangeAspect="1"/>
            </wp:cNvGraphicFramePr>
            <a:graphic>
              <a:graphicData uri="http://schemas.openxmlformats.org/drawingml/2006/picture">
                <pic:pic>
                  <pic:nvPicPr>
                    <pic:cNvPr id="62" name="image38.png"/>
                    <pic:cNvPicPr/>
                  </pic:nvPicPr>
                  <pic:blipFill>
                    <a:blip r:embed="rId63" cstate="print"/>
                    <a:stretch>
                      <a:fillRect/>
                    </a:stretch>
                  </pic:blipFill>
                  <pic:spPr>
                    <a:xfrm>
                      <a:off x="0" y="0"/>
                      <a:ext cx="2460151" cy="1216152"/>
                    </a:xfrm>
                    <a:prstGeom prst="rect">
                      <a:avLst/>
                    </a:prstGeom>
                  </pic:spPr>
                </pic:pic>
              </a:graphicData>
            </a:graphic>
          </wp:anchor>
        </w:drawing>
      </w:r>
    </w:p>
    <w:p>
      <w:pPr>
        <w:pStyle w:val="BodyText"/>
        <w:spacing w:before="3"/>
        <w:rPr>
          <w:sz w:val="10"/>
        </w:rPr>
      </w:pPr>
    </w:p>
    <w:p>
      <w:pPr>
        <w:pStyle w:val="BodyText"/>
        <w:spacing w:before="90"/>
        <w:ind w:left="1170"/>
      </w:pPr>
      <w:r>
        <w:rPr>
          <w:color w:val="231F20"/>
          <w:w w:val="105"/>
        </w:rPr>
        <w:t>Year</w:t>
      </w:r>
      <w:r>
        <w:rPr>
          <w:color w:val="231F20"/>
          <w:spacing w:val="-3"/>
          <w:w w:val="105"/>
        </w:rPr>
        <w:t> </w:t>
      </w:r>
      <w:r>
        <w:rPr>
          <w:color w:val="231F20"/>
          <w:w w:val="105"/>
        </w:rPr>
        <w:t>1’s</w:t>
      </w:r>
      <w:r>
        <w:rPr>
          <w:color w:val="231F20"/>
          <w:spacing w:val="-2"/>
          <w:w w:val="105"/>
        </w:rPr>
        <w:t> </w:t>
      </w:r>
      <w:r>
        <w:rPr>
          <w:color w:val="231F20"/>
          <w:w w:val="105"/>
        </w:rPr>
        <w:t>$163,000</w:t>
      </w:r>
      <w:r>
        <w:rPr>
          <w:color w:val="231F20"/>
          <w:spacing w:val="-2"/>
          <w:w w:val="105"/>
        </w:rPr>
        <w:t> </w:t>
      </w:r>
      <w:r>
        <w:rPr>
          <w:rFonts w:ascii="Symbol" w:hAnsi="Symbol"/>
          <w:color w:val="231F20"/>
          <w:w w:val="105"/>
        </w:rPr>
        <w:t></w:t>
      </w:r>
      <w:r>
        <w:rPr>
          <w:rFonts w:ascii="Times New Roman" w:hAnsi="Times New Roman"/>
          <w:color w:val="231F20"/>
          <w:spacing w:val="-9"/>
          <w:w w:val="105"/>
        </w:rPr>
        <w:t> </w:t>
      </w:r>
      <w:r>
        <w:rPr>
          <w:color w:val="231F20"/>
          <w:w w:val="105"/>
        </w:rPr>
        <w:t>1.2100</w:t>
      </w:r>
      <w:r>
        <w:rPr>
          <w:color w:val="231F20"/>
          <w:spacing w:val="-2"/>
          <w:w w:val="105"/>
        </w:rPr>
        <w:t> </w:t>
      </w:r>
      <w:r>
        <w:rPr>
          <w:rFonts w:ascii="Symbol" w:hAnsi="Symbol"/>
          <w:color w:val="231F20"/>
          <w:w w:val="105"/>
        </w:rPr>
        <w:t></w:t>
      </w:r>
      <w:r>
        <w:rPr>
          <w:rFonts w:ascii="Times New Roman" w:hAnsi="Times New Roman"/>
          <w:color w:val="231F20"/>
          <w:spacing w:val="-9"/>
          <w:w w:val="105"/>
        </w:rPr>
        <w:t> </w:t>
      </w:r>
      <w:r>
        <w:rPr>
          <w:color w:val="231F20"/>
          <w:w w:val="105"/>
        </w:rPr>
        <w:t>$197,230</w:t>
      </w:r>
      <w:r>
        <w:rPr>
          <w:color w:val="231F20"/>
          <w:spacing w:val="-2"/>
          <w:w w:val="105"/>
        </w:rPr>
        <w:t> </w:t>
      </w:r>
      <w:r>
        <w:rPr>
          <w:color w:val="231F20"/>
          <w:w w:val="105"/>
        </w:rPr>
        <w:t>in</w:t>
      </w:r>
      <w:r>
        <w:rPr>
          <w:color w:val="231F20"/>
          <w:spacing w:val="-3"/>
          <w:w w:val="105"/>
        </w:rPr>
        <w:t> </w:t>
      </w:r>
      <w:r>
        <w:rPr>
          <w:color w:val="231F20"/>
          <w:w w:val="105"/>
        </w:rPr>
        <w:t>2</w:t>
      </w:r>
      <w:r>
        <w:rPr>
          <w:color w:val="231F20"/>
          <w:spacing w:val="-2"/>
          <w:w w:val="105"/>
        </w:rPr>
        <w:t> </w:t>
      </w:r>
      <w:r>
        <w:rPr>
          <w:color w:val="231F20"/>
          <w:w w:val="105"/>
        </w:rPr>
        <w:t>years</w:t>
      </w:r>
      <w:r>
        <w:rPr>
          <w:color w:val="231F20"/>
          <w:spacing w:val="-2"/>
          <w:w w:val="105"/>
        </w:rPr>
        <w:t> </w:t>
      </w:r>
      <w:r>
        <w:rPr>
          <w:color w:val="231F20"/>
          <w:spacing w:val="-5"/>
          <w:w w:val="105"/>
        </w:rPr>
        <w:t>or</w:t>
      </w:r>
    </w:p>
    <w:p>
      <w:pPr>
        <w:pStyle w:val="BodyText"/>
        <w:tabs>
          <w:tab w:pos="1360" w:val="left" w:leader="none"/>
        </w:tabs>
        <w:spacing w:before="42"/>
        <w:ind w:left="236"/>
        <w:jc w:val="center"/>
      </w:pPr>
      <w:r>
        <w:rPr/>
        <w:pict>
          <v:rect style="position:absolute;margin-left:135.31929pt;margin-top:9.780894pt;width:4.93095pt;height:.7242pt;mso-position-horizontal-relative:page;mso-position-vertical-relative:paragraph;z-index:-25129472" id="docshape310" filled="true" fillcolor="#231f20" stroked="false">
            <v:fill type="solid"/>
            <w10:wrap type="none"/>
          </v:rect>
        </w:pict>
      </w:r>
      <w:r>
        <w:rPr>
          <w:color w:val="231F20"/>
          <w:spacing w:val="-2"/>
          <w:w w:val="105"/>
        </w:rPr>
        <w:t>$197,230</w:t>
      </w:r>
      <w:r>
        <w:rPr>
          <w:color w:val="231F20"/>
        </w:rPr>
        <w:tab/>
        <w:t>$163,000</w:t>
      </w:r>
      <w:r>
        <w:rPr>
          <w:color w:val="231F20"/>
          <w:spacing w:val="21"/>
        </w:rPr>
        <w:t> </w:t>
      </w:r>
      <w:r>
        <w:rPr>
          <w:rFonts w:ascii="Symbol" w:hAnsi="Symbol"/>
          <w:color w:val="231F20"/>
        </w:rPr>
        <w:t></w:t>
      </w:r>
      <w:r>
        <w:rPr>
          <w:rFonts w:ascii="Times New Roman" w:hAnsi="Times New Roman"/>
          <w:color w:val="231F20"/>
          <w:spacing w:val="16"/>
        </w:rPr>
        <w:t> </w:t>
      </w:r>
      <w:r>
        <w:rPr>
          <w:color w:val="231F20"/>
        </w:rPr>
        <w:t>$34,230</w:t>
      </w:r>
      <w:r>
        <w:rPr>
          <w:color w:val="231F20"/>
          <w:spacing w:val="22"/>
        </w:rPr>
        <w:t> </w:t>
      </w:r>
      <w:r>
        <w:rPr>
          <w:color w:val="231F20"/>
        </w:rPr>
        <w:t>of</w:t>
      </w:r>
      <w:r>
        <w:rPr>
          <w:color w:val="231F20"/>
          <w:spacing w:val="22"/>
        </w:rPr>
        <w:t> </w:t>
      </w:r>
      <w:r>
        <w:rPr>
          <w:color w:val="231F20"/>
        </w:rPr>
        <w:t>reinvestment</w:t>
      </w:r>
      <w:r>
        <w:rPr>
          <w:color w:val="231F20"/>
          <w:spacing w:val="22"/>
        </w:rPr>
        <w:t> </w:t>
      </w:r>
      <w:r>
        <w:rPr>
          <w:color w:val="231F20"/>
          <w:spacing w:val="-2"/>
        </w:rPr>
        <w:t>income</w:t>
      </w:r>
    </w:p>
    <w:p>
      <w:pPr>
        <w:pStyle w:val="BodyText"/>
        <w:spacing w:before="11"/>
        <w:rPr>
          <w:sz w:val="16"/>
        </w:rPr>
      </w:pPr>
      <w:r>
        <w:rPr/>
        <w:drawing>
          <wp:anchor distT="0" distB="0" distL="0" distR="0" allowOverlap="1" layoutInCell="1" locked="0" behindDoc="0" simplePos="0" relativeHeight="193">
            <wp:simplePos x="0" y="0"/>
            <wp:positionH relativeFrom="page">
              <wp:posOffset>1523743</wp:posOffset>
            </wp:positionH>
            <wp:positionV relativeFrom="paragraph">
              <wp:posOffset>141562</wp:posOffset>
            </wp:positionV>
            <wp:extent cx="2394390" cy="1805939"/>
            <wp:effectExtent l="0" t="0" r="0" b="0"/>
            <wp:wrapTopAndBottom/>
            <wp:docPr id="63" name="image39.png"/>
            <wp:cNvGraphicFramePr>
              <a:graphicFrameLocks noChangeAspect="1"/>
            </wp:cNvGraphicFramePr>
            <a:graphic>
              <a:graphicData uri="http://schemas.openxmlformats.org/drawingml/2006/picture">
                <pic:pic>
                  <pic:nvPicPr>
                    <pic:cNvPr id="64" name="image39.png"/>
                    <pic:cNvPicPr/>
                  </pic:nvPicPr>
                  <pic:blipFill>
                    <a:blip r:embed="rId64" cstate="print"/>
                    <a:stretch>
                      <a:fillRect/>
                    </a:stretch>
                  </pic:blipFill>
                  <pic:spPr>
                    <a:xfrm>
                      <a:off x="0" y="0"/>
                      <a:ext cx="2394390" cy="1805939"/>
                    </a:xfrm>
                    <a:prstGeom prst="rect">
                      <a:avLst/>
                    </a:prstGeom>
                  </pic:spPr>
                </pic:pic>
              </a:graphicData>
            </a:graphic>
          </wp:anchor>
        </w:drawing>
      </w:r>
    </w:p>
    <w:p>
      <w:pPr>
        <w:pStyle w:val="BodyText"/>
        <w:spacing w:before="4"/>
        <w:rPr>
          <w:sz w:val="19"/>
        </w:rPr>
      </w:pPr>
    </w:p>
    <w:p>
      <w:pPr>
        <w:pStyle w:val="BodyText"/>
        <w:ind w:left="1170"/>
      </w:pPr>
      <w:r>
        <w:rPr>
          <w:color w:val="231F20"/>
        </w:rPr>
        <w:t>When</w:t>
      </w:r>
      <w:r>
        <w:rPr>
          <w:color w:val="231F20"/>
          <w:spacing w:val="5"/>
        </w:rPr>
        <w:t> </w:t>
      </w:r>
      <w:r>
        <w:rPr>
          <w:color w:val="231F20"/>
        </w:rPr>
        <w:t>evaluating</w:t>
      </w:r>
      <w:r>
        <w:rPr>
          <w:color w:val="231F20"/>
          <w:spacing w:val="6"/>
        </w:rPr>
        <w:t> </w:t>
      </w:r>
      <w:r>
        <w:rPr>
          <w:color w:val="231F20"/>
        </w:rPr>
        <w:t>projects</w:t>
      </w:r>
      <w:r>
        <w:rPr>
          <w:color w:val="231F20"/>
          <w:spacing w:val="5"/>
        </w:rPr>
        <w:t> </w:t>
      </w:r>
      <w:r>
        <w:rPr>
          <w:color w:val="231F20"/>
        </w:rPr>
        <w:t>or</w:t>
      </w:r>
      <w:r>
        <w:rPr>
          <w:color w:val="231F20"/>
          <w:spacing w:val="6"/>
        </w:rPr>
        <w:t> </w:t>
      </w:r>
      <w:r>
        <w:rPr>
          <w:color w:val="231F20"/>
        </w:rPr>
        <w:t>investments</w:t>
      </w:r>
      <w:r>
        <w:rPr>
          <w:color w:val="231F20"/>
          <w:spacing w:val="5"/>
        </w:rPr>
        <w:t> </w:t>
      </w:r>
      <w:r>
        <w:rPr>
          <w:color w:val="231F20"/>
        </w:rPr>
        <w:t>that</w:t>
      </w:r>
      <w:r>
        <w:rPr>
          <w:color w:val="231F20"/>
          <w:spacing w:val="6"/>
        </w:rPr>
        <w:t> </w:t>
      </w:r>
      <w:r>
        <w:rPr>
          <w:color w:val="231F20"/>
        </w:rPr>
        <w:t>extend</w:t>
      </w:r>
      <w:r>
        <w:rPr>
          <w:color w:val="231F20"/>
          <w:spacing w:val="5"/>
        </w:rPr>
        <w:t> </w:t>
      </w:r>
      <w:r>
        <w:rPr>
          <w:color w:val="231F20"/>
        </w:rPr>
        <w:t>into</w:t>
      </w:r>
      <w:r>
        <w:rPr>
          <w:color w:val="231F20"/>
          <w:spacing w:val="6"/>
        </w:rPr>
        <w:t> </w:t>
      </w:r>
      <w:r>
        <w:rPr>
          <w:color w:val="231F20"/>
        </w:rPr>
        <w:t>the</w:t>
      </w:r>
      <w:r>
        <w:rPr>
          <w:color w:val="231F20"/>
          <w:spacing w:val="5"/>
        </w:rPr>
        <w:t> </w:t>
      </w:r>
      <w:r>
        <w:rPr>
          <w:color w:val="231F20"/>
          <w:spacing w:val="-5"/>
        </w:rPr>
        <w:t>fu-</w:t>
      </w:r>
    </w:p>
    <w:p>
      <w:pPr>
        <w:pStyle w:val="BodyText"/>
        <w:spacing w:before="4"/>
        <w:rPr>
          <w:sz w:val="16"/>
        </w:rPr>
      </w:pPr>
      <w:r>
        <w:rPr/>
        <w:drawing>
          <wp:anchor distT="0" distB="0" distL="0" distR="0" allowOverlap="1" layoutInCell="1" locked="0" behindDoc="0" simplePos="0" relativeHeight="194">
            <wp:simplePos x="0" y="0"/>
            <wp:positionH relativeFrom="page">
              <wp:posOffset>1455923</wp:posOffset>
            </wp:positionH>
            <wp:positionV relativeFrom="paragraph">
              <wp:posOffset>137274</wp:posOffset>
            </wp:positionV>
            <wp:extent cx="2529927" cy="1755648"/>
            <wp:effectExtent l="0" t="0" r="0" b="0"/>
            <wp:wrapTopAndBottom/>
            <wp:docPr id="65" name="image40.png"/>
            <wp:cNvGraphicFramePr>
              <a:graphicFrameLocks noChangeAspect="1"/>
            </wp:cNvGraphicFramePr>
            <a:graphic>
              <a:graphicData uri="http://schemas.openxmlformats.org/drawingml/2006/picture">
                <pic:pic>
                  <pic:nvPicPr>
                    <pic:cNvPr id="66" name="image40.png"/>
                    <pic:cNvPicPr/>
                  </pic:nvPicPr>
                  <pic:blipFill>
                    <a:blip r:embed="rId65" cstate="print"/>
                    <a:stretch>
                      <a:fillRect/>
                    </a:stretch>
                  </pic:blipFill>
                  <pic:spPr>
                    <a:xfrm>
                      <a:off x="0" y="0"/>
                      <a:ext cx="2529927" cy="1755648"/>
                    </a:xfrm>
                    <a:prstGeom prst="rect">
                      <a:avLst/>
                    </a:prstGeom>
                  </pic:spPr>
                </pic:pic>
              </a:graphicData>
            </a:graphic>
          </wp:anchor>
        </w:drawing>
      </w:r>
    </w:p>
    <w:p>
      <w:pPr>
        <w:pStyle w:val="BodyText"/>
        <w:rPr>
          <w:sz w:val="19"/>
        </w:rPr>
      </w:pPr>
    </w:p>
    <w:p>
      <w:pPr>
        <w:pStyle w:val="BodyText"/>
        <w:ind w:left="830"/>
      </w:pPr>
      <w:r>
        <w:rPr>
          <w:color w:val="231F20"/>
        </w:rPr>
        <w:t>ture,</w:t>
      </w:r>
      <w:r>
        <w:rPr>
          <w:color w:val="231F20"/>
          <w:spacing w:val="7"/>
        </w:rPr>
        <w:t> </w:t>
      </w:r>
      <w:r>
        <w:rPr>
          <w:color w:val="231F20"/>
        </w:rPr>
        <w:t>it</w:t>
      </w:r>
      <w:r>
        <w:rPr>
          <w:color w:val="231F20"/>
          <w:spacing w:val="8"/>
        </w:rPr>
        <w:t> </w:t>
      </w:r>
      <w:r>
        <w:rPr>
          <w:color w:val="231F20"/>
        </w:rPr>
        <w:t>is</w:t>
      </w:r>
      <w:r>
        <w:rPr>
          <w:color w:val="231F20"/>
          <w:spacing w:val="8"/>
        </w:rPr>
        <w:t> </w:t>
      </w:r>
      <w:r>
        <w:rPr>
          <w:color w:val="231F20"/>
        </w:rPr>
        <w:t>not</w:t>
      </w:r>
      <w:r>
        <w:rPr>
          <w:color w:val="231F20"/>
          <w:spacing w:val="7"/>
        </w:rPr>
        <w:t> </w:t>
      </w:r>
      <w:r>
        <w:rPr>
          <w:color w:val="231F20"/>
        </w:rPr>
        <w:t>only</w:t>
      </w:r>
      <w:r>
        <w:rPr>
          <w:color w:val="231F20"/>
          <w:spacing w:val="8"/>
        </w:rPr>
        <w:t> </w:t>
      </w:r>
      <w:r>
        <w:rPr>
          <w:color w:val="231F20"/>
        </w:rPr>
        <w:t>the</w:t>
      </w:r>
      <w:r>
        <w:rPr>
          <w:color w:val="231F20"/>
          <w:spacing w:val="8"/>
        </w:rPr>
        <w:t> </w:t>
      </w:r>
      <w:r>
        <w:rPr>
          <w:color w:val="231F20"/>
        </w:rPr>
        <w:t>magnitude</w:t>
      </w:r>
      <w:r>
        <w:rPr>
          <w:color w:val="231F20"/>
          <w:spacing w:val="7"/>
        </w:rPr>
        <w:t> </w:t>
      </w:r>
      <w:r>
        <w:rPr>
          <w:color w:val="231F20"/>
        </w:rPr>
        <w:t>of</w:t>
      </w:r>
      <w:r>
        <w:rPr>
          <w:color w:val="231F20"/>
          <w:spacing w:val="8"/>
        </w:rPr>
        <w:t> </w:t>
      </w:r>
      <w:r>
        <w:rPr>
          <w:color w:val="231F20"/>
        </w:rPr>
        <w:t>the</w:t>
      </w:r>
      <w:r>
        <w:rPr>
          <w:color w:val="231F20"/>
          <w:spacing w:val="8"/>
        </w:rPr>
        <w:t> </w:t>
      </w:r>
      <w:r>
        <w:rPr>
          <w:color w:val="231F20"/>
        </w:rPr>
        <w:t>cash</w:t>
      </w:r>
      <w:r>
        <w:rPr>
          <w:color w:val="231F20"/>
          <w:spacing w:val="8"/>
        </w:rPr>
        <w:t> </w:t>
      </w:r>
      <w:r>
        <w:rPr>
          <w:color w:val="231F20"/>
        </w:rPr>
        <w:t>flows</w:t>
      </w:r>
      <w:r>
        <w:rPr>
          <w:color w:val="231F20"/>
          <w:spacing w:val="7"/>
        </w:rPr>
        <w:t> </w:t>
      </w:r>
      <w:r>
        <w:rPr>
          <w:color w:val="231F20"/>
        </w:rPr>
        <w:t>that</w:t>
      </w:r>
      <w:r>
        <w:rPr>
          <w:color w:val="231F20"/>
          <w:spacing w:val="8"/>
        </w:rPr>
        <w:t> </w:t>
      </w:r>
      <w:r>
        <w:rPr>
          <w:color w:val="231F20"/>
        </w:rPr>
        <w:t>is</w:t>
      </w:r>
      <w:r>
        <w:rPr>
          <w:color w:val="231F20"/>
          <w:spacing w:val="8"/>
        </w:rPr>
        <w:t> </w:t>
      </w:r>
      <w:r>
        <w:rPr>
          <w:color w:val="231F20"/>
          <w:spacing w:val="-2"/>
        </w:rPr>
        <w:t>important,</w:t>
      </w:r>
    </w:p>
    <w:p>
      <w:pPr>
        <w:spacing w:after="0"/>
        <w:sectPr>
          <w:pgSz w:w="8640" w:h="12960"/>
          <w:pgMar w:header="732" w:footer="0" w:top="920" w:bottom="280" w:left="340" w:right="500"/>
        </w:sectPr>
      </w:pPr>
    </w:p>
    <w:p>
      <w:pPr>
        <w:pStyle w:val="BodyText"/>
        <w:spacing w:before="8"/>
        <w:rPr>
          <w:sz w:val="19"/>
        </w:rPr>
      </w:pPr>
    </w:p>
    <w:p>
      <w:pPr>
        <w:spacing w:before="96"/>
        <w:ind w:left="473" w:right="219" w:firstLine="0"/>
        <w:jc w:val="center"/>
        <w:rPr>
          <w:rFonts w:ascii="Arial"/>
          <w:sz w:val="14"/>
        </w:rPr>
      </w:pPr>
      <w:r>
        <w:rPr>
          <w:rFonts w:ascii="Arial"/>
          <w:color w:val="231F20"/>
          <w:w w:val="105"/>
          <w:sz w:val="14"/>
        </w:rPr>
        <w:t>ACCUMULATED</w:t>
      </w:r>
      <w:r>
        <w:rPr>
          <w:rFonts w:ascii="Arial"/>
          <w:color w:val="231F20"/>
          <w:spacing w:val="36"/>
          <w:w w:val="105"/>
          <w:sz w:val="14"/>
        </w:rPr>
        <w:t> </w:t>
      </w:r>
      <w:r>
        <w:rPr>
          <w:rFonts w:ascii="Arial"/>
          <w:color w:val="231F20"/>
          <w:w w:val="105"/>
          <w:sz w:val="14"/>
        </w:rPr>
        <w:t>VALUE</w:t>
      </w:r>
      <w:r>
        <w:rPr>
          <w:rFonts w:ascii="Arial"/>
          <w:color w:val="231F20"/>
          <w:spacing w:val="37"/>
          <w:w w:val="105"/>
          <w:sz w:val="14"/>
        </w:rPr>
        <w:t> </w:t>
      </w:r>
      <w:r>
        <w:rPr>
          <w:rFonts w:ascii="Arial"/>
          <w:color w:val="231F20"/>
          <w:spacing w:val="-2"/>
          <w:w w:val="105"/>
          <w:sz w:val="14"/>
        </w:rPr>
        <w:t>CALCULATION</w:t>
      </w:r>
    </w:p>
    <w:p>
      <w:pPr>
        <w:pStyle w:val="BodyText"/>
        <w:spacing w:before="6"/>
        <w:rPr>
          <w:rFonts w:ascii="Arial"/>
          <w:sz w:val="16"/>
        </w:rPr>
      </w:pPr>
      <w:r>
        <w:rPr/>
        <w:drawing>
          <wp:anchor distT="0" distB="0" distL="0" distR="0" allowOverlap="1" layoutInCell="1" locked="0" behindDoc="0" simplePos="0" relativeHeight="196">
            <wp:simplePos x="0" y="0"/>
            <wp:positionH relativeFrom="page">
              <wp:posOffset>785293</wp:posOffset>
            </wp:positionH>
            <wp:positionV relativeFrom="paragraph">
              <wp:posOffset>136316</wp:posOffset>
            </wp:positionV>
            <wp:extent cx="4010040" cy="1121664"/>
            <wp:effectExtent l="0" t="0" r="0" b="0"/>
            <wp:wrapTopAndBottom/>
            <wp:docPr id="67" name="image41.png"/>
            <wp:cNvGraphicFramePr>
              <a:graphicFrameLocks noChangeAspect="1"/>
            </wp:cNvGraphicFramePr>
            <a:graphic>
              <a:graphicData uri="http://schemas.openxmlformats.org/drawingml/2006/picture">
                <pic:pic>
                  <pic:nvPicPr>
                    <pic:cNvPr id="68" name="image41.png"/>
                    <pic:cNvPicPr/>
                  </pic:nvPicPr>
                  <pic:blipFill>
                    <a:blip r:embed="rId66" cstate="print"/>
                    <a:stretch>
                      <a:fillRect/>
                    </a:stretch>
                  </pic:blipFill>
                  <pic:spPr>
                    <a:xfrm>
                      <a:off x="0" y="0"/>
                      <a:ext cx="4010040" cy="1121664"/>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8"/>
        </w:rPr>
      </w:pPr>
    </w:p>
    <w:p>
      <w:pPr>
        <w:pStyle w:val="BodyText"/>
        <w:spacing w:line="292" w:lineRule="auto"/>
        <w:ind w:left="920" w:right="666"/>
        <w:jc w:val="both"/>
      </w:pPr>
      <w:r>
        <w:rPr>
          <w:color w:val="231F20"/>
        </w:rPr>
        <w:t>but also the timing and the subsequent use to which those flows can be reinvested.</w:t>
      </w:r>
    </w:p>
    <w:p>
      <w:pPr>
        <w:pStyle w:val="BodyText"/>
        <w:rPr>
          <w:sz w:val="24"/>
        </w:rPr>
      </w:pPr>
    </w:p>
    <w:p>
      <w:pPr>
        <w:pStyle w:val="BodyText"/>
        <w:spacing w:before="11"/>
        <w:rPr>
          <w:sz w:val="33"/>
        </w:rPr>
      </w:pPr>
    </w:p>
    <w:p>
      <w:pPr>
        <w:pStyle w:val="Heading6"/>
        <w:rPr>
          <w:i/>
        </w:rPr>
      </w:pPr>
      <w:r>
        <w:rPr>
          <w:i/>
          <w:color w:val="231F20"/>
          <w:w w:val="110"/>
        </w:rPr>
        <w:t>NET</w:t>
      </w:r>
      <w:r>
        <w:rPr>
          <w:i/>
          <w:color w:val="231F20"/>
          <w:spacing w:val="70"/>
          <w:w w:val="110"/>
        </w:rPr>
        <w:t> </w:t>
      </w:r>
      <w:r>
        <w:rPr>
          <w:i/>
          <w:color w:val="231F20"/>
          <w:w w:val="110"/>
        </w:rPr>
        <w:t>PRESENT</w:t>
      </w:r>
      <w:r>
        <w:rPr>
          <w:i/>
          <w:color w:val="231F20"/>
          <w:spacing w:val="71"/>
          <w:w w:val="110"/>
        </w:rPr>
        <w:t> </w:t>
      </w:r>
      <w:r>
        <w:rPr>
          <w:i/>
          <w:color w:val="231F20"/>
          <w:w w:val="110"/>
        </w:rPr>
        <w:t>VALUE</w:t>
      </w:r>
      <w:r>
        <w:rPr>
          <w:i/>
          <w:color w:val="231F20"/>
          <w:spacing w:val="71"/>
          <w:w w:val="110"/>
        </w:rPr>
        <w:t> </w:t>
      </w:r>
      <w:r>
        <w:rPr>
          <w:i/>
          <w:color w:val="231F20"/>
          <w:spacing w:val="8"/>
          <w:w w:val="110"/>
        </w:rPr>
        <w:t>(NPV)</w:t>
      </w:r>
    </w:p>
    <w:p>
      <w:pPr>
        <w:pStyle w:val="BodyText"/>
        <w:spacing w:before="2"/>
        <w:rPr>
          <w:b/>
          <w:i/>
          <w:sz w:val="30"/>
        </w:rPr>
      </w:pPr>
    </w:p>
    <w:p>
      <w:pPr>
        <w:pStyle w:val="BodyText"/>
        <w:spacing w:line="292" w:lineRule="auto"/>
        <w:ind w:left="920" w:right="666"/>
        <w:jc w:val="both"/>
      </w:pPr>
      <w:r>
        <w:rPr>
          <w:color w:val="231F20"/>
        </w:rPr>
        <w:t>Accumulated value analysis is a good tool to determine how much </w:t>
      </w:r>
      <w:r>
        <w:rPr>
          <w:color w:val="231F20"/>
        </w:rPr>
        <w:t>a retiree needs to invest today to have an adequate pension in thirty years, but it doesn’t solve the problem of evaluating investments and projects today. Investments need to be evaluated in today’s dollars. How much is Quaker’s milling project worth today? How does it compare to a similar piece of equipment that costs $150,000 but</w:t>
      </w:r>
      <w:r>
        <w:rPr>
          <w:color w:val="231F20"/>
          <w:spacing w:val="80"/>
        </w:rPr>
        <w:t> </w:t>
      </w:r>
      <w:r>
        <w:rPr>
          <w:color w:val="231F20"/>
        </w:rPr>
        <w:t>lasts four years?</w:t>
      </w:r>
    </w:p>
    <w:p>
      <w:pPr>
        <w:spacing w:line="292" w:lineRule="auto" w:before="0"/>
        <w:ind w:left="919" w:right="666" w:firstLine="340"/>
        <w:jc w:val="both"/>
        <w:rPr>
          <w:i/>
          <w:sz w:val="21"/>
        </w:rPr>
      </w:pPr>
      <w:r>
        <w:rPr>
          <w:i/>
          <w:color w:val="231F20"/>
          <w:w w:val="105"/>
          <w:sz w:val="21"/>
        </w:rPr>
        <w:t>Cash flow analysis determines the flows and the NPV </w:t>
      </w:r>
      <w:r>
        <w:rPr>
          <w:i/>
          <w:color w:val="231F20"/>
          <w:w w:val="105"/>
          <w:sz w:val="21"/>
        </w:rPr>
        <w:t>technique</w:t>
      </w:r>
      <w:r>
        <w:rPr>
          <w:i/>
          <w:color w:val="231F20"/>
          <w:w w:val="105"/>
          <w:sz w:val="21"/>
        </w:rPr>
        <w:t> values them in today’s dollars. In that way different projects can be compared regardless of timing.</w:t>
      </w:r>
    </w:p>
    <w:p>
      <w:pPr>
        <w:pStyle w:val="BodyText"/>
        <w:spacing w:line="292" w:lineRule="auto"/>
        <w:ind w:left="919" w:right="666" w:firstLine="340"/>
        <w:jc w:val="both"/>
      </w:pPr>
      <w:r>
        <w:rPr>
          <w:color w:val="231F20"/>
        </w:rPr>
        <w:t>If Apple Computer, for example, knows that a new Tangerine computer will be a surefire $500 million hit, but that it will take </w:t>
      </w:r>
      <w:r>
        <w:rPr>
          <w:color w:val="231F20"/>
        </w:rPr>
        <w:t>ten years to develop, it may not make sense to invest in this project. Not only will that $500 million be worth less due to inflation, but Apple could also use the money to invest in robotics, which will save Apple production costs </w:t>
      </w:r>
      <w:r>
        <w:rPr>
          <w:i/>
          <w:color w:val="231F20"/>
        </w:rPr>
        <w:t>today. </w:t>
      </w:r>
      <w:r>
        <w:rPr>
          <w:color w:val="231F20"/>
        </w:rPr>
        <w:t>Even if an NPV analysis justifies the Tanger- ine, there may be strategic reasons that overshadow it. That’s where the MBA must use management judgment.</w:t>
      </w:r>
    </w:p>
    <w:p>
      <w:pPr>
        <w:pStyle w:val="BodyText"/>
        <w:spacing w:line="292" w:lineRule="auto"/>
        <w:ind w:left="919" w:right="667" w:firstLine="340"/>
        <w:jc w:val="both"/>
      </w:pPr>
      <w:r>
        <w:rPr>
          <w:color w:val="231F20"/>
        </w:rPr>
        <w:t>Securities analysts see stocks and bonds as an equipment pur- chase.</w:t>
      </w:r>
      <w:r>
        <w:rPr>
          <w:color w:val="231F20"/>
          <w:spacing w:val="40"/>
        </w:rPr>
        <w:t> </w:t>
      </w:r>
      <w:r>
        <w:rPr>
          <w:color w:val="231F20"/>
        </w:rPr>
        <w:t>The</w:t>
      </w:r>
      <w:r>
        <w:rPr>
          <w:color w:val="231F20"/>
          <w:spacing w:val="40"/>
        </w:rPr>
        <w:t> </w:t>
      </w:r>
      <w:r>
        <w:rPr>
          <w:color w:val="231F20"/>
        </w:rPr>
        <w:t>stocks</w:t>
      </w:r>
      <w:r>
        <w:rPr>
          <w:color w:val="231F20"/>
          <w:spacing w:val="40"/>
        </w:rPr>
        <w:t> </w:t>
      </w:r>
      <w:r>
        <w:rPr>
          <w:color w:val="231F20"/>
        </w:rPr>
        <w:t>provide</w:t>
      </w:r>
      <w:r>
        <w:rPr>
          <w:color w:val="231F20"/>
          <w:spacing w:val="40"/>
        </w:rPr>
        <w:t> </w:t>
      </w:r>
      <w:r>
        <w:rPr>
          <w:color w:val="231F20"/>
        </w:rPr>
        <w:t>dividend</w:t>
      </w:r>
      <w:r>
        <w:rPr>
          <w:color w:val="231F20"/>
          <w:spacing w:val="40"/>
        </w:rPr>
        <w:t> </w:t>
      </w:r>
      <w:r>
        <w:rPr>
          <w:color w:val="231F20"/>
        </w:rPr>
        <w:t>payments</w:t>
      </w:r>
      <w:r>
        <w:rPr>
          <w:color w:val="231F20"/>
          <w:spacing w:val="40"/>
        </w:rPr>
        <w:t> </w:t>
      </w:r>
      <w:r>
        <w:rPr>
          <w:color w:val="231F20"/>
        </w:rPr>
        <w:t>and</w:t>
      </w:r>
      <w:r>
        <w:rPr>
          <w:color w:val="231F20"/>
          <w:spacing w:val="40"/>
        </w:rPr>
        <w:t> </w:t>
      </w:r>
      <w:r>
        <w:rPr>
          <w:color w:val="231F20"/>
        </w:rPr>
        <w:t>bonds</w:t>
      </w:r>
      <w:r>
        <w:rPr>
          <w:color w:val="231F20"/>
          <w:spacing w:val="40"/>
        </w:rPr>
        <w:t> </w:t>
      </w:r>
      <w:r>
        <w:rPr>
          <w:color w:val="231F20"/>
        </w:rPr>
        <w:t>provide</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7"/>
        <w:jc w:val="both"/>
        <w:rPr>
          <w:i/>
        </w:rPr>
      </w:pPr>
      <w:r>
        <w:rPr>
          <w:color w:val="231F20"/>
        </w:rPr>
        <w:t>interest</w:t>
      </w:r>
      <w:r>
        <w:rPr>
          <w:color w:val="231F20"/>
          <w:spacing w:val="-12"/>
        </w:rPr>
        <w:t> </w:t>
      </w:r>
      <w:r>
        <w:rPr>
          <w:color w:val="231F20"/>
        </w:rPr>
        <w:t>payments</w:t>
      </w:r>
      <w:r>
        <w:rPr>
          <w:color w:val="231F20"/>
          <w:spacing w:val="-12"/>
        </w:rPr>
        <w:t> </w:t>
      </w:r>
      <w:r>
        <w:rPr>
          <w:color w:val="231F20"/>
        </w:rPr>
        <w:t>in</w:t>
      </w:r>
      <w:r>
        <w:rPr>
          <w:color w:val="231F20"/>
          <w:spacing w:val="-11"/>
        </w:rPr>
        <w:t> </w:t>
      </w:r>
      <w:r>
        <w:rPr>
          <w:color w:val="231F20"/>
        </w:rPr>
        <w:t>the</w:t>
      </w:r>
      <w:r>
        <w:rPr>
          <w:color w:val="231F20"/>
          <w:spacing w:val="-12"/>
        </w:rPr>
        <w:t> </w:t>
      </w:r>
      <w:r>
        <w:rPr>
          <w:color w:val="231F20"/>
        </w:rPr>
        <w:t>future.</w:t>
      </w:r>
      <w:r>
        <w:rPr>
          <w:color w:val="231F20"/>
          <w:spacing w:val="-11"/>
        </w:rPr>
        <w:t> </w:t>
      </w:r>
      <w:r>
        <w:rPr>
          <w:color w:val="231F20"/>
        </w:rPr>
        <w:t>The</w:t>
      </w:r>
      <w:r>
        <w:rPr>
          <w:color w:val="231F20"/>
          <w:spacing w:val="-12"/>
        </w:rPr>
        <w:t> </w:t>
      </w:r>
      <w:r>
        <w:rPr>
          <w:color w:val="231F20"/>
        </w:rPr>
        <w:t>securities’</w:t>
      </w:r>
      <w:r>
        <w:rPr>
          <w:color w:val="231F20"/>
          <w:spacing w:val="-11"/>
        </w:rPr>
        <w:t> </w:t>
      </w:r>
      <w:r>
        <w:rPr>
          <w:color w:val="231F20"/>
        </w:rPr>
        <w:t>values</w:t>
      </w:r>
      <w:r>
        <w:rPr>
          <w:color w:val="231F20"/>
          <w:spacing w:val="-12"/>
        </w:rPr>
        <w:t> </w:t>
      </w:r>
      <w:r>
        <w:rPr>
          <w:color w:val="231F20"/>
        </w:rPr>
        <w:t>lie</w:t>
      </w:r>
      <w:r>
        <w:rPr>
          <w:color w:val="231F20"/>
          <w:spacing w:val="-12"/>
        </w:rPr>
        <w:t> </w:t>
      </w:r>
      <w:r>
        <w:rPr>
          <w:color w:val="231F20"/>
        </w:rPr>
        <w:t>in</w:t>
      </w:r>
      <w:r>
        <w:rPr>
          <w:color w:val="231F20"/>
          <w:spacing w:val="-11"/>
        </w:rPr>
        <w:t> </w:t>
      </w:r>
      <w:r>
        <w:rPr>
          <w:color w:val="231F20"/>
        </w:rPr>
        <w:t>the</w:t>
      </w:r>
      <w:r>
        <w:rPr>
          <w:color w:val="231F20"/>
          <w:spacing w:val="-12"/>
        </w:rPr>
        <w:t> </w:t>
      </w:r>
      <w:r>
        <w:rPr>
          <w:i/>
          <w:color w:val="231F20"/>
        </w:rPr>
        <w:t>present</w:t>
      </w:r>
      <w:r>
        <w:rPr>
          <w:i/>
          <w:color w:val="231F20"/>
        </w:rPr>
        <w:t> value </w:t>
      </w:r>
      <w:r>
        <w:rPr>
          <w:color w:val="231F20"/>
        </w:rPr>
        <w:t>of their future cash flow. Just as Quaker Oats uses NPV analy-</w:t>
      </w:r>
      <w:r>
        <w:rPr>
          <w:color w:val="231F20"/>
          <w:spacing w:val="40"/>
        </w:rPr>
        <w:t> </w:t>
      </w:r>
      <w:r>
        <w:rPr>
          <w:color w:val="231F20"/>
        </w:rPr>
        <w:t>sis to evaluate the merits of buying a new piece of production equip- ment,</w:t>
      </w:r>
      <w:r>
        <w:rPr>
          <w:color w:val="231F20"/>
          <w:spacing w:val="-11"/>
        </w:rPr>
        <w:t> </w:t>
      </w:r>
      <w:r>
        <w:rPr>
          <w:color w:val="231F20"/>
        </w:rPr>
        <w:t>corporations</w:t>
      </w:r>
      <w:r>
        <w:rPr>
          <w:color w:val="231F20"/>
          <w:spacing w:val="-11"/>
        </w:rPr>
        <w:t> </w:t>
      </w:r>
      <w:r>
        <w:rPr>
          <w:color w:val="231F20"/>
        </w:rPr>
        <w:t>evaluate</w:t>
      </w:r>
      <w:r>
        <w:rPr>
          <w:color w:val="231F20"/>
          <w:spacing w:val="-11"/>
        </w:rPr>
        <w:t> </w:t>
      </w:r>
      <w:r>
        <w:rPr>
          <w:color w:val="231F20"/>
        </w:rPr>
        <w:t>new</w:t>
      </w:r>
      <w:r>
        <w:rPr>
          <w:color w:val="231F20"/>
          <w:spacing w:val="-11"/>
        </w:rPr>
        <w:t> </w:t>
      </w:r>
      <w:r>
        <w:rPr>
          <w:color w:val="231F20"/>
        </w:rPr>
        <w:t>factories,</w:t>
      </w:r>
      <w:r>
        <w:rPr>
          <w:color w:val="231F20"/>
          <w:spacing w:val="-11"/>
        </w:rPr>
        <w:t> </w:t>
      </w:r>
      <w:r>
        <w:rPr>
          <w:color w:val="231F20"/>
        </w:rPr>
        <w:t>and</w:t>
      </w:r>
      <w:r>
        <w:rPr>
          <w:color w:val="231F20"/>
          <w:spacing w:val="-11"/>
        </w:rPr>
        <w:t> </w:t>
      </w:r>
      <w:r>
        <w:rPr>
          <w:color w:val="231F20"/>
        </w:rPr>
        <w:t>the</w:t>
      </w:r>
      <w:r>
        <w:rPr>
          <w:color w:val="231F20"/>
          <w:spacing w:val="-11"/>
        </w:rPr>
        <w:t> </w:t>
      </w:r>
      <w:r>
        <w:rPr>
          <w:color w:val="231F20"/>
        </w:rPr>
        <w:t>worth</w:t>
      </w:r>
      <w:r>
        <w:rPr>
          <w:color w:val="231F20"/>
          <w:spacing w:val="-11"/>
        </w:rPr>
        <w:t> </w:t>
      </w:r>
      <w:r>
        <w:rPr>
          <w:color w:val="231F20"/>
        </w:rPr>
        <w:t>of</w:t>
      </w:r>
      <w:r>
        <w:rPr>
          <w:color w:val="231F20"/>
          <w:spacing w:val="-11"/>
        </w:rPr>
        <w:t> </w:t>
      </w:r>
      <w:r>
        <w:rPr>
          <w:color w:val="231F20"/>
        </w:rPr>
        <w:t>increased advertising. Lawyers involved in wrongful death suits can use </w:t>
      </w:r>
      <w:r>
        <w:rPr>
          <w:i/>
          <w:color w:val="231F20"/>
        </w:rPr>
        <w:t>net</w:t>
      </w:r>
      <w:r>
        <w:rPr>
          <w:i/>
          <w:color w:val="231F20"/>
        </w:rPr>
        <w:t> present value </w:t>
      </w:r>
      <w:r>
        <w:rPr>
          <w:color w:val="231F20"/>
        </w:rPr>
        <w:t>techniques to value the total of an individual’s future earnings when considering a settlement. The basic idea to remember is: </w:t>
      </w:r>
      <w:r>
        <w:rPr>
          <w:i/>
          <w:color w:val="231F20"/>
        </w:rPr>
        <w:t>A dollar today is worth more than a dollar received in the future.</w:t>
      </w:r>
    </w:p>
    <w:p>
      <w:pPr>
        <w:pStyle w:val="BodyText"/>
        <w:spacing w:line="290" w:lineRule="auto"/>
        <w:ind w:left="829" w:right="753" w:firstLine="340"/>
        <w:jc w:val="both"/>
      </w:pPr>
      <w:r>
        <w:rPr>
          <w:color w:val="231F20"/>
        </w:rPr>
        <w:t>The</w:t>
      </w:r>
      <w:r>
        <w:rPr>
          <w:color w:val="231F20"/>
          <w:spacing w:val="40"/>
        </w:rPr>
        <w:t> </w:t>
      </w:r>
      <w:r>
        <w:rPr>
          <w:color w:val="231F20"/>
        </w:rPr>
        <w:t>Quaker</w:t>
      </w:r>
      <w:r>
        <w:rPr>
          <w:color w:val="231F20"/>
          <w:spacing w:val="40"/>
        </w:rPr>
        <w:t> </w:t>
      </w:r>
      <w:r>
        <w:rPr>
          <w:color w:val="231F20"/>
        </w:rPr>
        <w:t>Oats</w:t>
      </w:r>
      <w:r>
        <w:rPr>
          <w:color w:val="231F20"/>
          <w:spacing w:val="40"/>
        </w:rPr>
        <w:t> </w:t>
      </w:r>
      <w:r>
        <w:rPr>
          <w:color w:val="231F20"/>
        </w:rPr>
        <w:t>project</w:t>
      </w:r>
      <w:r>
        <w:rPr>
          <w:color w:val="231F20"/>
          <w:spacing w:val="40"/>
        </w:rPr>
        <w:t> </w:t>
      </w:r>
      <w:r>
        <w:rPr>
          <w:color w:val="231F20"/>
        </w:rPr>
        <w:t>yielded</w:t>
      </w:r>
      <w:r>
        <w:rPr>
          <w:color w:val="231F20"/>
          <w:spacing w:val="40"/>
        </w:rPr>
        <w:t> </w:t>
      </w:r>
      <w:r>
        <w:rPr>
          <w:color w:val="231F20"/>
        </w:rPr>
        <w:t>$163,000</w:t>
      </w:r>
      <w:r>
        <w:rPr>
          <w:color w:val="231F20"/>
          <w:spacing w:val="40"/>
        </w:rPr>
        <w:t> </w:t>
      </w:r>
      <w:r>
        <w:rPr>
          <w:color w:val="231F20"/>
        </w:rPr>
        <w:t>over</w:t>
      </w:r>
      <w:r>
        <w:rPr>
          <w:color w:val="231F20"/>
          <w:spacing w:val="40"/>
        </w:rPr>
        <w:t> </w:t>
      </w:r>
      <w:r>
        <w:rPr>
          <w:color w:val="231F20"/>
        </w:rPr>
        <w:t>three</w:t>
      </w:r>
      <w:r>
        <w:rPr>
          <w:color w:val="231F20"/>
          <w:spacing w:val="40"/>
        </w:rPr>
        <w:t> </w:t>
      </w:r>
      <w:r>
        <w:rPr>
          <w:color w:val="231F20"/>
        </w:rPr>
        <w:t>years (51 </w:t>
      </w:r>
      <w:r>
        <w:rPr>
          <w:rFonts w:ascii="Symbol" w:hAnsi="Symbol"/>
          <w:color w:val="231F20"/>
        </w:rPr>
        <w:t></w:t>
      </w:r>
      <w:r>
        <w:rPr>
          <w:rFonts w:ascii="Times New Roman" w:hAnsi="Times New Roman"/>
          <w:color w:val="231F20"/>
        </w:rPr>
        <w:t> </w:t>
      </w:r>
      <w:r>
        <w:rPr>
          <w:color w:val="231F20"/>
        </w:rPr>
        <w:t>51 </w:t>
      </w:r>
      <w:r>
        <w:rPr>
          <w:rFonts w:ascii="Symbol" w:hAnsi="Symbol"/>
          <w:color w:val="231F20"/>
        </w:rPr>
        <w:t></w:t>
      </w:r>
      <w:r>
        <w:rPr>
          <w:rFonts w:ascii="Times New Roman" w:hAnsi="Times New Roman"/>
          <w:color w:val="231F20"/>
        </w:rPr>
        <w:t> </w:t>
      </w:r>
      <w:r>
        <w:rPr>
          <w:color w:val="231F20"/>
        </w:rPr>
        <w:t>61). As previously calculated, the $163,000 in cash flows would yield an additional $34,230 if the cash produced was rein- vested at a rate of 10 percent in other company projects or an inter- est-bearing</w:t>
      </w:r>
      <w:r>
        <w:rPr>
          <w:color w:val="231F20"/>
          <w:spacing w:val="40"/>
        </w:rPr>
        <w:t> </w:t>
      </w:r>
      <w:r>
        <w:rPr>
          <w:color w:val="231F20"/>
        </w:rPr>
        <w:t>investment.</w:t>
      </w:r>
      <w:r>
        <w:rPr>
          <w:color w:val="231F20"/>
          <w:spacing w:val="40"/>
        </w:rPr>
        <w:t> </w:t>
      </w:r>
      <w:r>
        <w:rPr>
          <w:color w:val="231F20"/>
        </w:rPr>
        <w:t>Would</w:t>
      </w:r>
      <w:r>
        <w:rPr>
          <w:color w:val="231F20"/>
          <w:spacing w:val="40"/>
        </w:rPr>
        <w:t> </w:t>
      </w:r>
      <w:r>
        <w:rPr>
          <w:color w:val="231F20"/>
        </w:rPr>
        <w:t>you</w:t>
      </w:r>
      <w:r>
        <w:rPr>
          <w:color w:val="231F20"/>
          <w:spacing w:val="40"/>
        </w:rPr>
        <w:t> </w:t>
      </w:r>
      <w:r>
        <w:rPr>
          <w:color w:val="231F20"/>
        </w:rPr>
        <w:t>pay</w:t>
      </w:r>
      <w:r>
        <w:rPr>
          <w:color w:val="231F20"/>
          <w:spacing w:val="40"/>
        </w:rPr>
        <w:t> </w:t>
      </w:r>
      <w:r>
        <w:rPr>
          <w:color w:val="231F20"/>
        </w:rPr>
        <w:t>$163,000</w:t>
      </w:r>
      <w:r>
        <w:rPr>
          <w:color w:val="231F20"/>
          <w:spacing w:val="40"/>
        </w:rPr>
        <w:t> </w:t>
      </w:r>
      <w:r>
        <w:rPr>
          <w:color w:val="231F20"/>
        </w:rPr>
        <w:t>for</w:t>
      </w:r>
      <w:r>
        <w:rPr>
          <w:color w:val="231F20"/>
          <w:spacing w:val="40"/>
        </w:rPr>
        <w:t> </w:t>
      </w:r>
      <w:r>
        <w:rPr>
          <w:color w:val="231F20"/>
        </w:rPr>
        <w:t>$163,000</w:t>
      </w:r>
      <w:r>
        <w:rPr>
          <w:color w:val="231F20"/>
          <w:spacing w:val="40"/>
        </w:rPr>
        <w:t> </w:t>
      </w:r>
      <w:r>
        <w:rPr>
          <w:color w:val="231F20"/>
        </w:rPr>
        <w:t>to be received over three years? Of course not! You would be giving up the </w:t>
      </w:r>
      <w:r>
        <w:rPr>
          <w:i/>
          <w:color w:val="231F20"/>
        </w:rPr>
        <w:t>time value of money, </w:t>
      </w:r>
      <w:r>
        <w:rPr>
          <w:color w:val="231F20"/>
        </w:rPr>
        <w:t>or $34,230.</w:t>
      </w:r>
    </w:p>
    <w:p>
      <w:pPr>
        <w:pStyle w:val="BodyText"/>
        <w:spacing w:line="292" w:lineRule="auto"/>
        <w:ind w:left="830" w:right="756" w:firstLine="340"/>
        <w:jc w:val="both"/>
      </w:pPr>
      <w:r>
        <w:rPr>
          <w:color w:val="231F20"/>
        </w:rPr>
        <w:t>Using this simple logic, NPV analysis takes future cash flows </w:t>
      </w:r>
      <w:r>
        <w:rPr>
          <w:color w:val="231F20"/>
        </w:rPr>
        <w:t>and </w:t>
      </w:r>
      <w:r>
        <w:rPr>
          <w:i/>
          <w:color w:val="231F20"/>
          <w:w w:val="105"/>
        </w:rPr>
        <w:t>discounts</w:t>
      </w:r>
      <w:r>
        <w:rPr>
          <w:i/>
          <w:color w:val="231F20"/>
          <w:spacing w:val="-7"/>
          <w:w w:val="105"/>
        </w:rPr>
        <w:t> </w:t>
      </w:r>
      <w:r>
        <w:rPr>
          <w:color w:val="231F20"/>
          <w:w w:val="105"/>
        </w:rPr>
        <w:t>them</w:t>
      </w:r>
      <w:r>
        <w:rPr>
          <w:color w:val="231F20"/>
          <w:spacing w:val="-8"/>
          <w:w w:val="105"/>
        </w:rPr>
        <w:t> </w:t>
      </w:r>
      <w:r>
        <w:rPr>
          <w:color w:val="231F20"/>
          <w:w w:val="105"/>
        </w:rPr>
        <w:t>to</w:t>
      </w:r>
      <w:r>
        <w:rPr>
          <w:color w:val="231F20"/>
          <w:spacing w:val="-7"/>
          <w:w w:val="105"/>
        </w:rPr>
        <w:t> </w:t>
      </w:r>
      <w:r>
        <w:rPr>
          <w:color w:val="231F20"/>
          <w:w w:val="105"/>
        </w:rPr>
        <w:t>their</w:t>
      </w:r>
      <w:r>
        <w:rPr>
          <w:color w:val="231F20"/>
          <w:spacing w:val="-8"/>
          <w:w w:val="105"/>
        </w:rPr>
        <w:t> </w:t>
      </w:r>
      <w:r>
        <w:rPr>
          <w:color w:val="231F20"/>
          <w:w w:val="105"/>
        </w:rPr>
        <w:t>present-day</w:t>
      </w:r>
      <w:r>
        <w:rPr>
          <w:color w:val="231F20"/>
          <w:spacing w:val="-7"/>
          <w:w w:val="105"/>
        </w:rPr>
        <w:t> </w:t>
      </w:r>
      <w:r>
        <w:rPr>
          <w:color w:val="231F20"/>
          <w:w w:val="105"/>
        </w:rPr>
        <w:t>value.</w:t>
      </w:r>
      <w:r>
        <w:rPr>
          <w:color w:val="231F20"/>
          <w:spacing w:val="-8"/>
          <w:w w:val="105"/>
        </w:rPr>
        <w:t> </w:t>
      </w:r>
      <w:r>
        <w:rPr>
          <w:color w:val="231F20"/>
          <w:w w:val="105"/>
        </w:rPr>
        <w:t>This</w:t>
      </w:r>
      <w:r>
        <w:rPr>
          <w:color w:val="231F20"/>
          <w:spacing w:val="-7"/>
          <w:w w:val="105"/>
        </w:rPr>
        <w:t> </w:t>
      </w:r>
      <w:r>
        <w:rPr>
          <w:color w:val="231F20"/>
          <w:w w:val="105"/>
        </w:rPr>
        <w:t>is</w:t>
      </w:r>
      <w:r>
        <w:rPr>
          <w:color w:val="231F20"/>
          <w:spacing w:val="-8"/>
          <w:w w:val="105"/>
        </w:rPr>
        <w:t> </w:t>
      </w:r>
      <w:r>
        <w:rPr>
          <w:color w:val="231F20"/>
          <w:w w:val="105"/>
        </w:rPr>
        <w:t>the</w:t>
      </w:r>
      <w:r>
        <w:rPr>
          <w:color w:val="231F20"/>
          <w:spacing w:val="-7"/>
          <w:w w:val="105"/>
        </w:rPr>
        <w:t> </w:t>
      </w:r>
      <w:r>
        <w:rPr>
          <w:color w:val="231F20"/>
          <w:w w:val="105"/>
        </w:rPr>
        <w:t>inverse</w:t>
      </w:r>
      <w:r>
        <w:rPr>
          <w:color w:val="231F20"/>
          <w:spacing w:val="-8"/>
          <w:w w:val="105"/>
        </w:rPr>
        <w:t> </w:t>
      </w:r>
      <w:r>
        <w:rPr>
          <w:color w:val="231F20"/>
          <w:w w:val="105"/>
        </w:rPr>
        <w:t>of</w:t>
      </w:r>
      <w:r>
        <w:rPr>
          <w:color w:val="231F20"/>
          <w:spacing w:val="-8"/>
          <w:w w:val="105"/>
        </w:rPr>
        <w:t> </w:t>
      </w:r>
      <w:r>
        <w:rPr>
          <w:i/>
          <w:color w:val="231F20"/>
          <w:w w:val="105"/>
        </w:rPr>
        <w:t>ac-</w:t>
      </w:r>
      <w:r>
        <w:rPr>
          <w:i/>
          <w:color w:val="231F20"/>
          <w:w w:val="105"/>
        </w:rPr>
        <w:t> cumulated value. </w:t>
      </w:r>
      <w:r>
        <w:rPr>
          <w:color w:val="231F20"/>
          <w:w w:val="105"/>
        </w:rPr>
        <w:t>The formula is as follows:</w:t>
      </w:r>
    </w:p>
    <w:p>
      <w:pPr>
        <w:pStyle w:val="BodyText"/>
        <w:spacing w:before="3"/>
        <w:rPr>
          <w:sz w:val="24"/>
        </w:rPr>
      </w:pPr>
    </w:p>
    <w:p>
      <w:pPr>
        <w:spacing w:before="1"/>
        <w:ind w:left="289" w:right="219" w:firstLine="0"/>
        <w:jc w:val="center"/>
        <w:rPr>
          <w:sz w:val="10"/>
        </w:rPr>
      </w:pPr>
      <w:r>
        <w:rPr/>
        <w:pict>
          <v:rect style="position:absolute;margin-left:288.587463pt;margin-top:5.537145pt;width:2.465470pt;height:.3621pt;mso-position-horizontal-relative:page;mso-position-vertical-relative:paragraph;z-index:-25128448" id="docshape311" filled="true" fillcolor="#231f20" stroked="false">
            <v:fill type="solid"/>
            <w10:wrap type="none"/>
          </v:rect>
        </w:pict>
      </w:r>
      <w:r>
        <w:rPr>
          <w:color w:val="231F20"/>
          <w:w w:val="105"/>
          <w:sz w:val="21"/>
        </w:rPr>
        <w:t>NPV</w:t>
      </w:r>
      <w:r>
        <w:rPr>
          <w:color w:val="231F20"/>
          <w:spacing w:val="5"/>
          <w:w w:val="105"/>
          <w:sz w:val="21"/>
        </w:rPr>
        <w:t> </w:t>
      </w:r>
      <w:r>
        <w:rPr>
          <w:rFonts w:ascii="Symbol" w:hAnsi="Symbol"/>
          <w:color w:val="231F20"/>
          <w:w w:val="105"/>
          <w:sz w:val="21"/>
        </w:rPr>
        <w:t></w:t>
      </w:r>
      <w:r>
        <w:rPr>
          <w:rFonts w:ascii="Times New Roman" w:hAnsi="Times New Roman"/>
          <w:color w:val="231F20"/>
          <w:spacing w:val="-2"/>
          <w:w w:val="105"/>
          <w:sz w:val="21"/>
        </w:rPr>
        <w:t> </w:t>
      </w:r>
      <w:r>
        <w:rPr>
          <w:color w:val="231F20"/>
          <w:w w:val="105"/>
          <w:sz w:val="21"/>
        </w:rPr>
        <w:t>($</w:t>
      </w:r>
      <w:r>
        <w:rPr>
          <w:color w:val="231F20"/>
          <w:spacing w:val="5"/>
          <w:w w:val="105"/>
          <w:sz w:val="21"/>
        </w:rPr>
        <w:t> </w:t>
      </w:r>
      <w:r>
        <w:rPr>
          <w:color w:val="231F20"/>
          <w:w w:val="105"/>
          <w:sz w:val="21"/>
        </w:rPr>
        <w:t>in</w:t>
      </w:r>
      <w:r>
        <w:rPr>
          <w:color w:val="231F20"/>
          <w:spacing w:val="5"/>
          <w:w w:val="105"/>
          <w:sz w:val="21"/>
        </w:rPr>
        <w:t> </w:t>
      </w:r>
      <w:r>
        <w:rPr>
          <w:color w:val="231F20"/>
          <w:w w:val="105"/>
          <w:sz w:val="21"/>
        </w:rPr>
        <w:t>Future)</w:t>
      </w:r>
      <w:r>
        <w:rPr>
          <w:color w:val="231F20"/>
          <w:spacing w:val="5"/>
          <w:w w:val="105"/>
          <w:sz w:val="21"/>
        </w:rPr>
        <w:t> </w:t>
      </w:r>
      <w:r>
        <w:rPr>
          <w:rFonts w:ascii="Symbol" w:hAnsi="Symbol"/>
          <w:color w:val="231F20"/>
          <w:w w:val="105"/>
          <w:sz w:val="21"/>
        </w:rPr>
        <w:t></w:t>
      </w:r>
      <w:r>
        <w:rPr>
          <w:rFonts w:ascii="Times New Roman" w:hAnsi="Times New Roman"/>
          <w:color w:val="231F20"/>
          <w:spacing w:val="-1"/>
          <w:w w:val="105"/>
          <w:sz w:val="21"/>
        </w:rPr>
        <w:t> </w:t>
      </w:r>
      <w:r>
        <w:rPr>
          <w:color w:val="231F20"/>
          <w:w w:val="105"/>
          <w:sz w:val="21"/>
        </w:rPr>
        <w:t>(1</w:t>
      </w:r>
      <w:r>
        <w:rPr>
          <w:color w:val="231F20"/>
          <w:spacing w:val="5"/>
          <w:w w:val="105"/>
          <w:sz w:val="21"/>
        </w:rPr>
        <w:t> </w:t>
      </w:r>
      <w:r>
        <w:rPr>
          <w:rFonts w:ascii="Symbol" w:hAnsi="Symbol"/>
          <w:color w:val="231F20"/>
          <w:w w:val="105"/>
          <w:sz w:val="21"/>
        </w:rPr>
        <w:t></w:t>
      </w:r>
      <w:r>
        <w:rPr>
          <w:rFonts w:ascii="Times New Roman" w:hAnsi="Times New Roman"/>
          <w:color w:val="231F20"/>
          <w:spacing w:val="-1"/>
          <w:w w:val="105"/>
          <w:sz w:val="21"/>
        </w:rPr>
        <w:t> </w:t>
      </w:r>
      <w:r>
        <w:rPr>
          <w:color w:val="231F20"/>
          <w:w w:val="105"/>
          <w:sz w:val="21"/>
        </w:rPr>
        <w:t>Discount</w:t>
      </w:r>
      <w:r>
        <w:rPr>
          <w:color w:val="231F20"/>
          <w:spacing w:val="5"/>
          <w:w w:val="105"/>
          <w:sz w:val="21"/>
        </w:rPr>
        <w:t> </w:t>
      </w:r>
      <w:r>
        <w:rPr>
          <w:color w:val="231F20"/>
          <w:w w:val="105"/>
          <w:sz w:val="21"/>
        </w:rPr>
        <w:t>Rate)</w:t>
      </w:r>
      <w:r>
        <w:rPr>
          <w:color w:val="231F20"/>
          <w:spacing w:val="65"/>
          <w:w w:val="150"/>
          <w:sz w:val="21"/>
        </w:rPr>
        <w:t> </w:t>
      </w:r>
      <w:r>
        <w:rPr>
          <w:color w:val="231F20"/>
          <w:w w:val="105"/>
          <w:position w:val="8"/>
          <w:sz w:val="10"/>
        </w:rPr>
        <w:t>Number</w:t>
      </w:r>
      <w:r>
        <w:rPr>
          <w:color w:val="231F20"/>
          <w:spacing w:val="4"/>
          <w:w w:val="105"/>
          <w:position w:val="8"/>
          <w:sz w:val="10"/>
        </w:rPr>
        <w:t> </w:t>
      </w:r>
      <w:r>
        <w:rPr>
          <w:color w:val="231F20"/>
          <w:w w:val="105"/>
          <w:position w:val="8"/>
          <w:sz w:val="10"/>
        </w:rPr>
        <w:t>of</w:t>
      </w:r>
      <w:r>
        <w:rPr>
          <w:color w:val="231F20"/>
          <w:spacing w:val="4"/>
          <w:w w:val="105"/>
          <w:position w:val="8"/>
          <w:sz w:val="10"/>
        </w:rPr>
        <w:t> </w:t>
      </w:r>
      <w:r>
        <w:rPr>
          <w:color w:val="231F20"/>
          <w:spacing w:val="-2"/>
          <w:w w:val="105"/>
          <w:position w:val="8"/>
          <w:sz w:val="10"/>
        </w:rPr>
        <w:t>periods</w:t>
      </w:r>
    </w:p>
    <w:p>
      <w:pPr>
        <w:pStyle w:val="BodyText"/>
        <w:spacing w:before="1"/>
        <w:rPr>
          <w:sz w:val="30"/>
        </w:rPr>
      </w:pPr>
    </w:p>
    <w:p>
      <w:pPr>
        <w:pStyle w:val="BodyText"/>
        <w:spacing w:line="292" w:lineRule="auto" w:before="1"/>
        <w:ind w:left="830" w:right="756" w:firstLine="340"/>
        <w:jc w:val="both"/>
      </w:pPr>
      <w:r>
        <w:rPr>
          <w:color w:val="231F20"/>
        </w:rPr>
        <w:t>One dollar received one year from now, with a discount rate </w:t>
      </w:r>
      <w:r>
        <w:rPr>
          <w:color w:val="231F20"/>
        </w:rPr>
        <w:t>of</w:t>
      </w:r>
      <w:r>
        <w:rPr>
          <w:color w:val="231F20"/>
          <w:spacing w:val="80"/>
        </w:rPr>
        <w:t> </w:t>
      </w:r>
      <w:r>
        <w:rPr>
          <w:color w:val="231F20"/>
        </w:rPr>
        <w:t>10 percent, would be worth:</w:t>
      </w:r>
    </w:p>
    <w:p>
      <w:pPr>
        <w:pStyle w:val="BodyText"/>
        <w:spacing w:before="6"/>
        <w:rPr>
          <w:sz w:val="24"/>
        </w:rPr>
      </w:pPr>
    </w:p>
    <w:p>
      <w:pPr>
        <w:pStyle w:val="BodyText"/>
        <w:ind w:left="289" w:right="219"/>
        <w:jc w:val="center"/>
      </w:pPr>
      <w:r>
        <w:rPr/>
        <w:pict>
          <v:rect style="position:absolute;margin-left:220.995453pt;margin-top:5.493294pt;width:2.465470pt;height:.3621pt;mso-position-horizontal-relative:page;mso-position-vertical-relative:paragraph;z-index:-25127936" id="docshape312" filled="true" fillcolor="#231f20" stroked="false">
            <v:fill type="solid"/>
            <w10:wrap type="none"/>
          </v:rect>
        </w:pict>
      </w:r>
      <w:r>
        <w:rPr>
          <w:color w:val="231F20"/>
          <w:w w:val="105"/>
        </w:rPr>
        <w:t>$1</w:t>
      </w:r>
      <w:r>
        <w:rPr>
          <w:color w:val="231F20"/>
          <w:spacing w:val="4"/>
          <w:w w:val="105"/>
        </w:rPr>
        <w:t> </w:t>
      </w:r>
      <w:r>
        <w:rPr>
          <w:rFonts w:ascii="Symbol" w:hAnsi="Symbol"/>
          <w:color w:val="231F20"/>
          <w:w w:val="105"/>
        </w:rPr>
        <w:t></w:t>
      </w:r>
      <w:r>
        <w:rPr>
          <w:rFonts w:ascii="Times New Roman" w:hAnsi="Times New Roman"/>
          <w:color w:val="231F20"/>
          <w:spacing w:val="-1"/>
          <w:w w:val="105"/>
        </w:rPr>
        <w:t> </w:t>
      </w:r>
      <w:r>
        <w:rPr>
          <w:color w:val="231F20"/>
          <w:w w:val="105"/>
        </w:rPr>
        <w:t>(1</w:t>
      </w:r>
      <w:r>
        <w:rPr>
          <w:color w:val="231F20"/>
          <w:spacing w:val="4"/>
          <w:w w:val="105"/>
        </w:rPr>
        <w:t> </w:t>
      </w:r>
      <w:r>
        <w:rPr>
          <w:rFonts w:ascii="Symbol" w:hAnsi="Symbol"/>
          <w:color w:val="231F20"/>
          <w:w w:val="105"/>
        </w:rPr>
        <w:t></w:t>
      </w:r>
      <w:r>
        <w:rPr>
          <w:rFonts w:ascii="Times New Roman" w:hAnsi="Times New Roman"/>
          <w:color w:val="231F20"/>
          <w:spacing w:val="-1"/>
          <w:w w:val="105"/>
        </w:rPr>
        <w:t> </w:t>
      </w:r>
      <w:r>
        <w:rPr>
          <w:color w:val="231F20"/>
          <w:w w:val="105"/>
        </w:rPr>
        <w:t>.10)</w:t>
      </w:r>
      <w:r>
        <w:rPr>
          <w:color w:val="231F20"/>
          <w:spacing w:val="24"/>
          <w:w w:val="105"/>
        </w:rPr>
        <w:t> </w:t>
      </w:r>
      <w:r>
        <w:rPr>
          <w:color w:val="231F20"/>
          <w:w w:val="105"/>
          <w:position w:val="8"/>
          <w:sz w:val="10"/>
        </w:rPr>
        <w:t>1</w:t>
      </w:r>
      <w:r>
        <w:rPr>
          <w:color w:val="231F20"/>
          <w:spacing w:val="30"/>
          <w:w w:val="105"/>
          <w:position w:val="8"/>
          <w:sz w:val="10"/>
        </w:rPr>
        <w:t> </w:t>
      </w:r>
      <w:r>
        <w:rPr>
          <w:rFonts w:ascii="Symbol" w:hAnsi="Symbol"/>
          <w:color w:val="231F20"/>
          <w:w w:val="105"/>
        </w:rPr>
        <w:t></w:t>
      </w:r>
      <w:r>
        <w:rPr>
          <w:rFonts w:ascii="Times New Roman" w:hAnsi="Times New Roman"/>
          <w:color w:val="231F20"/>
          <w:spacing w:val="-1"/>
          <w:w w:val="105"/>
        </w:rPr>
        <w:t> </w:t>
      </w:r>
      <w:r>
        <w:rPr>
          <w:color w:val="231F20"/>
          <w:spacing w:val="-2"/>
          <w:w w:val="105"/>
        </w:rPr>
        <w:t>.90909</w:t>
      </w:r>
    </w:p>
    <w:p>
      <w:pPr>
        <w:pStyle w:val="BodyText"/>
        <w:spacing w:before="2"/>
        <w:rPr>
          <w:sz w:val="30"/>
        </w:rPr>
      </w:pPr>
    </w:p>
    <w:p>
      <w:pPr>
        <w:pStyle w:val="BodyText"/>
        <w:spacing w:line="292" w:lineRule="auto"/>
        <w:ind w:left="830" w:right="756" w:firstLine="339"/>
        <w:jc w:val="both"/>
      </w:pPr>
      <w:r>
        <w:rPr>
          <w:color w:val="231F20"/>
        </w:rPr>
        <w:t>Using</w:t>
      </w:r>
      <w:r>
        <w:rPr>
          <w:color w:val="231F20"/>
          <w:spacing w:val="27"/>
        </w:rPr>
        <w:t> </w:t>
      </w:r>
      <w:r>
        <w:rPr>
          <w:color w:val="231F20"/>
        </w:rPr>
        <w:t>this</w:t>
      </w:r>
      <w:r>
        <w:rPr>
          <w:color w:val="231F20"/>
          <w:spacing w:val="27"/>
        </w:rPr>
        <w:t> </w:t>
      </w:r>
      <w:r>
        <w:rPr>
          <w:color w:val="231F20"/>
        </w:rPr>
        <w:t>formula,</w:t>
      </w:r>
      <w:r>
        <w:rPr>
          <w:color w:val="231F20"/>
          <w:spacing w:val="27"/>
        </w:rPr>
        <w:t> </w:t>
      </w:r>
      <w:r>
        <w:rPr>
          <w:color w:val="231F20"/>
        </w:rPr>
        <w:t>tables</w:t>
      </w:r>
      <w:r>
        <w:rPr>
          <w:color w:val="231F20"/>
          <w:spacing w:val="27"/>
        </w:rPr>
        <w:t> </w:t>
      </w:r>
      <w:r>
        <w:rPr>
          <w:color w:val="231F20"/>
        </w:rPr>
        <w:t>of</w:t>
      </w:r>
      <w:r>
        <w:rPr>
          <w:color w:val="231F20"/>
          <w:spacing w:val="26"/>
        </w:rPr>
        <w:t> </w:t>
      </w:r>
      <w:r>
        <w:rPr>
          <w:i/>
          <w:color w:val="231F20"/>
        </w:rPr>
        <w:t>discount</w:t>
      </w:r>
      <w:r>
        <w:rPr>
          <w:i/>
          <w:color w:val="231F20"/>
          <w:spacing w:val="27"/>
        </w:rPr>
        <w:t> </w:t>
      </w:r>
      <w:r>
        <w:rPr>
          <w:i/>
          <w:color w:val="231F20"/>
        </w:rPr>
        <w:t>factors</w:t>
      </w:r>
      <w:r>
        <w:rPr>
          <w:i/>
          <w:color w:val="231F20"/>
          <w:spacing w:val="26"/>
        </w:rPr>
        <w:t> </w:t>
      </w:r>
      <w:r>
        <w:rPr>
          <w:color w:val="231F20"/>
        </w:rPr>
        <w:t>tell</w:t>
      </w:r>
      <w:r>
        <w:rPr>
          <w:color w:val="231F20"/>
          <w:spacing w:val="27"/>
        </w:rPr>
        <w:t> </w:t>
      </w:r>
      <w:r>
        <w:rPr>
          <w:color w:val="231F20"/>
        </w:rPr>
        <w:t>the</w:t>
      </w:r>
      <w:r>
        <w:rPr>
          <w:color w:val="231F20"/>
          <w:spacing w:val="27"/>
        </w:rPr>
        <w:t> </w:t>
      </w:r>
      <w:r>
        <w:rPr>
          <w:color w:val="231F20"/>
        </w:rPr>
        <w:t>NPV</w:t>
      </w:r>
      <w:r>
        <w:rPr>
          <w:color w:val="231F20"/>
          <w:spacing w:val="27"/>
        </w:rPr>
        <w:t> </w:t>
      </w:r>
      <w:r>
        <w:rPr>
          <w:color w:val="231F20"/>
        </w:rPr>
        <w:t>of</w:t>
      </w:r>
      <w:r>
        <w:rPr>
          <w:color w:val="231F20"/>
          <w:spacing w:val="27"/>
        </w:rPr>
        <w:t> </w:t>
      </w:r>
      <w:r>
        <w:rPr>
          <w:color w:val="231F20"/>
        </w:rPr>
        <w:t>$1 at varying rates and for varying periods. Considering the 10 percent reinvestment opportunities available and the project’s riskiness, $1</w:t>
      </w:r>
      <w:r>
        <w:rPr>
          <w:color w:val="231F20"/>
          <w:spacing w:val="40"/>
        </w:rPr>
        <w:t> </w:t>
      </w:r>
      <w:r>
        <w:rPr>
          <w:color w:val="231F20"/>
        </w:rPr>
        <w:t>in the future is worth the following amounts today per the formula and tables:</w:t>
      </w:r>
    </w:p>
    <w:p>
      <w:pPr>
        <w:pStyle w:val="BodyText"/>
        <w:spacing w:before="3"/>
        <w:rPr>
          <w:sz w:val="26"/>
        </w:rPr>
      </w:pPr>
    </w:p>
    <w:p>
      <w:pPr>
        <w:spacing w:before="0"/>
        <w:ind w:left="295" w:right="219" w:firstLine="0"/>
        <w:jc w:val="center"/>
        <w:rPr>
          <w:b/>
          <w:sz w:val="20"/>
        </w:rPr>
      </w:pPr>
      <w:r>
        <w:rPr>
          <w:b/>
          <w:color w:val="231F20"/>
          <w:w w:val="115"/>
          <w:sz w:val="20"/>
        </w:rPr>
        <w:t>DISCOUNT</w:t>
      </w:r>
      <w:r>
        <w:rPr>
          <w:b/>
          <w:color w:val="231F20"/>
          <w:spacing w:val="66"/>
          <w:w w:val="115"/>
          <w:sz w:val="20"/>
        </w:rPr>
        <w:t> </w:t>
      </w:r>
      <w:r>
        <w:rPr>
          <w:b/>
          <w:color w:val="231F20"/>
          <w:spacing w:val="-2"/>
          <w:w w:val="115"/>
          <w:sz w:val="20"/>
        </w:rPr>
        <w:t>FACTORS</w:t>
      </w:r>
    </w:p>
    <w:p>
      <w:pPr>
        <w:pStyle w:val="BodyText"/>
        <w:spacing w:before="3"/>
        <w:rPr>
          <w:b/>
          <w:sz w:val="7"/>
        </w:rPr>
      </w:pPr>
    </w:p>
    <w:tbl>
      <w:tblPr>
        <w:tblW w:w="0" w:type="auto"/>
        <w:jc w:val="left"/>
        <w:tblInd w:w="1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0"/>
        <w:gridCol w:w="1597"/>
        <w:gridCol w:w="2131"/>
      </w:tblGrid>
      <w:tr>
        <w:trPr>
          <w:trHeight w:val="473" w:hRule="atLeast"/>
        </w:trPr>
        <w:tc>
          <w:tcPr>
            <w:tcW w:w="1800" w:type="dxa"/>
            <w:tcBorders>
              <w:top w:val="single" w:sz="8" w:space="0" w:color="231F20"/>
            </w:tcBorders>
          </w:tcPr>
          <w:p>
            <w:pPr>
              <w:pStyle w:val="TableParagraph"/>
              <w:spacing w:before="200"/>
              <w:jc w:val="left"/>
              <w:rPr>
                <w:b/>
                <w:sz w:val="21"/>
              </w:rPr>
            </w:pPr>
            <w:r>
              <w:rPr>
                <w:b/>
                <w:color w:val="231F20"/>
                <w:sz w:val="21"/>
              </w:rPr>
              <w:t>$1</w:t>
            </w:r>
            <w:r>
              <w:rPr>
                <w:b/>
                <w:color w:val="231F20"/>
                <w:spacing w:val="9"/>
                <w:sz w:val="21"/>
              </w:rPr>
              <w:t> </w:t>
            </w:r>
            <w:r>
              <w:rPr>
                <w:b/>
                <w:color w:val="231F20"/>
                <w:spacing w:val="-2"/>
                <w:sz w:val="21"/>
              </w:rPr>
              <w:t>today</w:t>
            </w:r>
          </w:p>
        </w:tc>
        <w:tc>
          <w:tcPr>
            <w:tcW w:w="1597" w:type="dxa"/>
            <w:tcBorders>
              <w:top w:val="single" w:sz="8" w:space="0" w:color="231F20"/>
            </w:tcBorders>
          </w:tcPr>
          <w:p>
            <w:pPr>
              <w:pStyle w:val="TableParagraph"/>
              <w:spacing w:before="1"/>
              <w:jc w:val="left"/>
              <w:rPr>
                <w:b/>
                <w:sz w:val="16"/>
              </w:rPr>
            </w:pPr>
          </w:p>
          <w:p>
            <w:pPr>
              <w:pStyle w:val="TableParagraph"/>
              <w:spacing w:before="0"/>
              <w:ind w:right="78"/>
              <w:rPr>
                <w:rFonts w:ascii="Symbol" w:hAnsi="Symbol"/>
                <w:sz w:val="21"/>
              </w:rPr>
            </w:pPr>
            <w:r>
              <w:rPr>
                <w:rFonts w:ascii="Symbol" w:hAnsi="Symbol"/>
                <w:color w:val="231F20"/>
                <w:w w:val="101"/>
                <w:sz w:val="21"/>
              </w:rPr>
              <w:t></w:t>
            </w:r>
          </w:p>
        </w:tc>
        <w:tc>
          <w:tcPr>
            <w:tcW w:w="2131" w:type="dxa"/>
            <w:tcBorders>
              <w:top w:val="single" w:sz="8" w:space="0" w:color="231F20"/>
            </w:tcBorders>
          </w:tcPr>
          <w:p>
            <w:pPr>
              <w:pStyle w:val="TableParagraph"/>
              <w:spacing w:before="200"/>
              <w:ind w:left="782"/>
              <w:jc w:val="left"/>
              <w:rPr>
                <w:b/>
                <w:sz w:val="21"/>
              </w:rPr>
            </w:pPr>
            <w:r>
              <w:rPr>
                <w:b/>
                <w:color w:val="231F20"/>
                <w:sz w:val="21"/>
              </w:rPr>
              <w:t>$1</w:t>
            </w:r>
            <w:r>
              <w:rPr>
                <w:b/>
                <w:color w:val="231F20"/>
                <w:spacing w:val="9"/>
                <w:sz w:val="21"/>
              </w:rPr>
              <w:t> </w:t>
            </w:r>
            <w:r>
              <w:rPr>
                <w:b/>
                <w:color w:val="231F20"/>
                <w:spacing w:val="-2"/>
                <w:sz w:val="21"/>
              </w:rPr>
              <w:t>today</w:t>
            </w:r>
          </w:p>
        </w:tc>
      </w:tr>
      <w:tr>
        <w:trPr>
          <w:trHeight w:val="279" w:hRule="atLeast"/>
        </w:trPr>
        <w:tc>
          <w:tcPr>
            <w:tcW w:w="1800" w:type="dxa"/>
          </w:tcPr>
          <w:p>
            <w:pPr>
              <w:pStyle w:val="TableParagraph"/>
              <w:spacing w:line="232" w:lineRule="exact" w:before="27"/>
              <w:ind w:left="-1"/>
              <w:jc w:val="left"/>
              <w:rPr>
                <w:b/>
                <w:sz w:val="21"/>
              </w:rPr>
            </w:pPr>
            <w:r>
              <w:rPr>
                <w:b/>
                <w:color w:val="231F20"/>
                <w:sz w:val="21"/>
              </w:rPr>
              <w:t>$1</w:t>
            </w:r>
            <w:r>
              <w:rPr>
                <w:b/>
                <w:color w:val="231F20"/>
                <w:spacing w:val="4"/>
                <w:sz w:val="21"/>
              </w:rPr>
              <w:t> </w:t>
            </w:r>
            <w:r>
              <w:rPr>
                <w:b/>
                <w:color w:val="231F20"/>
                <w:sz w:val="21"/>
              </w:rPr>
              <w:t>in</w:t>
            </w:r>
            <w:r>
              <w:rPr>
                <w:b/>
                <w:color w:val="231F20"/>
                <w:spacing w:val="3"/>
                <w:sz w:val="21"/>
              </w:rPr>
              <w:t> </w:t>
            </w:r>
            <w:r>
              <w:rPr>
                <w:b/>
                <w:color w:val="231F20"/>
                <w:sz w:val="21"/>
              </w:rPr>
              <w:t>1</w:t>
            </w:r>
            <w:r>
              <w:rPr>
                <w:b/>
                <w:color w:val="231F20"/>
                <w:spacing w:val="4"/>
                <w:sz w:val="21"/>
              </w:rPr>
              <w:t> </w:t>
            </w:r>
            <w:r>
              <w:rPr>
                <w:b/>
                <w:color w:val="231F20"/>
                <w:spacing w:val="-4"/>
                <w:sz w:val="21"/>
              </w:rPr>
              <w:t>year</w:t>
            </w:r>
          </w:p>
        </w:tc>
        <w:tc>
          <w:tcPr>
            <w:tcW w:w="1597" w:type="dxa"/>
          </w:tcPr>
          <w:p>
            <w:pPr>
              <w:pStyle w:val="TableParagraph"/>
              <w:spacing w:line="243" w:lineRule="exact" w:before="15"/>
              <w:ind w:right="78"/>
              <w:rPr>
                <w:rFonts w:ascii="Symbol" w:hAnsi="Symbol"/>
                <w:sz w:val="21"/>
              </w:rPr>
            </w:pPr>
            <w:r>
              <w:rPr>
                <w:rFonts w:ascii="Symbol" w:hAnsi="Symbol"/>
                <w:color w:val="231F20"/>
                <w:w w:val="101"/>
                <w:sz w:val="21"/>
              </w:rPr>
              <w:t></w:t>
            </w:r>
          </w:p>
        </w:tc>
        <w:tc>
          <w:tcPr>
            <w:tcW w:w="2131" w:type="dxa"/>
          </w:tcPr>
          <w:p>
            <w:pPr>
              <w:pStyle w:val="TableParagraph"/>
              <w:spacing w:line="232" w:lineRule="exact" w:before="27"/>
              <w:ind w:left="782" w:right="-15"/>
              <w:jc w:val="left"/>
              <w:rPr>
                <w:b/>
                <w:sz w:val="21"/>
              </w:rPr>
            </w:pPr>
            <w:r>
              <w:rPr>
                <w:b/>
                <w:color w:val="231F20"/>
                <w:sz w:val="21"/>
              </w:rPr>
              <w:t>$.90909</w:t>
            </w:r>
            <w:r>
              <w:rPr>
                <w:b/>
                <w:color w:val="231F20"/>
                <w:spacing w:val="-4"/>
                <w:sz w:val="21"/>
              </w:rPr>
              <w:t> </w:t>
            </w:r>
            <w:r>
              <w:rPr>
                <w:b/>
                <w:color w:val="231F20"/>
                <w:spacing w:val="-4"/>
                <w:w w:val="95"/>
                <w:sz w:val="21"/>
              </w:rPr>
              <w:t>today</w:t>
            </w:r>
          </w:p>
        </w:tc>
      </w:tr>
    </w:tbl>
    <w:p>
      <w:pPr>
        <w:spacing w:after="0" w:line="232" w:lineRule="exact"/>
        <w:jc w:val="left"/>
        <w:rPr>
          <w:sz w:val="21"/>
        </w:rPr>
        <w:sectPr>
          <w:pgSz w:w="8640" w:h="12960"/>
          <w:pgMar w:header="732" w:footer="0" w:top="920" w:bottom="280" w:left="340" w:right="500"/>
        </w:sectPr>
      </w:pPr>
    </w:p>
    <w:p>
      <w:pPr>
        <w:pStyle w:val="BodyText"/>
        <w:spacing w:before="9"/>
        <w:rPr>
          <w:b/>
          <w:sz w:val="25"/>
        </w:rPr>
      </w:pPr>
    </w:p>
    <w:tbl>
      <w:tblPr>
        <w:tblW w:w="0" w:type="auto"/>
        <w:jc w:val="left"/>
        <w:tblInd w:w="1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2"/>
        <w:gridCol w:w="1557"/>
        <w:gridCol w:w="2182"/>
      </w:tblGrid>
      <w:tr>
        <w:trPr>
          <w:trHeight w:val="279" w:hRule="atLeast"/>
        </w:trPr>
        <w:tc>
          <w:tcPr>
            <w:tcW w:w="1892" w:type="dxa"/>
          </w:tcPr>
          <w:p>
            <w:pPr>
              <w:pStyle w:val="TableParagraph"/>
              <w:spacing w:before="6"/>
              <w:ind w:left="50"/>
              <w:jc w:val="left"/>
              <w:rPr>
                <w:b/>
                <w:sz w:val="21"/>
              </w:rPr>
            </w:pPr>
            <w:r>
              <w:rPr>
                <w:b/>
                <w:color w:val="231F20"/>
                <w:sz w:val="21"/>
              </w:rPr>
              <w:t>$1</w:t>
            </w:r>
            <w:r>
              <w:rPr>
                <w:b/>
                <w:color w:val="231F20"/>
                <w:spacing w:val="4"/>
                <w:sz w:val="21"/>
              </w:rPr>
              <w:t> </w:t>
            </w:r>
            <w:r>
              <w:rPr>
                <w:b/>
                <w:color w:val="231F20"/>
                <w:sz w:val="21"/>
              </w:rPr>
              <w:t>in</w:t>
            </w:r>
            <w:r>
              <w:rPr>
                <w:b/>
                <w:color w:val="231F20"/>
                <w:spacing w:val="3"/>
                <w:sz w:val="21"/>
              </w:rPr>
              <w:t> </w:t>
            </w:r>
            <w:r>
              <w:rPr>
                <w:b/>
                <w:color w:val="231F20"/>
                <w:sz w:val="21"/>
              </w:rPr>
              <w:t>2</w:t>
            </w:r>
            <w:r>
              <w:rPr>
                <w:b/>
                <w:color w:val="231F20"/>
                <w:spacing w:val="4"/>
                <w:sz w:val="21"/>
              </w:rPr>
              <w:t> </w:t>
            </w:r>
            <w:r>
              <w:rPr>
                <w:b/>
                <w:color w:val="231F20"/>
                <w:spacing w:val="-4"/>
                <w:sz w:val="21"/>
              </w:rPr>
              <w:t>years</w:t>
            </w:r>
          </w:p>
        </w:tc>
        <w:tc>
          <w:tcPr>
            <w:tcW w:w="1557" w:type="dxa"/>
          </w:tcPr>
          <w:p>
            <w:pPr>
              <w:pStyle w:val="TableParagraph"/>
              <w:spacing w:line="252" w:lineRule="exact" w:before="0"/>
              <w:ind w:left="658"/>
              <w:jc w:val="left"/>
              <w:rPr>
                <w:rFonts w:ascii="Symbol" w:hAnsi="Symbol"/>
                <w:sz w:val="21"/>
              </w:rPr>
            </w:pPr>
            <w:r>
              <w:rPr>
                <w:rFonts w:ascii="Symbol" w:hAnsi="Symbol"/>
                <w:color w:val="231F20"/>
                <w:w w:val="101"/>
                <w:sz w:val="21"/>
              </w:rPr>
              <w:t></w:t>
            </w:r>
          </w:p>
        </w:tc>
        <w:tc>
          <w:tcPr>
            <w:tcW w:w="2182" w:type="dxa"/>
          </w:tcPr>
          <w:p>
            <w:pPr>
              <w:pStyle w:val="TableParagraph"/>
              <w:spacing w:before="6"/>
              <w:ind w:right="49"/>
              <w:jc w:val="right"/>
              <w:rPr>
                <w:b/>
                <w:sz w:val="21"/>
              </w:rPr>
            </w:pPr>
            <w:r>
              <w:rPr>
                <w:b/>
                <w:color w:val="231F20"/>
                <w:sz w:val="21"/>
              </w:rPr>
              <w:t>$.82645</w:t>
            </w:r>
            <w:r>
              <w:rPr>
                <w:b/>
                <w:color w:val="231F20"/>
                <w:spacing w:val="-4"/>
                <w:sz w:val="21"/>
              </w:rPr>
              <w:t> </w:t>
            </w:r>
            <w:r>
              <w:rPr>
                <w:b/>
                <w:color w:val="231F20"/>
                <w:spacing w:val="-2"/>
                <w:sz w:val="21"/>
              </w:rPr>
              <w:t>today</w:t>
            </w:r>
          </w:p>
        </w:tc>
      </w:tr>
      <w:tr>
        <w:trPr>
          <w:trHeight w:val="279" w:hRule="atLeast"/>
        </w:trPr>
        <w:tc>
          <w:tcPr>
            <w:tcW w:w="1892" w:type="dxa"/>
          </w:tcPr>
          <w:p>
            <w:pPr>
              <w:pStyle w:val="TableParagraph"/>
              <w:spacing w:line="232" w:lineRule="exact" w:before="27"/>
              <w:ind w:left="50"/>
              <w:jc w:val="left"/>
              <w:rPr>
                <w:b/>
                <w:sz w:val="21"/>
              </w:rPr>
            </w:pPr>
            <w:r>
              <w:rPr>
                <w:b/>
                <w:color w:val="231F20"/>
                <w:sz w:val="21"/>
              </w:rPr>
              <w:t>$1</w:t>
            </w:r>
            <w:r>
              <w:rPr>
                <w:b/>
                <w:color w:val="231F20"/>
                <w:spacing w:val="4"/>
                <w:sz w:val="21"/>
              </w:rPr>
              <w:t> </w:t>
            </w:r>
            <w:r>
              <w:rPr>
                <w:b/>
                <w:color w:val="231F20"/>
                <w:sz w:val="21"/>
              </w:rPr>
              <w:t>in</w:t>
            </w:r>
            <w:r>
              <w:rPr>
                <w:b/>
                <w:color w:val="231F20"/>
                <w:spacing w:val="3"/>
                <w:sz w:val="21"/>
              </w:rPr>
              <w:t> </w:t>
            </w:r>
            <w:r>
              <w:rPr>
                <w:b/>
                <w:color w:val="231F20"/>
                <w:sz w:val="21"/>
              </w:rPr>
              <w:t>3</w:t>
            </w:r>
            <w:r>
              <w:rPr>
                <w:b/>
                <w:color w:val="231F20"/>
                <w:spacing w:val="4"/>
                <w:sz w:val="21"/>
              </w:rPr>
              <w:t> </w:t>
            </w:r>
            <w:r>
              <w:rPr>
                <w:b/>
                <w:color w:val="231F20"/>
                <w:spacing w:val="-4"/>
                <w:sz w:val="21"/>
              </w:rPr>
              <w:t>years</w:t>
            </w:r>
          </w:p>
        </w:tc>
        <w:tc>
          <w:tcPr>
            <w:tcW w:w="1557" w:type="dxa"/>
          </w:tcPr>
          <w:p>
            <w:pPr>
              <w:pStyle w:val="TableParagraph"/>
              <w:spacing w:line="243" w:lineRule="exact" w:before="15"/>
              <w:ind w:left="658"/>
              <w:jc w:val="left"/>
              <w:rPr>
                <w:rFonts w:ascii="Symbol" w:hAnsi="Symbol"/>
                <w:sz w:val="21"/>
              </w:rPr>
            </w:pPr>
            <w:r>
              <w:rPr>
                <w:rFonts w:ascii="Symbol" w:hAnsi="Symbol"/>
                <w:color w:val="231F20"/>
                <w:w w:val="101"/>
                <w:sz w:val="21"/>
              </w:rPr>
              <w:t></w:t>
            </w:r>
          </w:p>
        </w:tc>
        <w:tc>
          <w:tcPr>
            <w:tcW w:w="2182" w:type="dxa"/>
          </w:tcPr>
          <w:p>
            <w:pPr>
              <w:pStyle w:val="TableParagraph"/>
              <w:spacing w:line="232" w:lineRule="exact" w:before="27"/>
              <w:ind w:right="49"/>
              <w:jc w:val="right"/>
              <w:rPr>
                <w:b/>
                <w:sz w:val="21"/>
              </w:rPr>
            </w:pPr>
            <w:r>
              <w:rPr>
                <w:b/>
                <w:color w:val="231F20"/>
                <w:sz w:val="21"/>
              </w:rPr>
              <w:t>$.75131</w:t>
            </w:r>
            <w:r>
              <w:rPr>
                <w:b/>
                <w:color w:val="231F20"/>
                <w:spacing w:val="-4"/>
                <w:sz w:val="21"/>
              </w:rPr>
              <w:t> </w:t>
            </w:r>
            <w:r>
              <w:rPr>
                <w:b/>
                <w:color w:val="231F20"/>
                <w:spacing w:val="-2"/>
                <w:sz w:val="21"/>
              </w:rPr>
              <w:t>today</w:t>
            </w:r>
          </w:p>
        </w:tc>
      </w:tr>
    </w:tbl>
    <w:p>
      <w:pPr>
        <w:pStyle w:val="BodyText"/>
        <w:rPr>
          <w:b/>
          <w:sz w:val="25"/>
        </w:rPr>
      </w:pPr>
    </w:p>
    <w:p>
      <w:pPr>
        <w:pStyle w:val="BodyText"/>
        <w:spacing w:line="292" w:lineRule="auto" w:before="102"/>
        <w:ind w:left="920" w:right="667" w:firstLine="340"/>
      </w:pPr>
      <w:r>
        <w:rPr>
          <w:color w:val="231F20"/>
        </w:rPr>
        <w:t>The cash flows of the Quaker project would be valued in the </w:t>
      </w:r>
      <w:r>
        <w:rPr>
          <w:color w:val="231F20"/>
        </w:rPr>
        <w:t>fol- lowing way:</w:t>
      </w:r>
    </w:p>
    <w:p>
      <w:pPr>
        <w:pStyle w:val="BodyText"/>
        <w:spacing w:before="6"/>
        <w:rPr>
          <w:sz w:val="28"/>
        </w:rPr>
      </w:pPr>
    </w:p>
    <w:p>
      <w:pPr>
        <w:spacing w:before="0"/>
        <w:ind w:left="475" w:right="219" w:firstLine="0"/>
        <w:jc w:val="center"/>
        <w:rPr>
          <w:b/>
          <w:sz w:val="20"/>
        </w:rPr>
      </w:pPr>
      <w:r>
        <w:rPr/>
        <w:pict>
          <v:rect style="position:absolute;margin-left:142.457886pt;margin-top:34.680901pt;width:4.930940pt;height:.7242pt;mso-position-horizontal-relative:page;mso-position-vertical-relative:paragraph;z-index:-25127424" id="docshape313" filled="true" fillcolor="#231f20" stroked="false">
            <v:fill type="solid"/>
            <w10:wrap type="none"/>
          </v:rect>
        </w:pict>
      </w:r>
      <w:r>
        <w:rPr/>
        <w:pict>
          <v:rect style="position:absolute;margin-left:268.957428pt;margin-top:34.680901pt;width:4.930940pt;height:.7242pt;mso-position-horizontal-relative:page;mso-position-vertical-relative:paragraph;z-index:-25126912" id="docshape314" filled="true" fillcolor="#231f20" stroked="false">
            <v:fill type="solid"/>
            <w10:wrap type="none"/>
          </v:rect>
        </w:pict>
      </w:r>
      <w:r>
        <w:rPr>
          <w:b/>
          <w:color w:val="231F20"/>
          <w:w w:val="115"/>
          <w:sz w:val="20"/>
        </w:rPr>
        <w:t>FUTURE</w:t>
      </w:r>
      <w:r>
        <w:rPr>
          <w:b/>
          <w:color w:val="231F20"/>
          <w:spacing w:val="24"/>
          <w:w w:val="115"/>
          <w:sz w:val="20"/>
        </w:rPr>
        <w:t> </w:t>
      </w:r>
      <w:r>
        <w:rPr>
          <w:b/>
          <w:color w:val="231F20"/>
          <w:w w:val="115"/>
          <w:sz w:val="20"/>
        </w:rPr>
        <w:t>CASH</w:t>
      </w:r>
      <w:r>
        <w:rPr>
          <w:b/>
          <w:color w:val="231F20"/>
          <w:spacing w:val="25"/>
          <w:w w:val="115"/>
          <w:sz w:val="20"/>
        </w:rPr>
        <w:t> </w:t>
      </w:r>
      <w:r>
        <w:rPr>
          <w:rFonts w:ascii="Symbol" w:hAnsi="Symbol"/>
          <w:color w:val="231F20"/>
          <w:w w:val="115"/>
          <w:sz w:val="21"/>
        </w:rPr>
        <w:t></w:t>
      </w:r>
      <w:r>
        <w:rPr>
          <w:rFonts w:ascii="Times New Roman" w:hAnsi="Times New Roman"/>
          <w:color w:val="231F20"/>
          <w:spacing w:val="8"/>
          <w:w w:val="115"/>
          <w:sz w:val="21"/>
        </w:rPr>
        <w:t> </w:t>
      </w:r>
      <w:r>
        <w:rPr>
          <w:b/>
          <w:color w:val="231F20"/>
          <w:w w:val="115"/>
          <w:sz w:val="20"/>
        </w:rPr>
        <w:t>DISCOUNT</w:t>
      </w:r>
      <w:r>
        <w:rPr>
          <w:b/>
          <w:color w:val="231F20"/>
          <w:spacing w:val="25"/>
          <w:w w:val="115"/>
          <w:sz w:val="20"/>
        </w:rPr>
        <w:t> </w:t>
      </w:r>
      <w:r>
        <w:rPr>
          <w:b/>
          <w:color w:val="231F20"/>
          <w:w w:val="115"/>
          <w:sz w:val="20"/>
        </w:rPr>
        <w:t>FACTOR</w:t>
      </w:r>
      <w:r>
        <w:rPr>
          <w:b/>
          <w:color w:val="231F20"/>
          <w:spacing w:val="25"/>
          <w:w w:val="115"/>
          <w:sz w:val="20"/>
        </w:rPr>
        <w:t> </w:t>
      </w:r>
      <w:r>
        <w:rPr>
          <w:rFonts w:ascii="Symbol" w:hAnsi="Symbol"/>
          <w:color w:val="231F20"/>
          <w:w w:val="115"/>
          <w:sz w:val="21"/>
        </w:rPr>
        <w:t></w:t>
      </w:r>
      <w:r>
        <w:rPr>
          <w:rFonts w:ascii="Times New Roman" w:hAnsi="Times New Roman"/>
          <w:color w:val="231F20"/>
          <w:spacing w:val="8"/>
          <w:w w:val="115"/>
          <w:sz w:val="21"/>
        </w:rPr>
        <w:t> </w:t>
      </w:r>
      <w:r>
        <w:rPr>
          <w:b/>
          <w:color w:val="231F20"/>
          <w:spacing w:val="-5"/>
          <w:w w:val="115"/>
          <w:sz w:val="20"/>
        </w:rPr>
        <w:t>NPV</w:t>
      </w:r>
    </w:p>
    <w:p>
      <w:pPr>
        <w:pStyle w:val="BodyText"/>
        <w:spacing w:before="3"/>
        <w:rPr>
          <w:b/>
          <w:sz w:val="6"/>
        </w:rPr>
      </w:pPr>
    </w:p>
    <w:tbl>
      <w:tblPr>
        <w:tblW w:w="0" w:type="auto"/>
        <w:jc w:val="left"/>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67"/>
        <w:gridCol w:w="1198"/>
        <w:gridCol w:w="239"/>
        <w:gridCol w:w="808"/>
        <w:gridCol w:w="332"/>
        <w:gridCol w:w="1789"/>
      </w:tblGrid>
      <w:tr>
        <w:trPr>
          <w:trHeight w:val="475" w:hRule="atLeast"/>
        </w:trPr>
        <w:tc>
          <w:tcPr>
            <w:tcW w:w="1167" w:type="dxa"/>
            <w:tcBorders>
              <w:top w:val="single" w:sz="8" w:space="0" w:color="231F20"/>
            </w:tcBorders>
          </w:tcPr>
          <w:p>
            <w:pPr>
              <w:pStyle w:val="TableParagraph"/>
              <w:spacing w:before="200"/>
              <w:jc w:val="left"/>
              <w:rPr>
                <w:sz w:val="21"/>
              </w:rPr>
            </w:pPr>
            <w:r>
              <w:rPr>
                <w:color w:val="231F20"/>
                <w:sz w:val="21"/>
              </w:rPr>
              <w:t>Start</w:t>
            </w:r>
            <w:r>
              <w:rPr>
                <w:color w:val="231F20"/>
                <w:spacing w:val="14"/>
                <w:sz w:val="21"/>
              </w:rPr>
              <w:t> </w:t>
            </w:r>
            <w:r>
              <w:rPr>
                <w:color w:val="231F20"/>
                <w:sz w:val="21"/>
              </w:rPr>
              <w:t>Year</w:t>
            </w:r>
            <w:r>
              <w:rPr>
                <w:color w:val="231F20"/>
                <w:spacing w:val="15"/>
                <w:sz w:val="21"/>
              </w:rPr>
              <w:t> </w:t>
            </w:r>
            <w:r>
              <w:rPr>
                <w:color w:val="231F20"/>
                <w:spacing w:val="-10"/>
                <w:sz w:val="21"/>
              </w:rPr>
              <w:t>0</w:t>
            </w:r>
          </w:p>
        </w:tc>
        <w:tc>
          <w:tcPr>
            <w:tcW w:w="1198" w:type="dxa"/>
            <w:tcBorders>
              <w:top w:val="single" w:sz="8" w:space="0" w:color="231F20"/>
            </w:tcBorders>
          </w:tcPr>
          <w:p>
            <w:pPr>
              <w:pStyle w:val="TableParagraph"/>
              <w:spacing w:before="200"/>
              <w:ind w:left="189"/>
              <w:jc w:val="left"/>
              <w:rPr>
                <w:sz w:val="21"/>
              </w:rPr>
            </w:pPr>
            <w:r>
              <w:rPr>
                <w:color w:val="231F20"/>
                <w:spacing w:val="-2"/>
                <w:w w:val="105"/>
                <w:sz w:val="21"/>
              </w:rPr>
              <w:t>$102,000</w:t>
            </w:r>
          </w:p>
        </w:tc>
        <w:tc>
          <w:tcPr>
            <w:tcW w:w="239" w:type="dxa"/>
            <w:tcBorders>
              <w:top w:val="single" w:sz="8" w:space="0" w:color="231F20"/>
            </w:tcBorders>
          </w:tcPr>
          <w:p>
            <w:pPr>
              <w:pStyle w:val="TableParagraph"/>
              <w:spacing w:before="1"/>
              <w:jc w:val="left"/>
              <w:rPr>
                <w:b/>
                <w:sz w:val="16"/>
              </w:rPr>
            </w:pPr>
          </w:p>
          <w:p>
            <w:pPr>
              <w:pStyle w:val="TableParagraph"/>
              <w:spacing w:before="0"/>
              <w:ind w:left="44"/>
              <w:jc w:val="left"/>
              <w:rPr>
                <w:rFonts w:ascii="Symbol" w:hAnsi="Symbol"/>
                <w:sz w:val="21"/>
              </w:rPr>
            </w:pPr>
            <w:r>
              <w:rPr>
                <w:rFonts w:ascii="Symbol" w:hAnsi="Symbol"/>
                <w:color w:val="231F20"/>
                <w:w w:val="101"/>
                <w:sz w:val="21"/>
              </w:rPr>
              <w:t></w:t>
            </w:r>
          </w:p>
        </w:tc>
        <w:tc>
          <w:tcPr>
            <w:tcW w:w="808" w:type="dxa"/>
            <w:tcBorders>
              <w:top w:val="single" w:sz="8" w:space="0" w:color="231F20"/>
            </w:tcBorders>
          </w:tcPr>
          <w:p>
            <w:pPr>
              <w:pStyle w:val="TableParagraph"/>
              <w:spacing w:before="200"/>
              <w:ind w:left="75"/>
              <w:jc w:val="left"/>
              <w:rPr>
                <w:sz w:val="21"/>
              </w:rPr>
            </w:pPr>
            <w:r>
              <w:rPr>
                <w:color w:val="231F20"/>
                <w:w w:val="101"/>
                <w:sz w:val="21"/>
              </w:rPr>
              <w:t>1</w:t>
            </w:r>
          </w:p>
        </w:tc>
        <w:tc>
          <w:tcPr>
            <w:tcW w:w="332" w:type="dxa"/>
            <w:tcBorders>
              <w:top w:val="single" w:sz="8" w:space="0" w:color="231F20"/>
            </w:tcBorders>
          </w:tcPr>
          <w:p>
            <w:pPr>
              <w:pStyle w:val="TableParagraph"/>
              <w:spacing w:before="1"/>
              <w:jc w:val="left"/>
              <w:rPr>
                <w:b/>
                <w:sz w:val="16"/>
              </w:rPr>
            </w:pPr>
          </w:p>
          <w:p>
            <w:pPr>
              <w:pStyle w:val="TableParagraph"/>
              <w:spacing w:before="0"/>
              <w:ind w:left="77"/>
              <w:jc w:val="left"/>
              <w:rPr>
                <w:rFonts w:ascii="Symbol" w:hAnsi="Symbol"/>
                <w:sz w:val="21"/>
              </w:rPr>
            </w:pPr>
            <w:r>
              <w:rPr>
                <w:rFonts w:ascii="Symbol" w:hAnsi="Symbol"/>
                <w:color w:val="231F20"/>
                <w:w w:val="101"/>
                <w:sz w:val="21"/>
              </w:rPr>
              <w:t></w:t>
            </w:r>
          </w:p>
        </w:tc>
        <w:tc>
          <w:tcPr>
            <w:tcW w:w="1789" w:type="dxa"/>
            <w:tcBorders>
              <w:top w:val="single" w:sz="8" w:space="0" w:color="231F20"/>
            </w:tcBorders>
          </w:tcPr>
          <w:p>
            <w:pPr>
              <w:pStyle w:val="TableParagraph"/>
              <w:spacing w:before="200"/>
              <w:ind w:left="142"/>
              <w:jc w:val="left"/>
              <w:rPr>
                <w:sz w:val="21"/>
              </w:rPr>
            </w:pPr>
            <w:r>
              <w:rPr>
                <w:color w:val="231F20"/>
                <w:w w:val="105"/>
                <w:sz w:val="21"/>
              </w:rPr>
              <w:t>$102,000</w:t>
            </w:r>
            <w:r>
              <w:rPr>
                <w:color w:val="231F20"/>
                <w:spacing w:val="1"/>
                <w:w w:val="105"/>
                <w:sz w:val="21"/>
              </w:rPr>
              <w:t> </w:t>
            </w:r>
            <w:r>
              <w:rPr>
                <w:color w:val="231F20"/>
                <w:spacing w:val="-2"/>
                <w:w w:val="105"/>
                <w:sz w:val="21"/>
              </w:rPr>
              <w:t>today</w:t>
            </w:r>
          </w:p>
        </w:tc>
      </w:tr>
      <w:tr>
        <w:trPr>
          <w:trHeight w:val="299" w:hRule="atLeast"/>
        </w:trPr>
        <w:tc>
          <w:tcPr>
            <w:tcW w:w="1167" w:type="dxa"/>
          </w:tcPr>
          <w:p>
            <w:pPr>
              <w:pStyle w:val="TableParagraph"/>
              <w:spacing w:before="25"/>
              <w:ind w:left="-1"/>
              <w:jc w:val="left"/>
              <w:rPr>
                <w:sz w:val="21"/>
              </w:rPr>
            </w:pPr>
            <w:r>
              <w:rPr>
                <w:color w:val="231F20"/>
                <w:sz w:val="21"/>
              </w:rPr>
              <w:t>in</w:t>
            </w:r>
            <w:r>
              <w:rPr>
                <w:color w:val="231F20"/>
                <w:spacing w:val="8"/>
                <w:sz w:val="21"/>
              </w:rPr>
              <w:t> </w:t>
            </w:r>
            <w:r>
              <w:rPr>
                <w:color w:val="231F20"/>
                <w:sz w:val="21"/>
              </w:rPr>
              <w:t>year</w:t>
            </w:r>
            <w:r>
              <w:rPr>
                <w:color w:val="231F20"/>
                <w:spacing w:val="9"/>
                <w:sz w:val="21"/>
              </w:rPr>
              <w:t> </w:t>
            </w:r>
            <w:r>
              <w:rPr>
                <w:color w:val="231F20"/>
                <w:spacing w:val="-10"/>
                <w:sz w:val="21"/>
              </w:rPr>
              <w:t>1</w:t>
            </w:r>
          </w:p>
        </w:tc>
        <w:tc>
          <w:tcPr>
            <w:tcW w:w="1198" w:type="dxa"/>
          </w:tcPr>
          <w:p>
            <w:pPr>
              <w:pStyle w:val="TableParagraph"/>
              <w:spacing w:before="25"/>
              <w:ind w:left="73"/>
              <w:jc w:val="left"/>
              <w:rPr>
                <w:sz w:val="21"/>
              </w:rPr>
            </w:pPr>
            <w:r>
              <w:rPr>
                <w:color w:val="231F20"/>
                <w:spacing w:val="-2"/>
                <w:w w:val="105"/>
                <w:sz w:val="21"/>
              </w:rPr>
              <w:t>$51,000</w:t>
            </w:r>
          </w:p>
        </w:tc>
        <w:tc>
          <w:tcPr>
            <w:tcW w:w="239" w:type="dxa"/>
          </w:tcPr>
          <w:p>
            <w:pPr>
              <w:pStyle w:val="TableParagraph"/>
              <w:spacing w:before="13"/>
              <w:ind w:left="44"/>
              <w:jc w:val="left"/>
              <w:rPr>
                <w:rFonts w:ascii="Symbol" w:hAnsi="Symbol"/>
                <w:sz w:val="21"/>
              </w:rPr>
            </w:pPr>
            <w:r>
              <w:rPr>
                <w:rFonts w:ascii="Symbol" w:hAnsi="Symbol"/>
                <w:color w:val="231F20"/>
                <w:w w:val="101"/>
                <w:sz w:val="21"/>
              </w:rPr>
              <w:t></w:t>
            </w:r>
          </w:p>
        </w:tc>
        <w:tc>
          <w:tcPr>
            <w:tcW w:w="808" w:type="dxa"/>
          </w:tcPr>
          <w:p>
            <w:pPr>
              <w:pStyle w:val="TableParagraph"/>
              <w:spacing w:before="25"/>
              <w:ind w:left="75"/>
              <w:jc w:val="left"/>
              <w:rPr>
                <w:sz w:val="21"/>
              </w:rPr>
            </w:pPr>
            <w:r>
              <w:rPr>
                <w:color w:val="231F20"/>
                <w:spacing w:val="-2"/>
                <w:w w:val="105"/>
                <w:sz w:val="21"/>
              </w:rPr>
              <w:t>.90909</w:t>
            </w:r>
          </w:p>
        </w:tc>
        <w:tc>
          <w:tcPr>
            <w:tcW w:w="332" w:type="dxa"/>
          </w:tcPr>
          <w:p>
            <w:pPr>
              <w:pStyle w:val="TableParagraph"/>
              <w:spacing w:before="13"/>
              <w:ind w:left="77"/>
              <w:jc w:val="left"/>
              <w:rPr>
                <w:rFonts w:ascii="Symbol" w:hAnsi="Symbol"/>
                <w:sz w:val="21"/>
              </w:rPr>
            </w:pPr>
            <w:r>
              <w:rPr>
                <w:rFonts w:ascii="Symbol" w:hAnsi="Symbol"/>
                <w:color w:val="231F20"/>
                <w:w w:val="101"/>
                <w:sz w:val="21"/>
              </w:rPr>
              <w:t></w:t>
            </w:r>
          </w:p>
        </w:tc>
        <w:tc>
          <w:tcPr>
            <w:tcW w:w="1789" w:type="dxa"/>
          </w:tcPr>
          <w:p>
            <w:pPr>
              <w:pStyle w:val="TableParagraph"/>
              <w:spacing w:before="25"/>
              <w:ind w:left="132"/>
              <w:jc w:val="left"/>
              <w:rPr>
                <w:sz w:val="21"/>
              </w:rPr>
            </w:pPr>
            <w:r>
              <w:rPr>
                <w:color w:val="231F20"/>
                <w:w w:val="105"/>
                <w:sz w:val="21"/>
              </w:rPr>
              <w:t>$46,363.59</w:t>
            </w:r>
            <w:r>
              <w:rPr>
                <w:color w:val="231F20"/>
                <w:spacing w:val="9"/>
                <w:w w:val="105"/>
                <w:sz w:val="21"/>
              </w:rPr>
              <w:t> </w:t>
            </w:r>
            <w:r>
              <w:rPr>
                <w:color w:val="231F20"/>
                <w:spacing w:val="-2"/>
                <w:w w:val="105"/>
                <w:sz w:val="21"/>
              </w:rPr>
              <w:t>today</w:t>
            </w:r>
          </w:p>
        </w:tc>
      </w:tr>
      <w:tr>
        <w:trPr>
          <w:trHeight w:val="299" w:hRule="atLeast"/>
        </w:trPr>
        <w:tc>
          <w:tcPr>
            <w:tcW w:w="1167" w:type="dxa"/>
          </w:tcPr>
          <w:p>
            <w:pPr>
              <w:pStyle w:val="TableParagraph"/>
              <w:spacing w:before="25"/>
              <w:jc w:val="left"/>
              <w:rPr>
                <w:sz w:val="21"/>
              </w:rPr>
            </w:pPr>
            <w:r>
              <w:rPr>
                <w:color w:val="231F20"/>
                <w:sz w:val="21"/>
              </w:rPr>
              <w:t>in</w:t>
            </w:r>
            <w:r>
              <w:rPr>
                <w:color w:val="231F20"/>
                <w:spacing w:val="8"/>
                <w:sz w:val="21"/>
              </w:rPr>
              <w:t> </w:t>
            </w:r>
            <w:r>
              <w:rPr>
                <w:color w:val="231F20"/>
                <w:sz w:val="21"/>
              </w:rPr>
              <w:t>year</w:t>
            </w:r>
            <w:r>
              <w:rPr>
                <w:color w:val="231F20"/>
                <w:spacing w:val="9"/>
                <w:sz w:val="21"/>
              </w:rPr>
              <w:t> </w:t>
            </w:r>
            <w:r>
              <w:rPr>
                <w:color w:val="231F20"/>
                <w:spacing w:val="-10"/>
                <w:sz w:val="21"/>
              </w:rPr>
              <w:t>2</w:t>
            </w:r>
          </w:p>
        </w:tc>
        <w:tc>
          <w:tcPr>
            <w:tcW w:w="1198" w:type="dxa"/>
          </w:tcPr>
          <w:p>
            <w:pPr>
              <w:pStyle w:val="TableParagraph"/>
              <w:spacing w:before="25"/>
              <w:ind w:left="73"/>
              <w:jc w:val="left"/>
              <w:rPr>
                <w:sz w:val="21"/>
              </w:rPr>
            </w:pPr>
            <w:r>
              <w:rPr>
                <w:color w:val="231F20"/>
                <w:spacing w:val="-2"/>
                <w:w w:val="105"/>
                <w:sz w:val="21"/>
              </w:rPr>
              <w:t>$51,000</w:t>
            </w:r>
          </w:p>
        </w:tc>
        <w:tc>
          <w:tcPr>
            <w:tcW w:w="239" w:type="dxa"/>
          </w:tcPr>
          <w:p>
            <w:pPr>
              <w:pStyle w:val="TableParagraph"/>
              <w:spacing w:before="13"/>
              <w:ind w:left="45"/>
              <w:jc w:val="left"/>
              <w:rPr>
                <w:rFonts w:ascii="Symbol" w:hAnsi="Symbol"/>
                <w:sz w:val="21"/>
              </w:rPr>
            </w:pPr>
            <w:r>
              <w:rPr>
                <w:rFonts w:ascii="Symbol" w:hAnsi="Symbol"/>
                <w:color w:val="231F20"/>
                <w:w w:val="101"/>
                <w:sz w:val="21"/>
              </w:rPr>
              <w:t></w:t>
            </w:r>
          </w:p>
        </w:tc>
        <w:tc>
          <w:tcPr>
            <w:tcW w:w="808" w:type="dxa"/>
          </w:tcPr>
          <w:p>
            <w:pPr>
              <w:pStyle w:val="TableParagraph"/>
              <w:spacing w:before="25"/>
              <w:ind w:left="76"/>
              <w:jc w:val="left"/>
              <w:rPr>
                <w:sz w:val="21"/>
              </w:rPr>
            </w:pPr>
            <w:r>
              <w:rPr>
                <w:color w:val="231F20"/>
                <w:spacing w:val="-2"/>
                <w:w w:val="105"/>
                <w:sz w:val="21"/>
              </w:rPr>
              <w:t>.82645</w:t>
            </w:r>
          </w:p>
        </w:tc>
        <w:tc>
          <w:tcPr>
            <w:tcW w:w="332" w:type="dxa"/>
          </w:tcPr>
          <w:p>
            <w:pPr>
              <w:pStyle w:val="TableParagraph"/>
              <w:spacing w:before="13"/>
              <w:ind w:left="78"/>
              <w:jc w:val="left"/>
              <w:rPr>
                <w:rFonts w:ascii="Symbol" w:hAnsi="Symbol"/>
                <w:sz w:val="21"/>
              </w:rPr>
            </w:pPr>
            <w:r>
              <w:rPr>
                <w:rFonts w:ascii="Symbol" w:hAnsi="Symbol"/>
                <w:color w:val="231F20"/>
                <w:w w:val="101"/>
                <w:sz w:val="21"/>
              </w:rPr>
              <w:t></w:t>
            </w:r>
          </w:p>
        </w:tc>
        <w:tc>
          <w:tcPr>
            <w:tcW w:w="1789" w:type="dxa"/>
          </w:tcPr>
          <w:p>
            <w:pPr>
              <w:pStyle w:val="TableParagraph"/>
              <w:spacing w:before="25"/>
              <w:ind w:left="132"/>
              <w:jc w:val="left"/>
              <w:rPr>
                <w:sz w:val="21"/>
              </w:rPr>
            </w:pPr>
            <w:r>
              <w:rPr>
                <w:color w:val="231F20"/>
                <w:w w:val="105"/>
                <w:sz w:val="21"/>
              </w:rPr>
              <w:t>$42,148.95</w:t>
            </w:r>
            <w:r>
              <w:rPr>
                <w:color w:val="231F20"/>
                <w:spacing w:val="9"/>
                <w:w w:val="105"/>
                <w:sz w:val="21"/>
              </w:rPr>
              <w:t> </w:t>
            </w:r>
            <w:r>
              <w:rPr>
                <w:color w:val="231F20"/>
                <w:spacing w:val="-2"/>
                <w:w w:val="105"/>
                <w:sz w:val="21"/>
              </w:rPr>
              <w:t>today</w:t>
            </w:r>
          </w:p>
        </w:tc>
      </w:tr>
      <w:tr>
        <w:trPr>
          <w:trHeight w:val="300" w:hRule="atLeast"/>
        </w:trPr>
        <w:tc>
          <w:tcPr>
            <w:tcW w:w="1167" w:type="dxa"/>
          </w:tcPr>
          <w:p>
            <w:pPr>
              <w:pStyle w:val="TableParagraph"/>
              <w:spacing w:before="25"/>
              <w:jc w:val="left"/>
              <w:rPr>
                <w:sz w:val="21"/>
              </w:rPr>
            </w:pPr>
            <w:r>
              <w:rPr>
                <w:color w:val="231F20"/>
                <w:sz w:val="21"/>
              </w:rPr>
              <w:t>in</w:t>
            </w:r>
            <w:r>
              <w:rPr>
                <w:color w:val="231F20"/>
                <w:spacing w:val="8"/>
                <w:sz w:val="21"/>
              </w:rPr>
              <w:t> </w:t>
            </w:r>
            <w:r>
              <w:rPr>
                <w:color w:val="231F20"/>
                <w:sz w:val="21"/>
              </w:rPr>
              <w:t>year</w:t>
            </w:r>
            <w:r>
              <w:rPr>
                <w:color w:val="231F20"/>
                <w:spacing w:val="9"/>
                <w:sz w:val="21"/>
              </w:rPr>
              <w:t> </w:t>
            </w:r>
            <w:r>
              <w:rPr>
                <w:color w:val="231F20"/>
                <w:spacing w:val="-10"/>
                <w:sz w:val="21"/>
              </w:rPr>
              <w:t>3</w:t>
            </w:r>
          </w:p>
        </w:tc>
        <w:tc>
          <w:tcPr>
            <w:tcW w:w="1198" w:type="dxa"/>
          </w:tcPr>
          <w:p>
            <w:pPr>
              <w:pStyle w:val="TableParagraph"/>
              <w:spacing w:before="25"/>
              <w:ind w:left="73"/>
              <w:jc w:val="left"/>
              <w:rPr>
                <w:sz w:val="21"/>
              </w:rPr>
            </w:pPr>
            <w:r>
              <w:rPr>
                <w:color w:val="231F20"/>
                <w:spacing w:val="-2"/>
                <w:w w:val="105"/>
                <w:sz w:val="21"/>
              </w:rPr>
              <w:t>$61,000</w:t>
            </w:r>
          </w:p>
        </w:tc>
        <w:tc>
          <w:tcPr>
            <w:tcW w:w="239" w:type="dxa"/>
          </w:tcPr>
          <w:p>
            <w:pPr>
              <w:pStyle w:val="TableParagraph"/>
              <w:spacing w:before="13"/>
              <w:ind w:left="45"/>
              <w:jc w:val="left"/>
              <w:rPr>
                <w:rFonts w:ascii="Symbol" w:hAnsi="Symbol"/>
                <w:sz w:val="21"/>
              </w:rPr>
            </w:pPr>
            <w:r>
              <w:rPr>
                <w:rFonts w:ascii="Symbol" w:hAnsi="Symbol"/>
                <w:color w:val="231F20"/>
                <w:w w:val="101"/>
                <w:sz w:val="21"/>
              </w:rPr>
              <w:t></w:t>
            </w:r>
          </w:p>
        </w:tc>
        <w:tc>
          <w:tcPr>
            <w:tcW w:w="808" w:type="dxa"/>
          </w:tcPr>
          <w:p>
            <w:pPr>
              <w:pStyle w:val="TableParagraph"/>
              <w:spacing w:before="25"/>
              <w:ind w:left="76"/>
              <w:jc w:val="left"/>
              <w:rPr>
                <w:sz w:val="21"/>
              </w:rPr>
            </w:pPr>
            <w:r>
              <w:rPr>
                <w:color w:val="231F20"/>
                <w:spacing w:val="-2"/>
                <w:w w:val="105"/>
                <w:sz w:val="21"/>
              </w:rPr>
              <w:t>.75131</w:t>
            </w:r>
          </w:p>
        </w:tc>
        <w:tc>
          <w:tcPr>
            <w:tcW w:w="332" w:type="dxa"/>
          </w:tcPr>
          <w:p>
            <w:pPr>
              <w:pStyle w:val="TableParagraph"/>
              <w:spacing w:before="13"/>
              <w:ind w:left="78"/>
              <w:jc w:val="left"/>
              <w:rPr>
                <w:rFonts w:ascii="Symbol" w:hAnsi="Symbol"/>
                <w:sz w:val="21"/>
              </w:rPr>
            </w:pPr>
            <w:r>
              <w:rPr>
                <w:rFonts w:ascii="Symbol" w:hAnsi="Symbol"/>
                <w:color w:val="231F20"/>
                <w:w w:val="101"/>
                <w:sz w:val="21"/>
              </w:rPr>
              <w:t></w:t>
            </w:r>
          </w:p>
        </w:tc>
        <w:tc>
          <w:tcPr>
            <w:tcW w:w="1789" w:type="dxa"/>
          </w:tcPr>
          <w:p>
            <w:pPr>
              <w:pStyle w:val="TableParagraph"/>
              <w:spacing w:before="25"/>
              <w:ind w:left="132"/>
              <w:jc w:val="left"/>
              <w:rPr>
                <w:sz w:val="21"/>
              </w:rPr>
            </w:pPr>
            <w:r>
              <w:rPr>
                <w:color w:val="231F20"/>
                <w:w w:val="105"/>
                <w:sz w:val="21"/>
              </w:rPr>
              <w:t>$45,829.91</w:t>
            </w:r>
            <w:r>
              <w:rPr>
                <w:color w:val="231F20"/>
                <w:spacing w:val="9"/>
                <w:w w:val="105"/>
                <w:sz w:val="21"/>
              </w:rPr>
              <w:t> </w:t>
            </w:r>
            <w:r>
              <w:rPr>
                <w:color w:val="231F20"/>
                <w:spacing w:val="-2"/>
                <w:w w:val="105"/>
                <w:sz w:val="21"/>
              </w:rPr>
              <w:t>today</w:t>
            </w:r>
          </w:p>
        </w:tc>
      </w:tr>
      <w:tr>
        <w:trPr>
          <w:trHeight w:val="276" w:hRule="atLeast"/>
        </w:trPr>
        <w:tc>
          <w:tcPr>
            <w:tcW w:w="2365" w:type="dxa"/>
            <w:gridSpan w:val="2"/>
          </w:tcPr>
          <w:p>
            <w:pPr>
              <w:pStyle w:val="TableParagraph"/>
              <w:spacing w:line="232" w:lineRule="exact" w:before="25"/>
              <w:jc w:val="left"/>
              <w:rPr>
                <w:sz w:val="21"/>
              </w:rPr>
            </w:pPr>
            <w:r>
              <w:rPr>
                <w:color w:val="231F20"/>
                <w:w w:val="105"/>
                <w:sz w:val="21"/>
              </w:rPr>
              <w:t>The</w:t>
            </w:r>
            <w:r>
              <w:rPr>
                <w:color w:val="231F20"/>
                <w:spacing w:val="-2"/>
                <w:w w:val="105"/>
                <w:sz w:val="21"/>
              </w:rPr>
              <w:t> </w:t>
            </w:r>
            <w:r>
              <w:rPr>
                <w:color w:val="231F20"/>
                <w:w w:val="105"/>
                <w:sz w:val="21"/>
              </w:rPr>
              <w:t>Quaker</w:t>
            </w:r>
            <w:r>
              <w:rPr>
                <w:color w:val="231F20"/>
                <w:spacing w:val="-1"/>
                <w:w w:val="105"/>
                <w:sz w:val="21"/>
              </w:rPr>
              <w:t> </w:t>
            </w:r>
            <w:r>
              <w:rPr>
                <w:color w:val="231F20"/>
                <w:w w:val="105"/>
                <w:sz w:val="21"/>
              </w:rPr>
              <w:t>project</w:t>
            </w:r>
            <w:r>
              <w:rPr>
                <w:color w:val="231F20"/>
                <w:spacing w:val="-1"/>
                <w:w w:val="105"/>
                <w:sz w:val="21"/>
              </w:rPr>
              <w:t> </w:t>
            </w:r>
            <w:r>
              <w:rPr>
                <w:color w:val="231F20"/>
                <w:spacing w:val="-5"/>
                <w:w w:val="105"/>
                <w:sz w:val="21"/>
              </w:rPr>
              <w:t>NPV</w:t>
            </w:r>
          </w:p>
        </w:tc>
        <w:tc>
          <w:tcPr>
            <w:tcW w:w="239" w:type="dxa"/>
          </w:tcPr>
          <w:p>
            <w:pPr>
              <w:pStyle w:val="TableParagraph"/>
              <w:spacing w:before="0"/>
              <w:jc w:val="left"/>
              <w:rPr>
                <w:rFonts w:ascii="Times New Roman"/>
                <w:sz w:val="20"/>
              </w:rPr>
            </w:pPr>
          </w:p>
        </w:tc>
        <w:tc>
          <w:tcPr>
            <w:tcW w:w="808" w:type="dxa"/>
          </w:tcPr>
          <w:p>
            <w:pPr>
              <w:pStyle w:val="TableParagraph"/>
              <w:spacing w:before="0"/>
              <w:jc w:val="left"/>
              <w:rPr>
                <w:rFonts w:ascii="Times New Roman"/>
                <w:sz w:val="20"/>
              </w:rPr>
            </w:pPr>
          </w:p>
        </w:tc>
        <w:tc>
          <w:tcPr>
            <w:tcW w:w="332" w:type="dxa"/>
          </w:tcPr>
          <w:p>
            <w:pPr>
              <w:pStyle w:val="TableParagraph"/>
              <w:spacing w:line="243" w:lineRule="exact" w:before="13"/>
              <w:ind w:left="78"/>
              <w:jc w:val="left"/>
              <w:rPr>
                <w:rFonts w:ascii="Symbol" w:hAnsi="Symbol"/>
                <w:sz w:val="21"/>
              </w:rPr>
            </w:pPr>
            <w:r>
              <w:rPr>
                <w:rFonts w:ascii="Symbol" w:hAnsi="Symbol"/>
                <w:color w:val="231F20"/>
                <w:w w:val="101"/>
                <w:sz w:val="21"/>
              </w:rPr>
              <w:t></w:t>
            </w:r>
          </w:p>
        </w:tc>
        <w:tc>
          <w:tcPr>
            <w:tcW w:w="1789" w:type="dxa"/>
          </w:tcPr>
          <w:p>
            <w:pPr>
              <w:pStyle w:val="TableParagraph"/>
              <w:spacing w:line="232" w:lineRule="exact" w:before="25"/>
              <w:ind w:left="132"/>
              <w:jc w:val="left"/>
              <w:rPr>
                <w:sz w:val="21"/>
              </w:rPr>
            </w:pPr>
            <w:r>
              <w:rPr>
                <w:color w:val="231F20"/>
                <w:w w:val="105"/>
                <w:sz w:val="21"/>
              </w:rPr>
              <w:t>$32,342.45</w:t>
            </w:r>
            <w:r>
              <w:rPr>
                <w:color w:val="231F20"/>
                <w:spacing w:val="9"/>
                <w:w w:val="105"/>
                <w:sz w:val="21"/>
              </w:rPr>
              <w:t> </w:t>
            </w:r>
            <w:r>
              <w:rPr>
                <w:color w:val="231F20"/>
                <w:spacing w:val="-2"/>
                <w:w w:val="105"/>
                <w:sz w:val="21"/>
              </w:rPr>
              <w:t>today</w:t>
            </w:r>
          </w:p>
        </w:tc>
      </w:tr>
    </w:tbl>
    <w:p>
      <w:pPr>
        <w:pStyle w:val="BodyText"/>
        <w:rPr>
          <w:b/>
          <w:sz w:val="34"/>
        </w:rPr>
      </w:pPr>
    </w:p>
    <w:p>
      <w:pPr>
        <w:pStyle w:val="BodyText"/>
        <w:spacing w:line="292" w:lineRule="auto"/>
        <w:ind w:left="920" w:right="667" w:firstLine="339"/>
        <w:jc w:val="right"/>
        <w:rPr>
          <w:i/>
        </w:rPr>
      </w:pPr>
      <w:r>
        <w:rPr>
          <w:color w:val="231F20"/>
        </w:rPr>
        <w:t>The evaluation of any project depends on the </w:t>
      </w:r>
      <w:r>
        <w:rPr>
          <w:i/>
          <w:color w:val="231F20"/>
        </w:rPr>
        <w:t>magnitude </w:t>
      </w:r>
      <w:r>
        <w:rPr>
          <w:color w:val="231F20"/>
        </w:rPr>
        <w:t>of </w:t>
      </w:r>
      <w:r>
        <w:rPr>
          <w:color w:val="231F20"/>
        </w:rPr>
        <w:t>the</w:t>
      </w:r>
      <w:r>
        <w:rPr>
          <w:color w:val="231F20"/>
          <w:spacing w:val="80"/>
        </w:rPr>
        <w:t> </w:t>
      </w:r>
      <w:r>
        <w:rPr>
          <w:color w:val="231F20"/>
        </w:rPr>
        <w:t>cash flows, the </w:t>
      </w:r>
      <w:r>
        <w:rPr>
          <w:i/>
          <w:color w:val="231F20"/>
        </w:rPr>
        <w:t>timing, </w:t>
      </w:r>
      <w:r>
        <w:rPr>
          <w:color w:val="231F20"/>
        </w:rPr>
        <w:t>and the </w:t>
      </w:r>
      <w:r>
        <w:rPr>
          <w:i/>
          <w:color w:val="231F20"/>
        </w:rPr>
        <w:t>discount rate, </w:t>
      </w:r>
      <w:r>
        <w:rPr>
          <w:color w:val="231F20"/>
        </w:rPr>
        <w:t>10 percent in our case. The discount rate is highly subjective. The higher the rate or </w:t>
      </w:r>
      <w:r>
        <w:rPr>
          <w:i/>
          <w:color w:val="231F20"/>
        </w:rPr>
        <w:t>hur-</w:t>
      </w:r>
    </w:p>
    <w:p>
      <w:pPr>
        <w:pStyle w:val="BodyText"/>
        <w:spacing w:line="292" w:lineRule="auto"/>
        <w:ind w:left="920" w:right="666"/>
        <w:jc w:val="both"/>
      </w:pPr>
      <w:r>
        <w:rPr>
          <w:i/>
          <w:color w:val="231F20"/>
        </w:rPr>
        <w:t>dle rate, </w:t>
      </w:r>
      <w:r>
        <w:rPr>
          <w:color w:val="231F20"/>
        </w:rPr>
        <w:t>the less a dollar in the future would be worth today (see the appendix). It is called a hurdle rate because a project with a higher discount rate must generate more cash in the future to be worth the same value of today. The project thus has a higher hurdle to jump </w:t>
      </w:r>
      <w:r>
        <w:rPr>
          <w:color w:val="231F20"/>
        </w:rPr>
        <w:t>to stay even. In cases where the outcome of an investment is risky, as in our oil well example, a higher discount rate is appropriate. If the outcome of an investment is certain, as in the investment in a labor- saving device or in a U.S. Treasury bond, a lower rate is warranted. Companies not guided by an MBA’s expertise will use only one hur- dle rate for all investment decisions and thereby ignore the relative riskiness of projects. They end up rejecting sure things, and chasing high-risk projects. Under no circumstances should the interest rate</w:t>
      </w:r>
      <w:r>
        <w:rPr>
          <w:color w:val="231F20"/>
          <w:spacing w:val="80"/>
        </w:rPr>
        <w:t> </w:t>
      </w:r>
      <w:r>
        <w:rPr>
          <w:color w:val="231F20"/>
        </w:rPr>
        <w:t>of a company’s bank debt be the rate that is used, unless it is just co- incidence. </w:t>
      </w:r>
      <w:r>
        <w:rPr>
          <w:i/>
          <w:color w:val="231F20"/>
        </w:rPr>
        <w:t>The risk of the project should determine the discount rate.</w:t>
      </w:r>
      <w:r>
        <w:rPr>
          <w:i/>
          <w:color w:val="231F20"/>
        </w:rPr>
        <w:t> </w:t>
      </w:r>
      <w:r>
        <w:rPr>
          <w:color w:val="231F20"/>
        </w:rPr>
        <w:t>Stable companies can borrow at low interest rates, but they can in- vest in risky projects.</w:t>
      </w:r>
    </w:p>
    <w:p>
      <w:pPr>
        <w:spacing w:after="0" w:line="292" w:lineRule="auto"/>
        <w:jc w:val="both"/>
        <w:sectPr>
          <w:pgSz w:w="8640" w:h="12960"/>
          <w:pgMar w:header="734" w:footer="0" w:top="920" w:bottom="280" w:left="340" w:right="500"/>
        </w:sectPr>
      </w:pPr>
    </w:p>
    <w:p>
      <w:pPr>
        <w:pStyle w:val="BodyText"/>
        <w:spacing w:before="10"/>
        <w:rPr>
          <w:sz w:val="17"/>
        </w:rPr>
      </w:pPr>
    </w:p>
    <w:p>
      <w:pPr>
        <w:pStyle w:val="Heading6"/>
        <w:spacing w:before="99"/>
        <w:ind w:left="299"/>
        <w:rPr>
          <w:i/>
        </w:rPr>
      </w:pPr>
      <w:r>
        <w:rPr>
          <w:i/>
          <w:color w:val="231F20"/>
          <w:w w:val="110"/>
        </w:rPr>
        <w:t>INTERNAL</w:t>
      </w:r>
      <w:r>
        <w:rPr>
          <w:i/>
          <w:color w:val="231F20"/>
          <w:spacing w:val="64"/>
          <w:w w:val="110"/>
        </w:rPr>
        <w:t> </w:t>
      </w:r>
      <w:r>
        <w:rPr>
          <w:i/>
          <w:color w:val="231F20"/>
          <w:w w:val="110"/>
        </w:rPr>
        <w:t>RATE</w:t>
      </w:r>
      <w:r>
        <w:rPr>
          <w:i/>
          <w:color w:val="231F20"/>
          <w:spacing w:val="64"/>
          <w:w w:val="110"/>
        </w:rPr>
        <w:t> </w:t>
      </w:r>
      <w:r>
        <w:rPr>
          <w:i/>
          <w:color w:val="231F20"/>
          <w:w w:val="110"/>
        </w:rPr>
        <w:t>OF</w:t>
      </w:r>
      <w:r>
        <w:rPr>
          <w:i/>
          <w:color w:val="231F20"/>
          <w:spacing w:val="64"/>
          <w:w w:val="110"/>
        </w:rPr>
        <w:t> </w:t>
      </w:r>
      <w:r>
        <w:rPr>
          <w:i/>
          <w:color w:val="231F20"/>
          <w:w w:val="110"/>
        </w:rPr>
        <w:t>RETURN</w:t>
      </w:r>
      <w:r>
        <w:rPr>
          <w:i/>
          <w:color w:val="231F20"/>
          <w:spacing w:val="64"/>
          <w:w w:val="110"/>
        </w:rPr>
        <w:t> </w:t>
      </w:r>
      <w:r>
        <w:rPr>
          <w:i/>
          <w:color w:val="231F20"/>
          <w:spacing w:val="8"/>
          <w:w w:val="110"/>
        </w:rPr>
        <w:t>(IRR)</w:t>
      </w:r>
    </w:p>
    <w:p>
      <w:pPr>
        <w:pStyle w:val="BodyText"/>
        <w:spacing w:before="2"/>
        <w:rPr>
          <w:b/>
          <w:i/>
          <w:sz w:val="30"/>
        </w:rPr>
      </w:pPr>
    </w:p>
    <w:p>
      <w:pPr>
        <w:pStyle w:val="BodyText"/>
        <w:spacing w:line="292" w:lineRule="auto"/>
        <w:ind w:left="830" w:right="756"/>
        <w:jc w:val="both"/>
      </w:pPr>
      <w:r>
        <w:rPr>
          <w:color w:val="231F20"/>
        </w:rPr>
        <w:t>IRR is a derivative of NPV. Simply stated: The internal rate of </w:t>
      </w:r>
      <w:r>
        <w:rPr>
          <w:color w:val="231F20"/>
        </w:rPr>
        <w:t>return of an investment is the rate at which the discounted cash flows in the future equal the value of the investment today.</w:t>
      </w:r>
    </w:p>
    <w:p>
      <w:pPr>
        <w:pStyle w:val="BodyText"/>
        <w:spacing w:line="292" w:lineRule="auto"/>
        <w:ind w:left="829" w:right="756" w:firstLine="340"/>
        <w:jc w:val="both"/>
      </w:pPr>
      <w:r>
        <w:rPr>
          <w:color w:val="231F20"/>
        </w:rPr>
        <w:t>To find the IRR one must try different discount rates until the NPV equals zero. (Of course the HP calculator yields the IRR at </w:t>
      </w:r>
      <w:r>
        <w:rPr>
          <w:color w:val="231F20"/>
        </w:rPr>
        <w:t>a</w:t>
      </w:r>
      <w:r>
        <w:rPr>
          <w:color w:val="231F20"/>
          <w:spacing w:val="80"/>
        </w:rPr>
        <w:t> </w:t>
      </w:r>
      <w:r>
        <w:rPr>
          <w:color w:val="231F20"/>
        </w:rPr>
        <w:t>push of a button!) For the Quaker project the IRR is 26.709 percent. To confirm that number we can calculate the following:</w:t>
      </w:r>
    </w:p>
    <w:p>
      <w:pPr>
        <w:pStyle w:val="BodyText"/>
        <w:spacing w:before="2"/>
        <w:rPr>
          <w:sz w:val="26"/>
        </w:rPr>
      </w:pPr>
    </w:p>
    <w:p>
      <w:pPr>
        <w:spacing w:before="0"/>
        <w:ind w:left="295" w:right="219" w:firstLine="0"/>
        <w:jc w:val="center"/>
        <w:rPr>
          <w:b/>
          <w:sz w:val="20"/>
        </w:rPr>
      </w:pPr>
      <w:r>
        <w:rPr/>
        <w:pict>
          <v:rect style="position:absolute;margin-left:209.957306pt;margin-top:33.626453pt;width:4.930940pt;height:.7242pt;mso-position-horizontal-relative:page;mso-position-vertical-relative:paragraph;z-index:-25126400" id="docshape315" filled="true" fillcolor="#231f20" stroked="false">
            <v:fill type="solid"/>
            <w10:wrap type="none"/>
          </v:rect>
        </w:pict>
      </w:r>
      <w:r>
        <w:rPr/>
        <w:pict>
          <v:rect style="position:absolute;margin-left:301.957153pt;margin-top:33.626453pt;width:4.930940pt;height:.7242pt;mso-position-horizontal-relative:page;mso-position-vertical-relative:paragraph;z-index:-25125888" id="docshape316" filled="true" fillcolor="#231f20" stroked="false">
            <v:fill type="solid"/>
            <w10:wrap type="none"/>
          </v:rect>
        </w:pict>
      </w:r>
      <w:r>
        <w:rPr>
          <w:b/>
          <w:color w:val="231F20"/>
          <w:w w:val="105"/>
          <w:sz w:val="20"/>
        </w:rPr>
        <w:t>USING</w:t>
      </w:r>
      <w:r>
        <w:rPr>
          <w:b/>
          <w:color w:val="231F20"/>
          <w:spacing w:val="64"/>
          <w:w w:val="105"/>
          <w:sz w:val="20"/>
        </w:rPr>
        <w:t> </w:t>
      </w:r>
      <w:r>
        <w:rPr>
          <w:b/>
          <w:color w:val="231F20"/>
          <w:w w:val="105"/>
          <w:sz w:val="20"/>
        </w:rPr>
        <w:t>“26.709%</w:t>
      </w:r>
      <w:r>
        <w:rPr>
          <w:b/>
          <w:color w:val="231F20"/>
          <w:spacing w:val="65"/>
          <w:w w:val="105"/>
          <w:sz w:val="20"/>
        </w:rPr>
        <w:t> </w:t>
      </w:r>
      <w:r>
        <w:rPr>
          <w:b/>
          <w:color w:val="231F20"/>
          <w:w w:val="105"/>
          <w:sz w:val="20"/>
        </w:rPr>
        <w:t>DISCOUNT</w:t>
      </w:r>
      <w:r>
        <w:rPr>
          <w:b/>
          <w:color w:val="231F20"/>
          <w:spacing w:val="64"/>
          <w:w w:val="105"/>
          <w:sz w:val="20"/>
        </w:rPr>
        <w:t> </w:t>
      </w:r>
      <w:r>
        <w:rPr>
          <w:b/>
          <w:color w:val="231F20"/>
          <w:spacing w:val="-2"/>
          <w:w w:val="105"/>
          <w:sz w:val="20"/>
        </w:rPr>
        <w:t>FACTORS”</w:t>
      </w:r>
    </w:p>
    <w:p>
      <w:pPr>
        <w:pStyle w:val="BodyText"/>
        <w:spacing w:before="5"/>
        <w:rPr>
          <w:b/>
          <w:sz w:val="6"/>
        </w:rPr>
      </w:pPr>
    </w:p>
    <w:tbl>
      <w:tblPr>
        <w:tblW w:w="0" w:type="auto"/>
        <w:jc w:val="left"/>
        <w:tblInd w:w="1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5"/>
        <w:gridCol w:w="1070"/>
        <w:gridCol w:w="596"/>
        <w:gridCol w:w="1257"/>
        <w:gridCol w:w="589"/>
        <w:gridCol w:w="1164"/>
      </w:tblGrid>
      <w:tr>
        <w:trPr>
          <w:trHeight w:val="475" w:hRule="atLeast"/>
        </w:trPr>
        <w:tc>
          <w:tcPr>
            <w:tcW w:w="855" w:type="dxa"/>
            <w:tcBorders>
              <w:top w:val="single" w:sz="8" w:space="0" w:color="231F20"/>
            </w:tcBorders>
          </w:tcPr>
          <w:p>
            <w:pPr>
              <w:pStyle w:val="TableParagraph"/>
              <w:spacing w:before="200"/>
              <w:jc w:val="left"/>
              <w:rPr>
                <w:sz w:val="21"/>
              </w:rPr>
            </w:pPr>
            <w:r>
              <w:rPr>
                <w:color w:val="231F20"/>
                <w:spacing w:val="-2"/>
                <w:sz w:val="21"/>
              </w:rPr>
              <w:t>today</w:t>
            </w:r>
          </w:p>
        </w:tc>
        <w:tc>
          <w:tcPr>
            <w:tcW w:w="1070" w:type="dxa"/>
            <w:tcBorders>
              <w:top w:val="single" w:sz="8" w:space="0" w:color="231F20"/>
            </w:tcBorders>
          </w:tcPr>
          <w:p>
            <w:pPr>
              <w:pStyle w:val="TableParagraph"/>
              <w:spacing w:before="200"/>
              <w:ind w:left="205"/>
              <w:jc w:val="left"/>
              <w:rPr>
                <w:sz w:val="21"/>
              </w:rPr>
            </w:pPr>
            <w:r>
              <w:rPr>
                <w:color w:val="231F20"/>
                <w:spacing w:val="-4"/>
                <w:w w:val="105"/>
                <w:sz w:val="21"/>
              </w:rPr>
              <w:t>1.00</w:t>
            </w:r>
          </w:p>
        </w:tc>
        <w:tc>
          <w:tcPr>
            <w:tcW w:w="596" w:type="dxa"/>
            <w:tcBorders>
              <w:top w:val="single" w:sz="8" w:space="0" w:color="231F20"/>
            </w:tcBorders>
          </w:tcPr>
          <w:p>
            <w:pPr>
              <w:pStyle w:val="TableParagraph"/>
              <w:spacing w:before="1"/>
              <w:jc w:val="left"/>
              <w:rPr>
                <w:b/>
                <w:sz w:val="16"/>
              </w:rPr>
            </w:pPr>
          </w:p>
          <w:p>
            <w:pPr>
              <w:pStyle w:val="TableParagraph"/>
              <w:spacing w:before="0"/>
              <w:ind w:right="47"/>
              <w:rPr>
                <w:rFonts w:ascii="Symbol" w:hAnsi="Symbol"/>
                <w:sz w:val="21"/>
              </w:rPr>
            </w:pPr>
            <w:r>
              <w:rPr>
                <w:rFonts w:ascii="Symbol" w:hAnsi="Symbol"/>
                <w:color w:val="231F20"/>
                <w:w w:val="101"/>
                <w:sz w:val="21"/>
              </w:rPr>
              <w:t></w:t>
            </w:r>
          </w:p>
        </w:tc>
        <w:tc>
          <w:tcPr>
            <w:tcW w:w="1257" w:type="dxa"/>
            <w:tcBorders>
              <w:top w:val="single" w:sz="8" w:space="0" w:color="231F20"/>
            </w:tcBorders>
          </w:tcPr>
          <w:p>
            <w:pPr>
              <w:pStyle w:val="TableParagraph"/>
              <w:spacing w:before="200"/>
              <w:ind w:left="275"/>
              <w:jc w:val="left"/>
              <w:rPr>
                <w:sz w:val="21"/>
              </w:rPr>
            </w:pPr>
            <w:r>
              <w:rPr>
                <w:color w:val="231F20"/>
                <w:spacing w:val="-2"/>
                <w:w w:val="105"/>
                <w:sz w:val="21"/>
              </w:rPr>
              <w:t>102,000</w:t>
            </w:r>
          </w:p>
        </w:tc>
        <w:tc>
          <w:tcPr>
            <w:tcW w:w="589" w:type="dxa"/>
            <w:tcBorders>
              <w:top w:val="single" w:sz="8" w:space="0" w:color="231F20"/>
            </w:tcBorders>
          </w:tcPr>
          <w:p>
            <w:pPr>
              <w:pStyle w:val="TableParagraph"/>
              <w:spacing w:before="1"/>
              <w:jc w:val="left"/>
              <w:rPr>
                <w:b/>
                <w:sz w:val="16"/>
              </w:rPr>
            </w:pPr>
          </w:p>
          <w:p>
            <w:pPr>
              <w:pStyle w:val="TableParagraph"/>
              <w:spacing w:before="0"/>
              <w:ind w:right="46"/>
              <w:rPr>
                <w:rFonts w:ascii="Symbol" w:hAnsi="Symbol"/>
                <w:sz w:val="21"/>
              </w:rPr>
            </w:pPr>
            <w:r>
              <w:rPr>
                <w:rFonts w:ascii="Symbol" w:hAnsi="Symbol"/>
                <w:color w:val="231F20"/>
                <w:w w:val="101"/>
                <w:sz w:val="21"/>
              </w:rPr>
              <w:t></w:t>
            </w:r>
          </w:p>
        </w:tc>
        <w:tc>
          <w:tcPr>
            <w:tcW w:w="1164" w:type="dxa"/>
            <w:tcBorders>
              <w:top w:val="single" w:sz="8" w:space="0" w:color="231F20"/>
            </w:tcBorders>
          </w:tcPr>
          <w:p>
            <w:pPr>
              <w:pStyle w:val="TableParagraph"/>
              <w:spacing w:before="200"/>
              <w:ind w:left="269"/>
              <w:jc w:val="left"/>
              <w:rPr>
                <w:sz w:val="21"/>
              </w:rPr>
            </w:pPr>
            <w:r>
              <w:rPr>
                <w:color w:val="231F20"/>
                <w:spacing w:val="-2"/>
                <w:w w:val="105"/>
                <w:sz w:val="21"/>
              </w:rPr>
              <w:t>$102,000</w:t>
            </w:r>
          </w:p>
        </w:tc>
      </w:tr>
      <w:tr>
        <w:trPr>
          <w:trHeight w:val="300" w:hRule="atLeast"/>
        </w:trPr>
        <w:tc>
          <w:tcPr>
            <w:tcW w:w="855" w:type="dxa"/>
          </w:tcPr>
          <w:p>
            <w:pPr>
              <w:pStyle w:val="TableParagraph"/>
              <w:spacing w:before="25"/>
              <w:ind w:left="-1"/>
              <w:jc w:val="left"/>
              <w:rPr>
                <w:sz w:val="21"/>
              </w:rPr>
            </w:pPr>
            <w:r>
              <w:rPr>
                <w:color w:val="231F20"/>
                <w:sz w:val="21"/>
              </w:rPr>
              <w:t>1</w:t>
            </w:r>
            <w:r>
              <w:rPr>
                <w:color w:val="231F20"/>
                <w:spacing w:val="13"/>
                <w:sz w:val="21"/>
              </w:rPr>
              <w:t> </w:t>
            </w:r>
            <w:r>
              <w:rPr>
                <w:color w:val="231F20"/>
                <w:spacing w:val="-4"/>
                <w:sz w:val="21"/>
              </w:rPr>
              <w:t>year</w:t>
            </w:r>
          </w:p>
        </w:tc>
        <w:tc>
          <w:tcPr>
            <w:tcW w:w="1070" w:type="dxa"/>
          </w:tcPr>
          <w:p>
            <w:pPr>
              <w:pStyle w:val="TableParagraph"/>
              <w:spacing w:before="25"/>
              <w:ind w:left="205"/>
              <w:jc w:val="left"/>
              <w:rPr>
                <w:sz w:val="21"/>
              </w:rPr>
            </w:pPr>
            <w:r>
              <w:rPr>
                <w:color w:val="231F20"/>
                <w:spacing w:val="-2"/>
                <w:w w:val="105"/>
                <w:sz w:val="21"/>
              </w:rPr>
              <w:t>.78920</w:t>
            </w:r>
          </w:p>
        </w:tc>
        <w:tc>
          <w:tcPr>
            <w:tcW w:w="596" w:type="dxa"/>
          </w:tcPr>
          <w:p>
            <w:pPr>
              <w:pStyle w:val="TableParagraph"/>
              <w:spacing w:before="13"/>
              <w:ind w:right="47"/>
              <w:rPr>
                <w:rFonts w:ascii="Symbol" w:hAnsi="Symbol"/>
                <w:sz w:val="21"/>
              </w:rPr>
            </w:pPr>
            <w:r>
              <w:rPr>
                <w:rFonts w:ascii="Symbol" w:hAnsi="Symbol"/>
                <w:color w:val="231F20"/>
                <w:w w:val="101"/>
                <w:sz w:val="21"/>
              </w:rPr>
              <w:t></w:t>
            </w:r>
          </w:p>
        </w:tc>
        <w:tc>
          <w:tcPr>
            <w:tcW w:w="1257" w:type="dxa"/>
          </w:tcPr>
          <w:p>
            <w:pPr>
              <w:pStyle w:val="TableParagraph"/>
              <w:spacing w:before="25"/>
              <w:ind w:left="265"/>
              <w:jc w:val="left"/>
              <w:rPr>
                <w:sz w:val="21"/>
              </w:rPr>
            </w:pPr>
            <w:r>
              <w:rPr>
                <w:color w:val="231F20"/>
                <w:spacing w:val="-2"/>
                <w:w w:val="105"/>
                <w:sz w:val="21"/>
              </w:rPr>
              <w:t>$51,000</w:t>
            </w:r>
          </w:p>
        </w:tc>
        <w:tc>
          <w:tcPr>
            <w:tcW w:w="589" w:type="dxa"/>
          </w:tcPr>
          <w:p>
            <w:pPr>
              <w:pStyle w:val="TableParagraph"/>
              <w:spacing w:before="13"/>
              <w:ind w:right="46"/>
              <w:rPr>
                <w:rFonts w:ascii="Symbol" w:hAnsi="Symbol"/>
                <w:sz w:val="21"/>
              </w:rPr>
            </w:pPr>
            <w:r>
              <w:rPr>
                <w:rFonts w:ascii="Symbol" w:hAnsi="Symbol"/>
                <w:color w:val="231F20"/>
                <w:w w:val="101"/>
                <w:sz w:val="21"/>
              </w:rPr>
              <w:t></w:t>
            </w:r>
          </w:p>
        </w:tc>
        <w:tc>
          <w:tcPr>
            <w:tcW w:w="1164" w:type="dxa"/>
          </w:tcPr>
          <w:p>
            <w:pPr>
              <w:pStyle w:val="TableParagraph"/>
              <w:spacing w:before="25"/>
              <w:ind w:left="259"/>
              <w:jc w:val="left"/>
              <w:rPr>
                <w:sz w:val="21"/>
              </w:rPr>
            </w:pPr>
            <w:r>
              <w:rPr>
                <w:color w:val="231F20"/>
                <w:spacing w:val="-2"/>
                <w:w w:val="105"/>
                <w:sz w:val="21"/>
              </w:rPr>
              <w:t>$40,250</w:t>
            </w:r>
          </w:p>
        </w:tc>
      </w:tr>
      <w:tr>
        <w:trPr>
          <w:trHeight w:val="300" w:hRule="atLeast"/>
        </w:trPr>
        <w:tc>
          <w:tcPr>
            <w:tcW w:w="855" w:type="dxa"/>
          </w:tcPr>
          <w:p>
            <w:pPr>
              <w:pStyle w:val="TableParagraph"/>
              <w:spacing w:before="25"/>
              <w:ind w:left="-1"/>
              <w:jc w:val="left"/>
              <w:rPr>
                <w:sz w:val="21"/>
              </w:rPr>
            </w:pPr>
            <w:r>
              <w:rPr>
                <w:color w:val="231F20"/>
                <w:sz w:val="21"/>
              </w:rPr>
              <w:t>2</w:t>
            </w:r>
            <w:r>
              <w:rPr>
                <w:color w:val="231F20"/>
                <w:spacing w:val="13"/>
                <w:sz w:val="21"/>
              </w:rPr>
              <w:t> </w:t>
            </w:r>
            <w:r>
              <w:rPr>
                <w:color w:val="231F20"/>
                <w:spacing w:val="-2"/>
                <w:sz w:val="21"/>
              </w:rPr>
              <w:t>years</w:t>
            </w:r>
          </w:p>
        </w:tc>
        <w:tc>
          <w:tcPr>
            <w:tcW w:w="1070" w:type="dxa"/>
          </w:tcPr>
          <w:p>
            <w:pPr>
              <w:pStyle w:val="TableParagraph"/>
              <w:spacing w:before="25"/>
              <w:ind w:left="205"/>
              <w:jc w:val="left"/>
              <w:rPr>
                <w:sz w:val="21"/>
              </w:rPr>
            </w:pPr>
            <w:r>
              <w:rPr>
                <w:color w:val="231F20"/>
                <w:spacing w:val="-2"/>
                <w:w w:val="105"/>
                <w:sz w:val="21"/>
              </w:rPr>
              <w:t>.62285</w:t>
            </w:r>
          </w:p>
        </w:tc>
        <w:tc>
          <w:tcPr>
            <w:tcW w:w="596" w:type="dxa"/>
          </w:tcPr>
          <w:p>
            <w:pPr>
              <w:pStyle w:val="TableParagraph"/>
              <w:spacing w:before="13"/>
              <w:ind w:right="47"/>
              <w:rPr>
                <w:rFonts w:ascii="Symbol" w:hAnsi="Symbol"/>
                <w:sz w:val="21"/>
              </w:rPr>
            </w:pPr>
            <w:r>
              <w:rPr>
                <w:rFonts w:ascii="Symbol" w:hAnsi="Symbol"/>
                <w:color w:val="231F20"/>
                <w:w w:val="101"/>
                <w:sz w:val="21"/>
              </w:rPr>
              <w:t></w:t>
            </w:r>
          </w:p>
        </w:tc>
        <w:tc>
          <w:tcPr>
            <w:tcW w:w="1257" w:type="dxa"/>
          </w:tcPr>
          <w:p>
            <w:pPr>
              <w:pStyle w:val="TableParagraph"/>
              <w:spacing w:before="25"/>
              <w:ind w:left="265"/>
              <w:jc w:val="left"/>
              <w:rPr>
                <w:sz w:val="21"/>
              </w:rPr>
            </w:pPr>
            <w:r>
              <w:rPr>
                <w:color w:val="231F20"/>
                <w:spacing w:val="-2"/>
                <w:w w:val="105"/>
                <w:sz w:val="21"/>
              </w:rPr>
              <w:t>$51,000</w:t>
            </w:r>
          </w:p>
        </w:tc>
        <w:tc>
          <w:tcPr>
            <w:tcW w:w="589" w:type="dxa"/>
          </w:tcPr>
          <w:p>
            <w:pPr>
              <w:pStyle w:val="TableParagraph"/>
              <w:spacing w:before="13"/>
              <w:ind w:right="46"/>
              <w:rPr>
                <w:rFonts w:ascii="Symbol" w:hAnsi="Symbol"/>
                <w:sz w:val="21"/>
              </w:rPr>
            </w:pPr>
            <w:r>
              <w:rPr>
                <w:rFonts w:ascii="Symbol" w:hAnsi="Symbol"/>
                <w:color w:val="231F20"/>
                <w:w w:val="101"/>
                <w:sz w:val="21"/>
              </w:rPr>
              <w:t></w:t>
            </w:r>
          </w:p>
        </w:tc>
        <w:tc>
          <w:tcPr>
            <w:tcW w:w="1164" w:type="dxa"/>
          </w:tcPr>
          <w:p>
            <w:pPr>
              <w:pStyle w:val="TableParagraph"/>
              <w:spacing w:before="25"/>
              <w:ind w:left="259"/>
              <w:jc w:val="left"/>
              <w:rPr>
                <w:sz w:val="21"/>
              </w:rPr>
            </w:pPr>
            <w:r>
              <w:rPr>
                <w:color w:val="231F20"/>
                <w:spacing w:val="-2"/>
                <w:w w:val="105"/>
                <w:sz w:val="21"/>
              </w:rPr>
              <w:t>$31,765</w:t>
            </w:r>
          </w:p>
        </w:tc>
      </w:tr>
      <w:tr>
        <w:trPr>
          <w:trHeight w:val="299" w:hRule="atLeast"/>
        </w:trPr>
        <w:tc>
          <w:tcPr>
            <w:tcW w:w="855" w:type="dxa"/>
          </w:tcPr>
          <w:p>
            <w:pPr>
              <w:pStyle w:val="TableParagraph"/>
              <w:spacing w:before="25"/>
              <w:ind w:left="-1"/>
              <w:jc w:val="left"/>
              <w:rPr>
                <w:sz w:val="21"/>
              </w:rPr>
            </w:pPr>
            <w:r>
              <w:rPr>
                <w:color w:val="231F20"/>
                <w:sz w:val="21"/>
              </w:rPr>
              <w:t>3</w:t>
            </w:r>
            <w:r>
              <w:rPr>
                <w:color w:val="231F20"/>
                <w:spacing w:val="13"/>
                <w:sz w:val="21"/>
              </w:rPr>
              <w:t> </w:t>
            </w:r>
            <w:r>
              <w:rPr>
                <w:color w:val="231F20"/>
                <w:spacing w:val="-2"/>
                <w:sz w:val="21"/>
              </w:rPr>
              <w:t>years</w:t>
            </w:r>
          </w:p>
        </w:tc>
        <w:tc>
          <w:tcPr>
            <w:tcW w:w="1070" w:type="dxa"/>
          </w:tcPr>
          <w:p>
            <w:pPr>
              <w:pStyle w:val="TableParagraph"/>
              <w:spacing w:before="25"/>
              <w:ind w:left="205"/>
              <w:jc w:val="left"/>
              <w:rPr>
                <w:sz w:val="21"/>
              </w:rPr>
            </w:pPr>
            <w:r>
              <w:rPr>
                <w:color w:val="231F20"/>
                <w:spacing w:val="-2"/>
                <w:w w:val="105"/>
                <w:sz w:val="21"/>
              </w:rPr>
              <w:t>.49155</w:t>
            </w:r>
          </w:p>
        </w:tc>
        <w:tc>
          <w:tcPr>
            <w:tcW w:w="596" w:type="dxa"/>
          </w:tcPr>
          <w:p>
            <w:pPr>
              <w:pStyle w:val="TableParagraph"/>
              <w:spacing w:before="13"/>
              <w:ind w:right="47"/>
              <w:rPr>
                <w:rFonts w:ascii="Symbol" w:hAnsi="Symbol"/>
                <w:sz w:val="21"/>
              </w:rPr>
            </w:pPr>
            <w:r>
              <w:rPr>
                <w:rFonts w:ascii="Symbol" w:hAnsi="Symbol"/>
                <w:color w:val="231F20"/>
                <w:w w:val="101"/>
                <w:sz w:val="21"/>
              </w:rPr>
              <w:t></w:t>
            </w:r>
          </w:p>
        </w:tc>
        <w:tc>
          <w:tcPr>
            <w:tcW w:w="1257" w:type="dxa"/>
          </w:tcPr>
          <w:p>
            <w:pPr>
              <w:pStyle w:val="TableParagraph"/>
              <w:spacing w:before="25"/>
              <w:ind w:left="265"/>
              <w:jc w:val="left"/>
              <w:rPr>
                <w:sz w:val="21"/>
              </w:rPr>
            </w:pPr>
            <w:r>
              <w:rPr>
                <w:color w:val="231F20"/>
                <w:spacing w:val="-2"/>
                <w:w w:val="105"/>
                <w:sz w:val="21"/>
              </w:rPr>
              <w:t>$61,000</w:t>
            </w:r>
          </w:p>
        </w:tc>
        <w:tc>
          <w:tcPr>
            <w:tcW w:w="589" w:type="dxa"/>
          </w:tcPr>
          <w:p>
            <w:pPr>
              <w:pStyle w:val="TableParagraph"/>
              <w:spacing w:before="13"/>
              <w:ind w:right="46"/>
              <w:rPr>
                <w:rFonts w:ascii="Symbol" w:hAnsi="Symbol"/>
                <w:sz w:val="21"/>
              </w:rPr>
            </w:pPr>
            <w:r>
              <w:rPr>
                <w:rFonts w:ascii="Symbol" w:hAnsi="Symbol"/>
                <w:color w:val="231F20"/>
                <w:w w:val="101"/>
                <w:sz w:val="21"/>
              </w:rPr>
              <w:t></w:t>
            </w:r>
          </w:p>
        </w:tc>
        <w:tc>
          <w:tcPr>
            <w:tcW w:w="1164" w:type="dxa"/>
          </w:tcPr>
          <w:p>
            <w:pPr>
              <w:pStyle w:val="TableParagraph"/>
              <w:spacing w:before="25"/>
              <w:ind w:left="259"/>
              <w:jc w:val="left"/>
              <w:rPr>
                <w:sz w:val="21"/>
              </w:rPr>
            </w:pPr>
            <w:r>
              <w:rPr>
                <w:color w:val="231F20"/>
                <w:spacing w:val="-2"/>
                <w:w w:val="105"/>
                <w:sz w:val="21"/>
              </w:rPr>
              <w:t>$29,985</w:t>
            </w:r>
          </w:p>
        </w:tc>
      </w:tr>
      <w:tr>
        <w:trPr>
          <w:trHeight w:val="276" w:hRule="atLeast"/>
        </w:trPr>
        <w:tc>
          <w:tcPr>
            <w:tcW w:w="855" w:type="dxa"/>
          </w:tcPr>
          <w:p>
            <w:pPr>
              <w:pStyle w:val="TableParagraph"/>
              <w:spacing w:before="0"/>
              <w:jc w:val="left"/>
              <w:rPr>
                <w:rFonts w:ascii="Times New Roman"/>
                <w:sz w:val="20"/>
              </w:rPr>
            </w:pPr>
          </w:p>
        </w:tc>
        <w:tc>
          <w:tcPr>
            <w:tcW w:w="1070" w:type="dxa"/>
          </w:tcPr>
          <w:p>
            <w:pPr>
              <w:pStyle w:val="TableParagraph"/>
              <w:spacing w:before="0"/>
              <w:jc w:val="left"/>
              <w:rPr>
                <w:rFonts w:ascii="Times New Roman"/>
                <w:sz w:val="20"/>
              </w:rPr>
            </w:pPr>
          </w:p>
        </w:tc>
        <w:tc>
          <w:tcPr>
            <w:tcW w:w="596" w:type="dxa"/>
          </w:tcPr>
          <w:p>
            <w:pPr>
              <w:pStyle w:val="TableParagraph"/>
              <w:spacing w:before="0"/>
              <w:jc w:val="left"/>
              <w:rPr>
                <w:rFonts w:ascii="Times New Roman"/>
                <w:sz w:val="20"/>
              </w:rPr>
            </w:pPr>
          </w:p>
        </w:tc>
        <w:tc>
          <w:tcPr>
            <w:tcW w:w="1257" w:type="dxa"/>
          </w:tcPr>
          <w:p>
            <w:pPr>
              <w:pStyle w:val="TableParagraph"/>
              <w:spacing w:line="232" w:lineRule="exact" w:before="25"/>
              <w:ind w:left="265"/>
              <w:jc w:val="left"/>
              <w:rPr>
                <w:sz w:val="21"/>
              </w:rPr>
            </w:pPr>
            <w:r>
              <w:rPr>
                <w:color w:val="231F20"/>
                <w:spacing w:val="-5"/>
                <w:w w:val="115"/>
                <w:sz w:val="21"/>
              </w:rPr>
              <w:t>NPV</w:t>
            </w:r>
          </w:p>
        </w:tc>
        <w:tc>
          <w:tcPr>
            <w:tcW w:w="589" w:type="dxa"/>
          </w:tcPr>
          <w:p>
            <w:pPr>
              <w:pStyle w:val="TableParagraph"/>
              <w:spacing w:line="243" w:lineRule="exact" w:before="13"/>
              <w:ind w:right="46"/>
              <w:rPr>
                <w:rFonts w:ascii="Symbol" w:hAnsi="Symbol"/>
                <w:sz w:val="21"/>
              </w:rPr>
            </w:pPr>
            <w:r>
              <w:rPr>
                <w:rFonts w:ascii="Symbol" w:hAnsi="Symbol"/>
                <w:color w:val="231F20"/>
                <w:w w:val="101"/>
                <w:sz w:val="21"/>
              </w:rPr>
              <w:t></w:t>
            </w:r>
          </w:p>
        </w:tc>
        <w:tc>
          <w:tcPr>
            <w:tcW w:w="1164" w:type="dxa"/>
          </w:tcPr>
          <w:p>
            <w:pPr>
              <w:pStyle w:val="TableParagraph"/>
              <w:spacing w:line="232" w:lineRule="exact" w:before="25"/>
              <w:ind w:left="376"/>
              <w:jc w:val="left"/>
              <w:rPr>
                <w:sz w:val="21"/>
              </w:rPr>
            </w:pPr>
            <w:r>
              <w:rPr>
                <w:color w:val="231F20"/>
                <w:w w:val="101"/>
                <w:sz w:val="21"/>
              </w:rPr>
              <w:t>0</w:t>
            </w:r>
          </w:p>
        </w:tc>
      </w:tr>
    </w:tbl>
    <w:p>
      <w:pPr>
        <w:pStyle w:val="BodyText"/>
        <w:spacing w:before="11"/>
        <w:rPr>
          <w:b/>
          <w:sz w:val="29"/>
        </w:rPr>
      </w:pPr>
    </w:p>
    <w:p>
      <w:pPr>
        <w:pStyle w:val="BodyText"/>
        <w:spacing w:line="292" w:lineRule="auto"/>
        <w:ind w:left="829" w:right="756" w:firstLine="340"/>
        <w:jc w:val="both"/>
      </w:pPr>
      <w:r>
        <w:rPr/>
        <w:pict>
          <v:rect style="position:absolute;margin-left:307.279236pt;margin-top:-22.898361pt;width:4.930940pt;height:.7242pt;mso-position-horizontal-relative:page;mso-position-vertical-relative:paragraph;z-index:-25125376" id="docshape317" filled="true" fillcolor="#231f20" stroked="false">
            <v:fill type="solid"/>
            <w10:wrap type="none"/>
          </v:rect>
        </w:pict>
      </w:r>
      <w:r>
        <w:rPr/>
        <w:pict>
          <v:rect style="position:absolute;margin-left:319.047485pt;margin-top:-22.898361pt;width:4.930940pt;height:.7242pt;mso-position-horizontal-relative:page;mso-position-vertical-relative:paragraph;z-index:-25124864" id="docshape318" filled="true" fillcolor="#231f20" stroked="false">
            <v:fill type="solid"/>
            <w10:wrap type="none"/>
          </v:rect>
        </w:pict>
      </w:r>
      <w:r>
        <w:rPr>
          <w:color w:val="231F20"/>
        </w:rPr>
        <w:t>Using IRR to rank projects is useful, but it does not consider </w:t>
      </w:r>
      <w:r>
        <w:rPr>
          <w:color w:val="231F20"/>
        </w:rPr>
        <w:t>the magnitude of the values. A small investment with proportionately large returns would be ranked higher than large investments with adequate</w:t>
      </w:r>
      <w:r>
        <w:rPr>
          <w:color w:val="231F20"/>
          <w:spacing w:val="31"/>
        </w:rPr>
        <w:t> </w:t>
      </w:r>
      <w:r>
        <w:rPr>
          <w:color w:val="231F20"/>
        </w:rPr>
        <w:t>returns.</w:t>
      </w:r>
      <w:r>
        <w:rPr>
          <w:color w:val="231F20"/>
          <w:spacing w:val="31"/>
        </w:rPr>
        <w:t> </w:t>
      </w:r>
      <w:r>
        <w:rPr>
          <w:color w:val="231F20"/>
        </w:rPr>
        <w:t>If</w:t>
      </w:r>
      <w:r>
        <w:rPr>
          <w:color w:val="231F20"/>
          <w:spacing w:val="31"/>
        </w:rPr>
        <w:t> </w:t>
      </w:r>
      <w:r>
        <w:rPr>
          <w:color w:val="231F20"/>
        </w:rPr>
        <w:t>General</w:t>
      </w:r>
      <w:r>
        <w:rPr>
          <w:color w:val="231F20"/>
          <w:spacing w:val="31"/>
        </w:rPr>
        <w:t> </w:t>
      </w:r>
      <w:r>
        <w:rPr>
          <w:color w:val="231F20"/>
        </w:rPr>
        <w:t>Electric</w:t>
      </w:r>
      <w:r>
        <w:rPr>
          <w:color w:val="231F20"/>
          <w:spacing w:val="31"/>
        </w:rPr>
        <w:t> </w:t>
      </w:r>
      <w:r>
        <w:rPr>
          <w:color w:val="231F20"/>
        </w:rPr>
        <w:t>has</w:t>
      </w:r>
      <w:r>
        <w:rPr>
          <w:color w:val="231F20"/>
          <w:spacing w:val="31"/>
        </w:rPr>
        <w:t> </w:t>
      </w:r>
      <w:r>
        <w:rPr>
          <w:color w:val="231F20"/>
        </w:rPr>
        <w:t>a</w:t>
      </w:r>
      <w:r>
        <w:rPr>
          <w:color w:val="231F20"/>
          <w:spacing w:val="31"/>
        </w:rPr>
        <w:t> </w:t>
      </w:r>
      <w:r>
        <w:rPr>
          <w:color w:val="231F20"/>
        </w:rPr>
        <w:t>billion</w:t>
      </w:r>
      <w:r>
        <w:rPr>
          <w:color w:val="231F20"/>
          <w:spacing w:val="31"/>
        </w:rPr>
        <w:t> </w:t>
      </w:r>
      <w:r>
        <w:rPr>
          <w:color w:val="231F20"/>
        </w:rPr>
        <w:t>dollars</w:t>
      </w:r>
      <w:r>
        <w:rPr>
          <w:color w:val="231F20"/>
          <w:spacing w:val="31"/>
        </w:rPr>
        <w:t> </w:t>
      </w:r>
      <w:r>
        <w:rPr>
          <w:color w:val="231F20"/>
        </w:rPr>
        <w:t>allocated to research, it needs to deploy large sums of money to large projects that may have lower IRRs.</w:t>
      </w:r>
    </w:p>
    <w:p>
      <w:pPr>
        <w:pStyle w:val="BodyText"/>
        <w:spacing w:line="292" w:lineRule="auto"/>
        <w:ind w:left="829" w:right="756" w:firstLine="340"/>
        <w:jc w:val="both"/>
        <w:rPr>
          <w:i/>
        </w:rPr>
      </w:pPr>
      <w:r>
        <w:rPr>
          <w:color w:val="231F20"/>
        </w:rPr>
        <w:t>Ranking by IRR also neglects the hurdle rates or discount </w:t>
      </w:r>
      <w:r>
        <w:rPr>
          <w:color w:val="231F20"/>
        </w:rPr>
        <w:t>factors used</w:t>
      </w:r>
      <w:r>
        <w:rPr>
          <w:color w:val="231F20"/>
          <w:spacing w:val="29"/>
        </w:rPr>
        <w:t> </w:t>
      </w:r>
      <w:r>
        <w:rPr>
          <w:color w:val="231F20"/>
        </w:rPr>
        <w:t>in</w:t>
      </w:r>
      <w:r>
        <w:rPr>
          <w:color w:val="231F20"/>
          <w:spacing w:val="29"/>
        </w:rPr>
        <w:t> </w:t>
      </w:r>
      <w:r>
        <w:rPr>
          <w:color w:val="231F20"/>
        </w:rPr>
        <w:t>NPV</w:t>
      </w:r>
      <w:r>
        <w:rPr>
          <w:color w:val="231F20"/>
          <w:spacing w:val="29"/>
        </w:rPr>
        <w:t> </w:t>
      </w:r>
      <w:r>
        <w:rPr>
          <w:color w:val="231F20"/>
        </w:rPr>
        <w:t>analysis.</w:t>
      </w:r>
      <w:r>
        <w:rPr>
          <w:color w:val="231F20"/>
          <w:spacing w:val="29"/>
        </w:rPr>
        <w:t> </w:t>
      </w:r>
      <w:r>
        <w:rPr>
          <w:color w:val="231F20"/>
        </w:rPr>
        <w:t>Those</w:t>
      </w:r>
      <w:r>
        <w:rPr>
          <w:color w:val="231F20"/>
          <w:spacing w:val="29"/>
        </w:rPr>
        <w:t> </w:t>
      </w:r>
      <w:r>
        <w:rPr>
          <w:color w:val="231F20"/>
        </w:rPr>
        <w:t>hurdle</w:t>
      </w:r>
      <w:r>
        <w:rPr>
          <w:color w:val="231F20"/>
          <w:spacing w:val="29"/>
        </w:rPr>
        <w:t> </w:t>
      </w:r>
      <w:r>
        <w:rPr>
          <w:color w:val="231F20"/>
        </w:rPr>
        <w:t>rates,</w:t>
      </w:r>
      <w:r>
        <w:rPr>
          <w:color w:val="231F20"/>
          <w:spacing w:val="29"/>
        </w:rPr>
        <w:t> </w:t>
      </w:r>
      <w:r>
        <w:rPr>
          <w:color w:val="231F20"/>
        </w:rPr>
        <w:t>as</w:t>
      </w:r>
      <w:r>
        <w:rPr>
          <w:color w:val="231F20"/>
          <w:spacing w:val="29"/>
        </w:rPr>
        <w:t> </w:t>
      </w:r>
      <w:r>
        <w:rPr>
          <w:color w:val="231F20"/>
        </w:rPr>
        <w:t>I</w:t>
      </w:r>
      <w:r>
        <w:rPr>
          <w:color w:val="231F20"/>
          <w:spacing w:val="29"/>
        </w:rPr>
        <w:t> </w:t>
      </w:r>
      <w:r>
        <w:rPr>
          <w:color w:val="231F20"/>
        </w:rPr>
        <w:t>said,</w:t>
      </w:r>
      <w:r>
        <w:rPr>
          <w:color w:val="231F20"/>
          <w:spacing w:val="29"/>
        </w:rPr>
        <w:t> </w:t>
      </w:r>
      <w:r>
        <w:rPr>
          <w:color w:val="231F20"/>
        </w:rPr>
        <w:t>adjust</w:t>
      </w:r>
      <w:r>
        <w:rPr>
          <w:color w:val="231F20"/>
          <w:spacing w:val="29"/>
        </w:rPr>
        <w:t> </w:t>
      </w:r>
      <w:r>
        <w:rPr>
          <w:color w:val="231F20"/>
        </w:rPr>
        <w:t>for</w:t>
      </w:r>
      <w:r>
        <w:rPr>
          <w:color w:val="231F20"/>
          <w:spacing w:val="29"/>
        </w:rPr>
        <w:t> </w:t>
      </w:r>
      <w:r>
        <w:rPr>
          <w:color w:val="231F20"/>
        </w:rPr>
        <w:t>risk. All things being equal, the investment in equipment by Quaker may have a lower IRR than highly speculative research into a Swedish cancer cure by Merck, but the Quaker project could have a higher NPV. The equipment project’s smaller cash flows would be dis- counted at a 10 percent rate because of the lower risk involved. This could result in higher NPV. The cancer research would be assessed using a high discount rate of 50 percent. </w:t>
      </w:r>
      <w:r>
        <w:rPr>
          <w:i/>
          <w:color w:val="231F20"/>
        </w:rPr>
        <w:t>Remember, the higher the</w:t>
      </w:r>
      <w:r>
        <w:rPr>
          <w:i/>
          <w:color w:val="231F20"/>
        </w:rPr>
        <w:t> discount rate, the less the cash is worth today and the more risk is </w:t>
      </w:r>
      <w:r>
        <w:rPr>
          <w:i/>
          <w:color w:val="231F20"/>
          <w:spacing w:val="-2"/>
        </w:rPr>
        <w:t>implied.</w:t>
      </w:r>
    </w:p>
    <w:p>
      <w:pPr>
        <w:spacing w:after="0" w:line="292" w:lineRule="auto"/>
        <w:jc w:val="both"/>
        <w:sectPr>
          <w:pgSz w:w="8640" w:h="12960"/>
          <w:pgMar w:header="732" w:footer="0" w:top="920" w:bottom="280" w:left="340" w:right="500"/>
        </w:sectPr>
      </w:pPr>
    </w:p>
    <w:p>
      <w:pPr>
        <w:pStyle w:val="BodyText"/>
        <w:rPr>
          <w:i/>
          <w:sz w:val="20"/>
        </w:rPr>
      </w:pPr>
    </w:p>
    <w:p>
      <w:pPr>
        <w:pStyle w:val="BodyText"/>
        <w:spacing w:before="9"/>
        <w:rPr>
          <w:i/>
          <w:sz w:val="20"/>
        </w:rPr>
      </w:pPr>
    </w:p>
    <w:p>
      <w:pPr>
        <w:pStyle w:val="Heading4"/>
        <w:spacing w:before="102"/>
        <w:ind w:left="468"/>
      </w:pPr>
      <w:r>
        <w:rPr>
          <w:color w:val="231F20"/>
          <w:spacing w:val="10"/>
          <w:w w:val="85"/>
        </w:rPr>
        <w:t>PROBABILITY</w:t>
      </w:r>
      <w:r>
        <w:rPr>
          <w:color w:val="231F20"/>
          <w:spacing w:val="22"/>
        </w:rPr>
        <w:t> </w:t>
      </w:r>
      <w:r>
        <w:rPr>
          <w:color w:val="231F20"/>
          <w:spacing w:val="-2"/>
          <w:w w:val="95"/>
        </w:rPr>
        <w:t>THEORY</w:t>
      </w:r>
    </w:p>
    <w:p>
      <w:pPr>
        <w:pStyle w:val="BodyText"/>
        <w:spacing w:before="11"/>
        <w:rPr>
          <w:rFonts w:ascii="Trebuchet MS"/>
          <w:sz w:val="29"/>
        </w:rPr>
      </w:pPr>
    </w:p>
    <w:p>
      <w:pPr>
        <w:pStyle w:val="BodyText"/>
        <w:spacing w:line="292" w:lineRule="auto"/>
        <w:ind w:left="920" w:right="663"/>
        <w:jc w:val="both"/>
      </w:pPr>
      <w:r>
        <w:rPr>
          <w:i/>
          <w:color w:val="231F20"/>
        </w:rPr>
        <w:t>Probability theory </w:t>
      </w:r>
      <w:r>
        <w:rPr>
          <w:color w:val="231F20"/>
        </w:rPr>
        <w:t>is a nice term for statistics, the subject that cre- ates fear in the hearts of even the brightest CPAs in business schools. Actually, probability theory is a more accurate term because it de- scribes how statistics are used to solve problems. Given the </w:t>
      </w:r>
      <w:r>
        <w:rPr>
          <w:i/>
          <w:color w:val="231F20"/>
        </w:rPr>
        <w:t>proba-</w:t>
      </w:r>
      <w:r>
        <w:rPr>
          <w:i/>
          <w:color w:val="231F20"/>
        </w:rPr>
        <w:t> bilities </w:t>
      </w:r>
      <w:r>
        <w:rPr>
          <w:color w:val="231F20"/>
        </w:rPr>
        <w:t>of striking oil, what should Sam do? Out of eight hundred married MBA students in the Top Ten programs, how many </w:t>
      </w:r>
      <w:r>
        <w:rPr>
          <w:color w:val="231F20"/>
        </w:rPr>
        <w:t>spouses are likely to be ignored during the first year of the MBA program?</w:t>
      </w:r>
      <w:r>
        <w:rPr>
          <w:color w:val="231F20"/>
          <w:spacing w:val="80"/>
        </w:rPr>
        <w:t> </w:t>
      </w:r>
      <w:r>
        <w:rPr>
          <w:color w:val="231F20"/>
        </w:rPr>
        <w:t>It’s all probability theory. Because most businesspeople shy away from statistics, here is an </w:t>
      </w:r>
      <w:r>
        <w:rPr>
          <w:i/>
          <w:color w:val="231F20"/>
        </w:rPr>
        <w:t>opportunity </w:t>
      </w:r>
      <w:r>
        <w:rPr>
          <w:color w:val="231F20"/>
        </w:rPr>
        <w:t>for MBAs to excel. It took a statistics course as an undergraduate and learned virtually nothing because I was taught theory, not problem solving. MBA programs concentrate on the practical aspects of statistics and tend to leave theory for mathematicians to sort out. If you are not familiar with statistics, </w:t>
      </w:r>
      <w:r>
        <w:rPr>
          <w:i/>
          <w:color w:val="231F20"/>
        </w:rPr>
        <w:t>do not </w:t>
      </w:r>
      <w:r>
        <w:rPr>
          <w:color w:val="231F20"/>
        </w:rPr>
        <w:t>skip this section. I cannot make you statistically proficient in a few pages, but if you give it a chance with some pa- tient reading, I promise you that you will have enough working knowledge of the discipline to ask for help whenever appropriate. Preparing students by giving them a working knowledge of different subjects is the main thrust of an MBA education. In only two years, professors do not expect their students to become technical experts, but</w:t>
      </w:r>
      <w:r>
        <w:rPr>
          <w:color w:val="231F20"/>
          <w:spacing w:val="-2"/>
        </w:rPr>
        <w:t> </w:t>
      </w:r>
      <w:r>
        <w:rPr>
          <w:color w:val="231F20"/>
        </w:rPr>
        <w:t>they</w:t>
      </w:r>
      <w:r>
        <w:rPr>
          <w:color w:val="231F20"/>
          <w:spacing w:val="-2"/>
        </w:rPr>
        <w:t> </w:t>
      </w:r>
      <w:r>
        <w:rPr>
          <w:color w:val="231F20"/>
        </w:rPr>
        <w:t>expect</w:t>
      </w:r>
      <w:r>
        <w:rPr>
          <w:color w:val="231F20"/>
          <w:spacing w:val="-2"/>
        </w:rPr>
        <w:t> </w:t>
      </w:r>
      <w:r>
        <w:rPr>
          <w:color w:val="231F20"/>
        </w:rPr>
        <w:t>them</w:t>
      </w:r>
      <w:r>
        <w:rPr>
          <w:color w:val="231F20"/>
          <w:spacing w:val="-2"/>
        </w:rPr>
        <w:t> </w:t>
      </w:r>
      <w:r>
        <w:rPr>
          <w:color w:val="231F20"/>
        </w:rPr>
        <w:t>to</w:t>
      </w:r>
      <w:r>
        <w:rPr>
          <w:color w:val="231F20"/>
          <w:spacing w:val="-2"/>
        </w:rPr>
        <w:t> </w:t>
      </w:r>
      <w:r>
        <w:rPr>
          <w:color w:val="231F20"/>
        </w:rPr>
        <w:t>recognize</w:t>
      </w:r>
      <w:r>
        <w:rPr>
          <w:color w:val="231F20"/>
          <w:spacing w:val="-2"/>
        </w:rPr>
        <w:t> </w:t>
      </w:r>
      <w:r>
        <w:rPr>
          <w:color w:val="231F20"/>
        </w:rPr>
        <w:t>where</w:t>
      </w:r>
      <w:r>
        <w:rPr>
          <w:color w:val="231F20"/>
          <w:spacing w:val="-2"/>
        </w:rPr>
        <w:t> </w:t>
      </w:r>
      <w:r>
        <w:rPr>
          <w:color w:val="231F20"/>
        </w:rPr>
        <w:t>they</w:t>
      </w:r>
      <w:r>
        <w:rPr>
          <w:color w:val="231F20"/>
          <w:spacing w:val="-2"/>
        </w:rPr>
        <w:t> </w:t>
      </w:r>
      <w:r>
        <w:rPr>
          <w:color w:val="231F20"/>
        </w:rPr>
        <w:t>should</w:t>
      </w:r>
      <w:r>
        <w:rPr>
          <w:color w:val="231F20"/>
          <w:spacing w:val="-2"/>
        </w:rPr>
        <w:t> </w:t>
      </w:r>
      <w:r>
        <w:rPr>
          <w:color w:val="231F20"/>
        </w:rPr>
        <w:t>seek</w:t>
      </w:r>
      <w:r>
        <w:rPr>
          <w:color w:val="231F20"/>
          <w:spacing w:val="-2"/>
        </w:rPr>
        <w:t> </w:t>
      </w:r>
      <w:r>
        <w:rPr>
          <w:color w:val="231F20"/>
        </w:rPr>
        <w:t>the</w:t>
      </w:r>
      <w:r>
        <w:rPr>
          <w:color w:val="231F20"/>
          <w:spacing w:val="-2"/>
        </w:rPr>
        <w:t> </w:t>
      </w:r>
      <w:r>
        <w:rPr>
          <w:color w:val="231F20"/>
        </w:rPr>
        <w:t>help</w:t>
      </w:r>
      <w:r>
        <w:rPr>
          <w:color w:val="231F20"/>
          <w:spacing w:val="-2"/>
        </w:rPr>
        <w:t> </w:t>
      </w:r>
      <w:r>
        <w:rPr>
          <w:color w:val="231F20"/>
        </w:rPr>
        <w:t>of an expert to solve a particular problem.</w:t>
      </w:r>
    </w:p>
    <w:p>
      <w:pPr>
        <w:pStyle w:val="BodyText"/>
        <w:rPr>
          <w:sz w:val="24"/>
        </w:rPr>
      </w:pPr>
    </w:p>
    <w:p>
      <w:pPr>
        <w:pStyle w:val="BodyText"/>
        <w:spacing w:before="5"/>
        <w:rPr>
          <w:sz w:val="26"/>
        </w:rPr>
      </w:pPr>
    </w:p>
    <w:p>
      <w:pPr>
        <w:pStyle w:val="Heading6"/>
        <w:spacing w:before="1"/>
        <w:rPr>
          <w:i/>
        </w:rPr>
      </w:pPr>
      <w:r>
        <w:rPr>
          <w:i/>
          <w:color w:val="231F20"/>
          <w:spacing w:val="9"/>
          <w:w w:val="110"/>
        </w:rPr>
        <w:t>PROBABILITY</w:t>
      </w:r>
      <w:r>
        <w:rPr>
          <w:i/>
          <w:color w:val="231F20"/>
          <w:spacing w:val="12"/>
          <w:w w:val="110"/>
        </w:rPr>
        <w:t> </w:t>
      </w:r>
      <w:r>
        <w:rPr>
          <w:i/>
          <w:color w:val="231F20"/>
          <w:spacing w:val="8"/>
          <w:w w:val="110"/>
        </w:rPr>
        <w:t>DISTRIBUTIONS</w:t>
      </w:r>
    </w:p>
    <w:p>
      <w:pPr>
        <w:pStyle w:val="BodyText"/>
        <w:spacing w:before="2"/>
        <w:rPr>
          <w:b/>
          <w:i/>
          <w:sz w:val="30"/>
        </w:rPr>
      </w:pPr>
    </w:p>
    <w:p>
      <w:pPr>
        <w:pStyle w:val="BodyText"/>
        <w:spacing w:line="292" w:lineRule="auto"/>
        <w:ind w:left="919" w:right="666"/>
        <w:jc w:val="both"/>
      </w:pPr>
      <w:r>
        <w:rPr>
          <w:color w:val="231F20"/>
        </w:rPr>
        <w:t>In situations where multiple outcomes are possible, the result is </w:t>
      </w:r>
      <w:r>
        <w:rPr>
          <w:color w:val="231F20"/>
        </w:rPr>
        <w:t>a </w:t>
      </w:r>
      <w:r>
        <w:rPr>
          <w:i/>
          <w:color w:val="231F20"/>
        </w:rPr>
        <w:t>distribution </w:t>
      </w:r>
      <w:r>
        <w:rPr>
          <w:color w:val="231F20"/>
        </w:rPr>
        <w:t>of outcomes. Each possibility is assigned a probability. Through careful analysis, intuition, and judgment, all the possible outcomes of any </w:t>
      </w:r>
      <w:r>
        <w:rPr>
          <w:i/>
          <w:color w:val="231F20"/>
        </w:rPr>
        <w:t>event </w:t>
      </w:r>
      <w:r>
        <w:rPr>
          <w:color w:val="231F20"/>
        </w:rPr>
        <w:t>add up to 100 percent, like the event fork of a decision tree. The graph that shows a distribution of outcomes is called</w:t>
      </w:r>
      <w:r>
        <w:rPr>
          <w:color w:val="231F20"/>
          <w:spacing w:val="22"/>
        </w:rPr>
        <w:t> </w:t>
      </w:r>
      <w:r>
        <w:rPr>
          <w:color w:val="231F20"/>
        </w:rPr>
        <w:t>a</w:t>
      </w:r>
      <w:r>
        <w:rPr>
          <w:color w:val="231F20"/>
          <w:spacing w:val="22"/>
        </w:rPr>
        <w:t> </w:t>
      </w:r>
      <w:r>
        <w:rPr>
          <w:i/>
          <w:color w:val="231F20"/>
        </w:rPr>
        <w:t>probability</w:t>
      </w:r>
      <w:r>
        <w:rPr>
          <w:i/>
          <w:color w:val="231F20"/>
          <w:spacing w:val="23"/>
        </w:rPr>
        <w:t> </w:t>
      </w:r>
      <w:r>
        <w:rPr>
          <w:i/>
          <w:color w:val="231F20"/>
        </w:rPr>
        <w:t>mass</w:t>
      </w:r>
      <w:r>
        <w:rPr>
          <w:i/>
          <w:color w:val="231F20"/>
          <w:spacing w:val="22"/>
        </w:rPr>
        <w:t> </w:t>
      </w:r>
      <w:r>
        <w:rPr>
          <w:color w:val="231F20"/>
        </w:rPr>
        <w:t>or</w:t>
      </w:r>
      <w:r>
        <w:rPr>
          <w:color w:val="231F20"/>
          <w:spacing w:val="22"/>
        </w:rPr>
        <w:t> </w:t>
      </w:r>
      <w:r>
        <w:rPr>
          <w:i/>
          <w:color w:val="231F20"/>
        </w:rPr>
        <w:t>density</w:t>
      </w:r>
      <w:r>
        <w:rPr>
          <w:i/>
          <w:color w:val="231F20"/>
          <w:spacing w:val="23"/>
        </w:rPr>
        <w:t> </w:t>
      </w:r>
      <w:r>
        <w:rPr>
          <w:i/>
          <w:color w:val="231F20"/>
        </w:rPr>
        <w:t>function.</w:t>
      </w:r>
      <w:r>
        <w:rPr>
          <w:i/>
          <w:color w:val="231F20"/>
          <w:spacing w:val="22"/>
        </w:rPr>
        <w:t> </w:t>
      </w:r>
      <w:r>
        <w:rPr>
          <w:color w:val="231F20"/>
        </w:rPr>
        <w:t>If</w:t>
      </w:r>
      <w:r>
        <w:rPr>
          <w:color w:val="231F20"/>
          <w:spacing w:val="23"/>
        </w:rPr>
        <w:t> </w:t>
      </w:r>
      <w:r>
        <w:rPr>
          <w:color w:val="231F20"/>
        </w:rPr>
        <w:t>there</w:t>
      </w:r>
      <w:r>
        <w:rPr>
          <w:color w:val="231F20"/>
          <w:spacing w:val="22"/>
        </w:rPr>
        <w:t> </w:t>
      </w:r>
      <w:r>
        <w:rPr>
          <w:color w:val="231F20"/>
        </w:rPr>
        <w:t>are</w:t>
      </w:r>
      <w:r>
        <w:rPr>
          <w:color w:val="231F20"/>
          <w:spacing w:val="22"/>
        </w:rPr>
        <w:t> </w:t>
      </w:r>
      <w:r>
        <w:rPr>
          <w:color w:val="231F20"/>
        </w:rPr>
        <w:t>many</w:t>
      </w:r>
      <w:r>
        <w:rPr>
          <w:color w:val="231F20"/>
          <w:spacing w:val="23"/>
        </w:rPr>
        <w:t> </w:t>
      </w:r>
      <w:r>
        <w:rPr>
          <w:color w:val="231F20"/>
          <w:spacing w:val="-4"/>
        </w:rPr>
        <w:t>pos-</w:t>
      </w:r>
    </w:p>
    <w:p>
      <w:pPr>
        <w:spacing w:after="0" w:line="292" w:lineRule="auto"/>
        <w:jc w:val="both"/>
        <w:sectPr>
          <w:pgSz w:w="8640" w:h="12960"/>
          <w:pgMar w:header="734" w:footer="0" w:top="920" w:bottom="280" w:left="340" w:right="500"/>
        </w:sectPr>
      </w:pPr>
    </w:p>
    <w:p>
      <w:pPr>
        <w:pStyle w:val="BodyText"/>
        <w:spacing w:before="10"/>
        <w:rPr>
          <w:sz w:val="17"/>
        </w:rPr>
      </w:pPr>
    </w:p>
    <w:p>
      <w:pPr>
        <w:spacing w:line="292" w:lineRule="auto" w:before="102"/>
        <w:ind w:left="830" w:right="754" w:firstLine="0"/>
        <w:jc w:val="both"/>
        <w:rPr>
          <w:i/>
          <w:sz w:val="21"/>
        </w:rPr>
      </w:pPr>
      <w:r>
        <w:rPr>
          <w:color w:val="231F20"/>
          <w:w w:val="105"/>
          <w:sz w:val="21"/>
        </w:rPr>
        <w:t>sible</w:t>
      </w:r>
      <w:r>
        <w:rPr>
          <w:color w:val="231F20"/>
          <w:spacing w:val="-5"/>
          <w:w w:val="105"/>
          <w:sz w:val="21"/>
        </w:rPr>
        <w:t> </w:t>
      </w:r>
      <w:r>
        <w:rPr>
          <w:color w:val="231F20"/>
          <w:w w:val="105"/>
          <w:sz w:val="21"/>
        </w:rPr>
        <w:t>outcomes,</w:t>
      </w:r>
      <w:r>
        <w:rPr>
          <w:color w:val="231F20"/>
          <w:spacing w:val="-5"/>
          <w:w w:val="105"/>
          <w:sz w:val="21"/>
        </w:rPr>
        <w:t> </w:t>
      </w:r>
      <w:r>
        <w:rPr>
          <w:color w:val="231F20"/>
          <w:w w:val="105"/>
          <w:sz w:val="21"/>
        </w:rPr>
        <w:t>the</w:t>
      </w:r>
      <w:r>
        <w:rPr>
          <w:color w:val="231F20"/>
          <w:spacing w:val="-5"/>
          <w:w w:val="105"/>
          <w:sz w:val="21"/>
        </w:rPr>
        <w:t> </w:t>
      </w:r>
      <w:r>
        <w:rPr>
          <w:color w:val="231F20"/>
          <w:w w:val="105"/>
          <w:sz w:val="21"/>
        </w:rPr>
        <w:t>curve</w:t>
      </w:r>
      <w:r>
        <w:rPr>
          <w:color w:val="231F20"/>
          <w:spacing w:val="-5"/>
          <w:w w:val="105"/>
          <w:sz w:val="21"/>
        </w:rPr>
        <w:t> </w:t>
      </w:r>
      <w:r>
        <w:rPr>
          <w:color w:val="231F20"/>
          <w:w w:val="105"/>
          <w:sz w:val="21"/>
        </w:rPr>
        <w:t>is</w:t>
      </w:r>
      <w:r>
        <w:rPr>
          <w:color w:val="231F20"/>
          <w:spacing w:val="-5"/>
          <w:w w:val="105"/>
          <w:sz w:val="21"/>
        </w:rPr>
        <w:t> </w:t>
      </w:r>
      <w:r>
        <w:rPr>
          <w:color w:val="231F20"/>
          <w:w w:val="105"/>
          <w:sz w:val="21"/>
        </w:rPr>
        <w:t>smooth</w:t>
      </w:r>
      <w:r>
        <w:rPr>
          <w:color w:val="231F20"/>
          <w:spacing w:val="-5"/>
          <w:w w:val="105"/>
          <w:sz w:val="21"/>
        </w:rPr>
        <w:t> </w:t>
      </w:r>
      <w:r>
        <w:rPr>
          <w:color w:val="231F20"/>
          <w:w w:val="105"/>
          <w:sz w:val="21"/>
        </w:rPr>
        <w:t>and</w:t>
      </w:r>
      <w:r>
        <w:rPr>
          <w:color w:val="231F20"/>
          <w:spacing w:val="-5"/>
          <w:w w:val="105"/>
          <w:sz w:val="21"/>
        </w:rPr>
        <w:t> </w:t>
      </w:r>
      <w:r>
        <w:rPr>
          <w:color w:val="231F20"/>
          <w:w w:val="105"/>
          <w:sz w:val="21"/>
        </w:rPr>
        <w:t>is</w:t>
      </w:r>
      <w:r>
        <w:rPr>
          <w:color w:val="231F20"/>
          <w:spacing w:val="-5"/>
          <w:w w:val="105"/>
          <w:sz w:val="21"/>
        </w:rPr>
        <w:t> </w:t>
      </w:r>
      <w:r>
        <w:rPr>
          <w:color w:val="231F20"/>
          <w:w w:val="105"/>
          <w:sz w:val="21"/>
        </w:rPr>
        <w:t>called</w:t>
      </w:r>
      <w:r>
        <w:rPr>
          <w:color w:val="231F20"/>
          <w:spacing w:val="-5"/>
          <w:w w:val="105"/>
          <w:sz w:val="21"/>
        </w:rPr>
        <w:t> </w:t>
      </w:r>
      <w:r>
        <w:rPr>
          <w:color w:val="231F20"/>
          <w:w w:val="105"/>
          <w:sz w:val="21"/>
        </w:rPr>
        <w:t>a</w:t>
      </w:r>
      <w:r>
        <w:rPr>
          <w:color w:val="231F20"/>
          <w:spacing w:val="-7"/>
          <w:w w:val="105"/>
          <w:sz w:val="21"/>
        </w:rPr>
        <w:t> </w:t>
      </w:r>
      <w:r>
        <w:rPr>
          <w:i/>
          <w:color w:val="231F20"/>
          <w:w w:val="105"/>
          <w:sz w:val="21"/>
        </w:rPr>
        <w:t>probability</w:t>
      </w:r>
      <w:r>
        <w:rPr>
          <w:i/>
          <w:color w:val="231F20"/>
          <w:spacing w:val="-5"/>
          <w:w w:val="105"/>
          <w:sz w:val="21"/>
        </w:rPr>
        <w:t> </w:t>
      </w:r>
      <w:r>
        <w:rPr>
          <w:i/>
          <w:color w:val="231F20"/>
          <w:w w:val="105"/>
          <w:sz w:val="21"/>
        </w:rPr>
        <w:t>den-</w:t>
      </w:r>
      <w:r>
        <w:rPr>
          <w:i/>
          <w:color w:val="231F20"/>
          <w:w w:val="105"/>
          <w:sz w:val="21"/>
        </w:rPr>
        <w:t> sity</w:t>
      </w:r>
      <w:r>
        <w:rPr>
          <w:i/>
          <w:color w:val="231F20"/>
          <w:w w:val="105"/>
          <w:sz w:val="21"/>
        </w:rPr>
        <w:t> function.</w:t>
      </w:r>
      <w:r>
        <w:rPr>
          <w:i/>
          <w:color w:val="231F20"/>
          <w:w w:val="105"/>
          <w:sz w:val="21"/>
        </w:rPr>
        <w:t> </w:t>
      </w:r>
      <w:r>
        <w:rPr>
          <w:color w:val="231F20"/>
          <w:w w:val="105"/>
          <w:sz w:val="21"/>
        </w:rPr>
        <w:t>If</w:t>
      </w:r>
      <w:r>
        <w:rPr>
          <w:color w:val="231F20"/>
          <w:w w:val="105"/>
          <w:sz w:val="21"/>
        </w:rPr>
        <w:t> there</w:t>
      </w:r>
      <w:r>
        <w:rPr>
          <w:color w:val="231F20"/>
          <w:w w:val="105"/>
          <w:sz w:val="21"/>
        </w:rPr>
        <w:t> are</w:t>
      </w:r>
      <w:r>
        <w:rPr>
          <w:color w:val="231F20"/>
          <w:w w:val="105"/>
          <w:sz w:val="21"/>
        </w:rPr>
        <w:t> only</w:t>
      </w:r>
      <w:r>
        <w:rPr>
          <w:color w:val="231F20"/>
          <w:w w:val="105"/>
          <w:sz w:val="21"/>
        </w:rPr>
        <w:t> a</w:t>
      </w:r>
      <w:r>
        <w:rPr>
          <w:color w:val="231F20"/>
          <w:w w:val="105"/>
          <w:sz w:val="21"/>
        </w:rPr>
        <w:t> few,</w:t>
      </w:r>
      <w:r>
        <w:rPr>
          <w:color w:val="231F20"/>
          <w:w w:val="105"/>
          <w:sz w:val="21"/>
        </w:rPr>
        <w:t> an</w:t>
      </w:r>
      <w:r>
        <w:rPr>
          <w:color w:val="231F20"/>
          <w:w w:val="105"/>
          <w:sz w:val="21"/>
        </w:rPr>
        <w:t> uneven</w:t>
      </w:r>
      <w:r>
        <w:rPr>
          <w:color w:val="231F20"/>
          <w:w w:val="105"/>
          <w:sz w:val="21"/>
        </w:rPr>
        <w:t> curve</w:t>
      </w:r>
      <w:r>
        <w:rPr>
          <w:color w:val="231F20"/>
          <w:w w:val="105"/>
          <w:sz w:val="21"/>
        </w:rPr>
        <w:t> is</w:t>
      </w:r>
      <w:r>
        <w:rPr>
          <w:color w:val="231F20"/>
          <w:w w:val="105"/>
          <w:sz w:val="21"/>
        </w:rPr>
        <w:t> drawn, called a </w:t>
      </w:r>
      <w:r>
        <w:rPr>
          <w:i/>
          <w:color w:val="231F20"/>
          <w:w w:val="105"/>
          <w:sz w:val="21"/>
        </w:rPr>
        <w:t>probability mass function.</w:t>
      </w:r>
    </w:p>
    <w:p>
      <w:pPr>
        <w:pStyle w:val="BodyText"/>
        <w:spacing w:before="5"/>
        <w:rPr>
          <w:i/>
          <w:sz w:val="25"/>
        </w:rPr>
      </w:pPr>
    </w:p>
    <w:p>
      <w:pPr>
        <w:pStyle w:val="BodyText"/>
        <w:spacing w:line="292" w:lineRule="auto"/>
        <w:ind w:left="830" w:right="756"/>
        <w:jc w:val="both"/>
      </w:pPr>
      <w:r>
        <w:rPr>
          <w:i/>
          <w:color w:val="231F20"/>
        </w:rPr>
        <w:t>A Rainfall Example. </w:t>
      </w:r>
      <w:r>
        <w:rPr>
          <w:color w:val="231F20"/>
        </w:rPr>
        <w:t>Rainfall in Seattle is an event resulting in a probability distribution. Seattle’s rainfall, using hypothetical data, looked as follows in a table and in probability distribution charts </w:t>
      </w:r>
      <w:r>
        <w:rPr>
          <w:color w:val="231F20"/>
        </w:rPr>
        <w:t>on this and the next page.</w:t>
      </w:r>
    </w:p>
    <w:p>
      <w:pPr>
        <w:pStyle w:val="BodyText"/>
        <w:spacing w:before="4"/>
        <w:rPr>
          <w:sz w:val="26"/>
        </w:rPr>
      </w:pPr>
    </w:p>
    <w:p>
      <w:pPr>
        <w:spacing w:line="307" w:lineRule="auto" w:before="0"/>
        <w:ind w:left="1780" w:right="1702" w:firstLine="0"/>
        <w:jc w:val="center"/>
        <w:rPr>
          <w:b/>
          <w:sz w:val="20"/>
        </w:rPr>
      </w:pPr>
      <w:r>
        <w:rPr/>
        <w:pict>
          <v:shape style="position:absolute;margin-left:75.5pt;margin-top:31.002232pt;width:276.5pt;height:.1pt;mso-position-horizontal-relative:page;mso-position-vertical-relative:paragraph;z-index:-15623680;mso-wrap-distance-left:0;mso-wrap-distance-right:0" id="docshape319" coordorigin="1510,620" coordsize="5530,0" path="m1510,620l7040,620e" filled="false" stroked="true" strokeweight="1pt" strokecolor="#231f20">
            <v:path arrowok="t"/>
            <v:stroke dashstyle="solid"/>
            <w10:wrap type="topAndBottom"/>
          </v:shape>
        </w:pict>
      </w:r>
      <w:r>
        <w:rPr>
          <w:b/>
          <w:color w:val="231F20"/>
          <w:w w:val="110"/>
          <w:sz w:val="20"/>
        </w:rPr>
        <w:t>SEATTLE DAILY RAIN MEASUREMENTS</w:t>
      </w:r>
      <w:r>
        <w:rPr>
          <w:b/>
          <w:color w:val="231F20"/>
          <w:spacing w:val="80"/>
          <w:w w:val="110"/>
          <w:sz w:val="20"/>
        </w:rPr>
        <w:t> </w:t>
      </w:r>
      <w:r>
        <w:rPr>
          <w:b/>
          <w:color w:val="231F20"/>
          <w:w w:val="110"/>
          <w:sz w:val="20"/>
        </w:rPr>
        <w:t>MARCH 2000</w:t>
      </w:r>
    </w:p>
    <w:p>
      <w:pPr>
        <w:pStyle w:val="BodyText"/>
        <w:spacing w:before="5" w:after="1"/>
        <w:rPr>
          <w:b/>
          <w:sz w:val="18"/>
        </w:rPr>
      </w:pPr>
    </w:p>
    <w:tbl>
      <w:tblPr>
        <w:tblW w:w="0" w:type="auto"/>
        <w:jc w:val="left"/>
        <w:tblInd w:w="1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1"/>
        <w:gridCol w:w="2315"/>
        <w:gridCol w:w="1594"/>
      </w:tblGrid>
      <w:tr>
        <w:trPr>
          <w:trHeight w:val="264" w:hRule="atLeast"/>
        </w:trPr>
        <w:tc>
          <w:tcPr>
            <w:tcW w:w="1711" w:type="dxa"/>
          </w:tcPr>
          <w:p>
            <w:pPr>
              <w:pStyle w:val="TableParagraph"/>
              <w:spacing w:line="227" w:lineRule="exact" w:before="0"/>
              <w:ind w:left="48" w:right="284"/>
              <w:rPr>
                <w:b/>
                <w:i/>
                <w:sz w:val="20"/>
              </w:rPr>
            </w:pPr>
            <w:r>
              <w:rPr>
                <w:b/>
                <w:i/>
                <w:color w:val="231F20"/>
                <w:w w:val="105"/>
                <w:sz w:val="20"/>
              </w:rPr>
              <w:t>DAILY</w:t>
            </w:r>
            <w:r>
              <w:rPr>
                <w:b/>
                <w:i/>
                <w:color w:val="231F20"/>
                <w:spacing w:val="-2"/>
                <w:w w:val="110"/>
                <w:sz w:val="20"/>
              </w:rPr>
              <w:t> INCHES</w:t>
            </w:r>
          </w:p>
        </w:tc>
        <w:tc>
          <w:tcPr>
            <w:tcW w:w="2315" w:type="dxa"/>
          </w:tcPr>
          <w:p>
            <w:pPr>
              <w:pStyle w:val="TableParagraph"/>
              <w:spacing w:line="227" w:lineRule="exact" w:before="0"/>
              <w:ind w:left="5" w:right="2"/>
              <w:rPr>
                <w:b/>
                <w:i/>
                <w:sz w:val="20"/>
              </w:rPr>
            </w:pPr>
            <w:r>
              <w:rPr>
                <w:b/>
                <w:i/>
                <w:color w:val="231F20"/>
                <w:w w:val="105"/>
                <w:sz w:val="20"/>
              </w:rPr>
              <w:t>DAYS</w:t>
            </w:r>
            <w:r>
              <w:rPr>
                <w:b/>
                <w:i/>
                <w:color w:val="231F20"/>
                <w:spacing w:val="-8"/>
                <w:w w:val="105"/>
                <w:sz w:val="20"/>
              </w:rPr>
              <w:t> </w:t>
            </w:r>
            <w:r>
              <w:rPr>
                <w:b/>
                <w:i/>
                <w:color w:val="231F20"/>
                <w:spacing w:val="-4"/>
                <w:w w:val="105"/>
                <w:sz w:val="20"/>
              </w:rPr>
              <w:t>WITH</w:t>
            </w:r>
          </w:p>
        </w:tc>
        <w:tc>
          <w:tcPr>
            <w:tcW w:w="1594" w:type="dxa"/>
          </w:tcPr>
          <w:p>
            <w:pPr>
              <w:pStyle w:val="TableParagraph"/>
              <w:spacing w:line="227" w:lineRule="exact" w:before="0"/>
              <w:ind w:left="530"/>
              <w:jc w:val="left"/>
              <w:rPr>
                <w:b/>
                <w:i/>
                <w:sz w:val="20"/>
              </w:rPr>
            </w:pPr>
            <w:r>
              <w:rPr>
                <w:b/>
                <w:i/>
                <w:color w:val="231F20"/>
                <w:w w:val="105"/>
                <w:sz w:val="20"/>
              </w:rPr>
              <w:t>DAYS</w:t>
            </w:r>
            <w:r>
              <w:rPr>
                <w:b/>
                <w:i/>
                <w:color w:val="231F20"/>
                <w:spacing w:val="-8"/>
                <w:w w:val="105"/>
                <w:sz w:val="20"/>
              </w:rPr>
              <w:t> </w:t>
            </w:r>
            <w:r>
              <w:rPr>
                <w:b/>
                <w:i/>
                <w:color w:val="231F20"/>
                <w:spacing w:val="-5"/>
                <w:w w:val="105"/>
                <w:sz w:val="20"/>
              </w:rPr>
              <w:t>AS</w:t>
            </w:r>
          </w:p>
        </w:tc>
      </w:tr>
      <w:tr>
        <w:trPr>
          <w:trHeight w:val="293" w:hRule="atLeast"/>
        </w:trPr>
        <w:tc>
          <w:tcPr>
            <w:tcW w:w="1711" w:type="dxa"/>
          </w:tcPr>
          <w:p>
            <w:pPr>
              <w:pStyle w:val="TableParagraph"/>
              <w:spacing w:before="28"/>
              <w:ind w:left="36" w:right="284"/>
              <w:rPr>
                <w:b/>
                <w:i/>
                <w:sz w:val="20"/>
              </w:rPr>
            </w:pPr>
            <w:r>
              <w:rPr>
                <w:b/>
                <w:i/>
                <w:color w:val="231F20"/>
                <w:w w:val="105"/>
                <w:sz w:val="20"/>
              </w:rPr>
              <w:t>OF</w:t>
            </w:r>
            <w:r>
              <w:rPr>
                <w:b/>
                <w:i/>
                <w:color w:val="231F20"/>
                <w:spacing w:val="2"/>
                <w:w w:val="105"/>
                <w:sz w:val="20"/>
              </w:rPr>
              <w:t> </w:t>
            </w:r>
            <w:r>
              <w:rPr>
                <w:b/>
                <w:i/>
                <w:color w:val="231F20"/>
                <w:spacing w:val="-4"/>
                <w:w w:val="105"/>
                <w:sz w:val="20"/>
              </w:rPr>
              <w:t>RAIN</w:t>
            </w:r>
          </w:p>
        </w:tc>
        <w:tc>
          <w:tcPr>
            <w:tcW w:w="2315" w:type="dxa"/>
          </w:tcPr>
          <w:p>
            <w:pPr>
              <w:pStyle w:val="TableParagraph"/>
              <w:numPr>
                <w:ilvl w:val="0"/>
                <w:numId w:val="31"/>
              </w:numPr>
              <w:tabs>
                <w:tab w:pos="456" w:val="left" w:leader="none"/>
              </w:tabs>
              <w:spacing w:line="240" w:lineRule="auto" w:before="7" w:after="0"/>
              <w:ind w:left="455" w:right="0" w:hanging="168"/>
              <w:jc w:val="left"/>
              <w:rPr>
                <w:b/>
                <w:i/>
                <w:sz w:val="20"/>
              </w:rPr>
            </w:pPr>
            <w:r>
              <w:rPr>
                <w:b/>
                <w:i/>
                <w:color w:val="231F20"/>
                <w:w w:val="110"/>
                <w:sz w:val="20"/>
              </w:rPr>
              <w:t>INCHES</w:t>
            </w:r>
            <w:r>
              <w:rPr>
                <w:b/>
                <w:i/>
                <w:color w:val="231F20"/>
                <w:spacing w:val="1"/>
                <w:w w:val="110"/>
                <w:sz w:val="20"/>
              </w:rPr>
              <w:t> </w:t>
            </w:r>
            <w:r>
              <w:rPr>
                <w:b/>
                <w:i/>
                <w:color w:val="231F20"/>
                <w:w w:val="110"/>
                <w:sz w:val="20"/>
              </w:rPr>
              <w:t>OF</w:t>
            </w:r>
            <w:r>
              <w:rPr>
                <w:b/>
                <w:i/>
                <w:color w:val="231F20"/>
                <w:spacing w:val="1"/>
                <w:w w:val="110"/>
                <w:sz w:val="20"/>
              </w:rPr>
              <w:t> </w:t>
            </w:r>
            <w:r>
              <w:rPr>
                <w:b/>
                <w:i/>
                <w:color w:val="231F20"/>
                <w:spacing w:val="-4"/>
                <w:w w:val="110"/>
                <w:sz w:val="20"/>
              </w:rPr>
              <w:t>RAIN</w:t>
            </w:r>
          </w:p>
        </w:tc>
        <w:tc>
          <w:tcPr>
            <w:tcW w:w="1594" w:type="dxa"/>
          </w:tcPr>
          <w:p>
            <w:pPr>
              <w:pStyle w:val="TableParagraph"/>
              <w:spacing w:before="28"/>
              <w:ind w:left="284"/>
              <w:jc w:val="left"/>
              <w:rPr>
                <w:b/>
                <w:i/>
                <w:sz w:val="20"/>
              </w:rPr>
            </w:pPr>
            <w:r>
              <w:rPr>
                <w:b/>
                <w:i/>
                <w:color w:val="231F20"/>
                <w:w w:val="105"/>
                <w:sz w:val="20"/>
              </w:rPr>
              <w:t>%</w:t>
            </w:r>
            <w:r>
              <w:rPr>
                <w:b/>
                <w:i/>
                <w:color w:val="231F20"/>
                <w:spacing w:val="-11"/>
                <w:w w:val="105"/>
                <w:sz w:val="20"/>
              </w:rPr>
              <w:t> </w:t>
            </w:r>
            <w:r>
              <w:rPr>
                <w:b/>
                <w:i/>
                <w:color w:val="231F20"/>
                <w:w w:val="105"/>
                <w:sz w:val="20"/>
              </w:rPr>
              <w:t>OF</w:t>
            </w:r>
            <w:r>
              <w:rPr>
                <w:b/>
                <w:i/>
                <w:color w:val="231F20"/>
                <w:spacing w:val="-11"/>
                <w:w w:val="105"/>
                <w:sz w:val="20"/>
              </w:rPr>
              <w:t> </w:t>
            </w:r>
            <w:r>
              <w:rPr>
                <w:b/>
                <w:i/>
                <w:color w:val="231F20"/>
                <w:spacing w:val="-2"/>
                <w:w w:val="105"/>
                <w:sz w:val="20"/>
              </w:rPr>
              <w:t>MONTH</w:t>
            </w:r>
          </w:p>
        </w:tc>
      </w:tr>
      <w:tr>
        <w:trPr>
          <w:trHeight w:val="298" w:hRule="atLeast"/>
        </w:trPr>
        <w:tc>
          <w:tcPr>
            <w:tcW w:w="1711" w:type="dxa"/>
          </w:tcPr>
          <w:p>
            <w:pPr>
              <w:pStyle w:val="TableParagraph"/>
              <w:spacing w:before="25"/>
              <w:ind w:right="250"/>
              <w:rPr>
                <w:sz w:val="21"/>
              </w:rPr>
            </w:pPr>
            <w:r>
              <w:rPr>
                <w:color w:val="231F20"/>
                <w:w w:val="101"/>
                <w:sz w:val="21"/>
              </w:rPr>
              <w:t>0</w:t>
            </w:r>
          </w:p>
        </w:tc>
        <w:tc>
          <w:tcPr>
            <w:tcW w:w="2315" w:type="dxa"/>
          </w:tcPr>
          <w:p>
            <w:pPr>
              <w:pStyle w:val="TableParagraph"/>
              <w:spacing w:before="25"/>
              <w:ind w:left="109"/>
              <w:rPr>
                <w:sz w:val="21"/>
              </w:rPr>
            </w:pPr>
            <w:r>
              <w:rPr>
                <w:color w:val="231F20"/>
                <w:w w:val="101"/>
                <w:sz w:val="21"/>
              </w:rPr>
              <w:t>5</w:t>
            </w:r>
          </w:p>
        </w:tc>
        <w:tc>
          <w:tcPr>
            <w:tcW w:w="1594" w:type="dxa"/>
          </w:tcPr>
          <w:p>
            <w:pPr>
              <w:pStyle w:val="TableParagraph"/>
              <w:spacing w:before="25"/>
              <w:ind w:left="760"/>
              <w:jc w:val="left"/>
              <w:rPr>
                <w:sz w:val="21"/>
              </w:rPr>
            </w:pPr>
            <w:r>
              <w:rPr>
                <w:color w:val="231F20"/>
                <w:spacing w:val="-5"/>
                <w:w w:val="105"/>
                <w:sz w:val="21"/>
              </w:rPr>
              <w:t>16%</w:t>
            </w:r>
          </w:p>
        </w:tc>
      </w:tr>
      <w:tr>
        <w:trPr>
          <w:trHeight w:val="300" w:hRule="atLeast"/>
        </w:trPr>
        <w:tc>
          <w:tcPr>
            <w:tcW w:w="1711" w:type="dxa"/>
          </w:tcPr>
          <w:p>
            <w:pPr>
              <w:pStyle w:val="TableParagraph"/>
              <w:spacing w:before="26"/>
              <w:ind w:right="250"/>
              <w:rPr>
                <w:sz w:val="21"/>
              </w:rPr>
            </w:pPr>
            <w:r>
              <w:rPr>
                <w:color w:val="231F20"/>
                <w:w w:val="101"/>
                <w:sz w:val="21"/>
              </w:rPr>
              <w:t>2</w:t>
            </w:r>
          </w:p>
        </w:tc>
        <w:tc>
          <w:tcPr>
            <w:tcW w:w="2315" w:type="dxa"/>
          </w:tcPr>
          <w:p>
            <w:pPr>
              <w:pStyle w:val="TableParagraph"/>
              <w:spacing w:before="26"/>
              <w:ind w:left="109"/>
              <w:rPr>
                <w:sz w:val="21"/>
              </w:rPr>
            </w:pPr>
            <w:r>
              <w:rPr>
                <w:color w:val="231F20"/>
                <w:w w:val="101"/>
                <w:sz w:val="21"/>
              </w:rPr>
              <w:t>6</w:t>
            </w:r>
          </w:p>
        </w:tc>
        <w:tc>
          <w:tcPr>
            <w:tcW w:w="1594" w:type="dxa"/>
          </w:tcPr>
          <w:p>
            <w:pPr>
              <w:pStyle w:val="TableParagraph"/>
              <w:spacing w:before="26"/>
              <w:ind w:left="163"/>
              <w:rPr>
                <w:sz w:val="21"/>
              </w:rPr>
            </w:pPr>
            <w:r>
              <w:rPr>
                <w:color w:val="231F20"/>
                <w:spacing w:val="-5"/>
                <w:sz w:val="21"/>
              </w:rPr>
              <w:t>19</w:t>
            </w:r>
          </w:p>
        </w:tc>
      </w:tr>
      <w:tr>
        <w:trPr>
          <w:trHeight w:val="300" w:hRule="atLeast"/>
        </w:trPr>
        <w:tc>
          <w:tcPr>
            <w:tcW w:w="1711" w:type="dxa"/>
          </w:tcPr>
          <w:p>
            <w:pPr>
              <w:pStyle w:val="TableParagraph"/>
              <w:spacing w:before="26"/>
              <w:ind w:right="250"/>
              <w:rPr>
                <w:sz w:val="21"/>
              </w:rPr>
            </w:pPr>
            <w:r>
              <w:rPr>
                <w:color w:val="231F20"/>
                <w:w w:val="101"/>
                <w:sz w:val="21"/>
              </w:rPr>
              <w:t>4</w:t>
            </w:r>
          </w:p>
        </w:tc>
        <w:tc>
          <w:tcPr>
            <w:tcW w:w="2315" w:type="dxa"/>
          </w:tcPr>
          <w:p>
            <w:pPr>
              <w:pStyle w:val="TableParagraph"/>
              <w:spacing w:before="26"/>
              <w:ind w:left="109"/>
              <w:rPr>
                <w:sz w:val="21"/>
              </w:rPr>
            </w:pPr>
            <w:r>
              <w:rPr>
                <w:color w:val="231F20"/>
                <w:w w:val="101"/>
                <w:sz w:val="21"/>
              </w:rPr>
              <w:t>8</w:t>
            </w:r>
          </w:p>
        </w:tc>
        <w:tc>
          <w:tcPr>
            <w:tcW w:w="1594" w:type="dxa"/>
          </w:tcPr>
          <w:p>
            <w:pPr>
              <w:pStyle w:val="TableParagraph"/>
              <w:spacing w:before="26"/>
              <w:ind w:left="163"/>
              <w:rPr>
                <w:sz w:val="21"/>
              </w:rPr>
            </w:pPr>
            <w:r>
              <w:rPr>
                <w:color w:val="231F20"/>
                <w:spacing w:val="-5"/>
                <w:sz w:val="21"/>
              </w:rPr>
              <w:t>26</w:t>
            </w:r>
          </w:p>
        </w:tc>
      </w:tr>
      <w:tr>
        <w:trPr>
          <w:trHeight w:val="300" w:hRule="atLeast"/>
        </w:trPr>
        <w:tc>
          <w:tcPr>
            <w:tcW w:w="1711" w:type="dxa"/>
          </w:tcPr>
          <w:p>
            <w:pPr>
              <w:pStyle w:val="TableParagraph"/>
              <w:spacing w:before="26"/>
              <w:ind w:right="250"/>
              <w:rPr>
                <w:sz w:val="21"/>
              </w:rPr>
            </w:pPr>
            <w:r>
              <w:rPr>
                <w:color w:val="231F20"/>
                <w:w w:val="101"/>
                <w:sz w:val="21"/>
              </w:rPr>
              <w:t>6</w:t>
            </w:r>
          </w:p>
        </w:tc>
        <w:tc>
          <w:tcPr>
            <w:tcW w:w="2315" w:type="dxa"/>
          </w:tcPr>
          <w:p>
            <w:pPr>
              <w:pStyle w:val="TableParagraph"/>
              <w:spacing w:before="26"/>
              <w:ind w:left="109"/>
              <w:rPr>
                <w:sz w:val="21"/>
              </w:rPr>
            </w:pPr>
            <w:r>
              <w:rPr>
                <w:color w:val="231F20"/>
                <w:w w:val="101"/>
                <w:sz w:val="21"/>
              </w:rPr>
              <w:t>6</w:t>
            </w:r>
          </w:p>
        </w:tc>
        <w:tc>
          <w:tcPr>
            <w:tcW w:w="1594" w:type="dxa"/>
          </w:tcPr>
          <w:p>
            <w:pPr>
              <w:pStyle w:val="TableParagraph"/>
              <w:spacing w:before="26"/>
              <w:ind w:left="163"/>
              <w:rPr>
                <w:sz w:val="21"/>
              </w:rPr>
            </w:pPr>
            <w:r>
              <w:rPr>
                <w:color w:val="231F20"/>
                <w:spacing w:val="-5"/>
                <w:sz w:val="21"/>
              </w:rPr>
              <w:t>19</w:t>
            </w:r>
          </w:p>
        </w:tc>
      </w:tr>
      <w:tr>
        <w:trPr>
          <w:trHeight w:val="299" w:hRule="atLeast"/>
        </w:trPr>
        <w:tc>
          <w:tcPr>
            <w:tcW w:w="1711" w:type="dxa"/>
          </w:tcPr>
          <w:p>
            <w:pPr>
              <w:pStyle w:val="TableParagraph"/>
              <w:spacing w:before="26"/>
              <w:ind w:right="250"/>
              <w:rPr>
                <w:sz w:val="21"/>
              </w:rPr>
            </w:pPr>
            <w:r>
              <w:rPr>
                <w:color w:val="231F20"/>
                <w:w w:val="101"/>
                <w:sz w:val="21"/>
              </w:rPr>
              <w:t>8</w:t>
            </w:r>
          </w:p>
        </w:tc>
        <w:tc>
          <w:tcPr>
            <w:tcW w:w="2315" w:type="dxa"/>
          </w:tcPr>
          <w:p>
            <w:pPr>
              <w:pStyle w:val="TableParagraph"/>
              <w:spacing w:before="26"/>
              <w:ind w:left="109"/>
              <w:rPr>
                <w:sz w:val="21"/>
              </w:rPr>
            </w:pPr>
            <w:r>
              <w:rPr>
                <w:color w:val="231F20"/>
                <w:w w:val="101"/>
                <w:sz w:val="21"/>
              </w:rPr>
              <w:t>3</w:t>
            </w:r>
          </w:p>
        </w:tc>
        <w:tc>
          <w:tcPr>
            <w:tcW w:w="1594" w:type="dxa"/>
          </w:tcPr>
          <w:p>
            <w:pPr>
              <w:pStyle w:val="TableParagraph"/>
              <w:spacing w:before="26"/>
              <w:ind w:left="163"/>
              <w:rPr>
                <w:sz w:val="21"/>
              </w:rPr>
            </w:pPr>
            <w:r>
              <w:rPr>
                <w:color w:val="231F20"/>
                <w:spacing w:val="-5"/>
                <w:sz w:val="21"/>
              </w:rPr>
              <w:t>10</w:t>
            </w:r>
          </w:p>
        </w:tc>
      </w:tr>
      <w:tr>
        <w:trPr>
          <w:trHeight w:val="310" w:hRule="atLeast"/>
        </w:trPr>
        <w:tc>
          <w:tcPr>
            <w:tcW w:w="1711" w:type="dxa"/>
          </w:tcPr>
          <w:p>
            <w:pPr>
              <w:pStyle w:val="TableParagraph"/>
              <w:spacing w:before="26"/>
              <w:ind w:left="36" w:right="284"/>
              <w:rPr>
                <w:sz w:val="21"/>
              </w:rPr>
            </w:pPr>
            <w:r>
              <w:rPr>
                <w:color w:val="231F20"/>
                <w:spacing w:val="-5"/>
                <w:sz w:val="21"/>
              </w:rPr>
              <w:t>10</w:t>
            </w:r>
          </w:p>
        </w:tc>
        <w:tc>
          <w:tcPr>
            <w:tcW w:w="2315" w:type="dxa"/>
          </w:tcPr>
          <w:p>
            <w:pPr>
              <w:pStyle w:val="TableParagraph"/>
              <w:spacing w:before="26"/>
              <w:ind w:right="2"/>
              <w:rPr>
                <w:sz w:val="21"/>
              </w:rPr>
            </w:pPr>
            <w:r>
              <w:rPr>
                <w:color w:val="231F20"/>
                <w:spacing w:val="67"/>
                <w:sz w:val="21"/>
                <w:u w:val="single" w:color="231F20"/>
              </w:rPr>
              <w:t> </w:t>
            </w:r>
            <w:r>
              <w:rPr>
                <w:color w:val="231F20"/>
                <w:spacing w:val="-12"/>
                <w:sz w:val="21"/>
                <w:u w:val="single" w:color="231F20"/>
              </w:rPr>
              <w:t>3</w:t>
            </w:r>
          </w:p>
        </w:tc>
        <w:tc>
          <w:tcPr>
            <w:tcW w:w="1594" w:type="dxa"/>
          </w:tcPr>
          <w:p>
            <w:pPr>
              <w:pStyle w:val="TableParagraph"/>
              <w:spacing w:before="26"/>
              <w:ind w:left="57"/>
              <w:rPr>
                <w:sz w:val="21"/>
              </w:rPr>
            </w:pPr>
            <w:r>
              <w:rPr>
                <w:color w:val="231F20"/>
                <w:spacing w:val="60"/>
                <w:sz w:val="21"/>
                <w:u w:val="single" w:color="231F20"/>
              </w:rPr>
              <w:t> </w:t>
            </w:r>
            <w:r>
              <w:rPr>
                <w:color w:val="231F20"/>
                <w:spacing w:val="-5"/>
                <w:sz w:val="21"/>
                <w:u w:val="single" w:color="231F20"/>
              </w:rPr>
              <w:t>10</w:t>
            </w:r>
          </w:p>
        </w:tc>
      </w:tr>
      <w:tr>
        <w:trPr>
          <w:trHeight w:val="264" w:hRule="atLeast"/>
        </w:trPr>
        <w:tc>
          <w:tcPr>
            <w:tcW w:w="1711" w:type="dxa"/>
          </w:tcPr>
          <w:p>
            <w:pPr>
              <w:pStyle w:val="TableParagraph"/>
              <w:spacing w:before="0"/>
              <w:jc w:val="left"/>
              <w:rPr>
                <w:rFonts w:ascii="Times New Roman"/>
                <w:sz w:val="18"/>
              </w:rPr>
            </w:pPr>
          </w:p>
        </w:tc>
        <w:tc>
          <w:tcPr>
            <w:tcW w:w="2315" w:type="dxa"/>
          </w:tcPr>
          <w:p>
            <w:pPr>
              <w:pStyle w:val="TableParagraph"/>
              <w:spacing w:line="228" w:lineRule="exact" w:before="16"/>
              <w:ind w:left="5" w:right="2"/>
              <w:rPr>
                <w:sz w:val="21"/>
              </w:rPr>
            </w:pPr>
            <w:r>
              <w:rPr>
                <w:color w:val="231F20"/>
                <w:spacing w:val="-5"/>
                <w:sz w:val="21"/>
              </w:rPr>
              <w:t>31</w:t>
            </w:r>
          </w:p>
        </w:tc>
        <w:tc>
          <w:tcPr>
            <w:tcW w:w="1594" w:type="dxa"/>
          </w:tcPr>
          <w:p>
            <w:pPr>
              <w:pStyle w:val="TableParagraph"/>
              <w:spacing w:line="228" w:lineRule="exact" w:before="16"/>
              <w:ind w:left="654"/>
              <w:jc w:val="left"/>
              <w:rPr>
                <w:sz w:val="21"/>
              </w:rPr>
            </w:pPr>
            <w:r>
              <w:rPr>
                <w:color w:val="231F20"/>
                <w:spacing w:val="-4"/>
                <w:w w:val="105"/>
                <w:sz w:val="21"/>
              </w:rPr>
              <w:t>100%</w:t>
            </w:r>
          </w:p>
        </w:tc>
      </w:tr>
    </w:tbl>
    <w:p>
      <w:pPr>
        <w:pStyle w:val="BodyText"/>
        <w:rPr>
          <w:b/>
          <w:sz w:val="22"/>
        </w:rPr>
      </w:pPr>
    </w:p>
    <w:p>
      <w:pPr>
        <w:pStyle w:val="BodyText"/>
        <w:rPr>
          <w:b/>
          <w:sz w:val="22"/>
        </w:rPr>
      </w:pPr>
    </w:p>
    <w:p>
      <w:pPr>
        <w:pStyle w:val="BodyText"/>
        <w:rPr>
          <w:b/>
          <w:sz w:val="17"/>
        </w:rPr>
      </w:pPr>
    </w:p>
    <w:p>
      <w:pPr>
        <w:pStyle w:val="Heading6"/>
        <w:ind w:left="299"/>
        <w:rPr>
          <w:i/>
        </w:rPr>
      </w:pPr>
      <w:r>
        <w:rPr>
          <w:i/>
          <w:color w:val="231F20"/>
          <w:w w:val="110"/>
        </w:rPr>
        <w:t>THE</w:t>
      </w:r>
      <w:r>
        <w:rPr>
          <w:i/>
          <w:color w:val="231F20"/>
          <w:spacing w:val="65"/>
          <w:w w:val="110"/>
        </w:rPr>
        <w:t> </w:t>
      </w:r>
      <w:r>
        <w:rPr>
          <w:i/>
          <w:color w:val="231F20"/>
          <w:w w:val="110"/>
        </w:rPr>
        <w:t>BINOMIAL</w:t>
      </w:r>
      <w:r>
        <w:rPr>
          <w:i/>
          <w:color w:val="231F20"/>
          <w:spacing w:val="66"/>
          <w:w w:val="110"/>
        </w:rPr>
        <w:t> </w:t>
      </w:r>
      <w:r>
        <w:rPr>
          <w:i/>
          <w:color w:val="231F20"/>
          <w:spacing w:val="8"/>
          <w:w w:val="110"/>
        </w:rPr>
        <w:t>DISTRIBUTION</w:t>
      </w:r>
    </w:p>
    <w:p>
      <w:pPr>
        <w:pStyle w:val="BodyText"/>
        <w:spacing w:before="2"/>
        <w:rPr>
          <w:b/>
          <w:i/>
          <w:sz w:val="30"/>
        </w:rPr>
      </w:pPr>
    </w:p>
    <w:p>
      <w:pPr>
        <w:pStyle w:val="BodyText"/>
        <w:spacing w:line="292" w:lineRule="auto"/>
        <w:ind w:left="830" w:right="756"/>
        <w:jc w:val="both"/>
      </w:pPr>
      <w:r>
        <w:rPr>
          <w:color w:val="231F20"/>
        </w:rPr>
        <w:t>Flipping a coin results in two possibilities, heads or tails. </w:t>
      </w:r>
      <w:r>
        <w:rPr>
          <w:color w:val="231F20"/>
        </w:rPr>
        <w:t>Therefore the </w:t>
      </w:r>
      <w:r>
        <w:rPr>
          <w:i/>
          <w:color w:val="231F20"/>
        </w:rPr>
        <w:t>distribution </w:t>
      </w:r>
      <w:r>
        <w:rPr>
          <w:color w:val="231F20"/>
        </w:rPr>
        <w:t>of outcomes of two coin flippings could have several possible outcomes if you consider “heads” a success.</w:t>
      </w:r>
    </w:p>
    <w:p>
      <w:pPr>
        <w:pStyle w:val="BodyText"/>
        <w:spacing w:before="4"/>
        <w:rPr>
          <w:sz w:val="27"/>
        </w:rPr>
      </w:pPr>
    </w:p>
    <w:p>
      <w:pPr>
        <w:spacing w:before="0"/>
        <w:ind w:left="1170" w:right="0" w:firstLine="0"/>
        <w:jc w:val="left"/>
        <w:rPr>
          <w:rFonts w:ascii="Arial"/>
          <w:sz w:val="19"/>
        </w:rPr>
      </w:pPr>
      <w:r>
        <w:rPr>
          <w:rFonts w:ascii="Arial"/>
          <w:color w:val="231F20"/>
          <w:w w:val="105"/>
          <w:sz w:val="19"/>
        </w:rPr>
        <w:t>2</w:t>
      </w:r>
      <w:r>
        <w:rPr>
          <w:rFonts w:ascii="Arial"/>
          <w:color w:val="231F20"/>
          <w:spacing w:val="3"/>
          <w:w w:val="105"/>
          <w:sz w:val="19"/>
        </w:rPr>
        <w:t> </w:t>
      </w:r>
      <w:r>
        <w:rPr>
          <w:rFonts w:ascii="Arial"/>
          <w:color w:val="231F20"/>
          <w:w w:val="105"/>
          <w:sz w:val="19"/>
        </w:rPr>
        <w:t>successes,</w:t>
      </w:r>
      <w:r>
        <w:rPr>
          <w:rFonts w:ascii="Arial"/>
          <w:color w:val="231F20"/>
          <w:spacing w:val="4"/>
          <w:w w:val="105"/>
          <w:sz w:val="19"/>
        </w:rPr>
        <w:t> </w:t>
      </w:r>
      <w:r>
        <w:rPr>
          <w:rFonts w:ascii="Arial"/>
          <w:color w:val="231F20"/>
          <w:spacing w:val="-2"/>
          <w:w w:val="105"/>
          <w:sz w:val="19"/>
        </w:rPr>
        <w:t>Heads/Heads</w:t>
      </w:r>
    </w:p>
    <w:p>
      <w:pPr>
        <w:spacing w:line="328" w:lineRule="auto" w:before="81"/>
        <w:ind w:left="1170" w:right="2640" w:firstLine="0"/>
        <w:jc w:val="left"/>
        <w:rPr>
          <w:rFonts w:ascii="Arial"/>
          <w:sz w:val="19"/>
        </w:rPr>
      </w:pPr>
      <w:r>
        <w:rPr>
          <w:rFonts w:ascii="Arial"/>
          <w:color w:val="231F20"/>
          <w:sz w:val="19"/>
        </w:rPr>
        <w:t>1 </w:t>
      </w:r>
      <w:r>
        <w:rPr>
          <w:rFonts w:ascii="Arial"/>
          <w:color w:val="231F20"/>
          <w:w w:val="105"/>
          <w:sz w:val="19"/>
        </w:rPr>
        <w:t>su</w:t>
      </w:r>
      <w:r>
        <w:rPr>
          <w:rFonts w:ascii="Arial"/>
          <w:color w:val="231F20"/>
          <w:spacing w:val="-3"/>
          <w:w w:val="105"/>
          <w:sz w:val="19"/>
        </w:rPr>
        <w:t>c</w:t>
      </w:r>
      <w:r>
        <w:rPr>
          <w:rFonts w:ascii="Arial"/>
          <w:color w:val="231F20"/>
          <w:spacing w:val="-3"/>
          <w:w w:val="112"/>
          <w:sz w:val="19"/>
        </w:rPr>
        <w:t>c</w:t>
      </w:r>
      <w:r>
        <w:rPr>
          <w:rFonts w:ascii="Arial"/>
          <w:color w:val="231F20"/>
          <w:sz w:val="19"/>
        </w:rPr>
        <w:t>e</w:t>
      </w:r>
      <w:r>
        <w:rPr>
          <w:rFonts w:ascii="Arial"/>
          <w:color w:val="231F20"/>
          <w:spacing w:val="-2"/>
          <w:sz w:val="19"/>
        </w:rPr>
        <w:t>s</w:t>
      </w:r>
      <w:r>
        <w:rPr>
          <w:rFonts w:ascii="Arial"/>
          <w:color w:val="231F20"/>
          <w:w w:val="127"/>
          <w:sz w:val="19"/>
        </w:rPr>
        <w:t>s</w:t>
      </w:r>
      <w:r>
        <w:rPr>
          <w:rFonts w:ascii="Arial"/>
          <w:color w:val="231F20"/>
          <w:spacing w:val="1"/>
          <w:w w:val="127"/>
          <w:sz w:val="19"/>
        </w:rPr>
        <w:t>/</w:t>
      </w:r>
      <w:r>
        <w:rPr>
          <w:rFonts w:ascii="Arial"/>
          <w:color w:val="231F20"/>
          <w:w w:val="61"/>
          <w:sz w:val="19"/>
        </w:rPr>
        <w:t>1</w:t>
      </w:r>
      <w:r>
        <w:rPr>
          <w:rFonts w:ascii="Arial"/>
          <w:color w:val="231F20"/>
          <w:spacing w:val="-1"/>
          <w:w w:val="104"/>
          <w:sz w:val="19"/>
        </w:rPr>
        <w:t> </w:t>
      </w:r>
      <w:r>
        <w:rPr>
          <w:rFonts w:ascii="Arial"/>
          <w:color w:val="231F20"/>
          <w:w w:val="105"/>
          <w:sz w:val="19"/>
        </w:rPr>
        <w:t>failure, Heads/Tails, </w:t>
      </w:r>
      <w:r>
        <w:rPr>
          <w:rFonts w:ascii="Arial"/>
          <w:color w:val="231F20"/>
          <w:w w:val="105"/>
          <w:sz w:val="19"/>
        </w:rPr>
        <w:t>Tails/Heads</w:t>
      </w:r>
      <w:r>
        <w:rPr>
          <w:rFonts w:ascii="Arial"/>
          <w:color w:val="231F20"/>
          <w:spacing w:val="40"/>
          <w:w w:val="105"/>
          <w:sz w:val="19"/>
        </w:rPr>
        <w:t> </w:t>
      </w:r>
      <w:r>
        <w:rPr>
          <w:rFonts w:ascii="Arial"/>
          <w:color w:val="231F20"/>
          <w:w w:val="105"/>
          <w:sz w:val="19"/>
        </w:rPr>
        <w:t>2 failures, Tails/Tails</w:t>
      </w:r>
    </w:p>
    <w:p>
      <w:pPr>
        <w:pStyle w:val="BodyText"/>
        <w:spacing w:before="4"/>
        <w:rPr>
          <w:rFonts w:ascii="Arial"/>
          <w:sz w:val="24"/>
        </w:rPr>
      </w:pPr>
    </w:p>
    <w:p>
      <w:pPr>
        <w:pStyle w:val="BodyText"/>
        <w:spacing w:line="292" w:lineRule="auto"/>
        <w:ind w:left="830" w:right="728" w:firstLine="340"/>
      </w:pPr>
      <w:r>
        <w:rPr>
          <w:color w:val="231F20"/>
        </w:rPr>
        <w:t>Coin</w:t>
      </w:r>
      <w:r>
        <w:rPr>
          <w:color w:val="231F20"/>
          <w:spacing w:val="19"/>
        </w:rPr>
        <w:t> </w:t>
      </w:r>
      <w:r>
        <w:rPr>
          <w:color w:val="231F20"/>
        </w:rPr>
        <w:t>flipping</w:t>
      </w:r>
      <w:r>
        <w:rPr>
          <w:color w:val="231F20"/>
          <w:spacing w:val="19"/>
        </w:rPr>
        <w:t> </w:t>
      </w:r>
      <w:r>
        <w:rPr>
          <w:color w:val="231F20"/>
        </w:rPr>
        <w:t>gives</w:t>
      </w:r>
      <w:r>
        <w:rPr>
          <w:color w:val="231F20"/>
          <w:spacing w:val="19"/>
        </w:rPr>
        <w:t> </w:t>
      </w:r>
      <w:r>
        <w:rPr>
          <w:color w:val="231F20"/>
        </w:rPr>
        <w:t>rise</w:t>
      </w:r>
      <w:r>
        <w:rPr>
          <w:color w:val="231F20"/>
          <w:spacing w:val="19"/>
        </w:rPr>
        <w:t> </w:t>
      </w:r>
      <w:r>
        <w:rPr>
          <w:color w:val="231F20"/>
        </w:rPr>
        <w:t>to</w:t>
      </w:r>
      <w:r>
        <w:rPr>
          <w:color w:val="231F20"/>
          <w:spacing w:val="19"/>
        </w:rPr>
        <w:t> </w:t>
      </w:r>
      <w:r>
        <w:rPr>
          <w:color w:val="231F20"/>
        </w:rPr>
        <w:t>the</w:t>
      </w:r>
      <w:r>
        <w:rPr>
          <w:color w:val="231F20"/>
          <w:spacing w:val="19"/>
        </w:rPr>
        <w:t> </w:t>
      </w:r>
      <w:r>
        <w:rPr>
          <w:color w:val="231F20"/>
        </w:rPr>
        <w:t>most</w:t>
      </w:r>
      <w:r>
        <w:rPr>
          <w:color w:val="231F20"/>
          <w:spacing w:val="19"/>
        </w:rPr>
        <w:t> </w:t>
      </w:r>
      <w:r>
        <w:rPr>
          <w:color w:val="231F20"/>
        </w:rPr>
        <w:t>basic</w:t>
      </w:r>
      <w:r>
        <w:rPr>
          <w:color w:val="231F20"/>
          <w:spacing w:val="19"/>
        </w:rPr>
        <w:t> </w:t>
      </w:r>
      <w:r>
        <w:rPr>
          <w:color w:val="231F20"/>
        </w:rPr>
        <w:t>of</w:t>
      </w:r>
      <w:r>
        <w:rPr>
          <w:color w:val="231F20"/>
          <w:spacing w:val="19"/>
        </w:rPr>
        <w:t> </w:t>
      </w:r>
      <w:r>
        <w:rPr>
          <w:color w:val="231F20"/>
        </w:rPr>
        <w:t>distributions,</w:t>
      </w:r>
      <w:r>
        <w:rPr>
          <w:color w:val="231F20"/>
          <w:spacing w:val="19"/>
        </w:rPr>
        <w:t> </w:t>
      </w:r>
      <w:r>
        <w:rPr>
          <w:color w:val="231F20"/>
        </w:rPr>
        <w:t>called a</w:t>
      </w:r>
      <w:r>
        <w:rPr>
          <w:color w:val="231F20"/>
          <w:spacing w:val="71"/>
        </w:rPr>
        <w:t> </w:t>
      </w:r>
      <w:r>
        <w:rPr>
          <w:i/>
          <w:color w:val="231F20"/>
        </w:rPr>
        <w:t>binomial</w:t>
      </w:r>
      <w:r>
        <w:rPr>
          <w:i/>
          <w:color w:val="231F20"/>
          <w:spacing w:val="72"/>
        </w:rPr>
        <w:t> </w:t>
      </w:r>
      <w:r>
        <w:rPr>
          <w:i/>
          <w:color w:val="231F20"/>
        </w:rPr>
        <w:t>distribution.</w:t>
      </w:r>
      <w:r>
        <w:rPr>
          <w:i/>
          <w:color w:val="231F20"/>
          <w:spacing w:val="71"/>
        </w:rPr>
        <w:t> </w:t>
      </w:r>
      <w:r>
        <w:rPr>
          <w:color w:val="231F20"/>
        </w:rPr>
        <w:t>There</w:t>
      </w:r>
      <w:r>
        <w:rPr>
          <w:color w:val="231F20"/>
          <w:spacing w:val="72"/>
        </w:rPr>
        <w:t> </w:t>
      </w:r>
      <w:r>
        <w:rPr>
          <w:color w:val="231F20"/>
        </w:rPr>
        <w:t>are</w:t>
      </w:r>
      <w:r>
        <w:rPr>
          <w:color w:val="231F20"/>
          <w:spacing w:val="71"/>
        </w:rPr>
        <w:t> </w:t>
      </w:r>
      <w:r>
        <w:rPr>
          <w:color w:val="231F20"/>
        </w:rPr>
        <w:t>two</w:t>
      </w:r>
      <w:r>
        <w:rPr>
          <w:color w:val="231F20"/>
          <w:spacing w:val="72"/>
        </w:rPr>
        <w:t> </w:t>
      </w:r>
      <w:r>
        <w:rPr>
          <w:color w:val="231F20"/>
        </w:rPr>
        <w:t>outcomes</w:t>
      </w:r>
      <w:r>
        <w:rPr>
          <w:color w:val="231F20"/>
          <w:spacing w:val="71"/>
        </w:rPr>
        <w:t> </w:t>
      </w:r>
      <w:r>
        <w:rPr>
          <w:color w:val="231F20"/>
        </w:rPr>
        <w:t>in</w:t>
      </w:r>
      <w:r>
        <w:rPr>
          <w:color w:val="231F20"/>
          <w:spacing w:val="72"/>
        </w:rPr>
        <w:t> </w:t>
      </w:r>
      <w:r>
        <w:rPr>
          <w:color w:val="231F20"/>
        </w:rPr>
        <w:t>a</w:t>
      </w:r>
      <w:r>
        <w:rPr>
          <w:color w:val="231F20"/>
          <w:spacing w:val="71"/>
        </w:rPr>
        <w:t> </w:t>
      </w:r>
      <w:r>
        <w:rPr>
          <w:color w:val="231F20"/>
          <w:spacing w:val="-2"/>
        </w:rPr>
        <w:t>binomial</w:t>
      </w:r>
    </w:p>
    <w:p>
      <w:pPr>
        <w:spacing w:after="0" w:line="292" w:lineRule="auto"/>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distribution, success and failure, each with an equal likelihood of </w:t>
      </w:r>
      <w:r>
        <w:rPr>
          <w:color w:val="231F20"/>
          <w:spacing w:val="-2"/>
        </w:rPr>
        <w:t>occurring.</w:t>
      </w:r>
    </w:p>
    <w:p>
      <w:pPr>
        <w:pStyle w:val="BodyText"/>
        <w:spacing w:line="292" w:lineRule="auto"/>
        <w:ind w:left="919" w:right="666" w:firstLine="340"/>
        <w:jc w:val="both"/>
      </w:pPr>
      <w:r>
        <w:rPr>
          <w:color w:val="231F20"/>
        </w:rPr>
        <w:t>Seemingly arcane binomial distribution theories can be </w:t>
      </w:r>
      <w:r>
        <w:rPr>
          <w:color w:val="231F20"/>
        </w:rPr>
        <w:t>applied</w:t>
      </w:r>
      <w:r>
        <w:rPr>
          <w:color w:val="231F20"/>
          <w:spacing w:val="40"/>
        </w:rPr>
        <w:t> </w:t>
      </w:r>
      <w:r>
        <w:rPr>
          <w:color w:val="231F20"/>
        </w:rPr>
        <w:t>to such practical pursuits as stock market analysis. Success in a stock analysis would be a positive return on a stock in a month, and fail- ure would be a loss or break even. In a historical study of the old AT&amp;T</w:t>
      </w:r>
      <w:r>
        <w:rPr>
          <w:color w:val="231F20"/>
          <w:spacing w:val="31"/>
        </w:rPr>
        <w:t> </w:t>
      </w:r>
      <w:r>
        <w:rPr>
          <w:color w:val="231F20"/>
        </w:rPr>
        <w:t>share</w:t>
      </w:r>
      <w:r>
        <w:rPr>
          <w:color w:val="231F20"/>
          <w:spacing w:val="31"/>
        </w:rPr>
        <w:t> </w:t>
      </w:r>
      <w:r>
        <w:rPr>
          <w:color w:val="231F20"/>
        </w:rPr>
        <w:t>prices</w:t>
      </w:r>
      <w:r>
        <w:rPr>
          <w:color w:val="231F20"/>
          <w:spacing w:val="31"/>
        </w:rPr>
        <w:t> </w:t>
      </w:r>
      <w:r>
        <w:rPr>
          <w:color w:val="231F20"/>
        </w:rPr>
        <w:t>from</w:t>
      </w:r>
      <w:r>
        <w:rPr>
          <w:color w:val="231F20"/>
          <w:spacing w:val="31"/>
        </w:rPr>
        <w:t> </w:t>
      </w:r>
      <w:r>
        <w:rPr>
          <w:color w:val="231F20"/>
        </w:rPr>
        <w:t>1957</w:t>
      </w:r>
      <w:r>
        <w:rPr>
          <w:color w:val="231F20"/>
          <w:spacing w:val="31"/>
        </w:rPr>
        <w:t> </w:t>
      </w:r>
      <w:r>
        <w:rPr>
          <w:color w:val="231F20"/>
        </w:rPr>
        <w:t>to</w:t>
      </w:r>
      <w:r>
        <w:rPr>
          <w:color w:val="231F20"/>
          <w:spacing w:val="31"/>
        </w:rPr>
        <w:t> </w:t>
      </w:r>
      <w:r>
        <w:rPr>
          <w:color w:val="231F20"/>
        </w:rPr>
        <w:t>1977,</w:t>
      </w:r>
      <w:r>
        <w:rPr>
          <w:color w:val="231F20"/>
          <w:spacing w:val="31"/>
        </w:rPr>
        <w:t> </w:t>
      </w:r>
      <w:r>
        <w:rPr>
          <w:color w:val="231F20"/>
        </w:rPr>
        <w:t>each</w:t>
      </w:r>
      <w:r>
        <w:rPr>
          <w:color w:val="231F20"/>
          <w:spacing w:val="31"/>
        </w:rPr>
        <w:t> </w:t>
      </w:r>
      <w:r>
        <w:rPr>
          <w:color w:val="231F20"/>
        </w:rPr>
        <w:t>month</w:t>
      </w:r>
      <w:r>
        <w:rPr>
          <w:color w:val="231F20"/>
          <w:spacing w:val="31"/>
        </w:rPr>
        <w:t> </w:t>
      </w:r>
      <w:r>
        <w:rPr>
          <w:color w:val="231F20"/>
        </w:rPr>
        <w:t>was</w:t>
      </w:r>
      <w:r>
        <w:rPr>
          <w:color w:val="231F20"/>
          <w:spacing w:val="31"/>
        </w:rPr>
        <w:t> </w:t>
      </w:r>
      <w:r>
        <w:rPr>
          <w:color w:val="231F20"/>
        </w:rPr>
        <w:t>examined to determine the rate of positive returns. It was found that 56.7 per- cent of the time there was a success.</w:t>
      </w:r>
    </w:p>
    <w:p>
      <w:pPr>
        <w:pStyle w:val="BodyText"/>
        <w:spacing w:line="292" w:lineRule="auto"/>
        <w:ind w:left="919" w:right="666" w:firstLine="340"/>
        <w:jc w:val="both"/>
      </w:pPr>
      <w:r>
        <w:rPr>
          <w:color w:val="231F20"/>
        </w:rPr>
        <w:t>The months studied were grouped into periods of three </w:t>
      </w:r>
      <w:r>
        <w:rPr>
          <w:color w:val="231F20"/>
        </w:rPr>
        <w:t>months each (quarters). Researchers noted that the frequency of actual suc- cesses was as follows:</w:t>
      </w:r>
    </w:p>
    <w:p>
      <w:pPr>
        <w:pStyle w:val="BodyText"/>
        <w:spacing w:before="7"/>
        <w:rPr>
          <w:sz w:val="26"/>
        </w:rPr>
      </w:pPr>
    </w:p>
    <w:tbl>
      <w:tblPr>
        <w:tblW w:w="0" w:type="auto"/>
        <w:jc w:val="left"/>
        <w:tblInd w:w="1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5"/>
        <w:gridCol w:w="3340"/>
      </w:tblGrid>
      <w:tr>
        <w:trPr>
          <w:trHeight w:val="255" w:hRule="atLeast"/>
        </w:trPr>
        <w:tc>
          <w:tcPr>
            <w:tcW w:w="2285" w:type="dxa"/>
          </w:tcPr>
          <w:p>
            <w:pPr>
              <w:pStyle w:val="TableParagraph"/>
              <w:spacing w:line="227" w:lineRule="exact" w:before="0"/>
              <w:ind w:left="103" w:right="1035"/>
              <w:rPr>
                <w:b/>
                <w:i/>
                <w:sz w:val="20"/>
              </w:rPr>
            </w:pPr>
            <w:r>
              <w:rPr>
                <w:b/>
                <w:i/>
                <w:color w:val="231F20"/>
                <w:w w:val="95"/>
                <w:sz w:val="20"/>
              </w:rPr>
              <w:t>#</w:t>
            </w:r>
            <w:r>
              <w:rPr>
                <w:b/>
                <w:i/>
                <w:color w:val="231F20"/>
                <w:spacing w:val="-8"/>
                <w:w w:val="95"/>
                <w:sz w:val="20"/>
              </w:rPr>
              <w:t> </w:t>
            </w:r>
            <w:r>
              <w:rPr>
                <w:b/>
                <w:i/>
                <w:color w:val="231F20"/>
                <w:spacing w:val="-2"/>
                <w:sz w:val="20"/>
              </w:rPr>
              <w:t>SUCCESSES</w:t>
            </w:r>
          </w:p>
        </w:tc>
        <w:tc>
          <w:tcPr>
            <w:tcW w:w="3340" w:type="dxa"/>
          </w:tcPr>
          <w:p>
            <w:pPr>
              <w:pStyle w:val="TableParagraph"/>
              <w:spacing w:line="227" w:lineRule="exact" w:before="0"/>
              <w:ind w:left="935"/>
              <w:rPr>
                <w:b/>
                <w:i/>
                <w:sz w:val="20"/>
              </w:rPr>
            </w:pPr>
            <w:r>
              <w:rPr>
                <w:b/>
                <w:i/>
                <w:color w:val="231F20"/>
                <w:w w:val="110"/>
                <w:sz w:val="20"/>
              </w:rPr>
              <w:t>FREQUENCY</w:t>
            </w:r>
            <w:r>
              <w:rPr>
                <w:b/>
                <w:i/>
                <w:color w:val="231F20"/>
                <w:spacing w:val="-11"/>
                <w:w w:val="110"/>
                <w:sz w:val="20"/>
              </w:rPr>
              <w:t> </w:t>
            </w:r>
            <w:r>
              <w:rPr>
                <w:b/>
                <w:i/>
                <w:color w:val="231F20"/>
                <w:spacing w:val="-2"/>
                <w:w w:val="110"/>
                <w:sz w:val="20"/>
              </w:rPr>
              <w:t>OCCURRED</w:t>
            </w:r>
          </w:p>
        </w:tc>
      </w:tr>
      <w:tr>
        <w:trPr>
          <w:trHeight w:val="300" w:hRule="atLeast"/>
        </w:trPr>
        <w:tc>
          <w:tcPr>
            <w:tcW w:w="2285" w:type="dxa"/>
          </w:tcPr>
          <w:p>
            <w:pPr>
              <w:pStyle w:val="TableParagraph"/>
              <w:spacing w:before="27"/>
              <w:ind w:right="904"/>
              <w:rPr>
                <w:sz w:val="21"/>
              </w:rPr>
            </w:pPr>
            <w:r>
              <w:rPr>
                <w:color w:val="231F20"/>
                <w:w w:val="101"/>
                <w:sz w:val="21"/>
              </w:rPr>
              <w:t>0</w:t>
            </w:r>
          </w:p>
        </w:tc>
        <w:tc>
          <w:tcPr>
            <w:tcW w:w="3340" w:type="dxa"/>
          </w:tcPr>
          <w:p>
            <w:pPr>
              <w:pStyle w:val="TableParagraph"/>
              <w:spacing w:before="27"/>
              <w:ind w:left="1044"/>
              <w:rPr>
                <w:sz w:val="21"/>
              </w:rPr>
            </w:pPr>
            <w:r>
              <w:rPr>
                <w:color w:val="231F20"/>
                <w:spacing w:val="-4"/>
                <w:w w:val="105"/>
                <w:sz w:val="21"/>
              </w:rPr>
              <w:t>.088</w:t>
            </w:r>
          </w:p>
        </w:tc>
      </w:tr>
      <w:tr>
        <w:trPr>
          <w:trHeight w:val="300" w:hRule="atLeast"/>
        </w:trPr>
        <w:tc>
          <w:tcPr>
            <w:tcW w:w="2285" w:type="dxa"/>
          </w:tcPr>
          <w:p>
            <w:pPr>
              <w:pStyle w:val="TableParagraph"/>
              <w:spacing w:before="26"/>
              <w:ind w:right="904"/>
              <w:rPr>
                <w:sz w:val="21"/>
              </w:rPr>
            </w:pPr>
            <w:r>
              <w:rPr>
                <w:color w:val="231F20"/>
                <w:w w:val="101"/>
                <w:sz w:val="21"/>
              </w:rPr>
              <w:t>1</w:t>
            </w:r>
          </w:p>
        </w:tc>
        <w:tc>
          <w:tcPr>
            <w:tcW w:w="3340" w:type="dxa"/>
          </w:tcPr>
          <w:p>
            <w:pPr>
              <w:pStyle w:val="TableParagraph"/>
              <w:spacing w:before="26"/>
              <w:ind w:left="1044"/>
              <w:rPr>
                <w:sz w:val="21"/>
              </w:rPr>
            </w:pPr>
            <w:r>
              <w:rPr>
                <w:color w:val="231F20"/>
                <w:spacing w:val="-4"/>
                <w:w w:val="105"/>
                <w:sz w:val="21"/>
              </w:rPr>
              <w:t>.325</w:t>
            </w:r>
          </w:p>
        </w:tc>
      </w:tr>
      <w:tr>
        <w:trPr>
          <w:trHeight w:val="299" w:hRule="atLeast"/>
        </w:trPr>
        <w:tc>
          <w:tcPr>
            <w:tcW w:w="2285" w:type="dxa"/>
          </w:tcPr>
          <w:p>
            <w:pPr>
              <w:pStyle w:val="TableParagraph"/>
              <w:spacing w:before="26"/>
              <w:ind w:right="904"/>
              <w:rPr>
                <w:sz w:val="21"/>
              </w:rPr>
            </w:pPr>
            <w:r>
              <w:rPr>
                <w:color w:val="231F20"/>
                <w:w w:val="101"/>
                <w:sz w:val="21"/>
              </w:rPr>
              <w:t>2</w:t>
            </w:r>
          </w:p>
        </w:tc>
        <w:tc>
          <w:tcPr>
            <w:tcW w:w="3340" w:type="dxa"/>
          </w:tcPr>
          <w:p>
            <w:pPr>
              <w:pStyle w:val="TableParagraph"/>
              <w:spacing w:before="26"/>
              <w:ind w:left="1044"/>
              <w:rPr>
                <w:sz w:val="21"/>
              </w:rPr>
            </w:pPr>
            <w:r>
              <w:rPr>
                <w:color w:val="231F20"/>
                <w:spacing w:val="-4"/>
                <w:w w:val="105"/>
                <w:sz w:val="21"/>
              </w:rPr>
              <w:t>.387</w:t>
            </w:r>
          </w:p>
        </w:tc>
      </w:tr>
      <w:tr>
        <w:trPr>
          <w:trHeight w:val="310" w:hRule="atLeast"/>
        </w:trPr>
        <w:tc>
          <w:tcPr>
            <w:tcW w:w="2285" w:type="dxa"/>
          </w:tcPr>
          <w:p>
            <w:pPr>
              <w:pStyle w:val="TableParagraph"/>
              <w:spacing w:before="26"/>
              <w:ind w:right="904"/>
              <w:rPr>
                <w:sz w:val="21"/>
              </w:rPr>
            </w:pPr>
            <w:r>
              <w:rPr>
                <w:color w:val="231F20"/>
                <w:w w:val="101"/>
                <w:sz w:val="21"/>
              </w:rPr>
              <w:t>3</w:t>
            </w:r>
          </w:p>
        </w:tc>
        <w:tc>
          <w:tcPr>
            <w:tcW w:w="3340" w:type="dxa"/>
          </w:tcPr>
          <w:p>
            <w:pPr>
              <w:pStyle w:val="TableParagraph"/>
              <w:spacing w:before="26"/>
              <w:ind w:left="934"/>
              <w:rPr>
                <w:sz w:val="21"/>
              </w:rPr>
            </w:pPr>
            <w:r>
              <w:rPr>
                <w:color w:val="231F20"/>
                <w:spacing w:val="60"/>
                <w:w w:val="105"/>
                <w:sz w:val="21"/>
                <w:u w:val="single" w:color="231F20"/>
              </w:rPr>
              <w:t> </w:t>
            </w:r>
            <w:r>
              <w:rPr>
                <w:color w:val="231F20"/>
                <w:spacing w:val="-4"/>
                <w:w w:val="105"/>
                <w:sz w:val="21"/>
                <w:u w:val="single" w:color="231F20"/>
              </w:rPr>
              <w:t>.200</w:t>
            </w:r>
          </w:p>
        </w:tc>
      </w:tr>
      <w:tr>
        <w:trPr>
          <w:trHeight w:val="264" w:hRule="atLeast"/>
        </w:trPr>
        <w:tc>
          <w:tcPr>
            <w:tcW w:w="2285" w:type="dxa"/>
          </w:tcPr>
          <w:p>
            <w:pPr>
              <w:pStyle w:val="TableParagraph"/>
              <w:spacing w:before="0"/>
              <w:jc w:val="left"/>
              <w:rPr>
                <w:rFonts w:ascii="Times New Roman"/>
                <w:sz w:val="18"/>
              </w:rPr>
            </w:pPr>
          </w:p>
        </w:tc>
        <w:tc>
          <w:tcPr>
            <w:tcW w:w="3340" w:type="dxa"/>
          </w:tcPr>
          <w:p>
            <w:pPr>
              <w:pStyle w:val="TableParagraph"/>
              <w:spacing w:line="228" w:lineRule="exact" w:before="16"/>
              <w:ind w:left="926"/>
              <w:rPr>
                <w:sz w:val="21"/>
              </w:rPr>
            </w:pPr>
            <w:r>
              <w:rPr>
                <w:color w:val="231F20"/>
                <w:spacing w:val="-4"/>
                <w:w w:val="105"/>
                <w:sz w:val="21"/>
              </w:rPr>
              <w:t>1.000</w:t>
            </w:r>
          </w:p>
        </w:tc>
      </w:tr>
    </w:tbl>
    <w:p>
      <w:pPr>
        <w:pStyle w:val="BodyText"/>
        <w:spacing w:before="3"/>
        <w:rPr>
          <w:sz w:val="30"/>
        </w:rPr>
      </w:pPr>
    </w:p>
    <w:p>
      <w:pPr>
        <w:pStyle w:val="BodyText"/>
        <w:spacing w:line="292" w:lineRule="auto"/>
        <w:ind w:left="920" w:right="663" w:firstLine="340"/>
        <w:jc w:val="both"/>
      </w:pPr>
      <w:r>
        <w:rPr>
          <w:color w:val="231F20"/>
        </w:rPr>
        <w:t>A coin-flipping mathematician created tables of numbers to</w:t>
      </w:r>
      <w:r>
        <w:rPr>
          <w:color w:val="231F20"/>
          <w:spacing w:val="80"/>
          <w:w w:val="150"/>
        </w:rPr>
        <w:t> </w:t>
      </w:r>
      <w:r>
        <w:rPr>
          <w:color w:val="231F20"/>
        </w:rPr>
        <w:t>solve all binomial distribution problems. In the AT&amp;T case, the </w:t>
      </w:r>
      <w:r>
        <w:rPr>
          <w:color w:val="231F20"/>
        </w:rPr>
        <w:t>in- formation needed to use a binomial table is:</w:t>
      </w:r>
    </w:p>
    <w:p>
      <w:pPr>
        <w:pStyle w:val="BodyText"/>
        <w:spacing w:before="6"/>
        <w:rPr>
          <w:sz w:val="24"/>
        </w:rPr>
      </w:pPr>
    </w:p>
    <w:p>
      <w:pPr>
        <w:pStyle w:val="BodyText"/>
        <w:ind w:left="1839"/>
      </w:pPr>
      <w:r>
        <w:rPr>
          <w:color w:val="231F20"/>
        </w:rPr>
        <w:t>r</w:t>
      </w:r>
      <w:r>
        <w:rPr>
          <w:color w:val="231F20"/>
          <w:spacing w:val="6"/>
        </w:rPr>
        <w:t> </w:t>
      </w:r>
      <w:r>
        <w:rPr>
          <w:rFonts w:ascii="Symbol" w:hAnsi="Symbol"/>
          <w:color w:val="231F20"/>
        </w:rPr>
        <w:t></w:t>
      </w:r>
      <w:r>
        <w:rPr>
          <w:rFonts w:ascii="Times New Roman" w:hAnsi="Times New Roman"/>
          <w:color w:val="231F20"/>
          <w:spacing w:val="1"/>
        </w:rPr>
        <w:t> </w:t>
      </w:r>
      <w:r>
        <w:rPr>
          <w:color w:val="231F20"/>
        </w:rPr>
        <w:t>number</w:t>
      </w:r>
      <w:r>
        <w:rPr>
          <w:color w:val="231F20"/>
          <w:spacing w:val="7"/>
        </w:rPr>
        <w:t> </w:t>
      </w:r>
      <w:r>
        <w:rPr>
          <w:color w:val="231F20"/>
        </w:rPr>
        <w:t>of</w:t>
      </w:r>
      <w:r>
        <w:rPr>
          <w:color w:val="231F20"/>
          <w:spacing w:val="7"/>
        </w:rPr>
        <w:t> </w:t>
      </w:r>
      <w:r>
        <w:rPr>
          <w:color w:val="231F20"/>
        </w:rPr>
        <w:t>successes</w:t>
      </w:r>
      <w:r>
        <w:rPr>
          <w:color w:val="231F20"/>
          <w:spacing w:val="7"/>
        </w:rPr>
        <w:t> </w:t>
      </w:r>
      <w:r>
        <w:rPr>
          <w:color w:val="231F20"/>
        </w:rPr>
        <w:t>possible</w:t>
      </w:r>
      <w:r>
        <w:rPr>
          <w:color w:val="231F20"/>
          <w:spacing w:val="6"/>
        </w:rPr>
        <w:t> </w:t>
      </w:r>
      <w:r>
        <w:rPr>
          <w:rFonts w:ascii="Symbol" w:hAnsi="Symbol"/>
          <w:color w:val="231F20"/>
        </w:rPr>
        <w:t></w:t>
      </w:r>
      <w:r>
        <w:rPr>
          <w:rFonts w:ascii="Times New Roman" w:hAnsi="Times New Roman"/>
          <w:color w:val="231F20"/>
          <w:spacing w:val="1"/>
        </w:rPr>
        <w:t> </w:t>
      </w:r>
      <w:r>
        <w:rPr>
          <w:color w:val="231F20"/>
        </w:rPr>
        <w:t>0</w:t>
      </w:r>
      <w:r>
        <w:rPr>
          <w:color w:val="231F20"/>
          <w:spacing w:val="7"/>
        </w:rPr>
        <w:t> </w:t>
      </w:r>
      <w:r>
        <w:rPr>
          <w:color w:val="231F20"/>
        </w:rPr>
        <w:t>to</w:t>
      </w:r>
      <w:r>
        <w:rPr>
          <w:color w:val="231F20"/>
          <w:spacing w:val="7"/>
        </w:rPr>
        <w:t> </w:t>
      </w:r>
      <w:r>
        <w:rPr>
          <w:color w:val="231F20"/>
          <w:spacing w:val="-10"/>
        </w:rPr>
        <w:t>3</w:t>
      </w:r>
    </w:p>
    <w:p>
      <w:pPr>
        <w:pStyle w:val="BodyText"/>
        <w:spacing w:line="278" w:lineRule="auto" w:before="43"/>
        <w:ind w:left="1840" w:right="1592"/>
      </w:pPr>
      <w:r>
        <w:rPr>
          <w:color w:val="231F20"/>
        </w:rPr>
        <w:t>n </w:t>
      </w:r>
      <w:r>
        <w:rPr>
          <w:rFonts w:ascii="Symbol" w:hAnsi="Symbol"/>
          <w:color w:val="231F20"/>
        </w:rPr>
        <w:t></w:t>
      </w:r>
      <w:r>
        <w:rPr>
          <w:rFonts w:ascii="Times New Roman" w:hAnsi="Times New Roman"/>
          <w:color w:val="231F20"/>
        </w:rPr>
        <w:t> </w:t>
      </w:r>
      <w:r>
        <w:rPr>
          <w:color w:val="231F20"/>
        </w:rPr>
        <w:t>number of trials </w:t>
      </w:r>
      <w:r>
        <w:rPr>
          <w:rFonts w:ascii="Symbol" w:hAnsi="Symbol"/>
          <w:color w:val="231F20"/>
        </w:rPr>
        <w:t></w:t>
      </w:r>
      <w:r>
        <w:rPr>
          <w:rFonts w:ascii="Times New Roman" w:hAnsi="Times New Roman"/>
          <w:color w:val="231F20"/>
        </w:rPr>
        <w:t> </w:t>
      </w:r>
      <w:r>
        <w:rPr>
          <w:color w:val="231F20"/>
        </w:rPr>
        <w:t>3 (3 months in a quarter)</w:t>
      </w:r>
      <w:r>
        <w:rPr>
          <w:color w:val="231F20"/>
          <w:spacing w:val="40"/>
        </w:rPr>
        <w:t> </w:t>
      </w:r>
      <w:r>
        <w:rPr>
          <w:color w:val="231F20"/>
        </w:rPr>
        <w:t>p </w:t>
      </w:r>
      <w:r>
        <w:rPr>
          <w:rFonts w:ascii="Symbol" w:hAnsi="Symbol"/>
          <w:color w:val="231F20"/>
        </w:rPr>
        <w:t></w:t>
      </w:r>
      <w:r>
        <w:rPr>
          <w:rFonts w:ascii="Times New Roman" w:hAnsi="Times New Roman"/>
          <w:color w:val="231F20"/>
        </w:rPr>
        <w:t> </w:t>
      </w:r>
      <w:r>
        <w:rPr>
          <w:color w:val="231F20"/>
        </w:rPr>
        <w:t>probability of success </w:t>
      </w:r>
      <w:r>
        <w:rPr>
          <w:rFonts w:ascii="Symbol" w:hAnsi="Symbol"/>
          <w:color w:val="231F20"/>
        </w:rPr>
        <w:t></w:t>
      </w:r>
      <w:r>
        <w:rPr>
          <w:rFonts w:ascii="Times New Roman" w:hAnsi="Times New Roman"/>
          <w:color w:val="231F20"/>
        </w:rPr>
        <w:t> </w:t>
      </w:r>
      <w:r>
        <w:rPr>
          <w:color w:val="231F20"/>
        </w:rPr>
        <w:t>56.7%</w:t>
      </w:r>
    </w:p>
    <w:p>
      <w:pPr>
        <w:pStyle w:val="BodyText"/>
        <w:spacing w:before="8"/>
        <w:rPr>
          <w:sz w:val="26"/>
        </w:rPr>
      </w:pPr>
    </w:p>
    <w:p>
      <w:pPr>
        <w:pStyle w:val="BodyText"/>
        <w:spacing w:line="292" w:lineRule="auto" w:before="1"/>
        <w:ind w:left="920" w:right="667" w:firstLine="340"/>
        <w:jc w:val="both"/>
      </w:pPr>
      <w:r>
        <w:rPr>
          <w:color w:val="231F20"/>
        </w:rPr>
        <w:t>Using this information, a binomial table predicts that the </w:t>
      </w:r>
      <w:r>
        <w:rPr>
          <w:i/>
          <w:color w:val="231F20"/>
        </w:rPr>
        <w:t>ex-</w:t>
      </w:r>
      <w:r>
        <w:rPr>
          <w:i/>
          <w:color w:val="231F20"/>
        </w:rPr>
        <w:t> pected </w:t>
      </w:r>
      <w:r>
        <w:rPr>
          <w:color w:val="231F20"/>
        </w:rPr>
        <w:t>outcomes should be:</w:t>
      </w:r>
    </w:p>
    <w:p>
      <w:pPr>
        <w:pStyle w:val="BodyText"/>
        <w:spacing w:before="7"/>
        <w:rPr>
          <w:sz w:val="28"/>
        </w:rPr>
      </w:pPr>
    </w:p>
    <w:tbl>
      <w:tblPr>
        <w:tblW w:w="0" w:type="auto"/>
        <w:jc w:val="left"/>
        <w:tblInd w:w="1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85"/>
        <w:gridCol w:w="3307"/>
      </w:tblGrid>
      <w:tr>
        <w:trPr>
          <w:trHeight w:val="255" w:hRule="atLeast"/>
        </w:trPr>
        <w:tc>
          <w:tcPr>
            <w:tcW w:w="2285" w:type="dxa"/>
          </w:tcPr>
          <w:p>
            <w:pPr>
              <w:pStyle w:val="TableParagraph"/>
              <w:spacing w:line="227" w:lineRule="exact" w:before="0"/>
              <w:ind w:left="103" w:right="1035"/>
              <w:rPr>
                <w:b/>
                <w:i/>
                <w:sz w:val="20"/>
              </w:rPr>
            </w:pPr>
            <w:r>
              <w:rPr>
                <w:b/>
                <w:i/>
                <w:color w:val="231F20"/>
                <w:w w:val="95"/>
                <w:sz w:val="20"/>
              </w:rPr>
              <w:t>#</w:t>
            </w:r>
            <w:r>
              <w:rPr>
                <w:b/>
                <w:i/>
                <w:color w:val="231F20"/>
                <w:spacing w:val="-8"/>
                <w:w w:val="95"/>
                <w:sz w:val="20"/>
              </w:rPr>
              <w:t> </w:t>
            </w:r>
            <w:r>
              <w:rPr>
                <w:b/>
                <w:i/>
                <w:color w:val="231F20"/>
                <w:spacing w:val="-2"/>
                <w:sz w:val="20"/>
              </w:rPr>
              <w:t>SUCCESSES</w:t>
            </w:r>
          </w:p>
        </w:tc>
        <w:tc>
          <w:tcPr>
            <w:tcW w:w="3307" w:type="dxa"/>
          </w:tcPr>
          <w:p>
            <w:pPr>
              <w:pStyle w:val="TableParagraph"/>
              <w:spacing w:line="227" w:lineRule="exact" w:before="0"/>
              <w:ind w:left="985"/>
              <w:jc w:val="left"/>
              <w:rPr>
                <w:b/>
                <w:i/>
                <w:sz w:val="20"/>
              </w:rPr>
            </w:pPr>
            <w:r>
              <w:rPr>
                <w:b/>
                <w:i/>
                <w:color w:val="231F20"/>
                <w:w w:val="110"/>
                <w:sz w:val="20"/>
              </w:rPr>
              <w:t>FREQUENCY</w:t>
            </w:r>
            <w:r>
              <w:rPr>
                <w:b/>
                <w:i/>
                <w:color w:val="231F20"/>
                <w:spacing w:val="-11"/>
                <w:w w:val="110"/>
                <w:sz w:val="20"/>
              </w:rPr>
              <w:t> </w:t>
            </w:r>
            <w:r>
              <w:rPr>
                <w:b/>
                <w:i/>
                <w:color w:val="231F20"/>
                <w:spacing w:val="-2"/>
                <w:w w:val="110"/>
                <w:sz w:val="20"/>
              </w:rPr>
              <w:t>EXPECTED</w:t>
            </w:r>
          </w:p>
        </w:tc>
      </w:tr>
      <w:tr>
        <w:trPr>
          <w:trHeight w:val="300" w:hRule="atLeast"/>
        </w:trPr>
        <w:tc>
          <w:tcPr>
            <w:tcW w:w="2285" w:type="dxa"/>
          </w:tcPr>
          <w:p>
            <w:pPr>
              <w:pStyle w:val="TableParagraph"/>
              <w:spacing w:before="27"/>
              <w:ind w:right="904"/>
              <w:rPr>
                <w:sz w:val="21"/>
              </w:rPr>
            </w:pPr>
            <w:r>
              <w:rPr>
                <w:color w:val="231F20"/>
                <w:w w:val="101"/>
                <w:sz w:val="21"/>
              </w:rPr>
              <w:t>0</w:t>
            </w:r>
          </w:p>
        </w:tc>
        <w:tc>
          <w:tcPr>
            <w:tcW w:w="3307" w:type="dxa"/>
          </w:tcPr>
          <w:p>
            <w:pPr>
              <w:pStyle w:val="TableParagraph"/>
              <w:spacing w:before="27"/>
              <w:ind w:left="1984"/>
              <w:jc w:val="left"/>
              <w:rPr>
                <w:sz w:val="21"/>
              </w:rPr>
            </w:pPr>
            <w:r>
              <w:rPr>
                <w:color w:val="231F20"/>
                <w:spacing w:val="-4"/>
                <w:w w:val="105"/>
                <w:sz w:val="21"/>
              </w:rPr>
              <w:t>.082</w:t>
            </w:r>
          </w:p>
        </w:tc>
      </w:tr>
      <w:tr>
        <w:trPr>
          <w:trHeight w:val="300" w:hRule="atLeast"/>
        </w:trPr>
        <w:tc>
          <w:tcPr>
            <w:tcW w:w="2285" w:type="dxa"/>
          </w:tcPr>
          <w:p>
            <w:pPr>
              <w:pStyle w:val="TableParagraph"/>
              <w:spacing w:before="26"/>
              <w:ind w:right="904"/>
              <w:rPr>
                <w:sz w:val="21"/>
              </w:rPr>
            </w:pPr>
            <w:r>
              <w:rPr>
                <w:color w:val="231F20"/>
                <w:w w:val="101"/>
                <w:sz w:val="21"/>
              </w:rPr>
              <w:t>1</w:t>
            </w:r>
          </w:p>
        </w:tc>
        <w:tc>
          <w:tcPr>
            <w:tcW w:w="3307" w:type="dxa"/>
          </w:tcPr>
          <w:p>
            <w:pPr>
              <w:pStyle w:val="TableParagraph"/>
              <w:spacing w:before="26"/>
              <w:ind w:left="1984"/>
              <w:jc w:val="left"/>
              <w:rPr>
                <w:sz w:val="21"/>
              </w:rPr>
            </w:pPr>
            <w:r>
              <w:rPr>
                <w:color w:val="231F20"/>
                <w:spacing w:val="-4"/>
                <w:w w:val="105"/>
                <w:sz w:val="21"/>
              </w:rPr>
              <w:t>.318</w:t>
            </w:r>
          </w:p>
        </w:tc>
      </w:tr>
      <w:tr>
        <w:trPr>
          <w:trHeight w:val="299" w:hRule="atLeast"/>
        </w:trPr>
        <w:tc>
          <w:tcPr>
            <w:tcW w:w="2285" w:type="dxa"/>
          </w:tcPr>
          <w:p>
            <w:pPr>
              <w:pStyle w:val="TableParagraph"/>
              <w:spacing w:before="26"/>
              <w:ind w:right="904"/>
              <w:rPr>
                <w:sz w:val="21"/>
              </w:rPr>
            </w:pPr>
            <w:r>
              <w:rPr>
                <w:color w:val="231F20"/>
                <w:w w:val="101"/>
                <w:sz w:val="21"/>
              </w:rPr>
              <w:t>2</w:t>
            </w:r>
          </w:p>
        </w:tc>
        <w:tc>
          <w:tcPr>
            <w:tcW w:w="3307" w:type="dxa"/>
          </w:tcPr>
          <w:p>
            <w:pPr>
              <w:pStyle w:val="TableParagraph"/>
              <w:spacing w:before="26"/>
              <w:ind w:left="1984"/>
              <w:jc w:val="left"/>
              <w:rPr>
                <w:sz w:val="21"/>
              </w:rPr>
            </w:pPr>
            <w:r>
              <w:rPr>
                <w:color w:val="231F20"/>
                <w:spacing w:val="-4"/>
                <w:w w:val="105"/>
                <w:sz w:val="21"/>
              </w:rPr>
              <w:t>.416</w:t>
            </w:r>
          </w:p>
        </w:tc>
      </w:tr>
      <w:tr>
        <w:trPr>
          <w:trHeight w:val="274" w:hRule="atLeast"/>
        </w:trPr>
        <w:tc>
          <w:tcPr>
            <w:tcW w:w="2285" w:type="dxa"/>
          </w:tcPr>
          <w:p>
            <w:pPr>
              <w:pStyle w:val="TableParagraph"/>
              <w:spacing w:line="228" w:lineRule="exact" w:before="26"/>
              <w:ind w:right="904"/>
              <w:rPr>
                <w:sz w:val="21"/>
              </w:rPr>
            </w:pPr>
            <w:r>
              <w:rPr>
                <w:color w:val="231F20"/>
                <w:w w:val="101"/>
                <w:sz w:val="21"/>
              </w:rPr>
              <w:t>3</w:t>
            </w:r>
          </w:p>
        </w:tc>
        <w:tc>
          <w:tcPr>
            <w:tcW w:w="3307" w:type="dxa"/>
          </w:tcPr>
          <w:p>
            <w:pPr>
              <w:pStyle w:val="TableParagraph"/>
              <w:spacing w:line="228" w:lineRule="exact" w:before="26"/>
              <w:ind w:left="1875"/>
              <w:jc w:val="left"/>
              <w:rPr>
                <w:sz w:val="21"/>
              </w:rPr>
            </w:pPr>
            <w:r>
              <w:rPr>
                <w:color w:val="231F20"/>
                <w:spacing w:val="60"/>
                <w:w w:val="105"/>
                <w:sz w:val="21"/>
                <w:u w:val="single" w:color="231F20"/>
              </w:rPr>
              <w:t> </w:t>
            </w:r>
            <w:r>
              <w:rPr>
                <w:color w:val="231F20"/>
                <w:spacing w:val="-4"/>
                <w:w w:val="105"/>
                <w:sz w:val="21"/>
                <w:u w:val="single" w:color="231F20"/>
              </w:rPr>
              <w:t>.184</w:t>
            </w:r>
          </w:p>
        </w:tc>
      </w:tr>
    </w:tbl>
    <w:p>
      <w:pPr>
        <w:spacing w:after="0" w:line="228" w:lineRule="exact"/>
        <w:jc w:val="left"/>
        <w:rPr>
          <w:sz w:val="21"/>
        </w:rPr>
        <w:sectPr>
          <w:pgSz w:w="8640" w:h="12960"/>
          <w:pgMar w:header="734" w:footer="0" w:top="920" w:bottom="280" w:left="340" w:right="500"/>
        </w:sectPr>
      </w:pPr>
    </w:p>
    <w:p>
      <w:pPr>
        <w:pStyle w:val="BodyText"/>
        <w:spacing w:before="10"/>
        <w:rPr>
          <w:sz w:val="19"/>
        </w:rPr>
      </w:pPr>
    </w:p>
    <w:p>
      <w:pPr>
        <w:spacing w:before="96"/>
        <w:ind w:left="292" w:right="219" w:firstLine="0"/>
        <w:jc w:val="center"/>
        <w:rPr>
          <w:rFonts w:ascii="Arial"/>
          <w:sz w:val="14"/>
        </w:rPr>
      </w:pPr>
      <w:r>
        <w:rPr>
          <w:rFonts w:ascii="Arial"/>
          <w:color w:val="231F20"/>
          <w:w w:val="105"/>
          <w:sz w:val="14"/>
        </w:rPr>
        <w:t>PROBABILITY</w:t>
      </w:r>
      <w:r>
        <w:rPr>
          <w:rFonts w:ascii="Arial"/>
          <w:color w:val="231F20"/>
          <w:spacing w:val="34"/>
          <w:w w:val="105"/>
          <w:sz w:val="14"/>
        </w:rPr>
        <w:t> </w:t>
      </w:r>
      <w:r>
        <w:rPr>
          <w:rFonts w:ascii="Arial"/>
          <w:color w:val="231F20"/>
          <w:w w:val="105"/>
          <w:sz w:val="14"/>
        </w:rPr>
        <w:t>MASS</w:t>
      </w:r>
      <w:r>
        <w:rPr>
          <w:rFonts w:ascii="Arial"/>
          <w:color w:val="231F20"/>
          <w:spacing w:val="34"/>
          <w:w w:val="105"/>
          <w:sz w:val="14"/>
        </w:rPr>
        <w:t> </w:t>
      </w:r>
      <w:r>
        <w:rPr>
          <w:rFonts w:ascii="Arial"/>
          <w:color w:val="231F20"/>
          <w:w w:val="105"/>
          <w:sz w:val="14"/>
        </w:rPr>
        <w:t>FUNCTION</w:t>
      </w:r>
      <w:r>
        <w:rPr>
          <w:rFonts w:ascii="Arial"/>
          <w:color w:val="231F20"/>
          <w:spacing w:val="34"/>
          <w:w w:val="105"/>
          <w:sz w:val="14"/>
        </w:rPr>
        <w:t> </w:t>
      </w:r>
      <w:r>
        <w:rPr>
          <w:rFonts w:ascii="Arial"/>
          <w:color w:val="231F20"/>
          <w:w w:val="105"/>
          <w:sz w:val="14"/>
        </w:rPr>
        <w:t>OF</w:t>
      </w:r>
      <w:r>
        <w:rPr>
          <w:rFonts w:ascii="Arial"/>
          <w:color w:val="231F20"/>
          <w:spacing w:val="34"/>
          <w:w w:val="105"/>
          <w:sz w:val="14"/>
        </w:rPr>
        <w:t> </w:t>
      </w:r>
      <w:r>
        <w:rPr>
          <w:rFonts w:ascii="Arial"/>
          <w:color w:val="231F20"/>
          <w:w w:val="105"/>
          <w:sz w:val="14"/>
        </w:rPr>
        <w:t>RAIN</w:t>
      </w:r>
      <w:r>
        <w:rPr>
          <w:rFonts w:ascii="Arial"/>
          <w:color w:val="231F20"/>
          <w:spacing w:val="34"/>
          <w:w w:val="105"/>
          <w:sz w:val="14"/>
        </w:rPr>
        <w:t> </w:t>
      </w:r>
      <w:r>
        <w:rPr>
          <w:rFonts w:ascii="Arial"/>
          <w:color w:val="231F20"/>
          <w:spacing w:val="-2"/>
          <w:w w:val="105"/>
          <w:sz w:val="14"/>
        </w:rPr>
        <w:t>MEASURES</w:t>
      </w:r>
    </w:p>
    <w:p>
      <w:pPr>
        <w:spacing w:line="357" w:lineRule="auto" w:before="79"/>
        <w:ind w:left="3040" w:right="2968" w:firstLine="0"/>
        <w:jc w:val="center"/>
        <w:rPr>
          <w:rFonts w:ascii="Arial"/>
          <w:sz w:val="14"/>
        </w:rPr>
      </w:pPr>
      <w:r>
        <w:rPr>
          <w:rFonts w:ascii="Arial"/>
          <w:color w:val="231F20"/>
          <w:w w:val="110"/>
          <w:sz w:val="14"/>
        </w:rPr>
        <w:t>Daily</w:t>
      </w:r>
      <w:r>
        <w:rPr>
          <w:rFonts w:ascii="Arial"/>
          <w:color w:val="231F20"/>
          <w:spacing w:val="-10"/>
          <w:w w:val="110"/>
          <w:sz w:val="14"/>
        </w:rPr>
        <w:t> </w:t>
      </w:r>
      <w:r>
        <w:rPr>
          <w:rFonts w:ascii="Arial"/>
          <w:color w:val="231F20"/>
          <w:w w:val="110"/>
          <w:sz w:val="14"/>
        </w:rPr>
        <w:t>Rainfall</w:t>
      </w:r>
      <w:r>
        <w:rPr>
          <w:rFonts w:ascii="Arial"/>
          <w:color w:val="231F20"/>
          <w:spacing w:val="-10"/>
          <w:w w:val="110"/>
          <w:sz w:val="14"/>
        </w:rPr>
        <w:t> </w:t>
      </w:r>
      <w:r>
        <w:rPr>
          <w:rFonts w:ascii="Arial"/>
          <w:color w:val="231F20"/>
          <w:w w:val="110"/>
          <w:sz w:val="14"/>
        </w:rPr>
        <w:t>in</w:t>
      </w:r>
      <w:r>
        <w:rPr>
          <w:rFonts w:ascii="Arial"/>
          <w:color w:val="231F20"/>
          <w:spacing w:val="-10"/>
          <w:w w:val="110"/>
          <w:sz w:val="14"/>
        </w:rPr>
        <w:t> </w:t>
      </w:r>
      <w:r>
        <w:rPr>
          <w:rFonts w:ascii="Arial"/>
          <w:color w:val="231F20"/>
          <w:w w:val="110"/>
          <w:sz w:val="14"/>
        </w:rPr>
        <w:t>Seattle March 2000 (31 days)</w:t>
      </w:r>
    </w:p>
    <w:p>
      <w:pPr>
        <w:pStyle w:val="BodyText"/>
        <w:spacing w:before="6"/>
        <w:rPr>
          <w:rFonts w:ascii="Arial"/>
          <w:sz w:val="10"/>
        </w:rPr>
      </w:pPr>
      <w:r>
        <w:rPr/>
        <w:drawing>
          <wp:anchor distT="0" distB="0" distL="0" distR="0" allowOverlap="1" layoutInCell="1" locked="0" behindDoc="0" simplePos="0" relativeHeight="206">
            <wp:simplePos x="0" y="0"/>
            <wp:positionH relativeFrom="page">
              <wp:posOffset>998889</wp:posOffset>
            </wp:positionH>
            <wp:positionV relativeFrom="paragraph">
              <wp:posOffset>92579</wp:posOffset>
            </wp:positionV>
            <wp:extent cx="3456352" cy="2657855"/>
            <wp:effectExtent l="0" t="0" r="0" b="0"/>
            <wp:wrapTopAndBottom/>
            <wp:docPr id="69" name="image42.png"/>
            <wp:cNvGraphicFramePr>
              <a:graphicFrameLocks noChangeAspect="1"/>
            </wp:cNvGraphicFramePr>
            <a:graphic>
              <a:graphicData uri="http://schemas.openxmlformats.org/drawingml/2006/picture">
                <pic:pic>
                  <pic:nvPicPr>
                    <pic:cNvPr id="70" name="image42.png"/>
                    <pic:cNvPicPr/>
                  </pic:nvPicPr>
                  <pic:blipFill>
                    <a:blip r:embed="rId67" cstate="print"/>
                    <a:stretch>
                      <a:fillRect/>
                    </a:stretch>
                  </pic:blipFill>
                  <pic:spPr>
                    <a:xfrm>
                      <a:off x="0" y="0"/>
                      <a:ext cx="3456352" cy="2657855"/>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104"/>
        <w:ind w:left="835" w:right="1993"/>
        <w:jc w:val="right"/>
      </w:pPr>
      <w:r>
        <w:rPr>
          <w:color w:val="231F20"/>
          <w:spacing w:val="-4"/>
          <w:w w:val="105"/>
        </w:rPr>
        <w:t>1.000</w:t>
      </w:r>
    </w:p>
    <w:p>
      <w:pPr>
        <w:pStyle w:val="BodyText"/>
        <w:spacing w:before="2"/>
        <w:rPr>
          <w:sz w:val="30"/>
        </w:rPr>
      </w:pPr>
    </w:p>
    <w:p>
      <w:pPr>
        <w:pStyle w:val="BodyText"/>
        <w:spacing w:line="292" w:lineRule="auto"/>
        <w:ind w:left="830" w:right="756" w:firstLine="340"/>
        <w:jc w:val="both"/>
      </w:pPr>
      <w:r>
        <w:rPr>
          <w:color w:val="231F20"/>
        </w:rPr>
        <w:t>Surprisingly, the binomial distribution matches rather well the actual results of the AT&amp;T case. Given a guess of </w:t>
      </w:r>
      <w:r>
        <w:rPr>
          <w:i/>
          <w:color w:val="231F20"/>
        </w:rPr>
        <w:t>probability of </w:t>
      </w:r>
      <w:r>
        <w:rPr>
          <w:i/>
          <w:color w:val="231F20"/>
        </w:rPr>
        <w:t>suc-</w:t>
      </w:r>
      <w:r>
        <w:rPr>
          <w:i/>
          <w:color w:val="231F20"/>
        </w:rPr>
        <w:t> cess </w:t>
      </w:r>
      <w:r>
        <w:rPr>
          <w:color w:val="231F20"/>
        </w:rPr>
        <w:t>(p), the probability of positive monthly returns in a given quar- ter could be read off the table. Binomial distribution therefore has practical applications for assessing probabilities for portfolio man- agers, sales directors, and research analysts.</w:t>
      </w:r>
    </w:p>
    <w:p>
      <w:pPr>
        <w:pStyle w:val="BodyText"/>
        <w:rPr>
          <w:sz w:val="24"/>
        </w:rPr>
      </w:pPr>
    </w:p>
    <w:p>
      <w:pPr>
        <w:pStyle w:val="BodyText"/>
        <w:rPr>
          <w:sz w:val="27"/>
        </w:rPr>
      </w:pPr>
    </w:p>
    <w:p>
      <w:pPr>
        <w:pStyle w:val="Heading6"/>
        <w:ind w:left="299"/>
        <w:rPr>
          <w:i/>
        </w:rPr>
      </w:pPr>
      <w:r>
        <w:rPr>
          <w:i/>
          <w:color w:val="231F20"/>
          <w:w w:val="110"/>
        </w:rPr>
        <w:t>THE</w:t>
      </w:r>
      <w:r>
        <w:rPr>
          <w:i/>
          <w:color w:val="231F20"/>
          <w:spacing w:val="52"/>
          <w:w w:val="110"/>
        </w:rPr>
        <w:t> </w:t>
      </w:r>
      <w:r>
        <w:rPr>
          <w:i/>
          <w:color w:val="231F20"/>
          <w:w w:val="110"/>
        </w:rPr>
        <w:t>NORMAL</w:t>
      </w:r>
      <w:r>
        <w:rPr>
          <w:i/>
          <w:color w:val="231F20"/>
          <w:spacing w:val="53"/>
          <w:w w:val="110"/>
        </w:rPr>
        <w:t> </w:t>
      </w:r>
      <w:r>
        <w:rPr>
          <w:i/>
          <w:color w:val="231F20"/>
          <w:spacing w:val="8"/>
          <w:w w:val="110"/>
        </w:rPr>
        <w:t>DISTRIBUTION:</w:t>
      </w:r>
    </w:p>
    <w:p>
      <w:pPr>
        <w:spacing w:before="54"/>
        <w:ind w:left="299" w:right="219" w:firstLine="0"/>
        <w:jc w:val="center"/>
        <w:rPr>
          <w:b/>
          <w:i/>
          <w:sz w:val="21"/>
        </w:rPr>
      </w:pPr>
      <w:r>
        <w:rPr>
          <w:b/>
          <w:i/>
          <w:color w:val="231F20"/>
          <w:w w:val="110"/>
          <w:sz w:val="21"/>
        </w:rPr>
        <w:t>THE</w:t>
      </w:r>
      <w:r>
        <w:rPr>
          <w:b/>
          <w:i/>
          <w:color w:val="231F20"/>
          <w:spacing w:val="58"/>
          <w:w w:val="110"/>
          <w:sz w:val="21"/>
        </w:rPr>
        <w:t> </w:t>
      </w:r>
      <w:r>
        <w:rPr>
          <w:b/>
          <w:i/>
          <w:color w:val="231F20"/>
          <w:w w:val="110"/>
          <w:sz w:val="21"/>
        </w:rPr>
        <w:t>MYSTERY</w:t>
      </w:r>
      <w:r>
        <w:rPr>
          <w:b/>
          <w:i/>
          <w:color w:val="231F20"/>
          <w:spacing w:val="58"/>
          <w:w w:val="110"/>
          <w:sz w:val="21"/>
        </w:rPr>
        <w:t> </w:t>
      </w:r>
      <w:r>
        <w:rPr>
          <w:b/>
          <w:i/>
          <w:color w:val="231F20"/>
          <w:w w:val="110"/>
          <w:sz w:val="21"/>
        </w:rPr>
        <w:t>OF</w:t>
      </w:r>
      <w:r>
        <w:rPr>
          <w:b/>
          <w:i/>
          <w:color w:val="231F20"/>
          <w:spacing w:val="59"/>
          <w:w w:val="110"/>
          <w:sz w:val="21"/>
        </w:rPr>
        <w:t> </w:t>
      </w:r>
      <w:r>
        <w:rPr>
          <w:b/>
          <w:i/>
          <w:color w:val="231F20"/>
          <w:w w:val="110"/>
          <w:sz w:val="21"/>
        </w:rPr>
        <w:t>THE</w:t>
      </w:r>
      <w:r>
        <w:rPr>
          <w:b/>
          <w:i/>
          <w:color w:val="231F20"/>
          <w:spacing w:val="58"/>
          <w:w w:val="110"/>
          <w:sz w:val="21"/>
        </w:rPr>
        <w:t> </w:t>
      </w:r>
      <w:r>
        <w:rPr>
          <w:b/>
          <w:i/>
          <w:color w:val="231F20"/>
          <w:w w:val="110"/>
          <w:sz w:val="21"/>
        </w:rPr>
        <w:t>BELL</w:t>
      </w:r>
      <w:r>
        <w:rPr>
          <w:b/>
          <w:i/>
          <w:color w:val="231F20"/>
          <w:spacing w:val="59"/>
          <w:w w:val="110"/>
          <w:sz w:val="21"/>
        </w:rPr>
        <w:t> </w:t>
      </w:r>
      <w:r>
        <w:rPr>
          <w:b/>
          <w:i/>
          <w:color w:val="231F20"/>
          <w:spacing w:val="7"/>
          <w:w w:val="110"/>
          <w:sz w:val="21"/>
        </w:rPr>
        <w:t>CURVE</w:t>
      </w:r>
    </w:p>
    <w:p>
      <w:pPr>
        <w:pStyle w:val="BodyText"/>
        <w:spacing w:before="2"/>
        <w:rPr>
          <w:b/>
          <w:i/>
          <w:sz w:val="30"/>
        </w:rPr>
      </w:pPr>
    </w:p>
    <w:p>
      <w:pPr>
        <w:spacing w:line="292" w:lineRule="auto" w:before="0"/>
        <w:ind w:left="829" w:right="756" w:firstLine="0"/>
        <w:jc w:val="center"/>
        <w:rPr>
          <w:sz w:val="21"/>
        </w:rPr>
      </w:pPr>
      <w:r>
        <w:rPr>
          <w:color w:val="231F20"/>
          <w:sz w:val="21"/>
        </w:rPr>
        <w:t>The </w:t>
      </w:r>
      <w:r>
        <w:rPr>
          <w:i/>
          <w:color w:val="231F20"/>
          <w:sz w:val="21"/>
        </w:rPr>
        <w:t>normal distribution </w:t>
      </w:r>
      <w:r>
        <w:rPr>
          <w:color w:val="231F20"/>
          <w:sz w:val="21"/>
        </w:rPr>
        <w:t>is the most widely used distribution and is</w:t>
      </w:r>
      <w:r>
        <w:rPr>
          <w:color w:val="231F20"/>
          <w:spacing w:val="80"/>
          <w:sz w:val="21"/>
        </w:rPr>
        <w:t> </w:t>
      </w:r>
      <w:r>
        <w:rPr>
          <w:color w:val="231F20"/>
          <w:sz w:val="21"/>
        </w:rPr>
        <w:t>most</w:t>
      </w:r>
      <w:r>
        <w:rPr>
          <w:color w:val="231F20"/>
          <w:spacing w:val="25"/>
          <w:sz w:val="21"/>
        </w:rPr>
        <w:t> </w:t>
      </w:r>
      <w:r>
        <w:rPr>
          <w:color w:val="231F20"/>
          <w:sz w:val="21"/>
        </w:rPr>
        <w:t>commonly</w:t>
      </w:r>
      <w:r>
        <w:rPr>
          <w:color w:val="231F20"/>
          <w:spacing w:val="26"/>
          <w:sz w:val="21"/>
        </w:rPr>
        <w:t> </w:t>
      </w:r>
      <w:r>
        <w:rPr>
          <w:color w:val="231F20"/>
          <w:sz w:val="21"/>
        </w:rPr>
        <w:t>known</w:t>
      </w:r>
      <w:r>
        <w:rPr>
          <w:color w:val="231F20"/>
          <w:spacing w:val="26"/>
          <w:sz w:val="21"/>
        </w:rPr>
        <w:t> </w:t>
      </w:r>
      <w:r>
        <w:rPr>
          <w:color w:val="231F20"/>
          <w:sz w:val="21"/>
        </w:rPr>
        <w:t>as</w:t>
      </w:r>
      <w:r>
        <w:rPr>
          <w:color w:val="231F20"/>
          <w:spacing w:val="26"/>
          <w:sz w:val="21"/>
        </w:rPr>
        <w:t> </w:t>
      </w:r>
      <w:r>
        <w:rPr>
          <w:color w:val="231F20"/>
          <w:sz w:val="21"/>
        </w:rPr>
        <w:t>the</w:t>
      </w:r>
      <w:r>
        <w:rPr>
          <w:color w:val="231F20"/>
          <w:spacing w:val="24"/>
          <w:sz w:val="21"/>
        </w:rPr>
        <w:t> </w:t>
      </w:r>
      <w:r>
        <w:rPr>
          <w:i/>
          <w:color w:val="231F20"/>
          <w:sz w:val="21"/>
        </w:rPr>
        <w:t>bell</w:t>
      </w:r>
      <w:r>
        <w:rPr>
          <w:i/>
          <w:color w:val="231F20"/>
          <w:spacing w:val="26"/>
          <w:sz w:val="21"/>
        </w:rPr>
        <w:t> </w:t>
      </w:r>
      <w:r>
        <w:rPr>
          <w:i/>
          <w:color w:val="231F20"/>
          <w:sz w:val="21"/>
        </w:rPr>
        <w:t>curve.</w:t>
      </w:r>
      <w:r>
        <w:rPr>
          <w:i/>
          <w:color w:val="231F20"/>
          <w:spacing w:val="25"/>
          <w:sz w:val="21"/>
        </w:rPr>
        <w:t> </w:t>
      </w:r>
      <w:r>
        <w:rPr>
          <w:color w:val="231F20"/>
          <w:sz w:val="21"/>
        </w:rPr>
        <w:t>At</w:t>
      </w:r>
      <w:r>
        <w:rPr>
          <w:color w:val="231F20"/>
          <w:spacing w:val="25"/>
          <w:sz w:val="21"/>
        </w:rPr>
        <w:t> </w:t>
      </w:r>
      <w:r>
        <w:rPr>
          <w:color w:val="231F20"/>
          <w:sz w:val="21"/>
        </w:rPr>
        <w:t>Harvard</w:t>
      </w:r>
      <w:r>
        <w:rPr>
          <w:color w:val="231F20"/>
          <w:spacing w:val="26"/>
          <w:sz w:val="21"/>
        </w:rPr>
        <w:t> </w:t>
      </w:r>
      <w:r>
        <w:rPr>
          <w:color w:val="231F20"/>
          <w:sz w:val="21"/>
        </w:rPr>
        <w:t>the</w:t>
      </w:r>
      <w:r>
        <w:rPr>
          <w:color w:val="231F20"/>
          <w:spacing w:val="26"/>
          <w:sz w:val="21"/>
        </w:rPr>
        <w:t> </w:t>
      </w:r>
      <w:r>
        <w:rPr>
          <w:color w:val="231F20"/>
          <w:sz w:val="21"/>
        </w:rPr>
        <w:t>bell</w:t>
      </w:r>
      <w:r>
        <w:rPr>
          <w:color w:val="231F20"/>
          <w:spacing w:val="26"/>
          <w:sz w:val="21"/>
        </w:rPr>
        <w:t> </w:t>
      </w:r>
      <w:r>
        <w:rPr>
          <w:color w:val="231F20"/>
          <w:spacing w:val="-2"/>
          <w:sz w:val="21"/>
        </w:rPr>
        <w:t>curve</w:t>
      </w:r>
    </w:p>
    <w:p>
      <w:pPr>
        <w:spacing w:after="0" w:line="292" w:lineRule="auto"/>
        <w:jc w:val="center"/>
        <w:rPr>
          <w:sz w:val="21"/>
        </w:rPr>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4"/>
        <w:jc w:val="both"/>
      </w:pPr>
      <w:r>
        <w:rPr>
          <w:color w:val="231F20"/>
        </w:rPr>
        <w:t>is</w:t>
      </w:r>
      <w:r>
        <w:rPr>
          <w:color w:val="231F20"/>
          <w:spacing w:val="-1"/>
        </w:rPr>
        <w:t> </w:t>
      </w:r>
      <w:r>
        <w:rPr>
          <w:color w:val="231F20"/>
        </w:rPr>
        <w:t>used</w:t>
      </w:r>
      <w:r>
        <w:rPr>
          <w:color w:val="231F20"/>
          <w:spacing w:val="-1"/>
        </w:rPr>
        <w:t> </w:t>
      </w:r>
      <w:r>
        <w:rPr>
          <w:color w:val="231F20"/>
        </w:rPr>
        <w:t>to</w:t>
      </w:r>
      <w:r>
        <w:rPr>
          <w:color w:val="231F20"/>
          <w:spacing w:val="-1"/>
        </w:rPr>
        <w:t> </w:t>
      </w:r>
      <w:r>
        <w:rPr>
          <w:color w:val="231F20"/>
        </w:rPr>
        <w:t>determine</w:t>
      </w:r>
      <w:r>
        <w:rPr>
          <w:color w:val="231F20"/>
          <w:spacing w:val="-1"/>
        </w:rPr>
        <w:t> </w:t>
      </w:r>
      <w:r>
        <w:rPr>
          <w:color w:val="231F20"/>
        </w:rPr>
        <w:t>grades.</w:t>
      </w:r>
      <w:r>
        <w:rPr>
          <w:color w:val="231F20"/>
          <w:spacing w:val="-1"/>
        </w:rPr>
        <w:t> </w:t>
      </w:r>
      <w:r>
        <w:rPr>
          <w:color w:val="231F20"/>
        </w:rPr>
        <w:t>The</w:t>
      </w:r>
      <w:r>
        <w:rPr>
          <w:color w:val="231F20"/>
          <w:spacing w:val="-1"/>
        </w:rPr>
        <w:t> </w:t>
      </w:r>
      <w:r>
        <w:rPr>
          <w:color w:val="231F20"/>
        </w:rPr>
        <w:t>curve</w:t>
      </w:r>
      <w:r>
        <w:rPr>
          <w:color w:val="231F20"/>
          <w:spacing w:val="-1"/>
        </w:rPr>
        <w:t> </w:t>
      </w:r>
      <w:r>
        <w:rPr>
          <w:color w:val="231F20"/>
        </w:rPr>
        <w:t>dictates</w:t>
      </w:r>
      <w:r>
        <w:rPr>
          <w:color w:val="231F20"/>
          <w:spacing w:val="-1"/>
        </w:rPr>
        <w:t> </w:t>
      </w:r>
      <w:r>
        <w:rPr>
          <w:color w:val="231F20"/>
        </w:rPr>
        <w:t>that</w:t>
      </w:r>
      <w:r>
        <w:rPr>
          <w:color w:val="231F20"/>
          <w:spacing w:val="-1"/>
        </w:rPr>
        <w:t> </w:t>
      </w:r>
      <w:r>
        <w:rPr>
          <w:color w:val="231F20"/>
        </w:rPr>
        <w:t>15</w:t>
      </w:r>
      <w:r>
        <w:rPr>
          <w:color w:val="231F20"/>
          <w:spacing w:val="-1"/>
        </w:rPr>
        <w:t> </w:t>
      </w:r>
      <w:r>
        <w:rPr>
          <w:color w:val="231F20"/>
        </w:rPr>
        <w:t>percent</w:t>
      </w:r>
      <w:r>
        <w:rPr>
          <w:color w:val="231F20"/>
          <w:spacing w:val="-1"/>
        </w:rPr>
        <w:t> </w:t>
      </w:r>
      <w:r>
        <w:rPr>
          <w:color w:val="231F20"/>
        </w:rPr>
        <w:t>of</w:t>
      </w:r>
      <w:r>
        <w:rPr>
          <w:color w:val="231F20"/>
          <w:spacing w:val="-1"/>
        </w:rPr>
        <w:t> </w:t>
      </w:r>
      <w:r>
        <w:rPr>
          <w:color w:val="231F20"/>
        </w:rPr>
        <w:t>the class receive “Low Passes” (“loops”). At the Darden School, the professors</w:t>
      </w:r>
      <w:r>
        <w:rPr>
          <w:color w:val="231F20"/>
          <w:spacing w:val="35"/>
        </w:rPr>
        <w:t> </w:t>
      </w:r>
      <w:r>
        <w:rPr>
          <w:color w:val="231F20"/>
        </w:rPr>
        <w:t>use</w:t>
      </w:r>
      <w:r>
        <w:rPr>
          <w:color w:val="231F20"/>
          <w:spacing w:val="35"/>
        </w:rPr>
        <w:t> </w:t>
      </w:r>
      <w:r>
        <w:rPr>
          <w:color w:val="231F20"/>
        </w:rPr>
        <w:t>their</w:t>
      </w:r>
      <w:r>
        <w:rPr>
          <w:color w:val="231F20"/>
          <w:spacing w:val="35"/>
        </w:rPr>
        <w:t> </w:t>
      </w:r>
      <w:r>
        <w:rPr>
          <w:color w:val="231F20"/>
        </w:rPr>
        <w:t>judgment</w:t>
      </w:r>
      <w:r>
        <w:rPr>
          <w:color w:val="231F20"/>
          <w:spacing w:val="35"/>
        </w:rPr>
        <w:t> </w:t>
      </w:r>
      <w:r>
        <w:rPr>
          <w:color w:val="231F20"/>
        </w:rPr>
        <w:t>to</w:t>
      </w:r>
      <w:r>
        <w:rPr>
          <w:color w:val="231F20"/>
          <w:spacing w:val="35"/>
        </w:rPr>
        <w:t> </w:t>
      </w:r>
      <w:r>
        <w:rPr>
          <w:color w:val="231F20"/>
        </w:rPr>
        <w:t>dole</w:t>
      </w:r>
      <w:r>
        <w:rPr>
          <w:color w:val="231F20"/>
          <w:spacing w:val="35"/>
        </w:rPr>
        <w:t> </w:t>
      </w:r>
      <w:r>
        <w:rPr>
          <w:color w:val="231F20"/>
        </w:rPr>
        <w:t>out</w:t>
      </w:r>
      <w:r>
        <w:rPr>
          <w:color w:val="231F20"/>
          <w:spacing w:val="35"/>
        </w:rPr>
        <w:t> </w:t>
      </w:r>
      <w:r>
        <w:rPr>
          <w:color w:val="231F20"/>
        </w:rPr>
        <w:t>unsatisfactory</w:t>
      </w:r>
      <w:r>
        <w:rPr>
          <w:color w:val="231F20"/>
          <w:spacing w:val="35"/>
        </w:rPr>
        <w:t> </w:t>
      </w:r>
      <w:r>
        <w:rPr>
          <w:color w:val="231F20"/>
        </w:rPr>
        <w:t>marks</w:t>
      </w:r>
      <w:r>
        <w:rPr>
          <w:color w:val="231F20"/>
          <w:spacing w:val="35"/>
        </w:rPr>
        <w:t> </w:t>
      </w:r>
      <w:r>
        <w:rPr>
          <w:color w:val="231F20"/>
        </w:rPr>
        <w:t>of C or F. The result is two campuses with vastly different competitive </w:t>
      </w:r>
      <w:r>
        <w:rPr>
          <w:color w:val="231F20"/>
          <w:spacing w:val="-2"/>
        </w:rPr>
        <w:t>environments.</w:t>
      </w:r>
    </w:p>
    <w:p>
      <w:pPr>
        <w:pStyle w:val="BodyText"/>
        <w:spacing w:line="292" w:lineRule="auto"/>
        <w:ind w:left="919" w:right="663" w:firstLine="340"/>
        <w:jc w:val="both"/>
      </w:pPr>
      <w:r>
        <w:rPr>
          <w:color w:val="231F20"/>
        </w:rPr>
        <w:t>When a </w:t>
      </w:r>
      <w:r>
        <w:rPr>
          <w:i/>
          <w:color w:val="231F20"/>
        </w:rPr>
        <w:t>probability mass function </w:t>
      </w:r>
      <w:r>
        <w:rPr>
          <w:color w:val="231F20"/>
        </w:rPr>
        <w:t>is based on many trials, the curve tends to fill in and become bell-shaped. We call this a </w:t>
      </w:r>
      <w:r>
        <w:rPr>
          <w:i/>
          <w:color w:val="231F20"/>
        </w:rPr>
        <w:t>probabil-</w:t>
      </w:r>
      <w:r>
        <w:rPr>
          <w:i/>
          <w:color w:val="231F20"/>
        </w:rPr>
        <w:t> ity density function. </w:t>
      </w:r>
      <w:r>
        <w:rPr>
          <w:color w:val="231F20"/>
        </w:rPr>
        <w:t>Such was the case with the two graphs describ- ing rainfall in Seattle. The hump in the middle is caused by the</w:t>
      </w:r>
      <w:r>
        <w:rPr>
          <w:color w:val="231F20"/>
          <w:spacing w:val="40"/>
        </w:rPr>
        <w:t> </w:t>
      </w:r>
      <w:r>
        <w:rPr>
          <w:i/>
          <w:color w:val="231F20"/>
        </w:rPr>
        <w:t>Central</w:t>
      </w:r>
      <w:r>
        <w:rPr>
          <w:i/>
          <w:color w:val="231F20"/>
          <w:spacing w:val="40"/>
        </w:rPr>
        <w:t> </w:t>
      </w:r>
      <w:r>
        <w:rPr>
          <w:i/>
          <w:color w:val="231F20"/>
        </w:rPr>
        <w:t>Limit</w:t>
      </w:r>
      <w:r>
        <w:rPr>
          <w:i/>
          <w:color w:val="231F20"/>
          <w:spacing w:val="40"/>
        </w:rPr>
        <w:t> </w:t>
      </w:r>
      <w:r>
        <w:rPr>
          <w:i/>
          <w:color w:val="231F20"/>
        </w:rPr>
        <w:t>Theorem.</w:t>
      </w:r>
      <w:r>
        <w:rPr>
          <w:i/>
          <w:color w:val="231F20"/>
          <w:spacing w:val="40"/>
        </w:rPr>
        <w:t> </w:t>
      </w:r>
      <w:r>
        <w:rPr>
          <w:color w:val="231F20"/>
        </w:rPr>
        <w:t>It</w:t>
      </w:r>
      <w:r>
        <w:rPr>
          <w:color w:val="231F20"/>
          <w:spacing w:val="40"/>
        </w:rPr>
        <w:t> </w:t>
      </w:r>
      <w:r>
        <w:rPr>
          <w:color w:val="231F20"/>
        </w:rPr>
        <w:t>states</w:t>
      </w:r>
      <w:r>
        <w:rPr>
          <w:color w:val="231F20"/>
          <w:spacing w:val="40"/>
        </w:rPr>
        <w:t> </w:t>
      </w:r>
      <w:r>
        <w:rPr>
          <w:color w:val="231F20"/>
        </w:rPr>
        <w:t>that</w:t>
      </w:r>
      <w:r>
        <w:rPr>
          <w:color w:val="231F20"/>
          <w:spacing w:val="40"/>
        </w:rPr>
        <w:t> </w:t>
      </w:r>
      <w:r>
        <w:rPr>
          <w:color w:val="231F20"/>
        </w:rPr>
        <w:t>“the</w:t>
      </w:r>
      <w:r>
        <w:rPr>
          <w:color w:val="231F20"/>
          <w:spacing w:val="40"/>
        </w:rPr>
        <w:t> </w:t>
      </w:r>
      <w:r>
        <w:rPr>
          <w:color w:val="231F20"/>
        </w:rPr>
        <w:t>distribution</w:t>
      </w:r>
      <w:r>
        <w:rPr>
          <w:color w:val="231F20"/>
          <w:spacing w:val="40"/>
        </w:rPr>
        <w:t> </w:t>
      </w:r>
      <w:r>
        <w:rPr>
          <w:color w:val="231F20"/>
        </w:rPr>
        <w:t>of</w:t>
      </w:r>
      <w:r>
        <w:rPr>
          <w:color w:val="231F20"/>
          <w:spacing w:val="40"/>
        </w:rPr>
        <w:t> </w:t>
      </w:r>
      <w:r>
        <w:rPr>
          <w:i/>
          <w:color w:val="231F20"/>
        </w:rPr>
        <w:t>averages</w:t>
      </w:r>
      <w:r>
        <w:rPr>
          <w:i/>
          <w:color w:val="231F20"/>
        </w:rPr>
        <w:t> </w:t>
      </w:r>
      <w:r>
        <w:rPr>
          <w:color w:val="231F20"/>
        </w:rPr>
        <w:t>of repeated independent samples will take the form of the bell- shaped normal distribution.” Why? Simply because a large number</w:t>
      </w:r>
      <w:r>
        <w:rPr>
          <w:color w:val="231F20"/>
          <w:spacing w:val="80"/>
        </w:rPr>
        <w:t> </w:t>
      </w:r>
      <w:r>
        <w:rPr>
          <w:color w:val="231F20"/>
        </w:rPr>
        <w:t>of independent samples tend to a central average.</w:t>
      </w:r>
    </w:p>
    <w:p>
      <w:pPr>
        <w:pStyle w:val="BodyText"/>
        <w:spacing w:line="292" w:lineRule="auto"/>
        <w:ind w:left="920" w:right="666" w:firstLine="340"/>
        <w:jc w:val="both"/>
      </w:pPr>
      <w:r>
        <w:rPr>
          <w:color w:val="231F20"/>
        </w:rPr>
        <w:t>The concept of “averages of samples” is pretty vague. In case </w:t>
      </w:r>
      <w:r>
        <w:rPr>
          <w:color w:val="231F20"/>
        </w:rPr>
        <w:t>ap- plications the definition expands to include any large group of data. Why? Because the normal distribution is so easy to use and closely approximates reality anyway. Stock prices are the result of many market fluctuations that culminate in a return (profit or loss). The return can be considered an “average” of those market fluctuations. Just about anything can be rationalized as an average, hence the use- fulness of normal distributions.</w:t>
      </w:r>
    </w:p>
    <w:p>
      <w:pPr>
        <w:pStyle w:val="BodyText"/>
        <w:spacing w:before="11"/>
        <w:rPr>
          <w:sz w:val="24"/>
        </w:rPr>
      </w:pPr>
    </w:p>
    <w:p>
      <w:pPr>
        <w:pStyle w:val="BodyText"/>
        <w:spacing w:line="292" w:lineRule="auto"/>
        <w:ind w:left="919" w:right="669"/>
        <w:jc w:val="both"/>
      </w:pPr>
      <w:r>
        <w:rPr/>
        <w:drawing>
          <wp:anchor distT="0" distB="0" distL="0" distR="0" allowOverlap="1" layoutInCell="1" locked="0" behindDoc="1" simplePos="0" relativeHeight="478193152">
            <wp:simplePos x="0" y="0"/>
            <wp:positionH relativeFrom="page">
              <wp:posOffset>4508288</wp:posOffset>
            </wp:positionH>
            <wp:positionV relativeFrom="paragraph">
              <wp:posOffset>256472</wp:posOffset>
            </wp:positionV>
            <wp:extent cx="65598" cy="88997"/>
            <wp:effectExtent l="0" t="0" r="0" b="0"/>
            <wp:wrapNone/>
            <wp:docPr id="71" name="image43.png"/>
            <wp:cNvGraphicFramePr>
              <a:graphicFrameLocks noChangeAspect="1"/>
            </wp:cNvGraphicFramePr>
            <a:graphic>
              <a:graphicData uri="http://schemas.openxmlformats.org/drawingml/2006/picture">
                <pic:pic>
                  <pic:nvPicPr>
                    <pic:cNvPr id="72" name="image43.png"/>
                    <pic:cNvPicPr/>
                  </pic:nvPicPr>
                  <pic:blipFill>
                    <a:blip r:embed="rId68" cstate="print"/>
                    <a:stretch>
                      <a:fillRect/>
                    </a:stretch>
                  </pic:blipFill>
                  <pic:spPr>
                    <a:xfrm>
                      <a:off x="0" y="0"/>
                      <a:ext cx="65598" cy="88997"/>
                    </a:xfrm>
                    <a:prstGeom prst="rect">
                      <a:avLst/>
                    </a:prstGeom>
                  </pic:spPr>
                </pic:pic>
              </a:graphicData>
            </a:graphic>
          </wp:anchor>
        </w:drawing>
      </w:r>
      <w:r>
        <w:rPr/>
        <w:drawing>
          <wp:anchor distT="0" distB="0" distL="0" distR="0" allowOverlap="1" layoutInCell="1" locked="0" behindDoc="1" simplePos="0" relativeHeight="478193664">
            <wp:simplePos x="0" y="0"/>
            <wp:positionH relativeFrom="page">
              <wp:posOffset>2611255</wp:posOffset>
            </wp:positionH>
            <wp:positionV relativeFrom="paragraph">
              <wp:posOffset>823388</wp:posOffset>
            </wp:positionV>
            <wp:extent cx="76960" cy="66815"/>
            <wp:effectExtent l="0" t="0" r="0" b="0"/>
            <wp:wrapNone/>
            <wp:docPr id="73" name="image44.png"/>
            <wp:cNvGraphicFramePr>
              <a:graphicFrameLocks noChangeAspect="1"/>
            </wp:cNvGraphicFramePr>
            <a:graphic>
              <a:graphicData uri="http://schemas.openxmlformats.org/drawingml/2006/picture">
                <pic:pic>
                  <pic:nvPicPr>
                    <pic:cNvPr id="74" name="image44.png"/>
                    <pic:cNvPicPr/>
                  </pic:nvPicPr>
                  <pic:blipFill>
                    <a:blip r:embed="rId69" cstate="print"/>
                    <a:stretch>
                      <a:fillRect/>
                    </a:stretch>
                  </pic:blipFill>
                  <pic:spPr>
                    <a:xfrm>
                      <a:off x="0" y="0"/>
                      <a:ext cx="76960" cy="66815"/>
                    </a:xfrm>
                    <a:prstGeom prst="rect">
                      <a:avLst/>
                    </a:prstGeom>
                  </pic:spPr>
                </pic:pic>
              </a:graphicData>
            </a:graphic>
          </wp:anchor>
        </w:drawing>
      </w:r>
      <w:r>
        <w:rPr>
          <w:i/>
          <w:color w:val="231F20"/>
        </w:rPr>
        <w:t>Measures of the Normal Curve. </w:t>
      </w:r>
      <w:r>
        <w:rPr>
          <w:color w:val="231F20"/>
        </w:rPr>
        <w:t>The bell-shaped curve is described by two terms, the </w:t>
      </w:r>
      <w:r>
        <w:rPr>
          <w:i/>
          <w:color w:val="231F20"/>
        </w:rPr>
        <w:t>mean </w:t>
      </w:r>
      <w:r>
        <w:rPr>
          <w:color w:val="231F20"/>
        </w:rPr>
        <w:t>and its </w:t>
      </w:r>
      <w:r>
        <w:rPr>
          <w:i/>
          <w:color w:val="231F20"/>
        </w:rPr>
        <w:t>standard deviation </w:t>
      </w:r>
      <w:r>
        <w:rPr>
          <w:color w:val="231F20"/>
        </w:rPr>
        <w:t>(SD). The mean (</w:t>
      </w:r>
      <w:r>
        <w:rPr>
          <w:color w:val="231F20"/>
          <w:spacing w:val="40"/>
        </w:rPr>
        <w:t> </w:t>
      </w:r>
      <w:r>
        <w:rPr>
          <w:color w:val="231F20"/>
        </w:rPr>
        <w:t>) is the</w:t>
      </w:r>
      <w:r>
        <w:rPr>
          <w:color w:val="231F20"/>
          <w:spacing w:val="-7"/>
        </w:rPr>
        <w:t> </w:t>
      </w:r>
      <w:r>
        <w:rPr>
          <w:color w:val="231F20"/>
        </w:rPr>
        <w:t>center</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curve.</w:t>
      </w:r>
      <w:r>
        <w:rPr>
          <w:color w:val="231F20"/>
          <w:spacing w:val="-7"/>
        </w:rPr>
        <w:t> </w:t>
      </w:r>
      <w:r>
        <w:rPr>
          <w:color w:val="231F20"/>
        </w:rPr>
        <w:t>The</w:t>
      </w:r>
      <w:r>
        <w:rPr>
          <w:color w:val="231F20"/>
          <w:spacing w:val="-7"/>
        </w:rPr>
        <w:t> </w:t>
      </w:r>
      <w:r>
        <w:rPr>
          <w:color w:val="231F20"/>
        </w:rPr>
        <w:t>mean</w:t>
      </w:r>
      <w:r>
        <w:rPr>
          <w:color w:val="231F20"/>
          <w:spacing w:val="-7"/>
        </w:rPr>
        <w:t> </w:t>
      </w:r>
      <w:r>
        <w:rPr>
          <w:color w:val="231F20"/>
        </w:rPr>
        <w:t>is</w:t>
      </w:r>
      <w:r>
        <w:rPr>
          <w:color w:val="231F20"/>
          <w:spacing w:val="-7"/>
        </w:rPr>
        <w:t> </w:t>
      </w:r>
      <w:r>
        <w:rPr>
          <w:color w:val="231F20"/>
        </w:rPr>
        <w:t>commonly</w:t>
      </w:r>
      <w:r>
        <w:rPr>
          <w:color w:val="231F20"/>
          <w:spacing w:val="-7"/>
        </w:rPr>
        <w:t> </w:t>
      </w:r>
      <w:r>
        <w:rPr>
          <w:color w:val="231F20"/>
        </w:rPr>
        <w:t>called</w:t>
      </w:r>
      <w:r>
        <w:rPr>
          <w:color w:val="231F20"/>
          <w:spacing w:val="-7"/>
        </w:rPr>
        <w:t> </w:t>
      </w:r>
      <w:r>
        <w:rPr>
          <w:color w:val="231F20"/>
        </w:rPr>
        <w:t>the</w:t>
      </w:r>
      <w:r>
        <w:rPr>
          <w:color w:val="231F20"/>
          <w:spacing w:val="-8"/>
        </w:rPr>
        <w:t> </w:t>
      </w:r>
      <w:r>
        <w:rPr>
          <w:i/>
          <w:color w:val="231F20"/>
        </w:rPr>
        <w:t>average.</w:t>
      </w:r>
      <w:r>
        <w:rPr>
          <w:i/>
          <w:color w:val="231F20"/>
          <w:spacing w:val="-7"/>
        </w:rPr>
        <w:t> </w:t>
      </w:r>
      <w:r>
        <w:rPr>
          <w:color w:val="231F20"/>
        </w:rPr>
        <w:t>It</w:t>
      </w:r>
      <w:r>
        <w:rPr>
          <w:color w:val="231F20"/>
          <w:spacing w:val="-7"/>
        </w:rPr>
        <w:t> </w:t>
      </w:r>
      <w:r>
        <w:rPr>
          <w:color w:val="231F20"/>
        </w:rPr>
        <w:t>is the result of adding up the data and dividing by the number of data points.</w:t>
      </w:r>
      <w:r>
        <w:rPr>
          <w:color w:val="231F20"/>
          <w:spacing w:val="-7"/>
        </w:rPr>
        <w:t> </w:t>
      </w:r>
      <w:r>
        <w:rPr>
          <w:color w:val="231F20"/>
        </w:rPr>
        <w:t>The</w:t>
      </w:r>
      <w:r>
        <w:rPr>
          <w:color w:val="231F20"/>
          <w:spacing w:val="-7"/>
        </w:rPr>
        <w:t> </w:t>
      </w:r>
      <w:r>
        <w:rPr>
          <w:color w:val="231F20"/>
        </w:rPr>
        <w:t>standard</w:t>
      </w:r>
      <w:r>
        <w:rPr>
          <w:color w:val="231F20"/>
          <w:spacing w:val="-7"/>
        </w:rPr>
        <w:t> </w:t>
      </w:r>
      <w:r>
        <w:rPr>
          <w:color w:val="231F20"/>
        </w:rPr>
        <w:t>deviation</w:t>
      </w:r>
      <w:r>
        <w:rPr>
          <w:color w:val="231F20"/>
          <w:spacing w:val="-7"/>
        </w:rPr>
        <w:t> </w:t>
      </w:r>
      <w:r>
        <w:rPr>
          <w:color w:val="231F20"/>
        </w:rPr>
        <w:t>(</w:t>
      </w:r>
      <w:r>
        <w:rPr>
          <w:color w:val="231F20"/>
          <w:spacing w:val="40"/>
        </w:rPr>
        <w:t> </w:t>
      </w:r>
      <w:r>
        <w:rPr>
          <w:color w:val="231F20"/>
        </w:rPr>
        <w:t>)</w:t>
      </w:r>
      <w:r>
        <w:rPr>
          <w:color w:val="231F20"/>
          <w:spacing w:val="-7"/>
        </w:rPr>
        <w:t> </w:t>
      </w:r>
      <w:r>
        <w:rPr>
          <w:color w:val="231F20"/>
        </w:rPr>
        <w:t>is</w:t>
      </w:r>
      <w:r>
        <w:rPr>
          <w:color w:val="231F20"/>
          <w:spacing w:val="-7"/>
        </w:rPr>
        <w:t> </w:t>
      </w:r>
      <w:r>
        <w:rPr>
          <w:color w:val="231F20"/>
        </w:rPr>
        <w:t>how</w:t>
      </w:r>
      <w:r>
        <w:rPr>
          <w:color w:val="231F20"/>
          <w:spacing w:val="-7"/>
        </w:rPr>
        <w:t> </w:t>
      </w:r>
      <w:r>
        <w:rPr>
          <w:color w:val="231F20"/>
        </w:rPr>
        <w:t>wide</w:t>
      </w:r>
      <w:r>
        <w:rPr>
          <w:color w:val="231F20"/>
          <w:spacing w:val="-7"/>
        </w:rPr>
        <w:t> </w:t>
      </w:r>
      <w:r>
        <w:rPr>
          <w:color w:val="231F20"/>
        </w:rPr>
        <w:t>the</w:t>
      </w:r>
      <w:r>
        <w:rPr>
          <w:color w:val="231F20"/>
          <w:spacing w:val="-7"/>
        </w:rPr>
        <w:t> </w:t>
      </w:r>
      <w:r>
        <w:rPr>
          <w:color w:val="231F20"/>
        </w:rPr>
        <w:t>curve</w:t>
      </w:r>
      <w:r>
        <w:rPr>
          <w:color w:val="231F20"/>
          <w:spacing w:val="-7"/>
        </w:rPr>
        <w:t> </w:t>
      </w:r>
      <w:r>
        <w:rPr>
          <w:color w:val="231F20"/>
        </w:rPr>
        <w:t>appears.</w:t>
      </w:r>
      <w:r>
        <w:rPr>
          <w:color w:val="231F20"/>
          <w:spacing w:val="-7"/>
        </w:rPr>
        <w:t> </w:t>
      </w:r>
      <w:r>
        <w:rPr>
          <w:color w:val="231F20"/>
        </w:rPr>
        <w:t>The SD can also be described as a measure of the “variability from the mean.” These two terms are central to most probability concepts.</w:t>
      </w:r>
    </w:p>
    <w:p>
      <w:pPr>
        <w:pStyle w:val="BodyText"/>
        <w:spacing w:line="292" w:lineRule="auto"/>
        <w:ind w:left="919" w:right="666" w:firstLine="340"/>
        <w:jc w:val="both"/>
      </w:pPr>
      <w:r>
        <w:rPr>
          <w:color w:val="231F20"/>
        </w:rPr>
        <w:t>Other less-used measures of averages for a set of data are the </w:t>
      </w:r>
      <w:r>
        <w:rPr>
          <w:i/>
          <w:color w:val="231F20"/>
        </w:rPr>
        <w:t>median, </w:t>
      </w:r>
      <w:r>
        <w:rPr>
          <w:color w:val="231F20"/>
        </w:rPr>
        <w:t>the item in the middle of the list if sorted by size, and </w:t>
      </w:r>
      <w:r>
        <w:rPr>
          <w:color w:val="231F20"/>
        </w:rPr>
        <w:t>the </w:t>
      </w:r>
      <w:r>
        <w:rPr>
          <w:i/>
          <w:color w:val="231F20"/>
        </w:rPr>
        <w:t>mode, </w:t>
      </w:r>
      <w:r>
        <w:rPr>
          <w:color w:val="231F20"/>
        </w:rPr>
        <w:t>the item occurring most frequently in a data set.</w:t>
      </w:r>
    </w:p>
    <w:p>
      <w:pPr>
        <w:pStyle w:val="BodyText"/>
        <w:spacing w:line="292" w:lineRule="auto"/>
        <w:ind w:left="919" w:right="666" w:firstLine="340"/>
        <w:jc w:val="both"/>
      </w:pPr>
      <w:r>
        <w:rPr>
          <w:color w:val="231F20"/>
        </w:rPr>
        <w:t>As with the binomial distribution, the sum of all the outcomes </w:t>
      </w:r>
      <w:r>
        <w:rPr>
          <w:color w:val="231F20"/>
        </w:rPr>
        <w:t>as represented by the region under the curve equals 100 percent. What makes</w:t>
      </w:r>
      <w:r>
        <w:rPr>
          <w:color w:val="231F20"/>
          <w:spacing w:val="27"/>
        </w:rPr>
        <w:t> </w:t>
      </w:r>
      <w:r>
        <w:rPr>
          <w:color w:val="231F20"/>
        </w:rPr>
        <w:t>the</w:t>
      </w:r>
      <w:r>
        <w:rPr>
          <w:color w:val="231F20"/>
          <w:spacing w:val="27"/>
        </w:rPr>
        <w:t> </w:t>
      </w:r>
      <w:r>
        <w:rPr>
          <w:color w:val="231F20"/>
        </w:rPr>
        <w:t>normal</w:t>
      </w:r>
      <w:r>
        <w:rPr>
          <w:color w:val="231F20"/>
          <w:spacing w:val="27"/>
        </w:rPr>
        <w:t> </w:t>
      </w:r>
      <w:r>
        <w:rPr>
          <w:color w:val="231F20"/>
        </w:rPr>
        <w:t>distribution’s</w:t>
      </w:r>
      <w:r>
        <w:rPr>
          <w:color w:val="231F20"/>
          <w:spacing w:val="28"/>
        </w:rPr>
        <w:t> </w:t>
      </w:r>
      <w:r>
        <w:rPr>
          <w:color w:val="231F20"/>
        </w:rPr>
        <w:t>curve</w:t>
      </w:r>
      <w:r>
        <w:rPr>
          <w:color w:val="231F20"/>
          <w:spacing w:val="27"/>
        </w:rPr>
        <w:t> </w:t>
      </w:r>
      <w:r>
        <w:rPr>
          <w:color w:val="231F20"/>
        </w:rPr>
        <w:t>special</w:t>
      </w:r>
      <w:r>
        <w:rPr>
          <w:color w:val="231F20"/>
          <w:spacing w:val="27"/>
        </w:rPr>
        <w:t> </w:t>
      </w:r>
      <w:r>
        <w:rPr>
          <w:color w:val="231F20"/>
        </w:rPr>
        <w:t>is</w:t>
      </w:r>
      <w:r>
        <w:rPr>
          <w:color w:val="231F20"/>
          <w:spacing w:val="28"/>
        </w:rPr>
        <w:t> </w:t>
      </w:r>
      <w:r>
        <w:rPr>
          <w:color w:val="231F20"/>
        </w:rPr>
        <w:t>that</w:t>
      </w:r>
      <w:r>
        <w:rPr>
          <w:color w:val="231F20"/>
          <w:spacing w:val="27"/>
        </w:rPr>
        <w:t> </w:t>
      </w:r>
      <w:r>
        <w:rPr>
          <w:color w:val="231F20"/>
        </w:rPr>
        <w:t>for</w:t>
      </w:r>
      <w:r>
        <w:rPr>
          <w:color w:val="231F20"/>
          <w:spacing w:val="27"/>
        </w:rPr>
        <w:t> </w:t>
      </w:r>
      <w:r>
        <w:rPr>
          <w:color w:val="231F20"/>
        </w:rPr>
        <w:t>any</w:t>
      </w:r>
      <w:r>
        <w:rPr>
          <w:color w:val="231F20"/>
          <w:spacing w:val="27"/>
        </w:rPr>
        <w:t> </w:t>
      </w:r>
      <w:r>
        <w:rPr>
          <w:color w:val="231F20"/>
          <w:spacing w:val="-2"/>
        </w:rPr>
        <w:t>given</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SD measure away from the mean or the center, the same probability exists for an event despite the normal distribution’s shape.</w:t>
      </w:r>
    </w:p>
    <w:p>
      <w:pPr>
        <w:pStyle w:val="BodyText"/>
        <w:spacing w:before="6"/>
        <w:rPr>
          <w:sz w:val="25"/>
        </w:rPr>
      </w:pPr>
    </w:p>
    <w:p>
      <w:pPr>
        <w:pStyle w:val="BodyText"/>
        <w:spacing w:line="292" w:lineRule="auto"/>
        <w:ind w:left="830" w:right="753"/>
        <w:jc w:val="both"/>
      </w:pPr>
      <w:r>
        <w:rPr>
          <w:i/>
          <w:color w:val="231F20"/>
          <w:w w:val="105"/>
        </w:rPr>
        <w:t>Normal</w:t>
      </w:r>
      <w:r>
        <w:rPr>
          <w:i/>
          <w:color w:val="231F20"/>
          <w:w w:val="105"/>
        </w:rPr>
        <w:t> Distribution</w:t>
      </w:r>
      <w:r>
        <w:rPr>
          <w:i/>
          <w:color w:val="231F20"/>
          <w:w w:val="105"/>
        </w:rPr>
        <w:t> Retailing</w:t>
      </w:r>
      <w:r>
        <w:rPr>
          <w:i/>
          <w:color w:val="231F20"/>
          <w:w w:val="105"/>
        </w:rPr>
        <w:t> Example.</w:t>
      </w:r>
      <w:r>
        <w:rPr>
          <w:i/>
          <w:color w:val="231F20"/>
          <w:w w:val="105"/>
        </w:rPr>
        <w:t> </w:t>
      </w:r>
      <w:r>
        <w:rPr>
          <w:color w:val="231F20"/>
          <w:w w:val="105"/>
        </w:rPr>
        <w:t>Al</w:t>
      </w:r>
      <w:r>
        <w:rPr>
          <w:color w:val="231F20"/>
          <w:w w:val="105"/>
        </w:rPr>
        <w:t> Bundy,</w:t>
      </w:r>
      <w:r>
        <w:rPr>
          <w:color w:val="231F20"/>
          <w:w w:val="105"/>
        </w:rPr>
        <w:t> a</w:t>
      </w:r>
      <w:r>
        <w:rPr>
          <w:color w:val="231F20"/>
          <w:w w:val="105"/>
        </w:rPr>
        <w:t> shoe</w:t>
      </w:r>
      <w:r>
        <w:rPr>
          <w:color w:val="231F20"/>
          <w:w w:val="105"/>
        </w:rPr>
        <w:t> store </w:t>
      </w:r>
      <w:r>
        <w:rPr>
          <w:color w:val="231F20"/>
        </w:rPr>
        <w:t>owner, wants to make sure he has enough stock for all size requests. He purchased a study of ladies’ shoe sizes from the Academy of Feet </w:t>
      </w:r>
      <w:r>
        <w:rPr>
          <w:color w:val="231F20"/>
          <w:w w:val="105"/>
        </w:rPr>
        <w:t>and</w:t>
      </w:r>
      <w:r>
        <w:rPr>
          <w:color w:val="231F20"/>
          <w:spacing w:val="-8"/>
          <w:w w:val="105"/>
        </w:rPr>
        <w:t> </w:t>
      </w:r>
      <w:r>
        <w:rPr>
          <w:color w:val="231F20"/>
          <w:w w:val="105"/>
        </w:rPr>
        <w:t>received</w:t>
      </w:r>
      <w:r>
        <w:rPr>
          <w:color w:val="231F20"/>
          <w:spacing w:val="-8"/>
          <w:w w:val="105"/>
        </w:rPr>
        <w:t> </w:t>
      </w:r>
      <w:r>
        <w:rPr>
          <w:color w:val="231F20"/>
          <w:w w:val="105"/>
        </w:rPr>
        <w:t>a</w:t>
      </w:r>
      <w:r>
        <w:rPr>
          <w:color w:val="231F20"/>
          <w:spacing w:val="-8"/>
          <w:w w:val="105"/>
        </w:rPr>
        <w:t> </w:t>
      </w:r>
      <w:r>
        <w:rPr>
          <w:color w:val="231F20"/>
          <w:w w:val="105"/>
        </w:rPr>
        <w:t>stack</w:t>
      </w:r>
      <w:r>
        <w:rPr>
          <w:color w:val="231F20"/>
          <w:spacing w:val="-8"/>
          <w:w w:val="105"/>
        </w:rPr>
        <w:t> </w:t>
      </w:r>
      <w:r>
        <w:rPr>
          <w:color w:val="231F20"/>
          <w:w w:val="105"/>
        </w:rPr>
        <w:t>of</w:t>
      </w:r>
      <w:r>
        <w:rPr>
          <w:color w:val="231F20"/>
          <w:spacing w:val="-8"/>
          <w:w w:val="105"/>
        </w:rPr>
        <w:t> </w:t>
      </w:r>
      <w:r>
        <w:rPr>
          <w:color w:val="231F20"/>
          <w:w w:val="105"/>
        </w:rPr>
        <w:t>research</w:t>
      </w:r>
      <w:r>
        <w:rPr>
          <w:color w:val="231F20"/>
          <w:spacing w:val="-8"/>
          <w:w w:val="105"/>
        </w:rPr>
        <w:t> </w:t>
      </w:r>
      <w:r>
        <w:rPr>
          <w:color w:val="231F20"/>
          <w:w w:val="105"/>
        </w:rPr>
        <w:t>data</w:t>
      </w:r>
      <w:r>
        <w:rPr>
          <w:color w:val="231F20"/>
          <w:spacing w:val="-8"/>
          <w:w w:val="105"/>
        </w:rPr>
        <w:t> </w:t>
      </w:r>
      <w:r>
        <w:rPr>
          <w:color w:val="231F20"/>
          <w:w w:val="105"/>
        </w:rPr>
        <w:t>from</w:t>
      </w:r>
      <w:r>
        <w:rPr>
          <w:color w:val="231F20"/>
          <w:spacing w:val="-8"/>
          <w:w w:val="105"/>
        </w:rPr>
        <w:t> </w:t>
      </w:r>
      <w:r>
        <w:rPr>
          <w:color w:val="231F20"/>
          <w:w w:val="105"/>
        </w:rPr>
        <w:t>survey</w:t>
      </w:r>
      <w:r>
        <w:rPr>
          <w:color w:val="231F20"/>
          <w:spacing w:val="-8"/>
          <w:w w:val="105"/>
        </w:rPr>
        <w:t> </w:t>
      </w:r>
      <w:r>
        <w:rPr>
          <w:color w:val="231F20"/>
          <w:w w:val="105"/>
        </w:rPr>
        <w:t>responses.</w:t>
      </w:r>
    </w:p>
    <w:p>
      <w:pPr>
        <w:pStyle w:val="BodyText"/>
        <w:spacing w:line="292" w:lineRule="auto"/>
        <w:ind w:left="829" w:right="756" w:firstLine="340"/>
        <w:jc w:val="both"/>
      </w:pPr>
      <w:r>
        <w:rPr>
          <w:color w:val="231F20"/>
        </w:rPr>
        <w:t>He plotted the data on graph paper and it appeared as a </w:t>
      </w:r>
      <w:r>
        <w:rPr>
          <w:color w:val="231F20"/>
        </w:rPr>
        <w:t>normal distribution. He also entered the series of sizes in his calculator and hit</w:t>
      </w:r>
      <w:r>
        <w:rPr>
          <w:color w:val="231F20"/>
          <w:spacing w:val="40"/>
        </w:rPr>
        <w:t> </w:t>
      </w:r>
      <w:r>
        <w:rPr>
          <w:color w:val="231F20"/>
        </w:rPr>
        <w:t>the</w:t>
      </w:r>
      <w:r>
        <w:rPr>
          <w:color w:val="231F20"/>
          <w:spacing w:val="40"/>
        </w:rPr>
        <w:t> </w:t>
      </w:r>
      <w:r>
        <w:rPr>
          <w:color w:val="231F20"/>
        </w:rPr>
        <w:t>“Standard</w:t>
      </w:r>
      <w:r>
        <w:rPr>
          <w:color w:val="231F20"/>
          <w:spacing w:val="40"/>
        </w:rPr>
        <w:t> </w:t>
      </w:r>
      <w:r>
        <w:rPr>
          <w:color w:val="231F20"/>
        </w:rPr>
        <w:t>Deviation”</w:t>
      </w:r>
      <w:r>
        <w:rPr>
          <w:color w:val="231F20"/>
          <w:spacing w:val="40"/>
        </w:rPr>
        <w:t> </w:t>
      </w:r>
      <w:r>
        <w:rPr>
          <w:color w:val="231F20"/>
        </w:rPr>
        <w:t>key.</w:t>
      </w:r>
      <w:r>
        <w:rPr>
          <w:color w:val="231F20"/>
          <w:spacing w:val="40"/>
        </w:rPr>
        <w:t> </w:t>
      </w:r>
      <w:r>
        <w:rPr>
          <w:color w:val="231F20"/>
        </w:rPr>
        <w:t>The</w:t>
      </w:r>
      <w:r>
        <w:rPr>
          <w:color w:val="231F20"/>
          <w:spacing w:val="40"/>
        </w:rPr>
        <w:t> </w:t>
      </w:r>
      <w:r>
        <w:rPr>
          <w:color w:val="231F20"/>
        </w:rPr>
        <w:t>answer</w:t>
      </w:r>
      <w:r>
        <w:rPr>
          <w:color w:val="231F20"/>
          <w:spacing w:val="40"/>
        </w:rPr>
        <w:t> </w:t>
      </w:r>
      <w:r>
        <w:rPr>
          <w:color w:val="231F20"/>
        </w:rPr>
        <w:t>was</w:t>
      </w:r>
      <w:r>
        <w:rPr>
          <w:color w:val="231F20"/>
          <w:spacing w:val="40"/>
        </w:rPr>
        <w:t> </w:t>
      </w:r>
      <w:r>
        <w:rPr>
          <w:color w:val="231F20"/>
        </w:rPr>
        <w:t>2.</w:t>
      </w:r>
      <w:r>
        <w:rPr>
          <w:color w:val="231F20"/>
          <w:spacing w:val="40"/>
        </w:rPr>
        <w:t> </w:t>
      </w:r>
      <w:r>
        <w:rPr>
          <w:color w:val="231F20"/>
        </w:rPr>
        <w:t>Al</w:t>
      </w:r>
      <w:r>
        <w:rPr>
          <w:color w:val="231F20"/>
          <w:spacing w:val="40"/>
        </w:rPr>
        <w:t> </w:t>
      </w:r>
      <w:r>
        <w:rPr>
          <w:color w:val="231F20"/>
        </w:rPr>
        <w:t>also</w:t>
      </w:r>
      <w:r>
        <w:rPr>
          <w:color w:val="231F20"/>
          <w:spacing w:val="40"/>
        </w:rPr>
        <w:t> </w:t>
      </w:r>
      <w:r>
        <w:rPr>
          <w:color w:val="231F20"/>
        </w:rPr>
        <w:t>took the average or mean of all the survey’s respondents’ sizes and found it to be 7. Looking at the graph he created, he saw that it looked like our trusty normal distribution.</w:t>
      </w:r>
    </w:p>
    <w:p>
      <w:pPr>
        <w:pStyle w:val="BodyText"/>
        <w:spacing w:line="292" w:lineRule="auto"/>
        <w:ind w:left="830" w:right="756" w:firstLine="340"/>
        <w:jc w:val="both"/>
      </w:pPr>
      <w:r>
        <w:rPr>
          <w:color w:val="231F20"/>
        </w:rPr>
        <w:t>Just by recognizing the shape, Al could apply the laws of the </w:t>
      </w:r>
      <w:r>
        <w:rPr>
          <w:color w:val="231F20"/>
        </w:rPr>
        <w:t>nor- mal distribution curve. The laws governing the area under all nor- mal curves are the following:</w:t>
      </w:r>
    </w:p>
    <w:p>
      <w:pPr>
        <w:pStyle w:val="BodyText"/>
        <w:spacing w:before="2"/>
        <w:rPr>
          <w:sz w:val="24"/>
        </w:rPr>
      </w:pPr>
    </w:p>
    <w:p>
      <w:pPr>
        <w:spacing w:before="0"/>
        <w:ind w:left="1170" w:right="0" w:firstLine="0"/>
        <w:jc w:val="left"/>
        <w:rPr>
          <w:rFonts w:ascii="Arial" w:hAnsi="Arial"/>
          <w:sz w:val="19"/>
        </w:rPr>
      </w:pPr>
      <w:r>
        <w:rPr>
          <w:rFonts w:ascii="Arial" w:hAnsi="Arial"/>
          <w:color w:val="231F20"/>
          <w:sz w:val="19"/>
        </w:rPr>
        <w:t>1</w:t>
      </w:r>
      <w:r>
        <w:rPr>
          <w:rFonts w:ascii="Arial" w:hAnsi="Arial"/>
          <w:color w:val="231F20"/>
          <w:spacing w:val="77"/>
          <w:sz w:val="19"/>
        </w:rPr>
        <w:t> </w:t>
      </w:r>
      <w:r>
        <w:rPr>
          <w:rFonts w:ascii="Arial" w:hAnsi="Arial"/>
          <w:color w:val="231F20"/>
          <w:sz w:val="19"/>
        </w:rPr>
        <w:t>SD</w:t>
      </w:r>
      <w:r>
        <w:rPr>
          <w:rFonts w:ascii="Arial" w:hAnsi="Arial"/>
          <w:color w:val="231F20"/>
          <w:spacing w:val="33"/>
          <w:sz w:val="19"/>
        </w:rPr>
        <w:t> </w:t>
      </w:r>
      <w:r>
        <w:rPr>
          <w:rFonts w:ascii="Symbol" w:hAnsi="Symbol"/>
          <w:color w:val="231F20"/>
          <w:sz w:val="21"/>
        </w:rPr>
        <w:t></w:t>
      </w:r>
      <w:r>
        <w:rPr>
          <w:rFonts w:ascii="Times New Roman" w:hAnsi="Times New Roman"/>
          <w:color w:val="231F20"/>
          <w:spacing w:val="34"/>
          <w:sz w:val="21"/>
        </w:rPr>
        <w:t> </w:t>
      </w:r>
      <w:r>
        <w:rPr>
          <w:rFonts w:ascii="Arial" w:hAnsi="Arial"/>
          <w:color w:val="231F20"/>
          <w:spacing w:val="-4"/>
          <w:sz w:val="19"/>
        </w:rPr>
        <w:t>.3413</w:t>
      </w:r>
    </w:p>
    <w:p>
      <w:pPr>
        <w:spacing w:before="43"/>
        <w:ind w:left="1169" w:right="0" w:firstLine="0"/>
        <w:jc w:val="left"/>
        <w:rPr>
          <w:rFonts w:ascii="Arial" w:hAnsi="Arial"/>
          <w:sz w:val="19"/>
        </w:rPr>
      </w:pPr>
      <w:r>
        <w:rPr>
          <w:rFonts w:ascii="Arial" w:hAnsi="Arial"/>
          <w:color w:val="231F20"/>
          <w:w w:val="105"/>
          <w:sz w:val="19"/>
        </w:rPr>
        <w:t>2</w:t>
      </w:r>
      <w:r>
        <w:rPr>
          <w:rFonts w:ascii="Arial" w:hAnsi="Arial"/>
          <w:color w:val="231F20"/>
          <w:spacing w:val="36"/>
          <w:w w:val="105"/>
          <w:sz w:val="19"/>
        </w:rPr>
        <w:t> </w:t>
      </w:r>
      <w:r>
        <w:rPr>
          <w:rFonts w:ascii="Arial" w:hAnsi="Arial"/>
          <w:color w:val="231F20"/>
          <w:w w:val="105"/>
          <w:sz w:val="19"/>
        </w:rPr>
        <w:t>SD</w:t>
      </w:r>
      <w:r>
        <w:rPr>
          <w:rFonts w:ascii="Arial" w:hAnsi="Arial"/>
          <w:color w:val="231F20"/>
          <w:spacing w:val="37"/>
          <w:w w:val="105"/>
          <w:sz w:val="19"/>
        </w:rPr>
        <w:t> </w:t>
      </w:r>
      <w:r>
        <w:rPr>
          <w:rFonts w:ascii="Symbol" w:hAnsi="Symbol"/>
          <w:color w:val="231F20"/>
          <w:w w:val="105"/>
          <w:sz w:val="21"/>
        </w:rPr>
        <w:t></w:t>
      </w:r>
      <w:r>
        <w:rPr>
          <w:rFonts w:ascii="Times New Roman" w:hAnsi="Times New Roman"/>
          <w:color w:val="231F20"/>
          <w:spacing w:val="38"/>
          <w:w w:val="105"/>
          <w:sz w:val="21"/>
        </w:rPr>
        <w:t> </w:t>
      </w:r>
      <w:r>
        <w:rPr>
          <w:rFonts w:ascii="Arial" w:hAnsi="Arial"/>
          <w:color w:val="231F20"/>
          <w:spacing w:val="-4"/>
          <w:w w:val="105"/>
          <w:sz w:val="19"/>
        </w:rPr>
        <w:t>.4772</w:t>
      </w:r>
    </w:p>
    <w:p>
      <w:pPr>
        <w:pStyle w:val="BodyText"/>
        <w:rPr>
          <w:rFonts w:ascii="Arial"/>
          <w:sz w:val="22"/>
        </w:rPr>
      </w:pPr>
    </w:p>
    <w:p>
      <w:pPr>
        <w:pStyle w:val="BodyText"/>
        <w:rPr>
          <w:rFonts w:ascii="Arial"/>
          <w:sz w:val="22"/>
        </w:rPr>
      </w:pPr>
    </w:p>
    <w:p>
      <w:pPr>
        <w:pStyle w:val="BodyText"/>
        <w:spacing w:before="9"/>
        <w:rPr>
          <w:rFonts w:ascii="Arial"/>
          <w:sz w:val="31"/>
        </w:rPr>
      </w:pPr>
    </w:p>
    <w:p>
      <w:pPr>
        <w:spacing w:before="0"/>
        <w:ind w:left="293" w:right="219" w:firstLine="0"/>
        <w:jc w:val="center"/>
        <w:rPr>
          <w:rFonts w:ascii="Arial"/>
          <w:sz w:val="14"/>
        </w:rPr>
      </w:pPr>
      <w:r>
        <w:rPr>
          <w:rFonts w:ascii="Arial"/>
          <w:color w:val="231F20"/>
          <w:w w:val="105"/>
          <w:sz w:val="14"/>
        </w:rPr>
        <w:t>THE</w:t>
      </w:r>
      <w:r>
        <w:rPr>
          <w:rFonts w:ascii="Arial"/>
          <w:color w:val="231F20"/>
          <w:spacing w:val="33"/>
          <w:w w:val="105"/>
          <w:sz w:val="14"/>
        </w:rPr>
        <w:t> </w:t>
      </w:r>
      <w:r>
        <w:rPr>
          <w:rFonts w:ascii="Arial"/>
          <w:color w:val="231F20"/>
          <w:w w:val="105"/>
          <w:sz w:val="14"/>
        </w:rPr>
        <w:t>BELL-SHAPED</w:t>
      </w:r>
      <w:r>
        <w:rPr>
          <w:rFonts w:ascii="Arial"/>
          <w:color w:val="231F20"/>
          <w:spacing w:val="34"/>
          <w:w w:val="105"/>
          <w:sz w:val="14"/>
        </w:rPr>
        <w:t> </w:t>
      </w:r>
      <w:r>
        <w:rPr>
          <w:rFonts w:ascii="Arial"/>
          <w:color w:val="231F20"/>
          <w:w w:val="105"/>
          <w:sz w:val="14"/>
        </w:rPr>
        <w:t>GRADING</w:t>
      </w:r>
      <w:r>
        <w:rPr>
          <w:rFonts w:ascii="Arial"/>
          <w:color w:val="231F20"/>
          <w:spacing w:val="33"/>
          <w:w w:val="105"/>
          <w:sz w:val="14"/>
        </w:rPr>
        <w:t> </w:t>
      </w:r>
      <w:r>
        <w:rPr>
          <w:rFonts w:ascii="Arial"/>
          <w:color w:val="231F20"/>
          <w:spacing w:val="-2"/>
          <w:w w:val="105"/>
          <w:sz w:val="14"/>
        </w:rPr>
        <w:t>CURVE</w:t>
      </w:r>
    </w:p>
    <w:p>
      <w:pPr>
        <w:pStyle w:val="BodyText"/>
        <w:spacing w:before="7"/>
        <w:rPr>
          <w:rFonts w:ascii="Arial"/>
          <w:sz w:val="14"/>
        </w:rPr>
      </w:pPr>
      <w:r>
        <w:rPr/>
        <w:drawing>
          <wp:anchor distT="0" distB="0" distL="0" distR="0" allowOverlap="1" layoutInCell="1" locked="0" behindDoc="0" simplePos="0" relativeHeight="209">
            <wp:simplePos x="0" y="0"/>
            <wp:positionH relativeFrom="page">
              <wp:posOffset>715509</wp:posOffset>
            </wp:positionH>
            <wp:positionV relativeFrom="paragraph">
              <wp:posOffset>122008</wp:posOffset>
            </wp:positionV>
            <wp:extent cx="3946035" cy="2256282"/>
            <wp:effectExtent l="0" t="0" r="0" b="0"/>
            <wp:wrapTopAndBottom/>
            <wp:docPr id="75" name="image45.png"/>
            <wp:cNvGraphicFramePr>
              <a:graphicFrameLocks noChangeAspect="1"/>
            </wp:cNvGraphicFramePr>
            <a:graphic>
              <a:graphicData uri="http://schemas.openxmlformats.org/drawingml/2006/picture">
                <pic:pic>
                  <pic:nvPicPr>
                    <pic:cNvPr id="76" name="image45.png"/>
                    <pic:cNvPicPr/>
                  </pic:nvPicPr>
                  <pic:blipFill>
                    <a:blip r:embed="rId70" cstate="print"/>
                    <a:stretch>
                      <a:fillRect/>
                    </a:stretch>
                  </pic:blipFill>
                  <pic:spPr>
                    <a:xfrm>
                      <a:off x="0" y="0"/>
                      <a:ext cx="3946035" cy="2256282"/>
                    </a:xfrm>
                    <a:prstGeom prst="rect">
                      <a:avLst/>
                    </a:prstGeom>
                  </pic:spPr>
                </pic:pic>
              </a:graphicData>
            </a:graphic>
          </wp:anchor>
        </w:drawing>
      </w:r>
    </w:p>
    <w:p>
      <w:pPr>
        <w:spacing w:after="0"/>
        <w:rPr>
          <w:rFonts w:ascii="Arial"/>
          <w:sz w:val="14"/>
        </w:rPr>
        <w:sectPr>
          <w:pgSz w:w="8640" w:h="12960"/>
          <w:pgMar w:header="732" w:footer="0" w:top="920" w:bottom="280" w:left="340" w:right="500"/>
        </w:sectPr>
      </w:pPr>
    </w:p>
    <w:p>
      <w:pPr>
        <w:pStyle w:val="BodyText"/>
        <w:rPr>
          <w:rFonts w:ascii="Arial"/>
          <w:sz w:val="20"/>
        </w:rPr>
      </w:pPr>
    </w:p>
    <w:p>
      <w:pPr>
        <w:spacing w:before="96"/>
        <w:ind w:left="468" w:right="219" w:firstLine="0"/>
        <w:jc w:val="center"/>
        <w:rPr>
          <w:rFonts w:ascii="Arial"/>
          <w:sz w:val="14"/>
        </w:rPr>
      </w:pPr>
      <w:r>
        <w:rPr>
          <w:rFonts w:ascii="Arial"/>
          <w:color w:val="231F20"/>
          <w:w w:val="105"/>
          <w:sz w:val="14"/>
        </w:rPr>
        <w:t>PROBABILITY</w:t>
      </w:r>
      <w:r>
        <w:rPr>
          <w:rFonts w:ascii="Arial"/>
          <w:color w:val="231F20"/>
          <w:spacing w:val="37"/>
          <w:w w:val="105"/>
          <w:sz w:val="14"/>
        </w:rPr>
        <w:t> </w:t>
      </w:r>
      <w:r>
        <w:rPr>
          <w:rFonts w:ascii="Arial"/>
          <w:color w:val="231F20"/>
          <w:w w:val="105"/>
          <w:sz w:val="14"/>
        </w:rPr>
        <w:t>DENSITY</w:t>
      </w:r>
      <w:r>
        <w:rPr>
          <w:rFonts w:ascii="Arial"/>
          <w:color w:val="231F20"/>
          <w:spacing w:val="38"/>
          <w:w w:val="105"/>
          <w:sz w:val="14"/>
        </w:rPr>
        <w:t> </w:t>
      </w:r>
      <w:r>
        <w:rPr>
          <w:rFonts w:ascii="Arial"/>
          <w:color w:val="231F20"/>
          <w:w w:val="105"/>
          <w:sz w:val="14"/>
        </w:rPr>
        <w:t>FUNCTION</w:t>
      </w:r>
      <w:r>
        <w:rPr>
          <w:rFonts w:ascii="Arial"/>
          <w:color w:val="231F20"/>
          <w:spacing w:val="38"/>
          <w:w w:val="105"/>
          <w:sz w:val="14"/>
        </w:rPr>
        <w:t> </w:t>
      </w:r>
      <w:r>
        <w:rPr>
          <w:rFonts w:ascii="Arial"/>
          <w:color w:val="231F20"/>
          <w:w w:val="105"/>
          <w:sz w:val="14"/>
        </w:rPr>
        <w:t>OF</w:t>
      </w:r>
      <w:r>
        <w:rPr>
          <w:rFonts w:ascii="Arial"/>
          <w:color w:val="231F20"/>
          <w:spacing w:val="37"/>
          <w:w w:val="105"/>
          <w:sz w:val="14"/>
        </w:rPr>
        <w:t> </w:t>
      </w:r>
      <w:r>
        <w:rPr>
          <w:rFonts w:ascii="Arial"/>
          <w:color w:val="231F20"/>
          <w:w w:val="105"/>
          <w:sz w:val="14"/>
        </w:rPr>
        <w:t>RAIN</w:t>
      </w:r>
      <w:r>
        <w:rPr>
          <w:rFonts w:ascii="Arial"/>
          <w:color w:val="231F20"/>
          <w:spacing w:val="38"/>
          <w:w w:val="105"/>
          <w:sz w:val="14"/>
        </w:rPr>
        <w:t> </w:t>
      </w:r>
      <w:r>
        <w:rPr>
          <w:rFonts w:ascii="Arial"/>
          <w:color w:val="231F20"/>
          <w:spacing w:val="-2"/>
          <w:w w:val="105"/>
          <w:sz w:val="14"/>
        </w:rPr>
        <w:t>MEASUREMENTS</w:t>
      </w:r>
    </w:p>
    <w:p>
      <w:pPr>
        <w:spacing w:line="357" w:lineRule="auto" w:before="79"/>
        <w:ind w:left="3083" w:right="2831" w:firstLine="0"/>
        <w:jc w:val="center"/>
        <w:rPr>
          <w:rFonts w:ascii="Arial" w:hAnsi="Arial"/>
          <w:sz w:val="14"/>
        </w:rPr>
      </w:pPr>
      <w:r>
        <w:rPr>
          <w:rFonts w:ascii="Arial" w:hAnsi="Arial"/>
          <w:color w:val="231F20"/>
          <w:w w:val="110"/>
          <w:sz w:val="14"/>
        </w:rPr>
        <w:t>Daily Rainfall in Seattle 1970–</w:t>
      </w:r>
      <w:r>
        <w:rPr>
          <w:rFonts w:ascii="Arial" w:hAnsi="Arial"/>
          <w:color w:val="231F20"/>
          <w:spacing w:val="-29"/>
          <w:w w:val="110"/>
          <w:sz w:val="14"/>
        </w:rPr>
        <w:t> </w:t>
      </w:r>
      <w:r>
        <w:rPr>
          <w:rFonts w:ascii="Arial" w:hAnsi="Arial"/>
          <w:color w:val="231F20"/>
          <w:w w:val="110"/>
          <w:sz w:val="14"/>
        </w:rPr>
        <w:t>2000</w:t>
      </w:r>
      <w:r>
        <w:rPr>
          <w:rFonts w:ascii="Arial" w:hAnsi="Arial"/>
          <w:color w:val="231F20"/>
          <w:spacing w:val="-11"/>
          <w:w w:val="110"/>
          <w:sz w:val="14"/>
        </w:rPr>
        <w:t> </w:t>
      </w:r>
      <w:r>
        <w:rPr>
          <w:rFonts w:ascii="Arial" w:hAnsi="Arial"/>
          <w:color w:val="231F20"/>
          <w:w w:val="110"/>
          <w:sz w:val="14"/>
        </w:rPr>
        <w:t>(10,950</w:t>
      </w:r>
      <w:r>
        <w:rPr>
          <w:rFonts w:ascii="Arial" w:hAnsi="Arial"/>
          <w:color w:val="231F20"/>
          <w:spacing w:val="-11"/>
          <w:w w:val="110"/>
          <w:sz w:val="14"/>
        </w:rPr>
        <w:t> </w:t>
      </w:r>
      <w:r>
        <w:rPr>
          <w:rFonts w:ascii="Arial" w:hAnsi="Arial"/>
          <w:color w:val="231F20"/>
          <w:w w:val="110"/>
          <w:sz w:val="14"/>
        </w:rPr>
        <w:t>days)</w:t>
      </w:r>
    </w:p>
    <w:p>
      <w:pPr>
        <w:pStyle w:val="BodyText"/>
        <w:spacing w:before="10"/>
        <w:rPr>
          <w:rFonts w:ascii="Arial"/>
          <w:sz w:val="8"/>
        </w:rPr>
      </w:pPr>
      <w:r>
        <w:rPr/>
        <w:drawing>
          <wp:anchor distT="0" distB="0" distL="0" distR="0" allowOverlap="1" layoutInCell="1" locked="0" behindDoc="0" simplePos="0" relativeHeight="210">
            <wp:simplePos x="0" y="0"/>
            <wp:positionH relativeFrom="page">
              <wp:posOffset>1153406</wp:posOffset>
            </wp:positionH>
            <wp:positionV relativeFrom="paragraph">
              <wp:posOffset>80607</wp:posOffset>
            </wp:positionV>
            <wp:extent cx="3557667" cy="2584704"/>
            <wp:effectExtent l="0" t="0" r="0" b="0"/>
            <wp:wrapTopAndBottom/>
            <wp:docPr id="77" name="image46.png"/>
            <wp:cNvGraphicFramePr>
              <a:graphicFrameLocks noChangeAspect="1"/>
            </wp:cNvGraphicFramePr>
            <a:graphic>
              <a:graphicData uri="http://schemas.openxmlformats.org/drawingml/2006/picture">
                <pic:pic>
                  <pic:nvPicPr>
                    <pic:cNvPr id="78" name="image46.png"/>
                    <pic:cNvPicPr/>
                  </pic:nvPicPr>
                  <pic:blipFill>
                    <a:blip r:embed="rId71" cstate="print"/>
                    <a:stretch>
                      <a:fillRect/>
                    </a:stretch>
                  </pic:blipFill>
                  <pic:spPr>
                    <a:xfrm>
                      <a:off x="0" y="0"/>
                      <a:ext cx="3557667" cy="2584704"/>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spacing w:before="102"/>
        <w:ind w:left="1260" w:right="0" w:firstLine="0"/>
        <w:jc w:val="left"/>
        <w:rPr>
          <w:rFonts w:ascii="Arial" w:hAnsi="Arial"/>
          <w:sz w:val="19"/>
        </w:rPr>
      </w:pPr>
      <w:r>
        <w:rPr>
          <w:rFonts w:ascii="Arial" w:hAnsi="Arial"/>
          <w:color w:val="231F20"/>
          <w:w w:val="110"/>
          <w:sz w:val="19"/>
        </w:rPr>
        <w:t>3</w:t>
      </w:r>
      <w:r>
        <w:rPr>
          <w:rFonts w:ascii="Arial" w:hAnsi="Arial"/>
          <w:color w:val="231F20"/>
          <w:spacing w:val="23"/>
          <w:w w:val="110"/>
          <w:sz w:val="19"/>
        </w:rPr>
        <w:t> </w:t>
      </w:r>
      <w:r>
        <w:rPr>
          <w:rFonts w:ascii="Arial" w:hAnsi="Arial"/>
          <w:color w:val="231F20"/>
          <w:w w:val="110"/>
          <w:sz w:val="19"/>
        </w:rPr>
        <w:t>SD</w:t>
      </w:r>
      <w:r>
        <w:rPr>
          <w:rFonts w:ascii="Arial" w:hAnsi="Arial"/>
          <w:color w:val="231F20"/>
          <w:spacing w:val="28"/>
          <w:w w:val="110"/>
          <w:sz w:val="19"/>
        </w:rPr>
        <w:t> </w:t>
      </w:r>
      <w:r>
        <w:rPr>
          <w:rFonts w:ascii="Symbol" w:hAnsi="Symbol"/>
          <w:color w:val="231F20"/>
          <w:w w:val="110"/>
          <w:sz w:val="21"/>
        </w:rPr>
        <w:t></w:t>
      </w:r>
      <w:r>
        <w:rPr>
          <w:rFonts w:ascii="Times New Roman" w:hAnsi="Times New Roman"/>
          <w:color w:val="231F20"/>
          <w:spacing w:val="29"/>
          <w:w w:val="110"/>
          <w:sz w:val="21"/>
        </w:rPr>
        <w:t> </w:t>
      </w:r>
      <w:r>
        <w:rPr>
          <w:rFonts w:ascii="Arial" w:hAnsi="Arial"/>
          <w:color w:val="231F20"/>
          <w:spacing w:val="-2"/>
          <w:w w:val="110"/>
          <w:sz w:val="19"/>
        </w:rPr>
        <w:t>.49865</w:t>
      </w:r>
    </w:p>
    <w:p>
      <w:pPr>
        <w:spacing w:before="43"/>
        <w:ind w:left="1259" w:right="0" w:firstLine="0"/>
        <w:jc w:val="left"/>
        <w:rPr>
          <w:rFonts w:ascii="Arial" w:hAnsi="Arial"/>
          <w:sz w:val="19"/>
        </w:rPr>
      </w:pPr>
      <w:r>
        <w:rPr>
          <w:rFonts w:ascii="Arial" w:hAnsi="Arial"/>
          <w:color w:val="231F20"/>
          <w:w w:val="110"/>
          <w:sz w:val="19"/>
        </w:rPr>
        <w:t>4</w:t>
      </w:r>
      <w:r>
        <w:rPr>
          <w:rFonts w:ascii="Arial" w:hAnsi="Arial"/>
          <w:color w:val="231F20"/>
          <w:spacing w:val="17"/>
          <w:w w:val="110"/>
          <w:sz w:val="19"/>
        </w:rPr>
        <w:t> </w:t>
      </w:r>
      <w:r>
        <w:rPr>
          <w:rFonts w:ascii="Arial" w:hAnsi="Arial"/>
          <w:color w:val="231F20"/>
          <w:w w:val="110"/>
          <w:sz w:val="19"/>
        </w:rPr>
        <w:t>SD</w:t>
      </w:r>
      <w:r>
        <w:rPr>
          <w:rFonts w:ascii="Arial" w:hAnsi="Arial"/>
          <w:color w:val="231F20"/>
          <w:spacing w:val="31"/>
          <w:w w:val="110"/>
          <w:sz w:val="19"/>
        </w:rPr>
        <w:t> </w:t>
      </w:r>
      <w:r>
        <w:rPr>
          <w:rFonts w:ascii="Symbol" w:hAnsi="Symbol"/>
          <w:color w:val="231F20"/>
          <w:w w:val="110"/>
          <w:sz w:val="21"/>
        </w:rPr>
        <w:t></w:t>
      </w:r>
      <w:r>
        <w:rPr>
          <w:rFonts w:ascii="Times New Roman" w:hAnsi="Times New Roman"/>
          <w:color w:val="231F20"/>
          <w:spacing w:val="32"/>
          <w:w w:val="110"/>
          <w:sz w:val="21"/>
        </w:rPr>
        <w:t> </w:t>
      </w:r>
      <w:r>
        <w:rPr>
          <w:rFonts w:ascii="Arial" w:hAnsi="Arial"/>
          <w:color w:val="231F20"/>
          <w:spacing w:val="-2"/>
          <w:w w:val="110"/>
          <w:sz w:val="19"/>
        </w:rPr>
        <w:t>.4999683</w:t>
      </w:r>
    </w:p>
    <w:p>
      <w:pPr>
        <w:pStyle w:val="BodyText"/>
        <w:spacing w:before="9"/>
        <w:rPr>
          <w:rFonts w:ascii="Arial"/>
          <w:sz w:val="30"/>
        </w:rPr>
      </w:pPr>
    </w:p>
    <w:p>
      <w:pPr>
        <w:pStyle w:val="BodyText"/>
        <w:ind w:left="1260"/>
        <w:jc w:val="both"/>
      </w:pPr>
      <w:r>
        <w:rPr>
          <w:color w:val="231F20"/>
        </w:rPr>
        <w:t>Using</w:t>
      </w:r>
      <w:r>
        <w:rPr>
          <w:color w:val="231F20"/>
          <w:spacing w:val="6"/>
        </w:rPr>
        <w:t> </w:t>
      </w:r>
      <w:r>
        <w:rPr>
          <w:color w:val="231F20"/>
        </w:rPr>
        <w:t>these</w:t>
      </w:r>
      <w:r>
        <w:rPr>
          <w:color w:val="231F20"/>
          <w:spacing w:val="7"/>
        </w:rPr>
        <w:t> </w:t>
      </w:r>
      <w:r>
        <w:rPr>
          <w:color w:val="231F20"/>
        </w:rPr>
        <w:t>rules,</w:t>
      </w:r>
      <w:r>
        <w:rPr>
          <w:color w:val="231F20"/>
          <w:spacing w:val="7"/>
        </w:rPr>
        <w:t> </w:t>
      </w:r>
      <w:r>
        <w:rPr>
          <w:color w:val="231F20"/>
        </w:rPr>
        <w:t>if</w:t>
      </w:r>
      <w:r>
        <w:rPr>
          <w:color w:val="231F20"/>
          <w:spacing w:val="7"/>
        </w:rPr>
        <w:t> </w:t>
      </w:r>
      <w:r>
        <w:rPr>
          <w:color w:val="231F20"/>
        </w:rPr>
        <w:t>Mr.</w:t>
      </w:r>
      <w:r>
        <w:rPr>
          <w:color w:val="231F20"/>
          <w:spacing w:val="7"/>
        </w:rPr>
        <w:t> </w:t>
      </w:r>
      <w:r>
        <w:rPr>
          <w:color w:val="231F20"/>
        </w:rPr>
        <w:t>Bundy</w:t>
      </w:r>
      <w:r>
        <w:rPr>
          <w:color w:val="231F20"/>
          <w:spacing w:val="7"/>
        </w:rPr>
        <w:t> </w:t>
      </w:r>
      <w:r>
        <w:rPr>
          <w:color w:val="231F20"/>
        </w:rPr>
        <w:t>stocks</w:t>
      </w:r>
      <w:r>
        <w:rPr>
          <w:color w:val="231F20"/>
          <w:spacing w:val="7"/>
        </w:rPr>
        <w:t> </w:t>
      </w:r>
      <w:r>
        <w:rPr>
          <w:color w:val="231F20"/>
        </w:rPr>
        <w:t>sizes</w:t>
      </w:r>
      <w:r>
        <w:rPr>
          <w:color w:val="231F20"/>
          <w:spacing w:val="7"/>
        </w:rPr>
        <w:t> </w:t>
      </w:r>
      <w:r>
        <w:rPr>
          <w:color w:val="231F20"/>
        </w:rPr>
        <w:t>5</w:t>
      </w:r>
      <w:r>
        <w:rPr>
          <w:color w:val="231F20"/>
          <w:spacing w:val="7"/>
        </w:rPr>
        <w:t> </w:t>
      </w:r>
      <w:r>
        <w:rPr>
          <w:color w:val="231F20"/>
        </w:rPr>
        <w:t>to</w:t>
      </w:r>
      <w:r>
        <w:rPr>
          <w:color w:val="231F20"/>
          <w:spacing w:val="7"/>
        </w:rPr>
        <w:t> </w:t>
      </w:r>
      <w:r>
        <w:rPr>
          <w:color w:val="231F20"/>
        </w:rPr>
        <w:t>9</w:t>
      </w:r>
      <w:r>
        <w:rPr>
          <w:color w:val="231F20"/>
          <w:spacing w:val="7"/>
        </w:rPr>
        <w:t> </w:t>
      </w:r>
      <w:r>
        <w:rPr>
          <w:color w:val="231F20"/>
        </w:rPr>
        <w:t>he</w:t>
      </w:r>
      <w:r>
        <w:rPr>
          <w:color w:val="231F20"/>
          <w:spacing w:val="7"/>
        </w:rPr>
        <w:t> </w:t>
      </w:r>
      <w:r>
        <w:rPr>
          <w:color w:val="231F20"/>
        </w:rPr>
        <w:t>has</w:t>
      </w:r>
      <w:r>
        <w:rPr>
          <w:color w:val="231F20"/>
          <w:spacing w:val="7"/>
        </w:rPr>
        <w:t> </w:t>
      </w:r>
      <w:r>
        <w:rPr>
          <w:color w:val="231F20"/>
          <w:spacing w:val="-2"/>
        </w:rPr>
        <w:t>covered</w:t>
      </w:r>
    </w:p>
    <w:p>
      <w:pPr>
        <w:pStyle w:val="BodyText"/>
        <w:spacing w:line="290" w:lineRule="auto" w:before="42"/>
        <w:ind w:left="920" w:right="666"/>
        <w:jc w:val="both"/>
      </w:pPr>
      <w:r>
        <w:rPr>
          <w:color w:val="231F20"/>
          <w:w w:val="105"/>
        </w:rPr>
        <w:t>.6826</w:t>
      </w:r>
      <w:r>
        <w:rPr>
          <w:color w:val="231F20"/>
          <w:spacing w:val="-4"/>
          <w:w w:val="105"/>
        </w:rPr>
        <w:t> </w:t>
      </w:r>
      <w:r>
        <w:rPr>
          <w:color w:val="231F20"/>
          <w:w w:val="105"/>
        </w:rPr>
        <w:t>(2</w:t>
      </w:r>
      <w:r>
        <w:rPr>
          <w:color w:val="231F20"/>
          <w:spacing w:val="-4"/>
          <w:w w:val="105"/>
        </w:rPr>
        <w:t> </w:t>
      </w:r>
      <w:r>
        <w:rPr>
          <w:rFonts w:ascii="Symbol" w:hAnsi="Symbol"/>
          <w:color w:val="231F20"/>
          <w:w w:val="105"/>
        </w:rPr>
        <w:t></w:t>
      </w:r>
      <w:r>
        <w:rPr>
          <w:rFonts w:ascii="Times New Roman" w:hAnsi="Times New Roman"/>
          <w:color w:val="231F20"/>
          <w:spacing w:val="-10"/>
          <w:w w:val="105"/>
        </w:rPr>
        <w:t> </w:t>
      </w:r>
      <w:r>
        <w:rPr>
          <w:color w:val="231F20"/>
          <w:w w:val="105"/>
        </w:rPr>
        <w:t>.3413)</w:t>
      </w:r>
      <w:r>
        <w:rPr>
          <w:color w:val="231F20"/>
          <w:spacing w:val="-4"/>
          <w:w w:val="105"/>
        </w:rPr>
        <w:t> </w:t>
      </w:r>
      <w:r>
        <w:rPr>
          <w:color w:val="231F20"/>
          <w:w w:val="105"/>
        </w:rPr>
        <w:t>of</w:t>
      </w:r>
      <w:r>
        <w:rPr>
          <w:color w:val="231F20"/>
          <w:spacing w:val="-4"/>
          <w:w w:val="105"/>
        </w:rPr>
        <w:t> </w:t>
      </w:r>
      <w:r>
        <w:rPr>
          <w:color w:val="231F20"/>
          <w:w w:val="105"/>
        </w:rPr>
        <w:t>the</w:t>
      </w:r>
      <w:r>
        <w:rPr>
          <w:color w:val="231F20"/>
          <w:spacing w:val="-4"/>
          <w:w w:val="105"/>
        </w:rPr>
        <w:t> </w:t>
      </w:r>
      <w:r>
        <w:rPr>
          <w:color w:val="231F20"/>
          <w:w w:val="105"/>
        </w:rPr>
        <w:t>population.</w:t>
      </w:r>
      <w:r>
        <w:rPr>
          <w:color w:val="231F20"/>
          <w:spacing w:val="-4"/>
          <w:w w:val="105"/>
        </w:rPr>
        <w:t> </w:t>
      </w:r>
      <w:r>
        <w:rPr>
          <w:color w:val="231F20"/>
          <w:w w:val="105"/>
        </w:rPr>
        <w:t>Increasing</w:t>
      </w:r>
      <w:r>
        <w:rPr>
          <w:color w:val="231F20"/>
          <w:spacing w:val="-4"/>
          <w:w w:val="105"/>
        </w:rPr>
        <w:t> </w:t>
      </w:r>
      <w:r>
        <w:rPr>
          <w:color w:val="231F20"/>
          <w:w w:val="105"/>
        </w:rPr>
        <w:t>the</w:t>
      </w:r>
      <w:r>
        <w:rPr>
          <w:color w:val="231F20"/>
          <w:spacing w:val="-4"/>
          <w:w w:val="105"/>
        </w:rPr>
        <w:t> </w:t>
      </w:r>
      <w:r>
        <w:rPr>
          <w:color w:val="231F20"/>
          <w:w w:val="105"/>
        </w:rPr>
        <w:t>sizes</w:t>
      </w:r>
      <w:r>
        <w:rPr>
          <w:color w:val="231F20"/>
          <w:spacing w:val="-4"/>
          <w:w w:val="105"/>
        </w:rPr>
        <w:t> </w:t>
      </w:r>
      <w:r>
        <w:rPr>
          <w:color w:val="231F20"/>
          <w:w w:val="105"/>
        </w:rPr>
        <w:t>to</w:t>
      </w:r>
      <w:r>
        <w:rPr>
          <w:color w:val="231F20"/>
          <w:spacing w:val="-4"/>
          <w:w w:val="105"/>
        </w:rPr>
        <w:t> </w:t>
      </w:r>
      <w:r>
        <w:rPr>
          <w:color w:val="231F20"/>
          <w:w w:val="105"/>
        </w:rPr>
        <w:t>3</w:t>
      </w:r>
      <w:r>
        <w:rPr>
          <w:color w:val="231F20"/>
          <w:spacing w:val="-4"/>
          <w:w w:val="105"/>
        </w:rPr>
        <w:t> </w:t>
      </w:r>
      <w:r>
        <w:rPr>
          <w:color w:val="231F20"/>
          <w:w w:val="105"/>
        </w:rPr>
        <w:t>to</w:t>
      </w:r>
      <w:r>
        <w:rPr>
          <w:color w:val="231F20"/>
          <w:spacing w:val="-4"/>
          <w:w w:val="105"/>
        </w:rPr>
        <w:t> </w:t>
      </w:r>
      <w:r>
        <w:rPr>
          <w:color w:val="231F20"/>
          <w:w w:val="105"/>
        </w:rPr>
        <w:t>11, </w:t>
      </w:r>
      <w:r>
        <w:rPr>
          <w:color w:val="231F20"/>
        </w:rPr>
        <w:t>he</w:t>
      </w:r>
      <w:r>
        <w:rPr>
          <w:color w:val="231F20"/>
          <w:spacing w:val="3"/>
        </w:rPr>
        <w:t> </w:t>
      </w:r>
      <w:r>
        <w:rPr>
          <w:color w:val="231F20"/>
        </w:rPr>
        <w:t>has</w:t>
      </w:r>
      <w:r>
        <w:rPr>
          <w:color w:val="231F20"/>
          <w:spacing w:val="4"/>
        </w:rPr>
        <w:t> </w:t>
      </w:r>
      <w:r>
        <w:rPr>
          <w:color w:val="231F20"/>
        </w:rPr>
        <w:t>covered</w:t>
      </w:r>
      <w:r>
        <w:rPr>
          <w:color w:val="231F20"/>
          <w:spacing w:val="4"/>
        </w:rPr>
        <w:t> </w:t>
      </w:r>
      <w:r>
        <w:rPr>
          <w:color w:val="231F20"/>
        </w:rPr>
        <w:t>.9544</w:t>
      </w:r>
      <w:r>
        <w:rPr>
          <w:color w:val="231F20"/>
          <w:spacing w:val="4"/>
        </w:rPr>
        <w:t> </w:t>
      </w:r>
      <w:r>
        <w:rPr>
          <w:color w:val="231F20"/>
        </w:rPr>
        <w:t>of</w:t>
      </w:r>
      <w:r>
        <w:rPr>
          <w:color w:val="231F20"/>
          <w:spacing w:val="4"/>
        </w:rPr>
        <w:t> </w:t>
      </w:r>
      <w:r>
        <w:rPr>
          <w:color w:val="231F20"/>
        </w:rPr>
        <w:t>the</w:t>
      </w:r>
      <w:r>
        <w:rPr>
          <w:color w:val="231F20"/>
          <w:spacing w:val="3"/>
        </w:rPr>
        <w:t> </w:t>
      </w:r>
      <w:r>
        <w:rPr>
          <w:color w:val="231F20"/>
        </w:rPr>
        <w:t>feet</w:t>
      </w:r>
      <w:r>
        <w:rPr>
          <w:color w:val="231F20"/>
          <w:spacing w:val="4"/>
        </w:rPr>
        <w:t> </w:t>
      </w:r>
      <w:r>
        <w:rPr>
          <w:color w:val="231F20"/>
        </w:rPr>
        <w:t>out</w:t>
      </w:r>
      <w:r>
        <w:rPr>
          <w:color w:val="231F20"/>
          <w:spacing w:val="4"/>
        </w:rPr>
        <w:t> </w:t>
      </w:r>
      <w:r>
        <w:rPr>
          <w:color w:val="231F20"/>
        </w:rPr>
        <w:t>there.</w:t>
      </w:r>
      <w:r>
        <w:rPr>
          <w:color w:val="231F20"/>
          <w:spacing w:val="4"/>
        </w:rPr>
        <w:t> </w:t>
      </w:r>
      <w:r>
        <w:rPr>
          <w:color w:val="231F20"/>
        </w:rPr>
        <w:t>If</w:t>
      </w:r>
      <w:r>
        <w:rPr>
          <w:color w:val="231F20"/>
          <w:spacing w:val="4"/>
        </w:rPr>
        <w:t> </w:t>
      </w:r>
      <w:r>
        <w:rPr>
          <w:color w:val="231F20"/>
        </w:rPr>
        <w:t>Al</w:t>
      </w:r>
      <w:r>
        <w:rPr>
          <w:color w:val="231F20"/>
          <w:spacing w:val="3"/>
        </w:rPr>
        <w:t> </w:t>
      </w:r>
      <w:r>
        <w:rPr>
          <w:color w:val="231F20"/>
        </w:rPr>
        <w:t>stocked</w:t>
      </w:r>
      <w:r>
        <w:rPr>
          <w:color w:val="231F20"/>
          <w:spacing w:val="4"/>
        </w:rPr>
        <w:t> </w:t>
      </w:r>
      <w:r>
        <w:rPr>
          <w:color w:val="231F20"/>
        </w:rPr>
        <w:t>sizes</w:t>
      </w:r>
      <w:r>
        <w:rPr>
          <w:color w:val="231F20"/>
          <w:spacing w:val="4"/>
        </w:rPr>
        <w:t> </w:t>
      </w:r>
      <w:r>
        <w:rPr>
          <w:color w:val="231F20"/>
        </w:rPr>
        <w:t>1</w:t>
      </w:r>
      <w:r>
        <w:rPr>
          <w:color w:val="231F20"/>
          <w:spacing w:val="4"/>
        </w:rPr>
        <w:t> </w:t>
      </w:r>
      <w:r>
        <w:rPr>
          <w:color w:val="231F20"/>
        </w:rPr>
        <w:t>to</w:t>
      </w:r>
      <w:r>
        <w:rPr>
          <w:color w:val="231F20"/>
          <w:spacing w:val="4"/>
        </w:rPr>
        <w:t> </w:t>
      </w:r>
      <w:r>
        <w:rPr>
          <w:color w:val="231F20"/>
          <w:spacing w:val="-5"/>
        </w:rPr>
        <w:t>13,</w:t>
      </w:r>
    </w:p>
    <w:p>
      <w:pPr>
        <w:pStyle w:val="BodyText"/>
        <w:spacing w:line="292" w:lineRule="auto" w:before="2"/>
        <w:ind w:left="920" w:right="666"/>
        <w:jc w:val="both"/>
      </w:pPr>
      <w:r>
        <w:rPr>
          <w:color w:val="231F20"/>
        </w:rPr>
        <w:t>.9973 of customers at his store would be satisfied with his </w:t>
      </w:r>
      <w:r>
        <w:rPr>
          <w:color w:val="231F20"/>
        </w:rPr>
        <w:t>selection. He can always special-order for those feet beyond sizes 1 to 13.</w:t>
      </w:r>
    </w:p>
    <w:p>
      <w:pPr>
        <w:pStyle w:val="BodyText"/>
        <w:spacing w:line="292" w:lineRule="auto"/>
        <w:ind w:left="920" w:right="666" w:firstLine="340"/>
        <w:jc w:val="both"/>
      </w:pPr>
      <w:r>
        <w:rPr>
          <w:color w:val="231F20"/>
        </w:rPr>
        <w:t>Of course normal distribution tables have been developed to </w:t>
      </w:r>
      <w:r>
        <w:rPr>
          <w:color w:val="231F20"/>
        </w:rPr>
        <w:t>de- termine the probability for any specific point on the curve (noninte- ger SDs away from the mean). To use the tables, a </w:t>
      </w:r>
      <w:r>
        <w:rPr>
          <w:i/>
          <w:color w:val="231F20"/>
          <w:w w:val="115"/>
        </w:rPr>
        <w:t>Z </w:t>
      </w:r>
      <w:r>
        <w:rPr>
          <w:i/>
          <w:color w:val="231F20"/>
        </w:rPr>
        <w:t>value </w:t>
      </w:r>
      <w:r>
        <w:rPr>
          <w:color w:val="231F20"/>
        </w:rPr>
        <w:t>must be </w:t>
      </w:r>
      <w:r>
        <w:rPr>
          <w:color w:val="231F20"/>
          <w:spacing w:val="-2"/>
        </w:rPr>
        <w:t>calculated.</w:t>
      </w:r>
    </w:p>
    <w:p>
      <w:pPr>
        <w:pStyle w:val="BodyText"/>
        <w:spacing w:before="9"/>
        <w:rPr>
          <w:sz w:val="16"/>
        </w:rPr>
      </w:pPr>
    </w:p>
    <w:p>
      <w:pPr>
        <w:pStyle w:val="BodyText"/>
        <w:tabs>
          <w:tab w:pos="2574" w:val="left" w:leader="none"/>
        </w:tabs>
        <w:spacing w:line="180" w:lineRule="auto" w:before="116"/>
        <w:ind w:left="258"/>
        <w:jc w:val="center"/>
      </w:pPr>
      <w:r>
        <w:rPr/>
        <w:pict>
          <v:line style="position:absolute;mso-position-horizontal-relative:page;mso-position-vertical-relative:paragraph;z-index:-25121280" from="166pt,19.299320pt" to="290.5pt,19.299320pt" stroked="true" strokeweight=".5pt" strokecolor="#231f20">
            <v:stroke dashstyle="solid"/>
            <w10:wrap type="none"/>
          </v:line>
        </w:pict>
      </w:r>
      <w:r>
        <w:rPr/>
        <w:pict>
          <v:rect style="position:absolute;margin-left:252.926544pt;margin-top:12.17417pt;width:4.93095pt;height:.7242pt;mso-position-horizontal-relative:page;mso-position-vertical-relative:paragraph;z-index:-25120768" id="docshape320" filled="true" fillcolor="#231f20" stroked="false">
            <v:fill type="solid"/>
            <w10:wrap type="none"/>
          </v:rect>
        </w:pict>
      </w:r>
      <w:r>
        <w:rPr>
          <w:color w:val="231F20"/>
          <w:w w:val="105"/>
          <w:position w:val="-14"/>
        </w:rPr>
        <w:t>Z</w:t>
      </w:r>
      <w:r>
        <w:rPr>
          <w:color w:val="231F20"/>
          <w:spacing w:val="9"/>
          <w:w w:val="105"/>
          <w:position w:val="-14"/>
        </w:rPr>
        <w:t> </w:t>
      </w:r>
      <w:r>
        <w:rPr>
          <w:rFonts w:ascii="Symbol" w:hAnsi="Symbol"/>
          <w:color w:val="231F20"/>
          <w:w w:val="105"/>
          <w:position w:val="-14"/>
        </w:rPr>
        <w:t></w:t>
      </w:r>
      <w:r>
        <w:rPr>
          <w:rFonts w:ascii="Times New Roman" w:hAnsi="Times New Roman"/>
          <w:color w:val="231F20"/>
          <w:spacing w:val="2"/>
          <w:w w:val="105"/>
          <w:position w:val="-14"/>
        </w:rPr>
        <w:t> </w:t>
      </w:r>
      <w:r>
        <w:rPr>
          <w:color w:val="231F20"/>
          <w:w w:val="105"/>
        </w:rPr>
        <w:t>[(Point</w:t>
      </w:r>
      <w:r>
        <w:rPr>
          <w:color w:val="231F20"/>
          <w:spacing w:val="10"/>
          <w:w w:val="105"/>
        </w:rPr>
        <w:t> </w:t>
      </w:r>
      <w:r>
        <w:rPr>
          <w:color w:val="231F20"/>
          <w:w w:val="105"/>
        </w:rPr>
        <w:t>of</w:t>
      </w:r>
      <w:r>
        <w:rPr>
          <w:color w:val="231F20"/>
          <w:spacing w:val="9"/>
          <w:w w:val="105"/>
        </w:rPr>
        <w:t> </w:t>
      </w:r>
      <w:r>
        <w:rPr>
          <w:color w:val="231F20"/>
          <w:spacing w:val="-2"/>
          <w:w w:val="105"/>
        </w:rPr>
        <w:t>Interest)</w:t>
      </w:r>
      <w:r>
        <w:rPr>
          <w:color w:val="231F20"/>
        </w:rPr>
        <w:tab/>
      </w:r>
      <w:r>
        <w:rPr>
          <w:color w:val="231F20"/>
          <w:spacing w:val="-2"/>
          <w:w w:val="105"/>
        </w:rPr>
        <w:t>Mean]</w:t>
      </w:r>
    </w:p>
    <w:p>
      <w:pPr>
        <w:pStyle w:val="BodyText"/>
        <w:spacing w:line="197" w:lineRule="exact"/>
        <w:ind w:left="871" w:right="219"/>
        <w:jc w:val="center"/>
      </w:pPr>
      <w:r>
        <w:rPr>
          <w:color w:val="231F20"/>
          <w:spacing w:val="-5"/>
          <w:w w:val="110"/>
        </w:rPr>
        <w:t>SD</w:t>
      </w:r>
    </w:p>
    <w:p>
      <w:pPr>
        <w:spacing w:after="0" w:line="197" w:lineRule="exact"/>
        <w:jc w:val="center"/>
        <w:sectPr>
          <w:pgSz w:w="8640" w:h="12960"/>
          <w:pgMar w:header="734" w:footer="0" w:top="920" w:bottom="280" w:left="340" w:right="500"/>
        </w:sectPr>
      </w:pPr>
    </w:p>
    <w:p>
      <w:pPr>
        <w:pStyle w:val="BodyText"/>
        <w:spacing w:before="10"/>
        <w:rPr>
          <w:sz w:val="19"/>
        </w:rPr>
      </w:pPr>
    </w:p>
    <w:p>
      <w:pPr>
        <w:spacing w:line="357" w:lineRule="auto" w:before="96"/>
        <w:ind w:left="2112" w:right="2036" w:firstLine="0"/>
        <w:jc w:val="center"/>
        <w:rPr>
          <w:rFonts w:ascii="Arial"/>
          <w:sz w:val="14"/>
        </w:rPr>
      </w:pPr>
      <w:r>
        <w:rPr>
          <w:rFonts w:ascii="Arial"/>
          <w:color w:val="231F20"/>
          <w:w w:val="105"/>
          <w:sz w:val="14"/>
        </w:rPr>
        <w:t>PROBABILITY DENSITY FUNCTIONS WITH </w:t>
      </w:r>
      <w:r>
        <w:rPr>
          <w:rFonts w:ascii="Arial"/>
          <w:color w:val="231F20"/>
          <w:w w:val="105"/>
          <w:sz w:val="14"/>
        </w:rPr>
        <w:t>CURVES</w:t>
      </w:r>
      <w:r>
        <w:rPr>
          <w:rFonts w:ascii="Arial"/>
          <w:color w:val="231F20"/>
          <w:spacing w:val="40"/>
          <w:w w:val="105"/>
          <w:sz w:val="14"/>
        </w:rPr>
        <w:t> </w:t>
      </w:r>
      <w:r>
        <w:rPr>
          <w:rFonts w:ascii="Arial"/>
          <w:color w:val="231F20"/>
          <w:w w:val="105"/>
          <w:sz w:val="14"/>
        </w:rPr>
        <w:t>OF DIFFERENT STANDARD DEVIATIONS</w:t>
      </w:r>
    </w:p>
    <w:p>
      <w:pPr>
        <w:pStyle w:val="BodyText"/>
        <w:rPr>
          <w:rFonts w:ascii="Arial"/>
          <w:sz w:val="8"/>
        </w:rPr>
      </w:pPr>
      <w:r>
        <w:rPr/>
        <w:drawing>
          <wp:anchor distT="0" distB="0" distL="0" distR="0" allowOverlap="1" layoutInCell="1" locked="0" behindDoc="0" simplePos="0" relativeHeight="213">
            <wp:simplePos x="0" y="0"/>
            <wp:positionH relativeFrom="page">
              <wp:posOffset>981429</wp:posOffset>
            </wp:positionH>
            <wp:positionV relativeFrom="paragraph">
              <wp:posOffset>73847</wp:posOffset>
            </wp:positionV>
            <wp:extent cx="3482193" cy="2340864"/>
            <wp:effectExtent l="0" t="0" r="0" b="0"/>
            <wp:wrapTopAndBottom/>
            <wp:docPr id="79" name="image47.png"/>
            <wp:cNvGraphicFramePr>
              <a:graphicFrameLocks noChangeAspect="1"/>
            </wp:cNvGraphicFramePr>
            <a:graphic>
              <a:graphicData uri="http://schemas.openxmlformats.org/drawingml/2006/picture">
                <pic:pic>
                  <pic:nvPicPr>
                    <pic:cNvPr id="80" name="image47.png"/>
                    <pic:cNvPicPr/>
                  </pic:nvPicPr>
                  <pic:blipFill>
                    <a:blip r:embed="rId72" cstate="print"/>
                    <a:stretch>
                      <a:fillRect/>
                    </a:stretch>
                  </pic:blipFill>
                  <pic:spPr>
                    <a:xfrm>
                      <a:off x="0" y="0"/>
                      <a:ext cx="3482193" cy="2340864"/>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3"/>
        <w:rPr>
          <w:rFonts w:ascii="Arial"/>
          <w:sz w:val="13"/>
        </w:rPr>
      </w:pPr>
    </w:p>
    <w:p>
      <w:pPr>
        <w:pStyle w:val="Heading6"/>
        <w:spacing w:before="1"/>
        <w:ind w:left="299"/>
        <w:rPr>
          <w:i/>
        </w:rPr>
      </w:pPr>
      <w:r>
        <w:rPr>
          <w:i/>
          <w:color w:val="231F20"/>
          <w:w w:val="110"/>
        </w:rPr>
        <w:t>A</w:t>
      </w:r>
      <w:r>
        <w:rPr>
          <w:i/>
          <w:color w:val="231F20"/>
          <w:spacing w:val="62"/>
          <w:w w:val="110"/>
        </w:rPr>
        <w:t> </w:t>
      </w:r>
      <w:r>
        <w:rPr>
          <w:i/>
          <w:color w:val="231F20"/>
          <w:w w:val="110"/>
        </w:rPr>
        <w:t>NORMAL</w:t>
      </w:r>
      <w:r>
        <w:rPr>
          <w:i/>
          <w:color w:val="231F20"/>
          <w:spacing w:val="62"/>
          <w:w w:val="110"/>
        </w:rPr>
        <w:t> </w:t>
      </w:r>
      <w:r>
        <w:rPr>
          <w:i/>
          <w:color w:val="231F20"/>
          <w:w w:val="110"/>
        </w:rPr>
        <w:t>CURVE</w:t>
      </w:r>
      <w:r>
        <w:rPr>
          <w:i/>
          <w:color w:val="231F20"/>
          <w:spacing w:val="62"/>
          <w:w w:val="110"/>
        </w:rPr>
        <w:t> </w:t>
      </w:r>
      <w:r>
        <w:rPr>
          <w:i/>
          <w:color w:val="231F20"/>
          <w:w w:val="110"/>
        </w:rPr>
        <w:t>FINANCE</w:t>
      </w:r>
      <w:r>
        <w:rPr>
          <w:i/>
          <w:color w:val="231F20"/>
          <w:spacing w:val="63"/>
          <w:w w:val="110"/>
        </w:rPr>
        <w:t> </w:t>
      </w:r>
      <w:r>
        <w:rPr>
          <w:i/>
          <w:color w:val="231F20"/>
          <w:spacing w:val="8"/>
          <w:w w:val="110"/>
        </w:rPr>
        <w:t>EXAMPLE</w:t>
      </w:r>
    </w:p>
    <w:p>
      <w:pPr>
        <w:pStyle w:val="BodyText"/>
        <w:spacing w:before="1"/>
        <w:rPr>
          <w:b/>
          <w:i/>
          <w:sz w:val="30"/>
        </w:rPr>
      </w:pPr>
    </w:p>
    <w:p>
      <w:pPr>
        <w:pStyle w:val="BodyText"/>
        <w:spacing w:line="292" w:lineRule="auto" w:before="1"/>
        <w:ind w:left="830" w:right="755"/>
        <w:jc w:val="both"/>
      </w:pPr>
      <w:r>
        <w:rPr>
          <w:color w:val="231F20"/>
        </w:rPr>
        <w:t>Let’s apply these new pieces of probability theory to finance. The monthly stock returns of a volatile stock, Pioneer Aviation, are as- sumed normally distributed as shown by a plotted graph. A sum- mary of historical returns shows a mean (center) of 1 percent and an SD (dispersion) of 11 percent. Gerald Rasmussen wanted to </w:t>
      </w:r>
      <w:r>
        <w:rPr>
          <w:color w:val="231F20"/>
        </w:rPr>
        <w:t>know what was the probability that next month’s return would be less</w:t>
      </w:r>
      <w:r>
        <w:rPr>
          <w:color w:val="231F20"/>
          <w:spacing w:val="80"/>
        </w:rPr>
        <w:t> </w:t>
      </w:r>
      <w:r>
        <w:rPr>
          <w:color w:val="231F20"/>
        </w:rPr>
        <w:t>than 13 percent.</w:t>
      </w:r>
    </w:p>
    <w:p>
      <w:pPr>
        <w:pStyle w:val="BodyText"/>
        <w:spacing w:line="244" w:lineRule="exact"/>
        <w:ind w:left="1169"/>
        <w:jc w:val="both"/>
      </w:pPr>
      <w:r>
        <w:rPr>
          <w:color w:val="231F20"/>
          <w:w w:val="105"/>
        </w:rPr>
        <w:t>Using</w:t>
      </w:r>
      <w:r>
        <w:rPr>
          <w:color w:val="231F20"/>
          <w:spacing w:val="-8"/>
          <w:w w:val="105"/>
        </w:rPr>
        <w:t> </w:t>
      </w:r>
      <w:r>
        <w:rPr>
          <w:color w:val="231F20"/>
          <w:w w:val="105"/>
        </w:rPr>
        <w:t>our</w:t>
      </w:r>
      <w:r>
        <w:rPr>
          <w:color w:val="231F20"/>
          <w:spacing w:val="-7"/>
          <w:w w:val="105"/>
        </w:rPr>
        <w:t> </w:t>
      </w:r>
      <w:r>
        <w:rPr>
          <w:color w:val="231F20"/>
          <w:w w:val="105"/>
        </w:rPr>
        <w:t>new</w:t>
      </w:r>
      <w:r>
        <w:rPr>
          <w:color w:val="231F20"/>
          <w:spacing w:val="-8"/>
          <w:w w:val="105"/>
        </w:rPr>
        <w:t> </w:t>
      </w:r>
      <w:r>
        <w:rPr>
          <w:color w:val="231F20"/>
          <w:w w:val="110"/>
        </w:rPr>
        <w:t>Z</w:t>
      </w:r>
      <w:r>
        <w:rPr>
          <w:color w:val="231F20"/>
          <w:spacing w:val="-9"/>
          <w:w w:val="110"/>
        </w:rPr>
        <w:t> </w:t>
      </w:r>
      <w:r>
        <w:rPr>
          <w:color w:val="231F20"/>
          <w:w w:val="105"/>
        </w:rPr>
        <w:t>value</w:t>
      </w:r>
      <w:r>
        <w:rPr>
          <w:color w:val="231F20"/>
          <w:spacing w:val="-8"/>
          <w:w w:val="105"/>
        </w:rPr>
        <w:t> </w:t>
      </w:r>
      <w:r>
        <w:rPr>
          <w:color w:val="231F20"/>
          <w:w w:val="105"/>
        </w:rPr>
        <w:t>tool</w:t>
      </w:r>
      <w:r>
        <w:rPr>
          <w:color w:val="231F20"/>
          <w:spacing w:val="-7"/>
          <w:w w:val="105"/>
        </w:rPr>
        <w:t> </w:t>
      </w:r>
      <w:r>
        <w:rPr>
          <w:color w:val="231F20"/>
          <w:w w:val="105"/>
        </w:rPr>
        <w:t>we</w:t>
      </w:r>
      <w:r>
        <w:rPr>
          <w:color w:val="231F20"/>
          <w:spacing w:val="-7"/>
          <w:w w:val="105"/>
        </w:rPr>
        <w:t> </w:t>
      </w:r>
      <w:r>
        <w:rPr>
          <w:color w:val="231F20"/>
          <w:w w:val="105"/>
        </w:rPr>
        <w:t>can</w:t>
      </w:r>
      <w:r>
        <w:rPr>
          <w:color w:val="231F20"/>
          <w:spacing w:val="-8"/>
          <w:w w:val="105"/>
        </w:rPr>
        <w:t> </w:t>
      </w:r>
      <w:r>
        <w:rPr>
          <w:color w:val="231F20"/>
          <w:w w:val="105"/>
        </w:rPr>
        <w:t>figure</w:t>
      </w:r>
      <w:r>
        <w:rPr>
          <w:color w:val="231F20"/>
          <w:spacing w:val="-7"/>
          <w:w w:val="105"/>
        </w:rPr>
        <w:t> </w:t>
      </w:r>
      <w:r>
        <w:rPr>
          <w:color w:val="231F20"/>
          <w:w w:val="105"/>
        </w:rPr>
        <w:t>it</w:t>
      </w:r>
      <w:r>
        <w:rPr>
          <w:color w:val="231F20"/>
          <w:spacing w:val="-8"/>
          <w:w w:val="105"/>
        </w:rPr>
        <w:t> </w:t>
      </w:r>
      <w:r>
        <w:rPr>
          <w:color w:val="231F20"/>
          <w:spacing w:val="-4"/>
          <w:w w:val="105"/>
        </w:rPr>
        <w:t>out:</w:t>
      </w:r>
    </w:p>
    <w:p>
      <w:pPr>
        <w:pStyle w:val="BodyText"/>
        <w:rPr>
          <w:sz w:val="24"/>
        </w:rPr>
      </w:pPr>
    </w:p>
    <w:p>
      <w:pPr>
        <w:pStyle w:val="BodyText"/>
        <w:tabs>
          <w:tab w:pos="3001" w:val="left" w:leader="none"/>
        </w:tabs>
        <w:spacing w:line="146" w:lineRule="auto" w:before="154"/>
        <w:ind w:left="2710" w:right="1673" w:hanging="641"/>
      </w:pPr>
      <w:r>
        <w:rPr/>
        <w:pict>
          <v:line style="position:absolute;mso-position-horizontal-relative:page;mso-position-vertical-relative:paragraph;z-index:-25119744" from="141pt,17.820053pt" to="175.5pt,17.820053pt" stroked="true" strokeweight=".5pt" strokecolor="#231f20">
            <v:stroke dashstyle="solid"/>
            <w10:wrap type="none"/>
          </v:line>
        </w:pict>
      </w:r>
      <w:r>
        <w:rPr/>
        <w:pict>
          <v:rect style="position:absolute;margin-left:158.753784pt;margin-top:10.694903pt;width:4.93095pt;height:.7242pt;mso-position-horizontal-relative:page;mso-position-vertical-relative:paragraph;z-index:-25119232" id="docshape321" filled="true" fillcolor="#231f20" stroked="false">
            <v:fill type="solid"/>
            <w10:wrap type="none"/>
          </v:rect>
        </w:pict>
      </w:r>
      <w:r>
        <w:rPr>
          <w:color w:val="231F20"/>
          <w:w w:val="110"/>
        </w:rPr>
        <w:t>Z </w:t>
      </w:r>
      <w:r>
        <w:rPr>
          <w:rFonts w:ascii="Symbol" w:hAnsi="Symbol"/>
          <w:color w:val="231F20"/>
          <w:w w:val="105"/>
        </w:rPr>
        <w:t></w:t>
      </w:r>
      <w:r>
        <w:rPr>
          <w:rFonts w:ascii="Times New Roman" w:hAnsi="Times New Roman"/>
          <w:color w:val="231F20"/>
          <w:w w:val="105"/>
        </w:rPr>
        <w:t> </w:t>
      </w:r>
      <w:r>
        <w:rPr>
          <w:color w:val="231F20"/>
          <w:w w:val="105"/>
          <w:position w:val="15"/>
        </w:rPr>
        <w:t>(13</w:t>
      </w:r>
      <w:r>
        <w:rPr>
          <w:color w:val="231F20"/>
          <w:position w:val="15"/>
        </w:rPr>
        <w:tab/>
      </w:r>
      <w:r>
        <w:rPr>
          <w:color w:val="231F20"/>
          <w:w w:val="105"/>
          <w:position w:val="15"/>
        </w:rPr>
        <w:t>1)</w:t>
      </w:r>
      <w:r>
        <w:rPr>
          <w:color w:val="231F20"/>
          <w:spacing w:val="-5"/>
          <w:w w:val="105"/>
          <w:position w:val="15"/>
        </w:rPr>
        <w:t> </w:t>
      </w:r>
      <w:r>
        <w:rPr>
          <w:rFonts w:ascii="Symbol" w:hAnsi="Symbol"/>
          <w:color w:val="231F20"/>
          <w:w w:val="105"/>
        </w:rPr>
        <w:t></w:t>
      </w:r>
      <w:r>
        <w:rPr>
          <w:rFonts w:ascii="Times New Roman" w:hAnsi="Times New Roman"/>
          <w:color w:val="231F20"/>
          <w:spacing w:val="-11"/>
          <w:w w:val="105"/>
        </w:rPr>
        <w:t> </w:t>
      </w:r>
      <w:r>
        <w:rPr>
          <w:color w:val="231F20"/>
          <w:w w:val="105"/>
        </w:rPr>
        <w:t>1.09</w:t>
      </w:r>
      <w:r>
        <w:rPr>
          <w:color w:val="231F20"/>
          <w:spacing w:val="-5"/>
          <w:w w:val="105"/>
        </w:rPr>
        <w:t> </w:t>
      </w:r>
      <w:r>
        <w:rPr>
          <w:color w:val="231F20"/>
          <w:w w:val="105"/>
        </w:rPr>
        <w:t>SD</w:t>
      </w:r>
      <w:r>
        <w:rPr>
          <w:color w:val="231F20"/>
          <w:spacing w:val="-5"/>
          <w:w w:val="105"/>
        </w:rPr>
        <w:t> </w:t>
      </w:r>
      <w:r>
        <w:rPr>
          <w:color w:val="231F20"/>
          <w:w w:val="105"/>
        </w:rPr>
        <w:t>away</w:t>
      </w:r>
      <w:r>
        <w:rPr>
          <w:color w:val="231F20"/>
          <w:spacing w:val="-5"/>
          <w:w w:val="105"/>
        </w:rPr>
        <w:t> </w:t>
      </w:r>
      <w:r>
        <w:rPr>
          <w:color w:val="231F20"/>
          <w:w w:val="105"/>
        </w:rPr>
        <w:t>from</w:t>
      </w:r>
      <w:r>
        <w:rPr>
          <w:color w:val="231F20"/>
          <w:spacing w:val="-5"/>
          <w:w w:val="105"/>
        </w:rPr>
        <w:t> </w:t>
      </w:r>
      <w:r>
        <w:rPr>
          <w:color w:val="231F20"/>
          <w:w w:val="105"/>
        </w:rPr>
        <w:t>the</w:t>
      </w:r>
      <w:r>
        <w:rPr>
          <w:color w:val="231F20"/>
          <w:spacing w:val="-5"/>
          <w:w w:val="105"/>
        </w:rPr>
        <w:t> </w:t>
      </w:r>
      <w:r>
        <w:rPr>
          <w:color w:val="231F20"/>
          <w:w w:val="105"/>
        </w:rPr>
        <w:t>mean </w:t>
      </w:r>
      <w:r>
        <w:rPr>
          <w:color w:val="231F20"/>
          <w:spacing w:val="-6"/>
          <w:w w:val="105"/>
        </w:rPr>
        <w:t>11</w:t>
      </w:r>
    </w:p>
    <w:p>
      <w:pPr>
        <w:pStyle w:val="BodyText"/>
        <w:spacing w:before="8"/>
        <w:rPr>
          <w:sz w:val="31"/>
        </w:rPr>
      </w:pPr>
    </w:p>
    <w:p>
      <w:pPr>
        <w:pStyle w:val="BodyText"/>
        <w:spacing w:line="280" w:lineRule="auto" w:before="1"/>
        <w:ind w:left="830" w:right="756" w:firstLine="340"/>
        <w:jc w:val="both"/>
      </w:pPr>
      <w:r>
        <w:rPr>
          <w:color w:val="231F20"/>
        </w:rPr>
        <w:t>The normal distribution table I have provided in the appendix tells</w:t>
      </w:r>
      <w:r>
        <w:rPr>
          <w:color w:val="231F20"/>
          <w:spacing w:val="5"/>
        </w:rPr>
        <w:t> </w:t>
      </w:r>
      <w:r>
        <w:rPr>
          <w:color w:val="231F20"/>
        </w:rPr>
        <w:t>us</w:t>
      </w:r>
      <w:r>
        <w:rPr>
          <w:color w:val="231F20"/>
          <w:spacing w:val="6"/>
        </w:rPr>
        <w:t> </w:t>
      </w:r>
      <w:r>
        <w:rPr>
          <w:color w:val="231F20"/>
        </w:rPr>
        <w:t>that</w:t>
      </w:r>
      <w:r>
        <w:rPr>
          <w:color w:val="231F20"/>
          <w:spacing w:val="6"/>
        </w:rPr>
        <w:t> </w:t>
      </w:r>
      <w:r>
        <w:rPr>
          <w:color w:val="231F20"/>
        </w:rPr>
        <w:t>1.09</w:t>
      </w:r>
      <w:r>
        <w:rPr>
          <w:color w:val="231F20"/>
          <w:spacing w:val="6"/>
        </w:rPr>
        <w:t> </w:t>
      </w:r>
      <w:r>
        <w:rPr>
          <w:color w:val="231F20"/>
        </w:rPr>
        <w:t>SDs</w:t>
      </w:r>
      <w:r>
        <w:rPr>
          <w:color w:val="231F20"/>
          <w:spacing w:val="5"/>
        </w:rPr>
        <w:t> </w:t>
      </w:r>
      <w:r>
        <w:rPr>
          <w:rFonts w:ascii="Symbol" w:hAnsi="Symbol"/>
          <w:color w:val="231F20"/>
        </w:rPr>
        <w:t></w:t>
      </w:r>
      <w:r>
        <w:rPr>
          <w:rFonts w:ascii="Times New Roman" w:hAnsi="Times New Roman"/>
          <w:color w:val="231F20"/>
        </w:rPr>
        <w:t> </w:t>
      </w:r>
      <w:r>
        <w:rPr>
          <w:color w:val="231F20"/>
        </w:rPr>
        <w:t>.3621.</w:t>
      </w:r>
      <w:r>
        <w:rPr>
          <w:color w:val="231F20"/>
          <w:spacing w:val="6"/>
        </w:rPr>
        <w:t> </w:t>
      </w:r>
      <w:r>
        <w:rPr>
          <w:color w:val="231F20"/>
        </w:rPr>
        <w:t>The</w:t>
      </w:r>
      <w:r>
        <w:rPr>
          <w:color w:val="231F20"/>
          <w:spacing w:val="6"/>
        </w:rPr>
        <w:t> </w:t>
      </w:r>
      <w:r>
        <w:rPr>
          <w:color w:val="231F20"/>
        </w:rPr>
        <w:t>entire</w:t>
      </w:r>
      <w:r>
        <w:rPr>
          <w:color w:val="231F20"/>
          <w:spacing w:val="6"/>
        </w:rPr>
        <w:t> </w:t>
      </w:r>
      <w:r>
        <w:rPr>
          <w:color w:val="231F20"/>
        </w:rPr>
        <w:t>left</w:t>
      </w:r>
      <w:r>
        <w:rPr>
          <w:color w:val="231F20"/>
          <w:spacing w:val="5"/>
        </w:rPr>
        <w:t> </w:t>
      </w:r>
      <w:r>
        <w:rPr>
          <w:color w:val="231F20"/>
        </w:rPr>
        <w:t>side</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graph</w:t>
      </w:r>
      <w:r>
        <w:rPr>
          <w:color w:val="231F20"/>
          <w:spacing w:val="5"/>
        </w:rPr>
        <w:t> </w:t>
      </w:r>
      <w:r>
        <w:rPr>
          <w:color w:val="231F20"/>
          <w:spacing w:val="-2"/>
        </w:rPr>
        <w:t>equals</w:t>
      </w:r>
    </w:p>
    <w:p>
      <w:pPr>
        <w:pStyle w:val="BodyText"/>
        <w:spacing w:line="292" w:lineRule="auto" w:before="10"/>
        <w:ind w:left="830" w:right="756"/>
        <w:jc w:val="both"/>
      </w:pPr>
      <w:r>
        <w:rPr>
          <w:color w:val="231F20"/>
        </w:rPr>
        <w:t>.5000,</w:t>
      </w:r>
      <w:r>
        <w:rPr>
          <w:color w:val="231F20"/>
          <w:spacing w:val="40"/>
        </w:rPr>
        <w:t> </w:t>
      </w:r>
      <w:r>
        <w:rPr>
          <w:color w:val="231F20"/>
        </w:rPr>
        <w:t>as</w:t>
      </w:r>
      <w:r>
        <w:rPr>
          <w:color w:val="231F20"/>
          <w:spacing w:val="40"/>
        </w:rPr>
        <w:t> </w:t>
      </w:r>
      <w:r>
        <w:rPr>
          <w:color w:val="231F20"/>
        </w:rPr>
        <w:t>any</w:t>
      </w:r>
      <w:r>
        <w:rPr>
          <w:color w:val="231F20"/>
          <w:spacing w:val="40"/>
        </w:rPr>
        <w:t> </w:t>
      </w:r>
      <w:r>
        <w:rPr>
          <w:color w:val="231F20"/>
        </w:rPr>
        <w:t>complete</w:t>
      </w:r>
      <w:r>
        <w:rPr>
          <w:color w:val="231F20"/>
          <w:spacing w:val="40"/>
        </w:rPr>
        <w:t> </w:t>
      </w:r>
      <w:r>
        <w:rPr>
          <w:color w:val="231F20"/>
        </w:rPr>
        <w:t>half</w:t>
      </w:r>
      <w:r>
        <w:rPr>
          <w:color w:val="231F20"/>
          <w:spacing w:val="40"/>
        </w:rPr>
        <w:t> </w:t>
      </w:r>
      <w:r>
        <w:rPr>
          <w:color w:val="231F20"/>
        </w:rPr>
        <w:t>of</w:t>
      </w:r>
      <w:r>
        <w:rPr>
          <w:color w:val="231F20"/>
          <w:spacing w:val="40"/>
        </w:rPr>
        <w:t> </w:t>
      </w:r>
      <w:r>
        <w:rPr>
          <w:color w:val="231F20"/>
        </w:rPr>
        <w:t>the</w:t>
      </w:r>
      <w:r>
        <w:rPr>
          <w:color w:val="231F20"/>
          <w:spacing w:val="40"/>
        </w:rPr>
        <w:t> </w:t>
      </w:r>
      <w:r>
        <w:rPr>
          <w:color w:val="231F20"/>
        </w:rPr>
        <w:t>distribution</w:t>
      </w:r>
      <w:r>
        <w:rPr>
          <w:color w:val="231F20"/>
          <w:spacing w:val="40"/>
        </w:rPr>
        <w:t> </w:t>
      </w:r>
      <w:r>
        <w:rPr>
          <w:color w:val="231F20"/>
        </w:rPr>
        <w:t>would.</w:t>
      </w:r>
      <w:r>
        <w:rPr>
          <w:color w:val="231F20"/>
          <w:spacing w:val="40"/>
        </w:rPr>
        <w:t> </w:t>
      </w:r>
      <w:r>
        <w:rPr>
          <w:color w:val="231F20"/>
        </w:rPr>
        <w:t>This</w:t>
      </w:r>
      <w:r>
        <w:rPr>
          <w:color w:val="231F20"/>
          <w:spacing w:val="40"/>
        </w:rPr>
        <w:t> </w:t>
      </w:r>
      <w:r>
        <w:rPr>
          <w:color w:val="231F20"/>
        </w:rPr>
        <w:t>holds true in all situations. There is a 50 percent chance of being above or below</w:t>
      </w:r>
      <w:r>
        <w:rPr>
          <w:color w:val="231F20"/>
          <w:spacing w:val="37"/>
        </w:rPr>
        <w:t> </w:t>
      </w:r>
      <w:r>
        <w:rPr>
          <w:color w:val="231F20"/>
        </w:rPr>
        <w:t>the</w:t>
      </w:r>
      <w:r>
        <w:rPr>
          <w:color w:val="231F20"/>
          <w:spacing w:val="37"/>
        </w:rPr>
        <w:t> </w:t>
      </w:r>
      <w:r>
        <w:rPr>
          <w:color w:val="231F20"/>
        </w:rPr>
        <w:t>center</w:t>
      </w:r>
      <w:r>
        <w:rPr>
          <w:color w:val="231F20"/>
          <w:spacing w:val="38"/>
        </w:rPr>
        <w:t> </w:t>
      </w:r>
      <w:r>
        <w:rPr>
          <w:color w:val="231F20"/>
        </w:rPr>
        <w:t>or</w:t>
      </w:r>
      <w:r>
        <w:rPr>
          <w:color w:val="231F20"/>
          <w:spacing w:val="37"/>
        </w:rPr>
        <w:t> </w:t>
      </w:r>
      <w:r>
        <w:rPr>
          <w:color w:val="231F20"/>
        </w:rPr>
        <w:t>mean</w:t>
      </w:r>
      <w:r>
        <w:rPr>
          <w:color w:val="231F20"/>
          <w:spacing w:val="37"/>
        </w:rPr>
        <w:t> </w:t>
      </w:r>
      <w:r>
        <w:rPr>
          <w:color w:val="231F20"/>
        </w:rPr>
        <w:t>in</w:t>
      </w:r>
      <w:r>
        <w:rPr>
          <w:color w:val="231F20"/>
          <w:spacing w:val="38"/>
        </w:rPr>
        <w:t> </w:t>
      </w:r>
      <w:r>
        <w:rPr>
          <w:color w:val="231F20"/>
        </w:rPr>
        <w:t>any</w:t>
      </w:r>
      <w:r>
        <w:rPr>
          <w:color w:val="231F20"/>
          <w:spacing w:val="37"/>
        </w:rPr>
        <w:t> </w:t>
      </w:r>
      <w:r>
        <w:rPr>
          <w:color w:val="231F20"/>
        </w:rPr>
        <w:t>normal</w:t>
      </w:r>
      <w:r>
        <w:rPr>
          <w:color w:val="231F20"/>
          <w:spacing w:val="37"/>
        </w:rPr>
        <w:t> </w:t>
      </w:r>
      <w:r>
        <w:rPr>
          <w:color w:val="231F20"/>
        </w:rPr>
        <w:t>distribution.</w:t>
      </w:r>
      <w:r>
        <w:rPr>
          <w:color w:val="231F20"/>
          <w:spacing w:val="38"/>
        </w:rPr>
        <w:t> </w:t>
      </w:r>
      <w:r>
        <w:rPr>
          <w:color w:val="231F20"/>
          <w:spacing w:val="-2"/>
        </w:rPr>
        <w:t>Combining</w:t>
      </w:r>
    </w:p>
    <w:p>
      <w:pPr>
        <w:spacing w:after="0" w:line="292" w:lineRule="auto"/>
        <w:jc w:val="both"/>
        <w:sectPr>
          <w:pgSz w:w="8640" w:h="12960"/>
          <w:pgMar w:header="732" w:footer="0" w:top="920" w:bottom="280" w:left="340" w:right="500"/>
        </w:sectPr>
      </w:pPr>
    </w:p>
    <w:p>
      <w:pPr>
        <w:pStyle w:val="BodyText"/>
        <w:spacing w:before="8"/>
        <w:rPr>
          <w:sz w:val="19"/>
        </w:rPr>
      </w:pPr>
    </w:p>
    <w:p>
      <w:pPr>
        <w:spacing w:before="96"/>
        <w:ind w:left="472" w:right="219" w:firstLine="0"/>
        <w:jc w:val="center"/>
        <w:rPr>
          <w:rFonts w:ascii="Arial"/>
          <w:sz w:val="14"/>
        </w:rPr>
      </w:pPr>
      <w:r>
        <w:rPr>
          <w:rFonts w:ascii="Arial"/>
          <w:color w:val="231F20"/>
          <w:w w:val="105"/>
          <w:sz w:val="14"/>
        </w:rPr>
        <w:t>NORMAL</w:t>
      </w:r>
      <w:r>
        <w:rPr>
          <w:rFonts w:ascii="Arial"/>
          <w:color w:val="231F20"/>
          <w:spacing w:val="32"/>
          <w:w w:val="105"/>
          <w:sz w:val="14"/>
        </w:rPr>
        <w:t> </w:t>
      </w:r>
      <w:r>
        <w:rPr>
          <w:rFonts w:ascii="Arial"/>
          <w:color w:val="231F20"/>
          <w:w w:val="105"/>
          <w:sz w:val="14"/>
        </w:rPr>
        <w:t>DISTRIBUTION</w:t>
      </w:r>
      <w:r>
        <w:rPr>
          <w:rFonts w:ascii="Arial"/>
          <w:color w:val="231F20"/>
          <w:spacing w:val="33"/>
          <w:w w:val="105"/>
          <w:sz w:val="14"/>
        </w:rPr>
        <w:t> </w:t>
      </w:r>
      <w:r>
        <w:rPr>
          <w:rFonts w:ascii="Arial"/>
          <w:color w:val="231F20"/>
          <w:w w:val="105"/>
          <w:sz w:val="14"/>
        </w:rPr>
        <w:t>OF</w:t>
      </w:r>
      <w:r>
        <w:rPr>
          <w:rFonts w:ascii="Arial"/>
          <w:color w:val="231F20"/>
          <w:spacing w:val="32"/>
          <w:w w:val="105"/>
          <w:sz w:val="14"/>
        </w:rPr>
        <w:t> </w:t>
      </w:r>
      <w:r>
        <w:rPr>
          <w:rFonts w:ascii="Arial"/>
          <w:color w:val="231F20"/>
          <w:w w:val="105"/>
          <w:sz w:val="14"/>
        </w:rPr>
        <w:t>SHOE</w:t>
      </w:r>
      <w:r>
        <w:rPr>
          <w:rFonts w:ascii="Arial"/>
          <w:color w:val="231F20"/>
          <w:spacing w:val="33"/>
          <w:w w:val="105"/>
          <w:sz w:val="14"/>
        </w:rPr>
        <w:t> </w:t>
      </w:r>
      <w:r>
        <w:rPr>
          <w:rFonts w:ascii="Arial"/>
          <w:color w:val="231F20"/>
          <w:spacing w:val="-2"/>
          <w:w w:val="105"/>
          <w:sz w:val="14"/>
        </w:rPr>
        <w:t>SIZES</w:t>
      </w:r>
    </w:p>
    <w:p>
      <w:pPr>
        <w:pStyle w:val="BodyText"/>
        <w:spacing w:before="4"/>
        <w:rPr>
          <w:rFonts w:ascii="Arial"/>
          <w:sz w:val="17"/>
        </w:rPr>
      </w:pPr>
      <w:r>
        <w:rPr/>
        <w:drawing>
          <wp:anchor distT="0" distB="0" distL="0" distR="0" allowOverlap="1" layoutInCell="1" locked="0" behindDoc="0" simplePos="0" relativeHeight="216">
            <wp:simplePos x="0" y="0"/>
            <wp:positionH relativeFrom="page">
              <wp:posOffset>891512</wp:posOffset>
            </wp:positionH>
            <wp:positionV relativeFrom="paragraph">
              <wp:posOffset>142445</wp:posOffset>
            </wp:positionV>
            <wp:extent cx="3766138" cy="2462783"/>
            <wp:effectExtent l="0" t="0" r="0" b="0"/>
            <wp:wrapTopAndBottom/>
            <wp:docPr id="81" name="image48.png"/>
            <wp:cNvGraphicFramePr>
              <a:graphicFrameLocks noChangeAspect="1"/>
            </wp:cNvGraphicFramePr>
            <a:graphic>
              <a:graphicData uri="http://schemas.openxmlformats.org/drawingml/2006/picture">
                <pic:pic>
                  <pic:nvPicPr>
                    <pic:cNvPr id="82" name="image48.png"/>
                    <pic:cNvPicPr/>
                  </pic:nvPicPr>
                  <pic:blipFill>
                    <a:blip r:embed="rId73" cstate="print"/>
                    <a:stretch>
                      <a:fillRect/>
                    </a:stretch>
                  </pic:blipFill>
                  <pic:spPr>
                    <a:xfrm>
                      <a:off x="0" y="0"/>
                      <a:ext cx="3766138" cy="2462783"/>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spacing w:before="1"/>
        <w:rPr>
          <w:rFonts w:ascii="Arial"/>
          <w:sz w:val="17"/>
        </w:rPr>
      </w:pPr>
    </w:p>
    <w:p>
      <w:pPr>
        <w:pStyle w:val="BodyText"/>
        <w:ind w:left="920"/>
        <w:jc w:val="both"/>
      </w:pPr>
      <w:r>
        <w:rPr>
          <w:color w:val="231F20"/>
        </w:rPr>
        <w:t>those</w:t>
      </w:r>
      <w:r>
        <w:rPr>
          <w:color w:val="231F20"/>
          <w:spacing w:val="51"/>
        </w:rPr>
        <w:t> </w:t>
      </w:r>
      <w:r>
        <w:rPr>
          <w:color w:val="231F20"/>
        </w:rPr>
        <w:t>pieces</w:t>
      </w:r>
      <w:r>
        <w:rPr>
          <w:color w:val="231F20"/>
          <w:spacing w:val="52"/>
        </w:rPr>
        <w:t> </w:t>
      </w:r>
      <w:r>
        <w:rPr>
          <w:color w:val="231F20"/>
        </w:rPr>
        <w:t>of</w:t>
      </w:r>
      <w:r>
        <w:rPr>
          <w:color w:val="231F20"/>
          <w:spacing w:val="52"/>
        </w:rPr>
        <w:t> </w:t>
      </w:r>
      <w:r>
        <w:rPr>
          <w:color w:val="231F20"/>
        </w:rPr>
        <w:t>information,</w:t>
      </w:r>
      <w:r>
        <w:rPr>
          <w:color w:val="231F20"/>
          <w:spacing w:val="52"/>
        </w:rPr>
        <w:t> </w:t>
      </w:r>
      <w:r>
        <w:rPr>
          <w:color w:val="231F20"/>
        </w:rPr>
        <w:t>I</w:t>
      </w:r>
      <w:r>
        <w:rPr>
          <w:color w:val="231F20"/>
          <w:spacing w:val="52"/>
        </w:rPr>
        <w:t> </w:t>
      </w:r>
      <w:r>
        <w:rPr>
          <w:color w:val="231F20"/>
        </w:rPr>
        <w:t>calculate</w:t>
      </w:r>
      <w:r>
        <w:rPr>
          <w:color w:val="231F20"/>
          <w:spacing w:val="52"/>
        </w:rPr>
        <w:t> </w:t>
      </w:r>
      <w:r>
        <w:rPr>
          <w:color w:val="231F20"/>
        </w:rPr>
        <w:t>there</w:t>
      </w:r>
      <w:r>
        <w:rPr>
          <w:color w:val="231F20"/>
          <w:spacing w:val="52"/>
        </w:rPr>
        <w:t> </w:t>
      </w:r>
      <w:r>
        <w:rPr>
          <w:color w:val="231F20"/>
        </w:rPr>
        <w:t>is</w:t>
      </w:r>
      <w:r>
        <w:rPr>
          <w:color w:val="231F20"/>
          <w:spacing w:val="52"/>
        </w:rPr>
        <w:t> </w:t>
      </w:r>
      <w:r>
        <w:rPr>
          <w:color w:val="231F20"/>
        </w:rPr>
        <w:t>an</w:t>
      </w:r>
      <w:r>
        <w:rPr>
          <w:color w:val="231F20"/>
          <w:spacing w:val="52"/>
        </w:rPr>
        <w:t> </w:t>
      </w:r>
      <w:r>
        <w:rPr>
          <w:color w:val="231F20"/>
        </w:rPr>
        <w:t>.8621</w:t>
      </w:r>
      <w:r>
        <w:rPr>
          <w:color w:val="231F20"/>
          <w:spacing w:val="52"/>
        </w:rPr>
        <w:t> </w:t>
      </w:r>
      <w:r>
        <w:rPr>
          <w:color w:val="231F20"/>
          <w:spacing w:val="-2"/>
        </w:rPr>
        <w:t>(.3621</w:t>
      </w:r>
    </w:p>
    <w:p>
      <w:pPr>
        <w:pStyle w:val="ListParagraph"/>
        <w:numPr>
          <w:ilvl w:val="0"/>
          <w:numId w:val="20"/>
        </w:numPr>
        <w:tabs>
          <w:tab w:pos="1096" w:val="left" w:leader="none"/>
        </w:tabs>
        <w:spacing w:line="292" w:lineRule="auto" w:before="42" w:after="0"/>
        <w:ind w:left="920" w:right="666" w:firstLine="0"/>
        <w:jc w:val="both"/>
        <w:rPr>
          <w:rFonts w:ascii="Cambria" w:hAnsi="Cambria"/>
          <w:sz w:val="21"/>
        </w:rPr>
      </w:pPr>
      <w:r>
        <w:rPr/>
        <w:pict>
          <v:rect style="position:absolute;margin-left:330.737488pt;margin-top:24.780348pt;width:4.930940pt;height:.7242pt;mso-position-horizontal-relative:page;mso-position-vertical-relative:paragraph;z-index:-25118208" id="docshape322" filled="true" fillcolor="#231f20" stroked="false">
            <v:fill type="solid"/>
            <w10:wrap type="none"/>
          </v:rect>
        </w:pict>
      </w:r>
      <w:r>
        <w:rPr>
          <w:rFonts w:ascii="Cambria" w:hAnsi="Cambria"/>
          <w:color w:val="231F20"/>
          <w:sz w:val="21"/>
        </w:rPr>
        <w:t>.50) probability that there will be a return of less than 13 </w:t>
      </w:r>
      <w:r>
        <w:rPr>
          <w:rFonts w:ascii="Cambria" w:hAnsi="Cambria"/>
          <w:color w:val="231F20"/>
          <w:sz w:val="21"/>
        </w:rPr>
        <w:t>percent, and</w:t>
      </w:r>
      <w:r>
        <w:rPr>
          <w:rFonts w:ascii="Cambria" w:hAnsi="Cambria"/>
          <w:color w:val="231F20"/>
          <w:spacing w:val="35"/>
          <w:sz w:val="21"/>
        </w:rPr>
        <w:t> </w:t>
      </w:r>
      <w:r>
        <w:rPr>
          <w:rFonts w:ascii="Cambria" w:hAnsi="Cambria"/>
          <w:color w:val="231F20"/>
          <w:sz w:val="21"/>
        </w:rPr>
        <w:t>conversely</w:t>
      </w:r>
      <w:r>
        <w:rPr>
          <w:rFonts w:ascii="Cambria" w:hAnsi="Cambria"/>
          <w:color w:val="231F20"/>
          <w:spacing w:val="35"/>
          <w:sz w:val="21"/>
        </w:rPr>
        <w:t> </w:t>
      </w:r>
      <w:r>
        <w:rPr>
          <w:rFonts w:ascii="Cambria" w:hAnsi="Cambria"/>
          <w:color w:val="231F20"/>
          <w:sz w:val="21"/>
        </w:rPr>
        <w:t>a</w:t>
      </w:r>
      <w:r>
        <w:rPr>
          <w:rFonts w:ascii="Cambria" w:hAnsi="Cambria"/>
          <w:color w:val="231F20"/>
          <w:spacing w:val="35"/>
          <w:sz w:val="21"/>
        </w:rPr>
        <w:t> </w:t>
      </w:r>
      <w:r>
        <w:rPr>
          <w:rFonts w:ascii="Cambria" w:hAnsi="Cambria"/>
          <w:color w:val="231F20"/>
          <w:sz w:val="21"/>
        </w:rPr>
        <w:t>.1379</w:t>
      </w:r>
      <w:r>
        <w:rPr>
          <w:rFonts w:ascii="Cambria" w:hAnsi="Cambria"/>
          <w:color w:val="231F20"/>
          <w:spacing w:val="35"/>
          <w:sz w:val="21"/>
        </w:rPr>
        <w:t> </w:t>
      </w:r>
      <w:r>
        <w:rPr>
          <w:rFonts w:ascii="Cambria" w:hAnsi="Cambria"/>
          <w:color w:val="231F20"/>
          <w:sz w:val="21"/>
        </w:rPr>
        <w:t>chance</w:t>
      </w:r>
      <w:r>
        <w:rPr>
          <w:rFonts w:ascii="Cambria" w:hAnsi="Cambria"/>
          <w:color w:val="231F20"/>
          <w:spacing w:val="35"/>
          <w:sz w:val="21"/>
        </w:rPr>
        <w:t> </w:t>
      </w:r>
      <w:r>
        <w:rPr>
          <w:rFonts w:ascii="Cambria" w:hAnsi="Cambria"/>
          <w:color w:val="231F20"/>
          <w:sz w:val="21"/>
        </w:rPr>
        <w:t>that</w:t>
      </w:r>
      <w:r>
        <w:rPr>
          <w:rFonts w:ascii="Cambria" w:hAnsi="Cambria"/>
          <w:color w:val="231F20"/>
          <w:spacing w:val="35"/>
          <w:sz w:val="21"/>
        </w:rPr>
        <w:t> </w:t>
      </w:r>
      <w:r>
        <w:rPr>
          <w:rFonts w:ascii="Cambria" w:hAnsi="Cambria"/>
          <w:color w:val="231F20"/>
          <w:sz w:val="21"/>
        </w:rPr>
        <w:t>it</w:t>
      </w:r>
      <w:r>
        <w:rPr>
          <w:rFonts w:ascii="Cambria" w:hAnsi="Cambria"/>
          <w:color w:val="231F20"/>
          <w:spacing w:val="35"/>
          <w:sz w:val="21"/>
        </w:rPr>
        <w:t> </w:t>
      </w:r>
      <w:r>
        <w:rPr>
          <w:rFonts w:ascii="Cambria" w:hAnsi="Cambria"/>
          <w:color w:val="231F20"/>
          <w:sz w:val="21"/>
        </w:rPr>
        <w:t>will</w:t>
      </w:r>
      <w:r>
        <w:rPr>
          <w:rFonts w:ascii="Cambria" w:hAnsi="Cambria"/>
          <w:color w:val="231F20"/>
          <w:spacing w:val="35"/>
          <w:sz w:val="21"/>
        </w:rPr>
        <w:t> </w:t>
      </w:r>
      <w:r>
        <w:rPr>
          <w:rFonts w:ascii="Cambria" w:hAnsi="Cambria"/>
          <w:color w:val="231F20"/>
          <w:sz w:val="21"/>
        </w:rPr>
        <w:t>be</w:t>
      </w:r>
      <w:r>
        <w:rPr>
          <w:rFonts w:ascii="Cambria" w:hAnsi="Cambria"/>
          <w:color w:val="231F20"/>
          <w:spacing w:val="35"/>
          <w:sz w:val="21"/>
        </w:rPr>
        <w:t> </w:t>
      </w:r>
      <w:r>
        <w:rPr>
          <w:rFonts w:ascii="Cambria" w:hAnsi="Cambria"/>
          <w:color w:val="231F20"/>
          <w:sz w:val="21"/>
        </w:rPr>
        <w:t>greater</w:t>
      </w:r>
      <w:r>
        <w:rPr>
          <w:rFonts w:ascii="Cambria" w:hAnsi="Cambria"/>
          <w:color w:val="231F20"/>
          <w:spacing w:val="35"/>
          <w:sz w:val="21"/>
        </w:rPr>
        <w:t> </w:t>
      </w:r>
      <w:r>
        <w:rPr>
          <w:rFonts w:ascii="Cambria" w:hAnsi="Cambria"/>
          <w:color w:val="231F20"/>
          <w:sz w:val="21"/>
        </w:rPr>
        <w:t>(1</w:t>
      </w:r>
      <w:r>
        <w:rPr>
          <w:rFonts w:ascii="Cambria" w:hAnsi="Cambria"/>
          <w:color w:val="231F20"/>
          <w:spacing w:val="40"/>
          <w:sz w:val="21"/>
        </w:rPr>
        <w:t>  </w:t>
      </w:r>
      <w:r>
        <w:rPr>
          <w:rFonts w:ascii="Cambria" w:hAnsi="Cambria"/>
          <w:color w:val="231F20"/>
          <w:sz w:val="21"/>
        </w:rPr>
        <w:t>.8621). This is a real-world answer to a real-world business problem </w:t>
      </w:r>
      <w:r>
        <w:rPr>
          <w:rFonts w:ascii="Cambria" w:hAnsi="Cambria"/>
          <w:color w:val="231F20"/>
          <w:sz w:val="21"/>
        </w:rPr>
        <w:t>using</w:t>
      </w:r>
      <w:r>
        <w:rPr>
          <w:rFonts w:ascii="Cambria" w:hAnsi="Cambria"/>
          <w:color w:val="231F20"/>
          <w:sz w:val="21"/>
        </w:rPr>
        <w:t> statistics as our tools.</w:t>
      </w:r>
    </w:p>
    <w:p>
      <w:pPr>
        <w:pStyle w:val="BodyText"/>
        <w:spacing w:line="292" w:lineRule="auto"/>
        <w:ind w:left="920" w:right="666" w:firstLine="340"/>
        <w:jc w:val="both"/>
      </w:pPr>
      <w:r>
        <w:rPr>
          <w:color w:val="231F20"/>
        </w:rPr>
        <w:t>Statistics is not difficult if you do not dwell too long on </w:t>
      </w:r>
      <w:r>
        <w:rPr>
          <w:color w:val="231F20"/>
        </w:rPr>
        <w:t>theory. Other distributions exist, but are rarely used in business. The </w:t>
      </w:r>
      <w:r>
        <w:rPr>
          <w:i/>
          <w:color w:val="231F20"/>
        </w:rPr>
        <w:t>Poison</w:t>
      </w:r>
      <w:r>
        <w:rPr>
          <w:i/>
          <w:color w:val="231F20"/>
        </w:rPr>
        <w:t> distribution </w:t>
      </w:r>
      <w:r>
        <w:rPr>
          <w:color w:val="231F20"/>
        </w:rPr>
        <w:t>(pronounced “pwasaun”) is similar to the normal distri- bution but has a flaring tail on the right side of the graph. But most distributions are assumed to be normal to take advantage of the nor- mal distribution’s laws of standard deviations.</w:t>
      </w:r>
    </w:p>
    <w:p>
      <w:pPr>
        <w:pStyle w:val="BodyText"/>
        <w:rPr>
          <w:sz w:val="24"/>
        </w:rPr>
      </w:pPr>
    </w:p>
    <w:p>
      <w:pPr>
        <w:pStyle w:val="BodyText"/>
        <w:spacing w:before="8"/>
        <w:rPr>
          <w:sz w:val="26"/>
        </w:rPr>
      </w:pPr>
    </w:p>
    <w:p>
      <w:pPr>
        <w:pStyle w:val="Heading6"/>
        <w:rPr>
          <w:i/>
        </w:rPr>
      </w:pPr>
      <w:r>
        <w:rPr>
          <w:i/>
          <w:color w:val="231F20"/>
          <w:w w:val="110"/>
        </w:rPr>
        <w:t>CUMULATIVE</w:t>
      </w:r>
      <w:r>
        <w:rPr>
          <w:i/>
          <w:color w:val="231F20"/>
          <w:spacing w:val="75"/>
          <w:w w:val="110"/>
        </w:rPr>
        <w:t> </w:t>
      </w:r>
      <w:r>
        <w:rPr>
          <w:i/>
          <w:color w:val="231F20"/>
          <w:spacing w:val="9"/>
          <w:w w:val="110"/>
        </w:rPr>
        <w:t>DISTRIBUTION</w:t>
      </w:r>
      <w:r>
        <w:rPr>
          <w:i/>
          <w:color w:val="231F20"/>
          <w:spacing w:val="76"/>
          <w:w w:val="110"/>
        </w:rPr>
        <w:t> </w:t>
      </w:r>
      <w:r>
        <w:rPr>
          <w:i/>
          <w:color w:val="231F20"/>
          <w:spacing w:val="8"/>
          <w:w w:val="110"/>
        </w:rPr>
        <w:t>FUNCTIONS</w:t>
      </w:r>
    </w:p>
    <w:p>
      <w:pPr>
        <w:pStyle w:val="BodyText"/>
        <w:spacing w:before="2"/>
        <w:rPr>
          <w:b/>
          <w:i/>
          <w:sz w:val="30"/>
        </w:rPr>
      </w:pPr>
    </w:p>
    <w:p>
      <w:pPr>
        <w:pStyle w:val="BodyText"/>
        <w:spacing w:line="292" w:lineRule="auto"/>
        <w:ind w:left="919" w:right="666"/>
        <w:jc w:val="both"/>
      </w:pPr>
      <w:r>
        <w:rPr>
          <w:color w:val="231F20"/>
        </w:rPr>
        <w:t>A </w:t>
      </w:r>
      <w:r>
        <w:rPr>
          <w:i/>
          <w:color w:val="231F20"/>
        </w:rPr>
        <w:t>cumulative distribution function </w:t>
      </w:r>
      <w:r>
        <w:rPr>
          <w:color w:val="231F20"/>
        </w:rPr>
        <w:t>(CDF) is a cumulative view of a probability distribution. It takes a probability mass function, such </w:t>
      </w:r>
      <w:r>
        <w:rPr>
          <w:color w:val="231F20"/>
        </w:rPr>
        <w:t>as</w:t>
      </w:r>
      <w:r>
        <w:rPr>
          <w:color w:val="231F20"/>
          <w:spacing w:val="40"/>
        </w:rPr>
        <w:t> </w:t>
      </w:r>
      <w:r>
        <w:rPr>
          <w:color w:val="231F20"/>
        </w:rPr>
        <w:t>a bell curve, and asks, “What is the probability that the outcome is less than or equal to that value?” The normal curve tells you what</w:t>
      </w:r>
      <w:r>
        <w:rPr>
          <w:color w:val="231F20"/>
          <w:spacing w:val="80"/>
        </w:rPr>
        <w:t> </w:t>
      </w:r>
      <w:r>
        <w:rPr>
          <w:color w:val="231F20"/>
        </w:rPr>
        <w:t>the</w:t>
      </w:r>
      <w:r>
        <w:rPr>
          <w:color w:val="231F20"/>
          <w:spacing w:val="40"/>
        </w:rPr>
        <w:t> </w:t>
      </w:r>
      <w:r>
        <w:rPr>
          <w:color w:val="231F20"/>
        </w:rPr>
        <w:t>probability</w:t>
      </w:r>
      <w:r>
        <w:rPr>
          <w:color w:val="231F20"/>
          <w:spacing w:val="40"/>
        </w:rPr>
        <w:t> </w:t>
      </w:r>
      <w:r>
        <w:rPr>
          <w:color w:val="231F20"/>
        </w:rPr>
        <w:t>is</w:t>
      </w:r>
      <w:r>
        <w:rPr>
          <w:color w:val="231F20"/>
          <w:spacing w:val="40"/>
        </w:rPr>
        <w:t> </w:t>
      </w:r>
      <w:r>
        <w:rPr>
          <w:color w:val="231F20"/>
        </w:rPr>
        <w:t>for</w:t>
      </w:r>
      <w:r>
        <w:rPr>
          <w:color w:val="231F20"/>
          <w:spacing w:val="40"/>
        </w:rPr>
        <w:t> </w:t>
      </w:r>
      <w:r>
        <w:rPr>
          <w:color w:val="231F20"/>
        </w:rPr>
        <w:t>a</w:t>
      </w:r>
      <w:r>
        <w:rPr>
          <w:color w:val="231F20"/>
          <w:spacing w:val="40"/>
        </w:rPr>
        <w:t> </w:t>
      </w:r>
      <w:r>
        <w:rPr>
          <w:color w:val="231F20"/>
        </w:rPr>
        <w:t>given</w:t>
      </w:r>
      <w:r>
        <w:rPr>
          <w:color w:val="231F20"/>
          <w:spacing w:val="40"/>
        </w:rPr>
        <w:t> </w:t>
      </w:r>
      <w:r>
        <w:rPr>
          <w:color w:val="231F20"/>
        </w:rPr>
        <w:t>outcome,</w:t>
      </w:r>
      <w:r>
        <w:rPr>
          <w:color w:val="231F20"/>
          <w:spacing w:val="40"/>
        </w:rPr>
        <w:t> </w:t>
      </w:r>
      <w:r>
        <w:rPr>
          <w:color w:val="231F20"/>
        </w:rPr>
        <w:t>but</w:t>
      </w:r>
      <w:r>
        <w:rPr>
          <w:color w:val="231F20"/>
          <w:spacing w:val="40"/>
        </w:rPr>
        <w:t> </w:t>
      </w:r>
      <w:r>
        <w:rPr>
          <w:color w:val="231F20"/>
        </w:rPr>
        <w:t>the</w:t>
      </w:r>
      <w:r>
        <w:rPr>
          <w:color w:val="231F20"/>
          <w:spacing w:val="40"/>
        </w:rPr>
        <w:t> </w:t>
      </w:r>
      <w:r>
        <w:rPr>
          <w:color w:val="231F20"/>
        </w:rPr>
        <w:t>CDF</w:t>
      </w:r>
      <w:r>
        <w:rPr>
          <w:color w:val="231F20"/>
          <w:spacing w:val="40"/>
        </w:rPr>
        <w:t> </w:t>
      </w:r>
      <w:r>
        <w:rPr>
          <w:color w:val="231F20"/>
        </w:rPr>
        <w:t>tells</w:t>
      </w:r>
      <w:r>
        <w:rPr>
          <w:color w:val="231F20"/>
          <w:spacing w:val="40"/>
        </w:rPr>
        <w:t> </w:t>
      </w:r>
      <w:r>
        <w:rPr>
          <w:color w:val="231F20"/>
        </w:rPr>
        <w:t>you</w:t>
      </w:r>
      <w:r>
        <w:rPr>
          <w:color w:val="231F20"/>
          <w:spacing w:val="40"/>
        </w:rPr>
        <w:t> </w:t>
      </w:r>
      <w:r>
        <w:rPr>
          <w:color w:val="231F20"/>
        </w:rPr>
        <w:t>the</w:t>
      </w:r>
    </w:p>
    <w:p>
      <w:pPr>
        <w:spacing w:after="0" w:line="292" w:lineRule="auto"/>
        <w:jc w:val="both"/>
        <w:sectPr>
          <w:pgSz w:w="8640" w:h="12960"/>
          <w:pgMar w:header="734" w:footer="0" w:top="920" w:bottom="280" w:left="340" w:right="500"/>
        </w:sectPr>
      </w:pPr>
    </w:p>
    <w:p>
      <w:pPr>
        <w:pStyle w:val="BodyText"/>
        <w:spacing w:before="10"/>
        <w:rPr>
          <w:sz w:val="19"/>
        </w:rPr>
      </w:pPr>
    </w:p>
    <w:p>
      <w:pPr>
        <w:spacing w:before="96"/>
        <w:ind w:left="292" w:right="219" w:firstLine="0"/>
        <w:jc w:val="center"/>
        <w:rPr>
          <w:rFonts w:ascii="Arial"/>
          <w:sz w:val="14"/>
        </w:rPr>
      </w:pPr>
      <w:r>
        <w:rPr>
          <w:rFonts w:ascii="Arial"/>
          <w:color w:val="231F20"/>
          <w:w w:val="105"/>
          <w:sz w:val="14"/>
        </w:rPr>
        <w:t>THE</w:t>
      </w:r>
      <w:r>
        <w:rPr>
          <w:rFonts w:ascii="Arial"/>
          <w:color w:val="231F20"/>
          <w:spacing w:val="35"/>
          <w:w w:val="105"/>
          <w:sz w:val="14"/>
        </w:rPr>
        <w:t> </w:t>
      </w:r>
      <w:r>
        <w:rPr>
          <w:rFonts w:ascii="Arial"/>
          <w:color w:val="231F20"/>
          <w:w w:val="105"/>
          <w:sz w:val="14"/>
        </w:rPr>
        <w:t>PROBABILITY</w:t>
      </w:r>
      <w:r>
        <w:rPr>
          <w:rFonts w:ascii="Arial"/>
          <w:color w:val="231F20"/>
          <w:spacing w:val="35"/>
          <w:w w:val="105"/>
          <w:sz w:val="14"/>
        </w:rPr>
        <w:t> </w:t>
      </w:r>
      <w:r>
        <w:rPr>
          <w:rFonts w:ascii="Arial"/>
          <w:color w:val="231F20"/>
          <w:w w:val="105"/>
          <w:sz w:val="14"/>
        </w:rPr>
        <w:t>DENSITY</w:t>
      </w:r>
      <w:r>
        <w:rPr>
          <w:rFonts w:ascii="Arial"/>
          <w:color w:val="231F20"/>
          <w:spacing w:val="35"/>
          <w:w w:val="105"/>
          <w:sz w:val="14"/>
        </w:rPr>
        <w:t> </w:t>
      </w:r>
      <w:r>
        <w:rPr>
          <w:rFonts w:ascii="Arial"/>
          <w:color w:val="231F20"/>
          <w:spacing w:val="-2"/>
          <w:w w:val="105"/>
          <w:sz w:val="14"/>
        </w:rPr>
        <w:t>FUNCTION</w:t>
      </w:r>
    </w:p>
    <w:p>
      <w:pPr>
        <w:spacing w:before="79"/>
        <w:ind w:left="288" w:right="219" w:firstLine="0"/>
        <w:jc w:val="center"/>
        <w:rPr>
          <w:rFonts w:ascii="Arial"/>
          <w:sz w:val="14"/>
        </w:rPr>
      </w:pPr>
      <w:r>
        <w:rPr>
          <w:rFonts w:ascii="Arial"/>
          <w:color w:val="231F20"/>
          <w:w w:val="110"/>
          <w:sz w:val="14"/>
        </w:rPr>
        <w:t>Monthly Stock</w:t>
      </w:r>
      <w:r>
        <w:rPr>
          <w:rFonts w:ascii="Arial"/>
          <w:color w:val="231F20"/>
          <w:spacing w:val="1"/>
          <w:w w:val="110"/>
          <w:sz w:val="14"/>
        </w:rPr>
        <w:t> </w:t>
      </w:r>
      <w:r>
        <w:rPr>
          <w:rFonts w:ascii="Arial"/>
          <w:color w:val="231F20"/>
          <w:w w:val="110"/>
          <w:sz w:val="14"/>
        </w:rPr>
        <w:t>Returns</w:t>
      </w:r>
      <w:r>
        <w:rPr>
          <w:rFonts w:ascii="Arial"/>
          <w:color w:val="231F20"/>
          <w:spacing w:val="1"/>
          <w:w w:val="110"/>
          <w:sz w:val="14"/>
        </w:rPr>
        <w:t> </w:t>
      </w:r>
      <w:r>
        <w:rPr>
          <w:rFonts w:ascii="Arial"/>
          <w:color w:val="231F20"/>
          <w:w w:val="110"/>
          <w:sz w:val="14"/>
        </w:rPr>
        <w:t>of Pioneer</w:t>
      </w:r>
      <w:r>
        <w:rPr>
          <w:rFonts w:ascii="Arial"/>
          <w:color w:val="231F20"/>
          <w:spacing w:val="1"/>
          <w:w w:val="110"/>
          <w:sz w:val="14"/>
        </w:rPr>
        <w:t> </w:t>
      </w:r>
      <w:r>
        <w:rPr>
          <w:rFonts w:ascii="Arial"/>
          <w:color w:val="231F20"/>
          <w:spacing w:val="-2"/>
          <w:w w:val="110"/>
          <w:sz w:val="14"/>
        </w:rPr>
        <w:t>Aviation</w:t>
      </w:r>
    </w:p>
    <w:p>
      <w:pPr>
        <w:pStyle w:val="BodyText"/>
        <w:spacing w:before="3"/>
        <w:rPr>
          <w:rFonts w:ascii="Arial"/>
          <w:sz w:val="14"/>
        </w:rPr>
      </w:pPr>
      <w:r>
        <w:rPr/>
        <w:drawing>
          <wp:anchor distT="0" distB="0" distL="0" distR="0" allowOverlap="1" layoutInCell="1" locked="0" behindDoc="0" simplePos="0" relativeHeight="218">
            <wp:simplePos x="0" y="0"/>
            <wp:positionH relativeFrom="page">
              <wp:posOffset>721850</wp:posOffset>
            </wp:positionH>
            <wp:positionV relativeFrom="paragraph">
              <wp:posOffset>119585</wp:posOffset>
            </wp:positionV>
            <wp:extent cx="4014935" cy="2340864"/>
            <wp:effectExtent l="0" t="0" r="0" b="0"/>
            <wp:wrapTopAndBottom/>
            <wp:docPr id="83" name="image49.png"/>
            <wp:cNvGraphicFramePr>
              <a:graphicFrameLocks noChangeAspect="1"/>
            </wp:cNvGraphicFramePr>
            <a:graphic>
              <a:graphicData uri="http://schemas.openxmlformats.org/drawingml/2006/picture">
                <pic:pic>
                  <pic:nvPicPr>
                    <pic:cNvPr id="84" name="image49.png"/>
                    <pic:cNvPicPr/>
                  </pic:nvPicPr>
                  <pic:blipFill>
                    <a:blip r:embed="rId74" cstate="print"/>
                    <a:stretch>
                      <a:fillRect/>
                    </a:stretch>
                  </pic:blipFill>
                  <pic:spPr>
                    <a:xfrm>
                      <a:off x="0" y="0"/>
                      <a:ext cx="4014935" cy="2340864"/>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1"/>
        <w:rPr>
          <w:rFonts w:ascii="Arial"/>
          <w:sz w:val="14"/>
        </w:rPr>
      </w:pPr>
    </w:p>
    <w:p>
      <w:pPr>
        <w:pStyle w:val="BodyText"/>
        <w:spacing w:line="292" w:lineRule="auto" w:before="1"/>
        <w:ind w:left="830" w:right="753"/>
        <w:jc w:val="both"/>
      </w:pPr>
      <w:r>
        <w:rPr>
          <w:color w:val="231F20"/>
        </w:rPr>
        <w:t>probability for a given range of values. The CDF can also be used </w:t>
      </w:r>
      <w:r>
        <w:rPr>
          <w:color w:val="231F20"/>
        </w:rPr>
        <w:t>to marry our knowledge of uncertainty (probability theory) to our decision-making tool (decision trees). A CDF captures the range of possible outcomes of many-valued uncertain quantities.</w:t>
      </w:r>
    </w:p>
    <w:p>
      <w:pPr>
        <w:pStyle w:val="BodyText"/>
        <w:spacing w:line="292" w:lineRule="auto"/>
        <w:ind w:left="829" w:right="756" w:firstLine="340"/>
        <w:jc w:val="both"/>
      </w:pPr>
      <w:r>
        <w:rPr>
          <w:color w:val="231F20"/>
        </w:rPr>
        <w:t>To continue our oil well example, let’s take the distribution of </w:t>
      </w:r>
      <w:r>
        <w:rPr>
          <w:color w:val="231F20"/>
        </w:rPr>
        <w:t>the possible values of oil that may be in the ground if oil is recovered:</w:t>
      </w:r>
    </w:p>
    <w:p>
      <w:pPr>
        <w:pStyle w:val="BodyText"/>
        <w:spacing w:before="9"/>
        <w:rPr>
          <w:sz w:val="26"/>
        </w:rPr>
      </w:pPr>
    </w:p>
    <w:tbl>
      <w:tblPr>
        <w:tblW w:w="0" w:type="auto"/>
        <w:jc w:val="left"/>
        <w:tblInd w:w="1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34"/>
        <w:gridCol w:w="2005"/>
        <w:gridCol w:w="2389"/>
      </w:tblGrid>
      <w:tr>
        <w:trPr>
          <w:trHeight w:val="264" w:hRule="atLeast"/>
        </w:trPr>
        <w:tc>
          <w:tcPr>
            <w:tcW w:w="5628" w:type="dxa"/>
            <w:gridSpan w:val="3"/>
          </w:tcPr>
          <w:p>
            <w:pPr>
              <w:pStyle w:val="TableParagraph"/>
              <w:spacing w:line="227" w:lineRule="exact" w:before="0"/>
              <w:ind w:left="3612"/>
              <w:jc w:val="left"/>
              <w:rPr>
                <w:b/>
                <w:i/>
                <w:sz w:val="20"/>
              </w:rPr>
            </w:pPr>
            <w:r>
              <w:rPr>
                <w:b/>
                <w:i/>
                <w:color w:val="231F20"/>
                <w:w w:val="110"/>
                <w:sz w:val="20"/>
              </w:rPr>
              <w:t>CDF</w:t>
            </w:r>
            <w:r>
              <w:rPr>
                <w:b/>
                <w:i/>
                <w:color w:val="231F20"/>
                <w:spacing w:val="4"/>
                <w:w w:val="110"/>
                <w:sz w:val="20"/>
              </w:rPr>
              <w:t> </w:t>
            </w:r>
            <w:r>
              <w:rPr>
                <w:b/>
                <w:i/>
                <w:color w:val="231F20"/>
                <w:spacing w:val="-2"/>
                <w:w w:val="110"/>
                <w:sz w:val="20"/>
              </w:rPr>
              <w:t>CUMULATIVE</w:t>
            </w:r>
          </w:p>
        </w:tc>
      </w:tr>
      <w:tr>
        <w:trPr>
          <w:trHeight w:val="300" w:hRule="atLeast"/>
        </w:trPr>
        <w:tc>
          <w:tcPr>
            <w:tcW w:w="3239" w:type="dxa"/>
            <w:gridSpan w:val="2"/>
          </w:tcPr>
          <w:p>
            <w:pPr>
              <w:pStyle w:val="TableParagraph"/>
              <w:spacing w:before="28"/>
              <w:ind w:left="1550"/>
              <w:jc w:val="left"/>
              <w:rPr>
                <w:b/>
                <w:i/>
                <w:sz w:val="20"/>
              </w:rPr>
            </w:pPr>
            <w:r>
              <w:rPr>
                <w:b/>
                <w:i/>
                <w:color w:val="231F20"/>
                <w:spacing w:val="-2"/>
                <w:w w:val="105"/>
                <w:sz w:val="20"/>
              </w:rPr>
              <w:t>PROBABILITY</w:t>
            </w:r>
          </w:p>
        </w:tc>
        <w:tc>
          <w:tcPr>
            <w:tcW w:w="2389" w:type="dxa"/>
          </w:tcPr>
          <w:p>
            <w:pPr>
              <w:pStyle w:val="TableParagraph"/>
              <w:spacing w:before="28"/>
              <w:ind w:left="576"/>
              <w:jc w:val="left"/>
              <w:rPr>
                <w:b/>
                <w:i/>
                <w:sz w:val="20"/>
              </w:rPr>
            </w:pPr>
            <w:r>
              <w:rPr>
                <w:b/>
                <w:i/>
                <w:color w:val="231F20"/>
                <w:spacing w:val="-2"/>
                <w:w w:val="105"/>
                <w:sz w:val="20"/>
              </w:rPr>
              <w:t>PROBABILITY</w:t>
            </w:r>
          </w:p>
        </w:tc>
      </w:tr>
      <w:tr>
        <w:trPr>
          <w:trHeight w:val="290" w:hRule="atLeast"/>
        </w:trPr>
        <w:tc>
          <w:tcPr>
            <w:tcW w:w="1234" w:type="dxa"/>
          </w:tcPr>
          <w:p>
            <w:pPr>
              <w:pStyle w:val="TableParagraph"/>
              <w:spacing w:before="28"/>
              <w:ind w:right="172"/>
              <w:jc w:val="right"/>
              <w:rPr>
                <w:b/>
                <w:i/>
                <w:sz w:val="20"/>
              </w:rPr>
            </w:pPr>
            <w:r>
              <w:rPr>
                <w:b/>
                <w:i/>
                <w:color w:val="231F20"/>
                <w:w w:val="105"/>
                <w:sz w:val="20"/>
              </w:rPr>
              <w:t>OIL</w:t>
            </w:r>
            <w:r>
              <w:rPr>
                <w:b/>
                <w:i/>
                <w:color w:val="231F20"/>
                <w:spacing w:val="12"/>
                <w:w w:val="105"/>
                <w:sz w:val="20"/>
              </w:rPr>
              <w:t> </w:t>
            </w:r>
            <w:r>
              <w:rPr>
                <w:b/>
                <w:i/>
                <w:color w:val="231F20"/>
                <w:spacing w:val="-2"/>
                <w:w w:val="105"/>
                <w:sz w:val="20"/>
              </w:rPr>
              <w:t>VALUE</w:t>
            </w:r>
          </w:p>
        </w:tc>
        <w:tc>
          <w:tcPr>
            <w:tcW w:w="2005" w:type="dxa"/>
          </w:tcPr>
          <w:p>
            <w:pPr>
              <w:pStyle w:val="TableParagraph"/>
              <w:spacing w:before="28"/>
              <w:ind w:left="174"/>
              <w:jc w:val="left"/>
              <w:rPr>
                <w:b/>
                <w:i/>
                <w:sz w:val="20"/>
              </w:rPr>
            </w:pPr>
            <w:r>
              <w:rPr>
                <w:b/>
                <w:i/>
                <w:color w:val="231F20"/>
                <w:sz w:val="20"/>
              </w:rPr>
              <w:t>MASS</w:t>
            </w:r>
            <w:r>
              <w:rPr>
                <w:b/>
                <w:i/>
                <w:color w:val="231F20"/>
                <w:spacing w:val="12"/>
                <w:w w:val="105"/>
                <w:sz w:val="20"/>
              </w:rPr>
              <w:t> </w:t>
            </w:r>
            <w:r>
              <w:rPr>
                <w:b/>
                <w:i/>
                <w:color w:val="231F20"/>
                <w:spacing w:val="-2"/>
                <w:w w:val="105"/>
                <w:sz w:val="20"/>
              </w:rPr>
              <w:t>FUNCTION</w:t>
            </w:r>
          </w:p>
        </w:tc>
        <w:tc>
          <w:tcPr>
            <w:tcW w:w="2389" w:type="dxa"/>
          </w:tcPr>
          <w:p>
            <w:pPr>
              <w:pStyle w:val="TableParagraph"/>
              <w:spacing w:before="28"/>
              <w:ind w:left="412"/>
              <w:jc w:val="left"/>
              <w:rPr>
                <w:b/>
                <w:i/>
                <w:sz w:val="20"/>
              </w:rPr>
            </w:pPr>
            <w:r>
              <w:rPr>
                <w:b/>
                <w:i/>
                <w:color w:val="231F20"/>
                <w:w w:val="105"/>
                <w:sz w:val="20"/>
              </w:rPr>
              <w:t>“EQUAL</w:t>
            </w:r>
            <w:r>
              <w:rPr>
                <w:b/>
                <w:i/>
                <w:color w:val="231F20"/>
                <w:spacing w:val="3"/>
                <w:w w:val="105"/>
                <w:sz w:val="20"/>
              </w:rPr>
              <w:t> </w:t>
            </w:r>
            <w:r>
              <w:rPr>
                <w:b/>
                <w:i/>
                <w:color w:val="231F20"/>
                <w:w w:val="105"/>
                <w:sz w:val="20"/>
              </w:rPr>
              <w:t>TO</w:t>
            </w:r>
            <w:r>
              <w:rPr>
                <w:b/>
                <w:i/>
                <w:color w:val="231F20"/>
                <w:spacing w:val="3"/>
                <w:w w:val="105"/>
                <w:sz w:val="20"/>
              </w:rPr>
              <w:t> </w:t>
            </w:r>
            <w:r>
              <w:rPr>
                <w:b/>
                <w:i/>
                <w:color w:val="231F20"/>
                <w:w w:val="105"/>
                <w:sz w:val="20"/>
              </w:rPr>
              <w:t>OR</w:t>
            </w:r>
            <w:r>
              <w:rPr>
                <w:b/>
                <w:i/>
                <w:color w:val="231F20"/>
                <w:spacing w:val="3"/>
                <w:w w:val="105"/>
                <w:sz w:val="20"/>
              </w:rPr>
              <w:t> </w:t>
            </w:r>
            <w:r>
              <w:rPr>
                <w:b/>
                <w:i/>
                <w:color w:val="231F20"/>
                <w:spacing w:val="-5"/>
                <w:w w:val="105"/>
                <w:sz w:val="20"/>
              </w:rPr>
              <w:t>&lt;”</w:t>
            </w:r>
          </w:p>
        </w:tc>
      </w:tr>
      <w:tr>
        <w:trPr>
          <w:trHeight w:val="300" w:hRule="atLeast"/>
        </w:trPr>
        <w:tc>
          <w:tcPr>
            <w:tcW w:w="1234" w:type="dxa"/>
          </w:tcPr>
          <w:p>
            <w:pPr>
              <w:pStyle w:val="TableParagraph"/>
              <w:spacing w:before="27"/>
              <w:ind w:right="171"/>
              <w:jc w:val="right"/>
              <w:rPr>
                <w:sz w:val="21"/>
              </w:rPr>
            </w:pPr>
            <w:r>
              <w:rPr>
                <w:color w:val="231F20"/>
                <w:spacing w:val="-2"/>
                <w:w w:val="105"/>
                <w:sz w:val="21"/>
              </w:rPr>
              <w:t>50,000</w:t>
            </w:r>
          </w:p>
        </w:tc>
        <w:tc>
          <w:tcPr>
            <w:tcW w:w="2005" w:type="dxa"/>
          </w:tcPr>
          <w:p>
            <w:pPr>
              <w:pStyle w:val="TableParagraph"/>
              <w:spacing w:before="27"/>
              <w:ind w:left="815" w:right="754"/>
              <w:rPr>
                <w:sz w:val="21"/>
              </w:rPr>
            </w:pPr>
            <w:r>
              <w:rPr>
                <w:color w:val="231F20"/>
                <w:spacing w:val="-4"/>
                <w:w w:val="105"/>
                <w:sz w:val="21"/>
              </w:rPr>
              <w:t>.005</w:t>
            </w:r>
          </w:p>
        </w:tc>
        <w:tc>
          <w:tcPr>
            <w:tcW w:w="2389" w:type="dxa"/>
          </w:tcPr>
          <w:p>
            <w:pPr>
              <w:pStyle w:val="TableParagraph"/>
              <w:spacing w:before="27"/>
              <w:ind w:left="247"/>
              <w:jc w:val="left"/>
              <w:rPr>
                <w:sz w:val="21"/>
              </w:rPr>
            </w:pPr>
            <w:r>
              <w:rPr>
                <w:color w:val="231F20"/>
                <w:spacing w:val="-4"/>
                <w:w w:val="105"/>
                <w:sz w:val="21"/>
              </w:rPr>
              <w:t>.005</w:t>
            </w:r>
          </w:p>
        </w:tc>
      </w:tr>
      <w:tr>
        <w:trPr>
          <w:trHeight w:val="301" w:hRule="atLeast"/>
        </w:trPr>
        <w:tc>
          <w:tcPr>
            <w:tcW w:w="1234" w:type="dxa"/>
          </w:tcPr>
          <w:p>
            <w:pPr>
              <w:pStyle w:val="TableParagraph"/>
              <w:spacing w:before="26"/>
              <w:ind w:right="171"/>
              <w:jc w:val="right"/>
              <w:rPr>
                <w:sz w:val="21"/>
              </w:rPr>
            </w:pPr>
            <w:r>
              <w:rPr>
                <w:color w:val="231F20"/>
                <w:spacing w:val="-2"/>
                <w:w w:val="105"/>
                <w:sz w:val="21"/>
              </w:rPr>
              <w:t>75,000</w:t>
            </w:r>
          </w:p>
        </w:tc>
        <w:tc>
          <w:tcPr>
            <w:tcW w:w="2005" w:type="dxa"/>
          </w:tcPr>
          <w:p>
            <w:pPr>
              <w:pStyle w:val="TableParagraph"/>
              <w:spacing w:before="26"/>
              <w:ind w:left="700" w:right="754"/>
              <w:rPr>
                <w:sz w:val="21"/>
              </w:rPr>
            </w:pPr>
            <w:r>
              <w:rPr>
                <w:color w:val="231F20"/>
                <w:spacing w:val="-5"/>
                <w:w w:val="105"/>
                <w:sz w:val="21"/>
              </w:rPr>
              <w:t>.01</w:t>
            </w:r>
          </w:p>
        </w:tc>
        <w:tc>
          <w:tcPr>
            <w:tcW w:w="2389" w:type="dxa"/>
          </w:tcPr>
          <w:p>
            <w:pPr>
              <w:pStyle w:val="TableParagraph"/>
              <w:spacing w:before="15"/>
              <w:ind w:left="247"/>
              <w:jc w:val="left"/>
              <w:rPr>
                <w:sz w:val="21"/>
              </w:rPr>
            </w:pPr>
            <w:r>
              <w:rPr>
                <w:color w:val="231F20"/>
                <w:w w:val="105"/>
                <w:sz w:val="21"/>
              </w:rPr>
              <w:t>.015</w:t>
            </w:r>
            <w:r>
              <w:rPr>
                <w:color w:val="231F20"/>
                <w:spacing w:val="3"/>
                <w:w w:val="105"/>
                <w:sz w:val="21"/>
              </w:rPr>
              <w:t> </w:t>
            </w:r>
            <w:r>
              <w:rPr>
                <w:color w:val="231F20"/>
                <w:w w:val="105"/>
                <w:sz w:val="21"/>
              </w:rPr>
              <w:t>(.005</w:t>
            </w:r>
            <w:r>
              <w:rPr>
                <w:color w:val="231F20"/>
                <w:spacing w:val="3"/>
                <w:w w:val="105"/>
                <w:sz w:val="21"/>
              </w:rPr>
              <w:t> </w:t>
            </w:r>
            <w:r>
              <w:rPr>
                <w:rFonts w:ascii="Symbol" w:hAnsi="Symbol"/>
                <w:color w:val="231F20"/>
                <w:w w:val="105"/>
                <w:sz w:val="21"/>
              </w:rPr>
              <w:t></w:t>
            </w:r>
            <w:r>
              <w:rPr>
                <w:rFonts w:ascii="Times New Roman" w:hAnsi="Times New Roman"/>
                <w:color w:val="231F20"/>
                <w:spacing w:val="-3"/>
                <w:w w:val="105"/>
                <w:sz w:val="21"/>
              </w:rPr>
              <w:t> </w:t>
            </w:r>
            <w:r>
              <w:rPr>
                <w:color w:val="231F20"/>
                <w:spacing w:val="-4"/>
                <w:w w:val="105"/>
                <w:sz w:val="21"/>
              </w:rPr>
              <w:t>.01)</w:t>
            </w:r>
          </w:p>
        </w:tc>
      </w:tr>
      <w:tr>
        <w:trPr>
          <w:trHeight w:val="299" w:hRule="atLeast"/>
        </w:trPr>
        <w:tc>
          <w:tcPr>
            <w:tcW w:w="1234" w:type="dxa"/>
          </w:tcPr>
          <w:p>
            <w:pPr>
              <w:pStyle w:val="TableParagraph"/>
              <w:spacing w:before="25"/>
              <w:ind w:right="171"/>
              <w:jc w:val="right"/>
              <w:rPr>
                <w:sz w:val="21"/>
              </w:rPr>
            </w:pPr>
            <w:r>
              <w:rPr>
                <w:color w:val="231F20"/>
                <w:spacing w:val="-2"/>
                <w:w w:val="105"/>
                <w:sz w:val="21"/>
              </w:rPr>
              <w:t>150,000</w:t>
            </w:r>
          </w:p>
        </w:tc>
        <w:tc>
          <w:tcPr>
            <w:tcW w:w="2005" w:type="dxa"/>
          </w:tcPr>
          <w:p>
            <w:pPr>
              <w:pStyle w:val="TableParagraph"/>
              <w:spacing w:before="25"/>
              <w:ind w:left="700" w:right="754"/>
              <w:rPr>
                <w:sz w:val="21"/>
              </w:rPr>
            </w:pPr>
            <w:r>
              <w:rPr>
                <w:color w:val="231F20"/>
                <w:spacing w:val="-5"/>
                <w:w w:val="105"/>
                <w:sz w:val="21"/>
              </w:rPr>
              <w:t>.03</w:t>
            </w:r>
          </w:p>
        </w:tc>
        <w:tc>
          <w:tcPr>
            <w:tcW w:w="2389" w:type="dxa"/>
          </w:tcPr>
          <w:p>
            <w:pPr>
              <w:pStyle w:val="TableParagraph"/>
              <w:spacing w:before="13"/>
              <w:ind w:left="247"/>
              <w:jc w:val="left"/>
              <w:rPr>
                <w:sz w:val="21"/>
              </w:rPr>
            </w:pPr>
            <w:r>
              <w:rPr>
                <w:color w:val="231F20"/>
                <w:w w:val="105"/>
                <w:sz w:val="21"/>
              </w:rPr>
              <w:t>.045</w:t>
            </w:r>
            <w:r>
              <w:rPr>
                <w:color w:val="231F20"/>
                <w:spacing w:val="7"/>
                <w:w w:val="105"/>
                <w:sz w:val="21"/>
              </w:rPr>
              <w:t> </w:t>
            </w:r>
            <w:r>
              <w:rPr>
                <w:color w:val="231F20"/>
                <w:w w:val="105"/>
                <w:sz w:val="21"/>
              </w:rPr>
              <w:t>(.03</w:t>
            </w:r>
            <w:r>
              <w:rPr>
                <w:color w:val="231F20"/>
                <w:spacing w:val="8"/>
                <w:w w:val="105"/>
                <w:sz w:val="21"/>
              </w:rPr>
              <w:t> </w:t>
            </w:r>
            <w:r>
              <w:rPr>
                <w:rFonts w:ascii="Symbol" w:hAnsi="Symbol"/>
                <w:color w:val="231F20"/>
                <w:w w:val="105"/>
                <w:sz w:val="21"/>
              </w:rPr>
              <w:t></w:t>
            </w:r>
            <w:r>
              <w:rPr>
                <w:rFonts w:ascii="Times New Roman" w:hAnsi="Times New Roman"/>
                <w:color w:val="231F20"/>
                <w:spacing w:val="1"/>
                <w:w w:val="105"/>
                <w:sz w:val="21"/>
              </w:rPr>
              <w:t> </w:t>
            </w:r>
            <w:r>
              <w:rPr>
                <w:color w:val="231F20"/>
                <w:w w:val="105"/>
                <w:sz w:val="21"/>
              </w:rPr>
              <w:t>.01</w:t>
            </w:r>
            <w:r>
              <w:rPr>
                <w:color w:val="231F20"/>
                <w:spacing w:val="7"/>
                <w:w w:val="105"/>
                <w:sz w:val="21"/>
              </w:rPr>
              <w:t> </w:t>
            </w:r>
            <w:r>
              <w:rPr>
                <w:rFonts w:ascii="Symbol" w:hAnsi="Symbol"/>
                <w:color w:val="231F20"/>
                <w:w w:val="105"/>
                <w:sz w:val="21"/>
              </w:rPr>
              <w:t></w:t>
            </w:r>
            <w:r>
              <w:rPr>
                <w:rFonts w:ascii="Times New Roman" w:hAnsi="Times New Roman"/>
                <w:color w:val="231F20"/>
                <w:spacing w:val="1"/>
                <w:w w:val="105"/>
                <w:sz w:val="21"/>
              </w:rPr>
              <w:t> </w:t>
            </w:r>
            <w:r>
              <w:rPr>
                <w:color w:val="231F20"/>
                <w:spacing w:val="-2"/>
                <w:w w:val="105"/>
                <w:sz w:val="21"/>
              </w:rPr>
              <w:t>.005)</w:t>
            </w:r>
          </w:p>
        </w:tc>
      </w:tr>
      <w:tr>
        <w:trPr>
          <w:trHeight w:val="298" w:hRule="atLeast"/>
        </w:trPr>
        <w:tc>
          <w:tcPr>
            <w:tcW w:w="1234" w:type="dxa"/>
          </w:tcPr>
          <w:p>
            <w:pPr>
              <w:pStyle w:val="TableParagraph"/>
              <w:spacing w:before="25"/>
              <w:ind w:right="171"/>
              <w:jc w:val="right"/>
              <w:rPr>
                <w:sz w:val="21"/>
              </w:rPr>
            </w:pPr>
            <w:r>
              <w:rPr>
                <w:color w:val="231F20"/>
                <w:spacing w:val="-2"/>
                <w:w w:val="105"/>
                <w:sz w:val="21"/>
              </w:rPr>
              <w:t>200,000</w:t>
            </w:r>
          </w:p>
        </w:tc>
        <w:tc>
          <w:tcPr>
            <w:tcW w:w="2005" w:type="dxa"/>
          </w:tcPr>
          <w:p>
            <w:pPr>
              <w:pStyle w:val="TableParagraph"/>
              <w:spacing w:before="25"/>
              <w:ind w:left="700" w:right="754"/>
              <w:rPr>
                <w:sz w:val="21"/>
              </w:rPr>
            </w:pPr>
            <w:r>
              <w:rPr>
                <w:color w:val="231F20"/>
                <w:spacing w:val="-5"/>
                <w:w w:val="105"/>
                <w:sz w:val="21"/>
              </w:rPr>
              <w:t>.08</w:t>
            </w:r>
          </w:p>
        </w:tc>
        <w:tc>
          <w:tcPr>
            <w:tcW w:w="2389" w:type="dxa"/>
          </w:tcPr>
          <w:p>
            <w:pPr>
              <w:pStyle w:val="TableParagraph"/>
              <w:spacing w:before="25"/>
              <w:ind w:left="247"/>
              <w:jc w:val="left"/>
              <w:rPr>
                <w:sz w:val="21"/>
              </w:rPr>
            </w:pPr>
            <w:r>
              <w:rPr>
                <w:color w:val="231F20"/>
                <w:spacing w:val="-4"/>
                <w:w w:val="105"/>
                <w:sz w:val="21"/>
              </w:rPr>
              <w:t>.125</w:t>
            </w:r>
          </w:p>
        </w:tc>
      </w:tr>
      <w:tr>
        <w:trPr>
          <w:trHeight w:val="299" w:hRule="atLeast"/>
        </w:trPr>
        <w:tc>
          <w:tcPr>
            <w:tcW w:w="1234" w:type="dxa"/>
          </w:tcPr>
          <w:p>
            <w:pPr>
              <w:pStyle w:val="TableParagraph"/>
              <w:spacing w:before="26"/>
              <w:ind w:right="171"/>
              <w:jc w:val="right"/>
              <w:rPr>
                <w:sz w:val="21"/>
              </w:rPr>
            </w:pPr>
            <w:r>
              <w:rPr>
                <w:color w:val="231F20"/>
                <w:spacing w:val="-2"/>
                <w:w w:val="105"/>
                <w:sz w:val="21"/>
              </w:rPr>
              <w:t>300,000</w:t>
            </w:r>
          </w:p>
        </w:tc>
        <w:tc>
          <w:tcPr>
            <w:tcW w:w="2005" w:type="dxa"/>
          </w:tcPr>
          <w:p>
            <w:pPr>
              <w:pStyle w:val="TableParagraph"/>
              <w:spacing w:before="26"/>
              <w:ind w:left="700" w:right="754"/>
              <w:rPr>
                <w:sz w:val="21"/>
              </w:rPr>
            </w:pPr>
            <w:r>
              <w:rPr>
                <w:color w:val="231F20"/>
                <w:spacing w:val="-5"/>
                <w:w w:val="105"/>
                <w:sz w:val="21"/>
              </w:rPr>
              <w:t>.12</w:t>
            </w:r>
          </w:p>
        </w:tc>
        <w:tc>
          <w:tcPr>
            <w:tcW w:w="2389" w:type="dxa"/>
          </w:tcPr>
          <w:p>
            <w:pPr>
              <w:pStyle w:val="TableParagraph"/>
              <w:spacing w:before="26"/>
              <w:ind w:left="247"/>
              <w:jc w:val="left"/>
              <w:rPr>
                <w:sz w:val="21"/>
              </w:rPr>
            </w:pPr>
            <w:r>
              <w:rPr>
                <w:color w:val="231F20"/>
                <w:spacing w:val="-4"/>
                <w:w w:val="105"/>
                <w:sz w:val="21"/>
              </w:rPr>
              <w:t>.245</w:t>
            </w:r>
          </w:p>
        </w:tc>
      </w:tr>
      <w:tr>
        <w:trPr>
          <w:trHeight w:val="299" w:hRule="atLeast"/>
        </w:trPr>
        <w:tc>
          <w:tcPr>
            <w:tcW w:w="1234" w:type="dxa"/>
          </w:tcPr>
          <w:p>
            <w:pPr>
              <w:pStyle w:val="TableParagraph"/>
              <w:spacing w:before="26"/>
              <w:ind w:right="171"/>
              <w:jc w:val="right"/>
              <w:rPr>
                <w:sz w:val="21"/>
              </w:rPr>
            </w:pPr>
            <w:r>
              <w:rPr>
                <w:color w:val="231F20"/>
                <w:spacing w:val="-2"/>
                <w:w w:val="105"/>
                <w:sz w:val="21"/>
              </w:rPr>
              <w:t>750,000</w:t>
            </w:r>
          </w:p>
        </w:tc>
        <w:tc>
          <w:tcPr>
            <w:tcW w:w="2005" w:type="dxa"/>
          </w:tcPr>
          <w:p>
            <w:pPr>
              <w:pStyle w:val="TableParagraph"/>
              <w:spacing w:before="26"/>
              <w:ind w:left="700" w:right="754"/>
              <w:rPr>
                <w:sz w:val="21"/>
              </w:rPr>
            </w:pPr>
            <w:r>
              <w:rPr>
                <w:color w:val="231F20"/>
                <w:spacing w:val="-5"/>
                <w:w w:val="105"/>
                <w:sz w:val="21"/>
              </w:rPr>
              <w:t>.15</w:t>
            </w:r>
          </w:p>
        </w:tc>
        <w:tc>
          <w:tcPr>
            <w:tcW w:w="2389" w:type="dxa"/>
          </w:tcPr>
          <w:p>
            <w:pPr>
              <w:pStyle w:val="TableParagraph"/>
              <w:spacing w:before="26"/>
              <w:ind w:left="247"/>
              <w:jc w:val="left"/>
              <w:rPr>
                <w:sz w:val="21"/>
              </w:rPr>
            </w:pPr>
            <w:r>
              <w:rPr>
                <w:color w:val="231F20"/>
                <w:spacing w:val="-4"/>
                <w:w w:val="105"/>
                <w:sz w:val="21"/>
              </w:rPr>
              <w:t>.395</w:t>
            </w:r>
          </w:p>
        </w:tc>
      </w:tr>
      <w:tr>
        <w:trPr>
          <w:trHeight w:val="300" w:hRule="atLeast"/>
        </w:trPr>
        <w:tc>
          <w:tcPr>
            <w:tcW w:w="1234" w:type="dxa"/>
          </w:tcPr>
          <w:p>
            <w:pPr>
              <w:pStyle w:val="TableParagraph"/>
              <w:spacing w:before="26"/>
              <w:ind w:right="171"/>
              <w:jc w:val="right"/>
              <w:rPr>
                <w:sz w:val="21"/>
              </w:rPr>
            </w:pPr>
            <w:r>
              <w:rPr>
                <w:color w:val="231F20"/>
                <w:spacing w:val="-2"/>
                <w:w w:val="105"/>
                <w:sz w:val="21"/>
              </w:rPr>
              <w:t>1,100,000</w:t>
            </w:r>
          </w:p>
        </w:tc>
        <w:tc>
          <w:tcPr>
            <w:tcW w:w="2005" w:type="dxa"/>
          </w:tcPr>
          <w:p>
            <w:pPr>
              <w:pStyle w:val="TableParagraph"/>
              <w:spacing w:before="26"/>
              <w:ind w:left="700" w:right="754"/>
              <w:rPr>
                <w:sz w:val="21"/>
              </w:rPr>
            </w:pPr>
            <w:r>
              <w:rPr>
                <w:color w:val="231F20"/>
                <w:spacing w:val="-5"/>
                <w:w w:val="105"/>
                <w:sz w:val="21"/>
              </w:rPr>
              <w:t>.21</w:t>
            </w:r>
          </w:p>
        </w:tc>
        <w:tc>
          <w:tcPr>
            <w:tcW w:w="2389" w:type="dxa"/>
          </w:tcPr>
          <w:p>
            <w:pPr>
              <w:pStyle w:val="TableParagraph"/>
              <w:spacing w:before="26"/>
              <w:ind w:left="247"/>
              <w:jc w:val="left"/>
              <w:rPr>
                <w:sz w:val="21"/>
              </w:rPr>
            </w:pPr>
            <w:r>
              <w:rPr>
                <w:color w:val="231F20"/>
                <w:spacing w:val="-4"/>
                <w:w w:val="105"/>
                <w:sz w:val="21"/>
              </w:rPr>
              <w:t>.605</w:t>
            </w:r>
          </w:p>
        </w:tc>
      </w:tr>
      <w:tr>
        <w:trPr>
          <w:trHeight w:val="300" w:hRule="atLeast"/>
        </w:trPr>
        <w:tc>
          <w:tcPr>
            <w:tcW w:w="1234" w:type="dxa"/>
          </w:tcPr>
          <w:p>
            <w:pPr>
              <w:pStyle w:val="TableParagraph"/>
              <w:spacing w:before="26"/>
              <w:ind w:right="171"/>
              <w:jc w:val="right"/>
              <w:rPr>
                <w:sz w:val="21"/>
              </w:rPr>
            </w:pPr>
            <w:r>
              <w:rPr>
                <w:color w:val="231F20"/>
                <w:spacing w:val="-2"/>
                <w:w w:val="105"/>
                <w:sz w:val="21"/>
              </w:rPr>
              <w:t>1,200,000</w:t>
            </w:r>
          </w:p>
        </w:tc>
        <w:tc>
          <w:tcPr>
            <w:tcW w:w="2005" w:type="dxa"/>
          </w:tcPr>
          <w:p>
            <w:pPr>
              <w:pStyle w:val="TableParagraph"/>
              <w:spacing w:before="26"/>
              <w:ind w:left="700" w:right="754"/>
              <w:rPr>
                <w:sz w:val="21"/>
              </w:rPr>
            </w:pPr>
            <w:r>
              <w:rPr>
                <w:color w:val="231F20"/>
                <w:spacing w:val="-5"/>
                <w:w w:val="105"/>
                <w:sz w:val="21"/>
              </w:rPr>
              <w:t>.15</w:t>
            </w:r>
          </w:p>
        </w:tc>
        <w:tc>
          <w:tcPr>
            <w:tcW w:w="2389" w:type="dxa"/>
          </w:tcPr>
          <w:p>
            <w:pPr>
              <w:pStyle w:val="TableParagraph"/>
              <w:spacing w:before="26"/>
              <w:ind w:left="247"/>
              <w:jc w:val="left"/>
              <w:rPr>
                <w:sz w:val="21"/>
              </w:rPr>
            </w:pPr>
            <w:r>
              <w:rPr>
                <w:color w:val="231F20"/>
                <w:spacing w:val="-4"/>
                <w:w w:val="105"/>
                <w:sz w:val="21"/>
              </w:rPr>
              <w:t>.755</w:t>
            </w:r>
          </w:p>
        </w:tc>
      </w:tr>
      <w:tr>
        <w:trPr>
          <w:trHeight w:val="274" w:hRule="atLeast"/>
        </w:trPr>
        <w:tc>
          <w:tcPr>
            <w:tcW w:w="1234" w:type="dxa"/>
          </w:tcPr>
          <w:p>
            <w:pPr>
              <w:pStyle w:val="TableParagraph"/>
              <w:spacing w:line="228" w:lineRule="exact" w:before="26"/>
              <w:ind w:right="171"/>
              <w:jc w:val="right"/>
              <w:rPr>
                <w:sz w:val="21"/>
              </w:rPr>
            </w:pPr>
            <w:r>
              <w:rPr>
                <w:color w:val="231F20"/>
                <w:spacing w:val="-2"/>
                <w:w w:val="105"/>
                <w:sz w:val="21"/>
              </w:rPr>
              <w:t>1,400,000</w:t>
            </w:r>
          </w:p>
        </w:tc>
        <w:tc>
          <w:tcPr>
            <w:tcW w:w="2005" w:type="dxa"/>
          </w:tcPr>
          <w:p>
            <w:pPr>
              <w:pStyle w:val="TableParagraph"/>
              <w:spacing w:line="228" w:lineRule="exact" w:before="26"/>
              <w:ind w:left="700" w:right="754"/>
              <w:rPr>
                <w:sz w:val="21"/>
              </w:rPr>
            </w:pPr>
            <w:r>
              <w:rPr>
                <w:color w:val="231F20"/>
                <w:spacing w:val="-5"/>
                <w:w w:val="105"/>
                <w:sz w:val="21"/>
              </w:rPr>
              <w:t>.12</w:t>
            </w:r>
          </w:p>
        </w:tc>
        <w:tc>
          <w:tcPr>
            <w:tcW w:w="2389" w:type="dxa"/>
          </w:tcPr>
          <w:p>
            <w:pPr>
              <w:pStyle w:val="TableParagraph"/>
              <w:spacing w:line="228" w:lineRule="exact" w:before="26"/>
              <w:ind w:left="247"/>
              <w:jc w:val="left"/>
              <w:rPr>
                <w:sz w:val="21"/>
              </w:rPr>
            </w:pPr>
            <w:r>
              <w:rPr>
                <w:color w:val="231F20"/>
                <w:spacing w:val="-4"/>
                <w:w w:val="105"/>
                <w:sz w:val="21"/>
              </w:rPr>
              <w:t>.875</w:t>
            </w:r>
          </w:p>
        </w:tc>
      </w:tr>
    </w:tbl>
    <w:p>
      <w:pPr>
        <w:spacing w:after="0" w:line="228" w:lineRule="exact"/>
        <w:jc w:val="left"/>
        <w:rPr>
          <w:sz w:val="21"/>
        </w:rPr>
        <w:sectPr>
          <w:pgSz w:w="8640" w:h="12960"/>
          <w:pgMar w:header="732" w:footer="0" w:top="920" w:bottom="280" w:left="340" w:right="500"/>
        </w:sectPr>
      </w:pPr>
    </w:p>
    <w:p>
      <w:pPr>
        <w:pStyle w:val="BodyText"/>
        <w:spacing w:before="8"/>
        <w:rPr>
          <w:sz w:val="19"/>
        </w:rPr>
      </w:pPr>
    </w:p>
    <w:p>
      <w:pPr>
        <w:spacing w:before="96"/>
        <w:ind w:left="472" w:right="219" w:firstLine="0"/>
        <w:jc w:val="center"/>
        <w:rPr>
          <w:rFonts w:ascii="Arial"/>
          <w:sz w:val="14"/>
        </w:rPr>
      </w:pPr>
      <w:r>
        <w:rPr>
          <w:rFonts w:ascii="Arial"/>
          <w:color w:val="231F20"/>
          <w:w w:val="105"/>
          <w:sz w:val="14"/>
        </w:rPr>
        <w:t>THE</w:t>
      </w:r>
      <w:r>
        <w:rPr>
          <w:rFonts w:ascii="Arial"/>
          <w:color w:val="231F20"/>
          <w:spacing w:val="35"/>
          <w:w w:val="105"/>
          <w:sz w:val="14"/>
        </w:rPr>
        <w:t> </w:t>
      </w:r>
      <w:r>
        <w:rPr>
          <w:rFonts w:ascii="Arial"/>
          <w:color w:val="231F20"/>
          <w:w w:val="105"/>
          <w:sz w:val="14"/>
        </w:rPr>
        <w:t>PROBABILITY</w:t>
      </w:r>
      <w:r>
        <w:rPr>
          <w:rFonts w:ascii="Arial"/>
          <w:color w:val="231F20"/>
          <w:spacing w:val="35"/>
          <w:w w:val="105"/>
          <w:sz w:val="14"/>
        </w:rPr>
        <w:t> </w:t>
      </w:r>
      <w:r>
        <w:rPr>
          <w:rFonts w:ascii="Arial"/>
          <w:color w:val="231F20"/>
          <w:w w:val="105"/>
          <w:sz w:val="14"/>
        </w:rPr>
        <w:t>DENSITY</w:t>
      </w:r>
      <w:r>
        <w:rPr>
          <w:rFonts w:ascii="Arial"/>
          <w:color w:val="231F20"/>
          <w:spacing w:val="35"/>
          <w:w w:val="105"/>
          <w:sz w:val="14"/>
        </w:rPr>
        <w:t> </w:t>
      </w:r>
      <w:r>
        <w:rPr>
          <w:rFonts w:ascii="Arial"/>
          <w:color w:val="231F20"/>
          <w:spacing w:val="-2"/>
          <w:w w:val="105"/>
          <w:sz w:val="14"/>
        </w:rPr>
        <w:t>FUNCTION</w:t>
      </w:r>
    </w:p>
    <w:p>
      <w:pPr>
        <w:spacing w:before="79"/>
        <w:ind w:left="468" w:right="219" w:firstLine="0"/>
        <w:jc w:val="center"/>
        <w:rPr>
          <w:rFonts w:ascii="Arial"/>
          <w:sz w:val="14"/>
        </w:rPr>
      </w:pPr>
      <w:r>
        <w:rPr>
          <w:rFonts w:ascii="Arial"/>
          <w:color w:val="231F20"/>
          <w:w w:val="110"/>
          <w:sz w:val="14"/>
        </w:rPr>
        <w:t>Monthly Stock</w:t>
      </w:r>
      <w:r>
        <w:rPr>
          <w:rFonts w:ascii="Arial"/>
          <w:color w:val="231F20"/>
          <w:spacing w:val="1"/>
          <w:w w:val="110"/>
          <w:sz w:val="14"/>
        </w:rPr>
        <w:t> </w:t>
      </w:r>
      <w:r>
        <w:rPr>
          <w:rFonts w:ascii="Arial"/>
          <w:color w:val="231F20"/>
          <w:w w:val="110"/>
          <w:sz w:val="14"/>
        </w:rPr>
        <w:t>Returns</w:t>
      </w:r>
      <w:r>
        <w:rPr>
          <w:rFonts w:ascii="Arial"/>
          <w:color w:val="231F20"/>
          <w:spacing w:val="1"/>
          <w:w w:val="110"/>
          <w:sz w:val="14"/>
        </w:rPr>
        <w:t> </w:t>
      </w:r>
      <w:r>
        <w:rPr>
          <w:rFonts w:ascii="Arial"/>
          <w:color w:val="231F20"/>
          <w:w w:val="110"/>
          <w:sz w:val="14"/>
        </w:rPr>
        <w:t>of Pioneer</w:t>
      </w:r>
      <w:r>
        <w:rPr>
          <w:rFonts w:ascii="Arial"/>
          <w:color w:val="231F20"/>
          <w:spacing w:val="1"/>
          <w:w w:val="110"/>
          <w:sz w:val="14"/>
        </w:rPr>
        <w:t> </w:t>
      </w:r>
      <w:r>
        <w:rPr>
          <w:rFonts w:ascii="Arial"/>
          <w:color w:val="231F20"/>
          <w:spacing w:val="-2"/>
          <w:w w:val="110"/>
          <w:sz w:val="14"/>
        </w:rPr>
        <w:t>Aviation</w:t>
      </w:r>
    </w:p>
    <w:p>
      <w:pPr>
        <w:pStyle w:val="BodyText"/>
        <w:spacing w:before="8"/>
        <w:rPr>
          <w:rFonts w:ascii="Arial"/>
          <w:sz w:val="15"/>
        </w:rPr>
      </w:pPr>
      <w:r>
        <w:rPr/>
        <w:drawing>
          <wp:anchor distT="0" distB="0" distL="0" distR="0" allowOverlap="1" layoutInCell="1" locked="0" behindDoc="0" simplePos="0" relativeHeight="219">
            <wp:simplePos x="0" y="0"/>
            <wp:positionH relativeFrom="page">
              <wp:posOffset>779025</wp:posOffset>
            </wp:positionH>
            <wp:positionV relativeFrom="paragraph">
              <wp:posOffset>130068</wp:posOffset>
            </wp:positionV>
            <wp:extent cx="4009124" cy="2389631"/>
            <wp:effectExtent l="0" t="0" r="0" b="0"/>
            <wp:wrapTopAndBottom/>
            <wp:docPr id="85" name="image50.png"/>
            <wp:cNvGraphicFramePr>
              <a:graphicFrameLocks noChangeAspect="1"/>
            </wp:cNvGraphicFramePr>
            <a:graphic>
              <a:graphicData uri="http://schemas.openxmlformats.org/drawingml/2006/picture">
                <pic:pic>
                  <pic:nvPicPr>
                    <pic:cNvPr id="86" name="image50.png"/>
                    <pic:cNvPicPr/>
                  </pic:nvPicPr>
                  <pic:blipFill>
                    <a:blip r:embed="rId75" cstate="print"/>
                    <a:stretch>
                      <a:fillRect/>
                    </a:stretch>
                  </pic:blipFill>
                  <pic:spPr>
                    <a:xfrm>
                      <a:off x="0" y="0"/>
                      <a:ext cx="4009124" cy="2389631"/>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spacing w:before="10"/>
        <w:rPr>
          <w:rFonts w:ascii="Arial"/>
        </w:rPr>
      </w:pPr>
    </w:p>
    <w:tbl>
      <w:tblPr>
        <w:tblW w:w="0" w:type="auto"/>
        <w:jc w:val="left"/>
        <w:tblInd w:w="1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2"/>
        <w:gridCol w:w="1422"/>
        <w:gridCol w:w="1035"/>
      </w:tblGrid>
      <w:tr>
        <w:trPr>
          <w:trHeight w:val="274" w:hRule="atLeast"/>
        </w:trPr>
        <w:tc>
          <w:tcPr>
            <w:tcW w:w="1442" w:type="dxa"/>
          </w:tcPr>
          <w:p>
            <w:pPr>
              <w:pStyle w:val="TableParagraph"/>
              <w:spacing w:before="1"/>
              <w:ind w:left="50"/>
              <w:jc w:val="left"/>
              <w:rPr>
                <w:sz w:val="21"/>
              </w:rPr>
            </w:pPr>
            <w:r>
              <w:rPr>
                <w:color w:val="231F20"/>
                <w:spacing w:val="-2"/>
                <w:w w:val="105"/>
                <w:sz w:val="21"/>
              </w:rPr>
              <w:t>1,700,000</w:t>
            </w:r>
          </w:p>
        </w:tc>
        <w:tc>
          <w:tcPr>
            <w:tcW w:w="1422" w:type="dxa"/>
          </w:tcPr>
          <w:p>
            <w:pPr>
              <w:pStyle w:val="TableParagraph"/>
              <w:spacing w:before="1"/>
              <w:ind w:right="13"/>
              <w:rPr>
                <w:sz w:val="21"/>
              </w:rPr>
            </w:pPr>
            <w:r>
              <w:rPr>
                <w:color w:val="231F20"/>
                <w:spacing w:val="-5"/>
                <w:w w:val="105"/>
                <w:sz w:val="21"/>
              </w:rPr>
              <w:t>.08</w:t>
            </w:r>
          </w:p>
        </w:tc>
        <w:tc>
          <w:tcPr>
            <w:tcW w:w="1035" w:type="dxa"/>
          </w:tcPr>
          <w:p>
            <w:pPr>
              <w:pStyle w:val="TableParagraph"/>
              <w:spacing w:before="1"/>
              <w:ind w:right="58"/>
              <w:jc w:val="right"/>
              <w:rPr>
                <w:sz w:val="21"/>
              </w:rPr>
            </w:pPr>
            <w:r>
              <w:rPr>
                <w:color w:val="231F20"/>
                <w:spacing w:val="-4"/>
                <w:w w:val="105"/>
                <w:sz w:val="21"/>
              </w:rPr>
              <w:t>.955</w:t>
            </w:r>
          </w:p>
        </w:tc>
      </w:tr>
      <w:tr>
        <w:trPr>
          <w:trHeight w:val="299" w:hRule="atLeast"/>
        </w:trPr>
        <w:tc>
          <w:tcPr>
            <w:tcW w:w="1442" w:type="dxa"/>
          </w:tcPr>
          <w:p>
            <w:pPr>
              <w:pStyle w:val="TableParagraph"/>
              <w:spacing w:before="26"/>
              <w:ind w:left="50"/>
              <w:jc w:val="left"/>
              <w:rPr>
                <w:sz w:val="21"/>
              </w:rPr>
            </w:pPr>
            <w:r>
              <w:rPr>
                <w:color w:val="231F20"/>
                <w:spacing w:val="-2"/>
                <w:w w:val="105"/>
                <w:sz w:val="21"/>
              </w:rPr>
              <w:t>2,000,000</w:t>
            </w:r>
          </w:p>
        </w:tc>
        <w:tc>
          <w:tcPr>
            <w:tcW w:w="1422" w:type="dxa"/>
          </w:tcPr>
          <w:p>
            <w:pPr>
              <w:pStyle w:val="TableParagraph"/>
              <w:spacing w:before="26"/>
              <w:ind w:right="13"/>
              <w:rPr>
                <w:sz w:val="21"/>
              </w:rPr>
            </w:pPr>
            <w:r>
              <w:rPr>
                <w:color w:val="231F20"/>
                <w:spacing w:val="-5"/>
                <w:w w:val="105"/>
                <w:sz w:val="21"/>
              </w:rPr>
              <w:t>.03</w:t>
            </w:r>
          </w:p>
        </w:tc>
        <w:tc>
          <w:tcPr>
            <w:tcW w:w="1035" w:type="dxa"/>
          </w:tcPr>
          <w:p>
            <w:pPr>
              <w:pStyle w:val="TableParagraph"/>
              <w:spacing w:before="26"/>
              <w:ind w:right="58"/>
              <w:jc w:val="right"/>
              <w:rPr>
                <w:sz w:val="21"/>
              </w:rPr>
            </w:pPr>
            <w:r>
              <w:rPr>
                <w:color w:val="231F20"/>
                <w:spacing w:val="-4"/>
                <w:w w:val="105"/>
                <w:sz w:val="21"/>
              </w:rPr>
              <w:t>.985</w:t>
            </w:r>
          </w:p>
        </w:tc>
      </w:tr>
      <w:tr>
        <w:trPr>
          <w:trHeight w:val="300" w:hRule="atLeast"/>
        </w:trPr>
        <w:tc>
          <w:tcPr>
            <w:tcW w:w="1442" w:type="dxa"/>
          </w:tcPr>
          <w:p>
            <w:pPr>
              <w:pStyle w:val="TableParagraph"/>
              <w:spacing w:before="26"/>
              <w:ind w:left="50"/>
              <w:jc w:val="left"/>
              <w:rPr>
                <w:sz w:val="21"/>
              </w:rPr>
            </w:pPr>
            <w:r>
              <w:rPr>
                <w:color w:val="231F20"/>
                <w:spacing w:val="-2"/>
                <w:w w:val="105"/>
                <w:sz w:val="21"/>
              </w:rPr>
              <w:t>2,500,000</w:t>
            </w:r>
          </w:p>
        </w:tc>
        <w:tc>
          <w:tcPr>
            <w:tcW w:w="1422" w:type="dxa"/>
          </w:tcPr>
          <w:p>
            <w:pPr>
              <w:pStyle w:val="TableParagraph"/>
              <w:spacing w:before="26"/>
              <w:ind w:right="13"/>
              <w:rPr>
                <w:sz w:val="21"/>
              </w:rPr>
            </w:pPr>
            <w:r>
              <w:rPr>
                <w:color w:val="231F20"/>
                <w:spacing w:val="-5"/>
                <w:w w:val="105"/>
                <w:sz w:val="21"/>
              </w:rPr>
              <w:t>.01</w:t>
            </w:r>
          </w:p>
        </w:tc>
        <w:tc>
          <w:tcPr>
            <w:tcW w:w="1035" w:type="dxa"/>
          </w:tcPr>
          <w:p>
            <w:pPr>
              <w:pStyle w:val="TableParagraph"/>
              <w:spacing w:before="26"/>
              <w:ind w:right="58"/>
              <w:jc w:val="right"/>
              <w:rPr>
                <w:sz w:val="21"/>
              </w:rPr>
            </w:pPr>
            <w:r>
              <w:rPr>
                <w:color w:val="231F20"/>
                <w:spacing w:val="-4"/>
                <w:w w:val="105"/>
                <w:sz w:val="21"/>
              </w:rPr>
              <w:t>.995</w:t>
            </w:r>
          </w:p>
        </w:tc>
      </w:tr>
      <w:tr>
        <w:trPr>
          <w:trHeight w:val="310" w:hRule="atLeast"/>
        </w:trPr>
        <w:tc>
          <w:tcPr>
            <w:tcW w:w="1442" w:type="dxa"/>
          </w:tcPr>
          <w:p>
            <w:pPr>
              <w:pStyle w:val="TableParagraph"/>
              <w:spacing w:before="26"/>
              <w:ind w:left="50"/>
              <w:jc w:val="left"/>
              <w:rPr>
                <w:sz w:val="21"/>
              </w:rPr>
            </w:pPr>
            <w:r>
              <w:rPr>
                <w:color w:val="231F20"/>
                <w:spacing w:val="-2"/>
                <w:w w:val="105"/>
                <w:sz w:val="21"/>
              </w:rPr>
              <w:t>6,000,000</w:t>
            </w:r>
          </w:p>
        </w:tc>
        <w:tc>
          <w:tcPr>
            <w:tcW w:w="1422" w:type="dxa"/>
          </w:tcPr>
          <w:p>
            <w:pPr>
              <w:pStyle w:val="TableParagraph"/>
              <w:spacing w:before="26"/>
              <w:ind w:right="4"/>
              <w:rPr>
                <w:sz w:val="21"/>
              </w:rPr>
            </w:pPr>
            <w:r>
              <w:rPr>
                <w:color w:val="231F20"/>
                <w:spacing w:val="60"/>
                <w:w w:val="105"/>
                <w:sz w:val="21"/>
                <w:u w:val="single" w:color="231F20"/>
              </w:rPr>
              <w:t> </w:t>
            </w:r>
            <w:r>
              <w:rPr>
                <w:color w:val="231F20"/>
                <w:spacing w:val="-4"/>
                <w:w w:val="105"/>
                <w:sz w:val="21"/>
                <w:u w:val="single" w:color="231F20"/>
              </w:rPr>
              <w:t>.005</w:t>
            </w:r>
          </w:p>
        </w:tc>
        <w:tc>
          <w:tcPr>
            <w:tcW w:w="1035" w:type="dxa"/>
          </w:tcPr>
          <w:p>
            <w:pPr>
              <w:pStyle w:val="TableParagraph"/>
              <w:spacing w:before="26"/>
              <w:ind w:right="46"/>
              <w:jc w:val="right"/>
              <w:rPr>
                <w:sz w:val="21"/>
              </w:rPr>
            </w:pPr>
            <w:r>
              <w:rPr>
                <w:color w:val="231F20"/>
                <w:spacing w:val="-4"/>
                <w:w w:val="105"/>
                <w:sz w:val="21"/>
              </w:rPr>
              <w:t>1.000</w:t>
            </w:r>
          </w:p>
        </w:tc>
      </w:tr>
      <w:tr>
        <w:trPr>
          <w:trHeight w:val="264" w:hRule="atLeast"/>
        </w:trPr>
        <w:tc>
          <w:tcPr>
            <w:tcW w:w="1442" w:type="dxa"/>
          </w:tcPr>
          <w:p>
            <w:pPr>
              <w:pStyle w:val="TableParagraph"/>
              <w:spacing w:before="0"/>
              <w:jc w:val="left"/>
              <w:rPr>
                <w:rFonts w:ascii="Times New Roman"/>
                <w:sz w:val="18"/>
              </w:rPr>
            </w:pPr>
          </w:p>
        </w:tc>
        <w:tc>
          <w:tcPr>
            <w:tcW w:w="1422" w:type="dxa"/>
          </w:tcPr>
          <w:p>
            <w:pPr>
              <w:pStyle w:val="TableParagraph"/>
              <w:spacing w:line="228" w:lineRule="exact" w:before="16"/>
              <w:ind w:right="13"/>
              <w:rPr>
                <w:sz w:val="21"/>
              </w:rPr>
            </w:pPr>
            <w:r>
              <w:rPr>
                <w:color w:val="231F20"/>
                <w:spacing w:val="-4"/>
                <w:w w:val="105"/>
                <w:sz w:val="21"/>
              </w:rPr>
              <w:t>1.000</w:t>
            </w:r>
          </w:p>
        </w:tc>
        <w:tc>
          <w:tcPr>
            <w:tcW w:w="1035" w:type="dxa"/>
          </w:tcPr>
          <w:p>
            <w:pPr>
              <w:pStyle w:val="TableParagraph"/>
              <w:spacing w:before="0"/>
              <w:jc w:val="left"/>
              <w:rPr>
                <w:rFonts w:ascii="Times New Roman"/>
                <w:sz w:val="18"/>
              </w:rPr>
            </w:pPr>
          </w:p>
        </w:tc>
      </w:tr>
    </w:tbl>
    <w:p>
      <w:pPr>
        <w:pStyle w:val="BodyText"/>
        <w:rPr>
          <w:rFonts w:ascii="Arial"/>
          <w:sz w:val="14"/>
        </w:rPr>
      </w:pPr>
    </w:p>
    <w:p>
      <w:pPr>
        <w:pStyle w:val="BodyText"/>
        <w:spacing w:before="9"/>
        <w:rPr>
          <w:rFonts w:ascii="Arial"/>
          <w:sz w:val="16"/>
        </w:rPr>
      </w:pPr>
    </w:p>
    <w:p>
      <w:pPr>
        <w:pStyle w:val="BodyText"/>
        <w:spacing w:line="292" w:lineRule="auto"/>
        <w:ind w:left="920" w:right="667" w:firstLine="340"/>
        <w:jc w:val="both"/>
      </w:pPr>
      <w:r>
        <w:rPr>
          <w:color w:val="231F20"/>
        </w:rPr>
        <w:t>In the tree constructed before, we used $1,000,000 as our payoff. That amount was the expected value (EMV) of the oil, because I con- </w:t>
      </w:r>
      <w:r>
        <w:rPr>
          <w:color w:val="231F20"/>
          <w:spacing w:val="-2"/>
        </w:rPr>
        <w:t>veniently</w:t>
      </w:r>
      <w:r>
        <w:rPr>
          <w:color w:val="231F20"/>
          <w:spacing w:val="-6"/>
        </w:rPr>
        <w:t> </w:t>
      </w:r>
      <w:r>
        <w:rPr>
          <w:color w:val="231F20"/>
          <w:spacing w:val="-2"/>
        </w:rPr>
        <w:t>chose</w:t>
      </w:r>
      <w:r>
        <w:rPr>
          <w:color w:val="231F20"/>
          <w:spacing w:val="-6"/>
        </w:rPr>
        <w:t> </w:t>
      </w:r>
      <w:r>
        <w:rPr>
          <w:color w:val="231F20"/>
          <w:spacing w:val="-2"/>
        </w:rPr>
        <w:t>it</w:t>
      </w:r>
      <w:r>
        <w:rPr>
          <w:color w:val="231F20"/>
          <w:spacing w:val="-6"/>
        </w:rPr>
        <w:t> </w:t>
      </w:r>
      <w:r>
        <w:rPr>
          <w:color w:val="231F20"/>
          <w:spacing w:val="-2"/>
        </w:rPr>
        <w:t>for</w:t>
      </w:r>
      <w:r>
        <w:rPr>
          <w:color w:val="231F20"/>
          <w:spacing w:val="-6"/>
        </w:rPr>
        <w:t> </w:t>
      </w:r>
      <w:r>
        <w:rPr>
          <w:color w:val="231F20"/>
          <w:spacing w:val="-2"/>
        </w:rPr>
        <w:t>the</w:t>
      </w:r>
      <w:r>
        <w:rPr>
          <w:color w:val="231F20"/>
          <w:spacing w:val="-6"/>
        </w:rPr>
        <w:t> </w:t>
      </w:r>
      <w:r>
        <w:rPr>
          <w:color w:val="231F20"/>
          <w:spacing w:val="-2"/>
        </w:rPr>
        <w:t>example.</w:t>
      </w:r>
      <w:r>
        <w:rPr>
          <w:color w:val="231F20"/>
          <w:spacing w:val="-6"/>
        </w:rPr>
        <w:t> </w:t>
      </w:r>
      <w:r>
        <w:rPr>
          <w:color w:val="231F20"/>
          <w:spacing w:val="-2"/>
        </w:rPr>
        <w:t>The</w:t>
      </w:r>
      <w:r>
        <w:rPr>
          <w:color w:val="231F20"/>
          <w:spacing w:val="-6"/>
        </w:rPr>
        <w:t> </w:t>
      </w:r>
      <w:r>
        <w:rPr>
          <w:color w:val="231F20"/>
          <w:spacing w:val="-2"/>
        </w:rPr>
        <w:t>distribution</w:t>
      </w:r>
      <w:r>
        <w:rPr>
          <w:color w:val="231F20"/>
          <w:spacing w:val="-6"/>
        </w:rPr>
        <w:t> </w:t>
      </w:r>
      <w:r>
        <w:rPr>
          <w:color w:val="231F20"/>
          <w:spacing w:val="-2"/>
        </w:rPr>
        <w:t>was</w:t>
      </w:r>
      <w:r>
        <w:rPr>
          <w:color w:val="231F20"/>
          <w:spacing w:val="-6"/>
        </w:rPr>
        <w:t> </w:t>
      </w:r>
      <w:r>
        <w:rPr>
          <w:color w:val="231F20"/>
          <w:spacing w:val="-2"/>
        </w:rPr>
        <w:t>actually</w:t>
      </w:r>
      <w:r>
        <w:rPr>
          <w:color w:val="231F20"/>
          <w:spacing w:val="-6"/>
        </w:rPr>
        <w:t> </w:t>
      </w:r>
      <w:r>
        <w:rPr>
          <w:color w:val="231F20"/>
          <w:spacing w:val="-2"/>
        </w:rPr>
        <w:t>a</w:t>
      </w:r>
      <w:r>
        <w:rPr>
          <w:color w:val="231F20"/>
          <w:spacing w:val="-6"/>
        </w:rPr>
        <w:t> </w:t>
      </w:r>
      <w:r>
        <w:rPr>
          <w:color w:val="231F20"/>
          <w:spacing w:val="-2"/>
        </w:rPr>
        <w:t>wide </w:t>
      </w:r>
      <w:r>
        <w:rPr>
          <w:color w:val="231F20"/>
        </w:rPr>
        <w:t>range of values. There was a .005 chance of a $6,000,000 payday and</w:t>
      </w:r>
    </w:p>
    <w:p>
      <w:pPr>
        <w:pStyle w:val="BodyText"/>
        <w:spacing w:line="292" w:lineRule="auto"/>
        <w:ind w:left="920" w:right="667"/>
        <w:jc w:val="both"/>
      </w:pPr>
      <w:r>
        <w:rPr>
          <w:color w:val="231F20"/>
        </w:rPr>
        <w:t>.005 chance of $50,000 as shown by the table of values. If you multi- </w:t>
      </w:r>
      <w:r>
        <w:rPr>
          <w:color w:val="231F20"/>
          <w:spacing w:val="-2"/>
        </w:rPr>
        <w:t>ply</w:t>
      </w:r>
      <w:r>
        <w:rPr>
          <w:color w:val="231F20"/>
          <w:spacing w:val="-4"/>
        </w:rPr>
        <w:t> </w:t>
      </w:r>
      <w:r>
        <w:rPr>
          <w:color w:val="231F20"/>
          <w:spacing w:val="-2"/>
        </w:rPr>
        <w:t>each</w:t>
      </w:r>
      <w:r>
        <w:rPr>
          <w:color w:val="231F20"/>
          <w:spacing w:val="-4"/>
        </w:rPr>
        <w:t> </w:t>
      </w:r>
      <w:r>
        <w:rPr>
          <w:color w:val="231F20"/>
          <w:spacing w:val="-2"/>
        </w:rPr>
        <w:t>of</w:t>
      </w:r>
      <w:r>
        <w:rPr>
          <w:color w:val="231F20"/>
          <w:spacing w:val="-4"/>
        </w:rPr>
        <w:t> </w:t>
      </w:r>
      <w:r>
        <w:rPr>
          <w:color w:val="231F20"/>
          <w:spacing w:val="-2"/>
        </w:rPr>
        <w:t>the</w:t>
      </w:r>
      <w:r>
        <w:rPr>
          <w:color w:val="231F20"/>
          <w:spacing w:val="-4"/>
        </w:rPr>
        <w:t> </w:t>
      </w:r>
      <w:r>
        <w:rPr>
          <w:color w:val="231F20"/>
          <w:spacing w:val="-2"/>
        </w:rPr>
        <w:t>dollar</w:t>
      </w:r>
      <w:r>
        <w:rPr>
          <w:color w:val="231F20"/>
          <w:spacing w:val="-4"/>
        </w:rPr>
        <w:t> </w:t>
      </w:r>
      <w:r>
        <w:rPr>
          <w:color w:val="231F20"/>
          <w:spacing w:val="-2"/>
        </w:rPr>
        <w:t>values</w:t>
      </w:r>
      <w:r>
        <w:rPr>
          <w:color w:val="231F20"/>
          <w:spacing w:val="-4"/>
        </w:rPr>
        <w:t> </w:t>
      </w:r>
      <w:r>
        <w:rPr>
          <w:color w:val="231F20"/>
          <w:spacing w:val="-2"/>
        </w:rPr>
        <w:t>by</w:t>
      </w:r>
      <w:r>
        <w:rPr>
          <w:color w:val="231F20"/>
          <w:spacing w:val="-4"/>
        </w:rPr>
        <w:t> </w:t>
      </w:r>
      <w:r>
        <w:rPr>
          <w:color w:val="231F20"/>
          <w:spacing w:val="-2"/>
        </w:rPr>
        <w:t>their</w:t>
      </w:r>
      <w:r>
        <w:rPr>
          <w:color w:val="231F20"/>
          <w:spacing w:val="-4"/>
        </w:rPr>
        <w:t> </w:t>
      </w:r>
      <w:r>
        <w:rPr>
          <w:color w:val="231F20"/>
          <w:spacing w:val="-2"/>
        </w:rPr>
        <w:t>individual</w:t>
      </w:r>
      <w:r>
        <w:rPr>
          <w:color w:val="231F20"/>
          <w:spacing w:val="-4"/>
        </w:rPr>
        <w:t> </w:t>
      </w:r>
      <w:r>
        <w:rPr>
          <w:color w:val="231F20"/>
          <w:spacing w:val="-2"/>
        </w:rPr>
        <w:t>probabilities</w:t>
      </w:r>
      <w:r>
        <w:rPr>
          <w:color w:val="231F20"/>
          <w:spacing w:val="-4"/>
        </w:rPr>
        <w:t> </w:t>
      </w:r>
      <w:r>
        <w:rPr>
          <w:color w:val="231F20"/>
          <w:spacing w:val="-2"/>
        </w:rPr>
        <w:t>in</w:t>
      </w:r>
      <w:r>
        <w:rPr>
          <w:color w:val="231F20"/>
          <w:spacing w:val="-4"/>
        </w:rPr>
        <w:t> </w:t>
      </w:r>
      <w:r>
        <w:rPr>
          <w:color w:val="231F20"/>
          <w:spacing w:val="-2"/>
        </w:rPr>
        <w:t>the</w:t>
      </w:r>
      <w:r>
        <w:rPr>
          <w:color w:val="231F20"/>
          <w:spacing w:val="-4"/>
        </w:rPr>
        <w:t> </w:t>
      </w:r>
      <w:r>
        <w:rPr>
          <w:color w:val="231F20"/>
          <w:spacing w:val="-2"/>
        </w:rPr>
        <w:t>sec- </w:t>
      </w:r>
      <w:r>
        <w:rPr>
          <w:color w:val="231F20"/>
        </w:rPr>
        <w:t>ond column, the EMV equals $1,000,000, the EMV we used before.</w:t>
      </w:r>
    </w:p>
    <w:p>
      <w:pPr>
        <w:pStyle w:val="BodyText"/>
        <w:spacing w:line="292" w:lineRule="auto"/>
        <w:ind w:left="920" w:right="665" w:firstLine="340"/>
        <w:jc w:val="both"/>
      </w:pPr>
      <w:r>
        <w:rPr>
          <w:color w:val="231F20"/>
          <w:spacing w:val="-2"/>
          <w:w w:val="105"/>
        </w:rPr>
        <w:t>Constructing a cumulative distribution function allows </w:t>
      </w:r>
      <w:r>
        <w:rPr>
          <w:color w:val="231F20"/>
          <w:spacing w:val="-2"/>
          <w:w w:val="105"/>
        </w:rPr>
        <w:t>decision </w:t>
      </w:r>
      <w:r>
        <w:rPr>
          <w:color w:val="231F20"/>
          <w:w w:val="105"/>
        </w:rPr>
        <w:t>makers</w:t>
      </w:r>
      <w:r>
        <w:rPr>
          <w:color w:val="231F20"/>
          <w:w w:val="105"/>
        </w:rPr>
        <w:t> to</w:t>
      </w:r>
      <w:r>
        <w:rPr>
          <w:color w:val="231F20"/>
          <w:w w:val="105"/>
        </w:rPr>
        <w:t> arrive</w:t>
      </w:r>
      <w:r>
        <w:rPr>
          <w:color w:val="231F20"/>
          <w:w w:val="105"/>
        </w:rPr>
        <w:t> at</w:t>
      </w:r>
      <w:r>
        <w:rPr>
          <w:color w:val="231F20"/>
          <w:w w:val="105"/>
        </w:rPr>
        <w:t> the</w:t>
      </w:r>
      <w:r>
        <w:rPr>
          <w:color w:val="231F20"/>
          <w:w w:val="105"/>
        </w:rPr>
        <w:t> mean</w:t>
      </w:r>
      <w:r>
        <w:rPr>
          <w:color w:val="231F20"/>
          <w:w w:val="105"/>
        </w:rPr>
        <w:t> or</w:t>
      </w:r>
      <w:r>
        <w:rPr>
          <w:color w:val="231F20"/>
          <w:w w:val="105"/>
        </w:rPr>
        <w:t> EMV</w:t>
      </w:r>
      <w:r>
        <w:rPr>
          <w:color w:val="231F20"/>
          <w:w w:val="105"/>
        </w:rPr>
        <w:t> when</w:t>
      </w:r>
      <w:r>
        <w:rPr>
          <w:color w:val="231F20"/>
          <w:w w:val="105"/>
        </w:rPr>
        <w:t> they</w:t>
      </w:r>
      <w:r>
        <w:rPr>
          <w:color w:val="231F20"/>
          <w:w w:val="105"/>
        </w:rPr>
        <w:t> are</w:t>
      </w:r>
      <w:r>
        <w:rPr>
          <w:color w:val="231F20"/>
          <w:w w:val="105"/>
        </w:rPr>
        <w:t> not</w:t>
      </w:r>
      <w:r>
        <w:rPr>
          <w:color w:val="231F20"/>
          <w:w w:val="105"/>
        </w:rPr>
        <w:t> certain what</w:t>
      </w:r>
      <w:r>
        <w:rPr>
          <w:color w:val="231F20"/>
          <w:spacing w:val="-3"/>
          <w:w w:val="105"/>
        </w:rPr>
        <w:t> </w:t>
      </w:r>
      <w:r>
        <w:rPr>
          <w:color w:val="231F20"/>
          <w:w w:val="105"/>
        </w:rPr>
        <w:t>it</w:t>
      </w:r>
      <w:r>
        <w:rPr>
          <w:color w:val="231F20"/>
          <w:spacing w:val="-3"/>
          <w:w w:val="105"/>
        </w:rPr>
        <w:t> </w:t>
      </w:r>
      <w:r>
        <w:rPr>
          <w:color w:val="231F20"/>
          <w:w w:val="105"/>
        </w:rPr>
        <w:t>is</w:t>
      </w:r>
      <w:r>
        <w:rPr>
          <w:color w:val="231F20"/>
          <w:spacing w:val="-3"/>
          <w:w w:val="105"/>
        </w:rPr>
        <w:t> </w:t>
      </w:r>
      <w:r>
        <w:rPr>
          <w:color w:val="231F20"/>
          <w:w w:val="105"/>
        </w:rPr>
        <w:t>to</w:t>
      </w:r>
      <w:r>
        <w:rPr>
          <w:color w:val="231F20"/>
          <w:spacing w:val="-3"/>
          <w:w w:val="105"/>
        </w:rPr>
        <w:t> </w:t>
      </w:r>
      <w:r>
        <w:rPr>
          <w:color w:val="231F20"/>
          <w:w w:val="105"/>
        </w:rPr>
        <w:t>begin</w:t>
      </w:r>
      <w:r>
        <w:rPr>
          <w:color w:val="231F20"/>
          <w:spacing w:val="-3"/>
          <w:w w:val="105"/>
        </w:rPr>
        <w:t> </w:t>
      </w:r>
      <w:r>
        <w:rPr>
          <w:color w:val="231F20"/>
          <w:w w:val="105"/>
        </w:rPr>
        <w:t>with.</w:t>
      </w:r>
      <w:r>
        <w:rPr>
          <w:color w:val="231F20"/>
          <w:spacing w:val="-3"/>
          <w:w w:val="105"/>
        </w:rPr>
        <w:t> </w:t>
      </w:r>
      <w:r>
        <w:rPr>
          <w:color w:val="231F20"/>
          <w:w w:val="105"/>
        </w:rPr>
        <w:t>Drawing</w:t>
      </w:r>
      <w:r>
        <w:rPr>
          <w:color w:val="231F20"/>
          <w:spacing w:val="-3"/>
          <w:w w:val="105"/>
        </w:rPr>
        <w:t> </w:t>
      </w:r>
      <w:r>
        <w:rPr>
          <w:color w:val="231F20"/>
          <w:w w:val="105"/>
        </w:rPr>
        <w:t>a</w:t>
      </w:r>
      <w:r>
        <w:rPr>
          <w:color w:val="231F20"/>
          <w:spacing w:val="-3"/>
          <w:w w:val="105"/>
        </w:rPr>
        <w:t> </w:t>
      </w:r>
      <w:r>
        <w:rPr>
          <w:color w:val="231F20"/>
          <w:w w:val="105"/>
        </w:rPr>
        <w:t>CDF</w:t>
      </w:r>
      <w:r>
        <w:rPr>
          <w:color w:val="231F20"/>
          <w:spacing w:val="-3"/>
          <w:w w:val="105"/>
        </w:rPr>
        <w:t> </w:t>
      </w:r>
      <w:r>
        <w:rPr>
          <w:color w:val="231F20"/>
          <w:w w:val="105"/>
        </w:rPr>
        <w:t>is</w:t>
      </w:r>
      <w:r>
        <w:rPr>
          <w:color w:val="231F20"/>
          <w:spacing w:val="-3"/>
          <w:w w:val="105"/>
        </w:rPr>
        <w:t> </w:t>
      </w:r>
      <w:r>
        <w:rPr>
          <w:color w:val="231F20"/>
          <w:w w:val="105"/>
        </w:rPr>
        <w:t>a</w:t>
      </w:r>
      <w:r>
        <w:rPr>
          <w:color w:val="231F20"/>
          <w:spacing w:val="-3"/>
          <w:w w:val="105"/>
        </w:rPr>
        <w:t> </w:t>
      </w:r>
      <w:r>
        <w:rPr>
          <w:color w:val="231F20"/>
          <w:w w:val="105"/>
        </w:rPr>
        <w:t>method</w:t>
      </w:r>
      <w:r>
        <w:rPr>
          <w:color w:val="231F20"/>
          <w:spacing w:val="-3"/>
          <w:w w:val="105"/>
        </w:rPr>
        <w:t> </w:t>
      </w:r>
      <w:r>
        <w:rPr>
          <w:color w:val="231F20"/>
          <w:w w:val="105"/>
        </w:rPr>
        <w:t>of</w:t>
      </w:r>
      <w:r>
        <w:rPr>
          <w:color w:val="231F20"/>
          <w:spacing w:val="-3"/>
          <w:w w:val="105"/>
        </w:rPr>
        <w:t> </w:t>
      </w:r>
      <w:r>
        <w:rPr>
          <w:color w:val="231F20"/>
          <w:w w:val="105"/>
        </w:rPr>
        <w:t>combining</w:t>
      </w:r>
      <w:r>
        <w:rPr>
          <w:color w:val="231F20"/>
          <w:spacing w:val="-3"/>
          <w:w w:val="105"/>
        </w:rPr>
        <w:t> </w:t>
      </w:r>
      <w:r>
        <w:rPr>
          <w:color w:val="231F20"/>
          <w:w w:val="105"/>
        </w:rPr>
        <w:t>a </w:t>
      </w:r>
      <w:r>
        <w:rPr>
          <w:color w:val="231F20"/>
        </w:rPr>
        <w:t>series of your judgments about the probability of the upper, middle, </w:t>
      </w:r>
      <w:r>
        <w:rPr>
          <w:color w:val="231F20"/>
          <w:w w:val="105"/>
        </w:rPr>
        <w:t>and lower bounds of an unknown outcome to arrive at an EMV to use for decision making.</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firstLine="340"/>
        <w:jc w:val="both"/>
      </w:pPr>
      <w:r>
        <w:rPr>
          <w:color w:val="231F20"/>
        </w:rPr>
        <w:t>The CDF graph of ranges of outcomes resembles a big S. In </w:t>
      </w:r>
      <w:r>
        <w:rPr>
          <w:color w:val="231F20"/>
        </w:rPr>
        <w:t>the CDF, you see at a glance all the possible outcomes, not just static in- dividual points. As shown by the following graph, Sam Houston be- lieves</w:t>
      </w:r>
      <w:r>
        <w:rPr>
          <w:color w:val="231F20"/>
          <w:spacing w:val="8"/>
        </w:rPr>
        <w:t> </w:t>
      </w:r>
      <w:r>
        <w:rPr>
          <w:color w:val="231F20"/>
        </w:rPr>
        <w:t>that</w:t>
      </w:r>
      <w:r>
        <w:rPr>
          <w:color w:val="231F20"/>
          <w:spacing w:val="9"/>
        </w:rPr>
        <w:t> </w:t>
      </w:r>
      <w:r>
        <w:rPr>
          <w:color w:val="231F20"/>
        </w:rPr>
        <w:t>all</w:t>
      </w:r>
      <w:r>
        <w:rPr>
          <w:color w:val="231F20"/>
          <w:spacing w:val="9"/>
        </w:rPr>
        <w:t> </w:t>
      </w:r>
      <w:r>
        <w:rPr>
          <w:color w:val="231F20"/>
        </w:rPr>
        <w:t>his</w:t>
      </w:r>
      <w:r>
        <w:rPr>
          <w:color w:val="231F20"/>
          <w:spacing w:val="8"/>
        </w:rPr>
        <w:t> </w:t>
      </w:r>
      <w:r>
        <w:rPr>
          <w:color w:val="231F20"/>
        </w:rPr>
        <w:t>possible</w:t>
      </w:r>
      <w:r>
        <w:rPr>
          <w:color w:val="231F20"/>
          <w:spacing w:val="9"/>
        </w:rPr>
        <w:t> </w:t>
      </w:r>
      <w:r>
        <w:rPr>
          <w:color w:val="231F20"/>
        </w:rPr>
        <w:t>outcomes</w:t>
      </w:r>
      <w:r>
        <w:rPr>
          <w:color w:val="231F20"/>
          <w:spacing w:val="9"/>
        </w:rPr>
        <w:t> </w:t>
      </w:r>
      <w:r>
        <w:rPr>
          <w:color w:val="231F20"/>
        </w:rPr>
        <w:t>fall</w:t>
      </w:r>
      <w:r>
        <w:rPr>
          <w:color w:val="231F20"/>
          <w:spacing w:val="9"/>
        </w:rPr>
        <w:t> </w:t>
      </w:r>
      <w:r>
        <w:rPr>
          <w:color w:val="231F20"/>
        </w:rPr>
        <w:t>in</w:t>
      </w:r>
      <w:r>
        <w:rPr>
          <w:color w:val="231F20"/>
          <w:spacing w:val="8"/>
        </w:rPr>
        <w:t> </w:t>
      </w:r>
      <w:r>
        <w:rPr>
          <w:color w:val="231F20"/>
        </w:rPr>
        <w:t>the</w:t>
      </w:r>
      <w:r>
        <w:rPr>
          <w:color w:val="231F20"/>
          <w:spacing w:val="9"/>
        </w:rPr>
        <w:t> </w:t>
      </w:r>
      <w:r>
        <w:rPr>
          <w:color w:val="231F20"/>
        </w:rPr>
        <w:t>continuous</w:t>
      </w:r>
      <w:r>
        <w:rPr>
          <w:color w:val="231F20"/>
          <w:spacing w:val="9"/>
        </w:rPr>
        <w:t> </w:t>
      </w:r>
      <w:r>
        <w:rPr>
          <w:color w:val="231F20"/>
        </w:rPr>
        <w:t>“range”</w:t>
      </w:r>
      <w:r>
        <w:rPr>
          <w:color w:val="231F20"/>
          <w:spacing w:val="9"/>
        </w:rPr>
        <w:t> </w:t>
      </w:r>
      <w:r>
        <w:rPr>
          <w:color w:val="231F20"/>
          <w:spacing w:val="-5"/>
        </w:rPr>
        <w:t>of</w:t>
      </w:r>
    </w:p>
    <w:p>
      <w:pPr>
        <w:pStyle w:val="BodyText"/>
        <w:spacing w:line="245" w:lineRule="exact"/>
        <w:ind w:left="830"/>
        <w:jc w:val="both"/>
      </w:pPr>
      <w:r>
        <w:rPr>
          <w:color w:val="231F20"/>
          <w:w w:val="105"/>
        </w:rPr>
        <w:t>$0</w:t>
      </w:r>
      <w:r>
        <w:rPr>
          <w:color w:val="231F20"/>
          <w:spacing w:val="3"/>
          <w:w w:val="105"/>
        </w:rPr>
        <w:t> </w:t>
      </w:r>
      <w:r>
        <w:rPr>
          <w:color w:val="231F20"/>
          <w:w w:val="105"/>
        </w:rPr>
        <w:t>to</w:t>
      </w:r>
      <w:r>
        <w:rPr>
          <w:color w:val="231F20"/>
          <w:spacing w:val="4"/>
          <w:w w:val="105"/>
        </w:rPr>
        <w:t> </w:t>
      </w:r>
      <w:r>
        <w:rPr>
          <w:color w:val="231F20"/>
          <w:spacing w:val="-2"/>
          <w:w w:val="105"/>
        </w:rPr>
        <w:t>$6,000,000.</w:t>
      </w:r>
    </w:p>
    <w:p>
      <w:pPr>
        <w:pStyle w:val="BodyText"/>
        <w:spacing w:line="292" w:lineRule="auto" w:before="53"/>
        <w:ind w:left="830" w:right="754" w:firstLine="340"/>
        <w:jc w:val="both"/>
      </w:pPr>
      <w:r>
        <w:rPr>
          <w:color w:val="231F20"/>
        </w:rPr>
        <w:t>The</w:t>
      </w:r>
      <w:r>
        <w:rPr>
          <w:color w:val="231F20"/>
          <w:spacing w:val="36"/>
        </w:rPr>
        <w:t> </w:t>
      </w:r>
      <w:r>
        <w:rPr>
          <w:color w:val="231F20"/>
        </w:rPr>
        <w:t>range</w:t>
      </w:r>
      <w:r>
        <w:rPr>
          <w:color w:val="231F20"/>
          <w:spacing w:val="36"/>
        </w:rPr>
        <w:t> </w:t>
      </w:r>
      <w:r>
        <w:rPr>
          <w:color w:val="231F20"/>
        </w:rPr>
        <w:t>of</w:t>
      </w:r>
      <w:r>
        <w:rPr>
          <w:color w:val="231F20"/>
          <w:spacing w:val="36"/>
        </w:rPr>
        <w:t> </w:t>
      </w:r>
      <w:r>
        <w:rPr>
          <w:color w:val="231F20"/>
        </w:rPr>
        <w:t>probabilities</w:t>
      </w:r>
      <w:r>
        <w:rPr>
          <w:color w:val="231F20"/>
          <w:spacing w:val="36"/>
        </w:rPr>
        <w:t> </w:t>
      </w:r>
      <w:r>
        <w:rPr>
          <w:color w:val="231F20"/>
        </w:rPr>
        <w:t>from</w:t>
      </w:r>
      <w:r>
        <w:rPr>
          <w:color w:val="231F20"/>
          <w:spacing w:val="36"/>
        </w:rPr>
        <w:t> </w:t>
      </w:r>
      <w:r>
        <w:rPr>
          <w:color w:val="231F20"/>
        </w:rPr>
        <w:t>0</w:t>
      </w:r>
      <w:r>
        <w:rPr>
          <w:color w:val="231F20"/>
          <w:spacing w:val="36"/>
        </w:rPr>
        <w:t> </w:t>
      </w:r>
      <w:r>
        <w:rPr>
          <w:color w:val="231F20"/>
        </w:rPr>
        <w:t>to</w:t>
      </w:r>
      <w:r>
        <w:rPr>
          <w:color w:val="231F20"/>
          <w:spacing w:val="36"/>
        </w:rPr>
        <w:t> </w:t>
      </w:r>
      <w:r>
        <w:rPr>
          <w:color w:val="231F20"/>
        </w:rPr>
        <w:t>1.0</w:t>
      </w:r>
      <w:r>
        <w:rPr>
          <w:color w:val="231F20"/>
          <w:spacing w:val="36"/>
        </w:rPr>
        <w:t> </w:t>
      </w:r>
      <w:r>
        <w:rPr>
          <w:color w:val="231F20"/>
        </w:rPr>
        <w:t>in</w:t>
      </w:r>
      <w:r>
        <w:rPr>
          <w:color w:val="231F20"/>
          <w:spacing w:val="36"/>
        </w:rPr>
        <w:t> </w:t>
      </w:r>
      <w:r>
        <w:rPr>
          <w:color w:val="231F20"/>
        </w:rPr>
        <w:t>the</w:t>
      </w:r>
      <w:r>
        <w:rPr>
          <w:color w:val="231F20"/>
          <w:spacing w:val="36"/>
        </w:rPr>
        <w:t> </w:t>
      </w:r>
      <w:r>
        <w:rPr>
          <w:color w:val="231F20"/>
        </w:rPr>
        <w:t>CDF</w:t>
      </w:r>
      <w:r>
        <w:rPr>
          <w:color w:val="231F20"/>
          <w:spacing w:val="36"/>
        </w:rPr>
        <w:t> </w:t>
      </w:r>
      <w:r>
        <w:rPr>
          <w:color w:val="231F20"/>
        </w:rPr>
        <w:t>is</w:t>
      </w:r>
      <w:r>
        <w:rPr>
          <w:color w:val="231F20"/>
          <w:spacing w:val="36"/>
        </w:rPr>
        <w:t> </w:t>
      </w:r>
      <w:r>
        <w:rPr>
          <w:color w:val="231F20"/>
        </w:rPr>
        <w:t>divided into</w:t>
      </w:r>
      <w:r>
        <w:rPr>
          <w:color w:val="231F20"/>
          <w:spacing w:val="40"/>
        </w:rPr>
        <w:t> </w:t>
      </w:r>
      <w:r>
        <w:rPr>
          <w:i/>
          <w:color w:val="231F20"/>
        </w:rPr>
        <w:t>fractiles,</w:t>
      </w:r>
      <w:r>
        <w:rPr>
          <w:i/>
          <w:color w:val="231F20"/>
          <w:spacing w:val="40"/>
        </w:rPr>
        <w:t> </w:t>
      </w:r>
      <w:r>
        <w:rPr>
          <w:color w:val="231F20"/>
        </w:rPr>
        <w:t>or</w:t>
      </w:r>
      <w:r>
        <w:rPr>
          <w:color w:val="231F20"/>
          <w:spacing w:val="40"/>
        </w:rPr>
        <w:t> </w:t>
      </w:r>
      <w:r>
        <w:rPr>
          <w:color w:val="231F20"/>
        </w:rPr>
        <w:t>slices,</w:t>
      </w:r>
      <w:r>
        <w:rPr>
          <w:color w:val="231F20"/>
          <w:spacing w:val="40"/>
        </w:rPr>
        <w:t> </w:t>
      </w:r>
      <w:r>
        <w:rPr>
          <w:color w:val="231F20"/>
        </w:rPr>
        <w:t>using</w:t>
      </w:r>
      <w:r>
        <w:rPr>
          <w:color w:val="231F20"/>
          <w:spacing w:val="40"/>
        </w:rPr>
        <w:t> </w:t>
      </w:r>
      <w:r>
        <w:rPr>
          <w:color w:val="231F20"/>
        </w:rPr>
        <w:t>the</w:t>
      </w:r>
      <w:r>
        <w:rPr>
          <w:color w:val="231F20"/>
          <w:spacing w:val="40"/>
        </w:rPr>
        <w:t> </w:t>
      </w:r>
      <w:r>
        <w:rPr>
          <w:i/>
          <w:color w:val="231F20"/>
        </w:rPr>
        <w:t>bracket</w:t>
      </w:r>
      <w:r>
        <w:rPr>
          <w:i/>
          <w:color w:val="231F20"/>
          <w:spacing w:val="40"/>
        </w:rPr>
        <w:t> </w:t>
      </w:r>
      <w:r>
        <w:rPr>
          <w:i/>
          <w:color w:val="231F20"/>
        </w:rPr>
        <w:t>median</w:t>
      </w:r>
      <w:r>
        <w:rPr>
          <w:i/>
          <w:color w:val="231F20"/>
          <w:spacing w:val="40"/>
        </w:rPr>
        <w:t> </w:t>
      </w:r>
      <w:r>
        <w:rPr>
          <w:i/>
          <w:color w:val="231F20"/>
        </w:rPr>
        <w:t>technique.</w:t>
      </w:r>
      <w:r>
        <w:rPr>
          <w:i/>
          <w:color w:val="231F20"/>
          <w:spacing w:val="40"/>
        </w:rPr>
        <w:t> </w:t>
      </w:r>
      <w:r>
        <w:rPr>
          <w:color w:val="231F20"/>
        </w:rPr>
        <w:t>The CDF above is divided in that way. To divide the CDF probability ranges</w:t>
      </w:r>
      <w:r>
        <w:rPr>
          <w:color w:val="231F20"/>
          <w:spacing w:val="24"/>
        </w:rPr>
        <w:t> </w:t>
      </w:r>
      <w:r>
        <w:rPr>
          <w:color w:val="231F20"/>
        </w:rPr>
        <w:t>into</w:t>
      </w:r>
      <w:r>
        <w:rPr>
          <w:color w:val="231F20"/>
          <w:spacing w:val="24"/>
        </w:rPr>
        <w:t> </w:t>
      </w:r>
      <w:r>
        <w:rPr>
          <w:color w:val="231F20"/>
        </w:rPr>
        <w:t>five</w:t>
      </w:r>
      <w:r>
        <w:rPr>
          <w:color w:val="231F20"/>
          <w:spacing w:val="24"/>
        </w:rPr>
        <w:t> </w:t>
      </w:r>
      <w:r>
        <w:rPr>
          <w:color w:val="231F20"/>
        </w:rPr>
        <w:t>fractiles,</w:t>
      </w:r>
      <w:r>
        <w:rPr>
          <w:color w:val="231F20"/>
          <w:spacing w:val="25"/>
        </w:rPr>
        <w:t> </w:t>
      </w:r>
      <w:r>
        <w:rPr>
          <w:color w:val="231F20"/>
        </w:rPr>
        <w:t>for</w:t>
      </w:r>
      <w:r>
        <w:rPr>
          <w:color w:val="231F20"/>
          <w:spacing w:val="24"/>
        </w:rPr>
        <w:t> </w:t>
      </w:r>
      <w:r>
        <w:rPr>
          <w:color w:val="231F20"/>
        </w:rPr>
        <w:t>example,</w:t>
      </w:r>
      <w:r>
        <w:rPr>
          <w:color w:val="231F20"/>
          <w:spacing w:val="24"/>
        </w:rPr>
        <w:t> </w:t>
      </w:r>
      <w:r>
        <w:rPr>
          <w:color w:val="231F20"/>
        </w:rPr>
        <w:t>one</w:t>
      </w:r>
      <w:r>
        <w:rPr>
          <w:color w:val="231F20"/>
          <w:spacing w:val="25"/>
        </w:rPr>
        <w:t> </w:t>
      </w:r>
      <w:r>
        <w:rPr>
          <w:color w:val="231F20"/>
        </w:rPr>
        <w:t>would</w:t>
      </w:r>
      <w:r>
        <w:rPr>
          <w:color w:val="231F20"/>
          <w:spacing w:val="24"/>
        </w:rPr>
        <w:t> </w:t>
      </w:r>
      <w:r>
        <w:rPr>
          <w:color w:val="231F20"/>
        </w:rPr>
        <w:t>take</w:t>
      </w:r>
      <w:r>
        <w:rPr>
          <w:color w:val="231F20"/>
          <w:spacing w:val="24"/>
        </w:rPr>
        <w:t> </w:t>
      </w:r>
      <w:r>
        <w:rPr>
          <w:color w:val="231F20"/>
        </w:rPr>
        <w:t>the</w:t>
      </w:r>
      <w:r>
        <w:rPr>
          <w:color w:val="231F20"/>
          <w:spacing w:val="25"/>
        </w:rPr>
        <w:t> </w:t>
      </w:r>
      <w:r>
        <w:rPr>
          <w:color w:val="231F20"/>
        </w:rPr>
        <w:t>.1,</w:t>
      </w:r>
      <w:r>
        <w:rPr>
          <w:color w:val="231F20"/>
          <w:spacing w:val="24"/>
        </w:rPr>
        <w:t> </w:t>
      </w:r>
      <w:r>
        <w:rPr>
          <w:color w:val="231F20"/>
        </w:rPr>
        <w:t>.3,</w:t>
      </w:r>
      <w:r>
        <w:rPr>
          <w:color w:val="231F20"/>
          <w:spacing w:val="24"/>
        </w:rPr>
        <w:t> </w:t>
      </w:r>
      <w:r>
        <w:rPr>
          <w:color w:val="231F20"/>
          <w:spacing w:val="-5"/>
        </w:rPr>
        <w:t>.5,</w:t>
      </w:r>
    </w:p>
    <w:p>
      <w:pPr>
        <w:pStyle w:val="BodyText"/>
        <w:spacing w:line="292" w:lineRule="auto"/>
        <w:ind w:left="830" w:right="756"/>
        <w:jc w:val="both"/>
      </w:pPr>
      <w:r>
        <w:rPr>
          <w:color w:val="231F20"/>
          <w:w w:val="105"/>
        </w:rPr>
        <w:t>.7,</w:t>
      </w:r>
      <w:r>
        <w:rPr>
          <w:color w:val="231F20"/>
          <w:spacing w:val="-11"/>
          <w:w w:val="105"/>
        </w:rPr>
        <w:t> </w:t>
      </w:r>
      <w:r>
        <w:rPr>
          <w:color w:val="231F20"/>
          <w:w w:val="105"/>
        </w:rPr>
        <w:t>and</w:t>
      </w:r>
      <w:r>
        <w:rPr>
          <w:color w:val="231F20"/>
          <w:spacing w:val="-11"/>
          <w:w w:val="105"/>
        </w:rPr>
        <w:t> </w:t>
      </w:r>
      <w:r>
        <w:rPr>
          <w:color w:val="231F20"/>
          <w:w w:val="105"/>
        </w:rPr>
        <w:t>.9</w:t>
      </w:r>
      <w:r>
        <w:rPr>
          <w:color w:val="231F20"/>
          <w:spacing w:val="-11"/>
          <w:w w:val="105"/>
        </w:rPr>
        <w:t> </w:t>
      </w:r>
      <w:r>
        <w:rPr>
          <w:color w:val="231F20"/>
          <w:w w:val="105"/>
        </w:rPr>
        <w:t>fractiles.</w:t>
      </w:r>
      <w:r>
        <w:rPr>
          <w:color w:val="231F20"/>
          <w:spacing w:val="-11"/>
          <w:w w:val="105"/>
        </w:rPr>
        <w:t> </w:t>
      </w:r>
      <w:r>
        <w:rPr>
          <w:color w:val="231F20"/>
          <w:w w:val="105"/>
        </w:rPr>
        <w:t>Each</w:t>
      </w:r>
      <w:r>
        <w:rPr>
          <w:color w:val="231F20"/>
          <w:spacing w:val="-11"/>
          <w:w w:val="105"/>
        </w:rPr>
        <w:t> </w:t>
      </w:r>
      <w:r>
        <w:rPr>
          <w:color w:val="231F20"/>
          <w:w w:val="105"/>
        </w:rPr>
        <w:t>of</w:t>
      </w:r>
      <w:r>
        <w:rPr>
          <w:color w:val="231F20"/>
          <w:spacing w:val="-11"/>
          <w:w w:val="105"/>
        </w:rPr>
        <w:t> </w:t>
      </w:r>
      <w:r>
        <w:rPr>
          <w:color w:val="231F20"/>
          <w:w w:val="105"/>
        </w:rPr>
        <w:t>those</w:t>
      </w:r>
      <w:r>
        <w:rPr>
          <w:color w:val="231F20"/>
          <w:spacing w:val="-11"/>
          <w:w w:val="105"/>
        </w:rPr>
        <w:t> </w:t>
      </w:r>
      <w:r>
        <w:rPr>
          <w:color w:val="231F20"/>
          <w:w w:val="105"/>
        </w:rPr>
        <w:t>fractiles</w:t>
      </w:r>
      <w:r>
        <w:rPr>
          <w:color w:val="231F20"/>
          <w:spacing w:val="-11"/>
          <w:w w:val="105"/>
        </w:rPr>
        <w:t> </w:t>
      </w:r>
      <w:r>
        <w:rPr>
          <w:color w:val="231F20"/>
          <w:w w:val="105"/>
        </w:rPr>
        <w:t>would</w:t>
      </w:r>
      <w:r>
        <w:rPr>
          <w:color w:val="231F20"/>
          <w:spacing w:val="-11"/>
          <w:w w:val="105"/>
        </w:rPr>
        <w:t> </w:t>
      </w:r>
      <w:r>
        <w:rPr>
          <w:color w:val="231F20"/>
          <w:w w:val="105"/>
        </w:rPr>
        <w:t>represent</w:t>
      </w:r>
      <w:r>
        <w:rPr>
          <w:color w:val="231F20"/>
          <w:spacing w:val="-11"/>
          <w:w w:val="105"/>
        </w:rPr>
        <w:t> </w:t>
      </w:r>
      <w:r>
        <w:rPr>
          <w:color w:val="231F20"/>
          <w:w w:val="105"/>
        </w:rPr>
        <w:t>the</w:t>
      </w:r>
      <w:r>
        <w:rPr>
          <w:color w:val="231F20"/>
          <w:spacing w:val="-11"/>
          <w:w w:val="105"/>
        </w:rPr>
        <w:t> </w:t>
      </w:r>
      <w:r>
        <w:rPr>
          <w:color w:val="231F20"/>
          <w:w w:val="105"/>
        </w:rPr>
        <w:t>aver- age</w:t>
      </w:r>
      <w:r>
        <w:rPr>
          <w:color w:val="231F20"/>
          <w:spacing w:val="2"/>
          <w:w w:val="105"/>
        </w:rPr>
        <w:t> </w:t>
      </w:r>
      <w:r>
        <w:rPr>
          <w:color w:val="231F20"/>
          <w:w w:val="105"/>
        </w:rPr>
        <w:t>of</w:t>
      </w:r>
      <w:r>
        <w:rPr>
          <w:color w:val="231F20"/>
          <w:spacing w:val="3"/>
          <w:w w:val="105"/>
        </w:rPr>
        <w:t> </w:t>
      </w:r>
      <w:r>
        <w:rPr>
          <w:color w:val="231F20"/>
          <w:w w:val="105"/>
        </w:rPr>
        <w:t>the</w:t>
      </w:r>
      <w:r>
        <w:rPr>
          <w:color w:val="231F20"/>
          <w:spacing w:val="2"/>
          <w:w w:val="105"/>
        </w:rPr>
        <w:t> </w:t>
      </w:r>
      <w:r>
        <w:rPr>
          <w:color w:val="231F20"/>
          <w:w w:val="105"/>
        </w:rPr>
        <w:t>“ranges</w:t>
      </w:r>
      <w:r>
        <w:rPr>
          <w:color w:val="231F20"/>
          <w:spacing w:val="3"/>
          <w:w w:val="105"/>
        </w:rPr>
        <w:t> </w:t>
      </w:r>
      <w:r>
        <w:rPr>
          <w:color w:val="231F20"/>
          <w:w w:val="105"/>
        </w:rPr>
        <w:t>of</w:t>
      </w:r>
      <w:r>
        <w:rPr>
          <w:color w:val="231F20"/>
          <w:spacing w:val="3"/>
          <w:w w:val="105"/>
        </w:rPr>
        <w:t> </w:t>
      </w:r>
      <w:r>
        <w:rPr>
          <w:color w:val="231F20"/>
          <w:w w:val="105"/>
        </w:rPr>
        <w:t>values,”</w:t>
      </w:r>
      <w:r>
        <w:rPr>
          <w:color w:val="231F20"/>
          <w:spacing w:val="2"/>
          <w:w w:val="105"/>
        </w:rPr>
        <w:t> </w:t>
      </w:r>
      <w:r>
        <w:rPr>
          <w:color w:val="231F20"/>
          <w:w w:val="105"/>
        </w:rPr>
        <w:t>0</w:t>
      </w:r>
      <w:r>
        <w:rPr>
          <w:color w:val="231F20"/>
          <w:spacing w:val="3"/>
          <w:w w:val="105"/>
        </w:rPr>
        <w:t> </w:t>
      </w:r>
      <w:r>
        <w:rPr>
          <w:color w:val="231F20"/>
          <w:w w:val="105"/>
        </w:rPr>
        <w:t>to</w:t>
      </w:r>
      <w:r>
        <w:rPr>
          <w:color w:val="231F20"/>
          <w:spacing w:val="3"/>
          <w:w w:val="105"/>
        </w:rPr>
        <w:t> </w:t>
      </w:r>
      <w:r>
        <w:rPr>
          <w:color w:val="231F20"/>
          <w:w w:val="105"/>
        </w:rPr>
        <w:t>.2,</w:t>
      </w:r>
      <w:r>
        <w:rPr>
          <w:color w:val="231F20"/>
          <w:spacing w:val="2"/>
          <w:w w:val="105"/>
        </w:rPr>
        <w:t> </w:t>
      </w:r>
      <w:r>
        <w:rPr>
          <w:color w:val="231F20"/>
          <w:w w:val="105"/>
        </w:rPr>
        <w:t>.2</w:t>
      </w:r>
      <w:r>
        <w:rPr>
          <w:color w:val="231F20"/>
          <w:spacing w:val="3"/>
          <w:w w:val="105"/>
        </w:rPr>
        <w:t> </w:t>
      </w:r>
      <w:r>
        <w:rPr>
          <w:color w:val="231F20"/>
          <w:w w:val="105"/>
        </w:rPr>
        <w:t>to</w:t>
      </w:r>
      <w:r>
        <w:rPr>
          <w:color w:val="231F20"/>
          <w:spacing w:val="3"/>
          <w:w w:val="105"/>
        </w:rPr>
        <w:t> </w:t>
      </w:r>
      <w:r>
        <w:rPr>
          <w:color w:val="231F20"/>
          <w:w w:val="105"/>
        </w:rPr>
        <w:t>.4,</w:t>
      </w:r>
      <w:r>
        <w:rPr>
          <w:color w:val="231F20"/>
          <w:spacing w:val="2"/>
          <w:w w:val="105"/>
        </w:rPr>
        <w:t> </w:t>
      </w:r>
      <w:r>
        <w:rPr>
          <w:color w:val="231F20"/>
          <w:w w:val="105"/>
        </w:rPr>
        <w:t>.4</w:t>
      </w:r>
      <w:r>
        <w:rPr>
          <w:color w:val="231F20"/>
          <w:spacing w:val="3"/>
          <w:w w:val="105"/>
        </w:rPr>
        <w:t> </w:t>
      </w:r>
      <w:r>
        <w:rPr>
          <w:color w:val="231F20"/>
          <w:w w:val="105"/>
        </w:rPr>
        <w:t>to</w:t>
      </w:r>
      <w:r>
        <w:rPr>
          <w:color w:val="231F20"/>
          <w:spacing w:val="3"/>
          <w:w w:val="105"/>
        </w:rPr>
        <w:t> </w:t>
      </w:r>
      <w:r>
        <w:rPr>
          <w:color w:val="231F20"/>
          <w:w w:val="105"/>
        </w:rPr>
        <w:t>.6,</w:t>
      </w:r>
      <w:r>
        <w:rPr>
          <w:color w:val="231F20"/>
          <w:spacing w:val="2"/>
          <w:w w:val="105"/>
        </w:rPr>
        <w:t> </w:t>
      </w:r>
      <w:r>
        <w:rPr>
          <w:color w:val="231F20"/>
          <w:w w:val="105"/>
        </w:rPr>
        <w:t>.6</w:t>
      </w:r>
      <w:r>
        <w:rPr>
          <w:color w:val="231F20"/>
          <w:spacing w:val="3"/>
          <w:w w:val="105"/>
        </w:rPr>
        <w:t> </w:t>
      </w:r>
      <w:r>
        <w:rPr>
          <w:color w:val="231F20"/>
          <w:w w:val="105"/>
        </w:rPr>
        <w:t>to</w:t>
      </w:r>
      <w:r>
        <w:rPr>
          <w:color w:val="231F20"/>
          <w:spacing w:val="3"/>
          <w:w w:val="105"/>
        </w:rPr>
        <w:t> </w:t>
      </w:r>
      <w:r>
        <w:rPr>
          <w:color w:val="231F20"/>
          <w:w w:val="105"/>
        </w:rPr>
        <w:t>.8,</w:t>
      </w:r>
      <w:r>
        <w:rPr>
          <w:color w:val="231F20"/>
          <w:spacing w:val="2"/>
          <w:w w:val="105"/>
        </w:rPr>
        <w:t> </w:t>
      </w:r>
      <w:r>
        <w:rPr>
          <w:color w:val="231F20"/>
          <w:w w:val="105"/>
        </w:rPr>
        <w:t>and</w:t>
      </w:r>
      <w:r>
        <w:rPr>
          <w:color w:val="231F20"/>
          <w:spacing w:val="3"/>
          <w:w w:val="105"/>
        </w:rPr>
        <w:t> </w:t>
      </w:r>
      <w:r>
        <w:rPr>
          <w:color w:val="231F20"/>
          <w:spacing w:val="-5"/>
          <w:w w:val="105"/>
        </w:rPr>
        <w:t>.8</w:t>
      </w:r>
    </w:p>
    <w:p>
      <w:pPr>
        <w:pStyle w:val="BodyText"/>
        <w:spacing w:line="245" w:lineRule="exact"/>
        <w:ind w:left="830"/>
        <w:jc w:val="both"/>
      </w:pPr>
      <w:r>
        <w:rPr>
          <w:color w:val="231F20"/>
          <w:w w:val="105"/>
        </w:rPr>
        <w:t>to</w:t>
      </w:r>
      <w:r>
        <w:rPr>
          <w:color w:val="231F20"/>
          <w:spacing w:val="12"/>
          <w:w w:val="105"/>
        </w:rPr>
        <w:t> </w:t>
      </w:r>
      <w:r>
        <w:rPr>
          <w:color w:val="231F20"/>
          <w:w w:val="105"/>
        </w:rPr>
        <w:t>1.0,</w:t>
      </w:r>
      <w:r>
        <w:rPr>
          <w:color w:val="231F20"/>
          <w:spacing w:val="12"/>
          <w:w w:val="105"/>
        </w:rPr>
        <w:t> </w:t>
      </w:r>
      <w:r>
        <w:rPr>
          <w:color w:val="231F20"/>
          <w:spacing w:val="-2"/>
          <w:w w:val="105"/>
        </w:rPr>
        <w:t>respectively.</w:t>
      </w:r>
    </w:p>
    <w:p>
      <w:pPr>
        <w:pStyle w:val="BodyText"/>
        <w:spacing w:line="292" w:lineRule="auto" w:before="53"/>
        <w:ind w:left="830" w:right="756" w:firstLine="340"/>
        <w:jc w:val="both"/>
      </w:pPr>
      <w:r>
        <w:rPr>
          <w:color w:val="231F20"/>
        </w:rPr>
        <w:t>The .5 fractile is the same as the median, because half of the val- ues are on either side of it. The median is not necessarily the same as the mean we used as the center of the normal distribution. The me- dian is merely the center of the value range. The mean is the result </w:t>
      </w:r>
      <w:r>
        <w:rPr>
          <w:color w:val="231F20"/>
        </w:rPr>
        <w:t>of multiplying all the probabilities by the values, as was done to arrive at</w:t>
      </w:r>
      <w:r>
        <w:rPr>
          <w:color w:val="231F20"/>
          <w:spacing w:val="40"/>
        </w:rPr>
        <w:t> </w:t>
      </w:r>
      <w:r>
        <w:rPr>
          <w:color w:val="231F20"/>
        </w:rPr>
        <w:t>the</w:t>
      </w:r>
      <w:r>
        <w:rPr>
          <w:color w:val="231F20"/>
          <w:spacing w:val="40"/>
        </w:rPr>
        <w:t> </w:t>
      </w:r>
      <w:r>
        <w:rPr>
          <w:color w:val="231F20"/>
        </w:rPr>
        <w:t>$1,000,000</w:t>
      </w:r>
      <w:r>
        <w:rPr>
          <w:color w:val="231F20"/>
          <w:spacing w:val="40"/>
        </w:rPr>
        <w:t> </w:t>
      </w:r>
      <w:r>
        <w:rPr>
          <w:color w:val="231F20"/>
        </w:rPr>
        <w:t>EMV</w:t>
      </w:r>
      <w:r>
        <w:rPr>
          <w:color w:val="231F20"/>
          <w:spacing w:val="40"/>
        </w:rPr>
        <w:t> </w:t>
      </w:r>
      <w:r>
        <w:rPr>
          <w:color w:val="231F20"/>
        </w:rPr>
        <w:t>for</w:t>
      </w:r>
      <w:r>
        <w:rPr>
          <w:color w:val="231F20"/>
          <w:spacing w:val="40"/>
        </w:rPr>
        <w:t> </w:t>
      </w:r>
      <w:r>
        <w:rPr>
          <w:color w:val="231F20"/>
        </w:rPr>
        <w:t>an</w:t>
      </w:r>
      <w:r>
        <w:rPr>
          <w:color w:val="231F20"/>
          <w:spacing w:val="40"/>
        </w:rPr>
        <w:t> </w:t>
      </w:r>
      <w:r>
        <w:rPr>
          <w:color w:val="231F20"/>
        </w:rPr>
        <w:t>oil</w:t>
      </w:r>
      <w:r>
        <w:rPr>
          <w:color w:val="231F20"/>
          <w:spacing w:val="40"/>
        </w:rPr>
        <w:t> </w:t>
      </w:r>
      <w:r>
        <w:rPr>
          <w:color w:val="231F20"/>
        </w:rPr>
        <w:t>discovery.</w:t>
      </w:r>
    </w:p>
    <w:p>
      <w:pPr>
        <w:pStyle w:val="BodyText"/>
        <w:spacing w:line="292" w:lineRule="auto"/>
        <w:ind w:left="829" w:right="756" w:firstLine="340"/>
        <w:jc w:val="both"/>
      </w:pPr>
      <w:r>
        <w:rPr>
          <w:color w:val="231F20"/>
        </w:rPr>
        <w:t>To marry this CDF concept to the decision tree to make </w:t>
      </w:r>
      <w:r>
        <w:rPr>
          <w:color w:val="231F20"/>
        </w:rPr>
        <w:t>impor- tant management decisions, imagine how you would represent all</w:t>
      </w:r>
      <w:r>
        <w:rPr>
          <w:color w:val="231F20"/>
          <w:spacing w:val="80"/>
        </w:rPr>
        <w:t> </w:t>
      </w:r>
      <w:r>
        <w:rPr>
          <w:color w:val="231F20"/>
        </w:rPr>
        <w:t>the</w:t>
      </w:r>
      <w:r>
        <w:rPr>
          <w:color w:val="231F20"/>
          <w:spacing w:val="33"/>
        </w:rPr>
        <w:t> </w:t>
      </w:r>
      <w:r>
        <w:rPr>
          <w:color w:val="231F20"/>
        </w:rPr>
        <w:t>values</w:t>
      </w:r>
      <w:r>
        <w:rPr>
          <w:color w:val="231F20"/>
          <w:spacing w:val="33"/>
        </w:rPr>
        <w:t> </w:t>
      </w:r>
      <w:r>
        <w:rPr>
          <w:color w:val="231F20"/>
        </w:rPr>
        <w:t>an</w:t>
      </w:r>
      <w:r>
        <w:rPr>
          <w:color w:val="231F20"/>
          <w:spacing w:val="33"/>
        </w:rPr>
        <w:t> </w:t>
      </w:r>
      <w:r>
        <w:rPr>
          <w:color w:val="231F20"/>
        </w:rPr>
        <w:t>oil</w:t>
      </w:r>
      <w:r>
        <w:rPr>
          <w:color w:val="231F20"/>
          <w:spacing w:val="33"/>
        </w:rPr>
        <w:t> </w:t>
      </w:r>
      <w:r>
        <w:rPr>
          <w:color w:val="231F20"/>
        </w:rPr>
        <w:t>well</w:t>
      </w:r>
      <w:r>
        <w:rPr>
          <w:color w:val="231F20"/>
          <w:spacing w:val="33"/>
        </w:rPr>
        <w:t> </w:t>
      </w:r>
      <w:r>
        <w:rPr>
          <w:color w:val="231F20"/>
        </w:rPr>
        <w:t>may</w:t>
      </w:r>
      <w:r>
        <w:rPr>
          <w:color w:val="231F20"/>
          <w:spacing w:val="33"/>
        </w:rPr>
        <w:t> </w:t>
      </w:r>
      <w:r>
        <w:rPr>
          <w:color w:val="231F20"/>
        </w:rPr>
        <w:t>produce.</w:t>
      </w:r>
      <w:r>
        <w:rPr>
          <w:color w:val="231F20"/>
          <w:spacing w:val="33"/>
        </w:rPr>
        <w:t> </w:t>
      </w:r>
      <w:r>
        <w:rPr>
          <w:color w:val="231F20"/>
        </w:rPr>
        <w:t>It</w:t>
      </w:r>
      <w:r>
        <w:rPr>
          <w:color w:val="231F20"/>
          <w:spacing w:val="33"/>
        </w:rPr>
        <w:t> </w:t>
      </w:r>
      <w:r>
        <w:rPr>
          <w:color w:val="231F20"/>
        </w:rPr>
        <w:t>would</w:t>
      </w:r>
      <w:r>
        <w:rPr>
          <w:color w:val="231F20"/>
          <w:spacing w:val="33"/>
        </w:rPr>
        <w:t> </w:t>
      </w:r>
      <w:r>
        <w:rPr>
          <w:color w:val="231F20"/>
        </w:rPr>
        <w:t>be</w:t>
      </w:r>
      <w:r>
        <w:rPr>
          <w:color w:val="231F20"/>
          <w:spacing w:val="33"/>
        </w:rPr>
        <w:t> </w:t>
      </w:r>
      <w:r>
        <w:rPr>
          <w:color w:val="231F20"/>
        </w:rPr>
        <w:t>a</w:t>
      </w:r>
      <w:r>
        <w:rPr>
          <w:color w:val="231F20"/>
          <w:spacing w:val="34"/>
        </w:rPr>
        <w:t> </w:t>
      </w:r>
      <w:r>
        <w:rPr>
          <w:i/>
          <w:color w:val="231F20"/>
        </w:rPr>
        <w:t>range</w:t>
      </w:r>
      <w:r>
        <w:rPr>
          <w:i/>
          <w:color w:val="231F20"/>
          <w:spacing w:val="33"/>
        </w:rPr>
        <w:t> </w:t>
      </w:r>
      <w:r>
        <w:rPr>
          <w:color w:val="231F20"/>
        </w:rPr>
        <w:t>of</w:t>
      </w:r>
      <w:r>
        <w:rPr>
          <w:color w:val="231F20"/>
          <w:spacing w:val="33"/>
        </w:rPr>
        <w:t> </w:t>
      </w:r>
      <w:r>
        <w:rPr>
          <w:color w:val="231F20"/>
        </w:rPr>
        <w:t>values that would be represented by a </w:t>
      </w:r>
      <w:r>
        <w:rPr>
          <w:i/>
          <w:color w:val="231F20"/>
        </w:rPr>
        <w:t>fan </w:t>
      </w:r>
      <w:r>
        <w:rPr>
          <w:color w:val="231F20"/>
        </w:rPr>
        <w:t>of possibilities. One could not possibly draw the infinite possibilities of branches on the tree, so we use a CDF to help out.</w:t>
      </w:r>
    </w:p>
    <w:p>
      <w:pPr>
        <w:pStyle w:val="BodyText"/>
        <w:spacing w:before="2"/>
        <w:rPr>
          <w:sz w:val="25"/>
        </w:rPr>
      </w:pPr>
    </w:p>
    <w:p>
      <w:pPr>
        <w:pStyle w:val="BodyText"/>
        <w:spacing w:line="292" w:lineRule="auto"/>
        <w:ind w:left="829" w:right="756"/>
        <w:jc w:val="both"/>
      </w:pPr>
      <w:r>
        <w:rPr>
          <w:i/>
          <w:color w:val="231F20"/>
          <w:w w:val="105"/>
        </w:rPr>
        <w:t>Drawing</w:t>
      </w:r>
      <w:r>
        <w:rPr>
          <w:i/>
          <w:color w:val="231F20"/>
          <w:w w:val="105"/>
        </w:rPr>
        <w:t> a</w:t>
      </w:r>
      <w:r>
        <w:rPr>
          <w:i/>
          <w:color w:val="231F20"/>
          <w:w w:val="105"/>
        </w:rPr>
        <w:t> CDF.</w:t>
      </w:r>
      <w:r>
        <w:rPr>
          <w:i/>
          <w:color w:val="231F20"/>
          <w:w w:val="105"/>
        </w:rPr>
        <w:t> </w:t>
      </w:r>
      <w:r>
        <w:rPr>
          <w:color w:val="231F20"/>
          <w:w w:val="105"/>
        </w:rPr>
        <w:t>To</w:t>
      </w:r>
      <w:r>
        <w:rPr>
          <w:color w:val="231F20"/>
          <w:w w:val="105"/>
        </w:rPr>
        <w:t> draw</w:t>
      </w:r>
      <w:r>
        <w:rPr>
          <w:color w:val="231F20"/>
          <w:w w:val="105"/>
        </w:rPr>
        <w:t> a</w:t>
      </w:r>
      <w:r>
        <w:rPr>
          <w:color w:val="231F20"/>
          <w:w w:val="105"/>
        </w:rPr>
        <w:t> CDF</w:t>
      </w:r>
      <w:r>
        <w:rPr>
          <w:color w:val="231F20"/>
          <w:w w:val="105"/>
        </w:rPr>
        <w:t> as</w:t>
      </w:r>
      <w:r>
        <w:rPr>
          <w:color w:val="231F20"/>
          <w:w w:val="105"/>
        </w:rPr>
        <w:t> shown</w:t>
      </w:r>
      <w:r>
        <w:rPr>
          <w:color w:val="231F20"/>
          <w:w w:val="105"/>
        </w:rPr>
        <w:t> on</w:t>
      </w:r>
      <w:r>
        <w:rPr>
          <w:color w:val="231F20"/>
          <w:w w:val="105"/>
        </w:rPr>
        <w:t> page</w:t>
      </w:r>
      <w:r>
        <w:rPr>
          <w:color w:val="231F20"/>
          <w:w w:val="105"/>
        </w:rPr>
        <w:t> 188,</w:t>
      </w:r>
      <w:r>
        <w:rPr>
          <w:color w:val="231F20"/>
          <w:w w:val="105"/>
        </w:rPr>
        <w:t> you</w:t>
      </w:r>
      <w:r>
        <w:rPr>
          <w:color w:val="231F20"/>
          <w:w w:val="105"/>
        </w:rPr>
        <w:t> use your</w:t>
      </w:r>
      <w:r>
        <w:rPr>
          <w:color w:val="231F20"/>
          <w:spacing w:val="-3"/>
          <w:w w:val="105"/>
        </w:rPr>
        <w:t> </w:t>
      </w:r>
      <w:r>
        <w:rPr>
          <w:color w:val="231F20"/>
          <w:w w:val="105"/>
        </w:rPr>
        <w:t>own</w:t>
      </w:r>
      <w:r>
        <w:rPr>
          <w:color w:val="231F20"/>
          <w:spacing w:val="-3"/>
          <w:w w:val="105"/>
        </w:rPr>
        <w:t> </w:t>
      </w:r>
      <w:r>
        <w:rPr>
          <w:color w:val="231F20"/>
          <w:w w:val="105"/>
        </w:rPr>
        <w:t>judgment</w:t>
      </w:r>
      <w:r>
        <w:rPr>
          <w:color w:val="231F20"/>
          <w:spacing w:val="-3"/>
          <w:w w:val="105"/>
        </w:rPr>
        <w:t> </w:t>
      </w:r>
      <w:r>
        <w:rPr>
          <w:color w:val="231F20"/>
          <w:w w:val="105"/>
        </w:rPr>
        <w:t>and</w:t>
      </w:r>
      <w:r>
        <w:rPr>
          <w:color w:val="231F20"/>
          <w:spacing w:val="-3"/>
          <w:w w:val="105"/>
        </w:rPr>
        <w:t> </w:t>
      </w:r>
      <w:r>
        <w:rPr>
          <w:color w:val="231F20"/>
          <w:w w:val="105"/>
        </w:rPr>
        <w:t>your</w:t>
      </w:r>
      <w:r>
        <w:rPr>
          <w:color w:val="231F20"/>
          <w:spacing w:val="-3"/>
          <w:w w:val="105"/>
        </w:rPr>
        <w:t> </w:t>
      </w:r>
      <w:r>
        <w:rPr>
          <w:color w:val="231F20"/>
          <w:w w:val="105"/>
        </w:rPr>
        <w:t>research</w:t>
      </w:r>
      <w:r>
        <w:rPr>
          <w:color w:val="231F20"/>
          <w:spacing w:val="-3"/>
          <w:w w:val="105"/>
        </w:rPr>
        <w:t> </w:t>
      </w:r>
      <w:r>
        <w:rPr>
          <w:color w:val="231F20"/>
          <w:w w:val="105"/>
        </w:rPr>
        <w:t>data.</w:t>
      </w:r>
      <w:r>
        <w:rPr>
          <w:color w:val="231F20"/>
          <w:spacing w:val="-3"/>
          <w:w w:val="105"/>
        </w:rPr>
        <w:t> </w:t>
      </w:r>
      <w:r>
        <w:rPr>
          <w:color w:val="231F20"/>
          <w:w w:val="105"/>
        </w:rPr>
        <w:t>You</w:t>
      </w:r>
      <w:r>
        <w:rPr>
          <w:color w:val="231F20"/>
          <w:spacing w:val="-3"/>
          <w:w w:val="105"/>
        </w:rPr>
        <w:t> </w:t>
      </w:r>
      <w:r>
        <w:rPr>
          <w:color w:val="231F20"/>
          <w:w w:val="105"/>
        </w:rPr>
        <w:t>need</w:t>
      </w:r>
      <w:r>
        <w:rPr>
          <w:color w:val="231F20"/>
          <w:spacing w:val="-3"/>
          <w:w w:val="105"/>
        </w:rPr>
        <w:t> </w:t>
      </w:r>
      <w:r>
        <w:rPr>
          <w:color w:val="231F20"/>
          <w:w w:val="105"/>
        </w:rPr>
        <w:t>to</w:t>
      </w:r>
      <w:r>
        <w:rPr>
          <w:color w:val="231F20"/>
          <w:spacing w:val="-3"/>
          <w:w w:val="105"/>
        </w:rPr>
        <w:t> </w:t>
      </w:r>
      <w:r>
        <w:rPr>
          <w:color w:val="231F20"/>
          <w:w w:val="105"/>
        </w:rPr>
        <w:t>ask</w:t>
      </w:r>
      <w:r>
        <w:rPr>
          <w:color w:val="231F20"/>
          <w:spacing w:val="-3"/>
          <w:w w:val="105"/>
        </w:rPr>
        <w:t> </w:t>
      </w:r>
      <w:r>
        <w:rPr>
          <w:color w:val="231F20"/>
          <w:w w:val="105"/>
        </w:rPr>
        <w:t>your- self a series of questions:</w:t>
      </w:r>
    </w:p>
    <w:p>
      <w:pPr>
        <w:pStyle w:val="BodyText"/>
        <w:spacing w:before="4"/>
        <w:rPr>
          <w:sz w:val="27"/>
        </w:rPr>
      </w:pPr>
    </w:p>
    <w:p>
      <w:pPr>
        <w:spacing w:line="328" w:lineRule="auto" w:before="0"/>
        <w:ind w:left="1510" w:right="1045" w:hanging="340"/>
        <w:jc w:val="left"/>
        <w:rPr>
          <w:rFonts w:ascii="Arial"/>
          <w:sz w:val="19"/>
        </w:rPr>
      </w:pPr>
      <w:r>
        <w:rPr>
          <w:rFonts w:ascii="Arial"/>
          <w:color w:val="231F20"/>
          <w:w w:val="115"/>
          <w:sz w:val="19"/>
        </w:rPr>
        <w:t>What</w:t>
      </w:r>
      <w:r>
        <w:rPr>
          <w:rFonts w:ascii="Arial"/>
          <w:color w:val="231F20"/>
          <w:spacing w:val="-9"/>
          <w:w w:val="115"/>
          <w:sz w:val="19"/>
        </w:rPr>
        <w:t> </w:t>
      </w:r>
      <w:r>
        <w:rPr>
          <w:rFonts w:ascii="Arial"/>
          <w:color w:val="231F20"/>
          <w:w w:val="115"/>
          <w:sz w:val="19"/>
        </w:rPr>
        <w:t>value</w:t>
      </w:r>
      <w:r>
        <w:rPr>
          <w:rFonts w:ascii="Arial"/>
          <w:color w:val="231F20"/>
          <w:spacing w:val="-9"/>
          <w:w w:val="115"/>
          <w:sz w:val="19"/>
        </w:rPr>
        <w:t> </w:t>
      </w:r>
      <w:r>
        <w:rPr>
          <w:rFonts w:ascii="Arial"/>
          <w:color w:val="231F20"/>
          <w:w w:val="115"/>
          <w:sz w:val="19"/>
        </w:rPr>
        <w:t>would</w:t>
      </w:r>
      <w:r>
        <w:rPr>
          <w:rFonts w:ascii="Arial"/>
          <w:color w:val="231F20"/>
          <w:spacing w:val="-9"/>
          <w:w w:val="115"/>
          <w:sz w:val="19"/>
        </w:rPr>
        <w:t> </w:t>
      </w:r>
      <w:r>
        <w:rPr>
          <w:rFonts w:ascii="Arial"/>
          <w:color w:val="231F20"/>
          <w:w w:val="115"/>
          <w:sz w:val="19"/>
        </w:rPr>
        <w:t>occur</w:t>
      </w:r>
      <w:r>
        <w:rPr>
          <w:rFonts w:ascii="Arial"/>
          <w:color w:val="231F20"/>
          <w:spacing w:val="-9"/>
          <w:w w:val="115"/>
          <w:sz w:val="19"/>
        </w:rPr>
        <w:t> </w:t>
      </w:r>
      <w:r>
        <w:rPr>
          <w:rFonts w:ascii="Arial"/>
          <w:color w:val="231F20"/>
          <w:w w:val="115"/>
          <w:sz w:val="19"/>
        </w:rPr>
        <w:t>where</w:t>
      </w:r>
      <w:r>
        <w:rPr>
          <w:rFonts w:ascii="Arial"/>
          <w:color w:val="231F20"/>
          <w:spacing w:val="-9"/>
          <w:w w:val="115"/>
          <w:sz w:val="19"/>
        </w:rPr>
        <w:t> </w:t>
      </w:r>
      <w:r>
        <w:rPr>
          <w:rFonts w:ascii="Arial"/>
          <w:color w:val="231F20"/>
          <w:w w:val="115"/>
          <w:sz w:val="19"/>
        </w:rPr>
        <w:t>results</w:t>
      </w:r>
      <w:r>
        <w:rPr>
          <w:rFonts w:ascii="Arial"/>
          <w:color w:val="231F20"/>
          <w:spacing w:val="-9"/>
          <w:w w:val="115"/>
          <w:sz w:val="19"/>
        </w:rPr>
        <w:t> </w:t>
      </w:r>
      <w:r>
        <w:rPr>
          <w:rFonts w:ascii="Arial"/>
          <w:color w:val="231F20"/>
          <w:w w:val="115"/>
          <w:sz w:val="19"/>
        </w:rPr>
        <w:t>are</w:t>
      </w:r>
      <w:r>
        <w:rPr>
          <w:rFonts w:ascii="Arial"/>
          <w:color w:val="231F20"/>
          <w:spacing w:val="-9"/>
          <w:w w:val="115"/>
          <w:sz w:val="19"/>
        </w:rPr>
        <w:t> </w:t>
      </w:r>
      <w:r>
        <w:rPr>
          <w:rFonts w:ascii="Arial"/>
          <w:color w:val="231F20"/>
          <w:w w:val="115"/>
          <w:sz w:val="19"/>
        </w:rPr>
        <w:t>either</w:t>
      </w:r>
      <w:r>
        <w:rPr>
          <w:rFonts w:ascii="Arial"/>
          <w:color w:val="231F20"/>
          <w:spacing w:val="-9"/>
          <w:w w:val="115"/>
          <w:sz w:val="19"/>
        </w:rPr>
        <w:t> </w:t>
      </w:r>
      <w:r>
        <w:rPr>
          <w:rFonts w:ascii="Arial"/>
          <w:color w:val="231F20"/>
          <w:w w:val="115"/>
          <w:sz w:val="19"/>
        </w:rPr>
        <w:t>higher</w:t>
      </w:r>
      <w:r>
        <w:rPr>
          <w:rFonts w:ascii="Arial"/>
          <w:color w:val="231F20"/>
          <w:spacing w:val="-9"/>
          <w:w w:val="115"/>
          <w:sz w:val="19"/>
        </w:rPr>
        <w:t> </w:t>
      </w:r>
      <w:r>
        <w:rPr>
          <w:rFonts w:ascii="Arial"/>
          <w:color w:val="231F20"/>
          <w:w w:val="115"/>
          <w:sz w:val="19"/>
        </w:rPr>
        <w:t>or lower 50 percent of the time (the median)?</w:t>
      </w:r>
    </w:p>
    <w:p>
      <w:pPr>
        <w:spacing w:line="328" w:lineRule="auto" w:before="1"/>
        <w:ind w:left="1170" w:right="1742" w:firstLine="0"/>
        <w:jc w:val="left"/>
        <w:rPr>
          <w:rFonts w:ascii="Arial"/>
          <w:sz w:val="19"/>
        </w:rPr>
      </w:pPr>
      <w:r>
        <w:rPr>
          <w:rFonts w:ascii="Arial"/>
          <w:color w:val="231F20"/>
          <w:w w:val="115"/>
          <w:sz w:val="19"/>
        </w:rPr>
        <w:t>What value would be at the low end (.10 fractile)? What</w:t>
      </w:r>
      <w:r>
        <w:rPr>
          <w:rFonts w:ascii="Arial"/>
          <w:color w:val="231F20"/>
          <w:spacing w:val="-3"/>
          <w:w w:val="115"/>
          <w:sz w:val="19"/>
        </w:rPr>
        <w:t> </w:t>
      </w:r>
      <w:r>
        <w:rPr>
          <w:rFonts w:ascii="Arial"/>
          <w:color w:val="231F20"/>
          <w:w w:val="115"/>
          <w:sz w:val="19"/>
        </w:rPr>
        <w:t>value</w:t>
      </w:r>
      <w:r>
        <w:rPr>
          <w:rFonts w:ascii="Arial"/>
          <w:color w:val="231F20"/>
          <w:spacing w:val="-3"/>
          <w:w w:val="115"/>
          <w:sz w:val="19"/>
        </w:rPr>
        <w:t> </w:t>
      </w:r>
      <w:r>
        <w:rPr>
          <w:rFonts w:ascii="Arial"/>
          <w:color w:val="231F20"/>
          <w:w w:val="115"/>
          <w:sz w:val="19"/>
        </w:rPr>
        <w:t>would</w:t>
      </w:r>
      <w:r>
        <w:rPr>
          <w:rFonts w:ascii="Arial"/>
          <w:color w:val="231F20"/>
          <w:spacing w:val="-3"/>
          <w:w w:val="115"/>
          <w:sz w:val="19"/>
        </w:rPr>
        <w:t> </w:t>
      </w:r>
      <w:r>
        <w:rPr>
          <w:rFonts w:ascii="Arial"/>
          <w:color w:val="231F20"/>
          <w:w w:val="115"/>
          <w:sz w:val="19"/>
        </w:rPr>
        <w:t>be</w:t>
      </w:r>
      <w:r>
        <w:rPr>
          <w:rFonts w:ascii="Arial"/>
          <w:color w:val="231F20"/>
          <w:spacing w:val="-3"/>
          <w:w w:val="115"/>
          <w:sz w:val="19"/>
        </w:rPr>
        <w:t> </w:t>
      </w:r>
      <w:r>
        <w:rPr>
          <w:rFonts w:ascii="Arial"/>
          <w:color w:val="231F20"/>
          <w:w w:val="115"/>
          <w:sz w:val="19"/>
        </w:rPr>
        <w:t>at</w:t>
      </w:r>
      <w:r>
        <w:rPr>
          <w:rFonts w:ascii="Arial"/>
          <w:color w:val="231F20"/>
          <w:spacing w:val="-3"/>
          <w:w w:val="115"/>
          <w:sz w:val="19"/>
        </w:rPr>
        <w:t> </w:t>
      </w:r>
      <w:r>
        <w:rPr>
          <w:rFonts w:ascii="Arial"/>
          <w:color w:val="231F20"/>
          <w:w w:val="115"/>
          <w:sz w:val="19"/>
        </w:rPr>
        <w:t>the</w:t>
      </w:r>
      <w:r>
        <w:rPr>
          <w:rFonts w:ascii="Arial"/>
          <w:color w:val="231F20"/>
          <w:spacing w:val="-3"/>
          <w:w w:val="115"/>
          <w:sz w:val="19"/>
        </w:rPr>
        <w:t> </w:t>
      </w:r>
      <w:r>
        <w:rPr>
          <w:rFonts w:ascii="Arial"/>
          <w:color w:val="231F20"/>
          <w:w w:val="115"/>
          <w:sz w:val="19"/>
        </w:rPr>
        <w:t>high</w:t>
      </w:r>
      <w:r>
        <w:rPr>
          <w:rFonts w:ascii="Arial"/>
          <w:color w:val="231F20"/>
          <w:spacing w:val="-3"/>
          <w:w w:val="115"/>
          <w:sz w:val="19"/>
        </w:rPr>
        <w:t> </w:t>
      </w:r>
      <w:r>
        <w:rPr>
          <w:rFonts w:ascii="Arial"/>
          <w:color w:val="231F20"/>
          <w:w w:val="115"/>
          <w:sz w:val="19"/>
        </w:rPr>
        <w:t>end</w:t>
      </w:r>
      <w:r>
        <w:rPr>
          <w:rFonts w:ascii="Arial"/>
          <w:color w:val="231F20"/>
          <w:spacing w:val="-3"/>
          <w:w w:val="115"/>
          <w:sz w:val="19"/>
        </w:rPr>
        <w:t> </w:t>
      </w:r>
      <w:r>
        <w:rPr>
          <w:rFonts w:ascii="Arial"/>
          <w:color w:val="231F20"/>
          <w:w w:val="115"/>
          <w:sz w:val="19"/>
        </w:rPr>
        <w:t>(.90</w:t>
      </w:r>
      <w:r>
        <w:rPr>
          <w:rFonts w:ascii="Arial"/>
          <w:color w:val="231F20"/>
          <w:spacing w:val="-3"/>
          <w:w w:val="115"/>
          <w:sz w:val="19"/>
        </w:rPr>
        <w:t> </w:t>
      </w:r>
      <w:r>
        <w:rPr>
          <w:rFonts w:ascii="Arial"/>
          <w:color w:val="231F20"/>
          <w:w w:val="115"/>
          <w:sz w:val="19"/>
        </w:rPr>
        <w:t>fractile)?</w:t>
      </w:r>
    </w:p>
    <w:p>
      <w:pPr>
        <w:pStyle w:val="BodyText"/>
        <w:spacing w:before="4"/>
        <w:rPr>
          <w:rFonts w:ascii="Arial"/>
          <w:sz w:val="24"/>
        </w:rPr>
      </w:pPr>
    </w:p>
    <w:p>
      <w:pPr>
        <w:pStyle w:val="BodyText"/>
        <w:spacing w:line="292" w:lineRule="auto"/>
        <w:ind w:left="830" w:right="756" w:firstLine="340"/>
        <w:jc w:val="both"/>
      </w:pPr>
      <w:r>
        <w:rPr>
          <w:color w:val="231F20"/>
        </w:rPr>
        <w:t>With the answers to these questions, you can draw the CDF of what</w:t>
      </w:r>
      <w:r>
        <w:rPr>
          <w:color w:val="231F20"/>
          <w:spacing w:val="10"/>
        </w:rPr>
        <w:t> </w:t>
      </w:r>
      <w:r>
        <w:rPr>
          <w:color w:val="231F20"/>
        </w:rPr>
        <w:t>you</w:t>
      </w:r>
      <w:r>
        <w:rPr>
          <w:color w:val="231F20"/>
          <w:spacing w:val="10"/>
        </w:rPr>
        <w:t> </w:t>
      </w:r>
      <w:r>
        <w:rPr>
          <w:color w:val="231F20"/>
        </w:rPr>
        <w:t>believe</w:t>
      </w:r>
      <w:r>
        <w:rPr>
          <w:color w:val="231F20"/>
          <w:spacing w:val="11"/>
        </w:rPr>
        <w:t> </w:t>
      </w:r>
      <w:r>
        <w:rPr>
          <w:color w:val="231F20"/>
        </w:rPr>
        <w:t>the</w:t>
      </w:r>
      <w:r>
        <w:rPr>
          <w:color w:val="231F20"/>
          <w:spacing w:val="10"/>
        </w:rPr>
        <w:t> </w:t>
      </w:r>
      <w:r>
        <w:rPr>
          <w:color w:val="231F20"/>
        </w:rPr>
        <w:t>range</w:t>
      </w:r>
      <w:r>
        <w:rPr>
          <w:color w:val="231F20"/>
          <w:spacing w:val="10"/>
        </w:rPr>
        <w:t> </w:t>
      </w:r>
      <w:r>
        <w:rPr>
          <w:color w:val="231F20"/>
        </w:rPr>
        <w:t>of</w:t>
      </w:r>
      <w:r>
        <w:rPr>
          <w:color w:val="231F20"/>
          <w:spacing w:val="11"/>
        </w:rPr>
        <w:t> </w:t>
      </w:r>
      <w:r>
        <w:rPr>
          <w:color w:val="231F20"/>
        </w:rPr>
        <w:t>outcomes</w:t>
      </w:r>
      <w:r>
        <w:rPr>
          <w:color w:val="231F20"/>
          <w:spacing w:val="10"/>
        </w:rPr>
        <w:t> </w:t>
      </w:r>
      <w:r>
        <w:rPr>
          <w:color w:val="231F20"/>
        </w:rPr>
        <w:t>is.</w:t>
      </w:r>
      <w:r>
        <w:rPr>
          <w:color w:val="231F20"/>
          <w:spacing w:val="10"/>
        </w:rPr>
        <w:t> </w:t>
      </w:r>
      <w:r>
        <w:rPr>
          <w:color w:val="231F20"/>
        </w:rPr>
        <w:t>By</w:t>
      </w:r>
      <w:r>
        <w:rPr>
          <w:color w:val="231F20"/>
          <w:spacing w:val="11"/>
        </w:rPr>
        <w:t> </w:t>
      </w:r>
      <w:r>
        <w:rPr>
          <w:color w:val="231F20"/>
        </w:rPr>
        <w:t>picking</w:t>
      </w:r>
      <w:r>
        <w:rPr>
          <w:color w:val="231F20"/>
          <w:spacing w:val="10"/>
        </w:rPr>
        <w:t> </w:t>
      </w:r>
      <w:r>
        <w:rPr>
          <w:color w:val="231F20"/>
        </w:rPr>
        <w:t>five</w:t>
      </w:r>
      <w:r>
        <w:rPr>
          <w:color w:val="231F20"/>
          <w:spacing w:val="10"/>
        </w:rPr>
        <w:t> </w:t>
      </w:r>
      <w:r>
        <w:rPr>
          <w:color w:val="231F20"/>
          <w:spacing w:val="-2"/>
        </w:rPr>
        <w:t>outcomes</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3"/>
        <w:jc w:val="right"/>
      </w:pPr>
      <w:r>
        <w:rPr>
          <w:color w:val="231F20"/>
        </w:rPr>
        <w:t>using the five fractiles from the CDF, you can draw the </w:t>
      </w:r>
      <w:r>
        <w:rPr>
          <w:i/>
          <w:color w:val="231F20"/>
        </w:rPr>
        <w:t>event fan </w:t>
      </w:r>
      <w:r>
        <w:rPr>
          <w:color w:val="231F20"/>
        </w:rPr>
        <w:t>of</w:t>
      </w:r>
      <w:r>
        <w:rPr>
          <w:color w:val="231F20"/>
          <w:spacing w:val="80"/>
          <w:w w:val="150"/>
        </w:rPr>
        <w:t> </w:t>
      </w:r>
      <w:r>
        <w:rPr>
          <w:color w:val="231F20"/>
        </w:rPr>
        <w:t>five</w:t>
      </w:r>
      <w:r>
        <w:rPr>
          <w:color w:val="231F20"/>
          <w:spacing w:val="-2"/>
        </w:rPr>
        <w:t> </w:t>
      </w:r>
      <w:r>
        <w:rPr>
          <w:color w:val="231F20"/>
        </w:rPr>
        <w:t>possibilities</w:t>
      </w:r>
      <w:r>
        <w:rPr>
          <w:color w:val="231F20"/>
          <w:spacing w:val="-1"/>
        </w:rPr>
        <w:t> </w:t>
      </w:r>
      <w:r>
        <w:rPr>
          <w:color w:val="231F20"/>
        </w:rPr>
        <w:t>and</w:t>
      </w:r>
      <w:r>
        <w:rPr>
          <w:color w:val="231F20"/>
          <w:spacing w:val="-2"/>
        </w:rPr>
        <w:t> </w:t>
      </w:r>
      <w:r>
        <w:rPr>
          <w:color w:val="231F20"/>
        </w:rPr>
        <w:t>probabilities</w:t>
      </w:r>
      <w:r>
        <w:rPr>
          <w:color w:val="231F20"/>
          <w:spacing w:val="-1"/>
        </w:rPr>
        <w:t> </w:t>
      </w:r>
      <w:r>
        <w:rPr>
          <w:color w:val="231F20"/>
        </w:rPr>
        <w:t>on</w:t>
      </w:r>
      <w:r>
        <w:rPr>
          <w:color w:val="231F20"/>
          <w:spacing w:val="-2"/>
        </w:rPr>
        <w:t> </w:t>
      </w:r>
      <w:r>
        <w:rPr>
          <w:color w:val="231F20"/>
        </w:rPr>
        <w:t>a</w:t>
      </w:r>
      <w:r>
        <w:rPr>
          <w:color w:val="231F20"/>
          <w:spacing w:val="-1"/>
        </w:rPr>
        <w:t> </w:t>
      </w:r>
      <w:r>
        <w:rPr>
          <w:color w:val="231F20"/>
        </w:rPr>
        <w:t>decision</w:t>
      </w:r>
      <w:r>
        <w:rPr>
          <w:color w:val="231F20"/>
          <w:spacing w:val="-2"/>
        </w:rPr>
        <w:t> </w:t>
      </w:r>
      <w:r>
        <w:rPr>
          <w:color w:val="231F20"/>
        </w:rPr>
        <w:t>tree</w:t>
      </w:r>
      <w:r>
        <w:rPr>
          <w:color w:val="231F20"/>
          <w:spacing w:val="-1"/>
        </w:rPr>
        <w:t> </w:t>
      </w:r>
      <w:r>
        <w:rPr>
          <w:color w:val="231F20"/>
        </w:rPr>
        <w:t>as</w:t>
      </w:r>
      <w:r>
        <w:rPr>
          <w:color w:val="231F20"/>
          <w:spacing w:val="-1"/>
        </w:rPr>
        <w:t> </w:t>
      </w:r>
      <w:r>
        <w:rPr>
          <w:color w:val="231F20"/>
        </w:rPr>
        <w:t>five</w:t>
      </w:r>
      <w:r>
        <w:rPr>
          <w:color w:val="231F20"/>
          <w:spacing w:val="-2"/>
        </w:rPr>
        <w:t> branches.</w:t>
      </w:r>
    </w:p>
    <w:p>
      <w:pPr>
        <w:pStyle w:val="BodyText"/>
        <w:spacing w:line="292" w:lineRule="auto"/>
        <w:ind w:left="919" w:right="663" w:firstLine="340"/>
        <w:jc w:val="both"/>
      </w:pPr>
      <w:r>
        <w:rPr>
          <w:color w:val="231F20"/>
        </w:rPr>
        <w:t>The</w:t>
      </w:r>
      <w:r>
        <w:rPr>
          <w:color w:val="231F20"/>
          <w:spacing w:val="80"/>
        </w:rPr>
        <w:t> </w:t>
      </w:r>
      <w:r>
        <w:rPr>
          <w:color w:val="231F20"/>
        </w:rPr>
        <w:t>expected</w:t>
      </w:r>
      <w:r>
        <w:rPr>
          <w:color w:val="231F20"/>
          <w:spacing w:val="80"/>
        </w:rPr>
        <w:t> </w:t>
      </w:r>
      <w:r>
        <w:rPr>
          <w:color w:val="231F20"/>
        </w:rPr>
        <w:t>monetary</w:t>
      </w:r>
      <w:r>
        <w:rPr>
          <w:color w:val="231F20"/>
          <w:spacing w:val="80"/>
        </w:rPr>
        <w:t> </w:t>
      </w:r>
      <w:r>
        <w:rPr>
          <w:color w:val="231F20"/>
        </w:rPr>
        <w:t>value</w:t>
      </w:r>
      <w:r>
        <w:rPr>
          <w:color w:val="231F20"/>
          <w:spacing w:val="80"/>
        </w:rPr>
        <w:t> </w:t>
      </w:r>
      <w:r>
        <w:rPr>
          <w:color w:val="231F20"/>
        </w:rPr>
        <w:t>is</w:t>
      </w:r>
      <w:r>
        <w:rPr>
          <w:color w:val="231F20"/>
          <w:spacing w:val="80"/>
        </w:rPr>
        <w:t> </w:t>
      </w:r>
      <w:r>
        <w:rPr>
          <w:color w:val="231F20"/>
        </w:rPr>
        <w:t>the</w:t>
      </w:r>
      <w:r>
        <w:rPr>
          <w:color w:val="231F20"/>
          <w:spacing w:val="80"/>
        </w:rPr>
        <w:t> </w:t>
      </w:r>
      <w:r>
        <w:rPr>
          <w:color w:val="231F20"/>
        </w:rPr>
        <w:t>same</w:t>
      </w:r>
      <w:r>
        <w:rPr>
          <w:color w:val="231F20"/>
          <w:spacing w:val="80"/>
        </w:rPr>
        <w:t> </w:t>
      </w:r>
      <w:r>
        <w:rPr>
          <w:color w:val="231F20"/>
        </w:rPr>
        <w:t>as</w:t>
      </w:r>
      <w:r>
        <w:rPr>
          <w:color w:val="231F20"/>
          <w:spacing w:val="80"/>
        </w:rPr>
        <w:t> </w:t>
      </w:r>
      <w:r>
        <w:rPr>
          <w:color w:val="231F20"/>
        </w:rPr>
        <w:t>in</w:t>
      </w:r>
      <w:r>
        <w:rPr>
          <w:color w:val="231F20"/>
          <w:spacing w:val="80"/>
        </w:rPr>
        <w:t> </w:t>
      </w:r>
      <w:r>
        <w:rPr>
          <w:color w:val="231F20"/>
        </w:rPr>
        <w:t>our</w:t>
      </w:r>
      <w:r>
        <w:rPr>
          <w:color w:val="231F20"/>
          <w:spacing w:val="80"/>
        </w:rPr>
        <w:t> </w:t>
      </w:r>
      <w:r>
        <w:rPr>
          <w:color w:val="231F20"/>
        </w:rPr>
        <w:t>first go-around, but that is only because I conveniently used the </w:t>
      </w:r>
      <w:r>
        <w:rPr>
          <w:color w:val="231F20"/>
        </w:rPr>
        <w:t>correct EMV to begin with.</w:t>
      </w:r>
    </w:p>
    <w:p>
      <w:pPr>
        <w:pStyle w:val="BodyText"/>
        <w:spacing w:line="292" w:lineRule="auto"/>
        <w:ind w:left="919" w:right="666" w:firstLine="340"/>
        <w:jc w:val="both"/>
      </w:pPr>
      <w:r>
        <w:rPr>
          <w:color w:val="231F20"/>
        </w:rPr>
        <w:t>A shortcut to using five fractiles is called the </w:t>
      </w:r>
      <w:r>
        <w:rPr>
          <w:i/>
          <w:color w:val="231F20"/>
        </w:rPr>
        <w:t>Pearson </w:t>
      </w:r>
      <w:r>
        <w:rPr>
          <w:i/>
          <w:color w:val="231F20"/>
        </w:rPr>
        <w:t>Tukey</w:t>
      </w:r>
      <w:r>
        <w:rPr>
          <w:i/>
          <w:color w:val="231F20"/>
        </w:rPr>
        <w:t> Method.</w:t>
      </w:r>
      <w:r>
        <w:rPr>
          <w:i/>
          <w:color w:val="231F20"/>
          <w:spacing w:val="37"/>
        </w:rPr>
        <w:t> </w:t>
      </w:r>
      <w:r>
        <w:rPr>
          <w:color w:val="231F20"/>
        </w:rPr>
        <w:t>Instead</w:t>
      </w:r>
      <w:r>
        <w:rPr>
          <w:color w:val="231F20"/>
          <w:spacing w:val="38"/>
        </w:rPr>
        <w:t> </w:t>
      </w:r>
      <w:r>
        <w:rPr>
          <w:color w:val="231F20"/>
        </w:rPr>
        <w:t>of</w:t>
      </w:r>
      <w:r>
        <w:rPr>
          <w:color w:val="231F20"/>
          <w:spacing w:val="38"/>
        </w:rPr>
        <w:t> </w:t>
      </w:r>
      <w:r>
        <w:rPr>
          <w:color w:val="231F20"/>
        </w:rPr>
        <w:t>five</w:t>
      </w:r>
      <w:r>
        <w:rPr>
          <w:color w:val="231F20"/>
          <w:spacing w:val="38"/>
        </w:rPr>
        <w:t> </w:t>
      </w:r>
      <w:r>
        <w:rPr>
          <w:color w:val="231F20"/>
        </w:rPr>
        <w:t>fractiles,</w:t>
      </w:r>
      <w:r>
        <w:rPr>
          <w:color w:val="231F20"/>
          <w:spacing w:val="38"/>
        </w:rPr>
        <w:t> </w:t>
      </w:r>
      <w:r>
        <w:rPr>
          <w:color w:val="231F20"/>
        </w:rPr>
        <w:t>the</w:t>
      </w:r>
      <w:r>
        <w:rPr>
          <w:color w:val="231F20"/>
          <w:spacing w:val="38"/>
        </w:rPr>
        <w:t> </w:t>
      </w:r>
      <w:r>
        <w:rPr>
          <w:color w:val="231F20"/>
        </w:rPr>
        <w:t>method</w:t>
      </w:r>
      <w:r>
        <w:rPr>
          <w:color w:val="231F20"/>
          <w:spacing w:val="38"/>
        </w:rPr>
        <w:t> </w:t>
      </w:r>
      <w:r>
        <w:rPr>
          <w:color w:val="231F20"/>
        </w:rPr>
        <w:t>uses</w:t>
      </w:r>
      <w:r>
        <w:rPr>
          <w:color w:val="231F20"/>
          <w:spacing w:val="37"/>
        </w:rPr>
        <w:t> </w:t>
      </w:r>
      <w:r>
        <w:rPr>
          <w:color w:val="231F20"/>
        </w:rPr>
        <w:t>only</w:t>
      </w:r>
      <w:r>
        <w:rPr>
          <w:color w:val="231F20"/>
          <w:spacing w:val="38"/>
        </w:rPr>
        <w:t> </w:t>
      </w:r>
      <w:r>
        <w:rPr>
          <w:color w:val="231F20"/>
        </w:rPr>
        <w:t>three—</w:t>
      </w:r>
      <w:r>
        <w:rPr>
          <w:color w:val="231F20"/>
          <w:spacing w:val="-23"/>
        </w:rPr>
        <w:t> </w:t>
      </w:r>
      <w:r>
        <w:rPr>
          <w:color w:val="231F20"/>
          <w:spacing w:val="-5"/>
        </w:rPr>
        <w:t>the</w:t>
      </w:r>
    </w:p>
    <w:p>
      <w:pPr>
        <w:pStyle w:val="BodyText"/>
        <w:spacing w:line="245" w:lineRule="exact"/>
        <w:ind w:left="919"/>
        <w:jc w:val="both"/>
      </w:pPr>
      <w:r>
        <w:rPr>
          <w:color w:val="231F20"/>
          <w:w w:val="105"/>
        </w:rPr>
        <w:t>.05,</w:t>
      </w:r>
      <w:r>
        <w:rPr>
          <w:color w:val="231F20"/>
          <w:spacing w:val="-12"/>
          <w:w w:val="105"/>
        </w:rPr>
        <w:t> </w:t>
      </w:r>
      <w:r>
        <w:rPr>
          <w:color w:val="231F20"/>
          <w:w w:val="105"/>
        </w:rPr>
        <w:t>.5,</w:t>
      </w:r>
      <w:r>
        <w:rPr>
          <w:color w:val="231F20"/>
          <w:spacing w:val="-12"/>
          <w:w w:val="105"/>
        </w:rPr>
        <w:t> </w:t>
      </w:r>
      <w:r>
        <w:rPr>
          <w:color w:val="231F20"/>
          <w:w w:val="105"/>
        </w:rPr>
        <w:t>and</w:t>
      </w:r>
      <w:r>
        <w:rPr>
          <w:color w:val="231F20"/>
          <w:spacing w:val="-11"/>
          <w:w w:val="105"/>
        </w:rPr>
        <w:t> </w:t>
      </w:r>
      <w:r>
        <w:rPr>
          <w:color w:val="231F20"/>
          <w:w w:val="105"/>
        </w:rPr>
        <w:t>.95</w:t>
      </w:r>
      <w:r>
        <w:rPr>
          <w:color w:val="231F20"/>
          <w:spacing w:val="-12"/>
          <w:w w:val="105"/>
        </w:rPr>
        <w:t> </w:t>
      </w:r>
      <w:r>
        <w:rPr>
          <w:color w:val="231F20"/>
          <w:w w:val="105"/>
        </w:rPr>
        <w:t>fractiles.</w:t>
      </w:r>
      <w:r>
        <w:rPr>
          <w:color w:val="231F20"/>
          <w:spacing w:val="-11"/>
          <w:w w:val="105"/>
        </w:rPr>
        <w:t> </w:t>
      </w:r>
      <w:r>
        <w:rPr>
          <w:color w:val="231F20"/>
          <w:w w:val="105"/>
        </w:rPr>
        <w:t>Their</w:t>
      </w:r>
      <w:r>
        <w:rPr>
          <w:color w:val="231F20"/>
          <w:spacing w:val="-12"/>
          <w:w w:val="105"/>
        </w:rPr>
        <w:t> </w:t>
      </w:r>
      <w:r>
        <w:rPr>
          <w:color w:val="231F20"/>
          <w:w w:val="105"/>
        </w:rPr>
        <w:t>respective</w:t>
      </w:r>
      <w:r>
        <w:rPr>
          <w:color w:val="231F20"/>
          <w:spacing w:val="-11"/>
          <w:w w:val="105"/>
        </w:rPr>
        <w:t> </w:t>
      </w:r>
      <w:r>
        <w:rPr>
          <w:color w:val="231F20"/>
          <w:w w:val="105"/>
        </w:rPr>
        <w:t>probabilities</w:t>
      </w:r>
      <w:r>
        <w:rPr>
          <w:color w:val="231F20"/>
          <w:spacing w:val="-12"/>
          <w:w w:val="105"/>
        </w:rPr>
        <w:t> </w:t>
      </w:r>
      <w:r>
        <w:rPr>
          <w:color w:val="231F20"/>
          <w:w w:val="105"/>
        </w:rPr>
        <w:t>are</w:t>
      </w:r>
      <w:r>
        <w:rPr>
          <w:color w:val="231F20"/>
          <w:spacing w:val="-12"/>
          <w:w w:val="105"/>
        </w:rPr>
        <w:t> </w:t>
      </w:r>
      <w:r>
        <w:rPr>
          <w:color w:val="231F20"/>
          <w:w w:val="105"/>
        </w:rPr>
        <w:t>.185,</w:t>
      </w:r>
      <w:r>
        <w:rPr>
          <w:color w:val="231F20"/>
          <w:spacing w:val="-11"/>
          <w:w w:val="105"/>
        </w:rPr>
        <w:t> </w:t>
      </w:r>
      <w:r>
        <w:rPr>
          <w:color w:val="231F20"/>
          <w:spacing w:val="-4"/>
          <w:w w:val="105"/>
        </w:rPr>
        <w:t>.63,</w:t>
      </w:r>
    </w:p>
    <w:p>
      <w:pPr>
        <w:pStyle w:val="BodyText"/>
        <w:spacing w:before="52"/>
        <w:ind w:left="919"/>
      </w:pPr>
      <w:r>
        <w:rPr>
          <w:color w:val="231F20"/>
          <w:spacing w:val="-2"/>
          <w:w w:val="110"/>
        </w:rPr>
        <w:t>.185.</w:t>
      </w:r>
    </w:p>
    <w:p>
      <w:pPr>
        <w:pStyle w:val="BodyText"/>
        <w:spacing w:line="292" w:lineRule="auto" w:before="53"/>
        <w:ind w:left="919" w:right="666" w:firstLine="340"/>
        <w:jc w:val="both"/>
      </w:pPr>
      <w:r>
        <w:rPr>
          <w:color w:val="231F20"/>
        </w:rPr>
        <w:t>For large problems the decision tree has been computerized </w:t>
      </w:r>
      <w:r>
        <w:rPr>
          <w:color w:val="231F20"/>
        </w:rPr>
        <w:t>by </w:t>
      </w:r>
      <w:r>
        <w:rPr>
          <w:i/>
          <w:color w:val="231F20"/>
        </w:rPr>
        <w:t>Monte Carlo </w:t>
      </w:r>
      <w:r>
        <w:rPr>
          <w:color w:val="231F20"/>
        </w:rPr>
        <w:t>simulation programs. The tree and the parameters of</w:t>
      </w:r>
      <w:r>
        <w:rPr>
          <w:color w:val="231F20"/>
          <w:spacing w:val="80"/>
        </w:rPr>
        <w:t> </w:t>
      </w:r>
      <w:r>
        <w:rPr>
          <w:color w:val="231F20"/>
        </w:rPr>
        <w:t>the “event fan” CDFs are included in the computer model. The pro- gram runs many simulations to give you an idea of how things may really turn out. Some Fortune 500 companies use it. Financial plan- ners use it to evaluate long-term returns on investment portfolios.</w:t>
      </w:r>
    </w:p>
    <w:p>
      <w:pPr>
        <w:pStyle w:val="BodyText"/>
        <w:spacing w:line="292" w:lineRule="auto"/>
        <w:ind w:left="919" w:right="663" w:firstLine="340"/>
        <w:jc w:val="both"/>
      </w:pPr>
      <w:r>
        <w:rPr>
          <w:color w:val="231F20"/>
        </w:rPr>
        <w:t>CDF</w:t>
      </w:r>
      <w:r>
        <w:rPr>
          <w:color w:val="231F20"/>
          <w:spacing w:val="40"/>
        </w:rPr>
        <w:t> </w:t>
      </w:r>
      <w:r>
        <w:rPr>
          <w:color w:val="231F20"/>
        </w:rPr>
        <w:t>and</w:t>
      </w:r>
      <w:r>
        <w:rPr>
          <w:color w:val="231F20"/>
          <w:spacing w:val="40"/>
        </w:rPr>
        <w:t> </w:t>
      </w:r>
      <w:r>
        <w:rPr>
          <w:color w:val="231F20"/>
        </w:rPr>
        <w:t>fractile</w:t>
      </w:r>
      <w:r>
        <w:rPr>
          <w:color w:val="231F20"/>
          <w:spacing w:val="40"/>
        </w:rPr>
        <w:t> </w:t>
      </w:r>
      <w:r>
        <w:rPr>
          <w:color w:val="231F20"/>
        </w:rPr>
        <w:t>analysis</w:t>
      </w:r>
      <w:r>
        <w:rPr>
          <w:color w:val="231F20"/>
          <w:spacing w:val="40"/>
        </w:rPr>
        <w:t> </w:t>
      </w:r>
      <w:r>
        <w:rPr>
          <w:color w:val="231F20"/>
        </w:rPr>
        <w:t>can</w:t>
      </w:r>
      <w:r>
        <w:rPr>
          <w:color w:val="231F20"/>
          <w:spacing w:val="40"/>
        </w:rPr>
        <w:t> </w:t>
      </w:r>
      <w:r>
        <w:rPr>
          <w:color w:val="231F20"/>
        </w:rPr>
        <w:t>be</w:t>
      </w:r>
      <w:r>
        <w:rPr>
          <w:color w:val="231F20"/>
          <w:spacing w:val="40"/>
        </w:rPr>
        <w:t> </w:t>
      </w:r>
      <w:r>
        <w:rPr>
          <w:color w:val="231F20"/>
        </w:rPr>
        <w:t>used</w:t>
      </w:r>
      <w:r>
        <w:rPr>
          <w:color w:val="231F20"/>
          <w:spacing w:val="40"/>
        </w:rPr>
        <w:t> </w:t>
      </w:r>
      <w:r>
        <w:rPr>
          <w:color w:val="231F20"/>
        </w:rPr>
        <w:t>for</w:t>
      </w:r>
      <w:r>
        <w:rPr>
          <w:color w:val="231F20"/>
          <w:spacing w:val="40"/>
        </w:rPr>
        <w:t> </w:t>
      </w:r>
      <w:r>
        <w:rPr>
          <w:color w:val="231F20"/>
        </w:rPr>
        <w:t>situations</w:t>
      </w:r>
      <w:r>
        <w:rPr>
          <w:color w:val="231F20"/>
          <w:spacing w:val="40"/>
        </w:rPr>
        <w:t> </w:t>
      </w:r>
      <w:r>
        <w:rPr>
          <w:color w:val="231F20"/>
        </w:rPr>
        <w:t>where</w:t>
      </w:r>
      <w:r>
        <w:rPr>
          <w:color w:val="231F20"/>
          <w:spacing w:val="80"/>
        </w:rPr>
        <w:t> </w:t>
      </w:r>
      <w:r>
        <w:rPr>
          <w:color w:val="231F20"/>
        </w:rPr>
        <w:t>the EMV of a branch of a decision tree is uncertain. However, the judgment of the analyst is most important. The tree is simply a tool that the MBA must use in tandem with his or her knowledge and </w:t>
      </w:r>
      <w:r>
        <w:rPr>
          <w:color w:val="231F20"/>
          <w:spacing w:val="-2"/>
        </w:rPr>
        <w:t>intuition.</w:t>
      </w:r>
    </w:p>
    <w:p>
      <w:pPr>
        <w:pStyle w:val="BodyText"/>
        <w:rPr>
          <w:sz w:val="24"/>
        </w:rPr>
      </w:pPr>
    </w:p>
    <w:p>
      <w:pPr>
        <w:pStyle w:val="BodyText"/>
        <w:spacing w:before="8"/>
        <w:rPr>
          <w:sz w:val="24"/>
        </w:rPr>
      </w:pPr>
    </w:p>
    <w:p>
      <w:pPr>
        <w:pStyle w:val="Heading4"/>
      </w:pPr>
      <w:r>
        <w:rPr>
          <w:color w:val="231F20"/>
          <w:spacing w:val="9"/>
          <w:w w:val="90"/>
        </w:rPr>
        <w:t>REGRESSION</w:t>
      </w:r>
      <w:r>
        <w:rPr>
          <w:color w:val="231F20"/>
          <w:spacing w:val="16"/>
        </w:rPr>
        <w:t> </w:t>
      </w:r>
      <w:r>
        <w:rPr>
          <w:color w:val="231F20"/>
          <w:w w:val="90"/>
        </w:rPr>
        <w:t>ANALYSIS</w:t>
      </w:r>
      <w:r>
        <w:rPr>
          <w:color w:val="231F20"/>
          <w:spacing w:val="17"/>
        </w:rPr>
        <w:t> </w:t>
      </w:r>
      <w:r>
        <w:rPr>
          <w:color w:val="231F20"/>
          <w:w w:val="90"/>
        </w:rPr>
        <w:t>AND</w:t>
      </w:r>
      <w:r>
        <w:rPr>
          <w:color w:val="231F20"/>
          <w:spacing w:val="17"/>
        </w:rPr>
        <w:t> </w:t>
      </w:r>
      <w:r>
        <w:rPr>
          <w:color w:val="231F20"/>
          <w:spacing w:val="9"/>
          <w:w w:val="90"/>
        </w:rPr>
        <w:t>FORECASTING</w:t>
      </w:r>
    </w:p>
    <w:p>
      <w:pPr>
        <w:pStyle w:val="BodyText"/>
        <w:spacing w:before="10"/>
        <w:rPr>
          <w:rFonts w:ascii="Trebuchet MS"/>
          <w:sz w:val="29"/>
        </w:rPr>
      </w:pPr>
    </w:p>
    <w:p>
      <w:pPr>
        <w:pStyle w:val="BodyText"/>
        <w:spacing w:line="292" w:lineRule="auto"/>
        <w:ind w:left="920" w:right="666"/>
        <w:jc w:val="both"/>
      </w:pPr>
      <w:r>
        <w:rPr>
          <w:i/>
          <w:color w:val="231F20"/>
        </w:rPr>
        <w:t>Linear regression </w:t>
      </w:r>
      <w:r>
        <w:rPr>
          <w:color w:val="231F20"/>
        </w:rPr>
        <w:t>models are used in a variety of business </w:t>
      </w:r>
      <w:r>
        <w:rPr>
          <w:color w:val="231F20"/>
        </w:rPr>
        <w:t>situations to</w:t>
      </w:r>
      <w:r>
        <w:rPr>
          <w:color w:val="231F20"/>
          <w:spacing w:val="-9"/>
        </w:rPr>
        <w:t> </w:t>
      </w:r>
      <w:r>
        <w:rPr>
          <w:color w:val="231F20"/>
        </w:rPr>
        <w:t>determine</w:t>
      </w:r>
      <w:r>
        <w:rPr>
          <w:color w:val="231F20"/>
          <w:spacing w:val="-9"/>
        </w:rPr>
        <w:t> </w:t>
      </w:r>
      <w:r>
        <w:rPr>
          <w:color w:val="231F20"/>
        </w:rPr>
        <w:t>relationships</w:t>
      </w:r>
      <w:r>
        <w:rPr>
          <w:color w:val="231F20"/>
          <w:spacing w:val="-9"/>
        </w:rPr>
        <w:t> </w:t>
      </w:r>
      <w:r>
        <w:rPr>
          <w:color w:val="231F20"/>
        </w:rPr>
        <w:t>between</w:t>
      </w:r>
      <w:r>
        <w:rPr>
          <w:color w:val="231F20"/>
          <w:spacing w:val="-9"/>
        </w:rPr>
        <w:t> </w:t>
      </w:r>
      <w:r>
        <w:rPr>
          <w:color w:val="231F20"/>
        </w:rPr>
        <w:t>variables</w:t>
      </w:r>
      <w:r>
        <w:rPr>
          <w:color w:val="231F20"/>
          <w:spacing w:val="-9"/>
        </w:rPr>
        <w:t> </w:t>
      </w:r>
      <w:r>
        <w:rPr>
          <w:color w:val="231F20"/>
        </w:rPr>
        <w:t>that</w:t>
      </w:r>
      <w:r>
        <w:rPr>
          <w:color w:val="231F20"/>
          <w:spacing w:val="-9"/>
        </w:rPr>
        <w:t> </w:t>
      </w:r>
      <w:r>
        <w:rPr>
          <w:color w:val="231F20"/>
        </w:rPr>
        <w:t>analysts</w:t>
      </w:r>
      <w:r>
        <w:rPr>
          <w:color w:val="231F20"/>
          <w:spacing w:val="-9"/>
        </w:rPr>
        <w:t> </w:t>
      </w:r>
      <w:r>
        <w:rPr>
          <w:color w:val="231F20"/>
        </w:rPr>
        <w:t>believe</w:t>
      </w:r>
      <w:r>
        <w:rPr>
          <w:color w:val="231F20"/>
          <w:spacing w:val="-9"/>
        </w:rPr>
        <w:t> </w:t>
      </w:r>
      <w:r>
        <w:rPr>
          <w:color w:val="231F20"/>
        </w:rPr>
        <w:t>in- tuitively to be related. Once a relationship is established, it can be used to forecast the future. Commonly regression analysis is used to relate sales to price, promotions, and market factors; stock prices to earnings and interest rates; and production costs to production vol- umes. But of course one can use it as well to find answers to ques- tions such as “What is the effect of temperature on the sales of ice cream cones?” The </w:t>
      </w:r>
      <w:r>
        <w:rPr>
          <w:i/>
          <w:color w:val="231F20"/>
        </w:rPr>
        <w:t>independent variable </w:t>
      </w:r>
      <w:r>
        <w:rPr>
          <w:color w:val="231F20"/>
        </w:rPr>
        <w:t>(X) in this scenario is the temperature. It is the variable that is believed to cause other things</w:t>
      </w:r>
      <w:r>
        <w:rPr>
          <w:color w:val="231F20"/>
          <w:spacing w:val="40"/>
        </w:rPr>
        <w:t> </w:t>
      </w:r>
      <w:r>
        <w:rPr>
          <w:color w:val="231F20"/>
        </w:rPr>
        <w:t>to happen. The </w:t>
      </w:r>
      <w:r>
        <w:rPr>
          <w:i/>
          <w:color w:val="231F20"/>
        </w:rPr>
        <w:t>dependent variable </w:t>
      </w:r>
      <w:r>
        <w:rPr>
          <w:color w:val="231F20"/>
        </w:rPr>
        <w:t>(Y) is sales. Temperature affects sales, not vice versa.</w:t>
      </w:r>
    </w:p>
    <w:p>
      <w:pPr>
        <w:spacing w:after="0" w:line="292" w:lineRule="auto"/>
        <w:jc w:val="both"/>
        <w:sectPr>
          <w:pgSz w:w="8640" w:h="12960"/>
          <w:pgMar w:header="734" w:footer="0" w:top="920" w:bottom="280" w:left="340" w:right="500"/>
        </w:sectPr>
      </w:pPr>
    </w:p>
    <w:p>
      <w:pPr>
        <w:pStyle w:val="BodyText"/>
        <w:spacing w:before="10"/>
        <w:rPr>
          <w:sz w:val="19"/>
        </w:rPr>
      </w:pPr>
    </w:p>
    <w:p>
      <w:pPr>
        <w:spacing w:before="96"/>
        <w:ind w:left="293" w:right="219" w:firstLine="0"/>
        <w:jc w:val="center"/>
        <w:rPr>
          <w:rFonts w:ascii="Arial"/>
          <w:sz w:val="14"/>
        </w:rPr>
      </w:pPr>
      <w:r>
        <w:rPr>
          <w:rFonts w:ascii="Arial"/>
          <w:color w:val="231F20"/>
          <w:w w:val="105"/>
          <w:sz w:val="14"/>
        </w:rPr>
        <w:t>CUMULATIVE</w:t>
      </w:r>
      <w:r>
        <w:rPr>
          <w:rFonts w:ascii="Arial"/>
          <w:color w:val="231F20"/>
          <w:spacing w:val="36"/>
          <w:w w:val="105"/>
          <w:sz w:val="14"/>
        </w:rPr>
        <w:t> </w:t>
      </w:r>
      <w:r>
        <w:rPr>
          <w:rFonts w:ascii="Arial"/>
          <w:color w:val="231F20"/>
          <w:w w:val="105"/>
          <w:sz w:val="14"/>
        </w:rPr>
        <w:t>DENSITY</w:t>
      </w:r>
      <w:r>
        <w:rPr>
          <w:rFonts w:ascii="Arial"/>
          <w:color w:val="231F20"/>
          <w:spacing w:val="37"/>
          <w:w w:val="105"/>
          <w:sz w:val="14"/>
        </w:rPr>
        <w:t> </w:t>
      </w:r>
      <w:r>
        <w:rPr>
          <w:rFonts w:ascii="Arial"/>
          <w:color w:val="231F20"/>
          <w:spacing w:val="-2"/>
          <w:w w:val="105"/>
          <w:sz w:val="14"/>
        </w:rPr>
        <w:t>FUNCTION</w:t>
      </w:r>
    </w:p>
    <w:p>
      <w:pPr>
        <w:spacing w:line="357" w:lineRule="auto" w:before="79"/>
        <w:ind w:left="2548" w:right="2475" w:firstLine="0"/>
        <w:jc w:val="center"/>
        <w:rPr>
          <w:rFonts w:ascii="Arial"/>
          <w:sz w:val="14"/>
        </w:rPr>
      </w:pPr>
      <w:r>
        <w:rPr>
          <w:rFonts w:ascii="Arial"/>
          <w:color w:val="231F20"/>
          <w:w w:val="110"/>
          <w:sz w:val="14"/>
        </w:rPr>
        <w:t>Values</w:t>
      </w:r>
      <w:r>
        <w:rPr>
          <w:rFonts w:ascii="Arial"/>
          <w:color w:val="231F20"/>
          <w:spacing w:val="-4"/>
          <w:w w:val="110"/>
          <w:sz w:val="14"/>
        </w:rPr>
        <w:t> </w:t>
      </w:r>
      <w:r>
        <w:rPr>
          <w:rFonts w:ascii="Arial"/>
          <w:color w:val="231F20"/>
          <w:w w:val="110"/>
          <w:sz w:val="14"/>
        </w:rPr>
        <w:t>of</w:t>
      </w:r>
      <w:r>
        <w:rPr>
          <w:rFonts w:ascii="Arial"/>
          <w:color w:val="231F20"/>
          <w:spacing w:val="-4"/>
          <w:w w:val="110"/>
          <w:sz w:val="14"/>
        </w:rPr>
        <w:t> </w:t>
      </w:r>
      <w:r>
        <w:rPr>
          <w:rFonts w:ascii="Arial"/>
          <w:color w:val="231F20"/>
          <w:w w:val="110"/>
          <w:sz w:val="14"/>
        </w:rPr>
        <w:t>Possible</w:t>
      </w:r>
      <w:r>
        <w:rPr>
          <w:rFonts w:ascii="Arial"/>
          <w:color w:val="231F20"/>
          <w:spacing w:val="-4"/>
          <w:w w:val="110"/>
          <w:sz w:val="14"/>
        </w:rPr>
        <w:t> </w:t>
      </w:r>
      <w:r>
        <w:rPr>
          <w:rFonts w:ascii="Arial"/>
          <w:color w:val="231F20"/>
          <w:w w:val="110"/>
          <w:sz w:val="14"/>
        </w:rPr>
        <w:t>Oil</w:t>
      </w:r>
      <w:r>
        <w:rPr>
          <w:rFonts w:ascii="Arial"/>
          <w:color w:val="231F20"/>
          <w:spacing w:val="-4"/>
          <w:w w:val="110"/>
          <w:sz w:val="14"/>
        </w:rPr>
        <w:t> </w:t>
      </w:r>
      <w:r>
        <w:rPr>
          <w:rFonts w:ascii="Arial"/>
          <w:color w:val="231F20"/>
          <w:w w:val="110"/>
          <w:sz w:val="14"/>
        </w:rPr>
        <w:t>Drilling</w:t>
      </w:r>
      <w:r>
        <w:rPr>
          <w:rFonts w:ascii="Arial"/>
          <w:color w:val="231F20"/>
          <w:spacing w:val="-4"/>
          <w:w w:val="110"/>
          <w:sz w:val="14"/>
        </w:rPr>
        <w:t> </w:t>
      </w:r>
      <w:r>
        <w:rPr>
          <w:rFonts w:ascii="Arial"/>
          <w:color w:val="231F20"/>
          <w:w w:val="110"/>
          <w:sz w:val="14"/>
        </w:rPr>
        <w:t>Outcomes (in thousands of $s)</w:t>
      </w:r>
    </w:p>
    <w:p>
      <w:pPr>
        <w:pStyle w:val="BodyText"/>
        <w:rPr>
          <w:rFonts w:ascii="Arial"/>
          <w:sz w:val="8"/>
        </w:rPr>
      </w:pPr>
      <w:r>
        <w:rPr/>
        <w:drawing>
          <wp:anchor distT="0" distB="0" distL="0" distR="0" allowOverlap="1" layoutInCell="1" locked="0" behindDoc="0" simplePos="0" relativeHeight="220">
            <wp:simplePos x="0" y="0"/>
            <wp:positionH relativeFrom="page">
              <wp:posOffset>740937</wp:posOffset>
            </wp:positionH>
            <wp:positionV relativeFrom="paragraph">
              <wp:posOffset>73782</wp:posOffset>
            </wp:positionV>
            <wp:extent cx="4015962" cy="2694431"/>
            <wp:effectExtent l="0" t="0" r="0" b="0"/>
            <wp:wrapTopAndBottom/>
            <wp:docPr id="87" name="image51.png"/>
            <wp:cNvGraphicFramePr>
              <a:graphicFrameLocks noChangeAspect="1"/>
            </wp:cNvGraphicFramePr>
            <a:graphic>
              <a:graphicData uri="http://schemas.openxmlformats.org/drawingml/2006/picture">
                <pic:pic>
                  <pic:nvPicPr>
                    <pic:cNvPr id="88" name="image51.png"/>
                    <pic:cNvPicPr/>
                  </pic:nvPicPr>
                  <pic:blipFill>
                    <a:blip r:embed="rId76" cstate="print"/>
                    <a:stretch>
                      <a:fillRect/>
                    </a:stretch>
                  </pic:blipFill>
                  <pic:spPr>
                    <a:xfrm>
                      <a:off x="0" y="0"/>
                      <a:ext cx="4015962" cy="2694431"/>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pStyle w:val="BodyText"/>
        <w:spacing w:line="292" w:lineRule="auto" w:before="120"/>
        <w:ind w:left="830" w:right="753" w:firstLine="340"/>
        <w:jc w:val="both"/>
      </w:pPr>
      <w:r>
        <w:rPr>
          <w:color w:val="231F20"/>
          <w:w w:val="105"/>
        </w:rPr>
        <w:t>Regression</w:t>
      </w:r>
      <w:r>
        <w:rPr>
          <w:color w:val="231F20"/>
          <w:spacing w:val="-8"/>
          <w:w w:val="105"/>
        </w:rPr>
        <w:t> </w:t>
      </w:r>
      <w:r>
        <w:rPr>
          <w:color w:val="231F20"/>
          <w:w w:val="105"/>
        </w:rPr>
        <w:t>analysis</w:t>
      </w:r>
      <w:r>
        <w:rPr>
          <w:color w:val="231F20"/>
          <w:spacing w:val="-8"/>
          <w:w w:val="105"/>
        </w:rPr>
        <w:t> </w:t>
      </w:r>
      <w:r>
        <w:rPr>
          <w:color w:val="231F20"/>
          <w:w w:val="105"/>
        </w:rPr>
        <w:t>involves</w:t>
      </w:r>
      <w:r>
        <w:rPr>
          <w:color w:val="231F20"/>
          <w:spacing w:val="-8"/>
          <w:w w:val="105"/>
        </w:rPr>
        <w:t> </w:t>
      </w:r>
      <w:r>
        <w:rPr>
          <w:color w:val="231F20"/>
          <w:w w:val="105"/>
        </w:rPr>
        <w:t>gathering</w:t>
      </w:r>
      <w:r>
        <w:rPr>
          <w:color w:val="231F20"/>
          <w:spacing w:val="-8"/>
          <w:w w:val="105"/>
        </w:rPr>
        <w:t> </w:t>
      </w:r>
      <w:r>
        <w:rPr>
          <w:color w:val="231F20"/>
          <w:w w:val="105"/>
        </w:rPr>
        <w:t>sufficient</w:t>
      </w:r>
      <w:r>
        <w:rPr>
          <w:color w:val="231F20"/>
          <w:spacing w:val="-8"/>
          <w:w w:val="105"/>
        </w:rPr>
        <w:t> </w:t>
      </w:r>
      <w:r>
        <w:rPr>
          <w:color w:val="231F20"/>
          <w:w w:val="105"/>
        </w:rPr>
        <w:t>data</w:t>
      </w:r>
      <w:r>
        <w:rPr>
          <w:color w:val="231F20"/>
          <w:spacing w:val="-8"/>
          <w:w w:val="105"/>
        </w:rPr>
        <w:t> </w:t>
      </w:r>
      <w:r>
        <w:rPr>
          <w:color w:val="231F20"/>
          <w:w w:val="105"/>
        </w:rPr>
        <w:t>to</w:t>
      </w:r>
      <w:r>
        <w:rPr>
          <w:color w:val="231F20"/>
          <w:spacing w:val="-8"/>
          <w:w w:val="105"/>
        </w:rPr>
        <w:t> </w:t>
      </w:r>
      <w:r>
        <w:rPr>
          <w:color w:val="231F20"/>
          <w:w w:val="105"/>
        </w:rPr>
        <w:t>deter- </w:t>
      </w:r>
      <w:r>
        <w:rPr>
          <w:color w:val="231F20"/>
        </w:rPr>
        <w:t>mine the relationship between the variables. With many data points, </w:t>
      </w:r>
      <w:r>
        <w:rPr>
          <w:color w:val="231F20"/>
          <w:w w:val="105"/>
        </w:rPr>
        <w:t>such</w:t>
      </w:r>
      <w:r>
        <w:rPr>
          <w:color w:val="231F20"/>
          <w:w w:val="105"/>
        </w:rPr>
        <w:t> as</w:t>
      </w:r>
      <w:r>
        <w:rPr>
          <w:color w:val="231F20"/>
          <w:w w:val="105"/>
        </w:rPr>
        <w:t> year’s</w:t>
      </w:r>
      <w:r>
        <w:rPr>
          <w:color w:val="231F20"/>
          <w:w w:val="105"/>
        </w:rPr>
        <w:t> worth</w:t>
      </w:r>
      <w:r>
        <w:rPr>
          <w:color w:val="231F20"/>
          <w:w w:val="105"/>
        </w:rPr>
        <w:t> of</w:t>
      </w:r>
      <w:r>
        <w:rPr>
          <w:color w:val="231F20"/>
          <w:w w:val="105"/>
        </w:rPr>
        <w:t> information</w:t>
      </w:r>
      <w:r>
        <w:rPr>
          <w:color w:val="231F20"/>
          <w:w w:val="105"/>
        </w:rPr>
        <w:t> on</w:t>
      </w:r>
      <w:r>
        <w:rPr>
          <w:color w:val="231F20"/>
          <w:w w:val="105"/>
        </w:rPr>
        <w:t> temperature</w:t>
      </w:r>
      <w:r>
        <w:rPr>
          <w:color w:val="231F20"/>
          <w:w w:val="105"/>
        </w:rPr>
        <w:t> and</w:t>
      </w:r>
      <w:r>
        <w:rPr>
          <w:color w:val="231F20"/>
          <w:w w:val="105"/>
        </w:rPr>
        <w:t> sales changes,</w:t>
      </w:r>
      <w:r>
        <w:rPr>
          <w:color w:val="231F20"/>
          <w:w w:val="105"/>
        </w:rPr>
        <w:t> a</w:t>
      </w:r>
      <w:r>
        <w:rPr>
          <w:color w:val="231F20"/>
          <w:w w:val="105"/>
        </w:rPr>
        <w:t> graph</w:t>
      </w:r>
      <w:r>
        <w:rPr>
          <w:color w:val="231F20"/>
          <w:w w:val="105"/>
        </w:rPr>
        <w:t> can</w:t>
      </w:r>
      <w:r>
        <w:rPr>
          <w:color w:val="231F20"/>
          <w:w w:val="105"/>
        </w:rPr>
        <w:t> be</w:t>
      </w:r>
      <w:r>
        <w:rPr>
          <w:color w:val="231F20"/>
          <w:w w:val="105"/>
        </w:rPr>
        <w:t> drawn</w:t>
      </w:r>
      <w:r>
        <w:rPr>
          <w:color w:val="231F20"/>
          <w:w w:val="105"/>
        </w:rPr>
        <w:t> with</w:t>
      </w:r>
      <w:r>
        <w:rPr>
          <w:color w:val="231F20"/>
          <w:w w:val="105"/>
        </w:rPr>
        <w:t> temperature</w:t>
      </w:r>
      <w:r>
        <w:rPr>
          <w:color w:val="231F20"/>
          <w:w w:val="105"/>
        </w:rPr>
        <w:t> along</w:t>
      </w:r>
      <w:r>
        <w:rPr>
          <w:color w:val="231F20"/>
          <w:w w:val="105"/>
        </w:rPr>
        <w:t> the</w:t>
      </w:r>
      <w:r>
        <w:rPr>
          <w:color w:val="231F20"/>
          <w:w w:val="105"/>
        </w:rPr>
        <w:t> </w:t>
      </w:r>
      <w:r>
        <w:rPr>
          <w:color w:val="231F20"/>
          <w:w w:val="110"/>
        </w:rPr>
        <w:t>X</w:t>
      </w:r>
      <w:r>
        <w:rPr>
          <w:color w:val="231F20"/>
          <w:w w:val="110"/>
        </w:rPr>
        <w:t> </w:t>
      </w:r>
      <w:r>
        <w:rPr>
          <w:color w:val="231F20"/>
          <w:w w:val="105"/>
        </w:rPr>
        <w:t>axis and</w:t>
      </w:r>
      <w:r>
        <w:rPr>
          <w:color w:val="231F20"/>
          <w:w w:val="105"/>
        </w:rPr>
        <w:t> sales</w:t>
      </w:r>
      <w:r>
        <w:rPr>
          <w:color w:val="231F20"/>
          <w:w w:val="105"/>
        </w:rPr>
        <w:t> along</w:t>
      </w:r>
      <w:r>
        <w:rPr>
          <w:color w:val="231F20"/>
          <w:w w:val="105"/>
        </w:rPr>
        <w:t> the</w:t>
      </w:r>
      <w:r>
        <w:rPr>
          <w:color w:val="231F20"/>
          <w:w w:val="105"/>
        </w:rPr>
        <w:t> Y</w:t>
      </w:r>
      <w:r>
        <w:rPr>
          <w:color w:val="231F20"/>
          <w:w w:val="105"/>
        </w:rPr>
        <w:t> axis.</w:t>
      </w:r>
      <w:r>
        <w:rPr>
          <w:color w:val="231F20"/>
          <w:w w:val="105"/>
        </w:rPr>
        <w:t> The</w:t>
      </w:r>
      <w:r>
        <w:rPr>
          <w:color w:val="231F20"/>
          <w:w w:val="105"/>
        </w:rPr>
        <w:t> goal</w:t>
      </w:r>
      <w:r>
        <w:rPr>
          <w:color w:val="231F20"/>
          <w:w w:val="105"/>
        </w:rPr>
        <w:t> of</w:t>
      </w:r>
      <w:r>
        <w:rPr>
          <w:color w:val="231F20"/>
          <w:w w:val="105"/>
        </w:rPr>
        <w:t> regression</w:t>
      </w:r>
      <w:r>
        <w:rPr>
          <w:color w:val="231F20"/>
          <w:w w:val="105"/>
        </w:rPr>
        <w:t> is</w:t>
      </w:r>
      <w:r>
        <w:rPr>
          <w:color w:val="231F20"/>
          <w:w w:val="105"/>
        </w:rPr>
        <w:t> to</w:t>
      </w:r>
      <w:r>
        <w:rPr>
          <w:color w:val="231F20"/>
          <w:w w:val="105"/>
        </w:rPr>
        <w:t> produce</w:t>
      </w:r>
      <w:r>
        <w:rPr>
          <w:color w:val="231F20"/>
          <w:w w:val="105"/>
        </w:rPr>
        <w:t> an equation</w:t>
      </w:r>
      <w:r>
        <w:rPr>
          <w:color w:val="231F20"/>
          <w:w w:val="105"/>
        </w:rPr>
        <w:t> of</w:t>
      </w:r>
      <w:r>
        <w:rPr>
          <w:color w:val="231F20"/>
          <w:w w:val="105"/>
        </w:rPr>
        <w:t> a</w:t>
      </w:r>
      <w:r>
        <w:rPr>
          <w:color w:val="231F20"/>
          <w:w w:val="105"/>
        </w:rPr>
        <w:t> line</w:t>
      </w:r>
      <w:r>
        <w:rPr>
          <w:color w:val="231F20"/>
          <w:w w:val="105"/>
        </w:rPr>
        <w:t> that</w:t>
      </w:r>
      <w:r>
        <w:rPr>
          <w:color w:val="231F20"/>
          <w:w w:val="105"/>
        </w:rPr>
        <w:t> “best”</w:t>
      </w:r>
      <w:r>
        <w:rPr>
          <w:color w:val="231F20"/>
          <w:w w:val="105"/>
        </w:rPr>
        <w:t> depicts</w:t>
      </w:r>
      <w:r>
        <w:rPr>
          <w:color w:val="231F20"/>
          <w:w w:val="105"/>
        </w:rPr>
        <w:t> this</w:t>
      </w:r>
      <w:r>
        <w:rPr>
          <w:color w:val="231F20"/>
          <w:w w:val="105"/>
        </w:rPr>
        <w:t> relationship.</w:t>
      </w:r>
      <w:r>
        <w:rPr>
          <w:color w:val="231F20"/>
          <w:w w:val="105"/>
        </w:rPr>
        <w:t> Regression tries</w:t>
      </w:r>
      <w:r>
        <w:rPr>
          <w:color w:val="231F20"/>
          <w:w w:val="105"/>
        </w:rPr>
        <w:t> to</w:t>
      </w:r>
      <w:r>
        <w:rPr>
          <w:color w:val="231F20"/>
          <w:w w:val="105"/>
        </w:rPr>
        <w:t> “fit”</w:t>
      </w:r>
      <w:r>
        <w:rPr>
          <w:color w:val="231F20"/>
          <w:w w:val="105"/>
        </w:rPr>
        <w:t> a</w:t>
      </w:r>
      <w:r>
        <w:rPr>
          <w:color w:val="231F20"/>
          <w:w w:val="105"/>
        </w:rPr>
        <w:t> line</w:t>
      </w:r>
      <w:r>
        <w:rPr>
          <w:color w:val="231F20"/>
          <w:w w:val="105"/>
        </w:rPr>
        <w:t> between</w:t>
      </w:r>
      <w:r>
        <w:rPr>
          <w:color w:val="231F20"/>
          <w:w w:val="105"/>
        </w:rPr>
        <w:t> the</w:t>
      </w:r>
      <w:r>
        <w:rPr>
          <w:color w:val="231F20"/>
          <w:w w:val="105"/>
        </w:rPr>
        <w:t> plotted</w:t>
      </w:r>
      <w:r>
        <w:rPr>
          <w:color w:val="231F20"/>
          <w:w w:val="105"/>
        </w:rPr>
        <w:t> data</w:t>
      </w:r>
      <w:r>
        <w:rPr>
          <w:color w:val="231F20"/>
          <w:w w:val="105"/>
        </w:rPr>
        <w:t> points</w:t>
      </w:r>
      <w:r>
        <w:rPr>
          <w:color w:val="231F20"/>
          <w:w w:val="105"/>
        </w:rPr>
        <w:t> so</w:t>
      </w:r>
      <w:r>
        <w:rPr>
          <w:color w:val="231F20"/>
          <w:w w:val="105"/>
        </w:rPr>
        <w:t> that</w:t>
      </w:r>
      <w:r>
        <w:rPr>
          <w:color w:val="231F20"/>
          <w:w w:val="105"/>
        </w:rPr>
        <w:t> the </w:t>
      </w:r>
      <w:r>
        <w:rPr>
          <w:color w:val="231F20"/>
          <w:spacing w:val="-2"/>
          <w:w w:val="105"/>
        </w:rPr>
        <w:t>“squared</w:t>
      </w:r>
      <w:r>
        <w:rPr>
          <w:color w:val="231F20"/>
          <w:spacing w:val="-5"/>
          <w:w w:val="105"/>
        </w:rPr>
        <w:t> </w:t>
      </w:r>
      <w:r>
        <w:rPr>
          <w:color w:val="231F20"/>
          <w:spacing w:val="-2"/>
          <w:w w:val="105"/>
        </w:rPr>
        <w:t>differences</w:t>
      </w:r>
      <w:r>
        <w:rPr>
          <w:color w:val="231F20"/>
          <w:spacing w:val="-5"/>
          <w:w w:val="105"/>
        </w:rPr>
        <w:t> </w:t>
      </w:r>
      <w:r>
        <w:rPr>
          <w:color w:val="231F20"/>
          <w:spacing w:val="-2"/>
          <w:w w:val="105"/>
        </w:rPr>
        <w:t>between</w:t>
      </w:r>
      <w:r>
        <w:rPr>
          <w:color w:val="231F20"/>
          <w:spacing w:val="-5"/>
          <w:w w:val="105"/>
        </w:rPr>
        <w:t> </w:t>
      </w:r>
      <w:r>
        <w:rPr>
          <w:color w:val="231F20"/>
          <w:spacing w:val="-2"/>
          <w:w w:val="105"/>
        </w:rPr>
        <w:t>the</w:t>
      </w:r>
      <w:r>
        <w:rPr>
          <w:color w:val="231F20"/>
          <w:spacing w:val="-5"/>
          <w:w w:val="105"/>
        </w:rPr>
        <w:t> </w:t>
      </w:r>
      <w:r>
        <w:rPr>
          <w:color w:val="231F20"/>
          <w:spacing w:val="-2"/>
          <w:w w:val="105"/>
        </w:rPr>
        <w:t>points</w:t>
      </w:r>
      <w:r>
        <w:rPr>
          <w:color w:val="231F20"/>
          <w:spacing w:val="-5"/>
          <w:w w:val="105"/>
        </w:rPr>
        <w:t> </w:t>
      </w:r>
      <w:r>
        <w:rPr>
          <w:color w:val="231F20"/>
          <w:spacing w:val="-2"/>
          <w:w w:val="105"/>
        </w:rPr>
        <w:t>and</w:t>
      </w:r>
      <w:r>
        <w:rPr>
          <w:color w:val="231F20"/>
          <w:spacing w:val="-5"/>
          <w:w w:val="105"/>
        </w:rPr>
        <w:t> </w:t>
      </w:r>
      <w:r>
        <w:rPr>
          <w:color w:val="231F20"/>
          <w:spacing w:val="-2"/>
          <w:w w:val="105"/>
        </w:rPr>
        <w:t>the</w:t>
      </w:r>
      <w:r>
        <w:rPr>
          <w:color w:val="231F20"/>
          <w:spacing w:val="-5"/>
          <w:w w:val="105"/>
        </w:rPr>
        <w:t> </w:t>
      </w:r>
      <w:r>
        <w:rPr>
          <w:color w:val="231F20"/>
          <w:spacing w:val="-2"/>
          <w:w w:val="105"/>
        </w:rPr>
        <w:t>line</w:t>
      </w:r>
      <w:r>
        <w:rPr>
          <w:color w:val="231F20"/>
          <w:spacing w:val="-5"/>
          <w:w w:val="105"/>
        </w:rPr>
        <w:t> </w:t>
      </w:r>
      <w:r>
        <w:rPr>
          <w:color w:val="231F20"/>
          <w:spacing w:val="-2"/>
          <w:w w:val="105"/>
        </w:rPr>
        <w:t>are</w:t>
      </w:r>
      <w:r>
        <w:rPr>
          <w:color w:val="231F20"/>
          <w:spacing w:val="-5"/>
          <w:w w:val="105"/>
        </w:rPr>
        <w:t> </w:t>
      </w:r>
      <w:r>
        <w:rPr>
          <w:color w:val="231F20"/>
          <w:spacing w:val="-2"/>
          <w:w w:val="105"/>
        </w:rPr>
        <w:t>least.”</w:t>
      </w:r>
      <w:r>
        <w:rPr>
          <w:color w:val="231F20"/>
          <w:spacing w:val="-5"/>
          <w:w w:val="105"/>
        </w:rPr>
        <w:t> </w:t>
      </w:r>
      <w:r>
        <w:rPr>
          <w:color w:val="231F20"/>
          <w:spacing w:val="-2"/>
          <w:w w:val="105"/>
        </w:rPr>
        <w:t>The </w:t>
      </w:r>
      <w:r>
        <w:rPr>
          <w:i/>
          <w:color w:val="231F20"/>
          <w:w w:val="105"/>
        </w:rPr>
        <w:t>least</w:t>
      </w:r>
      <w:r>
        <w:rPr>
          <w:i/>
          <w:color w:val="231F20"/>
          <w:w w:val="105"/>
        </w:rPr>
        <w:t> squares</w:t>
      </w:r>
      <w:r>
        <w:rPr>
          <w:i/>
          <w:color w:val="231F20"/>
          <w:w w:val="105"/>
        </w:rPr>
        <w:t> method</w:t>
      </w:r>
      <w:r>
        <w:rPr>
          <w:i/>
          <w:color w:val="231F20"/>
          <w:w w:val="105"/>
        </w:rPr>
        <w:t> </w:t>
      </w:r>
      <w:r>
        <w:rPr>
          <w:color w:val="231F20"/>
          <w:w w:val="105"/>
        </w:rPr>
        <w:t>requires</w:t>
      </w:r>
      <w:r>
        <w:rPr>
          <w:color w:val="231F20"/>
          <w:w w:val="105"/>
        </w:rPr>
        <w:t> a</w:t>
      </w:r>
      <w:r>
        <w:rPr>
          <w:color w:val="231F20"/>
          <w:w w:val="105"/>
        </w:rPr>
        <w:t> great</w:t>
      </w:r>
      <w:r>
        <w:rPr>
          <w:color w:val="231F20"/>
          <w:w w:val="105"/>
        </w:rPr>
        <w:t> deal</w:t>
      </w:r>
      <w:r>
        <w:rPr>
          <w:color w:val="231F20"/>
          <w:w w:val="105"/>
        </w:rPr>
        <w:t> of</w:t>
      </w:r>
      <w:r>
        <w:rPr>
          <w:color w:val="231F20"/>
          <w:w w:val="105"/>
        </w:rPr>
        <w:t> adding,</w:t>
      </w:r>
      <w:r>
        <w:rPr>
          <w:color w:val="231F20"/>
          <w:w w:val="105"/>
        </w:rPr>
        <w:t> subtracting, </w:t>
      </w:r>
      <w:r>
        <w:rPr>
          <w:color w:val="231F20"/>
        </w:rPr>
        <w:t>and multiplying. A business calculator or computer spreadsheet pro- </w:t>
      </w:r>
      <w:r>
        <w:rPr>
          <w:color w:val="231F20"/>
          <w:w w:val="105"/>
        </w:rPr>
        <w:t>gram will be necessary.</w:t>
      </w:r>
    </w:p>
    <w:p>
      <w:pPr>
        <w:pStyle w:val="BodyText"/>
        <w:rPr>
          <w:sz w:val="24"/>
        </w:rPr>
      </w:pPr>
    </w:p>
    <w:p>
      <w:pPr>
        <w:pStyle w:val="BodyText"/>
        <w:spacing w:before="10"/>
        <w:rPr>
          <w:sz w:val="26"/>
        </w:rPr>
      </w:pPr>
    </w:p>
    <w:p>
      <w:pPr>
        <w:pStyle w:val="Heading6"/>
        <w:ind w:left="299"/>
        <w:rPr>
          <w:i/>
        </w:rPr>
      </w:pPr>
      <w:r>
        <w:rPr>
          <w:i/>
          <w:color w:val="231F20"/>
          <w:w w:val="110"/>
        </w:rPr>
        <w:t>AN</w:t>
      </w:r>
      <w:r>
        <w:rPr>
          <w:i/>
          <w:color w:val="231F20"/>
          <w:spacing w:val="70"/>
          <w:w w:val="110"/>
        </w:rPr>
        <w:t> </w:t>
      </w:r>
      <w:r>
        <w:rPr>
          <w:i/>
          <w:color w:val="231F20"/>
          <w:w w:val="110"/>
        </w:rPr>
        <w:t>ALGEBRA</w:t>
      </w:r>
      <w:r>
        <w:rPr>
          <w:i/>
          <w:color w:val="231F20"/>
          <w:spacing w:val="70"/>
          <w:w w:val="110"/>
        </w:rPr>
        <w:t> </w:t>
      </w:r>
      <w:r>
        <w:rPr>
          <w:i/>
          <w:color w:val="231F20"/>
          <w:w w:val="110"/>
        </w:rPr>
        <w:t>REFRESHER</w:t>
      </w:r>
      <w:r>
        <w:rPr>
          <w:i/>
          <w:color w:val="231F20"/>
          <w:spacing w:val="71"/>
          <w:w w:val="110"/>
        </w:rPr>
        <w:t> </w:t>
      </w:r>
      <w:r>
        <w:rPr>
          <w:i/>
          <w:color w:val="231F20"/>
          <w:spacing w:val="8"/>
          <w:w w:val="110"/>
        </w:rPr>
        <w:t>COURSE</w:t>
      </w:r>
    </w:p>
    <w:p>
      <w:pPr>
        <w:pStyle w:val="BodyText"/>
        <w:spacing w:before="2"/>
        <w:rPr>
          <w:b/>
          <w:i/>
          <w:sz w:val="30"/>
        </w:rPr>
      </w:pPr>
    </w:p>
    <w:p>
      <w:pPr>
        <w:pStyle w:val="BodyText"/>
        <w:spacing w:line="292" w:lineRule="auto"/>
        <w:ind w:left="830" w:right="667"/>
      </w:pPr>
      <w:r>
        <w:rPr>
          <w:color w:val="231F20"/>
        </w:rPr>
        <w:t>To set the stage for a </w:t>
      </w:r>
      <w:r>
        <w:rPr>
          <w:i/>
          <w:color w:val="231F20"/>
        </w:rPr>
        <w:t>regression </w:t>
      </w:r>
      <w:r>
        <w:rPr>
          <w:color w:val="231F20"/>
        </w:rPr>
        <w:t>example, let’s review some basic </w:t>
      </w:r>
      <w:r>
        <w:rPr>
          <w:color w:val="231F20"/>
        </w:rPr>
        <w:t>al- gebra. You recall that a line is described by this algebraic formula:</w:t>
      </w:r>
    </w:p>
    <w:p>
      <w:pPr>
        <w:spacing w:after="0" w:line="292" w:lineRule="auto"/>
        <w:sectPr>
          <w:pgSz w:w="8640" w:h="12960"/>
          <w:pgMar w:header="732" w:footer="0" w:top="920" w:bottom="280" w:left="340" w:right="500"/>
        </w:sectPr>
      </w:pPr>
    </w:p>
    <w:p>
      <w:pPr>
        <w:pStyle w:val="BodyText"/>
        <w:spacing w:before="8"/>
        <w:rPr>
          <w:sz w:val="19"/>
        </w:rPr>
      </w:pPr>
    </w:p>
    <w:p>
      <w:pPr>
        <w:spacing w:line="357" w:lineRule="auto" w:before="96"/>
        <w:ind w:left="2536" w:right="1742" w:hanging="206"/>
        <w:jc w:val="left"/>
        <w:rPr>
          <w:rFonts w:ascii="Arial"/>
          <w:sz w:val="14"/>
        </w:rPr>
      </w:pPr>
      <w:r>
        <w:rPr/>
        <w:pict>
          <v:group style="position:absolute;margin-left:88.212997pt;margin-top:41.900284pt;width:177.9pt;height:139.9pt;mso-position-horizontal-relative:page;mso-position-vertical-relative:paragraph;z-index:-25116160" id="docshapegroup323" coordorigin="1764,838" coordsize="3558,2798">
            <v:line style="position:absolute" from="2032,2837" to="5312,847" stroked="true" strokeweight=".89pt" strokecolor="#231f20">
              <v:stroke dashstyle="solid"/>
            </v:line>
            <v:shape style="position:absolute;left:1764;top:2797;width:350;height:350" type="#_x0000_t75" id="docshape324" stroked="false">
              <v:imagedata r:id="rId77" o:title=""/>
            </v:shape>
            <v:shape style="position:absolute;left:3114;top:2031;width:338;height:338" type="#_x0000_t75" id="docshape325" stroked="false">
              <v:imagedata r:id="rId78" o:title=""/>
            </v:shape>
            <v:shape style="position:absolute;left:2050;top:3089;width:1357;height:537" id="docshape326" coordorigin="2051,3090" coordsize="1357,537" path="m2051,3090l3407,3626e" filled="true" fillcolor="#ffffff" stroked="false">
              <v:path arrowok="t"/>
              <v:fill type="solid"/>
            </v:shape>
            <v:line style="position:absolute" from="2051,3090" to="3407,3626" stroked="true" strokeweight=".89pt" strokecolor="#231f20">
              <v:stroke dashstyle="solid"/>
            </v:line>
            <v:shape style="position:absolute;left:3334;top:2354;width:1924;height:1158" id="docshape327" coordorigin="3335,2354" coordsize="1924,1158" path="m3335,2354l5258,3512e" filled="true" fillcolor="#ffffff" stroked="false">
              <v:path arrowok="t"/>
              <v:fill type="solid"/>
            </v:shape>
            <v:line style="position:absolute" from="3335,2354" to="5258,3512" stroked="true" strokeweight=".89pt" strokecolor="#231f20">
              <v:stroke dashstyle="solid"/>
            </v:line>
            <v:shape style="position:absolute;left:3431;top:2275;width:1864;height:549" id="docshape328" coordorigin="3431,2276" coordsize="1864,549" path="m3431,2276l5294,2825e" filled="true" fillcolor="#ffffff" stroked="false">
              <v:path arrowok="t"/>
              <v:fill type="solid"/>
            </v:shape>
            <v:line style="position:absolute" from="3431,2276" to="5294,2825" stroked="true" strokeweight=".89pt" strokecolor="#231f20">
              <v:stroke dashstyle="solid"/>
            </v:line>
            <v:shape style="position:absolute;left:3443;top:2161;width:1815;height:2" id="docshape329" coordorigin="3443,2161" coordsize="1815,0" path="m5258,2161l3443,2161e" filled="true" fillcolor="#ffffff" stroked="false">
              <v:path arrowok="t"/>
              <v:fill type="solid"/>
            </v:shape>
            <v:line style="position:absolute" from="3443,2161" to="5258,2161" stroked="true" strokeweight=".89pt" strokecolor="#231f20">
              <v:stroke dashstyle="solid"/>
            </v:line>
            <v:shape style="position:absolute;left:3407;top:1492;width:1900;height:597" id="docshape330" coordorigin="3407,1492" coordsize="1900,597" path="m5306,1492l3407,2089e" filled="true" fillcolor="#ffffff" stroked="false">
              <v:path arrowok="t"/>
              <v:fill type="solid"/>
            </v:shape>
            <v:line style="position:absolute" from="3407,2089" to="5306,1492" stroked="true" strokeweight=".89pt" strokecolor="#231f20">
              <v:stroke dashstyle="solid"/>
            </v:line>
            <v:shape style="position:absolute;left:3347;top:1146;width:653;height:313" id="docshape331" coordorigin="3347,1147" coordsize="653,313" path="m3347,1147l4000,1459e" filled="true" fillcolor="#ffffff" stroked="false">
              <v:path arrowok="t"/>
              <v:fill type="solid"/>
            </v:shape>
            <v:line style="position:absolute" from="3347,1147" to="4000,1459" stroked="true" strokeweight=".89pt" strokecolor="#231f20">
              <v:stroke dashstyle="solid"/>
            </v:line>
            <v:shape style="position:absolute;left:3968;top:1413;width:89;height:81" id="docshape332" coordorigin="3969,1414" coordsize="89,81" path="m4007,1414l3969,1494,4057,1487,4007,1414xe" filled="true" fillcolor="#231f20" stroked="false">
              <v:path arrowok="t"/>
              <v:fill type="solid"/>
            </v:shape>
            <w10:wrap type="none"/>
          </v:group>
        </w:pict>
      </w:r>
      <w:r>
        <w:rPr>
          <w:rFonts w:ascii="Arial"/>
          <w:color w:val="231F20"/>
          <w:w w:val="105"/>
          <w:sz w:val="14"/>
        </w:rPr>
        <w:t>DECISION TREE OF OIL DRILLING USING THE CUMULATIVE DISTRIBUTION FUNCTION</w:t>
      </w:r>
    </w:p>
    <w:p>
      <w:pPr>
        <w:spacing w:after="0" w:line="357" w:lineRule="auto"/>
        <w:jc w:val="left"/>
        <w:rPr>
          <w:rFonts w:ascii="Arial"/>
          <w:sz w:val="14"/>
        </w:rPr>
        <w:sectPr>
          <w:pgSz w:w="8640" w:h="12960"/>
          <w:pgMar w:header="734" w:footer="0" w:top="920" w:bottom="280" w:left="340" w:right="500"/>
        </w:sectPr>
      </w:pPr>
    </w:p>
    <w:p>
      <w:pPr>
        <w:pStyle w:val="BodyText"/>
        <w:spacing w:before="10"/>
        <w:rPr>
          <w:rFonts w:ascii="Arial"/>
        </w:rPr>
      </w:pPr>
    </w:p>
    <w:p>
      <w:pPr>
        <w:spacing w:line="204" w:lineRule="auto" w:before="0"/>
        <w:ind w:left="2639" w:right="-3" w:hanging="67"/>
        <w:jc w:val="left"/>
        <w:rPr>
          <w:rFonts w:ascii="Arial"/>
          <w:sz w:val="16"/>
        </w:rPr>
      </w:pPr>
      <w:r>
        <w:rPr>
          <w:rFonts w:ascii="Arial"/>
          <w:color w:val="231F20"/>
          <w:spacing w:val="-4"/>
          <w:sz w:val="16"/>
        </w:rPr>
        <w:t>Event Fan</w:t>
      </w:r>
    </w:p>
    <w:p>
      <w:pPr>
        <w:spacing w:before="127"/>
        <w:ind w:left="0" w:right="0" w:firstLine="0"/>
        <w:jc w:val="right"/>
        <w:rPr>
          <w:rFonts w:ascii="Arial"/>
          <w:sz w:val="16"/>
        </w:rPr>
      </w:pPr>
      <w:r>
        <w:rPr/>
        <w:br w:type="column"/>
      </w:r>
      <w:r>
        <w:rPr>
          <w:rFonts w:ascii="Arial"/>
          <w:color w:val="231F20"/>
          <w:spacing w:val="-2"/>
          <w:sz w:val="16"/>
        </w:rPr>
        <w:t>$2,100</w:t>
      </w:r>
    </w:p>
    <w:p>
      <w:pPr>
        <w:spacing w:before="127"/>
        <w:ind w:left="329" w:right="0" w:firstLine="0"/>
        <w:jc w:val="left"/>
        <w:rPr>
          <w:rFonts w:ascii="Arial"/>
          <w:sz w:val="16"/>
        </w:rPr>
      </w:pPr>
      <w:r>
        <w:rPr/>
        <w:br w:type="column"/>
      </w:r>
      <w:r>
        <w:rPr>
          <w:rFonts w:ascii="Arial"/>
          <w:color w:val="231F20"/>
          <w:sz w:val="16"/>
        </w:rPr>
        <w:t>.9 </w:t>
      </w:r>
      <w:r>
        <w:rPr>
          <w:rFonts w:ascii="Arial"/>
          <w:color w:val="231F20"/>
          <w:spacing w:val="-2"/>
          <w:sz w:val="16"/>
        </w:rPr>
        <w:t>fractile</w:t>
      </w:r>
    </w:p>
    <w:p>
      <w:pPr>
        <w:spacing w:after="0"/>
        <w:jc w:val="left"/>
        <w:rPr>
          <w:rFonts w:ascii="Arial"/>
          <w:sz w:val="16"/>
        </w:rPr>
        <w:sectPr>
          <w:type w:val="continuous"/>
          <w:pgSz w:w="8640" w:h="12960"/>
          <w:pgMar w:header="732" w:footer="0" w:top="1220" w:bottom="280" w:left="340" w:right="500"/>
          <w:cols w:num="3" w:equalWidth="0">
            <w:col w:w="2979" w:space="40"/>
            <w:col w:w="2460" w:space="39"/>
            <w:col w:w="2282"/>
          </w:cols>
        </w:sectPr>
      </w:pPr>
    </w:p>
    <w:p>
      <w:pPr>
        <w:pStyle w:val="BodyText"/>
        <w:spacing w:before="2"/>
        <w:rPr>
          <w:rFonts w:ascii="Arial"/>
          <w:sz w:val="14"/>
        </w:rPr>
      </w:pPr>
    </w:p>
    <w:p>
      <w:pPr>
        <w:spacing w:after="0"/>
        <w:rPr>
          <w:rFonts w:ascii="Arial"/>
          <w:sz w:val="14"/>
        </w:rPr>
        <w:sectPr>
          <w:type w:val="continuous"/>
          <w:pgSz w:w="8640" w:h="12960"/>
          <w:pgMar w:header="732" w:footer="0" w:top="1220" w:bottom="280" w:left="340" w:right="500"/>
        </w:sect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4"/>
        <w:rPr>
          <w:rFonts w:ascii="Arial"/>
          <w:sz w:val="17"/>
        </w:rPr>
      </w:pPr>
    </w:p>
    <w:p>
      <w:pPr>
        <w:spacing w:line="176" w:lineRule="exact" w:before="0"/>
        <w:ind w:left="1356" w:right="0" w:firstLine="0"/>
        <w:jc w:val="left"/>
        <w:rPr>
          <w:rFonts w:ascii="Arial"/>
          <w:sz w:val="16"/>
        </w:rPr>
      </w:pPr>
      <w:r>
        <w:rPr>
          <w:rFonts w:ascii="Arial"/>
          <w:color w:val="231F20"/>
          <w:spacing w:val="-5"/>
          <w:sz w:val="16"/>
        </w:rPr>
        <w:t>EMV</w:t>
      </w:r>
    </w:p>
    <w:p>
      <w:pPr>
        <w:spacing w:line="176" w:lineRule="exact" w:before="0"/>
        <w:ind w:left="1345" w:right="0" w:firstLine="0"/>
        <w:jc w:val="left"/>
        <w:rPr>
          <w:rFonts w:ascii="Arial"/>
          <w:sz w:val="16"/>
        </w:rPr>
      </w:pPr>
      <w:r>
        <w:rPr>
          <w:rFonts w:ascii="Arial"/>
          <w:color w:val="231F20"/>
          <w:spacing w:val="-4"/>
          <w:sz w:val="16"/>
        </w:rPr>
        <w:t>$900</w:t>
      </w:r>
    </w:p>
    <w:p>
      <w:pPr>
        <w:spacing w:line="240" w:lineRule="auto" w:before="0"/>
        <w:rPr>
          <w:rFonts w:ascii="Arial"/>
          <w:sz w:val="18"/>
        </w:rPr>
      </w:pPr>
      <w:r>
        <w:rPr/>
        <w:br w:type="column"/>
      </w:r>
      <w:r>
        <w:rPr>
          <w:rFonts w:ascii="Arial"/>
          <w:sz w:val="18"/>
        </w:rPr>
      </w:r>
    </w:p>
    <w:p>
      <w:pPr>
        <w:pStyle w:val="BodyText"/>
        <w:rPr>
          <w:rFonts w:ascii="Arial"/>
          <w:sz w:val="18"/>
        </w:rPr>
      </w:pPr>
    </w:p>
    <w:p>
      <w:pPr>
        <w:spacing w:line="249" w:lineRule="auto" w:before="161"/>
        <w:ind w:left="249" w:right="-2" w:hanging="112"/>
        <w:jc w:val="left"/>
        <w:rPr>
          <w:rFonts w:ascii="Arial"/>
          <w:sz w:val="16"/>
        </w:rPr>
      </w:pPr>
      <w:r>
        <w:rPr>
          <w:rFonts w:ascii="Arial"/>
          <w:color w:val="231F20"/>
          <w:spacing w:val="-4"/>
          <w:sz w:val="16"/>
        </w:rPr>
        <w:t>Some Oil</w:t>
      </w:r>
    </w:p>
    <w:p>
      <w:pPr>
        <w:spacing w:before="15"/>
        <w:ind w:left="229" w:right="0" w:firstLine="0"/>
        <w:jc w:val="left"/>
        <w:rPr>
          <w:rFonts w:ascii="Arial"/>
          <w:sz w:val="16"/>
        </w:rPr>
      </w:pPr>
      <w:r>
        <w:rPr>
          <w:rFonts w:ascii="Arial"/>
          <w:color w:val="231F20"/>
          <w:spacing w:val="-5"/>
          <w:sz w:val="16"/>
        </w:rPr>
        <w:t>.90</w:t>
      </w: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9"/>
        <w:rPr>
          <w:rFonts w:ascii="Arial"/>
        </w:rPr>
      </w:pPr>
    </w:p>
    <w:p>
      <w:pPr>
        <w:spacing w:before="0"/>
        <w:ind w:left="217" w:right="0" w:firstLine="0"/>
        <w:jc w:val="left"/>
        <w:rPr>
          <w:rFonts w:ascii="Arial"/>
          <w:sz w:val="16"/>
        </w:rPr>
      </w:pPr>
      <w:r>
        <w:rPr>
          <w:rFonts w:ascii="Arial"/>
          <w:color w:val="231F20"/>
          <w:spacing w:val="-5"/>
          <w:sz w:val="16"/>
        </w:rPr>
        <w:t>.10</w:t>
      </w:r>
    </w:p>
    <w:p>
      <w:pPr>
        <w:spacing w:before="39"/>
        <w:ind w:left="234" w:right="0" w:firstLine="0"/>
        <w:jc w:val="left"/>
        <w:rPr>
          <w:rFonts w:ascii="Arial"/>
          <w:sz w:val="16"/>
        </w:rPr>
      </w:pPr>
      <w:r>
        <w:rPr>
          <w:rFonts w:ascii="Arial"/>
          <w:color w:val="231F20"/>
          <w:spacing w:val="-5"/>
          <w:sz w:val="16"/>
        </w:rPr>
        <w:t>Dry</w:t>
      </w:r>
    </w:p>
    <w:p>
      <w:pPr>
        <w:spacing w:line="240" w:lineRule="auto" w:before="0"/>
        <w:rPr>
          <w:rFonts w:ascii="Arial"/>
          <w:sz w:val="18"/>
        </w:rPr>
      </w:pPr>
      <w:r>
        <w:rPr/>
        <w:br w:type="column"/>
      </w:r>
      <w:r>
        <w:rPr>
          <w:rFonts w:ascii="Arial"/>
          <w:sz w:val="18"/>
        </w:rPr>
      </w:r>
    </w:p>
    <w:p>
      <w:pPr>
        <w:spacing w:before="121"/>
        <w:ind w:left="271" w:right="0" w:firstLine="0"/>
        <w:jc w:val="left"/>
        <w:rPr>
          <w:rFonts w:ascii="Arial"/>
          <w:sz w:val="16"/>
        </w:rPr>
      </w:pPr>
      <w:r>
        <w:rPr>
          <w:rFonts w:ascii="Arial"/>
          <w:color w:val="231F20"/>
          <w:spacing w:val="-2"/>
          <w:sz w:val="16"/>
        </w:rPr>
        <w:t>$1,000</w:t>
      </w:r>
    </w:p>
    <w:p>
      <w:pPr>
        <w:spacing w:line="240" w:lineRule="auto" w:before="0"/>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4"/>
        <w:rPr>
          <w:rFonts w:ascii="Arial"/>
          <w:sz w:val="17"/>
        </w:rPr>
      </w:pPr>
    </w:p>
    <w:p>
      <w:pPr>
        <w:spacing w:before="0"/>
        <w:ind w:left="-40" w:right="0" w:firstLine="0"/>
        <w:jc w:val="left"/>
        <w:rPr>
          <w:rFonts w:ascii="Arial"/>
          <w:sz w:val="16"/>
        </w:rPr>
      </w:pPr>
      <w:r>
        <w:rPr>
          <w:rFonts w:ascii="Arial"/>
          <w:color w:val="231F20"/>
          <w:w w:val="95"/>
          <w:sz w:val="16"/>
        </w:rPr>
        <w:t>-</w:t>
      </w:r>
      <w:r>
        <w:rPr>
          <w:rFonts w:ascii="Arial"/>
          <w:color w:val="231F20"/>
          <w:spacing w:val="-5"/>
          <w:sz w:val="16"/>
        </w:rPr>
        <w:t>0-</w:t>
      </w:r>
    </w:p>
    <w:p>
      <w:pPr>
        <w:spacing w:before="99"/>
        <w:ind w:left="1345" w:right="0" w:firstLine="0"/>
        <w:jc w:val="left"/>
        <w:rPr>
          <w:rFonts w:ascii="Arial"/>
          <w:sz w:val="16"/>
        </w:rPr>
      </w:pPr>
      <w:r>
        <w:rPr/>
        <w:br w:type="column"/>
      </w:r>
      <w:r>
        <w:rPr>
          <w:rFonts w:ascii="Arial"/>
          <w:color w:val="231F20"/>
          <w:spacing w:val="-2"/>
          <w:sz w:val="16"/>
        </w:rPr>
        <w:t>$1,150</w:t>
      </w:r>
    </w:p>
    <w:p>
      <w:pPr>
        <w:pStyle w:val="BodyText"/>
        <w:rPr>
          <w:rFonts w:ascii="Arial"/>
          <w:sz w:val="18"/>
        </w:rPr>
      </w:pPr>
    </w:p>
    <w:p>
      <w:pPr>
        <w:pStyle w:val="BodyText"/>
        <w:spacing w:before="9"/>
        <w:rPr>
          <w:rFonts w:ascii="Arial"/>
          <w:sz w:val="26"/>
        </w:rPr>
      </w:pPr>
    </w:p>
    <w:p>
      <w:pPr>
        <w:spacing w:before="0"/>
        <w:ind w:left="1345" w:right="0" w:firstLine="0"/>
        <w:jc w:val="left"/>
        <w:rPr>
          <w:rFonts w:ascii="Arial"/>
          <w:sz w:val="16"/>
        </w:rPr>
      </w:pPr>
      <w:r>
        <w:rPr>
          <w:rFonts w:ascii="Arial"/>
          <w:color w:val="231F20"/>
          <w:spacing w:val="-4"/>
          <w:sz w:val="16"/>
        </w:rPr>
        <w:t>$870</w:t>
      </w:r>
    </w:p>
    <w:p>
      <w:pPr>
        <w:pStyle w:val="BodyText"/>
        <w:rPr>
          <w:rFonts w:ascii="Arial"/>
          <w:sz w:val="18"/>
        </w:rPr>
      </w:pPr>
    </w:p>
    <w:p>
      <w:pPr>
        <w:pStyle w:val="BodyText"/>
        <w:spacing w:before="10"/>
        <w:rPr>
          <w:rFonts w:ascii="Arial"/>
          <w:sz w:val="26"/>
        </w:rPr>
      </w:pPr>
    </w:p>
    <w:p>
      <w:pPr>
        <w:spacing w:before="0"/>
        <w:ind w:left="1345" w:right="0" w:firstLine="0"/>
        <w:jc w:val="left"/>
        <w:rPr>
          <w:rFonts w:ascii="Arial"/>
          <w:sz w:val="16"/>
        </w:rPr>
      </w:pPr>
      <w:r>
        <w:rPr>
          <w:rFonts w:ascii="Arial"/>
          <w:color w:val="231F20"/>
          <w:spacing w:val="-4"/>
          <w:sz w:val="16"/>
        </w:rPr>
        <w:t>$750</w:t>
      </w:r>
    </w:p>
    <w:p>
      <w:pPr>
        <w:pStyle w:val="BodyText"/>
        <w:rPr>
          <w:rFonts w:ascii="Arial"/>
          <w:sz w:val="18"/>
        </w:rPr>
      </w:pPr>
    </w:p>
    <w:p>
      <w:pPr>
        <w:pStyle w:val="BodyText"/>
        <w:spacing w:before="9"/>
        <w:rPr>
          <w:rFonts w:ascii="Arial"/>
          <w:sz w:val="26"/>
        </w:rPr>
      </w:pPr>
    </w:p>
    <w:p>
      <w:pPr>
        <w:spacing w:before="0"/>
        <w:ind w:left="1345" w:right="0" w:firstLine="0"/>
        <w:jc w:val="left"/>
        <w:rPr>
          <w:rFonts w:ascii="Arial"/>
          <w:sz w:val="16"/>
        </w:rPr>
      </w:pPr>
      <w:r>
        <w:rPr>
          <w:rFonts w:ascii="Arial"/>
          <w:color w:val="231F20"/>
          <w:spacing w:val="-4"/>
          <w:sz w:val="16"/>
        </w:rPr>
        <w:t>$130</w:t>
      </w:r>
    </w:p>
    <w:p>
      <w:pPr>
        <w:spacing w:before="99"/>
        <w:ind w:left="329" w:right="0" w:firstLine="0"/>
        <w:jc w:val="left"/>
        <w:rPr>
          <w:rFonts w:ascii="Arial"/>
          <w:sz w:val="16"/>
        </w:rPr>
      </w:pPr>
      <w:r>
        <w:rPr/>
        <w:br w:type="column"/>
      </w:r>
      <w:r>
        <w:rPr>
          <w:rFonts w:ascii="Arial"/>
          <w:color w:val="231F20"/>
          <w:sz w:val="16"/>
        </w:rPr>
        <w:t>.7 </w:t>
      </w:r>
      <w:r>
        <w:rPr>
          <w:rFonts w:ascii="Arial"/>
          <w:color w:val="231F20"/>
          <w:spacing w:val="-2"/>
          <w:sz w:val="16"/>
        </w:rPr>
        <w:t>fractile</w:t>
      </w:r>
    </w:p>
    <w:p>
      <w:pPr>
        <w:pStyle w:val="BodyText"/>
        <w:rPr>
          <w:rFonts w:ascii="Arial"/>
          <w:sz w:val="18"/>
        </w:rPr>
      </w:pPr>
    </w:p>
    <w:p>
      <w:pPr>
        <w:pStyle w:val="BodyText"/>
        <w:spacing w:before="9"/>
        <w:rPr>
          <w:rFonts w:ascii="Arial"/>
          <w:sz w:val="26"/>
        </w:rPr>
      </w:pPr>
    </w:p>
    <w:p>
      <w:pPr>
        <w:spacing w:before="0"/>
        <w:ind w:left="329" w:right="0" w:firstLine="0"/>
        <w:jc w:val="left"/>
        <w:rPr>
          <w:rFonts w:ascii="Arial"/>
          <w:sz w:val="16"/>
        </w:rPr>
      </w:pPr>
      <w:r>
        <w:rPr>
          <w:rFonts w:ascii="Arial"/>
          <w:color w:val="231F20"/>
          <w:sz w:val="16"/>
        </w:rPr>
        <w:t>.5 </w:t>
      </w:r>
      <w:r>
        <w:rPr>
          <w:rFonts w:ascii="Arial"/>
          <w:color w:val="231F20"/>
          <w:spacing w:val="-2"/>
          <w:sz w:val="16"/>
        </w:rPr>
        <w:t>fractile</w:t>
      </w:r>
    </w:p>
    <w:p>
      <w:pPr>
        <w:pStyle w:val="BodyText"/>
        <w:rPr>
          <w:rFonts w:ascii="Arial"/>
          <w:sz w:val="18"/>
        </w:rPr>
      </w:pPr>
    </w:p>
    <w:p>
      <w:pPr>
        <w:pStyle w:val="BodyText"/>
        <w:spacing w:before="10"/>
        <w:rPr>
          <w:rFonts w:ascii="Arial"/>
          <w:sz w:val="26"/>
        </w:rPr>
      </w:pPr>
    </w:p>
    <w:p>
      <w:pPr>
        <w:spacing w:before="0"/>
        <w:ind w:left="329" w:right="0" w:firstLine="0"/>
        <w:jc w:val="left"/>
        <w:rPr>
          <w:rFonts w:ascii="Arial"/>
          <w:sz w:val="16"/>
        </w:rPr>
      </w:pPr>
      <w:r>
        <w:rPr>
          <w:rFonts w:ascii="Arial"/>
          <w:color w:val="231F20"/>
          <w:sz w:val="16"/>
        </w:rPr>
        <w:t>.3 </w:t>
      </w:r>
      <w:r>
        <w:rPr>
          <w:rFonts w:ascii="Arial"/>
          <w:color w:val="231F20"/>
          <w:spacing w:val="-2"/>
          <w:sz w:val="16"/>
        </w:rPr>
        <w:t>fractile</w:t>
      </w:r>
    </w:p>
    <w:p>
      <w:pPr>
        <w:pStyle w:val="BodyText"/>
        <w:rPr>
          <w:rFonts w:ascii="Arial"/>
          <w:sz w:val="18"/>
        </w:rPr>
      </w:pPr>
    </w:p>
    <w:p>
      <w:pPr>
        <w:pStyle w:val="BodyText"/>
        <w:spacing w:before="9"/>
        <w:rPr>
          <w:rFonts w:ascii="Arial"/>
          <w:sz w:val="26"/>
        </w:rPr>
      </w:pPr>
    </w:p>
    <w:p>
      <w:pPr>
        <w:pStyle w:val="ListParagraph"/>
        <w:numPr>
          <w:ilvl w:val="0"/>
          <w:numId w:val="32"/>
        </w:numPr>
        <w:tabs>
          <w:tab w:pos="508" w:val="left" w:leader="none"/>
        </w:tabs>
        <w:spacing w:line="240" w:lineRule="auto" w:before="0" w:after="0"/>
        <w:ind w:left="507" w:right="0" w:hanging="179"/>
        <w:jc w:val="left"/>
        <w:rPr>
          <w:sz w:val="16"/>
        </w:rPr>
      </w:pPr>
      <w:r>
        <w:rPr>
          <w:color w:val="231F20"/>
          <w:spacing w:val="-2"/>
          <w:sz w:val="16"/>
        </w:rPr>
        <w:t>fractile</w:t>
      </w:r>
    </w:p>
    <w:p>
      <w:pPr>
        <w:spacing w:after="0" w:line="240" w:lineRule="auto"/>
        <w:jc w:val="left"/>
        <w:rPr>
          <w:sz w:val="16"/>
        </w:rPr>
        <w:sectPr>
          <w:type w:val="continuous"/>
          <w:pgSz w:w="8640" w:h="12960"/>
          <w:pgMar w:header="732" w:footer="0" w:top="1220" w:bottom="280" w:left="340" w:right="500"/>
          <w:cols w:num="6" w:equalWidth="0">
            <w:col w:w="1704" w:space="40"/>
            <w:col w:w="557" w:space="39"/>
            <w:col w:w="762" w:space="39"/>
            <w:col w:w="197" w:space="304"/>
            <w:col w:w="1836" w:space="40"/>
            <w:col w:w="2282"/>
          </w:cols>
        </w:sectPr>
      </w:pPr>
    </w:p>
    <w:p>
      <w:pPr>
        <w:pStyle w:val="BodyText"/>
        <w:rPr>
          <w:rFonts w:ascii="Arial"/>
          <w:sz w:val="20"/>
        </w:rPr>
      </w:pPr>
    </w:p>
    <w:p>
      <w:pPr>
        <w:pStyle w:val="BodyText"/>
        <w:spacing w:before="1"/>
        <w:rPr>
          <w:rFonts w:ascii="Arial"/>
          <w:sz w:val="20"/>
        </w:rPr>
      </w:pPr>
    </w:p>
    <w:p>
      <w:pPr>
        <w:spacing w:before="0"/>
        <w:ind w:left="900" w:right="0" w:firstLine="0"/>
        <w:jc w:val="left"/>
        <w:rPr>
          <w:rFonts w:ascii="Arial"/>
          <w:sz w:val="16"/>
        </w:rPr>
      </w:pPr>
      <w:r>
        <w:rPr>
          <w:rFonts w:ascii="Arial"/>
          <w:color w:val="231F20"/>
          <w:sz w:val="16"/>
        </w:rPr>
        <w:t>EMV</w:t>
      </w:r>
      <w:r>
        <w:rPr>
          <w:rFonts w:ascii="Arial"/>
          <w:color w:val="231F20"/>
          <w:spacing w:val="-1"/>
          <w:sz w:val="16"/>
        </w:rPr>
        <w:t> </w:t>
      </w:r>
      <w:r>
        <w:rPr>
          <w:rFonts w:ascii="Arial"/>
          <w:color w:val="231F20"/>
          <w:sz w:val="16"/>
        </w:rPr>
        <w:t>=</w:t>
      </w:r>
      <w:r>
        <w:rPr>
          <w:rFonts w:ascii="Arial"/>
          <w:color w:val="231F20"/>
          <w:spacing w:val="-1"/>
          <w:sz w:val="16"/>
        </w:rPr>
        <w:t> </w:t>
      </w:r>
      <w:r>
        <w:rPr>
          <w:rFonts w:ascii="Arial"/>
          <w:color w:val="231F20"/>
          <w:sz w:val="16"/>
        </w:rPr>
        <w:t>.9</w:t>
      </w:r>
      <w:r>
        <w:rPr>
          <w:rFonts w:ascii="Arial"/>
          <w:color w:val="231F20"/>
          <w:spacing w:val="-1"/>
          <w:sz w:val="16"/>
        </w:rPr>
        <w:t> </w:t>
      </w:r>
      <w:r>
        <w:rPr>
          <w:rFonts w:ascii="Arial"/>
          <w:color w:val="231F20"/>
          <w:sz w:val="16"/>
        </w:rPr>
        <w:t>[</w:t>
      </w:r>
      <w:r>
        <w:rPr>
          <w:rFonts w:ascii="Arial"/>
          <w:color w:val="231F20"/>
          <w:spacing w:val="-1"/>
          <w:sz w:val="16"/>
        </w:rPr>
        <w:t> </w:t>
      </w:r>
      <w:r>
        <w:rPr>
          <w:rFonts w:ascii="Arial"/>
          <w:color w:val="231F20"/>
          <w:sz w:val="16"/>
        </w:rPr>
        <w:t>(.2</w:t>
      </w:r>
      <w:r>
        <w:rPr>
          <w:rFonts w:ascii="Arial"/>
          <w:color w:val="231F20"/>
          <w:spacing w:val="-1"/>
          <w:sz w:val="16"/>
        </w:rPr>
        <w:t> </w:t>
      </w:r>
      <w:r>
        <w:rPr>
          <w:rFonts w:ascii="Arial"/>
          <w:color w:val="231F20"/>
          <w:sz w:val="16"/>
        </w:rPr>
        <w:t>X</w:t>
      </w:r>
      <w:r>
        <w:rPr>
          <w:rFonts w:ascii="Arial"/>
          <w:color w:val="231F20"/>
          <w:spacing w:val="-1"/>
          <w:sz w:val="16"/>
        </w:rPr>
        <w:t> </w:t>
      </w:r>
      <w:r>
        <w:rPr>
          <w:rFonts w:ascii="Arial"/>
          <w:color w:val="231F20"/>
          <w:sz w:val="16"/>
        </w:rPr>
        <w:t>$130)</w:t>
      </w:r>
      <w:r>
        <w:rPr>
          <w:rFonts w:ascii="Arial"/>
          <w:color w:val="231F20"/>
          <w:spacing w:val="-1"/>
          <w:sz w:val="16"/>
        </w:rPr>
        <w:t> </w:t>
      </w:r>
      <w:r>
        <w:rPr>
          <w:rFonts w:ascii="Arial"/>
          <w:color w:val="231F20"/>
          <w:sz w:val="16"/>
        </w:rPr>
        <w:t>+</w:t>
      </w:r>
      <w:r>
        <w:rPr>
          <w:rFonts w:ascii="Arial"/>
          <w:color w:val="231F20"/>
          <w:spacing w:val="-1"/>
          <w:sz w:val="16"/>
        </w:rPr>
        <w:t> </w:t>
      </w:r>
      <w:r>
        <w:rPr>
          <w:rFonts w:ascii="Arial"/>
          <w:color w:val="231F20"/>
          <w:sz w:val="16"/>
        </w:rPr>
        <w:t>(.2</w:t>
      </w:r>
      <w:r>
        <w:rPr>
          <w:rFonts w:ascii="Arial"/>
          <w:color w:val="231F20"/>
          <w:spacing w:val="-1"/>
          <w:sz w:val="16"/>
        </w:rPr>
        <w:t> </w:t>
      </w:r>
      <w:r>
        <w:rPr>
          <w:rFonts w:ascii="Arial"/>
          <w:color w:val="231F20"/>
          <w:sz w:val="16"/>
        </w:rPr>
        <w:t>X</w:t>
      </w:r>
      <w:r>
        <w:rPr>
          <w:rFonts w:ascii="Arial"/>
          <w:color w:val="231F20"/>
          <w:spacing w:val="-1"/>
          <w:sz w:val="16"/>
        </w:rPr>
        <w:t> </w:t>
      </w:r>
      <w:r>
        <w:rPr>
          <w:rFonts w:ascii="Arial"/>
          <w:color w:val="231F20"/>
          <w:sz w:val="16"/>
        </w:rPr>
        <w:t>$750)</w:t>
      </w:r>
      <w:r>
        <w:rPr>
          <w:rFonts w:ascii="Arial"/>
          <w:color w:val="231F20"/>
          <w:spacing w:val="-1"/>
          <w:sz w:val="16"/>
        </w:rPr>
        <w:t> </w:t>
      </w:r>
      <w:r>
        <w:rPr>
          <w:rFonts w:ascii="Arial"/>
          <w:color w:val="231F20"/>
          <w:sz w:val="16"/>
        </w:rPr>
        <w:t>+</w:t>
      </w:r>
      <w:r>
        <w:rPr>
          <w:rFonts w:ascii="Arial"/>
          <w:color w:val="231F20"/>
          <w:spacing w:val="-1"/>
          <w:sz w:val="16"/>
        </w:rPr>
        <w:t> </w:t>
      </w:r>
      <w:r>
        <w:rPr>
          <w:rFonts w:ascii="Arial"/>
          <w:color w:val="231F20"/>
          <w:sz w:val="16"/>
        </w:rPr>
        <w:t>(.2</w:t>
      </w:r>
      <w:r>
        <w:rPr>
          <w:rFonts w:ascii="Arial"/>
          <w:color w:val="231F20"/>
          <w:spacing w:val="-1"/>
          <w:sz w:val="16"/>
        </w:rPr>
        <w:t> </w:t>
      </w:r>
      <w:r>
        <w:rPr>
          <w:rFonts w:ascii="Arial"/>
          <w:color w:val="231F20"/>
          <w:sz w:val="16"/>
        </w:rPr>
        <w:t>X</w:t>
      </w:r>
      <w:r>
        <w:rPr>
          <w:rFonts w:ascii="Arial"/>
          <w:color w:val="231F20"/>
          <w:spacing w:val="-1"/>
          <w:sz w:val="16"/>
        </w:rPr>
        <w:t> </w:t>
      </w:r>
      <w:r>
        <w:rPr>
          <w:rFonts w:ascii="Arial"/>
          <w:color w:val="231F20"/>
          <w:sz w:val="16"/>
        </w:rPr>
        <w:t>$870)</w:t>
      </w:r>
      <w:r>
        <w:rPr>
          <w:rFonts w:ascii="Arial"/>
          <w:color w:val="231F20"/>
          <w:spacing w:val="-1"/>
          <w:sz w:val="16"/>
        </w:rPr>
        <w:t> </w:t>
      </w:r>
      <w:r>
        <w:rPr>
          <w:rFonts w:ascii="Arial"/>
          <w:color w:val="231F20"/>
          <w:sz w:val="16"/>
        </w:rPr>
        <w:t>+</w:t>
      </w:r>
      <w:r>
        <w:rPr>
          <w:rFonts w:ascii="Arial"/>
          <w:color w:val="231F20"/>
          <w:spacing w:val="-1"/>
          <w:sz w:val="16"/>
        </w:rPr>
        <w:t> </w:t>
      </w:r>
      <w:r>
        <w:rPr>
          <w:rFonts w:ascii="Arial"/>
          <w:color w:val="231F20"/>
          <w:sz w:val="16"/>
        </w:rPr>
        <w:t>(.2</w:t>
      </w:r>
      <w:r>
        <w:rPr>
          <w:rFonts w:ascii="Arial"/>
          <w:color w:val="231F20"/>
          <w:spacing w:val="-1"/>
          <w:sz w:val="16"/>
        </w:rPr>
        <w:t> </w:t>
      </w:r>
      <w:r>
        <w:rPr>
          <w:rFonts w:ascii="Arial"/>
          <w:color w:val="231F20"/>
          <w:sz w:val="16"/>
        </w:rPr>
        <w:t>X</w:t>
      </w:r>
      <w:r>
        <w:rPr>
          <w:rFonts w:ascii="Arial"/>
          <w:color w:val="231F20"/>
          <w:spacing w:val="-1"/>
          <w:sz w:val="16"/>
        </w:rPr>
        <w:t> </w:t>
      </w:r>
      <w:r>
        <w:rPr>
          <w:rFonts w:ascii="Arial"/>
          <w:color w:val="231F20"/>
          <w:sz w:val="16"/>
        </w:rPr>
        <w:t>$1150) +</w:t>
      </w:r>
      <w:r>
        <w:rPr>
          <w:rFonts w:ascii="Arial"/>
          <w:color w:val="231F20"/>
          <w:spacing w:val="-1"/>
          <w:sz w:val="16"/>
        </w:rPr>
        <w:t> </w:t>
      </w:r>
      <w:r>
        <w:rPr>
          <w:rFonts w:ascii="Arial"/>
          <w:color w:val="231F20"/>
          <w:sz w:val="16"/>
        </w:rPr>
        <w:t>(.2</w:t>
      </w:r>
      <w:r>
        <w:rPr>
          <w:rFonts w:ascii="Arial"/>
          <w:color w:val="231F20"/>
          <w:spacing w:val="-1"/>
          <w:sz w:val="16"/>
        </w:rPr>
        <w:t> </w:t>
      </w:r>
      <w:r>
        <w:rPr>
          <w:rFonts w:ascii="Arial"/>
          <w:color w:val="231F20"/>
          <w:sz w:val="16"/>
        </w:rPr>
        <w:t>X</w:t>
      </w:r>
      <w:r>
        <w:rPr>
          <w:rFonts w:ascii="Arial"/>
          <w:color w:val="231F20"/>
          <w:spacing w:val="-1"/>
          <w:sz w:val="16"/>
        </w:rPr>
        <w:t> </w:t>
      </w:r>
      <w:r>
        <w:rPr>
          <w:rFonts w:ascii="Arial"/>
          <w:color w:val="231F20"/>
          <w:sz w:val="16"/>
        </w:rPr>
        <w:t>$2100)]</w:t>
      </w:r>
      <w:r>
        <w:rPr>
          <w:rFonts w:ascii="Arial"/>
          <w:color w:val="231F20"/>
          <w:spacing w:val="-1"/>
          <w:sz w:val="16"/>
        </w:rPr>
        <w:t> </w:t>
      </w:r>
      <w:r>
        <w:rPr>
          <w:rFonts w:ascii="Arial"/>
          <w:color w:val="231F20"/>
          <w:sz w:val="16"/>
        </w:rPr>
        <w:t>=</w:t>
      </w:r>
      <w:r>
        <w:rPr>
          <w:rFonts w:ascii="Arial"/>
          <w:color w:val="231F20"/>
          <w:spacing w:val="-1"/>
          <w:sz w:val="16"/>
        </w:rPr>
        <w:t> </w:t>
      </w:r>
      <w:r>
        <w:rPr>
          <w:rFonts w:ascii="Arial"/>
          <w:color w:val="231F20"/>
          <w:spacing w:val="-4"/>
          <w:sz w:val="16"/>
        </w:rPr>
        <w:t>$900</w:t>
      </w:r>
    </w:p>
    <w:p>
      <w:pPr>
        <w:pStyle w:val="BodyText"/>
        <w:rPr>
          <w:rFonts w:ascii="Arial"/>
          <w:sz w:val="20"/>
        </w:rPr>
      </w:pPr>
    </w:p>
    <w:p>
      <w:pPr>
        <w:pStyle w:val="BodyText"/>
        <w:rPr>
          <w:rFonts w:ascii="Arial"/>
          <w:sz w:val="20"/>
        </w:rPr>
      </w:pPr>
    </w:p>
    <w:p>
      <w:pPr>
        <w:pStyle w:val="BodyText"/>
        <w:spacing w:before="3"/>
        <w:rPr>
          <w:rFonts w:ascii="Arial"/>
          <w:sz w:val="18"/>
        </w:rPr>
      </w:pPr>
    </w:p>
    <w:p>
      <w:pPr>
        <w:spacing w:before="95"/>
        <w:ind w:left="469" w:right="219" w:firstLine="0"/>
        <w:jc w:val="center"/>
        <w:rPr>
          <w:b/>
          <w:sz w:val="21"/>
        </w:rPr>
      </w:pPr>
      <w:r>
        <w:rPr>
          <w:b/>
          <w:color w:val="231F20"/>
          <w:w w:val="105"/>
          <w:sz w:val="21"/>
        </w:rPr>
        <w:t>Y</w:t>
      </w:r>
      <w:r>
        <w:rPr>
          <w:b/>
          <w:color w:val="231F20"/>
          <w:spacing w:val="14"/>
          <w:w w:val="105"/>
          <w:sz w:val="21"/>
        </w:rPr>
        <w:t> </w:t>
      </w:r>
      <w:r>
        <w:rPr>
          <w:rFonts w:ascii="Symbol" w:hAnsi="Symbol"/>
          <w:color w:val="231F20"/>
          <w:w w:val="105"/>
          <w:sz w:val="21"/>
        </w:rPr>
        <w:t></w:t>
      </w:r>
      <w:r>
        <w:rPr>
          <w:rFonts w:ascii="Times New Roman" w:hAnsi="Times New Roman"/>
          <w:color w:val="231F20"/>
          <w:spacing w:val="8"/>
          <w:w w:val="105"/>
          <w:sz w:val="21"/>
        </w:rPr>
        <w:t> </w:t>
      </w:r>
      <w:r>
        <w:rPr>
          <w:b/>
          <w:color w:val="231F20"/>
          <w:w w:val="105"/>
          <w:sz w:val="21"/>
        </w:rPr>
        <w:t>mX</w:t>
      </w:r>
      <w:r>
        <w:rPr>
          <w:b/>
          <w:color w:val="231F20"/>
          <w:spacing w:val="15"/>
          <w:w w:val="105"/>
          <w:sz w:val="21"/>
        </w:rPr>
        <w:t> </w:t>
      </w:r>
      <w:r>
        <w:rPr>
          <w:rFonts w:ascii="Symbol" w:hAnsi="Symbol"/>
          <w:color w:val="231F20"/>
          <w:w w:val="105"/>
          <w:sz w:val="21"/>
        </w:rPr>
        <w:t></w:t>
      </w:r>
      <w:r>
        <w:rPr>
          <w:rFonts w:ascii="Times New Roman" w:hAnsi="Times New Roman"/>
          <w:color w:val="231F20"/>
          <w:spacing w:val="8"/>
          <w:w w:val="105"/>
          <w:sz w:val="21"/>
        </w:rPr>
        <w:t> </w:t>
      </w:r>
      <w:r>
        <w:rPr>
          <w:b/>
          <w:color w:val="231F20"/>
          <w:spacing w:val="-10"/>
          <w:w w:val="105"/>
          <w:sz w:val="21"/>
        </w:rPr>
        <w:t>b</w:t>
      </w:r>
    </w:p>
    <w:p>
      <w:pPr>
        <w:pStyle w:val="BodyText"/>
        <w:spacing w:before="43"/>
        <w:ind w:left="1260"/>
      </w:pPr>
      <w:r>
        <w:rPr>
          <w:color w:val="231F20"/>
        </w:rPr>
        <w:t>Y</w:t>
      </w:r>
      <w:r>
        <w:rPr>
          <w:color w:val="231F20"/>
          <w:spacing w:val="12"/>
        </w:rPr>
        <w:t> </w:t>
      </w:r>
      <w:r>
        <w:rPr>
          <w:rFonts w:ascii="Symbol" w:hAnsi="Symbol"/>
          <w:color w:val="231F20"/>
        </w:rPr>
        <w:t></w:t>
      </w:r>
      <w:r>
        <w:rPr>
          <w:rFonts w:ascii="Times New Roman" w:hAnsi="Times New Roman"/>
          <w:color w:val="231F20"/>
          <w:spacing w:val="6"/>
        </w:rPr>
        <w:t> </w:t>
      </w:r>
      <w:r>
        <w:rPr>
          <w:color w:val="231F20"/>
        </w:rPr>
        <w:t>dependent</w:t>
      </w:r>
      <w:r>
        <w:rPr>
          <w:color w:val="231F20"/>
          <w:spacing w:val="12"/>
        </w:rPr>
        <w:t> </w:t>
      </w:r>
      <w:r>
        <w:rPr>
          <w:color w:val="231F20"/>
        </w:rPr>
        <w:t>variable</w:t>
      </w:r>
      <w:r>
        <w:rPr>
          <w:color w:val="231F20"/>
          <w:spacing w:val="13"/>
        </w:rPr>
        <w:t> </w:t>
      </w:r>
      <w:r>
        <w:rPr>
          <w:color w:val="231F20"/>
        </w:rPr>
        <w:t>(such</w:t>
      </w:r>
      <w:r>
        <w:rPr>
          <w:color w:val="231F20"/>
          <w:spacing w:val="12"/>
        </w:rPr>
        <w:t> </w:t>
      </w:r>
      <w:r>
        <w:rPr>
          <w:color w:val="231F20"/>
        </w:rPr>
        <w:t>as</w:t>
      </w:r>
      <w:r>
        <w:rPr>
          <w:color w:val="231F20"/>
          <w:spacing w:val="12"/>
        </w:rPr>
        <w:t> </w:t>
      </w:r>
      <w:r>
        <w:rPr>
          <w:color w:val="231F20"/>
          <w:spacing w:val="-2"/>
        </w:rPr>
        <w:t>sales)</w:t>
      </w:r>
    </w:p>
    <w:p>
      <w:pPr>
        <w:pStyle w:val="BodyText"/>
        <w:spacing w:line="290" w:lineRule="auto" w:before="42"/>
        <w:ind w:left="1500" w:right="1262" w:hanging="240"/>
      </w:pPr>
      <w:r>
        <w:rPr>
          <w:color w:val="231F20"/>
        </w:rPr>
        <w:t>m </w:t>
      </w:r>
      <w:r>
        <w:rPr>
          <w:rFonts w:ascii="Symbol" w:hAnsi="Symbol"/>
          <w:color w:val="231F20"/>
        </w:rPr>
        <w:t></w:t>
      </w:r>
      <w:r>
        <w:rPr>
          <w:rFonts w:ascii="Times New Roman" w:hAnsi="Times New Roman"/>
          <w:color w:val="231F20"/>
          <w:spacing w:val="-1"/>
        </w:rPr>
        <w:t> </w:t>
      </w:r>
      <w:r>
        <w:rPr>
          <w:color w:val="231F20"/>
        </w:rPr>
        <w:t>the slope of the line (the relationship between </w:t>
      </w:r>
      <w:r>
        <w:rPr>
          <w:color w:val="231F20"/>
          <w:spacing w:val="-2"/>
        </w:rPr>
        <w:t>variables)</w:t>
      </w:r>
    </w:p>
    <w:p>
      <w:pPr>
        <w:pStyle w:val="BodyText"/>
        <w:spacing w:line="248" w:lineRule="exact"/>
        <w:ind w:left="1260"/>
      </w:pPr>
      <w:r>
        <w:rPr>
          <w:color w:val="231F20"/>
        </w:rPr>
        <w:t>X</w:t>
      </w:r>
      <w:r>
        <w:rPr>
          <w:color w:val="231F20"/>
          <w:spacing w:val="12"/>
        </w:rPr>
        <w:t> </w:t>
      </w:r>
      <w:r>
        <w:rPr>
          <w:rFonts w:ascii="Symbol" w:hAnsi="Symbol"/>
          <w:color w:val="231F20"/>
        </w:rPr>
        <w:t></w:t>
      </w:r>
      <w:r>
        <w:rPr>
          <w:rFonts w:ascii="Times New Roman" w:hAnsi="Times New Roman"/>
          <w:color w:val="231F20"/>
          <w:spacing w:val="7"/>
        </w:rPr>
        <w:t> </w:t>
      </w:r>
      <w:r>
        <w:rPr>
          <w:color w:val="231F20"/>
        </w:rPr>
        <w:t>the</w:t>
      </w:r>
      <w:r>
        <w:rPr>
          <w:color w:val="231F20"/>
          <w:spacing w:val="12"/>
        </w:rPr>
        <w:t> </w:t>
      </w:r>
      <w:r>
        <w:rPr>
          <w:color w:val="231F20"/>
        </w:rPr>
        <w:t>independent</w:t>
      </w:r>
      <w:r>
        <w:rPr>
          <w:color w:val="231F20"/>
          <w:spacing w:val="13"/>
        </w:rPr>
        <w:t> </w:t>
      </w:r>
      <w:r>
        <w:rPr>
          <w:color w:val="231F20"/>
        </w:rPr>
        <w:t>variable</w:t>
      </w:r>
      <w:r>
        <w:rPr>
          <w:color w:val="231F20"/>
          <w:spacing w:val="13"/>
        </w:rPr>
        <w:t> </w:t>
      </w:r>
      <w:r>
        <w:rPr>
          <w:color w:val="231F20"/>
        </w:rPr>
        <w:t>(such</w:t>
      </w:r>
      <w:r>
        <w:rPr>
          <w:color w:val="231F20"/>
          <w:spacing w:val="12"/>
        </w:rPr>
        <w:t> </w:t>
      </w:r>
      <w:r>
        <w:rPr>
          <w:color w:val="231F20"/>
        </w:rPr>
        <w:t>as</w:t>
      </w:r>
      <w:r>
        <w:rPr>
          <w:color w:val="231F20"/>
          <w:spacing w:val="13"/>
        </w:rPr>
        <w:t> </w:t>
      </w:r>
      <w:r>
        <w:rPr>
          <w:color w:val="231F20"/>
          <w:spacing w:val="-2"/>
        </w:rPr>
        <w:t>rain)</w:t>
      </w:r>
    </w:p>
    <w:p>
      <w:pPr>
        <w:pStyle w:val="BodyText"/>
        <w:spacing w:before="42"/>
        <w:ind w:left="1260"/>
      </w:pPr>
      <w:r>
        <w:rPr>
          <w:color w:val="231F20"/>
        </w:rPr>
        <w:t>b</w:t>
      </w:r>
      <w:r>
        <w:rPr>
          <w:color w:val="231F20"/>
          <w:spacing w:val="5"/>
        </w:rPr>
        <w:t> </w:t>
      </w:r>
      <w:r>
        <w:rPr>
          <w:rFonts w:ascii="Symbol" w:hAnsi="Symbol"/>
          <w:color w:val="231F20"/>
        </w:rPr>
        <w:t></w:t>
      </w:r>
      <w:r>
        <w:rPr>
          <w:rFonts w:ascii="Times New Roman" w:hAnsi="Times New Roman"/>
          <w:color w:val="231F20"/>
          <w:spacing w:val="-1"/>
        </w:rPr>
        <w:t> </w:t>
      </w:r>
      <w:r>
        <w:rPr>
          <w:color w:val="231F20"/>
        </w:rPr>
        <w:t>y</w:t>
      </w:r>
      <w:r>
        <w:rPr>
          <w:color w:val="231F20"/>
          <w:spacing w:val="5"/>
        </w:rPr>
        <w:t> </w:t>
      </w:r>
      <w:r>
        <w:rPr>
          <w:color w:val="231F20"/>
        </w:rPr>
        <w:t>axis</w:t>
      </w:r>
      <w:r>
        <w:rPr>
          <w:color w:val="231F20"/>
          <w:spacing w:val="5"/>
        </w:rPr>
        <w:t> </w:t>
      </w:r>
      <w:r>
        <w:rPr>
          <w:color w:val="231F20"/>
        </w:rPr>
        <w:t>intercept</w:t>
      </w:r>
      <w:r>
        <w:rPr>
          <w:color w:val="231F20"/>
          <w:spacing w:val="5"/>
        </w:rPr>
        <w:t> </w:t>
      </w:r>
      <w:r>
        <w:rPr>
          <w:color w:val="231F20"/>
        </w:rPr>
        <w:t>(where</w:t>
      </w:r>
      <w:r>
        <w:rPr>
          <w:color w:val="231F20"/>
          <w:spacing w:val="5"/>
        </w:rPr>
        <w:t> </w:t>
      </w:r>
      <w:r>
        <w:rPr>
          <w:color w:val="231F20"/>
        </w:rPr>
        <w:t>the</w:t>
      </w:r>
      <w:r>
        <w:rPr>
          <w:color w:val="231F20"/>
          <w:spacing w:val="6"/>
        </w:rPr>
        <w:t> </w:t>
      </w:r>
      <w:r>
        <w:rPr>
          <w:color w:val="231F20"/>
        </w:rPr>
        <w:t>line</w:t>
      </w:r>
      <w:r>
        <w:rPr>
          <w:color w:val="231F20"/>
          <w:spacing w:val="5"/>
        </w:rPr>
        <w:t> </w:t>
      </w:r>
      <w:r>
        <w:rPr>
          <w:color w:val="231F20"/>
        </w:rPr>
        <w:t>crosses</w:t>
      </w:r>
      <w:r>
        <w:rPr>
          <w:color w:val="231F20"/>
          <w:spacing w:val="5"/>
        </w:rPr>
        <w:t> </w:t>
      </w:r>
      <w:r>
        <w:rPr>
          <w:color w:val="231F20"/>
        </w:rPr>
        <w:t>the</w:t>
      </w:r>
      <w:r>
        <w:rPr>
          <w:color w:val="231F20"/>
          <w:spacing w:val="5"/>
        </w:rPr>
        <w:t> </w:t>
      </w:r>
      <w:r>
        <w:rPr>
          <w:color w:val="231F20"/>
        </w:rPr>
        <w:t>vertical</w:t>
      </w:r>
      <w:r>
        <w:rPr>
          <w:color w:val="231F20"/>
          <w:spacing w:val="5"/>
        </w:rPr>
        <w:t> </w:t>
      </w:r>
      <w:r>
        <w:rPr>
          <w:color w:val="231F20"/>
          <w:spacing w:val="-2"/>
        </w:rPr>
        <w:t>axis)</w:t>
      </w:r>
    </w:p>
    <w:p>
      <w:pPr>
        <w:pStyle w:val="BodyText"/>
        <w:spacing w:before="2"/>
        <w:rPr>
          <w:sz w:val="30"/>
        </w:rPr>
      </w:pPr>
    </w:p>
    <w:p>
      <w:pPr>
        <w:pStyle w:val="BodyText"/>
        <w:spacing w:line="288" w:lineRule="auto"/>
        <w:ind w:left="920" w:right="663" w:firstLine="340"/>
        <w:jc w:val="both"/>
      </w:pPr>
      <w:r>
        <w:rPr>
          <w:color w:val="231F20"/>
        </w:rPr>
        <w:t>The</w:t>
      </w:r>
      <w:r>
        <w:rPr>
          <w:color w:val="231F20"/>
          <w:spacing w:val="40"/>
        </w:rPr>
        <w:t> </w:t>
      </w:r>
      <w:r>
        <w:rPr>
          <w:color w:val="231F20"/>
        </w:rPr>
        <w:t>computer</w:t>
      </w:r>
      <w:r>
        <w:rPr>
          <w:color w:val="231F20"/>
          <w:spacing w:val="40"/>
        </w:rPr>
        <w:t> </w:t>
      </w:r>
      <w:r>
        <w:rPr>
          <w:color w:val="231F20"/>
        </w:rPr>
        <w:t>spreadsheet</w:t>
      </w:r>
      <w:r>
        <w:rPr>
          <w:color w:val="231F20"/>
          <w:spacing w:val="40"/>
        </w:rPr>
        <w:t> </w:t>
      </w:r>
      <w:r>
        <w:rPr>
          <w:color w:val="231F20"/>
        </w:rPr>
        <w:t>will</w:t>
      </w:r>
      <w:r>
        <w:rPr>
          <w:color w:val="231F20"/>
          <w:spacing w:val="40"/>
        </w:rPr>
        <w:t> </w:t>
      </w:r>
      <w:r>
        <w:rPr>
          <w:color w:val="231F20"/>
        </w:rPr>
        <w:t>calculate</w:t>
      </w:r>
      <w:r>
        <w:rPr>
          <w:color w:val="231F20"/>
          <w:spacing w:val="40"/>
        </w:rPr>
        <w:t> </w:t>
      </w:r>
      <w:r>
        <w:rPr>
          <w:color w:val="231F20"/>
        </w:rPr>
        <w:t>the</w:t>
      </w:r>
      <w:r>
        <w:rPr>
          <w:color w:val="231F20"/>
          <w:spacing w:val="40"/>
        </w:rPr>
        <w:t> </w:t>
      </w:r>
      <w:r>
        <w:rPr>
          <w:color w:val="231F20"/>
        </w:rPr>
        <w:t>linear</w:t>
      </w:r>
      <w:r>
        <w:rPr>
          <w:color w:val="231F20"/>
          <w:spacing w:val="40"/>
        </w:rPr>
        <w:t> </w:t>
      </w:r>
      <w:r>
        <w:rPr>
          <w:color w:val="231F20"/>
        </w:rPr>
        <w:t>equation</w:t>
      </w:r>
      <w:r>
        <w:rPr>
          <w:color w:val="231F20"/>
          <w:spacing w:val="40"/>
        </w:rPr>
        <w:t> </w:t>
      </w:r>
      <w:r>
        <w:rPr>
          <w:color w:val="231F20"/>
        </w:rPr>
        <w:t>(Y </w:t>
      </w:r>
      <w:r>
        <w:rPr>
          <w:rFonts w:ascii="Symbol" w:hAnsi="Symbol"/>
          <w:color w:val="231F20"/>
        </w:rPr>
        <w:t></w:t>
      </w:r>
      <w:r>
        <w:rPr>
          <w:rFonts w:ascii="Times New Roman" w:hAnsi="Times New Roman"/>
          <w:color w:val="231F20"/>
        </w:rPr>
        <w:t> </w:t>
      </w:r>
      <w:r>
        <w:rPr>
          <w:color w:val="231F20"/>
        </w:rPr>
        <w:t>mX </w:t>
      </w:r>
      <w:r>
        <w:rPr>
          <w:rFonts w:ascii="Symbol" w:hAnsi="Symbol"/>
          <w:color w:val="231F20"/>
        </w:rPr>
        <w:t></w:t>
      </w:r>
      <w:r>
        <w:rPr>
          <w:rFonts w:ascii="Times New Roman" w:hAnsi="Times New Roman"/>
          <w:color w:val="231F20"/>
        </w:rPr>
        <w:t> </w:t>
      </w:r>
      <w:r>
        <w:rPr>
          <w:color w:val="231F20"/>
        </w:rPr>
        <w:t>b) that defines the relationship between the independent and dependent variables. The program will determine whether </w:t>
      </w:r>
      <w:r>
        <w:rPr>
          <w:color w:val="231F20"/>
        </w:rPr>
        <w:t>the line that it has calculated as the best “fit” can be used as an accurate tool for forecasting.</w:t>
      </w:r>
    </w:p>
    <w:p>
      <w:pPr>
        <w:pStyle w:val="BodyText"/>
        <w:rPr>
          <w:sz w:val="24"/>
        </w:rPr>
      </w:pPr>
    </w:p>
    <w:p>
      <w:pPr>
        <w:pStyle w:val="BodyText"/>
        <w:spacing w:before="11"/>
        <w:rPr>
          <w:sz w:val="27"/>
        </w:rPr>
      </w:pPr>
    </w:p>
    <w:p>
      <w:pPr>
        <w:pStyle w:val="Heading6"/>
        <w:rPr>
          <w:i/>
        </w:rPr>
      </w:pPr>
      <w:r>
        <w:rPr>
          <w:i/>
          <w:color w:val="231F20"/>
          <w:w w:val="110"/>
        </w:rPr>
        <w:t>AN</w:t>
      </w:r>
      <w:r>
        <w:rPr>
          <w:i/>
          <w:color w:val="231F20"/>
          <w:spacing w:val="70"/>
          <w:w w:val="110"/>
        </w:rPr>
        <w:t> </w:t>
      </w:r>
      <w:r>
        <w:rPr>
          <w:i/>
          <w:color w:val="231F20"/>
          <w:w w:val="110"/>
        </w:rPr>
        <w:t>ICE</w:t>
      </w:r>
      <w:r>
        <w:rPr>
          <w:i/>
          <w:color w:val="231F20"/>
          <w:spacing w:val="70"/>
          <w:w w:val="110"/>
        </w:rPr>
        <w:t> </w:t>
      </w:r>
      <w:r>
        <w:rPr>
          <w:i/>
          <w:color w:val="231F20"/>
          <w:w w:val="110"/>
        </w:rPr>
        <w:t>CREAM</w:t>
      </w:r>
      <w:r>
        <w:rPr>
          <w:i/>
          <w:color w:val="231F20"/>
          <w:spacing w:val="70"/>
          <w:w w:val="110"/>
        </w:rPr>
        <w:t> </w:t>
      </w:r>
      <w:r>
        <w:rPr>
          <w:i/>
          <w:color w:val="231F20"/>
          <w:w w:val="110"/>
        </w:rPr>
        <w:t>REGRESSION</w:t>
      </w:r>
      <w:r>
        <w:rPr>
          <w:i/>
          <w:color w:val="231F20"/>
          <w:spacing w:val="70"/>
          <w:w w:val="110"/>
        </w:rPr>
        <w:t> </w:t>
      </w:r>
      <w:r>
        <w:rPr>
          <w:i/>
          <w:color w:val="231F20"/>
          <w:spacing w:val="8"/>
          <w:w w:val="110"/>
        </w:rPr>
        <w:t>EXAMPLE</w:t>
      </w:r>
    </w:p>
    <w:p>
      <w:pPr>
        <w:pStyle w:val="BodyText"/>
        <w:spacing w:before="2"/>
        <w:rPr>
          <w:b/>
          <w:i/>
          <w:sz w:val="30"/>
        </w:rPr>
      </w:pPr>
    </w:p>
    <w:p>
      <w:pPr>
        <w:pStyle w:val="BodyText"/>
        <w:spacing w:line="292" w:lineRule="auto"/>
        <w:ind w:left="920" w:right="666"/>
        <w:jc w:val="both"/>
      </w:pPr>
      <w:r>
        <w:rPr>
          <w:color w:val="231F20"/>
        </w:rPr>
        <w:t>The owner of a chain of twenty Ben </w:t>
      </w:r>
      <w:r>
        <w:rPr>
          <w:color w:val="231F20"/>
          <w:w w:val="110"/>
        </w:rPr>
        <w:t>&amp;</w:t>
      </w:r>
      <w:r>
        <w:rPr>
          <w:color w:val="231F20"/>
          <w:w w:val="110"/>
        </w:rPr>
        <w:t> </w:t>
      </w:r>
      <w:r>
        <w:rPr>
          <w:color w:val="231F20"/>
        </w:rPr>
        <w:t>Jerry’s ice cream shops no- ticed that as the temperature rose and fell, so did his sales. In an at- tempt</w:t>
      </w:r>
      <w:r>
        <w:rPr>
          <w:color w:val="231F20"/>
          <w:spacing w:val="24"/>
        </w:rPr>
        <w:t> </w:t>
      </w:r>
      <w:r>
        <w:rPr>
          <w:color w:val="231F20"/>
        </w:rPr>
        <w:t>to</w:t>
      </w:r>
      <w:r>
        <w:rPr>
          <w:color w:val="231F20"/>
          <w:spacing w:val="24"/>
        </w:rPr>
        <w:t> </w:t>
      </w:r>
      <w:r>
        <w:rPr>
          <w:color w:val="231F20"/>
        </w:rPr>
        <w:t>determine</w:t>
      </w:r>
      <w:r>
        <w:rPr>
          <w:color w:val="231F20"/>
          <w:spacing w:val="24"/>
        </w:rPr>
        <w:t> </w:t>
      </w:r>
      <w:r>
        <w:rPr>
          <w:color w:val="231F20"/>
        </w:rPr>
        <w:t>the</w:t>
      </w:r>
      <w:r>
        <w:rPr>
          <w:color w:val="231F20"/>
          <w:spacing w:val="24"/>
        </w:rPr>
        <w:t> </w:t>
      </w:r>
      <w:r>
        <w:rPr>
          <w:color w:val="231F20"/>
        </w:rPr>
        <w:t>precise</w:t>
      </w:r>
      <w:r>
        <w:rPr>
          <w:color w:val="231F20"/>
          <w:spacing w:val="24"/>
        </w:rPr>
        <w:t> </w:t>
      </w:r>
      <w:r>
        <w:rPr>
          <w:color w:val="231F20"/>
        </w:rPr>
        <w:t>mathematical</w:t>
      </w:r>
      <w:r>
        <w:rPr>
          <w:color w:val="231F20"/>
          <w:spacing w:val="24"/>
        </w:rPr>
        <w:t> </w:t>
      </w:r>
      <w:r>
        <w:rPr>
          <w:color w:val="231F20"/>
        </w:rPr>
        <w:t>relationship</w:t>
      </w:r>
      <w:r>
        <w:rPr>
          <w:color w:val="231F20"/>
          <w:spacing w:val="24"/>
        </w:rPr>
        <w:t> </w:t>
      </w:r>
      <w:r>
        <w:rPr>
          <w:color w:val="231F20"/>
        </w:rPr>
        <w:t>between</w:t>
      </w:r>
    </w:p>
    <w:p>
      <w:pPr>
        <w:spacing w:after="0" w:line="292" w:lineRule="auto"/>
        <w:jc w:val="both"/>
        <w:sectPr>
          <w:type w:val="continuous"/>
          <w:pgSz w:w="8640" w:h="12960"/>
          <w:pgMar w:header="732" w:footer="0" w:top="1220" w:bottom="280" w:left="340" w:right="500"/>
        </w:sectPr>
      </w:pPr>
    </w:p>
    <w:p>
      <w:pPr>
        <w:pStyle w:val="BodyText"/>
        <w:spacing w:before="10"/>
        <w:rPr>
          <w:sz w:val="17"/>
        </w:rPr>
      </w:pPr>
      <w:r>
        <w:rPr/>
        <w:pict>
          <v:rect style="position:absolute;margin-left:152.957352pt;margin-top:534.260071pt;width:4.930940pt;height:.7242pt;mso-position-horizontal-relative:page;mso-position-vertical-relative:page;z-index:-25115648" id="docshape333" filled="true" fillcolor="#231f20" stroked="false">
            <v:fill type="solid"/>
            <w10:wrap type="none"/>
          </v:rect>
        </w:pict>
      </w:r>
    </w:p>
    <w:p>
      <w:pPr>
        <w:pStyle w:val="BodyText"/>
        <w:spacing w:line="292" w:lineRule="auto" w:before="102"/>
        <w:ind w:left="830" w:right="753"/>
        <w:jc w:val="both"/>
      </w:pPr>
      <w:r>
        <w:rPr>
          <w:color w:val="231F20"/>
        </w:rPr>
        <w:t>sales and seasonal temperatures, he gathered the monthly sales data for the previous five years and the average temperatures for the months in question from the National Weather Service. His data looked as follows:</w:t>
      </w:r>
    </w:p>
    <w:p>
      <w:pPr>
        <w:pStyle w:val="BodyText"/>
        <w:spacing w:before="5"/>
        <w:rPr>
          <w:sz w:val="29"/>
        </w:rPr>
      </w:pPr>
    </w:p>
    <w:tbl>
      <w:tblPr>
        <w:tblW w:w="0" w:type="auto"/>
        <w:jc w:val="left"/>
        <w:tblInd w:w="1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2"/>
        <w:gridCol w:w="2798"/>
        <w:gridCol w:w="1390"/>
      </w:tblGrid>
      <w:tr>
        <w:trPr>
          <w:trHeight w:val="255" w:hRule="atLeast"/>
        </w:trPr>
        <w:tc>
          <w:tcPr>
            <w:tcW w:w="1432" w:type="dxa"/>
          </w:tcPr>
          <w:p>
            <w:pPr>
              <w:pStyle w:val="TableParagraph"/>
              <w:spacing w:line="227" w:lineRule="exact" w:before="0"/>
              <w:ind w:left="50"/>
              <w:jc w:val="left"/>
              <w:rPr>
                <w:b/>
                <w:i/>
                <w:sz w:val="20"/>
              </w:rPr>
            </w:pPr>
            <w:r>
              <w:rPr>
                <w:b/>
                <w:i/>
                <w:color w:val="231F20"/>
                <w:spacing w:val="-2"/>
                <w:w w:val="105"/>
                <w:sz w:val="20"/>
              </w:rPr>
              <w:t>MONTH</w:t>
            </w:r>
          </w:p>
        </w:tc>
        <w:tc>
          <w:tcPr>
            <w:tcW w:w="2798" w:type="dxa"/>
          </w:tcPr>
          <w:p>
            <w:pPr>
              <w:pStyle w:val="TableParagraph"/>
              <w:spacing w:line="227" w:lineRule="exact" w:before="0"/>
              <w:ind w:left="406" w:right="388"/>
              <w:rPr>
                <w:b/>
                <w:i/>
                <w:sz w:val="20"/>
              </w:rPr>
            </w:pPr>
            <w:r>
              <w:rPr>
                <w:b/>
                <w:i/>
                <w:color w:val="231F20"/>
                <w:w w:val="105"/>
                <w:sz w:val="20"/>
              </w:rPr>
              <w:t>AVERAGE</w:t>
            </w:r>
            <w:r>
              <w:rPr>
                <w:b/>
                <w:i/>
                <w:color w:val="231F20"/>
                <w:spacing w:val="11"/>
                <w:w w:val="105"/>
                <w:sz w:val="20"/>
              </w:rPr>
              <w:t> </w:t>
            </w:r>
            <w:r>
              <w:rPr>
                <w:b/>
                <w:i/>
                <w:color w:val="231F20"/>
                <w:w w:val="105"/>
                <w:sz w:val="20"/>
              </w:rPr>
              <w:t>DEGREES</w:t>
            </w:r>
            <w:r>
              <w:rPr>
                <w:b/>
                <w:i/>
                <w:color w:val="231F20"/>
                <w:spacing w:val="12"/>
                <w:w w:val="105"/>
                <w:sz w:val="20"/>
              </w:rPr>
              <w:t> </w:t>
            </w:r>
            <w:r>
              <w:rPr>
                <w:b/>
                <w:i/>
                <w:color w:val="231F20"/>
                <w:spacing w:val="-10"/>
                <w:w w:val="105"/>
                <w:sz w:val="20"/>
              </w:rPr>
              <w:t>F</w:t>
            </w:r>
          </w:p>
        </w:tc>
        <w:tc>
          <w:tcPr>
            <w:tcW w:w="1390" w:type="dxa"/>
          </w:tcPr>
          <w:p>
            <w:pPr>
              <w:pStyle w:val="TableParagraph"/>
              <w:spacing w:line="227" w:lineRule="exact" w:before="0"/>
              <w:ind w:left="580"/>
              <w:jc w:val="left"/>
              <w:rPr>
                <w:b/>
                <w:i/>
                <w:sz w:val="20"/>
              </w:rPr>
            </w:pPr>
            <w:r>
              <w:rPr>
                <w:b/>
                <w:i/>
                <w:color w:val="231F20"/>
                <w:spacing w:val="-2"/>
                <w:w w:val="110"/>
                <w:sz w:val="20"/>
              </w:rPr>
              <w:t>SALES</w:t>
            </w:r>
          </w:p>
        </w:tc>
      </w:tr>
      <w:tr>
        <w:trPr>
          <w:trHeight w:val="300" w:hRule="atLeast"/>
        </w:trPr>
        <w:tc>
          <w:tcPr>
            <w:tcW w:w="1432" w:type="dxa"/>
          </w:tcPr>
          <w:p>
            <w:pPr>
              <w:pStyle w:val="TableParagraph"/>
              <w:spacing w:before="27"/>
              <w:ind w:left="50"/>
              <w:jc w:val="left"/>
              <w:rPr>
                <w:sz w:val="21"/>
              </w:rPr>
            </w:pPr>
            <w:r>
              <w:rPr>
                <w:color w:val="231F20"/>
                <w:spacing w:val="-2"/>
                <w:w w:val="105"/>
                <w:sz w:val="21"/>
              </w:rPr>
              <w:t>January</w:t>
            </w:r>
          </w:p>
        </w:tc>
        <w:tc>
          <w:tcPr>
            <w:tcW w:w="2798" w:type="dxa"/>
          </w:tcPr>
          <w:p>
            <w:pPr>
              <w:pStyle w:val="TableParagraph"/>
              <w:spacing w:before="27"/>
              <w:ind w:left="406" w:right="388"/>
              <w:rPr>
                <w:sz w:val="21"/>
              </w:rPr>
            </w:pPr>
            <w:r>
              <w:rPr>
                <w:color w:val="231F20"/>
                <w:spacing w:val="-5"/>
                <w:sz w:val="21"/>
              </w:rPr>
              <w:t>33</w:t>
            </w:r>
          </w:p>
        </w:tc>
        <w:tc>
          <w:tcPr>
            <w:tcW w:w="1390" w:type="dxa"/>
          </w:tcPr>
          <w:p>
            <w:pPr>
              <w:pStyle w:val="TableParagraph"/>
              <w:spacing w:before="27"/>
              <w:ind w:right="47"/>
              <w:jc w:val="right"/>
              <w:rPr>
                <w:sz w:val="21"/>
              </w:rPr>
            </w:pPr>
            <w:r>
              <w:rPr>
                <w:color w:val="231F20"/>
                <w:spacing w:val="-2"/>
                <w:w w:val="105"/>
                <w:sz w:val="21"/>
              </w:rPr>
              <w:t>$200,000</w:t>
            </w:r>
          </w:p>
        </w:tc>
      </w:tr>
      <w:tr>
        <w:trPr>
          <w:trHeight w:val="300" w:hRule="atLeast"/>
        </w:trPr>
        <w:tc>
          <w:tcPr>
            <w:tcW w:w="1432" w:type="dxa"/>
          </w:tcPr>
          <w:p>
            <w:pPr>
              <w:pStyle w:val="TableParagraph"/>
              <w:spacing w:before="26"/>
              <w:ind w:left="50"/>
              <w:jc w:val="left"/>
              <w:rPr>
                <w:sz w:val="21"/>
              </w:rPr>
            </w:pPr>
            <w:r>
              <w:rPr>
                <w:color w:val="231F20"/>
                <w:spacing w:val="-2"/>
                <w:sz w:val="21"/>
              </w:rPr>
              <w:t>February</w:t>
            </w:r>
          </w:p>
        </w:tc>
        <w:tc>
          <w:tcPr>
            <w:tcW w:w="2798" w:type="dxa"/>
          </w:tcPr>
          <w:p>
            <w:pPr>
              <w:pStyle w:val="TableParagraph"/>
              <w:spacing w:before="26"/>
              <w:ind w:left="406" w:right="388"/>
              <w:rPr>
                <w:sz w:val="21"/>
              </w:rPr>
            </w:pPr>
            <w:r>
              <w:rPr>
                <w:color w:val="231F20"/>
                <w:spacing w:val="-5"/>
                <w:sz w:val="21"/>
              </w:rPr>
              <w:t>37</w:t>
            </w:r>
          </w:p>
        </w:tc>
        <w:tc>
          <w:tcPr>
            <w:tcW w:w="1390" w:type="dxa"/>
          </w:tcPr>
          <w:p>
            <w:pPr>
              <w:pStyle w:val="TableParagraph"/>
              <w:spacing w:before="26"/>
              <w:ind w:right="47"/>
              <w:jc w:val="right"/>
              <w:rPr>
                <w:sz w:val="21"/>
              </w:rPr>
            </w:pPr>
            <w:r>
              <w:rPr>
                <w:color w:val="231F20"/>
                <w:spacing w:val="-2"/>
                <w:w w:val="105"/>
                <w:sz w:val="21"/>
              </w:rPr>
              <w:t>250,000</w:t>
            </w:r>
          </w:p>
        </w:tc>
      </w:tr>
      <w:tr>
        <w:trPr>
          <w:trHeight w:val="300" w:hRule="atLeast"/>
        </w:trPr>
        <w:tc>
          <w:tcPr>
            <w:tcW w:w="1432" w:type="dxa"/>
          </w:tcPr>
          <w:p>
            <w:pPr>
              <w:pStyle w:val="TableParagraph"/>
              <w:spacing w:before="26"/>
              <w:ind w:left="50"/>
              <w:jc w:val="left"/>
              <w:rPr>
                <w:sz w:val="21"/>
              </w:rPr>
            </w:pPr>
            <w:r>
              <w:rPr>
                <w:color w:val="231F20"/>
                <w:spacing w:val="-2"/>
                <w:w w:val="110"/>
                <w:sz w:val="21"/>
              </w:rPr>
              <w:t>March</w:t>
            </w:r>
          </w:p>
        </w:tc>
        <w:tc>
          <w:tcPr>
            <w:tcW w:w="2798" w:type="dxa"/>
          </w:tcPr>
          <w:p>
            <w:pPr>
              <w:pStyle w:val="TableParagraph"/>
              <w:spacing w:before="26"/>
              <w:ind w:left="406" w:right="388"/>
              <w:rPr>
                <w:sz w:val="21"/>
              </w:rPr>
            </w:pPr>
            <w:r>
              <w:rPr>
                <w:color w:val="231F20"/>
                <w:spacing w:val="-5"/>
                <w:sz w:val="21"/>
              </w:rPr>
              <w:t>72</w:t>
            </w:r>
          </w:p>
        </w:tc>
        <w:tc>
          <w:tcPr>
            <w:tcW w:w="1390" w:type="dxa"/>
          </w:tcPr>
          <w:p>
            <w:pPr>
              <w:pStyle w:val="TableParagraph"/>
              <w:spacing w:before="26"/>
              <w:ind w:right="47"/>
              <w:jc w:val="right"/>
              <w:rPr>
                <w:sz w:val="21"/>
              </w:rPr>
            </w:pPr>
            <w:r>
              <w:rPr>
                <w:color w:val="231F20"/>
                <w:spacing w:val="-2"/>
                <w:w w:val="105"/>
                <w:sz w:val="21"/>
              </w:rPr>
              <w:t>400,000</w:t>
            </w:r>
          </w:p>
        </w:tc>
      </w:tr>
      <w:tr>
        <w:trPr>
          <w:trHeight w:val="300" w:hRule="atLeast"/>
        </w:trPr>
        <w:tc>
          <w:tcPr>
            <w:tcW w:w="1432" w:type="dxa"/>
          </w:tcPr>
          <w:p>
            <w:pPr>
              <w:pStyle w:val="TableParagraph"/>
              <w:spacing w:before="26"/>
              <w:ind w:left="50"/>
              <w:jc w:val="left"/>
              <w:rPr>
                <w:sz w:val="21"/>
              </w:rPr>
            </w:pPr>
            <w:r>
              <w:rPr>
                <w:color w:val="231F20"/>
                <w:spacing w:val="-2"/>
                <w:w w:val="105"/>
                <w:sz w:val="21"/>
              </w:rPr>
              <w:t>April</w:t>
            </w:r>
          </w:p>
        </w:tc>
        <w:tc>
          <w:tcPr>
            <w:tcW w:w="2798" w:type="dxa"/>
          </w:tcPr>
          <w:p>
            <w:pPr>
              <w:pStyle w:val="TableParagraph"/>
              <w:spacing w:before="26"/>
              <w:ind w:left="406" w:right="388"/>
              <w:rPr>
                <w:sz w:val="21"/>
              </w:rPr>
            </w:pPr>
            <w:r>
              <w:rPr>
                <w:color w:val="231F20"/>
                <w:spacing w:val="-5"/>
                <w:sz w:val="21"/>
              </w:rPr>
              <w:t>65</w:t>
            </w:r>
          </w:p>
        </w:tc>
        <w:tc>
          <w:tcPr>
            <w:tcW w:w="1390" w:type="dxa"/>
          </w:tcPr>
          <w:p>
            <w:pPr>
              <w:pStyle w:val="TableParagraph"/>
              <w:spacing w:before="26"/>
              <w:ind w:right="47"/>
              <w:jc w:val="right"/>
              <w:rPr>
                <w:sz w:val="21"/>
              </w:rPr>
            </w:pPr>
            <w:r>
              <w:rPr>
                <w:color w:val="231F20"/>
                <w:spacing w:val="-2"/>
                <w:w w:val="105"/>
                <w:sz w:val="21"/>
              </w:rPr>
              <w:t>500,000</w:t>
            </w:r>
          </w:p>
        </w:tc>
      </w:tr>
      <w:tr>
        <w:trPr>
          <w:trHeight w:val="300" w:hRule="atLeast"/>
        </w:trPr>
        <w:tc>
          <w:tcPr>
            <w:tcW w:w="1432" w:type="dxa"/>
          </w:tcPr>
          <w:p>
            <w:pPr>
              <w:pStyle w:val="TableParagraph"/>
              <w:spacing w:before="26"/>
              <w:ind w:left="50"/>
              <w:jc w:val="left"/>
              <w:rPr>
                <w:sz w:val="21"/>
              </w:rPr>
            </w:pPr>
            <w:r>
              <w:rPr>
                <w:color w:val="231F20"/>
                <w:spacing w:val="-5"/>
                <w:w w:val="110"/>
                <w:sz w:val="21"/>
              </w:rPr>
              <w:t>May</w:t>
            </w:r>
          </w:p>
        </w:tc>
        <w:tc>
          <w:tcPr>
            <w:tcW w:w="2798" w:type="dxa"/>
          </w:tcPr>
          <w:p>
            <w:pPr>
              <w:pStyle w:val="TableParagraph"/>
              <w:spacing w:before="26"/>
              <w:ind w:left="406" w:right="388"/>
              <w:rPr>
                <w:sz w:val="21"/>
              </w:rPr>
            </w:pPr>
            <w:r>
              <w:rPr>
                <w:color w:val="231F20"/>
                <w:spacing w:val="-5"/>
                <w:sz w:val="21"/>
              </w:rPr>
              <w:t>78</w:t>
            </w:r>
          </w:p>
        </w:tc>
        <w:tc>
          <w:tcPr>
            <w:tcW w:w="1390" w:type="dxa"/>
          </w:tcPr>
          <w:p>
            <w:pPr>
              <w:pStyle w:val="TableParagraph"/>
              <w:spacing w:before="26"/>
              <w:ind w:right="47"/>
              <w:jc w:val="right"/>
              <w:rPr>
                <w:sz w:val="21"/>
              </w:rPr>
            </w:pPr>
            <w:r>
              <w:rPr>
                <w:color w:val="231F20"/>
                <w:spacing w:val="-2"/>
                <w:w w:val="105"/>
                <w:sz w:val="21"/>
              </w:rPr>
              <w:t>900,000</w:t>
            </w:r>
          </w:p>
        </w:tc>
      </w:tr>
      <w:tr>
        <w:trPr>
          <w:trHeight w:val="300" w:hRule="atLeast"/>
        </w:trPr>
        <w:tc>
          <w:tcPr>
            <w:tcW w:w="1432" w:type="dxa"/>
          </w:tcPr>
          <w:p>
            <w:pPr>
              <w:pStyle w:val="TableParagraph"/>
              <w:spacing w:before="26"/>
              <w:ind w:left="50"/>
              <w:jc w:val="left"/>
              <w:rPr>
                <w:sz w:val="21"/>
              </w:rPr>
            </w:pPr>
            <w:r>
              <w:rPr>
                <w:color w:val="231F20"/>
                <w:spacing w:val="-4"/>
                <w:w w:val="105"/>
                <w:sz w:val="21"/>
              </w:rPr>
              <w:t>June</w:t>
            </w:r>
          </w:p>
        </w:tc>
        <w:tc>
          <w:tcPr>
            <w:tcW w:w="2798" w:type="dxa"/>
          </w:tcPr>
          <w:p>
            <w:pPr>
              <w:pStyle w:val="TableParagraph"/>
              <w:spacing w:before="26"/>
              <w:ind w:left="406" w:right="388"/>
              <w:rPr>
                <w:sz w:val="21"/>
              </w:rPr>
            </w:pPr>
            <w:r>
              <w:rPr>
                <w:color w:val="231F20"/>
                <w:spacing w:val="-5"/>
                <w:sz w:val="21"/>
              </w:rPr>
              <w:t>85</w:t>
            </w:r>
          </w:p>
        </w:tc>
        <w:tc>
          <w:tcPr>
            <w:tcW w:w="1390" w:type="dxa"/>
          </w:tcPr>
          <w:p>
            <w:pPr>
              <w:pStyle w:val="TableParagraph"/>
              <w:spacing w:before="26"/>
              <w:ind w:right="47"/>
              <w:jc w:val="right"/>
              <w:rPr>
                <w:sz w:val="21"/>
              </w:rPr>
            </w:pPr>
            <w:r>
              <w:rPr>
                <w:color w:val="231F20"/>
                <w:spacing w:val="-2"/>
                <w:w w:val="105"/>
                <w:sz w:val="21"/>
              </w:rPr>
              <w:t>1,100,000</w:t>
            </w:r>
          </w:p>
        </w:tc>
      </w:tr>
      <w:tr>
        <w:trPr>
          <w:trHeight w:val="300" w:hRule="atLeast"/>
        </w:trPr>
        <w:tc>
          <w:tcPr>
            <w:tcW w:w="1432" w:type="dxa"/>
          </w:tcPr>
          <w:p>
            <w:pPr>
              <w:pStyle w:val="TableParagraph"/>
              <w:spacing w:before="26"/>
              <w:ind w:left="50"/>
              <w:jc w:val="left"/>
              <w:rPr>
                <w:sz w:val="21"/>
              </w:rPr>
            </w:pPr>
            <w:r>
              <w:rPr>
                <w:color w:val="231F20"/>
                <w:spacing w:val="-4"/>
                <w:w w:val="105"/>
                <w:sz w:val="21"/>
              </w:rPr>
              <w:t>July</w:t>
            </w:r>
          </w:p>
        </w:tc>
        <w:tc>
          <w:tcPr>
            <w:tcW w:w="2798" w:type="dxa"/>
          </w:tcPr>
          <w:p>
            <w:pPr>
              <w:pStyle w:val="TableParagraph"/>
              <w:spacing w:before="26"/>
              <w:ind w:left="406" w:right="388"/>
              <w:rPr>
                <w:sz w:val="21"/>
              </w:rPr>
            </w:pPr>
            <w:r>
              <w:rPr>
                <w:color w:val="231F20"/>
                <w:spacing w:val="-5"/>
                <w:sz w:val="21"/>
              </w:rPr>
              <w:t>88</w:t>
            </w:r>
          </w:p>
        </w:tc>
        <w:tc>
          <w:tcPr>
            <w:tcW w:w="1390" w:type="dxa"/>
          </w:tcPr>
          <w:p>
            <w:pPr>
              <w:pStyle w:val="TableParagraph"/>
              <w:spacing w:before="26"/>
              <w:ind w:right="47"/>
              <w:jc w:val="right"/>
              <w:rPr>
                <w:sz w:val="21"/>
              </w:rPr>
            </w:pPr>
            <w:r>
              <w:rPr>
                <w:color w:val="231F20"/>
                <w:spacing w:val="-2"/>
                <w:w w:val="105"/>
                <w:sz w:val="21"/>
              </w:rPr>
              <w:t>1,500,000</w:t>
            </w:r>
          </w:p>
        </w:tc>
      </w:tr>
      <w:tr>
        <w:trPr>
          <w:trHeight w:val="300" w:hRule="atLeast"/>
        </w:trPr>
        <w:tc>
          <w:tcPr>
            <w:tcW w:w="1432" w:type="dxa"/>
          </w:tcPr>
          <w:p>
            <w:pPr>
              <w:pStyle w:val="TableParagraph"/>
              <w:spacing w:before="26"/>
              <w:ind w:left="50"/>
              <w:jc w:val="left"/>
              <w:rPr>
                <w:sz w:val="21"/>
              </w:rPr>
            </w:pPr>
            <w:r>
              <w:rPr>
                <w:color w:val="231F20"/>
                <w:spacing w:val="-2"/>
                <w:w w:val="105"/>
                <w:sz w:val="21"/>
              </w:rPr>
              <w:t>August</w:t>
            </w:r>
          </w:p>
        </w:tc>
        <w:tc>
          <w:tcPr>
            <w:tcW w:w="2798" w:type="dxa"/>
          </w:tcPr>
          <w:p>
            <w:pPr>
              <w:pStyle w:val="TableParagraph"/>
              <w:spacing w:before="26"/>
              <w:ind w:left="406" w:right="388"/>
              <w:rPr>
                <w:sz w:val="21"/>
              </w:rPr>
            </w:pPr>
            <w:r>
              <w:rPr>
                <w:color w:val="231F20"/>
                <w:spacing w:val="-5"/>
                <w:sz w:val="21"/>
              </w:rPr>
              <w:t>91</w:t>
            </w:r>
          </w:p>
        </w:tc>
        <w:tc>
          <w:tcPr>
            <w:tcW w:w="1390" w:type="dxa"/>
          </w:tcPr>
          <w:p>
            <w:pPr>
              <w:pStyle w:val="TableParagraph"/>
              <w:spacing w:before="26"/>
              <w:ind w:right="47"/>
              <w:jc w:val="right"/>
              <w:rPr>
                <w:sz w:val="21"/>
              </w:rPr>
            </w:pPr>
            <w:r>
              <w:rPr>
                <w:color w:val="231F20"/>
                <w:spacing w:val="-2"/>
                <w:w w:val="105"/>
                <w:sz w:val="21"/>
              </w:rPr>
              <w:t>1,300,000</w:t>
            </w:r>
          </w:p>
        </w:tc>
      </w:tr>
      <w:tr>
        <w:trPr>
          <w:trHeight w:val="300" w:hRule="atLeast"/>
        </w:trPr>
        <w:tc>
          <w:tcPr>
            <w:tcW w:w="1432" w:type="dxa"/>
          </w:tcPr>
          <w:p>
            <w:pPr>
              <w:pStyle w:val="TableParagraph"/>
              <w:spacing w:before="26"/>
              <w:ind w:left="50"/>
              <w:jc w:val="left"/>
              <w:rPr>
                <w:sz w:val="21"/>
              </w:rPr>
            </w:pPr>
            <w:r>
              <w:rPr>
                <w:color w:val="231F20"/>
                <w:spacing w:val="-2"/>
                <w:sz w:val="21"/>
              </w:rPr>
              <w:t>September</w:t>
            </w:r>
          </w:p>
        </w:tc>
        <w:tc>
          <w:tcPr>
            <w:tcW w:w="2798" w:type="dxa"/>
          </w:tcPr>
          <w:p>
            <w:pPr>
              <w:pStyle w:val="TableParagraph"/>
              <w:spacing w:before="26"/>
              <w:ind w:left="406" w:right="388"/>
              <w:rPr>
                <w:sz w:val="21"/>
              </w:rPr>
            </w:pPr>
            <w:r>
              <w:rPr>
                <w:color w:val="231F20"/>
                <w:spacing w:val="-5"/>
                <w:sz w:val="21"/>
              </w:rPr>
              <w:t>82</w:t>
            </w:r>
          </w:p>
        </w:tc>
        <w:tc>
          <w:tcPr>
            <w:tcW w:w="1390" w:type="dxa"/>
          </w:tcPr>
          <w:p>
            <w:pPr>
              <w:pStyle w:val="TableParagraph"/>
              <w:spacing w:before="26"/>
              <w:ind w:right="47"/>
              <w:jc w:val="right"/>
              <w:rPr>
                <w:sz w:val="21"/>
              </w:rPr>
            </w:pPr>
            <w:r>
              <w:rPr>
                <w:color w:val="231F20"/>
                <w:spacing w:val="-2"/>
                <w:w w:val="105"/>
                <w:sz w:val="21"/>
              </w:rPr>
              <w:t>800,000</w:t>
            </w:r>
          </w:p>
        </w:tc>
      </w:tr>
      <w:tr>
        <w:trPr>
          <w:trHeight w:val="300" w:hRule="atLeast"/>
        </w:trPr>
        <w:tc>
          <w:tcPr>
            <w:tcW w:w="1432" w:type="dxa"/>
          </w:tcPr>
          <w:p>
            <w:pPr>
              <w:pStyle w:val="TableParagraph"/>
              <w:spacing w:before="26"/>
              <w:ind w:left="50"/>
              <w:jc w:val="left"/>
              <w:rPr>
                <w:sz w:val="21"/>
              </w:rPr>
            </w:pPr>
            <w:r>
              <w:rPr>
                <w:color w:val="231F20"/>
                <w:spacing w:val="-2"/>
                <w:w w:val="105"/>
                <w:sz w:val="21"/>
              </w:rPr>
              <w:t>October</w:t>
            </w:r>
          </w:p>
        </w:tc>
        <w:tc>
          <w:tcPr>
            <w:tcW w:w="2798" w:type="dxa"/>
          </w:tcPr>
          <w:p>
            <w:pPr>
              <w:pStyle w:val="TableParagraph"/>
              <w:spacing w:before="26"/>
              <w:ind w:left="406" w:right="388"/>
              <w:rPr>
                <w:sz w:val="21"/>
              </w:rPr>
            </w:pPr>
            <w:r>
              <w:rPr>
                <w:color w:val="231F20"/>
                <w:spacing w:val="-5"/>
                <w:sz w:val="21"/>
              </w:rPr>
              <w:t>73</w:t>
            </w:r>
          </w:p>
        </w:tc>
        <w:tc>
          <w:tcPr>
            <w:tcW w:w="1390" w:type="dxa"/>
          </w:tcPr>
          <w:p>
            <w:pPr>
              <w:pStyle w:val="TableParagraph"/>
              <w:spacing w:before="26"/>
              <w:ind w:right="47"/>
              <w:jc w:val="right"/>
              <w:rPr>
                <w:sz w:val="21"/>
              </w:rPr>
            </w:pPr>
            <w:r>
              <w:rPr>
                <w:color w:val="231F20"/>
                <w:spacing w:val="-2"/>
                <w:w w:val="105"/>
                <w:sz w:val="21"/>
              </w:rPr>
              <w:t>600,000</w:t>
            </w:r>
          </w:p>
        </w:tc>
      </w:tr>
      <w:tr>
        <w:trPr>
          <w:trHeight w:val="300" w:hRule="atLeast"/>
        </w:trPr>
        <w:tc>
          <w:tcPr>
            <w:tcW w:w="1432" w:type="dxa"/>
          </w:tcPr>
          <w:p>
            <w:pPr>
              <w:pStyle w:val="TableParagraph"/>
              <w:spacing w:before="26"/>
              <w:ind w:left="50"/>
              <w:jc w:val="left"/>
              <w:rPr>
                <w:sz w:val="21"/>
              </w:rPr>
            </w:pPr>
            <w:r>
              <w:rPr>
                <w:color w:val="231F20"/>
                <w:spacing w:val="-2"/>
                <w:w w:val="105"/>
                <w:sz w:val="21"/>
              </w:rPr>
              <w:t>November</w:t>
            </w:r>
          </w:p>
        </w:tc>
        <w:tc>
          <w:tcPr>
            <w:tcW w:w="2798" w:type="dxa"/>
          </w:tcPr>
          <w:p>
            <w:pPr>
              <w:pStyle w:val="TableParagraph"/>
              <w:spacing w:before="26"/>
              <w:ind w:left="406" w:right="388"/>
              <w:rPr>
                <w:sz w:val="21"/>
              </w:rPr>
            </w:pPr>
            <w:r>
              <w:rPr>
                <w:color w:val="231F20"/>
                <w:spacing w:val="-5"/>
                <w:sz w:val="21"/>
              </w:rPr>
              <w:t>45</w:t>
            </w:r>
          </w:p>
        </w:tc>
        <w:tc>
          <w:tcPr>
            <w:tcW w:w="1390" w:type="dxa"/>
          </w:tcPr>
          <w:p>
            <w:pPr>
              <w:pStyle w:val="TableParagraph"/>
              <w:spacing w:before="26"/>
              <w:ind w:right="47"/>
              <w:jc w:val="right"/>
              <w:rPr>
                <w:sz w:val="21"/>
              </w:rPr>
            </w:pPr>
            <w:r>
              <w:rPr>
                <w:color w:val="231F20"/>
                <w:spacing w:val="-2"/>
                <w:w w:val="105"/>
                <w:sz w:val="21"/>
              </w:rPr>
              <w:t>300,000</w:t>
            </w:r>
          </w:p>
        </w:tc>
      </w:tr>
      <w:tr>
        <w:trPr>
          <w:trHeight w:val="274" w:hRule="atLeast"/>
        </w:trPr>
        <w:tc>
          <w:tcPr>
            <w:tcW w:w="1432" w:type="dxa"/>
          </w:tcPr>
          <w:p>
            <w:pPr>
              <w:pStyle w:val="TableParagraph"/>
              <w:spacing w:line="228" w:lineRule="exact" w:before="26"/>
              <w:ind w:left="50"/>
              <w:jc w:val="left"/>
              <w:rPr>
                <w:sz w:val="21"/>
              </w:rPr>
            </w:pPr>
            <w:r>
              <w:rPr>
                <w:color w:val="231F20"/>
                <w:spacing w:val="-2"/>
                <w:sz w:val="21"/>
              </w:rPr>
              <w:t>December</w:t>
            </w:r>
          </w:p>
        </w:tc>
        <w:tc>
          <w:tcPr>
            <w:tcW w:w="2798" w:type="dxa"/>
          </w:tcPr>
          <w:p>
            <w:pPr>
              <w:pStyle w:val="TableParagraph"/>
              <w:spacing w:line="228" w:lineRule="exact" w:before="26"/>
              <w:ind w:left="406" w:right="388"/>
              <w:rPr>
                <w:sz w:val="21"/>
              </w:rPr>
            </w:pPr>
            <w:r>
              <w:rPr>
                <w:color w:val="231F20"/>
                <w:spacing w:val="-5"/>
                <w:sz w:val="21"/>
              </w:rPr>
              <w:t>36</w:t>
            </w:r>
          </w:p>
        </w:tc>
        <w:tc>
          <w:tcPr>
            <w:tcW w:w="1390" w:type="dxa"/>
          </w:tcPr>
          <w:p>
            <w:pPr>
              <w:pStyle w:val="TableParagraph"/>
              <w:spacing w:line="228" w:lineRule="exact" w:before="26"/>
              <w:ind w:right="47"/>
              <w:jc w:val="right"/>
              <w:rPr>
                <w:sz w:val="21"/>
              </w:rPr>
            </w:pPr>
            <w:r>
              <w:rPr>
                <w:color w:val="231F20"/>
                <w:spacing w:val="-2"/>
                <w:w w:val="105"/>
                <w:sz w:val="21"/>
              </w:rPr>
              <w:t>500,000</w:t>
            </w:r>
          </w:p>
        </w:tc>
      </w:tr>
    </w:tbl>
    <w:p>
      <w:pPr>
        <w:pStyle w:val="BodyText"/>
        <w:spacing w:before="2"/>
        <w:rPr>
          <w:sz w:val="30"/>
        </w:rPr>
      </w:pPr>
    </w:p>
    <w:p>
      <w:pPr>
        <w:pStyle w:val="BodyText"/>
        <w:spacing w:line="292" w:lineRule="auto" w:before="1"/>
        <w:ind w:left="830" w:firstLine="340"/>
      </w:pPr>
      <w:r>
        <w:rPr>
          <w:color w:val="231F20"/>
        </w:rPr>
        <w:t>Using</w:t>
      </w:r>
      <w:r>
        <w:rPr>
          <w:color w:val="231F20"/>
          <w:spacing w:val="36"/>
        </w:rPr>
        <w:t> </w:t>
      </w:r>
      <w:r>
        <w:rPr>
          <w:color w:val="231F20"/>
        </w:rPr>
        <w:t>the</w:t>
      </w:r>
      <w:r>
        <w:rPr>
          <w:color w:val="231F20"/>
          <w:spacing w:val="36"/>
        </w:rPr>
        <w:t> </w:t>
      </w:r>
      <w:r>
        <w:rPr>
          <w:color w:val="231F20"/>
        </w:rPr>
        <w:t>“Regression”</w:t>
      </w:r>
      <w:r>
        <w:rPr>
          <w:color w:val="231F20"/>
          <w:spacing w:val="36"/>
        </w:rPr>
        <w:t> </w:t>
      </w:r>
      <w:r>
        <w:rPr>
          <w:color w:val="231F20"/>
        </w:rPr>
        <w:t>function</w:t>
      </w:r>
      <w:r>
        <w:rPr>
          <w:color w:val="231F20"/>
          <w:spacing w:val="36"/>
        </w:rPr>
        <w:t> </w:t>
      </w:r>
      <w:r>
        <w:rPr>
          <w:color w:val="231F20"/>
        </w:rPr>
        <w:t>of</w:t>
      </w:r>
      <w:r>
        <w:rPr>
          <w:color w:val="231F20"/>
          <w:spacing w:val="36"/>
        </w:rPr>
        <w:t> </w:t>
      </w:r>
      <w:r>
        <w:rPr>
          <w:color w:val="231F20"/>
        </w:rPr>
        <w:t>the</w:t>
      </w:r>
      <w:r>
        <w:rPr>
          <w:color w:val="231F20"/>
          <w:spacing w:val="36"/>
        </w:rPr>
        <w:t> </w:t>
      </w:r>
      <w:r>
        <w:rPr>
          <w:color w:val="231F20"/>
        </w:rPr>
        <w:t>spreadsheet,</w:t>
      </w:r>
      <w:r>
        <w:rPr>
          <w:color w:val="231F20"/>
          <w:spacing w:val="36"/>
        </w:rPr>
        <w:t> </w:t>
      </w:r>
      <w:r>
        <w:rPr>
          <w:color w:val="231F20"/>
        </w:rPr>
        <w:t>the</w:t>
      </w:r>
      <w:r>
        <w:rPr>
          <w:color w:val="231F20"/>
          <w:spacing w:val="36"/>
        </w:rPr>
        <w:t> </w:t>
      </w:r>
      <w:r>
        <w:rPr>
          <w:color w:val="231F20"/>
        </w:rPr>
        <w:t>owner generated the following Excel output:</w:t>
      </w:r>
    </w:p>
    <w:p>
      <w:pPr>
        <w:pStyle w:val="BodyText"/>
        <w:spacing w:before="10"/>
        <w:rPr>
          <w:sz w:val="28"/>
        </w:rPr>
      </w:pPr>
    </w:p>
    <w:p>
      <w:pPr>
        <w:spacing w:before="0"/>
        <w:ind w:left="295" w:right="219" w:firstLine="0"/>
        <w:jc w:val="center"/>
        <w:rPr>
          <w:b/>
          <w:sz w:val="20"/>
        </w:rPr>
      </w:pPr>
      <w:r>
        <w:rPr>
          <w:b/>
          <w:color w:val="231F20"/>
          <w:w w:val="110"/>
          <w:sz w:val="20"/>
        </w:rPr>
        <w:t>SUMMARY</w:t>
      </w:r>
      <w:r>
        <w:rPr>
          <w:b/>
          <w:color w:val="231F20"/>
          <w:spacing w:val="61"/>
          <w:w w:val="110"/>
          <w:sz w:val="20"/>
        </w:rPr>
        <w:t> </w:t>
      </w:r>
      <w:r>
        <w:rPr>
          <w:b/>
          <w:color w:val="231F20"/>
          <w:spacing w:val="-2"/>
          <w:w w:val="110"/>
          <w:sz w:val="20"/>
        </w:rPr>
        <w:t>OUTPUT</w:t>
      </w:r>
    </w:p>
    <w:p>
      <w:pPr>
        <w:pStyle w:val="BodyText"/>
        <w:spacing w:before="5"/>
        <w:rPr>
          <w:b/>
          <w:sz w:val="6"/>
        </w:rPr>
      </w:pPr>
    </w:p>
    <w:tbl>
      <w:tblPr>
        <w:tblW w:w="0" w:type="auto"/>
        <w:jc w:val="left"/>
        <w:tblInd w:w="1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16"/>
        <w:gridCol w:w="1495"/>
        <w:gridCol w:w="1508"/>
        <w:gridCol w:w="1014"/>
      </w:tblGrid>
      <w:tr>
        <w:trPr>
          <w:trHeight w:val="472" w:hRule="atLeast"/>
        </w:trPr>
        <w:tc>
          <w:tcPr>
            <w:tcW w:w="5533" w:type="dxa"/>
            <w:gridSpan w:val="4"/>
            <w:tcBorders>
              <w:top w:val="single" w:sz="8" w:space="0" w:color="231F20"/>
            </w:tcBorders>
          </w:tcPr>
          <w:p>
            <w:pPr>
              <w:pStyle w:val="TableParagraph"/>
              <w:spacing w:before="10"/>
              <w:jc w:val="left"/>
              <w:rPr>
                <w:b/>
                <w:sz w:val="17"/>
              </w:rPr>
            </w:pPr>
          </w:p>
          <w:p>
            <w:pPr>
              <w:pStyle w:val="TableParagraph"/>
              <w:spacing w:before="0"/>
              <w:jc w:val="left"/>
              <w:rPr>
                <w:b/>
                <w:i/>
                <w:sz w:val="20"/>
              </w:rPr>
            </w:pPr>
            <w:r>
              <w:rPr>
                <w:b/>
                <w:i/>
                <w:color w:val="231F20"/>
                <w:w w:val="105"/>
                <w:sz w:val="20"/>
              </w:rPr>
              <w:t>REGRESSION</w:t>
            </w:r>
            <w:r>
              <w:rPr>
                <w:b/>
                <w:i/>
                <w:color w:val="231F20"/>
                <w:spacing w:val="34"/>
                <w:w w:val="110"/>
                <w:sz w:val="20"/>
              </w:rPr>
              <w:t> </w:t>
            </w:r>
            <w:r>
              <w:rPr>
                <w:b/>
                <w:i/>
                <w:color w:val="231F20"/>
                <w:spacing w:val="-2"/>
                <w:w w:val="110"/>
                <w:sz w:val="20"/>
              </w:rPr>
              <w:t>STATISTICS</w:t>
            </w:r>
          </w:p>
        </w:tc>
      </w:tr>
      <w:tr>
        <w:trPr>
          <w:trHeight w:val="300" w:hRule="atLeast"/>
        </w:trPr>
        <w:tc>
          <w:tcPr>
            <w:tcW w:w="1516" w:type="dxa"/>
          </w:tcPr>
          <w:p>
            <w:pPr>
              <w:pStyle w:val="TableParagraph"/>
              <w:spacing w:before="27"/>
              <w:jc w:val="left"/>
              <w:rPr>
                <w:sz w:val="21"/>
              </w:rPr>
            </w:pPr>
            <w:r>
              <w:rPr>
                <w:color w:val="231F20"/>
                <w:w w:val="110"/>
                <w:sz w:val="21"/>
              </w:rPr>
              <w:t>R</w:t>
            </w:r>
            <w:r>
              <w:rPr>
                <w:color w:val="231F20"/>
                <w:spacing w:val="16"/>
                <w:w w:val="110"/>
                <w:sz w:val="21"/>
              </w:rPr>
              <w:t> </w:t>
            </w:r>
            <w:r>
              <w:rPr>
                <w:color w:val="231F20"/>
                <w:spacing w:val="-2"/>
                <w:w w:val="110"/>
                <w:sz w:val="21"/>
              </w:rPr>
              <w:t>Square</w:t>
            </w:r>
          </w:p>
        </w:tc>
        <w:tc>
          <w:tcPr>
            <w:tcW w:w="1495" w:type="dxa"/>
          </w:tcPr>
          <w:p>
            <w:pPr>
              <w:pStyle w:val="TableParagraph"/>
              <w:spacing w:before="0"/>
              <w:jc w:val="left"/>
              <w:rPr>
                <w:rFonts w:ascii="Times New Roman"/>
                <w:sz w:val="20"/>
              </w:rPr>
            </w:pPr>
          </w:p>
        </w:tc>
        <w:tc>
          <w:tcPr>
            <w:tcW w:w="2522" w:type="dxa"/>
            <w:gridSpan w:val="2"/>
          </w:tcPr>
          <w:p>
            <w:pPr>
              <w:pStyle w:val="TableParagraph"/>
              <w:spacing w:before="27"/>
              <w:ind w:left="1379"/>
              <w:jc w:val="left"/>
              <w:rPr>
                <w:sz w:val="21"/>
              </w:rPr>
            </w:pPr>
            <w:r>
              <w:rPr>
                <w:color w:val="231F20"/>
                <w:spacing w:val="-2"/>
                <w:sz w:val="21"/>
              </w:rPr>
              <w:t>0.70427945</w:t>
            </w:r>
          </w:p>
        </w:tc>
      </w:tr>
      <w:tr>
        <w:trPr>
          <w:trHeight w:val="300" w:hRule="atLeast"/>
        </w:trPr>
        <w:tc>
          <w:tcPr>
            <w:tcW w:w="1516" w:type="dxa"/>
          </w:tcPr>
          <w:p>
            <w:pPr>
              <w:pStyle w:val="TableParagraph"/>
              <w:spacing w:before="26"/>
              <w:jc w:val="left"/>
              <w:rPr>
                <w:sz w:val="21"/>
              </w:rPr>
            </w:pPr>
            <w:r>
              <w:rPr>
                <w:color w:val="231F20"/>
                <w:sz w:val="21"/>
              </w:rPr>
              <w:t>Standard</w:t>
            </w:r>
            <w:r>
              <w:rPr>
                <w:color w:val="231F20"/>
                <w:spacing w:val="20"/>
                <w:sz w:val="21"/>
              </w:rPr>
              <w:t> </w:t>
            </w:r>
            <w:r>
              <w:rPr>
                <w:color w:val="231F20"/>
                <w:spacing w:val="-2"/>
                <w:sz w:val="21"/>
              </w:rPr>
              <w:t>Error</w:t>
            </w:r>
          </w:p>
        </w:tc>
        <w:tc>
          <w:tcPr>
            <w:tcW w:w="1495" w:type="dxa"/>
          </w:tcPr>
          <w:p>
            <w:pPr>
              <w:pStyle w:val="TableParagraph"/>
              <w:spacing w:before="0"/>
              <w:jc w:val="left"/>
              <w:rPr>
                <w:rFonts w:ascii="Times New Roman"/>
                <w:sz w:val="20"/>
              </w:rPr>
            </w:pPr>
          </w:p>
        </w:tc>
        <w:tc>
          <w:tcPr>
            <w:tcW w:w="2522" w:type="dxa"/>
            <w:gridSpan w:val="2"/>
          </w:tcPr>
          <w:p>
            <w:pPr>
              <w:pStyle w:val="TableParagraph"/>
              <w:spacing w:before="26"/>
              <w:ind w:left="1379"/>
              <w:jc w:val="left"/>
              <w:rPr>
                <w:sz w:val="21"/>
              </w:rPr>
            </w:pPr>
            <w:r>
              <w:rPr>
                <w:color w:val="231F20"/>
                <w:spacing w:val="-2"/>
                <w:sz w:val="21"/>
              </w:rPr>
              <w:t>243334.911</w:t>
            </w:r>
          </w:p>
        </w:tc>
      </w:tr>
      <w:tr>
        <w:trPr>
          <w:trHeight w:val="459" w:hRule="atLeast"/>
        </w:trPr>
        <w:tc>
          <w:tcPr>
            <w:tcW w:w="1516" w:type="dxa"/>
          </w:tcPr>
          <w:p>
            <w:pPr>
              <w:pStyle w:val="TableParagraph"/>
              <w:spacing w:before="26"/>
              <w:jc w:val="left"/>
              <w:rPr>
                <w:sz w:val="21"/>
              </w:rPr>
            </w:pPr>
            <w:r>
              <w:rPr>
                <w:color w:val="231F20"/>
                <w:spacing w:val="-2"/>
                <w:sz w:val="21"/>
              </w:rPr>
              <w:t>Observations</w:t>
            </w:r>
          </w:p>
        </w:tc>
        <w:tc>
          <w:tcPr>
            <w:tcW w:w="1495" w:type="dxa"/>
          </w:tcPr>
          <w:p>
            <w:pPr>
              <w:pStyle w:val="TableParagraph"/>
              <w:spacing w:before="0"/>
              <w:jc w:val="left"/>
              <w:rPr>
                <w:rFonts w:ascii="Times New Roman"/>
                <w:sz w:val="20"/>
              </w:rPr>
            </w:pPr>
          </w:p>
        </w:tc>
        <w:tc>
          <w:tcPr>
            <w:tcW w:w="2522" w:type="dxa"/>
            <w:gridSpan w:val="2"/>
          </w:tcPr>
          <w:p>
            <w:pPr>
              <w:pStyle w:val="TableParagraph"/>
              <w:spacing w:before="26"/>
              <w:ind w:left="1366" w:right="893"/>
              <w:rPr>
                <w:sz w:val="21"/>
              </w:rPr>
            </w:pPr>
            <w:r>
              <w:rPr>
                <w:color w:val="231F20"/>
                <w:spacing w:val="-5"/>
                <w:sz w:val="21"/>
              </w:rPr>
              <w:t>12</w:t>
            </w:r>
          </w:p>
        </w:tc>
      </w:tr>
      <w:tr>
        <w:trPr>
          <w:trHeight w:val="449" w:hRule="atLeast"/>
        </w:trPr>
        <w:tc>
          <w:tcPr>
            <w:tcW w:w="1516" w:type="dxa"/>
          </w:tcPr>
          <w:p>
            <w:pPr>
              <w:pStyle w:val="TableParagraph"/>
              <w:spacing w:before="0"/>
              <w:jc w:val="left"/>
              <w:rPr>
                <w:rFonts w:ascii="Times New Roman"/>
                <w:sz w:val="20"/>
              </w:rPr>
            </w:pPr>
          </w:p>
        </w:tc>
        <w:tc>
          <w:tcPr>
            <w:tcW w:w="1495" w:type="dxa"/>
          </w:tcPr>
          <w:p>
            <w:pPr>
              <w:pStyle w:val="TableParagraph"/>
              <w:spacing w:before="0"/>
              <w:jc w:val="left"/>
              <w:rPr>
                <w:rFonts w:ascii="Times New Roman"/>
                <w:sz w:val="20"/>
              </w:rPr>
            </w:pPr>
          </w:p>
        </w:tc>
        <w:tc>
          <w:tcPr>
            <w:tcW w:w="1508" w:type="dxa"/>
          </w:tcPr>
          <w:p>
            <w:pPr>
              <w:pStyle w:val="TableParagraph"/>
              <w:spacing w:before="177"/>
              <w:ind w:left="97" w:right="104"/>
              <w:rPr>
                <w:b/>
                <w:i/>
                <w:sz w:val="20"/>
              </w:rPr>
            </w:pPr>
            <w:r>
              <w:rPr>
                <w:b/>
                <w:i/>
                <w:color w:val="231F20"/>
                <w:spacing w:val="-2"/>
                <w:w w:val="105"/>
                <w:sz w:val="20"/>
              </w:rPr>
              <w:t>STANDARD</w:t>
            </w:r>
          </w:p>
        </w:tc>
        <w:tc>
          <w:tcPr>
            <w:tcW w:w="1014" w:type="dxa"/>
          </w:tcPr>
          <w:p>
            <w:pPr>
              <w:pStyle w:val="TableParagraph"/>
              <w:spacing w:before="0"/>
              <w:jc w:val="left"/>
              <w:rPr>
                <w:rFonts w:ascii="Times New Roman"/>
                <w:sz w:val="20"/>
              </w:rPr>
            </w:pPr>
          </w:p>
        </w:tc>
      </w:tr>
      <w:tr>
        <w:trPr>
          <w:trHeight w:val="278" w:hRule="atLeast"/>
        </w:trPr>
        <w:tc>
          <w:tcPr>
            <w:tcW w:w="3011" w:type="dxa"/>
            <w:gridSpan w:val="2"/>
            <w:tcBorders>
              <w:bottom w:val="single" w:sz="4" w:space="0" w:color="231F20"/>
            </w:tcBorders>
          </w:tcPr>
          <w:p>
            <w:pPr>
              <w:pStyle w:val="TableParagraph"/>
              <w:spacing w:line="230" w:lineRule="exact" w:before="28"/>
              <w:ind w:left="1440"/>
              <w:jc w:val="left"/>
              <w:rPr>
                <w:b/>
                <w:i/>
                <w:sz w:val="20"/>
              </w:rPr>
            </w:pPr>
            <w:r>
              <w:rPr>
                <w:b/>
                <w:i/>
                <w:color w:val="231F20"/>
                <w:spacing w:val="-2"/>
                <w:w w:val="110"/>
                <w:sz w:val="20"/>
              </w:rPr>
              <w:t>COEFFICIENTS</w:t>
            </w:r>
          </w:p>
        </w:tc>
        <w:tc>
          <w:tcPr>
            <w:tcW w:w="1508" w:type="dxa"/>
            <w:tcBorders>
              <w:bottom w:val="single" w:sz="4" w:space="0" w:color="231F20"/>
            </w:tcBorders>
          </w:tcPr>
          <w:p>
            <w:pPr>
              <w:pStyle w:val="TableParagraph"/>
              <w:spacing w:line="230" w:lineRule="exact" w:before="28"/>
              <w:ind w:left="97" w:right="104"/>
              <w:rPr>
                <w:b/>
                <w:i/>
                <w:sz w:val="20"/>
              </w:rPr>
            </w:pPr>
            <w:r>
              <w:rPr>
                <w:b/>
                <w:i/>
                <w:color w:val="231F20"/>
                <w:spacing w:val="-2"/>
                <w:w w:val="105"/>
                <w:sz w:val="20"/>
              </w:rPr>
              <w:t>ERROR</w:t>
            </w:r>
          </w:p>
        </w:tc>
        <w:tc>
          <w:tcPr>
            <w:tcW w:w="1014" w:type="dxa"/>
            <w:tcBorders>
              <w:bottom w:val="single" w:sz="4" w:space="0" w:color="231F20"/>
            </w:tcBorders>
          </w:tcPr>
          <w:p>
            <w:pPr>
              <w:pStyle w:val="TableParagraph"/>
              <w:spacing w:line="230" w:lineRule="exact" w:before="28"/>
              <w:ind w:left="102" w:right="7"/>
              <w:rPr>
                <w:b/>
                <w:i/>
                <w:sz w:val="20"/>
              </w:rPr>
            </w:pPr>
            <w:r>
              <w:rPr>
                <w:b/>
                <w:i/>
                <w:color w:val="231F20"/>
                <w:w w:val="105"/>
                <w:sz w:val="20"/>
              </w:rPr>
              <w:t>T</w:t>
            </w:r>
            <w:r>
              <w:rPr>
                <w:b/>
                <w:i/>
                <w:color w:val="231F20"/>
                <w:spacing w:val="5"/>
                <w:w w:val="105"/>
                <w:sz w:val="20"/>
              </w:rPr>
              <w:t> </w:t>
            </w:r>
            <w:r>
              <w:rPr>
                <w:b/>
                <w:i/>
                <w:color w:val="231F20"/>
                <w:spacing w:val="-4"/>
                <w:w w:val="105"/>
                <w:sz w:val="20"/>
              </w:rPr>
              <w:t>STAT</w:t>
            </w:r>
          </w:p>
        </w:tc>
      </w:tr>
      <w:tr>
        <w:trPr>
          <w:trHeight w:val="303" w:hRule="atLeast"/>
        </w:trPr>
        <w:tc>
          <w:tcPr>
            <w:tcW w:w="1516" w:type="dxa"/>
            <w:tcBorders>
              <w:top w:val="single" w:sz="4" w:space="0" w:color="231F20"/>
            </w:tcBorders>
          </w:tcPr>
          <w:p>
            <w:pPr>
              <w:pStyle w:val="TableParagraph"/>
              <w:spacing w:before="30"/>
              <w:jc w:val="left"/>
              <w:rPr>
                <w:sz w:val="21"/>
              </w:rPr>
            </w:pPr>
            <w:r>
              <w:rPr>
                <w:color w:val="231F20"/>
                <w:spacing w:val="-2"/>
                <w:sz w:val="21"/>
              </w:rPr>
              <w:t>Intercept</w:t>
            </w:r>
          </w:p>
        </w:tc>
        <w:tc>
          <w:tcPr>
            <w:tcW w:w="1495" w:type="dxa"/>
            <w:tcBorders>
              <w:top w:val="single" w:sz="4" w:space="0" w:color="231F20"/>
            </w:tcBorders>
          </w:tcPr>
          <w:p>
            <w:pPr>
              <w:pStyle w:val="TableParagraph"/>
              <w:spacing w:before="30"/>
              <w:ind w:left="140"/>
              <w:jc w:val="left"/>
              <w:rPr>
                <w:sz w:val="21"/>
              </w:rPr>
            </w:pPr>
            <w:r>
              <w:rPr>
                <w:color w:val="231F20"/>
                <w:spacing w:val="-2"/>
                <w:w w:val="105"/>
                <w:sz w:val="21"/>
              </w:rPr>
              <w:t>379066.613</w:t>
            </w:r>
          </w:p>
        </w:tc>
        <w:tc>
          <w:tcPr>
            <w:tcW w:w="1508" w:type="dxa"/>
            <w:tcBorders>
              <w:top w:val="single" w:sz="4" w:space="0" w:color="231F20"/>
            </w:tcBorders>
          </w:tcPr>
          <w:p>
            <w:pPr>
              <w:pStyle w:val="TableParagraph"/>
              <w:spacing w:before="0"/>
              <w:jc w:val="left"/>
              <w:rPr>
                <w:rFonts w:ascii="Times New Roman"/>
                <w:sz w:val="20"/>
              </w:rPr>
            </w:pPr>
          </w:p>
        </w:tc>
        <w:tc>
          <w:tcPr>
            <w:tcW w:w="1014" w:type="dxa"/>
            <w:tcBorders>
              <w:top w:val="single" w:sz="4" w:space="0" w:color="231F20"/>
            </w:tcBorders>
          </w:tcPr>
          <w:p>
            <w:pPr>
              <w:pStyle w:val="TableParagraph"/>
              <w:spacing w:before="0"/>
              <w:jc w:val="left"/>
              <w:rPr>
                <w:rFonts w:ascii="Times New Roman"/>
                <w:sz w:val="20"/>
              </w:rPr>
            </w:pPr>
          </w:p>
        </w:tc>
      </w:tr>
      <w:tr>
        <w:trPr>
          <w:trHeight w:val="274" w:hRule="atLeast"/>
        </w:trPr>
        <w:tc>
          <w:tcPr>
            <w:tcW w:w="1516" w:type="dxa"/>
          </w:tcPr>
          <w:p>
            <w:pPr>
              <w:pStyle w:val="TableParagraph"/>
              <w:spacing w:line="228" w:lineRule="exact" w:before="26"/>
              <w:ind w:left="-1"/>
              <w:jc w:val="left"/>
              <w:rPr>
                <w:sz w:val="21"/>
              </w:rPr>
            </w:pPr>
            <w:r>
              <w:rPr>
                <w:color w:val="231F20"/>
                <w:w w:val="110"/>
                <w:sz w:val="21"/>
              </w:rPr>
              <w:t>X</w:t>
            </w:r>
            <w:r>
              <w:rPr>
                <w:color w:val="231F20"/>
                <w:spacing w:val="-10"/>
                <w:w w:val="110"/>
                <w:sz w:val="21"/>
              </w:rPr>
              <w:t> </w:t>
            </w:r>
            <w:r>
              <w:rPr>
                <w:color w:val="231F20"/>
                <w:w w:val="110"/>
                <w:sz w:val="21"/>
              </w:rPr>
              <w:t>Variable</w:t>
            </w:r>
            <w:r>
              <w:rPr>
                <w:color w:val="231F20"/>
                <w:spacing w:val="-10"/>
                <w:w w:val="110"/>
                <w:sz w:val="21"/>
              </w:rPr>
              <w:t> 1</w:t>
            </w:r>
          </w:p>
        </w:tc>
        <w:tc>
          <w:tcPr>
            <w:tcW w:w="1495" w:type="dxa"/>
          </w:tcPr>
          <w:p>
            <w:pPr>
              <w:pStyle w:val="TableParagraph"/>
              <w:spacing w:line="228" w:lineRule="exact" w:before="26"/>
              <w:ind w:left="130"/>
              <w:jc w:val="left"/>
              <w:rPr>
                <w:sz w:val="21"/>
              </w:rPr>
            </w:pPr>
            <w:r>
              <w:rPr>
                <w:color w:val="231F20"/>
                <w:spacing w:val="-2"/>
                <w:w w:val="105"/>
                <w:sz w:val="21"/>
              </w:rPr>
              <w:t>16431.5915</w:t>
            </w:r>
          </w:p>
        </w:tc>
        <w:tc>
          <w:tcPr>
            <w:tcW w:w="1508" w:type="dxa"/>
          </w:tcPr>
          <w:p>
            <w:pPr>
              <w:pStyle w:val="TableParagraph"/>
              <w:spacing w:line="228" w:lineRule="exact" w:before="26"/>
              <w:ind w:left="118" w:right="104"/>
              <w:rPr>
                <w:sz w:val="21"/>
              </w:rPr>
            </w:pPr>
            <w:r>
              <w:rPr>
                <w:color w:val="231F20"/>
                <w:spacing w:val="-2"/>
                <w:w w:val="105"/>
                <w:sz w:val="21"/>
              </w:rPr>
              <w:t>3367.036871</w:t>
            </w:r>
          </w:p>
        </w:tc>
        <w:tc>
          <w:tcPr>
            <w:tcW w:w="1014" w:type="dxa"/>
          </w:tcPr>
          <w:p>
            <w:pPr>
              <w:pStyle w:val="TableParagraph"/>
              <w:spacing w:line="228" w:lineRule="exact" w:before="26"/>
              <w:ind w:left="124" w:right="7"/>
              <w:rPr>
                <w:sz w:val="21"/>
              </w:rPr>
            </w:pPr>
            <w:r>
              <w:rPr>
                <w:color w:val="231F20"/>
                <w:spacing w:val="-2"/>
                <w:sz w:val="21"/>
              </w:rPr>
              <w:t>4.880134</w:t>
            </w:r>
          </w:p>
        </w:tc>
      </w:tr>
    </w:tbl>
    <w:p>
      <w:pPr>
        <w:spacing w:after="0" w:line="228" w:lineRule="exact"/>
        <w:rPr>
          <w:sz w:val="21"/>
        </w:rPr>
        <w:sectPr>
          <w:pgSz w:w="8640" w:h="12960"/>
          <w:pgMar w:header="732" w:footer="0" w:top="920" w:bottom="280" w:left="340" w:right="500"/>
        </w:sectPr>
      </w:pPr>
    </w:p>
    <w:p>
      <w:pPr>
        <w:pStyle w:val="BodyText"/>
        <w:spacing w:before="8"/>
        <w:rPr>
          <w:b/>
          <w:sz w:val="17"/>
        </w:rPr>
      </w:pPr>
    </w:p>
    <w:p>
      <w:pPr>
        <w:pStyle w:val="Heading6"/>
        <w:spacing w:before="99"/>
        <w:rPr>
          <w:i/>
        </w:rPr>
      </w:pPr>
      <w:r>
        <w:rPr>
          <w:i/>
          <w:color w:val="231F20"/>
          <w:w w:val="110"/>
        </w:rPr>
        <w:t>WHAT</w:t>
      </w:r>
      <w:r>
        <w:rPr>
          <w:i/>
          <w:color w:val="231F20"/>
          <w:spacing w:val="47"/>
          <w:w w:val="110"/>
        </w:rPr>
        <w:t> </w:t>
      </w:r>
      <w:r>
        <w:rPr>
          <w:i/>
          <w:color w:val="231F20"/>
          <w:w w:val="110"/>
        </w:rPr>
        <w:t>DOES</w:t>
      </w:r>
      <w:r>
        <w:rPr>
          <w:i/>
          <w:color w:val="231F20"/>
          <w:spacing w:val="47"/>
          <w:w w:val="110"/>
        </w:rPr>
        <w:t> </w:t>
      </w:r>
      <w:r>
        <w:rPr>
          <w:i/>
          <w:color w:val="231F20"/>
          <w:w w:val="110"/>
        </w:rPr>
        <w:t>THIS</w:t>
      </w:r>
      <w:r>
        <w:rPr>
          <w:i/>
          <w:color w:val="231F20"/>
          <w:spacing w:val="48"/>
          <w:w w:val="110"/>
        </w:rPr>
        <w:t> </w:t>
      </w:r>
      <w:r>
        <w:rPr>
          <w:i/>
          <w:color w:val="231F20"/>
          <w:spacing w:val="8"/>
          <w:w w:val="110"/>
        </w:rPr>
        <w:t>MEAN?</w:t>
      </w:r>
    </w:p>
    <w:p>
      <w:pPr>
        <w:pStyle w:val="BodyText"/>
        <w:spacing w:before="2"/>
        <w:rPr>
          <w:b/>
          <w:i/>
          <w:sz w:val="30"/>
        </w:rPr>
      </w:pPr>
    </w:p>
    <w:p>
      <w:pPr>
        <w:pStyle w:val="BodyText"/>
        <w:spacing w:line="292" w:lineRule="auto"/>
        <w:ind w:left="920" w:right="666"/>
        <w:jc w:val="both"/>
      </w:pPr>
      <w:r>
        <w:rPr>
          <w:color w:val="231F20"/>
        </w:rPr>
        <w:t>Wondrously enough, that block of information contains the equa-</w:t>
      </w:r>
      <w:r>
        <w:rPr>
          <w:color w:val="231F20"/>
          <w:spacing w:val="40"/>
        </w:rPr>
        <w:t> </w:t>
      </w:r>
      <w:r>
        <w:rPr>
          <w:color w:val="231F20"/>
        </w:rPr>
        <w:t>tion for the line that describes the relationship between </w:t>
      </w:r>
      <w:r>
        <w:rPr>
          <w:color w:val="231F20"/>
        </w:rPr>
        <w:t>temperature and sales at Ben </w:t>
      </w:r>
      <w:r>
        <w:rPr>
          <w:color w:val="231F20"/>
          <w:w w:val="110"/>
        </w:rPr>
        <w:t>&amp; </w:t>
      </w:r>
      <w:r>
        <w:rPr>
          <w:color w:val="231F20"/>
        </w:rPr>
        <w:t>Jerry’s. First let’s interpret the data in the output to get the line equation.</w:t>
      </w:r>
    </w:p>
    <w:p>
      <w:pPr>
        <w:pStyle w:val="BodyText"/>
        <w:spacing w:before="5"/>
        <w:rPr>
          <w:sz w:val="24"/>
        </w:rPr>
      </w:pPr>
    </w:p>
    <w:p>
      <w:pPr>
        <w:pStyle w:val="BodyText"/>
        <w:spacing w:line="278" w:lineRule="auto" w:before="1"/>
        <w:ind w:left="1829" w:right="1262"/>
      </w:pPr>
      <w:r>
        <w:rPr/>
        <w:pict>
          <v:rect style="position:absolute;margin-left:283.887238pt;margin-top:7.730895pt;width:4.930940pt;height:.7242pt;mso-position-horizontal-relative:page;mso-position-vertical-relative:paragraph;z-index:-25115136" id="docshape334" filled="true" fillcolor="#231f20" stroked="false">
            <v:fill type="solid"/>
            <w10:wrap type="none"/>
          </v:rect>
        </w:pict>
      </w:r>
      <w:r>
        <w:rPr>
          <w:color w:val="231F20"/>
          <w:w w:val="110"/>
        </w:rPr>
        <w:t>“Coefficient</w:t>
      </w:r>
      <w:r>
        <w:rPr>
          <w:color w:val="231F20"/>
          <w:spacing w:val="-13"/>
          <w:w w:val="110"/>
        </w:rPr>
        <w:t> </w:t>
      </w:r>
      <w:r>
        <w:rPr>
          <w:color w:val="231F20"/>
          <w:w w:val="110"/>
        </w:rPr>
        <w:t>of</w:t>
      </w:r>
      <w:r>
        <w:rPr>
          <w:color w:val="231F20"/>
          <w:spacing w:val="-13"/>
          <w:w w:val="110"/>
        </w:rPr>
        <w:t> </w:t>
      </w:r>
      <w:r>
        <w:rPr>
          <w:color w:val="231F20"/>
          <w:w w:val="110"/>
        </w:rPr>
        <w:t>the</w:t>
      </w:r>
      <w:r>
        <w:rPr>
          <w:color w:val="231F20"/>
          <w:spacing w:val="-13"/>
          <w:w w:val="110"/>
        </w:rPr>
        <w:t> </w:t>
      </w:r>
      <w:r>
        <w:rPr>
          <w:color w:val="231F20"/>
          <w:w w:val="110"/>
        </w:rPr>
        <w:t>Y</w:t>
      </w:r>
      <w:r>
        <w:rPr>
          <w:color w:val="231F20"/>
          <w:spacing w:val="-12"/>
          <w:w w:val="110"/>
        </w:rPr>
        <w:t> </w:t>
      </w:r>
      <w:r>
        <w:rPr>
          <w:color w:val="231F20"/>
          <w:w w:val="110"/>
        </w:rPr>
        <w:t>Intercept”</w:t>
      </w:r>
      <w:r>
        <w:rPr>
          <w:color w:val="231F20"/>
          <w:spacing w:val="-13"/>
          <w:w w:val="110"/>
        </w:rPr>
        <w:t> </w:t>
      </w:r>
      <w:r>
        <w:rPr>
          <w:rFonts w:ascii="Symbol" w:hAnsi="Symbol"/>
          <w:color w:val="231F20"/>
          <w:w w:val="110"/>
        </w:rPr>
        <w:t></w:t>
      </w:r>
      <w:r>
        <w:rPr>
          <w:rFonts w:ascii="Times New Roman" w:hAnsi="Times New Roman"/>
          <w:color w:val="231F20"/>
          <w:spacing w:val="-15"/>
          <w:w w:val="110"/>
        </w:rPr>
        <w:t> </w:t>
      </w:r>
      <w:r>
        <w:rPr>
          <w:color w:val="231F20"/>
          <w:w w:val="110"/>
        </w:rPr>
        <w:t>b</w:t>
      </w:r>
      <w:r>
        <w:rPr>
          <w:color w:val="231F20"/>
          <w:spacing w:val="-12"/>
          <w:w w:val="110"/>
        </w:rPr>
        <w:t> </w:t>
      </w:r>
      <w:r>
        <w:rPr>
          <w:rFonts w:ascii="Symbol" w:hAnsi="Symbol"/>
          <w:color w:val="231F20"/>
          <w:w w:val="110"/>
        </w:rPr>
        <w:t></w:t>
      </w:r>
      <w:r>
        <w:rPr>
          <w:rFonts w:ascii="Times New Roman" w:hAnsi="Times New Roman"/>
          <w:color w:val="231F20"/>
          <w:spacing w:val="56"/>
          <w:w w:val="110"/>
        </w:rPr>
        <w:t> </w:t>
      </w:r>
      <w:r>
        <w:rPr>
          <w:color w:val="231F20"/>
          <w:w w:val="110"/>
        </w:rPr>
        <w:t>379,066 “Coefficient of the X Variable” </w:t>
      </w:r>
      <w:r>
        <w:rPr>
          <w:rFonts w:ascii="Symbol" w:hAnsi="Symbol"/>
          <w:color w:val="231F20"/>
          <w:w w:val="110"/>
        </w:rPr>
        <w:t></w:t>
      </w:r>
      <w:r>
        <w:rPr>
          <w:rFonts w:ascii="Times New Roman" w:hAnsi="Times New Roman"/>
          <w:color w:val="231F20"/>
          <w:w w:val="110"/>
        </w:rPr>
        <w:t> </w:t>
      </w:r>
      <w:r>
        <w:rPr>
          <w:color w:val="231F20"/>
          <w:w w:val="110"/>
        </w:rPr>
        <w:t>m </w:t>
      </w:r>
      <w:r>
        <w:rPr>
          <w:rFonts w:ascii="Symbol" w:hAnsi="Symbol"/>
          <w:color w:val="231F20"/>
          <w:w w:val="110"/>
        </w:rPr>
        <w:t></w:t>
      </w:r>
      <w:r>
        <w:rPr>
          <w:rFonts w:ascii="Times New Roman" w:hAnsi="Times New Roman"/>
          <w:color w:val="231F20"/>
          <w:w w:val="110"/>
        </w:rPr>
        <w:t> </w:t>
      </w:r>
      <w:r>
        <w:rPr>
          <w:color w:val="231F20"/>
          <w:w w:val="110"/>
        </w:rPr>
        <w:t>16,431</w:t>
      </w:r>
    </w:p>
    <w:p>
      <w:pPr>
        <w:pStyle w:val="BodyText"/>
        <w:spacing w:before="8"/>
        <w:rPr>
          <w:sz w:val="26"/>
        </w:rPr>
      </w:pPr>
    </w:p>
    <w:p>
      <w:pPr>
        <w:pStyle w:val="BodyText"/>
        <w:spacing w:line="288" w:lineRule="auto"/>
        <w:ind w:left="920" w:right="666" w:firstLine="340"/>
        <w:jc w:val="both"/>
      </w:pPr>
      <w:r>
        <w:rPr/>
        <w:pict>
          <v:rect style="position:absolute;margin-left:268.964386pt;margin-top:22.102003pt;width:4.930940pt;height:.7242pt;mso-position-horizontal-relative:page;mso-position-vertical-relative:paragraph;z-index:-25114624" id="docshape335" filled="true" fillcolor="#231f20" stroked="false">
            <v:fill type="solid"/>
            <w10:wrap type="none"/>
          </v:rect>
        </w:pict>
      </w:r>
      <w:r>
        <w:rPr>
          <w:color w:val="231F20"/>
        </w:rPr>
        <w:t>Placing that information into a standard linear equation as </w:t>
      </w:r>
      <w:r>
        <w:rPr>
          <w:color w:val="231F20"/>
        </w:rPr>
        <w:t>de- scribed in the algebra refresher, Y </w:t>
      </w:r>
      <w:r>
        <w:rPr>
          <w:rFonts w:ascii="Symbol" w:hAnsi="Symbol"/>
          <w:color w:val="231F20"/>
        </w:rPr>
        <w:t></w:t>
      </w:r>
      <w:r>
        <w:rPr>
          <w:rFonts w:ascii="Times New Roman" w:hAnsi="Times New Roman"/>
          <w:color w:val="231F20"/>
        </w:rPr>
        <w:t> </w:t>
      </w:r>
      <w:r>
        <w:rPr>
          <w:color w:val="231F20"/>
        </w:rPr>
        <w:t>16,431X</w:t>
      </w:r>
      <w:r>
        <w:rPr>
          <w:color w:val="231F20"/>
          <w:spacing w:val="80"/>
        </w:rPr>
        <w:t> </w:t>
      </w:r>
      <w:r>
        <w:rPr>
          <w:color w:val="231F20"/>
        </w:rPr>
        <w:t>379,066, plotting the data points, and drawing the regression line described by the equa- tion, the graph looks like this:</w:t>
      </w:r>
    </w:p>
    <w:p>
      <w:pPr>
        <w:pStyle w:val="BodyText"/>
        <w:rPr>
          <w:sz w:val="26"/>
        </w:rPr>
      </w:pPr>
    </w:p>
    <w:p>
      <w:pPr>
        <w:pStyle w:val="BodyText"/>
        <w:spacing w:line="292" w:lineRule="auto"/>
        <w:ind w:left="920" w:right="666" w:firstLine="340"/>
        <w:jc w:val="both"/>
      </w:pPr>
      <w:r>
        <w:rPr>
          <w:color w:val="231F20"/>
        </w:rPr>
        <w:t>As shown by the graph, the regression line runs through the </w:t>
      </w:r>
      <w:r>
        <w:rPr>
          <w:color w:val="231F20"/>
        </w:rPr>
        <w:t>mid- dle of the data points. By plugging temperature, </w:t>
      </w:r>
      <w:r>
        <w:rPr>
          <w:color w:val="231F20"/>
          <w:w w:val="110"/>
        </w:rPr>
        <w:t>X,</w:t>
      </w:r>
      <w:r>
        <w:rPr>
          <w:color w:val="231F20"/>
          <w:w w:val="110"/>
        </w:rPr>
        <w:t> </w:t>
      </w:r>
      <w:r>
        <w:rPr>
          <w:color w:val="231F20"/>
        </w:rPr>
        <w:t>into the equa-</w:t>
      </w:r>
      <w:r>
        <w:rPr>
          <w:color w:val="231F20"/>
          <w:spacing w:val="40"/>
        </w:rPr>
        <w:t> </w:t>
      </w:r>
      <w:r>
        <w:rPr>
          <w:color w:val="231F20"/>
        </w:rPr>
        <w:t>tion, the </w:t>
      </w:r>
      <w:r>
        <w:rPr>
          <w:i/>
          <w:color w:val="231F20"/>
        </w:rPr>
        <w:t>predicted </w:t>
      </w:r>
      <w:r>
        <w:rPr>
          <w:color w:val="231F20"/>
        </w:rPr>
        <w:t>ice cream sales can be calculated. In Ben </w:t>
      </w:r>
      <w:r>
        <w:rPr>
          <w:color w:val="231F20"/>
          <w:w w:val="110"/>
        </w:rPr>
        <w:t>&amp; </w:t>
      </w:r>
      <w:r>
        <w:rPr>
          <w:color w:val="231F20"/>
        </w:rPr>
        <w:t>Jerry’s case, a temperature of 60 degrees would result in predicted monthly sales of $606,794.</w:t>
      </w:r>
    </w:p>
    <w:p>
      <w:pPr>
        <w:pStyle w:val="BodyText"/>
        <w:spacing w:before="5"/>
        <w:rPr>
          <w:sz w:val="24"/>
        </w:rPr>
      </w:pPr>
    </w:p>
    <w:p>
      <w:pPr>
        <w:pStyle w:val="BodyText"/>
        <w:tabs>
          <w:tab w:pos="4389" w:val="left" w:leader="none"/>
        </w:tabs>
        <w:ind w:left="1767"/>
      </w:pPr>
      <w:r>
        <w:rPr/>
        <w:pict>
          <v:rect style="position:absolute;margin-left:228.15184pt;margin-top:7.6809pt;width:4.93095pt;height:.7242pt;mso-position-horizontal-relative:page;mso-position-vertical-relative:paragraph;z-index:-25114112" id="docshape336" filled="true" fillcolor="#231f20" stroked="false">
            <v:fill type="solid"/>
            <w10:wrap type="none"/>
          </v:rect>
        </w:pict>
      </w:r>
      <w:r>
        <w:rPr>
          <w:color w:val="231F20"/>
          <w:w w:val="105"/>
        </w:rPr>
        <w:t>Y</w:t>
      </w:r>
      <w:r>
        <w:rPr>
          <w:color w:val="231F20"/>
          <w:spacing w:val="7"/>
          <w:w w:val="105"/>
        </w:rPr>
        <w:t> </w:t>
      </w:r>
      <w:r>
        <w:rPr>
          <w:rFonts w:ascii="Symbol" w:hAnsi="Symbol"/>
          <w:color w:val="231F20"/>
          <w:w w:val="105"/>
        </w:rPr>
        <w:t></w:t>
      </w:r>
      <w:r>
        <w:rPr>
          <w:rFonts w:ascii="Times New Roman" w:hAnsi="Times New Roman"/>
          <w:color w:val="231F20"/>
          <w:spacing w:val="1"/>
          <w:w w:val="105"/>
        </w:rPr>
        <w:t> </w:t>
      </w:r>
      <w:r>
        <w:rPr>
          <w:color w:val="231F20"/>
          <w:w w:val="105"/>
        </w:rPr>
        <w:t>(16,431</w:t>
      </w:r>
      <w:r>
        <w:rPr>
          <w:color w:val="231F20"/>
          <w:spacing w:val="7"/>
          <w:w w:val="105"/>
        </w:rPr>
        <w:t> </w:t>
      </w:r>
      <w:r>
        <w:rPr>
          <w:rFonts w:ascii="Symbol" w:hAnsi="Symbol"/>
          <w:color w:val="231F20"/>
          <w:w w:val="105"/>
        </w:rPr>
        <w:t></w:t>
      </w:r>
      <w:r>
        <w:rPr>
          <w:rFonts w:ascii="Times New Roman" w:hAnsi="Times New Roman"/>
          <w:color w:val="231F20"/>
          <w:spacing w:val="1"/>
          <w:w w:val="105"/>
        </w:rPr>
        <w:t> </w:t>
      </w:r>
      <w:r>
        <w:rPr>
          <w:color w:val="231F20"/>
          <w:w w:val="105"/>
        </w:rPr>
        <w:t>60</w:t>
      </w:r>
      <w:r>
        <w:rPr>
          <w:color w:val="231F20"/>
          <w:spacing w:val="7"/>
          <w:w w:val="105"/>
        </w:rPr>
        <w:t> </w:t>
      </w:r>
      <w:r>
        <w:rPr>
          <w:color w:val="231F20"/>
          <w:spacing w:val="-2"/>
          <w:w w:val="105"/>
        </w:rPr>
        <w:t>degrees)</w:t>
      </w:r>
      <w:r>
        <w:rPr>
          <w:color w:val="231F20"/>
        </w:rPr>
        <w:tab/>
      </w:r>
      <w:r>
        <w:rPr>
          <w:color w:val="231F20"/>
          <w:w w:val="105"/>
        </w:rPr>
        <w:t>379,066 </w:t>
      </w:r>
      <w:r>
        <w:rPr>
          <w:rFonts w:ascii="Symbol" w:hAnsi="Symbol"/>
          <w:color w:val="231F20"/>
          <w:w w:val="105"/>
        </w:rPr>
        <w:t></w:t>
      </w:r>
      <w:r>
        <w:rPr>
          <w:rFonts w:ascii="Times New Roman" w:hAnsi="Times New Roman"/>
          <w:color w:val="231F20"/>
          <w:spacing w:val="-7"/>
          <w:w w:val="105"/>
        </w:rPr>
        <w:t> </w:t>
      </w:r>
      <w:r>
        <w:rPr>
          <w:color w:val="231F20"/>
          <w:spacing w:val="-2"/>
          <w:w w:val="105"/>
        </w:rPr>
        <w:t>$606,794</w:t>
      </w:r>
    </w:p>
    <w:p>
      <w:pPr>
        <w:pStyle w:val="BodyText"/>
        <w:spacing w:before="2"/>
        <w:rPr>
          <w:sz w:val="30"/>
        </w:rPr>
      </w:pPr>
    </w:p>
    <w:p>
      <w:pPr>
        <w:pStyle w:val="BodyText"/>
        <w:spacing w:line="292" w:lineRule="auto"/>
        <w:ind w:left="920" w:right="666"/>
        <w:jc w:val="both"/>
      </w:pPr>
      <w:r>
        <w:rPr>
          <w:color w:val="231F20"/>
        </w:rPr>
        <w:t>But just how accurate is this equation in predicting the sales of </w:t>
      </w:r>
      <w:r>
        <w:rPr>
          <w:color w:val="231F20"/>
        </w:rPr>
        <w:t>ice cream? The answer to this question is given to us by another number in the “Regression Output.”</w:t>
      </w:r>
    </w:p>
    <w:p>
      <w:pPr>
        <w:pStyle w:val="BodyText"/>
        <w:rPr>
          <w:sz w:val="24"/>
        </w:rPr>
      </w:pPr>
    </w:p>
    <w:p>
      <w:pPr>
        <w:pStyle w:val="BodyText"/>
        <w:spacing w:before="1"/>
        <w:rPr>
          <w:sz w:val="27"/>
        </w:rPr>
      </w:pPr>
    </w:p>
    <w:p>
      <w:pPr>
        <w:pStyle w:val="Heading6"/>
        <w:rPr>
          <w:i/>
        </w:rPr>
      </w:pPr>
      <w:r>
        <w:rPr>
          <w:i/>
          <w:color w:val="231F20"/>
          <w:w w:val="110"/>
        </w:rPr>
        <w:t>R</w:t>
      </w:r>
      <w:r>
        <w:rPr>
          <w:i/>
          <w:color w:val="231F20"/>
          <w:spacing w:val="38"/>
          <w:w w:val="110"/>
        </w:rPr>
        <w:t> </w:t>
      </w:r>
      <w:r>
        <w:rPr>
          <w:i/>
          <w:color w:val="231F20"/>
          <w:w w:val="110"/>
        </w:rPr>
        <w:t>SQUARE</w:t>
      </w:r>
      <w:r>
        <w:rPr>
          <w:i/>
          <w:color w:val="231F20"/>
          <w:spacing w:val="38"/>
          <w:w w:val="110"/>
        </w:rPr>
        <w:t> </w:t>
      </w:r>
      <w:r>
        <w:rPr>
          <w:i/>
          <w:color w:val="231F20"/>
          <w:spacing w:val="8"/>
          <w:w w:val="110"/>
        </w:rPr>
        <w:t>EXPLAINED</w:t>
      </w:r>
    </w:p>
    <w:p>
      <w:pPr>
        <w:pStyle w:val="BodyText"/>
        <w:spacing w:before="2"/>
        <w:rPr>
          <w:b/>
          <w:i/>
          <w:sz w:val="30"/>
        </w:rPr>
      </w:pPr>
    </w:p>
    <w:p>
      <w:pPr>
        <w:pStyle w:val="BodyText"/>
        <w:spacing w:line="292" w:lineRule="auto"/>
        <w:ind w:left="920" w:right="666"/>
        <w:jc w:val="both"/>
      </w:pPr>
      <w:r>
        <w:rPr>
          <w:color w:val="231F20"/>
        </w:rPr>
        <w:t>The</w:t>
      </w:r>
      <w:r>
        <w:rPr>
          <w:color w:val="231F20"/>
          <w:spacing w:val="40"/>
        </w:rPr>
        <w:t> </w:t>
      </w:r>
      <w:r>
        <w:rPr>
          <w:i/>
          <w:color w:val="231F20"/>
        </w:rPr>
        <w:t>R</w:t>
      </w:r>
      <w:r>
        <w:rPr>
          <w:i/>
          <w:color w:val="231F20"/>
          <w:spacing w:val="40"/>
        </w:rPr>
        <w:t> </w:t>
      </w:r>
      <w:r>
        <w:rPr>
          <w:i/>
          <w:color w:val="231F20"/>
        </w:rPr>
        <w:t>Square</w:t>
      </w:r>
      <w:r>
        <w:rPr>
          <w:i/>
          <w:color w:val="231F20"/>
          <w:spacing w:val="40"/>
        </w:rPr>
        <w:t> </w:t>
      </w:r>
      <w:r>
        <w:rPr>
          <w:color w:val="231F20"/>
        </w:rPr>
        <w:t>value</w:t>
      </w:r>
      <w:r>
        <w:rPr>
          <w:color w:val="231F20"/>
          <w:spacing w:val="40"/>
        </w:rPr>
        <w:t> </w:t>
      </w:r>
      <w:r>
        <w:rPr>
          <w:color w:val="231F20"/>
        </w:rPr>
        <w:t>tells</w:t>
      </w:r>
      <w:r>
        <w:rPr>
          <w:color w:val="231F20"/>
          <w:spacing w:val="40"/>
        </w:rPr>
        <w:t> </w:t>
      </w:r>
      <w:r>
        <w:rPr>
          <w:color w:val="231F20"/>
        </w:rPr>
        <w:t>us</w:t>
      </w:r>
      <w:r>
        <w:rPr>
          <w:color w:val="231F20"/>
          <w:spacing w:val="40"/>
        </w:rPr>
        <w:t> </w:t>
      </w:r>
      <w:r>
        <w:rPr>
          <w:color w:val="231F20"/>
        </w:rPr>
        <w:t>“what</w:t>
      </w:r>
      <w:r>
        <w:rPr>
          <w:color w:val="231F20"/>
          <w:spacing w:val="40"/>
        </w:rPr>
        <w:t> </w:t>
      </w:r>
      <w:r>
        <w:rPr>
          <w:color w:val="231F20"/>
        </w:rPr>
        <w:t>percent</w:t>
      </w:r>
      <w:r>
        <w:rPr>
          <w:color w:val="231F20"/>
          <w:spacing w:val="40"/>
        </w:rPr>
        <w:t> </w:t>
      </w:r>
      <w:r>
        <w:rPr>
          <w:color w:val="231F20"/>
        </w:rPr>
        <w:t>of</w:t>
      </w:r>
      <w:r>
        <w:rPr>
          <w:color w:val="231F20"/>
          <w:spacing w:val="40"/>
        </w:rPr>
        <w:t> </w:t>
      </w:r>
      <w:r>
        <w:rPr>
          <w:color w:val="231F20"/>
        </w:rPr>
        <w:t>the</w:t>
      </w:r>
      <w:r>
        <w:rPr>
          <w:color w:val="231F20"/>
          <w:spacing w:val="40"/>
        </w:rPr>
        <w:t> </w:t>
      </w:r>
      <w:r>
        <w:rPr>
          <w:color w:val="231F20"/>
        </w:rPr>
        <w:t>variation</w:t>
      </w:r>
      <w:r>
        <w:rPr>
          <w:color w:val="231F20"/>
          <w:spacing w:val="40"/>
        </w:rPr>
        <w:t> </w:t>
      </w:r>
      <w:r>
        <w:rPr>
          <w:color w:val="231F20"/>
        </w:rPr>
        <w:t>in</w:t>
      </w:r>
      <w:r>
        <w:rPr>
          <w:color w:val="231F20"/>
          <w:spacing w:val="40"/>
        </w:rPr>
        <w:t> </w:t>
      </w:r>
      <w:r>
        <w:rPr>
          <w:color w:val="231F20"/>
        </w:rPr>
        <w:t>the data is explained by the regression equation given.” In our case </w:t>
      </w:r>
      <w:r>
        <w:rPr>
          <w:color w:val="231F20"/>
        </w:rPr>
        <w:t>70.4 percent of the variation of sales is explained by the regression equa- tion. This is considered very high. In broader economic analyses, an</w:t>
      </w:r>
      <w:r>
        <w:rPr>
          <w:color w:val="231F20"/>
          <w:spacing w:val="80"/>
        </w:rPr>
        <w:t> </w:t>
      </w:r>
      <w:r>
        <w:rPr>
          <w:color w:val="231F20"/>
        </w:rPr>
        <w:t>R</w:t>
      </w:r>
      <w:r>
        <w:rPr>
          <w:color w:val="231F20"/>
          <w:spacing w:val="24"/>
        </w:rPr>
        <w:t> </w:t>
      </w:r>
      <w:r>
        <w:rPr>
          <w:color w:val="231F20"/>
        </w:rPr>
        <w:t>Square</w:t>
      </w:r>
      <w:r>
        <w:rPr>
          <w:color w:val="231F20"/>
          <w:spacing w:val="25"/>
        </w:rPr>
        <w:t> </w:t>
      </w:r>
      <w:r>
        <w:rPr>
          <w:color w:val="231F20"/>
        </w:rPr>
        <w:t>of</w:t>
      </w:r>
      <w:r>
        <w:rPr>
          <w:color w:val="231F20"/>
          <w:spacing w:val="25"/>
        </w:rPr>
        <w:t> </w:t>
      </w:r>
      <w:r>
        <w:rPr>
          <w:color w:val="231F20"/>
        </w:rPr>
        <w:t>30</w:t>
      </w:r>
      <w:r>
        <w:rPr>
          <w:color w:val="231F20"/>
          <w:spacing w:val="25"/>
        </w:rPr>
        <w:t> </w:t>
      </w:r>
      <w:r>
        <w:rPr>
          <w:color w:val="231F20"/>
        </w:rPr>
        <w:t>percent</w:t>
      </w:r>
      <w:r>
        <w:rPr>
          <w:color w:val="231F20"/>
          <w:spacing w:val="25"/>
        </w:rPr>
        <w:t> </w:t>
      </w:r>
      <w:r>
        <w:rPr>
          <w:color w:val="231F20"/>
        </w:rPr>
        <w:t>would</w:t>
      </w:r>
      <w:r>
        <w:rPr>
          <w:color w:val="231F20"/>
          <w:spacing w:val="25"/>
        </w:rPr>
        <w:t> </w:t>
      </w:r>
      <w:r>
        <w:rPr>
          <w:color w:val="231F20"/>
        </w:rPr>
        <w:t>be</w:t>
      </w:r>
      <w:r>
        <w:rPr>
          <w:color w:val="231F20"/>
          <w:spacing w:val="25"/>
        </w:rPr>
        <w:t> </w:t>
      </w:r>
      <w:r>
        <w:rPr>
          <w:color w:val="231F20"/>
        </w:rPr>
        <w:t>considered</w:t>
      </w:r>
      <w:r>
        <w:rPr>
          <w:color w:val="231F20"/>
          <w:spacing w:val="25"/>
        </w:rPr>
        <w:t> </w:t>
      </w:r>
      <w:r>
        <w:rPr>
          <w:color w:val="231F20"/>
        </w:rPr>
        <w:t>very</w:t>
      </w:r>
      <w:r>
        <w:rPr>
          <w:color w:val="231F20"/>
          <w:spacing w:val="24"/>
        </w:rPr>
        <w:t> </w:t>
      </w:r>
      <w:r>
        <w:rPr>
          <w:color w:val="231F20"/>
        </w:rPr>
        <w:t>high,</w:t>
      </w:r>
      <w:r>
        <w:rPr>
          <w:color w:val="231F20"/>
          <w:spacing w:val="25"/>
        </w:rPr>
        <w:t> </w:t>
      </w:r>
      <w:r>
        <w:rPr>
          <w:color w:val="231F20"/>
        </w:rPr>
        <w:t>since</w:t>
      </w:r>
      <w:r>
        <w:rPr>
          <w:color w:val="231F20"/>
          <w:spacing w:val="25"/>
        </w:rPr>
        <w:t> </w:t>
      </w:r>
      <w:r>
        <w:rPr>
          <w:color w:val="231F20"/>
          <w:spacing w:val="-2"/>
        </w:rPr>
        <w:t>there</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4"/>
        <w:jc w:val="both"/>
      </w:pPr>
      <w:r>
        <w:rPr>
          <w:color w:val="231F20"/>
        </w:rPr>
        <w:t>are thousands of variables that could affect economies. In the ice cream business, one could imagine that in addition to temperature, store advertising, couponing, and store hours could also explain</w:t>
      </w:r>
      <w:r>
        <w:rPr>
          <w:color w:val="231F20"/>
          <w:spacing w:val="80"/>
        </w:rPr>
        <w:t> </w:t>
      </w:r>
      <w:r>
        <w:rPr>
          <w:color w:val="231F20"/>
        </w:rPr>
        <w:t>sales fluctuations.</w:t>
      </w:r>
    </w:p>
    <w:p>
      <w:pPr>
        <w:pStyle w:val="BodyText"/>
        <w:spacing w:line="292" w:lineRule="auto"/>
        <w:ind w:left="829" w:right="756" w:firstLine="340"/>
        <w:jc w:val="both"/>
      </w:pPr>
      <w:r>
        <w:rPr>
          <w:color w:val="231F20"/>
        </w:rPr>
        <w:t>But be careful! Do not read too much into the regression data </w:t>
      </w:r>
      <w:r>
        <w:rPr>
          <w:color w:val="231F20"/>
        </w:rPr>
        <w:t>re- sults! Regression only says that changes in sales occur with changes in temperature in much the same way as described. It </w:t>
      </w:r>
      <w:r>
        <w:rPr>
          <w:i/>
          <w:color w:val="231F20"/>
        </w:rPr>
        <w:t>does not </w:t>
      </w:r>
      <w:r>
        <w:rPr>
          <w:color w:val="231F20"/>
        </w:rPr>
        <w:t>say that “temperature actually caused sales to move.” But if a selected independent variable is reasonable and it is a good predictor of the desired dependent variable under study, use it.</w:t>
      </w:r>
    </w:p>
    <w:p>
      <w:pPr>
        <w:pStyle w:val="BodyText"/>
        <w:spacing w:line="292" w:lineRule="auto"/>
        <w:ind w:left="829" w:right="755" w:firstLine="340"/>
        <w:jc w:val="both"/>
      </w:pPr>
      <w:r>
        <w:rPr>
          <w:color w:val="231F20"/>
        </w:rPr>
        <w:t>Regression analysis points not only to positive correlations, </w:t>
      </w:r>
      <w:r>
        <w:rPr>
          <w:color w:val="231F20"/>
        </w:rPr>
        <w:t>such as ice cream sales and temperature, but also to negative correlations, such as interest rates and housing sales. If interest rates are high, housing sales are low. In this case the </w:t>
      </w:r>
      <w:r>
        <w:rPr>
          <w:color w:val="231F20"/>
          <w:w w:val="110"/>
        </w:rPr>
        <w:t>X</w:t>
      </w:r>
      <w:r>
        <w:rPr>
          <w:color w:val="231F20"/>
          <w:w w:val="110"/>
        </w:rPr>
        <w:t> </w:t>
      </w:r>
      <w:r>
        <w:rPr>
          <w:color w:val="231F20"/>
        </w:rPr>
        <w:t>coefficient is a negative number. These negative relationships are just as useful predictors as positive/positive relationships.</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rPr>
          <w:sz w:val="20"/>
        </w:rPr>
      </w:pPr>
    </w:p>
    <w:p>
      <w:pPr>
        <w:spacing w:before="0"/>
        <w:ind w:left="293" w:right="219" w:firstLine="0"/>
        <w:jc w:val="center"/>
        <w:rPr>
          <w:rFonts w:ascii="Arial" w:hAnsi="Arial"/>
          <w:sz w:val="14"/>
        </w:rPr>
      </w:pPr>
      <w:r>
        <w:rPr>
          <w:rFonts w:ascii="Arial" w:hAnsi="Arial"/>
          <w:color w:val="231F20"/>
          <w:w w:val="105"/>
          <w:sz w:val="14"/>
        </w:rPr>
        <w:t>SALES</w:t>
      </w:r>
      <w:r>
        <w:rPr>
          <w:rFonts w:ascii="Arial" w:hAnsi="Arial"/>
          <w:color w:val="231F20"/>
          <w:spacing w:val="13"/>
          <w:w w:val="105"/>
          <w:sz w:val="14"/>
        </w:rPr>
        <w:t> </w:t>
      </w:r>
      <w:r>
        <w:rPr>
          <w:rFonts w:ascii="Arial" w:hAnsi="Arial"/>
          <w:color w:val="231F20"/>
          <w:w w:val="105"/>
          <w:sz w:val="14"/>
        </w:rPr>
        <w:t>OF</w:t>
      </w:r>
      <w:r>
        <w:rPr>
          <w:rFonts w:ascii="Arial" w:hAnsi="Arial"/>
          <w:color w:val="231F20"/>
          <w:spacing w:val="14"/>
          <w:w w:val="105"/>
          <w:sz w:val="14"/>
        </w:rPr>
        <w:t> </w:t>
      </w:r>
      <w:r>
        <w:rPr>
          <w:rFonts w:ascii="Arial" w:hAnsi="Arial"/>
          <w:color w:val="231F20"/>
          <w:w w:val="105"/>
          <w:sz w:val="14"/>
        </w:rPr>
        <w:t>BEN</w:t>
      </w:r>
      <w:r>
        <w:rPr>
          <w:rFonts w:ascii="Arial" w:hAnsi="Arial"/>
          <w:color w:val="231F20"/>
          <w:spacing w:val="14"/>
          <w:w w:val="105"/>
          <w:sz w:val="14"/>
        </w:rPr>
        <w:t> </w:t>
      </w:r>
      <w:r>
        <w:rPr>
          <w:rFonts w:ascii="Arial" w:hAnsi="Arial"/>
          <w:color w:val="231F20"/>
          <w:w w:val="105"/>
          <w:sz w:val="14"/>
        </w:rPr>
        <w:t>&amp;</w:t>
      </w:r>
      <w:r>
        <w:rPr>
          <w:rFonts w:ascii="Arial" w:hAnsi="Arial"/>
          <w:color w:val="231F20"/>
          <w:spacing w:val="14"/>
          <w:w w:val="105"/>
          <w:sz w:val="14"/>
        </w:rPr>
        <w:t> </w:t>
      </w:r>
      <w:r>
        <w:rPr>
          <w:rFonts w:ascii="Arial" w:hAnsi="Arial"/>
          <w:color w:val="231F20"/>
          <w:w w:val="105"/>
          <w:sz w:val="14"/>
        </w:rPr>
        <w:t>JERRY’S</w:t>
      </w:r>
      <w:r>
        <w:rPr>
          <w:rFonts w:ascii="Arial" w:hAnsi="Arial"/>
          <w:color w:val="231F20"/>
          <w:spacing w:val="14"/>
          <w:w w:val="105"/>
          <w:sz w:val="14"/>
        </w:rPr>
        <w:t> </w:t>
      </w:r>
      <w:r>
        <w:rPr>
          <w:rFonts w:ascii="Arial" w:hAnsi="Arial"/>
          <w:color w:val="231F20"/>
          <w:w w:val="105"/>
          <w:sz w:val="14"/>
        </w:rPr>
        <w:t>ICE</w:t>
      </w:r>
      <w:r>
        <w:rPr>
          <w:rFonts w:ascii="Arial" w:hAnsi="Arial"/>
          <w:color w:val="231F20"/>
          <w:spacing w:val="14"/>
          <w:w w:val="105"/>
          <w:sz w:val="14"/>
        </w:rPr>
        <w:t> </w:t>
      </w:r>
      <w:r>
        <w:rPr>
          <w:rFonts w:ascii="Arial" w:hAnsi="Arial"/>
          <w:color w:val="231F20"/>
          <w:w w:val="105"/>
          <w:sz w:val="14"/>
        </w:rPr>
        <w:t>CREAM</w:t>
      </w:r>
      <w:r>
        <w:rPr>
          <w:rFonts w:ascii="Arial" w:hAnsi="Arial"/>
          <w:color w:val="231F20"/>
          <w:spacing w:val="14"/>
          <w:w w:val="105"/>
          <w:sz w:val="14"/>
        </w:rPr>
        <w:t> </w:t>
      </w:r>
      <w:r>
        <w:rPr>
          <w:rFonts w:ascii="Arial" w:hAnsi="Arial"/>
          <w:color w:val="231F20"/>
          <w:w w:val="105"/>
          <w:sz w:val="14"/>
        </w:rPr>
        <w:t>REGRESSION</w:t>
      </w:r>
      <w:r>
        <w:rPr>
          <w:rFonts w:ascii="Arial" w:hAnsi="Arial"/>
          <w:color w:val="231F20"/>
          <w:spacing w:val="14"/>
          <w:w w:val="105"/>
          <w:sz w:val="14"/>
        </w:rPr>
        <w:t> </w:t>
      </w:r>
      <w:r>
        <w:rPr>
          <w:rFonts w:ascii="Arial" w:hAnsi="Arial"/>
          <w:color w:val="231F20"/>
          <w:spacing w:val="-2"/>
          <w:w w:val="105"/>
          <w:sz w:val="14"/>
        </w:rPr>
        <w:t>EXAMPLE</w:t>
      </w:r>
    </w:p>
    <w:p>
      <w:pPr>
        <w:pStyle w:val="BodyText"/>
        <w:spacing w:before="7"/>
        <w:rPr>
          <w:rFonts w:ascii="Arial"/>
          <w:sz w:val="15"/>
        </w:rPr>
      </w:pPr>
      <w:r>
        <w:rPr/>
        <w:drawing>
          <wp:anchor distT="0" distB="0" distL="0" distR="0" allowOverlap="1" layoutInCell="1" locked="0" behindDoc="0" simplePos="0" relativeHeight="226">
            <wp:simplePos x="0" y="0"/>
            <wp:positionH relativeFrom="page">
              <wp:posOffset>1043936</wp:posOffset>
            </wp:positionH>
            <wp:positionV relativeFrom="paragraph">
              <wp:posOffset>129504</wp:posOffset>
            </wp:positionV>
            <wp:extent cx="3311345" cy="1800225"/>
            <wp:effectExtent l="0" t="0" r="0" b="0"/>
            <wp:wrapTopAndBottom/>
            <wp:docPr id="89" name="image54.png"/>
            <wp:cNvGraphicFramePr>
              <a:graphicFrameLocks noChangeAspect="1"/>
            </wp:cNvGraphicFramePr>
            <a:graphic>
              <a:graphicData uri="http://schemas.openxmlformats.org/drawingml/2006/picture">
                <pic:pic>
                  <pic:nvPicPr>
                    <pic:cNvPr id="90" name="image54.png"/>
                    <pic:cNvPicPr/>
                  </pic:nvPicPr>
                  <pic:blipFill>
                    <a:blip r:embed="rId79" cstate="print"/>
                    <a:stretch>
                      <a:fillRect/>
                    </a:stretch>
                  </pic:blipFill>
                  <pic:spPr>
                    <a:xfrm>
                      <a:off x="0" y="0"/>
                      <a:ext cx="3311345" cy="1800225"/>
                    </a:xfrm>
                    <a:prstGeom prst="rect">
                      <a:avLst/>
                    </a:prstGeom>
                  </pic:spPr>
                </pic:pic>
              </a:graphicData>
            </a:graphic>
          </wp:anchor>
        </w:drawing>
      </w:r>
    </w:p>
    <w:p>
      <w:pPr>
        <w:spacing w:after="0"/>
        <w:rPr>
          <w:rFonts w:ascii="Arial"/>
          <w:sz w:val="15"/>
        </w:rPr>
        <w:sectPr>
          <w:pgSz w:w="8640" w:h="12960"/>
          <w:pgMar w:header="732" w:footer="0" w:top="920" w:bottom="280" w:left="340" w:right="500"/>
        </w:sectPr>
      </w:pPr>
    </w:p>
    <w:p>
      <w:pPr>
        <w:pStyle w:val="BodyText"/>
        <w:rPr>
          <w:rFonts w:ascii="Arial"/>
          <w:sz w:val="18"/>
        </w:rPr>
      </w:pPr>
    </w:p>
    <w:p>
      <w:pPr>
        <w:pStyle w:val="Heading6"/>
        <w:spacing w:before="99"/>
        <w:rPr>
          <w:i/>
        </w:rPr>
      </w:pPr>
      <w:r>
        <w:rPr>
          <w:i/>
          <w:color w:val="231F20"/>
          <w:w w:val="110"/>
        </w:rPr>
        <w:t>STANDARD</w:t>
      </w:r>
      <w:r>
        <w:rPr>
          <w:i/>
          <w:color w:val="231F20"/>
          <w:spacing w:val="53"/>
          <w:w w:val="110"/>
        </w:rPr>
        <w:t> </w:t>
      </w:r>
      <w:r>
        <w:rPr>
          <w:i/>
          <w:color w:val="231F20"/>
          <w:w w:val="110"/>
        </w:rPr>
        <w:t>ERROR</w:t>
      </w:r>
      <w:r>
        <w:rPr>
          <w:i/>
          <w:color w:val="231F20"/>
          <w:spacing w:val="54"/>
          <w:w w:val="110"/>
        </w:rPr>
        <w:t> </w:t>
      </w:r>
      <w:r>
        <w:rPr>
          <w:i/>
          <w:color w:val="231F20"/>
          <w:spacing w:val="8"/>
          <w:w w:val="110"/>
        </w:rPr>
        <w:t>EXPLAINED</w:t>
      </w:r>
    </w:p>
    <w:p>
      <w:pPr>
        <w:pStyle w:val="BodyText"/>
        <w:spacing w:before="2"/>
        <w:rPr>
          <w:b/>
          <w:i/>
          <w:sz w:val="30"/>
        </w:rPr>
      </w:pPr>
    </w:p>
    <w:p>
      <w:pPr>
        <w:pStyle w:val="BodyText"/>
        <w:spacing w:line="292" w:lineRule="auto"/>
        <w:ind w:left="919" w:right="667"/>
        <w:jc w:val="both"/>
      </w:pPr>
      <w:r>
        <w:rPr>
          <w:color w:val="231F20"/>
          <w:w w:val="105"/>
        </w:rPr>
        <w:t>The</w:t>
      </w:r>
      <w:r>
        <w:rPr>
          <w:color w:val="231F20"/>
          <w:spacing w:val="-13"/>
          <w:w w:val="105"/>
        </w:rPr>
        <w:t> </w:t>
      </w:r>
      <w:r>
        <w:rPr>
          <w:color w:val="231F20"/>
          <w:w w:val="105"/>
        </w:rPr>
        <w:t>“Standard</w:t>
      </w:r>
      <w:r>
        <w:rPr>
          <w:color w:val="231F20"/>
          <w:spacing w:val="-12"/>
          <w:w w:val="105"/>
        </w:rPr>
        <w:t> </w:t>
      </w:r>
      <w:r>
        <w:rPr>
          <w:color w:val="231F20"/>
          <w:w w:val="105"/>
        </w:rPr>
        <w:t>Error</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10"/>
        </w:rPr>
        <w:t>Y</w:t>
      </w:r>
      <w:r>
        <w:rPr>
          <w:color w:val="231F20"/>
          <w:spacing w:val="-13"/>
          <w:w w:val="110"/>
        </w:rPr>
        <w:t> </w:t>
      </w:r>
      <w:r>
        <w:rPr>
          <w:color w:val="231F20"/>
          <w:w w:val="105"/>
        </w:rPr>
        <w:t>Estimate</w:t>
      </w:r>
      <w:r>
        <w:rPr>
          <w:color w:val="231F20"/>
          <w:spacing w:val="-12"/>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10"/>
        </w:rPr>
        <w:t>X</w:t>
      </w:r>
      <w:r>
        <w:rPr>
          <w:color w:val="231F20"/>
          <w:spacing w:val="-13"/>
          <w:w w:val="110"/>
        </w:rPr>
        <w:t> </w:t>
      </w:r>
      <w:r>
        <w:rPr>
          <w:color w:val="231F20"/>
          <w:w w:val="105"/>
        </w:rPr>
        <w:t>Coefficient”</w:t>
      </w:r>
      <w:r>
        <w:rPr>
          <w:color w:val="231F20"/>
          <w:spacing w:val="-12"/>
          <w:w w:val="105"/>
        </w:rPr>
        <w:t> </w:t>
      </w:r>
      <w:r>
        <w:rPr>
          <w:color w:val="231F20"/>
          <w:w w:val="105"/>
        </w:rPr>
        <w:t>shown </w:t>
      </w:r>
      <w:r>
        <w:rPr>
          <w:color w:val="231F20"/>
        </w:rPr>
        <w:t>in</w:t>
      </w:r>
      <w:r>
        <w:rPr>
          <w:color w:val="231F20"/>
          <w:spacing w:val="-8"/>
        </w:rPr>
        <w:t> </w:t>
      </w:r>
      <w:r>
        <w:rPr>
          <w:color w:val="231F20"/>
        </w:rPr>
        <w:t>the</w:t>
      </w:r>
      <w:r>
        <w:rPr>
          <w:color w:val="231F20"/>
          <w:spacing w:val="-8"/>
        </w:rPr>
        <w:t> </w:t>
      </w:r>
      <w:r>
        <w:rPr>
          <w:color w:val="231F20"/>
        </w:rPr>
        <w:t>spreadsheet</w:t>
      </w:r>
      <w:r>
        <w:rPr>
          <w:color w:val="231F20"/>
          <w:spacing w:val="-8"/>
        </w:rPr>
        <w:t> </w:t>
      </w:r>
      <w:r>
        <w:rPr>
          <w:color w:val="231F20"/>
        </w:rPr>
        <w:t>output</w:t>
      </w:r>
      <w:r>
        <w:rPr>
          <w:color w:val="231F20"/>
          <w:spacing w:val="-8"/>
        </w:rPr>
        <w:t> </w:t>
      </w:r>
      <w:r>
        <w:rPr>
          <w:color w:val="231F20"/>
        </w:rPr>
        <w:t>are</w:t>
      </w:r>
      <w:r>
        <w:rPr>
          <w:color w:val="231F20"/>
          <w:spacing w:val="-8"/>
        </w:rPr>
        <w:t> </w:t>
      </w:r>
      <w:r>
        <w:rPr>
          <w:color w:val="231F20"/>
        </w:rPr>
        <w:t>synonyms</w:t>
      </w:r>
      <w:r>
        <w:rPr>
          <w:color w:val="231F20"/>
          <w:spacing w:val="-8"/>
        </w:rPr>
        <w:t> </w:t>
      </w:r>
      <w:r>
        <w:rPr>
          <w:color w:val="231F20"/>
        </w:rPr>
        <w:t>for</w:t>
      </w:r>
      <w:r>
        <w:rPr>
          <w:color w:val="231F20"/>
          <w:spacing w:val="-8"/>
        </w:rPr>
        <w:t> </w:t>
      </w:r>
      <w:r>
        <w:rPr>
          <w:color w:val="231F20"/>
        </w:rPr>
        <w:t>the</w:t>
      </w:r>
      <w:r>
        <w:rPr>
          <w:color w:val="231F20"/>
          <w:spacing w:val="-8"/>
        </w:rPr>
        <w:t> </w:t>
      </w:r>
      <w:r>
        <w:rPr>
          <w:i/>
          <w:color w:val="231F20"/>
        </w:rPr>
        <w:t>standard</w:t>
      </w:r>
      <w:r>
        <w:rPr>
          <w:i/>
          <w:color w:val="231F20"/>
          <w:spacing w:val="-8"/>
        </w:rPr>
        <w:t> </w:t>
      </w:r>
      <w:r>
        <w:rPr>
          <w:i/>
          <w:color w:val="231F20"/>
        </w:rPr>
        <w:t>deviations</w:t>
      </w:r>
      <w:r>
        <w:rPr>
          <w:i/>
          <w:color w:val="231F20"/>
          <w:spacing w:val="-8"/>
        </w:rPr>
        <w:t> </w:t>
      </w:r>
      <w:r>
        <w:rPr>
          <w:color w:val="231F20"/>
        </w:rPr>
        <w:t>of </w:t>
      </w:r>
      <w:r>
        <w:rPr>
          <w:color w:val="231F20"/>
          <w:w w:val="105"/>
        </w:rPr>
        <w:t>the</w:t>
      </w:r>
      <w:r>
        <w:rPr>
          <w:color w:val="231F20"/>
          <w:w w:val="105"/>
        </w:rPr>
        <w:t> </w:t>
      </w:r>
      <w:r>
        <w:rPr>
          <w:color w:val="231F20"/>
          <w:w w:val="110"/>
        </w:rPr>
        <w:t>Y</w:t>
      </w:r>
      <w:r>
        <w:rPr>
          <w:color w:val="231F20"/>
          <w:w w:val="110"/>
        </w:rPr>
        <w:t> </w:t>
      </w:r>
      <w:r>
        <w:rPr>
          <w:color w:val="231F20"/>
          <w:w w:val="105"/>
        </w:rPr>
        <w:t>and</w:t>
      </w:r>
      <w:r>
        <w:rPr>
          <w:color w:val="231F20"/>
          <w:w w:val="105"/>
        </w:rPr>
        <w:t> </w:t>
      </w:r>
      <w:r>
        <w:rPr>
          <w:color w:val="231F20"/>
          <w:w w:val="110"/>
        </w:rPr>
        <w:t>X</w:t>
      </w:r>
      <w:r>
        <w:rPr>
          <w:color w:val="231F20"/>
          <w:w w:val="110"/>
        </w:rPr>
        <w:t> </w:t>
      </w:r>
      <w:r>
        <w:rPr>
          <w:color w:val="231F20"/>
          <w:w w:val="105"/>
        </w:rPr>
        <w:t>coefficients</w:t>
      </w:r>
      <w:r>
        <w:rPr>
          <w:color w:val="231F20"/>
          <w:w w:val="105"/>
        </w:rPr>
        <w:t> of</w:t>
      </w:r>
      <w:r>
        <w:rPr>
          <w:color w:val="231F20"/>
          <w:w w:val="105"/>
        </w:rPr>
        <w:t> the</w:t>
      </w:r>
      <w:r>
        <w:rPr>
          <w:color w:val="231F20"/>
          <w:w w:val="105"/>
        </w:rPr>
        <w:t> regression</w:t>
      </w:r>
      <w:r>
        <w:rPr>
          <w:color w:val="231F20"/>
          <w:w w:val="105"/>
        </w:rPr>
        <w:t> line.</w:t>
      </w:r>
      <w:r>
        <w:rPr>
          <w:color w:val="231F20"/>
          <w:w w:val="105"/>
        </w:rPr>
        <w:t> In</w:t>
      </w:r>
      <w:r>
        <w:rPr>
          <w:color w:val="231F20"/>
          <w:w w:val="105"/>
        </w:rPr>
        <w:t> the</w:t>
      </w:r>
      <w:r>
        <w:rPr>
          <w:color w:val="231F20"/>
          <w:w w:val="105"/>
        </w:rPr>
        <w:t> Ben</w:t>
      </w:r>
      <w:r>
        <w:rPr>
          <w:color w:val="231F20"/>
          <w:w w:val="105"/>
        </w:rPr>
        <w:t> </w:t>
      </w:r>
      <w:r>
        <w:rPr>
          <w:color w:val="231F20"/>
          <w:w w:val="110"/>
        </w:rPr>
        <w:t>&amp;</w:t>
      </w:r>
      <w:r>
        <w:rPr>
          <w:color w:val="231F20"/>
          <w:w w:val="110"/>
        </w:rPr>
        <w:t> </w:t>
      </w:r>
      <w:r>
        <w:rPr>
          <w:color w:val="231F20"/>
          <w:w w:val="105"/>
        </w:rPr>
        <w:t>Jerry’s </w:t>
      </w:r>
      <w:r>
        <w:rPr>
          <w:color w:val="231F20"/>
        </w:rPr>
        <w:t>example, the standard error of the Y estimate (sales) is plus or minus</w:t>
      </w:r>
    </w:p>
    <w:p>
      <w:pPr>
        <w:pStyle w:val="BodyText"/>
        <w:spacing w:line="292" w:lineRule="auto"/>
        <w:ind w:left="919" w:right="669"/>
        <w:jc w:val="both"/>
      </w:pPr>
      <w:r>
        <w:rPr>
          <w:color w:val="231F20"/>
        </w:rPr>
        <w:t>$243,334</w:t>
      </w:r>
      <w:r>
        <w:rPr>
          <w:color w:val="231F20"/>
          <w:spacing w:val="-4"/>
        </w:rPr>
        <w:t> </w:t>
      </w:r>
      <w:r>
        <w:rPr>
          <w:color w:val="231F20"/>
        </w:rPr>
        <w:t>68</w:t>
      </w:r>
      <w:r>
        <w:rPr>
          <w:color w:val="231F20"/>
          <w:spacing w:val="-4"/>
        </w:rPr>
        <w:t> </w:t>
      </w:r>
      <w:r>
        <w:rPr>
          <w:color w:val="231F20"/>
        </w:rPr>
        <w:t>percent</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time.</w:t>
      </w:r>
      <w:r>
        <w:rPr>
          <w:color w:val="231F20"/>
          <w:spacing w:val="-4"/>
        </w:rPr>
        <w:t> </w:t>
      </w:r>
      <w:r>
        <w:rPr>
          <w:color w:val="231F20"/>
        </w:rPr>
        <w:t>(It</w:t>
      </w:r>
      <w:r>
        <w:rPr>
          <w:color w:val="231F20"/>
          <w:spacing w:val="-4"/>
        </w:rPr>
        <w:t> </w:t>
      </w:r>
      <w:r>
        <w:rPr>
          <w:color w:val="231F20"/>
        </w:rPr>
        <w:t>is</w:t>
      </w:r>
      <w:r>
        <w:rPr>
          <w:color w:val="231F20"/>
          <w:spacing w:val="-4"/>
        </w:rPr>
        <w:t> </w:t>
      </w:r>
      <w:r>
        <w:rPr>
          <w:color w:val="231F20"/>
        </w:rPr>
        <w:t>listed</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Excel</w:t>
      </w:r>
      <w:r>
        <w:rPr>
          <w:color w:val="231F20"/>
          <w:spacing w:val="-4"/>
        </w:rPr>
        <w:t> </w:t>
      </w:r>
      <w:r>
        <w:rPr>
          <w:color w:val="231F20"/>
        </w:rPr>
        <w:t>output</w:t>
      </w:r>
      <w:r>
        <w:rPr>
          <w:color w:val="231F20"/>
          <w:spacing w:val="-4"/>
        </w:rPr>
        <w:t> </w:t>
      </w:r>
      <w:r>
        <w:rPr>
          <w:color w:val="231F20"/>
        </w:rPr>
        <w:t>found on the bottom of page 191.) In the same way the output shows that the standard error of the </w:t>
      </w:r>
      <w:r>
        <w:rPr>
          <w:color w:val="231F20"/>
          <w:w w:val="110"/>
        </w:rPr>
        <w:t>X</w:t>
      </w:r>
      <w:r>
        <w:rPr>
          <w:color w:val="231F20"/>
          <w:w w:val="110"/>
        </w:rPr>
        <w:t> </w:t>
      </w:r>
      <w:r>
        <w:rPr>
          <w:color w:val="231F20"/>
        </w:rPr>
        <w:t>coefficient (temperature) is 3,367. (It is listed in the Excel output found on the top of page 192.) A variety of analyses about the ranges of possible data values can be performed using standard deviations to show the variability of those numbers and the reliability of the resulting regression equation.</w:t>
      </w:r>
    </w:p>
    <w:p>
      <w:pPr>
        <w:pStyle w:val="BodyText"/>
        <w:rPr>
          <w:sz w:val="24"/>
        </w:rPr>
      </w:pPr>
    </w:p>
    <w:p>
      <w:pPr>
        <w:pStyle w:val="BodyText"/>
        <w:spacing w:before="10"/>
        <w:rPr>
          <w:sz w:val="26"/>
        </w:rPr>
      </w:pPr>
    </w:p>
    <w:p>
      <w:pPr>
        <w:pStyle w:val="Heading6"/>
        <w:rPr>
          <w:i/>
        </w:rPr>
      </w:pPr>
      <w:r>
        <w:rPr>
          <w:i/>
          <w:color w:val="231F20"/>
          <w:w w:val="110"/>
        </w:rPr>
        <w:t>THE</w:t>
      </w:r>
      <w:r>
        <w:rPr>
          <w:i/>
          <w:color w:val="231F20"/>
          <w:spacing w:val="56"/>
          <w:w w:val="110"/>
        </w:rPr>
        <w:t> </w:t>
      </w:r>
      <w:r>
        <w:rPr>
          <w:i/>
          <w:color w:val="231F20"/>
          <w:w w:val="110"/>
        </w:rPr>
        <w:t>T</w:t>
      </w:r>
      <w:r>
        <w:rPr>
          <w:i/>
          <w:color w:val="231F20"/>
          <w:spacing w:val="56"/>
          <w:w w:val="110"/>
        </w:rPr>
        <w:t> </w:t>
      </w:r>
      <w:r>
        <w:rPr>
          <w:i/>
          <w:color w:val="231F20"/>
          <w:w w:val="110"/>
        </w:rPr>
        <w:t>STATISTIC</w:t>
      </w:r>
      <w:r>
        <w:rPr>
          <w:i/>
          <w:color w:val="231F20"/>
          <w:spacing w:val="56"/>
          <w:w w:val="110"/>
        </w:rPr>
        <w:t> </w:t>
      </w:r>
      <w:r>
        <w:rPr>
          <w:i/>
          <w:color w:val="231F20"/>
          <w:w w:val="110"/>
        </w:rPr>
        <w:t>MEASURE</w:t>
      </w:r>
      <w:r>
        <w:rPr>
          <w:i/>
          <w:color w:val="231F20"/>
          <w:spacing w:val="57"/>
          <w:w w:val="110"/>
        </w:rPr>
        <w:t> </w:t>
      </w:r>
      <w:r>
        <w:rPr>
          <w:i/>
          <w:color w:val="231F20"/>
          <w:w w:val="110"/>
        </w:rPr>
        <w:t>OF</w:t>
      </w:r>
      <w:r>
        <w:rPr>
          <w:i/>
          <w:color w:val="231F20"/>
          <w:spacing w:val="56"/>
          <w:w w:val="110"/>
        </w:rPr>
        <w:t> </w:t>
      </w:r>
      <w:r>
        <w:rPr>
          <w:i/>
          <w:color w:val="231F20"/>
          <w:spacing w:val="8"/>
          <w:w w:val="110"/>
        </w:rPr>
        <w:t>RELIABILITY</w:t>
      </w:r>
    </w:p>
    <w:p>
      <w:pPr>
        <w:pStyle w:val="BodyText"/>
        <w:spacing w:before="2"/>
        <w:rPr>
          <w:b/>
          <w:i/>
          <w:sz w:val="30"/>
        </w:rPr>
      </w:pPr>
    </w:p>
    <w:p>
      <w:pPr>
        <w:pStyle w:val="BodyText"/>
        <w:spacing w:line="292" w:lineRule="auto"/>
        <w:ind w:left="920" w:right="666"/>
        <w:jc w:val="both"/>
      </w:pPr>
      <w:r>
        <w:rPr/>
        <w:pict>
          <v:rect style="position:absolute;margin-left:290.848022pt;margin-top:82.103729pt;width:4.930940pt;height:.7242pt;mso-position-horizontal-relative:page;mso-position-vertical-relative:paragraph;z-index:-25113088" id="docshape337" filled="true" fillcolor="#231f20" stroked="false">
            <v:fill type="solid"/>
            <w10:wrap type="none"/>
          </v:rect>
        </w:pict>
      </w:r>
      <w:r>
        <w:rPr>
          <w:color w:val="231F20"/>
        </w:rPr>
        <w:t>The </w:t>
      </w:r>
      <w:r>
        <w:rPr>
          <w:i/>
          <w:color w:val="231F20"/>
        </w:rPr>
        <w:t>T statistic </w:t>
      </w:r>
      <w:r>
        <w:rPr>
          <w:color w:val="231F20"/>
        </w:rPr>
        <w:t>can help determine if the regression equation </w:t>
      </w:r>
      <w:r>
        <w:rPr>
          <w:color w:val="231F20"/>
        </w:rPr>
        <w:t>calcu- lated</w:t>
      </w:r>
      <w:r>
        <w:rPr>
          <w:color w:val="231F20"/>
          <w:spacing w:val="33"/>
        </w:rPr>
        <w:t> </w:t>
      </w:r>
      <w:r>
        <w:rPr>
          <w:color w:val="231F20"/>
        </w:rPr>
        <w:t>by</w:t>
      </w:r>
      <w:r>
        <w:rPr>
          <w:color w:val="231F20"/>
          <w:spacing w:val="33"/>
        </w:rPr>
        <w:t> </w:t>
      </w:r>
      <w:r>
        <w:rPr>
          <w:color w:val="231F20"/>
        </w:rPr>
        <w:t>the</w:t>
      </w:r>
      <w:r>
        <w:rPr>
          <w:color w:val="231F20"/>
          <w:spacing w:val="33"/>
        </w:rPr>
        <w:t> </w:t>
      </w:r>
      <w:r>
        <w:rPr>
          <w:color w:val="231F20"/>
        </w:rPr>
        <w:t>spreadsheet</w:t>
      </w:r>
      <w:r>
        <w:rPr>
          <w:color w:val="231F20"/>
          <w:spacing w:val="33"/>
        </w:rPr>
        <w:t> </w:t>
      </w:r>
      <w:r>
        <w:rPr>
          <w:color w:val="231F20"/>
        </w:rPr>
        <w:t>is</w:t>
      </w:r>
      <w:r>
        <w:rPr>
          <w:color w:val="231F20"/>
          <w:spacing w:val="33"/>
        </w:rPr>
        <w:t> </w:t>
      </w:r>
      <w:r>
        <w:rPr>
          <w:color w:val="231F20"/>
        </w:rPr>
        <w:t>a</w:t>
      </w:r>
      <w:r>
        <w:rPr>
          <w:color w:val="231F20"/>
          <w:spacing w:val="33"/>
        </w:rPr>
        <w:t> </w:t>
      </w:r>
      <w:r>
        <w:rPr>
          <w:color w:val="231F20"/>
        </w:rPr>
        <w:t>good</w:t>
      </w:r>
      <w:r>
        <w:rPr>
          <w:color w:val="231F20"/>
          <w:spacing w:val="33"/>
        </w:rPr>
        <w:t> </w:t>
      </w:r>
      <w:r>
        <w:rPr>
          <w:color w:val="231F20"/>
        </w:rPr>
        <w:t>one</w:t>
      </w:r>
      <w:r>
        <w:rPr>
          <w:color w:val="231F20"/>
          <w:spacing w:val="33"/>
        </w:rPr>
        <w:t> </w:t>
      </w:r>
      <w:r>
        <w:rPr>
          <w:color w:val="231F20"/>
        </w:rPr>
        <w:t>to</w:t>
      </w:r>
      <w:r>
        <w:rPr>
          <w:color w:val="231F20"/>
          <w:spacing w:val="33"/>
        </w:rPr>
        <w:t> </w:t>
      </w:r>
      <w:r>
        <w:rPr>
          <w:color w:val="231F20"/>
        </w:rPr>
        <w:t>use</w:t>
      </w:r>
      <w:r>
        <w:rPr>
          <w:color w:val="231F20"/>
          <w:spacing w:val="33"/>
        </w:rPr>
        <w:t> </w:t>
      </w:r>
      <w:r>
        <w:rPr>
          <w:color w:val="231F20"/>
        </w:rPr>
        <w:t>for</w:t>
      </w:r>
      <w:r>
        <w:rPr>
          <w:color w:val="231F20"/>
          <w:spacing w:val="33"/>
        </w:rPr>
        <w:t> </w:t>
      </w:r>
      <w:r>
        <w:rPr>
          <w:color w:val="231F20"/>
        </w:rPr>
        <w:t>forecasting.</w:t>
      </w:r>
      <w:r>
        <w:rPr>
          <w:color w:val="231F20"/>
          <w:spacing w:val="33"/>
        </w:rPr>
        <w:t> </w:t>
      </w:r>
      <w:r>
        <w:rPr>
          <w:color w:val="231F20"/>
        </w:rPr>
        <w:t>The T statistic reveals if an </w:t>
      </w:r>
      <w:r>
        <w:rPr>
          <w:color w:val="231F20"/>
          <w:w w:val="110"/>
        </w:rPr>
        <w:t>X </w:t>
      </w:r>
      <w:r>
        <w:rPr>
          <w:color w:val="231F20"/>
        </w:rPr>
        <w:t>variable has a statistically significant effect on </w:t>
      </w:r>
      <w:r>
        <w:rPr>
          <w:color w:val="231F20"/>
          <w:w w:val="110"/>
        </w:rPr>
        <w:t>Y,</w:t>
      </w:r>
      <w:r>
        <w:rPr>
          <w:color w:val="231F20"/>
          <w:w w:val="110"/>
        </w:rPr>
        <w:t> </w:t>
      </w:r>
      <w:r>
        <w:rPr>
          <w:color w:val="231F20"/>
        </w:rPr>
        <w:t>such as temperature’s effect on sales. You calculate the mea- sure</w:t>
      </w:r>
      <w:r>
        <w:rPr>
          <w:color w:val="231F20"/>
          <w:spacing w:val="27"/>
        </w:rPr>
        <w:t> </w:t>
      </w:r>
      <w:r>
        <w:rPr>
          <w:color w:val="231F20"/>
        </w:rPr>
        <w:t>by</w:t>
      </w:r>
      <w:r>
        <w:rPr>
          <w:color w:val="231F20"/>
          <w:spacing w:val="27"/>
        </w:rPr>
        <w:t> </w:t>
      </w:r>
      <w:r>
        <w:rPr>
          <w:color w:val="231F20"/>
        </w:rPr>
        <w:t>dividing</w:t>
      </w:r>
      <w:r>
        <w:rPr>
          <w:color w:val="231F20"/>
          <w:spacing w:val="27"/>
        </w:rPr>
        <w:t> </w:t>
      </w:r>
      <w:r>
        <w:rPr>
          <w:color w:val="231F20"/>
        </w:rPr>
        <w:t>the</w:t>
      </w:r>
      <w:r>
        <w:rPr>
          <w:color w:val="231F20"/>
          <w:spacing w:val="22"/>
          <w:w w:val="110"/>
        </w:rPr>
        <w:t> </w:t>
      </w:r>
      <w:r>
        <w:rPr>
          <w:color w:val="231F20"/>
          <w:w w:val="110"/>
        </w:rPr>
        <w:t>X</w:t>
      </w:r>
      <w:r>
        <w:rPr>
          <w:color w:val="231F20"/>
          <w:spacing w:val="22"/>
          <w:w w:val="110"/>
        </w:rPr>
        <w:t> </w:t>
      </w:r>
      <w:r>
        <w:rPr>
          <w:color w:val="231F20"/>
        </w:rPr>
        <w:t>coefficient</w:t>
      </w:r>
      <w:r>
        <w:rPr>
          <w:color w:val="231F20"/>
          <w:spacing w:val="27"/>
        </w:rPr>
        <w:t> </w:t>
      </w:r>
      <w:r>
        <w:rPr>
          <w:color w:val="231F20"/>
        </w:rPr>
        <w:t>by</w:t>
      </w:r>
      <w:r>
        <w:rPr>
          <w:color w:val="231F20"/>
          <w:spacing w:val="27"/>
        </w:rPr>
        <w:t> </w:t>
      </w:r>
      <w:r>
        <w:rPr>
          <w:color w:val="231F20"/>
        </w:rPr>
        <w:t>its</w:t>
      </w:r>
      <w:r>
        <w:rPr>
          <w:color w:val="231F20"/>
          <w:spacing w:val="27"/>
        </w:rPr>
        <w:t> </w:t>
      </w:r>
      <w:r>
        <w:rPr>
          <w:color w:val="231F20"/>
        </w:rPr>
        <w:t>“Standard</w:t>
      </w:r>
      <w:r>
        <w:rPr>
          <w:color w:val="231F20"/>
          <w:spacing w:val="27"/>
        </w:rPr>
        <w:t> </w:t>
      </w:r>
      <w:r>
        <w:rPr>
          <w:color w:val="231F20"/>
        </w:rPr>
        <w:t>Error.”</w:t>
      </w:r>
      <w:r>
        <w:rPr>
          <w:color w:val="231F20"/>
          <w:spacing w:val="27"/>
        </w:rPr>
        <w:t> </w:t>
      </w:r>
      <w:r>
        <w:rPr>
          <w:color w:val="231F20"/>
        </w:rPr>
        <w:t>The</w:t>
      </w:r>
      <w:r>
        <w:rPr>
          <w:color w:val="231F20"/>
          <w:spacing w:val="27"/>
        </w:rPr>
        <w:t> </w:t>
      </w:r>
      <w:r>
        <w:rPr>
          <w:color w:val="231F20"/>
        </w:rPr>
        <w:t>rule of thumb says if a T statistic is above 2 or below</w:t>
      </w:r>
      <w:r>
        <w:rPr>
          <w:color w:val="231F20"/>
          <w:spacing w:val="80"/>
        </w:rPr>
        <w:t> </w:t>
      </w:r>
      <w:r>
        <w:rPr>
          <w:color w:val="231F20"/>
        </w:rPr>
        <w:t>2, the </w:t>
      </w:r>
      <w:r>
        <w:rPr>
          <w:color w:val="231F20"/>
          <w:w w:val="110"/>
        </w:rPr>
        <w:t>X </w:t>
      </w:r>
      <w:r>
        <w:rPr>
          <w:color w:val="231F20"/>
        </w:rPr>
        <w:t>variable</w:t>
      </w:r>
      <w:r>
        <w:rPr>
          <w:color w:val="231F20"/>
          <w:spacing w:val="80"/>
        </w:rPr>
        <w:t> </w:t>
      </w:r>
      <w:r>
        <w:rPr>
          <w:color w:val="231F20"/>
        </w:rPr>
        <w:t>has</w:t>
      </w:r>
      <w:r>
        <w:rPr>
          <w:color w:val="231F20"/>
          <w:spacing w:val="30"/>
        </w:rPr>
        <w:t> </w:t>
      </w:r>
      <w:r>
        <w:rPr>
          <w:color w:val="231F20"/>
        </w:rPr>
        <w:t>a</w:t>
      </w:r>
      <w:r>
        <w:rPr>
          <w:color w:val="231F20"/>
          <w:spacing w:val="31"/>
        </w:rPr>
        <w:t> </w:t>
      </w:r>
      <w:r>
        <w:rPr>
          <w:color w:val="231F20"/>
        </w:rPr>
        <w:t>statistically</w:t>
      </w:r>
      <w:r>
        <w:rPr>
          <w:color w:val="231F20"/>
          <w:spacing w:val="31"/>
        </w:rPr>
        <w:t> </w:t>
      </w:r>
      <w:r>
        <w:rPr>
          <w:color w:val="231F20"/>
        </w:rPr>
        <w:t>significant</w:t>
      </w:r>
      <w:r>
        <w:rPr>
          <w:color w:val="231F20"/>
          <w:spacing w:val="30"/>
        </w:rPr>
        <w:t> </w:t>
      </w:r>
      <w:r>
        <w:rPr>
          <w:color w:val="231F20"/>
        </w:rPr>
        <w:t>effect</w:t>
      </w:r>
      <w:r>
        <w:rPr>
          <w:color w:val="231F20"/>
          <w:spacing w:val="31"/>
        </w:rPr>
        <w:t> </w:t>
      </w:r>
      <w:r>
        <w:rPr>
          <w:color w:val="231F20"/>
        </w:rPr>
        <w:t>on</w:t>
      </w:r>
      <w:r>
        <w:rPr>
          <w:color w:val="231F20"/>
          <w:spacing w:val="26"/>
          <w:w w:val="110"/>
        </w:rPr>
        <w:t> </w:t>
      </w:r>
      <w:r>
        <w:rPr>
          <w:color w:val="231F20"/>
          <w:w w:val="110"/>
        </w:rPr>
        <w:t>Y.</w:t>
      </w:r>
      <w:r>
        <w:rPr>
          <w:color w:val="231F20"/>
          <w:spacing w:val="26"/>
          <w:w w:val="110"/>
        </w:rPr>
        <w:t> </w:t>
      </w:r>
      <w:r>
        <w:rPr>
          <w:color w:val="231F20"/>
        </w:rPr>
        <w:t>In</w:t>
      </w:r>
      <w:r>
        <w:rPr>
          <w:color w:val="231F20"/>
          <w:spacing w:val="31"/>
        </w:rPr>
        <w:t> </w:t>
      </w:r>
      <w:r>
        <w:rPr>
          <w:color w:val="231F20"/>
        </w:rPr>
        <w:t>our</w:t>
      </w:r>
      <w:r>
        <w:rPr>
          <w:color w:val="231F20"/>
          <w:spacing w:val="31"/>
        </w:rPr>
        <w:t> </w:t>
      </w:r>
      <w:r>
        <w:rPr>
          <w:color w:val="231F20"/>
        </w:rPr>
        <w:t>case</w:t>
      </w:r>
      <w:r>
        <w:rPr>
          <w:color w:val="231F20"/>
          <w:spacing w:val="31"/>
        </w:rPr>
        <w:t> </w:t>
      </w:r>
      <w:r>
        <w:rPr>
          <w:color w:val="231F20"/>
          <w:spacing w:val="-2"/>
        </w:rPr>
        <w:t>16,431/3,367</w:t>
      </w:r>
    </w:p>
    <w:p>
      <w:pPr>
        <w:pStyle w:val="BodyText"/>
        <w:spacing w:line="244" w:lineRule="exact"/>
        <w:ind w:left="920"/>
        <w:jc w:val="both"/>
      </w:pPr>
      <w:r>
        <w:rPr>
          <w:rFonts w:ascii="Symbol" w:hAnsi="Symbol"/>
          <w:color w:val="231F20"/>
        </w:rPr>
        <w:t></w:t>
      </w:r>
      <w:r>
        <w:rPr>
          <w:rFonts w:ascii="Times New Roman" w:hAnsi="Times New Roman"/>
          <w:color w:val="231F20"/>
          <w:spacing w:val="11"/>
        </w:rPr>
        <w:t> </w:t>
      </w:r>
      <w:r>
        <w:rPr>
          <w:color w:val="231F20"/>
        </w:rPr>
        <w:t>4.88,</w:t>
      </w:r>
      <w:r>
        <w:rPr>
          <w:color w:val="231F20"/>
          <w:spacing w:val="18"/>
        </w:rPr>
        <w:t> </w:t>
      </w:r>
      <w:r>
        <w:rPr>
          <w:color w:val="231F20"/>
        </w:rPr>
        <w:t>a</w:t>
      </w:r>
      <w:r>
        <w:rPr>
          <w:color w:val="231F20"/>
          <w:spacing w:val="18"/>
        </w:rPr>
        <w:t> </w:t>
      </w:r>
      <w:r>
        <w:rPr>
          <w:color w:val="231F20"/>
        </w:rPr>
        <w:t>very</w:t>
      </w:r>
      <w:r>
        <w:rPr>
          <w:color w:val="231F20"/>
          <w:spacing w:val="18"/>
        </w:rPr>
        <w:t> </w:t>
      </w:r>
      <w:r>
        <w:rPr>
          <w:color w:val="231F20"/>
        </w:rPr>
        <w:t>high</w:t>
      </w:r>
      <w:r>
        <w:rPr>
          <w:color w:val="231F20"/>
          <w:spacing w:val="18"/>
        </w:rPr>
        <w:t> </w:t>
      </w:r>
      <w:r>
        <w:rPr>
          <w:color w:val="231F20"/>
        </w:rPr>
        <w:t>T-stat.</w:t>
      </w:r>
      <w:r>
        <w:rPr>
          <w:color w:val="231F20"/>
          <w:spacing w:val="18"/>
        </w:rPr>
        <w:t> </w:t>
      </w:r>
      <w:r>
        <w:rPr>
          <w:color w:val="231F20"/>
        </w:rPr>
        <w:t>It</w:t>
      </w:r>
      <w:r>
        <w:rPr>
          <w:color w:val="231F20"/>
          <w:spacing w:val="18"/>
        </w:rPr>
        <w:t> </w:t>
      </w:r>
      <w:r>
        <w:rPr>
          <w:color w:val="231F20"/>
        </w:rPr>
        <w:t>is</w:t>
      </w:r>
      <w:r>
        <w:rPr>
          <w:color w:val="231F20"/>
          <w:spacing w:val="17"/>
        </w:rPr>
        <w:t> </w:t>
      </w:r>
      <w:r>
        <w:rPr>
          <w:color w:val="231F20"/>
        </w:rPr>
        <w:t>also</w:t>
      </w:r>
      <w:r>
        <w:rPr>
          <w:color w:val="231F20"/>
          <w:spacing w:val="18"/>
        </w:rPr>
        <w:t> </w:t>
      </w:r>
      <w:r>
        <w:rPr>
          <w:color w:val="231F20"/>
        </w:rPr>
        <w:t>listed</w:t>
      </w:r>
      <w:r>
        <w:rPr>
          <w:color w:val="231F20"/>
          <w:spacing w:val="18"/>
        </w:rPr>
        <w:t> </w:t>
      </w:r>
      <w:r>
        <w:rPr>
          <w:color w:val="231F20"/>
        </w:rPr>
        <w:t>in</w:t>
      </w:r>
      <w:r>
        <w:rPr>
          <w:color w:val="231F20"/>
          <w:spacing w:val="18"/>
        </w:rPr>
        <w:t> </w:t>
      </w:r>
      <w:r>
        <w:rPr>
          <w:color w:val="231F20"/>
        </w:rPr>
        <w:t>the</w:t>
      </w:r>
      <w:r>
        <w:rPr>
          <w:color w:val="231F20"/>
          <w:spacing w:val="18"/>
        </w:rPr>
        <w:t> </w:t>
      </w:r>
      <w:r>
        <w:rPr>
          <w:color w:val="231F20"/>
        </w:rPr>
        <w:t>Excel</w:t>
      </w:r>
      <w:r>
        <w:rPr>
          <w:color w:val="231F20"/>
          <w:spacing w:val="18"/>
        </w:rPr>
        <w:t> </w:t>
      </w:r>
      <w:r>
        <w:rPr>
          <w:color w:val="231F20"/>
        </w:rPr>
        <w:t>output</w:t>
      </w:r>
      <w:r>
        <w:rPr>
          <w:color w:val="231F20"/>
          <w:spacing w:val="18"/>
        </w:rPr>
        <w:t> </w:t>
      </w:r>
      <w:r>
        <w:rPr>
          <w:color w:val="231F20"/>
        </w:rPr>
        <w:t>on</w:t>
      </w:r>
      <w:r>
        <w:rPr>
          <w:color w:val="231F20"/>
          <w:spacing w:val="18"/>
        </w:rPr>
        <w:t> </w:t>
      </w:r>
      <w:r>
        <w:rPr>
          <w:color w:val="231F20"/>
          <w:spacing w:val="-5"/>
        </w:rPr>
        <w:t>the</w:t>
      </w:r>
    </w:p>
    <w:p>
      <w:pPr>
        <w:pStyle w:val="BodyText"/>
        <w:spacing w:line="292" w:lineRule="auto" w:before="54"/>
        <w:ind w:left="920" w:right="666"/>
        <w:jc w:val="both"/>
      </w:pPr>
      <w:r>
        <w:rPr>
          <w:color w:val="231F20"/>
        </w:rPr>
        <w:t>top of page 192. Therefore, an analyst would conclude that </w:t>
      </w:r>
      <w:r>
        <w:rPr>
          <w:color w:val="231F20"/>
        </w:rPr>
        <w:t>temper- ature is a good predictor of sales.</w:t>
      </w:r>
    </w:p>
    <w:p>
      <w:pPr>
        <w:pStyle w:val="BodyText"/>
        <w:spacing w:line="292" w:lineRule="auto"/>
        <w:ind w:left="920" w:right="664" w:firstLine="340"/>
        <w:jc w:val="both"/>
      </w:pPr>
      <w:r>
        <w:rPr>
          <w:color w:val="231F20"/>
        </w:rPr>
        <w:t>When considering whether a model is a good forecaster, it is nec- essary to have both a high R Square and a high T statistic. It is </w:t>
      </w:r>
      <w:r>
        <w:rPr>
          <w:color w:val="231F20"/>
        </w:rPr>
        <w:t>possi- ble to create a model with more than one </w:t>
      </w:r>
      <w:r>
        <w:rPr>
          <w:color w:val="231F20"/>
          <w:w w:val="110"/>
        </w:rPr>
        <w:t>X </w:t>
      </w:r>
      <w:r>
        <w:rPr>
          <w:color w:val="231F20"/>
        </w:rPr>
        <w:t>variable. This is called </w:t>
      </w:r>
      <w:r>
        <w:rPr>
          <w:i/>
          <w:color w:val="231F20"/>
        </w:rPr>
        <w:t>multivariable regression. </w:t>
      </w:r>
      <w:r>
        <w:rPr>
          <w:color w:val="231F20"/>
        </w:rPr>
        <w:t>As the number of variables increases, so does</w:t>
      </w:r>
      <w:r>
        <w:rPr>
          <w:color w:val="231F20"/>
          <w:spacing w:val="40"/>
        </w:rPr>
        <w:t> </w:t>
      </w:r>
      <w:r>
        <w:rPr>
          <w:color w:val="231F20"/>
        </w:rPr>
        <w:t>the</w:t>
      </w:r>
      <w:r>
        <w:rPr>
          <w:color w:val="231F20"/>
          <w:spacing w:val="40"/>
        </w:rPr>
        <w:t> </w:t>
      </w:r>
      <w:r>
        <w:rPr>
          <w:color w:val="231F20"/>
        </w:rPr>
        <w:t>R</w:t>
      </w:r>
      <w:r>
        <w:rPr>
          <w:color w:val="231F20"/>
          <w:spacing w:val="40"/>
        </w:rPr>
        <w:t> </w:t>
      </w:r>
      <w:r>
        <w:rPr>
          <w:color w:val="231F20"/>
        </w:rPr>
        <w:t>Square.</w:t>
      </w:r>
      <w:r>
        <w:rPr>
          <w:color w:val="231F20"/>
          <w:spacing w:val="40"/>
        </w:rPr>
        <w:t> </w:t>
      </w:r>
      <w:r>
        <w:rPr>
          <w:color w:val="231F20"/>
        </w:rPr>
        <w:t>However,</w:t>
      </w:r>
      <w:r>
        <w:rPr>
          <w:color w:val="231F20"/>
          <w:spacing w:val="40"/>
        </w:rPr>
        <w:t> </w:t>
      </w:r>
      <w:r>
        <w:rPr>
          <w:color w:val="231F20"/>
        </w:rPr>
        <w:t>adding</w:t>
      </w:r>
      <w:r>
        <w:rPr>
          <w:color w:val="231F20"/>
          <w:spacing w:val="40"/>
        </w:rPr>
        <w:t> </w:t>
      </w:r>
      <w:r>
        <w:rPr>
          <w:color w:val="231F20"/>
        </w:rPr>
        <w:t>more</w:t>
      </w:r>
      <w:r>
        <w:rPr>
          <w:color w:val="231F20"/>
          <w:spacing w:val="40"/>
          <w:w w:val="110"/>
        </w:rPr>
        <w:t> </w:t>
      </w:r>
      <w:r>
        <w:rPr>
          <w:color w:val="231F20"/>
          <w:w w:val="110"/>
        </w:rPr>
        <w:t>X</w:t>
      </w:r>
      <w:r>
        <w:rPr>
          <w:color w:val="231F20"/>
          <w:spacing w:val="40"/>
          <w:w w:val="110"/>
        </w:rPr>
        <w:t> </w:t>
      </w:r>
      <w:r>
        <w:rPr>
          <w:color w:val="231F20"/>
        </w:rPr>
        <w:t>variables</w:t>
      </w:r>
      <w:r>
        <w:rPr>
          <w:color w:val="231F20"/>
          <w:spacing w:val="40"/>
        </w:rPr>
        <w:t> </w:t>
      </w:r>
      <w:r>
        <w:rPr>
          <w:color w:val="231F20"/>
        </w:rPr>
        <w:t>with</w:t>
      </w:r>
      <w:r>
        <w:rPr>
          <w:color w:val="231F20"/>
          <w:spacing w:val="40"/>
        </w:rPr>
        <w:t> </w:t>
      </w:r>
      <w:r>
        <w:rPr>
          <w:color w:val="231F20"/>
        </w:rPr>
        <w:t>low</w:t>
      </w:r>
      <w:r>
        <w:rPr>
          <w:color w:val="231F20"/>
          <w:spacing w:val="80"/>
        </w:rPr>
        <w:t> </w:t>
      </w:r>
      <w:r>
        <w:rPr>
          <w:color w:val="231F20"/>
        </w:rPr>
        <w:t>T statistics creates an inaccurate model. It is necessary to play with the model, adding and dropping independent variables to achieve high R Squares </w:t>
      </w:r>
      <w:r>
        <w:rPr>
          <w:i/>
          <w:color w:val="231F20"/>
        </w:rPr>
        <w:t>and </w:t>
      </w:r>
      <w:r>
        <w:rPr>
          <w:color w:val="231F20"/>
        </w:rPr>
        <w:t>high T statistics.</w:t>
      </w:r>
    </w:p>
    <w:p>
      <w:pPr>
        <w:spacing w:after="0" w:line="292" w:lineRule="auto"/>
        <w:jc w:val="both"/>
        <w:sectPr>
          <w:pgSz w:w="8640" w:h="12960"/>
          <w:pgMar w:header="734" w:footer="0" w:top="920" w:bottom="280" w:left="340" w:right="500"/>
        </w:sectPr>
      </w:pPr>
    </w:p>
    <w:p>
      <w:pPr>
        <w:pStyle w:val="BodyText"/>
        <w:spacing w:before="10"/>
        <w:rPr>
          <w:sz w:val="17"/>
        </w:rPr>
      </w:pPr>
    </w:p>
    <w:p>
      <w:pPr>
        <w:pStyle w:val="Heading6"/>
        <w:spacing w:before="99"/>
        <w:ind w:left="299"/>
        <w:rPr>
          <w:i/>
        </w:rPr>
      </w:pPr>
      <w:r>
        <w:rPr>
          <w:i/>
          <w:color w:val="231F20"/>
          <w:w w:val="110"/>
        </w:rPr>
        <w:t>DUMMY</w:t>
      </w:r>
      <w:r>
        <w:rPr>
          <w:i/>
          <w:color w:val="231F20"/>
          <w:spacing w:val="77"/>
          <w:w w:val="110"/>
        </w:rPr>
        <w:t> </w:t>
      </w:r>
      <w:r>
        <w:rPr>
          <w:i/>
          <w:color w:val="231F20"/>
          <w:w w:val="110"/>
        </w:rPr>
        <w:t>VARIABLE</w:t>
      </w:r>
      <w:r>
        <w:rPr>
          <w:i/>
          <w:color w:val="231F20"/>
          <w:spacing w:val="78"/>
          <w:w w:val="110"/>
        </w:rPr>
        <w:t> </w:t>
      </w:r>
      <w:r>
        <w:rPr>
          <w:i/>
          <w:color w:val="231F20"/>
          <w:w w:val="110"/>
        </w:rPr>
        <w:t>REGRESSION</w:t>
      </w:r>
      <w:r>
        <w:rPr>
          <w:i/>
          <w:color w:val="231F20"/>
          <w:spacing w:val="77"/>
          <w:w w:val="110"/>
        </w:rPr>
        <w:t> </w:t>
      </w:r>
      <w:r>
        <w:rPr>
          <w:i/>
          <w:color w:val="231F20"/>
          <w:spacing w:val="-2"/>
          <w:w w:val="110"/>
        </w:rPr>
        <w:t>ANALYSIS</w:t>
      </w:r>
    </w:p>
    <w:p>
      <w:pPr>
        <w:pStyle w:val="BodyText"/>
        <w:spacing w:before="2"/>
        <w:rPr>
          <w:b/>
          <w:i/>
          <w:sz w:val="30"/>
        </w:rPr>
      </w:pPr>
    </w:p>
    <w:p>
      <w:pPr>
        <w:pStyle w:val="BodyText"/>
        <w:spacing w:line="292" w:lineRule="auto"/>
        <w:ind w:left="829" w:right="756"/>
        <w:jc w:val="both"/>
      </w:pPr>
      <w:r>
        <w:rPr>
          <w:color w:val="231F20"/>
        </w:rPr>
        <w:t>A trick employed in regression analysis is the use of</w:t>
      </w:r>
      <w:r>
        <w:rPr>
          <w:color w:val="231F20"/>
          <w:spacing w:val="-1"/>
        </w:rPr>
        <w:t> </w:t>
      </w:r>
      <w:r>
        <w:rPr>
          <w:i/>
          <w:color w:val="231F20"/>
        </w:rPr>
        <w:t>dummy variables</w:t>
      </w:r>
      <w:r>
        <w:rPr>
          <w:i/>
          <w:color w:val="231F20"/>
        </w:rPr>
        <w:t> </w:t>
      </w:r>
      <w:r>
        <w:rPr>
          <w:color w:val="231F20"/>
        </w:rPr>
        <w:t>to represent conditions that are not measured in a numerical </w:t>
      </w:r>
      <w:r>
        <w:rPr>
          <w:color w:val="231F20"/>
        </w:rPr>
        <w:t>series. Ones</w:t>
      </w:r>
      <w:r>
        <w:rPr>
          <w:color w:val="231F20"/>
          <w:spacing w:val="-2"/>
        </w:rPr>
        <w:t> </w:t>
      </w:r>
      <w:r>
        <w:rPr>
          <w:color w:val="231F20"/>
        </w:rPr>
        <w:t>and</w:t>
      </w:r>
      <w:r>
        <w:rPr>
          <w:color w:val="231F20"/>
          <w:spacing w:val="-2"/>
        </w:rPr>
        <w:t> </w:t>
      </w:r>
      <w:r>
        <w:rPr>
          <w:color w:val="231F20"/>
        </w:rPr>
        <w:t>zeroes</w:t>
      </w:r>
      <w:r>
        <w:rPr>
          <w:color w:val="231F20"/>
          <w:spacing w:val="-2"/>
        </w:rPr>
        <w:t> </w:t>
      </w:r>
      <w:r>
        <w:rPr>
          <w:color w:val="231F20"/>
        </w:rPr>
        <w:t>are</w:t>
      </w:r>
      <w:r>
        <w:rPr>
          <w:color w:val="231F20"/>
          <w:spacing w:val="-2"/>
        </w:rPr>
        <w:t> </w:t>
      </w:r>
      <w:r>
        <w:rPr>
          <w:color w:val="231F20"/>
        </w:rPr>
        <w:t>used</w:t>
      </w:r>
      <w:r>
        <w:rPr>
          <w:color w:val="231F20"/>
          <w:spacing w:val="-2"/>
        </w:rPr>
        <w:t> </w:t>
      </w:r>
      <w:r>
        <w:rPr>
          <w:color w:val="231F20"/>
        </w:rPr>
        <w:t>to</w:t>
      </w:r>
      <w:r>
        <w:rPr>
          <w:color w:val="231F20"/>
          <w:spacing w:val="-2"/>
        </w:rPr>
        <w:t> </w:t>
      </w:r>
      <w:r>
        <w:rPr>
          <w:color w:val="231F20"/>
        </w:rPr>
        <w:t>represent</w:t>
      </w:r>
      <w:r>
        <w:rPr>
          <w:color w:val="231F20"/>
          <w:spacing w:val="-2"/>
        </w:rPr>
        <w:t> </w:t>
      </w:r>
      <w:r>
        <w:rPr>
          <w:color w:val="231F20"/>
        </w:rPr>
        <w:t>these</w:t>
      </w:r>
      <w:r>
        <w:rPr>
          <w:color w:val="231F20"/>
          <w:spacing w:val="-2"/>
        </w:rPr>
        <w:t> </w:t>
      </w:r>
      <w:r>
        <w:rPr>
          <w:color w:val="231F20"/>
        </w:rPr>
        <w:t>conditions.</w:t>
      </w:r>
      <w:r>
        <w:rPr>
          <w:color w:val="231F20"/>
          <w:spacing w:val="-2"/>
        </w:rPr>
        <w:t> </w:t>
      </w:r>
      <w:r>
        <w:rPr>
          <w:color w:val="231F20"/>
        </w:rPr>
        <w:t>For</w:t>
      </w:r>
      <w:r>
        <w:rPr>
          <w:color w:val="231F20"/>
          <w:spacing w:val="-2"/>
        </w:rPr>
        <w:t> </w:t>
      </w:r>
      <w:r>
        <w:rPr>
          <w:color w:val="231F20"/>
        </w:rPr>
        <w:t>example, </w:t>
      </w:r>
      <w:r>
        <w:rPr>
          <w:color w:val="231F20"/>
          <w:w w:val="105"/>
        </w:rPr>
        <w:t>at Toys “R” Us, having the “hot” toy of the season in stock, a non- numerical</w:t>
      </w:r>
      <w:r>
        <w:rPr>
          <w:color w:val="231F20"/>
          <w:w w:val="105"/>
        </w:rPr>
        <w:t> condition,</w:t>
      </w:r>
      <w:r>
        <w:rPr>
          <w:color w:val="231F20"/>
          <w:w w:val="105"/>
        </w:rPr>
        <w:t> catapults</w:t>
      </w:r>
      <w:r>
        <w:rPr>
          <w:color w:val="231F20"/>
          <w:w w:val="105"/>
        </w:rPr>
        <w:t> sales.</w:t>
      </w:r>
      <w:r>
        <w:rPr>
          <w:color w:val="231F20"/>
          <w:w w:val="105"/>
        </w:rPr>
        <w:t> The</w:t>
      </w:r>
      <w:r>
        <w:rPr>
          <w:color w:val="231F20"/>
          <w:w w:val="105"/>
        </w:rPr>
        <w:t> in-stock</w:t>
      </w:r>
      <w:r>
        <w:rPr>
          <w:color w:val="231F20"/>
          <w:w w:val="105"/>
        </w:rPr>
        <w:t> condition</w:t>
      </w:r>
      <w:r>
        <w:rPr>
          <w:color w:val="231F20"/>
          <w:w w:val="105"/>
        </w:rPr>
        <w:t> could </w:t>
      </w:r>
      <w:r>
        <w:rPr>
          <w:color w:val="231F20"/>
          <w:spacing w:val="-2"/>
          <w:w w:val="105"/>
        </w:rPr>
        <w:t>be</w:t>
      </w:r>
      <w:r>
        <w:rPr>
          <w:color w:val="231F20"/>
          <w:spacing w:val="-6"/>
          <w:w w:val="105"/>
        </w:rPr>
        <w:t> </w:t>
      </w:r>
      <w:r>
        <w:rPr>
          <w:color w:val="231F20"/>
          <w:spacing w:val="-2"/>
          <w:w w:val="105"/>
        </w:rPr>
        <w:t>indicated</w:t>
      </w:r>
      <w:r>
        <w:rPr>
          <w:color w:val="231F20"/>
          <w:spacing w:val="-6"/>
          <w:w w:val="105"/>
        </w:rPr>
        <w:t> </w:t>
      </w:r>
      <w:r>
        <w:rPr>
          <w:color w:val="231F20"/>
          <w:spacing w:val="-2"/>
          <w:w w:val="105"/>
        </w:rPr>
        <w:t>in</w:t>
      </w:r>
      <w:r>
        <w:rPr>
          <w:color w:val="231F20"/>
          <w:spacing w:val="-6"/>
          <w:w w:val="105"/>
        </w:rPr>
        <w:t> </w:t>
      </w:r>
      <w:r>
        <w:rPr>
          <w:color w:val="231F20"/>
          <w:spacing w:val="-2"/>
          <w:w w:val="105"/>
        </w:rPr>
        <w:t>a</w:t>
      </w:r>
      <w:r>
        <w:rPr>
          <w:color w:val="231F20"/>
          <w:spacing w:val="-6"/>
          <w:w w:val="105"/>
        </w:rPr>
        <w:t> </w:t>
      </w:r>
      <w:r>
        <w:rPr>
          <w:color w:val="231F20"/>
          <w:spacing w:val="-2"/>
          <w:w w:val="105"/>
        </w:rPr>
        <w:t>data</w:t>
      </w:r>
      <w:r>
        <w:rPr>
          <w:color w:val="231F20"/>
          <w:spacing w:val="-6"/>
          <w:w w:val="105"/>
        </w:rPr>
        <w:t> </w:t>
      </w:r>
      <w:r>
        <w:rPr>
          <w:color w:val="231F20"/>
          <w:spacing w:val="-2"/>
          <w:w w:val="105"/>
        </w:rPr>
        <w:t>set</w:t>
      </w:r>
      <w:r>
        <w:rPr>
          <w:color w:val="231F20"/>
          <w:spacing w:val="-6"/>
          <w:w w:val="105"/>
        </w:rPr>
        <w:t> </w:t>
      </w:r>
      <w:r>
        <w:rPr>
          <w:color w:val="231F20"/>
          <w:spacing w:val="-2"/>
          <w:w w:val="105"/>
        </w:rPr>
        <w:t>by</w:t>
      </w:r>
      <w:r>
        <w:rPr>
          <w:color w:val="231F20"/>
          <w:spacing w:val="-6"/>
          <w:w w:val="105"/>
        </w:rPr>
        <w:t> </w:t>
      </w:r>
      <w:r>
        <w:rPr>
          <w:color w:val="231F20"/>
          <w:spacing w:val="-2"/>
          <w:w w:val="105"/>
        </w:rPr>
        <w:t>a</w:t>
      </w:r>
      <w:r>
        <w:rPr>
          <w:color w:val="231F20"/>
          <w:spacing w:val="-6"/>
          <w:w w:val="105"/>
        </w:rPr>
        <w:t> </w:t>
      </w:r>
      <w:r>
        <w:rPr>
          <w:color w:val="231F20"/>
          <w:spacing w:val="-2"/>
          <w:w w:val="105"/>
        </w:rPr>
        <w:t>1,</w:t>
      </w:r>
      <w:r>
        <w:rPr>
          <w:color w:val="231F20"/>
          <w:spacing w:val="-6"/>
          <w:w w:val="105"/>
        </w:rPr>
        <w:t> </w:t>
      </w:r>
      <w:r>
        <w:rPr>
          <w:color w:val="231F20"/>
          <w:spacing w:val="-2"/>
          <w:w w:val="105"/>
        </w:rPr>
        <w:t>and</w:t>
      </w:r>
      <w:r>
        <w:rPr>
          <w:color w:val="231F20"/>
          <w:spacing w:val="-6"/>
          <w:w w:val="105"/>
        </w:rPr>
        <w:t> </w:t>
      </w:r>
      <w:r>
        <w:rPr>
          <w:color w:val="231F20"/>
          <w:spacing w:val="-2"/>
          <w:w w:val="105"/>
        </w:rPr>
        <w:t>out-of-stock</w:t>
      </w:r>
      <w:r>
        <w:rPr>
          <w:color w:val="231F20"/>
          <w:spacing w:val="-6"/>
          <w:w w:val="105"/>
        </w:rPr>
        <w:t> </w:t>
      </w:r>
      <w:r>
        <w:rPr>
          <w:color w:val="231F20"/>
          <w:spacing w:val="-2"/>
          <w:w w:val="105"/>
        </w:rPr>
        <w:t>condition</w:t>
      </w:r>
      <w:r>
        <w:rPr>
          <w:color w:val="231F20"/>
          <w:spacing w:val="-6"/>
          <w:w w:val="105"/>
        </w:rPr>
        <w:t> </w:t>
      </w:r>
      <w:r>
        <w:rPr>
          <w:color w:val="231F20"/>
          <w:spacing w:val="-2"/>
          <w:w w:val="105"/>
        </w:rPr>
        <w:t>could</w:t>
      </w:r>
      <w:r>
        <w:rPr>
          <w:color w:val="231F20"/>
          <w:spacing w:val="-6"/>
          <w:w w:val="105"/>
        </w:rPr>
        <w:t> </w:t>
      </w:r>
      <w:r>
        <w:rPr>
          <w:color w:val="231F20"/>
          <w:spacing w:val="-2"/>
          <w:w w:val="105"/>
        </w:rPr>
        <w:t>be </w:t>
      </w:r>
      <w:r>
        <w:rPr>
          <w:color w:val="231F20"/>
          <w:w w:val="105"/>
        </w:rPr>
        <w:t>designated by a 0, using dummy variables.</w:t>
      </w:r>
    </w:p>
    <w:p>
      <w:pPr>
        <w:pStyle w:val="BodyText"/>
        <w:spacing w:line="292" w:lineRule="auto"/>
        <w:ind w:left="829" w:right="756" w:firstLine="340"/>
        <w:jc w:val="both"/>
      </w:pPr>
      <w:r>
        <w:rPr>
          <w:color w:val="231F20"/>
          <w:w w:val="105"/>
        </w:rPr>
        <w:t>Given a hypothetical set of data at a Toys “R” Us store, you </w:t>
      </w:r>
      <w:r>
        <w:rPr>
          <w:color w:val="231F20"/>
          <w:w w:val="105"/>
        </w:rPr>
        <w:t>can see how it works.</w:t>
      </w:r>
    </w:p>
    <w:p>
      <w:pPr>
        <w:pStyle w:val="BodyText"/>
        <w:spacing w:before="8"/>
        <w:rPr>
          <w:sz w:val="22"/>
        </w:rPr>
      </w:pPr>
    </w:p>
    <w:p>
      <w:pPr>
        <w:spacing w:before="0"/>
        <w:ind w:left="82" w:right="219" w:firstLine="0"/>
        <w:jc w:val="center"/>
        <w:rPr>
          <w:b/>
          <w:i/>
          <w:sz w:val="20"/>
        </w:rPr>
      </w:pPr>
      <w:r>
        <w:rPr>
          <w:b/>
          <w:i/>
          <w:color w:val="231F20"/>
          <w:w w:val="105"/>
          <w:sz w:val="20"/>
        </w:rPr>
        <w:t>“HOT”</w:t>
      </w:r>
      <w:r>
        <w:rPr>
          <w:b/>
          <w:i/>
          <w:color w:val="231F20"/>
          <w:spacing w:val="12"/>
          <w:w w:val="105"/>
          <w:sz w:val="20"/>
        </w:rPr>
        <w:t> </w:t>
      </w:r>
      <w:r>
        <w:rPr>
          <w:b/>
          <w:i/>
          <w:color w:val="231F20"/>
          <w:w w:val="105"/>
          <w:sz w:val="20"/>
        </w:rPr>
        <w:t>TOY</w:t>
      </w:r>
      <w:r>
        <w:rPr>
          <w:b/>
          <w:i/>
          <w:color w:val="231F20"/>
          <w:spacing w:val="12"/>
          <w:w w:val="105"/>
          <w:sz w:val="20"/>
        </w:rPr>
        <w:t> </w:t>
      </w:r>
      <w:r>
        <w:rPr>
          <w:b/>
          <w:i/>
          <w:color w:val="231F20"/>
          <w:w w:val="105"/>
          <w:sz w:val="20"/>
        </w:rPr>
        <w:t>STOCK</w:t>
      </w:r>
      <w:r>
        <w:rPr>
          <w:b/>
          <w:i/>
          <w:color w:val="231F20"/>
          <w:spacing w:val="13"/>
          <w:w w:val="105"/>
          <w:sz w:val="20"/>
        </w:rPr>
        <w:t> </w:t>
      </w:r>
      <w:r>
        <w:rPr>
          <w:b/>
          <w:i/>
          <w:color w:val="231F20"/>
          <w:spacing w:val="-2"/>
          <w:w w:val="105"/>
          <w:sz w:val="20"/>
        </w:rPr>
        <w:t>STATUS</w:t>
      </w:r>
    </w:p>
    <w:p>
      <w:pPr>
        <w:pStyle w:val="BodyText"/>
        <w:spacing w:before="3"/>
        <w:rPr>
          <w:b/>
          <w:i/>
          <w:sz w:val="5"/>
        </w:rPr>
      </w:pPr>
      <w:r>
        <w:rPr/>
        <w:pict>
          <v:shape style="position:absolute;margin-left:75.5pt;margin-top:4.310527pt;width:276.5pt;height:.1pt;mso-position-horizontal-relative:page;mso-position-vertical-relative:paragraph;z-index:-15611904;mso-wrap-distance-left:0;mso-wrap-distance-right:0" id="docshape338" coordorigin="1510,86" coordsize="5530,0" path="m1510,86l7040,86e" filled="false" stroked="true" strokeweight="1pt" strokecolor="#231f20">
            <v:path arrowok="t"/>
            <v:stroke dashstyle="solid"/>
            <w10:wrap type="topAndBottom"/>
          </v:shape>
        </w:pict>
      </w:r>
    </w:p>
    <w:p>
      <w:pPr>
        <w:pStyle w:val="BodyText"/>
        <w:spacing w:before="5" w:after="1"/>
        <w:rPr>
          <w:b/>
          <w:i/>
          <w:sz w:val="18"/>
        </w:rPr>
      </w:pPr>
    </w:p>
    <w:tbl>
      <w:tblPr>
        <w:tblW w:w="0" w:type="auto"/>
        <w:jc w:val="left"/>
        <w:tblInd w:w="1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8"/>
        <w:gridCol w:w="2735"/>
        <w:gridCol w:w="1537"/>
      </w:tblGrid>
      <w:tr>
        <w:trPr>
          <w:trHeight w:val="258" w:hRule="atLeast"/>
        </w:trPr>
        <w:tc>
          <w:tcPr>
            <w:tcW w:w="1348" w:type="dxa"/>
          </w:tcPr>
          <w:p>
            <w:pPr>
              <w:pStyle w:val="TableParagraph"/>
              <w:spacing w:line="227" w:lineRule="exact" w:before="0"/>
              <w:ind w:left="150"/>
              <w:jc w:val="left"/>
              <w:rPr>
                <w:b/>
                <w:i/>
                <w:sz w:val="20"/>
              </w:rPr>
            </w:pPr>
            <w:r>
              <w:rPr>
                <w:b/>
                <w:i/>
                <w:color w:val="231F20"/>
                <w:spacing w:val="-4"/>
                <w:w w:val="105"/>
                <w:sz w:val="20"/>
              </w:rPr>
              <w:t>DATE</w:t>
            </w:r>
          </w:p>
        </w:tc>
        <w:tc>
          <w:tcPr>
            <w:tcW w:w="2735" w:type="dxa"/>
          </w:tcPr>
          <w:p>
            <w:pPr>
              <w:pStyle w:val="TableParagraph"/>
              <w:spacing w:line="229" w:lineRule="exact" w:before="0"/>
              <w:ind w:left="597" w:right="605"/>
              <w:rPr>
                <w:b/>
                <w:i/>
                <w:sz w:val="20"/>
              </w:rPr>
            </w:pPr>
            <w:r>
              <w:rPr>
                <w:b/>
                <w:i/>
                <w:color w:val="231F20"/>
                <w:sz w:val="20"/>
              </w:rPr>
              <w:t>(1</w:t>
            </w:r>
            <w:r>
              <w:rPr>
                <w:b/>
                <w:i/>
                <w:color w:val="231F20"/>
                <w:spacing w:val="7"/>
                <w:sz w:val="20"/>
              </w:rPr>
              <w:t> </w:t>
            </w:r>
            <w:r>
              <w:rPr>
                <w:rFonts w:ascii="Symbol" w:hAnsi="Symbol"/>
                <w:color w:val="231F20"/>
                <w:sz w:val="21"/>
              </w:rPr>
              <w:t></w:t>
            </w:r>
            <w:r>
              <w:rPr>
                <w:rFonts w:ascii="Times New Roman" w:hAnsi="Times New Roman"/>
                <w:color w:val="231F20"/>
                <w:spacing w:val="-1"/>
                <w:sz w:val="21"/>
              </w:rPr>
              <w:t> </w:t>
            </w:r>
            <w:r>
              <w:rPr>
                <w:b/>
                <w:i/>
                <w:color w:val="231F20"/>
                <w:sz w:val="20"/>
              </w:rPr>
              <w:t>IN,</w:t>
            </w:r>
            <w:r>
              <w:rPr>
                <w:b/>
                <w:i/>
                <w:color w:val="231F20"/>
                <w:spacing w:val="7"/>
                <w:sz w:val="20"/>
              </w:rPr>
              <w:t> </w:t>
            </w:r>
            <w:r>
              <w:rPr>
                <w:b/>
                <w:i/>
                <w:color w:val="231F20"/>
                <w:sz w:val="20"/>
              </w:rPr>
              <w:t>0</w:t>
            </w:r>
            <w:r>
              <w:rPr>
                <w:b/>
                <w:i/>
                <w:color w:val="231F20"/>
                <w:spacing w:val="7"/>
                <w:sz w:val="20"/>
              </w:rPr>
              <w:t> </w:t>
            </w:r>
            <w:r>
              <w:rPr>
                <w:rFonts w:ascii="Symbol" w:hAnsi="Symbol"/>
                <w:color w:val="231F20"/>
                <w:sz w:val="21"/>
              </w:rPr>
              <w:t></w:t>
            </w:r>
            <w:r>
              <w:rPr>
                <w:rFonts w:ascii="Times New Roman" w:hAnsi="Times New Roman"/>
                <w:color w:val="231F20"/>
                <w:sz w:val="21"/>
              </w:rPr>
              <w:t> </w:t>
            </w:r>
            <w:r>
              <w:rPr>
                <w:b/>
                <w:i/>
                <w:color w:val="231F20"/>
                <w:spacing w:val="-4"/>
                <w:sz w:val="20"/>
              </w:rPr>
              <w:t>OUT)</w:t>
            </w:r>
          </w:p>
        </w:tc>
        <w:tc>
          <w:tcPr>
            <w:tcW w:w="1537" w:type="dxa"/>
          </w:tcPr>
          <w:p>
            <w:pPr>
              <w:pStyle w:val="TableParagraph"/>
              <w:spacing w:line="227" w:lineRule="exact" w:before="0"/>
              <w:ind w:left="757"/>
              <w:jc w:val="left"/>
              <w:rPr>
                <w:b/>
                <w:i/>
                <w:sz w:val="20"/>
              </w:rPr>
            </w:pPr>
            <w:r>
              <w:rPr>
                <w:b/>
                <w:i/>
                <w:color w:val="231F20"/>
                <w:spacing w:val="-2"/>
                <w:w w:val="110"/>
                <w:sz w:val="20"/>
              </w:rPr>
              <w:t>SALES</w:t>
            </w:r>
          </w:p>
        </w:tc>
      </w:tr>
      <w:tr>
        <w:trPr>
          <w:trHeight w:val="298" w:hRule="atLeast"/>
        </w:trPr>
        <w:tc>
          <w:tcPr>
            <w:tcW w:w="1348" w:type="dxa"/>
          </w:tcPr>
          <w:p>
            <w:pPr>
              <w:pStyle w:val="TableParagraph"/>
              <w:spacing w:before="25"/>
              <w:ind w:left="50"/>
              <w:jc w:val="left"/>
              <w:rPr>
                <w:sz w:val="21"/>
              </w:rPr>
            </w:pPr>
            <w:r>
              <w:rPr>
                <w:color w:val="231F20"/>
                <w:spacing w:val="-2"/>
                <w:sz w:val="21"/>
              </w:rPr>
              <w:t>12/1/05</w:t>
            </w:r>
          </w:p>
        </w:tc>
        <w:tc>
          <w:tcPr>
            <w:tcW w:w="2735" w:type="dxa"/>
          </w:tcPr>
          <w:p>
            <w:pPr>
              <w:pStyle w:val="TableParagraph"/>
              <w:spacing w:before="25"/>
              <w:ind w:right="8"/>
              <w:rPr>
                <w:sz w:val="21"/>
              </w:rPr>
            </w:pPr>
            <w:r>
              <w:rPr>
                <w:color w:val="231F20"/>
                <w:w w:val="101"/>
                <w:sz w:val="21"/>
              </w:rPr>
              <w:t>0</w:t>
            </w:r>
          </w:p>
        </w:tc>
        <w:tc>
          <w:tcPr>
            <w:tcW w:w="1537" w:type="dxa"/>
          </w:tcPr>
          <w:p>
            <w:pPr>
              <w:pStyle w:val="TableParagraph"/>
              <w:spacing w:before="25"/>
              <w:ind w:right="47"/>
              <w:jc w:val="right"/>
              <w:rPr>
                <w:sz w:val="21"/>
              </w:rPr>
            </w:pPr>
            <w:r>
              <w:rPr>
                <w:color w:val="231F20"/>
                <w:spacing w:val="-2"/>
                <w:w w:val="105"/>
                <w:sz w:val="21"/>
              </w:rPr>
              <w:t>$100,000</w:t>
            </w:r>
          </w:p>
        </w:tc>
      </w:tr>
      <w:tr>
        <w:trPr>
          <w:trHeight w:val="300" w:hRule="atLeast"/>
        </w:trPr>
        <w:tc>
          <w:tcPr>
            <w:tcW w:w="1348" w:type="dxa"/>
          </w:tcPr>
          <w:p>
            <w:pPr>
              <w:pStyle w:val="TableParagraph"/>
              <w:spacing w:before="26"/>
              <w:ind w:left="50"/>
              <w:jc w:val="left"/>
              <w:rPr>
                <w:sz w:val="21"/>
              </w:rPr>
            </w:pPr>
            <w:r>
              <w:rPr>
                <w:color w:val="231F20"/>
                <w:spacing w:val="-2"/>
                <w:sz w:val="21"/>
              </w:rPr>
              <w:t>12/2/05</w:t>
            </w:r>
          </w:p>
        </w:tc>
        <w:tc>
          <w:tcPr>
            <w:tcW w:w="2735" w:type="dxa"/>
          </w:tcPr>
          <w:p>
            <w:pPr>
              <w:pStyle w:val="TableParagraph"/>
              <w:spacing w:before="26"/>
              <w:ind w:right="8"/>
              <w:rPr>
                <w:sz w:val="21"/>
              </w:rPr>
            </w:pPr>
            <w:r>
              <w:rPr>
                <w:color w:val="231F20"/>
                <w:w w:val="101"/>
                <w:sz w:val="21"/>
              </w:rPr>
              <w:t>0</w:t>
            </w:r>
          </w:p>
        </w:tc>
        <w:tc>
          <w:tcPr>
            <w:tcW w:w="1537" w:type="dxa"/>
          </w:tcPr>
          <w:p>
            <w:pPr>
              <w:pStyle w:val="TableParagraph"/>
              <w:spacing w:before="26"/>
              <w:ind w:right="47"/>
              <w:jc w:val="right"/>
              <w:rPr>
                <w:sz w:val="21"/>
              </w:rPr>
            </w:pPr>
            <w:r>
              <w:rPr>
                <w:color w:val="231F20"/>
                <w:spacing w:val="-2"/>
                <w:w w:val="105"/>
                <w:sz w:val="21"/>
              </w:rPr>
              <w:t>100,000</w:t>
            </w:r>
          </w:p>
        </w:tc>
      </w:tr>
      <w:tr>
        <w:trPr>
          <w:trHeight w:val="300" w:hRule="atLeast"/>
        </w:trPr>
        <w:tc>
          <w:tcPr>
            <w:tcW w:w="1348" w:type="dxa"/>
          </w:tcPr>
          <w:p>
            <w:pPr>
              <w:pStyle w:val="TableParagraph"/>
              <w:spacing w:before="26"/>
              <w:ind w:left="50"/>
              <w:jc w:val="left"/>
              <w:rPr>
                <w:sz w:val="21"/>
              </w:rPr>
            </w:pPr>
            <w:r>
              <w:rPr>
                <w:color w:val="231F20"/>
                <w:spacing w:val="-2"/>
                <w:sz w:val="21"/>
              </w:rPr>
              <w:t>12/3/05</w:t>
            </w:r>
          </w:p>
        </w:tc>
        <w:tc>
          <w:tcPr>
            <w:tcW w:w="2735" w:type="dxa"/>
          </w:tcPr>
          <w:p>
            <w:pPr>
              <w:pStyle w:val="TableParagraph"/>
              <w:spacing w:before="26"/>
              <w:ind w:right="8"/>
              <w:rPr>
                <w:sz w:val="21"/>
              </w:rPr>
            </w:pPr>
            <w:r>
              <w:rPr>
                <w:color w:val="231F20"/>
                <w:w w:val="101"/>
                <w:sz w:val="21"/>
              </w:rPr>
              <w:t>1</w:t>
            </w:r>
          </w:p>
        </w:tc>
        <w:tc>
          <w:tcPr>
            <w:tcW w:w="1537" w:type="dxa"/>
          </w:tcPr>
          <w:p>
            <w:pPr>
              <w:pStyle w:val="TableParagraph"/>
              <w:spacing w:before="26"/>
              <w:ind w:right="47"/>
              <w:jc w:val="right"/>
              <w:rPr>
                <w:sz w:val="21"/>
              </w:rPr>
            </w:pPr>
            <w:r>
              <w:rPr>
                <w:color w:val="231F20"/>
                <w:spacing w:val="-2"/>
                <w:w w:val="105"/>
                <w:sz w:val="21"/>
              </w:rPr>
              <w:t>200,000</w:t>
            </w:r>
          </w:p>
        </w:tc>
      </w:tr>
      <w:tr>
        <w:trPr>
          <w:trHeight w:val="300" w:hRule="atLeast"/>
        </w:trPr>
        <w:tc>
          <w:tcPr>
            <w:tcW w:w="1348" w:type="dxa"/>
          </w:tcPr>
          <w:p>
            <w:pPr>
              <w:pStyle w:val="TableParagraph"/>
              <w:spacing w:before="26"/>
              <w:ind w:left="50"/>
              <w:jc w:val="left"/>
              <w:rPr>
                <w:sz w:val="21"/>
              </w:rPr>
            </w:pPr>
            <w:r>
              <w:rPr>
                <w:color w:val="231F20"/>
                <w:spacing w:val="-2"/>
                <w:sz w:val="21"/>
              </w:rPr>
              <w:t>12/4/05</w:t>
            </w:r>
          </w:p>
        </w:tc>
        <w:tc>
          <w:tcPr>
            <w:tcW w:w="2735" w:type="dxa"/>
          </w:tcPr>
          <w:p>
            <w:pPr>
              <w:pStyle w:val="TableParagraph"/>
              <w:spacing w:before="26"/>
              <w:ind w:right="8"/>
              <w:rPr>
                <w:sz w:val="21"/>
              </w:rPr>
            </w:pPr>
            <w:r>
              <w:rPr>
                <w:color w:val="231F20"/>
                <w:w w:val="101"/>
                <w:sz w:val="21"/>
              </w:rPr>
              <w:t>1</w:t>
            </w:r>
          </w:p>
        </w:tc>
        <w:tc>
          <w:tcPr>
            <w:tcW w:w="1537" w:type="dxa"/>
          </w:tcPr>
          <w:p>
            <w:pPr>
              <w:pStyle w:val="TableParagraph"/>
              <w:spacing w:before="26"/>
              <w:ind w:right="47"/>
              <w:jc w:val="right"/>
              <w:rPr>
                <w:sz w:val="21"/>
              </w:rPr>
            </w:pPr>
            <w:r>
              <w:rPr>
                <w:color w:val="231F20"/>
                <w:spacing w:val="-2"/>
                <w:w w:val="105"/>
                <w:sz w:val="21"/>
              </w:rPr>
              <w:t>200,000</w:t>
            </w:r>
          </w:p>
        </w:tc>
      </w:tr>
      <w:tr>
        <w:trPr>
          <w:trHeight w:val="300" w:hRule="atLeast"/>
        </w:trPr>
        <w:tc>
          <w:tcPr>
            <w:tcW w:w="1348" w:type="dxa"/>
          </w:tcPr>
          <w:p>
            <w:pPr>
              <w:pStyle w:val="TableParagraph"/>
              <w:spacing w:before="26"/>
              <w:ind w:left="50"/>
              <w:jc w:val="left"/>
              <w:rPr>
                <w:sz w:val="21"/>
              </w:rPr>
            </w:pPr>
            <w:r>
              <w:rPr>
                <w:color w:val="231F20"/>
                <w:spacing w:val="-2"/>
                <w:sz w:val="21"/>
              </w:rPr>
              <w:t>12/5/05</w:t>
            </w:r>
          </w:p>
        </w:tc>
        <w:tc>
          <w:tcPr>
            <w:tcW w:w="2735" w:type="dxa"/>
          </w:tcPr>
          <w:p>
            <w:pPr>
              <w:pStyle w:val="TableParagraph"/>
              <w:spacing w:before="26"/>
              <w:ind w:right="8"/>
              <w:rPr>
                <w:sz w:val="21"/>
              </w:rPr>
            </w:pPr>
            <w:r>
              <w:rPr>
                <w:color w:val="231F20"/>
                <w:w w:val="101"/>
                <w:sz w:val="21"/>
              </w:rPr>
              <w:t>0</w:t>
            </w:r>
          </w:p>
        </w:tc>
        <w:tc>
          <w:tcPr>
            <w:tcW w:w="1537" w:type="dxa"/>
          </w:tcPr>
          <w:p>
            <w:pPr>
              <w:pStyle w:val="TableParagraph"/>
              <w:spacing w:before="26"/>
              <w:ind w:right="47"/>
              <w:jc w:val="right"/>
              <w:rPr>
                <w:sz w:val="21"/>
              </w:rPr>
            </w:pPr>
            <w:r>
              <w:rPr>
                <w:color w:val="231F20"/>
                <w:spacing w:val="-2"/>
                <w:w w:val="105"/>
                <w:sz w:val="21"/>
              </w:rPr>
              <w:t>100,000</w:t>
            </w:r>
          </w:p>
        </w:tc>
      </w:tr>
      <w:tr>
        <w:trPr>
          <w:trHeight w:val="300" w:hRule="atLeast"/>
        </w:trPr>
        <w:tc>
          <w:tcPr>
            <w:tcW w:w="1348" w:type="dxa"/>
          </w:tcPr>
          <w:p>
            <w:pPr>
              <w:pStyle w:val="TableParagraph"/>
              <w:spacing w:before="26"/>
              <w:ind w:left="50"/>
              <w:jc w:val="left"/>
              <w:rPr>
                <w:sz w:val="21"/>
              </w:rPr>
            </w:pPr>
            <w:r>
              <w:rPr>
                <w:color w:val="231F20"/>
                <w:spacing w:val="-2"/>
                <w:sz w:val="21"/>
              </w:rPr>
              <w:t>12/6/05</w:t>
            </w:r>
          </w:p>
        </w:tc>
        <w:tc>
          <w:tcPr>
            <w:tcW w:w="2735" w:type="dxa"/>
          </w:tcPr>
          <w:p>
            <w:pPr>
              <w:pStyle w:val="TableParagraph"/>
              <w:spacing w:before="26"/>
              <w:ind w:right="8"/>
              <w:rPr>
                <w:sz w:val="21"/>
              </w:rPr>
            </w:pPr>
            <w:r>
              <w:rPr>
                <w:color w:val="231F20"/>
                <w:w w:val="101"/>
                <w:sz w:val="21"/>
              </w:rPr>
              <w:t>1</w:t>
            </w:r>
          </w:p>
        </w:tc>
        <w:tc>
          <w:tcPr>
            <w:tcW w:w="1537" w:type="dxa"/>
          </w:tcPr>
          <w:p>
            <w:pPr>
              <w:pStyle w:val="TableParagraph"/>
              <w:spacing w:before="26"/>
              <w:ind w:right="47"/>
              <w:jc w:val="right"/>
              <w:rPr>
                <w:sz w:val="21"/>
              </w:rPr>
            </w:pPr>
            <w:r>
              <w:rPr>
                <w:color w:val="231F20"/>
                <w:spacing w:val="-2"/>
                <w:w w:val="105"/>
                <w:sz w:val="21"/>
              </w:rPr>
              <w:t>200,000</w:t>
            </w:r>
          </w:p>
        </w:tc>
      </w:tr>
      <w:tr>
        <w:trPr>
          <w:trHeight w:val="274" w:hRule="atLeast"/>
        </w:trPr>
        <w:tc>
          <w:tcPr>
            <w:tcW w:w="1348" w:type="dxa"/>
          </w:tcPr>
          <w:p>
            <w:pPr>
              <w:pStyle w:val="TableParagraph"/>
              <w:spacing w:line="228" w:lineRule="exact" w:before="26"/>
              <w:ind w:left="50"/>
              <w:jc w:val="left"/>
              <w:rPr>
                <w:sz w:val="21"/>
              </w:rPr>
            </w:pPr>
            <w:r>
              <w:rPr>
                <w:color w:val="231F20"/>
                <w:spacing w:val="-2"/>
                <w:sz w:val="21"/>
              </w:rPr>
              <w:t>12/7/05</w:t>
            </w:r>
          </w:p>
        </w:tc>
        <w:tc>
          <w:tcPr>
            <w:tcW w:w="2735" w:type="dxa"/>
          </w:tcPr>
          <w:p>
            <w:pPr>
              <w:pStyle w:val="TableParagraph"/>
              <w:spacing w:line="228" w:lineRule="exact" w:before="26"/>
              <w:ind w:right="8"/>
              <w:rPr>
                <w:sz w:val="21"/>
              </w:rPr>
            </w:pPr>
            <w:r>
              <w:rPr>
                <w:color w:val="231F20"/>
                <w:w w:val="101"/>
                <w:sz w:val="21"/>
              </w:rPr>
              <w:t>0</w:t>
            </w:r>
          </w:p>
        </w:tc>
        <w:tc>
          <w:tcPr>
            <w:tcW w:w="1537" w:type="dxa"/>
          </w:tcPr>
          <w:p>
            <w:pPr>
              <w:pStyle w:val="TableParagraph"/>
              <w:spacing w:line="228" w:lineRule="exact" w:before="26"/>
              <w:ind w:right="47"/>
              <w:jc w:val="right"/>
              <w:rPr>
                <w:sz w:val="21"/>
              </w:rPr>
            </w:pPr>
            <w:r>
              <w:rPr>
                <w:color w:val="231F20"/>
                <w:spacing w:val="-2"/>
                <w:w w:val="105"/>
                <w:sz w:val="21"/>
              </w:rPr>
              <w:t>100,000</w:t>
            </w:r>
          </w:p>
        </w:tc>
      </w:tr>
    </w:tbl>
    <w:p>
      <w:pPr>
        <w:pStyle w:val="BodyText"/>
        <w:rPr>
          <w:b/>
          <w:i/>
          <w:sz w:val="25"/>
        </w:rPr>
      </w:pPr>
    </w:p>
    <w:p>
      <w:pPr>
        <w:pStyle w:val="BodyText"/>
        <w:spacing w:line="292" w:lineRule="auto"/>
        <w:ind w:left="830" w:right="753" w:firstLine="340"/>
        <w:jc w:val="both"/>
      </w:pPr>
      <w:r>
        <w:rPr>
          <w:color w:val="231F20"/>
        </w:rPr>
        <w:t>The following regression output of the relationship between</w:t>
      </w:r>
      <w:r>
        <w:rPr>
          <w:color w:val="231F20"/>
          <w:spacing w:val="40"/>
        </w:rPr>
        <w:t> </w:t>
      </w:r>
      <w:r>
        <w:rPr>
          <w:color w:val="231F20"/>
        </w:rPr>
        <w:t>“hot” toys and sales is the result.</w:t>
      </w:r>
    </w:p>
    <w:p>
      <w:pPr>
        <w:pStyle w:val="BodyText"/>
        <w:spacing w:before="11"/>
        <w:rPr>
          <w:sz w:val="22"/>
        </w:rPr>
      </w:pPr>
    </w:p>
    <w:p>
      <w:pPr>
        <w:spacing w:before="0"/>
        <w:ind w:left="295" w:right="219" w:firstLine="0"/>
        <w:jc w:val="center"/>
        <w:rPr>
          <w:b/>
          <w:sz w:val="20"/>
        </w:rPr>
      </w:pPr>
      <w:r>
        <w:rPr>
          <w:b/>
          <w:color w:val="231F20"/>
          <w:w w:val="110"/>
          <w:sz w:val="20"/>
        </w:rPr>
        <w:t>SUMMARY</w:t>
      </w:r>
      <w:r>
        <w:rPr>
          <w:b/>
          <w:color w:val="231F20"/>
          <w:spacing w:val="61"/>
          <w:w w:val="110"/>
          <w:sz w:val="20"/>
        </w:rPr>
        <w:t> </w:t>
      </w:r>
      <w:r>
        <w:rPr>
          <w:b/>
          <w:color w:val="231F20"/>
          <w:spacing w:val="-2"/>
          <w:w w:val="110"/>
          <w:sz w:val="20"/>
        </w:rPr>
        <w:t>OUTPUT</w:t>
      </w:r>
    </w:p>
    <w:p>
      <w:pPr>
        <w:pStyle w:val="BodyText"/>
        <w:spacing w:before="5"/>
        <w:rPr>
          <w:b/>
          <w:sz w:val="6"/>
        </w:rPr>
      </w:pPr>
    </w:p>
    <w:tbl>
      <w:tblPr>
        <w:tblW w:w="0" w:type="auto"/>
        <w:jc w:val="left"/>
        <w:tblInd w:w="1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5"/>
        <w:gridCol w:w="1319"/>
        <w:gridCol w:w="1914"/>
        <w:gridCol w:w="763"/>
      </w:tblGrid>
      <w:tr>
        <w:trPr>
          <w:trHeight w:val="472" w:hRule="atLeast"/>
        </w:trPr>
        <w:tc>
          <w:tcPr>
            <w:tcW w:w="5531" w:type="dxa"/>
            <w:gridSpan w:val="4"/>
            <w:tcBorders>
              <w:top w:val="single" w:sz="8" w:space="0" w:color="231F20"/>
            </w:tcBorders>
          </w:tcPr>
          <w:p>
            <w:pPr>
              <w:pStyle w:val="TableParagraph"/>
              <w:spacing w:before="10"/>
              <w:jc w:val="left"/>
              <w:rPr>
                <w:b/>
                <w:sz w:val="17"/>
              </w:rPr>
            </w:pPr>
          </w:p>
          <w:p>
            <w:pPr>
              <w:pStyle w:val="TableParagraph"/>
              <w:spacing w:before="0"/>
              <w:jc w:val="left"/>
              <w:rPr>
                <w:b/>
                <w:i/>
                <w:sz w:val="20"/>
              </w:rPr>
            </w:pPr>
            <w:r>
              <w:rPr>
                <w:b/>
                <w:i/>
                <w:color w:val="231F20"/>
                <w:w w:val="105"/>
                <w:sz w:val="20"/>
              </w:rPr>
              <w:t>REGRESSION</w:t>
            </w:r>
            <w:r>
              <w:rPr>
                <w:b/>
                <w:i/>
                <w:color w:val="231F20"/>
                <w:spacing w:val="34"/>
                <w:w w:val="110"/>
                <w:sz w:val="20"/>
              </w:rPr>
              <w:t> </w:t>
            </w:r>
            <w:r>
              <w:rPr>
                <w:b/>
                <w:i/>
                <w:color w:val="231F20"/>
                <w:spacing w:val="-2"/>
                <w:w w:val="110"/>
                <w:sz w:val="20"/>
              </w:rPr>
              <w:t>STATISTICS</w:t>
            </w:r>
          </w:p>
        </w:tc>
      </w:tr>
      <w:tr>
        <w:trPr>
          <w:trHeight w:val="300" w:hRule="atLeast"/>
        </w:trPr>
        <w:tc>
          <w:tcPr>
            <w:tcW w:w="1535" w:type="dxa"/>
          </w:tcPr>
          <w:p>
            <w:pPr>
              <w:pStyle w:val="TableParagraph"/>
              <w:spacing w:before="27"/>
              <w:jc w:val="left"/>
              <w:rPr>
                <w:sz w:val="21"/>
              </w:rPr>
            </w:pPr>
            <w:r>
              <w:rPr>
                <w:color w:val="231F20"/>
                <w:w w:val="110"/>
                <w:sz w:val="21"/>
              </w:rPr>
              <w:t>R</w:t>
            </w:r>
            <w:r>
              <w:rPr>
                <w:color w:val="231F20"/>
                <w:spacing w:val="16"/>
                <w:w w:val="110"/>
                <w:sz w:val="21"/>
              </w:rPr>
              <w:t> </w:t>
            </w:r>
            <w:r>
              <w:rPr>
                <w:color w:val="231F20"/>
                <w:spacing w:val="-2"/>
                <w:w w:val="110"/>
                <w:sz w:val="21"/>
              </w:rPr>
              <w:t>Square</w:t>
            </w:r>
          </w:p>
        </w:tc>
        <w:tc>
          <w:tcPr>
            <w:tcW w:w="1319" w:type="dxa"/>
          </w:tcPr>
          <w:p>
            <w:pPr>
              <w:pStyle w:val="TableParagraph"/>
              <w:spacing w:before="0"/>
              <w:jc w:val="left"/>
              <w:rPr>
                <w:rFonts w:ascii="Times New Roman"/>
                <w:sz w:val="20"/>
              </w:rPr>
            </w:pPr>
          </w:p>
        </w:tc>
        <w:tc>
          <w:tcPr>
            <w:tcW w:w="1914" w:type="dxa"/>
          </w:tcPr>
          <w:p>
            <w:pPr>
              <w:pStyle w:val="TableParagraph"/>
              <w:spacing w:before="0"/>
              <w:jc w:val="left"/>
              <w:rPr>
                <w:rFonts w:ascii="Times New Roman"/>
                <w:sz w:val="20"/>
              </w:rPr>
            </w:pPr>
          </w:p>
        </w:tc>
        <w:tc>
          <w:tcPr>
            <w:tcW w:w="763" w:type="dxa"/>
          </w:tcPr>
          <w:p>
            <w:pPr>
              <w:pStyle w:val="TableParagraph"/>
              <w:spacing w:before="27"/>
              <w:jc w:val="right"/>
              <w:rPr>
                <w:sz w:val="21"/>
              </w:rPr>
            </w:pPr>
            <w:r>
              <w:rPr>
                <w:color w:val="231F20"/>
                <w:w w:val="101"/>
                <w:sz w:val="21"/>
              </w:rPr>
              <w:t>1</w:t>
            </w:r>
          </w:p>
        </w:tc>
      </w:tr>
      <w:tr>
        <w:trPr>
          <w:trHeight w:val="300" w:hRule="atLeast"/>
        </w:trPr>
        <w:tc>
          <w:tcPr>
            <w:tcW w:w="1535" w:type="dxa"/>
          </w:tcPr>
          <w:p>
            <w:pPr>
              <w:pStyle w:val="TableParagraph"/>
              <w:spacing w:before="26"/>
              <w:jc w:val="left"/>
              <w:rPr>
                <w:sz w:val="21"/>
              </w:rPr>
            </w:pPr>
            <w:r>
              <w:rPr>
                <w:color w:val="231F20"/>
                <w:sz w:val="21"/>
              </w:rPr>
              <w:t>Standard</w:t>
            </w:r>
            <w:r>
              <w:rPr>
                <w:color w:val="231F20"/>
                <w:spacing w:val="20"/>
                <w:sz w:val="21"/>
              </w:rPr>
              <w:t> </w:t>
            </w:r>
            <w:r>
              <w:rPr>
                <w:color w:val="231F20"/>
                <w:spacing w:val="-2"/>
                <w:sz w:val="21"/>
              </w:rPr>
              <w:t>Error</w:t>
            </w:r>
          </w:p>
        </w:tc>
        <w:tc>
          <w:tcPr>
            <w:tcW w:w="1319" w:type="dxa"/>
          </w:tcPr>
          <w:p>
            <w:pPr>
              <w:pStyle w:val="TableParagraph"/>
              <w:spacing w:before="0"/>
              <w:jc w:val="left"/>
              <w:rPr>
                <w:rFonts w:ascii="Times New Roman"/>
                <w:sz w:val="20"/>
              </w:rPr>
            </w:pPr>
          </w:p>
        </w:tc>
        <w:tc>
          <w:tcPr>
            <w:tcW w:w="1914" w:type="dxa"/>
          </w:tcPr>
          <w:p>
            <w:pPr>
              <w:pStyle w:val="TableParagraph"/>
              <w:spacing w:before="0"/>
              <w:jc w:val="left"/>
              <w:rPr>
                <w:rFonts w:ascii="Times New Roman"/>
                <w:sz w:val="20"/>
              </w:rPr>
            </w:pPr>
          </w:p>
        </w:tc>
        <w:tc>
          <w:tcPr>
            <w:tcW w:w="763" w:type="dxa"/>
          </w:tcPr>
          <w:p>
            <w:pPr>
              <w:pStyle w:val="TableParagraph"/>
              <w:spacing w:before="26"/>
              <w:jc w:val="right"/>
              <w:rPr>
                <w:sz w:val="21"/>
              </w:rPr>
            </w:pPr>
            <w:r>
              <w:rPr>
                <w:color w:val="231F20"/>
                <w:w w:val="101"/>
                <w:sz w:val="21"/>
              </w:rPr>
              <w:t>0</w:t>
            </w:r>
          </w:p>
        </w:tc>
      </w:tr>
      <w:tr>
        <w:trPr>
          <w:trHeight w:val="439" w:hRule="atLeast"/>
        </w:trPr>
        <w:tc>
          <w:tcPr>
            <w:tcW w:w="1535" w:type="dxa"/>
          </w:tcPr>
          <w:p>
            <w:pPr>
              <w:pStyle w:val="TableParagraph"/>
              <w:spacing w:before="26"/>
              <w:jc w:val="left"/>
              <w:rPr>
                <w:sz w:val="21"/>
              </w:rPr>
            </w:pPr>
            <w:r>
              <w:rPr>
                <w:color w:val="231F20"/>
                <w:spacing w:val="-2"/>
                <w:sz w:val="21"/>
              </w:rPr>
              <w:t>Observations</w:t>
            </w:r>
          </w:p>
        </w:tc>
        <w:tc>
          <w:tcPr>
            <w:tcW w:w="1319" w:type="dxa"/>
          </w:tcPr>
          <w:p>
            <w:pPr>
              <w:pStyle w:val="TableParagraph"/>
              <w:spacing w:before="0"/>
              <w:jc w:val="left"/>
              <w:rPr>
                <w:rFonts w:ascii="Times New Roman"/>
                <w:sz w:val="20"/>
              </w:rPr>
            </w:pPr>
          </w:p>
        </w:tc>
        <w:tc>
          <w:tcPr>
            <w:tcW w:w="1914" w:type="dxa"/>
          </w:tcPr>
          <w:p>
            <w:pPr>
              <w:pStyle w:val="TableParagraph"/>
              <w:spacing w:before="0"/>
              <w:jc w:val="left"/>
              <w:rPr>
                <w:rFonts w:ascii="Times New Roman"/>
                <w:sz w:val="20"/>
              </w:rPr>
            </w:pPr>
          </w:p>
        </w:tc>
        <w:tc>
          <w:tcPr>
            <w:tcW w:w="763" w:type="dxa"/>
          </w:tcPr>
          <w:p>
            <w:pPr>
              <w:pStyle w:val="TableParagraph"/>
              <w:spacing w:before="26"/>
              <w:jc w:val="right"/>
              <w:rPr>
                <w:sz w:val="21"/>
              </w:rPr>
            </w:pPr>
            <w:r>
              <w:rPr>
                <w:color w:val="231F20"/>
                <w:w w:val="101"/>
                <w:sz w:val="21"/>
              </w:rPr>
              <w:t>7</w:t>
            </w:r>
          </w:p>
        </w:tc>
      </w:tr>
      <w:tr>
        <w:trPr>
          <w:trHeight w:val="407" w:hRule="atLeast"/>
        </w:trPr>
        <w:tc>
          <w:tcPr>
            <w:tcW w:w="2854" w:type="dxa"/>
            <w:gridSpan w:val="2"/>
            <w:tcBorders>
              <w:bottom w:val="single" w:sz="4" w:space="0" w:color="231F20"/>
            </w:tcBorders>
          </w:tcPr>
          <w:p>
            <w:pPr>
              <w:pStyle w:val="TableParagraph"/>
              <w:spacing w:line="230" w:lineRule="exact" w:before="157"/>
              <w:ind w:left="1325"/>
              <w:jc w:val="left"/>
              <w:rPr>
                <w:b/>
                <w:i/>
                <w:sz w:val="20"/>
              </w:rPr>
            </w:pPr>
            <w:r>
              <w:rPr>
                <w:b/>
                <w:i/>
                <w:color w:val="231F20"/>
                <w:spacing w:val="-2"/>
                <w:w w:val="110"/>
                <w:sz w:val="20"/>
              </w:rPr>
              <w:t>COEFFICIENTS</w:t>
            </w:r>
          </w:p>
        </w:tc>
        <w:tc>
          <w:tcPr>
            <w:tcW w:w="1914" w:type="dxa"/>
            <w:tcBorders>
              <w:bottom w:val="single" w:sz="4" w:space="0" w:color="231F20"/>
            </w:tcBorders>
          </w:tcPr>
          <w:p>
            <w:pPr>
              <w:pStyle w:val="TableParagraph"/>
              <w:spacing w:line="230" w:lineRule="exact" w:before="157"/>
              <w:ind w:left="88" w:right="70"/>
              <w:rPr>
                <w:b/>
                <w:i/>
                <w:sz w:val="20"/>
              </w:rPr>
            </w:pPr>
            <w:r>
              <w:rPr>
                <w:b/>
                <w:i/>
                <w:color w:val="231F20"/>
                <w:spacing w:val="-2"/>
                <w:w w:val="105"/>
                <w:sz w:val="20"/>
              </w:rPr>
              <w:t>STANDARD</w:t>
            </w:r>
            <w:r>
              <w:rPr>
                <w:b/>
                <w:i/>
                <w:color w:val="231F20"/>
                <w:spacing w:val="1"/>
                <w:w w:val="105"/>
                <w:sz w:val="20"/>
              </w:rPr>
              <w:t> </w:t>
            </w:r>
            <w:r>
              <w:rPr>
                <w:b/>
                <w:i/>
                <w:color w:val="231F20"/>
                <w:spacing w:val="-4"/>
                <w:w w:val="105"/>
                <w:sz w:val="20"/>
              </w:rPr>
              <w:t>ERROR</w:t>
            </w:r>
          </w:p>
        </w:tc>
        <w:tc>
          <w:tcPr>
            <w:tcW w:w="763" w:type="dxa"/>
            <w:tcBorders>
              <w:bottom w:val="single" w:sz="4" w:space="0" w:color="231F20"/>
            </w:tcBorders>
          </w:tcPr>
          <w:p>
            <w:pPr>
              <w:pStyle w:val="TableParagraph"/>
              <w:spacing w:line="230" w:lineRule="exact" w:before="157"/>
              <w:ind w:right="35"/>
              <w:jc w:val="right"/>
              <w:rPr>
                <w:b/>
                <w:i/>
                <w:sz w:val="20"/>
              </w:rPr>
            </w:pPr>
            <w:r>
              <w:rPr>
                <w:b/>
                <w:i/>
                <w:color w:val="231F20"/>
                <w:w w:val="105"/>
                <w:sz w:val="20"/>
              </w:rPr>
              <w:t>T</w:t>
            </w:r>
            <w:r>
              <w:rPr>
                <w:b/>
                <w:i/>
                <w:color w:val="231F20"/>
                <w:spacing w:val="5"/>
                <w:w w:val="105"/>
                <w:sz w:val="20"/>
              </w:rPr>
              <w:t> </w:t>
            </w:r>
            <w:r>
              <w:rPr>
                <w:b/>
                <w:i/>
                <w:color w:val="231F20"/>
                <w:spacing w:val="-4"/>
                <w:w w:val="105"/>
                <w:sz w:val="20"/>
              </w:rPr>
              <w:t>STAT</w:t>
            </w:r>
          </w:p>
        </w:tc>
      </w:tr>
      <w:tr>
        <w:trPr>
          <w:trHeight w:val="303" w:hRule="atLeast"/>
        </w:trPr>
        <w:tc>
          <w:tcPr>
            <w:tcW w:w="1535" w:type="dxa"/>
            <w:tcBorders>
              <w:top w:val="single" w:sz="4" w:space="0" w:color="231F20"/>
            </w:tcBorders>
          </w:tcPr>
          <w:p>
            <w:pPr>
              <w:pStyle w:val="TableParagraph"/>
              <w:spacing w:before="30"/>
              <w:jc w:val="left"/>
              <w:rPr>
                <w:sz w:val="21"/>
              </w:rPr>
            </w:pPr>
            <w:r>
              <w:rPr>
                <w:color w:val="231F20"/>
                <w:spacing w:val="-2"/>
                <w:sz w:val="21"/>
              </w:rPr>
              <w:t>Intercept</w:t>
            </w:r>
          </w:p>
        </w:tc>
        <w:tc>
          <w:tcPr>
            <w:tcW w:w="1319" w:type="dxa"/>
            <w:tcBorders>
              <w:top w:val="single" w:sz="4" w:space="0" w:color="231F20"/>
            </w:tcBorders>
          </w:tcPr>
          <w:p>
            <w:pPr>
              <w:pStyle w:val="TableParagraph"/>
              <w:spacing w:before="30"/>
              <w:ind w:left="150"/>
              <w:jc w:val="left"/>
              <w:rPr>
                <w:sz w:val="21"/>
              </w:rPr>
            </w:pPr>
            <w:r>
              <w:rPr>
                <w:color w:val="231F20"/>
                <w:spacing w:val="-2"/>
                <w:sz w:val="21"/>
              </w:rPr>
              <w:t>100000</w:t>
            </w:r>
          </w:p>
        </w:tc>
        <w:tc>
          <w:tcPr>
            <w:tcW w:w="1914" w:type="dxa"/>
            <w:tcBorders>
              <w:top w:val="single" w:sz="4" w:space="0" w:color="231F20"/>
            </w:tcBorders>
          </w:tcPr>
          <w:p>
            <w:pPr>
              <w:pStyle w:val="TableParagraph"/>
              <w:spacing w:before="0"/>
              <w:jc w:val="left"/>
              <w:rPr>
                <w:rFonts w:ascii="Times New Roman"/>
                <w:sz w:val="20"/>
              </w:rPr>
            </w:pPr>
          </w:p>
        </w:tc>
        <w:tc>
          <w:tcPr>
            <w:tcW w:w="763" w:type="dxa"/>
            <w:tcBorders>
              <w:top w:val="single" w:sz="4" w:space="0" w:color="231F20"/>
            </w:tcBorders>
          </w:tcPr>
          <w:p>
            <w:pPr>
              <w:pStyle w:val="TableParagraph"/>
              <w:spacing w:before="0"/>
              <w:jc w:val="left"/>
              <w:rPr>
                <w:rFonts w:ascii="Times New Roman"/>
                <w:sz w:val="20"/>
              </w:rPr>
            </w:pPr>
          </w:p>
        </w:tc>
      </w:tr>
      <w:tr>
        <w:trPr>
          <w:trHeight w:val="274" w:hRule="atLeast"/>
        </w:trPr>
        <w:tc>
          <w:tcPr>
            <w:tcW w:w="1535" w:type="dxa"/>
          </w:tcPr>
          <w:p>
            <w:pPr>
              <w:pStyle w:val="TableParagraph"/>
              <w:spacing w:line="228" w:lineRule="exact" w:before="26"/>
              <w:jc w:val="left"/>
              <w:rPr>
                <w:sz w:val="21"/>
              </w:rPr>
            </w:pPr>
            <w:r>
              <w:rPr>
                <w:color w:val="231F20"/>
                <w:w w:val="110"/>
                <w:sz w:val="21"/>
              </w:rPr>
              <w:t>X</w:t>
            </w:r>
            <w:r>
              <w:rPr>
                <w:color w:val="231F20"/>
                <w:spacing w:val="-10"/>
                <w:w w:val="110"/>
                <w:sz w:val="21"/>
              </w:rPr>
              <w:t> </w:t>
            </w:r>
            <w:r>
              <w:rPr>
                <w:color w:val="231F20"/>
                <w:w w:val="110"/>
                <w:sz w:val="21"/>
              </w:rPr>
              <w:t>Variable</w:t>
            </w:r>
            <w:r>
              <w:rPr>
                <w:color w:val="231F20"/>
                <w:spacing w:val="-10"/>
                <w:w w:val="110"/>
                <w:sz w:val="21"/>
              </w:rPr>
              <w:t> 1</w:t>
            </w:r>
          </w:p>
        </w:tc>
        <w:tc>
          <w:tcPr>
            <w:tcW w:w="1319" w:type="dxa"/>
          </w:tcPr>
          <w:p>
            <w:pPr>
              <w:pStyle w:val="TableParagraph"/>
              <w:spacing w:line="228" w:lineRule="exact" w:before="26"/>
              <w:ind w:left="150"/>
              <w:jc w:val="left"/>
              <w:rPr>
                <w:sz w:val="21"/>
              </w:rPr>
            </w:pPr>
            <w:r>
              <w:rPr>
                <w:color w:val="231F20"/>
                <w:spacing w:val="-2"/>
                <w:sz w:val="21"/>
              </w:rPr>
              <w:t>100000</w:t>
            </w:r>
          </w:p>
        </w:tc>
        <w:tc>
          <w:tcPr>
            <w:tcW w:w="1914" w:type="dxa"/>
          </w:tcPr>
          <w:p>
            <w:pPr>
              <w:pStyle w:val="TableParagraph"/>
              <w:spacing w:line="228" w:lineRule="exact" w:before="26"/>
              <w:ind w:left="18"/>
              <w:rPr>
                <w:sz w:val="21"/>
              </w:rPr>
            </w:pPr>
            <w:r>
              <w:rPr>
                <w:color w:val="231F20"/>
                <w:w w:val="101"/>
                <w:sz w:val="21"/>
              </w:rPr>
              <w:t>0</w:t>
            </w:r>
          </w:p>
        </w:tc>
        <w:tc>
          <w:tcPr>
            <w:tcW w:w="763" w:type="dxa"/>
          </w:tcPr>
          <w:p>
            <w:pPr>
              <w:pStyle w:val="TableParagraph"/>
              <w:spacing w:line="228" w:lineRule="exact" w:before="26"/>
              <w:ind w:right="62"/>
              <w:jc w:val="right"/>
              <w:rPr>
                <w:sz w:val="21"/>
              </w:rPr>
            </w:pPr>
            <w:r>
              <w:rPr>
                <w:color w:val="231F20"/>
                <w:spacing w:val="-2"/>
                <w:sz w:val="21"/>
              </w:rPr>
              <w:t>65535</w:t>
            </w:r>
          </w:p>
        </w:tc>
      </w:tr>
    </w:tbl>
    <w:p>
      <w:pPr>
        <w:spacing w:after="0" w:line="228" w:lineRule="exact"/>
        <w:jc w:val="right"/>
        <w:rPr>
          <w:sz w:val="21"/>
        </w:rPr>
        <w:sectPr>
          <w:pgSz w:w="8640" w:h="12960"/>
          <w:pgMar w:header="732" w:footer="0" w:top="920" w:bottom="280" w:left="340" w:right="500"/>
        </w:sectPr>
      </w:pPr>
    </w:p>
    <w:p>
      <w:pPr>
        <w:pStyle w:val="BodyText"/>
        <w:spacing w:before="8"/>
        <w:rPr>
          <w:b/>
          <w:sz w:val="17"/>
        </w:rPr>
      </w:pPr>
    </w:p>
    <w:p>
      <w:pPr>
        <w:pStyle w:val="BodyText"/>
        <w:spacing w:line="292" w:lineRule="auto" w:before="102"/>
        <w:ind w:left="920" w:right="666" w:firstLine="340"/>
        <w:jc w:val="both"/>
      </w:pPr>
      <w:r>
        <w:rPr>
          <w:color w:val="231F20"/>
        </w:rPr>
        <w:t>This is a perfect model because the variation explained by the model’s R Square is 100 percent and the T statistic is excellent. </w:t>
      </w:r>
      <w:r>
        <w:rPr>
          <w:color w:val="231F20"/>
        </w:rPr>
        <w:t>The</w:t>
      </w:r>
      <w:r>
        <w:rPr>
          <w:color w:val="231F20"/>
          <w:spacing w:val="80"/>
          <w:w w:val="150"/>
        </w:rPr>
        <w:t> </w:t>
      </w:r>
      <w:r>
        <w:rPr>
          <w:color w:val="231F20"/>
        </w:rPr>
        <w:t>T statistic is very large. The sales are $100,000 without the desired toys, and an extra $100,000 when they’re in stock. The regression equation, using the spreadsheet output, is</w:t>
      </w:r>
    </w:p>
    <w:p>
      <w:pPr>
        <w:pStyle w:val="BodyText"/>
        <w:spacing w:before="5"/>
        <w:rPr>
          <w:sz w:val="24"/>
        </w:rPr>
      </w:pPr>
    </w:p>
    <w:p>
      <w:pPr>
        <w:pStyle w:val="BodyText"/>
        <w:ind w:left="469" w:right="219"/>
        <w:jc w:val="center"/>
      </w:pPr>
      <w:r>
        <w:rPr>
          <w:color w:val="231F20"/>
          <w:w w:val="105"/>
        </w:rPr>
        <w:t>Sales</w:t>
      </w:r>
      <w:r>
        <w:rPr>
          <w:color w:val="231F20"/>
          <w:spacing w:val="6"/>
          <w:w w:val="105"/>
        </w:rPr>
        <w:t> </w:t>
      </w:r>
      <w:r>
        <w:rPr>
          <w:rFonts w:ascii="Symbol" w:hAnsi="Symbol"/>
          <w:color w:val="231F20"/>
          <w:w w:val="105"/>
        </w:rPr>
        <w:t></w:t>
      </w:r>
      <w:r>
        <w:rPr>
          <w:rFonts w:ascii="Times New Roman" w:hAnsi="Times New Roman"/>
          <w:color w:val="231F20"/>
          <w:w w:val="105"/>
        </w:rPr>
        <w:t> </w:t>
      </w:r>
      <w:r>
        <w:rPr>
          <w:color w:val="231F20"/>
          <w:w w:val="105"/>
        </w:rPr>
        <w:t>$100,000X</w:t>
      </w:r>
      <w:r>
        <w:rPr>
          <w:color w:val="231F20"/>
          <w:spacing w:val="7"/>
          <w:w w:val="105"/>
        </w:rPr>
        <w:t> </w:t>
      </w:r>
      <w:r>
        <w:rPr>
          <w:rFonts w:ascii="Symbol" w:hAnsi="Symbol"/>
          <w:color w:val="231F20"/>
          <w:w w:val="105"/>
        </w:rPr>
        <w:t></w:t>
      </w:r>
      <w:r>
        <w:rPr>
          <w:rFonts w:ascii="Times New Roman" w:hAnsi="Times New Roman"/>
          <w:color w:val="231F20"/>
          <w:w w:val="105"/>
        </w:rPr>
        <w:t> </w:t>
      </w:r>
      <w:r>
        <w:rPr>
          <w:color w:val="231F20"/>
          <w:spacing w:val="-2"/>
          <w:w w:val="105"/>
        </w:rPr>
        <w:t>$100,000</w:t>
      </w:r>
    </w:p>
    <w:p>
      <w:pPr>
        <w:pStyle w:val="BodyText"/>
        <w:spacing w:before="2"/>
        <w:rPr>
          <w:sz w:val="29"/>
        </w:rPr>
      </w:pPr>
    </w:p>
    <w:p>
      <w:pPr>
        <w:pStyle w:val="BodyText"/>
        <w:spacing w:line="288" w:lineRule="auto"/>
        <w:ind w:left="920" w:right="666" w:hanging="1"/>
        <w:jc w:val="both"/>
      </w:pPr>
      <w:r>
        <w:rPr>
          <w:color w:val="231F20"/>
        </w:rPr>
        <w:t>If the coveted toys are in stock, </w:t>
      </w:r>
      <w:r>
        <w:rPr>
          <w:color w:val="231F20"/>
          <w:w w:val="110"/>
        </w:rPr>
        <w:t>X </w:t>
      </w:r>
      <w:r>
        <w:rPr>
          <w:rFonts w:ascii="Symbol" w:hAnsi="Symbol"/>
          <w:color w:val="231F20"/>
        </w:rPr>
        <w:t></w:t>
      </w:r>
      <w:r>
        <w:rPr>
          <w:rFonts w:ascii="Times New Roman" w:hAnsi="Times New Roman"/>
          <w:color w:val="231F20"/>
        </w:rPr>
        <w:t> </w:t>
      </w:r>
      <w:r>
        <w:rPr>
          <w:color w:val="231F20"/>
        </w:rPr>
        <w:t>1 and sales jump to $200,000. If not,</w:t>
      </w:r>
      <w:r>
        <w:rPr>
          <w:color w:val="231F20"/>
          <w:spacing w:val="37"/>
          <w:w w:val="110"/>
        </w:rPr>
        <w:t> </w:t>
      </w:r>
      <w:r>
        <w:rPr>
          <w:color w:val="231F20"/>
          <w:w w:val="110"/>
        </w:rPr>
        <w:t>X</w:t>
      </w:r>
      <w:r>
        <w:rPr>
          <w:color w:val="231F20"/>
          <w:spacing w:val="37"/>
          <w:w w:val="110"/>
        </w:rPr>
        <w:t> </w:t>
      </w:r>
      <w:r>
        <w:rPr>
          <w:rFonts w:ascii="Symbol" w:hAnsi="Symbol"/>
          <w:color w:val="231F20"/>
        </w:rPr>
        <w:t></w:t>
      </w:r>
      <w:r>
        <w:rPr>
          <w:rFonts w:ascii="Times New Roman" w:hAnsi="Times New Roman"/>
          <w:color w:val="231F20"/>
        </w:rPr>
        <w:t> </w:t>
      </w:r>
      <w:r>
        <w:rPr>
          <w:color w:val="231F20"/>
        </w:rPr>
        <w:t>0,</w:t>
      </w:r>
      <w:r>
        <w:rPr>
          <w:color w:val="231F20"/>
          <w:spacing w:val="40"/>
        </w:rPr>
        <w:t> </w:t>
      </w:r>
      <w:r>
        <w:rPr>
          <w:color w:val="231F20"/>
        </w:rPr>
        <w:t>and</w:t>
      </w:r>
      <w:r>
        <w:rPr>
          <w:color w:val="231F20"/>
          <w:spacing w:val="40"/>
        </w:rPr>
        <w:t> </w:t>
      </w:r>
      <w:r>
        <w:rPr>
          <w:color w:val="231F20"/>
        </w:rPr>
        <w:t>sales</w:t>
      </w:r>
      <w:r>
        <w:rPr>
          <w:color w:val="231F20"/>
          <w:spacing w:val="40"/>
        </w:rPr>
        <w:t> </w:t>
      </w:r>
      <w:r>
        <w:rPr>
          <w:color w:val="231F20"/>
        </w:rPr>
        <w:t>total</w:t>
      </w:r>
      <w:r>
        <w:rPr>
          <w:color w:val="231F20"/>
          <w:spacing w:val="40"/>
        </w:rPr>
        <w:t> </w:t>
      </w:r>
      <w:r>
        <w:rPr>
          <w:color w:val="231F20"/>
        </w:rPr>
        <w:t>$100,000.</w:t>
      </w:r>
      <w:r>
        <w:rPr>
          <w:color w:val="231F20"/>
          <w:spacing w:val="40"/>
        </w:rPr>
        <w:t> </w:t>
      </w:r>
      <w:r>
        <w:rPr>
          <w:color w:val="231F20"/>
        </w:rPr>
        <w:t>Dummy</w:t>
      </w:r>
      <w:r>
        <w:rPr>
          <w:color w:val="231F20"/>
          <w:spacing w:val="40"/>
        </w:rPr>
        <w:t> </w:t>
      </w:r>
      <w:r>
        <w:rPr>
          <w:color w:val="231F20"/>
        </w:rPr>
        <w:t>variables</w:t>
      </w:r>
      <w:r>
        <w:rPr>
          <w:color w:val="231F20"/>
          <w:spacing w:val="40"/>
        </w:rPr>
        <w:t> </w:t>
      </w:r>
      <w:r>
        <w:rPr>
          <w:color w:val="231F20"/>
        </w:rPr>
        <w:t>are</w:t>
      </w:r>
      <w:r>
        <w:rPr>
          <w:color w:val="231F20"/>
          <w:spacing w:val="40"/>
        </w:rPr>
        <w:t> </w:t>
      </w:r>
      <w:r>
        <w:rPr>
          <w:color w:val="231F20"/>
        </w:rPr>
        <w:t>useful and can be used to match nonscaled data, such as stock status or </w:t>
      </w:r>
      <w:r>
        <w:rPr>
          <w:color w:val="231F20"/>
        </w:rPr>
        <w:t>a holiday, with other regularly scaled data, such as temperature, inter- est rates, and product defects, to produce useful regression models.</w:t>
      </w:r>
    </w:p>
    <w:p>
      <w:pPr>
        <w:pStyle w:val="BodyText"/>
        <w:rPr>
          <w:sz w:val="24"/>
        </w:rPr>
      </w:pPr>
    </w:p>
    <w:p>
      <w:pPr>
        <w:pStyle w:val="BodyText"/>
        <w:spacing w:before="6"/>
        <w:rPr>
          <w:sz w:val="25"/>
        </w:rPr>
      </w:pPr>
    </w:p>
    <w:p>
      <w:pPr>
        <w:pStyle w:val="Heading4"/>
        <w:spacing w:before="1"/>
      </w:pPr>
      <w:r>
        <w:rPr>
          <w:color w:val="231F20"/>
          <w:w w:val="85"/>
        </w:rPr>
        <w:t>OTHER</w:t>
      </w:r>
      <w:r>
        <w:rPr>
          <w:color w:val="231F20"/>
          <w:spacing w:val="16"/>
        </w:rPr>
        <w:t> </w:t>
      </w:r>
      <w:r>
        <w:rPr>
          <w:color w:val="231F20"/>
          <w:spacing w:val="10"/>
          <w:w w:val="85"/>
        </w:rPr>
        <w:t>FORECASTING</w:t>
      </w:r>
      <w:r>
        <w:rPr>
          <w:color w:val="231F20"/>
          <w:spacing w:val="17"/>
        </w:rPr>
        <w:t> </w:t>
      </w:r>
      <w:r>
        <w:rPr>
          <w:color w:val="231F20"/>
          <w:spacing w:val="9"/>
          <w:w w:val="85"/>
        </w:rPr>
        <w:t>TECHNIQUES</w:t>
      </w:r>
    </w:p>
    <w:p>
      <w:pPr>
        <w:pStyle w:val="BodyText"/>
        <w:spacing w:before="10"/>
        <w:rPr>
          <w:rFonts w:ascii="Trebuchet MS"/>
          <w:sz w:val="29"/>
        </w:rPr>
      </w:pPr>
    </w:p>
    <w:p>
      <w:pPr>
        <w:pStyle w:val="BodyText"/>
        <w:spacing w:line="292" w:lineRule="auto"/>
        <w:ind w:left="920" w:right="663"/>
        <w:jc w:val="both"/>
      </w:pPr>
      <w:r>
        <w:rPr>
          <w:i/>
          <w:color w:val="231F20"/>
        </w:rPr>
        <w:t>Time series techniques </w:t>
      </w:r>
      <w:r>
        <w:rPr>
          <w:color w:val="231F20"/>
        </w:rPr>
        <w:t>forecast outcomes based on changes in a </w:t>
      </w:r>
      <w:r>
        <w:rPr>
          <w:color w:val="231F20"/>
        </w:rPr>
        <w:t>rela- tionship over time. In our ice cream example, the data points of tem- perature and sales were charted on the graph without regard to</w:t>
      </w:r>
      <w:r>
        <w:rPr>
          <w:color w:val="231F20"/>
          <w:spacing w:val="40"/>
        </w:rPr>
        <w:t> </w:t>
      </w:r>
      <w:r>
        <w:rPr>
          <w:color w:val="231F20"/>
        </w:rPr>
        <w:t>when they occurred. The regression relationship did not consider time. Obviously seasons affect Ben </w:t>
      </w:r>
      <w:r>
        <w:rPr>
          <w:color w:val="231F20"/>
          <w:w w:val="110"/>
        </w:rPr>
        <w:t>&amp;</w:t>
      </w:r>
      <w:r>
        <w:rPr>
          <w:color w:val="231F20"/>
          <w:w w:val="110"/>
        </w:rPr>
        <w:t> </w:t>
      </w:r>
      <w:r>
        <w:rPr>
          <w:color w:val="231F20"/>
        </w:rPr>
        <w:t>Jerry’s sales. Time series analysis considers time by plotting data as it occurs. The technique then attempts to “decompose” the fluctuations within the data into three parts:</w:t>
      </w:r>
    </w:p>
    <w:p>
      <w:pPr>
        <w:pStyle w:val="BodyText"/>
        <w:spacing w:before="2"/>
        <w:rPr>
          <w:sz w:val="27"/>
        </w:rPr>
      </w:pPr>
    </w:p>
    <w:p>
      <w:pPr>
        <w:pStyle w:val="ListParagraph"/>
        <w:numPr>
          <w:ilvl w:val="1"/>
          <w:numId w:val="32"/>
        </w:numPr>
        <w:tabs>
          <w:tab w:pos="1446" w:val="left" w:leader="none"/>
        </w:tabs>
        <w:spacing w:line="240" w:lineRule="auto" w:before="0" w:after="0"/>
        <w:ind w:left="1445" w:right="0" w:hanging="186"/>
        <w:jc w:val="left"/>
        <w:rPr>
          <w:sz w:val="19"/>
        </w:rPr>
      </w:pPr>
      <w:r>
        <w:rPr>
          <w:i/>
          <w:color w:val="231F20"/>
          <w:w w:val="110"/>
          <w:sz w:val="19"/>
        </w:rPr>
        <w:t>The</w:t>
      </w:r>
      <w:r>
        <w:rPr>
          <w:i/>
          <w:color w:val="231F20"/>
          <w:spacing w:val="-5"/>
          <w:w w:val="110"/>
          <w:sz w:val="19"/>
        </w:rPr>
        <w:t> </w:t>
      </w:r>
      <w:r>
        <w:rPr>
          <w:i/>
          <w:color w:val="231F20"/>
          <w:w w:val="110"/>
          <w:sz w:val="19"/>
        </w:rPr>
        <w:t>Underlying</w:t>
      </w:r>
      <w:r>
        <w:rPr>
          <w:i/>
          <w:color w:val="231F20"/>
          <w:spacing w:val="-4"/>
          <w:w w:val="110"/>
          <w:sz w:val="19"/>
        </w:rPr>
        <w:t> </w:t>
      </w:r>
      <w:r>
        <w:rPr>
          <w:i/>
          <w:color w:val="231F20"/>
          <w:w w:val="110"/>
          <w:sz w:val="19"/>
        </w:rPr>
        <w:t>Trend</w:t>
      </w:r>
      <w:r>
        <w:rPr>
          <w:i/>
          <w:color w:val="231F20"/>
          <w:spacing w:val="-37"/>
          <w:w w:val="110"/>
          <w:sz w:val="19"/>
        </w:rPr>
        <w:t> </w:t>
      </w:r>
      <w:r>
        <w:rPr>
          <w:color w:val="231F20"/>
          <w:w w:val="110"/>
          <w:sz w:val="19"/>
        </w:rPr>
        <w:t>—</w:t>
      </w:r>
      <w:r>
        <w:rPr>
          <w:color w:val="231F20"/>
          <w:spacing w:val="-36"/>
          <w:w w:val="110"/>
          <w:sz w:val="19"/>
        </w:rPr>
        <w:t> </w:t>
      </w:r>
      <w:r>
        <w:rPr>
          <w:color w:val="231F20"/>
          <w:w w:val="110"/>
          <w:sz w:val="19"/>
        </w:rPr>
        <w:t>Up,</w:t>
      </w:r>
      <w:r>
        <w:rPr>
          <w:color w:val="231F20"/>
          <w:spacing w:val="-5"/>
          <w:w w:val="110"/>
          <w:sz w:val="19"/>
        </w:rPr>
        <w:t> </w:t>
      </w:r>
      <w:r>
        <w:rPr>
          <w:color w:val="231F20"/>
          <w:w w:val="110"/>
          <w:sz w:val="19"/>
        </w:rPr>
        <w:t>down,</w:t>
      </w:r>
      <w:r>
        <w:rPr>
          <w:color w:val="231F20"/>
          <w:spacing w:val="-4"/>
          <w:w w:val="110"/>
          <w:sz w:val="19"/>
        </w:rPr>
        <w:t> </w:t>
      </w:r>
      <w:r>
        <w:rPr>
          <w:color w:val="231F20"/>
          <w:w w:val="110"/>
          <w:sz w:val="19"/>
        </w:rPr>
        <w:t>flat</w:t>
      </w:r>
      <w:r>
        <w:rPr>
          <w:color w:val="231F20"/>
          <w:spacing w:val="-5"/>
          <w:w w:val="110"/>
          <w:sz w:val="19"/>
        </w:rPr>
        <w:t> </w:t>
      </w:r>
      <w:r>
        <w:rPr>
          <w:color w:val="231F20"/>
          <w:w w:val="110"/>
          <w:sz w:val="19"/>
        </w:rPr>
        <w:t>(a</w:t>
      </w:r>
      <w:r>
        <w:rPr>
          <w:color w:val="231F20"/>
          <w:spacing w:val="-4"/>
          <w:w w:val="110"/>
          <w:sz w:val="19"/>
        </w:rPr>
        <w:t> </w:t>
      </w:r>
      <w:r>
        <w:rPr>
          <w:color w:val="231F20"/>
          <w:w w:val="110"/>
          <w:sz w:val="19"/>
        </w:rPr>
        <w:t>long-term</w:t>
      </w:r>
      <w:r>
        <w:rPr>
          <w:color w:val="231F20"/>
          <w:spacing w:val="-5"/>
          <w:w w:val="110"/>
          <w:sz w:val="19"/>
        </w:rPr>
        <w:t> </w:t>
      </w:r>
      <w:r>
        <w:rPr>
          <w:color w:val="231F20"/>
          <w:spacing w:val="-2"/>
          <w:w w:val="110"/>
          <w:sz w:val="19"/>
        </w:rPr>
        <w:t>measure)</w:t>
      </w:r>
    </w:p>
    <w:p>
      <w:pPr>
        <w:pStyle w:val="ListParagraph"/>
        <w:numPr>
          <w:ilvl w:val="1"/>
          <w:numId w:val="32"/>
        </w:numPr>
        <w:tabs>
          <w:tab w:pos="1446" w:val="left" w:leader="none"/>
        </w:tabs>
        <w:spacing w:line="328" w:lineRule="auto" w:before="81" w:after="0"/>
        <w:ind w:left="1445" w:right="664" w:hanging="186"/>
        <w:jc w:val="left"/>
        <w:rPr>
          <w:sz w:val="19"/>
        </w:rPr>
      </w:pPr>
      <w:r>
        <w:rPr>
          <w:i/>
          <w:color w:val="231F20"/>
          <w:w w:val="115"/>
          <w:sz w:val="19"/>
        </w:rPr>
        <w:t>The</w:t>
      </w:r>
      <w:r>
        <w:rPr>
          <w:i/>
          <w:color w:val="231F20"/>
          <w:w w:val="115"/>
          <w:sz w:val="19"/>
        </w:rPr>
        <w:t> Cycles</w:t>
      </w:r>
      <w:r>
        <w:rPr>
          <w:i/>
          <w:color w:val="231F20"/>
          <w:spacing w:val="-38"/>
          <w:w w:val="115"/>
          <w:sz w:val="19"/>
        </w:rPr>
        <w:t> </w:t>
      </w:r>
      <w:r>
        <w:rPr>
          <w:color w:val="231F20"/>
          <w:w w:val="115"/>
          <w:sz w:val="19"/>
        </w:rPr>
        <w:t>—</w:t>
      </w:r>
      <w:r>
        <w:rPr>
          <w:color w:val="231F20"/>
          <w:spacing w:val="-38"/>
          <w:w w:val="115"/>
          <w:sz w:val="19"/>
        </w:rPr>
        <w:t> </w:t>
      </w:r>
      <w:r>
        <w:rPr>
          <w:color w:val="231F20"/>
          <w:w w:val="115"/>
          <w:sz w:val="19"/>
        </w:rPr>
        <w:t>Hourly,</w:t>
      </w:r>
      <w:r>
        <w:rPr>
          <w:color w:val="231F20"/>
          <w:w w:val="115"/>
          <w:sz w:val="19"/>
        </w:rPr>
        <w:t> daily,</w:t>
      </w:r>
      <w:r>
        <w:rPr>
          <w:color w:val="231F20"/>
          <w:w w:val="115"/>
          <w:sz w:val="19"/>
        </w:rPr>
        <w:t> weekly,</w:t>
      </w:r>
      <w:r>
        <w:rPr>
          <w:color w:val="231F20"/>
          <w:w w:val="115"/>
          <w:sz w:val="19"/>
        </w:rPr>
        <w:t> monthly</w:t>
      </w:r>
      <w:r>
        <w:rPr>
          <w:color w:val="231F20"/>
          <w:w w:val="115"/>
          <w:sz w:val="19"/>
        </w:rPr>
        <w:t> (a</w:t>
      </w:r>
      <w:r>
        <w:rPr>
          <w:color w:val="231F20"/>
          <w:w w:val="115"/>
          <w:sz w:val="19"/>
        </w:rPr>
        <w:t> short-term </w:t>
      </w:r>
      <w:r>
        <w:rPr>
          <w:color w:val="231F20"/>
          <w:spacing w:val="-2"/>
          <w:w w:val="115"/>
          <w:sz w:val="19"/>
        </w:rPr>
        <w:t>pattern)</w:t>
      </w:r>
    </w:p>
    <w:p>
      <w:pPr>
        <w:pStyle w:val="ListParagraph"/>
        <w:numPr>
          <w:ilvl w:val="1"/>
          <w:numId w:val="32"/>
        </w:numPr>
        <w:tabs>
          <w:tab w:pos="1446" w:val="left" w:leader="none"/>
        </w:tabs>
        <w:spacing w:line="328" w:lineRule="auto" w:before="2" w:after="0"/>
        <w:ind w:left="1445" w:right="667" w:hanging="186"/>
        <w:jc w:val="left"/>
        <w:rPr>
          <w:sz w:val="19"/>
        </w:rPr>
      </w:pPr>
      <w:r>
        <w:rPr>
          <w:i/>
          <w:color w:val="231F20"/>
          <w:w w:val="110"/>
          <w:sz w:val="19"/>
        </w:rPr>
        <w:t>Unexplained Movements</w:t>
      </w:r>
      <w:r>
        <w:rPr>
          <w:i/>
          <w:color w:val="231F20"/>
          <w:spacing w:val="-36"/>
          <w:w w:val="110"/>
          <w:sz w:val="19"/>
        </w:rPr>
        <w:t> </w:t>
      </w:r>
      <w:r>
        <w:rPr>
          <w:color w:val="231F20"/>
          <w:w w:val="110"/>
          <w:sz w:val="19"/>
        </w:rPr>
        <w:t>—</w:t>
      </w:r>
      <w:r>
        <w:rPr>
          <w:color w:val="231F20"/>
          <w:spacing w:val="-36"/>
          <w:w w:val="110"/>
          <w:sz w:val="19"/>
        </w:rPr>
        <w:t> </w:t>
      </w:r>
      <w:r>
        <w:rPr>
          <w:color w:val="231F20"/>
          <w:w w:val="110"/>
          <w:sz w:val="19"/>
        </w:rPr>
        <w:t>Unusual or irregular movements caused by unique events and quirks of nature</w:t>
      </w:r>
    </w:p>
    <w:p>
      <w:pPr>
        <w:pStyle w:val="BodyText"/>
        <w:spacing w:before="4"/>
        <w:rPr>
          <w:rFonts w:ascii="Arial"/>
          <w:sz w:val="24"/>
        </w:rPr>
      </w:pPr>
    </w:p>
    <w:p>
      <w:pPr>
        <w:pStyle w:val="BodyText"/>
        <w:spacing w:line="292" w:lineRule="auto"/>
        <w:ind w:left="920" w:right="666" w:firstLine="340"/>
        <w:jc w:val="both"/>
      </w:pPr>
      <w:r>
        <w:rPr>
          <w:color w:val="231F20"/>
        </w:rPr>
        <w:t>Regression and moving averages are used to determine the </w:t>
      </w:r>
      <w:r>
        <w:rPr>
          <w:color w:val="231F20"/>
        </w:rPr>
        <w:t>trend and</w:t>
      </w:r>
      <w:r>
        <w:rPr>
          <w:color w:val="231F20"/>
          <w:spacing w:val="2"/>
        </w:rPr>
        <w:t> </w:t>
      </w:r>
      <w:r>
        <w:rPr>
          <w:color w:val="231F20"/>
        </w:rPr>
        <w:t>cycles.</w:t>
      </w:r>
      <w:r>
        <w:rPr>
          <w:color w:val="231F20"/>
          <w:spacing w:val="3"/>
        </w:rPr>
        <w:t> </w:t>
      </w:r>
      <w:r>
        <w:rPr>
          <w:color w:val="231F20"/>
        </w:rPr>
        <w:t>As</w:t>
      </w:r>
      <w:r>
        <w:rPr>
          <w:color w:val="231F20"/>
          <w:spacing w:val="3"/>
        </w:rPr>
        <w:t> </w:t>
      </w:r>
      <w:r>
        <w:rPr>
          <w:color w:val="231F20"/>
        </w:rPr>
        <w:t>you</w:t>
      </w:r>
      <w:r>
        <w:rPr>
          <w:color w:val="231F20"/>
          <w:spacing w:val="3"/>
        </w:rPr>
        <w:t> </w:t>
      </w:r>
      <w:r>
        <w:rPr>
          <w:color w:val="231F20"/>
        </w:rPr>
        <w:t>can</w:t>
      </w:r>
      <w:r>
        <w:rPr>
          <w:color w:val="231F20"/>
          <w:spacing w:val="3"/>
        </w:rPr>
        <w:t> </w:t>
      </w:r>
      <w:r>
        <w:rPr>
          <w:color w:val="231F20"/>
        </w:rPr>
        <w:t>imagine,</w:t>
      </w:r>
      <w:r>
        <w:rPr>
          <w:color w:val="231F20"/>
          <w:spacing w:val="2"/>
        </w:rPr>
        <w:t> </w:t>
      </w:r>
      <w:r>
        <w:rPr>
          <w:color w:val="231F20"/>
        </w:rPr>
        <w:t>time</w:t>
      </w:r>
      <w:r>
        <w:rPr>
          <w:color w:val="231F20"/>
          <w:spacing w:val="3"/>
        </w:rPr>
        <w:t> </w:t>
      </w:r>
      <w:r>
        <w:rPr>
          <w:color w:val="231F20"/>
        </w:rPr>
        <w:t>series</w:t>
      </w:r>
      <w:r>
        <w:rPr>
          <w:color w:val="231F20"/>
          <w:spacing w:val="3"/>
        </w:rPr>
        <w:t> </w:t>
      </w:r>
      <w:r>
        <w:rPr>
          <w:color w:val="231F20"/>
        </w:rPr>
        <w:t>forecasting</w:t>
      </w:r>
      <w:r>
        <w:rPr>
          <w:color w:val="231F20"/>
          <w:spacing w:val="3"/>
        </w:rPr>
        <w:t> </w:t>
      </w:r>
      <w:r>
        <w:rPr>
          <w:color w:val="231F20"/>
        </w:rPr>
        <w:t>is</w:t>
      </w:r>
      <w:r>
        <w:rPr>
          <w:color w:val="231F20"/>
          <w:spacing w:val="3"/>
        </w:rPr>
        <w:t> </w:t>
      </w:r>
      <w:r>
        <w:rPr>
          <w:color w:val="231F20"/>
        </w:rPr>
        <w:t>tedious</w:t>
      </w:r>
      <w:r>
        <w:rPr>
          <w:color w:val="231F20"/>
          <w:spacing w:val="2"/>
        </w:rPr>
        <w:t> </w:t>
      </w:r>
      <w:r>
        <w:rPr>
          <w:color w:val="231F20"/>
          <w:spacing w:val="-5"/>
        </w:rPr>
        <w:t>and</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667"/>
      </w:pPr>
      <w:r>
        <w:rPr>
          <w:color w:val="231F20"/>
        </w:rPr>
        <w:t>does</w:t>
      </w:r>
      <w:r>
        <w:rPr>
          <w:color w:val="231F20"/>
          <w:spacing w:val="35"/>
        </w:rPr>
        <w:t> </w:t>
      </w:r>
      <w:r>
        <w:rPr>
          <w:color w:val="231F20"/>
        </w:rPr>
        <w:t>not</w:t>
      </w:r>
      <w:r>
        <w:rPr>
          <w:color w:val="231F20"/>
          <w:spacing w:val="35"/>
        </w:rPr>
        <w:t> </w:t>
      </w:r>
      <w:r>
        <w:rPr>
          <w:color w:val="231F20"/>
        </w:rPr>
        <w:t>lend</w:t>
      </w:r>
      <w:r>
        <w:rPr>
          <w:color w:val="231F20"/>
          <w:spacing w:val="35"/>
        </w:rPr>
        <w:t> </w:t>
      </w:r>
      <w:r>
        <w:rPr>
          <w:color w:val="231F20"/>
        </w:rPr>
        <w:t>itself</w:t>
      </w:r>
      <w:r>
        <w:rPr>
          <w:color w:val="231F20"/>
          <w:spacing w:val="35"/>
        </w:rPr>
        <w:t> </w:t>
      </w:r>
      <w:r>
        <w:rPr>
          <w:color w:val="231F20"/>
        </w:rPr>
        <w:t>to</w:t>
      </w:r>
      <w:r>
        <w:rPr>
          <w:color w:val="231F20"/>
          <w:spacing w:val="35"/>
        </w:rPr>
        <w:t> </w:t>
      </w:r>
      <w:r>
        <w:rPr>
          <w:color w:val="231F20"/>
        </w:rPr>
        <w:t>a</w:t>
      </w:r>
      <w:r>
        <w:rPr>
          <w:color w:val="231F20"/>
          <w:spacing w:val="35"/>
        </w:rPr>
        <w:t> </w:t>
      </w:r>
      <w:r>
        <w:rPr>
          <w:color w:val="231F20"/>
        </w:rPr>
        <w:t>short</w:t>
      </w:r>
      <w:r>
        <w:rPr>
          <w:color w:val="231F20"/>
          <w:spacing w:val="35"/>
        </w:rPr>
        <w:t> </w:t>
      </w:r>
      <w:r>
        <w:rPr>
          <w:color w:val="231F20"/>
        </w:rPr>
        <w:t>and</w:t>
      </w:r>
      <w:r>
        <w:rPr>
          <w:color w:val="231F20"/>
          <w:spacing w:val="35"/>
        </w:rPr>
        <w:t> </w:t>
      </w:r>
      <w:r>
        <w:rPr>
          <w:color w:val="231F20"/>
        </w:rPr>
        <w:t>simple</w:t>
      </w:r>
      <w:r>
        <w:rPr>
          <w:color w:val="231F20"/>
          <w:spacing w:val="35"/>
        </w:rPr>
        <w:t> </w:t>
      </w:r>
      <w:r>
        <w:rPr>
          <w:color w:val="231F20"/>
        </w:rPr>
        <w:t>example.</w:t>
      </w:r>
      <w:r>
        <w:rPr>
          <w:color w:val="231F20"/>
          <w:spacing w:val="35"/>
        </w:rPr>
        <w:t> </w:t>
      </w:r>
      <w:r>
        <w:rPr>
          <w:color w:val="231F20"/>
        </w:rPr>
        <w:t>However,</w:t>
      </w:r>
      <w:r>
        <w:rPr>
          <w:color w:val="231F20"/>
          <w:spacing w:val="35"/>
        </w:rPr>
        <w:t> </w:t>
      </w:r>
      <w:r>
        <w:rPr>
          <w:color w:val="231F20"/>
        </w:rPr>
        <w:t>it</w:t>
      </w:r>
      <w:r>
        <w:rPr>
          <w:color w:val="231F20"/>
          <w:spacing w:val="35"/>
        </w:rPr>
        <w:t> </w:t>
      </w:r>
      <w:r>
        <w:rPr>
          <w:color w:val="231F20"/>
        </w:rPr>
        <w:t>is helpful at least to know that time series techniques exist.</w:t>
      </w:r>
    </w:p>
    <w:p>
      <w:pPr>
        <w:pStyle w:val="BodyText"/>
        <w:rPr>
          <w:sz w:val="24"/>
        </w:rPr>
      </w:pPr>
    </w:p>
    <w:p>
      <w:pPr>
        <w:pStyle w:val="BodyText"/>
        <w:spacing w:before="10"/>
        <w:rPr>
          <w:sz w:val="24"/>
        </w:rPr>
      </w:pPr>
    </w:p>
    <w:p>
      <w:pPr>
        <w:pStyle w:val="Heading4"/>
        <w:ind w:left="288"/>
      </w:pPr>
      <w:r>
        <w:rPr>
          <w:color w:val="231F20"/>
          <w:spacing w:val="-2"/>
          <w:w w:val="95"/>
        </w:rPr>
        <w:t>SUMMARY</w:t>
      </w:r>
    </w:p>
    <w:p>
      <w:pPr>
        <w:pStyle w:val="BodyText"/>
        <w:spacing w:before="11"/>
        <w:rPr>
          <w:rFonts w:ascii="Trebuchet MS"/>
          <w:sz w:val="29"/>
        </w:rPr>
      </w:pPr>
    </w:p>
    <w:p>
      <w:pPr>
        <w:pStyle w:val="BodyText"/>
        <w:spacing w:line="292" w:lineRule="auto"/>
        <w:ind w:left="830"/>
      </w:pPr>
      <w:r>
        <w:rPr>
          <w:color w:val="231F20"/>
        </w:rPr>
        <w:t>This</w:t>
      </w:r>
      <w:r>
        <w:rPr>
          <w:color w:val="231F20"/>
          <w:spacing w:val="30"/>
        </w:rPr>
        <w:t> </w:t>
      </w:r>
      <w:r>
        <w:rPr>
          <w:color w:val="231F20"/>
        </w:rPr>
        <w:t>chapter</w:t>
      </w:r>
      <w:r>
        <w:rPr>
          <w:color w:val="231F20"/>
          <w:spacing w:val="30"/>
        </w:rPr>
        <w:t> </w:t>
      </w:r>
      <w:r>
        <w:rPr>
          <w:color w:val="231F20"/>
        </w:rPr>
        <w:t>has</w:t>
      </w:r>
      <w:r>
        <w:rPr>
          <w:color w:val="231F20"/>
          <w:spacing w:val="30"/>
        </w:rPr>
        <w:t> </w:t>
      </w:r>
      <w:r>
        <w:rPr>
          <w:color w:val="231F20"/>
        </w:rPr>
        <w:t>described</w:t>
      </w:r>
      <w:r>
        <w:rPr>
          <w:color w:val="231F20"/>
          <w:spacing w:val="30"/>
        </w:rPr>
        <w:t> </w:t>
      </w:r>
      <w:r>
        <w:rPr>
          <w:color w:val="231F20"/>
        </w:rPr>
        <w:t>the</w:t>
      </w:r>
      <w:r>
        <w:rPr>
          <w:color w:val="231F20"/>
          <w:spacing w:val="30"/>
        </w:rPr>
        <w:t> </w:t>
      </w:r>
      <w:r>
        <w:rPr>
          <w:color w:val="231F20"/>
        </w:rPr>
        <w:t>quantitative</w:t>
      </w:r>
      <w:r>
        <w:rPr>
          <w:color w:val="231F20"/>
          <w:spacing w:val="30"/>
        </w:rPr>
        <w:t> </w:t>
      </w:r>
      <w:r>
        <w:rPr>
          <w:color w:val="231F20"/>
        </w:rPr>
        <w:t>tools</w:t>
      </w:r>
      <w:r>
        <w:rPr>
          <w:color w:val="231F20"/>
          <w:spacing w:val="30"/>
        </w:rPr>
        <w:t> </w:t>
      </w:r>
      <w:r>
        <w:rPr>
          <w:color w:val="231F20"/>
        </w:rPr>
        <w:t>that</w:t>
      </w:r>
      <w:r>
        <w:rPr>
          <w:color w:val="231F20"/>
          <w:spacing w:val="30"/>
        </w:rPr>
        <w:t> </w:t>
      </w:r>
      <w:r>
        <w:rPr>
          <w:color w:val="231F20"/>
        </w:rPr>
        <w:t>perform</w:t>
      </w:r>
      <w:r>
        <w:rPr>
          <w:color w:val="231F20"/>
          <w:spacing w:val="30"/>
        </w:rPr>
        <w:t> </w:t>
      </w:r>
      <w:r>
        <w:rPr>
          <w:color w:val="231F20"/>
        </w:rPr>
        <w:t>the following functions:</w:t>
      </w:r>
    </w:p>
    <w:p>
      <w:pPr>
        <w:pStyle w:val="BodyText"/>
        <w:spacing w:before="4"/>
        <w:rPr>
          <w:sz w:val="27"/>
        </w:rPr>
      </w:pPr>
    </w:p>
    <w:p>
      <w:pPr>
        <w:spacing w:line="328" w:lineRule="auto" w:before="0"/>
        <w:ind w:left="1170" w:right="1262" w:firstLine="0"/>
        <w:jc w:val="left"/>
        <w:rPr>
          <w:rFonts w:ascii="Arial" w:hAnsi="Arial"/>
          <w:sz w:val="19"/>
        </w:rPr>
      </w:pPr>
      <w:r>
        <w:rPr>
          <w:rFonts w:ascii="Arial" w:hAnsi="Arial"/>
          <w:color w:val="231F20"/>
          <w:w w:val="115"/>
          <w:sz w:val="19"/>
        </w:rPr>
        <w:t>Sort out complex problems with decision trees Determine</w:t>
      </w:r>
      <w:r>
        <w:rPr>
          <w:rFonts w:ascii="Arial" w:hAnsi="Arial"/>
          <w:color w:val="231F20"/>
          <w:spacing w:val="-13"/>
          <w:w w:val="115"/>
          <w:sz w:val="19"/>
        </w:rPr>
        <w:t> </w:t>
      </w:r>
      <w:r>
        <w:rPr>
          <w:rFonts w:ascii="Arial" w:hAnsi="Arial"/>
          <w:color w:val="231F20"/>
          <w:w w:val="115"/>
          <w:sz w:val="19"/>
        </w:rPr>
        <w:t>the</w:t>
      </w:r>
      <w:r>
        <w:rPr>
          <w:rFonts w:ascii="Arial" w:hAnsi="Arial"/>
          <w:color w:val="231F20"/>
          <w:spacing w:val="-10"/>
          <w:w w:val="115"/>
          <w:sz w:val="19"/>
        </w:rPr>
        <w:t> </w:t>
      </w:r>
      <w:r>
        <w:rPr>
          <w:rFonts w:ascii="Arial" w:hAnsi="Arial"/>
          <w:color w:val="231F20"/>
          <w:w w:val="115"/>
          <w:sz w:val="19"/>
        </w:rPr>
        <w:t>value</w:t>
      </w:r>
      <w:r>
        <w:rPr>
          <w:rFonts w:ascii="Arial" w:hAnsi="Arial"/>
          <w:color w:val="231F20"/>
          <w:spacing w:val="-10"/>
          <w:w w:val="115"/>
          <w:sz w:val="19"/>
        </w:rPr>
        <w:t> </w:t>
      </w:r>
      <w:r>
        <w:rPr>
          <w:rFonts w:ascii="Arial" w:hAnsi="Arial"/>
          <w:color w:val="231F20"/>
          <w:w w:val="115"/>
          <w:sz w:val="19"/>
        </w:rPr>
        <w:t>of</w:t>
      </w:r>
      <w:r>
        <w:rPr>
          <w:rFonts w:ascii="Arial" w:hAnsi="Arial"/>
          <w:color w:val="231F20"/>
          <w:spacing w:val="-10"/>
          <w:w w:val="115"/>
          <w:sz w:val="19"/>
        </w:rPr>
        <w:t> </w:t>
      </w:r>
      <w:r>
        <w:rPr>
          <w:rFonts w:ascii="Arial" w:hAnsi="Arial"/>
          <w:color w:val="231F20"/>
          <w:w w:val="115"/>
          <w:sz w:val="19"/>
        </w:rPr>
        <w:t>cash</w:t>
      </w:r>
      <w:r>
        <w:rPr>
          <w:rFonts w:ascii="Arial" w:hAnsi="Arial"/>
          <w:color w:val="231F20"/>
          <w:spacing w:val="-11"/>
          <w:w w:val="115"/>
          <w:sz w:val="19"/>
        </w:rPr>
        <w:t> </w:t>
      </w:r>
      <w:r>
        <w:rPr>
          <w:rFonts w:ascii="Arial" w:hAnsi="Arial"/>
          <w:color w:val="231F20"/>
          <w:w w:val="115"/>
          <w:sz w:val="19"/>
        </w:rPr>
        <w:t>received</w:t>
      </w:r>
      <w:r>
        <w:rPr>
          <w:rFonts w:ascii="Arial" w:hAnsi="Arial"/>
          <w:color w:val="231F20"/>
          <w:spacing w:val="-10"/>
          <w:w w:val="115"/>
          <w:sz w:val="19"/>
        </w:rPr>
        <w:t> </w:t>
      </w:r>
      <w:r>
        <w:rPr>
          <w:rFonts w:ascii="Arial" w:hAnsi="Arial"/>
          <w:color w:val="231F20"/>
          <w:w w:val="115"/>
          <w:sz w:val="19"/>
        </w:rPr>
        <w:t>in</w:t>
      </w:r>
      <w:r>
        <w:rPr>
          <w:rFonts w:ascii="Arial" w:hAnsi="Arial"/>
          <w:color w:val="231F20"/>
          <w:spacing w:val="-10"/>
          <w:w w:val="115"/>
          <w:sz w:val="19"/>
        </w:rPr>
        <w:t> </w:t>
      </w:r>
      <w:r>
        <w:rPr>
          <w:rFonts w:ascii="Arial" w:hAnsi="Arial"/>
          <w:color w:val="231F20"/>
          <w:w w:val="115"/>
          <w:sz w:val="19"/>
        </w:rPr>
        <w:t>the</w:t>
      </w:r>
      <w:r>
        <w:rPr>
          <w:rFonts w:ascii="Arial" w:hAnsi="Arial"/>
          <w:color w:val="231F20"/>
          <w:spacing w:val="-10"/>
          <w:w w:val="115"/>
          <w:sz w:val="19"/>
        </w:rPr>
        <w:t> </w:t>
      </w:r>
      <w:r>
        <w:rPr>
          <w:rFonts w:ascii="Arial" w:hAnsi="Arial"/>
          <w:color w:val="231F20"/>
          <w:spacing w:val="-2"/>
          <w:w w:val="115"/>
          <w:sz w:val="19"/>
        </w:rPr>
        <w:t>future—</w:t>
      </w:r>
    </w:p>
    <w:p>
      <w:pPr>
        <w:spacing w:line="328" w:lineRule="auto" w:before="1"/>
        <w:ind w:left="1170" w:right="1262" w:firstLine="340"/>
        <w:jc w:val="left"/>
        <w:rPr>
          <w:rFonts w:ascii="Arial"/>
          <w:sz w:val="19"/>
        </w:rPr>
      </w:pPr>
      <w:r>
        <w:rPr>
          <w:rFonts w:ascii="Arial"/>
          <w:color w:val="231F20"/>
          <w:spacing w:val="-2"/>
          <w:w w:val="115"/>
          <w:sz w:val="19"/>
        </w:rPr>
        <w:t>cash</w:t>
      </w:r>
      <w:r>
        <w:rPr>
          <w:rFonts w:ascii="Arial"/>
          <w:color w:val="231F20"/>
          <w:spacing w:val="-13"/>
          <w:w w:val="115"/>
          <w:sz w:val="19"/>
        </w:rPr>
        <w:t> </w:t>
      </w:r>
      <w:r>
        <w:rPr>
          <w:rFonts w:ascii="Arial"/>
          <w:color w:val="231F20"/>
          <w:spacing w:val="-2"/>
          <w:w w:val="115"/>
          <w:sz w:val="19"/>
        </w:rPr>
        <w:t>flow</w:t>
      </w:r>
      <w:r>
        <w:rPr>
          <w:rFonts w:ascii="Arial"/>
          <w:color w:val="231F20"/>
          <w:spacing w:val="-13"/>
          <w:w w:val="115"/>
          <w:sz w:val="19"/>
        </w:rPr>
        <w:t> </w:t>
      </w:r>
      <w:r>
        <w:rPr>
          <w:rFonts w:ascii="Arial"/>
          <w:color w:val="231F20"/>
          <w:spacing w:val="-2"/>
          <w:w w:val="115"/>
          <w:sz w:val="19"/>
        </w:rPr>
        <w:t>analysis</w:t>
      </w:r>
      <w:r>
        <w:rPr>
          <w:rFonts w:ascii="Arial"/>
          <w:color w:val="231F20"/>
          <w:spacing w:val="-13"/>
          <w:w w:val="115"/>
          <w:sz w:val="19"/>
        </w:rPr>
        <w:t> </w:t>
      </w:r>
      <w:r>
        <w:rPr>
          <w:rFonts w:ascii="Arial"/>
          <w:color w:val="231F20"/>
          <w:spacing w:val="-2"/>
          <w:w w:val="115"/>
          <w:sz w:val="19"/>
        </w:rPr>
        <w:t>and</w:t>
      </w:r>
      <w:r>
        <w:rPr>
          <w:rFonts w:ascii="Arial"/>
          <w:color w:val="231F20"/>
          <w:spacing w:val="-13"/>
          <w:w w:val="115"/>
          <w:sz w:val="19"/>
        </w:rPr>
        <w:t> </w:t>
      </w:r>
      <w:r>
        <w:rPr>
          <w:rFonts w:ascii="Arial"/>
          <w:color w:val="231F20"/>
          <w:spacing w:val="-2"/>
          <w:w w:val="115"/>
          <w:sz w:val="19"/>
        </w:rPr>
        <w:t>net</w:t>
      </w:r>
      <w:r>
        <w:rPr>
          <w:rFonts w:ascii="Arial"/>
          <w:color w:val="231F20"/>
          <w:spacing w:val="-13"/>
          <w:w w:val="115"/>
          <w:sz w:val="19"/>
        </w:rPr>
        <w:t> </w:t>
      </w:r>
      <w:r>
        <w:rPr>
          <w:rFonts w:ascii="Arial"/>
          <w:color w:val="231F20"/>
          <w:spacing w:val="-2"/>
          <w:w w:val="115"/>
          <w:sz w:val="19"/>
        </w:rPr>
        <w:t>present</w:t>
      </w:r>
      <w:r>
        <w:rPr>
          <w:rFonts w:ascii="Arial"/>
          <w:color w:val="231F20"/>
          <w:spacing w:val="-13"/>
          <w:w w:val="115"/>
          <w:sz w:val="19"/>
        </w:rPr>
        <w:t> </w:t>
      </w:r>
      <w:r>
        <w:rPr>
          <w:rFonts w:ascii="Arial"/>
          <w:color w:val="231F20"/>
          <w:spacing w:val="-2"/>
          <w:w w:val="115"/>
          <w:sz w:val="19"/>
        </w:rPr>
        <w:t>value</w:t>
      </w:r>
      <w:r>
        <w:rPr>
          <w:rFonts w:ascii="Arial"/>
          <w:color w:val="231F20"/>
          <w:spacing w:val="-13"/>
          <w:w w:val="115"/>
          <w:sz w:val="19"/>
        </w:rPr>
        <w:t> </w:t>
      </w:r>
      <w:r>
        <w:rPr>
          <w:rFonts w:ascii="Arial"/>
          <w:color w:val="231F20"/>
          <w:spacing w:val="-2"/>
          <w:w w:val="115"/>
          <w:sz w:val="19"/>
        </w:rPr>
        <w:t>analysis </w:t>
      </w:r>
      <w:r>
        <w:rPr>
          <w:rFonts w:ascii="Arial"/>
          <w:color w:val="231F20"/>
          <w:w w:val="115"/>
          <w:sz w:val="19"/>
        </w:rPr>
        <w:t>Quantify uncertainty with probability theory</w:t>
      </w:r>
    </w:p>
    <w:p>
      <w:pPr>
        <w:spacing w:line="328" w:lineRule="auto" w:before="2"/>
        <w:ind w:left="1510" w:right="667" w:hanging="340"/>
        <w:jc w:val="left"/>
        <w:rPr>
          <w:rFonts w:ascii="Arial"/>
          <w:sz w:val="19"/>
        </w:rPr>
      </w:pPr>
      <w:r>
        <w:rPr>
          <w:rFonts w:ascii="Arial"/>
          <w:color w:val="231F20"/>
          <w:spacing w:val="-2"/>
          <w:w w:val="115"/>
          <w:sz w:val="19"/>
        </w:rPr>
        <w:t>Determine</w:t>
      </w:r>
      <w:r>
        <w:rPr>
          <w:rFonts w:ascii="Arial"/>
          <w:color w:val="231F20"/>
          <w:spacing w:val="-5"/>
          <w:w w:val="115"/>
          <w:sz w:val="19"/>
        </w:rPr>
        <w:t> </w:t>
      </w:r>
      <w:r>
        <w:rPr>
          <w:rFonts w:ascii="Arial"/>
          <w:color w:val="231F20"/>
          <w:spacing w:val="-2"/>
          <w:w w:val="115"/>
          <w:sz w:val="19"/>
        </w:rPr>
        <w:t>relationships</w:t>
      </w:r>
      <w:r>
        <w:rPr>
          <w:rFonts w:ascii="Arial"/>
          <w:color w:val="231F20"/>
          <w:spacing w:val="-5"/>
          <w:w w:val="115"/>
          <w:sz w:val="19"/>
        </w:rPr>
        <w:t> </w:t>
      </w:r>
      <w:r>
        <w:rPr>
          <w:rFonts w:ascii="Arial"/>
          <w:color w:val="231F20"/>
          <w:spacing w:val="-2"/>
          <w:w w:val="115"/>
          <w:sz w:val="19"/>
        </w:rPr>
        <w:t>and</w:t>
      </w:r>
      <w:r>
        <w:rPr>
          <w:rFonts w:ascii="Arial"/>
          <w:color w:val="231F20"/>
          <w:spacing w:val="-5"/>
          <w:w w:val="115"/>
          <w:sz w:val="19"/>
        </w:rPr>
        <w:t> </w:t>
      </w:r>
      <w:r>
        <w:rPr>
          <w:rFonts w:ascii="Arial"/>
          <w:color w:val="231F20"/>
          <w:spacing w:val="-2"/>
          <w:w w:val="115"/>
          <w:sz w:val="19"/>
        </w:rPr>
        <w:t>forecast</w:t>
      </w:r>
      <w:r>
        <w:rPr>
          <w:rFonts w:ascii="Arial"/>
          <w:color w:val="231F20"/>
          <w:spacing w:val="-5"/>
          <w:w w:val="115"/>
          <w:sz w:val="19"/>
        </w:rPr>
        <w:t> </w:t>
      </w:r>
      <w:r>
        <w:rPr>
          <w:rFonts w:ascii="Arial"/>
          <w:color w:val="231F20"/>
          <w:spacing w:val="-2"/>
          <w:w w:val="115"/>
          <w:sz w:val="19"/>
        </w:rPr>
        <w:t>with</w:t>
      </w:r>
      <w:r>
        <w:rPr>
          <w:rFonts w:ascii="Arial"/>
          <w:color w:val="231F20"/>
          <w:spacing w:val="-5"/>
          <w:w w:val="115"/>
          <w:sz w:val="19"/>
        </w:rPr>
        <w:t> </w:t>
      </w:r>
      <w:r>
        <w:rPr>
          <w:rFonts w:ascii="Arial"/>
          <w:color w:val="231F20"/>
          <w:spacing w:val="-2"/>
          <w:w w:val="115"/>
          <w:sz w:val="19"/>
        </w:rPr>
        <w:t>regression</w:t>
      </w:r>
      <w:r>
        <w:rPr>
          <w:rFonts w:ascii="Arial"/>
          <w:color w:val="231F20"/>
          <w:spacing w:val="-5"/>
          <w:w w:val="115"/>
          <w:sz w:val="19"/>
        </w:rPr>
        <w:t> </w:t>
      </w:r>
      <w:r>
        <w:rPr>
          <w:rFonts w:ascii="Arial"/>
          <w:color w:val="231F20"/>
          <w:spacing w:val="-2"/>
          <w:w w:val="115"/>
          <w:sz w:val="19"/>
        </w:rPr>
        <w:t>analysis </w:t>
      </w:r>
      <w:r>
        <w:rPr>
          <w:rFonts w:ascii="Arial"/>
          <w:color w:val="231F20"/>
          <w:w w:val="115"/>
          <w:sz w:val="19"/>
        </w:rPr>
        <w:t>and other forecasting techniques</w:t>
      </w:r>
    </w:p>
    <w:p>
      <w:pPr>
        <w:pStyle w:val="BodyText"/>
        <w:spacing w:before="3"/>
        <w:rPr>
          <w:rFonts w:ascii="Arial"/>
          <w:sz w:val="24"/>
        </w:rPr>
      </w:pPr>
    </w:p>
    <w:p>
      <w:pPr>
        <w:pStyle w:val="BodyText"/>
        <w:spacing w:line="292" w:lineRule="auto" w:before="1"/>
        <w:ind w:left="830" w:right="756" w:firstLine="340"/>
        <w:jc w:val="both"/>
      </w:pPr>
      <w:r>
        <w:rPr>
          <w:color w:val="231F20"/>
        </w:rPr>
        <w:t>These are practical tools that MBAs use to meet business </w:t>
      </w:r>
      <w:r>
        <w:rPr>
          <w:color w:val="231F20"/>
        </w:rPr>
        <w:t>chal- lenges. They give MBAs the power to make informed decisions and</w:t>
      </w:r>
      <w:r>
        <w:rPr>
          <w:color w:val="231F20"/>
          <w:spacing w:val="80"/>
        </w:rPr>
        <w:t> </w:t>
      </w:r>
      <w:r>
        <w:rPr>
          <w:color w:val="231F20"/>
        </w:rPr>
        <w:t>to distinguish themselves on the job.</w:t>
      </w:r>
    </w:p>
    <w:p>
      <w:pPr>
        <w:pStyle w:val="BodyText"/>
        <w:rPr>
          <w:sz w:val="24"/>
        </w:rPr>
      </w:pPr>
    </w:p>
    <w:p>
      <w:pPr>
        <w:pStyle w:val="BodyText"/>
        <w:spacing w:before="10"/>
        <w:rPr>
          <w:sz w:val="24"/>
        </w:rPr>
      </w:pPr>
    </w:p>
    <w:p>
      <w:pPr>
        <w:pStyle w:val="Heading4"/>
        <w:ind w:left="300"/>
      </w:pPr>
      <w:r>
        <w:rPr>
          <w:color w:val="231F20"/>
          <w:w w:val="85"/>
        </w:rPr>
        <w:t>KEY</w:t>
      </w:r>
      <w:r>
        <w:rPr>
          <w:color w:val="231F20"/>
          <w:spacing w:val="13"/>
        </w:rPr>
        <w:t> </w:t>
      </w:r>
      <w:r>
        <w:rPr>
          <w:color w:val="231F20"/>
          <w:w w:val="85"/>
        </w:rPr>
        <w:t>QA</w:t>
      </w:r>
      <w:r>
        <w:rPr>
          <w:color w:val="231F20"/>
          <w:spacing w:val="13"/>
        </w:rPr>
        <w:t> </w:t>
      </w:r>
      <w:r>
        <w:rPr>
          <w:color w:val="231F20"/>
          <w:spacing w:val="-2"/>
          <w:w w:val="85"/>
        </w:rPr>
        <w:t>TAKEAWAYS</w:t>
      </w:r>
    </w:p>
    <w:p>
      <w:pPr>
        <w:pStyle w:val="BodyText"/>
        <w:spacing w:before="8"/>
        <w:rPr>
          <w:rFonts w:ascii="Trebuchet MS"/>
          <w:sz w:val="31"/>
        </w:rPr>
      </w:pPr>
    </w:p>
    <w:p>
      <w:pPr>
        <w:spacing w:line="328" w:lineRule="auto" w:before="0"/>
        <w:ind w:left="1510" w:right="1296" w:hanging="340"/>
        <w:jc w:val="left"/>
        <w:rPr>
          <w:rFonts w:ascii="Arial" w:hAnsi="Arial"/>
          <w:sz w:val="19"/>
        </w:rPr>
      </w:pPr>
      <w:r>
        <w:rPr>
          <w:rFonts w:ascii="Arial" w:hAnsi="Arial"/>
          <w:i/>
          <w:color w:val="231F20"/>
          <w:spacing w:val="-1"/>
          <w:w w:val="115"/>
          <w:sz w:val="19"/>
        </w:rPr>
        <w:t>Decision</w:t>
      </w:r>
      <w:r>
        <w:rPr>
          <w:rFonts w:ascii="Arial" w:hAnsi="Arial"/>
          <w:i/>
          <w:color w:val="231F20"/>
          <w:spacing w:val="-15"/>
          <w:w w:val="115"/>
          <w:sz w:val="19"/>
        </w:rPr>
        <w:t> </w:t>
      </w:r>
      <w:r>
        <w:rPr>
          <w:rFonts w:ascii="Arial" w:hAnsi="Arial"/>
          <w:i/>
          <w:color w:val="231F20"/>
          <w:spacing w:val="-1"/>
          <w:w w:val="115"/>
          <w:sz w:val="19"/>
        </w:rPr>
        <w:t>Trees</w:t>
      </w:r>
      <w:r>
        <w:rPr>
          <w:rFonts w:ascii="Arial" w:hAnsi="Arial"/>
          <w:i/>
          <w:color w:val="231F20"/>
          <w:spacing w:val="-42"/>
          <w:w w:val="115"/>
          <w:sz w:val="19"/>
        </w:rPr>
        <w:t> </w:t>
      </w:r>
      <w:r>
        <w:rPr>
          <w:rFonts w:ascii="Arial" w:hAnsi="Arial"/>
          <w:color w:val="231F20"/>
          <w:spacing w:val="-1"/>
          <w:w w:val="115"/>
          <w:sz w:val="19"/>
        </w:rPr>
        <w:t>—A</w:t>
      </w:r>
      <w:r>
        <w:rPr>
          <w:rFonts w:ascii="Arial" w:hAnsi="Arial"/>
          <w:color w:val="231F20"/>
          <w:spacing w:val="-14"/>
          <w:w w:val="115"/>
          <w:sz w:val="19"/>
        </w:rPr>
        <w:t> </w:t>
      </w:r>
      <w:r>
        <w:rPr>
          <w:rFonts w:ascii="Arial" w:hAnsi="Arial"/>
          <w:color w:val="231F20"/>
          <w:spacing w:val="-1"/>
          <w:w w:val="115"/>
          <w:sz w:val="19"/>
        </w:rPr>
        <w:t>way</w:t>
      </w:r>
      <w:r>
        <w:rPr>
          <w:rFonts w:ascii="Arial" w:hAnsi="Arial"/>
          <w:color w:val="231F20"/>
          <w:spacing w:val="-14"/>
          <w:w w:val="115"/>
          <w:sz w:val="19"/>
        </w:rPr>
        <w:t> </w:t>
      </w:r>
      <w:r>
        <w:rPr>
          <w:rFonts w:ascii="Arial" w:hAnsi="Arial"/>
          <w:color w:val="231F20"/>
          <w:spacing w:val="-1"/>
          <w:w w:val="115"/>
          <w:sz w:val="19"/>
        </w:rPr>
        <w:t>to</w:t>
      </w:r>
      <w:r>
        <w:rPr>
          <w:rFonts w:ascii="Arial" w:hAnsi="Arial"/>
          <w:color w:val="231F20"/>
          <w:spacing w:val="-14"/>
          <w:w w:val="115"/>
          <w:sz w:val="19"/>
        </w:rPr>
        <w:t> </w:t>
      </w:r>
      <w:r>
        <w:rPr>
          <w:rFonts w:ascii="Arial" w:hAnsi="Arial"/>
          <w:color w:val="231F20"/>
          <w:spacing w:val="-1"/>
          <w:w w:val="115"/>
          <w:sz w:val="19"/>
        </w:rPr>
        <w:t>graphically</w:t>
      </w:r>
      <w:r>
        <w:rPr>
          <w:rFonts w:ascii="Arial" w:hAnsi="Arial"/>
          <w:color w:val="231F20"/>
          <w:spacing w:val="-14"/>
          <w:w w:val="115"/>
          <w:sz w:val="19"/>
        </w:rPr>
        <w:t> </w:t>
      </w:r>
      <w:r>
        <w:rPr>
          <w:rFonts w:ascii="Arial" w:hAnsi="Arial"/>
          <w:color w:val="231F20"/>
          <w:spacing w:val="-1"/>
          <w:w w:val="115"/>
          <w:sz w:val="19"/>
        </w:rPr>
        <w:t>show</w:t>
      </w:r>
      <w:r>
        <w:rPr>
          <w:rFonts w:ascii="Arial" w:hAnsi="Arial"/>
          <w:color w:val="231F20"/>
          <w:spacing w:val="-14"/>
          <w:w w:val="115"/>
          <w:sz w:val="19"/>
        </w:rPr>
        <w:t> </w:t>
      </w:r>
      <w:r>
        <w:rPr>
          <w:rFonts w:ascii="Arial" w:hAnsi="Arial"/>
          <w:color w:val="231F20"/>
          <w:spacing w:val="-1"/>
          <w:w w:val="115"/>
          <w:sz w:val="19"/>
        </w:rPr>
        <w:t>and</w:t>
      </w:r>
      <w:r>
        <w:rPr>
          <w:rFonts w:ascii="Arial" w:hAnsi="Arial"/>
          <w:color w:val="231F20"/>
          <w:spacing w:val="-15"/>
          <w:w w:val="115"/>
          <w:sz w:val="19"/>
        </w:rPr>
        <w:t> </w:t>
      </w:r>
      <w:r>
        <w:rPr>
          <w:rFonts w:ascii="Arial" w:hAnsi="Arial"/>
          <w:color w:val="231F20"/>
          <w:spacing w:val="-1"/>
          <w:w w:val="115"/>
          <w:sz w:val="19"/>
        </w:rPr>
        <w:t>quantify </w:t>
      </w:r>
      <w:r>
        <w:rPr>
          <w:rFonts w:ascii="Arial" w:hAnsi="Arial"/>
          <w:color w:val="231F20"/>
          <w:w w:val="115"/>
          <w:sz w:val="19"/>
        </w:rPr>
        <w:t>multiple outcomes of a business decision</w:t>
      </w:r>
    </w:p>
    <w:p>
      <w:pPr>
        <w:spacing w:line="328" w:lineRule="auto" w:before="2"/>
        <w:ind w:left="1510" w:right="1262" w:hanging="340"/>
        <w:jc w:val="left"/>
        <w:rPr>
          <w:rFonts w:ascii="Arial" w:hAnsi="Arial"/>
          <w:sz w:val="19"/>
        </w:rPr>
      </w:pPr>
      <w:r>
        <w:rPr>
          <w:rFonts w:ascii="Arial" w:hAnsi="Arial"/>
          <w:i/>
          <w:color w:val="231F20"/>
          <w:w w:val="110"/>
          <w:sz w:val="19"/>
        </w:rPr>
        <w:t>Sunk Cost</w:t>
      </w:r>
      <w:r>
        <w:rPr>
          <w:rFonts w:ascii="Arial" w:hAnsi="Arial"/>
          <w:color w:val="231F20"/>
          <w:w w:val="110"/>
          <w:sz w:val="19"/>
        </w:rPr>
        <w:t>—</w:t>
      </w:r>
      <w:r>
        <w:rPr>
          <w:rFonts w:ascii="Arial" w:hAnsi="Arial"/>
          <w:color w:val="231F20"/>
          <w:spacing w:val="-38"/>
          <w:w w:val="110"/>
          <w:sz w:val="19"/>
        </w:rPr>
        <w:t> </w:t>
      </w:r>
      <w:r>
        <w:rPr>
          <w:rFonts w:ascii="Arial" w:hAnsi="Arial"/>
          <w:color w:val="231F20"/>
          <w:w w:val="110"/>
          <w:sz w:val="19"/>
        </w:rPr>
        <w:t>Investments made in the past that have no </w:t>
      </w:r>
      <w:r>
        <w:rPr>
          <w:rFonts w:ascii="Arial" w:hAnsi="Arial"/>
          <w:color w:val="231F20"/>
          <w:w w:val="115"/>
          <w:sz w:val="19"/>
        </w:rPr>
        <w:t>bearing on future investment decisions</w:t>
      </w:r>
    </w:p>
    <w:p>
      <w:pPr>
        <w:spacing w:line="328" w:lineRule="auto" w:before="1"/>
        <w:ind w:left="1510" w:right="1045" w:hanging="340"/>
        <w:jc w:val="left"/>
        <w:rPr>
          <w:rFonts w:ascii="Arial" w:hAnsi="Arial"/>
          <w:sz w:val="19"/>
        </w:rPr>
      </w:pPr>
      <w:r>
        <w:rPr>
          <w:rFonts w:ascii="Arial" w:hAnsi="Arial"/>
          <w:i/>
          <w:color w:val="231F20"/>
          <w:w w:val="110"/>
          <w:sz w:val="19"/>
        </w:rPr>
        <w:t>Expected Monetary Value (EMV)</w:t>
      </w:r>
      <w:r>
        <w:rPr>
          <w:rFonts w:ascii="Arial" w:hAnsi="Arial"/>
          <w:i/>
          <w:color w:val="231F20"/>
          <w:spacing w:val="-40"/>
          <w:w w:val="110"/>
          <w:sz w:val="19"/>
        </w:rPr>
        <w:t> </w:t>
      </w:r>
      <w:r>
        <w:rPr>
          <w:rFonts w:ascii="Arial" w:hAnsi="Arial"/>
          <w:color w:val="231F20"/>
          <w:w w:val="110"/>
          <w:sz w:val="19"/>
        </w:rPr>
        <w:t>—The blended value of </w:t>
      </w:r>
      <w:r>
        <w:rPr>
          <w:rFonts w:ascii="Arial" w:hAnsi="Arial"/>
          <w:color w:val="231F20"/>
          <w:w w:val="110"/>
          <w:sz w:val="19"/>
        </w:rPr>
        <w:t>a decision based on the probabilities and values of all possible outcomes</w:t>
      </w:r>
    </w:p>
    <w:p>
      <w:pPr>
        <w:spacing w:line="328" w:lineRule="auto" w:before="2"/>
        <w:ind w:left="1510" w:right="751" w:hanging="340"/>
        <w:jc w:val="left"/>
        <w:rPr>
          <w:rFonts w:ascii="Arial" w:hAnsi="Arial"/>
          <w:sz w:val="19"/>
        </w:rPr>
      </w:pPr>
      <w:r>
        <w:rPr>
          <w:rFonts w:ascii="Arial" w:hAnsi="Arial"/>
          <w:i/>
          <w:color w:val="231F20"/>
          <w:w w:val="110"/>
          <w:sz w:val="19"/>
        </w:rPr>
        <w:t>Accumulated Value</w:t>
      </w:r>
      <w:r>
        <w:rPr>
          <w:rFonts w:ascii="Arial" w:hAnsi="Arial"/>
          <w:i/>
          <w:color w:val="231F20"/>
          <w:spacing w:val="-36"/>
          <w:w w:val="110"/>
          <w:sz w:val="19"/>
        </w:rPr>
        <w:t> </w:t>
      </w:r>
      <w:r>
        <w:rPr>
          <w:rFonts w:ascii="Arial" w:hAnsi="Arial"/>
          <w:color w:val="231F20"/>
          <w:w w:val="110"/>
          <w:sz w:val="19"/>
        </w:rPr>
        <w:t>—The total future value of cash flows </w:t>
      </w:r>
      <w:r>
        <w:rPr>
          <w:rFonts w:ascii="Arial" w:hAnsi="Arial"/>
          <w:color w:val="231F20"/>
          <w:w w:val="110"/>
          <w:sz w:val="19"/>
        </w:rPr>
        <w:t>with all earnings reinvested</w:t>
      </w:r>
    </w:p>
    <w:p>
      <w:pPr>
        <w:spacing w:line="328" w:lineRule="auto" w:before="2"/>
        <w:ind w:left="1509" w:right="667" w:hanging="340"/>
        <w:jc w:val="left"/>
        <w:rPr>
          <w:rFonts w:ascii="Arial" w:hAnsi="Arial"/>
          <w:sz w:val="19"/>
        </w:rPr>
      </w:pPr>
      <w:r>
        <w:rPr>
          <w:rFonts w:ascii="Arial" w:hAnsi="Arial"/>
          <w:i/>
          <w:color w:val="231F20"/>
          <w:w w:val="110"/>
          <w:sz w:val="19"/>
        </w:rPr>
        <w:t>Net Present Value (NPV)</w:t>
      </w:r>
      <w:r>
        <w:rPr>
          <w:rFonts w:ascii="Arial" w:hAnsi="Arial"/>
          <w:i/>
          <w:color w:val="231F20"/>
          <w:spacing w:val="-39"/>
          <w:w w:val="110"/>
          <w:sz w:val="19"/>
        </w:rPr>
        <w:t> </w:t>
      </w:r>
      <w:r>
        <w:rPr>
          <w:rFonts w:ascii="Arial" w:hAnsi="Arial"/>
          <w:color w:val="231F20"/>
          <w:w w:val="110"/>
          <w:sz w:val="19"/>
        </w:rPr>
        <w:t>—The total present value of all cash </w:t>
      </w:r>
      <w:r>
        <w:rPr>
          <w:rFonts w:ascii="Arial" w:hAnsi="Arial"/>
          <w:color w:val="231F20"/>
          <w:w w:val="115"/>
          <w:sz w:val="19"/>
        </w:rPr>
        <w:t>flows “discounted” to today’s dollars</w:t>
      </w:r>
    </w:p>
    <w:p>
      <w:pPr>
        <w:spacing w:before="1"/>
        <w:ind w:left="1169" w:right="0" w:firstLine="0"/>
        <w:jc w:val="left"/>
        <w:rPr>
          <w:rFonts w:ascii="Arial" w:hAnsi="Arial"/>
          <w:sz w:val="19"/>
        </w:rPr>
      </w:pPr>
      <w:r>
        <w:rPr>
          <w:rFonts w:ascii="Arial" w:hAnsi="Arial"/>
          <w:i/>
          <w:color w:val="231F20"/>
          <w:w w:val="110"/>
          <w:sz w:val="19"/>
        </w:rPr>
        <w:t>Internal</w:t>
      </w:r>
      <w:r>
        <w:rPr>
          <w:rFonts w:ascii="Arial" w:hAnsi="Arial"/>
          <w:i/>
          <w:color w:val="231F20"/>
          <w:spacing w:val="5"/>
          <w:w w:val="110"/>
          <w:sz w:val="19"/>
        </w:rPr>
        <w:t> </w:t>
      </w:r>
      <w:r>
        <w:rPr>
          <w:rFonts w:ascii="Arial" w:hAnsi="Arial"/>
          <w:i/>
          <w:color w:val="231F20"/>
          <w:w w:val="110"/>
          <w:sz w:val="19"/>
        </w:rPr>
        <w:t>Rate</w:t>
      </w:r>
      <w:r>
        <w:rPr>
          <w:rFonts w:ascii="Arial" w:hAnsi="Arial"/>
          <w:i/>
          <w:color w:val="231F20"/>
          <w:spacing w:val="6"/>
          <w:w w:val="110"/>
          <w:sz w:val="19"/>
        </w:rPr>
        <w:t> </w:t>
      </w:r>
      <w:r>
        <w:rPr>
          <w:rFonts w:ascii="Arial" w:hAnsi="Arial"/>
          <w:i/>
          <w:color w:val="231F20"/>
          <w:w w:val="110"/>
          <w:sz w:val="19"/>
        </w:rPr>
        <w:t>of</w:t>
      </w:r>
      <w:r>
        <w:rPr>
          <w:rFonts w:ascii="Arial" w:hAnsi="Arial"/>
          <w:i/>
          <w:color w:val="231F20"/>
          <w:spacing w:val="6"/>
          <w:w w:val="110"/>
          <w:sz w:val="19"/>
        </w:rPr>
        <w:t> </w:t>
      </w:r>
      <w:r>
        <w:rPr>
          <w:rFonts w:ascii="Arial" w:hAnsi="Arial"/>
          <w:i/>
          <w:color w:val="231F20"/>
          <w:w w:val="110"/>
          <w:sz w:val="19"/>
        </w:rPr>
        <w:t>Return</w:t>
      </w:r>
      <w:r>
        <w:rPr>
          <w:rFonts w:ascii="Arial" w:hAnsi="Arial"/>
          <w:i/>
          <w:color w:val="231F20"/>
          <w:spacing w:val="6"/>
          <w:w w:val="110"/>
          <w:sz w:val="19"/>
        </w:rPr>
        <w:t> </w:t>
      </w:r>
      <w:r>
        <w:rPr>
          <w:rFonts w:ascii="Arial" w:hAnsi="Arial"/>
          <w:i/>
          <w:color w:val="231F20"/>
          <w:w w:val="110"/>
          <w:sz w:val="19"/>
        </w:rPr>
        <w:t>(IRR)</w:t>
      </w:r>
      <w:r>
        <w:rPr>
          <w:rFonts w:ascii="Arial" w:hAnsi="Arial"/>
          <w:i/>
          <w:color w:val="231F20"/>
          <w:spacing w:val="-38"/>
          <w:w w:val="110"/>
          <w:sz w:val="19"/>
        </w:rPr>
        <w:t> </w:t>
      </w:r>
      <w:r>
        <w:rPr>
          <w:rFonts w:ascii="Arial" w:hAnsi="Arial"/>
          <w:color w:val="231F20"/>
          <w:w w:val="110"/>
          <w:sz w:val="19"/>
        </w:rPr>
        <w:t>—The</w:t>
      </w:r>
      <w:r>
        <w:rPr>
          <w:rFonts w:ascii="Arial" w:hAnsi="Arial"/>
          <w:color w:val="231F20"/>
          <w:spacing w:val="6"/>
          <w:w w:val="110"/>
          <w:sz w:val="19"/>
        </w:rPr>
        <w:t> </w:t>
      </w:r>
      <w:r>
        <w:rPr>
          <w:rFonts w:ascii="Arial" w:hAnsi="Arial"/>
          <w:color w:val="231F20"/>
          <w:w w:val="110"/>
          <w:sz w:val="19"/>
        </w:rPr>
        <w:t>discount</w:t>
      </w:r>
      <w:r>
        <w:rPr>
          <w:rFonts w:ascii="Arial" w:hAnsi="Arial"/>
          <w:color w:val="231F20"/>
          <w:spacing w:val="6"/>
          <w:w w:val="110"/>
          <w:sz w:val="19"/>
        </w:rPr>
        <w:t> </w:t>
      </w:r>
      <w:r>
        <w:rPr>
          <w:rFonts w:ascii="Arial" w:hAnsi="Arial"/>
          <w:color w:val="231F20"/>
          <w:w w:val="110"/>
          <w:sz w:val="19"/>
        </w:rPr>
        <w:t>rate</w:t>
      </w:r>
      <w:r>
        <w:rPr>
          <w:rFonts w:ascii="Arial" w:hAnsi="Arial"/>
          <w:color w:val="231F20"/>
          <w:spacing w:val="6"/>
          <w:w w:val="110"/>
          <w:sz w:val="19"/>
        </w:rPr>
        <w:t> </w:t>
      </w:r>
      <w:r>
        <w:rPr>
          <w:rFonts w:ascii="Arial" w:hAnsi="Arial"/>
          <w:color w:val="231F20"/>
          <w:w w:val="110"/>
          <w:sz w:val="19"/>
        </w:rPr>
        <w:t>that</w:t>
      </w:r>
      <w:r>
        <w:rPr>
          <w:rFonts w:ascii="Arial" w:hAnsi="Arial"/>
          <w:color w:val="231F20"/>
          <w:spacing w:val="6"/>
          <w:w w:val="110"/>
          <w:sz w:val="19"/>
        </w:rPr>
        <w:t> </w:t>
      </w:r>
      <w:r>
        <w:rPr>
          <w:rFonts w:ascii="Arial" w:hAnsi="Arial"/>
          <w:color w:val="231F20"/>
          <w:spacing w:val="-2"/>
          <w:w w:val="110"/>
          <w:sz w:val="19"/>
        </w:rPr>
        <w:t>makes</w:t>
      </w:r>
    </w:p>
    <w:p>
      <w:pPr>
        <w:spacing w:after="0"/>
        <w:jc w:val="left"/>
        <w:rPr>
          <w:rFonts w:ascii="Arial" w:hAnsi="Arial"/>
          <w:sz w:val="19"/>
        </w:rPr>
        <w:sectPr>
          <w:pgSz w:w="8640" w:h="12960"/>
          <w:pgMar w:header="732" w:footer="0" w:top="920" w:bottom="280" w:left="340" w:right="500"/>
        </w:sectPr>
      </w:pPr>
    </w:p>
    <w:p>
      <w:pPr>
        <w:pStyle w:val="BodyText"/>
        <w:spacing w:before="8"/>
        <w:rPr>
          <w:rFonts w:ascii="Arial"/>
          <w:sz w:val="19"/>
        </w:rPr>
      </w:pPr>
    </w:p>
    <w:p>
      <w:pPr>
        <w:spacing w:line="328" w:lineRule="auto" w:before="95"/>
        <w:ind w:left="1600" w:right="1045" w:firstLine="0"/>
        <w:jc w:val="left"/>
        <w:rPr>
          <w:rFonts w:ascii="Arial" w:hAnsi="Arial"/>
          <w:sz w:val="19"/>
        </w:rPr>
      </w:pPr>
      <w:r>
        <w:rPr>
          <w:rFonts w:ascii="Arial" w:hAnsi="Arial"/>
          <w:color w:val="231F20"/>
          <w:w w:val="115"/>
          <w:sz w:val="19"/>
        </w:rPr>
        <w:t>the</w:t>
      </w:r>
      <w:r>
        <w:rPr>
          <w:rFonts w:ascii="Arial" w:hAnsi="Arial"/>
          <w:color w:val="231F20"/>
          <w:spacing w:val="-14"/>
          <w:w w:val="115"/>
          <w:sz w:val="19"/>
        </w:rPr>
        <w:t> </w:t>
      </w:r>
      <w:r>
        <w:rPr>
          <w:rFonts w:ascii="Arial" w:hAnsi="Arial"/>
          <w:color w:val="231F20"/>
          <w:w w:val="115"/>
          <w:sz w:val="19"/>
        </w:rPr>
        <w:t>net</w:t>
      </w:r>
      <w:r>
        <w:rPr>
          <w:rFonts w:ascii="Arial" w:hAnsi="Arial"/>
          <w:color w:val="231F20"/>
          <w:spacing w:val="-14"/>
          <w:w w:val="115"/>
          <w:sz w:val="19"/>
        </w:rPr>
        <w:t> </w:t>
      </w:r>
      <w:r>
        <w:rPr>
          <w:rFonts w:ascii="Arial" w:hAnsi="Arial"/>
          <w:color w:val="231F20"/>
          <w:w w:val="115"/>
          <w:sz w:val="19"/>
        </w:rPr>
        <w:t>present</w:t>
      </w:r>
      <w:r>
        <w:rPr>
          <w:rFonts w:ascii="Arial" w:hAnsi="Arial"/>
          <w:color w:val="231F20"/>
          <w:spacing w:val="-14"/>
          <w:w w:val="115"/>
          <w:sz w:val="19"/>
        </w:rPr>
        <w:t> </w:t>
      </w:r>
      <w:r>
        <w:rPr>
          <w:rFonts w:ascii="Arial" w:hAnsi="Arial"/>
          <w:color w:val="231F20"/>
          <w:w w:val="115"/>
          <w:sz w:val="19"/>
        </w:rPr>
        <w:t>value</w:t>
      </w:r>
      <w:r>
        <w:rPr>
          <w:rFonts w:ascii="Arial" w:hAnsi="Arial"/>
          <w:color w:val="231F20"/>
          <w:spacing w:val="-14"/>
          <w:w w:val="115"/>
          <w:sz w:val="19"/>
        </w:rPr>
        <w:t> </w:t>
      </w:r>
      <w:r>
        <w:rPr>
          <w:rFonts w:ascii="Arial" w:hAnsi="Arial"/>
          <w:color w:val="231F20"/>
          <w:w w:val="115"/>
          <w:sz w:val="19"/>
        </w:rPr>
        <w:t>of</w:t>
      </w:r>
      <w:r>
        <w:rPr>
          <w:rFonts w:ascii="Arial" w:hAnsi="Arial"/>
          <w:color w:val="231F20"/>
          <w:spacing w:val="-14"/>
          <w:w w:val="115"/>
          <w:sz w:val="19"/>
        </w:rPr>
        <w:t> </w:t>
      </w:r>
      <w:r>
        <w:rPr>
          <w:rFonts w:ascii="Arial" w:hAnsi="Arial"/>
          <w:color w:val="231F20"/>
          <w:w w:val="115"/>
          <w:sz w:val="19"/>
        </w:rPr>
        <w:t>the</w:t>
      </w:r>
      <w:r>
        <w:rPr>
          <w:rFonts w:ascii="Arial" w:hAnsi="Arial"/>
          <w:color w:val="231F20"/>
          <w:spacing w:val="-14"/>
          <w:w w:val="115"/>
          <w:sz w:val="19"/>
        </w:rPr>
        <w:t> </w:t>
      </w:r>
      <w:r>
        <w:rPr>
          <w:rFonts w:ascii="Arial" w:hAnsi="Arial"/>
          <w:color w:val="231F20"/>
          <w:w w:val="115"/>
          <w:sz w:val="19"/>
        </w:rPr>
        <w:t>cash</w:t>
      </w:r>
      <w:r>
        <w:rPr>
          <w:rFonts w:ascii="Arial" w:hAnsi="Arial"/>
          <w:color w:val="231F20"/>
          <w:spacing w:val="-14"/>
          <w:w w:val="115"/>
          <w:sz w:val="19"/>
        </w:rPr>
        <w:t> </w:t>
      </w:r>
      <w:r>
        <w:rPr>
          <w:rFonts w:ascii="Arial" w:hAnsi="Arial"/>
          <w:color w:val="231F20"/>
          <w:w w:val="115"/>
          <w:sz w:val="19"/>
        </w:rPr>
        <w:t>flows</w:t>
      </w:r>
      <w:r>
        <w:rPr>
          <w:rFonts w:ascii="Arial" w:hAnsi="Arial"/>
          <w:color w:val="231F20"/>
          <w:spacing w:val="-14"/>
          <w:w w:val="115"/>
          <w:sz w:val="19"/>
        </w:rPr>
        <w:t> </w:t>
      </w:r>
      <w:r>
        <w:rPr>
          <w:rFonts w:ascii="Arial" w:hAnsi="Arial"/>
          <w:color w:val="231F20"/>
          <w:w w:val="115"/>
          <w:sz w:val="19"/>
        </w:rPr>
        <w:t>equal</w:t>
      </w:r>
      <w:r>
        <w:rPr>
          <w:rFonts w:ascii="Arial" w:hAnsi="Arial"/>
          <w:color w:val="231F20"/>
          <w:spacing w:val="-14"/>
          <w:w w:val="115"/>
          <w:sz w:val="19"/>
        </w:rPr>
        <w:t> </w:t>
      </w:r>
      <w:r>
        <w:rPr>
          <w:rFonts w:ascii="Arial" w:hAnsi="Arial"/>
          <w:color w:val="231F20"/>
          <w:w w:val="115"/>
          <w:sz w:val="19"/>
        </w:rPr>
        <w:t>zero</w:t>
      </w:r>
      <w:r>
        <w:rPr>
          <w:rFonts w:ascii="Arial" w:hAnsi="Arial"/>
          <w:color w:val="231F20"/>
          <w:spacing w:val="-14"/>
          <w:w w:val="115"/>
          <w:sz w:val="19"/>
        </w:rPr>
        <w:t> </w:t>
      </w:r>
      <w:r>
        <w:rPr>
          <w:rFonts w:ascii="Arial" w:hAnsi="Arial"/>
          <w:color w:val="231F20"/>
          <w:w w:val="115"/>
          <w:sz w:val="19"/>
        </w:rPr>
        <w:t>in today’s dollars</w:t>
      </w:r>
    </w:p>
    <w:p>
      <w:pPr>
        <w:spacing w:line="328" w:lineRule="auto" w:before="2"/>
        <w:ind w:left="1600" w:right="721" w:hanging="340"/>
        <w:jc w:val="left"/>
        <w:rPr>
          <w:rFonts w:ascii="Arial" w:hAnsi="Arial"/>
          <w:sz w:val="19"/>
        </w:rPr>
      </w:pPr>
      <w:r>
        <w:rPr>
          <w:rFonts w:ascii="Arial" w:hAnsi="Arial"/>
          <w:i/>
          <w:color w:val="231F20"/>
          <w:w w:val="115"/>
          <w:sz w:val="19"/>
        </w:rPr>
        <w:t>Probability</w:t>
      </w:r>
      <w:r>
        <w:rPr>
          <w:rFonts w:ascii="Arial" w:hAnsi="Arial"/>
          <w:i/>
          <w:color w:val="231F20"/>
          <w:spacing w:val="-16"/>
          <w:w w:val="115"/>
          <w:sz w:val="19"/>
        </w:rPr>
        <w:t> </w:t>
      </w:r>
      <w:r>
        <w:rPr>
          <w:rFonts w:ascii="Arial" w:hAnsi="Arial"/>
          <w:i/>
          <w:color w:val="231F20"/>
          <w:w w:val="115"/>
          <w:sz w:val="19"/>
        </w:rPr>
        <w:t>Distributions</w:t>
      </w:r>
      <w:r>
        <w:rPr>
          <w:rFonts w:ascii="Arial" w:hAnsi="Arial"/>
          <w:color w:val="231F20"/>
          <w:w w:val="115"/>
          <w:sz w:val="19"/>
        </w:rPr>
        <w:t>—The</w:t>
      </w:r>
      <w:r>
        <w:rPr>
          <w:rFonts w:ascii="Arial" w:hAnsi="Arial"/>
          <w:color w:val="231F20"/>
          <w:spacing w:val="-15"/>
          <w:w w:val="115"/>
          <w:sz w:val="19"/>
        </w:rPr>
        <w:t> </w:t>
      </w:r>
      <w:r>
        <w:rPr>
          <w:rFonts w:ascii="Arial" w:hAnsi="Arial"/>
          <w:color w:val="231F20"/>
          <w:w w:val="115"/>
          <w:sz w:val="19"/>
        </w:rPr>
        <w:t>graph</w:t>
      </w:r>
      <w:r>
        <w:rPr>
          <w:rFonts w:ascii="Arial" w:hAnsi="Arial"/>
          <w:color w:val="231F20"/>
          <w:spacing w:val="-15"/>
          <w:w w:val="115"/>
          <w:sz w:val="19"/>
        </w:rPr>
        <w:t> </w:t>
      </w:r>
      <w:r>
        <w:rPr>
          <w:rFonts w:ascii="Arial" w:hAnsi="Arial"/>
          <w:color w:val="231F20"/>
          <w:w w:val="115"/>
          <w:sz w:val="19"/>
        </w:rPr>
        <w:t>of</w:t>
      </w:r>
      <w:r>
        <w:rPr>
          <w:rFonts w:ascii="Arial" w:hAnsi="Arial"/>
          <w:color w:val="231F20"/>
          <w:spacing w:val="-15"/>
          <w:w w:val="115"/>
          <w:sz w:val="19"/>
        </w:rPr>
        <w:t> </w:t>
      </w:r>
      <w:r>
        <w:rPr>
          <w:rFonts w:ascii="Arial" w:hAnsi="Arial"/>
          <w:color w:val="231F20"/>
          <w:w w:val="115"/>
          <w:sz w:val="19"/>
        </w:rPr>
        <w:t>all</w:t>
      </w:r>
      <w:r>
        <w:rPr>
          <w:rFonts w:ascii="Arial" w:hAnsi="Arial"/>
          <w:color w:val="231F20"/>
          <w:spacing w:val="-15"/>
          <w:w w:val="115"/>
          <w:sz w:val="19"/>
        </w:rPr>
        <w:t> </w:t>
      </w:r>
      <w:r>
        <w:rPr>
          <w:rFonts w:ascii="Arial" w:hAnsi="Arial"/>
          <w:color w:val="231F20"/>
          <w:w w:val="115"/>
          <w:sz w:val="19"/>
        </w:rPr>
        <w:t>possible</w:t>
      </w:r>
      <w:r>
        <w:rPr>
          <w:rFonts w:ascii="Arial" w:hAnsi="Arial"/>
          <w:color w:val="231F20"/>
          <w:spacing w:val="-16"/>
          <w:w w:val="115"/>
          <w:sz w:val="19"/>
        </w:rPr>
        <w:t> </w:t>
      </w:r>
      <w:r>
        <w:rPr>
          <w:rFonts w:ascii="Arial" w:hAnsi="Arial"/>
          <w:color w:val="231F20"/>
          <w:w w:val="115"/>
          <w:sz w:val="19"/>
        </w:rPr>
        <w:t>outcomes with their respective probabilities of occurring</w:t>
      </w:r>
    </w:p>
    <w:p>
      <w:pPr>
        <w:spacing w:line="328" w:lineRule="auto" w:before="1"/>
        <w:ind w:left="1599" w:right="0" w:hanging="340"/>
        <w:jc w:val="left"/>
        <w:rPr>
          <w:rFonts w:ascii="Arial" w:hAnsi="Arial"/>
          <w:sz w:val="19"/>
        </w:rPr>
      </w:pPr>
      <w:r>
        <w:rPr>
          <w:rFonts w:ascii="Arial" w:hAnsi="Arial"/>
          <w:i/>
          <w:color w:val="231F20"/>
          <w:w w:val="115"/>
          <w:sz w:val="19"/>
        </w:rPr>
        <w:t>Binomial</w:t>
      </w:r>
      <w:r>
        <w:rPr>
          <w:rFonts w:ascii="Arial" w:hAnsi="Arial"/>
          <w:i/>
          <w:color w:val="231F20"/>
          <w:spacing w:val="-1"/>
          <w:w w:val="115"/>
          <w:sz w:val="19"/>
        </w:rPr>
        <w:t> </w:t>
      </w:r>
      <w:r>
        <w:rPr>
          <w:rFonts w:ascii="Arial" w:hAnsi="Arial"/>
          <w:i/>
          <w:color w:val="231F20"/>
          <w:w w:val="115"/>
          <w:sz w:val="19"/>
        </w:rPr>
        <w:t>Distributions</w:t>
      </w:r>
      <w:r>
        <w:rPr>
          <w:rFonts w:ascii="Arial" w:hAnsi="Arial"/>
          <w:color w:val="231F20"/>
          <w:w w:val="115"/>
          <w:sz w:val="19"/>
        </w:rPr>
        <w:t>—</w:t>
      </w:r>
      <w:r>
        <w:rPr>
          <w:rFonts w:ascii="Arial" w:hAnsi="Arial"/>
          <w:color w:val="231F20"/>
          <w:spacing w:val="-41"/>
          <w:w w:val="115"/>
          <w:sz w:val="19"/>
        </w:rPr>
        <w:t> </w:t>
      </w:r>
      <w:r>
        <w:rPr>
          <w:rFonts w:ascii="Arial" w:hAnsi="Arial"/>
          <w:color w:val="231F20"/>
          <w:w w:val="115"/>
          <w:sz w:val="19"/>
        </w:rPr>
        <w:t>Probability</w:t>
      </w:r>
      <w:r>
        <w:rPr>
          <w:rFonts w:ascii="Arial" w:hAnsi="Arial"/>
          <w:color w:val="231F20"/>
          <w:spacing w:val="-1"/>
          <w:w w:val="115"/>
          <w:sz w:val="19"/>
        </w:rPr>
        <w:t> </w:t>
      </w:r>
      <w:r>
        <w:rPr>
          <w:rFonts w:ascii="Arial" w:hAnsi="Arial"/>
          <w:color w:val="231F20"/>
          <w:w w:val="115"/>
          <w:sz w:val="19"/>
        </w:rPr>
        <w:t>distribution</w:t>
      </w:r>
      <w:r>
        <w:rPr>
          <w:rFonts w:ascii="Arial" w:hAnsi="Arial"/>
          <w:color w:val="231F20"/>
          <w:spacing w:val="-1"/>
          <w:w w:val="115"/>
          <w:sz w:val="19"/>
        </w:rPr>
        <w:t> </w:t>
      </w:r>
      <w:r>
        <w:rPr>
          <w:rFonts w:ascii="Arial" w:hAnsi="Arial"/>
          <w:color w:val="231F20"/>
          <w:w w:val="115"/>
          <w:sz w:val="19"/>
        </w:rPr>
        <w:t>with</w:t>
      </w:r>
      <w:r>
        <w:rPr>
          <w:rFonts w:ascii="Arial" w:hAnsi="Arial"/>
          <w:color w:val="231F20"/>
          <w:spacing w:val="-1"/>
          <w:w w:val="115"/>
          <w:sz w:val="19"/>
        </w:rPr>
        <w:t> </w:t>
      </w:r>
      <w:r>
        <w:rPr>
          <w:rFonts w:ascii="Arial" w:hAnsi="Arial"/>
          <w:color w:val="231F20"/>
          <w:w w:val="115"/>
          <w:sz w:val="19"/>
        </w:rPr>
        <w:t>only</w:t>
      </w:r>
      <w:r>
        <w:rPr>
          <w:rFonts w:ascii="Arial" w:hAnsi="Arial"/>
          <w:color w:val="231F20"/>
          <w:spacing w:val="-1"/>
          <w:w w:val="115"/>
          <w:sz w:val="19"/>
        </w:rPr>
        <w:t> </w:t>
      </w:r>
      <w:r>
        <w:rPr>
          <w:rFonts w:ascii="Arial" w:hAnsi="Arial"/>
          <w:color w:val="231F20"/>
          <w:w w:val="115"/>
          <w:sz w:val="19"/>
        </w:rPr>
        <w:t>two possible outcomes</w:t>
      </w:r>
    </w:p>
    <w:p>
      <w:pPr>
        <w:spacing w:line="328" w:lineRule="auto" w:before="1"/>
        <w:ind w:left="1599" w:right="1262" w:hanging="340"/>
        <w:jc w:val="left"/>
        <w:rPr>
          <w:rFonts w:ascii="Arial" w:hAnsi="Arial"/>
          <w:sz w:val="19"/>
        </w:rPr>
      </w:pPr>
      <w:r>
        <w:rPr>
          <w:rFonts w:ascii="Arial" w:hAnsi="Arial"/>
          <w:i/>
          <w:color w:val="231F20"/>
          <w:spacing w:val="-2"/>
          <w:w w:val="115"/>
          <w:sz w:val="19"/>
        </w:rPr>
        <w:t>Normal Distributions</w:t>
      </w:r>
      <w:r>
        <w:rPr>
          <w:rFonts w:ascii="Arial" w:hAnsi="Arial"/>
          <w:color w:val="231F20"/>
          <w:spacing w:val="-2"/>
          <w:w w:val="115"/>
          <w:sz w:val="19"/>
        </w:rPr>
        <w:t>—The bell-shaped </w:t>
      </w:r>
      <w:r>
        <w:rPr>
          <w:rFonts w:ascii="Arial" w:hAnsi="Arial"/>
          <w:color w:val="231F20"/>
          <w:spacing w:val="-2"/>
          <w:w w:val="115"/>
          <w:sz w:val="19"/>
        </w:rPr>
        <w:t>probability </w:t>
      </w:r>
      <w:r>
        <w:rPr>
          <w:rFonts w:ascii="Arial" w:hAnsi="Arial"/>
          <w:color w:val="231F20"/>
          <w:w w:val="115"/>
          <w:sz w:val="19"/>
        </w:rPr>
        <w:t>distribution of all possible outcomes</w:t>
      </w:r>
    </w:p>
    <w:p>
      <w:pPr>
        <w:spacing w:line="328" w:lineRule="auto" w:before="2"/>
        <w:ind w:left="1599" w:right="1299" w:hanging="340"/>
        <w:jc w:val="left"/>
        <w:rPr>
          <w:rFonts w:ascii="Arial" w:hAnsi="Arial"/>
          <w:sz w:val="19"/>
        </w:rPr>
      </w:pPr>
      <w:r>
        <w:rPr/>
        <w:pict>
          <v:shape style="position:absolute;margin-left:178.749634pt;margin-top:4.349939pt;width:5.5pt;height:4.8pt;mso-position-horizontal-relative:page;mso-position-vertical-relative:paragraph;z-index:-25112064" id="docshape339" coordorigin="3575,87" coordsize="110,96" path="m3630,91l3611,91,3599,95,3589,104,3580,112,3575,123,3575,151,3580,161,3589,170,3598,178,3609,182,3639,182,3651,178,3652,177,3617,177,3610,172,3598,156,3594,144,3594,120,3597,111,3602,105,3607,99,3613,96,3684,96,3685,93,3685,92,3660,92,3653,92,3644,91,3636,91,3630,91xm3684,96l3632,96,3640,100,3652,117,3655,129,3655,155,3653,163,3648,168,3643,174,3636,177,3652,177,3660,170,3670,161,3674,151,3674,129,3672,122,3669,117,3665,111,3660,106,3653,102,3679,102,3681,100,3683,98,3684,96xm3679,102l3653,102,3661,103,3666,104,3675,104,3679,102,3679,102xm3685,87l3681,87,3680,89,3679,90,3677,91,3674,92,3670,92,3685,92,3685,87xe" filled="true" fillcolor="#231f20" stroked="false">
            <v:path arrowok="t"/>
            <v:fill type="solid"/>
            <w10:wrap type="none"/>
          </v:shape>
        </w:pict>
      </w:r>
      <w:r>
        <w:rPr>
          <w:rFonts w:ascii="Arial" w:hAnsi="Arial"/>
          <w:i/>
          <w:color w:val="231F20"/>
          <w:w w:val="115"/>
          <w:sz w:val="19"/>
        </w:rPr>
        <w:t>Standard</w:t>
      </w:r>
      <w:r>
        <w:rPr>
          <w:rFonts w:ascii="Arial" w:hAnsi="Arial"/>
          <w:i/>
          <w:color w:val="231F20"/>
          <w:spacing w:val="-16"/>
          <w:w w:val="115"/>
          <w:sz w:val="19"/>
        </w:rPr>
        <w:t> </w:t>
      </w:r>
      <w:r>
        <w:rPr>
          <w:rFonts w:ascii="Arial" w:hAnsi="Arial"/>
          <w:i/>
          <w:color w:val="231F20"/>
          <w:w w:val="115"/>
          <w:sz w:val="19"/>
        </w:rPr>
        <w:t>Deviation</w:t>
      </w:r>
      <w:r>
        <w:rPr>
          <w:rFonts w:ascii="Arial" w:hAnsi="Arial"/>
          <w:i/>
          <w:color w:val="231F20"/>
          <w:spacing w:val="-15"/>
          <w:w w:val="115"/>
          <w:sz w:val="19"/>
        </w:rPr>
        <w:t> </w:t>
      </w:r>
      <w:r>
        <w:rPr>
          <w:rFonts w:ascii="Arial" w:hAnsi="Arial"/>
          <w:color w:val="231F20"/>
          <w:w w:val="115"/>
          <w:sz w:val="19"/>
        </w:rPr>
        <w:t>(</w:t>
      </w:r>
      <w:r>
        <w:rPr>
          <w:rFonts w:ascii="Arial" w:hAnsi="Arial"/>
          <w:color w:val="231F20"/>
          <w:spacing w:val="14"/>
          <w:w w:val="115"/>
          <w:sz w:val="19"/>
        </w:rPr>
        <w:t> </w:t>
      </w:r>
      <w:r>
        <w:rPr>
          <w:rFonts w:ascii="Arial" w:hAnsi="Arial"/>
          <w:color w:val="231F20"/>
          <w:spacing w:val="2"/>
          <w:w w:val="115"/>
          <w:sz w:val="19"/>
        </w:rPr>
        <w:t>)—</w:t>
      </w:r>
      <w:r>
        <w:rPr>
          <w:rFonts w:ascii="Arial" w:hAnsi="Arial"/>
          <w:color w:val="231F20"/>
          <w:w w:val="115"/>
          <w:sz w:val="19"/>
        </w:rPr>
        <w:t>The</w:t>
      </w:r>
      <w:r>
        <w:rPr>
          <w:rFonts w:ascii="Arial" w:hAnsi="Arial"/>
          <w:color w:val="231F20"/>
          <w:spacing w:val="-15"/>
          <w:w w:val="115"/>
          <w:sz w:val="19"/>
        </w:rPr>
        <w:t> </w:t>
      </w:r>
      <w:r>
        <w:rPr>
          <w:rFonts w:ascii="Arial" w:hAnsi="Arial"/>
          <w:color w:val="231F20"/>
          <w:w w:val="115"/>
          <w:sz w:val="19"/>
        </w:rPr>
        <w:t>measure</w:t>
      </w:r>
      <w:r>
        <w:rPr>
          <w:rFonts w:ascii="Arial" w:hAnsi="Arial"/>
          <w:color w:val="231F20"/>
          <w:spacing w:val="-15"/>
          <w:w w:val="115"/>
          <w:sz w:val="19"/>
        </w:rPr>
        <w:t> </w:t>
      </w:r>
      <w:r>
        <w:rPr>
          <w:rFonts w:ascii="Arial" w:hAnsi="Arial"/>
          <w:color w:val="231F20"/>
          <w:w w:val="115"/>
          <w:sz w:val="19"/>
        </w:rPr>
        <w:t>of</w:t>
      </w:r>
      <w:r>
        <w:rPr>
          <w:rFonts w:ascii="Arial" w:hAnsi="Arial"/>
          <w:color w:val="231F20"/>
          <w:spacing w:val="-15"/>
          <w:w w:val="115"/>
          <w:sz w:val="19"/>
        </w:rPr>
        <w:t> </w:t>
      </w:r>
      <w:r>
        <w:rPr>
          <w:rFonts w:ascii="Arial" w:hAnsi="Arial"/>
          <w:color w:val="231F20"/>
          <w:w w:val="115"/>
          <w:sz w:val="19"/>
        </w:rPr>
        <w:t>the</w:t>
      </w:r>
      <w:r>
        <w:rPr>
          <w:rFonts w:ascii="Arial" w:hAnsi="Arial"/>
          <w:color w:val="231F20"/>
          <w:spacing w:val="-16"/>
          <w:w w:val="115"/>
          <w:sz w:val="19"/>
        </w:rPr>
        <w:t> </w:t>
      </w:r>
      <w:r>
        <w:rPr>
          <w:rFonts w:ascii="Arial" w:hAnsi="Arial"/>
          <w:color w:val="231F20"/>
          <w:w w:val="115"/>
          <w:sz w:val="19"/>
        </w:rPr>
        <w:t>dispersion (width) of the normal distribution</w:t>
      </w:r>
    </w:p>
    <w:p>
      <w:pPr>
        <w:spacing w:before="1"/>
        <w:ind w:left="1259" w:right="0" w:firstLine="0"/>
        <w:jc w:val="left"/>
        <w:rPr>
          <w:rFonts w:ascii="Arial" w:hAnsi="Arial"/>
          <w:sz w:val="19"/>
        </w:rPr>
      </w:pPr>
      <w:r>
        <w:rPr/>
        <w:pict>
          <v:shape style="position:absolute;margin-left:113.321671pt;margin-top:4.628041pt;width:4.7pt;height:6.35pt;mso-position-horizontal-relative:page;mso-position-vertical-relative:paragraph;z-index:-25111552" id="docshape340" coordorigin="2266,93" coordsize="94,127" path="m2340,93l2322,93,2322,118,2322,129,2304,173,2292,173,2289,171,2285,165,2284,159,2284,93,2267,93,2267,150,2267,183,2266,206,2266,211,2267,214,2270,219,2272,220,2277,220,2279,219,2281,217,2282,216,2283,214,2283,210,2281,204,2273,184,2270,175,2270,162,2271,161,2272,168,2275,172,2282,179,2287,181,2300,181,2306,178,2316,168,2320,159,2323,148,2323,159,2325,167,2331,178,2336,181,2348,181,2353,179,2355,175,2358,171,2360,166,2360,155,2360,154,2356,154,2356,162,2355,166,2352,171,2350,173,2345,173,2343,171,2341,166,2340,162,2340,93xe" filled="true" fillcolor="#231f20" stroked="false">
            <v:path arrowok="t"/>
            <v:fill type="solid"/>
            <w10:wrap type="none"/>
          </v:shape>
        </w:pict>
      </w:r>
      <w:r>
        <w:rPr>
          <w:rFonts w:ascii="Arial" w:hAnsi="Arial"/>
          <w:i/>
          <w:color w:val="231F20"/>
          <w:w w:val="110"/>
          <w:sz w:val="19"/>
        </w:rPr>
        <w:t>Mean</w:t>
      </w:r>
      <w:r>
        <w:rPr>
          <w:rFonts w:ascii="Arial" w:hAnsi="Arial"/>
          <w:i/>
          <w:color w:val="231F20"/>
          <w:spacing w:val="1"/>
          <w:w w:val="110"/>
          <w:sz w:val="19"/>
        </w:rPr>
        <w:t> </w:t>
      </w:r>
      <w:r>
        <w:rPr>
          <w:rFonts w:ascii="Arial" w:hAnsi="Arial"/>
          <w:color w:val="231F20"/>
          <w:w w:val="110"/>
          <w:sz w:val="19"/>
        </w:rPr>
        <w:t>(</w:t>
      </w:r>
      <w:r>
        <w:rPr>
          <w:rFonts w:ascii="Arial" w:hAnsi="Arial"/>
          <w:color w:val="231F20"/>
          <w:spacing w:val="57"/>
          <w:w w:val="110"/>
          <w:sz w:val="19"/>
        </w:rPr>
        <w:t> </w:t>
      </w:r>
      <w:r>
        <w:rPr>
          <w:rFonts w:ascii="Arial" w:hAnsi="Arial"/>
          <w:color w:val="231F20"/>
          <w:spacing w:val="10"/>
          <w:w w:val="110"/>
          <w:sz w:val="19"/>
        </w:rPr>
        <w:t>)—</w:t>
      </w:r>
      <w:r>
        <w:rPr>
          <w:rFonts w:ascii="Arial" w:hAnsi="Arial"/>
          <w:color w:val="231F20"/>
          <w:w w:val="110"/>
          <w:sz w:val="19"/>
        </w:rPr>
        <w:t>The</w:t>
      </w:r>
      <w:r>
        <w:rPr>
          <w:rFonts w:ascii="Arial" w:hAnsi="Arial"/>
          <w:color w:val="231F20"/>
          <w:spacing w:val="3"/>
          <w:w w:val="110"/>
          <w:sz w:val="19"/>
        </w:rPr>
        <w:t> </w:t>
      </w:r>
      <w:r>
        <w:rPr>
          <w:rFonts w:ascii="Arial" w:hAnsi="Arial"/>
          <w:color w:val="231F20"/>
          <w:w w:val="110"/>
          <w:sz w:val="19"/>
        </w:rPr>
        <w:t>arithmetic</w:t>
      </w:r>
      <w:r>
        <w:rPr>
          <w:rFonts w:ascii="Arial" w:hAnsi="Arial"/>
          <w:color w:val="231F20"/>
          <w:spacing w:val="2"/>
          <w:w w:val="110"/>
          <w:sz w:val="19"/>
        </w:rPr>
        <w:t> </w:t>
      </w:r>
      <w:r>
        <w:rPr>
          <w:rFonts w:ascii="Arial" w:hAnsi="Arial"/>
          <w:color w:val="231F20"/>
          <w:w w:val="110"/>
          <w:sz w:val="19"/>
        </w:rPr>
        <w:t>average</w:t>
      </w:r>
      <w:r>
        <w:rPr>
          <w:rFonts w:ascii="Arial" w:hAnsi="Arial"/>
          <w:color w:val="231F20"/>
          <w:spacing w:val="3"/>
          <w:w w:val="110"/>
          <w:sz w:val="19"/>
        </w:rPr>
        <w:t> </w:t>
      </w:r>
      <w:r>
        <w:rPr>
          <w:rFonts w:ascii="Arial" w:hAnsi="Arial"/>
          <w:color w:val="231F20"/>
          <w:w w:val="110"/>
          <w:sz w:val="19"/>
        </w:rPr>
        <w:t>of</w:t>
      </w:r>
      <w:r>
        <w:rPr>
          <w:rFonts w:ascii="Arial" w:hAnsi="Arial"/>
          <w:color w:val="231F20"/>
          <w:spacing w:val="2"/>
          <w:w w:val="110"/>
          <w:sz w:val="19"/>
        </w:rPr>
        <w:t> </w:t>
      </w:r>
      <w:r>
        <w:rPr>
          <w:rFonts w:ascii="Arial" w:hAnsi="Arial"/>
          <w:color w:val="231F20"/>
          <w:w w:val="110"/>
          <w:sz w:val="19"/>
        </w:rPr>
        <w:t>all</w:t>
      </w:r>
      <w:r>
        <w:rPr>
          <w:rFonts w:ascii="Arial" w:hAnsi="Arial"/>
          <w:color w:val="231F20"/>
          <w:spacing w:val="3"/>
          <w:w w:val="110"/>
          <w:sz w:val="19"/>
        </w:rPr>
        <w:t> </w:t>
      </w:r>
      <w:r>
        <w:rPr>
          <w:rFonts w:ascii="Arial" w:hAnsi="Arial"/>
          <w:color w:val="231F20"/>
          <w:spacing w:val="-2"/>
          <w:w w:val="110"/>
          <w:sz w:val="19"/>
        </w:rPr>
        <w:t>outcomes</w:t>
      </w:r>
    </w:p>
    <w:p>
      <w:pPr>
        <w:spacing w:line="328" w:lineRule="auto" w:before="82"/>
        <w:ind w:left="1599" w:right="688" w:hanging="340"/>
        <w:jc w:val="left"/>
        <w:rPr>
          <w:rFonts w:ascii="Arial" w:hAnsi="Arial"/>
          <w:sz w:val="19"/>
        </w:rPr>
      </w:pPr>
      <w:r>
        <w:rPr>
          <w:rFonts w:ascii="Arial" w:hAnsi="Arial"/>
          <w:i/>
          <w:color w:val="231F20"/>
          <w:w w:val="115"/>
          <w:sz w:val="19"/>
        </w:rPr>
        <w:t>Z</w:t>
      </w:r>
      <w:r>
        <w:rPr>
          <w:rFonts w:ascii="Arial" w:hAnsi="Arial"/>
          <w:i/>
          <w:color w:val="231F20"/>
          <w:spacing w:val="-16"/>
          <w:w w:val="115"/>
          <w:sz w:val="19"/>
        </w:rPr>
        <w:t> </w:t>
      </w:r>
      <w:r>
        <w:rPr>
          <w:rFonts w:ascii="Arial" w:hAnsi="Arial"/>
          <w:i/>
          <w:color w:val="231F20"/>
          <w:w w:val="115"/>
          <w:sz w:val="19"/>
        </w:rPr>
        <w:t>Value</w:t>
      </w:r>
      <w:r>
        <w:rPr>
          <w:rFonts w:ascii="Arial" w:hAnsi="Arial"/>
          <w:i/>
          <w:color w:val="231F20"/>
          <w:spacing w:val="-42"/>
          <w:w w:val="115"/>
          <w:sz w:val="19"/>
        </w:rPr>
        <w:t> </w:t>
      </w:r>
      <w:r>
        <w:rPr>
          <w:rFonts w:ascii="Arial" w:hAnsi="Arial"/>
          <w:color w:val="231F20"/>
          <w:spacing w:val="9"/>
          <w:w w:val="115"/>
          <w:sz w:val="19"/>
        </w:rPr>
        <w:t>—</w:t>
      </w:r>
      <w:r>
        <w:rPr>
          <w:rFonts w:ascii="Arial" w:hAnsi="Arial"/>
          <w:color w:val="231F20"/>
          <w:w w:val="115"/>
          <w:sz w:val="19"/>
        </w:rPr>
        <w:t>A</w:t>
      </w:r>
      <w:r>
        <w:rPr>
          <w:rFonts w:ascii="Arial" w:hAnsi="Arial"/>
          <w:color w:val="231F20"/>
          <w:spacing w:val="-15"/>
          <w:w w:val="115"/>
          <w:sz w:val="19"/>
        </w:rPr>
        <w:t> </w:t>
      </w:r>
      <w:r>
        <w:rPr>
          <w:rFonts w:ascii="Arial" w:hAnsi="Arial"/>
          <w:color w:val="231F20"/>
          <w:w w:val="115"/>
          <w:sz w:val="19"/>
        </w:rPr>
        <w:t>tool</w:t>
      </w:r>
      <w:r>
        <w:rPr>
          <w:rFonts w:ascii="Arial" w:hAnsi="Arial"/>
          <w:color w:val="231F20"/>
          <w:spacing w:val="-15"/>
          <w:w w:val="115"/>
          <w:sz w:val="19"/>
        </w:rPr>
        <w:t> </w:t>
      </w:r>
      <w:r>
        <w:rPr>
          <w:rFonts w:ascii="Arial" w:hAnsi="Arial"/>
          <w:color w:val="231F20"/>
          <w:w w:val="115"/>
          <w:sz w:val="19"/>
        </w:rPr>
        <w:t>to</w:t>
      </w:r>
      <w:r>
        <w:rPr>
          <w:rFonts w:ascii="Arial" w:hAnsi="Arial"/>
          <w:color w:val="231F20"/>
          <w:spacing w:val="-15"/>
          <w:w w:val="115"/>
          <w:sz w:val="19"/>
        </w:rPr>
        <w:t> </w:t>
      </w:r>
      <w:r>
        <w:rPr>
          <w:rFonts w:ascii="Arial" w:hAnsi="Arial"/>
          <w:color w:val="231F20"/>
          <w:w w:val="115"/>
          <w:sz w:val="19"/>
        </w:rPr>
        <w:t>measure</w:t>
      </w:r>
      <w:r>
        <w:rPr>
          <w:rFonts w:ascii="Arial" w:hAnsi="Arial"/>
          <w:color w:val="231F20"/>
          <w:spacing w:val="-15"/>
          <w:w w:val="115"/>
          <w:sz w:val="19"/>
        </w:rPr>
        <w:t> </w:t>
      </w:r>
      <w:r>
        <w:rPr>
          <w:rFonts w:ascii="Arial" w:hAnsi="Arial"/>
          <w:color w:val="231F20"/>
          <w:w w:val="115"/>
          <w:sz w:val="19"/>
        </w:rPr>
        <w:t>probabilities</w:t>
      </w:r>
      <w:r>
        <w:rPr>
          <w:rFonts w:ascii="Arial" w:hAnsi="Arial"/>
          <w:color w:val="231F20"/>
          <w:spacing w:val="-15"/>
          <w:w w:val="115"/>
          <w:sz w:val="19"/>
        </w:rPr>
        <w:t> </w:t>
      </w:r>
      <w:r>
        <w:rPr>
          <w:rFonts w:ascii="Arial" w:hAnsi="Arial"/>
          <w:color w:val="231F20"/>
          <w:w w:val="115"/>
          <w:sz w:val="19"/>
        </w:rPr>
        <w:t>of</w:t>
      </w:r>
      <w:r>
        <w:rPr>
          <w:rFonts w:ascii="Arial" w:hAnsi="Arial"/>
          <w:color w:val="231F20"/>
          <w:spacing w:val="-16"/>
          <w:w w:val="115"/>
          <w:sz w:val="19"/>
        </w:rPr>
        <w:t> </w:t>
      </w:r>
      <w:r>
        <w:rPr>
          <w:rFonts w:ascii="Arial" w:hAnsi="Arial"/>
          <w:color w:val="231F20"/>
          <w:w w:val="115"/>
          <w:sz w:val="19"/>
        </w:rPr>
        <w:t>specific</w:t>
      </w:r>
      <w:r>
        <w:rPr>
          <w:rFonts w:ascii="Arial" w:hAnsi="Arial"/>
          <w:color w:val="231F20"/>
          <w:spacing w:val="-15"/>
          <w:w w:val="115"/>
          <w:sz w:val="19"/>
        </w:rPr>
        <w:t> </w:t>
      </w:r>
      <w:r>
        <w:rPr>
          <w:rFonts w:ascii="Arial" w:hAnsi="Arial"/>
          <w:color w:val="231F20"/>
          <w:w w:val="115"/>
          <w:sz w:val="19"/>
        </w:rPr>
        <w:t>situations on the normal distribution curve</w:t>
      </w:r>
    </w:p>
    <w:p>
      <w:pPr>
        <w:spacing w:line="328" w:lineRule="auto" w:before="1"/>
        <w:ind w:left="1599" w:right="728" w:hanging="340"/>
        <w:jc w:val="left"/>
        <w:rPr>
          <w:rFonts w:ascii="Arial" w:hAnsi="Arial"/>
          <w:sz w:val="19"/>
        </w:rPr>
      </w:pPr>
      <w:r>
        <w:rPr>
          <w:rFonts w:ascii="Arial" w:hAnsi="Arial"/>
          <w:i/>
          <w:color w:val="231F20"/>
          <w:w w:val="115"/>
          <w:sz w:val="19"/>
        </w:rPr>
        <w:t>Cumulative Distribution Function (CDF)</w:t>
      </w:r>
      <w:r>
        <w:rPr>
          <w:rFonts w:ascii="Arial" w:hAnsi="Arial"/>
          <w:i/>
          <w:color w:val="231F20"/>
          <w:spacing w:val="-37"/>
          <w:w w:val="115"/>
          <w:sz w:val="19"/>
        </w:rPr>
        <w:t> </w:t>
      </w:r>
      <w:r>
        <w:rPr>
          <w:rFonts w:ascii="Arial" w:hAnsi="Arial"/>
          <w:color w:val="231F20"/>
          <w:spacing w:val="11"/>
          <w:w w:val="115"/>
          <w:sz w:val="19"/>
        </w:rPr>
        <w:t>—</w:t>
      </w:r>
      <w:r>
        <w:rPr>
          <w:rFonts w:ascii="Arial" w:hAnsi="Arial"/>
          <w:color w:val="231F20"/>
          <w:w w:val="115"/>
          <w:sz w:val="19"/>
        </w:rPr>
        <w:t>A form of the normal</w:t>
      </w:r>
      <w:r>
        <w:rPr>
          <w:rFonts w:ascii="Arial" w:hAnsi="Arial"/>
          <w:color w:val="231F20"/>
          <w:spacing w:val="-1"/>
          <w:w w:val="115"/>
          <w:sz w:val="19"/>
        </w:rPr>
        <w:t> </w:t>
      </w:r>
      <w:r>
        <w:rPr>
          <w:rFonts w:ascii="Arial" w:hAnsi="Arial"/>
          <w:color w:val="231F20"/>
          <w:w w:val="115"/>
          <w:sz w:val="19"/>
        </w:rPr>
        <w:t>distribution</w:t>
      </w:r>
      <w:r>
        <w:rPr>
          <w:rFonts w:ascii="Arial" w:hAnsi="Arial"/>
          <w:color w:val="231F20"/>
          <w:spacing w:val="-1"/>
          <w:w w:val="115"/>
          <w:sz w:val="19"/>
        </w:rPr>
        <w:t> </w:t>
      </w:r>
      <w:r>
        <w:rPr>
          <w:rFonts w:ascii="Arial" w:hAnsi="Arial"/>
          <w:color w:val="231F20"/>
          <w:w w:val="115"/>
          <w:sz w:val="19"/>
        </w:rPr>
        <w:t>that</w:t>
      </w:r>
      <w:r>
        <w:rPr>
          <w:rFonts w:ascii="Arial" w:hAnsi="Arial"/>
          <w:color w:val="231F20"/>
          <w:spacing w:val="-1"/>
          <w:w w:val="115"/>
          <w:sz w:val="19"/>
        </w:rPr>
        <w:t> </w:t>
      </w:r>
      <w:r>
        <w:rPr>
          <w:rFonts w:ascii="Arial" w:hAnsi="Arial"/>
          <w:color w:val="231F20"/>
          <w:w w:val="115"/>
          <w:sz w:val="19"/>
        </w:rPr>
        <w:t>shows</w:t>
      </w:r>
      <w:r>
        <w:rPr>
          <w:rFonts w:ascii="Arial" w:hAnsi="Arial"/>
          <w:color w:val="231F20"/>
          <w:spacing w:val="-1"/>
          <w:w w:val="115"/>
          <w:sz w:val="19"/>
        </w:rPr>
        <w:t> </w:t>
      </w:r>
      <w:r>
        <w:rPr>
          <w:rFonts w:ascii="Arial" w:hAnsi="Arial"/>
          <w:color w:val="231F20"/>
          <w:w w:val="115"/>
          <w:sz w:val="19"/>
        </w:rPr>
        <w:t>the</w:t>
      </w:r>
      <w:r>
        <w:rPr>
          <w:rFonts w:ascii="Arial" w:hAnsi="Arial"/>
          <w:color w:val="231F20"/>
          <w:spacing w:val="-1"/>
          <w:w w:val="115"/>
          <w:sz w:val="19"/>
        </w:rPr>
        <w:t> </w:t>
      </w:r>
      <w:r>
        <w:rPr>
          <w:rFonts w:ascii="Arial" w:hAnsi="Arial"/>
          <w:color w:val="231F20"/>
          <w:w w:val="115"/>
          <w:sz w:val="19"/>
        </w:rPr>
        <w:t>probability</w:t>
      </w:r>
      <w:r>
        <w:rPr>
          <w:rFonts w:ascii="Arial" w:hAnsi="Arial"/>
          <w:color w:val="231F20"/>
          <w:spacing w:val="-1"/>
          <w:w w:val="115"/>
          <w:sz w:val="19"/>
        </w:rPr>
        <w:t> </w:t>
      </w:r>
      <w:r>
        <w:rPr>
          <w:rFonts w:ascii="Arial" w:hAnsi="Arial"/>
          <w:color w:val="231F20"/>
          <w:w w:val="115"/>
          <w:sz w:val="19"/>
        </w:rPr>
        <w:t>of</w:t>
      </w:r>
      <w:r>
        <w:rPr>
          <w:rFonts w:ascii="Arial" w:hAnsi="Arial"/>
          <w:color w:val="231F20"/>
          <w:spacing w:val="-1"/>
          <w:w w:val="115"/>
          <w:sz w:val="19"/>
        </w:rPr>
        <w:t> </w:t>
      </w:r>
      <w:r>
        <w:rPr>
          <w:rFonts w:ascii="Arial" w:hAnsi="Arial"/>
          <w:color w:val="231F20"/>
          <w:w w:val="115"/>
          <w:sz w:val="19"/>
        </w:rPr>
        <w:t>being less than or equal to all possible outcomes</w:t>
      </w:r>
    </w:p>
    <w:p>
      <w:pPr>
        <w:spacing w:line="328" w:lineRule="auto" w:before="2"/>
        <w:ind w:left="1599" w:right="1045" w:hanging="340"/>
        <w:jc w:val="left"/>
        <w:rPr>
          <w:rFonts w:ascii="Arial" w:hAnsi="Arial"/>
          <w:sz w:val="19"/>
        </w:rPr>
      </w:pPr>
      <w:r>
        <w:rPr>
          <w:rFonts w:ascii="Arial" w:hAnsi="Arial"/>
          <w:i/>
          <w:color w:val="231F20"/>
          <w:spacing w:val="-1"/>
          <w:w w:val="115"/>
          <w:sz w:val="19"/>
        </w:rPr>
        <w:t>Regression</w:t>
      </w:r>
      <w:r>
        <w:rPr>
          <w:rFonts w:ascii="Arial" w:hAnsi="Arial"/>
          <w:i/>
          <w:color w:val="231F20"/>
          <w:spacing w:val="-42"/>
          <w:w w:val="115"/>
          <w:sz w:val="19"/>
        </w:rPr>
        <w:t> </w:t>
      </w:r>
      <w:r>
        <w:rPr>
          <w:rFonts w:ascii="Arial" w:hAnsi="Arial"/>
          <w:color w:val="231F20"/>
          <w:spacing w:val="-1"/>
          <w:w w:val="115"/>
          <w:sz w:val="19"/>
        </w:rPr>
        <w:t>—A</w:t>
      </w:r>
      <w:r>
        <w:rPr>
          <w:rFonts w:ascii="Arial" w:hAnsi="Arial"/>
          <w:color w:val="231F20"/>
          <w:spacing w:val="-15"/>
          <w:w w:val="115"/>
          <w:sz w:val="19"/>
        </w:rPr>
        <w:t> </w:t>
      </w:r>
      <w:r>
        <w:rPr>
          <w:rFonts w:ascii="Arial" w:hAnsi="Arial"/>
          <w:color w:val="231F20"/>
          <w:spacing w:val="-1"/>
          <w:w w:val="115"/>
          <w:sz w:val="19"/>
        </w:rPr>
        <w:t>mathematical</w:t>
      </w:r>
      <w:r>
        <w:rPr>
          <w:rFonts w:ascii="Arial" w:hAnsi="Arial"/>
          <w:color w:val="231F20"/>
          <w:spacing w:val="-14"/>
          <w:w w:val="115"/>
          <w:sz w:val="19"/>
        </w:rPr>
        <w:t> </w:t>
      </w:r>
      <w:r>
        <w:rPr>
          <w:rFonts w:ascii="Arial" w:hAnsi="Arial"/>
          <w:color w:val="231F20"/>
          <w:spacing w:val="-1"/>
          <w:w w:val="115"/>
          <w:sz w:val="19"/>
        </w:rPr>
        <w:t>method</w:t>
      </w:r>
      <w:r>
        <w:rPr>
          <w:rFonts w:ascii="Arial" w:hAnsi="Arial"/>
          <w:color w:val="231F20"/>
          <w:spacing w:val="-14"/>
          <w:w w:val="115"/>
          <w:sz w:val="19"/>
        </w:rPr>
        <w:t> </w:t>
      </w:r>
      <w:r>
        <w:rPr>
          <w:rFonts w:ascii="Arial" w:hAnsi="Arial"/>
          <w:color w:val="231F20"/>
          <w:spacing w:val="-1"/>
          <w:w w:val="115"/>
          <w:sz w:val="19"/>
        </w:rPr>
        <w:t>of</w:t>
      </w:r>
      <w:r>
        <w:rPr>
          <w:rFonts w:ascii="Arial" w:hAnsi="Arial"/>
          <w:color w:val="231F20"/>
          <w:spacing w:val="-14"/>
          <w:w w:val="115"/>
          <w:sz w:val="19"/>
        </w:rPr>
        <w:t> </w:t>
      </w:r>
      <w:r>
        <w:rPr>
          <w:rFonts w:ascii="Arial" w:hAnsi="Arial"/>
          <w:color w:val="231F20"/>
          <w:spacing w:val="-1"/>
          <w:w w:val="115"/>
          <w:sz w:val="19"/>
        </w:rPr>
        <w:t>forecasting</w:t>
      </w:r>
      <w:r>
        <w:rPr>
          <w:rFonts w:ascii="Arial" w:hAnsi="Arial"/>
          <w:color w:val="231F20"/>
          <w:spacing w:val="-14"/>
          <w:w w:val="115"/>
          <w:sz w:val="19"/>
        </w:rPr>
        <w:t> </w:t>
      </w:r>
      <w:r>
        <w:rPr>
          <w:rFonts w:ascii="Arial" w:hAnsi="Arial"/>
          <w:color w:val="231F20"/>
          <w:spacing w:val="-1"/>
          <w:w w:val="115"/>
          <w:sz w:val="19"/>
        </w:rPr>
        <w:t>using </w:t>
      </w:r>
      <w:r>
        <w:rPr>
          <w:rFonts w:ascii="Arial" w:hAnsi="Arial"/>
          <w:color w:val="231F20"/>
          <w:w w:val="115"/>
          <w:sz w:val="19"/>
        </w:rPr>
        <w:t>line equations to explain the relationships between multiple variables</w:t>
      </w:r>
    </w:p>
    <w:p>
      <w:pPr>
        <w:spacing w:after="0" w:line="328" w:lineRule="auto"/>
        <w:jc w:val="left"/>
        <w:rPr>
          <w:rFonts w:ascii="Arial" w:hAnsi="Arial"/>
          <w:sz w:val="19"/>
        </w:rPr>
        <w:sectPr>
          <w:pgSz w:w="8640" w:h="12960"/>
          <w:pgMar w:header="734" w:footer="0" w:top="920" w:bottom="280" w:left="340" w:right="50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9"/>
        </w:rPr>
      </w:pPr>
    </w:p>
    <w:p>
      <w:pPr>
        <w:spacing w:before="86"/>
        <w:ind w:left="289" w:right="219" w:firstLine="0"/>
        <w:jc w:val="center"/>
        <w:rPr>
          <w:b/>
          <w:i/>
          <w:sz w:val="40"/>
        </w:rPr>
      </w:pPr>
      <w:bookmarkStart w:name="Day 6" w:id="19"/>
      <w:bookmarkEnd w:id="19"/>
      <w:r>
        <w:rPr/>
      </w:r>
      <w:bookmarkStart w:name="_bookmark9" w:id="20"/>
      <w:bookmarkEnd w:id="20"/>
      <w:r>
        <w:rPr/>
      </w:r>
      <w:hyperlink w:history="true" w:anchor="_bookmark1">
        <w:r>
          <w:rPr>
            <w:b/>
            <w:i/>
            <w:color w:val="0000FF"/>
            <w:spacing w:val="12"/>
            <w:sz w:val="40"/>
          </w:rPr>
          <w:t>Day</w:t>
        </w:r>
        <w:r>
          <w:rPr>
            <w:b/>
            <w:i/>
            <w:color w:val="0000FF"/>
            <w:spacing w:val="68"/>
            <w:sz w:val="40"/>
          </w:rPr>
          <w:t> </w:t>
        </w:r>
        <w:r>
          <w:rPr>
            <w:b/>
            <w:i/>
            <w:color w:val="0000FF"/>
            <w:spacing w:val="-10"/>
            <w:sz w:val="40"/>
          </w:rPr>
          <w:t>6</w:t>
        </w:r>
      </w:hyperlink>
    </w:p>
    <w:p>
      <w:pPr>
        <w:pStyle w:val="BodyText"/>
        <w:spacing w:before="10"/>
        <w:rPr>
          <w:b/>
          <w:i/>
          <w:sz w:val="10"/>
        </w:rPr>
      </w:pPr>
      <w:r>
        <w:rPr/>
        <w:pict>
          <v:shape style="position:absolute;margin-left:175.75pt;margin-top:7.583056pt;width:76pt;height:.1pt;mso-position-horizontal-relative:page;mso-position-vertical-relative:paragraph;z-index:-15610368;mso-wrap-distance-left:0;mso-wrap-distance-right:0" id="docshape341" coordorigin="3515,152" coordsize="1520,0" path="m3515,152l5035,152e" filled="false" stroked="true" strokeweight="6pt" strokecolor="#d1d3d4">
            <v:path arrowok="t"/>
            <v:stroke dashstyle="solid"/>
            <w10:wrap type="topAndBottom"/>
          </v:shape>
        </w:pict>
      </w:r>
    </w:p>
    <w:p>
      <w:pPr>
        <w:pStyle w:val="Heading1"/>
      </w:pPr>
      <w:r>
        <w:rPr>
          <w:color w:val="231F20"/>
          <w:spacing w:val="39"/>
          <w:w w:val="90"/>
        </w:rPr>
        <w:t>FINANCE</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Heading5"/>
        <w:spacing w:before="215"/>
        <w:rPr>
          <w:i/>
        </w:rPr>
      </w:pPr>
      <w:r>
        <w:rPr>
          <w:i/>
          <w:color w:val="231F20"/>
          <w:spacing w:val="9"/>
          <w:w w:val="90"/>
        </w:rPr>
        <w:t>Finance</w:t>
      </w:r>
      <w:r>
        <w:rPr>
          <w:i/>
          <w:color w:val="231F20"/>
          <w:spacing w:val="45"/>
        </w:rPr>
        <w:t> </w:t>
      </w:r>
      <w:r>
        <w:rPr>
          <w:i/>
          <w:color w:val="231F20"/>
          <w:spacing w:val="-2"/>
        </w:rPr>
        <w:t>Topics</w:t>
      </w:r>
    </w:p>
    <w:p>
      <w:pPr>
        <w:spacing w:line="328" w:lineRule="auto" w:before="71"/>
        <w:ind w:left="1170" w:right="4535" w:firstLine="0"/>
        <w:jc w:val="left"/>
        <w:rPr>
          <w:rFonts w:ascii="Arial"/>
          <w:sz w:val="19"/>
        </w:rPr>
      </w:pPr>
      <w:r>
        <w:rPr>
          <w:rFonts w:ascii="Arial"/>
          <w:color w:val="808285"/>
          <w:spacing w:val="-2"/>
          <w:w w:val="115"/>
          <w:sz w:val="19"/>
        </w:rPr>
        <w:t>Business</w:t>
      </w:r>
      <w:r>
        <w:rPr>
          <w:rFonts w:ascii="Arial"/>
          <w:color w:val="808285"/>
          <w:spacing w:val="-14"/>
          <w:w w:val="115"/>
          <w:sz w:val="19"/>
        </w:rPr>
        <w:t> </w:t>
      </w:r>
      <w:r>
        <w:rPr>
          <w:rFonts w:ascii="Arial"/>
          <w:color w:val="808285"/>
          <w:spacing w:val="-2"/>
          <w:w w:val="115"/>
          <w:sz w:val="19"/>
        </w:rPr>
        <w:t>Structures </w:t>
      </w:r>
      <w:r>
        <w:rPr>
          <w:rFonts w:ascii="Arial"/>
          <w:color w:val="808285"/>
          <w:w w:val="115"/>
          <w:sz w:val="19"/>
        </w:rPr>
        <w:t>Beta Risk</w:t>
      </w:r>
    </w:p>
    <w:p>
      <w:pPr>
        <w:spacing w:line="328" w:lineRule="auto" w:before="1"/>
        <w:ind w:left="1170" w:right="3853" w:firstLine="0"/>
        <w:jc w:val="left"/>
        <w:rPr>
          <w:rFonts w:ascii="Arial"/>
          <w:sz w:val="19"/>
        </w:rPr>
      </w:pPr>
      <w:r>
        <w:rPr>
          <w:rFonts w:ascii="Arial"/>
          <w:color w:val="808285"/>
          <w:w w:val="120"/>
          <w:sz w:val="19"/>
        </w:rPr>
        <w:t>The Efficient Frontier </w:t>
      </w:r>
      <w:r>
        <w:rPr>
          <w:rFonts w:ascii="Arial"/>
          <w:color w:val="808285"/>
          <w:w w:val="115"/>
          <w:sz w:val="19"/>
        </w:rPr>
        <w:t>Capital</w:t>
      </w:r>
      <w:r>
        <w:rPr>
          <w:rFonts w:ascii="Arial"/>
          <w:color w:val="808285"/>
          <w:spacing w:val="-3"/>
          <w:w w:val="115"/>
          <w:sz w:val="19"/>
        </w:rPr>
        <w:t> </w:t>
      </w:r>
      <w:r>
        <w:rPr>
          <w:rFonts w:ascii="Arial"/>
          <w:color w:val="808285"/>
          <w:w w:val="115"/>
          <w:sz w:val="19"/>
        </w:rPr>
        <w:t>Asset</w:t>
      </w:r>
      <w:r>
        <w:rPr>
          <w:rFonts w:ascii="Arial"/>
          <w:color w:val="808285"/>
          <w:spacing w:val="-3"/>
          <w:w w:val="115"/>
          <w:sz w:val="19"/>
        </w:rPr>
        <w:t> </w:t>
      </w:r>
      <w:r>
        <w:rPr>
          <w:rFonts w:ascii="Arial"/>
          <w:color w:val="808285"/>
          <w:w w:val="115"/>
          <w:sz w:val="19"/>
        </w:rPr>
        <w:t>Pricing</w:t>
      </w:r>
      <w:r>
        <w:rPr>
          <w:rFonts w:ascii="Arial"/>
          <w:color w:val="808285"/>
          <w:spacing w:val="-3"/>
          <w:w w:val="115"/>
          <w:sz w:val="19"/>
        </w:rPr>
        <w:t> </w:t>
      </w:r>
      <w:r>
        <w:rPr>
          <w:rFonts w:ascii="Arial"/>
          <w:color w:val="808285"/>
          <w:w w:val="115"/>
          <w:sz w:val="19"/>
        </w:rPr>
        <w:t>Model</w:t>
      </w:r>
    </w:p>
    <w:p>
      <w:pPr>
        <w:spacing w:line="328" w:lineRule="auto" w:before="2"/>
        <w:ind w:left="1170" w:right="3504" w:firstLine="0"/>
        <w:jc w:val="left"/>
        <w:rPr>
          <w:rFonts w:ascii="Arial"/>
          <w:sz w:val="19"/>
        </w:rPr>
      </w:pPr>
      <w:r>
        <w:rPr>
          <w:rFonts w:ascii="Arial"/>
          <w:color w:val="808285"/>
          <w:w w:val="115"/>
          <w:sz w:val="19"/>
        </w:rPr>
        <w:t>The</w:t>
      </w:r>
      <w:r>
        <w:rPr>
          <w:rFonts w:ascii="Arial"/>
          <w:color w:val="808285"/>
          <w:spacing w:val="-1"/>
          <w:w w:val="115"/>
          <w:sz w:val="19"/>
        </w:rPr>
        <w:t> </w:t>
      </w:r>
      <w:r>
        <w:rPr>
          <w:rFonts w:ascii="Arial"/>
          <w:color w:val="808285"/>
          <w:w w:val="115"/>
          <w:sz w:val="19"/>
        </w:rPr>
        <w:t>Efficient</w:t>
      </w:r>
      <w:r>
        <w:rPr>
          <w:rFonts w:ascii="Arial"/>
          <w:color w:val="808285"/>
          <w:spacing w:val="-1"/>
          <w:w w:val="115"/>
          <w:sz w:val="19"/>
        </w:rPr>
        <w:t> </w:t>
      </w:r>
      <w:r>
        <w:rPr>
          <w:rFonts w:ascii="Arial"/>
          <w:color w:val="808285"/>
          <w:w w:val="115"/>
          <w:sz w:val="19"/>
        </w:rPr>
        <w:t>Market</w:t>
      </w:r>
      <w:r>
        <w:rPr>
          <w:rFonts w:ascii="Arial"/>
          <w:color w:val="808285"/>
          <w:spacing w:val="-1"/>
          <w:w w:val="115"/>
          <w:sz w:val="19"/>
        </w:rPr>
        <w:t> </w:t>
      </w:r>
      <w:r>
        <w:rPr>
          <w:rFonts w:ascii="Arial"/>
          <w:color w:val="808285"/>
          <w:w w:val="115"/>
          <w:sz w:val="19"/>
        </w:rPr>
        <w:t>Hypothesis Investment Valuations Discounted Cash Flows Dividend Growth Model</w:t>
      </w:r>
    </w:p>
    <w:p>
      <w:pPr>
        <w:spacing w:line="328" w:lineRule="auto" w:before="2"/>
        <w:ind w:left="1170" w:right="4813" w:firstLine="0"/>
        <w:jc w:val="left"/>
        <w:rPr>
          <w:rFonts w:ascii="Arial"/>
          <w:sz w:val="19"/>
        </w:rPr>
      </w:pPr>
      <w:r>
        <w:rPr>
          <w:rFonts w:ascii="Arial"/>
          <w:color w:val="808285"/>
          <w:spacing w:val="-2"/>
          <w:w w:val="120"/>
          <w:sz w:val="19"/>
        </w:rPr>
        <w:t>Capital</w:t>
      </w:r>
      <w:r>
        <w:rPr>
          <w:rFonts w:ascii="Arial"/>
          <w:color w:val="808285"/>
          <w:spacing w:val="-14"/>
          <w:w w:val="120"/>
          <w:sz w:val="19"/>
        </w:rPr>
        <w:t> </w:t>
      </w:r>
      <w:r>
        <w:rPr>
          <w:rFonts w:ascii="Arial"/>
          <w:color w:val="808285"/>
          <w:spacing w:val="-2"/>
          <w:w w:val="120"/>
          <w:sz w:val="19"/>
        </w:rPr>
        <w:t>Budgeting </w:t>
      </w:r>
      <w:r>
        <w:rPr>
          <w:rFonts w:ascii="Arial"/>
          <w:color w:val="808285"/>
          <w:w w:val="120"/>
          <w:sz w:val="19"/>
        </w:rPr>
        <w:t>Capital Structure Dividend Policy</w:t>
      </w:r>
    </w:p>
    <w:p>
      <w:pPr>
        <w:spacing w:before="2"/>
        <w:ind w:left="1170" w:right="0" w:firstLine="0"/>
        <w:jc w:val="left"/>
        <w:rPr>
          <w:rFonts w:ascii="Arial"/>
          <w:sz w:val="19"/>
        </w:rPr>
      </w:pPr>
      <w:r>
        <w:rPr>
          <w:rFonts w:ascii="Arial"/>
          <w:color w:val="808285"/>
          <w:w w:val="115"/>
          <w:sz w:val="19"/>
        </w:rPr>
        <w:t>Mergers</w:t>
      </w:r>
      <w:r>
        <w:rPr>
          <w:rFonts w:ascii="Arial"/>
          <w:color w:val="808285"/>
          <w:spacing w:val="-10"/>
          <w:w w:val="115"/>
          <w:sz w:val="19"/>
        </w:rPr>
        <w:t> </w:t>
      </w:r>
      <w:r>
        <w:rPr>
          <w:rFonts w:ascii="Arial"/>
          <w:color w:val="808285"/>
          <w:w w:val="115"/>
          <w:sz w:val="19"/>
        </w:rPr>
        <w:t>and</w:t>
      </w:r>
      <w:r>
        <w:rPr>
          <w:rFonts w:ascii="Arial"/>
          <w:color w:val="808285"/>
          <w:spacing w:val="-9"/>
          <w:w w:val="115"/>
          <w:sz w:val="19"/>
        </w:rPr>
        <w:t> </w:t>
      </w:r>
      <w:r>
        <w:rPr>
          <w:rFonts w:ascii="Arial"/>
          <w:color w:val="808285"/>
          <w:spacing w:val="-2"/>
          <w:w w:val="115"/>
          <w:sz w:val="19"/>
        </w:rPr>
        <w:t>Acquisitions</w:t>
      </w:r>
    </w:p>
    <w:p>
      <w:pPr>
        <w:pStyle w:val="BodyText"/>
        <w:rPr>
          <w:rFonts w:ascii="Arial"/>
          <w:sz w:val="20"/>
        </w:rPr>
      </w:pPr>
    </w:p>
    <w:p>
      <w:pPr>
        <w:spacing w:line="324" w:lineRule="auto" w:before="150"/>
        <w:ind w:left="1170" w:right="1096" w:firstLine="0"/>
        <w:jc w:val="both"/>
        <w:rPr>
          <w:sz w:val="19"/>
        </w:rPr>
      </w:pPr>
      <w:r>
        <w:rPr>
          <w:color w:val="231F20"/>
          <w:w w:val="105"/>
          <w:sz w:val="19"/>
        </w:rPr>
        <w:t>I</w:t>
      </w:r>
      <w:r>
        <w:rPr>
          <w:color w:val="231F20"/>
          <w:spacing w:val="-3"/>
          <w:w w:val="105"/>
          <w:sz w:val="19"/>
        </w:rPr>
        <w:t> </w:t>
      </w:r>
      <w:r>
        <w:rPr>
          <w:color w:val="231F20"/>
          <w:w w:val="105"/>
          <w:sz w:val="19"/>
        </w:rPr>
        <w:t>want</w:t>
      </w:r>
      <w:r>
        <w:rPr>
          <w:color w:val="231F20"/>
          <w:spacing w:val="-3"/>
          <w:w w:val="105"/>
          <w:sz w:val="19"/>
        </w:rPr>
        <w:t> </w:t>
      </w:r>
      <w:r>
        <w:rPr>
          <w:color w:val="231F20"/>
          <w:w w:val="105"/>
          <w:sz w:val="19"/>
        </w:rPr>
        <w:t>to</w:t>
      </w:r>
      <w:r>
        <w:rPr>
          <w:color w:val="231F20"/>
          <w:spacing w:val="-3"/>
          <w:w w:val="105"/>
          <w:sz w:val="19"/>
        </w:rPr>
        <w:t> </w:t>
      </w:r>
      <w:r>
        <w:rPr>
          <w:color w:val="231F20"/>
          <w:w w:val="105"/>
          <w:sz w:val="19"/>
        </w:rPr>
        <w:t>be</w:t>
      </w:r>
      <w:r>
        <w:rPr>
          <w:color w:val="231F20"/>
          <w:spacing w:val="-3"/>
          <w:w w:val="105"/>
          <w:sz w:val="19"/>
        </w:rPr>
        <w:t> </w:t>
      </w:r>
      <w:r>
        <w:rPr>
          <w:color w:val="231F20"/>
          <w:w w:val="105"/>
          <w:sz w:val="19"/>
        </w:rPr>
        <w:t>an</w:t>
      </w:r>
      <w:r>
        <w:rPr>
          <w:color w:val="231F20"/>
          <w:spacing w:val="-3"/>
          <w:w w:val="105"/>
          <w:sz w:val="19"/>
        </w:rPr>
        <w:t> </w:t>
      </w:r>
      <w:r>
        <w:rPr>
          <w:color w:val="231F20"/>
          <w:w w:val="105"/>
          <w:sz w:val="19"/>
        </w:rPr>
        <w:t>investment</w:t>
      </w:r>
      <w:r>
        <w:rPr>
          <w:color w:val="231F20"/>
          <w:spacing w:val="-3"/>
          <w:w w:val="105"/>
          <w:sz w:val="19"/>
        </w:rPr>
        <w:t> </w:t>
      </w:r>
      <w:r>
        <w:rPr>
          <w:color w:val="231F20"/>
          <w:w w:val="105"/>
          <w:sz w:val="19"/>
        </w:rPr>
        <w:t>banker.</w:t>
      </w:r>
      <w:r>
        <w:rPr>
          <w:color w:val="231F20"/>
          <w:spacing w:val="-3"/>
          <w:w w:val="105"/>
          <w:sz w:val="19"/>
        </w:rPr>
        <w:t> </w:t>
      </w:r>
      <w:r>
        <w:rPr>
          <w:color w:val="231F20"/>
          <w:w w:val="105"/>
          <w:sz w:val="19"/>
        </w:rPr>
        <w:t>If</w:t>
      </w:r>
      <w:r>
        <w:rPr>
          <w:color w:val="231F20"/>
          <w:spacing w:val="-3"/>
          <w:w w:val="105"/>
          <w:sz w:val="19"/>
        </w:rPr>
        <w:t> </w:t>
      </w:r>
      <w:r>
        <w:rPr>
          <w:color w:val="231F20"/>
          <w:w w:val="105"/>
          <w:sz w:val="19"/>
        </w:rPr>
        <w:t>you</w:t>
      </w:r>
      <w:r>
        <w:rPr>
          <w:color w:val="231F20"/>
          <w:spacing w:val="-3"/>
          <w:w w:val="105"/>
          <w:sz w:val="19"/>
        </w:rPr>
        <w:t> </w:t>
      </w:r>
      <w:r>
        <w:rPr>
          <w:color w:val="231F20"/>
          <w:w w:val="105"/>
          <w:sz w:val="19"/>
        </w:rPr>
        <w:t>had</w:t>
      </w:r>
      <w:r>
        <w:rPr>
          <w:color w:val="231F20"/>
          <w:spacing w:val="-3"/>
          <w:w w:val="105"/>
          <w:sz w:val="19"/>
        </w:rPr>
        <w:t> </w:t>
      </w:r>
      <w:r>
        <w:rPr>
          <w:color w:val="231F20"/>
          <w:w w:val="105"/>
          <w:sz w:val="19"/>
        </w:rPr>
        <w:t>10,000</w:t>
      </w:r>
      <w:r>
        <w:rPr>
          <w:color w:val="231F20"/>
          <w:spacing w:val="-3"/>
          <w:w w:val="105"/>
          <w:sz w:val="19"/>
        </w:rPr>
        <w:t> </w:t>
      </w:r>
      <w:r>
        <w:rPr>
          <w:color w:val="231F20"/>
          <w:w w:val="105"/>
          <w:sz w:val="19"/>
        </w:rPr>
        <w:t>shares</w:t>
      </w:r>
      <w:r>
        <w:rPr>
          <w:color w:val="231F20"/>
          <w:spacing w:val="-3"/>
          <w:w w:val="105"/>
          <w:sz w:val="19"/>
        </w:rPr>
        <w:t> </w:t>
      </w:r>
      <w:r>
        <w:rPr>
          <w:color w:val="231F20"/>
          <w:w w:val="105"/>
          <w:sz w:val="19"/>
        </w:rPr>
        <w:t>I</w:t>
      </w:r>
      <w:r>
        <w:rPr>
          <w:color w:val="231F20"/>
          <w:spacing w:val="-3"/>
          <w:w w:val="105"/>
          <w:sz w:val="19"/>
        </w:rPr>
        <w:t> </w:t>
      </w:r>
      <w:r>
        <w:rPr>
          <w:color w:val="231F20"/>
          <w:w w:val="105"/>
          <w:sz w:val="19"/>
        </w:rPr>
        <w:t>sell them for you. I make a lot of money. I will like my job very, very much. I will help people. I will be a millionaire. I will have a </w:t>
      </w:r>
      <w:r>
        <w:rPr>
          <w:color w:val="231F20"/>
          <w:w w:val="105"/>
          <w:sz w:val="19"/>
        </w:rPr>
        <w:t>big house. It will be fun for me.</w:t>
      </w:r>
    </w:p>
    <w:p>
      <w:pPr>
        <w:spacing w:line="362" w:lineRule="auto" w:before="16"/>
        <w:ind w:left="2535" w:right="1096" w:hanging="1043"/>
        <w:jc w:val="both"/>
        <w:rPr>
          <w:sz w:val="17"/>
        </w:rPr>
      </w:pPr>
      <w:r>
        <w:rPr/>
        <w:pict>
          <v:shape style="position:absolute;margin-left:58.5pt;margin-top:36.385746pt;width:10.15pt;height:40.050pt;mso-position-horizontal-relative:page;mso-position-vertical-relative:paragraph;z-index:15847424" type="#_x0000_t202" id="docshape342" filled="false" stroked="false">
            <v:textbox inset="0,0,0,0">
              <w:txbxContent>
                <w:p>
                  <w:pPr>
                    <w:spacing w:line="789" w:lineRule="exact" w:before="11"/>
                    <w:ind w:left="0" w:right="0" w:firstLine="0"/>
                    <w:jc w:val="left"/>
                    <w:rPr>
                      <w:rFonts w:ascii="Trebuchet MS"/>
                      <w:sz w:val="68"/>
                    </w:rPr>
                  </w:pPr>
                  <w:r>
                    <w:rPr>
                      <w:rFonts w:ascii="Trebuchet MS"/>
                      <w:color w:val="808285"/>
                      <w:w w:val="107"/>
                      <w:sz w:val="68"/>
                    </w:rPr>
                    <w:t>I</w:t>
                  </w:r>
                </w:p>
              </w:txbxContent>
            </v:textbox>
            <w10:wrap type="none"/>
          </v:shape>
        </w:pict>
      </w:r>
      <w:r>
        <w:rPr>
          <w:color w:val="231F20"/>
          <w:w w:val="105"/>
          <w:sz w:val="17"/>
        </w:rPr>
        <w:t>—</w:t>
      </w:r>
      <w:r>
        <w:rPr>
          <w:color w:val="231F20"/>
          <w:spacing w:val="-10"/>
          <w:w w:val="105"/>
          <w:sz w:val="17"/>
        </w:rPr>
        <w:t> </w:t>
      </w:r>
      <w:r>
        <w:rPr>
          <w:color w:val="231F20"/>
          <w:w w:val="105"/>
          <w:sz w:val="17"/>
        </w:rPr>
        <w:t>Seven-year-old</w:t>
      </w:r>
      <w:r>
        <w:rPr>
          <w:color w:val="231F20"/>
          <w:spacing w:val="-5"/>
          <w:w w:val="105"/>
          <w:sz w:val="17"/>
        </w:rPr>
        <w:t> </w:t>
      </w:r>
      <w:r>
        <w:rPr>
          <w:color w:val="231F20"/>
          <w:w w:val="105"/>
          <w:sz w:val="17"/>
        </w:rPr>
        <w:t>schoolboy, “What I Want to Be When I Grow </w:t>
      </w:r>
      <w:r>
        <w:rPr>
          <w:color w:val="231F20"/>
          <w:w w:val="105"/>
          <w:sz w:val="17"/>
        </w:rPr>
        <w:t>Up,”</w:t>
      </w:r>
      <w:r>
        <w:rPr>
          <w:color w:val="231F20"/>
          <w:spacing w:val="40"/>
          <w:w w:val="105"/>
          <w:sz w:val="17"/>
        </w:rPr>
        <w:t> </w:t>
      </w:r>
      <w:r>
        <w:rPr>
          <w:color w:val="231F20"/>
          <w:w w:val="105"/>
          <w:sz w:val="17"/>
        </w:rPr>
        <w:t>March</w:t>
      </w:r>
      <w:r>
        <w:rPr>
          <w:color w:val="231F20"/>
          <w:spacing w:val="9"/>
          <w:w w:val="105"/>
          <w:sz w:val="17"/>
        </w:rPr>
        <w:t> </w:t>
      </w:r>
      <w:r>
        <w:rPr>
          <w:color w:val="231F20"/>
          <w:w w:val="105"/>
          <w:sz w:val="17"/>
        </w:rPr>
        <w:t>1985</w:t>
      </w:r>
      <w:r>
        <w:rPr>
          <w:color w:val="231F20"/>
          <w:spacing w:val="10"/>
          <w:w w:val="105"/>
          <w:sz w:val="17"/>
        </w:rPr>
        <w:t> </w:t>
      </w:r>
      <w:r>
        <w:rPr>
          <w:color w:val="231F20"/>
          <w:w w:val="105"/>
          <w:sz w:val="17"/>
        </w:rPr>
        <w:t>(from</w:t>
      </w:r>
      <w:r>
        <w:rPr>
          <w:color w:val="231F20"/>
          <w:spacing w:val="9"/>
          <w:w w:val="105"/>
          <w:sz w:val="17"/>
        </w:rPr>
        <w:t> </w:t>
      </w:r>
      <w:r>
        <w:rPr>
          <w:color w:val="231F20"/>
          <w:w w:val="105"/>
          <w:sz w:val="17"/>
        </w:rPr>
        <w:t>Michael</w:t>
      </w:r>
      <w:r>
        <w:rPr>
          <w:color w:val="231F20"/>
          <w:spacing w:val="10"/>
          <w:w w:val="105"/>
          <w:sz w:val="17"/>
        </w:rPr>
        <w:t> </w:t>
      </w:r>
      <w:r>
        <w:rPr>
          <w:color w:val="231F20"/>
          <w:w w:val="105"/>
          <w:sz w:val="17"/>
        </w:rPr>
        <w:t>Lewis’s</w:t>
      </w:r>
      <w:r>
        <w:rPr>
          <w:color w:val="231F20"/>
          <w:spacing w:val="9"/>
          <w:w w:val="105"/>
          <w:sz w:val="17"/>
        </w:rPr>
        <w:t> </w:t>
      </w:r>
      <w:r>
        <w:rPr>
          <w:i/>
          <w:color w:val="231F20"/>
          <w:w w:val="105"/>
          <w:sz w:val="17"/>
        </w:rPr>
        <w:t>Liar’s</w:t>
      </w:r>
      <w:r>
        <w:rPr>
          <w:i/>
          <w:color w:val="231F20"/>
          <w:spacing w:val="9"/>
          <w:w w:val="105"/>
          <w:sz w:val="17"/>
        </w:rPr>
        <w:t> </w:t>
      </w:r>
      <w:r>
        <w:rPr>
          <w:i/>
          <w:color w:val="231F20"/>
          <w:w w:val="105"/>
          <w:sz w:val="17"/>
        </w:rPr>
        <w:t>Poker,</w:t>
      </w:r>
      <w:r>
        <w:rPr>
          <w:i/>
          <w:color w:val="231F20"/>
          <w:spacing w:val="9"/>
          <w:w w:val="105"/>
          <w:sz w:val="17"/>
        </w:rPr>
        <w:t> </w:t>
      </w:r>
      <w:r>
        <w:rPr>
          <w:color w:val="231F20"/>
          <w:spacing w:val="-2"/>
          <w:w w:val="105"/>
          <w:sz w:val="17"/>
        </w:rPr>
        <w:t>1989)</w:t>
      </w:r>
    </w:p>
    <w:p>
      <w:pPr>
        <w:pStyle w:val="BodyText"/>
        <w:spacing w:before="2"/>
        <w:rPr>
          <w:sz w:val="22"/>
        </w:rPr>
      </w:pPr>
    </w:p>
    <w:p>
      <w:pPr>
        <w:pStyle w:val="BodyText"/>
        <w:spacing w:line="292" w:lineRule="auto"/>
        <w:ind w:left="1032" w:right="751"/>
      </w:pPr>
      <w:r>
        <w:rPr>
          <w:color w:val="231F20"/>
          <w:w w:val="105"/>
        </w:rPr>
        <w:t>n</w:t>
      </w:r>
      <w:r>
        <w:rPr>
          <w:color w:val="231F20"/>
          <w:spacing w:val="-3"/>
          <w:w w:val="105"/>
        </w:rPr>
        <w:t> </w:t>
      </w:r>
      <w:r>
        <w:rPr>
          <w:color w:val="231F20"/>
          <w:w w:val="105"/>
        </w:rPr>
        <w:t>the</w:t>
      </w:r>
      <w:r>
        <w:rPr>
          <w:color w:val="231F20"/>
          <w:spacing w:val="-3"/>
          <w:w w:val="105"/>
        </w:rPr>
        <w:t> </w:t>
      </w:r>
      <w:r>
        <w:rPr>
          <w:color w:val="231F20"/>
          <w:w w:val="105"/>
        </w:rPr>
        <w:t>1980s,</w:t>
      </w:r>
      <w:r>
        <w:rPr>
          <w:color w:val="231F20"/>
          <w:spacing w:val="-3"/>
          <w:w w:val="105"/>
        </w:rPr>
        <w:t> </w:t>
      </w:r>
      <w:r>
        <w:rPr>
          <w:color w:val="231F20"/>
          <w:w w:val="105"/>
        </w:rPr>
        <w:t>finance</w:t>
      </w:r>
      <w:r>
        <w:rPr>
          <w:color w:val="231F20"/>
          <w:spacing w:val="-3"/>
          <w:w w:val="105"/>
        </w:rPr>
        <w:t> </w:t>
      </w:r>
      <w:r>
        <w:rPr>
          <w:color w:val="231F20"/>
          <w:w w:val="105"/>
        </w:rPr>
        <w:t>was</w:t>
      </w:r>
      <w:r>
        <w:rPr>
          <w:color w:val="231F20"/>
          <w:spacing w:val="-3"/>
          <w:w w:val="105"/>
        </w:rPr>
        <w:t> </w:t>
      </w:r>
      <w:r>
        <w:rPr>
          <w:color w:val="231F20"/>
          <w:w w:val="105"/>
        </w:rPr>
        <w:t>the</w:t>
      </w:r>
      <w:r>
        <w:rPr>
          <w:color w:val="231F20"/>
          <w:spacing w:val="-3"/>
          <w:w w:val="105"/>
        </w:rPr>
        <w:t> </w:t>
      </w:r>
      <w:r>
        <w:rPr>
          <w:color w:val="231F20"/>
          <w:w w:val="105"/>
        </w:rPr>
        <w:t>place</w:t>
      </w:r>
      <w:r>
        <w:rPr>
          <w:color w:val="231F20"/>
          <w:spacing w:val="-3"/>
          <w:w w:val="105"/>
        </w:rPr>
        <w:t> </w:t>
      </w:r>
      <w:r>
        <w:rPr>
          <w:color w:val="231F20"/>
          <w:w w:val="105"/>
        </w:rPr>
        <w:t>to</w:t>
      </w:r>
      <w:r>
        <w:rPr>
          <w:color w:val="231F20"/>
          <w:spacing w:val="-3"/>
          <w:w w:val="105"/>
        </w:rPr>
        <w:t> </w:t>
      </w:r>
      <w:r>
        <w:rPr>
          <w:color w:val="231F20"/>
          <w:w w:val="105"/>
        </w:rPr>
        <w:t>be.</w:t>
      </w:r>
      <w:r>
        <w:rPr>
          <w:color w:val="231F20"/>
          <w:spacing w:val="-3"/>
          <w:w w:val="105"/>
        </w:rPr>
        <w:t> </w:t>
      </w:r>
      <w:r>
        <w:rPr>
          <w:color w:val="231F20"/>
          <w:w w:val="105"/>
        </w:rPr>
        <w:t>Even</w:t>
      </w:r>
      <w:r>
        <w:rPr>
          <w:color w:val="231F20"/>
          <w:spacing w:val="-3"/>
          <w:w w:val="105"/>
        </w:rPr>
        <w:t> </w:t>
      </w:r>
      <w:r>
        <w:rPr>
          <w:color w:val="231F20"/>
          <w:w w:val="105"/>
        </w:rPr>
        <w:t>kids</w:t>
      </w:r>
      <w:r>
        <w:rPr>
          <w:color w:val="231F20"/>
          <w:spacing w:val="-3"/>
          <w:w w:val="105"/>
        </w:rPr>
        <w:t> </w:t>
      </w:r>
      <w:r>
        <w:rPr>
          <w:color w:val="231F20"/>
          <w:w w:val="105"/>
        </w:rPr>
        <w:t>dreamed</w:t>
      </w:r>
      <w:r>
        <w:rPr>
          <w:color w:val="231F20"/>
          <w:spacing w:val="-3"/>
          <w:w w:val="105"/>
        </w:rPr>
        <w:t> </w:t>
      </w:r>
      <w:r>
        <w:rPr>
          <w:color w:val="231F20"/>
          <w:w w:val="105"/>
        </w:rPr>
        <w:t>of</w:t>
      </w:r>
      <w:r>
        <w:rPr>
          <w:color w:val="231F20"/>
          <w:spacing w:val="-3"/>
          <w:w w:val="105"/>
        </w:rPr>
        <w:t> </w:t>
      </w:r>
      <w:r>
        <w:rPr>
          <w:color w:val="231F20"/>
          <w:w w:val="105"/>
        </w:rPr>
        <w:t>a life</w:t>
      </w:r>
      <w:r>
        <w:rPr>
          <w:color w:val="231F20"/>
          <w:spacing w:val="-11"/>
          <w:w w:val="105"/>
        </w:rPr>
        <w:t> </w:t>
      </w:r>
      <w:r>
        <w:rPr>
          <w:color w:val="231F20"/>
          <w:w w:val="105"/>
        </w:rPr>
        <w:t>on</w:t>
      </w:r>
      <w:r>
        <w:rPr>
          <w:color w:val="231F20"/>
          <w:spacing w:val="-10"/>
          <w:w w:val="105"/>
        </w:rPr>
        <w:t> </w:t>
      </w:r>
      <w:r>
        <w:rPr>
          <w:color w:val="231F20"/>
          <w:w w:val="105"/>
        </w:rPr>
        <w:t>Wall</w:t>
      </w:r>
      <w:r>
        <w:rPr>
          <w:color w:val="231F20"/>
          <w:spacing w:val="-10"/>
          <w:w w:val="105"/>
        </w:rPr>
        <w:t> </w:t>
      </w:r>
      <w:r>
        <w:rPr>
          <w:color w:val="231F20"/>
          <w:w w:val="105"/>
        </w:rPr>
        <w:t>Street.</w:t>
      </w:r>
      <w:r>
        <w:rPr>
          <w:color w:val="231F20"/>
          <w:spacing w:val="-11"/>
          <w:w w:val="105"/>
        </w:rPr>
        <w:t> </w:t>
      </w:r>
      <w:r>
        <w:rPr>
          <w:color w:val="231F20"/>
          <w:w w:val="105"/>
        </w:rPr>
        <w:t>Machiavellian</w:t>
      </w:r>
      <w:r>
        <w:rPr>
          <w:color w:val="231F20"/>
          <w:spacing w:val="-10"/>
          <w:w w:val="105"/>
        </w:rPr>
        <w:t> </w:t>
      </w:r>
      <w:r>
        <w:rPr>
          <w:color w:val="231F20"/>
          <w:w w:val="105"/>
        </w:rPr>
        <w:t>young</w:t>
      </w:r>
      <w:r>
        <w:rPr>
          <w:color w:val="231F20"/>
          <w:spacing w:val="-10"/>
          <w:w w:val="105"/>
        </w:rPr>
        <w:t> </w:t>
      </w:r>
      <w:r>
        <w:rPr>
          <w:color w:val="231F20"/>
          <w:w w:val="105"/>
        </w:rPr>
        <w:t>MBAs</w:t>
      </w:r>
      <w:r>
        <w:rPr>
          <w:color w:val="231F20"/>
          <w:spacing w:val="-10"/>
          <w:w w:val="105"/>
        </w:rPr>
        <w:t> </w:t>
      </w:r>
      <w:r>
        <w:rPr>
          <w:color w:val="231F20"/>
          <w:w w:val="105"/>
        </w:rPr>
        <w:t>were</w:t>
      </w:r>
      <w:r>
        <w:rPr>
          <w:color w:val="231F20"/>
          <w:spacing w:val="-11"/>
          <w:w w:val="105"/>
        </w:rPr>
        <w:t> </w:t>
      </w:r>
      <w:r>
        <w:rPr>
          <w:color w:val="231F20"/>
          <w:w w:val="105"/>
        </w:rPr>
        <w:t>beside</w:t>
      </w:r>
      <w:r>
        <w:rPr>
          <w:color w:val="231F20"/>
          <w:spacing w:val="-10"/>
          <w:w w:val="105"/>
        </w:rPr>
        <w:t> </w:t>
      </w:r>
      <w:r>
        <w:rPr>
          <w:color w:val="231F20"/>
          <w:spacing w:val="-2"/>
          <w:w w:val="105"/>
        </w:rPr>
        <w:t>them-</w:t>
      </w:r>
    </w:p>
    <w:p>
      <w:pPr>
        <w:spacing w:after="0" w:line="292" w:lineRule="auto"/>
        <w:sectPr>
          <w:headerReference w:type="even" r:id="rId80"/>
          <w:pgSz w:w="8640" w:h="12960"/>
          <w:pgMar w:header="0" w:footer="0" w:top="1220" w:bottom="280" w:left="340" w:right="500"/>
        </w:sectPr>
      </w:pPr>
    </w:p>
    <w:p>
      <w:pPr>
        <w:pStyle w:val="BodyText"/>
        <w:spacing w:before="8"/>
        <w:rPr>
          <w:sz w:val="17"/>
        </w:rPr>
      </w:pPr>
    </w:p>
    <w:p>
      <w:pPr>
        <w:pStyle w:val="BodyText"/>
        <w:spacing w:line="292" w:lineRule="auto" w:before="102"/>
        <w:ind w:left="835" w:right="664"/>
        <w:jc w:val="right"/>
      </w:pPr>
      <w:r>
        <w:rPr>
          <w:color w:val="231F20"/>
          <w:w w:val="105"/>
        </w:rPr>
        <w:t>selves</w:t>
      </w:r>
      <w:r>
        <w:rPr>
          <w:color w:val="231F20"/>
          <w:spacing w:val="-3"/>
          <w:w w:val="105"/>
        </w:rPr>
        <w:t> </w:t>
      </w:r>
      <w:r>
        <w:rPr>
          <w:color w:val="231F20"/>
          <w:w w:val="105"/>
        </w:rPr>
        <w:t>with</w:t>
      </w:r>
      <w:r>
        <w:rPr>
          <w:color w:val="231F20"/>
          <w:spacing w:val="-3"/>
          <w:w w:val="105"/>
        </w:rPr>
        <w:t> </w:t>
      </w:r>
      <w:r>
        <w:rPr>
          <w:color w:val="231F20"/>
          <w:w w:val="105"/>
        </w:rPr>
        <w:t>glee</w:t>
      </w:r>
      <w:r>
        <w:rPr>
          <w:color w:val="231F20"/>
          <w:spacing w:val="-3"/>
          <w:w w:val="105"/>
        </w:rPr>
        <w:t> </w:t>
      </w:r>
      <w:r>
        <w:rPr>
          <w:color w:val="231F20"/>
          <w:w w:val="105"/>
        </w:rPr>
        <w:t>as</w:t>
      </w:r>
      <w:r>
        <w:rPr>
          <w:color w:val="231F20"/>
          <w:spacing w:val="-3"/>
          <w:w w:val="105"/>
        </w:rPr>
        <w:t> </w:t>
      </w:r>
      <w:r>
        <w:rPr>
          <w:color w:val="231F20"/>
          <w:w w:val="105"/>
        </w:rPr>
        <w:t>a</w:t>
      </w:r>
      <w:r>
        <w:rPr>
          <w:color w:val="231F20"/>
          <w:spacing w:val="-3"/>
          <w:w w:val="105"/>
        </w:rPr>
        <w:t> </w:t>
      </w:r>
      <w:r>
        <w:rPr>
          <w:color w:val="231F20"/>
          <w:w w:val="105"/>
        </w:rPr>
        <w:t>Wall</w:t>
      </w:r>
      <w:r>
        <w:rPr>
          <w:color w:val="231F20"/>
          <w:spacing w:val="-3"/>
          <w:w w:val="105"/>
        </w:rPr>
        <w:t> </w:t>
      </w:r>
      <w:r>
        <w:rPr>
          <w:color w:val="231F20"/>
          <w:w w:val="105"/>
        </w:rPr>
        <w:t>Street</w:t>
      </w:r>
      <w:r>
        <w:rPr>
          <w:color w:val="231F20"/>
          <w:spacing w:val="-3"/>
          <w:w w:val="105"/>
        </w:rPr>
        <w:t> </w:t>
      </w:r>
      <w:r>
        <w:rPr>
          <w:color w:val="231F20"/>
          <w:w w:val="105"/>
        </w:rPr>
        <w:t>hired</w:t>
      </w:r>
      <w:r>
        <w:rPr>
          <w:color w:val="231F20"/>
          <w:spacing w:val="-3"/>
          <w:w w:val="105"/>
        </w:rPr>
        <w:t> </w:t>
      </w:r>
      <w:r>
        <w:rPr>
          <w:color w:val="231F20"/>
          <w:w w:val="105"/>
        </w:rPr>
        <w:t>them</w:t>
      </w:r>
      <w:r>
        <w:rPr>
          <w:color w:val="231F20"/>
          <w:spacing w:val="-3"/>
          <w:w w:val="105"/>
        </w:rPr>
        <w:t> </w:t>
      </w:r>
      <w:r>
        <w:rPr>
          <w:color w:val="231F20"/>
          <w:w w:val="105"/>
        </w:rPr>
        <w:t>by</w:t>
      </w:r>
      <w:r>
        <w:rPr>
          <w:color w:val="231F20"/>
          <w:spacing w:val="-2"/>
          <w:w w:val="105"/>
        </w:rPr>
        <w:t> </w:t>
      </w:r>
      <w:r>
        <w:rPr>
          <w:color w:val="231F20"/>
          <w:w w:val="105"/>
        </w:rPr>
        <w:t>the</w:t>
      </w:r>
      <w:r>
        <w:rPr>
          <w:color w:val="231F20"/>
          <w:spacing w:val="-3"/>
          <w:w w:val="105"/>
        </w:rPr>
        <w:t> </w:t>
      </w:r>
      <w:r>
        <w:rPr>
          <w:color w:val="231F20"/>
          <w:w w:val="105"/>
        </w:rPr>
        <w:t>droves,</w:t>
      </w:r>
      <w:r>
        <w:rPr>
          <w:color w:val="231F20"/>
          <w:spacing w:val="-3"/>
          <w:w w:val="105"/>
        </w:rPr>
        <w:t> </w:t>
      </w:r>
      <w:r>
        <w:rPr>
          <w:color w:val="231F20"/>
          <w:w w:val="105"/>
        </w:rPr>
        <w:t>offering them</w:t>
      </w:r>
      <w:r>
        <w:rPr>
          <w:color w:val="231F20"/>
          <w:spacing w:val="18"/>
          <w:w w:val="105"/>
        </w:rPr>
        <w:t> </w:t>
      </w:r>
      <w:r>
        <w:rPr>
          <w:color w:val="231F20"/>
          <w:w w:val="105"/>
        </w:rPr>
        <w:t>a</w:t>
      </w:r>
      <w:r>
        <w:rPr>
          <w:color w:val="231F20"/>
          <w:spacing w:val="18"/>
          <w:w w:val="105"/>
        </w:rPr>
        <w:t> </w:t>
      </w:r>
      <w:r>
        <w:rPr>
          <w:color w:val="231F20"/>
          <w:w w:val="105"/>
        </w:rPr>
        <w:t>shot</w:t>
      </w:r>
      <w:r>
        <w:rPr>
          <w:color w:val="231F20"/>
          <w:spacing w:val="18"/>
          <w:w w:val="105"/>
        </w:rPr>
        <w:t> </w:t>
      </w:r>
      <w:r>
        <w:rPr>
          <w:color w:val="231F20"/>
          <w:w w:val="105"/>
        </w:rPr>
        <w:t>at</w:t>
      </w:r>
      <w:r>
        <w:rPr>
          <w:color w:val="231F20"/>
          <w:spacing w:val="18"/>
          <w:w w:val="105"/>
        </w:rPr>
        <w:t> </w:t>
      </w:r>
      <w:r>
        <w:rPr>
          <w:color w:val="231F20"/>
          <w:w w:val="105"/>
        </w:rPr>
        <w:t>big</w:t>
      </w:r>
      <w:r>
        <w:rPr>
          <w:color w:val="231F20"/>
          <w:spacing w:val="18"/>
          <w:w w:val="105"/>
        </w:rPr>
        <w:t> </w:t>
      </w:r>
      <w:r>
        <w:rPr>
          <w:color w:val="231F20"/>
          <w:w w:val="105"/>
        </w:rPr>
        <w:t>bucks</w:t>
      </w:r>
      <w:r>
        <w:rPr>
          <w:color w:val="231F20"/>
          <w:spacing w:val="18"/>
          <w:w w:val="105"/>
        </w:rPr>
        <w:t> </w:t>
      </w:r>
      <w:r>
        <w:rPr>
          <w:color w:val="231F20"/>
          <w:w w:val="105"/>
        </w:rPr>
        <w:t>trading</w:t>
      </w:r>
      <w:r>
        <w:rPr>
          <w:color w:val="231F20"/>
          <w:spacing w:val="18"/>
          <w:w w:val="105"/>
        </w:rPr>
        <w:t> </w:t>
      </w:r>
      <w:r>
        <w:rPr>
          <w:color w:val="231F20"/>
          <w:w w:val="105"/>
        </w:rPr>
        <w:t>and</w:t>
      </w:r>
      <w:r>
        <w:rPr>
          <w:color w:val="231F20"/>
          <w:spacing w:val="18"/>
          <w:w w:val="105"/>
        </w:rPr>
        <w:t> </w:t>
      </w:r>
      <w:r>
        <w:rPr>
          <w:color w:val="231F20"/>
          <w:w w:val="105"/>
        </w:rPr>
        <w:t>deal-making</w:t>
      </w:r>
      <w:r>
        <w:rPr>
          <w:color w:val="231F20"/>
          <w:spacing w:val="18"/>
          <w:w w:val="105"/>
        </w:rPr>
        <w:t> </w:t>
      </w:r>
      <w:r>
        <w:rPr>
          <w:color w:val="231F20"/>
          <w:w w:val="105"/>
        </w:rPr>
        <w:t>as</w:t>
      </w:r>
      <w:r>
        <w:rPr>
          <w:color w:val="231F20"/>
          <w:spacing w:val="18"/>
          <w:w w:val="105"/>
        </w:rPr>
        <w:t> </w:t>
      </w:r>
      <w:r>
        <w:rPr>
          <w:color w:val="231F20"/>
          <w:w w:val="105"/>
        </w:rPr>
        <w:t>investment bankers.</w:t>
      </w:r>
      <w:r>
        <w:rPr>
          <w:color w:val="231F20"/>
          <w:spacing w:val="22"/>
          <w:w w:val="105"/>
        </w:rPr>
        <w:t> </w:t>
      </w:r>
      <w:r>
        <w:rPr>
          <w:color w:val="231F20"/>
          <w:w w:val="105"/>
        </w:rPr>
        <w:t>Unfortunately,</w:t>
      </w:r>
      <w:r>
        <w:rPr>
          <w:color w:val="231F20"/>
          <w:spacing w:val="22"/>
          <w:w w:val="105"/>
        </w:rPr>
        <w:t> </w:t>
      </w:r>
      <w:r>
        <w:rPr>
          <w:color w:val="231F20"/>
          <w:w w:val="105"/>
        </w:rPr>
        <w:t>the</w:t>
      </w:r>
      <w:r>
        <w:rPr>
          <w:color w:val="231F20"/>
          <w:spacing w:val="22"/>
          <w:w w:val="105"/>
        </w:rPr>
        <w:t> </w:t>
      </w:r>
      <w:r>
        <w:rPr>
          <w:color w:val="231F20"/>
          <w:w w:val="105"/>
        </w:rPr>
        <w:t>bubble</w:t>
      </w:r>
      <w:r>
        <w:rPr>
          <w:color w:val="231F20"/>
          <w:spacing w:val="22"/>
          <w:w w:val="105"/>
        </w:rPr>
        <w:t> </w:t>
      </w:r>
      <w:r>
        <w:rPr>
          <w:color w:val="231F20"/>
          <w:w w:val="105"/>
        </w:rPr>
        <w:t>burst</w:t>
      </w:r>
      <w:r>
        <w:rPr>
          <w:color w:val="231F20"/>
          <w:spacing w:val="22"/>
          <w:w w:val="105"/>
        </w:rPr>
        <w:t> </w:t>
      </w:r>
      <w:r>
        <w:rPr>
          <w:color w:val="231F20"/>
          <w:w w:val="105"/>
        </w:rPr>
        <w:t>in</w:t>
      </w:r>
      <w:r>
        <w:rPr>
          <w:color w:val="231F20"/>
          <w:spacing w:val="22"/>
          <w:w w:val="105"/>
        </w:rPr>
        <w:t> </w:t>
      </w:r>
      <w:r>
        <w:rPr>
          <w:color w:val="231F20"/>
          <w:w w:val="105"/>
        </w:rPr>
        <w:t>1987</w:t>
      </w:r>
      <w:r>
        <w:rPr>
          <w:color w:val="231F20"/>
          <w:spacing w:val="22"/>
          <w:w w:val="105"/>
        </w:rPr>
        <w:t> </w:t>
      </w:r>
      <w:r>
        <w:rPr>
          <w:color w:val="231F20"/>
          <w:w w:val="105"/>
        </w:rPr>
        <w:t>with</w:t>
      </w:r>
      <w:r>
        <w:rPr>
          <w:color w:val="231F20"/>
          <w:spacing w:val="22"/>
          <w:w w:val="105"/>
        </w:rPr>
        <w:t> </w:t>
      </w:r>
      <w:r>
        <w:rPr>
          <w:color w:val="231F20"/>
          <w:w w:val="105"/>
        </w:rPr>
        <w:t>the</w:t>
      </w:r>
      <w:r>
        <w:rPr>
          <w:color w:val="231F20"/>
          <w:spacing w:val="22"/>
          <w:w w:val="105"/>
        </w:rPr>
        <w:t> </w:t>
      </w:r>
      <w:r>
        <w:rPr>
          <w:color w:val="231F20"/>
          <w:w w:val="105"/>
        </w:rPr>
        <w:t>stock </w:t>
      </w:r>
      <w:r>
        <w:rPr>
          <w:color w:val="231F20"/>
          <w:spacing w:val="-2"/>
          <w:w w:val="105"/>
        </w:rPr>
        <w:t>market</w:t>
      </w:r>
      <w:r>
        <w:rPr>
          <w:color w:val="231F20"/>
          <w:spacing w:val="-6"/>
          <w:w w:val="105"/>
        </w:rPr>
        <w:t> </w:t>
      </w:r>
      <w:r>
        <w:rPr>
          <w:color w:val="231F20"/>
          <w:spacing w:val="-2"/>
          <w:w w:val="105"/>
        </w:rPr>
        <w:t>crash,</w:t>
      </w:r>
      <w:r>
        <w:rPr>
          <w:color w:val="231F20"/>
          <w:spacing w:val="-6"/>
          <w:w w:val="105"/>
        </w:rPr>
        <w:t> </w:t>
      </w:r>
      <w:r>
        <w:rPr>
          <w:color w:val="231F20"/>
          <w:spacing w:val="-2"/>
          <w:w w:val="105"/>
        </w:rPr>
        <w:t>and</w:t>
      </w:r>
      <w:r>
        <w:rPr>
          <w:color w:val="231F20"/>
          <w:spacing w:val="-6"/>
          <w:w w:val="105"/>
        </w:rPr>
        <w:t> </w:t>
      </w:r>
      <w:r>
        <w:rPr>
          <w:color w:val="231F20"/>
          <w:spacing w:val="-2"/>
          <w:w w:val="105"/>
        </w:rPr>
        <w:t>MBAs</w:t>
      </w:r>
      <w:r>
        <w:rPr>
          <w:color w:val="231F20"/>
          <w:spacing w:val="-6"/>
          <w:w w:val="105"/>
        </w:rPr>
        <w:t> </w:t>
      </w:r>
      <w:r>
        <w:rPr>
          <w:color w:val="231F20"/>
          <w:spacing w:val="-2"/>
          <w:w w:val="105"/>
        </w:rPr>
        <w:t>were</w:t>
      </w:r>
      <w:r>
        <w:rPr>
          <w:color w:val="231F20"/>
          <w:spacing w:val="-6"/>
          <w:w w:val="105"/>
        </w:rPr>
        <w:t> </w:t>
      </w:r>
      <w:r>
        <w:rPr>
          <w:color w:val="231F20"/>
          <w:spacing w:val="-2"/>
          <w:w w:val="105"/>
        </w:rPr>
        <w:t>forced</w:t>
      </w:r>
      <w:r>
        <w:rPr>
          <w:color w:val="231F20"/>
          <w:spacing w:val="-6"/>
          <w:w w:val="105"/>
        </w:rPr>
        <w:t> </w:t>
      </w:r>
      <w:r>
        <w:rPr>
          <w:color w:val="231F20"/>
          <w:spacing w:val="-2"/>
          <w:w w:val="105"/>
        </w:rPr>
        <w:t>to</w:t>
      </w:r>
      <w:r>
        <w:rPr>
          <w:color w:val="231F20"/>
          <w:spacing w:val="-6"/>
          <w:w w:val="105"/>
        </w:rPr>
        <w:t> </w:t>
      </w:r>
      <w:r>
        <w:rPr>
          <w:color w:val="231F20"/>
          <w:spacing w:val="-2"/>
          <w:w w:val="105"/>
        </w:rPr>
        <w:t>seek</w:t>
      </w:r>
      <w:r>
        <w:rPr>
          <w:color w:val="231F20"/>
          <w:spacing w:val="-6"/>
          <w:w w:val="105"/>
        </w:rPr>
        <w:t> </w:t>
      </w:r>
      <w:r>
        <w:rPr>
          <w:color w:val="231F20"/>
          <w:spacing w:val="-2"/>
          <w:w w:val="105"/>
        </w:rPr>
        <w:t>less</w:t>
      </w:r>
      <w:r>
        <w:rPr>
          <w:color w:val="231F20"/>
          <w:spacing w:val="-6"/>
          <w:w w:val="105"/>
        </w:rPr>
        <w:t> </w:t>
      </w:r>
      <w:r>
        <w:rPr>
          <w:color w:val="231F20"/>
          <w:spacing w:val="-2"/>
          <w:w w:val="105"/>
        </w:rPr>
        <w:t>glamorous</w:t>
      </w:r>
      <w:r>
        <w:rPr>
          <w:color w:val="231F20"/>
          <w:spacing w:val="-6"/>
          <w:w w:val="105"/>
        </w:rPr>
        <w:t> </w:t>
      </w:r>
      <w:r>
        <w:rPr>
          <w:color w:val="231F20"/>
          <w:spacing w:val="-2"/>
          <w:w w:val="105"/>
        </w:rPr>
        <w:t>jobs</w:t>
      </w:r>
      <w:r>
        <w:rPr>
          <w:color w:val="231F20"/>
          <w:spacing w:val="-6"/>
          <w:w w:val="105"/>
        </w:rPr>
        <w:t> </w:t>
      </w:r>
      <w:r>
        <w:rPr>
          <w:color w:val="231F20"/>
          <w:spacing w:val="-2"/>
          <w:w w:val="105"/>
        </w:rPr>
        <w:t>by </w:t>
      </w:r>
      <w:r>
        <w:rPr>
          <w:color w:val="231F20"/>
        </w:rPr>
        <w:t>joining the financial staffs at banks, corporations, and mutual </w:t>
      </w:r>
      <w:r>
        <w:rPr>
          <w:color w:val="231F20"/>
        </w:rPr>
        <w:t>funds. </w:t>
      </w:r>
      <w:r>
        <w:rPr>
          <w:color w:val="231F20"/>
          <w:w w:val="105"/>
        </w:rPr>
        <w:t>But like the seasons, Wall Street made a comeback in the 1990s, </w:t>
      </w:r>
      <w:r>
        <w:rPr>
          <w:color w:val="231F20"/>
        </w:rPr>
        <w:t>had a brutal winter after the Internet meltdown in 2000, and recov- </w:t>
      </w:r>
      <w:r>
        <w:rPr>
          <w:color w:val="231F20"/>
          <w:w w:val="105"/>
        </w:rPr>
        <w:t>ered again in 2004 like spring. MBAs from the top schools are put on</w:t>
      </w:r>
      <w:r>
        <w:rPr>
          <w:color w:val="231F20"/>
          <w:spacing w:val="20"/>
          <w:w w:val="105"/>
        </w:rPr>
        <w:t> </w:t>
      </w:r>
      <w:r>
        <w:rPr>
          <w:color w:val="231F20"/>
          <w:w w:val="105"/>
        </w:rPr>
        <w:t>the</w:t>
      </w:r>
      <w:r>
        <w:rPr>
          <w:color w:val="231F20"/>
          <w:spacing w:val="20"/>
          <w:w w:val="105"/>
        </w:rPr>
        <w:t> </w:t>
      </w:r>
      <w:r>
        <w:rPr>
          <w:color w:val="231F20"/>
          <w:w w:val="105"/>
        </w:rPr>
        <w:t>fast</w:t>
      </w:r>
      <w:r>
        <w:rPr>
          <w:color w:val="231F20"/>
          <w:spacing w:val="20"/>
          <w:w w:val="105"/>
        </w:rPr>
        <w:t> </w:t>
      </w:r>
      <w:r>
        <w:rPr>
          <w:color w:val="231F20"/>
          <w:w w:val="105"/>
        </w:rPr>
        <w:t>track</w:t>
      </w:r>
      <w:r>
        <w:rPr>
          <w:color w:val="231F20"/>
          <w:spacing w:val="20"/>
          <w:w w:val="105"/>
        </w:rPr>
        <w:t> </w:t>
      </w:r>
      <w:r>
        <w:rPr>
          <w:color w:val="231F20"/>
          <w:w w:val="105"/>
        </w:rPr>
        <w:t>and</w:t>
      </w:r>
      <w:r>
        <w:rPr>
          <w:color w:val="231F20"/>
          <w:spacing w:val="20"/>
          <w:w w:val="105"/>
        </w:rPr>
        <w:t> </w:t>
      </w:r>
      <w:r>
        <w:rPr>
          <w:color w:val="231F20"/>
          <w:w w:val="105"/>
        </w:rPr>
        <w:t>are</w:t>
      </w:r>
      <w:r>
        <w:rPr>
          <w:color w:val="231F20"/>
          <w:spacing w:val="20"/>
          <w:w w:val="105"/>
        </w:rPr>
        <w:t> </w:t>
      </w:r>
      <w:r>
        <w:rPr>
          <w:color w:val="231F20"/>
          <w:w w:val="105"/>
        </w:rPr>
        <w:t>paid</w:t>
      </w:r>
      <w:r>
        <w:rPr>
          <w:color w:val="231F20"/>
          <w:spacing w:val="20"/>
          <w:w w:val="105"/>
        </w:rPr>
        <w:t> </w:t>
      </w:r>
      <w:r>
        <w:rPr>
          <w:color w:val="231F20"/>
          <w:w w:val="105"/>
        </w:rPr>
        <w:t>significantly</w:t>
      </w:r>
      <w:r>
        <w:rPr>
          <w:color w:val="231F20"/>
          <w:spacing w:val="20"/>
          <w:w w:val="105"/>
        </w:rPr>
        <w:t> </w:t>
      </w:r>
      <w:r>
        <w:rPr>
          <w:color w:val="231F20"/>
          <w:w w:val="105"/>
        </w:rPr>
        <w:t>more</w:t>
      </w:r>
      <w:r>
        <w:rPr>
          <w:color w:val="231F20"/>
          <w:spacing w:val="20"/>
          <w:w w:val="105"/>
        </w:rPr>
        <w:t> </w:t>
      </w:r>
      <w:r>
        <w:rPr>
          <w:color w:val="231F20"/>
          <w:w w:val="105"/>
        </w:rPr>
        <w:t>than</w:t>
      </w:r>
      <w:r>
        <w:rPr>
          <w:color w:val="231F20"/>
          <w:spacing w:val="20"/>
          <w:w w:val="105"/>
        </w:rPr>
        <w:t> </w:t>
      </w:r>
      <w:r>
        <w:rPr>
          <w:color w:val="231F20"/>
          <w:w w:val="105"/>
        </w:rPr>
        <w:t>their</w:t>
      </w:r>
      <w:r>
        <w:rPr>
          <w:color w:val="231F20"/>
          <w:spacing w:val="20"/>
          <w:w w:val="105"/>
        </w:rPr>
        <w:t> </w:t>
      </w:r>
      <w:r>
        <w:rPr>
          <w:color w:val="231F20"/>
          <w:w w:val="105"/>
        </w:rPr>
        <w:t>non- MBA</w:t>
      </w:r>
      <w:r>
        <w:rPr>
          <w:color w:val="231F20"/>
          <w:spacing w:val="-4"/>
          <w:w w:val="105"/>
        </w:rPr>
        <w:t> </w:t>
      </w:r>
      <w:r>
        <w:rPr>
          <w:color w:val="231F20"/>
          <w:w w:val="105"/>
        </w:rPr>
        <w:t>peers.</w:t>
      </w:r>
      <w:r>
        <w:rPr>
          <w:color w:val="231F20"/>
          <w:spacing w:val="-4"/>
          <w:w w:val="105"/>
        </w:rPr>
        <w:t> </w:t>
      </w:r>
      <w:r>
        <w:rPr>
          <w:color w:val="231F20"/>
          <w:w w:val="105"/>
        </w:rPr>
        <w:t>On</w:t>
      </w:r>
      <w:r>
        <w:rPr>
          <w:color w:val="231F20"/>
          <w:spacing w:val="-4"/>
          <w:w w:val="105"/>
        </w:rPr>
        <w:t> </w:t>
      </w:r>
      <w:r>
        <w:rPr>
          <w:color w:val="231F20"/>
          <w:w w:val="105"/>
        </w:rPr>
        <w:t>Wall</w:t>
      </w:r>
      <w:r>
        <w:rPr>
          <w:color w:val="231F20"/>
          <w:spacing w:val="-4"/>
          <w:w w:val="105"/>
        </w:rPr>
        <w:t> </w:t>
      </w:r>
      <w:r>
        <w:rPr>
          <w:color w:val="231F20"/>
          <w:w w:val="105"/>
        </w:rPr>
        <w:t>Street,</w:t>
      </w:r>
      <w:r>
        <w:rPr>
          <w:color w:val="231F20"/>
          <w:spacing w:val="-4"/>
          <w:w w:val="105"/>
        </w:rPr>
        <w:t> </w:t>
      </w:r>
      <w:r>
        <w:rPr>
          <w:color w:val="231F20"/>
          <w:w w:val="105"/>
        </w:rPr>
        <w:t>MBAs</w:t>
      </w:r>
      <w:r>
        <w:rPr>
          <w:color w:val="231F20"/>
          <w:spacing w:val="-4"/>
          <w:w w:val="105"/>
        </w:rPr>
        <w:t> </w:t>
      </w:r>
      <w:r>
        <w:rPr>
          <w:color w:val="231F20"/>
          <w:w w:val="105"/>
        </w:rPr>
        <w:t>make</w:t>
      </w:r>
      <w:r>
        <w:rPr>
          <w:color w:val="231F20"/>
          <w:spacing w:val="-4"/>
          <w:w w:val="105"/>
        </w:rPr>
        <w:t> </w:t>
      </w:r>
      <w:r>
        <w:rPr>
          <w:color w:val="231F20"/>
          <w:w w:val="105"/>
        </w:rPr>
        <w:t>forty</w:t>
      </w:r>
      <w:r>
        <w:rPr>
          <w:color w:val="231F20"/>
          <w:spacing w:val="-4"/>
          <w:w w:val="105"/>
        </w:rPr>
        <w:t> </w:t>
      </w:r>
      <w:r>
        <w:rPr>
          <w:color w:val="231F20"/>
          <w:w w:val="105"/>
        </w:rPr>
        <w:t>to</w:t>
      </w:r>
      <w:r>
        <w:rPr>
          <w:color w:val="231F20"/>
          <w:spacing w:val="-4"/>
          <w:w w:val="105"/>
        </w:rPr>
        <w:t> </w:t>
      </w:r>
      <w:r>
        <w:rPr>
          <w:color w:val="231F20"/>
          <w:w w:val="105"/>
        </w:rPr>
        <w:t>fifty</w:t>
      </w:r>
      <w:r>
        <w:rPr>
          <w:color w:val="231F20"/>
          <w:spacing w:val="-4"/>
          <w:w w:val="105"/>
        </w:rPr>
        <w:t> </w:t>
      </w:r>
      <w:r>
        <w:rPr>
          <w:color w:val="231F20"/>
          <w:w w:val="105"/>
        </w:rPr>
        <w:t>thousand</w:t>
      </w:r>
      <w:r>
        <w:rPr>
          <w:color w:val="231F20"/>
          <w:spacing w:val="-4"/>
          <w:w w:val="105"/>
        </w:rPr>
        <w:t> </w:t>
      </w:r>
      <w:r>
        <w:rPr>
          <w:color w:val="231F20"/>
          <w:w w:val="105"/>
        </w:rPr>
        <w:t>dol- lars</w:t>
      </w:r>
      <w:r>
        <w:rPr>
          <w:color w:val="231F20"/>
          <w:spacing w:val="5"/>
          <w:w w:val="105"/>
        </w:rPr>
        <w:t> </w:t>
      </w:r>
      <w:r>
        <w:rPr>
          <w:color w:val="231F20"/>
          <w:w w:val="105"/>
        </w:rPr>
        <w:t>more</w:t>
      </w:r>
      <w:r>
        <w:rPr>
          <w:color w:val="231F20"/>
          <w:spacing w:val="5"/>
          <w:w w:val="105"/>
        </w:rPr>
        <w:t> </w:t>
      </w:r>
      <w:r>
        <w:rPr>
          <w:color w:val="231F20"/>
          <w:w w:val="105"/>
        </w:rPr>
        <w:t>per</w:t>
      </w:r>
      <w:r>
        <w:rPr>
          <w:color w:val="231F20"/>
          <w:spacing w:val="6"/>
          <w:w w:val="105"/>
        </w:rPr>
        <w:t> </w:t>
      </w:r>
      <w:r>
        <w:rPr>
          <w:color w:val="231F20"/>
          <w:w w:val="105"/>
        </w:rPr>
        <w:t>year</w:t>
      </w:r>
      <w:r>
        <w:rPr>
          <w:color w:val="231F20"/>
          <w:spacing w:val="5"/>
          <w:w w:val="105"/>
        </w:rPr>
        <w:t> </w:t>
      </w:r>
      <w:r>
        <w:rPr>
          <w:color w:val="231F20"/>
          <w:w w:val="105"/>
        </w:rPr>
        <w:t>than</w:t>
      </w:r>
      <w:r>
        <w:rPr>
          <w:color w:val="231F20"/>
          <w:spacing w:val="6"/>
          <w:w w:val="105"/>
        </w:rPr>
        <w:t> </w:t>
      </w:r>
      <w:r>
        <w:rPr>
          <w:color w:val="231F20"/>
          <w:w w:val="105"/>
        </w:rPr>
        <w:t>non-MBAs</w:t>
      </w:r>
      <w:r>
        <w:rPr>
          <w:color w:val="231F20"/>
          <w:spacing w:val="5"/>
          <w:w w:val="105"/>
        </w:rPr>
        <w:t> </w:t>
      </w:r>
      <w:r>
        <w:rPr>
          <w:color w:val="231F20"/>
          <w:w w:val="105"/>
        </w:rPr>
        <w:t>in</w:t>
      </w:r>
      <w:r>
        <w:rPr>
          <w:color w:val="231F20"/>
          <w:spacing w:val="5"/>
          <w:w w:val="105"/>
        </w:rPr>
        <w:t> </w:t>
      </w:r>
      <w:r>
        <w:rPr>
          <w:color w:val="231F20"/>
          <w:w w:val="105"/>
        </w:rPr>
        <w:t>the</w:t>
      </w:r>
      <w:r>
        <w:rPr>
          <w:color w:val="231F20"/>
          <w:spacing w:val="6"/>
          <w:w w:val="105"/>
        </w:rPr>
        <w:t> </w:t>
      </w:r>
      <w:r>
        <w:rPr>
          <w:color w:val="231F20"/>
          <w:w w:val="105"/>
        </w:rPr>
        <w:t>same</w:t>
      </w:r>
      <w:r>
        <w:rPr>
          <w:color w:val="231F20"/>
          <w:spacing w:val="5"/>
          <w:w w:val="105"/>
        </w:rPr>
        <w:t> </w:t>
      </w:r>
      <w:r>
        <w:rPr>
          <w:color w:val="231F20"/>
          <w:w w:val="105"/>
        </w:rPr>
        <w:t>job.</w:t>
      </w:r>
      <w:r>
        <w:rPr>
          <w:color w:val="231F20"/>
          <w:spacing w:val="6"/>
          <w:w w:val="105"/>
        </w:rPr>
        <w:t> </w:t>
      </w:r>
      <w:r>
        <w:rPr>
          <w:color w:val="231F20"/>
          <w:w w:val="105"/>
        </w:rPr>
        <w:t>Moreover,</w:t>
      </w:r>
      <w:r>
        <w:rPr>
          <w:color w:val="231F20"/>
          <w:spacing w:val="5"/>
          <w:w w:val="105"/>
        </w:rPr>
        <w:t> </w:t>
      </w:r>
      <w:r>
        <w:rPr>
          <w:color w:val="231F20"/>
          <w:spacing w:val="-5"/>
          <w:w w:val="105"/>
        </w:rPr>
        <w:t>job</w:t>
      </w:r>
    </w:p>
    <w:p>
      <w:pPr>
        <w:pStyle w:val="BodyText"/>
        <w:spacing w:line="242" w:lineRule="exact"/>
        <w:ind w:left="920"/>
        <w:jc w:val="both"/>
      </w:pPr>
      <w:r>
        <w:rPr>
          <w:color w:val="231F20"/>
        </w:rPr>
        <w:t>advancement</w:t>
      </w:r>
      <w:r>
        <w:rPr>
          <w:color w:val="231F20"/>
          <w:spacing w:val="15"/>
        </w:rPr>
        <w:t> </w:t>
      </w:r>
      <w:r>
        <w:rPr>
          <w:color w:val="231F20"/>
        </w:rPr>
        <w:t>is</w:t>
      </w:r>
      <w:r>
        <w:rPr>
          <w:color w:val="231F20"/>
          <w:spacing w:val="16"/>
        </w:rPr>
        <w:t> </w:t>
      </w:r>
      <w:r>
        <w:rPr>
          <w:color w:val="231F20"/>
        </w:rPr>
        <w:t>often</w:t>
      </w:r>
      <w:r>
        <w:rPr>
          <w:color w:val="231F20"/>
          <w:spacing w:val="16"/>
        </w:rPr>
        <w:t> </w:t>
      </w:r>
      <w:r>
        <w:rPr>
          <w:color w:val="231F20"/>
        </w:rPr>
        <w:t>limited</w:t>
      </w:r>
      <w:r>
        <w:rPr>
          <w:color w:val="231F20"/>
          <w:spacing w:val="16"/>
        </w:rPr>
        <w:t> </w:t>
      </w:r>
      <w:r>
        <w:rPr>
          <w:color w:val="231F20"/>
        </w:rPr>
        <w:t>to</w:t>
      </w:r>
      <w:r>
        <w:rPr>
          <w:color w:val="231F20"/>
          <w:spacing w:val="15"/>
        </w:rPr>
        <w:t> </w:t>
      </w:r>
      <w:r>
        <w:rPr>
          <w:color w:val="231F20"/>
        </w:rPr>
        <w:t>the</w:t>
      </w:r>
      <w:r>
        <w:rPr>
          <w:color w:val="231F20"/>
          <w:spacing w:val="16"/>
        </w:rPr>
        <w:t> </w:t>
      </w:r>
      <w:r>
        <w:rPr>
          <w:color w:val="231F20"/>
        </w:rPr>
        <w:t>MBA</w:t>
      </w:r>
      <w:r>
        <w:rPr>
          <w:color w:val="231F20"/>
          <w:spacing w:val="16"/>
        </w:rPr>
        <w:t> </w:t>
      </w:r>
      <w:r>
        <w:rPr>
          <w:color w:val="231F20"/>
          <w:spacing w:val="-2"/>
        </w:rPr>
        <w:t>elite.</w:t>
      </w:r>
    </w:p>
    <w:p>
      <w:pPr>
        <w:pStyle w:val="BodyText"/>
        <w:spacing w:line="292" w:lineRule="auto" w:before="53"/>
        <w:ind w:left="919" w:right="666" w:firstLine="340"/>
        <w:jc w:val="both"/>
      </w:pPr>
      <w:r>
        <w:rPr>
          <w:color w:val="231F20"/>
        </w:rPr>
        <w:t>Do not read this chapter in isolation. If finance turns you on, a single-minded focus on this discipline could be hazardous to your business health. Finance is very quantitative, using numbers from</w:t>
      </w:r>
      <w:r>
        <w:rPr>
          <w:color w:val="231F20"/>
          <w:spacing w:val="80"/>
        </w:rPr>
        <w:t> </w:t>
      </w:r>
      <w:r>
        <w:rPr>
          <w:color w:val="231F20"/>
        </w:rPr>
        <w:t>the</w:t>
      </w:r>
      <w:r>
        <w:rPr>
          <w:color w:val="231F20"/>
          <w:spacing w:val="40"/>
        </w:rPr>
        <w:t> </w:t>
      </w:r>
      <w:r>
        <w:rPr>
          <w:color w:val="231F20"/>
        </w:rPr>
        <w:t>accounting</w:t>
      </w:r>
      <w:r>
        <w:rPr>
          <w:color w:val="231F20"/>
          <w:spacing w:val="40"/>
        </w:rPr>
        <w:t> </w:t>
      </w:r>
      <w:r>
        <w:rPr>
          <w:color w:val="231F20"/>
        </w:rPr>
        <w:t>and</w:t>
      </w:r>
      <w:r>
        <w:rPr>
          <w:color w:val="231F20"/>
          <w:spacing w:val="40"/>
        </w:rPr>
        <w:t> </w:t>
      </w:r>
      <w:r>
        <w:rPr>
          <w:color w:val="231F20"/>
        </w:rPr>
        <w:t>QA</w:t>
      </w:r>
      <w:r>
        <w:rPr>
          <w:color w:val="231F20"/>
          <w:spacing w:val="40"/>
        </w:rPr>
        <w:t> </w:t>
      </w:r>
      <w:r>
        <w:rPr>
          <w:color w:val="231F20"/>
        </w:rPr>
        <w:t>chapters.</w:t>
      </w:r>
      <w:r>
        <w:rPr>
          <w:color w:val="231F20"/>
          <w:spacing w:val="40"/>
        </w:rPr>
        <w:t> </w:t>
      </w:r>
      <w:r>
        <w:rPr>
          <w:color w:val="231F20"/>
        </w:rPr>
        <w:t>Finance</w:t>
      </w:r>
      <w:r>
        <w:rPr>
          <w:color w:val="231F20"/>
          <w:spacing w:val="40"/>
        </w:rPr>
        <w:t> </w:t>
      </w:r>
      <w:r>
        <w:rPr>
          <w:color w:val="231F20"/>
        </w:rPr>
        <w:t>also</w:t>
      </w:r>
      <w:r>
        <w:rPr>
          <w:color w:val="231F20"/>
          <w:spacing w:val="40"/>
        </w:rPr>
        <w:t> </w:t>
      </w:r>
      <w:r>
        <w:rPr>
          <w:color w:val="231F20"/>
        </w:rPr>
        <w:t>plays</w:t>
      </w:r>
      <w:r>
        <w:rPr>
          <w:color w:val="231F20"/>
          <w:spacing w:val="40"/>
        </w:rPr>
        <w:t> </w:t>
      </w:r>
      <w:r>
        <w:rPr>
          <w:color w:val="231F20"/>
        </w:rPr>
        <w:t>as</w:t>
      </w:r>
      <w:r>
        <w:rPr>
          <w:color w:val="231F20"/>
          <w:spacing w:val="40"/>
        </w:rPr>
        <w:t> </w:t>
      </w:r>
      <w:r>
        <w:rPr>
          <w:color w:val="231F20"/>
        </w:rPr>
        <w:t>much</w:t>
      </w:r>
      <w:r>
        <w:rPr>
          <w:color w:val="231F20"/>
          <w:spacing w:val="40"/>
        </w:rPr>
        <w:t> </w:t>
      </w:r>
      <w:r>
        <w:rPr>
          <w:color w:val="231F20"/>
        </w:rPr>
        <w:t>of</w:t>
      </w:r>
      <w:r>
        <w:rPr>
          <w:color w:val="231F20"/>
          <w:spacing w:val="40"/>
        </w:rPr>
        <w:t> </w:t>
      </w:r>
      <w:r>
        <w:rPr>
          <w:color w:val="231F20"/>
        </w:rPr>
        <w:t>a role in marketing as marketing does in finance. Marketers are re- sponsible for their financial results. Financiers work hard to market themselves to new clients and to sell new stocks to old ones.</w:t>
      </w:r>
    </w:p>
    <w:p>
      <w:pPr>
        <w:pStyle w:val="BodyText"/>
        <w:rPr>
          <w:sz w:val="24"/>
        </w:rPr>
      </w:pPr>
    </w:p>
    <w:p>
      <w:pPr>
        <w:pStyle w:val="BodyText"/>
        <w:spacing w:before="9"/>
        <w:rPr>
          <w:sz w:val="24"/>
        </w:rPr>
      </w:pPr>
    </w:p>
    <w:p>
      <w:pPr>
        <w:pStyle w:val="Heading4"/>
        <w:ind w:left="481"/>
      </w:pPr>
      <w:r>
        <w:rPr>
          <w:color w:val="231F20"/>
          <w:w w:val="85"/>
        </w:rPr>
        <w:t>THE</w:t>
      </w:r>
      <w:r>
        <w:rPr>
          <w:color w:val="231F20"/>
          <w:spacing w:val="14"/>
        </w:rPr>
        <w:t> </w:t>
      </w:r>
      <w:r>
        <w:rPr>
          <w:color w:val="231F20"/>
          <w:w w:val="85"/>
        </w:rPr>
        <w:t>NATURE</w:t>
      </w:r>
      <w:r>
        <w:rPr>
          <w:color w:val="231F20"/>
          <w:spacing w:val="15"/>
        </w:rPr>
        <w:t> </w:t>
      </w:r>
      <w:r>
        <w:rPr>
          <w:color w:val="231F20"/>
          <w:w w:val="85"/>
        </w:rPr>
        <w:t>OF</w:t>
      </w:r>
      <w:r>
        <w:rPr>
          <w:color w:val="231F20"/>
          <w:spacing w:val="14"/>
        </w:rPr>
        <w:t> </w:t>
      </w:r>
      <w:r>
        <w:rPr>
          <w:color w:val="231F20"/>
          <w:w w:val="85"/>
        </w:rPr>
        <w:t>THE</w:t>
      </w:r>
      <w:r>
        <w:rPr>
          <w:color w:val="231F20"/>
          <w:spacing w:val="15"/>
        </w:rPr>
        <w:t> </w:t>
      </w:r>
      <w:r>
        <w:rPr>
          <w:color w:val="231F20"/>
          <w:spacing w:val="7"/>
          <w:w w:val="85"/>
        </w:rPr>
        <w:t>FIRM</w:t>
      </w:r>
    </w:p>
    <w:p>
      <w:pPr>
        <w:pStyle w:val="BodyText"/>
        <w:spacing w:before="10"/>
        <w:rPr>
          <w:rFonts w:ascii="Trebuchet MS"/>
          <w:sz w:val="29"/>
        </w:rPr>
      </w:pPr>
    </w:p>
    <w:p>
      <w:pPr>
        <w:pStyle w:val="BodyText"/>
        <w:spacing w:line="292" w:lineRule="auto" w:before="1"/>
        <w:ind w:left="919" w:right="663"/>
        <w:jc w:val="both"/>
      </w:pPr>
      <w:r>
        <w:rPr>
          <w:color w:val="231F20"/>
        </w:rPr>
        <w:t>Why do businesses exist? In a financier’s eyes, the sole purpose of </w:t>
      </w:r>
      <w:r>
        <w:rPr>
          <w:color w:val="231F20"/>
        </w:rPr>
        <w:t>a firm is to maximize the wealth of its owners. In their pursuit of</w:t>
      </w:r>
      <w:r>
        <w:rPr>
          <w:color w:val="231F20"/>
          <w:spacing w:val="40"/>
        </w:rPr>
        <w:t> </w:t>
      </w:r>
      <w:r>
        <w:rPr>
          <w:color w:val="231F20"/>
        </w:rPr>
        <w:t>riches, people can organize their businesses in several ways. There are three basic legal </w:t>
      </w:r>
      <w:r>
        <w:rPr>
          <w:i/>
          <w:color w:val="231F20"/>
        </w:rPr>
        <w:t>business structures </w:t>
      </w:r>
      <w:r>
        <w:rPr>
          <w:color w:val="231F20"/>
        </w:rPr>
        <w:t>that entities take on in the United States. Each is chosen depending on the complexity of the business, liability preference, and tax considerations of the owners.</w:t>
      </w:r>
    </w:p>
    <w:p>
      <w:pPr>
        <w:pStyle w:val="BodyText"/>
        <w:rPr>
          <w:sz w:val="24"/>
        </w:rPr>
      </w:pPr>
    </w:p>
    <w:p>
      <w:pPr>
        <w:pStyle w:val="BodyText"/>
        <w:spacing w:before="11"/>
        <w:rPr>
          <w:sz w:val="26"/>
        </w:rPr>
      </w:pPr>
    </w:p>
    <w:p>
      <w:pPr>
        <w:pStyle w:val="Heading6"/>
        <w:rPr>
          <w:i/>
        </w:rPr>
      </w:pPr>
      <w:r>
        <w:rPr>
          <w:i/>
          <w:color w:val="231F20"/>
          <w:spacing w:val="8"/>
          <w:w w:val="110"/>
        </w:rPr>
        <w:t>PROPRIETORSHIPS</w:t>
      </w:r>
    </w:p>
    <w:p>
      <w:pPr>
        <w:pStyle w:val="BodyText"/>
        <w:spacing w:before="2"/>
        <w:rPr>
          <w:b/>
          <w:i/>
          <w:sz w:val="30"/>
        </w:rPr>
      </w:pPr>
    </w:p>
    <w:p>
      <w:pPr>
        <w:pStyle w:val="BodyText"/>
        <w:spacing w:line="292" w:lineRule="auto"/>
        <w:ind w:left="920" w:right="666"/>
        <w:jc w:val="both"/>
      </w:pPr>
      <w:r>
        <w:rPr>
          <w:color w:val="231F20"/>
          <w:w w:val="105"/>
        </w:rPr>
        <w:t>A</w:t>
      </w:r>
      <w:r>
        <w:rPr>
          <w:color w:val="231F20"/>
          <w:w w:val="105"/>
        </w:rPr>
        <w:t> </w:t>
      </w:r>
      <w:r>
        <w:rPr>
          <w:i/>
          <w:color w:val="231F20"/>
          <w:w w:val="105"/>
        </w:rPr>
        <w:t>proprietorship, </w:t>
      </w:r>
      <w:r>
        <w:rPr>
          <w:color w:val="231F20"/>
          <w:w w:val="105"/>
        </w:rPr>
        <w:t>commonly</w:t>
      </w:r>
      <w:r>
        <w:rPr>
          <w:color w:val="231F20"/>
          <w:w w:val="105"/>
        </w:rPr>
        <w:t> called</w:t>
      </w:r>
      <w:r>
        <w:rPr>
          <w:color w:val="231F20"/>
          <w:w w:val="105"/>
        </w:rPr>
        <w:t> a </w:t>
      </w:r>
      <w:r>
        <w:rPr>
          <w:i/>
          <w:color w:val="231F20"/>
          <w:w w:val="105"/>
        </w:rPr>
        <w:t>sole</w:t>
      </w:r>
      <w:r>
        <w:rPr>
          <w:i/>
          <w:color w:val="231F20"/>
          <w:w w:val="105"/>
        </w:rPr>
        <w:t> proprietorship, </w:t>
      </w:r>
      <w:r>
        <w:rPr>
          <w:color w:val="231F20"/>
          <w:w w:val="105"/>
        </w:rPr>
        <w:t>is</w:t>
      </w:r>
      <w:r>
        <w:rPr>
          <w:color w:val="231F20"/>
          <w:w w:val="105"/>
        </w:rPr>
        <w:t> a</w:t>
      </w:r>
      <w:r>
        <w:rPr>
          <w:color w:val="231F20"/>
          <w:w w:val="105"/>
        </w:rPr>
        <w:t> busi- ness</w:t>
      </w:r>
      <w:r>
        <w:rPr>
          <w:color w:val="231F20"/>
          <w:spacing w:val="-13"/>
          <w:w w:val="105"/>
        </w:rPr>
        <w:t> </w:t>
      </w:r>
      <w:r>
        <w:rPr>
          <w:color w:val="231F20"/>
          <w:w w:val="105"/>
        </w:rPr>
        <w:t>owned</w:t>
      </w:r>
      <w:r>
        <w:rPr>
          <w:color w:val="231F20"/>
          <w:spacing w:val="-12"/>
          <w:w w:val="105"/>
        </w:rPr>
        <w:t> </w:t>
      </w:r>
      <w:r>
        <w:rPr>
          <w:color w:val="231F20"/>
          <w:w w:val="105"/>
        </w:rPr>
        <w:t>by</w:t>
      </w:r>
      <w:r>
        <w:rPr>
          <w:color w:val="231F20"/>
          <w:spacing w:val="-12"/>
          <w:w w:val="105"/>
        </w:rPr>
        <w:t> </w:t>
      </w:r>
      <w:r>
        <w:rPr>
          <w:color w:val="231F20"/>
          <w:w w:val="105"/>
        </w:rPr>
        <w:t>an</w:t>
      </w:r>
      <w:r>
        <w:rPr>
          <w:color w:val="231F20"/>
          <w:spacing w:val="-12"/>
          <w:w w:val="105"/>
        </w:rPr>
        <w:t> </w:t>
      </w:r>
      <w:r>
        <w:rPr>
          <w:color w:val="231F20"/>
          <w:w w:val="105"/>
        </w:rPr>
        <w:t>individual</w:t>
      </w:r>
      <w:r>
        <w:rPr>
          <w:color w:val="231F20"/>
          <w:spacing w:val="-12"/>
          <w:w w:val="105"/>
        </w:rPr>
        <w:t> </w:t>
      </w:r>
      <w:r>
        <w:rPr>
          <w:color w:val="231F20"/>
          <w:w w:val="105"/>
        </w:rPr>
        <w:t>or</w:t>
      </w:r>
      <w:r>
        <w:rPr>
          <w:color w:val="231F20"/>
          <w:spacing w:val="-12"/>
          <w:w w:val="105"/>
        </w:rPr>
        <w:t> </w:t>
      </w:r>
      <w:r>
        <w:rPr>
          <w:color w:val="231F20"/>
          <w:w w:val="105"/>
        </w:rPr>
        <w:t>husband</w:t>
      </w:r>
      <w:r>
        <w:rPr>
          <w:color w:val="231F20"/>
          <w:spacing w:val="-12"/>
          <w:w w:val="105"/>
        </w:rPr>
        <w:t> </w:t>
      </w:r>
      <w:r>
        <w:rPr>
          <w:color w:val="231F20"/>
          <w:w w:val="105"/>
        </w:rPr>
        <w:t>and</w:t>
      </w:r>
      <w:r>
        <w:rPr>
          <w:color w:val="231F20"/>
          <w:spacing w:val="-13"/>
          <w:w w:val="105"/>
        </w:rPr>
        <w:t> </w:t>
      </w:r>
      <w:r>
        <w:rPr>
          <w:color w:val="231F20"/>
          <w:w w:val="105"/>
        </w:rPr>
        <w:t>wife.</w:t>
      </w:r>
      <w:r>
        <w:rPr>
          <w:color w:val="231F20"/>
          <w:spacing w:val="-12"/>
          <w:w w:val="105"/>
        </w:rPr>
        <w:t> </w:t>
      </w:r>
      <w:r>
        <w:rPr>
          <w:color w:val="231F20"/>
          <w:w w:val="105"/>
        </w:rPr>
        <w:t>The</w:t>
      </w:r>
      <w:r>
        <w:rPr>
          <w:color w:val="231F20"/>
          <w:spacing w:val="-12"/>
          <w:w w:val="105"/>
        </w:rPr>
        <w:t> </w:t>
      </w:r>
      <w:r>
        <w:rPr>
          <w:color w:val="231F20"/>
          <w:w w:val="105"/>
        </w:rPr>
        <w:t>owner</w:t>
      </w:r>
      <w:r>
        <w:rPr>
          <w:color w:val="231F20"/>
          <w:spacing w:val="-12"/>
          <w:w w:val="105"/>
        </w:rPr>
        <w:t> </w:t>
      </w:r>
      <w:r>
        <w:rPr>
          <w:color w:val="231F20"/>
          <w:w w:val="105"/>
        </w:rPr>
        <w:t>reaps all</w:t>
      </w:r>
      <w:r>
        <w:rPr>
          <w:color w:val="231F20"/>
          <w:spacing w:val="5"/>
          <w:w w:val="105"/>
        </w:rPr>
        <w:t> </w:t>
      </w:r>
      <w:r>
        <w:rPr>
          <w:color w:val="231F20"/>
          <w:w w:val="105"/>
        </w:rPr>
        <w:t>the</w:t>
      </w:r>
      <w:r>
        <w:rPr>
          <w:color w:val="231F20"/>
          <w:spacing w:val="5"/>
          <w:w w:val="105"/>
        </w:rPr>
        <w:t> </w:t>
      </w:r>
      <w:r>
        <w:rPr>
          <w:color w:val="231F20"/>
          <w:w w:val="105"/>
        </w:rPr>
        <w:t>profits</w:t>
      </w:r>
      <w:r>
        <w:rPr>
          <w:color w:val="231F20"/>
          <w:spacing w:val="5"/>
          <w:w w:val="105"/>
        </w:rPr>
        <w:t> </w:t>
      </w:r>
      <w:r>
        <w:rPr>
          <w:color w:val="231F20"/>
          <w:w w:val="105"/>
        </w:rPr>
        <w:t>and</w:t>
      </w:r>
      <w:r>
        <w:rPr>
          <w:color w:val="231F20"/>
          <w:spacing w:val="5"/>
          <w:w w:val="105"/>
        </w:rPr>
        <w:t> </w:t>
      </w:r>
      <w:r>
        <w:rPr>
          <w:color w:val="231F20"/>
          <w:w w:val="105"/>
        </w:rPr>
        <w:t>has</w:t>
      </w:r>
      <w:r>
        <w:rPr>
          <w:color w:val="231F20"/>
          <w:spacing w:val="5"/>
          <w:w w:val="105"/>
        </w:rPr>
        <w:t> </w:t>
      </w:r>
      <w:r>
        <w:rPr>
          <w:color w:val="231F20"/>
          <w:w w:val="105"/>
        </w:rPr>
        <w:t>unlimited</w:t>
      </w:r>
      <w:r>
        <w:rPr>
          <w:color w:val="231F20"/>
          <w:spacing w:val="5"/>
          <w:w w:val="105"/>
        </w:rPr>
        <w:t> </w:t>
      </w:r>
      <w:r>
        <w:rPr>
          <w:color w:val="231F20"/>
          <w:w w:val="105"/>
        </w:rPr>
        <w:t>liability</w:t>
      </w:r>
      <w:r>
        <w:rPr>
          <w:color w:val="231F20"/>
          <w:spacing w:val="5"/>
          <w:w w:val="105"/>
        </w:rPr>
        <w:t> </w:t>
      </w:r>
      <w:r>
        <w:rPr>
          <w:color w:val="231F20"/>
          <w:w w:val="105"/>
        </w:rPr>
        <w:t>for</w:t>
      </w:r>
      <w:r>
        <w:rPr>
          <w:color w:val="231F20"/>
          <w:spacing w:val="6"/>
          <w:w w:val="105"/>
        </w:rPr>
        <w:t> </w:t>
      </w:r>
      <w:r>
        <w:rPr>
          <w:color w:val="231F20"/>
          <w:w w:val="105"/>
        </w:rPr>
        <w:t>all</w:t>
      </w:r>
      <w:r>
        <w:rPr>
          <w:color w:val="231F20"/>
          <w:spacing w:val="5"/>
          <w:w w:val="105"/>
        </w:rPr>
        <w:t> </w:t>
      </w:r>
      <w:r>
        <w:rPr>
          <w:color w:val="231F20"/>
          <w:w w:val="105"/>
        </w:rPr>
        <w:t>losses.</w:t>
      </w:r>
      <w:r>
        <w:rPr>
          <w:color w:val="231F20"/>
          <w:spacing w:val="5"/>
          <w:w w:val="105"/>
        </w:rPr>
        <w:t> </w:t>
      </w:r>
      <w:r>
        <w:rPr>
          <w:color w:val="231F20"/>
          <w:w w:val="105"/>
        </w:rPr>
        <w:t>If</w:t>
      </w:r>
      <w:r>
        <w:rPr>
          <w:color w:val="231F20"/>
          <w:spacing w:val="5"/>
          <w:w w:val="105"/>
        </w:rPr>
        <w:t> </w:t>
      </w:r>
      <w:r>
        <w:rPr>
          <w:color w:val="231F20"/>
          <w:w w:val="105"/>
        </w:rPr>
        <w:t>things</w:t>
      </w:r>
      <w:r>
        <w:rPr>
          <w:color w:val="231F20"/>
          <w:spacing w:val="5"/>
          <w:w w:val="105"/>
        </w:rPr>
        <w:t> </w:t>
      </w:r>
      <w:r>
        <w:rPr>
          <w:color w:val="231F20"/>
          <w:spacing w:val="-5"/>
          <w:w w:val="105"/>
        </w:rPr>
        <w:t>go</w:t>
      </w:r>
    </w:p>
    <w:p>
      <w:pPr>
        <w:spacing w:after="0" w:line="292" w:lineRule="auto"/>
        <w:jc w:val="both"/>
        <w:sectPr>
          <w:headerReference w:type="default" r:id="rId81"/>
          <w:headerReference w:type="even" r:id="rId82"/>
          <w:pgSz w:w="8640" w:h="12960"/>
          <w:pgMar w:header="734" w:footer="0" w:top="920" w:bottom="280" w:left="340" w:right="500"/>
          <w:pgNumType w:start="197"/>
        </w:sectPr>
      </w:pPr>
    </w:p>
    <w:p>
      <w:pPr>
        <w:pStyle w:val="BodyText"/>
        <w:spacing w:before="10"/>
        <w:rPr>
          <w:sz w:val="17"/>
        </w:rPr>
      </w:pPr>
    </w:p>
    <w:p>
      <w:pPr>
        <w:pStyle w:val="BodyText"/>
        <w:spacing w:line="292" w:lineRule="auto" w:before="102"/>
        <w:ind w:left="830" w:right="753"/>
        <w:jc w:val="both"/>
      </w:pPr>
      <w:r>
        <w:rPr>
          <w:color w:val="231F20"/>
        </w:rPr>
        <w:t>poorly, the owner’s personal assets can be seized. It’s a simple </w:t>
      </w:r>
      <w:r>
        <w:rPr>
          <w:color w:val="231F20"/>
        </w:rPr>
        <w:t>struc- ture. As with a child’s lemonade stand, no special government regis- tration is required. Earnings are added to the individual’s other income, and taxes are paid on the total income. Because it is not a separate legal entity that can be divided and sold in pieces, it is more difficult</w:t>
      </w:r>
      <w:r>
        <w:rPr>
          <w:color w:val="231F20"/>
          <w:spacing w:val="5"/>
        </w:rPr>
        <w:t> </w:t>
      </w:r>
      <w:r>
        <w:rPr>
          <w:color w:val="231F20"/>
        </w:rPr>
        <w:t>for</w:t>
      </w:r>
      <w:r>
        <w:rPr>
          <w:color w:val="231F20"/>
          <w:spacing w:val="6"/>
        </w:rPr>
        <w:t> </w:t>
      </w:r>
      <w:r>
        <w:rPr>
          <w:color w:val="231F20"/>
        </w:rPr>
        <w:t>a</w:t>
      </w:r>
      <w:r>
        <w:rPr>
          <w:color w:val="231F20"/>
          <w:spacing w:val="5"/>
        </w:rPr>
        <w:t> </w:t>
      </w:r>
      <w:r>
        <w:rPr>
          <w:color w:val="231F20"/>
        </w:rPr>
        <w:t>proprietorship</w:t>
      </w:r>
      <w:r>
        <w:rPr>
          <w:color w:val="231F20"/>
          <w:spacing w:val="6"/>
        </w:rPr>
        <w:t> </w:t>
      </w:r>
      <w:r>
        <w:rPr>
          <w:color w:val="231F20"/>
        </w:rPr>
        <w:t>to</w:t>
      </w:r>
      <w:r>
        <w:rPr>
          <w:color w:val="231F20"/>
          <w:spacing w:val="6"/>
        </w:rPr>
        <w:t> </w:t>
      </w:r>
      <w:r>
        <w:rPr>
          <w:color w:val="231F20"/>
        </w:rPr>
        <w:t>raise</w:t>
      </w:r>
      <w:r>
        <w:rPr>
          <w:color w:val="231F20"/>
          <w:spacing w:val="5"/>
        </w:rPr>
        <w:t> </w:t>
      </w:r>
      <w:r>
        <w:rPr>
          <w:color w:val="231F20"/>
        </w:rPr>
        <w:t>money</w:t>
      </w:r>
      <w:r>
        <w:rPr>
          <w:color w:val="231F20"/>
          <w:spacing w:val="6"/>
        </w:rPr>
        <w:t> </w:t>
      </w:r>
      <w:r>
        <w:rPr>
          <w:color w:val="231F20"/>
        </w:rPr>
        <w:t>in</w:t>
      </w:r>
      <w:r>
        <w:rPr>
          <w:color w:val="231F20"/>
          <w:spacing w:val="5"/>
        </w:rPr>
        <w:t> </w:t>
      </w:r>
      <w:r>
        <w:rPr>
          <w:color w:val="231F20"/>
        </w:rPr>
        <w:t>the</w:t>
      </w:r>
      <w:r>
        <w:rPr>
          <w:color w:val="231F20"/>
          <w:spacing w:val="6"/>
        </w:rPr>
        <w:t> </w:t>
      </w:r>
      <w:r>
        <w:rPr>
          <w:color w:val="231F20"/>
        </w:rPr>
        <w:t>financial</w:t>
      </w:r>
      <w:r>
        <w:rPr>
          <w:color w:val="231F20"/>
          <w:spacing w:val="6"/>
        </w:rPr>
        <w:t> </w:t>
      </w:r>
      <w:r>
        <w:rPr>
          <w:color w:val="231F20"/>
          <w:spacing w:val="-2"/>
        </w:rPr>
        <w:t>markets.</w:t>
      </w:r>
    </w:p>
    <w:p>
      <w:pPr>
        <w:pStyle w:val="BodyText"/>
        <w:rPr>
          <w:sz w:val="24"/>
        </w:rPr>
      </w:pPr>
    </w:p>
    <w:p>
      <w:pPr>
        <w:pStyle w:val="BodyText"/>
        <w:spacing w:before="11"/>
        <w:rPr>
          <w:sz w:val="26"/>
        </w:rPr>
      </w:pPr>
    </w:p>
    <w:p>
      <w:pPr>
        <w:pStyle w:val="Heading6"/>
        <w:ind w:left="299"/>
        <w:rPr>
          <w:i/>
        </w:rPr>
      </w:pPr>
      <w:r>
        <w:rPr>
          <w:i/>
          <w:color w:val="231F20"/>
          <w:spacing w:val="-2"/>
          <w:w w:val="110"/>
        </w:rPr>
        <w:t>PARTNERSHIPS</w:t>
      </w:r>
    </w:p>
    <w:p>
      <w:pPr>
        <w:pStyle w:val="BodyText"/>
        <w:spacing w:before="2"/>
        <w:rPr>
          <w:b/>
          <w:i/>
          <w:sz w:val="30"/>
        </w:rPr>
      </w:pPr>
    </w:p>
    <w:p>
      <w:pPr>
        <w:pStyle w:val="BodyText"/>
        <w:spacing w:line="292" w:lineRule="auto"/>
        <w:ind w:left="830" w:right="754"/>
        <w:jc w:val="both"/>
      </w:pPr>
      <w:r>
        <w:rPr>
          <w:color w:val="231F20"/>
        </w:rPr>
        <w:t>When several individuals form a business, they often enter into a </w:t>
      </w:r>
      <w:r>
        <w:rPr>
          <w:i/>
          <w:color w:val="231F20"/>
        </w:rPr>
        <w:t>partnership. </w:t>
      </w:r>
      <w:r>
        <w:rPr>
          <w:color w:val="231F20"/>
        </w:rPr>
        <w:t>As in a proprietorship, each owner’s share of the earn- ings is included on his or her personal tax returns. Depending on the nature of the business, there are two types of partnerships. In a </w:t>
      </w:r>
      <w:r>
        <w:rPr>
          <w:i/>
          <w:color w:val="231F20"/>
        </w:rPr>
        <w:t>gen-</w:t>
      </w:r>
      <w:r>
        <w:rPr>
          <w:i/>
          <w:color w:val="231F20"/>
        </w:rPr>
        <w:t> eral </w:t>
      </w:r>
      <w:r>
        <w:rPr>
          <w:color w:val="231F20"/>
        </w:rPr>
        <w:t>partnership, active owners, called </w:t>
      </w:r>
      <w:r>
        <w:rPr>
          <w:i/>
          <w:color w:val="231F20"/>
        </w:rPr>
        <w:t>general partners, </w:t>
      </w:r>
      <w:r>
        <w:rPr>
          <w:color w:val="231F20"/>
        </w:rPr>
        <w:t>have </w:t>
      </w:r>
      <w:r>
        <w:rPr>
          <w:color w:val="231F20"/>
        </w:rPr>
        <w:t>unlim- ited liability for all business debts. When the accounting firm of Laventhol </w:t>
      </w:r>
      <w:r>
        <w:rPr>
          <w:color w:val="231F20"/>
          <w:w w:val="110"/>
        </w:rPr>
        <w:t>&amp; </w:t>
      </w:r>
      <w:r>
        <w:rPr>
          <w:color w:val="231F20"/>
        </w:rPr>
        <w:t>Horwath went into bankruptcy in 1990 because of au- diting malpractices, creditors went after the personal assets of the partners to pay off the partnership’s debts.</w:t>
      </w:r>
    </w:p>
    <w:p>
      <w:pPr>
        <w:pStyle w:val="BodyText"/>
        <w:spacing w:line="292" w:lineRule="auto"/>
        <w:ind w:left="829" w:right="756" w:firstLine="340"/>
        <w:jc w:val="both"/>
      </w:pPr>
      <w:r>
        <w:rPr>
          <w:color w:val="231F20"/>
        </w:rPr>
        <w:t>In a </w:t>
      </w:r>
      <w:r>
        <w:rPr>
          <w:i/>
          <w:color w:val="231F20"/>
        </w:rPr>
        <w:t>limited </w:t>
      </w:r>
      <w:r>
        <w:rPr>
          <w:color w:val="231F20"/>
        </w:rPr>
        <w:t>partnership structure, </w:t>
      </w:r>
      <w:r>
        <w:rPr>
          <w:i/>
          <w:color w:val="231F20"/>
        </w:rPr>
        <w:t>limited partners </w:t>
      </w:r>
      <w:r>
        <w:rPr>
          <w:color w:val="231F20"/>
        </w:rPr>
        <w:t>are </w:t>
      </w:r>
      <w:r>
        <w:rPr>
          <w:color w:val="231F20"/>
        </w:rPr>
        <w:t>shielded</w:t>
      </w:r>
      <w:r>
        <w:rPr>
          <w:color w:val="231F20"/>
          <w:spacing w:val="80"/>
        </w:rPr>
        <w:t> </w:t>
      </w:r>
      <w:r>
        <w:rPr>
          <w:color w:val="231F20"/>
        </w:rPr>
        <w:t>to the extent of their investment. The “limited” form is often used in real estate and oil exploration ventures to protect the investing part- ners that do not participate in management. In the commercial real estate</w:t>
      </w:r>
      <w:r>
        <w:rPr>
          <w:color w:val="231F20"/>
          <w:spacing w:val="-2"/>
        </w:rPr>
        <w:t> </w:t>
      </w:r>
      <w:r>
        <w:rPr>
          <w:color w:val="231F20"/>
        </w:rPr>
        <w:t>busts</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late</w:t>
      </w:r>
      <w:r>
        <w:rPr>
          <w:color w:val="231F20"/>
          <w:spacing w:val="-2"/>
        </w:rPr>
        <w:t> </w:t>
      </w:r>
      <w:r>
        <w:rPr>
          <w:color w:val="231F20"/>
        </w:rPr>
        <w:t>1980s</w:t>
      </w:r>
      <w:r>
        <w:rPr>
          <w:color w:val="231F20"/>
          <w:spacing w:val="-2"/>
        </w:rPr>
        <w:t> </w:t>
      </w:r>
      <w:r>
        <w:rPr>
          <w:color w:val="231F20"/>
        </w:rPr>
        <w:t>and</w:t>
      </w:r>
      <w:r>
        <w:rPr>
          <w:color w:val="231F20"/>
          <w:spacing w:val="-2"/>
        </w:rPr>
        <w:t> </w:t>
      </w:r>
      <w:r>
        <w:rPr>
          <w:color w:val="231F20"/>
        </w:rPr>
        <w:t>early</w:t>
      </w:r>
      <w:r>
        <w:rPr>
          <w:color w:val="231F20"/>
          <w:spacing w:val="-2"/>
        </w:rPr>
        <w:t> </w:t>
      </w:r>
      <w:r>
        <w:rPr>
          <w:color w:val="231F20"/>
        </w:rPr>
        <w:t>1990s,</w:t>
      </w:r>
      <w:r>
        <w:rPr>
          <w:color w:val="231F20"/>
          <w:spacing w:val="-2"/>
        </w:rPr>
        <w:t> </w:t>
      </w:r>
      <w:r>
        <w:rPr>
          <w:color w:val="231F20"/>
        </w:rPr>
        <w:t>the</w:t>
      </w:r>
      <w:r>
        <w:rPr>
          <w:color w:val="231F20"/>
          <w:spacing w:val="-2"/>
        </w:rPr>
        <w:t> </w:t>
      </w:r>
      <w:r>
        <w:rPr>
          <w:color w:val="231F20"/>
        </w:rPr>
        <w:t>limited</w:t>
      </w:r>
      <w:r>
        <w:rPr>
          <w:color w:val="231F20"/>
          <w:spacing w:val="-2"/>
        </w:rPr>
        <w:t> </w:t>
      </w:r>
      <w:r>
        <w:rPr>
          <w:color w:val="231F20"/>
        </w:rPr>
        <w:t>partners</w:t>
      </w:r>
      <w:r>
        <w:rPr>
          <w:color w:val="231F20"/>
          <w:spacing w:val="-2"/>
        </w:rPr>
        <w:t> </w:t>
      </w:r>
      <w:r>
        <w:rPr>
          <w:color w:val="231F20"/>
        </w:rPr>
        <w:t>in vacant office building projects were able to walk away from their in- vestments with no further liability. On the other hand, the general partners of the same projects were personally on the hook. As in the proprietorship instance, the ability to raise money or to sell partial interests in partnership structures is rather difficult.</w:t>
      </w:r>
    </w:p>
    <w:p>
      <w:pPr>
        <w:pStyle w:val="BodyText"/>
        <w:rPr>
          <w:sz w:val="24"/>
        </w:rPr>
      </w:pPr>
    </w:p>
    <w:p>
      <w:pPr>
        <w:pStyle w:val="BodyText"/>
        <w:spacing w:before="7"/>
        <w:rPr>
          <w:sz w:val="26"/>
        </w:rPr>
      </w:pPr>
    </w:p>
    <w:p>
      <w:pPr>
        <w:pStyle w:val="Heading6"/>
        <w:ind w:left="299"/>
        <w:rPr>
          <w:i/>
        </w:rPr>
      </w:pPr>
      <w:r>
        <w:rPr>
          <w:i/>
          <w:color w:val="231F20"/>
          <w:spacing w:val="-2"/>
          <w:w w:val="110"/>
        </w:rPr>
        <w:t>CORPORATIONS</w:t>
      </w:r>
    </w:p>
    <w:p>
      <w:pPr>
        <w:pStyle w:val="BodyText"/>
        <w:spacing w:before="2"/>
        <w:rPr>
          <w:b/>
          <w:i/>
          <w:sz w:val="30"/>
        </w:rPr>
      </w:pPr>
    </w:p>
    <w:p>
      <w:pPr>
        <w:pStyle w:val="BodyText"/>
        <w:spacing w:line="292" w:lineRule="auto"/>
        <w:ind w:left="830" w:right="756"/>
        <w:jc w:val="both"/>
      </w:pPr>
      <w:r>
        <w:rPr>
          <w:i/>
          <w:color w:val="231F20"/>
        </w:rPr>
        <w:t>Corporations, </w:t>
      </w:r>
      <w:r>
        <w:rPr>
          <w:color w:val="231F20"/>
        </w:rPr>
        <w:t>registered with a state, are legal entities that are </w:t>
      </w:r>
      <w:r>
        <w:rPr>
          <w:color w:val="231F20"/>
        </w:rPr>
        <w:t>sepa- rate from the individuals who own them. In the eyes of the law, a corporation</w:t>
      </w:r>
      <w:r>
        <w:rPr>
          <w:color w:val="231F20"/>
          <w:spacing w:val="10"/>
        </w:rPr>
        <w:t> </w:t>
      </w:r>
      <w:r>
        <w:rPr>
          <w:color w:val="231F20"/>
        </w:rPr>
        <w:t>is</w:t>
      </w:r>
      <w:r>
        <w:rPr>
          <w:color w:val="231F20"/>
          <w:spacing w:val="11"/>
        </w:rPr>
        <w:t> </w:t>
      </w:r>
      <w:r>
        <w:rPr>
          <w:color w:val="231F20"/>
        </w:rPr>
        <w:t>treated</w:t>
      </w:r>
      <w:r>
        <w:rPr>
          <w:color w:val="231F20"/>
          <w:spacing w:val="11"/>
        </w:rPr>
        <w:t> </w:t>
      </w:r>
      <w:r>
        <w:rPr>
          <w:color w:val="231F20"/>
        </w:rPr>
        <w:t>as</w:t>
      </w:r>
      <w:r>
        <w:rPr>
          <w:color w:val="231F20"/>
          <w:spacing w:val="10"/>
        </w:rPr>
        <w:t> </w:t>
      </w:r>
      <w:r>
        <w:rPr>
          <w:color w:val="231F20"/>
        </w:rPr>
        <w:t>an</w:t>
      </w:r>
      <w:r>
        <w:rPr>
          <w:color w:val="231F20"/>
          <w:spacing w:val="11"/>
        </w:rPr>
        <w:t> </w:t>
      </w:r>
      <w:r>
        <w:rPr>
          <w:color w:val="231F20"/>
        </w:rPr>
        <w:t>individual</w:t>
      </w:r>
      <w:r>
        <w:rPr>
          <w:color w:val="231F20"/>
          <w:spacing w:val="11"/>
        </w:rPr>
        <w:t> </w:t>
      </w:r>
      <w:r>
        <w:rPr>
          <w:color w:val="231F20"/>
        </w:rPr>
        <w:t>who</w:t>
      </w:r>
      <w:r>
        <w:rPr>
          <w:color w:val="231F20"/>
          <w:spacing w:val="11"/>
        </w:rPr>
        <w:t> </w:t>
      </w:r>
      <w:r>
        <w:rPr>
          <w:color w:val="231F20"/>
        </w:rPr>
        <w:t>conducts</w:t>
      </w:r>
      <w:r>
        <w:rPr>
          <w:color w:val="231F20"/>
          <w:spacing w:val="10"/>
        </w:rPr>
        <w:t> </w:t>
      </w:r>
      <w:r>
        <w:rPr>
          <w:color w:val="231F20"/>
        </w:rPr>
        <w:t>his</w:t>
      </w:r>
      <w:r>
        <w:rPr>
          <w:color w:val="231F20"/>
          <w:spacing w:val="11"/>
        </w:rPr>
        <w:t> </w:t>
      </w:r>
      <w:r>
        <w:rPr>
          <w:color w:val="231F20"/>
        </w:rPr>
        <w:t>or</w:t>
      </w:r>
      <w:r>
        <w:rPr>
          <w:color w:val="231F20"/>
          <w:spacing w:val="11"/>
        </w:rPr>
        <w:t> </w:t>
      </w:r>
      <w:r>
        <w:rPr>
          <w:color w:val="231F20"/>
        </w:rPr>
        <w:t>her</w:t>
      </w:r>
      <w:r>
        <w:rPr>
          <w:color w:val="231F20"/>
          <w:spacing w:val="11"/>
        </w:rPr>
        <w:t> </w:t>
      </w:r>
      <w:r>
        <w:rPr>
          <w:color w:val="231F20"/>
          <w:spacing w:val="-5"/>
        </w:rPr>
        <w:t>own</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7"/>
        <w:jc w:val="both"/>
      </w:pPr>
      <w:r>
        <w:rPr>
          <w:color w:val="231F20"/>
        </w:rPr>
        <w:t>business independently. The assets and liabilities of the entity are owned by the corporation, not by the owners of the corporation. </w:t>
      </w:r>
      <w:r>
        <w:rPr>
          <w:color w:val="231F20"/>
        </w:rPr>
        <w:t>As with limited partnerships, owners of corporations have limited lia- bility for the obligations of the business. In the case of a bankruptcy, the owners’ personal assets are shielded from creditors.</w:t>
      </w:r>
    </w:p>
    <w:p>
      <w:pPr>
        <w:pStyle w:val="BodyText"/>
        <w:spacing w:line="292" w:lineRule="auto"/>
        <w:ind w:left="919" w:right="663" w:firstLine="340"/>
        <w:jc w:val="both"/>
      </w:pPr>
      <w:r>
        <w:rPr>
          <w:color w:val="231F20"/>
        </w:rPr>
        <w:t>A corporation’s ownership is split into </w:t>
      </w:r>
      <w:r>
        <w:rPr>
          <w:i/>
          <w:color w:val="231F20"/>
        </w:rPr>
        <w:t>shares of stock </w:t>
      </w:r>
      <w:r>
        <w:rPr>
          <w:color w:val="231F20"/>
        </w:rPr>
        <w:t>that in- vestors can purchase and trade in the financial markets such as the New York Stock Exchange (NYSE). Shares can be traded among in- vestors without disrupting the business. When management and the board of directors who represent the owners decide that more</w:t>
      </w:r>
      <w:r>
        <w:rPr>
          <w:color w:val="231F20"/>
          <w:spacing w:val="40"/>
        </w:rPr>
        <w:t> </w:t>
      </w:r>
      <w:r>
        <w:rPr>
          <w:color w:val="231F20"/>
        </w:rPr>
        <w:t>money is needed, additional shares can be issued. An investor, whether he takes an active role or chooses to remain passive, is per- sonally shielded from the liabilities of the company.</w:t>
      </w:r>
    </w:p>
    <w:p>
      <w:pPr>
        <w:pStyle w:val="BodyText"/>
        <w:spacing w:line="292" w:lineRule="auto"/>
        <w:ind w:left="919" w:right="664" w:firstLine="340"/>
        <w:jc w:val="both"/>
      </w:pPr>
      <w:r>
        <w:rPr>
          <w:color w:val="231F20"/>
          <w:w w:val="105"/>
        </w:rPr>
        <w:t>A</w:t>
      </w:r>
      <w:r>
        <w:rPr>
          <w:color w:val="231F20"/>
          <w:spacing w:val="-13"/>
          <w:w w:val="105"/>
        </w:rPr>
        <w:t> </w:t>
      </w:r>
      <w:r>
        <w:rPr>
          <w:color w:val="231F20"/>
          <w:w w:val="105"/>
        </w:rPr>
        <w:t>major</w:t>
      </w:r>
      <w:r>
        <w:rPr>
          <w:color w:val="231F20"/>
          <w:spacing w:val="-12"/>
          <w:w w:val="105"/>
        </w:rPr>
        <w:t> </w:t>
      </w:r>
      <w:r>
        <w:rPr>
          <w:color w:val="231F20"/>
          <w:w w:val="105"/>
        </w:rPr>
        <w:t>drawback</w:t>
      </w:r>
      <w:r>
        <w:rPr>
          <w:color w:val="231F20"/>
          <w:spacing w:val="-12"/>
          <w:w w:val="105"/>
        </w:rPr>
        <w:t> </w:t>
      </w:r>
      <w:r>
        <w:rPr>
          <w:color w:val="231F20"/>
          <w:w w:val="105"/>
        </w:rPr>
        <w:t>of</w:t>
      </w:r>
      <w:r>
        <w:rPr>
          <w:color w:val="231F20"/>
          <w:spacing w:val="-12"/>
          <w:w w:val="105"/>
        </w:rPr>
        <w:t> </w:t>
      </w:r>
      <w:r>
        <w:rPr>
          <w:color w:val="231F20"/>
          <w:w w:val="105"/>
        </w:rPr>
        <w:t>ownership</w:t>
      </w:r>
      <w:r>
        <w:rPr>
          <w:color w:val="231F20"/>
          <w:spacing w:val="-12"/>
          <w:w w:val="105"/>
        </w:rPr>
        <w:t> </w:t>
      </w:r>
      <w:r>
        <w:rPr>
          <w:color w:val="231F20"/>
          <w:w w:val="105"/>
        </w:rPr>
        <w:t>in</w:t>
      </w:r>
      <w:r>
        <w:rPr>
          <w:color w:val="231F20"/>
          <w:spacing w:val="-12"/>
          <w:w w:val="105"/>
        </w:rPr>
        <w:t> </w:t>
      </w:r>
      <w:r>
        <w:rPr>
          <w:color w:val="231F20"/>
          <w:w w:val="105"/>
        </w:rPr>
        <w:t>a</w:t>
      </w:r>
      <w:r>
        <w:rPr>
          <w:color w:val="231F20"/>
          <w:spacing w:val="-12"/>
          <w:w w:val="105"/>
        </w:rPr>
        <w:t> </w:t>
      </w:r>
      <w:r>
        <w:rPr>
          <w:color w:val="231F20"/>
          <w:w w:val="105"/>
        </w:rPr>
        <w:t>corporation</w:t>
      </w:r>
      <w:r>
        <w:rPr>
          <w:color w:val="231F20"/>
          <w:spacing w:val="-13"/>
          <w:w w:val="105"/>
        </w:rPr>
        <w:t> </w:t>
      </w:r>
      <w:r>
        <w:rPr>
          <w:color w:val="231F20"/>
          <w:w w:val="105"/>
        </w:rPr>
        <w:t>is</w:t>
      </w:r>
      <w:r>
        <w:rPr>
          <w:color w:val="231F20"/>
          <w:spacing w:val="-12"/>
          <w:w w:val="105"/>
        </w:rPr>
        <w:t> </w:t>
      </w:r>
      <w:r>
        <w:rPr>
          <w:i/>
          <w:color w:val="231F20"/>
          <w:w w:val="105"/>
        </w:rPr>
        <w:t>double</w:t>
      </w:r>
      <w:r>
        <w:rPr>
          <w:i/>
          <w:color w:val="231F20"/>
          <w:spacing w:val="-12"/>
          <w:w w:val="105"/>
        </w:rPr>
        <w:t> </w:t>
      </w:r>
      <w:r>
        <w:rPr>
          <w:i/>
          <w:color w:val="231F20"/>
          <w:w w:val="105"/>
        </w:rPr>
        <w:t>taxa-</w:t>
      </w:r>
      <w:r>
        <w:rPr>
          <w:i/>
          <w:color w:val="231F20"/>
          <w:w w:val="105"/>
        </w:rPr>
        <w:t> tion.</w:t>
      </w:r>
      <w:r>
        <w:rPr>
          <w:i/>
          <w:color w:val="231F20"/>
          <w:spacing w:val="-3"/>
          <w:w w:val="105"/>
        </w:rPr>
        <w:t> </w:t>
      </w:r>
      <w:r>
        <w:rPr>
          <w:color w:val="231F20"/>
          <w:w w:val="105"/>
        </w:rPr>
        <w:t>The</w:t>
      </w:r>
      <w:r>
        <w:rPr>
          <w:color w:val="231F20"/>
          <w:spacing w:val="-3"/>
          <w:w w:val="105"/>
        </w:rPr>
        <w:t> </w:t>
      </w:r>
      <w:r>
        <w:rPr>
          <w:color w:val="231F20"/>
          <w:w w:val="105"/>
        </w:rPr>
        <w:t>corporation,</w:t>
      </w:r>
      <w:r>
        <w:rPr>
          <w:color w:val="231F20"/>
          <w:spacing w:val="-3"/>
          <w:w w:val="105"/>
        </w:rPr>
        <w:t> </w:t>
      </w:r>
      <w:r>
        <w:rPr>
          <w:color w:val="231F20"/>
          <w:w w:val="105"/>
        </w:rPr>
        <w:t>like</w:t>
      </w:r>
      <w:r>
        <w:rPr>
          <w:color w:val="231F20"/>
          <w:spacing w:val="-3"/>
          <w:w w:val="105"/>
        </w:rPr>
        <w:t> </w:t>
      </w:r>
      <w:r>
        <w:rPr>
          <w:color w:val="231F20"/>
          <w:w w:val="105"/>
        </w:rPr>
        <w:t>an</w:t>
      </w:r>
      <w:r>
        <w:rPr>
          <w:color w:val="231F20"/>
          <w:spacing w:val="-3"/>
          <w:w w:val="105"/>
        </w:rPr>
        <w:t> </w:t>
      </w:r>
      <w:r>
        <w:rPr>
          <w:color w:val="231F20"/>
          <w:w w:val="105"/>
        </w:rPr>
        <w:t>individual,</w:t>
      </w:r>
      <w:r>
        <w:rPr>
          <w:color w:val="231F20"/>
          <w:spacing w:val="-3"/>
          <w:w w:val="105"/>
        </w:rPr>
        <w:t> </w:t>
      </w:r>
      <w:r>
        <w:rPr>
          <w:color w:val="231F20"/>
          <w:w w:val="105"/>
        </w:rPr>
        <w:t>must</w:t>
      </w:r>
      <w:r>
        <w:rPr>
          <w:color w:val="231F20"/>
          <w:spacing w:val="-3"/>
          <w:w w:val="105"/>
        </w:rPr>
        <w:t> </w:t>
      </w:r>
      <w:r>
        <w:rPr>
          <w:color w:val="231F20"/>
          <w:w w:val="105"/>
        </w:rPr>
        <w:t>pay</w:t>
      </w:r>
      <w:r>
        <w:rPr>
          <w:color w:val="231F20"/>
          <w:spacing w:val="-3"/>
          <w:w w:val="105"/>
        </w:rPr>
        <w:t> </w:t>
      </w:r>
      <w:r>
        <w:rPr>
          <w:color w:val="231F20"/>
          <w:w w:val="105"/>
        </w:rPr>
        <w:t>taxes.</w:t>
      </w:r>
      <w:r>
        <w:rPr>
          <w:color w:val="231F20"/>
          <w:spacing w:val="-3"/>
          <w:w w:val="105"/>
        </w:rPr>
        <w:t> </w:t>
      </w:r>
      <w:r>
        <w:rPr>
          <w:color w:val="231F20"/>
          <w:w w:val="105"/>
        </w:rPr>
        <w:t>When</w:t>
      </w:r>
      <w:r>
        <w:rPr>
          <w:color w:val="231F20"/>
          <w:spacing w:val="-3"/>
          <w:w w:val="105"/>
        </w:rPr>
        <w:t> </w:t>
      </w:r>
      <w:r>
        <w:rPr>
          <w:color w:val="231F20"/>
          <w:w w:val="105"/>
        </w:rPr>
        <w:t>the corporation</w:t>
      </w:r>
      <w:r>
        <w:rPr>
          <w:color w:val="231F20"/>
          <w:w w:val="105"/>
        </w:rPr>
        <w:t> pays</w:t>
      </w:r>
      <w:r>
        <w:rPr>
          <w:color w:val="231F20"/>
          <w:w w:val="105"/>
        </w:rPr>
        <w:t> its</w:t>
      </w:r>
      <w:r>
        <w:rPr>
          <w:color w:val="231F20"/>
          <w:w w:val="105"/>
        </w:rPr>
        <w:t> owners</w:t>
      </w:r>
      <w:r>
        <w:rPr>
          <w:color w:val="231F20"/>
          <w:w w:val="105"/>
        </w:rPr>
        <w:t> a</w:t>
      </w:r>
      <w:r>
        <w:rPr>
          <w:color w:val="231F20"/>
          <w:w w:val="105"/>
        </w:rPr>
        <w:t> dividend,</w:t>
      </w:r>
      <w:r>
        <w:rPr>
          <w:color w:val="231F20"/>
          <w:w w:val="105"/>
        </w:rPr>
        <w:t> that</w:t>
      </w:r>
      <w:r>
        <w:rPr>
          <w:color w:val="231F20"/>
          <w:w w:val="105"/>
        </w:rPr>
        <w:t> dividend</w:t>
      </w:r>
      <w:r>
        <w:rPr>
          <w:color w:val="231F20"/>
          <w:w w:val="105"/>
        </w:rPr>
        <w:t> is</w:t>
      </w:r>
      <w:r>
        <w:rPr>
          <w:color w:val="231F20"/>
          <w:w w:val="105"/>
        </w:rPr>
        <w:t> taxable again as income to the individual.</w:t>
      </w:r>
    </w:p>
    <w:p>
      <w:pPr>
        <w:pStyle w:val="BodyText"/>
        <w:spacing w:line="292" w:lineRule="auto"/>
        <w:ind w:left="919" w:right="666" w:firstLine="340"/>
        <w:jc w:val="both"/>
      </w:pPr>
      <w:r>
        <w:rPr>
          <w:color w:val="231F20"/>
          <w:w w:val="105"/>
        </w:rPr>
        <w:t>There are variations to the </w:t>
      </w:r>
      <w:r>
        <w:rPr>
          <w:i/>
          <w:color w:val="231F20"/>
          <w:w w:val="105"/>
        </w:rPr>
        <w:t>corporate </w:t>
      </w:r>
      <w:r>
        <w:rPr>
          <w:color w:val="231F20"/>
          <w:w w:val="105"/>
        </w:rPr>
        <w:t>form. The </w:t>
      </w:r>
      <w:r>
        <w:rPr>
          <w:i/>
          <w:color w:val="231F20"/>
          <w:w w:val="105"/>
        </w:rPr>
        <w:t>C Corp., </w:t>
      </w:r>
      <w:r>
        <w:rPr>
          <w:color w:val="231F20"/>
          <w:w w:val="105"/>
        </w:rPr>
        <w:t>as it </w:t>
      </w:r>
      <w:r>
        <w:rPr>
          <w:color w:val="231F20"/>
          <w:w w:val="105"/>
        </w:rPr>
        <w:t>is called</w:t>
      </w:r>
      <w:r>
        <w:rPr>
          <w:color w:val="231F20"/>
          <w:w w:val="105"/>
        </w:rPr>
        <w:t> by</w:t>
      </w:r>
      <w:r>
        <w:rPr>
          <w:color w:val="231F20"/>
          <w:w w:val="105"/>
        </w:rPr>
        <w:t> accountants</w:t>
      </w:r>
      <w:r>
        <w:rPr>
          <w:color w:val="231F20"/>
          <w:w w:val="105"/>
        </w:rPr>
        <w:t> and</w:t>
      </w:r>
      <w:r>
        <w:rPr>
          <w:color w:val="231F20"/>
          <w:w w:val="105"/>
        </w:rPr>
        <w:t> lawyers,</w:t>
      </w:r>
      <w:r>
        <w:rPr>
          <w:color w:val="231F20"/>
          <w:w w:val="105"/>
        </w:rPr>
        <w:t> works</w:t>
      </w:r>
      <w:r>
        <w:rPr>
          <w:color w:val="231F20"/>
          <w:w w:val="105"/>
        </w:rPr>
        <w:t> as</w:t>
      </w:r>
      <w:r>
        <w:rPr>
          <w:color w:val="231F20"/>
          <w:w w:val="105"/>
        </w:rPr>
        <w:t> described</w:t>
      </w:r>
      <w:r>
        <w:rPr>
          <w:color w:val="231F20"/>
          <w:w w:val="105"/>
        </w:rPr>
        <w:t> above,</w:t>
      </w:r>
      <w:r>
        <w:rPr>
          <w:color w:val="231F20"/>
          <w:w w:val="105"/>
        </w:rPr>
        <w:t> but there</w:t>
      </w:r>
      <w:r>
        <w:rPr>
          <w:color w:val="231F20"/>
          <w:w w:val="105"/>
        </w:rPr>
        <w:t> is</w:t>
      </w:r>
      <w:r>
        <w:rPr>
          <w:color w:val="231F20"/>
          <w:w w:val="105"/>
        </w:rPr>
        <w:t> also</w:t>
      </w:r>
      <w:r>
        <w:rPr>
          <w:color w:val="231F20"/>
          <w:w w:val="105"/>
        </w:rPr>
        <w:t> a</w:t>
      </w:r>
      <w:r>
        <w:rPr>
          <w:color w:val="231F20"/>
          <w:w w:val="105"/>
        </w:rPr>
        <w:t> </w:t>
      </w:r>
      <w:r>
        <w:rPr>
          <w:i/>
          <w:color w:val="231F20"/>
          <w:w w:val="105"/>
        </w:rPr>
        <w:t>Subchapter</w:t>
      </w:r>
      <w:r>
        <w:rPr>
          <w:i/>
          <w:color w:val="231F20"/>
          <w:w w:val="105"/>
        </w:rPr>
        <w:t> S</w:t>
      </w:r>
      <w:r>
        <w:rPr>
          <w:i/>
          <w:color w:val="231F20"/>
          <w:w w:val="105"/>
        </w:rPr>
        <w:t> Corp.</w:t>
      </w:r>
      <w:r>
        <w:rPr>
          <w:i/>
          <w:color w:val="231F20"/>
          <w:w w:val="105"/>
        </w:rPr>
        <w:t> </w:t>
      </w:r>
      <w:r>
        <w:rPr>
          <w:color w:val="231F20"/>
          <w:w w:val="105"/>
        </w:rPr>
        <w:t>These</w:t>
      </w:r>
      <w:r>
        <w:rPr>
          <w:color w:val="231F20"/>
          <w:w w:val="105"/>
        </w:rPr>
        <w:t> corporations</w:t>
      </w:r>
      <w:r>
        <w:rPr>
          <w:color w:val="231F20"/>
          <w:w w:val="105"/>
        </w:rPr>
        <w:t> have</w:t>
      </w:r>
      <w:r>
        <w:rPr>
          <w:color w:val="231F20"/>
          <w:w w:val="105"/>
        </w:rPr>
        <w:t> thirty- five</w:t>
      </w:r>
      <w:r>
        <w:rPr>
          <w:color w:val="231F20"/>
          <w:spacing w:val="-11"/>
          <w:w w:val="105"/>
        </w:rPr>
        <w:t> </w:t>
      </w:r>
      <w:r>
        <w:rPr>
          <w:color w:val="231F20"/>
          <w:w w:val="105"/>
        </w:rPr>
        <w:t>or</w:t>
      </w:r>
      <w:r>
        <w:rPr>
          <w:color w:val="231F20"/>
          <w:spacing w:val="-11"/>
          <w:w w:val="105"/>
        </w:rPr>
        <w:t> </w:t>
      </w:r>
      <w:r>
        <w:rPr>
          <w:color w:val="231F20"/>
          <w:w w:val="105"/>
        </w:rPr>
        <w:t>fewer</w:t>
      </w:r>
      <w:r>
        <w:rPr>
          <w:color w:val="231F20"/>
          <w:spacing w:val="-11"/>
          <w:w w:val="105"/>
        </w:rPr>
        <w:t> </w:t>
      </w:r>
      <w:r>
        <w:rPr>
          <w:color w:val="231F20"/>
          <w:w w:val="105"/>
        </w:rPr>
        <w:t>owners.</w:t>
      </w:r>
      <w:r>
        <w:rPr>
          <w:color w:val="231F20"/>
          <w:spacing w:val="-11"/>
          <w:w w:val="105"/>
        </w:rPr>
        <w:t> </w:t>
      </w:r>
      <w:r>
        <w:rPr>
          <w:color w:val="231F20"/>
          <w:w w:val="105"/>
        </w:rPr>
        <w:t>They</w:t>
      </w:r>
      <w:r>
        <w:rPr>
          <w:color w:val="231F20"/>
          <w:spacing w:val="-11"/>
          <w:w w:val="105"/>
        </w:rPr>
        <w:t> </w:t>
      </w:r>
      <w:r>
        <w:rPr>
          <w:color w:val="231F20"/>
          <w:w w:val="105"/>
        </w:rPr>
        <w:t>agree</w:t>
      </w:r>
      <w:r>
        <w:rPr>
          <w:color w:val="231F20"/>
          <w:spacing w:val="-11"/>
          <w:w w:val="105"/>
        </w:rPr>
        <w:t> </w:t>
      </w:r>
      <w:r>
        <w:rPr>
          <w:color w:val="231F20"/>
          <w:w w:val="105"/>
        </w:rPr>
        <w:t>to</w:t>
      </w:r>
      <w:r>
        <w:rPr>
          <w:color w:val="231F20"/>
          <w:spacing w:val="-11"/>
          <w:w w:val="105"/>
        </w:rPr>
        <w:t> </w:t>
      </w:r>
      <w:r>
        <w:rPr>
          <w:color w:val="231F20"/>
          <w:w w:val="105"/>
        </w:rPr>
        <w:t>include</w:t>
      </w:r>
      <w:r>
        <w:rPr>
          <w:color w:val="231F20"/>
          <w:spacing w:val="-11"/>
          <w:w w:val="105"/>
        </w:rPr>
        <w:t> </w:t>
      </w:r>
      <w:r>
        <w:rPr>
          <w:color w:val="231F20"/>
          <w:w w:val="105"/>
        </w:rPr>
        <w:t>the</w:t>
      </w:r>
      <w:r>
        <w:rPr>
          <w:color w:val="231F20"/>
          <w:spacing w:val="-11"/>
          <w:w w:val="105"/>
        </w:rPr>
        <w:t> </w:t>
      </w:r>
      <w:r>
        <w:rPr>
          <w:color w:val="231F20"/>
          <w:w w:val="105"/>
        </w:rPr>
        <w:t>corporation’s</w:t>
      </w:r>
      <w:r>
        <w:rPr>
          <w:color w:val="231F20"/>
          <w:spacing w:val="-11"/>
          <w:w w:val="105"/>
        </w:rPr>
        <w:t> </w:t>
      </w:r>
      <w:r>
        <w:rPr>
          <w:color w:val="231F20"/>
          <w:w w:val="105"/>
        </w:rPr>
        <w:t>earn- ings</w:t>
      </w:r>
      <w:r>
        <w:rPr>
          <w:color w:val="231F20"/>
          <w:spacing w:val="-4"/>
          <w:w w:val="105"/>
        </w:rPr>
        <w:t> </w:t>
      </w:r>
      <w:r>
        <w:rPr>
          <w:color w:val="231F20"/>
          <w:w w:val="105"/>
        </w:rPr>
        <w:t>in</w:t>
      </w:r>
      <w:r>
        <w:rPr>
          <w:color w:val="231F20"/>
          <w:spacing w:val="-4"/>
          <w:w w:val="105"/>
        </w:rPr>
        <w:t> </w:t>
      </w:r>
      <w:r>
        <w:rPr>
          <w:color w:val="231F20"/>
          <w:w w:val="105"/>
        </w:rPr>
        <w:t>their</w:t>
      </w:r>
      <w:r>
        <w:rPr>
          <w:color w:val="231F20"/>
          <w:spacing w:val="-4"/>
          <w:w w:val="105"/>
        </w:rPr>
        <w:t> </w:t>
      </w:r>
      <w:r>
        <w:rPr>
          <w:color w:val="231F20"/>
          <w:w w:val="105"/>
        </w:rPr>
        <w:t>personal</w:t>
      </w:r>
      <w:r>
        <w:rPr>
          <w:color w:val="231F20"/>
          <w:spacing w:val="-4"/>
          <w:w w:val="105"/>
        </w:rPr>
        <w:t> </w:t>
      </w:r>
      <w:r>
        <w:rPr>
          <w:color w:val="231F20"/>
          <w:w w:val="105"/>
        </w:rPr>
        <w:t>tax</w:t>
      </w:r>
      <w:r>
        <w:rPr>
          <w:color w:val="231F20"/>
          <w:spacing w:val="-4"/>
          <w:w w:val="105"/>
        </w:rPr>
        <w:t> </w:t>
      </w:r>
      <w:r>
        <w:rPr>
          <w:color w:val="231F20"/>
          <w:w w:val="105"/>
        </w:rPr>
        <w:t>returns</w:t>
      </w:r>
      <w:r>
        <w:rPr>
          <w:color w:val="231F20"/>
          <w:spacing w:val="-4"/>
          <w:w w:val="105"/>
        </w:rPr>
        <w:t> </w:t>
      </w:r>
      <w:r>
        <w:rPr>
          <w:color w:val="231F20"/>
          <w:w w:val="105"/>
        </w:rPr>
        <w:t>as</w:t>
      </w:r>
      <w:r>
        <w:rPr>
          <w:color w:val="231F20"/>
          <w:spacing w:val="-4"/>
          <w:w w:val="105"/>
        </w:rPr>
        <w:t> </w:t>
      </w:r>
      <w:r>
        <w:rPr>
          <w:color w:val="231F20"/>
          <w:w w:val="105"/>
        </w:rPr>
        <w:t>in</w:t>
      </w:r>
      <w:r>
        <w:rPr>
          <w:color w:val="231F20"/>
          <w:spacing w:val="-4"/>
          <w:w w:val="105"/>
        </w:rPr>
        <w:t> </w:t>
      </w:r>
      <w:r>
        <w:rPr>
          <w:color w:val="231F20"/>
          <w:w w:val="105"/>
        </w:rPr>
        <w:t>the</w:t>
      </w:r>
      <w:r>
        <w:rPr>
          <w:color w:val="231F20"/>
          <w:spacing w:val="-4"/>
          <w:w w:val="105"/>
        </w:rPr>
        <w:t> </w:t>
      </w:r>
      <w:r>
        <w:rPr>
          <w:color w:val="231F20"/>
          <w:w w:val="105"/>
        </w:rPr>
        <w:t>case</w:t>
      </w:r>
      <w:r>
        <w:rPr>
          <w:color w:val="231F20"/>
          <w:spacing w:val="-4"/>
          <w:w w:val="105"/>
        </w:rPr>
        <w:t> </w:t>
      </w:r>
      <w:r>
        <w:rPr>
          <w:color w:val="231F20"/>
          <w:w w:val="105"/>
        </w:rPr>
        <w:t>of</w:t>
      </w:r>
      <w:r>
        <w:rPr>
          <w:color w:val="231F20"/>
          <w:spacing w:val="-4"/>
          <w:w w:val="105"/>
        </w:rPr>
        <w:t> </w:t>
      </w:r>
      <w:r>
        <w:rPr>
          <w:color w:val="231F20"/>
          <w:w w:val="105"/>
        </w:rPr>
        <w:t>a</w:t>
      </w:r>
      <w:r>
        <w:rPr>
          <w:color w:val="231F20"/>
          <w:spacing w:val="-4"/>
          <w:w w:val="105"/>
        </w:rPr>
        <w:t> </w:t>
      </w:r>
      <w:r>
        <w:rPr>
          <w:color w:val="231F20"/>
          <w:w w:val="105"/>
        </w:rPr>
        <w:t>partnership.</w:t>
      </w:r>
      <w:r>
        <w:rPr>
          <w:color w:val="231F20"/>
          <w:spacing w:val="-4"/>
          <w:w w:val="105"/>
        </w:rPr>
        <w:t> </w:t>
      </w:r>
      <w:r>
        <w:rPr>
          <w:color w:val="231F20"/>
          <w:w w:val="105"/>
        </w:rPr>
        <w:t>In that</w:t>
      </w:r>
      <w:r>
        <w:rPr>
          <w:color w:val="231F20"/>
          <w:spacing w:val="-7"/>
          <w:w w:val="105"/>
        </w:rPr>
        <w:t> </w:t>
      </w:r>
      <w:r>
        <w:rPr>
          <w:color w:val="231F20"/>
          <w:w w:val="105"/>
        </w:rPr>
        <w:t>way,</w:t>
      </w:r>
      <w:r>
        <w:rPr>
          <w:color w:val="231F20"/>
          <w:spacing w:val="-7"/>
          <w:w w:val="105"/>
        </w:rPr>
        <w:t> </w:t>
      </w:r>
      <w:r>
        <w:rPr>
          <w:color w:val="231F20"/>
          <w:w w:val="105"/>
        </w:rPr>
        <w:t>the</w:t>
      </w:r>
      <w:r>
        <w:rPr>
          <w:color w:val="231F20"/>
          <w:spacing w:val="-7"/>
          <w:w w:val="105"/>
        </w:rPr>
        <w:t> </w:t>
      </w:r>
      <w:r>
        <w:rPr>
          <w:color w:val="231F20"/>
          <w:w w:val="105"/>
        </w:rPr>
        <w:t>double-taxation</w:t>
      </w:r>
      <w:r>
        <w:rPr>
          <w:color w:val="231F20"/>
          <w:spacing w:val="-7"/>
          <w:w w:val="105"/>
        </w:rPr>
        <w:t> </w:t>
      </w:r>
      <w:r>
        <w:rPr>
          <w:color w:val="231F20"/>
          <w:w w:val="105"/>
        </w:rPr>
        <w:t>hammer</w:t>
      </w:r>
      <w:r>
        <w:rPr>
          <w:color w:val="231F20"/>
          <w:spacing w:val="-7"/>
          <w:w w:val="105"/>
        </w:rPr>
        <w:t> </w:t>
      </w:r>
      <w:r>
        <w:rPr>
          <w:color w:val="231F20"/>
          <w:w w:val="105"/>
        </w:rPr>
        <w:t>does</w:t>
      </w:r>
      <w:r>
        <w:rPr>
          <w:color w:val="231F20"/>
          <w:spacing w:val="-7"/>
          <w:w w:val="105"/>
        </w:rPr>
        <w:t> </w:t>
      </w:r>
      <w:r>
        <w:rPr>
          <w:color w:val="231F20"/>
          <w:w w:val="105"/>
        </w:rPr>
        <w:t>not</w:t>
      </w:r>
      <w:r>
        <w:rPr>
          <w:color w:val="231F20"/>
          <w:spacing w:val="-7"/>
          <w:w w:val="105"/>
        </w:rPr>
        <w:t> </w:t>
      </w:r>
      <w:r>
        <w:rPr>
          <w:color w:val="231F20"/>
          <w:w w:val="105"/>
        </w:rPr>
        <w:t>fall</w:t>
      </w:r>
      <w:r>
        <w:rPr>
          <w:color w:val="231F20"/>
          <w:spacing w:val="-7"/>
          <w:w w:val="105"/>
        </w:rPr>
        <w:t> </w:t>
      </w:r>
      <w:r>
        <w:rPr>
          <w:color w:val="231F20"/>
          <w:w w:val="105"/>
        </w:rPr>
        <w:t>on</w:t>
      </w:r>
      <w:r>
        <w:rPr>
          <w:color w:val="231F20"/>
          <w:spacing w:val="-7"/>
          <w:w w:val="105"/>
        </w:rPr>
        <w:t> </w:t>
      </w:r>
      <w:r>
        <w:rPr>
          <w:color w:val="231F20"/>
          <w:w w:val="105"/>
        </w:rPr>
        <w:t>the</w:t>
      </w:r>
      <w:r>
        <w:rPr>
          <w:color w:val="231F20"/>
          <w:spacing w:val="-7"/>
          <w:w w:val="105"/>
        </w:rPr>
        <w:t> </w:t>
      </w:r>
      <w:r>
        <w:rPr>
          <w:color w:val="231F20"/>
          <w:w w:val="105"/>
        </w:rPr>
        <w:t>owners, </w:t>
      </w:r>
      <w:r>
        <w:rPr>
          <w:color w:val="231F20"/>
        </w:rPr>
        <w:t>while</w:t>
      </w:r>
      <w:r>
        <w:rPr>
          <w:color w:val="231F20"/>
          <w:spacing w:val="-2"/>
        </w:rPr>
        <w:t> </w:t>
      </w:r>
      <w:r>
        <w:rPr>
          <w:color w:val="231F20"/>
        </w:rPr>
        <w:t>at</w:t>
      </w:r>
      <w:r>
        <w:rPr>
          <w:color w:val="231F20"/>
          <w:spacing w:val="-2"/>
        </w:rPr>
        <w:t> </w:t>
      </w:r>
      <w:r>
        <w:rPr>
          <w:color w:val="231F20"/>
        </w:rPr>
        <w:t>the</w:t>
      </w:r>
      <w:r>
        <w:rPr>
          <w:color w:val="231F20"/>
          <w:spacing w:val="-2"/>
        </w:rPr>
        <w:t> </w:t>
      </w:r>
      <w:r>
        <w:rPr>
          <w:color w:val="231F20"/>
        </w:rPr>
        <w:t>same</w:t>
      </w:r>
      <w:r>
        <w:rPr>
          <w:color w:val="231F20"/>
          <w:spacing w:val="-2"/>
        </w:rPr>
        <w:t> </w:t>
      </w:r>
      <w:r>
        <w:rPr>
          <w:color w:val="231F20"/>
        </w:rPr>
        <w:t>time</w:t>
      </w:r>
      <w:r>
        <w:rPr>
          <w:color w:val="231F20"/>
          <w:spacing w:val="-2"/>
        </w:rPr>
        <w:t> </w:t>
      </w:r>
      <w:r>
        <w:rPr>
          <w:color w:val="231F20"/>
        </w:rPr>
        <w:t>the</w:t>
      </w:r>
      <w:r>
        <w:rPr>
          <w:color w:val="231F20"/>
          <w:spacing w:val="-2"/>
        </w:rPr>
        <w:t> </w:t>
      </w:r>
      <w:r>
        <w:rPr>
          <w:color w:val="231F20"/>
        </w:rPr>
        <w:t>corporation’s</w:t>
      </w:r>
      <w:r>
        <w:rPr>
          <w:color w:val="231F20"/>
          <w:spacing w:val="-2"/>
        </w:rPr>
        <w:t> </w:t>
      </w:r>
      <w:r>
        <w:rPr>
          <w:color w:val="231F20"/>
        </w:rPr>
        <w:t>limited</w:t>
      </w:r>
      <w:r>
        <w:rPr>
          <w:color w:val="231F20"/>
          <w:spacing w:val="-2"/>
        </w:rPr>
        <w:t> </w:t>
      </w:r>
      <w:r>
        <w:rPr>
          <w:color w:val="231F20"/>
        </w:rPr>
        <w:t>liability</w:t>
      </w:r>
      <w:r>
        <w:rPr>
          <w:color w:val="231F20"/>
          <w:spacing w:val="-2"/>
        </w:rPr>
        <w:t> </w:t>
      </w:r>
      <w:r>
        <w:rPr>
          <w:color w:val="231F20"/>
        </w:rPr>
        <w:t>advantage</w:t>
      </w:r>
      <w:r>
        <w:rPr>
          <w:color w:val="231F20"/>
          <w:spacing w:val="-2"/>
        </w:rPr>
        <w:t> </w:t>
      </w:r>
      <w:r>
        <w:rPr>
          <w:color w:val="231F20"/>
        </w:rPr>
        <w:t>is </w:t>
      </w:r>
      <w:r>
        <w:rPr>
          <w:color w:val="231F20"/>
          <w:spacing w:val="-2"/>
          <w:w w:val="105"/>
        </w:rPr>
        <w:t>maintained.</w:t>
      </w:r>
    </w:p>
    <w:p>
      <w:pPr>
        <w:pStyle w:val="BodyText"/>
        <w:spacing w:before="9"/>
        <w:rPr>
          <w:sz w:val="24"/>
        </w:rPr>
      </w:pPr>
    </w:p>
    <w:p>
      <w:pPr>
        <w:pStyle w:val="BodyText"/>
        <w:spacing w:line="292" w:lineRule="auto"/>
        <w:ind w:left="919" w:right="665"/>
        <w:jc w:val="both"/>
      </w:pPr>
      <w:r>
        <w:rPr>
          <w:color w:val="231F20"/>
        </w:rPr>
        <w:t>If you are interested in finance, you can take two different yet inter- connected</w:t>
      </w:r>
      <w:r>
        <w:rPr>
          <w:color w:val="231F20"/>
          <w:spacing w:val="-2"/>
        </w:rPr>
        <w:t> </w:t>
      </w:r>
      <w:r>
        <w:rPr>
          <w:color w:val="231F20"/>
        </w:rPr>
        <w:t>routes.</w:t>
      </w:r>
      <w:r>
        <w:rPr>
          <w:color w:val="231F20"/>
          <w:spacing w:val="-2"/>
        </w:rPr>
        <w:t> </w:t>
      </w:r>
      <w:r>
        <w:rPr>
          <w:color w:val="231F20"/>
        </w:rPr>
        <w:t>There</w:t>
      </w:r>
      <w:r>
        <w:rPr>
          <w:color w:val="231F20"/>
          <w:spacing w:val="-2"/>
        </w:rPr>
        <w:t> </w:t>
      </w:r>
      <w:r>
        <w:rPr>
          <w:color w:val="231F20"/>
        </w:rPr>
        <w:t>is</w:t>
      </w:r>
      <w:r>
        <w:rPr>
          <w:color w:val="231F20"/>
          <w:spacing w:val="-2"/>
        </w:rPr>
        <w:t> </w:t>
      </w:r>
      <w:r>
        <w:rPr>
          <w:color w:val="231F20"/>
        </w:rPr>
        <w:t>the</w:t>
      </w:r>
      <w:r>
        <w:rPr>
          <w:color w:val="231F20"/>
          <w:spacing w:val="-2"/>
        </w:rPr>
        <w:t> </w:t>
      </w:r>
      <w:r>
        <w:rPr>
          <w:color w:val="231F20"/>
        </w:rPr>
        <w:t>investments</w:t>
      </w:r>
      <w:r>
        <w:rPr>
          <w:color w:val="231F20"/>
          <w:spacing w:val="-2"/>
        </w:rPr>
        <w:t> </w:t>
      </w:r>
      <w:r>
        <w:rPr>
          <w:color w:val="231F20"/>
        </w:rPr>
        <w:t>area,</w:t>
      </w:r>
      <w:r>
        <w:rPr>
          <w:color w:val="231F20"/>
          <w:spacing w:val="-2"/>
        </w:rPr>
        <w:t> </w:t>
      </w:r>
      <w:r>
        <w:rPr>
          <w:color w:val="231F20"/>
        </w:rPr>
        <w:t>which</w:t>
      </w:r>
      <w:r>
        <w:rPr>
          <w:color w:val="231F20"/>
          <w:spacing w:val="-2"/>
        </w:rPr>
        <w:t> </w:t>
      </w:r>
      <w:r>
        <w:rPr>
          <w:color w:val="231F20"/>
        </w:rPr>
        <w:t>is</w:t>
      </w:r>
      <w:r>
        <w:rPr>
          <w:color w:val="231F20"/>
          <w:spacing w:val="-2"/>
        </w:rPr>
        <w:t> </w:t>
      </w:r>
      <w:r>
        <w:rPr>
          <w:color w:val="231F20"/>
        </w:rPr>
        <w:t>more</w:t>
      </w:r>
      <w:r>
        <w:rPr>
          <w:color w:val="231F20"/>
          <w:spacing w:val="-2"/>
        </w:rPr>
        <w:t> </w:t>
      </w:r>
      <w:r>
        <w:rPr>
          <w:color w:val="231F20"/>
        </w:rPr>
        <w:t>glam- orous, the thing that fortunes, headlines, and stock quotes are made of; and there is financial management, which is the “in the trenches” work that helps companies finance their growth, pay the bills, and make acquisitions. The two areas are interconnected because the performance of a business, for which the finance department is to a large extent responsible, affects its investors’ share of the firm’s profits. Let’s start with the glamour.</w:t>
      </w:r>
    </w:p>
    <w:p>
      <w:pPr>
        <w:spacing w:after="0" w:line="292" w:lineRule="auto"/>
        <w:jc w:val="both"/>
        <w:sectPr>
          <w:pgSz w:w="8640" w:h="12960"/>
          <w:pgMar w:header="734" w:footer="0" w:top="920" w:bottom="280" w:left="340" w:right="500"/>
        </w:sectPr>
      </w:pPr>
    </w:p>
    <w:p>
      <w:pPr>
        <w:pStyle w:val="BodyText"/>
        <w:rPr>
          <w:sz w:val="20"/>
        </w:rPr>
      </w:pPr>
    </w:p>
    <w:p>
      <w:pPr>
        <w:pStyle w:val="BodyText"/>
        <w:spacing w:before="11"/>
        <w:rPr>
          <w:sz w:val="20"/>
        </w:rPr>
      </w:pPr>
    </w:p>
    <w:p>
      <w:pPr>
        <w:pStyle w:val="Heading4"/>
        <w:spacing w:before="102"/>
        <w:ind w:left="288"/>
      </w:pPr>
      <w:r>
        <w:rPr>
          <w:color w:val="231F20"/>
          <w:spacing w:val="7"/>
        </w:rPr>
        <w:t>INVESTMENTS</w:t>
      </w:r>
    </w:p>
    <w:p>
      <w:pPr>
        <w:pStyle w:val="BodyText"/>
        <w:spacing w:before="11"/>
        <w:rPr>
          <w:rFonts w:ascii="Trebuchet MS"/>
          <w:sz w:val="29"/>
        </w:rPr>
      </w:pPr>
    </w:p>
    <w:p>
      <w:pPr>
        <w:pStyle w:val="Heading6"/>
        <w:ind w:left="299"/>
        <w:rPr>
          <w:i/>
        </w:rPr>
      </w:pPr>
      <w:r>
        <w:rPr>
          <w:i/>
          <w:color w:val="231F20"/>
          <w:w w:val="110"/>
        </w:rPr>
        <w:t>RISK</w:t>
      </w:r>
      <w:r>
        <w:rPr>
          <w:i/>
          <w:color w:val="231F20"/>
          <w:spacing w:val="47"/>
          <w:w w:val="110"/>
        </w:rPr>
        <w:t> </w:t>
      </w:r>
      <w:r>
        <w:rPr>
          <w:i/>
          <w:color w:val="231F20"/>
          <w:w w:val="110"/>
        </w:rPr>
        <w:t>AND</w:t>
      </w:r>
      <w:r>
        <w:rPr>
          <w:i/>
          <w:color w:val="231F20"/>
          <w:spacing w:val="48"/>
          <w:w w:val="110"/>
        </w:rPr>
        <w:t> </w:t>
      </w:r>
      <w:r>
        <w:rPr>
          <w:i/>
          <w:color w:val="231F20"/>
          <w:spacing w:val="8"/>
          <w:w w:val="110"/>
        </w:rPr>
        <w:t>RETURN</w:t>
      </w:r>
    </w:p>
    <w:p>
      <w:pPr>
        <w:pStyle w:val="BodyText"/>
        <w:spacing w:before="2"/>
        <w:rPr>
          <w:b/>
          <w:i/>
          <w:sz w:val="30"/>
        </w:rPr>
      </w:pPr>
    </w:p>
    <w:p>
      <w:pPr>
        <w:pStyle w:val="BodyText"/>
        <w:spacing w:line="292" w:lineRule="auto"/>
        <w:ind w:left="830" w:right="753"/>
        <w:jc w:val="both"/>
      </w:pPr>
      <w:r>
        <w:rPr>
          <w:color w:val="231F20"/>
        </w:rPr>
        <w:t>How</w:t>
      </w:r>
      <w:r>
        <w:rPr>
          <w:color w:val="231F20"/>
          <w:spacing w:val="23"/>
        </w:rPr>
        <w:t> </w:t>
      </w:r>
      <w:r>
        <w:rPr>
          <w:color w:val="231F20"/>
        </w:rPr>
        <w:t>can</w:t>
      </w:r>
      <w:r>
        <w:rPr>
          <w:color w:val="231F20"/>
          <w:spacing w:val="23"/>
        </w:rPr>
        <w:t> </w:t>
      </w:r>
      <w:r>
        <w:rPr>
          <w:color w:val="231F20"/>
        </w:rPr>
        <w:t>I</w:t>
      </w:r>
      <w:r>
        <w:rPr>
          <w:color w:val="231F20"/>
          <w:spacing w:val="23"/>
        </w:rPr>
        <w:t> </w:t>
      </w:r>
      <w:r>
        <w:rPr>
          <w:color w:val="231F20"/>
        </w:rPr>
        <w:t>profit</w:t>
      </w:r>
      <w:r>
        <w:rPr>
          <w:color w:val="231F20"/>
          <w:spacing w:val="23"/>
        </w:rPr>
        <w:t> </w:t>
      </w:r>
      <w:r>
        <w:rPr>
          <w:color w:val="231F20"/>
        </w:rPr>
        <w:t>by</w:t>
      </w:r>
      <w:r>
        <w:rPr>
          <w:color w:val="231F20"/>
          <w:spacing w:val="23"/>
        </w:rPr>
        <w:t> </w:t>
      </w:r>
      <w:r>
        <w:rPr>
          <w:color w:val="231F20"/>
        </w:rPr>
        <w:t>owning</w:t>
      </w:r>
      <w:r>
        <w:rPr>
          <w:color w:val="231F20"/>
          <w:spacing w:val="23"/>
        </w:rPr>
        <w:t> </w:t>
      </w:r>
      <w:r>
        <w:rPr>
          <w:color w:val="231F20"/>
        </w:rPr>
        <w:t>a</w:t>
      </w:r>
      <w:r>
        <w:rPr>
          <w:color w:val="231F20"/>
          <w:spacing w:val="23"/>
        </w:rPr>
        <w:t> </w:t>
      </w:r>
      <w:r>
        <w:rPr>
          <w:color w:val="231F20"/>
        </w:rPr>
        <w:t>large</w:t>
      </w:r>
      <w:r>
        <w:rPr>
          <w:color w:val="231F20"/>
          <w:spacing w:val="23"/>
        </w:rPr>
        <w:t> </w:t>
      </w:r>
      <w:r>
        <w:rPr>
          <w:color w:val="231F20"/>
        </w:rPr>
        <w:t>or</w:t>
      </w:r>
      <w:r>
        <w:rPr>
          <w:color w:val="231F20"/>
          <w:spacing w:val="23"/>
        </w:rPr>
        <w:t> </w:t>
      </w:r>
      <w:r>
        <w:rPr>
          <w:color w:val="231F20"/>
        </w:rPr>
        <w:t>small</w:t>
      </w:r>
      <w:r>
        <w:rPr>
          <w:color w:val="231F20"/>
          <w:spacing w:val="23"/>
        </w:rPr>
        <w:t> </w:t>
      </w:r>
      <w:r>
        <w:rPr>
          <w:color w:val="231F20"/>
        </w:rPr>
        <w:t>share</w:t>
      </w:r>
      <w:r>
        <w:rPr>
          <w:color w:val="231F20"/>
          <w:spacing w:val="23"/>
        </w:rPr>
        <w:t> </w:t>
      </w:r>
      <w:r>
        <w:rPr>
          <w:color w:val="231F20"/>
        </w:rPr>
        <w:t>of</w:t>
      </w:r>
      <w:r>
        <w:rPr>
          <w:color w:val="231F20"/>
          <w:spacing w:val="23"/>
        </w:rPr>
        <w:t> </w:t>
      </w:r>
      <w:r>
        <w:rPr>
          <w:color w:val="231F20"/>
        </w:rPr>
        <w:t>a</w:t>
      </w:r>
      <w:r>
        <w:rPr>
          <w:color w:val="231F20"/>
          <w:spacing w:val="23"/>
        </w:rPr>
        <w:t> </w:t>
      </w:r>
      <w:r>
        <w:rPr>
          <w:color w:val="231F20"/>
        </w:rPr>
        <w:t>corporation or other business? This investment decision is really a two-pronged question: What is the potential income, and how risky is the ven- ture? The basic concepts of discounted cash flows and probability explained earlier in the QA chapter can be used to answer these val- uation</w:t>
      </w:r>
      <w:r>
        <w:rPr>
          <w:color w:val="231F20"/>
          <w:spacing w:val="40"/>
        </w:rPr>
        <w:t> </w:t>
      </w:r>
      <w:r>
        <w:rPr>
          <w:color w:val="231F20"/>
        </w:rPr>
        <w:t>questions.</w:t>
      </w:r>
      <w:r>
        <w:rPr>
          <w:color w:val="231F20"/>
          <w:spacing w:val="40"/>
        </w:rPr>
        <w:t> </w:t>
      </w:r>
      <w:r>
        <w:rPr>
          <w:color w:val="231F20"/>
        </w:rPr>
        <w:t>Refer</w:t>
      </w:r>
      <w:r>
        <w:rPr>
          <w:color w:val="231F20"/>
          <w:spacing w:val="40"/>
        </w:rPr>
        <w:t> </w:t>
      </w:r>
      <w:r>
        <w:rPr>
          <w:color w:val="231F20"/>
        </w:rPr>
        <w:t>to</w:t>
      </w:r>
      <w:r>
        <w:rPr>
          <w:color w:val="231F20"/>
          <w:spacing w:val="40"/>
        </w:rPr>
        <w:t> </w:t>
      </w:r>
      <w:r>
        <w:rPr>
          <w:color w:val="231F20"/>
        </w:rPr>
        <w:t>them</w:t>
      </w:r>
      <w:r>
        <w:rPr>
          <w:color w:val="231F20"/>
          <w:spacing w:val="40"/>
        </w:rPr>
        <w:t> </w:t>
      </w:r>
      <w:r>
        <w:rPr>
          <w:color w:val="231F20"/>
        </w:rPr>
        <w:t>as</w:t>
      </w:r>
      <w:r>
        <w:rPr>
          <w:color w:val="231F20"/>
          <w:spacing w:val="40"/>
        </w:rPr>
        <w:t> </w:t>
      </w:r>
      <w:r>
        <w:rPr>
          <w:color w:val="231F20"/>
        </w:rPr>
        <w:t>you</w:t>
      </w:r>
      <w:r>
        <w:rPr>
          <w:color w:val="231F20"/>
          <w:spacing w:val="40"/>
        </w:rPr>
        <w:t> </w:t>
      </w:r>
      <w:r>
        <w:rPr>
          <w:color w:val="231F20"/>
        </w:rPr>
        <w:t>would</w:t>
      </w:r>
      <w:r>
        <w:rPr>
          <w:color w:val="231F20"/>
          <w:spacing w:val="40"/>
        </w:rPr>
        <w:t> </w:t>
      </w:r>
      <w:r>
        <w:rPr>
          <w:color w:val="231F20"/>
        </w:rPr>
        <w:t>look</w:t>
      </w:r>
      <w:r>
        <w:rPr>
          <w:color w:val="231F20"/>
          <w:spacing w:val="40"/>
        </w:rPr>
        <w:t> </w:t>
      </w:r>
      <w:r>
        <w:rPr>
          <w:color w:val="231F20"/>
        </w:rPr>
        <w:t>up</w:t>
      </w:r>
      <w:r>
        <w:rPr>
          <w:color w:val="231F20"/>
          <w:spacing w:val="40"/>
        </w:rPr>
        <w:t> </w:t>
      </w:r>
      <w:r>
        <w:rPr>
          <w:color w:val="231F20"/>
        </w:rPr>
        <w:t>old</w:t>
      </w:r>
      <w:r>
        <w:rPr>
          <w:color w:val="231F20"/>
          <w:spacing w:val="40"/>
        </w:rPr>
        <w:t> </w:t>
      </w:r>
      <w:r>
        <w:rPr>
          <w:color w:val="231F20"/>
        </w:rPr>
        <w:t>class </w:t>
      </w:r>
      <w:r>
        <w:rPr>
          <w:color w:val="231F20"/>
          <w:spacing w:val="-2"/>
        </w:rPr>
        <w:t>notes.</w:t>
      </w:r>
    </w:p>
    <w:p>
      <w:pPr>
        <w:pStyle w:val="BodyText"/>
        <w:spacing w:line="292" w:lineRule="auto"/>
        <w:ind w:left="830" w:right="755" w:firstLine="340"/>
        <w:jc w:val="both"/>
      </w:pPr>
      <w:r>
        <w:rPr>
          <w:color w:val="231F20"/>
        </w:rPr>
        <w:t>A basic tenet of finance dictates that the return should be com- mensurate with the risk. If you know that an investment is a sure thing, then you should expect a lower rate of return in </w:t>
      </w:r>
      <w:r>
        <w:rPr>
          <w:color w:val="231F20"/>
        </w:rPr>
        <w:t>compensation for the lower risk. Accordingly, certificates of deposit insured by the Federal Deposit Insurance Corporation (FDIC) pay low rates of re- turn. Wildcatting for oil involves a great deal of risk, but it also promises a huge jackpot if a well turns out to be a gusher.</w:t>
      </w:r>
    </w:p>
    <w:p>
      <w:pPr>
        <w:pStyle w:val="BodyText"/>
        <w:spacing w:before="2"/>
        <w:rPr>
          <w:sz w:val="25"/>
        </w:rPr>
      </w:pPr>
    </w:p>
    <w:p>
      <w:pPr>
        <w:pStyle w:val="BodyText"/>
        <w:spacing w:line="292" w:lineRule="auto"/>
        <w:ind w:left="829" w:right="756"/>
        <w:jc w:val="both"/>
      </w:pPr>
      <w:r>
        <w:rPr>
          <w:i/>
          <w:color w:val="231F20"/>
        </w:rPr>
        <w:t>Types of Risk. </w:t>
      </w:r>
      <w:r>
        <w:rPr>
          <w:color w:val="231F20"/>
        </w:rPr>
        <w:t>If risk applies to a whole class of assets, such as the markets for stocks, bonds, and real estate, it is called </w:t>
      </w:r>
      <w:r>
        <w:rPr>
          <w:i/>
          <w:color w:val="231F20"/>
        </w:rPr>
        <w:t>systematic </w:t>
      </w:r>
      <w:r>
        <w:rPr>
          <w:i/>
          <w:color w:val="231F20"/>
        </w:rPr>
        <w:t>risk.</w:t>
      </w:r>
      <w:r>
        <w:rPr>
          <w:i/>
          <w:color w:val="231F20"/>
        </w:rPr>
        <w:t> </w:t>
      </w:r>
      <w:r>
        <w:rPr>
          <w:color w:val="231F20"/>
        </w:rPr>
        <w:t>For instance, when the public believes that the stock market is a</w:t>
      </w:r>
      <w:r>
        <w:rPr>
          <w:color w:val="231F20"/>
          <w:spacing w:val="80"/>
        </w:rPr>
        <w:t> </w:t>
      </w:r>
      <w:r>
        <w:rPr>
          <w:color w:val="231F20"/>
        </w:rPr>
        <w:t>good bet (a so-called </w:t>
      </w:r>
      <w:r>
        <w:rPr>
          <w:i/>
          <w:color w:val="231F20"/>
        </w:rPr>
        <w:t>bull market</w:t>
      </w:r>
      <w:r>
        <w:rPr>
          <w:color w:val="231F20"/>
        </w:rPr>
        <w:t>), the market as a whole will climb. When</w:t>
      </w:r>
      <w:r>
        <w:rPr>
          <w:color w:val="231F20"/>
          <w:spacing w:val="27"/>
        </w:rPr>
        <w:t> </w:t>
      </w:r>
      <w:r>
        <w:rPr>
          <w:color w:val="231F20"/>
        </w:rPr>
        <w:t>the</w:t>
      </w:r>
      <w:r>
        <w:rPr>
          <w:color w:val="231F20"/>
          <w:spacing w:val="27"/>
        </w:rPr>
        <w:t> </w:t>
      </w:r>
      <w:r>
        <w:rPr>
          <w:color w:val="231F20"/>
        </w:rPr>
        <w:t>public</w:t>
      </w:r>
      <w:r>
        <w:rPr>
          <w:color w:val="231F20"/>
          <w:spacing w:val="27"/>
        </w:rPr>
        <w:t> </w:t>
      </w:r>
      <w:r>
        <w:rPr>
          <w:color w:val="231F20"/>
        </w:rPr>
        <w:t>leaves,</w:t>
      </w:r>
      <w:r>
        <w:rPr>
          <w:color w:val="231F20"/>
          <w:spacing w:val="27"/>
        </w:rPr>
        <w:t> </w:t>
      </w:r>
      <w:r>
        <w:rPr>
          <w:color w:val="231F20"/>
        </w:rPr>
        <w:t>the</w:t>
      </w:r>
      <w:r>
        <w:rPr>
          <w:color w:val="231F20"/>
          <w:spacing w:val="27"/>
        </w:rPr>
        <w:t> </w:t>
      </w:r>
      <w:r>
        <w:rPr>
          <w:color w:val="231F20"/>
        </w:rPr>
        <w:t>market</w:t>
      </w:r>
      <w:r>
        <w:rPr>
          <w:color w:val="231F20"/>
          <w:spacing w:val="27"/>
        </w:rPr>
        <w:t> </w:t>
      </w:r>
      <w:r>
        <w:rPr>
          <w:color w:val="231F20"/>
        </w:rPr>
        <w:t>“lays</w:t>
      </w:r>
      <w:r>
        <w:rPr>
          <w:color w:val="231F20"/>
          <w:spacing w:val="27"/>
        </w:rPr>
        <w:t> </w:t>
      </w:r>
      <w:r>
        <w:rPr>
          <w:color w:val="231F20"/>
        </w:rPr>
        <w:t>an</w:t>
      </w:r>
      <w:r>
        <w:rPr>
          <w:color w:val="231F20"/>
          <w:spacing w:val="27"/>
        </w:rPr>
        <w:t> </w:t>
      </w:r>
      <w:r>
        <w:rPr>
          <w:color w:val="231F20"/>
        </w:rPr>
        <w:t>egg”</w:t>
      </w:r>
      <w:r>
        <w:rPr>
          <w:color w:val="231F20"/>
          <w:spacing w:val="27"/>
        </w:rPr>
        <w:t> </w:t>
      </w:r>
      <w:r>
        <w:rPr>
          <w:color w:val="231F20"/>
        </w:rPr>
        <w:t>or</w:t>
      </w:r>
      <w:r>
        <w:rPr>
          <w:color w:val="231F20"/>
          <w:spacing w:val="27"/>
        </w:rPr>
        <w:t> </w:t>
      </w:r>
      <w:r>
        <w:rPr>
          <w:color w:val="231F20"/>
        </w:rPr>
        <w:t>“melts</w:t>
      </w:r>
      <w:r>
        <w:rPr>
          <w:color w:val="231F20"/>
          <w:spacing w:val="27"/>
        </w:rPr>
        <w:t> </w:t>
      </w:r>
      <w:r>
        <w:rPr>
          <w:color w:val="231F20"/>
        </w:rPr>
        <w:t>down,” as the headlines read in the crashes of 1929, 1987, and 2000. Move- ments</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economy,</w:t>
      </w:r>
      <w:r>
        <w:rPr>
          <w:color w:val="231F20"/>
          <w:spacing w:val="-4"/>
        </w:rPr>
        <w:t> </w:t>
      </w:r>
      <w:r>
        <w:rPr>
          <w:color w:val="231F20"/>
        </w:rPr>
        <w:t>interest</w:t>
      </w:r>
      <w:r>
        <w:rPr>
          <w:color w:val="231F20"/>
          <w:spacing w:val="-4"/>
        </w:rPr>
        <w:t> </w:t>
      </w:r>
      <w:r>
        <w:rPr>
          <w:color w:val="231F20"/>
        </w:rPr>
        <w:t>rates,</w:t>
      </w:r>
      <w:r>
        <w:rPr>
          <w:color w:val="231F20"/>
          <w:spacing w:val="-4"/>
        </w:rPr>
        <w:t> </w:t>
      </w:r>
      <w:r>
        <w:rPr>
          <w:color w:val="231F20"/>
        </w:rPr>
        <w:t>and</w:t>
      </w:r>
      <w:r>
        <w:rPr>
          <w:color w:val="231F20"/>
          <w:spacing w:val="-4"/>
        </w:rPr>
        <w:t> </w:t>
      </w:r>
      <w:r>
        <w:rPr>
          <w:color w:val="231F20"/>
        </w:rPr>
        <w:t>inflation</w:t>
      </w:r>
      <w:r>
        <w:rPr>
          <w:color w:val="231F20"/>
          <w:spacing w:val="-4"/>
        </w:rPr>
        <w:t> </w:t>
      </w:r>
      <w:r>
        <w:rPr>
          <w:color w:val="231F20"/>
        </w:rPr>
        <w:t>are</w:t>
      </w:r>
      <w:r>
        <w:rPr>
          <w:color w:val="231F20"/>
          <w:spacing w:val="-4"/>
        </w:rPr>
        <w:t> </w:t>
      </w:r>
      <w:r>
        <w:rPr>
          <w:color w:val="231F20"/>
        </w:rPr>
        <w:t>systematic</w:t>
      </w:r>
      <w:r>
        <w:rPr>
          <w:color w:val="231F20"/>
          <w:spacing w:val="-4"/>
        </w:rPr>
        <w:t> </w:t>
      </w:r>
      <w:r>
        <w:rPr>
          <w:color w:val="231F20"/>
        </w:rPr>
        <w:t>fac- tors that affect the entire market. In making any investment, you are exposed to the systematic risk of the market.</w:t>
      </w:r>
    </w:p>
    <w:p>
      <w:pPr>
        <w:pStyle w:val="BodyText"/>
        <w:spacing w:line="292" w:lineRule="auto"/>
        <w:ind w:left="830" w:right="755" w:firstLine="340"/>
        <w:jc w:val="both"/>
      </w:pPr>
      <w:r>
        <w:rPr>
          <w:color w:val="231F20"/>
          <w:w w:val="105"/>
        </w:rPr>
        <w:t>If</w:t>
      </w:r>
      <w:r>
        <w:rPr>
          <w:color w:val="231F20"/>
          <w:w w:val="105"/>
        </w:rPr>
        <w:t> the</w:t>
      </w:r>
      <w:r>
        <w:rPr>
          <w:color w:val="231F20"/>
          <w:w w:val="105"/>
        </w:rPr>
        <w:t> risk</w:t>
      </w:r>
      <w:r>
        <w:rPr>
          <w:color w:val="231F20"/>
          <w:w w:val="105"/>
        </w:rPr>
        <w:t> applies</w:t>
      </w:r>
      <w:r>
        <w:rPr>
          <w:color w:val="231F20"/>
          <w:w w:val="105"/>
        </w:rPr>
        <w:t> to</w:t>
      </w:r>
      <w:r>
        <w:rPr>
          <w:color w:val="231F20"/>
          <w:w w:val="105"/>
        </w:rPr>
        <w:t> a</w:t>
      </w:r>
      <w:r>
        <w:rPr>
          <w:color w:val="231F20"/>
          <w:w w:val="105"/>
        </w:rPr>
        <w:t> particular</w:t>
      </w:r>
      <w:r>
        <w:rPr>
          <w:color w:val="231F20"/>
          <w:w w:val="105"/>
        </w:rPr>
        <w:t> asset</w:t>
      </w:r>
      <w:r>
        <w:rPr>
          <w:color w:val="231F20"/>
          <w:w w:val="105"/>
        </w:rPr>
        <w:t> or</w:t>
      </w:r>
      <w:r>
        <w:rPr>
          <w:color w:val="231F20"/>
          <w:w w:val="105"/>
        </w:rPr>
        <w:t> to</w:t>
      </w:r>
      <w:r>
        <w:rPr>
          <w:color w:val="231F20"/>
          <w:w w:val="105"/>
        </w:rPr>
        <w:t> a</w:t>
      </w:r>
      <w:r>
        <w:rPr>
          <w:color w:val="231F20"/>
          <w:w w:val="105"/>
        </w:rPr>
        <w:t> small</w:t>
      </w:r>
      <w:r>
        <w:rPr>
          <w:color w:val="231F20"/>
          <w:w w:val="105"/>
        </w:rPr>
        <w:t> group</w:t>
      </w:r>
      <w:r>
        <w:rPr>
          <w:color w:val="231F20"/>
          <w:w w:val="105"/>
        </w:rPr>
        <w:t> of assets,</w:t>
      </w:r>
      <w:r>
        <w:rPr>
          <w:color w:val="231F20"/>
          <w:w w:val="105"/>
        </w:rPr>
        <w:t> it</w:t>
      </w:r>
      <w:r>
        <w:rPr>
          <w:color w:val="231F20"/>
          <w:w w:val="105"/>
        </w:rPr>
        <w:t> is</w:t>
      </w:r>
      <w:r>
        <w:rPr>
          <w:color w:val="231F20"/>
          <w:w w:val="105"/>
        </w:rPr>
        <w:t> called</w:t>
      </w:r>
      <w:r>
        <w:rPr>
          <w:color w:val="231F20"/>
          <w:w w:val="105"/>
        </w:rPr>
        <w:t> </w:t>
      </w:r>
      <w:r>
        <w:rPr>
          <w:i/>
          <w:color w:val="231F20"/>
          <w:w w:val="105"/>
        </w:rPr>
        <w:t>unique</w:t>
      </w:r>
      <w:r>
        <w:rPr>
          <w:i/>
          <w:color w:val="231F20"/>
          <w:w w:val="105"/>
        </w:rPr>
        <w:t> </w:t>
      </w:r>
      <w:r>
        <w:rPr>
          <w:color w:val="231F20"/>
          <w:w w:val="105"/>
        </w:rPr>
        <w:t>or</w:t>
      </w:r>
      <w:r>
        <w:rPr>
          <w:color w:val="231F20"/>
          <w:w w:val="105"/>
        </w:rPr>
        <w:t> </w:t>
      </w:r>
      <w:r>
        <w:rPr>
          <w:i/>
          <w:color w:val="231F20"/>
          <w:w w:val="105"/>
        </w:rPr>
        <w:t>unsystematic.</w:t>
      </w:r>
      <w:r>
        <w:rPr>
          <w:i/>
          <w:color w:val="231F20"/>
          <w:w w:val="105"/>
        </w:rPr>
        <w:t> </w:t>
      </w:r>
      <w:r>
        <w:rPr>
          <w:color w:val="231F20"/>
          <w:w w:val="105"/>
        </w:rPr>
        <w:t>An</w:t>
      </w:r>
      <w:r>
        <w:rPr>
          <w:color w:val="231F20"/>
          <w:w w:val="105"/>
        </w:rPr>
        <w:t> individual</w:t>
      </w:r>
      <w:r>
        <w:rPr>
          <w:color w:val="231F20"/>
          <w:w w:val="105"/>
        </w:rPr>
        <w:t> invest- </w:t>
      </w:r>
      <w:r>
        <w:rPr>
          <w:color w:val="231F20"/>
        </w:rPr>
        <w:t>ment performance may be volatile because of specific risks inherent </w:t>
      </w:r>
      <w:r>
        <w:rPr>
          <w:color w:val="231F20"/>
          <w:w w:val="105"/>
        </w:rPr>
        <w:t>to</w:t>
      </w:r>
      <w:r>
        <w:rPr>
          <w:color w:val="231F20"/>
          <w:w w:val="105"/>
        </w:rPr>
        <w:t> the</w:t>
      </w:r>
      <w:r>
        <w:rPr>
          <w:color w:val="231F20"/>
          <w:w w:val="105"/>
        </w:rPr>
        <w:t> investment.</w:t>
      </w:r>
      <w:r>
        <w:rPr>
          <w:color w:val="231F20"/>
          <w:w w:val="105"/>
        </w:rPr>
        <w:t> If</w:t>
      </w:r>
      <w:r>
        <w:rPr>
          <w:color w:val="231F20"/>
          <w:w w:val="105"/>
        </w:rPr>
        <w:t> you</w:t>
      </w:r>
      <w:r>
        <w:rPr>
          <w:color w:val="231F20"/>
          <w:w w:val="105"/>
        </w:rPr>
        <w:t> own</w:t>
      </w:r>
      <w:r>
        <w:rPr>
          <w:color w:val="231F20"/>
          <w:w w:val="105"/>
        </w:rPr>
        <w:t> shares</w:t>
      </w:r>
      <w:r>
        <w:rPr>
          <w:color w:val="231F20"/>
          <w:w w:val="105"/>
        </w:rPr>
        <w:t> in</w:t>
      </w:r>
      <w:r>
        <w:rPr>
          <w:color w:val="231F20"/>
          <w:w w:val="105"/>
        </w:rPr>
        <w:t> Disney,</w:t>
      </w:r>
      <w:r>
        <w:rPr>
          <w:color w:val="231F20"/>
          <w:w w:val="105"/>
        </w:rPr>
        <w:t> for</w:t>
      </w:r>
      <w:r>
        <w:rPr>
          <w:color w:val="231F20"/>
          <w:w w:val="105"/>
        </w:rPr>
        <w:t> instance,</w:t>
      </w:r>
      <w:r>
        <w:rPr>
          <w:color w:val="231F20"/>
          <w:w w:val="105"/>
        </w:rPr>
        <w:t> and Mickey</w:t>
      </w:r>
      <w:r>
        <w:rPr>
          <w:color w:val="231F20"/>
          <w:spacing w:val="-8"/>
          <w:w w:val="105"/>
        </w:rPr>
        <w:t> </w:t>
      </w:r>
      <w:r>
        <w:rPr>
          <w:color w:val="231F20"/>
          <w:w w:val="105"/>
        </w:rPr>
        <w:t>catches</w:t>
      </w:r>
      <w:r>
        <w:rPr>
          <w:color w:val="231F20"/>
          <w:spacing w:val="-8"/>
          <w:w w:val="105"/>
        </w:rPr>
        <w:t> </w:t>
      </w:r>
      <w:r>
        <w:rPr>
          <w:color w:val="231F20"/>
          <w:w w:val="105"/>
        </w:rPr>
        <w:t>a</w:t>
      </w:r>
      <w:r>
        <w:rPr>
          <w:color w:val="231F20"/>
          <w:spacing w:val="-8"/>
          <w:w w:val="105"/>
        </w:rPr>
        <w:t> </w:t>
      </w:r>
      <w:r>
        <w:rPr>
          <w:color w:val="231F20"/>
          <w:w w:val="105"/>
        </w:rPr>
        <w:t>cold,</w:t>
      </w:r>
      <w:r>
        <w:rPr>
          <w:color w:val="231F20"/>
          <w:spacing w:val="-8"/>
          <w:w w:val="105"/>
        </w:rPr>
        <w:t> </w:t>
      </w:r>
      <w:r>
        <w:rPr>
          <w:color w:val="231F20"/>
          <w:w w:val="105"/>
        </w:rPr>
        <w:t>the</w:t>
      </w:r>
      <w:r>
        <w:rPr>
          <w:color w:val="231F20"/>
          <w:spacing w:val="-8"/>
          <w:w w:val="105"/>
        </w:rPr>
        <w:t> </w:t>
      </w:r>
      <w:r>
        <w:rPr>
          <w:color w:val="231F20"/>
          <w:w w:val="105"/>
        </w:rPr>
        <w:t>stock</w:t>
      </w:r>
      <w:r>
        <w:rPr>
          <w:color w:val="231F20"/>
          <w:spacing w:val="-8"/>
          <w:w w:val="105"/>
        </w:rPr>
        <w:t> </w:t>
      </w:r>
      <w:r>
        <w:rPr>
          <w:color w:val="231F20"/>
          <w:w w:val="105"/>
        </w:rPr>
        <w:t>could</w:t>
      </w:r>
      <w:r>
        <w:rPr>
          <w:color w:val="231F20"/>
          <w:spacing w:val="-8"/>
          <w:w w:val="105"/>
        </w:rPr>
        <w:t> </w:t>
      </w:r>
      <w:r>
        <w:rPr>
          <w:color w:val="231F20"/>
          <w:w w:val="105"/>
        </w:rPr>
        <w:t>tumble.</w:t>
      </w:r>
      <w:r>
        <w:rPr>
          <w:color w:val="231F20"/>
          <w:spacing w:val="-8"/>
          <w:w w:val="105"/>
        </w:rPr>
        <w:t> </w:t>
      </w:r>
      <w:r>
        <w:rPr>
          <w:color w:val="231F20"/>
          <w:w w:val="105"/>
        </w:rPr>
        <w:t>That</w:t>
      </w:r>
      <w:r>
        <w:rPr>
          <w:color w:val="231F20"/>
          <w:spacing w:val="-8"/>
          <w:w w:val="105"/>
        </w:rPr>
        <w:t> </w:t>
      </w:r>
      <w:r>
        <w:rPr>
          <w:color w:val="231F20"/>
          <w:w w:val="105"/>
        </w:rPr>
        <w:t>type</w:t>
      </w:r>
      <w:r>
        <w:rPr>
          <w:color w:val="231F20"/>
          <w:spacing w:val="-8"/>
          <w:w w:val="105"/>
        </w:rPr>
        <w:t> </w:t>
      </w:r>
      <w:r>
        <w:rPr>
          <w:color w:val="231F20"/>
          <w:w w:val="105"/>
        </w:rPr>
        <w:t>of</w:t>
      </w:r>
      <w:r>
        <w:rPr>
          <w:color w:val="231F20"/>
          <w:spacing w:val="-8"/>
          <w:w w:val="105"/>
        </w:rPr>
        <w:t> </w:t>
      </w:r>
      <w:r>
        <w:rPr>
          <w:color w:val="231F20"/>
          <w:w w:val="105"/>
        </w:rPr>
        <w:t>risk</w:t>
      </w:r>
      <w:r>
        <w:rPr>
          <w:color w:val="231F20"/>
          <w:spacing w:val="-8"/>
          <w:w w:val="105"/>
        </w:rPr>
        <w:t> </w:t>
      </w:r>
      <w:r>
        <w:rPr>
          <w:color w:val="231F20"/>
          <w:w w:val="105"/>
        </w:rPr>
        <w:t>can largely</w:t>
      </w:r>
      <w:r>
        <w:rPr>
          <w:color w:val="231F20"/>
          <w:w w:val="105"/>
        </w:rPr>
        <w:t> be</w:t>
      </w:r>
      <w:r>
        <w:rPr>
          <w:color w:val="231F20"/>
          <w:w w:val="105"/>
        </w:rPr>
        <w:t> compensated</w:t>
      </w:r>
      <w:r>
        <w:rPr>
          <w:color w:val="231F20"/>
          <w:w w:val="105"/>
        </w:rPr>
        <w:t> for</w:t>
      </w:r>
      <w:r>
        <w:rPr>
          <w:color w:val="231F20"/>
          <w:w w:val="105"/>
        </w:rPr>
        <w:t> by</w:t>
      </w:r>
      <w:r>
        <w:rPr>
          <w:color w:val="231F20"/>
          <w:w w:val="105"/>
        </w:rPr>
        <w:t> owning</w:t>
      </w:r>
      <w:r>
        <w:rPr>
          <w:color w:val="231F20"/>
          <w:w w:val="105"/>
        </w:rPr>
        <w:t> a</w:t>
      </w:r>
      <w:r>
        <w:rPr>
          <w:color w:val="231F20"/>
          <w:w w:val="105"/>
        </w:rPr>
        <w:t> number</w:t>
      </w:r>
      <w:r>
        <w:rPr>
          <w:color w:val="231F20"/>
          <w:w w:val="105"/>
        </w:rPr>
        <w:t> of</w:t>
      </w:r>
      <w:r>
        <w:rPr>
          <w:color w:val="231F20"/>
          <w:w w:val="105"/>
        </w:rPr>
        <w:t> investments. This</w:t>
      </w:r>
      <w:r>
        <w:rPr>
          <w:color w:val="231F20"/>
          <w:spacing w:val="-3"/>
          <w:w w:val="105"/>
        </w:rPr>
        <w:t> </w:t>
      </w:r>
      <w:r>
        <w:rPr>
          <w:color w:val="231F20"/>
          <w:w w:val="105"/>
        </w:rPr>
        <w:t>is</w:t>
      </w:r>
      <w:r>
        <w:rPr>
          <w:color w:val="231F20"/>
          <w:spacing w:val="-2"/>
          <w:w w:val="105"/>
        </w:rPr>
        <w:t> </w:t>
      </w:r>
      <w:r>
        <w:rPr>
          <w:color w:val="231F20"/>
          <w:w w:val="105"/>
        </w:rPr>
        <w:t>called</w:t>
      </w:r>
      <w:r>
        <w:rPr>
          <w:color w:val="231F20"/>
          <w:spacing w:val="-3"/>
          <w:w w:val="105"/>
        </w:rPr>
        <w:t> </w:t>
      </w:r>
      <w:r>
        <w:rPr>
          <w:i/>
          <w:color w:val="231F20"/>
          <w:w w:val="105"/>
        </w:rPr>
        <w:t>diversification.</w:t>
      </w:r>
      <w:r>
        <w:rPr>
          <w:i/>
          <w:color w:val="231F20"/>
          <w:spacing w:val="-2"/>
          <w:w w:val="105"/>
        </w:rPr>
        <w:t> </w:t>
      </w:r>
      <w:r>
        <w:rPr>
          <w:color w:val="231F20"/>
          <w:w w:val="105"/>
        </w:rPr>
        <w:t>By</w:t>
      </w:r>
      <w:r>
        <w:rPr>
          <w:color w:val="231F20"/>
          <w:spacing w:val="-2"/>
          <w:w w:val="105"/>
        </w:rPr>
        <w:t> </w:t>
      </w:r>
      <w:r>
        <w:rPr>
          <w:color w:val="231F20"/>
          <w:w w:val="105"/>
        </w:rPr>
        <w:t>holding</w:t>
      </w:r>
      <w:r>
        <w:rPr>
          <w:color w:val="231F20"/>
          <w:spacing w:val="-3"/>
          <w:w w:val="105"/>
        </w:rPr>
        <w:t> </w:t>
      </w:r>
      <w:r>
        <w:rPr>
          <w:color w:val="231F20"/>
          <w:w w:val="105"/>
        </w:rPr>
        <w:t>a</w:t>
      </w:r>
      <w:r>
        <w:rPr>
          <w:color w:val="231F20"/>
          <w:spacing w:val="-2"/>
          <w:w w:val="105"/>
        </w:rPr>
        <w:t> </w:t>
      </w:r>
      <w:r>
        <w:rPr>
          <w:color w:val="231F20"/>
          <w:w w:val="105"/>
        </w:rPr>
        <w:t>broad</w:t>
      </w:r>
      <w:r>
        <w:rPr>
          <w:color w:val="231F20"/>
          <w:spacing w:val="-2"/>
          <w:w w:val="105"/>
        </w:rPr>
        <w:t> </w:t>
      </w:r>
      <w:r>
        <w:rPr>
          <w:color w:val="231F20"/>
          <w:w w:val="105"/>
        </w:rPr>
        <w:t>portfolio</w:t>
      </w:r>
      <w:r>
        <w:rPr>
          <w:color w:val="231F20"/>
          <w:spacing w:val="-3"/>
          <w:w w:val="105"/>
        </w:rPr>
        <w:t> </w:t>
      </w:r>
      <w:r>
        <w:rPr>
          <w:color w:val="231F20"/>
          <w:w w:val="105"/>
        </w:rPr>
        <w:t>of</w:t>
      </w:r>
      <w:r>
        <w:rPr>
          <w:color w:val="231F20"/>
          <w:spacing w:val="-2"/>
          <w:w w:val="105"/>
        </w:rPr>
        <w:t> </w:t>
      </w:r>
      <w:r>
        <w:rPr>
          <w:color w:val="231F20"/>
          <w:spacing w:val="-2"/>
        </w:rPr>
        <w:t>invest-</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ments, investors can offset losses on some investments with gains</w:t>
      </w:r>
      <w:r>
        <w:rPr>
          <w:color w:val="231F20"/>
          <w:spacing w:val="80"/>
          <w:w w:val="150"/>
        </w:rPr>
        <w:t> </w:t>
      </w:r>
      <w:r>
        <w:rPr>
          <w:color w:val="231F20"/>
        </w:rPr>
        <w:t>on others. Diversification moderates the overall fluctuations of a </w:t>
      </w:r>
      <w:r>
        <w:rPr>
          <w:color w:val="231F20"/>
          <w:spacing w:val="-2"/>
        </w:rPr>
        <w:t>portfolio.</w:t>
      </w:r>
    </w:p>
    <w:p>
      <w:pPr>
        <w:pStyle w:val="BodyText"/>
        <w:rPr>
          <w:sz w:val="24"/>
        </w:rPr>
      </w:pPr>
    </w:p>
    <w:p>
      <w:pPr>
        <w:pStyle w:val="BodyText"/>
        <w:rPr>
          <w:sz w:val="27"/>
        </w:rPr>
      </w:pPr>
    </w:p>
    <w:p>
      <w:pPr>
        <w:pStyle w:val="Heading6"/>
        <w:spacing w:before="1"/>
        <w:rPr>
          <w:i/>
        </w:rPr>
      </w:pPr>
      <w:r>
        <w:rPr>
          <w:i/>
          <w:color w:val="231F20"/>
          <w:w w:val="110"/>
        </w:rPr>
        <w:t>BETA:</w:t>
      </w:r>
      <w:r>
        <w:rPr>
          <w:i/>
          <w:color w:val="231F20"/>
          <w:spacing w:val="49"/>
          <w:w w:val="110"/>
        </w:rPr>
        <w:t> </w:t>
      </w:r>
      <w:r>
        <w:rPr>
          <w:i/>
          <w:color w:val="231F20"/>
          <w:w w:val="110"/>
        </w:rPr>
        <w:t>RISK</w:t>
      </w:r>
      <w:r>
        <w:rPr>
          <w:i/>
          <w:color w:val="231F20"/>
          <w:spacing w:val="49"/>
          <w:w w:val="110"/>
        </w:rPr>
        <w:t> </w:t>
      </w:r>
      <w:r>
        <w:rPr>
          <w:i/>
          <w:color w:val="231F20"/>
          <w:w w:val="110"/>
        </w:rPr>
        <w:t>WITHIN</w:t>
      </w:r>
      <w:r>
        <w:rPr>
          <w:i/>
          <w:color w:val="231F20"/>
          <w:spacing w:val="50"/>
          <w:w w:val="110"/>
        </w:rPr>
        <w:t> </w:t>
      </w:r>
      <w:r>
        <w:rPr>
          <w:i/>
          <w:color w:val="231F20"/>
          <w:w w:val="110"/>
        </w:rPr>
        <w:t>A</w:t>
      </w:r>
      <w:r>
        <w:rPr>
          <w:i/>
          <w:color w:val="231F20"/>
          <w:spacing w:val="49"/>
          <w:w w:val="110"/>
        </w:rPr>
        <w:t> </w:t>
      </w:r>
      <w:r>
        <w:rPr>
          <w:i/>
          <w:color w:val="231F20"/>
          <w:w w:val="110"/>
        </w:rPr>
        <w:t>PORTFOLIO</w:t>
      </w:r>
      <w:r>
        <w:rPr>
          <w:i/>
          <w:color w:val="231F20"/>
          <w:spacing w:val="50"/>
          <w:w w:val="110"/>
        </w:rPr>
        <w:t> </w:t>
      </w:r>
      <w:r>
        <w:rPr>
          <w:i/>
          <w:color w:val="231F20"/>
          <w:w w:val="110"/>
        </w:rPr>
        <w:t>OF</w:t>
      </w:r>
      <w:r>
        <w:rPr>
          <w:i/>
          <w:color w:val="231F20"/>
          <w:spacing w:val="49"/>
          <w:w w:val="110"/>
        </w:rPr>
        <w:t> </w:t>
      </w:r>
      <w:r>
        <w:rPr>
          <w:i/>
          <w:color w:val="231F20"/>
          <w:spacing w:val="8"/>
          <w:w w:val="110"/>
        </w:rPr>
        <w:t>INVESTMENTS</w:t>
      </w:r>
    </w:p>
    <w:p>
      <w:pPr>
        <w:pStyle w:val="BodyText"/>
        <w:spacing w:before="1"/>
        <w:rPr>
          <w:b/>
          <w:i/>
          <w:sz w:val="30"/>
        </w:rPr>
      </w:pPr>
    </w:p>
    <w:p>
      <w:pPr>
        <w:pStyle w:val="BodyText"/>
        <w:spacing w:line="292" w:lineRule="auto" w:before="1"/>
        <w:ind w:left="920" w:right="663"/>
        <w:jc w:val="both"/>
      </w:pPr>
      <w:r>
        <w:rPr>
          <w:color w:val="231F20"/>
        </w:rPr>
        <w:t>The market prices of stocks, IBM for example, fluctuate daily on the stock exchanges of the world. That </w:t>
      </w:r>
      <w:r>
        <w:rPr>
          <w:i/>
          <w:color w:val="231F20"/>
        </w:rPr>
        <w:t>volatility </w:t>
      </w:r>
      <w:r>
        <w:rPr>
          <w:color w:val="231F20"/>
        </w:rPr>
        <w:t>is equated with risk. A distribution of historical outcomes would show the risk </w:t>
      </w:r>
      <w:r>
        <w:rPr>
          <w:color w:val="231F20"/>
        </w:rPr>
        <w:t>graphically, as was shown for Seattle’s rainfall and for shoe sizes in the QA chap- ter. To refresh your memory of probability distributions, the mean long-term</w:t>
      </w:r>
      <w:r>
        <w:rPr>
          <w:color w:val="231F20"/>
          <w:spacing w:val="40"/>
        </w:rPr>
        <w:t> </w:t>
      </w:r>
      <w:r>
        <w:rPr>
          <w:color w:val="231F20"/>
        </w:rPr>
        <w:t>historical</w:t>
      </w:r>
      <w:r>
        <w:rPr>
          <w:color w:val="231F20"/>
          <w:spacing w:val="40"/>
        </w:rPr>
        <w:t> </w:t>
      </w:r>
      <w:r>
        <w:rPr>
          <w:color w:val="231F20"/>
        </w:rPr>
        <w:t>return</w:t>
      </w:r>
      <w:r>
        <w:rPr>
          <w:color w:val="231F20"/>
          <w:spacing w:val="40"/>
        </w:rPr>
        <w:t> </w:t>
      </w:r>
      <w:r>
        <w:rPr>
          <w:color w:val="231F20"/>
        </w:rPr>
        <w:t>on</w:t>
      </w:r>
      <w:r>
        <w:rPr>
          <w:color w:val="231F20"/>
          <w:spacing w:val="40"/>
        </w:rPr>
        <w:t> </w:t>
      </w:r>
      <w:r>
        <w:rPr>
          <w:color w:val="231F20"/>
        </w:rPr>
        <w:t>common</w:t>
      </w:r>
      <w:r>
        <w:rPr>
          <w:color w:val="231F20"/>
          <w:spacing w:val="40"/>
        </w:rPr>
        <w:t> </w:t>
      </w:r>
      <w:r>
        <w:rPr>
          <w:color w:val="231F20"/>
        </w:rPr>
        <w:t>stocks</w:t>
      </w:r>
      <w:r>
        <w:rPr>
          <w:color w:val="231F20"/>
          <w:spacing w:val="40"/>
        </w:rPr>
        <w:t> </w:t>
      </w:r>
      <w:r>
        <w:rPr>
          <w:color w:val="231F20"/>
        </w:rPr>
        <w:t>was</w:t>
      </w:r>
      <w:r>
        <w:rPr>
          <w:color w:val="231F20"/>
          <w:spacing w:val="40"/>
        </w:rPr>
        <w:t> </w:t>
      </w:r>
      <w:r>
        <w:rPr>
          <w:color w:val="231F20"/>
        </w:rPr>
        <w:t>12.1</w:t>
      </w:r>
      <w:r>
        <w:rPr>
          <w:color w:val="231F20"/>
          <w:spacing w:val="40"/>
        </w:rPr>
        <w:t> </w:t>
      </w:r>
      <w:r>
        <w:rPr>
          <w:color w:val="231F20"/>
        </w:rPr>
        <w:t>percent with a standard deviation of 21.2 percent. Within one standard devi- ation,</w:t>
      </w:r>
      <w:r>
        <w:rPr>
          <w:color w:val="231F20"/>
          <w:spacing w:val="26"/>
        </w:rPr>
        <w:t> </w:t>
      </w:r>
      <w:r>
        <w:rPr>
          <w:color w:val="231F20"/>
        </w:rPr>
        <w:t>68</w:t>
      </w:r>
      <w:r>
        <w:rPr>
          <w:color w:val="231F20"/>
          <w:spacing w:val="25"/>
        </w:rPr>
        <w:t> </w:t>
      </w:r>
      <w:r>
        <w:rPr>
          <w:color w:val="231F20"/>
        </w:rPr>
        <w:t>percent</w:t>
      </w:r>
      <w:r>
        <w:rPr>
          <w:color w:val="231F20"/>
          <w:spacing w:val="26"/>
        </w:rPr>
        <w:t> </w:t>
      </w:r>
      <w:r>
        <w:rPr>
          <w:color w:val="231F20"/>
        </w:rPr>
        <w:t>of</w:t>
      </w:r>
      <w:r>
        <w:rPr>
          <w:color w:val="231F20"/>
          <w:spacing w:val="26"/>
        </w:rPr>
        <w:t> </w:t>
      </w:r>
      <w:r>
        <w:rPr>
          <w:color w:val="231F20"/>
        </w:rPr>
        <w:t>the</w:t>
      </w:r>
      <w:r>
        <w:rPr>
          <w:color w:val="231F20"/>
          <w:spacing w:val="26"/>
        </w:rPr>
        <w:t> </w:t>
      </w:r>
      <w:r>
        <w:rPr>
          <w:color w:val="231F20"/>
        </w:rPr>
        <w:t>time</w:t>
      </w:r>
      <w:r>
        <w:rPr>
          <w:color w:val="231F20"/>
          <w:spacing w:val="26"/>
        </w:rPr>
        <w:t> </w:t>
      </w:r>
      <w:r>
        <w:rPr>
          <w:color w:val="231F20"/>
        </w:rPr>
        <w:t>the</w:t>
      </w:r>
      <w:r>
        <w:rPr>
          <w:color w:val="231F20"/>
          <w:spacing w:val="26"/>
        </w:rPr>
        <w:t> </w:t>
      </w:r>
      <w:r>
        <w:rPr>
          <w:color w:val="231F20"/>
        </w:rPr>
        <w:t>stock</w:t>
      </w:r>
      <w:r>
        <w:rPr>
          <w:color w:val="231F20"/>
          <w:spacing w:val="26"/>
        </w:rPr>
        <w:t> </w:t>
      </w:r>
      <w:r>
        <w:rPr>
          <w:color w:val="231F20"/>
        </w:rPr>
        <w:t>market</w:t>
      </w:r>
      <w:r>
        <w:rPr>
          <w:color w:val="231F20"/>
          <w:spacing w:val="26"/>
        </w:rPr>
        <w:t> </w:t>
      </w:r>
      <w:r>
        <w:rPr>
          <w:color w:val="231F20"/>
        </w:rPr>
        <w:t>will</w:t>
      </w:r>
      <w:r>
        <w:rPr>
          <w:color w:val="231F20"/>
          <w:spacing w:val="26"/>
        </w:rPr>
        <w:t> </w:t>
      </w:r>
      <w:r>
        <w:rPr>
          <w:color w:val="231F20"/>
        </w:rPr>
        <w:t>return</w:t>
      </w:r>
      <w:r>
        <w:rPr>
          <w:color w:val="231F20"/>
          <w:spacing w:val="26"/>
        </w:rPr>
        <w:t> </w:t>
      </w:r>
      <w:r>
        <w:rPr>
          <w:color w:val="231F20"/>
          <w:spacing w:val="-2"/>
        </w:rPr>
        <w:t>between</w:t>
      </w:r>
    </w:p>
    <w:p>
      <w:pPr>
        <w:pStyle w:val="BodyText"/>
        <w:spacing w:line="243" w:lineRule="exact"/>
        <w:ind w:left="920"/>
        <w:jc w:val="both"/>
      </w:pPr>
      <w:r>
        <w:rPr/>
        <w:pict>
          <v:rect style="position:absolute;margin-left:148.88681pt;margin-top:6.95447pt;width:4.93095pt;height:.7242pt;mso-position-horizontal-relative:page;mso-position-vertical-relative:paragraph;z-index:-25110016" id="docshape345" filled="true" fillcolor="#231f20" stroked="false">
            <v:fill type="solid"/>
            <w10:wrap type="none"/>
          </v:rect>
        </w:pict>
      </w:r>
      <w:r>
        <w:rPr>
          <w:rFonts w:ascii="Symbol" w:hAnsi="Symbol"/>
          <w:color w:val="231F20"/>
        </w:rPr>
        <w:t></w:t>
      </w:r>
      <w:r>
        <w:rPr>
          <w:color w:val="231F20"/>
        </w:rPr>
        <w:t>33.3</w:t>
      </w:r>
      <w:r>
        <w:rPr>
          <w:color w:val="231F20"/>
          <w:spacing w:val="6"/>
        </w:rPr>
        <w:t> </w:t>
      </w:r>
      <w:r>
        <w:rPr>
          <w:color w:val="231F20"/>
        </w:rPr>
        <w:t>percent</w:t>
      </w:r>
      <w:r>
        <w:rPr>
          <w:color w:val="231F20"/>
          <w:spacing w:val="6"/>
        </w:rPr>
        <w:t> </w:t>
      </w:r>
      <w:r>
        <w:rPr>
          <w:color w:val="231F20"/>
        </w:rPr>
        <w:t>and</w:t>
      </w:r>
      <w:r>
        <w:rPr>
          <w:color w:val="231F20"/>
          <w:spacing w:val="36"/>
        </w:rPr>
        <w:t>  </w:t>
      </w:r>
      <w:r>
        <w:rPr>
          <w:color w:val="231F20"/>
        </w:rPr>
        <w:t>9.1</w:t>
      </w:r>
      <w:r>
        <w:rPr>
          <w:color w:val="231F20"/>
          <w:spacing w:val="7"/>
        </w:rPr>
        <w:t> </w:t>
      </w:r>
      <w:r>
        <w:rPr>
          <w:color w:val="231F20"/>
        </w:rPr>
        <w:t>percent</w:t>
      </w:r>
      <w:r>
        <w:rPr>
          <w:color w:val="231F20"/>
          <w:spacing w:val="6"/>
        </w:rPr>
        <w:t> </w:t>
      </w:r>
      <w:r>
        <w:rPr>
          <w:color w:val="231F20"/>
        </w:rPr>
        <w:t>per</w:t>
      </w:r>
      <w:r>
        <w:rPr>
          <w:color w:val="231F20"/>
          <w:spacing w:val="6"/>
        </w:rPr>
        <w:t> </w:t>
      </w:r>
      <w:r>
        <w:rPr>
          <w:color w:val="231F20"/>
          <w:spacing w:val="-2"/>
        </w:rPr>
        <w:t>year.</w:t>
      </w:r>
    </w:p>
    <w:p>
      <w:pPr>
        <w:pStyle w:val="BodyText"/>
        <w:spacing w:line="292" w:lineRule="auto" w:before="53"/>
        <w:ind w:left="920" w:right="664" w:firstLine="340"/>
        <w:jc w:val="both"/>
      </w:pPr>
      <w:r>
        <w:rPr>
          <w:color w:val="231F20"/>
        </w:rPr>
        <w:t>In addition to showing on a graph an individual investment’s </w:t>
      </w:r>
      <w:r>
        <w:rPr>
          <w:color w:val="231F20"/>
        </w:rPr>
        <w:t>ab- solute volatility, financial analysts measure the risk of individual stocks or small groups of stocks by comparing their price move- ments with the entire market’s movement. That measurement, </w:t>
      </w:r>
      <w:r>
        <w:rPr>
          <w:i/>
          <w:color w:val="231F20"/>
        </w:rPr>
        <w:t>beta,</w:t>
      </w:r>
      <w:r>
        <w:rPr>
          <w:i/>
          <w:color w:val="231F20"/>
        </w:rPr>
        <w:t> </w:t>
      </w:r>
      <w:r>
        <w:rPr>
          <w:color w:val="231F20"/>
        </w:rPr>
        <w:t>quantifies the risk of holding that particular investment versus own- ing a very large portfolio that represents “the market.” An example</w:t>
      </w:r>
      <w:r>
        <w:rPr>
          <w:color w:val="231F20"/>
          <w:spacing w:val="80"/>
        </w:rPr>
        <w:t> </w:t>
      </w:r>
      <w:r>
        <w:rPr>
          <w:color w:val="231F20"/>
        </w:rPr>
        <w:t>of</w:t>
      </w:r>
      <w:r>
        <w:rPr>
          <w:color w:val="231F20"/>
          <w:spacing w:val="37"/>
        </w:rPr>
        <w:t> </w:t>
      </w:r>
      <w:r>
        <w:rPr>
          <w:color w:val="231F20"/>
        </w:rPr>
        <w:t>such</w:t>
      </w:r>
      <w:r>
        <w:rPr>
          <w:color w:val="231F20"/>
          <w:spacing w:val="36"/>
        </w:rPr>
        <w:t> </w:t>
      </w:r>
      <w:r>
        <w:rPr>
          <w:color w:val="231F20"/>
        </w:rPr>
        <w:t>“market”</w:t>
      </w:r>
      <w:r>
        <w:rPr>
          <w:color w:val="231F20"/>
          <w:spacing w:val="37"/>
        </w:rPr>
        <w:t> </w:t>
      </w:r>
      <w:r>
        <w:rPr>
          <w:color w:val="231F20"/>
        </w:rPr>
        <w:t>portfolios</w:t>
      </w:r>
      <w:r>
        <w:rPr>
          <w:color w:val="231F20"/>
          <w:spacing w:val="36"/>
        </w:rPr>
        <w:t> </w:t>
      </w:r>
      <w:r>
        <w:rPr>
          <w:color w:val="231F20"/>
        </w:rPr>
        <w:t>are</w:t>
      </w:r>
      <w:r>
        <w:rPr>
          <w:color w:val="231F20"/>
          <w:spacing w:val="37"/>
        </w:rPr>
        <w:t> </w:t>
      </w:r>
      <w:r>
        <w:rPr>
          <w:color w:val="231F20"/>
        </w:rPr>
        <w:t>the</w:t>
      </w:r>
      <w:r>
        <w:rPr>
          <w:color w:val="231F20"/>
          <w:spacing w:val="36"/>
        </w:rPr>
        <w:t> </w:t>
      </w:r>
      <w:r>
        <w:rPr>
          <w:color w:val="231F20"/>
        </w:rPr>
        <w:t>collection</w:t>
      </w:r>
      <w:r>
        <w:rPr>
          <w:color w:val="231F20"/>
          <w:spacing w:val="37"/>
        </w:rPr>
        <w:t> </w:t>
      </w:r>
      <w:r>
        <w:rPr>
          <w:color w:val="231F20"/>
        </w:rPr>
        <w:t>of</w:t>
      </w:r>
      <w:r>
        <w:rPr>
          <w:color w:val="231F20"/>
          <w:spacing w:val="36"/>
        </w:rPr>
        <w:t> </w:t>
      </w:r>
      <w:r>
        <w:rPr>
          <w:color w:val="231F20"/>
        </w:rPr>
        <w:t>500</w:t>
      </w:r>
      <w:r>
        <w:rPr>
          <w:color w:val="231F20"/>
          <w:spacing w:val="37"/>
        </w:rPr>
        <w:t> </w:t>
      </w:r>
      <w:r>
        <w:rPr>
          <w:color w:val="231F20"/>
        </w:rPr>
        <w:t>stocks</w:t>
      </w:r>
      <w:r>
        <w:rPr>
          <w:color w:val="231F20"/>
          <w:spacing w:val="36"/>
        </w:rPr>
        <w:t> </w:t>
      </w:r>
      <w:r>
        <w:rPr>
          <w:color w:val="231F20"/>
        </w:rPr>
        <w:t>called the </w:t>
      </w:r>
      <w:r>
        <w:rPr>
          <w:i/>
          <w:color w:val="231F20"/>
        </w:rPr>
        <w:t>Standard </w:t>
      </w:r>
      <w:r>
        <w:rPr>
          <w:i/>
          <w:color w:val="231F20"/>
          <w:w w:val="115"/>
        </w:rPr>
        <w:t>&amp; </w:t>
      </w:r>
      <w:r>
        <w:rPr>
          <w:i/>
          <w:color w:val="231F20"/>
        </w:rPr>
        <w:t>Poor’s 500 </w:t>
      </w:r>
      <w:r>
        <w:rPr>
          <w:color w:val="231F20"/>
        </w:rPr>
        <w:t>(S </w:t>
      </w:r>
      <w:r>
        <w:rPr>
          <w:color w:val="231F20"/>
          <w:w w:val="115"/>
        </w:rPr>
        <w:t>&amp; </w:t>
      </w:r>
      <w:r>
        <w:rPr>
          <w:color w:val="231F20"/>
        </w:rPr>
        <w:t>P 500) or the 5,000 stocks that are included in the </w:t>
      </w:r>
      <w:r>
        <w:rPr>
          <w:i/>
          <w:color w:val="231F20"/>
        </w:rPr>
        <w:t>Wilshire 5000. </w:t>
      </w:r>
      <w:r>
        <w:rPr>
          <w:color w:val="231F20"/>
        </w:rPr>
        <w:t>The </w:t>
      </w:r>
      <w:r>
        <w:rPr>
          <w:i/>
          <w:color w:val="231F20"/>
        </w:rPr>
        <w:t>Nikkei </w:t>
      </w:r>
      <w:r>
        <w:rPr>
          <w:color w:val="231F20"/>
        </w:rPr>
        <w:t>index of 225 stocks repre- sents the Japanese market.</w:t>
      </w:r>
    </w:p>
    <w:p>
      <w:pPr>
        <w:pStyle w:val="BodyText"/>
        <w:spacing w:line="292" w:lineRule="auto"/>
        <w:ind w:left="919" w:right="666" w:firstLine="340"/>
        <w:jc w:val="both"/>
      </w:pPr>
      <w:r>
        <w:rPr>
          <w:color w:val="231F20"/>
          <w:w w:val="105"/>
        </w:rPr>
        <w:t>The</w:t>
      </w:r>
      <w:r>
        <w:rPr>
          <w:color w:val="231F20"/>
          <w:spacing w:val="-10"/>
          <w:w w:val="105"/>
        </w:rPr>
        <w:t> </w:t>
      </w:r>
      <w:r>
        <w:rPr>
          <w:color w:val="231F20"/>
          <w:w w:val="105"/>
        </w:rPr>
        <w:t>famous</w:t>
      </w:r>
      <w:r>
        <w:rPr>
          <w:color w:val="231F20"/>
          <w:spacing w:val="-10"/>
          <w:w w:val="105"/>
        </w:rPr>
        <w:t> </w:t>
      </w:r>
      <w:r>
        <w:rPr>
          <w:i/>
          <w:color w:val="231F20"/>
          <w:w w:val="105"/>
        </w:rPr>
        <w:t>Dow</w:t>
      </w:r>
      <w:r>
        <w:rPr>
          <w:i/>
          <w:color w:val="231F20"/>
          <w:spacing w:val="-10"/>
          <w:w w:val="105"/>
        </w:rPr>
        <w:t> </w:t>
      </w:r>
      <w:r>
        <w:rPr>
          <w:i/>
          <w:color w:val="231F20"/>
          <w:w w:val="105"/>
        </w:rPr>
        <w:t>Jones</w:t>
      </w:r>
      <w:r>
        <w:rPr>
          <w:i/>
          <w:color w:val="231F20"/>
          <w:spacing w:val="-10"/>
          <w:w w:val="105"/>
        </w:rPr>
        <w:t> </w:t>
      </w:r>
      <w:r>
        <w:rPr>
          <w:i/>
          <w:color w:val="231F20"/>
          <w:w w:val="105"/>
        </w:rPr>
        <w:t>Industrial</w:t>
      </w:r>
      <w:r>
        <w:rPr>
          <w:i/>
          <w:color w:val="231F20"/>
          <w:spacing w:val="-10"/>
          <w:w w:val="105"/>
        </w:rPr>
        <w:t> </w:t>
      </w:r>
      <w:r>
        <w:rPr>
          <w:i/>
          <w:color w:val="231F20"/>
          <w:w w:val="105"/>
        </w:rPr>
        <w:t>Average</w:t>
      </w:r>
      <w:r>
        <w:rPr>
          <w:i/>
          <w:color w:val="231F20"/>
          <w:spacing w:val="-10"/>
          <w:w w:val="105"/>
        </w:rPr>
        <w:t> </w:t>
      </w:r>
      <w:r>
        <w:rPr>
          <w:color w:val="231F20"/>
          <w:w w:val="105"/>
        </w:rPr>
        <w:t>is</w:t>
      </w:r>
      <w:r>
        <w:rPr>
          <w:color w:val="231F20"/>
          <w:spacing w:val="-10"/>
          <w:w w:val="105"/>
        </w:rPr>
        <w:t> </w:t>
      </w:r>
      <w:r>
        <w:rPr>
          <w:color w:val="231F20"/>
          <w:w w:val="105"/>
        </w:rPr>
        <w:t>a</w:t>
      </w:r>
      <w:r>
        <w:rPr>
          <w:color w:val="231F20"/>
          <w:spacing w:val="-10"/>
          <w:w w:val="105"/>
        </w:rPr>
        <w:t> </w:t>
      </w:r>
      <w:r>
        <w:rPr>
          <w:color w:val="231F20"/>
          <w:w w:val="105"/>
        </w:rPr>
        <w:t>diverse</w:t>
      </w:r>
      <w:r>
        <w:rPr>
          <w:color w:val="231F20"/>
          <w:spacing w:val="-10"/>
          <w:w w:val="105"/>
        </w:rPr>
        <w:t> </w:t>
      </w:r>
      <w:r>
        <w:rPr>
          <w:color w:val="231F20"/>
          <w:w w:val="105"/>
        </w:rPr>
        <w:t>collection of</w:t>
      </w:r>
      <w:r>
        <w:rPr>
          <w:color w:val="231F20"/>
          <w:w w:val="105"/>
        </w:rPr>
        <w:t> thirty</w:t>
      </w:r>
      <w:r>
        <w:rPr>
          <w:color w:val="231F20"/>
          <w:w w:val="105"/>
        </w:rPr>
        <w:t> of</w:t>
      </w:r>
      <w:r>
        <w:rPr>
          <w:color w:val="231F20"/>
          <w:w w:val="105"/>
        </w:rPr>
        <w:t> the</w:t>
      </w:r>
      <w:r>
        <w:rPr>
          <w:color w:val="231F20"/>
          <w:w w:val="105"/>
        </w:rPr>
        <w:t> most</w:t>
      </w:r>
      <w:r>
        <w:rPr>
          <w:color w:val="231F20"/>
          <w:w w:val="105"/>
        </w:rPr>
        <w:t> stable</w:t>
      </w:r>
      <w:r>
        <w:rPr>
          <w:color w:val="231F20"/>
          <w:w w:val="105"/>
        </w:rPr>
        <w:t> industrial</w:t>
      </w:r>
      <w:r>
        <w:rPr>
          <w:color w:val="231F20"/>
          <w:w w:val="105"/>
        </w:rPr>
        <w:t> companies</w:t>
      </w:r>
      <w:r>
        <w:rPr>
          <w:color w:val="231F20"/>
          <w:w w:val="105"/>
        </w:rPr>
        <w:t> in</w:t>
      </w:r>
      <w:r>
        <w:rPr>
          <w:color w:val="231F20"/>
          <w:w w:val="105"/>
        </w:rPr>
        <w:t> America</w:t>
      </w:r>
      <w:r>
        <w:rPr>
          <w:color w:val="231F20"/>
          <w:w w:val="105"/>
        </w:rPr>
        <w:t> (e.g., IBM,</w:t>
      </w:r>
      <w:r>
        <w:rPr>
          <w:color w:val="231F20"/>
          <w:w w:val="105"/>
        </w:rPr>
        <w:t> 3M,</w:t>
      </w:r>
      <w:r>
        <w:rPr>
          <w:color w:val="231F20"/>
          <w:w w:val="105"/>
        </w:rPr>
        <w:t> GM,</w:t>
      </w:r>
      <w:r>
        <w:rPr>
          <w:color w:val="231F20"/>
          <w:w w:val="105"/>
        </w:rPr>
        <w:t> P&amp;G,</w:t>
      </w:r>
      <w:r>
        <w:rPr>
          <w:color w:val="231F20"/>
          <w:w w:val="105"/>
        </w:rPr>
        <w:t> Coca-Cola,</w:t>
      </w:r>
      <w:r>
        <w:rPr>
          <w:color w:val="231F20"/>
          <w:w w:val="105"/>
        </w:rPr>
        <w:t> Boeing,</w:t>
      </w:r>
      <w:r>
        <w:rPr>
          <w:color w:val="231F20"/>
          <w:w w:val="105"/>
        </w:rPr>
        <w:t> and</w:t>
      </w:r>
      <w:r>
        <w:rPr>
          <w:color w:val="231F20"/>
          <w:w w:val="105"/>
        </w:rPr>
        <w:t> ExxonMobil).</w:t>
      </w:r>
      <w:r>
        <w:rPr>
          <w:color w:val="231F20"/>
          <w:w w:val="105"/>
        </w:rPr>
        <w:t> The</w:t>
      </w:r>
      <w:r>
        <w:rPr>
          <w:color w:val="231F20"/>
          <w:spacing w:val="40"/>
          <w:w w:val="105"/>
        </w:rPr>
        <w:t> </w:t>
      </w:r>
      <w:r>
        <w:rPr>
          <w:color w:val="231F20"/>
          <w:w w:val="105"/>
        </w:rPr>
        <w:t>Dow’s</w:t>
      </w:r>
      <w:r>
        <w:rPr>
          <w:color w:val="231F20"/>
          <w:spacing w:val="-8"/>
          <w:w w:val="105"/>
        </w:rPr>
        <w:t> </w:t>
      </w:r>
      <w:r>
        <w:rPr>
          <w:color w:val="231F20"/>
          <w:w w:val="105"/>
        </w:rPr>
        <w:t>thirty</w:t>
      </w:r>
      <w:r>
        <w:rPr>
          <w:color w:val="231F20"/>
          <w:spacing w:val="-8"/>
          <w:w w:val="105"/>
        </w:rPr>
        <w:t> </w:t>
      </w:r>
      <w:r>
        <w:rPr>
          <w:color w:val="231F20"/>
          <w:w w:val="105"/>
        </w:rPr>
        <w:t>“blue-chip”</w:t>
      </w:r>
      <w:r>
        <w:rPr>
          <w:color w:val="231F20"/>
          <w:spacing w:val="-8"/>
          <w:w w:val="105"/>
        </w:rPr>
        <w:t> </w:t>
      </w:r>
      <w:r>
        <w:rPr>
          <w:color w:val="231F20"/>
          <w:w w:val="105"/>
        </w:rPr>
        <w:t>stocks</w:t>
      </w:r>
      <w:r>
        <w:rPr>
          <w:color w:val="231F20"/>
          <w:spacing w:val="-8"/>
          <w:w w:val="105"/>
        </w:rPr>
        <w:t> </w:t>
      </w:r>
      <w:r>
        <w:rPr>
          <w:color w:val="231F20"/>
          <w:w w:val="105"/>
        </w:rPr>
        <w:t>are</w:t>
      </w:r>
      <w:r>
        <w:rPr>
          <w:color w:val="231F20"/>
          <w:spacing w:val="-8"/>
          <w:w w:val="105"/>
        </w:rPr>
        <w:t> </w:t>
      </w:r>
      <w:r>
        <w:rPr>
          <w:color w:val="231F20"/>
          <w:w w:val="105"/>
        </w:rPr>
        <w:t>traded</w:t>
      </w:r>
      <w:r>
        <w:rPr>
          <w:color w:val="231F20"/>
          <w:spacing w:val="-8"/>
          <w:w w:val="105"/>
        </w:rPr>
        <w:t> </w:t>
      </w:r>
      <w:r>
        <w:rPr>
          <w:color w:val="231F20"/>
          <w:w w:val="105"/>
        </w:rPr>
        <w:t>on</w:t>
      </w:r>
      <w:r>
        <w:rPr>
          <w:color w:val="231F20"/>
          <w:spacing w:val="-8"/>
          <w:w w:val="105"/>
        </w:rPr>
        <w:t> </w:t>
      </w:r>
      <w:r>
        <w:rPr>
          <w:color w:val="231F20"/>
          <w:w w:val="105"/>
        </w:rPr>
        <w:t>the</w:t>
      </w:r>
      <w:r>
        <w:rPr>
          <w:color w:val="231F20"/>
          <w:spacing w:val="-8"/>
          <w:w w:val="105"/>
        </w:rPr>
        <w:t> </w:t>
      </w:r>
      <w:r>
        <w:rPr>
          <w:color w:val="231F20"/>
          <w:w w:val="105"/>
        </w:rPr>
        <w:t>NYSE</w:t>
      </w:r>
      <w:r>
        <w:rPr>
          <w:color w:val="231F20"/>
          <w:spacing w:val="-8"/>
          <w:w w:val="105"/>
        </w:rPr>
        <w:t> </w:t>
      </w:r>
      <w:r>
        <w:rPr>
          <w:color w:val="231F20"/>
          <w:w w:val="105"/>
        </w:rPr>
        <w:t>and</w:t>
      </w:r>
      <w:r>
        <w:rPr>
          <w:color w:val="231F20"/>
          <w:spacing w:val="-8"/>
          <w:w w:val="105"/>
        </w:rPr>
        <w:t> </w:t>
      </w:r>
      <w:r>
        <w:rPr>
          <w:color w:val="231F20"/>
          <w:w w:val="105"/>
        </w:rPr>
        <w:t>are</w:t>
      </w:r>
      <w:r>
        <w:rPr>
          <w:color w:val="231F20"/>
          <w:spacing w:val="-8"/>
          <w:w w:val="105"/>
        </w:rPr>
        <w:t> </w:t>
      </w:r>
      <w:r>
        <w:rPr>
          <w:color w:val="231F20"/>
          <w:w w:val="105"/>
        </w:rPr>
        <w:t>not representative</w:t>
      </w:r>
      <w:r>
        <w:rPr>
          <w:color w:val="231F20"/>
          <w:spacing w:val="-11"/>
          <w:w w:val="105"/>
        </w:rPr>
        <w:t> </w:t>
      </w:r>
      <w:r>
        <w:rPr>
          <w:color w:val="231F20"/>
          <w:w w:val="105"/>
        </w:rPr>
        <w:t>of</w:t>
      </w:r>
      <w:r>
        <w:rPr>
          <w:color w:val="231F20"/>
          <w:spacing w:val="-11"/>
          <w:w w:val="105"/>
        </w:rPr>
        <w:t> </w:t>
      </w:r>
      <w:r>
        <w:rPr>
          <w:color w:val="231F20"/>
          <w:w w:val="105"/>
        </w:rPr>
        <w:t>the</w:t>
      </w:r>
      <w:r>
        <w:rPr>
          <w:color w:val="231F20"/>
          <w:spacing w:val="-11"/>
          <w:w w:val="105"/>
        </w:rPr>
        <w:t> </w:t>
      </w:r>
      <w:r>
        <w:rPr>
          <w:color w:val="231F20"/>
          <w:w w:val="105"/>
        </w:rPr>
        <w:t>broader</w:t>
      </w:r>
      <w:r>
        <w:rPr>
          <w:color w:val="231F20"/>
          <w:spacing w:val="-11"/>
          <w:w w:val="105"/>
        </w:rPr>
        <w:t> </w:t>
      </w:r>
      <w:r>
        <w:rPr>
          <w:color w:val="231F20"/>
          <w:w w:val="105"/>
        </w:rPr>
        <w:t>market,</w:t>
      </w:r>
      <w:r>
        <w:rPr>
          <w:color w:val="231F20"/>
          <w:spacing w:val="-11"/>
          <w:w w:val="105"/>
        </w:rPr>
        <w:t> </w:t>
      </w:r>
      <w:r>
        <w:rPr>
          <w:color w:val="231F20"/>
          <w:w w:val="105"/>
        </w:rPr>
        <w:t>even</w:t>
      </w:r>
      <w:r>
        <w:rPr>
          <w:color w:val="231F20"/>
          <w:spacing w:val="-11"/>
          <w:w w:val="105"/>
        </w:rPr>
        <w:t> </w:t>
      </w:r>
      <w:r>
        <w:rPr>
          <w:color w:val="231F20"/>
          <w:w w:val="105"/>
        </w:rPr>
        <w:t>though</w:t>
      </w:r>
      <w:r>
        <w:rPr>
          <w:color w:val="231F20"/>
          <w:spacing w:val="-11"/>
          <w:w w:val="105"/>
        </w:rPr>
        <w:t> </w:t>
      </w:r>
      <w:r>
        <w:rPr>
          <w:color w:val="231F20"/>
          <w:w w:val="105"/>
        </w:rPr>
        <w:t>the</w:t>
      </w:r>
      <w:r>
        <w:rPr>
          <w:color w:val="231F20"/>
          <w:spacing w:val="-11"/>
          <w:w w:val="105"/>
        </w:rPr>
        <w:t> </w:t>
      </w:r>
      <w:r>
        <w:rPr>
          <w:color w:val="231F20"/>
          <w:w w:val="105"/>
        </w:rPr>
        <w:t>press</w:t>
      </w:r>
      <w:r>
        <w:rPr>
          <w:color w:val="231F20"/>
          <w:spacing w:val="-11"/>
          <w:w w:val="105"/>
        </w:rPr>
        <w:t> </w:t>
      </w:r>
      <w:r>
        <w:rPr>
          <w:color w:val="231F20"/>
          <w:w w:val="105"/>
        </w:rPr>
        <w:t>might have you believe that they are.</w:t>
      </w:r>
    </w:p>
    <w:p>
      <w:pPr>
        <w:pStyle w:val="BodyText"/>
        <w:spacing w:line="292" w:lineRule="auto"/>
        <w:ind w:left="919" w:right="666" w:firstLine="340"/>
        <w:jc w:val="both"/>
      </w:pPr>
      <w:r>
        <w:rPr>
          <w:color w:val="231F20"/>
        </w:rPr>
        <w:t>If a stock or portfolio moves in tandem with the market, it is </w:t>
      </w:r>
      <w:r>
        <w:rPr>
          <w:color w:val="231F20"/>
        </w:rPr>
        <w:t>said to be perfectly correlated with a beta of 1. Coca-Cola is such a stable company</w:t>
      </w:r>
      <w:r>
        <w:rPr>
          <w:color w:val="231F20"/>
          <w:spacing w:val="24"/>
        </w:rPr>
        <w:t> </w:t>
      </w:r>
      <w:r>
        <w:rPr>
          <w:color w:val="231F20"/>
        </w:rPr>
        <w:t>that</w:t>
      </w:r>
      <w:r>
        <w:rPr>
          <w:color w:val="231F20"/>
          <w:spacing w:val="24"/>
        </w:rPr>
        <w:t> </w:t>
      </w:r>
      <w:r>
        <w:rPr>
          <w:color w:val="231F20"/>
        </w:rPr>
        <w:t>it</w:t>
      </w:r>
      <w:r>
        <w:rPr>
          <w:color w:val="231F20"/>
          <w:spacing w:val="24"/>
        </w:rPr>
        <w:t> </w:t>
      </w:r>
      <w:r>
        <w:rPr>
          <w:color w:val="231F20"/>
        </w:rPr>
        <w:t>moves</w:t>
      </w:r>
      <w:r>
        <w:rPr>
          <w:color w:val="231F20"/>
          <w:spacing w:val="25"/>
        </w:rPr>
        <w:t> </w:t>
      </w:r>
      <w:r>
        <w:rPr>
          <w:color w:val="231F20"/>
        </w:rPr>
        <w:t>with</w:t>
      </w:r>
      <w:r>
        <w:rPr>
          <w:color w:val="231F20"/>
          <w:spacing w:val="24"/>
        </w:rPr>
        <w:t> </w:t>
      </w:r>
      <w:r>
        <w:rPr>
          <w:color w:val="231F20"/>
        </w:rPr>
        <w:t>the</w:t>
      </w:r>
      <w:r>
        <w:rPr>
          <w:color w:val="231F20"/>
          <w:spacing w:val="24"/>
        </w:rPr>
        <w:t> </w:t>
      </w:r>
      <w:r>
        <w:rPr>
          <w:color w:val="231F20"/>
        </w:rPr>
        <w:t>market</w:t>
      </w:r>
      <w:r>
        <w:rPr>
          <w:color w:val="231F20"/>
          <w:spacing w:val="24"/>
        </w:rPr>
        <w:t> </w:t>
      </w:r>
      <w:r>
        <w:rPr>
          <w:color w:val="231F20"/>
        </w:rPr>
        <w:t>with</w:t>
      </w:r>
      <w:r>
        <w:rPr>
          <w:color w:val="231F20"/>
          <w:spacing w:val="25"/>
        </w:rPr>
        <w:t> </w:t>
      </w:r>
      <w:r>
        <w:rPr>
          <w:color w:val="231F20"/>
        </w:rPr>
        <w:t>a</w:t>
      </w:r>
      <w:r>
        <w:rPr>
          <w:color w:val="231F20"/>
          <w:spacing w:val="24"/>
        </w:rPr>
        <w:t> </w:t>
      </w:r>
      <w:r>
        <w:rPr>
          <w:color w:val="231F20"/>
        </w:rPr>
        <w:t>beta</w:t>
      </w:r>
      <w:r>
        <w:rPr>
          <w:color w:val="231F20"/>
          <w:spacing w:val="24"/>
        </w:rPr>
        <w:t> </w:t>
      </w:r>
      <w:r>
        <w:rPr>
          <w:color w:val="231F20"/>
        </w:rPr>
        <w:t>of</w:t>
      </w:r>
      <w:r>
        <w:rPr>
          <w:color w:val="231F20"/>
          <w:spacing w:val="24"/>
        </w:rPr>
        <w:t> </w:t>
      </w:r>
      <w:r>
        <w:rPr>
          <w:color w:val="231F20"/>
        </w:rPr>
        <w:t>1.</w:t>
      </w:r>
      <w:r>
        <w:rPr>
          <w:color w:val="231F20"/>
          <w:spacing w:val="25"/>
        </w:rPr>
        <w:t> </w:t>
      </w:r>
      <w:r>
        <w:rPr>
          <w:color w:val="231F20"/>
        </w:rPr>
        <w:t>If</w:t>
      </w:r>
      <w:r>
        <w:rPr>
          <w:color w:val="231F20"/>
          <w:spacing w:val="24"/>
        </w:rPr>
        <w:t> </w:t>
      </w:r>
      <w:r>
        <w:rPr>
          <w:color w:val="231F20"/>
        </w:rPr>
        <w:t>a</w:t>
      </w:r>
      <w:r>
        <w:rPr>
          <w:color w:val="231F20"/>
          <w:spacing w:val="24"/>
        </w:rPr>
        <w:t> </w:t>
      </w:r>
      <w:r>
        <w:rPr>
          <w:color w:val="231F20"/>
          <w:spacing w:val="-2"/>
        </w:rPr>
        <w:t>stock</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pict>
          <v:rect style="position:absolute;margin-left:201.821182pt;margin-top:27.201958pt;width:4.930940pt;height:.7242pt;mso-position-horizontal-relative:page;mso-position-vertical-relative:paragraph;z-index:-25109504" id="docshape346" filled="true" fillcolor="#231f20" stroked="false">
            <v:fill type="solid"/>
            <w10:wrap type="none"/>
          </v:rect>
        </w:pict>
      </w:r>
      <w:r>
        <w:rPr>
          <w:color w:val="231F20"/>
        </w:rPr>
        <w:t>moves in perfect opposition to the market, it is said to be negatively correlated, or to have a beta of</w:t>
      </w:r>
      <w:r>
        <w:rPr>
          <w:color w:val="231F20"/>
          <w:spacing w:val="80"/>
        </w:rPr>
        <w:t> </w:t>
      </w:r>
      <w:r>
        <w:rPr>
          <w:color w:val="231F20"/>
        </w:rPr>
        <w:t>1.</w:t>
      </w:r>
    </w:p>
    <w:p>
      <w:pPr>
        <w:pStyle w:val="BodyText"/>
        <w:spacing w:line="292" w:lineRule="auto"/>
        <w:ind w:left="829" w:right="753" w:firstLine="340"/>
        <w:jc w:val="both"/>
      </w:pPr>
      <w:r>
        <w:rPr>
          <w:color w:val="231F20"/>
        </w:rPr>
        <w:t>There are no such perfectly negatively correlated stocks, but there are some stocks with low betas. Luby’s Cafeterias has a .45</w:t>
      </w:r>
      <w:r>
        <w:rPr>
          <w:color w:val="231F20"/>
          <w:spacing w:val="40"/>
        </w:rPr>
        <w:t> </w:t>
      </w:r>
      <w:r>
        <w:rPr>
          <w:color w:val="231F20"/>
        </w:rPr>
        <w:t>beta. When the market fluctuates down wildly, older people still </w:t>
      </w:r>
      <w:r>
        <w:rPr>
          <w:color w:val="231F20"/>
        </w:rPr>
        <w:t>go</w:t>
      </w:r>
      <w:r>
        <w:rPr>
          <w:color w:val="231F20"/>
          <w:spacing w:val="80"/>
        </w:rPr>
        <w:t> </w:t>
      </w:r>
      <w:r>
        <w:rPr>
          <w:color w:val="231F20"/>
        </w:rPr>
        <w:t>to the cafeteria. However, in a big market rally Luby’s is less likely to rise dramatically. Electric utilities also have low betas. Theoretically, a beta of 0 would mean an absence of risk. In that case the invest- ments’ betas would perfectly cancel each other so that there would</w:t>
      </w:r>
      <w:r>
        <w:rPr>
          <w:color w:val="231F20"/>
          <w:spacing w:val="40"/>
        </w:rPr>
        <w:t> </w:t>
      </w:r>
      <w:r>
        <w:rPr>
          <w:color w:val="231F20"/>
        </w:rPr>
        <w:t>be no risk regardless of the movement of the market.</w:t>
      </w:r>
    </w:p>
    <w:p>
      <w:pPr>
        <w:pStyle w:val="BodyText"/>
        <w:spacing w:line="243" w:lineRule="exact"/>
        <w:ind w:left="1169"/>
        <w:jc w:val="both"/>
      </w:pPr>
      <w:r>
        <w:rPr>
          <w:color w:val="231F20"/>
          <w:w w:val="105"/>
        </w:rPr>
        <w:t>A</w:t>
      </w:r>
      <w:r>
        <w:rPr>
          <w:color w:val="231F20"/>
          <w:spacing w:val="3"/>
          <w:w w:val="105"/>
        </w:rPr>
        <w:t> </w:t>
      </w:r>
      <w:r>
        <w:rPr>
          <w:color w:val="231F20"/>
          <w:w w:val="105"/>
        </w:rPr>
        <w:t>risky</w:t>
      </w:r>
      <w:r>
        <w:rPr>
          <w:color w:val="231F20"/>
          <w:spacing w:val="4"/>
          <w:w w:val="105"/>
        </w:rPr>
        <w:t> </w:t>
      </w:r>
      <w:r>
        <w:rPr>
          <w:color w:val="231F20"/>
          <w:w w:val="105"/>
        </w:rPr>
        <w:t>stock,</w:t>
      </w:r>
      <w:r>
        <w:rPr>
          <w:color w:val="231F20"/>
          <w:spacing w:val="4"/>
          <w:w w:val="105"/>
        </w:rPr>
        <w:t> </w:t>
      </w:r>
      <w:r>
        <w:rPr>
          <w:color w:val="231F20"/>
          <w:w w:val="105"/>
        </w:rPr>
        <w:t>like</w:t>
      </w:r>
      <w:r>
        <w:rPr>
          <w:color w:val="231F20"/>
          <w:spacing w:val="4"/>
          <w:w w:val="105"/>
        </w:rPr>
        <w:t> </w:t>
      </w:r>
      <w:r>
        <w:rPr>
          <w:color w:val="231F20"/>
          <w:w w:val="105"/>
        </w:rPr>
        <w:t>Amazon,</w:t>
      </w:r>
      <w:r>
        <w:rPr>
          <w:color w:val="231F20"/>
          <w:spacing w:val="4"/>
          <w:w w:val="105"/>
        </w:rPr>
        <w:t> </w:t>
      </w:r>
      <w:r>
        <w:rPr>
          <w:color w:val="231F20"/>
          <w:w w:val="105"/>
        </w:rPr>
        <w:t>an</w:t>
      </w:r>
      <w:r>
        <w:rPr>
          <w:color w:val="231F20"/>
          <w:spacing w:val="4"/>
          <w:w w:val="105"/>
        </w:rPr>
        <w:t> </w:t>
      </w:r>
      <w:r>
        <w:rPr>
          <w:color w:val="231F20"/>
          <w:w w:val="105"/>
        </w:rPr>
        <w:t>Internet</w:t>
      </w:r>
      <w:r>
        <w:rPr>
          <w:color w:val="231F20"/>
          <w:spacing w:val="4"/>
          <w:w w:val="105"/>
        </w:rPr>
        <w:t> </w:t>
      </w:r>
      <w:r>
        <w:rPr>
          <w:color w:val="231F20"/>
          <w:w w:val="105"/>
        </w:rPr>
        <w:t>company,</w:t>
      </w:r>
      <w:r>
        <w:rPr>
          <w:color w:val="231F20"/>
          <w:spacing w:val="4"/>
          <w:w w:val="105"/>
        </w:rPr>
        <w:t> </w:t>
      </w:r>
      <w:r>
        <w:rPr>
          <w:color w:val="231F20"/>
          <w:w w:val="105"/>
        </w:rPr>
        <w:t>has</w:t>
      </w:r>
      <w:r>
        <w:rPr>
          <w:color w:val="231F20"/>
          <w:spacing w:val="4"/>
          <w:w w:val="105"/>
        </w:rPr>
        <w:t> </w:t>
      </w:r>
      <w:r>
        <w:rPr>
          <w:color w:val="231F20"/>
          <w:w w:val="105"/>
        </w:rPr>
        <w:t>a</w:t>
      </w:r>
      <w:r>
        <w:rPr>
          <w:color w:val="231F20"/>
          <w:spacing w:val="4"/>
          <w:w w:val="105"/>
        </w:rPr>
        <w:t> </w:t>
      </w:r>
      <w:r>
        <w:rPr>
          <w:color w:val="231F20"/>
          <w:w w:val="105"/>
        </w:rPr>
        <w:t>beta</w:t>
      </w:r>
      <w:r>
        <w:rPr>
          <w:color w:val="231F20"/>
          <w:spacing w:val="4"/>
          <w:w w:val="105"/>
        </w:rPr>
        <w:t> </w:t>
      </w:r>
      <w:r>
        <w:rPr>
          <w:color w:val="231F20"/>
          <w:spacing w:val="-5"/>
          <w:w w:val="105"/>
        </w:rPr>
        <w:t>of</w:t>
      </w:r>
    </w:p>
    <w:p>
      <w:pPr>
        <w:pStyle w:val="BodyText"/>
        <w:spacing w:before="53"/>
        <w:ind w:left="829"/>
        <w:jc w:val="both"/>
      </w:pPr>
      <w:r>
        <w:rPr>
          <w:color w:val="231F20"/>
        </w:rPr>
        <w:t>1.75.</w:t>
      </w:r>
      <w:r>
        <w:rPr>
          <w:color w:val="231F20"/>
          <w:spacing w:val="16"/>
        </w:rPr>
        <w:t> </w:t>
      </w:r>
      <w:r>
        <w:rPr>
          <w:color w:val="231F20"/>
        </w:rPr>
        <w:t>A</w:t>
      </w:r>
      <w:r>
        <w:rPr>
          <w:color w:val="231F20"/>
          <w:spacing w:val="16"/>
        </w:rPr>
        <w:t> </w:t>
      </w:r>
      <w:r>
        <w:rPr>
          <w:color w:val="231F20"/>
        </w:rPr>
        <w:t>1</w:t>
      </w:r>
      <w:r>
        <w:rPr>
          <w:color w:val="231F20"/>
          <w:spacing w:val="16"/>
        </w:rPr>
        <w:t> </w:t>
      </w:r>
      <w:r>
        <w:rPr>
          <w:color w:val="231F20"/>
        </w:rPr>
        <w:t>percent</w:t>
      </w:r>
      <w:r>
        <w:rPr>
          <w:color w:val="231F20"/>
          <w:spacing w:val="16"/>
        </w:rPr>
        <w:t> </w:t>
      </w:r>
      <w:r>
        <w:rPr>
          <w:color w:val="231F20"/>
        </w:rPr>
        <w:t>fluctuation</w:t>
      </w:r>
      <w:r>
        <w:rPr>
          <w:color w:val="231F20"/>
          <w:spacing w:val="16"/>
        </w:rPr>
        <w:t> </w:t>
      </w:r>
      <w:r>
        <w:rPr>
          <w:color w:val="231F20"/>
        </w:rPr>
        <w:t>in</w:t>
      </w:r>
      <w:r>
        <w:rPr>
          <w:color w:val="231F20"/>
          <w:spacing w:val="16"/>
        </w:rPr>
        <w:t> </w:t>
      </w:r>
      <w:r>
        <w:rPr>
          <w:color w:val="231F20"/>
        </w:rPr>
        <w:t>the</w:t>
      </w:r>
      <w:r>
        <w:rPr>
          <w:color w:val="231F20"/>
          <w:spacing w:val="17"/>
        </w:rPr>
        <w:t> </w:t>
      </w:r>
      <w:r>
        <w:rPr>
          <w:color w:val="231F20"/>
        </w:rPr>
        <w:t>market</w:t>
      </w:r>
      <w:r>
        <w:rPr>
          <w:color w:val="231F20"/>
          <w:spacing w:val="16"/>
        </w:rPr>
        <w:t> </w:t>
      </w:r>
      <w:r>
        <w:rPr>
          <w:color w:val="231F20"/>
        </w:rPr>
        <w:t>would</w:t>
      </w:r>
      <w:r>
        <w:rPr>
          <w:color w:val="231F20"/>
          <w:spacing w:val="16"/>
        </w:rPr>
        <w:t> </w:t>
      </w:r>
      <w:r>
        <w:rPr>
          <w:color w:val="231F20"/>
        </w:rPr>
        <w:t>be</w:t>
      </w:r>
      <w:r>
        <w:rPr>
          <w:color w:val="231F20"/>
          <w:spacing w:val="16"/>
        </w:rPr>
        <w:t> </w:t>
      </w:r>
      <w:r>
        <w:rPr>
          <w:color w:val="231F20"/>
        </w:rPr>
        <w:t>magnified</w:t>
      </w:r>
      <w:r>
        <w:rPr>
          <w:color w:val="231F20"/>
          <w:spacing w:val="16"/>
        </w:rPr>
        <w:t> </w:t>
      </w:r>
      <w:r>
        <w:rPr>
          <w:color w:val="231F20"/>
        </w:rPr>
        <w:t>in</w:t>
      </w:r>
      <w:r>
        <w:rPr>
          <w:color w:val="231F20"/>
          <w:spacing w:val="16"/>
        </w:rPr>
        <w:t> </w:t>
      </w:r>
      <w:r>
        <w:rPr>
          <w:color w:val="231F20"/>
          <w:spacing w:val="-10"/>
        </w:rPr>
        <w:t>a</w:t>
      </w:r>
    </w:p>
    <w:p>
      <w:pPr>
        <w:pStyle w:val="BodyText"/>
        <w:spacing w:line="292" w:lineRule="auto" w:before="54"/>
        <w:ind w:left="829" w:right="756"/>
        <w:jc w:val="both"/>
      </w:pPr>
      <w:r>
        <w:rPr>
          <w:color w:val="231F20"/>
          <w:w w:val="105"/>
        </w:rPr>
        <w:t>1.75</w:t>
      </w:r>
      <w:r>
        <w:rPr>
          <w:color w:val="231F20"/>
          <w:spacing w:val="-13"/>
          <w:w w:val="105"/>
        </w:rPr>
        <w:t> </w:t>
      </w:r>
      <w:r>
        <w:rPr>
          <w:color w:val="231F20"/>
          <w:w w:val="105"/>
        </w:rPr>
        <w:t>percent</w:t>
      </w:r>
      <w:r>
        <w:rPr>
          <w:color w:val="231F20"/>
          <w:spacing w:val="-12"/>
          <w:w w:val="105"/>
        </w:rPr>
        <w:t> </w:t>
      </w:r>
      <w:r>
        <w:rPr>
          <w:color w:val="231F20"/>
          <w:w w:val="105"/>
        </w:rPr>
        <w:t>movement</w:t>
      </w:r>
      <w:r>
        <w:rPr>
          <w:color w:val="231F20"/>
          <w:spacing w:val="-12"/>
          <w:w w:val="105"/>
        </w:rPr>
        <w:t> </w:t>
      </w:r>
      <w:r>
        <w:rPr>
          <w:color w:val="231F20"/>
          <w:w w:val="105"/>
        </w:rPr>
        <w:t>in</w:t>
      </w:r>
      <w:r>
        <w:rPr>
          <w:color w:val="231F20"/>
          <w:spacing w:val="-12"/>
          <w:w w:val="105"/>
        </w:rPr>
        <w:t> </w:t>
      </w:r>
      <w:r>
        <w:rPr>
          <w:color w:val="231F20"/>
          <w:w w:val="105"/>
        </w:rPr>
        <w:t>Amazon’s</w:t>
      </w:r>
      <w:r>
        <w:rPr>
          <w:color w:val="231F20"/>
          <w:spacing w:val="-12"/>
          <w:w w:val="105"/>
        </w:rPr>
        <w:t> </w:t>
      </w:r>
      <w:r>
        <w:rPr>
          <w:color w:val="231F20"/>
          <w:w w:val="105"/>
        </w:rPr>
        <w:t>price.</w:t>
      </w:r>
      <w:r>
        <w:rPr>
          <w:color w:val="231F20"/>
          <w:spacing w:val="-12"/>
          <w:w w:val="105"/>
        </w:rPr>
        <w:t> </w:t>
      </w:r>
      <w:r>
        <w:rPr>
          <w:color w:val="231F20"/>
          <w:w w:val="105"/>
        </w:rPr>
        <w:t>Moderately</w:t>
      </w:r>
      <w:r>
        <w:rPr>
          <w:color w:val="231F20"/>
          <w:spacing w:val="-12"/>
          <w:w w:val="105"/>
        </w:rPr>
        <w:t> </w:t>
      </w:r>
      <w:r>
        <w:rPr>
          <w:color w:val="231F20"/>
          <w:w w:val="105"/>
        </w:rPr>
        <w:t>risky</w:t>
      </w:r>
      <w:r>
        <w:rPr>
          <w:color w:val="231F20"/>
          <w:spacing w:val="-13"/>
          <w:w w:val="105"/>
        </w:rPr>
        <w:t> </w:t>
      </w:r>
      <w:r>
        <w:rPr>
          <w:color w:val="231F20"/>
          <w:w w:val="105"/>
        </w:rPr>
        <w:t>stocks</w:t>
      </w:r>
      <w:r>
        <w:rPr>
          <w:color w:val="231F20"/>
          <w:w w:val="105"/>
        </w:rPr>
        <w:t> such as IBM and Microsoft have 1.2 betas.</w:t>
      </w:r>
    </w:p>
    <w:p>
      <w:pPr>
        <w:pStyle w:val="BodyText"/>
        <w:spacing w:line="292" w:lineRule="auto"/>
        <w:ind w:left="829" w:right="754" w:firstLine="340"/>
        <w:jc w:val="both"/>
      </w:pPr>
      <w:r>
        <w:rPr>
          <w:color w:val="231F20"/>
          <w:w w:val="105"/>
        </w:rPr>
        <w:t>The</w:t>
      </w:r>
      <w:r>
        <w:rPr>
          <w:color w:val="231F20"/>
          <w:spacing w:val="-5"/>
          <w:w w:val="105"/>
        </w:rPr>
        <w:t> </w:t>
      </w:r>
      <w:r>
        <w:rPr>
          <w:color w:val="231F20"/>
          <w:w w:val="105"/>
        </w:rPr>
        <w:t>behavior</w:t>
      </w:r>
      <w:r>
        <w:rPr>
          <w:color w:val="231F20"/>
          <w:spacing w:val="-5"/>
          <w:w w:val="105"/>
        </w:rPr>
        <w:t> </w:t>
      </w:r>
      <w:r>
        <w:rPr>
          <w:color w:val="231F20"/>
          <w:w w:val="105"/>
        </w:rPr>
        <w:t>of</w:t>
      </w:r>
      <w:r>
        <w:rPr>
          <w:color w:val="231F20"/>
          <w:spacing w:val="-5"/>
          <w:w w:val="105"/>
        </w:rPr>
        <w:t> </w:t>
      </w:r>
      <w:r>
        <w:rPr>
          <w:color w:val="231F20"/>
          <w:w w:val="105"/>
        </w:rPr>
        <w:t>the</w:t>
      </w:r>
      <w:r>
        <w:rPr>
          <w:color w:val="231F20"/>
          <w:spacing w:val="-5"/>
          <w:w w:val="105"/>
        </w:rPr>
        <w:t> </w:t>
      </w:r>
      <w:r>
        <w:rPr>
          <w:color w:val="231F20"/>
          <w:w w:val="105"/>
        </w:rPr>
        <w:t>market</w:t>
      </w:r>
      <w:r>
        <w:rPr>
          <w:color w:val="231F20"/>
          <w:spacing w:val="-5"/>
          <w:w w:val="105"/>
        </w:rPr>
        <w:t> </w:t>
      </w:r>
      <w:r>
        <w:rPr>
          <w:color w:val="231F20"/>
          <w:w w:val="105"/>
        </w:rPr>
        <w:t>is</w:t>
      </w:r>
      <w:r>
        <w:rPr>
          <w:color w:val="231F20"/>
          <w:spacing w:val="-5"/>
          <w:w w:val="105"/>
        </w:rPr>
        <w:t> </w:t>
      </w:r>
      <w:r>
        <w:rPr>
          <w:color w:val="231F20"/>
          <w:w w:val="105"/>
        </w:rPr>
        <w:t>so</w:t>
      </w:r>
      <w:r>
        <w:rPr>
          <w:color w:val="231F20"/>
          <w:spacing w:val="-5"/>
          <w:w w:val="105"/>
        </w:rPr>
        <w:t> </w:t>
      </w:r>
      <w:r>
        <w:rPr>
          <w:color w:val="231F20"/>
          <w:w w:val="105"/>
        </w:rPr>
        <w:t>important</w:t>
      </w:r>
      <w:r>
        <w:rPr>
          <w:color w:val="231F20"/>
          <w:spacing w:val="-5"/>
          <w:w w:val="105"/>
        </w:rPr>
        <w:t> </w:t>
      </w:r>
      <w:r>
        <w:rPr>
          <w:color w:val="231F20"/>
          <w:w w:val="105"/>
        </w:rPr>
        <w:t>because</w:t>
      </w:r>
      <w:r>
        <w:rPr>
          <w:color w:val="231F20"/>
          <w:spacing w:val="-5"/>
          <w:w w:val="105"/>
        </w:rPr>
        <w:t> </w:t>
      </w:r>
      <w:r>
        <w:rPr>
          <w:color w:val="231F20"/>
          <w:w w:val="105"/>
        </w:rPr>
        <w:t>most</w:t>
      </w:r>
      <w:r>
        <w:rPr>
          <w:color w:val="231F20"/>
          <w:spacing w:val="-5"/>
          <w:w w:val="105"/>
        </w:rPr>
        <w:t> </w:t>
      </w:r>
      <w:r>
        <w:rPr>
          <w:color w:val="231F20"/>
          <w:w w:val="105"/>
        </w:rPr>
        <w:t>large investment</w:t>
      </w:r>
      <w:r>
        <w:rPr>
          <w:color w:val="231F20"/>
          <w:spacing w:val="-13"/>
          <w:w w:val="105"/>
        </w:rPr>
        <w:t> </w:t>
      </w:r>
      <w:r>
        <w:rPr>
          <w:color w:val="231F20"/>
          <w:w w:val="105"/>
        </w:rPr>
        <w:t>decisions</w:t>
      </w:r>
      <w:r>
        <w:rPr>
          <w:color w:val="231F20"/>
          <w:spacing w:val="-12"/>
          <w:w w:val="105"/>
        </w:rPr>
        <w:t> </w:t>
      </w:r>
      <w:r>
        <w:rPr>
          <w:color w:val="231F20"/>
          <w:w w:val="105"/>
        </w:rPr>
        <w:t>are</w:t>
      </w:r>
      <w:r>
        <w:rPr>
          <w:color w:val="231F20"/>
          <w:spacing w:val="-12"/>
          <w:w w:val="105"/>
        </w:rPr>
        <w:t> </w:t>
      </w:r>
      <w:r>
        <w:rPr>
          <w:color w:val="231F20"/>
          <w:w w:val="105"/>
        </w:rPr>
        <w:t>made</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context</w:t>
      </w:r>
      <w:r>
        <w:rPr>
          <w:color w:val="231F20"/>
          <w:spacing w:val="-12"/>
          <w:w w:val="105"/>
        </w:rPr>
        <w:t> </w:t>
      </w:r>
      <w:r>
        <w:rPr>
          <w:color w:val="231F20"/>
          <w:w w:val="105"/>
        </w:rPr>
        <w:t>of</w:t>
      </w:r>
      <w:r>
        <w:rPr>
          <w:color w:val="231F20"/>
          <w:spacing w:val="-12"/>
          <w:w w:val="105"/>
        </w:rPr>
        <w:t> </w:t>
      </w:r>
      <w:r>
        <w:rPr>
          <w:color w:val="231F20"/>
          <w:w w:val="105"/>
        </w:rPr>
        <w:t>a</w:t>
      </w:r>
      <w:r>
        <w:rPr>
          <w:color w:val="231F20"/>
          <w:spacing w:val="-12"/>
          <w:w w:val="105"/>
        </w:rPr>
        <w:t> </w:t>
      </w:r>
      <w:r>
        <w:rPr>
          <w:color w:val="231F20"/>
          <w:w w:val="105"/>
        </w:rPr>
        <w:t>large</w:t>
      </w:r>
      <w:r>
        <w:rPr>
          <w:color w:val="231F20"/>
          <w:spacing w:val="-13"/>
          <w:w w:val="105"/>
        </w:rPr>
        <w:t> </w:t>
      </w:r>
      <w:r>
        <w:rPr>
          <w:i/>
          <w:color w:val="231F20"/>
          <w:w w:val="105"/>
        </w:rPr>
        <w:t>portfolio,</w:t>
      </w:r>
      <w:r>
        <w:rPr>
          <w:i/>
          <w:color w:val="231F20"/>
          <w:spacing w:val="-12"/>
          <w:w w:val="105"/>
        </w:rPr>
        <w:t> </w:t>
      </w:r>
      <w:r>
        <w:rPr>
          <w:color w:val="231F20"/>
          <w:w w:val="105"/>
        </w:rPr>
        <w:t>or collection</w:t>
      </w:r>
      <w:r>
        <w:rPr>
          <w:color w:val="231F20"/>
          <w:w w:val="105"/>
        </w:rPr>
        <w:t> of</w:t>
      </w:r>
      <w:r>
        <w:rPr>
          <w:color w:val="231F20"/>
          <w:w w:val="105"/>
        </w:rPr>
        <w:t> investments.</w:t>
      </w:r>
      <w:r>
        <w:rPr>
          <w:color w:val="231F20"/>
          <w:w w:val="105"/>
        </w:rPr>
        <w:t> Although</w:t>
      </w:r>
      <w:r>
        <w:rPr>
          <w:color w:val="231F20"/>
          <w:w w:val="105"/>
        </w:rPr>
        <w:t> the</w:t>
      </w:r>
      <w:r>
        <w:rPr>
          <w:color w:val="231F20"/>
          <w:w w:val="105"/>
        </w:rPr>
        <w:t> risks</w:t>
      </w:r>
      <w:r>
        <w:rPr>
          <w:color w:val="231F20"/>
          <w:w w:val="105"/>
        </w:rPr>
        <w:t> of</w:t>
      </w:r>
      <w:r>
        <w:rPr>
          <w:color w:val="231F20"/>
          <w:w w:val="105"/>
        </w:rPr>
        <w:t> individual</w:t>
      </w:r>
      <w:r>
        <w:rPr>
          <w:color w:val="231F20"/>
          <w:w w:val="105"/>
        </w:rPr>
        <w:t> invest- ments</w:t>
      </w:r>
      <w:r>
        <w:rPr>
          <w:color w:val="231F20"/>
          <w:w w:val="105"/>
        </w:rPr>
        <w:t> may</w:t>
      </w:r>
      <w:r>
        <w:rPr>
          <w:color w:val="231F20"/>
          <w:w w:val="105"/>
        </w:rPr>
        <w:t> be</w:t>
      </w:r>
      <w:r>
        <w:rPr>
          <w:color w:val="231F20"/>
          <w:w w:val="105"/>
        </w:rPr>
        <w:t> high,</w:t>
      </w:r>
      <w:r>
        <w:rPr>
          <w:color w:val="231F20"/>
          <w:w w:val="105"/>
        </w:rPr>
        <w:t> the</w:t>
      </w:r>
      <w:r>
        <w:rPr>
          <w:color w:val="231F20"/>
          <w:w w:val="105"/>
        </w:rPr>
        <w:t> overall</w:t>
      </w:r>
      <w:r>
        <w:rPr>
          <w:color w:val="231F20"/>
          <w:w w:val="105"/>
        </w:rPr>
        <w:t> risk</w:t>
      </w:r>
      <w:r>
        <w:rPr>
          <w:color w:val="231F20"/>
          <w:w w:val="105"/>
        </w:rPr>
        <w:t> will</w:t>
      </w:r>
      <w:r>
        <w:rPr>
          <w:color w:val="231F20"/>
          <w:w w:val="105"/>
        </w:rPr>
        <w:t> be</w:t>
      </w:r>
      <w:r>
        <w:rPr>
          <w:color w:val="231F20"/>
          <w:w w:val="105"/>
        </w:rPr>
        <w:t> lowered</w:t>
      </w:r>
      <w:r>
        <w:rPr>
          <w:color w:val="231F20"/>
          <w:w w:val="105"/>
        </w:rPr>
        <w:t> by</w:t>
      </w:r>
      <w:r>
        <w:rPr>
          <w:color w:val="231F20"/>
          <w:w w:val="105"/>
        </w:rPr>
        <w:t> investing</w:t>
      </w:r>
      <w:r>
        <w:rPr>
          <w:color w:val="231F20"/>
          <w:spacing w:val="80"/>
          <w:w w:val="105"/>
        </w:rPr>
        <w:t> </w:t>
      </w:r>
      <w:r>
        <w:rPr>
          <w:color w:val="231F20"/>
          <w:w w:val="105"/>
        </w:rPr>
        <w:t>in</w:t>
      </w:r>
      <w:r>
        <w:rPr>
          <w:color w:val="231F20"/>
          <w:w w:val="105"/>
        </w:rPr>
        <w:t> the</w:t>
      </w:r>
      <w:r>
        <w:rPr>
          <w:color w:val="231F20"/>
          <w:w w:val="105"/>
        </w:rPr>
        <w:t> right</w:t>
      </w:r>
      <w:r>
        <w:rPr>
          <w:color w:val="231F20"/>
          <w:w w:val="105"/>
        </w:rPr>
        <w:t> mix</w:t>
      </w:r>
      <w:r>
        <w:rPr>
          <w:color w:val="231F20"/>
          <w:w w:val="105"/>
        </w:rPr>
        <w:t> of</w:t>
      </w:r>
      <w:r>
        <w:rPr>
          <w:color w:val="231F20"/>
          <w:w w:val="105"/>
        </w:rPr>
        <w:t> investments</w:t>
      </w:r>
      <w:r>
        <w:rPr>
          <w:color w:val="231F20"/>
          <w:w w:val="105"/>
        </w:rPr>
        <w:t> to</w:t>
      </w:r>
      <w:r>
        <w:rPr>
          <w:color w:val="231F20"/>
          <w:w w:val="105"/>
        </w:rPr>
        <w:t> lower</w:t>
      </w:r>
      <w:r>
        <w:rPr>
          <w:color w:val="231F20"/>
          <w:w w:val="105"/>
        </w:rPr>
        <w:t> the</w:t>
      </w:r>
      <w:r>
        <w:rPr>
          <w:color w:val="231F20"/>
          <w:w w:val="105"/>
        </w:rPr>
        <w:t> portfolio’s</w:t>
      </w:r>
      <w:r>
        <w:rPr>
          <w:color w:val="231F20"/>
          <w:w w:val="105"/>
        </w:rPr>
        <w:t> beta.</w:t>
      </w:r>
      <w:r>
        <w:rPr>
          <w:color w:val="231F20"/>
          <w:w w:val="105"/>
        </w:rPr>
        <w:t> Large mutual</w:t>
      </w:r>
      <w:r>
        <w:rPr>
          <w:color w:val="231F20"/>
          <w:spacing w:val="-4"/>
          <w:w w:val="105"/>
        </w:rPr>
        <w:t> </w:t>
      </w:r>
      <w:r>
        <w:rPr>
          <w:color w:val="231F20"/>
          <w:w w:val="105"/>
        </w:rPr>
        <w:t>funds</w:t>
      </w:r>
      <w:r>
        <w:rPr>
          <w:color w:val="231F20"/>
          <w:spacing w:val="-4"/>
          <w:w w:val="105"/>
        </w:rPr>
        <w:t> </w:t>
      </w:r>
      <w:r>
        <w:rPr>
          <w:color w:val="231F20"/>
          <w:w w:val="105"/>
        </w:rPr>
        <w:t>that</w:t>
      </w:r>
      <w:r>
        <w:rPr>
          <w:color w:val="231F20"/>
          <w:spacing w:val="-4"/>
          <w:w w:val="105"/>
        </w:rPr>
        <w:t> </w:t>
      </w:r>
      <w:r>
        <w:rPr>
          <w:color w:val="231F20"/>
          <w:w w:val="105"/>
        </w:rPr>
        <w:t>own</w:t>
      </w:r>
      <w:r>
        <w:rPr>
          <w:color w:val="231F20"/>
          <w:spacing w:val="-4"/>
          <w:w w:val="105"/>
        </w:rPr>
        <w:t> </w:t>
      </w:r>
      <w:r>
        <w:rPr>
          <w:color w:val="231F20"/>
          <w:w w:val="105"/>
        </w:rPr>
        <w:t>hundreds</w:t>
      </w:r>
      <w:r>
        <w:rPr>
          <w:color w:val="231F20"/>
          <w:spacing w:val="-4"/>
          <w:w w:val="105"/>
        </w:rPr>
        <w:t> </w:t>
      </w:r>
      <w:r>
        <w:rPr>
          <w:color w:val="231F20"/>
          <w:w w:val="105"/>
        </w:rPr>
        <w:t>of</w:t>
      </w:r>
      <w:r>
        <w:rPr>
          <w:color w:val="231F20"/>
          <w:spacing w:val="-4"/>
          <w:w w:val="105"/>
        </w:rPr>
        <w:t> </w:t>
      </w:r>
      <w:r>
        <w:rPr>
          <w:color w:val="231F20"/>
          <w:w w:val="105"/>
        </w:rPr>
        <w:t>investments,</w:t>
      </w:r>
      <w:r>
        <w:rPr>
          <w:color w:val="231F20"/>
          <w:spacing w:val="-4"/>
          <w:w w:val="105"/>
        </w:rPr>
        <w:t> </w:t>
      </w:r>
      <w:r>
        <w:rPr>
          <w:color w:val="231F20"/>
          <w:w w:val="105"/>
        </w:rPr>
        <w:t>such</w:t>
      </w:r>
      <w:r>
        <w:rPr>
          <w:color w:val="231F20"/>
          <w:spacing w:val="-4"/>
          <w:w w:val="105"/>
        </w:rPr>
        <w:t> </w:t>
      </w:r>
      <w:r>
        <w:rPr>
          <w:color w:val="231F20"/>
          <w:w w:val="105"/>
        </w:rPr>
        <w:t>as</w:t>
      </w:r>
      <w:r>
        <w:rPr>
          <w:color w:val="231F20"/>
          <w:spacing w:val="-4"/>
          <w:w w:val="105"/>
        </w:rPr>
        <w:t> </w:t>
      </w:r>
      <w:r>
        <w:rPr>
          <w:color w:val="231F20"/>
          <w:w w:val="105"/>
        </w:rPr>
        <w:t>Fidelity’s Magellan</w:t>
      </w:r>
      <w:r>
        <w:rPr>
          <w:color w:val="231F20"/>
          <w:w w:val="105"/>
        </w:rPr>
        <w:t> Fund’s</w:t>
      </w:r>
      <w:r>
        <w:rPr>
          <w:color w:val="231F20"/>
          <w:w w:val="105"/>
        </w:rPr>
        <w:t> $62</w:t>
      </w:r>
      <w:r>
        <w:rPr>
          <w:color w:val="231F20"/>
          <w:w w:val="105"/>
        </w:rPr>
        <w:t> billion</w:t>
      </w:r>
      <w:r>
        <w:rPr>
          <w:color w:val="231F20"/>
          <w:w w:val="105"/>
        </w:rPr>
        <w:t> portfolio,</w:t>
      </w:r>
      <w:r>
        <w:rPr>
          <w:color w:val="231F20"/>
          <w:w w:val="105"/>
        </w:rPr>
        <w:t> provide</w:t>
      </w:r>
      <w:r>
        <w:rPr>
          <w:color w:val="231F20"/>
          <w:w w:val="105"/>
        </w:rPr>
        <w:t> this</w:t>
      </w:r>
      <w:r>
        <w:rPr>
          <w:color w:val="231F20"/>
          <w:w w:val="105"/>
        </w:rPr>
        <w:t> kind</w:t>
      </w:r>
      <w:r>
        <w:rPr>
          <w:color w:val="231F20"/>
          <w:w w:val="105"/>
        </w:rPr>
        <w:t> of</w:t>
      </w:r>
      <w:r>
        <w:rPr>
          <w:color w:val="231F20"/>
          <w:w w:val="105"/>
        </w:rPr>
        <w:t> </w:t>
      </w:r>
      <w:r>
        <w:rPr>
          <w:i/>
          <w:color w:val="231F20"/>
          <w:w w:val="105"/>
        </w:rPr>
        <w:t>di-</w:t>
      </w:r>
      <w:r>
        <w:rPr>
          <w:i/>
          <w:color w:val="231F20"/>
          <w:w w:val="105"/>
        </w:rPr>
        <w:t> </w:t>
      </w:r>
      <w:r>
        <w:rPr>
          <w:i/>
          <w:color w:val="231F20"/>
        </w:rPr>
        <w:t>versification. Hedge funds, </w:t>
      </w:r>
      <w:r>
        <w:rPr>
          <w:color w:val="231F20"/>
        </w:rPr>
        <w:t>on the other hand, are private </w:t>
      </w:r>
      <w:r>
        <w:rPr>
          <w:color w:val="231F20"/>
        </w:rPr>
        <w:t>investment </w:t>
      </w:r>
      <w:r>
        <w:rPr>
          <w:color w:val="231F20"/>
          <w:w w:val="105"/>
        </w:rPr>
        <w:t>pools</w:t>
      </w:r>
      <w:r>
        <w:rPr>
          <w:color w:val="231F20"/>
          <w:spacing w:val="-1"/>
          <w:w w:val="105"/>
        </w:rPr>
        <w:t> </w:t>
      </w:r>
      <w:r>
        <w:rPr>
          <w:color w:val="231F20"/>
          <w:w w:val="105"/>
        </w:rPr>
        <w:t>for</w:t>
      </w:r>
      <w:r>
        <w:rPr>
          <w:color w:val="231F20"/>
          <w:spacing w:val="-1"/>
          <w:w w:val="105"/>
        </w:rPr>
        <w:t> </w:t>
      </w:r>
      <w:r>
        <w:rPr>
          <w:color w:val="231F20"/>
          <w:w w:val="105"/>
        </w:rPr>
        <w:t>institutions</w:t>
      </w:r>
      <w:r>
        <w:rPr>
          <w:color w:val="231F20"/>
          <w:spacing w:val="-1"/>
          <w:w w:val="105"/>
        </w:rPr>
        <w:t> </w:t>
      </w:r>
      <w:r>
        <w:rPr>
          <w:color w:val="231F20"/>
          <w:w w:val="105"/>
        </w:rPr>
        <w:t>and</w:t>
      </w:r>
      <w:r>
        <w:rPr>
          <w:color w:val="231F20"/>
          <w:spacing w:val="-1"/>
          <w:w w:val="105"/>
        </w:rPr>
        <w:t> </w:t>
      </w:r>
      <w:r>
        <w:rPr>
          <w:color w:val="231F20"/>
          <w:w w:val="105"/>
        </w:rPr>
        <w:t>wealthy</w:t>
      </w:r>
      <w:r>
        <w:rPr>
          <w:color w:val="231F20"/>
          <w:spacing w:val="-1"/>
          <w:w w:val="105"/>
        </w:rPr>
        <w:t> </w:t>
      </w:r>
      <w:r>
        <w:rPr>
          <w:color w:val="231F20"/>
          <w:w w:val="105"/>
        </w:rPr>
        <w:t>individuals</w:t>
      </w:r>
      <w:r>
        <w:rPr>
          <w:color w:val="231F20"/>
          <w:spacing w:val="-1"/>
          <w:w w:val="105"/>
        </w:rPr>
        <w:t> </w:t>
      </w:r>
      <w:r>
        <w:rPr>
          <w:color w:val="231F20"/>
          <w:w w:val="105"/>
        </w:rPr>
        <w:t>that</w:t>
      </w:r>
      <w:r>
        <w:rPr>
          <w:color w:val="231F20"/>
          <w:spacing w:val="-1"/>
          <w:w w:val="105"/>
        </w:rPr>
        <w:t> </w:t>
      </w:r>
      <w:r>
        <w:rPr>
          <w:color w:val="231F20"/>
          <w:w w:val="105"/>
        </w:rPr>
        <w:t>are</w:t>
      </w:r>
      <w:r>
        <w:rPr>
          <w:color w:val="231F20"/>
          <w:spacing w:val="-1"/>
          <w:w w:val="105"/>
        </w:rPr>
        <w:t> </w:t>
      </w:r>
      <w:r>
        <w:rPr>
          <w:color w:val="231F20"/>
          <w:w w:val="105"/>
        </w:rPr>
        <w:t>able</w:t>
      </w:r>
      <w:r>
        <w:rPr>
          <w:color w:val="231F20"/>
          <w:spacing w:val="-1"/>
          <w:w w:val="105"/>
        </w:rPr>
        <w:t> </w:t>
      </w:r>
      <w:r>
        <w:rPr>
          <w:color w:val="231F20"/>
          <w:w w:val="105"/>
        </w:rPr>
        <w:t>to</w:t>
      </w:r>
      <w:r>
        <w:rPr>
          <w:color w:val="231F20"/>
          <w:spacing w:val="-1"/>
          <w:w w:val="105"/>
        </w:rPr>
        <w:t> </w:t>
      </w:r>
      <w:r>
        <w:rPr>
          <w:color w:val="231F20"/>
          <w:w w:val="105"/>
        </w:rPr>
        <w:t>take on</w:t>
      </w:r>
      <w:r>
        <w:rPr>
          <w:color w:val="231F20"/>
          <w:w w:val="105"/>
        </w:rPr>
        <w:t> more</w:t>
      </w:r>
      <w:r>
        <w:rPr>
          <w:color w:val="231F20"/>
          <w:w w:val="105"/>
        </w:rPr>
        <w:t> risk</w:t>
      </w:r>
      <w:r>
        <w:rPr>
          <w:color w:val="231F20"/>
          <w:w w:val="105"/>
        </w:rPr>
        <w:t> by</w:t>
      </w:r>
      <w:r>
        <w:rPr>
          <w:color w:val="231F20"/>
          <w:w w:val="105"/>
        </w:rPr>
        <w:t> making</w:t>
      </w:r>
      <w:r>
        <w:rPr>
          <w:color w:val="231F20"/>
          <w:w w:val="105"/>
        </w:rPr>
        <w:t> big</w:t>
      </w:r>
      <w:r>
        <w:rPr>
          <w:color w:val="231F20"/>
          <w:w w:val="105"/>
        </w:rPr>
        <w:t> bets</w:t>
      </w:r>
      <w:r>
        <w:rPr>
          <w:color w:val="231F20"/>
          <w:w w:val="105"/>
        </w:rPr>
        <w:t> on</w:t>
      </w:r>
      <w:r>
        <w:rPr>
          <w:color w:val="231F20"/>
          <w:w w:val="105"/>
        </w:rPr>
        <w:t> targeted</w:t>
      </w:r>
      <w:r>
        <w:rPr>
          <w:color w:val="231F20"/>
          <w:w w:val="105"/>
        </w:rPr>
        <w:t> investments.</w:t>
      </w:r>
      <w:r>
        <w:rPr>
          <w:color w:val="231F20"/>
          <w:w w:val="105"/>
        </w:rPr>
        <w:t> When</w:t>
      </w:r>
      <w:r>
        <w:rPr>
          <w:color w:val="231F20"/>
          <w:w w:val="105"/>
        </w:rPr>
        <w:t> a </w:t>
      </w:r>
      <w:r>
        <w:rPr>
          <w:color w:val="231F20"/>
        </w:rPr>
        <w:t>multibillion-dollar speculation on the direction of interest rates went </w:t>
      </w:r>
      <w:r>
        <w:rPr>
          <w:color w:val="231F20"/>
          <w:w w:val="105"/>
        </w:rPr>
        <w:t>bad,</w:t>
      </w:r>
      <w:r>
        <w:rPr>
          <w:color w:val="231F20"/>
          <w:spacing w:val="-9"/>
          <w:w w:val="105"/>
        </w:rPr>
        <w:t> </w:t>
      </w:r>
      <w:r>
        <w:rPr>
          <w:color w:val="231F20"/>
          <w:w w:val="105"/>
        </w:rPr>
        <w:t>costing</w:t>
      </w:r>
      <w:r>
        <w:rPr>
          <w:color w:val="231F20"/>
          <w:spacing w:val="-9"/>
          <w:w w:val="105"/>
        </w:rPr>
        <w:t> </w:t>
      </w:r>
      <w:r>
        <w:rPr>
          <w:color w:val="231F20"/>
          <w:w w:val="105"/>
        </w:rPr>
        <w:t>$4</w:t>
      </w:r>
      <w:r>
        <w:rPr>
          <w:color w:val="231F20"/>
          <w:spacing w:val="-9"/>
          <w:w w:val="105"/>
        </w:rPr>
        <w:t> </w:t>
      </w:r>
      <w:r>
        <w:rPr>
          <w:color w:val="231F20"/>
          <w:w w:val="105"/>
        </w:rPr>
        <w:t>billion,</w:t>
      </w:r>
      <w:r>
        <w:rPr>
          <w:color w:val="231F20"/>
          <w:spacing w:val="-9"/>
          <w:w w:val="105"/>
        </w:rPr>
        <w:t> </w:t>
      </w:r>
      <w:r>
        <w:rPr>
          <w:color w:val="231F20"/>
          <w:w w:val="105"/>
        </w:rPr>
        <w:t>an</w:t>
      </w:r>
      <w:r>
        <w:rPr>
          <w:color w:val="231F20"/>
          <w:spacing w:val="-9"/>
          <w:w w:val="105"/>
        </w:rPr>
        <w:t> </w:t>
      </w:r>
      <w:r>
        <w:rPr>
          <w:color w:val="231F20"/>
          <w:w w:val="105"/>
        </w:rPr>
        <w:t>ironically</w:t>
      </w:r>
      <w:r>
        <w:rPr>
          <w:color w:val="231F20"/>
          <w:spacing w:val="-9"/>
          <w:w w:val="105"/>
        </w:rPr>
        <w:t> </w:t>
      </w:r>
      <w:r>
        <w:rPr>
          <w:color w:val="231F20"/>
          <w:w w:val="105"/>
        </w:rPr>
        <w:t>named</w:t>
      </w:r>
      <w:r>
        <w:rPr>
          <w:color w:val="231F20"/>
          <w:spacing w:val="-9"/>
          <w:w w:val="105"/>
        </w:rPr>
        <w:t> </w:t>
      </w:r>
      <w:r>
        <w:rPr>
          <w:color w:val="231F20"/>
          <w:w w:val="105"/>
        </w:rPr>
        <w:t>hedge</w:t>
      </w:r>
      <w:r>
        <w:rPr>
          <w:color w:val="231F20"/>
          <w:spacing w:val="-9"/>
          <w:w w:val="105"/>
        </w:rPr>
        <w:t> </w:t>
      </w:r>
      <w:r>
        <w:rPr>
          <w:color w:val="231F20"/>
          <w:w w:val="105"/>
        </w:rPr>
        <w:t>fund,</w:t>
      </w:r>
      <w:r>
        <w:rPr>
          <w:color w:val="231F20"/>
          <w:spacing w:val="-9"/>
          <w:w w:val="105"/>
        </w:rPr>
        <w:t> </w:t>
      </w:r>
      <w:r>
        <w:rPr>
          <w:color w:val="231F20"/>
          <w:w w:val="105"/>
        </w:rPr>
        <w:t>Long-Term Capital Management, went bankrupt in 1998.</w:t>
      </w:r>
    </w:p>
    <w:p>
      <w:pPr>
        <w:pStyle w:val="BodyText"/>
        <w:spacing w:line="292" w:lineRule="auto"/>
        <w:ind w:left="829" w:right="756" w:firstLine="340"/>
        <w:jc w:val="both"/>
      </w:pPr>
      <w:r>
        <w:rPr>
          <w:color w:val="231F20"/>
        </w:rPr>
        <w:t>Of course the beta number does not appear from nowhere. </w:t>
      </w:r>
      <w:r>
        <w:rPr>
          <w:color w:val="231F20"/>
        </w:rPr>
        <w:t>Beta</w:t>
      </w:r>
      <w:r>
        <w:rPr>
          <w:color w:val="231F20"/>
          <w:spacing w:val="40"/>
        </w:rPr>
        <w:t> </w:t>
      </w:r>
      <w:r>
        <w:rPr>
          <w:color w:val="231F20"/>
        </w:rPr>
        <w:t>is a statistical calculation of a correlation coefficient, the covariance</w:t>
      </w:r>
      <w:r>
        <w:rPr>
          <w:color w:val="231F20"/>
          <w:spacing w:val="40"/>
        </w:rPr>
        <w:t> </w:t>
      </w:r>
      <w:r>
        <w:rPr>
          <w:color w:val="231F20"/>
        </w:rPr>
        <w:t>of a stock with the market divided by the variance of the market. Betas can be calculated, but financial analysts will admit that invest- ment information services, such as the Value Line Survey, provide</w:t>
      </w:r>
      <w:r>
        <w:rPr>
          <w:color w:val="231F20"/>
          <w:spacing w:val="40"/>
        </w:rPr>
        <w:t> </w:t>
      </w:r>
      <w:r>
        <w:rPr>
          <w:color w:val="231F20"/>
        </w:rPr>
        <w:t>the beta coefficients. Calculating beta is tedious, and in true MBA fashion, this book will skip it.</w:t>
      </w:r>
    </w:p>
    <w:p>
      <w:pPr>
        <w:spacing w:after="0" w:line="292" w:lineRule="auto"/>
        <w:jc w:val="both"/>
        <w:sectPr>
          <w:pgSz w:w="8640" w:h="12960"/>
          <w:pgMar w:header="732" w:footer="0" w:top="920" w:bottom="280" w:left="340" w:right="500"/>
        </w:sectPr>
      </w:pPr>
    </w:p>
    <w:p>
      <w:pPr>
        <w:pStyle w:val="BodyText"/>
        <w:spacing w:before="8"/>
        <w:rPr>
          <w:sz w:val="19"/>
        </w:rPr>
      </w:pPr>
    </w:p>
    <w:p>
      <w:pPr>
        <w:spacing w:before="96"/>
        <w:ind w:left="472" w:right="219" w:firstLine="0"/>
        <w:jc w:val="center"/>
        <w:rPr>
          <w:rFonts w:ascii="Arial"/>
          <w:sz w:val="14"/>
        </w:rPr>
      </w:pPr>
      <w:r>
        <w:rPr>
          <w:rFonts w:ascii="Arial"/>
          <w:color w:val="231F20"/>
          <w:w w:val="105"/>
          <w:sz w:val="14"/>
        </w:rPr>
        <w:t>A</w:t>
      </w:r>
      <w:r>
        <w:rPr>
          <w:rFonts w:ascii="Arial"/>
          <w:color w:val="231F20"/>
          <w:spacing w:val="34"/>
          <w:w w:val="105"/>
          <w:sz w:val="14"/>
        </w:rPr>
        <w:t> </w:t>
      </w:r>
      <w:r>
        <w:rPr>
          <w:rFonts w:ascii="Arial"/>
          <w:color w:val="231F20"/>
          <w:w w:val="105"/>
          <w:sz w:val="14"/>
        </w:rPr>
        <w:t>PROBABILITY</w:t>
      </w:r>
      <w:r>
        <w:rPr>
          <w:rFonts w:ascii="Arial"/>
          <w:color w:val="231F20"/>
          <w:spacing w:val="35"/>
          <w:w w:val="105"/>
          <w:sz w:val="14"/>
        </w:rPr>
        <w:t> </w:t>
      </w:r>
      <w:r>
        <w:rPr>
          <w:rFonts w:ascii="Arial"/>
          <w:color w:val="231F20"/>
          <w:w w:val="105"/>
          <w:sz w:val="14"/>
        </w:rPr>
        <w:t>DISTRIBUTION</w:t>
      </w:r>
      <w:r>
        <w:rPr>
          <w:rFonts w:ascii="Arial"/>
          <w:color w:val="231F20"/>
          <w:spacing w:val="34"/>
          <w:w w:val="105"/>
          <w:sz w:val="14"/>
        </w:rPr>
        <w:t> </w:t>
      </w:r>
      <w:r>
        <w:rPr>
          <w:rFonts w:ascii="Arial"/>
          <w:color w:val="231F20"/>
          <w:w w:val="105"/>
          <w:sz w:val="14"/>
        </w:rPr>
        <w:t>OF</w:t>
      </w:r>
      <w:r>
        <w:rPr>
          <w:rFonts w:ascii="Arial"/>
          <w:color w:val="231F20"/>
          <w:spacing w:val="35"/>
          <w:w w:val="105"/>
          <w:sz w:val="14"/>
        </w:rPr>
        <w:t> </w:t>
      </w:r>
      <w:r>
        <w:rPr>
          <w:rFonts w:ascii="Arial"/>
          <w:color w:val="231F20"/>
          <w:w w:val="105"/>
          <w:sz w:val="14"/>
        </w:rPr>
        <w:t>HISTORICAL</w:t>
      </w:r>
      <w:r>
        <w:rPr>
          <w:rFonts w:ascii="Arial"/>
          <w:color w:val="231F20"/>
          <w:spacing w:val="35"/>
          <w:w w:val="105"/>
          <w:sz w:val="14"/>
        </w:rPr>
        <w:t> </w:t>
      </w:r>
      <w:r>
        <w:rPr>
          <w:rFonts w:ascii="Arial"/>
          <w:color w:val="231F20"/>
          <w:w w:val="105"/>
          <w:sz w:val="14"/>
        </w:rPr>
        <w:t>STOCK</w:t>
      </w:r>
      <w:r>
        <w:rPr>
          <w:rFonts w:ascii="Arial"/>
          <w:color w:val="231F20"/>
          <w:spacing w:val="34"/>
          <w:w w:val="105"/>
          <w:sz w:val="14"/>
        </w:rPr>
        <w:t> </w:t>
      </w:r>
      <w:r>
        <w:rPr>
          <w:rFonts w:ascii="Arial"/>
          <w:color w:val="231F20"/>
          <w:spacing w:val="-2"/>
          <w:w w:val="105"/>
          <w:sz w:val="14"/>
        </w:rPr>
        <w:t>RETURNS</w:t>
      </w:r>
    </w:p>
    <w:p>
      <w:pPr>
        <w:pStyle w:val="BodyText"/>
        <w:spacing w:before="4"/>
        <w:rPr>
          <w:rFonts w:ascii="Arial"/>
          <w:sz w:val="17"/>
        </w:rPr>
      </w:pPr>
      <w:r>
        <w:rPr/>
        <w:drawing>
          <wp:anchor distT="0" distB="0" distL="0" distR="0" allowOverlap="1" layoutInCell="1" locked="0" behindDoc="0" simplePos="0" relativeHeight="235">
            <wp:simplePos x="0" y="0"/>
            <wp:positionH relativeFrom="page">
              <wp:posOffset>879834</wp:posOffset>
            </wp:positionH>
            <wp:positionV relativeFrom="paragraph">
              <wp:posOffset>142191</wp:posOffset>
            </wp:positionV>
            <wp:extent cx="3795387" cy="2133600"/>
            <wp:effectExtent l="0" t="0" r="0" b="0"/>
            <wp:wrapTopAndBottom/>
            <wp:docPr id="91" name="image55.png"/>
            <wp:cNvGraphicFramePr>
              <a:graphicFrameLocks noChangeAspect="1"/>
            </wp:cNvGraphicFramePr>
            <a:graphic>
              <a:graphicData uri="http://schemas.openxmlformats.org/drawingml/2006/picture">
                <pic:pic>
                  <pic:nvPicPr>
                    <pic:cNvPr id="92" name="image55.png"/>
                    <pic:cNvPicPr/>
                  </pic:nvPicPr>
                  <pic:blipFill>
                    <a:blip r:embed="rId83" cstate="print"/>
                    <a:stretch>
                      <a:fillRect/>
                    </a:stretch>
                  </pic:blipFill>
                  <pic:spPr>
                    <a:xfrm>
                      <a:off x="0" y="0"/>
                      <a:ext cx="3795387" cy="2133600"/>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Heading6"/>
        <w:spacing w:before="90"/>
        <w:rPr>
          <w:i/>
        </w:rPr>
      </w:pPr>
      <w:r>
        <w:rPr>
          <w:i/>
          <w:color w:val="231F20"/>
          <w:w w:val="115"/>
        </w:rPr>
        <w:t>THE</w:t>
      </w:r>
      <w:r>
        <w:rPr>
          <w:i/>
          <w:color w:val="231F20"/>
          <w:spacing w:val="68"/>
          <w:w w:val="115"/>
        </w:rPr>
        <w:t> </w:t>
      </w:r>
      <w:r>
        <w:rPr>
          <w:i/>
          <w:color w:val="231F20"/>
          <w:w w:val="115"/>
        </w:rPr>
        <w:t>EFFICIENT</w:t>
      </w:r>
      <w:r>
        <w:rPr>
          <w:i/>
          <w:color w:val="231F20"/>
          <w:spacing w:val="68"/>
          <w:w w:val="115"/>
        </w:rPr>
        <w:t> </w:t>
      </w:r>
      <w:r>
        <w:rPr>
          <w:i/>
          <w:color w:val="231F20"/>
          <w:spacing w:val="8"/>
          <w:w w:val="115"/>
        </w:rPr>
        <w:t>FRONTIER</w:t>
      </w:r>
    </w:p>
    <w:p>
      <w:pPr>
        <w:pStyle w:val="BodyText"/>
        <w:spacing w:before="2"/>
        <w:rPr>
          <w:b/>
          <w:i/>
          <w:sz w:val="30"/>
        </w:rPr>
      </w:pPr>
    </w:p>
    <w:p>
      <w:pPr>
        <w:pStyle w:val="BodyText"/>
        <w:spacing w:line="292" w:lineRule="auto" w:before="1"/>
        <w:ind w:left="920" w:right="666"/>
        <w:jc w:val="both"/>
      </w:pPr>
      <w:r>
        <w:rPr>
          <w:color w:val="231F20"/>
        </w:rPr>
        <w:t>Given all the possible portfolios of assets, theoretically there is a </w:t>
      </w:r>
      <w:r>
        <w:rPr>
          <w:color w:val="231F20"/>
        </w:rPr>
        <w:t>per- fect mix of investments at each level of risk. The graphical represen- tation of these theoretical “best” portfolios lies on a line called the </w:t>
      </w:r>
      <w:r>
        <w:rPr>
          <w:i/>
          <w:color w:val="231F20"/>
        </w:rPr>
        <w:t>efficient frontier. </w:t>
      </w:r>
      <w:r>
        <w:rPr>
          <w:color w:val="231F20"/>
        </w:rPr>
        <w:t>The area below the efficient frontier line encom- passes the attainable or feasible portfolio combinations. Theoreti- cally above the frontier are the unattainable returns.</w:t>
      </w:r>
    </w:p>
    <w:p>
      <w:pPr>
        <w:pStyle w:val="BodyText"/>
        <w:rPr>
          <w:sz w:val="24"/>
        </w:rPr>
      </w:pPr>
    </w:p>
    <w:p>
      <w:pPr>
        <w:pStyle w:val="BodyText"/>
        <w:spacing w:before="11"/>
        <w:rPr>
          <w:sz w:val="26"/>
        </w:rPr>
      </w:pPr>
    </w:p>
    <w:p>
      <w:pPr>
        <w:pStyle w:val="Heading6"/>
        <w:rPr>
          <w:i/>
        </w:rPr>
      </w:pPr>
      <w:r>
        <w:rPr>
          <w:i/>
          <w:color w:val="231F20"/>
          <w:w w:val="110"/>
        </w:rPr>
        <w:t>THE</w:t>
      </w:r>
      <w:r>
        <w:rPr>
          <w:i/>
          <w:color w:val="231F20"/>
          <w:spacing w:val="64"/>
          <w:w w:val="110"/>
        </w:rPr>
        <w:t> </w:t>
      </w:r>
      <w:r>
        <w:rPr>
          <w:i/>
          <w:color w:val="231F20"/>
          <w:w w:val="110"/>
        </w:rPr>
        <w:t>CAPITAL</w:t>
      </w:r>
      <w:r>
        <w:rPr>
          <w:i/>
          <w:color w:val="231F20"/>
          <w:spacing w:val="65"/>
          <w:w w:val="110"/>
        </w:rPr>
        <w:t> </w:t>
      </w:r>
      <w:r>
        <w:rPr>
          <w:i/>
          <w:color w:val="231F20"/>
          <w:w w:val="110"/>
        </w:rPr>
        <w:t>ASSET</w:t>
      </w:r>
      <w:r>
        <w:rPr>
          <w:i/>
          <w:color w:val="231F20"/>
          <w:spacing w:val="64"/>
          <w:w w:val="110"/>
        </w:rPr>
        <w:t> </w:t>
      </w:r>
      <w:r>
        <w:rPr>
          <w:i/>
          <w:color w:val="231F20"/>
          <w:w w:val="110"/>
        </w:rPr>
        <w:t>PRICING</w:t>
      </w:r>
      <w:r>
        <w:rPr>
          <w:i/>
          <w:color w:val="231F20"/>
          <w:spacing w:val="65"/>
          <w:w w:val="110"/>
        </w:rPr>
        <w:t> </w:t>
      </w:r>
      <w:r>
        <w:rPr>
          <w:i/>
          <w:color w:val="231F20"/>
          <w:w w:val="110"/>
        </w:rPr>
        <w:t>MODEL</w:t>
      </w:r>
      <w:r>
        <w:rPr>
          <w:i/>
          <w:color w:val="231F20"/>
          <w:spacing w:val="64"/>
          <w:w w:val="110"/>
        </w:rPr>
        <w:t> </w:t>
      </w:r>
      <w:r>
        <w:rPr>
          <w:i/>
          <w:color w:val="231F20"/>
          <w:w w:val="110"/>
        </w:rPr>
        <w:t>FOR</w:t>
      </w:r>
      <w:r>
        <w:rPr>
          <w:i/>
          <w:color w:val="231F20"/>
          <w:spacing w:val="65"/>
          <w:w w:val="110"/>
        </w:rPr>
        <w:t> </w:t>
      </w:r>
      <w:r>
        <w:rPr>
          <w:i/>
          <w:color w:val="231F20"/>
          <w:spacing w:val="8"/>
          <w:w w:val="110"/>
        </w:rPr>
        <w:t>STOCKS</w:t>
      </w:r>
    </w:p>
    <w:p>
      <w:pPr>
        <w:pStyle w:val="BodyText"/>
        <w:spacing w:before="2"/>
        <w:rPr>
          <w:b/>
          <w:i/>
          <w:sz w:val="30"/>
        </w:rPr>
      </w:pPr>
    </w:p>
    <w:p>
      <w:pPr>
        <w:pStyle w:val="BodyText"/>
        <w:spacing w:line="292" w:lineRule="auto"/>
        <w:ind w:left="919" w:right="663"/>
        <w:jc w:val="both"/>
      </w:pPr>
      <w:r>
        <w:rPr>
          <w:color w:val="231F20"/>
        </w:rPr>
        <w:t>The</w:t>
      </w:r>
      <w:r>
        <w:rPr>
          <w:color w:val="231F20"/>
          <w:spacing w:val="40"/>
        </w:rPr>
        <w:t> </w:t>
      </w:r>
      <w:r>
        <w:rPr>
          <w:i/>
          <w:color w:val="231F20"/>
        </w:rPr>
        <w:t>capital</w:t>
      </w:r>
      <w:r>
        <w:rPr>
          <w:i/>
          <w:color w:val="231F20"/>
          <w:spacing w:val="40"/>
        </w:rPr>
        <w:t> </w:t>
      </w:r>
      <w:r>
        <w:rPr>
          <w:i/>
          <w:color w:val="231F20"/>
        </w:rPr>
        <w:t>asset</w:t>
      </w:r>
      <w:r>
        <w:rPr>
          <w:i/>
          <w:color w:val="231F20"/>
          <w:spacing w:val="40"/>
        </w:rPr>
        <w:t> </w:t>
      </w:r>
      <w:r>
        <w:rPr>
          <w:i/>
          <w:color w:val="231F20"/>
        </w:rPr>
        <w:t>pricing</w:t>
      </w:r>
      <w:r>
        <w:rPr>
          <w:i/>
          <w:color w:val="231F20"/>
          <w:spacing w:val="40"/>
        </w:rPr>
        <w:t> </w:t>
      </w:r>
      <w:r>
        <w:rPr>
          <w:i/>
          <w:color w:val="231F20"/>
        </w:rPr>
        <w:t>model</w:t>
      </w:r>
      <w:r>
        <w:rPr>
          <w:i/>
          <w:color w:val="231F20"/>
          <w:spacing w:val="40"/>
        </w:rPr>
        <w:t> </w:t>
      </w:r>
      <w:r>
        <w:rPr>
          <w:color w:val="231F20"/>
        </w:rPr>
        <w:t>(CAPM)</w:t>
      </w:r>
      <w:r>
        <w:rPr>
          <w:color w:val="231F20"/>
          <w:spacing w:val="40"/>
        </w:rPr>
        <w:t> </w:t>
      </w:r>
      <w:r>
        <w:rPr>
          <w:color w:val="231F20"/>
        </w:rPr>
        <w:t>determines</w:t>
      </w:r>
      <w:r>
        <w:rPr>
          <w:color w:val="231F20"/>
          <w:spacing w:val="40"/>
        </w:rPr>
        <w:t> </w:t>
      </w:r>
      <w:r>
        <w:rPr>
          <w:color w:val="231F20"/>
        </w:rPr>
        <w:t>the</w:t>
      </w:r>
      <w:r>
        <w:rPr>
          <w:color w:val="231F20"/>
          <w:spacing w:val="40"/>
        </w:rPr>
        <w:t> </w:t>
      </w:r>
      <w:r>
        <w:rPr>
          <w:color w:val="231F20"/>
        </w:rPr>
        <w:t>required rate of return of an investment by adding the unsystematic risk </w:t>
      </w:r>
      <w:r>
        <w:rPr>
          <w:color w:val="231F20"/>
        </w:rPr>
        <w:t>and the</w:t>
      </w:r>
      <w:r>
        <w:rPr>
          <w:color w:val="231F20"/>
          <w:spacing w:val="40"/>
        </w:rPr>
        <w:t> </w:t>
      </w:r>
      <w:r>
        <w:rPr>
          <w:color w:val="231F20"/>
        </w:rPr>
        <w:t>systematic</w:t>
      </w:r>
      <w:r>
        <w:rPr>
          <w:color w:val="231F20"/>
          <w:spacing w:val="40"/>
        </w:rPr>
        <w:t> </w:t>
      </w:r>
      <w:r>
        <w:rPr>
          <w:color w:val="231F20"/>
        </w:rPr>
        <w:t>risk</w:t>
      </w:r>
      <w:r>
        <w:rPr>
          <w:color w:val="231F20"/>
          <w:spacing w:val="40"/>
        </w:rPr>
        <w:t> </w:t>
      </w:r>
      <w:r>
        <w:rPr>
          <w:color w:val="231F20"/>
        </w:rPr>
        <w:t>of</w:t>
      </w:r>
      <w:r>
        <w:rPr>
          <w:color w:val="231F20"/>
          <w:spacing w:val="40"/>
        </w:rPr>
        <w:t> </w:t>
      </w:r>
      <w:r>
        <w:rPr>
          <w:color w:val="231F20"/>
        </w:rPr>
        <w:t>owning</w:t>
      </w:r>
      <w:r>
        <w:rPr>
          <w:color w:val="231F20"/>
          <w:spacing w:val="40"/>
        </w:rPr>
        <w:t> </w:t>
      </w:r>
      <w:r>
        <w:rPr>
          <w:color w:val="231F20"/>
        </w:rPr>
        <w:t>this</w:t>
      </w:r>
      <w:r>
        <w:rPr>
          <w:color w:val="231F20"/>
          <w:spacing w:val="40"/>
        </w:rPr>
        <w:t> </w:t>
      </w:r>
      <w:r>
        <w:rPr>
          <w:color w:val="231F20"/>
        </w:rPr>
        <w:t>asset.</w:t>
      </w:r>
      <w:r>
        <w:rPr>
          <w:color w:val="231F20"/>
          <w:spacing w:val="40"/>
        </w:rPr>
        <w:t> </w:t>
      </w:r>
      <w:r>
        <w:rPr>
          <w:color w:val="231F20"/>
        </w:rPr>
        <w:t>A</w:t>
      </w:r>
      <w:r>
        <w:rPr>
          <w:color w:val="231F20"/>
          <w:spacing w:val="40"/>
        </w:rPr>
        <w:t> </w:t>
      </w:r>
      <w:r>
        <w:rPr>
          <w:color w:val="231F20"/>
        </w:rPr>
        <w:t>simple</w:t>
      </w:r>
      <w:r>
        <w:rPr>
          <w:color w:val="231F20"/>
          <w:spacing w:val="40"/>
        </w:rPr>
        <w:t> </w:t>
      </w:r>
      <w:r>
        <w:rPr>
          <w:color w:val="231F20"/>
        </w:rPr>
        <w:t>formula,</w:t>
      </w:r>
      <w:r>
        <w:rPr>
          <w:color w:val="231F20"/>
          <w:spacing w:val="40"/>
        </w:rPr>
        <w:t> </w:t>
      </w:r>
      <w:r>
        <w:rPr>
          <w:color w:val="231F20"/>
        </w:rPr>
        <w:t>the CAPM says that the required rate of return is the risk-free rate plus a premium for unsystematic risk. That risk is the beta that you are al- ready familiar with.</w:t>
      </w:r>
    </w:p>
    <w:p>
      <w:pPr>
        <w:pStyle w:val="BodyText"/>
        <w:spacing w:before="5"/>
        <w:rPr>
          <w:sz w:val="24"/>
        </w:rPr>
      </w:pPr>
    </w:p>
    <w:p>
      <w:pPr>
        <w:tabs>
          <w:tab w:pos="1774" w:val="left" w:leader="none"/>
        </w:tabs>
        <w:spacing w:before="0"/>
        <w:ind w:left="250" w:right="0" w:firstLine="0"/>
        <w:jc w:val="center"/>
        <w:rPr>
          <w:sz w:val="21"/>
        </w:rPr>
      </w:pPr>
      <w:r>
        <w:rPr/>
        <w:pict>
          <v:rect style="position:absolute;margin-left:228.727737pt;margin-top:7.678775pt;width:4.930940pt;height:.7242pt;mso-position-horizontal-relative:page;mso-position-vertical-relative:paragraph;z-index:-25108480" id="docshape347" filled="true" fillcolor="#231f20" stroked="false">
            <v:fill type="solid"/>
            <w10:wrap type="none"/>
          </v:rect>
        </w:pict>
      </w:r>
      <w:r>
        <w:rPr>
          <w:color w:val="231F20"/>
          <w:w w:val="105"/>
          <w:sz w:val="21"/>
        </w:rPr>
        <w:t>Ke</w:t>
      </w:r>
      <w:r>
        <w:rPr>
          <w:color w:val="231F20"/>
          <w:spacing w:val="12"/>
          <w:w w:val="105"/>
          <w:sz w:val="21"/>
        </w:rPr>
        <w:t> </w:t>
      </w:r>
      <w:r>
        <w:rPr>
          <w:rFonts w:ascii="Symbol" w:hAnsi="Symbol"/>
          <w:color w:val="231F20"/>
          <w:w w:val="105"/>
          <w:sz w:val="21"/>
        </w:rPr>
        <w:t></w:t>
      </w:r>
      <w:r>
        <w:rPr>
          <w:rFonts w:ascii="Times New Roman" w:hAnsi="Times New Roman"/>
          <w:color w:val="231F20"/>
          <w:spacing w:val="7"/>
          <w:w w:val="105"/>
          <w:sz w:val="21"/>
        </w:rPr>
        <w:t> </w:t>
      </w:r>
      <w:r>
        <w:rPr>
          <w:color w:val="231F20"/>
          <w:spacing w:val="10"/>
          <w:w w:val="105"/>
          <w:sz w:val="21"/>
        </w:rPr>
        <w:t>R</w:t>
      </w:r>
      <w:r>
        <w:rPr>
          <w:color w:val="231F20"/>
          <w:spacing w:val="10"/>
          <w:w w:val="105"/>
          <w:position w:val="-3"/>
          <w:sz w:val="11"/>
        </w:rPr>
        <w:t>f</w:t>
      </w:r>
      <w:r>
        <w:rPr>
          <w:color w:val="231F20"/>
          <w:spacing w:val="36"/>
          <w:w w:val="105"/>
          <w:position w:val="-3"/>
          <w:sz w:val="11"/>
        </w:rPr>
        <w:t> </w:t>
      </w:r>
      <w:r>
        <w:rPr>
          <w:rFonts w:ascii="Symbol" w:hAnsi="Symbol"/>
          <w:color w:val="231F20"/>
          <w:w w:val="105"/>
          <w:sz w:val="21"/>
        </w:rPr>
        <w:t></w:t>
      </w:r>
      <w:r>
        <w:rPr>
          <w:rFonts w:ascii="Times New Roman" w:hAnsi="Times New Roman"/>
          <w:color w:val="231F20"/>
          <w:spacing w:val="6"/>
          <w:w w:val="105"/>
          <w:sz w:val="21"/>
        </w:rPr>
        <w:t> </w:t>
      </w:r>
      <w:r>
        <w:rPr>
          <w:color w:val="231F20"/>
          <w:w w:val="105"/>
          <w:sz w:val="21"/>
        </w:rPr>
        <w:t>(K</w:t>
      </w:r>
      <w:r>
        <w:rPr>
          <w:color w:val="231F20"/>
          <w:spacing w:val="-26"/>
          <w:w w:val="105"/>
          <w:sz w:val="21"/>
        </w:rPr>
        <w:t> </w:t>
      </w:r>
      <w:r>
        <w:rPr>
          <w:color w:val="231F20"/>
          <w:spacing w:val="-10"/>
          <w:w w:val="105"/>
          <w:position w:val="-3"/>
          <w:sz w:val="11"/>
        </w:rPr>
        <w:t>m</w:t>
      </w:r>
      <w:r>
        <w:rPr>
          <w:color w:val="231F20"/>
          <w:position w:val="-3"/>
          <w:sz w:val="11"/>
        </w:rPr>
        <w:tab/>
      </w:r>
      <w:r>
        <w:rPr>
          <w:color w:val="231F20"/>
          <w:spacing w:val="10"/>
          <w:w w:val="105"/>
          <w:sz w:val="21"/>
        </w:rPr>
        <w:t>R</w:t>
      </w:r>
      <w:r>
        <w:rPr>
          <w:color w:val="231F20"/>
          <w:spacing w:val="10"/>
          <w:w w:val="105"/>
          <w:position w:val="-3"/>
          <w:sz w:val="11"/>
        </w:rPr>
        <w:t>f</w:t>
      </w:r>
      <w:r>
        <w:rPr>
          <w:color w:val="231F20"/>
          <w:spacing w:val="-2"/>
          <w:w w:val="105"/>
          <w:position w:val="-3"/>
          <w:sz w:val="11"/>
        </w:rPr>
        <w:t> </w:t>
      </w:r>
      <w:r>
        <w:rPr>
          <w:color w:val="231F20"/>
          <w:w w:val="105"/>
          <w:sz w:val="21"/>
        </w:rPr>
        <w:t>)</w:t>
      </w:r>
      <w:r>
        <w:rPr>
          <w:color w:val="231F20"/>
          <w:spacing w:val="17"/>
          <w:w w:val="105"/>
          <w:sz w:val="21"/>
        </w:rPr>
        <w:t> </w:t>
      </w:r>
      <w:r>
        <w:rPr>
          <w:color w:val="231F20"/>
          <w:spacing w:val="-4"/>
          <w:w w:val="105"/>
          <w:sz w:val="21"/>
        </w:rPr>
        <w:t>Beta</w:t>
      </w:r>
    </w:p>
    <w:p>
      <w:pPr>
        <w:spacing w:after="0"/>
        <w:jc w:val="center"/>
        <w:rPr>
          <w:sz w:val="21"/>
        </w:rPr>
        <w:sectPr>
          <w:pgSz w:w="8640" w:h="12960"/>
          <w:pgMar w:header="734" w:footer="0" w:top="920" w:bottom="280" w:left="340" w:right="500"/>
        </w:sectPr>
      </w:pPr>
    </w:p>
    <w:p>
      <w:pPr>
        <w:pStyle w:val="BodyText"/>
        <w:spacing w:before="10"/>
        <w:rPr>
          <w:sz w:val="19"/>
        </w:rPr>
      </w:pPr>
    </w:p>
    <w:p>
      <w:pPr>
        <w:spacing w:before="96"/>
        <w:ind w:left="293" w:right="219" w:firstLine="0"/>
        <w:jc w:val="center"/>
        <w:rPr>
          <w:rFonts w:ascii="Arial"/>
          <w:sz w:val="14"/>
        </w:rPr>
      </w:pPr>
      <w:r>
        <w:rPr>
          <w:rFonts w:ascii="Arial"/>
          <w:color w:val="231F20"/>
          <w:w w:val="105"/>
          <w:sz w:val="14"/>
        </w:rPr>
        <w:t>HOW</w:t>
      </w:r>
      <w:r>
        <w:rPr>
          <w:rFonts w:ascii="Arial"/>
          <w:color w:val="231F20"/>
          <w:spacing w:val="28"/>
          <w:w w:val="105"/>
          <w:sz w:val="14"/>
        </w:rPr>
        <w:t> </w:t>
      </w:r>
      <w:r>
        <w:rPr>
          <w:rFonts w:ascii="Arial"/>
          <w:color w:val="231F20"/>
          <w:w w:val="105"/>
          <w:sz w:val="14"/>
        </w:rPr>
        <w:t>INVESTMENTS</w:t>
      </w:r>
      <w:r>
        <w:rPr>
          <w:rFonts w:ascii="Arial"/>
          <w:color w:val="231F20"/>
          <w:spacing w:val="28"/>
          <w:w w:val="105"/>
          <w:sz w:val="14"/>
        </w:rPr>
        <w:t> </w:t>
      </w:r>
      <w:r>
        <w:rPr>
          <w:rFonts w:ascii="Arial"/>
          <w:color w:val="231F20"/>
          <w:w w:val="105"/>
          <w:sz w:val="14"/>
        </w:rPr>
        <w:t>WITH</w:t>
      </w:r>
      <w:r>
        <w:rPr>
          <w:rFonts w:ascii="Arial"/>
          <w:color w:val="231F20"/>
          <w:spacing w:val="29"/>
          <w:w w:val="105"/>
          <w:sz w:val="14"/>
        </w:rPr>
        <w:t> </w:t>
      </w:r>
      <w:r>
        <w:rPr>
          <w:rFonts w:ascii="Arial"/>
          <w:color w:val="231F20"/>
          <w:w w:val="105"/>
          <w:sz w:val="14"/>
        </w:rPr>
        <w:t>DIFFERENT</w:t>
      </w:r>
      <w:r>
        <w:rPr>
          <w:rFonts w:ascii="Arial"/>
          <w:color w:val="231F20"/>
          <w:spacing w:val="28"/>
          <w:w w:val="105"/>
          <w:sz w:val="14"/>
        </w:rPr>
        <w:t> </w:t>
      </w:r>
      <w:r>
        <w:rPr>
          <w:rFonts w:ascii="Arial"/>
          <w:color w:val="231F20"/>
          <w:w w:val="105"/>
          <w:sz w:val="14"/>
        </w:rPr>
        <w:t>BETAS</w:t>
      </w:r>
      <w:r>
        <w:rPr>
          <w:rFonts w:ascii="Arial"/>
          <w:color w:val="231F20"/>
          <w:spacing w:val="29"/>
          <w:w w:val="105"/>
          <w:sz w:val="14"/>
        </w:rPr>
        <w:t> </w:t>
      </w:r>
      <w:r>
        <w:rPr>
          <w:rFonts w:ascii="Arial"/>
          <w:color w:val="231F20"/>
          <w:spacing w:val="-5"/>
          <w:w w:val="105"/>
          <w:sz w:val="14"/>
        </w:rPr>
        <w:t>ACT</w:t>
      </w:r>
    </w:p>
    <w:p>
      <w:pPr>
        <w:pStyle w:val="BodyText"/>
        <w:spacing w:before="2"/>
        <w:rPr>
          <w:rFonts w:ascii="Arial"/>
          <w:sz w:val="8"/>
        </w:rPr>
      </w:pPr>
      <w:r>
        <w:rPr/>
        <w:drawing>
          <wp:anchor distT="0" distB="0" distL="0" distR="0" allowOverlap="1" layoutInCell="1" locked="0" behindDoc="0" simplePos="0" relativeHeight="237">
            <wp:simplePos x="0" y="0"/>
            <wp:positionH relativeFrom="page">
              <wp:posOffset>753586</wp:posOffset>
            </wp:positionH>
            <wp:positionV relativeFrom="paragraph">
              <wp:posOffset>75126</wp:posOffset>
            </wp:positionV>
            <wp:extent cx="3973082" cy="1511808"/>
            <wp:effectExtent l="0" t="0" r="0" b="0"/>
            <wp:wrapTopAndBottom/>
            <wp:docPr id="93" name="image56.png"/>
            <wp:cNvGraphicFramePr>
              <a:graphicFrameLocks noChangeAspect="1"/>
            </wp:cNvGraphicFramePr>
            <a:graphic>
              <a:graphicData uri="http://schemas.openxmlformats.org/drawingml/2006/picture">
                <pic:pic>
                  <pic:nvPicPr>
                    <pic:cNvPr id="94" name="image56.png"/>
                    <pic:cNvPicPr/>
                  </pic:nvPicPr>
                  <pic:blipFill>
                    <a:blip r:embed="rId84" cstate="print"/>
                    <a:stretch>
                      <a:fillRect/>
                    </a:stretch>
                  </pic:blipFill>
                  <pic:spPr>
                    <a:xfrm>
                      <a:off x="0" y="0"/>
                      <a:ext cx="3973082" cy="1511808"/>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1"/>
        <w:rPr>
          <w:rFonts w:ascii="Arial"/>
          <w:sz w:val="11"/>
        </w:rPr>
      </w:pPr>
    </w:p>
    <w:p>
      <w:pPr>
        <w:pStyle w:val="BodyText"/>
        <w:ind w:left="202" w:right="219"/>
        <w:jc w:val="center"/>
      </w:pPr>
      <w:r>
        <w:rPr>
          <w:color w:val="231F20"/>
        </w:rPr>
        <w:t>Required</w:t>
      </w:r>
      <w:r>
        <w:rPr>
          <w:color w:val="231F20"/>
          <w:spacing w:val="16"/>
        </w:rPr>
        <w:t> </w:t>
      </w:r>
      <w:r>
        <w:rPr>
          <w:color w:val="231F20"/>
        </w:rPr>
        <w:t>Return</w:t>
      </w:r>
      <w:r>
        <w:rPr>
          <w:color w:val="231F20"/>
          <w:spacing w:val="16"/>
        </w:rPr>
        <w:t> </w:t>
      </w:r>
      <w:r>
        <w:rPr>
          <w:color w:val="231F20"/>
        </w:rPr>
        <w:t>on</w:t>
      </w:r>
      <w:r>
        <w:rPr>
          <w:color w:val="231F20"/>
          <w:spacing w:val="16"/>
        </w:rPr>
        <w:t> </w:t>
      </w:r>
      <w:r>
        <w:rPr>
          <w:color w:val="231F20"/>
        </w:rPr>
        <w:t>an</w:t>
      </w:r>
      <w:r>
        <w:rPr>
          <w:color w:val="231F20"/>
          <w:spacing w:val="16"/>
        </w:rPr>
        <w:t> </w:t>
      </w:r>
      <w:r>
        <w:rPr>
          <w:color w:val="231F20"/>
        </w:rPr>
        <w:t>Equity</w:t>
      </w:r>
      <w:r>
        <w:rPr>
          <w:color w:val="231F20"/>
          <w:spacing w:val="16"/>
        </w:rPr>
        <w:t> </w:t>
      </w:r>
      <w:r>
        <w:rPr>
          <w:color w:val="231F20"/>
        </w:rPr>
        <w:t>Investment</w:t>
      </w:r>
      <w:r>
        <w:rPr>
          <w:color w:val="231F20"/>
          <w:spacing w:val="15"/>
        </w:rPr>
        <w:t> </w:t>
      </w:r>
      <w:r>
        <w:rPr>
          <w:rFonts w:ascii="Symbol" w:hAnsi="Symbol"/>
          <w:color w:val="231F20"/>
        </w:rPr>
        <w:t></w:t>
      </w:r>
      <w:r>
        <w:rPr>
          <w:rFonts w:ascii="Times New Roman" w:hAnsi="Times New Roman"/>
          <w:color w:val="231F20"/>
          <w:spacing w:val="10"/>
        </w:rPr>
        <w:t> </w:t>
      </w:r>
      <w:r>
        <w:rPr>
          <w:color w:val="231F20"/>
        </w:rPr>
        <w:t>Risk-Free</w:t>
      </w:r>
      <w:r>
        <w:rPr>
          <w:color w:val="231F20"/>
          <w:spacing w:val="17"/>
        </w:rPr>
        <w:t> </w:t>
      </w:r>
      <w:r>
        <w:rPr>
          <w:color w:val="231F20"/>
          <w:spacing w:val="-4"/>
        </w:rPr>
        <w:t>Rate</w:t>
      </w:r>
    </w:p>
    <w:p>
      <w:pPr>
        <w:pStyle w:val="ListParagraph"/>
        <w:numPr>
          <w:ilvl w:val="0"/>
          <w:numId w:val="33"/>
        </w:numPr>
        <w:tabs>
          <w:tab w:pos="1587" w:val="left" w:leader="none"/>
          <w:tab w:pos="2820" w:val="left" w:leader="none"/>
        </w:tabs>
        <w:spacing w:line="240" w:lineRule="auto" w:before="42" w:after="0"/>
        <w:ind w:left="1586" w:right="88" w:hanging="1587"/>
        <w:jc w:val="left"/>
        <w:rPr>
          <w:rFonts w:ascii="Cambria" w:hAnsi="Cambria"/>
          <w:sz w:val="21"/>
        </w:rPr>
      </w:pPr>
      <w:r>
        <w:rPr/>
        <w:pict>
          <v:rect style="position:absolute;margin-left:220.178223pt;margin-top:9.780893pt;width:4.930940pt;height:.7242pt;mso-position-horizontal-relative:page;mso-position-vertical-relative:paragraph;z-index:-25107456" id="docshape348" filled="true" fillcolor="#231f20" stroked="false">
            <v:fill type="solid"/>
            <w10:wrap type="none"/>
          </v:rect>
        </w:pict>
      </w:r>
      <w:r>
        <w:rPr>
          <w:rFonts w:ascii="Cambria" w:hAnsi="Cambria"/>
          <w:color w:val="231F20"/>
          <w:w w:val="106"/>
          <w:sz w:val="21"/>
        </w:rPr>
        <w:t>(</w:t>
      </w:r>
      <w:r>
        <w:rPr>
          <w:rFonts w:ascii="Cambria" w:hAnsi="Cambria"/>
          <w:color w:val="231F20"/>
          <w:spacing w:val="-16"/>
          <w:w w:val="106"/>
          <w:sz w:val="21"/>
        </w:rPr>
        <w:t>A</w:t>
      </w:r>
      <w:r>
        <w:rPr>
          <w:rFonts w:ascii="Cambria" w:hAnsi="Cambria"/>
          <w:color w:val="231F20"/>
          <w:w w:val="107"/>
          <w:sz w:val="21"/>
        </w:rPr>
        <w:t>vg.</w:t>
      </w:r>
      <w:r>
        <w:rPr>
          <w:rFonts w:ascii="Cambria" w:hAnsi="Cambria"/>
          <w:color w:val="231F20"/>
          <w:spacing w:val="12"/>
          <w:sz w:val="21"/>
        </w:rPr>
        <w:t> </w:t>
      </w:r>
      <w:r>
        <w:rPr>
          <w:rFonts w:ascii="Cambria" w:hAnsi="Cambria"/>
          <w:color w:val="231F20"/>
          <w:w w:val="106"/>
          <w:sz w:val="21"/>
        </w:rPr>
        <w:t>Market</w:t>
      </w:r>
      <w:r>
        <w:rPr>
          <w:rFonts w:ascii="Cambria" w:hAnsi="Cambria"/>
          <w:color w:val="231F20"/>
          <w:spacing w:val="12"/>
          <w:sz w:val="21"/>
        </w:rPr>
        <w:t> </w:t>
      </w:r>
      <w:r>
        <w:rPr>
          <w:rFonts w:ascii="Cambria" w:hAnsi="Cambria"/>
          <w:color w:val="231F20"/>
          <w:w w:val="102"/>
          <w:sz w:val="21"/>
        </w:rPr>
        <w:t>Return</w:t>
      </w:r>
      <w:r>
        <w:rPr>
          <w:rFonts w:ascii="Cambria" w:hAnsi="Cambria"/>
          <w:color w:val="231F20"/>
          <w:spacing w:val="12"/>
          <w:sz w:val="21"/>
        </w:rPr>
        <w:t> </w:t>
      </w:r>
      <w:r>
        <w:rPr>
          <w:rFonts w:ascii="Cambria" w:hAnsi="Cambria"/>
          <w:color w:val="231F20"/>
          <w:w w:val="104"/>
          <w:sz w:val="21"/>
        </w:rPr>
        <w:t>Rate</w:t>
      </w:r>
      <w:r>
        <w:rPr>
          <w:rFonts w:ascii="Cambria" w:hAnsi="Cambria"/>
          <w:color w:val="231F20"/>
          <w:sz w:val="21"/>
        </w:rPr>
        <w:tab/>
      </w:r>
      <w:r>
        <w:rPr>
          <w:rFonts w:ascii="Cambria" w:hAnsi="Cambria"/>
          <w:color w:val="231F20"/>
          <w:w w:val="101"/>
          <w:sz w:val="21"/>
        </w:rPr>
        <w:t>Risk-Free</w:t>
      </w:r>
      <w:r>
        <w:rPr>
          <w:rFonts w:ascii="Cambria" w:hAnsi="Cambria"/>
          <w:color w:val="231F20"/>
          <w:spacing w:val="12"/>
          <w:sz w:val="21"/>
        </w:rPr>
        <w:t> </w:t>
      </w:r>
      <w:r>
        <w:rPr>
          <w:rFonts w:ascii="Cambria" w:hAnsi="Cambria"/>
          <w:color w:val="231F20"/>
          <w:w w:val="102"/>
          <w:sz w:val="21"/>
        </w:rPr>
        <w:t>Rate)</w:t>
      </w:r>
      <w:r>
        <w:rPr>
          <w:rFonts w:ascii="Cambria" w:hAnsi="Cambria"/>
          <w:color w:val="231F20"/>
          <w:spacing w:val="12"/>
          <w:sz w:val="21"/>
        </w:rPr>
        <w:t> </w:t>
      </w:r>
      <w:r>
        <w:rPr>
          <w:rFonts w:ascii="Symbol" w:hAnsi="Symbol"/>
          <w:color w:val="231F20"/>
          <w:w w:val="101"/>
          <w:sz w:val="21"/>
        </w:rPr>
        <w:t></w:t>
      </w:r>
      <w:r>
        <w:rPr>
          <w:rFonts w:ascii="Times New Roman" w:hAnsi="Times New Roman"/>
          <w:color w:val="231F20"/>
          <w:spacing w:val="6"/>
          <w:sz w:val="21"/>
        </w:rPr>
        <w:t> </w:t>
      </w:r>
      <w:r>
        <w:rPr>
          <w:rFonts w:ascii="Cambria" w:hAnsi="Cambria"/>
          <w:color w:val="231F20"/>
          <w:w w:val="99"/>
          <w:sz w:val="21"/>
        </w:rPr>
        <w:t>Beta</w:t>
      </w:r>
    </w:p>
    <w:p>
      <w:pPr>
        <w:pStyle w:val="BodyText"/>
        <w:spacing w:before="2"/>
        <w:rPr>
          <w:sz w:val="30"/>
        </w:rPr>
      </w:pPr>
    </w:p>
    <w:p>
      <w:pPr>
        <w:pStyle w:val="BodyText"/>
        <w:spacing w:line="292" w:lineRule="auto"/>
        <w:ind w:left="830" w:right="753" w:firstLine="340"/>
        <w:jc w:val="both"/>
      </w:pPr>
      <w:r>
        <w:rPr>
          <w:color w:val="231F20"/>
        </w:rPr>
        <w:t>Suppose you wanted to know in 1992 what IBM should yield to</w:t>
      </w:r>
      <w:r>
        <w:rPr>
          <w:color w:val="231F20"/>
          <w:spacing w:val="40"/>
        </w:rPr>
        <w:t> </w:t>
      </w:r>
      <w:r>
        <w:rPr>
          <w:color w:val="231F20"/>
        </w:rPr>
        <w:t>be a worthwhile investment. The Value Line Survey told you that</w:t>
      </w:r>
      <w:r>
        <w:rPr>
          <w:color w:val="231F20"/>
          <w:spacing w:val="80"/>
        </w:rPr>
        <w:t> </w:t>
      </w:r>
      <w:r>
        <w:rPr>
          <w:color w:val="231F20"/>
        </w:rPr>
        <w:t>IBM had a conservative beta of 1.2. The </w:t>
      </w:r>
      <w:r>
        <w:rPr>
          <w:i/>
          <w:color w:val="231F20"/>
        </w:rPr>
        <w:t>Wall Street Journal </w:t>
      </w:r>
      <w:r>
        <w:rPr>
          <w:color w:val="231F20"/>
        </w:rPr>
        <w:t>told you that the long-term risk-free U.S. Treasury bond pays a return of 8 percent. This is a far more historical rate than the 5 percent rate pre- vailing in 2005 that was at forty-year lows. The final CAPM </w:t>
      </w:r>
      <w:r>
        <w:rPr>
          <w:color w:val="231F20"/>
        </w:rPr>
        <w:t>input requires some more homework. A study conducted since 1926</w:t>
      </w:r>
      <w:r>
        <w:rPr>
          <w:color w:val="231F20"/>
          <w:spacing w:val="80"/>
        </w:rPr>
        <w:t> </w:t>
      </w:r>
      <w:r>
        <w:rPr>
          <w:color w:val="231F20"/>
        </w:rPr>
        <w:t>shows that the average return on the Standard </w:t>
      </w:r>
      <w:r>
        <w:rPr>
          <w:color w:val="231F20"/>
          <w:w w:val="110"/>
        </w:rPr>
        <w:t>&amp; </w:t>
      </w:r>
      <w:r>
        <w:rPr>
          <w:color w:val="231F20"/>
        </w:rPr>
        <w:t>Poor 500 has ex- ceeded the risk-free rate of investing in risk-free U.S. Treasury bonds by 7.4 percent. Some use a rate of 5 to 6 percent to reflect lower cur- rent interest rates and returns. With those three CAPM inputs, an in- vestment in IBM should return on average 16.8 percent.</w:t>
      </w:r>
    </w:p>
    <w:p>
      <w:pPr>
        <w:pStyle w:val="BodyText"/>
        <w:spacing w:before="3"/>
        <w:rPr>
          <w:sz w:val="24"/>
        </w:rPr>
      </w:pPr>
    </w:p>
    <w:p>
      <w:pPr>
        <w:pStyle w:val="BodyText"/>
        <w:ind w:left="289" w:right="219"/>
        <w:jc w:val="center"/>
      </w:pPr>
      <w:r>
        <w:rPr>
          <w:color w:val="231F20"/>
          <w:w w:val="105"/>
        </w:rPr>
        <w:t>8%</w:t>
      </w:r>
      <w:r>
        <w:rPr>
          <w:color w:val="231F20"/>
          <w:spacing w:val="10"/>
          <w:w w:val="105"/>
        </w:rPr>
        <w:t> </w:t>
      </w:r>
      <w:r>
        <w:rPr>
          <w:rFonts w:ascii="Symbol" w:hAnsi="Symbol"/>
          <w:color w:val="231F20"/>
          <w:w w:val="105"/>
        </w:rPr>
        <w:t></w:t>
      </w:r>
      <w:r>
        <w:rPr>
          <w:rFonts w:ascii="Times New Roman" w:hAnsi="Times New Roman"/>
          <w:color w:val="231F20"/>
          <w:spacing w:val="3"/>
          <w:w w:val="105"/>
        </w:rPr>
        <w:t> </w:t>
      </w:r>
      <w:r>
        <w:rPr>
          <w:color w:val="231F20"/>
          <w:w w:val="105"/>
        </w:rPr>
        <w:t>(7.4%)</w:t>
      </w:r>
      <w:r>
        <w:rPr>
          <w:color w:val="231F20"/>
          <w:spacing w:val="11"/>
          <w:w w:val="105"/>
        </w:rPr>
        <w:t> </w:t>
      </w:r>
      <w:r>
        <w:rPr>
          <w:color w:val="231F20"/>
          <w:w w:val="105"/>
        </w:rPr>
        <w:t>1.2</w:t>
      </w:r>
      <w:r>
        <w:rPr>
          <w:color w:val="231F20"/>
          <w:spacing w:val="10"/>
          <w:w w:val="105"/>
        </w:rPr>
        <w:t> </w:t>
      </w:r>
      <w:r>
        <w:rPr>
          <w:rFonts w:ascii="Symbol" w:hAnsi="Symbol"/>
          <w:color w:val="231F20"/>
          <w:w w:val="105"/>
        </w:rPr>
        <w:t></w:t>
      </w:r>
      <w:r>
        <w:rPr>
          <w:rFonts w:ascii="Times New Roman" w:hAnsi="Times New Roman"/>
          <w:color w:val="231F20"/>
          <w:spacing w:val="4"/>
          <w:w w:val="105"/>
        </w:rPr>
        <w:t> </w:t>
      </w:r>
      <w:r>
        <w:rPr>
          <w:color w:val="231F20"/>
          <w:spacing w:val="-2"/>
          <w:w w:val="105"/>
        </w:rPr>
        <w:t>16.8%</w:t>
      </w:r>
    </w:p>
    <w:p>
      <w:pPr>
        <w:pStyle w:val="BodyText"/>
        <w:spacing w:before="2"/>
        <w:rPr>
          <w:sz w:val="30"/>
        </w:rPr>
      </w:pPr>
    </w:p>
    <w:p>
      <w:pPr>
        <w:pStyle w:val="BodyText"/>
        <w:spacing w:line="292" w:lineRule="auto"/>
        <w:ind w:left="830" w:right="756" w:firstLine="340"/>
        <w:jc w:val="both"/>
      </w:pPr>
      <w:r>
        <w:rPr>
          <w:color w:val="231F20"/>
        </w:rPr>
        <w:t>Plugging in many, many betas into the linear algebraic </w:t>
      </w:r>
      <w:r>
        <w:rPr>
          <w:color w:val="231F20"/>
        </w:rPr>
        <w:t>equation</w:t>
      </w:r>
      <w:r>
        <w:rPr>
          <w:color w:val="231F20"/>
          <w:spacing w:val="40"/>
        </w:rPr>
        <w:t> </w:t>
      </w:r>
      <w:r>
        <w:rPr>
          <w:color w:val="231F20"/>
        </w:rPr>
        <w:t>of the CAPM, you can generate a graph. That line is called the </w:t>
      </w:r>
      <w:r>
        <w:rPr>
          <w:i/>
          <w:color w:val="231F20"/>
        </w:rPr>
        <w:t>secu-</w:t>
      </w:r>
      <w:r>
        <w:rPr>
          <w:i/>
          <w:color w:val="231F20"/>
        </w:rPr>
        <w:t> rity market line </w:t>
      </w:r>
      <w:r>
        <w:rPr>
          <w:color w:val="231F20"/>
        </w:rPr>
        <w:t>(SML). In the IBM example, suppose that the return on IBM is actually 12 percent. That is less than the required rate of return determined by the CAPM. The theory suggests that a rational investor would sell IBM. If the return rate exceeded the required rate as</w:t>
      </w:r>
      <w:r>
        <w:rPr>
          <w:color w:val="231F20"/>
          <w:spacing w:val="26"/>
        </w:rPr>
        <w:t> </w:t>
      </w:r>
      <w:r>
        <w:rPr>
          <w:color w:val="231F20"/>
        </w:rPr>
        <w:t>determined</w:t>
      </w:r>
      <w:r>
        <w:rPr>
          <w:color w:val="231F20"/>
          <w:spacing w:val="26"/>
        </w:rPr>
        <w:t> </w:t>
      </w:r>
      <w:r>
        <w:rPr>
          <w:color w:val="231F20"/>
        </w:rPr>
        <w:t>by</w:t>
      </w:r>
      <w:r>
        <w:rPr>
          <w:color w:val="231F20"/>
          <w:spacing w:val="26"/>
        </w:rPr>
        <w:t> </w:t>
      </w:r>
      <w:r>
        <w:rPr>
          <w:color w:val="231F20"/>
        </w:rPr>
        <w:t>the</w:t>
      </w:r>
      <w:r>
        <w:rPr>
          <w:color w:val="231F20"/>
          <w:spacing w:val="26"/>
        </w:rPr>
        <w:t> </w:t>
      </w:r>
      <w:r>
        <w:rPr>
          <w:color w:val="231F20"/>
        </w:rPr>
        <w:t>CAPM,</w:t>
      </w:r>
      <w:r>
        <w:rPr>
          <w:color w:val="231F20"/>
          <w:spacing w:val="26"/>
        </w:rPr>
        <w:t> </w:t>
      </w:r>
      <w:r>
        <w:rPr>
          <w:color w:val="231F20"/>
        </w:rPr>
        <w:t>then</w:t>
      </w:r>
      <w:r>
        <w:rPr>
          <w:color w:val="231F20"/>
          <w:spacing w:val="26"/>
        </w:rPr>
        <w:t> </w:t>
      </w:r>
      <w:r>
        <w:rPr>
          <w:color w:val="231F20"/>
        </w:rPr>
        <w:t>the</w:t>
      </w:r>
      <w:r>
        <w:rPr>
          <w:color w:val="231F20"/>
          <w:spacing w:val="26"/>
        </w:rPr>
        <w:t> </w:t>
      </w:r>
      <w:r>
        <w:rPr>
          <w:color w:val="231F20"/>
        </w:rPr>
        <w:t>market</w:t>
      </w:r>
      <w:r>
        <w:rPr>
          <w:color w:val="231F20"/>
          <w:spacing w:val="26"/>
        </w:rPr>
        <w:t> </w:t>
      </w:r>
      <w:r>
        <w:rPr>
          <w:color w:val="231F20"/>
        </w:rPr>
        <w:t>is</w:t>
      </w:r>
      <w:r>
        <w:rPr>
          <w:color w:val="231F20"/>
          <w:spacing w:val="26"/>
        </w:rPr>
        <w:t> </w:t>
      </w:r>
      <w:r>
        <w:rPr>
          <w:color w:val="231F20"/>
        </w:rPr>
        <w:t>offering</w:t>
      </w:r>
      <w:r>
        <w:rPr>
          <w:color w:val="231F20"/>
          <w:spacing w:val="27"/>
        </w:rPr>
        <w:t> </w:t>
      </w:r>
      <w:r>
        <w:rPr>
          <w:color w:val="231F20"/>
        </w:rPr>
        <w:t>a</w:t>
      </w:r>
      <w:r>
        <w:rPr>
          <w:color w:val="231F20"/>
          <w:spacing w:val="26"/>
        </w:rPr>
        <w:t> </w:t>
      </w:r>
      <w:r>
        <w:rPr>
          <w:color w:val="231F20"/>
          <w:spacing w:val="-2"/>
        </w:rPr>
        <w:t>bargain,</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and investors should buy the stock. It sounds great, but the </w:t>
      </w:r>
      <w:r>
        <w:rPr>
          <w:color w:val="231F20"/>
        </w:rPr>
        <w:t>CAPM tells the required rate of return, not what an investment will actually return. For that you need tea leaves and a crystal ball. For those who invested in IBM in 1992, it was a bargain. It climbed from $30 to</w:t>
      </w:r>
      <w:r>
        <w:rPr>
          <w:color w:val="231F20"/>
          <w:spacing w:val="80"/>
        </w:rPr>
        <w:t> </w:t>
      </w:r>
      <w:r>
        <w:rPr>
          <w:color w:val="231F20"/>
        </w:rPr>
        <w:t>over $200 in 1999 and still held its own at $90 in 2005.</w:t>
      </w:r>
    </w:p>
    <w:p>
      <w:pPr>
        <w:pStyle w:val="BodyText"/>
        <w:spacing w:line="292" w:lineRule="auto"/>
        <w:ind w:left="919" w:right="663" w:firstLine="340"/>
        <w:jc w:val="both"/>
      </w:pPr>
      <w:r>
        <w:rPr>
          <w:color w:val="231F20"/>
        </w:rPr>
        <w:t>Moreover,</w:t>
      </w:r>
      <w:r>
        <w:rPr>
          <w:color w:val="231F20"/>
          <w:spacing w:val="40"/>
        </w:rPr>
        <w:t> </w:t>
      </w:r>
      <w:r>
        <w:rPr>
          <w:color w:val="231F20"/>
        </w:rPr>
        <w:t>the</w:t>
      </w:r>
      <w:r>
        <w:rPr>
          <w:color w:val="231F20"/>
          <w:spacing w:val="40"/>
        </w:rPr>
        <w:t> </w:t>
      </w:r>
      <w:r>
        <w:rPr>
          <w:color w:val="231F20"/>
        </w:rPr>
        <w:t>whole</w:t>
      </w:r>
      <w:r>
        <w:rPr>
          <w:color w:val="231F20"/>
          <w:spacing w:val="40"/>
        </w:rPr>
        <w:t> </w:t>
      </w:r>
      <w:r>
        <w:rPr>
          <w:color w:val="231F20"/>
        </w:rPr>
        <w:t>CAPM</w:t>
      </w:r>
      <w:r>
        <w:rPr>
          <w:color w:val="231F20"/>
          <w:spacing w:val="40"/>
        </w:rPr>
        <w:t> </w:t>
      </w:r>
      <w:r>
        <w:rPr>
          <w:color w:val="231F20"/>
        </w:rPr>
        <w:t>is</w:t>
      </w:r>
      <w:r>
        <w:rPr>
          <w:color w:val="231F20"/>
          <w:spacing w:val="40"/>
        </w:rPr>
        <w:t> </w:t>
      </w:r>
      <w:r>
        <w:rPr>
          <w:color w:val="231F20"/>
        </w:rPr>
        <w:t>theoretically</w:t>
      </w:r>
      <w:r>
        <w:rPr>
          <w:color w:val="231F20"/>
          <w:spacing w:val="40"/>
        </w:rPr>
        <w:t> </w:t>
      </w:r>
      <w:r>
        <w:rPr>
          <w:color w:val="231F20"/>
        </w:rPr>
        <w:t>under</w:t>
      </w:r>
      <w:r>
        <w:rPr>
          <w:color w:val="231F20"/>
          <w:spacing w:val="40"/>
        </w:rPr>
        <w:t> </w:t>
      </w:r>
      <w:r>
        <w:rPr>
          <w:color w:val="231F20"/>
        </w:rPr>
        <w:t>attack.</w:t>
      </w:r>
      <w:r>
        <w:rPr>
          <w:color w:val="231F20"/>
          <w:spacing w:val="40"/>
        </w:rPr>
        <w:t> </w:t>
      </w:r>
      <w:r>
        <w:rPr>
          <w:color w:val="231F20"/>
        </w:rPr>
        <w:t>In</w:t>
      </w:r>
      <w:r>
        <w:rPr>
          <w:color w:val="231F20"/>
          <w:spacing w:val="80"/>
        </w:rPr>
        <w:t> </w:t>
      </w:r>
      <w:r>
        <w:rPr>
          <w:color w:val="231F20"/>
        </w:rPr>
        <w:t>an article entitled “Bye-Bye Beta” in </w:t>
      </w:r>
      <w:r>
        <w:rPr>
          <w:i/>
          <w:color w:val="231F20"/>
        </w:rPr>
        <w:t>Forbes, </w:t>
      </w:r>
      <w:r>
        <w:rPr>
          <w:color w:val="231F20"/>
        </w:rPr>
        <w:t>March 1992, David Dreman, a noted investment adviser, reported on new and startling research and pronounced CAPM and beta dead. A study by Univer- sity of Chicago professors Fama and French saw no link between</w:t>
      </w:r>
      <w:r>
        <w:rPr>
          <w:color w:val="231F20"/>
          <w:spacing w:val="80"/>
        </w:rPr>
        <w:t> </w:t>
      </w:r>
      <w:r>
        <w:rPr>
          <w:color w:val="231F20"/>
        </w:rPr>
        <w:t>risk, as defined by the CAPM, and long-term performance. Because betas</w:t>
      </w:r>
      <w:r>
        <w:rPr>
          <w:color w:val="231F20"/>
          <w:spacing w:val="12"/>
        </w:rPr>
        <w:t> </w:t>
      </w:r>
      <w:r>
        <w:rPr>
          <w:color w:val="231F20"/>
        </w:rPr>
        <w:t>are</w:t>
      </w:r>
      <w:r>
        <w:rPr>
          <w:color w:val="231F20"/>
          <w:spacing w:val="13"/>
        </w:rPr>
        <w:t> </w:t>
      </w:r>
      <w:r>
        <w:rPr>
          <w:color w:val="231F20"/>
        </w:rPr>
        <w:t>based</w:t>
      </w:r>
      <w:r>
        <w:rPr>
          <w:color w:val="231F20"/>
          <w:spacing w:val="13"/>
        </w:rPr>
        <w:t> </w:t>
      </w:r>
      <w:r>
        <w:rPr>
          <w:color w:val="231F20"/>
        </w:rPr>
        <w:t>on</w:t>
      </w:r>
      <w:r>
        <w:rPr>
          <w:color w:val="231F20"/>
          <w:spacing w:val="12"/>
        </w:rPr>
        <w:t> </w:t>
      </w:r>
      <w:r>
        <w:rPr>
          <w:color w:val="231F20"/>
        </w:rPr>
        <w:t>historical</w:t>
      </w:r>
      <w:r>
        <w:rPr>
          <w:color w:val="231F20"/>
          <w:spacing w:val="13"/>
        </w:rPr>
        <w:t> </w:t>
      </w:r>
      <w:r>
        <w:rPr>
          <w:color w:val="231F20"/>
        </w:rPr>
        <w:t>volatility,</w:t>
      </w:r>
      <w:r>
        <w:rPr>
          <w:color w:val="231F20"/>
          <w:spacing w:val="13"/>
        </w:rPr>
        <w:t> </w:t>
      </w:r>
      <w:r>
        <w:rPr>
          <w:color w:val="231F20"/>
        </w:rPr>
        <w:t>betas</w:t>
      </w:r>
      <w:r>
        <w:rPr>
          <w:color w:val="231F20"/>
          <w:spacing w:val="12"/>
        </w:rPr>
        <w:t> </w:t>
      </w:r>
      <w:r>
        <w:rPr>
          <w:color w:val="231F20"/>
        </w:rPr>
        <w:t>may</w:t>
      </w:r>
      <w:r>
        <w:rPr>
          <w:color w:val="231F20"/>
          <w:spacing w:val="13"/>
        </w:rPr>
        <w:t> </w:t>
      </w:r>
      <w:r>
        <w:rPr>
          <w:color w:val="231F20"/>
        </w:rPr>
        <w:t>have</w:t>
      </w:r>
      <w:r>
        <w:rPr>
          <w:color w:val="231F20"/>
          <w:spacing w:val="12"/>
        </w:rPr>
        <w:t> </w:t>
      </w:r>
      <w:r>
        <w:rPr>
          <w:color w:val="231F20"/>
        </w:rPr>
        <w:t>no</w:t>
      </w:r>
      <w:r>
        <w:rPr>
          <w:color w:val="231F20"/>
          <w:spacing w:val="13"/>
        </w:rPr>
        <w:t> </w:t>
      </w:r>
      <w:r>
        <w:rPr>
          <w:color w:val="231F20"/>
          <w:spacing w:val="-2"/>
        </w:rPr>
        <w:t>relevance</w:t>
      </w:r>
    </w:p>
    <w:p>
      <w:pPr>
        <w:pStyle w:val="BodyText"/>
        <w:rPr>
          <w:sz w:val="24"/>
        </w:rPr>
      </w:pPr>
    </w:p>
    <w:p>
      <w:pPr>
        <w:pStyle w:val="BodyText"/>
        <w:rPr>
          <w:sz w:val="24"/>
        </w:rPr>
      </w:pPr>
    </w:p>
    <w:p>
      <w:pPr>
        <w:pStyle w:val="BodyText"/>
        <w:spacing w:before="1"/>
        <w:rPr>
          <w:sz w:val="28"/>
        </w:rPr>
      </w:pPr>
    </w:p>
    <w:p>
      <w:pPr>
        <w:spacing w:before="1"/>
        <w:ind w:left="473" w:right="219" w:firstLine="0"/>
        <w:jc w:val="center"/>
        <w:rPr>
          <w:rFonts w:ascii="Arial"/>
          <w:sz w:val="14"/>
        </w:rPr>
      </w:pPr>
      <w:r>
        <w:rPr>
          <w:rFonts w:ascii="Arial"/>
          <w:color w:val="231F20"/>
          <w:w w:val="105"/>
          <w:sz w:val="14"/>
        </w:rPr>
        <w:t>THE</w:t>
      </w:r>
      <w:r>
        <w:rPr>
          <w:rFonts w:ascii="Arial"/>
          <w:color w:val="231F20"/>
          <w:spacing w:val="22"/>
          <w:w w:val="105"/>
          <w:sz w:val="14"/>
        </w:rPr>
        <w:t> </w:t>
      </w:r>
      <w:r>
        <w:rPr>
          <w:rFonts w:ascii="Arial"/>
          <w:color w:val="231F20"/>
          <w:w w:val="105"/>
          <w:sz w:val="14"/>
        </w:rPr>
        <w:t>EFFICIENT</w:t>
      </w:r>
      <w:r>
        <w:rPr>
          <w:rFonts w:ascii="Arial"/>
          <w:color w:val="231F20"/>
          <w:spacing w:val="23"/>
          <w:w w:val="105"/>
          <w:sz w:val="14"/>
        </w:rPr>
        <w:t> </w:t>
      </w:r>
      <w:r>
        <w:rPr>
          <w:rFonts w:ascii="Arial"/>
          <w:color w:val="231F20"/>
          <w:spacing w:val="-2"/>
          <w:w w:val="105"/>
          <w:sz w:val="14"/>
        </w:rPr>
        <w:t>FRONTIER</w:t>
      </w:r>
    </w:p>
    <w:p>
      <w:pPr>
        <w:pStyle w:val="BodyText"/>
        <w:spacing w:before="8"/>
        <w:rPr>
          <w:rFonts w:ascii="Arial"/>
          <w:sz w:val="16"/>
        </w:rPr>
      </w:pPr>
      <w:r>
        <w:rPr/>
        <w:drawing>
          <wp:anchor distT="0" distB="0" distL="0" distR="0" allowOverlap="1" layoutInCell="1" locked="0" behindDoc="0" simplePos="0" relativeHeight="239">
            <wp:simplePos x="0" y="0"/>
            <wp:positionH relativeFrom="page">
              <wp:posOffset>1139719</wp:posOffset>
            </wp:positionH>
            <wp:positionV relativeFrom="paragraph">
              <wp:posOffset>137605</wp:posOffset>
            </wp:positionV>
            <wp:extent cx="3277746" cy="2401824"/>
            <wp:effectExtent l="0" t="0" r="0" b="0"/>
            <wp:wrapTopAndBottom/>
            <wp:docPr id="95" name="image57.png"/>
            <wp:cNvGraphicFramePr>
              <a:graphicFrameLocks noChangeAspect="1"/>
            </wp:cNvGraphicFramePr>
            <a:graphic>
              <a:graphicData uri="http://schemas.openxmlformats.org/drawingml/2006/picture">
                <pic:pic>
                  <pic:nvPicPr>
                    <pic:cNvPr id="96" name="image57.png"/>
                    <pic:cNvPicPr/>
                  </pic:nvPicPr>
                  <pic:blipFill>
                    <a:blip r:embed="rId85" cstate="print"/>
                    <a:stretch>
                      <a:fillRect/>
                    </a:stretch>
                  </pic:blipFill>
                  <pic:spPr>
                    <a:xfrm>
                      <a:off x="0" y="0"/>
                      <a:ext cx="3277746" cy="2401824"/>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9"/>
        <w:rPr>
          <w:rFonts w:ascii="Arial"/>
          <w:sz w:val="13"/>
        </w:rPr>
      </w:pPr>
    </w:p>
    <w:p>
      <w:pPr>
        <w:pStyle w:val="BodyText"/>
        <w:spacing w:line="292" w:lineRule="auto" w:before="1"/>
        <w:ind w:left="920" w:right="664"/>
        <w:jc w:val="both"/>
      </w:pPr>
      <w:r>
        <w:rPr>
          <w:color w:val="231F20"/>
        </w:rPr>
        <w:t>for future predictions. Betas may have fallen into disrepute, but</w:t>
      </w:r>
      <w:r>
        <w:rPr>
          <w:color w:val="231F20"/>
          <w:spacing w:val="80"/>
          <w:w w:val="150"/>
        </w:rPr>
        <w:t> </w:t>
      </w:r>
      <w:r>
        <w:rPr>
          <w:color w:val="231F20"/>
        </w:rPr>
        <w:t>since there is nothing better, business schools still teach this theory.</w:t>
      </w:r>
    </w:p>
    <w:p>
      <w:pPr>
        <w:spacing w:after="0" w:line="292" w:lineRule="auto"/>
        <w:jc w:val="both"/>
        <w:sectPr>
          <w:pgSz w:w="8640" w:h="12960"/>
          <w:pgMar w:header="734" w:footer="0" w:top="920" w:bottom="280" w:left="340" w:right="500"/>
        </w:sectPr>
      </w:pPr>
    </w:p>
    <w:p>
      <w:pPr>
        <w:pStyle w:val="BodyText"/>
        <w:spacing w:before="10"/>
        <w:rPr>
          <w:sz w:val="17"/>
        </w:rPr>
      </w:pPr>
    </w:p>
    <w:p>
      <w:pPr>
        <w:pStyle w:val="Heading6"/>
        <w:spacing w:before="99"/>
        <w:ind w:left="299"/>
        <w:rPr>
          <w:i/>
        </w:rPr>
      </w:pPr>
      <w:r>
        <w:rPr>
          <w:i/>
          <w:color w:val="231F20"/>
          <w:w w:val="110"/>
        </w:rPr>
        <w:t>THE</w:t>
      </w:r>
      <w:r>
        <w:rPr>
          <w:i/>
          <w:color w:val="231F20"/>
          <w:spacing w:val="65"/>
          <w:w w:val="150"/>
        </w:rPr>
        <w:t> </w:t>
      </w:r>
      <w:r>
        <w:rPr>
          <w:i/>
          <w:color w:val="231F20"/>
          <w:w w:val="110"/>
        </w:rPr>
        <w:t>EFFICIENT</w:t>
      </w:r>
      <w:r>
        <w:rPr>
          <w:i/>
          <w:color w:val="231F20"/>
          <w:spacing w:val="65"/>
          <w:w w:val="150"/>
        </w:rPr>
        <w:t> </w:t>
      </w:r>
      <w:r>
        <w:rPr>
          <w:i/>
          <w:color w:val="231F20"/>
          <w:w w:val="110"/>
        </w:rPr>
        <w:t>MARKET</w:t>
      </w:r>
      <w:r>
        <w:rPr>
          <w:i/>
          <w:color w:val="231F20"/>
          <w:spacing w:val="65"/>
          <w:w w:val="150"/>
        </w:rPr>
        <w:t> </w:t>
      </w:r>
      <w:r>
        <w:rPr>
          <w:i/>
          <w:color w:val="231F20"/>
          <w:spacing w:val="8"/>
          <w:w w:val="110"/>
        </w:rPr>
        <w:t>HYPOTHESIS</w:t>
      </w:r>
    </w:p>
    <w:p>
      <w:pPr>
        <w:pStyle w:val="BodyText"/>
        <w:spacing w:before="2"/>
        <w:rPr>
          <w:b/>
          <w:i/>
          <w:sz w:val="30"/>
        </w:rPr>
      </w:pPr>
    </w:p>
    <w:p>
      <w:pPr>
        <w:pStyle w:val="BodyText"/>
        <w:spacing w:line="292" w:lineRule="auto"/>
        <w:ind w:left="829" w:right="753"/>
        <w:jc w:val="both"/>
      </w:pPr>
      <w:r>
        <w:rPr>
          <w:color w:val="231F20"/>
          <w:w w:val="105"/>
        </w:rPr>
        <w:t>The</w:t>
      </w:r>
      <w:r>
        <w:rPr>
          <w:color w:val="231F20"/>
          <w:spacing w:val="-3"/>
          <w:w w:val="105"/>
        </w:rPr>
        <w:t> </w:t>
      </w:r>
      <w:r>
        <w:rPr>
          <w:color w:val="231F20"/>
          <w:w w:val="105"/>
        </w:rPr>
        <w:t>SML</w:t>
      </w:r>
      <w:r>
        <w:rPr>
          <w:color w:val="231F20"/>
          <w:spacing w:val="-3"/>
          <w:w w:val="105"/>
        </w:rPr>
        <w:t> </w:t>
      </w:r>
      <w:r>
        <w:rPr>
          <w:color w:val="231F20"/>
          <w:w w:val="105"/>
        </w:rPr>
        <w:t>graph</w:t>
      </w:r>
      <w:r>
        <w:rPr>
          <w:color w:val="231F20"/>
          <w:spacing w:val="-3"/>
          <w:w w:val="105"/>
        </w:rPr>
        <w:t> </w:t>
      </w:r>
      <w:r>
        <w:rPr>
          <w:color w:val="231F20"/>
          <w:w w:val="105"/>
        </w:rPr>
        <w:t>suggests</w:t>
      </w:r>
      <w:r>
        <w:rPr>
          <w:color w:val="231F20"/>
          <w:spacing w:val="-3"/>
          <w:w w:val="105"/>
        </w:rPr>
        <w:t> </w:t>
      </w:r>
      <w:r>
        <w:rPr>
          <w:color w:val="231F20"/>
          <w:w w:val="105"/>
        </w:rPr>
        <w:t>that</w:t>
      </w:r>
      <w:r>
        <w:rPr>
          <w:color w:val="231F20"/>
          <w:spacing w:val="-3"/>
          <w:w w:val="105"/>
        </w:rPr>
        <w:t> </w:t>
      </w:r>
      <w:r>
        <w:rPr>
          <w:color w:val="231F20"/>
          <w:w w:val="105"/>
        </w:rPr>
        <w:t>there</w:t>
      </w:r>
      <w:r>
        <w:rPr>
          <w:color w:val="231F20"/>
          <w:spacing w:val="-3"/>
          <w:w w:val="105"/>
        </w:rPr>
        <w:t> </w:t>
      </w:r>
      <w:r>
        <w:rPr>
          <w:color w:val="231F20"/>
          <w:w w:val="105"/>
        </w:rPr>
        <w:t>are</w:t>
      </w:r>
      <w:r>
        <w:rPr>
          <w:color w:val="231F20"/>
          <w:spacing w:val="-3"/>
          <w:w w:val="105"/>
        </w:rPr>
        <w:t> </w:t>
      </w:r>
      <w:r>
        <w:rPr>
          <w:color w:val="231F20"/>
          <w:w w:val="105"/>
        </w:rPr>
        <w:t>bargains</w:t>
      </w:r>
      <w:r>
        <w:rPr>
          <w:color w:val="231F20"/>
          <w:spacing w:val="-3"/>
          <w:w w:val="105"/>
        </w:rPr>
        <w:t> </w:t>
      </w:r>
      <w:r>
        <w:rPr>
          <w:color w:val="231F20"/>
          <w:w w:val="105"/>
        </w:rPr>
        <w:t>in</w:t>
      </w:r>
      <w:r>
        <w:rPr>
          <w:color w:val="231F20"/>
          <w:spacing w:val="-3"/>
          <w:w w:val="105"/>
        </w:rPr>
        <w:t> </w:t>
      </w:r>
      <w:r>
        <w:rPr>
          <w:color w:val="231F20"/>
          <w:w w:val="105"/>
        </w:rPr>
        <w:t>the</w:t>
      </w:r>
      <w:r>
        <w:rPr>
          <w:color w:val="231F20"/>
          <w:spacing w:val="-3"/>
          <w:w w:val="105"/>
        </w:rPr>
        <w:t> </w:t>
      </w:r>
      <w:r>
        <w:rPr>
          <w:color w:val="231F20"/>
          <w:w w:val="105"/>
        </w:rPr>
        <w:t>market.</w:t>
      </w:r>
      <w:r>
        <w:rPr>
          <w:color w:val="231F20"/>
          <w:spacing w:val="-3"/>
          <w:w w:val="105"/>
        </w:rPr>
        <w:t> </w:t>
      </w:r>
      <w:r>
        <w:rPr>
          <w:color w:val="231F20"/>
          <w:w w:val="105"/>
        </w:rPr>
        <w:t>But </w:t>
      </w:r>
      <w:r>
        <w:rPr>
          <w:color w:val="231F20"/>
          <w:spacing w:val="-2"/>
          <w:w w:val="105"/>
        </w:rPr>
        <w:t>that</w:t>
      </w:r>
      <w:r>
        <w:rPr>
          <w:color w:val="231F20"/>
          <w:spacing w:val="-6"/>
          <w:w w:val="105"/>
        </w:rPr>
        <w:t> </w:t>
      </w:r>
      <w:r>
        <w:rPr>
          <w:color w:val="231F20"/>
          <w:spacing w:val="-2"/>
          <w:w w:val="105"/>
        </w:rPr>
        <w:t>begs</w:t>
      </w:r>
      <w:r>
        <w:rPr>
          <w:color w:val="231F20"/>
          <w:spacing w:val="-6"/>
          <w:w w:val="105"/>
        </w:rPr>
        <w:t> </w:t>
      </w:r>
      <w:r>
        <w:rPr>
          <w:color w:val="231F20"/>
          <w:spacing w:val="-2"/>
          <w:w w:val="105"/>
        </w:rPr>
        <w:t>the</w:t>
      </w:r>
      <w:r>
        <w:rPr>
          <w:color w:val="231F20"/>
          <w:spacing w:val="-6"/>
          <w:w w:val="105"/>
        </w:rPr>
        <w:t> </w:t>
      </w:r>
      <w:r>
        <w:rPr>
          <w:color w:val="231F20"/>
          <w:spacing w:val="-2"/>
          <w:w w:val="105"/>
        </w:rPr>
        <w:t>question</w:t>
      </w:r>
      <w:r>
        <w:rPr>
          <w:color w:val="231F20"/>
          <w:spacing w:val="-6"/>
          <w:w w:val="105"/>
        </w:rPr>
        <w:t> </w:t>
      </w:r>
      <w:r>
        <w:rPr>
          <w:color w:val="231F20"/>
          <w:spacing w:val="-2"/>
          <w:w w:val="105"/>
        </w:rPr>
        <w:t>“If</w:t>
      </w:r>
      <w:r>
        <w:rPr>
          <w:color w:val="231F20"/>
          <w:spacing w:val="-6"/>
          <w:w w:val="105"/>
        </w:rPr>
        <w:t> </w:t>
      </w:r>
      <w:r>
        <w:rPr>
          <w:color w:val="231F20"/>
          <w:spacing w:val="-2"/>
          <w:w w:val="105"/>
        </w:rPr>
        <w:t>the</w:t>
      </w:r>
      <w:r>
        <w:rPr>
          <w:color w:val="231F20"/>
          <w:spacing w:val="-6"/>
          <w:w w:val="105"/>
        </w:rPr>
        <w:t> </w:t>
      </w:r>
      <w:r>
        <w:rPr>
          <w:color w:val="231F20"/>
          <w:spacing w:val="-2"/>
          <w:w w:val="105"/>
        </w:rPr>
        <w:t>market</w:t>
      </w:r>
      <w:r>
        <w:rPr>
          <w:color w:val="231F20"/>
          <w:spacing w:val="-6"/>
          <w:w w:val="105"/>
        </w:rPr>
        <w:t> </w:t>
      </w:r>
      <w:r>
        <w:rPr>
          <w:color w:val="231F20"/>
          <w:spacing w:val="-2"/>
          <w:w w:val="105"/>
        </w:rPr>
        <w:t>is</w:t>
      </w:r>
      <w:r>
        <w:rPr>
          <w:color w:val="231F20"/>
          <w:spacing w:val="-6"/>
          <w:w w:val="105"/>
        </w:rPr>
        <w:t> </w:t>
      </w:r>
      <w:r>
        <w:rPr>
          <w:color w:val="231F20"/>
          <w:spacing w:val="-2"/>
          <w:w w:val="105"/>
        </w:rPr>
        <w:t>efficient,</w:t>
      </w:r>
      <w:r>
        <w:rPr>
          <w:color w:val="231F20"/>
          <w:spacing w:val="-6"/>
          <w:w w:val="105"/>
        </w:rPr>
        <w:t> </w:t>
      </w:r>
      <w:r>
        <w:rPr>
          <w:color w:val="231F20"/>
          <w:spacing w:val="-2"/>
          <w:w w:val="105"/>
        </w:rPr>
        <w:t>then</w:t>
      </w:r>
      <w:r>
        <w:rPr>
          <w:color w:val="231F20"/>
          <w:spacing w:val="-6"/>
          <w:w w:val="105"/>
        </w:rPr>
        <w:t> </w:t>
      </w:r>
      <w:r>
        <w:rPr>
          <w:color w:val="231F20"/>
          <w:spacing w:val="-2"/>
          <w:w w:val="105"/>
        </w:rPr>
        <w:t>how</w:t>
      </w:r>
      <w:r>
        <w:rPr>
          <w:color w:val="231F20"/>
          <w:spacing w:val="-6"/>
          <w:w w:val="105"/>
        </w:rPr>
        <w:t> </w:t>
      </w:r>
      <w:r>
        <w:rPr>
          <w:color w:val="231F20"/>
          <w:spacing w:val="-2"/>
          <w:w w:val="105"/>
        </w:rPr>
        <w:t>can</w:t>
      </w:r>
      <w:r>
        <w:rPr>
          <w:color w:val="231F20"/>
          <w:spacing w:val="-6"/>
          <w:w w:val="105"/>
        </w:rPr>
        <w:t> </w:t>
      </w:r>
      <w:r>
        <w:rPr>
          <w:color w:val="231F20"/>
          <w:spacing w:val="-2"/>
          <w:w w:val="105"/>
        </w:rPr>
        <w:t>there </w:t>
      </w:r>
      <w:r>
        <w:rPr>
          <w:color w:val="231F20"/>
          <w:w w:val="105"/>
        </w:rPr>
        <w:t>be</w:t>
      </w:r>
      <w:r>
        <w:rPr>
          <w:color w:val="231F20"/>
          <w:spacing w:val="-7"/>
          <w:w w:val="105"/>
        </w:rPr>
        <w:t> </w:t>
      </w:r>
      <w:r>
        <w:rPr>
          <w:color w:val="231F20"/>
          <w:w w:val="105"/>
        </w:rPr>
        <w:t>bargains?”</w:t>
      </w:r>
      <w:r>
        <w:rPr>
          <w:color w:val="231F20"/>
          <w:spacing w:val="-7"/>
          <w:w w:val="105"/>
        </w:rPr>
        <w:t> </w:t>
      </w:r>
      <w:r>
        <w:rPr>
          <w:color w:val="231F20"/>
          <w:w w:val="105"/>
        </w:rPr>
        <w:t>The</w:t>
      </w:r>
      <w:r>
        <w:rPr>
          <w:color w:val="231F20"/>
          <w:spacing w:val="-7"/>
          <w:w w:val="105"/>
        </w:rPr>
        <w:t> </w:t>
      </w:r>
      <w:r>
        <w:rPr>
          <w:i/>
          <w:color w:val="231F20"/>
          <w:w w:val="105"/>
        </w:rPr>
        <w:t>efficient</w:t>
      </w:r>
      <w:r>
        <w:rPr>
          <w:i/>
          <w:color w:val="231F20"/>
          <w:spacing w:val="-7"/>
          <w:w w:val="105"/>
        </w:rPr>
        <w:t> </w:t>
      </w:r>
      <w:r>
        <w:rPr>
          <w:i/>
          <w:color w:val="231F20"/>
          <w:w w:val="105"/>
        </w:rPr>
        <w:t>market</w:t>
      </w:r>
      <w:r>
        <w:rPr>
          <w:i/>
          <w:color w:val="231F20"/>
          <w:spacing w:val="-7"/>
          <w:w w:val="105"/>
        </w:rPr>
        <w:t> </w:t>
      </w:r>
      <w:r>
        <w:rPr>
          <w:i/>
          <w:color w:val="231F20"/>
          <w:w w:val="105"/>
        </w:rPr>
        <w:t>hypothesis</w:t>
      </w:r>
      <w:r>
        <w:rPr>
          <w:i/>
          <w:color w:val="231F20"/>
          <w:spacing w:val="-8"/>
          <w:w w:val="105"/>
        </w:rPr>
        <w:t> </w:t>
      </w:r>
      <w:r>
        <w:rPr>
          <w:color w:val="231F20"/>
          <w:w w:val="105"/>
        </w:rPr>
        <w:t>(EMH)</w:t>
      </w:r>
      <w:r>
        <w:rPr>
          <w:color w:val="231F20"/>
          <w:spacing w:val="-7"/>
          <w:w w:val="105"/>
        </w:rPr>
        <w:t> </w:t>
      </w:r>
      <w:r>
        <w:rPr>
          <w:color w:val="231F20"/>
          <w:w w:val="105"/>
        </w:rPr>
        <w:t>alleges</w:t>
      </w:r>
      <w:r>
        <w:rPr>
          <w:color w:val="231F20"/>
          <w:spacing w:val="-7"/>
          <w:w w:val="105"/>
        </w:rPr>
        <w:t> </w:t>
      </w:r>
      <w:r>
        <w:rPr>
          <w:color w:val="231F20"/>
          <w:w w:val="105"/>
        </w:rPr>
        <w:t>that</w:t>
      </w:r>
      <w:r>
        <w:rPr>
          <w:color w:val="231F20"/>
          <w:spacing w:val="-7"/>
          <w:w w:val="105"/>
        </w:rPr>
        <w:t> </w:t>
      </w:r>
      <w:r>
        <w:rPr>
          <w:color w:val="231F20"/>
          <w:w w:val="105"/>
        </w:rPr>
        <w:t>to varying</w:t>
      </w:r>
      <w:r>
        <w:rPr>
          <w:color w:val="231F20"/>
          <w:spacing w:val="-11"/>
          <w:w w:val="105"/>
        </w:rPr>
        <w:t> </w:t>
      </w:r>
      <w:r>
        <w:rPr>
          <w:color w:val="231F20"/>
          <w:w w:val="105"/>
        </w:rPr>
        <w:t>degrees</w:t>
      </w:r>
      <w:r>
        <w:rPr>
          <w:color w:val="231F20"/>
          <w:spacing w:val="-11"/>
          <w:w w:val="105"/>
        </w:rPr>
        <w:t> </w:t>
      </w:r>
      <w:r>
        <w:rPr>
          <w:color w:val="231F20"/>
          <w:w w:val="105"/>
        </w:rPr>
        <w:t>the</w:t>
      </w:r>
      <w:r>
        <w:rPr>
          <w:color w:val="231F20"/>
          <w:spacing w:val="-11"/>
          <w:w w:val="105"/>
        </w:rPr>
        <w:t> </w:t>
      </w:r>
      <w:r>
        <w:rPr>
          <w:color w:val="231F20"/>
          <w:w w:val="105"/>
        </w:rPr>
        <w:t>market</w:t>
      </w:r>
      <w:r>
        <w:rPr>
          <w:color w:val="231F20"/>
          <w:spacing w:val="-11"/>
          <w:w w:val="105"/>
        </w:rPr>
        <w:t> </w:t>
      </w:r>
      <w:r>
        <w:rPr>
          <w:color w:val="231F20"/>
          <w:w w:val="105"/>
        </w:rPr>
        <w:t>reflects</w:t>
      </w:r>
      <w:r>
        <w:rPr>
          <w:color w:val="231F20"/>
          <w:spacing w:val="-11"/>
          <w:w w:val="105"/>
        </w:rPr>
        <w:t> </w:t>
      </w:r>
      <w:r>
        <w:rPr>
          <w:color w:val="231F20"/>
          <w:w w:val="105"/>
        </w:rPr>
        <w:t>all</w:t>
      </w:r>
      <w:r>
        <w:rPr>
          <w:color w:val="231F20"/>
          <w:spacing w:val="-11"/>
          <w:w w:val="105"/>
        </w:rPr>
        <w:t> </w:t>
      </w:r>
      <w:r>
        <w:rPr>
          <w:color w:val="231F20"/>
          <w:w w:val="105"/>
        </w:rPr>
        <w:t>current</w:t>
      </w:r>
      <w:r>
        <w:rPr>
          <w:color w:val="231F20"/>
          <w:spacing w:val="-11"/>
          <w:w w:val="105"/>
        </w:rPr>
        <w:t> </w:t>
      </w:r>
      <w:r>
        <w:rPr>
          <w:color w:val="231F20"/>
          <w:w w:val="105"/>
        </w:rPr>
        <w:t>information.</w:t>
      </w:r>
      <w:r>
        <w:rPr>
          <w:color w:val="231F20"/>
          <w:spacing w:val="-11"/>
          <w:w w:val="105"/>
        </w:rPr>
        <w:t> </w:t>
      </w:r>
      <w:r>
        <w:rPr>
          <w:color w:val="231F20"/>
          <w:w w:val="105"/>
        </w:rPr>
        <w:t>There- fore,</w:t>
      </w:r>
      <w:r>
        <w:rPr>
          <w:color w:val="231F20"/>
          <w:spacing w:val="-3"/>
          <w:w w:val="105"/>
        </w:rPr>
        <w:t> </w:t>
      </w:r>
      <w:r>
        <w:rPr>
          <w:color w:val="231F20"/>
          <w:w w:val="105"/>
        </w:rPr>
        <w:t>no</w:t>
      </w:r>
      <w:r>
        <w:rPr>
          <w:color w:val="231F20"/>
          <w:spacing w:val="-3"/>
          <w:w w:val="105"/>
        </w:rPr>
        <w:t> </w:t>
      </w:r>
      <w:r>
        <w:rPr>
          <w:color w:val="231F20"/>
          <w:w w:val="105"/>
        </w:rPr>
        <w:t>one</w:t>
      </w:r>
      <w:r>
        <w:rPr>
          <w:color w:val="231F20"/>
          <w:spacing w:val="-3"/>
          <w:w w:val="105"/>
        </w:rPr>
        <w:t> </w:t>
      </w:r>
      <w:r>
        <w:rPr>
          <w:color w:val="231F20"/>
          <w:w w:val="105"/>
        </w:rPr>
        <w:t>can</w:t>
      </w:r>
      <w:r>
        <w:rPr>
          <w:color w:val="231F20"/>
          <w:spacing w:val="-3"/>
          <w:w w:val="105"/>
        </w:rPr>
        <w:t> </w:t>
      </w:r>
      <w:r>
        <w:rPr>
          <w:color w:val="231F20"/>
          <w:w w:val="105"/>
        </w:rPr>
        <w:t>take</w:t>
      </w:r>
      <w:r>
        <w:rPr>
          <w:color w:val="231F20"/>
          <w:spacing w:val="-3"/>
          <w:w w:val="105"/>
        </w:rPr>
        <w:t> </w:t>
      </w:r>
      <w:r>
        <w:rPr>
          <w:color w:val="231F20"/>
          <w:w w:val="105"/>
        </w:rPr>
        <w:t>advantage</w:t>
      </w:r>
      <w:r>
        <w:rPr>
          <w:color w:val="231F20"/>
          <w:spacing w:val="-3"/>
          <w:w w:val="105"/>
        </w:rPr>
        <w:t> </w:t>
      </w:r>
      <w:r>
        <w:rPr>
          <w:color w:val="231F20"/>
          <w:w w:val="105"/>
        </w:rPr>
        <w:t>of</w:t>
      </w:r>
      <w:r>
        <w:rPr>
          <w:color w:val="231F20"/>
          <w:spacing w:val="-3"/>
          <w:w w:val="105"/>
        </w:rPr>
        <w:t> </w:t>
      </w:r>
      <w:r>
        <w:rPr>
          <w:color w:val="231F20"/>
          <w:w w:val="105"/>
        </w:rPr>
        <w:t>market</w:t>
      </w:r>
      <w:r>
        <w:rPr>
          <w:color w:val="231F20"/>
          <w:spacing w:val="-3"/>
          <w:w w:val="105"/>
        </w:rPr>
        <w:t> </w:t>
      </w:r>
      <w:r>
        <w:rPr>
          <w:color w:val="231F20"/>
          <w:w w:val="105"/>
        </w:rPr>
        <w:t>aberrations</w:t>
      </w:r>
      <w:r>
        <w:rPr>
          <w:color w:val="231F20"/>
          <w:spacing w:val="-3"/>
          <w:w w:val="105"/>
        </w:rPr>
        <w:t> </w:t>
      </w:r>
      <w:r>
        <w:rPr>
          <w:color w:val="231F20"/>
          <w:w w:val="105"/>
        </w:rPr>
        <w:t>to</w:t>
      </w:r>
      <w:r>
        <w:rPr>
          <w:color w:val="231F20"/>
          <w:spacing w:val="-3"/>
          <w:w w:val="105"/>
        </w:rPr>
        <w:t> </w:t>
      </w:r>
      <w:r>
        <w:rPr>
          <w:color w:val="231F20"/>
          <w:w w:val="105"/>
        </w:rPr>
        <w:t>“beat</w:t>
      </w:r>
      <w:r>
        <w:rPr>
          <w:color w:val="231F20"/>
          <w:spacing w:val="-3"/>
          <w:w w:val="105"/>
        </w:rPr>
        <w:t> </w:t>
      </w:r>
      <w:r>
        <w:rPr>
          <w:color w:val="231F20"/>
          <w:w w:val="105"/>
        </w:rPr>
        <w:t>the market.”</w:t>
      </w:r>
      <w:r>
        <w:rPr>
          <w:color w:val="231F20"/>
          <w:w w:val="105"/>
        </w:rPr>
        <w:t> Investors</w:t>
      </w:r>
      <w:r>
        <w:rPr>
          <w:color w:val="231F20"/>
          <w:w w:val="105"/>
        </w:rPr>
        <w:t> competing</w:t>
      </w:r>
      <w:r>
        <w:rPr>
          <w:color w:val="231F20"/>
          <w:w w:val="105"/>
        </w:rPr>
        <w:t> for</w:t>
      </w:r>
      <w:r>
        <w:rPr>
          <w:color w:val="231F20"/>
          <w:w w:val="105"/>
        </w:rPr>
        <w:t> profits</w:t>
      </w:r>
      <w:r>
        <w:rPr>
          <w:color w:val="231F20"/>
          <w:w w:val="105"/>
        </w:rPr>
        <w:t> are</w:t>
      </w:r>
      <w:r>
        <w:rPr>
          <w:color w:val="231F20"/>
          <w:w w:val="105"/>
        </w:rPr>
        <w:t> so</w:t>
      </w:r>
      <w:r>
        <w:rPr>
          <w:color w:val="231F20"/>
          <w:w w:val="105"/>
        </w:rPr>
        <w:t> numerous</w:t>
      </w:r>
      <w:r>
        <w:rPr>
          <w:color w:val="231F20"/>
          <w:w w:val="105"/>
        </w:rPr>
        <w:t> that quoted stock prices are exact indicators of value.</w:t>
      </w:r>
    </w:p>
    <w:p>
      <w:pPr>
        <w:pStyle w:val="BodyText"/>
        <w:spacing w:line="244" w:lineRule="exact"/>
        <w:ind w:left="1169"/>
        <w:jc w:val="both"/>
      </w:pPr>
      <w:r>
        <w:rPr>
          <w:color w:val="231F20"/>
        </w:rPr>
        <w:t>There</w:t>
      </w:r>
      <w:r>
        <w:rPr>
          <w:color w:val="231F20"/>
          <w:spacing w:val="14"/>
        </w:rPr>
        <w:t> </w:t>
      </w:r>
      <w:r>
        <w:rPr>
          <w:color w:val="231F20"/>
        </w:rPr>
        <w:t>are</w:t>
      </w:r>
      <w:r>
        <w:rPr>
          <w:color w:val="231F20"/>
          <w:spacing w:val="15"/>
        </w:rPr>
        <w:t> </w:t>
      </w:r>
      <w:r>
        <w:rPr>
          <w:color w:val="231F20"/>
        </w:rPr>
        <w:t>three</w:t>
      </w:r>
      <w:r>
        <w:rPr>
          <w:color w:val="231F20"/>
          <w:spacing w:val="15"/>
        </w:rPr>
        <w:t> </w:t>
      </w:r>
      <w:r>
        <w:rPr>
          <w:color w:val="231F20"/>
        </w:rPr>
        <w:t>degrees</w:t>
      </w:r>
      <w:r>
        <w:rPr>
          <w:color w:val="231F20"/>
          <w:spacing w:val="14"/>
        </w:rPr>
        <w:t> </w:t>
      </w:r>
      <w:r>
        <w:rPr>
          <w:color w:val="231F20"/>
        </w:rPr>
        <w:t>of</w:t>
      </w:r>
      <w:r>
        <w:rPr>
          <w:color w:val="231F20"/>
          <w:spacing w:val="15"/>
        </w:rPr>
        <w:t> </w:t>
      </w:r>
      <w:r>
        <w:rPr>
          <w:color w:val="231F20"/>
        </w:rPr>
        <w:t>belief</w:t>
      </w:r>
      <w:r>
        <w:rPr>
          <w:color w:val="231F20"/>
          <w:spacing w:val="15"/>
        </w:rPr>
        <w:t> </w:t>
      </w:r>
      <w:r>
        <w:rPr>
          <w:color w:val="231F20"/>
        </w:rPr>
        <w:t>in</w:t>
      </w:r>
      <w:r>
        <w:rPr>
          <w:color w:val="231F20"/>
          <w:spacing w:val="14"/>
        </w:rPr>
        <w:t> </w:t>
      </w:r>
      <w:r>
        <w:rPr>
          <w:color w:val="231F20"/>
        </w:rPr>
        <w:t>the</w:t>
      </w:r>
      <w:r>
        <w:rPr>
          <w:color w:val="231F20"/>
          <w:spacing w:val="15"/>
        </w:rPr>
        <w:t> </w:t>
      </w:r>
      <w:r>
        <w:rPr>
          <w:color w:val="231F20"/>
        </w:rPr>
        <w:t>efficiency</w:t>
      </w:r>
      <w:r>
        <w:rPr>
          <w:color w:val="231F20"/>
          <w:spacing w:val="15"/>
        </w:rPr>
        <w:t> </w:t>
      </w:r>
      <w:r>
        <w:rPr>
          <w:color w:val="231F20"/>
        </w:rPr>
        <w:t>of</w:t>
      </w:r>
      <w:r>
        <w:rPr>
          <w:color w:val="231F20"/>
          <w:spacing w:val="14"/>
        </w:rPr>
        <w:t> </w:t>
      </w:r>
      <w:r>
        <w:rPr>
          <w:color w:val="231F20"/>
        </w:rPr>
        <w:t>the</w:t>
      </w:r>
      <w:r>
        <w:rPr>
          <w:color w:val="231F20"/>
          <w:spacing w:val="15"/>
        </w:rPr>
        <w:t> </w:t>
      </w:r>
      <w:r>
        <w:rPr>
          <w:color w:val="231F20"/>
          <w:spacing w:val="-2"/>
        </w:rPr>
        <w:t>market:</w:t>
      </w:r>
    </w:p>
    <w:p>
      <w:pPr>
        <w:spacing w:before="54"/>
        <w:ind w:left="829" w:right="0" w:firstLine="0"/>
        <w:jc w:val="both"/>
        <w:rPr>
          <w:i/>
          <w:sz w:val="21"/>
        </w:rPr>
      </w:pPr>
      <w:r>
        <w:rPr>
          <w:i/>
          <w:color w:val="231F20"/>
          <w:w w:val="105"/>
          <w:sz w:val="21"/>
        </w:rPr>
        <w:t>weak,</w:t>
      </w:r>
      <w:r>
        <w:rPr>
          <w:i/>
          <w:color w:val="231F20"/>
          <w:spacing w:val="-1"/>
          <w:w w:val="105"/>
          <w:sz w:val="21"/>
        </w:rPr>
        <w:t> </w:t>
      </w:r>
      <w:r>
        <w:rPr>
          <w:i/>
          <w:color w:val="231F20"/>
          <w:w w:val="105"/>
          <w:sz w:val="21"/>
        </w:rPr>
        <w:t>semistrong, </w:t>
      </w:r>
      <w:r>
        <w:rPr>
          <w:color w:val="231F20"/>
          <w:w w:val="105"/>
          <w:sz w:val="21"/>
        </w:rPr>
        <w:t>and</w:t>
      </w:r>
      <w:r>
        <w:rPr>
          <w:color w:val="231F20"/>
          <w:spacing w:val="1"/>
          <w:w w:val="105"/>
          <w:sz w:val="21"/>
        </w:rPr>
        <w:t> </w:t>
      </w:r>
      <w:r>
        <w:rPr>
          <w:i/>
          <w:color w:val="231F20"/>
          <w:spacing w:val="-2"/>
          <w:w w:val="105"/>
          <w:sz w:val="21"/>
        </w:rPr>
        <w:t>strong.</w:t>
      </w:r>
    </w:p>
    <w:p>
      <w:pPr>
        <w:pStyle w:val="BodyText"/>
        <w:spacing w:before="2"/>
        <w:rPr>
          <w:i/>
          <w:sz w:val="30"/>
        </w:rPr>
      </w:pPr>
    </w:p>
    <w:p>
      <w:pPr>
        <w:pStyle w:val="BodyText"/>
        <w:spacing w:line="292" w:lineRule="auto"/>
        <w:ind w:left="829" w:right="753"/>
        <w:jc w:val="both"/>
      </w:pPr>
      <w:r>
        <w:rPr>
          <w:i/>
          <w:color w:val="231F20"/>
        </w:rPr>
        <w:t>Weak Form of Efficiency. </w:t>
      </w:r>
      <w:r>
        <w:rPr>
          <w:color w:val="231F20"/>
        </w:rPr>
        <w:t>All information that caused past price movements is reflected in the current market price. Believing in the weak form means that no benefit is gained by charting stock price movements using </w:t>
      </w:r>
      <w:r>
        <w:rPr>
          <w:i/>
          <w:color w:val="231F20"/>
        </w:rPr>
        <w:t>technical analysis </w:t>
      </w:r>
      <w:r>
        <w:rPr>
          <w:color w:val="231F20"/>
        </w:rPr>
        <w:t>as a predictor of the future. However, by doing in-depth </w:t>
      </w:r>
      <w:r>
        <w:rPr>
          <w:i/>
          <w:color w:val="231F20"/>
        </w:rPr>
        <w:t>fundamental analysis </w:t>
      </w:r>
      <w:r>
        <w:rPr>
          <w:color w:val="231F20"/>
        </w:rPr>
        <w:t>about companies’ operations and profitability, analysts can gain insights that will </w:t>
      </w:r>
      <w:r>
        <w:rPr>
          <w:color w:val="231F20"/>
        </w:rPr>
        <w:t>pro- vide opportunities for big profits.</w:t>
      </w:r>
    </w:p>
    <w:p>
      <w:pPr>
        <w:pStyle w:val="BodyText"/>
        <w:spacing w:before="4"/>
        <w:rPr>
          <w:sz w:val="25"/>
        </w:rPr>
      </w:pPr>
    </w:p>
    <w:p>
      <w:pPr>
        <w:pStyle w:val="BodyText"/>
        <w:spacing w:line="292" w:lineRule="auto"/>
        <w:ind w:left="829" w:right="759"/>
        <w:jc w:val="both"/>
      </w:pPr>
      <w:r>
        <w:rPr>
          <w:i/>
          <w:color w:val="231F20"/>
        </w:rPr>
        <w:t>Semistrong Form of Efficiency. </w:t>
      </w:r>
      <w:r>
        <w:rPr>
          <w:color w:val="231F20"/>
        </w:rPr>
        <w:t>This camp believes that market prices reflect all </w:t>
      </w:r>
      <w:r>
        <w:rPr>
          <w:i/>
          <w:color w:val="231F20"/>
        </w:rPr>
        <w:t>publicly </w:t>
      </w:r>
      <w:r>
        <w:rPr>
          <w:color w:val="231F20"/>
        </w:rPr>
        <w:t>known information. Therefore, without insider information, no “abnormal” returns can be gained by poring over financial statements. The </w:t>
      </w:r>
      <w:r>
        <w:rPr>
          <w:i/>
          <w:color w:val="231F20"/>
        </w:rPr>
        <w:t>Securities and Exchange Commission </w:t>
      </w:r>
      <w:r>
        <w:rPr>
          <w:color w:val="231F20"/>
        </w:rPr>
        <w:t>(SEC) acts as a policeman to try to ensure that investors do not trade based on insider information. Believing in the semistrong form of efficiency means that fundamental analysis, conducted by reading financial statements and all public information, will not result in big gains.</w:t>
      </w:r>
    </w:p>
    <w:p>
      <w:pPr>
        <w:pStyle w:val="BodyText"/>
        <w:spacing w:before="4"/>
        <w:rPr>
          <w:sz w:val="25"/>
        </w:rPr>
      </w:pPr>
    </w:p>
    <w:p>
      <w:pPr>
        <w:pStyle w:val="BodyText"/>
        <w:spacing w:line="292" w:lineRule="auto"/>
        <w:ind w:left="829" w:right="754"/>
        <w:jc w:val="both"/>
      </w:pPr>
      <w:r>
        <w:rPr>
          <w:i/>
          <w:color w:val="231F20"/>
        </w:rPr>
        <w:t>Strong Form of Efficiency. </w:t>
      </w:r>
      <w:r>
        <w:rPr>
          <w:color w:val="231F20"/>
        </w:rPr>
        <w:t>The true believers in market efficiency</w:t>
      </w:r>
      <w:r>
        <w:rPr>
          <w:color w:val="231F20"/>
          <w:spacing w:val="40"/>
        </w:rPr>
        <w:t> </w:t>
      </w:r>
      <w:r>
        <w:rPr>
          <w:color w:val="231F20"/>
        </w:rPr>
        <w:t>have faith that stock prices reflect all public and </w:t>
      </w:r>
      <w:r>
        <w:rPr>
          <w:i/>
          <w:color w:val="231F20"/>
        </w:rPr>
        <w:t>private </w:t>
      </w:r>
      <w:r>
        <w:rPr>
          <w:color w:val="231F20"/>
        </w:rPr>
        <w:t>information. That intense faith has been proven unfounded in many instances.</w:t>
      </w:r>
      <w:r>
        <w:rPr>
          <w:color w:val="231F20"/>
          <w:spacing w:val="80"/>
        </w:rPr>
        <w:t> </w:t>
      </w:r>
      <w:r>
        <w:rPr>
          <w:color w:val="231F20"/>
        </w:rPr>
        <w:t>The criminal trials of Ivan Boesky, Michael Milken, and Martha Stewart were well-publicized cases in which insider information was used to make profits that the public had no chance of making.</w:t>
      </w:r>
    </w:p>
    <w:p>
      <w:pPr>
        <w:pStyle w:val="BodyText"/>
        <w:spacing w:line="244" w:lineRule="exact"/>
        <w:ind w:left="1169"/>
        <w:jc w:val="both"/>
      </w:pPr>
      <w:r>
        <w:rPr>
          <w:color w:val="231F20"/>
        </w:rPr>
        <w:t>Research</w:t>
      </w:r>
      <w:r>
        <w:rPr>
          <w:color w:val="231F20"/>
          <w:spacing w:val="30"/>
        </w:rPr>
        <w:t> </w:t>
      </w:r>
      <w:r>
        <w:rPr>
          <w:color w:val="231F20"/>
        </w:rPr>
        <w:t>indicates</w:t>
      </w:r>
      <w:r>
        <w:rPr>
          <w:color w:val="231F20"/>
          <w:spacing w:val="30"/>
        </w:rPr>
        <w:t> </w:t>
      </w:r>
      <w:r>
        <w:rPr>
          <w:color w:val="231F20"/>
        </w:rPr>
        <w:t>that</w:t>
      </w:r>
      <w:r>
        <w:rPr>
          <w:color w:val="231F20"/>
          <w:spacing w:val="31"/>
        </w:rPr>
        <w:t> </w:t>
      </w:r>
      <w:r>
        <w:rPr>
          <w:color w:val="231F20"/>
        </w:rPr>
        <w:t>the</w:t>
      </w:r>
      <w:r>
        <w:rPr>
          <w:color w:val="231F20"/>
          <w:spacing w:val="29"/>
        </w:rPr>
        <w:t> </w:t>
      </w:r>
      <w:r>
        <w:rPr>
          <w:i/>
          <w:color w:val="231F20"/>
        </w:rPr>
        <w:t>weak</w:t>
      </w:r>
      <w:r>
        <w:rPr>
          <w:i/>
          <w:color w:val="231F20"/>
          <w:spacing w:val="30"/>
        </w:rPr>
        <w:t> </w:t>
      </w:r>
      <w:r>
        <w:rPr>
          <w:i/>
          <w:color w:val="231F20"/>
        </w:rPr>
        <w:t>form</w:t>
      </w:r>
      <w:r>
        <w:rPr>
          <w:i/>
          <w:color w:val="231F20"/>
          <w:spacing w:val="29"/>
        </w:rPr>
        <w:t> </w:t>
      </w:r>
      <w:r>
        <w:rPr>
          <w:color w:val="231F20"/>
        </w:rPr>
        <w:t>of</w:t>
      </w:r>
      <w:r>
        <w:rPr>
          <w:color w:val="231F20"/>
          <w:spacing w:val="31"/>
        </w:rPr>
        <w:t> </w:t>
      </w:r>
      <w:r>
        <w:rPr>
          <w:color w:val="231F20"/>
        </w:rPr>
        <w:t>market</w:t>
      </w:r>
      <w:r>
        <w:rPr>
          <w:color w:val="231F20"/>
          <w:spacing w:val="30"/>
        </w:rPr>
        <w:t> </w:t>
      </w:r>
      <w:r>
        <w:rPr>
          <w:color w:val="231F20"/>
        </w:rPr>
        <w:t>efficiency</w:t>
      </w:r>
      <w:r>
        <w:rPr>
          <w:color w:val="231F20"/>
          <w:spacing w:val="30"/>
        </w:rPr>
        <w:t> </w:t>
      </w:r>
      <w:r>
        <w:rPr>
          <w:color w:val="231F20"/>
          <w:spacing w:val="-5"/>
        </w:rPr>
        <w:t>has</w:t>
      </w:r>
    </w:p>
    <w:p>
      <w:pPr>
        <w:spacing w:after="0" w:line="244" w:lineRule="exact"/>
        <w:jc w:val="both"/>
        <w:sectPr>
          <w:pgSz w:w="8640" w:h="12960"/>
          <w:pgMar w:header="732" w:footer="0" w:top="920" w:bottom="280" w:left="340" w:right="500"/>
        </w:sectPr>
      </w:pPr>
    </w:p>
    <w:p>
      <w:pPr>
        <w:pStyle w:val="BodyText"/>
        <w:spacing w:before="8"/>
        <w:rPr>
          <w:sz w:val="19"/>
        </w:rPr>
      </w:pPr>
    </w:p>
    <w:p>
      <w:pPr>
        <w:spacing w:before="96"/>
        <w:ind w:left="473" w:right="219" w:firstLine="0"/>
        <w:jc w:val="center"/>
        <w:rPr>
          <w:rFonts w:ascii="Arial"/>
          <w:sz w:val="14"/>
        </w:rPr>
      </w:pPr>
      <w:r>
        <w:rPr>
          <w:rFonts w:ascii="Arial"/>
          <w:color w:val="231F20"/>
          <w:w w:val="105"/>
          <w:sz w:val="14"/>
        </w:rPr>
        <w:t>THE</w:t>
      </w:r>
      <w:r>
        <w:rPr>
          <w:rFonts w:ascii="Arial"/>
          <w:color w:val="231F20"/>
          <w:spacing w:val="20"/>
          <w:w w:val="105"/>
          <w:sz w:val="14"/>
        </w:rPr>
        <w:t> </w:t>
      </w:r>
      <w:r>
        <w:rPr>
          <w:rFonts w:ascii="Arial"/>
          <w:color w:val="231F20"/>
          <w:w w:val="105"/>
          <w:sz w:val="14"/>
        </w:rPr>
        <w:t>SECURITY</w:t>
      </w:r>
      <w:r>
        <w:rPr>
          <w:rFonts w:ascii="Arial"/>
          <w:color w:val="231F20"/>
          <w:spacing w:val="21"/>
          <w:w w:val="105"/>
          <w:sz w:val="14"/>
        </w:rPr>
        <w:t> </w:t>
      </w:r>
      <w:r>
        <w:rPr>
          <w:rFonts w:ascii="Arial"/>
          <w:color w:val="231F20"/>
          <w:w w:val="105"/>
          <w:sz w:val="14"/>
        </w:rPr>
        <w:t>MARKET</w:t>
      </w:r>
      <w:r>
        <w:rPr>
          <w:rFonts w:ascii="Arial"/>
          <w:color w:val="231F20"/>
          <w:spacing w:val="21"/>
          <w:w w:val="105"/>
          <w:sz w:val="14"/>
        </w:rPr>
        <w:t> </w:t>
      </w:r>
      <w:r>
        <w:rPr>
          <w:rFonts w:ascii="Arial"/>
          <w:color w:val="231F20"/>
          <w:spacing w:val="-4"/>
          <w:w w:val="105"/>
          <w:sz w:val="14"/>
        </w:rPr>
        <w:t>LINE</w:t>
      </w:r>
    </w:p>
    <w:p>
      <w:pPr>
        <w:pStyle w:val="BodyText"/>
        <w:spacing w:before="5"/>
        <w:rPr>
          <w:rFonts w:ascii="Arial"/>
          <w:sz w:val="17"/>
        </w:rPr>
      </w:pPr>
      <w:r>
        <w:rPr/>
        <w:drawing>
          <wp:anchor distT="0" distB="0" distL="0" distR="0" allowOverlap="1" layoutInCell="1" locked="0" behindDoc="0" simplePos="0" relativeHeight="240">
            <wp:simplePos x="0" y="0"/>
            <wp:positionH relativeFrom="page">
              <wp:posOffset>1050222</wp:posOffset>
            </wp:positionH>
            <wp:positionV relativeFrom="paragraph">
              <wp:posOffset>143025</wp:posOffset>
            </wp:positionV>
            <wp:extent cx="3457830" cy="3054096"/>
            <wp:effectExtent l="0" t="0" r="0" b="0"/>
            <wp:wrapTopAndBottom/>
            <wp:docPr id="97" name="image58.png"/>
            <wp:cNvGraphicFramePr>
              <a:graphicFrameLocks noChangeAspect="1"/>
            </wp:cNvGraphicFramePr>
            <a:graphic>
              <a:graphicData uri="http://schemas.openxmlformats.org/drawingml/2006/picture">
                <pic:pic>
                  <pic:nvPicPr>
                    <pic:cNvPr id="98" name="image58.png"/>
                    <pic:cNvPicPr/>
                  </pic:nvPicPr>
                  <pic:blipFill>
                    <a:blip r:embed="rId86" cstate="print"/>
                    <a:stretch>
                      <a:fillRect/>
                    </a:stretch>
                  </pic:blipFill>
                  <pic:spPr>
                    <a:xfrm>
                      <a:off x="0" y="0"/>
                      <a:ext cx="3457830" cy="3054096"/>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spacing w:before="3"/>
        <w:rPr>
          <w:rFonts w:ascii="Arial"/>
          <w:sz w:val="14"/>
        </w:rPr>
      </w:pPr>
    </w:p>
    <w:p>
      <w:pPr>
        <w:pStyle w:val="BodyText"/>
        <w:spacing w:line="292" w:lineRule="auto"/>
        <w:ind w:left="919" w:right="665"/>
        <w:jc w:val="both"/>
      </w:pPr>
      <w:r>
        <w:rPr>
          <w:color w:val="231F20"/>
        </w:rPr>
        <w:t>held true over time. Naive beliefs in complete efficiency are not war- ranted. Stocks are generally fairly valued, yet some people deny </w:t>
      </w:r>
      <w:r>
        <w:rPr>
          <w:color w:val="231F20"/>
        </w:rPr>
        <w:t>even the weak form of the efficient market hypothesis. As mentioned, </w:t>
      </w:r>
      <w:r>
        <w:rPr>
          <w:i/>
          <w:color w:val="231F20"/>
        </w:rPr>
        <w:t>chartists </w:t>
      </w:r>
      <w:r>
        <w:rPr>
          <w:color w:val="231F20"/>
        </w:rPr>
        <w:t>or </w:t>
      </w:r>
      <w:r>
        <w:rPr>
          <w:i/>
          <w:color w:val="231F20"/>
        </w:rPr>
        <w:t>technical </w:t>
      </w:r>
      <w:r>
        <w:rPr>
          <w:color w:val="231F20"/>
        </w:rPr>
        <w:t>analysts graph price movements seeking pat- terns that will indicate price movement in the future.</w:t>
      </w:r>
    </w:p>
    <w:p>
      <w:pPr>
        <w:pStyle w:val="BodyText"/>
        <w:rPr>
          <w:sz w:val="24"/>
        </w:rPr>
      </w:pPr>
    </w:p>
    <w:p>
      <w:pPr>
        <w:pStyle w:val="BodyText"/>
        <w:rPr>
          <w:sz w:val="27"/>
        </w:rPr>
      </w:pPr>
    </w:p>
    <w:p>
      <w:pPr>
        <w:pStyle w:val="Heading6"/>
        <w:spacing w:before="1"/>
        <w:rPr>
          <w:i/>
        </w:rPr>
      </w:pPr>
      <w:r>
        <w:rPr>
          <w:i/>
          <w:color w:val="231F20"/>
          <w:w w:val="110"/>
        </w:rPr>
        <w:t>INVESTMENT</w:t>
      </w:r>
      <w:r>
        <w:rPr>
          <w:i/>
          <w:color w:val="231F20"/>
          <w:spacing w:val="74"/>
          <w:w w:val="110"/>
        </w:rPr>
        <w:t> </w:t>
      </w:r>
      <w:r>
        <w:rPr>
          <w:i/>
          <w:color w:val="231F20"/>
          <w:w w:val="110"/>
        </w:rPr>
        <w:t>TYPES</w:t>
      </w:r>
      <w:r>
        <w:rPr>
          <w:i/>
          <w:color w:val="231F20"/>
          <w:spacing w:val="74"/>
          <w:w w:val="110"/>
        </w:rPr>
        <w:t> </w:t>
      </w:r>
      <w:r>
        <w:rPr>
          <w:i/>
          <w:color w:val="231F20"/>
          <w:w w:val="110"/>
        </w:rPr>
        <w:t>AND</w:t>
      </w:r>
      <w:r>
        <w:rPr>
          <w:i/>
          <w:color w:val="231F20"/>
          <w:spacing w:val="74"/>
          <w:w w:val="110"/>
        </w:rPr>
        <w:t> </w:t>
      </w:r>
      <w:r>
        <w:rPr>
          <w:i/>
          <w:color w:val="231F20"/>
          <w:w w:val="110"/>
        </w:rPr>
        <w:t>VALUATION</w:t>
      </w:r>
      <w:r>
        <w:rPr>
          <w:i/>
          <w:color w:val="231F20"/>
          <w:spacing w:val="74"/>
          <w:w w:val="110"/>
        </w:rPr>
        <w:t> </w:t>
      </w:r>
      <w:r>
        <w:rPr>
          <w:i/>
          <w:color w:val="231F20"/>
          <w:spacing w:val="8"/>
          <w:w w:val="110"/>
        </w:rPr>
        <w:t>METHODS</w:t>
      </w:r>
    </w:p>
    <w:p>
      <w:pPr>
        <w:pStyle w:val="BodyText"/>
        <w:spacing w:before="1"/>
        <w:rPr>
          <w:b/>
          <w:i/>
          <w:sz w:val="30"/>
        </w:rPr>
      </w:pPr>
    </w:p>
    <w:p>
      <w:pPr>
        <w:pStyle w:val="BodyText"/>
        <w:spacing w:line="292" w:lineRule="auto" w:before="1"/>
        <w:ind w:left="920" w:right="665"/>
        <w:jc w:val="both"/>
      </w:pPr>
      <w:r>
        <w:rPr>
          <w:color w:val="231F20"/>
        </w:rPr>
        <w:t>In the QA chapter the concepts of discounted cash flows and net present value were covered in detail. A dollar held today is worth more than a dollar received in the future. That simple concept, </w:t>
      </w:r>
      <w:r>
        <w:rPr>
          <w:color w:val="231F20"/>
        </w:rPr>
        <w:t>ap- plied to the cash thrown off by an investment, is in most cases the method used to value investments.</w:t>
      </w:r>
    </w:p>
    <w:p>
      <w:pPr>
        <w:spacing w:after="0" w:line="292" w:lineRule="auto"/>
        <w:jc w:val="both"/>
        <w:sectPr>
          <w:pgSz w:w="8640" w:h="12960"/>
          <w:pgMar w:header="734" w:footer="0" w:top="920" w:bottom="280" w:left="340" w:right="500"/>
        </w:sectPr>
      </w:pPr>
    </w:p>
    <w:p>
      <w:pPr>
        <w:pStyle w:val="BodyText"/>
        <w:spacing w:before="10"/>
        <w:rPr>
          <w:sz w:val="17"/>
        </w:rPr>
      </w:pPr>
    </w:p>
    <w:p>
      <w:pPr>
        <w:pStyle w:val="Heading6"/>
        <w:spacing w:before="99"/>
        <w:ind w:left="299"/>
        <w:rPr>
          <w:i/>
        </w:rPr>
      </w:pPr>
      <w:r>
        <w:rPr>
          <w:i/>
          <w:color w:val="231F20"/>
          <w:w w:val="110"/>
        </w:rPr>
        <w:t>THE</w:t>
      </w:r>
      <w:r>
        <w:rPr>
          <w:i/>
          <w:color w:val="231F20"/>
          <w:spacing w:val="52"/>
          <w:w w:val="110"/>
        </w:rPr>
        <w:t> </w:t>
      </w:r>
      <w:r>
        <w:rPr>
          <w:i/>
          <w:color w:val="231F20"/>
          <w:w w:val="110"/>
        </w:rPr>
        <w:t>BOND</w:t>
      </w:r>
      <w:r>
        <w:rPr>
          <w:i/>
          <w:color w:val="231F20"/>
          <w:spacing w:val="52"/>
          <w:w w:val="110"/>
        </w:rPr>
        <w:t> </w:t>
      </w:r>
      <w:r>
        <w:rPr>
          <w:i/>
          <w:color w:val="231F20"/>
          <w:spacing w:val="8"/>
          <w:w w:val="110"/>
        </w:rPr>
        <w:t>MARKET</w:t>
      </w:r>
    </w:p>
    <w:p>
      <w:pPr>
        <w:pStyle w:val="BodyText"/>
        <w:spacing w:before="2"/>
        <w:rPr>
          <w:b/>
          <w:i/>
          <w:sz w:val="30"/>
        </w:rPr>
      </w:pPr>
    </w:p>
    <w:p>
      <w:pPr>
        <w:pStyle w:val="BodyText"/>
        <w:spacing w:line="292" w:lineRule="auto"/>
        <w:ind w:left="829" w:right="756"/>
        <w:jc w:val="both"/>
      </w:pPr>
      <w:r>
        <w:rPr>
          <w:color w:val="231F20"/>
        </w:rPr>
        <w:t>A bond’s value comes from the present value of its future cash </w:t>
      </w:r>
      <w:r>
        <w:rPr>
          <w:color w:val="231F20"/>
        </w:rPr>
        <w:t>flows. Bonds are issued by companies or governmental agencies to raise money at fixed rates of interest. Most pay interest, a </w:t>
      </w:r>
      <w:r>
        <w:rPr>
          <w:i/>
          <w:color w:val="231F20"/>
        </w:rPr>
        <w:t>coupon, </w:t>
      </w:r>
      <w:r>
        <w:rPr>
          <w:color w:val="231F20"/>
        </w:rPr>
        <w:t>semi- annually</w:t>
      </w:r>
      <w:r>
        <w:rPr>
          <w:color w:val="231F20"/>
          <w:spacing w:val="39"/>
        </w:rPr>
        <w:t> </w:t>
      </w:r>
      <w:r>
        <w:rPr>
          <w:color w:val="231F20"/>
        </w:rPr>
        <w:t>on</w:t>
      </w:r>
      <w:r>
        <w:rPr>
          <w:color w:val="231F20"/>
          <w:spacing w:val="39"/>
        </w:rPr>
        <w:t> </w:t>
      </w:r>
      <w:r>
        <w:rPr>
          <w:color w:val="231F20"/>
        </w:rPr>
        <w:t>the</w:t>
      </w:r>
      <w:r>
        <w:rPr>
          <w:color w:val="231F20"/>
          <w:spacing w:val="39"/>
        </w:rPr>
        <w:t> </w:t>
      </w:r>
      <w:r>
        <w:rPr>
          <w:color w:val="231F20"/>
        </w:rPr>
        <w:t>principal</w:t>
      </w:r>
      <w:r>
        <w:rPr>
          <w:color w:val="231F20"/>
          <w:spacing w:val="39"/>
        </w:rPr>
        <w:t> </w:t>
      </w:r>
      <w:r>
        <w:rPr>
          <w:color w:val="231F20"/>
        </w:rPr>
        <w:t>amount,</w:t>
      </w:r>
      <w:r>
        <w:rPr>
          <w:color w:val="231F20"/>
          <w:spacing w:val="39"/>
        </w:rPr>
        <w:t> </w:t>
      </w:r>
      <w:r>
        <w:rPr>
          <w:color w:val="231F20"/>
        </w:rPr>
        <w:t>called</w:t>
      </w:r>
      <w:r>
        <w:rPr>
          <w:color w:val="231F20"/>
          <w:spacing w:val="39"/>
        </w:rPr>
        <w:t> </w:t>
      </w:r>
      <w:r>
        <w:rPr>
          <w:color w:val="231F20"/>
        </w:rPr>
        <w:t>the</w:t>
      </w:r>
      <w:r>
        <w:rPr>
          <w:color w:val="231F20"/>
          <w:spacing w:val="40"/>
        </w:rPr>
        <w:t> </w:t>
      </w:r>
      <w:r>
        <w:rPr>
          <w:i/>
          <w:color w:val="231F20"/>
        </w:rPr>
        <w:t>face</w:t>
      </w:r>
      <w:r>
        <w:rPr>
          <w:i/>
          <w:color w:val="231F20"/>
          <w:spacing w:val="39"/>
        </w:rPr>
        <w:t> </w:t>
      </w:r>
      <w:r>
        <w:rPr>
          <w:color w:val="231F20"/>
        </w:rPr>
        <w:t>or</w:t>
      </w:r>
      <w:r>
        <w:rPr>
          <w:color w:val="231F20"/>
          <w:spacing w:val="39"/>
        </w:rPr>
        <w:t> </w:t>
      </w:r>
      <w:r>
        <w:rPr>
          <w:i/>
          <w:color w:val="231F20"/>
        </w:rPr>
        <w:t>par</w:t>
      </w:r>
      <w:r>
        <w:rPr>
          <w:i/>
          <w:color w:val="231F20"/>
          <w:spacing w:val="39"/>
        </w:rPr>
        <w:t> </w:t>
      </w:r>
      <w:r>
        <w:rPr>
          <w:i/>
          <w:color w:val="231F20"/>
        </w:rPr>
        <w:t>value.</w:t>
      </w:r>
      <w:r>
        <w:rPr>
          <w:i/>
          <w:color w:val="231F20"/>
          <w:spacing w:val="39"/>
        </w:rPr>
        <w:t> </w:t>
      </w:r>
      <w:r>
        <w:rPr>
          <w:color w:val="231F20"/>
        </w:rPr>
        <w:t>At the stated </w:t>
      </w:r>
      <w:r>
        <w:rPr>
          <w:i/>
          <w:color w:val="231F20"/>
        </w:rPr>
        <w:t>maturity </w:t>
      </w:r>
      <w:r>
        <w:rPr>
          <w:color w:val="231F20"/>
        </w:rPr>
        <w:t>date, the principal is repaid.</w:t>
      </w:r>
    </w:p>
    <w:p>
      <w:pPr>
        <w:pStyle w:val="BodyText"/>
        <w:spacing w:line="292" w:lineRule="auto"/>
        <w:ind w:left="829" w:right="753" w:firstLine="340"/>
        <w:jc w:val="both"/>
      </w:pPr>
      <w:r>
        <w:rPr>
          <w:color w:val="231F20"/>
        </w:rPr>
        <w:t>In most cases the longer the maturity, the higher the interest rate that a company has to pay investors. Higher rates compensate in- vestors for tying up their money for lengthy periods. Investors </w:t>
      </w:r>
      <w:r>
        <w:rPr>
          <w:color w:val="231F20"/>
        </w:rPr>
        <w:t>could miss out on higher returns if the market rates go higher; therefore, they must be compensated for that risk. The basic concept that</w:t>
      </w:r>
      <w:r>
        <w:rPr>
          <w:color w:val="231F20"/>
          <w:spacing w:val="40"/>
        </w:rPr>
        <w:t> </w:t>
      </w:r>
      <w:r>
        <w:rPr>
          <w:color w:val="231F20"/>
        </w:rPr>
        <w:t>higher rates accompany longer maturities is graphically depicted in what the investment world calls the </w:t>
      </w:r>
      <w:r>
        <w:rPr>
          <w:i/>
          <w:color w:val="231F20"/>
        </w:rPr>
        <w:t>yield curve. </w:t>
      </w:r>
      <w:r>
        <w:rPr>
          <w:color w:val="231F20"/>
        </w:rPr>
        <w:t>In 1992, it was up- ward sloping with a 5 percent difference between short- and long- term</w:t>
      </w:r>
      <w:r>
        <w:rPr>
          <w:color w:val="231F20"/>
          <w:spacing w:val="37"/>
        </w:rPr>
        <w:t> </w:t>
      </w:r>
      <w:r>
        <w:rPr>
          <w:color w:val="231F20"/>
        </w:rPr>
        <w:t>interest</w:t>
      </w:r>
      <w:r>
        <w:rPr>
          <w:color w:val="231F20"/>
          <w:spacing w:val="37"/>
        </w:rPr>
        <w:t> </w:t>
      </w:r>
      <w:r>
        <w:rPr>
          <w:color w:val="231F20"/>
        </w:rPr>
        <w:t>rates.</w:t>
      </w:r>
      <w:r>
        <w:rPr>
          <w:color w:val="231F20"/>
          <w:spacing w:val="37"/>
        </w:rPr>
        <w:t> </w:t>
      </w:r>
      <w:r>
        <w:rPr>
          <w:color w:val="231F20"/>
        </w:rPr>
        <w:t>In</w:t>
      </w:r>
      <w:r>
        <w:rPr>
          <w:color w:val="231F20"/>
          <w:spacing w:val="37"/>
        </w:rPr>
        <w:t> </w:t>
      </w:r>
      <w:r>
        <w:rPr>
          <w:color w:val="231F20"/>
        </w:rPr>
        <w:t>January</w:t>
      </w:r>
      <w:r>
        <w:rPr>
          <w:color w:val="231F20"/>
          <w:spacing w:val="37"/>
        </w:rPr>
        <w:t> </w:t>
      </w:r>
      <w:r>
        <w:rPr>
          <w:color w:val="231F20"/>
        </w:rPr>
        <w:t>1999,</w:t>
      </w:r>
      <w:r>
        <w:rPr>
          <w:color w:val="231F20"/>
          <w:spacing w:val="37"/>
        </w:rPr>
        <w:t> </w:t>
      </w:r>
      <w:r>
        <w:rPr>
          <w:color w:val="231F20"/>
        </w:rPr>
        <w:t>the</w:t>
      </w:r>
      <w:r>
        <w:rPr>
          <w:color w:val="231F20"/>
          <w:spacing w:val="37"/>
        </w:rPr>
        <w:t> </w:t>
      </w:r>
      <w:r>
        <w:rPr>
          <w:color w:val="231F20"/>
        </w:rPr>
        <w:t>curve</w:t>
      </w:r>
      <w:r>
        <w:rPr>
          <w:color w:val="231F20"/>
          <w:spacing w:val="37"/>
        </w:rPr>
        <w:t> </w:t>
      </w:r>
      <w:r>
        <w:rPr>
          <w:color w:val="231F20"/>
        </w:rPr>
        <w:t>was</w:t>
      </w:r>
      <w:r>
        <w:rPr>
          <w:color w:val="231F20"/>
          <w:spacing w:val="37"/>
        </w:rPr>
        <w:t> </w:t>
      </w:r>
      <w:r>
        <w:rPr>
          <w:color w:val="231F20"/>
        </w:rPr>
        <w:t>flat</w:t>
      </w:r>
      <w:r>
        <w:rPr>
          <w:color w:val="231F20"/>
          <w:spacing w:val="37"/>
        </w:rPr>
        <w:t> </w:t>
      </w:r>
      <w:r>
        <w:rPr>
          <w:color w:val="231F20"/>
        </w:rPr>
        <w:t>with</w:t>
      </w:r>
      <w:r>
        <w:rPr>
          <w:color w:val="231F20"/>
          <w:spacing w:val="37"/>
        </w:rPr>
        <w:t> </w:t>
      </w:r>
      <w:r>
        <w:rPr>
          <w:color w:val="231F20"/>
        </w:rPr>
        <w:t>only </w:t>
      </w:r>
      <w:r>
        <w:rPr>
          <w:color w:val="231F20"/>
          <w:w w:val="125"/>
          <w:position w:val="7"/>
          <w:sz w:val="10"/>
        </w:rPr>
        <w:t>3</w:t>
      </w:r>
      <w:r>
        <w:rPr>
          <w:color w:val="231F20"/>
          <w:spacing w:val="-8"/>
          <w:w w:val="49"/>
        </w:rPr>
        <w:t>⁄</w:t>
      </w:r>
      <w:r>
        <w:rPr>
          <w:color w:val="231F20"/>
          <w:spacing w:val="8"/>
          <w:w w:val="125"/>
          <w:sz w:val="10"/>
        </w:rPr>
        <w:t>4</w:t>
      </w:r>
      <w:r>
        <w:rPr>
          <w:color w:val="231F20"/>
          <w:spacing w:val="36"/>
          <w:sz w:val="10"/>
        </w:rPr>
        <w:t> </w:t>
      </w:r>
      <w:r>
        <w:rPr>
          <w:color w:val="231F20"/>
        </w:rPr>
        <w:t>of 1 percent difference in rates. In 2005 the yield curve was once again sloping upward with a 2.5 percent difference, but at a much lower level of interest rates.</w:t>
      </w:r>
    </w:p>
    <w:p>
      <w:pPr>
        <w:pStyle w:val="BodyText"/>
        <w:spacing w:before="1"/>
        <w:rPr>
          <w:sz w:val="25"/>
        </w:rPr>
      </w:pPr>
    </w:p>
    <w:p>
      <w:pPr>
        <w:pStyle w:val="BodyText"/>
        <w:spacing w:line="292" w:lineRule="auto"/>
        <w:ind w:left="830" w:right="756"/>
        <w:jc w:val="both"/>
      </w:pPr>
      <w:r>
        <w:rPr>
          <w:i/>
          <w:color w:val="231F20"/>
        </w:rPr>
        <w:t>A Bond Valuation Example. </w:t>
      </w:r>
      <w:r>
        <w:rPr>
          <w:color w:val="231F20"/>
        </w:rPr>
        <w:t>In 1976, Caterpillar Inc., the maker </w:t>
      </w:r>
      <w:r>
        <w:rPr>
          <w:color w:val="231F20"/>
        </w:rPr>
        <w:t>of heavy construction equipment, issued $200 million worth of 8 per- cent coupon bonds maturing in 2001. In June 1992, the price for the bond</w:t>
      </w:r>
      <w:r>
        <w:rPr>
          <w:color w:val="231F20"/>
          <w:spacing w:val="21"/>
        </w:rPr>
        <w:t> </w:t>
      </w:r>
      <w:r>
        <w:rPr>
          <w:color w:val="231F20"/>
        </w:rPr>
        <w:t>was</w:t>
      </w:r>
      <w:r>
        <w:rPr>
          <w:color w:val="231F20"/>
          <w:spacing w:val="21"/>
        </w:rPr>
        <w:t> </w:t>
      </w:r>
      <w:r>
        <w:rPr>
          <w:color w:val="231F20"/>
        </w:rPr>
        <w:t>quoted</w:t>
      </w:r>
      <w:r>
        <w:rPr>
          <w:color w:val="231F20"/>
          <w:spacing w:val="21"/>
        </w:rPr>
        <w:t> </w:t>
      </w:r>
      <w:r>
        <w:rPr>
          <w:color w:val="231F20"/>
        </w:rPr>
        <w:t>in</w:t>
      </w:r>
      <w:r>
        <w:rPr>
          <w:color w:val="231F20"/>
          <w:spacing w:val="21"/>
        </w:rPr>
        <w:t> </w:t>
      </w:r>
      <w:r>
        <w:rPr>
          <w:color w:val="231F20"/>
        </w:rPr>
        <w:t>the</w:t>
      </w:r>
      <w:r>
        <w:rPr>
          <w:color w:val="231F20"/>
          <w:spacing w:val="21"/>
        </w:rPr>
        <w:t> </w:t>
      </w:r>
      <w:r>
        <w:rPr>
          <w:i/>
          <w:color w:val="231F20"/>
        </w:rPr>
        <w:t>Wall</w:t>
      </w:r>
      <w:r>
        <w:rPr>
          <w:i/>
          <w:color w:val="231F20"/>
          <w:spacing w:val="21"/>
        </w:rPr>
        <w:t> </w:t>
      </w:r>
      <w:r>
        <w:rPr>
          <w:i/>
          <w:color w:val="231F20"/>
        </w:rPr>
        <w:t>Street</w:t>
      </w:r>
      <w:r>
        <w:rPr>
          <w:i/>
          <w:color w:val="231F20"/>
          <w:spacing w:val="21"/>
        </w:rPr>
        <w:t> </w:t>
      </w:r>
      <w:r>
        <w:rPr>
          <w:i/>
          <w:color w:val="231F20"/>
        </w:rPr>
        <w:t>Journal</w:t>
      </w:r>
      <w:r>
        <w:rPr>
          <w:i/>
          <w:color w:val="231F20"/>
          <w:spacing w:val="21"/>
        </w:rPr>
        <w:t> </w:t>
      </w:r>
      <w:r>
        <w:rPr>
          <w:color w:val="231F20"/>
        </w:rPr>
        <w:t>as</w:t>
      </w:r>
      <w:r>
        <w:rPr>
          <w:color w:val="231F20"/>
          <w:spacing w:val="21"/>
        </w:rPr>
        <w:t> </w:t>
      </w:r>
      <w:r>
        <w:rPr>
          <w:color w:val="231F20"/>
        </w:rPr>
        <w:t>$100</w:t>
      </w:r>
      <w:r>
        <w:rPr>
          <w:color w:val="231F20"/>
          <w:spacing w:val="21"/>
        </w:rPr>
        <w:t> </w:t>
      </w:r>
      <w:r>
        <w:rPr>
          <w:color w:val="231F20"/>
        </w:rPr>
        <w:t>for</w:t>
      </w:r>
      <w:r>
        <w:rPr>
          <w:color w:val="231F20"/>
          <w:spacing w:val="21"/>
        </w:rPr>
        <w:t> </w:t>
      </w:r>
      <w:r>
        <w:rPr>
          <w:color w:val="231F20"/>
        </w:rPr>
        <w:t>every</w:t>
      </w:r>
      <w:r>
        <w:rPr>
          <w:color w:val="231F20"/>
          <w:spacing w:val="21"/>
        </w:rPr>
        <w:t> </w:t>
      </w:r>
      <w:r>
        <w:rPr>
          <w:color w:val="231F20"/>
        </w:rPr>
        <w:t>$100 of face value. The value was determined not only by the rate of inter- est paid, but by three other factors:</w:t>
      </w:r>
    </w:p>
    <w:p>
      <w:pPr>
        <w:pStyle w:val="BodyText"/>
        <w:spacing w:before="2"/>
        <w:rPr>
          <w:sz w:val="27"/>
        </w:rPr>
      </w:pPr>
    </w:p>
    <w:p>
      <w:pPr>
        <w:spacing w:before="0"/>
        <w:ind w:left="1170" w:right="0" w:firstLine="0"/>
        <w:jc w:val="left"/>
        <w:rPr>
          <w:rFonts w:ascii="Arial"/>
          <w:sz w:val="19"/>
        </w:rPr>
      </w:pPr>
      <w:r>
        <w:rPr>
          <w:rFonts w:ascii="Arial"/>
          <w:color w:val="231F20"/>
          <w:w w:val="115"/>
          <w:sz w:val="19"/>
        </w:rPr>
        <w:t>The</w:t>
      </w:r>
      <w:r>
        <w:rPr>
          <w:rFonts w:ascii="Arial"/>
          <w:color w:val="231F20"/>
          <w:spacing w:val="-15"/>
          <w:w w:val="115"/>
          <w:sz w:val="19"/>
        </w:rPr>
        <w:t> </w:t>
      </w:r>
      <w:r>
        <w:rPr>
          <w:rFonts w:ascii="Arial"/>
          <w:color w:val="231F20"/>
          <w:w w:val="115"/>
          <w:sz w:val="19"/>
        </w:rPr>
        <w:t>Stated</w:t>
      </w:r>
      <w:r>
        <w:rPr>
          <w:rFonts w:ascii="Arial"/>
          <w:color w:val="231F20"/>
          <w:spacing w:val="-15"/>
          <w:w w:val="115"/>
          <w:sz w:val="19"/>
        </w:rPr>
        <w:t> </w:t>
      </w:r>
      <w:r>
        <w:rPr>
          <w:rFonts w:ascii="Arial"/>
          <w:color w:val="231F20"/>
          <w:w w:val="115"/>
          <w:sz w:val="19"/>
        </w:rPr>
        <w:t>Interest</w:t>
      </w:r>
      <w:r>
        <w:rPr>
          <w:rFonts w:ascii="Arial"/>
          <w:color w:val="231F20"/>
          <w:spacing w:val="-15"/>
          <w:w w:val="115"/>
          <w:sz w:val="19"/>
        </w:rPr>
        <w:t> </w:t>
      </w:r>
      <w:r>
        <w:rPr>
          <w:rFonts w:ascii="Arial"/>
          <w:color w:val="231F20"/>
          <w:w w:val="115"/>
          <w:sz w:val="19"/>
        </w:rPr>
        <w:t>Rate</w:t>
      </w:r>
      <w:r>
        <w:rPr>
          <w:rFonts w:ascii="Arial"/>
          <w:color w:val="231F20"/>
          <w:spacing w:val="-15"/>
          <w:w w:val="115"/>
          <w:sz w:val="19"/>
        </w:rPr>
        <w:t> </w:t>
      </w:r>
      <w:r>
        <w:rPr>
          <w:rFonts w:ascii="Arial"/>
          <w:color w:val="231F20"/>
          <w:w w:val="115"/>
          <w:sz w:val="19"/>
        </w:rPr>
        <w:t>(the</w:t>
      </w:r>
      <w:r>
        <w:rPr>
          <w:rFonts w:ascii="Arial"/>
          <w:color w:val="231F20"/>
          <w:spacing w:val="-14"/>
          <w:w w:val="115"/>
          <w:sz w:val="19"/>
        </w:rPr>
        <w:t> </w:t>
      </w:r>
      <w:r>
        <w:rPr>
          <w:rFonts w:ascii="Arial"/>
          <w:i/>
          <w:color w:val="231F20"/>
          <w:w w:val="115"/>
          <w:sz w:val="19"/>
        </w:rPr>
        <w:t>coupon</w:t>
      </w:r>
      <w:r>
        <w:rPr>
          <w:rFonts w:ascii="Arial"/>
          <w:i/>
          <w:color w:val="231F20"/>
          <w:spacing w:val="-15"/>
          <w:w w:val="115"/>
          <w:sz w:val="19"/>
        </w:rPr>
        <w:t> </w:t>
      </w:r>
      <w:r>
        <w:rPr>
          <w:rFonts w:ascii="Arial"/>
          <w:color w:val="231F20"/>
          <w:spacing w:val="-4"/>
          <w:w w:val="115"/>
          <w:sz w:val="19"/>
        </w:rPr>
        <w:t>rate)</w:t>
      </w:r>
    </w:p>
    <w:p>
      <w:pPr>
        <w:spacing w:before="82"/>
        <w:ind w:left="1170" w:right="0" w:firstLine="0"/>
        <w:jc w:val="left"/>
        <w:rPr>
          <w:rFonts w:ascii="Arial"/>
          <w:sz w:val="19"/>
        </w:rPr>
      </w:pPr>
      <w:r>
        <w:rPr>
          <w:rFonts w:ascii="Arial"/>
          <w:color w:val="231F20"/>
          <w:w w:val="115"/>
          <w:sz w:val="19"/>
        </w:rPr>
        <w:t>The</w:t>
      </w:r>
      <w:r>
        <w:rPr>
          <w:rFonts w:ascii="Arial"/>
          <w:color w:val="231F20"/>
          <w:spacing w:val="-10"/>
          <w:w w:val="115"/>
          <w:sz w:val="19"/>
        </w:rPr>
        <w:t> </w:t>
      </w:r>
      <w:r>
        <w:rPr>
          <w:rFonts w:ascii="Arial"/>
          <w:color w:val="231F20"/>
          <w:w w:val="115"/>
          <w:sz w:val="19"/>
        </w:rPr>
        <w:t>Length</w:t>
      </w:r>
      <w:r>
        <w:rPr>
          <w:rFonts w:ascii="Arial"/>
          <w:color w:val="231F20"/>
          <w:spacing w:val="-9"/>
          <w:w w:val="115"/>
          <w:sz w:val="19"/>
        </w:rPr>
        <w:t> </w:t>
      </w:r>
      <w:r>
        <w:rPr>
          <w:rFonts w:ascii="Arial"/>
          <w:color w:val="231F20"/>
          <w:w w:val="115"/>
          <w:sz w:val="19"/>
        </w:rPr>
        <w:t>of</w:t>
      </w:r>
      <w:r>
        <w:rPr>
          <w:rFonts w:ascii="Arial"/>
          <w:color w:val="231F20"/>
          <w:spacing w:val="-9"/>
          <w:w w:val="115"/>
          <w:sz w:val="19"/>
        </w:rPr>
        <w:t> </w:t>
      </w:r>
      <w:r>
        <w:rPr>
          <w:rFonts w:ascii="Arial"/>
          <w:color w:val="231F20"/>
          <w:w w:val="115"/>
          <w:sz w:val="19"/>
        </w:rPr>
        <w:t>Time</w:t>
      </w:r>
      <w:r>
        <w:rPr>
          <w:rFonts w:ascii="Arial"/>
          <w:color w:val="231F20"/>
          <w:spacing w:val="-9"/>
          <w:w w:val="115"/>
          <w:sz w:val="19"/>
        </w:rPr>
        <w:t> </w:t>
      </w:r>
      <w:r>
        <w:rPr>
          <w:rFonts w:ascii="Arial"/>
          <w:color w:val="231F20"/>
          <w:w w:val="115"/>
          <w:sz w:val="19"/>
        </w:rPr>
        <w:t>Until</w:t>
      </w:r>
      <w:r>
        <w:rPr>
          <w:rFonts w:ascii="Arial"/>
          <w:color w:val="231F20"/>
          <w:spacing w:val="-10"/>
          <w:w w:val="115"/>
          <w:sz w:val="19"/>
        </w:rPr>
        <w:t> </w:t>
      </w:r>
      <w:r>
        <w:rPr>
          <w:rFonts w:ascii="Arial"/>
          <w:color w:val="231F20"/>
          <w:spacing w:val="-2"/>
          <w:w w:val="115"/>
          <w:sz w:val="19"/>
        </w:rPr>
        <w:t>Maturity</w:t>
      </w:r>
    </w:p>
    <w:p>
      <w:pPr>
        <w:spacing w:line="328" w:lineRule="auto" w:before="81"/>
        <w:ind w:left="1510" w:right="1045" w:hanging="340"/>
        <w:jc w:val="left"/>
        <w:rPr>
          <w:rFonts w:ascii="Arial"/>
          <w:sz w:val="19"/>
        </w:rPr>
      </w:pPr>
      <w:r>
        <w:rPr>
          <w:rFonts w:ascii="Arial"/>
          <w:color w:val="231F20"/>
          <w:spacing w:val="-2"/>
          <w:w w:val="115"/>
          <w:sz w:val="19"/>
        </w:rPr>
        <w:t>The</w:t>
      </w:r>
      <w:r>
        <w:rPr>
          <w:rFonts w:ascii="Arial"/>
          <w:color w:val="231F20"/>
          <w:spacing w:val="-10"/>
          <w:w w:val="115"/>
          <w:sz w:val="19"/>
        </w:rPr>
        <w:t> </w:t>
      </w:r>
      <w:r>
        <w:rPr>
          <w:rFonts w:ascii="Arial"/>
          <w:color w:val="231F20"/>
          <w:spacing w:val="-2"/>
          <w:w w:val="115"/>
          <w:sz w:val="19"/>
        </w:rPr>
        <w:t>Risk</w:t>
      </w:r>
      <w:r>
        <w:rPr>
          <w:rFonts w:ascii="Arial"/>
          <w:color w:val="231F20"/>
          <w:spacing w:val="-10"/>
          <w:w w:val="115"/>
          <w:sz w:val="19"/>
        </w:rPr>
        <w:t> </w:t>
      </w:r>
      <w:r>
        <w:rPr>
          <w:rFonts w:ascii="Arial"/>
          <w:color w:val="231F20"/>
          <w:spacing w:val="-2"/>
          <w:w w:val="115"/>
          <w:sz w:val="19"/>
        </w:rPr>
        <w:t>of</w:t>
      </w:r>
      <w:r>
        <w:rPr>
          <w:rFonts w:ascii="Arial"/>
          <w:color w:val="231F20"/>
          <w:spacing w:val="-10"/>
          <w:w w:val="115"/>
          <w:sz w:val="19"/>
        </w:rPr>
        <w:t> </w:t>
      </w:r>
      <w:r>
        <w:rPr>
          <w:rFonts w:ascii="Arial"/>
          <w:color w:val="231F20"/>
          <w:spacing w:val="-2"/>
          <w:w w:val="115"/>
          <w:sz w:val="19"/>
        </w:rPr>
        <w:t>Default</w:t>
      </w:r>
      <w:r>
        <w:rPr>
          <w:rFonts w:ascii="Arial"/>
          <w:color w:val="231F20"/>
          <w:spacing w:val="-10"/>
          <w:w w:val="115"/>
          <w:sz w:val="19"/>
        </w:rPr>
        <w:t> </w:t>
      </w:r>
      <w:r>
        <w:rPr>
          <w:rFonts w:ascii="Arial"/>
          <w:color w:val="231F20"/>
          <w:spacing w:val="-2"/>
          <w:w w:val="115"/>
          <w:sz w:val="19"/>
        </w:rPr>
        <w:t>of</w:t>
      </w:r>
      <w:r>
        <w:rPr>
          <w:rFonts w:ascii="Arial"/>
          <w:color w:val="231F20"/>
          <w:spacing w:val="-10"/>
          <w:w w:val="115"/>
          <w:sz w:val="19"/>
        </w:rPr>
        <w:t> </w:t>
      </w:r>
      <w:r>
        <w:rPr>
          <w:rFonts w:ascii="Arial"/>
          <w:color w:val="231F20"/>
          <w:spacing w:val="-2"/>
          <w:w w:val="115"/>
          <w:sz w:val="19"/>
        </w:rPr>
        <w:t>the</w:t>
      </w:r>
      <w:r>
        <w:rPr>
          <w:rFonts w:ascii="Arial"/>
          <w:color w:val="231F20"/>
          <w:spacing w:val="-10"/>
          <w:w w:val="115"/>
          <w:sz w:val="19"/>
        </w:rPr>
        <w:t> </w:t>
      </w:r>
      <w:r>
        <w:rPr>
          <w:rFonts w:ascii="Arial"/>
          <w:color w:val="231F20"/>
          <w:spacing w:val="-2"/>
          <w:w w:val="115"/>
          <w:sz w:val="19"/>
        </w:rPr>
        <w:t>Issuer</w:t>
      </w:r>
      <w:r>
        <w:rPr>
          <w:rFonts w:ascii="Arial"/>
          <w:color w:val="231F20"/>
          <w:spacing w:val="-11"/>
          <w:w w:val="115"/>
          <w:sz w:val="19"/>
        </w:rPr>
        <w:t> </w:t>
      </w:r>
      <w:r>
        <w:rPr>
          <w:rFonts w:ascii="Arial"/>
          <w:color w:val="231F20"/>
          <w:spacing w:val="-2"/>
          <w:w w:val="115"/>
          <w:sz w:val="19"/>
        </w:rPr>
        <w:t>(investment</w:t>
      </w:r>
      <w:r>
        <w:rPr>
          <w:rFonts w:ascii="Arial"/>
          <w:color w:val="231F20"/>
          <w:spacing w:val="-10"/>
          <w:w w:val="115"/>
          <w:sz w:val="19"/>
        </w:rPr>
        <w:t> </w:t>
      </w:r>
      <w:r>
        <w:rPr>
          <w:rFonts w:ascii="Arial"/>
          <w:color w:val="231F20"/>
          <w:spacing w:val="-2"/>
          <w:w w:val="115"/>
          <w:sz w:val="19"/>
        </w:rPr>
        <w:t>researchers </w:t>
      </w:r>
      <w:r>
        <w:rPr>
          <w:rFonts w:ascii="Arial"/>
          <w:color w:val="231F20"/>
          <w:w w:val="115"/>
          <w:sz w:val="19"/>
        </w:rPr>
        <w:t>publish ratings)</w:t>
      </w:r>
    </w:p>
    <w:p>
      <w:pPr>
        <w:pStyle w:val="BodyText"/>
        <w:spacing w:before="4"/>
        <w:rPr>
          <w:rFonts w:ascii="Arial"/>
          <w:sz w:val="24"/>
        </w:rPr>
      </w:pPr>
    </w:p>
    <w:p>
      <w:pPr>
        <w:pStyle w:val="BodyText"/>
        <w:spacing w:line="292" w:lineRule="auto" w:before="1"/>
        <w:ind w:left="830" w:right="756" w:firstLine="340"/>
        <w:jc w:val="both"/>
      </w:pPr>
      <w:r>
        <w:rPr>
          <w:color w:val="231F20"/>
        </w:rPr>
        <w:t>The fact is that the market quote was $100. That indicated </w:t>
      </w:r>
      <w:r>
        <w:rPr>
          <w:color w:val="231F20"/>
        </w:rPr>
        <w:t>that the market valued the $100 payable in 2001, paying an 8 percent semiannual</w:t>
      </w:r>
      <w:r>
        <w:rPr>
          <w:color w:val="231F20"/>
          <w:spacing w:val="33"/>
        </w:rPr>
        <w:t> </w:t>
      </w:r>
      <w:r>
        <w:rPr>
          <w:color w:val="231F20"/>
        </w:rPr>
        <w:t>coupon,</w:t>
      </w:r>
      <w:r>
        <w:rPr>
          <w:color w:val="231F20"/>
          <w:spacing w:val="34"/>
        </w:rPr>
        <w:t> </w:t>
      </w:r>
      <w:r>
        <w:rPr>
          <w:color w:val="231F20"/>
        </w:rPr>
        <w:t>from</w:t>
      </w:r>
      <w:r>
        <w:rPr>
          <w:color w:val="231F20"/>
          <w:spacing w:val="34"/>
        </w:rPr>
        <w:t> </w:t>
      </w:r>
      <w:r>
        <w:rPr>
          <w:color w:val="231F20"/>
        </w:rPr>
        <w:t>a</w:t>
      </w:r>
      <w:r>
        <w:rPr>
          <w:color w:val="231F20"/>
          <w:spacing w:val="33"/>
        </w:rPr>
        <w:t> </w:t>
      </w:r>
      <w:r>
        <w:rPr>
          <w:color w:val="231F20"/>
        </w:rPr>
        <w:t>stable</w:t>
      </w:r>
      <w:r>
        <w:rPr>
          <w:color w:val="231F20"/>
          <w:spacing w:val="34"/>
        </w:rPr>
        <w:t> </w:t>
      </w:r>
      <w:r>
        <w:rPr>
          <w:color w:val="231F20"/>
        </w:rPr>
        <w:t>company</w:t>
      </w:r>
      <w:r>
        <w:rPr>
          <w:color w:val="231F20"/>
          <w:spacing w:val="34"/>
        </w:rPr>
        <w:t> </w:t>
      </w:r>
      <w:r>
        <w:rPr>
          <w:color w:val="231F20"/>
        </w:rPr>
        <w:t>at</w:t>
      </w:r>
      <w:r>
        <w:rPr>
          <w:color w:val="231F20"/>
          <w:spacing w:val="34"/>
        </w:rPr>
        <w:t> </w:t>
      </w:r>
      <w:r>
        <w:rPr>
          <w:color w:val="231F20"/>
        </w:rPr>
        <w:t>$100.</w:t>
      </w:r>
      <w:r>
        <w:rPr>
          <w:color w:val="231F20"/>
          <w:spacing w:val="33"/>
        </w:rPr>
        <w:t> </w:t>
      </w:r>
      <w:r>
        <w:rPr>
          <w:color w:val="231F20"/>
        </w:rPr>
        <w:t>The</w:t>
      </w:r>
      <w:r>
        <w:rPr>
          <w:color w:val="231F20"/>
          <w:spacing w:val="34"/>
        </w:rPr>
        <w:t> </w:t>
      </w:r>
      <w:r>
        <w:rPr>
          <w:color w:val="231F20"/>
          <w:spacing w:val="-2"/>
        </w:rPr>
        <w:t>Moody’s</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19" w:right="666"/>
        <w:jc w:val="both"/>
      </w:pPr>
      <w:r>
        <w:rPr>
          <w:color w:val="231F20"/>
        </w:rPr>
        <w:t>bond rating service confirmed a low default risk assessment by </w:t>
      </w:r>
      <w:r>
        <w:rPr>
          <w:color w:val="231F20"/>
        </w:rPr>
        <w:t>their </w:t>
      </w:r>
      <w:r>
        <w:rPr>
          <w:color w:val="231F20"/>
          <w:w w:val="105"/>
        </w:rPr>
        <w:t>A</w:t>
      </w:r>
      <w:r>
        <w:rPr>
          <w:color w:val="231F20"/>
          <w:spacing w:val="-13"/>
          <w:w w:val="105"/>
        </w:rPr>
        <w:t> </w:t>
      </w:r>
      <w:r>
        <w:rPr>
          <w:color w:val="231F20"/>
          <w:w w:val="105"/>
        </w:rPr>
        <w:t>rating.</w:t>
      </w:r>
      <w:r>
        <w:rPr>
          <w:color w:val="231F20"/>
          <w:spacing w:val="-12"/>
          <w:w w:val="105"/>
        </w:rPr>
        <w:t> </w:t>
      </w:r>
      <w:r>
        <w:rPr>
          <w:color w:val="231F20"/>
          <w:w w:val="105"/>
        </w:rPr>
        <w:t>Using</w:t>
      </w:r>
      <w:r>
        <w:rPr>
          <w:color w:val="231F20"/>
          <w:spacing w:val="-12"/>
          <w:w w:val="105"/>
        </w:rPr>
        <w:t> </w:t>
      </w:r>
      <w:r>
        <w:rPr>
          <w:color w:val="231F20"/>
          <w:w w:val="105"/>
        </w:rPr>
        <w:t>the</w:t>
      </w:r>
      <w:r>
        <w:rPr>
          <w:color w:val="231F20"/>
          <w:spacing w:val="-12"/>
          <w:w w:val="105"/>
        </w:rPr>
        <w:t> </w:t>
      </w:r>
      <w:r>
        <w:rPr>
          <w:i/>
          <w:color w:val="231F20"/>
          <w:w w:val="105"/>
        </w:rPr>
        <w:t>net</w:t>
      </w:r>
      <w:r>
        <w:rPr>
          <w:i/>
          <w:color w:val="231F20"/>
          <w:spacing w:val="-12"/>
          <w:w w:val="105"/>
        </w:rPr>
        <w:t> </w:t>
      </w:r>
      <w:r>
        <w:rPr>
          <w:i/>
          <w:color w:val="231F20"/>
          <w:w w:val="105"/>
        </w:rPr>
        <w:t>present</w:t>
      </w:r>
      <w:r>
        <w:rPr>
          <w:i/>
          <w:color w:val="231F20"/>
          <w:spacing w:val="-12"/>
          <w:w w:val="105"/>
        </w:rPr>
        <w:t> </w:t>
      </w:r>
      <w:r>
        <w:rPr>
          <w:i/>
          <w:color w:val="231F20"/>
          <w:w w:val="105"/>
        </w:rPr>
        <w:t>value</w:t>
      </w:r>
      <w:r>
        <w:rPr>
          <w:i/>
          <w:color w:val="231F20"/>
          <w:spacing w:val="-12"/>
          <w:w w:val="105"/>
        </w:rPr>
        <w:t> </w:t>
      </w:r>
      <w:r>
        <w:rPr>
          <w:color w:val="231F20"/>
          <w:w w:val="105"/>
        </w:rPr>
        <w:t>concept,</w:t>
      </w:r>
      <w:r>
        <w:rPr>
          <w:color w:val="231F20"/>
          <w:spacing w:val="-13"/>
          <w:w w:val="105"/>
        </w:rPr>
        <w:t> </w:t>
      </w:r>
      <w:r>
        <w:rPr>
          <w:color w:val="231F20"/>
          <w:w w:val="105"/>
        </w:rPr>
        <w:t>the</w:t>
      </w:r>
      <w:r>
        <w:rPr>
          <w:color w:val="231F20"/>
          <w:spacing w:val="-12"/>
          <w:w w:val="105"/>
        </w:rPr>
        <w:t> </w:t>
      </w:r>
      <w:r>
        <w:rPr>
          <w:color w:val="231F20"/>
          <w:w w:val="105"/>
        </w:rPr>
        <w:t>cash</w:t>
      </w:r>
      <w:r>
        <w:rPr>
          <w:color w:val="231F20"/>
          <w:spacing w:val="-12"/>
          <w:w w:val="105"/>
        </w:rPr>
        <w:t> </w:t>
      </w:r>
      <w:r>
        <w:rPr>
          <w:color w:val="231F20"/>
          <w:w w:val="105"/>
        </w:rPr>
        <w:t>thrown</w:t>
      </w:r>
      <w:r>
        <w:rPr>
          <w:color w:val="231F20"/>
          <w:spacing w:val="-12"/>
          <w:w w:val="105"/>
        </w:rPr>
        <w:t> </w:t>
      </w:r>
      <w:r>
        <w:rPr>
          <w:color w:val="231F20"/>
          <w:w w:val="105"/>
        </w:rPr>
        <w:t>off</w:t>
      </w:r>
      <w:r>
        <w:rPr>
          <w:color w:val="231F20"/>
          <w:spacing w:val="-12"/>
          <w:w w:val="105"/>
        </w:rPr>
        <w:t> </w:t>
      </w:r>
      <w:r>
        <w:rPr>
          <w:color w:val="231F20"/>
          <w:w w:val="105"/>
        </w:rPr>
        <w:t>by the</w:t>
      </w:r>
      <w:r>
        <w:rPr>
          <w:color w:val="231F20"/>
          <w:spacing w:val="-8"/>
          <w:w w:val="105"/>
        </w:rPr>
        <w:t> </w:t>
      </w:r>
      <w:r>
        <w:rPr>
          <w:color w:val="231F20"/>
          <w:w w:val="105"/>
        </w:rPr>
        <w:t>bond,</w:t>
      </w:r>
      <w:r>
        <w:rPr>
          <w:color w:val="231F20"/>
          <w:spacing w:val="-8"/>
          <w:w w:val="105"/>
        </w:rPr>
        <w:t> </w:t>
      </w:r>
      <w:r>
        <w:rPr>
          <w:color w:val="231F20"/>
          <w:w w:val="105"/>
        </w:rPr>
        <w:t>discounted</w:t>
      </w:r>
      <w:r>
        <w:rPr>
          <w:color w:val="231F20"/>
          <w:spacing w:val="-8"/>
          <w:w w:val="105"/>
        </w:rPr>
        <w:t> </w:t>
      </w:r>
      <w:r>
        <w:rPr>
          <w:color w:val="231F20"/>
          <w:w w:val="105"/>
        </w:rPr>
        <w:t>at</w:t>
      </w:r>
      <w:r>
        <w:rPr>
          <w:color w:val="231F20"/>
          <w:spacing w:val="-8"/>
          <w:w w:val="105"/>
        </w:rPr>
        <w:t> </w:t>
      </w:r>
      <w:r>
        <w:rPr>
          <w:color w:val="231F20"/>
          <w:w w:val="105"/>
        </w:rPr>
        <w:t>an</w:t>
      </w:r>
      <w:r>
        <w:rPr>
          <w:color w:val="231F20"/>
          <w:spacing w:val="-8"/>
          <w:w w:val="105"/>
        </w:rPr>
        <w:t> </w:t>
      </w:r>
      <w:r>
        <w:rPr>
          <w:color w:val="231F20"/>
          <w:w w:val="105"/>
        </w:rPr>
        <w:t>8</w:t>
      </w:r>
      <w:r>
        <w:rPr>
          <w:color w:val="231F20"/>
          <w:spacing w:val="-8"/>
          <w:w w:val="105"/>
        </w:rPr>
        <w:t> </w:t>
      </w:r>
      <w:r>
        <w:rPr>
          <w:color w:val="231F20"/>
          <w:w w:val="105"/>
        </w:rPr>
        <w:t>percent</w:t>
      </w:r>
      <w:r>
        <w:rPr>
          <w:color w:val="231F20"/>
          <w:spacing w:val="-8"/>
          <w:w w:val="105"/>
        </w:rPr>
        <w:t> </w:t>
      </w:r>
      <w:r>
        <w:rPr>
          <w:color w:val="231F20"/>
          <w:w w:val="105"/>
        </w:rPr>
        <w:t>market</w:t>
      </w:r>
      <w:r>
        <w:rPr>
          <w:color w:val="231F20"/>
          <w:spacing w:val="-8"/>
          <w:w w:val="105"/>
        </w:rPr>
        <w:t> </w:t>
      </w:r>
      <w:r>
        <w:rPr>
          <w:color w:val="231F20"/>
          <w:w w:val="105"/>
        </w:rPr>
        <w:t>discount</w:t>
      </w:r>
      <w:r>
        <w:rPr>
          <w:color w:val="231F20"/>
          <w:spacing w:val="-8"/>
          <w:w w:val="105"/>
        </w:rPr>
        <w:t> </w:t>
      </w:r>
      <w:r>
        <w:rPr>
          <w:color w:val="231F20"/>
          <w:w w:val="105"/>
        </w:rPr>
        <w:t>rate</w:t>
      </w:r>
      <w:r>
        <w:rPr>
          <w:color w:val="231F20"/>
          <w:spacing w:val="-8"/>
          <w:w w:val="105"/>
        </w:rPr>
        <w:t> </w:t>
      </w:r>
      <w:r>
        <w:rPr>
          <w:color w:val="231F20"/>
          <w:w w:val="105"/>
        </w:rPr>
        <w:t>in</w:t>
      </w:r>
      <w:r>
        <w:rPr>
          <w:color w:val="231F20"/>
          <w:spacing w:val="-8"/>
          <w:w w:val="105"/>
        </w:rPr>
        <w:t> </w:t>
      </w:r>
      <w:r>
        <w:rPr>
          <w:color w:val="231F20"/>
          <w:w w:val="105"/>
        </w:rPr>
        <w:t>1992, equaled</w:t>
      </w:r>
      <w:r>
        <w:rPr>
          <w:color w:val="231F20"/>
          <w:spacing w:val="-7"/>
          <w:w w:val="105"/>
        </w:rPr>
        <w:t> </w:t>
      </w:r>
      <w:r>
        <w:rPr>
          <w:color w:val="231F20"/>
          <w:w w:val="105"/>
        </w:rPr>
        <w:t>the</w:t>
      </w:r>
      <w:r>
        <w:rPr>
          <w:color w:val="231F20"/>
          <w:spacing w:val="-7"/>
          <w:w w:val="105"/>
        </w:rPr>
        <w:t> </w:t>
      </w:r>
      <w:r>
        <w:rPr>
          <w:color w:val="231F20"/>
          <w:w w:val="105"/>
        </w:rPr>
        <w:t>bond’s</w:t>
      </w:r>
      <w:r>
        <w:rPr>
          <w:color w:val="231F20"/>
          <w:spacing w:val="-7"/>
          <w:w w:val="105"/>
        </w:rPr>
        <w:t> </w:t>
      </w:r>
      <w:r>
        <w:rPr>
          <w:color w:val="231F20"/>
          <w:w w:val="105"/>
        </w:rPr>
        <w:t>market</w:t>
      </w:r>
      <w:r>
        <w:rPr>
          <w:color w:val="231F20"/>
          <w:spacing w:val="-7"/>
          <w:w w:val="105"/>
        </w:rPr>
        <w:t> </w:t>
      </w:r>
      <w:r>
        <w:rPr>
          <w:color w:val="231F20"/>
          <w:w w:val="105"/>
        </w:rPr>
        <w:t>value.</w:t>
      </w:r>
      <w:r>
        <w:rPr>
          <w:color w:val="231F20"/>
          <w:spacing w:val="-7"/>
          <w:w w:val="105"/>
        </w:rPr>
        <w:t> </w:t>
      </w:r>
      <w:r>
        <w:rPr>
          <w:color w:val="231F20"/>
          <w:w w:val="105"/>
        </w:rPr>
        <w:t>Because</w:t>
      </w:r>
      <w:r>
        <w:rPr>
          <w:color w:val="231F20"/>
          <w:spacing w:val="-7"/>
          <w:w w:val="105"/>
        </w:rPr>
        <w:t> </w:t>
      </w:r>
      <w:r>
        <w:rPr>
          <w:color w:val="231F20"/>
          <w:w w:val="105"/>
        </w:rPr>
        <w:t>the</w:t>
      </w:r>
      <w:r>
        <w:rPr>
          <w:color w:val="231F20"/>
          <w:spacing w:val="-7"/>
          <w:w w:val="105"/>
        </w:rPr>
        <w:t> </w:t>
      </w:r>
      <w:r>
        <w:rPr>
          <w:color w:val="231F20"/>
          <w:w w:val="105"/>
        </w:rPr>
        <w:t>market</w:t>
      </w:r>
      <w:r>
        <w:rPr>
          <w:color w:val="231F20"/>
          <w:spacing w:val="-7"/>
          <w:w w:val="105"/>
        </w:rPr>
        <w:t> </w:t>
      </w:r>
      <w:r>
        <w:rPr>
          <w:color w:val="231F20"/>
          <w:w w:val="105"/>
        </w:rPr>
        <w:t>rate</w:t>
      </w:r>
      <w:r>
        <w:rPr>
          <w:color w:val="231F20"/>
          <w:spacing w:val="-7"/>
          <w:w w:val="105"/>
        </w:rPr>
        <w:t> </w:t>
      </w:r>
      <w:r>
        <w:rPr>
          <w:color w:val="231F20"/>
          <w:w w:val="105"/>
        </w:rPr>
        <w:t>equaled </w:t>
      </w:r>
      <w:r>
        <w:rPr>
          <w:color w:val="231F20"/>
          <w:spacing w:val="-2"/>
          <w:w w:val="105"/>
        </w:rPr>
        <w:t>the</w:t>
      </w:r>
      <w:r>
        <w:rPr>
          <w:color w:val="231F20"/>
          <w:spacing w:val="-5"/>
          <w:w w:val="105"/>
        </w:rPr>
        <w:t> </w:t>
      </w:r>
      <w:r>
        <w:rPr>
          <w:color w:val="231F20"/>
          <w:spacing w:val="-2"/>
          <w:w w:val="105"/>
        </w:rPr>
        <w:t>coupon</w:t>
      </w:r>
      <w:r>
        <w:rPr>
          <w:color w:val="231F20"/>
          <w:spacing w:val="-5"/>
          <w:w w:val="105"/>
        </w:rPr>
        <w:t> </w:t>
      </w:r>
      <w:r>
        <w:rPr>
          <w:color w:val="231F20"/>
          <w:spacing w:val="-2"/>
          <w:w w:val="105"/>
        </w:rPr>
        <w:t>rate,</w:t>
      </w:r>
      <w:r>
        <w:rPr>
          <w:color w:val="231F20"/>
          <w:spacing w:val="-5"/>
          <w:w w:val="105"/>
        </w:rPr>
        <w:t> </w:t>
      </w:r>
      <w:r>
        <w:rPr>
          <w:color w:val="231F20"/>
          <w:spacing w:val="-2"/>
          <w:w w:val="105"/>
        </w:rPr>
        <w:t>investors</w:t>
      </w:r>
      <w:r>
        <w:rPr>
          <w:color w:val="231F20"/>
          <w:spacing w:val="-5"/>
          <w:w w:val="105"/>
        </w:rPr>
        <w:t> </w:t>
      </w:r>
      <w:r>
        <w:rPr>
          <w:color w:val="231F20"/>
          <w:spacing w:val="-2"/>
          <w:w w:val="105"/>
        </w:rPr>
        <w:t>paid</w:t>
      </w:r>
      <w:r>
        <w:rPr>
          <w:color w:val="231F20"/>
          <w:spacing w:val="-5"/>
          <w:w w:val="105"/>
        </w:rPr>
        <w:t> </w:t>
      </w:r>
      <w:r>
        <w:rPr>
          <w:color w:val="231F20"/>
          <w:spacing w:val="-2"/>
          <w:w w:val="105"/>
        </w:rPr>
        <w:t>neither</w:t>
      </w:r>
      <w:r>
        <w:rPr>
          <w:color w:val="231F20"/>
          <w:spacing w:val="-5"/>
          <w:w w:val="105"/>
        </w:rPr>
        <w:t> </w:t>
      </w:r>
      <w:r>
        <w:rPr>
          <w:color w:val="231F20"/>
          <w:spacing w:val="-2"/>
          <w:w w:val="105"/>
        </w:rPr>
        <w:t>a</w:t>
      </w:r>
      <w:r>
        <w:rPr>
          <w:color w:val="231F20"/>
          <w:spacing w:val="-6"/>
          <w:w w:val="105"/>
        </w:rPr>
        <w:t> </w:t>
      </w:r>
      <w:r>
        <w:rPr>
          <w:i/>
          <w:color w:val="231F20"/>
          <w:spacing w:val="-2"/>
          <w:w w:val="105"/>
        </w:rPr>
        <w:t>premium</w:t>
      </w:r>
      <w:r>
        <w:rPr>
          <w:i/>
          <w:color w:val="231F20"/>
          <w:spacing w:val="-5"/>
          <w:w w:val="105"/>
        </w:rPr>
        <w:t> </w:t>
      </w:r>
      <w:r>
        <w:rPr>
          <w:color w:val="231F20"/>
          <w:spacing w:val="-2"/>
          <w:w w:val="105"/>
        </w:rPr>
        <w:t>nor</w:t>
      </w:r>
      <w:r>
        <w:rPr>
          <w:color w:val="231F20"/>
          <w:spacing w:val="-5"/>
          <w:w w:val="105"/>
        </w:rPr>
        <w:t> </w:t>
      </w:r>
      <w:r>
        <w:rPr>
          <w:color w:val="231F20"/>
          <w:spacing w:val="-2"/>
          <w:w w:val="105"/>
        </w:rPr>
        <w:t>a</w:t>
      </w:r>
      <w:r>
        <w:rPr>
          <w:color w:val="231F20"/>
          <w:spacing w:val="-5"/>
          <w:w w:val="105"/>
        </w:rPr>
        <w:t> </w:t>
      </w:r>
      <w:r>
        <w:rPr>
          <w:i/>
          <w:color w:val="231F20"/>
          <w:spacing w:val="-2"/>
          <w:w w:val="105"/>
        </w:rPr>
        <w:t>discount</w:t>
      </w:r>
      <w:r>
        <w:rPr>
          <w:i/>
          <w:color w:val="231F20"/>
          <w:spacing w:val="-5"/>
          <w:w w:val="105"/>
        </w:rPr>
        <w:t> </w:t>
      </w:r>
      <w:r>
        <w:rPr>
          <w:color w:val="231F20"/>
          <w:spacing w:val="-2"/>
          <w:w w:val="105"/>
        </w:rPr>
        <w:t>on </w:t>
      </w:r>
      <w:r>
        <w:rPr>
          <w:color w:val="231F20"/>
          <w:w w:val="105"/>
        </w:rPr>
        <w:t>the</w:t>
      </w:r>
      <w:r>
        <w:rPr>
          <w:color w:val="231F20"/>
          <w:spacing w:val="-7"/>
          <w:w w:val="105"/>
        </w:rPr>
        <w:t> </w:t>
      </w:r>
      <w:r>
        <w:rPr>
          <w:color w:val="231F20"/>
          <w:w w:val="105"/>
        </w:rPr>
        <w:t>face</w:t>
      </w:r>
      <w:r>
        <w:rPr>
          <w:color w:val="231F20"/>
          <w:spacing w:val="-7"/>
          <w:w w:val="105"/>
        </w:rPr>
        <w:t> </w:t>
      </w:r>
      <w:r>
        <w:rPr>
          <w:color w:val="231F20"/>
          <w:w w:val="105"/>
        </w:rPr>
        <w:t>value</w:t>
      </w:r>
      <w:r>
        <w:rPr>
          <w:color w:val="231F20"/>
          <w:spacing w:val="-7"/>
          <w:w w:val="105"/>
        </w:rPr>
        <w:t> </w:t>
      </w:r>
      <w:r>
        <w:rPr>
          <w:color w:val="231F20"/>
          <w:w w:val="105"/>
        </w:rPr>
        <w:t>of</w:t>
      </w:r>
      <w:r>
        <w:rPr>
          <w:color w:val="231F20"/>
          <w:spacing w:val="-7"/>
          <w:w w:val="105"/>
        </w:rPr>
        <w:t> </w:t>
      </w:r>
      <w:r>
        <w:rPr>
          <w:color w:val="231F20"/>
          <w:w w:val="105"/>
        </w:rPr>
        <w:t>the</w:t>
      </w:r>
      <w:r>
        <w:rPr>
          <w:color w:val="231F20"/>
          <w:spacing w:val="-7"/>
          <w:w w:val="105"/>
        </w:rPr>
        <w:t> </w:t>
      </w:r>
      <w:r>
        <w:rPr>
          <w:color w:val="231F20"/>
          <w:w w:val="105"/>
        </w:rPr>
        <w:t>Caterpillar</w:t>
      </w:r>
      <w:r>
        <w:rPr>
          <w:color w:val="231F20"/>
          <w:spacing w:val="-7"/>
          <w:w w:val="105"/>
        </w:rPr>
        <w:t> </w:t>
      </w:r>
      <w:r>
        <w:rPr>
          <w:color w:val="231F20"/>
          <w:w w:val="105"/>
        </w:rPr>
        <w:t>bonds.</w:t>
      </w:r>
      <w:r>
        <w:rPr>
          <w:color w:val="231F20"/>
          <w:spacing w:val="-7"/>
          <w:w w:val="105"/>
        </w:rPr>
        <w:t> </w:t>
      </w:r>
      <w:r>
        <w:rPr>
          <w:color w:val="231F20"/>
          <w:w w:val="105"/>
        </w:rPr>
        <w:t>The</w:t>
      </w:r>
      <w:r>
        <w:rPr>
          <w:color w:val="231F20"/>
          <w:spacing w:val="-7"/>
          <w:w w:val="105"/>
        </w:rPr>
        <w:t> </w:t>
      </w:r>
      <w:r>
        <w:rPr>
          <w:color w:val="231F20"/>
          <w:w w:val="105"/>
        </w:rPr>
        <w:t>bonds</w:t>
      </w:r>
      <w:r>
        <w:rPr>
          <w:color w:val="231F20"/>
          <w:spacing w:val="-7"/>
          <w:w w:val="105"/>
        </w:rPr>
        <w:t> </w:t>
      </w:r>
      <w:r>
        <w:rPr>
          <w:color w:val="231F20"/>
          <w:w w:val="105"/>
        </w:rPr>
        <w:t>had</w:t>
      </w:r>
      <w:r>
        <w:rPr>
          <w:color w:val="231F20"/>
          <w:spacing w:val="-7"/>
          <w:w w:val="105"/>
        </w:rPr>
        <w:t> </w:t>
      </w:r>
      <w:r>
        <w:rPr>
          <w:color w:val="231F20"/>
          <w:w w:val="105"/>
        </w:rPr>
        <w:t>an</w:t>
      </w:r>
      <w:r>
        <w:rPr>
          <w:color w:val="231F20"/>
          <w:spacing w:val="-7"/>
          <w:w w:val="105"/>
        </w:rPr>
        <w:t> </w:t>
      </w:r>
      <w:r>
        <w:rPr>
          <w:color w:val="231F20"/>
          <w:w w:val="105"/>
        </w:rPr>
        <w:t>8</w:t>
      </w:r>
      <w:r>
        <w:rPr>
          <w:color w:val="231F20"/>
          <w:spacing w:val="-7"/>
          <w:w w:val="105"/>
        </w:rPr>
        <w:t> </w:t>
      </w:r>
      <w:r>
        <w:rPr>
          <w:color w:val="231F20"/>
          <w:w w:val="105"/>
        </w:rPr>
        <w:t>percent </w:t>
      </w:r>
      <w:r>
        <w:rPr>
          <w:i/>
          <w:color w:val="231F20"/>
          <w:w w:val="105"/>
        </w:rPr>
        <w:t>yield to maturity </w:t>
      </w:r>
      <w:r>
        <w:rPr>
          <w:color w:val="231F20"/>
          <w:w w:val="105"/>
        </w:rPr>
        <w:t>(YTM) on the $100 market value of the bonds.</w:t>
      </w:r>
    </w:p>
    <w:p>
      <w:pPr>
        <w:pStyle w:val="BodyText"/>
        <w:spacing w:line="292" w:lineRule="auto"/>
        <w:ind w:left="919" w:right="663" w:firstLine="340"/>
        <w:jc w:val="both"/>
      </w:pPr>
      <w:r>
        <w:rPr>
          <w:color w:val="231F20"/>
        </w:rPr>
        <w:t>Above is the calculation in detail; normally, however, you should use a calculator to do the math. Seeing it in this form helps you </w:t>
      </w:r>
      <w:r>
        <w:rPr>
          <w:color w:val="231F20"/>
        </w:rPr>
        <w:t>visu- alize the time value of money. If the market thought Caterpillar was on the verge of bankruptcy, or if the market interest rates on all in- vestments skyrocketed in a period of high inflation, then investors might have required a 20 percent rate of return on their money. If that</w:t>
      </w:r>
      <w:r>
        <w:rPr>
          <w:color w:val="231F20"/>
          <w:spacing w:val="47"/>
        </w:rPr>
        <w:t> </w:t>
      </w:r>
      <w:r>
        <w:rPr>
          <w:color w:val="231F20"/>
        </w:rPr>
        <w:t>were</w:t>
      </w:r>
      <w:r>
        <w:rPr>
          <w:color w:val="231F20"/>
          <w:spacing w:val="48"/>
        </w:rPr>
        <w:t> </w:t>
      </w:r>
      <w:r>
        <w:rPr>
          <w:color w:val="231F20"/>
        </w:rPr>
        <w:t>the</w:t>
      </w:r>
      <w:r>
        <w:rPr>
          <w:color w:val="231F20"/>
          <w:spacing w:val="48"/>
        </w:rPr>
        <w:t> </w:t>
      </w:r>
      <w:r>
        <w:rPr>
          <w:color w:val="231F20"/>
        </w:rPr>
        <w:t>case,</w:t>
      </w:r>
      <w:r>
        <w:rPr>
          <w:color w:val="231F20"/>
          <w:spacing w:val="48"/>
        </w:rPr>
        <w:t> </w:t>
      </w:r>
      <w:r>
        <w:rPr>
          <w:color w:val="231F20"/>
        </w:rPr>
        <w:t>the</w:t>
      </w:r>
      <w:r>
        <w:rPr>
          <w:color w:val="231F20"/>
          <w:spacing w:val="48"/>
        </w:rPr>
        <w:t> </w:t>
      </w:r>
      <w:r>
        <w:rPr>
          <w:color w:val="231F20"/>
        </w:rPr>
        <w:t>$100</w:t>
      </w:r>
      <w:r>
        <w:rPr>
          <w:color w:val="231F20"/>
          <w:spacing w:val="47"/>
        </w:rPr>
        <w:t> </w:t>
      </w:r>
      <w:r>
        <w:rPr>
          <w:color w:val="231F20"/>
        </w:rPr>
        <w:t>bond</w:t>
      </w:r>
      <w:r>
        <w:rPr>
          <w:color w:val="231F20"/>
          <w:spacing w:val="48"/>
        </w:rPr>
        <w:t> </w:t>
      </w:r>
      <w:r>
        <w:rPr>
          <w:color w:val="231F20"/>
        </w:rPr>
        <w:t>would</w:t>
      </w:r>
      <w:r>
        <w:rPr>
          <w:color w:val="231F20"/>
          <w:spacing w:val="48"/>
        </w:rPr>
        <w:t> </w:t>
      </w:r>
      <w:r>
        <w:rPr>
          <w:color w:val="231F20"/>
        </w:rPr>
        <w:t>have</w:t>
      </w:r>
      <w:r>
        <w:rPr>
          <w:color w:val="231F20"/>
          <w:spacing w:val="48"/>
        </w:rPr>
        <w:t> </w:t>
      </w:r>
      <w:r>
        <w:rPr>
          <w:color w:val="231F20"/>
        </w:rPr>
        <w:t>been</w:t>
      </w:r>
      <w:r>
        <w:rPr>
          <w:color w:val="231F20"/>
          <w:spacing w:val="48"/>
        </w:rPr>
        <w:t> </w:t>
      </w:r>
      <w:r>
        <w:rPr>
          <w:color w:val="231F20"/>
        </w:rPr>
        <w:t>worth</w:t>
      </w:r>
      <w:r>
        <w:rPr>
          <w:color w:val="231F20"/>
          <w:spacing w:val="47"/>
        </w:rPr>
        <w:t> </w:t>
      </w:r>
      <w:r>
        <w:rPr>
          <w:color w:val="231F20"/>
          <w:spacing w:val="-4"/>
        </w:rPr>
        <w:t>only</w:t>
      </w:r>
    </w:p>
    <w:p>
      <w:pPr>
        <w:pStyle w:val="BodyText"/>
        <w:spacing w:line="292" w:lineRule="auto"/>
        <w:ind w:left="920" w:right="663"/>
        <w:jc w:val="both"/>
      </w:pPr>
      <w:r>
        <w:rPr>
          <w:color w:val="231F20"/>
          <w:w w:val="105"/>
        </w:rPr>
        <w:t>$49.69</w:t>
      </w:r>
      <w:r>
        <w:rPr>
          <w:color w:val="231F20"/>
          <w:spacing w:val="-9"/>
          <w:w w:val="105"/>
        </w:rPr>
        <w:t> </w:t>
      </w:r>
      <w:r>
        <w:rPr>
          <w:color w:val="231F20"/>
          <w:w w:val="105"/>
        </w:rPr>
        <w:t>and</w:t>
      </w:r>
      <w:r>
        <w:rPr>
          <w:color w:val="231F20"/>
          <w:spacing w:val="-9"/>
          <w:w w:val="105"/>
        </w:rPr>
        <w:t> </w:t>
      </w:r>
      <w:r>
        <w:rPr>
          <w:color w:val="231F20"/>
          <w:w w:val="105"/>
        </w:rPr>
        <w:t>quoted</w:t>
      </w:r>
      <w:r>
        <w:rPr>
          <w:color w:val="231F20"/>
          <w:spacing w:val="-9"/>
          <w:w w:val="105"/>
        </w:rPr>
        <w:t> </w:t>
      </w:r>
      <w:r>
        <w:rPr>
          <w:color w:val="231F20"/>
          <w:w w:val="105"/>
        </w:rPr>
        <w:t>at</w:t>
      </w:r>
      <w:r>
        <w:rPr>
          <w:color w:val="231F20"/>
          <w:spacing w:val="-9"/>
          <w:w w:val="105"/>
        </w:rPr>
        <w:t> </w:t>
      </w:r>
      <w:r>
        <w:rPr>
          <w:color w:val="231F20"/>
          <w:spacing w:val="2"/>
          <w:w w:val="113"/>
        </w:rPr>
        <w:t>“4</w:t>
      </w:r>
      <w:r>
        <w:rPr>
          <w:color w:val="231F20"/>
          <w:spacing w:val="1"/>
          <w:w w:val="113"/>
        </w:rPr>
        <w:t>9</w:t>
      </w:r>
      <w:r>
        <w:rPr>
          <w:color w:val="231F20"/>
          <w:spacing w:val="2"/>
          <w:w w:val="105"/>
          <w:position w:val="7"/>
          <w:sz w:val="10"/>
        </w:rPr>
        <w:t>1</w:t>
      </w:r>
      <w:r>
        <w:rPr>
          <w:color w:val="231F20"/>
          <w:spacing w:val="-6"/>
          <w:w w:val="105"/>
          <w:position w:val="7"/>
          <w:sz w:val="10"/>
        </w:rPr>
        <w:t>1</w:t>
      </w:r>
      <w:r>
        <w:rPr>
          <w:color w:val="231F20"/>
          <w:spacing w:val="-14"/>
          <w:w w:val="29"/>
        </w:rPr>
        <w:t>⁄</w:t>
      </w:r>
      <w:r>
        <w:rPr>
          <w:color w:val="231F20"/>
          <w:spacing w:val="2"/>
          <w:w w:val="105"/>
          <w:sz w:val="10"/>
        </w:rPr>
        <w:t>1</w:t>
      </w:r>
      <w:r>
        <w:rPr>
          <w:color w:val="231F20"/>
          <w:spacing w:val="1"/>
          <w:w w:val="105"/>
          <w:sz w:val="10"/>
        </w:rPr>
        <w:t>6</w:t>
      </w:r>
      <w:r>
        <w:rPr>
          <w:color w:val="231F20"/>
          <w:spacing w:val="2"/>
          <w:w w:val="149"/>
        </w:rPr>
        <w:t>”</w:t>
      </w:r>
      <w:r>
        <w:rPr>
          <w:color w:val="231F20"/>
          <w:spacing w:val="-8"/>
          <w:w w:val="104"/>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paper.</w:t>
      </w:r>
      <w:r>
        <w:rPr>
          <w:color w:val="231F20"/>
          <w:spacing w:val="-9"/>
          <w:w w:val="105"/>
        </w:rPr>
        <w:t> </w:t>
      </w:r>
      <w:r>
        <w:rPr>
          <w:color w:val="231F20"/>
          <w:w w:val="105"/>
        </w:rPr>
        <w:t>The</w:t>
      </w:r>
      <w:r>
        <w:rPr>
          <w:color w:val="231F20"/>
          <w:spacing w:val="-9"/>
          <w:w w:val="105"/>
        </w:rPr>
        <w:t> </w:t>
      </w:r>
      <w:r>
        <w:rPr>
          <w:color w:val="231F20"/>
          <w:w w:val="105"/>
        </w:rPr>
        <w:t>increased</w:t>
      </w:r>
      <w:r>
        <w:rPr>
          <w:color w:val="231F20"/>
          <w:spacing w:val="-9"/>
          <w:w w:val="105"/>
        </w:rPr>
        <w:t> </w:t>
      </w:r>
      <w:r>
        <w:rPr>
          <w:color w:val="231F20"/>
          <w:w w:val="105"/>
        </w:rPr>
        <w:t>riskiness of</w:t>
      </w:r>
      <w:r>
        <w:rPr>
          <w:color w:val="231F20"/>
          <w:spacing w:val="-5"/>
          <w:w w:val="105"/>
        </w:rPr>
        <w:t> </w:t>
      </w:r>
      <w:r>
        <w:rPr>
          <w:color w:val="231F20"/>
          <w:w w:val="105"/>
        </w:rPr>
        <w:t>the</w:t>
      </w:r>
      <w:r>
        <w:rPr>
          <w:color w:val="231F20"/>
          <w:spacing w:val="-5"/>
          <w:w w:val="105"/>
        </w:rPr>
        <w:t> </w:t>
      </w:r>
      <w:r>
        <w:rPr>
          <w:color w:val="231F20"/>
          <w:w w:val="105"/>
        </w:rPr>
        <w:t>cash</w:t>
      </w:r>
      <w:r>
        <w:rPr>
          <w:color w:val="231F20"/>
          <w:spacing w:val="-5"/>
          <w:w w:val="105"/>
        </w:rPr>
        <w:t> </w:t>
      </w:r>
      <w:r>
        <w:rPr>
          <w:color w:val="231F20"/>
          <w:w w:val="105"/>
        </w:rPr>
        <w:t>flows</w:t>
      </w:r>
      <w:r>
        <w:rPr>
          <w:color w:val="231F20"/>
          <w:spacing w:val="-5"/>
          <w:w w:val="105"/>
        </w:rPr>
        <w:t> </w:t>
      </w:r>
      <w:r>
        <w:rPr>
          <w:color w:val="231F20"/>
          <w:w w:val="105"/>
        </w:rPr>
        <w:t>would</w:t>
      </w:r>
      <w:r>
        <w:rPr>
          <w:color w:val="231F20"/>
          <w:spacing w:val="-5"/>
          <w:w w:val="105"/>
        </w:rPr>
        <w:t> </w:t>
      </w:r>
      <w:r>
        <w:rPr>
          <w:color w:val="231F20"/>
          <w:w w:val="105"/>
        </w:rPr>
        <w:t>reduce</w:t>
      </w:r>
      <w:r>
        <w:rPr>
          <w:color w:val="231F20"/>
          <w:spacing w:val="-5"/>
          <w:w w:val="105"/>
        </w:rPr>
        <w:t> </w:t>
      </w:r>
      <w:r>
        <w:rPr>
          <w:color w:val="231F20"/>
          <w:w w:val="105"/>
        </w:rPr>
        <w:t>the</w:t>
      </w:r>
      <w:r>
        <w:rPr>
          <w:color w:val="231F20"/>
          <w:spacing w:val="-5"/>
          <w:w w:val="105"/>
        </w:rPr>
        <w:t> </w:t>
      </w:r>
      <w:r>
        <w:rPr>
          <w:color w:val="231F20"/>
          <w:w w:val="105"/>
        </w:rPr>
        <w:t>bond’s</w:t>
      </w:r>
      <w:r>
        <w:rPr>
          <w:color w:val="231F20"/>
          <w:spacing w:val="-5"/>
          <w:w w:val="105"/>
        </w:rPr>
        <w:t> </w:t>
      </w:r>
      <w:r>
        <w:rPr>
          <w:color w:val="231F20"/>
          <w:w w:val="105"/>
        </w:rPr>
        <w:t>value.</w:t>
      </w:r>
      <w:r>
        <w:rPr>
          <w:color w:val="231F20"/>
          <w:spacing w:val="-5"/>
          <w:w w:val="105"/>
        </w:rPr>
        <w:t> </w:t>
      </w:r>
      <w:r>
        <w:rPr>
          <w:color w:val="231F20"/>
          <w:w w:val="105"/>
        </w:rPr>
        <w:t>Conversely,</w:t>
      </w:r>
      <w:r>
        <w:rPr>
          <w:color w:val="231F20"/>
          <w:spacing w:val="-5"/>
          <w:w w:val="105"/>
        </w:rPr>
        <w:t> </w:t>
      </w:r>
      <w:r>
        <w:rPr>
          <w:color w:val="231F20"/>
          <w:w w:val="105"/>
        </w:rPr>
        <w:t>a</w:t>
      </w:r>
      <w:r>
        <w:rPr>
          <w:color w:val="231F20"/>
          <w:spacing w:val="-5"/>
          <w:w w:val="105"/>
        </w:rPr>
        <w:t> </w:t>
      </w:r>
      <w:r>
        <w:rPr>
          <w:color w:val="231F20"/>
          <w:w w:val="105"/>
        </w:rPr>
        <w:t>dis- count</w:t>
      </w:r>
      <w:r>
        <w:rPr>
          <w:color w:val="231F20"/>
          <w:spacing w:val="44"/>
          <w:w w:val="105"/>
        </w:rPr>
        <w:t> </w:t>
      </w:r>
      <w:r>
        <w:rPr>
          <w:color w:val="231F20"/>
          <w:w w:val="105"/>
        </w:rPr>
        <w:t>rate</w:t>
      </w:r>
      <w:r>
        <w:rPr>
          <w:color w:val="231F20"/>
          <w:spacing w:val="45"/>
          <w:w w:val="105"/>
        </w:rPr>
        <w:t> </w:t>
      </w:r>
      <w:r>
        <w:rPr>
          <w:color w:val="231F20"/>
          <w:w w:val="105"/>
        </w:rPr>
        <w:t>of</w:t>
      </w:r>
      <w:r>
        <w:rPr>
          <w:color w:val="231F20"/>
          <w:spacing w:val="45"/>
          <w:w w:val="105"/>
        </w:rPr>
        <w:t> </w:t>
      </w:r>
      <w:r>
        <w:rPr>
          <w:color w:val="231F20"/>
          <w:w w:val="105"/>
        </w:rPr>
        <w:t>5</w:t>
      </w:r>
      <w:r>
        <w:rPr>
          <w:color w:val="231F20"/>
          <w:spacing w:val="44"/>
          <w:w w:val="105"/>
        </w:rPr>
        <w:t> </w:t>
      </w:r>
      <w:r>
        <w:rPr>
          <w:color w:val="231F20"/>
          <w:w w:val="105"/>
        </w:rPr>
        <w:t>percent</w:t>
      </w:r>
      <w:r>
        <w:rPr>
          <w:color w:val="231F20"/>
          <w:spacing w:val="45"/>
          <w:w w:val="105"/>
        </w:rPr>
        <w:t> </w:t>
      </w:r>
      <w:r>
        <w:rPr>
          <w:color w:val="231F20"/>
          <w:w w:val="105"/>
        </w:rPr>
        <w:t>would</w:t>
      </w:r>
      <w:r>
        <w:rPr>
          <w:color w:val="231F20"/>
          <w:spacing w:val="45"/>
          <w:w w:val="105"/>
        </w:rPr>
        <w:t> </w:t>
      </w:r>
      <w:r>
        <w:rPr>
          <w:color w:val="231F20"/>
          <w:w w:val="105"/>
        </w:rPr>
        <w:t>have</w:t>
      </w:r>
      <w:r>
        <w:rPr>
          <w:color w:val="231F20"/>
          <w:spacing w:val="44"/>
          <w:w w:val="105"/>
        </w:rPr>
        <w:t> </w:t>
      </w:r>
      <w:r>
        <w:rPr>
          <w:color w:val="231F20"/>
          <w:w w:val="105"/>
        </w:rPr>
        <w:t>yielded</w:t>
      </w:r>
      <w:r>
        <w:rPr>
          <w:color w:val="231F20"/>
          <w:spacing w:val="45"/>
          <w:w w:val="105"/>
        </w:rPr>
        <w:t> </w:t>
      </w:r>
      <w:r>
        <w:rPr>
          <w:color w:val="231F20"/>
          <w:w w:val="105"/>
        </w:rPr>
        <w:t>a</w:t>
      </w:r>
      <w:r>
        <w:rPr>
          <w:color w:val="231F20"/>
          <w:spacing w:val="45"/>
          <w:w w:val="105"/>
        </w:rPr>
        <w:t> </w:t>
      </w:r>
      <w:r>
        <w:rPr>
          <w:color w:val="231F20"/>
          <w:w w:val="105"/>
        </w:rPr>
        <w:t>market</w:t>
      </w:r>
      <w:r>
        <w:rPr>
          <w:color w:val="231F20"/>
          <w:spacing w:val="44"/>
          <w:w w:val="105"/>
        </w:rPr>
        <w:t> </w:t>
      </w:r>
      <w:r>
        <w:rPr>
          <w:color w:val="231F20"/>
          <w:w w:val="105"/>
        </w:rPr>
        <w:t>price</w:t>
      </w:r>
      <w:r>
        <w:rPr>
          <w:color w:val="231F20"/>
          <w:spacing w:val="45"/>
          <w:w w:val="105"/>
        </w:rPr>
        <w:t> </w:t>
      </w:r>
      <w:r>
        <w:rPr>
          <w:color w:val="231F20"/>
          <w:spacing w:val="-5"/>
          <w:w w:val="105"/>
        </w:rPr>
        <w:t>of</w:t>
      </w:r>
    </w:p>
    <w:p>
      <w:pPr>
        <w:pStyle w:val="BodyText"/>
        <w:spacing w:line="292" w:lineRule="auto"/>
        <w:ind w:left="920" w:right="666"/>
        <w:jc w:val="both"/>
      </w:pPr>
      <w:r>
        <w:rPr>
          <w:color w:val="231F20"/>
        </w:rPr>
        <w:t>$123.16. In that case an 8 percent coupon would be higher than the market rate and investors would pay a premium for the higher cash </w:t>
      </w:r>
      <w:r>
        <w:rPr>
          <w:color w:val="231F20"/>
          <w:spacing w:val="-2"/>
        </w:rPr>
        <w:t>flows.</w:t>
      </w:r>
    </w:p>
    <w:p>
      <w:pPr>
        <w:pStyle w:val="BodyText"/>
        <w:spacing w:line="292" w:lineRule="auto"/>
        <w:ind w:left="920" w:right="666" w:firstLine="340"/>
        <w:jc w:val="both"/>
      </w:pPr>
      <w:r>
        <w:rPr>
          <w:color w:val="231F20"/>
        </w:rPr>
        <w:t>Graphically, cash discounted at higher rates is worth less. </w:t>
      </w:r>
      <w:r>
        <w:rPr>
          <w:color w:val="231F20"/>
        </w:rPr>
        <w:t>The further out the cash is received, the less it is worth to an investor </w:t>
      </w:r>
      <w:r>
        <w:rPr>
          <w:color w:val="231F20"/>
          <w:spacing w:val="-2"/>
        </w:rPr>
        <w:t>today.</w:t>
      </w:r>
    </w:p>
    <w:p>
      <w:pPr>
        <w:pStyle w:val="BodyText"/>
        <w:spacing w:before="10"/>
        <w:rPr>
          <w:sz w:val="24"/>
        </w:rPr>
      </w:pPr>
    </w:p>
    <w:p>
      <w:pPr>
        <w:pStyle w:val="BodyText"/>
        <w:spacing w:line="292" w:lineRule="auto"/>
        <w:ind w:left="920" w:right="663"/>
        <w:jc w:val="both"/>
      </w:pPr>
      <w:r>
        <w:rPr>
          <w:i/>
          <w:color w:val="231F20"/>
          <w:w w:val="105"/>
        </w:rPr>
        <w:t>Duration.</w:t>
      </w:r>
      <w:r>
        <w:rPr>
          <w:i/>
          <w:color w:val="231F20"/>
          <w:w w:val="105"/>
        </w:rPr>
        <w:t> </w:t>
      </w:r>
      <w:r>
        <w:rPr>
          <w:color w:val="231F20"/>
          <w:w w:val="105"/>
        </w:rPr>
        <w:t>Another</w:t>
      </w:r>
      <w:r>
        <w:rPr>
          <w:color w:val="231F20"/>
          <w:w w:val="105"/>
        </w:rPr>
        <w:t> way</w:t>
      </w:r>
      <w:r>
        <w:rPr>
          <w:color w:val="231F20"/>
          <w:w w:val="105"/>
        </w:rPr>
        <w:t> of</w:t>
      </w:r>
      <w:r>
        <w:rPr>
          <w:color w:val="231F20"/>
          <w:w w:val="105"/>
        </w:rPr>
        <w:t> evaluating</w:t>
      </w:r>
      <w:r>
        <w:rPr>
          <w:color w:val="231F20"/>
          <w:w w:val="105"/>
        </w:rPr>
        <w:t> a</w:t>
      </w:r>
      <w:r>
        <w:rPr>
          <w:color w:val="231F20"/>
          <w:w w:val="105"/>
        </w:rPr>
        <w:t> bond</w:t>
      </w:r>
      <w:r>
        <w:rPr>
          <w:color w:val="231F20"/>
          <w:w w:val="105"/>
        </w:rPr>
        <w:t> is</w:t>
      </w:r>
      <w:r>
        <w:rPr>
          <w:color w:val="231F20"/>
          <w:w w:val="105"/>
        </w:rPr>
        <w:t> by</w:t>
      </w:r>
      <w:r>
        <w:rPr>
          <w:color w:val="231F20"/>
          <w:w w:val="105"/>
        </w:rPr>
        <w:t> calculating</w:t>
      </w:r>
      <w:r>
        <w:rPr>
          <w:color w:val="231F20"/>
          <w:w w:val="105"/>
        </w:rPr>
        <w:t> a bond’s</w:t>
      </w:r>
      <w:r>
        <w:rPr>
          <w:color w:val="231F20"/>
          <w:spacing w:val="-13"/>
          <w:w w:val="105"/>
        </w:rPr>
        <w:t> </w:t>
      </w:r>
      <w:r>
        <w:rPr>
          <w:color w:val="231F20"/>
          <w:w w:val="105"/>
        </w:rPr>
        <w:t>“average</w:t>
      </w:r>
      <w:r>
        <w:rPr>
          <w:color w:val="231F20"/>
          <w:spacing w:val="-12"/>
          <w:w w:val="105"/>
        </w:rPr>
        <w:t> </w:t>
      </w:r>
      <w:r>
        <w:rPr>
          <w:color w:val="231F20"/>
          <w:w w:val="105"/>
        </w:rPr>
        <w:t>weighted</w:t>
      </w:r>
      <w:r>
        <w:rPr>
          <w:color w:val="231F20"/>
          <w:spacing w:val="-12"/>
          <w:w w:val="105"/>
        </w:rPr>
        <w:t> </w:t>
      </w:r>
      <w:r>
        <w:rPr>
          <w:color w:val="231F20"/>
          <w:w w:val="105"/>
        </w:rPr>
        <w:t>maturity,”</w:t>
      </w:r>
      <w:r>
        <w:rPr>
          <w:color w:val="231F20"/>
          <w:spacing w:val="-12"/>
          <w:w w:val="105"/>
        </w:rPr>
        <w:t> </w:t>
      </w:r>
      <w:r>
        <w:rPr>
          <w:color w:val="231F20"/>
          <w:w w:val="105"/>
        </w:rPr>
        <w:t>called</w:t>
      </w:r>
      <w:r>
        <w:rPr>
          <w:color w:val="231F20"/>
          <w:spacing w:val="-12"/>
          <w:w w:val="105"/>
        </w:rPr>
        <w:t> </w:t>
      </w:r>
      <w:r>
        <w:rPr>
          <w:color w:val="231F20"/>
          <w:w w:val="105"/>
        </w:rPr>
        <w:t>its</w:t>
      </w:r>
      <w:r>
        <w:rPr>
          <w:color w:val="231F20"/>
          <w:spacing w:val="-12"/>
          <w:w w:val="105"/>
        </w:rPr>
        <w:t> </w:t>
      </w:r>
      <w:r>
        <w:rPr>
          <w:i/>
          <w:color w:val="231F20"/>
          <w:w w:val="105"/>
        </w:rPr>
        <w:t>duration.</w:t>
      </w:r>
      <w:r>
        <w:rPr>
          <w:i/>
          <w:color w:val="231F20"/>
          <w:spacing w:val="-12"/>
          <w:w w:val="105"/>
        </w:rPr>
        <w:t> </w:t>
      </w:r>
      <w:r>
        <w:rPr>
          <w:color w:val="231F20"/>
          <w:w w:val="105"/>
        </w:rPr>
        <w:t>Duration</w:t>
      </w:r>
      <w:r>
        <w:rPr>
          <w:color w:val="231F20"/>
          <w:spacing w:val="-13"/>
          <w:w w:val="105"/>
        </w:rPr>
        <w:t> </w:t>
      </w:r>
      <w:r>
        <w:rPr>
          <w:color w:val="231F20"/>
          <w:w w:val="105"/>
        </w:rPr>
        <w:t>is the</w:t>
      </w:r>
      <w:r>
        <w:rPr>
          <w:color w:val="231F20"/>
          <w:w w:val="105"/>
        </w:rPr>
        <w:t> time</w:t>
      </w:r>
      <w:r>
        <w:rPr>
          <w:color w:val="231F20"/>
          <w:w w:val="105"/>
        </w:rPr>
        <w:t> a</w:t>
      </w:r>
      <w:r>
        <w:rPr>
          <w:color w:val="231F20"/>
          <w:w w:val="105"/>
        </w:rPr>
        <w:t> bond</w:t>
      </w:r>
      <w:r>
        <w:rPr>
          <w:color w:val="231F20"/>
          <w:w w:val="105"/>
        </w:rPr>
        <w:t> takes</w:t>
      </w:r>
      <w:r>
        <w:rPr>
          <w:color w:val="231F20"/>
          <w:w w:val="105"/>
        </w:rPr>
        <w:t> to</w:t>
      </w:r>
      <w:r>
        <w:rPr>
          <w:color w:val="231F20"/>
          <w:w w:val="105"/>
        </w:rPr>
        <w:t> return</w:t>
      </w:r>
      <w:r>
        <w:rPr>
          <w:color w:val="231F20"/>
          <w:w w:val="105"/>
        </w:rPr>
        <w:t> half</w:t>
      </w:r>
      <w:r>
        <w:rPr>
          <w:color w:val="231F20"/>
          <w:w w:val="105"/>
        </w:rPr>
        <w:t> of</w:t>
      </w:r>
      <w:r>
        <w:rPr>
          <w:color w:val="231F20"/>
          <w:w w:val="105"/>
        </w:rPr>
        <w:t> its</w:t>
      </w:r>
      <w:r>
        <w:rPr>
          <w:color w:val="231F20"/>
          <w:w w:val="105"/>
        </w:rPr>
        <w:t> market</w:t>
      </w:r>
      <w:r>
        <w:rPr>
          <w:color w:val="231F20"/>
          <w:w w:val="105"/>
        </w:rPr>
        <w:t> price</w:t>
      </w:r>
      <w:r>
        <w:rPr>
          <w:color w:val="231F20"/>
          <w:w w:val="105"/>
        </w:rPr>
        <w:t> to</w:t>
      </w:r>
      <w:r>
        <w:rPr>
          <w:color w:val="231F20"/>
          <w:w w:val="105"/>
        </w:rPr>
        <w:t> the</w:t>
      </w:r>
      <w:r>
        <w:rPr>
          <w:color w:val="231F20"/>
          <w:w w:val="105"/>
        </w:rPr>
        <w:t> in- vestor.</w:t>
      </w:r>
      <w:r>
        <w:rPr>
          <w:color w:val="231F20"/>
          <w:spacing w:val="-11"/>
          <w:w w:val="105"/>
        </w:rPr>
        <w:t> </w:t>
      </w:r>
      <w:r>
        <w:rPr>
          <w:color w:val="231F20"/>
          <w:w w:val="105"/>
        </w:rPr>
        <w:t>It</w:t>
      </w:r>
      <w:r>
        <w:rPr>
          <w:color w:val="231F20"/>
          <w:spacing w:val="-11"/>
          <w:w w:val="105"/>
        </w:rPr>
        <w:t> </w:t>
      </w:r>
      <w:r>
        <w:rPr>
          <w:color w:val="231F20"/>
          <w:w w:val="105"/>
        </w:rPr>
        <w:t>also</w:t>
      </w:r>
      <w:r>
        <w:rPr>
          <w:color w:val="231F20"/>
          <w:spacing w:val="-11"/>
          <w:w w:val="105"/>
        </w:rPr>
        <w:t> </w:t>
      </w:r>
      <w:r>
        <w:rPr>
          <w:color w:val="231F20"/>
          <w:w w:val="105"/>
        </w:rPr>
        <w:t>measures</w:t>
      </w:r>
      <w:r>
        <w:rPr>
          <w:color w:val="231F20"/>
          <w:spacing w:val="-11"/>
          <w:w w:val="105"/>
        </w:rPr>
        <w:t> </w:t>
      </w:r>
      <w:r>
        <w:rPr>
          <w:color w:val="231F20"/>
          <w:w w:val="105"/>
        </w:rPr>
        <w:t>the</w:t>
      </w:r>
      <w:r>
        <w:rPr>
          <w:color w:val="231F20"/>
          <w:spacing w:val="-11"/>
          <w:w w:val="105"/>
        </w:rPr>
        <w:t> </w:t>
      </w:r>
      <w:r>
        <w:rPr>
          <w:color w:val="231F20"/>
          <w:w w:val="105"/>
        </w:rPr>
        <w:t>sensitivity</w:t>
      </w:r>
      <w:r>
        <w:rPr>
          <w:color w:val="231F20"/>
          <w:spacing w:val="-11"/>
          <w:w w:val="105"/>
        </w:rPr>
        <w:t> </w:t>
      </w:r>
      <w:r>
        <w:rPr>
          <w:color w:val="231F20"/>
          <w:w w:val="105"/>
        </w:rPr>
        <w:t>of</w:t>
      </w:r>
      <w:r>
        <w:rPr>
          <w:color w:val="231F20"/>
          <w:spacing w:val="-11"/>
          <w:w w:val="105"/>
        </w:rPr>
        <w:t> </w:t>
      </w:r>
      <w:r>
        <w:rPr>
          <w:color w:val="231F20"/>
          <w:w w:val="105"/>
        </w:rPr>
        <w:t>a</w:t>
      </w:r>
      <w:r>
        <w:rPr>
          <w:color w:val="231F20"/>
          <w:spacing w:val="-11"/>
          <w:w w:val="105"/>
        </w:rPr>
        <w:t> </w:t>
      </w:r>
      <w:r>
        <w:rPr>
          <w:color w:val="231F20"/>
          <w:w w:val="105"/>
        </w:rPr>
        <w:t>bond</w:t>
      </w:r>
      <w:r>
        <w:rPr>
          <w:color w:val="231F20"/>
          <w:spacing w:val="-11"/>
          <w:w w:val="105"/>
        </w:rPr>
        <w:t> </w:t>
      </w:r>
      <w:r>
        <w:rPr>
          <w:color w:val="231F20"/>
          <w:w w:val="105"/>
        </w:rPr>
        <w:t>to</w:t>
      </w:r>
      <w:r>
        <w:rPr>
          <w:color w:val="231F20"/>
          <w:spacing w:val="-11"/>
          <w:w w:val="105"/>
        </w:rPr>
        <w:t> </w:t>
      </w:r>
      <w:r>
        <w:rPr>
          <w:color w:val="231F20"/>
          <w:w w:val="105"/>
        </w:rPr>
        <w:t>changes</w:t>
      </w:r>
      <w:r>
        <w:rPr>
          <w:color w:val="231F20"/>
          <w:spacing w:val="-11"/>
          <w:w w:val="105"/>
        </w:rPr>
        <w:t> </w:t>
      </w:r>
      <w:r>
        <w:rPr>
          <w:color w:val="231F20"/>
          <w:w w:val="105"/>
        </w:rPr>
        <w:t>in</w:t>
      </w:r>
      <w:r>
        <w:rPr>
          <w:color w:val="231F20"/>
          <w:spacing w:val="-11"/>
          <w:w w:val="105"/>
        </w:rPr>
        <w:t> </w:t>
      </w:r>
      <w:r>
        <w:rPr>
          <w:color w:val="231F20"/>
          <w:w w:val="105"/>
        </w:rPr>
        <w:t>mar- ket</w:t>
      </w:r>
      <w:r>
        <w:rPr>
          <w:color w:val="231F20"/>
          <w:w w:val="105"/>
        </w:rPr>
        <w:t> interest</w:t>
      </w:r>
      <w:r>
        <w:rPr>
          <w:color w:val="231F20"/>
          <w:w w:val="105"/>
        </w:rPr>
        <w:t> rates.</w:t>
      </w:r>
      <w:r>
        <w:rPr>
          <w:color w:val="231F20"/>
          <w:w w:val="105"/>
        </w:rPr>
        <w:t> The</w:t>
      </w:r>
      <w:r>
        <w:rPr>
          <w:color w:val="231F20"/>
          <w:w w:val="105"/>
        </w:rPr>
        <w:t> further</w:t>
      </w:r>
      <w:r>
        <w:rPr>
          <w:color w:val="231F20"/>
          <w:w w:val="105"/>
        </w:rPr>
        <w:t> in</w:t>
      </w:r>
      <w:r>
        <w:rPr>
          <w:color w:val="231F20"/>
          <w:w w:val="105"/>
        </w:rPr>
        <w:t> the</w:t>
      </w:r>
      <w:r>
        <w:rPr>
          <w:color w:val="231F20"/>
          <w:w w:val="105"/>
        </w:rPr>
        <w:t> future</w:t>
      </w:r>
      <w:r>
        <w:rPr>
          <w:color w:val="231F20"/>
          <w:w w:val="105"/>
        </w:rPr>
        <w:t> a</w:t>
      </w:r>
      <w:r>
        <w:rPr>
          <w:color w:val="231F20"/>
          <w:w w:val="105"/>
        </w:rPr>
        <w:t> bond</w:t>
      </w:r>
      <w:r>
        <w:rPr>
          <w:color w:val="231F20"/>
          <w:w w:val="105"/>
        </w:rPr>
        <w:t> is</w:t>
      </w:r>
      <w:r>
        <w:rPr>
          <w:color w:val="231F20"/>
          <w:w w:val="105"/>
        </w:rPr>
        <w:t> paid</w:t>
      </w:r>
      <w:r>
        <w:rPr>
          <w:color w:val="231F20"/>
          <w:w w:val="105"/>
        </w:rPr>
        <w:t> out,</w:t>
      </w:r>
      <w:r>
        <w:rPr>
          <w:color w:val="231F20"/>
          <w:w w:val="105"/>
        </w:rPr>
        <w:t> the more</w:t>
      </w:r>
      <w:r>
        <w:rPr>
          <w:color w:val="231F20"/>
          <w:w w:val="105"/>
        </w:rPr>
        <w:t> volatile</w:t>
      </w:r>
      <w:r>
        <w:rPr>
          <w:color w:val="231F20"/>
          <w:w w:val="105"/>
        </w:rPr>
        <w:t> its</w:t>
      </w:r>
      <w:r>
        <w:rPr>
          <w:color w:val="231F20"/>
          <w:w w:val="105"/>
        </w:rPr>
        <w:t> value.</w:t>
      </w:r>
      <w:r>
        <w:rPr>
          <w:color w:val="231F20"/>
          <w:w w:val="105"/>
        </w:rPr>
        <w:t> If</w:t>
      </w:r>
      <w:r>
        <w:rPr>
          <w:color w:val="231F20"/>
          <w:w w:val="105"/>
        </w:rPr>
        <w:t> a</w:t>
      </w:r>
      <w:r>
        <w:rPr>
          <w:color w:val="231F20"/>
          <w:w w:val="105"/>
        </w:rPr>
        <w:t> bond</w:t>
      </w:r>
      <w:r>
        <w:rPr>
          <w:color w:val="231F20"/>
          <w:w w:val="105"/>
        </w:rPr>
        <w:t> matures</w:t>
      </w:r>
      <w:r>
        <w:rPr>
          <w:color w:val="231F20"/>
          <w:w w:val="105"/>
        </w:rPr>
        <w:t> in</w:t>
      </w:r>
      <w:r>
        <w:rPr>
          <w:color w:val="231F20"/>
          <w:w w:val="105"/>
        </w:rPr>
        <w:t> one</w:t>
      </w:r>
      <w:r>
        <w:rPr>
          <w:color w:val="231F20"/>
          <w:w w:val="105"/>
        </w:rPr>
        <w:t> year,</w:t>
      </w:r>
      <w:r>
        <w:rPr>
          <w:color w:val="231F20"/>
          <w:w w:val="105"/>
        </w:rPr>
        <w:t> it</w:t>
      </w:r>
      <w:r>
        <w:rPr>
          <w:color w:val="231F20"/>
          <w:w w:val="105"/>
        </w:rPr>
        <w:t> would</w:t>
      </w:r>
      <w:r>
        <w:rPr>
          <w:color w:val="231F20"/>
          <w:w w:val="105"/>
        </w:rPr>
        <w:t> be considered</w:t>
      </w:r>
      <w:r>
        <w:rPr>
          <w:color w:val="231F20"/>
          <w:w w:val="105"/>
        </w:rPr>
        <w:t> a</w:t>
      </w:r>
      <w:r>
        <w:rPr>
          <w:color w:val="231F20"/>
          <w:w w:val="105"/>
        </w:rPr>
        <w:t> short-term</w:t>
      </w:r>
      <w:r>
        <w:rPr>
          <w:color w:val="231F20"/>
          <w:w w:val="105"/>
        </w:rPr>
        <w:t> bond;</w:t>
      </w:r>
      <w:r>
        <w:rPr>
          <w:color w:val="231F20"/>
          <w:w w:val="105"/>
        </w:rPr>
        <w:t> all</w:t>
      </w:r>
      <w:r>
        <w:rPr>
          <w:color w:val="231F20"/>
          <w:w w:val="105"/>
        </w:rPr>
        <w:t> the</w:t>
      </w:r>
      <w:r>
        <w:rPr>
          <w:color w:val="231F20"/>
          <w:w w:val="105"/>
        </w:rPr>
        <w:t> proceeds</w:t>
      </w:r>
      <w:r>
        <w:rPr>
          <w:color w:val="231F20"/>
          <w:w w:val="105"/>
        </w:rPr>
        <w:t> would</w:t>
      </w:r>
      <w:r>
        <w:rPr>
          <w:color w:val="231F20"/>
          <w:w w:val="105"/>
        </w:rPr>
        <w:t> be</w:t>
      </w:r>
      <w:r>
        <w:rPr>
          <w:color w:val="231F20"/>
          <w:w w:val="105"/>
        </w:rPr>
        <w:t> paid quickly</w:t>
      </w:r>
      <w:r>
        <w:rPr>
          <w:color w:val="231F20"/>
          <w:w w:val="105"/>
        </w:rPr>
        <w:t> and</w:t>
      </w:r>
      <w:r>
        <w:rPr>
          <w:color w:val="231F20"/>
          <w:w w:val="105"/>
        </w:rPr>
        <w:t> the</w:t>
      </w:r>
      <w:r>
        <w:rPr>
          <w:color w:val="231F20"/>
          <w:w w:val="105"/>
        </w:rPr>
        <w:t> bond’s</w:t>
      </w:r>
      <w:r>
        <w:rPr>
          <w:color w:val="231F20"/>
          <w:w w:val="105"/>
        </w:rPr>
        <w:t> volatility</w:t>
      </w:r>
      <w:r>
        <w:rPr>
          <w:color w:val="231F20"/>
          <w:w w:val="105"/>
        </w:rPr>
        <w:t> would</w:t>
      </w:r>
      <w:r>
        <w:rPr>
          <w:color w:val="231F20"/>
          <w:w w:val="105"/>
        </w:rPr>
        <w:t> be</w:t>
      </w:r>
      <w:r>
        <w:rPr>
          <w:color w:val="231F20"/>
          <w:w w:val="105"/>
        </w:rPr>
        <w:t> low.</w:t>
      </w:r>
      <w:r>
        <w:rPr>
          <w:color w:val="231F20"/>
          <w:w w:val="105"/>
        </w:rPr>
        <w:t> Long-term</w:t>
      </w:r>
      <w:r>
        <w:rPr>
          <w:color w:val="231F20"/>
          <w:w w:val="105"/>
        </w:rPr>
        <w:t> bonds offer</w:t>
      </w:r>
      <w:r>
        <w:rPr>
          <w:color w:val="231F20"/>
          <w:spacing w:val="-13"/>
          <w:w w:val="105"/>
        </w:rPr>
        <w:t> </w:t>
      </w:r>
      <w:r>
        <w:rPr>
          <w:color w:val="231F20"/>
          <w:w w:val="105"/>
        </w:rPr>
        <w:t>a</w:t>
      </w:r>
      <w:r>
        <w:rPr>
          <w:color w:val="231F20"/>
          <w:spacing w:val="-12"/>
          <w:w w:val="105"/>
        </w:rPr>
        <w:t> </w:t>
      </w:r>
      <w:r>
        <w:rPr>
          <w:color w:val="231F20"/>
          <w:w w:val="105"/>
        </w:rPr>
        <w:t>fixed</w:t>
      </w:r>
      <w:r>
        <w:rPr>
          <w:color w:val="231F20"/>
          <w:spacing w:val="-12"/>
          <w:w w:val="105"/>
        </w:rPr>
        <w:t> </w:t>
      </w:r>
      <w:r>
        <w:rPr>
          <w:color w:val="231F20"/>
          <w:w w:val="105"/>
        </w:rPr>
        <w:t>interest</w:t>
      </w:r>
      <w:r>
        <w:rPr>
          <w:color w:val="231F20"/>
          <w:spacing w:val="-12"/>
          <w:w w:val="105"/>
        </w:rPr>
        <w:t> </w:t>
      </w:r>
      <w:r>
        <w:rPr>
          <w:color w:val="231F20"/>
          <w:w w:val="105"/>
        </w:rPr>
        <w:t>payout</w:t>
      </w:r>
      <w:r>
        <w:rPr>
          <w:color w:val="231F20"/>
          <w:spacing w:val="-12"/>
          <w:w w:val="105"/>
        </w:rPr>
        <w:t> </w:t>
      </w:r>
      <w:r>
        <w:rPr>
          <w:color w:val="231F20"/>
          <w:w w:val="105"/>
        </w:rPr>
        <w:t>over</w:t>
      </w:r>
      <w:r>
        <w:rPr>
          <w:color w:val="231F20"/>
          <w:spacing w:val="-12"/>
          <w:w w:val="105"/>
        </w:rPr>
        <w:t> </w:t>
      </w:r>
      <w:r>
        <w:rPr>
          <w:color w:val="231F20"/>
          <w:w w:val="105"/>
        </w:rPr>
        <w:t>many</w:t>
      </w:r>
      <w:r>
        <w:rPr>
          <w:color w:val="231F20"/>
          <w:spacing w:val="-12"/>
          <w:w w:val="105"/>
        </w:rPr>
        <w:t> </w:t>
      </w:r>
      <w:r>
        <w:rPr>
          <w:color w:val="231F20"/>
          <w:w w:val="105"/>
        </w:rPr>
        <w:t>years.</w:t>
      </w:r>
      <w:r>
        <w:rPr>
          <w:color w:val="231F20"/>
          <w:spacing w:val="-13"/>
          <w:w w:val="105"/>
        </w:rPr>
        <w:t> </w:t>
      </w:r>
      <w:r>
        <w:rPr>
          <w:color w:val="231F20"/>
          <w:w w:val="105"/>
        </w:rPr>
        <w:t>If</w:t>
      </w:r>
      <w:r>
        <w:rPr>
          <w:color w:val="231F20"/>
          <w:spacing w:val="-12"/>
          <w:w w:val="105"/>
        </w:rPr>
        <w:t> </w:t>
      </w:r>
      <w:r>
        <w:rPr>
          <w:color w:val="231F20"/>
          <w:w w:val="105"/>
        </w:rPr>
        <w:t>market</w:t>
      </w:r>
      <w:r>
        <w:rPr>
          <w:color w:val="231F20"/>
          <w:spacing w:val="-12"/>
          <w:w w:val="105"/>
        </w:rPr>
        <w:t> </w:t>
      </w:r>
      <w:r>
        <w:rPr>
          <w:color w:val="231F20"/>
          <w:w w:val="105"/>
        </w:rPr>
        <w:t>rates</w:t>
      </w:r>
      <w:r>
        <w:rPr>
          <w:color w:val="231F20"/>
          <w:spacing w:val="-12"/>
          <w:w w:val="105"/>
        </w:rPr>
        <w:t> </w:t>
      </w:r>
      <w:r>
        <w:rPr>
          <w:color w:val="231F20"/>
          <w:w w:val="105"/>
        </w:rPr>
        <w:t>climb, an</w:t>
      </w:r>
      <w:r>
        <w:rPr>
          <w:color w:val="231F20"/>
          <w:w w:val="105"/>
        </w:rPr>
        <w:t> investor</w:t>
      </w:r>
      <w:r>
        <w:rPr>
          <w:color w:val="231F20"/>
          <w:w w:val="105"/>
        </w:rPr>
        <w:t> is</w:t>
      </w:r>
      <w:r>
        <w:rPr>
          <w:color w:val="231F20"/>
          <w:w w:val="105"/>
        </w:rPr>
        <w:t> locked</w:t>
      </w:r>
      <w:r>
        <w:rPr>
          <w:color w:val="231F20"/>
          <w:w w:val="105"/>
        </w:rPr>
        <w:t> into</w:t>
      </w:r>
      <w:r>
        <w:rPr>
          <w:color w:val="231F20"/>
          <w:w w:val="105"/>
        </w:rPr>
        <w:t> lower</w:t>
      </w:r>
      <w:r>
        <w:rPr>
          <w:color w:val="231F20"/>
          <w:w w:val="105"/>
        </w:rPr>
        <w:t> rates</w:t>
      </w:r>
      <w:r>
        <w:rPr>
          <w:color w:val="231F20"/>
          <w:w w:val="105"/>
        </w:rPr>
        <w:t> for</w:t>
      </w:r>
      <w:r>
        <w:rPr>
          <w:color w:val="231F20"/>
          <w:w w:val="105"/>
        </w:rPr>
        <w:t> a</w:t>
      </w:r>
      <w:r>
        <w:rPr>
          <w:color w:val="231F20"/>
          <w:w w:val="105"/>
        </w:rPr>
        <w:t> long</w:t>
      </w:r>
      <w:r>
        <w:rPr>
          <w:color w:val="231F20"/>
          <w:w w:val="105"/>
        </w:rPr>
        <w:t> time.</w:t>
      </w:r>
      <w:r>
        <w:rPr>
          <w:color w:val="231F20"/>
          <w:w w:val="105"/>
        </w:rPr>
        <w:t> As</w:t>
      </w:r>
      <w:r>
        <w:rPr>
          <w:color w:val="231F20"/>
          <w:w w:val="105"/>
        </w:rPr>
        <w:t> a</w:t>
      </w:r>
      <w:r>
        <w:rPr>
          <w:color w:val="231F20"/>
          <w:w w:val="105"/>
        </w:rPr>
        <w:t> conse- quence, the bond will be devalued dramatically.</w:t>
      </w:r>
    </w:p>
    <w:p>
      <w:pPr>
        <w:spacing w:after="0" w:line="292" w:lineRule="auto"/>
        <w:jc w:val="both"/>
        <w:sectPr>
          <w:pgSz w:w="8640" w:h="12960"/>
          <w:pgMar w:header="734" w:footer="0" w:top="920" w:bottom="280" w:left="340" w:right="500"/>
        </w:sectPr>
      </w:pPr>
    </w:p>
    <w:p>
      <w:pPr>
        <w:pStyle w:val="BodyText"/>
        <w:spacing w:before="10"/>
        <w:rPr>
          <w:sz w:val="19"/>
        </w:rPr>
      </w:pPr>
    </w:p>
    <w:p>
      <w:pPr>
        <w:spacing w:after="0"/>
        <w:rPr>
          <w:sz w:val="19"/>
        </w:rPr>
        <w:sectPr>
          <w:pgSz w:w="8640" w:h="12960"/>
          <w:pgMar w:header="732" w:footer="0" w:top="920" w:bottom="280" w:left="340" w:right="500"/>
        </w:sectPr>
      </w:pPr>
    </w:p>
    <w:p>
      <w:pPr>
        <w:spacing w:line="460" w:lineRule="atLeast" w:before="207"/>
        <w:ind w:left="850" w:right="-6" w:firstLine="30"/>
        <w:jc w:val="left"/>
        <w:rPr>
          <w:rFonts w:ascii="Arial"/>
          <w:b/>
          <w:sz w:val="21"/>
        </w:rPr>
      </w:pPr>
      <w:r>
        <w:rPr/>
        <w:pict>
          <v:group style="position:absolute;margin-left:88.687012pt;margin-top:53.441429pt;width:279.8pt;height:163.95pt;mso-position-horizontal-relative:page;mso-position-vertical-relative:paragraph;z-index:15853568" id="docshapegroup349" coordorigin="1774,1069" coordsize="5596,3279">
            <v:shape style="position:absolute;left:1782;top:1068;width:5587;height:3279" id="docshape350" coordorigin="1783,1069" coordsize="5587,3279" path="m1790,1069l1790,4347m1790,4239l7369,4239m1790,2477l7100,2092m1798,3116l3183,2746,5099,1869,7115,1138m1783,3485l2560,3224,3837,2977,5092,2623,6377,2485,7115,2231e" filled="false" stroked="true" strokeweight=".88pt" strokecolor="#231f20">
              <v:path arrowok="t"/>
              <v:stroke dashstyle="solid"/>
            </v:shape>
            <v:shape style="position:absolute;left:1773;top:1068;width:5596;height:3279" type="#_x0000_t202" id="docshape351" filled="false" stroked="false">
              <v:textbox inset="0,0,0,0">
                <w:txbxContent>
                  <w:p>
                    <w:pPr>
                      <w:spacing w:before="193"/>
                      <w:ind w:left="0" w:right="1236" w:firstLine="0"/>
                      <w:jc w:val="right"/>
                      <w:rPr>
                        <w:rFonts w:ascii="Arial"/>
                        <w:b/>
                        <w:sz w:val="21"/>
                      </w:rPr>
                    </w:pPr>
                    <w:r>
                      <w:rPr>
                        <w:rFonts w:ascii="Arial"/>
                        <w:b/>
                        <w:color w:val="231F20"/>
                        <w:spacing w:val="-4"/>
                        <w:sz w:val="21"/>
                      </w:rPr>
                      <w:t>1992</w:t>
                    </w:r>
                  </w:p>
                  <w:p>
                    <w:pPr>
                      <w:spacing w:line="240" w:lineRule="auto" w:before="10"/>
                      <w:rPr>
                        <w:rFonts w:ascii="Arial"/>
                        <w:b/>
                        <w:sz w:val="33"/>
                      </w:rPr>
                    </w:pPr>
                  </w:p>
                  <w:p>
                    <w:pPr>
                      <w:spacing w:before="0"/>
                      <w:ind w:left="0" w:right="1236" w:firstLine="0"/>
                      <w:jc w:val="right"/>
                      <w:rPr>
                        <w:rFonts w:ascii="Arial"/>
                        <w:b/>
                        <w:sz w:val="21"/>
                      </w:rPr>
                    </w:pPr>
                    <w:r>
                      <w:rPr>
                        <w:rFonts w:ascii="Arial"/>
                        <w:b/>
                        <w:color w:val="231F20"/>
                        <w:spacing w:val="-4"/>
                        <w:sz w:val="21"/>
                      </w:rPr>
                      <w:t>1999</w:t>
                    </w:r>
                  </w:p>
                  <w:p>
                    <w:pPr>
                      <w:spacing w:line="240" w:lineRule="auto" w:before="6"/>
                      <w:rPr>
                        <w:rFonts w:ascii="Arial"/>
                        <w:b/>
                        <w:sz w:val="34"/>
                      </w:rPr>
                    </w:pPr>
                  </w:p>
                  <w:p>
                    <w:pPr>
                      <w:spacing w:before="0"/>
                      <w:ind w:left="0" w:right="1236" w:firstLine="0"/>
                      <w:jc w:val="right"/>
                      <w:rPr>
                        <w:rFonts w:ascii="Arial"/>
                        <w:b/>
                        <w:sz w:val="21"/>
                      </w:rPr>
                    </w:pPr>
                    <w:r>
                      <w:rPr>
                        <w:rFonts w:ascii="Arial"/>
                        <w:b/>
                        <w:color w:val="231F20"/>
                        <w:spacing w:val="-4"/>
                        <w:sz w:val="21"/>
                      </w:rPr>
                      <w:t>2005</w:t>
                    </w:r>
                  </w:p>
                </w:txbxContent>
              </v:textbox>
              <w10:wrap type="none"/>
            </v:shape>
            <w10:wrap type="none"/>
          </v:group>
        </w:pict>
      </w:r>
      <w:r>
        <w:rPr>
          <w:rFonts w:ascii="Arial"/>
          <w:b/>
          <w:color w:val="231F20"/>
          <w:spacing w:val="-2"/>
          <w:sz w:val="21"/>
        </w:rPr>
        <w:t>Rates </w:t>
      </w:r>
      <w:r>
        <w:rPr>
          <w:rFonts w:ascii="Arial"/>
          <w:b/>
          <w:color w:val="231F20"/>
          <w:spacing w:val="-6"/>
          <w:sz w:val="21"/>
        </w:rPr>
        <w:t>8%</w:t>
      </w:r>
    </w:p>
    <w:p>
      <w:pPr>
        <w:spacing w:before="165"/>
        <w:ind w:left="850" w:right="0" w:firstLine="0"/>
        <w:jc w:val="left"/>
        <w:rPr>
          <w:rFonts w:ascii="Arial"/>
          <w:b/>
          <w:sz w:val="21"/>
        </w:rPr>
      </w:pPr>
      <w:r>
        <w:rPr>
          <w:rFonts w:ascii="Arial"/>
          <w:b/>
          <w:color w:val="231F20"/>
          <w:spacing w:val="-5"/>
          <w:sz w:val="21"/>
        </w:rPr>
        <w:t>7%</w:t>
      </w:r>
    </w:p>
    <w:p>
      <w:pPr>
        <w:spacing w:before="163"/>
        <w:ind w:left="850" w:right="0" w:firstLine="0"/>
        <w:jc w:val="left"/>
        <w:rPr>
          <w:rFonts w:ascii="Arial"/>
          <w:b/>
          <w:sz w:val="21"/>
        </w:rPr>
      </w:pPr>
      <w:r>
        <w:rPr>
          <w:rFonts w:ascii="Arial"/>
          <w:b/>
          <w:color w:val="231F20"/>
          <w:spacing w:val="-5"/>
          <w:sz w:val="21"/>
        </w:rPr>
        <w:t>6%</w:t>
      </w:r>
    </w:p>
    <w:p>
      <w:pPr>
        <w:spacing w:before="163"/>
        <w:ind w:left="850" w:right="0" w:firstLine="0"/>
        <w:jc w:val="left"/>
        <w:rPr>
          <w:rFonts w:ascii="Arial"/>
          <w:b/>
          <w:sz w:val="21"/>
        </w:rPr>
      </w:pPr>
      <w:r>
        <w:rPr>
          <w:rFonts w:ascii="Arial"/>
          <w:b/>
          <w:color w:val="231F20"/>
          <w:spacing w:val="-5"/>
          <w:sz w:val="21"/>
        </w:rPr>
        <w:t>5%</w:t>
      </w:r>
    </w:p>
    <w:p>
      <w:pPr>
        <w:spacing w:before="164"/>
        <w:ind w:left="850" w:right="0" w:firstLine="0"/>
        <w:jc w:val="left"/>
        <w:rPr>
          <w:rFonts w:ascii="Arial"/>
          <w:b/>
          <w:sz w:val="21"/>
        </w:rPr>
      </w:pPr>
      <w:r>
        <w:rPr>
          <w:rFonts w:ascii="Arial"/>
          <w:b/>
          <w:color w:val="231F20"/>
          <w:spacing w:val="-5"/>
          <w:sz w:val="21"/>
        </w:rPr>
        <w:t>4%</w:t>
      </w:r>
    </w:p>
    <w:p>
      <w:pPr>
        <w:spacing w:before="163"/>
        <w:ind w:left="850" w:right="0" w:firstLine="0"/>
        <w:jc w:val="left"/>
        <w:rPr>
          <w:rFonts w:ascii="Arial"/>
          <w:b/>
          <w:sz w:val="21"/>
        </w:rPr>
      </w:pPr>
      <w:r>
        <w:rPr>
          <w:rFonts w:ascii="Arial"/>
          <w:b/>
          <w:color w:val="231F20"/>
          <w:spacing w:val="-5"/>
          <w:sz w:val="21"/>
        </w:rPr>
        <w:t>3%</w:t>
      </w:r>
    </w:p>
    <w:p>
      <w:pPr>
        <w:spacing w:before="163"/>
        <w:ind w:left="850" w:right="0" w:firstLine="0"/>
        <w:jc w:val="left"/>
        <w:rPr>
          <w:rFonts w:ascii="Arial"/>
          <w:b/>
          <w:sz w:val="21"/>
        </w:rPr>
      </w:pPr>
      <w:r>
        <w:rPr>
          <w:rFonts w:ascii="Arial"/>
          <w:b/>
          <w:color w:val="231F20"/>
          <w:spacing w:val="-5"/>
          <w:sz w:val="21"/>
        </w:rPr>
        <w:t>2%</w:t>
      </w:r>
    </w:p>
    <w:p>
      <w:pPr>
        <w:spacing w:before="164"/>
        <w:ind w:left="850" w:right="0" w:firstLine="0"/>
        <w:jc w:val="left"/>
        <w:rPr>
          <w:rFonts w:ascii="Arial"/>
          <w:b/>
          <w:sz w:val="21"/>
        </w:rPr>
      </w:pPr>
      <w:r>
        <w:rPr>
          <w:rFonts w:ascii="Arial"/>
          <w:b/>
          <w:color w:val="231F20"/>
          <w:spacing w:val="-5"/>
          <w:sz w:val="21"/>
        </w:rPr>
        <w:t>1%</w:t>
      </w:r>
    </w:p>
    <w:p>
      <w:pPr>
        <w:spacing w:before="96"/>
        <w:ind w:left="503" w:right="0" w:firstLine="0"/>
        <w:jc w:val="left"/>
        <w:rPr>
          <w:rFonts w:ascii="Arial"/>
          <w:sz w:val="14"/>
        </w:rPr>
      </w:pPr>
      <w:r>
        <w:rPr/>
        <w:br w:type="column"/>
      </w:r>
      <w:r>
        <w:rPr>
          <w:rFonts w:ascii="Arial"/>
          <w:color w:val="231F20"/>
          <w:sz w:val="14"/>
        </w:rPr>
        <w:t>THE</w:t>
      </w:r>
      <w:r>
        <w:rPr>
          <w:rFonts w:ascii="Arial"/>
          <w:color w:val="231F20"/>
          <w:spacing w:val="37"/>
          <w:sz w:val="14"/>
        </w:rPr>
        <w:t> </w:t>
      </w:r>
      <w:r>
        <w:rPr>
          <w:rFonts w:ascii="Arial"/>
          <w:color w:val="231F20"/>
          <w:sz w:val="14"/>
        </w:rPr>
        <w:t>YIELD</w:t>
      </w:r>
      <w:r>
        <w:rPr>
          <w:rFonts w:ascii="Arial"/>
          <w:color w:val="231F20"/>
          <w:spacing w:val="38"/>
          <w:sz w:val="14"/>
        </w:rPr>
        <w:t> </w:t>
      </w:r>
      <w:r>
        <w:rPr>
          <w:rFonts w:ascii="Arial"/>
          <w:color w:val="231F20"/>
          <w:sz w:val="14"/>
        </w:rPr>
        <w:t>CURVE</w:t>
      </w:r>
      <w:r>
        <w:rPr>
          <w:rFonts w:ascii="Arial"/>
          <w:color w:val="231F20"/>
          <w:spacing w:val="37"/>
          <w:sz w:val="14"/>
        </w:rPr>
        <w:t> </w:t>
      </w:r>
      <w:r>
        <w:rPr>
          <w:rFonts w:ascii="Arial"/>
          <w:color w:val="231F20"/>
          <w:sz w:val="14"/>
        </w:rPr>
        <w:t>FOR</w:t>
      </w:r>
      <w:r>
        <w:rPr>
          <w:rFonts w:ascii="Arial"/>
          <w:color w:val="231F20"/>
          <w:spacing w:val="38"/>
          <w:sz w:val="14"/>
        </w:rPr>
        <w:t> </w:t>
      </w:r>
      <w:r>
        <w:rPr>
          <w:rFonts w:ascii="Arial"/>
          <w:color w:val="231F20"/>
          <w:sz w:val="14"/>
        </w:rPr>
        <w:t>U.S.</w:t>
      </w:r>
      <w:r>
        <w:rPr>
          <w:rFonts w:ascii="Arial"/>
          <w:color w:val="231F20"/>
          <w:spacing w:val="38"/>
          <w:sz w:val="14"/>
        </w:rPr>
        <w:t> </w:t>
      </w:r>
      <w:r>
        <w:rPr>
          <w:rFonts w:ascii="Arial"/>
          <w:color w:val="231F20"/>
          <w:sz w:val="14"/>
        </w:rPr>
        <w:t>TREASURY</w:t>
      </w:r>
      <w:r>
        <w:rPr>
          <w:rFonts w:ascii="Arial"/>
          <w:color w:val="231F20"/>
          <w:spacing w:val="37"/>
          <w:sz w:val="14"/>
        </w:rPr>
        <w:t> </w:t>
      </w:r>
      <w:r>
        <w:rPr>
          <w:rFonts w:ascii="Arial"/>
          <w:color w:val="231F20"/>
          <w:spacing w:val="-2"/>
          <w:sz w:val="14"/>
        </w:rPr>
        <w:t>SECURITIES</w:t>
      </w:r>
    </w:p>
    <w:p>
      <w:pPr>
        <w:spacing w:after="0"/>
        <w:jc w:val="left"/>
        <w:rPr>
          <w:rFonts w:ascii="Arial"/>
          <w:sz w:val="14"/>
        </w:rPr>
        <w:sectPr>
          <w:type w:val="continuous"/>
          <w:pgSz w:w="8640" w:h="12960"/>
          <w:pgMar w:header="734" w:footer="0" w:top="1220" w:bottom="280" w:left="340" w:right="500"/>
          <w:cols w:num="2" w:equalWidth="0">
            <w:col w:w="1456" w:space="40"/>
            <w:col w:w="6304"/>
          </w:cols>
        </w:sectPr>
      </w:pPr>
    </w:p>
    <w:p>
      <w:pPr>
        <w:pStyle w:val="BodyText"/>
        <w:rPr>
          <w:rFonts w:ascii="Arial"/>
          <w:sz w:val="20"/>
        </w:rPr>
      </w:pPr>
    </w:p>
    <w:p>
      <w:pPr>
        <w:pStyle w:val="BodyText"/>
        <w:spacing w:before="6"/>
        <w:rPr>
          <w:rFonts w:ascii="Arial"/>
          <w:sz w:val="18"/>
        </w:rPr>
      </w:pPr>
    </w:p>
    <w:p>
      <w:pPr>
        <w:tabs>
          <w:tab w:pos="1168" w:val="left" w:leader="none"/>
          <w:tab w:pos="1807" w:val="left" w:leader="none"/>
          <w:tab w:pos="2438" w:val="left" w:leader="none"/>
          <w:tab w:pos="3069" w:val="left" w:leader="none"/>
          <w:tab w:pos="3692" w:val="left" w:leader="none"/>
          <w:tab w:pos="4323" w:val="left" w:leader="none"/>
          <w:tab w:pos="4985" w:val="left" w:leader="none"/>
          <w:tab w:pos="5600" w:val="left" w:leader="none"/>
        </w:tabs>
        <w:spacing w:line="232" w:lineRule="exact" w:before="122"/>
        <w:ind w:left="529" w:right="0" w:firstLine="0"/>
        <w:jc w:val="center"/>
        <w:rPr>
          <w:rFonts w:ascii="Arial"/>
          <w:b/>
          <w:sz w:val="21"/>
        </w:rPr>
      </w:pPr>
      <w:r>
        <w:rPr>
          <w:rFonts w:ascii="Arial"/>
          <w:b/>
          <w:color w:val="231F20"/>
          <w:spacing w:val="-10"/>
          <w:sz w:val="21"/>
        </w:rPr>
        <w:t>3</w:t>
      </w:r>
      <w:r>
        <w:rPr>
          <w:rFonts w:ascii="Arial"/>
          <w:b/>
          <w:color w:val="231F20"/>
          <w:sz w:val="21"/>
        </w:rPr>
        <w:tab/>
      </w:r>
      <w:r>
        <w:rPr>
          <w:rFonts w:ascii="Arial"/>
          <w:b/>
          <w:color w:val="231F20"/>
          <w:spacing w:val="-10"/>
          <w:sz w:val="21"/>
        </w:rPr>
        <w:t>6</w:t>
      </w:r>
      <w:r>
        <w:rPr>
          <w:rFonts w:ascii="Arial"/>
          <w:b/>
          <w:color w:val="231F20"/>
          <w:sz w:val="21"/>
        </w:rPr>
        <w:tab/>
      </w:r>
      <w:r>
        <w:rPr>
          <w:rFonts w:ascii="Arial"/>
          <w:b/>
          <w:color w:val="231F20"/>
          <w:spacing w:val="-10"/>
          <w:sz w:val="21"/>
        </w:rPr>
        <w:t>1</w:t>
      </w:r>
      <w:r>
        <w:rPr>
          <w:rFonts w:ascii="Arial"/>
          <w:b/>
          <w:color w:val="231F20"/>
          <w:sz w:val="21"/>
        </w:rPr>
        <w:tab/>
      </w:r>
      <w:r>
        <w:rPr>
          <w:rFonts w:ascii="Arial"/>
          <w:b/>
          <w:color w:val="231F20"/>
          <w:spacing w:val="-10"/>
          <w:sz w:val="21"/>
        </w:rPr>
        <w:t>2</w:t>
      </w:r>
      <w:r>
        <w:rPr>
          <w:rFonts w:ascii="Arial"/>
          <w:b/>
          <w:color w:val="231F20"/>
          <w:sz w:val="21"/>
        </w:rPr>
        <w:tab/>
      </w:r>
      <w:r>
        <w:rPr>
          <w:rFonts w:ascii="Arial"/>
          <w:b/>
          <w:color w:val="231F20"/>
          <w:spacing w:val="-10"/>
          <w:sz w:val="21"/>
        </w:rPr>
        <w:t>3</w:t>
      </w:r>
      <w:r>
        <w:rPr>
          <w:rFonts w:ascii="Arial"/>
          <w:b/>
          <w:color w:val="231F20"/>
          <w:sz w:val="21"/>
        </w:rPr>
        <w:tab/>
      </w:r>
      <w:r>
        <w:rPr>
          <w:rFonts w:ascii="Arial"/>
          <w:b/>
          <w:color w:val="231F20"/>
          <w:spacing w:val="-10"/>
          <w:sz w:val="21"/>
        </w:rPr>
        <w:t>5</w:t>
      </w:r>
      <w:r>
        <w:rPr>
          <w:rFonts w:ascii="Arial"/>
          <w:b/>
          <w:color w:val="231F20"/>
          <w:sz w:val="21"/>
        </w:rPr>
        <w:tab/>
      </w:r>
      <w:r>
        <w:rPr>
          <w:rFonts w:ascii="Arial"/>
          <w:b/>
          <w:color w:val="231F20"/>
          <w:spacing w:val="-10"/>
          <w:sz w:val="21"/>
        </w:rPr>
        <w:t>7</w:t>
      </w:r>
      <w:r>
        <w:rPr>
          <w:rFonts w:ascii="Arial"/>
          <w:b/>
          <w:color w:val="231F20"/>
          <w:sz w:val="21"/>
        </w:rPr>
        <w:tab/>
      </w:r>
      <w:r>
        <w:rPr>
          <w:rFonts w:ascii="Arial"/>
          <w:b/>
          <w:color w:val="231F20"/>
          <w:spacing w:val="-5"/>
          <w:sz w:val="21"/>
        </w:rPr>
        <w:t>10</w:t>
      </w:r>
      <w:r>
        <w:rPr>
          <w:rFonts w:ascii="Arial"/>
          <w:b/>
          <w:color w:val="231F20"/>
          <w:sz w:val="21"/>
        </w:rPr>
        <w:tab/>
      </w:r>
      <w:r>
        <w:rPr>
          <w:rFonts w:ascii="Arial"/>
          <w:b/>
          <w:color w:val="231F20"/>
          <w:spacing w:val="-5"/>
          <w:sz w:val="21"/>
        </w:rPr>
        <w:t>30</w:t>
      </w:r>
    </w:p>
    <w:p>
      <w:pPr>
        <w:tabs>
          <w:tab w:pos="3420" w:val="left" w:leader="none"/>
          <w:tab w:pos="4051" w:val="left" w:leader="none"/>
          <w:tab w:pos="4674" w:val="left" w:leader="none"/>
          <w:tab w:pos="5305" w:val="left" w:leader="none"/>
          <w:tab w:pos="5967" w:val="left" w:leader="none"/>
          <w:tab w:pos="6582" w:val="left" w:leader="none"/>
        </w:tabs>
        <w:spacing w:before="21"/>
        <w:ind w:left="1511" w:right="0" w:firstLine="0"/>
        <w:jc w:val="left"/>
        <w:rPr>
          <w:rFonts w:ascii="Arial"/>
          <w:b/>
          <w:sz w:val="21"/>
        </w:rPr>
      </w:pPr>
      <w:r>
        <w:rPr>
          <w:rFonts w:ascii="Arial"/>
          <w:b/>
          <w:color w:val="231F20"/>
          <w:sz w:val="21"/>
        </w:rPr>
        <w:t>Mos.</w:t>
      </w:r>
      <w:r>
        <w:rPr>
          <w:rFonts w:ascii="Arial"/>
          <w:b/>
          <w:color w:val="231F20"/>
          <w:spacing w:val="68"/>
          <w:w w:val="150"/>
          <w:sz w:val="21"/>
        </w:rPr>
        <w:t> </w:t>
      </w:r>
      <w:r>
        <w:rPr>
          <w:rFonts w:ascii="Arial"/>
          <w:b/>
          <w:color w:val="231F20"/>
          <w:sz w:val="21"/>
        </w:rPr>
        <w:t>Mos.</w:t>
      </w:r>
      <w:r>
        <w:rPr>
          <w:rFonts w:ascii="Arial"/>
          <w:b/>
          <w:color w:val="231F20"/>
          <w:spacing w:val="69"/>
          <w:w w:val="150"/>
          <w:sz w:val="21"/>
        </w:rPr>
        <w:t> </w:t>
      </w:r>
      <w:r>
        <w:rPr>
          <w:rFonts w:ascii="Arial"/>
          <w:b/>
          <w:color w:val="231F20"/>
          <w:spacing w:val="-5"/>
          <w:sz w:val="21"/>
        </w:rPr>
        <w:t>Yr.</w:t>
      </w:r>
      <w:r>
        <w:rPr>
          <w:rFonts w:ascii="Arial"/>
          <w:b/>
          <w:color w:val="231F20"/>
          <w:sz w:val="21"/>
        </w:rPr>
        <w:tab/>
      </w:r>
      <w:r>
        <w:rPr>
          <w:rFonts w:ascii="Arial"/>
          <w:b/>
          <w:color w:val="231F20"/>
          <w:spacing w:val="-4"/>
          <w:sz w:val="21"/>
        </w:rPr>
        <w:t>Yrs.</w:t>
      </w:r>
      <w:r>
        <w:rPr>
          <w:rFonts w:ascii="Arial"/>
          <w:b/>
          <w:color w:val="231F20"/>
          <w:sz w:val="21"/>
        </w:rPr>
        <w:tab/>
      </w:r>
      <w:r>
        <w:rPr>
          <w:rFonts w:ascii="Arial"/>
          <w:b/>
          <w:color w:val="231F20"/>
          <w:spacing w:val="-4"/>
          <w:sz w:val="21"/>
        </w:rPr>
        <w:t>Yrs.</w:t>
      </w:r>
      <w:r>
        <w:rPr>
          <w:rFonts w:ascii="Arial"/>
          <w:b/>
          <w:color w:val="231F20"/>
          <w:sz w:val="21"/>
        </w:rPr>
        <w:tab/>
      </w:r>
      <w:r>
        <w:rPr>
          <w:rFonts w:ascii="Arial"/>
          <w:b/>
          <w:color w:val="231F20"/>
          <w:spacing w:val="-4"/>
          <w:sz w:val="21"/>
        </w:rPr>
        <w:t>Yrs.</w:t>
      </w:r>
      <w:r>
        <w:rPr>
          <w:rFonts w:ascii="Arial"/>
          <w:b/>
          <w:color w:val="231F20"/>
          <w:sz w:val="21"/>
        </w:rPr>
        <w:tab/>
      </w:r>
      <w:r>
        <w:rPr>
          <w:rFonts w:ascii="Arial"/>
          <w:b/>
          <w:color w:val="231F20"/>
          <w:spacing w:val="-4"/>
          <w:sz w:val="21"/>
        </w:rPr>
        <w:t>Yrs.</w:t>
      </w:r>
      <w:r>
        <w:rPr>
          <w:rFonts w:ascii="Arial"/>
          <w:b/>
          <w:color w:val="231F20"/>
          <w:sz w:val="21"/>
        </w:rPr>
        <w:tab/>
      </w:r>
      <w:r>
        <w:rPr>
          <w:rFonts w:ascii="Arial"/>
          <w:b/>
          <w:color w:val="231F20"/>
          <w:spacing w:val="-4"/>
          <w:sz w:val="21"/>
        </w:rPr>
        <w:t>Yrs.</w:t>
      </w:r>
      <w:r>
        <w:rPr>
          <w:rFonts w:ascii="Arial"/>
          <w:b/>
          <w:color w:val="231F20"/>
          <w:sz w:val="21"/>
        </w:rPr>
        <w:tab/>
      </w:r>
      <w:r>
        <w:rPr>
          <w:rFonts w:ascii="Arial"/>
          <w:b/>
          <w:color w:val="231F20"/>
          <w:spacing w:val="-4"/>
          <w:sz w:val="21"/>
        </w:rPr>
        <w:t>Yrs.</w:t>
      </w:r>
    </w:p>
    <w:p>
      <w:pPr>
        <w:tabs>
          <w:tab w:pos="3412" w:val="left" w:leader="none"/>
          <w:tab w:pos="5944" w:val="left" w:leader="none"/>
        </w:tabs>
        <w:spacing w:line="420" w:lineRule="auto" w:before="159"/>
        <w:ind w:left="3420" w:right="1008" w:hanging="1909"/>
        <w:jc w:val="left"/>
        <w:rPr>
          <w:rFonts w:ascii="Arial"/>
          <w:b/>
          <w:sz w:val="21"/>
        </w:rPr>
      </w:pPr>
      <w:r>
        <w:rPr/>
        <w:pict>
          <v:group style="position:absolute;margin-left:127.432007pt;margin-top:11.054307pt;width:29.25pt;height:6.6pt;mso-position-horizontal-relative:page;mso-position-vertical-relative:paragraph;z-index:-25105920" id="docshapegroup352" coordorigin="2549,221" coordsize="585,132">
            <v:line style="position:absolute" from="2549,287" to="3038,287" stroked="true" strokeweight=".88pt" strokecolor="#231f20">
              <v:stroke dashstyle="solid"/>
            </v:line>
            <v:shape style="position:absolute;left:3019;top:221;width:114;height:132" id="docshape353" coordorigin="3019,221" coordsize="114,132" path="m3019,221l3019,353,3133,287,3019,221xe" filled="true" fillcolor="#231f20" stroked="false">
              <v:path arrowok="t"/>
              <v:fill type="solid"/>
            </v:shape>
            <w10:wrap type="none"/>
          </v:group>
        </w:pict>
      </w:r>
      <w:r>
        <w:rPr/>
        <w:pict>
          <v:group style="position:absolute;margin-left:357.695007pt;margin-top:11.054307pt;width:10.55pt;height:6.6pt;mso-position-horizontal-relative:page;mso-position-vertical-relative:paragraph;z-index:15852544" id="docshapegroup354" coordorigin="7154,221" coordsize="211,132">
            <v:line style="position:absolute" from="7154,287" to="7269,287" stroked="true" strokeweight=".88pt" strokecolor="#231f20">
              <v:stroke dashstyle="solid"/>
            </v:line>
            <v:shape style="position:absolute;left:7250;top:221;width:114;height:132" id="docshape355" coordorigin="7250,221" coordsize="114,132" path="m7250,221l7250,353,7364,287,7250,221xe" filled="true" fillcolor="#231f20" stroked="false">
              <v:path arrowok="t"/>
              <v:fill type="solid"/>
            </v:shape>
            <w10:wrap type="none"/>
          </v:group>
        </w:pict>
      </w:r>
      <w:r>
        <w:rPr/>
        <w:pict>
          <v:group style="position:absolute;margin-left:228.981018pt;margin-top:11.054307pt;width:54.1pt;height:6.6pt;mso-position-horizontal-relative:page;mso-position-vertical-relative:paragraph;z-index:-25104896" id="docshapegroup356" coordorigin="4580,221" coordsize="1082,132">
            <v:line style="position:absolute" from="4580,287" to="5566,287" stroked="true" strokeweight=".88pt" strokecolor="#231f20">
              <v:stroke dashstyle="solid"/>
            </v:line>
            <v:shape style="position:absolute;left:5546;top:221;width:114;height:132" id="docshape357" coordorigin="5547,221" coordsize="114,132" path="m5547,221l5547,353,5661,287,5547,221xe" filled="true" fillcolor="#231f20" stroked="false">
              <v:path arrowok="t"/>
              <v:fill type="solid"/>
            </v:shape>
            <w10:wrap type="none"/>
          </v:group>
        </w:pict>
      </w:r>
      <w:r>
        <w:rPr>
          <w:rFonts w:ascii="Arial"/>
          <w:b/>
          <w:color w:val="231F20"/>
          <w:spacing w:val="-2"/>
          <w:sz w:val="21"/>
        </w:rPr>
        <w:t>T-Bills</w:t>
      </w:r>
      <w:r>
        <w:rPr>
          <w:rFonts w:ascii="Arial"/>
          <w:b/>
          <w:color w:val="231F20"/>
          <w:sz w:val="21"/>
        </w:rPr>
        <w:tab/>
      </w:r>
      <w:r>
        <w:rPr>
          <w:rFonts w:ascii="Arial"/>
          <w:b/>
          <w:color w:val="231F20"/>
          <w:spacing w:val="-2"/>
          <w:sz w:val="21"/>
        </w:rPr>
        <w:t>T-Notes</w:t>
      </w:r>
      <w:r>
        <w:rPr>
          <w:rFonts w:ascii="Arial"/>
          <w:b/>
          <w:color w:val="231F20"/>
          <w:sz w:val="21"/>
        </w:rPr>
        <w:tab/>
      </w:r>
      <w:r>
        <w:rPr>
          <w:rFonts w:ascii="Arial"/>
          <w:b/>
          <w:color w:val="231F20"/>
          <w:spacing w:val="-2"/>
          <w:sz w:val="21"/>
        </w:rPr>
        <w:t>T-Bonds</w:t>
      </w:r>
      <w:r>
        <w:rPr>
          <w:rFonts w:ascii="Arial"/>
          <w:b/>
          <w:color w:val="231F20"/>
          <w:spacing w:val="-2"/>
          <w:sz w:val="21"/>
        </w:rPr>
        <w:t> Maturities</w:t>
      </w:r>
    </w:p>
    <w:p>
      <w:pPr>
        <w:pStyle w:val="BodyText"/>
        <w:rPr>
          <w:rFonts w:ascii="Arial"/>
          <w:b/>
          <w:sz w:val="20"/>
        </w:rPr>
      </w:pPr>
    </w:p>
    <w:p>
      <w:pPr>
        <w:pStyle w:val="BodyText"/>
        <w:spacing w:before="8"/>
        <w:rPr>
          <w:rFonts w:ascii="Arial"/>
          <w:b/>
          <w:sz w:val="28"/>
        </w:rPr>
      </w:pPr>
    </w:p>
    <w:p>
      <w:pPr>
        <w:pStyle w:val="BodyText"/>
        <w:spacing w:line="292" w:lineRule="auto" w:before="102"/>
        <w:ind w:left="830" w:right="756" w:firstLine="340"/>
        <w:jc w:val="both"/>
      </w:pPr>
      <w:r>
        <w:rPr>
          <w:color w:val="231F20"/>
        </w:rPr>
        <w:t>In the case of the Caterpillar bond, it paid back $50 of the </w:t>
      </w:r>
      <w:r>
        <w:rPr>
          <w:color w:val="231F20"/>
        </w:rPr>
        <w:t>in- vestors’ $100 investment in nine years. That’s the bond’s duration. This is a long time for a bond; as a consequence, its value responded dramatically to swings in interest rates, from $49.65 with a 20 per- cent rate to $123.16 with a 5 percent rate.</w:t>
      </w:r>
    </w:p>
    <w:p>
      <w:pPr>
        <w:pStyle w:val="BodyText"/>
        <w:spacing w:line="292" w:lineRule="auto"/>
        <w:ind w:left="830" w:right="756" w:firstLine="340"/>
        <w:jc w:val="both"/>
      </w:pPr>
      <w:r>
        <w:rPr>
          <w:color w:val="231F20"/>
        </w:rPr>
        <w:t>Don’t worry about the math—</w:t>
      </w:r>
      <w:r>
        <w:rPr>
          <w:color w:val="231F20"/>
          <w:spacing w:val="-12"/>
        </w:rPr>
        <w:t> </w:t>
      </w:r>
      <w:r>
        <w:rPr>
          <w:color w:val="231F20"/>
        </w:rPr>
        <w:t>computers will do the calcula- tions for you. As a Ten-Day MBA, you can now ask your broker not only for the bond’s yield, but also for its duration, and he or she </w:t>
      </w:r>
      <w:r>
        <w:rPr>
          <w:color w:val="231F20"/>
        </w:rPr>
        <w:t>will know</w:t>
      </w:r>
      <w:r>
        <w:rPr>
          <w:color w:val="231F20"/>
          <w:spacing w:val="7"/>
        </w:rPr>
        <w:t> </w:t>
      </w:r>
      <w:r>
        <w:rPr>
          <w:color w:val="231F20"/>
        </w:rPr>
        <w:t>that</w:t>
      </w:r>
      <w:r>
        <w:rPr>
          <w:color w:val="231F20"/>
          <w:spacing w:val="7"/>
        </w:rPr>
        <w:t> </w:t>
      </w:r>
      <w:r>
        <w:rPr>
          <w:color w:val="231F20"/>
        </w:rPr>
        <w:t>you</w:t>
      </w:r>
      <w:r>
        <w:rPr>
          <w:color w:val="231F20"/>
          <w:spacing w:val="8"/>
        </w:rPr>
        <w:t> </w:t>
      </w:r>
      <w:r>
        <w:rPr>
          <w:color w:val="231F20"/>
        </w:rPr>
        <w:t>are</w:t>
      </w:r>
      <w:r>
        <w:rPr>
          <w:color w:val="231F20"/>
          <w:spacing w:val="7"/>
        </w:rPr>
        <w:t> </w:t>
      </w:r>
      <w:r>
        <w:rPr>
          <w:color w:val="231F20"/>
        </w:rPr>
        <w:t>more</w:t>
      </w:r>
      <w:r>
        <w:rPr>
          <w:color w:val="231F20"/>
          <w:spacing w:val="7"/>
        </w:rPr>
        <w:t> </w:t>
      </w:r>
      <w:r>
        <w:rPr>
          <w:color w:val="231F20"/>
        </w:rPr>
        <w:t>than</w:t>
      </w:r>
      <w:r>
        <w:rPr>
          <w:color w:val="231F20"/>
          <w:spacing w:val="8"/>
        </w:rPr>
        <w:t> </w:t>
      </w:r>
      <w:r>
        <w:rPr>
          <w:color w:val="231F20"/>
        </w:rPr>
        <w:t>a</w:t>
      </w:r>
      <w:r>
        <w:rPr>
          <w:color w:val="231F20"/>
          <w:spacing w:val="7"/>
        </w:rPr>
        <w:t> </w:t>
      </w:r>
      <w:r>
        <w:rPr>
          <w:color w:val="231F20"/>
        </w:rPr>
        <w:t>retiree</w:t>
      </w:r>
      <w:r>
        <w:rPr>
          <w:color w:val="231F20"/>
          <w:spacing w:val="7"/>
        </w:rPr>
        <w:t> </w:t>
      </w:r>
      <w:r>
        <w:rPr>
          <w:color w:val="231F20"/>
        </w:rPr>
        <w:t>looking</w:t>
      </w:r>
      <w:r>
        <w:rPr>
          <w:color w:val="231F20"/>
          <w:spacing w:val="8"/>
        </w:rPr>
        <w:t> </w:t>
      </w:r>
      <w:r>
        <w:rPr>
          <w:color w:val="231F20"/>
        </w:rPr>
        <w:t>for</w:t>
      </w:r>
      <w:r>
        <w:rPr>
          <w:color w:val="231F20"/>
          <w:spacing w:val="7"/>
        </w:rPr>
        <w:t> </w:t>
      </w:r>
      <w:r>
        <w:rPr>
          <w:color w:val="231F20"/>
        </w:rPr>
        <w:t>a</w:t>
      </w:r>
      <w:r>
        <w:rPr>
          <w:color w:val="231F20"/>
          <w:spacing w:val="7"/>
        </w:rPr>
        <w:t> </w:t>
      </w:r>
      <w:r>
        <w:rPr>
          <w:color w:val="231F20"/>
        </w:rPr>
        <w:t>safe</w:t>
      </w:r>
      <w:r>
        <w:rPr>
          <w:color w:val="231F20"/>
          <w:spacing w:val="8"/>
        </w:rPr>
        <w:t> </w:t>
      </w:r>
      <w:r>
        <w:rPr>
          <w:color w:val="231F20"/>
          <w:spacing w:val="-2"/>
        </w:rPr>
        <w:t>investment.</w:t>
      </w:r>
    </w:p>
    <w:p>
      <w:pPr>
        <w:pStyle w:val="BodyText"/>
        <w:spacing w:before="4"/>
        <w:rPr>
          <w:sz w:val="25"/>
        </w:rPr>
      </w:pPr>
    </w:p>
    <w:p>
      <w:pPr>
        <w:pStyle w:val="BodyText"/>
        <w:spacing w:line="292" w:lineRule="auto"/>
        <w:ind w:left="830" w:right="756"/>
        <w:jc w:val="both"/>
      </w:pPr>
      <w:r>
        <w:rPr>
          <w:i/>
          <w:color w:val="231F20"/>
        </w:rPr>
        <w:t>Other Types of Bonds. </w:t>
      </w:r>
      <w:r>
        <w:rPr>
          <w:color w:val="231F20"/>
        </w:rPr>
        <w:t>There are five more types of bonds of </w:t>
      </w:r>
      <w:r>
        <w:rPr>
          <w:color w:val="231F20"/>
        </w:rPr>
        <w:t>note:</w:t>
      </w:r>
      <w:r>
        <w:rPr>
          <w:color w:val="231F20"/>
          <w:spacing w:val="40"/>
        </w:rPr>
        <w:t> </w:t>
      </w:r>
      <w:r>
        <w:rPr>
          <w:color w:val="231F20"/>
        </w:rPr>
        <w:t>zero coupon bonds, consuls, convertible bonds, callable bonds, and junk bonds.</w:t>
      </w:r>
    </w:p>
    <w:p>
      <w:pPr>
        <w:spacing w:after="0" w:line="292" w:lineRule="auto"/>
        <w:jc w:val="both"/>
        <w:sectPr>
          <w:type w:val="continuous"/>
          <w:pgSz w:w="8640" w:h="12960"/>
          <w:pgMar w:header="734" w:footer="0" w:top="1220" w:bottom="280" w:left="340" w:right="500"/>
        </w:sectPr>
      </w:pPr>
    </w:p>
    <w:p>
      <w:pPr>
        <w:pStyle w:val="BodyText"/>
        <w:spacing w:before="6"/>
        <w:rPr>
          <w:sz w:val="17"/>
        </w:rPr>
      </w:pPr>
    </w:p>
    <w:p>
      <w:pPr>
        <w:spacing w:line="307" w:lineRule="auto" w:before="93"/>
        <w:ind w:left="2337" w:right="1948" w:hanging="96"/>
        <w:jc w:val="left"/>
        <w:rPr>
          <w:b/>
          <w:sz w:val="20"/>
        </w:rPr>
      </w:pPr>
      <w:r>
        <w:rPr/>
        <w:pict>
          <v:shape style="position:absolute;margin-left:80pt;margin-top:35.651772pt;width:276.5pt;height:.1pt;mso-position-horizontal-relative:page;mso-position-vertical-relative:paragraph;z-index:-15603200;mso-wrap-distance-left:0;mso-wrap-distance-right:0" id="docshape358" coordorigin="1600,713" coordsize="5530,0" path="m1600,713l7130,713e" filled="false" stroked="true" strokeweight="1pt" strokecolor="#231f20">
            <v:path arrowok="t"/>
            <v:stroke dashstyle="solid"/>
            <w10:wrap type="topAndBottom"/>
          </v:shape>
        </w:pict>
      </w:r>
      <w:r>
        <w:rPr>
          <w:b/>
          <w:color w:val="231F20"/>
          <w:w w:val="115"/>
          <w:sz w:val="20"/>
        </w:rPr>
        <w:t>CATERPILLAR BOND VALUATION OF DISCOUNTED CASH FLOWS</w:t>
      </w:r>
    </w:p>
    <w:p>
      <w:pPr>
        <w:pStyle w:val="BodyText"/>
        <w:spacing w:before="2"/>
        <w:rPr>
          <w:b/>
          <w:sz w:val="18"/>
        </w:rPr>
      </w:pP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0"/>
        <w:gridCol w:w="642"/>
        <w:gridCol w:w="1164"/>
        <w:gridCol w:w="946"/>
        <w:gridCol w:w="1409"/>
        <w:gridCol w:w="1228"/>
      </w:tblGrid>
      <w:tr>
        <w:trPr>
          <w:trHeight w:val="221" w:hRule="atLeast"/>
        </w:trPr>
        <w:tc>
          <w:tcPr>
            <w:tcW w:w="1542" w:type="dxa"/>
            <w:gridSpan w:val="2"/>
          </w:tcPr>
          <w:p>
            <w:pPr>
              <w:pStyle w:val="TableParagraph"/>
              <w:spacing w:line="182" w:lineRule="exact" w:before="0"/>
              <w:ind w:left="638"/>
              <w:jc w:val="left"/>
              <w:rPr>
                <w:b/>
                <w:i/>
                <w:sz w:val="16"/>
              </w:rPr>
            </w:pPr>
            <w:r>
              <w:rPr>
                <w:b/>
                <w:i/>
                <w:color w:val="231F20"/>
                <w:spacing w:val="-2"/>
                <w:w w:val="110"/>
                <w:sz w:val="16"/>
              </w:rPr>
              <w:t>INTEREST</w:t>
            </w:r>
          </w:p>
        </w:tc>
        <w:tc>
          <w:tcPr>
            <w:tcW w:w="1164" w:type="dxa"/>
          </w:tcPr>
          <w:p>
            <w:pPr>
              <w:pStyle w:val="TableParagraph"/>
              <w:spacing w:before="0"/>
              <w:jc w:val="left"/>
              <w:rPr>
                <w:rFonts w:ascii="Times New Roman"/>
                <w:sz w:val="14"/>
              </w:rPr>
            </w:pPr>
          </w:p>
        </w:tc>
        <w:tc>
          <w:tcPr>
            <w:tcW w:w="946" w:type="dxa"/>
          </w:tcPr>
          <w:p>
            <w:pPr>
              <w:pStyle w:val="TableParagraph"/>
              <w:spacing w:before="0"/>
              <w:jc w:val="left"/>
              <w:rPr>
                <w:rFonts w:ascii="Times New Roman"/>
                <w:sz w:val="14"/>
              </w:rPr>
            </w:pPr>
          </w:p>
        </w:tc>
        <w:tc>
          <w:tcPr>
            <w:tcW w:w="1409" w:type="dxa"/>
          </w:tcPr>
          <w:p>
            <w:pPr>
              <w:pStyle w:val="TableParagraph"/>
              <w:spacing w:line="182" w:lineRule="exact" w:before="0"/>
              <w:ind w:left="98" w:right="91"/>
              <w:rPr>
                <w:b/>
                <w:i/>
                <w:sz w:val="16"/>
              </w:rPr>
            </w:pPr>
            <w:r>
              <w:rPr>
                <w:b/>
                <w:i/>
                <w:color w:val="231F20"/>
                <w:spacing w:val="-2"/>
                <w:w w:val="110"/>
                <w:sz w:val="16"/>
              </w:rPr>
              <w:t>DISCOUNT</w:t>
            </w:r>
          </w:p>
        </w:tc>
        <w:tc>
          <w:tcPr>
            <w:tcW w:w="1228" w:type="dxa"/>
          </w:tcPr>
          <w:p>
            <w:pPr>
              <w:pStyle w:val="TableParagraph"/>
              <w:spacing w:before="0"/>
              <w:jc w:val="left"/>
              <w:rPr>
                <w:rFonts w:ascii="Times New Roman"/>
                <w:sz w:val="14"/>
              </w:rPr>
            </w:pPr>
          </w:p>
        </w:tc>
      </w:tr>
      <w:tr>
        <w:trPr>
          <w:trHeight w:val="260" w:hRule="atLeast"/>
        </w:trPr>
        <w:tc>
          <w:tcPr>
            <w:tcW w:w="900" w:type="dxa"/>
          </w:tcPr>
          <w:p>
            <w:pPr>
              <w:pStyle w:val="TableParagraph"/>
              <w:spacing w:before="32"/>
              <w:ind w:right="-72"/>
              <w:jc w:val="right"/>
              <w:rPr>
                <w:b/>
                <w:i/>
                <w:sz w:val="16"/>
              </w:rPr>
            </w:pPr>
            <w:r>
              <w:rPr>
                <w:b/>
                <w:i/>
                <w:color w:val="231F20"/>
                <w:w w:val="86"/>
                <w:sz w:val="16"/>
              </w:rPr>
              <w:t>@</w:t>
            </w:r>
          </w:p>
        </w:tc>
        <w:tc>
          <w:tcPr>
            <w:tcW w:w="642" w:type="dxa"/>
          </w:tcPr>
          <w:p>
            <w:pPr>
              <w:pStyle w:val="TableParagraph"/>
              <w:spacing w:before="32"/>
              <w:ind w:left="102"/>
              <w:jc w:val="left"/>
              <w:rPr>
                <w:b/>
                <w:i/>
                <w:sz w:val="16"/>
              </w:rPr>
            </w:pPr>
            <w:r>
              <w:rPr>
                <w:b/>
                <w:i/>
                <w:color w:val="231F20"/>
                <w:spacing w:val="-5"/>
                <w:sz w:val="16"/>
              </w:rPr>
              <w:t>8%</w:t>
            </w:r>
          </w:p>
        </w:tc>
        <w:tc>
          <w:tcPr>
            <w:tcW w:w="1164" w:type="dxa"/>
          </w:tcPr>
          <w:p>
            <w:pPr>
              <w:pStyle w:val="TableParagraph"/>
              <w:spacing w:before="32"/>
              <w:ind w:left="171"/>
              <w:jc w:val="left"/>
              <w:rPr>
                <w:b/>
                <w:i/>
                <w:sz w:val="16"/>
              </w:rPr>
            </w:pPr>
            <w:r>
              <w:rPr>
                <w:b/>
                <w:i/>
                <w:color w:val="231F20"/>
                <w:spacing w:val="-2"/>
                <w:w w:val="105"/>
                <w:sz w:val="16"/>
              </w:rPr>
              <w:t>PRINCIPAL</w:t>
            </w:r>
          </w:p>
        </w:tc>
        <w:tc>
          <w:tcPr>
            <w:tcW w:w="946" w:type="dxa"/>
          </w:tcPr>
          <w:p>
            <w:pPr>
              <w:pStyle w:val="TableParagraph"/>
              <w:spacing w:before="32"/>
              <w:ind w:left="109"/>
              <w:jc w:val="left"/>
              <w:rPr>
                <w:b/>
                <w:i/>
                <w:sz w:val="16"/>
              </w:rPr>
            </w:pPr>
            <w:r>
              <w:rPr>
                <w:b/>
                <w:i/>
                <w:color w:val="231F20"/>
                <w:spacing w:val="-2"/>
                <w:w w:val="105"/>
                <w:sz w:val="16"/>
              </w:rPr>
              <w:t>PAYMENT</w:t>
            </w:r>
          </w:p>
        </w:tc>
        <w:tc>
          <w:tcPr>
            <w:tcW w:w="1409" w:type="dxa"/>
          </w:tcPr>
          <w:p>
            <w:pPr>
              <w:pStyle w:val="TableParagraph"/>
              <w:spacing w:before="32"/>
              <w:ind w:left="98" w:right="91"/>
              <w:rPr>
                <w:b/>
                <w:i/>
                <w:sz w:val="16"/>
              </w:rPr>
            </w:pPr>
            <w:r>
              <w:rPr>
                <w:b/>
                <w:i/>
                <w:color w:val="231F20"/>
                <w:spacing w:val="-2"/>
                <w:w w:val="105"/>
                <w:sz w:val="16"/>
              </w:rPr>
              <w:t>FACTORS</w:t>
            </w:r>
          </w:p>
        </w:tc>
        <w:tc>
          <w:tcPr>
            <w:tcW w:w="1228" w:type="dxa"/>
          </w:tcPr>
          <w:p>
            <w:pPr>
              <w:pStyle w:val="TableParagraph"/>
              <w:spacing w:before="32"/>
              <w:ind w:right="47"/>
              <w:jc w:val="right"/>
              <w:rPr>
                <w:b/>
                <w:i/>
                <w:sz w:val="16"/>
              </w:rPr>
            </w:pPr>
            <w:r>
              <w:rPr>
                <w:b/>
                <w:i/>
                <w:color w:val="231F20"/>
                <w:w w:val="110"/>
                <w:sz w:val="16"/>
              </w:rPr>
              <w:t>NET </w:t>
            </w:r>
            <w:r>
              <w:rPr>
                <w:b/>
                <w:i/>
                <w:color w:val="231F20"/>
                <w:spacing w:val="-2"/>
                <w:w w:val="110"/>
                <w:sz w:val="16"/>
              </w:rPr>
              <w:t>PRESENT</w:t>
            </w:r>
          </w:p>
        </w:tc>
      </w:tr>
      <w:tr>
        <w:trPr>
          <w:trHeight w:val="276" w:hRule="atLeast"/>
        </w:trPr>
        <w:tc>
          <w:tcPr>
            <w:tcW w:w="900" w:type="dxa"/>
          </w:tcPr>
          <w:p>
            <w:pPr>
              <w:pStyle w:val="TableParagraph"/>
              <w:spacing w:before="32"/>
              <w:ind w:right="-144"/>
              <w:jc w:val="right"/>
              <w:rPr>
                <w:b/>
                <w:i/>
                <w:sz w:val="16"/>
              </w:rPr>
            </w:pPr>
            <w:r>
              <w:rPr>
                <w:b/>
                <w:i/>
                <w:color w:val="231F20"/>
                <w:spacing w:val="-5"/>
                <w:w w:val="110"/>
                <w:sz w:val="16"/>
              </w:rPr>
              <w:t>COU</w:t>
            </w:r>
          </w:p>
        </w:tc>
        <w:tc>
          <w:tcPr>
            <w:tcW w:w="642" w:type="dxa"/>
          </w:tcPr>
          <w:p>
            <w:pPr>
              <w:pStyle w:val="TableParagraph"/>
              <w:spacing w:before="32"/>
              <w:ind w:left="131"/>
              <w:jc w:val="left"/>
              <w:rPr>
                <w:b/>
                <w:i/>
                <w:sz w:val="16"/>
              </w:rPr>
            </w:pPr>
            <w:r>
              <w:rPr>
                <w:b/>
                <w:i/>
                <w:color w:val="231F20"/>
                <w:spacing w:val="-5"/>
                <w:w w:val="105"/>
                <w:sz w:val="16"/>
              </w:rPr>
              <w:t>PON</w:t>
            </w:r>
          </w:p>
        </w:tc>
        <w:tc>
          <w:tcPr>
            <w:tcW w:w="1164" w:type="dxa"/>
          </w:tcPr>
          <w:p>
            <w:pPr>
              <w:pStyle w:val="TableParagraph"/>
              <w:spacing w:before="32"/>
              <w:ind w:right="107"/>
              <w:jc w:val="right"/>
              <w:rPr>
                <w:b/>
                <w:i/>
                <w:sz w:val="16"/>
              </w:rPr>
            </w:pPr>
            <w:r>
              <w:rPr>
                <w:b/>
                <w:i/>
                <w:color w:val="231F20"/>
                <w:spacing w:val="-2"/>
                <w:w w:val="105"/>
                <w:sz w:val="16"/>
              </w:rPr>
              <w:t>REPAYMENT</w:t>
            </w:r>
          </w:p>
        </w:tc>
        <w:tc>
          <w:tcPr>
            <w:tcW w:w="946" w:type="dxa"/>
          </w:tcPr>
          <w:p>
            <w:pPr>
              <w:pStyle w:val="TableParagraph"/>
              <w:spacing w:before="23"/>
              <w:ind w:left="159"/>
              <w:jc w:val="left"/>
              <w:rPr>
                <w:rFonts w:ascii="Symbol" w:hAnsi="Symbol"/>
                <w:sz w:val="16"/>
              </w:rPr>
            </w:pPr>
            <w:r>
              <w:rPr>
                <w:b/>
                <w:i/>
                <w:color w:val="231F20"/>
                <w:w w:val="105"/>
                <w:sz w:val="16"/>
              </w:rPr>
              <w:t>TOTAL</w:t>
            </w:r>
            <w:r>
              <w:rPr>
                <w:b/>
                <w:i/>
                <w:color w:val="231F20"/>
                <w:spacing w:val="-7"/>
                <w:w w:val="105"/>
                <w:sz w:val="16"/>
              </w:rPr>
              <w:t> </w:t>
            </w:r>
            <w:r>
              <w:rPr>
                <w:rFonts w:ascii="Symbol" w:hAnsi="Symbol"/>
                <w:color w:val="231F20"/>
                <w:spacing w:val="-10"/>
                <w:w w:val="105"/>
                <w:sz w:val="16"/>
              </w:rPr>
              <w:t></w:t>
            </w:r>
          </w:p>
        </w:tc>
        <w:tc>
          <w:tcPr>
            <w:tcW w:w="1409" w:type="dxa"/>
          </w:tcPr>
          <w:p>
            <w:pPr>
              <w:pStyle w:val="TableParagraph"/>
              <w:spacing w:before="23"/>
              <w:ind w:left="98" w:right="91"/>
              <w:rPr>
                <w:rFonts w:ascii="Symbol" w:hAnsi="Symbol"/>
                <w:sz w:val="16"/>
              </w:rPr>
            </w:pPr>
            <w:r>
              <w:rPr>
                <w:b/>
                <w:i/>
                <w:color w:val="231F20"/>
                <w:sz w:val="16"/>
              </w:rPr>
              <w:t>@</w:t>
            </w:r>
            <w:r>
              <w:rPr>
                <w:b/>
                <w:i/>
                <w:color w:val="231F20"/>
                <w:spacing w:val="-6"/>
                <w:sz w:val="16"/>
              </w:rPr>
              <w:t> </w:t>
            </w:r>
            <w:r>
              <w:rPr>
                <w:b/>
                <w:i/>
                <w:color w:val="231F20"/>
                <w:sz w:val="16"/>
              </w:rPr>
              <w:t>8%</w:t>
            </w:r>
            <w:r>
              <w:rPr>
                <w:b/>
                <w:i/>
                <w:color w:val="231F20"/>
                <w:spacing w:val="-6"/>
                <w:sz w:val="16"/>
              </w:rPr>
              <w:t> </w:t>
            </w:r>
            <w:r>
              <w:rPr>
                <w:b/>
                <w:i/>
                <w:color w:val="231F20"/>
                <w:sz w:val="16"/>
              </w:rPr>
              <w:t>MARKET</w:t>
            </w:r>
            <w:r>
              <w:rPr>
                <w:b/>
                <w:i/>
                <w:color w:val="231F20"/>
                <w:spacing w:val="-6"/>
                <w:sz w:val="16"/>
              </w:rPr>
              <w:t> </w:t>
            </w:r>
            <w:r>
              <w:rPr>
                <w:rFonts w:ascii="Symbol" w:hAnsi="Symbol"/>
                <w:color w:val="231F20"/>
                <w:spacing w:val="-12"/>
                <w:sz w:val="16"/>
              </w:rPr>
              <w:t></w:t>
            </w:r>
          </w:p>
        </w:tc>
        <w:tc>
          <w:tcPr>
            <w:tcW w:w="1228" w:type="dxa"/>
          </w:tcPr>
          <w:p>
            <w:pPr>
              <w:pStyle w:val="TableParagraph"/>
              <w:spacing w:before="32"/>
              <w:ind w:left="390"/>
              <w:jc w:val="left"/>
              <w:rPr>
                <w:b/>
                <w:i/>
                <w:sz w:val="16"/>
              </w:rPr>
            </w:pPr>
            <w:r>
              <w:rPr>
                <w:b/>
                <w:i/>
                <w:color w:val="231F20"/>
                <w:spacing w:val="-2"/>
                <w:w w:val="105"/>
                <w:sz w:val="16"/>
              </w:rPr>
              <w:t>VALUE</w:t>
            </w:r>
          </w:p>
        </w:tc>
      </w:tr>
      <w:tr>
        <w:trPr>
          <w:trHeight w:val="298" w:hRule="atLeast"/>
        </w:trPr>
        <w:tc>
          <w:tcPr>
            <w:tcW w:w="900" w:type="dxa"/>
          </w:tcPr>
          <w:p>
            <w:pPr>
              <w:pStyle w:val="TableParagraph"/>
              <w:spacing w:before="55"/>
              <w:ind w:left="50"/>
              <w:jc w:val="left"/>
              <w:rPr>
                <w:b/>
                <w:sz w:val="16"/>
              </w:rPr>
            </w:pPr>
            <w:r>
              <w:rPr>
                <w:b/>
                <w:color w:val="231F20"/>
                <w:spacing w:val="-4"/>
                <w:sz w:val="16"/>
              </w:rPr>
              <w:t>1992</w:t>
            </w:r>
          </w:p>
        </w:tc>
        <w:tc>
          <w:tcPr>
            <w:tcW w:w="642" w:type="dxa"/>
          </w:tcPr>
          <w:p>
            <w:pPr>
              <w:pStyle w:val="TableParagraph"/>
              <w:spacing w:before="55"/>
              <w:ind w:left="92"/>
              <w:jc w:val="left"/>
              <w:rPr>
                <w:sz w:val="16"/>
              </w:rPr>
            </w:pPr>
            <w:r>
              <w:rPr>
                <w:color w:val="231F20"/>
                <w:spacing w:val="-5"/>
                <w:w w:val="105"/>
                <w:sz w:val="16"/>
              </w:rPr>
              <w:t>$8</w:t>
            </w:r>
          </w:p>
        </w:tc>
        <w:tc>
          <w:tcPr>
            <w:tcW w:w="1164" w:type="dxa"/>
          </w:tcPr>
          <w:p>
            <w:pPr>
              <w:pStyle w:val="TableParagraph"/>
              <w:spacing w:before="55"/>
              <w:ind w:right="193"/>
              <w:jc w:val="right"/>
              <w:rPr>
                <w:sz w:val="16"/>
              </w:rPr>
            </w:pPr>
            <w:r>
              <w:rPr>
                <w:color w:val="231F20"/>
                <w:spacing w:val="-5"/>
                <w:w w:val="105"/>
                <w:sz w:val="16"/>
              </w:rPr>
              <w:t>$0</w:t>
            </w:r>
          </w:p>
        </w:tc>
        <w:tc>
          <w:tcPr>
            <w:tcW w:w="946" w:type="dxa"/>
          </w:tcPr>
          <w:p>
            <w:pPr>
              <w:pStyle w:val="TableParagraph"/>
              <w:spacing w:before="55"/>
              <w:ind w:left="496"/>
              <w:jc w:val="left"/>
              <w:rPr>
                <w:sz w:val="16"/>
              </w:rPr>
            </w:pPr>
            <w:r>
              <w:rPr>
                <w:color w:val="231F20"/>
                <w:spacing w:val="-5"/>
                <w:w w:val="105"/>
                <w:sz w:val="16"/>
              </w:rPr>
              <w:t>$8</w:t>
            </w:r>
          </w:p>
        </w:tc>
        <w:tc>
          <w:tcPr>
            <w:tcW w:w="1409" w:type="dxa"/>
          </w:tcPr>
          <w:p>
            <w:pPr>
              <w:pStyle w:val="TableParagraph"/>
              <w:spacing w:before="55"/>
              <w:ind w:left="98" w:right="91"/>
              <w:rPr>
                <w:sz w:val="16"/>
              </w:rPr>
            </w:pPr>
            <w:r>
              <w:rPr>
                <w:color w:val="231F20"/>
                <w:spacing w:val="-4"/>
                <w:w w:val="105"/>
                <w:sz w:val="16"/>
              </w:rPr>
              <w:t>.9259</w:t>
            </w:r>
          </w:p>
        </w:tc>
        <w:tc>
          <w:tcPr>
            <w:tcW w:w="1228" w:type="dxa"/>
          </w:tcPr>
          <w:p>
            <w:pPr>
              <w:pStyle w:val="TableParagraph"/>
              <w:spacing w:before="55"/>
              <w:ind w:right="116"/>
              <w:jc w:val="right"/>
              <w:rPr>
                <w:sz w:val="16"/>
              </w:rPr>
            </w:pPr>
            <w:r>
              <w:rPr>
                <w:color w:val="231F20"/>
                <w:spacing w:val="-4"/>
                <w:w w:val="105"/>
                <w:sz w:val="16"/>
              </w:rPr>
              <w:t>$7.41</w:t>
            </w:r>
          </w:p>
        </w:tc>
      </w:tr>
      <w:tr>
        <w:trPr>
          <w:trHeight w:val="300" w:hRule="atLeast"/>
        </w:trPr>
        <w:tc>
          <w:tcPr>
            <w:tcW w:w="900" w:type="dxa"/>
          </w:tcPr>
          <w:p>
            <w:pPr>
              <w:pStyle w:val="TableParagraph"/>
              <w:spacing w:before="57"/>
              <w:ind w:left="50"/>
              <w:jc w:val="left"/>
              <w:rPr>
                <w:b/>
                <w:sz w:val="16"/>
              </w:rPr>
            </w:pPr>
            <w:r>
              <w:rPr>
                <w:b/>
                <w:color w:val="231F20"/>
                <w:spacing w:val="-4"/>
                <w:sz w:val="16"/>
              </w:rPr>
              <w:t>1993</w:t>
            </w:r>
          </w:p>
        </w:tc>
        <w:tc>
          <w:tcPr>
            <w:tcW w:w="642" w:type="dxa"/>
          </w:tcPr>
          <w:p>
            <w:pPr>
              <w:pStyle w:val="TableParagraph"/>
              <w:spacing w:before="57"/>
              <w:ind w:left="181"/>
              <w:jc w:val="left"/>
              <w:rPr>
                <w:sz w:val="16"/>
              </w:rPr>
            </w:pPr>
            <w:r>
              <w:rPr>
                <w:color w:val="231F20"/>
                <w:w w:val="100"/>
                <w:sz w:val="16"/>
              </w:rPr>
              <w:t>8</w:t>
            </w:r>
          </w:p>
        </w:tc>
        <w:tc>
          <w:tcPr>
            <w:tcW w:w="1164" w:type="dxa"/>
          </w:tcPr>
          <w:p>
            <w:pPr>
              <w:pStyle w:val="TableParagraph"/>
              <w:spacing w:before="57"/>
              <w:ind w:right="193"/>
              <w:jc w:val="right"/>
              <w:rPr>
                <w:sz w:val="16"/>
              </w:rPr>
            </w:pPr>
            <w:r>
              <w:rPr>
                <w:color w:val="231F20"/>
                <w:w w:val="100"/>
                <w:sz w:val="16"/>
              </w:rPr>
              <w:t>0</w:t>
            </w:r>
          </w:p>
        </w:tc>
        <w:tc>
          <w:tcPr>
            <w:tcW w:w="946" w:type="dxa"/>
          </w:tcPr>
          <w:p>
            <w:pPr>
              <w:pStyle w:val="TableParagraph"/>
              <w:spacing w:before="57"/>
              <w:ind w:left="585"/>
              <w:jc w:val="left"/>
              <w:rPr>
                <w:sz w:val="16"/>
              </w:rPr>
            </w:pPr>
            <w:r>
              <w:rPr>
                <w:color w:val="231F20"/>
                <w:w w:val="100"/>
                <w:sz w:val="16"/>
              </w:rPr>
              <w:t>8</w:t>
            </w:r>
          </w:p>
        </w:tc>
        <w:tc>
          <w:tcPr>
            <w:tcW w:w="1409" w:type="dxa"/>
          </w:tcPr>
          <w:p>
            <w:pPr>
              <w:pStyle w:val="TableParagraph"/>
              <w:spacing w:before="57"/>
              <w:ind w:left="98" w:right="91"/>
              <w:rPr>
                <w:sz w:val="16"/>
              </w:rPr>
            </w:pPr>
            <w:r>
              <w:rPr>
                <w:color w:val="231F20"/>
                <w:spacing w:val="-4"/>
                <w:w w:val="105"/>
                <w:sz w:val="16"/>
              </w:rPr>
              <w:t>.8573</w:t>
            </w:r>
          </w:p>
        </w:tc>
        <w:tc>
          <w:tcPr>
            <w:tcW w:w="1228" w:type="dxa"/>
          </w:tcPr>
          <w:p>
            <w:pPr>
              <w:pStyle w:val="TableParagraph"/>
              <w:spacing w:before="57"/>
              <w:ind w:right="116"/>
              <w:jc w:val="right"/>
              <w:rPr>
                <w:sz w:val="16"/>
              </w:rPr>
            </w:pPr>
            <w:r>
              <w:rPr>
                <w:color w:val="231F20"/>
                <w:spacing w:val="-4"/>
                <w:w w:val="105"/>
                <w:sz w:val="16"/>
              </w:rPr>
              <w:t>6.86</w:t>
            </w:r>
          </w:p>
        </w:tc>
      </w:tr>
      <w:tr>
        <w:trPr>
          <w:trHeight w:val="300" w:hRule="atLeast"/>
        </w:trPr>
        <w:tc>
          <w:tcPr>
            <w:tcW w:w="900" w:type="dxa"/>
          </w:tcPr>
          <w:p>
            <w:pPr>
              <w:pStyle w:val="TableParagraph"/>
              <w:spacing w:before="57"/>
              <w:ind w:left="50"/>
              <w:jc w:val="left"/>
              <w:rPr>
                <w:b/>
                <w:sz w:val="16"/>
              </w:rPr>
            </w:pPr>
            <w:r>
              <w:rPr>
                <w:b/>
                <w:color w:val="231F20"/>
                <w:spacing w:val="-4"/>
                <w:sz w:val="16"/>
              </w:rPr>
              <w:t>1994</w:t>
            </w:r>
          </w:p>
        </w:tc>
        <w:tc>
          <w:tcPr>
            <w:tcW w:w="642" w:type="dxa"/>
          </w:tcPr>
          <w:p>
            <w:pPr>
              <w:pStyle w:val="TableParagraph"/>
              <w:spacing w:before="57"/>
              <w:ind w:left="181"/>
              <w:jc w:val="left"/>
              <w:rPr>
                <w:sz w:val="16"/>
              </w:rPr>
            </w:pPr>
            <w:r>
              <w:rPr>
                <w:color w:val="231F20"/>
                <w:w w:val="100"/>
                <w:sz w:val="16"/>
              </w:rPr>
              <w:t>8</w:t>
            </w:r>
          </w:p>
        </w:tc>
        <w:tc>
          <w:tcPr>
            <w:tcW w:w="1164" w:type="dxa"/>
          </w:tcPr>
          <w:p>
            <w:pPr>
              <w:pStyle w:val="TableParagraph"/>
              <w:spacing w:before="57"/>
              <w:ind w:right="193"/>
              <w:jc w:val="right"/>
              <w:rPr>
                <w:sz w:val="16"/>
              </w:rPr>
            </w:pPr>
            <w:r>
              <w:rPr>
                <w:color w:val="231F20"/>
                <w:w w:val="100"/>
                <w:sz w:val="16"/>
              </w:rPr>
              <w:t>0</w:t>
            </w:r>
          </w:p>
        </w:tc>
        <w:tc>
          <w:tcPr>
            <w:tcW w:w="946" w:type="dxa"/>
          </w:tcPr>
          <w:p>
            <w:pPr>
              <w:pStyle w:val="TableParagraph"/>
              <w:spacing w:before="57"/>
              <w:ind w:left="585"/>
              <w:jc w:val="left"/>
              <w:rPr>
                <w:sz w:val="16"/>
              </w:rPr>
            </w:pPr>
            <w:r>
              <w:rPr>
                <w:color w:val="231F20"/>
                <w:w w:val="100"/>
                <w:sz w:val="16"/>
              </w:rPr>
              <w:t>8</w:t>
            </w:r>
          </w:p>
        </w:tc>
        <w:tc>
          <w:tcPr>
            <w:tcW w:w="1409" w:type="dxa"/>
          </w:tcPr>
          <w:p>
            <w:pPr>
              <w:pStyle w:val="TableParagraph"/>
              <w:spacing w:before="57"/>
              <w:ind w:left="98" w:right="91"/>
              <w:rPr>
                <w:sz w:val="16"/>
              </w:rPr>
            </w:pPr>
            <w:r>
              <w:rPr>
                <w:color w:val="231F20"/>
                <w:spacing w:val="-4"/>
                <w:w w:val="105"/>
                <w:sz w:val="16"/>
              </w:rPr>
              <w:t>.7939</w:t>
            </w:r>
          </w:p>
        </w:tc>
        <w:tc>
          <w:tcPr>
            <w:tcW w:w="1228" w:type="dxa"/>
          </w:tcPr>
          <w:p>
            <w:pPr>
              <w:pStyle w:val="TableParagraph"/>
              <w:spacing w:before="57"/>
              <w:ind w:right="116"/>
              <w:jc w:val="right"/>
              <w:rPr>
                <w:sz w:val="16"/>
              </w:rPr>
            </w:pPr>
            <w:r>
              <w:rPr>
                <w:color w:val="231F20"/>
                <w:spacing w:val="-4"/>
                <w:w w:val="105"/>
                <w:sz w:val="16"/>
              </w:rPr>
              <w:t>6.35</w:t>
            </w:r>
          </w:p>
        </w:tc>
      </w:tr>
      <w:tr>
        <w:trPr>
          <w:trHeight w:val="300" w:hRule="atLeast"/>
        </w:trPr>
        <w:tc>
          <w:tcPr>
            <w:tcW w:w="900" w:type="dxa"/>
          </w:tcPr>
          <w:p>
            <w:pPr>
              <w:pStyle w:val="TableParagraph"/>
              <w:spacing w:before="57"/>
              <w:ind w:left="50"/>
              <w:jc w:val="left"/>
              <w:rPr>
                <w:b/>
                <w:sz w:val="16"/>
              </w:rPr>
            </w:pPr>
            <w:r>
              <w:rPr>
                <w:b/>
                <w:color w:val="231F20"/>
                <w:spacing w:val="-4"/>
                <w:sz w:val="16"/>
              </w:rPr>
              <w:t>1995</w:t>
            </w:r>
          </w:p>
        </w:tc>
        <w:tc>
          <w:tcPr>
            <w:tcW w:w="642" w:type="dxa"/>
          </w:tcPr>
          <w:p>
            <w:pPr>
              <w:pStyle w:val="TableParagraph"/>
              <w:spacing w:before="57"/>
              <w:ind w:left="181"/>
              <w:jc w:val="left"/>
              <w:rPr>
                <w:sz w:val="16"/>
              </w:rPr>
            </w:pPr>
            <w:r>
              <w:rPr>
                <w:color w:val="231F20"/>
                <w:w w:val="100"/>
                <w:sz w:val="16"/>
              </w:rPr>
              <w:t>8</w:t>
            </w:r>
          </w:p>
        </w:tc>
        <w:tc>
          <w:tcPr>
            <w:tcW w:w="1164" w:type="dxa"/>
          </w:tcPr>
          <w:p>
            <w:pPr>
              <w:pStyle w:val="TableParagraph"/>
              <w:spacing w:before="57"/>
              <w:ind w:right="193"/>
              <w:jc w:val="right"/>
              <w:rPr>
                <w:sz w:val="16"/>
              </w:rPr>
            </w:pPr>
            <w:r>
              <w:rPr>
                <w:color w:val="231F20"/>
                <w:w w:val="100"/>
                <w:sz w:val="16"/>
              </w:rPr>
              <w:t>0</w:t>
            </w:r>
          </w:p>
        </w:tc>
        <w:tc>
          <w:tcPr>
            <w:tcW w:w="946" w:type="dxa"/>
          </w:tcPr>
          <w:p>
            <w:pPr>
              <w:pStyle w:val="TableParagraph"/>
              <w:spacing w:before="57"/>
              <w:ind w:left="585"/>
              <w:jc w:val="left"/>
              <w:rPr>
                <w:sz w:val="16"/>
              </w:rPr>
            </w:pPr>
            <w:r>
              <w:rPr>
                <w:color w:val="231F20"/>
                <w:w w:val="100"/>
                <w:sz w:val="16"/>
              </w:rPr>
              <w:t>8</w:t>
            </w:r>
          </w:p>
        </w:tc>
        <w:tc>
          <w:tcPr>
            <w:tcW w:w="1409" w:type="dxa"/>
          </w:tcPr>
          <w:p>
            <w:pPr>
              <w:pStyle w:val="TableParagraph"/>
              <w:spacing w:before="57"/>
              <w:ind w:left="98" w:right="91"/>
              <w:rPr>
                <w:sz w:val="16"/>
              </w:rPr>
            </w:pPr>
            <w:r>
              <w:rPr>
                <w:color w:val="231F20"/>
                <w:spacing w:val="-4"/>
                <w:w w:val="105"/>
                <w:sz w:val="16"/>
              </w:rPr>
              <w:t>.7350</w:t>
            </w:r>
          </w:p>
        </w:tc>
        <w:tc>
          <w:tcPr>
            <w:tcW w:w="1228" w:type="dxa"/>
          </w:tcPr>
          <w:p>
            <w:pPr>
              <w:pStyle w:val="TableParagraph"/>
              <w:spacing w:before="57"/>
              <w:ind w:right="116"/>
              <w:jc w:val="right"/>
              <w:rPr>
                <w:sz w:val="16"/>
              </w:rPr>
            </w:pPr>
            <w:r>
              <w:rPr>
                <w:color w:val="231F20"/>
                <w:spacing w:val="-4"/>
                <w:w w:val="105"/>
                <w:sz w:val="16"/>
              </w:rPr>
              <w:t>5.88</w:t>
            </w:r>
          </w:p>
        </w:tc>
      </w:tr>
      <w:tr>
        <w:trPr>
          <w:trHeight w:val="300" w:hRule="atLeast"/>
        </w:trPr>
        <w:tc>
          <w:tcPr>
            <w:tcW w:w="900" w:type="dxa"/>
          </w:tcPr>
          <w:p>
            <w:pPr>
              <w:pStyle w:val="TableParagraph"/>
              <w:spacing w:before="57"/>
              <w:ind w:left="50"/>
              <w:jc w:val="left"/>
              <w:rPr>
                <w:b/>
                <w:sz w:val="16"/>
              </w:rPr>
            </w:pPr>
            <w:r>
              <w:rPr>
                <w:b/>
                <w:color w:val="231F20"/>
                <w:spacing w:val="-4"/>
                <w:sz w:val="16"/>
              </w:rPr>
              <w:t>1996</w:t>
            </w:r>
          </w:p>
        </w:tc>
        <w:tc>
          <w:tcPr>
            <w:tcW w:w="642" w:type="dxa"/>
          </w:tcPr>
          <w:p>
            <w:pPr>
              <w:pStyle w:val="TableParagraph"/>
              <w:spacing w:before="57"/>
              <w:ind w:left="181"/>
              <w:jc w:val="left"/>
              <w:rPr>
                <w:sz w:val="16"/>
              </w:rPr>
            </w:pPr>
            <w:r>
              <w:rPr>
                <w:color w:val="231F20"/>
                <w:w w:val="100"/>
                <w:sz w:val="16"/>
              </w:rPr>
              <w:t>8</w:t>
            </w:r>
          </w:p>
        </w:tc>
        <w:tc>
          <w:tcPr>
            <w:tcW w:w="1164" w:type="dxa"/>
          </w:tcPr>
          <w:p>
            <w:pPr>
              <w:pStyle w:val="TableParagraph"/>
              <w:spacing w:before="57"/>
              <w:ind w:right="193"/>
              <w:jc w:val="right"/>
              <w:rPr>
                <w:sz w:val="16"/>
              </w:rPr>
            </w:pPr>
            <w:r>
              <w:rPr>
                <w:color w:val="231F20"/>
                <w:w w:val="100"/>
                <w:sz w:val="16"/>
              </w:rPr>
              <w:t>0</w:t>
            </w:r>
          </w:p>
        </w:tc>
        <w:tc>
          <w:tcPr>
            <w:tcW w:w="946" w:type="dxa"/>
          </w:tcPr>
          <w:p>
            <w:pPr>
              <w:pStyle w:val="TableParagraph"/>
              <w:spacing w:before="57"/>
              <w:ind w:left="585"/>
              <w:jc w:val="left"/>
              <w:rPr>
                <w:sz w:val="16"/>
              </w:rPr>
            </w:pPr>
            <w:r>
              <w:rPr>
                <w:color w:val="231F20"/>
                <w:w w:val="100"/>
                <w:sz w:val="16"/>
              </w:rPr>
              <w:t>8</w:t>
            </w:r>
          </w:p>
        </w:tc>
        <w:tc>
          <w:tcPr>
            <w:tcW w:w="1409" w:type="dxa"/>
          </w:tcPr>
          <w:p>
            <w:pPr>
              <w:pStyle w:val="TableParagraph"/>
              <w:spacing w:before="57"/>
              <w:ind w:left="98" w:right="91"/>
              <w:rPr>
                <w:sz w:val="16"/>
              </w:rPr>
            </w:pPr>
            <w:r>
              <w:rPr>
                <w:color w:val="231F20"/>
                <w:spacing w:val="-4"/>
                <w:w w:val="105"/>
                <w:sz w:val="16"/>
              </w:rPr>
              <w:t>.6806</w:t>
            </w:r>
          </w:p>
        </w:tc>
        <w:tc>
          <w:tcPr>
            <w:tcW w:w="1228" w:type="dxa"/>
          </w:tcPr>
          <w:p>
            <w:pPr>
              <w:pStyle w:val="TableParagraph"/>
              <w:spacing w:before="57"/>
              <w:ind w:right="116"/>
              <w:jc w:val="right"/>
              <w:rPr>
                <w:sz w:val="16"/>
              </w:rPr>
            </w:pPr>
            <w:r>
              <w:rPr>
                <w:color w:val="231F20"/>
                <w:spacing w:val="-4"/>
                <w:w w:val="105"/>
                <w:sz w:val="16"/>
              </w:rPr>
              <w:t>5.44</w:t>
            </w:r>
          </w:p>
        </w:tc>
      </w:tr>
      <w:tr>
        <w:trPr>
          <w:trHeight w:val="300" w:hRule="atLeast"/>
        </w:trPr>
        <w:tc>
          <w:tcPr>
            <w:tcW w:w="900" w:type="dxa"/>
          </w:tcPr>
          <w:p>
            <w:pPr>
              <w:pStyle w:val="TableParagraph"/>
              <w:spacing w:before="57"/>
              <w:ind w:left="50"/>
              <w:jc w:val="left"/>
              <w:rPr>
                <w:b/>
                <w:sz w:val="16"/>
              </w:rPr>
            </w:pPr>
            <w:r>
              <w:rPr>
                <w:b/>
                <w:color w:val="231F20"/>
                <w:spacing w:val="-4"/>
                <w:sz w:val="16"/>
              </w:rPr>
              <w:t>1997</w:t>
            </w:r>
          </w:p>
        </w:tc>
        <w:tc>
          <w:tcPr>
            <w:tcW w:w="642" w:type="dxa"/>
          </w:tcPr>
          <w:p>
            <w:pPr>
              <w:pStyle w:val="TableParagraph"/>
              <w:spacing w:before="57"/>
              <w:ind w:left="181"/>
              <w:jc w:val="left"/>
              <w:rPr>
                <w:sz w:val="16"/>
              </w:rPr>
            </w:pPr>
            <w:r>
              <w:rPr>
                <w:color w:val="231F20"/>
                <w:w w:val="100"/>
                <w:sz w:val="16"/>
              </w:rPr>
              <w:t>8</w:t>
            </w:r>
          </w:p>
        </w:tc>
        <w:tc>
          <w:tcPr>
            <w:tcW w:w="1164" w:type="dxa"/>
          </w:tcPr>
          <w:p>
            <w:pPr>
              <w:pStyle w:val="TableParagraph"/>
              <w:spacing w:before="57"/>
              <w:ind w:right="193"/>
              <w:jc w:val="right"/>
              <w:rPr>
                <w:sz w:val="16"/>
              </w:rPr>
            </w:pPr>
            <w:r>
              <w:rPr>
                <w:color w:val="231F20"/>
                <w:w w:val="100"/>
                <w:sz w:val="16"/>
              </w:rPr>
              <w:t>0</w:t>
            </w:r>
          </w:p>
        </w:tc>
        <w:tc>
          <w:tcPr>
            <w:tcW w:w="946" w:type="dxa"/>
          </w:tcPr>
          <w:p>
            <w:pPr>
              <w:pStyle w:val="TableParagraph"/>
              <w:spacing w:before="57"/>
              <w:ind w:left="585"/>
              <w:jc w:val="left"/>
              <w:rPr>
                <w:sz w:val="16"/>
              </w:rPr>
            </w:pPr>
            <w:r>
              <w:rPr>
                <w:color w:val="231F20"/>
                <w:w w:val="100"/>
                <w:sz w:val="16"/>
              </w:rPr>
              <w:t>8</w:t>
            </w:r>
          </w:p>
        </w:tc>
        <w:tc>
          <w:tcPr>
            <w:tcW w:w="1409" w:type="dxa"/>
          </w:tcPr>
          <w:p>
            <w:pPr>
              <w:pStyle w:val="TableParagraph"/>
              <w:spacing w:before="57"/>
              <w:ind w:left="98" w:right="91"/>
              <w:rPr>
                <w:sz w:val="16"/>
              </w:rPr>
            </w:pPr>
            <w:r>
              <w:rPr>
                <w:color w:val="231F20"/>
                <w:spacing w:val="-4"/>
                <w:w w:val="105"/>
                <w:sz w:val="16"/>
              </w:rPr>
              <w:t>.6302</w:t>
            </w:r>
          </w:p>
        </w:tc>
        <w:tc>
          <w:tcPr>
            <w:tcW w:w="1228" w:type="dxa"/>
          </w:tcPr>
          <w:p>
            <w:pPr>
              <w:pStyle w:val="TableParagraph"/>
              <w:spacing w:before="57"/>
              <w:ind w:right="116"/>
              <w:jc w:val="right"/>
              <w:rPr>
                <w:sz w:val="16"/>
              </w:rPr>
            </w:pPr>
            <w:r>
              <w:rPr>
                <w:color w:val="231F20"/>
                <w:spacing w:val="-4"/>
                <w:w w:val="105"/>
                <w:sz w:val="16"/>
              </w:rPr>
              <w:t>5.04</w:t>
            </w:r>
          </w:p>
        </w:tc>
      </w:tr>
      <w:tr>
        <w:trPr>
          <w:trHeight w:val="300" w:hRule="atLeast"/>
        </w:trPr>
        <w:tc>
          <w:tcPr>
            <w:tcW w:w="900" w:type="dxa"/>
          </w:tcPr>
          <w:p>
            <w:pPr>
              <w:pStyle w:val="TableParagraph"/>
              <w:spacing w:before="57"/>
              <w:ind w:left="50"/>
              <w:jc w:val="left"/>
              <w:rPr>
                <w:b/>
                <w:sz w:val="16"/>
              </w:rPr>
            </w:pPr>
            <w:r>
              <w:rPr>
                <w:b/>
                <w:color w:val="231F20"/>
                <w:spacing w:val="-4"/>
                <w:sz w:val="16"/>
              </w:rPr>
              <w:t>1998</w:t>
            </w:r>
          </w:p>
        </w:tc>
        <w:tc>
          <w:tcPr>
            <w:tcW w:w="642" w:type="dxa"/>
          </w:tcPr>
          <w:p>
            <w:pPr>
              <w:pStyle w:val="TableParagraph"/>
              <w:spacing w:before="57"/>
              <w:ind w:left="181"/>
              <w:jc w:val="left"/>
              <w:rPr>
                <w:sz w:val="16"/>
              </w:rPr>
            </w:pPr>
            <w:r>
              <w:rPr>
                <w:color w:val="231F20"/>
                <w:w w:val="100"/>
                <w:sz w:val="16"/>
              </w:rPr>
              <w:t>8</w:t>
            </w:r>
          </w:p>
        </w:tc>
        <w:tc>
          <w:tcPr>
            <w:tcW w:w="1164" w:type="dxa"/>
          </w:tcPr>
          <w:p>
            <w:pPr>
              <w:pStyle w:val="TableParagraph"/>
              <w:spacing w:before="57"/>
              <w:ind w:right="193"/>
              <w:jc w:val="right"/>
              <w:rPr>
                <w:sz w:val="16"/>
              </w:rPr>
            </w:pPr>
            <w:r>
              <w:rPr>
                <w:color w:val="231F20"/>
                <w:w w:val="100"/>
                <w:sz w:val="16"/>
              </w:rPr>
              <w:t>0</w:t>
            </w:r>
          </w:p>
        </w:tc>
        <w:tc>
          <w:tcPr>
            <w:tcW w:w="946" w:type="dxa"/>
          </w:tcPr>
          <w:p>
            <w:pPr>
              <w:pStyle w:val="TableParagraph"/>
              <w:spacing w:before="57"/>
              <w:ind w:left="585"/>
              <w:jc w:val="left"/>
              <w:rPr>
                <w:sz w:val="16"/>
              </w:rPr>
            </w:pPr>
            <w:r>
              <w:rPr>
                <w:color w:val="231F20"/>
                <w:w w:val="100"/>
                <w:sz w:val="16"/>
              </w:rPr>
              <w:t>8</w:t>
            </w:r>
          </w:p>
        </w:tc>
        <w:tc>
          <w:tcPr>
            <w:tcW w:w="1409" w:type="dxa"/>
          </w:tcPr>
          <w:p>
            <w:pPr>
              <w:pStyle w:val="TableParagraph"/>
              <w:spacing w:before="57"/>
              <w:ind w:left="98" w:right="91"/>
              <w:rPr>
                <w:sz w:val="16"/>
              </w:rPr>
            </w:pPr>
            <w:r>
              <w:rPr>
                <w:color w:val="231F20"/>
                <w:spacing w:val="-4"/>
                <w:w w:val="105"/>
                <w:sz w:val="16"/>
              </w:rPr>
              <w:t>.5835</w:t>
            </w:r>
          </w:p>
        </w:tc>
        <w:tc>
          <w:tcPr>
            <w:tcW w:w="1228" w:type="dxa"/>
          </w:tcPr>
          <w:p>
            <w:pPr>
              <w:pStyle w:val="TableParagraph"/>
              <w:spacing w:before="57"/>
              <w:ind w:right="116"/>
              <w:jc w:val="right"/>
              <w:rPr>
                <w:sz w:val="16"/>
              </w:rPr>
            </w:pPr>
            <w:r>
              <w:rPr>
                <w:color w:val="231F20"/>
                <w:spacing w:val="-4"/>
                <w:w w:val="105"/>
                <w:sz w:val="16"/>
              </w:rPr>
              <w:t>4.67</w:t>
            </w:r>
          </w:p>
        </w:tc>
      </w:tr>
      <w:tr>
        <w:trPr>
          <w:trHeight w:val="300" w:hRule="atLeast"/>
        </w:trPr>
        <w:tc>
          <w:tcPr>
            <w:tcW w:w="900" w:type="dxa"/>
          </w:tcPr>
          <w:p>
            <w:pPr>
              <w:pStyle w:val="TableParagraph"/>
              <w:spacing w:before="57"/>
              <w:ind w:left="50"/>
              <w:jc w:val="left"/>
              <w:rPr>
                <w:b/>
                <w:sz w:val="16"/>
              </w:rPr>
            </w:pPr>
            <w:r>
              <w:rPr>
                <w:b/>
                <w:color w:val="231F20"/>
                <w:spacing w:val="-4"/>
                <w:sz w:val="16"/>
              </w:rPr>
              <w:t>1999</w:t>
            </w:r>
          </w:p>
        </w:tc>
        <w:tc>
          <w:tcPr>
            <w:tcW w:w="642" w:type="dxa"/>
          </w:tcPr>
          <w:p>
            <w:pPr>
              <w:pStyle w:val="TableParagraph"/>
              <w:spacing w:before="57"/>
              <w:ind w:left="181"/>
              <w:jc w:val="left"/>
              <w:rPr>
                <w:sz w:val="16"/>
              </w:rPr>
            </w:pPr>
            <w:r>
              <w:rPr>
                <w:color w:val="231F20"/>
                <w:w w:val="100"/>
                <w:sz w:val="16"/>
              </w:rPr>
              <w:t>8</w:t>
            </w:r>
          </w:p>
        </w:tc>
        <w:tc>
          <w:tcPr>
            <w:tcW w:w="1164" w:type="dxa"/>
          </w:tcPr>
          <w:p>
            <w:pPr>
              <w:pStyle w:val="TableParagraph"/>
              <w:spacing w:before="57"/>
              <w:ind w:right="193"/>
              <w:jc w:val="right"/>
              <w:rPr>
                <w:sz w:val="16"/>
              </w:rPr>
            </w:pPr>
            <w:r>
              <w:rPr>
                <w:color w:val="231F20"/>
                <w:w w:val="100"/>
                <w:sz w:val="16"/>
              </w:rPr>
              <w:t>0</w:t>
            </w:r>
          </w:p>
        </w:tc>
        <w:tc>
          <w:tcPr>
            <w:tcW w:w="946" w:type="dxa"/>
          </w:tcPr>
          <w:p>
            <w:pPr>
              <w:pStyle w:val="TableParagraph"/>
              <w:spacing w:before="57"/>
              <w:ind w:left="585"/>
              <w:jc w:val="left"/>
              <w:rPr>
                <w:sz w:val="16"/>
              </w:rPr>
            </w:pPr>
            <w:r>
              <w:rPr>
                <w:color w:val="231F20"/>
                <w:w w:val="100"/>
                <w:sz w:val="16"/>
              </w:rPr>
              <w:t>8</w:t>
            </w:r>
          </w:p>
        </w:tc>
        <w:tc>
          <w:tcPr>
            <w:tcW w:w="1409" w:type="dxa"/>
          </w:tcPr>
          <w:p>
            <w:pPr>
              <w:pStyle w:val="TableParagraph"/>
              <w:spacing w:before="57"/>
              <w:ind w:left="98" w:right="91"/>
              <w:rPr>
                <w:sz w:val="16"/>
              </w:rPr>
            </w:pPr>
            <w:r>
              <w:rPr>
                <w:color w:val="231F20"/>
                <w:spacing w:val="-4"/>
                <w:w w:val="105"/>
                <w:sz w:val="16"/>
              </w:rPr>
              <w:t>.5403</w:t>
            </w:r>
          </w:p>
        </w:tc>
        <w:tc>
          <w:tcPr>
            <w:tcW w:w="1228" w:type="dxa"/>
          </w:tcPr>
          <w:p>
            <w:pPr>
              <w:pStyle w:val="TableParagraph"/>
              <w:spacing w:before="57"/>
              <w:ind w:right="116"/>
              <w:jc w:val="right"/>
              <w:rPr>
                <w:sz w:val="16"/>
              </w:rPr>
            </w:pPr>
            <w:r>
              <w:rPr>
                <w:color w:val="231F20"/>
                <w:spacing w:val="-4"/>
                <w:w w:val="105"/>
                <w:sz w:val="16"/>
              </w:rPr>
              <w:t>4.32</w:t>
            </w:r>
          </w:p>
        </w:tc>
      </w:tr>
      <w:tr>
        <w:trPr>
          <w:trHeight w:val="300" w:hRule="atLeast"/>
        </w:trPr>
        <w:tc>
          <w:tcPr>
            <w:tcW w:w="900" w:type="dxa"/>
          </w:tcPr>
          <w:p>
            <w:pPr>
              <w:pStyle w:val="TableParagraph"/>
              <w:spacing w:before="57"/>
              <w:ind w:left="50"/>
              <w:jc w:val="left"/>
              <w:rPr>
                <w:b/>
                <w:sz w:val="16"/>
              </w:rPr>
            </w:pPr>
            <w:r>
              <w:rPr>
                <w:b/>
                <w:color w:val="231F20"/>
                <w:spacing w:val="-4"/>
                <w:sz w:val="16"/>
              </w:rPr>
              <w:t>2000</w:t>
            </w:r>
          </w:p>
        </w:tc>
        <w:tc>
          <w:tcPr>
            <w:tcW w:w="642" w:type="dxa"/>
          </w:tcPr>
          <w:p>
            <w:pPr>
              <w:pStyle w:val="TableParagraph"/>
              <w:spacing w:before="57"/>
              <w:ind w:left="181"/>
              <w:jc w:val="left"/>
              <w:rPr>
                <w:sz w:val="16"/>
              </w:rPr>
            </w:pPr>
            <w:r>
              <w:rPr>
                <w:color w:val="231F20"/>
                <w:w w:val="100"/>
                <w:sz w:val="16"/>
              </w:rPr>
              <w:t>8</w:t>
            </w:r>
          </w:p>
        </w:tc>
        <w:tc>
          <w:tcPr>
            <w:tcW w:w="1164" w:type="dxa"/>
          </w:tcPr>
          <w:p>
            <w:pPr>
              <w:pStyle w:val="TableParagraph"/>
              <w:spacing w:before="57"/>
              <w:ind w:right="193"/>
              <w:jc w:val="right"/>
              <w:rPr>
                <w:sz w:val="16"/>
              </w:rPr>
            </w:pPr>
            <w:r>
              <w:rPr>
                <w:color w:val="231F20"/>
                <w:w w:val="100"/>
                <w:sz w:val="16"/>
              </w:rPr>
              <w:t>0</w:t>
            </w:r>
          </w:p>
        </w:tc>
        <w:tc>
          <w:tcPr>
            <w:tcW w:w="946" w:type="dxa"/>
          </w:tcPr>
          <w:p>
            <w:pPr>
              <w:pStyle w:val="TableParagraph"/>
              <w:spacing w:before="57"/>
              <w:ind w:left="585"/>
              <w:jc w:val="left"/>
              <w:rPr>
                <w:sz w:val="16"/>
              </w:rPr>
            </w:pPr>
            <w:r>
              <w:rPr>
                <w:color w:val="231F20"/>
                <w:w w:val="100"/>
                <w:sz w:val="16"/>
              </w:rPr>
              <w:t>8</w:t>
            </w:r>
          </w:p>
        </w:tc>
        <w:tc>
          <w:tcPr>
            <w:tcW w:w="1409" w:type="dxa"/>
          </w:tcPr>
          <w:p>
            <w:pPr>
              <w:pStyle w:val="TableParagraph"/>
              <w:spacing w:before="57"/>
              <w:ind w:left="98" w:right="91"/>
              <w:rPr>
                <w:sz w:val="16"/>
              </w:rPr>
            </w:pPr>
            <w:r>
              <w:rPr>
                <w:color w:val="231F20"/>
                <w:spacing w:val="-4"/>
                <w:w w:val="105"/>
                <w:sz w:val="16"/>
              </w:rPr>
              <w:t>.5002</w:t>
            </w:r>
          </w:p>
        </w:tc>
        <w:tc>
          <w:tcPr>
            <w:tcW w:w="1228" w:type="dxa"/>
          </w:tcPr>
          <w:p>
            <w:pPr>
              <w:pStyle w:val="TableParagraph"/>
              <w:spacing w:before="57"/>
              <w:ind w:right="116"/>
              <w:jc w:val="right"/>
              <w:rPr>
                <w:sz w:val="16"/>
              </w:rPr>
            </w:pPr>
            <w:r>
              <w:rPr>
                <w:color w:val="231F20"/>
                <w:spacing w:val="-4"/>
                <w:w w:val="105"/>
                <w:sz w:val="16"/>
              </w:rPr>
              <w:t>4.00</w:t>
            </w:r>
          </w:p>
        </w:tc>
      </w:tr>
      <w:tr>
        <w:trPr>
          <w:trHeight w:val="296" w:hRule="atLeast"/>
        </w:trPr>
        <w:tc>
          <w:tcPr>
            <w:tcW w:w="900" w:type="dxa"/>
          </w:tcPr>
          <w:p>
            <w:pPr>
              <w:pStyle w:val="TableParagraph"/>
              <w:spacing w:before="57"/>
              <w:ind w:left="50"/>
              <w:jc w:val="left"/>
              <w:rPr>
                <w:b/>
                <w:sz w:val="16"/>
              </w:rPr>
            </w:pPr>
            <w:r>
              <w:rPr>
                <w:b/>
                <w:color w:val="231F20"/>
                <w:spacing w:val="-4"/>
                <w:sz w:val="16"/>
              </w:rPr>
              <w:t>2001</w:t>
            </w:r>
          </w:p>
        </w:tc>
        <w:tc>
          <w:tcPr>
            <w:tcW w:w="642" w:type="dxa"/>
          </w:tcPr>
          <w:p>
            <w:pPr>
              <w:pStyle w:val="TableParagraph"/>
              <w:spacing w:before="57"/>
              <w:ind w:left="181"/>
              <w:jc w:val="left"/>
              <w:rPr>
                <w:sz w:val="16"/>
              </w:rPr>
            </w:pPr>
            <w:r>
              <w:rPr>
                <w:color w:val="231F20"/>
                <w:w w:val="100"/>
                <w:sz w:val="16"/>
              </w:rPr>
              <w:t>8</w:t>
            </w:r>
          </w:p>
        </w:tc>
        <w:tc>
          <w:tcPr>
            <w:tcW w:w="1164" w:type="dxa"/>
          </w:tcPr>
          <w:p>
            <w:pPr>
              <w:pStyle w:val="TableParagraph"/>
              <w:spacing w:before="57"/>
              <w:ind w:right="193"/>
              <w:jc w:val="right"/>
              <w:rPr>
                <w:sz w:val="16"/>
              </w:rPr>
            </w:pPr>
            <w:r>
              <w:rPr>
                <w:color w:val="231F20"/>
                <w:spacing w:val="-5"/>
                <w:sz w:val="16"/>
              </w:rPr>
              <w:t>100</w:t>
            </w:r>
          </w:p>
        </w:tc>
        <w:tc>
          <w:tcPr>
            <w:tcW w:w="946" w:type="dxa"/>
          </w:tcPr>
          <w:p>
            <w:pPr>
              <w:pStyle w:val="TableParagraph"/>
              <w:spacing w:before="57"/>
              <w:ind w:left="407"/>
              <w:jc w:val="left"/>
              <w:rPr>
                <w:sz w:val="16"/>
              </w:rPr>
            </w:pPr>
            <w:r>
              <w:rPr>
                <w:color w:val="231F20"/>
                <w:spacing w:val="-5"/>
                <w:sz w:val="16"/>
              </w:rPr>
              <w:t>108</w:t>
            </w:r>
          </w:p>
        </w:tc>
        <w:tc>
          <w:tcPr>
            <w:tcW w:w="1409" w:type="dxa"/>
          </w:tcPr>
          <w:p>
            <w:pPr>
              <w:pStyle w:val="TableParagraph"/>
              <w:spacing w:before="57"/>
              <w:ind w:left="98" w:right="91"/>
              <w:rPr>
                <w:sz w:val="16"/>
              </w:rPr>
            </w:pPr>
            <w:r>
              <w:rPr>
                <w:color w:val="231F20"/>
                <w:spacing w:val="-4"/>
                <w:w w:val="105"/>
                <w:sz w:val="16"/>
              </w:rPr>
              <w:t>.4632</w:t>
            </w:r>
          </w:p>
        </w:tc>
        <w:tc>
          <w:tcPr>
            <w:tcW w:w="1228" w:type="dxa"/>
          </w:tcPr>
          <w:p>
            <w:pPr>
              <w:pStyle w:val="TableParagraph"/>
              <w:spacing w:before="57"/>
              <w:ind w:right="116"/>
              <w:jc w:val="right"/>
              <w:rPr>
                <w:sz w:val="16"/>
              </w:rPr>
            </w:pPr>
            <w:r>
              <w:rPr>
                <w:color w:val="231F20"/>
                <w:spacing w:val="-4"/>
                <w:w w:val="105"/>
                <w:sz w:val="16"/>
              </w:rPr>
              <w:t>50.03</w:t>
            </w:r>
          </w:p>
        </w:tc>
      </w:tr>
      <w:tr>
        <w:trPr>
          <w:trHeight w:val="320" w:hRule="atLeast"/>
        </w:trPr>
        <w:tc>
          <w:tcPr>
            <w:tcW w:w="900" w:type="dxa"/>
          </w:tcPr>
          <w:p>
            <w:pPr>
              <w:pStyle w:val="TableParagraph"/>
              <w:spacing w:before="60"/>
              <w:ind w:left="50"/>
              <w:jc w:val="left"/>
              <w:rPr>
                <w:b/>
                <w:sz w:val="16"/>
              </w:rPr>
            </w:pPr>
            <w:r>
              <w:rPr>
                <w:b/>
                <w:color w:val="231F20"/>
                <w:spacing w:val="-2"/>
                <w:sz w:val="16"/>
              </w:rPr>
              <w:t>Total</w:t>
            </w:r>
          </w:p>
        </w:tc>
        <w:tc>
          <w:tcPr>
            <w:tcW w:w="642" w:type="dxa"/>
          </w:tcPr>
          <w:p>
            <w:pPr>
              <w:pStyle w:val="TableParagraph"/>
              <w:spacing w:line="20" w:lineRule="exact" w:before="0"/>
              <w:jc w:val="left"/>
              <w:rPr>
                <w:sz w:val="2"/>
              </w:rPr>
            </w:pPr>
            <w:r>
              <w:rPr>
                <w:sz w:val="2"/>
              </w:rPr>
              <w:pict>
                <v:group style="width:13pt;height:.5pt;mso-position-horizontal-relative:char;mso-position-vertical-relative:line" id="docshapegroup359" coordorigin="0,0" coordsize="260,10">
                  <v:line style="position:absolute" from="0,5" to="260,5" stroked="true" strokeweight=".5pt" strokecolor="#231f20">
                    <v:stroke dashstyle="solid"/>
                  </v:line>
                </v:group>
              </w:pict>
            </w:r>
            <w:r>
              <w:rPr>
                <w:sz w:val="2"/>
              </w:rPr>
            </w:r>
          </w:p>
          <w:p>
            <w:pPr>
              <w:pStyle w:val="TableParagraph"/>
              <w:spacing w:before="40"/>
              <w:ind w:left="3"/>
              <w:jc w:val="left"/>
              <w:rPr>
                <w:sz w:val="16"/>
              </w:rPr>
            </w:pPr>
            <w:r>
              <w:rPr>
                <w:color w:val="231F20"/>
                <w:spacing w:val="-5"/>
                <w:w w:val="105"/>
                <w:sz w:val="16"/>
              </w:rPr>
              <w:t>$80</w:t>
            </w:r>
          </w:p>
        </w:tc>
        <w:tc>
          <w:tcPr>
            <w:tcW w:w="1164" w:type="dxa"/>
          </w:tcPr>
          <w:p>
            <w:pPr>
              <w:pStyle w:val="TableParagraph"/>
              <w:spacing w:line="20" w:lineRule="exact" w:before="0"/>
              <w:ind w:left="608"/>
              <w:jc w:val="left"/>
              <w:rPr>
                <w:sz w:val="2"/>
              </w:rPr>
            </w:pPr>
            <w:r>
              <w:rPr>
                <w:sz w:val="2"/>
              </w:rPr>
              <w:pict>
                <v:group style="width:17.5pt;height:.5pt;mso-position-horizontal-relative:char;mso-position-vertical-relative:line" id="docshapegroup360" coordorigin="0,0" coordsize="350,10">
                  <v:line style="position:absolute" from="350,5" to="0,5" stroked="true" strokeweight=".5pt" strokecolor="#231f20">
                    <v:stroke dashstyle="solid"/>
                  </v:line>
                </v:group>
              </w:pict>
            </w:r>
            <w:r>
              <w:rPr>
                <w:sz w:val="2"/>
              </w:rPr>
            </w:r>
          </w:p>
          <w:p>
            <w:pPr>
              <w:pStyle w:val="TableParagraph"/>
              <w:spacing w:before="40"/>
              <w:ind w:right="193"/>
              <w:jc w:val="right"/>
              <w:rPr>
                <w:sz w:val="16"/>
              </w:rPr>
            </w:pPr>
            <w:r>
              <w:rPr>
                <w:color w:val="231F20"/>
                <w:spacing w:val="-4"/>
                <w:sz w:val="16"/>
              </w:rPr>
              <w:t>$100</w:t>
            </w:r>
          </w:p>
        </w:tc>
        <w:tc>
          <w:tcPr>
            <w:tcW w:w="946" w:type="dxa"/>
          </w:tcPr>
          <w:p>
            <w:pPr>
              <w:pStyle w:val="TableParagraph"/>
              <w:spacing w:line="20" w:lineRule="exact" w:before="0"/>
              <w:ind w:left="314"/>
              <w:jc w:val="left"/>
              <w:rPr>
                <w:sz w:val="2"/>
              </w:rPr>
            </w:pPr>
            <w:r>
              <w:rPr>
                <w:sz w:val="2"/>
              </w:rPr>
              <w:pict>
                <v:group style="width:17.5pt;height:.5pt;mso-position-horizontal-relative:char;mso-position-vertical-relative:line" id="docshapegroup361" coordorigin="0,0" coordsize="350,10">
                  <v:line style="position:absolute" from="350,5" to="0,5" stroked="true" strokeweight=".5pt" strokecolor="#231f20">
                    <v:stroke dashstyle="solid"/>
                  </v:line>
                </v:group>
              </w:pict>
            </w:r>
            <w:r>
              <w:rPr>
                <w:sz w:val="2"/>
              </w:rPr>
            </w:r>
          </w:p>
          <w:p>
            <w:pPr>
              <w:pStyle w:val="TableParagraph"/>
              <w:spacing w:before="40"/>
              <w:ind w:left="318"/>
              <w:jc w:val="left"/>
              <w:rPr>
                <w:sz w:val="16"/>
              </w:rPr>
            </w:pPr>
            <w:r>
              <w:rPr>
                <w:color w:val="231F20"/>
                <w:spacing w:val="-4"/>
                <w:sz w:val="16"/>
              </w:rPr>
              <w:t>$180</w:t>
            </w:r>
          </w:p>
        </w:tc>
        <w:tc>
          <w:tcPr>
            <w:tcW w:w="1409" w:type="dxa"/>
          </w:tcPr>
          <w:p>
            <w:pPr>
              <w:pStyle w:val="TableParagraph"/>
              <w:spacing w:before="0"/>
              <w:jc w:val="left"/>
              <w:rPr>
                <w:rFonts w:ascii="Times New Roman"/>
                <w:sz w:val="18"/>
              </w:rPr>
            </w:pPr>
          </w:p>
        </w:tc>
        <w:tc>
          <w:tcPr>
            <w:tcW w:w="1228" w:type="dxa"/>
          </w:tcPr>
          <w:p>
            <w:pPr>
              <w:pStyle w:val="TableParagraph"/>
              <w:spacing w:line="20" w:lineRule="exact" w:before="0"/>
              <w:ind w:left="519"/>
              <w:jc w:val="left"/>
              <w:rPr>
                <w:sz w:val="2"/>
              </w:rPr>
            </w:pPr>
            <w:r>
              <w:rPr>
                <w:sz w:val="2"/>
              </w:rPr>
              <w:pict>
                <v:group style="width:30pt;height:.5pt;mso-position-horizontal-relative:char;mso-position-vertical-relative:line" id="docshapegroup362" coordorigin="0,0" coordsize="600,10">
                  <v:line style="position:absolute" from="0,5" to="600,5" stroked="true" strokeweight=".5pt" strokecolor="#231f20">
                    <v:stroke dashstyle="solid"/>
                  </v:line>
                </v:group>
              </w:pict>
            </w:r>
            <w:r>
              <w:rPr>
                <w:sz w:val="2"/>
              </w:rPr>
            </w:r>
          </w:p>
          <w:p>
            <w:pPr>
              <w:pStyle w:val="TableParagraph"/>
              <w:spacing w:before="40"/>
              <w:ind w:right="116"/>
              <w:jc w:val="right"/>
              <w:rPr>
                <w:sz w:val="16"/>
              </w:rPr>
            </w:pPr>
            <w:r>
              <w:rPr>
                <w:color w:val="231F20"/>
                <w:spacing w:val="-2"/>
                <w:w w:val="105"/>
                <w:sz w:val="16"/>
              </w:rPr>
              <w:t>$100.00</w:t>
            </w:r>
          </w:p>
        </w:tc>
      </w:tr>
      <w:tr>
        <w:trPr>
          <w:trHeight w:val="228" w:hRule="atLeast"/>
        </w:trPr>
        <w:tc>
          <w:tcPr>
            <w:tcW w:w="900" w:type="dxa"/>
          </w:tcPr>
          <w:p>
            <w:pPr>
              <w:pStyle w:val="TableParagraph"/>
              <w:spacing w:before="0"/>
              <w:jc w:val="left"/>
              <w:rPr>
                <w:rFonts w:ascii="Times New Roman"/>
                <w:sz w:val="16"/>
              </w:rPr>
            </w:pPr>
          </w:p>
        </w:tc>
        <w:tc>
          <w:tcPr>
            <w:tcW w:w="642" w:type="dxa"/>
          </w:tcPr>
          <w:p>
            <w:pPr>
              <w:pStyle w:val="TableParagraph"/>
              <w:spacing w:before="0"/>
              <w:jc w:val="left"/>
              <w:rPr>
                <w:rFonts w:ascii="Times New Roman"/>
                <w:sz w:val="16"/>
              </w:rPr>
            </w:pPr>
          </w:p>
        </w:tc>
        <w:tc>
          <w:tcPr>
            <w:tcW w:w="1164" w:type="dxa"/>
          </w:tcPr>
          <w:p>
            <w:pPr>
              <w:pStyle w:val="TableParagraph"/>
              <w:spacing w:line="169" w:lineRule="exact" w:before="40"/>
              <w:ind w:left="226"/>
              <w:jc w:val="left"/>
              <w:rPr>
                <w:sz w:val="16"/>
              </w:rPr>
            </w:pPr>
            <w:r>
              <w:rPr>
                <w:color w:val="231F20"/>
                <w:sz w:val="16"/>
              </w:rPr>
              <w:t>Face</w:t>
            </w:r>
            <w:r>
              <w:rPr>
                <w:color w:val="231F20"/>
                <w:spacing w:val="5"/>
                <w:sz w:val="16"/>
              </w:rPr>
              <w:t> </w:t>
            </w:r>
            <w:r>
              <w:rPr>
                <w:color w:val="231F20"/>
                <w:spacing w:val="-4"/>
                <w:sz w:val="16"/>
              </w:rPr>
              <w:t>Value</w:t>
            </w:r>
          </w:p>
        </w:tc>
        <w:tc>
          <w:tcPr>
            <w:tcW w:w="946" w:type="dxa"/>
          </w:tcPr>
          <w:p>
            <w:pPr>
              <w:pStyle w:val="TableParagraph"/>
              <w:spacing w:before="0"/>
              <w:jc w:val="left"/>
              <w:rPr>
                <w:rFonts w:ascii="Times New Roman"/>
                <w:sz w:val="16"/>
              </w:rPr>
            </w:pPr>
          </w:p>
        </w:tc>
        <w:tc>
          <w:tcPr>
            <w:tcW w:w="1409" w:type="dxa"/>
          </w:tcPr>
          <w:p>
            <w:pPr>
              <w:pStyle w:val="TableParagraph"/>
              <w:spacing w:before="0"/>
              <w:jc w:val="left"/>
              <w:rPr>
                <w:rFonts w:ascii="Times New Roman"/>
                <w:sz w:val="16"/>
              </w:rPr>
            </w:pPr>
          </w:p>
        </w:tc>
        <w:tc>
          <w:tcPr>
            <w:tcW w:w="1228" w:type="dxa"/>
          </w:tcPr>
          <w:p>
            <w:pPr>
              <w:pStyle w:val="TableParagraph"/>
              <w:spacing w:line="169" w:lineRule="exact" w:before="40"/>
              <w:ind w:left="162"/>
              <w:jc w:val="left"/>
              <w:rPr>
                <w:sz w:val="16"/>
              </w:rPr>
            </w:pPr>
            <w:r>
              <w:rPr>
                <w:color w:val="231F20"/>
                <w:w w:val="105"/>
                <w:sz w:val="16"/>
              </w:rPr>
              <w:t>Market</w:t>
            </w:r>
            <w:r>
              <w:rPr>
                <w:color w:val="231F20"/>
                <w:spacing w:val="7"/>
                <w:w w:val="105"/>
                <w:sz w:val="16"/>
              </w:rPr>
              <w:t> </w:t>
            </w:r>
            <w:r>
              <w:rPr>
                <w:color w:val="231F20"/>
                <w:spacing w:val="-4"/>
                <w:w w:val="105"/>
                <w:sz w:val="16"/>
              </w:rPr>
              <w:t>Value</w:t>
            </w:r>
          </w:p>
        </w:tc>
      </w:tr>
    </w:tbl>
    <w:p>
      <w:pPr>
        <w:pStyle w:val="BodyText"/>
        <w:rPr>
          <w:b/>
          <w:sz w:val="22"/>
        </w:rPr>
      </w:pPr>
    </w:p>
    <w:p>
      <w:pPr>
        <w:pStyle w:val="BodyText"/>
        <w:rPr>
          <w:b/>
          <w:sz w:val="22"/>
        </w:rPr>
      </w:pPr>
    </w:p>
    <w:p>
      <w:pPr>
        <w:pStyle w:val="BodyText"/>
        <w:rPr>
          <w:b/>
          <w:sz w:val="30"/>
        </w:rPr>
      </w:pPr>
    </w:p>
    <w:p>
      <w:pPr>
        <w:pStyle w:val="BodyText"/>
        <w:spacing w:line="292" w:lineRule="auto"/>
        <w:ind w:left="920" w:right="666" w:firstLine="340"/>
        <w:jc w:val="both"/>
      </w:pPr>
      <w:r>
        <w:rPr/>
        <w:pict>
          <v:shape style="position:absolute;margin-left:339.5pt;margin-top:-55.658661pt;width:30pt;height:2pt;mso-position-horizontal-relative:page;mso-position-vertical-relative:paragraph;z-index:-25101312" id="docshape363" coordorigin="6790,-1113" coordsize="600,40" path="m7390,-1113l6790,-1113m7390,-1073l6790,-1073e" filled="false" stroked="true" strokeweight=".5pt" strokecolor="#231f20">
            <v:path arrowok="t"/>
            <v:stroke dashstyle="solid"/>
            <w10:wrap type="none"/>
          </v:shape>
        </w:pict>
      </w:r>
      <w:r>
        <w:rPr>
          <w:color w:val="231F20"/>
        </w:rPr>
        <w:t>A </w:t>
      </w:r>
      <w:r>
        <w:rPr>
          <w:i/>
          <w:color w:val="231F20"/>
        </w:rPr>
        <w:t>zero coupon bond </w:t>
      </w:r>
      <w:r>
        <w:rPr>
          <w:color w:val="231F20"/>
        </w:rPr>
        <w:t>bears no interest, but pays a lump sum at maturity. Investors value the bond the same way as one that pays in- terest, but there are no interest payments to discount. For example, </w:t>
      </w:r>
      <w:r>
        <w:rPr>
          <w:color w:val="231F20"/>
        </w:rPr>
        <w:t>a Disney</w:t>
      </w:r>
      <w:r>
        <w:rPr>
          <w:color w:val="231F20"/>
          <w:spacing w:val="28"/>
        </w:rPr>
        <w:t> </w:t>
      </w:r>
      <w:r>
        <w:rPr>
          <w:color w:val="231F20"/>
        </w:rPr>
        <w:t>zero</w:t>
      </w:r>
      <w:r>
        <w:rPr>
          <w:color w:val="231F20"/>
          <w:spacing w:val="28"/>
        </w:rPr>
        <w:t> </w:t>
      </w:r>
      <w:r>
        <w:rPr>
          <w:color w:val="231F20"/>
        </w:rPr>
        <w:t>coupon</w:t>
      </w:r>
      <w:r>
        <w:rPr>
          <w:color w:val="231F20"/>
          <w:spacing w:val="28"/>
        </w:rPr>
        <w:t> </w:t>
      </w:r>
      <w:r>
        <w:rPr>
          <w:color w:val="231F20"/>
        </w:rPr>
        <w:t>bond</w:t>
      </w:r>
      <w:r>
        <w:rPr>
          <w:color w:val="231F20"/>
          <w:spacing w:val="28"/>
        </w:rPr>
        <w:t> </w:t>
      </w:r>
      <w:r>
        <w:rPr>
          <w:color w:val="231F20"/>
        </w:rPr>
        <w:t>maturing</w:t>
      </w:r>
      <w:r>
        <w:rPr>
          <w:color w:val="231F20"/>
          <w:spacing w:val="28"/>
        </w:rPr>
        <w:t> </w:t>
      </w:r>
      <w:r>
        <w:rPr>
          <w:color w:val="231F20"/>
        </w:rPr>
        <w:t>in</w:t>
      </w:r>
      <w:r>
        <w:rPr>
          <w:color w:val="231F20"/>
          <w:spacing w:val="28"/>
        </w:rPr>
        <w:t> </w:t>
      </w:r>
      <w:r>
        <w:rPr>
          <w:color w:val="231F20"/>
        </w:rPr>
        <w:t>2005</w:t>
      </w:r>
      <w:r>
        <w:rPr>
          <w:color w:val="231F20"/>
          <w:spacing w:val="28"/>
        </w:rPr>
        <w:t> </w:t>
      </w:r>
      <w:r>
        <w:rPr>
          <w:color w:val="231F20"/>
        </w:rPr>
        <w:t>at</w:t>
      </w:r>
      <w:r>
        <w:rPr>
          <w:color w:val="231F20"/>
          <w:spacing w:val="28"/>
        </w:rPr>
        <w:t> </w:t>
      </w:r>
      <w:r>
        <w:rPr>
          <w:color w:val="231F20"/>
        </w:rPr>
        <w:t>$100</w:t>
      </w:r>
      <w:r>
        <w:rPr>
          <w:color w:val="231F20"/>
          <w:spacing w:val="28"/>
        </w:rPr>
        <w:t> </w:t>
      </w:r>
      <w:r>
        <w:rPr>
          <w:color w:val="231F20"/>
        </w:rPr>
        <w:t>was</w:t>
      </w:r>
      <w:r>
        <w:rPr>
          <w:color w:val="231F20"/>
          <w:spacing w:val="28"/>
        </w:rPr>
        <w:t> </w:t>
      </w:r>
      <w:r>
        <w:rPr>
          <w:color w:val="231F20"/>
        </w:rPr>
        <w:t>valued</w:t>
      </w:r>
      <w:r>
        <w:rPr>
          <w:color w:val="231F20"/>
          <w:spacing w:val="28"/>
        </w:rPr>
        <w:t> </w:t>
      </w:r>
      <w:r>
        <w:rPr>
          <w:color w:val="231F20"/>
          <w:spacing w:val="-5"/>
        </w:rPr>
        <w:t>at</w:t>
      </w:r>
    </w:p>
    <w:p>
      <w:pPr>
        <w:pStyle w:val="BodyText"/>
        <w:spacing w:line="292" w:lineRule="auto"/>
        <w:ind w:left="920" w:right="666"/>
        <w:jc w:val="both"/>
      </w:pPr>
      <w:r>
        <w:rPr>
          <w:color w:val="231F20"/>
        </w:rPr>
        <w:t>$46.875 in 1992. Using a calculator to do the math, a 6 percent </w:t>
      </w:r>
      <w:r>
        <w:rPr>
          <w:color w:val="231F20"/>
        </w:rPr>
        <w:t>rate discounts</w:t>
      </w:r>
      <w:r>
        <w:rPr>
          <w:color w:val="231F20"/>
          <w:spacing w:val="35"/>
        </w:rPr>
        <w:t> </w:t>
      </w:r>
      <w:r>
        <w:rPr>
          <w:color w:val="231F20"/>
        </w:rPr>
        <w:t>$100</w:t>
      </w:r>
      <w:r>
        <w:rPr>
          <w:color w:val="231F20"/>
          <w:spacing w:val="35"/>
        </w:rPr>
        <w:t> </w:t>
      </w:r>
      <w:r>
        <w:rPr>
          <w:color w:val="231F20"/>
        </w:rPr>
        <w:t>to</w:t>
      </w:r>
      <w:r>
        <w:rPr>
          <w:color w:val="231F20"/>
          <w:spacing w:val="35"/>
        </w:rPr>
        <w:t> </w:t>
      </w:r>
      <w:r>
        <w:rPr>
          <w:color w:val="231F20"/>
        </w:rPr>
        <w:t>be</w:t>
      </w:r>
      <w:r>
        <w:rPr>
          <w:color w:val="231F20"/>
          <w:spacing w:val="35"/>
        </w:rPr>
        <w:t> </w:t>
      </w:r>
      <w:r>
        <w:rPr>
          <w:color w:val="231F20"/>
        </w:rPr>
        <w:t>paid</w:t>
      </w:r>
      <w:r>
        <w:rPr>
          <w:color w:val="231F20"/>
          <w:spacing w:val="35"/>
        </w:rPr>
        <w:t> </w:t>
      </w:r>
      <w:r>
        <w:rPr>
          <w:color w:val="231F20"/>
        </w:rPr>
        <w:t>in</w:t>
      </w:r>
      <w:r>
        <w:rPr>
          <w:color w:val="231F20"/>
          <w:spacing w:val="35"/>
        </w:rPr>
        <w:t> </w:t>
      </w:r>
      <w:r>
        <w:rPr>
          <w:color w:val="231F20"/>
        </w:rPr>
        <w:t>2005</w:t>
      </w:r>
      <w:r>
        <w:rPr>
          <w:color w:val="231F20"/>
          <w:spacing w:val="35"/>
        </w:rPr>
        <w:t> </w:t>
      </w:r>
      <w:r>
        <w:rPr>
          <w:color w:val="231F20"/>
        </w:rPr>
        <w:t>to</w:t>
      </w:r>
      <w:r>
        <w:rPr>
          <w:color w:val="231F20"/>
          <w:spacing w:val="35"/>
        </w:rPr>
        <w:t> </w:t>
      </w:r>
      <w:r>
        <w:rPr>
          <w:color w:val="231F20"/>
        </w:rPr>
        <w:t>a</w:t>
      </w:r>
      <w:r>
        <w:rPr>
          <w:color w:val="231F20"/>
          <w:spacing w:val="35"/>
        </w:rPr>
        <w:t> </w:t>
      </w:r>
      <w:r>
        <w:rPr>
          <w:color w:val="231F20"/>
        </w:rPr>
        <w:t>value</w:t>
      </w:r>
      <w:r>
        <w:rPr>
          <w:color w:val="231F20"/>
          <w:spacing w:val="35"/>
        </w:rPr>
        <w:t> </w:t>
      </w:r>
      <w:r>
        <w:rPr>
          <w:color w:val="231F20"/>
        </w:rPr>
        <w:t>of</w:t>
      </w:r>
      <w:r>
        <w:rPr>
          <w:color w:val="231F20"/>
          <w:spacing w:val="35"/>
        </w:rPr>
        <w:t> </w:t>
      </w:r>
      <w:r>
        <w:rPr>
          <w:color w:val="231F20"/>
        </w:rPr>
        <w:t>$46.875</w:t>
      </w:r>
      <w:r>
        <w:rPr>
          <w:color w:val="231F20"/>
          <w:spacing w:val="35"/>
        </w:rPr>
        <w:t> </w:t>
      </w:r>
      <w:r>
        <w:rPr>
          <w:color w:val="231F20"/>
        </w:rPr>
        <w:t>in</w:t>
      </w:r>
      <w:r>
        <w:rPr>
          <w:color w:val="231F20"/>
          <w:spacing w:val="35"/>
        </w:rPr>
        <w:t> </w:t>
      </w:r>
      <w:r>
        <w:rPr>
          <w:color w:val="231F20"/>
        </w:rPr>
        <w:t>1992. The low rate denoted that Disney was a strong company.</w:t>
      </w:r>
    </w:p>
    <w:p>
      <w:pPr>
        <w:pStyle w:val="BodyText"/>
        <w:spacing w:line="292" w:lineRule="auto"/>
        <w:ind w:left="919" w:right="666" w:firstLine="340"/>
        <w:jc w:val="both"/>
      </w:pPr>
      <w:r>
        <w:rPr>
          <w:color w:val="231F20"/>
        </w:rPr>
        <w:t>A </w:t>
      </w:r>
      <w:r>
        <w:rPr>
          <w:i/>
          <w:color w:val="231F20"/>
        </w:rPr>
        <w:t>consul </w:t>
      </w:r>
      <w:r>
        <w:rPr>
          <w:color w:val="231F20"/>
        </w:rPr>
        <w:t>or </w:t>
      </w:r>
      <w:r>
        <w:rPr>
          <w:i/>
          <w:color w:val="231F20"/>
        </w:rPr>
        <w:t>perpetuity </w:t>
      </w:r>
      <w:r>
        <w:rPr>
          <w:color w:val="231F20"/>
        </w:rPr>
        <w:t>is a bond that never pays back the </w:t>
      </w:r>
      <w:r>
        <w:rPr>
          <w:color w:val="231F20"/>
        </w:rPr>
        <w:t>princi- pal, but continues to pay interest forever. These bonds are unusual but they still are issued in the United Kingdom. The valuation tech- nique is simple. The cash flow or interest payment is divided by the discount rate. A hypothetical example: London Telephone agreed to issue a $100 consul that pays $8 each year forever. If investors re- quire a 10 percent rate of return, the value would be $80 ($8/.10)</w:t>
      </w:r>
    </w:p>
    <w:p>
      <w:pPr>
        <w:spacing w:after="0" w:line="292" w:lineRule="auto"/>
        <w:jc w:val="both"/>
        <w:sectPr>
          <w:pgSz w:w="8640" w:h="12960"/>
          <w:pgMar w:header="734" w:footer="0" w:top="920" w:bottom="280" w:left="340" w:right="500"/>
        </w:sectPr>
      </w:pPr>
    </w:p>
    <w:p>
      <w:pPr>
        <w:pStyle w:val="BodyText"/>
        <w:spacing w:before="10"/>
        <w:rPr>
          <w:sz w:val="19"/>
        </w:rPr>
      </w:pPr>
    </w:p>
    <w:p>
      <w:pPr>
        <w:spacing w:before="96"/>
        <w:ind w:left="292" w:right="219" w:firstLine="0"/>
        <w:jc w:val="center"/>
        <w:rPr>
          <w:rFonts w:ascii="Arial"/>
          <w:sz w:val="14"/>
        </w:rPr>
      </w:pPr>
      <w:r>
        <w:rPr>
          <w:rFonts w:ascii="Arial"/>
          <w:color w:val="231F20"/>
          <w:w w:val="105"/>
          <w:sz w:val="14"/>
        </w:rPr>
        <w:t>TIME</w:t>
      </w:r>
      <w:r>
        <w:rPr>
          <w:rFonts w:ascii="Arial"/>
          <w:color w:val="231F20"/>
          <w:spacing w:val="18"/>
          <w:w w:val="105"/>
          <w:sz w:val="14"/>
        </w:rPr>
        <w:t> </w:t>
      </w:r>
      <w:r>
        <w:rPr>
          <w:rFonts w:ascii="Arial"/>
          <w:color w:val="231F20"/>
          <w:w w:val="105"/>
          <w:sz w:val="14"/>
        </w:rPr>
        <w:t>AND</w:t>
      </w:r>
      <w:r>
        <w:rPr>
          <w:rFonts w:ascii="Arial"/>
          <w:color w:val="231F20"/>
          <w:spacing w:val="19"/>
          <w:w w:val="105"/>
          <w:sz w:val="14"/>
        </w:rPr>
        <w:t> </w:t>
      </w:r>
      <w:r>
        <w:rPr>
          <w:rFonts w:ascii="Arial"/>
          <w:color w:val="231F20"/>
          <w:w w:val="105"/>
          <w:sz w:val="14"/>
        </w:rPr>
        <w:t>DISCOUNT</w:t>
      </w:r>
      <w:r>
        <w:rPr>
          <w:rFonts w:ascii="Arial"/>
          <w:color w:val="231F20"/>
          <w:spacing w:val="18"/>
          <w:w w:val="105"/>
          <w:sz w:val="14"/>
        </w:rPr>
        <w:t> </w:t>
      </w:r>
      <w:r>
        <w:rPr>
          <w:rFonts w:ascii="Arial"/>
          <w:color w:val="231F20"/>
          <w:w w:val="105"/>
          <w:sz w:val="14"/>
        </w:rPr>
        <w:t>RATE</w:t>
      </w:r>
      <w:r>
        <w:rPr>
          <w:rFonts w:ascii="Arial"/>
          <w:color w:val="231F20"/>
          <w:spacing w:val="19"/>
          <w:w w:val="105"/>
          <w:sz w:val="14"/>
        </w:rPr>
        <w:t> </w:t>
      </w:r>
      <w:r>
        <w:rPr>
          <w:rFonts w:ascii="Arial"/>
          <w:color w:val="231F20"/>
          <w:w w:val="105"/>
          <w:sz w:val="14"/>
        </w:rPr>
        <w:t>EFFECTS</w:t>
      </w:r>
      <w:r>
        <w:rPr>
          <w:rFonts w:ascii="Arial"/>
          <w:color w:val="231F20"/>
          <w:spacing w:val="19"/>
          <w:w w:val="105"/>
          <w:sz w:val="14"/>
        </w:rPr>
        <w:t> </w:t>
      </w:r>
      <w:r>
        <w:rPr>
          <w:rFonts w:ascii="Arial"/>
          <w:color w:val="231F20"/>
          <w:w w:val="105"/>
          <w:sz w:val="14"/>
        </w:rPr>
        <w:t>ON</w:t>
      </w:r>
      <w:r>
        <w:rPr>
          <w:rFonts w:ascii="Arial"/>
          <w:color w:val="231F20"/>
          <w:spacing w:val="18"/>
          <w:w w:val="105"/>
          <w:sz w:val="14"/>
        </w:rPr>
        <w:t> </w:t>
      </w:r>
      <w:r>
        <w:rPr>
          <w:rFonts w:ascii="Arial"/>
          <w:color w:val="231F20"/>
          <w:w w:val="105"/>
          <w:sz w:val="14"/>
        </w:rPr>
        <w:t>PRESENT</w:t>
      </w:r>
      <w:r>
        <w:rPr>
          <w:rFonts w:ascii="Arial"/>
          <w:color w:val="231F20"/>
          <w:spacing w:val="19"/>
          <w:w w:val="105"/>
          <w:sz w:val="14"/>
        </w:rPr>
        <w:t> </w:t>
      </w:r>
      <w:r>
        <w:rPr>
          <w:rFonts w:ascii="Arial"/>
          <w:color w:val="231F20"/>
          <w:spacing w:val="-2"/>
          <w:w w:val="105"/>
          <w:sz w:val="14"/>
        </w:rPr>
        <w:t>VALUE</w:t>
      </w:r>
    </w:p>
    <w:p>
      <w:pPr>
        <w:pStyle w:val="BodyText"/>
        <w:spacing w:before="6"/>
        <w:rPr>
          <w:rFonts w:ascii="Arial"/>
          <w:sz w:val="16"/>
        </w:rPr>
      </w:pPr>
      <w:r>
        <w:rPr/>
        <w:drawing>
          <wp:anchor distT="0" distB="0" distL="0" distR="0" allowOverlap="1" layoutInCell="1" locked="0" behindDoc="0" simplePos="0" relativeHeight="251">
            <wp:simplePos x="0" y="0"/>
            <wp:positionH relativeFrom="page">
              <wp:posOffset>980945</wp:posOffset>
            </wp:positionH>
            <wp:positionV relativeFrom="paragraph">
              <wp:posOffset>136259</wp:posOffset>
            </wp:positionV>
            <wp:extent cx="3498064" cy="1969007"/>
            <wp:effectExtent l="0" t="0" r="0" b="0"/>
            <wp:wrapTopAndBottom/>
            <wp:docPr id="99" name="image59.png"/>
            <wp:cNvGraphicFramePr>
              <a:graphicFrameLocks noChangeAspect="1"/>
            </wp:cNvGraphicFramePr>
            <a:graphic>
              <a:graphicData uri="http://schemas.openxmlformats.org/drawingml/2006/picture">
                <pic:pic>
                  <pic:nvPicPr>
                    <pic:cNvPr id="100" name="image59.png"/>
                    <pic:cNvPicPr/>
                  </pic:nvPicPr>
                  <pic:blipFill>
                    <a:blip r:embed="rId87" cstate="print"/>
                    <a:stretch>
                      <a:fillRect/>
                    </a:stretch>
                  </pic:blipFill>
                  <pic:spPr>
                    <a:xfrm>
                      <a:off x="0" y="0"/>
                      <a:ext cx="3498064" cy="1969007"/>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7"/>
        <w:rPr>
          <w:rFonts w:ascii="Arial"/>
          <w:sz w:val="20"/>
        </w:rPr>
      </w:pPr>
    </w:p>
    <w:p>
      <w:pPr>
        <w:pStyle w:val="BodyText"/>
        <w:spacing w:line="180" w:lineRule="auto"/>
        <w:ind w:left="282" w:right="219"/>
        <w:jc w:val="center"/>
      </w:pPr>
      <w:r>
        <w:rPr/>
        <w:pict>
          <v:line style="position:absolute;mso-position-horizontal-relative:page;mso-position-vertical-relative:paragraph;z-index:-25100288" from="194.5pt,13.99958pt" to="341.5pt,13.99958pt" stroked="true" strokeweight=".5pt" strokecolor="#231f20">
            <v:stroke dashstyle="solid"/>
            <w10:wrap type="none"/>
          </v:line>
        </w:pict>
      </w:r>
      <w:r>
        <w:rPr>
          <w:color w:val="231F20"/>
          <w:position w:val="-14"/>
        </w:rPr>
        <w:t>Value</w:t>
      </w:r>
      <w:r>
        <w:rPr>
          <w:color w:val="231F20"/>
          <w:spacing w:val="11"/>
          <w:position w:val="-14"/>
        </w:rPr>
        <w:t> </w:t>
      </w:r>
      <w:r>
        <w:rPr>
          <w:color w:val="231F20"/>
          <w:position w:val="-14"/>
        </w:rPr>
        <w:t>of</w:t>
      </w:r>
      <w:r>
        <w:rPr>
          <w:color w:val="231F20"/>
          <w:spacing w:val="12"/>
          <w:position w:val="-14"/>
        </w:rPr>
        <w:t> </w:t>
      </w:r>
      <w:r>
        <w:rPr>
          <w:color w:val="231F20"/>
          <w:position w:val="-14"/>
        </w:rPr>
        <w:t>a</w:t>
      </w:r>
      <w:r>
        <w:rPr>
          <w:color w:val="231F20"/>
          <w:spacing w:val="12"/>
          <w:position w:val="-14"/>
        </w:rPr>
        <w:t> </w:t>
      </w:r>
      <w:r>
        <w:rPr>
          <w:color w:val="231F20"/>
          <w:position w:val="-14"/>
        </w:rPr>
        <w:t>Perpetuity</w:t>
      </w:r>
      <w:r>
        <w:rPr>
          <w:color w:val="231F20"/>
          <w:spacing w:val="12"/>
          <w:position w:val="-14"/>
        </w:rPr>
        <w:t> </w:t>
      </w:r>
      <w:r>
        <w:rPr>
          <w:rFonts w:ascii="Symbol" w:hAnsi="Symbol"/>
          <w:color w:val="231F20"/>
          <w:position w:val="-14"/>
        </w:rPr>
        <w:t></w:t>
      </w:r>
      <w:r>
        <w:rPr>
          <w:rFonts w:ascii="Times New Roman" w:hAnsi="Times New Roman"/>
          <w:color w:val="231F20"/>
          <w:spacing w:val="5"/>
          <w:position w:val="-14"/>
        </w:rPr>
        <w:t> </w:t>
      </w:r>
      <w:r>
        <w:rPr>
          <w:color w:val="231F20"/>
        </w:rPr>
        <w:t>Payment</w:t>
      </w:r>
      <w:r>
        <w:rPr>
          <w:color w:val="231F20"/>
          <w:spacing w:val="12"/>
        </w:rPr>
        <w:t> </w:t>
      </w:r>
      <w:r>
        <w:rPr>
          <w:color w:val="231F20"/>
        </w:rPr>
        <w:t>to</w:t>
      </w:r>
      <w:r>
        <w:rPr>
          <w:color w:val="231F20"/>
          <w:spacing w:val="12"/>
        </w:rPr>
        <w:t> </w:t>
      </w:r>
      <w:r>
        <w:rPr>
          <w:color w:val="231F20"/>
        </w:rPr>
        <w:t>be</w:t>
      </w:r>
      <w:r>
        <w:rPr>
          <w:color w:val="231F20"/>
          <w:spacing w:val="12"/>
        </w:rPr>
        <w:t> </w:t>
      </w:r>
      <w:r>
        <w:rPr>
          <w:color w:val="231F20"/>
        </w:rPr>
        <w:t>Received</w:t>
      </w:r>
      <w:r>
        <w:rPr>
          <w:color w:val="231F20"/>
          <w:spacing w:val="11"/>
        </w:rPr>
        <w:t> </w:t>
      </w:r>
      <w:r>
        <w:rPr>
          <w:color w:val="231F20"/>
          <w:spacing w:val="-2"/>
        </w:rPr>
        <w:t>Forever</w:t>
      </w:r>
    </w:p>
    <w:p>
      <w:pPr>
        <w:pStyle w:val="BodyText"/>
        <w:spacing w:line="197" w:lineRule="exact"/>
        <w:ind w:left="3989"/>
      </w:pPr>
      <w:r>
        <w:rPr>
          <w:color w:val="231F20"/>
          <w:w w:val="105"/>
        </w:rPr>
        <w:t>Required</w:t>
      </w:r>
      <w:r>
        <w:rPr>
          <w:color w:val="231F20"/>
          <w:spacing w:val="-1"/>
          <w:w w:val="105"/>
        </w:rPr>
        <w:t> </w:t>
      </w:r>
      <w:r>
        <w:rPr>
          <w:color w:val="231F20"/>
          <w:w w:val="105"/>
        </w:rPr>
        <w:t>Rate</w:t>
      </w:r>
      <w:r>
        <w:rPr>
          <w:color w:val="231F20"/>
          <w:spacing w:val="-1"/>
          <w:w w:val="105"/>
        </w:rPr>
        <w:t> </w:t>
      </w:r>
      <w:r>
        <w:rPr>
          <w:color w:val="231F20"/>
          <w:w w:val="105"/>
        </w:rPr>
        <w:t>of</w:t>
      </w:r>
      <w:r>
        <w:rPr>
          <w:color w:val="231F20"/>
          <w:spacing w:val="-1"/>
          <w:w w:val="105"/>
        </w:rPr>
        <w:t> </w:t>
      </w:r>
      <w:r>
        <w:rPr>
          <w:color w:val="231F20"/>
          <w:spacing w:val="-2"/>
          <w:w w:val="105"/>
        </w:rPr>
        <w:t>Return</w:t>
      </w:r>
    </w:p>
    <w:p>
      <w:pPr>
        <w:pStyle w:val="BodyText"/>
        <w:spacing w:before="2"/>
        <w:rPr>
          <w:sz w:val="30"/>
        </w:rPr>
      </w:pPr>
    </w:p>
    <w:p>
      <w:pPr>
        <w:pStyle w:val="BodyText"/>
        <w:spacing w:line="292" w:lineRule="auto" w:before="1"/>
        <w:ind w:left="829" w:right="753" w:firstLine="340"/>
        <w:jc w:val="both"/>
      </w:pPr>
      <w:r>
        <w:rPr>
          <w:color w:val="231F20"/>
        </w:rPr>
        <w:t>Sometimes a company adds an even more exciting provision called a </w:t>
      </w:r>
      <w:r>
        <w:rPr>
          <w:i/>
          <w:color w:val="231F20"/>
        </w:rPr>
        <w:t>conversion feature </w:t>
      </w:r>
      <w:r>
        <w:rPr>
          <w:color w:val="231F20"/>
        </w:rPr>
        <w:t>to bonds. </w:t>
      </w:r>
      <w:r>
        <w:rPr>
          <w:i/>
          <w:color w:val="231F20"/>
        </w:rPr>
        <w:t>Convertible bonds </w:t>
      </w:r>
      <w:r>
        <w:rPr>
          <w:color w:val="231F20"/>
        </w:rPr>
        <w:t>are convert- ible to common stock at a predetermined </w:t>
      </w:r>
      <w:r>
        <w:rPr>
          <w:i/>
          <w:color w:val="231F20"/>
        </w:rPr>
        <w:t>conversion ratio. </w:t>
      </w:r>
      <w:r>
        <w:rPr>
          <w:color w:val="231F20"/>
        </w:rPr>
        <w:t>For ex- ample, let’s assume that Caterpillar’s $1,000 face value of bonds was convertible into ten shares of stock or $100 per share. If </w:t>
      </w:r>
      <w:r>
        <w:rPr>
          <w:color w:val="231F20"/>
        </w:rPr>
        <w:t>Caterpillar’s stock price rose above $100 per share, bondholders might consider converting their bonds into common shares of stock. Convertible bonds usually pay a lower interest rate than nonconvertible bonds, because they provide investors with an additional option.</w:t>
      </w:r>
    </w:p>
    <w:p>
      <w:pPr>
        <w:pStyle w:val="BodyText"/>
        <w:spacing w:line="292" w:lineRule="auto"/>
        <w:ind w:left="829" w:right="753" w:firstLine="340"/>
        <w:jc w:val="both"/>
      </w:pPr>
      <w:r>
        <w:rPr>
          <w:color w:val="231F20"/>
        </w:rPr>
        <w:t>The fourth type of bond is a </w:t>
      </w:r>
      <w:r>
        <w:rPr>
          <w:i/>
          <w:color w:val="231F20"/>
        </w:rPr>
        <w:t>callable bond. </w:t>
      </w:r>
      <w:r>
        <w:rPr>
          <w:color w:val="231F20"/>
        </w:rPr>
        <w:t>In some instances </w:t>
      </w:r>
      <w:r>
        <w:rPr>
          <w:color w:val="231F20"/>
        </w:rPr>
        <w:t>is- suers want the option to buy back their bonds from the public if in- terest rates fall significantly after the issue date. In 1981, large corporations sold bonds paying 15 to 20 percent interest per year, the prevailing market rates. As interest rates fell later, in the 1980s and 1990s, the corporations that had included a </w:t>
      </w:r>
      <w:r>
        <w:rPr>
          <w:i/>
          <w:color w:val="231F20"/>
        </w:rPr>
        <w:t>call provision</w:t>
      </w:r>
      <w:r>
        <w:rPr>
          <w:i/>
          <w:color w:val="231F20"/>
          <w:spacing w:val="80"/>
          <w:w w:val="150"/>
        </w:rPr>
        <w:t> </w:t>
      </w:r>
      <w:r>
        <w:rPr>
          <w:color w:val="231F20"/>
        </w:rPr>
        <w:t>bought back their bonds at predetermined prices and issued new ones in the early 1990s paying 7 to 8 percent and bought even more in the late 1990s and 2000s for new issues at 5 to 6 percent. Because call</w:t>
      </w:r>
      <w:r>
        <w:rPr>
          <w:color w:val="231F20"/>
          <w:spacing w:val="50"/>
        </w:rPr>
        <w:t> </w:t>
      </w:r>
      <w:r>
        <w:rPr>
          <w:color w:val="231F20"/>
        </w:rPr>
        <w:t>provisions</w:t>
      </w:r>
      <w:r>
        <w:rPr>
          <w:color w:val="231F20"/>
          <w:spacing w:val="51"/>
        </w:rPr>
        <w:t> </w:t>
      </w:r>
      <w:r>
        <w:rPr>
          <w:color w:val="231F20"/>
        </w:rPr>
        <w:t>limit</w:t>
      </w:r>
      <w:r>
        <w:rPr>
          <w:color w:val="231F20"/>
          <w:spacing w:val="50"/>
        </w:rPr>
        <w:t> </w:t>
      </w:r>
      <w:r>
        <w:rPr>
          <w:color w:val="231F20"/>
        </w:rPr>
        <w:t>unusually</w:t>
      </w:r>
      <w:r>
        <w:rPr>
          <w:color w:val="231F20"/>
          <w:spacing w:val="51"/>
        </w:rPr>
        <w:t> </w:t>
      </w:r>
      <w:r>
        <w:rPr>
          <w:color w:val="231F20"/>
        </w:rPr>
        <w:t>high</w:t>
      </w:r>
      <w:r>
        <w:rPr>
          <w:color w:val="231F20"/>
          <w:spacing w:val="50"/>
        </w:rPr>
        <w:t> </w:t>
      </w:r>
      <w:r>
        <w:rPr>
          <w:color w:val="231F20"/>
        </w:rPr>
        <w:t>rates</w:t>
      </w:r>
      <w:r>
        <w:rPr>
          <w:color w:val="231F20"/>
          <w:spacing w:val="51"/>
        </w:rPr>
        <w:t> </w:t>
      </w:r>
      <w:r>
        <w:rPr>
          <w:color w:val="231F20"/>
        </w:rPr>
        <w:t>of</w:t>
      </w:r>
      <w:r>
        <w:rPr>
          <w:color w:val="231F20"/>
          <w:spacing w:val="50"/>
        </w:rPr>
        <w:t> </w:t>
      </w:r>
      <w:r>
        <w:rPr>
          <w:color w:val="231F20"/>
        </w:rPr>
        <w:t>return,</w:t>
      </w:r>
      <w:r>
        <w:rPr>
          <w:color w:val="231F20"/>
          <w:spacing w:val="51"/>
        </w:rPr>
        <w:t> </w:t>
      </w:r>
      <w:r>
        <w:rPr>
          <w:color w:val="231F20"/>
          <w:spacing w:val="-2"/>
        </w:rPr>
        <w:t>corporations</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have to pay a higher interest rate for the privilege of calling back </w:t>
      </w:r>
      <w:r>
        <w:rPr>
          <w:color w:val="231F20"/>
        </w:rPr>
        <w:t>the </w:t>
      </w:r>
      <w:r>
        <w:rPr>
          <w:color w:val="231F20"/>
          <w:spacing w:val="-2"/>
        </w:rPr>
        <w:t>bonds.</w:t>
      </w:r>
    </w:p>
    <w:p>
      <w:pPr>
        <w:pStyle w:val="BodyText"/>
        <w:spacing w:line="292" w:lineRule="auto"/>
        <w:ind w:left="919" w:right="669" w:firstLine="340"/>
        <w:jc w:val="both"/>
      </w:pPr>
      <w:r>
        <w:rPr>
          <w:color w:val="231F20"/>
        </w:rPr>
        <w:t>The last classification, a </w:t>
      </w:r>
      <w:r>
        <w:rPr>
          <w:i/>
          <w:color w:val="231F20"/>
        </w:rPr>
        <w:t>junk bond, </w:t>
      </w:r>
      <w:r>
        <w:rPr>
          <w:color w:val="231F20"/>
        </w:rPr>
        <w:t>is a bond that has a high risk</w:t>
      </w:r>
      <w:r>
        <w:rPr>
          <w:color w:val="231F20"/>
          <w:spacing w:val="40"/>
        </w:rPr>
        <w:t> </w:t>
      </w:r>
      <w:r>
        <w:rPr>
          <w:color w:val="231F20"/>
        </w:rPr>
        <w:t>of</w:t>
      </w:r>
      <w:r>
        <w:rPr>
          <w:color w:val="231F20"/>
          <w:spacing w:val="-2"/>
        </w:rPr>
        <w:t> </w:t>
      </w:r>
      <w:r>
        <w:rPr>
          <w:color w:val="231F20"/>
        </w:rPr>
        <w:t>default.</w:t>
      </w:r>
      <w:r>
        <w:rPr>
          <w:color w:val="231F20"/>
          <w:spacing w:val="-2"/>
        </w:rPr>
        <w:t> </w:t>
      </w:r>
      <w:r>
        <w:rPr>
          <w:color w:val="231F20"/>
        </w:rPr>
        <w:t>Often</w:t>
      </w:r>
      <w:r>
        <w:rPr>
          <w:color w:val="231F20"/>
          <w:spacing w:val="-2"/>
        </w:rPr>
        <w:t> </w:t>
      </w:r>
      <w:r>
        <w:rPr>
          <w:color w:val="231F20"/>
        </w:rPr>
        <w:t>their</w:t>
      </w:r>
      <w:r>
        <w:rPr>
          <w:color w:val="231F20"/>
          <w:spacing w:val="-2"/>
        </w:rPr>
        <w:t> </w:t>
      </w:r>
      <w:r>
        <w:rPr>
          <w:color w:val="231F20"/>
        </w:rPr>
        <w:t>risk</w:t>
      </w:r>
      <w:r>
        <w:rPr>
          <w:color w:val="231F20"/>
          <w:spacing w:val="-2"/>
        </w:rPr>
        <w:t> </w:t>
      </w:r>
      <w:r>
        <w:rPr>
          <w:color w:val="231F20"/>
        </w:rPr>
        <w:t>lies</w:t>
      </w:r>
      <w:r>
        <w:rPr>
          <w:color w:val="231F20"/>
          <w:spacing w:val="-2"/>
        </w:rPr>
        <w:t> </w:t>
      </w:r>
      <w:r>
        <w:rPr>
          <w:color w:val="231F20"/>
        </w:rPr>
        <w:t>in</w:t>
      </w:r>
      <w:r>
        <w:rPr>
          <w:color w:val="231F20"/>
          <w:spacing w:val="-2"/>
        </w:rPr>
        <w:t> </w:t>
      </w:r>
      <w:r>
        <w:rPr>
          <w:color w:val="231F20"/>
        </w:rPr>
        <w:t>that</w:t>
      </w:r>
      <w:r>
        <w:rPr>
          <w:color w:val="231F20"/>
          <w:spacing w:val="-2"/>
        </w:rPr>
        <w:t> </w:t>
      </w:r>
      <w:r>
        <w:rPr>
          <w:color w:val="231F20"/>
        </w:rPr>
        <w:t>they</w:t>
      </w:r>
      <w:r>
        <w:rPr>
          <w:color w:val="231F20"/>
          <w:spacing w:val="-2"/>
        </w:rPr>
        <w:t> </w:t>
      </w:r>
      <w:r>
        <w:rPr>
          <w:color w:val="231F20"/>
        </w:rPr>
        <w:t>may</w:t>
      </w:r>
      <w:r>
        <w:rPr>
          <w:color w:val="231F20"/>
          <w:spacing w:val="-2"/>
        </w:rPr>
        <w:t> </w:t>
      </w:r>
      <w:r>
        <w:rPr>
          <w:color w:val="231F20"/>
        </w:rPr>
        <w:t>be</w:t>
      </w:r>
      <w:r>
        <w:rPr>
          <w:color w:val="231F20"/>
          <w:spacing w:val="-3"/>
        </w:rPr>
        <w:t> </w:t>
      </w:r>
      <w:r>
        <w:rPr>
          <w:i/>
          <w:color w:val="231F20"/>
        </w:rPr>
        <w:t>subordinated</w:t>
      </w:r>
      <w:r>
        <w:rPr>
          <w:i/>
          <w:color w:val="231F20"/>
          <w:spacing w:val="-2"/>
        </w:rPr>
        <w:t> </w:t>
      </w:r>
      <w:r>
        <w:rPr>
          <w:color w:val="231F20"/>
        </w:rPr>
        <w:t>to</w:t>
      </w:r>
      <w:r>
        <w:rPr>
          <w:color w:val="231F20"/>
          <w:spacing w:val="-2"/>
        </w:rPr>
        <w:t> </w:t>
      </w:r>
      <w:r>
        <w:rPr>
          <w:color w:val="231F20"/>
        </w:rPr>
        <w:t>the claims of other bonds issued by a company. Junk bonds pay higher rates to investors, and most still pay their interest and principal on time.</w:t>
      </w:r>
      <w:r>
        <w:rPr>
          <w:color w:val="231F20"/>
          <w:spacing w:val="-1"/>
        </w:rPr>
        <w:t> </w:t>
      </w:r>
      <w:r>
        <w:rPr>
          <w:color w:val="231F20"/>
        </w:rPr>
        <w:t>If</w:t>
      </w:r>
      <w:r>
        <w:rPr>
          <w:color w:val="231F20"/>
          <w:spacing w:val="-1"/>
        </w:rPr>
        <w:t> </w:t>
      </w:r>
      <w:r>
        <w:rPr>
          <w:color w:val="231F20"/>
        </w:rPr>
        <w:t>the</w:t>
      </w:r>
      <w:r>
        <w:rPr>
          <w:color w:val="231F20"/>
          <w:spacing w:val="-1"/>
        </w:rPr>
        <w:t> </w:t>
      </w:r>
      <w:r>
        <w:rPr>
          <w:color w:val="231F20"/>
        </w:rPr>
        <w:t>company</w:t>
      </w:r>
      <w:r>
        <w:rPr>
          <w:color w:val="231F20"/>
          <w:spacing w:val="-1"/>
        </w:rPr>
        <w:t> </w:t>
      </w:r>
      <w:r>
        <w:rPr>
          <w:color w:val="231F20"/>
        </w:rPr>
        <w:t>does</w:t>
      </w:r>
      <w:r>
        <w:rPr>
          <w:color w:val="231F20"/>
          <w:spacing w:val="-1"/>
        </w:rPr>
        <w:t> </w:t>
      </w:r>
      <w:r>
        <w:rPr>
          <w:color w:val="231F20"/>
        </w:rPr>
        <w:t>not</w:t>
      </w:r>
      <w:r>
        <w:rPr>
          <w:color w:val="231F20"/>
          <w:spacing w:val="-1"/>
        </w:rPr>
        <w:t> </w:t>
      </w:r>
      <w:r>
        <w:rPr>
          <w:color w:val="231F20"/>
        </w:rPr>
        <w:t>have</w:t>
      </w:r>
      <w:r>
        <w:rPr>
          <w:color w:val="231F20"/>
          <w:spacing w:val="-1"/>
        </w:rPr>
        <w:t> </w:t>
      </w:r>
      <w:r>
        <w:rPr>
          <w:color w:val="231F20"/>
        </w:rPr>
        <w:t>enough</w:t>
      </w:r>
      <w:r>
        <w:rPr>
          <w:color w:val="231F20"/>
          <w:spacing w:val="-1"/>
        </w:rPr>
        <w:t> </w:t>
      </w:r>
      <w:r>
        <w:rPr>
          <w:color w:val="231F20"/>
        </w:rPr>
        <w:t>money</w:t>
      </w:r>
      <w:r>
        <w:rPr>
          <w:color w:val="231F20"/>
          <w:spacing w:val="-1"/>
        </w:rPr>
        <w:t> </w:t>
      </w:r>
      <w:r>
        <w:rPr>
          <w:color w:val="231F20"/>
        </w:rPr>
        <w:t>to</w:t>
      </w:r>
      <w:r>
        <w:rPr>
          <w:color w:val="231F20"/>
          <w:spacing w:val="-1"/>
        </w:rPr>
        <w:t> </w:t>
      </w:r>
      <w:r>
        <w:rPr>
          <w:color w:val="231F20"/>
        </w:rPr>
        <w:t>make</w:t>
      </w:r>
      <w:r>
        <w:rPr>
          <w:color w:val="231F20"/>
          <w:spacing w:val="-1"/>
        </w:rPr>
        <w:t> </w:t>
      </w:r>
      <w:r>
        <w:rPr>
          <w:color w:val="231F20"/>
        </w:rPr>
        <w:t>payments on its borrowing, the subordinated debt holders get paid last.</w:t>
      </w:r>
    </w:p>
    <w:p>
      <w:pPr>
        <w:pStyle w:val="BodyText"/>
        <w:spacing w:line="292" w:lineRule="auto"/>
        <w:ind w:left="919" w:right="663" w:firstLine="340"/>
        <w:jc w:val="both"/>
      </w:pPr>
      <w:r>
        <w:rPr>
          <w:color w:val="231F20"/>
          <w:w w:val="105"/>
        </w:rPr>
        <w:t>Junk</w:t>
      </w:r>
      <w:r>
        <w:rPr>
          <w:color w:val="231F20"/>
          <w:spacing w:val="-13"/>
          <w:w w:val="105"/>
        </w:rPr>
        <w:t> </w:t>
      </w:r>
      <w:r>
        <w:rPr>
          <w:color w:val="231F20"/>
          <w:w w:val="105"/>
        </w:rPr>
        <w:t>bonds</w:t>
      </w:r>
      <w:r>
        <w:rPr>
          <w:color w:val="231F20"/>
          <w:spacing w:val="-12"/>
          <w:w w:val="105"/>
        </w:rPr>
        <w:t> </w:t>
      </w:r>
      <w:r>
        <w:rPr>
          <w:color w:val="231F20"/>
          <w:w w:val="105"/>
        </w:rPr>
        <w:t>have</w:t>
      </w:r>
      <w:r>
        <w:rPr>
          <w:color w:val="231F20"/>
          <w:spacing w:val="-12"/>
          <w:w w:val="105"/>
        </w:rPr>
        <w:t> </w:t>
      </w:r>
      <w:r>
        <w:rPr>
          <w:color w:val="231F20"/>
          <w:w w:val="105"/>
        </w:rPr>
        <w:t>been</w:t>
      </w:r>
      <w:r>
        <w:rPr>
          <w:color w:val="231F20"/>
          <w:spacing w:val="-12"/>
          <w:w w:val="105"/>
        </w:rPr>
        <w:t> </w:t>
      </w:r>
      <w:r>
        <w:rPr>
          <w:color w:val="231F20"/>
          <w:w w:val="105"/>
        </w:rPr>
        <w:t>around</w:t>
      </w:r>
      <w:r>
        <w:rPr>
          <w:color w:val="231F20"/>
          <w:spacing w:val="-12"/>
          <w:w w:val="105"/>
        </w:rPr>
        <w:t> </w:t>
      </w:r>
      <w:r>
        <w:rPr>
          <w:color w:val="231F20"/>
          <w:w w:val="105"/>
        </w:rPr>
        <w:t>as</w:t>
      </w:r>
      <w:r>
        <w:rPr>
          <w:color w:val="231F20"/>
          <w:spacing w:val="-12"/>
          <w:w w:val="105"/>
        </w:rPr>
        <w:t> </w:t>
      </w:r>
      <w:r>
        <w:rPr>
          <w:color w:val="231F20"/>
          <w:w w:val="105"/>
        </w:rPr>
        <w:t>long</w:t>
      </w:r>
      <w:r>
        <w:rPr>
          <w:color w:val="231F20"/>
          <w:spacing w:val="-12"/>
          <w:w w:val="105"/>
        </w:rPr>
        <w:t> </w:t>
      </w:r>
      <w:r>
        <w:rPr>
          <w:color w:val="231F20"/>
          <w:w w:val="105"/>
        </w:rPr>
        <w:t>as</w:t>
      </w:r>
      <w:r>
        <w:rPr>
          <w:color w:val="231F20"/>
          <w:spacing w:val="-13"/>
          <w:w w:val="105"/>
        </w:rPr>
        <w:t> </w:t>
      </w:r>
      <w:r>
        <w:rPr>
          <w:color w:val="231F20"/>
          <w:w w:val="105"/>
        </w:rPr>
        <w:t>there</w:t>
      </w:r>
      <w:r>
        <w:rPr>
          <w:color w:val="231F20"/>
          <w:spacing w:val="-12"/>
          <w:w w:val="105"/>
        </w:rPr>
        <w:t> </w:t>
      </w:r>
      <w:r>
        <w:rPr>
          <w:color w:val="231F20"/>
          <w:w w:val="105"/>
        </w:rPr>
        <w:t>have</w:t>
      </w:r>
      <w:r>
        <w:rPr>
          <w:color w:val="231F20"/>
          <w:spacing w:val="-12"/>
          <w:w w:val="105"/>
        </w:rPr>
        <w:t> </w:t>
      </w:r>
      <w:r>
        <w:rPr>
          <w:color w:val="231F20"/>
          <w:w w:val="105"/>
        </w:rPr>
        <w:t>been</w:t>
      </w:r>
      <w:r>
        <w:rPr>
          <w:color w:val="231F20"/>
          <w:spacing w:val="-12"/>
          <w:w w:val="105"/>
        </w:rPr>
        <w:t> </w:t>
      </w:r>
      <w:r>
        <w:rPr>
          <w:color w:val="231F20"/>
          <w:w w:val="105"/>
        </w:rPr>
        <w:t>bonds. During</w:t>
      </w:r>
      <w:r>
        <w:rPr>
          <w:color w:val="231F20"/>
          <w:spacing w:val="-12"/>
          <w:w w:val="105"/>
        </w:rPr>
        <w:t> </w:t>
      </w:r>
      <w:r>
        <w:rPr>
          <w:color w:val="231F20"/>
          <w:w w:val="105"/>
        </w:rPr>
        <w:t>the</w:t>
      </w:r>
      <w:r>
        <w:rPr>
          <w:color w:val="231F20"/>
          <w:spacing w:val="-12"/>
          <w:w w:val="105"/>
        </w:rPr>
        <w:t> </w:t>
      </w:r>
      <w:r>
        <w:rPr>
          <w:color w:val="231F20"/>
          <w:w w:val="105"/>
        </w:rPr>
        <w:t>Civil</w:t>
      </w:r>
      <w:r>
        <w:rPr>
          <w:color w:val="231F20"/>
          <w:spacing w:val="-12"/>
          <w:w w:val="105"/>
        </w:rPr>
        <w:t> </w:t>
      </w:r>
      <w:r>
        <w:rPr>
          <w:color w:val="231F20"/>
          <w:w w:val="105"/>
        </w:rPr>
        <w:t>War</w:t>
      </w:r>
      <w:r>
        <w:rPr>
          <w:color w:val="231F20"/>
          <w:spacing w:val="-12"/>
          <w:w w:val="105"/>
        </w:rPr>
        <w:t> </w:t>
      </w:r>
      <w:r>
        <w:rPr>
          <w:color w:val="231F20"/>
          <w:w w:val="105"/>
        </w:rPr>
        <w:t>the</w:t>
      </w:r>
      <w:r>
        <w:rPr>
          <w:color w:val="231F20"/>
          <w:spacing w:val="-12"/>
          <w:w w:val="105"/>
        </w:rPr>
        <w:t> </w:t>
      </w:r>
      <w:r>
        <w:rPr>
          <w:color w:val="231F20"/>
          <w:w w:val="105"/>
        </w:rPr>
        <w:t>Confederacy</w:t>
      </w:r>
      <w:r>
        <w:rPr>
          <w:color w:val="231F20"/>
          <w:spacing w:val="-12"/>
          <w:w w:val="105"/>
        </w:rPr>
        <w:t> </w:t>
      </w:r>
      <w:r>
        <w:rPr>
          <w:color w:val="231F20"/>
          <w:w w:val="105"/>
        </w:rPr>
        <w:t>issued</w:t>
      </w:r>
      <w:r>
        <w:rPr>
          <w:color w:val="231F20"/>
          <w:spacing w:val="-12"/>
          <w:w w:val="105"/>
        </w:rPr>
        <w:t> </w:t>
      </w:r>
      <w:r>
        <w:rPr>
          <w:color w:val="231F20"/>
          <w:w w:val="105"/>
        </w:rPr>
        <w:t>risky</w:t>
      </w:r>
      <w:r>
        <w:rPr>
          <w:color w:val="231F20"/>
          <w:spacing w:val="-12"/>
          <w:w w:val="105"/>
        </w:rPr>
        <w:t> </w:t>
      </w:r>
      <w:r>
        <w:rPr>
          <w:color w:val="231F20"/>
          <w:w w:val="105"/>
        </w:rPr>
        <w:t>bonds</w:t>
      </w:r>
      <w:r>
        <w:rPr>
          <w:color w:val="231F20"/>
          <w:spacing w:val="-12"/>
          <w:w w:val="105"/>
        </w:rPr>
        <w:t> </w:t>
      </w:r>
      <w:r>
        <w:rPr>
          <w:color w:val="231F20"/>
          <w:w w:val="105"/>
        </w:rPr>
        <w:t>that</w:t>
      </w:r>
      <w:r>
        <w:rPr>
          <w:color w:val="231F20"/>
          <w:spacing w:val="-12"/>
          <w:w w:val="105"/>
        </w:rPr>
        <w:t> </w:t>
      </w:r>
      <w:r>
        <w:rPr>
          <w:color w:val="231F20"/>
          <w:w w:val="105"/>
        </w:rPr>
        <w:t>could be</w:t>
      </w:r>
      <w:r>
        <w:rPr>
          <w:color w:val="231F20"/>
          <w:w w:val="105"/>
        </w:rPr>
        <w:t> termed</w:t>
      </w:r>
      <w:r>
        <w:rPr>
          <w:color w:val="231F20"/>
          <w:w w:val="105"/>
        </w:rPr>
        <w:t> junk</w:t>
      </w:r>
      <w:r>
        <w:rPr>
          <w:color w:val="231F20"/>
          <w:w w:val="105"/>
        </w:rPr>
        <w:t> bonds.</w:t>
      </w:r>
      <w:r>
        <w:rPr>
          <w:color w:val="231F20"/>
          <w:w w:val="105"/>
        </w:rPr>
        <w:t> Billions</w:t>
      </w:r>
      <w:r>
        <w:rPr>
          <w:color w:val="231F20"/>
          <w:w w:val="105"/>
        </w:rPr>
        <w:t> of</w:t>
      </w:r>
      <w:r>
        <w:rPr>
          <w:color w:val="231F20"/>
          <w:w w:val="105"/>
        </w:rPr>
        <w:t> junk</w:t>
      </w:r>
      <w:r>
        <w:rPr>
          <w:color w:val="231F20"/>
          <w:w w:val="105"/>
        </w:rPr>
        <w:t> bonds</w:t>
      </w:r>
      <w:r>
        <w:rPr>
          <w:color w:val="231F20"/>
          <w:w w:val="105"/>
        </w:rPr>
        <w:t> were</w:t>
      </w:r>
      <w:r>
        <w:rPr>
          <w:color w:val="231F20"/>
          <w:w w:val="105"/>
        </w:rPr>
        <w:t> issued</w:t>
      </w:r>
      <w:r>
        <w:rPr>
          <w:color w:val="231F20"/>
          <w:w w:val="105"/>
        </w:rPr>
        <w:t> for takeovers</w:t>
      </w:r>
      <w:r>
        <w:rPr>
          <w:color w:val="231F20"/>
          <w:w w:val="105"/>
        </w:rPr>
        <w:t> in</w:t>
      </w:r>
      <w:r>
        <w:rPr>
          <w:color w:val="231F20"/>
          <w:w w:val="105"/>
        </w:rPr>
        <w:t> the</w:t>
      </w:r>
      <w:r>
        <w:rPr>
          <w:color w:val="231F20"/>
          <w:w w:val="105"/>
        </w:rPr>
        <w:t> late</w:t>
      </w:r>
      <w:r>
        <w:rPr>
          <w:color w:val="231F20"/>
          <w:w w:val="105"/>
        </w:rPr>
        <w:t> 1980s,</w:t>
      </w:r>
      <w:r>
        <w:rPr>
          <w:color w:val="231F20"/>
          <w:w w:val="105"/>
        </w:rPr>
        <w:t> by</w:t>
      </w:r>
      <w:r>
        <w:rPr>
          <w:color w:val="231F20"/>
          <w:w w:val="105"/>
        </w:rPr>
        <w:t> such</w:t>
      </w:r>
      <w:r>
        <w:rPr>
          <w:color w:val="231F20"/>
          <w:w w:val="105"/>
        </w:rPr>
        <w:t> well-known</w:t>
      </w:r>
      <w:r>
        <w:rPr>
          <w:color w:val="231F20"/>
          <w:w w:val="105"/>
        </w:rPr>
        <w:t> firms</w:t>
      </w:r>
      <w:r>
        <w:rPr>
          <w:color w:val="231F20"/>
          <w:w w:val="105"/>
        </w:rPr>
        <w:t> as</w:t>
      </w:r>
      <w:r>
        <w:rPr>
          <w:color w:val="231F20"/>
          <w:w w:val="105"/>
        </w:rPr>
        <w:t> RJR Nabisco,</w:t>
      </w:r>
      <w:r>
        <w:rPr>
          <w:color w:val="231F20"/>
          <w:spacing w:val="40"/>
          <w:w w:val="105"/>
        </w:rPr>
        <w:t> </w:t>
      </w:r>
      <w:r>
        <w:rPr>
          <w:color w:val="231F20"/>
          <w:w w:val="105"/>
        </w:rPr>
        <w:t>MCI,</w:t>
      </w:r>
      <w:r>
        <w:rPr>
          <w:color w:val="231F20"/>
          <w:spacing w:val="40"/>
          <w:w w:val="105"/>
        </w:rPr>
        <w:t> </w:t>
      </w:r>
      <w:r>
        <w:rPr>
          <w:color w:val="231F20"/>
          <w:w w:val="105"/>
        </w:rPr>
        <w:t>Macy’s,</w:t>
      </w:r>
      <w:r>
        <w:rPr>
          <w:color w:val="231F20"/>
          <w:spacing w:val="40"/>
          <w:w w:val="105"/>
        </w:rPr>
        <w:t> </w:t>
      </w:r>
      <w:r>
        <w:rPr>
          <w:color w:val="231F20"/>
          <w:w w:val="105"/>
        </w:rPr>
        <w:t>and</w:t>
      </w:r>
      <w:r>
        <w:rPr>
          <w:color w:val="231F20"/>
          <w:spacing w:val="40"/>
          <w:w w:val="105"/>
        </w:rPr>
        <w:t> </w:t>
      </w:r>
      <w:r>
        <w:rPr>
          <w:color w:val="231F20"/>
          <w:w w:val="105"/>
        </w:rPr>
        <w:t>Metromedia.</w:t>
      </w:r>
      <w:r>
        <w:rPr>
          <w:color w:val="231F20"/>
          <w:spacing w:val="40"/>
          <w:w w:val="105"/>
        </w:rPr>
        <w:t> </w:t>
      </w:r>
      <w:r>
        <w:rPr>
          <w:color w:val="231F20"/>
          <w:w w:val="105"/>
        </w:rPr>
        <w:t>Junk</w:t>
      </w:r>
      <w:r>
        <w:rPr>
          <w:color w:val="231F20"/>
          <w:spacing w:val="40"/>
          <w:w w:val="105"/>
        </w:rPr>
        <w:t> </w:t>
      </w:r>
      <w:r>
        <w:rPr>
          <w:color w:val="231F20"/>
          <w:w w:val="105"/>
        </w:rPr>
        <w:t>bonds</w:t>
      </w:r>
      <w:r>
        <w:rPr>
          <w:color w:val="231F20"/>
          <w:spacing w:val="40"/>
          <w:w w:val="105"/>
        </w:rPr>
        <w:t> </w:t>
      </w:r>
      <w:r>
        <w:rPr>
          <w:color w:val="231F20"/>
          <w:w w:val="105"/>
        </w:rPr>
        <w:t>are</w:t>
      </w:r>
      <w:r>
        <w:rPr>
          <w:color w:val="231F20"/>
          <w:spacing w:val="40"/>
          <w:w w:val="105"/>
        </w:rPr>
        <w:t> </w:t>
      </w:r>
      <w:r>
        <w:rPr>
          <w:color w:val="231F20"/>
          <w:w w:val="105"/>
        </w:rPr>
        <w:t>not “junk”;</w:t>
      </w:r>
      <w:r>
        <w:rPr>
          <w:color w:val="231F20"/>
          <w:w w:val="105"/>
        </w:rPr>
        <w:t> they</w:t>
      </w:r>
      <w:r>
        <w:rPr>
          <w:color w:val="231F20"/>
          <w:w w:val="105"/>
        </w:rPr>
        <w:t> simply</w:t>
      </w:r>
      <w:r>
        <w:rPr>
          <w:color w:val="231F20"/>
          <w:w w:val="105"/>
        </w:rPr>
        <w:t> have</w:t>
      </w:r>
      <w:r>
        <w:rPr>
          <w:color w:val="231F20"/>
          <w:w w:val="105"/>
        </w:rPr>
        <w:t> a</w:t>
      </w:r>
      <w:r>
        <w:rPr>
          <w:color w:val="231F20"/>
          <w:w w:val="105"/>
        </w:rPr>
        <w:t> higher</w:t>
      </w:r>
      <w:r>
        <w:rPr>
          <w:color w:val="231F20"/>
          <w:w w:val="105"/>
        </w:rPr>
        <w:t> risk</w:t>
      </w:r>
      <w:r>
        <w:rPr>
          <w:color w:val="231F20"/>
          <w:w w:val="105"/>
        </w:rPr>
        <w:t> of</w:t>
      </w:r>
      <w:r>
        <w:rPr>
          <w:color w:val="231F20"/>
          <w:w w:val="105"/>
        </w:rPr>
        <w:t> default</w:t>
      </w:r>
      <w:r>
        <w:rPr>
          <w:color w:val="231F20"/>
          <w:w w:val="105"/>
        </w:rPr>
        <w:t> because</w:t>
      </w:r>
      <w:r>
        <w:rPr>
          <w:color w:val="231F20"/>
          <w:w w:val="105"/>
        </w:rPr>
        <w:t> they</w:t>
      </w:r>
      <w:r>
        <w:rPr>
          <w:color w:val="231F20"/>
          <w:w w:val="105"/>
        </w:rPr>
        <w:t> are issued</w:t>
      </w:r>
      <w:r>
        <w:rPr>
          <w:color w:val="231F20"/>
          <w:spacing w:val="-4"/>
          <w:w w:val="105"/>
        </w:rPr>
        <w:t> </w:t>
      </w:r>
      <w:r>
        <w:rPr>
          <w:color w:val="231F20"/>
          <w:w w:val="105"/>
        </w:rPr>
        <w:t>by</w:t>
      </w:r>
      <w:r>
        <w:rPr>
          <w:color w:val="231F20"/>
          <w:spacing w:val="-4"/>
          <w:w w:val="105"/>
        </w:rPr>
        <w:t> </w:t>
      </w:r>
      <w:r>
        <w:rPr>
          <w:color w:val="231F20"/>
          <w:w w:val="105"/>
        </w:rPr>
        <w:t>companies</w:t>
      </w:r>
      <w:r>
        <w:rPr>
          <w:color w:val="231F20"/>
          <w:spacing w:val="-4"/>
          <w:w w:val="105"/>
        </w:rPr>
        <w:t> </w:t>
      </w:r>
      <w:r>
        <w:rPr>
          <w:color w:val="231F20"/>
          <w:w w:val="105"/>
        </w:rPr>
        <w:t>without</w:t>
      </w:r>
      <w:r>
        <w:rPr>
          <w:color w:val="231F20"/>
          <w:spacing w:val="-4"/>
          <w:w w:val="105"/>
        </w:rPr>
        <w:t> </w:t>
      </w:r>
      <w:r>
        <w:rPr>
          <w:color w:val="231F20"/>
          <w:w w:val="105"/>
        </w:rPr>
        <w:t>stellar</w:t>
      </w:r>
      <w:r>
        <w:rPr>
          <w:color w:val="231F20"/>
          <w:spacing w:val="-4"/>
          <w:w w:val="105"/>
        </w:rPr>
        <w:t> </w:t>
      </w:r>
      <w:r>
        <w:rPr>
          <w:color w:val="231F20"/>
          <w:w w:val="105"/>
        </w:rPr>
        <w:t>credit</w:t>
      </w:r>
      <w:r>
        <w:rPr>
          <w:color w:val="231F20"/>
          <w:spacing w:val="-4"/>
          <w:w w:val="105"/>
        </w:rPr>
        <w:t> </w:t>
      </w:r>
      <w:r>
        <w:rPr>
          <w:color w:val="231F20"/>
          <w:w w:val="105"/>
        </w:rPr>
        <w:t>ratings.</w:t>
      </w:r>
    </w:p>
    <w:p>
      <w:pPr>
        <w:pStyle w:val="BodyText"/>
        <w:rPr>
          <w:sz w:val="24"/>
        </w:rPr>
      </w:pPr>
    </w:p>
    <w:p>
      <w:pPr>
        <w:pStyle w:val="BodyText"/>
        <w:spacing w:before="3"/>
        <w:rPr>
          <w:sz w:val="20"/>
        </w:rPr>
      </w:pPr>
    </w:p>
    <w:p>
      <w:pPr>
        <w:pStyle w:val="Heading6"/>
        <w:ind w:left="468"/>
        <w:rPr>
          <w:i/>
        </w:rPr>
      </w:pPr>
      <w:r>
        <w:rPr>
          <w:i/>
          <w:color w:val="231F20"/>
          <w:w w:val="110"/>
        </w:rPr>
        <w:t>BOND</w:t>
      </w:r>
      <w:r>
        <w:rPr>
          <w:i/>
          <w:color w:val="231F20"/>
          <w:spacing w:val="56"/>
          <w:w w:val="110"/>
        </w:rPr>
        <w:t> </w:t>
      </w:r>
      <w:r>
        <w:rPr>
          <w:i/>
          <w:color w:val="231F20"/>
          <w:w w:val="110"/>
        </w:rPr>
        <w:t>VALUATION</w:t>
      </w:r>
      <w:r>
        <w:rPr>
          <w:i/>
          <w:color w:val="231F20"/>
          <w:spacing w:val="56"/>
          <w:w w:val="110"/>
        </w:rPr>
        <w:t> </w:t>
      </w:r>
      <w:r>
        <w:rPr>
          <w:i/>
          <w:color w:val="231F20"/>
          <w:spacing w:val="-2"/>
          <w:w w:val="110"/>
        </w:rPr>
        <w:t>SUMMARY</w:t>
      </w:r>
    </w:p>
    <w:p>
      <w:pPr>
        <w:pStyle w:val="BodyText"/>
        <w:spacing w:before="2"/>
        <w:rPr>
          <w:b/>
          <w:i/>
          <w:sz w:val="30"/>
        </w:rPr>
      </w:pPr>
    </w:p>
    <w:p>
      <w:pPr>
        <w:pStyle w:val="BodyText"/>
        <w:spacing w:line="292" w:lineRule="auto"/>
        <w:ind w:left="920" w:right="664"/>
        <w:jc w:val="both"/>
      </w:pPr>
      <w:r>
        <w:rPr/>
        <w:pict>
          <v:shape style="position:absolute;margin-left:299.00058pt;margin-top:5.024799pt;width:9.35pt;height:3.5pt;mso-position-horizontal-relative:page;mso-position-vertical-relative:paragraph;z-index:-25099776" id="docshape364" coordorigin="5980,100" coordsize="187,70" path="m6104,100l6099,111,6143,129,5980,129,5980,141,6143,141,6099,159,6104,170,6166,143,6166,127,6104,100xe" filled="true" fillcolor="#231f20" stroked="false">
            <v:path arrowok="t"/>
            <v:fill type="solid"/>
            <w10:wrap type="none"/>
          </v:shape>
        </w:pict>
      </w:r>
      <w:r>
        <w:rPr/>
        <w:pict>
          <v:shape style="position:absolute;margin-left:87.543968pt;margin-top:20.025209pt;width:9.35pt;height:3.5pt;mso-position-horizontal-relative:page;mso-position-vertical-relative:paragraph;z-index:-25099264" id="docshape365" coordorigin="1751,401" coordsize="187,70" path="m1875,401l1870,411,1914,429,1751,429,1751,441,1914,441,1870,459,1875,470,1937,443,1937,427,1875,401xe" filled="true" fillcolor="#231f20" stroked="false">
            <v:path arrowok="t"/>
            <v:fill type="solid"/>
            <w10:wrap type="none"/>
          </v:shape>
        </w:pict>
      </w:r>
      <w:r>
        <w:rPr>
          <w:color w:val="231F20"/>
          <w:w w:val="105"/>
        </w:rPr>
        <w:t>Higher</w:t>
      </w:r>
      <w:r>
        <w:rPr>
          <w:color w:val="231F20"/>
          <w:spacing w:val="40"/>
          <w:w w:val="105"/>
        </w:rPr>
        <w:t> </w:t>
      </w:r>
      <w:r>
        <w:rPr>
          <w:color w:val="231F20"/>
          <w:w w:val="105"/>
        </w:rPr>
        <w:t>Risk</w:t>
      </w:r>
      <w:r>
        <w:rPr>
          <w:color w:val="231F20"/>
          <w:spacing w:val="40"/>
          <w:w w:val="105"/>
        </w:rPr>
        <w:t> </w:t>
      </w:r>
      <w:r>
        <w:rPr>
          <w:color w:val="231F20"/>
          <w:w w:val="105"/>
        </w:rPr>
        <w:t>of</w:t>
      </w:r>
      <w:r>
        <w:rPr>
          <w:color w:val="231F20"/>
          <w:spacing w:val="40"/>
          <w:w w:val="105"/>
        </w:rPr>
        <w:t> </w:t>
      </w:r>
      <w:r>
        <w:rPr>
          <w:color w:val="231F20"/>
          <w:w w:val="105"/>
        </w:rPr>
        <w:t>Default</w:t>
      </w:r>
      <w:r>
        <w:rPr>
          <w:color w:val="231F20"/>
          <w:spacing w:val="40"/>
          <w:w w:val="105"/>
        </w:rPr>
        <w:t> </w:t>
      </w:r>
      <w:r>
        <w:rPr>
          <w:color w:val="231F20"/>
          <w:w w:val="105"/>
        </w:rPr>
        <w:t>or</w:t>
      </w:r>
      <w:r>
        <w:rPr>
          <w:color w:val="231F20"/>
          <w:spacing w:val="40"/>
          <w:w w:val="105"/>
        </w:rPr>
        <w:t> </w:t>
      </w:r>
      <w:r>
        <w:rPr>
          <w:color w:val="231F20"/>
          <w:w w:val="105"/>
        </w:rPr>
        <w:t>Higher</w:t>
      </w:r>
      <w:r>
        <w:rPr>
          <w:color w:val="231F20"/>
          <w:spacing w:val="40"/>
          <w:w w:val="105"/>
        </w:rPr>
        <w:t> </w:t>
      </w:r>
      <w:r>
        <w:rPr>
          <w:color w:val="231F20"/>
          <w:w w:val="105"/>
        </w:rPr>
        <w:t>Market</w:t>
      </w:r>
      <w:r>
        <w:rPr>
          <w:color w:val="231F20"/>
          <w:spacing w:val="40"/>
          <w:w w:val="105"/>
        </w:rPr>
        <w:t> </w:t>
      </w:r>
      <w:r>
        <w:rPr>
          <w:color w:val="231F20"/>
          <w:w w:val="105"/>
        </w:rPr>
        <w:t>Rates</w:t>
      </w:r>
      <w:r>
        <w:rPr>
          <w:color w:val="231F20"/>
          <w:spacing w:val="80"/>
          <w:w w:val="105"/>
        </w:rPr>
        <w:t>  </w:t>
      </w:r>
      <w:r>
        <w:rPr>
          <w:color w:val="231F20"/>
          <w:w w:val="105"/>
        </w:rPr>
        <w:t>Higher</w:t>
      </w:r>
      <w:r>
        <w:rPr>
          <w:color w:val="231F20"/>
          <w:spacing w:val="40"/>
          <w:w w:val="105"/>
        </w:rPr>
        <w:t> </w:t>
      </w:r>
      <w:r>
        <w:rPr>
          <w:color w:val="231F20"/>
          <w:w w:val="105"/>
        </w:rPr>
        <w:t>Disc. Rate</w:t>
      </w:r>
      <w:r>
        <w:rPr>
          <w:color w:val="231F20"/>
          <w:spacing w:val="80"/>
          <w:w w:val="105"/>
        </w:rPr>
        <w:t>  </w:t>
      </w:r>
      <w:r>
        <w:rPr>
          <w:color w:val="231F20"/>
          <w:w w:val="105"/>
        </w:rPr>
        <w:t>Lower Bond Value</w:t>
      </w:r>
    </w:p>
    <w:p>
      <w:pPr>
        <w:pStyle w:val="BodyText"/>
        <w:spacing w:before="2"/>
        <w:rPr>
          <w:sz w:val="19"/>
        </w:rPr>
      </w:pPr>
    </w:p>
    <w:p>
      <w:pPr>
        <w:pStyle w:val="BodyText"/>
        <w:tabs>
          <w:tab w:pos="5532" w:val="left" w:leader="none"/>
        </w:tabs>
        <w:spacing w:line="292" w:lineRule="auto"/>
        <w:ind w:left="1183" w:right="667" w:hanging="264"/>
      </w:pPr>
      <w:r>
        <w:rPr/>
        <w:pict>
          <v:shape style="position:absolute;margin-left:280.756012pt;margin-top:5.0248pt;width:9.35pt;height:3.5pt;mso-position-horizontal-relative:page;mso-position-vertical-relative:paragraph;z-index:-25098752" id="docshape366" coordorigin="5615,100" coordsize="187,70" path="m5739,100l5734,111,5778,129,5615,129,5615,141,5778,141,5734,159,5739,170,5801,143,5801,127,5739,100xe" filled="true" fillcolor="#231f20" stroked="false">
            <v:path arrowok="t"/>
            <v:fill type="solid"/>
            <w10:wrap type="none"/>
          </v:shape>
        </w:pict>
      </w:r>
      <w:r>
        <w:rPr/>
        <w:pict>
          <v:shape style="position:absolute;margin-left:63.597271pt;margin-top:20.025209pt;width:9.35pt;height:3.5pt;mso-position-horizontal-relative:page;mso-position-vertical-relative:paragraph;z-index:-25098240" id="docshape367" coordorigin="1272,401" coordsize="187,70" path="m1396,401l1391,411,1435,429,1272,429,1272,441,1435,441,1391,459,1396,470,1458,443,1458,427,1396,401xe" filled="true" fillcolor="#231f20" stroked="false">
            <v:path arrowok="t"/>
            <v:fill type="solid"/>
            <w10:wrap type="none"/>
          </v:shape>
        </w:pict>
      </w:r>
      <w:r>
        <w:rPr>
          <w:color w:val="231F20"/>
          <w:w w:val="105"/>
        </w:rPr>
        <w:t>Lower Risk of Default or Lower Market Rates</w:t>
      </w:r>
      <w:r>
        <w:rPr>
          <w:color w:val="231F20"/>
        </w:rPr>
        <w:tab/>
      </w:r>
      <w:r>
        <w:rPr>
          <w:color w:val="231F20"/>
          <w:w w:val="105"/>
        </w:rPr>
        <w:t>Lower</w:t>
      </w:r>
      <w:r>
        <w:rPr>
          <w:color w:val="231F20"/>
          <w:spacing w:val="-7"/>
          <w:w w:val="105"/>
        </w:rPr>
        <w:t> </w:t>
      </w:r>
      <w:r>
        <w:rPr>
          <w:color w:val="231F20"/>
          <w:w w:val="105"/>
        </w:rPr>
        <w:t>Disc.</w:t>
      </w:r>
      <w:r>
        <w:rPr>
          <w:color w:val="231F20"/>
          <w:spacing w:val="-7"/>
          <w:w w:val="105"/>
        </w:rPr>
        <w:t> </w:t>
      </w:r>
      <w:r>
        <w:rPr>
          <w:color w:val="231F20"/>
          <w:w w:val="105"/>
        </w:rPr>
        <w:t>Rate Higher Bond Value</w:t>
      </w:r>
    </w:p>
    <w:p>
      <w:pPr>
        <w:pStyle w:val="BodyText"/>
        <w:spacing w:before="1"/>
        <w:rPr>
          <w:sz w:val="19"/>
        </w:rPr>
      </w:pPr>
    </w:p>
    <w:p>
      <w:pPr>
        <w:pStyle w:val="BodyText"/>
        <w:tabs>
          <w:tab w:pos="5230" w:val="left" w:leader="none"/>
        </w:tabs>
        <w:spacing w:line="292" w:lineRule="auto"/>
        <w:ind w:left="920" w:right="955"/>
      </w:pPr>
      <w:r>
        <w:rPr/>
        <w:pict>
          <v:shape style="position:absolute;margin-left:264.691559pt;margin-top:5.024796pt;width:9.35pt;height:3.5pt;mso-position-horizontal-relative:page;mso-position-vertical-relative:paragraph;z-index:-25097728" id="docshape368" coordorigin="5294,100" coordsize="187,70" path="m5418,100l5413,111,5457,129,5294,129,5294,141,5457,141,5413,159,5418,170,5480,143,5480,127,5418,100xe" filled="true" fillcolor="#231f20" stroked="false">
            <v:path arrowok="t"/>
            <v:fill type="solid"/>
            <w10:wrap type="none"/>
          </v:shape>
        </w:pict>
      </w:r>
      <w:r>
        <w:rPr/>
        <w:pict>
          <v:shape style="position:absolute;margin-left:363.584595pt;margin-top:5.024796pt;width:9.35pt;height:3.5pt;mso-position-horizontal-relative:page;mso-position-vertical-relative:paragraph;z-index:15860736" id="docshape369" coordorigin="7272,100" coordsize="187,70" path="m7396,100l7391,111,7435,129,7272,129,7272,141,7435,141,7391,159,7396,170,7458,143,7458,127,7396,100xe" filled="true" fillcolor="#231f20" stroked="false">
            <v:path arrowok="t"/>
            <v:fill type="solid"/>
            <w10:wrap type="none"/>
          </v:shape>
        </w:pict>
      </w:r>
      <w:r>
        <w:rPr>
          <w:color w:val="231F20"/>
          <w:w w:val="105"/>
        </w:rPr>
        <w:t>Higher</w:t>
      </w:r>
      <w:r>
        <w:rPr>
          <w:color w:val="231F20"/>
          <w:spacing w:val="40"/>
          <w:w w:val="105"/>
        </w:rPr>
        <w:t> </w:t>
      </w:r>
      <w:r>
        <w:rPr>
          <w:color w:val="231F20"/>
          <w:w w:val="105"/>
        </w:rPr>
        <w:t>Coupon</w:t>
      </w:r>
      <w:r>
        <w:rPr>
          <w:color w:val="231F20"/>
          <w:spacing w:val="40"/>
          <w:w w:val="105"/>
        </w:rPr>
        <w:t> </w:t>
      </w:r>
      <w:r>
        <w:rPr>
          <w:color w:val="231F20"/>
          <w:w w:val="105"/>
        </w:rPr>
        <w:t>Rate</w:t>
      </w:r>
      <w:r>
        <w:rPr>
          <w:color w:val="231F20"/>
          <w:spacing w:val="40"/>
          <w:w w:val="105"/>
        </w:rPr>
        <w:t> </w:t>
      </w:r>
      <w:r>
        <w:rPr>
          <w:color w:val="231F20"/>
          <w:w w:val="105"/>
        </w:rPr>
        <w:t>or</w:t>
      </w:r>
      <w:r>
        <w:rPr>
          <w:color w:val="231F20"/>
          <w:spacing w:val="40"/>
          <w:w w:val="105"/>
        </w:rPr>
        <w:t> </w:t>
      </w:r>
      <w:r>
        <w:rPr>
          <w:color w:val="231F20"/>
          <w:w w:val="105"/>
        </w:rPr>
        <w:t>Shorter</w:t>
      </w:r>
      <w:r>
        <w:rPr>
          <w:color w:val="231F20"/>
          <w:spacing w:val="40"/>
          <w:w w:val="105"/>
        </w:rPr>
        <w:t> </w:t>
      </w:r>
      <w:r>
        <w:rPr>
          <w:color w:val="231F20"/>
          <w:w w:val="105"/>
        </w:rPr>
        <w:t>Maturity</w:t>
      </w:r>
      <w:r>
        <w:rPr>
          <w:color w:val="231F20"/>
        </w:rPr>
        <w:tab/>
      </w:r>
      <w:r>
        <w:rPr>
          <w:color w:val="231F20"/>
          <w:spacing w:val="-2"/>
          <w:w w:val="105"/>
        </w:rPr>
        <w:t>Shorter</w:t>
      </w:r>
      <w:r>
        <w:rPr>
          <w:color w:val="231F20"/>
          <w:spacing w:val="1"/>
          <w:w w:val="105"/>
        </w:rPr>
        <w:t> </w:t>
      </w:r>
      <w:r>
        <w:rPr>
          <w:color w:val="231F20"/>
          <w:spacing w:val="-2"/>
          <w:w w:val="105"/>
        </w:rPr>
        <w:t>Duration </w:t>
      </w:r>
      <w:r>
        <w:rPr>
          <w:color w:val="231F20"/>
          <w:w w:val="105"/>
        </w:rPr>
        <w:t>Value Less Volatile to Mkt. Rate Chgs.</w:t>
      </w:r>
    </w:p>
    <w:p>
      <w:pPr>
        <w:pStyle w:val="BodyText"/>
        <w:spacing w:before="2"/>
        <w:rPr>
          <w:sz w:val="19"/>
        </w:rPr>
      </w:pPr>
    </w:p>
    <w:p>
      <w:pPr>
        <w:pStyle w:val="BodyText"/>
        <w:tabs>
          <w:tab w:pos="5225" w:val="left" w:leader="none"/>
        </w:tabs>
        <w:spacing w:line="292" w:lineRule="auto"/>
        <w:ind w:left="920" w:right="955"/>
      </w:pPr>
      <w:r>
        <w:rPr/>
        <w:pict>
          <v:shape style="position:absolute;margin-left:264.320282pt;margin-top:5.024804pt;width:9.35pt;height:3.5pt;mso-position-horizontal-relative:page;mso-position-vertical-relative:paragraph;z-index:-25096704" id="docshape370" coordorigin="5286,100" coordsize="187,70" path="m5410,100l5406,111,5449,129,5286,129,5286,141,5449,141,5406,159,5410,170,5473,143,5473,127,5410,100xe" filled="true" fillcolor="#231f20" stroked="false">
            <v:path arrowok="t"/>
            <v:fill type="solid"/>
            <w10:wrap type="none"/>
          </v:shape>
        </w:pict>
      </w:r>
      <w:r>
        <w:rPr/>
        <w:pict>
          <v:shape style="position:absolute;margin-left:363.583618pt;margin-top:5.024804pt;width:9.35pt;height:3.5pt;mso-position-horizontal-relative:page;mso-position-vertical-relative:paragraph;z-index:15861760" id="docshape371" coordorigin="7272,100" coordsize="187,70" path="m7396,100l7391,111,7435,129,7272,129,7272,141,7435,141,7391,159,7396,170,7458,143,7458,127,7396,100xe" filled="true" fillcolor="#231f20" stroked="false">
            <v:path arrowok="t"/>
            <v:fill type="solid"/>
            <w10:wrap type="none"/>
          </v:shape>
        </w:pict>
      </w:r>
      <w:r>
        <w:rPr>
          <w:color w:val="231F20"/>
          <w:w w:val="105"/>
        </w:rPr>
        <w:t>Lower</w:t>
      </w:r>
      <w:r>
        <w:rPr>
          <w:color w:val="231F20"/>
          <w:spacing w:val="40"/>
          <w:w w:val="105"/>
        </w:rPr>
        <w:t> </w:t>
      </w:r>
      <w:r>
        <w:rPr>
          <w:color w:val="231F20"/>
          <w:w w:val="105"/>
        </w:rPr>
        <w:t>Coupon</w:t>
      </w:r>
      <w:r>
        <w:rPr>
          <w:color w:val="231F20"/>
          <w:spacing w:val="40"/>
          <w:w w:val="105"/>
        </w:rPr>
        <w:t> </w:t>
      </w:r>
      <w:r>
        <w:rPr>
          <w:color w:val="231F20"/>
          <w:w w:val="105"/>
        </w:rPr>
        <w:t>Rate</w:t>
      </w:r>
      <w:r>
        <w:rPr>
          <w:color w:val="231F20"/>
          <w:spacing w:val="40"/>
          <w:w w:val="105"/>
        </w:rPr>
        <w:t> </w:t>
      </w:r>
      <w:r>
        <w:rPr>
          <w:color w:val="231F20"/>
          <w:w w:val="105"/>
        </w:rPr>
        <w:t>or</w:t>
      </w:r>
      <w:r>
        <w:rPr>
          <w:color w:val="231F20"/>
          <w:spacing w:val="40"/>
          <w:w w:val="105"/>
        </w:rPr>
        <w:t> </w:t>
      </w:r>
      <w:r>
        <w:rPr>
          <w:color w:val="231F20"/>
          <w:w w:val="105"/>
        </w:rPr>
        <w:t>Longer</w:t>
      </w:r>
      <w:r>
        <w:rPr>
          <w:color w:val="231F20"/>
          <w:spacing w:val="40"/>
          <w:w w:val="105"/>
        </w:rPr>
        <w:t> </w:t>
      </w:r>
      <w:r>
        <w:rPr>
          <w:color w:val="231F20"/>
          <w:w w:val="105"/>
        </w:rPr>
        <w:t>Maturity</w:t>
      </w:r>
      <w:r>
        <w:rPr>
          <w:color w:val="231F20"/>
        </w:rPr>
        <w:tab/>
      </w:r>
      <w:r>
        <w:rPr>
          <w:color w:val="231F20"/>
          <w:w w:val="105"/>
        </w:rPr>
        <w:t>Longer</w:t>
      </w:r>
      <w:r>
        <w:rPr>
          <w:color w:val="231F20"/>
          <w:spacing w:val="22"/>
          <w:w w:val="105"/>
        </w:rPr>
        <w:t> </w:t>
      </w:r>
      <w:r>
        <w:rPr>
          <w:color w:val="231F20"/>
          <w:w w:val="105"/>
        </w:rPr>
        <w:t>Duration Value More Volatile to Mkt. Rate Chgs.</w:t>
      </w:r>
    </w:p>
    <w:p>
      <w:pPr>
        <w:pStyle w:val="BodyText"/>
        <w:rPr>
          <w:sz w:val="24"/>
        </w:rPr>
      </w:pPr>
    </w:p>
    <w:p>
      <w:pPr>
        <w:pStyle w:val="BodyText"/>
        <w:spacing w:before="1"/>
        <w:rPr>
          <w:sz w:val="27"/>
        </w:rPr>
      </w:pPr>
    </w:p>
    <w:p>
      <w:pPr>
        <w:pStyle w:val="Heading6"/>
        <w:rPr>
          <w:i/>
        </w:rPr>
      </w:pPr>
      <w:r>
        <w:rPr>
          <w:i/>
          <w:color w:val="231F20"/>
          <w:w w:val="110"/>
        </w:rPr>
        <w:t>THE</w:t>
      </w:r>
      <w:r>
        <w:rPr>
          <w:i/>
          <w:color w:val="231F20"/>
          <w:spacing w:val="66"/>
          <w:w w:val="110"/>
        </w:rPr>
        <w:t> </w:t>
      </w:r>
      <w:r>
        <w:rPr>
          <w:i/>
          <w:color w:val="231F20"/>
          <w:w w:val="110"/>
        </w:rPr>
        <w:t>STOCK</w:t>
      </w:r>
      <w:r>
        <w:rPr>
          <w:i/>
          <w:color w:val="231F20"/>
          <w:spacing w:val="66"/>
          <w:w w:val="110"/>
        </w:rPr>
        <w:t> </w:t>
      </w:r>
      <w:r>
        <w:rPr>
          <w:i/>
          <w:color w:val="231F20"/>
          <w:spacing w:val="8"/>
          <w:w w:val="110"/>
        </w:rPr>
        <w:t>MARKET</w:t>
      </w:r>
    </w:p>
    <w:p>
      <w:pPr>
        <w:pStyle w:val="BodyText"/>
        <w:spacing w:before="2"/>
        <w:rPr>
          <w:b/>
          <w:i/>
          <w:sz w:val="30"/>
        </w:rPr>
      </w:pPr>
    </w:p>
    <w:p>
      <w:pPr>
        <w:pStyle w:val="BodyText"/>
        <w:spacing w:line="292" w:lineRule="auto"/>
        <w:ind w:left="920" w:right="666"/>
        <w:jc w:val="both"/>
      </w:pPr>
      <w:r>
        <w:rPr>
          <w:color w:val="231F20"/>
        </w:rPr>
        <w:t>Stocks have no contractual terms of payment and no maturity. If earnings are adequate, most companies regularly pay dividends to stockholders.</w:t>
      </w:r>
      <w:r>
        <w:rPr>
          <w:color w:val="231F20"/>
          <w:spacing w:val="10"/>
        </w:rPr>
        <w:t> </w:t>
      </w:r>
      <w:r>
        <w:rPr>
          <w:color w:val="231F20"/>
        </w:rPr>
        <w:t>But</w:t>
      </w:r>
      <w:r>
        <w:rPr>
          <w:color w:val="231F20"/>
          <w:spacing w:val="10"/>
        </w:rPr>
        <w:t> </w:t>
      </w:r>
      <w:r>
        <w:rPr>
          <w:color w:val="231F20"/>
        </w:rPr>
        <w:t>there</w:t>
      </w:r>
      <w:r>
        <w:rPr>
          <w:color w:val="231F20"/>
          <w:spacing w:val="10"/>
        </w:rPr>
        <w:t> </w:t>
      </w:r>
      <w:r>
        <w:rPr>
          <w:color w:val="231F20"/>
        </w:rPr>
        <w:t>are</w:t>
      </w:r>
      <w:r>
        <w:rPr>
          <w:color w:val="231F20"/>
          <w:spacing w:val="11"/>
        </w:rPr>
        <w:t> </w:t>
      </w:r>
      <w:r>
        <w:rPr>
          <w:color w:val="231F20"/>
        </w:rPr>
        <w:t>no</w:t>
      </w:r>
      <w:r>
        <w:rPr>
          <w:color w:val="231F20"/>
          <w:spacing w:val="10"/>
        </w:rPr>
        <w:t> </w:t>
      </w:r>
      <w:r>
        <w:rPr>
          <w:color w:val="231F20"/>
        </w:rPr>
        <w:t>guarantees.</w:t>
      </w:r>
      <w:r>
        <w:rPr>
          <w:color w:val="231F20"/>
          <w:spacing w:val="10"/>
        </w:rPr>
        <w:t> </w:t>
      </w:r>
      <w:r>
        <w:rPr>
          <w:color w:val="231F20"/>
        </w:rPr>
        <w:t>Building</w:t>
      </w:r>
      <w:r>
        <w:rPr>
          <w:color w:val="231F20"/>
          <w:spacing w:val="11"/>
        </w:rPr>
        <w:t> </w:t>
      </w:r>
      <w:r>
        <w:rPr>
          <w:color w:val="231F20"/>
        </w:rPr>
        <w:t>on</w:t>
      </w:r>
      <w:r>
        <w:rPr>
          <w:color w:val="231F20"/>
          <w:spacing w:val="10"/>
        </w:rPr>
        <w:t> </w:t>
      </w:r>
      <w:r>
        <w:rPr>
          <w:color w:val="231F20"/>
        </w:rPr>
        <w:t>the</w:t>
      </w:r>
      <w:r>
        <w:rPr>
          <w:color w:val="231F20"/>
          <w:spacing w:val="10"/>
        </w:rPr>
        <w:t> </w:t>
      </w:r>
      <w:r>
        <w:rPr>
          <w:color w:val="231F20"/>
          <w:spacing w:val="-2"/>
        </w:rPr>
        <w:t>teachings</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29" w:right="756"/>
        <w:jc w:val="both"/>
      </w:pPr>
      <w:r>
        <w:rPr>
          <w:color w:val="231F20"/>
        </w:rPr>
        <w:t>of accounting, equity ownership of a company entitles the owner to the </w:t>
      </w:r>
      <w:r>
        <w:rPr>
          <w:i/>
          <w:color w:val="231F20"/>
        </w:rPr>
        <w:t>residual </w:t>
      </w:r>
      <w:r>
        <w:rPr>
          <w:color w:val="231F20"/>
        </w:rPr>
        <w:t>claim on earnings and assets after all the other </w:t>
      </w:r>
      <w:r>
        <w:rPr>
          <w:color w:val="231F20"/>
        </w:rPr>
        <w:t>obliga- tions, such as bonds, have been met. If there are no earnings, there’s little value to the stock. With adequate profits, bonds are paid on</w:t>
      </w:r>
      <w:r>
        <w:rPr>
          <w:color w:val="231F20"/>
          <w:spacing w:val="40"/>
        </w:rPr>
        <w:t> </w:t>
      </w:r>
      <w:r>
        <w:rPr>
          <w:color w:val="231F20"/>
        </w:rPr>
        <w:t>time and hopefully there is a portion left for stockholders.</w:t>
      </w:r>
    </w:p>
    <w:p>
      <w:pPr>
        <w:pStyle w:val="BodyText"/>
        <w:spacing w:line="292" w:lineRule="auto"/>
        <w:ind w:left="829" w:right="756" w:firstLine="340"/>
        <w:jc w:val="both"/>
      </w:pPr>
      <w:r>
        <w:rPr>
          <w:color w:val="231F20"/>
        </w:rPr>
        <w:t>Stocks are called by many names, depending on the </w:t>
      </w:r>
      <w:r>
        <w:rPr>
          <w:color w:val="231F20"/>
        </w:rPr>
        <w:t>company’s </w:t>
      </w:r>
      <w:r>
        <w:rPr>
          <w:color w:val="231F20"/>
          <w:spacing w:val="-2"/>
        </w:rPr>
        <w:t>characteristics.</w:t>
      </w:r>
    </w:p>
    <w:p>
      <w:pPr>
        <w:pStyle w:val="BodyText"/>
        <w:spacing w:before="1"/>
        <w:rPr>
          <w:sz w:val="35"/>
        </w:rPr>
      </w:pPr>
    </w:p>
    <w:p>
      <w:pPr>
        <w:spacing w:before="0"/>
        <w:ind w:left="295" w:right="219" w:firstLine="0"/>
        <w:jc w:val="center"/>
        <w:rPr>
          <w:b/>
          <w:sz w:val="20"/>
        </w:rPr>
      </w:pPr>
      <w:r>
        <w:rPr>
          <w:b/>
          <w:color w:val="231F20"/>
          <w:w w:val="120"/>
          <w:sz w:val="20"/>
        </w:rPr>
        <w:t>CLASSES</w:t>
      </w:r>
      <w:r>
        <w:rPr>
          <w:b/>
          <w:color w:val="231F20"/>
          <w:spacing w:val="19"/>
          <w:w w:val="120"/>
          <w:sz w:val="20"/>
        </w:rPr>
        <w:t> </w:t>
      </w:r>
      <w:r>
        <w:rPr>
          <w:b/>
          <w:color w:val="231F20"/>
          <w:w w:val="120"/>
          <w:sz w:val="20"/>
        </w:rPr>
        <w:t>OF</w:t>
      </w:r>
      <w:r>
        <w:rPr>
          <w:b/>
          <w:color w:val="231F20"/>
          <w:spacing w:val="20"/>
          <w:w w:val="120"/>
          <w:sz w:val="20"/>
        </w:rPr>
        <w:t> </w:t>
      </w:r>
      <w:r>
        <w:rPr>
          <w:b/>
          <w:color w:val="231F20"/>
          <w:spacing w:val="-2"/>
          <w:w w:val="120"/>
          <w:sz w:val="20"/>
        </w:rPr>
        <w:t>STOCKS</w:t>
      </w:r>
    </w:p>
    <w:p>
      <w:pPr>
        <w:pStyle w:val="BodyText"/>
        <w:spacing w:before="3"/>
        <w:rPr>
          <w:b/>
          <w:sz w:val="5"/>
        </w:rPr>
      </w:pPr>
      <w:r>
        <w:rPr/>
        <w:pict>
          <v:shape style="position:absolute;margin-left:75.5pt;margin-top:4.307366pt;width:276.5pt;height:.1pt;mso-position-horizontal-relative:page;mso-position-vertical-relative:paragraph;z-index:-15595008;mso-wrap-distance-left:0;mso-wrap-distance-right:0" id="docshape372" coordorigin="1510,86" coordsize="5530,0" path="m1510,86l7040,86e" filled="false" stroked="true" strokeweight="1pt" strokecolor="#231f20">
            <v:path arrowok="t"/>
            <v:stroke dashstyle="solid"/>
            <w10:wrap type="topAndBottom"/>
          </v:shape>
        </w:pict>
      </w:r>
    </w:p>
    <w:p>
      <w:pPr>
        <w:pStyle w:val="BodyText"/>
        <w:spacing w:after="1"/>
        <w:rPr>
          <w:b/>
          <w:sz w:val="20"/>
        </w:rPr>
      </w:pPr>
    </w:p>
    <w:tbl>
      <w:tblPr>
        <w:tblW w:w="0" w:type="auto"/>
        <w:jc w:val="left"/>
        <w:tblInd w:w="1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0"/>
        <w:gridCol w:w="2197"/>
        <w:gridCol w:w="1894"/>
      </w:tblGrid>
      <w:tr>
        <w:trPr>
          <w:trHeight w:val="250" w:hRule="atLeast"/>
        </w:trPr>
        <w:tc>
          <w:tcPr>
            <w:tcW w:w="1540" w:type="dxa"/>
          </w:tcPr>
          <w:p>
            <w:pPr>
              <w:pStyle w:val="TableParagraph"/>
              <w:spacing w:line="205" w:lineRule="exact" w:before="0"/>
              <w:ind w:left="50"/>
              <w:jc w:val="left"/>
              <w:rPr>
                <w:b/>
                <w:i/>
                <w:sz w:val="18"/>
              </w:rPr>
            </w:pPr>
            <w:r>
              <w:rPr>
                <w:b/>
                <w:i/>
                <w:color w:val="231F20"/>
                <w:spacing w:val="-2"/>
                <w:w w:val="110"/>
                <w:sz w:val="18"/>
              </w:rPr>
              <w:t>CLASS</w:t>
            </w:r>
          </w:p>
        </w:tc>
        <w:tc>
          <w:tcPr>
            <w:tcW w:w="2197" w:type="dxa"/>
          </w:tcPr>
          <w:p>
            <w:pPr>
              <w:pStyle w:val="TableParagraph"/>
              <w:spacing w:line="205" w:lineRule="exact" w:before="0"/>
              <w:ind w:left="160"/>
              <w:jc w:val="left"/>
              <w:rPr>
                <w:b/>
                <w:i/>
                <w:sz w:val="18"/>
              </w:rPr>
            </w:pPr>
            <w:r>
              <w:rPr>
                <w:b/>
                <w:i/>
                <w:color w:val="231F20"/>
                <w:spacing w:val="-2"/>
                <w:w w:val="110"/>
                <w:sz w:val="18"/>
              </w:rPr>
              <w:t>DESCRIPTION</w:t>
            </w:r>
          </w:p>
        </w:tc>
        <w:tc>
          <w:tcPr>
            <w:tcW w:w="1894" w:type="dxa"/>
          </w:tcPr>
          <w:p>
            <w:pPr>
              <w:pStyle w:val="TableParagraph"/>
              <w:spacing w:line="205" w:lineRule="exact" w:before="0"/>
              <w:ind w:left="163"/>
              <w:jc w:val="left"/>
              <w:rPr>
                <w:b/>
                <w:i/>
                <w:sz w:val="18"/>
              </w:rPr>
            </w:pPr>
            <w:r>
              <w:rPr>
                <w:b/>
                <w:i/>
                <w:color w:val="231F20"/>
                <w:spacing w:val="-2"/>
                <w:w w:val="105"/>
                <w:sz w:val="18"/>
              </w:rPr>
              <w:t>EXAMPLES</w:t>
            </w:r>
          </w:p>
        </w:tc>
      </w:tr>
      <w:tr>
        <w:trPr>
          <w:trHeight w:val="2354" w:hRule="atLeast"/>
        </w:trPr>
        <w:tc>
          <w:tcPr>
            <w:tcW w:w="1540" w:type="dxa"/>
          </w:tcPr>
          <w:p>
            <w:pPr>
              <w:pStyle w:val="TableParagraph"/>
              <w:spacing w:line="681" w:lineRule="auto" w:before="43"/>
              <w:ind w:left="50" w:right="157"/>
              <w:jc w:val="left"/>
              <w:rPr>
                <w:sz w:val="18"/>
              </w:rPr>
            </w:pPr>
            <w:r>
              <w:rPr>
                <w:color w:val="231F20"/>
                <w:sz w:val="18"/>
              </w:rPr>
              <w:t>Growth Stocks</w:t>
            </w:r>
            <w:r>
              <w:rPr>
                <w:color w:val="231F20"/>
                <w:spacing w:val="40"/>
                <w:sz w:val="18"/>
              </w:rPr>
              <w:t> </w:t>
            </w:r>
            <w:r>
              <w:rPr>
                <w:color w:val="231F20"/>
                <w:sz w:val="18"/>
              </w:rPr>
              <w:t>Blue-Chip</w:t>
            </w:r>
            <w:r>
              <w:rPr>
                <w:color w:val="231F20"/>
                <w:spacing w:val="-1"/>
                <w:sz w:val="18"/>
              </w:rPr>
              <w:t> </w:t>
            </w:r>
            <w:r>
              <w:rPr>
                <w:color w:val="231F20"/>
                <w:sz w:val="18"/>
              </w:rPr>
              <w:t>Stocks</w:t>
            </w:r>
            <w:r>
              <w:rPr>
                <w:color w:val="231F20"/>
                <w:spacing w:val="40"/>
                <w:sz w:val="18"/>
              </w:rPr>
              <w:t> </w:t>
            </w:r>
            <w:r>
              <w:rPr>
                <w:color w:val="231F20"/>
                <w:sz w:val="18"/>
              </w:rPr>
              <w:t>Cyclical Stocks</w:t>
            </w:r>
          </w:p>
          <w:p>
            <w:pPr>
              <w:pStyle w:val="TableParagraph"/>
              <w:spacing w:before="2"/>
              <w:ind w:left="50"/>
              <w:jc w:val="left"/>
              <w:rPr>
                <w:sz w:val="18"/>
              </w:rPr>
            </w:pPr>
            <w:r>
              <w:rPr>
                <w:color w:val="231F20"/>
                <w:sz w:val="18"/>
              </w:rPr>
              <w:t>Penny</w:t>
            </w:r>
            <w:r>
              <w:rPr>
                <w:color w:val="231F20"/>
                <w:spacing w:val="-5"/>
                <w:sz w:val="18"/>
              </w:rPr>
              <w:t> </w:t>
            </w:r>
            <w:r>
              <w:rPr>
                <w:color w:val="231F20"/>
                <w:spacing w:val="-2"/>
                <w:sz w:val="18"/>
              </w:rPr>
              <w:t>Stocks</w:t>
            </w:r>
          </w:p>
        </w:tc>
        <w:tc>
          <w:tcPr>
            <w:tcW w:w="2197" w:type="dxa"/>
          </w:tcPr>
          <w:p>
            <w:pPr>
              <w:pStyle w:val="TableParagraph"/>
              <w:spacing w:line="340" w:lineRule="auto" w:before="43"/>
              <w:ind w:left="160" w:right="675"/>
              <w:jc w:val="left"/>
              <w:rPr>
                <w:sz w:val="18"/>
              </w:rPr>
            </w:pPr>
            <w:r>
              <w:rPr>
                <w:color w:val="231F20"/>
                <w:w w:val="105"/>
                <w:sz w:val="18"/>
              </w:rPr>
              <w:t>Rapidly</w:t>
            </w:r>
            <w:r>
              <w:rPr>
                <w:color w:val="231F20"/>
                <w:spacing w:val="-10"/>
                <w:w w:val="105"/>
                <w:sz w:val="18"/>
              </w:rPr>
              <w:t> </w:t>
            </w:r>
            <w:r>
              <w:rPr>
                <w:color w:val="231F20"/>
                <w:w w:val="105"/>
                <w:sz w:val="18"/>
              </w:rPr>
              <w:t>Growing </w:t>
            </w:r>
            <w:r>
              <w:rPr>
                <w:color w:val="231F20"/>
                <w:spacing w:val="-2"/>
                <w:w w:val="105"/>
                <w:sz w:val="18"/>
              </w:rPr>
              <w:t>Companies</w:t>
            </w:r>
          </w:p>
          <w:p>
            <w:pPr>
              <w:pStyle w:val="TableParagraph"/>
              <w:spacing w:line="340" w:lineRule="auto" w:before="0"/>
              <w:ind w:left="160" w:right="675"/>
              <w:jc w:val="left"/>
              <w:rPr>
                <w:sz w:val="18"/>
              </w:rPr>
            </w:pPr>
            <w:r>
              <w:rPr>
                <w:color w:val="231F20"/>
                <w:sz w:val="18"/>
              </w:rPr>
              <w:t>Very</w:t>
            </w:r>
            <w:r>
              <w:rPr>
                <w:color w:val="231F20"/>
                <w:spacing w:val="-6"/>
                <w:sz w:val="18"/>
              </w:rPr>
              <w:t> </w:t>
            </w:r>
            <w:r>
              <w:rPr>
                <w:color w:val="231F20"/>
                <w:sz w:val="18"/>
              </w:rPr>
              <w:t>Large</w:t>
            </w:r>
            <w:r>
              <w:rPr>
                <w:color w:val="231F20"/>
                <w:spacing w:val="40"/>
                <w:sz w:val="18"/>
              </w:rPr>
              <w:t> </w:t>
            </w:r>
            <w:r>
              <w:rPr>
                <w:color w:val="231F20"/>
                <w:spacing w:val="-2"/>
                <w:sz w:val="18"/>
              </w:rPr>
              <w:t>Companies</w:t>
            </w:r>
          </w:p>
          <w:p>
            <w:pPr>
              <w:pStyle w:val="TableParagraph"/>
              <w:spacing w:line="340" w:lineRule="auto" w:before="1"/>
              <w:ind w:left="160"/>
              <w:jc w:val="left"/>
              <w:rPr>
                <w:sz w:val="18"/>
              </w:rPr>
            </w:pPr>
            <w:r>
              <w:rPr>
                <w:color w:val="231F20"/>
                <w:sz w:val="18"/>
              </w:rPr>
              <w:t>Fluctuate Greatly </w:t>
            </w:r>
            <w:r>
              <w:rPr>
                <w:color w:val="231F20"/>
                <w:sz w:val="18"/>
              </w:rPr>
              <w:t>with</w:t>
            </w:r>
            <w:r>
              <w:rPr>
                <w:color w:val="231F20"/>
                <w:spacing w:val="40"/>
                <w:sz w:val="18"/>
              </w:rPr>
              <w:t> </w:t>
            </w:r>
            <w:r>
              <w:rPr>
                <w:color w:val="231F20"/>
                <w:spacing w:val="-2"/>
                <w:sz w:val="18"/>
              </w:rPr>
              <w:t>Economy</w:t>
            </w:r>
          </w:p>
          <w:p>
            <w:pPr>
              <w:pStyle w:val="TableParagraph"/>
              <w:spacing w:before="1"/>
              <w:ind w:left="160"/>
              <w:jc w:val="left"/>
              <w:rPr>
                <w:sz w:val="18"/>
              </w:rPr>
            </w:pPr>
            <w:r>
              <w:rPr>
                <w:color w:val="231F20"/>
                <w:w w:val="105"/>
                <w:sz w:val="18"/>
              </w:rPr>
              <w:t>Risky,</w:t>
            </w:r>
            <w:r>
              <w:rPr>
                <w:color w:val="231F20"/>
                <w:spacing w:val="-8"/>
                <w:w w:val="105"/>
                <w:sz w:val="18"/>
              </w:rPr>
              <w:t> </w:t>
            </w:r>
            <w:r>
              <w:rPr>
                <w:color w:val="231F20"/>
                <w:w w:val="105"/>
                <w:sz w:val="18"/>
              </w:rPr>
              <w:t>Small</w:t>
            </w:r>
            <w:r>
              <w:rPr>
                <w:color w:val="231F20"/>
                <w:spacing w:val="-8"/>
                <w:w w:val="105"/>
                <w:sz w:val="18"/>
              </w:rPr>
              <w:t> </w:t>
            </w:r>
            <w:r>
              <w:rPr>
                <w:color w:val="231F20"/>
                <w:spacing w:val="-2"/>
                <w:w w:val="105"/>
                <w:sz w:val="18"/>
              </w:rPr>
              <w:t>Companies</w:t>
            </w:r>
          </w:p>
          <w:p>
            <w:pPr>
              <w:pStyle w:val="TableParagraph"/>
              <w:spacing w:line="192" w:lineRule="exact" w:before="89"/>
              <w:ind w:left="160"/>
              <w:jc w:val="left"/>
              <w:rPr>
                <w:sz w:val="18"/>
              </w:rPr>
            </w:pPr>
            <w:r>
              <w:rPr>
                <w:color w:val="231F20"/>
                <w:sz w:val="18"/>
              </w:rPr>
              <w:t>with</w:t>
            </w:r>
            <w:r>
              <w:rPr>
                <w:color w:val="231F20"/>
                <w:spacing w:val="12"/>
                <w:sz w:val="18"/>
              </w:rPr>
              <w:t> </w:t>
            </w:r>
            <w:r>
              <w:rPr>
                <w:color w:val="231F20"/>
                <w:sz w:val="18"/>
              </w:rPr>
              <w:t>Low</w:t>
            </w:r>
            <w:r>
              <w:rPr>
                <w:color w:val="231F20"/>
                <w:spacing w:val="13"/>
                <w:sz w:val="18"/>
              </w:rPr>
              <w:t> </w:t>
            </w:r>
            <w:r>
              <w:rPr>
                <w:color w:val="231F20"/>
                <w:sz w:val="18"/>
              </w:rPr>
              <w:t>Share</w:t>
            </w:r>
            <w:r>
              <w:rPr>
                <w:color w:val="231F20"/>
                <w:spacing w:val="12"/>
                <w:sz w:val="18"/>
              </w:rPr>
              <w:t> </w:t>
            </w:r>
            <w:r>
              <w:rPr>
                <w:color w:val="231F20"/>
                <w:spacing w:val="-2"/>
                <w:sz w:val="18"/>
              </w:rPr>
              <w:t>Prices</w:t>
            </w:r>
          </w:p>
        </w:tc>
        <w:tc>
          <w:tcPr>
            <w:tcW w:w="1894" w:type="dxa"/>
          </w:tcPr>
          <w:p>
            <w:pPr>
              <w:pStyle w:val="TableParagraph"/>
              <w:spacing w:before="43"/>
              <w:ind w:left="163"/>
              <w:jc w:val="left"/>
              <w:rPr>
                <w:sz w:val="18"/>
              </w:rPr>
            </w:pPr>
            <w:r>
              <w:rPr>
                <w:color w:val="231F20"/>
                <w:sz w:val="18"/>
              </w:rPr>
              <w:t>eBay,</w:t>
            </w:r>
            <w:r>
              <w:rPr>
                <w:color w:val="231F20"/>
                <w:spacing w:val="-2"/>
                <w:sz w:val="18"/>
              </w:rPr>
              <w:t> </w:t>
            </w:r>
            <w:r>
              <w:rPr>
                <w:color w:val="231F20"/>
                <w:spacing w:val="-2"/>
                <w:w w:val="105"/>
                <w:sz w:val="18"/>
              </w:rPr>
              <w:t>Google</w:t>
            </w:r>
          </w:p>
          <w:p>
            <w:pPr>
              <w:pStyle w:val="TableParagraph"/>
              <w:spacing w:before="0"/>
              <w:jc w:val="left"/>
              <w:rPr>
                <w:b/>
                <w:sz w:val="20"/>
              </w:rPr>
            </w:pPr>
          </w:p>
          <w:p>
            <w:pPr>
              <w:pStyle w:val="TableParagraph"/>
              <w:spacing w:line="681" w:lineRule="auto" w:before="154"/>
              <w:ind w:left="163" w:hanging="1"/>
              <w:jc w:val="left"/>
              <w:rPr>
                <w:sz w:val="18"/>
              </w:rPr>
            </w:pPr>
            <w:r>
              <w:rPr>
                <w:color w:val="231F20"/>
                <w:spacing w:val="-2"/>
                <w:w w:val="110"/>
                <w:sz w:val="18"/>
              </w:rPr>
              <w:t>Coca-Cola,</w:t>
            </w:r>
            <w:r>
              <w:rPr>
                <w:color w:val="231F20"/>
                <w:spacing w:val="-9"/>
                <w:w w:val="110"/>
                <w:sz w:val="18"/>
              </w:rPr>
              <w:t> </w:t>
            </w:r>
            <w:r>
              <w:rPr>
                <w:color w:val="231F20"/>
                <w:spacing w:val="-2"/>
                <w:w w:val="110"/>
                <w:sz w:val="18"/>
              </w:rPr>
              <w:t>Citigroup </w:t>
            </w:r>
            <w:r>
              <w:rPr>
                <w:color w:val="231F20"/>
                <w:w w:val="110"/>
                <w:sz w:val="18"/>
              </w:rPr>
              <w:t>Ford, GM</w:t>
            </w:r>
          </w:p>
          <w:p>
            <w:pPr>
              <w:pStyle w:val="TableParagraph"/>
              <w:spacing w:before="1"/>
              <w:ind w:left="163"/>
              <w:jc w:val="left"/>
              <w:rPr>
                <w:sz w:val="18"/>
              </w:rPr>
            </w:pPr>
            <w:r>
              <w:rPr>
                <w:color w:val="231F20"/>
                <w:sz w:val="18"/>
              </w:rPr>
              <w:t>Jet</w:t>
            </w:r>
            <w:r>
              <w:rPr>
                <w:color w:val="231F20"/>
                <w:spacing w:val="14"/>
                <w:sz w:val="18"/>
              </w:rPr>
              <w:t> </w:t>
            </w:r>
            <w:r>
              <w:rPr>
                <w:color w:val="231F20"/>
                <w:spacing w:val="-2"/>
                <w:sz w:val="18"/>
              </w:rPr>
              <w:t>Electro</w:t>
            </w:r>
          </w:p>
        </w:tc>
      </w:tr>
    </w:tbl>
    <w:p>
      <w:pPr>
        <w:pStyle w:val="BodyText"/>
        <w:rPr>
          <w:b/>
          <w:sz w:val="22"/>
        </w:rPr>
      </w:pPr>
    </w:p>
    <w:p>
      <w:pPr>
        <w:pStyle w:val="BodyText"/>
        <w:spacing w:before="8"/>
        <w:rPr>
          <w:b/>
          <w:sz w:val="17"/>
        </w:rPr>
      </w:pPr>
    </w:p>
    <w:p>
      <w:pPr>
        <w:pStyle w:val="BodyText"/>
        <w:spacing w:line="292" w:lineRule="auto" w:before="1"/>
        <w:ind w:left="830" w:right="753"/>
        <w:jc w:val="both"/>
      </w:pPr>
      <w:r>
        <w:rPr>
          <w:i/>
          <w:color w:val="231F20"/>
        </w:rPr>
        <w:t>The</w:t>
      </w:r>
      <w:r>
        <w:rPr>
          <w:i/>
          <w:color w:val="231F20"/>
          <w:spacing w:val="36"/>
        </w:rPr>
        <w:t> </w:t>
      </w:r>
      <w:r>
        <w:rPr>
          <w:i/>
          <w:color w:val="231F20"/>
        </w:rPr>
        <w:t>Dividend</w:t>
      </w:r>
      <w:r>
        <w:rPr>
          <w:i/>
          <w:color w:val="231F20"/>
          <w:spacing w:val="36"/>
        </w:rPr>
        <w:t> </w:t>
      </w:r>
      <w:r>
        <w:rPr>
          <w:i/>
          <w:color w:val="231F20"/>
        </w:rPr>
        <w:t>Growth</w:t>
      </w:r>
      <w:r>
        <w:rPr>
          <w:i/>
          <w:color w:val="231F20"/>
          <w:spacing w:val="36"/>
        </w:rPr>
        <w:t> </w:t>
      </w:r>
      <w:r>
        <w:rPr>
          <w:i/>
          <w:color w:val="231F20"/>
        </w:rPr>
        <w:t>Model.</w:t>
      </w:r>
      <w:r>
        <w:rPr>
          <w:i/>
          <w:color w:val="231F20"/>
          <w:spacing w:val="36"/>
        </w:rPr>
        <w:t> </w:t>
      </w:r>
      <w:r>
        <w:rPr>
          <w:color w:val="231F20"/>
        </w:rPr>
        <w:t>One</w:t>
      </w:r>
      <w:r>
        <w:rPr>
          <w:color w:val="231F20"/>
          <w:spacing w:val="36"/>
        </w:rPr>
        <w:t> </w:t>
      </w:r>
      <w:r>
        <w:rPr>
          <w:color w:val="231F20"/>
        </w:rPr>
        <w:t>way</w:t>
      </w:r>
      <w:r>
        <w:rPr>
          <w:color w:val="231F20"/>
          <w:spacing w:val="36"/>
        </w:rPr>
        <w:t> </w:t>
      </w:r>
      <w:r>
        <w:rPr>
          <w:color w:val="231F20"/>
        </w:rPr>
        <w:t>that</w:t>
      </w:r>
      <w:r>
        <w:rPr>
          <w:color w:val="231F20"/>
          <w:spacing w:val="36"/>
        </w:rPr>
        <w:t> </w:t>
      </w:r>
      <w:r>
        <w:rPr>
          <w:color w:val="231F20"/>
        </w:rPr>
        <w:t>investment</w:t>
      </w:r>
      <w:r>
        <w:rPr>
          <w:color w:val="231F20"/>
          <w:spacing w:val="36"/>
        </w:rPr>
        <w:t> </w:t>
      </w:r>
      <w:r>
        <w:rPr>
          <w:color w:val="231F20"/>
        </w:rPr>
        <w:t>analysts</w:t>
      </w:r>
      <w:r>
        <w:rPr>
          <w:color w:val="231F20"/>
          <w:spacing w:val="36"/>
        </w:rPr>
        <w:t> </w:t>
      </w:r>
      <w:r>
        <w:rPr>
          <w:color w:val="231F20"/>
        </w:rPr>
        <w:t>try to value stocks is by valuing the dividend cash flow. This value</w:t>
      </w:r>
      <w:r>
        <w:rPr>
          <w:color w:val="231F20"/>
          <w:spacing w:val="80"/>
          <w:w w:val="150"/>
        </w:rPr>
        <w:t> </w:t>
      </w:r>
      <w:r>
        <w:rPr>
          <w:color w:val="231F20"/>
        </w:rPr>
        <w:t>model heavily weights dividend growth in its formula. However, it does not always yield a reasonable answer.</w:t>
      </w:r>
    </w:p>
    <w:p>
      <w:pPr>
        <w:pStyle w:val="BodyText"/>
        <w:spacing w:before="5"/>
        <w:rPr>
          <w:sz w:val="25"/>
        </w:rPr>
      </w:pPr>
    </w:p>
    <w:p>
      <w:pPr>
        <w:pStyle w:val="BodyText"/>
        <w:tabs>
          <w:tab w:pos="3679" w:val="left" w:leader="none"/>
        </w:tabs>
        <w:spacing w:line="348" w:lineRule="exact"/>
        <w:ind w:left="1789"/>
      </w:pPr>
      <w:r>
        <w:rPr/>
        <w:pict>
          <v:line style="position:absolute;mso-position-horizontal-relative:page;mso-position-vertical-relative:paragraph;z-index:-25095168" from="190.5pt,14.226286pt" to="220pt,14.226286pt" stroked="true" strokeweight=".5pt" strokecolor="#231f20">
            <v:stroke dashstyle="solid"/>
            <w10:wrap type="none"/>
          </v:line>
        </w:pict>
      </w:r>
      <w:r>
        <w:rPr>
          <w:color w:val="231F20"/>
          <w:spacing w:val="-2"/>
          <w:w w:val="105"/>
        </w:rPr>
        <w:t>Value</w:t>
      </w:r>
      <w:r>
        <w:rPr>
          <w:color w:val="231F20"/>
          <w:spacing w:val="-7"/>
          <w:w w:val="105"/>
        </w:rPr>
        <w:t> </w:t>
      </w:r>
      <w:r>
        <w:rPr>
          <w:color w:val="231F20"/>
          <w:spacing w:val="-2"/>
          <w:w w:val="105"/>
        </w:rPr>
        <w:t>per</w:t>
      </w:r>
      <w:r>
        <w:rPr>
          <w:color w:val="231F20"/>
          <w:spacing w:val="-7"/>
          <w:w w:val="105"/>
        </w:rPr>
        <w:t> </w:t>
      </w:r>
      <w:r>
        <w:rPr>
          <w:color w:val="231F20"/>
          <w:spacing w:val="-2"/>
          <w:w w:val="105"/>
        </w:rPr>
        <w:t>Share</w:t>
      </w:r>
      <w:r>
        <w:rPr>
          <w:color w:val="231F20"/>
          <w:spacing w:val="-7"/>
          <w:w w:val="105"/>
        </w:rPr>
        <w:t> </w:t>
      </w:r>
      <w:r>
        <w:rPr>
          <w:rFonts w:ascii="Symbol" w:hAnsi="Symbol"/>
          <w:color w:val="231F20"/>
          <w:spacing w:val="-10"/>
          <w:w w:val="105"/>
        </w:rPr>
        <w:t></w:t>
      </w:r>
      <w:r>
        <w:rPr>
          <w:rFonts w:ascii="Times New Roman" w:hAnsi="Times New Roman"/>
          <w:color w:val="231F20"/>
        </w:rPr>
        <w:tab/>
      </w:r>
      <w:r>
        <w:rPr>
          <w:color w:val="231F20"/>
          <w:spacing w:val="-10"/>
          <w:w w:val="105"/>
          <w:position w:val="15"/>
        </w:rPr>
        <w:t>D</w:t>
      </w:r>
    </w:p>
    <w:p>
      <w:pPr>
        <w:pStyle w:val="BodyText"/>
        <w:tabs>
          <w:tab w:pos="459" w:val="left" w:leader="none"/>
        </w:tabs>
        <w:spacing w:line="198" w:lineRule="exact"/>
        <w:ind w:right="260"/>
        <w:jc w:val="center"/>
      </w:pPr>
      <w:r>
        <w:rPr/>
        <w:pict>
          <v:rect style="position:absolute;margin-left:204.147995pt;margin-top:4.696115pt;width:4.930940pt;height:.7242pt;mso-position-horizontal-relative:page;mso-position-vertical-relative:paragraph;z-index:-25094656" id="docshape373" filled="true" fillcolor="#231f20" stroked="false">
            <v:fill type="solid"/>
            <w10:wrap type="none"/>
          </v:rect>
        </w:pict>
      </w:r>
      <w:r>
        <w:rPr>
          <w:color w:val="231F20"/>
          <w:spacing w:val="-5"/>
        </w:rPr>
        <w:t>(K</w:t>
      </w:r>
      <w:r>
        <w:rPr>
          <w:color w:val="231F20"/>
        </w:rPr>
        <w:tab/>
      </w:r>
      <w:r>
        <w:rPr>
          <w:color w:val="231F20"/>
          <w:spacing w:val="-5"/>
        </w:rPr>
        <w:t>g)</w:t>
      </w:r>
    </w:p>
    <w:p>
      <w:pPr>
        <w:pStyle w:val="BodyText"/>
        <w:spacing w:before="192"/>
        <w:ind w:left="1774"/>
      </w:pPr>
      <w:r>
        <w:rPr>
          <w:color w:val="231F20"/>
          <w:w w:val="105"/>
        </w:rPr>
        <w:t>D</w:t>
      </w:r>
      <w:r>
        <w:rPr>
          <w:color w:val="231F20"/>
          <w:spacing w:val="11"/>
          <w:w w:val="105"/>
        </w:rPr>
        <w:t> </w:t>
      </w:r>
      <w:r>
        <w:rPr>
          <w:rFonts w:ascii="Symbol" w:hAnsi="Symbol"/>
          <w:color w:val="231F20"/>
          <w:w w:val="105"/>
        </w:rPr>
        <w:t></w:t>
      </w:r>
      <w:r>
        <w:rPr>
          <w:rFonts w:ascii="Times New Roman" w:hAnsi="Times New Roman"/>
          <w:color w:val="231F20"/>
          <w:spacing w:val="-1"/>
          <w:w w:val="105"/>
        </w:rPr>
        <w:t> </w:t>
      </w:r>
      <w:r>
        <w:rPr>
          <w:color w:val="231F20"/>
          <w:w w:val="105"/>
        </w:rPr>
        <w:t>Annual</w:t>
      </w:r>
      <w:r>
        <w:rPr>
          <w:color w:val="231F20"/>
          <w:spacing w:val="3"/>
          <w:w w:val="105"/>
        </w:rPr>
        <w:t> </w:t>
      </w:r>
      <w:r>
        <w:rPr>
          <w:color w:val="231F20"/>
          <w:w w:val="105"/>
        </w:rPr>
        <w:t>Dividends</w:t>
      </w:r>
      <w:r>
        <w:rPr>
          <w:color w:val="231F20"/>
          <w:spacing w:val="2"/>
          <w:w w:val="105"/>
        </w:rPr>
        <w:t> </w:t>
      </w:r>
      <w:r>
        <w:rPr>
          <w:color w:val="231F20"/>
          <w:w w:val="105"/>
        </w:rPr>
        <w:t>per</w:t>
      </w:r>
      <w:r>
        <w:rPr>
          <w:color w:val="231F20"/>
          <w:spacing w:val="2"/>
          <w:w w:val="105"/>
        </w:rPr>
        <w:t> </w:t>
      </w:r>
      <w:r>
        <w:rPr>
          <w:color w:val="231F20"/>
          <w:spacing w:val="-4"/>
          <w:w w:val="105"/>
        </w:rPr>
        <w:t>Share</w:t>
      </w:r>
    </w:p>
    <w:p>
      <w:pPr>
        <w:pStyle w:val="BodyText"/>
        <w:spacing w:line="278" w:lineRule="auto" w:before="43"/>
        <w:ind w:left="1833" w:right="1673" w:hanging="48"/>
      </w:pPr>
      <w:r>
        <w:rPr>
          <w:color w:val="231F20"/>
          <w:w w:val="105"/>
        </w:rPr>
        <w:t>K</w:t>
      </w:r>
      <w:r>
        <w:rPr>
          <w:color w:val="231F20"/>
          <w:w w:val="105"/>
        </w:rPr>
        <w:t> </w:t>
      </w:r>
      <w:r>
        <w:rPr>
          <w:rFonts w:ascii="Symbol" w:hAnsi="Symbol"/>
          <w:color w:val="231F20"/>
          <w:w w:val="105"/>
        </w:rPr>
        <w:t></w:t>
      </w:r>
      <w:r>
        <w:rPr>
          <w:rFonts w:ascii="Times New Roman" w:hAnsi="Times New Roman"/>
          <w:color w:val="231F20"/>
          <w:spacing w:val="-3"/>
          <w:w w:val="105"/>
        </w:rPr>
        <w:t> </w:t>
      </w:r>
      <w:r>
        <w:rPr>
          <w:color w:val="231F20"/>
          <w:w w:val="105"/>
        </w:rPr>
        <w:t>Discount Rate or Required Rate of Return g</w:t>
      </w:r>
      <w:r>
        <w:rPr>
          <w:color w:val="231F20"/>
          <w:w w:val="105"/>
        </w:rPr>
        <w:t> </w:t>
      </w:r>
      <w:r>
        <w:rPr>
          <w:rFonts w:ascii="Symbol" w:hAnsi="Symbol"/>
          <w:color w:val="231F20"/>
          <w:w w:val="105"/>
        </w:rPr>
        <w:t></w:t>
      </w:r>
      <w:r>
        <w:rPr>
          <w:rFonts w:ascii="Times New Roman" w:hAnsi="Times New Roman"/>
          <w:color w:val="231F20"/>
          <w:w w:val="105"/>
        </w:rPr>
        <w:t> </w:t>
      </w:r>
      <w:r>
        <w:rPr>
          <w:color w:val="231F20"/>
          <w:w w:val="105"/>
        </w:rPr>
        <w:t>Annual Dividend Growth Rate</w:t>
      </w:r>
    </w:p>
    <w:p>
      <w:pPr>
        <w:pStyle w:val="BodyText"/>
        <w:spacing w:before="8"/>
        <w:rPr>
          <w:sz w:val="26"/>
        </w:rPr>
      </w:pPr>
    </w:p>
    <w:p>
      <w:pPr>
        <w:pStyle w:val="BodyText"/>
        <w:spacing w:line="292" w:lineRule="auto"/>
        <w:ind w:left="830" w:right="754" w:firstLine="340"/>
        <w:jc w:val="both"/>
      </w:pPr>
      <w:r>
        <w:rPr>
          <w:color w:val="231F20"/>
          <w:w w:val="105"/>
        </w:rPr>
        <w:t>The</w:t>
      </w:r>
      <w:r>
        <w:rPr>
          <w:color w:val="231F20"/>
          <w:w w:val="105"/>
        </w:rPr>
        <w:t> stock</w:t>
      </w:r>
      <w:r>
        <w:rPr>
          <w:color w:val="231F20"/>
          <w:w w:val="105"/>
        </w:rPr>
        <w:t> of</w:t>
      </w:r>
      <w:r>
        <w:rPr>
          <w:color w:val="231F20"/>
          <w:w w:val="105"/>
        </w:rPr>
        <w:t> Caterpillar</w:t>
      </w:r>
      <w:r>
        <w:rPr>
          <w:color w:val="231F20"/>
          <w:w w:val="105"/>
        </w:rPr>
        <w:t> Inc.</w:t>
      </w:r>
      <w:r>
        <w:rPr>
          <w:color w:val="231F20"/>
          <w:w w:val="105"/>
        </w:rPr>
        <w:t> is</w:t>
      </w:r>
      <w:r>
        <w:rPr>
          <w:color w:val="231F20"/>
          <w:w w:val="105"/>
        </w:rPr>
        <w:t> a</w:t>
      </w:r>
      <w:r>
        <w:rPr>
          <w:color w:val="231F20"/>
          <w:w w:val="105"/>
        </w:rPr>
        <w:t> good</w:t>
      </w:r>
      <w:r>
        <w:rPr>
          <w:color w:val="231F20"/>
          <w:w w:val="105"/>
        </w:rPr>
        <w:t> example.</w:t>
      </w:r>
      <w:r>
        <w:rPr>
          <w:color w:val="231F20"/>
          <w:w w:val="105"/>
        </w:rPr>
        <w:t> In</w:t>
      </w:r>
      <w:r>
        <w:rPr>
          <w:color w:val="231F20"/>
          <w:w w:val="105"/>
        </w:rPr>
        <w:t> 1992</w:t>
      </w:r>
      <w:r>
        <w:rPr>
          <w:color w:val="231F20"/>
          <w:w w:val="105"/>
        </w:rPr>
        <w:t> the company</w:t>
      </w:r>
      <w:r>
        <w:rPr>
          <w:color w:val="231F20"/>
          <w:w w:val="105"/>
        </w:rPr>
        <w:t> paid</w:t>
      </w:r>
      <w:r>
        <w:rPr>
          <w:color w:val="231F20"/>
          <w:w w:val="105"/>
        </w:rPr>
        <w:t> a</w:t>
      </w:r>
      <w:r>
        <w:rPr>
          <w:color w:val="231F20"/>
          <w:w w:val="105"/>
        </w:rPr>
        <w:t> $1.20</w:t>
      </w:r>
      <w:r>
        <w:rPr>
          <w:color w:val="231F20"/>
          <w:w w:val="105"/>
        </w:rPr>
        <w:t> yearly</w:t>
      </w:r>
      <w:r>
        <w:rPr>
          <w:color w:val="231F20"/>
          <w:w w:val="105"/>
        </w:rPr>
        <w:t> dividend</w:t>
      </w:r>
      <w:r>
        <w:rPr>
          <w:color w:val="231F20"/>
          <w:w w:val="105"/>
        </w:rPr>
        <w:t> per</w:t>
      </w:r>
      <w:r>
        <w:rPr>
          <w:color w:val="231F20"/>
          <w:w w:val="105"/>
        </w:rPr>
        <w:t> share.</w:t>
      </w:r>
      <w:r>
        <w:rPr>
          <w:color w:val="231F20"/>
          <w:w w:val="105"/>
        </w:rPr>
        <w:t> Using</w:t>
      </w:r>
      <w:r>
        <w:rPr>
          <w:color w:val="231F20"/>
          <w:w w:val="105"/>
        </w:rPr>
        <w:t> the</w:t>
      </w:r>
      <w:r>
        <w:rPr>
          <w:color w:val="231F20"/>
          <w:w w:val="105"/>
        </w:rPr>
        <w:t> </w:t>
      </w:r>
      <w:r>
        <w:rPr>
          <w:color w:val="231F20"/>
          <w:w w:val="105"/>
        </w:rPr>
        <w:t>CAPM </w:t>
      </w:r>
      <w:r>
        <w:rPr>
          <w:color w:val="231F20"/>
        </w:rPr>
        <w:t>equation, the required rate for Caterpillar’s beta of 1.2 was 16.8 per- </w:t>
      </w:r>
      <w:r>
        <w:rPr>
          <w:color w:val="231F20"/>
          <w:w w:val="105"/>
        </w:rPr>
        <w:t>cent,</w:t>
      </w:r>
      <w:r>
        <w:rPr>
          <w:color w:val="231F20"/>
          <w:spacing w:val="2"/>
          <w:w w:val="105"/>
        </w:rPr>
        <w:t> </w:t>
      </w:r>
      <w:r>
        <w:rPr>
          <w:color w:val="231F20"/>
          <w:w w:val="105"/>
        </w:rPr>
        <w:t>the</w:t>
      </w:r>
      <w:r>
        <w:rPr>
          <w:color w:val="231F20"/>
          <w:spacing w:val="2"/>
          <w:w w:val="105"/>
        </w:rPr>
        <w:t> </w:t>
      </w:r>
      <w:r>
        <w:rPr>
          <w:color w:val="231F20"/>
          <w:w w:val="105"/>
        </w:rPr>
        <w:t>same</w:t>
      </w:r>
      <w:r>
        <w:rPr>
          <w:color w:val="231F20"/>
          <w:spacing w:val="2"/>
          <w:w w:val="105"/>
        </w:rPr>
        <w:t> </w:t>
      </w:r>
      <w:r>
        <w:rPr>
          <w:color w:val="231F20"/>
          <w:w w:val="105"/>
        </w:rPr>
        <w:t>as</w:t>
      </w:r>
      <w:r>
        <w:rPr>
          <w:color w:val="231F20"/>
          <w:spacing w:val="2"/>
          <w:w w:val="105"/>
        </w:rPr>
        <w:t> </w:t>
      </w:r>
      <w:r>
        <w:rPr>
          <w:color w:val="231F20"/>
          <w:w w:val="105"/>
        </w:rPr>
        <w:t>IBM’s</w:t>
      </w:r>
      <w:r>
        <w:rPr>
          <w:color w:val="231F20"/>
          <w:spacing w:val="3"/>
          <w:w w:val="105"/>
        </w:rPr>
        <w:t> </w:t>
      </w:r>
      <w:r>
        <w:rPr>
          <w:color w:val="231F20"/>
          <w:w w:val="105"/>
        </w:rPr>
        <w:t>at</w:t>
      </w:r>
      <w:r>
        <w:rPr>
          <w:color w:val="231F20"/>
          <w:spacing w:val="2"/>
          <w:w w:val="105"/>
        </w:rPr>
        <w:t> </w:t>
      </w:r>
      <w:r>
        <w:rPr>
          <w:color w:val="231F20"/>
          <w:w w:val="105"/>
        </w:rPr>
        <w:t>the</w:t>
      </w:r>
      <w:r>
        <w:rPr>
          <w:color w:val="231F20"/>
          <w:spacing w:val="2"/>
          <w:w w:val="105"/>
        </w:rPr>
        <w:t> </w:t>
      </w:r>
      <w:r>
        <w:rPr>
          <w:color w:val="231F20"/>
          <w:w w:val="105"/>
        </w:rPr>
        <w:t>time.</w:t>
      </w:r>
      <w:r>
        <w:rPr>
          <w:color w:val="231F20"/>
          <w:spacing w:val="2"/>
          <w:w w:val="105"/>
        </w:rPr>
        <w:t> </w:t>
      </w:r>
      <w:r>
        <w:rPr>
          <w:color w:val="231F20"/>
          <w:w w:val="105"/>
        </w:rPr>
        <w:t>Caterpillar’s</w:t>
      </w:r>
      <w:r>
        <w:rPr>
          <w:color w:val="231F20"/>
          <w:spacing w:val="2"/>
          <w:w w:val="105"/>
        </w:rPr>
        <w:t> </w:t>
      </w:r>
      <w:r>
        <w:rPr>
          <w:color w:val="231F20"/>
          <w:w w:val="105"/>
        </w:rPr>
        <w:t>board</w:t>
      </w:r>
      <w:r>
        <w:rPr>
          <w:color w:val="231F20"/>
          <w:spacing w:val="3"/>
          <w:w w:val="105"/>
        </w:rPr>
        <w:t> </w:t>
      </w:r>
      <w:r>
        <w:rPr>
          <w:color w:val="231F20"/>
          <w:w w:val="105"/>
        </w:rPr>
        <w:t>of</w:t>
      </w:r>
      <w:r>
        <w:rPr>
          <w:color w:val="231F20"/>
          <w:spacing w:val="2"/>
          <w:w w:val="105"/>
        </w:rPr>
        <w:t> </w:t>
      </w:r>
      <w:r>
        <w:rPr>
          <w:color w:val="231F20"/>
          <w:spacing w:val="-2"/>
        </w:rPr>
        <w:t>directors</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3"/>
        <w:jc w:val="both"/>
      </w:pPr>
      <w:r>
        <w:rPr>
          <w:color w:val="231F20"/>
        </w:rPr>
        <w:t>had raised their dividend an average 12 percent for the last few</w:t>
      </w:r>
      <w:r>
        <w:rPr>
          <w:color w:val="231F20"/>
          <w:spacing w:val="40"/>
        </w:rPr>
        <w:t> </w:t>
      </w:r>
      <w:r>
        <w:rPr>
          <w:color w:val="231F20"/>
        </w:rPr>
        <w:t>years. With those inputs in the dividend growth model, the stock should have been worth $25.</w:t>
      </w:r>
    </w:p>
    <w:p>
      <w:pPr>
        <w:pStyle w:val="BodyText"/>
        <w:spacing w:before="5"/>
        <w:rPr>
          <w:sz w:val="25"/>
        </w:rPr>
      </w:pPr>
    </w:p>
    <w:p>
      <w:pPr>
        <w:pStyle w:val="BodyText"/>
        <w:spacing w:line="192" w:lineRule="exact"/>
        <w:ind w:left="1041" w:right="2826"/>
        <w:jc w:val="center"/>
      </w:pPr>
      <w:r>
        <w:rPr>
          <w:color w:val="231F20"/>
          <w:spacing w:val="-4"/>
          <w:w w:val="105"/>
        </w:rPr>
        <w:t>$1.20</w:t>
      </w:r>
    </w:p>
    <w:p>
      <w:pPr>
        <w:pStyle w:val="BodyText"/>
        <w:tabs>
          <w:tab w:pos="982" w:val="left" w:leader="none"/>
        </w:tabs>
        <w:spacing w:line="177" w:lineRule="auto"/>
        <w:ind w:left="261"/>
        <w:jc w:val="center"/>
      </w:pPr>
      <w:r>
        <w:rPr/>
        <w:pict>
          <v:line style="position:absolute;mso-position-horizontal-relative:page;mso-position-vertical-relative:paragraph;z-index:-25094144" from="141.5pt,6.517852pt" to="193.5pt,6.517852pt" stroked="true" strokeweight=".5pt" strokecolor="#231f20">
            <v:stroke dashstyle="solid"/>
            <w10:wrap type="none"/>
          </v:line>
        </w:pict>
      </w:r>
      <w:r>
        <w:rPr/>
        <w:pict>
          <v:rect style="position:absolute;margin-left:168.181595pt;margin-top:14.392532pt;width:4.93095pt;height:.7242pt;mso-position-horizontal-relative:page;mso-position-vertical-relative:paragraph;z-index:-25093632" id="docshape374" filled="true" fillcolor="#231f20" stroked="false">
            <v:fill type="solid"/>
            <w10:wrap type="none"/>
          </v:rect>
        </w:pict>
      </w:r>
      <w:r>
        <w:rPr>
          <w:color w:val="231F20"/>
          <w:spacing w:val="-2"/>
          <w:position w:val="-14"/>
        </w:rPr>
        <w:t>(.168</w:t>
      </w:r>
      <w:r>
        <w:rPr>
          <w:color w:val="231F20"/>
          <w:position w:val="-14"/>
        </w:rPr>
        <w:tab/>
        <w:t>.12)</w:t>
      </w:r>
      <w:r>
        <w:rPr>
          <w:color w:val="231F20"/>
          <w:spacing w:val="11"/>
          <w:position w:val="-14"/>
        </w:rPr>
        <w:t> </w:t>
      </w:r>
      <w:r>
        <w:rPr>
          <w:rFonts w:ascii="Symbol" w:hAnsi="Symbol"/>
          <w:color w:val="231F20"/>
        </w:rPr>
        <w:t></w:t>
      </w:r>
      <w:r>
        <w:rPr>
          <w:rFonts w:ascii="Times New Roman" w:hAnsi="Times New Roman"/>
          <w:color w:val="231F20"/>
          <w:spacing w:val="6"/>
        </w:rPr>
        <w:t> </w:t>
      </w:r>
      <w:r>
        <w:rPr>
          <w:color w:val="231F20"/>
        </w:rPr>
        <w:t>$25</w:t>
      </w:r>
      <w:r>
        <w:rPr>
          <w:color w:val="231F20"/>
          <w:spacing w:val="11"/>
        </w:rPr>
        <w:t> </w:t>
      </w:r>
      <w:r>
        <w:rPr>
          <w:color w:val="231F20"/>
        </w:rPr>
        <w:t>per</w:t>
      </w:r>
      <w:r>
        <w:rPr>
          <w:color w:val="231F20"/>
          <w:spacing w:val="12"/>
        </w:rPr>
        <w:t> </w:t>
      </w:r>
      <w:r>
        <w:rPr>
          <w:color w:val="231F20"/>
        </w:rPr>
        <w:t>share</w:t>
      </w:r>
      <w:r>
        <w:rPr>
          <w:color w:val="231F20"/>
          <w:spacing w:val="12"/>
        </w:rPr>
        <w:t> </w:t>
      </w:r>
      <w:r>
        <w:rPr>
          <w:color w:val="231F20"/>
          <w:spacing w:val="-4"/>
        </w:rPr>
        <w:t>value</w:t>
      </w:r>
    </w:p>
    <w:p>
      <w:pPr>
        <w:pStyle w:val="BodyText"/>
        <w:spacing w:before="8"/>
        <w:rPr>
          <w:sz w:val="22"/>
        </w:rPr>
      </w:pPr>
    </w:p>
    <w:p>
      <w:pPr>
        <w:pStyle w:val="BodyText"/>
        <w:spacing w:line="292" w:lineRule="auto" w:before="101"/>
        <w:ind w:left="920" w:right="666" w:firstLine="340"/>
        <w:jc w:val="both"/>
      </w:pPr>
      <w:r>
        <w:rPr>
          <w:color w:val="231F20"/>
        </w:rPr>
        <w:t>But Caterpillar actually traded at $56 per share in May 1992. Either there must have been more than just dividends to the com- pany, or the market had gone nuts. But probably not. Investors must also have valued the company’s assets and future earnings as </w:t>
      </w:r>
      <w:r>
        <w:rPr>
          <w:color w:val="231F20"/>
        </w:rPr>
        <w:t>well. Caterpillar did not take off and traded at $73, but after the market bust</w:t>
      </w:r>
      <w:r>
        <w:rPr>
          <w:color w:val="231F20"/>
          <w:spacing w:val="40"/>
        </w:rPr>
        <w:t> </w:t>
      </w:r>
      <w:r>
        <w:rPr>
          <w:color w:val="231F20"/>
        </w:rPr>
        <w:t>in</w:t>
      </w:r>
      <w:r>
        <w:rPr>
          <w:color w:val="231F20"/>
          <w:spacing w:val="40"/>
        </w:rPr>
        <w:t> </w:t>
      </w:r>
      <w:r>
        <w:rPr>
          <w:color w:val="231F20"/>
        </w:rPr>
        <w:t>2000,</w:t>
      </w:r>
      <w:r>
        <w:rPr>
          <w:color w:val="231F20"/>
          <w:spacing w:val="40"/>
        </w:rPr>
        <w:t> </w:t>
      </w:r>
      <w:r>
        <w:rPr>
          <w:color w:val="231F20"/>
        </w:rPr>
        <w:t>this</w:t>
      </w:r>
      <w:r>
        <w:rPr>
          <w:color w:val="231F20"/>
          <w:spacing w:val="40"/>
        </w:rPr>
        <w:t> </w:t>
      </w:r>
      <w:r>
        <w:rPr>
          <w:color w:val="231F20"/>
        </w:rPr>
        <w:t>Steady</w:t>
      </w:r>
      <w:r>
        <w:rPr>
          <w:color w:val="231F20"/>
          <w:spacing w:val="40"/>
        </w:rPr>
        <w:t> </w:t>
      </w:r>
      <w:r>
        <w:rPr>
          <w:color w:val="231F20"/>
        </w:rPr>
        <w:t>Eddy</w:t>
      </w:r>
      <w:r>
        <w:rPr>
          <w:color w:val="231F20"/>
          <w:spacing w:val="40"/>
        </w:rPr>
        <w:t> </w:t>
      </w:r>
      <w:r>
        <w:rPr>
          <w:color w:val="231F20"/>
        </w:rPr>
        <w:t>traded</w:t>
      </w:r>
      <w:r>
        <w:rPr>
          <w:color w:val="231F20"/>
          <w:spacing w:val="40"/>
        </w:rPr>
        <w:t> </w:t>
      </w:r>
      <w:r>
        <w:rPr>
          <w:color w:val="231F20"/>
        </w:rPr>
        <w:t>at</w:t>
      </w:r>
      <w:r>
        <w:rPr>
          <w:color w:val="231F20"/>
          <w:spacing w:val="40"/>
        </w:rPr>
        <w:t> </w:t>
      </w:r>
      <w:r>
        <w:rPr>
          <w:color w:val="231F20"/>
        </w:rPr>
        <w:t>$83</w:t>
      </w:r>
      <w:r>
        <w:rPr>
          <w:color w:val="231F20"/>
          <w:spacing w:val="40"/>
        </w:rPr>
        <w:t> </w:t>
      </w:r>
      <w:r>
        <w:rPr>
          <w:color w:val="231F20"/>
        </w:rPr>
        <w:t>in</w:t>
      </w:r>
      <w:r>
        <w:rPr>
          <w:color w:val="231F20"/>
          <w:spacing w:val="40"/>
        </w:rPr>
        <w:t> </w:t>
      </w:r>
      <w:r>
        <w:rPr>
          <w:color w:val="231F20"/>
        </w:rPr>
        <w:t>2004,</w:t>
      </w:r>
      <w:r>
        <w:rPr>
          <w:color w:val="231F20"/>
          <w:spacing w:val="40"/>
        </w:rPr>
        <w:t> </w:t>
      </w:r>
      <w:r>
        <w:rPr>
          <w:color w:val="231F20"/>
        </w:rPr>
        <w:t>while</w:t>
      </w:r>
      <w:r>
        <w:rPr>
          <w:color w:val="231F20"/>
          <w:spacing w:val="40"/>
        </w:rPr>
        <w:t> </w:t>
      </w:r>
      <w:r>
        <w:rPr>
          <w:color w:val="231F20"/>
        </w:rPr>
        <w:t>IBM had lost 30 percent of its market highs.</w:t>
      </w:r>
    </w:p>
    <w:p>
      <w:pPr>
        <w:pStyle w:val="BodyText"/>
        <w:spacing w:line="292" w:lineRule="auto"/>
        <w:ind w:left="920" w:right="666" w:firstLine="340"/>
        <w:jc w:val="both"/>
      </w:pPr>
      <w:r>
        <w:rPr>
          <w:color w:val="231F20"/>
        </w:rPr>
        <w:t>What is an analyst to do with Wal-Mart stores, the </w:t>
      </w:r>
      <w:r>
        <w:rPr>
          <w:color w:val="231F20"/>
        </w:rPr>
        <w:t>discounter</w:t>
      </w:r>
      <w:r>
        <w:rPr>
          <w:color w:val="231F20"/>
          <w:spacing w:val="40"/>
        </w:rPr>
        <w:t> </w:t>
      </w:r>
      <w:r>
        <w:rPr>
          <w:color w:val="231F20"/>
        </w:rPr>
        <w:t>that pays small dividends? How do analysts value Internet firms that have no earnings and no dividends? There are no easy formulas, but the following are a few additional methods used by securities ana- lysts to calculate value.</w:t>
      </w:r>
    </w:p>
    <w:p>
      <w:pPr>
        <w:pStyle w:val="BodyText"/>
        <w:spacing w:before="3"/>
        <w:rPr>
          <w:sz w:val="25"/>
        </w:rPr>
      </w:pPr>
    </w:p>
    <w:p>
      <w:pPr>
        <w:pStyle w:val="BodyText"/>
        <w:spacing w:line="292" w:lineRule="auto"/>
        <w:ind w:left="920" w:right="663"/>
        <w:jc w:val="both"/>
      </w:pPr>
      <w:r>
        <w:rPr>
          <w:i/>
          <w:color w:val="231F20"/>
        </w:rPr>
        <w:t>Price-Earnings</w:t>
      </w:r>
      <w:r>
        <w:rPr>
          <w:i/>
          <w:color w:val="231F20"/>
          <w:spacing w:val="40"/>
        </w:rPr>
        <w:t> </w:t>
      </w:r>
      <w:r>
        <w:rPr>
          <w:i/>
          <w:color w:val="231F20"/>
        </w:rPr>
        <w:t>Ratio.</w:t>
      </w:r>
      <w:r>
        <w:rPr>
          <w:i/>
          <w:color w:val="231F20"/>
          <w:spacing w:val="40"/>
        </w:rPr>
        <w:t> </w:t>
      </w:r>
      <w:r>
        <w:rPr>
          <w:color w:val="231F20"/>
        </w:rPr>
        <w:t>Analysts</w:t>
      </w:r>
      <w:r>
        <w:rPr>
          <w:color w:val="231F20"/>
          <w:spacing w:val="40"/>
        </w:rPr>
        <w:t> </w:t>
      </w:r>
      <w:r>
        <w:rPr>
          <w:color w:val="231F20"/>
        </w:rPr>
        <w:t>compare</w:t>
      </w:r>
      <w:r>
        <w:rPr>
          <w:color w:val="231F20"/>
          <w:spacing w:val="40"/>
        </w:rPr>
        <w:t> </w:t>
      </w:r>
      <w:r>
        <w:rPr>
          <w:color w:val="231F20"/>
        </w:rPr>
        <w:t>the</w:t>
      </w:r>
      <w:r>
        <w:rPr>
          <w:color w:val="231F20"/>
          <w:spacing w:val="40"/>
        </w:rPr>
        <w:t> </w:t>
      </w:r>
      <w:r>
        <w:rPr>
          <w:color w:val="231F20"/>
        </w:rPr>
        <w:t>ratio</w:t>
      </w:r>
      <w:r>
        <w:rPr>
          <w:color w:val="231F20"/>
          <w:spacing w:val="40"/>
        </w:rPr>
        <w:t> </w:t>
      </w:r>
      <w:r>
        <w:rPr>
          <w:color w:val="231F20"/>
        </w:rPr>
        <w:t>of</w:t>
      </w:r>
      <w:r>
        <w:rPr>
          <w:color w:val="231F20"/>
          <w:spacing w:val="40"/>
        </w:rPr>
        <w:t> </w:t>
      </w:r>
      <w:r>
        <w:rPr>
          <w:color w:val="231F20"/>
        </w:rPr>
        <w:t>the</w:t>
      </w:r>
      <w:r>
        <w:rPr>
          <w:color w:val="231F20"/>
          <w:spacing w:val="40"/>
        </w:rPr>
        <w:t> </w:t>
      </w:r>
      <w:r>
        <w:rPr>
          <w:color w:val="231F20"/>
        </w:rPr>
        <w:t>current stock price to the current or projected earnings per share (EPS). </w:t>
      </w:r>
      <w:r>
        <w:rPr>
          <w:color w:val="231F20"/>
        </w:rPr>
        <w:t>This </w:t>
      </w:r>
      <w:r>
        <w:rPr>
          <w:i/>
          <w:color w:val="231F20"/>
        </w:rPr>
        <w:t>price-earnings ratio </w:t>
      </w:r>
      <w:r>
        <w:rPr>
          <w:color w:val="231F20"/>
        </w:rPr>
        <w:t>(PE ratio) is probably the most widely used val- uation method. It is simple. Everyone can divide price by earnings</w:t>
      </w:r>
      <w:r>
        <w:rPr>
          <w:color w:val="231F20"/>
          <w:spacing w:val="40"/>
        </w:rPr>
        <w:t> </w:t>
      </w:r>
      <w:r>
        <w:rPr>
          <w:color w:val="231F20"/>
        </w:rPr>
        <w:t>per share. Best yet, the EPS of most companies are widely published. If that ratio is in line with the industry of the business and with the market, then it may indicate the propriety of its current stock price. To illustrate the wide use of the PE ratio, the following was a stock picker’s recommendation:</w:t>
      </w:r>
    </w:p>
    <w:p>
      <w:pPr>
        <w:pStyle w:val="BodyText"/>
        <w:spacing w:before="11"/>
        <w:rPr>
          <w:sz w:val="26"/>
        </w:rPr>
      </w:pPr>
    </w:p>
    <w:p>
      <w:pPr>
        <w:spacing w:line="324" w:lineRule="auto" w:before="0"/>
        <w:ind w:left="1260" w:right="1006" w:firstLine="0"/>
        <w:jc w:val="both"/>
        <w:rPr>
          <w:sz w:val="19"/>
        </w:rPr>
      </w:pPr>
      <w:r>
        <w:rPr>
          <w:color w:val="231F20"/>
          <w:sz w:val="19"/>
        </w:rPr>
        <w:t>Corestates</w:t>
      </w:r>
      <w:r>
        <w:rPr>
          <w:color w:val="231F20"/>
          <w:spacing w:val="40"/>
          <w:sz w:val="19"/>
        </w:rPr>
        <w:t> </w:t>
      </w:r>
      <w:r>
        <w:rPr>
          <w:color w:val="231F20"/>
          <w:sz w:val="19"/>
        </w:rPr>
        <w:t>Financial</w:t>
      </w:r>
      <w:r>
        <w:rPr>
          <w:color w:val="231F20"/>
          <w:spacing w:val="40"/>
          <w:sz w:val="19"/>
        </w:rPr>
        <w:t> </w:t>
      </w:r>
      <w:r>
        <w:rPr>
          <w:color w:val="231F20"/>
          <w:sz w:val="19"/>
        </w:rPr>
        <w:t>at</w:t>
      </w:r>
      <w:r>
        <w:rPr>
          <w:color w:val="231F20"/>
          <w:spacing w:val="40"/>
          <w:sz w:val="19"/>
        </w:rPr>
        <w:t> </w:t>
      </w:r>
      <w:r>
        <w:rPr>
          <w:color w:val="231F20"/>
          <w:sz w:val="19"/>
        </w:rPr>
        <w:t>$44,</w:t>
      </w:r>
      <w:r>
        <w:rPr>
          <w:color w:val="231F20"/>
          <w:spacing w:val="40"/>
          <w:sz w:val="19"/>
        </w:rPr>
        <w:t> </w:t>
      </w:r>
      <w:r>
        <w:rPr>
          <w:color w:val="231F20"/>
          <w:sz w:val="19"/>
        </w:rPr>
        <w:t>the</w:t>
      </w:r>
      <w:r>
        <w:rPr>
          <w:color w:val="231F20"/>
          <w:spacing w:val="40"/>
          <w:sz w:val="19"/>
        </w:rPr>
        <w:t> </w:t>
      </w:r>
      <w:r>
        <w:rPr>
          <w:color w:val="231F20"/>
          <w:sz w:val="19"/>
        </w:rPr>
        <w:t>old</w:t>
      </w:r>
      <w:r>
        <w:rPr>
          <w:color w:val="231F20"/>
          <w:spacing w:val="40"/>
          <w:sz w:val="19"/>
        </w:rPr>
        <w:t> </w:t>
      </w:r>
      <w:r>
        <w:rPr>
          <w:color w:val="231F20"/>
          <w:sz w:val="19"/>
        </w:rPr>
        <w:t>Philadelphia</w:t>
      </w:r>
      <w:r>
        <w:rPr>
          <w:color w:val="231F20"/>
          <w:spacing w:val="40"/>
          <w:sz w:val="19"/>
        </w:rPr>
        <w:t> </w:t>
      </w:r>
      <w:r>
        <w:rPr>
          <w:color w:val="231F20"/>
          <w:sz w:val="19"/>
        </w:rPr>
        <w:t>National</w:t>
      </w:r>
      <w:r>
        <w:rPr>
          <w:color w:val="231F20"/>
          <w:spacing w:val="40"/>
          <w:sz w:val="19"/>
        </w:rPr>
        <w:t> </w:t>
      </w:r>
      <w:r>
        <w:rPr>
          <w:color w:val="231F20"/>
          <w:sz w:val="19"/>
        </w:rPr>
        <w:t>Bank, has a low price-earnings multiple relative to other banks, and its dividend yield is higher than other banks mentioned. Strong buy-</w:t>
      </w:r>
      <w:r>
        <w:rPr>
          <w:color w:val="231F20"/>
          <w:spacing w:val="40"/>
          <w:sz w:val="19"/>
        </w:rPr>
        <w:t> </w:t>
      </w:r>
      <w:r>
        <w:rPr>
          <w:color w:val="231F20"/>
          <w:sz w:val="19"/>
        </w:rPr>
        <w:t>ing interest exists.</w:t>
      </w:r>
    </w:p>
    <w:p>
      <w:pPr>
        <w:pStyle w:val="BodyText"/>
        <w:spacing w:before="6"/>
        <w:rPr>
          <w:sz w:val="24"/>
        </w:rPr>
      </w:pPr>
    </w:p>
    <w:p>
      <w:pPr>
        <w:pStyle w:val="BodyText"/>
        <w:spacing w:before="1"/>
        <w:ind w:left="1260"/>
      </w:pPr>
      <w:r>
        <w:rPr>
          <w:color w:val="231F20"/>
          <w:w w:val="105"/>
        </w:rPr>
        <w:t>The </w:t>
      </w:r>
      <w:r>
        <w:rPr>
          <w:i/>
          <w:color w:val="231F20"/>
          <w:w w:val="105"/>
        </w:rPr>
        <w:t>PEG</w:t>
      </w:r>
      <w:r>
        <w:rPr>
          <w:i/>
          <w:color w:val="231F20"/>
          <w:spacing w:val="1"/>
          <w:w w:val="105"/>
        </w:rPr>
        <w:t> </w:t>
      </w:r>
      <w:r>
        <w:rPr>
          <w:color w:val="231F20"/>
          <w:w w:val="105"/>
        </w:rPr>
        <w:t>ratio is</w:t>
      </w:r>
      <w:r>
        <w:rPr>
          <w:color w:val="231F20"/>
          <w:spacing w:val="1"/>
          <w:w w:val="105"/>
        </w:rPr>
        <w:t> </w:t>
      </w:r>
      <w:r>
        <w:rPr>
          <w:color w:val="231F20"/>
          <w:w w:val="105"/>
        </w:rPr>
        <w:t>a twist</w:t>
      </w:r>
      <w:r>
        <w:rPr>
          <w:color w:val="231F20"/>
          <w:spacing w:val="1"/>
          <w:w w:val="105"/>
        </w:rPr>
        <w:t> </w:t>
      </w:r>
      <w:r>
        <w:rPr>
          <w:color w:val="231F20"/>
          <w:w w:val="105"/>
        </w:rPr>
        <w:t>on</w:t>
      </w:r>
      <w:r>
        <w:rPr>
          <w:color w:val="231F20"/>
          <w:spacing w:val="1"/>
          <w:w w:val="105"/>
        </w:rPr>
        <w:t> </w:t>
      </w:r>
      <w:r>
        <w:rPr>
          <w:color w:val="231F20"/>
          <w:w w:val="105"/>
        </w:rPr>
        <w:t>the price-earnings</w:t>
      </w:r>
      <w:r>
        <w:rPr>
          <w:color w:val="231F20"/>
          <w:spacing w:val="1"/>
          <w:w w:val="105"/>
        </w:rPr>
        <w:t> </w:t>
      </w:r>
      <w:r>
        <w:rPr>
          <w:color w:val="231F20"/>
          <w:w w:val="105"/>
        </w:rPr>
        <w:t>ratio that</w:t>
      </w:r>
      <w:r>
        <w:rPr>
          <w:color w:val="231F20"/>
          <w:spacing w:val="1"/>
          <w:w w:val="105"/>
        </w:rPr>
        <w:t> </w:t>
      </w:r>
      <w:r>
        <w:rPr>
          <w:color w:val="231F20"/>
          <w:spacing w:val="-2"/>
          <w:w w:val="105"/>
        </w:rPr>
        <w:t>factors</w:t>
      </w:r>
    </w:p>
    <w:p>
      <w:pPr>
        <w:spacing w:after="0"/>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5"/>
        <w:jc w:val="both"/>
      </w:pPr>
      <w:r>
        <w:rPr>
          <w:color w:val="231F20"/>
          <w:w w:val="105"/>
        </w:rPr>
        <w:t>in</w:t>
      </w:r>
      <w:r>
        <w:rPr>
          <w:color w:val="231F20"/>
          <w:w w:val="105"/>
        </w:rPr>
        <w:t> earnings</w:t>
      </w:r>
      <w:r>
        <w:rPr>
          <w:color w:val="231F20"/>
          <w:w w:val="105"/>
        </w:rPr>
        <w:t> growth.</w:t>
      </w:r>
      <w:r>
        <w:rPr>
          <w:color w:val="231F20"/>
          <w:w w:val="105"/>
        </w:rPr>
        <w:t> The</w:t>
      </w:r>
      <w:r>
        <w:rPr>
          <w:color w:val="231F20"/>
          <w:w w:val="105"/>
        </w:rPr>
        <w:t> PEG</w:t>
      </w:r>
      <w:r>
        <w:rPr>
          <w:color w:val="231F20"/>
          <w:w w:val="105"/>
        </w:rPr>
        <w:t> ration</w:t>
      </w:r>
      <w:r>
        <w:rPr>
          <w:color w:val="231F20"/>
          <w:w w:val="105"/>
        </w:rPr>
        <w:t> is</w:t>
      </w:r>
      <w:r>
        <w:rPr>
          <w:color w:val="231F20"/>
          <w:w w:val="105"/>
        </w:rPr>
        <w:t> calculated</w:t>
      </w:r>
      <w:r>
        <w:rPr>
          <w:color w:val="231F20"/>
          <w:w w:val="105"/>
        </w:rPr>
        <w:t> by</w:t>
      </w:r>
      <w:r>
        <w:rPr>
          <w:color w:val="231F20"/>
          <w:w w:val="105"/>
        </w:rPr>
        <w:t> dividing</w:t>
      </w:r>
      <w:r>
        <w:rPr>
          <w:color w:val="231F20"/>
          <w:w w:val="105"/>
        </w:rPr>
        <w:t> a </w:t>
      </w:r>
      <w:r>
        <w:rPr>
          <w:color w:val="231F20"/>
          <w:spacing w:val="-2"/>
          <w:w w:val="105"/>
        </w:rPr>
        <w:t>company’s</w:t>
      </w:r>
      <w:r>
        <w:rPr>
          <w:color w:val="231F20"/>
          <w:spacing w:val="-8"/>
          <w:w w:val="105"/>
        </w:rPr>
        <w:t> </w:t>
      </w:r>
      <w:r>
        <w:rPr>
          <w:color w:val="231F20"/>
          <w:spacing w:val="-2"/>
          <w:w w:val="105"/>
        </w:rPr>
        <w:t>PE</w:t>
      </w:r>
      <w:r>
        <w:rPr>
          <w:color w:val="231F20"/>
          <w:spacing w:val="-8"/>
          <w:w w:val="105"/>
        </w:rPr>
        <w:t> </w:t>
      </w:r>
      <w:r>
        <w:rPr>
          <w:color w:val="231F20"/>
          <w:spacing w:val="-2"/>
          <w:w w:val="105"/>
        </w:rPr>
        <w:t>by</w:t>
      </w:r>
      <w:r>
        <w:rPr>
          <w:color w:val="231F20"/>
          <w:spacing w:val="-8"/>
          <w:w w:val="105"/>
        </w:rPr>
        <w:t> </w:t>
      </w:r>
      <w:r>
        <w:rPr>
          <w:color w:val="231F20"/>
          <w:spacing w:val="-2"/>
          <w:w w:val="105"/>
        </w:rPr>
        <w:t>its</w:t>
      </w:r>
      <w:r>
        <w:rPr>
          <w:color w:val="231F20"/>
          <w:spacing w:val="-8"/>
          <w:w w:val="105"/>
        </w:rPr>
        <w:t> </w:t>
      </w:r>
      <w:r>
        <w:rPr>
          <w:color w:val="231F20"/>
          <w:spacing w:val="-2"/>
          <w:w w:val="105"/>
        </w:rPr>
        <w:t>projected</w:t>
      </w:r>
      <w:r>
        <w:rPr>
          <w:color w:val="231F20"/>
          <w:spacing w:val="-8"/>
          <w:w w:val="105"/>
        </w:rPr>
        <w:t> </w:t>
      </w:r>
      <w:r>
        <w:rPr>
          <w:color w:val="231F20"/>
          <w:spacing w:val="-2"/>
          <w:w w:val="105"/>
        </w:rPr>
        <w:t>long-term</w:t>
      </w:r>
      <w:r>
        <w:rPr>
          <w:color w:val="231F20"/>
          <w:spacing w:val="-8"/>
          <w:w w:val="105"/>
        </w:rPr>
        <w:t> </w:t>
      </w:r>
      <w:r>
        <w:rPr>
          <w:color w:val="231F20"/>
          <w:spacing w:val="-2"/>
          <w:w w:val="105"/>
        </w:rPr>
        <w:t>earnings</w:t>
      </w:r>
      <w:r>
        <w:rPr>
          <w:color w:val="231F20"/>
          <w:spacing w:val="-8"/>
          <w:w w:val="105"/>
        </w:rPr>
        <w:t> </w:t>
      </w:r>
      <w:r>
        <w:rPr>
          <w:color w:val="231F20"/>
          <w:spacing w:val="-2"/>
          <w:w w:val="105"/>
        </w:rPr>
        <w:t>growth</w:t>
      </w:r>
      <w:r>
        <w:rPr>
          <w:color w:val="231F20"/>
          <w:spacing w:val="-8"/>
          <w:w w:val="105"/>
        </w:rPr>
        <w:t> </w:t>
      </w:r>
      <w:r>
        <w:rPr>
          <w:color w:val="231F20"/>
          <w:spacing w:val="-2"/>
          <w:w w:val="105"/>
        </w:rPr>
        <w:t>rate.</w:t>
      </w:r>
      <w:r>
        <w:rPr>
          <w:color w:val="231F20"/>
          <w:spacing w:val="-8"/>
          <w:w w:val="105"/>
        </w:rPr>
        <w:t> </w:t>
      </w:r>
      <w:r>
        <w:rPr>
          <w:color w:val="231F20"/>
          <w:spacing w:val="-2"/>
          <w:w w:val="105"/>
        </w:rPr>
        <w:t>That </w:t>
      </w:r>
      <w:r>
        <w:rPr>
          <w:color w:val="231F20"/>
        </w:rPr>
        <w:t>growth projection is subject to a great deal of uncertainty. PEGs near </w:t>
      </w:r>
      <w:r>
        <w:rPr>
          <w:color w:val="231F20"/>
          <w:w w:val="105"/>
        </w:rPr>
        <w:t>or</w:t>
      </w:r>
      <w:r>
        <w:rPr>
          <w:color w:val="231F20"/>
          <w:w w:val="105"/>
        </w:rPr>
        <w:t> below</w:t>
      </w:r>
      <w:r>
        <w:rPr>
          <w:color w:val="231F20"/>
          <w:w w:val="105"/>
        </w:rPr>
        <w:t> 1.0</w:t>
      </w:r>
      <w:r>
        <w:rPr>
          <w:color w:val="231F20"/>
          <w:w w:val="105"/>
        </w:rPr>
        <w:t> are</w:t>
      </w:r>
      <w:r>
        <w:rPr>
          <w:color w:val="231F20"/>
          <w:w w:val="105"/>
        </w:rPr>
        <w:t> considered</w:t>
      </w:r>
      <w:r>
        <w:rPr>
          <w:color w:val="231F20"/>
          <w:w w:val="105"/>
        </w:rPr>
        <w:t> possible</w:t>
      </w:r>
      <w:r>
        <w:rPr>
          <w:color w:val="231F20"/>
          <w:w w:val="105"/>
        </w:rPr>
        <w:t> bargains.</w:t>
      </w:r>
      <w:r>
        <w:rPr>
          <w:color w:val="231F20"/>
          <w:w w:val="105"/>
        </w:rPr>
        <w:t> In</w:t>
      </w:r>
      <w:r>
        <w:rPr>
          <w:color w:val="231F20"/>
          <w:w w:val="105"/>
        </w:rPr>
        <w:t> January</w:t>
      </w:r>
      <w:r>
        <w:rPr>
          <w:color w:val="231F20"/>
          <w:w w:val="105"/>
        </w:rPr>
        <w:t> 2005, Sina,</w:t>
      </w:r>
      <w:r>
        <w:rPr>
          <w:color w:val="231F20"/>
          <w:w w:val="105"/>
        </w:rPr>
        <w:t> an</w:t>
      </w:r>
      <w:r>
        <w:rPr>
          <w:color w:val="231F20"/>
          <w:w w:val="105"/>
        </w:rPr>
        <w:t> Internet</w:t>
      </w:r>
      <w:r>
        <w:rPr>
          <w:color w:val="231F20"/>
          <w:w w:val="105"/>
        </w:rPr>
        <w:t> software</w:t>
      </w:r>
      <w:r>
        <w:rPr>
          <w:color w:val="231F20"/>
          <w:w w:val="105"/>
        </w:rPr>
        <w:t> and</w:t>
      </w:r>
      <w:r>
        <w:rPr>
          <w:color w:val="231F20"/>
          <w:w w:val="105"/>
        </w:rPr>
        <w:t> service</w:t>
      </w:r>
      <w:r>
        <w:rPr>
          <w:color w:val="231F20"/>
          <w:w w:val="105"/>
        </w:rPr>
        <w:t> provider</w:t>
      </w:r>
      <w:r>
        <w:rPr>
          <w:color w:val="231F20"/>
          <w:w w:val="105"/>
        </w:rPr>
        <w:t> had</w:t>
      </w:r>
      <w:r>
        <w:rPr>
          <w:color w:val="231F20"/>
          <w:w w:val="105"/>
        </w:rPr>
        <w:t> an</w:t>
      </w:r>
      <w:r>
        <w:rPr>
          <w:color w:val="231F20"/>
          <w:w w:val="105"/>
        </w:rPr>
        <w:t> attractive PEG ratio of 0.6.</w:t>
      </w:r>
    </w:p>
    <w:p>
      <w:pPr>
        <w:pStyle w:val="BodyText"/>
        <w:spacing w:before="4"/>
        <w:rPr>
          <w:sz w:val="25"/>
        </w:rPr>
      </w:pPr>
    </w:p>
    <w:p>
      <w:pPr>
        <w:pStyle w:val="BodyText"/>
        <w:spacing w:line="292" w:lineRule="auto"/>
        <w:ind w:left="830" w:right="753"/>
        <w:jc w:val="both"/>
      </w:pPr>
      <w:r>
        <w:rPr>
          <w:i/>
          <w:color w:val="231F20"/>
        </w:rPr>
        <w:t>Multiple of Book Value per Share. </w:t>
      </w:r>
      <w:r>
        <w:rPr>
          <w:color w:val="231F20"/>
        </w:rPr>
        <w:t>This calculation using balance-</w:t>
      </w:r>
      <w:r>
        <w:rPr>
          <w:color w:val="231F20"/>
          <w:spacing w:val="40"/>
        </w:rPr>
        <w:t> </w:t>
      </w:r>
      <w:r>
        <w:rPr>
          <w:color w:val="231F20"/>
        </w:rPr>
        <w:t>sheet information divides the share price by the book value of assets per share. In 1992, ImClone Systems, a biopharmaceuticals com- pany, sold at 331 times its book value. </w:t>
      </w:r>
      <w:r>
        <w:rPr>
          <w:i/>
          <w:color w:val="231F20"/>
        </w:rPr>
        <w:t>Forbes </w:t>
      </w:r>
      <w:r>
        <w:rPr>
          <w:color w:val="231F20"/>
        </w:rPr>
        <w:t>highlighted it as possi- bly overvalued, but the ratios of small, new companies are often unusual. Investors often value the potential success of start-up companies, not their current size. In this case, ImClone’s stock plum- meted from a high of $26 in 1992 to $.31 in 1995, when biotechnol- ogy</w:t>
      </w:r>
      <w:r>
        <w:rPr>
          <w:color w:val="231F20"/>
          <w:spacing w:val="40"/>
        </w:rPr>
        <w:t> </w:t>
      </w:r>
      <w:r>
        <w:rPr>
          <w:color w:val="231F20"/>
        </w:rPr>
        <w:t>fell</w:t>
      </w:r>
      <w:r>
        <w:rPr>
          <w:color w:val="231F20"/>
          <w:spacing w:val="40"/>
        </w:rPr>
        <w:t> </w:t>
      </w:r>
      <w:r>
        <w:rPr>
          <w:color w:val="231F20"/>
        </w:rPr>
        <w:t>out</w:t>
      </w:r>
      <w:r>
        <w:rPr>
          <w:color w:val="231F20"/>
          <w:spacing w:val="40"/>
        </w:rPr>
        <w:t> </w:t>
      </w:r>
      <w:r>
        <w:rPr>
          <w:color w:val="231F20"/>
        </w:rPr>
        <w:t>of</w:t>
      </w:r>
      <w:r>
        <w:rPr>
          <w:color w:val="231F20"/>
          <w:spacing w:val="40"/>
        </w:rPr>
        <w:t> </w:t>
      </w:r>
      <w:r>
        <w:rPr>
          <w:color w:val="231F20"/>
        </w:rPr>
        <w:t>favor</w:t>
      </w:r>
      <w:r>
        <w:rPr>
          <w:color w:val="231F20"/>
          <w:spacing w:val="40"/>
        </w:rPr>
        <w:t> </w:t>
      </w:r>
      <w:r>
        <w:rPr>
          <w:color w:val="231F20"/>
        </w:rPr>
        <w:t>with</w:t>
      </w:r>
      <w:r>
        <w:rPr>
          <w:color w:val="231F20"/>
          <w:spacing w:val="40"/>
        </w:rPr>
        <w:t> </w:t>
      </w:r>
      <w:r>
        <w:rPr>
          <w:color w:val="231F20"/>
        </w:rPr>
        <w:t>investors.</w:t>
      </w:r>
      <w:r>
        <w:rPr>
          <w:color w:val="231F20"/>
          <w:spacing w:val="40"/>
        </w:rPr>
        <w:t> </w:t>
      </w:r>
      <w:r>
        <w:rPr>
          <w:color w:val="231F20"/>
        </w:rPr>
        <w:t>When</w:t>
      </w:r>
      <w:r>
        <w:rPr>
          <w:color w:val="231F20"/>
          <w:spacing w:val="40"/>
        </w:rPr>
        <w:t> </w:t>
      </w:r>
      <w:r>
        <w:rPr>
          <w:color w:val="231F20"/>
        </w:rPr>
        <w:t>sales</w:t>
      </w:r>
      <w:r>
        <w:rPr>
          <w:color w:val="231F20"/>
          <w:spacing w:val="40"/>
        </w:rPr>
        <w:t> </w:t>
      </w:r>
      <w:r>
        <w:rPr>
          <w:color w:val="231F20"/>
        </w:rPr>
        <w:t>materialized</w:t>
      </w:r>
      <w:r>
        <w:rPr>
          <w:color w:val="231F20"/>
          <w:spacing w:val="40"/>
        </w:rPr>
        <w:t> </w:t>
      </w:r>
      <w:r>
        <w:rPr>
          <w:color w:val="231F20"/>
        </w:rPr>
        <w:t>in 1998, it traded at $10 a share, five times its book value. When</w:t>
      </w:r>
      <w:r>
        <w:rPr>
          <w:color w:val="231F20"/>
          <w:spacing w:val="80"/>
        </w:rPr>
        <w:t> </w:t>
      </w:r>
      <w:r>
        <w:rPr>
          <w:color w:val="231F20"/>
        </w:rPr>
        <w:t>Martha Stewart allegedly heard bad news about ImClone’s failed</w:t>
      </w:r>
      <w:r>
        <w:rPr>
          <w:color w:val="231F20"/>
          <w:spacing w:val="80"/>
        </w:rPr>
        <w:t> </w:t>
      </w:r>
      <w:r>
        <w:rPr>
          <w:color w:val="231F20"/>
        </w:rPr>
        <w:t>FDA drug application in December 2000, she sold her stock at $60 a share, when it traded at thirty-six times book value.</w:t>
      </w:r>
    </w:p>
    <w:p>
      <w:pPr>
        <w:pStyle w:val="BodyText"/>
        <w:spacing w:before="3"/>
        <w:rPr>
          <w:sz w:val="25"/>
        </w:rPr>
      </w:pPr>
    </w:p>
    <w:p>
      <w:pPr>
        <w:pStyle w:val="BodyText"/>
        <w:spacing w:line="292" w:lineRule="auto"/>
        <w:ind w:left="830" w:right="754"/>
        <w:jc w:val="both"/>
      </w:pPr>
      <w:r>
        <w:rPr>
          <w:i/>
          <w:color w:val="231F20"/>
        </w:rPr>
        <w:t>Price-to-Sales Ratio. </w:t>
      </w:r>
      <w:r>
        <w:rPr>
          <w:color w:val="231F20"/>
        </w:rPr>
        <w:t>Stock price divided by sales is the formula. </w:t>
      </w:r>
      <w:r>
        <w:rPr>
          <w:color w:val="231F20"/>
        </w:rPr>
        <w:t>In 1999,</w:t>
      </w:r>
      <w:r>
        <w:rPr>
          <w:color w:val="231F20"/>
          <w:spacing w:val="27"/>
        </w:rPr>
        <w:t> </w:t>
      </w:r>
      <w:r>
        <w:rPr>
          <w:color w:val="231F20"/>
        </w:rPr>
        <w:t>eBay,</w:t>
      </w:r>
      <w:r>
        <w:rPr>
          <w:color w:val="231F20"/>
          <w:spacing w:val="27"/>
        </w:rPr>
        <w:t> </w:t>
      </w:r>
      <w:r>
        <w:rPr>
          <w:color w:val="231F20"/>
        </w:rPr>
        <w:t>Inc.,</w:t>
      </w:r>
      <w:r>
        <w:rPr>
          <w:color w:val="231F20"/>
          <w:spacing w:val="27"/>
        </w:rPr>
        <w:t> </w:t>
      </w:r>
      <w:r>
        <w:rPr>
          <w:color w:val="231F20"/>
        </w:rPr>
        <w:t>an</w:t>
      </w:r>
      <w:r>
        <w:rPr>
          <w:color w:val="231F20"/>
          <w:spacing w:val="27"/>
        </w:rPr>
        <w:t> </w:t>
      </w:r>
      <w:r>
        <w:rPr>
          <w:color w:val="231F20"/>
        </w:rPr>
        <w:t>Internet</w:t>
      </w:r>
      <w:r>
        <w:rPr>
          <w:color w:val="231F20"/>
          <w:spacing w:val="27"/>
        </w:rPr>
        <w:t> </w:t>
      </w:r>
      <w:r>
        <w:rPr>
          <w:color w:val="231F20"/>
        </w:rPr>
        <w:t>auction</w:t>
      </w:r>
      <w:r>
        <w:rPr>
          <w:color w:val="231F20"/>
          <w:spacing w:val="27"/>
        </w:rPr>
        <w:t> </w:t>
      </w:r>
      <w:r>
        <w:rPr>
          <w:color w:val="231F20"/>
        </w:rPr>
        <w:t>site,</w:t>
      </w:r>
      <w:r>
        <w:rPr>
          <w:color w:val="231F20"/>
          <w:spacing w:val="27"/>
        </w:rPr>
        <w:t> </w:t>
      </w:r>
      <w:r>
        <w:rPr>
          <w:color w:val="231F20"/>
        </w:rPr>
        <w:t>had</w:t>
      </w:r>
      <w:r>
        <w:rPr>
          <w:color w:val="231F20"/>
          <w:spacing w:val="27"/>
        </w:rPr>
        <w:t> </w:t>
      </w:r>
      <w:r>
        <w:rPr>
          <w:color w:val="231F20"/>
        </w:rPr>
        <w:t>a</w:t>
      </w:r>
      <w:r>
        <w:rPr>
          <w:color w:val="231F20"/>
          <w:spacing w:val="27"/>
        </w:rPr>
        <w:t> </w:t>
      </w:r>
      <w:r>
        <w:rPr>
          <w:color w:val="231F20"/>
        </w:rPr>
        <w:t>price-to-sales</w:t>
      </w:r>
      <w:r>
        <w:rPr>
          <w:color w:val="231F20"/>
          <w:spacing w:val="27"/>
        </w:rPr>
        <w:t> </w:t>
      </w:r>
      <w:r>
        <w:rPr>
          <w:color w:val="231F20"/>
        </w:rPr>
        <w:t>ratio of 1,681. With few sales, the multiple was large. Investors were buying the future of the Internet. When sales materialized in 2004, eBay had a somewhat more reasonable twenty-three sales-to-price </w:t>
      </w:r>
      <w:r>
        <w:rPr>
          <w:color w:val="231F20"/>
          <w:spacing w:val="-2"/>
        </w:rPr>
        <w:t>ratio.</w:t>
      </w:r>
    </w:p>
    <w:p>
      <w:pPr>
        <w:pStyle w:val="BodyText"/>
        <w:spacing w:before="4"/>
        <w:rPr>
          <w:sz w:val="25"/>
        </w:rPr>
      </w:pPr>
    </w:p>
    <w:p>
      <w:pPr>
        <w:pStyle w:val="BodyText"/>
        <w:spacing w:line="292" w:lineRule="auto" w:before="1"/>
        <w:ind w:left="830" w:right="756"/>
        <w:jc w:val="both"/>
      </w:pPr>
      <w:r>
        <w:rPr>
          <w:i/>
          <w:color w:val="231F20"/>
        </w:rPr>
        <w:t>Asset Value per Share. </w:t>
      </w:r>
      <w:r>
        <w:rPr>
          <w:color w:val="231F20"/>
        </w:rPr>
        <w:t>When a company’s assets value divided by the outstanding shares is more valuable than the price of the stock indi- cates,</w:t>
      </w:r>
      <w:r>
        <w:rPr>
          <w:color w:val="231F20"/>
          <w:spacing w:val="29"/>
        </w:rPr>
        <w:t> </w:t>
      </w:r>
      <w:r>
        <w:rPr>
          <w:color w:val="231F20"/>
        </w:rPr>
        <w:t>then</w:t>
      </w:r>
      <w:r>
        <w:rPr>
          <w:color w:val="231F20"/>
          <w:spacing w:val="29"/>
        </w:rPr>
        <w:t> </w:t>
      </w:r>
      <w:r>
        <w:rPr>
          <w:color w:val="231F20"/>
        </w:rPr>
        <w:t>analysts</w:t>
      </w:r>
      <w:r>
        <w:rPr>
          <w:color w:val="231F20"/>
          <w:spacing w:val="29"/>
        </w:rPr>
        <w:t> </w:t>
      </w:r>
      <w:r>
        <w:rPr>
          <w:color w:val="231F20"/>
        </w:rPr>
        <w:t>might</w:t>
      </w:r>
      <w:r>
        <w:rPr>
          <w:color w:val="231F20"/>
          <w:spacing w:val="29"/>
        </w:rPr>
        <w:t> </w:t>
      </w:r>
      <w:r>
        <w:rPr>
          <w:color w:val="231F20"/>
        </w:rPr>
        <w:t>overlook</w:t>
      </w:r>
      <w:r>
        <w:rPr>
          <w:color w:val="231F20"/>
          <w:spacing w:val="29"/>
        </w:rPr>
        <w:t> </w:t>
      </w:r>
      <w:r>
        <w:rPr>
          <w:color w:val="231F20"/>
        </w:rPr>
        <w:t>other</w:t>
      </w:r>
      <w:r>
        <w:rPr>
          <w:color w:val="231F20"/>
          <w:spacing w:val="29"/>
        </w:rPr>
        <w:t> </w:t>
      </w:r>
      <w:r>
        <w:rPr>
          <w:color w:val="231F20"/>
        </w:rPr>
        <w:t>ratios.</w:t>
      </w:r>
      <w:r>
        <w:rPr>
          <w:color w:val="231F20"/>
          <w:spacing w:val="29"/>
        </w:rPr>
        <w:t> </w:t>
      </w:r>
      <w:r>
        <w:rPr>
          <w:color w:val="231F20"/>
        </w:rPr>
        <w:t>The</w:t>
      </w:r>
      <w:r>
        <w:rPr>
          <w:color w:val="231F20"/>
          <w:spacing w:val="29"/>
        </w:rPr>
        <w:t> </w:t>
      </w:r>
      <w:r>
        <w:rPr>
          <w:color w:val="231F20"/>
        </w:rPr>
        <w:t>buyout</w:t>
      </w:r>
      <w:r>
        <w:rPr>
          <w:color w:val="231F20"/>
          <w:spacing w:val="29"/>
        </w:rPr>
        <w:t> </w:t>
      </w:r>
      <w:r>
        <w:rPr>
          <w:color w:val="231F20"/>
        </w:rPr>
        <w:t>binge in oil stocks was due their share prices being below the value of their oil and gas reserves. As a result, Getty, Gulf, Mesa, and Phillips en- gaged in a bidding war that made their shares soar in the 1980s.</w:t>
      </w:r>
    </w:p>
    <w:p>
      <w:pPr>
        <w:pStyle w:val="BodyText"/>
        <w:spacing w:before="4"/>
        <w:rPr>
          <w:sz w:val="25"/>
        </w:rPr>
      </w:pPr>
    </w:p>
    <w:p>
      <w:pPr>
        <w:spacing w:before="0"/>
        <w:ind w:left="830" w:right="0" w:firstLine="0"/>
        <w:jc w:val="both"/>
        <w:rPr>
          <w:sz w:val="21"/>
        </w:rPr>
      </w:pPr>
      <w:r>
        <w:rPr>
          <w:i/>
          <w:color w:val="231F20"/>
          <w:sz w:val="21"/>
        </w:rPr>
        <w:t>Multiple</w:t>
      </w:r>
      <w:r>
        <w:rPr>
          <w:i/>
          <w:color w:val="231F20"/>
          <w:spacing w:val="18"/>
          <w:sz w:val="21"/>
        </w:rPr>
        <w:t> </w:t>
      </w:r>
      <w:r>
        <w:rPr>
          <w:i/>
          <w:color w:val="231F20"/>
          <w:sz w:val="21"/>
        </w:rPr>
        <w:t>of</w:t>
      </w:r>
      <w:r>
        <w:rPr>
          <w:i/>
          <w:color w:val="231F20"/>
          <w:spacing w:val="18"/>
          <w:sz w:val="21"/>
        </w:rPr>
        <w:t> </w:t>
      </w:r>
      <w:r>
        <w:rPr>
          <w:i/>
          <w:color w:val="231F20"/>
          <w:sz w:val="21"/>
        </w:rPr>
        <w:t>Cash</w:t>
      </w:r>
      <w:r>
        <w:rPr>
          <w:i/>
          <w:color w:val="231F20"/>
          <w:spacing w:val="18"/>
          <w:sz w:val="21"/>
        </w:rPr>
        <w:t> </w:t>
      </w:r>
      <w:r>
        <w:rPr>
          <w:i/>
          <w:color w:val="231F20"/>
          <w:sz w:val="21"/>
        </w:rPr>
        <w:t>Flow</w:t>
      </w:r>
      <w:r>
        <w:rPr>
          <w:i/>
          <w:color w:val="231F20"/>
          <w:spacing w:val="19"/>
          <w:sz w:val="21"/>
        </w:rPr>
        <w:t> </w:t>
      </w:r>
      <w:r>
        <w:rPr>
          <w:i/>
          <w:color w:val="231F20"/>
          <w:sz w:val="21"/>
        </w:rPr>
        <w:t>per</w:t>
      </w:r>
      <w:r>
        <w:rPr>
          <w:i/>
          <w:color w:val="231F20"/>
          <w:spacing w:val="18"/>
          <w:sz w:val="21"/>
        </w:rPr>
        <w:t> </w:t>
      </w:r>
      <w:r>
        <w:rPr>
          <w:i/>
          <w:color w:val="231F20"/>
          <w:sz w:val="21"/>
        </w:rPr>
        <w:t>Share.</w:t>
      </w:r>
      <w:r>
        <w:rPr>
          <w:i/>
          <w:color w:val="231F20"/>
          <w:spacing w:val="17"/>
          <w:sz w:val="21"/>
        </w:rPr>
        <w:t> </w:t>
      </w:r>
      <w:r>
        <w:rPr>
          <w:color w:val="231F20"/>
          <w:sz w:val="21"/>
        </w:rPr>
        <w:t>Some</w:t>
      </w:r>
      <w:r>
        <w:rPr>
          <w:color w:val="231F20"/>
          <w:spacing w:val="18"/>
          <w:sz w:val="21"/>
        </w:rPr>
        <w:t> </w:t>
      </w:r>
      <w:r>
        <w:rPr>
          <w:color w:val="231F20"/>
          <w:sz w:val="21"/>
        </w:rPr>
        <w:t>analysts</w:t>
      </w:r>
      <w:r>
        <w:rPr>
          <w:color w:val="231F20"/>
          <w:spacing w:val="19"/>
          <w:sz w:val="21"/>
        </w:rPr>
        <w:t> </w:t>
      </w:r>
      <w:r>
        <w:rPr>
          <w:color w:val="231F20"/>
          <w:sz w:val="21"/>
        </w:rPr>
        <w:t>value</w:t>
      </w:r>
      <w:r>
        <w:rPr>
          <w:color w:val="231F20"/>
          <w:spacing w:val="18"/>
          <w:sz w:val="21"/>
        </w:rPr>
        <w:t> </w:t>
      </w:r>
      <w:r>
        <w:rPr>
          <w:color w:val="231F20"/>
          <w:sz w:val="21"/>
        </w:rPr>
        <w:t>companies</w:t>
      </w:r>
      <w:r>
        <w:rPr>
          <w:color w:val="231F20"/>
          <w:spacing w:val="18"/>
          <w:sz w:val="21"/>
        </w:rPr>
        <w:t> </w:t>
      </w:r>
      <w:r>
        <w:rPr>
          <w:color w:val="231F20"/>
          <w:spacing w:val="-5"/>
          <w:sz w:val="21"/>
        </w:rPr>
        <w:t>be-</w:t>
      </w:r>
    </w:p>
    <w:p>
      <w:pPr>
        <w:spacing w:after="0"/>
        <w:jc w:val="both"/>
        <w:rPr>
          <w:sz w:val="21"/>
        </w:rPr>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cause of their ability to generate cash as measured by the company’s cash flow statement. In Caterpillar’s case, it produced $5.90 for </w:t>
      </w:r>
      <w:r>
        <w:rPr>
          <w:color w:val="231F20"/>
        </w:rPr>
        <w:t>each share</w:t>
      </w:r>
      <w:r>
        <w:rPr>
          <w:color w:val="231F20"/>
          <w:spacing w:val="8"/>
        </w:rPr>
        <w:t> </w:t>
      </w:r>
      <w:r>
        <w:rPr>
          <w:color w:val="231F20"/>
        </w:rPr>
        <w:t>outstanding</w:t>
      </w:r>
      <w:r>
        <w:rPr>
          <w:color w:val="231F20"/>
          <w:spacing w:val="9"/>
        </w:rPr>
        <w:t> </w:t>
      </w:r>
      <w:r>
        <w:rPr>
          <w:color w:val="231F20"/>
        </w:rPr>
        <w:t>in</w:t>
      </w:r>
      <w:r>
        <w:rPr>
          <w:color w:val="231F20"/>
          <w:spacing w:val="9"/>
        </w:rPr>
        <w:t> </w:t>
      </w:r>
      <w:r>
        <w:rPr>
          <w:color w:val="231F20"/>
        </w:rPr>
        <w:t>1992.</w:t>
      </w:r>
      <w:r>
        <w:rPr>
          <w:color w:val="231F20"/>
          <w:spacing w:val="9"/>
        </w:rPr>
        <w:t> </w:t>
      </w:r>
      <w:r>
        <w:rPr>
          <w:color w:val="231F20"/>
        </w:rPr>
        <w:t>At</w:t>
      </w:r>
      <w:r>
        <w:rPr>
          <w:color w:val="231F20"/>
          <w:spacing w:val="9"/>
        </w:rPr>
        <w:t> </w:t>
      </w:r>
      <w:r>
        <w:rPr>
          <w:color w:val="231F20"/>
        </w:rPr>
        <w:t>$56</w:t>
      </w:r>
      <w:r>
        <w:rPr>
          <w:color w:val="231F20"/>
          <w:spacing w:val="9"/>
        </w:rPr>
        <w:t> </w:t>
      </w:r>
      <w:r>
        <w:rPr>
          <w:color w:val="231F20"/>
        </w:rPr>
        <w:t>per</w:t>
      </w:r>
      <w:r>
        <w:rPr>
          <w:color w:val="231F20"/>
          <w:spacing w:val="9"/>
        </w:rPr>
        <w:t> </w:t>
      </w:r>
      <w:r>
        <w:rPr>
          <w:color w:val="231F20"/>
        </w:rPr>
        <w:t>share,</w:t>
      </w:r>
      <w:r>
        <w:rPr>
          <w:color w:val="231F20"/>
          <w:spacing w:val="9"/>
        </w:rPr>
        <w:t> </w:t>
      </w:r>
      <w:r>
        <w:rPr>
          <w:color w:val="231F20"/>
        </w:rPr>
        <w:t>the</w:t>
      </w:r>
      <w:r>
        <w:rPr>
          <w:color w:val="231F20"/>
          <w:spacing w:val="9"/>
        </w:rPr>
        <w:t> </w:t>
      </w:r>
      <w:r>
        <w:rPr>
          <w:color w:val="231F20"/>
        </w:rPr>
        <w:t>stock</w:t>
      </w:r>
      <w:r>
        <w:rPr>
          <w:color w:val="231F20"/>
          <w:spacing w:val="9"/>
        </w:rPr>
        <w:t> </w:t>
      </w:r>
      <w:r>
        <w:rPr>
          <w:color w:val="231F20"/>
        </w:rPr>
        <w:t>was</w:t>
      </w:r>
      <w:r>
        <w:rPr>
          <w:color w:val="231F20"/>
          <w:spacing w:val="9"/>
        </w:rPr>
        <w:t> </w:t>
      </w:r>
      <w:r>
        <w:rPr>
          <w:color w:val="231F20"/>
        </w:rPr>
        <w:t>priced</w:t>
      </w:r>
      <w:r>
        <w:rPr>
          <w:color w:val="231F20"/>
          <w:spacing w:val="9"/>
        </w:rPr>
        <w:t> </w:t>
      </w:r>
      <w:r>
        <w:rPr>
          <w:color w:val="231F20"/>
          <w:spacing w:val="-5"/>
        </w:rPr>
        <w:t>at</w:t>
      </w:r>
    </w:p>
    <w:p>
      <w:pPr>
        <w:pStyle w:val="BodyText"/>
        <w:spacing w:line="292" w:lineRule="auto"/>
        <w:ind w:left="920" w:right="665"/>
        <w:jc w:val="both"/>
      </w:pPr>
      <w:r>
        <w:rPr>
          <w:color w:val="231F20"/>
        </w:rPr>
        <w:t>9.5 times cash flow. Looking forward, analysts projected $11.10 </w:t>
      </w:r>
      <w:r>
        <w:rPr>
          <w:color w:val="231F20"/>
        </w:rPr>
        <w:t>in</w:t>
      </w:r>
      <w:r>
        <w:rPr>
          <w:color w:val="231F20"/>
        </w:rPr>
        <w:t> 1993 and $17.80 in later years, or three times the projected cash</w:t>
      </w:r>
      <w:r>
        <w:rPr>
          <w:color w:val="231F20"/>
          <w:spacing w:val="40"/>
        </w:rPr>
        <w:t> </w:t>
      </w:r>
      <w:r>
        <w:rPr>
          <w:color w:val="231F20"/>
        </w:rPr>
        <w:t>flow. That is where some bullish investors saw the value of </w:t>
      </w:r>
      <w:r>
        <w:rPr>
          <w:color w:val="231F20"/>
        </w:rPr>
        <w:t>Caterpil-</w:t>
      </w:r>
      <w:r>
        <w:rPr>
          <w:color w:val="231F20"/>
        </w:rPr>
        <w:t> lar. If a group of analysts valued the $17.80 cash flow per year in perpetuity at a 16.8 percent discount rate, the stock would have a</w:t>
      </w:r>
      <w:r>
        <w:rPr>
          <w:color w:val="231F20"/>
          <w:spacing w:val="80"/>
        </w:rPr>
        <w:t> </w:t>
      </w:r>
      <w:r>
        <w:rPr>
          <w:color w:val="231F20"/>
        </w:rPr>
        <w:t>net present value of $100 (17.80/.168). To them, at $56 </w:t>
      </w:r>
      <w:r>
        <w:rPr>
          <w:color w:val="231F20"/>
        </w:rPr>
        <w:t>Caterpillar</w:t>
      </w:r>
      <w:r>
        <w:rPr>
          <w:color w:val="231F20"/>
        </w:rPr>
        <w:t> was still cheap. As mentioned, it traded at $60 in 1999 and $83 in 2004; they were all wrong.</w:t>
      </w:r>
    </w:p>
    <w:p>
      <w:pPr>
        <w:pStyle w:val="BodyText"/>
        <w:spacing w:line="292" w:lineRule="auto"/>
        <w:ind w:left="919" w:right="666" w:firstLine="340"/>
        <w:jc w:val="both"/>
      </w:pPr>
      <w:r>
        <w:rPr>
          <w:color w:val="231F20"/>
        </w:rPr>
        <w:t>In</w:t>
      </w:r>
      <w:r>
        <w:rPr>
          <w:color w:val="231F20"/>
          <w:spacing w:val="-4"/>
        </w:rPr>
        <w:t> </w:t>
      </w:r>
      <w:r>
        <w:rPr>
          <w:color w:val="231F20"/>
        </w:rPr>
        <w:t>a</w:t>
      </w:r>
      <w:r>
        <w:rPr>
          <w:color w:val="231F20"/>
          <w:spacing w:val="-4"/>
        </w:rPr>
        <w:t> </w:t>
      </w:r>
      <w:r>
        <w:rPr>
          <w:color w:val="231F20"/>
        </w:rPr>
        <w:t>stock</w:t>
      </w:r>
      <w:r>
        <w:rPr>
          <w:color w:val="231F20"/>
          <w:spacing w:val="-4"/>
        </w:rPr>
        <w:t> </w:t>
      </w:r>
      <w:r>
        <w:rPr>
          <w:color w:val="231F20"/>
        </w:rPr>
        <w:t>market</w:t>
      </w:r>
      <w:r>
        <w:rPr>
          <w:color w:val="231F20"/>
          <w:spacing w:val="-4"/>
        </w:rPr>
        <w:t> </w:t>
      </w:r>
      <w:r>
        <w:rPr>
          <w:color w:val="231F20"/>
        </w:rPr>
        <w:t>there</w:t>
      </w:r>
      <w:r>
        <w:rPr>
          <w:color w:val="231F20"/>
          <w:spacing w:val="-4"/>
        </w:rPr>
        <w:t> </w:t>
      </w:r>
      <w:r>
        <w:rPr>
          <w:color w:val="231F20"/>
        </w:rPr>
        <w:t>are</w:t>
      </w:r>
      <w:r>
        <w:rPr>
          <w:color w:val="231F20"/>
          <w:spacing w:val="-4"/>
        </w:rPr>
        <w:t> </w:t>
      </w:r>
      <w:r>
        <w:rPr>
          <w:color w:val="231F20"/>
        </w:rPr>
        <w:t>always</w:t>
      </w:r>
      <w:r>
        <w:rPr>
          <w:color w:val="231F20"/>
          <w:spacing w:val="-4"/>
        </w:rPr>
        <w:t> </w:t>
      </w:r>
      <w:r>
        <w:rPr>
          <w:color w:val="231F20"/>
        </w:rPr>
        <w:t>buyers</w:t>
      </w:r>
      <w:r>
        <w:rPr>
          <w:color w:val="231F20"/>
          <w:spacing w:val="-4"/>
        </w:rPr>
        <w:t> </w:t>
      </w:r>
      <w:r>
        <w:rPr>
          <w:color w:val="231F20"/>
        </w:rPr>
        <w:t>and</w:t>
      </w:r>
      <w:r>
        <w:rPr>
          <w:color w:val="231F20"/>
          <w:spacing w:val="-4"/>
        </w:rPr>
        <w:t> </w:t>
      </w:r>
      <w:r>
        <w:rPr>
          <w:color w:val="231F20"/>
        </w:rPr>
        <w:t>sellers.</w:t>
      </w:r>
      <w:r>
        <w:rPr>
          <w:color w:val="231F20"/>
          <w:spacing w:val="-4"/>
        </w:rPr>
        <w:t> </w:t>
      </w:r>
      <w:r>
        <w:rPr>
          <w:color w:val="231F20"/>
        </w:rPr>
        <w:t>Imbalances cause price movements. Many yardsticks of value exist, but the only one that truly matters is the current quote, no matter how crazy it may appear. If the market is willing to buy Caterpillar at $200, then </w:t>
      </w:r>
      <w:r>
        <w:rPr>
          <w:i/>
          <w:color w:val="231F20"/>
        </w:rPr>
        <w:t>that </w:t>
      </w:r>
      <w:r>
        <w:rPr>
          <w:color w:val="231F20"/>
        </w:rPr>
        <w:t>is its value. Of course, if there is more supply than demand, prices fall. But that’s for our economics chapter.</w:t>
      </w:r>
    </w:p>
    <w:p>
      <w:pPr>
        <w:pStyle w:val="BodyText"/>
        <w:rPr>
          <w:sz w:val="25"/>
        </w:rPr>
      </w:pPr>
    </w:p>
    <w:p>
      <w:pPr>
        <w:pStyle w:val="BodyText"/>
        <w:spacing w:line="292" w:lineRule="auto"/>
        <w:ind w:left="920" w:right="665"/>
        <w:jc w:val="both"/>
      </w:pPr>
      <w:r>
        <w:rPr>
          <w:i/>
          <w:color w:val="231F20"/>
        </w:rPr>
        <w:t>Preferred Stock. </w:t>
      </w:r>
      <w:r>
        <w:rPr>
          <w:color w:val="231F20"/>
        </w:rPr>
        <w:t>This is the privileged cousin of common stock. </w:t>
      </w:r>
      <w:r>
        <w:rPr>
          <w:color w:val="231F20"/>
        </w:rPr>
        <w:t>Pre- ferred shares, a hybrid of a bond and a common stock, are issued by many utilities, banks, and steel companies. Preferreds have the char- acteristics of a bond inasmuch as they pay a fixed dividend rate and have no voting rights. As in the case of common stocks, their divi- dends can only be paid if debt payments are made first, and there is no maturity. However, most issuers make provisions to purchase</w:t>
      </w:r>
      <w:r>
        <w:rPr>
          <w:color w:val="231F20"/>
          <w:spacing w:val="80"/>
        </w:rPr>
        <w:t> </w:t>
      </w:r>
      <w:r>
        <w:rPr>
          <w:color w:val="231F20"/>
        </w:rPr>
        <w:t>and retire their preferred stock over time. A preferred stock’s claims on the assets of the firm are superior to common stock but are sub- ordinated to debt.</w:t>
      </w:r>
    </w:p>
    <w:p>
      <w:pPr>
        <w:pStyle w:val="BodyText"/>
        <w:spacing w:line="292" w:lineRule="auto"/>
        <w:ind w:left="919" w:right="663" w:firstLine="340"/>
        <w:jc w:val="both"/>
      </w:pPr>
      <w:r>
        <w:rPr>
          <w:color w:val="231F20"/>
        </w:rPr>
        <w:t>Companies issue preferred stock when they want to borrow money but don’t want to be contractually obligated to pay </w:t>
      </w:r>
      <w:r>
        <w:rPr>
          <w:color w:val="231F20"/>
        </w:rPr>
        <w:t>interest</w:t>
      </w:r>
      <w:r>
        <w:rPr>
          <w:color w:val="231F20"/>
          <w:spacing w:val="80"/>
        </w:rPr>
        <w:t> </w:t>
      </w:r>
      <w:r>
        <w:rPr>
          <w:color w:val="231F20"/>
        </w:rPr>
        <w:t>on</w:t>
      </w:r>
      <w:r>
        <w:rPr>
          <w:color w:val="231F20"/>
          <w:spacing w:val="40"/>
        </w:rPr>
        <w:t> </w:t>
      </w:r>
      <w:r>
        <w:rPr>
          <w:color w:val="231F20"/>
        </w:rPr>
        <w:t>time.</w:t>
      </w:r>
      <w:r>
        <w:rPr>
          <w:color w:val="231F20"/>
          <w:spacing w:val="40"/>
        </w:rPr>
        <w:t> </w:t>
      </w:r>
      <w:r>
        <w:rPr>
          <w:color w:val="231F20"/>
        </w:rPr>
        <w:t>Most</w:t>
      </w:r>
      <w:r>
        <w:rPr>
          <w:color w:val="231F20"/>
          <w:spacing w:val="40"/>
        </w:rPr>
        <w:t> </w:t>
      </w:r>
      <w:r>
        <w:rPr>
          <w:color w:val="231F20"/>
        </w:rPr>
        <w:t>preferred</w:t>
      </w:r>
      <w:r>
        <w:rPr>
          <w:color w:val="231F20"/>
          <w:spacing w:val="40"/>
        </w:rPr>
        <w:t> </w:t>
      </w:r>
      <w:r>
        <w:rPr>
          <w:color w:val="231F20"/>
        </w:rPr>
        <w:t>issues</w:t>
      </w:r>
      <w:r>
        <w:rPr>
          <w:color w:val="231F20"/>
          <w:spacing w:val="40"/>
        </w:rPr>
        <w:t> </w:t>
      </w:r>
      <w:r>
        <w:rPr>
          <w:color w:val="231F20"/>
        </w:rPr>
        <w:t>are</w:t>
      </w:r>
      <w:r>
        <w:rPr>
          <w:color w:val="231F20"/>
          <w:spacing w:val="40"/>
        </w:rPr>
        <w:t> </w:t>
      </w:r>
      <w:r>
        <w:rPr>
          <w:i/>
          <w:color w:val="231F20"/>
        </w:rPr>
        <w:t>cumulative,</w:t>
      </w:r>
      <w:r>
        <w:rPr>
          <w:i/>
          <w:color w:val="231F20"/>
          <w:spacing w:val="40"/>
        </w:rPr>
        <w:t> </w:t>
      </w:r>
      <w:r>
        <w:rPr>
          <w:color w:val="231F20"/>
        </w:rPr>
        <w:t>meaning</w:t>
      </w:r>
      <w:r>
        <w:rPr>
          <w:color w:val="231F20"/>
          <w:spacing w:val="40"/>
        </w:rPr>
        <w:t> </w:t>
      </w:r>
      <w:r>
        <w:rPr>
          <w:color w:val="231F20"/>
        </w:rPr>
        <w:t>that</w:t>
      </w:r>
      <w:r>
        <w:rPr>
          <w:color w:val="231F20"/>
          <w:spacing w:val="40"/>
        </w:rPr>
        <w:t> </w:t>
      </w:r>
      <w:r>
        <w:rPr>
          <w:color w:val="231F20"/>
        </w:rPr>
        <w:t>the total of all unpaid dividends must be paid before dividends on com- mon stocks can be paid. Investors who like a more secure dividend, but like to have the benefits of partial equity ownership, choose pre- ferred stocks.</w:t>
      </w:r>
    </w:p>
    <w:p>
      <w:pPr>
        <w:spacing w:after="0" w:line="292" w:lineRule="auto"/>
        <w:jc w:val="both"/>
        <w:sectPr>
          <w:pgSz w:w="8640" w:h="12960"/>
          <w:pgMar w:header="734" w:footer="0" w:top="920" w:bottom="280" w:left="340" w:right="500"/>
        </w:sectPr>
      </w:pPr>
    </w:p>
    <w:p>
      <w:pPr>
        <w:pStyle w:val="BodyText"/>
        <w:spacing w:before="10"/>
        <w:rPr>
          <w:sz w:val="17"/>
        </w:rPr>
      </w:pPr>
    </w:p>
    <w:p>
      <w:pPr>
        <w:pStyle w:val="Heading6"/>
        <w:spacing w:before="99"/>
        <w:ind w:left="299"/>
        <w:rPr>
          <w:i/>
        </w:rPr>
      </w:pPr>
      <w:r>
        <w:rPr>
          <w:i/>
          <w:color w:val="231F20"/>
          <w:w w:val="110"/>
        </w:rPr>
        <w:t>THE</w:t>
      </w:r>
      <w:r>
        <w:rPr>
          <w:i/>
          <w:color w:val="231F20"/>
          <w:spacing w:val="70"/>
          <w:w w:val="110"/>
        </w:rPr>
        <w:t> </w:t>
      </w:r>
      <w:r>
        <w:rPr>
          <w:i/>
          <w:color w:val="231F20"/>
          <w:w w:val="110"/>
        </w:rPr>
        <w:t>OPTIONS</w:t>
      </w:r>
      <w:r>
        <w:rPr>
          <w:i/>
          <w:color w:val="231F20"/>
          <w:spacing w:val="70"/>
          <w:w w:val="110"/>
        </w:rPr>
        <w:t> </w:t>
      </w:r>
      <w:r>
        <w:rPr>
          <w:i/>
          <w:color w:val="231F20"/>
          <w:spacing w:val="8"/>
          <w:w w:val="110"/>
        </w:rPr>
        <w:t>MARKET</w:t>
      </w:r>
    </w:p>
    <w:p>
      <w:pPr>
        <w:pStyle w:val="BodyText"/>
        <w:spacing w:before="2"/>
        <w:rPr>
          <w:b/>
          <w:i/>
          <w:sz w:val="30"/>
        </w:rPr>
      </w:pPr>
    </w:p>
    <w:p>
      <w:pPr>
        <w:pStyle w:val="BodyText"/>
        <w:spacing w:line="292" w:lineRule="auto"/>
        <w:ind w:left="830" w:right="753"/>
        <w:jc w:val="both"/>
      </w:pPr>
      <w:r>
        <w:rPr>
          <w:color w:val="231F20"/>
        </w:rPr>
        <w:t>Options are contractual rights to buy or sell any asset at a fixed price on or before a stated date. Options can be traded on real estate, bonds,</w:t>
      </w:r>
      <w:r>
        <w:rPr>
          <w:color w:val="231F20"/>
          <w:spacing w:val="27"/>
        </w:rPr>
        <w:t> </w:t>
      </w:r>
      <w:r>
        <w:rPr>
          <w:color w:val="231F20"/>
        </w:rPr>
        <w:t>gold,</w:t>
      </w:r>
      <w:r>
        <w:rPr>
          <w:color w:val="231F20"/>
          <w:spacing w:val="27"/>
        </w:rPr>
        <w:t> </w:t>
      </w:r>
      <w:r>
        <w:rPr>
          <w:color w:val="231F20"/>
        </w:rPr>
        <w:t>oil,</w:t>
      </w:r>
      <w:r>
        <w:rPr>
          <w:color w:val="231F20"/>
          <w:spacing w:val="27"/>
        </w:rPr>
        <w:t> </w:t>
      </w:r>
      <w:r>
        <w:rPr>
          <w:color w:val="231F20"/>
        </w:rPr>
        <w:t>and</w:t>
      </w:r>
      <w:r>
        <w:rPr>
          <w:color w:val="231F20"/>
          <w:spacing w:val="27"/>
        </w:rPr>
        <w:t> </w:t>
      </w:r>
      <w:r>
        <w:rPr>
          <w:color w:val="231F20"/>
        </w:rPr>
        <w:t>currencies.</w:t>
      </w:r>
      <w:r>
        <w:rPr>
          <w:color w:val="231F20"/>
          <w:spacing w:val="27"/>
        </w:rPr>
        <w:t> </w:t>
      </w:r>
      <w:r>
        <w:rPr>
          <w:color w:val="231F20"/>
        </w:rPr>
        <w:t>An</w:t>
      </w:r>
      <w:r>
        <w:rPr>
          <w:color w:val="231F20"/>
          <w:spacing w:val="27"/>
        </w:rPr>
        <w:t> </w:t>
      </w:r>
      <w:r>
        <w:rPr>
          <w:color w:val="231F20"/>
        </w:rPr>
        <w:t>option</w:t>
      </w:r>
      <w:r>
        <w:rPr>
          <w:color w:val="231F20"/>
          <w:spacing w:val="27"/>
        </w:rPr>
        <w:t> </w:t>
      </w:r>
      <w:r>
        <w:rPr>
          <w:color w:val="231F20"/>
        </w:rPr>
        <w:t>is</w:t>
      </w:r>
      <w:r>
        <w:rPr>
          <w:color w:val="231F20"/>
          <w:spacing w:val="27"/>
        </w:rPr>
        <w:t> </w:t>
      </w:r>
      <w:r>
        <w:rPr>
          <w:color w:val="231F20"/>
        </w:rPr>
        <w:t>a</w:t>
      </w:r>
      <w:r>
        <w:rPr>
          <w:color w:val="231F20"/>
          <w:spacing w:val="27"/>
        </w:rPr>
        <w:t> </w:t>
      </w:r>
      <w:r>
        <w:rPr>
          <w:color w:val="231F20"/>
        </w:rPr>
        <w:t>way</w:t>
      </w:r>
      <w:r>
        <w:rPr>
          <w:color w:val="231F20"/>
          <w:spacing w:val="27"/>
        </w:rPr>
        <w:t> </w:t>
      </w:r>
      <w:r>
        <w:rPr>
          <w:color w:val="231F20"/>
        </w:rPr>
        <w:t>to</w:t>
      </w:r>
      <w:r>
        <w:rPr>
          <w:color w:val="231F20"/>
          <w:spacing w:val="27"/>
        </w:rPr>
        <w:t> </w:t>
      </w:r>
      <w:r>
        <w:rPr>
          <w:color w:val="231F20"/>
        </w:rPr>
        <w:t>gain</w:t>
      </w:r>
      <w:r>
        <w:rPr>
          <w:color w:val="231F20"/>
          <w:spacing w:val="27"/>
        </w:rPr>
        <w:t> </w:t>
      </w:r>
      <w:r>
        <w:rPr>
          <w:color w:val="231F20"/>
        </w:rPr>
        <w:t>control of a great deal of assets with little money. The opportunity for</w:t>
      </w:r>
      <w:r>
        <w:rPr>
          <w:color w:val="231F20"/>
          <w:spacing w:val="80"/>
          <w:w w:val="150"/>
        </w:rPr>
        <w:t> </w:t>
      </w:r>
      <w:r>
        <w:rPr>
          <w:color w:val="231F20"/>
        </w:rPr>
        <w:t>profits is high, and, accordingly, so are the risks.</w:t>
      </w:r>
    </w:p>
    <w:p>
      <w:pPr>
        <w:pStyle w:val="BodyText"/>
        <w:spacing w:line="292" w:lineRule="auto"/>
        <w:ind w:left="829" w:right="756" w:firstLine="340"/>
        <w:jc w:val="both"/>
      </w:pPr>
      <w:r>
        <w:rPr>
          <w:color w:val="231F20"/>
        </w:rPr>
        <w:t>Because</w:t>
      </w:r>
      <w:r>
        <w:rPr>
          <w:color w:val="231F20"/>
          <w:spacing w:val="-4"/>
        </w:rPr>
        <w:t> </w:t>
      </w:r>
      <w:r>
        <w:rPr>
          <w:color w:val="231F20"/>
        </w:rPr>
        <w:t>these</w:t>
      </w:r>
      <w:r>
        <w:rPr>
          <w:color w:val="231F20"/>
          <w:spacing w:val="-4"/>
        </w:rPr>
        <w:t> </w:t>
      </w:r>
      <w:r>
        <w:rPr>
          <w:color w:val="231F20"/>
        </w:rPr>
        <w:t>option</w:t>
      </w:r>
      <w:r>
        <w:rPr>
          <w:color w:val="231F20"/>
          <w:spacing w:val="-4"/>
        </w:rPr>
        <w:t> </w:t>
      </w:r>
      <w:r>
        <w:rPr>
          <w:color w:val="231F20"/>
        </w:rPr>
        <w:t>rights</w:t>
      </w:r>
      <w:r>
        <w:rPr>
          <w:color w:val="231F20"/>
          <w:spacing w:val="-4"/>
        </w:rPr>
        <w:t> </w:t>
      </w:r>
      <w:r>
        <w:rPr>
          <w:color w:val="231F20"/>
        </w:rPr>
        <w:t>are</w:t>
      </w:r>
      <w:r>
        <w:rPr>
          <w:color w:val="231F20"/>
          <w:spacing w:val="-4"/>
        </w:rPr>
        <w:t> </w:t>
      </w:r>
      <w:r>
        <w:rPr>
          <w:color w:val="231F20"/>
        </w:rPr>
        <w:t>not</w:t>
      </w:r>
      <w:r>
        <w:rPr>
          <w:color w:val="231F20"/>
          <w:spacing w:val="-4"/>
        </w:rPr>
        <w:t> </w:t>
      </w:r>
      <w:r>
        <w:rPr>
          <w:color w:val="231F20"/>
        </w:rPr>
        <w:t>the</w:t>
      </w:r>
      <w:r>
        <w:rPr>
          <w:color w:val="231F20"/>
          <w:spacing w:val="-4"/>
        </w:rPr>
        <w:t> </w:t>
      </w:r>
      <w:r>
        <w:rPr>
          <w:color w:val="231F20"/>
        </w:rPr>
        <w:t>asset</w:t>
      </w:r>
      <w:r>
        <w:rPr>
          <w:color w:val="231F20"/>
          <w:spacing w:val="-4"/>
        </w:rPr>
        <w:t> </w:t>
      </w:r>
      <w:r>
        <w:rPr>
          <w:color w:val="231F20"/>
        </w:rPr>
        <w:t>itself,</w:t>
      </w:r>
      <w:r>
        <w:rPr>
          <w:color w:val="231F20"/>
          <w:spacing w:val="-4"/>
        </w:rPr>
        <w:t> </w:t>
      </w:r>
      <w:r>
        <w:rPr>
          <w:color w:val="231F20"/>
        </w:rPr>
        <w:t>they</w:t>
      </w:r>
      <w:r>
        <w:rPr>
          <w:color w:val="231F20"/>
          <w:spacing w:val="-4"/>
        </w:rPr>
        <w:t> </w:t>
      </w:r>
      <w:r>
        <w:rPr>
          <w:color w:val="231F20"/>
        </w:rPr>
        <w:t>are</w:t>
      </w:r>
      <w:r>
        <w:rPr>
          <w:color w:val="231F20"/>
          <w:spacing w:val="-4"/>
        </w:rPr>
        <w:t> </w:t>
      </w:r>
      <w:r>
        <w:rPr>
          <w:color w:val="231F20"/>
        </w:rPr>
        <w:t>called </w:t>
      </w:r>
      <w:r>
        <w:rPr>
          <w:i/>
          <w:color w:val="231F20"/>
        </w:rPr>
        <w:t>derivatives. </w:t>
      </w:r>
      <w:r>
        <w:rPr>
          <w:color w:val="231F20"/>
        </w:rPr>
        <w:t>Any security that is created that is valued based on the value of another is a derivative. Stock options, stock warrants, index options, commodity options, and commodity futures are examples.</w:t>
      </w:r>
    </w:p>
    <w:p>
      <w:pPr>
        <w:pStyle w:val="BodyText"/>
        <w:spacing w:line="292" w:lineRule="auto"/>
        <w:ind w:left="829" w:right="753" w:firstLine="340"/>
        <w:jc w:val="both"/>
      </w:pPr>
      <w:r>
        <w:rPr>
          <w:color w:val="231F20"/>
          <w:w w:val="105"/>
        </w:rPr>
        <w:t>Imagine</w:t>
      </w:r>
      <w:r>
        <w:rPr>
          <w:color w:val="231F20"/>
          <w:w w:val="105"/>
        </w:rPr>
        <w:t> G.</w:t>
      </w:r>
      <w:r>
        <w:rPr>
          <w:color w:val="231F20"/>
          <w:w w:val="105"/>
        </w:rPr>
        <w:t> R.</w:t>
      </w:r>
      <w:r>
        <w:rPr>
          <w:color w:val="231F20"/>
          <w:w w:val="105"/>
        </w:rPr>
        <w:t> Quick,</w:t>
      </w:r>
      <w:r>
        <w:rPr>
          <w:color w:val="231F20"/>
          <w:w w:val="105"/>
        </w:rPr>
        <w:t> a</w:t>
      </w:r>
      <w:r>
        <w:rPr>
          <w:color w:val="231F20"/>
          <w:w w:val="105"/>
        </w:rPr>
        <w:t> house</w:t>
      </w:r>
      <w:r>
        <w:rPr>
          <w:color w:val="231F20"/>
          <w:w w:val="105"/>
        </w:rPr>
        <w:t> buyer,</w:t>
      </w:r>
      <w:r>
        <w:rPr>
          <w:color w:val="231F20"/>
          <w:w w:val="105"/>
        </w:rPr>
        <w:t> who</w:t>
      </w:r>
      <w:r>
        <w:rPr>
          <w:color w:val="231F20"/>
          <w:w w:val="105"/>
        </w:rPr>
        <w:t> believes</w:t>
      </w:r>
      <w:r>
        <w:rPr>
          <w:color w:val="231F20"/>
          <w:w w:val="105"/>
        </w:rPr>
        <w:t> that</w:t>
      </w:r>
      <w:r>
        <w:rPr>
          <w:color w:val="231F20"/>
          <w:w w:val="105"/>
        </w:rPr>
        <w:t> prices are</w:t>
      </w:r>
      <w:r>
        <w:rPr>
          <w:color w:val="231F20"/>
          <w:w w:val="105"/>
        </w:rPr>
        <w:t> about</w:t>
      </w:r>
      <w:r>
        <w:rPr>
          <w:color w:val="231F20"/>
          <w:w w:val="105"/>
        </w:rPr>
        <w:t> to</w:t>
      </w:r>
      <w:r>
        <w:rPr>
          <w:color w:val="231F20"/>
          <w:w w:val="105"/>
        </w:rPr>
        <w:t> skyrocket</w:t>
      </w:r>
      <w:r>
        <w:rPr>
          <w:color w:val="231F20"/>
          <w:w w:val="105"/>
        </w:rPr>
        <w:t> in</w:t>
      </w:r>
      <w:r>
        <w:rPr>
          <w:color w:val="231F20"/>
          <w:w w:val="105"/>
        </w:rPr>
        <w:t> Beverly</w:t>
      </w:r>
      <w:r>
        <w:rPr>
          <w:color w:val="231F20"/>
          <w:w w:val="105"/>
        </w:rPr>
        <w:t> Hills.</w:t>
      </w:r>
      <w:r>
        <w:rPr>
          <w:color w:val="231F20"/>
          <w:w w:val="105"/>
        </w:rPr>
        <w:t> However,</w:t>
      </w:r>
      <w:r>
        <w:rPr>
          <w:color w:val="231F20"/>
          <w:w w:val="105"/>
        </w:rPr>
        <w:t> he</w:t>
      </w:r>
      <w:r>
        <w:rPr>
          <w:color w:val="231F20"/>
          <w:w w:val="105"/>
        </w:rPr>
        <w:t> needs</w:t>
      </w:r>
      <w:r>
        <w:rPr>
          <w:color w:val="231F20"/>
          <w:w w:val="105"/>
        </w:rPr>
        <w:t> six months</w:t>
      </w:r>
      <w:r>
        <w:rPr>
          <w:color w:val="231F20"/>
          <w:w w:val="105"/>
        </w:rPr>
        <w:t> to</w:t>
      </w:r>
      <w:r>
        <w:rPr>
          <w:color w:val="231F20"/>
          <w:w w:val="105"/>
        </w:rPr>
        <w:t> raise</w:t>
      </w:r>
      <w:r>
        <w:rPr>
          <w:color w:val="231F20"/>
          <w:w w:val="105"/>
        </w:rPr>
        <w:t> the</w:t>
      </w:r>
      <w:r>
        <w:rPr>
          <w:color w:val="231F20"/>
          <w:w w:val="105"/>
        </w:rPr>
        <w:t> down</w:t>
      </w:r>
      <w:r>
        <w:rPr>
          <w:color w:val="231F20"/>
          <w:w w:val="105"/>
        </w:rPr>
        <w:t> payment</w:t>
      </w:r>
      <w:r>
        <w:rPr>
          <w:color w:val="231F20"/>
          <w:w w:val="105"/>
        </w:rPr>
        <w:t> and</w:t>
      </w:r>
      <w:r>
        <w:rPr>
          <w:color w:val="231F20"/>
          <w:w w:val="105"/>
        </w:rPr>
        <w:t> get</w:t>
      </w:r>
      <w:r>
        <w:rPr>
          <w:color w:val="231F20"/>
          <w:w w:val="105"/>
        </w:rPr>
        <w:t> financing.</w:t>
      </w:r>
      <w:r>
        <w:rPr>
          <w:color w:val="231F20"/>
          <w:w w:val="105"/>
        </w:rPr>
        <w:t> A</w:t>
      </w:r>
      <w:r>
        <w:rPr>
          <w:color w:val="231F20"/>
          <w:w w:val="105"/>
        </w:rPr>
        <w:t> willing owner</w:t>
      </w:r>
      <w:r>
        <w:rPr>
          <w:color w:val="231F20"/>
          <w:spacing w:val="19"/>
          <w:w w:val="105"/>
        </w:rPr>
        <w:t> </w:t>
      </w:r>
      <w:r>
        <w:rPr>
          <w:color w:val="231F20"/>
          <w:w w:val="105"/>
        </w:rPr>
        <w:t>agrees</w:t>
      </w:r>
      <w:r>
        <w:rPr>
          <w:color w:val="231F20"/>
          <w:spacing w:val="20"/>
          <w:w w:val="105"/>
        </w:rPr>
        <w:t> </w:t>
      </w:r>
      <w:r>
        <w:rPr>
          <w:color w:val="231F20"/>
          <w:w w:val="105"/>
        </w:rPr>
        <w:t>to</w:t>
      </w:r>
      <w:r>
        <w:rPr>
          <w:color w:val="231F20"/>
          <w:spacing w:val="19"/>
          <w:w w:val="105"/>
        </w:rPr>
        <w:t> </w:t>
      </w:r>
      <w:r>
        <w:rPr>
          <w:color w:val="231F20"/>
          <w:w w:val="105"/>
        </w:rPr>
        <w:t>sell</w:t>
      </w:r>
      <w:r>
        <w:rPr>
          <w:color w:val="231F20"/>
          <w:spacing w:val="20"/>
          <w:w w:val="105"/>
        </w:rPr>
        <w:t> </w:t>
      </w:r>
      <w:r>
        <w:rPr>
          <w:color w:val="231F20"/>
          <w:w w:val="105"/>
        </w:rPr>
        <w:t>him</w:t>
      </w:r>
      <w:r>
        <w:rPr>
          <w:color w:val="231F20"/>
          <w:spacing w:val="20"/>
          <w:w w:val="105"/>
        </w:rPr>
        <w:t> </w:t>
      </w:r>
      <w:r>
        <w:rPr>
          <w:color w:val="231F20"/>
          <w:w w:val="105"/>
        </w:rPr>
        <w:t>his</w:t>
      </w:r>
      <w:r>
        <w:rPr>
          <w:color w:val="231F20"/>
          <w:spacing w:val="19"/>
          <w:w w:val="105"/>
        </w:rPr>
        <w:t> </w:t>
      </w:r>
      <w:r>
        <w:rPr>
          <w:color w:val="231F20"/>
          <w:w w:val="105"/>
        </w:rPr>
        <w:t>bungalow</w:t>
      </w:r>
      <w:r>
        <w:rPr>
          <w:color w:val="231F20"/>
          <w:spacing w:val="20"/>
          <w:w w:val="105"/>
        </w:rPr>
        <w:t> </w:t>
      </w:r>
      <w:r>
        <w:rPr>
          <w:color w:val="231F20"/>
          <w:w w:val="105"/>
        </w:rPr>
        <w:t>at</w:t>
      </w:r>
      <w:r>
        <w:rPr>
          <w:color w:val="231F20"/>
          <w:spacing w:val="20"/>
          <w:w w:val="105"/>
        </w:rPr>
        <w:t> </w:t>
      </w:r>
      <w:r>
        <w:rPr>
          <w:color w:val="231F20"/>
          <w:w w:val="105"/>
        </w:rPr>
        <w:t>$1,000,000,</w:t>
      </w:r>
      <w:r>
        <w:rPr>
          <w:color w:val="231F20"/>
          <w:spacing w:val="19"/>
          <w:w w:val="105"/>
        </w:rPr>
        <w:t> </w:t>
      </w:r>
      <w:r>
        <w:rPr>
          <w:color w:val="231F20"/>
          <w:w w:val="105"/>
        </w:rPr>
        <w:t>but</w:t>
      </w:r>
      <w:r>
        <w:rPr>
          <w:color w:val="231F20"/>
          <w:spacing w:val="20"/>
          <w:w w:val="105"/>
        </w:rPr>
        <w:t> </w:t>
      </w:r>
      <w:r>
        <w:rPr>
          <w:color w:val="231F20"/>
          <w:spacing w:val="-2"/>
          <w:w w:val="105"/>
        </w:rPr>
        <w:t>wants</w:t>
      </w:r>
    </w:p>
    <w:p>
      <w:pPr>
        <w:pStyle w:val="BodyText"/>
        <w:spacing w:line="292" w:lineRule="auto"/>
        <w:ind w:left="829" w:right="756"/>
        <w:jc w:val="both"/>
      </w:pPr>
      <w:r>
        <w:rPr>
          <w:color w:val="231F20"/>
          <w:w w:val="105"/>
        </w:rPr>
        <w:t>$5,000 for the </w:t>
      </w:r>
      <w:r>
        <w:rPr>
          <w:i/>
          <w:color w:val="231F20"/>
          <w:w w:val="105"/>
        </w:rPr>
        <w:t>option </w:t>
      </w:r>
      <w:r>
        <w:rPr>
          <w:color w:val="231F20"/>
          <w:w w:val="105"/>
        </w:rPr>
        <w:t>to hold it off the market for six months. For six months Mr. Quick, the option holder, has the right, </w:t>
      </w:r>
      <w:r>
        <w:rPr>
          <w:i/>
          <w:color w:val="231F20"/>
          <w:w w:val="105"/>
        </w:rPr>
        <w:t>but not the</w:t>
      </w:r>
      <w:r>
        <w:rPr>
          <w:i/>
          <w:color w:val="231F20"/>
          <w:w w:val="105"/>
        </w:rPr>
        <w:t> obligation,</w:t>
      </w:r>
      <w:r>
        <w:rPr>
          <w:i/>
          <w:color w:val="231F20"/>
          <w:w w:val="105"/>
        </w:rPr>
        <w:t> </w:t>
      </w:r>
      <w:r>
        <w:rPr>
          <w:color w:val="231F20"/>
          <w:w w:val="105"/>
        </w:rPr>
        <w:t>to</w:t>
      </w:r>
      <w:r>
        <w:rPr>
          <w:color w:val="231F20"/>
          <w:w w:val="105"/>
        </w:rPr>
        <w:t> purchase</w:t>
      </w:r>
      <w:r>
        <w:rPr>
          <w:color w:val="231F20"/>
          <w:w w:val="105"/>
        </w:rPr>
        <w:t> the</w:t>
      </w:r>
      <w:r>
        <w:rPr>
          <w:color w:val="231F20"/>
          <w:w w:val="105"/>
        </w:rPr>
        <w:t> house</w:t>
      </w:r>
      <w:r>
        <w:rPr>
          <w:color w:val="231F20"/>
          <w:w w:val="105"/>
        </w:rPr>
        <w:t> for</w:t>
      </w:r>
      <w:r>
        <w:rPr>
          <w:color w:val="231F20"/>
          <w:w w:val="105"/>
        </w:rPr>
        <w:t> $1,000,000.</w:t>
      </w:r>
      <w:r>
        <w:rPr>
          <w:color w:val="231F20"/>
          <w:w w:val="105"/>
        </w:rPr>
        <w:t> If</w:t>
      </w:r>
      <w:r>
        <w:rPr>
          <w:color w:val="231F20"/>
          <w:w w:val="105"/>
        </w:rPr>
        <w:t> the</w:t>
      </w:r>
      <w:r>
        <w:rPr>
          <w:color w:val="231F20"/>
          <w:w w:val="105"/>
        </w:rPr>
        <w:t> real</w:t>
      </w:r>
      <w:r>
        <w:rPr>
          <w:color w:val="231F20"/>
          <w:w w:val="105"/>
        </w:rPr>
        <w:t> </w:t>
      </w:r>
      <w:r>
        <w:rPr>
          <w:color w:val="231F20"/>
          <w:w w:val="105"/>
        </w:rPr>
        <w:t>estate market</w:t>
      </w:r>
      <w:r>
        <w:rPr>
          <w:color w:val="231F20"/>
          <w:w w:val="105"/>
        </w:rPr>
        <w:t> falls,</w:t>
      </w:r>
      <w:r>
        <w:rPr>
          <w:color w:val="231F20"/>
          <w:w w:val="105"/>
        </w:rPr>
        <w:t> Mr.</w:t>
      </w:r>
      <w:r>
        <w:rPr>
          <w:color w:val="231F20"/>
          <w:w w:val="105"/>
        </w:rPr>
        <w:t> Quick</w:t>
      </w:r>
      <w:r>
        <w:rPr>
          <w:color w:val="231F20"/>
          <w:w w:val="105"/>
        </w:rPr>
        <w:t> can</w:t>
      </w:r>
      <w:r>
        <w:rPr>
          <w:color w:val="231F20"/>
          <w:w w:val="105"/>
        </w:rPr>
        <w:t> let</w:t>
      </w:r>
      <w:r>
        <w:rPr>
          <w:color w:val="231F20"/>
          <w:w w:val="105"/>
        </w:rPr>
        <w:t> his</w:t>
      </w:r>
      <w:r>
        <w:rPr>
          <w:color w:val="231F20"/>
          <w:w w:val="105"/>
        </w:rPr>
        <w:t> $5,000</w:t>
      </w:r>
      <w:r>
        <w:rPr>
          <w:color w:val="231F20"/>
          <w:w w:val="105"/>
        </w:rPr>
        <w:t> option</w:t>
      </w:r>
      <w:r>
        <w:rPr>
          <w:color w:val="231F20"/>
          <w:w w:val="105"/>
        </w:rPr>
        <w:t> expire</w:t>
      </w:r>
      <w:r>
        <w:rPr>
          <w:color w:val="231F20"/>
          <w:w w:val="105"/>
        </w:rPr>
        <w:t> at</w:t>
      </w:r>
      <w:r>
        <w:rPr>
          <w:color w:val="231F20"/>
          <w:w w:val="105"/>
        </w:rPr>
        <w:t> a</w:t>
      </w:r>
      <w:r>
        <w:rPr>
          <w:color w:val="231F20"/>
          <w:w w:val="105"/>
        </w:rPr>
        <w:t> 100 percent loss.</w:t>
      </w:r>
    </w:p>
    <w:p>
      <w:pPr>
        <w:pStyle w:val="BodyText"/>
        <w:spacing w:line="292" w:lineRule="auto"/>
        <w:ind w:left="829" w:right="756" w:firstLine="340"/>
        <w:jc w:val="both"/>
      </w:pPr>
      <w:r>
        <w:rPr>
          <w:color w:val="231F20"/>
        </w:rPr>
        <w:t>But options can also be </w:t>
      </w:r>
      <w:r>
        <w:rPr>
          <w:i/>
          <w:color w:val="231F20"/>
        </w:rPr>
        <w:t>very </w:t>
      </w:r>
      <w:r>
        <w:rPr>
          <w:color w:val="231F20"/>
        </w:rPr>
        <w:t>profitable. If the bungalow </w:t>
      </w:r>
      <w:r>
        <w:rPr>
          <w:color w:val="231F20"/>
        </w:rPr>
        <w:t>increases in</w:t>
      </w:r>
      <w:r>
        <w:rPr>
          <w:color w:val="231F20"/>
          <w:spacing w:val="29"/>
        </w:rPr>
        <w:t> </w:t>
      </w:r>
      <w:r>
        <w:rPr>
          <w:color w:val="231F20"/>
        </w:rPr>
        <w:t>value</w:t>
      </w:r>
      <w:r>
        <w:rPr>
          <w:color w:val="231F20"/>
          <w:spacing w:val="29"/>
        </w:rPr>
        <w:t> </w:t>
      </w:r>
      <w:r>
        <w:rPr>
          <w:color w:val="231F20"/>
        </w:rPr>
        <w:t>to</w:t>
      </w:r>
      <w:r>
        <w:rPr>
          <w:color w:val="231F20"/>
          <w:spacing w:val="29"/>
        </w:rPr>
        <w:t> </w:t>
      </w:r>
      <w:r>
        <w:rPr>
          <w:color w:val="231F20"/>
        </w:rPr>
        <w:t>say</w:t>
      </w:r>
      <w:r>
        <w:rPr>
          <w:color w:val="231F20"/>
          <w:spacing w:val="29"/>
        </w:rPr>
        <w:t> </w:t>
      </w:r>
      <w:r>
        <w:rPr>
          <w:color w:val="231F20"/>
        </w:rPr>
        <w:t>$1,050,000,</w:t>
      </w:r>
      <w:r>
        <w:rPr>
          <w:color w:val="231F20"/>
          <w:spacing w:val="29"/>
        </w:rPr>
        <w:t> </w:t>
      </w:r>
      <w:r>
        <w:rPr>
          <w:color w:val="231F20"/>
        </w:rPr>
        <w:t>the</w:t>
      </w:r>
      <w:r>
        <w:rPr>
          <w:color w:val="231F20"/>
          <w:spacing w:val="29"/>
        </w:rPr>
        <w:t> </w:t>
      </w:r>
      <w:r>
        <w:rPr>
          <w:color w:val="231F20"/>
        </w:rPr>
        <w:t>return</w:t>
      </w:r>
      <w:r>
        <w:rPr>
          <w:color w:val="231F20"/>
          <w:spacing w:val="29"/>
        </w:rPr>
        <w:t> </w:t>
      </w:r>
      <w:r>
        <w:rPr>
          <w:color w:val="231F20"/>
        </w:rPr>
        <w:t>on</w:t>
      </w:r>
      <w:r>
        <w:rPr>
          <w:color w:val="231F20"/>
          <w:spacing w:val="29"/>
        </w:rPr>
        <w:t> </w:t>
      </w:r>
      <w:r>
        <w:rPr>
          <w:color w:val="231F20"/>
        </w:rPr>
        <w:t>the</w:t>
      </w:r>
      <w:r>
        <w:rPr>
          <w:color w:val="231F20"/>
          <w:spacing w:val="29"/>
        </w:rPr>
        <w:t> </w:t>
      </w:r>
      <w:r>
        <w:rPr>
          <w:color w:val="231F20"/>
        </w:rPr>
        <w:t>$5,000</w:t>
      </w:r>
      <w:r>
        <w:rPr>
          <w:color w:val="231F20"/>
          <w:spacing w:val="29"/>
        </w:rPr>
        <w:t> </w:t>
      </w:r>
      <w:r>
        <w:rPr>
          <w:color w:val="231F20"/>
        </w:rPr>
        <w:t>option</w:t>
      </w:r>
      <w:r>
        <w:rPr>
          <w:color w:val="231F20"/>
          <w:spacing w:val="29"/>
        </w:rPr>
        <w:t> </w:t>
      </w:r>
      <w:r>
        <w:rPr>
          <w:color w:val="231F20"/>
        </w:rPr>
        <w:t>would be 1,000 percent. If he buys the house outright for $1,000,000, his return would be only 5 percent. The essence of options is to control the destiny of an asset with an investment of a fraction of that asset’s value. The payoff is a leveraged payoff or a possible total loss if the underlying asset’s value fluctuates.</w:t>
      </w:r>
    </w:p>
    <w:p>
      <w:pPr>
        <w:pStyle w:val="BodyText"/>
        <w:spacing w:line="292" w:lineRule="auto"/>
        <w:ind w:left="829" w:right="756" w:firstLine="340"/>
        <w:jc w:val="both"/>
      </w:pPr>
      <w:r>
        <w:rPr>
          <w:color w:val="231F20"/>
        </w:rPr>
        <w:t>Stock options work in the same way as in the real estate deal dis- cussed.</w:t>
      </w:r>
      <w:r>
        <w:rPr>
          <w:color w:val="231F20"/>
          <w:spacing w:val="35"/>
        </w:rPr>
        <w:t> </w:t>
      </w:r>
      <w:r>
        <w:rPr>
          <w:color w:val="231F20"/>
        </w:rPr>
        <w:t>An</w:t>
      </w:r>
      <w:r>
        <w:rPr>
          <w:color w:val="231F20"/>
          <w:spacing w:val="34"/>
        </w:rPr>
        <w:t> </w:t>
      </w:r>
      <w:r>
        <w:rPr>
          <w:i/>
          <w:color w:val="231F20"/>
        </w:rPr>
        <w:t>option</w:t>
      </w:r>
      <w:r>
        <w:rPr>
          <w:i/>
          <w:color w:val="231F20"/>
          <w:spacing w:val="34"/>
        </w:rPr>
        <w:t> </w:t>
      </w:r>
      <w:r>
        <w:rPr>
          <w:color w:val="231F20"/>
        </w:rPr>
        <w:t>is</w:t>
      </w:r>
      <w:r>
        <w:rPr>
          <w:color w:val="231F20"/>
          <w:spacing w:val="35"/>
        </w:rPr>
        <w:t> </w:t>
      </w:r>
      <w:r>
        <w:rPr>
          <w:color w:val="231F20"/>
        </w:rPr>
        <w:t>“the</w:t>
      </w:r>
      <w:r>
        <w:rPr>
          <w:color w:val="231F20"/>
          <w:spacing w:val="35"/>
        </w:rPr>
        <w:t> </w:t>
      </w:r>
      <w:r>
        <w:rPr>
          <w:color w:val="231F20"/>
        </w:rPr>
        <w:t>right”</w:t>
      </w:r>
      <w:r>
        <w:rPr>
          <w:color w:val="231F20"/>
          <w:spacing w:val="35"/>
        </w:rPr>
        <w:t> </w:t>
      </w:r>
      <w:r>
        <w:rPr>
          <w:color w:val="231F20"/>
        </w:rPr>
        <w:t>to</w:t>
      </w:r>
      <w:r>
        <w:rPr>
          <w:color w:val="231F20"/>
          <w:spacing w:val="35"/>
        </w:rPr>
        <w:t> </w:t>
      </w:r>
      <w:r>
        <w:rPr>
          <w:color w:val="231F20"/>
        </w:rPr>
        <w:t>buy</w:t>
      </w:r>
      <w:r>
        <w:rPr>
          <w:color w:val="231F20"/>
          <w:spacing w:val="35"/>
        </w:rPr>
        <w:t> </w:t>
      </w:r>
      <w:r>
        <w:rPr>
          <w:color w:val="231F20"/>
        </w:rPr>
        <w:t>or</w:t>
      </w:r>
      <w:r>
        <w:rPr>
          <w:color w:val="231F20"/>
          <w:spacing w:val="35"/>
        </w:rPr>
        <w:t> </w:t>
      </w:r>
      <w:r>
        <w:rPr>
          <w:color w:val="231F20"/>
        </w:rPr>
        <w:t>sell</w:t>
      </w:r>
      <w:r>
        <w:rPr>
          <w:color w:val="231F20"/>
          <w:spacing w:val="35"/>
        </w:rPr>
        <w:t> </w:t>
      </w:r>
      <w:r>
        <w:rPr>
          <w:color w:val="231F20"/>
        </w:rPr>
        <w:t>a</w:t>
      </w:r>
      <w:r>
        <w:rPr>
          <w:color w:val="231F20"/>
          <w:spacing w:val="35"/>
        </w:rPr>
        <w:t> </w:t>
      </w:r>
      <w:r>
        <w:rPr>
          <w:color w:val="231F20"/>
        </w:rPr>
        <w:t>stock:</w:t>
      </w:r>
    </w:p>
    <w:p>
      <w:pPr>
        <w:pStyle w:val="BodyText"/>
        <w:spacing w:before="7"/>
        <w:rPr>
          <w:sz w:val="26"/>
        </w:rPr>
      </w:pPr>
    </w:p>
    <w:p>
      <w:pPr>
        <w:spacing w:before="0"/>
        <w:ind w:left="1170" w:right="0" w:firstLine="0"/>
        <w:jc w:val="left"/>
        <w:rPr>
          <w:rFonts w:ascii="Arial" w:hAnsi="Arial"/>
          <w:i/>
          <w:sz w:val="19"/>
        </w:rPr>
      </w:pPr>
      <w:r>
        <w:rPr>
          <w:rFonts w:ascii="Arial" w:hAnsi="Arial"/>
          <w:color w:val="231F20"/>
          <w:w w:val="115"/>
          <w:sz w:val="19"/>
        </w:rPr>
        <w:t>at</w:t>
      </w:r>
      <w:r>
        <w:rPr>
          <w:rFonts w:ascii="Arial" w:hAnsi="Arial"/>
          <w:color w:val="231F20"/>
          <w:spacing w:val="-16"/>
          <w:w w:val="115"/>
          <w:sz w:val="19"/>
        </w:rPr>
        <w:t> </w:t>
      </w:r>
      <w:r>
        <w:rPr>
          <w:rFonts w:ascii="Arial" w:hAnsi="Arial"/>
          <w:color w:val="231F20"/>
          <w:w w:val="115"/>
          <w:sz w:val="19"/>
        </w:rPr>
        <w:t>a</w:t>
      </w:r>
      <w:r>
        <w:rPr>
          <w:rFonts w:ascii="Arial" w:hAnsi="Arial"/>
          <w:color w:val="231F20"/>
          <w:spacing w:val="-15"/>
          <w:w w:val="115"/>
          <w:sz w:val="19"/>
        </w:rPr>
        <w:t> </w:t>
      </w:r>
      <w:r>
        <w:rPr>
          <w:rFonts w:ascii="Arial" w:hAnsi="Arial"/>
          <w:color w:val="231F20"/>
          <w:w w:val="115"/>
          <w:sz w:val="19"/>
        </w:rPr>
        <w:t>stated</w:t>
      </w:r>
      <w:r>
        <w:rPr>
          <w:rFonts w:ascii="Arial" w:hAnsi="Arial"/>
          <w:color w:val="231F20"/>
          <w:spacing w:val="-15"/>
          <w:w w:val="115"/>
          <w:sz w:val="19"/>
        </w:rPr>
        <w:t> </w:t>
      </w:r>
      <w:r>
        <w:rPr>
          <w:rFonts w:ascii="Arial" w:hAnsi="Arial"/>
          <w:color w:val="231F20"/>
          <w:w w:val="115"/>
          <w:sz w:val="19"/>
        </w:rPr>
        <w:t>price</w:t>
      </w:r>
      <w:r>
        <w:rPr>
          <w:rFonts w:ascii="Arial" w:hAnsi="Arial"/>
          <w:color w:val="231F20"/>
          <w:spacing w:val="-42"/>
          <w:w w:val="115"/>
          <w:sz w:val="19"/>
        </w:rPr>
        <w:t> </w:t>
      </w:r>
      <w:r>
        <w:rPr>
          <w:rFonts w:ascii="Arial" w:hAnsi="Arial"/>
          <w:color w:val="231F20"/>
          <w:w w:val="115"/>
          <w:sz w:val="19"/>
        </w:rPr>
        <w:t>—</w:t>
      </w:r>
      <w:r>
        <w:rPr>
          <w:rFonts w:ascii="Arial" w:hAnsi="Arial"/>
          <w:color w:val="231F20"/>
          <w:spacing w:val="-42"/>
          <w:w w:val="115"/>
          <w:sz w:val="19"/>
        </w:rPr>
        <w:t> </w:t>
      </w:r>
      <w:r>
        <w:rPr>
          <w:rFonts w:ascii="Arial" w:hAnsi="Arial"/>
          <w:color w:val="231F20"/>
          <w:w w:val="115"/>
          <w:sz w:val="19"/>
        </w:rPr>
        <w:t>the</w:t>
      </w:r>
      <w:r>
        <w:rPr>
          <w:rFonts w:ascii="Arial" w:hAnsi="Arial"/>
          <w:color w:val="231F20"/>
          <w:spacing w:val="-15"/>
          <w:w w:val="115"/>
          <w:sz w:val="19"/>
        </w:rPr>
        <w:t> </w:t>
      </w:r>
      <w:r>
        <w:rPr>
          <w:rFonts w:ascii="Arial" w:hAnsi="Arial"/>
          <w:i/>
          <w:color w:val="231F20"/>
          <w:w w:val="115"/>
          <w:sz w:val="19"/>
        </w:rPr>
        <w:t>strike</w:t>
      </w:r>
      <w:r>
        <w:rPr>
          <w:rFonts w:ascii="Arial" w:hAnsi="Arial"/>
          <w:i/>
          <w:color w:val="231F20"/>
          <w:spacing w:val="-14"/>
          <w:w w:val="115"/>
          <w:sz w:val="19"/>
        </w:rPr>
        <w:t> </w:t>
      </w:r>
      <w:r>
        <w:rPr>
          <w:rFonts w:ascii="Arial" w:hAnsi="Arial"/>
          <w:i/>
          <w:color w:val="231F20"/>
          <w:spacing w:val="-4"/>
          <w:w w:val="115"/>
          <w:sz w:val="19"/>
        </w:rPr>
        <w:t>price</w:t>
      </w:r>
    </w:p>
    <w:p>
      <w:pPr>
        <w:spacing w:before="81"/>
        <w:ind w:left="1170" w:right="0" w:firstLine="0"/>
        <w:jc w:val="left"/>
        <w:rPr>
          <w:rFonts w:ascii="Arial" w:hAnsi="Arial"/>
          <w:i/>
          <w:sz w:val="19"/>
        </w:rPr>
      </w:pPr>
      <w:r>
        <w:rPr>
          <w:rFonts w:ascii="Arial" w:hAnsi="Arial"/>
          <w:color w:val="231F20"/>
          <w:w w:val="110"/>
          <w:sz w:val="19"/>
        </w:rPr>
        <w:t>by</w:t>
      </w:r>
      <w:r>
        <w:rPr>
          <w:rFonts w:ascii="Arial" w:hAnsi="Arial"/>
          <w:color w:val="231F20"/>
          <w:spacing w:val="13"/>
          <w:w w:val="110"/>
          <w:sz w:val="19"/>
        </w:rPr>
        <w:t> </w:t>
      </w:r>
      <w:r>
        <w:rPr>
          <w:rFonts w:ascii="Arial" w:hAnsi="Arial"/>
          <w:color w:val="231F20"/>
          <w:w w:val="110"/>
          <w:sz w:val="19"/>
        </w:rPr>
        <w:t>a</w:t>
      </w:r>
      <w:r>
        <w:rPr>
          <w:rFonts w:ascii="Arial" w:hAnsi="Arial"/>
          <w:color w:val="231F20"/>
          <w:spacing w:val="13"/>
          <w:w w:val="110"/>
          <w:sz w:val="19"/>
        </w:rPr>
        <w:t> </w:t>
      </w:r>
      <w:r>
        <w:rPr>
          <w:rFonts w:ascii="Arial" w:hAnsi="Arial"/>
          <w:color w:val="231F20"/>
          <w:w w:val="110"/>
          <w:sz w:val="19"/>
        </w:rPr>
        <w:t>certain</w:t>
      </w:r>
      <w:r>
        <w:rPr>
          <w:rFonts w:ascii="Arial" w:hAnsi="Arial"/>
          <w:color w:val="231F20"/>
          <w:spacing w:val="13"/>
          <w:w w:val="110"/>
          <w:sz w:val="19"/>
        </w:rPr>
        <w:t> </w:t>
      </w:r>
      <w:r>
        <w:rPr>
          <w:rFonts w:ascii="Arial" w:hAnsi="Arial"/>
          <w:color w:val="231F20"/>
          <w:w w:val="110"/>
          <w:sz w:val="19"/>
        </w:rPr>
        <w:t>date</w:t>
      </w:r>
      <w:r>
        <w:rPr>
          <w:rFonts w:ascii="Arial" w:hAnsi="Arial"/>
          <w:color w:val="231F20"/>
          <w:spacing w:val="-35"/>
          <w:w w:val="110"/>
          <w:sz w:val="19"/>
        </w:rPr>
        <w:t> </w:t>
      </w:r>
      <w:r>
        <w:rPr>
          <w:rFonts w:ascii="Arial" w:hAnsi="Arial"/>
          <w:color w:val="231F20"/>
          <w:w w:val="110"/>
          <w:sz w:val="19"/>
        </w:rPr>
        <w:t>—</w:t>
      </w:r>
      <w:r>
        <w:rPr>
          <w:rFonts w:ascii="Arial" w:hAnsi="Arial"/>
          <w:color w:val="231F20"/>
          <w:spacing w:val="-35"/>
          <w:w w:val="110"/>
          <w:sz w:val="19"/>
        </w:rPr>
        <w:t> </w:t>
      </w:r>
      <w:r>
        <w:rPr>
          <w:rFonts w:ascii="Arial" w:hAnsi="Arial"/>
          <w:color w:val="231F20"/>
          <w:w w:val="110"/>
          <w:sz w:val="19"/>
        </w:rPr>
        <w:t>the</w:t>
      </w:r>
      <w:r>
        <w:rPr>
          <w:rFonts w:ascii="Arial" w:hAnsi="Arial"/>
          <w:color w:val="231F20"/>
          <w:spacing w:val="13"/>
          <w:w w:val="110"/>
          <w:sz w:val="19"/>
        </w:rPr>
        <w:t> </w:t>
      </w:r>
      <w:r>
        <w:rPr>
          <w:rFonts w:ascii="Arial" w:hAnsi="Arial"/>
          <w:i/>
          <w:color w:val="231F20"/>
          <w:w w:val="110"/>
          <w:sz w:val="19"/>
        </w:rPr>
        <w:t>expiration</w:t>
      </w:r>
      <w:r>
        <w:rPr>
          <w:rFonts w:ascii="Arial" w:hAnsi="Arial"/>
          <w:i/>
          <w:color w:val="231F20"/>
          <w:spacing w:val="13"/>
          <w:w w:val="110"/>
          <w:sz w:val="19"/>
        </w:rPr>
        <w:t> </w:t>
      </w:r>
      <w:r>
        <w:rPr>
          <w:rFonts w:ascii="Arial" w:hAnsi="Arial"/>
          <w:i/>
          <w:color w:val="231F20"/>
          <w:spacing w:val="-4"/>
          <w:w w:val="110"/>
          <w:sz w:val="19"/>
        </w:rPr>
        <w:t>date</w:t>
      </w:r>
    </w:p>
    <w:p>
      <w:pPr>
        <w:spacing w:before="82"/>
        <w:ind w:left="1170" w:right="0" w:firstLine="0"/>
        <w:jc w:val="left"/>
        <w:rPr>
          <w:rFonts w:ascii="Arial" w:hAnsi="Arial"/>
          <w:i/>
          <w:sz w:val="19"/>
        </w:rPr>
      </w:pPr>
      <w:r>
        <w:rPr>
          <w:rFonts w:ascii="Arial" w:hAnsi="Arial"/>
          <w:color w:val="231F20"/>
          <w:w w:val="115"/>
          <w:sz w:val="19"/>
        </w:rPr>
        <w:t>at</w:t>
      </w:r>
      <w:r>
        <w:rPr>
          <w:rFonts w:ascii="Arial" w:hAnsi="Arial"/>
          <w:color w:val="231F20"/>
          <w:spacing w:val="-2"/>
          <w:w w:val="115"/>
          <w:sz w:val="19"/>
        </w:rPr>
        <w:t> </w:t>
      </w:r>
      <w:r>
        <w:rPr>
          <w:rFonts w:ascii="Arial" w:hAnsi="Arial"/>
          <w:color w:val="231F20"/>
          <w:w w:val="115"/>
          <w:sz w:val="19"/>
        </w:rPr>
        <w:t>a</w:t>
      </w:r>
      <w:r>
        <w:rPr>
          <w:rFonts w:ascii="Arial" w:hAnsi="Arial"/>
          <w:color w:val="231F20"/>
          <w:spacing w:val="-1"/>
          <w:w w:val="115"/>
          <w:sz w:val="19"/>
        </w:rPr>
        <w:t> </w:t>
      </w:r>
      <w:r>
        <w:rPr>
          <w:rFonts w:ascii="Arial" w:hAnsi="Arial"/>
          <w:color w:val="231F20"/>
          <w:w w:val="115"/>
          <w:sz w:val="19"/>
        </w:rPr>
        <w:t>cost</w:t>
      </w:r>
      <w:r>
        <w:rPr>
          <w:rFonts w:ascii="Arial" w:hAnsi="Arial"/>
          <w:color w:val="231F20"/>
          <w:spacing w:val="-1"/>
          <w:w w:val="115"/>
          <w:sz w:val="19"/>
        </w:rPr>
        <w:t> </w:t>
      </w:r>
      <w:r>
        <w:rPr>
          <w:rFonts w:ascii="Arial" w:hAnsi="Arial"/>
          <w:color w:val="231F20"/>
          <w:w w:val="115"/>
          <w:sz w:val="19"/>
        </w:rPr>
        <w:t>for</w:t>
      </w:r>
      <w:r>
        <w:rPr>
          <w:rFonts w:ascii="Arial" w:hAnsi="Arial"/>
          <w:color w:val="231F20"/>
          <w:spacing w:val="-1"/>
          <w:w w:val="115"/>
          <w:sz w:val="19"/>
        </w:rPr>
        <w:t> </w:t>
      </w:r>
      <w:r>
        <w:rPr>
          <w:rFonts w:ascii="Arial" w:hAnsi="Arial"/>
          <w:color w:val="231F20"/>
          <w:w w:val="115"/>
          <w:sz w:val="19"/>
        </w:rPr>
        <w:t>the</w:t>
      </w:r>
      <w:r>
        <w:rPr>
          <w:rFonts w:ascii="Arial" w:hAnsi="Arial"/>
          <w:color w:val="231F20"/>
          <w:spacing w:val="-1"/>
          <w:w w:val="115"/>
          <w:sz w:val="19"/>
        </w:rPr>
        <w:t> </w:t>
      </w:r>
      <w:r>
        <w:rPr>
          <w:rFonts w:ascii="Arial" w:hAnsi="Arial"/>
          <w:color w:val="231F20"/>
          <w:w w:val="115"/>
          <w:sz w:val="19"/>
        </w:rPr>
        <w:t>privilege—</w:t>
      </w:r>
      <w:r>
        <w:rPr>
          <w:rFonts w:ascii="Arial" w:hAnsi="Arial"/>
          <w:color w:val="231F20"/>
          <w:spacing w:val="-41"/>
          <w:w w:val="115"/>
          <w:sz w:val="19"/>
        </w:rPr>
        <w:t> </w:t>
      </w:r>
      <w:r>
        <w:rPr>
          <w:rFonts w:ascii="Arial" w:hAnsi="Arial"/>
          <w:color w:val="231F20"/>
          <w:w w:val="115"/>
          <w:sz w:val="19"/>
        </w:rPr>
        <w:t>the</w:t>
      </w:r>
      <w:r>
        <w:rPr>
          <w:rFonts w:ascii="Arial" w:hAnsi="Arial"/>
          <w:color w:val="231F20"/>
          <w:spacing w:val="-1"/>
          <w:w w:val="115"/>
          <w:sz w:val="19"/>
        </w:rPr>
        <w:t> </w:t>
      </w:r>
      <w:r>
        <w:rPr>
          <w:rFonts w:ascii="Arial" w:hAnsi="Arial"/>
          <w:i/>
          <w:color w:val="231F20"/>
          <w:w w:val="115"/>
          <w:sz w:val="19"/>
        </w:rPr>
        <w:t>option</w:t>
      </w:r>
      <w:r>
        <w:rPr>
          <w:rFonts w:ascii="Arial" w:hAnsi="Arial"/>
          <w:i/>
          <w:color w:val="231F20"/>
          <w:spacing w:val="-1"/>
          <w:w w:val="115"/>
          <w:sz w:val="19"/>
        </w:rPr>
        <w:t> </w:t>
      </w:r>
      <w:r>
        <w:rPr>
          <w:rFonts w:ascii="Arial" w:hAnsi="Arial"/>
          <w:i/>
          <w:color w:val="231F20"/>
          <w:spacing w:val="-2"/>
          <w:w w:val="115"/>
          <w:sz w:val="19"/>
        </w:rPr>
        <w:t>premium</w:t>
      </w:r>
    </w:p>
    <w:p>
      <w:pPr>
        <w:pStyle w:val="BodyText"/>
        <w:rPr>
          <w:rFonts w:ascii="Arial"/>
          <w:i/>
          <w:sz w:val="20"/>
        </w:rPr>
      </w:pPr>
    </w:p>
    <w:p>
      <w:pPr>
        <w:pStyle w:val="BodyText"/>
        <w:spacing w:before="140"/>
        <w:ind w:left="1170"/>
      </w:pPr>
      <w:r>
        <w:rPr>
          <w:color w:val="231F20"/>
        </w:rPr>
        <w:t>Options</w:t>
      </w:r>
      <w:r>
        <w:rPr>
          <w:color w:val="231F20"/>
          <w:spacing w:val="33"/>
        </w:rPr>
        <w:t> </w:t>
      </w:r>
      <w:r>
        <w:rPr>
          <w:color w:val="231F20"/>
        </w:rPr>
        <w:t>to</w:t>
      </w:r>
      <w:r>
        <w:rPr>
          <w:color w:val="231F20"/>
          <w:spacing w:val="33"/>
        </w:rPr>
        <w:t> </w:t>
      </w:r>
      <w:r>
        <w:rPr>
          <w:color w:val="231F20"/>
        </w:rPr>
        <w:t>purchase</w:t>
      </w:r>
      <w:r>
        <w:rPr>
          <w:color w:val="231F20"/>
          <w:spacing w:val="33"/>
        </w:rPr>
        <w:t> </w:t>
      </w:r>
      <w:r>
        <w:rPr>
          <w:color w:val="231F20"/>
        </w:rPr>
        <w:t>stocks</w:t>
      </w:r>
      <w:r>
        <w:rPr>
          <w:color w:val="231F20"/>
          <w:spacing w:val="33"/>
        </w:rPr>
        <w:t> </w:t>
      </w:r>
      <w:r>
        <w:rPr>
          <w:color w:val="231F20"/>
        </w:rPr>
        <w:t>are</w:t>
      </w:r>
      <w:r>
        <w:rPr>
          <w:color w:val="231F20"/>
          <w:spacing w:val="33"/>
        </w:rPr>
        <w:t> </w:t>
      </w:r>
      <w:r>
        <w:rPr>
          <w:color w:val="231F20"/>
        </w:rPr>
        <w:t>called</w:t>
      </w:r>
      <w:r>
        <w:rPr>
          <w:color w:val="231F20"/>
          <w:spacing w:val="32"/>
        </w:rPr>
        <w:t> </w:t>
      </w:r>
      <w:r>
        <w:rPr>
          <w:i/>
          <w:color w:val="231F20"/>
        </w:rPr>
        <w:t>calls.</w:t>
      </w:r>
      <w:r>
        <w:rPr>
          <w:i/>
          <w:color w:val="231F20"/>
          <w:spacing w:val="33"/>
        </w:rPr>
        <w:t> </w:t>
      </w:r>
      <w:r>
        <w:rPr>
          <w:color w:val="231F20"/>
        </w:rPr>
        <w:t>(“Call”</w:t>
      </w:r>
      <w:r>
        <w:rPr>
          <w:color w:val="231F20"/>
          <w:spacing w:val="34"/>
        </w:rPr>
        <w:t> </w:t>
      </w:r>
      <w:r>
        <w:rPr>
          <w:color w:val="231F20"/>
        </w:rPr>
        <w:t>in</w:t>
      </w:r>
      <w:r>
        <w:rPr>
          <w:color w:val="231F20"/>
          <w:spacing w:val="33"/>
        </w:rPr>
        <w:t> </w:t>
      </w:r>
      <w:r>
        <w:rPr>
          <w:color w:val="231F20"/>
        </w:rPr>
        <w:t>the</w:t>
      </w:r>
      <w:r>
        <w:rPr>
          <w:color w:val="231F20"/>
          <w:spacing w:val="33"/>
        </w:rPr>
        <w:t> </w:t>
      </w:r>
      <w:r>
        <w:rPr>
          <w:color w:val="231F20"/>
          <w:spacing w:val="-2"/>
        </w:rPr>
        <w:t>stock</w:t>
      </w:r>
    </w:p>
    <w:p>
      <w:pPr>
        <w:spacing w:after="0"/>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3"/>
        <w:jc w:val="both"/>
      </w:pPr>
      <w:r>
        <w:rPr>
          <w:color w:val="231F20"/>
        </w:rPr>
        <w:t>to</w:t>
      </w:r>
      <w:r>
        <w:rPr>
          <w:color w:val="231F20"/>
          <w:spacing w:val="40"/>
        </w:rPr>
        <w:t> </w:t>
      </w:r>
      <w:r>
        <w:rPr>
          <w:color w:val="231F20"/>
        </w:rPr>
        <w:t>buy.)</w:t>
      </w:r>
      <w:r>
        <w:rPr>
          <w:color w:val="231F20"/>
          <w:spacing w:val="40"/>
        </w:rPr>
        <w:t> </w:t>
      </w:r>
      <w:r>
        <w:rPr>
          <w:color w:val="231F20"/>
        </w:rPr>
        <w:t>Rights</w:t>
      </w:r>
      <w:r>
        <w:rPr>
          <w:color w:val="231F20"/>
          <w:spacing w:val="40"/>
        </w:rPr>
        <w:t> </w:t>
      </w:r>
      <w:r>
        <w:rPr>
          <w:color w:val="231F20"/>
        </w:rPr>
        <w:t>to</w:t>
      </w:r>
      <w:r>
        <w:rPr>
          <w:color w:val="231F20"/>
          <w:spacing w:val="40"/>
        </w:rPr>
        <w:t> </w:t>
      </w:r>
      <w:r>
        <w:rPr>
          <w:color w:val="231F20"/>
        </w:rPr>
        <w:t>sell</w:t>
      </w:r>
      <w:r>
        <w:rPr>
          <w:color w:val="231F20"/>
          <w:spacing w:val="40"/>
        </w:rPr>
        <w:t> </w:t>
      </w:r>
      <w:r>
        <w:rPr>
          <w:color w:val="231F20"/>
        </w:rPr>
        <w:t>a</w:t>
      </w:r>
      <w:r>
        <w:rPr>
          <w:color w:val="231F20"/>
          <w:spacing w:val="40"/>
        </w:rPr>
        <w:t> </w:t>
      </w:r>
      <w:r>
        <w:rPr>
          <w:color w:val="231F20"/>
        </w:rPr>
        <w:t>stock</w:t>
      </w:r>
      <w:r>
        <w:rPr>
          <w:color w:val="231F20"/>
          <w:spacing w:val="40"/>
        </w:rPr>
        <w:t> </w:t>
      </w:r>
      <w:r>
        <w:rPr>
          <w:color w:val="231F20"/>
        </w:rPr>
        <w:t>to</w:t>
      </w:r>
      <w:r>
        <w:rPr>
          <w:color w:val="231F20"/>
          <w:spacing w:val="40"/>
        </w:rPr>
        <w:t> </w:t>
      </w:r>
      <w:r>
        <w:rPr>
          <w:color w:val="231F20"/>
        </w:rPr>
        <w:t>somebody</w:t>
      </w:r>
      <w:r>
        <w:rPr>
          <w:color w:val="231F20"/>
          <w:spacing w:val="40"/>
        </w:rPr>
        <w:t> </w:t>
      </w:r>
      <w:r>
        <w:rPr>
          <w:color w:val="231F20"/>
        </w:rPr>
        <w:t>else</w:t>
      </w:r>
      <w:r>
        <w:rPr>
          <w:color w:val="231F20"/>
          <w:spacing w:val="40"/>
        </w:rPr>
        <w:t> </w:t>
      </w:r>
      <w:r>
        <w:rPr>
          <w:color w:val="231F20"/>
        </w:rPr>
        <w:t>are</w:t>
      </w:r>
      <w:r>
        <w:rPr>
          <w:color w:val="231F20"/>
          <w:spacing w:val="40"/>
        </w:rPr>
        <w:t> </w:t>
      </w:r>
      <w:r>
        <w:rPr>
          <w:color w:val="231F20"/>
        </w:rPr>
        <w:t>called</w:t>
      </w:r>
      <w:r>
        <w:rPr>
          <w:color w:val="231F20"/>
          <w:spacing w:val="40"/>
        </w:rPr>
        <w:t> </w:t>
      </w:r>
      <w:r>
        <w:rPr>
          <w:i/>
          <w:color w:val="231F20"/>
        </w:rPr>
        <w:t>puts.</w:t>
      </w:r>
      <w:r>
        <w:rPr>
          <w:i/>
          <w:color w:val="231F20"/>
        </w:rPr>
        <w:t> </w:t>
      </w:r>
      <w:r>
        <w:rPr>
          <w:color w:val="231F20"/>
        </w:rPr>
        <w:t>(“Put” it to somebody else for sale.) The values of call and put </w:t>
      </w:r>
      <w:r>
        <w:rPr>
          <w:color w:val="231F20"/>
        </w:rPr>
        <w:t>op- tions move in opposite directions. If a stock price rises, then the</w:t>
      </w:r>
      <w:r>
        <w:rPr>
          <w:color w:val="231F20"/>
          <w:spacing w:val="40"/>
        </w:rPr>
        <w:t> </w:t>
      </w:r>
      <w:r>
        <w:rPr>
          <w:color w:val="231F20"/>
        </w:rPr>
        <w:t>value of a call option to buy it, at a fixed price, increases. If a stock’s price falls, its call value decreases. Conversely, the value of a put op- tion increases when the underlying stock price falls and decreases when the stock price increases.</w:t>
      </w:r>
    </w:p>
    <w:p>
      <w:pPr>
        <w:pStyle w:val="BodyText"/>
        <w:spacing w:line="292" w:lineRule="auto"/>
        <w:ind w:left="919" w:right="665" w:firstLine="340"/>
        <w:jc w:val="both"/>
      </w:pPr>
      <w:r>
        <w:rPr>
          <w:color w:val="231F20"/>
        </w:rPr>
        <w:t>On</w:t>
      </w:r>
      <w:r>
        <w:rPr>
          <w:color w:val="231F20"/>
          <w:spacing w:val="40"/>
        </w:rPr>
        <w:t> </w:t>
      </w:r>
      <w:r>
        <w:rPr>
          <w:color w:val="231F20"/>
        </w:rPr>
        <w:t>the</w:t>
      </w:r>
      <w:r>
        <w:rPr>
          <w:color w:val="231F20"/>
          <w:spacing w:val="40"/>
        </w:rPr>
        <w:t> </w:t>
      </w:r>
      <w:r>
        <w:rPr>
          <w:color w:val="231F20"/>
        </w:rPr>
        <w:t>Chicago</w:t>
      </w:r>
      <w:r>
        <w:rPr>
          <w:color w:val="231F20"/>
          <w:spacing w:val="40"/>
        </w:rPr>
        <w:t> </w:t>
      </w:r>
      <w:r>
        <w:rPr>
          <w:color w:val="231F20"/>
        </w:rPr>
        <w:t>Board</w:t>
      </w:r>
      <w:r>
        <w:rPr>
          <w:color w:val="231F20"/>
          <w:spacing w:val="40"/>
        </w:rPr>
        <w:t> </w:t>
      </w:r>
      <w:r>
        <w:rPr>
          <w:color w:val="231F20"/>
        </w:rPr>
        <w:t>Options</w:t>
      </w:r>
      <w:r>
        <w:rPr>
          <w:color w:val="231F20"/>
          <w:spacing w:val="40"/>
        </w:rPr>
        <w:t> </w:t>
      </w:r>
      <w:r>
        <w:rPr>
          <w:color w:val="231F20"/>
        </w:rPr>
        <w:t>Exchange</w:t>
      </w:r>
      <w:r>
        <w:rPr>
          <w:color w:val="231F20"/>
          <w:spacing w:val="40"/>
        </w:rPr>
        <w:t> </w:t>
      </w:r>
      <w:r>
        <w:rPr>
          <w:color w:val="231F20"/>
        </w:rPr>
        <w:t>(CBOE),</w:t>
      </w:r>
      <w:r>
        <w:rPr>
          <w:color w:val="231F20"/>
          <w:spacing w:val="40"/>
        </w:rPr>
        <w:t> </w:t>
      </w:r>
      <w:r>
        <w:rPr>
          <w:color w:val="231F20"/>
        </w:rPr>
        <w:t>the</w:t>
      </w:r>
      <w:r>
        <w:rPr>
          <w:color w:val="231F20"/>
          <w:spacing w:val="40"/>
        </w:rPr>
        <w:t> </w:t>
      </w:r>
      <w:r>
        <w:rPr>
          <w:color w:val="231F20"/>
        </w:rPr>
        <w:t>oldest and largest exchange, traders buy and sell options on blocks of one hundred shares of stocks in the same way as Mr. Quick bought </w:t>
      </w:r>
      <w:r>
        <w:rPr>
          <w:color w:val="231F20"/>
        </w:rPr>
        <w:t>an option on real estate. Buyers of stock options buy the right to the ap- preciation (calls) or depreciation (puts) of a stock for a period of</w:t>
      </w:r>
      <w:r>
        <w:rPr>
          <w:color w:val="231F20"/>
          <w:spacing w:val="40"/>
        </w:rPr>
        <w:t> </w:t>
      </w:r>
      <w:r>
        <w:rPr>
          <w:color w:val="231F20"/>
        </w:rPr>
        <w:t>time. Sellers, called option </w:t>
      </w:r>
      <w:r>
        <w:rPr>
          <w:i/>
          <w:color w:val="231F20"/>
        </w:rPr>
        <w:t>writers, </w:t>
      </w:r>
      <w:r>
        <w:rPr>
          <w:color w:val="231F20"/>
        </w:rPr>
        <w:t>of </w:t>
      </w:r>
      <w:r>
        <w:rPr>
          <w:i/>
          <w:color w:val="231F20"/>
        </w:rPr>
        <w:t>covered </w:t>
      </w:r>
      <w:r>
        <w:rPr>
          <w:color w:val="231F20"/>
        </w:rPr>
        <w:t>options sell to buyers the rights on the stocks that they own. If an option writer sells an option on a stock not owned, the options are called </w:t>
      </w:r>
      <w:r>
        <w:rPr>
          <w:i/>
          <w:color w:val="231F20"/>
        </w:rPr>
        <w:t>naked </w:t>
      </w:r>
      <w:r>
        <w:rPr>
          <w:color w:val="231F20"/>
        </w:rPr>
        <w:t>options. They are not covered.</w:t>
      </w:r>
    </w:p>
    <w:p>
      <w:pPr>
        <w:pStyle w:val="BodyText"/>
        <w:spacing w:line="292" w:lineRule="auto"/>
        <w:ind w:left="920" w:right="666" w:firstLine="340"/>
        <w:jc w:val="both"/>
      </w:pPr>
      <w:r>
        <w:rPr>
          <w:color w:val="231F20"/>
        </w:rPr>
        <w:t>There are two types of option valuations, </w:t>
      </w:r>
      <w:r>
        <w:rPr>
          <w:i/>
          <w:color w:val="231F20"/>
        </w:rPr>
        <w:t>theoretical </w:t>
      </w:r>
      <w:r>
        <w:rPr>
          <w:color w:val="231F20"/>
        </w:rPr>
        <w:t>and </w:t>
      </w:r>
      <w:r>
        <w:rPr>
          <w:i/>
          <w:color w:val="231F20"/>
        </w:rPr>
        <w:t>market</w:t>
      </w:r>
      <w:r>
        <w:rPr>
          <w:i/>
          <w:color w:val="231F20"/>
        </w:rPr>
        <w:t> value. </w:t>
      </w:r>
      <w:r>
        <w:rPr>
          <w:color w:val="231F20"/>
        </w:rPr>
        <w:t>The theoretical value is the difference between the underlying stock’s market price and the option’s strike price. For example, a call option</w:t>
      </w:r>
      <w:r>
        <w:rPr>
          <w:color w:val="231F20"/>
          <w:spacing w:val="23"/>
        </w:rPr>
        <w:t> </w:t>
      </w:r>
      <w:r>
        <w:rPr>
          <w:color w:val="231F20"/>
        </w:rPr>
        <w:t>to</w:t>
      </w:r>
      <w:r>
        <w:rPr>
          <w:color w:val="231F20"/>
          <w:spacing w:val="23"/>
        </w:rPr>
        <w:t> </w:t>
      </w:r>
      <w:r>
        <w:rPr>
          <w:color w:val="231F20"/>
        </w:rPr>
        <w:t>buy</w:t>
      </w:r>
      <w:r>
        <w:rPr>
          <w:color w:val="231F20"/>
          <w:spacing w:val="23"/>
        </w:rPr>
        <w:t> </w:t>
      </w:r>
      <w:r>
        <w:rPr>
          <w:color w:val="231F20"/>
        </w:rPr>
        <w:t>Coca-Cola</w:t>
      </w:r>
      <w:r>
        <w:rPr>
          <w:color w:val="231F20"/>
          <w:spacing w:val="23"/>
        </w:rPr>
        <w:t> </w:t>
      </w:r>
      <w:r>
        <w:rPr>
          <w:color w:val="231F20"/>
        </w:rPr>
        <w:t>at</w:t>
      </w:r>
      <w:r>
        <w:rPr>
          <w:color w:val="231F20"/>
          <w:spacing w:val="23"/>
        </w:rPr>
        <w:t> </w:t>
      </w:r>
      <w:r>
        <w:rPr>
          <w:color w:val="231F20"/>
        </w:rPr>
        <w:t>$40</w:t>
      </w:r>
      <w:r>
        <w:rPr>
          <w:color w:val="231F20"/>
          <w:spacing w:val="23"/>
        </w:rPr>
        <w:t> </w:t>
      </w:r>
      <w:r>
        <w:rPr>
          <w:color w:val="231F20"/>
        </w:rPr>
        <w:t>when</w:t>
      </w:r>
      <w:r>
        <w:rPr>
          <w:color w:val="231F20"/>
          <w:spacing w:val="23"/>
        </w:rPr>
        <w:t> </w:t>
      </w:r>
      <w:r>
        <w:rPr>
          <w:color w:val="231F20"/>
        </w:rPr>
        <w:t>the</w:t>
      </w:r>
      <w:r>
        <w:rPr>
          <w:color w:val="231F20"/>
          <w:spacing w:val="23"/>
        </w:rPr>
        <w:t> </w:t>
      </w:r>
      <w:r>
        <w:rPr>
          <w:color w:val="231F20"/>
        </w:rPr>
        <w:t>market</w:t>
      </w:r>
      <w:r>
        <w:rPr>
          <w:color w:val="231F20"/>
          <w:spacing w:val="23"/>
        </w:rPr>
        <w:t> </w:t>
      </w:r>
      <w:r>
        <w:rPr>
          <w:color w:val="231F20"/>
        </w:rPr>
        <w:t>price</w:t>
      </w:r>
      <w:r>
        <w:rPr>
          <w:color w:val="231F20"/>
          <w:spacing w:val="23"/>
        </w:rPr>
        <w:t> </w:t>
      </w:r>
      <w:r>
        <w:rPr>
          <w:color w:val="231F20"/>
        </w:rPr>
        <w:t>of</w:t>
      </w:r>
      <w:r>
        <w:rPr>
          <w:color w:val="231F20"/>
          <w:spacing w:val="23"/>
        </w:rPr>
        <w:t> </w:t>
      </w:r>
      <w:r>
        <w:rPr>
          <w:color w:val="231F20"/>
        </w:rPr>
        <w:t>the</w:t>
      </w:r>
      <w:r>
        <w:rPr>
          <w:color w:val="231F20"/>
          <w:spacing w:val="23"/>
        </w:rPr>
        <w:t> </w:t>
      </w:r>
      <w:r>
        <w:rPr>
          <w:color w:val="231F20"/>
        </w:rPr>
        <w:t>stock is $45 would have a theoretical price of $5. However, options are written for extended periods of time. Therefore, the market value is the sum of the theoretical value plus a premium for the chance of profitable price movements until the expiration date. As the date of expiration approaches, there is less time for profits, so the premium erodes. On the expiration date, the option is settled for cash based</w:t>
      </w:r>
      <w:r>
        <w:rPr>
          <w:color w:val="231F20"/>
          <w:spacing w:val="80"/>
          <w:w w:val="150"/>
        </w:rPr>
        <w:t> </w:t>
      </w:r>
      <w:r>
        <w:rPr>
          <w:color w:val="231F20"/>
        </w:rPr>
        <w:t>on the optioned security’s market value. The market value equals the theoretical value because there is no longer a premium for future </w:t>
      </w:r>
      <w:r>
        <w:rPr>
          <w:color w:val="231F20"/>
          <w:spacing w:val="-2"/>
        </w:rPr>
        <w:t>gains.</w:t>
      </w:r>
    </w:p>
    <w:p>
      <w:pPr>
        <w:pStyle w:val="BodyText"/>
        <w:spacing w:before="8"/>
        <w:rPr>
          <w:sz w:val="24"/>
        </w:rPr>
      </w:pPr>
    </w:p>
    <w:p>
      <w:pPr>
        <w:spacing w:line="292" w:lineRule="auto" w:before="0"/>
        <w:ind w:left="920" w:right="663" w:firstLine="0"/>
        <w:jc w:val="both"/>
        <w:rPr>
          <w:sz w:val="21"/>
        </w:rPr>
      </w:pPr>
      <w:r>
        <w:rPr>
          <w:i/>
          <w:color w:val="231F20"/>
          <w:sz w:val="21"/>
        </w:rPr>
        <w:t>Option Valuations. </w:t>
      </w:r>
      <w:r>
        <w:rPr>
          <w:color w:val="231F20"/>
          <w:sz w:val="21"/>
        </w:rPr>
        <w:t>In 1973, Fisher Black and Myron Scholes</w:t>
      </w:r>
      <w:r>
        <w:rPr>
          <w:color w:val="231F20"/>
          <w:spacing w:val="40"/>
          <w:sz w:val="21"/>
        </w:rPr>
        <w:t> </w:t>
      </w:r>
      <w:r>
        <w:rPr>
          <w:color w:val="231F20"/>
          <w:sz w:val="21"/>
        </w:rPr>
        <w:t>published a model that became the industry standard for option valuations</w:t>
      </w:r>
      <w:r>
        <w:rPr>
          <w:color w:val="231F20"/>
          <w:spacing w:val="40"/>
          <w:sz w:val="21"/>
        </w:rPr>
        <w:t> </w:t>
      </w:r>
      <w:r>
        <w:rPr>
          <w:color w:val="231F20"/>
          <w:sz w:val="21"/>
        </w:rPr>
        <w:t>throughout</w:t>
      </w:r>
      <w:r>
        <w:rPr>
          <w:color w:val="231F20"/>
          <w:spacing w:val="40"/>
          <w:sz w:val="21"/>
        </w:rPr>
        <w:t> </w:t>
      </w:r>
      <w:r>
        <w:rPr>
          <w:color w:val="231F20"/>
          <w:sz w:val="21"/>
        </w:rPr>
        <w:t>the</w:t>
      </w:r>
      <w:r>
        <w:rPr>
          <w:color w:val="231F20"/>
          <w:spacing w:val="40"/>
          <w:sz w:val="21"/>
        </w:rPr>
        <w:t> </w:t>
      </w:r>
      <w:r>
        <w:rPr>
          <w:color w:val="231F20"/>
          <w:sz w:val="21"/>
        </w:rPr>
        <w:t>world.</w:t>
      </w:r>
      <w:r>
        <w:rPr>
          <w:color w:val="231F20"/>
          <w:spacing w:val="40"/>
          <w:sz w:val="21"/>
        </w:rPr>
        <w:t> </w:t>
      </w:r>
      <w:r>
        <w:rPr>
          <w:color w:val="231F20"/>
          <w:sz w:val="21"/>
        </w:rPr>
        <w:t>In</w:t>
      </w:r>
      <w:r>
        <w:rPr>
          <w:color w:val="231F20"/>
          <w:spacing w:val="40"/>
          <w:sz w:val="21"/>
        </w:rPr>
        <w:t> </w:t>
      </w:r>
      <w:r>
        <w:rPr>
          <w:color w:val="231F20"/>
          <w:sz w:val="21"/>
        </w:rPr>
        <w:t>the</w:t>
      </w:r>
      <w:r>
        <w:rPr>
          <w:color w:val="231F20"/>
          <w:spacing w:val="40"/>
          <w:sz w:val="21"/>
        </w:rPr>
        <w:t> </w:t>
      </w:r>
      <w:r>
        <w:rPr>
          <w:i/>
          <w:color w:val="231F20"/>
          <w:sz w:val="21"/>
        </w:rPr>
        <w:t>Black-Scholes</w:t>
      </w:r>
      <w:r>
        <w:rPr>
          <w:i/>
          <w:color w:val="231F20"/>
          <w:spacing w:val="40"/>
          <w:sz w:val="21"/>
        </w:rPr>
        <w:t> </w:t>
      </w:r>
      <w:r>
        <w:rPr>
          <w:i/>
          <w:color w:val="231F20"/>
          <w:sz w:val="21"/>
        </w:rPr>
        <w:t>Option</w:t>
      </w:r>
      <w:r>
        <w:rPr>
          <w:i/>
          <w:color w:val="231F20"/>
          <w:sz w:val="21"/>
        </w:rPr>
        <w:t> Pricing Model, </w:t>
      </w:r>
      <w:r>
        <w:rPr>
          <w:color w:val="231F20"/>
          <w:sz w:val="21"/>
        </w:rPr>
        <w:t>an option’s calculated value is determined by five </w:t>
      </w:r>
      <w:r>
        <w:rPr>
          <w:color w:val="231F20"/>
          <w:spacing w:val="-2"/>
          <w:sz w:val="21"/>
        </w:rPr>
        <w:t>factors:</w:t>
      </w:r>
    </w:p>
    <w:p>
      <w:pPr>
        <w:spacing w:after="0" w:line="292" w:lineRule="auto"/>
        <w:jc w:val="both"/>
        <w:rPr>
          <w:sz w:val="21"/>
        </w:rPr>
        <w:sectPr>
          <w:pgSz w:w="8640" w:h="12960"/>
          <w:pgMar w:header="734" w:footer="0" w:top="920" w:bottom="280" w:left="340" w:right="500"/>
        </w:sectPr>
      </w:pPr>
    </w:p>
    <w:p>
      <w:pPr>
        <w:pStyle w:val="BodyText"/>
        <w:spacing w:before="4"/>
        <w:rPr>
          <w:sz w:val="19"/>
        </w:rPr>
      </w:pPr>
    </w:p>
    <w:p>
      <w:pPr>
        <w:spacing w:line="328" w:lineRule="auto" w:before="97"/>
        <w:ind w:left="1510" w:right="771" w:hanging="340"/>
        <w:jc w:val="left"/>
        <w:rPr>
          <w:rFonts w:ascii="Arial" w:hAnsi="Arial"/>
          <w:sz w:val="19"/>
        </w:rPr>
      </w:pPr>
      <w:r>
        <w:rPr>
          <w:rFonts w:ascii="Arial" w:hAnsi="Arial"/>
          <w:i/>
          <w:color w:val="231F20"/>
          <w:w w:val="115"/>
          <w:sz w:val="19"/>
        </w:rPr>
        <w:t>Time until expiration</w:t>
      </w:r>
      <w:r>
        <w:rPr>
          <w:rFonts w:ascii="Arial" w:hAnsi="Arial"/>
          <w:color w:val="231F20"/>
          <w:w w:val="115"/>
          <w:sz w:val="19"/>
        </w:rPr>
        <w:t>—The longer the optioned time, the more</w:t>
      </w:r>
      <w:r>
        <w:rPr>
          <w:rFonts w:ascii="Arial" w:hAnsi="Arial"/>
          <w:color w:val="231F20"/>
          <w:spacing w:val="-16"/>
          <w:w w:val="115"/>
          <w:sz w:val="19"/>
        </w:rPr>
        <w:t> </w:t>
      </w:r>
      <w:r>
        <w:rPr>
          <w:rFonts w:ascii="Arial" w:hAnsi="Arial"/>
          <w:color w:val="231F20"/>
          <w:w w:val="115"/>
          <w:sz w:val="19"/>
        </w:rPr>
        <w:t>chance</w:t>
      </w:r>
      <w:r>
        <w:rPr>
          <w:rFonts w:ascii="Arial" w:hAnsi="Arial"/>
          <w:color w:val="231F20"/>
          <w:spacing w:val="-15"/>
          <w:w w:val="115"/>
          <w:sz w:val="19"/>
        </w:rPr>
        <w:t> </w:t>
      </w:r>
      <w:r>
        <w:rPr>
          <w:rFonts w:ascii="Arial" w:hAnsi="Arial"/>
          <w:color w:val="231F20"/>
          <w:w w:val="115"/>
          <w:sz w:val="19"/>
        </w:rPr>
        <w:t>of</w:t>
      </w:r>
      <w:r>
        <w:rPr>
          <w:rFonts w:ascii="Arial" w:hAnsi="Arial"/>
          <w:color w:val="231F20"/>
          <w:spacing w:val="-15"/>
          <w:w w:val="115"/>
          <w:sz w:val="19"/>
        </w:rPr>
        <w:t> </w:t>
      </w:r>
      <w:r>
        <w:rPr>
          <w:rFonts w:ascii="Arial" w:hAnsi="Arial"/>
          <w:color w:val="231F20"/>
          <w:w w:val="115"/>
          <w:sz w:val="19"/>
        </w:rPr>
        <w:t>a</w:t>
      </w:r>
      <w:r>
        <w:rPr>
          <w:rFonts w:ascii="Arial" w:hAnsi="Arial"/>
          <w:color w:val="231F20"/>
          <w:spacing w:val="-15"/>
          <w:w w:val="115"/>
          <w:sz w:val="19"/>
        </w:rPr>
        <w:t> </w:t>
      </w:r>
      <w:r>
        <w:rPr>
          <w:rFonts w:ascii="Arial" w:hAnsi="Arial"/>
          <w:color w:val="231F20"/>
          <w:w w:val="115"/>
          <w:sz w:val="19"/>
        </w:rPr>
        <w:t>desired</w:t>
      </w:r>
      <w:r>
        <w:rPr>
          <w:rFonts w:ascii="Arial" w:hAnsi="Arial"/>
          <w:color w:val="231F20"/>
          <w:spacing w:val="-15"/>
          <w:w w:val="115"/>
          <w:sz w:val="19"/>
        </w:rPr>
        <w:t> </w:t>
      </w:r>
      <w:r>
        <w:rPr>
          <w:rFonts w:ascii="Arial" w:hAnsi="Arial"/>
          <w:color w:val="231F20"/>
          <w:w w:val="115"/>
          <w:sz w:val="19"/>
        </w:rPr>
        <w:t>price</w:t>
      </w:r>
      <w:r>
        <w:rPr>
          <w:rFonts w:ascii="Arial" w:hAnsi="Arial"/>
          <w:color w:val="231F20"/>
          <w:spacing w:val="-16"/>
          <w:w w:val="115"/>
          <w:sz w:val="19"/>
        </w:rPr>
        <w:t> </w:t>
      </w:r>
      <w:r>
        <w:rPr>
          <w:rFonts w:ascii="Arial" w:hAnsi="Arial"/>
          <w:color w:val="231F20"/>
          <w:w w:val="115"/>
          <w:sz w:val="19"/>
        </w:rPr>
        <w:t>movement.</w:t>
      </w:r>
      <w:r>
        <w:rPr>
          <w:rFonts w:ascii="Arial" w:hAnsi="Arial"/>
          <w:color w:val="231F20"/>
          <w:spacing w:val="-15"/>
          <w:w w:val="115"/>
          <w:sz w:val="19"/>
        </w:rPr>
        <w:t> </w:t>
      </w:r>
      <w:r>
        <w:rPr>
          <w:rFonts w:ascii="Arial" w:hAnsi="Arial"/>
          <w:color w:val="231F20"/>
          <w:w w:val="115"/>
          <w:sz w:val="19"/>
        </w:rPr>
        <w:t>That’s</w:t>
      </w:r>
      <w:r>
        <w:rPr>
          <w:rFonts w:ascii="Arial" w:hAnsi="Arial"/>
          <w:color w:val="231F20"/>
          <w:spacing w:val="-15"/>
          <w:w w:val="115"/>
          <w:sz w:val="19"/>
        </w:rPr>
        <w:t> </w:t>
      </w:r>
      <w:r>
        <w:rPr>
          <w:rFonts w:ascii="Arial" w:hAnsi="Arial"/>
          <w:color w:val="231F20"/>
          <w:w w:val="115"/>
          <w:sz w:val="19"/>
        </w:rPr>
        <w:t>the</w:t>
      </w:r>
      <w:r>
        <w:rPr>
          <w:rFonts w:ascii="Arial" w:hAnsi="Arial"/>
          <w:color w:val="231F20"/>
          <w:spacing w:val="-15"/>
          <w:w w:val="115"/>
          <w:sz w:val="19"/>
        </w:rPr>
        <w:t> </w:t>
      </w:r>
      <w:r>
        <w:rPr>
          <w:rFonts w:ascii="Arial" w:hAnsi="Arial"/>
          <w:color w:val="231F20"/>
          <w:w w:val="115"/>
          <w:sz w:val="19"/>
        </w:rPr>
        <w:t>time </w:t>
      </w:r>
      <w:r>
        <w:rPr>
          <w:rFonts w:ascii="Arial" w:hAnsi="Arial"/>
          <w:color w:val="231F20"/>
          <w:spacing w:val="-2"/>
          <w:w w:val="115"/>
          <w:sz w:val="19"/>
        </w:rPr>
        <w:t>premium.</w:t>
      </w:r>
    </w:p>
    <w:p>
      <w:pPr>
        <w:spacing w:line="328" w:lineRule="auto" w:before="2"/>
        <w:ind w:left="1510" w:right="728" w:hanging="340"/>
        <w:jc w:val="left"/>
        <w:rPr>
          <w:rFonts w:ascii="Arial" w:hAnsi="Arial"/>
          <w:sz w:val="19"/>
        </w:rPr>
      </w:pPr>
      <w:r>
        <w:rPr>
          <w:rFonts w:ascii="Arial" w:hAnsi="Arial"/>
          <w:i/>
          <w:color w:val="231F20"/>
          <w:w w:val="115"/>
          <w:sz w:val="19"/>
        </w:rPr>
        <w:t>The</w:t>
      </w:r>
      <w:r>
        <w:rPr>
          <w:rFonts w:ascii="Arial" w:hAnsi="Arial"/>
          <w:i/>
          <w:color w:val="231F20"/>
          <w:spacing w:val="-9"/>
          <w:w w:val="115"/>
          <w:sz w:val="19"/>
        </w:rPr>
        <w:t> </w:t>
      </w:r>
      <w:r>
        <w:rPr>
          <w:rFonts w:ascii="Arial" w:hAnsi="Arial"/>
          <w:i/>
          <w:color w:val="231F20"/>
          <w:w w:val="115"/>
          <w:sz w:val="19"/>
        </w:rPr>
        <w:t>difference</w:t>
      </w:r>
      <w:r>
        <w:rPr>
          <w:rFonts w:ascii="Arial" w:hAnsi="Arial"/>
          <w:i/>
          <w:color w:val="231F20"/>
          <w:spacing w:val="-9"/>
          <w:w w:val="115"/>
          <w:sz w:val="19"/>
        </w:rPr>
        <w:t> </w:t>
      </w:r>
      <w:r>
        <w:rPr>
          <w:rFonts w:ascii="Arial" w:hAnsi="Arial"/>
          <w:i/>
          <w:color w:val="231F20"/>
          <w:w w:val="115"/>
          <w:sz w:val="19"/>
        </w:rPr>
        <w:t>between</w:t>
      </w:r>
      <w:r>
        <w:rPr>
          <w:rFonts w:ascii="Arial" w:hAnsi="Arial"/>
          <w:i/>
          <w:color w:val="231F20"/>
          <w:spacing w:val="-9"/>
          <w:w w:val="115"/>
          <w:sz w:val="19"/>
        </w:rPr>
        <w:t> </w:t>
      </w:r>
      <w:r>
        <w:rPr>
          <w:rFonts w:ascii="Arial" w:hAnsi="Arial"/>
          <w:i/>
          <w:color w:val="231F20"/>
          <w:w w:val="115"/>
          <w:sz w:val="19"/>
        </w:rPr>
        <w:t>the</w:t>
      </w:r>
      <w:r>
        <w:rPr>
          <w:rFonts w:ascii="Arial" w:hAnsi="Arial"/>
          <w:i/>
          <w:color w:val="231F20"/>
          <w:spacing w:val="-9"/>
          <w:w w:val="115"/>
          <w:sz w:val="19"/>
        </w:rPr>
        <w:t> </w:t>
      </w:r>
      <w:r>
        <w:rPr>
          <w:rFonts w:ascii="Arial" w:hAnsi="Arial"/>
          <w:i/>
          <w:color w:val="231F20"/>
          <w:w w:val="115"/>
          <w:sz w:val="19"/>
        </w:rPr>
        <w:t>current</w:t>
      </w:r>
      <w:r>
        <w:rPr>
          <w:rFonts w:ascii="Arial" w:hAnsi="Arial"/>
          <w:i/>
          <w:color w:val="231F20"/>
          <w:spacing w:val="-9"/>
          <w:w w:val="115"/>
          <w:sz w:val="19"/>
        </w:rPr>
        <w:t> </w:t>
      </w:r>
      <w:r>
        <w:rPr>
          <w:rFonts w:ascii="Arial" w:hAnsi="Arial"/>
          <w:i/>
          <w:color w:val="231F20"/>
          <w:w w:val="115"/>
          <w:sz w:val="19"/>
        </w:rPr>
        <w:t>stock</w:t>
      </w:r>
      <w:r>
        <w:rPr>
          <w:rFonts w:ascii="Arial" w:hAnsi="Arial"/>
          <w:i/>
          <w:color w:val="231F20"/>
          <w:spacing w:val="-9"/>
          <w:w w:val="115"/>
          <w:sz w:val="19"/>
        </w:rPr>
        <w:t> </w:t>
      </w:r>
      <w:r>
        <w:rPr>
          <w:rFonts w:ascii="Arial" w:hAnsi="Arial"/>
          <w:i/>
          <w:color w:val="231F20"/>
          <w:w w:val="115"/>
          <w:sz w:val="19"/>
        </w:rPr>
        <w:t>price</w:t>
      </w:r>
      <w:r>
        <w:rPr>
          <w:rFonts w:ascii="Arial" w:hAnsi="Arial"/>
          <w:i/>
          <w:color w:val="231F20"/>
          <w:spacing w:val="-9"/>
          <w:w w:val="115"/>
          <w:sz w:val="19"/>
        </w:rPr>
        <w:t> </w:t>
      </w:r>
      <w:r>
        <w:rPr>
          <w:rFonts w:ascii="Arial" w:hAnsi="Arial"/>
          <w:i/>
          <w:color w:val="231F20"/>
          <w:w w:val="115"/>
          <w:sz w:val="19"/>
        </w:rPr>
        <w:t>and</w:t>
      </w:r>
      <w:r>
        <w:rPr>
          <w:rFonts w:ascii="Arial" w:hAnsi="Arial"/>
          <w:i/>
          <w:color w:val="231F20"/>
          <w:spacing w:val="-9"/>
          <w:w w:val="115"/>
          <w:sz w:val="19"/>
        </w:rPr>
        <w:t> </w:t>
      </w:r>
      <w:r>
        <w:rPr>
          <w:rFonts w:ascii="Arial" w:hAnsi="Arial"/>
          <w:i/>
          <w:color w:val="231F20"/>
          <w:w w:val="115"/>
          <w:sz w:val="19"/>
        </w:rPr>
        <w:t>the</w:t>
      </w:r>
      <w:r>
        <w:rPr>
          <w:rFonts w:ascii="Arial" w:hAnsi="Arial"/>
          <w:i/>
          <w:color w:val="231F20"/>
          <w:spacing w:val="-9"/>
          <w:w w:val="115"/>
          <w:sz w:val="19"/>
        </w:rPr>
        <w:t> </w:t>
      </w:r>
      <w:r>
        <w:rPr>
          <w:rFonts w:ascii="Arial" w:hAnsi="Arial"/>
          <w:i/>
          <w:color w:val="231F20"/>
          <w:w w:val="115"/>
          <w:sz w:val="19"/>
        </w:rPr>
        <w:t>strike</w:t>
      </w:r>
      <w:r>
        <w:rPr>
          <w:rFonts w:ascii="Arial" w:hAnsi="Arial"/>
          <w:i/>
          <w:color w:val="231F20"/>
          <w:w w:val="115"/>
          <w:sz w:val="19"/>
        </w:rPr>
        <w:t> price</w:t>
      </w:r>
      <w:r>
        <w:rPr>
          <w:rFonts w:ascii="Arial" w:hAnsi="Arial"/>
          <w:i/>
          <w:color w:val="231F20"/>
          <w:spacing w:val="-40"/>
          <w:w w:val="115"/>
          <w:sz w:val="19"/>
        </w:rPr>
        <w:t> </w:t>
      </w:r>
      <w:r>
        <w:rPr>
          <w:rFonts w:ascii="Arial" w:hAnsi="Arial"/>
          <w:color w:val="231F20"/>
          <w:w w:val="115"/>
          <w:sz w:val="19"/>
        </w:rPr>
        <w:t>—The closer the strike price is to the current price the</w:t>
      </w:r>
      <w:r>
        <w:rPr>
          <w:rFonts w:ascii="Arial" w:hAnsi="Arial"/>
          <w:color w:val="231F20"/>
          <w:spacing w:val="-3"/>
          <w:w w:val="115"/>
          <w:sz w:val="19"/>
        </w:rPr>
        <w:t> </w:t>
      </w:r>
      <w:r>
        <w:rPr>
          <w:rFonts w:ascii="Arial" w:hAnsi="Arial"/>
          <w:color w:val="231F20"/>
          <w:w w:val="115"/>
          <w:sz w:val="19"/>
        </w:rPr>
        <w:t>more</w:t>
      </w:r>
      <w:r>
        <w:rPr>
          <w:rFonts w:ascii="Arial" w:hAnsi="Arial"/>
          <w:color w:val="231F20"/>
          <w:spacing w:val="-3"/>
          <w:w w:val="115"/>
          <w:sz w:val="19"/>
        </w:rPr>
        <w:t> </w:t>
      </w:r>
      <w:r>
        <w:rPr>
          <w:rFonts w:ascii="Arial" w:hAnsi="Arial"/>
          <w:color w:val="231F20"/>
          <w:w w:val="115"/>
          <w:sz w:val="19"/>
        </w:rPr>
        <w:t>probable</w:t>
      </w:r>
      <w:r>
        <w:rPr>
          <w:rFonts w:ascii="Arial" w:hAnsi="Arial"/>
          <w:color w:val="231F20"/>
          <w:spacing w:val="-3"/>
          <w:w w:val="115"/>
          <w:sz w:val="19"/>
        </w:rPr>
        <w:t> </w:t>
      </w:r>
      <w:r>
        <w:rPr>
          <w:rFonts w:ascii="Arial" w:hAnsi="Arial"/>
          <w:color w:val="231F20"/>
          <w:w w:val="115"/>
          <w:sz w:val="19"/>
        </w:rPr>
        <w:t>it</w:t>
      </w:r>
      <w:r>
        <w:rPr>
          <w:rFonts w:ascii="Arial" w:hAnsi="Arial"/>
          <w:color w:val="231F20"/>
          <w:spacing w:val="-3"/>
          <w:w w:val="115"/>
          <w:sz w:val="19"/>
        </w:rPr>
        <w:t> </w:t>
      </w:r>
      <w:r>
        <w:rPr>
          <w:rFonts w:ascii="Arial" w:hAnsi="Arial"/>
          <w:color w:val="231F20"/>
          <w:w w:val="115"/>
          <w:sz w:val="19"/>
        </w:rPr>
        <w:t>is</w:t>
      </w:r>
      <w:r>
        <w:rPr>
          <w:rFonts w:ascii="Arial" w:hAnsi="Arial"/>
          <w:color w:val="231F20"/>
          <w:spacing w:val="-3"/>
          <w:w w:val="115"/>
          <w:sz w:val="19"/>
        </w:rPr>
        <w:t> </w:t>
      </w:r>
      <w:r>
        <w:rPr>
          <w:rFonts w:ascii="Arial" w:hAnsi="Arial"/>
          <w:color w:val="231F20"/>
          <w:w w:val="115"/>
          <w:sz w:val="19"/>
        </w:rPr>
        <w:t>that</w:t>
      </w:r>
      <w:r>
        <w:rPr>
          <w:rFonts w:ascii="Arial" w:hAnsi="Arial"/>
          <w:color w:val="231F20"/>
          <w:spacing w:val="-3"/>
          <w:w w:val="115"/>
          <w:sz w:val="19"/>
        </w:rPr>
        <w:t> </w:t>
      </w:r>
      <w:r>
        <w:rPr>
          <w:rFonts w:ascii="Arial" w:hAnsi="Arial"/>
          <w:color w:val="231F20"/>
          <w:w w:val="115"/>
          <w:sz w:val="19"/>
        </w:rPr>
        <w:t>current</w:t>
      </w:r>
      <w:r>
        <w:rPr>
          <w:rFonts w:ascii="Arial" w:hAnsi="Arial"/>
          <w:color w:val="231F20"/>
          <w:spacing w:val="-3"/>
          <w:w w:val="115"/>
          <w:sz w:val="19"/>
        </w:rPr>
        <w:t> </w:t>
      </w:r>
      <w:r>
        <w:rPr>
          <w:rFonts w:ascii="Arial" w:hAnsi="Arial"/>
          <w:color w:val="231F20"/>
          <w:w w:val="115"/>
          <w:sz w:val="19"/>
        </w:rPr>
        <w:t>price</w:t>
      </w:r>
      <w:r>
        <w:rPr>
          <w:rFonts w:ascii="Arial" w:hAnsi="Arial"/>
          <w:color w:val="231F20"/>
          <w:spacing w:val="-3"/>
          <w:w w:val="115"/>
          <w:sz w:val="19"/>
        </w:rPr>
        <w:t> </w:t>
      </w:r>
      <w:r>
        <w:rPr>
          <w:rFonts w:ascii="Arial" w:hAnsi="Arial"/>
          <w:color w:val="231F20"/>
          <w:w w:val="115"/>
          <w:sz w:val="19"/>
        </w:rPr>
        <w:t>movements</w:t>
      </w:r>
      <w:r>
        <w:rPr>
          <w:rFonts w:ascii="Arial" w:hAnsi="Arial"/>
          <w:color w:val="231F20"/>
          <w:spacing w:val="-3"/>
          <w:w w:val="115"/>
          <w:sz w:val="19"/>
        </w:rPr>
        <w:t> </w:t>
      </w:r>
      <w:r>
        <w:rPr>
          <w:rFonts w:ascii="Arial" w:hAnsi="Arial"/>
          <w:color w:val="231F20"/>
          <w:w w:val="115"/>
          <w:sz w:val="19"/>
        </w:rPr>
        <w:t>can meet or exceed it by the expiration date.</w:t>
      </w:r>
    </w:p>
    <w:p>
      <w:pPr>
        <w:spacing w:line="328" w:lineRule="auto" w:before="3"/>
        <w:ind w:left="1509" w:right="667" w:hanging="340"/>
        <w:jc w:val="left"/>
        <w:rPr>
          <w:rFonts w:ascii="Arial" w:hAnsi="Arial"/>
          <w:sz w:val="19"/>
        </w:rPr>
      </w:pPr>
      <w:r>
        <w:rPr>
          <w:rFonts w:ascii="Arial" w:hAnsi="Arial"/>
          <w:i/>
          <w:color w:val="231F20"/>
          <w:w w:val="115"/>
          <w:sz w:val="19"/>
        </w:rPr>
        <w:t>The</w:t>
      </w:r>
      <w:r>
        <w:rPr>
          <w:rFonts w:ascii="Arial" w:hAnsi="Arial"/>
          <w:i/>
          <w:color w:val="231F20"/>
          <w:spacing w:val="-16"/>
          <w:w w:val="115"/>
          <w:sz w:val="19"/>
        </w:rPr>
        <w:t> </w:t>
      </w:r>
      <w:r>
        <w:rPr>
          <w:rFonts w:ascii="Arial" w:hAnsi="Arial"/>
          <w:i/>
          <w:color w:val="231F20"/>
          <w:w w:val="115"/>
          <w:sz w:val="19"/>
        </w:rPr>
        <w:t>price</w:t>
      </w:r>
      <w:r>
        <w:rPr>
          <w:rFonts w:ascii="Arial" w:hAnsi="Arial"/>
          <w:i/>
          <w:color w:val="231F20"/>
          <w:spacing w:val="-13"/>
          <w:w w:val="115"/>
          <w:sz w:val="19"/>
        </w:rPr>
        <w:t> </w:t>
      </w:r>
      <w:r>
        <w:rPr>
          <w:rFonts w:ascii="Arial" w:hAnsi="Arial"/>
          <w:i/>
          <w:color w:val="231F20"/>
          <w:w w:val="115"/>
          <w:sz w:val="19"/>
        </w:rPr>
        <w:t>volatility</w:t>
      </w:r>
      <w:r>
        <w:rPr>
          <w:rFonts w:ascii="Arial" w:hAnsi="Arial"/>
          <w:i/>
          <w:color w:val="231F20"/>
          <w:spacing w:val="-13"/>
          <w:w w:val="115"/>
          <w:sz w:val="19"/>
        </w:rPr>
        <w:t> </w:t>
      </w:r>
      <w:r>
        <w:rPr>
          <w:rFonts w:ascii="Arial" w:hAnsi="Arial"/>
          <w:i/>
          <w:color w:val="231F20"/>
          <w:w w:val="115"/>
          <w:sz w:val="19"/>
        </w:rPr>
        <w:t>of</w:t>
      </w:r>
      <w:r>
        <w:rPr>
          <w:rFonts w:ascii="Arial" w:hAnsi="Arial"/>
          <w:i/>
          <w:color w:val="231F20"/>
          <w:spacing w:val="-13"/>
          <w:w w:val="115"/>
          <w:sz w:val="19"/>
        </w:rPr>
        <w:t> </w:t>
      </w:r>
      <w:r>
        <w:rPr>
          <w:rFonts w:ascii="Arial" w:hAnsi="Arial"/>
          <w:i/>
          <w:color w:val="231F20"/>
          <w:w w:val="115"/>
          <w:sz w:val="19"/>
        </w:rPr>
        <w:t>the</w:t>
      </w:r>
      <w:r>
        <w:rPr>
          <w:rFonts w:ascii="Arial" w:hAnsi="Arial"/>
          <w:i/>
          <w:color w:val="231F20"/>
          <w:spacing w:val="-13"/>
          <w:w w:val="115"/>
          <w:sz w:val="19"/>
        </w:rPr>
        <w:t> </w:t>
      </w:r>
      <w:r>
        <w:rPr>
          <w:rFonts w:ascii="Arial" w:hAnsi="Arial"/>
          <w:i/>
          <w:color w:val="231F20"/>
          <w:w w:val="115"/>
          <w:sz w:val="19"/>
        </w:rPr>
        <w:t>stock</w:t>
      </w:r>
      <w:r>
        <w:rPr>
          <w:rFonts w:ascii="Arial" w:hAnsi="Arial"/>
          <w:i/>
          <w:color w:val="231F20"/>
          <w:spacing w:val="-41"/>
          <w:w w:val="115"/>
          <w:sz w:val="19"/>
        </w:rPr>
        <w:t> </w:t>
      </w:r>
      <w:r>
        <w:rPr>
          <w:rFonts w:ascii="Arial" w:hAnsi="Arial"/>
          <w:color w:val="231F20"/>
          <w:w w:val="115"/>
          <w:sz w:val="19"/>
        </w:rPr>
        <w:t>—The</w:t>
      </w:r>
      <w:r>
        <w:rPr>
          <w:rFonts w:ascii="Arial" w:hAnsi="Arial"/>
          <w:color w:val="231F20"/>
          <w:spacing w:val="-13"/>
          <w:w w:val="115"/>
          <w:sz w:val="19"/>
        </w:rPr>
        <w:t> </w:t>
      </w:r>
      <w:r>
        <w:rPr>
          <w:rFonts w:ascii="Arial" w:hAnsi="Arial"/>
          <w:color w:val="231F20"/>
          <w:w w:val="115"/>
          <w:sz w:val="19"/>
        </w:rPr>
        <w:t>more</w:t>
      </w:r>
      <w:r>
        <w:rPr>
          <w:rFonts w:ascii="Arial" w:hAnsi="Arial"/>
          <w:color w:val="231F20"/>
          <w:spacing w:val="-13"/>
          <w:w w:val="115"/>
          <w:sz w:val="19"/>
        </w:rPr>
        <w:t> </w:t>
      </w:r>
      <w:r>
        <w:rPr>
          <w:rFonts w:ascii="Arial" w:hAnsi="Arial"/>
          <w:color w:val="231F20"/>
          <w:w w:val="115"/>
          <w:sz w:val="19"/>
        </w:rPr>
        <w:t>volatile</w:t>
      </w:r>
      <w:r>
        <w:rPr>
          <w:rFonts w:ascii="Arial" w:hAnsi="Arial"/>
          <w:color w:val="231F20"/>
          <w:spacing w:val="-13"/>
          <w:w w:val="115"/>
          <w:sz w:val="19"/>
        </w:rPr>
        <w:t> </w:t>
      </w:r>
      <w:r>
        <w:rPr>
          <w:rFonts w:ascii="Arial" w:hAnsi="Arial"/>
          <w:color w:val="231F20"/>
          <w:w w:val="115"/>
          <w:sz w:val="19"/>
        </w:rPr>
        <w:t>the</w:t>
      </w:r>
      <w:r>
        <w:rPr>
          <w:rFonts w:ascii="Arial" w:hAnsi="Arial"/>
          <w:color w:val="231F20"/>
          <w:spacing w:val="-13"/>
          <w:w w:val="115"/>
          <w:sz w:val="19"/>
        </w:rPr>
        <w:t> </w:t>
      </w:r>
      <w:r>
        <w:rPr>
          <w:rFonts w:ascii="Arial" w:hAnsi="Arial"/>
          <w:color w:val="231F20"/>
          <w:w w:val="115"/>
          <w:sz w:val="19"/>
        </w:rPr>
        <w:t>price movement of a stock, the more likely that a price movement could jump near the strike price.</w:t>
      </w:r>
    </w:p>
    <w:p>
      <w:pPr>
        <w:spacing w:line="328" w:lineRule="auto" w:before="2"/>
        <w:ind w:left="1509" w:right="728" w:hanging="340"/>
        <w:jc w:val="left"/>
        <w:rPr>
          <w:rFonts w:ascii="Arial" w:hAnsi="Arial"/>
          <w:sz w:val="19"/>
        </w:rPr>
      </w:pPr>
      <w:r>
        <w:rPr>
          <w:rFonts w:ascii="Arial" w:hAnsi="Arial"/>
          <w:i/>
          <w:color w:val="231F20"/>
          <w:w w:val="115"/>
          <w:sz w:val="19"/>
        </w:rPr>
        <w:t>The market rate of interest on short-term government</w:t>
      </w:r>
      <w:r>
        <w:rPr>
          <w:rFonts w:ascii="Arial" w:hAnsi="Arial"/>
          <w:i/>
          <w:color w:val="231F20"/>
          <w:w w:val="115"/>
          <w:sz w:val="19"/>
        </w:rPr>
        <w:t> securities</w:t>
      </w:r>
      <w:r>
        <w:rPr>
          <w:rFonts w:ascii="Arial" w:hAnsi="Arial"/>
          <w:color w:val="231F20"/>
          <w:w w:val="115"/>
          <w:sz w:val="19"/>
        </w:rPr>
        <w:t>—</w:t>
      </w:r>
      <w:r>
        <w:rPr>
          <w:rFonts w:ascii="Arial" w:hAnsi="Arial"/>
          <w:color w:val="231F20"/>
          <w:spacing w:val="-42"/>
          <w:w w:val="115"/>
          <w:sz w:val="19"/>
        </w:rPr>
        <w:t> </w:t>
      </w:r>
      <w:r>
        <w:rPr>
          <w:rFonts w:ascii="Arial" w:hAnsi="Arial"/>
          <w:color w:val="231F20"/>
          <w:w w:val="115"/>
          <w:sz w:val="19"/>
        </w:rPr>
        <w:t>If</w:t>
      </w:r>
      <w:r>
        <w:rPr>
          <w:rFonts w:ascii="Arial" w:hAnsi="Arial"/>
          <w:color w:val="231F20"/>
          <w:spacing w:val="-16"/>
          <w:w w:val="115"/>
          <w:sz w:val="19"/>
        </w:rPr>
        <w:t> </w:t>
      </w:r>
      <w:r>
        <w:rPr>
          <w:rFonts w:ascii="Arial" w:hAnsi="Arial"/>
          <w:color w:val="231F20"/>
          <w:w w:val="115"/>
          <w:sz w:val="19"/>
        </w:rPr>
        <w:t>the</w:t>
      </w:r>
      <w:r>
        <w:rPr>
          <w:rFonts w:ascii="Arial" w:hAnsi="Arial"/>
          <w:color w:val="231F20"/>
          <w:spacing w:val="-15"/>
          <w:w w:val="115"/>
          <w:sz w:val="19"/>
        </w:rPr>
        <w:t> </w:t>
      </w:r>
      <w:r>
        <w:rPr>
          <w:rFonts w:ascii="Arial" w:hAnsi="Arial"/>
          <w:color w:val="231F20"/>
          <w:w w:val="115"/>
          <w:sz w:val="19"/>
        </w:rPr>
        <w:t>cost</w:t>
      </w:r>
      <w:r>
        <w:rPr>
          <w:rFonts w:ascii="Arial" w:hAnsi="Arial"/>
          <w:color w:val="231F20"/>
          <w:spacing w:val="-15"/>
          <w:w w:val="115"/>
          <w:sz w:val="19"/>
        </w:rPr>
        <w:t> </w:t>
      </w:r>
      <w:r>
        <w:rPr>
          <w:rFonts w:ascii="Arial" w:hAnsi="Arial"/>
          <w:color w:val="231F20"/>
          <w:w w:val="115"/>
          <w:sz w:val="19"/>
        </w:rPr>
        <w:t>of</w:t>
      </w:r>
      <w:r>
        <w:rPr>
          <w:rFonts w:ascii="Arial" w:hAnsi="Arial"/>
          <w:color w:val="231F20"/>
          <w:spacing w:val="-15"/>
          <w:w w:val="115"/>
          <w:sz w:val="19"/>
        </w:rPr>
        <w:t> </w:t>
      </w:r>
      <w:r>
        <w:rPr>
          <w:rFonts w:ascii="Arial" w:hAnsi="Arial"/>
          <w:color w:val="231F20"/>
          <w:w w:val="115"/>
          <w:sz w:val="19"/>
        </w:rPr>
        <w:t>financing</w:t>
      </w:r>
      <w:r>
        <w:rPr>
          <w:rFonts w:ascii="Arial" w:hAnsi="Arial"/>
          <w:color w:val="231F20"/>
          <w:spacing w:val="-15"/>
          <w:w w:val="115"/>
          <w:sz w:val="19"/>
        </w:rPr>
        <w:t> </w:t>
      </w:r>
      <w:r>
        <w:rPr>
          <w:rFonts w:ascii="Arial" w:hAnsi="Arial"/>
          <w:color w:val="231F20"/>
          <w:w w:val="115"/>
          <w:sz w:val="19"/>
        </w:rPr>
        <w:t>the</w:t>
      </w:r>
      <w:r>
        <w:rPr>
          <w:rFonts w:ascii="Arial" w:hAnsi="Arial"/>
          <w:color w:val="231F20"/>
          <w:spacing w:val="-15"/>
          <w:w w:val="115"/>
          <w:sz w:val="19"/>
        </w:rPr>
        <w:t> </w:t>
      </w:r>
      <w:r>
        <w:rPr>
          <w:rFonts w:ascii="Arial" w:hAnsi="Arial"/>
          <w:color w:val="231F20"/>
          <w:w w:val="115"/>
          <w:sz w:val="19"/>
        </w:rPr>
        <w:t>transaction</w:t>
      </w:r>
      <w:r>
        <w:rPr>
          <w:rFonts w:ascii="Arial" w:hAnsi="Arial"/>
          <w:color w:val="231F20"/>
          <w:spacing w:val="-16"/>
          <w:w w:val="115"/>
          <w:sz w:val="19"/>
        </w:rPr>
        <w:t> </w:t>
      </w:r>
      <w:r>
        <w:rPr>
          <w:rFonts w:ascii="Arial" w:hAnsi="Arial"/>
          <w:color w:val="231F20"/>
          <w:w w:val="115"/>
          <w:sz w:val="19"/>
        </w:rPr>
        <w:t>is</w:t>
      </w:r>
      <w:r>
        <w:rPr>
          <w:rFonts w:ascii="Arial" w:hAnsi="Arial"/>
          <w:color w:val="231F20"/>
          <w:spacing w:val="-15"/>
          <w:w w:val="115"/>
          <w:sz w:val="19"/>
        </w:rPr>
        <w:t> </w:t>
      </w:r>
      <w:r>
        <w:rPr>
          <w:rFonts w:ascii="Arial" w:hAnsi="Arial"/>
          <w:color w:val="231F20"/>
          <w:w w:val="115"/>
          <w:sz w:val="19"/>
        </w:rPr>
        <w:t>high, then the option price has to be higher to cover the handling costs of the transaction.</w:t>
      </w:r>
    </w:p>
    <w:p>
      <w:pPr>
        <w:spacing w:line="328" w:lineRule="auto" w:before="3"/>
        <w:ind w:left="1509" w:right="1138" w:hanging="340"/>
        <w:jc w:val="both"/>
        <w:rPr>
          <w:rFonts w:ascii="Arial" w:hAnsi="Arial"/>
          <w:sz w:val="19"/>
        </w:rPr>
      </w:pPr>
      <w:r>
        <w:rPr>
          <w:rFonts w:ascii="Arial" w:hAnsi="Arial"/>
          <w:i/>
          <w:color w:val="231F20"/>
          <w:w w:val="115"/>
          <w:sz w:val="19"/>
        </w:rPr>
        <w:t>Dividend</w:t>
      </w:r>
      <w:r>
        <w:rPr>
          <w:rFonts w:ascii="Arial" w:hAnsi="Arial"/>
          <w:i/>
          <w:color w:val="231F20"/>
          <w:spacing w:val="-16"/>
          <w:w w:val="115"/>
          <w:sz w:val="19"/>
        </w:rPr>
        <w:t> </w:t>
      </w:r>
      <w:r>
        <w:rPr>
          <w:rFonts w:ascii="Arial" w:hAnsi="Arial"/>
          <w:i/>
          <w:color w:val="231F20"/>
          <w:w w:val="115"/>
          <w:sz w:val="19"/>
        </w:rPr>
        <w:t>payments on the stock</w:t>
      </w:r>
      <w:r>
        <w:rPr>
          <w:rFonts w:ascii="Arial" w:hAnsi="Arial"/>
          <w:color w:val="231F20"/>
          <w:w w:val="115"/>
          <w:sz w:val="19"/>
        </w:rPr>
        <w:t>—</w:t>
      </w:r>
      <w:r>
        <w:rPr>
          <w:rFonts w:ascii="Arial" w:hAnsi="Arial"/>
          <w:color w:val="231F20"/>
          <w:spacing w:val="-16"/>
          <w:w w:val="115"/>
          <w:sz w:val="19"/>
        </w:rPr>
        <w:t> </w:t>
      </w:r>
      <w:r>
        <w:rPr>
          <w:rFonts w:ascii="Arial" w:hAnsi="Arial"/>
          <w:color w:val="231F20"/>
          <w:w w:val="115"/>
          <w:sz w:val="19"/>
        </w:rPr>
        <w:t>Option owners do not collect the dividends on the underlying stock, but the stock</w:t>
      </w:r>
      <w:r>
        <w:rPr>
          <w:rFonts w:ascii="Arial" w:hAnsi="Arial"/>
          <w:color w:val="231F20"/>
          <w:spacing w:val="-10"/>
          <w:w w:val="115"/>
          <w:sz w:val="19"/>
        </w:rPr>
        <w:t> </w:t>
      </w:r>
      <w:r>
        <w:rPr>
          <w:rFonts w:ascii="Arial" w:hAnsi="Arial"/>
          <w:color w:val="231F20"/>
          <w:w w:val="115"/>
          <w:sz w:val="19"/>
        </w:rPr>
        <w:t>price</w:t>
      </w:r>
      <w:r>
        <w:rPr>
          <w:rFonts w:ascii="Arial" w:hAnsi="Arial"/>
          <w:color w:val="231F20"/>
          <w:spacing w:val="-9"/>
          <w:w w:val="115"/>
          <w:sz w:val="19"/>
        </w:rPr>
        <w:t> </w:t>
      </w:r>
      <w:r>
        <w:rPr>
          <w:rFonts w:ascii="Arial" w:hAnsi="Arial"/>
          <w:color w:val="231F20"/>
          <w:w w:val="115"/>
          <w:sz w:val="19"/>
        </w:rPr>
        <w:t>that</w:t>
      </w:r>
      <w:r>
        <w:rPr>
          <w:rFonts w:ascii="Arial" w:hAnsi="Arial"/>
          <w:color w:val="231F20"/>
          <w:spacing w:val="-9"/>
          <w:w w:val="115"/>
          <w:sz w:val="19"/>
        </w:rPr>
        <w:t> </w:t>
      </w:r>
      <w:r>
        <w:rPr>
          <w:rFonts w:ascii="Arial" w:hAnsi="Arial"/>
          <w:color w:val="231F20"/>
          <w:w w:val="115"/>
          <w:sz w:val="19"/>
        </w:rPr>
        <w:t>influences</w:t>
      </w:r>
      <w:r>
        <w:rPr>
          <w:rFonts w:ascii="Arial" w:hAnsi="Arial"/>
          <w:color w:val="231F20"/>
          <w:spacing w:val="-9"/>
          <w:w w:val="115"/>
          <w:sz w:val="19"/>
        </w:rPr>
        <w:t> </w:t>
      </w:r>
      <w:r>
        <w:rPr>
          <w:rFonts w:ascii="Arial" w:hAnsi="Arial"/>
          <w:color w:val="231F20"/>
          <w:w w:val="115"/>
          <w:sz w:val="19"/>
        </w:rPr>
        <w:t>the</w:t>
      </w:r>
      <w:r>
        <w:rPr>
          <w:rFonts w:ascii="Arial" w:hAnsi="Arial"/>
          <w:color w:val="231F20"/>
          <w:spacing w:val="-9"/>
          <w:w w:val="115"/>
          <w:sz w:val="19"/>
        </w:rPr>
        <w:t> </w:t>
      </w:r>
      <w:r>
        <w:rPr>
          <w:rFonts w:ascii="Arial" w:hAnsi="Arial"/>
          <w:color w:val="231F20"/>
          <w:w w:val="115"/>
          <w:sz w:val="19"/>
        </w:rPr>
        <w:t>option</w:t>
      </w:r>
      <w:r>
        <w:rPr>
          <w:rFonts w:ascii="Arial" w:hAnsi="Arial"/>
          <w:color w:val="231F20"/>
          <w:spacing w:val="-9"/>
          <w:w w:val="115"/>
          <w:sz w:val="19"/>
        </w:rPr>
        <w:t> </w:t>
      </w:r>
      <w:r>
        <w:rPr>
          <w:rFonts w:ascii="Arial" w:hAnsi="Arial"/>
          <w:color w:val="231F20"/>
          <w:w w:val="115"/>
          <w:sz w:val="19"/>
        </w:rPr>
        <w:t>price</w:t>
      </w:r>
      <w:r>
        <w:rPr>
          <w:rFonts w:ascii="Arial" w:hAnsi="Arial"/>
          <w:color w:val="231F20"/>
          <w:spacing w:val="-9"/>
          <w:w w:val="115"/>
          <w:sz w:val="19"/>
        </w:rPr>
        <w:t> </w:t>
      </w:r>
      <w:r>
        <w:rPr>
          <w:rFonts w:ascii="Arial" w:hAnsi="Arial"/>
          <w:color w:val="231F20"/>
          <w:w w:val="115"/>
          <w:sz w:val="19"/>
        </w:rPr>
        <w:t>is</w:t>
      </w:r>
      <w:r>
        <w:rPr>
          <w:rFonts w:ascii="Arial" w:hAnsi="Arial"/>
          <w:color w:val="231F20"/>
          <w:spacing w:val="-9"/>
          <w:w w:val="115"/>
          <w:sz w:val="19"/>
        </w:rPr>
        <w:t> </w:t>
      </w:r>
      <w:r>
        <w:rPr>
          <w:rFonts w:ascii="Arial" w:hAnsi="Arial"/>
          <w:color w:val="231F20"/>
          <w:spacing w:val="-2"/>
          <w:w w:val="115"/>
          <w:sz w:val="19"/>
        </w:rPr>
        <w:t>affected.</w:t>
      </w:r>
    </w:p>
    <w:p>
      <w:pPr>
        <w:pStyle w:val="BodyText"/>
        <w:spacing w:before="4"/>
        <w:rPr>
          <w:rFonts w:ascii="Arial"/>
          <w:sz w:val="24"/>
        </w:rPr>
      </w:pPr>
    </w:p>
    <w:p>
      <w:pPr>
        <w:pStyle w:val="BodyText"/>
        <w:spacing w:line="292" w:lineRule="auto"/>
        <w:ind w:left="830" w:right="754" w:firstLine="340"/>
        <w:jc w:val="both"/>
      </w:pPr>
      <w:r>
        <w:rPr>
          <w:color w:val="231F20"/>
        </w:rPr>
        <w:t>One can calculate the approximate prices of calls and puts by placing these five inputs into a simple computer spreadsheet. Be- cause everybody uses some form of the Black-Scholes model, the prices produced by these models are close to the market price. </w:t>
      </w:r>
      <w:r>
        <w:rPr>
          <w:color w:val="231F20"/>
        </w:rPr>
        <w:t>That</w:t>
      </w:r>
      <w:r>
        <w:rPr>
          <w:color w:val="231F20"/>
          <w:spacing w:val="40"/>
        </w:rPr>
        <w:t> </w:t>
      </w:r>
      <w:r>
        <w:rPr>
          <w:color w:val="231F20"/>
        </w:rPr>
        <w:t>is in sharp contrast to common stock valuations, in which invest- ment analysts use thousands of methods to determine their own “correct” value.</w:t>
      </w:r>
    </w:p>
    <w:p>
      <w:pPr>
        <w:pStyle w:val="BodyText"/>
        <w:rPr>
          <w:sz w:val="24"/>
        </w:rPr>
      </w:pPr>
    </w:p>
    <w:p>
      <w:pPr>
        <w:pStyle w:val="BodyText"/>
        <w:spacing w:before="9"/>
        <w:rPr>
          <w:sz w:val="25"/>
        </w:rPr>
      </w:pPr>
    </w:p>
    <w:p>
      <w:pPr>
        <w:spacing w:before="0"/>
        <w:ind w:left="293" w:right="219" w:firstLine="0"/>
        <w:jc w:val="center"/>
        <w:rPr>
          <w:rFonts w:ascii="Arial"/>
          <w:sz w:val="14"/>
        </w:rPr>
      </w:pPr>
      <w:r>
        <w:rPr>
          <w:rFonts w:ascii="Arial"/>
          <w:color w:val="231F20"/>
          <w:w w:val="105"/>
          <w:sz w:val="14"/>
        </w:rPr>
        <w:t>THE</w:t>
      </w:r>
      <w:r>
        <w:rPr>
          <w:rFonts w:ascii="Arial"/>
          <w:color w:val="231F20"/>
          <w:spacing w:val="21"/>
          <w:w w:val="105"/>
          <w:sz w:val="14"/>
        </w:rPr>
        <w:t> </w:t>
      </w:r>
      <w:r>
        <w:rPr>
          <w:rFonts w:ascii="Arial"/>
          <w:color w:val="231F20"/>
          <w:w w:val="105"/>
          <w:sz w:val="14"/>
        </w:rPr>
        <w:t>WAY</w:t>
      </w:r>
      <w:r>
        <w:rPr>
          <w:rFonts w:ascii="Arial"/>
          <w:color w:val="231F20"/>
          <w:spacing w:val="21"/>
          <w:w w:val="105"/>
          <w:sz w:val="14"/>
        </w:rPr>
        <w:t> </w:t>
      </w:r>
      <w:r>
        <w:rPr>
          <w:rFonts w:ascii="Arial"/>
          <w:color w:val="231F20"/>
          <w:w w:val="105"/>
          <w:sz w:val="14"/>
        </w:rPr>
        <w:t>OPTION</w:t>
      </w:r>
      <w:r>
        <w:rPr>
          <w:rFonts w:ascii="Arial"/>
          <w:color w:val="231F20"/>
          <w:spacing w:val="21"/>
          <w:w w:val="105"/>
          <w:sz w:val="14"/>
        </w:rPr>
        <w:t> </w:t>
      </w:r>
      <w:r>
        <w:rPr>
          <w:rFonts w:ascii="Arial"/>
          <w:color w:val="231F20"/>
          <w:w w:val="105"/>
          <w:sz w:val="14"/>
        </w:rPr>
        <w:t>VALUES</w:t>
      </w:r>
      <w:r>
        <w:rPr>
          <w:rFonts w:ascii="Arial"/>
          <w:color w:val="231F20"/>
          <w:spacing w:val="22"/>
          <w:w w:val="105"/>
          <w:sz w:val="14"/>
        </w:rPr>
        <w:t> </w:t>
      </w:r>
      <w:r>
        <w:rPr>
          <w:rFonts w:ascii="Arial"/>
          <w:color w:val="231F20"/>
          <w:spacing w:val="-2"/>
          <w:w w:val="105"/>
          <w:sz w:val="14"/>
        </w:rPr>
        <w:t>FLUCTUATE</w:t>
      </w:r>
    </w:p>
    <w:p>
      <w:pPr>
        <w:pStyle w:val="BodyText"/>
        <w:spacing w:before="7"/>
        <w:rPr>
          <w:rFonts w:ascii="Arial"/>
          <w:sz w:val="15"/>
        </w:rPr>
      </w:pPr>
      <w:r>
        <w:rPr/>
        <w:drawing>
          <wp:anchor distT="0" distB="0" distL="0" distR="0" allowOverlap="1" layoutInCell="1" locked="0" behindDoc="0" simplePos="0" relativeHeight="266">
            <wp:simplePos x="0" y="0"/>
            <wp:positionH relativeFrom="page">
              <wp:posOffset>1279140</wp:posOffset>
            </wp:positionH>
            <wp:positionV relativeFrom="paragraph">
              <wp:posOffset>129617</wp:posOffset>
            </wp:positionV>
            <wp:extent cx="2838355" cy="1416177"/>
            <wp:effectExtent l="0" t="0" r="0" b="0"/>
            <wp:wrapTopAndBottom/>
            <wp:docPr id="101" name="image60.png"/>
            <wp:cNvGraphicFramePr>
              <a:graphicFrameLocks noChangeAspect="1"/>
            </wp:cNvGraphicFramePr>
            <a:graphic>
              <a:graphicData uri="http://schemas.openxmlformats.org/drawingml/2006/picture">
                <pic:pic>
                  <pic:nvPicPr>
                    <pic:cNvPr id="102" name="image60.png"/>
                    <pic:cNvPicPr/>
                  </pic:nvPicPr>
                  <pic:blipFill>
                    <a:blip r:embed="rId88" cstate="print"/>
                    <a:stretch>
                      <a:fillRect/>
                    </a:stretch>
                  </pic:blipFill>
                  <pic:spPr>
                    <a:xfrm>
                      <a:off x="0" y="0"/>
                      <a:ext cx="2838355" cy="1416177"/>
                    </a:xfrm>
                    <a:prstGeom prst="rect">
                      <a:avLst/>
                    </a:prstGeom>
                  </pic:spPr>
                </pic:pic>
              </a:graphicData>
            </a:graphic>
          </wp:anchor>
        </w:drawing>
      </w:r>
    </w:p>
    <w:p>
      <w:pPr>
        <w:spacing w:after="0"/>
        <w:rPr>
          <w:rFonts w:ascii="Arial"/>
          <w:sz w:val="15"/>
        </w:rPr>
        <w:sectPr>
          <w:pgSz w:w="8640" w:h="12960"/>
          <w:pgMar w:header="732" w:footer="0" w:top="920" w:bottom="280" w:left="340" w:right="500"/>
        </w:sectPr>
      </w:pPr>
    </w:p>
    <w:p>
      <w:pPr>
        <w:pStyle w:val="BodyText"/>
        <w:rPr>
          <w:rFonts w:ascii="Arial"/>
          <w:sz w:val="18"/>
        </w:rPr>
      </w:pPr>
    </w:p>
    <w:p>
      <w:pPr>
        <w:pStyle w:val="BodyText"/>
        <w:spacing w:line="292" w:lineRule="auto" w:before="102"/>
        <w:ind w:left="920" w:right="666"/>
        <w:jc w:val="both"/>
      </w:pPr>
      <w:r>
        <w:rPr>
          <w:i/>
          <w:color w:val="231F20"/>
        </w:rPr>
        <w:t>A</w:t>
      </w:r>
      <w:r>
        <w:rPr>
          <w:i/>
          <w:color w:val="231F20"/>
          <w:spacing w:val="40"/>
        </w:rPr>
        <w:t> </w:t>
      </w:r>
      <w:r>
        <w:rPr>
          <w:i/>
          <w:color w:val="231F20"/>
        </w:rPr>
        <w:t>Call</w:t>
      </w:r>
      <w:r>
        <w:rPr>
          <w:i/>
          <w:color w:val="231F20"/>
          <w:spacing w:val="40"/>
        </w:rPr>
        <w:t> </w:t>
      </w:r>
      <w:r>
        <w:rPr>
          <w:i/>
          <w:color w:val="231F20"/>
        </w:rPr>
        <w:t>Option</w:t>
      </w:r>
      <w:r>
        <w:rPr>
          <w:i/>
          <w:color w:val="231F20"/>
          <w:spacing w:val="40"/>
        </w:rPr>
        <w:t> </w:t>
      </w:r>
      <w:r>
        <w:rPr>
          <w:i/>
          <w:color w:val="231F20"/>
        </w:rPr>
        <w:t>Example.</w:t>
      </w:r>
      <w:r>
        <w:rPr>
          <w:i/>
          <w:color w:val="231F20"/>
          <w:spacing w:val="40"/>
        </w:rPr>
        <w:t> </w:t>
      </w:r>
      <w:r>
        <w:rPr>
          <w:color w:val="231F20"/>
        </w:rPr>
        <w:t>Optimistic</w:t>
      </w:r>
      <w:r>
        <w:rPr>
          <w:color w:val="231F20"/>
          <w:spacing w:val="40"/>
        </w:rPr>
        <w:t> </w:t>
      </w:r>
      <w:r>
        <w:rPr>
          <w:color w:val="231F20"/>
        </w:rPr>
        <w:t>stock</w:t>
      </w:r>
      <w:r>
        <w:rPr>
          <w:color w:val="231F20"/>
          <w:spacing w:val="40"/>
        </w:rPr>
        <w:t> </w:t>
      </w:r>
      <w:r>
        <w:rPr>
          <w:color w:val="231F20"/>
        </w:rPr>
        <w:t>options</w:t>
      </w:r>
      <w:r>
        <w:rPr>
          <w:color w:val="231F20"/>
          <w:spacing w:val="40"/>
        </w:rPr>
        <w:t> </w:t>
      </w:r>
      <w:r>
        <w:rPr>
          <w:color w:val="231F20"/>
        </w:rPr>
        <w:t>traders</w:t>
      </w:r>
      <w:r>
        <w:rPr>
          <w:color w:val="231F20"/>
          <w:spacing w:val="40"/>
        </w:rPr>
        <w:t> </w:t>
      </w:r>
      <w:r>
        <w:rPr>
          <w:color w:val="231F20"/>
        </w:rPr>
        <w:t>buy</w:t>
      </w:r>
      <w:r>
        <w:rPr>
          <w:color w:val="231F20"/>
          <w:spacing w:val="40"/>
        </w:rPr>
        <w:t> </w:t>
      </w:r>
      <w:r>
        <w:rPr>
          <w:color w:val="231F20"/>
        </w:rPr>
        <w:t>calls to purchase stock if they believe the underlying stock will increase in the near term. For example, let’s call our options trader Billy Peligro. On June 15, 2004, Billy saw Wal-Mart stores common stock quoted</w:t>
      </w:r>
      <w:r>
        <w:rPr>
          <w:color w:val="231F20"/>
          <w:spacing w:val="80"/>
        </w:rPr>
        <w:t> </w:t>
      </w:r>
      <w:r>
        <w:rPr>
          <w:color w:val="231F20"/>
        </w:rPr>
        <w:t>at $54 per share in the </w:t>
      </w:r>
      <w:r>
        <w:rPr>
          <w:i/>
          <w:color w:val="231F20"/>
        </w:rPr>
        <w:t>Wall Street Journal. </w:t>
      </w:r>
      <w:r>
        <w:rPr>
          <w:color w:val="231F20"/>
        </w:rPr>
        <w:t>The call right to purchase one</w:t>
      </w:r>
      <w:r>
        <w:rPr>
          <w:color w:val="231F20"/>
          <w:spacing w:val="34"/>
        </w:rPr>
        <w:t> </w:t>
      </w:r>
      <w:r>
        <w:rPr>
          <w:color w:val="231F20"/>
        </w:rPr>
        <w:t>share</w:t>
      </w:r>
      <w:r>
        <w:rPr>
          <w:color w:val="231F20"/>
          <w:spacing w:val="34"/>
        </w:rPr>
        <w:t> </w:t>
      </w:r>
      <w:r>
        <w:rPr>
          <w:color w:val="231F20"/>
        </w:rPr>
        <w:t>of</w:t>
      </w:r>
      <w:r>
        <w:rPr>
          <w:color w:val="231F20"/>
          <w:spacing w:val="34"/>
        </w:rPr>
        <w:t> </w:t>
      </w:r>
      <w:r>
        <w:rPr>
          <w:color w:val="231F20"/>
        </w:rPr>
        <w:t>Wal-Mart</w:t>
      </w:r>
      <w:r>
        <w:rPr>
          <w:color w:val="231F20"/>
          <w:spacing w:val="34"/>
        </w:rPr>
        <w:t> </w:t>
      </w:r>
      <w:r>
        <w:rPr>
          <w:color w:val="231F20"/>
        </w:rPr>
        <w:t>by</w:t>
      </w:r>
      <w:r>
        <w:rPr>
          <w:color w:val="231F20"/>
          <w:spacing w:val="34"/>
        </w:rPr>
        <w:t> </w:t>
      </w:r>
      <w:r>
        <w:rPr>
          <w:color w:val="231F20"/>
        </w:rPr>
        <w:t>September</w:t>
      </w:r>
      <w:r>
        <w:rPr>
          <w:color w:val="231F20"/>
          <w:spacing w:val="34"/>
        </w:rPr>
        <w:t> </w:t>
      </w:r>
      <w:r>
        <w:rPr>
          <w:color w:val="231F20"/>
        </w:rPr>
        <w:t>at</w:t>
      </w:r>
      <w:r>
        <w:rPr>
          <w:color w:val="231F20"/>
          <w:spacing w:val="34"/>
        </w:rPr>
        <w:t> </w:t>
      </w:r>
      <w:r>
        <w:rPr>
          <w:color w:val="231F20"/>
        </w:rPr>
        <w:t>$55</w:t>
      </w:r>
      <w:r>
        <w:rPr>
          <w:color w:val="231F20"/>
          <w:spacing w:val="34"/>
        </w:rPr>
        <w:t> </w:t>
      </w:r>
      <w:r>
        <w:rPr>
          <w:color w:val="231F20"/>
        </w:rPr>
        <w:t>traded</w:t>
      </w:r>
      <w:r>
        <w:rPr>
          <w:color w:val="231F20"/>
          <w:spacing w:val="34"/>
        </w:rPr>
        <w:t> </w:t>
      </w:r>
      <w:r>
        <w:rPr>
          <w:color w:val="231F20"/>
        </w:rPr>
        <w:t>at</w:t>
      </w:r>
      <w:r>
        <w:rPr>
          <w:color w:val="231F20"/>
          <w:spacing w:val="34"/>
        </w:rPr>
        <w:t> </w:t>
      </w:r>
      <w:r>
        <w:rPr>
          <w:color w:val="231F20"/>
        </w:rPr>
        <w:t>$2.69.</w:t>
      </w:r>
      <w:r>
        <w:rPr>
          <w:color w:val="231F20"/>
          <w:spacing w:val="34"/>
        </w:rPr>
        <w:t> </w:t>
      </w:r>
      <w:r>
        <w:rPr>
          <w:color w:val="231F20"/>
        </w:rPr>
        <w:t>Billy bet that Wal-Mart would trade significantly above $55 by Septem-</w:t>
      </w:r>
      <w:r>
        <w:rPr>
          <w:color w:val="231F20"/>
          <w:spacing w:val="40"/>
        </w:rPr>
        <w:t> </w:t>
      </w:r>
      <w:r>
        <w:rPr>
          <w:color w:val="231F20"/>
        </w:rPr>
        <w:t>ber (SEP), and he paid $2.69 for the chance. If the option expired on the day of purchase in June, the option purchase price of $55 would have been “out of the money,” by one dollar, and the option would</w:t>
      </w:r>
      <w:r>
        <w:rPr>
          <w:color w:val="231F20"/>
          <w:spacing w:val="80"/>
          <w:w w:val="150"/>
        </w:rPr>
        <w:t> </w:t>
      </w:r>
      <w:r>
        <w:rPr>
          <w:color w:val="231F20"/>
        </w:rPr>
        <w:t>be worthless. The value of a $55 call option of Wal-Mart graphically looks like a hockey stick. It varies with the stock price.</w:t>
      </w:r>
    </w:p>
    <w:p>
      <w:pPr>
        <w:pStyle w:val="BodyText"/>
        <w:spacing w:line="292" w:lineRule="auto"/>
        <w:ind w:left="919" w:right="666" w:firstLine="340"/>
        <w:jc w:val="both"/>
      </w:pPr>
      <w:r>
        <w:rPr>
          <w:color w:val="231F20"/>
        </w:rPr>
        <w:t>But is $2.69 the correct price? Plugging the five factors of </w:t>
      </w:r>
      <w:r>
        <w:rPr>
          <w:color w:val="231F20"/>
        </w:rPr>
        <w:t>Wal- Mart’s common stock and the particulars about the option into the Black-Scholes black-box spreadsheet, the outcome for your author was a $2.66 price. Pretty close!</w:t>
      </w:r>
    </w:p>
    <w:p>
      <w:pPr>
        <w:pStyle w:val="BodyText"/>
        <w:spacing w:before="1"/>
        <w:rPr>
          <w:sz w:val="25"/>
        </w:rPr>
      </w:pPr>
    </w:p>
    <w:p>
      <w:pPr>
        <w:pStyle w:val="BodyText"/>
        <w:spacing w:line="292" w:lineRule="auto"/>
        <w:ind w:left="920" w:right="667"/>
        <w:jc w:val="both"/>
      </w:pPr>
      <w:r>
        <w:rPr>
          <w:i/>
          <w:color w:val="231F20"/>
        </w:rPr>
        <w:t>Put Option Example. </w:t>
      </w:r>
      <w:r>
        <w:rPr>
          <w:color w:val="231F20"/>
        </w:rPr>
        <w:t>Let’s look at the opposite situation, a pes- simistic</w:t>
      </w:r>
      <w:r>
        <w:rPr>
          <w:color w:val="231F20"/>
          <w:spacing w:val="43"/>
        </w:rPr>
        <w:t> </w:t>
      </w:r>
      <w:r>
        <w:rPr>
          <w:color w:val="231F20"/>
        </w:rPr>
        <w:t>Billy</w:t>
      </w:r>
      <w:r>
        <w:rPr>
          <w:color w:val="231F20"/>
          <w:spacing w:val="44"/>
        </w:rPr>
        <w:t> </w:t>
      </w:r>
      <w:r>
        <w:rPr>
          <w:color w:val="231F20"/>
        </w:rPr>
        <w:t>Peligro.</w:t>
      </w:r>
      <w:r>
        <w:rPr>
          <w:color w:val="231F20"/>
          <w:spacing w:val="44"/>
        </w:rPr>
        <w:t> </w:t>
      </w:r>
      <w:r>
        <w:rPr>
          <w:color w:val="231F20"/>
        </w:rPr>
        <w:t>He</w:t>
      </w:r>
      <w:r>
        <w:rPr>
          <w:color w:val="231F20"/>
          <w:spacing w:val="44"/>
        </w:rPr>
        <w:t> </w:t>
      </w:r>
      <w:r>
        <w:rPr>
          <w:color w:val="231F20"/>
        </w:rPr>
        <w:t>bought</w:t>
      </w:r>
      <w:r>
        <w:rPr>
          <w:color w:val="231F20"/>
          <w:spacing w:val="44"/>
        </w:rPr>
        <w:t> </w:t>
      </w:r>
      <w:r>
        <w:rPr>
          <w:color w:val="231F20"/>
        </w:rPr>
        <w:t>a</w:t>
      </w:r>
      <w:r>
        <w:rPr>
          <w:color w:val="231F20"/>
          <w:spacing w:val="43"/>
        </w:rPr>
        <w:t> </w:t>
      </w:r>
      <w:r>
        <w:rPr>
          <w:color w:val="231F20"/>
        </w:rPr>
        <w:t>put</w:t>
      </w:r>
      <w:r>
        <w:rPr>
          <w:color w:val="231F20"/>
          <w:spacing w:val="44"/>
        </w:rPr>
        <w:t> </w:t>
      </w:r>
      <w:r>
        <w:rPr>
          <w:color w:val="231F20"/>
        </w:rPr>
        <w:t>option</w:t>
      </w:r>
      <w:r>
        <w:rPr>
          <w:color w:val="231F20"/>
          <w:spacing w:val="44"/>
        </w:rPr>
        <w:t> </w:t>
      </w:r>
      <w:r>
        <w:rPr>
          <w:color w:val="231F20"/>
        </w:rPr>
        <w:t>to</w:t>
      </w:r>
      <w:r>
        <w:rPr>
          <w:color w:val="231F20"/>
          <w:spacing w:val="44"/>
        </w:rPr>
        <w:t> </w:t>
      </w:r>
      <w:r>
        <w:rPr>
          <w:color w:val="231F20"/>
        </w:rPr>
        <w:t>sell</w:t>
      </w:r>
      <w:r>
        <w:rPr>
          <w:color w:val="231F20"/>
          <w:spacing w:val="44"/>
        </w:rPr>
        <w:t> </w:t>
      </w:r>
      <w:r>
        <w:rPr>
          <w:color w:val="231F20"/>
        </w:rPr>
        <w:t>Wal-Mart</w:t>
      </w:r>
      <w:r>
        <w:rPr>
          <w:color w:val="231F20"/>
          <w:spacing w:val="43"/>
        </w:rPr>
        <w:t> </w:t>
      </w:r>
      <w:r>
        <w:rPr>
          <w:color w:val="231F20"/>
          <w:spacing w:val="-5"/>
        </w:rPr>
        <w:t>at</w:t>
      </w:r>
    </w:p>
    <w:p>
      <w:pPr>
        <w:pStyle w:val="BodyText"/>
        <w:spacing w:line="292" w:lineRule="auto"/>
        <w:ind w:left="920" w:right="666"/>
        <w:jc w:val="both"/>
      </w:pPr>
      <w:r>
        <w:rPr>
          <w:color w:val="231F20"/>
          <w:w w:val="105"/>
        </w:rPr>
        <w:t>$55</w:t>
      </w:r>
      <w:r>
        <w:rPr>
          <w:color w:val="231F20"/>
          <w:spacing w:val="-10"/>
          <w:w w:val="105"/>
        </w:rPr>
        <w:t> </w:t>
      </w:r>
      <w:r>
        <w:rPr>
          <w:color w:val="231F20"/>
          <w:w w:val="105"/>
        </w:rPr>
        <w:t>for</w:t>
      </w:r>
      <w:r>
        <w:rPr>
          <w:color w:val="231F20"/>
          <w:spacing w:val="-10"/>
          <w:w w:val="105"/>
        </w:rPr>
        <w:t> </w:t>
      </w:r>
      <w:r>
        <w:rPr>
          <w:color w:val="231F20"/>
          <w:w w:val="105"/>
        </w:rPr>
        <w:t>settlement</w:t>
      </w:r>
      <w:r>
        <w:rPr>
          <w:color w:val="231F20"/>
          <w:spacing w:val="-10"/>
          <w:w w:val="105"/>
        </w:rPr>
        <w:t> </w:t>
      </w:r>
      <w:r>
        <w:rPr>
          <w:color w:val="231F20"/>
          <w:w w:val="105"/>
        </w:rPr>
        <w:t>in</w:t>
      </w:r>
      <w:r>
        <w:rPr>
          <w:color w:val="231F20"/>
          <w:spacing w:val="-10"/>
          <w:w w:val="105"/>
        </w:rPr>
        <w:t> </w:t>
      </w:r>
      <w:r>
        <w:rPr>
          <w:color w:val="231F20"/>
          <w:w w:val="105"/>
        </w:rPr>
        <w:t>September</w:t>
      </w:r>
      <w:r>
        <w:rPr>
          <w:color w:val="231F20"/>
          <w:spacing w:val="-10"/>
          <w:w w:val="105"/>
        </w:rPr>
        <w:t> </w:t>
      </w:r>
      <w:r>
        <w:rPr>
          <w:color w:val="231F20"/>
          <w:w w:val="105"/>
        </w:rPr>
        <w:t>when</w:t>
      </w:r>
      <w:r>
        <w:rPr>
          <w:color w:val="231F20"/>
          <w:spacing w:val="-10"/>
          <w:w w:val="105"/>
        </w:rPr>
        <w:t> </w:t>
      </w:r>
      <w:r>
        <w:rPr>
          <w:color w:val="231F20"/>
          <w:w w:val="105"/>
        </w:rPr>
        <w:t>the</w:t>
      </w:r>
      <w:r>
        <w:rPr>
          <w:color w:val="231F20"/>
          <w:spacing w:val="-10"/>
          <w:w w:val="105"/>
        </w:rPr>
        <w:t> </w:t>
      </w:r>
      <w:r>
        <w:rPr>
          <w:color w:val="231F20"/>
          <w:w w:val="105"/>
        </w:rPr>
        <w:t>market</w:t>
      </w:r>
      <w:r>
        <w:rPr>
          <w:color w:val="231F20"/>
          <w:spacing w:val="-10"/>
          <w:w w:val="105"/>
        </w:rPr>
        <w:t> </w:t>
      </w:r>
      <w:r>
        <w:rPr>
          <w:color w:val="231F20"/>
          <w:w w:val="105"/>
        </w:rPr>
        <w:t>price</w:t>
      </w:r>
      <w:r>
        <w:rPr>
          <w:color w:val="231F20"/>
          <w:spacing w:val="-10"/>
          <w:w w:val="105"/>
        </w:rPr>
        <w:t> </w:t>
      </w:r>
      <w:r>
        <w:rPr>
          <w:color w:val="231F20"/>
          <w:w w:val="105"/>
        </w:rPr>
        <w:t>was</w:t>
      </w:r>
      <w:r>
        <w:rPr>
          <w:color w:val="231F20"/>
          <w:spacing w:val="-10"/>
          <w:w w:val="105"/>
        </w:rPr>
        <w:t> </w:t>
      </w:r>
      <w:r>
        <w:rPr>
          <w:color w:val="231F20"/>
          <w:w w:val="105"/>
        </w:rPr>
        <w:t>$54</w:t>
      </w:r>
      <w:r>
        <w:rPr>
          <w:color w:val="231F20"/>
          <w:spacing w:val="-10"/>
          <w:w w:val="105"/>
        </w:rPr>
        <w:t> </w:t>
      </w:r>
      <w:r>
        <w:rPr>
          <w:color w:val="231F20"/>
          <w:w w:val="105"/>
        </w:rPr>
        <w:t>in June. That was one dollar “in the money” because he had the right to</w:t>
      </w:r>
      <w:r>
        <w:rPr>
          <w:color w:val="231F20"/>
          <w:w w:val="105"/>
        </w:rPr>
        <w:t> sell</w:t>
      </w:r>
      <w:r>
        <w:rPr>
          <w:color w:val="231F20"/>
          <w:w w:val="105"/>
        </w:rPr>
        <w:t> at</w:t>
      </w:r>
      <w:r>
        <w:rPr>
          <w:color w:val="231F20"/>
          <w:w w:val="105"/>
        </w:rPr>
        <w:t> $55</w:t>
      </w:r>
      <w:r>
        <w:rPr>
          <w:color w:val="231F20"/>
          <w:w w:val="105"/>
        </w:rPr>
        <w:t> when</w:t>
      </w:r>
      <w:r>
        <w:rPr>
          <w:color w:val="231F20"/>
          <w:w w:val="105"/>
        </w:rPr>
        <w:t> the</w:t>
      </w:r>
      <w:r>
        <w:rPr>
          <w:color w:val="231F20"/>
          <w:w w:val="105"/>
        </w:rPr>
        <w:t> market</w:t>
      </w:r>
      <w:r>
        <w:rPr>
          <w:color w:val="231F20"/>
          <w:w w:val="105"/>
        </w:rPr>
        <w:t> was</w:t>
      </w:r>
      <w:r>
        <w:rPr>
          <w:color w:val="231F20"/>
          <w:w w:val="105"/>
        </w:rPr>
        <w:t> at</w:t>
      </w:r>
      <w:r>
        <w:rPr>
          <w:color w:val="231F20"/>
          <w:w w:val="105"/>
        </w:rPr>
        <w:t> $54.</w:t>
      </w:r>
      <w:r>
        <w:rPr>
          <w:color w:val="231F20"/>
          <w:w w:val="105"/>
        </w:rPr>
        <w:t> The</w:t>
      </w:r>
      <w:r>
        <w:rPr>
          <w:color w:val="231F20"/>
          <w:w w:val="105"/>
        </w:rPr>
        <w:t> market</w:t>
      </w:r>
      <w:r>
        <w:rPr>
          <w:color w:val="231F20"/>
          <w:w w:val="105"/>
        </w:rPr>
        <w:t> price</w:t>
      </w:r>
      <w:r>
        <w:rPr>
          <w:color w:val="231F20"/>
          <w:w w:val="105"/>
        </w:rPr>
        <w:t> (or “fair value”) for the option was $2.75 on June 15, 2004. One dollar of</w:t>
      </w:r>
      <w:r>
        <w:rPr>
          <w:color w:val="231F20"/>
          <w:spacing w:val="-4"/>
          <w:w w:val="105"/>
        </w:rPr>
        <w:t> </w:t>
      </w:r>
      <w:r>
        <w:rPr>
          <w:color w:val="231F20"/>
          <w:w w:val="105"/>
        </w:rPr>
        <w:t>the</w:t>
      </w:r>
      <w:r>
        <w:rPr>
          <w:color w:val="231F20"/>
          <w:spacing w:val="-4"/>
          <w:w w:val="105"/>
        </w:rPr>
        <w:t> </w:t>
      </w:r>
      <w:r>
        <w:rPr>
          <w:color w:val="231F20"/>
          <w:w w:val="105"/>
        </w:rPr>
        <w:t>value</w:t>
      </w:r>
      <w:r>
        <w:rPr>
          <w:color w:val="231F20"/>
          <w:spacing w:val="-4"/>
          <w:w w:val="105"/>
        </w:rPr>
        <w:t> </w:t>
      </w:r>
      <w:r>
        <w:rPr>
          <w:color w:val="231F20"/>
          <w:w w:val="105"/>
        </w:rPr>
        <w:t>was</w:t>
      </w:r>
      <w:r>
        <w:rPr>
          <w:color w:val="231F20"/>
          <w:spacing w:val="-3"/>
          <w:w w:val="105"/>
        </w:rPr>
        <w:t> </w:t>
      </w:r>
      <w:r>
        <w:rPr>
          <w:color w:val="231F20"/>
          <w:w w:val="105"/>
        </w:rPr>
        <w:t>“in</w:t>
      </w:r>
      <w:r>
        <w:rPr>
          <w:color w:val="231F20"/>
          <w:spacing w:val="-4"/>
          <w:w w:val="105"/>
        </w:rPr>
        <w:t> </w:t>
      </w:r>
      <w:r>
        <w:rPr>
          <w:color w:val="231F20"/>
          <w:w w:val="105"/>
        </w:rPr>
        <w:t>the</w:t>
      </w:r>
      <w:r>
        <w:rPr>
          <w:color w:val="231F20"/>
          <w:spacing w:val="-4"/>
          <w:w w:val="105"/>
        </w:rPr>
        <w:t> </w:t>
      </w:r>
      <w:r>
        <w:rPr>
          <w:color w:val="231F20"/>
          <w:w w:val="105"/>
        </w:rPr>
        <w:t>money”</w:t>
      </w:r>
      <w:r>
        <w:rPr>
          <w:color w:val="231F20"/>
          <w:spacing w:val="-4"/>
          <w:w w:val="105"/>
        </w:rPr>
        <w:t> </w:t>
      </w:r>
      <w:r>
        <w:rPr>
          <w:color w:val="231F20"/>
          <w:w w:val="105"/>
        </w:rPr>
        <w:t>(or</w:t>
      </w:r>
      <w:r>
        <w:rPr>
          <w:color w:val="231F20"/>
          <w:spacing w:val="-3"/>
          <w:w w:val="105"/>
        </w:rPr>
        <w:t> </w:t>
      </w:r>
      <w:r>
        <w:rPr>
          <w:color w:val="231F20"/>
          <w:w w:val="105"/>
        </w:rPr>
        <w:t>“intrinsic</w:t>
      </w:r>
      <w:r>
        <w:rPr>
          <w:color w:val="231F20"/>
          <w:spacing w:val="-4"/>
          <w:w w:val="105"/>
        </w:rPr>
        <w:t> </w:t>
      </w:r>
      <w:r>
        <w:rPr>
          <w:color w:val="231F20"/>
          <w:w w:val="105"/>
        </w:rPr>
        <w:t>value”)</w:t>
      </w:r>
      <w:r>
        <w:rPr>
          <w:color w:val="231F20"/>
          <w:spacing w:val="-4"/>
          <w:w w:val="105"/>
        </w:rPr>
        <w:t> </w:t>
      </w:r>
      <w:r>
        <w:rPr>
          <w:color w:val="231F20"/>
          <w:w w:val="105"/>
        </w:rPr>
        <w:t>and</w:t>
      </w:r>
      <w:r>
        <w:rPr>
          <w:color w:val="231F20"/>
          <w:spacing w:val="-4"/>
          <w:w w:val="105"/>
        </w:rPr>
        <w:t> </w:t>
      </w:r>
      <w:r>
        <w:rPr>
          <w:color w:val="231F20"/>
          <w:w w:val="105"/>
        </w:rPr>
        <w:t>the</w:t>
      </w:r>
      <w:r>
        <w:rPr>
          <w:color w:val="231F20"/>
          <w:spacing w:val="-3"/>
          <w:w w:val="105"/>
        </w:rPr>
        <w:t> </w:t>
      </w:r>
      <w:r>
        <w:rPr>
          <w:color w:val="231F20"/>
          <w:spacing w:val="-2"/>
          <w:w w:val="105"/>
        </w:rPr>
        <w:t>other</w:t>
      </w:r>
    </w:p>
    <w:p>
      <w:pPr>
        <w:pStyle w:val="BodyText"/>
        <w:spacing w:line="292" w:lineRule="auto"/>
        <w:ind w:left="920" w:right="666"/>
        <w:jc w:val="both"/>
      </w:pPr>
      <w:r>
        <w:rPr>
          <w:color w:val="231F20"/>
        </w:rPr>
        <w:t>$1.75 was the premium for three months to make more money. </w:t>
      </w:r>
      <w:r>
        <w:rPr>
          <w:color w:val="231F20"/>
        </w:rPr>
        <w:t>If</w:t>
      </w:r>
      <w:r>
        <w:rPr>
          <w:color w:val="231F20"/>
          <w:spacing w:val="80"/>
          <w:w w:val="150"/>
        </w:rPr>
        <w:t> </w:t>
      </w:r>
      <w:r>
        <w:rPr>
          <w:color w:val="231F20"/>
        </w:rPr>
        <w:t>the stock fell further, Mr. Peligro had the right to sell a share of Wal- Mart stock at $55, no matter how low it might have gone. Checking Black-Scholes for reasonableness, the $2.75 market value was close</w:t>
      </w:r>
      <w:r>
        <w:rPr>
          <w:color w:val="231F20"/>
          <w:spacing w:val="40"/>
        </w:rPr>
        <w:t> </w:t>
      </w:r>
      <w:r>
        <w:rPr>
          <w:color w:val="231F20"/>
        </w:rPr>
        <w:t>to the modeled value of the put. The put’s graph of possible values is the call’s hockey stick in reverse.</w:t>
      </w:r>
    </w:p>
    <w:p>
      <w:pPr>
        <w:pStyle w:val="BodyText"/>
        <w:spacing w:before="2"/>
        <w:rPr>
          <w:sz w:val="25"/>
        </w:rPr>
      </w:pPr>
    </w:p>
    <w:p>
      <w:pPr>
        <w:pStyle w:val="BodyText"/>
        <w:spacing w:line="292" w:lineRule="auto"/>
        <w:ind w:left="920" w:right="666"/>
        <w:jc w:val="both"/>
      </w:pPr>
      <w:r>
        <w:rPr>
          <w:i/>
          <w:color w:val="231F20"/>
        </w:rPr>
        <w:t>Options Strategies and Hedging. </w:t>
      </w:r>
      <w:r>
        <w:rPr>
          <w:color w:val="231F20"/>
        </w:rPr>
        <w:t>Options are highly risky invest- ments, but their risk can be reduced by </w:t>
      </w:r>
      <w:r>
        <w:rPr>
          <w:i/>
          <w:color w:val="231F20"/>
        </w:rPr>
        <w:t>hedging. </w:t>
      </w:r>
      <w:r>
        <w:rPr>
          <w:color w:val="231F20"/>
        </w:rPr>
        <w:t>Hedging is </w:t>
      </w:r>
      <w:r>
        <w:rPr>
          <w:color w:val="231F20"/>
        </w:rPr>
        <w:t>buying</w:t>
      </w:r>
      <w:r>
        <w:rPr>
          <w:color w:val="231F20"/>
          <w:spacing w:val="80"/>
        </w:rPr>
        <w:t> </w:t>
      </w:r>
      <w:r>
        <w:rPr>
          <w:color w:val="231F20"/>
        </w:rPr>
        <w:t>an option to offset a possible decline in value in an owned invest- ment. Like other options, it can be taken on many types of assets. Suppose</w:t>
      </w:r>
      <w:r>
        <w:rPr>
          <w:color w:val="231F20"/>
          <w:spacing w:val="28"/>
        </w:rPr>
        <w:t> </w:t>
      </w:r>
      <w:r>
        <w:rPr>
          <w:color w:val="231F20"/>
        </w:rPr>
        <w:t>that</w:t>
      </w:r>
      <w:r>
        <w:rPr>
          <w:color w:val="231F20"/>
          <w:spacing w:val="29"/>
        </w:rPr>
        <w:t> </w:t>
      </w:r>
      <w:r>
        <w:rPr>
          <w:color w:val="231F20"/>
        </w:rPr>
        <w:t>a</w:t>
      </w:r>
      <w:r>
        <w:rPr>
          <w:color w:val="231F20"/>
          <w:spacing w:val="29"/>
        </w:rPr>
        <w:t> </w:t>
      </w:r>
      <w:r>
        <w:rPr>
          <w:color w:val="231F20"/>
        </w:rPr>
        <w:t>risk-adverse</w:t>
      </w:r>
      <w:r>
        <w:rPr>
          <w:color w:val="231F20"/>
          <w:spacing w:val="29"/>
        </w:rPr>
        <w:t> </w:t>
      </w:r>
      <w:r>
        <w:rPr>
          <w:color w:val="231F20"/>
        </w:rPr>
        <w:t>investor,</w:t>
      </w:r>
      <w:r>
        <w:rPr>
          <w:color w:val="231F20"/>
          <w:spacing w:val="29"/>
        </w:rPr>
        <w:t> </w:t>
      </w:r>
      <w:r>
        <w:rPr>
          <w:color w:val="231F20"/>
        </w:rPr>
        <w:t>Mr.</w:t>
      </w:r>
      <w:r>
        <w:rPr>
          <w:color w:val="231F20"/>
          <w:spacing w:val="29"/>
        </w:rPr>
        <w:t> </w:t>
      </w:r>
      <w:r>
        <w:rPr>
          <w:color w:val="231F20"/>
        </w:rPr>
        <w:t>Scared</w:t>
      </w:r>
      <w:r>
        <w:rPr>
          <w:color w:val="231F20"/>
          <w:spacing w:val="28"/>
        </w:rPr>
        <w:t> </w:t>
      </w:r>
      <w:r>
        <w:rPr>
          <w:color w:val="231F20"/>
        </w:rPr>
        <w:t>E.</w:t>
      </w:r>
      <w:r>
        <w:rPr>
          <w:color w:val="231F20"/>
          <w:spacing w:val="29"/>
        </w:rPr>
        <w:t> </w:t>
      </w:r>
      <w:r>
        <w:rPr>
          <w:color w:val="231F20"/>
        </w:rPr>
        <w:t>Cat,</w:t>
      </w:r>
      <w:r>
        <w:rPr>
          <w:color w:val="231F20"/>
          <w:spacing w:val="29"/>
        </w:rPr>
        <w:t> </w:t>
      </w:r>
      <w:r>
        <w:rPr>
          <w:color w:val="231F20"/>
        </w:rPr>
        <w:t>owned</w:t>
      </w:r>
      <w:r>
        <w:rPr>
          <w:color w:val="231F20"/>
          <w:spacing w:val="29"/>
        </w:rPr>
        <w:t> </w:t>
      </w:r>
      <w:r>
        <w:rPr>
          <w:color w:val="231F20"/>
          <w:spacing w:val="-5"/>
        </w:rPr>
        <w:t>the</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same share of Wal-Mart stock trading at $54, but because of the downside risk, he wanted to protect himself from a steep </w:t>
      </w:r>
      <w:r>
        <w:rPr>
          <w:color w:val="231F20"/>
        </w:rPr>
        <w:t>decline.</w:t>
      </w:r>
      <w:r>
        <w:rPr>
          <w:color w:val="231F20"/>
          <w:spacing w:val="40"/>
        </w:rPr>
        <w:t> </w:t>
      </w:r>
      <w:r>
        <w:rPr>
          <w:color w:val="231F20"/>
        </w:rPr>
        <w:t>The investor could have bought a three-month put option at a $50 strike price for $1 in June 2004. The put would have ensured that he could have sold his Wal-Mart share for at least $50 in the next three months. The person who wrote the option believed that there was little risk of that happening and was happy to take the $1 premium, hoping it would have no value to Mr. Cat.</w:t>
      </w:r>
    </w:p>
    <w:p>
      <w:pPr>
        <w:pStyle w:val="BodyText"/>
        <w:spacing w:line="292" w:lineRule="auto"/>
        <w:ind w:left="829" w:right="755" w:firstLine="340"/>
        <w:jc w:val="both"/>
      </w:pPr>
      <w:r>
        <w:rPr>
          <w:color w:val="231F20"/>
          <w:w w:val="105"/>
        </w:rPr>
        <w:t>If Wal-Mart fell to $40, the put option that cost only one dollar would</w:t>
      </w:r>
      <w:r>
        <w:rPr>
          <w:color w:val="231F20"/>
          <w:w w:val="105"/>
        </w:rPr>
        <w:t> be</w:t>
      </w:r>
      <w:r>
        <w:rPr>
          <w:color w:val="231F20"/>
          <w:w w:val="105"/>
        </w:rPr>
        <w:t> worth</w:t>
      </w:r>
      <w:r>
        <w:rPr>
          <w:color w:val="231F20"/>
          <w:w w:val="105"/>
        </w:rPr>
        <w:t> $10</w:t>
      </w:r>
      <w:r>
        <w:rPr>
          <w:color w:val="231F20"/>
          <w:w w:val="105"/>
        </w:rPr>
        <w:t> at</w:t>
      </w:r>
      <w:r>
        <w:rPr>
          <w:color w:val="231F20"/>
          <w:w w:val="105"/>
        </w:rPr>
        <w:t> expiration.</w:t>
      </w:r>
      <w:r>
        <w:rPr>
          <w:color w:val="231F20"/>
          <w:w w:val="105"/>
        </w:rPr>
        <w:t> The</w:t>
      </w:r>
      <w:r>
        <w:rPr>
          <w:color w:val="231F20"/>
          <w:w w:val="105"/>
        </w:rPr>
        <w:t> put</w:t>
      </w:r>
      <w:r>
        <w:rPr>
          <w:color w:val="231F20"/>
          <w:w w:val="105"/>
        </w:rPr>
        <w:t> writer</w:t>
      </w:r>
      <w:r>
        <w:rPr>
          <w:color w:val="231F20"/>
          <w:w w:val="105"/>
        </w:rPr>
        <w:t> would</w:t>
      </w:r>
      <w:r>
        <w:rPr>
          <w:color w:val="231F20"/>
          <w:w w:val="105"/>
        </w:rPr>
        <w:t> be</w:t>
      </w:r>
      <w:r>
        <w:rPr>
          <w:color w:val="231F20"/>
          <w:w w:val="105"/>
        </w:rPr>
        <w:t> obli- gated to pay up. For Mr. Cat, the option’s $10 gain would partially offset</w:t>
      </w:r>
      <w:r>
        <w:rPr>
          <w:color w:val="231F20"/>
          <w:spacing w:val="-6"/>
          <w:w w:val="105"/>
        </w:rPr>
        <w:t> </w:t>
      </w:r>
      <w:r>
        <w:rPr>
          <w:color w:val="231F20"/>
          <w:w w:val="105"/>
        </w:rPr>
        <w:t>the</w:t>
      </w:r>
      <w:r>
        <w:rPr>
          <w:color w:val="231F20"/>
          <w:spacing w:val="-6"/>
          <w:w w:val="105"/>
        </w:rPr>
        <w:t> </w:t>
      </w:r>
      <w:r>
        <w:rPr>
          <w:color w:val="231F20"/>
          <w:w w:val="105"/>
        </w:rPr>
        <w:t>$14</w:t>
      </w:r>
      <w:r>
        <w:rPr>
          <w:color w:val="231F20"/>
          <w:spacing w:val="-6"/>
          <w:w w:val="105"/>
        </w:rPr>
        <w:t> </w:t>
      </w:r>
      <w:r>
        <w:rPr>
          <w:color w:val="231F20"/>
          <w:w w:val="105"/>
        </w:rPr>
        <w:t>loss</w:t>
      </w:r>
      <w:r>
        <w:rPr>
          <w:color w:val="231F20"/>
          <w:spacing w:val="-6"/>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value</w:t>
      </w:r>
      <w:r>
        <w:rPr>
          <w:color w:val="231F20"/>
          <w:spacing w:val="-6"/>
          <w:w w:val="105"/>
        </w:rPr>
        <w:t> </w:t>
      </w:r>
      <w:r>
        <w:rPr>
          <w:color w:val="231F20"/>
          <w:w w:val="105"/>
        </w:rPr>
        <w:t>of</w:t>
      </w:r>
      <w:r>
        <w:rPr>
          <w:color w:val="231F20"/>
          <w:spacing w:val="-6"/>
          <w:w w:val="105"/>
        </w:rPr>
        <w:t> </w:t>
      </w:r>
      <w:r>
        <w:rPr>
          <w:color w:val="231F20"/>
          <w:w w:val="105"/>
        </w:rPr>
        <w:t>the</w:t>
      </w:r>
      <w:r>
        <w:rPr>
          <w:color w:val="231F20"/>
          <w:spacing w:val="-6"/>
          <w:w w:val="105"/>
        </w:rPr>
        <w:t> </w:t>
      </w:r>
      <w:r>
        <w:rPr>
          <w:color w:val="231F20"/>
          <w:w w:val="105"/>
        </w:rPr>
        <w:t>stock</w:t>
      </w:r>
      <w:r>
        <w:rPr>
          <w:color w:val="231F20"/>
          <w:spacing w:val="-6"/>
          <w:w w:val="105"/>
        </w:rPr>
        <w:t> </w:t>
      </w:r>
      <w:r>
        <w:rPr>
          <w:color w:val="231F20"/>
          <w:w w:val="105"/>
        </w:rPr>
        <w:t>from</w:t>
      </w:r>
      <w:r>
        <w:rPr>
          <w:color w:val="231F20"/>
          <w:spacing w:val="-6"/>
          <w:w w:val="105"/>
        </w:rPr>
        <w:t> </w:t>
      </w:r>
      <w:r>
        <w:rPr>
          <w:color w:val="231F20"/>
          <w:w w:val="105"/>
        </w:rPr>
        <w:t>$54</w:t>
      </w:r>
      <w:r>
        <w:rPr>
          <w:color w:val="231F20"/>
          <w:spacing w:val="-6"/>
          <w:w w:val="105"/>
        </w:rPr>
        <w:t> </w:t>
      </w:r>
      <w:r>
        <w:rPr>
          <w:color w:val="231F20"/>
          <w:w w:val="105"/>
        </w:rPr>
        <w:t>to</w:t>
      </w:r>
      <w:r>
        <w:rPr>
          <w:color w:val="231F20"/>
          <w:spacing w:val="-6"/>
          <w:w w:val="105"/>
        </w:rPr>
        <w:t> </w:t>
      </w:r>
      <w:r>
        <w:rPr>
          <w:color w:val="231F20"/>
          <w:w w:val="105"/>
        </w:rPr>
        <w:t>$40.</w:t>
      </w:r>
      <w:r>
        <w:rPr>
          <w:color w:val="231F20"/>
          <w:spacing w:val="-6"/>
          <w:w w:val="105"/>
        </w:rPr>
        <w:t> </w:t>
      </w:r>
      <w:r>
        <w:rPr>
          <w:color w:val="231F20"/>
          <w:w w:val="105"/>
        </w:rPr>
        <w:t>That</w:t>
      </w:r>
      <w:r>
        <w:rPr>
          <w:color w:val="231F20"/>
          <w:spacing w:val="-6"/>
          <w:w w:val="105"/>
        </w:rPr>
        <w:t> </w:t>
      </w:r>
      <w:r>
        <w:rPr>
          <w:color w:val="231F20"/>
          <w:w w:val="105"/>
        </w:rPr>
        <w:t>is why</w:t>
      </w:r>
      <w:r>
        <w:rPr>
          <w:color w:val="231F20"/>
          <w:w w:val="105"/>
        </w:rPr>
        <w:t> many</w:t>
      </w:r>
      <w:r>
        <w:rPr>
          <w:color w:val="231F20"/>
          <w:w w:val="105"/>
        </w:rPr>
        <w:t> people</w:t>
      </w:r>
      <w:r>
        <w:rPr>
          <w:color w:val="231F20"/>
          <w:w w:val="105"/>
        </w:rPr>
        <w:t> view</w:t>
      </w:r>
      <w:r>
        <w:rPr>
          <w:color w:val="231F20"/>
          <w:w w:val="105"/>
        </w:rPr>
        <w:t> the</w:t>
      </w:r>
      <w:r>
        <w:rPr>
          <w:color w:val="231F20"/>
          <w:w w:val="105"/>
        </w:rPr>
        <w:t> options</w:t>
      </w:r>
      <w:r>
        <w:rPr>
          <w:color w:val="231F20"/>
          <w:w w:val="105"/>
        </w:rPr>
        <w:t> market</w:t>
      </w:r>
      <w:r>
        <w:rPr>
          <w:color w:val="231F20"/>
          <w:w w:val="105"/>
        </w:rPr>
        <w:t> as</w:t>
      </w:r>
      <w:r>
        <w:rPr>
          <w:color w:val="231F20"/>
          <w:w w:val="105"/>
        </w:rPr>
        <w:t> a</w:t>
      </w:r>
      <w:r>
        <w:rPr>
          <w:color w:val="231F20"/>
          <w:w w:val="105"/>
        </w:rPr>
        <w:t> way</w:t>
      </w:r>
      <w:r>
        <w:rPr>
          <w:color w:val="231F20"/>
          <w:w w:val="105"/>
        </w:rPr>
        <w:t> to</w:t>
      </w:r>
      <w:r>
        <w:rPr>
          <w:color w:val="231F20"/>
          <w:w w:val="105"/>
        </w:rPr>
        <w:t> shift</w:t>
      </w:r>
      <w:r>
        <w:rPr>
          <w:color w:val="231F20"/>
          <w:w w:val="105"/>
        </w:rPr>
        <w:t> risk from one investor to another.</w:t>
      </w:r>
    </w:p>
    <w:p>
      <w:pPr>
        <w:spacing w:line="292" w:lineRule="auto" w:before="0"/>
        <w:ind w:left="830" w:right="756" w:firstLine="340"/>
        <w:jc w:val="both"/>
        <w:rPr>
          <w:i/>
          <w:sz w:val="21"/>
        </w:rPr>
      </w:pPr>
      <w:r>
        <w:rPr>
          <w:color w:val="231F20"/>
          <w:sz w:val="21"/>
        </w:rPr>
        <w:t>Option traders and portfolio managers use many options </w:t>
      </w:r>
      <w:r>
        <w:rPr>
          <w:color w:val="231F20"/>
          <w:sz w:val="21"/>
        </w:rPr>
        <w:t>strate- gies in addition to simple hedges. Sophisticated investors combine options and stocks in many ways, using </w:t>
      </w:r>
      <w:r>
        <w:rPr>
          <w:i/>
          <w:color w:val="231F20"/>
          <w:sz w:val="21"/>
        </w:rPr>
        <w:t>spreads, butterflies, con-</w:t>
      </w:r>
      <w:r>
        <w:rPr>
          <w:i/>
          <w:color w:val="231F20"/>
          <w:spacing w:val="80"/>
          <w:w w:val="150"/>
          <w:sz w:val="21"/>
        </w:rPr>
        <w:t> </w:t>
      </w:r>
      <w:r>
        <w:rPr>
          <w:i/>
          <w:color w:val="231F20"/>
          <w:sz w:val="21"/>
        </w:rPr>
        <w:t>dors, straddles, </w:t>
      </w:r>
      <w:r>
        <w:rPr>
          <w:color w:val="231F20"/>
          <w:sz w:val="21"/>
        </w:rPr>
        <w:t>and </w:t>
      </w:r>
      <w:r>
        <w:rPr>
          <w:i/>
          <w:color w:val="231F20"/>
          <w:sz w:val="21"/>
        </w:rPr>
        <w:t>boxes.</w:t>
      </w:r>
    </w:p>
    <w:p>
      <w:pPr>
        <w:pStyle w:val="BodyText"/>
        <w:rPr>
          <w:i/>
          <w:sz w:val="24"/>
        </w:rPr>
      </w:pPr>
    </w:p>
    <w:p>
      <w:pPr>
        <w:pStyle w:val="BodyText"/>
        <w:spacing w:before="3"/>
        <w:rPr>
          <w:i/>
        </w:rPr>
      </w:pPr>
    </w:p>
    <w:p>
      <w:pPr>
        <w:spacing w:before="0"/>
        <w:ind w:left="1974" w:right="0" w:firstLine="0"/>
        <w:jc w:val="left"/>
        <w:rPr>
          <w:rFonts w:ascii="Arial"/>
          <w:sz w:val="14"/>
        </w:rPr>
      </w:pPr>
      <w:r>
        <w:rPr>
          <w:rFonts w:ascii="Arial"/>
          <w:color w:val="231F20"/>
          <w:w w:val="105"/>
          <w:sz w:val="14"/>
        </w:rPr>
        <w:t>THE</w:t>
      </w:r>
      <w:r>
        <w:rPr>
          <w:rFonts w:ascii="Arial"/>
          <w:color w:val="231F20"/>
          <w:spacing w:val="26"/>
          <w:w w:val="105"/>
          <w:sz w:val="14"/>
        </w:rPr>
        <w:t> </w:t>
      </w:r>
      <w:r>
        <w:rPr>
          <w:rFonts w:ascii="Arial"/>
          <w:color w:val="231F20"/>
          <w:w w:val="105"/>
          <w:sz w:val="14"/>
        </w:rPr>
        <w:t>VALUE</w:t>
      </w:r>
      <w:r>
        <w:rPr>
          <w:rFonts w:ascii="Arial"/>
          <w:color w:val="231F20"/>
          <w:spacing w:val="26"/>
          <w:w w:val="105"/>
          <w:sz w:val="14"/>
        </w:rPr>
        <w:t> </w:t>
      </w:r>
      <w:r>
        <w:rPr>
          <w:rFonts w:ascii="Arial"/>
          <w:color w:val="231F20"/>
          <w:w w:val="105"/>
          <w:sz w:val="14"/>
        </w:rPr>
        <w:t>OF</w:t>
      </w:r>
      <w:r>
        <w:rPr>
          <w:rFonts w:ascii="Arial"/>
          <w:color w:val="231F20"/>
          <w:spacing w:val="26"/>
          <w:w w:val="105"/>
          <w:sz w:val="14"/>
        </w:rPr>
        <w:t> </w:t>
      </w:r>
      <w:r>
        <w:rPr>
          <w:rFonts w:ascii="Arial"/>
          <w:color w:val="231F20"/>
          <w:w w:val="105"/>
          <w:sz w:val="14"/>
        </w:rPr>
        <w:t>A</w:t>
      </w:r>
      <w:r>
        <w:rPr>
          <w:rFonts w:ascii="Arial"/>
          <w:color w:val="231F20"/>
          <w:spacing w:val="26"/>
          <w:w w:val="105"/>
          <w:sz w:val="14"/>
        </w:rPr>
        <w:t> </w:t>
      </w:r>
      <w:r>
        <w:rPr>
          <w:rFonts w:ascii="Arial"/>
          <w:color w:val="231F20"/>
          <w:w w:val="105"/>
          <w:sz w:val="14"/>
        </w:rPr>
        <w:t>WAL-MART</w:t>
      </w:r>
      <w:r>
        <w:rPr>
          <w:rFonts w:ascii="Arial"/>
          <w:color w:val="231F20"/>
          <w:spacing w:val="27"/>
          <w:w w:val="105"/>
          <w:sz w:val="14"/>
        </w:rPr>
        <w:t> </w:t>
      </w:r>
      <w:r>
        <w:rPr>
          <w:rFonts w:ascii="Arial"/>
          <w:color w:val="231F20"/>
          <w:w w:val="105"/>
          <w:sz w:val="14"/>
        </w:rPr>
        <w:t>SEP</w:t>
      </w:r>
      <w:r>
        <w:rPr>
          <w:rFonts w:ascii="Arial"/>
          <w:color w:val="231F20"/>
          <w:spacing w:val="26"/>
          <w:w w:val="105"/>
          <w:sz w:val="14"/>
        </w:rPr>
        <w:t> </w:t>
      </w:r>
      <w:r>
        <w:rPr>
          <w:rFonts w:ascii="Arial"/>
          <w:color w:val="231F20"/>
          <w:w w:val="105"/>
          <w:sz w:val="14"/>
        </w:rPr>
        <w:t>$55</w:t>
      </w:r>
      <w:r>
        <w:rPr>
          <w:rFonts w:ascii="Arial"/>
          <w:color w:val="231F20"/>
          <w:spacing w:val="26"/>
          <w:w w:val="105"/>
          <w:sz w:val="14"/>
        </w:rPr>
        <w:t> </w:t>
      </w:r>
      <w:r>
        <w:rPr>
          <w:rFonts w:ascii="Arial"/>
          <w:color w:val="231F20"/>
          <w:w w:val="105"/>
          <w:sz w:val="14"/>
        </w:rPr>
        <w:t>CALL</w:t>
      </w:r>
      <w:r>
        <w:rPr>
          <w:rFonts w:ascii="Arial"/>
          <w:color w:val="231F20"/>
          <w:spacing w:val="26"/>
          <w:w w:val="105"/>
          <w:sz w:val="14"/>
        </w:rPr>
        <w:t> </w:t>
      </w:r>
      <w:r>
        <w:rPr>
          <w:rFonts w:ascii="Arial"/>
          <w:color w:val="231F20"/>
          <w:spacing w:val="-2"/>
          <w:w w:val="105"/>
          <w:sz w:val="14"/>
        </w:rPr>
        <w:t>OPTION</w:t>
      </w:r>
    </w:p>
    <w:p>
      <w:pPr>
        <w:pStyle w:val="BodyText"/>
        <w:spacing w:before="6"/>
        <w:rPr>
          <w:rFonts w:ascii="Arial"/>
          <w:sz w:val="16"/>
        </w:rPr>
      </w:pPr>
      <w:r>
        <w:rPr/>
        <w:drawing>
          <wp:anchor distT="0" distB="0" distL="0" distR="0" allowOverlap="1" layoutInCell="1" locked="0" behindDoc="0" simplePos="0" relativeHeight="267">
            <wp:simplePos x="0" y="0"/>
            <wp:positionH relativeFrom="page">
              <wp:posOffset>874520</wp:posOffset>
            </wp:positionH>
            <wp:positionV relativeFrom="paragraph">
              <wp:posOffset>136249</wp:posOffset>
            </wp:positionV>
            <wp:extent cx="3618242" cy="2586323"/>
            <wp:effectExtent l="0" t="0" r="0" b="0"/>
            <wp:wrapTopAndBottom/>
            <wp:docPr id="103" name="image61.png"/>
            <wp:cNvGraphicFramePr>
              <a:graphicFrameLocks noChangeAspect="1"/>
            </wp:cNvGraphicFramePr>
            <a:graphic>
              <a:graphicData uri="http://schemas.openxmlformats.org/drawingml/2006/picture">
                <pic:pic>
                  <pic:nvPicPr>
                    <pic:cNvPr id="104" name="image61.png"/>
                    <pic:cNvPicPr/>
                  </pic:nvPicPr>
                  <pic:blipFill>
                    <a:blip r:embed="rId89" cstate="print"/>
                    <a:stretch>
                      <a:fillRect/>
                    </a:stretch>
                  </pic:blipFill>
                  <pic:spPr>
                    <a:xfrm>
                      <a:off x="0" y="0"/>
                      <a:ext cx="3618242" cy="2586323"/>
                    </a:xfrm>
                    <a:prstGeom prst="rect">
                      <a:avLst/>
                    </a:prstGeom>
                  </pic:spPr>
                </pic:pic>
              </a:graphicData>
            </a:graphic>
          </wp:anchor>
        </w:drawing>
      </w:r>
    </w:p>
    <w:p>
      <w:pPr>
        <w:spacing w:after="0"/>
        <w:rPr>
          <w:rFonts w:ascii="Arial"/>
          <w:sz w:val="16"/>
        </w:rPr>
        <w:sectPr>
          <w:pgSz w:w="8640" w:h="12960"/>
          <w:pgMar w:header="732" w:footer="0" w:top="920" w:bottom="280" w:left="340" w:right="500"/>
        </w:sectPr>
      </w:pPr>
    </w:p>
    <w:p>
      <w:pPr>
        <w:pStyle w:val="BodyText"/>
        <w:rPr>
          <w:rFonts w:ascii="Arial"/>
          <w:sz w:val="20"/>
        </w:rPr>
      </w:pPr>
    </w:p>
    <w:p>
      <w:pPr>
        <w:spacing w:before="96"/>
        <w:ind w:left="473" w:right="219" w:firstLine="0"/>
        <w:jc w:val="center"/>
        <w:rPr>
          <w:rFonts w:ascii="Arial"/>
          <w:sz w:val="14"/>
        </w:rPr>
      </w:pPr>
      <w:r>
        <w:rPr>
          <w:rFonts w:ascii="Arial"/>
          <w:color w:val="231F20"/>
          <w:w w:val="105"/>
          <w:sz w:val="14"/>
        </w:rPr>
        <w:t>THE</w:t>
      </w:r>
      <w:r>
        <w:rPr>
          <w:rFonts w:ascii="Arial"/>
          <w:color w:val="231F20"/>
          <w:spacing w:val="22"/>
          <w:w w:val="105"/>
          <w:sz w:val="14"/>
        </w:rPr>
        <w:t> </w:t>
      </w:r>
      <w:r>
        <w:rPr>
          <w:rFonts w:ascii="Arial"/>
          <w:color w:val="231F20"/>
          <w:w w:val="105"/>
          <w:sz w:val="14"/>
        </w:rPr>
        <w:t>VALUE</w:t>
      </w:r>
      <w:r>
        <w:rPr>
          <w:rFonts w:ascii="Arial"/>
          <w:color w:val="231F20"/>
          <w:spacing w:val="23"/>
          <w:w w:val="105"/>
          <w:sz w:val="14"/>
        </w:rPr>
        <w:t> </w:t>
      </w:r>
      <w:r>
        <w:rPr>
          <w:rFonts w:ascii="Arial"/>
          <w:color w:val="231F20"/>
          <w:w w:val="105"/>
          <w:sz w:val="14"/>
        </w:rPr>
        <w:t>OF</w:t>
      </w:r>
      <w:r>
        <w:rPr>
          <w:rFonts w:ascii="Arial"/>
          <w:color w:val="231F20"/>
          <w:spacing w:val="23"/>
          <w:w w:val="105"/>
          <w:sz w:val="14"/>
        </w:rPr>
        <w:t> </w:t>
      </w:r>
      <w:r>
        <w:rPr>
          <w:rFonts w:ascii="Arial"/>
          <w:color w:val="231F20"/>
          <w:w w:val="105"/>
          <w:sz w:val="14"/>
        </w:rPr>
        <w:t>A</w:t>
      </w:r>
      <w:r>
        <w:rPr>
          <w:rFonts w:ascii="Arial"/>
          <w:color w:val="231F20"/>
          <w:spacing w:val="23"/>
          <w:w w:val="105"/>
          <w:sz w:val="14"/>
        </w:rPr>
        <w:t> </w:t>
      </w:r>
      <w:r>
        <w:rPr>
          <w:rFonts w:ascii="Arial"/>
          <w:color w:val="231F20"/>
          <w:w w:val="105"/>
          <w:sz w:val="14"/>
        </w:rPr>
        <w:t>WAL-MART</w:t>
      </w:r>
      <w:r>
        <w:rPr>
          <w:rFonts w:ascii="Arial"/>
          <w:color w:val="231F20"/>
          <w:spacing w:val="23"/>
          <w:w w:val="105"/>
          <w:sz w:val="14"/>
        </w:rPr>
        <w:t> </w:t>
      </w:r>
      <w:r>
        <w:rPr>
          <w:rFonts w:ascii="Arial"/>
          <w:color w:val="231F20"/>
          <w:w w:val="105"/>
          <w:sz w:val="14"/>
        </w:rPr>
        <w:t>SEP</w:t>
      </w:r>
      <w:r>
        <w:rPr>
          <w:rFonts w:ascii="Arial"/>
          <w:color w:val="231F20"/>
          <w:spacing w:val="22"/>
          <w:w w:val="105"/>
          <w:sz w:val="14"/>
        </w:rPr>
        <w:t> </w:t>
      </w:r>
      <w:r>
        <w:rPr>
          <w:rFonts w:ascii="Arial"/>
          <w:color w:val="231F20"/>
          <w:w w:val="105"/>
          <w:sz w:val="14"/>
        </w:rPr>
        <w:t>$55</w:t>
      </w:r>
      <w:r>
        <w:rPr>
          <w:rFonts w:ascii="Arial"/>
          <w:color w:val="231F20"/>
          <w:spacing w:val="23"/>
          <w:w w:val="105"/>
          <w:sz w:val="14"/>
        </w:rPr>
        <w:t> </w:t>
      </w:r>
      <w:r>
        <w:rPr>
          <w:rFonts w:ascii="Arial"/>
          <w:color w:val="231F20"/>
          <w:w w:val="105"/>
          <w:sz w:val="14"/>
        </w:rPr>
        <w:t>PUT</w:t>
      </w:r>
      <w:r>
        <w:rPr>
          <w:rFonts w:ascii="Arial"/>
          <w:color w:val="231F20"/>
          <w:spacing w:val="23"/>
          <w:w w:val="105"/>
          <w:sz w:val="14"/>
        </w:rPr>
        <w:t> </w:t>
      </w:r>
      <w:r>
        <w:rPr>
          <w:rFonts w:ascii="Arial"/>
          <w:color w:val="231F20"/>
          <w:spacing w:val="-2"/>
          <w:w w:val="105"/>
          <w:sz w:val="14"/>
        </w:rPr>
        <w:t>OPTION</w:t>
      </w:r>
    </w:p>
    <w:p>
      <w:pPr>
        <w:pStyle w:val="BodyText"/>
        <w:spacing w:before="5"/>
        <w:rPr>
          <w:rFonts w:ascii="Arial"/>
          <w:sz w:val="17"/>
        </w:rPr>
      </w:pPr>
      <w:r>
        <w:rPr/>
        <w:drawing>
          <wp:anchor distT="0" distB="0" distL="0" distR="0" allowOverlap="1" layoutInCell="1" locked="0" behindDoc="0" simplePos="0" relativeHeight="268">
            <wp:simplePos x="0" y="0"/>
            <wp:positionH relativeFrom="page">
              <wp:posOffset>897866</wp:posOffset>
            </wp:positionH>
            <wp:positionV relativeFrom="paragraph">
              <wp:posOffset>142564</wp:posOffset>
            </wp:positionV>
            <wp:extent cx="3744086" cy="2560320"/>
            <wp:effectExtent l="0" t="0" r="0" b="0"/>
            <wp:wrapTopAndBottom/>
            <wp:docPr id="105" name="image62.png"/>
            <wp:cNvGraphicFramePr>
              <a:graphicFrameLocks noChangeAspect="1"/>
            </wp:cNvGraphicFramePr>
            <a:graphic>
              <a:graphicData uri="http://schemas.openxmlformats.org/drawingml/2006/picture">
                <pic:pic>
                  <pic:nvPicPr>
                    <pic:cNvPr id="106" name="image62.png"/>
                    <pic:cNvPicPr/>
                  </pic:nvPicPr>
                  <pic:blipFill>
                    <a:blip r:embed="rId90" cstate="print"/>
                    <a:stretch>
                      <a:fillRect/>
                    </a:stretch>
                  </pic:blipFill>
                  <pic:spPr>
                    <a:xfrm>
                      <a:off x="0" y="0"/>
                      <a:ext cx="3744086" cy="2560320"/>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10"/>
        <w:rPr>
          <w:rFonts w:ascii="Arial"/>
          <w:sz w:val="15"/>
        </w:rPr>
      </w:pPr>
    </w:p>
    <w:p>
      <w:pPr>
        <w:pStyle w:val="BodyText"/>
        <w:spacing w:line="292" w:lineRule="auto"/>
        <w:ind w:left="919" w:right="666" w:firstLine="340"/>
        <w:jc w:val="both"/>
      </w:pPr>
      <w:r>
        <w:rPr>
          <w:color w:val="231F20"/>
        </w:rPr>
        <w:t>In addition to put options, an investor can </w:t>
      </w:r>
      <w:r>
        <w:rPr>
          <w:i/>
          <w:color w:val="231F20"/>
        </w:rPr>
        <w:t>short </w:t>
      </w:r>
      <w:r>
        <w:rPr>
          <w:color w:val="231F20"/>
        </w:rPr>
        <w:t>a stock if he or she would like to bet that a stock’s value will decline. In this transac- tion, you borrow the stock to sell it, with the hope of repurchasing it later at a lower price. And just as with options, short selling can </w:t>
      </w:r>
      <w:r>
        <w:rPr>
          <w:color w:val="231F20"/>
        </w:rPr>
        <w:t>be part of a hedging strategy.</w:t>
      </w:r>
    </w:p>
    <w:p>
      <w:pPr>
        <w:pStyle w:val="BodyText"/>
        <w:rPr>
          <w:sz w:val="24"/>
        </w:rPr>
      </w:pPr>
    </w:p>
    <w:p>
      <w:pPr>
        <w:pStyle w:val="BodyText"/>
        <w:spacing w:before="9"/>
        <w:rPr>
          <w:sz w:val="24"/>
        </w:rPr>
      </w:pPr>
    </w:p>
    <w:p>
      <w:pPr>
        <w:pStyle w:val="Heading4"/>
        <w:spacing w:before="1"/>
        <w:ind w:left="481"/>
      </w:pPr>
      <w:r>
        <w:rPr>
          <w:color w:val="231F20"/>
          <w:spacing w:val="9"/>
          <w:w w:val="85"/>
        </w:rPr>
        <w:t>FINANCIAL</w:t>
      </w:r>
      <w:r>
        <w:rPr>
          <w:color w:val="231F20"/>
          <w:spacing w:val="27"/>
        </w:rPr>
        <w:t> </w:t>
      </w:r>
      <w:r>
        <w:rPr>
          <w:color w:val="231F20"/>
          <w:spacing w:val="9"/>
          <w:w w:val="95"/>
        </w:rPr>
        <w:t>MANAGEMENT</w:t>
      </w:r>
    </w:p>
    <w:p>
      <w:pPr>
        <w:pStyle w:val="BodyText"/>
        <w:spacing w:before="10"/>
        <w:rPr>
          <w:rFonts w:ascii="Trebuchet MS"/>
          <w:sz w:val="29"/>
        </w:rPr>
      </w:pPr>
    </w:p>
    <w:p>
      <w:pPr>
        <w:pStyle w:val="BodyText"/>
        <w:spacing w:line="292" w:lineRule="auto"/>
        <w:ind w:left="920" w:right="667"/>
        <w:jc w:val="both"/>
      </w:pPr>
      <w:r>
        <w:rPr>
          <w:color w:val="231F20"/>
        </w:rPr>
        <w:t>How a company funds itself and maximizes the return on money raised from its shareholders or debt holders is the essence of </w:t>
      </w:r>
      <w:r>
        <w:rPr>
          <w:i/>
          <w:color w:val="231F20"/>
        </w:rPr>
        <w:t>finan-</w:t>
      </w:r>
      <w:r>
        <w:rPr>
          <w:i/>
          <w:color w:val="231F20"/>
        </w:rPr>
        <w:t> cial management. </w:t>
      </w:r>
      <w:r>
        <w:rPr>
          <w:color w:val="231F20"/>
        </w:rPr>
        <w:t>MBAs who choose to go into financial manage- ment perform two major functions:</w:t>
      </w:r>
    </w:p>
    <w:p>
      <w:pPr>
        <w:pStyle w:val="BodyText"/>
        <w:spacing w:before="3"/>
        <w:rPr>
          <w:sz w:val="27"/>
        </w:rPr>
      </w:pPr>
    </w:p>
    <w:p>
      <w:pPr>
        <w:spacing w:line="328" w:lineRule="auto" w:before="0"/>
        <w:ind w:left="1599" w:right="667" w:hanging="340"/>
        <w:jc w:val="left"/>
        <w:rPr>
          <w:rFonts w:ascii="Arial" w:hAnsi="Arial"/>
          <w:sz w:val="19"/>
        </w:rPr>
      </w:pPr>
      <w:r>
        <w:rPr>
          <w:rFonts w:ascii="Arial" w:hAnsi="Arial"/>
          <w:i/>
          <w:color w:val="231F20"/>
          <w:w w:val="110"/>
          <w:sz w:val="19"/>
        </w:rPr>
        <w:t>Business Investment Decisions</w:t>
      </w:r>
      <w:r>
        <w:rPr>
          <w:rFonts w:ascii="Arial" w:hAnsi="Arial"/>
          <w:i/>
          <w:color w:val="231F20"/>
          <w:spacing w:val="-40"/>
          <w:w w:val="110"/>
          <w:sz w:val="19"/>
        </w:rPr>
        <w:t> </w:t>
      </w:r>
      <w:r>
        <w:rPr>
          <w:rFonts w:ascii="Arial" w:hAnsi="Arial"/>
          <w:color w:val="231F20"/>
          <w:spacing w:val="12"/>
          <w:w w:val="110"/>
          <w:sz w:val="19"/>
        </w:rPr>
        <w:t>—</w:t>
      </w:r>
      <w:r>
        <w:rPr>
          <w:rFonts w:ascii="Arial" w:hAnsi="Arial"/>
          <w:color w:val="231F20"/>
          <w:w w:val="110"/>
          <w:sz w:val="19"/>
        </w:rPr>
        <w:t>What assets should the firm </w:t>
      </w:r>
      <w:r>
        <w:rPr>
          <w:rFonts w:ascii="Arial" w:hAnsi="Arial"/>
          <w:color w:val="231F20"/>
          <w:w w:val="115"/>
          <w:sz w:val="19"/>
        </w:rPr>
        <w:t>own?</w:t>
      </w:r>
      <w:r>
        <w:rPr>
          <w:rFonts w:ascii="Arial" w:hAnsi="Arial"/>
          <w:color w:val="231F20"/>
          <w:spacing w:val="-1"/>
          <w:w w:val="115"/>
          <w:sz w:val="19"/>
        </w:rPr>
        <w:t> </w:t>
      </w:r>
      <w:r>
        <w:rPr>
          <w:rFonts w:ascii="Arial" w:hAnsi="Arial"/>
          <w:color w:val="231F20"/>
          <w:w w:val="115"/>
          <w:sz w:val="19"/>
        </w:rPr>
        <w:t>In</w:t>
      </w:r>
      <w:r>
        <w:rPr>
          <w:rFonts w:ascii="Arial" w:hAnsi="Arial"/>
          <w:color w:val="231F20"/>
          <w:spacing w:val="-1"/>
          <w:w w:val="115"/>
          <w:sz w:val="19"/>
        </w:rPr>
        <w:t> </w:t>
      </w:r>
      <w:r>
        <w:rPr>
          <w:rFonts w:ascii="Arial" w:hAnsi="Arial"/>
          <w:color w:val="231F20"/>
          <w:w w:val="115"/>
          <w:sz w:val="19"/>
        </w:rPr>
        <w:t>what</w:t>
      </w:r>
      <w:r>
        <w:rPr>
          <w:rFonts w:ascii="Arial" w:hAnsi="Arial"/>
          <w:color w:val="231F20"/>
          <w:spacing w:val="-1"/>
          <w:w w:val="115"/>
          <w:sz w:val="19"/>
        </w:rPr>
        <w:t> </w:t>
      </w:r>
      <w:r>
        <w:rPr>
          <w:rFonts w:ascii="Arial" w:hAnsi="Arial"/>
          <w:color w:val="231F20"/>
          <w:w w:val="115"/>
          <w:sz w:val="19"/>
        </w:rPr>
        <w:t>projects</w:t>
      </w:r>
      <w:r>
        <w:rPr>
          <w:rFonts w:ascii="Arial" w:hAnsi="Arial"/>
          <w:color w:val="231F20"/>
          <w:spacing w:val="-1"/>
          <w:w w:val="115"/>
          <w:sz w:val="19"/>
        </w:rPr>
        <w:t> </w:t>
      </w:r>
      <w:r>
        <w:rPr>
          <w:rFonts w:ascii="Arial" w:hAnsi="Arial"/>
          <w:color w:val="231F20"/>
          <w:w w:val="115"/>
          <w:sz w:val="19"/>
        </w:rPr>
        <w:t>should</w:t>
      </w:r>
      <w:r>
        <w:rPr>
          <w:rFonts w:ascii="Arial" w:hAnsi="Arial"/>
          <w:color w:val="231F20"/>
          <w:spacing w:val="-1"/>
          <w:w w:val="115"/>
          <w:sz w:val="19"/>
        </w:rPr>
        <w:t> </w:t>
      </w:r>
      <w:r>
        <w:rPr>
          <w:rFonts w:ascii="Arial" w:hAnsi="Arial"/>
          <w:color w:val="231F20"/>
          <w:w w:val="115"/>
          <w:sz w:val="19"/>
        </w:rPr>
        <w:t>the</w:t>
      </w:r>
      <w:r>
        <w:rPr>
          <w:rFonts w:ascii="Arial" w:hAnsi="Arial"/>
          <w:color w:val="231F20"/>
          <w:spacing w:val="-1"/>
          <w:w w:val="115"/>
          <w:sz w:val="19"/>
        </w:rPr>
        <w:t> </w:t>
      </w:r>
      <w:r>
        <w:rPr>
          <w:rFonts w:ascii="Arial" w:hAnsi="Arial"/>
          <w:color w:val="231F20"/>
          <w:w w:val="115"/>
          <w:sz w:val="19"/>
        </w:rPr>
        <w:t>business</w:t>
      </w:r>
      <w:r>
        <w:rPr>
          <w:rFonts w:ascii="Arial" w:hAnsi="Arial"/>
          <w:color w:val="231F20"/>
          <w:spacing w:val="-1"/>
          <w:w w:val="115"/>
          <w:sz w:val="19"/>
        </w:rPr>
        <w:t> </w:t>
      </w:r>
      <w:r>
        <w:rPr>
          <w:rFonts w:ascii="Arial" w:hAnsi="Arial"/>
          <w:color w:val="231F20"/>
          <w:w w:val="115"/>
          <w:sz w:val="19"/>
        </w:rPr>
        <w:t>invest?</w:t>
      </w:r>
    </w:p>
    <w:p>
      <w:pPr>
        <w:spacing w:line="328" w:lineRule="auto" w:before="2"/>
        <w:ind w:left="1599" w:right="1045" w:hanging="340"/>
        <w:jc w:val="left"/>
        <w:rPr>
          <w:rFonts w:ascii="Arial" w:hAnsi="Arial"/>
          <w:sz w:val="19"/>
        </w:rPr>
      </w:pPr>
      <w:r>
        <w:rPr>
          <w:rFonts w:ascii="Arial" w:hAnsi="Arial"/>
          <w:i/>
          <w:color w:val="231F20"/>
          <w:w w:val="110"/>
          <w:sz w:val="19"/>
        </w:rPr>
        <w:t>Financing Decisions</w:t>
      </w:r>
      <w:r>
        <w:rPr>
          <w:rFonts w:ascii="Arial" w:hAnsi="Arial"/>
          <w:i/>
          <w:color w:val="231F20"/>
          <w:spacing w:val="-38"/>
          <w:w w:val="110"/>
          <w:sz w:val="19"/>
        </w:rPr>
        <w:t> </w:t>
      </w:r>
      <w:r>
        <w:rPr>
          <w:rFonts w:ascii="Arial" w:hAnsi="Arial"/>
          <w:color w:val="231F20"/>
          <w:w w:val="110"/>
          <w:sz w:val="19"/>
        </w:rPr>
        <w:t>—</w:t>
      </w:r>
      <w:r>
        <w:rPr>
          <w:rFonts w:ascii="Arial" w:hAnsi="Arial"/>
          <w:color w:val="231F20"/>
          <w:spacing w:val="-38"/>
          <w:w w:val="110"/>
          <w:sz w:val="19"/>
        </w:rPr>
        <w:t> </w:t>
      </w:r>
      <w:r>
        <w:rPr>
          <w:rFonts w:ascii="Arial" w:hAnsi="Arial"/>
          <w:color w:val="231F20"/>
          <w:w w:val="110"/>
          <w:sz w:val="19"/>
        </w:rPr>
        <w:t>How should those investments </w:t>
      </w:r>
      <w:r>
        <w:rPr>
          <w:rFonts w:ascii="Arial" w:hAnsi="Arial"/>
          <w:color w:val="231F20"/>
          <w:w w:val="110"/>
          <w:sz w:val="19"/>
        </w:rPr>
        <w:t>be </w:t>
      </w:r>
      <w:r>
        <w:rPr>
          <w:rFonts w:ascii="Arial" w:hAnsi="Arial"/>
          <w:color w:val="231F20"/>
          <w:w w:val="115"/>
          <w:sz w:val="19"/>
        </w:rPr>
        <w:t>paid for?</w:t>
      </w:r>
    </w:p>
    <w:p>
      <w:pPr>
        <w:spacing w:after="0" w:line="328" w:lineRule="auto"/>
        <w:jc w:val="left"/>
        <w:rPr>
          <w:rFonts w:ascii="Arial" w:hAnsi="Arial"/>
          <w:sz w:val="19"/>
        </w:rPr>
        <w:sectPr>
          <w:pgSz w:w="8640" w:h="12960"/>
          <w:pgMar w:header="734" w:footer="0" w:top="920" w:bottom="280" w:left="340" w:right="500"/>
        </w:sectPr>
      </w:pPr>
    </w:p>
    <w:p>
      <w:pPr>
        <w:pStyle w:val="BodyText"/>
        <w:spacing w:before="2"/>
        <w:rPr>
          <w:rFonts w:ascii="Arial"/>
          <w:sz w:val="18"/>
        </w:rPr>
      </w:pPr>
    </w:p>
    <w:p>
      <w:pPr>
        <w:pStyle w:val="Heading6"/>
        <w:spacing w:before="99"/>
        <w:ind w:left="299"/>
        <w:rPr>
          <w:i/>
        </w:rPr>
      </w:pPr>
      <w:r>
        <w:rPr>
          <w:i/>
          <w:color w:val="231F20"/>
          <w:w w:val="110"/>
        </w:rPr>
        <w:t>BUSINESS</w:t>
      </w:r>
      <w:r>
        <w:rPr>
          <w:i/>
          <w:color w:val="231F20"/>
          <w:spacing w:val="38"/>
          <w:w w:val="110"/>
        </w:rPr>
        <w:t>  </w:t>
      </w:r>
      <w:r>
        <w:rPr>
          <w:i/>
          <w:color w:val="231F20"/>
          <w:w w:val="110"/>
        </w:rPr>
        <w:t>INVESTMENT</w:t>
      </w:r>
      <w:r>
        <w:rPr>
          <w:i/>
          <w:color w:val="231F20"/>
          <w:spacing w:val="39"/>
          <w:w w:val="110"/>
        </w:rPr>
        <w:t>  </w:t>
      </w:r>
      <w:r>
        <w:rPr>
          <w:i/>
          <w:color w:val="231F20"/>
          <w:spacing w:val="8"/>
          <w:w w:val="110"/>
        </w:rPr>
        <w:t>DECISIONS</w:t>
      </w:r>
    </w:p>
    <w:p>
      <w:pPr>
        <w:pStyle w:val="BodyText"/>
        <w:rPr>
          <w:b/>
          <w:i/>
          <w:sz w:val="31"/>
        </w:rPr>
      </w:pPr>
    </w:p>
    <w:p>
      <w:pPr>
        <w:pStyle w:val="BodyText"/>
        <w:spacing w:line="292" w:lineRule="auto" w:before="1"/>
        <w:ind w:left="830" w:right="753"/>
        <w:jc w:val="both"/>
        <w:rPr>
          <w:i/>
        </w:rPr>
      </w:pPr>
      <w:r>
        <w:rPr>
          <w:color w:val="231F20"/>
        </w:rPr>
        <w:t>There are many investments that a company can make. It is a finan- cial manager’s job to help the management team evaluate invest- ments, rank them, and suggest choices. The MBA term for such activity is </w:t>
      </w:r>
      <w:r>
        <w:rPr>
          <w:i/>
          <w:color w:val="231F20"/>
        </w:rPr>
        <w:t>capital budgeting.</w:t>
      </w:r>
    </w:p>
    <w:p>
      <w:pPr>
        <w:pStyle w:val="BodyText"/>
        <w:spacing w:line="292" w:lineRule="auto"/>
        <w:ind w:left="830" w:right="753" w:firstLine="340"/>
        <w:jc w:val="both"/>
      </w:pPr>
      <w:r>
        <w:rPr>
          <w:color w:val="231F20"/>
        </w:rPr>
        <w:t>In the quantitative analysis chapter, the Quaker Oats example described the techniques used to decide whether to invest in new cereal filling equipment. Quaker managers used discounted cash flows to calculate the net present value (NPV) of the project. In the marketing chapter, the decision to launch a new coffee brand was evaluated by a simpler measure, the payback period. Some invest- ments, however, defy financial analysis. Charitable donations, for example, provide intangible benefits that financial managers alone cannot evaluate.</w:t>
      </w:r>
    </w:p>
    <w:p>
      <w:pPr>
        <w:pStyle w:val="BodyText"/>
        <w:spacing w:line="292" w:lineRule="auto"/>
        <w:ind w:left="830" w:right="753" w:firstLine="340"/>
        <w:jc w:val="both"/>
      </w:pPr>
      <w:r>
        <w:rPr>
          <w:color w:val="231F20"/>
        </w:rPr>
        <w:t>Investment decisions fall into one of three basic decision </w:t>
      </w:r>
      <w:r>
        <w:rPr>
          <w:color w:val="231F20"/>
          <w:spacing w:val="-2"/>
        </w:rPr>
        <w:t>categories:</w:t>
      </w:r>
    </w:p>
    <w:p>
      <w:pPr>
        <w:pStyle w:val="BodyText"/>
        <w:spacing w:before="3"/>
        <w:rPr>
          <w:sz w:val="33"/>
        </w:rPr>
      </w:pPr>
    </w:p>
    <w:p>
      <w:pPr>
        <w:spacing w:line="328" w:lineRule="auto" w:before="1"/>
        <w:ind w:left="1170" w:right="1742" w:firstLine="0"/>
        <w:jc w:val="left"/>
        <w:rPr>
          <w:rFonts w:ascii="Arial"/>
          <w:i/>
          <w:sz w:val="19"/>
        </w:rPr>
      </w:pPr>
      <w:r>
        <w:rPr>
          <w:rFonts w:ascii="Arial"/>
          <w:i/>
          <w:color w:val="231F20"/>
          <w:w w:val="115"/>
          <w:sz w:val="19"/>
        </w:rPr>
        <w:t>Accept or Reject a Single Investment Proposal</w:t>
      </w:r>
      <w:r>
        <w:rPr>
          <w:rFonts w:ascii="Arial"/>
          <w:i/>
          <w:color w:val="231F20"/>
          <w:w w:val="115"/>
          <w:sz w:val="19"/>
        </w:rPr>
        <w:t> </w:t>
      </w:r>
      <w:r>
        <w:rPr>
          <w:rFonts w:ascii="Arial"/>
          <w:i/>
          <w:color w:val="231F20"/>
          <w:spacing w:val="-2"/>
          <w:w w:val="115"/>
          <w:sz w:val="19"/>
        </w:rPr>
        <w:t>Choose</w:t>
      </w:r>
      <w:r>
        <w:rPr>
          <w:rFonts w:ascii="Arial"/>
          <w:i/>
          <w:color w:val="231F20"/>
          <w:spacing w:val="-9"/>
          <w:w w:val="115"/>
          <w:sz w:val="19"/>
        </w:rPr>
        <w:t> </w:t>
      </w:r>
      <w:r>
        <w:rPr>
          <w:rFonts w:ascii="Arial"/>
          <w:i/>
          <w:color w:val="231F20"/>
          <w:spacing w:val="-2"/>
          <w:w w:val="115"/>
          <w:sz w:val="19"/>
        </w:rPr>
        <w:t>One</w:t>
      </w:r>
      <w:r>
        <w:rPr>
          <w:rFonts w:ascii="Arial"/>
          <w:i/>
          <w:color w:val="231F20"/>
          <w:spacing w:val="-9"/>
          <w:w w:val="115"/>
          <w:sz w:val="19"/>
        </w:rPr>
        <w:t> </w:t>
      </w:r>
      <w:r>
        <w:rPr>
          <w:rFonts w:ascii="Arial"/>
          <w:i/>
          <w:color w:val="231F20"/>
          <w:spacing w:val="-2"/>
          <w:w w:val="115"/>
          <w:sz w:val="19"/>
        </w:rPr>
        <w:t>Competing</w:t>
      </w:r>
      <w:r>
        <w:rPr>
          <w:rFonts w:ascii="Arial"/>
          <w:i/>
          <w:color w:val="231F20"/>
          <w:spacing w:val="-9"/>
          <w:w w:val="115"/>
          <w:sz w:val="19"/>
        </w:rPr>
        <w:t> </w:t>
      </w:r>
      <w:r>
        <w:rPr>
          <w:rFonts w:ascii="Arial"/>
          <w:i/>
          <w:color w:val="231F20"/>
          <w:spacing w:val="-2"/>
          <w:w w:val="115"/>
          <w:sz w:val="19"/>
        </w:rPr>
        <w:t>Investment</w:t>
      </w:r>
      <w:r>
        <w:rPr>
          <w:rFonts w:ascii="Arial"/>
          <w:i/>
          <w:color w:val="231F20"/>
          <w:spacing w:val="-9"/>
          <w:w w:val="115"/>
          <w:sz w:val="19"/>
        </w:rPr>
        <w:t> </w:t>
      </w:r>
      <w:r>
        <w:rPr>
          <w:rFonts w:ascii="Arial"/>
          <w:i/>
          <w:color w:val="231F20"/>
          <w:spacing w:val="-2"/>
          <w:w w:val="115"/>
          <w:sz w:val="19"/>
        </w:rPr>
        <w:t>over</w:t>
      </w:r>
      <w:r>
        <w:rPr>
          <w:rFonts w:ascii="Arial"/>
          <w:i/>
          <w:color w:val="231F20"/>
          <w:spacing w:val="-9"/>
          <w:w w:val="115"/>
          <w:sz w:val="19"/>
        </w:rPr>
        <w:t> </w:t>
      </w:r>
      <w:r>
        <w:rPr>
          <w:rFonts w:ascii="Arial"/>
          <w:i/>
          <w:color w:val="231F20"/>
          <w:spacing w:val="-2"/>
          <w:w w:val="115"/>
          <w:sz w:val="19"/>
        </w:rPr>
        <w:t>Another</w:t>
      </w:r>
    </w:p>
    <w:p>
      <w:pPr>
        <w:spacing w:line="328" w:lineRule="auto" w:before="1"/>
        <w:ind w:left="1509" w:right="1045" w:hanging="340"/>
        <w:jc w:val="left"/>
        <w:rPr>
          <w:rFonts w:ascii="Arial" w:hAnsi="Arial"/>
          <w:sz w:val="19"/>
        </w:rPr>
      </w:pPr>
      <w:r>
        <w:rPr>
          <w:rFonts w:ascii="Arial" w:hAnsi="Arial"/>
          <w:i/>
          <w:color w:val="231F20"/>
          <w:w w:val="115"/>
          <w:sz w:val="19"/>
        </w:rPr>
        <w:t>Capital</w:t>
      </w:r>
      <w:r>
        <w:rPr>
          <w:rFonts w:ascii="Arial" w:hAnsi="Arial"/>
          <w:i/>
          <w:color w:val="231F20"/>
          <w:spacing w:val="-15"/>
          <w:w w:val="115"/>
          <w:sz w:val="19"/>
        </w:rPr>
        <w:t> </w:t>
      </w:r>
      <w:r>
        <w:rPr>
          <w:rFonts w:ascii="Arial" w:hAnsi="Arial"/>
          <w:i/>
          <w:color w:val="231F20"/>
          <w:w w:val="115"/>
          <w:sz w:val="19"/>
        </w:rPr>
        <w:t>Rationing</w:t>
      </w:r>
      <w:r>
        <w:rPr>
          <w:rFonts w:ascii="Arial" w:hAnsi="Arial"/>
          <w:color w:val="231F20"/>
          <w:w w:val="115"/>
          <w:sz w:val="19"/>
        </w:rPr>
        <w:t>—With</w:t>
      </w:r>
      <w:r>
        <w:rPr>
          <w:rFonts w:ascii="Arial" w:hAnsi="Arial"/>
          <w:color w:val="231F20"/>
          <w:spacing w:val="-15"/>
          <w:w w:val="115"/>
          <w:sz w:val="19"/>
        </w:rPr>
        <w:t> </w:t>
      </w:r>
      <w:r>
        <w:rPr>
          <w:rFonts w:ascii="Arial" w:hAnsi="Arial"/>
          <w:color w:val="231F20"/>
          <w:w w:val="115"/>
          <w:sz w:val="19"/>
        </w:rPr>
        <w:t>a</w:t>
      </w:r>
      <w:r>
        <w:rPr>
          <w:rFonts w:ascii="Arial" w:hAnsi="Arial"/>
          <w:color w:val="231F20"/>
          <w:spacing w:val="-15"/>
          <w:w w:val="115"/>
          <w:sz w:val="19"/>
        </w:rPr>
        <w:t> </w:t>
      </w:r>
      <w:r>
        <w:rPr>
          <w:rFonts w:ascii="Arial" w:hAnsi="Arial"/>
          <w:color w:val="231F20"/>
          <w:w w:val="115"/>
          <w:sz w:val="19"/>
        </w:rPr>
        <w:t>limited</w:t>
      </w:r>
      <w:r>
        <w:rPr>
          <w:rFonts w:ascii="Arial" w:hAnsi="Arial"/>
          <w:color w:val="231F20"/>
          <w:spacing w:val="-15"/>
          <w:w w:val="115"/>
          <w:sz w:val="19"/>
        </w:rPr>
        <w:t> </w:t>
      </w:r>
      <w:r>
        <w:rPr>
          <w:rFonts w:ascii="Arial" w:hAnsi="Arial"/>
          <w:color w:val="231F20"/>
          <w:w w:val="115"/>
          <w:sz w:val="19"/>
        </w:rPr>
        <w:t>investment</w:t>
      </w:r>
      <w:r>
        <w:rPr>
          <w:rFonts w:ascii="Arial" w:hAnsi="Arial"/>
          <w:color w:val="231F20"/>
          <w:spacing w:val="-15"/>
          <w:w w:val="115"/>
          <w:sz w:val="19"/>
        </w:rPr>
        <w:t> </w:t>
      </w:r>
      <w:r>
        <w:rPr>
          <w:rFonts w:ascii="Arial" w:hAnsi="Arial"/>
          <w:color w:val="231F20"/>
          <w:w w:val="115"/>
          <w:sz w:val="19"/>
        </w:rPr>
        <w:t>pool,</w:t>
      </w:r>
      <w:r>
        <w:rPr>
          <w:rFonts w:ascii="Arial" w:hAnsi="Arial"/>
          <w:color w:val="231F20"/>
          <w:spacing w:val="-15"/>
          <w:w w:val="115"/>
          <w:sz w:val="19"/>
        </w:rPr>
        <w:t> </w:t>
      </w:r>
      <w:r>
        <w:rPr>
          <w:rFonts w:ascii="Arial" w:hAnsi="Arial"/>
          <w:color w:val="231F20"/>
          <w:w w:val="115"/>
          <w:sz w:val="19"/>
        </w:rPr>
        <w:t>capital rationing tells which projects among many should be </w:t>
      </w:r>
      <w:r>
        <w:rPr>
          <w:rFonts w:ascii="Arial" w:hAnsi="Arial"/>
          <w:color w:val="231F20"/>
          <w:spacing w:val="-2"/>
          <w:w w:val="115"/>
          <w:sz w:val="19"/>
        </w:rPr>
        <w:t>chosen.</w:t>
      </w:r>
    </w:p>
    <w:p>
      <w:pPr>
        <w:pStyle w:val="BodyText"/>
        <w:rPr>
          <w:rFonts w:ascii="Arial"/>
          <w:sz w:val="20"/>
        </w:rPr>
      </w:pPr>
    </w:p>
    <w:p>
      <w:pPr>
        <w:pStyle w:val="BodyText"/>
        <w:spacing w:line="292" w:lineRule="auto" w:before="126"/>
        <w:ind w:left="830" w:right="757" w:firstLine="340"/>
        <w:jc w:val="both"/>
      </w:pPr>
      <w:r>
        <w:rPr>
          <w:color w:val="231F20"/>
        </w:rPr>
        <w:t>Each corporation uses its own criteria to ration its limited re- sources. The major tools that MBAs use are:</w:t>
      </w:r>
    </w:p>
    <w:p>
      <w:pPr>
        <w:pStyle w:val="BodyText"/>
        <w:spacing w:before="8"/>
        <w:rPr>
          <w:sz w:val="33"/>
        </w:rPr>
      </w:pPr>
    </w:p>
    <w:p>
      <w:pPr>
        <w:spacing w:line="328" w:lineRule="auto" w:before="0"/>
        <w:ind w:left="1170" w:right="4860" w:firstLine="0"/>
        <w:jc w:val="left"/>
        <w:rPr>
          <w:rFonts w:ascii="Arial"/>
          <w:sz w:val="19"/>
        </w:rPr>
      </w:pPr>
      <w:r>
        <w:rPr>
          <w:rFonts w:ascii="Arial"/>
          <w:color w:val="231F20"/>
          <w:w w:val="110"/>
          <w:sz w:val="19"/>
        </w:rPr>
        <w:t>Payback Period Net</w:t>
      </w:r>
      <w:r>
        <w:rPr>
          <w:rFonts w:ascii="Arial"/>
          <w:color w:val="231F20"/>
          <w:spacing w:val="-12"/>
          <w:w w:val="110"/>
          <w:sz w:val="19"/>
        </w:rPr>
        <w:t> </w:t>
      </w:r>
      <w:r>
        <w:rPr>
          <w:rFonts w:ascii="Arial"/>
          <w:color w:val="231F20"/>
          <w:w w:val="110"/>
          <w:sz w:val="19"/>
        </w:rPr>
        <w:t>Present</w:t>
      </w:r>
      <w:r>
        <w:rPr>
          <w:rFonts w:ascii="Arial"/>
          <w:color w:val="231F20"/>
          <w:spacing w:val="-12"/>
          <w:w w:val="110"/>
          <w:sz w:val="19"/>
        </w:rPr>
        <w:t> </w:t>
      </w:r>
      <w:r>
        <w:rPr>
          <w:rFonts w:ascii="Arial"/>
          <w:color w:val="231F20"/>
          <w:w w:val="110"/>
          <w:sz w:val="19"/>
        </w:rPr>
        <w:t>Value</w:t>
      </w:r>
    </w:p>
    <w:p>
      <w:pPr>
        <w:pStyle w:val="BodyText"/>
        <w:spacing w:before="4"/>
        <w:rPr>
          <w:rFonts w:ascii="Arial"/>
          <w:sz w:val="24"/>
        </w:rPr>
      </w:pPr>
    </w:p>
    <w:p>
      <w:pPr>
        <w:pStyle w:val="BodyText"/>
        <w:spacing w:line="292" w:lineRule="auto" w:before="1"/>
        <w:ind w:left="830" w:right="756"/>
        <w:jc w:val="both"/>
      </w:pPr>
      <w:r>
        <w:rPr>
          <w:i/>
          <w:color w:val="231F20"/>
        </w:rPr>
        <w:t>Payback Period Method. </w:t>
      </w:r>
      <w:r>
        <w:rPr>
          <w:color w:val="231F20"/>
        </w:rPr>
        <w:t>Many companies believe that the best </w:t>
      </w:r>
      <w:r>
        <w:rPr>
          <w:color w:val="231F20"/>
        </w:rPr>
        <w:t>way</w:t>
      </w:r>
      <w:r>
        <w:rPr>
          <w:color w:val="231F20"/>
          <w:spacing w:val="80"/>
          <w:w w:val="150"/>
        </w:rPr>
        <w:t> </w:t>
      </w:r>
      <w:r>
        <w:rPr>
          <w:color w:val="231F20"/>
        </w:rPr>
        <w:t>to judge investments is to calculate the amount of time it takes to re- cover their investments:</w:t>
      </w:r>
    </w:p>
    <w:p>
      <w:pPr>
        <w:pStyle w:val="BodyText"/>
        <w:spacing w:before="187"/>
        <w:ind w:left="290" w:right="219"/>
        <w:jc w:val="center"/>
      </w:pPr>
      <w:r>
        <w:rPr>
          <w:color w:val="231F20"/>
        </w:rPr>
        <w:t>Payback</w:t>
      </w:r>
      <w:r>
        <w:rPr>
          <w:color w:val="231F20"/>
          <w:spacing w:val="22"/>
        </w:rPr>
        <w:t> </w:t>
      </w:r>
      <w:r>
        <w:rPr>
          <w:rFonts w:ascii="Symbol" w:hAnsi="Symbol"/>
          <w:color w:val="231F20"/>
        </w:rPr>
        <w:t></w:t>
      </w:r>
      <w:r>
        <w:rPr>
          <w:rFonts w:ascii="Times New Roman" w:hAnsi="Times New Roman"/>
          <w:color w:val="231F20"/>
          <w:spacing w:val="16"/>
        </w:rPr>
        <w:t> </w:t>
      </w:r>
      <w:r>
        <w:rPr>
          <w:color w:val="231F20"/>
        </w:rPr>
        <w:t>Number</w:t>
      </w:r>
      <w:r>
        <w:rPr>
          <w:color w:val="231F20"/>
          <w:spacing w:val="22"/>
        </w:rPr>
        <w:t> </w:t>
      </w:r>
      <w:r>
        <w:rPr>
          <w:color w:val="231F20"/>
        </w:rPr>
        <w:t>of</w:t>
      </w:r>
      <w:r>
        <w:rPr>
          <w:color w:val="231F20"/>
          <w:spacing w:val="23"/>
        </w:rPr>
        <w:t> </w:t>
      </w:r>
      <w:r>
        <w:rPr>
          <w:color w:val="231F20"/>
        </w:rPr>
        <w:t>Years</w:t>
      </w:r>
      <w:r>
        <w:rPr>
          <w:color w:val="231F20"/>
          <w:spacing w:val="22"/>
        </w:rPr>
        <w:t> </w:t>
      </w:r>
      <w:r>
        <w:rPr>
          <w:color w:val="231F20"/>
        </w:rPr>
        <w:t>to</w:t>
      </w:r>
      <w:r>
        <w:rPr>
          <w:color w:val="231F20"/>
          <w:spacing w:val="22"/>
        </w:rPr>
        <w:t> </w:t>
      </w:r>
      <w:r>
        <w:rPr>
          <w:color w:val="231F20"/>
        </w:rPr>
        <w:t>Recover</w:t>
      </w:r>
      <w:r>
        <w:rPr>
          <w:color w:val="231F20"/>
          <w:spacing w:val="23"/>
        </w:rPr>
        <w:t> </w:t>
      </w:r>
      <w:r>
        <w:rPr>
          <w:color w:val="231F20"/>
        </w:rPr>
        <w:t>Initial</w:t>
      </w:r>
      <w:r>
        <w:rPr>
          <w:color w:val="231F20"/>
          <w:spacing w:val="22"/>
        </w:rPr>
        <w:t> </w:t>
      </w:r>
      <w:r>
        <w:rPr>
          <w:color w:val="231F20"/>
          <w:spacing w:val="-2"/>
        </w:rPr>
        <w:t>Investment</w:t>
      </w:r>
    </w:p>
    <w:p>
      <w:pPr>
        <w:spacing w:after="0"/>
        <w:jc w:val="center"/>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3" w:firstLine="340"/>
        <w:jc w:val="both"/>
      </w:pPr>
      <w:r>
        <w:rPr>
          <w:color w:val="231F20"/>
        </w:rPr>
        <w:t>Analysts can easily calculate paybacks and make simple </w:t>
      </w:r>
      <w:r>
        <w:rPr>
          <w:color w:val="231F20"/>
        </w:rPr>
        <w:t>accept- or-reject decisions based on a required payback period. Those projects that come close to the mark are accepted, and those falling short are rejected. For example, the managers of a small company may believe that all energy- and laborsaving devices should have a maximum three-year payback, and that all new equipment should “pay</w:t>
      </w:r>
      <w:r>
        <w:rPr>
          <w:color w:val="231F20"/>
          <w:spacing w:val="40"/>
        </w:rPr>
        <w:t> </w:t>
      </w:r>
      <w:r>
        <w:rPr>
          <w:color w:val="231F20"/>
        </w:rPr>
        <w:t>back”</w:t>
      </w:r>
      <w:r>
        <w:rPr>
          <w:color w:val="231F20"/>
          <w:spacing w:val="40"/>
        </w:rPr>
        <w:t> </w:t>
      </w:r>
      <w:r>
        <w:rPr>
          <w:color w:val="231F20"/>
        </w:rPr>
        <w:t>in</w:t>
      </w:r>
      <w:r>
        <w:rPr>
          <w:color w:val="231F20"/>
          <w:spacing w:val="40"/>
        </w:rPr>
        <w:t> </w:t>
      </w:r>
      <w:r>
        <w:rPr>
          <w:color w:val="231F20"/>
        </w:rPr>
        <w:t>eight</w:t>
      </w:r>
      <w:r>
        <w:rPr>
          <w:color w:val="231F20"/>
          <w:spacing w:val="40"/>
        </w:rPr>
        <w:t> </w:t>
      </w:r>
      <w:r>
        <w:rPr>
          <w:color w:val="231F20"/>
        </w:rPr>
        <w:t>years,</w:t>
      </w:r>
      <w:r>
        <w:rPr>
          <w:color w:val="231F20"/>
          <w:spacing w:val="40"/>
        </w:rPr>
        <w:t> </w:t>
      </w:r>
      <w:r>
        <w:rPr>
          <w:color w:val="231F20"/>
        </w:rPr>
        <w:t>whereas</w:t>
      </w:r>
      <w:r>
        <w:rPr>
          <w:color w:val="231F20"/>
          <w:spacing w:val="40"/>
        </w:rPr>
        <w:t> </w:t>
      </w:r>
      <w:r>
        <w:rPr>
          <w:color w:val="231F20"/>
        </w:rPr>
        <w:t>research</w:t>
      </w:r>
      <w:r>
        <w:rPr>
          <w:color w:val="231F20"/>
          <w:spacing w:val="40"/>
        </w:rPr>
        <w:t> </w:t>
      </w:r>
      <w:r>
        <w:rPr>
          <w:color w:val="231F20"/>
        </w:rPr>
        <w:t>projects</w:t>
      </w:r>
      <w:r>
        <w:rPr>
          <w:color w:val="231F20"/>
          <w:spacing w:val="40"/>
        </w:rPr>
        <w:t> </w:t>
      </w:r>
      <w:r>
        <w:rPr>
          <w:color w:val="231F20"/>
        </w:rPr>
        <w:t>should</w:t>
      </w:r>
      <w:r>
        <w:rPr>
          <w:color w:val="231F20"/>
          <w:spacing w:val="40"/>
        </w:rPr>
        <w:t> </w:t>
      </w:r>
      <w:r>
        <w:rPr>
          <w:color w:val="231F20"/>
        </w:rPr>
        <w:t>pay back in ten years. Those requirements are based on management’s judgment, experience, and level of risk aversion.</w:t>
      </w:r>
    </w:p>
    <w:p>
      <w:pPr>
        <w:pStyle w:val="BodyText"/>
        <w:spacing w:line="292" w:lineRule="auto"/>
        <w:ind w:left="920" w:right="666" w:firstLine="340"/>
        <w:jc w:val="both"/>
      </w:pPr>
      <w:r>
        <w:rPr>
          <w:color w:val="231F20"/>
        </w:rPr>
        <w:t>By accepting projects with longer paybacks, management ac- cepts more risk. The further out an investment’s payback, the </w:t>
      </w:r>
      <w:r>
        <w:rPr>
          <w:color w:val="231F20"/>
        </w:rPr>
        <w:t>more uncertain and risky it is. The concept is similar to the measure bond investors use, </w:t>
      </w:r>
      <w:r>
        <w:rPr>
          <w:i/>
          <w:color w:val="231F20"/>
        </w:rPr>
        <w:t>duration. </w:t>
      </w:r>
      <w:r>
        <w:rPr>
          <w:color w:val="231F20"/>
        </w:rPr>
        <w:t>The longer it takes an investor to recover</w:t>
      </w:r>
      <w:r>
        <w:rPr>
          <w:color w:val="231F20"/>
          <w:spacing w:val="80"/>
        </w:rPr>
        <w:t> </w:t>
      </w:r>
      <w:r>
        <w:rPr>
          <w:color w:val="231F20"/>
        </w:rPr>
        <w:t>half of his or her bond investment, the riskier it is.</w:t>
      </w:r>
    </w:p>
    <w:p>
      <w:pPr>
        <w:pStyle w:val="BodyText"/>
        <w:spacing w:line="292" w:lineRule="auto"/>
        <w:ind w:left="920" w:right="667" w:firstLine="340"/>
        <w:jc w:val="both"/>
      </w:pPr>
      <w:r>
        <w:rPr>
          <w:color w:val="231F20"/>
        </w:rPr>
        <w:t>Payback</w:t>
      </w:r>
      <w:r>
        <w:rPr>
          <w:color w:val="231F20"/>
          <w:spacing w:val="-7"/>
        </w:rPr>
        <w:t> </w:t>
      </w:r>
      <w:r>
        <w:rPr>
          <w:color w:val="231F20"/>
        </w:rPr>
        <w:t>period</w:t>
      </w:r>
      <w:r>
        <w:rPr>
          <w:color w:val="231F20"/>
          <w:spacing w:val="-7"/>
        </w:rPr>
        <w:t> </w:t>
      </w:r>
      <w:r>
        <w:rPr>
          <w:color w:val="231F20"/>
        </w:rPr>
        <w:t>criteria</w:t>
      </w:r>
      <w:r>
        <w:rPr>
          <w:color w:val="231F20"/>
          <w:spacing w:val="-7"/>
        </w:rPr>
        <w:t> </w:t>
      </w:r>
      <w:r>
        <w:rPr>
          <w:color w:val="231F20"/>
        </w:rPr>
        <w:t>are</w:t>
      </w:r>
      <w:r>
        <w:rPr>
          <w:color w:val="231F20"/>
          <w:spacing w:val="-7"/>
        </w:rPr>
        <w:t> </w:t>
      </w:r>
      <w:r>
        <w:rPr>
          <w:color w:val="231F20"/>
        </w:rPr>
        <w:t>desirable</w:t>
      </w:r>
      <w:r>
        <w:rPr>
          <w:color w:val="231F20"/>
          <w:spacing w:val="-7"/>
        </w:rPr>
        <w:t> </w:t>
      </w:r>
      <w:r>
        <w:rPr>
          <w:color w:val="231F20"/>
        </w:rPr>
        <w:t>because</w:t>
      </w:r>
      <w:r>
        <w:rPr>
          <w:color w:val="231F20"/>
          <w:spacing w:val="-7"/>
        </w:rPr>
        <w:t> </w:t>
      </w:r>
      <w:r>
        <w:rPr>
          <w:color w:val="231F20"/>
        </w:rPr>
        <w:t>they</w:t>
      </w:r>
      <w:r>
        <w:rPr>
          <w:color w:val="231F20"/>
          <w:spacing w:val="-7"/>
        </w:rPr>
        <w:t> </w:t>
      </w:r>
      <w:r>
        <w:rPr>
          <w:color w:val="231F20"/>
        </w:rPr>
        <w:t>are</w:t>
      </w:r>
      <w:r>
        <w:rPr>
          <w:color w:val="231F20"/>
          <w:spacing w:val="-7"/>
        </w:rPr>
        <w:t> </w:t>
      </w:r>
      <w:r>
        <w:rPr>
          <w:color w:val="231F20"/>
        </w:rPr>
        <w:t>easy</w:t>
      </w:r>
      <w:r>
        <w:rPr>
          <w:color w:val="231F20"/>
          <w:spacing w:val="-7"/>
        </w:rPr>
        <w:t> </w:t>
      </w:r>
      <w:r>
        <w:rPr>
          <w:color w:val="231F20"/>
        </w:rPr>
        <w:t>to</w:t>
      </w:r>
      <w:r>
        <w:rPr>
          <w:color w:val="231F20"/>
          <w:spacing w:val="-7"/>
        </w:rPr>
        <w:t> </w:t>
      </w:r>
      <w:r>
        <w:rPr>
          <w:color w:val="231F20"/>
        </w:rPr>
        <w:t>cal- culate, use, and understand. However, they ignore the timing of cash flows, and accordingly, the time value of money. Projects with vastly different cash flows can have the same payback period. For example, a</w:t>
      </w:r>
      <w:r>
        <w:rPr>
          <w:color w:val="231F20"/>
          <w:spacing w:val="40"/>
        </w:rPr>
        <w:t> </w:t>
      </w:r>
      <w:r>
        <w:rPr>
          <w:color w:val="231F20"/>
        </w:rPr>
        <w:t>research</w:t>
      </w:r>
      <w:r>
        <w:rPr>
          <w:color w:val="231F20"/>
          <w:spacing w:val="40"/>
        </w:rPr>
        <w:t> </w:t>
      </w:r>
      <w:r>
        <w:rPr>
          <w:color w:val="231F20"/>
        </w:rPr>
        <w:t>project</w:t>
      </w:r>
      <w:r>
        <w:rPr>
          <w:color w:val="231F20"/>
          <w:spacing w:val="40"/>
        </w:rPr>
        <w:t> </w:t>
      </w:r>
      <w:r>
        <w:rPr>
          <w:color w:val="231F20"/>
        </w:rPr>
        <w:t>that</w:t>
      </w:r>
      <w:r>
        <w:rPr>
          <w:color w:val="231F20"/>
          <w:spacing w:val="40"/>
        </w:rPr>
        <w:t> </w:t>
      </w:r>
      <w:r>
        <w:rPr>
          <w:color w:val="231F20"/>
        </w:rPr>
        <w:t>repays</w:t>
      </w:r>
      <w:r>
        <w:rPr>
          <w:color w:val="231F20"/>
          <w:spacing w:val="40"/>
        </w:rPr>
        <w:t> </w:t>
      </w:r>
      <w:r>
        <w:rPr>
          <w:color w:val="231F20"/>
        </w:rPr>
        <w:t>a</w:t>
      </w:r>
      <w:r>
        <w:rPr>
          <w:color w:val="231F20"/>
          <w:spacing w:val="40"/>
        </w:rPr>
        <w:t> </w:t>
      </w:r>
      <w:r>
        <w:rPr>
          <w:color w:val="231F20"/>
        </w:rPr>
        <w:t>$100,000</w:t>
      </w:r>
      <w:r>
        <w:rPr>
          <w:color w:val="231F20"/>
          <w:spacing w:val="40"/>
        </w:rPr>
        <w:t> </w:t>
      </w:r>
      <w:r>
        <w:rPr>
          <w:color w:val="231F20"/>
        </w:rPr>
        <w:t>investment</w:t>
      </w:r>
      <w:r>
        <w:rPr>
          <w:color w:val="231F20"/>
          <w:spacing w:val="40"/>
        </w:rPr>
        <w:t> </w:t>
      </w:r>
      <w:r>
        <w:rPr>
          <w:color w:val="231F20"/>
        </w:rPr>
        <w:t>evenly</w:t>
      </w:r>
      <w:r>
        <w:rPr>
          <w:color w:val="231F20"/>
          <w:spacing w:val="40"/>
        </w:rPr>
        <w:t> </w:t>
      </w:r>
      <w:r>
        <w:rPr>
          <w:color w:val="231F20"/>
        </w:rPr>
        <w:t>in</w:t>
      </w:r>
    </w:p>
    <w:p>
      <w:pPr>
        <w:pStyle w:val="BodyText"/>
        <w:spacing w:line="292" w:lineRule="auto"/>
        <w:ind w:left="943" w:right="664"/>
        <w:jc w:val="right"/>
      </w:pPr>
      <w:r>
        <w:rPr>
          <w:color w:val="231F20"/>
        </w:rPr>
        <w:t>$33,333</w:t>
      </w:r>
      <w:r>
        <w:rPr>
          <w:color w:val="231F20"/>
          <w:spacing w:val="15"/>
        </w:rPr>
        <w:t> </w:t>
      </w:r>
      <w:r>
        <w:rPr>
          <w:color w:val="231F20"/>
        </w:rPr>
        <w:t>installments</w:t>
      </w:r>
      <w:r>
        <w:rPr>
          <w:color w:val="231F20"/>
          <w:spacing w:val="15"/>
        </w:rPr>
        <w:t> </w:t>
      </w:r>
      <w:r>
        <w:rPr>
          <w:color w:val="231F20"/>
        </w:rPr>
        <w:t>over</w:t>
      </w:r>
      <w:r>
        <w:rPr>
          <w:color w:val="231F20"/>
          <w:spacing w:val="15"/>
        </w:rPr>
        <w:t> </w:t>
      </w:r>
      <w:r>
        <w:rPr>
          <w:color w:val="231F20"/>
        </w:rPr>
        <w:t>three</w:t>
      </w:r>
      <w:r>
        <w:rPr>
          <w:color w:val="231F20"/>
          <w:spacing w:val="15"/>
        </w:rPr>
        <w:t> </w:t>
      </w:r>
      <w:r>
        <w:rPr>
          <w:color w:val="231F20"/>
        </w:rPr>
        <w:t>years</w:t>
      </w:r>
      <w:r>
        <w:rPr>
          <w:color w:val="231F20"/>
          <w:spacing w:val="15"/>
        </w:rPr>
        <w:t> </w:t>
      </w:r>
      <w:r>
        <w:rPr>
          <w:color w:val="231F20"/>
        </w:rPr>
        <w:t>has</w:t>
      </w:r>
      <w:r>
        <w:rPr>
          <w:color w:val="231F20"/>
          <w:spacing w:val="15"/>
        </w:rPr>
        <w:t> </w:t>
      </w:r>
      <w:r>
        <w:rPr>
          <w:color w:val="231F20"/>
        </w:rPr>
        <w:t>the</w:t>
      </w:r>
      <w:r>
        <w:rPr>
          <w:color w:val="231F20"/>
          <w:spacing w:val="15"/>
        </w:rPr>
        <w:t> </w:t>
      </w:r>
      <w:r>
        <w:rPr>
          <w:color w:val="231F20"/>
        </w:rPr>
        <w:t>same</w:t>
      </w:r>
      <w:r>
        <w:rPr>
          <w:color w:val="231F20"/>
          <w:spacing w:val="15"/>
        </w:rPr>
        <w:t> </w:t>
      </w:r>
      <w:r>
        <w:rPr>
          <w:color w:val="231F20"/>
        </w:rPr>
        <w:t>three-year</w:t>
      </w:r>
      <w:r>
        <w:rPr>
          <w:color w:val="231F20"/>
          <w:spacing w:val="15"/>
        </w:rPr>
        <w:t> </w:t>
      </w:r>
      <w:r>
        <w:rPr>
          <w:color w:val="231F20"/>
        </w:rPr>
        <w:t>pay- back as the single $100,000 return received at the end of three years. Another shortcoming of using payback is that it ignores the cash flows</w:t>
      </w:r>
      <w:r>
        <w:rPr>
          <w:color w:val="231F20"/>
          <w:spacing w:val="40"/>
        </w:rPr>
        <w:t> </w:t>
      </w:r>
      <w:r>
        <w:rPr>
          <w:color w:val="231F20"/>
        </w:rPr>
        <w:t>received</w:t>
      </w:r>
      <w:r>
        <w:rPr>
          <w:color w:val="231F20"/>
          <w:spacing w:val="40"/>
        </w:rPr>
        <w:t> </w:t>
      </w:r>
      <w:r>
        <w:rPr>
          <w:color w:val="231F20"/>
        </w:rPr>
        <w:t>after</w:t>
      </w:r>
      <w:r>
        <w:rPr>
          <w:color w:val="231F20"/>
          <w:spacing w:val="40"/>
        </w:rPr>
        <w:t> </w:t>
      </w:r>
      <w:r>
        <w:rPr>
          <w:color w:val="231F20"/>
        </w:rPr>
        <w:t>the</w:t>
      </w:r>
      <w:r>
        <w:rPr>
          <w:color w:val="231F20"/>
          <w:spacing w:val="40"/>
        </w:rPr>
        <w:t> </w:t>
      </w:r>
      <w:r>
        <w:rPr>
          <w:color w:val="231F20"/>
        </w:rPr>
        <w:t>payback.</w:t>
      </w:r>
      <w:r>
        <w:rPr>
          <w:color w:val="231F20"/>
          <w:spacing w:val="40"/>
        </w:rPr>
        <w:t> </w:t>
      </w:r>
      <w:r>
        <w:rPr>
          <w:color w:val="231F20"/>
        </w:rPr>
        <w:t>What</w:t>
      </w:r>
      <w:r>
        <w:rPr>
          <w:color w:val="231F20"/>
          <w:spacing w:val="40"/>
        </w:rPr>
        <w:t> </w:t>
      </w:r>
      <w:r>
        <w:rPr>
          <w:color w:val="231F20"/>
        </w:rPr>
        <w:t>if</w:t>
      </w:r>
      <w:r>
        <w:rPr>
          <w:color w:val="231F20"/>
          <w:spacing w:val="40"/>
        </w:rPr>
        <w:t> </w:t>
      </w:r>
      <w:r>
        <w:rPr>
          <w:color w:val="231F20"/>
        </w:rPr>
        <w:t>the</w:t>
      </w:r>
      <w:r>
        <w:rPr>
          <w:color w:val="231F20"/>
          <w:spacing w:val="40"/>
        </w:rPr>
        <w:t> </w:t>
      </w:r>
      <w:r>
        <w:rPr>
          <w:color w:val="231F20"/>
        </w:rPr>
        <w:t>$100,000</w:t>
      </w:r>
      <w:r>
        <w:rPr>
          <w:color w:val="231F20"/>
          <w:spacing w:val="40"/>
        </w:rPr>
        <w:t> </w:t>
      </w:r>
      <w:r>
        <w:rPr>
          <w:color w:val="231F20"/>
        </w:rPr>
        <w:t>research project with a three-year payback continued to churn out a </w:t>
      </w:r>
      <w:r>
        <w:rPr>
          <w:color w:val="231F20"/>
        </w:rPr>
        <w:t>stream</w:t>
      </w:r>
      <w:r>
        <w:rPr>
          <w:color w:val="231F20"/>
          <w:spacing w:val="80"/>
          <w:w w:val="150"/>
        </w:rPr>
        <w:t> </w:t>
      </w:r>
      <w:r>
        <w:rPr>
          <w:color w:val="231F20"/>
        </w:rPr>
        <w:t>of royalties forever as a result of a new invention? Clearly it would</w:t>
      </w:r>
      <w:r>
        <w:rPr>
          <w:color w:val="231F20"/>
          <w:spacing w:val="80"/>
        </w:rPr>
        <w:t> </w:t>
      </w:r>
      <w:r>
        <w:rPr>
          <w:color w:val="231F20"/>
        </w:rPr>
        <w:t>be</w:t>
      </w:r>
      <w:r>
        <w:rPr>
          <w:color w:val="231F20"/>
          <w:spacing w:val="32"/>
        </w:rPr>
        <w:t> </w:t>
      </w:r>
      <w:r>
        <w:rPr>
          <w:color w:val="231F20"/>
        </w:rPr>
        <w:t>worth</w:t>
      </w:r>
      <w:r>
        <w:rPr>
          <w:color w:val="231F20"/>
          <w:spacing w:val="32"/>
        </w:rPr>
        <w:t> </w:t>
      </w:r>
      <w:r>
        <w:rPr>
          <w:color w:val="231F20"/>
        </w:rPr>
        <w:t>much</w:t>
      </w:r>
      <w:r>
        <w:rPr>
          <w:color w:val="231F20"/>
          <w:spacing w:val="32"/>
        </w:rPr>
        <w:t> </w:t>
      </w:r>
      <w:r>
        <w:rPr>
          <w:color w:val="231F20"/>
        </w:rPr>
        <w:t>more</w:t>
      </w:r>
      <w:r>
        <w:rPr>
          <w:color w:val="231F20"/>
          <w:spacing w:val="32"/>
        </w:rPr>
        <w:t> </w:t>
      </w:r>
      <w:r>
        <w:rPr>
          <w:color w:val="231F20"/>
        </w:rPr>
        <w:t>than</w:t>
      </w:r>
      <w:r>
        <w:rPr>
          <w:color w:val="231F20"/>
          <w:spacing w:val="32"/>
        </w:rPr>
        <w:t> </w:t>
      </w:r>
      <w:r>
        <w:rPr>
          <w:color w:val="231F20"/>
        </w:rPr>
        <w:t>a</w:t>
      </w:r>
      <w:r>
        <w:rPr>
          <w:color w:val="231F20"/>
          <w:spacing w:val="32"/>
        </w:rPr>
        <w:t> </w:t>
      </w:r>
      <w:r>
        <w:rPr>
          <w:color w:val="231F20"/>
        </w:rPr>
        <w:t>project</w:t>
      </w:r>
      <w:r>
        <w:rPr>
          <w:color w:val="231F20"/>
          <w:spacing w:val="32"/>
        </w:rPr>
        <w:t> </w:t>
      </w:r>
      <w:r>
        <w:rPr>
          <w:color w:val="231F20"/>
        </w:rPr>
        <w:t>that</w:t>
      </w:r>
      <w:r>
        <w:rPr>
          <w:color w:val="231F20"/>
          <w:spacing w:val="32"/>
        </w:rPr>
        <w:t> </w:t>
      </w:r>
      <w:r>
        <w:rPr>
          <w:color w:val="231F20"/>
        </w:rPr>
        <w:t>had</w:t>
      </w:r>
      <w:r>
        <w:rPr>
          <w:color w:val="231F20"/>
          <w:spacing w:val="32"/>
        </w:rPr>
        <w:t> </w:t>
      </w:r>
      <w:r>
        <w:rPr>
          <w:color w:val="231F20"/>
        </w:rPr>
        <w:t>a</w:t>
      </w:r>
      <w:r>
        <w:rPr>
          <w:color w:val="231F20"/>
          <w:spacing w:val="32"/>
        </w:rPr>
        <w:t> </w:t>
      </w:r>
      <w:r>
        <w:rPr>
          <w:color w:val="231F20"/>
        </w:rPr>
        <w:t>onetime</w:t>
      </w:r>
      <w:r>
        <w:rPr>
          <w:color w:val="231F20"/>
          <w:spacing w:val="32"/>
        </w:rPr>
        <w:t> </w:t>
      </w:r>
      <w:r>
        <w:rPr>
          <w:color w:val="231F20"/>
        </w:rPr>
        <w:t>payout</w:t>
      </w:r>
      <w:r>
        <w:rPr>
          <w:color w:val="231F20"/>
          <w:spacing w:val="32"/>
        </w:rPr>
        <w:t> </w:t>
      </w:r>
      <w:r>
        <w:rPr>
          <w:color w:val="231F20"/>
          <w:spacing w:val="-5"/>
        </w:rPr>
        <w:t>of</w:t>
      </w:r>
    </w:p>
    <w:p>
      <w:pPr>
        <w:pStyle w:val="BodyText"/>
        <w:spacing w:line="244" w:lineRule="exact"/>
        <w:ind w:left="920"/>
        <w:jc w:val="both"/>
      </w:pPr>
      <w:r>
        <w:rPr>
          <w:color w:val="231F20"/>
        </w:rPr>
        <w:t>$100,000</w:t>
      </w:r>
      <w:r>
        <w:rPr>
          <w:color w:val="231F20"/>
          <w:spacing w:val="8"/>
        </w:rPr>
        <w:t> </w:t>
      </w:r>
      <w:r>
        <w:rPr>
          <w:color w:val="231F20"/>
        </w:rPr>
        <w:t>in</w:t>
      </w:r>
      <w:r>
        <w:rPr>
          <w:color w:val="231F20"/>
          <w:spacing w:val="9"/>
        </w:rPr>
        <w:t> </w:t>
      </w:r>
      <w:r>
        <w:rPr>
          <w:color w:val="231F20"/>
        </w:rPr>
        <w:t>the</w:t>
      </w:r>
      <w:r>
        <w:rPr>
          <w:color w:val="231F20"/>
          <w:spacing w:val="9"/>
        </w:rPr>
        <w:t> </w:t>
      </w:r>
      <w:r>
        <w:rPr>
          <w:color w:val="231F20"/>
        </w:rPr>
        <w:t>third</w:t>
      </w:r>
      <w:r>
        <w:rPr>
          <w:color w:val="231F20"/>
          <w:spacing w:val="9"/>
        </w:rPr>
        <w:t> </w:t>
      </w:r>
      <w:r>
        <w:rPr>
          <w:color w:val="231F20"/>
        </w:rPr>
        <w:t>year</w:t>
      </w:r>
      <w:r>
        <w:rPr>
          <w:color w:val="231F20"/>
          <w:spacing w:val="9"/>
        </w:rPr>
        <w:t> </w:t>
      </w:r>
      <w:r>
        <w:rPr>
          <w:color w:val="231F20"/>
        </w:rPr>
        <w:t>of</w:t>
      </w:r>
      <w:r>
        <w:rPr>
          <w:color w:val="231F20"/>
          <w:spacing w:val="9"/>
        </w:rPr>
        <w:t> </w:t>
      </w:r>
      <w:r>
        <w:rPr>
          <w:color w:val="231F20"/>
        </w:rPr>
        <w:t>the</w:t>
      </w:r>
      <w:r>
        <w:rPr>
          <w:color w:val="231F20"/>
          <w:spacing w:val="9"/>
        </w:rPr>
        <w:t> </w:t>
      </w:r>
      <w:r>
        <w:rPr>
          <w:color w:val="231F20"/>
        </w:rPr>
        <w:t>invention’s</w:t>
      </w:r>
      <w:r>
        <w:rPr>
          <w:color w:val="231F20"/>
          <w:spacing w:val="9"/>
        </w:rPr>
        <w:t> </w:t>
      </w:r>
      <w:r>
        <w:rPr>
          <w:color w:val="231F20"/>
          <w:spacing w:val="-2"/>
        </w:rPr>
        <w:t>life.</w:t>
      </w:r>
    </w:p>
    <w:p>
      <w:pPr>
        <w:pStyle w:val="BodyText"/>
      </w:pPr>
    </w:p>
    <w:p>
      <w:pPr>
        <w:pStyle w:val="BodyText"/>
        <w:spacing w:line="292" w:lineRule="auto"/>
        <w:ind w:left="920" w:right="666"/>
        <w:jc w:val="both"/>
      </w:pPr>
      <w:r>
        <w:rPr>
          <w:i/>
          <w:color w:val="231F20"/>
        </w:rPr>
        <w:t>Net Present Value Methods. </w:t>
      </w:r>
      <w:r>
        <w:rPr>
          <w:color w:val="231F20"/>
        </w:rPr>
        <w:t>The same method used for valuing </w:t>
      </w:r>
      <w:r>
        <w:rPr>
          <w:color w:val="231F20"/>
        </w:rPr>
        <w:t>the cash flows of bonds and stocks is also used to value projects. It is the most accurate and most theoretically correct method.</w:t>
      </w:r>
    </w:p>
    <w:p>
      <w:pPr>
        <w:pStyle w:val="BodyText"/>
        <w:spacing w:line="292" w:lineRule="auto"/>
        <w:ind w:left="920" w:right="666" w:firstLine="340"/>
        <w:jc w:val="both"/>
      </w:pPr>
      <w:r>
        <w:rPr>
          <w:color w:val="231F20"/>
        </w:rPr>
        <w:t>The further in the future a dollar is received, the greater the </w:t>
      </w:r>
      <w:r>
        <w:rPr>
          <w:color w:val="231F20"/>
        </w:rPr>
        <w:t>un- certainty that it will be received (risk) and the greater the loss of op- portunity to use those funds (opportunity costs). Accordingly, cash flows received in the future will be discounted more steeply depend- ing on the riskiness of the project.</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0" w:lineRule="auto" w:before="90"/>
        <w:ind w:left="1220" w:right="1045" w:hanging="240"/>
      </w:pPr>
      <w:r>
        <w:rPr/>
        <w:pict>
          <v:rect style="position:absolute;margin-left:299.083252pt;margin-top:9.993645pt;width:2.465470pt;height:.3621pt;mso-position-horizontal-relative:page;mso-position-vertical-relative:paragraph;z-index:-25090048" id="docshape375" filled="true" fillcolor="#231f20" stroked="false">
            <v:fill type="solid"/>
            <w10:wrap type="none"/>
          </v:rect>
        </w:pict>
      </w:r>
      <w:r>
        <w:rPr>
          <w:color w:val="231F20"/>
        </w:rPr>
        <w:t>NPV</w:t>
      </w:r>
      <w:r>
        <w:rPr>
          <w:color w:val="231F20"/>
          <w:spacing w:val="31"/>
        </w:rPr>
        <w:t> </w:t>
      </w:r>
      <w:r>
        <w:rPr>
          <w:rFonts w:ascii="Symbol" w:hAnsi="Symbol"/>
          <w:color w:val="231F20"/>
        </w:rPr>
        <w:t></w:t>
      </w:r>
      <w:r>
        <w:rPr>
          <w:rFonts w:ascii="Times New Roman" w:hAnsi="Times New Roman"/>
          <w:color w:val="231F20"/>
          <w:spacing w:val="25"/>
        </w:rPr>
        <w:t> </w:t>
      </w:r>
      <w:r>
        <w:rPr>
          <w:color w:val="231F20"/>
        </w:rPr>
        <w:t>Cash</w:t>
      </w:r>
      <w:r>
        <w:rPr>
          <w:color w:val="231F20"/>
          <w:spacing w:val="31"/>
        </w:rPr>
        <w:t> </w:t>
      </w:r>
      <w:r>
        <w:rPr>
          <w:color w:val="231F20"/>
        </w:rPr>
        <w:t>to</w:t>
      </w:r>
      <w:r>
        <w:rPr>
          <w:color w:val="231F20"/>
          <w:spacing w:val="31"/>
        </w:rPr>
        <w:t> </w:t>
      </w:r>
      <w:r>
        <w:rPr>
          <w:color w:val="231F20"/>
        </w:rPr>
        <w:t>Be</w:t>
      </w:r>
      <w:r>
        <w:rPr>
          <w:color w:val="231F20"/>
          <w:spacing w:val="31"/>
        </w:rPr>
        <w:t> </w:t>
      </w:r>
      <w:r>
        <w:rPr>
          <w:color w:val="231F20"/>
        </w:rPr>
        <w:t>Received</w:t>
      </w:r>
      <w:r>
        <w:rPr>
          <w:color w:val="231F20"/>
          <w:spacing w:val="31"/>
        </w:rPr>
        <w:t> </w:t>
      </w:r>
      <w:r>
        <w:rPr>
          <w:rFonts w:ascii="Symbol" w:hAnsi="Symbol"/>
          <w:color w:val="231F20"/>
        </w:rPr>
        <w:t></w:t>
      </w:r>
      <w:r>
        <w:rPr>
          <w:rFonts w:ascii="Times New Roman" w:hAnsi="Times New Roman"/>
          <w:color w:val="231F20"/>
          <w:spacing w:val="25"/>
        </w:rPr>
        <w:t> </w:t>
      </w:r>
      <w:r>
        <w:rPr>
          <w:color w:val="231F20"/>
        </w:rPr>
        <w:t>(1</w:t>
      </w:r>
      <w:r>
        <w:rPr>
          <w:color w:val="231F20"/>
          <w:spacing w:val="31"/>
        </w:rPr>
        <w:t> </w:t>
      </w:r>
      <w:r>
        <w:rPr>
          <w:rFonts w:ascii="Symbol" w:hAnsi="Symbol"/>
          <w:color w:val="231F20"/>
        </w:rPr>
        <w:t></w:t>
      </w:r>
      <w:r>
        <w:rPr>
          <w:rFonts w:ascii="Times New Roman" w:hAnsi="Times New Roman"/>
          <w:color w:val="231F20"/>
          <w:spacing w:val="25"/>
        </w:rPr>
        <w:t> </w:t>
      </w:r>
      <w:r>
        <w:rPr>
          <w:color w:val="231F20"/>
        </w:rPr>
        <w:t>Discount</w:t>
      </w:r>
      <w:r>
        <w:rPr>
          <w:color w:val="231F20"/>
          <w:spacing w:val="31"/>
        </w:rPr>
        <w:t> </w:t>
      </w:r>
      <w:r>
        <w:rPr>
          <w:color w:val="231F20"/>
        </w:rPr>
        <w:t>Rate)</w:t>
      </w:r>
      <w:r>
        <w:rPr>
          <w:color w:val="231F20"/>
          <w:spacing w:val="80"/>
          <w:w w:val="150"/>
        </w:rPr>
        <w:t> </w:t>
      </w:r>
      <w:r>
        <w:rPr>
          <w:color w:val="231F20"/>
          <w:position w:val="8"/>
          <w:sz w:val="10"/>
        </w:rPr>
        <w:t>Number</w:t>
      </w:r>
      <w:r>
        <w:rPr>
          <w:color w:val="231F20"/>
          <w:spacing w:val="16"/>
          <w:position w:val="8"/>
          <w:sz w:val="10"/>
        </w:rPr>
        <w:t> </w:t>
      </w:r>
      <w:r>
        <w:rPr>
          <w:color w:val="231F20"/>
          <w:position w:val="8"/>
          <w:sz w:val="10"/>
        </w:rPr>
        <w:t>of</w:t>
      </w:r>
      <w:r>
        <w:rPr>
          <w:color w:val="231F20"/>
          <w:spacing w:val="16"/>
          <w:position w:val="8"/>
          <w:sz w:val="10"/>
        </w:rPr>
        <w:t> </w:t>
      </w:r>
      <w:r>
        <w:rPr>
          <w:color w:val="231F20"/>
          <w:position w:val="8"/>
          <w:sz w:val="10"/>
        </w:rPr>
        <w:t>Periods</w:t>
      </w:r>
      <w:r>
        <w:rPr>
          <w:color w:val="231F20"/>
          <w:spacing w:val="40"/>
          <w:position w:val="8"/>
          <w:sz w:val="10"/>
        </w:rPr>
        <w:t> </w:t>
      </w:r>
      <w:r>
        <w:rPr>
          <w:color w:val="231F20"/>
        </w:rPr>
        <w:t>(as calculated in tables in the appendix or by using business calculators and computers)</w:t>
      </w:r>
    </w:p>
    <w:p>
      <w:pPr>
        <w:pStyle w:val="BodyText"/>
        <w:spacing w:before="11"/>
        <w:rPr>
          <w:sz w:val="25"/>
        </w:rPr>
      </w:pPr>
    </w:p>
    <w:p>
      <w:pPr>
        <w:pStyle w:val="BodyText"/>
        <w:spacing w:line="292" w:lineRule="auto"/>
        <w:ind w:left="830" w:right="753" w:firstLine="340"/>
        <w:jc w:val="both"/>
      </w:pPr>
      <w:r>
        <w:rPr>
          <w:color w:val="231F20"/>
        </w:rPr>
        <w:t>The ways in which a corporation wishes to fund itself are “financing” decisions independent of “investment” decisions. A </w:t>
      </w:r>
      <w:r>
        <w:rPr>
          <w:i/>
          <w:color w:val="231F20"/>
        </w:rPr>
        <w:t>glaring </w:t>
      </w:r>
      <w:r>
        <w:rPr>
          <w:color w:val="231F20"/>
        </w:rPr>
        <w:t>non-MBA mistake in evaluating projects is to use a discount factor equal to the cost of borrowing for the corporation as a whole. In 2005 stable corporations could borrow money at the prime </w:t>
      </w:r>
      <w:r>
        <w:rPr>
          <w:color w:val="231F20"/>
        </w:rPr>
        <w:t>inter- est rate of 5 to 6 percent. The individual projects that businesses</w:t>
      </w:r>
      <w:r>
        <w:rPr>
          <w:color w:val="231F20"/>
          <w:spacing w:val="80"/>
        </w:rPr>
        <w:t> </w:t>
      </w:r>
      <w:r>
        <w:rPr>
          <w:color w:val="231F20"/>
        </w:rPr>
        <w:t>may want to invest in are not as stable. Accordingly, financial man- agers </w:t>
      </w:r>
      <w:r>
        <w:rPr>
          <w:i/>
          <w:color w:val="231F20"/>
        </w:rPr>
        <w:t>must </w:t>
      </w:r>
      <w:r>
        <w:rPr>
          <w:color w:val="231F20"/>
        </w:rPr>
        <w:t>use a discount rate commensurate with the risk of the particular project.</w:t>
      </w:r>
    </w:p>
    <w:p>
      <w:pPr>
        <w:pStyle w:val="BodyText"/>
        <w:spacing w:line="292" w:lineRule="auto"/>
        <w:ind w:left="830" w:right="759" w:firstLine="340"/>
        <w:jc w:val="both"/>
      </w:pPr>
      <w:r>
        <w:rPr>
          <w:color w:val="231F20"/>
          <w:w w:val="105"/>
        </w:rPr>
        <w:t>In</w:t>
      </w:r>
      <w:r>
        <w:rPr>
          <w:color w:val="231F20"/>
          <w:w w:val="105"/>
        </w:rPr>
        <w:t> the</w:t>
      </w:r>
      <w:r>
        <w:rPr>
          <w:color w:val="231F20"/>
          <w:w w:val="105"/>
        </w:rPr>
        <w:t> Quaker</w:t>
      </w:r>
      <w:r>
        <w:rPr>
          <w:color w:val="231F20"/>
          <w:w w:val="105"/>
        </w:rPr>
        <w:t> Oats</w:t>
      </w:r>
      <w:r>
        <w:rPr>
          <w:color w:val="231F20"/>
          <w:w w:val="105"/>
        </w:rPr>
        <w:t> factory</w:t>
      </w:r>
      <w:r>
        <w:rPr>
          <w:color w:val="231F20"/>
          <w:w w:val="105"/>
        </w:rPr>
        <w:t> example</w:t>
      </w:r>
      <w:r>
        <w:rPr>
          <w:color w:val="231F20"/>
          <w:w w:val="105"/>
        </w:rPr>
        <w:t> from</w:t>
      </w:r>
      <w:r>
        <w:rPr>
          <w:color w:val="231F20"/>
          <w:w w:val="105"/>
        </w:rPr>
        <w:t> the</w:t>
      </w:r>
      <w:r>
        <w:rPr>
          <w:color w:val="231F20"/>
          <w:w w:val="105"/>
        </w:rPr>
        <w:t> QA</w:t>
      </w:r>
      <w:r>
        <w:rPr>
          <w:color w:val="231F20"/>
          <w:w w:val="105"/>
        </w:rPr>
        <w:t> chapter,</w:t>
      </w:r>
      <w:r>
        <w:rPr>
          <w:color w:val="231F20"/>
          <w:w w:val="105"/>
        </w:rPr>
        <w:t> </w:t>
      </w:r>
      <w:r>
        <w:rPr>
          <w:color w:val="231F20"/>
          <w:w w:val="105"/>
        </w:rPr>
        <w:t>the cash flows looked as follows:</w:t>
      </w:r>
    </w:p>
    <w:p>
      <w:pPr>
        <w:pStyle w:val="BodyText"/>
        <w:rPr>
          <w:sz w:val="24"/>
        </w:rPr>
      </w:pPr>
    </w:p>
    <w:p>
      <w:pPr>
        <w:spacing w:before="159"/>
        <w:ind w:left="295" w:right="219" w:firstLine="0"/>
        <w:jc w:val="center"/>
        <w:rPr>
          <w:b/>
          <w:sz w:val="20"/>
        </w:rPr>
      </w:pPr>
      <w:r>
        <w:rPr/>
        <w:pict>
          <v:rect style="position:absolute;margin-left:142.211487pt;margin-top:56.57645pt;width:4.930940pt;height:.7242pt;mso-position-horizontal-relative:page;mso-position-vertical-relative:paragraph;z-index:-25089536" id="docshape376" filled="true" fillcolor="#231f20" stroked="false">
            <v:fill type="solid"/>
            <w10:wrap type="none"/>
          </v:rect>
        </w:pict>
      </w:r>
      <w:r>
        <w:rPr/>
        <w:pict>
          <v:rect style="position:absolute;margin-left:302.21051pt;margin-top:56.57645pt;width:4.930940pt;height:.7242pt;mso-position-horizontal-relative:page;mso-position-vertical-relative:paragraph;z-index:-25089024" id="docshape377" filled="true" fillcolor="#231f20" stroked="false">
            <v:fill type="solid"/>
            <w10:wrap type="none"/>
          </v:rect>
        </w:pict>
      </w:r>
      <w:r>
        <w:rPr>
          <w:b/>
          <w:color w:val="231F20"/>
          <w:w w:val="90"/>
          <w:sz w:val="20"/>
        </w:rPr>
        <w:t>10%</w:t>
      </w:r>
      <w:r>
        <w:rPr>
          <w:b/>
          <w:color w:val="231F20"/>
          <w:spacing w:val="22"/>
          <w:w w:val="105"/>
          <w:sz w:val="20"/>
        </w:rPr>
        <w:t> </w:t>
      </w:r>
      <w:r>
        <w:rPr>
          <w:b/>
          <w:color w:val="231F20"/>
          <w:spacing w:val="-2"/>
          <w:w w:val="105"/>
          <w:sz w:val="20"/>
        </w:rPr>
        <w:t>DISCOUNT</w:t>
      </w:r>
    </w:p>
    <w:p>
      <w:pPr>
        <w:pStyle w:val="BodyText"/>
        <w:spacing w:before="3"/>
        <w:rPr>
          <w:b/>
          <w:sz w:val="5"/>
        </w:rPr>
      </w:pPr>
      <w:r>
        <w:rPr/>
        <w:pict>
          <v:shape style="position:absolute;margin-left:75.5pt;margin-top:4.298677pt;width:276.5pt;height:.1pt;mso-position-horizontal-relative:page;mso-position-vertical-relative:paragraph;z-index:-15590912;mso-wrap-distance-left:0;mso-wrap-distance-right:0" id="docshape378" coordorigin="1510,86" coordsize="5530,0" path="m1510,86l7040,86e" filled="false" stroked="true" strokeweight="1pt" strokecolor="#231f20">
            <v:path arrowok="t"/>
            <v:stroke dashstyle="solid"/>
            <w10:wrap type="topAndBottom"/>
          </v:shape>
        </w:pict>
      </w:r>
    </w:p>
    <w:p>
      <w:pPr>
        <w:pStyle w:val="BodyText"/>
        <w:spacing w:before="5" w:after="1"/>
        <w:rPr>
          <w:b/>
          <w:sz w:val="18"/>
        </w:rPr>
      </w:pPr>
    </w:p>
    <w:tbl>
      <w:tblPr>
        <w:tblW w:w="0" w:type="auto"/>
        <w:jc w:val="left"/>
        <w:tblInd w:w="1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0"/>
        <w:gridCol w:w="1703"/>
        <w:gridCol w:w="1524"/>
        <w:gridCol w:w="1284"/>
      </w:tblGrid>
      <w:tr>
        <w:trPr>
          <w:trHeight w:val="255" w:hRule="atLeast"/>
        </w:trPr>
        <w:tc>
          <w:tcPr>
            <w:tcW w:w="1070" w:type="dxa"/>
          </w:tcPr>
          <w:p>
            <w:pPr>
              <w:pStyle w:val="TableParagraph"/>
              <w:spacing w:before="0"/>
              <w:jc w:val="left"/>
              <w:rPr>
                <w:rFonts w:ascii="Times New Roman"/>
                <w:sz w:val="18"/>
              </w:rPr>
            </w:pPr>
          </w:p>
        </w:tc>
        <w:tc>
          <w:tcPr>
            <w:tcW w:w="1703" w:type="dxa"/>
          </w:tcPr>
          <w:p>
            <w:pPr>
              <w:pStyle w:val="TableParagraph"/>
              <w:spacing w:line="227" w:lineRule="exact" w:before="0"/>
              <w:ind w:right="356"/>
              <w:jc w:val="right"/>
              <w:rPr>
                <w:b/>
                <w:i/>
                <w:sz w:val="20"/>
              </w:rPr>
            </w:pPr>
            <w:r>
              <w:rPr>
                <w:b/>
                <w:i/>
                <w:color w:val="231F20"/>
                <w:w w:val="105"/>
                <w:sz w:val="20"/>
              </w:rPr>
              <w:t>CASH</w:t>
            </w:r>
            <w:r>
              <w:rPr>
                <w:b/>
                <w:i/>
                <w:color w:val="231F20"/>
                <w:spacing w:val="16"/>
                <w:w w:val="105"/>
                <w:sz w:val="20"/>
              </w:rPr>
              <w:t> </w:t>
            </w:r>
            <w:r>
              <w:rPr>
                <w:b/>
                <w:i/>
                <w:color w:val="231F20"/>
                <w:spacing w:val="-4"/>
                <w:w w:val="105"/>
                <w:sz w:val="20"/>
              </w:rPr>
              <w:t>FLOW</w:t>
            </w:r>
          </w:p>
        </w:tc>
        <w:tc>
          <w:tcPr>
            <w:tcW w:w="1524" w:type="dxa"/>
          </w:tcPr>
          <w:p>
            <w:pPr>
              <w:pStyle w:val="TableParagraph"/>
              <w:spacing w:line="227" w:lineRule="exact" w:before="0"/>
              <w:ind w:right="409"/>
              <w:jc w:val="right"/>
              <w:rPr>
                <w:b/>
                <w:i/>
                <w:sz w:val="20"/>
              </w:rPr>
            </w:pPr>
            <w:r>
              <w:rPr>
                <w:b/>
                <w:i/>
                <w:color w:val="231F20"/>
                <w:spacing w:val="-2"/>
                <w:w w:val="105"/>
                <w:sz w:val="20"/>
              </w:rPr>
              <w:t>FACTOR</w:t>
            </w:r>
          </w:p>
        </w:tc>
        <w:tc>
          <w:tcPr>
            <w:tcW w:w="1284" w:type="dxa"/>
          </w:tcPr>
          <w:p>
            <w:pPr>
              <w:pStyle w:val="TableParagraph"/>
              <w:spacing w:line="227" w:lineRule="exact" w:before="0"/>
              <w:ind w:left="573"/>
              <w:jc w:val="left"/>
              <w:rPr>
                <w:b/>
                <w:i/>
                <w:sz w:val="20"/>
              </w:rPr>
            </w:pPr>
            <w:r>
              <w:rPr>
                <w:b/>
                <w:i/>
                <w:color w:val="231F20"/>
                <w:spacing w:val="-5"/>
                <w:w w:val="105"/>
                <w:sz w:val="20"/>
              </w:rPr>
              <w:t>NPV</w:t>
            </w:r>
          </w:p>
        </w:tc>
      </w:tr>
      <w:tr>
        <w:trPr>
          <w:trHeight w:val="300" w:hRule="atLeast"/>
        </w:trPr>
        <w:tc>
          <w:tcPr>
            <w:tcW w:w="1070" w:type="dxa"/>
          </w:tcPr>
          <w:p>
            <w:pPr>
              <w:pStyle w:val="TableParagraph"/>
              <w:spacing w:before="27"/>
              <w:ind w:left="50"/>
              <w:jc w:val="left"/>
              <w:rPr>
                <w:sz w:val="21"/>
              </w:rPr>
            </w:pPr>
            <w:r>
              <w:rPr>
                <w:color w:val="231F20"/>
                <w:spacing w:val="-4"/>
                <w:w w:val="105"/>
                <w:sz w:val="21"/>
              </w:rPr>
              <w:t>Today</w:t>
            </w:r>
          </w:p>
        </w:tc>
        <w:tc>
          <w:tcPr>
            <w:tcW w:w="1703" w:type="dxa"/>
          </w:tcPr>
          <w:p>
            <w:pPr>
              <w:pStyle w:val="TableParagraph"/>
              <w:spacing w:before="27"/>
              <w:ind w:right="390"/>
              <w:jc w:val="right"/>
              <w:rPr>
                <w:sz w:val="21"/>
              </w:rPr>
            </w:pPr>
            <w:r>
              <w:rPr>
                <w:color w:val="231F20"/>
                <w:spacing w:val="-2"/>
                <w:w w:val="105"/>
                <w:sz w:val="21"/>
              </w:rPr>
              <w:t>$102,000</w:t>
            </w:r>
          </w:p>
        </w:tc>
        <w:tc>
          <w:tcPr>
            <w:tcW w:w="1524" w:type="dxa"/>
          </w:tcPr>
          <w:p>
            <w:pPr>
              <w:pStyle w:val="TableParagraph"/>
              <w:spacing w:before="27"/>
              <w:ind w:right="394"/>
              <w:jc w:val="right"/>
              <w:rPr>
                <w:sz w:val="21"/>
              </w:rPr>
            </w:pPr>
            <w:r>
              <w:rPr>
                <w:color w:val="231F20"/>
                <w:spacing w:val="-2"/>
                <w:w w:val="105"/>
                <w:sz w:val="21"/>
              </w:rPr>
              <w:t>1.00000</w:t>
            </w:r>
          </w:p>
        </w:tc>
        <w:tc>
          <w:tcPr>
            <w:tcW w:w="1284" w:type="dxa"/>
          </w:tcPr>
          <w:p>
            <w:pPr>
              <w:pStyle w:val="TableParagraph"/>
              <w:spacing w:before="27"/>
              <w:jc w:val="right"/>
              <w:rPr>
                <w:sz w:val="21"/>
              </w:rPr>
            </w:pPr>
            <w:r>
              <w:rPr>
                <w:color w:val="231F20"/>
                <w:spacing w:val="-2"/>
                <w:w w:val="105"/>
                <w:sz w:val="21"/>
              </w:rPr>
              <w:t>$102,000</w:t>
            </w:r>
          </w:p>
        </w:tc>
      </w:tr>
      <w:tr>
        <w:trPr>
          <w:trHeight w:val="299" w:hRule="atLeast"/>
        </w:trPr>
        <w:tc>
          <w:tcPr>
            <w:tcW w:w="1070" w:type="dxa"/>
          </w:tcPr>
          <w:p>
            <w:pPr>
              <w:pStyle w:val="TableParagraph"/>
              <w:spacing w:before="26"/>
              <w:ind w:left="50"/>
              <w:jc w:val="left"/>
              <w:rPr>
                <w:sz w:val="21"/>
              </w:rPr>
            </w:pPr>
            <w:r>
              <w:rPr>
                <w:color w:val="231F20"/>
                <w:w w:val="105"/>
                <w:sz w:val="21"/>
              </w:rPr>
              <w:t>Year</w:t>
            </w:r>
            <w:r>
              <w:rPr>
                <w:color w:val="231F20"/>
                <w:spacing w:val="-6"/>
                <w:w w:val="105"/>
                <w:sz w:val="21"/>
              </w:rPr>
              <w:t> </w:t>
            </w:r>
            <w:r>
              <w:rPr>
                <w:color w:val="231F20"/>
                <w:spacing w:val="-10"/>
                <w:w w:val="105"/>
                <w:sz w:val="21"/>
              </w:rPr>
              <w:t>1</w:t>
            </w:r>
          </w:p>
        </w:tc>
        <w:tc>
          <w:tcPr>
            <w:tcW w:w="1703" w:type="dxa"/>
          </w:tcPr>
          <w:p>
            <w:pPr>
              <w:pStyle w:val="TableParagraph"/>
              <w:spacing w:before="26"/>
              <w:ind w:right="390"/>
              <w:jc w:val="right"/>
              <w:rPr>
                <w:sz w:val="21"/>
              </w:rPr>
            </w:pPr>
            <w:r>
              <w:rPr>
                <w:color w:val="231F20"/>
                <w:spacing w:val="-2"/>
                <w:w w:val="105"/>
                <w:sz w:val="21"/>
              </w:rPr>
              <w:t>$51,000</w:t>
            </w:r>
          </w:p>
        </w:tc>
        <w:tc>
          <w:tcPr>
            <w:tcW w:w="1524" w:type="dxa"/>
          </w:tcPr>
          <w:p>
            <w:pPr>
              <w:pStyle w:val="TableParagraph"/>
              <w:spacing w:before="26"/>
              <w:ind w:right="394"/>
              <w:jc w:val="right"/>
              <w:rPr>
                <w:sz w:val="21"/>
              </w:rPr>
            </w:pPr>
            <w:r>
              <w:rPr>
                <w:color w:val="231F20"/>
                <w:spacing w:val="-2"/>
                <w:w w:val="105"/>
                <w:sz w:val="21"/>
              </w:rPr>
              <w:t>.90909</w:t>
            </w:r>
          </w:p>
        </w:tc>
        <w:tc>
          <w:tcPr>
            <w:tcW w:w="1284" w:type="dxa"/>
          </w:tcPr>
          <w:p>
            <w:pPr>
              <w:pStyle w:val="TableParagraph"/>
              <w:spacing w:before="26"/>
              <w:jc w:val="right"/>
              <w:rPr>
                <w:sz w:val="21"/>
              </w:rPr>
            </w:pPr>
            <w:r>
              <w:rPr>
                <w:color w:val="231F20"/>
                <w:spacing w:val="-2"/>
                <w:w w:val="105"/>
                <w:sz w:val="21"/>
              </w:rPr>
              <w:t>$46,364</w:t>
            </w:r>
          </w:p>
        </w:tc>
      </w:tr>
      <w:tr>
        <w:trPr>
          <w:trHeight w:val="300" w:hRule="atLeast"/>
        </w:trPr>
        <w:tc>
          <w:tcPr>
            <w:tcW w:w="1070" w:type="dxa"/>
          </w:tcPr>
          <w:p>
            <w:pPr>
              <w:pStyle w:val="TableParagraph"/>
              <w:spacing w:before="26"/>
              <w:ind w:left="50"/>
              <w:jc w:val="left"/>
              <w:rPr>
                <w:sz w:val="21"/>
              </w:rPr>
            </w:pPr>
            <w:r>
              <w:rPr>
                <w:color w:val="231F20"/>
                <w:w w:val="105"/>
                <w:sz w:val="21"/>
              </w:rPr>
              <w:t>Year</w:t>
            </w:r>
            <w:r>
              <w:rPr>
                <w:color w:val="231F20"/>
                <w:spacing w:val="-6"/>
                <w:w w:val="105"/>
                <w:sz w:val="21"/>
              </w:rPr>
              <w:t> </w:t>
            </w:r>
            <w:r>
              <w:rPr>
                <w:color w:val="231F20"/>
                <w:spacing w:val="-10"/>
                <w:w w:val="105"/>
                <w:sz w:val="21"/>
              </w:rPr>
              <w:t>2</w:t>
            </w:r>
          </w:p>
        </w:tc>
        <w:tc>
          <w:tcPr>
            <w:tcW w:w="1703" w:type="dxa"/>
          </w:tcPr>
          <w:p>
            <w:pPr>
              <w:pStyle w:val="TableParagraph"/>
              <w:spacing w:before="26"/>
              <w:ind w:right="390"/>
              <w:jc w:val="right"/>
              <w:rPr>
                <w:sz w:val="21"/>
              </w:rPr>
            </w:pPr>
            <w:r>
              <w:rPr>
                <w:color w:val="231F20"/>
                <w:spacing w:val="-2"/>
                <w:w w:val="105"/>
                <w:sz w:val="21"/>
              </w:rPr>
              <w:t>$51,000</w:t>
            </w:r>
          </w:p>
        </w:tc>
        <w:tc>
          <w:tcPr>
            <w:tcW w:w="1524" w:type="dxa"/>
          </w:tcPr>
          <w:p>
            <w:pPr>
              <w:pStyle w:val="TableParagraph"/>
              <w:spacing w:before="26"/>
              <w:ind w:right="394"/>
              <w:jc w:val="right"/>
              <w:rPr>
                <w:sz w:val="21"/>
              </w:rPr>
            </w:pPr>
            <w:r>
              <w:rPr>
                <w:color w:val="231F20"/>
                <w:spacing w:val="-2"/>
                <w:w w:val="105"/>
                <w:sz w:val="21"/>
              </w:rPr>
              <w:t>.82645</w:t>
            </w:r>
          </w:p>
        </w:tc>
        <w:tc>
          <w:tcPr>
            <w:tcW w:w="1284" w:type="dxa"/>
          </w:tcPr>
          <w:p>
            <w:pPr>
              <w:pStyle w:val="TableParagraph"/>
              <w:spacing w:before="26"/>
              <w:jc w:val="right"/>
              <w:rPr>
                <w:sz w:val="21"/>
              </w:rPr>
            </w:pPr>
            <w:r>
              <w:rPr>
                <w:color w:val="231F20"/>
                <w:spacing w:val="-2"/>
                <w:w w:val="105"/>
                <w:sz w:val="21"/>
              </w:rPr>
              <w:t>$42,149</w:t>
            </w:r>
          </w:p>
        </w:tc>
      </w:tr>
      <w:tr>
        <w:trPr>
          <w:trHeight w:val="311" w:hRule="atLeast"/>
        </w:trPr>
        <w:tc>
          <w:tcPr>
            <w:tcW w:w="1070" w:type="dxa"/>
          </w:tcPr>
          <w:p>
            <w:pPr>
              <w:pStyle w:val="TableParagraph"/>
              <w:spacing w:before="26"/>
              <w:ind w:left="50"/>
              <w:jc w:val="left"/>
              <w:rPr>
                <w:sz w:val="21"/>
              </w:rPr>
            </w:pPr>
            <w:r>
              <w:rPr>
                <w:color w:val="231F20"/>
                <w:w w:val="105"/>
                <w:sz w:val="21"/>
              </w:rPr>
              <w:t>Year</w:t>
            </w:r>
            <w:r>
              <w:rPr>
                <w:color w:val="231F20"/>
                <w:spacing w:val="-6"/>
                <w:w w:val="105"/>
                <w:sz w:val="21"/>
              </w:rPr>
              <w:t> </w:t>
            </w:r>
            <w:r>
              <w:rPr>
                <w:color w:val="231F20"/>
                <w:spacing w:val="-10"/>
                <w:w w:val="105"/>
                <w:sz w:val="21"/>
              </w:rPr>
              <w:t>3</w:t>
            </w:r>
          </w:p>
        </w:tc>
        <w:tc>
          <w:tcPr>
            <w:tcW w:w="1703" w:type="dxa"/>
          </w:tcPr>
          <w:p>
            <w:pPr>
              <w:pStyle w:val="TableParagraph"/>
              <w:spacing w:before="26"/>
              <w:ind w:right="390"/>
              <w:jc w:val="right"/>
              <w:rPr>
                <w:sz w:val="21"/>
              </w:rPr>
            </w:pPr>
            <w:r>
              <w:rPr>
                <w:color w:val="231F20"/>
                <w:spacing w:val="-2"/>
                <w:w w:val="105"/>
                <w:sz w:val="21"/>
              </w:rPr>
              <w:t>$61,000</w:t>
            </w:r>
          </w:p>
        </w:tc>
        <w:tc>
          <w:tcPr>
            <w:tcW w:w="1524" w:type="dxa"/>
          </w:tcPr>
          <w:p>
            <w:pPr>
              <w:pStyle w:val="TableParagraph"/>
              <w:spacing w:before="26"/>
              <w:ind w:right="394"/>
              <w:jc w:val="right"/>
              <w:rPr>
                <w:sz w:val="21"/>
              </w:rPr>
            </w:pPr>
            <w:r>
              <w:rPr>
                <w:color w:val="231F20"/>
                <w:spacing w:val="-2"/>
                <w:w w:val="105"/>
                <w:sz w:val="21"/>
              </w:rPr>
              <w:t>.75131</w:t>
            </w:r>
          </w:p>
        </w:tc>
        <w:tc>
          <w:tcPr>
            <w:tcW w:w="1284" w:type="dxa"/>
          </w:tcPr>
          <w:p>
            <w:pPr>
              <w:pStyle w:val="TableParagraph"/>
              <w:spacing w:before="26"/>
              <w:jc w:val="right"/>
              <w:rPr>
                <w:sz w:val="21"/>
              </w:rPr>
            </w:pPr>
            <w:r>
              <w:rPr>
                <w:color w:val="231F20"/>
                <w:spacing w:val="-2"/>
                <w:w w:val="105"/>
                <w:sz w:val="21"/>
              </w:rPr>
              <w:t>$45,830</w:t>
            </w:r>
          </w:p>
        </w:tc>
      </w:tr>
      <w:tr>
        <w:trPr>
          <w:trHeight w:val="263" w:hRule="atLeast"/>
        </w:trPr>
        <w:tc>
          <w:tcPr>
            <w:tcW w:w="1070" w:type="dxa"/>
          </w:tcPr>
          <w:p>
            <w:pPr>
              <w:pStyle w:val="TableParagraph"/>
              <w:spacing w:line="228" w:lineRule="exact" w:before="15"/>
              <w:ind w:left="50"/>
              <w:jc w:val="left"/>
              <w:rPr>
                <w:sz w:val="21"/>
              </w:rPr>
            </w:pPr>
            <w:r>
              <w:rPr>
                <w:color w:val="231F20"/>
                <w:spacing w:val="-4"/>
                <w:w w:val="105"/>
                <w:sz w:val="21"/>
              </w:rPr>
              <w:t>Total</w:t>
            </w:r>
          </w:p>
        </w:tc>
        <w:tc>
          <w:tcPr>
            <w:tcW w:w="1703" w:type="dxa"/>
          </w:tcPr>
          <w:p>
            <w:pPr>
              <w:pStyle w:val="TableParagraph"/>
              <w:spacing w:line="20" w:lineRule="exact" w:before="0"/>
              <w:ind w:left="560"/>
              <w:jc w:val="left"/>
              <w:rPr>
                <w:sz w:val="2"/>
              </w:rPr>
            </w:pPr>
            <w:r>
              <w:rPr>
                <w:sz w:val="2"/>
              </w:rPr>
              <w:pict>
                <v:group style="width:36.5pt;height:.5pt;mso-position-horizontal-relative:char;mso-position-vertical-relative:line" id="docshapegroup379" coordorigin="0,0" coordsize="730,10">
                  <v:line style="position:absolute" from="0,5" to="730,5" stroked="true" strokeweight=".5pt" strokecolor="#231f20">
                    <v:stroke dashstyle="solid"/>
                  </v:line>
                </v:group>
              </w:pict>
            </w:r>
            <w:r>
              <w:rPr>
                <w:sz w:val="2"/>
              </w:rPr>
            </w:r>
          </w:p>
          <w:p>
            <w:pPr>
              <w:pStyle w:val="TableParagraph"/>
              <w:spacing w:line="223" w:lineRule="exact" w:before="0"/>
              <w:ind w:right="390"/>
              <w:jc w:val="right"/>
              <w:rPr>
                <w:sz w:val="21"/>
              </w:rPr>
            </w:pPr>
            <w:r>
              <w:rPr>
                <w:color w:val="231F20"/>
                <w:spacing w:val="-2"/>
                <w:w w:val="105"/>
                <w:sz w:val="21"/>
              </w:rPr>
              <w:t>$61,000</w:t>
            </w:r>
          </w:p>
        </w:tc>
        <w:tc>
          <w:tcPr>
            <w:tcW w:w="1524" w:type="dxa"/>
          </w:tcPr>
          <w:p>
            <w:pPr>
              <w:pStyle w:val="TableParagraph"/>
              <w:spacing w:before="0"/>
              <w:jc w:val="left"/>
              <w:rPr>
                <w:rFonts w:ascii="Times New Roman"/>
                <w:sz w:val="18"/>
              </w:rPr>
            </w:pPr>
          </w:p>
        </w:tc>
        <w:tc>
          <w:tcPr>
            <w:tcW w:w="1284" w:type="dxa"/>
          </w:tcPr>
          <w:p>
            <w:pPr>
              <w:pStyle w:val="TableParagraph"/>
              <w:spacing w:line="20" w:lineRule="exact" w:before="0"/>
              <w:ind w:left="533" w:right="-72"/>
              <w:jc w:val="left"/>
              <w:rPr>
                <w:sz w:val="2"/>
              </w:rPr>
            </w:pPr>
            <w:r>
              <w:rPr>
                <w:sz w:val="2"/>
              </w:rPr>
              <w:pict>
                <v:group style="width:37.5pt;height:.5pt;mso-position-horizontal-relative:char;mso-position-vertical-relative:line" id="docshapegroup380" coordorigin="0,0" coordsize="750,10">
                  <v:line style="position:absolute" from="0,5" to="750,5" stroked="true" strokeweight=".5pt" strokecolor="#231f20">
                    <v:stroke dashstyle="solid"/>
                  </v:line>
                </v:group>
              </w:pict>
            </w:r>
            <w:r>
              <w:rPr>
                <w:sz w:val="2"/>
              </w:rPr>
            </w:r>
          </w:p>
          <w:p>
            <w:pPr>
              <w:pStyle w:val="TableParagraph"/>
              <w:spacing w:line="223" w:lineRule="exact" w:before="0"/>
              <w:jc w:val="right"/>
              <w:rPr>
                <w:sz w:val="21"/>
              </w:rPr>
            </w:pPr>
            <w:r>
              <w:rPr>
                <w:color w:val="231F20"/>
                <w:spacing w:val="-2"/>
                <w:w w:val="105"/>
                <w:sz w:val="21"/>
              </w:rPr>
              <w:t>$32,343</w:t>
            </w:r>
          </w:p>
        </w:tc>
      </w:tr>
    </w:tbl>
    <w:p>
      <w:pPr>
        <w:pStyle w:val="BodyText"/>
        <w:rPr>
          <w:b/>
          <w:sz w:val="22"/>
        </w:rPr>
      </w:pPr>
    </w:p>
    <w:p>
      <w:pPr>
        <w:pStyle w:val="BodyText"/>
        <w:spacing w:line="292" w:lineRule="auto" w:before="172"/>
        <w:ind w:left="830" w:right="753" w:firstLine="340"/>
        <w:jc w:val="both"/>
      </w:pPr>
      <w:r>
        <w:rPr>
          <w:color w:val="231F20"/>
        </w:rPr>
        <w:t>The NPV method says that the project returned $32,343 in</w:t>
      </w:r>
      <w:r>
        <w:rPr>
          <w:color w:val="231F20"/>
          <w:spacing w:val="80"/>
        </w:rPr>
        <w:t> </w:t>
      </w:r>
      <w:r>
        <w:rPr>
          <w:color w:val="231F20"/>
        </w:rPr>
        <w:t>excess of the required rate of return for a project with that level of risk. Projects that have NPVs of $0 are also acceptable because they return the required rate. Those below zero are flatly rejected.</w:t>
      </w:r>
    </w:p>
    <w:p>
      <w:pPr>
        <w:pStyle w:val="BodyText"/>
        <w:spacing w:line="292" w:lineRule="auto"/>
        <w:ind w:left="830" w:right="756" w:firstLine="340"/>
        <w:jc w:val="both"/>
      </w:pPr>
      <w:r>
        <w:rPr>
          <w:color w:val="231F20"/>
        </w:rPr>
        <w:t>NPV has many advantages. It is flexible in making </w:t>
      </w:r>
      <w:r>
        <w:rPr>
          <w:color w:val="231F20"/>
        </w:rPr>
        <w:t>calculations that are useful in comparing different projects.</w:t>
      </w:r>
    </w:p>
    <w:p>
      <w:pPr>
        <w:pStyle w:val="BodyText"/>
        <w:spacing w:line="292" w:lineRule="auto"/>
        <w:ind w:left="830" w:right="753" w:firstLine="340"/>
        <w:jc w:val="both"/>
      </w:pPr>
      <w:r>
        <w:rPr>
          <w:i/>
          <w:color w:val="231F20"/>
        </w:rPr>
        <w:t>Riskiness of Projects. </w:t>
      </w:r>
      <w:r>
        <w:rPr>
          <w:color w:val="231F20"/>
        </w:rPr>
        <w:t>In calculating the NPV an analyst can use different discount rates. For example, if he or she considered the profits</w:t>
      </w:r>
      <w:r>
        <w:rPr>
          <w:color w:val="231F20"/>
          <w:spacing w:val="40"/>
        </w:rPr>
        <w:t> </w:t>
      </w:r>
      <w:r>
        <w:rPr>
          <w:color w:val="231F20"/>
        </w:rPr>
        <w:t>from</w:t>
      </w:r>
      <w:r>
        <w:rPr>
          <w:color w:val="231F20"/>
          <w:spacing w:val="40"/>
        </w:rPr>
        <w:t> </w:t>
      </w:r>
      <w:r>
        <w:rPr>
          <w:color w:val="231F20"/>
        </w:rPr>
        <w:t>Quaker</w:t>
      </w:r>
      <w:r>
        <w:rPr>
          <w:color w:val="231F20"/>
          <w:spacing w:val="40"/>
        </w:rPr>
        <w:t> </w:t>
      </w:r>
      <w:r>
        <w:rPr>
          <w:color w:val="231F20"/>
        </w:rPr>
        <w:t>Oats’</w:t>
      </w:r>
      <w:r>
        <w:rPr>
          <w:color w:val="231F20"/>
          <w:spacing w:val="40"/>
        </w:rPr>
        <w:t> </w:t>
      </w:r>
      <w:r>
        <w:rPr>
          <w:color w:val="231F20"/>
        </w:rPr>
        <w:t>new</w:t>
      </w:r>
      <w:r>
        <w:rPr>
          <w:color w:val="231F20"/>
          <w:spacing w:val="40"/>
        </w:rPr>
        <w:t> </w:t>
      </w:r>
      <w:r>
        <w:rPr>
          <w:color w:val="231F20"/>
        </w:rPr>
        <w:t>oatmeal</w:t>
      </w:r>
      <w:r>
        <w:rPr>
          <w:color w:val="231F20"/>
          <w:spacing w:val="40"/>
        </w:rPr>
        <w:t> </w:t>
      </w:r>
      <w:r>
        <w:rPr>
          <w:color w:val="231F20"/>
        </w:rPr>
        <w:t>filling</w:t>
      </w:r>
      <w:r>
        <w:rPr>
          <w:color w:val="231F20"/>
          <w:spacing w:val="40"/>
        </w:rPr>
        <w:t> </w:t>
      </w:r>
      <w:r>
        <w:rPr>
          <w:color w:val="231F20"/>
        </w:rPr>
        <w:t>equipment</w:t>
      </w:r>
      <w:r>
        <w:rPr>
          <w:color w:val="231F20"/>
          <w:spacing w:val="40"/>
        </w:rPr>
        <w:t> </w:t>
      </w:r>
      <w:r>
        <w:rPr>
          <w:color w:val="231F20"/>
        </w:rPr>
        <w:t>more risky, a 15 percent or 20 percent discount rate would value the proj- ect at $21,019 or $11,217 respectively.</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19" w:right="664" w:firstLine="340"/>
        <w:jc w:val="both"/>
      </w:pPr>
      <w:r>
        <w:rPr>
          <w:i/>
          <w:color w:val="231F20"/>
        </w:rPr>
        <w:t>Unequal Lives of Projects. </w:t>
      </w:r>
      <w:r>
        <w:rPr>
          <w:color w:val="231F20"/>
        </w:rPr>
        <w:t>An analyst does have the ability to</w:t>
      </w:r>
      <w:r>
        <w:rPr>
          <w:color w:val="231F20"/>
          <w:spacing w:val="80"/>
        </w:rPr>
        <w:t> </w:t>
      </w:r>
      <w:r>
        <w:rPr>
          <w:color w:val="231F20"/>
        </w:rPr>
        <w:t>value cash over many years by using different discount factors based on the risk-adjusted discount rate. The Quaker project could be compared with many other projects with cash flows of one year, ten years, or unlimited. The discount factor can be used to discount </w:t>
      </w:r>
      <w:r>
        <w:rPr>
          <w:color w:val="231F20"/>
        </w:rPr>
        <w:t>all cash flows to their present value for comparison.</w:t>
      </w:r>
    </w:p>
    <w:p>
      <w:pPr>
        <w:pStyle w:val="BodyText"/>
        <w:spacing w:line="292" w:lineRule="auto"/>
        <w:ind w:left="919" w:right="669" w:firstLine="340"/>
        <w:jc w:val="both"/>
      </w:pPr>
      <w:r>
        <w:rPr>
          <w:i/>
          <w:color w:val="231F20"/>
        </w:rPr>
        <w:t>Scale Differences in the Size of Projects’ Cash Flows. </w:t>
      </w:r>
      <w:r>
        <w:rPr>
          <w:color w:val="231F20"/>
        </w:rPr>
        <w:t>The ability of the NPV method to discount cash at different amounts yields a “net” present value that is comparable among different-sized projects. The discount factor also values the cash flow at any time in the future.</w:t>
      </w:r>
    </w:p>
    <w:p>
      <w:pPr>
        <w:pStyle w:val="BodyText"/>
        <w:spacing w:line="292" w:lineRule="auto"/>
        <w:ind w:left="919" w:right="666" w:firstLine="340"/>
        <w:jc w:val="both"/>
      </w:pPr>
      <w:r>
        <w:rPr>
          <w:color w:val="231F20"/>
          <w:w w:val="105"/>
        </w:rPr>
        <w:t>Since</w:t>
      </w:r>
      <w:r>
        <w:rPr>
          <w:color w:val="231F20"/>
          <w:spacing w:val="-8"/>
          <w:w w:val="105"/>
        </w:rPr>
        <w:t> </w:t>
      </w:r>
      <w:r>
        <w:rPr>
          <w:color w:val="231F20"/>
          <w:w w:val="105"/>
        </w:rPr>
        <w:t>capital</w:t>
      </w:r>
      <w:r>
        <w:rPr>
          <w:color w:val="231F20"/>
          <w:spacing w:val="-8"/>
          <w:w w:val="105"/>
        </w:rPr>
        <w:t> </w:t>
      </w:r>
      <w:r>
        <w:rPr>
          <w:color w:val="231F20"/>
          <w:w w:val="105"/>
        </w:rPr>
        <w:t>needs</w:t>
      </w:r>
      <w:r>
        <w:rPr>
          <w:color w:val="231F20"/>
          <w:spacing w:val="-8"/>
          <w:w w:val="105"/>
        </w:rPr>
        <w:t> </w:t>
      </w:r>
      <w:r>
        <w:rPr>
          <w:color w:val="231F20"/>
          <w:w w:val="105"/>
        </w:rPr>
        <w:t>to</w:t>
      </w:r>
      <w:r>
        <w:rPr>
          <w:color w:val="231F20"/>
          <w:spacing w:val="-8"/>
          <w:w w:val="105"/>
        </w:rPr>
        <w:t> </w:t>
      </w:r>
      <w:r>
        <w:rPr>
          <w:color w:val="231F20"/>
          <w:w w:val="105"/>
        </w:rPr>
        <w:t>be</w:t>
      </w:r>
      <w:r>
        <w:rPr>
          <w:color w:val="231F20"/>
          <w:spacing w:val="-8"/>
          <w:w w:val="105"/>
        </w:rPr>
        <w:t> </w:t>
      </w:r>
      <w:r>
        <w:rPr>
          <w:color w:val="231F20"/>
          <w:w w:val="105"/>
        </w:rPr>
        <w:t>rationed,</w:t>
      </w:r>
      <w:r>
        <w:rPr>
          <w:color w:val="231F20"/>
          <w:spacing w:val="-8"/>
          <w:w w:val="105"/>
        </w:rPr>
        <w:t> </w:t>
      </w:r>
      <w:r>
        <w:rPr>
          <w:color w:val="231F20"/>
          <w:w w:val="105"/>
        </w:rPr>
        <w:t>what</w:t>
      </w:r>
      <w:r>
        <w:rPr>
          <w:color w:val="231F20"/>
          <w:spacing w:val="-8"/>
          <w:w w:val="105"/>
        </w:rPr>
        <w:t> </w:t>
      </w:r>
      <w:r>
        <w:rPr>
          <w:color w:val="231F20"/>
          <w:w w:val="105"/>
        </w:rPr>
        <w:t>is</w:t>
      </w:r>
      <w:r>
        <w:rPr>
          <w:color w:val="231F20"/>
          <w:spacing w:val="-8"/>
          <w:w w:val="105"/>
        </w:rPr>
        <w:t> </w:t>
      </w:r>
      <w:r>
        <w:rPr>
          <w:color w:val="231F20"/>
          <w:w w:val="105"/>
        </w:rPr>
        <w:t>an</w:t>
      </w:r>
      <w:r>
        <w:rPr>
          <w:color w:val="231F20"/>
          <w:spacing w:val="-8"/>
          <w:w w:val="105"/>
        </w:rPr>
        <w:t> </w:t>
      </w:r>
      <w:r>
        <w:rPr>
          <w:color w:val="231F20"/>
          <w:w w:val="105"/>
        </w:rPr>
        <w:t>MBA</w:t>
      </w:r>
      <w:r>
        <w:rPr>
          <w:color w:val="231F20"/>
          <w:spacing w:val="-8"/>
          <w:w w:val="105"/>
        </w:rPr>
        <w:t> </w:t>
      </w:r>
      <w:r>
        <w:rPr>
          <w:color w:val="231F20"/>
          <w:w w:val="105"/>
        </w:rPr>
        <w:t>to</w:t>
      </w:r>
      <w:r>
        <w:rPr>
          <w:color w:val="231F20"/>
          <w:spacing w:val="-8"/>
          <w:w w:val="105"/>
        </w:rPr>
        <w:t> </w:t>
      </w:r>
      <w:r>
        <w:rPr>
          <w:color w:val="231F20"/>
          <w:w w:val="105"/>
        </w:rPr>
        <w:t>do</w:t>
      </w:r>
      <w:r>
        <w:rPr>
          <w:color w:val="231F20"/>
          <w:spacing w:val="-8"/>
          <w:w w:val="105"/>
        </w:rPr>
        <w:t> </w:t>
      </w:r>
      <w:r>
        <w:rPr>
          <w:color w:val="231F20"/>
          <w:w w:val="105"/>
        </w:rPr>
        <w:t>if</w:t>
      </w:r>
      <w:r>
        <w:rPr>
          <w:color w:val="231F20"/>
          <w:spacing w:val="-8"/>
          <w:w w:val="105"/>
        </w:rPr>
        <w:t> </w:t>
      </w:r>
      <w:r>
        <w:rPr>
          <w:color w:val="231F20"/>
          <w:w w:val="105"/>
        </w:rPr>
        <w:t>he</w:t>
      </w:r>
      <w:r>
        <w:rPr>
          <w:color w:val="231F20"/>
          <w:spacing w:val="-8"/>
          <w:w w:val="105"/>
        </w:rPr>
        <w:t> </w:t>
      </w:r>
      <w:r>
        <w:rPr>
          <w:color w:val="231F20"/>
          <w:w w:val="105"/>
        </w:rPr>
        <w:t>or </w:t>
      </w:r>
      <w:r>
        <w:rPr>
          <w:color w:val="231F20"/>
        </w:rPr>
        <w:t>she needs to choose? NPV tells you the best projects, but not the best </w:t>
      </w:r>
      <w:r>
        <w:rPr>
          <w:i/>
          <w:color w:val="231F20"/>
          <w:w w:val="105"/>
        </w:rPr>
        <w:t>group</w:t>
      </w:r>
      <w:r>
        <w:rPr>
          <w:i/>
          <w:color w:val="231F20"/>
          <w:spacing w:val="-3"/>
          <w:w w:val="105"/>
        </w:rPr>
        <w:t> </w:t>
      </w:r>
      <w:r>
        <w:rPr>
          <w:color w:val="231F20"/>
          <w:w w:val="105"/>
        </w:rPr>
        <w:t>of</w:t>
      </w:r>
      <w:r>
        <w:rPr>
          <w:color w:val="231F20"/>
          <w:spacing w:val="-3"/>
          <w:w w:val="105"/>
        </w:rPr>
        <w:t> </w:t>
      </w:r>
      <w:r>
        <w:rPr>
          <w:color w:val="231F20"/>
          <w:w w:val="105"/>
        </w:rPr>
        <w:t>projects.</w:t>
      </w:r>
      <w:r>
        <w:rPr>
          <w:color w:val="231F20"/>
          <w:spacing w:val="-3"/>
          <w:w w:val="105"/>
        </w:rPr>
        <w:t> </w:t>
      </w:r>
      <w:r>
        <w:rPr>
          <w:color w:val="231F20"/>
          <w:w w:val="105"/>
        </w:rPr>
        <w:t>The</w:t>
      </w:r>
      <w:r>
        <w:rPr>
          <w:color w:val="231F20"/>
          <w:spacing w:val="-3"/>
          <w:w w:val="105"/>
        </w:rPr>
        <w:t> </w:t>
      </w:r>
      <w:r>
        <w:rPr>
          <w:i/>
          <w:color w:val="231F20"/>
          <w:w w:val="105"/>
        </w:rPr>
        <w:t>profitability</w:t>
      </w:r>
      <w:r>
        <w:rPr>
          <w:i/>
          <w:color w:val="231F20"/>
          <w:spacing w:val="-3"/>
          <w:w w:val="105"/>
        </w:rPr>
        <w:t> </w:t>
      </w:r>
      <w:r>
        <w:rPr>
          <w:i/>
          <w:color w:val="231F20"/>
          <w:w w:val="105"/>
        </w:rPr>
        <w:t>index</w:t>
      </w:r>
      <w:r>
        <w:rPr>
          <w:i/>
          <w:color w:val="231F20"/>
          <w:spacing w:val="-3"/>
          <w:w w:val="105"/>
        </w:rPr>
        <w:t> </w:t>
      </w:r>
      <w:r>
        <w:rPr>
          <w:color w:val="231F20"/>
          <w:w w:val="105"/>
        </w:rPr>
        <w:t>(PI)</w:t>
      </w:r>
      <w:r>
        <w:rPr>
          <w:color w:val="231F20"/>
          <w:spacing w:val="-3"/>
          <w:w w:val="105"/>
        </w:rPr>
        <w:t> </w:t>
      </w:r>
      <w:r>
        <w:rPr>
          <w:color w:val="231F20"/>
          <w:w w:val="105"/>
        </w:rPr>
        <w:t>can</w:t>
      </w:r>
      <w:r>
        <w:rPr>
          <w:color w:val="231F20"/>
          <w:spacing w:val="-3"/>
          <w:w w:val="105"/>
        </w:rPr>
        <w:t> </w:t>
      </w:r>
      <w:r>
        <w:rPr>
          <w:color w:val="231F20"/>
          <w:w w:val="105"/>
        </w:rPr>
        <w:t>be</w:t>
      </w:r>
      <w:r>
        <w:rPr>
          <w:color w:val="231F20"/>
          <w:spacing w:val="-3"/>
          <w:w w:val="105"/>
        </w:rPr>
        <w:t> </w:t>
      </w:r>
      <w:r>
        <w:rPr>
          <w:color w:val="231F20"/>
          <w:w w:val="105"/>
        </w:rPr>
        <w:t>of</w:t>
      </w:r>
      <w:r>
        <w:rPr>
          <w:color w:val="231F20"/>
          <w:spacing w:val="-3"/>
          <w:w w:val="105"/>
        </w:rPr>
        <w:t> </w:t>
      </w:r>
      <w:r>
        <w:rPr>
          <w:color w:val="231F20"/>
          <w:w w:val="105"/>
        </w:rPr>
        <w:t>help.</w:t>
      </w:r>
      <w:r>
        <w:rPr>
          <w:color w:val="231F20"/>
          <w:spacing w:val="-3"/>
          <w:w w:val="105"/>
        </w:rPr>
        <w:t> </w:t>
      </w:r>
      <w:r>
        <w:rPr>
          <w:color w:val="231F20"/>
          <w:w w:val="105"/>
        </w:rPr>
        <w:t>The</w:t>
      </w:r>
      <w:r>
        <w:rPr>
          <w:color w:val="231F20"/>
          <w:spacing w:val="-3"/>
          <w:w w:val="105"/>
        </w:rPr>
        <w:t> </w:t>
      </w:r>
      <w:r>
        <w:rPr>
          <w:color w:val="231F20"/>
          <w:w w:val="105"/>
        </w:rPr>
        <w:t>PI divides</w:t>
      </w:r>
      <w:r>
        <w:rPr>
          <w:color w:val="231F20"/>
          <w:w w:val="105"/>
        </w:rPr>
        <w:t> the</w:t>
      </w:r>
      <w:r>
        <w:rPr>
          <w:color w:val="231F20"/>
          <w:w w:val="105"/>
        </w:rPr>
        <w:t> NPV</w:t>
      </w:r>
      <w:r>
        <w:rPr>
          <w:color w:val="231F20"/>
          <w:w w:val="105"/>
        </w:rPr>
        <w:t> of</w:t>
      </w:r>
      <w:r>
        <w:rPr>
          <w:color w:val="231F20"/>
          <w:w w:val="105"/>
        </w:rPr>
        <w:t> the</w:t>
      </w:r>
      <w:r>
        <w:rPr>
          <w:color w:val="231F20"/>
          <w:w w:val="105"/>
        </w:rPr>
        <w:t> </w:t>
      </w:r>
      <w:r>
        <w:rPr>
          <w:i/>
          <w:color w:val="231F20"/>
          <w:w w:val="105"/>
        </w:rPr>
        <w:t>future</w:t>
      </w:r>
      <w:r>
        <w:rPr>
          <w:i/>
          <w:color w:val="231F20"/>
          <w:w w:val="105"/>
        </w:rPr>
        <w:t> </w:t>
      </w:r>
      <w:r>
        <w:rPr>
          <w:color w:val="231F20"/>
          <w:w w:val="105"/>
        </w:rPr>
        <w:t>cash</w:t>
      </w:r>
      <w:r>
        <w:rPr>
          <w:color w:val="231F20"/>
          <w:w w:val="105"/>
        </w:rPr>
        <w:t> flows</w:t>
      </w:r>
      <w:r>
        <w:rPr>
          <w:color w:val="231F20"/>
          <w:w w:val="105"/>
        </w:rPr>
        <w:t> by</w:t>
      </w:r>
      <w:r>
        <w:rPr>
          <w:color w:val="231F20"/>
          <w:w w:val="105"/>
        </w:rPr>
        <w:t> the</w:t>
      </w:r>
      <w:r>
        <w:rPr>
          <w:color w:val="231F20"/>
          <w:w w:val="105"/>
        </w:rPr>
        <w:t> initial</w:t>
      </w:r>
      <w:r>
        <w:rPr>
          <w:color w:val="231F20"/>
          <w:w w:val="105"/>
        </w:rPr>
        <w:t> investment. For example, the Quaker project has an index of 1.317.</w:t>
      </w:r>
    </w:p>
    <w:p>
      <w:pPr>
        <w:pStyle w:val="BodyText"/>
        <w:spacing w:before="1"/>
        <w:rPr>
          <w:sz w:val="25"/>
        </w:rPr>
      </w:pPr>
    </w:p>
    <w:p>
      <w:pPr>
        <w:pStyle w:val="BodyText"/>
        <w:spacing w:line="292" w:lineRule="auto"/>
        <w:ind w:left="3220" w:right="2640" w:hanging="439"/>
      </w:pPr>
      <w:r>
        <w:rPr>
          <w:color w:val="231F20"/>
          <w:u w:val="single" w:color="231F20"/>
        </w:rPr>
        <w:t>NPV of Future Cash </w:t>
      </w:r>
      <w:r>
        <w:rPr>
          <w:color w:val="231F20"/>
          <w:u w:val="single" w:color="231F20"/>
        </w:rPr>
        <w:t>Flows</w:t>
      </w:r>
      <w:r>
        <w:rPr>
          <w:color w:val="231F20"/>
        </w:rPr>
        <w:t> Initial Investment</w:t>
      </w:r>
    </w:p>
    <w:p>
      <w:pPr>
        <w:pStyle w:val="BodyText"/>
        <w:spacing w:before="10"/>
        <w:rPr>
          <w:sz w:val="16"/>
        </w:rPr>
      </w:pPr>
    </w:p>
    <w:p>
      <w:pPr>
        <w:spacing w:after="0"/>
        <w:rPr>
          <w:sz w:val="16"/>
        </w:rPr>
        <w:sectPr>
          <w:pgSz w:w="8640" w:h="12960"/>
          <w:pgMar w:header="734" w:footer="0" w:top="920" w:bottom="280" w:left="340" w:right="500"/>
        </w:sectPr>
      </w:pPr>
    </w:p>
    <w:p>
      <w:pPr>
        <w:pStyle w:val="BodyText"/>
        <w:spacing w:before="90"/>
        <w:ind w:left="2420"/>
        <w:jc w:val="center"/>
      </w:pPr>
      <w:r>
        <w:rPr>
          <w:color w:val="231F20"/>
          <w:w w:val="105"/>
        </w:rPr>
        <w:t>$46,364</w:t>
      </w:r>
      <w:r>
        <w:rPr>
          <w:color w:val="231F20"/>
          <w:spacing w:val="7"/>
          <w:w w:val="105"/>
        </w:rPr>
        <w:t> </w:t>
      </w:r>
      <w:r>
        <w:rPr>
          <w:rFonts w:ascii="Symbol" w:hAnsi="Symbol"/>
          <w:color w:val="231F20"/>
          <w:w w:val="105"/>
        </w:rPr>
        <w:t></w:t>
      </w:r>
      <w:r>
        <w:rPr>
          <w:rFonts w:ascii="Times New Roman" w:hAnsi="Times New Roman"/>
          <w:color w:val="231F20"/>
          <w:spacing w:val="1"/>
          <w:w w:val="105"/>
        </w:rPr>
        <w:t> </w:t>
      </w:r>
      <w:r>
        <w:rPr>
          <w:color w:val="231F20"/>
          <w:w w:val="105"/>
        </w:rPr>
        <w:t>$42,149</w:t>
      </w:r>
      <w:r>
        <w:rPr>
          <w:color w:val="231F20"/>
          <w:spacing w:val="7"/>
          <w:w w:val="105"/>
        </w:rPr>
        <w:t> </w:t>
      </w:r>
      <w:r>
        <w:rPr>
          <w:rFonts w:ascii="Symbol" w:hAnsi="Symbol"/>
          <w:color w:val="231F20"/>
          <w:w w:val="105"/>
        </w:rPr>
        <w:t></w:t>
      </w:r>
      <w:r>
        <w:rPr>
          <w:rFonts w:ascii="Times New Roman" w:hAnsi="Times New Roman"/>
          <w:color w:val="231F20"/>
          <w:spacing w:val="1"/>
          <w:w w:val="105"/>
        </w:rPr>
        <w:t> </w:t>
      </w:r>
      <w:r>
        <w:rPr>
          <w:color w:val="231F20"/>
          <w:spacing w:val="-2"/>
          <w:w w:val="105"/>
        </w:rPr>
        <w:t>$45,830</w:t>
      </w:r>
    </w:p>
    <w:p>
      <w:pPr>
        <w:pStyle w:val="BodyText"/>
        <w:spacing w:before="3"/>
        <w:rPr>
          <w:sz w:val="3"/>
        </w:rPr>
      </w:pPr>
    </w:p>
    <w:p>
      <w:pPr>
        <w:pStyle w:val="BodyText"/>
        <w:spacing w:line="20" w:lineRule="exact"/>
        <w:ind w:left="2440" w:right="-44"/>
        <w:rPr>
          <w:sz w:val="2"/>
        </w:rPr>
      </w:pPr>
      <w:r>
        <w:rPr>
          <w:sz w:val="2"/>
        </w:rPr>
        <w:pict>
          <v:group style="width:137pt;height:.5pt;mso-position-horizontal-relative:char;mso-position-vertical-relative:line" id="docshapegroup381" coordorigin="0,0" coordsize="2740,10">
            <v:line style="position:absolute" from="0,5" to="2740,5" stroked="true" strokeweight=".5pt" strokecolor="#231f20">
              <v:stroke dashstyle="solid"/>
            </v:line>
          </v:group>
        </w:pict>
      </w:r>
      <w:r>
        <w:rPr>
          <w:sz w:val="2"/>
        </w:rPr>
      </w:r>
    </w:p>
    <w:p>
      <w:pPr>
        <w:pStyle w:val="BodyText"/>
        <w:ind w:left="2428"/>
        <w:jc w:val="center"/>
      </w:pPr>
      <w:r>
        <w:rPr>
          <w:color w:val="231F20"/>
          <w:spacing w:val="-2"/>
          <w:w w:val="105"/>
        </w:rPr>
        <w:t>$102,000</w:t>
      </w:r>
    </w:p>
    <w:p>
      <w:pPr>
        <w:spacing w:line="240" w:lineRule="auto" w:before="5"/>
        <w:rPr>
          <w:sz w:val="20"/>
        </w:rPr>
      </w:pPr>
      <w:r>
        <w:rPr/>
        <w:br w:type="column"/>
      </w:r>
      <w:r>
        <w:rPr>
          <w:sz w:val="20"/>
        </w:rPr>
      </w:r>
    </w:p>
    <w:p>
      <w:pPr>
        <w:pStyle w:val="BodyText"/>
        <w:spacing w:before="1"/>
        <w:ind w:left="19"/>
      </w:pPr>
      <w:r>
        <w:rPr>
          <w:rFonts w:ascii="Symbol" w:hAnsi="Symbol"/>
          <w:color w:val="231F20"/>
          <w:w w:val="105"/>
        </w:rPr>
        <w:t></w:t>
      </w:r>
      <w:r>
        <w:rPr>
          <w:rFonts w:ascii="Times New Roman" w:hAnsi="Times New Roman"/>
          <w:color w:val="231F20"/>
          <w:spacing w:val="-2"/>
          <w:w w:val="105"/>
        </w:rPr>
        <w:t> </w:t>
      </w:r>
      <w:r>
        <w:rPr>
          <w:color w:val="231F20"/>
          <w:spacing w:val="-4"/>
          <w:w w:val="105"/>
        </w:rPr>
        <w:t>1.317</w:t>
      </w:r>
    </w:p>
    <w:p>
      <w:pPr>
        <w:spacing w:after="0"/>
        <w:sectPr>
          <w:type w:val="continuous"/>
          <w:pgSz w:w="8640" w:h="12960"/>
          <w:pgMar w:header="732" w:footer="0" w:top="1220" w:bottom="280" w:left="340" w:right="500"/>
          <w:cols w:num="2" w:equalWidth="0">
            <w:col w:w="5200" w:space="40"/>
            <w:col w:w="2560"/>
          </w:cols>
        </w:sectPr>
      </w:pPr>
    </w:p>
    <w:p>
      <w:pPr>
        <w:pStyle w:val="BodyText"/>
        <w:spacing w:before="2"/>
      </w:pPr>
    </w:p>
    <w:p>
      <w:pPr>
        <w:pStyle w:val="BodyText"/>
        <w:spacing w:line="292" w:lineRule="auto" w:before="101"/>
        <w:ind w:left="920" w:right="666" w:firstLine="340"/>
        <w:jc w:val="both"/>
      </w:pPr>
      <w:r>
        <w:rPr>
          <w:color w:val="231F20"/>
        </w:rPr>
        <w:t>In situations where money is unlimited, all PIs above 1.00 would be accepted. All projects with a return over the risk-adjusted rate </w:t>
      </w:r>
      <w:r>
        <w:rPr>
          <w:color w:val="231F20"/>
        </w:rPr>
        <w:t>are attractive. With constrained resources, only the investment opportu- nities</w:t>
      </w:r>
      <w:r>
        <w:rPr>
          <w:color w:val="231F20"/>
          <w:spacing w:val="-1"/>
        </w:rPr>
        <w:t> </w:t>
      </w:r>
      <w:r>
        <w:rPr>
          <w:color w:val="231F20"/>
        </w:rPr>
        <w:t>with</w:t>
      </w:r>
      <w:r>
        <w:rPr>
          <w:color w:val="231F20"/>
          <w:spacing w:val="-1"/>
        </w:rPr>
        <w:t> </w:t>
      </w:r>
      <w:r>
        <w:rPr>
          <w:color w:val="231F20"/>
        </w:rPr>
        <w:t>the</w:t>
      </w:r>
      <w:r>
        <w:rPr>
          <w:color w:val="231F20"/>
          <w:spacing w:val="-1"/>
        </w:rPr>
        <w:t> </w:t>
      </w:r>
      <w:r>
        <w:rPr>
          <w:color w:val="231F20"/>
        </w:rPr>
        <w:t>highest</w:t>
      </w:r>
      <w:r>
        <w:rPr>
          <w:color w:val="231F20"/>
          <w:spacing w:val="-1"/>
        </w:rPr>
        <w:t> </w:t>
      </w:r>
      <w:r>
        <w:rPr>
          <w:color w:val="231F20"/>
        </w:rPr>
        <w:t>PI</w:t>
      </w:r>
      <w:r>
        <w:rPr>
          <w:color w:val="231F20"/>
          <w:spacing w:val="-1"/>
        </w:rPr>
        <w:t> </w:t>
      </w:r>
      <w:r>
        <w:rPr>
          <w:color w:val="231F20"/>
        </w:rPr>
        <w:t>are</w:t>
      </w:r>
      <w:r>
        <w:rPr>
          <w:color w:val="231F20"/>
          <w:spacing w:val="-1"/>
        </w:rPr>
        <w:t> </w:t>
      </w:r>
      <w:r>
        <w:rPr>
          <w:color w:val="231F20"/>
        </w:rPr>
        <w:t>chosen</w:t>
      </w:r>
      <w:r>
        <w:rPr>
          <w:color w:val="231F20"/>
          <w:spacing w:val="-1"/>
        </w:rPr>
        <w:t> </w:t>
      </w:r>
      <w:r>
        <w:rPr>
          <w:color w:val="231F20"/>
        </w:rPr>
        <w:t>so</w:t>
      </w:r>
      <w:r>
        <w:rPr>
          <w:color w:val="231F20"/>
          <w:spacing w:val="-1"/>
        </w:rPr>
        <w:t> </w:t>
      </w:r>
      <w:r>
        <w:rPr>
          <w:color w:val="231F20"/>
        </w:rPr>
        <w:t>that</w:t>
      </w:r>
      <w:r>
        <w:rPr>
          <w:color w:val="231F20"/>
          <w:spacing w:val="-1"/>
        </w:rPr>
        <w:t> </w:t>
      </w:r>
      <w:r>
        <w:rPr>
          <w:color w:val="231F20"/>
        </w:rPr>
        <w:t>the</w:t>
      </w:r>
      <w:r>
        <w:rPr>
          <w:color w:val="231F20"/>
          <w:spacing w:val="-1"/>
        </w:rPr>
        <w:t> </w:t>
      </w:r>
      <w:r>
        <w:rPr>
          <w:color w:val="231F20"/>
        </w:rPr>
        <w:t>group</w:t>
      </w:r>
      <w:r>
        <w:rPr>
          <w:color w:val="231F20"/>
          <w:spacing w:val="-1"/>
        </w:rPr>
        <w:t> </w:t>
      </w:r>
      <w:r>
        <w:rPr>
          <w:color w:val="231F20"/>
        </w:rPr>
        <w:t>of</w:t>
      </w:r>
      <w:r>
        <w:rPr>
          <w:color w:val="231F20"/>
          <w:spacing w:val="-1"/>
        </w:rPr>
        <w:t> </w:t>
      </w:r>
      <w:r>
        <w:rPr>
          <w:color w:val="231F20"/>
        </w:rPr>
        <w:t>investments may yield the highest NPV for the shareholders.</w:t>
      </w:r>
    </w:p>
    <w:p>
      <w:pPr>
        <w:pStyle w:val="BodyText"/>
        <w:spacing w:line="292" w:lineRule="auto"/>
        <w:ind w:left="920" w:right="666" w:firstLine="340"/>
        <w:jc w:val="both"/>
      </w:pPr>
      <w:r>
        <w:rPr>
          <w:color w:val="231F20"/>
        </w:rPr>
        <w:t>In those cases, it is up to the MBA analyst to try different combi- nations of the best projects using NPVs and PIs as guides to get </w:t>
      </w:r>
      <w:r>
        <w:rPr>
          <w:color w:val="231F20"/>
        </w:rPr>
        <w:t>the highest possible NPV for the entire group.</w:t>
      </w:r>
    </w:p>
    <w:p>
      <w:pPr>
        <w:pStyle w:val="BodyText"/>
        <w:rPr>
          <w:sz w:val="24"/>
        </w:rPr>
      </w:pPr>
    </w:p>
    <w:p>
      <w:pPr>
        <w:pStyle w:val="BodyText"/>
        <w:spacing w:before="11"/>
        <w:rPr>
          <w:sz w:val="26"/>
        </w:rPr>
      </w:pPr>
    </w:p>
    <w:p>
      <w:pPr>
        <w:pStyle w:val="Heading6"/>
        <w:rPr>
          <w:i/>
        </w:rPr>
      </w:pPr>
      <w:r>
        <w:rPr>
          <w:i/>
          <w:color w:val="231F20"/>
          <w:w w:val="115"/>
        </w:rPr>
        <w:t>BUSINESS</w:t>
      </w:r>
      <w:r>
        <w:rPr>
          <w:i/>
          <w:color w:val="231F20"/>
          <w:spacing w:val="71"/>
          <w:w w:val="150"/>
        </w:rPr>
        <w:t> </w:t>
      </w:r>
      <w:r>
        <w:rPr>
          <w:i/>
          <w:color w:val="231F20"/>
          <w:w w:val="115"/>
        </w:rPr>
        <w:t>FINANCING</w:t>
      </w:r>
      <w:r>
        <w:rPr>
          <w:i/>
          <w:color w:val="231F20"/>
          <w:spacing w:val="71"/>
          <w:w w:val="150"/>
        </w:rPr>
        <w:t> </w:t>
      </w:r>
      <w:r>
        <w:rPr>
          <w:i/>
          <w:color w:val="231F20"/>
          <w:spacing w:val="8"/>
          <w:w w:val="115"/>
        </w:rPr>
        <w:t>DECISIONS</w:t>
      </w:r>
    </w:p>
    <w:p>
      <w:pPr>
        <w:pStyle w:val="BodyText"/>
        <w:spacing w:before="2"/>
        <w:rPr>
          <w:b/>
          <w:i/>
          <w:sz w:val="30"/>
        </w:rPr>
      </w:pPr>
    </w:p>
    <w:p>
      <w:pPr>
        <w:pStyle w:val="BodyText"/>
        <w:spacing w:line="292" w:lineRule="auto"/>
        <w:ind w:left="920" w:right="666" w:hanging="1"/>
        <w:jc w:val="center"/>
      </w:pPr>
      <w:r>
        <w:rPr>
          <w:color w:val="231F20"/>
        </w:rPr>
        <w:t>A large number of MBAs devote their lives to finding the </w:t>
      </w:r>
      <w:r>
        <w:rPr>
          <w:color w:val="231F20"/>
        </w:rPr>
        <w:t>financing</w:t>
      </w:r>
      <w:r>
        <w:rPr>
          <w:color w:val="231F20"/>
          <w:spacing w:val="80"/>
          <w:w w:val="150"/>
        </w:rPr>
        <w:t> </w:t>
      </w:r>
      <w:r>
        <w:rPr>
          <w:color w:val="231F20"/>
        </w:rPr>
        <w:t>for</w:t>
      </w:r>
      <w:r>
        <w:rPr>
          <w:color w:val="231F20"/>
          <w:spacing w:val="20"/>
        </w:rPr>
        <w:t> </w:t>
      </w:r>
      <w:r>
        <w:rPr>
          <w:color w:val="231F20"/>
        </w:rPr>
        <w:t>the</w:t>
      </w:r>
      <w:r>
        <w:rPr>
          <w:color w:val="231F20"/>
          <w:spacing w:val="21"/>
        </w:rPr>
        <w:t> </w:t>
      </w:r>
      <w:r>
        <w:rPr>
          <w:color w:val="231F20"/>
        </w:rPr>
        <w:t>capital</w:t>
      </w:r>
      <w:r>
        <w:rPr>
          <w:color w:val="231F20"/>
          <w:spacing w:val="21"/>
        </w:rPr>
        <w:t> </w:t>
      </w:r>
      <w:r>
        <w:rPr>
          <w:color w:val="231F20"/>
        </w:rPr>
        <w:t>needs</w:t>
      </w:r>
      <w:r>
        <w:rPr>
          <w:color w:val="231F20"/>
          <w:spacing w:val="21"/>
        </w:rPr>
        <w:t> </w:t>
      </w:r>
      <w:r>
        <w:rPr>
          <w:color w:val="231F20"/>
        </w:rPr>
        <w:t>of</w:t>
      </w:r>
      <w:r>
        <w:rPr>
          <w:color w:val="231F20"/>
          <w:spacing w:val="21"/>
        </w:rPr>
        <w:t> </w:t>
      </w:r>
      <w:r>
        <w:rPr>
          <w:color w:val="231F20"/>
        </w:rPr>
        <w:t>businesses.</w:t>
      </w:r>
      <w:r>
        <w:rPr>
          <w:color w:val="231F20"/>
          <w:spacing w:val="21"/>
        </w:rPr>
        <w:t> </w:t>
      </w:r>
      <w:r>
        <w:rPr>
          <w:color w:val="231F20"/>
        </w:rPr>
        <w:t>The</w:t>
      </w:r>
      <w:r>
        <w:rPr>
          <w:color w:val="231F20"/>
          <w:spacing w:val="20"/>
        </w:rPr>
        <w:t> </w:t>
      </w:r>
      <w:r>
        <w:rPr>
          <w:color w:val="231F20"/>
        </w:rPr>
        <w:t>goal</w:t>
      </w:r>
      <w:r>
        <w:rPr>
          <w:color w:val="231F20"/>
          <w:spacing w:val="21"/>
        </w:rPr>
        <w:t> </w:t>
      </w:r>
      <w:r>
        <w:rPr>
          <w:color w:val="231F20"/>
        </w:rPr>
        <w:t>of</w:t>
      </w:r>
      <w:r>
        <w:rPr>
          <w:color w:val="231F20"/>
          <w:spacing w:val="21"/>
        </w:rPr>
        <w:t> </w:t>
      </w:r>
      <w:r>
        <w:rPr>
          <w:color w:val="231F20"/>
        </w:rPr>
        <w:t>corporate</w:t>
      </w:r>
      <w:r>
        <w:rPr>
          <w:color w:val="231F20"/>
          <w:spacing w:val="21"/>
        </w:rPr>
        <w:t> </w:t>
      </w:r>
      <w:r>
        <w:rPr>
          <w:color w:val="231F20"/>
        </w:rPr>
        <w:t>finance</w:t>
      </w:r>
      <w:r>
        <w:rPr>
          <w:color w:val="231F20"/>
          <w:spacing w:val="21"/>
        </w:rPr>
        <w:t> </w:t>
      </w:r>
      <w:r>
        <w:rPr>
          <w:color w:val="231F20"/>
          <w:spacing w:val="-5"/>
        </w:rPr>
        <w:t>is</w:t>
      </w:r>
    </w:p>
    <w:p>
      <w:pPr>
        <w:spacing w:after="0" w:line="292" w:lineRule="auto"/>
        <w:jc w:val="center"/>
        <w:sectPr>
          <w:type w:val="continuous"/>
          <w:pgSz w:w="8640" w:h="12960"/>
          <w:pgMar w:header="732" w:footer="0" w:top="1220" w:bottom="280" w:left="340" w:right="500"/>
        </w:sectPr>
      </w:pPr>
    </w:p>
    <w:p>
      <w:pPr>
        <w:pStyle w:val="BodyText"/>
        <w:spacing w:before="10"/>
        <w:rPr>
          <w:sz w:val="17"/>
        </w:rPr>
      </w:pPr>
    </w:p>
    <w:p>
      <w:pPr>
        <w:pStyle w:val="BodyText"/>
        <w:spacing w:line="292" w:lineRule="auto" w:before="102"/>
        <w:ind w:left="830" w:right="756"/>
        <w:jc w:val="both"/>
      </w:pPr>
      <w:r>
        <w:rPr>
          <w:color w:val="231F20"/>
        </w:rPr>
        <w:t>to raise sufficient capital at the least cost for the level of risk that management is willing to live with. The risk is that a business </w:t>
      </w:r>
      <w:r>
        <w:rPr>
          <w:color w:val="231F20"/>
        </w:rPr>
        <w:t>will</w:t>
      </w:r>
      <w:r>
        <w:rPr>
          <w:color w:val="231F20"/>
          <w:spacing w:val="80"/>
        </w:rPr>
        <w:t> </w:t>
      </w:r>
      <w:r>
        <w:rPr>
          <w:color w:val="231F20"/>
        </w:rPr>
        <w:t>not be able to service its debt and will be forced into bankruptcy.</w:t>
      </w:r>
    </w:p>
    <w:p>
      <w:pPr>
        <w:pStyle w:val="BodyText"/>
        <w:spacing w:line="245" w:lineRule="exact"/>
        <w:ind w:left="1169"/>
        <w:jc w:val="both"/>
      </w:pPr>
      <w:r>
        <w:rPr>
          <w:color w:val="231F20"/>
        </w:rPr>
        <w:t>There</w:t>
      </w:r>
      <w:r>
        <w:rPr>
          <w:color w:val="231F20"/>
          <w:spacing w:val="7"/>
        </w:rPr>
        <w:t> </w:t>
      </w:r>
      <w:r>
        <w:rPr>
          <w:color w:val="231F20"/>
        </w:rPr>
        <w:t>are</w:t>
      </w:r>
      <w:r>
        <w:rPr>
          <w:color w:val="231F20"/>
          <w:spacing w:val="8"/>
        </w:rPr>
        <w:t> </w:t>
      </w:r>
      <w:r>
        <w:rPr>
          <w:color w:val="231F20"/>
        </w:rPr>
        <w:t>five</w:t>
      </w:r>
      <w:r>
        <w:rPr>
          <w:color w:val="231F20"/>
          <w:spacing w:val="7"/>
        </w:rPr>
        <w:t> </w:t>
      </w:r>
      <w:r>
        <w:rPr>
          <w:color w:val="231F20"/>
        </w:rPr>
        <w:t>basic</w:t>
      </w:r>
      <w:r>
        <w:rPr>
          <w:color w:val="231F20"/>
          <w:spacing w:val="8"/>
        </w:rPr>
        <w:t> </w:t>
      </w:r>
      <w:r>
        <w:rPr>
          <w:color w:val="231F20"/>
        </w:rPr>
        <w:t>ways</w:t>
      </w:r>
      <w:r>
        <w:rPr>
          <w:color w:val="231F20"/>
          <w:spacing w:val="7"/>
        </w:rPr>
        <w:t> </w:t>
      </w:r>
      <w:r>
        <w:rPr>
          <w:color w:val="231F20"/>
        </w:rPr>
        <w:t>of</w:t>
      </w:r>
      <w:r>
        <w:rPr>
          <w:color w:val="231F20"/>
          <w:spacing w:val="8"/>
        </w:rPr>
        <w:t> </w:t>
      </w:r>
      <w:r>
        <w:rPr>
          <w:color w:val="231F20"/>
        </w:rPr>
        <w:t>financing</w:t>
      </w:r>
      <w:r>
        <w:rPr>
          <w:color w:val="231F20"/>
          <w:spacing w:val="8"/>
        </w:rPr>
        <w:t> </w:t>
      </w:r>
      <w:r>
        <w:rPr>
          <w:color w:val="231F20"/>
        </w:rPr>
        <w:t>a</w:t>
      </w:r>
      <w:r>
        <w:rPr>
          <w:color w:val="231F20"/>
          <w:spacing w:val="7"/>
        </w:rPr>
        <w:t> </w:t>
      </w:r>
      <w:r>
        <w:rPr>
          <w:color w:val="231F20"/>
        </w:rPr>
        <w:t>company’s</w:t>
      </w:r>
      <w:r>
        <w:rPr>
          <w:color w:val="231F20"/>
          <w:spacing w:val="8"/>
        </w:rPr>
        <w:t> </w:t>
      </w:r>
      <w:r>
        <w:rPr>
          <w:color w:val="231F20"/>
          <w:spacing w:val="-2"/>
        </w:rPr>
        <w:t>needs:</w:t>
      </w:r>
    </w:p>
    <w:p>
      <w:pPr>
        <w:pStyle w:val="BodyText"/>
        <w:spacing w:before="11"/>
        <w:rPr>
          <w:sz w:val="31"/>
        </w:rPr>
      </w:pPr>
    </w:p>
    <w:p>
      <w:pPr>
        <w:spacing w:line="328" w:lineRule="auto" w:before="0"/>
        <w:ind w:left="1170" w:right="3699" w:firstLine="0"/>
        <w:jc w:val="left"/>
        <w:rPr>
          <w:rFonts w:ascii="Arial"/>
          <w:sz w:val="19"/>
        </w:rPr>
      </w:pPr>
      <w:r>
        <w:rPr>
          <w:rFonts w:ascii="Arial"/>
          <w:color w:val="231F20"/>
          <w:spacing w:val="-2"/>
          <w:w w:val="115"/>
          <w:sz w:val="19"/>
        </w:rPr>
        <w:t>Receive</w:t>
      </w:r>
      <w:r>
        <w:rPr>
          <w:rFonts w:ascii="Arial"/>
          <w:color w:val="231F20"/>
          <w:spacing w:val="-14"/>
          <w:w w:val="115"/>
          <w:sz w:val="19"/>
        </w:rPr>
        <w:t> </w:t>
      </w:r>
      <w:r>
        <w:rPr>
          <w:rFonts w:ascii="Arial"/>
          <w:color w:val="231F20"/>
          <w:spacing w:val="-2"/>
          <w:w w:val="115"/>
          <w:sz w:val="19"/>
        </w:rPr>
        <w:t>Credit</w:t>
      </w:r>
      <w:r>
        <w:rPr>
          <w:rFonts w:ascii="Arial"/>
          <w:color w:val="231F20"/>
          <w:spacing w:val="-13"/>
          <w:w w:val="115"/>
          <w:sz w:val="19"/>
        </w:rPr>
        <w:t> </w:t>
      </w:r>
      <w:r>
        <w:rPr>
          <w:rFonts w:ascii="Arial"/>
          <w:color w:val="231F20"/>
          <w:spacing w:val="-2"/>
          <w:w w:val="115"/>
          <w:sz w:val="19"/>
        </w:rPr>
        <w:t>from</w:t>
      </w:r>
      <w:r>
        <w:rPr>
          <w:rFonts w:ascii="Arial"/>
          <w:color w:val="231F20"/>
          <w:spacing w:val="-13"/>
          <w:w w:val="115"/>
          <w:sz w:val="19"/>
        </w:rPr>
        <w:t> </w:t>
      </w:r>
      <w:r>
        <w:rPr>
          <w:rFonts w:ascii="Arial"/>
          <w:color w:val="231F20"/>
          <w:spacing w:val="-2"/>
          <w:w w:val="115"/>
          <w:sz w:val="19"/>
        </w:rPr>
        <w:t>Suppliers </w:t>
      </w:r>
      <w:r>
        <w:rPr>
          <w:rFonts w:ascii="Arial"/>
          <w:color w:val="231F20"/>
          <w:w w:val="115"/>
          <w:sz w:val="19"/>
        </w:rPr>
        <w:t>Obtain Lease Financing Obtain Bank Loans</w:t>
      </w:r>
    </w:p>
    <w:p>
      <w:pPr>
        <w:spacing w:line="328" w:lineRule="auto" w:before="2"/>
        <w:ind w:left="1170" w:right="5474" w:firstLine="0"/>
        <w:jc w:val="left"/>
        <w:rPr>
          <w:rFonts w:ascii="Arial"/>
          <w:sz w:val="19"/>
        </w:rPr>
      </w:pPr>
      <w:r>
        <w:rPr>
          <w:rFonts w:ascii="Arial"/>
          <w:color w:val="231F20"/>
          <w:w w:val="110"/>
          <w:sz w:val="19"/>
        </w:rPr>
        <w:t>Issue</w:t>
      </w:r>
      <w:r>
        <w:rPr>
          <w:rFonts w:ascii="Arial"/>
          <w:color w:val="231F20"/>
          <w:spacing w:val="-15"/>
          <w:w w:val="110"/>
          <w:sz w:val="19"/>
        </w:rPr>
        <w:t> </w:t>
      </w:r>
      <w:r>
        <w:rPr>
          <w:rFonts w:ascii="Arial"/>
          <w:color w:val="231F20"/>
          <w:w w:val="110"/>
          <w:sz w:val="19"/>
        </w:rPr>
        <w:t>Bonds Issue Stock</w:t>
      </w:r>
    </w:p>
    <w:p>
      <w:pPr>
        <w:pStyle w:val="BodyText"/>
        <w:spacing w:before="4"/>
        <w:rPr>
          <w:rFonts w:ascii="Arial"/>
          <w:sz w:val="24"/>
        </w:rPr>
      </w:pPr>
    </w:p>
    <w:p>
      <w:pPr>
        <w:pStyle w:val="BodyText"/>
        <w:spacing w:line="292" w:lineRule="auto"/>
        <w:ind w:left="830" w:right="755"/>
        <w:jc w:val="both"/>
      </w:pPr>
      <w:r>
        <w:rPr>
          <w:i/>
          <w:color w:val="231F20"/>
        </w:rPr>
        <w:t>Supplier Credit. </w:t>
      </w:r>
      <w:r>
        <w:rPr>
          <w:color w:val="231F20"/>
        </w:rPr>
        <w:t>Supplier credit is the easiest way that companies </w:t>
      </w:r>
      <w:r>
        <w:rPr>
          <w:color w:val="231F20"/>
        </w:rPr>
        <w:t>ob- tain financing. Companies buy goods and services and have any- where from seven days to a year to pay their bills. When companies need</w:t>
      </w:r>
      <w:r>
        <w:rPr>
          <w:color w:val="231F20"/>
          <w:spacing w:val="-3"/>
        </w:rPr>
        <w:t> </w:t>
      </w:r>
      <w:r>
        <w:rPr>
          <w:color w:val="231F20"/>
        </w:rPr>
        <w:t>more</w:t>
      </w:r>
      <w:r>
        <w:rPr>
          <w:color w:val="231F20"/>
          <w:spacing w:val="-3"/>
        </w:rPr>
        <w:t> </w:t>
      </w:r>
      <w:r>
        <w:rPr>
          <w:color w:val="231F20"/>
        </w:rPr>
        <w:t>credit</w:t>
      </w:r>
      <w:r>
        <w:rPr>
          <w:color w:val="231F20"/>
          <w:spacing w:val="-3"/>
        </w:rPr>
        <w:t> </w:t>
      </w:r>
      <w:r>
        <w:rPr>
          <w:color w:val="231F20"/>
        </w:rPr>
        <w:t>from</w:t>
      </w:r>
      <w:r>
        <w:rPr>
          <w:color w:val="231F20"/>
          <w:spacing w:val="-3"/>
        </w:rPr>
        <w:t> </w:t>
      </w:r>
      <w:r>
        <w:rPr>
          <w:color w:val="231F20"/>
        </w:rPr>
        <w:t>suppliers,</w:t>
      </w:r>
      <w:r>
        <w:rPr>
          <w:color w:val="231F20"/>
          <w:spacing w:val="-3"/>
        </w:rPr>
        <w:t> </w:t>
      </w:r>
      <w:r>
        <w:rPr>
          <w:color w:val="231F20"/>
        </w:rPr>
        <w:t>financial</w:t>
      </w:r>
      <w:r>
        <w:rPr>
          <w:color w:val="231F20"/>
          <w:spacing w:val="-3"/>
        </w:rPr>
        <w:t> </w:t>
      </w:r>
      <w:r>
        <w:rPr>
          <w:color w:val="231F20"/>
        </w:rPr>
        <w:t>managers</w:t>
      </w:r>
      <w:r>
        <w:rPr>
          <w:color w:val="231F20"/>
          <w:spacing w:val="-3"/>
        </w:rPr>
        <w:t> </w:t>
      </w:r>
      <w:r>
        <w:rPr>
          <w:color w:val="231F20"/>
        </w:rPr>
        <w:t>negotiate</w:t>
      </w:r>
      <w:r>
        <w:rPr>
          <w:color w:val="231F20"/>
          <w:spacing w:val="-3"/>
        </w:rPr>
        <w:t> </w:t>
      </w:r>
      <w:r>
        <w:rPr>
          <w:color w:val="231F20"/>
        </w:rPr>
        <w:t>longer credit terms or larger credit lines. Cash managers can also </w:t>
      </w:r>
      <w:r>
        <w:rPr>
          <w:i/>
          <w:color w:val="231F20"/>
        </w:rPr>
        <w:t>stretch</w:t>
      </w:r>
      <w:r>
        <w:rPr>
          <w:i/>
          <w:color w:val="231F20"/>
        </w:rPr>
        <w:t> their payables </w:t>
      </w:r>
      <w:r>
        <w:rPr>
          <w:color w:val="231F20"/>
        </w:rPr>
        <w:t>to vendors by paying them late. In the case of Feder- ated and Allied department stores in 1990, vendors refused to ex- tend them additional credit. The combination of creditors and debt holders forced the company into bankruptcy. In 1991, Federated emerged from bankruptcy with creditors and bondholders emerging as the new equity holders, strong enough to buy Macy’s in 1994 and May Department Stores in 2005.</w:t>
      </w:r>
    </w:p>
    <w:p>
      <w:pPr>
        <w:pStyle w:val="BodyText"/>
        <w:spacing w:before="3"/>
        <w:rPr>
          <w:sz w:val="25"/>
        </w:rPr>
      </w:pPr>
    </w:p>
    <w:p>
      <w:pPr>
        <w:pStyle w:val="BodyText"/>
        <w:spacing w:line="292" w:lineRule="auto"/>
        <w:ind w:left="830" w:right="753"/>
        <w:jc w:val="both"/>
      </w:pPr>
      <w:r>
        <w:rPr>
          <w:i/>
          <w:color w:val="231F20"/>
          <w:w w:val="105"/>
        </w:rPr>
        <w:t>Lease</w:t>
      </w:r>
      <w:r>
        <w:rPr>
          <w:i/>
          <w:color w:val="231F20"/>
          <w:w w:val="105"/>
        </w:rPr>
        <w:t> Financing.</w:t>
      </w:r>
      <w:r>
        <w:rPr>
          <w:i/>
          <w:color w:val="231F20"/>
          <w:w w:val="105"/>
        </w:rPr>
        <w:t> </w:t>
      </w:r>
      <w:r>
        <w:rPr>
          <w:color w:val="231F20"/>
          <w:w w:val="105"/>
        </w:rPr>
        <w:t>Instead</w:t>
      </w:r>
      <w:r>
        <w:rPr>
          <w:color w:val="231F20"/>
          <w:w w:val="105"/>
        </w:rPr>
        <w:t> of</w:t>
      </w:r>
      <w:r>
        <w:rPr>
          <w:color w:val="231F20"/>
          <w:w w:val="105"/>
        </w:rPr>
        <w:t> buying</w:t>
      </w:r>
      <w:r>
        <w:rPr>
          <w:color w:val="231F20"/>
          <w:w w:val="105"/>
        </w:rPr>
        <w:t> equipment,</w:t>
      </w:r>
      <w:r>
        <w:rPr>
          <w:color w:val="231F20"/>
          <w:w w:val="105"/>
        </w:rPr>
        <w:t> many</w:t>
      </w:r>
      <w:r>
        <w:rPr>
          <w:color w:val="231F20"/>
          <w:w w:val="105"/>
        </w:rPr>
        <w:t> companies </w:t>
      </w:r>
      <w:r>
        <w:rPr>
          <w:color w:val="231F20"/>
        </w:rPr>
        <w:t>choose to lease equipment. This is a form of financing. Automobiles, </w:t>
      </w:r>
      <w:r>
        <w:rPr>
          <w:color w:val="231F20"/>
          <w:w w:val="105"/>
        </w:rPr>
        <w:t>computers,</w:t>
      </w:r>
      <w:r>
        <w:rPr>
          <w:color w:val="231F20"/>
          <w:spacing w:val="-10"/>
          <w:w w:val="105"/>
        </w:rPr>
        <w:t> </w:t>
      </w:r>
      <w:r>
        <w:rPr>
          <w:color w:val="231F20"/>
          <w:w w:val="105"/>
        </w:rPr>
        <w:t>and</w:t>
      </w:r>
      <w:r>
        <w:rPr>
          <w:color w:val="231F20"/>
          <w:spacing w:val="-10"/>
          <w:w w:val="105"/>
        </w:rPr>
        <w:t> </w:t>
      </w:r>
      <w:r>
        <w:rPr>
          <w:color w:val="231F20"/>
          <w:w w:val="105"/>
        </w:rPr>
        <w:t>heavy</w:t>
      </w:r>
      <w:r>
        <w:rPr>
          <w:color w:val="231F20"/>
          <w:spacing w:val="-10"/>
          <w:w w:val="105"/>
        </w:rPr>
        <w:t> </w:t>
      </w:r>
      <w:r>
        <w:rPr>
          <w:color w:val="231F20"/>
          <w:w w:val="105"/>
        </w:rPr>
        <w:t>machinery</w:t>
      </w:r>
      <w:r>
        <w:rPr>
          <w:color w:val="231F20"/>
          <w:spacing w:val="-10"/>
          <w:w w:val="105"/>
        </w:rPr>
        <w:t> </w:t>
      </w:r>
      <w:r>
        <w:rPr>
          <w:color w:val="231F20"/>
          <w:w w:val="105"/>
        </w:rPr>
        <w:t>can</w:t>
      </w:r>
      <w:r>
        <w:rPr>
          <w:color w:val="231F20"/>
          <w:spacing w:val="-10"/>
          <w:w w:val="105"/>
        </w:rPr>
        <w:t> </w:t>
      </w:r>
      <w:r>
        <w:rPr>
          <w:color w:val="231F20"/>
          <w:w w:val="105"/>
        </w:rPr>
        <w:t>be</w:t>
      </w:r>
      <w:r>
        <w:rPr>
          <w:color w:val="231F20"/>
          <w:spacing w:val="-10"/>
          <w:w w:val="105"/>
        </w:rPr>
        <w:t> </w:t>
      </w:r>
      <w:r>
        <w:rPr>
          <w:color w:val="231F20"/>
          <w:w w:val="105"/>
        </w:rPr>
        <w:t>financed</w:t>
      </w:r>
      <w:r>
        <w:rPr>
          <w:color w:val="231F20"/>
          <w:spacing w:val="-10"/>
          <w:w w:val="105"/>
        </w:rPr>
        <w:t> </w:t>
      </w:r>
      <w:r>
        <w:rPr>
          <w:color w:val="231F20"/>
          <w:w w:val="105"/>
        </w:rPr>
        <w:t>for</w:t>
      </w:r>
      <w:r>
        <w:rPr>
          <w:color w:val="231F20"/>
          <w:spacing w:val="-10"/>
          <w:w w:val="105"/>
        </w:rPr>
        <w:t> </w:t>
      </w:r>
      <w:r>
        <w:rPr>
          <w:color w:val="231F20"/>
          <w:w w:val="105"/>
        </w:rPr>
        <w:t>short</w:t>
      </w:r>
      <w:r>
        <w:rPr>
          <w:color w:val="231F20"/>
          <w:spacing w:val="-10"/>
          <w:w w:val="105"/>
        </w:rPr>
        <w:t> </w:t>
      </w:r>
      <w:r>
        <w:rPr>
          <w:color w:val="231F20"/>
          <w:w w:val="105"/>
        </w:rPr>
        <w:t>periods or</w:t>
      </w:r>
      <w:r>
        <w:rPr>
          <w:color w:val="231F20"/>
          <w:spacing w:val="-2"/>
          <w:w w:val="105"/>
        </w:rPr>
        <w:t> </w:t>
      </w:r>
      <w:r>
        <w:rPr>
          <w:color w:val="231F20"/>
          <w:w w:val="105"/>
        </w:rPr>
        <w:t>for</w:t>
      </w:r>
      <w:r>
        <w:rPr>
          <w:color w:val="231F20"/>
          <w:spacing w:val="-2"/>
          <w:w w:val="105"/>
        </w:rPr>
        <w:t> </w:t>
      </w:r>
      <w:r>
        <w:rPr>
          <w:color w:val="231F20"/>
          <w:w w:val="105"/>
        </w:rPr>
        <w:t>longer</w:t>
      </w:r>
      <w:r>
        <w:rPr>
          <w:color w:val="231F20"/>
          <w:spacing w:val="-2"/>
          <w:w w:val="105"/>
        </w:rPr>
        <w:t> </w:t>
      </w:r>
      <w:r>
        <w:rPr>
          <w:color w:val="231F20"/>
          <w:w w:val="105"/>
        </w:rPr>
        <w:t>periods.</w:t>
      </w:r>
      <w:r>
        <w:rPr>
          <w:color w:val="231F20"/>
          <w:spacing w:val="-2"/>
          <w:w w:val="105"/>
        </w:rPr>
        <w:t> </w:t>
      </w:r>
      <w:r>
        <w:rPr>
          <w:color w:val="231F20"/>
          <w:w w:val="105"/>
        </w:rPr>
        <w:t>If</w:t>
      </w:r>
      <w:r>
        <w:rPr>
          <w:color w:val="231F20"/>
          <w:spacing w:val="-2"/>
          <w:w w:val="105"/>
        </w:rPr>
        <w:t> </w:t>
      </w:r>
      <w:r>
        <w:rPr>
          <w:color w:val="231F20"/>
          <w:w w:val="105"/>
        </w:rPr>
        <w:t>the</w:t>
      </w:r>
      <w:r>
        <w:rPr>
          <w:color w:val="231F20"/>
          <w:spacing w:val="-2"/>
          <w:w w:val="105"/>
        </w:rPr>
        <w:t> </w:t>
      </w:r>
      <w:r>
        <w:rPr>
          <w:color w:val="231F20"/>
          <w:w w:val="105"/>
        </w:rPr>
        <w:t>lease</w:t>
      </w:r>
      <w:r>
        <w:rPr>
          <w:color w:val="231F20"/>
          <w:spacing w:val="-2"/>
          <w:w w:val="105"/>
        </w:rPr>
        <w:t> </w:t>
      </w:r>
      <w:r>
        <w:rPr>
          <w:color w:val="231F20"/>
          <w:w w:val="105"/>
        </w:rPr>
        <w:t>is</w:t>
      </w:r>
      <w:r>
        <w:rPr>
          <w:color w:val="231F20"/>
          <w:spacing w:val="-2"/>
          <w:w w:val="105"/>
        </w:rPr>
        <w:t> </w:t>
      </w:r>
      <w:r>
        <w:rPr>
          <w:color w:val="231F20"/>
          <w:w w:val="105"/>
        </w:rPr>
        <w:t>for</w:t>
      </w:r>
      <w:r>
        <w:rPr>
          <w:color w:val="231F20"/>
          <w:spacing w:val="-2"/>
          <w:w w:val="105"/>
        </w:rPr>
        <w:t> </w:t>
      </w:r>
      <w:r>
        <w:rPr>
          <w:color w:val="231F20"/>
          <w:w w:val="105"/>
        </w:rPr>
        <w:t>a</w:t>
      </w:r>
      <w:r>
        <w:rPr>
          <w:color w:val="231F20"/>
          <w:spacing w:val="-2"/>
          <w:w w:val="105"/>
        </w:rPr>
        <w:t> </w:t>
      </w:r>
      <w:r>
        <w:rPr>
          <w:color w:val="231F20"/>
          <w:w w:val="105"/>
        </w:rPr>
        <w:t>shorter</w:t>
      </w:r>
      <w:r>
        <w:rPr>
          <w:color w:val="231F20"/>
          <w:spacing w:val="-2"/>
          <w:w w:val="105"/>
        </w:rPr>
        <w:t> </w:t>
      </w:r>
      <w:r>
        <w:rPr>
          <w:color w:val="231F20"/>
          <w:w w:val="105"/>
        </w:rPr>
        <w:t>period,</w:t>
      </w:r>
      <w:r>
        <w:rPr>
          <w:color w:val="231F20"/>
          <w:spacing w:val="-2"/>
          <w:w w:val="105"/>
        </w:rPr>
        <w:t> </w:t>
      </w:r>
      <w:r>
        <w:rPr>
          <w:color w:val="231F20"/>
          <w:w w:val="105"/>
        </w:rPr>
        <w:t>it</w:t>
      </w:r>
      <w:r>
        <w:rPr>
          <w:color w:val="231F20"/>
          <w:spacing w:val="-2"/>
          <w:w w:val="105"/>
        </w:rPr>
        <w:t> </w:t>
      </w:r>
      <w:r>
        <w:rPr>
          <w:color w:val="231F20"/>
          <w:w w:val="105"/>
        </w:rPr>
        <w:t>is</w:t>
      </w:r>
      <w:r>
        <w:rPr>
          <w:color w:val="231F20"/>
          <w:spacing w:val="-2"/>
          <w:w w:val="105"/>
        </w:rPr>
        <w:t> </w:t>
      </w:r>
      <w:r>
        <w:rPr>
          <w:color w:val="231F20"/>
          <w:w w:val="105"/>
        </w:rPr>
        <w:t>called an</w:t>
      </w:r>
      <w:r>
        <w:rPr>
          <w:color w:val="231F20"/>
          <w:spacing w:val="-12"/>
          <w:w w:val="105"/>
        </w:rPr>
        <w:t> </w:t>
      </w:r>
      <w:r>
        <w:rPr>
          <w:i/>
          <w:color w:val="231F20"/>
          <w:w w:val="105"/>
        </w:rPr>
        <w:t>operating</w:t>
      </w:r>
      <w:r>
        <w:rPr>
          <w:i/>
          <w:color w:val="231F20"/>
          <w:spacing w:val="-12"/>
          <w:w w:val="105"/>
        </w:rPr>
        <w:t> </w:t>
      </w:r>
      <w:r>
        <w:rPr>
          <w:i/>
          <w:color w:val="231F20"/>
          <w:w w:val="105"/>
        </w:rPr>
        <w:t>lease.</w:t>
      </w:r>
      <w:r>
        <w:rPr>
          <w:i/>
          <w:color w:val="231F20"/>
          <w:spacing w:val="-12"/>
          <w:w w:val="105"/>
        </w:rPr>
        <w:t> </w:t>
      </w:r>
      <w:r>
        <w:rPr>
          <w:color w:val="231F20"/>
          <w:w w:val="105"/>
        </w:rPr>
        <w:t>At</w:t>
      </w:r>
      <w:r>
        <w:rPr>
          <w:color w:val="231F20"/>
          <w:spacing w:val="-12"/>
          <w:w w:val="105"/>
        </w:rPr>
        <w:t> </w:t>
      </w:r>
      <w:r>
        <w:rPr>
          <w:color w:val="231F20"/>
          <w:w w:val="105"/>
        </w:rPr>
        <w:t>the</w:t>
      </w:r>
      <w:r>
        <w:rPr>
          <w:color w:val="231F20"/>
          <w:spacing w:val="-12"/>
          <w:w w:val="105"/>
        </w:rPr>
        <w:t> </w:t>
      </w:r>
      <w:r>
        <w:rPr>
          <w:color w:val="231F20"/>
          <w:w w:val="105"/>
        </w:rPr>
        <w:t>end</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lease</w:t>
      </w:r>
      <w:r>
        <w:rPr>
          <w:color w:val="231F20"/>
          <w:spacing w:val="-12"/>
          <w:w w:val="105"/>
        </w:rPr>
        <w:t> </w:t>
      </w:r>
      <w:r>
        <w:rPr>
          <w:color w:val="231F20"/>
          <w:w w:val="105"/>
        </w:rPr>
        <w:t>the</w:t>
      </w:r>
      <w:r>
        <w:rPr>
          <w:color w:val="231F20"/>
          <w:spacing w:val="-12"/>
          <w:w w:val="105"/>
        </w:rPr>
        <w:t> </w:t>
      </w:r>
      <w:r>
        <w:rPr>
          <w:color w:val="231F20"/>
          <w:w w:val="105"/>
        </w:rPr>
        <w:t>property</w:t>
      </w:r>
      <w:r>
        <w:rPr>
          <w:color w:val="231F20"/>
          <w:spacing w:val="-12"/>
          <w:w w:val="105"/>
        </w:rPr>
        <w:t> </w:t>
      </w:r>
      <w:r>
        <w:rPr>
          <w:color w:val="231F20"/>
          <w:w w:val="105"/>
        </w:rPr>
        <w:t>is</w:t>
      </w:r>
      <w:r>
        <w:rPr>
          <w:color w:val="231F20"/>
          <w:spacing w:val="-12"/>
          <w:w w:val="105"/>
        </w:rPr>
        <w:t> </w:t>
      </w:r>
      <w:r>
        <w:rPr>
          <w:color w:val="231F20"/>
          <w:w w:val="105"/>
        </w:rPr>
        <w:t>still</w:t>
      </w:r>
      <w:r>
        <w:rPr>
          <w:color w:val="231F20"/>
          <w:spacing w:val="-12"/>
          <w:w w:val="105"/>
        </w:rPr>
        <w:t> </w:t>
      </w:r>
      <w:r>
        <w:rPr>
          <w:color w:val="231F20"/>
          <w:w w:val="105"/>
        </w:rPr>
        <w:t>useful and</w:t>
      </w:r>
      <w:r>
        <w:rPr>
          <w:color w:val="231F20"/>
          <w:w w:val="105"/>
        </w:rPr>
        <w:t> is</w:t>
      </w:r>
      <w:r>
        <w:rPr>
          <w:color w:val="231F20"/>
          <w:w w:val="105"/>
        </w:rPr>
        <w:t> returned</w:t>
      </w:r>
      <w:r>
        <w:rPr>
          <w:color w:val="231F20"/>
          <w:w w:val="105"/>
        </w:rPr>
        <w:t> to</w:t>
      </w:r>
      <w:r>
        <w:rPr>
          <w:color w:val="231F20"/>
          <w:w w:val="105"/>
        </w:rPr>
        <w:t> the</w:t>
      </w:r>
      <w:r>
        <w:rPr>
          <w:color w:val="231F20"/>
          <w:w w:val="105"/>
        </w:rPr>
        <w:t> finance</w:t>
      </w:r>
      <w:r>
        <w:rPr>
          <w:color w:val="231F20"/>
          <w:w w:val="105"/>
        </w:rPr>
        <w:t> company.</w:t>
      </w:r>
      <w:r>
        <w:rPr>
          <w:color w:val="231F20"/>
          <w:w w:val="105"/>
        </w:rPr>
        <w:t> This</w:t>
      </w:r>
      <w:r>
        <w:rPr>
          <w:color w:val="231F20"/>
          <w:w w:val="105"/>
        </w:rPr>
        <w:t> is</w:t>
      </w:r>
      <w:r>
        <w:rPr>
          <w:color w:val="231F20"/>
          <w:w w:val="105"/>
        </w:rPr>
        <w:t> the</w:t>
      </w:r>
      <w:r>
        <w:rPr>
          <w:color w:val="231F20"/>
          <w:w w:val="105"/>
        </w:rPr>
        <w:t> case</w:t>
      </w:r>
      <w:r>
        <w:rPr>
          <w:color w:val="231F20"/>
          <w:w w:val="105"/>
        </w:rPr>
        <w:t> with</w:t>
      </w:r>
      <w:r>
        <w:rPr>
          <w:color w:val="231F20"/>
          <w:w w:val="105"/>
        </w:rPr>
        <w:t> two- year car leases.</w:t>
      </w:r>
    </w:p>
    <w:p>
      <w:pPr>
        <w:pStyle w:val="BodyText"/>
        <w:spacing w:line="292" w:lineRule="auto"/>
        <w:ind w:left="829" w:right="756" w:firstLine="340"/>
        <w:jc w:val="both"/>
        <w:rPr>
          <w:i/>
        </w:rPr>
      </w:pPr>
      <w:r>
        <w:rPr>
          <w:color w:val="231F20"/>
        </w:rPr>
        <w:t>Long-term leases are, in substance, ways of financing a </w:t>
      </w:r>
      <w:r>
        <w:rPr>
          <w:color w:val="231F20"/>
        </w:rPr>
        <w:t>purchase, rather than buying the temporary services of a piece of equipment. Such long-term leases are called </w:t>
      </w:r>
      <w:r>
        <w:rPr>
          <w:i/>
          <w:color w:val="231F20"/>
        </w:rPr>
        <w:t>capital leases. </w:t>
      </w:r>
      <w:r>
        <w:rPr>
          <w:color w:val="231F20"/>
        </w:rPr>
        <w:t>The </w:t>
      </w:r>
      <w:r>
        <w:rPr>
          <w:i/>
          <w:color w:val="231F20"/>
        </w:rPr>
        <w:t>useful life </w:t>
      </w:r>
      <w:r>
        <w:rPr>
          <w:color w:val="231F20"/>
        </w:rPr>
        <w:t>of the leased equipment is used up by the lessee, and at the end of the lease the</w:t>
      </w:r>
      <w:r>
        <w:rPr>
          <w:color w:val="231F20"/>
          <w:spacing w:val="23"/>
        </w:rPr>
        <w:t> </w:t>
      </w:r>
      <w:r>
        <w:rPr>
          <w:color w:val="231F20"/>
        </w:rPr>
        <w:t>equipment</w:t>
      </w:r>
      <w:r>
        <w:rPr>
          <w:color w:val="231F20"/>
          <w:spacing w:val="24"/>
        </w:rPr>
        <w:t> </w:t>
      </w:r>
      <w:r>
        <w:rPr>
          <w:color w:val="231F20"/>
        </w:rPr>
        <w:t>usually</w:t>
      </w:r>
      <w:r>
        <w:rPr>
          <w:color w:val="231F20"/>
          <w:spacing w:val="24"/>
        </w:rPr>
        <w:t> </w:t>
      </w:r>
      <w:r>
        <w:rPr>
          <w:color w:val="231F20"/>
        </w:rPr>
        <w:t>stays</w:t>
      </w:r>
      <w:r>
        <w:rPr>
          <w:color w:val="231F20"/>
          <w:spacing w:val="24"/>
        </w:rPr>
        <w:t> </w:t>
      </w:r>
      <w:r>
        <w:rPr>
          <w:color w:val="231F20"/>
        </w:rPr>
        <w:t>with</w:t>
      </w:r>
      <w:r>
        <w:rPr>
          <w:color w:val="231F20"/>
          <w:spacing w:val="24"/>
        </w:rPr>
        <w:t> </w:t>
      </w:r>
      <w:r>
        <w:rPr>
          <w:color w:val="231F20"/>
        </w:rPr>
        <w:t>the</w:t>
      </w:r>
      <w:r>
        <w:rPr>
          <w:color w:val="231F20"/>
          <w:spacing w:val="23"/>
        </w:rPr>
        <w:t> </w:t>
      </w:r>
      <w:r>
        <w:rPr>
          <w:color w:val="231F20"/>
        </w:rPr>
        <w:t>lessee</w:t>
      </w:r>
      <w:r>
        <w:rPr>
          <w:color w:val="231F20"/>
          <w:spacing w:val="24"/>
        </w:rPr>
        <w:t> </w:t>
      </w:r>
      <w:r>
        <w:rPr>
          <w:color w:val="231F20"/>
        </w:rPr>
        <w:t>for</w:t>
      </w:r>
      <w:r>
        <w:rPr>
          <w:color w:val="231F20"/>
          <w:spacing w:val="24"/>
        </w:rPr>
        <w:t> </w:t>
      </w:r>
      <w:r>
        <w:rPr>
          <w:color w:val="231F20"/>
        </w:rPr>
        <w:t>a</w:t>
      </w:r>
      <w:r>
        <w:rPr>
          <w:color w:val="231F20"/>
          <w:spacing w:val="22"/>
        </w:rPr>
        <w:t> </w:t>
      </w:r>
      <w:r>
        <w:rPr>
          <w:i/>
          <w:color w:val="231F20"/>
        </w:rPr>
        <w:t>bargain</w:t>
      </w:r>
      <w:r>
        <w:rPr>
          <w:i/>
          <w:color w:val="231F20"/>
          <w:spacing w:val="24"/>
        </w:rPr>
        <w:t> </w:t>
      </w:r>
      <w:r>
        <w:rPr>
          <w:i/>
          <w:color w:val="231F20"/>
          <w:spacing w:val="-2"/>
        </w:rPr>
        <w:t>purchase</w:t>
      </w:r>
    </w:p>
    <w:p>
      <w:pPr>
        <w:spacing w:after="0" w:line="292" w:lineRule="auto"/>
        <w:jc w:val="both"/>
        <w:sectPr>
          <w:pgSz w:w="8640" w:h="12960"/>
          <w:pgMar w:header="732" w:footer="0" w:top="920" w:bottom="280" w:left="340" w:right="500"/>
        </w:sectPr>
      </w:pPr>
    </w:p>
    <w:p>
      <w:pPr>
        <w:pStyle w:val="BodyText"/>
        <w:spacing w:before="8"/>
        <w:rPr>
          <w:i/>
          <w:sz w:val="17"/>
        </w:rPr>
      </w:pPr>
    </w:p>
    <w:p>
      <w:pPr>
        <w:pStyle w:val="BodyText"/>
        <w:spacing w:line="292" w:lineRule="auto" w:before="102"/>
        <w:ind w:left="920" w:right="663"/>
        <w:jc w:val="both"/>
      </w:pPr>
      <w:r>
        <w:rPr>
          <w:color w:val="231F20"/>
        </w:rPr>
        <w:t>price like $1. The accountants have specific rules that deal with </w:t>
      </w:r>
      <w:r>
        <w:rPr>
          <w:color w:val="231F20"/>
        </w:rPr>
        <w:t>the different kinds of leasing arrangements. For capital leases, the leased assets and the financing liability are recorded on the leasing company’s books as though the company had bought the equipment </w:t>
      </w:r>
      <w:r>
        <w:rPr>
          <w:color w:val="231F20"/>
          <w:spacing w:val="-2"/>
        </w:rPr>
        <w:t>outright.</w:t>
      </w:r>
    </w:p>
    <w:p>
      <w:pPr>
        <w:pStyle w:val="BodyText"/>
        <w:spacing w:before="4"/>
        <w:rPr>
          <w:sz w:val="25"/>
        </w:rPr>
      </w:pPr>
    </w:p>
    <w:p>
      <w:pPr>
        <w:pStyle w:val="BodyText"/>
        <w:spacing w:line="292" w:lineRule="auto" w:before="1"/>
        <w:ind w:left="920" w:right="666"/>
        <w:jc w:val="both"/>
      </w:pPr>
      <w:r>
        <w:rPr>
          <w:i/>
          <w:color w:val="231F20"/>
        </w:rPr>
        <w:t>Bank Financing. </w:t>
      </w:r>
      <w:r>
        <w:rPr>
          <w:color w:val="231F20"/>
        </w:rPr>
        <w:t>The next level of financing involves banks. Banks</w:t>
      </w:r>
      <w:r>
        <w:rPr>
          <w:color w:val="231F20"/>
          <w:spacing w:val="80"/>
        </w:rPr>
        <w:t> </w:t>
      </w:r>
      <w:r>
        <w:rPr>
          <w:color w:val="231F20"/>
        </w:rPr>
        <w:t>can loan money for long or short periods of time. If a company has </w:t>
      </w:r>
      <w:r>
        <w:rPr>
          <w:color w:val="231F20"/>
        </w:rPr>
        <w:t>a credit</w:t>
      </w:r>
      <w:r>
        <w:rPr>
          <w:color w:val="231F20"/>
          <w:spacing w:val="39"/>
        </w:rPr>
        <w:t> </w:t>
      </w:r>
      <w:r>
        <w:rPr>
          <w:color w:val="231F20"/>
        </w:rPr>
        <w:t>line</w:t>
      </w:r>
      <w:r>
        <w:rPr>
          <w:color w:val="231F20"/>
          <w:spacing w:val="39"/>
        </w:rPr>
        <w:t> </w:t>
      </w:r>
      <w:r>
        <w:rPr>
          <w:color w:val="231F20"/>
        </w:rPr>
        <w:t>or</w:t>
      </w:r>
      <w:r>
        <w:rPr>
          <w:color w:val="231F20"/>
          <w:spacing w:val="39"/>
        </w:rPr>
        <w:t> </w:t>
      </w:r>
      <w:r>
        <w:rPr>
          <w:i/>
          <w:color w:val="231F20"/>
        </w:rPr>
        <w:t>revolver</w:t>
      </w:r>
      <w:r>
        <w:rPr>
          <w:i/>
          <w:color w:val="231F20"/>
          <w:spacing w:val="39"/>
        </w:rPr>
        <w:t> </w:t>
      </w:r>
      <w:r>
        <w:rPr>
          <w:color w:val="231F20"/>
        </w:rPr>
        <w:t>with</w:t>
      </w:r>
      <w:r>
        <w:rPr>
          <w:color w:val="231F20"/>
          <w:spacing w:val="39"/>
        </w:rPr>
        <w:t> </w:t>
      </w:r>
      <w:r>
        <w:rPr>
          <w:color w:val="231F20"/>
        </w:rPr>
        <w:t>a</w:t>
      </w:r>
      <w:r>
        <w:rPr>
          <w:color w:val="231F20"/>
          <w:spacing w:val="39"/>
        </w:rPr>
        <w:t> </w:t>
      </w:r>
      <w:r>
        <w:rPr>
          <w:color w:val="231F20"/>
        </w:rPr>
        <w:t>bank,</w:t>
      </w:r>
      <w:r>
        <w:rPr>
          <w:color w:val="231F20"/>
          <w:spacing w:val="39"/>
        </w:rPr>
        <w:t> </w:t>
      </w:r>
      <w:r>
        <w:rPr>
          <w:color w:val="231F20"/>
        </w:rPr>
        <w:t>it</w:t>
      </w:r>
      <w:r>
        <w:rPr>
          <w:color w:val="231F20"/>
          <w:spacing w:val="39"/>
        </w:rPr>
        <w:t> </w:t>
      </w:r>
      <w:r>
        <w:rPr>
          <w:color w:val="231F20"/>
        </w:rPr>
        <w:t>draws</w:t>
      </w:r>
      <w:r>
        <w:rPr>
          <w:color w:val="231F20"/>
          <w:spacing w:val="39"/>
        </w:rPr>
        <w:t> </w:t>
      </w:r>
      <w:r>
        <w:rPr>
          <w:color w:val="231F20"/>
        </w:rPr>
        <w:t>down</w:t>
      </w:r>
      <w:r>
        <w:rPr>
          <w:color w:val="231F20"/>
          <w:spacing w:val="39"/>
        </w:rPr>
        <w:t> </w:t>
      </w:r>
      <w:r>
        <w:rPr>
          <w:color w:val="231F20"/>
        </w:rPr>
        <w:t>and</w:t>
      </w:r>
      <w:r>
        <w:rPr>
          <w:color w:val="231F20"/>
          <w:spacing w:val="39"/>
        </w:rPr>
        <w:t> </w:t>
      </w:r>
      <w:r>
        <w:rPr>
          <w:color w:val="231F20"/>
        </w:rPr>
        <w:t>pays</w:t>
      </w:r>
      <w:r>
        <w:rPr>
          <w:color w:val="231F20"/>
          <w:spacing w:val="39"/>
        </w:rPr>
        <w:t> </w:t>
      </w:r>
      <w:r>
        <w:rPr>
          <w:color w:val="231F20"/>
        </w:rPr>
        <w:t>back up to set limits of credit as cash is needed and generated by the busi- ness. The credit is often secured by the assets of the firm. If a busi- ness runs into trouble, it may not be able to pay the bank and go into </w:t>
      </w:r>
      <w:r>
        <w:rPr>
          <w:color w:val="231F20"/>
          <w:spacing w:val="-2"/>
        </w:rPr>
        <w:t>bankruptcy.</w:t>
      </w:r>
    </w:p>
    <w:p>
      <w:pPr>
        <w:pStyle w:val="BodyText"/>
        <w:spacing w:before="4"/>
        <w:rPr>
          <w:sz w:val="25"/>
        </w:rPr>
      </w:pPr>
    </w:p>
    <w:p>
      <w:pPr>
        <w:pStyle w:val="BodyText"/>
        <w:spacing w:line="292" w:lineRule="auto"/>
        <w:ind w:left="920" w:right="666"/>
        <w:jc w:val="both"/>
      </w:pPr>
      <w:r>
        <w:rPr>
          <w:i/>
          <w:color w:val="231F20"/>
        </w:rPr>
        <w:t>Bond Issuance. </w:t>
      </w:r>
      <w:r>
        <w:rPr>
          <w:color w:val="231F20"/>
        </w:rPr>
        <w:t>Bonds have fixed-interest-rate contractual </w:t>
      </w:r>
      <w:r>
        <w:rPr>
          <w:color w:val="231F20"/>
        </w:rPr>
        <w:t>payments and a principal maturity. The risk to the firm’s owners comes if they cannot be serviced. In 1990 the Southland Corporation (7-Eleven stores) defaulted on its bond payment, and Ito-Yokado Corporation, the majority bondholder, exchanged its bonds for the ownership of the company and ousted the Thompson family from the company they had founded.</w:t>
      </w:r>
    </w:p>
    <w:p>
      <w:pPr>
        <w:pStyle w:val="BodyText"/>
        <w:spacing w:before="4"/>
        <w:rPr>
          <w:sz w:val="25"/>
        </w:rPr>
      </w:pPr>
    </w:p>
    <w:p>
      <w:pPr>
        <w:pStyle w:val="BodyText"/>
        <w:spacing w:line="292" w:lineRule="auto"/>
        <w:ind w:left="920" w:right="665"/>
        <w:jc w:val="both"/>
      </w:pPr>
      <w:r>
        <w:rPr>
          <w:i/>
          <w:color w:val="231F20"/>
        </w:rPr>
        <w:t>The After-Tax Cost of Borrowing. </w:t>
      </w:r>
      <w:r>
        <w:rPr>
          <w:color w:val="231F20"/>
        </w:rPr>
        <w:t>Interest payments for </w:t>
      </w:r>
      <w:r>
        <w:rPr>
          <w:color w:val="231F20"/>
        </w:rPr>
        <w:t>borrowing from vendors, bankers, or bondholders are tax-deductible, while dividends to shareholders are not. The after-tax cost of borrowing is the interest cost less the tax benefit.</w:t>
      </w:r>
    </w:p>
    <w:p>
      <w:pPr>
        <w:pStyle w:val="BodyText"/>
        <w:spacing w:line="600" w:lineRule="exact" w:before="19"/>
        <w:ind w:left="1260" w:right="666" w:hanging="196"/>
        <w:jc w:val="both"/>
      </w:pPr>
      <w:r>
        <w:rPr/>
        <w:pict>
          <v:rect style="position:absolute;margin-left:312.742615pt;margin-top:22.074497pt;width:4.930940pt;height:.7242pt;mso-position-horizontal-relative:page;mso-position-vertical-relative:paragraph;z-index:-25088000" id="docshape382" filled="true" fillcolor="#231f20" stroked="false">
            <v:fill type="solid"/>
            <w10:wrap type="none"/>
          </v:rect>
        </w:pict>
      </w:r>
      <w:r>
        <w:rPr>
          <w:color w:val="231F20"/>
          <w:w w:val="105"/>
        </w:rPr>
        <w:t>After-Tax Cost of Borrowing </w:t>
      </w:r>
      <w:r>
        <w:rPr>
          <w:rFonts w:ascii="Symbol" w:hAnsi="Symbol"/>
          <w:color w:val="231F20"/>
          <w:w w:val="105"/>
        </w:rPr>
        <w:t></w:t>
      </w:r>
      <w:r>
        <w:rPr>
          <w:rFonts w:ascii="Times New Roman" w:hAnsi="Times New Roman"/>
          <w:color w:val="231F20"/>
          <w:w w:val="105"/>
        </w:rPr>
        <w:t> </w:t>
      </w:r>
      <w:r>
        <w:rPr>
          <w:color w:val="231F20"/>
          <w:w w:val="105"/>
        </w:rPr>
        <w:t>Borrowing Rate </w:t>
      </w:r>
      <w:r>
        <w:rPr>
          <w:rFonts w:ascii="Symbol" w:hAnsi="Symbol"/>
          <w:color w:val="231F20"/>
          <w:w w:val="105"/>
        </w:rPr>
        <w:t></w:t>
      </w:r>
      <w:r>
        <w:rPr>
          <w:rFonts w:ascii="Times New Roman" w:hAnsi="Times New Roman"/>
          <w:color w:val="231F20"/>
          <w:w w:val="105"/>
        </w:rPr>
        <w:t> </w:t>
      </w:r>
      <w:r>
        <w:rPr>
          <w:color w:val="231F20"/>
          <w:w w:val="105"/>
        </w:rPr>
        <w:t>(1</w:t>
      </w:r>
      <w:r>
        <w:rPr>
          <w:color w:val="231F20"/>
          <w:spacing w:val="40"/>
          <w:w w:val="105"/>
        </w:rPr>
        <w:t>  </w:t>
      </w:r>
      <w:r>
        <w:rPr>
          <w:color w:val="231F20"/>
          <w:w w:val="105"/>
        </w:rPr>
        <w:t>Tax Rate) </w:t>
      </w:r>
      <w:r>
        <w:rPr>
          <w:color w:val="231F20"/>
        </w:rPr>
        <w:t>In</w:t>
      </w:r>
      <w:r>
        <w:rPr>
          <w:color w:val="231F20"/>
          <w:spacing w:val="7"/>
        </w:rPr>
        <w:t> </w:t>
      </w:r>
      <w:r>
        <w:rPr>
          <w:color w:val="231F20"/>
        </w:rPr>
        <w:t>1999,</w:t>
      </w:r>
      <w:r>
        <w:rPr>
          <w:color w:val="231F20"/>
          <w:spacing w:val="8"/>
        </w:rPr>
        <w:t> </w:t>
      </w:r>
      <w:r>
        <w:rPr>
          <w:color w:val="231F20"/>
        </w:rPr>
        <w:t>the</w:t>
      </w:r>
      <w:r>
        <w:rPr>
          <w:color w:val="231F20"/>
          <w:spacing w:val="8"/>
        </w:rPr>
        <w:t> </w:t>
      </w:r>
      <w:r>
        <w:rPr>
          <w:color w:val="231F20"/>
        </w:rPr>
        <w:t>Caterpillar</w:t>
      </w:r>
      <w:r>
        <w:rPr>
          <w:color w:val="231F20"/>
          <w:spacing w:val="8"/>
        </w:rPr>
        <w:t> </w:t>
      </w:r>
      <w:r>
        <w:rPr>
          <w:color w:val="231F20"/>
        </w:rPr>
        <w:t>bond</w:t>
      </w:r>
      <w:r>
        <w:rPr>
          <w:color w:val="231F20"/>
          <w:spacing w:val="8"/>
        </w:rPr>
        <w:t> </w:t>
      </w:r>
      <w:r>
        <w:rPr>
          <w:color w:val="231F20"/>
        </w:rPr>
        <w:t>used</w:t>
      </w:r>
      <w:r>
        <w:rPr>
          <w:color w:val="231F20"/>
          <w:spacing w:val="8"/>
        </w:rPr>
        <w:t> </w:t>
      </w:r>
      <w:r>
        <w:rPr>
          <w:color w:val="231F20"/>
        </w:rPr>
        <w:t>in</w:t>
      </w:r>
      <w:r>
        <w:rPr>
          <w:color w:val="231F20"/>
          <w:spacing w:val="8"/>
        </w:rPr>
        <w:t> </w:t>
      </w:r>
      <w:r>
        <w:rPr>
          <w:color w:val="231F20"/>
        </w:rPr>
        <w:t>the</w:t>
      </w:r>
      <w:r>
        <w:rPr>
          <w:color w:val="231F20"/>
          <w:spacing w:val="8"/>
        </w:rPr>
        <w:t> </w:t>
      </w:r>
      <w:r>
        <w:rPr>
          <w:color w:val="231F20"/>
        </w:rPr>
        <w:t>earlier</w:t>
      </w:r>
      <w:r>
        <w:rPr>
          <w:color w:val="231F20"/>
          <w:spacing w:val="8"/>
        </w:rPr>
        <w:t> </w:t>
      </w:r>
      <w:r>
        <w:rPr>
          <w:color w:val="231F20"/>
        </w:rPr>
        <w:t>example</w:t>
      </w:r>
      <w:r>
        <w:rPr>
          <w:color w:val="231F20"/>
          <w:spacing w:val="8"/>
        </w:rPr>
        <w:t> </w:t>
      </w:r>
      <w:r>
        <w:rPr>
          <w:color w:val="231F20"/>
          <w:spacing w:val="-2"/>
        </w:rPr>
        <w:t>contin-</w:t>
      </w:r>
    </w:p>
    <w:p>
      <w:pPr>
        <w:pStyle w:val="BodyText"/>
        <w:spacing w:line="227" w:lineRule="exact"/>
        <w:ind w:left="920"/>
        <w:jc w:val="both"/>
      </w:pPr>
      <w:r>
        <w:rPr>
          <w:color w:val="231F20"/>
        </w:rPr>
        <w:t>ued</w:t>
      </w:r>
      <w:r>
        <w:rPr>
          <w:color w:val="231F20"/>
          <w:spacing w:val="6"/>
        </w:rPr>
        <w:t> </w:t>
      </w:r>
      <w:r>
        <w:rPr>
          <w:color w:val="231F20"/>
        </w:rPr>
        <w:t>to</w:t>
      </w:r>
      <w:r>
        <w:rPr>
          <w:color w:val="231F20"/>
          <w:spacing w:val="6"/>
        </w:rPr>
        <w:t> </w:t>
      </w:r>
      <w:r>
        <w:rPr>
          <w:color w:val="231F20"/>
        </w:rPr>
        <w:t>pay</w:t>
      </w:r>
      <w:r>
        <w:rPr>
          <w:color w:val="231F20"/>
          <w:spacing w:val="7"/>
        </w:rPr>
        <w:t> </w:t>
      </w:r>
      <w:r>
        <w:rPr>
          <w:color w:val="231F20"/>
        </w:rPr>
        <w:t>8</w:t>
      </w:r>
      <w:r>
        <w:rPr>
          <w:color w:val="231F20"/>
          <w:spacing w:val="6"/>
        </w:rPr>
        <w:t> </w:t>
      </w:r>
      <w:r>
        <w:rPr>
          <w:color w:val="231F20"/>
        </w:rPr>
        <w:t>percent</w:t>
      </w:r>
      <w:r>
        <w:rPr>
          <w:color w:val="231F20"/>
          <w:spacing w:val="7"/>
        </w:rPr>
        <w:t> </w:t>
      </w:r>
      <w:r>
        <w:rPr>
          <w:color w:val="231F20"/>
        </w:rPr>
        <w:t>interest</w:t>
      </w:r>
      <w:r>
        <w:rPr>
          <w:color w:val="231F20"/>
          <w:spacing w:val="6"/>
        </w:rPr>
        <w:t> </w:t>
      </w:r>
      <w:r>
        <w:rPr>
          <w:color w:val="231F20"/>
        </w:rPr>
        <w:t>on</w:t>
      </w:r>
      <w:r>
        <w:rPr>
          <w:color w:val="231F20"/>
          <w:spacing w:val="7"/>
        </w:rPr>
        <w:t> </w:t>
      </w:r>
      <w:r>
        <w:rPr>
          <w:color w:val="231F20"/>
        </w:rPr>
        <w:t>the</w:t>
      </w:r>
      <w:r>
        <w:rPr>
          <w:color w:val="231F20"/>
          <w:spacing w:val="6"/>
        </w:rPr>
        <w:t> </w:t>
      </w:r>
      <w:r>
        <w:rPr>
          <w:color w:val="231F20"/>
        </w:rPr>
        <w:t>issue</w:t>
      </w:r>
      <w:r>
        <w:rPr>
          <w:color w:val="231F20"/>
          <w:spacing w:val="7"/>
        </w:rPr>
        <w:t> </w:t>
      </w:r>
      <w:r>
        <w:rPr>
          <w:color w:val="231F20"/>
        </w:rPr>
        <w:t>maturing</w:t>
      </w:r>
      <w:r>
        <w:rPr>
          <w:color w:val="231F20"/>
          <w:spacing w:val="6"/>
        </w:rPr>
        <w:t> </w:t>
      </w:r>
      <w:r>
        <w:rPr>
          <w:color w:val="231F20"/>
        </w:rPr>
        <w:t>in</w:t>
      </w:r>
      <w:r>
        <w:rPr>
          <w:color w:val="231F20"/>
          <w:spacing w:val="6"/>
        </w:rPr>
        <w:t> </w:t>
      </w:r>
      <w:r>
        <w:rPr>
          <w:color w:val="231F20"/>
        </w:rPr>
        <w:t>2001.</w:t>
      </w:r>
      <w:r>
        <w:rPr>
          <w:color w:val="231F20"/>
          <w:spacing w:val="7"/>
        </w:rPr>
        <w:t> </w:t>
      </w:r>
      <w:r>
        <w:rPr>
          <w:color w:val="231F20"/>
        </w:rPr>
        <w:t>In</w:t>
      </w:r>
      <w:r>
        <w:rPr>
          <w:color w:val="231F20"/>
          <w:spacing w:val="6"/>
        </w:rPr>
        <w:t> </w:t>
      </w:r>
      <w:r>
        <w:rPr>
          <w:color w:val="231F20"/>
          <w:spacing w:val="-4"/>
        </w:rPr>
        <w:t>1999</w:t>
      </w:r>
    </w:p>
    <w:p>
      <w:pPr>
        <w:pStyle w:val="BodyText"/>
        <w:spacing w:line="288" w:lineRule="auto" w:before="53"/>
        <w:ind w:left="920" w:right="663"/>
        <w:jc w:val="both"/>
      </w:pPr>
      <w:r>
        <w:rPr/>
        <w:pict>
          <v:rect style="position:absolute;margin-left:249.135452pt;margin-top:54.749954pt;width:4.930940pt;height:.7242pt;mso-position-horizontal-relative:page;mso-position-vertical-relative:paragraph;z-index:-25087488" id="docshape383" filled="true" fillcolor="#231f20" stroked="false">
            <v:fill type="solid"/>
            <w10:wrap type="none"/>
          </v:rect>
        </w:pict>
      </w:r>
      <w:r>
        <w:rPr>
          <w:color w:val="231F20"/>
        </w:rPr>
        <w:t>Caterpillar’s corporate tax rate was projected at 34 percent. By de- ducting the interest expense on the tax returns, the company re- ceived,</w:t>
      </w:r>
      <w:r>
        <w:rPr>
          <w:color w:val="231F20"/>
          <w:spacing w:val="40"/>
        </w:rPr>
        <w:t> </w:t>
      </w:r>
      <w:r>
        <w:rPr>
          <w:color w:val="231F20"/>
        </w:rPr>
        <w:t>in</w:t>
      </w:r>
      <w:r>
        <w:rPr>
          <w:color w:val="231F20"/>
          <w:spacing w:val="40"/>
        </w:rPr>
        <w:t> </w:t>
      </w:r>
      <w:r>
        <w:rPr>
          <w:color w:val="231F20"/>
        </w:rPr>
        <w:t>effect,</w:t>
      </w:r>
      <w:r>
        <w:rPr>
          <w:color w:val="231F20"/>
          <w:spacing w:val="40"/>
        </w:rPr>
        <w:t> </w:t>
      </w:r>
      <w:r>
        <w:rPr>
          <w:color w:val="231F20"/>
        </w:rPr>
        <w:t>a</w:t>
      </w:r>
      <w:r>
        <w:rPr>
          <w:color w:val="231F20"/>
          <w:spacing w:val="40"/>
        </w:rPr>
        <w:t> </w:t>
      </w:r>
      <w:r>
        <w:rPr>
          <w:color w:val="231F20"/>
        </w:rPr>
        <w:t>34</w:t>
      </w:r>
      <w:r>
        <w:rPr>
          <w:color w:val="231F20"/>
          <w:spacing w:val="40"/>
        </w:rPr>
        <w:t> </w:t>
      </w:r>
      <w:r>
        <w:rPr>
          <w:color w:val="231F20"/>
        </w:rPr>
        <w:t>percent</w:t>
      </w:r>
      <w:r>
        <w:rPr>
          <w:color w:val="231F20"/>
          <w:spacing w:val="40"/>
        </w:rPr>
        <w:t> </w:t>
      </w:r>
      <w:r>
        <w:rPr>
          <w:color w:val="231F20"/>
        </w:rPr>
        <w:t>discount</w:t>
      </w:r>
      <w:r>
        <w:rPr>
          <w:color w:val="231F20"/>
          <w:spacing w:val="40"/>
        </w:rPr>
        <w:t> </w:t>
      </w:r>
      <w:r>
        <w:rPr>
          <w:color w:val="231F20"/>
        </w:rPr>
        <w:t>on</w:t>
      </w:r>
      <w:r>
        <w:rPr>
          <w:color w:val="231F20"/>
          <w:spacing w:val="40"/>
        </w:rPr>
        <w:t> </w:t>
      </w:r>
      <w:r>
        <w:rPr>
          <w:color w:val="231F20"/>
        </w:rPr>
        <w:t>its</w:t>
      </w:r>
      <w:r>
        <w:rPr>
          <w:color w:val="231F20"/>
          <w:spacing w:val="40"/>
        </w:rPr>
        <w:t> </w:t>
      </w:r>
      <w:r>
        <w:rPr>
          <w:color w:val="231F20"/>
        </w:rPr>
        <w:t>borrowing.</w:t>
      </w:r>
      <w:r>
        <w:rPr>
          <w:color w:val="231F20"/>
          <w:spacing w:val="40"/>
        </w:rPr>
        <w:t> </w:t>
      </w:r>
      <w:r>
        <w:rPr>
          <w:color w:val="231F20"/>
        </w:rPr>
        <w:t>The after-tax rate was 5.28 percent (8% </w:t>
      </w:r>
      <w:r>
        <w:rPr>
          <w:rFonts w:ascii="Symbol" w:hAnsi="Symbol"/>
          <w:color w:val="231F20"/>
        </w:rPr>
        <w:t></w:t>
      </w:r>
      <w:r>
        <w:rPr>
          <w:rFonts w:ascii="Times New Roman" w:hAnsi="Times New Roman"/>
          <w:color w:val="231F20"/>
        </w:rPr>
        <w:t> </w:t>
      </w:r>
      <w:r>
        <w:rPr>
          <w:color w:val="231F20"/>
        </w:rPr>
        <w:t>(1</w:t>
      </w:r>
      <w:r>
        <w:rPr>
          <w:color w:val="231F20"/>
          <w:spacing w:val="40"/>
        </w:rPr>
        <w:t>  </w:t>
      </w:r>
      <w:r>
        <w:rPr>
          <w:color w:val="231F20"/>
        </w:rPr>
        <w:t>.34)).</w:t>
      </w:r>
    </w:p>
    <w:p>
      <w:pPr>
        <w:pStyle w:val="BodyText"/>
        <w:spacing w:before="5"/>
        <w:ind w:left="1260"/>
        <w:jc w:val="both"/>
      </w:pPr>
      <w:r>
        <w:rPr>
          <w:color w:val="231F20"/>
        </w:rPr>
        <w:t>As</w:t>
      </w:r>
      <w:r>
        <w:rPr>
          <w:color w:val="231F20"/>
          <w:spacing w:val="13"/>
        </w:rPr>
        <w:t> </w:t>
      </w:r>
      <w:r>
        <w:rPr>
          <w:color w:val="231F20"/>
        </w:rPr>
        <w:t>you</w:t>
      </w:r>
      <w:r>
        <w:rPr>
          <w:color w:val="231F20"/>
          <w:spacing w:val="13"/>
        </w:rPr>
        <w:t> </w:t>
      </w:r>
      <w:r>
        <w:rPr>
          <w:color w:val="231F20"/>
        </w:rPr>
        <w:t>learned</w:t>
      </w:r>
      <w:r>
        <w:rPr>
          <w:color w:val="231F20"/>
          <w:spacing w:val="13"/>
        </w:rPr>
        <w:t> </w:t>
      </w:r>
      <w:r>
        <w:rPr>
          <w:color w:val="231F20"/>
        </w:rPr>
        <w:t>in</w:t>
      </w:r>
      <w:r>
        <w:rPr>
          <w:color w:val="231F20"/>
          <w:spacing w:val="13"/>
        </w:rPr>
        <w:t> </w:t>
      </w:r>
      <w:r>
        <w:rPr>
          <w:color w:val="231F20"/>
        </w:rPr>
        <w:t>the</w:t>
      </w:r>
      <w:r>
        <w:rPr>
          <w:color w:val="231F20"/>
          <w:spacing w:val="13"/>
        </w:rPr>
        <w:t> </w:t>
      </w:r>
      <w:r>
        <w:rPr>
          <w:color w:val="231F20"/>
        </w:rPr>
        <w:t>accounting</w:t>
      </w:r>
      <w:r>
        <w:rPr>
          <w:color w:val="231F20"/>
          <w:spacing w:val="13"/>
        </w:rPr>
        <w:t> </w:t>
      </w:r>
      <w:r>
        <w:rPr>
          <w:color w:val="231F20"/>
        </w:rPr>
        <w:t>chapter,</w:t>
      </w:r>
      <w:r>
        <w:rPr>
          <w:color w:val="231F20"/>
          <w:spacing w:val="13"/>
        </w:rPr>
        <w:t> </w:t>
      </w:r>
      <w:r>
        <w:rPr>
          <w:color w:val="231F20"/>
        </w:rPr>
        <w:t>dividends</w:t>
      </w:r>
      <w:r>
        <w:rPr>
          <w:color w:val="231F20"/>
          <w:spacing w:val="13"/>
        </w:rPr>
        <w:t> </w:t>
      </w:r>
      <w:r>
        <w:rPr>
          <w:color w:val="231F20"/>
        </w:rPr>
        <w:t>are</w:t>
      </w:r>
      <w:r>
        <w:rPr>
          <w:color w:val="231F20"/>
          <w:spacing w:val="14"/>
        </w:rPr>
        <w:t> </w:t>
      </w:r>
      <w:r>
        <w:rPr>
          <w:color w:val="231F20"/>
        </w:rPr>
        <w:t>not</w:t>
      </w:r>
      <w:r>
        <w:rPr>
          <w:color w:val="231F20"/>
          <w:spacing w:val="13"/>
        </w:rPr>
        <w:t> </w:t>
      </w:r>
      <w:r>
        <w:rPr>
          <w:color w:val="231F20"/>
          <w:spacing w:val="-4"/>
        </w:rPr>
        <w:t>tax-</w:t>
      </w:r>
    </w:p>
    <w:p>
      <w:pPr>
        <w:spacing w:after="0"/>
        <w:jc w:val="both"/>
        <w:sectPr>
          <w:pgSz w:w="8640" w:h="12960"/>
          <w:pgMar w:header="734" w:footer="0" w:top="920" w:bottom="280" w:left="340" w:right="500"/>
        </w:sectPr>
      </w:pPr>
    </w:p>
    <w:p>
      <w:pPr>
        <w:pStyle w:val="BodyText"/>
        <w:spacing w:before="10"/>
        <w:rPr>
          <w:sz w:val="17"/>
        </w:rPr>
      </w:pPr>
    </w:p>
    <w:p>
      <w:pPr>
        <w:pStyle w:val="BodyText"/>
        <w:spacing w:line="290" w:lineRule="auto" w:before="102"/>
        <w:ind w:left="830" w:right="756"/>
        <w:jc w:val="both"/>
      </w:pPr>
      <w:r>
        <w:rPr>
          <w:color w:val="231F20"/>
        </w:rPr>
        <w:t>deductible, but interest payments are. That difference is an </w:t>
      </w:r>
      <w:r>
        <w:rPr>
          <w:color w:val="231F20"/>
        </w:rPr>
        <w:t>incentive for businesses to borrow rather than issue stock and pay dividends. This phenomenon is called a </w:t>
      </w:r>
      <w:r>
        <w:rPr>
          <w:i/>
          <w:color w:val="231F20"/>
        </w:rPr>
        <w:t>tax shield </w:t>
      </w:r>
      <w:r>
        <w:rPr>
          <w:color w:val="231F20"/>
        </w:rPr>
        <w:t>for borrowing. In the lever- aged buyout binge of the 1980s, the tax shield was a spur to borrow huge amounts, such as the $26.4 billion Kohlberg Kravis Roberts borrowed to buy RJR Nabisco in 1989. That year the government subsidized this venture to the tune of approximately $800 million (26.4 </w:t>
      </w:r>
      <w:r>
        <w:rPr>
          <w:rFonts w:ascii="Symbol" w:hAnsi="Symbol"/>
          <w:color w:val="231F20"/>
        </w:rPr>
        <w:t></w:t>
      </w:r>
      <w:r>
        <w:rPr>
          <w:rFonts w:ascii="Times New Roman" w:hAnsi="Times New Roman"/>
          <w:color w:val="231F20"/>
        </w:rPr>
        <w:t> </w:t>
      </w:r>
      <w:r>
        <w:rPr>
          <w:color w:val="231F20"/>
        </w:rPr>
        <w:t>10% </w:t>
      </w:r>
      <w:r>
        <w:rPr>
          <w:rFonts w:ascii="Symbol" w:hAnsi="Symbol"/>
          <w:color w:val="231F20"/>
        </w:rPr>
        <w:t></w:t>
      </w:r>
      <w:r>
        <w:rPr>
          <w:rFonts w:ascii="Times New Roman" w:hAnsi="Times New Roman"/>
          <w:color w:val="231F20"/>
        </w:rPr>
        <w:t> </w:t>
      </w:r>
      <w:r>
        <w:rPr>
          <w:color w:val="231F20"/>
        </w:rPr>
        <w:t>30%). Not surprisingly, many taxpayers favor elimi- nating or restricting the tax subsidy for interest expenses.</w:t>
      </w:r>
    </w:p>
    <w:p>
      <w:pPr>
        <w:pStyle w:val="BodyText"/>
        <w:rPr>
          <w:sz w:val="26"/>
        </w:rPr>
      </w:pPr>
    </w:p>
    <w:p>
      <w:pPr>
        <w:pStyle w:val="BodyText"/>
        <w:spacing w:line="292" w:lineRule="auto"/>
        <w:ind w:left="830" w:right="753"/>
        <w:jc w:val="both"/>
      </w:pPr>
      <w:r>
        <w:rPr>
          <w:i/>
          <w:color w:val="231F20"/>
        </w:rPr>
        <w:t>Stock Issues. </w:t>
      </w:r>
      <w:r>
        <w:rPr>
          <w:color w:val="231F20"/>
        </w:rPr>
        <w:t>Stock issues have noncontractual, </w:t>
      </w:r>
      <w:r>
        <w:rPr>
          <w:color w:val="231F20"/>
        </w:rPr>
        <w:t>non-tax-deductible dividend payments. Stock represents an ownership interest in the business and in all of its assets. If additional shares of stock are</w:t>
      </w:r>
      <w:r>
        <w:rPr>
          <w:color w:val="231F20"/>
          <w:spacing w:val="40"/>
        </w:rPr>
        <w:t> </w:t>
      </w:r>
      <w:r>
        <w:rPr>
          <w:color w:val="231F20"/>
        </w:rPr>
        <w:t>issued to raise cash, this is done at the expense of the current shareholders’ ownership interest. New shareholders share their ownership interest equally on a per-share basis with the current shareholders. That is why analysts say that the new shares </w:t>
      </w:r>
      <w:r>
        <w:rPr>
          <w:i/>
          <w:color w:val="231F20"/>
        </w:rPr>
        <w:t>dilute </w:t>
      </w:r>
      <w:r>
        <w:rPr>
          <w:color w:val="231F20"/>
        </w:rPr>
        <w:t>the interest of existing shareholders.</w:t>
      </w:r>
    </w:p>
    <w:p>
      <w:pPr>
        <w:pStyle w:val="BodyText"/>
        <w:spacing w:line="292" w:lineRule="auto"/>
        <w:ind w:left="830" w:right="756" w:firstLine="340"/>
        <w:jc w:val="both"/>
      </w:pPr>
      <w:r>
        <w:rPr>
          <w:color w:val="231F20"/>
        </w:rPr>
        <w:t>Several markets are available to sell new stock issues: the </w:t>
      </w:r>
      <w:r>
        <w:rPr>
          <w:color w:val="231F20"/>
        </w:rPr>
        <w:t>New York Stock Exchange (NYSE), the less important American Stock Exchange (AMEX), and the National Association of Securities Deal-</w:t>
      </w:r>
      <w:r>
        <w:rPr>
          <w:color w:val="231F20"/>
          <w:spacing w:val="40"/>
        </w:rPr>
        <w:t> </w:t>
      </w:r>
      <w:r>
        <w:rPr>
          <w:color w:val="231F20"/>
        </w:rPr>
        <w:t>ers Automated Quotations System (NASDAQ). When a stock is not listed on an exchange, but is </w:t>
      </w:r>
      <w:r>
        <w:rPr>
          <w:i/>
          <w:color w:val="231F20"/>
        </w:rPr>
        <w:t>publicly </w:t>
      </w:r>
      <w:r>
        <w:rPr>
          <w:color w:val="231F20"/>
        </w:rPr>
        <w:t>traded, it is traded </w:t>
      </w:r>
      <w:r>
        <w:rPr>
          <w:i/>
          <w:color w:val="231F20"/>
        </w:rPr>
        <w:t>over the</w:t>
      </w:r>
      <w:r>
        <w:rPr>
          <w:i/>
          <w:color w:val="231F20"/>
        </w:rPr>
        <w:t> counter </w:t>
      </w:r>
      <w:r>
        <w:rPr>
          <w:color w:val="231F20"/>
        </w:rPr>
        <w:t>(OTC). If a company’s shares are not publicly traded, the company is said to be </w:t>
      </w:r>
      <w:r>
        <w:rPr>
          <w:i/>
          <w:color w:val="231F20"/>
        </w:rPr>
        <w:t>privately </w:t>
      </w:r>
      <w:r>
        <w:rPr>
          <w:color w:val="231F20"/>
        </w:rPr>
        <w:t>held.</w:t>
      </w:r>
    </w:p>
    <w:p>
      <w:pPr>
        <w:pStyle w:val="BodyText"/>
        <w:spacing w:line="292" w:lineRule="auto"/>
        <w:ind w:left="830" w:right="756" w:firstLine="340"/>
        <w:jc w:val="both"/>
      </w:pPr>
      <w:r>
        <w:rPr>
          <w:color w:val="231F20"/>
        </w:rPr>
        <w:t>Financial advisers called </w:t>
      </w:r>
      <w:r>
        <w:rPr>
          <w:i/>
          <w:color w:val="231F20"/>
        </w:rPr>
        <w:t>investment bankers </w:t>
      </w:r>
      <w:r>
        <w:rPr>
          <w:color w:val="231F20"/>
        </w:rPr>
        <w:t>assist in the sale </w:t>
      </w:r>
      <w:r>
        <w:rPr>
          <w:color w:val="231F20"/>
        </w:rPr>
        <w:t>of new shares in companies. Noted investment bankers such as Citi- group, Goldman Sachs Group, and Merrill Lynch, employing many MBAs, work on these </w:t>
      </w:r>
      <w:r>
        <w:rPr>
          <w:i/>
          <w:color w:val="231F20"/>
        </w:rPr>
        <w:t>initial public offerings </w:t>
      </w:r>
      <w:r>
        <w:rPr>
          <w:color w:val="231F20"/>
        </w:rPr>
        <w:t>(IPOs) for large fees. These </w:t>
      </w:r>
      <w:r>
        <w:rPr>
          <w:i/>
          <w:color w:val="231F20"/>
        </w:rPr>
        <w:t>I-bankers </w:t>
      </w:r>
      <w:r>
        <w:rPr>
          <w:color w:val="231F20"/>
        </w:rPr>
        <w:t>assist in the preparation of the selling documents, called the </w:t>
      </w:r>
      <w:r>
        <w:rPr>
          <w:i/>
          <w:color w:val="231F20"/>
        </w:rPr>
        <w:t>prospectus. </w:t>
      </w:r>
      <w:r>
        <w:rPr>
          <w:color w:val="231F20"/>
        </w:rPr>
        <w:t>The prospectus outlines the issuer’s history</w:t>
      </w:r>
      <w:r>
        <w:rPr>
          <w:color w:val="231F20"/>
          <w:spacing w:val="40"/>
        </w:rPr>
        <w:t> </w:t>
      </w:r>
      <w:r>
        <w:rPr>
          <w:color w:val="231F20"/>
        </w:rPr>
        <w:t>and business plans. The Securities Act of 1933 governs the disclo- sures required in this document.</w:t>
      </w:r>
    </w:p>
    <w:p>
      <w:pPr>
        <w:pStyle w:val="BodyText"/>
        <w:spacing w:before="10"/>
        <w:rPr>
          <w:sz w:val="24"/>
        </w:rPr>
      </w:pPr>
    </w:p>
    <w:p>
      <w:pPr>
        <w:spacing w:line="292" w:lineRule="auto" w:before="0"/>
        <w:ind w:left="830" w:right="756" w:firstLine="0"/>
        <w:jc w:val="both"/>
        <w:rPr>
          <w:sz w:val="21"/>
        </w:rPr>
      </w:pPr>
      <w:r>
        <w:rPr>
          <w:i/>
          <w:color w:val="231F20"/>
          <w:sz w:val="21"/>
        </w:rPr>
        <w:t>The Financing Mix’s Risk and Reward. </w:t>
      </w:r>
      <w:r>
        <w:rPr>
          <w:color w:val="231F20"/>
          <w:sz w:val="21"/>
        </w:rPr>
        <w:t>The financing decisions in </w:t>
      </w:r>
      <w:r>
        <w:rPr>
          <w:color w:val="231F20"/>
          <w:sz w:val="21"/>
        </w:rPr>
        <w:t>a corporation</w:t>
      </w:r>
      <w:r>
        <w:rPr>
          <w:color w:val="231F20"/>
          <w:spacing w:val="14"/>
          <w:sz w:val="21"/>
        </w:rPr>
        <w:t> </w:t>
      </w:r>
      <w:r>
        <w:rPr>
          <w:color w:val="231F20"/>
          <w:sz w:val="21"/>
        </w:rPr>
        <w:t>revolve</w:t>
      </w:r>
      <w:r>
        <w:rPr>
          <w:color w:val="231F20"/>
          <w:spacing w:val="15"/>
          <w:sz w:val="21"/>
        </w:rPr>
        <w:t> </w:t>
      </w:r>
      <w:r>
        <w:rPr>
          <w:color w:val="231F20"/>
          <w:sz w:val="21"/>
        </w:rPr>
        <w:t>around</w:t>
      </w:r>
      <w:r>
        <w:rPr>
          <w:color w:val="231F20"/>
          <w:spacing w:val="15"/>
          <w:sz w:val="21"/>
        </w:rPr>
        <w:t> </w:t>
      </w:r>
      <w:r>
        <w:rPr>
          <w:color w:val="231F20"/>
          <w:sz w:val="21"/>
        </w:rPr>
        <w:t>what</w:t>
      </w:r>
      <w:r>
        <w:rPr>
          <w:color w:val="231F20"/>
          <w:spacing w:val="15"/>
          <w:sz w:val="21"/>
        </w:rPr>
        <w:t> </w:t>
      </w:r>
      <w:r>
        <w:rPr>
          <w:color w:val="231F20"/>
          <w:sz w:val="21"/>
        </w:rPr>
        <w:t>is</w:t>
      </w:r>
      <w:r>
        <w:rPr>
          <w:color w:val="231F20"/>
          <w:spacing w:val="15"/>
          <w:sz w:val="21"/>
        </w:rPr>
        <w:t> </w:t>
      </w:r>
      <w:r>
        <w:rPr>
          <w:color w:val="231F20"/>
          <w:sz w:val="21"/>
        </w:rPr>
        <w:t>the</w:t>
      </w:r>
      <w:r>
        <w:rPr>
          <w:color w:val="231F20"/>
          <w:spacing w:val="15"/>
          <w:sz w:val="21"/>
        </w:rPr>
        <w:t> </w:t>
      </w:r>
      <w:r>
        <w:rPr>
          <w:color w:val="231F20"/>
          <w:sz w:val="21"/>
        </w:rPr>
        <w:t>best</w:t>
      </w:r>
      <w:r>
        <w:rPr>
          <w:color w:val="231F20"/>
          <w:spacing w:val="15"/>
          <w:sz w:val="21"/>
        </w:rPr>
        <w:t> </w:t>
      </w:r>
      <w:r>
        <w:rPr>
          <w:color w:val="231F20"/>
          <w:sz w:val="21"/>
        </w:rPr>
        <w:t>mix</w:t>
      </w:r>
      <w:r>
        <w:rPr>
          <w:color w:val="231F20"/>
          <w:spacing w:val="15"/>
          <w:sz w:val="21"/>
        </w:rPr>
        <w:t> </w:t>
      </w:r>
      <w:r>
        <w:rPr>
          <w:color w:val="231F20"/>
          <w:sz w:val="21"/>
        </w:rPr>
        <w:t>of</w:t>
      </w:r>
      <w:r>
        <w:rPr>
          <w:color w:val="231F20"/>
          <w:spacing w:val="15"/>
          <w:sz w:val="21"/>
        </w:rPr>
        <w:t> </w:t>
      </w:r>
      <w:r>
        <w:rPr>
          <w:color w:val="231F20"/>
          <w:sz w:val="21"/>
        </w:rPr>
        <w:t>debt</w:t>
      </w:r>
      <w:r>
        <w:rPr>
          <w:color w:val="231F20"/>
          <w:spacing w:val="14"/>
          <w:sz w:val="21"/>
        </w:rPr>
        <w:t> </w:t>
      </w:r>
      <w:r>
        <w:rPr>
          <w:color w:val="231F20"/>
          <w:sz w:val="21"/>
        </w:rPr>
        <w:t>and</w:t>
      </w:r>
      <w:r>
        <w:rPr>
          <w:color w:val="231F20"/>
          <w:spacing w:val="15"/>
          <w:sz w:val="21"/>
        </w:rPr>
        <w:t> </w:t>
      </w:r>
      <w:r>
        <w:rPr>
          <w:color w:val="231F20"/>
          <w:spacing w:val="-2"/>
          <w:sz w:val="21"/>
        </w:rPr>
        <w:t>equity.</w:t>
      </w:r>
    </w:p>
    <w:p>
      <w:pPr>
        <w:spacing w:after="0" w:line="292" w:lineRule="auto"/>
        <w:jc w:val="both"/>
        <w:rPr>
          <w:sz w:val="21"/>
        </w:rPr>
        <w:sectPr>
          <w:pgSz w:w="8640" w:h="12960"/>
          <w:pgMar w:header="732" w:footer="0" w:top="920" w:bottom="280" w:left="340" w:right="500"/>
        </w:sectPr>
      </w:pPr>
    </w:p>
    <w:p>
      <w:pPr>
        <w:pStyle w:val="BodyText"/>
        <w:spacing w:before="8"/>
        <w:rPr>
          <w:sz w:val="17"/>
        </w:rPr>
      </w:pPr>
    </w:p>
    <w:p>
      <w:pPr>
        <w:spacing w:line="292" w:lineRule="auto" w:before="102"/>
        <w:ind w:left="920" w:right="663" w:hanging="1"/>
        <w:jc w:val="both"/>
        <w:rPr>
          <w:i/>
          <w:sz w:val="21"/>
        </w:rPr>
      </w:pPr>
      <w:r>
        <w:rPr>
          <w:color w:val="231F20"/>
          <w:sz w:val="21"/>
        </w:rPr>
        <w:t>That mix is called a company’s </w:t>
      </w:r>
      <w:r>
        <w:rPr>
          <w:i/>
          <w:color w:val="231F20"/>
          <w:sz w:val="21"/>
        </w:rPr>
        <w:t>capital structure </w:t>
      </w:r>
      <w:r>
        <w:rPr>
          <w:color w:val="231F20"/>
          <w:sz w:val="21"/>
        </w:rPr>
        <w:t>policy. When man- agers make large changes in the debt-to-equity mix, they call it </w:t>
      </w:r>
      <w:r>
        <w:rPr>
          <w:i/>
          <w:color w:val="231F20"/>
          <w:spacing w:val="-2"/>
          <w:sz w:val="21"/>
        </w:rPr>
        <w:t>restructuring.</w:t>
      </w:r>
    </w:p>
    <w:p>
      <w:pPr>
        <w:pStyle w:val="BodyText"/>
        <w:spacing w:line="292" w:lineRule="auto"/>
        <w:ind w:left="920" w:right="663" w:firstLine="340"/>
        <w:jc w:val="both"/>
      </w:pPr>
      <w:r>
        <w:rPr>
          <w:color w:val="231F20"/>
          <w:w w:val="105"/>
        </w:rPr>
        <w:t>Theoretically,</w:t>
      </w:r>
      <w:r>
        <w:rPr>
          <w:color w:val="231F20"/>
          <w:w w:val="105"/>
        </w:rPr>
        <w:t> there</w:t>
      </w:r>
      <w:r>
        <w:rPr>
          <w:color w:val="231F20"/>
          <w:w w:val="105"/>
        </w:rPr>
        <w:t> is</w:t>
      </w:r>
      <w:r>
        <w:rPr>
          <w:color w:val="231F20"/>
          <w:w w:val="105"/>
        </w:rPr>
        <w:t> an</w:t>
      </w:r>
      <w:r>
        <w:rPr>
          <w:color w:val="231F20"/>
          <w:w w:val="105"/>
        </w:rPr>
        <w:t> optimal</w:t>
      </w:r>
      <w:r>
        <w:rPr>
          <w:color w:val="231F20"/>
          <w:w w:val="105"/>
        </w:rPr>
        <w:t> mix</w:t>
      </w:r>
      <w:r>
        <w:rPr>
          <w:color w:val="231F20"/>
          <w:w w:val="105"/>
        </w:rPr>
        <w:t> of</w:t>
      </w:r>
      <w:r>
        <w:rPr>
          <w:color w:val="231F20"/>
          <w:w w:val="105"/>
        </w:rPr>
        <w:t> debt</w:t>
      </w:r>
      <w:r>
        <w:rPr>
          <w:color w:val="231F20"/>
          <w:w w:val="105"/>
        </w:rPr>
        <w:t> and</w:t>
      </w:r>
      <w:r>
        <w:rPr>
          <w:color w:val="231F20"/>
          <w:w w:val="105"/>
        </w:rPr>
        <w:t> stock;</w:t>
      </w:r>
      <w:r>
        <w:rPr>
          <w:color w:val="231F20"/>
          <w:w w:val="105"/>
        </w:rPr>
        <w:t> how- ever,</w:t>
      </w:r>
      <w:r>
        <w:rPr>
          <w:color w:val="231F20"/>
          <w:w w:val="105"/>
        </w:rPr>
        <w:t> there</w:t>
      </w:r>
      <w:r>
        <w:rPr>
          <w:color w:val="231F20"/>
          <w:w w:val="105"/>
        </w:rPr>
        <w:t> are</w:t>
      </w:r>
      <w:r>
        <w:rPr>
          <w:color w:val="231F20"/>
          <w:w w:val="105"/>
        </w:rPr>
        <w:t> no</w:t>
      </w:r>
      <w:r>
        <w:rPr>
          <w:color w:val="231F20"/>
          <w:w w:val="105"/>
        </w:rPr>
        <w:t> magic</w:t>
      </w:r>
      <w:r>
        <w:rPr>
          <w:color w:val="231F20"/>
          <w:w w:val="105"/>
        </w:rPr>
        <w:t> MBA</w:t>
      </w:r>
      <w:r>
        <w:rPr>
          <w:color w:val="231F20"/>
          <w:w w:val="105"/>
        </w:rPr>
        <w:t> formulas</w:t>
      </w:r>
      <w:r>
        <w:rPr>
          <w:color w:val="231F20"/>
          <w:w w:val="105"/>
        </w:rPr>
        <w:t> to</w:t>
      </w:r>
      <w:r>
        <w:rPr>
          <w:color w:val="231F20"/>
          <w:w w:val="105"/>
        </w:rPr>
        <w:t> establish</w:t>
      </w:r>
      <w:r>
        <w:rPr>
          <w:color w:val="231F20"/>
          <w:w w:val="105"/>
        </w:rPr>
        <w:t> that</w:t>
      </w:r>
      <w:r>
        <w:rPr>
          <w:color w:val="231F20"/>
          <w:w w:val="105"/>
        </w:rPr>
        <w:t> perfect ratio. MBAs can look to what worked in the past and to the mix of successful</w:t>
      </w:r>
      <w:r>
        <w:rPr>
          <w:color w:val="231F20"/>
          <w:spacing w:val="-10"/>
          <w:w w:val="105"/>
        </w:rPr>
        <w:t> </w:t>
      </w:r>
      <w:r>
        <w:rPr>
          <w:color w:val="231F20"/>
          <w:w w:val="105"/>
        </w:rPr>
        <w:t>competitors.</w:t>
      </w:r>
      <w:r>
        <w:rPr>
          <w:color w:val="231F20"/>
          <w:spacing w:val="-10"/>
          <w:w w:val="105"/>
        </w:rPr>
        <w:t> </w:t>
      </w:r>
      <w:r>
        <w:rPr>
          <w:color w:val="231F20"/>
          <w:w w:val="105"/>
        </w:rPr>
        <w:t>If</w:t>
      </w:r>
      <w:r>
        <w:rPr>
          <w:color w:val="231F20"/>
          <w:spacing w:val="-10"/>
          <w:w w:val="105"/>
        </w:rPr>
        <w:t> </w:t>
      </w:r>
      <w:r>
        <w:rPr>
          <w:color w:val="231F20"/>
          <w:w w:val="105"/>
        </w:rPr>
        <w:t>the</w:t>
      </w:r>
      <w:r>
        <w:rPr>
          <w:color w:val="231F20"/>
          <w:spacing w:val="-10"/>
          <w:w w:val="105"/>
        </w:rPr>
        <w:t> </w:t>
      </w:r>
      <w:r>
        <w:rPr>
          <w:color w:val="231F20"/>
          <w:w w:val="105"/>
        </w:rPr>
        <w:t>industry</w:t>
      </w:r>
      <w:r>
        <w:rPr>
          <w:color w:val="231F20"/>
          <w:spacing w:val="-10"/>
          <w:w w:val="105"/>
        </w:rPr>
        <w:t> </w:t>
      </w:r>
      <w:r>
        <w:rPr>
          <w:color w:val="231F20"/>
          <w:w w:val="105"/>
        </w:rPr>
        <w:t>is</w:t>
      </w:r>
      <w:r>
        <w:rPr>
          <w:color w:val="231F20"/>
          <w:spacing w:val="-10"/>
          <w:w w:val="105"/>
        </w:rPr>
        <w:t> </w:t>
      </w:r>
      <w:r>
        <w:rPr>
          <w:color w:val="231F20"/>
          <w:w w:val="105"/>
        </w:rPr>
        <w:t>cyclical,</w:t>
      </w:r>
      <w:r>
        <w:rPr>
          <w:color w:val="231F20"/>
          <w:spacing w:val="-10"/>
          <w:w w:val="105"/>
        </w:rPr>
        <w:t> </w:t>
      </w:r>
      <w:r>
        <w:rPr>
          <w:color w:val="231F20"/>
          <w:w w:val="105"/>
        </w:rPr>
        <w:t>lighter</w:t>
      </w:r>
      <w:r>
        <w:rPr>
          <w:color w:val="231F20"/>
          <w:spacing w:val="-10"/>
          <w:w w:val="105"/>
        </w:rPr>
        <w:t> </w:t>
      </w:r>
      <w:r>
        <w:rPr>
          <w:color w:val="231F20"/>
          <w:w w:val="105"/>
        </w:rPr>
        <w:t>debt</w:t>
      </w:r>
      <w:r>
        <w:rPr>
          <w:color w:val="231F20"/>
          <w:spacing w:val="-10"/>
          <w:w w:val="105"/>
        </w:rPr>
        <w:t> </w:t>
      </w:r>
      <w:r>
        <w:rPr>
          <w:color w:val="231F20"/>
          <w:w w:val="105"/>
        </w:rPr>
        <w:t>loads are</w:t>
      </w:r>
      <w:r>
        <w:rPr>
          <w:color w:val="231F20"/>
          <w:spacing w:val="-3"/>
          <w:w w:val="105"/>
        </w:rPr>
        <w:t> </w:t>
      </w:r>
      <w:r>
        <w:rPr>
          <w:color w:val="231F20"/>
          <w:w w:val="105"/>
        </w:rPr>
        <w:t>preferable</w:t>
      </w:r>
      <w:r>
        <w:rPr>
          <w:color w:val="231F20"/>
          <w:spacing w:val="-3"/>
          <w:w w:val="105"/>
        </w:rPr>
        <w:t> </w:t>
      </w:r>
      <w:r>
        <w:rPr>
          <w:color w:val="231F20"/>
          <w:w w:val="105"/>
        </w:rPr>
        <w:t>in</w:t>
      </w:r>
      <w:r>
        <w:rPr>
          <w:color w:val="231F20"/>
          <w:spacing w:val="-3"/>
          <w:w w:val="105"/>
        </w:rPr>
        <w:t> </w:t>
      </w:r>
      <w:r>
        <w:rPr>
          <w:color w:val="231F20"/>
          <w:w w:val="105"/>
        </w:rPr>
        <w:t>order</w:t>
      </w:r>
      <w:r>
        <w:rPr>
          <w:color w:val="231F20"/>
          <w:spacing w:val="-3"/>
          <w:w w:val="105"/>
        </w:rPr>
        <w:t> </w:t>
      </w:r>
      <w:r>
        <w:rPr>
          <w:color w:val="231F20"/>
          <w:w w:val="105"/>
        </w:rPr>
        <w:t>to</w:t>
      </w:r>
      <w:r>
        <w:rPr>
          <w:color w:val="231F20"/>
          <w:spacing w:val="-3"/>
          <w:w w:val="105"/>
        </w:rPr>
        <w:t> </w:t>
      </w:r>
      <w:r>
        <w:rPr>
          <w:color w:val="231F20"/>
          <w:w w:val="105"/>
        </w:rPr>
        <w:t>survive</w:t>
      </w:r>
      <w:r>
        <w:rPr>
          <w:color w:val="231F20"/>
          <w:spacing w:val="-3"/>
          <w:w w:val="105"/>
        </w:rPr>
        <w:t> </w:t>
      </w:r>
      <w:r>
        <w:rPr>
          <w:color w:val="231F20"/>
          <w:w w:val="105"/>
        </w:rPr>
        <w:t>downturns.</w:t>
      </w:r>
      <w:r>
        <w:rPr>
          <w:color w:val="231F20"/>
          <w:spacing w:val="-3"/>
          <w:w w:val="105"/>
        </w:rPr>
        <w:t> </w:t>
      </w:r>
      <w:r>
        <w:rPr>
          <w:color w:val="231F20"/>
          <w:w w:val="105"/>
        </w:rPr>
        <w:t>Good</w:t>
      </w:r>
      <w:r>
        <w:rPr>
          <w:color w:val="231F20"/>
          <w:spacing w:val="-3"/>
          <w:w w:val="105"/>
        </w:rPr>
        <w:t> </w:t>
      </w:r>
      <w:r>
        <w:rPr>
          <w:color w:val="231F20"/>
          <w:w w:val="105"/>
        </w:rPr>
        <w:t>financial</w:t>
      </w:r>
      <w:r>
        <w:rPr>
          <w:color w:val="231F20"/>
          <w:spacing w:val="-3"/>
          <w:w w:val="105"/>
        </w:rPr>
        <w:t> </w:t>
      </w:r>
      <w:r>
        <w:rPr>
          <w:color w:val="231F20"/>
          <w:w w:val="105"/>
        </w:rPr>
        <w:t>man- agers</w:t>
      </w:r>
      <w:r>
        <w:rPr>
          <w:color w:val="231F20"/>
          <w:w w:val="105"/>
        </w:rPr>
        <w:t> don’t</w:t>
      </w:r>
      <w:r>
        <w:rPr>
          <w:color w:val="231F20"/>
          <w:w w:val="105"/>
        </w:rPr>
        <w:t> decide</w:t>
      </w:r>
      <w:r>
        <w:rPr>
          <w:color w:val="231F20"/>
          <w:w w:val="105"/>
        </w:rPr>
        <w:t> on</w:t>
      </w:r>
      <w:r>
        <w:rPr>
          <w:color w:val="231F20"/>
          <w:w w:val="105"/>
        </w:rPr>
        <w:t> a</w:t>
      </w:r>
      <w:r>
        <w:rPr>
          <w:color w:val="231F20"/>
          <w:w w:val="105"/>
        </w:rPr>
        <w:t> financing</w:t>
      </w:r>
      <w:r>
        <w:rPr>
          <w:color w:val="231F20"/>
          <w:w w:val="105"/>
        </w:rPr>
        <w:t> plan</w:t>
      </w:r>
      <w:r>
        <w:rPr>
          <w:color w:val="231F20"/>
          <w:w w:val="105"/>
        </w:rPr>
        <w:t> and</w:t>
      </w:r>
      <w:r>
        <w:rPr>
          <w:color w:val="231F20"/>
          <w:w w:val="105"/>
        </w:rPr>
        <w:t> forget</w:t>
      </w:r>
      <w:r>
        <w:rPr>
          <w:color w:val="231F20"/>
          <w:w w:val="105"/>
        </w:rPr>
        <w:t> it.</w:t>
      </w:r>
      <w:r>
        <w:rPr>
          <w:color w:val="231F20"/>
          <w:w w:val="105"/>
        </w:rPr>
        <w:t> Capital</w:t>
      </w:r>
      <w:r>
        <w:rPr>
          <w:color w:val="231F20"/>
          <w:w w:val="105"/>
        </w:rPr>
        <w:t> struc- </w:t>
      </w:r>
      <w:r>
        <w:rPr>
          <w:color w:val="231F20"/>
        </w:rPr>
        <w:t>tures are </w:t>
      </w:r>
      <w:r>
        <w:rPr>
          <w:i/>
          <w:color w:val="231F20"/>
        </w:rPr>
        <w:t>dynamic. </w:t>
      </w:r>
      <w:r>
        <w:rPr>
          <w:color w:val="231F20"/>
        </w:rPr>
        <w:t>Decisions to shift the balance from equity to debt </w:t>
      </w:r>
      <w:r>
        <w:rPr>
          <w:color w:val="231F20"/>
          <w:w w:val="105"/>
        </w:rPr>
        <w:t>and</w:t>
      </w:r>
      <w:r>
        <w:rPr>
          <w:color w:val="231F20"/>
          <w:w w:val="105"/>
        </w:rPr>
        <w:t> back</w:t>
      </w:r>
      <w:r>
        <w:rPr>
          <w:color w:val="231F20"/>
          <w:w w:val="105"/>
        </w:rPr>
        <w:t> again</w:t>
      </w:r>
      <w:r>
        <w:rPr>
          <w:color w:val="231F20"/>
          <w:w w:val="105"/>
        </w:rPr>
        <w:t> should</w:t>
      </w:r>
      <w:r>
        <w:rPr>
          <w:color w:val="231F20"/>
          <w:w w:val="105"/>
        </w:rPr>
        <w:t> be</w:t>
      </w:r>
      <w:r>
        <w:rPr>
          <w:color w:val="231F20"/>
          <w:w w:val="105"/>
        </w:rPr>
        <w:t> continually</w:t>
      </w:r>
      <w:r>
        <w:rPr>
          <w:color w:val="231F20"/>
          <w:w w:val="105"/>
        </w:rPr>
        <w:t> reviewed</w:t>
      </w:r>
      <w:r>
        <w:rPr>
          <w:color w:val="231F20"/>
          <w:w w:val="105"/>
        </w:rPr>
        <w:t> to</w:t>
      </w:r>
      <w:r>
        <w:rPr>
          <w:color w:val="231F20"/>
          <w:w w:val="105"/>
        </w:rPr>
        <w:t> make</w:t>
      </w:r>
      <w:r>
        <w:rPr>
          <w:color w:val="231F20"/>
          <w:w w:val="105"/>
        </w:rPr>
        <w:t> sure</w:t>
      </w:r>
      <w:r>
        <w:rPr>
          <w:color w:val="231F20"/>
          <w:w w:val="105"/>
        </w:rPr>
        <w:t> the capital structure is appropriate at any given time.</w:t>
      </w:r>
    </w:p>
    <w:p>
      <w:pPr>
        <w:pStyle w:val="BodyText"/>
        <w:spacing w:line="292" w:lineRule="auto"/>
        <w:ind w:left="920" w:right="664" w:firstLine="340"/>
        <w:jc w:val="both"/>
      </w:pPr>
      <w:r>
        <w:rPr>
          <w:color w:val="231F20"/>
          <w:w w:val="105"/>
        </w:rPr>
        <w:t>Although</w:t>
      </w:r>
      <w:r>
        <w:rPr>
          <w:color w:val="231F20"/>
          <w:w w:val="105"/>
        </w:rPr>
        <w:t> there</w:t>
      </w:r>
      <w:r>
        <w:rPr>
          <w:color w:val="231F20"/>
          <w:w w:val="105"/>
        </w:rPr>
        <w:t> are</w:t>
      </w:r>
      <w:r>
        <w:rPr>
          <w:color w:val="231F20"/>
          <w:w w:val="105"/>
        </w:rPr>
        <w:t> no</w:t>
      </w:r>
      <w:r>
        <w:rPr>
          <w:color w:val="231F20"/>
          <w:w w:val="105"/>
        </w:rPr>
        <w:t> handy</w:t>
      </w:r>
      <w:r>
        <w:rPr>
          <w:color w:val="231F20"/>
          <w:w w:val="105"/>
        </w:rPr>
        <w:t> MBA</w:t>
      </w:r>
      <w:r>
        <w:rPr>
          <w:color w:val="231F20"/>
          <w:w w:val="105"/>
        </w:rPr>
        <w:t> formulas</w:t>
      </w:r>
      <w:r>
        <w:rPr>
          <w:color w:val="231F20"/>
          <w:w w:val="105"/>
        </w:rPr>
        <w:t> to</w:t>
      </w:r>
      <w:r>
        <w:rPr>
          <w:color w:val="231F20"/>
          <w:w w:val="105"/>
        </w:rPr>
        <w:t> solve</w:t>
      </w:r>
      <w:r>
        <w:rPr>
          <w:color w:val="231F20"/>
          <w:w w:val="105"/>
        </w:rPr>
        <w:t> once</w:t>
      </w:r>
      <w:r>
        <w:rPr>
          <w:color w:val="231F20"/>
          <w:w w:val="105"/>
        </w:rPr>
        <w:t> and for</w:t>
      </w:r>
      <w:r>
        <w:rPr>
          <w:color w:val="231F20"/>
          <w:w w:val="105"/>
        </w:rPr>
        <w:t> all</w:t>
      </w:r>
      <w:r>
        <w:rPr>
          <w:color w:val="231F20"/>
          <w:w w:val="105"/>
        </w:rPr>
        <w:t> the</w:t>
      </w:r>
      <w:r>
        <w:rPr>
          <w:color w:val="231F20"/>
          <w:w w:val="105"/>
        </w:rPr>
        <w:t> debt-versus-equity</w:t>
      </w:r>
      <w:r>
        <w:rPr>
          <w:color w:val="231F20"/>
          <w:w w:val="105"/>
        </w:rPr>
        <w:t> conundrum,</w:t>
      </w:r>
      <w:r>
        <w:rPr>
          <w:color w:val="231F20"/>
          <w:w w:val="105"/>
        </w:rPr>
        <w:t> there</w:t>
      </w:r>
      <w:r>
        <w:rPr>
          <w:color w:val="231F20"/>
          <w:w w:val="105"/>
        </w:rPr>
        <w:t> is</w:t>
      </w:r>
      <w:r>
        <w:rPr>
          <w:color w:val="231F20"/>
          <w:w w:val="105"/>
        </w:rPr>
        <w:t> a</w:t>
      </w:r>
      <w:r>
        <w:rPr>
          <w:color w:val="231F20"/>
          <w:w w:val="105"/>
        </w:rPr>
        <w:t> useful</w:t>
      </w:r>
      <w:r>
        <w:rPr>
          <w:color w:val="231F20"/>
          <w:w w:val="105"/>
        </w:rPr>
        <w:t> MBA acronym,</w:t>
      </w:r>
      <w:r>
        <w:rPr>
          <w:color w:val="231F20"/>
          <w:w w:val="105"/>
        </w:rPr>
        <w:t> FRICTO,</w:t>
      </w:r>
      <w:r>
        <w:rPr>
          <w:color w:val="231F20"/>
          <w:w w:val="105"/>
        </w:rPr>
        <w:t> whose</w:t>
      </w:r>
      <w:r>
        <w:rPr>
          <w:color w:val="231F20"/>
          <w:w w:val="105"/>
        </w:rPr>
        <w:t> initials</w:t>
      </w:r>
      <w:r>
        <w:rPr>
          <w:color w:val="231F20"/>
          <w:w w:val="105"/>
        </w:rPr>
        <w:t> stand</w:t>
      </w:r>
      <w:r>
        <w:rPr>
          <w:color w:val="231F20"/>
          <w:w w:val="105"/>
        </w:rPr>
        <w:t> for</w:t>
      </w:r>
      <w:r>
        <w:rPr>
          <w:color w:val="231F20"/>
          <w:w w:val="105"/>
        </w:rPr>
        <w:t> a</w:t>
      </w:r>
      <w:r>
        <w:rPr>
          <w:color w:val="231F20"/>
          <w:w w:val="105"/>
        </w:rPr>
        <w:t> useful</w:t>
      </w:r>
      <w:r>
        <w:rPr>
          <w:color w:val="231F20"/>
          <w:w w:val="105"/>
        </w:rPr>
        <w:t> checklist</w:t>
      </w:r>
      <w:r>
        <w:rPr>
          <w:color w:val="231F20"/>
          <w:w w:val="105"/>
        </w:rPr>
        <w:t> in sorting out capital structure issues.</w:t>
      </w:r>
    </w:p>
    <w:p>
      <w:pPr>
        <w:pStyle w:val="BodyText"/>
        <w:spacing w:line="292" w:lineRule="auto"/>
        <w:ind w:left="920" w:right="664" w:firstLine="339"/>
        <w:jc w:val="both"/>
      </w:pPr>
      <w:r>
        <w:rPr>
          <w:b/>
          <w:i/>
          <w:color w:val="231F20"/>
        </w:rPr>
        <w:t>Flexibility. </w:t>
      </w:r>
      <w:r>
        <w:rPr>
          <w:color w:val="231F20"/>
        </w:rPr>
        <w:t>How much financial flexibility does management</w:t>
      </w:r>
      <w:r>
        <w:rPr>
          <w:color w:val="231F20"/>
          <w:spacing w:val="80"/>
        </w:rPr>
        <w:t> </w:t>
      </w:r>
      <w:r>
        <w:rPr>
          <w:color w:val="231F20"/>
        </w:rPr>
        <w:t>need to meet </w:t>
      </w:r>
      <w:r>
        <w:rPr>
          <w:i/>
          <w:color w:val="231F20"/>
        </w:rPr>
        <w:t>unforeseen </w:t>
      </w:r>
      <w:r>
        <w:rPr>
          <w:color w:val="231F20"/>
        </w:rPr>
        <w:t>events, such as new competitors or law- suits? For example, Dow Corning never planned for the breast </w:t>
      </w:r>
      <w:r>
        <w:rPr>
          <w:color w:val="231F20"/>
        </w:rPr>
        <w:t>im- plant litigation that crippled the company.</w:t>
      </w:r>
    </w:p>
    <w:p>
      <w:pPr>
        <w:pStyle w:val="BodyText"/>
        <w:spacing w:line="292" w:lineRule="auto"/>
        <w:ind w:left="920" w:right="663" w:firstLine="340"/>
        <w:jc w:val="both"/>
      </w:pPr>
      <w:r>
        <w:rPr>
          <w:b/>
          <w:i/>
          <w:color w:val="231F20"/>
        </w:rPr>
        <w:t>Risk. </w:t>
      </w:r>
      <w:r>
        <w:rPr>
          <w:color w:val="231F20"/>
        </w:rPr>
        <w:t>How much risk can management live with to meet </w:t>
      </w:r>
      <w:r>
        <w:rPr>
          <w:i/>
          <w:color w:val="231F20"/>
        </w:rPr>
        <w:t>fore-</w:t>
      </w:r>
      <w:r>
        <w:rPr>
          <w:i/>
          <w:color w:val="231F20"/>
          <w:spacing w:val="80"/>
        </w:rPr>
        <w:t> </w:t>
      </w:r>
      <w:r>
        <w:rPr>
          <w:i/>
          <w:color w:val="231F20"/>
        </w:rPr>
        <w:t>seen </w:t>
      </w:r>
      <w:r>
        <w:rPr>
          <w:color w:val="231F20"/>
        </w:rPr>
        <w:t>events, such as downturns in the business cycle, strikes, and material shortages? Toy companies are known to produce hot </w:t>
      </w:r>
      <w:r>
        <w:rPr>
          <w:color w:val="231F20"/>
        </w:rPr>
        <w:t>toys that turn cold. Savvy managers should plan for the eventual sales drop-off by providing enough financial flexibility to survive the downturn. Accordingly, most toy companies have low debt-to-</w:t>
      </w:r>
      <w:r>
        <w:rPr>
          <w:color w:val="231F20"/>
          <w:spacing w:val="80"/>
        </w:rPr>
        <w:t> </w:t>
      </w:r>
      <w:r>
        <w:rPr>
          <w:color w:val="231F20"/>
        </w:rPr>
        <w:t>equity ratios.</w:t>
      </w:r>
    </w:p>
    <w:p>
      <w:pPr>
        <w:pStyle w:val="BodyText"/>
        <w:spacing w:line="292" w:lineRule="auto"/>
        <w:ind w:left="919" w:right="666" w:firstLine="340"/>
        <w:jc w:val="both"/>
      </w:pPr>
      <w:r>
        <w:rPr>
          <w:b/>
          <w:i/>
          <w:color w:val="231F20"/>
        </w:rPr>
        <w:t>Income. </w:t>
      </w:r>
      <w:r>
        <w:rPr>
          <w:color w:val="231F20"/>
        </w:rPr>
        <w:t>What level of interest or dividend payments can </w:t>
      </w:r>
      <w:r>
        <w:rPr>
          <w:color w:val="231F20"/>
        </w:rPr>
        <w:t>earn- ings support? Financial managers are required to forecast the results of operations to determine cash flows. Using those forecasts, and the degree of confidence a manager has in his or her projections, he or she can determine what level of payments the company can make.</w:t>
      </w:r>
    </w:p>
    <w:p>
      <w:pPr>
        <w:pStyle w:val="BodyText"/>
        <w:spacing w:line="292" w:lineRule="auto"/>
        <w:ind w:left="919" w:right="664" w:firstLine="340"/>
        <w:jc w:val="right"/>
      </w:pPr>
      <w:r>
        <w:rPr>
          <w:b/>
          <w:i/>
          <w:color w:val="231F20"/>
        </w:rPr>
        <w:t>Control. </w:t>
      </w:r>
      <w:r>
        <w:rPr>
          <w:color w:val="231F20"/>
        </w:rPr>
        <w:t>How much stock ownership does management want </w:t>
      </w:r>
      <w:r>
        <w:rPr>
          <w:color w:val="231F20"/>
        </w:rPr>
        <w:t>to share with outside investors? Many family business owners are leery of letting an outsider even know their income, let alone have a vote. </w:t>
      </w:r>
      <w:r>
        <w:rPr>
          <w:b/>
          <w:i/>
          <w:color w:val="231F20"/>
        </w:rPr>
        <w:t>Timing.</w:t>
      </w:r>
      <w:r>
        <w:rPr>
          <w:b/>
          <w:i/>
          <w:color w:val="231F20"/>
          <w:spacing w:val="40"/>
        </w:rPr>
        <w:t> </w:t>
      </w:r>
      <w:r>
        <w:rPr>
          <w:color w:val="231F20"/>
        </w:rPr>
        <w:t>Does</w:t>
      </w:r>
      <w:r>
        <w:rPr>
          <w:color w:val="231F20"/>
          <w:spacing w:val="40"/>
        </w:rPr>
        <w:t> </w:t>
      </w:r>
      <w:r>
        <w:rPr>
          <w:color w:val="231F20"/>
        </w:rPr>
        <w:t>the</w:t>
      </w:r>
      <w:r>
        <w:rPr>
          <w:color w:val="231F20"/>
          <w:spacing w:val="40"/>
        </w:rPr>
        <w:t> </w:t>
      </w:r>
      <w:r>
        <w:rPr>
          <w:color w:val="231F20"/>
        </w:rPr>
        <w:t>debt</w:t>
      </w:r>
      <w:r>
        <w:rPr>
          <w:color w:val="231F20"/>
          <w:spacing w:val="40"/>
        </w:rPr>
        <w:t> </w:t>
      </w:r>
      <w:r>
        <w:rPr>
          <w:color w:val="231F20"/>
        </w:rPr>
        <w:t>market</w:t>
      </w:r>
      <w:r>
        <w:rPr>
          <w:color w:val="231F20"/>
          <w:spacing w:val="40"/>
        </w:rPr>
        <w:t> </w:t>
      </w:r>
      <w:r>
        <w:rPr>
          <w:color w:val="231F20"/>
        </w:rPr>
        <w:t>offer</w:t>
      </w:r>
      <w:r>
        <w:rPr>
          <w:color w:val="231F20"/>
          <w:spacing w:val="40"/>
        </w:rPr>
        <w:t> </w:t>
      </w:r>
      <w:r>
        <w:rPr>
          <w:color w:val="231F20"/>
        </w:rPr>
        <w:t>attractive</w:t>
      </w:r>
      <w:r>
        <w:rPr>
          <w:color w:val="231F20"/>
          <w:spacing w:val="40"/>
        </w:rPr>
        <w:t> </w:t>
      </w:r>
      <w:r>
        <w:rPr>
          <w:color w:val="231F20"/>
        </w:rPr>
        <w:t>rates?</w:t>
      </w:r>
      <w:r>
        <w:rPr>
          <w:color w:val="231F20"/>
          <w:spacing w:val="40"/>
        </w:rPr>
        <w:t> </w:t>
      </w:r>
      <w:r>
        <w:rPr>
          <w:color w:val="231F20"/>
        </w:rPr>
        <w:t>Has</w:t>
      </w:r>
      <w:r>
        <w:rPr>
          <w:color w:val="231F20"/>
          <w:spacing w:val="40"/>
        </w:rPr>
        <w:t> </w:t>
      </w:r>
      <w:r>
        <w:rPr>
          <w:color w:val="231F20"/>
        </w:rPr>
        <w:t>the</w:t>
      </w:r>
    </w:p>
    <w:p>
      <w:pPr>
        <w:spacing w:after="0" w:line="292" w:lineRule="auto"/>
        <w:jc w:val="right"/>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market overvalued the firm’s shares in the opinion of </w:t>
      </w:r>
      <w:r>
        <w:rPr>
          <w:color w:val="231F20"/>
        </w:rPr>
        <w:t>management?</w:t>
      </w:r>
      <w:r>
        <w:rPr>
          <w:color w:val="231F20"/>
          <w:spacing w:val="40"/>
        </w:rPr>
        <w:t> </w:t>
      </w:r>
      <w:r>
        <w:rPr>
          <w:color w:val="231F20"/>
        </w:rPr>
        <w:t>If so, then it makes sense to sell shares to the public. Conversely, if</w:t>
      </w:r>
      <w:r>
        <w:rPr>
          <w:color w:val="231F20"/>
          <w:spacing w:val="40"/>
        </w:rPr>
        <w:t> </w:t>
      </w:r>
      <w:r>
        <w:rPr>
          <w:color w:val="231F20"/>
        </w:rPr>
        <w:t>the stock is too cheap, then it is better to buy back shares from the public. After the crash of 1987, many firms took the opportunity to buy back their own shares. By reducing the number of shares out- standing, their share of debt financing grew as a portion of their cap- ital structures.</w:t>
      </w:r>
    </w:p>
    <w:p>
      <w:pPr>
        <w:pStyle w:val="BodyText"/>
        <w:spacing w:line="292" w:lineRule="auto"/>
        <w:ind w:left="829" w:right="755" w:firstLine="340"/>
        <w:jc w:val="both"/>
      </w:pPr>
      <w:r>
        <w:rPr>
          <w:color w:val="231F20"/>
        </w:rPr>
        <w:t>In 1991 investors could not buy enough biotechnology stock. They paid high prices for even questionable start-ups. Smart man- agers tapped that market and sold shares to the eager public at high prices.</w:t>
      </w:r>
      <w:r>
        <w:rPr>
          <w:color w:val="231F20"/>
          <w:spacing w:val="40"/>
        </w:rPr>
        <w:t> </w:t>
      </w:r>
      <w:r>
        <w:rPr>
          <w:color w:val="231F20"/>
        </w:rPr>
        <w:t>In</w:t>
      </w:r>
      <w:r>
        <w:rPr>
          <w:color w:val="231F20"/>
          <w:spacing w:val="40"/>
        </w:rPr>
        <w:t> </w:t>
      </w:r>
      <w:r>
        <w:rPr>
          <w:color w:val="231F20"/>
        </w:rPr>
        <w:t>1992,</w:t>
      </w:r>
      <w:r>
        <w:rPr>
          <w:color w:val="231F20"/>
          <w:spacing w:val="40"/>
        </w:rPr>
        <w:t> </w:t>
      </w:r>
      <w:r>
        <w:rPr>
          <w:color w:val="231F20"/>
        </w:rPr>
        <w:t>the</w:t>
      </w:r>
      <w:r>
        <w:rPr>
          <w:color w:val="231F20"/>
          <w:spacing w:val="40"/>
        </w:rPr>
        <w:t> </w:t>
      </w:r>
      <w:r>
        <w:rPr>
          <w:color w:val="231F20"/>
        </w:rPr>
        <w:t>days</w:t>
      </w:r>
      <w:r>
        <w:rPr>
          <w:color w:val="231F20"/>
          <w:spacing w:val="40"/>
        </w:rPr>
        <w:t> </w:t>
      </w:r>
      <w:r>
        <w:rPr>
          <w:color w:val="231F20"/>
        </w:rPr>
        <w:t>of</w:t>
      </w:r>
      <w:r>
        <w:rPr>
          <w:color w:val="231F20"/>
          <w:spacing w:val="40"/>
        </w:rPr>
        <w:t> </w:t>
      </w:r>
      <w:r>
        <w:rPr>
          <w:color w:val="231F20"/>
        </w:rPr>
        <w:t>easy</w:t>
      </w:r>
      <w:r>
        <w:rPr>
          <w:color w:val="231F20"/>
          <w:spacing w:val="40"/>
        </w:rPr>
        <w:t> </w:t>
      </w:r>
      <w:r>
        <w:rPr>
          <w:color w:val="231F20"/>
        </w:rPr>
        <w:t>money</w:t>
      </w:r>
      <w:r>
        <w:rPr>
          <w:color w:val="231F20"/>
          <w:spacing w:val="40"/>
        </w:rPr>
        <w:t> </w:t>
      </w:r>
      <w:r>
        <w:rPr>
          <w:color w:val="231F20"/>
        </w:rPr>
        <w:t>ended</w:t>
      </w:r>
      <w:r>
        <w:rPr>
          <w:color w:val="231F20"/>
          <w:spacing w:val="40"/>
        </w:rPr>
        <w:t> </w:t>
      </w:r>
      <w:r>
        <w:rPr>
          <w:color w:val="231F20"/>
        </w:rPr>
        <w:t>when</w:t>
      </w:r>
      <w:r>
        <w:rPr>
          <w:color w:val="231F20"/>
          <w:spacing w:val="40"/>
        </w:rPr>
        <w:t> </w:t>
      </w:r>
      <w:r>
        <w:rPr>
          <w:color w:val="231F20"/>
        </w:rPr>
        <w:t>biotech</w:t>
      </w:r>
      <w:r>
        <w:rPr>
          <w:color w:val="231F20"/>
          <w:spacing w:val="40"/>
        </w:rPr>
        <w:t> </w:t>
      </w:r>
      <w:r>
        <w:rPr>
          <w:color w:val="231F20"/>
        </w:rPr>
        <w:t>fell out of favor with investors. The same story repeated itself for Inter- net companies in 1995 until the meltdown in 2000. A company’s capital structure should be dynamic to take advantage of market </w:t>
      </w:r>
      <w:r>
        <w:rPr>
          <w:color w:val="231F20"/>
          <w:spacing w:val="-2"/>
        </w:rPr>
        <w:t>conditions.</w:t>
      </w:r>
    </w:p>
    <w:p>
      <w:pPr>
        <w:pStyle w:val="BodyText"/>
        <w:spacing w:line="292" w:lineRule="auto"/>
        <w:ind w:left="829" w:right="753" w:firstLine="340"/>
        <w:jc w:val="both"/>
      </w:pPr>
      <w:r>
        <w:rPr>
          <w:b/>
          <w:i/>
          <w:color w:val="231F20"/>
        </w:rPr>
        <w:t>Other. </w:t>
      </w:r>
      <w:r>
        <w:rPr>
          <w:color w:val="231F20"/>
        </w:rPr>
        <w:t>Many other factors affect the paths managers take. At times, a company just can’t find a bank to lend money, forcing an </w:t>
      </w:r>
      <w:r>
        <w:rPr>
          <w:color w:val="231F20"/>
        </w:rPr>
        <w:t>eq- uity choice. In other circumstances interest rates are just unafford- able, forcing an equity choice. The reasons for capital structure decisions are many.</w:t>
      </w:r>
    </w:p>
    <w:p>
      <w:pPr>
        <w:pStyle w:val="BodyText"/>
        <w:spacing w:before="11"/>
        <w:rPr>
          <w:sz w:val="24"/>
        </w:rPr>
      </w:pPr>
    </w:p>
    <w:p>
      <w:pPr>
        <w:pStyle w:val="BodyText"/>
        <w:spacing w:line="292" w:lineRule="auto"/>
        <w:ind w:left="830" w:right="757"/>
        <w:jc w:val="both"/>
      </w:pPr>
      <w:r>
        <w:rPr>
          <w:color w:val="231F20"/>
        </w:rPr>
        <w:t>Key</w:t>
      </w:r>
      <w:r>
        <w:rPr>
          <w:color w:val="231F20"/>
          <w:spacing w:val="-4"/>
        </w:rPr>
        <w:t> </w:t>
      </w:r>
      <w:r>
        <w:rPr>
          <w:color w:val="231F20"/>
        </w:rPr>
        <w:t>to</w:t>
      </w:r>
      <w:r>
        <w:rPr>
          <w:color w:val="231F20"/>
          <w:spacing w:val="-4"/>
        </w:rPr>
        <w:t> </w:t>
      </w:r>
      <w:r>
        <w:rPr>
          <w:color w:val="231F20"/>
        </w:rPr>
        <w:t>financial</w:t>
      </w:r>
      <w:r>
        <w:rPr>
          <w:color w:val="231F20"/>
          <w:spacing w:val="-4"/>
        </w:rPr>
        <w:t> </w:t>
      </w:r>
      <w:r>
        <w:rPr>
          <w:color w:val="231F20"/>
        </w:rPr>
        <w:t>structure</w:t>
      </w:r>
      <w:r>
        <w:rPr>
          <w:color w:val="231F20"/>
          <w:spacing w:val="-4"/>
        </w:rPr>
        <w:t> </w:t>
      </w:r>
      <w:r>
        <w:rPr>
          <w:color w:val="231F20"/>
        </w:rPr>
        <w:t>is</w:t>
      </w:r>
      <w:r>
        <w:rPr>
          <w:color w:val="231F20"/>
          <w:spacing w:val="-4"/>
        </w:rPr>
        <w:t> </w:t>
      </w:r>
      <w:r>
        <w:rPr>
          <w:color w:val="231F20"/>
        </w:rPr>
        <w:t>the</w:t>
      </w:r>
      <w:r>
        <w:rPr>
          <w:color w:val="231F20"/>
          <w:spacing w:val="-4"/>
        </w:rPr>
        <w:t> </w:t>
      </w:r>
      <w:r>
        <w:rPr>
          <w:color w:val="231F20"/>
        </w:rPr>
        <w:t>discussion</w:t>
      </w:r>
      <w:r>
        <w:rPr>
          <w:color w:val="231F20"/>
          <w:spacing w:val="-4"/>
        </w:rPr>
        <w:t> </w:t>
      </w:r>
      <w:r>
        <w:rPr>
          <w:color w:val="231F20"/>
        </w:rPr>
        <w:t>of</w:t>
      </w:r>
      <w:r>
        <w:rPr>
          <w:color w:val="231F20"/>
          <w:spacing w:val="-4"/>
        </w:rPr>
        <w:t> </w:t>
      </w:r>
      <w:r>
        <w:rPr>
          <w:color w:val="231F20"/>
        </w:rPr>
        <w:t>ratios.</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accounting chapter, I explained the concept of </w:t>
      </w:r>
      <w:r>
        <w:rPr>
          <w:i/>
          <w:color w:val="231F20"/>
        </w:rPr>
        <w:t>financial leverage. </w:t>
      </w:r>
      <w:r>
        <w:rPr>
          <w:color w:val="231F20"/>
        </w:rPr>
        <w:t>Companies that </w:t>
      </w:r>
      <w:r>
        <w:rPr>
          <w:color w:val="231F20"/>
          <w:spacing w:val="-2"/>
        </w:rPr>
        <w:t>maintain</w:t>
      </w:r>
      <w:r>
        <w:rPr>
          <w:color w:val="231F20"/>
          <w:spacing w:val="-4"/>
        </w:rPr>
        <w:t> </w:t>
      </w:r>
      <w:r>
        <w:rPr>
          <w:color w:val="231F20"/>
          <w:spacing w:val="-2"/>
        </w:rPr>
        <w:t>high</w:t>
      </w:r>
      <w:r>
        <w:rPr>
          <w:color w:val="231F20"/>
          <w:spacing w:val="-4"/>
        </w:rPr>
        <w:t> </w:t>
      </w:r>
      <w:r>
        <w:rPr>
          <w:color w:val="231F20"/>
          <w:spacing w:val="-2"/>
        </w:rPr>
        <w:t>levels</w:t>
      </w:r>
      <w:r>
        <w:rPr>
          <w:color w:val="231F20"/>
          <w:spacing w:val="-4"/>
        </w:rPr>
        <w:t> </w:t>
      </w:r>
      <w:r>
        <w:rPr>
          <w:color w:val="231F20"/>
          <w:spacing w:val="-2"/>
        </w:rPr>
        <w:t>of</w:t>
      </w:r>
      <w:r>
        <w:rPr>
          <w:color w:val="231F20"/>
          <w:spacing w:val="-4"/>
        </w:rPr>
        <w:t> </w:t>
      </w:r>
      <w:r>
        <w:rPr>
          <w:color w:val="231F20"/>
          <w:spacing w:val="-2"/>
        </w:rPr>
        <w:t>debt</w:t>
      </w:r>
      <w:r>
        <w:rPr>
          <w:color w:val="231F20"/>
          <w:spacing w:val="-4"/>
        </w:rPr>
        <w:t> </w:t>
      </w:r>
      <w:r>
        <w:rPr>
          <w:color w:val="231F20"/>
          <w:spacing w:val="-2"/>
        </w:rPr>
        <w:t>and</w:t>
      </w:r>
      <w:r>
        <w:rPr>
          <w:color w:val="231F20"/>
          <w:spacing w:val="-4"/>
        </w:rPr>
        <w:t> </w:t>
      </w:r>
      <w:r>
        <w:rPr>
          <w:color w:val="231F20"/>
          <w:spacing w:val="-2"/>
        </w:rPr>
        <w:t>little</w:t>
      </w:r>
      <w:r>
        <w:rPr>
          <w:color w:val="231F20"/>
          <w:spacing w:val="-4"/>
        </w:rPr>
        <w:t> </w:t>
      </w:r>
      <w:r>
        <w:rPr>
          <w:color w:val="231F20"/>
          <w:spacing w:val="-2"/>
        </w:rPr>
        <w:t>equity</w:t>
      </w:r>
      <w:r>
        <w:rPr>
          <w:color w:val="231F20"/>
          <w:spacing w:val="-4"/>
        </w:rPr>
        <w:t> </w:t>
      </w:r>
      <w:r>
        <w:rPr>
          <w:i/>
          <w:color w:val="231F20"/>
          <w:spacing w:val="-2"/>
        </w:rPr>
        <w:t>leverage</w:t>
      </w:r>
      <w:r>
        <w:rPr>
          <w:i/>
          <w:color w:val="231F20"/>
          <w:spacing w:val="-4"/>
        </w:rPr>
        <w:t> </w:t>
      </w:r>
      <w:r>
        <w:rPr>
          <w:color w:val="231F20"/>
          <w:spacing w:val="-2"/>
        </w:rPr>
        <w:t>their</w:t>
      </w:r>
      <w:r>
        <w:rPr>
          <w:color w:val="231F20"/>
          <w:spacing w:val="-4"/>
        </w:rPr>
        <w:t> </w:t>
      </w:r>
      <w:r>
        <w:rPr>
          <w:color w:val="231F20"/>
          <w:spacing w:val="-2"/>
        </w:rPr>
        <w:t>earnings</w:t>
      </w:r>
      <w:r>
        <w:rPr>
          <w:color w:val="231F20"/>
          <w:spacing w:val="-4"/>
        </w:rPr>
        <w:t> </w:t>
      </w:r>
      <w:r>
        <w:rPr>
          <w:color w:val="231F20"/>
          <w:spacing w:val="-2"/>
        </w:rPr>
        <w:t>for </w:t>
      </w:r>
      <w:r>
        <w:rPr>
          <w:color w:val="231F20"/>
          <w:spacing w:val="-4"/>
        </w:rPr>
        <w:t>shareholders</w:t>
      </w:r>
      <w:r>
        <w:rPr>
          <w:color w:val="231F20"/>
          <w:spacing w:val="-7"/>
        </w:rPr>
        <w:t> </w:t>
      </w:r>
      <w:r>
        <w:rPr>
          <w:color w:val="231F20"/>
          <w:spacing w:val="-4"/>
        </w:rPr>
        <w:t>if</w:t>
      </w:r>
      <w:r>
        <w:rPr>
          <w:color w:val="231F20"/>
          <w:spacing w:val="-7"/>
        </w:rPr>
        <w:t> </w:t>
      </w:r>
      <w:r>
        <w:rPr>
          <w:color w:val="231F20"/>
          <w:spacing w:val="-4"/>
        </w:rPr>
        <w:t>there</w:t>
      </w:r>
      <w:r>
        <w:rPr>
          <w:color w:val="231F20"/>
          <w:spacing w:val="-7"/>
        </w:rPr>
        <w:t> </w:t>
      </w:r>
      <w:r>
        <w:rPr>
          <w:color w:val="231F20"/>
          <w:spacing w:val="-4"/>
        </w:rPr>
        <w:t>are</w:t>
      </w:r>
      <w:r>
        <w:rPr>
          <w:color w:val="231F20"/>
          <w:spacing w:val="-7"/>
        </w:rPr>
        <w:t> </w:t>
      </w:r>
      <w:r>
        <w:rPr>
          <w:color w:val="231F20"/>
          <w:spacing w:val="-4"/>
        </w:rPr>
        <w:t>profits.</w:t>
      </w:r>
      <w:r>
        <w:rPr>
          <w:color w:val="231F20"/>
          <w:spacing w:val="-7"/>
        </w:rPr>
        <w:t> </w:t>
      </w:r>
      <w:r>
        <w:rPr>
          <w:color w:val="231F20"/>
          <w:spacing w:val="-4"/>
        </w:rPr>
        <w:t>There</w:t>
      </w:r>
      <w:r>
        <w:rPr>
          <w:color w:val="231F20"/>
          <w:spacing w:val="-7"/>
        </w:rPr>
        <w:t> </w:t>
      </w:r>
      <w:r>
        <w:rPr>
          <w:color w:val="231F20"/>
          <w:spacing w:val="-4"/>
        </w:rPr>
        <w:t>are</w:t>
      </w:r>
      <w:r>
        <w:rPr>
          <w:color w:val="231F20"/>
          <w:spacing w:val="-7"/>
        </w:rPr>
        <w:t> </w:t>
      </w:r>
      <w:r>
        <w:rPr>
          <w:color w:val="231F20"/>
          <w:spacing w:val="-4"/>
        </w:rPr>
        <w:t>simply</w:t>
      </w:r>
      <w:r>
        <w:rPr>
          <w:color w:val="231F20"/>
          <w:spacing w:val="-7"/>
        </w:rPr>
        <w:t> </w:t>
      </w:r>
      <w:r>
        <w:rPr>
          <w:color w:val="231F20"/>
          <w:spacing w:val="-4"/>
        </w:rPr>
        <w:t>fewer</w:t>
      </w:r>
      <w:r>
        <w:rPr>
          <w:color w:val="231F20"/>
          <w:spacing w:val="-7"/>
        </w:rPr>
        <w:t> </w:t>
      </w:r>
      <w:r>
        <w:rPr>
          <w:color w:val="231F20"/>
          <w:spacing w:val="-4"/>
        </w:rPr>
        <w:t>shares</w:t>
      </w:r>
      <w:r>
        <w:rPr>
          <w:color w:val="231F20"/>
          <w:spacing w:val="-7"/>
        </w:rPr>
        <w:t> </w:t>
      </w:r>
      <w:r>
        <w:rPr>
          <w:color w:val="231F20"/>
          <w:spacing w:val="-4"/>
        </w:rPr>
        <w:t>to</w:t>
      </w:r>
      <w:r>
        <w:rPr>
          <w:color w:val="231F20"/>
          <w:spacing w:val="-7"/>
        </w:rPr>
        <w:t> </w:t>
      </w:r>
      <w:r>
        <w:rPr>
          <w:color w:val="231F20"/>
          <w:spacing w:val="-4"/>
        </w:rPr>
        <w:t>divide </w:t>
      </w:r>
      <w:r>
        <w:rPr>
          <w:color w:val="231F20"/>
          <w:spacing w:val="-2"/>
        </w:rPr>
        <w:t>income</w:t>
      </w:r>
      <w:r>
        <w:rPr>
          <w:color w:val="231F20"/>
          <w:spacing w:val="-10"/>
        </w:rPr>
        <w:t> </w:t>
      </w:r>
      <w:r>
        <w:rPr>
          <w:color w:val="231F20"/>
          <w:spacing w:val="-2"/>
        </w:rPr>
        <w:t>by,</w:t>
      </w:r>
      <w:r>
        <w:rPr>
          <w:color w:val="231F20"/>
          <w:spacing w:val="-10"/>
        </w:rPr>
        <w:t> </w:t>
      </w:r>
      <w:r>
        <w:rPr>
          <w:color w:val="231F20"/>
          <w:spacing w:val="-2"/>
        </w:rPr>
        <w:t>yielding</w:t>
      </w:r>
      <w:r>
        <w:rPr>
          <w:color w:val="231F20"/>
          <w:spacing w:val="-9"/>
        </w:rPr>
        <w:t> </w:t>
      </w:r>
      <w:r>
        <w:rPr>
          <w:color w:val="231F20"/>
          <w:spacing w:val="-2"/>
        </w:rPr>
        <w:t>higher</w:t>
      </w:r>
      <w:r>
        <w:rPr>
          <w:color w:val="231F20"/>
          <w:spacing w:val="-10"/>
        </w:rPr>
        <w:t> </w:t>
      </w:r>
      <w:r>
        <w:rPr>
          <w:color w:val="231F20"/>
          <w:spacing w:val="-2"/>
        </w:rPr>
        <w:t>earnings</w:t>
      </w:r>
      <w:r>
        <w:rPr>
          <w:color w:val="231F20"/>
          <w:spacing w:val="-9"/>
        </w:rPr>
        <w:t> </w:t>
      </w:r>
      <w:r>
        <w:rPr>
          <w:color w:val="231F20"/>
          <w:spacing w:val="-2"/>
        </w:rPr>
        <w:t>per</w:t>
      </w:r>
      <w:r>
        <w:rPr>
          <w:color w:val="231F20"/>
          <w:spacing w:val="-10"/>
        </w:rPr>
        <w:t> </w:t>
      </w:r>
      <w:r>
        <w:rPr>
          <w:color w:val="231F20"/>
          <w:spacing w:val="-2"/>
        </w:rPr>
        <w:t>share.</w:t>
      </w:r>
      <w:r>
        <w:rPr>
          <w:color w:val="231F20"/>
          <w:spacing w:val="-9"/>
        </w:rPr>
        <w:t> </w:t>
      </w:r>
      <w:r>
        <w:rPr>
          <w:color w:val="231F20"/>
          <w:spacing w:val="-2"/>
        </w:rPr>
        <w:t>Conversely,</w:t>
      </w:r>
      <w:r>
        <w:rPr>
          <w:color w:val="231F20"/>
          <w:spacing w:val="-10"/>
        </w:rPr>
        <w:t> </w:t>
      </w:r>
      <w:r>
        <w:rPr>
          <w:color w:val="231F20"/>
          <w:spacing w:val="-2"/>
        </w:rPr>
        <w:t>highly</w:t>
      </w:r>
      <w:r>
        <w:rPr>
          <w:color w:val="231F20"/>
          <w:spacing w:val="-10"/>
        </w:rPr>
        <w:t> </w:t>
      </w:r>
      <w:r>
        <w:rPr>
          <w:color w:val="231F20"/>
          <w:spacing w:val="-2"/>
        </w:rPr>
        <w:t>lever- </w:t>
      </w:r>
      <w:r>
        <w:rPr>
          <w:color w:val="231F20"/>
        </w:rPr>
        <w:t>aged</w:t>
      </w:r>
      <w:r>
        <w:rPr>
          <w:color w:val="231F20"/>
          <w:spacing w:val="80"/>
        </w:rPr>
        <w:t>  </w:t>
      </w:r>
      <w:r>
        <w:rPr>
          <w:color w:val="231F20"/>
        </w:rPr>
        <w:t>firms</w:t>
      </w:r>
      <w:r>
        <w:rPr>
          <w:color w:val="231F20"/>
          <w:spacing w:val="80"/>
        </w:rPr>
        <w:t>  </w:t>
      </w:r>
      <w:r>
        <w:rPr>
          <w:color w:val="231F20"/>
        </w:rPr>
        <w:t>wipe</w:t>
      </w:r>
      <w:r>
        <w:rPr>
          <w:color w:val="231F20"/>
          <w:spacing w:val="80"/>
        </w:rPr>
        <w:t>  </w:t>
      </w:r>
      <w:r>
        <w:rPr>
          <w:color w:val="231F20"/>
        </w:rPr>
        <w:t>out</w:t>
      </w:r>
      <w:r>
        <w:rPr>
          <w:color w:val="231F20"/>
          <w:spacing w:val="80"/>
        </w:rPr>
        <w:t>  </w:t>
      </w:r>
      <w:r>
        <w:rPr>
          <w:color w:val="231F20"/>
        </w:rPr>
        <w:t>the</w:t>
      </w:r>
      <w:r>
        <w:rPr>
          <w:color w:val="231F20"/>
          <w:spacing w:val="80"/>
        </w:rPr>
        <w:t>  </w:t>
      </w:r>
      <w:r>
        <w:rPr>
          <w:color w:val="231F20"/>
        </w:rPr>
        <w:t>entire</w:t>
      </w:r>
      <w:r>
        <w:rPr>
          <w:color w:val="231F20"/>
          <w:spacing w:val="80"/>
        </w:rPr>
        <w:t>  </w:t>
      </w:r>
      <w:r>
        <w:rPr>
          <w:color w:val="231F20"/>
        </w:rPr>
        <w:t>value</w:t>
      </w:r>
      <w:r>
        <w:rPr>
          <w:color w:val="231F20"/>
          <w:spacing w:val="80"/>
        </w:rPr>
        <w:t>  </w:t>
      </w:r>
      <w:r>
        <w:rPr>
          <w:color w:val="231F20"/>
        </w:rPr>
        <w:t>of</w:t>
      </w:r>
      <w:r>
        <w:rPr>
          <w:color w:val="231F20"/>
          <w:spacing w:val="80"/>
        </w:rPr>
        <w:t>  </w:t>
      </w:r>
      <w:r>
        <w:rPr>
          <w:color w:val="231F20"/>
        </w:rPr>
        <w:t>their</w:t>
      </w:r>
      <w:r>
        <w:rPr>
          <w:color w:val="231F20"/>
          <w:spacing w:val="80"/>
        </w:rPr>
        <w:t> </w:t>
      </w:r>
      <w:r>
        <w:rPr>
          <w:color w:val="231F20"/>
          <w:spacing w:val="-2"/>
        </w:rPr>
        <w:t>equity</w:t>
      </w:r>
      <w:r>
        <w:rPr>
          <w:color w:val="231F20"/>
          <w:spacing w:val="-10"/>
        </w:rPr>
        <w:t> </w:t>
      </w:r>
      <w:r>
        <w:rPr>
          <w:color w:val="231F20"/>
          <w:spacing w:val="-2"/>
        </w:rPr>
        <w:t>when</w:t>
      </w:r>
      <w:r>
        <w:rPr>
          <w:color w:val="231F20"/>
          <w:spacing w:val="-10"/>
        </w:rPr>
        <w:t> </w:t>
      </w:r>
      <w:r>
        <w:rPr>
          <w:color w:val="231F20"/>
          <w:spacing w:val="-2"/>
        </w:rPr>
        <w:t>earnings</w:t>
      </w:r>
      <w:r>
        <w:rPr>
          <w:color w:val="231F20"/>
          <w:spacing w:val="-9"/>
        </w:rPr>
        <w:t> </w:t>
      </w:r>
      <w:r>
        <w:rPr>
          <w:color w:val="231F20"/>
          <w:spacing w:val="-2"/>
        </w:rPr>
        <w:t>falter</w:t>
      </w:r>
      <w:r>
        <w:rPr>
          <w:color w:val="231F20"/>
          <w:spacing w:val="-10"/>
        </w:rPr>
        <w:t> </w:t>
      </w:r>
      <w:r>
        <w:rPr>
          <w:color w:val="231F20"/>
          <w:spacing w:val="-2"/>
        </w:rPr>
        <w:t>and</w:t>
      </w:r>
      <w:r>
        <w:rPr>
          <w:color w:val="231F20"/>
          <w:spacing w:val="-9"/>
        </w:rPr>
        <w:t> </w:t>
      </w:r>
      <w:r>
        <w:rPr>
          <w:color w:val="231F20"/>
          <w:spacing w:val="-2"/>
        </w:rPr>
        <w:t>interest</w:t>
      </w:r>
      <w:r>
        <w:rPr>
          <w:color w:val="231F20"/>
          <w:spacing w:val="-10"/>
        </w:rPr>
        <w:t> </w:t>
      </w:r>
      <w:r>
        <w:rPr>
          <w:color w:val="231F20"/>
          <w:spacing w:val="-2"/>
        </w:rPr>
        <w:t>payments</w:t>
      </w:r>
      <w:r>
        <w:rPr>
          <w:color w:val="231F20"/>
          <w:spacing w:val="-9"/>
        </w:rPr>
        <w:t> </w:t>
      </w:r>
      <w:r>
        <w:rPr>
          <w:color w:val="231F20"/>
          <w:spacing w:val="-2"/>
        </w:rPr>
        <w:t>eat</w:t>
      </w:r>
      <w:r>
        <w:rPr>
          <w:color w:val="231F20"/>
          <w:spacing w:val="-10"/>
        </w:rPr>
        <w:t> </w:t>
      </w:r>
      <w:r>
        <w:rPr>
          <w:color w:val="231F20"/>
          <w:spacing w:val="-2"/>
        </w:rPr>
        <w:t>up</w:t>
      </w:r>
      <w:r>
        <w:rPr>
          <w:color w:val="231F20"/>
          <w:spacing w:val="-10"/>
        </w:rPr>
        <w:t> </w:t>
      </w:r>
      <w:r>
        <w:rPr>
          <w:color w:val="231F20"/>
          <w:spacing w:val="-2"/>
        </w:rPr>
        <w:t>all</w:t>
      </w:r>
      <w:r>
        <w:rPr>
          <w:color w:val="231F20"/>
          <w:spacing w:val="-9"/>
        </w:rPr>
        <w:t> </w:t>
      </w:r>
      <w:r>
        <w:rPr>
          <w:color w:val="231F20"/>
          <w:spacing w:val="-2"/>
        </w:rPr>
        <w:t>the</w:t>
      </w:r>
      <w:r>
        <w:rPr>
          <w:color w:val="231F20"/>
          <w:spacing w:val="-10"/>
        </w:rPr>
        <w:t> </w:t>
      </w:r>
      <w:r>
        <w:rPr>
          <w:color w:val="231F20"/>
          <w:spacing w:val="-2"/>
        </w:rPr>
        <w:t>profits.</w:t>
      </w:r>
    </w:p>
    <w:p>
      <w:pPr>
        <w:pStyle w:val="BodyText"/>
        <w:spacing w:line="292" w:lineRule="auto"/>
        <w:ind w:left="830" w:right="753" w:firstLine="340"/>
        <w:jc w:val="both"/>
      </w:pPr>
      <w:r>
        <w:rPr>
          <w:color w:val="231F20"/>
        </w:rPr>
        <w:t>Managers of highly leveraged firms must decide whether it is worthwhile to risk bankruptcy if their cash flow projections don’t</w:t>
      </w:r>
      <w:r>
        <w:rPr>
          <w:color w:val="231F20"/>
          <w:spacing w:val="40"/>
        </w:rPr>
        <w:t> </w:t>
      </w:r>
      <w:r>
        <w:rPr>
          <w:color w:val="231F20"/>
        </w:rPr>
        <w:t>pan out in order to offer high returns to their shareholders. The Thompson family guessed wrong with Southland, while the </w:t>
      </w:r>
      <w:r>
        <w:rPr>
          <w:color w:val="231F20"/>
        </w:rPr>
        <w:t>happy and rich management of ARA Services, the food service company, calculated correctly in their leveraged buyout in 1984. Who knows? Maybe</w:t>
      </w:r>
      <w:r>
        <w:rPr>
          <w:color w:val="231F20"/>
          <w:spacing w:val="40"/>
        </w:rPr>
        <w:t> </w:t>
      </w:r>
      <w:r>
        <w:rPr>
          <w:color w:val="231F20"/>
        </w:rPr>
        <w:t>if</w:t>
      </w:r>
      <w:r>
        <w:rPr>
          <w:color w:val="231F20"/>
          <w:spacing w:val="40"/>
        </w:rPr>
        <w:t> </w:t>
      </w:r>
      <w:r>
        <w:rPr>
          <w:color w:val="231F20"/>
        </w:rPr>
        <w:t>the</w:t>
      </w:r>
      <w:r>
        <w:rPr>
          <w:color w:val="231F20"/>
          <w:spacing w:val="40"/>
        </w:rPr>
        <w:t> </w:t>
      </w:r>
      <w:r>
        <w:rPr>
          <w:color w:val="231F20"/>
        </w:rPr>
        <w:t>Thompsons</w:t>
      </w:r>
      <w:r>
        <w:rPr>
          <w:color w:val="231F20"/>
          <w:spacing w:val="40"/>
        </w:rPr>
        <w:t> </w:t>
      </w:r>
      <w:r>
        <w:rPr>
          <w:color w:val="231F20"/>
        </w:rPr>
        <w:t>had</w:t>
      </w:r>
      <w:r>
        <w:rPr>
          <w:color w:val="231F20"/>
          <w:spacing w:val="40"/>
        </w:rPr>
        <w:t> </w:t>
      </w:r>
      <w:r>
        <w:rPr>
          <w:color w:val="231F20"/>
        </w:rPr>
        <w:t>used</w:t>
      </w:r>
      <w:r>
        <w:rPr>
          <w:color w:val="231F20"/>
          <w:spacing w:val="40"/>
        </w:rPr>
        <w:t> </w:t>
      </w:r>
      <w:r>
        <w:rPr>
          <w:color w:val="231F20"/>
        </w:rPr>
        <w:t>FRICTO,</w:t>
      </w:r>
      <w:r>
        <w:rPr>
          <w:color w:val="231F20"/>
          <w:spacing w:val="40"/>
        </w:rPr>
        <w:t> </w:t>
      </w:r>
      <w:r>
        <w:rPr>
          <w:color w:val="231F20"/>
        </w:rPr>
        <w:t>they</w:t>
      </w:r>
      <w:r>
        <w:rPr>
          <w:color w:val="231F20"/>
          <w:spacing w:val="40"/>
        </w:rPr>
        <w:t> </w:t>
      </w:r>
      <w:r>
        <w:rPr>
          <w:color w:val="231F20"/>
        </w:rPr>
        <w:t>might</w:t>
      </w:r>
      <w:r>
        <w:rPr>
          <w:color w:val="231F20"/>
          <w:spacing w:val="40"/>
        </w:rPr>
        <w:t> </w:t>
      </w:r>
      <w:r>
        <w:rPr>
          <w:color w:val="231F20"/>
        </w:rPr>
        <w:t>have avoided their losses!</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firstLine="340"/>
        <w:jc w:val="both"/>
      </w:pPr>
      <w:r>
        <w:rPr>
          <w:color w:val="231F20"/>
        </w:rPr>
        <w:t>The market value of shares already issued is also related to the risk of a firm’s capital structure. If investors believe that debt levels are excessive, then they will pay less for the company’s shares, </w:t>
      </w:r>
      <w:r>
        <w:rPr>
          <w:color w:val="231F20"/>
        </w:rPr>
        <w:t>since the debt payments could put earnings in jeopardy. Investors will also discount the market value of a company’s debt for risk. That was the case in the early 1990s with leveraged companies such as Black </w:t>
      </w:r>
      <w:r>
        <w:rPr>
          <w:color w:val="231F20"/>
          <w:w w:val="110"/>
        </w:rPr>
        <w:t>&amp; </w:t>
      </w:r>
      <w:r>
        <w:rPr>
          <w:color w:val="231F20"/>
        </w:rPr>
        <w:t>Decker,</w:t>
      </w:r>
      <w:r>
        <w:rPr>
          <w:color w:val="231F20"/>
          <w:spacing w:val="40"/>
        </w:rPr>
        <w:t> </w:t>
      </w:r>
      <w:r>
        <w:rPr>
          <w:color w:val="231F20"/>
        </w:rPr>
        <w:t>and</w:t>
      </w:r>
      <w:r>
        <w:rPr>
          <w:color w:val="231F20"/>
          <w:spacing w:val="40"/>
        </w:rPr>
        <w:t> </w:t>
      </w:r>
      <w:r>
        <w:rPr>
          <w:color w:val="231F20"/>
        </w:rPr>
        <w:t>RJR</w:t>
      </w:r>
      <w:r>
        <w:rPr>
          <w:color w:val="231F20"/>
          <w:spacing w:val="40"/>
        </w:rPr>
        <w:t> </w:t>
      </w:r>
      <w:r>
        <w:rPr>
          <w:color w:val="231F20"/>
        </w:rPr>
        <w:t>Nabisco.</w:t>
      </w:r>
      <w:r>
        <w:rPr>
          <w:color w:val="231F20"/>
          <w:spacing w:val="40"/>
        </w:rPr>
        <w:t> </w:t>
      </w:r>
      <w:r>
        <w:rPr>
          <w:color w:val="231F20"/>
        </w:rPr>
        <w:t>Many</w:t>
      </w:r>
      <w:r>
        <w:rPr>
          <w:color w:val="231F20"/>
          <w:spacing w:val="40"/>
        </w:rPr>
        <w:t> </w:t>
      </w:r>
      <w:r>
        <w:rPr>
          <w:color w:val="231F20"/>
        </w:rPr>
        <w:t>investors</w:t>
      </w:r>
      <w:r>
        <w:rPr>
          <w:color w:val="231F20"/>
          <w:spacing w:val="40"/>
        </w:rPr>
        <w:t> </w:t>
      </w:r>
      <w:r>
        <w:rPr>
          <w:color w:val="231F20"/>
        </w:rPr>
        <w:t>felt</w:t>
      </w:r>
      <w:r>
        <w:rPr>
          <w:color w:val="231F20"/>
          <w:spacing w:val="40"/>
        </w:rPr>
        <w:t> </w:t>
      </w:r>
      <w:r>
        <w:rPr>
          <w:color w:val="231F20"/>
        </w:rPr>
        <w:t>uncomfortable</w:t>
      </w:r>
      <w:r>
        <w:rPr>
          <w:color w:val="231F20"/>
          <w:spacing w:val="40"/>
        </w:rPr>
        <w:t> </w:t>
      </w:r>
      <w:r>
        <w:rPr>
          <w:color w:val="231F20"/>
        </w:rPr>
        <w:t>with the riskiness of their capital structures and avoided both the debt</w:t>
      </w:r>
      <w:r>
        <w:rPr>
          <w:color w:val="231F20"/>
          <w:spacing w:val="40"/>
        </w:rPr>
        <w:t> </w:t>
      </w:r>
      <w:r>
        <w:rPr>
          <w:color w:val="231F20"/>
        </w:rPr>
        <w:t>and equity of these highly leveraged companies.</w:t>
      </w:r>
    </w:p>
    <w:p>
      <w:pPr>
        <w:pStyle w:val="BodyText"/>
        <w:spacing w:line="292" w:lineRule="auto"/>
        <w:ind w:left="919" w:right="666" w:firstLine="340"/>
        <w:jc w:val="both"/>
      </w:pPr>
      <w:r>
        <w:rPr>
          <w:i/>
          <w:color w:val="231F20"/>
          <w:w w:val="105"/>
        </w:rPr>
        <w:t>Modigliani and Miller, </w:t>
      </w:r>
      <w:r>
        <w:rPr>
          <w:color w:val="231F20"/>
          <w:w w:val="105"/>
        </w:rPr>
        <w:t>a famous duo from MBA academia, </w:t>
      </w:r>
      <w:r>
        <w:rPr>
          <w:color w:val="231F20"/>
          <w:w w:val="105"/>
        </w:rPr>
        <w:t>cre- ated</w:t>
      </w:r>
      <w:r>
        <w:rPr>
          <w:color w:val="231F20"/>
          <w:w w:val="105"/>
        </w:rPr>
        <w:t> a</w:t>
      </w:r>
      <w:r>
        <w:rPr>
          <w:color w:val="231F20"/>
          <w:w w:val="105"/>
        </w:rPr>
        <w:t> series</w:t>
      </w:r>
      <w:r>
        <w:rPr>
          <w:color w:val="231F20"/>
          <w:w w:val="105"/>
        </w:rPr>
        <w:t> of</w:t>
      </w:r>
      <w:r>
        <w:rPr>
          <w:color w:val="231F20"/>
          <w:w w:val="105"/>
        </w:rPr>
        <w:t> “propositions”</w:t>
      </w:r>
      <w:r>
        <w:rPr>
          <w:color w:val="231F20"/>
          <w:w w:val="105"/>
        </w:rPr>
        <w:t> that</w:t>
      </w:r>
      <w:r>
        <w:rPr>
          <w:color w:val="231F20"/>
          <w:w w:val="105"/>
        </w:rPr>
        <w:t> discussed</w:t>
      </w:r>
      <w:r>
        <w:rPr>
          <w:color w:val="231F20"/>
          <w:w w:val="105"/>
        </w:rPr>
        <w:t> how</w:t>
      </w:r>
      <w:r>
        <w:rPr>
          <w:color w:val="231F20"/>
          <w:w w:val="105"/>
        </w:rPr>
        <w:t> debt</w:t>
      </w:r>
      <w:r>
        <w:rPr>
          <w:color w:val="231F20"/>
          <w:w w:val="105"/>
        </w:rPr>
        <w:t> affects</w:t>
      </w:r>
      <w:r>
        <w:rPr>
          <w:color w:val="231F20"/>
          <w:w w:val="105"/>
        </w:rPr>
        <w:t> the values of firms. In 1958, Franco Modigliani and Merton Miller did their</w:t>
      </w:r>
      <w:r>
        <w:rPr>
          <w:color w:val="231F20"/>
          <w:spacing w:val="-13"/>
          <w:w w:val="105"/>
        </w:rPr>
        <w:t> </w:t>
      </w:r>
      <w:r>
        <w:rPr>
          <w:color w:val="231F20"/>
          <w:w w:val="105"/>
        </w:rPr>
        <w:t>pioneering</w:t>
      </w:r>
      <w:r>
        <w:rPr>
          <w:color w:val="231F20"/>
          <w:spacing w:val="-12"/>
          <w:w w:val="105"/>
        </w:rPr>
        <w:t> </w:t>
      </w:r>
      <w:r>
        <w:rPr>
          <w:color w:val="231F20"/>
          <w:w w:val="105"/>
        </w:rPr>
        <w:t>work</w:t>
      </w:r>
      <w:r>
        <w:rPr>
          <w:color w:val="231F20"/>
          <w:spacing w:val="-12"/>
          <w:w w:val="105"/>
        </w:rPr>
        <w:t> </w:t>
      </w:r>
      <w:r>
        <w:rPr>
          <w:color w:val="231F20"/>
          <w:w w:val="105"/>
        </w:rPr>
        <w:t>on</w:t>
      </w:r>
      <w:r>
        <w:rPr>
          <w:color w:val="231F20"/>
          <w:spacing w:val="-12"/>
          <w:w w:val="105"/>
        </w:rPr>
        <w:t> </w:t>
      </w:r>
      <w:r>
        <w:rPr>
          <w:color w:val="231F20"/>
          <w:w w:val="105"/>
        </w:rPr>
        <w:t>the</w:t>
      </w:r>
      <w:r>
        <w:rPr>
          <w:color w:val="231F20"/>
          <w:spacing w:val="-12"/>
          <w:w w:val="105"/>
        </w:rPr>
        <w:t> </w:t>
      </w:r>
      <w:r>
        <w:rPr>
          <w:color w:val="231F20"/>
          <w:w w:val="105"/>
        </w:rPr>
        <w:t>effect</w:t>
      </w:r>
      <w:r>
        <w:rPr>
          <w:color w:val="231F20"/>
          <w:spacing w:val="-12"/>
          <w:w w:val="105"/>
        </w:rPr>
        <w:t> </w:t>
      </w:r>
      <w:r>
        <w:rPr>
          <w:color w:val="231F20"/>
          <w:w w:val="105"/>
        </w:rPr>
        <w:t>of</w:t>
      </w:r>
      <w:r>
        <w:rPr>
          <w:color w:val="231F20"/>
          <w:spacing w:val="-12"/>
          <w:w w:val="105"/>
        </w:rPr>
        <w:t> </w:t>
      </w:r>
      <w:r>
        <w:rPr>
          <w:color w:val="231F20"/>
          <w:w w:val="105"/>
        </w:rPr>
        <w:t>debt</w:t>
      </w:r>
      <w:r>
        <w:rPr>
          <w:color w:val="231F20"/>
          <w:spacing w:val="-13"/>
          <w:w w:val="105"/>
        </w:rPr>
        <w:t> </w:t>
      </w:r>
      <w:r>
        <w:rPr>
          <w:color w:val="231F20"/>
          <w:w w:val="105"/>
        </w:rPr>
        <w:t>financing</w:t>
      </w:r>
      <w:r>
        <w:rPr>
          <w:color w:val="231F20"/>
          <w:spacing w:val="-12"/>
          <w:w w:val="105"/>
        </w:rPr>
        <w:t> </w:t>
      </w:r>
      <w:r>
        <w:rPr>
          <w:color w:val="231F20"/>
          <w:w w:val="105"/>
        </w:rPr>
        <w:t>with</w:t>
      </w:r>
      <w:r>
        <w:rPr>
          <w:color w:val="231F20"/>
          <w:spacing w:val="-12"/>
          <w:w w:val="105"/>
        </w:rPr>
        <w:t> </w:t>
      </w:r>
      <w:r>
        <w:rPr>
          <w:color w:val="231F20"/>
          <w:w w:val="105"/>
        </w:rPr>
        <w:t>and</w:t>
      </w:r>
      <w:r>
        <w:rPr>
          <w:color w:val="231F20"/>
          <w:spacing w:val="-12"/>
          <w:w w:val="105"/>
        </w:rPr>
        <w:t> </w:t>
      </w:r>
      <w:r>
        <w:rPr>
          <w:color w:val="231F20"/>
          <w:w w:val="105"/>
        </w:rPr>
        <w:t>with- out</w:t>
      </w:r>
      <w:r>
        <w:rPr>
          <w:color w:val="231F20"/>
          <w:w w:val="105"/>
        </w:rPr>
        <w:t> a</w:t>
      </w:r>
      <w:r>
        <w:rPr>
          <w:color w:val="231F20"/>
          <w:w w:val="105"/>
        </w:rPr>
        <w:t> tax</w:t>
      </w:r>
      <w:r>
        <w:rPr>
          <w:color w:val="231F20"/>
          <w:w w:val="105"/>
        </w:rPr>
        <w:t> advantage.</w:t>
      </w:r>
      <w:r>
        <w:rPr>
          <w:color w:val="231F20"/>
          <w:w w:val="105"/>
        </w:rPr>
        <w:t> In</w:t>
      </w:r>
      <w:r>
        <w:rPr>
          <w:color w:val="231F20"/>
          <w:w w:val="105"/>
        </w:rPr>
        <w:t> a</w:t>
      </w:r>
      <w:r>
        <w:rPr>
          <w:color w:val="231F20"/>
          <w:w w:val="105"/>
        </w:rPr>
        <w:t> perfect</w:t>
      </w:r>
      <w:r>
        <w:rPr>
          <w:color w:val="231F20"/>
          <w:w w:val="105"/>
        </w:rPr>
        <w:t> world,</w:t>
      </w:r>
      <w:r>
        <w:rPr>
          <w:color w:val="231F20"/>
          <w:w w:val="105"/>
        </w:rPr>
        <w:t> the</w:t>
      </w:r>
      <w:r>
        <w:rPr>
          <w:color w:val="231F20"/>
          <w:w w:val="105"/>
        </w:rPr>
        <w:t> more</w:t>
      </w:r>
      <w:r>
        <w:rPr>
          <w:color w:val="231F20"/>
          <w:w w:val="105"/>
        </w:rPr>
        <w:t> debt</w:t>
      </w:r>
      <w:r>
        <w:rPr>
          <w:color w:val="231F20"/>
          <w:w w:val="105"/>
        </w:rPr>
        <w:t> the</w:t>
      </w:r>
      <w:r>
        <w:rPr>
          <w:color w:val="231F20"/>
          <w:w w:val="105"/>
        </w:rPr>
        <w:t> better. The</w:t>
      </w:r>
      <w:r>
        <w:rPr>
          <w:color w:val="231F20"/>
          <w:w w:val="105"/>
        </w:rPr>
        <w:t> value</w:t>
      </w:r>
      <w:r>
        <w:rPr>
          <w:color w:val="231F20"/>
          <w:w w:val="105"/>
        </w:rPr>
        <w:t> of</w:t>
      </w:r>
      <w:r>
        <w:rPr>
          <w:color w:val="231F20"/>
          <w:w w:val="105"/>
        </w:rPr>
        <w:t> the</w:t>
      </w:r>
      <w:r>
        <w:rPr>
          <w:color w:val="231F20"/>
          <w:w w:val="105"/>
        </w:rPr>
        <w:t> firm</w:t>
      </w:r>
      <w:r>
        <w:rPr>
          <w:color w:val="231F20"/>
          <w:w w:val="105"/>
        </w:rPr>
        <w:t> increases</w:t>
      </w:r>
      <w:r>
        <w:rPr>
          <w:color w:val="231F20"/>
          <w:w w:val="105"/>
        </w:rPr>
        <w:t> with</w:t>
      </w:r>
      <w:r>
        <w:rPr>
          <w:color w:val="231F20"/>
          <w:w w:val="105"/>
        </w:rPr>
        <w:t> higher</w:t>
      </w:r>
      <w:r>
        <w:rPr>
          <w:color w:val="231F20"/>
          <w:w w:val="105"/>
        </w:rPr>
        <w:t> debt</w:t>
      </w:r>
      <w:r>
        <w:rPr>
          <w:color w:val="231F20"/>
          <w:w w:val="105"/>
        </w:rPr>
        <w:t> levels.</w:t>
      </w:r>
      <w:r>
        <w:rPr>
          <w:color w:val="231F20"/>
          <w:w w:val="105"/>
        </w:rPr>
        <w:t> However, in</w:t>
      </w:r>
      <w:r>
        <w:rPr>
          <w:color w:val="231F20"/>
          <w:w w:val="105"/>
        </w:rPr>
        <w:t> the</w:t>
      </w:r>
      <w:r>
        <w:rPr>
          <w:color w:val="231F20"/>
          <w:w w:val="105"/>
        </w:rPr>
        <w:t> real</w:t>
      </w:r>
      <w:r>
        <w:rPr>
          <w:color w:val="231F20"/>
          <w:w w:val="105"/>
        </w:rPr>
        <w:t> world,</w:t>
      </w:r>
      <w:r>
        <w:rPr>
          <w:color w:val="231F20"/>
          <w:w w:val="105"/>
        </w:rPr>
        <w:t> as</w:t>
      </w:r>
      <w:r>
        <w:rPr>
          <w:color w:val="231F20"/>
          <w:w w:val="105"/>
        </w:rPr>
        <w:t> seen</w:t>
      </w:r>
      <w:r>
        <w:rPr>
          <w:color w:val="231F20"/>
          <w:w w:val="105"/>
        </w:rPr>
        <w:t> in</w:t>
      </w:r>
      <w:r>
        <w:rPr>
          <w:color w:val="231F20"/>
          <w:w w:val="105"/>
        </w:rPr>
        <w:t> the</w:t>
      </w:r>
      <w:r>
        <w:rPr>
          <w:color w:val="231F20"/>
          <w:w w:val="105"/>
        </w:rPr>
        <w:t> previous</w:t>
      </w:r>
      <w:r>
        <w:rPr>
          <w:color w:val="231F20"/>
          <w:w w:val="105"/>
        </w:rPr>
        <w:t> paragraph,</w:t>
      </w:r>
      <w:r>
        <w:rPr>
          <w:color w:val="231F20"/>
          <w:w w:val="105"/>
        </w:rPr>
        <w:t> investors</w:t>
      </w:r>
      <w:r>
        <w:rPr>
          <w:color w:val="231F20"/>
          <w:w w:val="105"/>
        </w:rPr>
        <w:t> do consider</w:t>
      </w:r>
      <w:r>
        <w:rPr>
          <w:color w:val="231F20"/>
          <w:spacing w:val="-5"/>
          <w:w w:val="105"/>
        </w:rPr>
        <w:t> </w:t>
      </w:r>
      <w:r>
        <w:rPr>
          <w:color w:val="231F20"/>
          <w:w w:val="105"/>
        </w:rPr>
        <w:t>the</w:t>
      </w:r>
      <w:r>
        <w:rPr>
          <w:color w:val="231F20"/>
          <w:spacing w:val="-5"/>
          <w:w w:val="105"/>
        </w:rPr>
        <w:t> </w:t>
      </w:r>
      <w:r>
        <w:rPr>
          <w:color w:val="231F20"/>
          <w:w w:val="105"/>
        </w:rPr>
        <w:t>risk</w:t>
      </w:r>
      <w:r>
        <w:rPr>
          <w:color w:val="231F20"/>
          <w:spacing w:val="-5"/>
          <w:w w:val="105"/>
        </w:rPr>
        <w:t> </w:t>
      </w:r>
      <w:r>
        <w:rPr>
          <w:color w:val="231F20"/>
          <w:w w:val="105"/>
        </w:rPr>
        <w:t>of</w:t>
      </w:r>
      <w:r>
        <w:rPr>
          <w:color w:val="231F20"/>
          <w:spacing w:val="-5"/>
          <w:w w:val="105"/>
        </w:rPr>
        <w:t> </w:t>
      </w:r>
      <w:r>
        <w:rPr>
          <w:color w:val="231F20"/>
          <w:w w:val="105"/>
        </w:rPr>
        <w:t>insolvency</w:t>
      </w:r>
      <w:r>
        <w:rPr>
          <w:color w:val="231F20"/>
          <w:spacing w:val="-5"/>
          <w:w w:val="105"/>
        </w:rPr>
        <w:t> </w:t>
      </w:r>
      <w:r>
        <w:rPr>
          <w:color w:val="231F20"/>
          <w:w w:val="105"/>
        </w:rPr>
        <w:t>in</w:t>
      </w:r>
      <w:r>
        <w:rPr>
          <w:color w:val="231F20"/>
          <w:spacing w:val="-5"/>
          <w:w w:val="105"/>
        </w:rPr>
        <w:t> </w:t>
      </w:r>
      <w:r>
        <w:rPr>
          <w:color w:val="231F20"/>
          <w:w w:val="105"/>
        </w:rPr>
        <w:t>their</w:t>
      </w:r>
      <w:r>
        <w:rPr>
          <w:color w:val="231F20"/>
          <w:spacing w:val="-5"/>
          <w:w w:val="105"/>
        </w:rPr>
        <w:t> </w:t>
      </w:r>
      <w:r>
        <w:rPr>
          <w:color w:val="231F20"/>
          <w:w w:val="105"/>
        </w:rPr>
        <w:t>valuations</w:t>
      </w:r>
      <w:r>
        <w:rPr>
          <w:color w:val="231F20"/>
          <w:spacing w:val="-5"/>
          <w:w w:val="105"/>
        </w:rPr>
        <w:t> </w:t>
      </w:r>
      <w:r>
        <w:rPr>
          <w:color w:val="231F20"/>
          <w:w w:val="105"/>
        </w:rPr>
        <w:t>of</w:t>
      </w:r>
      <w:r>
        <w:rPr>
          <w:color w:val="231F20"/>
          <w:spacing w:val="-5"/>
          <w:w w:val="105"/>
        </w:rPr>
        <w:t> </w:t>
      </w:r>
      <w:r>
        <w:rPr>
          <w:color w:val="231F20"/>
          <w:w w:val="105"/>
        </w:rPr>
        <w:t>both</w:t>
      </w:r>
      <w:r>
        <w:rPr>
          <w:color w:val="231F20"/>
          <w:spacing w:val="-5"/>
          <w:w w:val="105"/>
        </w:rPr>
        <w:t> </w:t>
      </w:r>
      <w:r>
        <w:rPr>
          <w:color w:val="231F20"/>
          <w:w w:val="105"/>
        </w:rPr>
        <w:t>debt</w:t>
      </w:r>
      <w:r>
        <w:rPr>
          <w:color w:val="231F20"/>
          <w:spacing w:val="-5"/>
          <w:w w:val="105"/>
        </w:rPr>
        <w:t> </w:t>
      </w:r>
      <w:r>
        <w:rPr>
          <w:color w:val="231F20"/>
          <w:w w:val="105"/>
        </w:rPr>
        <w:t>and </w:t>
      </w:r>
      <w:r>
        <w:rPr>
          <w:color w:val="231F20"/>
          <w:spacing w:val="-2"/>
          <w:w w:val="105"/>
        </w:rPr>
        <w:t>equity.</w:t>
      </w:r>
    </w:p>
    <w:p>
      <w:pPr>
        <w:pStyle w:val="BodyText"/>
        <w:spacing w:line="292" w:lineRule="auto"/>
        <w:ind w:left="919" w:right="663" w:firstLine="340"/>
        <w:jc w:val="both"/>
      </w:pPr>
      <w:r>
        <w:rPr>
          <w:color w:val="231F20"/>
        </w:rPr>
        <w:t>To summarize, the higher the percentage of debt to total capital, the</w:t>
      </w:r>
      <w:r>
        <w:rPr>
          <w:color w:val="231F20"/>
          <w:spacing w:val="40"/>
        </w:rPr>
        <w:t> </w:t>
      </w:r>
      <w:r>
        <w:rPr>
          <w:color w:val="231F20"/>
        </w:rPr>
        <w:t>higher</w:t>
      </w:r>
      <w:r>
        <w:rPr>
          <w:color w:val="231F20"/>
          <w:spacing w:val="40"/>
        </w:rPr>
        <w:t> </w:t>
      </w:r>
      <w:r>
        <w:rPr>
          <w:color w:val="231F20"/>
        </w:rPr>
        <w:t>a</w:t>
      </w:r>
      <w:r>
        <w:rPr>
          <w:color w:val="231F20"/>
          <w:spacing w:val="40"/>
        </w:rPr>
        <w:t> </w:t>
      </w:r>
      <w:r>
        <w:rPr>
          <w:color w:val="231F20"/>
        </w:rPr>
        <w:t>company’s</w:t>
      </w:r>
      <w:r>
        <w:rPr>
          <w:color w:val="231F20"/>
          <w:spacing w:val="40"/>
        </w:rPr>
        <w:t> </w:t>
      </w:r>
      <w:r>
        <w:rPr>
          <w:color w:val="231F20"/>
        </w:rPr>
        <w:t>value,</w:t>
      </w:r>
      <w:r>
        <w:rPr>
          <w:color w:val="231F20"/>
          <w:spacing w:val="40"/>
        </w:rPr>
        <w:t> </w:t>
      </w:r>
      <w:r>
        <w:rPr>
          <w:color w:val="231F20"/>
        </w:rPr>
        <w:t>to</w:t>
      </w:r>
      <w:r>
        <w:rPr>
          <w:color w:val="231F20"/>
          <w:spacing w:val="40"/>
        </w:rPr>
        <w:t> </w:t>
      </w:r>
      <w:r>
        <w:rPr>
          <w:color w:val="231F20"/>
        </w:rPr>
        <w:t>a</w:t>
      </w:r>
      <w:r>
        <w:rPr>
          <w:color w:val="231F20"/>
          <w:spacing w:val="40"/>
        </w:rPr>
        <w:t> </w:t>
      </w:r>
      <w:r>
        <w:rPr>
          <w:color w:val="231F20"/>
        </w:rPr>
        <w:t>point.</w:t>
      </w:r>
      <w:r>
        <w:rPr>
          <w:color w:val="231F20"/>
          <w:spacing w:val="40"/>
        </w:rPr>
        <w:t> </w:t>
      </w:r>
      <w:r>
        <w:rPr>
          <w:color w:val="231F20"/>
        </w:rPr>
        <w:t>At</w:t>
      </w:r>
      <w:r>
        <w:rPr>
          <w:color w:val="231F20"/>
          <w:spacing w:val="40"/>
        </w:rPr>
        <w:t> </w:t>
      </w:r>
      <w:r>
        <w:rPr>
          <w:color w:val="231F20"/>
        </w:rPr>
        <w:t>the</w:t>
      </w:r>
      <w:r>
        <w:rPr>
          <w:color w:val="231F20"/>
          <w:spacing w:val="40"/>
        </w:rPr>
        <w:t> </w:t>
      </w:r>
      <w:r>
        <w:rPr>
          <w:color w:val="231F20"/>
        </w:rPr>
        <w:t>point</w:t>
      </w:r>
      <w:r>
        <w:rPr>
          <w:color w:val="231F20"/>
          <w:spacing w:val="40"/>
        </w:rPr>
        <w:t> </w:t>
      </w:r>
      <w:r>
        <w:rPr>
          <w:color w:val="231F20"/>
        </w:rPr>
        <w:t>where</w:t>
      </w:r>
      <w:r>
        <w:rPr>
          <w:color w:val="231F20"/>
          <w:spacing w:val="40"/>
        </w:rPr>
        <w:t> </w:t>
      </w:r>
      <w:r>
        <w:rPr>
          <w:color w:val="231F20"/>
        </w:rPr>
        <w:t>the risk of bankruptcy becomes significant, values fall. The cost of financing decreases as a company adds lower-cost tax-shielded debt to displace the higher returns required by equity investors. But </w:t>
      </w:r>
      <w:r>
        <w:rPr>
          <w:color w:val="231F20"/>
        </w:rPr>
        <w:t>like stockholders, debt holders become nervous at a certain point and require higher rates of return to compensate them for their risk. Study the two graphs below that illustrate the workings of capital </w:t>
      </w:r>
      <w:r>
        <w:rPr>
          <w:color w:val="231F20"/>
          <w:spacing w:val="-2"/>
        </w:rPr>
        <w:t>structure.</w:t>
      </w:r>
    </w:p>
    <w:p>
      <w:pPr>
        <w:pStyle w:val="BodyText"/>
        <w:spacing w:before="8"/>
        <w:rPr>
          <w:sz w:val="24"/>
        </w:rPr>
      </w:pPr>
    </w:p>
    <w:p>
      <w:pPr>
        <w:pStyle w:val="BodyText"/>
        <w:spacing w:line="292" w:lineRule="auto" w:before="1"/>
        <w:ind w:left="919" w:right="663"/>
        <w:jc w:val="both"/>
      </w:pPr>
      <w:r>
        <w:rPr>
          <w:i/>
          <w:color w:val="231F20"/>
          <w:w w:val="105"/>
        </w:rPr>
        <w:t>A Detailed Capital Structure Decision Example. </w:t>
      </w:r>
      <w:r>
        <w:rPr>
          <w:color w:val="231F20"/>
          <w:w w:val="105"/>
        </w:rPr>
        <w:t>Although </w:t>
      </w:r>
      <w:r>
        <w:rPr>
          <w:color w:val="231F20"/>
          <w:w w:val="105"/>
        </w:rPr>
        <w:t>choosing the</w:t>
      </w:r>
      <w:r>
        <w:rPr>
          <w:color w:val="231F20"/>
          <w:w w:val="105"/>
        </w:rPr>
        <w:t> optimal</w:t>
      </w:r>
      <w:r>
        <w:rPr>
          <w:color w:val="231F20"/>
          <w:w w:val="105"/>
        </w:rPr>
        <w:t> capital</w:t>
      </w:r>
      <w:r>
        <w:rPr>
          <w:color w:val="231F20"/>
          <w:w w:val="105"/>
        </w:rPr>
        <w:t> structure</w:t>
      </w:r>
      <w:r>
        <w:rPr>
          <w:color w:val="231F20"/>
          <w:w w:val="105"/>
        </w:rPr>
        <w:t> is</w:t>
      </w:r>
      <w:r>
        <w:rPr>
          <w:color w:val="231F20"/>
          <w:w w:val="105"/>
        </w:rPr>
        <w:t> difficult,</w:t>
      </w:r>
      <w:r>
        <w:rPr>
          <w:color w:val="231F20"/>
          <w:w w:val="105"/>
        </w:rPr>
        <w:t> financial</w:t>
      </w:r>
      <w:r>
        <w:rPr>
          <w:color w:val="231F20"/>
          <w:w w:val="105"/>
        </w:rPr>
        <w:t> managers</w:t>
      </w:r>
      <w:r>
        <w:rPr>
          <w:color w:val="231F20"/>
          <w:w w:val="105"/>
        </w:rPr>
        <w:t> try</w:t>
      </w:r>
      <w:r>
        <w:rPr>
          <w:color w:val="231F20"/>
          <w:w w:val="105"/>
        </w:rPr>
        <w:t> to put</w:t>
      </w:r>
      <w:r>
        <w:rPr>
          <w:color w:val="231F20"/>
          <w:w w:val="105"/>
        </w:rPr>
        <w:t> together</w:t>
      </w:r>
      <w:r>
        <w:rPr>
          <w:color w:val="231F20"/>
          <w:w w:val="105"/>
        </w:rPr>
        <w:t> some</w:t>
      </w:r>
      <w:r>
        <w:rPr>
          <w:color w:val="231F20"/>
          <w:w w:val="105"/>
        </w:rPr>
        <w:t> numbers</w:t>
      </w:r>
      <w:r>
        <w:rPr>
          <w:color w:val="231F20"/>
          <w:w w:val="105"/>
        </w:rPr>
        <w:t> to</w:t>
      </w:r>
      <w:r>
        <w:rPr>
          <w:color w:val="231F20"/>
          <w:w w:val="105"/>
        </w:rPr>
        <w:t> make</w:t>
      </w:r>
      <w:r>
        <w:rPr>
          <w:color w:val="231F20"/>
          <w:w w:val="105"/>
        </w:rPr>
        <w:t> choices.</w:t>
      </w:r>
      <w:r>
        <w:rPr>
          <w:color w:val="231F20"/>
          <w:w w:val="105"/>
        </w:rPr>
        <w:t> If</w:t>
      </w:r>
      <w:r>
        <w:rPr>
          <w:color w:val="231F20"/>
          <w:w w:val="105"/>
        </w:rPr>
        <w:t> you</w:t>
      </w:r>
      <w:r>
        <w:rPr>
          <w:color w:val="231F20"/>
          <w:w w:val="105"/>
        </w:rPr>
        <w:t> are</w:t>
      </w:r>
      <w:r>
        <w:rPr>
          <w:color w:val="231F20"/>
          <w:w w:val="105"/>
        </w:rPr>
        <w:t> curious about</w:t>
      </w:r>
      <w:r>
        <w:rPr>
          <w:color w:val="231F20"/>
          <w:w w:val="105"/>
        </w:rPr>
        <w:t> the</w:t>
      </w:r>
      <w:r>
        <w:rPr>
          <w:color w:val="231F20"/>
          <w:w w:val="105"/>
        </w:rPr>
        <w:t> details</w:t>
      </w:r>
      <w:r>
        <w:rPr>
          <w:color w:val="231F20"/>
          <w:w w:val="105"/>
        </w:rPr>
        <w:t> and</w:t>
      </w:r>
      <w:r>
        <w:rPr>
          <w:color w:val="231F20"/>
          <w:w w:val="105"/>
        </w:rPr>
        <w:t> want</w:t>
      </w:r>
      <w:r>
        <w:rPr>
          <w:color w:val="231F20"/>
          <w:w w:val="105"/>
        </w:rPr>
        <w:t> to</w:t>
      </w:r>
      <w:r>
        <w:rPr>
          <w:color w:val="231F20"/>
          <w:w w:val="105"/>
        </w:rPr>
        <w:t> graduate</w:t>
      </w:r>
      <w:r>
        <w:rPr>
          <w:color w:val="231F20"/>
          <w:w w:val="105"/>
        </w:rPr>
        <w:t> from</w:t>
      </w:r>
      <w:r>
        <w:rPr>
          <w:color w:val="231F20"/>
          <w:w w:val="105"/>
        </w:rPr>
        <w:t> the</w:t>
      </w:r>
      <w:r>
        <w:rPr>
          <w:color w:val="231F20"/>
          <w:w w:val="105"/>
        </w:rPr>
        <w:t> </w:t>
      </w:r>
      <w:r>
        <w:rPr>
          <w:i/>
          <w:color w:val="231F20"/>
          <w:w w:val="105"/>
        </w:rPr>
        <w:t>Ten-Day</w:t>
      </w:r>
      <w:r>
        <w:rPr>
          <w:i/>
          <w:color w:val="231F20"/>
          <w:w w:val="105"/>
        </w:rPr>
        <w:t> MBA</w:t>
      </w:r>
      <w:r>
        <w:rPr>
          <w:i/>
          <w:color w:val="231F20"/>
          <w:w w:val="105"/>
        </w:rPr>
        <w:t> </w:t>
      </w:r>
      <w:r>
        <w:rPr>
          <w:color w:val="231F20"/>
          <w:w w:val="105"/>
        </w:rPr>
        <w:t>“cum laude,” read on. If not, just skip to the next section. Making capital</w:t>
      </w:r>
      <w:r>
        <w:rPr>
          <w:color w:val="231F20"/>
          <w:spacing w:val="-12"/>
          <w:w w:val="105"/>
        </w:rPr>
        <w:t> </w:t>
      </w:r>
      <w:r>
        <w:rPr>
          <w:color w:val="231F20"/>
          <w:w w:val="105"/>
        </w:rPr>
        <w:t>structure</w:t>
      </w:r>
      <w:r>
        <w:rPr>
          <w:color w:val="231F20"/>
          <w:spacing w:val="-12"/>
          <w:w w:val="105"/>
        </w:rPr>
        <w:t> </w:t>
      </w:r>
      <w:r>
        <w:rPr>
          <w:color w:val="231F20"/>
          <w:w w:val="105"/>
        </w:rPr>
        <w:t>decisions</w:t>
      </w:r>
      <w:r>
        <w:rPr>
          <w:color w:val="231F20"/>
          <w:spacing w:val="-12"/>
          <w:w w:val="105"/>
        </w:rPr>
        <w:t> </w:t>
      </w:r>
      <w:r>
        <w:rPr>
          <w:color w:val="231F20"/>
          <w:w w:val="105"/>
        </w:rPr>
        <w:t>involves</w:t>
      </w:r>
      <w:r>
        <w:rPr>
          <w:color w:val="231F20"/>
          <w:spacing w:val="-12"/>
          <w:w w:val="105"/>
        </w:rPr>
        <w:t> </w:t>
      </w:r>
      <w:r>
        <w:rPr>
          <w:color w:val="231F20"/>
          <w:w w:val="105"/>
        </w:rPr>
        <w:t>a</w:t>
      </w:r>
      <w:r>
        <w:rPr>
          <w:color w:val="231F20"/>
          <w:spacing w:val="-12"/>
          <w:w w:val="105"/>
        </w:rPr>
        <w:t> </w:t>
      </w:r>
      <w:r>
        <w:rPr>
          <w:color w:val="231F20"/>
          <w:w w:val="105"/>
        </w:rPr>
        <w:t>two-step</w:t>
      </w:r>
      <w:r>
        <w:rPr>
          <w:color w:val="231F20"/>
          <w:spacing w:val="-12"/>
          <w:w w:val="105"/>
        </w:rPr>
        <w:t> </w:t>
      </w:r>
      <w:r>
        <w:rPr>
          <w:color w:val="231F20"/>
          <w:w w:val="105"/>
        </w:rPr>
        <w:t>process:</w:t>
      </w:r>
    </w:p>
    <w:p>
      <w:pPr>
        <w:pStyle w:val="BodyText"/>
        <w:spacing w:before="2"/>
        <w:rPr>
          <w:sz w:val="27"/>
        </w:rPr>
      </w:pPr>
    </w:p>
    <w:p>
      <w:pPr>
        <w:pStyle w:val="ListParagraph"/>
        <w:numPr>
          <w:ilvl w:val="0"/>
          <w:numId w:val="34"/>
        </w:numPr>
        <w:tabs>
          <w:tab w:pos="1610" w:val="left" w:leader="none"/>
        </w:tabs>
        <w:spacing w:line="240" w:lineRule="auto" w:before="0" w:after="0"/>
        <w:ind w:left="1609" w:right="0" w:hanging="170"/>
        <w:jc w:val="left"/>
        <w:rPr>
          <w:sz w:val="19"/>
        </w:rPr>
      </w:pPr>
      <w:r>
        <w:rPr>
          <w:color w:val="231F20"/>
          <w:w w:val="110"/>
          <w:sz w:val="19"/>
        </w:rPr>
        <w:t>Calculate</w:t>
      </w:r>
      <w:r>
        <w:rPr>
          <w:color w:val="231F20"/>
          <w:spacing w:val="-4"/>
          <w:w w:val="110"/>
          <w:sz w:val="19"/>
        </w:rPr>
        <w:t> </w:t>
      </w:r>
      <w:r>
        <w:rPr>
          <w:color w:val="231F20"/>
          <w:w w:val="110"/>
          <w:sz w:val="19"/>
        </w:rPr>
        <w:t>the</w:t>
      </w:r>
      <w:r>
        <w:rPr>
          <w:color w:val="231F20"/>
          <w:spacing w:val="-3"/>
          <w:w w:val="110"/>
          <w:sz w:val="19"/>
        </w:rPr>
        <w:t> </w:t>
      </w:r>
      <w:r>
        <w:rPr>
          <w:color w:val="231F20"/>
          <w:spacing w:val="-2"/>
          <w:w w:val="110"/>
          <w:sz w:val="19"/>
        </w:rPr>
        <w:t>WACC.</w:t>
      </w:r>
    </w:p>
    <w:p>
      <w:pPr>
        <w:spacing w:after="0" w:line="240" w:lineRule="auto"/>
        <w:jc w:val="left"/>
        <w:rPr>
          <w:sz w:val="19"/>
        </w:rPr>
        <w:sectPr>
          <w:pgSz w:w="8640" w:h="12960"/>
          <w:pgMar w:header="734" w:footer="0" w:top="920" w:bottom="280" w:left="340" w:right="500"/>
        </w:sectPr>
      </w:pPr>
    </w:p>
    <w:p>
      <w:pPr>
        <w:pStyle w:val="BodyText"/>
        <w:spacing w:before="10"/>
        <w:rPr>
          <w:rFonts w:ascii="Arial"/>
          <w:sz w:val="19"/>
        </w:rPr>
      </w:pPr>
    </w:p>
    <w:p>
      <w:pPr>
        <w:pStyle w:val="ListParagraph"/>
        <w:numPr>
          <w:ilvl w:val="0"/>
          <w:numId w:val="34"/>
        </w:numPr>
        <w:tabs>
          <w:tab w:pos="1521" w:val="left" w:leader="none"/>
        </w:tabs>
        <w:spacing w:line="328" w:lineRule="auto" w:before="95" w:after="0"/>
        <w:ind w:left="1520" w:right="757" w:hanging="219"/>
        <w:jc w:val="left"/>
        <w:rPr>
          <w:sz w:val="19"/>
        </w:rPr>
      </w:pPr>
      <w:r>
        <w:rPr>
          <w:color w:val="231F20"/>
          <w:w w:val="115"/>
          <w:sz w:val="19"/>
        </w:rPr>
        <w:t>Value</w:t>
      </w:r>
      <w:r>
        <w:rPr>
          <w:color w:val="231F20"/>
          <w:spacing w:val="-12"/>
          <w:w w:val="115"/>
          <w:sz w:val="19"/>
        </w:rPr>
        <w:t> </w:t>
      </w:r>
      <w:r>
        <w:rPr>
          <w:color w:val="231F20"/>
          <w:w w:val="115"/>
          <w:sz w:val="19"/>
        </w:rPr>
        <w:t>the</w:t>
      </w:r>
      <w:r>
        <w:rPr>
          <w:color w:val="231F20"/>
          <w:spacing w:val="-12"/>
          <w:w w:val="115"/>
          <w:sz w:val="19"/>
        </w:rPr>
        <w:t> </w:t>
      </w:r>
      <w:r>
        <w:rPr>
          <w:i/>
          <w:color w:val="231F20"/>
          <w:w w:val="115"/>
          <w:sz w:val="19"/>
        </w:rPr>
        <w:t>free</w:t>
      </w:r>
      <w:r>
        <w:rPr>
          <w:i/>
          <w:color w:val="231F20"/>
          <w:spacing w:val="-12"/>
          <w:w w:val="115"/>
          <w:sz w:val="19"/>
        </w:rPr>
        <w:t> </w:t>
      </w:r>
      <w:r>
        <w:rPr>
          <w:i/>
          <w:color w:val="231F20"/>
          <w:w w:val="115"/>
          <w:sz w:val="19"/>
        </w:rPr>
        <w:t>cash</w:t>
      </w:r>
      <w:r>
        <w:rPr>
          <w:i/>
          <w:color w:val="231F20"/>
          <w:spacing w:val="-12"/>
          <w:w w:val="115"/>
          <w:sz w:val="19"/>
        </w:rPr>
        <w:t> </w:t>
      </w:r>
      <w:r>
        <w:rPr>
          <w:i/>
          <w:color w:val="231F20"/>
          <w:w w:val="115"/>
          <w:sz w:val="19"/>
        </w:rPr>
        <w:t>flows</w:t>
      </w:r>
      <w:r>
        <w:rPr>
          <w:i/>
          <w:color w:val="231F20"/>
          <w:spacing w:val="-12"/>
          <w:w w:val="115"/>
          <w:sz w:val="19"/>
        </w:rPr>
        <w:t> </w:t>
      </w:r>
      <w:r>
        <w:rPr>
          <w:color w:val="231F20"/>
          <w:w w:val="115"/>
          <w:sz w:val="19"/>
        </w:rPr>
        <w:t>of</w:t>
      </w:r>
      <w:r>
        <w:rPr>
          <w:color w:val="231F20"/>
          <w:spacing w:val="-12"/>
          <w:w w:val="115"/>
          <w:sz w:val="19"/>
        </w:rPr>
        <w:t> </w:t>
      </w:r>
      <w:r>
        <w:rPr>
          <w:color w:val="231F20"/>
          <w:w w:val="115"/>
          <w:sz w:val="19"/>
        </w:rPr>
        <w:t>the</w:t>
      </w:r>
      <w:r>
        <w:rPr>
          <w:color w:val="231F20"/>
          <w:spacing w:val="-12"/>
          <w:w w:val="115"/>
          <w:sz w:val="19"/>
        </w:rPr>
        <w:t> </w:t>
      </w:r>
      <w:r>
        <w:rPr>
          <w:color w:val="231F20"/>
          <w:w w:val="115"/>
          <w:sz w:val="19"/>
        </w:rPr>
        <w:t>company,</w:t>
      </w:r>
      <w:r>
        <w:rPr>
          <w:color w:val="231F20"/>
          <w:spacing w:val="-12"/>
          <w:w w:val="115"/>
          <w:sz w:val="19"/>
        </w:rPr>
        <w:t> </w:t>
      </w:r>
      <w:r>
        <w:rPr>
          <w:color w:val="231F20"/>
          <w:w w:val="115"/>
          <w:sz w:val="19"/>
        </w:rPr>
        <w:t>the</w:t>
      </w:r>
      <w:r>
        <w:rPr>
          <w:color w:val="231F20"/>
          <w:spacing w:val="-12"/>
          <w:w w:val="115"/>
          <w:sz w:val="19"/>
        </w:rPr>
        <w:t> </w:t>
      </w:r>
      <w:r>
        <w:rPr>
          <w:color w:val="231F20"/>
          <w:w w:val="115"/>
          <w:sz w:val="19"/>
        </w:rPr>
        <w:t>value</w:t>
      </w:r>
      <w:r>
        <w:rPr>
          <w:color w:val="231F20"/>
          <w:spacing w:val="-12"/>
          <w:w w:val="115"/>
          <w:sz w:val="19"/>
        </w:rPr>
        <w:t> </w:t>
      </w:r>
      <w:r>
        <w:rPr>
          <w:color w:val="231F20"/>
          <w:w w:val="115"/>
          <w:sz w:val="19"/>
        </w:rPr>
        <w:t>of</w:t>
      </w:r>
      <w:r>
        <w:rPr>
          <w:color w:val="231F20"/>
          <w:spacing w:val="-12"/>
          <w:w w:val="115"/>
          <w:sz w:val="19"/>
        </w:rPr>
        <w:t> </w:t>
      </w:r>
      <w:r>
        <w:rPr>
          <w:color w:val="231F20"/>
          <w:w w:val="115"/>
          <w:sz w:val="19"/>
        </w:rPr>
        <w:t>the </w:t>
      </w:r>
      <w:r>
        <w:rPr>
          <w:color w:val="231F20"/>
          <w:spacing w:val="-2"/>
          <w:w w:val="115"/>
          <w:sz w:val="19"/>
        </w:rPr>
        <w:t>firm.</w:t>
      </w:r>
    </w:p>
    <w:p>
      <w:pPr>
        <w:pStyle w:val="BodyText"/>
        <w:spacing w:before="4"/>
        <w:rPr>
          <w:rFonts w:ascii="Arial"/>
          <w:sz w:val="24"/>
        </w:rPr>
      </w:pPr>
    </w:p>
    <w:p>
      <w:pPr>
        <w:pStyle w:val="BodyText"/>
        <w:spacing w:line="285" w:lineRule="auto"/>
        <w:ind w:left="830" w:right="754" w:firstLine="340"/>
        <w:jc w:val="both"/>
      </w:pPr>
      <w:r>
        <w:rPr/>
        <w:pict>
          <v:shape style="position:absolute;margin-left:199.966003pt;margin-top:73.687531pt;width:121.05pt;height:30pt;mso-position-horizontal-relative:page;mso-position-vertical-relative:paragraph;z-index:-25085440" type="#_x0000_t202" id="docshape384" filled="false" stroked="false">
            <v:textbox inset="0,0,0,0">
              <w:txbxContent>
                <w:p>
                  <w:pPr>
                    <w:tabs>
                      <w:tab w:pos="2340" w:val="left" w:leader="none"/>
                    </w:tabs>
                    <w:spacing w:line="584" w:lineRule="exact" w:before="0"/>
                    <w:ind w:left="0" w:right="0" w:firstLine="0"/>
                    <w:jc w:val="left"/>
                    <w:rPr>
                      <w:rFonts w:ascii="Symbol" w:hAnsi="Symbol"/>
                      <w:sz w:val="60"/>
                    </w:rPr>
                  </w:pPr>
                  <w:r>
                    <w:rPr>
                      <w:rFonts w:ascii="Symbol" w:hAnsi="Symbol"/>
                      <w:color w:val="231F20"/>
                      <w:spacing w:val="-10"/>
                      <w:w w:val="50"/>
                      <w:sz w:val="60"/>
                    </w:rPr>
                    <w:t></w:t>
                  </w:r>
                  <w:r>
                    <w:rPr>
                      <w:rFonts w:ascii="Times New Roman" w:hAnsi="Times New Roman"/>
                      <w:color w:val="231F20"/>
                      <w:sz w:val="60"/>
                    </w:rPr>
                    <w:tab/>
                  </w:r>
                  <w:r>
                    <w:rPr>
                      <w:rFonts w:ascii="Symbol" w:hAnsi="Symbol"/>
                      <w:color w:val="231F20"/>
                      <w:spacing w:val="-30"/>
                      <w:w w:val="50"/>
                      <w:sz w:val="60"/>
                    </w:rPr>
                    <w:t></w:t>
                  </w:r>
                </w:p>
              </w:txbxContent>
            </v:textbox>
            <w10:wrap type="none"/>
          </v:shape>
        </w:pict>
      </w:r>
      <w:r>
        <w:rPr>
          <w:color w:val="231F20"/>
        </w:rPr>
        <w:t>The first step is to calculate the </w:t>
      </w:r>
      <w:r>
        <w:rPr>
          <w:i/>
          <w:color w:val="231F20"/>
        </w:rPr>
        <w:t>weighted average cost of </w:t>
      </w:r>
      <w:r>
        <w:rPr>
          <w:i/>
          <w:color w:val="231F20"/>
        </w:rPr>
        <w:t>capital</w:t>
      </w:r>
      <w:r>
        <w:rPr>
          <w:i/>
          <w:color w:val="231F20"/>
        </w:rPr>
        <w:t> </w:t>
      </w:r>
      <w:r>
        <w:rPr>
          <w:color w:val="231F20"/>
        </w:rPr>
        <w:t>(WACC) of the entire firm by using the following formula and calcu- lating a number of variables. The cost of equity (K</w:t>
      </w:r>
      <w:r>
        <w:rPr>
          <w:color w:val="231F20"/>
          <w:position w:val="-3"/>
          <w:sz w:val="11"/>
        </w:rPr>
        <w:t>e</w:t>
      </w:r>
      <w:r>
        <w:rPr>
          <w:color w:val="231F20"/>
        </w:rPr>
        <w:t>) is the most </w:t>
      </w:r>
      <w:r>
        <w:rPr>
          <w:color w:val="231F20"/>
          <w:spacing w:val="-2"/>
        </w:rPr>
        <w:t>difficult.</w:t>
      </w:r>
    </w:p>
    <w:p>
      <w:pPr>
        <w:pStyle w:val="BodyText"/>
        <w:spacing w:before="10"/>
        <w:rPr>
          <w:sz w:val="17"/>
        </w:rPr>
      </w:pPr>
    </w:p>
    <w:p>
      <w:pPr>
        <w:spacing w:after="0"/>
        <w:rPr>
          <w:sz w:val="17"/>
        </w:rPr>
        <w:sectPr>
          <w:pgSz w:w="8640" w:h="12960"/>
          <w:pgMar w:header="732" w:footer="0" w:top="920" w:bottom="280" w:left="340" w:right="500"/>
        </w:sectPr>
      </w:pPr>
    </w:p>
    <w:p>
      <w:pPr>
        <w:pStyle w:val="BodyText"/>
        <w:spacing w:before="5"/>
        <w:rPr>
          <w:sz w:val="20"/>
        </w:rPr>
      </w:pPr>
    </w:p>
    <w:p>
      <w:pPr>
        <w:pStyle w:val="BodyText"/>
        <w:ind w:left="1820"/>
        <w:rPr>
          <w:sz w:val="11"/>
        </w:rPr>
      </w:pPr>
      <w:r>
        <w:rPr/>
        <w:pict>
          <v:rect style="position:absolute;margin-left:180.572495pt;margin-top:7.680714pt;width:4.930940pt;height:.7242pt;mso-position-horizontal-relative:page;mso-position-vertical-relative:paragraph;z-index:-25086976" id="docshape385" filled="true" fillcolor="#231f20" stroked="false">
            <v:fill type="solid"/>
            <w10:wrap type="none"/>
          </v:rect>
        </w:pict>
      </w:r>
      <w:r>
        <w:rPr>
          <w:color w:val="231F20"/>
          <w:w w:val="115"/>
        </w:rPr>
        <w:t>WACC </w:t>
      </w:r>
      <w:r>
        <w:rPr>
          <w:rFonts w:ascii="Symbol" w:hAnsi="Symbol"/>
          <w:color w:val="231F20"/>
          <w:w w:val="115"/>
        </w:rPr>
        <w:t></w:t>
      </w:r>
      <w:r>
        <w:rPr>
          <w:rFonts w:ascii="Times New Roman" w:hAnsi="Times New Roman"/>
          <w:color w:val="231F20"/>
          <w:spacing w:val="-7"/>
          <w:w w:val="115"/>
        </w:rPr>
        <w:t> </w:t>
      </w:r>
      <w:r>
        <w:rPr>
          <w:color w:val="231F20"/>
          <w:spacing w:val="-5"/>
          <w:w w:val="115"/>
        </w:rPr>
        <w:t>K</w:t>
      </w:r>
      <w:r>
        <w:rPr>
          <w:color w:val="231F20"/>
          <w:spacing w:val="-5"/>
          <w:w w:val="115"/>
          <w:position w:val="-3"/>
          <w:sz w:val="11"/>
        </w:rPr>
        <w:t>d</w:t>
      </w:r>
    </w:p>
    <w:p>
      <w:pPr>
        <w:pStyle w:val="BodyText"/>
        <w:tabs>
          <w:tab w:pos="443" w:val="left" w:leader="none"/>
          <w:tab w:pos="794" w:val="left" w:leader="none"/>
        </w:tabs>
        <w:spacing w:line="182" w:lineRule="auto" w:before="113"/>
        <w:ind w:left="847" w:right="1849" w:hanging="829"/>
      </w:pPr>
      <w:r>
        <w:rPr/>
        <w:br w:type="column"/>
      </w:r>
      <w:r>
        <w:rPr>
          <w:color w:val="231F20"/>
          <w:spacing w:val="-6"/>
          <w:w w:val="105"/>
          <w:position w:val="-14"/>
        </w:rPr>
        <w:t>(1</w:t>
      </w:r>
      <w:r>
        <w:rPr>
          <w:color w:val="231F20"/>
          <w:position w:val="-14"/>
        </w:rPr>
        <w:tab/>
      </w:r>
      <w:r>
        <w:rPr>
          <w:color w:val="231F20"/>
          <w:spacing w:val="-6"/>
          <w:w w:val="105"/>
          <w:position w:val="-14"/>
        </w:rPr>
        <w:t>t)</w:t>
      </w:r>
      <w:r>
        <w:rPr>
          <w:color w:val="231F20"/>
          <w:position w:val="-14"/>
        </w:rPr>
        <w:tab/>
      </w:r>
      <w:r>
        <w:rPr>
          <w:color w:val="231F20"/>
          <w:w w:val="105"/>
          <w:u w:val="single" w:color="231F20"/>
        </w:rPr>
        <w:t>(Market</w:t>
      </w:r>
      <w:r>
        <w:rPr>
          <w:color w:val="231F20"/>
          <w:spacing w:val="-11"/>
          <w:w w:val="105"/>
          <w:u w:val="single" w:color="231F20"/>
        </w:rPr>
        <w:t> </w:t>
      </w:r>
      <w:r>
        <w:rPr>
          <w:color w:val="231F20"/>
          <w:w w:val="105"/>
          <w:u w:val="single" w:color="231F20"/>
        </w:rPr>
        <w:t>Value</w:t>
      </w:r>
      <w:r>
        <w:rPr>
          <w:color w:val="231F20"/>
          <w:spacing w:val="-11"/>
          <w:w w:val="105"/>
          <w:u w:val="single" w:color="231F20"/>
        </w:rPr>
        <w:t> </w:t>
      </w:r>
      <w:r>
        <w:rPr>
          <w:color w:val="231F20"/>
          <w:w w:val="105"/>
          <w:u w:val="single" w:color="231F20"/>
        </w:rPr>
        <w:t>of</w:t>
      </w:r>
      <w:r>
        <w:rPr>
          <w:color w:val="231F20"/>
          <w:spacing w:val="-10"/>
          <w:w w:val="105"/>
          <w:u w:val="single" w:color="231F20"/>
        </w:rPr>
        <w:t> </w:t>
      </w:r>
      <w:r>
        <w:rPr>
          <w:color w:val="231F20"/>
          <w:w w:val="105"/>
          <w:u w:val="single" w:color="231F20"/>
        </w:rPr>
        <w:t>Debt)</w:t>
      </w:r>
      <w:r>
        <w:rPr>
          <w:color w:val="231F20"/>
          <w:w w:val="105"/>
        </w:rPr>
        <w:t> Total Debt and Equity</w:t>
      </w:r>
    </w:p>
    <w:p>
      <w:pPr>
        <w:spacing w:after="0" w:line="182" w:lineRule="auto"/>
        <w:sectPr>
          <w:type w:val="continuous"/>
          <w:pgSz w:w="8640" w:h="12960"/>
          <w:pgMar w:header="734" w:footer="0" w:top="1220" w:bottom="280" w:left="340" w:right="500"/>
          <w:cols w:num="2" w:equalWidth="0">
            <w:col w:w="2955" w:space="40"/>
            <w:col w:w="4805"/>
          </w:cols>
        </w:sectPr>
      </w:pPr>
    </w:p>
    <w:p>
      <w:pPr>
        <w:pStyle w:val="BodyText"/>
        <w:spacing w:before="5"/>
        <w:rPr>
          <w:sz w:val="22"/>
        </w:rPr>
      </w:pPr>
    </w:p>
    <w:p>
      <w:pPr>
        <w:spacing w:after="0"/>
        <w:rPr>
          <w:sz w:val="22"/>
        </w:rPr>
        <w:sectPr>
          <w:type w:val="continuous"/>
          <w:pgSz w:w="8640" w:h="12960"/>
          <w:pgMar w:header="734" w:footer="0" w:top="1220" w:bottom="280" w:left="340" w:right="500"/>
        </w:sectPr>
      </w:pPr>
    </w:p>
    <w:p>
      <w:pPr>
        <w:pStyle w:val="BodyText"/>
        <w:spacing w:before="5"/>
        <w:rPr>
          <w:sz w:val="20"/>
        </w:rPr>
      </w:pPr>
    </w:p>
    <w:p>
      <w:pPr>
        <w:pStyle w:val="ListParagraph"/>
        <w:numPr>
          <w:ilvl w:val="0"/>
          <w:numId w:val="35"/>
        </w:numPr>
        <w:tabs>
          <w:tab w:pos="177" w:val="left" w:leader="none"/>
        </w:tabs>
        <w:spacing w:line="240" w:lineRule="auto" w:before="0" w:after="0"/>
        <w:ind w:left="176" w:right="0" w:hanging="177"/>
        <w:jc w:val="right"/>
        <w:rPr>
          <w:rFonts w:ascii="Cambria" w:hAnsi="Cambria"/>
          <w:sz w:val="11"/>
        </w:rPr>
      </w:pPr>
      <w:r>
        <w:rPr/>
        <w:pict>
          <v:shape style="position:absolute;margin-left:132.352112pt;margin-top:-8.232818pt;width:128.3pt;height:30pt;mso-position-horizontal-relative:page;mso-position-vertical-relative:paragraph;z-index:-25084928" type="#_x0000_t202" id="docshape386" filled="false" stroked="false">
            <v:textbox inset="0,0,0,0">
              <w:txbxContent>
                <w:p>
                  <w:pPr>
                    <w:tabs>
                      <w:tab w:pos="2485" w:val="left" w:leader="none"/>
                    </w:tabs>
                    <w:spacing w:line="584" w:lineRule="exact" w:before="0"/>
                    <w:ind w:left="0" w:right="0" w:firstLine="0"/>
                    <w:jc w:val="left"/>
                    <w:rPr>
                      <w:rFonts w:ascii="Symbol" w:hAnsi="Symbol"/>
                      <w:sz w:val="60"/>
                    </w:rPr>
                  </w:pPr>
                  <w:r>
                    <w:rPr>
                      <w:rFonts w:ascii="Symbol" w:hAnsi="Symbol"/>
                      <w:color w:val="231F20"/>
                      <w:spacing w:val="-10"/>
                      <w:w w:val="50"/>
                      <w:sz w:val="60"/>
                    </w:rPr>
                    <w:t></w:t>
                  </w:r>
                  <w:r>
                    <w:rPr>
                      <w:rFonts w:ascii="Times New Roman" w:hAnsi="Times New Roman"/>
                      <w:color w:val="231F20"/>
                      <w:sz w:val="60"/>
                    </w:rPr>
                    <w:tab/>
                  </w:r>
                  <w:r>
                    <w:rPr>
                      <w:rFonts w:ascii="Symbol" w:hAnsi="Symbol"/>
                      <w:color w:val="231F20"/>
                      <w:spacing w:val="-30"/>
                      <w:w w:val="50"/>
                      <w:sz w:val="60"/>
                    </w:rPr>
                    <w:t></w:t>
                  </w:r>
                </w:p>
              </w:txbxContent>
            </v:textbox>
            <w10:wrap type="none"/>
          </v:shape>
        </w:pict>
      </w:r>
      <w:r>
        <w:rPr>
          <w:rFonts w:ascii="Cambria" w:hAnsi="Cambria"/>
          <w:color w:val="231F20"/>
          <w:spacing w:val="5"/>
          <w:w w:val="110"/>
          <w:sz w:val="21"/>
        </w:rPr>
        <w:t>K</w:t>
      </w:r>
      <w:r>
        <w:rPr>
          <w:rFonts w:ascii="Cambria" w:hAnsi="Cambria"/>
          <w:color w:val="231F20"/>
          <w:spacing w:val="5"/>
          <w:w w:val="110"/>
          <w:position w:val="-3"/>
          <w:sz w:val="11"/>
        </w:rPr>
        <w:t>e</w:t>
      </w:r>
    </w:p>
    <w:p>
      <w:pPr>
        <w:pStyle w:val="BodyText"/>
        <w:spacing w:line="292" w:lineRule="auto" w:before="101"/>
        <w:ind w:left="307" w:right="2606" w:hanging="139"/>
      </w:pPr>
      <w:r>
        <w:rPr/>
        <w:br w:type="column"/>
      </w:r>
      <w:r>
        <w:rPr>
          <w:color w:val="231F20"/>
          <w:w w:val="105"/>
          <w:u w:val="single" w:color="231F20"/>
        </w:rPr>
        <w:t>(Market</w:t>
      </w:r>
      <w:r>
        <w:rPr>
          <w:color w:val="231F20"/>
          <w:spacing w:val="-11"/>
          <w:w w:val="105"/>
          <w:u w:val="single" w:color="231F20"/>
        </w:rPr>
        <w:t> </w:t>
      </w:r>
      <w:r>
        <w:rPr>
          <w:color w:val="231F20"/>
          <w:w w:val="105"/>
          <w:u w:val="single" w:color="231F20"/>
        </w:rPr>
        <w:t>Value</w:t>
      </w:r>
      <w:r>
        <w:rPr>
          <w:color w:val="231F20"/>
          <w:spacing w:val="-11"/>
          <w:w w:val="105"/>
          <w:u w:val="single" w:color="231F20"/>
        </w:rPr>
        <w:t> </w:t>
      </w:r>
      <w:r>
        <w:rPr>
          <w:color w:val="231F20"/>
          <w:w w:val="105"/>
          <w:u w:val="single" w:color="231F20"/>
        </w:rPr>
        <w:t>of</w:t>
      </w:r>
      <w:r>
        <w:rPr>
          <w:color w:val="231F20"/>
          <w:spacing w:val="-11"/>
          <w:w w:val="105"/>
          <w:u w:val="single" w:color="231F20"/>
        </w:rPr>
        <w:t> </w:t>
      </w:r>
      <w:r>
        <w:rPr>
          <w:color w:val="231F20"/>
          <w:w w:val="105"/>
          <w:u w:val="single" w:color="231F20"/>
        </w:rPr>
        <w:t>Equity)</w:t>
      </w:r>
      <w:r>
        <w:rPr>
          <w:color w:val="231F20"/>
          <w:w w:val="105"/>
        </w:rPr>
        <w:t> Total Debt and Equity</w:t>
      </w:r>
    </w:p>
    <w:p>
      <w:pPr>
        <w:spacing w:after="0" w:line="292" w:lineRule="auto"/>
        <w:sectPr>
          <w:type w:val="continuous"/>
          <w:pgSz w:w="8640" w:h="12960"/>
          <w:pgMar w:header="734" w:footer="0" w:top="1220" w:bottom="280" w:left="340" w:right="500"/>
          <w:cols w:num="2" w:equalWidth="0">
            <w:col w:w="2228" w:space="40"/>
            <w:col w:w="5532"/>
          </w:cols>
        </w:sectPr>
      </w:pPr>
    </w:p>
    <w:p>
      <w:pPr>
        <w:pStyle w:val="BodyText"/>
        <w:spacing w:before="10"/>
        <w:rPr>
          <w:sz w:val="16"/>
        </w:rPr>
      </w:pPr>
    </w:p>
    <w:p>
      <w:pPr>
        <w:pStyle w:val="BodyText"/>
        <w:spacing w:before="90"/>
        <w:ind w:left="1989"/>
      </w:pPr>
      <w:r>
        <w:rPr>
          <w:color w:val="231F20"/>
        </w:rPr>
        <w:t>t</w:t>
      </w:r>
      <w:r>
        <w:rPr>
          <w:color w:val="231F20"/>
          <w:spacing w:val="31"/>
        </w:rPr>
        <w:t> </w:t>
      </w:r>
      <w:r>
        <w:rPr>
          <w:rFonts w:ascii="Symbol" w:hAnsi="Symbol"/>
          <w:color w:val="231F20"/>
        </w:rPr>
        <w:t></w:t>
      </w:r>
      <w:r>
        <w:rPr>
          <w:rFonts w:ascii="Times New Roman" w:hAnsi="Times New Roman"/>
          <w:color w:val="231F20"/>
          <w:spacing w:val="-6"/>
        </w:rPr>
        <w:t> </w:t>
      </w:r>
      <w:r>
        <w:rPr>
          <w:color w:val="231F20"/>
        </w:rPr>
        <w:t>tax</w:t>
      </w:r>
      <w:r>
        <w:rPr>
          <w:color w:val="231F20"/>
          <w:spacing w:val="19"/>
        </w:rPr>
        <w:t> </w:t>
      </w:r>
      <w:r>
        <w:rPr>
          <w:color w:val="231F20"/>
          <w:spacing w:val="-4"/>
        </w:rPr>
        <w:t>rate</w:t>
      </w:r>
    </w:p>
    <w:p>
      <w:pPr>
        <w:pStyle w:val="BodyText"/>
        <w:spacing w:line="261" w:lineRule="auto" w:before="43"/>
        <w:ind w:left="1828" w:right="4237" w:hanging="15"/>
      </w:pPr>
      <w:r>
        <w:rPr>
          <w:color w:val="231F20"/>
          <w:spacing w:val="10"/>
          <w:w w:val="105"/>
        </w:rPr>
        <w:t>K</w:t>
      </w:r>
      <w:r>
        <w:rPr>
          <w:color w:val="231F20"/>
          <w:spacing w:val="10"/>
          <w:w w:val="105"/>
          <w:position w:val="-3"/>
          <w:sz w:val="11"/>
        </w:rPr>
        <w:t>d</w:t>
      </w:r>
      <w:r>
        <w:rPr>
          <w:color w:val="231F20"/>
          <w:spacing w:val="40"/>
          <w:w w:val="105"/>
          <w:position w:val="-3"/>
          <w:sz w:val="11"/>
        </w:rPr>
        <w:t> </w:t>
      </w:r>
      <w:r>
        <w:rPr>
          <w:rFonts w:ascii="Symbol" w:hAnsi="Symbol"/>
          <w:color w:val="231F20"/>
          <w:w w:val="105"/>
        </w:rPr>
        <w:t></w:t>
      </w:r>
      <w:r>
        <w:rPr>
          <w:rFonts w:ascii="Times New Roman" w:hAnsi="Times New Roman"/>
          <w:color w:val="231F20"/>
          <w:w w:val="105"/>
        </w:rPr>
        <w:t> </w:t>
      </w:r>
      <w:r>
        <w:rPr>
          <w:color w:val="231F20"/>
          <w:w w:val="105"/>
        </w:rPr>
        <w:t>cost of debt </w:t>
      </w:r>
      <w:r>
        <w:rPr>
          <w:color w:val="231F20"/>
          <w:spacing w:val="10"/>
          <w:w w:val="105"/>
        </w:rPr>
        <w:t>K</w:t>
      </w:r>
      <w:r>
        <w:rPr>
          <w:color w:val="231F20"/>
          <w:spacing w:val="10"/>
          <w:w w:val="105"/>
          <w:position w:val="-3"/>
          <w:sz w:val="11"/>
        </w:rPr>
        <w:t>e</w:t>
      </w:r>
      <w:r>
        <w:rPr>
          <w:color w:val="231F20"/>
          <w:spacing w:val="19"/>
          <w:w w:val="105"/>
          <w:position w:val="-3"/>
          <w:sz w:val="11"/>
        </w:rPr>
        <w:t> </w:t>
      </w:r>
      <w:r>
        <w:rPr>
          <w:rFonts w:ascii="Symbol" w:hAnsi="Symbol"/>
          <w:color w:val="231F20"/>
          <w:w w:val="105"/>
        </w:rPr>
        <w:t></w:t>
      </w:r>
      <w:r>
        <w:rPr>
          <w:rFonts w:ascii="Times New Roman" w:hAnsi="Times New Roman"/>
          <w:color w:val="231F20"/>
          <w:spacing w:val="-14"/>
          <w:w w:val="105"/>
        </w:rPr>
        <w:t> </w:t>
      </w:r>
      <w:r>
        <w:rPr>
          <w:color w:val="231F20"/>
          <w:w w:val="105"/>
        </w:rPr>
        <w:t>cost</w:t>
      </w:r>
      <w:r>
        <w:rPr>
          <w:color w:val="231F20"/>
          <w:spacing w:val="-10"/>
          <w:w w:val="105"/>
        </w:rPr>
        <w:t> </w:t>
      </w:r>
      <w:r>
        <w:rPr>
          <w:color w:val="231F20"/>
          <w:w w:val="105"/>
        </w:rPr>
        <w:t>of</w:t>
      </w:r>
      <w:r>
        <w:rPr>
          <w:color w:val="231F20"/>
          <w:spacing w:val="-7"/>
          <w:w w:val="105"/>
        </w:rPr>
        <w:t> </w:t>
      </w:r>
      <w:r>
        <w:rPr>
          <w:color w:val="231F20"/>
          <w:w w:val="105"/>
        </w:rPr>
        <w:t>equity</w:t>
      </w:r>
    </w:p>
    <w:p>
      <w:pPr>
        <w:pStyle w:val="BodyText"/>
        <w:spacing w:before="9"/>
        <w:rPr>
          <w:sz w:val="26"/>
        </w:rPr>
      </w:pPr>
    </w:p>
    <w:p>
      <w:pPr>
        <w:pStyle w:val="BodyText"/>
        <w:spacing w:line="292" w:lineRule="auto"/>
        <w:ind w:left="830" w:right="756" w:firstLine="340"/>
        <w:jc w:val="both"/>
      </w:pPr>
      <w:r>
        <w:rPr>
          <w:color w:val="231F20"/>
        </w:rPr>
        <w:t>Review the formula. Notice that the WACC uses the market </w:t>
      </w:r>
      <w:r>
        <w:rPr>
          <w:color w:val="231F20"/>
        </w:rPr>
        <w:t>val- ues of debt and equity. The market is the true measure of how cur- rent bondholders and shareholders value their investments. The cost of debt can be obtained from the company’s treasury department or can be found in the footnotes of the financial statements. It takes large boosts in debt financing to change the cost of debt. However,</w:t>
      </w:r>
      <w:r>
        <w:rPr>
          <w:color w:val="231F20"/>
          <w:spacing w:val="40"/>
        </w:rPr>
        <w:t> </w:t>
      </w:r>
      <w:r>
        <w:rPr>
          <w:color w:val="231F20"/>
        </w:rPr>
        <w:t>the cost of equity is a bit more complex to figure out.</w:t>
      </w:r>
    </w:p>
    <w:p>
      <w:pPr>
        <w:pStyle w:val="BodyText"/>
        <w:spacing w:line="292" w:lineRule="auto"/>
        <w:ind w:left="830" w:right="756" w:firstLine="340"/>
        <w:jc w:val="both"/>
      </w:pPr>
      <w:r>
        <w:rPr>
          <w:color w:val="231F20"/>
        </w:rPr>
        <w:t>The cost of equity heavily depends on the leverage of the firm. Because leverage means risk, we can use beta from the </w:t>
      </w:r>
      <w:r>
        <w:rPr>
          <w:i/>
          <w:color w:val="231F20"/>
        </w:rPr>
        <w:t>capital </w:t>
      </w:r>
      <w:r>
        <w:rPr>
          <w:i/>
          <w:color w:val="231F20"/>
        </w:rPr>
        <w:t>asset</w:t>
      </w:r>
      <w:r>
        <w:rPr>
          <w:i/>
          <w:color w:val="231F20"/>
        </w:rPr>
        <w:t> pricing model </w:t>
      </w:r>
      <w:r>
        <w:rPr>
          <w:color w:val="231F20"/>
        </w:rPr>
        <w:t>(CAPM). The CAPM helps calculate the required re-</w:t>
      </w:r>
      <w:r>
        <w:rPr>
          <w:color w:val="231F20"/>
          <w:spacing w:val="40"/>
        </w:rPr>
        <w:t> </w:t>
      </w:r>
      <w:r>
        <w:rPr>
          <w:color w:val="231F20"/>
        </w:rPr>
        <w:t>turn on equity under different leverage scenarios.</w:t>
      </w:r>
    </w:p>
    <w:p>
      <w:pPr>
        <w:pStyle w:val="BodyText"/>
        <w:spacing w:before="2"/>
        <w:rPr>
          <w:sz w:val="20"/>
        </w:rPr>
      </w:pPr>
    </w:p>
    <w:p>
      <w:pPr>
        <w:tabs>
          <w:tab w:pos="3305" w:val="left" w:leader="none"/>
          <w:tab w:pos="4209" w:val="left" w:leader="none"/>
        </w:tabs>
        <w:spacing w:line="403" w:lineRule="auto" w:before="1"/>
        <w:ind w:left="2718" w:right="2640" w:hanging="6"/>
        <w:jc w:val="left"/>
        <w:rPr>
          <w:sz w:val="21"/>
        </w:rPr>
      </w:pPr>
      <w:r>
        <w:rPr/>
        <w:pict>
          <v:rect style="position:absolute;margin-left:219.146545pt;margin-top:7.727495pt;width:4.930940pt;height:.7242pt;mso-position-horizontal-relative:page;mso-position-vertical-relative:paragraph;z-index:-25086464" id="docshape387" filled="true" fillcolor="#231f20" stroked="false">
            <v:fill type="solid"/>
            <w10:wrap type="none"/>
          </v:rect>
        </w:pict>
      </w:r>
      <w:r>
        <w:rPr/>
        <w:pict>
          <v:rect style="position:absolute;margin-left:173.938736pt;margin-top:30.227474pt;width:4.930940pt;height:.7242pt;mso-position-horizontal-relative:page;mso-position-vertical-relative:paragraph;z-index:-25085952" id="docshape388" filled="true" fillcolor="#231f20" stroked="false">
            <v:fill type="solid"/>
            <w10:wrap type="none"/>
          </v:rect>
        </w:pict>
      </w:r>
      <w:r>
        <w:rPr>
          <w:color w:val="231F20"/>
          <w:spacing w:val="10"/>
          <w:w w:val="105"/>
          <w:sz w:val="21"/>
        </w:rPr>
        <w:t>K</w:t>
      </w:r>
      <w:r>
        <w:rPr>
          <w:color w:val="231F20"/>
          <w:spacing w:val="10"/>
          <w:w w:val="105"/>
          <w:position w:val="-3"/>
          <w:sz w:val="11"/>
        </w:rPr>
        <w:t>e</w:t>
      </w:r>
      <w:r>
        <w:rPr>
          <w:color w:val="231F20"/>
          <w:spacing w:val="40"/>
          <w:w w:val="105"/>
          <w:position w:val="-3"/>
          <w:sz w:val="11"/>
        </w:rPr>
        <w:t> </w:t>
      </w:r>
      <w:r>
        <w:rPr>
          <w:rFonts w:ascii="Symbol" w:hAnsi="Symbol"/>
          <w:color w:val="231F20"/>
          <w:w w:val="105"/>
          <w:sz w:val="21"/>
        </w:rPr>
        <w:t></w:t>
      </w:r>
      <w:r>
        <w:rPr>
          <w:rFonts w:ascii="Times New Roman" w:hAnsi="Times New Roman"/>
          <w:color w:val="231F20"/>
          <w:w w:val="105"/>
          <w:sz w:val="21"/>
        </w:rPr>
        <w:t> </w:t>
      </w:r>
      <w:r>
        <w:rPr>
          <w:color w:val="231F20"/>
          <w:spacing w:val="10"/>
          <w:w w:val="105"/>
          <w:sz w:val="21"/>
        </w:rPr>
        <w:t>R</w:t>
      </w:r>
      <w:r>
        <w:rPr>
          <w:color w:val="231F20"/>
          <w:spacing w:val="10"/>
          <w:w w:val="105"/>
          <w:position w:val="-3"/>
          <w:sz w:val="11"/>
        </w:rPr>
        <w:t>f</w:t>
      </w:r>
      <w:r>
        <w:rPr>
          <w:color w:val="231F20"/>
          <w:spacing w:val="40"/>
          <w:w w:val="105"/>
          <w:position w:val="-3"/>
          <w:sz w:val="11"/>
        </w:rPr>
        <w:t> </w:t>
      </w:r>
      <w:r>
        <w:rPr>
          <w:rFonts w:ascii="Symbol" w:hAnsi="Symbol"/>
          <w:color w:val="231F20"/>
          <w:w w:val="105"/>
          <w:sz w:val="21"/>
        </w:rPr>
        <w:t></w:t>
      </w:r>
      <w:r>
        <w:rPr>
          <w:rFonts w:ascii="Times New Roman" w:hAnsi="Times New Roman"/>
          <w:color w:val="231F20"/>
          <w:w w:val="105"/>
          <w:sz w:val="21"/>
        </w:rPr>
        <w:t> </w:t>
      </w:r>
      <w:r>
        <w:rPr>
          <w:color w:val="231F20"/>
          <w:w w:val="105"/>
          <w:sz w:val="21"/>
        </w:rPr>
        <w:t>(K</w:t>
      </w:r>
      <w:r>
        <w:rPr>
          <w:color w:val="231F20"/>
          <w:w w:val="105"/>
          <w:position w:val="-3"/>
          <w:sz w:val="11"/>
        </w:rPr>
        <w:t>m</w:t>
      </w:r>
      <w:r>
        <w:rPr>
          <w:color w:val="231F20"/>
          <w:position w:val="-3"/>
          <w:sz w:val="11"/>
        </w:rPr>
        <w:tab/>
      </w:r>
      <w:r>
        <w:rPr>
          <w:color w:val="231F20"/>
          <w:spacing w:val="10"/>
          <w:w w:val="105"/>
          <w:sz w:val="21"/>
        </w:rPr>
        <w:t>R</w:t>
      </w:r>
      <w:r>
        <w:rPr>
          <w:color w:val="231F20"/>
          <w:spacing w:val="10"/>
          <w:w w:val="105"/>
          <w:position w:val="-3"/>
          <w:sz w:val="11"/>
        </w:rPr>
        <w:t>f</w:t>
      </w:r>
      <w:r>
        <w:rPr>
          <w:color w:val="231F20"/>
          <w:spacing w:val="-7"/>
          <w:w w:val="105"/>
          <w:position w:val="-3"/>
          <w:sz w:val="11"/>
        </w:rPr>
        <w:t> </w:t>
      </w:r>
      <w:r>
        <w:rPr>
          <w:color w:val="231F20"/>
          <w:w w:val="105"/>
          <w:sz w:val="21"/>
        </w:rPr>
        <w:t>)</w:t>
      </w:r>
      <w:r>
        <w:rPr>
          <w:color w:val="231F20"/>
          <w:spacing w:val="-11"/>
          <w:w w:val="105"/>
          <w:sz w:val="21"/>
        </w:rPr>
        <w:t> </w:t>
      </w:r>
      <w:r>
        <w:rPr>
          <w:rFonts w:ascii="Symbol" w:hAnsi="Symbol"/>
          <w:color w:val="231F20"/>
          <w:w w:val="105"/>
          <w:sz w:val="21"/>
        </w:rPr>
        <w:t></w:t>
      </w:r>
      <w:r>
        <w:rPr>
          <w:rFonts w:ascii="Times New Roman" w:hAnsi="Times New Roman"/>
          <w:color w:val="231F20"/>
          <w:spacing w:val="-13"/>
          <w:w w:val="105"/>
          <w:sz w:val="21"/>
        </w:rPr>
        <w:t> </w:t>
      </w:r>
      <w:r>
        <w:rPr>
          <w:color w:val="231F20"/>
          <w:w w:val="105"/>
          <w:sz w:val="21"/>
        </w:rPr>
        <w:t>Beta </w:t>
      </w:r>
      <w:r>
        <w:rPr>
          <w:color w:val="231F20"/>
          <w:spacing w:val="-2"/>
          <w:w w:val="105"/>
          <w:sz w:val="21"/>
        </w:rPr>
        <w:t>(K</w:t>
      </w:r>
      <w:r>
        <w:rPr>
          <w:color w:val="231F20"/>
          <w:spacing w:val="-25"/>
          <w:w w:val="105"/>
          <w:sz w:val="21"/>
        </w:rPr>
        <w:t> </w:t>
      </w:r>
      <w:r>
        <w:rPr>
          <w:color w:val="231F20"/>
          <w:spacing w:val="-10"/>
          <w:w w:val="105"/>
          <w:position w:val="-3"/>
          <w:sz w:val="11"/>
        </w:rPr>
        <w:t>m</w:t>
      </w:r>
      <w:r>
        <w:rPr>
          <w:color w:val="231F20"/>
          <w:position w:val="-3"/>
          <w:sz w:val="11"/>
        </w:rPr>
        <w:tab/>
      </w:r>
      <w:r>
        <w:rPr>
          <w:color w:val="231F20"/>
          <w:spacing w:val="10"/>
          <w:w w:val="105"/>
          <w:sz w:val="21"/>
        </w:rPr>
        <w:t>R</w:t>
      </w:r>
      <w:r>
        <w:rPr>
          <w:color w:val="231F20"/>
          <w:spacing w:val="10"/>
          <w:w w:val="105"/>
          <w:position w:val="-3"/>
          <w:sz w:val="11"/>
        </w:rPr>
        <w:t>f</w:t>
      </w:r>
      <w:r>
        <w:rPr>
          <w:color w:val="231F20"/>
          <w:spacing w:val="-4"/>
          <w:w w:val="105"/>
          <w:position w:val="-3"/>
          <w:sz w:val="11"/>
        </w:rPr>
        <w:t> </w:t>
      </w:r>
      <w:r>
        <w:rPr>
          <w:color w:val="231F20"/>
          <w:w w:val="105"/>
          <w:sz w:val="21"/>
        </w:rPr>
        <w:t>)</w:t>
      </w:r>
      <w:r>
        <w:rPr>
          <w:color w:val="231F20"/>
          <w:spacing w:val="13"/>
          <w:w w:val="105"/>
          <w:sz w:val="21"/>
        </w:rPr>
        <w:t> </w:t>
      </w:r>
      <w:r>
        <w:rPr>
          <w:rFonts w:ascii="Symbol" w:hAnsi="Symbol"/>
          <w:color w:val="231F20"/>
          <w:w w:val="105"/>
          <w:sz w:val="21"/>
        </w:rPr>
        <w:t></w:t>
      </w:r>
      <w:r>
        <w:rPr>
          <w:rFonts w:ascii="Times New Roman" w:hAnsi="Times New Roman"/>
          <w:color w:val="231F20"/>
          <w:spacing w:val="6"/>
          <w:w w:val="105"/>
          <w:sz w:val="21"/>
        </w:rPr>
        <w:t> </w:t>
      </w:r>
      <w:r>
        <w:rPr>
          <w:color w:val="231F20"/>
          <w:w w:val="105"/>
          <w:sz w:val="21"/>
        </w:rPr>
        <w:t>Risk</w:t>
      </w:r>
      <w:r>
        <w:rPr>
          <w:color w:val="231F20"/>
          <w:spacing w:val="13"/>
          <w:w w:val="105"/>
          <w:sz w:val="21"/>
        </w:rPr>
        <w:t> </w:t>
      </w:r>
      <w:r>
        <w:rPr>
          <w:color w:val="231F20"/>
          <w:spacing w:val="-2"/>
          <w:sz w:val="21"/>
        </w:rPr>
        <w:t>Premium</w:t>
      </w:r>
    </w:p>
    <w:p>
      <w:pPr>
        <w:pStyle w:val="BodyText"/>
        <w:spacing w:line="292" w:lineRule="auto" w:before="113"/>
        <w:ind w:left="830" w:right="756" w:firstLine="340"/>
        <w:jc w:val="both"/>
      </w:pPr>
      <w:r>
        <w:rPr>
          <w:color w:val="231F20"/>
        </w:rPr>
        <w:t>The risk measure, beta, changes according to the risk of </w:t>
      </w:r>
      <w:r>
        <w:rPr>
          <w:color w:val="231F20"/>
        </w:rPr>
        <w:t>leverage. Financial</w:t>
      </w:r>
      <w:r>
        <w:rPr>
          <w:color w:val="231F20"/>
          <w:spacing w:val="41"/>
        </w:rPr>
        <w:t> </w:t>
      </w:r>
      <w:r>
        <w:rPr>
          <w:color w:val="231F20"/>
        </w:rPr>
        <w:t>MBAs</w:t>
      </w:r>
      <w:r>
        <w:rPr>
          <w:color w:val="231F20"/>
          <w:spacing w:val="42"/>
        </w:rPr>
        <w:t> </w:t>
      </w:r>
      <w:r>
        <w:rPr>
          <w:color w:val="231F20"/>
        </w:rPr>
        <w:t>take</w:t>
      </w:r>
      <w:r>
        <w:rPr>
          <w:color w:val="231F20"/>
          <w:spacing w:val="42"/>
        </w:rPr>
        <w:t> </w:t>
      </w:r>
      <w:r>
        <w:rPr>
          <w:color w:val="231F20"/>
        </w:rPr>
        <w:t>the</w:t>
      </w:r>
      <w:r>
        <w:rPr>
          <w:color w:val="231F20"/>
          <w:spacing w:val="42"/>
        </w:rPr>
        <w:t> </w:t>
      </w:r>
      <w:r>
        <w:rPr>
          <w:color w:val="231F20"/>
        </w:rPr>
        <w:t>current</w:t>
      </w:r>
      <w:r>
        <w:rPr>
          <w:color w:val="231F20"/>
          <w:spacing w:val="42"/>
        </w:rPr>
        <w:t> </w:t>
      </w:r>
      <w:r>
        <w:rPr>
          <w:color w:val="231F20"/>
        </w:rPr>
        <w:t>levered</w:t>
      </w:r>
      <w:r>
        <w:rPr>
          <w:color w:val="231F20"/>
          <w:spacing w:val="41"/>
        </w:rPr>
        <w:t> </w:t>
      </w:r>
      <w:r>
        <w:rPr>
          <w:color w:val="231F20"/>
        </w:rPr>
        <w:t>beta</w:t>
      </w:r>
      <w:r>
        <w:rPr>
          <w:color w:val="231F20"/>
          <w:spacing w:val="42"/>
        </w:rPr>
        <w:t> </w:t>
      </w:r>
      <w:r>
        <w:rPr>
          <w:color w:val="231F20"/>
        </w:rPr>
        <w:t>and</w:t>
      </w:r>
      <w:r>
        <w:rPr>
          <w:color w:val="231F20"/>
          <w:spacing w:val="42"/>
        </w:rPr>
        <w:t> </w:t>
      </w:r>
      <w:r>
        <w:rPr>
          <w:color w:val="231F20"/>
        </w:rPr>
        <w:t>unlever</w:t>
      </w:r>
      <w:r>
        <w:rPr>
          <w:color w:val="231F20"/>
          <w:spacing w:val="42"/>
        </w:rPr>
        <w:t> </w:t>
      </w:r>
      <w:r>
        <w:rPr>
          <w:color w:val="231F20"/>
        </w:rPr>
        <w:t>it</w:t>
      </w:r>
      <w:r>
        <w:rPr>
          <w:color w:val="231F20"/>
          <w:spacing w:val="42"/>
        </w:rPr>
        <w:t> </w:t>
      </w:r>
      <w:r>
        <w:rPr>
          <w:color w:val="231F20"/>
        </w:rPr>
        <w:t>to</w:t>
      </w:r>
      <w:r>
        <w:rPr>
          <w:color w:val="231F20"/>
          <w:spacing w:val="41"/>
        </w:rPr>
        <w:t> </w:t>
      </w:r>
      <w:r>
        <w:rPr>
          <w:color w:val="231F20"/>
          <w:spacing w:val="-10"/>
        </w:rPr>
        <w:t>a</w:t>
      </w:r>
    </w:p>
    <w:p>
      <w:pPr>
        <w:spacing w:after="0" w:line="292" w:lineRule="auto"/>
        <w:jc w:val="both"/>
        <w:sectPr>
          <w:type w:val="continuous"/>
          <w:pgSz w:w="8640" w:h="12960"/>
          <w:pgMar w:header="734" w:footer="0" w:top="1220" w:bottom="280" w:left="340" w:right="500"/>
        </w:sectPr>
      </w:pPr>
    </w:p>
    <w:p>
      <w:pPr>
        <w:pStyle w:val="BodyText"/>
        <w:spacing w:before="8"/>
        <w:rPr>
          <w:sz w:val="17"/>
        </w:rPr>
      </w:pPr>
    </w:p>
    <w:p>
      <w:pPr>
        <w:pStyle w:val="BodyText"/>
        <w:spacing w:line="292" w:lineRule="auto" w:before="102"/>
        <w:ind w:left="920" w:right="667"/>
      </w:pPr>
      <w:r>
        <w:rPr>
          <w:color w:val="231F20"/>
        </w:rPr>
        <w:t>no-debt, </w:t>
      </w:r>
      <w:r>
        <w:rPr>
          <w:i/>
          <w:color w:val="231F20"/>
        </w:rPr>
        <w:t>unlevered </w:t>
      </w:r>
      <w:r>
        <w:rPr>
          <w:color w:val="231F20"/>
        </w:rPr>
        <w:t>state (Step A), then lever it back up to any hypo- thetical capital structure (Step B).</w:t>
      </w:r>
    </w:p>
    <w:p>
      <w:pPr>
        <w:pStyle w:val="BodyText"/>
        <w:spacing w:before="5"/>
      </w:pPr>
    </w:p>
    <w:p>
      <w:pPr>
        <w:pStyle w:val="BodyText"/>
        <w:ind w:left="2050"/>
      </w:pPr>
      <w:r>
        <w:rPr>
          <w:color w:val="231F20"/>
        </w:rPr>
        <w:t>Step</w:t>
      </w:r>
      <w:r>
        <w:rPr>
          <w:color w:val="231F20"/>
          <w:spacing w:val="4"/>
        </w:rPr>
        <w:t> </w:t>
      </w:r>
      <w:r>
        <w:rPr>
          <w:color w:val="231F20"/>
          <w:spacing w:val="-10"/>
        </w:rPr>
        <w:t>A</w:t>
      </w:r>
    </w:p>
    <w:p>
      <w:pPr>
        <w:pStyle w:val="BodyText"/>
        <w:rPr>
          <w:sz w:val="24"/>
        </w:rPr>
      </w:pPr>
    </w:p>
    <w:p>
      <w:pPr>
        <w:pStyle w:val="BodyText"/>
        <w:rPr>
          <w:sz w:val="24"/>
        </w:rPr>
      </w:pPr>
    </w:p>
    <w:p>
      <w:pPr>
        <w:pStyle w:val="BodyText"/>
        <w:spacing w:before="5"/>
        <w:rPr>
          <w:sz w:val="18"/>
        </w:rPr>
      </w:pPr>
    </w:p>
    <w:p>
      <w:pPr>
        <w:spacing w:before="0"/>
        <w:ind w:left="473" w:right="219" w:firstLine="0"/>
        <w:jc w:val="center"/>
        <w:rPr>
          <w:rFonts w:ascii="Arial"/>
          <w:sz w:val="14"/>
        </w:rPr>
      </w:pPr>
      <w:r>
        <w:rPr>
          <w:rFonts w:ascii="Arial"/>
          <w:color w:val="231F20"/>
          <w:w w:val="105"/>
          <w:sz w:val="14"/>
        </w:rPr>
        <w:t>OPTIMAL</w:t>
      </w:r>
      <w:r>
        <w:rPr>
          <w:rFonts w:ascii="Arial"/>
          <w:color w:val="231F20"/>
          <w:spacing w:val="43"/>
          <w:w w:val="105"/>
          <w:sz w:val="14"/>
        </w:rPr>
        <w:t> </w:t>
      </w:r>
      <w:r>
        <w:rPr>
          <w:rFonts w:ascii="Arial"/>
          <w:color w:val="231F20"/>
          <w:w w:val="105"/>
          <w:sz w:val="14"/>
        </w:rPr>
        <w:t>CAPITAL</w:t>
      </w:r>
      <w:r>
        <w:rPr>
          <w:rFonts w:ascii="Arial"/>
          <w:color w:val="231F20"/>
          <w:spacing w:val="43"/>
          <w:w w:val="105"/>
          <w:sz w:val="14"/>
        </w:rPr>
        <w:t> </w:t>
      </w:r>
      <w:r>
        <w:rPr>
          <w:rFonts w:ascii="Arial"/>
          <w:color w:val="231F20"/>
          <w:spacing w:val="-2"/>
          <w:w w:val="105"/>
          <w:sz w:val="14"/>
        </w:rPr>
        <w:t>STRUCTURE</w:t>
      </w:r>
    </w:p>
    <w:p>
      <w:pPr>
        <w:spacing w:before="79"/>
        <w:ind w:left="469" w:right="219" w:firstLine="0"/>
        <w:jc w:val="center"/>
        <w:rPr>
          <w:rFonts w:ascii="Arial"/>
          <w:sz w:val="14"/>
        </w:rPr>
      </w:pPr>
      <w:r>
        <w:rPr>
          <w:rFonts w:ascii="Arial"/>
          <w:color w:val="231F20"/>
          <w:w w:val="110"/>
          <w:sz w:val="14"/>
        </w:rPr>
        <w:t>The</w:t>
      </w:r>
      <w:r>
        <w:rPr>
          <w:rFonts w:ascii="Arial"/>
          <w:color w:val="231F20"/>
          <w:spacing w:val="-1"/>
          <w:w w:val="110"/>
          <w:sz w:val="14"/>
        </w:rPr>
        <w:t> </w:t>
      </w:r>
      <w:r>
        <w:rPr>
          <w:rFonts w:ascii="Arial"/>
          <w:color w:val="231F20"/>
          <w:w w:val="110"/>
          <w:sz w:val="14"/>
        </w:rPr>
        <w:t>Cost of </w:t>
      </w:r>
      <w:r>
        <w:rPr>
          <w:rFonts w:ascii="Arial"/>
          <w:color w:val="231F20"/>
          <w:spacing w:val="-2"/>
          <w:w w:val="110"/>
          <w:sz w:val="14"/>
        </w:rPr>
        <w:t>Capital</w:t>
      </w:r>
    </w:p>
    <w:p>
      <w:pPr>
        <w:pStyle w:val="BodyText"/>
        <w:spacing w:before="1"/>
        <w:rPr>
          <w:rFonts w:ascii="Arial"/>
          <w:sz w:val="15"/>
        </w:rPr>
      </w:pPr>
      <w:r>
        <w:rPr/>
        <w:drawing>
          <wp:anchor distT="0" distB="0" distL="0" distR="0" allowOverlap="1" layoutInCell="1" locked="0" behindDoc="0" simplePos="0" relativeHeight="283">
            <wp:simplePos x="0" y="0"/>
            <wp:positionH relativeFrom="page">
              <wp:posOffset>1126540</wp:posOffset>
            </wp:positionH>
            <wp:positionV relativeFrom="paragraph">
              <wp:posOffset>125962</wp:posOffset>
            </wp:positionV>
            <wp:extent cx="3308543" cy="2359152"/>
            <wp:effectExtent l="0" t="0" r="0" b="0"/>
            <wp:wrapTopAndBottom/>
            <wp:docPr id="107" name="image63.png"/>
            <wp:cNvGraphicFramePr>
              <a:graphicFrameLocks noChangeAspect="1"/>
            </wp:cNvGraphicFramePr>
            <a:graphic>
              <a:graphicData uri="http://schemas.openxmlformats.org/drawingml/2006/picture">
                <pic:pic>
                  <pic:nvPicPr>
                    <pic:cNvPr id="108" name="image63.png"/>
                    <pic:cNvPicPr/>
                  </pic:nvPicPr>
                  <pic:blipFill>
                    <a:blip r:embed="rId91" cstate="print"/>
                    <a:stretch>
                      <a:fillRect/>
                    </a:stretch>
                  </pic:blipFill>
                  <pic:spPr>
                    <a:xfrm>
                      <a:off x="0" y="0"/>
                      <a:ext cx="3308543" cy="2359152"/>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spacing w:before="112"/>
        <w:ind w:left="473" w:right="219" w:firstLine="0"/>
        <w:jc w:val="center"/>
        <w:rPr>
          <w:rFonts w:ascii="Arial"/>
          <w:sz w:val="14"/>
        </w:rPr>
      </w:pPr>
      <w:r>
        <w:rPr>
          <w:rFonts w:ascii="Arial"/>
          <w:color w:val="231F20"/>
          <w:w w:val="105"/>
          <w:sz w:val="14"/>
        </w:rPr>
        <w:t>OPTIMAL</w:t>
      </w:r>
      <w:r>
        <w:rPr>
          <w:rFonts w:ascii="Arial"/>
          <w:color w:val="231F20"/>
          <w:spacing w:val="43"/>
          <w:w w:val="105"/>
          <w:sz w:val="14"/>
        </w:rPr>
        <w:t> </w:t>
      </w:r>
      <w:r>
        <w:rPr>
          <w:rFonts w:ascii="Arial"/>
          <w:color w:val="231F20"/>
          <w:w w:val="105"/>
          <w:sz w:val="14"/>
        </w:rPr>
        <w:t>CAPITAL</w:t>
      </w:r>
      <w:r>
        <w:rPr>
          <w:rFonts w:ascii="Arial"/>
          <w:color w:val="231F20"/>
          <w:spacing w:val="43"/>
          <w:w w:val="105"/>
          <w:sz w:val="14"/>
        </w:rPr>
        <w:t> </w:t>
      </w:r>
      <w:r>
        <w:rPr>
          <w:rFonts w:ascii="Arial"/>
          <w:color w:val="231F20"/>
          <w:spacing w:val="-2"/>
          <w:w w:val="105"/>
          <w:sz w:val="14"/>
        </w:rPr>
        <w:t>STRUCTURE</w:t>
      </w:r>
    </w:p>
    <w:p>
      <w:pPr>
        <w:spacing w:before="79"/>
        <w:ind w:left="470" w:right="219" w:firstLine="0"/>
        <w:jc w:val="center"/>
        <w:rPr>
          <w:rFonts w:ascii="Arial"/>
          <w:sz w:val="14"/>
        </w:rPr>
      </w:pPr>
      <w:r>
        <w:rPr>
          <w:rFonts w:ascii="Arial"/>
          <w:color w:val="231F20"/>
          <w:spacing w:val="-2"/>
          <w:w w:val="115"/>
          <w:sz w:val="14"/>
        </w:rPr>
        <w:t>The</w:t>
      </w:r>
      <w:r>
        <w:rPr>
          <w:rFonts w:ascii="Arial"/>
          <w:color w:val="231F20"/>
          <w:spacing w:val="-5"/>
          <w:w w:val="115"/>
          <w:sz w:val="14"/>
        </w:rPr>
        <w:t> </w:t>
      </w:r>
      <w:r>
        <w:rPr>
          <w:rFonts w:ascii="Arial"/>
          <w:color w:val="231F20"/>
          <w:spacing w:val="-2"/>
          <w:w w:val="115"/>
          <w:sz w:val="14"/>
        </w:rPr>
        <w:t>Value</w:t>
      </w:r>
      <w:r>
        <w:rPr>
          <w:rFonts w:ascii="Arial"/>
          <w:color w:val="231F20"/>
          <w:spacing w:val="-5"/>
          <w:w w:val="115"/>
          <w:sz w:val="14"/>
        </w:rPr>
        <w:t> </w:t>
      </w:r>
      <w:r>
        <w:rPr>
          <w:rFonts w:ascii="Arial"/>
          <w:color w:val="231F20"/>
          <w:spacing w:val="-2"/>
          <w:w w:val="115"/>
          <w:sz w:val="14"/>
        </w:rPr>
        <w:t>of</w:t>
      </w:r>
      <w:r>
        <w:rPr>
          <w:rFonts w:ascii="Arial"/>
          <w:color w:val="231F20"/>
          <w:spacing w:val="-5"/>
          <w:w w:val="115"/>
          <w:sz w:val="14"/>
        </w:rPr>
        <w:t> </w:t>
      </w:r>
      <w:r>
        <w:rPr>
          <w:rFonts w:ascii="Arial"/>
          <w:color w:val="231F20"/>
          <w:spacing w:val="-2"/>
          <w:w w:val="115"/>
          <w:sz w:val="14"/>
        </w:rPr>
        <w:t>the</w:t>
      </w:r>
      <w:r>
        <w:rPr>
          <w:rFonts w:ascii="Arial"/>
          <w:color w:val="231F20"/>
          <w:spacing w:val="-5"/>
          <w:w w:val="115"/>
          <w:sz w:val="14"/>
        </w:rPr>
        <w:t> </w:t>
      </w:r>
      <w:r>
        <w:rPr>
          <w:rFonts w:ascii="Arial"/>
          <w:color w:val="231F20"/>
          <w:spacing w:val="-2"/>
          <w:w w:val="115"/>
          <w:sz w:val="14"/>
        </w:rPr>
        <w:t>Firm</w:t>
      </w:r>
      <w:r>
        <w:rPr>
          <w:rFonts w:ascii="Arial"/>
          <w:color w:val="231F20"/>
          <w:spacing w:val="-5"/>
          <w:w w:val="115"/>
          <w:sz w:val="14"/>
        </w:rPr>
        <w:t> </w:t>
      </w:r>
      <w:r>
        <w:rPr>
          <w:rFonts w:ascii="Arial"/>
          <w:color w:val="231F20"/>
          <w:spacing w:val="-2"/>
          <w:w w:val="115"/>
          <w:sz w:val="14"/>
        </w:rPr>
        <w:t>and</w:t>
      </w:r>
      <w:r>
        <w:rPr>
          <w:rFonts w:ascii="Arial"/>
          <w:color w:val="231F20"/>
          <w:spacing w:val="-5"/>
          <w:w w:val="115"/>
          <w:sz w:val="14"/>
        </w:rPr>
        <w:t> </w:t>
      </w:r>
      <w:r>
        <w:rPr>
          <w:rFonts w:ascii="Arial"/>
          <w:color w:val="231F20"/>
          <w:spacing w:val="-2"/>
          <w:w w:val="115"/>
          <w:sz w:val="14"/>
        </w:rPr>
        <w:t>the</w:t>
      </w:r>
      <w:r>
        <w:rPr>
          <w:rFonts w:ascii="Arial"/>
          <w:color w:val="231F20"/>
          <w:spacing w:val="-4"/>
          <w:w w:val="115"/>
          <w:sz w:val="14"/>
        </w:rPr>
        <w:t> </w:t>
      </w:r>
      <w:r>
        <w:rPr>
          <w:rFonts w:ascii="Arial"/>
          <w:color w:val="231F20"/>
          <w:spacing w:val="-2"/>
          <w:w w:val="115"/>
          <w:sz w:val="14"/>
        </w:rPr>
        <w:t>Weighted</w:t>
      </w:r>
      <w:r>
        <w:rPr>
          <w:rFonts w:ascii="Arial"/>
          <w:color w:val="231F20"/>
          <w:spacing w:val="-5"/>
          <w:w w:val="115"/>
          <w:sz w:val="14"/>
        </w:rPr>
        <w:t> </w:t>
      </w:r>
      <w:r>
        <w:rPr>
          <w:rFonts w:ascii="Arial"/>
          <w:color w:val="231F20"/>
          <w:spacing w:val="-2"/>
          <w:w w:val="115"/>
          <w:sz w:val="14"/>
        </w:rPr>
        <w:t>Average</w:t>
      </w:r>
      <w:r>
        <w:rPr>
          <w:rFonts w:ascii="Arial"/>
          <w:color w:val="231F20"/>
          <w:spacing w:val="-5"/>
          <w:w w:val="115"/>
          <w:sz w:val="14"/>
        </w:rPr>
        <w:t> </w:t>
      </w:r>
      <w:r>
        <w:rPr>
          <w:rFonts w:ascii="Arial"/>
          <w:color w:val="231F20"/>
          <w:spacing w:val="-2"/>
          <w:w w:val="115"/>
          <w:sz w:val="14"/>
        </w:rPr>
        <w:t>Cost</w:t>
      </w:r>
      <w:r>
        <w:rPr>
          <w:rFonts w:ascii="Arial"/>
          <w:color w:val="231F20"/>
          <w:spacing w:val="-5"/>
          <w:w w:val="115"/>
          <w:sz w:val="14"/>
        </w:rPr>
        <w:t> </w:t>
      </w:r>
      <w:r>
        <w:rPr>
          <w:rFonts w:ascii="Arial"/>
          <w:color w:val="231F20"/>
          <w:spacing w:val="-2"/>
          <w:w w:val="115"/>
          <w:sz w:val="14"/>
        </w:rPr>
        <w:t>of</w:t>
      </w:r>
      <w:r>
        <w:rPr>
          <w:rFonts w:ascii="Arial"/>
          <w:color w:val="231F20"/>
          <w:spacing w:val="-5"/>
          <w:w w:val="115"/>
          <w:sz w:val="14"/>
        </w:rPr>
        <w:t> </w:t>
      </w:r>
      <w:r>
        <w:rPr>
          <w:rFonts w:ascii="Arial"/>
          <w:color w:val="231F20"/>
          <w:spacing w:val="-2"/>
          <w:w w:val="115"/>
          <w:sz w:val="14"/>
        </w:rPr>
        <w:t>Capital</w:t>
      </w:r>
    </w:p>
    <w:p>
      <w:pPr>
        <w:pStyle w:val="BodyText"/>
        <w:ind w:left="1280"/>
        <w:rPr>
          <w:rFonts w:ascii="Arial"/>
          <w:sz w:val="20"/>
        </w:rPr>
      </w:pPr>
      <w:r>
        <w:rPr>
          <w:rFonts w:ascii="Arial"/>
          <w:sz w:val="20"/>
        </w:rPr>
        <w:drawing>
          <wp:inline distT="0" distB="0" distL="0" distR="0">
            <wp:extent cx="3679960" cy="2106263"/>
            <wp:effectExtent l="0" t="0" r="0" b="0"/>
            <wp:docPr id="109" name="image64.png"/>
            <wp:cNvGraphicFramePr>
              <a:graphicFrameLocks noChangeAspect="1"/>
            </wp:cNvGraphicFramePr>
            <a:graphic>
              <a:graphicData uri="http://schemas.openxmlformats.org/drawingml/2006/picture">
                <pic:pic>
                  <pic:nvPicPr>
                    <pic:cNvPr id="110" name="image64.png"/>
                    <pic:cNvPicPr/>
                  </pic:nvPicPr>
                  <pic:blipFill>
                    <a:blip r:embed="rId92" cstate="print"/>
                    <a:stretch>
                      <a:fillRect/>
                    </a:stretch>
                  </pic:blipFill>
                  <pic:spPr>
                    <a:xfrm>
                      <a:off x="0" y="0"/>
                      <a:ext cx="3679960" cy="2106263"/>
                    </a:xfrm>
                    <a:prstGeom prst="rect">
                      <a:avLst/>
                    </a:prstGeom>
                  </pic:spPr>
                </pic:pic>
              </a:graphicData>
            </a:graphic>
          </wp:inline>
        </w:drawing>
      </w:r>
      <w:r>
        <w:rPr>
          <w:rFonts w:ascii="Arial"/>
          <w:sz w:val="20"/>
        </w:rPr>
      </w:r>
    </w:p>
    <w:p>
      <w:pPr>
        <w:spacing w:after="0"/>
        <w:rPr>
          <w:rFonts w:ascii="Arial"/>
          <w:sz w:val="20"/>
        </w:rPr>
        <w:sectPr>
          <w:pgSz w:w="8640" w:h="12960"/>
          <w:pgMar w:header="734" w:footer="0" w:top="920" w:bottom="280" w:left="340" w:right="500"/>
        </w:sectPr>
      </w:pPr>
    </w:p>
    <w:p>
      <w:pPr>
        <w:pStyle w:val="BodyText"/>
        <w:spacing w:before="2"/>
        <w:rPr>
          <w:rFonts w:ascii="Arial"/>
          <w:sz w:val="18"/>
        </w:rPr>
      </w:pPr>
    </w:p>
    <w:p>
      <w:pPr>
        <w:spacing w:after="0"/>
        <w:rPr>
          <w:rFonts w:ascii="Arial"/>
          <w:sz w:val="18"/>
        </w:rPr>
        <w:sectPr>
          <w:pgSz w:w="8640" w:h="12960"/>
          <w:pgMar w:header="732" w:footer="0" w:top="920" w:bottom="280" w:left="340" w:right="500"/>
        </w:sectPr>
      </w:pPr>
    </w:p>
    <w:p>
      <w:pPr>
        <w:pStyle w:val="BodyText"/>
        <w:rPr>
          <w:rFonts w:ascii="Arial"/>
        </w:rPr>
      </w:pPr>
    </w:p>
    <w:p>
      <w:pPr>
        <w:pStyle w:val="BodyText"/>
        <w:jc w:val="right"/>
        <w:rPr>
          <w:sz w:val="11"/>
        </w:rPr>
      </w:pPr>
      <w:r>
        <w:rPr>
          <w:color w:val="231F20"/>
          <w:spacing w:val="-2"/>
        </w:rPr>
        <w:t>Beta</w:t>
      </w:r>
      <w:r>
        <w:rPr>
          <w:color w:val="231F20"/>
          <w:spacing w:val="-2"/>
          <w:position w:val="-3"/>
          <w:sz w:val="11"/>
        </w:rPr>
        <w:t>u</w:t>
      </w:r>
    </w:p>
    <w:p>
      <w:pPr>
        <w:tabs>
          <w:tab w:pos="1215" w:val="left" w:leader="none"/>
          <w:tab w:pos="2795" w:val="left" w:leader="none"/>
        </w:tabs>
        <w:spacing w:line="196" w:lineRule="exact" w:before="102"/>
        <w:ind w:left="205" w:right="0" w:firstLine="0"/>
        <w:jc w:val="left"/>
        <w:rPr>
          <w:sz w:val="11"/>
        </w:rPr>
      </w:pPr>
      <w:r>
        <w:rPr/>
        <w:br w:type="column"/>
      </w:r>
      <w:r>
        <w:rPr>
          <w:color w:val="231F20"/>
          <w:sz w:val="21"/>
          <w:u w:val="single" w:color="231F20"/>
        </w:rPr>
        <w:tab/>
      </w:r>
      <w:r>
        <w:rPr>
          <w:color w:val="231F20"/>
          <w:spacing w:val="-4"/>
          <w:sz w:val="21"/>
          <w:u w:val="single" w:color="231F20"/>
        </w:rPr>
        <w:t>Beta</w:t>
      </w:r>
      <w:r>
        <w:rPr>
          <w:color w:val="231F20"/>
          <w:spacing w:val="-4"/>
          <w:position w:val="-3"/>
          <w:sz w:val="11"/>
          <w:u w:val="single" w:color="231F20"/>
        </w:rPr>
        <w:t>l</w:t>
      </w:r>
      <w:r>
        <w:rPr>
          <w:color w:val="231F20"/>
          <w:position w:val="-3"/>
          <w:sz w:val="11"/>
          <w:u w:val="single" w:color="231F20"/>
        </w:rPr>
        <w:tab/>
      </w:r>
    </w:p>
    <w:p>
      <w:pPr>
        <w:pStyle w:val="BodyText"/>
        <w:tabs>
          <w:tab w:pos="2198" w:val="left" w:leader="none"/>
        </w:tabs>
        <w:spacing w:line="296" w:lineRule="exact"/>
        <w:ind w:left="19"/>
      </w:pPr>
      <w:r>
        <w:rPr>
          <w:rFonts w:ascii="Symbol" w:hAnsi="Symbol"/>
          <w:color w:val="231F20"/>
          <w:spacing w:val="-10"/>
          <w:w w:val="105"/>
          <w:position w:val="16"/>
        </w:rPr>
        <w:t></w:t>
      </w:r>
      <w:r>
        <w:rPr>
          <w:rFonts w:ascii="Times New Roman" w:hAnsi="Times New Roman"/>
          <w:color w:val="231F20"/>
          <w:position w:val="16"/>
        </w:rPr>
        <w:tab/>
      </w:r>
      <w:r>
        <w:rPr>
          <w:color w:val="231F20"/>
          <w:spacing w:val="-4"/>
          <w:w w:val="105"/>
        </w:rPr>
        <w:t>Debt</w:t>
      </w:r>
    </w:p>
    <w:p>
      <w:pPr>
        <w:pStyle w:val="BodyText"/>
        <w:tabs>
          <w:tab w:pos="1044" w:val="left" w:leader="none"/>
        </w:tabs>
        <w:spacing w:line="177" w:lineRule="auto"/>
        <w:ind w:left="195"/>
      </w:pPr>
      <w:r>
        <w:rPr/>
        <w:pict>
          <v:line style="position:absolute;mso-position-horizontal-relative:page;mso-position-vertical-relative:paragraph;z-index:-25083904" from="249pt,6.018646pt" to="276.5pt,6.018646pt" stroked="true" strokeweight=".5pt" strokecolor="#231f20">
            <v:stroke dashstyle="solid"/>
            <w10:wrap type="none"/>
          </v:line>
        </w:pict>
      </w:r>
      <w:r>
        <w:rPr/>
        <w:pict>
          <v:rect style="position:absolute;margin-left:185.589661pt;margin-top:6.892896pt;width:4.93095pt;height:.7242pt;mso-position-horizontal-relative:page;mso-position-vertical-relative:paragraph;z-index:-25082880" id="docshape389" filled="true" fillcolor="#231f20" stroked="false">
            <v:fill type="solid"/>
            <w10:wrap type="none"/>
          </v:rect>
        </w:pict>
      </w:r>
      <w:r>
        <w:rPr>
          <w:color w:val="231F20"/>
        </w:rPr>
        <w:t>(1</w:t>
      </w:r>
      <w:r>
        <w:rPr>
          <w:color w:val="231F20"/>
          <w:spacing w:val="8"/>
        </w:rPr>
        <w:t> </w:t>
      </w:r>
      <w:r>
        <w:rPr>
          <w:rFonts w:ascii="Symbol" w:hAnsi="Symbol"/>
          <w:color w:val="231F20"/>
        </w:rPr>
        <w:t></w:t>
      </w:r>
      <w:r>
        <w:rPr>
          <w:rFonts w:ascii="Times New Roman" w:hAnsi="Times New Roman"/>
          <w:color w:val="231F20"/>
          <w:spacing w:val="2"/>
        </w:rPr>
        <w:t> </w:t>
      </w:r>
      <w:r>
        <w:rPr>
          <w:color w:val="231F20"/>
          <w:spacing w:val="-5"/>
        </w:rPr>
        <w:t>(1</w:t>
      </w:r>
      <w:r>
        <w:rPr>
          <w:color w:val="231F20"/>
        </w:rPr>
        <w:tab/>
        <w:t>tax</w:t>
      </w:r>
      <w:r>
        <w:rPr>
          <w:color w:val="231F20"/>
          <w:spacing w:val="12"/>
        </w:rPr>
        <w:t> </w:t>
      </w:r>
      <w:r>
        <w:rPr>
          <w:color w:val="231F20"/>
        </w:rPr>
        <w:t>rate)</w:t>
      </w:r>
      <w:r>
        <w:rPr>
          <w:color w:val="231F20"/>
          <w:spacing w:val="13"/>
        </w:rPr>
        <w:t> </w:t>
      </w:r>
      <w:r>
        <w:rPr>
          <w:rFonts w:ascii="Symbol" w:hAnsi="Symbol"/>
          <w:color w:val="231F20"/>
        </w:rPr>
        <w:t></w:t>
      </w:r>
      <w:r>
        <w:rPr>
          <w:rFonts w:ascii="Times New Roman" w:hAnsi="Times New Roman"/>
          <w:color w:val="231F20"/>
          <w:spacing w:val="69"/>
        </w:rPr>
        <w:t> </w:t>
      </w:r>
      <w:r>
        <w:rPr>
          <w:color w:val="231F20"/>
          <w:spacing w:val="-2"/>
          <w:position w:val="-14"/>
        </w:rPr>
        <w:t>Equity</w:t>
      </w:r>
      <w:r>
        <w:rPr>
          <w:color w:val="231F20"/>
          <w:spacing w:val="-2"/>
        </w:rPr>
        <w:t>)</w:t>
      </w:r>
    </w:p>
    <w:p>
      <w:pPr>
        <w:spacing w:after="0" w:line="177" w:lineRule="auto"/>
        <w:sectPr>
          <w:type w:val="continuous"/>
          <w:pgSz w:w="8640" w:h="12960"/>
          <w:pgMar w:header="734" w:footer="0" w:top="1220" w:bottom="280" w:left="340" w:right="500"/>
          <w:cols w:num="2" w:equalWidth="0">
            <w:col w:w="2455" w:space="40"/>
            <w:col w:w="5305"/>
          </w:cols>
        </w:sectPr>
      </w:pPr>
    </w:p>
    <w:p>
      <w:pPr>
        <w:pStyle w:val="BodyText"/>
        <w:spacing w:before="9"/>
        <w:rPr>
          <w:sz w:val="25"/>
        </w:rPr>
      </w:pPr>
    </w:p>
    <w:p>
      <w:pPr>
        <w:pStyle w:val="BodyText"/>
        <w:spacing w:before="102"/>
        <w:ind w:left="1960"/>
      </w:pPr>
      <w:r>
        <w:rPr/>
        <w:pict>
          <v:line style="position:absolute;mso-position-horizontal-relative:page;mso-position-vertical-relative:paragraph;z-index:-25083392" from="284pt,34.327267pt" to="311.5pt,34.327267pt" stroked="true" strokeweight=".5pt" strokecolor="#231f20">
            <v:stroke dashstyle="solid"/>
            <w10:wrap type="none"/>
          </v:line>
        </w:pict>
      </w:r>
      <w:r>
        <w:rPr/>
        <w:pict>
          <v:rect style="position:absolute;margin-left:220.294327pt;margin-top:34.701458pt;width:4.930940pt;height:.7242pt;mso-position-horizontal-relative:page;mso-position-vertical-relative:paragraph;z-index:-25082368" id="docshape390" filled="true" fillcolor="#231f20" stroked="false">
            <v:fill type="solid"/>
            <w10:wrap type="none"/>
          </v:rect>
        </w:pict>
      </w:r>
      <w:r>
        <w:rPr>
          <w:color w:val="231F20"/>
        </w:rPr>
        <w:t>Step</w:t>
      </w:r>
      <w:r>
        <w:rPr>
          <w:color w:val="231F20"/>
          <w:spacing w:val="4"/>
        </w:rPr>
        <w:t> </w:t>
      </w:r>
      <w:r>
        <w:rPr>
          <w:color w:val="231F20"/>
          <w:spacing w:val="-10"/>
        </w:rPr>
        <w:t>B</w:t>
      </w:r>
    </w:p>
    <w:p>
      <w:pPr>
        <w:spacing w:after="0"/>
        <w:sectPr>
          <w:type w:val="continuous"/>
          <w:pgSz w:w="8640" w:h="12960"/>
          <w:pgMar w:header="734" w:footer="0" w:top="1220" w:bottom="280" w:left="340" w:right="500"/>
        </w:sectPr>
      </w:pPr>
    </w:p>
    <w:p>
      <w:pPr>
        <w:pStyle w:val="BodyText"/>
        <w:spacing w:before="204"/>
        <w:jc w:val="right"/>
        <w:rPr>
          <w:sz w:val="11"/>
        </w:rPr>
      </w:pPr>
      <w:r>
        <w:rPr>
          <w:color w:val="231F20"/>
          <w:spacing w:val="-2"/>
          <w:w w:val="105"/>
        </w:rPr>
        <w:t>Beta</w:t>
      </w:r>
      <w:r>
        <w:rPr>
          <w:color w:val="231F20"/>
          <w:spacing w:val="-2"/>
          <w:w w:val="105"/>
          <w:position w:val="-3"/>
          <w:sz w:val="11"/>
        </w:rPr>
        <w:t>l</w:t>
      </w:r>
    </w:p>
    <w:p>
      <w:pPr>
        <w:spacing w:before="192"/>
        <w:ind w:left="19" w:right="0" w:firstLine="0"/>
        <w:jc w:val="left"/>
        <w:rPr>
          <w:sz w:val="11"/>
        </w:rPr>
      </w:pPr>
      <w:r>
        <w:rPr/>
        <w:br w:type="column"/>
      </w:r>
      <w:r>
        <w:rPr>
          <w:rFonts w:ascii="Symbol" w:hAnsi="Symbol"/>
          <w:color w:val="231F20"/>
          <w:sz w:val="21"/>
        </w:rPr>
        <w:t></w:t>
      </w:r>
      <w:r>
        <w:rPr>
          <w:rFonts w:ascii="Times New Roman" w:hAnsi="Times New Roman"/>
          <w:color w:val="231F20"/>
          <w:spacing w:val="7"/>
          <w:sz w:val="21"/>
        </w:rPr>
        <w:t> </w:t>
      </w:r>
      <w:r>
        <w:rPr>
          <w:color w:val="231F20"/>
          <w:spacing w:val="-2"/>
          <w:sz w:val="21"/>
        </w:rPr>
        <w:t>Beta</w:t>
      </w:r>
      <w:r>
        <w:rPr>
          <w:color w:val="231F20"/>
          <w:spacing w:val="-2"/>
          <w:position w:val="-3"/>
          <w:sz w:val="11"/>
        </w:rPr>
        <w:t>u</w:t>
      </w:r>
    </w:p>
    <w:p>
      <w:pPr>
        <w:pStyle w:val="ListParagraph"/>
        <w:numPr>
          <w:ilvl w:val="0"/>
          <w:numId w:val="36"/>
        </w:numPr>
        <w:tabs>
          <w:tab w:pos="196" w:val="left" w:leader="none"/>
          <w:tab w:pos="1044" w:val="left" w:leader="none"/>
        </w:tabs>
        <w:spacing w:line="240" w:lineRule="auto" w:before="192" w:after="0"/>
        <w:ind w:left="195" w:right="0" w:hanging="177"/>
        <w:jc w:val="left"/>
        <w:rPr>
          <w:rFonts w:ascii="Symbol" w:hAnsi="Symbol"/>
          <w:sz w:val="21"/>
        </w:rPr>
      </w:pPr>
      <w:r>
        <w:rPr>
          <w:rFonts w:ascii="Cambria" w:hAnsi="Cambria"/>
          <w:color w:val="231F20"/>
          <w:spacing w:val="-1"/>
          <w:w w:val="96"/>
          <w:sz w:val="21"/>
        </w:rPr>
        <w:br w:type="column"/>
      </w:r>
      <w:r>
        <w:rPr>
          <w:rFonts w:ascii="Cambria" w:hAnsi="Cambria"/>
          <w:color w:val="231F20"/>
          <w:sz w:val="21"/>
        </w:rPr>
        <w:t>(1</w:t>
      </w:r>
      <w:r>
        <w:rPr>
          <w:rFonts w:ascii="Cambria" w:hAnsi="Cambria"/>
          <w:color w:val="231F20"/>
          <w:spacing w:val="8"/>
          <w:sz w:val="21"/>
        </w:rPr>
        <w:t> </w:t>
      </w:r>
      <w:r>
        <w:rPr>
          <w:rFonts w:ascii="Symbol" w:hAnsi="Symbol"/>
          <w:color w:val="231F20"/>
          <w:sz w:val="21"/>
        </w:rPr>
        <w:t></w:t>
      </w:r>
      <w:r>
        <w:rPr>
          <w:rFonts w:ascii="Times New Roman" w:hAnsi="Times New Roman"/>
          <w:color w:val="231F20"/>
          <w:spacing w:val="2"/>
          <w:sz w:val="21"/>
        </w:rPr>
        <w:t> </w:t>
      </w:r>
      <w:r>
        <w:rPr>
          <w:rFonts w:ascii="Cambria" w:hAnsi="Cambria"/>
          <w:color w:val="231F20"/>
          <w:spacing w:val="-5"/>
          <w:sz w:val="21"/>
        </w:rPr>
        <w:t>(1</w:t>
      </w:r>
      <w:r>
        <w:rPr>
          <w:rFonts w:ascii="Cambria" w:hAnsi="Cambria"/>
          <w:color w:val="231F20"/>
          <w:sz w:val="21"/>
        </w:rPr>
        <w:tab/>
        <w:t>tax</w:t>
      </w:r>
      <w:r>
        <w:rPr>
          <w:rFonts w:ascii="Cambria" w:hAnsi="Cambria"/>
          <w:color w:val="231F20"/>
          <w:spacing w:val="12"/>
          <w:sz w:val="21"/>
        </w:rPr>
        <w:t> </w:t>
      </w:r>
      <w:r>
        <w:rPr>
          <w:rFonts w:ascii="Cambria" w:hAnsi="Cambria"/>
          <w:color w:val="231F20"/>
          <w:sz w:val="21"/>
        </w:rPr>
        <w:t>rate)</w:t>
      </w:r>
      <w:r>
        <w:rPr>
          <w:rFonts w:ascii="Cambria" w:hAnsi="Cambria"/>
          <w:color w:val="231F20"/>
          <w:spacing w:val="13"/>
          <w:sz w:val="21"/>
        </w:rPr>
        <w:t> </w:t>
      </w:r>
      <w:r>
        <w:rPr>
          <w:rFonts w:ascii="Symbol" w:hAnsi="Symbol"/>
          <w:color w:val="231F20"/>
          <w:spacing w:val="-10"/>
          <w:sz w:val="21"/>
        </w:rPr>
        <w:t></w:t>
      </w:r>
    </w:p>
    <w:p>
      <w:pPr>
        <w:pStyle w:val="BodyText"/>
        <w:spacing w:line="182" w:lineRule="auto" w:before="66"/>
        <w:ind w:left="86" w:right="1290" w:firstLine="70"/>
      </w:pPr>
      <w:r>
        <w:rPr/>
        <w:br w:type="column"/>
      </w:r>
      <w:r>
        <w:rPr>
          <w:color w:val="231F20"/>
        </w:rPr>
        <w:t>Debt</w:t>
      </w:r>
      <w:r>
        <w:rPr>
          <w:color w:val="231F20"/>
          <w:spacing w:val="15"/>
        </w:rPr>
        <w:t> </w:t>
      </w:r>
      <w:r>
        <w:rPr>
          <w:color w:val="231F20"/>
          <w:position w:val="-14"/>
        </w:rPr>
        <w:t>) </w:t>
      </w:r>
      <w:r>
        <w:rPr>
          <w:color w:val="231F20"/>
          <w:spacing w:val="-2"/>
        </w:rPr>
        <w:t>Equity</w:t>
      </w:r>
    </w:p>
    <w:p>
      <w:pPr>
        <w:spacing w:after="0" w:line="182" w:lineRule="auto"/>
        <w:sectPr>
          <w:type w:val="continuous"/>
          <w:pgSz w:w="8640" w:h="12960"/>
          <w:pgMar w:header="734" w:footer="0" w:top="1220" w:bottom="280" w:left="340" w:right="500"/>
          <w:cols w:num="4" w:equalWidth="0">
            <w:col w:w="2419" w:space="40"/>
            <w:col w:w="690" w:space="39"/>
            <w:col w:w="2002" w:space="40"/>
            <w:col w:w="2570"/>
          </w:cols>
        </w:sectPr>
      </w:pPr>
    </w:p>
    <w:p>
      <w:pPr>
        <w:pStyle w:val="BodyText"/>
        <w:spacing w:before="6"/>
        <w:rPr>
          <w:sz w:val="9"/>
        </w:rPr>
      </w:pPr>
    </w:p>
    <w:p>
      <w:pPr>
        <w:pStyle w:val="BodyText"/>
        <w:spacing w:before="91"/>
        <w:ind w:left="2000"/>
      </w:pPr>
      <w:r>
        <w:rPr>
          <w:color w:val="231F20"/>
        </w:rPr>
        <w:t>l</w:t>
      </w:r>
      <w:r>
        <w:rPr>
          <w:color w:val="231F20"/>
          <w:spacing w:val="14"/>
        </w:rPr>
        <w:t> </w:t>
      </w:r>
      <w:r>
        <w:rPr>
          <w:rFonts w:ascii="Symbol" w:hAnsi="Symbol"/>
          <w:color w:val="231F20"/>
        </w:rPr>
        <w:t></w:t>
      </w:r>
      <w:r>
        <w:rPr>
          <w:rFonts w:ascii="Times New Roman" w:hAnsi="Times New Roman"/>
          <w:color w:val="231F20"/>
          <w:spacing w:val="-7"/>
        </w:rPr>
        <w:t> </w:t>
      </w:r>
      <w:r>
        <w:rPr>
          <w:color w:val="231F20"/>
        </w:rPr>
        <w:t>levered</w:t>
      </w:r>
      <w:r>
        <w:rPr>
          <w:color w:val="231F20"/>
          <w:spacing w:val="5"/>
        </w:rPr>
        <w:t> </w:t>
      </w:r>
      <w:r>
        <w:rPr>
          <w:color w:val="231F20"/>
        </w:rPr>
        <w:t>structure</w:t>
      </w:r>
      <w:r>
        <w:rPr>
          <w:color w:val="231F20"/>
          <w:spacing w:val="5"/>
        </w:rPr>
        <w:t> </w:t>
      </w:r>
      <w:r>
        <w:rPr>
          <w:color w:val="231F20"/>
        </w:rPr>
        <w:t>with</w:t>
      </w:r>
      <w:r>
        <w:rPr>
          <w:color w:val="231F20"/>
          <w:spacing w:val="5"/>
        </w:rPr>
        <w:t> </w:t>
      </w:r>
      <w:r>
        <w:rPr>
          <w:color w:val="231F20"/>
          <w:spacing w:val="-4"/>
        </w:rPr>
        <w:t>debt</w:t>
      </w:r>
    </w:p>
    <w:p>
      <w:pPr>
        <w:pStyle w:val="BodyText"/>
        <w:spacing w:before="42"/>
        <w:ind w:left="1941"/>
      </w:pPr>
      <w:r>
        <w:rPr>
          <w:color w:val="231F20"/>
        </w:rPr>
        <w:t>u</w:t>
      </w:r>
      <w:r>
        <w:rPr>
          <w:color w:val="231F20"/>
          <w:spacing w:val="16"/>
        </w:rPr>
        <w:t> </w:t>
      </w:r>
      <w:r>
        <w:rPr>
          <w:rFonts w:ascii="Symbol" w:hAnsi="Symbol"/>
          <w:color w:val="231F20"/>
        </w:rPr>
        <w:t></w:t>
      </w:r>
      <w:r>
        <w:rPr>
          <w:rFonts w:ascii="Times New Roman" w:hAnsi="Times New Roman"/>
          <w:color w:val="231F20"/>
          <w:spacing w:val="-4"/>
        </w:rPr>
        <w:t> </w:t>
      </w:r>
      <w:r>
        <w:rPr>
          <w:color w:val="231F20"/>
        </w:rPr>
        <w:t>unlevered</w:t>
      </w:r>
      <w:r>
        <w:rPr>
          <w:color w:val="231F20"/>
          <w:spacing w:val="7"/>
        </w:rPr>
        <w:t> </w:t>
      </w:r>
      <w:r>
        <w:rPr>
          <w:color w:val="231F20"/>
        </w:rPr>
        <w:t>structure</w:t>
      </w:r>
      <w:r>
        <w:rPr>
          <w:color w:val="231F20"/>
          <w:spacing w:val="6"/>
        </w:rPr>
        <w:t> </w:t>
      </w:r>
      <w:r>
        <w:rPr>
          <w:color w:val="231F20"/>
        </w:rPr>
        <w:t>without</w:t>
      </w:r>
      <w:r>
        <w:rPr>
          <w:color w:val="231F20"/>
          <w:spacing w:val="7"/>
        </w:rPr>
        <w:t> </w:t>
      </w:r>
      <w:r>
        <w:rPr>
          <w:color w:val="231F20"/>
          <w:spacing w:val="-4"/>
        </w:rPr>
        <w:t>debt</w:t>
      </w:r>
    </w:p>
    <w:p>
      <w:pPr>
        <w:pStyle w:val="BodyText"/>
        <w:spacing w:before="1"/>
        <w:rPr>
          <w:sz w:val="26"/>
        </w:rPr>
      </w:pPr>
    </w:p>
    <w:p>
      <w:pPr>
        <w:pStyle w:val="BodyText"/>
        <w:spacing w:line="292" w:lineRule="auto"/>
        <w:ind w:left="830" w:right="753" w:firstLine="340"/>
        <w:jc w:val="both"/>
      </w:pPr>
      <w:r>
        <w:rPr>
          <w:color w:val="231F20"/>
          <w:w w:val="105"/>
        </w:rPr>
        <w:t>To</w:t>
      </w:r>
      <w:r>
        <w:rPr>
          <w:color w:val="231F20"/>
          <w:w w:val="105"/>
        </w:rPr>
        <w:t> illustrate:</w:t>
      </w:r>
      <w:r>
        <w:rPr>
          <w:color w:val="231F20"/>
          <w:w w:val="105"/>
        </w:rPr>
        <w:t> The</w:t>
      </w:r>
      <w:r>
        <w:rPr>
          <w:color w:val="231F20"/>
          <w:w w:val="105"/>
        </w:rPr>
        <w:t> treasurer</w:t>
      </w:r>
      <w:r>
        <w:rPr>
          <w:color w:val="231F20"/>
          <w:w w:val="105"/>
        </w:rPr>
        <w:t> of</w:t>
      </w:r>
      <w:r>
        <w:rPr>
          <w:color w:val="231F20"/>
          <w:w w:val="105"/>
        </w:rPr>
        <w:t> Leverco,</w:t>
      </w:r>
      <w:r>
        <w:rPr>
          <w:color w:val="231F20"/>
          <w:w w:val="105"/>
        </w:rPr>
        <w:t> Inc.,</w:t>
      </w:r>
      <w:r>
        <w:rPr>
          <w:color w:val="231F20"/>
          <w:w w:val="105"/>
        </w:rPr>
        <w:t> wants</w:t>
      </w:r>
      <w:r>
        <w:rPr>
          <w:color w:val="231F20"/>
          <w:w w:val="105"/>
        </w:rPr>
        <w:t> to</w:t>
      </w:r>
      <w:r>
        <w:rPr>
          <w:color w:val="231F20"/>
          <w:w w:val="105"/>
        </w:rPr>
        <w:t> decide </w:t>
      </w:r>
      <w:r>
        <w:rPr>
          <w:color w:val="231F20"/>
        </w:rPr>
        <w:t>whether to choose a 0 percent, 25 percent, or 50 percent debt capital </w:t>
      </w:r>
      <w:r>
        <w:rPr>
          <w:color w:val="231F20"/>
          <w:w w:val="105"/>
        </w:rPr>
        <w:t>structure.</w:t>
      </w:r>
      <w:r>
        <w:rPr>
          <w:color w:val="231F20"/>
          <w:spacing w:val="-4"/>
          <w:w w:val="105"/>
        </w:rPr>
        <w:t> </w:t>
      </w:r>
      <w:r>
        <w:rPr>
          <w:color w:val="231F20"/>
          <w:w w:val="105"/>
        </w:rPr>
        <w:t>To</w:t>
      </w:r>
      <w:r>
        <w:rPr>
          <w:color w:val="231F20"/>
          <w:spacing w:val="-4"/>
          <w:w w:val="105"/>
        </w:rPr>
        <w:t> </w:t>
      </w:r>
      <w:r>
        <w:rPr>
          <w:color w:val="231F20"/>
          <w:w w:val="105"/>
        </w:rPr>
        <w:t>do</w:t>
      </w:r>
      <w:r>
        <w:rPr>
          <w:color w:val="231F20"/>
          <w:spacing w:val="-4"/>
          <w:w w:val="105"/>
        </w:rPr>
        <w:t> </w:t>
      </w:r>
      <w:r>
        <w:rPr>
          <w:color w:val="231F20"/>
          <w:w w:val="105"/>
        </w:rPr>
        <w:t>so,</w:t>
      </w:r>
      <w:r>
        <w:rPr>
          <w:color w:val="231F20"/>
          <w:spacing w:val="-4"/>
          <w:w w:val="105"/>
        </w:rPr>
        <w:t> </w:t>
      </w:r>
      <w:r>
        <w:rPr>
          <w:color w:val="231F20"/>
          <w:w w:val="105"/>
        </w:rPr>
        <w:t>he</w:t>
      </w:r>
      <w:r>
        <w:rPr>
          <w:color w:val="231F20"/>
          <w:spacing w:val="-4"/>
          <w:w w:val="105"/>
        </w:rPr>
        <w:t> </w:t>
      </w:r>
      <w:r>
        <w:rPr>
          <w:color w:val="231F20"/>
          <w:w w:val="105"/>
        </w:rPr>
        <w:t>has</w:t>
      </w:r>
      <w:r>
        <w:rPr>
          <w:color w:val="231F20"/>
          <w:spacing w:val="-4"/>
          <w:w w:val="105"/>
        </w:rPr>
        <w:t> </w:t>
      </w:r>
      <w:r>
        <w:rPr>
          <w:color w:val="231F20"/>
          <w:w w:val="105"/>
        </w:rPr>
        <w:t>laid</w:t>
      </w:r>
      <w:r>
        <w:rPr>
          <w:color w:val="231F20"/>
          <w:spacing w:val="-4"/>
          <w:w w:val="105"/>
        </w:rPr>
        <w:t> </w:t>
      </w:r>
      <w:r>
        <w:rPr>
          <w:color w:val="231F20"/>
          <w:w w:val="105"/>
        </w:rPr>
        <w:t>out</w:t>
      </w:r>
      <w:r>
        <w:rPr>
          <w:color w:val="231F20"/>
          <w:spacing w:val="-4"/>
          <w:w w:val="105"/>
        </w:rPr>
        <w:t> </w:t>
      </w:r>
      <w:r>
        <w:rPr>
          <w:color w:val="231F20"/>
          <w:w w:val="105"/>
        </w:rPr>
        <w:t>the</w:t>
      </w:r>
      <w:r>
        <w:rPr>
          <w:color w:val="231F20"/>
          <w:spacing w:val="-4"/>
          <w:w w:val="105"/>
        </w:rPr>
        <w:t> </w:t>
      </w:r>
      <w:r>
        <w:rPr>
          <w:color w:val="231F20"/>
          <w:w w:val="105"/>
        </w:rPr>
        <w:t>facts</w:t>
      </w:r>
      <w:r>
        <w:rPr>
          <w:color w:val="231F20"/>
          <w:spacing w:val="-4"/>
          <w:w w:val="105"/>
        </w:rPr>
        <w:t> </w:t>
      </w:r>
      <w:r>
        <w:rPr>
          <w:color w:val="231F20"/>
          <w:w w:val="105"/>
        </w:rPr>
        <w:t>and</w:t>
      </w:r>
      <w:r>
        <w:rPr>
          <w:color w:val="231F20"/>
          <w:spacing w:val="-4"/>
          <w:w w:val="105"/>
        </w:rPr>
        <w:t> </w:t>
      </w:r>
      <w:r>
        <w:rPr>
          <w:color w:val="231F20"/>
          <w:w w:val="105"/>
        </w:rPr>
        <w:t>calculations</w:t>
      </w:r>
      <w:r>
        <w:rPr>
          <w:color w:val="231F20"/>
          <w:spacing w:val="-4"/>
          <w:w w:val="105"/>
        </w:rPr>
        <w:t> </w:t>
      </w:r>
      <w:r>
        <w:rPr>
          <w:color w:val="231F20"/>
          <w:w w:val="105"/>
        </w:rPr>
        <w:t>in</w:t>
      </w:r>
      <w:r>
        <w:rPr>
          <w:color w:val="231F20"/>
          <w:spacing w:val="-4"/>
          <w:w w:val="105"/>
        </w:rPr>
        <w:t> </w:t>
      </w:r>
      <w:r>
        <w:rPr>
          <w:color w:val="231F20"/>
          <w:w w:val="105"/>
        </w:rPr>
        <w:t>the following</w:t>
      </w:r>
      <w:r>
        <w:rPr>
          <w:color w:val="231F20"/>
          <w:w w:val="105"/>
        </w:rPr>
        <w:t> columns</w:t>
      </w:r>
      <w:r>
        <w:rPr>
          <w:color w:val="231F20"/>
          <w:w w:val="105"/>
        </w:rPr>
        <w:t> of</w:t>
      </w:r>
      <w:r>
        <w:rPr>
          <w:color w:val="231F20"/>
          <w:w w:val="105"/>
        </w:rPr>
        <w:t> numbers.</w:t>
      </w:r>
      <w:r>
        <w:rPr>
          <w:color w:val="231F20"/>
          <w:w w:val="105"/>
        </w:rPr>
        <w:t> The</w:t>
      </w:r>
      <w:r>
        <w:rPr>
          <w:color w:val="231F20"/>
          <w:w w:val="105"/>
        </w:rPr>
        <w:t> conclusion</w:t>
      </w:r>
      <w:r>
        <w:rPr>
          <w:color w:val="231F20"/>
          <w:w w:val="105"/>
        </w:rPr>
        <w:t> is</w:t>
      </w:r>
      <w:r>
        <w:rPr>
          <w:color w:val="231F20"/>
          <w:w w:val="105"/>
        </w:rPr>
        <w:t> the</w:t>
      </w:r>
      <w:r>
        <w:rPr>
          <w:color w:val="231F20"/>
          <w:w w:val="105"/>
        </w:rPr>
        <w:t> Leverco should</w:t>
      </w:r>
      <w:r>
        <w:rPr>
          <w:color w:val="231F20"/>
          <w:spacing w:val="-13"/>
          <w:w w:val="105"/>
        </w:rPr>
        <w:t> </w:t>
      </w:r>
      <w:r>
        <w:rPr>
          <w:color w:val="231F20"/>
          <w:w w:val="105"/>
        </w:rPr>
        <w:t>have</w:t>
      </w:r>
      <w:r>
        <w:rPr>
          <w:color w:val="231F20"/>
          <w:spacing w:val="-12"/>
          <w:w w:val="105"/>
        </w:rPr>
        <w:t> </w:t>
      </w:r>
      <w:r>
        <w:rPr>
          <w:color w:val="231F20"/>
          <w:w w:val="105"/>
        </w:rPr>
        <w:t>a</w:t>
      </w:r>
      <w:r>
        <w:rPr>
          <w:color w:val="231F20"/>
          <w:spacing w:val="-12"/>
          <w:w w:val="105"/>
        </w:rPr>
        <w:t> </w:t>
      </w:r>
      <w:r>
        <w:rPr>
          <w:color w:val="231F20"/>
          <w:w w:val="105"/>
        </w:rPr>
        <w:t>50</w:t>
      </w:r>
      <w:r>
        <w:rPr>
          <w:color w:val="231F20"/>
          <w:spacing w:val="-12"/>
          <w:w w:val="105"/>
        </w:rPr>
        <w:t> </w:t>
      </w:r>
      <w:r>
        <w:rPr>
          <w:color w:val="231F20"/>
          <w:w w:val="105"/>
        </w:rPr>
        <w:t>percent</w:t>
      </w:r>
      <w:r>
        <w:rPr>
          <w:color w:val="231F20"/>
          <w:spacing w:val="-12"/>
          <w:w w:val="105"/>
        </w:rPr>
        <w:t> </w:t>
      </w:r>
      <w:r>
        <w:rPr>
          <w:color w:val="231F20"/>
          <w:w w:val="105"/>
        </w:rPr>
        <w:t>debt</w:t>
      </w:r>
      <w:r>
        <w:rPr>
          <w:color w:val="231F20"/>
          <w:spacing w:val="-12"/>
          <w:w w:val="105"/>
        </w:rPr>
        <w:t> </w:t>
      </w:r>
      <w:r>
        <w:rPr>
          <w:color w:val="231F20"/>
          <w:w w:val="95"/>
        </w:rPr>
        <w:t>/</w:t>
      </w:r>
      <w:r>
        <w:rPr>
          <w:color w:val="231F20"/>
          <w:spacing w:val="-10"/>
          <w:w w:val="95"/>
        </w:rPr>
        <w:t> </w:t>
      </w:r>
      <w:r>
        <w:rPr>
          <w:color w:val="231F20"/>
          <w:w w:val="105"/>
        </w:rPr>
        <w:t>50</w:t>
      </w:r>
      <w:r>
        <w:rPr>
          <w:color w:val="231F20"/>
          <w:spacing w:val="-12"/>
          <w:w w:val="105"/>
        </w:rPr>
        <w:t> </w:t>
      </w:r>
      <w:r>
        <w:rPr>
          <w:color w:val="231F20"/>
          <w:w w:val="105"/>
        </w:rPr>
        <w:t>percent</w:t>
      </w:r>
      <w:r>
        <w:rPr>
          <w:color w:val="231F20"/>
          <w:spacing w:val="-12"/>
          <w:w w:val="105"/>
        </w:rPr>
        <w:t> </w:t>
      </w:r>
      <w:r>
        <w:rPr>
          <w:color w:val="231F20"/>
          <w:w w:val="105"/>
        </w:rPr>
        <w:t>equity</w:t>
      </w:r>
      <w:r>
        <w:rPr>
          <w:color w:val="231F20"/>
          <w:spacing w:val="-12"/>
          <w:w w:val="105"/>
        </w:rPr>
        <w:t> </w:t>
      </w:r>
      <w:r>
        <w:rPr>
          <w:color w:val="231F20"/>
          <w:w w:val="105"/>
        </w:rPr>
        <w:t>capital</w:t>
      </w:r>
      <w:r>
        <w:rPr>
          <w:color w:val="231F20"/>
          <w:spacing w:val="-12"/>
          <w:w w:val="105"/>
        </w:rPr>
        <w:t> </w:t>
      </w:r>
      <w:r>
        <w:rPr>
          <w:color w:val="231F20"/>
          <w:w w:val="105"/>
        </w:rPr>
        <w:t>structure. </w:t>
      </w:r>
      <w:r>
        <w:rPr>
          <w:color w:val="231F20"/>
        </w:rPr>
        <w:t>That’s the structure that maximizes the value of the firm while mini- </w:t>
      </w:r>
      <w:r>
        <w:rPr>
          <w:color w:val="231F20"/>
          <w:w w:val="105"/>
        </w:rPr>
        <w:t>mizing the WACC.</w:t>
      </w:r>
    </w:p>
    <w:p>
      <w:pPr>
        <w:pStyle w:val="BodyText"/>
        <w:spacing w:line="292" w:lineRule="auto"/>
        <w:ind w:left="830" w:right="756" w:firstLine="340"/>
        <w:jc w:val="both"/>
      </w:pPr>
      <w:r>
        <w:rPr>
          <w:color w:val="231F20"/>
        </w:rPr>
        <w:t>The same calculations demonstrated in Leverco’s case were </w:t>
      </w:r>
      <w:r>
        <w:rPr>
          <w:color w:val="231F20"/>
        </w:rPr>
        <w:t>used to derive the two theoretical graphs of the “Optimal Capital Struc- ture.” The first is the calculation of the weighted average cost of cap- ital. The second graph, using the lowest WACC shown, describes the maximum value of the firm. If you wish, you can try to recompute</w:t>
      </w:r>
      <w:r>
        <w:rPr>
          <w:color w:val="231F20"/>
          <w:spacing w:val="80"/>
          <w:w w:val="150"/>
        </w:rPr>
        <w:t> </w:t>
      </w:r>
      <w:r>
        <w:rPr>
          <w:color w:val="231F20"/>
        </w:rPr>
        <w:t>the calculations that are noted with an asterisk (*). These are the same computations that MBAs throughout the world use for capital structure decisions.</w:t>
      </w:r>
    </w:p>
    <w:p>
      <w:pPr>
        <w:pStyle w:val="BodyText"/>
        <w:spacing w:before="2"/>
        <w:rPr>
          <w:sz w:val="25"/>
        </w:rPr>
      </w:pPr>
    </w:p>
    <w:p>
      <w:pPr>
        <w:pStyle w:val="BodyText"/>
        <w:spacing w:line="292" w:lineRule="auto"/>
        <w:ind w:left="830" w:right="756"/>
        <w:jc w:val="both"/>
        <w:rPr>
          <w:i/>
        </w:rPr>
      </w:pPr>
      <w:r>
        <w:rPr>
          <w:i/>
          <w:color w:val="231F20"/>
        </w:rPr>
        <w:t>Dividend Policy. </w:t>
      </w:r>
      <w:r>
        <w:rPr>
          <w:color w:val="231F20"/>
        </w:rPr>
        <w:t>Financial managers must decide how much of a</w:t>
      </w:r>
      <w:r>
        <w:rPr>
          <w:color w:val="231F20"/>
          <w:spacing w:val="40"/>
        </w:rPr>
        <w:t> </w:t>
      </w:r>
      <w:r>
        <w:rPr>
          <w:color w:val="231F20"/>
        </w:rPr>
        <w:t>firm’s</w:t>
      </w:r>
      <w:r>
        <w:rPr>
          <w:color w:val="231F20"/>
          <w:spacing w:val="-5"/>
        </w:rPr>
        <w:t> </w:t>
      </w:r>
      <w:r>
        <w:rPr>
          <w:color w:val="231F20"/>
        </w:rPr>
        <w:t>profits</w:t>
      </w:r>
      <w:r>
        <w:rPr>
          <w:color w:val="231F20"/>
          <w:spacing w:val="-5"/>
        </w:rPr>
        <w:t> </w:t>
      </w:r>
      <w:r>
        <w:rPr>
          <w:color w:val="231F20"/>
        </w:rPr>
        <w:t>should</w:t>
      </w:r>
      <w:r>
        <w:rPr>
          <w:color w:val="231F20"/>
          <w:spacing w:val="-5"/>
        </w:rPr>
        <w:t> </w:t>
      </w:r>
      <w:r>
        <w:rPr>
          <w:color w:val="231F20"/>
        </w:rPr>
        <w:t>be</w:t>
      </w:r>
      <w:r>
        <w:rPr>
          <w:color w:val="231F20"/>
          <w:spacing w:val="-5"/>
        </w:rPr>
        <w:t> </w:t>
      </w:r>
      <w:r>
        <w:rPr>
          <w:color w:val="231F20"/>
        </w:rPr>
        <w:t>paid</w:t>
      </w:r>
      <w:r>
        <w:rPr>
          <w:color w:val="231F20"/>
          <w:spacing w:val="-5"/>
        </w:rPr>
        <w:t> </w:t>
      </w:r>
      <w:r>
        <w:rPr>
          <w:color w:val="231F20"/>
        </w:rPr>
        <w:t>out</w:t>
      </w:r>
      <w:r>
        <w:rPr>
          <w:color w:val="231F20"/>
          <w:spacing w:val="-5"/>
        </w:rPr>
        <w:t> </w:t>
      </w:r>
      <w:r>
        <w:rPr>
          <w:color w:val="231F20"/>
        </w:rPr>
        <w:t>as</w:t>
      </w:r>
      <w:r>
        <w:rPr>
          <w:color w:val="231F20"/>
          <w:spacing w:val="-5"/>
        </w:rPr>
        <w:t> </w:t>
      </w:r>
      <w:r>
        <w:rPr>
          <w:color w:val="231F20"/>
        </w:rPr>
        <w:t>dividends</w:t>
      </w:r>
      <w:r>
        <w:rPr>
          <w:color w:val="231F20"/>
          <w:spacing w:val="-5"/>
        </w:rPr>
        <w:t> </w:t>
      </w:r>
      <w:r>
        <w:rPr>
          <w:color w:val="231F20"/>
        </w:rPr>
        <w:t>and</w:t>
      </w:r>
      <w:r>
        <w:rPr>
          <w:color w:val="231F20"/>
          <w:spacing w:val="-5"/>
        </w:rPr>
        <w:t> </w:t>
      </w:r>
      <w:r>
        <w:rPr>
          <w:color w:val="231F20"/>
        </w:rPr>
        <w:t>must</w:t>
      </w:r>
      <w:r>
        <w:rPr>
          <w:color w:val="231F20"/>
          <w:spacing w:val="-5"/>
        </w:rPr>
        <w:t> </w:t>
      </w:r>
      <w:r>
        <w:rPr>
          <w:color w:val="231F20"/>
        </w:rPr>
        <w:t>determine</w:t>
      </w:r>
      <w:r>
        <w:rPr>
          <w:color w:val="231F20"/>
          <w:spacing w:val="-5"/>
        </w:rPr>
        <w:t> </w:t>
      </w:r>
      <w:r>
        <w:rPr>
          <w:color w:val="231F20"/>
        </w:rPr>
        <w:t>the size of dividends per share. This is called </w:t>
      </w:r>
      <w:r>
        <w:rPr>
          <w:i/>
          <w:color w:val="231F20"/>
        </w:rPr>
        <w:t>dividend policy.</w:t>
      </w:r>
    </w:p>
    <w:p>
      <w:pPr>
        <w:spacing w:line="292" w:lineRule="auto" w:before="0"/>
        <w:ind w:left="830" w:right="753" w:firstLine="340"/>
        <w:jc w:val="both"/>
        <w:rPr>
          <w:i/>
          <w:sz w:val="21"/>
        </w:rPr>
      </w:pPr>
      <w:r>
        <w:rPr>
          <w:color w:val="231F20"/>
          <w:sz w:val="21"/>
        </w:rPr>
        <w:t>To guide them in their policies, financial managers use at least two measures—</w:t>
      </w:r>
      <w:r>
        <w:rPr>
          <w:color w:val="231F20"/>
          <w:spacing w:val="-9"/>
          <w:sz w:val="21"/>
        </w:rPr>
        <w:t> </w:t>
      </w:r>
      <w:r>
        <w:rPr>
          <w:i/>
          <w:color w:val="231F20"/>
          <w:sz w:val="21"/>
        </w:rPr>
        <w:t>dividend yields </w:t>
      </w:r>
      <w:r>
        <w:rPr>
          <w:color w:val="231F20"/>
          <w:sz w:val="21"/>
        </w:rPr>
        <w:t>and </w:t>
      </w:r>
      <w:r>
        <w:rPr>
          <w:i/>
          <w:color w:val="231F20"/>
          <w:sz w:val="21"/>
        </w:rPr>
        <w:t>dividend payout ratios. </w:t>
      </w:r>
      <w:r>
        <w:rPr>
          <w:color w:val="231F20"/>
          <w:sz w:val="21"/>
        </w:rPr>
        <w:t>The market plays a big role in determining the </w:t>
      </w:r>
      <w:r>
        <w:rPr>
          <w:i/>
          <w:color w:val="231F20"/>
          <w:sz w:val="21"/>
        </w:rPr>
        <w:t>dividend yield </w:t>
      </w:r>
      <w:r>
        <w:rPr>
          <w:color w:val="231F20"/>
          <w:sz w:val="21"/>
        </w:rPr>
        <w:t>since it is derived by dividing the annual dividend payment by the current share price. Dividends may also be paid out as a certain </w:t>
      </w:r>
      <w:r>
        <w:rPr>
          <w:color w:val="231F20"/>
          <w:sz w:val="21"/>
        </w:rPr>
        <w:t>percentage</w:t>
      </w:r>
      <w:r>
        <w:rPr>
          <w:color w:val="231F20"/>
          <w:spacing w:val="80"/>
          <w:sz w:val="21"/>
        </w:rPr>
        <w:t> </w:t>
      </w:r>
      <w:r>
        <w:rPr>
          <w:color w:val="231F20"/>
          <w:sz w:val="21"/>
        </w:rPr>
        <w:t>of earnings, called the </w:t>
      </w:r>
      <w:r>
        <w:rPr>
          <w:i/>
          <w:color w:val="231F20"/>
          <w:sz w:val="21"/>
        </w:rPr>
        <w:t>dividend payout ratio.</w:t>
      </w:r>
    </w:p>
    <w:p>
      <w:pPr>
        <w:spacing w:after="0" w:line="292" w:lineRule="auto"/>
        <w:jc w:val="both"/>
        <w:rPr>
          <w:sz w:val="21"/>
        </w:rPr>
        <w:sectPr>
          <w:type w:val="continuous"/>
          <w:pgSz w:w="8640" w:h="12960"/>
          <w:pgMar w:header="734" w:footer="0" w:top="1220" w:bottom="280" w:left="340" w:right="500"/>
        </w:sectPr>
      </w:pPr>
    </w:p>
    <w:p>
      <w:pPr>
        <w:pStyle w:val="BodyText"/>
        <w:spacing w:before="8"/>
        <w:rPr>
          <w:i/>
          <w:sz w:val="17"/>
        </w:rPr>
      </w:pPr>
    </w:p>
    <w:p>
      <w:pPr>
        <w:spacing w:after="0"/>
        <w:rPr>
          <w:sz w:val="17"/>
        </w:rPr>
        <w:sectPr>
          <w:pgSz w:w="8640" w:h="12960"/>
          <w:pgMar w:header="734" w:footer="0" w:top="920" w:bottom="280" w:left="340" w:right="500"/>
        </w:sectPr>
      </w:pPr>
    </w:p>
    <w:p>
      <w:pPr>
        <w:pStyle w:val="BodyText"/>
        <w:spacing w:before="5"/>
        <w:rPr>
          <w:i/>
          <w:sz w:val="20"/>
        </w:rPr>
      </w:pPr>
    </w:p>
    <w:p>
      <w:pPr>
        <w:pStyle w:val="BodyText"/>
        <w:ind w:left="2070"/>
        <w:rPr>
          <w:rFonts w:ascii="Symbol" w:hAnsi="Symbol"/>
        </w:rPr>
      </w:pPr>
      <w:r>
        <w:rPr/>
        <w:pict>
          <v:line style="position:absolute;mso-position-horizontal-relative:page;mso-position-vertical-relative:paragraph;z-index:-25081856" from="201.5pt,7.307011pt" to="306.5pt,7.307011pt" stroked="true" strokeweight=".5pt" strokecolor="#231f20">
            <v:stroke dashstyle="solid"/>
            <w10:wrap type="none"/>
          </v:line>
        </w:pict>
      </w:r>
      <w:r>
        <w:rPr>
          <w:color w:val="231F20"/>
          <w:w w:val="105"/>
        </w:rPr>
        <w:t>Dividend</w:t>
      </w:r>
      <w:r>
        <w:rPr>
          <w:color w:val="231F20"/>
          <w:spacing w:val="1"/>
          <w:w w:val="105"/>
        </w:rPr>
        <w:t> </w:t>
      </w:r>
      <w:r>
        <w:rPr>
          <w:color w:val="231F20"/>
          <w:w w:val="105"/>
        </w:rPr>
        <w:t>Yield</w:t>
      </w:r>
      <w:r>
        <w:rPr>
          <w:color w:val="231F20"/>
          <w:spacing w:val="1"/>
          <w:w w:val="105"/>
        </w:rPr>
        <w:t> </w:t>
      </w:r>
      <w:r>
        <w:rPr>
          <w:rFonts w:ascii="Symbol" w:hAnsi="Symbol"/>
          <w:color w:val="231F20"/>
          <w:spacing w:val="-10"/>
          <w:w w:val="105"/>
        </w:rPr>
        <w:t></w:t>
      </w:r>
    </w:p>
    <w:p>
      <w:pPr>
        <w:pStyle w:val="BodyText"/>
        <w:spacing w:line="292" w:lineRule="auto" w:before="102"/>
        <w:ind w:left="19" w:right="1714" w:firstLine="278"/>
      </w:pPr>
      <w:r>
        <w:rPr/>
        <w:br w:type="column"/>
      </w:r>
      <w:r>
        <w:rPr>
          <w:color w:val="231F20"/>
        </w:rPr>
        <w:t>Annual Dividend Market Price per </w:t>
      </w:r>
      <w:r>
        <w:rPr>
          <w:color w:val="231F20"/>
        </w:rPr>
        <w:t>Share</w:t>
      </w:r>
    </w:p>
    <w:p>
      <w:pPr>
        <w:spacing w:after="0" w:line="292" w:lineRule="auto"/>
        <w:sectPr>
          <w:type w:val="continuous"/>
          <w:pgSz w:w="8640" w:h="12960"/>
          <w:pgMar w:header="732" w:footer="0" w:top="1220" w:bottom="280" w:left="340" w:right="500"/>
          <w:cols w:num="2" w:equalWidth="0">
            <w:col w:w="3623" w:space="40"/>
            <w:col w:w="4137"/>
          </w:cols>
        </w:sectPr>
      </w:pPr>
    </w:p>
    <w:p>
      <w:pPr>
        <w:pStyle w:val="BodyText"/>
        <w:spacing w:before="9"/>
        <w:rPr>
          <w:sz w:val="16"/>
        </w:rPr>
      </w:pPr>
    </w:p>
    <w:p>
      <w:pPr>
        <w:pStyle w:val="BodyText"/>
        <w:spacing w:line="348" w:lineRule="exact" w:before="102"/>
        <w:ind w:left="475" w:right="219"/>
        <w:jc w:val="center"/>
      </w:pPr>
      <w:r>
        <w:rPr/>
        <w:pict>
          <v:line style="position:absolute;mso-position-horizontal-relative:page;mso-position-vertical-relative:paragraph;z-index:-25081344" from="237.5pt,19.327299pt" to="316pt,19.327299pt" stroked="true" strokeweight=".5pt" strokecolor="#231f20">
            <v:stroke dashstyle="solid"/>
            <w10:wrap type="none"/>
          </v:line>
        </w:pict>
      </w:r>
      <w:r>
        <w:rPr>
          <w:color w:val="231F20"/>
          <w:w w:val="105"/>
        </w:rPr>
        <w:t>Dividend</w:t>
      </w:r>
      <w:r>
        <w:rPr>
          <w:color w:val="231F20"/>
          <w:spacing w:val="3"/>
          <w:w w:val="105"/>
        </w:rPr>
        <w:t> </w:t>
      </w:r>
      <w:r>
        <w:rPr>
          <w:color w:val="231F20"/>
          <w:w w:val="105"/>
        </w:rPr>
        <w:t>Payout</w:t>
      </w:r>
      <w:r>
        <w:rPr>
          <w:color w:val="231F20"/>
          <w:spacing w:val="4"/>
          <w:w w:val="105"/>
        </w:rPr>
        <w:t> </w:t>
      </w:r>
      <w:r>
        <w:rPr>
          <w:color w:val="231F20"/>
          <w:w w:val="105"/>
        </w:rPr>
        <w:t>Ratio</w:t>
      </w:r>
      <w:r>
        <w:rPr>
          <w:color w:val="231F20"/>
          <w:spacing w:val="3"/>
          <w:w w:val="105"/>
        </w:rPr>
        <w:t> </w:t>
      </w:r>
      <w:r>
        <w:rPr>
          <w:rFonts w:ascii="Symbol" w:hAnsi="Symbol"/>
          <w:color w:val="231F20"/>
          <w:w w:val="105"/>
        </w:rPr>
        <w:t></w:t>
      </w:r>
      <w:r>
        <w:rPr>
          <w:rFonts w:ascii="Times New Roman" w:hAnsi="Times New Roman"/>
          <w:color w:val="231F20"/>
          <w:spacing w:val="-2"/>
          <w:w w:val="105"/>
        </w:rPr>
        <w:t> </w:t>
      </w:r>
      <w:r>
        <w:rPr>
          <w:color w:val="231F20"/>
          <w:w w:val="105"/>
          <w:position w:val="15"/>
        </w:rPr>
        <w:t>Annual</w:t>
      </w:r>
      <w:r>
        <w:rPr>
          <w:color w:val="231F20"/>
          <w:spacing w:val="3"/>
          <w:w w:val="105"/>
          <w:position w:val="15"/>
        </w:rPr>
        <w:t> </w:t>
      </w:r>
      <w:r>
        <w:rPr>
          <w:color w:val="231F20"/>
          <w:spacing w:val="-2"/>
          <w:w w:val="105"/>
          <w:position w:val="15"/>
        </w:rPr>
        <w:t>Dividend</w:t>
      </w:r>
    </w:p>
    <w:p>
      <w:pPr>
        <w:pStyle w:val="BodyText"/>
        <w:spacing w:line="198" w:lineRule="exact"/>
        <w:ind w:left="4660"/>
      </w:pPr>
      <w:r>
        <w:rPr>
          <w:color w:val="231F20"/>
          <w:w w:val="105"/>
        </w:rPr>
        <w:t>Net</w:t>
      </w:r>
      <w:r>
        <w:rPr>
          <w:color w:val="231F20"/>
          <w:spacing w:val="19"/>
          <w:w w:val="105"/>
        </w:rPr>
        <w:t> </w:t>
      </w:r>
      <w:r>
        <w:rPr>
          <w:color w:val="231F20"/>
          <w:spacing w:val="-2"/>
          <w:w w:val="105"/>
        </w:rPr>
        <w:t>Income</w:t>
      </w:r>
    </w:p>
    <w:p>
      <w:pPr>
        <w:pStyle w:val="BodyText"/>
        <w:spacing w:before="2"/>
        <w:rPr>
          <w:sz w:val="30"/>
        </w:rPr>
      </w:pPr>
    </w:p>
    <w:p>
      <w:pPr>
        <w:pStyle w:val="BodyText"/>
        <w:spacing w:line="292" w:lineRule="auto"/>
        <w:ind w:left="920" w:right="663" w:firstLine="340"/>
        <w:jc w:val="both"/>
      </w:pPr>
      <w:r>
        <w:rPr>
          <w:color w:val="231F20"/>
        </w:rPr>
        <w:t>Dividends are extremely important because they show clearly</w:t>
      </w:r>
      <w:r>
        <w:rPr>
          <w:color w:val="231F20"/>
          <w:spacing w:val="80"/>
        </w:rPr>
        <w:t> </w:t>
      </w:r>
      <w:r>
        <w:rPr>
          <w:color w:val="231F20"/>
        </w:rPr>
        <w:t>the cash-generating ability of the firm. Many analysts value </w:t>
      </w:r>
      <w:r>
        <w:rPr>
          <w:color w:val="231F20"/>
        </w:rPr>
        <w:t>compa- nies based on the dividend cash flows. You saw that valuation</w:t>
      </w:r>
      <w:r>
        <w:rPr>
          <w:color w:val="231F20"/>
          <w:spacing w:val="40"/>
        </w:rPr>
        <w:t> </w:t>
      </w:r>
      <w:r>
        <w:rPr>
          <w:color w:val="231F20"/>
        </w:rPr>
        <w:t>method with the Dividend Growth Model earlier in this chapter.</w:t>
      </w:r>
    </w:p>
    <w:p>
      <w:pPr>
        <w:pStyle w:val="BodyText"/>
        <w:spacing w:line="292" w:lineRule="auto"/>
        <w:ind w:left="920" w:right="663" w:firstLine="340"/>
        <w:jc w:val="both"/>
      </w:pPr>
      <w:r>
        <w:rPr>
          <w:color w:val="231F20"/>
        </w:rPr>
        <w:t>Investors love stable, steadily growing dividends and hate any cuts. Therefore, managers try to avoid swings in dividend payouts at all costs. If an MBA miscalculates the ability of the company to maintain a dividend his or her job will be in real jeopardy.</w:t>
      </w:r>
    </w:p>
    <w:p>
      <w:pPr>
        <w:pStyle w:val="BodyText"/>
        <w:spacing w:line="292" w:lineRule="auto"/>
        <w:ind w:left="920" w:right="666" w:firstLine="340"/>
        <w:jc w:val="both"/>
      </w:pPr>
      <w:r>
        <w:rPr>
          <w:color w:val="231F20"/>
        </w:rPr>
        <w:t>There are five questions that astute MBAs ought to mull over </w:t>
      </w:r>
      <w:r>
        <w:rPr>
          <w:color w:val="231F20"/>
        </w:rPr>
        <w:t>as they formulate a policy that may directly affect their careers.</w:t>
      </w:r>
    </w:p>
    <w:p>
      <w:pPr>
        <w:pStyle w:val="BodyText"/>
        <w:spacing w:line="292" w:lineRule="auto"/>
        <w:ind w:left="920" w:right="665" w:firstLine="340"/>
        <w:jc w:val="both"/>
      </w:pPr>
      <w:r>
        <w:rPr>
          <w:i/>
          <w:color w:val="231F20"/>
        </w:rPr>
        <w:t>Can the company do a better job by investing its earnings </w:t>
      </w:r>
      <w:r>
        <w:rPr>
          <w:i/>
          <w:color w:val="231F20"/>
        </w:rPr>
        <w:t>back</w:t>
      </w:r>
      <w:r>
        <w:rPr>
          <w:i/>
          <w:color w:val="231F20"/>
          <w:spacing w:val="80"/>
          <w:w w:val="150"/>
        </w:rPr>
        <w:t> </w:t>
      </w:r>
      <w:r>
        <w:rPr>
          <w:i/>
          <w:color w:val="231F20"/>
        </w:rPr>
        <w:t>into the firm than investors could by investing elsewhere? </w:t>
      </w:r>
      <w:r>
        <w:rPr>
          <w:color w:val="231F20"/>
        </w:rPr>
        <w:t>If a com- pany is growing and has many exciting investment opportunities, dividends should be small and earnings should be used internally. In 2004, Wal-Mart paid a $.52 dividend per share against $2.15 in earnings, a 24 percent payout ratio, but investors were happy be- cause the company was busy investing in many new and profitable stores. Its dividend yield was 1 percent of the $54 stock price. In the case of Microsoft, investors were upset that Microsoft was amassing billions in cash that it couldn’t effectively deploy as its sales growth slowed. Microsoft responded in 2003 with its first annual dividend</w:t>
      </w:r>
      <w:r>
        <w:rPr>
          <w:color w:val="231F20"/>
          <w:spacing w:val="80"/>
        </w:rPr>
        <w:t> </w:t>
      </w:r>
      <w:r>
        <w:rPr>
          <w:color w:val="231F20"/>
        </w:rPr>
        <w:t>of</w:t>
      </w:r>
      <w:r>
        <w:rPr>
          <w:color w:val="231F20"/>
          <w:spacing w:val="32"/>
        </w:rPr>
        <w:t> </w:t>
      </w:r>
      <w:r>
        <w:rPr>
          <w:color w:val="231F20"/>
        </w:rPr>
        <w:t>$.16</w:t>
      </w:r>
      <w:r>
        <w:rPr>
          <w:color w:val="231F20"/>
          <w:spacing w:val="32"/>
        </w:rPr>
        <w:t> </w:t>
      </w:r>
      <w:r>
        <w:rPr>
          <w:color w:val="231F20"/>
        </w:rPr>
        <w:t>per</w:t>
      </w:r>
      <w:r>
        <w:rPr>
          <w:color w:val="231F20"/>
          <w:spacing w:val="32"/>
        </w:rPr>
        <w:t> </w:t>
      </w:r>
      <w:r>
        <w:rPr>
          <w:color w:val="231F20"/>
        </w:rPr>
        <w:t>share.</w:t>
      </w:r>
      <w:r>
        <w:rPr>
          <w:color w:val="231F20"/>
          <w:spacing w:val="32"/>
        </w:rPr>
        <w:t> </w:t>
      </w:r>
      <w:r>
        <w:rPr>
          <w:color w:val="231F20"/>
        </w:rPr>
        <w:t>In</w:t>
      </w:r>
      <w:r>
        <w:rPr>
          <w:color w:val="231F20"/>
          <w:spacing w:val="32"/>
        </w:rPr>
        <w:t> </w:t>
      </w:r>
      <w:r>
        <w:rPr>
          <w:color w:val="231F20"/>
        </w:rPr>
        <w:t>2004,</w:t>
      </w:r>
      <w:r>
        <w:rPr>
          <w:color w:val="231F20"/>
          <w:spacing w:val="32"/>
        </w:rPr>
        <w:t> </w:t>
      </w:r>
      <w:r>
        <w:rPr>
          <w:color w:val="231F20"/>
        </w:rPr>
        <w:t>Microsoft</w:t>
      </w:r>
      <w:r>
        <w:rPr>
          <w:color w:val="231F20"/>
          <w:spacing w:val="32"/>
        </w:rPr>
        <w:t> </w:t>
      </w:r>
      <w:r>
        <w:rPr>
          <w:color w:val="231F20"/>
        </w:rPr>
        <w:t>doubled</w:t>
      </w:r>
      <w:r>
        <w:rPr>
          <w:color w:val="231F20"/>
          <w:spacing w:val="32"/>
        </w:rPr>
        <w:t> </w:t>
      </w:r>
      <w:r>
        <w:rPr>
          <w:color w:val="231F20"/>
        </w:rPr>
        <w:t>the</w:t>
      </w:r>
      <w:r>
        <w:rPr>
          <w:color w:val="231F20"/>
          <w:spacing w:val="32"/>
        </w:rPr>
        <w:t> </w:t>
      </w:r>
      <w:r>
        <w:rPr>
          <w:color w:val="231F20"/>
        </w:rPr>
        <w:t>annual</w:t>
      </w:r>
      <w:r>
        <w:rPr>
          <w:color w:val="231F20"/>
          <w:spacing w:val="32"/>
        </w:rPr>
        <w:t> </w:t>
      </w:r>
      <w:r>
        <w:rPr>
          <w:color w:val="231F20"/>
        </w:rPr>
        <w:t>dividend to $.32 per share and declared a special onetime dividend of $3 a share or $32 billion total, the largest corporate dividend distribution in history.</w:t>
      </w:r>
    </w:p>
    <w:p>
      <w:pPr>
        <w:pStyle w:val="BodyText"/>
        <w:spacing w:line="292" w:lineRule="auto"/>
        <w:ind w:left="920" w:right="666" w:firstLine="340"/>
        <w:jc w:val="both"/>
      </w:pPr>
      <w:r>
        <w:rPr>
          <w:i/>
          <w:color w:val="231F20"/>
        </w:rPr>
        <w:t>Who is your stockholder? </w:t>
      </w:r>
      <w:r>
        <w:rPr>
          <w:color w:val="231F20"/>
        </w:rPr>
        <w:t>Do widows and orphans depend on</w:t>
      </w:r>
      <w:r>
        <w:rPr>
          <w:color w:val="231F20"/>
          <w:spacing w:val="80"/>
        </w:rPr>
        <w:t> </w:t>
      </w:r>
      <w:r>
        <w:rPr>
          <w:color w:val="231F20"/>
        </w:rPr>
        <w:t>your dividends for their incomes? This is the case with utility </w:t>
      </w:r>
      <w:r>
        <w:rPr>
          <w:color w:val="231F20"/>
        </w:rPr>
        <w:t>stocks, but not with start-up Internet companies.</w:t>
      </w:r>
    </w:p>
    <w:p>
      <w:pPr>
        <w:spacing w:line="245" w:lineRule="exact" w:before="0"/>
        <w:ind w:left="1260" w:right="0" w:firstLine="0"/>
        <w:jc w:val="both"/>
        <w:rPr>
          <w:i/>
          <w:sz w:val="21"/>
        </w:rPr>
      </w:pPr>
      <w:r>
        <w:rPr>
          <w:i/>
          <w:color w:val="231F20"/>
          <w:w w:val="105"/>
          <w:sz w:val="21"/>
        </w:rPr>
        <w:t>What</w:t>
      </w:r>
      <w:r>
        <w:rPr>
          <w:i/>
          <w:color w:val="231F20"/>
          <w:spacing w:val="14"/>
          <w:w w:val="105"/>
          <w:sz w:val="21"/>
        </w:rPr>
        <w:t> </w:t>
      </w:r>
      <w:r>
        <w:rPr>
          <w:i/>
          <w:color w:val="231F20"/>
          <w:w w:val="105"/>
          <w:sz w:val="21"/>
        </w:rPr>
        <w:t>will</w:t>
      </w:r>
      <w:r>
        <w:rPr>
          <w:i/>
          <w:color w:val="231F20"/>
          <w:spacing w:val="15"/>
          <w:w w:val="105"/>
          <w:sz w:val="21"/>
        </w:rPr>
        <w:t> </w:t>
      </w:r>
      <w:r>
        <w:rPr>
          <w:i/>
          <w:color w:val="231F20"/>
          <w:w w:val="105"/>
          <w:sz w:val="21"/>
        </w:rPr>
        <w:t>stockholders’</w:t>
      </w:r>
      <w:r>
        <w:rPr>
          <w:i/>
          <w:color w:val="231F20"/>
          <w:spacing w:val="14"/>
          <w:w w:val="105"/>
          <w:sz w:val="21"/>
        </w:rPr>
        <w:t> </w:t>
      </w:r>
      <w:r>
        <w:rPr>
          <w:i/>
          <w:color w:val="231F20"/>
          <w:w w:val="105"/>
          <w:sz w:val="21"/>
        </w:rPr>
        <w:t>reaction</w:t>
      </w:r>
      <w:r>
        <w:rPr>
          <w:i/>
          <w:color w:val="231F20"/>
          <w:spacing w:val="15"/>
          <w:w w:val="105"/>
          <w:sz w:val="21"/>
        </w:rPr>
        <w:t> </w:t>
      </w:r>
      <w:r>
        <w:rPr>
          <w:i/>
          <w:color w:val="231F20"/>
          <w:w w:val="105"/>
          <w:sz w:val="21"/>
        </w:rPr>
        <w:t>be</w:t>
      </w:r>
      <w:r>
        <w:rPr>
          <w:i/>
          <w:color w:val="231F20"/>
          <w:spacing w:val="14"/>
          <w:w w:val="105"/>
          <w:sz w:val="21"/>
        </w:rPr>
        <w:t> </w:t>
      </w:r>
      <w:r>
        <w:rPr>
          <w:i/>
          <w:color w:val="231F20"/>
          <w:w w:val="105"/>
          <w:sz w:val="21"/>
        </w:rPr>
        <w:t>to</w:t>
      </w:r>
      <w:r>
        <w:rPr>
          <w:i/>
          <w:color w:val="231F20"/>
          <w:spacing w:val="15"/>
          <w:w w:val="105"/>
          <w:sz w:val="21"/>
        </w:rPr>
        <w:t> </w:t>
      </w:r>
      <w:r>
        <w:rPr>
          <w:i/>
          <w:color w:val="231F20"/>
          <w:w w:val="105"/>
          <w:sz w:val="21"/>
        </w:rPr>
        <w:t>any</w:t>
      </w:r>
      <w:r>
        <w:rPr>
          <w:i/>
          <w:color w:val="231F20"/>
          <w:spacing w:val="14"/>
          <w:w w:val="105"/>
          <w:sz w:val="21"/>
        </w:rPr>
        <w:t> </w:t>
      </w:r>
      <w:r>
        <w:rPr>
          <w:i/>
          <w:color w:val="231F20"/>
          <w:w w:val="105"/>
          <w:sz w:val="21"/>
        </w:rPr>
        <w:t>changes</w:t>
      </w:r>
      <w:r>
        <w:rPr>
          <w:i/>
          <w:color w:val="231F20"/>
          <w:spacing w:val="15"/>
          <w:w w:val="105"/>
          <w:sz w:val="21"/>
        </w:rPr>
        <w:t> </w:t>
      </w:r>
      <w:r>
        <w:rPr>
          <w:i/>
          <w:color w:val="231F20"/>
          <w:w w:val="105"/>
          <w:sz w:val="21"/>
        </w:rPr>
        <w:t>in</w:t>
      </w:r>
      <w:r>
        <w:rPr>
          <w:i/>
          <w:color w:val="231F20"/>
          <w:spacing w:val="14"/>
          <w:w w:val="105"/>
          <w:sz w:val="21"/>
        </w:rPr>
        <w:t> </w:t>
      </w:r>
      <w:r>
        <w:rPr>
          <w:i/>
          <w:color w:val="231F20"/>
          <w:spacing w:val="-2"/>
          <w:w w:val="105"/>
          <w:sz w:val="21"/>
        </w:rPr>
        <w:t>dividend</w:t>
      </w:r>
    </w:p>
    <w:p>
      <w:pPr>
        <w:spacing w:after="0" w:line="245" w:lineRule="exact"/>
        <w:jc w:val="both"/>
        <w:rPr>
          <w:sz w:val="21"/>
        </w:rPr>
        <w:sectPr>
          <w:type w:val="continuous"/>
          <w:pgSz w:w="8640" w:h="12960"/>
          <w:pgMar w:header="732" w:footer="0" w:top="1220" w:bottom="280" w:left="340" w:right="500"/>
        </w:sectPr>
      </w:pPr>
    </w:p>
    <w:p>
      <w:pPr>
        <w:pStyle w:val="BodyText"/>
        <w:spacing w:before="8"/>
        <w:rPr>
          <w:i/>
          <w:sz w:val="17"/>
        </w:rPr>
      </w:pPr>
    </w:p>
    <w:p>
      <w:pPr>
        <w:spacing w:line="307" w:lineRule="auto" w:before="93"/>
        <w:ind w:left="1041" w:right="963" w:firstLine="0"/>
        <w:jc w:val="center"/>
        <w:rPr>
          <w:b/>
          <w:sz w:val="20"/>
        </w:rPr>
      </w:pPr>
      <w:r>
        <w:rPr>
          <w:b/>
          <w:color w:val="231F20"/>
          <w:w w:val="115"/>
          <w:sz w:val="20"/>
        </w:rPr>
        <w:t>CAPITAL STRUCTURE DECISION CALCULATION LEVERCO, INC.</w:t>
      </w:r>
    </w:p>
    <w:p>
      <w:pPr>
        <w:spacing w:before="80"/>
        <w:ind w:left="295" w:right="219" w:firstLine="0"/>
        <w:jc w:val="center"/>
        <w:rPr>
          <w:b/>
          <w:sz w:val="20"/>
        </w:rPr>
      </w:pPr>
      <w:r>
        <w:rPr/>
        <w:pict>
          <v:rect style="position:absolute;margin-left:133.814514pt;margin-top:172.57048pt;width:4.167pt;height:.612pt;mso-position-horizontal-relative:page;mso-position-vertical-relative:paragraph;z-index:-25080832" id="docshape391" filled="true" fillcolor="#231f20" stroked="false">
            <v:fill type="solid"/>
            <w10:wrap type="none"/>
          </v:rect>
        </w:pict>
      </w:r>
      <w:r>
        <w:rPr>
          <w:b/>
          <w:color w:val="231F20"/>
          <w:spacing w:val="-2"/>
          <w:w w:val="115"/>
          <w:sz w:val="20"/>
        </w:rPr>
        <w:t>SCENARIOS</w:t>
      </w:r>
    </w:p>
    <w:p>
      <w:pPr>
        <w:pStyle w:val="BodyText"/>
        <w:spacing w:before="5"/>
        <w:rPr>
          <w:b/>
          <w:sz w:val="6"/>
        </w:rPr>
      </w:pPr>
    </w:p>
    <w:tbl>
      <w:tblPr>
        <w:tblW w:w="0" w:type="auto"/>
        <w:jc w:val="left"/>
        <w:tblInd w:w="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03"/>
        <w:gridCol w:w="1118"/>
        <w:gridCol w:w="1061"/>
        <w:gridCol w:w="1131"/>
      </w:tblGrid>
      <w:tr>
        <w:trPr>
          <w:trHeight w:val="425" w:hRule="atLeast"/>
        </w:trPr>
        <w:tc>
          <w:tcPr>
            <w:tcW w:w="2903" w:type="dxa"/>
            <w:tcBorders>
              <w:top w:val="single" w:sz="8" w:space="0" w:color="231F20"/>
            </w:tcBorders>
          </w:tcPr>
          <w:p>
            <w:pPr>
              <w:pStyle w:val="TableParagraph"/>
              <w:spacing w:before="1"/>
              <w:jc w:val="left"/>
              <w:rPr>
                <w:b/>
                <w:sz w:val="16"/>
              </w:rPr>
            </w:pPr>
          </w:p>
          <w:p>
            <w:pPr>
              <w:pStyle w:val="TableParagraph"/>
              <w:spacing w:before="0"/>
              <w:jc w:val="left"/>
              <w:rPr>
                <w:sz w:val="18"/>
              </w:rPr>
            </w:pPr>
            <w:r>
              <w:rPr>
                <w:color w:val="231F20"/>
                <w:w w:val="105"/>
                <w:sz w:val="18"/>
              </w:rPr>
              <w:t>Book</w:t>
            </w:r>
            <w:r>
              <w:rPr>
                <w:color w:val="231F20"/>
                <w:spacing w:val="-2"/>
                <w:w w:val="105"/>
                <w:sz w:val="18"/>
              </w:rPr>
              <w:t> </w:t>
            </w:r>
            <w:r>
              <w:rPr>
                <w:color w:val="231F20"/>
                <w:w w:val="105"/>
                <w:sz w:val="18"/>
              </w:rPr>
              <w:t>Value</w:t>
            </w:r>
            <w:r>
              <w:rPr>
                <w:color w:val="231F20"/>
                <w:spacing w:val="-1"/>
                <w:w w:val="105"/>
                <w:sz w:val="18"/>
              </w:rPr>
              <w:t> </w:t>
            </w:r>
            <w:r>
              <w:rPr>
                <w:color w:val="231F20"/>
                <w:w w:val="105"/>
                <w:sz w:val="18"/>
              </w:rPr>
              <w:t>of</w:t>
            </w:r>
            <w:r>
              <w:rPr>
                <w:color w:val="231F20"/>
                <w:spacing w:val="-1"/>
                <w:w w:val="105"/>
                <w:sz w:val="18"/>
              </w:rPr>
              <w:t> </w:t>
            </w:r>
            <w:r>
              <w:rPr>
                <w:color w:val="231F20"/>
                <w:w w:val="105"/>
                <w:sz w:val="18"/>
              </w:rPr>
              <w:t>Debt</w:t>
            </w:r>
            <w:r>
              <w:rPr>
                <w:color w:val="231F20"/>
                <w:spacing w:val="-2"/>
                <w:w w:val="105"/>
                <w:sz w:val="18"/>
              </w:rPr>
              <w:t> Ratio</w:t>
            </w:r>
          </w:p>
        </w:tc>
        <w:tc>
          <w:tcPr>
            <w:tcW w:w="1118" w:type="dxa"/>
            <w:tcBorders>
              <w:top w:val="single" w:sz="8" w:space="0" w:color="231F20"/>
            </w:tcBorders>
          </w:tcPr>
          <w:p>
            <w:pPr>
              <w:pStyle w:val="TableParagraph"/>
              <w:spacing w:before="1"/>
              <w:jc w:val="left"/>
              <w:rPr>
                <w:b/>
                <w:sz w:val="16"/>
              </w:rPr>
            </w:pPr>
          </w:p>
          <w:p>
            <w:pPr>
              <w:pStyle w:val="TableParagraph"/>
              <w:spacing w:before="0"/>
              <w:ind w:left="277"/>
              <w:jc w:val="left"/>
              <w:rPr>
                <w:i/>
                <w:sz w:val="18"/>
              </w:rPr>
            </w:pPr>
            <w:r>
              <w:rPr>
                <w:i/>
                <w:color w:val="231F20"/>
                <w:w w:val="110"/>
                <w:sz w:val="18"/>
              </w:rPr>
              <w:t>0%</w:t>
            </w:r>
            <w:r>
              <w:rPr>
                <w:i/>
                <w:color w:val="231F20"/>
                <w:spacing w:val="11"/>
                <w:w w:val="110"/>
                <w:sz w:val="18"/>
              </w:rPr>
              <w:t> </w:t>
            </w:r>
            <w:r>
              <w:rPr>
                <w:i/>
                <w:color w:val="231F20"/>
                <w:spacing w:val="-4"/>
                <w:w w:val="110"/>
                <w:sz w:val="18"/>
              </w:rPr>
              <w:t>Debt</w:t>
            </w:r>
          </w:p>
        </w:tc>
        <w:tc>
          <w:tcPr>
            <w:tcW w:w="1061" w:type="dxa"/>
            <w:tcBorders>
              <w:top w:val="single" w:sz="8" w:space="0" w:color="231F20"/>
            </w:tcBorders>
          </w:tcPr>
          <w:p>
            <w:pPr>
              <w:pStyle w:val="TableParagraph"/>
              <w:spacing w:before="1"/>
              <w:jc w:val="left"/>
              <w:rPr>
                <w:b/>
                <w:sz w:val="16"/>
              </w:rPr>
            </w:pPr>
          </w:p>
          <w:p>
            <w:pPr>
              <w:pStyle w:val="TableParagraph"/>
              <w:spacing w:before="0"/>
              <w:ind w:left="119"/>
              <w:jc w:val="left"/>
              <w:rPr>
                <w:i/>
                <w:sz w:val="18"/>
              </w:rPr>
            </w:pPr>
            <w:r>
              <w:rPr>
                <w:i/>
                <w:color w:val="231F20"/>
                <w:w w:val="110"/>
                <w:sz w:val="18"/>
              </w:rPr>
              <w:t>25%</w:t>
            </w:r>
            <w:r>
              <w:rPr>
                <w:i/>
                <w:color w:val="231F20"/>
                <w:spacing w:val="6"/>
                <w:w w:val="110"/>
                <w:sz w:val="18"/>
              </w:rPr>
              <w:t> </w:t>
            </w:r>
            <w:r>
              <w:rPr>
                <w:i/>
                <w:color w:val="231F20"/>
                <w:spacing w:val="-4"/>
                <w:w w:val="110"/>
                <w:sz w:val="18"/>
              </w:rPr>
              <w:t>Debt</w:t>
            </w:r>
          </w:p>
        </w:tc>
        <w:tc>
          <w:tcPr>
            <w:tcW w:w="1131" w:type="dxa"/>
            <w:tcBorders>
              <w:top w:val="single" w:sz="8" w:space="0" w:color="231F20"/>
            </w:tcBorders>
          </w:tcPr>
          <w:p>
            <w:pPr>
              <w:pStyle w:val="TableParagraph"/>
              <w:spacing w:before="1"/>
              <w:jc w:val="left"/>
              <w:rPr>
                <w:b/>
                <w:sz w:val="16"/>
              </w:rPr>
            </w:pPr>
          </w:p>
          <w:p>
            <w:pPr>
              <w:pStyle w:val="TableParagraph"/>
              <w:spacing w:before="0"/>
              <w:ind w:left="118"/>
              <w:jc w:val="left"/>
              <w:rPr>
                <w:i/>
                <w:sz w:val="18"/>
              </w:rPr>
            </w:pPr>
            <w:r>
              <w:rPr>
                <w:i/>
                <w:color w:val="231F20"/>
                <w:w w:val="110"/>
                <w:sz w:val="18"/>
              </w:rPr>
              <w:t>50%</w:t>
            </w:r>
            <w:r>
              <w:rPr>
                <w:i/>
                <w:color w:val="231F20"/>
                <w:spacing w:val="6"/>
                <w:w w:val="110"/>
                <w:sz w:val="18"/>
              </w:rPr>
              <w:t> </w:t>
            </w:r>
            <w:r>
              <w:rPr>
                <w:i/>
                <w:color w:val="231F20"/>
                <w:spacing w:val="-4"/>
                <w:w w:val="110"/>
                <w:sz w:val="18"/>
              </w:rPr>
              <w:t>Debt</w:t>
            </w:r>
          </w:p>
        </w:tc>
      </w:tr>
      <w:tr>
        <w:trPr>
          <w:trHeight w:val="259" w:hRule="atLeast"/>
        </w:trPr>
        <w:tc>
          <w:tcPr>
            <w:tcW w:w="2903" w:type="dxa"/>
          </w:tcPr>
          <w:p>
            <w:pPr>
              <w:pStyle w:val="TableParagraph"/>
              <w:spacing w:before="23"/>
              <w:jc w:val="left"/>
              <w:rPr>
                <w:sz w:val="18"/>
              </w:rPr>
            </w:pPr>
            <w:r>
              <w:rPr>
                <w:color w:val="231F20"/>
                <w:w w:val="105"/>
                <w:sz w:val="18"/>
              </w:rPr>
              <w:t>Book</w:t>
            </w:r>
            <w:r>
              <w:rPr>
                <w:color w:val="231F20"/>
                <w:spacing w:val="-2"/>
                <w:w w:val="105"/>
                <w:sz w:val="18"/>
              </w:rPr>
              <w:t> </w:t>
            </w:r>
            <w:r>
              <w:rPr>
                <w:color w:val="231F20"/>
                <w:w w:val="105"/>
                <w:sz w:val="18"/>
              </w:rPr>
              <w:t>Value</w:t>
            </w:r>
            <w:r>
              <w:rPr>
                <w:color w:val="231F20"/>
                <w:spacing w:val="-2"/>
                <w:w w:val="105"/>
                <w:sz w:val="18"/>
              </w:rPr>
              <w:t> </w:t>
            </w:r>
            <w:r>
              <w:rPr>
                <w:color w:val="231F20"/>
                <w:w w:val="105"/>
                <w:sz w:val="18"/>
              </w:rPr>
              <w:t>of</w:t>
            </w:r>
            <w:r>
              <w:rPr>
                <w:color w:val="231F20"/>
                <w:spacing w:val="-2"/>
                <w:w w:val="105"/>
                <w:sz w:val="18"/>
              </w:rPr>
              <w:t> </w:t>
            </w:r>
            <w:r>
              <w:rPr>
                <w:color w:val="231F20"/>
                <w:spacing w:val="-4"/>
                <w:w w:val="105"/>
                <w:sz w:val="18"/>
              </w:rPr>
              <w:t>Debt</w:t>
            </w:r>
          </w:p>
        </w:tc>
        <w:tc>
          <w:tcPr>
            <w:tcW w:w="1118" w:type="dxa"/>
          </w:tcPr>
          <w:p>
            <w:pPr>
              <w:pStyle w:val="TableParagraph"/>
              <w:spacing w:before="23"/>
              <w:ind w:left="277"/>
              <w:jc w:val="left"/>
              <w:rPr>
                <w:sz w:val="18"/>
              </w:rPr>
            </w:pPr>
            <w:r>
              <w:rPr>
                <w:color w:val="231F20"/>
                <w:spacing w:val="-5"/>
                <w:w w:val="105"/>
                <w:sz w:val="18"/>
              </w:rPr>
              <w:t>$0</w:t>
            </w:r>
          </w:p>
        </w:tc>
        <w:tc>
          <w:tcPr>
            <w:tcW w:w="1061" w:type="dxa"/>
          </w:tcPr>
          <w:p>
            <w:pPr>
              <w:pStyle w:val="TableParagraph"/>
              <w:spacing w:before="23"/>
              <w:ind w:left="119"/>
              <w:jc w:val="left"/>
              <w:rPr>
                <w:sz w:val="18"/>
              </w:rPr>
            </w:pPr>
            <w:r>
              <w:rPr>
                <w:color w:val="231F20"/>
                <w:spacing w:val="-2"/>
                <w:w w:val="105"/>
                <w:sz w:val="18"/>
              </w:rPr>
              <w:t>$2,500</w:t>
            </w:r>
          </w:p>
        </w:tc>
        <w:tc>
          <w:tcPr>
            <w:tcW w:w="1131" w:type="dxa"/>
          </w:tcPr>
          <w:p>
            <w:pPr>
              <w:pStyle w:val="TableParagraph"/>
              <w:spacing w:before="23"/>
              <w:ind w:left="118"/>
              <w:jc w:val="left"/>
              <w:rPr>
                <w:sz w:val="18"/>
              </w:rPr>
            </w:pPr>
            <w:r>
              <w:rPr>
                <w:color w:val="231F20"/>
                <w:spacing w:val="-2"/>
                <w:w w:val="105"/>
                <w:sz w:val="18"/>
              </w:rPr>
              <w:t>$5,000</w:t>
            </w:r>
          </w:p>
        </w:tc>
      </w:tr>
      <w:tr>
        <w:trPr>
          <w:trHeight w:val="324" w:hRule="atLeast"/>
        </w:trPr>
        <w:tc>
          <w:tcPr>
            <w:tcW w:w="2903" w:type="dxa"/>
          </w:tcPr>
          <w:p>
            <w:pPr>
              <w:pStyle w:val="TableParagraph"/>
              <w:spacing w:before="23"/>
              <w:jc w:val="left"/>
              <w:rPr>
                <w:sz w:val="18"/>
              </w:rPr>
            </w:pPr>
            <w:r>
              <w:rPr>
                <w:color w:val="231F20"/>
                <w:w w:val="105"/>
                <w:sz w:val="18"/>
              </w:rPr>
              <w:t>Book</w:t>
            </w:r>
            <w:r>
              <w:rPr>
                <w:color w:val="231F20"/>
                <w:spacing w:val="-2"/>
                <w:w w:val="105"/>
                <w:sz w:val="18"/>
              </w:rPr>
              <w:t> </w:t>
            </w:r>
            <w:r>
              <w:rPr>
                <w:color w:val="231F20"/>
                <w:w w:val="105"/>
                <w:sz w:val="18"/>
              </w:rPr>
              <w:t>Value</w:t>
            </w:r>
            <w:r>
              <w:rPr>
                <w:color w:val="231F20"/>
                <w:spacing w:val="-2"/>
                <w:w w:val="105"/>
                <w:sz w:val="18"/>
              </w:rPr>
              <w:t> </w:t>
            </w:r>
            <w:r>
              <w:rPr>
                <w:color w:val="231F20"/>
                <w:w w:val="105"/>
                <w:sz w:val="18"/>
              </w:rPr>
              <w:t>of</w:t>
            </w:r>
            <w:r>
              <w:rPr>
                <w:color w:val="231F20"/>
                <w:spacing w:val="-2"/>
                <w:w w:val="105"/>
                <w:sz w:val="18"/>
              </w:rPr>
              <w:t> Equity</w:t>
            </w:r>
          </w:p>
        </w:tc>
        <w:tc>
          <w:tcPr>
            <w:tcW w:w="1118" w:type="dxa"/>
          </w:tcPr>
          <w:p>
            <w:pPr>
              <w:pStyle w:val="TableParagraph"/>
              <w:spacing w:before="23"/>
              <w:ind w:left="277"/>
              <w:jc w:val="left"/>
              <w:rPr>
                <w:sz w:val="18"/>
              </w:rPr>
            </w:pPr>
            <w:r>
              <w:rPr>
                <w:color w:val="231F20"/>
                <w:spacing w:val="-2"/>
                <w:sz w:val="18"/>
              </w:rPr>
              <w:t>10,000</w:t>
            </w:r>
          </w:p>
        </w:tc>
        <w:tc>
          <w:tcPr>
            <w:tcW w:w="1061" w:type="dxa"/>
          </w:tcPr>
          <w:p>
            <w:pPr>
              <w:pStyle w:val="TableParagraph"/>
              <w:spacing w:before="23"/>
              <w:ind w:left="209"/>
              <w:jc w:val="left"/>
              <w:rPr>
                <w:sz w:val="18"/>
              </w:rPr>
            </w:pPr>
            <w:r>
              <w:rPr>
                <w:color w:val="231F20"/>
                <w:spacing w:val="-2"/>
                <w:w w:val="105"/>
                <w:sz w:val="18"/>
              </w:rPr>
              <w:t>7,500</w:t>
            </w:r>
          </w:p>
        </w:tc>
        <w:tc>
          <w:tcPr>
            <w:tcW w:w="1131" w:type="dxa"/>
          </w:tcPr>
          <w:p>
            <w:pPr>
              <w:pStyle w:val="TableParagraph"/>
              <w:spacing w:before="23"/>
              <w:ind w:left="208"/>
              <w:jc w:val="left"/>
              <w:rPr>
                <w:sz w:val="18"/>
              </w:rPr>
            </w:pPr>
            <w:r>
              <w:rPr>
                <w:color w:val="231F20"/>
                <w:spacing w:val="-2"/>
                <w:w w:val="105"/>
                <w:sz w:val="18"/>
              </w:rPr>
              <w:t>5,000</w:t>
            </w:r>
          </w:p>
        </w:tc>
      </w:tr>
      <w:tr>
        <w:trPr>
          <w:trHeight w:val="324" w:hRule="atLeast"/>
        </w:trPr>
        <w:tc>
          <w:tcPr>
            <w:tcW w:w="2903" w:type="dxa"/>
          </w:tcPr>
          <w:p>
            <w:pPr>
              <w:pStyle w:val="TableParagraph"/>
              <w:spacing w:before="88"/>
              <w:jc w:val="left"/>
              <w:rPr>
                <w:sz w:val="18"/>
              </w:rPr>
            </w:pPr>
            <w:r>
              <w:rPr>
                <w:color w:val="231F20"/>
                <w:w w:val="105"/>
                <w:sz w:val="18"/>
              </w:rPr>
              <w:t>Market Value</w:t>
            </w:r>
            <w:r>
              <w:rPr>
                <w:color w:val="231F20"/>
                <w:spacing w:val="1"/>
                <w:w w:val="105"/>
                <w:sz w:val="18"/>
              </w:rPr>
              <w:t> </w:t>
            </w:r>
            <w:r>
              <w:rPr>
                <w:color w:val="231F20"/>
                <w:w w:val="105"/>
                <w:sz w:val="18"/>
              </w:rPr>
              <w:t>of</w:t>
            </w:r>
            <w:r>
              <w:rPr>
                <w:color w:val="231F20"/>
                <w:spacing w:val="1"/>
                <w:w w:val="105"/>
                <w:sz w:val="18"/>
              </w:rPr>
              <w:t> </w:t>
            </w:r>
            <w:r>
              <w:rPr>
                <w:color w:val="231F20"/>
                <w:spacing w:val="-4"/>
                <w:w w:val="105"/>
                <w:sz w:val="18"/>
              </w:rPr>
              <w:t>Debt</w:t>
            </w:r>
          </w:p>
        </w:tc>
        <w:tc>
          <w:tcPr>
            <w:tcW w:w="1118" w:type="dxa"/>
          </w:tcPr>
          <w:p>
            <w:pPr>
              <w:pStyle w:val="TableParagraph"/>
              <w:spacing w:before="88"/>
              <w:ind w:left="277"/>
              <w:jc w:val="left"/>
              <w:rPr>
                <w:sz w:val="18"/>
              </w:rPr>
            </w:pPr>
            <w:r>
              <w:rPr>
                <w:color w:val="231F20"/>
                <w:spacing w:val="-5"/>
                <w:w w:val="105"/>
                <w:sz w:val="18"/>
              </w:rPr>
              <w:t>$0</w:t>
            </w:r>
          </w:p>
        </w:tc>
        <w:tc>
          <w:tcPr>
            <w:tcW w:w="1061" w:type="dxa"/>
          </w:tcPr>
          <w:p>
            <w:pPr>
              <w:pStyle w:val="TableParagraph"/>
              <w:spacing w:before="88"/>
              <w:ind w:left="119"/>
              <w:jc w:val="left"/>
              <w:rPr>
                <w:sz w:val="18"/>
              </w:rPr>
            </w:pPr>
            <w:r>
              <w:rPr>
                <w:color w:val="231F20"/>
                <w:spacing w:val="-2"/>
                <w:w w:val="105"/>
                <w:sz w:val="18"/>
              </w:rPr>
              <w:t>$2,500</w:t>
            </w:r>
          </w:p>
        </w:tc>
        <w:tc>
          <w:tcPr>
            <w:tcW w:w="1131" w:type="dxa"/>
          </w:tcPr>
          <w:p>
            <w:pPr>
              <w:pStyle w:val="TableParagraph"/>
              <w:spacing w:before="88"/>
              <w:ind w:left="118"/>
              <w:jc w:val="left"/>
              <w:rPr>
                <w:sz w:val="18"/>
              </w:rPr>
            </w:pPr>
            <w:r>
              <w:rPr>
                <w:color w:val="231F20"/>
                <w:spacing w:val="-2"/>
                <w:w w:val="105"/>
                <w:sz w:val="18"/>
              </w:rPr>
              <w:t>$5,000</w:t>
            </w:r>
          </w:p>
        </w:tc>
      </w:tr>
      <w:tr>
        <w:trPr>
          <w:trHeight w:val="324" w:hRule="atLeast"/>
        </w:trPr>
        <w:tc>
          <w:tcPr>
            <w:tcW w:w="2903" w:type="dxa"/>
          </w:tcPr>
          <w:p>
            <w:pPr>
              <w:pStyle w:val="TableParagraph"/>
              <w:spacing w:before="23"/>
              <w:jc w:val="left"/>
              <w:rPr>
                <w:sz w:val="18"/>
              </w:rPr>
            </w:pPr>
            <w:r>
              <w:rPr>
                <w:color w:val="231F20"/>
                <w:w w:val="105"/>
                <w:sz w:val="18"/>
              </w:rPr>
              <w:t>Market Value</w:t>
            </w:r>
            <w:r>
              <w:rPr>
                <w:color w:val="231F20"/>
                <w:spacing w:val="1"/>
                <w:w w:val="105"/>
                <w:sz w:val="18"/>
              </w:rPr>
              <w:t> </w:t>
            </w:r>
            <w:r>
              <w:rPr>
                <w:color w:val="231F20"/>
                <w:w w:val="105"/>
                <w:sz w:val="18"/>
              </w:rPr>
              <w:t>of</w:t>
            </w:r>
            <w:r>
              <w:rPr>
                <w:color w:val="231F20"/>
                <w:spacing w:val="1"/>
                <w:w w:val="105"/>
                <w:sz w:val="18"/>
              </w:rPr>
              <w:t> </w:t>
            </w:r>
            <w:r>
              <w:rPr>
                <w:color w:val="231F20"/>
                <w:spacing w:val="-2"/>
                <w:w w:val="105"/>
                <w:sz w:val="18"/>
              </w:rPr>
              <w:t>Equity</w:t>
            </w:r>
          </w:p>
        </w:tc>
        <w:tc>
          <w:tcPr>
            <w:tcW w:w="1118" w:type="dxa"/>
          </w:tcPr>
          <w:p>
            <w:pPr>
              <w:pStyle w:val="TableParagraph"/>
              <w:spacing w:before="23"/>
              <w:ind w:left="277"/>
              <w:jc w:val="left"/>
              <w:rPr>
                <w:sz w:val="18"/>
              </w:rPr>
            </w:pPr>
            <w:r>
              <w:rPr>
                <w:color w:val="231F20"/>
                <w:spacing w:val="-2"/>
                <w:sz w:val="18"/>
              </w:rPr>
              <w:t>10,000</w:t>
            </w:r>
          </w:p>
        </w:tc>
        <w:tc>
          <w:tcPr>
            <w:tcW w:w="1061" w:type="dxa"/>
          </w:tcPr>
          <w:p>
            <w:pPr>
              <w:pStyle w:val="TableParagraph"/>
              <w:spacing w:before="23"/>
              <w:ind w:left="209"/>
              <w:jc w:val="left"/>
              <w:rPr>
                <w:sz w:val="18"/>
              </w:rPr>
            </w:pPr>
            <w:r>
              <w:rPr>
                <w:color w:val="231F20"/>
                <w:spacing w:val="-2"/>
                <w:w w:val="105"/>
                <w:sz w:val="18"/>
              </w:rPr>
              <w:t>8,350</w:t>
            </w:r>
          </w:p>
        </w:tc>
        <w:tc>
          <w:tcPr>
            <w:tcW w:w="1131" w:type="dxa"/>
          </w:tcPr>
          <w:p>
            <w:pPr>
              <w:pStyle w:val="TableParagraph"/>
              <w:spacing w:before="23"/>
              <w:ind w:left="208"/>
              <w:jc w:val="left"/>
              <w:rPr>
                <w:sz w:val="18"/>
              </w:rPr>
            </w:pPr>
            <w:r>
              <w:rPr>
                <w:color w:val="231F20"/>
                <w:spacing w:val="-2"/>
                <w:w w:val="105"/>
                <w:sz w:val="18"/>
              </w:rPr>
              <w:t>6,700</w:t>
            </w:r>
          </w:p>
        </w:tc>
      </w:tr>
      <w:tr>
        <w:trPr>
          <w:trHeight w:val="390" w:hRule="atLeast"/>
        </w:trPr>
        <w:tc>
          <w:tcPr>
            <w:tcW w:w="2903" w:type="dxa"/>
          </w:tcPr>
          <w:p>
            <w:pPr>
              <w:pStyle w:val="TableParagraph"/>
              <w:spacing w:before="88"/>
              <w:jc w:val="left"/>
              <w:rPr>
                <w:sz w:val="18"/>
              </w:rPr>
            </w:pPr>
            <w:r>
              <w:rPr>
                <w:color w:val="231F20"/>
                <w:w w:val="105"/>
                <w:sz w:val="18"/>
              </w:rPr>
              <w:t>Market</w:t>
            </w:r>
            <w:r>
              <w:rPr>
                <w:color w:val="231F20"/>
                <w:spacing w:val="-3"/>
                <w:w w:val="105"/>
                <w:sz w:val="18"/>
              </w:rPr>
              <w:t> </w:t>
            </w:r>
            <w:r>
              <w:rPr>
                <w:color w:val="231F20"/>
                <w:w w:val="105"/>
                <w:sz w:val="18"/>
              </w:rPr>
              <w:t>Value</w:t>
            </w:r>
            <w:r>
              <w:rPr>
                <w:color w:val="231F20"/>
                <w:spacing w:val="-2"/>
                <w:w w:val="105"/>
                <w:sz w:val="18"/>
              </w:rPr>
              <w:t> </w:t>
            </w:r>
            <w:r>
              <w:rPr>
                <w:color w:val="231F20"/>
                <w:w w:val="105"/>
                <w:sz w:val="18"/>
              </w:rPr>
              <w:t>Debt</w:t>
            </w:r>
            <w:r>
              <w:rPr>
                <w:color w:val="231F20"/>
                <w:spacing w:val="-2"/>
                <w:w w:val="105"/>
                <w:sz w:val="18"/>
              </w:rPr>
              <w:t> Ratio*</w:t>
            </w:r>
          </w:p>
        </w:tc>
        <w:tc>
          <w:tcPr>
            <w:tcW w:w="1118" w:type="dxa"/>
          </w:tcPr>
          <w:p>
            <w:pPr>
              <w:pStyle w:val="TableParagraph"/>
              <w:spacing w:before="88"/>
              <w:ind w:left="277"/>
              <w:jc w:val="left"/>
              <w:rPr>
                <w:sz w:val="18"/>
              </w:rPr>
            </w:pPr>
            <w:r>
              <w:rPr>
                <w:color w:val="231F20"/>
                <w:spacing w:val="-5"/>
                <w:w w:val="105"/>
                <w:sz w:val="18"/>
              </w:rPr>
              <w:t>0%</w:t>
            </w:r>
          </w:p>
        </w:tc>
        <w:tc>
          <w:tcPr>
            <w:tcW w:w="1061" w:type="dxa"/>
          </w:tcPr>
          <w:p>
            <w:pPr>
              <w:pStyle w:val="TableParagraph"/>
              <w:spacing w:before="88"/>
              <w:ind w:left="119"/>
              <w:jc w:val="left"/>
              <w:rPr>
                <w:sz w:val="18"/>
              </w:rPr>
            </w:pPr>
            <w:r>
              <w:rPr>
                <w:color w:val="231F20"/>
                <w:spacing w:val="-5"/>
                <w:w w:val="105"/>
                <w:sz w:val="18"/>
              </w:rPr>
              <w:t>23%</w:t>
            </w:r>
          </w:p>
        </w:tc>
        <w:tc>
          <w:tcPr>
            <w:tcW w:w="1131" w:type="dxa"/>
          </w:tcPr>
          <w:p>
            <w:pPr>
              <w:pStyle w:val="TableParagraph"/>
              <w:spacing w:before="88"/>
              <w:ind w:left="118"/>
              <w:jc w:val="left"/>
              <w:rPr>
                <w:sz w:val="18"/>
              </w:rPr>
            </w:pPr>
            <w:r>
              <w:rPr>
                <w:color w:val="231F20"/>
                <w:spacing w:val="-5"/>
                <w:w w:val="105"/>
                <w:sz w:val="18"/>
              </w:rPr>
              <w:t>43%</w:t>
            </w:r>
          </w:p>
        </w:tc>
      </w:tr>
      <w:tr>
        <w:trPr>
          <w:trHeight w:val="324" w:hRule="atLeast"/>
        </w:trPr>
        <w:tc>
          <w:tcPr>
            <w:tcW w:w="2903" w:type="dxa"/>
          </w:tcPr>
          <w:p>
            <w:pPr>
              <w:pStyle w:val="TableParagraph"/>
              <w:spacing w:before="88"/>
              <w:jc w:val="left"/>
              <w:rPr>
                <w:sz w:val="18"/>
              </w:rPr>
            </w:pPr>
            <w:r>
              <w:rPr>
                <w:color w:val="231F20"/>
                <w:sz w:val="18"/>
              </w:rPr>
              <w:t>Pretax</w:t>
            </w:r>
            <w:r>
              <w:rPr>
                <w:color w:val="231F20"/>
                <w:spacing w:val="19"/>
                <w:sz w:val="18"/>
              </w:rPr>
              <w:t> </w:t>
            </w:r>
            <w:r>
              <w:rPr>
                <w:color w:val="231F20"/>
                <w:sz w:val="18"/>
              </w:rPr>
              <w:t>Cost</w:t>
            </w:r>
            <w:r>
              <w:rPr>
                <w:color w:val="231F20"/>
                <w:spacing w:val="19"/>
                <w:sz w:val="18"/>
              </w:rPr>
              <w:t> </w:t>
            </w:r>
            <w:r>
              <w:rPr>
                <w:color w:val="231F20"/>
                <w:sz w:val="18"/>
              </w:rPr>
              <w:t>of</w:t>
            </w:r>
            <w:r>
              <w:rPr>
                <w:color w:val="231F20"/>
                <w:spacing w:val="19"/>
                <w:sz w:val="18"/>
              </w:rPr>
              <w:t> </w:t>
            </w:r>
            <w:r>
              <w:rPr>
                <w:color w:val="231F20"/>
                <w:spacing w:val="-4"/>
                <w:sz w:val="18"/>
              </w:rPr>
              <w:t>Debt</w:t>
            </w:r>
          </w:p>
        </w:tc>
        <w:tc>
          <w:tcPr>
            <w:tcW w:w="1118" w:type="dxa"/>
          </w:tcPr>
          <w:p>
            <w:pPr>
              <w:pStyle w:val="TableParagraph"/>
              <w:spacing w:before="88"/>
              <w:ind w:left="277"/>
              <w:jc w:val="left"/>
              <w:rPr>
                <w:sz w:val="18"/>
              </w:rPr>
            </w:pPr>
            <w:r>
              <w:rPr>
                <w:color w:val="231F20"/>
                <w:spacing w:val="-5"/>
                <w:w w:val="105"/>
                <w:sz w:val="18"/>
              </w:rPr>
              <w:t>.07</w:t>
            </w:r>
          </w:p>
        </w:tc>
        <w:tc>
          <w:tcPr>
            <w:tcW w:w="1061" w:type="dxa"/>
          </w:tcPr>
          <w:p>
            <w:pPr>
              <w:pStyle w:val="TableParagraph"/>
              <w:spacing w:before="88"/>
              <w:ind w:left="119"/>
              <w:jc w:val="left"/>
              <w:rPr>
                <w:sz w:val="18"/>
              </w:rPr>
            </w:pPr>
            <w:r>
              <w:rPr>
                <w:color w:val="231F20"/>
                <w:spacing w:val="-5"/>
                <w:w w:val="105"/>
                <w:sz w:val="18"/>
              </w:rPr>
              <w:t>.07</w:t>
            </w:r>
          </w:p>
        </w:tc>
        <w:tc>
          <w:tcPr>
            <w:tcW w:w="1131" w:type="dxa"/>
          </w:tcPr>
          <w:p>
            <w:pPr>
              <w:pStyle w:val="TableParagraph"/>
              <w:spacing w:before="88"/>
              <w:ind w:left="118"/>
              <w:jc w:val="left"/>
              <w:rPr>
                <w:sz w:val="18"/>
              </w:rPr>
            </w:pPr>
            <w:r>
              <w:rPr>
                <w:color w:val="231F20"/>
                <w:spacing w:val="-5"/>
                <w:w w:val="105"/>
                <w:sz w:val="18"/>
              </w:rPr>
              <w:t>.07</w:t>
            </w:r>
          </w:p>
        </w:tc>
      </w:tr>
      <w:tr>
        <w:trPr>
          <w:trHeight w:val="259" w:hRule="atLeast"/>
        </w:trPr>
        <w:tc>
          <w:tcPr>
            <w:tcW w:w="2903" w:type="dxa"/>
          </w:tcPr>
          <w:p>
            <w:pPr>
              <w:pStyle w:val="TableParagraph"/>
              <w:spacing w:before="23"/>
              <w:jc w:val="left"/>
              <w:rPr>
                <w:sz w:val="18"/>
              </w:rPr>
            </w:pPr>
            <w:r>
              <w:rPr>
                <w:color w:val="231F20"/>
                <w:w w:val="105"/>
                <w:sz w:val="18"/>
              </w:rPr>
              <w:t>Tax</w:t>
            </w:r>
            <w:r>
              <w:rPr>
                <w:color w:val="231F20"/>
                <w:spacing w:val="4"/>
                <w:w w:val="105"/>
                <w:sz w:val="18"/>
              </w:rPr>
              <w:t> </w:t>
            </w:r>
            <w:r>
              <w:rPr>
                <w:color w:val="231F20"/>
                <w:spacing w:val="-4"/>
                <w:w w:val="105"/>
                <w:sz w:val="18"/>
              </w:rPr>
              <w:t>Rate</w:t>
            </w:r>
          </w:p>
        </w:tc>
        <w:tc>
          <w:tcPr>
            <w:tcW w:w="1118" w:type="dxa"/>
          </w:tcPr>
          <w:p>
            <w:pPr>
              <w:pStyle w:val="TableParagraph"/>
              <w:spacing w:before="23"/>
              <w:ind w:left="277"/>
              <w:jc w:val="left"/>
              <w:rPr>
                <w:sz w:val="18"/>
              </w:rPr>
            </w:pPr>
            <w:r>
              <w:rPr>
                <w:color w:val="231F20"/>
                <w:spacing w:val="-5"/>
                <w:w w:val="105"/>
                <w:sz w:val="18"/>
              </w:rPr>
              <w:t>.34</w:t>
            </w:r>
          </w:p>
        </w:tc>
        <w:tc>
          <w:tcPr>
            <w:tcW w:w="1061" w:type="dxa"/>
          </w:tcPr>
          <w:p>
            <w:pPr>
              <w:pStyle w:val="TableParagraph"/>
              <w:spacing w:before="23"/>
              <w:ind w:left="119"/>
              <w:jc w:val="left"/>
              <w:rPr>
                <w:sz w:val="18"/>
              </w:rPr>
            </w:pPr>
            <w:r>
              <w:rPr>
                <w:color w:val="231F20"/>
                <w:spacing w:val="-5"/>
                <w:w w:val="105"/>
                <w:sz w:val="18"/>
              </w:rPr>
              <w:t>.34</w:t>
            </w:r>
          </w:p>
        </w:tc>
        <w:tc>
          <w:tcPr>
            <w:tcW w:w="1131" w:type="dxa"/>
          </w:tcPr>
          <w:p>
            <w:pPr>
              <w:pStyle w:val="TableParagraph"/>
              <w:spacing w:before="23"/>
              <w:ind w:left="118"/>
              <w:jc w:val="left"/>
              <w:rPr>
                <w:sz w:val="18"/>
              </w:rPr>
            </w:pPr>
            <w:r>
              <w:rPr>
                <w:color w:val="231F20"/>
                <w:spacing w:val="-5"/>
                <w:w w:val="105"/>
                <w:sz w:val="18"/>
              </w:rPr>
              <w:t>.34</w:t>
            </w:r>
          </w:p>
        </w:tc>
      </w:tr>
      <w:tr>
        <w:trPr>
          <w:trHeight w:val="259" w:hRule="atLeast"/>
        </w:trPr>
        <w:tc>
          <w:tcPr>
            <w:tcW w:w="2903" w:type="dxa"/>
          </w:tcPr>
          <w:p>
            <w:pPr>
              <w:pStyle w:val="TableParagraph"/>
              <w:spacing w:before="23"/>
              <w:jc w:val="left"/>
              <w:rPr>
                <w:sz w:val="18"/>
              </w:rPr>
            </w:pPr>
            <w:r>
              <w:rPr>
                <w:color w:val="231F20"/>
                <w:w w:val="105"/>
                <w:sz w:val="18"/>
              </w:rPr>
              <w:t>After-Tax</w:t>
            </w:r>
            <w:r>
              <w:rPr>
                <w:color w:val="231F20"/>
                <w:spacing w:val="-3"/>
                <w:w w:val="105"/>
                <w:sz w:val="18"/>
              </w:rPr>
              <w:t> </w:t>
            </w:r>
            <w:r>
              <w:rPr>
                <w:color w:val="231F20"/>
                <w:w w:val="105"/>
                <w:sz w:val="18"/>
              </w:rPr>
              <w:t>Cost of Debt</w:t>
            </w:r>
            <w:r>
              <w:rPr>
                <w:color w:val="231F20"/>
                <w:spacing w:val="-24"/>
                <w:w w:val="105"/>
                <w:sz w:val="18"/>
              </w:rPr>
              <w:t> </w:t>
            </w:r>
            <w:r>
              <w:rPr>
                <w:color w:val="231F20"/>
                <w:spacing w:val="-10"/>
                <w:w w:val="105"/>
                <w:sz w:val="18"/>
              </w:rPr>
              <w:t>*</w:t>
            </w:r>
          </w:p>
        </w:tc>
        <w:tc>
          <w:tcPr>
            <w:tcW w:w="1118" w:type="dxa"/>
          </w:tcPr>
          <w:p>
            <w:pPr>
              <w:pStyle w:val="TableParagraph"/>
              <w:spacing w:before="23"/>
              <w:ind w:left="277"/>
              <w:jc w:val="left"/>
              <w:rPr>
                <w:sz w:val="18"/>
              </w:rPr>
            </w:pPr>
            <w:r>
              <w:rPr>
                <w:color w:val="231F20"/>
                <w:spacing w:val="-2"/>
                <w:w w:val="105"/>
                <w:sz w:val="18"/>
              </w:rPr>
              <w:t>.0462</w:t>
            </w:r>
          </w:p>
        </w:tc>
        <w:tc>
          <w:tcPr>
            <w:tcW w:w="1061" w:type="dxa"/>
          </w:tcPr>
          <w:p>
            <w:pPr>
              <w:pStyle w:val="TableParagraph"/>
              <w:spacing w:before="23"/>
              <w:ind w:left="119"/>
              <w:jc w:val="left"/>
              <w:rPr>
                <w:sz w:val="18"/>
              </w:rPr>
            </w:pPr>
            <w:r>
              <w:rPr>
                <w:color w:val="231F20"/>
                <w:spacing w:val="-2"/>
                <w:w w:val="105"/>
                <w:sz w:val="18"/>
              </w:rPr>
              <w:t>.0462</w:t>
            </w:r>
          </w:p>
        </w:tc>
        <w:tc>
          <w:tcPr>
            <w:tcW w:w="1131" w:type="dxa"/>
          </w:tcPr>
          <w:p>
            <w:pPr>
              <w:pStyle w:val="TableParagraph"/>
              <w:spacing w:before="23"/>
              <w:ind w:left="118"/>
              <w:jc w:val="left"/>
              <w:rPr>
                <w:sz w:val="18"/>
              </w:rPr>
            </w:pPr>
            <w:r>
              <w:rPr>
                <w:color w:val="231F20"/>
                <w:spacing w:val="-2"/>
                <w:w w:val="105"/>
                <w:sz w:val="18"/>
              </w:rPr>
              <w:t>.0462</w:t>
            </w:r>
          </w:p>
        </w:tc>
      </w:tr>
      <w:tr>
        <w:trPr>
          <w:trHeight w:val="326" w:hRule="atLeast"/>
        </w:trPr>
        <w:tc>
          <w:tcPr>
            <w:tcW w:w="2903" w:type="dxa"/>
          </w:tcPr>
          <w:p>
            <w:pPr>
              <w:pStyle w:val="TableParagraph"/>
              <w:spacing w:before="13"/>
              <w:ind w:left="180"/>
              <w:jc w:val="left"/>
              <w:rPr>
                <w:sz w:val="18"/>
              </w:rPr>
            </w:pPr>
            <w:r>
              <w:rPr>
                <w:color w:val="231F20"/>
                <w:sz w:val="18"/>
              </w:rPr>
              <w:t>Pretax</w:t>
            </w:r>
            <w:r>
              <w:rPr>
                <w:color w:val="231F20"/>
                <w:spacing w:val="11"/>
                <w:sz w:val="18"/>
              </w:rPr>
              <w:t> </w:t>
            </w:r>
            <w:r>
              <w:rPr>
                <w:color w:val="231F20"/>
                <w:sz w:val="18"/>
              </w:rPr>
              <w:t>Cost</w:t>
            </w:r>
            <w:r>
              <w:rPr>
                <w:color w:val="231F20"/>
                <w:spacing w:val="11"/>
                <w:sz w:val="18"/>
              </w:rPr>
              <w:t> </w:t>
            </w:r>
            <w:r>
              <w:rPr>
                <w:rFonts w:ascii="Symbol" w:hAnsi="Symbol"/>
                <w:color w:val="231F20"/>
                <w:sz w:val="18"/>
              </w:rPr>
              <w:t></w:t>
            </w:r>
            <w:r>
              <w:rPr>
                <w:rFonts w:ascii="Times New Roman" w:hAnsi="Times New Roman"/>
                <w:color w:val="231F20"/>
                <w:spacing w:val="5"/>
                <w:sz w:val="18"/>
              </w:rPr>
              <w:t> </w:t>
            </w:r>
            <w:r>
              <w:rPr>
                <w:color w:val="231F20"/>
                <w:sz w:val="18"/>
              </w:rPr>
              <w:t>(1</w:t>
            </w:r>
            <w:r>
              <w:rPr>
                <w:color w:val="231F20"/>
                <w:spacing w:val="62"/>
                <w:sz w:val="18"/>
              </w:rPr>
              <w:t>  </w:t>
            </w:r>
            <w:r>
              <w:rPr>
                <w:color w:val="231F20"/>
                <w:spacing w:val="-5"/>
                <w:sz w:val="18"/>
              </w:rPr>
              <w:t>t)</w:t>
            </w:r>
          </w:p>
        </w:tc>
        <w:tc>
          <w:tcPr>
            <w:tcW w:w="1118" w:type="dxa"/>
          </w:tcPr>
          <w:p>
            <w:pPr>
              <w:pStyle w:val="TableParagraph"/>
              <w:spacing w:before="0"/>
              <w:jc w:val="left"/>
              <w:rPr>
                <w:rFonts w:ascii="Times New Roman"/>
                <w:sz w:val="18"/>
              </w:rPr>
            </w:pPr>
          </w:p>
        </w:tc>
        <w:tc>
          <w:tcPr>
            <w:tcW w:w="1061" w:type="dxa"/>
          </w:tcPr>
          <w:p>
            <w:pPr>
              <w:pStyle w:val="TableParagraph"/>
              <w:spacing w:before="0"/>
              <w:jc w:val="left"/>
              <w:rPr>
                <w:rFonts w:ascii="Times New Roman"/>
                <w:sz w:val="18"/>
              </w:rPr>
            </w:pPr>
          </w:p>
        </w:tc>
        <w:tc>
          <w:tcPr>
            <w:tcW w:w="1131" w:type="dxa"/>
          </w:tcPr>
          <w:p>
            <w:pPr>
              <w:pStyle w:val="TableParagraph"/>
              <w:spacing w:before="0"/>
              <w:jc w:val="left"/>
              <w:rPr>
                <w:rFonts w:ascii="Times New Roman"/>
                <w:sz w:val="18"/>
              </w:rPr>
            </w:pPr>
          </w:p>
        </w:tc>
      </w:tr>
      <w:tr>
        <w:trPr>
          <w:trHeight w:val="323" w:hRule="atLeast"/>
        </w:trPr>
        <w:tc>
          <w:tcPr>
            <w:tcW w:w="2903" w:type="dxa"/>
          </w:tcPr>
          <w:p>
            <w:pPr>
              <w:pStyle w:val="TableParagraph"/>
              <w:spacing w:before="87"/>
              <w:jc w:val="left"/>
              <w:rPr>
                <w:sz w:val="18"/>
              </w:rPr>
            </w:pPr>
            <w:r>
              <w:rPr>
                <w:color w:val="231F20"/>
                <w:spacing w:val="-2"/>
                <w:sz w:val="18"/>
              </w:rPr>
              <w:t>Unlevered</w:t>
            </w:r>
            <w:r>
              <w:rPr>
                <w:color w:val="231F20"/>
                <w:spacing w:val="4"/>
                <w:sz w:val="18"/>
              </w:rPr>
              <w:t> </w:t>
            </w:r>
            <w:r>
              <w:rPr>
                <w:color w:val="231F20"/>
                <w:spacing w:val="-4"/>
                <w:sz w:val="18"/>
              </w:rPr>
              <w:t>Beta</w:t>
            </w:r>
          </w:p>
        </w:tc>
        <w:tc>
          <w:tcPr>
            <w:tcW w:w="1118" w:type="dxa"/>
          </w:tcPr>
          <w:p>
            <w:pPr>
              <w:pStyle w:val="TableParagraph"/>
              <w:spacing w:before="87"/>
              <w:ind w:left="277"/>
              <w:jc w:val="left"/>
              <w:rPr>
                <w:sz w:val="18"/>
              </w:rPr>
            </w:pPr>
            <w:r>
              <w:rPr>
                <w:color w:val="231F20"/>
                <w:spacing w:val="-5"/>
                <w:w w:val="110"/>
                <w:sz w:val="18"/>
              </w:rPr>
              <w:t>.8</w:t>
            </w:r>
          </w:p>
        </w:tc>
        <w:tc>
          <w:tcPr>
            <w:tcW w:w="1061" w:type="dxa"/>
          </w:tcPr>
          <w:p>
            <w:pPr>
              <w:pStyle w:val="TableParagraph"/>
              <w:spacing w:before="87"/>
              <w:ind w:left="119"/>
              <w:jc w:val="left"/>
              <w:rPr>
                <w:sz w:val="18"/>
              </w:rPr>
            </w:pPr>
            <w:r>
              <w:rPr>
                <w:color w:val="231F20"/>
                <w:spacing w:val="-5"/>
                <w:w w:val="110"/>
                <w:sz w:val="18"/>
              </w:rPr>
              <w:t>.8</w:t>
            </w:r>
          </w:p>
        </w:tc>
        <w:tc>
          <w:tcPr>
            <w:tcW w:w="1131" w:type="dxa"/>
          </w:tcPr>
          <w:p>
            <w:pPr>
              <w:pStyle w:val="TableParagraph"/>
              <w:spacing w:before="87"/>
              <w:ind w:left="118"/>
              <w:jc w:val="left"/>
              <w:rPr>
                <w:sz w:val="18"/>
              </w:rPr>
            </w:pPr>
            <w:r>
              <w:rPr>
                <w:color w:val="231F20"/>
                <w:spacing w:val="-5"/>
                <w:w w:val="110"/>
                <w:sz w:val="18"/>
              </w:rPr>
              <w:t>.8</w:t>
            </w:r>
          </w:p>
        </w:tc>
      </w:tr>
      <w:tr>
        <w:trPr>
          <w:trHeight w:val="259" w:hRule="atLeast"/>
        </w:trPr>
        <w:tc>
          <w:tcPr>
            <w:tcW w:w="2903" w:type="dxa"/>
          </w:tcPr>
          <w:p>
            <w:pPr>
              <w:pStyle w:val="TableParagraph"/>
              <w:spacing w:before="23"/>
              <w:jc w:val="left"/>
              <w:rPr>
                <w:sz w:val="18"/>
              </w:rPr>
            </w:pPr>
            <w:r>
              <w:rPr>
                <w:color w:val="231F20"/>
                <w:w w:val="95"/>
                <w:sz w:val="18"/>
              </w:rPr>
              <w:t>Levered</w:t>
            </w:r>
            <w:r>
              <w:rPr>
                <w:color w:val="231F20"/>
                <w:spacing w:val="26"/>
                <w:sz w:val="18"/>
              </w:rPr>
              <w:t> </w:t>
            </w:r>
            <w:r>
              <w:rPr>
                <w:color w:val="231F20"/>
                <w:w w:val="95"/>
                <w:sz w:val="18"/>
              </w:rPr>
              <w:t>Beta</w:t>
            </w:r>
            <w:r>
              <w:rPr>
                <w:color w:val="231F20"/>
                <w:spacing w:val="-14"/>
                <w:w w:val="95"/>
                <w:sz w:val="18"/>
              </w:rPr>
              <w:t> </w:t>
            </w:r>
            <w:r>
              <w:rPr>
                <w:color w:val="231F20"/>
                <w:spacing w:val="-10"/>
                <w:w w:val="95"/>
                <w:sz w:val="18"/>
              </w:rPr>
              <w:t>*</w:t>
            </w:r>
          </w:p>
        </w:tc>
        <w:tc>
          <w:tcPr>
            <w:tcW w:w="1118" w:type="dxa"/>
          </w:tcPr>
          <w:p>
            <w:pPr>
              <w:pStyle w:val="TableParagraph"/>
              <w:spacing w:before="23"/>
              <w:ind w:left="277"/>
              <w:jc w:val="left"/>
              <w:rPr>
                <w:sz w:val="18"/>
              </w:rPr>
            </w:pPr>
            <w:r>
              <w:rPr>
                <w:color w:val="231F20"/>
                <w:spacing w:val="-5"/>
                <w:w w:val="110"/>
                <w:sz w:val="18"/>
              </w:rPr>
              <w:t>.8</w:t>
            </w:r>
          </w:p>
        </w:tc>
        <w:tc>
          <w:tcPr>
            <w:tcW w:w="1061" w:type="dxa"/>
          </w:tcPr>
          <w:p>
            <w:pPr>
              <w:pStyle w:val="TableParagraph"/>
              <w:spacing w:before="23"/>
              <w:ind w:left="119"/>
              <w:jc w:val="left"/>
              <w:rPr>
                <w:sz w:val="18"/>
              </w:rPr>
            </w:pPr>
            <w:r>
              <w:rPr>
                <w:color w:val="231F20"/>
                <w:spacing w:val="-4"/>
                <w:w w:val="105"/>
                <w:sz w:val="18"/>
              </w:rPr>
              <w:t>.958</w:t>
            </w:r>
          </w:p>
        </w:tc>
        <w:tc>
          <w:tcPr>
            <w:tcW w:w="1131" w:type="dxa"/>
          </w:tcPr>
          <w:p>
            <w:pPr>
              <w:pStyle w:val="TableParagraph"/>
              <w:spacing w:before="23"/>
              <w:ind w:left="118"/>
              <w:jc w:val="left"/>
              <w:rPr>
                <w:sz w:val="18"/>
              </w:rPr>
            </w:pPr>
            <w:r>
              <w:rPr>
                <w:color w:val="231F20"/>
                <w:spacing w:val="-2"/>
                <w:w w:val="105"/>
                <w:sz w:val="18"/>
              </w:rPr>
              <w:t>1.194</w:t>
            </w:r>
          </w:p>
        </w:tc>
      </w:tr>
      <w:tr>
        <w:trPr>
          <w:trHeight w:val="324" w:hRule="atLeast"/>
        </w:trPr>
        <w:tc>
          <w:tcPr>
            <w:tcW w:w="2903" w:type="dxa"/>
          </w:tcPr>
          <w:p>
            <w:pPr>
              <w:pStyle w:val="TableParagraph"/>
              <w:spacing w:before="23"/>
              <w:ind w:left="180"/>
              <w:jc w:val="left"/>
              <w:rPr>
                <w:sz w:val="18"/>
              </w:rPr>
            </w:pPr>
            <w:r>
              <w:rPr>
                <w:color w:val="231F20"/>
                <w:sz w:val="18"/>
              </w:rPr>
              <w:t>Using</w:t>
            </w:r>
            <w:r>
              <w:rPr>
                <w:color w:val="231F20"/>
                <w:spacing w:val="5"/>
                <w:sz w:val="18"/>
              </w:rPr>
              <w:t> </w:t>
            </w:r>
            <w:r>
              <w:rPr>
                <w:color w:val="231F20"/>
                <w:sz w:val="18"/>
              </w:rPr>
              <w:t>the</w:t>
            </w:r>
            <w:r>
              <w:rPr>
                <w:color w:val="231F20"/>
                <w:spacing w:val="6"/>
                <w:sz w:val="18"/>
              </w:rPr>
              <w:t> </w:t>
            </w:r>
            <w:r>
              <w:rPr>
                <w:color w:val="231F20"/>
                <w:sz w:val="18"/>
              </w:rPr>
              <w:t>Step</w:t>
            </w:r>
            <w:r>
              <w:rPr>
                <w:color w:val="231F20"/>
                <w:spacing w:val="6"/>
                <w:sz w:val="18"/>
              </w:rPr>
              <w:t> </w:t>
            </w:r>
            <w:r>
              <w:rPr>
                <w:color w:val="231F20"/>
                <w:sz w:val="18"/>
              </w:rPr>
              <w:t>B</w:t>
            </w:r>
            <w:r>
              <w:rPr>
                <w:color w:val="231F20"/>
                <w:spacing w:val="6"/>
                <w:sz w:val="18"/>
              </w:rPr>
              <w:t> </w:t>
            </w:r>
            <w:r>
              <w:rPr>
                <w:color w:val="231F20"/>
                <w:spacing w:val="-2"/>
                <w:sz w:val="18"/>
              </w:rPr>
              <w:t>formula</w:t>
            </w:r>
          </w:p>
        </w:tc>
        <w:tc>
          <w:tcPr>
            <w:tcW w:w="1118" w:type="dxa"/>
          </w:tcPr>
          <w:p>
            <w:pPr>
              <w:pStyle w:val="TableParagraph"/>
              <w:spacing w:before="0"/>
              <w:jc w:val="left"/>
              <w:rPr>
                <w:rFonts w:ascii="Times New Roman"/>
                <w:sz w:val="18"/>
              </w:rPr>
            </w:pPr>
          </w:p>
        </w:tc>
        <w:tc>
          <w:tcPr>
            <w:tcW w:w="1061" w:type="dxa"/>
          </w:tcPr>
          <w:p>
            <w:pPr>
              <w:pStyle w:val="TableParagraph"/>
              <w:spacing w:before="0"/>
              <w:jc w:val="left"/>
              <w:rPr>
                <w:rFonts w:ascii="Times New Roman"/>
                <w:sz w:val="18"/>
              </w:rPr>
            </w:pPr>
          </w:p>
        </w:tc>
        <w:tc>
          <w:tcPr>
            <w:tcW w:w="1131" w:type="dxa"/>
          </w:tcPr>
          <w:p>
            <w:pPr>
              <w:pStyle w:val="TableParagraph"/>
              <w:spacing w:before="23"/>
              <w:ind w:left="118"/>
              <w:jc w:val="left"/>
              <w:rPr>
                <w:sz w:val="18"/>
              </w:rPr>
            </w:pPr>
            <w:r>
              <w:rPr>
                <w:color w:val="231F20"/>
                <w:spacing w:val="-2"/>
                <w:sz w:val="18"/>
              </w:rPr>
              <w:t>riskiest</w:t>
            </w:r>
          </w:p>
        </w:tc>
      </w:tr>
      <w:tr>
        <w:trPr>
          <w:trHeight w:val="324" w:hRule="atLeast"/>
        </w:trPr>
        <w:tc>
          <w:tcPr>
            <w:tcW w:w="2903" w:type="dxa"/>
          </w:tcPr>
          <w:p>
            <w:pPr>
              <w:pStyle w:val="TableParagraph"/>
              <w:spacing w:before="88"/>
              <w:jc w:val="left"/>
              <w:rPr>
                <w:sz w:val="18"/>
              </w:rPr>
            </w:pPr>
            <w:r>
              <w:rPr>
                <w:color w:val="231F20"/>
                <w:w w:val="105"/>
                <w:sz w:val="18"/>
              </w:rPr>
              <w:t>Cost</w:t>
            </w:r>
            <w:r>
              <w:rPr>
                <w:color w:val="231F20"/>
                <w:spacing w:val="1"/>
                <w:w w:val="105"/>
                <w:sz w:val="18"/>
              </w:rPr>
              <w:t> </w:t>
            </w:r>
            <w:r>
              <w:rPr>
                <w:color w:val="231F20"/>
                <w:w w:val="105"/>
                <w:sz w:val="18"/>
              </w:rPr>
              <w:t>of</w:t>
            </w:r>
            <w:r>
              <w:rPr>
                <w:color w:val="231F20"/>
                <w:spacing w:val="3"/>
                <w:w w:val="105"/>
                <w:sz w:val="18"/>
              </w:rPr>
              <w:t> </w:t>
            </w:r>
            <w:r>
              <w:rPr>
                <w:color w:val="231F20"/>
                <w:w w:val="105"/>
                <w:sz w:val="18"/>
              </w:rPr>
              <w:t>Equity</w:t>
            </w:r>
            <w:r>
              <w:rPr>
                <w:color w:val="231F20"/>
                <w:spacing w:val="-24"/>
                <w:w w:val="105"/>
                <w:sz w:val="18"/>
              </w:rPr>
              <w:t> </w:t>
            </w:r>
            <w:r>
              <w:rPr>
                <w:color w:val="231F20"/>
                <w:spacing w:val="-10"/>
                <w:w w:val="105"/>
                <w:sz w:val="18"/>
              </w:rPr>
              <w:t>*</w:t>
            </w:r>
          </w:p>
        </w:tc>
        <w:tc>
          <w:tcPr>
            <w:tcW w:w="1118" w:type="dxa"/>
          </w:tcPr>
          <w:p>
            <w:pPr>
              <w:pStyle w:val="TableParagraph"/>
              <w:spacing w:before="88"/>
              <w:ind w:left="277"/>
              <w:jc w:val="left"/>
              <w:rPr>
                <w:sz w:val="18"/>
              </w:rPr>
            </w:pPr>
            <w:r>
              <w:rPr>
                <w:color w:val="231F20"/>
                <w:spacing w:val="-4"/>
                <w:w w:val="105"/>
                <w:sz w:val="18"/>
              </w:rPr>
              <w:t>.139</w:t>
            </w:r>
          </w:p>
        </w:tc>
        <w:tc>
          <w:tcPr>
            <w:tcW w:w="1061" w:type="dxa"/>
          </w:tcPr>
          <w:p>
            <w:pPr>
              <w:pStyle w:val="TableParagraph"/>
              <w:spacing w:before="88"/>
              <w:ind w:left="119"/>
              <w:jc w:val="left"/>
              <w:rPr>
                <w:sz w:val="18"/>
              </w:rPr>
            </w:pPr>
            <w:r>
              <w:rPr>
                <w:color w:val="231F20"/>
                <w:spacing w:val="-4"/>
                <w:w w:val="105"/>
                <w:sz w:val="18"/>
              </w:rPr>
              <w:t>.151</w:t>
            </w:r>
          </w:p>
        </w:tc>
        <w:tc>
          <w:tcPr>
            <w:tcW w:w="1131" w:type="dxa"/>
          </w:tcPr>
          <w:p>
            <w:pPr>
              <w:pStyle w:val="TableParagraph"/>
              <w:spacing w:before="88"/>
              <w:ind w:left="118"/>
              <w:jc w:val="left"/>
              <w:rPr>
                <w:sz w:val="18"/>
              </w:rPr>
            </w:pPr>
            <w:r>
              <w:rPr>
                <w:color w:val="231F20"/>
                <w:spacing w:val="-4"/>
                <w:w w:val="105"/>
                <w:sz w:val="18"/>
              </w:rPr>
              <w:t>.168</w:t>
            </w:r>
          </w:p>
        </w:tc>
      </w:tr>
      <w:tr>
        <w:trPr>
          <w:trHeight w:val="259" w:hRule="atLeast"/>
        </w:trPr>
        <w:tc>
          <w:tcPr>
            <w:tcW w:w="2903" w:type="dxa"/>
          </w:tcPr>
          <w:p>
            <w:pPr>
              <w:pStyle w:val="TableParagraph"/>
              <w:spacing w:before="23"/>
              <w:ind w:left="180"/>
              <w:jc w:val="left"/>
              <w:rPr>
                <w:sz w:val="18"/>
              </w:rPr>
            </w:pPr>
            <w:r>
              <w:rPr>
                <w:color w:val="231F20"/>
                <w:w w:val="105"/>
                <w:sz w:val="18"/>
              </w:rPr>
              <w:t>Using</w:t>
            </w:r>
            <w:r>
              <w:rPr>
                <w:color w:val="231F20"/>
                <w:spacing w:val="11"/>
                <w:w w:val="105"/>
                <w:sz w:val="18"/>
              </w:rPr>
              <w:t> </w:t>
            </w:r>
            <w:r>
              <w:rPr>
                <w:color w:val="231F20"/>
                <w:w w:val="105"/>
                <w:sz w:val="18"/>
              </w:rPr>
              <w:t>the</w:t>
            </w:r>
            <w:r>
              <w:rPr>
                <w:color w:val="231F20"/>
                <w:spacing w:val="12"/>
                <w:w w:val="105"/>
                <w:sz w:val="18"/>
              </w:rPr>
              <w:t> </w:t>
            </w:r>
            <w:r>
              <w:rPr>
                <w:color w:val="231F20"/>
                <w:w w:val="105"/>
                <w:sz w:val="18"/>
              </w:rPr>
              <w:t>CAPM</w:t>
            </w:r>
            <w:r>
              <w:rPr>
                <w:color w:val="231F20"/>
                <w:spacing w:val="12"/>
                <w:w w:val="105"/>
                <w:sz w:val="18"/>
              </w:rPr>
              <w:t> </w:t>
            </w:r>
            <w:r>
              <w:rPr>
                <w:color w:val="231F20"/>
                <w:spacing w:val="-2"/>
                <w:w w:val="105"/>
                <w:sz w:val="18"/>
              </w:rPr>
              <w:t>formula:</w:t>
            </w:r>
          </w:p>
        </w:tc>
        <w:tc>
          <w:tcPr>
            <w:tcW w:w="1118" w:type="dxa"/>
          </w:tcPr>
          <w:p>
            <w:pPr>
              <w:pStyle w:val="TableParagraph"/>
              <w:spacing w:before="0"/>
              <w:jc w:val="left"/>
              <w:rPr>
                <w:rFonts w:ascii="Times New Roman"/>
                <w:sz w:val="18"/>
              </w:rPr>
            </w:pPr>
          </w:p>
        </w:tc>
        <w:tc>
          <w:tcPr>
            <w:tcW w:w="1061" w:type="dxa"/>
          </w:tcPr>
          <w:p>
            <w:pPr>
              <w:pStyle w:val="TableParagraph"/>
              <w:spacing w:before="0"/>
              <w:jc w:val="left"/>
              <w:rPr>
                <w:rFonts w:ascii="Times New Roman"/>
                <w:sz w:val="18"/>
              </w:rPr>
            </w:pPr>
          </w:p>
        </w:tc>
        <w:tc>
          <w:tcPr>
            <w:tcW w:w="1131" w:type="dxa"/>
          </w:tcPr>
          <w:p>
            <w:pPr>
              <w:pStyle w:val="TableParagraph"/>
              <w:spacing w:before="23"/>
              <w:ind w:left="118"/>
              <w:jc w:val="left"/>
              <w:rPr>
                <w:sz w:val="18"/>
              </w:rPr>
            </w:pPr>
            <w:r>
              <w:rPr>
                <w:color w:val="231F20"/>
                <w:spacing w:val="-2"/>
                <w:sz w:val="18"/>
              </w:rPr>
              <w:t>riskiest</w:t>
            </w:r>
          </w:p>
        </w:tc>
      </w:tr>
      <w:tr>
        <w:trPr>
          <w:trHeight w:val="267" w:hRule="atLeast"/>
        </w:trPr>
        <w:tc>
          <w:tcPr>
            <w:tcW w:w="2903" w:type="dxa"/>
          </w:tcPr>
          <w:p>
            <w:pPr>
              <w:pStyle w:val="TableParagraph"/>
              <w:spacing w:before="13"/>
              <w:ind w:left="180"/>
              <w:jc w:val="left"/>
              <w:rPr>
                <w:rFonts w:ascii="Symbol" w:hAnsi="Symbol"/>
                <w:sz w:val="18"/>
              </w:rPr>
            </w:pPr>
            <w:r>
              <w:rPr>
                <w:color w:val="231F20"/>
                <w:sz w:val="18"/>
              </w:rPr>
              <w:t>K</w:t>
            </w:r>
            <w:r>
              <w:rPr>
                <w:color w:val="231F20"/>
                <w:sz w:val="18"/>
                <w:vertAlign w:val="subscript"/>
              </w:rPr>
              <w:t>e</w:t>
            </w:r>
            <w:r>
              <w:rPr>
                <w:color w:val="231F20"/>
                <w:spacing w:val="15"/>
                <w:sz w:val="18"/>
                <w:vertAlign w:val="baseline"/>
              </w:rPr>
              <w:t> </w:t>
            </w:r>
            <w:r>
              <w:rPr>
                <w:rFonts w:ascii="Symbol" w:hAnsi="Symbol"/>
                <w:color w:val="231F20"/>
                <w:sz w:val="18"/>
                <w:vertAlign w:val="baseline"/>
              </w:rPr>
              <w:t></w:t>
            </w:r>
            <w:r>
              <w:rPr>
                <w:rFonts w:ascii="Times New Roman" w:hAnsi="Times New Roman"/>
                <w:color w:val="231F20"/>
                <w:spacing w:val="9"/>
                <w:sz w:val="18"/>
                <w:vertAlign w:val="baseline"/>
              </w:rPr>
              <w:t> </w:t>
            </w:r>
            <w:r>
              <w:rPr>
                <w:color w:val="231F20"/>
                <w:sz w:val="18"/>
                <w:vertAlign w:val="baseline"/>
              </w:rPr>
              <w:t>R</w:t>
            </w:r>
            <w:r>
              <w:rPr>
                <w:color w:val="231F20"/>
                <w:sz w:val="18"/>
                <w:vertAlign w:val="subscript"/>
              </w:rPr>
              <w:t>f</w:t>
            </w:r>
            <w:r>
              <w:rPr>
                <w:color w:val="231F20"/>
                <w:spacing w:val="15"/>
                <w:sz w:val="18"/>
                <w:vertAlign w:val="baseline"/>
              </w:rPr>
              <w:t> </w:t>
            </w:r>
            <w:r>
              <w:rPr>
                <w:rFonts w:ascii="Symbol" w:hAnsi="Symbol"/>
                <w:color w:val="231F20"/>
                <w:sz w:val="18"/>
                <w:vertAlign w:val="baseline"/>
              </w:rPr>
              <w:t></w:t>
            </w:r>
            <w:r>
              <w:rPr>
                <w:rFonts w:ascii="Times New Roman" w:hAnsi="Times New Roman"/>
                <w:color w:val="231F20"/>
                <w:spacing w:val="9"/>
                <w:sz w:val="18"/>
                <w:vertAlign w:val="baseline"/>
              </w:rPr>
              <w:t> </w:t>
            </w:r>
            <w:r>
              <w:rPr>
                <w:color w:val="231F20"/>
                <w:sz w:val="18"/>
                <w:vertAlign w:val="baseline"/>
              </w:rPr>
              <w:t>Levered</w:t>
            </w:r>
            <w:r>
              <w:rPr>
                <w:color w:val="231F20"/>
                <w:spacing w:val="15"/>
                <w:sz w:val="18"/>
                <w:vertAlign w:val="baseline"/>
              </w:rPr>
              <w:t> </w:t>
            </w:r>
            <w:r>
              <w:rPr>
                <w:color w:val="231F20"/>
                <w:sz w:val="18"/>
                <w:vertAlign w:val="baseline"/>
              </w:rPr>
              <w:t>Beta</w:t>
            </w:r>
            <w:r>
              <w:rPr>
                <w:color w:val="231F20"/>
                <w:spacing w:val="15"/>
                <w:sz w:val="18"/>
                <w:vertAlign w:val="baseline"/>
              </w:rPr>
              <w:t> </w:t>
            </w:r>
            <w:r>
              <w:rPr>
                <w:rFonts w:ascii="Symbol" w:hAnsi="Symbol"/>
                <w:color w:val="231F20"/>
                <w:spacing w:val="-10"/>
                <w:sz w:val="18"/>
                <w:vertAlign w:val="baseline"/>
              </w:rPr>
              <w:t></w:t>
            </w:r>
          </w:p>
        </w:tc>
        <w:tc>
          <w:tcPr>
            <w:tcW w:w="1118" w:type="dxa"/>
          </w:tcPr>
          <w:p>
            <w:pPr>
              <w:pStyle w:val="TableParagraph"/>
              <w:spacing w:before="0"/>
              <w:jc w:val="left"/>
              <w:rPr>
                <w:rFonts w:ascii="Times New Roman"/>
                <w:sz w:val="18"/>
              </w:rPr>
            </w:pPr>
          </w:p>
        </w:tc>
        <w:tc>
          <w:tcPr>
            <w:tcW w:w="1061" w:type="dxa"/>
          </w:tcPr>
          <w:p>
            <w:pPr>
              <w:pStyle w:val="TableParagraph"/>
              <w:spacing w:before="0"/>
              <w:jc w:val="left"/>
              <w:rPr>
                <w:rFonts w:ascii="Times New Roman"/>
                <w:sz w:val="18"/>
              </w:rPr>
            </w:pPr>
          </w:p>
        </w:tc>
        <w:tc>
          <w:tcPr>
            <w:tcW w:w="1131" w:type="dxa"/>
          </w:tcPr>
          <w:p>
            <w:pPr>
              <w:pStyle w:val="TableParagraph"/>
              <w:spacing w:before="0"/>
              <w:jc w:val="left"/>
              <w:rPr>
                <w:rFonts w:ascii="Times New Roman"/>
                <w:sz w:val="18"/>
              </w:rPr>
            </w:pPr>
          </w:p>
        </w:tc>
      </w:tr>
      <w:tr>
        <w:trPr>
          <w:trHeight w:val="253" w:hRule="atLeast"/>
        </w:trPr>
        <w:tc>
          <w:tcPr>
            <w:tcW w:w="2903" w:type="dxa"/>
          </w:tcPr>
          <w:p>
            <w:pPr>
              <w:pStyle w:val="TableParagraph"/>
              <w:spacing w:before="16"/>
              <w:ind w:left="180"/>
              <w:jc w:val="left"/>
              <w:rPr>
                <w:sz w:val="18"/>
              </w:rPr>
            </w:pPr>
            <w:r>
              <w:rPr>
                <w:color w:val="231F20"/>
                <w:sz w:val="18"/>
              </w:rPr>
              <w:t>(Risk</w:t>
            </w:r>
            <w:r>
              <w:rPr>
                <w:color w:val="231F20"/>
                <w:spacing w:val="14"/>
                <w:sz w:val="18"/>
              </w:rPr>
              <w:t> </w:t>
            </w:r>
            <w:r>
              <w:rPr>
                <w:color w:val="231F20"/>
                <w:spacing w:val="-2"/>
                <w:sz w:val="18"/>
              </w:rPr>
              <w:t>Premium)</w:t>
            </w:r>
          </w:p>
        </w:tc>
        <w:tc>
          <w:tcPr>
            <w:tcW w:w="1118" w:type="dxa"/>
          </w:tcPr>
          <w:p>
            <w:pPr>
              <w:pStyle w:val="TableParagraph"/>
              <w:spacing w:before="0"/>
              <w:jc w:val="left"/>
              <w:rPr>
                <w:rFonts w:ascii="Times New Roman"/>
                <w:sz w:val="18"/>
              </w:rPr>
            </w:pPr>
          </w:p>
        </w:tc>
        <w:tc>
          <w:tcPr>
            <w:tcW w:w="1061" w:type="dxa"/>
          </w:tcPr>
          <w:p>
            <w:pPr>
              <w:pStyle w:val="TableParagraph"/>
              <w:spacing w:before="0"/>
              <w:jc w:val="left"/>
              <w:rPr>
                <w:rFonts w:ascii="Times New Roman"/>
                <w:sz w:val="18"/>
              </w:rPr>
            </w:pPr>
          </w:p>
        </w:tc>
        <w:tc>
          <w:tcPr>
            <w:tcW w:w="1131" w:type="dxa"/>
          </w:tcPr>
          <w:p>
            <w:pPr>
              <w:pStyle w:val="TableParagraph"/>
              <w:spacing w:before="0"/>
              <w:jc w:val="left"/>
              <w:rPr>
                <w:rFonts w:ascii="Times New Roman"/>
                <w:sz w:val="18"/>
              </w:rPr>
            </w:pPr>
          </w:p>
        </w:tc>
      </w:tr>
      <w:tr>
        <w:trPr>
          <w:trHeight w:val="331" w:hRule="atLeast"/>
        </w:trPr>
        <w:tc>
          <w:tcPr>
            <w:tcW w:w="2903" w:type="dxa"/>
          </w:tcPr>
          <w:p>
            <w:pPr>
              <w:pStyle w:val="TableParagraph"/>
              <w:spacing w:before="13"/>
              <w:ind w:left="180"/>
              <w:jc w:val="left"/>
              <w:rPr>
                <w:sz w:val="18"/>
              </w:rPr>
            </w:pPr>
            <w:r>
              <w:rPr>
                <w:color w:val="231F20"/>
                <w:sz w:val="18"/>
              </w:rPr>
              <w:t>K</w:t>
            </w:r>
            <w:r>
              <w:rPr>
                <w:color w:val="231F20"/>
                <w:sz w:val="18"/>
                <w:vertAlign w:val="subscript"/>
              </w:rPr>
              <w:t>e</w:t>
            </w:r>
            <w:r>
              <w:rPr>
                <w:color w:val="231F20"/>
                <w:spacing w:val="11"/>
                <w:sz w:val="18"/>
                <w:vertAlign w:val="baseline"/>
              </w:rPr>
              <w:t> </w:t>
            </w:r>
            <w:r>
              <w:rPr>
                <w:rFonts w:ascii="Symbol" w:hAnsi="Symbol"/>
                <w:color w:val="231F20"/>
                <w:sz w:val="18"/>
                <w:vertAlign w:val="baseline"/>
              </w:rPr>
              <w:t></w:t>
            </w:r>
            <w:r>
              <w:rPr>
                <w:rFonts w:ascii="Times New Roman" w:hAnsi="Times New Roman"/>
                <w:color w:val="231F20"/>
                <w:spacing w:val="5"/>
                <w:sz w:val="18"/>
                <w:vertAlign w:val="baseline"/>
              </w:rPr>
              <w:t> </w:t>
            </w:r>
            <w:r>
              <w:rPr>
                <w:color w:val="231F20"/>
                <w:sz w:val="18"/>
                <w:vertAlign w:val="baseline"/>
              </w:rPr>
              <w:t>.08</w:t>
            </w:r>
            <w:r>
              <w:rPr>
                <w:color w:val="231F20"/>
                <w:spacing w:val="11"/>
                <w:sz w:val="18"/>
                <w:vertAlign w:val="baseline"/>
              </w:rPr>
              <w:t> </w:t>
            </w:r>
            <w:r>
              <w:rPr>
                <w:rFonts w:ascii="Symbol" w:hAnsi="Symbol"/>
                <w:color w:val="231F20"/>
                <w:sz w:val="18"/>
                <w:vertAlign w:val="baseline"/>
              </w:rPr>
              <w:t></w:t>
            </w:r>
            <w:r>
              <w:rPr>
                <w:rFonts w:ascii="Times New Roman" w:hAnsi="Times New Roman"/>
                <w:color w:val="231F20"/>
                <w:spacing w:val="5"/>
                <w:sz w:val="18"/>
                <w:vertAlign w:val="baseline"/>
              </w:rPr>
              <w:t> </w:t>
            </w:r>
            <w:r>
              <w:rPr>
                <w:color w:val="231F20"/>
                <w:sz w:val="18"/>
                <w:vertAlign w:val="baseline"/>
              </w:rPr>
              <w:t>Levered</w:t>
            </w:r>
            <w:r>
              <w:rPr>
                <w:color w:val="231F20"/>
                <w:spacing w:val="11"/>
                <w:sz w:val="18"/>
                <w:vertAlign w:val="baseline"/>
              </w:rPr>
              <w:t> </w:t>
            </w:r>
            <w:r>
              <w:rPr>
                <w:color w:val="231F20"/>
                <w:sz w:val="18"/>
                <w:vertAlign w:val="baseline"/>
              </w:rPr>
              <w:t>Beta</w:t>
            </w:r>
            <w:r>
              <w:rPr>
                <w:color w:val="231F20"/>
                <w:spacing w:val="11"/>
                <w:sz w:val="18"/>
                <w:vertAlign w:val="baseline"/>
              </w:rPr>
              <w:t> </w:t>
            </w:r>
            <w:r>
              <w:rPr>
                <w:rFonts w:ascii="Symbol" w:hAnsi="Symbol"/>
                <w:color w:val="231F20"/>
                <w:sz w:val="18"/>
                <w:vertAlign w:val="baseline"/>
              </w:rPr>
              <w:t></w:t>
            </w:r>
            <w:r>
              <w:rPr>
                <w:rFonts w:ascii="Times New Roman" w:hAnsi="Times New Roman"/>
                <w:color w:val="231F20"/>
                <w:spacing w:val="5"/>
                <w:sz w:val="18"/>
                <w:vertAlign w:val="baseline"/>
              </w:rPr>
              <w:t> </w:t>
            </w:r>
            <w:r>
              <w:rPr>
                <w:color w:val="231F20"/>
                <w:spacing w:val="-2"/>
                <w:sz w:val="18"/>
                <w:vertAlign w:val="baseline"/>
              </w:rPr>
              <w:t>(.074)</w:t>
            </w:r>
          </w:p>
        </w:tc>
        <w:tc>
          <w:tcPr>
            <w:tcW w:w="1118" w:type="dxa"/>
          </w:tcPr>
          <w:p>
            <w:pPr>
              <w:pStyle w:val="TableParagraph"/>
              <w:spacing w:before="0"/>
              <w:jc w:val="left"/>
              <w:rPr>
                <w:rFonts w:ascii="Times New Roman"/>
                <w:sz w:val="18"/>
              </w:rPr>
            </w:pPr>
          </w:p>
        </w:tc>
        <w:tc>
          <w:tcPr>
            <w:tcW w:w="1061" w:type="dxa"/>
          </w:tcPr>
          <w:p>
            <w:pPr>
              <w:pStyle w:val="TableParagraph"/>
              <w:spacing w:before="0"/>
              <w:jc w:val="left"/>
              <w:rPr>
                <w:rFonts w:ascii="Times New Roman"/>
                <w:sz w:val="18"/>
              </w:rPr>
            </w:pPr>
          </w:p>
        </w:tc>
        <w:tc>
          <w:tcPr>
            <w:tcW w:w="1131" w:type="dxa"/>
          </w:tcPr>
          <w:p>
            <w:pPr>
              <w:pStyle w:val="TableParagraph"/>
              <w:spacing w:before="0"/>
              <w:jc w:val="left"/>
              <w:rPr>
                <w:rFonts w:ascii="Times New Roman"/>
                <w:sz w:val="18"/>
              </w:rPr>
            </w:pPr>
          </w:p>
        </w:tc>
      </w:tr>
      <w:tr>
        <w:trPr>
          <w:trHeight w:val="318" w:hRule="atLeast"/>
        </w:trPr>
        <w:tc>
          <w:tcPr>
            <w:tcW w:w="2903" w:type="dxa"/>
          </w:tcPr>
          <w:p>
            <w:pPr>
              <w:pStyle w:val="TableParagraph"/>
              <w:spacing w:before="81"/>
              <w:jc w:val="left"/>
              <w:rPr>
                <w:sz w:val="18"/>
              </w:rPr>
            </w:pPr>
            <w:r>
              <w:rPr>
                <w:color w:val="231F20"/>
                <w:spacing w:val="-2"/>
                <w:w w:val="120"/>
                <w:sz w:val="18"/>
              </w:rPr>
              <w:t>WACC*</w:t>
            </w:r>
          </w:p>
        </w:tc>
        <w:tc>
          <w:tcPr>
            <w:tcW w:w="1118" w:type="dxa"/>
          </w:tcPr>
          <w:p>
            <w:pPr>
              <w:pStyle w:val="TableParagraph"/>
              <w:spacing w:before="81"/>
              <w:ind w:left="277"/>
              <w:jc w:val="left"/>
              <w:rPr>
                <w:sz w:val="18"/>
              </w:rPr>
            </w:pPr>
            <w:r>
              <w:rPr>
                <w:color w:val="231F20"/>
                <w:spacing w:val="-4"/>
                <w:w w:val="105"/>
                <w:sz w:val="18"/>
              </w:rPr>
              <w:t>.139</w:t>
            </w:r>
          </w:p>
        </w:tc>
        <w:tc>
          <w:tcPr>
            <w:tcW w:w="1061" w:type="dxa"/>
          </w:tcPr>
          <w:p>
            <w:pPr>
              <w:pStyle w:val="TableParagraph"/>
              <w:spacing w:before="81"/>
              <w:ind w:left="119"/>
              <w:jc w:val="left"/>
              <w:rPr>
                <w:sz w:val="18"/>
              </w:rPr>
            </w:pPr>
            <w:r>
              <w:rPr>
                <w:color w:val="231F20"/>
                <w:spacing w:val="-4"/>
                <w:w w:val="105"/>
                <w:sz w:val="18"/>
              </w:rPr>
              <w:t>.127</w:t>
            </w:r>
          </w:p>
        </w:tc>
        <w:tc>
          <w:tcPr>
            <w:tcW w:w="1131" w:type="dxa"/>
          </w:tcPr>
          <w:p>
            <w:pPr>
              <w:pStyle w:val="TableParagraph"/>
              <w:spacing w:before="81"/>
              <w:ind w:left="118"/>
              <w:jc w:val="left"/>
              <w:rPr>
                <w:sz w:val="18"/>
              </w:rPr>
            </w:pPr>
            <w:r>
              <w:rPr>
                <w:color w:val="231F20"/>
                <w:spacing w:val="-4"/>
                <w:w w:val="105"/>
                <w:sz w:val="18"/>
              </w:rPr>
              <w:t>.116</w:t>
            </w:r>
          </w:p>
        </w:tc>
      </w:tr>
      <w:tr>
        <w:trPr>
          <w:trHeight w:val="324" w:hRule="atLeast"/>
        </w:trPr>
        <w:tc>
          <w:tcPr>
            <w:tcW w:w="2903" w:type="dxa"/>
          </w:tcPr>
          <w:p>
            <w:pPr>
              <w:pStyle w:val="TableParagraph"/>
              <w:spacing w:before="23"/>
              <w:ind w:left="180"/>
              <w:jc w:val="left"/>
              <w:rPr>
                <w:sz w:val="18"/>
              </w:rPr>
            </w:pPr>
            <w:r>
              <w:rPr>
                <w:color w:val="231F20"/>
                <w:w w:val="105"/>
                <w:sz w:val="18"/>
              </w:rPr>
              <w:t>Using</w:t>
            </w:r>
            <w:r>
              <w:rPr>
                <w:color w:val="231F20"/>
                <w:spacing w:val="8"/>
                <w:w w:val="105"/>
                <w:sz w:val="18"/>
              </w:rPr>
              <w:t> </w:t>
            </w:r>
            <w:r>
              <w:rPr>
                <w:color w:val="231F20"/>
                <w:w w:val="105"/>
                <w:sz w:val="18"/>
              </w:rPr>
              <w:t>WACC</w:t>
            </w:r>
            <w:r>
              <w:rPr>
                <w:color w:val="231F20"/>
                <w:spacing w:val="9"/>
                <w:w w:val="105"/>
                <w:sz w:val="18"/>
              </w:rPr>
              <w:t> </w:t>
            </w:r>
            <w:r>
              <w:rPr>
                <w:color w:val="231F20"/>
                <w:w w:val="105"/>
                <w:sz w:val="18"/>
              </w:rPr>
              <w:t>formula</w:t>
            </w:r>
            <w:r>
              <w:rPr>
                <w:color w:val="231F20"/>
                <w:spacing w:val="8"/>
                <w:w w:val="105"/>
                <w:sz w:val="18"/>
              </w:rPr>
              <w:t> </w:t>
            </w:r>
            <w:r>
              <w:rPr>
                <w:color w:val="231F20"/>
                <w:spacing w:val="-2"/>
                <w:w w:val="105"/>
                <w:sz w:val="18"/>
              </w:rPr>
              <w:t>given</w:t>
            </w:r>
          </w:p>
        </w:tc>
        <w:tc>
          <w:tcPr>
            <w:tcW w:w="1118" w:type="dxa"/>
          </w:tcPr>
          <w:p>
            <w:pPr>
              <w:pStyle w:val="TableParagraph"/>
              <w:spacing w:before="0"/>
              <w:jc w:val="left"/>
              <w:rPr>
                <w:rFonts w:ascii="Times New Roman"/>
                <w:sz w:val="18"/>
              </w:rPr>
            </w:pPr>
          </w:p>
        </w:tc>
        <w:tc>
          <w:tcPr>
            <w:tcW w:w="1061" w:type="dxa"/>
          </w:tcPr>
          <w:p>
            <w:pPr>
              <w:pStyle w:val="TableParagraph"/>
              <w:spacing w:before="0"/>
              <w:jc w:val="left"/>
              <w:rPr>
                <w:rFonts w:ascii="Times New Roman"/>
                <w:sz w:val="18"/>
              </w:rPr>
            </w:pPr>
          </w:p>
        </w:tc>
        <w:tc>
          <w:tcPr>
            <w:tcW w:w="1131" w:type="dxa"/>
          </w:tcPr>
          <w:p>
            <w:pPr>
              <w:pStyle w:val="TableParagraph"/>
              <w:spacing w:before="23"/>
              <w:ind w:left="118"/>
              <w:jc w:val="left"/>
              <w:rPr>
                <w:sz w:val="18"/>
              </w:rPr>
            </w:pPr>
            <w:r>
              <w:rPr>
                <w:color w:val="231F20"/>
                <w:sz w:val="18"/>
              </w:rPr>
              <w:t>least</w:t>
            </w:r>
            <w:r>
              <w:rPr>
                <w:color w:val="231F20"/>
                <w:spacing w:val="-5"/>
                <w:sz w:val="18"/>
              </w:rPr>
              <w:t> </w:t>
            </w:r>
            <w:r>
              <w:rPr>
                <w:color w:val="231F20"/>
                <w:spacing w:val="-4"/>
                <w:sz w:val="18"/>
              </w:rPr>
              <w:t>cost</w:t>
            </w:r>
          </w:p>
        </w:tc>
      </w:tr>
      <w:tr>
        <w:trPr>
          <w:trHeight w:val="324" w:hRule="atLeast"/>
        </w:trPr>
        <w:tc>
          <w:tcPr>
            <w:tcW w:w="2903" w:type="dxa"/>
          </w:tcPr>
          <w:p>
            <w:pPr>
              <w:pStyle w:val="TableParagraph"/>
              <w:spacing w:before="88"/>
              <w:jc w:val="left"/>
              <w:rPr>
                <w:sz w:val="18"/>
              </w:rPr>
            </w:pPr>
            <w:r>
              <w:rPr>
                <w:color w:val="231F20"/>
                <w:w w:val="105"/>
                <w:sz w:val="18"/>
              </w:rPr>
              <w:t>Annual</w:t>
            </w:r>
            <w:r>
              <w:rPr>
                <w:color w:val="231F20"/>
                <w:spacing w:val="4"/>
                <w:w w:val="105"/>
                <w:sz w:val="18"/>
              </w:rPr>
              <w:t> </w:t>
            </w:r>
            <w:r>
              <w:rPr>
                <w:color w:val="231F20"/>
                <w:w w:val="105"/>
                <w:sz w:val="18"/>
              </w:rPr>
              <w:t>Cash</w:t>
            </w:r>
            <w:r>
              <w:rPr>
                <w:color w:val="231F20"/>
                <w:spacing w:val="4"/>
                <w:w w:val="105"/>
                <w:sz w:val="18"/>
              </w:rPr>
              <w:t> </w:t>
            </w:r>
            <w:r>
              <w:rPr>
                <w:color w:val="231F20"/>
                <w:spacing w:val="-4"/>
                <w:w w:val="105"/>
                <w:sz w:val="18"/>
              </w:rPr>
              <w:t>Flow</w:t>
            </w:r>
          </w:p>
        </w:tc>
        <w:tc>
          <w:tcPr>
            <w:tcW w:w="1118" w:type="dxa"/>
          </w:tcPr>
          <w:p>
            <w:pPr>
              <w:pStyle w:val="TableParagraph"/>
              <w:spacing w:before="88"/>
              <w:ind w:left="277"/>
              <w:jc w:val="left"/>
              <w:rPr>
                <w:sz w:val="18"/>
              </w:rPr>
            </w:pPr>
            <w:r>
              <w:rPr>
                <w:color w:val="231F20"/>
                <w:spacing w:val="-2"/>
                <w:w w:val="105"/>
                <w:sz w:val="18"/>
              </w:rPr>
              <w:t>$2,000</w:t>
            </w:r>
          </w:p>
        </w:tc>
        <w:tc>
          <w:tcPr>
            <w:tcW w:w="1061" w:type="dxa"/>
          </w:tcPr>
          <w:p>
            <w:pPr>
              <w:pStyle w:val="TableParagraph"/>
              <w:spacing w:before="88"/>
              <w:ind w:left="119"/>
              <w:jc w:val="left"/>
              <w:rPr>
                <w:sz w:val="18"/>
              </w:rPr>
            </w:pPr>
            <w:r>
              <w:rPr>
                <w:color w:val="231F20"/>
                <w:spacing w:val="-2"/>
                <w:w w:val="105"/>
                <w:sz w:val="18"/>
              </w:rPr>
              <w:t>$2,000</w:t>
            </w:r>
          </w:p>
        </w:tc>
        <w:tc>
          <w:tcPr>
            <w:tcW w:w="1131" w:type="dxa"/>
          </w:tcPr>
          <w:p>
            <w:pPr>
              <w:pStyle w:val="TableParagraph"/>
              <w:spacing w:before="88"/>
              <w:ind w:left="118"/>
              <w:jc w:val="left"/>
              <w:rPr>
                <w:sz w:val="18"/>
              </w:rPr>
            </w:pPr>
            <w:r>
              <w:rPr>
                <w:color w:val="231F20"/>
                <w:spacing w:val="-2"/>
                <w:w w:val="105"/>
                <w:sz w:val="18"/>
              </w:rPr>
              <w:t>$2,000</w:t>
            </w:r>
          </w:p>
        </w:tc>
      </w:tr>
      <w:tr>
        <w:trPr>
          <w:trHeight w:val="261" w:hRule="atLeast"/>
        </w:trPr>
        <w:tc>
          <w:tcPr>
            <w:tcW w:w="2903" w:type="dxa"/>
          </w:tcPr>
          <w:p>
            <w:pPr>
              <w:pStyle w:val="TableParagraph"/>
              <w:spacing w:before="23"/>
              <w:jc w:val="left"/>
              <w:rPr>
                <w:sz w:val="18"/>
              </w:rPr>
            </w:pPr>
            <w:r>
              <w:rPr>
                <w:color w:val="231F20"/>
                <w:sz w:val="18"/>
              </w:rPr>
              <w:t>Before</w:t>
            </w:r>
            <w:r>
              <w:rPr>
                <w:color w:val="231F20"/>
                <w:spacing w:val="-6"/>
                <w:sz w:val="18"/>
              </w:rPr>
              <w:t> </w:t>
            </w:r>
            <w:r>
              <w:rPr>
                <w:color w:val="231F20"/>
                <w:sz w:val="18"/>
              </w:rPr>
              <w:t>Interest</w:t>
            </w:r>
            <w:r>
              <w:rPr>
                <w:color w:val="231F20"/>
                <w:spacing w:val="-5"/>
                <w:sz w:val="18"/>
              </w:rPr>
              <w:t> </w:t>
            </w:r>
            <w:r>
              <w:rPr>
                <w:color w:val="231F20"/>
                <w:sz w:val="18"/>
              </w:rPr>
              <w:t>and</w:t>
            </w:r>
            <w:r>
              <w:rPr>
                <w:color w:val="231F20"/>
                <w:spacing w:val="-5"/>
                <w:sz w:val="18"/>
              </w:rPr>
              <w:t> </w:t>
            </w:r>
            <w:r>
              <w:rPr>
                <w:color w:val="231F20"/>
                <w:spacing w:val="-4"/>
                <w:sz w:val="18"/>
              </w:rPr>
              <w:t>Taxes</w:t>
            </w:r>
          </w:p>
        </w:tc>
        <w:tc>
          <w:tcPr>
            <w:tcW w:w="1118" w:type="dxa"/>
          </w:tcPr>
          <w:p>
            <w:pPr>
              <w:pStyle w:val="TableParagraph"/>
              <w:spacing w:before="0"/>
              <w:jc w:val="left"/>
              <w:rPr>
                <w:rFonts w:ascii="Times New Roman"/>
                <w:sz w:val="18"/>
              </w:rPr>
            </w:pPr>
          </w:p>
        </w:tc>
        <w:tc>
          <w:tcPr>
            <w:tcW w:w="1061" w:type="dxa"/>
          </w:tcPr>
          <w:p>
            <w:pPr>
              <w:pStyle w:val="TableParagraph"/>
              <w:spacing w:before="0"/>
              <w:jc w:val="left"/>
              <w:rPr>
                <w:rFonts w:ascii="Times New Roman"/>
                <w:sz w:val="18"/>
              </w:rPr>
            </w:pPr>
          </w:p>
        </w:tc>
        <w:tc>
          <w:tcPr>
            <w:tcW w:w="1131" w:type="dxa"/>
          </w:tcPr>
          <w:p>
            <w:pPr>
              <w:pStyle w:val="TableParagraph"/>
              <w:spacing w:before="0"/>
              <w:jc w:val="left"/>
              <w:rPr>
                <w:rFonts w:ascii="Times New Roman"/>
                <w:sz w:val="18"/>
              </w:rPr>
            </w:pPr>
          </w:p>
        </w:tc>
      </w:tr>
      <w:tr>
        <w:trPr>
          <w:trHeight w:val="323" w:hRule="atLeast"/>
        </w:trPr>
        <w:tc>
          <w:tcPr>
            <w:tcW w:w="2903" w:type="dxa"/>
          </w:tcPr>
          <w:p>
            <w:pPr>
              <w:pStyle w:val="TableParagraph"/>
              <w:spacing w:before="22"/>
              <w:jc w:val="left"/>
              <w:rPr>
                <w:i/>
                <w:sz w:val="18"/>
              </w:rPr>
            </w:pPr>
            <w:r>
              <w:rPr>
                <w:i/>
                <w:color w:val="231F20"/>
                <w:w w:val="110"/>
                <w:sz w:val="18"/>
              </w:rPr>
              <w:t>“Free</w:t>
            </w:r>
            <w:r>
              <w:rPr>
                <w:i/>
                <w:color w:val="231F20"/>
                <w:spacing w:val="-2"/>
                <w:w w:val="110"/>
                <w:sz w:val="18"/>
              </w:rPr>
              <w:t> </w:t>
            </w:r>
            <w:r>
              <w:rPr>
                <w:i/>
                <w:color w:val="231F20"/>
                <w:w w:val="110"/>
                <w:sz w:val="18"/>
              </w:rPr>
              <w:t>Cash</w:t>
            </w:r>
            <w:r>
              <w:rPr>
                <w:i/>
                <w:color w:val="231F20"/>
                <w:spacing w:val="-2"/>
                <w:w w:val="110"/>
                <w:sz w:val="18"/>
              </w:rPr>
              <w:t> Flow”</w:t>
            </w:r>
          </w:p>
        </w:tc>
        <w:tc>
          <w:tcPr>
            <w:tcW w:w="1118" w:type="dxa"/>
          </w:tcPr>
          <w:p>
            <w:pPr>
              <w:pStyle w:val="TableParagraph"/>
              <w:spacing w:before="0"/>
              <w:jc w:val="left"/>
              <w:rPr>
                <w:rFonts w:ascii="Times New Roman"/>
                <w:sz w:val="18"/>
              </w:rPr>
            </w:pPr>
          </w:p>
        </w:tc>
        <w:tc>
          <w:tcPr>
            <w:tcW w:w="1061" w:type="dxa"/>
          </w:tcPr>
          <w:p>
            <w:pPr>
              <w:pStyle w:val="TableParagraph"/>
              <w:spacing w:before="0"/>
              <w:jc w:val="left"/>
              <w:rPr>
                <w:rFonts w:ascii="Times New Roman"/>
                <w:sz w:val="18"/>
              </w:rPr>
            </w:pPr>
          </w:p>
        </w:tc>
        <w:tc>
          <w:tcPr>
            <w:tcW w:w="1131" w:type="dxa"/>
          </w:tcPr>
          <w:p>
            <w:pPr>
              <w:pStyle w:val="TableParagraph"/>
              <w:spacing w:before="0"/>
              <w:jc w:val="left"/>
              <w:rPr>
                <w:rFonts w:ascii="Times New Roman"/>
                <w:sz w:val="18"/>
              </w:rPr>
            </w:pPr>
          </w:p>
        </w:tc>
      </w:tr>
      <w:tr>
        <w:trPr>
          <w:trHeight w:val="324" w:hRule="atLeast"/>
        </w:trPr>
        <w:tc>
          <w:tcPr>
            <w:tcW w:w="2903" w:type="dxa"/>
          </w:tcPr>
          <w:p>
            <w:pPr>
              <w:pStyle w:val="TableParagraph"/>
              <w:spacing w:before="88"/>
              <w:jc w:val="left"/>
              <w:rPr>
                <w:sz w:val="18"/>
              </w:rPr>
            </w:pPr>
            <w:r>
              <w:rPr>
                <w:color w:val="231F20"/>
                <w:w w:val="105"/>
                <w:sz w:val="18"/>
              </w:rPr>
              <w:t>Value</w:t>
            </w:r>
            <w:r>
              <w:rPr>
                <w:color w:val="231F20"/>
                <w:spacing w:val="-3"/>
                <w:w w:val="105"/>
                <w:sz w:val="18"/>
              </w:rPr>
              <w:t> </w:t>
            </w:r>
            <w:r>
              <w:rPr>
                <w:color w:val="231F20"/>
                <w:w w:val="105"/>
                <w:sz w:val="18"/>
              </w:rPr>
              <w:t>of</w:t>
            </w:r>
            <w:r>
              <w:rPr>
                <w:color w:val="231F20"/>
                <w:spacing w:val="-3"/>
                <w:w w:val="105"/>
                <w:sz w:val="18"/>
              </w:rPr>
              <w:t> </w:t>
            </w:r>
            <w:r>
              <w:rPr>
                <w:color w:val="231F20"/>
                <w:spacing w:val="-2"/>
                <w:w w:val="105"/>
                <w:sz w:val="18"/>
              </w:rPr>
              <w:t>Company*</w:t>
            </w:r>
          </w:p>
        </w:tc>
        <w:tc>
          <w:tcPr>
            <w:tcW w:w="1118" w:type="dxa"/>
          </w:tcPr>
          <w:p>
            <w:pPr>
              <w:pStyle w:val="TableParagraph"/>
              <w:spacing w:before="88"/>
              <w:ind w:left="277"/>
              <w:jc w:val="left"/>
              <w:rPr>
                <w:sz w:val="18"/>
              </w:rPr>
            </w:pPr>
            <w:r>
              <w:rPr>
                <w:color w:val="231F20"/>
                <w:spacing w:val="-2"/>
                <w:w w:val="105"/>
                <w:sz w:val="18"/>
              </w:rPr>
              <w:t>$14,388</w:t>
            </w:r>
          </w:p>
        </w:tc>
        <w:tc>
          <w:tcPr>
            <w:tcW w:w="1061" w:type="dxa"/>
          </w:tcPr>
          <w:p>
            <w:pPr>
              <w:pStyle w:val="TableParagraph"/>
              <w:spacing w:before="88"/>
              <w:ind w:left="119"/>
              <w:jc w:val="left"/>
              <w:rPr>
                <w:sz w:val="18"/>
              </w:rPr>
            </w:pPr>
            <w:r>
              <w:rPr>
                <w:color w:val="231F20"/>
                <w:spacing w:val="-2"/>
                <w:w w:val="105"/>
                <w:sz w:val="18"/>
              </w:rPr>
              <w:t>$15,748</w:t>
            </w:r>
          </w:p>
        </w:tc>
        <w:tc>
          <w:tcPr>
            <w:tcW w:w="1131" w:type="dxa"/>
          </w:tcPr>
          <w:p>
            <w:pPr>
              <w:pStyle w:val="TableParagraph"/>
              <w:spacing w:before="88"/>
              <w:ind w:left="118"/>
              <w:jc w:val="left"/>
              <w:rPr>
                <w:sz w:val="18"/>
              </w:rPr>
            </w:pPr>
            <w:r>
              <w:rPr>
                <w:color w:val="231F20"/>
                <w:spacing w:val="-2"/>
                <w:w w:val="105"/>
                <w:sz w:val="18"/>
              </w:rPr>
              <w:t>$17,241</w:t>
            </w:r>
          </w:p>
        </w:tc>
      </w:tr>
      <w:tr>
        <w:trPr>
          <w:trHeight w:val="260" w:hRule="atLeast"/>
        </w:trPr>
        <w:tc>
          <w:tcPr>
            <w:tcW w:w="2903" w:type="dxa"/>
          </w:tcPr>
          <w:p>
            <w:pPr>
              <w:pStyle w:val="TableParagraph"/>
              <w:spacing w:before="23"/>
              <w:jc w:val="left"/>
              <w:rPr>
                <w:sz w:val="18"/>
              </w:rPr>
            </w:pPr>
            <w:r>
              <w:rPr>
                <w:color w:val="231F20"/>
                <w:sz w:val="18"/>
              </w:rPr>
              <w:t>(Value</w:t>
            </w:r>
            <w:r>
              <w:rPr>
                <w:color w:val="231F20"/>
                <w:spacing w:val="12"/>
                <w:sz w:val="18"/>
              </w:rPr>
              <w:t> </w:t>
            </w:r>
            <w:r>
              <w:rPr>
                <w:color w:val="231F20"/>
                <w:sz w:val="18"/>
              </w:rPr>
              <w:t>Cash</w:t>
            </w:r>
            <w:r>
              <w:rPr>
                <w:color w:val="231F20"/>
                <w:spacing w:val="13"/>
                <w:sz w:val="18"/>
              </w:rPr>
              <w:t> </w:t>
            </w:r>
            <w:r>
              <w:rPr>
                <w:color w:val="231F20"/>
                <w:sz w:val="18"/>
              </w:rPr>
              <w:t>Flow</w:t>
            </w:r>
            <w:r>
              <w:rPr>
                <w:color w:val="231F20"/>
                <w:spacing w:val="13"/>
                <w:sz w:val="18"/>
              </w:rPr>
              <w:t> </w:t>
            </w:r>
            <w:r>
              <w:rPr>
                <w:color w:val="231F20"/>
                <w:sz w:val="18"/>
              </w:rPr>
              <w:t>as</w:t>
            </w:r>
            <w:r>
              <w:rPr>
                <w:color w:val="231F20"/>
                <w:spacing w:val="13"/>
                <w:sz w:val="18"/>
              </w:rPr>
              <w:t> </w:t>
            </w:r>
            <w:r>
              <w:rPr>
                <w:color w:val="231F20"/>
                <w:sz w:val="18"/>
              </w:rPr>
              <w:t>a</w:t>
            </w:r>
            <w:r>
              <w:rPr>
                <w:color w:val="231F20"/>
                <w:spacing w:val="13"/>
                <w:sz w:val="18"/>
              </w:rPr>
              <w:t> </w:t>
            </w:r>
            <w:r>
              <w:rPr>
                <w:color w:val="231F20"/>
                <w:spacing w:val="-2"/>
                <w:sz w:val="18"/>
              </w:rPr>
              <w:t>perpetuity)</w:t>
            </w:r>
          </w:p>
        </w:tc>
        <w:tc>
          <w:tcPr>
            <w:tcW w:w="1118" w:type="dxa"/>
          </w:tcPr>
          <w:p>
            <w:pPr>
              <w:pStyle w:val="TableParagraph"/>
              <w:spacing w:before="0"/>
              <w:jc w:val="left"/>
              <w:rPr>
                <w:rFonts w:ascii="Times New Roman"/>
                <w:sz w:val="18"/>
              </w:rPr>
            </w:pPr>
          </w:p>
        </w:tc>
        <w:tc>
          <w:tcPr>
            <w:tcW w:w="1061" w:type="dxa"/>
          </w:tcPr>
          <w:p>
            <w:pPr>
              <w:pStyle w:val="TableParagraph"/>
              <w:spacing w:before="0"/>
              <w:jc w:val="left"/>
              <w:rPr>
                <w:rFonts w:ascii="Times New Roman"/>
                <w:sz w:val="18"/>
              </w:rPr>
            </w:pPr>
          </w:p>
        </w:tc>
        <w:tc>
          <w:tcPr>
            <w:tcW w:w="1131" w:type="dxa"/>
          </w:tcPr>
          <w:p>
            <w:pPr>
              <w:pStyle w:val="TableParagraph"/>
              <w:spacing w:before="23"/>
              <w:ind w:left="118"/>
              <w:jc w:val="left"/>
              <w:rPr>
                <w:sz w:val="18"/>
              </w:rPr>
            </w:pPr>
            <w:r>
              <w:rPr>
                <w:color w:val="231F20"/>
                <w:sz w:val="18"/>
              </w:rPr>
              <w:t>highest</w:t>
            </w:r>
            <w:r>
              <w:rPr>
                <w:color w:val="231F20"/>
                <w:spacing w:val="-7"/>
                <w:sz w:val="18"/>
              </w:rPr>
              <w:t> </w:t>
            </w:r>
            <w:r>
              <w:rPr>
                <w:color w:val="231F20"/>
                <w:spacing w:val="-2"/>
                <w:sz w:val="18"/>
              </w:rPr>
              <w:t>value</w:t>
            </w:r>
          </w:p>
        </w:tc>
      </w:tr>
      <w:tr>
        <w:trPr>
          <w:trHeight w:val="314" w:hRule="atLeast"/>
        </w:trPr>
        <w:tc>
          <w:tcPr>
            <w:tcW w:w="2903" w:type="dxa"/>
            <w:tcBorders>
              <w:bottom w:val="single" w:sz="8" w:space="0" w:color="231F20"/>
            </w:tcBorders>
          </w:tcPr>
          <w:p>
            <w:pPr>
              <w:pStyle w:val="TableParagraph"/>
              <w:spacing w:before="23"/>
              <w:ind w:left="180"/>
              <w:jc w:val="left"/>
              <w:rPr>
                <w:sz w:val="18"/>
              </w:rPr>
            </w:pPr>
            <w:r>
              <w:rPr>
                <w:color w:val="231F20"/>
                <w:sz w:val="18"/>
              </w:rPr>
              <w:t>Free</w:t>
            </w:r>
            <w:r>
              <w:rPr>
                <w:color w:val="231F20"/>
                <w:spacing w:val="4"/>
                <w:sz w:val="18"/>
              </w:rPr>
              <w:t> </w:t>
            </w:r>
            <w:r>
              <w:rPr>
                <w:color w:val="231F20"/>
                <w:sz w:val="18"/>
              </w:rPr>
              <w:t>Cash</w:t>
            </w:r>
            <w:r>
              <w:rPr>
                <w:color w:val="231F20"/>
                <w:spacing w:val="4"/>
                <w:sz w:val="18"/>
              </w:rPr>
              <w:t> </w:t>
            </w:r>
            <w:r>
              <w:rPr>
                <w:color w:val="231F20"/>
                <w:sz w:val="18"/>
              </w:rPr>
              <w:t>Flow</w:t>
            </w:r>
            <w:r>
              <w:rPr>
                <w:color w:val="231F20"/>
                <w:spacing w:val="5"/>
                <w:sz w:val="18"/>
              </w:rPr>
              <w:t> </w:t>
            </w:r>
            <w:r>
              <w:rPr>
                <w:color w:val="231F20"/>
                <w:w w:val="95"/>
                <w:sz w:val="18"/>
              </w:rPr>
              <w:t>/</w:t>
            </w:r>
            <w:r>
              <w:rPr>
                <w:color w:val="231F20"/>
                <w:spacing w:val="4"/>
                <w:sz w:val="18"/>
              </w:rPr>
              <w:t> </w:t>
            </w:r>
            <w:r>
              <w:rPr>
                <w:color w:val="231F20"/>
                <w:spacing w:val="-4"/>
                <w:sz w:val="18"/>
              </w:rPr>
              <w:t>WACC</w:t>
            </w:r>
          </w:p>
        </w:tc>
        <w:tc>
          <w:tcPr>
            <w:tcW w:w="1118" w:type="dxa"/>
            <w:tcBorders>
              <w:bottom w:val="single" w:sz="8" w:space="0" w:color="231F20"/>
            </w:tcBorders>
          </w:tcPr>
          <w:p>
            <w:pPr>
              <w:pStyle w:val="TableParagraph"/>
              <w:spacing w:before="0"/>
              <w:jc w:val="left"/>
              <w:rPr>
                <w:rFonts w:ascii="Times New Roman"/>
                <w:sz w:val="18"/>
              </w:rPr>
            </w:pPr>
          </w:p>
        </w:tc>
        <w:tc>
          <w:tcPr>
            <w:tcW w:w="1061" w:type="dxa"/>
            <w:tcBorders>
              <w:bottom w:val="single" w:sz="8" w:space="0" w:color="231F20"/>
            </w:tcBorders>
          </w:tcPr>
          <w:p>
            <w:pPr>
              <w:pStyle w:val="TableParagraph"/>
              <w:spacing w:before="0"/>
              <w:jc w:val="left"/>
              <w:rPr>
                <w:rFonts w:ascii="Times New Roman"/>
                <w:sz w:val="18"/>
              </w:rPr>
            </w:pPr>
          </w:p>
        </w:tc>
        <w:tc>
          <w:tcPr>
            <w:tcW w:w="1131" w:type="dxa"/>
            <w:tcBorders>
              <w:bottom w:val="single" w:sz="8" w:space="0" w:color="231F20"/>
            </w:tcBorders>
          </w:tcPr>
          <w:p>
            <w:pPr>
              <w:pStyle w:val="TableParagraph"/>
              <w:spacing w:before="0"/>
              <w:jc w:val="left"/>
              <w:rPr>
                <w:rFonts w:ascii="Times New Roman"/>
                <w:sz w:val="18"/>
              </w:rPr>
            </w:pPr>
          </w:p>
        </w:tc>
      </w:tr>
    </w:tbl>
    <w:p>
      <w:pPr>
        <w:pStyle w:val="BodyText"/>
        <w:rPr>
          <w:b/>
        </w:rPr>
      </w:pPr>
    </w:p>
    <w:p>
      <w:pPr>
        <w:spacing w:before="1"/>
        <w:ind w:left="830" w:right="0" w:firstLine="0"/>
        <w:jc w:val="both"/>
        <w:rPr>
          <w:sz w:val="18"/>
        </w:rPr>
      </w:pPr>
      <w:r>
        <w:rPr>
          <w:color w:val="231F20"/>
          <w:sz w:val="18"/>
        </w:rPr>
        <w:t>*Denotes</w:t>
      </w:r>
      <w:r>
        <w:rPr>
          <w:color w:val="231F20"/>
          <w:spacing w:val="10"/>
          <w:sz w:val="18"/>
        </w:rPr>
        <w:t> </w:t>
      </w:r>
      <w:r>
        <w:rPr>
          <w:color w:val="231F20"/>
          <w:sz w:val="18"/>
        </w:rPr>
        <w:t>a</w:t>
      </w:r>
      <w:r>
        <w:rPr>
          <w:color w:val="231F20"/>
          <w:spacing w:val="10"/>
          <w:sz w:val="18"/>
        </w:rPr>
        <w:t> </w:t>
      </w:r>
      <w:r>
        <w:rPr>
          <w:color w:val="231F20"/>
          <w:sz w:val="18"/>
        </w:rPr>
        <w:t>calculation</w:t>
      </w:r>
      <w:r>
        <w:rPr>
          <w:color w:val="231F20"/>
          <w:spacing w:val="10"/>
          <w:sz w:val="18"/>
        </w:rPr>
        <w:t> </w:t>
      </w:r>
      <w:r>
        <w:rPr>
          <w:color w:val="231F20"/>
          <w:sz w:val="18"/>
        </w:rPr>
        <w:t>using</w:t>
      </w:r>
      <w:r>
        <w:rPr>
          <w:color w:val="231F20"/>
          <w:spacing w:val="10"/>
          <w:sz w:val="18"/>
        </w:rPr>
        <w:t> </w:t>
      </w:r>
      <w:r>
        <w:rPr>
          <w:color w:val="231F20"/>
          <w:sz w:val="18"/>
        </w:rPr>
        <w:t>a</w:t>
      </w:r>
      <w:r>
        <w:rPr>
          <w:color w:val="231F20"/>
          <w:spacing w:val="10"/>
          <w:sz w:val="18"/>
        </w:rPr>
        <w:t> </w:t>
      </w:r>
      <w:r>
        <w:rPr>
          <w:color w:val="231F20"/>
          <w:sz w:val="18"/>
        </w:rPr>
        <w:t>formula</w:t>
      </w:r>
      <w:r>
        <w:rPr>
          <w:color w:val="231F20"/>
          <w:spacing w:val="10"/>
          <w:sz w:val="18"/>
        </w:rPr>
        <w:t> </w:t>
      </w:r>
      <w:r>
        <w:rPr>
          <w:color w:val="231F20"/>
          <w:spacing w:val="-2"/>
          <w:sz w:val="18"/>
        </w:rPr>
        <w:t>provided.</w:t>
      </w:r>
    </w:p>
    <w:p>
      <w:pPr>
        <w:spacing w:line="273" w:lineRule="auto" w:before="109"/>
        <w:ind w:left="830" w:right="756" w:firstLine="0"/>
        <w:jc w:val="both"/>
        <w:rPr>
          <w:sz w:val="18"/>
        </w:rPr>
      </w:pPr>
      <w:r>
        <w:rPr>
          <w:color w:val="231F20"/>
          <w:sz w:val="18"/>
        </w:rPr>
        <w:t>Adapted from “An Introduction to Debt Policy and Value,” Case UVA-F-811.</w:t>
      </w:r>
      <w:r>
        <w:rPr>
          <w:color w:val="231F20"/>
          <w:spacing w:val="40"/>
          <w:sz w:val="18"/>
        </w:rPr>
        <w:t> </w:t>
      </w:r>
      <w:r>
        <w:rPr>
          <w:color w:val="231F20"/>
          <w:sz w:val="18"/>
        </w:rPr>
        <w:t>Copyright © 1989 by the Darden Graduate Business School Foundation, Char-</w:t>
      </w:r>
      <w:r>
        <w:rPr>
          <w:color w:val="231F20"/>
          <w:spacing w:val="40"/>
          <w:sz w:val="18"/>
        </w:rPr>
        <w:t> </w:t>
      </w:r>
      <w:r>
        <w:rPr>
          <w:color w:val="231F20"/>
          <w:sz w:val="18"/>
        </w:rPr>
        <w:t>lottesville, Virginia.</w:t>
      </w:r>
    </w:p>
    <w:p>
      <w:pPr>
        <w:spacing w:after="0" w:line="273" w:lineRule="auto"/>
        <w:jc w:val="both"/>
        <w:rPr>
          <w:sz w:val="18"/>
        </w:rPr>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3"/>
        <w:jc w:val="both"/>
      </w:pPr>
      <w:r>
        <w:rPr>
          <w:i/>
          <w:color w:val="231F20"/>
        </w:rPr>
        <w:t>payments? </w:t>
      </w:r>
      <w:r>
        <w:rPr>
          <w:color w:val="231F20"/>
        </w:rPr>
        <w:t>Changes in dividend payments are a powerful signal </w:t>
      </w:r>
      <w:r>
        <w:rPr>
          <w:color w:val="231F20"/>
        </w:rPr>
        <w:t>to investors. Investors react violently to any cuts in dividends, since they signal that the company is in trouble. Increases are not such a big deal. More often than not, dividend increases are expected and greeted with little fanfare. Increases in dividends show manage- ment’s confidence that the business’s earnings are strong enough over the long term to sustain an increased payout.</w:t>
      </w:r>
    </w:p>
    <w:p>
      <w:pPr>
        <w:spacing w:line="292" w:lineRule="auto" w:before="0"/>
        <w:ind w:left="919" w:right="666" w:firstLine="340"/>
        <w:jc w:val="both"/>
        <w:rPr>
          <w:sz w:val="21"/>
        </w:rPr>
      </w:pPr>
      <w:r>
        <w:rPr>
          <w:i/>
          <w:color w:val="231F20"/>
          <w:sz w:val="21"/>
        </w:rPr>
        <w:t>What is the degree of financial leverage of the company? </w:t>
      </w:r>
      <w:r>
        <w:rPr>
          <w:color w:val="231F20"/>
          <w:sz w:val="21"/>
        </w:rPr>
        <w:t>To </w:t>
      </w:r>
      <w:r>
        <w:rPr>
          <w:color w:val="231F20"/>
          <w:sz w:val="21"/>
        </w:rPr>
        <w:t>en- sure that dividends will not be interrupted, companies should see to it that they can comfortably pay the dividends investors expect and </w:t>
      </w:r>
      <w:r>
        <w:rPr>
          <w:color w:val="231F20"/>
          <w:spacing w:val="-2"/>
          <w:sz w:val="21"/>
        </w:rPr>
        <w:t>demand.</w:t>
      </w:r>
    </w:p>
    <w:p>
      <w:pPr>
        <w:pStyle w:val="BodyText"/>
        <w:spacing w:line="292" w:lineRule="auto"/>
        <w:ind w:left="919" w:right="666" w:firstLine="340"/>
        <w:jc w:val="both"/>
      </w:pPr>
      <w:r>
        <w:rPr>
          <w:i/>
          <w:color w:val="231F20"/>
        </w:rPr>
        <w:t>What is the growth strategy of the company? </w:t>
      </w:r>
      <w:r>
        <w:rPr>
          <w:color w:val="231F20"/>
        </w:rPr>
        <w:t>Growth companies usually pay little to no dividends. They need cash to finance their</w:t>
      </w:r>
      <w:r>
        <w:rPr>
          <w:color w:val="231F20"/>
          <w:spacing w:val="40"/>
        </w:rPr>
        <w:t> </w:t>
      </w:r>
      <w:r>
        <w:rPr>
          <w:color w:val="231F20"/>
        </w:rPr>
        <w:t>own growth. Biotechnology companies, for example, retain all </w:t>
      </w:r>
      <w:r>
        <w:rPr>
          <w:color w:val="231F20"/>
        </w:rPr>
        <w:t>their cash to support long-term research needs.</w:t>
      </w:r>
    </w:p>
    <w:p>
      <w:pPr>
        <w:pStyle w:val="BodyText"/>
        <w:spacing w:line="292" w:lineRule="auto"/>
        <w:ind w:left="919" w:right="666" w:firstLine="340"/>
        <w:jc w:val="both"/>
      </w:pPr>
      <w:r>
        <w:rPr>
          <w:color w:val="231F20"/>
        </w:rPr>
        <w:t>If a company is strapped for cash and yet still wants to make </w:t>
      </w:r>
      <w:r>
        <w:rPr>
          <w:color w:val="231F20"/>
        </w:rPr>
        <w:t>in- vestors happy, it can pay a </w:t>
      </w:r>
      <w:r>
        <w:rPr>
          <w:i/>
          <w:color w:val="231F20"/>
        </w:rPr>
        <w:t>stock dividend. </w:t>
      </w:r>
      <w:r>
        <w:rPr>
          <w:color w:val="231F20"/>
        </w:rPr>
        <w:t>This is a dividend that the company pays in shares of the company, not cash. Such dividends usually range from 2 to 5 percent of shares owned. For example, if you owned one hundred shares, you would receive two to five new shares. Investors end up with a greater number of shares, but since all shareholders receive the same percentage share dividend, their percentage ownership of the firm remains the same.</w:t>
      </w:r>
    </w:p>
    <w:p>
      <w:pPr>
        <w:pStyle w:val="BodyText"/>
        <w:spacing w:line="292" w:lineRule="auto"/>
        <w:ind w:left="919" w:right="663" w:firstLine="340"/>
        <w:jc w:val="both"/>
      </w:pPr>
      <w:r>
        <w:rPr>
          <w:color w:val="231F20"/>
        </w:rPr>
        <w:t>If a stock price is high, the company can also have a </w:t>
      </w:r>
      <w:r>
        <w:rPr>
          <w:i/>
          <w:color w:val="231F20"/>
        </w:rPr>
        <w:t>stock split,</w:t>
      </w:r>
      <w:r>
        <w:rPr>
          <w:i/>
          <w:color w:val="231F20"/>
        </w:rPr>
        <w:t> </w:t>
      </w:r>
      <w:r>
        <w:rPr>
          <w:color w:val="231F20"/>
        </w:rPr>
        <w:t>giving two or three shares for every share owned. It makes the stock more affordable and makes investors happy, but the percentage ownership remains the same.</w:t>
      </w:r>
    </w:p>
    <w:p>
      <w:pPr>
        <w:pStyle w:val="BodyText"/>
        <w:rPr>
          <w:sz w:val="24"/>
        </w:rPr>
      </w:pPr>
    </w:p>
    <w:p>
      <w:pPr>
        <w:pStyle w:val="BodyText"/>
        <w:spacing w:before="1"/>
        <w:rPr>
          <w:sz w:val="24"/>
        </w:rPr>
      </w:pPr>
    </w:p>
    <w:p>
      <w:pPr>
        <w:pStyle w:val="Heading4"/>
      </w:pPr>
      <w:r>
        <w:rPr>
          <w:color w:val="231F20"/>
          <w:spacing w:val="9"/>
          <w:w w:val="85"/>
        </w:rPr>
        <w:t>MERGERS</w:t>
      </w:r>
      <w:r>
        <w:rPr>
          <w:color w:val="231F20"/>
          <w:spacing w:val="27"/>
        </w:rPr>
        <w:t> </w:t>
      </w:r>
      <w:r>
        <w:rPr>
          <w:color w:val="231F20"/>
          <w:w w:val="85"/>
        </w:rPr>
        <w:t>AND</w:t>
      </w:r>
      <w:r>
        <w:rPr>
          <w:color w:val="231F20"/>
          <w:spacing w:val="27"/>
        </w:rPr>
        <w:t> </w:t>
      </w:r>
      <w:r>
        <w:rPr>
          <w:color w:val="231F20"/>
          <w:spacing w:val="9"/>
          <w:w w:val="85"/>
        </w:rPr>
        <w:t>ACQUISITIONS</w:t>
      </w:r>
    </w:p>
    <w:p>
      <w:pPr>
        <w:pStyle w:val="BodyText"/>
        <w:spacing w:before="10"/>
        <w:rPr>
          <w:rFonts w:ascii="Trebuchet MS"/>
          <w:sz w:val="29"/>
        </w:rPr>
      </w:pPr>
    </w:p>
    <w:p>
      <w:pPr>
        <w:pStyle w:val="BodyText"/>
        <w:spacing w:line="292" w:lineRule="auto" w:before="1"/>
        <w:ind w:left="920" w:right="665"/>
        <w:jc w:val="both"/>
      </w:pPr>
      <w:r>
        <w:rPr>
          <w:color w:val="231F20"/>
          <w:w w:val="105"/>
        </w:rPr>
        <w:t>Mergers</w:t>
      </w:r>
      <w:r>
        <w:rPr>
          <w:color w:val="231F20"/>
          <w:spacing w:val="-13"/>
          <w:w w:val="105"/>
        </w:rPr>
        <w:t> </w:t>
      </w:r>
      <w:r>
        <w:rPr>
          <w:color w:val="231F20"/>
          <w:w w:val="105"/>
        </w:rPr>
        <w:t>and</w:t>
      </w:r>
      <w:r>
        <w:rPr>
          <w:color w:val="231F20"/>
          <w:spacing w:val="-12"/>
          <w:w w:val="105"/>
        </w:rPr>
        <w:t> </w:t>
      </w:r>
      <w:r>
        <w:rPr>
          <w:color w:val="231F20"/>
          <w:w w:val="105"/>
        </w:rPr>
        <w:t>acquisitions</w:t>
      </w:r>
      <w:r>
        <w:rPr>
          <w:color w:val="231F20"/>
          <w:spacing w:val="-12"/>
          <w:w w:val="105"/>
        </w:rPr>
        <w:t> </w:t>
      </w:r>
      <w:r>
        <w:rPr>
          <w:color w:val="231F20"/>
          <w:w w:val="105"/>
        </w:rPr>
        <w:t>(M&amp;A)</w:t>
      </w:r>
      <w:r>
        <w:rPr>
          <w:color w:val="231F20"/>
          <w:spacing w:val="-12"/>
          <w:w w:val="105"/>
        </w:rPr>
        <w:t> </w:t>
      </w:r>
      <w:r>
        <w:rPr>
          <w:color w:val="231F20"/>
          <w:w w:val="105"/>
        </w:rPr>
        <w:t>is</w:t>
      </w:r>
      <w:r>
        <w:rPr>
          <w:color w:val="231F20"/>
          <w:spacing w:val="-12"/>
          <w:w w:val="105"/>
        </w:rPr>
        <w:t> </w:t>
      </w:r>
      <w:r>
        <w:rPr>
          <w:color w:val="231F20"/>
          <w:w w:val="105"/>
        </w:rPr>
        <w:t>one</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3"/>
          <w:w w:val="105"/>
        </w:rPr>
        <w:t> </w:t>
      </w:r>
      <w:r>
        <w:rPr>
          <w:color w:val="231F20"/>
          <w:w w:val="105"/>
        </w:rPr>
        <w:t>most</w:t>
      </w:r>
      <w:r>
        <w:rPr>
          <w:color w:val="231F20"/>
          <w:spacing w:val="-12"/>
          <w:w w:val="105"/>
        </w:rPr>
        <w:t> </w:t>
      </w:r>
      <w:r>
        <w:rPr>
          <w:color w:val="231F20"/>
          <w:w w:val="105"/>
        </w:rPr>
        <w:t>exciting</w:t>
      </w:r>
      <w:r>
        <w:rPr>
          <w:color w:val="231F20"/>
          <w:spacing w:val="-12"/>
          <w:w w:val="105"/>
        </w:rPr>
        <w:t> </w:t>
      </w:r>
      <w:r>
        <w:rPr>
          <w:color w:val="231F20"/>
          <w:w w:val="105"/>
        </w:rPr>
        <w:t>areas</w:t>
      </w:r>
      <w:r>
        <w:rPr>
          <w:color w:val="231F20"/>
          <w:spacing w:val="-12"/>
          <w:w w:val="105"/>
        </w:rPr>
        <w:t> </w:t>
      </w:r>
      <w:r>
        <w:rPr>
          <w:color w:val="231F20"/>
          <w:w w:val="105"/>
        </w:rPr>
        <w:t>of finance.</w:t>
      </w:r>
      <w:r>
        <w:rPr>
          <w:color w:val="231F20"/>
          <w:w w:val="105"/>
        </w:rPr>
        <w:t> The</w:t>
      </w:r>
      <w:r>
        <w:rPr>
          <w:color w:val="231F20"/>
          <w:w w:val="105"/>
        </w:rPr>
        <w:t> same</w:t>
      </w:r>
      <w:r>
        <w:rPr>
          <w:color w:val="231F20"/>
          <w:w w:val="105"/>
        </w:rPr>
        <w:t> investment</w:t>
      </w:r>
      <w:r>
        <w:rPr>
          <w:color w:val="231F20"/>
          <w:w w:val="105"/>
        </w:rPr>
        <w:t> bankers</w:t>
      </w:r>
      <w:r>
        <w:rPr>
          <w:color w:val="231F20"/>
          <w:w w:val="105"/>
        </w:rPr>
        <w:t> who</w:t>
      </w:r>
      <w:r>
        <w:rPr>
          <w:color w:val="231F20"/>
          <w:w w:val="105"/>
        </w:rPr>
        <w:t> help</w:t>
      </w:r>
      <w:r>
        <w:rPr>
          <w:color w:val="231F20"/>
          <w:w w:val="105"/>
        </w:rPr>
        <w:t> companies</w:t>
      </w:r>
      <w:r>
        <w:rPr>
          <w:color w:val="231F20"/>
          <w:w w:val="105"/>
        </w:rPr>
        <w:t> raise money</w:t>
      </w:r>
      <w:r>
        <w:rPr>
          <w:color w:val="231F20"/>
          <w:spacing w:val="-8"/>
          <w:w w:val="105"/>
        </w:rPr>
        <w:t> </w:t>
      </w:r>
      <w:r>
        <w:rPr>
          <w:color w:val="231F20"/>
          <w:w w:val="105"/>
        </w:rPr>
        <w:t>also</w:t>
      </w:r>
      <w:r>
        <w:rPr>
          <w:color w:val="231F20"/>
          <w:spacing w:val="-8"/>
          <w:w w:val="105"/>
        </w:rPr>
        <w:t> </w:t>
      </w:r>
      <w:r>
        <w:rPr>
          <w:color w:val="231F20"/>
          <w:w w:val="105"/>
        </w:rPr>
        <w:t>help</w:t>
      </w:r>
      <w:r>
        <w:rPr>
          <w:color w:val="231F20"/>
          <w:spacing w:val="-8"/>
          <w:w w:val="105"/>
        </w:rPr>
        <w:t> </w:t>
      </w:r>
      <w:r>
        <w:rPr>
          <w:color w:val="231F20"/>
          <w:w w:val="105"/>
        </w:rPr>
        <w:t>companies</w:t>
      </w:r>
      <w:r>
        <w:rPr>
          <w:color w:val="231F20"/>
          <w:spacing w:val="-8"/>
          <w:w w:val="105"/>
        </w:rPr>
        <w:t> </w:t>
      </w:r>
      <w:r>
        <w:rPr>
          <w:color w:val="231F20"/>
          <w:w w:val="105"/>
        </w:rPr>
        <w:t>spend</w:t>
      </w:r>
      <w:r>
        <w:rPr>
          <w:color w:val="231F20"/>
          <w:spacing w:val="-8"/>
          <w:w w:val="105"/>
        </w:rPr>
        <w:t> </w:t>
      </w:r>
      <w:r>
        <w:rPr>
          <w:color w:val="231F20"/>
          <w:w w:val="105"/>
        </w:rPr>
        <w:t>it.</w:t>
      </w:r>
      <w:r>
        <w:rPr>
          <w:color w:val="231F20"/>
          <w:spacing w:val="-8"/>
          <w:w w:val="105"/>
        </w:rPr>
        <w:t> </w:t>
      </w:r>
      <w:r>
        <w:rPr>
          <w:color w:val="231F20"/>
          <w:w w:val="105"/>
        </w:rPr>
        <w:t>Many</w:t>
      </w:r>
      <w:r>
        <w:rPr>
          <w:color w:val="231F20"/>
          <w:spacing w:val="-8"/>
          <w:w w:val="105"/>
        </w:rPr>
        <w:t> </w:t>
      </w:r>
      <w:r>
        <w:rPr>
          <w:color w:val="231F20"/>
          <w:w w:val="105"/>
        </w:rPr>
        <w:t>highly</w:t>
      </w:r>
      <w:r>
        <w:rPr>
          <w:color w:val="231F20"/>
          <w:spacing w:val="-8"/>
          <w:w w:val="105"/>
        </w:rPr>
        <w:t> </w:t>
      </w:r>
      <w:r>
        <w:rPr>
          <w:color w:val="231F20"/>
          <w:w w:val="105"/>
        </w:rPr>
        <w:t>paid</w:t>
      </w:r>
      <w:r>
        <w:rPr>
          <w:color w:val="231F20"/>
          <w:spacing w:val="-8"/>
          <w:w w:val="105"/>
        </w:rPr>
        <w:t> </w:t>
      </w:r>
      <w:r>
        <w:rPr>
          <w:color w:val="231F20"/>
          <w:w w:val="105"/>
        </w:rPr>
        <w:t>MBAs</w:t>
      </w:r>
      <w:r>
        <w:rPr>
          <w:color w:val="231F20"/>
          <w:spacing w:val="-8"/>
          <w:w w:val="105"/>
        </w:rPr>
        <w:t> </w:t>
      </w:r>
      <w:r>
        <w:rPr>
          <w:color w:val="231F20"/>
          <w:w w:val="105"/>
        </w:rPr>
        <w:t>work in</w:t>
      </w:r>
      <w:r>
        <w:rPr>
          <w:color w:val="231F20"/>
          <w:spacing w:val="2"/>
          <w:w w:val="105"/>
        </w:rPr>
        <w:t> </w:t>
      </w:r>
      <w:r>
        <w:rPr>
          <w:color w:val="231F20"/>
          <w:w w:val="105"/>
        </w:rPr>
        <w:t>this</w:t>
      </w:r>
      <w:r>
        <w:rPr>
          <w:color w:val="231F20"/>
          <w:spacing w:val="3"/>
          <w:w w:val="105"/>
        </w:rPr>
        <w:t> </w:t>
      </w:r>
      <w:r>
        <w:rPr>
          <w:color w:val="231F20"/>
          <w:w w:val="105"/>
        </w:rPr>
        <w:t>field.</w:t>
      </w:r>
      <w:r>
        <w:rPr>
          <w:color w:val="231F20"/>
          <w:spacing w:val="3"/>
          <w:w w:val="105"/>
        </w:rPr>
        <w:t> </w:t>
      </w:r>
      <w:r>
        <w:rPr>
          <w:color w:val="231F20"/>
          <w:w w:val="105"/>
        </w:rPr>
        <w:t>“Strategic”</w:t>
      </w:r>
      <w:r>
        <w:rPr>
          <w:color w:val="231F20"/>
          <w:spacing w:val="3"/>
          <w:w w:val="105"/>
        </w:rPr>
        <w:t> </w:t>
      </w:r>
      <w:r>
        <w:rPr>
          <w:color w:val="231F20"/>
          <w:w w:val="105"/>
        </w:rPr>
        <w:t>reasons</w:t>
      </w:r>
      <w:r>
        <w:rPr>
          <w:color w:val="231F20"/>
          <w:spacing w:val="3"/>
          <w:w w:val="105"/>
        </w:rPr>
        <w:t> </w:t>
      </w:r>
      <w:r>
        <w:rPr>
          <w:color w:val="231F20"/>
          <w:w w:val="105"/>
        </w:rPr>
        <w:t>and</w:t>
      </w:r>
      <w:r>
        <w:rPr>
          <w:color w:val="231F20"/>
          <w:spacing w:val="2"/>
          <w:w w:val="105"/>
        </w:rPr>
        <w:t> </w:t>
      </w:r>
      <w:r>
        <w:rPr>
          <w:color w:val="231F20"/>
          <w:w w:val="105"/>
        </w:rPr>
        <w:t>methods</w:t>
      </w:r>
      <w:r>
        <w:rPr>
          <w:color w:val="231F20"/>
          <w:spacing w:val="3"/>
          <w:w w:val="105"/>
        </w:rPr>
        <w:t> </w:t>
      </w:r>
      <w:r>
        <w:rPr>
          <w:color w:val="231F20"/>
          <w:w w:val="105"/>
        </w:rPr>
        <w:t>for</w:t>
      </w:r>
      <w:r>
        <w:rPr>
          <w:color w:val="231F20"/>
          <w:spacing w:val="3"/>
          <w:w w:val="105"/>
        </w:rPr>
        <w:t> </w:t>
      </w:r>
      <w:r>
        <w:rPr>
          <w:color w:val="231F20"/>
          <w:w w:val="105"/>
        </w:rPr>
        <w:t>M&amp;A</w:t>
      </w:r>
      <w:r>
        <w:rPr>
          <w:color w:val="231F20"/>
          <w:spacing w:val="3"/>
          <w:w w:val="105"/>
        </w:rPr>
        <w:t> </w:t>
      </w:r>
      <w:r>
        <w:rPr>
          <w:color w:val="231F20"/>
          <w:w w:val="105"/>
        </w:rPr>
        <w:t>are</w:t>
      </w:r>
      <w:r>
        <w:rPr>
          <w:color w:val="231F20"/>
          <w:spacing w:val="3"/>
          <w:w w:val="105"/>
        </w:rPr>
        <w:t> </w:t>
      </w:r>
      <w:r>
        <w:rPr>
          <w:color w:val="231F20"/>
          <w:spacing w:val="-3"/>
          <w:w w:val="105"/>
        </w:rPr>
        <w:t>covered</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667"/>
      </w:pPr>
      <w:r>
        <w:rPr>
          <w:color w:val="231F20"/>
        </w:rPr>
        <w:t>in the strategy chapter. This chapter will cover the legitimate finan- cial reasons for mergers and acquisitions.</w:t>
      </w:r>
    </w:p>
    <w:p>
      <w:pPr>
        <w:pStyle w:val="BodyText"/>
        <w:spacing w:before="3"/>
        <w:rPr>
          <w:sz w:val="27"/>
        </w:rPr>
      </w:pPr>
    </w:p>
    <w:p>
      <w:pPr>
        <w:spacing w:before="1"/>
        <w:ind w:left="1170" w:right="0" w:firstLine="0"/>
        <w:jc w:val="left"/>
        <w:rPr>
          <w:rFonts w:ascii="Arial"/>
          <w:i/>
          <w:sz w:val="19"/>
        </w:rPr>
      </w:pPr>
      <w:r>
        <w:rPr>
          <w:rFonts w:ascii="Arial"/>
          <w:i/>
          <w:color w:val="231F20"/>
          <w:w w:val="115"/>
          <w:sz w:val="19"/>
        </w:rPr>
        <w:t>Diversify</w:t>
      </w:r>
      <w:r>
        <w:rPr>
          <w:rFonts w:ascii="Arial"/>
          <w:i/>
          <w:color w:val="231F20"/>
          <w:spacing w:val="-4"/>
          <w:w w:val="115"/>
          <w:sz w:val="19"/>
        </w:rPr>
        <w:t> </w:t>
      </w:r>
      <w:r>
        <w:rPr>
          <w:rFonts w:ascii="Arial"/>
          <w:i/>
          <w:color w:val="231F20"/>
          <w:w w:val="115"/>
          <w:sz w:val="19"/>
        </w:rPr>
        <w:t>the</w:t>
      </w:r>
      <w:r>
        <w:rPr>
          <w:rFonts w:ascii="Arial"/>
          <w:i/>
          <w:color w:val="231F20"/>
          <w:spacing w:val="-4"/>
          <w:w w:val="115"/>
          <w:sz w:val="19"/>
        </w:rPr>
        <w:t> </w:t>
      </w:r>
      <w:r>
        <w:rPr>
          <w:rFonts w:ascii="Arial"/>
          <w:i/>
          <w:color w:val="231F20"/>
          <w:spacing w:val="-2"/>
          <w:w w:val="115"/>
          <w:sz w:val="19"/>
        </w:rPr>
        <w:t>Company</w:t>
      </w:r>
    </w:p>
    <w:p>
      <w:pPr>
        <w:pStyle w:val="BodyText"/>
        <w:spacing w:line="292" w:lineRule="auto" w:before="60"/>
        <w:ind w:left="830" w:right="753" w:firstLine="340"/>
        <w:jc w:val="both"/>
      </w:pPr>
      <w:r>
        <w:rPr>
          <w:color w:val="231F20"/>
        </w:rPr>
        <w:t>Many companies attempt to lower risk by owning other busi- nesses. Philip Morris bought Kraft, General Foods, and Miller</w:t>
      </w:r>
      <w:r>
        <w:rPr>
          <w:color w:val="231F20"/>
          <w:spacing w:val="40"/>
        </w:rPr>
        <w:t> </w:t>
      </w:r>
      <w:r>
        <w:rPr>
          <w:color w:val="231F20"/>
        </w:rPr>
        <w:t>Brewing because it wanted to diversify. Tobacco usage was declin- ing, lawsuits loomed, and new regulation limiting advertising was </w:t>
      </w:r>
      <w:r>
        <w:rPr>
          <w:color w:val="231F20"/>
          <w:spacing w:val="-2"/>
        </w:rPr>
        <w:t>pending.</w:t>
      </w:r>
    </w:p>
    <w:p>
      <w:pPr>
        <w:pStyle w:val="BodyText"/>
        <w:spacing w:before="3"/>
        <w:rPr>
          <w:sz w:val="27"/>
        </w:rPr>
      </w:pPr>
    </w:p>
    <w:p>
      <w:pPr>
        <w:spacing w:before="0"/>
        <w:ind w:left="1170" w:right="0" w:firstLine="0"/>
        <w:jc w:val="left"/>
        <w:rPr>
          <w:rFonts w:ascii="Arial"/>
          <w:i/>
          <w:sz w:val="19"/>
        </w:rPr>
      </w:pPr>
      <w:r>
        <w:rPr>
          <w:rFonts w:ascii="Arial"/>
          <w:i/>
          <w:color w:val="231F20"/>
          <w:w w:val="110"/>
          <w:sz w:val="19"/>
        </w:rPr>
        <w:t>Improve</w:t>
      </w:r>
      <w:r>
        <w:rPr>
          <w:rFonts w:ascii="Arial"/>
          <w:i/>
          <w:color w:val="231F20"/>
          <w:spacing w:val="2"/>
          <w:w w:val="110"/>
          <w:sz w:val="19"/>
        </w:rPr>
        <w:t> </w:t>
      </w:r>
      <w:r>
        <w:rPr>
          <w:rFonts w:ascii="Arial"/>
          <w:i/>
          <w:color w:val="231F20"/>
          <w:w w:val="110"/>
          <w:sz w:val="19"/>
        </w:rPr>
        <w:t>Sales</w:t>
      </w:r>
      <w:r>
        <w:rPr>
          <w:rFonts w:ascii="Arial"/>
          <w:i/>
          <w:color w:val="231F20"/>
          <w:spacing w:val="2"/>
          <w:w w:val="110"/>
          <w:sz w:val="19"/>
        </w:rPr>
        <w:t> </w:t>
      </w:r>
      <w:r>
        <w:rPr>
          <w:rFonts w:ascii="Arial"/>
          <w:i/>
          <w:color w:val="231F20"/>
          <w:w w:val="110"/>
          <w:sz w:val="19"/>
        </w:rPr>
        <w:t>and</w:t>
      </w:r>
      <w:r>
        <w:rPr>
          <w:rFonts w:ascii="Arial"/>
          <w:i/>
          <w:color w:val="231F20"/>
          <w:spacing w:val="2"/>
          <w:w w:val="110"/>
          <w:sz w:val="19"/>
        </w:rPr>
        <w:t> </w:t>
      </w:r>
      <w:r>
        <w:rPr>
          <w:rFonts w:ascii="Arial"/>
          <w:i/>
          <w:color w:val="231F20"/>
          <w:spacing w:val="-2"/>
          <w:w w:val="110"/>
          <w:sz w:val="19"/>
        </w:rPr>
        <w:t>Earnings</w:t>
      </w:r>
    </w:p>
    <w:p>
      <w:pPr>
        <w:pStyle w:val="BodyText"/>
        <w:spacing w:line="292" w:lineRule="auto" w:before="60"/>
        <w:ind w:left="830" w:right="754" w:firstLine="340"/>
        <w:jc w:val="both"/>
      </w:pPr>
      <w:r>
        <w:rPr>
          <w:color w:val="231F20"/>
        </w:rPr>
        <w:t>Procter </w:t>
      </w:r>
      <w:r>
        <w:rPr>
          <w:color w:val="231F20"/>
          <w:w w:val="110"/>
        </w:rPr>
        <w:t>&amp;</w:t>
      </w:r>
      <w:r>
        <w:rPr>
          <w:color w:val="231F20"/>
          <w:w w:val="110"/>
        </w:rPr>
        <w:t> </w:t>
      </w:r>
      <w:r>
        <w:rPr>
          <w:color w:val="231F20"/>
        </w:rPr>
        <w:t>Gamble, the leader in soaps, detergents, and paper products, decided to expand sales and earnings by buying Norwich Easton (Pepto-Bismol), Richardson-Vicks, Noxell, and Hawaiian Punch. Their brand-management expertise served them well in en- hancing the values of these acquisitions.</w:t>
      </w:r>
    </w:p>
    <w:p>
      <w:pPr>
        <w:pStyle w:val="BodyText"/>
        <w:spacing w:before="3"/>
        <w:rPr>
          <w:sz w:val="27"/>
        </w:rPr>
      </w:pPr>
    </w:p>
    <w:p>
      <w:pPr>
        <w:spacing w:before="0"/>
        <w:ind w:left="1170" w:right="0" w:firstLine="0"/>
        <w:jc w:val="left"/>
        <w:rPr>
          <w:rFonts w:ascii="Arial"/>
          <w:i/>
          <w:sz w:val="19"/>
        </w:rPr>
      </w:pPr>
      <w:r>
        <w:rPr>
          <w:rFonts w:ascii="Arial"/>
          <w:i/>
          <w:color w:val="231F20"/>
          <w:w w:val="110"/>
          <w:sz w:val="19"/>
        </w:rPr>
        <w:t>Purchase</w:t>
      </w:r>
      <w:r>
        <w:rPr>
          <w:rFonts w:ascii="Arial"/>
          <w:i/>
          <w:color w:val="231F20"/>
          <w:spacing w:val="3"/>
          <w:w w:val="110"/>
          <w:sz w:val="19"/>
        </w:rPr>
        <w:t> </w:t>
      </w:r>
      <w:r>
        <w:rPr>
          <w:rFonts w:ascii="Arial"/>
          <w:i/>
          <w:color w:val="231F20"/>
          <w:w w:val="110"/>
          <w:sz w:val="19"/>
        </w:rPr>
        <w:t>an</w:t>
      </w:r>
      <w:r>
        <w:rPr>
          <w:rFonts w:ascii="Arial"/>
          <w:i/>
          <w:color w:val="231F20"/>
          <w:spacing w:val="4"/>
          <w:w w:val="110"/>
          <w:sz w:val="19"/>
        </w:rPr>
        <w:t> </w:t>
      </w:r>
      <w:r>
        <w:rPr>
          <w:rFonts w:ascii="Arial"/>
          <w:i/>
          <w:color w:val="231F20"/>
          <w:w w:val="110"/>
          <w:sz w:val="19"/>
        </w:rPr>
        <w:t>Undervalued</w:t>
      </w:r>
      <w:r>
        <w:rPr>
          <w:rFonts w:ascii="Arial"/>
          <w:i/>
          <w:color w:val="231F20"/>
          <w:spacing w:val="4"/>
          <w:w w:val="110"/>
          <w:sz w:val="19"/>
        </w:rPr>
        <w:t> </w:t>
      </w:r>
      <w:r>
        <w:rPr>
          <w:rFonts w:ascii="Arial"/>
          <w:i/>
          <w:color w:val="231F20"/>
          <w:spacing w:val="-2"/>
          <w:w w:val="110"/>
          <w:sz w:val="19"/>
        </w:rPr>
        <w:t>Company</w:t>
      </w:r>
    </w:p>
    <w:p>
      <w:pPr>
        <w:pStyle w:val="BodyText"/>
        <w:spacing w:line="292" w:lineRule="auto" w:before="60"/>
        <w:ind w:left="830" w:right="753" w:firstLine="340"/>
        <w:jc w:val="both"/>
      </w:pPr>
      <w:r>
        <w:rPr>
          <w:color w:val="231F20"/>
        </w:rPr>
        <w:t>Based on market conditions, corporations can sometimes </w:t>
      </w:r>
      <w:r>
        <w:rPr>
          <w:color w:val="231F20"/>
        </w:rPr>
        <w:t>buy companies at a bargain. Companies may also be a bargain if in- vestors do not recognize the potential of valuable assets on the</w:t>
      </w:r>
      <w:r>
        <w:rPr>
          <w:color w:val="231F20"/>
          <w:spacing w:val="40"/>
        </w:rPr>
        <w:t> </w:t>
      </w:r>
      <w:r>
        <w:rPr>
          <w:color w:val="231F20"/>
        </w:rPr>
        <w:t>books. Ted Turner bought MGM/United Artists in 1986 because</w:t>
      </w:r>
      <w:r>
        <w:rPr>
          <w:color w:val="231F20"/>
          <w:spacing w:val="80"/>
        </w:rPr>
        <w:t> </w:t>
      </w:r>
      <w:r>
        <w:rPr>
          <w:color w:val="231F20"/>
        </w:rPr>
        <w:t>MGM had an extensive movie library of classics that Turner felt was undervalued and not fully exploited.</w:t>
      </w:r>
    </w:p>
    <w:p>
      <w:pPr>
        <w:pStyle w:val="BodyText"/>
        <w:spacing w:before="3"/>
        <w:rPr>
          <w:sz w:val="27"/>
        </w:rPr>
      </w:pPr>
    </w:p>
    <w:p>
      <w:pPr>
        <w:spacing w:before="0"/>
        <w:ind w:left="1170" w:right="0" w:firstLine="0"/>
        <w:jc w:val="left"/>
        <w:rPr>
          <w:rFonts w:ascii="Arial"/>
          <w:i/>
          <w:sz w:val="19"/>
        </w:rPr>
      </w:pPr>
      <w:r>
        <w:rPr>
          <w:rFonts w:ascii="Arial"/>
          <w:i/>
          <w:color w:val="231F20"/>
          <w:w w:val="115"/>
          <w:sz w:val="19"/>
        </w:rPr>
        <w:t>Lower</w:t>
      </w:r>
      <w:r>
        <w:rPr>
          <w:rFonts w:ascii="Arial"/>
          <w:i/>
          <w:color w:val="231F20"/>
          <w:spacing w:val="-5"/>
          <w:w w:val="115"/>
          <w:sz w:val="19"/>
        </w:rPr>
        <w:t> </w:t>
      </w:r>
      <w:r>
        <w:rPr>
          <w:rFonts w:ascii="Arial"/>
          <w:i/>
          <w:color w:val="231F20"/>
          <w:w w:val="115"/>
          <w:sz w:val="19"/>
        </w:rPr>
        <w:t>Operating</w:t>
      </w:r>
      <w:r>
        <w:rPr>
          <w:rFonts w:ascii="Arial"/>
          <w:i/>
          <w:color w:val="231F20"/>
          <w:spacing w:val="-5"/>
          <w:w w:val="115"/>
          <w:sz w:val="19"/>
        </w:rPr>
        <w:t> </w:t>
      </w:r>
      <w:r>
        <w:rPr>
          <w:rFonts w:ascii="Arial"/>
          <w:i/>
          <w:color w:val="231F20"/>
          <w:spacing w:val="-2"/>
          <w:w w:val="115"/>
          <w:sz w:val="19"/>
        </w:rPr>
        <w:t>Costs</w:t>
      </w:r>
    </w:p>
    <w:p>
      <w:pPr>
        <w:pStyle w:val="BodyText"/>
        <w:spacing w:line="292" w:lineRule="auto" w:before="60"/>
        <w:ind w:left="830" w:right="756" w:firstLine="340"/>
        <w:jc w:val="both"/>
      </w:pPr>
      <w:r>
        <w:rPr>
          <w:color w:val="231F20"/>
        </w:rPr>
        <w:t>When companies merge, many cost savings are possible. </w:t>
      </w:r>
      <w:r>
        <w:rPr>
          <w:color w:val="231F20"/>
        </w:rPr>
        <w:t>With</w:t>
      </w:r>
      <w:r>
        <w:rPr>
          <w:color w:val="231F20"/>
          <w:spacing w:val="80"/>
        </w:rPr>
        <w:t> </w:t>
      </w:r>
      <w:r>
        <w:rPr>
          <w:color w:val="231F20"/>
        </w:rPr>
        <w:t>the absorption of a company, some of the acquired company’s cor- porate overhead expenses can be cut. In manufacturing mergers, fac- tories can produce larger quantities more efficiently.</w:t>
      </w:r>
    </w:p>
    <w:p>
      <w:pPr>
        <w:pStyle w:val="BodyText"/>
        <w:spacing w:line="292" w:lineRule="auto"/>
        <w:ind w:left="830" w:right="756" w:firstLine="340"/>
        <w:jc w:val="both"/>
      </w:pPr>
      <w:r>
        <w:rPr>
          <w:color w:val="231F20"/>
        </w:rPr>
        <w:t>In the 1990s, many companies were formed to consolidate </w:t>
      </w:r>
      <w:r>
        <w:rPr>
          <w:color w:val="231F20"/>
        </w:rPr>
        <w:t>frag- mented industries by “rolling up” many mom-and-pop outfits, in hopes of achieving efficiencies. Office supply businesses, veterinary practices, and car dealerships were rolled up.</w:t>
      </w:r>
    </w:p>
    <w:p>
      <w:pPr>
        <w:spacing w:after="0" w:line="292" w:lineRule="auto"/>
        <w:jc w:val="both"/>
        <w:sectPr>
          <w:pgSz w:w="8640" w:h="12960"/>
          <w:pgMar w:header="732" w:footer="0" w:top="920" w:bottom="280" w:left="340" w:right="500"/>
        </w:sectPr>
      </w:pPr>
    </w:p>
    <w:p>
      <w:pPr>
        <w:pStyle w:val="BodyText"/>
        <w:spacing w:before="8"/>
        <w:rPr>
          <w:sz w:val="17"/>
        </w:rPr>
      </w:pPr>
    </w:p>
    <w:p>
      <w:pPr>
        <w:pStyle w:val="Heading6"/>
        <w:spacing w:before="99"/>
        <w:rPr>
          <w:i/>
        </w:rPr>
      </w:pPr>
      <w:r>
        <w:rPr>
          <w:i/>
          <w:color w:val="231F20"/>
          <w:w w:val="110"/>
        </w:rPr>
        <w:t>TYPES</w:t>
      </w:r>
      <w:r>
        <w:rPr>
          <w:i/>
          <w:color w:val="231F20"/>
          <w:spacing w:val="51"/>
          <w:w w:val="110"/>
        </w:rPr>
        <w:t> </w:t>
      </w:r>
      <w:r>
        <w:rPr>
          <w:i/>
          <w:color w:val="231F20"/>
          <w:w w:val="110"/>
        </w:rPr>
        <w:t>OF</w:t>
      </w:r>
      <w:r>
        <w:rPr>
          <w:i/>
          <w:color w:val="231F20"/>
          <w:spacing w:val="51"/>
          <w:w w:val="110"/>
        </w:rPr>
        <w:t> </w:t>
      </w:r>
      <w:r>
        <w:rPr>
          <w:i/>
          <w:color w:val="231F20"/>
          <w:spacing w:val="8"/>
          <w:w w:val="110"/>
        </w:rPr>
        <w:t>ACQUISITIONS</w:t>
      </w:r>
    </w:p>
    <w:p>
      <w:pPr>
        <w:pStyle w:val="BodyText"/>
        <w:spacing w:before="2"/>
        <w:rPr>
          <w:b/>
          <w:i/>
          <w:sz w:val="30"/>
        </w:rPr>
      </w:pPr>
    </w:p>
    <w:p>
      <w:pPr>
        <w:pStyle w:val="BodyText"/>
        <w:spacing w:line="292" w:lineRule="auto"/>
        <w:ind w:left="920" w:right="667"/>
        <w:jc w:val="both"/>
      </w:pPr>
      <w:r>
        <w:rPr>
          <w:color w:val="231F20"/>
        </w:rPr>
        <w:t>If two companies decide to join forces to become one company, this</w:t>
      </w:r>
      <w:r>
        <w:rPr>
          <w:color w:val="231F20"/>
          <w:spacing w:val="40"/>
        </w:rPr>
        <w:t> </w:t>
      </w:r>
      <w:r>
        <w:rPr>
          <w:color w:val="231F20"/>
        </w:rPr>
        <w:t>is called a </w:t>
      </w:r>
      <w:r>
        <w:rPr>
          <w:i/>
          <w:color w:val="231F20"/>
        </w:rPr>
        <w:t>merger. </w:t>
      </w:r>
      <w:r>
        <w:rPr>
          <w:color w:val="231F20"/>
        </w:rPr>
        <w:t>When Sperry and Burroughs merged in 1986, the merged entity was named Unisys.</w:t>
      </w:r>
    </w:p>
    <w:p>
      <w:pPr>
        <w:spacing w:line="292" w:lineRule="auto" w:before="0"/>
        <w:ind w:left="920" w:right="667" w:firstLine="340"/>
        <w:jc w:val="both"/>
        <w:rPr>
          <w:i/>
          <w:sz w:val="21"/>
        </w:rPr>
      </w:pPr>
      <w:r>
        <w:rPr>
          <w:color w:val="231F20"/>
          <w:sz w:val="21"/>
        </w:rPr>
        <w:t>If one company buys another company, it is called an </w:t>
      </w:r>
      <w:r>
        <w:rPr>
          <w:i/>
          <w:color w:val="231F20"/>
          <w:sz w:val="21"/>
        </w:rPr>
        <w:t>acquisi-</w:t>
      </w:r>
      <w:r>
        <w:rPr>
          <w:i/>
          <w:color w:val="231F20"/>
          <w:spacing w:val="40"/>
          <w:sz w:val="21"/>
        </w:rPr>
        <w:t> </w:t>
      </w:r>
      <w:r>
        <w:rPr>
          <w:i/>
          <w:color w:val="231F20"/>
          <w:sz w:val="21"/>
        </w:rPr>
        <w:t>tion. </w:t>
      </w:r>
      <w:r>
        <w:rPr>
          <w:color w:val="231F20"/>
          <w:sz w:val="21"/>
        </w:rPr>
        <w:t>If both parties agree to the purchase, it is called a </w:t>
      </w:r>
      <w:r>
        <w:rPr>
          <w:i/>
          <w:color w:val="231F20"/>
          <w:sz w:val="21"/>
        </w:rPr>
        <w:t>friendly </w:t>
      </w:r>
      <w:r>
        <w:rPr>
          <w:i/>
          <w:color w:val="231F20"/>
          <w:sz w:val="21"/>
        </w:rPr>
        <w:t>ac-</w:t>
      </w:r>
      <w:r>
        <w:rPr>
          <w:i/>
          <w:color w:val="231F20"/>
          <w:sz w:val="21"/>
        </w:rPr>
        <w:t> quisition; </w:t>
      </w:r>
      <w:r>
        <w:rPr>
          <w:color w:val="231F20"/>
          <w:sz w:val="21"/>
        </w:rPr>
        <w:t>if not, it is called a </w:t>
      </w:r>
      <w:r>
        <w:rPr>
          <w:i/>
          <w:color w:val="231F20"/>
          <w:sz w:val="21"/>
        </w:rPr>
        <w:t>hostile takeover.</w:t>
      </w:r>
    </w:p>
    <w:p>
      <w:pPr>
        <w:pStyle w:val="BodyText"/>
        <w:spacing w:line="292" w:lineRule="auto"/>
        <w:ind w:left="920" w:right="663" w:firstLine="340"/>
        <w:jc w:val="both"/>
      </w:pPr>
      <w:r>
        <w:rPr>
          <w:color w:val="231F20"/>
        </w:rPr>
        <w:t>Smaller companies that are attractive takeover candidates </w:t>
      </w:r>
      <w:r>
        <w:rPr>
          <w:color w:val="231F20"/>
        </w:rPr>
        <w:t>often agree to be purchased in friendly takeovers. In 1989 Procter </w:t>
      </w:r>
      <w:r>
        <w:rPr>
          <w:color w:val="231F20"/>
          <w:w w:val="110"/>
        </w:rPr>
        <w:t>&amp; </w:t>
      </w:r>
      <w:r>
        <w:rPr>
          <w:color w:val="231F20"/>
        </w:rPr>
        <w:t>Gamble</w:t>
      </w:r>
      <w:r>
        <w:rPr>
          <w:color w:val="231F20"/>
          <w:spacing w:val="40"/>
        </w:rPr>
        <w:t> </w:t>
      </w:r>
      <w:r>
        <w:rPr>
          <w:color w:val="231F20"/>
        </w:rPr>
        <w:t>made</w:t>
      </w:r>
      <w:r>
        <w:rPr>
          <w:color w:val="231F20"/>
          <w:spacing w:val="40"/>
        </w:rPr>
        <w:t> </w:t>
      </w:r>
      <w:r>
        <w:rPr>
          <w:color w:val="231F20"/>
        </w:rPr>
        <w:t>a</w:t>
      </w:r>
      <w:r>
        <w:rPr>
          <w:color w:val="231F20"/>
          <w:spacing w:val="40"/>
        </w:rPr>
        <w:t> </w:t>
      </w:r>
      <w:r>
        <w:rPr>
          <w:color w:val="231F20"/>
        </w:rPr>
        <w:t>friendly</w:t>
      </w:r>
      <w:r>
        <w:rPr>
          <w:color w:val="231F20"/>
          <w:spacing w:val="40"/>
        </w:rPr>
        <w:t> </w:t>
      </w:r>
      <w:r>
        <w:rPr>
          <w:color w:val="231F20"/>
        </w:rPr>
        <w:t>purchase</w:t>
      </w:r>
      <w:r>
        <w:rPr>
          <w:color w:val="231F20"/>
          <w:spacing w:val="40"/>
        </w:rPr>
        <w:t> </w:t>
      </w:r>
      <w:r>
        <w:rPr>
          <w:color w:val="231F20"/>
        </w:rPr>
        <w:t>of</w:t>
      </w:r>
      <w:r>
        <w:rPr>
          <w:color w:val="231F20"/>
          <w:spacing w:val="40"/>
        </w:rPr>
        <w:t> </w:t>
      </w:r>
      <w:r>
        <w:rPr>
          <w:color w:val="231F20"/>
        </w:rPr>
        <w:t>Noxell,</w:t>
      </w:r>
      <w:r>
        <w:rPr>
          <w:color w:val="231F20"/>
          <w:spacing w:val="40"/>
        </w:rPr>
        <w:t> </w:t>
      </w:r>
      <w:r>
        <w:rPr>
          <w:color w:val="231F20"/>
        </w:rPr>
        <w:t>the</w:t>
      </w:r>
      <w:r>
        <w:rPr>
          <w:color w:val="231F20"/>
          <w:spacing w:val="40"/>
        </w:rPr>
        <w:t> </w:t>
      </w:r>
      <w:r>
        <w:rPr>
          <w:color w:val="231F20"/>
        </w:rPr>
        <w:t>maker</w:t>
      </w:r>
      <w:r>
        <w:rPr>
          <w:color w:val="231F20"/>
          <w:spacing w:val="40"/>
        </w:rPr>
        <w:t> </w:t>
      </w:r>
      <w:r>
        <w:rPr>
          <w:color w:val="231F20"/>
        </w:rPr>
        <w:t>of</w:t>
      </w:r>
      <w:r>
        <w:rPr>
          <w:color w:val="231F20"/>
          <w:spacing w:val="40"/>
        </w:rPr>
        <w:t> </w:t>
      </w:r>
      <w:r>
        <w:rPr>
          <w:color w:val="231F20"/>
        </w:rPr>
        <w:t>Cover Girl and Clarion cosmetics. Both saw the advantages of the two marketing</w:t>
      </w:r>
      <w:r>
        <w:rPr>
          <w:color w:val="231F20"/>
          <w:spacing w:val="40"/>
        </w:rPr>
        <w:t> </w:t>
      </w:r>
      <w:r>
        <w:rPr>
          <w:color w:val="231F20"/>
        </w:rPr>
        <w:t>companies</w:t>
      </w:r>
      <w:r>
        <w:rPr>
          <w:color w:val="231F20"/>
          <w:spacing w:val="40"/>
        </w:rPr>
        <w:t> </w:t>
      </w:r>
      <w:r>
        <w:rPr>
          <w:color w:val="231F20"/>
        </w:rPr>
        <w:t>joining</w:t>
      </w:r>
      <w:r>
        <w:rPr>
          <w:color w:val="231F20"/>
          <w:spacing w:val="40"/>
        </w:rPr>
        <w:t> </w:t>
      </w:r>
      <w:r>
        <w:rPr>
          <w:color w:val="231F20"/>
        </w:rPr>
        <w:t>forces.</w:t>
      </w:r>
      <w:r>
        <w:rPr>
          <w:color w:val="231F20"/>
          <w:spacing w:val="40"/>
        </w:rPr>
        <w:t> </w:t>
      </w:r>
      <w:r>
        <w:rPr>
          <w:color w:val="231F20"/>
        </w:rPr>
        <w:t>In</w:t>
      </w:r>
      <w:r>
        <w:rPr>
          <w:color w:val="231F20"/>
          <w:spacing w:val="40"/>
        </w:rPr>
        <w:t> </w:t>
      </w:r>
      <w:r>
        <w:rPr>
          <w:color w:val="231F20"/>
        </w:rPr>
        <w:t>2005,</w:t>
      </w:r>
      <w:r>
        <w:rPr>
          <w:color w:val="231F20"/>
          <w:spacing w:val="40"/>
        </w:rPr>
        <w:t> </w:t>
      </w:r>
      <w:r>
        <w:rPr>
          <w:color w:val="231F20"/>
        </w:rPr>
        <w:t>P&amp;G</w:t>
      </w:r>
      <w:r>
        <w:rPr>
          <w:color w:val="231F20"/>
          <w:spacing w:val="40"/>
        </w:rPr>
        <w:t> </w:t>
      </w:r>
      <w:r>
        <w:rPr>
          <w:color w:val="231F20"/>
        </w:rPr>
        <w:t>bought</w:t>
      </w:r>
      <w:r>
        <w:rPr>
          <w:color w:val="231F20"/>
          <w:spacing w:val="40"/>
        </w:rPr>
        <w:t> </w:t>
      </w:r>
      <w:r>
        <w:rPr>
          <w:color w:val="231F20"/>
        </w:rPr>
        <w:t>the much larger Gillette under the same friendly circumstances.</w:t>
      </w:r>
    </w:p>
    <w:p>
      <w:pPr>
        <w:pStyle w:val="BodyText"/>
        <w:spacing w:line="292" w:lineRule="auto"/>
        <w:ind w:left="920" w:right="663" w:firstLine="340"/>
        <w:jc w:val="both"/>
      </w:pPr>
      <w:r>
        <w:rPr>
          <w:color w:val="231F20"/>
        </w:rPr>
        <w:t>In other cases, the purchase can be nasty. In 1984, T. Boone Pick- ens tried to buy Phillips Petroleum in an unsuccessful hostile takeover. The management of Phillips was so opposed to the idea</w:t>
      </w:r>
      <w:r>
        <w:rPr>
          <w:color w:val="231F20"/>
          <w:spacing w:val="40"/>
        </w:rPr>
        <w:t> </w:t>
      </w:r>
      <w:r>
        <w:rPr>
          <w:color w:val="231F20"/>
        </w:rPr>
        <w:t>that in 1985 it borrowed $4.5 billion to buy back 47 percent of its common stock. This thwarted Pickens’s efforts because it borrowed against the same assets that he was planning to mortgage.</w:t>
      </w:r>
    </w:p>
    <w:p>
      <w:pPr>
        <w:pStyle w:val="BodyText"/>
        <w:spacing w:line="292" w:lineRule="auto"/>
        <w:ind w:left="920" w:right="663" w:firstLine="340"/>
        <w:jc w:val="both"/>
      </w:pPr>
      <w:r>
        <w:rPr>
          <w:color w:val="231F20"/>
        </w:rPr>
        <w:t>The fourth type of acquisition that I have mentioned several</w:t>
      </w:r>
      <w:r>
        <w:rPr>
          <w:color w:val="231F20"/>
          <w:spacing w:val="40"/>
        </w:rPr>
        <w:t> </w:t>
      </w:r>
      <w:r>
        <w:rPr>
          <w:color w:val="231F20"/>
        </w:rPr>
        <w:t>times already in this chapter is the </w:t>
      </w:r>
      <w:r>
        <w:rPr>
          <w:i/>
          <w:color w:val="231F20"/>
        </w:rPr>
        <w:t>leveraged buyout </w:t>
      </w:r>
      <w:r>
        <w:rPr>
          <w:color w:val="231F20"/>
        </w:rPr>
        <w:t>(LBO). In the 1980s, many lenders were willing to loan money to takeover </w:t>
      </w:r>
      <w:r>
        <w:rPr>
          <w:color w:val="231F20"/>
        </w:rPr>
        <w:t>artists. In the same way that a mortgage company makes a loan to a home buyer for a down payment of only 5 percent, banks, insurance companies,</w:t>
      </w:r>
      <w:r>
        <w:rPr>
          <w:color w:val="231F20"/>
          <w:spacing w:val="40"/>
        </w:rPr>
        <w:t> </w:t>
      </w:r>
      <w:r>
        <w:rPr>
          <w:color w:val="231F20"/>
        </w:rPr>
        <w:t>and</w:t>
      </w:r>
      <w:r>
        <w:rPr>
          <w:color w:val="231F20"/>
          <w:spacing w:val="40"/>
        </w:rPr>
        <w:t> </w:t>
      </w:r>
      <w:r>
        <w:rPr>
          <w:color w:val="231F20"/>
        </w:rPr>
        <w:t>bond</w:t>
      </w:r>
      <w:r>
        <w:rPr>
          <w:color w:val="231F20"/>
          <w:spacing w:val="40"/>
        </w:rPr>
        <w:t> </w:t>
      </w:r>
      <w:r>
        <w:rPr>
          <w:color w:val="231F20"/>
        </w:rPr>
        <w:t>investors</w:t>
      </w:r>
      <w:r>
        <w:rPr>
          <w:color w:val="231F20"/>
          <w:spacing w:val="40"/>
        </w:rPr>
        <w:t> </w:t>
      </w:r>
      <w:r>
        <w:rPr>
          <w:color w:val="231F20"/>
        </w:rPr>
        <w:t>lent</w:t>
      </w:r>
      <w:r>
        <w:rPr>
          <w:color w:val="231F20"/>
          <w:spacing w:val="40"/>
        </w:rPr>
        <w:t> </w:t>
      </w:r>
      <w:r>
        <w:rPr>
          <w:color w:val="231F20"/>
        </w:rPr>
        <w:t>money</w:t>
      </w:r>
      <w:r>
        <w:rPr>
          <w:color w:val="231F20"/>
          <w:spacing w:val="40"/>
        </w:rPr>
        <w:t> </w:t>
      </w:r>
      <w:r>
        <w:rPr>
          <w:color w:val="231F20"/>
        </w:rPr>
        <w:t>to</w:t>
      </w:r>
      <w:r>
        <w:rPr>
          <w:color w:val="231F20"/>
          <w:spacing w:val="40"/>
        </w:rPr>
        <w:t> </w:t>
      </w:r>
      <w:r>
        <w:rPr>
          <w:color w:val="231F20"/>
        </w:rPr>
        <w:t>these</w:t>
      </w:r>
      <w:r>
        <w:rPr>
          <w:color w:val="231F20"/>
          <w:spacing w:val="40"/>
        </w:rPr>
        <w:t> </w:t>
      </w:r>
      <w:r>
        <w:rPr>
          <w:color w:val="231F20"/>
        </w:rPr>
        <w:t>financiers</w:t>
      </w:r>
      <w:r>
        <w:rPr>
          <w:color w:val="231F20"/>
          <w:spacing w:val="40"/>
        </w:rPr>
        <w:t> </w:t>
      </w:r>
      <w:r>
        <w:rPr>
          <w:color w:val="231F20"/>
        </w:rPr>
        <w:t>to buy companies. The company that emerges from a leveraged buy-</w:t>
      </w:r>
      <w:r>
        <w:rPr>
          <w:color w:val="231F20"/>
          <w:spacing w:val="40"/>
        </w:rPr>
        <w:t> </w:t>
      </w:r>
      <w:r>
        <w:rPr>
          <w:color w:val="231F20"/>
        </w:rPr>
        <w:t>out carries a high level of debt on which it must pay interest and </w:t>
      </w:r>
      <w:r>
        <w:rPr>
          <w:color w:val="231F20"/>
          <w:spacing w:val="-2"/>
        </w:rPr>
        <w:t>principal.</w:t>
      </w:r>
    </w:p>
    <w:p>
      <w:pPr>
        <w:pStyle w:val="BodyText"/>
        <w:rPr>
          <w:sz w:val="24"/>
        </w:rPr>
      </w:pPr>
    </w:p>
    <w:p>
      <w:pPr>
        <w:pStyle w:val="BodyText"/>
        <w:spacing w:before="4"/>
        <w:rPr>
          <w:sz w:val="26"/>
        </w:rPr>
      </w:pPr>
    </w:p>
    <w:p>
      <w:pPr>
        <w:pStyle w:val="Heading6"/>
        <w:rPr>
          <w:i/>
        </w:rPr>
      </w:pPr>
      <w:r>
        <w:rPr>
          <w:i/>
          <w:color w:val="231F20"/>
          <w:w w:val="110"/>
        </w:rPr>
        <w:t>THE</w:t>
      </w:r>
      <w:r>
        <w:rPr>
          <w:i/>
          <w:color w:val="231F20"/>
          <w:spacing w:val="59"/>
          <w:w w:val="110"/>
        </w:rPr>
        <w:t> </w:t>
      </w:r>
      <w:r>
        <w:rPr>
          <w:i/>
          <w:color w:val="231F20"/>
          <w:w w:val="110"/>
        </w:rPr>
        <w:t>VALUATION</w:t>
      </w:r>
      <w:r>
        <w:rPr>
          <w:i/>
          <w:color w:val="231F20"/>
          <w:spacing w:val="60"/>
          <w:w w:val="110"/>
        </w:rPr>
        <w:t> </w:t>
      </w:r>
      <w:r>
        <w:rPr>
          <w:i/>
          <w:color w:val="231F20"/>
          <w:spacing w:val="8"/>
          <w:w w:val="110"/>
        </w:rPr>
        <w:t>PROCESS</w:t>
      </w:r>
    </w:p>
    <w:p>
      <w:pPr>
        <w:pStyle w:val="BodyText"/>
        <w:spacing w:before="2"/>
        <w:rPr>
          <w:b/>
          <w:i/>
          <w:sz w:val="30"/>
        </w:rPr>
      </w:pPr>
    </w:p>
    <w:p>
      <w:pPr>
        <w:pStyle w:val="BodyText"/>
        <w:spacing w:line="292" w:lineRule="auto"/>
        <w:ind w:left="920" w:right="666"/>
        <w:jc w:val="both"/>
      </w:pPr>
      <w:r>
        <w:rPr>
          <w:color w:val="231F20"/>
          <w:w w:val="105"/>
        </w:rPr>
        <w:t>To</w:t>
      </w:r>
      <w:r>
        <w:rPr>
          <w:color w:val="231F20"/>
          <w:w w:val="105"/>
        </w:rPr>
        <w:t> engage</w:t>
      </w:r>
      <w:r>
        <w:rPr>
          <w:color w:val="231F20"/>
          <w:w w:val="105"/>
        </w:rPr>
        <w:t> in</w:t>
      </w:r>
      <w:r>
        <w:rPr>
          <w:color w:val="231F20"/>
          <w:w w:val="105"/>
        </w:rPr>
        <w:t> M&amp;A,</w:t>
      </w:r>
      <w:r>
        <w:rPr>
          <w:color w:val="231F20"/>
          <w:w w:val="105"/>
        </w:rPr>
        <w:t> you</w:t>
      </w:r>
      <w:r>
        <w:rPr>
          <w:color w:val="231F20"/>
          <w:w w:val="105"/>
        </w:rPr>
        <w:t> must</w:t>
      </w:r>
      <w:r>
        <w:rPr>
          <w:color w:val="231F20"/>
          <w:w w:val="105"/>
        </w:rPr>
        <w:t> assess</w:t>
      </w:r>
      <w:r>
        <w:rPr>
          <w:color w:val="231F20"/>
          <w:w w:val="105"/>
        </w:rPr>
        <w:t> the</w:t>
      </w:r>
      <w:r>
        <w:rPr>
          <w:color w:val="231F20"/>
          <w:w w:val="105"/>
        </w:rPr>
        <w:t> value</w:t>
      </w:r>
      <w:r>
        <w:rPr>
          <w:color w:val="231F20"/>
          <w:w w:val="105"/>
        </w:rPr>
        <w:t> of</w:t>
      </w:r>
      <w:r>
        <w:rPr>
          <w:color w:val="231F20"/>
          <w:w w:val="105"/>
        </w:rPr>
        <w:t> the</w:t>
      </w:r>
      <w:r>
        <w:rPr>
          <w:color w:val="231F20"/>
          <w:w w:val="105"/>
        </w:rPr>
        <w:t> targets.</w:t>
      </w:r>
      <w:r>
        <w:rPr>
          <w:color w:val="231F20"/>
          <w:w w:val="105"/>
        </w:rPr>
        <w:t> </w:t>
      </w:r>
      <w:r>
        <w:rPr>
          <w:color w:val="231F20"/>
          <w:w w:val="105"/>
        </w:rPr>
        <w:t>Cash </w:t>
      </w:r>
      <w:r>
        <w:rPr>
          <w:color w:val="231F20"/>
        </w:rPr>
        <w:t>flow is the main consideration. A business’s cash flows are the result of</w:t>
      </w:r>
      <w:r>
        <w:rPr>
          <w:color w:val="231F20"/>
          <w:spacing w:val="17"/>
        </w:rPr>
        <w:t> </w:t>
      </w:r>
      <w:r>
        <w:rPr>
          <w:color w:val="231F20"/>
        </w:rPr>
        <w:t>operations,</w:t>
      </w:r>
      <w:r>
        <w:rPr>
          <w:color w:val="231F20"/>
          <w:spacing w:val="18"/>
        </w:rPr>
        <w:t> </w:t>
      </w:r>
      <w:r>
        <w:rPr>
          <w:color w:val="231F20"/>
        </w:rPr>
        <w:t>investing,</w:t>
      </w:r>
      <w:r>
        <w:rPr>
          <w:color w:val="231F20"/>
          <w:spacing w:val="18"/>
        </w:rPr>
        <w:t> </w:t>
      </w:r>
      <w:r>
        <w:rPr>
          <w:color w:val="231F20"/>
        </w:rPr>
        <w:t>and</w:t>
      </w:r>
      <w:r>
        <w:rPr>
          <w:color w:val="231F20"/>
          <w:spacing w:val="18"/>
        </w:rPr>
        <w:t> </w:t>
      </w:r>
      <w:r>
        <w:rPr>
          <w:color w:val="231F20"/>
        </w:rPr>
        <w:t>financing</w:t>
      </w:r>
      <w:r>
        <w:rPr>
          <w:color w:val="231F20"/>
          <w:spacing w:val="18"/>
        </w:rPr>
        <w:t> </w:t>
      </w:r>
      <w:r>
        <w:rPr>
          <w:color w:val="231F20"/>
        </w:rPr>
        <w:t>activities</w:t>
      </w:r>
      <w:r>
        <w:rPr>
          <w:color w:val="231F20"/>
          <w:spacing w:val="18"/>
        </w:rPr>
        <w:t> </w:t>
      </w:r>
      <w:r>
        <w:rPr>
          <w:color w:val="231F20"/>
        </w:rPr>
        <w:t>(the</w:t>
      </w:r>
      <w:r>
        <w:rPr>
          <w:color w:val="231F20"/>
          <w:spacing w:val="18"/>
        </w:rPr>
        <w:t> </w:t>
      </w:r>
      <w:r>
        <w:rPr>
          <w:color w:val="231F20"/>
        </w:rPr>
        <w:t>same</w:t>
      </w:r>
      <w:r>
        <w:rPr>
          <w:color w:val="231F20"/>
          <w:spacing w:val="17"/>
        </w:rPr>
        <w:t> </w:t>
      </w:r>
      <w:r>
        <w:rPr>
          <w:color w:val="231F20"/>
          <w:spacing w:val="-2"/>
        </w:rPr>
        <w:t>activities</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3"/>
        <w:jc w:val="both"/>
      </w:pPr>
      <w:r>
        <w:rPr>
          <w:color w:val="231F20"/>
        </w:rPr>
        <w:t>that the accountant’s statement of cash flows describes). In the </w:t>
      </w:r>
      <w:r>
        <w:rPr>
          <w:color w:val="231F20"/>
        </w:rPr>
        <w:t>ac- counting</w:t>
      </w:r>
      <w:r>
        <w:rPr>
          <w:color w:val="231F20"/>
          <w:spacing w:val="40"/>
        </w:rPr>
        <w:t> </w:t>
      </w:r>
      <w:r>
        <w:rPr>
          <w:color w:val="231F20"/>
        </w:rPr>
        <w:t>chapter,</w:t>
      </w:r>
      <w:r>
        <w:rPr>
          <w:color w:val="231F20"/>
          <w:spacing w:val="40"/>
        </w:rPr>
        <w:t> </w:t>
      </w:r>
      <w:r>
        <w:rPr>
          <w:color w:val="231F20"/>
        </w:rPr>
        <w:t>I</w:t>
      </w:r>
      <w:r>
        <w:rPr>
          <w:color w:val="231F20"/>
          <w:spacing w:val="40"/>
        </w:rPr>
        <w:t> </w:t>
      </w:r>
      <w:r>
        <w:rPr>
          <w:color w:val="231F20"/>
        </w:rPr>
        <w:t>used</w:t>
      </w:r>
      <w:r>
        <w:rPr>
          <w:color w:val="231F20"/>
          <w:spacing w:val="40"/>
        </w:rPr>
        <w:t> </w:t>
      </w:r>
      <w:r>
        <w:rPr>
          <w:color w:val="231F20"/>
        </w:rPr>
        <w:t>the</w:t>
      </w:r>
      <w:r>
        <w:rPr>
          <w:color w:val="231F20"/>
          <w:spacing w:val="40"/>
        </w:rPr>
        <w:t> </w:t>
      </w:r>
      <w:r>
        <w:rPr>
          <w:color w:val="231F20"/>
        </w:rPr>
        <w:t>example</w:t>
      </w:r>
      <w:r>
        <w:rPr>
          <w:color w:val="231F20"/>
          <w:spacing w:val="40"/>
        </w:rPr>
        <w:t> </w:t>
      </w:r>
      <w:r>
        <w:rPr>
          <w:color w:val="231F20"/>
        </w:rPr>
        <w:t>of</w:t>
      </w:r>
      <w:r>
        <w:rPr>
          <w:color w:val="231F20"/>
          <w:spacing w:val="40"/>
        </w:rPr>
        <w:t> </w:t>
      </w:r>
      <w:r>
        <w:rPr>
          <w:color w:val="231F20"/>
        </w:rPr>
        <w:t>tiny</w:t>
      </w:r>
      <w:r>
        <w:rPr>
          <w:color w:val="231F20"/>
          <w:spacing w:val="40"/>
        </w:rPr>
        <w:t> </w:t>
      </w:r>
      <w:r>
        <w:rPr>
          <w:color w:val="231F20"/>
        </w:rPr>
        <w:t>Bob’s</w:t>
      </w:r>
      <w:r>
        <w:rPr>
          <w:color w:val="231F20"/>
          <w:spacing w:val="40"/>
        </w:rPr>
        <w:t> </w:t>
      </w:r>
      <w:r>
        <w:rPr>
          <w:color w:val="231F20"/>
        </w:rPr>
        <w:t>Market.</w:t>
      </w:r>
      <w:r>
        <w:rPr>
          <w:color w:val="231F20"/>
          <w:spacing w:val="40"/>
        </w:rPr>
        <w:t> </w:t>
      </w:r>
      <w:r>
        <w:rPr>
          <w:color w:val="231F20"/>
        </w:rPr>
        <w:t>By adding a few zeros to the numbers, it could be Safeway or Kroger. Because you are already familiar with Bob’s Market, this section will continue with that example.</w:t>
      </w:r>
    </w:p>
    <w:p>
      <w:pPr>
        <w:pStyle w:val="BodyText"/>
        <w:spacing w:line="290" w:lineRule="auto"/>
        <w:ind w:left="829" w:right="755" w:firstLine="340"/>
        <w:jc w:val="both"/>
      </w:pPr>
      <w:r>
        <w:rPr>
          <w:color w:val="231F20"/>
        </w:rPr>
        <w:t>The total value of a company is called its </w:t>
      </w:r>
      <w:r>
        <w:rPr>
          <w:i/>
          <w:color w:val="231F20"/>
        </w:rPr>
        <w:t>enterprise value </w:t>
      </w:r>
      <w:r>
        <w:rPr>
          <w:color w:val="231F20"/>
        </w:rPr>
        <w:t>(EV). It is the present value of its projected cash flows. A company’s EV is equal to its equity value (total outstanding shares </w:t>
      </w:r>
      <w:r>
        <w:rPr>
          <w:rFonts w:ascii="Symbol" w:hAnsi="Symbol"/>
          <w:color w:val="231F20"/>
        </w:rPr>
        <w:t></w:t>
      </w:r>
      <w:r>
        <w:rPr>
          <w:rFonts w:ascii="Times New Roman" w:hAnsi="Times New Roman"/>
          <w:color w:val="231F20"/>
        </w:rPr>
        <w:t> </w:t>
      </w:r>
      <w:r>
        <w:rPr>
          <w:color w:val="231F20"/>
        </w:rPr>
        <w:t>current </w:t>
      </w:r>
      <w:r>
        <w:rPr>
          <w:color w:val="231F20"/>
        </w:rPr>
        <w:t>market price) owned by shareholders, plus interest-bearing debt held by debt holders, less its surplus cash and marketable investments held beyond the firm’s operating needs. Conversely, the equity would be equal</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company’s</w:t>
      </w:r>
      <w:r>
        <w:rPr>
          <w:color w:val="231F20"/>
          <w:spacing w:val="-1"/>
        </w:rPr>
        <w:t> </w:t>
      </w:r>
      <w:r>
        <w:rPr>
          <w:color w:val="231F20"/>
        </w:rPr>
        <w:t>EV</w:t>
      </w:r>
      <w:r>
        <w:rPr>
          <w:color w:val="231F20"/>
          <w:spacing w:val="-1"/>
        </w:rPr>
        <w:t> </w:t>
      </w:r>
      <w:r>
        <w:rPr>
          <w:color w:val="231F20"/>
        </w:rPr>
        <w:t>less</w:t>
      </w:r>
      <w:r>
        <w:rPr>
          <w:color w:val="231F20"/>
          <w:spacing w:val="-1"/>
        </w:rPr>
        <w:t> </w:t>
      </w:r>
      <w:r>
        <w:rPr>
          <w:color w:val="231F20"/>
        </w:rPr>
        <w:t>its</w:t>
      </w:r>
      <w:r>
        <w:rPr>
          <w:color w:val="231F20"/>
          <w:spacing w:val="-1"/>
        </w:rPr>
        <w:t> </w:t>
      </w:r>
      <w:r>
        <w:rPr>
          <w:color w:val="231F20"/>
        </w:rPr>
        <w:t>debt</w:t>
      </w:r>
      <w:r>
        <w:rPr>
          <w:color w:val="231F20"/>
          <w:spacing w:val="-1"/>
        </w:rPr>
        <w:t> </w:t>
      </w:r>
      <w:r>
        <w:rPr>
          <w:color w:val="231F20"/>
        </w:rPr>
        <w:t>plus</w:t>
      </w:r>
      <w:r>
        <w:rPr>
          <w:color w:val="231F20"/>
          <w:spacing w:val="-1"/>
        </w:rPr>
        <w:t> </w:t>
      </w:r>
      <w:r>
        <w:rPr>
          <w:color w:val="231F20"/>
        </w:rPr>
        <w:t>its</w:t>
      </w:r>
      <w:r>
        <w:rPr>
          <w:color w:val="231F20"/>
          <w:spacing w:val="-1"/>
        </w:rPr>
        <w:t> </w:t>
      </w:r>
      <w:r>
        <w:rPr>
          <w:color w:val="231F20"/>
        </w:rPr>
        <w:t>surplus</w:t>
      </w:r>
      <w:r>
        <w:rPr>
          <w:color w:val="231F20"/>
          <w:spacing w:val="-1"/>
        </w:rPr>
        <w:t> </w:t>
      </w:r>
      <w:r>
        <w:rPr>
          <w:color w:val="231F20"/>
        </w:rPr>
        <w:t>cash</w:t>
      </w:r>
      <w:r>
        <w:rPr>
          <w:color w:val="231F20"/>
          <w:spacing w:val="-1"/>
        </w:rPr>
        <w:t> </w:t>
      </w:r>
      <w:r>
        <w:rPr>
          <w:color w:val="231F20"/>
        </w:rPr>
        <w:t>and</w:t>
      </w:r>
      <w:r>
        <w:rPr>
          <w:color w:val="231F20"/>
          <w:spacing w:val="-1"/>
        </w:rPr>
        <w:t> </w:t>
      </w:r>
      <w:r>
        <w:rPr>
          <w:color w:val="231F20"/>
        </w:rPr>
        <w:t>mar- ketable investments.</w:t>
      </w:r>
    </w:p>
    <w:p>
      <w:pPr>
        <w:pStyle w:val="BodyText"/>
        <w:spacing w:line="292" w:lineRule="auto" w:before="1"/>
        <w:ind w:left="829" w:right="755" w:firstLine="340"/>
        <w:jc w:val="both"/>
      </w:pPr>
      <w:r>
        <w:rPr>
          <w:color w:val="231F20"/>
        </w:rPr>
        <w:t>Think of the enterprise value as the theoretical total takeover price. In the event of a buyout, an acquirer would have to pay share- holders for their equity and take on the company’s debt. The market value of the equity may be different from an analyst’s calculation </w:t>
      </w:r>
      <w:r>
        <w:rPr>
          <w:color w:val="231F20"/>
        </w:rPr>
        <w:t>of value based on cash flows projections, but that is how investors find </w:t>
      </w:r>
      <w:r>
        <w:rPr>
          <w:color w:val="231F20"/>
          <w:spacing w:val="-2"/>
        </w:rPr>
        <w:t>opportunities.</w:t>
      </w:r>
    </w:p>
    <w:p>
      <w:pPr>
        <w:pStyle w:val="BodyText"/>
        <w:spacing w:line="292" w:lineRule="auto"/>
        <w:ind w:left="829" w:right="756" w:firstLine="340"/>
        <w:jc w:val="both"/>
      </w:pPr>
      <w:r>
        <w:rPr>
          <w:color w:val="231F20"/>
        </w:rPr>
        <w:t>Five steps are involved in calculating and evaluating a </w:t>
      </w:r>
      <w:r>
        <w:rPr>
          <w:color w:val="231F20"/>
        </w:rPr>
        <w:t>business’s cash flows:</w:t>
      </w:r>
    </w:p>
    <w:p>
      <w:pPr>
        <w:pStyle w:val="BodyText"/>
        <w:spacing w:before="1"/>
        <w:rPr>
          <w:sz w:val="27"/>
        </w:rPr>
      </w:pPr>
    </w:p>
    <w:p>
      <w:pPr>
        <w:pStyle w:val="ListParagraph"/>
        <w:numPr>
          <w:ilvl w:val="0"/>
          <w:numId w:val="37"/>
        </w:numPr>
        <w:tabs>
          <w:tab w:pos="1520" w:val="left" w:leader="none"/>
        </w:tabs>
        <w:spacing w:line="240" w:lineRule="auto" w:before="1" w:after="0"/>
        <w:ind w:left="1519" w:right="0" w:hanging="177"/>
        <w:jc w:val="left"/>
        <w:rPr>
          <w:sz w:val="19"/>
        </w:rPr>
      </w:pPr>
      <w:r>
        <w:rPr>
          <w:color w:val="231F20"/>
          <w:spacing w:val="-2"/>
          <w:w w:val="115"/>
          <w:sz w:val="19"/>
        </w:rPr>
        <w:t>Analyze</w:t>
      </w:r>
      <w:r>
        <w:rPr>
          <w:color w:val="231F20"/>
          <w:w w:val="115"/>
          <w:sz w:val="19"/>
        </w:rPr>
        <w:t> </w:t>
      </w:r>
      <w:r>
        <w:rPr>
          <w:color w:val="231F20"/>
          <w:spacing w:val="-2"/>
          <w:w w:val="115"/>
          <w:sz w:val="19"/>
        </w:rPr>
        <w:t>operating</w:t>
      </w:r>
      <w:r>
        <w:rPr>
          <w:color w:val="231F20"/>
          <w:spacing w:val="1"/>
          <w:w w:val="115"/>
          <w:sz w:val="19"/>
        </w:rPr>
        <w:t> </w:t>
      </w:r>
      <w:r>
        <w:rPr>
          <w:color w:val="231F20"/>
          <w:spacing w:val="-2"/>
          <w:w w:val="115"/>
          <w:sz w:val="19"/>
        </w:rPr>
        <w:t>activities.</w:t>
      </w:r>
    </w:p>
    <w:p>
      <w:pPr>
        <w:spacing w:line="328" w:lineRule="auto" w:before="81"/>
        <w:ind w:left="1760" w:right="667" w:hanging="240"/>
        <w:jc w:val="left"/>
        <w:rPr>
          <w:rFonts w:ascii="Arial"/>
          <w:sz w:val="19"/>
        </w:rPr>
      </w:pPr>
      <w:r>
        <w:rPr>
          <w:rFonts w:ascii="Arial"/>
          <w:color w:val="231F20"/>
          <w:w w:val="115"/>
          <w:sz w:val="19"/>
        </w:rPr>
        <w:t>Forecast</w:t>
      </w:r>
      <w:r>
        <w:rPr>
          <w:rFonts w:ascii="Arial"/>
          <w:color w:val="231F20"/>
          <w:spacing w:val="-12"/>
          <w:w w:val="115"/>
          <w:sz w:val="19"/>
        </w:rPr>
        <w:t> </w:t>
      </w:r>
      <w:r>
        <w:rPr>
          <w:rFonts w:ascii="Arial"/>
          <w:color w:val="231F20"/>
          <w:w w:val="115"/>
          <w:sz w:val="19"/>
        </w:rPr>
        <w:t>the</w:t>
      </w:r>
      <w:r>
        <w:rPr>
          <w:rFonts w:ascii="Arial"/>
          <w:color w:val="231F20"/>
          <w:spacing w:val="-12"/>
          <w:w w:val="115"/>
          <w:sz w:val="19"/>
        </w:rPr>
        <w:t> </w:t>
      </w:r>
      <w:r>
        <w:rPr>
          <w:rFonts w:ascii="Arial"/>
          <w:color w:val="231F20"/>
          <w:w w:val="115"/>
          <w:sz w:val="19"/>
        </w:rPr>
        <w:t>income</w:t>
      </w:r>
      <w:r>
        <w:rPr>
          <w:rFonts w:ascii="Arial"/>
          <w:color w:val="231F20"/>
          <w:spacing w:val="-12"/>
          <w:w w:val="115"/>
          <w:sz w:val="19"/>
        </w:rPr>
        <w:t> </w:t>
      </w:r>
      <w:r>
        <w:rPr>
          <w:rFonts w:ascii="Arial"/>
          <w:color w:val="231F20"/>
          <w:w w:val="115"/>
          <w:sz w:val="19"/>
        </w:rPr>
        <w:t>statement;</w:t>
      </w:r>
      <w:r>
        <w:rPr>
          <w:rFonts w:ascii="Arial"/>
          <w:color w:val="231F20"/>
          <w:spacing w:val="-12"/>
          <w:w w:val="115"/>
          <w:sz w:val="19"/>
        </w:rPr>
        <w:t> </w:t>
      </w:r>
      <w:r>
        <w:rPr>
          <w:rFonts w:ascii="Arial"/>
          <w:color w:val="231F20"/>
          <w:w w:val="115"/>
          <w:sz w:val="19"/>
        </w:rPr>
        <w:t>sales,</w:t>
      </w:r>
      <w:r>
        <w:rPr>
          <w:rFonts w:ascii="Arial"/>
          <w:color w:val="231F20"/>
          <w:spacing w:val="-12"/>
          <w:w w:val="115"/>
          <w:sz w:val="19"/>
        </w:rPr>
        <w:t> </w:t>
      </w:r>
      <w:r>
        <w:rPr>
          <w:rFonts w:ascii="Arial"/>
          <w:color w:val="231F20"/>
          <w:w w:val="115"/>
          <w:sz w:val="19"/>
        </w:rPr>
        <w:t>cost</w:t>
      </w:r>
      <w:r>
        <w:rPr>
          <w:rFonts w:ascii="Arial"/>
          <w:color w:val="231F20"/>
          <w:spacing w:val="-12"/>
          <w:w w:val="115"/>
          <w:sz w:val="19"/>
        </w:rPr>
        <w:t> </w:t>
      </w:r>
      <w:r>
        <w:rPr>
          <w:rFonts w:ascii="Arial"/>
          <w:color w:val="231F20"/>
          <w:w w:val="115"/>
          <w:sz w:val="19"/>
        </w:rPr>
        <w:t>of</w:t>
      </w:r>
      <w:r>
        <w:rPr>
          <w:rFonts w:ascii="Arial"/>
          <w:color w:val="231F20"/>
          <w:spacing w:val="-12"/>
          <w:w w:val="115"/>
          <w:sz w:val="19"/>
        </w:rPr>
        <w:t> </w:t>
      </w:r>
      <w:r>
        <w:rPr>
          <w:rFonts w:ascii="Arial"/>
          <w:color w:val="231F20"/>
          <w:w w:val="115"/>
          <w:sz w:val="19"/>
        </w:rPr>
        <w:t>goods</w:t>
      </w:r>
      <w:r>
        <w:rPr>
          <w:rFonts w:ascii="Arial"/>
          <w:color w:val="231F20"/>
          <w:spacing w:val="-12"/>
          <w:w w:val="115"/>
          <w:sz w:val="19"/>
        </w:rPr>
        <w:t> </w:t>
      </w:r>
      <w:r>
        <w:rPr>
          <w:rFonts w:ascii="Arial"/>
          <w:color w:val="231F20"/>
          <w:w w:val="115"/>
          <w:sz w:val="19"/>
        </w:rPr>
        <w:t>sold, selling,</w:t>
      </w:r>
      <w:r>
        <w:rPr>
          <w:rFonts w:ascii="Arial"/>
          <w:color w:val="231F20"/>
          <w:spacing w:val="-10"/>
          <w:w w:val="115"/>
          <w:sz w:val="19"/>
        </w:rPr>
        <w:t> </w:t>
      </w:r>
      <w:r>
        <w:rPr>
          <w:rFonts w:ascii="Arial"/>
          <w:color w:val="231F20"/>
          <w:w w:val="115"/>
          <w:sz w:val="19"/>
        </w:rPr>
        <w:t>general,</w:t>
      </w:r>
      <w:r>
        <w:rPr>
          <w:rFonts w:ascii="Arial"/>
          <w:color w:val="231F20"/>
          <w:spacing w:val="-10"/>
          <w:w w:val="115"/>
          <w:sz w:val="19"/>
        </w:rPr>
        <w:t> </w:t>
      </w:r>
      <w:r>
        <w:rPr>
          <w:rFonts w:ascii="Arial"/>
          <w:color w:val="231F20"/>
          <w:w w:val="115"/>
          <w:sz w:val="19"/>
        </w:rPr>
        <w:t>and</w:t>
      </w:r>
      <w:r>
        <w:rPr>
          <w:rFonts w:ascii="Arial"/>
          <w:color w:val="231F20"/>
          <w:spacing w:val="-10"/>
          <w:w w:val="115"/>
          <w:sz w:val="19"/>
        </w:rPr>
        <w:t> </w:t>
      </w:r>
      <w:r>
        <w:rPr>
          <w:rFonts w:ascii="Arial"/>
          <w:color w:val="231F20"/>
          <w:w w:val="115"/>
          <w:sz w:val="19"/>
        </w:rPr>
        <w:t>administration</w:t>
      </w:r>
      <w:r>
        <w:rPr>
          <w:rFonts w:ascii="Arial"/>
          <w:color w:val="231F20"/>
          <w:spacing w:val="-10"/>
          <w:w w:val="115"/>
          <w:sz w:val="19"/>
        </w:rPr>
        <w:t> </w:t>
      </w:r>
      <w:r>
        <w:rPr>
          <w:rFonts w:ascii="Arial"/>
          <w:color w:val="231F20"/>
          <w:w w:val="115"/>
          <w:sz w:val="19"/>
        </w:rPr>
        <w:t>expenses.</w:t>
      </w:r>
    </w:p>
    <w:p>
      <w:pPr>
        <w:pStyle w:val="ListParagraph"/>
        <w:numPr>
          <w:ilvl w:val="0"/>
          <w:numId w:val="37"/>
        </w:numPr>
        <w:tabs>
          <w:tab w:pos="1520" w:val="left" w:leader="none"/>
        </w:tabs>
        <w:spacing w:line="328" w:lineRule="auto" w:before="2" w:after="0"/>
        <w:ind w:left="1519" w:right="758" w:hanging="223"/>
        <w:jc w:val="left"/>
        <w:rPr>
          <w:sz w:val="19"/>
        </w:rPr>
      </w:pPr>
      <w:r>
        <w:rPr>
          <w:color w:val="231F20"/>
          <w:w w:val="115"/>
          <w:sz w:val="19"/>
        </w:rPr>
        <w:t>Analyze</w:t>
      </w:r>
      <w:r>
        <w:rPr>
          <w:color w:val="231F20"/>
          <w:spacing w:val="-6"/>
          <w:w w:val="115"/>
          <w:sz w:val="19"/>
        </w:rPr>
        <w:t> </w:t>
      </w:r>
      <w:r>
        <w:rPr>
          <w:color w:val="231F20"/>
          <w:w w:val="115"/>
          <w:sz w:val="19"/>
        </w:rPr>
        <w:t>the</w:t>
      </w:r>
      <w:r>
        <w:rPr>
          <w:color w:val="231F20"/>
          <w:spacing w:val="-6"/>
          <w:w w:val="115"/>
          <w:sz w:val="19"/>
        </w:rPr>
        <w:t> </w:t>
      </w:r>
      <w:r>
        <w:rPr>
          <w:color w:val="231F20"/>
          <w:w w:val="115"/>
          <w:sz w:val="19"/>
        </w:rPr>
        <w:t>investments</w:t>
      </w:r>
      <w:r>
        <w:rPr>
          <w:color w:val="231F20"/>
          <w:spacing w:val="-6"/>
          <w:w w:val="115"/>
          <w:sz w:val="19"/>
        </w:rPr>
        <w:t> </w:t>
      </w:r>
      <w:r>
        <w:rPr>
          <w:color w:val="231F20"/>
          <w:w w:val="115"/>
          <w:sz w:val="19"/>
        </w:rPr>
        <w:t>necessary</w:t>
      </w:r>
      <w:r>
        <w:rPr>
          <w:color w:val="231F20"/>
          <w:spacing w:val="-6"/>
          <w:w w:val="115"/>
          <w:sz w:val="19"/>
        </w:rPr>
        <w:t> </w:t>
      </w:r>
      <w:r>
        <w:rPr>
          <w:color w:val="231F20"/>
          <w:w w:val="115"/>
          <w:sz w:val="19"/>
        </w:rPr>
        <w:t>to</w:t>
      </w:r>
      <w:r>
        <w:rPr>
          <w:color w:val="231F20"/>
          <w:spacing w:val="-6"/>
          <w:w w:val="115"/>
          <w:sz w:val="19"/>
        </w:rPr>
        <w:t> </w:t>
      </w:r>
      <w:r>
        <w:rPr>
          <w:color w:val="231F20"/>
          <w:w w:val="115"/>
          <w:sz w:val="19"/>
        </w:rPr>
        <w:t>replace</w:t>
      </w:r>
      <w:r>
        <w:rPr>
          <w:color w:val="231F20"/>
          <w:spacing w:val="-6"/>
          <w:w w:val="115"/>
          <w:sz w:val="19"/>
        </w:rPr>
        <w:t> </w:t>
      </w:r>
      <w:r>
        <w:rPr>
          <w:color w:val="231F20"/>
          <w:w w:val="115"/>
          <w:sz w:val="19"/>
        </w:rPr>
        <w:t>and</w:t>
      </w:r>
      <w:r>
        <w:rPr>
          <w:color w:val="231F20"/>
          <w:spacing w:val="-6"/>
          <w:w w:val="115"/>
          <w:sz w:val="19"/>
        </w:rPr>
        <w:t> </w:t>
      </w:r>
      <w:r>
        <w:rPr>
          <w:color w:val="231F20"/>
          <w:w w:val="115"/>
          <w:sz w:val="19"/>
        </w:rPr>
        <w:t>to</w:t>
      </w:r>
      <w:r>
        <w:rPr>
          <w:color w:val="231F20"/>
          <w:spacing w:val="-6"/>
          <w:w w:val="115"/>
          <w:sz w:val="19"/>
        </w:rPr>
        <w:t> </w:t>
      </w:r>
      <w:r>
        <w:rPr>
          <w:color w:val="231F20"/>
          <w:w w:val="115"/>
          <w:sz w:val="19"/>
        </w:rPr>
        <w:t>buy new property, plant, and equipment.</w:t>
      </w:r>
    </w:p>
    <w:p>
      <w:pPr>
        <w:pStyle w:val="ListParagraph"/>
        <w:numPr>
          <w:ilvl w:val="0"/>
          <w:numId w:val="37"/>
        </w:numPr>
        <w:tabs>
          <w:tab w:pos="1520" w:val="left" w:leader="none"/>
        </w:tabs>
        <w:spacing w:line="240" w:lineRule="auto" w:before="1" w:after="0"/>
        <w:ind w:left="1520" w:right="0" w:hanging="226"/>
        <w:jc w:val="left"/>
        <w:rPr>
          <w:sz w:val="19"/>
        </w:rPr>
      </w:pPr>
      <w:r>
        <w:rPr>
          <w:color w:val="231F20"/>
          <w:w w:val="115"/>
          <w:sz w:val="19"/>
        </w:rPr>
        <w:t>Analyze</w:t>
      </w:r>
      <w:r>
        <w:rPr>
          <w:color w:val="231F20"/>
          <w:spacing w:val="-14"/>
          <w:w w:val="115"/>
          <w:sz w:val="19"/>
        </w:rPr>
        <w:t> </w:t>
      </w:r>
      <w:r>
        <w:rPr>
          <w:color w:val="231F20"/>
          <w:w w:val="115"/>
          <w:sz w:val="19"/>
        </w:rPr>
        <w:t>the</w:t>
      </w:r>
      <w:r>
        <w:rPr>
          <w:color w:val="231F20"/>
          <w:spacing w:val="-13"/>
          <w:w w:val="115"/>
          <w:sz w:val="19"/>
        </w:rPr>
        <w:t> </w:t>
      </w:r>
      <w:r>
        <w:rPr>
          <w:color w:val="231F20"/>
          <w:w w:val="115"/>
          <w:sz w:val="19"/>
        </w:rPr>
        <w:t>capital</w:t>
      </w:r>
      <w:r>
        <w:rPr>
          <w:color w:val="231F20"/>
          <w:spacing w:val="-13"/>
          <w:w w:val="115"/>
          <w:sz w:val="19"/>
        </w:rPr>
        <w:t> </w:t>
      </w:r>
      <w:r>
        <w:rPr>
          <w:color w:val="231F20"/>
          <w:w w:val="115"/>
          <w:sz w:val="19"/>
        </w:rPr>
        <w:t>requirements</w:t>
      </w:r>
      <w:r>
        <w:rPr>
          <w:color w:val="231F20"/>
          <w:spacing w:val="-13"/>
          <w:w w:val="115"/>
          <w:sz w:val="19"/>
        </w:rPr>
        <w:t> </w:t>
      </w:r>
      <w:r>
        <w:rPr>
          <w:color w:val="231F20"/>
          <w:w w:val="115"/>
          <w:sz w:val="19"/>
        </w:rPr>
        <w:t>of</w:t>
      </w:r>
      <w:r>
        <w:rPr>
          <w:color w:val="231F20"/>
          <w:spacing w:val="-13"/>
          <w:w w:val="115"/>
          <w:sz w:val="19"/>
        </w:rPr>
        <w:t> </w:t>
      </w:r>
      <w:r>
        <w:rPr>
          <w:color w:val="231F20"/>
          <w:w w:val="115"/>
          <w:sz w:val="19"/>
        </w:rPr>
        <w:t>the</w:t>
      </w:r>
      <w:r>
        <w:rPr>
          <w:color w:val="231F20"/>
          <w:spacing w:val="-14"/>
          <w:w w:val="115"/>
          <w:sz w:val="19"/>
        </w:rPr>
        <w:t> </w:t>
      </w:r>
      <w:r>
        <w:rPr>
          <w:color w:val="231F20"/>
          <w:spacing w:val="-2"/>
          <w:w w:val="115"/>
          <w:sz w:val="19"/>
        </w:rPr>
        <w:t>firm.</w:t>
      </w:r>
    </w:p>
    <w:p>
      <w:pPr>
        <w:spacing w:before="81"/>
        <w:ind w:left="1519" w:right="0" w:firstLine="0"/>
        <w:jc w:val="left"/>
        <w:rPr>
          <w:rFonts w:ascii="Arial"/>
          <w:sz w:val="19"/>
        </w:rPr>
      </w:pPr>
      <w:r>
        <w:rPr>
          <w:rFonts w:ascii="Arial"/>
          <w:color w:val="231F20"/>
          <w:spacing w:val="-2"/>
          <w:w w:val="115"/>
          <w:sz w:val="19"/>
        </w:rPr>
        <w:t>Determine the</w:t>
      </w:r>
      <w:r>
        <w:rPr>
          <w:rFonts w:ascii="Arial"/>
          <w:color w:val="231F20"/>
          <w:spacing w:val="-1"/>
          <w:w w:val="115"/>
          <w:sz w:val="19"/>
        </w:rPr>
        <w:t> </w:t>
      </w:r>
      <w:r>
        <w:rPr>
          <w:rFonts w:ascii="Arial"/>
          <w:color w:val="231F20"/>
          <w:spacing w:val="-2"/>
          <w:w w:val="115"/>
          <w:sz w:val="19"/>
        </w:rPr>
        <w:t>corporate</w:t>
      </w:r>
      <w:r>
        <w:rPr>
          <w:rFonts w:ascii="Arial"/>
          <w:color w:val="231F20"/>
          <w:spacing w:val="-1"/>
          <w:w w:val="115"/>
          <w:sz w:val="19"/>
        </w:rPr>
        <w:t> </w:t>
      </w:r>
      <w:r>
        <w:rPr>
          <w:rFonts w:ascii="Arial"/>
          <w:color w:val="231F20"/>
          <w:spacing w:val="-2"/>
          <w:w w:val="115"/>
          <w:sz w:val="19"/>
        </w:rPr>
        <w:t>working</w:t>
      </w:r>
      <w:r>
        <w:rPr>
          <w:rFonts w:ascii="Arial"/>
          <w:color w:val="231F20"/>
          <w:spacing w:val="-1"/>
          <w:w w:val="115"/>
          <w:sz w:val="19"/>
        </w:rPr>
        <w:t> </w:t>
      </w:r>
      <w:r>
        <w:rPr>
          <w:rFonts w:ascii="Arial"/>
          <w:color w:val="231F20"/>
          <w:spacing w:val="-2"/>
          <w:w w:val="115"/>
          <w:sz w:val="19"/>
        </w:rPr>
        <w:t>capital requirements.</w:t>
      </w:r>
    </w:p>
    <w:p>
      <w:pPr>
        <w:pStyle w:val="ListParagraph"/>
        <w:numPr>
          <w:ilvl w:val="0"/>
          <w:numId w:val="37"/>
        </w:numPr>
        <w:tabs>
          <w:tab w:pos="1521" w:val="left" w:leader="none"/>
        </w:tabs>
        <w:spacing w:line="328" w:lineRule="auto" w:before="82" w:after="0"/>
        <w:ind w:left="1519" w:right="755" w:hanging="237"/>
        <w:jc w:val="left"/>
        <w:rPr>
          <w:sz w:val="19"/>
        </w:rPr>
      </w:pPr>
      <w:r>
        <w:rPr>
          <w:color w:val="231F20"/>
          <w:spacing w:val="-2"/>
          <w:w w:val="115"/>
          <w:sz w:val="19"/>
        </w:rPr>
        <w:t>Project</w:t>
      </w:r>
      <w:r>
        <w:rPr>
          <w:color w:val="231F20"/>
          <w:spacing w:val="-10"/>
          <w:w w:val="115"/>
          <w:sz w:val="19"/>
        </w:rPr>
        <w:t> </w:t>
      </w:r>
      <w:r>
        <w:rPr>
          <w:color w:val="231F20"/>
          <w:spacing w:val="-2"/>
          <w:w w:val="115"/>
          <w:sz w:val="19"/>
        </w:rPr>
        <w:t>the</w:t>
      </w:r>
      <w:r>
        <w:rPr>
          <w:color w:val="231F20"/>
          <w:spacing w:val="-10"/>
          <w:w w:val="115"/>
          <w:sz w:val="19"/>
        </w:rPr>
        <w:t> </w:t>
      </w:r>
      <w:r>
        <w:rPr>
          <w:color w:val="231F20"/>
          <w:spacing w:val="-2"/>
          <w:w w:val="115"/>
          <w:sz w:val="19"/>
        </w:rPr>
        <w:t>annual</w:t>
      </w:r>
      <w:r>
        <w:rPr>
          <w:color w:val="231F20"/>
          <w:spacing w:val="-10"/>
          <w:w w:val="115"/>
          <w:sz w:val="19"/>
        </w:rPr>
        <w:t> </w:t>
      </w:r>
      <w:r>
        <w:rPr>
          <w:color w:val="231F20"/>
          <w:spacing w:val="-2"/>
          <w:w w:val="115"/>
          <w:sz w:val="19"/>
        </w:rPr>
        <w:t>operating</w:t>
      </w:r>
      <w:r>
        <w:rPr>
          <w:color w:val="231F20"/>
          <w:spacing w:val="-10"/>
          <w:w w:val="115"/>
          <w:sz w:val="19"/>
        </w:rPr>
        <w:t> </w:t>
      </w:r>
      <w:r>
        <w:rPr>
          <w:color w:val="231F20"/>
          <w:spacing w:val="-2"/>
          <w:w w:val="115"/>
          <w:sz w:val="19"/>
        </w:rPr>
        <w:t>cash</w:t>
      </w:r>
      <w:r>
        <w:rPr>
          <w:color w:val="231F20"/>
          <w:spacing w:val="-10"/>
          <w:w w:val="115"/>
          <w:sz w:val="19"/>
        </w:rPr>
        <w:t> </w:t>
      </w:r>
      <w:r>
        <w:rPr>
          <w:color w:val="231F20"/>
          <w:spacing w:val="-2"/>
          <w:w w:val="115"/>
          <w:sz w:val="19"/>
        </w:rPr>
        <w:t>flows</w:t>
      </w:r>
      <w:r>
        <w:rPr>
          <w:color w:val="231F20"/>
          <w:spacing w:val="-10"/>
          <w:w w:val="115"/>
          <w:sz w:val="19"/>
        </w:rPr>
        <w:t> </w:t>
      </w:r>
      <w:r>
        <w:rPr>
          <w:color w:val="231F20"/>
          <w:spacing w:val="-2"/>
          <w:w w:val="115"/>
          <w:sz w:val="19"/>
        </w:rPr>
        <w:t>and</w:t>
      </w:r>
      <w:r>
        <w:rPr>
          <w:color w:val="231F20"/>
          <w:spacing w:val="-10"/>
          <w:w w:val="115"/>
          <w:sz w:val="19"/>
        </w:rPr>
        <w:t> </w:t>
      </w:r>
      <w:r>
        <w:rPr>
          <w:color w:val="231F20"/>
          <w:spacing w:val="-2"/>
          <w:w w:val="115"/>
          <w:sz w:val="19"/>
        </w:rPr>
        <w:t>terminal</w:t>
      </w:r>
      <w:r>
        <w:rPr>
          <w:color w:val="231F20"/>
          <w:spacing w:val="-10"/>
          <w:w w:val="115"/>
          <w:sz w:val="19"/>
        </w:rPr>
        <w:t> </w:t>
      </w:r>
      <w:r>
        <w:rPr>
          <w:color w:val="231F20"/>
          <w:spacing w:val="-2"/>
          <w:w w:val="115"/>
          <w:sz w:val="19"/>
        </w:rPr>
        <w:t>value </w:t>
      </w:r>
      <w:r>
        <w:rPr>
          <w:color w:val="231F20"/>
          <w:w w:val="115"/>
          <w:sz w:val="19"/>
        </w:rPr>
        <w:t>of the firm.</w:t>
      </w:r>
    </w:p>
    <w:p>
      <w:pPr>
        <w:pStyle w:val="ListParagraph"/>
        <w:numPr>
          <w:ilvl w:val="0"/>
          <w:numId w:val="37"/>
        </w:numPr>
        <w:tabs>
          <w:tab w:pos="1520" w:val="left" w:leader="none"/>
        </w:tabs>
        <w:spacing w:line="328" w:lineRule="auto" w:before="1" w:after="0"/>
        <w:ind w:left="1519" w:right="754" w:hanging="226"/>
        <w:jc w:val="left"/>
        <w:rPr>
          <w:sz w:val="19"/>
        </w:rPr>
      </w:pPr>
      <w:r>
        <w:rPr>
          <w:color w:val="231F20"/>
          <w:w w:val="115"/>
          <w:sz w:val="19"/>
        </w:rPr>
        <w:t>Calculate</w:t>
      </w:r>
      <w:r>
        <w:rPr>
          <w:color w:val="231F20"/>
          <w:w w:val="115"/>
          <w:sz w:val="19"/>
        </w:rPr>
        <w:t> the</w:t>
      </w:r>
      <w:r>
        <w:rPr>
          <w:color w:val="231F20"/>
          <w:w w:val="115"/>
          <w:sz w:val="19"/>
        </w:rPr>
        <w:t> NPV</w:t>
      </w:r>
      <w:r>
        <w:rPr>
          <w:color w:val="231F20"/>
          <w:w w:val="115"/>
          <w:sz w:val="19"/>
        </w:rPr>
        <w:t> of</w:t>
      </w:r>
      <w:r>
        <w:rPr>
          <w:color w:val="231F20"/>
          <w:w w:val="115"/>
          <w:sz w:val="19"/>
        </w:rPr>
        <w:t> those</w:t>
      </w:r>
      <w:r>
        <w:rPr>
          <w:color w:val="231F20"/>
          <w:w w:val="115"/>
          <w:sz w:val="19"/>
        </w:rPr>
        <w:t> cash</w:t>
      </w:r>
      <w:r>
        <w:rPr>
          <w:color w:val="231F20"/>
          <w:w w:val="115"/>
          <w:sz w:val="19"/>
        </w:rPr>
        <w:t> flows</w:t>
      </w:r>
      <w:r>
        <w:rPr>
          <w:color w:val="231F20"/>
          <w:w w:val="115"/>
          <w:sz w:val="19"/>
        </w:rPr>
        <w:t> to</w:t>
      </w:r>
      <w:r>
        <w:rPr>
          <w:color w:val="231F20"/>
          <w:w w:val="115"/>
          <w:sz w:val="19"/>
        </w:rPr>
        <w:t> calculate</w:t>
      </w:r>
      <w:r>
        <w:rPr>
          <w:color w:val="231F20"/>
          <w:w w:val="115"/>
          <w:sz w:val="19"/>
        </w:rPr>
        <w:t> the</w:t>
      </w:r>
      <w:r>
        <w:rPr>
          <w:color w:val="231F20"/>
          <w:spacing w:val="40"/>
          <w:w w:val="115"/>
          <w:sz w:val="19"/>
        </w:rPr>
        <w:t> </w:t>
      </w:r>
      <w:r>
        <w:rPr>
          <w:color w:val="231F20"/>
          <w:w w:val="115"/>
          <w:sz w:val="19"/>
        </w:rPr>
        <w:t>firm’s value.</w:t>
      </w:r>
    </w:p>
    <w:p>
      <w:pPr>
        <w:pStyle w:val="BodyText"/>
        <w:spacing w:before="4"/>
        <w:rPr>
          <w:rFonts w:ascii="Arial"/>
          <w:sz w:val="24"/>
        </w:rPr>
      </w:pPr>
    </w:p>
    <w:p>
      <w:pPr>
        <w:pStyle w:val="BodyText"/>
        <w:spacing w:line="292" w:lineRule="auto"/>
        <w:ind w:left="830" w:right="756" w:firstLine="340"/>
        <w:jc w:val="both"/>
      </w:pPr>
      <w:r>
        <w:rPr>
          <w:color w:val="231F20"/>
        </w:rPr>
        <w:t>MBAs use many techniques or approaches to value firms. </w:t>
      </w:r>
      <w:r>
        <w:rPr>
          <w:color w:val="231F20"/>
        </w:rPr>
        <w:t>With</w:t>
      </w:r>
      <w:r>
        <w:rPr>
          <w:color w:val="231F20"/>
          <w:spacing w:val="80"/>
        </w:rPr>
        <w:t> </w:t>
      </w:r>
      <w:r>
        <w:rPr>
          <w:color w:val="231F20"/>
        </w:rPr>
        <w:t>all the flair</w:t>
      </w:r>
      <w:r>
        <w:rPr>
          <w:color w:val="231F20"/>
          <w:spacing w:val="1"/>
        </w:rPr>
        <w:t> </w:t>
      </w:r>
      <w:r>
        <w:rPr>
          <w:color w:val="231F20"/>
        </w:rPr>
        <w:t>a marketer</w:t>
      </w:r>
      <w:r>
        <w:rPr>
          <w:color w:val="231F20"/>
          <w:spacing w:val="1"/>
        </w:rPr>
        <w:t> </w:t>
      </w:r>
      <w:r>
        <w:rPr>
          <w:color w:val="231F20"/>
        </w:rPr>
        <w:t>displays in</w:t>
      </w:r>
      <w:r>
        <w:rPr>
          <w:color w:val="231F20"/>
          <w:spacing w:val="1"/>
        </w:rPr>
        <w:t> </w:t>
      </w:r>
      <w:r>
        <w:rPr>
          <w:color w:val="231F20"/>
        </w:rPr>
        <w:t>putting together</w:t>
      </w:r>
      <w:r>
        <w:rPr>
          <w:color w:val="231F20"/>
          <w:spacing w:val="1"/>
        </w:rPr>
        <w:t> </w:t>
      </w:r>
      <w:r>
        <w:rPr>
          <w:color w:val="231F20"/>
        </w:rPr>
        <w:t>a marketing</w:t>
      </w:r>
      <w:r>
        <w:rPr>
          <w:color w:val="231F20"/>
          <w:spacing w:val="1"/>
        </w:rPr>
        <w:t> </w:t>
      </w:r>
      <w:r>
        <w:rPr>
          <w:color w:val="231F20"/>
          <w:spacing w:val="-2"/>
        </w:rPr>
        <w:t>strat-</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w w:val="105"/>
        </w:rPr>
        <w:t>egy, finance jocks show their stuff in M&amp;A valuations. The </w:t>
      </w:r>
      <w:r>
        <w:rPr>
          <w:color w:val="231F20"/>
          <w:w w:val="105"/>
        </w:rPr>
        <w:t>follow- </w:t>
      </w:r>
      <w:r>
        <w:rPr>
          <w:color w:val="231F20"/>
        </w:rPr>
        <w:t>ing</w:t>
      </w:r>
      <w:r>
        <w:rPr>
          <w:color w:val="231F20"/>
          <w:spacing w:val="4"/>
        </w:rPr>
        <w:t> </w:t>
      </w:r>
      <w:r>
        <w:rPr>
          <w:color w:val="231F20"/>
        </w:rPr>
        <w:t>is</w:t>
      </w:r>
      <w:r>
        <w:rPr>
          <w:color w:val="231F20"/>
          <w:spacing w:val="5"/>
        </w:rPr>
        <w:t> </w:t>
      </w:r>
      <w:r>
        <w:rPr>
          <w:color w:val="231F20"/>
        </w:rPr>
        <w:t>one</w:t>
      </w:r>
      <w:r>
        <w:rPr>
          <w:color w:val="231F20"/>
          <w:spacing w:val="5"/>
        </w:rPr>
        <w:t> </w:t>
      </w:r>
      <w:r>
        <w:rPr>
          <w:color w:val="231F20"/>
        </w:rPr>
        <w:t>popular</w:t>
      </w:r>
      <w:r>
        <w:rPr>
          <w:color w:val="231F20"/>
          <w:spacing w:val="4"/>
        </w:rPr>
        <w:t> </w:t>
      </w:r>
      <w:r>
        <w:rPr>
          <w:color w:val="231F20"/>
        </w:rPr>
        <w:t>method</w:t>
      </w:r>
      <w:r>
        <w:rPr>
          <w:color w:val="231F20"/>
          <w:spacing w:val="5"/>
        </w:rPr>
        <w:t> </w:t>
      </w:r>
      <w:r>
        <w:rPr>
          <w:color w:val="231F20"/>
        </w:rPr>
        <w:t>used</w:t>
      </w:r>
      <w:r>
        <w:rPr>
          <w:color w:val="231F20"/>
          <w:spacing w:val="5"/>
        </w:rPr>
        <w:t> </w:t>
      </w:r>
      <w:r>
        <w:rPr>
          <w:color w:val="231F20"/>
        </w:rPr>
        <w:t>by</w:t>
      </w:r>
      <w:r>
        <w:rPr>
          <w:color w:val="231F20"/>
          <w:spacing w:val="4"/>
        </w:rPr>
        <w:t> </w:t>
      </w:r>
      <w:r>
        <w:rPr>
          <w:color w:val="231F20"/>
        </w:rPr>
        <w:t>many</w:t>
      </w:r>
      <w:r>
        <w:rPr>
          <w:color w:val="231F20"/>
          <w:spacing w:val="5"/>
        </w:rPr>
        <w:t> </w:t>
      </w:r>
      <w:r>
        <w:rPr>
          <w:color w:val="231F20"/>
        </w:rPr>
        <w:t>in</w:t>
      </w:r>
      <w:r>
        <w:rPr>
          <w:color w:val="231F20"/>
          <w:spacing w:val="5"/>
        </w:rPr>
        <w:t> </w:t>
      </w:r>
      <w:r>
        <w:rPr>
          <w:color w:val="231F20"/>
        </w:rPr>
        <w:t>the</w:t>
      </w:r>
      <w:r>
        <w:rPr>
          <w:color w:val="231F20"/>
          <w:spacing w:val="4"/>
        </w:rPr>
        <w:t> </w:t>
      </w:r>
      <w:r>
        <w:rPr>
          <w:color w:val="231F20"/>
        </w:rPr>
        <w:t>financial</w:t>
      </w:r>
      <w:r>
        <w:rPr>
          <w:color w:val="231F20"/>
          <w:spacing w:val="5"/>
        </w:rPr>
        <w:t> </w:t>
      </w:r>
      <w:r>
        <w:rPr>
          <w:color w:val="231F20"/>
          <w:spacing w:val="-2"/>
        </w:rPr>
        <w:t>community.</w:t>
      </w:r>
    </w:p>
    <w:p>
      <w:pPr>
        <w:pStyle w:val="BodyText"/>
        <w:spacing w:before="3"/>
        <w:rPr>
          <w:sz w:val="32"/>
        </w:rPr>
      </w:pPr>
    </w:p>
    <w:p>
      <w:pPr>
        <w:spacing w:before="0"/>
        <w:ind w:left="474" w:right="219" w:firstLine="0"/>
        <w:jc w:val="center"/>
        <w:rPr>
          <w:b/>
          <w:sz w:val="20"/>
        </w:rPr>
      </w:pPr>
      <w:r>
        <w:rPr>
          <w:b/>
          <w:color w:val="231F20"/>
          <w:w w:val="110"/>
          <w:sz w:val="20"/>
        </w:rPr>
        <w:t>BOB’S</w:t>
      </w:r>
      <w:r>
        <w:rPr>
          <w:b/>
          <w:color w:val="231F20"/>
          <w:spacing w:val="57"/>
          <w:w w:val="110"/>
          <w:sz w:val="20"/>
        </w:rPr>
        <w:t> </w:t>
      </w:r>
      <w:r>
        <w:rPr>
          <w:b/>
          <w:color w:val="231F20"/>
          <w:w w:val="110"/>
          <w:sz w:val="20"/>
        </w:rPr>
        <w:t>MARKET,</w:t>
      </w:r>
      <w:r>
        <w:rPr>
          <w:b/>
          <w:color w:val="231F20"/>
          <w:spacing w:val="57"/>
          <w:w w:val="110"/>
          <w:sz w:val="20"/>
        </w:rPr>
        <w:t> </w:t>
      </w:r>
      <w:r>
        <w:rPr>
          <w:b/>
          <w:color w:val="231F20"/>
          <w:w w:val="110"/>
          <w:sz w:val="20"/>
        </w:rPr>
        <w:t>INCOME</w:t>
      </w:r>
      <w:r>
        <w:rPr>
          <w:b/>
          <w:color w:val="231F20"/>
          <w:spacing w:val="58"/>
          <w:w w:val="110"/>
          <w:sz w:val="20"/>
        </w:rPr>
        <w:t> </w:t>
      </w:r>
      <w:r>
        <w:rPr>
          <w:b/>
          <w:color w:val="231F20"/>
          <w:spacing w:val="-2"/>
          <w:w w:val="110"/>
          <w:sz w:val="20"/>
        </w:rPr>
        <w:t>STATEMENT</w:t>
      </w:r>
    </w:p>
    <w:p>
      <w:pPr>
        <w:spacing w:line="307" w:lineRule="auto" w:before="66"/>
        <w:ind w:left="1780" w:right="1523" w:firstLine="0"/>
        <w:jc w:val="center"/>
        <w:rPr>
          <w:b/>
          <w:sz w:val="20"/>
        </w:rPr>
      </w:pPr>
      <w:r>
        <w:rPr/>
        <w:pict>
          <v:shape style="position:absolute;margin-left:80pt;margin-top:34.3022pt;width:276.5pt;height:.1pt;mso-position-horizontal-relative:page;mso-position-vertical-relative:paragraph;z-index:-15579648;mso-wrap-distance-left:0;mso-wrap-distance-right:0" id="docshape392" coordorigin="1600,686" coordsize="5530,0" path="m1600,686l7130,686e" filled="false" stroked="true" strokeweight="1pt" strokecolor="#231f20">
            <v:path arrowok="t"/>
            <v:stroke dashstyle="solid"/>
            <w10:wrap type="topAndBottom"/>
          </v:shape>
        </w:pict>
      </w:r>
      <w:r>
        <w:rPr>
          <w:b/>
          <w:color w:val="231F20"/>
          <w:w w:val="110"/>
          <w:sz w:val="20"/>
        </w:rPr>
        <w:t>FOR THE YEAR ENDING DECEMBER 31, 2005</w:t>
      </w:r>
      <w:r>
        <w:rPr>
          <w:b/>
          <w:color w:val="231F20"/>
          <w:spacing w:val="80"/>
          <w:w w:val="110"/>
          <w:sz w:val="20"/>
        </w:rPr>
        <w:t> </w:t>
      </w:r>
      <w:r>
        <w:rPr>
          <w:b/>
          <w:color w:val="231F20"/>
          <w:w w:val="110"/>
          <w:sz w:val="20"/>
        </w:rPr>
        <w:t>(IN THOUSANDS)</w:t>
      </w:r>
    </w:p>
    <w:p>
      <w:pPr>
        <w:pStyle w:val="BodyText"/>
        <w:spacing w:before="7"/>
        <w:rPr>
          <w:b/>
          <w:sz w:val="19"/>
        </w:rPr>
      </w:pPr>
    </w:p>
    <w:tbl>
      <w:tblPr>
        <w:tblW w:w="0" w:type="auto"/>
        <w:jc w:val="left"/>
        <w:tblInd w:w="1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90"/>
        <w:gridCol w:w="559"/>
        <w:gridCol w:w="491"/>
        <w:gridCol w:w="780"/>
      </w:tblGrid>
      <w:tr>
        <w:trPr>
          <w:trHeight w:val="250" w:hRule="atLeast"/>
        </w:trPr>
        <w:tc>
          <w:tcPr>
            <w:tcW w:w="5620" w:type="dxa"/>
            <w:gridSpan w:val="4"/>
          </w:tcPr>
          <w:p>
            <w:pPr>
              <w:pStyle w:val="TableParagraph"/>
              <w:spacing w:line="205" w:lineRule="exact" w:before="0"/>
              <w:ind w:right="47"/>
              <w:jc w:val="right"/>
              <w:rPr>
                <w:b/>
                <w:i/>
                <w:sz w:val="18"/>
              </w:rPr>
            </w:pPr>
            <w:r>
              <w:rPr>
                <w:b/>
                <w:i/>
                <w:color w:val="231F20"/>
                <w:w w:val="105"/>
                <w:sz w:val="18"/>
              </w:rPr>
              <w:t>%</w:t>
            </w:r>
            <w:r>
              <w:rPr>
                <w:b/>
                <w:i/>
                <w:color w:val="231F20"/>
                <w:spacing w:val="-10"/>
                <w:w w:val="105"/>
                <w:sz w:val="18"/>
              </w:rPr>
              <w:t> </w:t>
            </w:r>
            <w:r>
              <w:rPr>
                <w:b/>
                <w:i/>
                <w:color w:val="231F20"/>
                <w:w w:val="105"/>
                <w:sz w:val="18"/>
              </w:rPr>
              <w:t>OF</w:t>
            </w:r>
            <w:r>
              <w:rPr>
                <w:b/>
                <w:i/>
                <w:color w:val="231F20"/>
                <w:spacing w:val="-9"/>
                <w:w w:val="105"/>
                <w:sz w:val="18"/>
              </w:rPr>
              <w:t> </w:t>
            </w:r>
            <w:r>
              <w:rPr>
                <w:b/>
                <w:i/>
                <w:color w:val="231F20"/>
                <w:spacing w:val="-4"/>
                <w:w w:val="105"/>
                <w:sz w:val="18"/>
              </w:rPr>
              <w:t>SALES</w:t>
            </w:r>
          </w:p>
        </w:tc>
      </w:tr>
      <w:tr>
        <w:trPr>
          <w:trHeight w:val="299" w:hRule="atLeast"/>
        </w:trPr>
        <w:tc>
          <w:tcPr>
            <w:tcW w:w="3790" w:type="dxa"/>
          </w:tcPr>
          <w:p>
            <w:pPr>
              <w:pStyle w:val="TableParagraph"/>
              <w:spacing w:before="43"/>
              <w:ind w:left="50"/>
              <w:jc w:val="left"/>
              <w:rPr>
                <w:sz w:val="18"/>
              </w:rPr>
            </w:pPr>
            <w:r>
              <w:rPr>
                <w:color w:val="231F20"/>
                <w:spacing w:val="-2"/>
                <w:sz w:val="18"/>
              </w:rPr>
              <w:t>Sales</w:t>
            </w:r>
          </w:p>
        </w:tc>
        <w:tc>
          <w:tcPr>
            <w:tcW w:w="559" w:type="dxa"/>
          </w:tcPr>
          <w:p>
            <w:pPr>
              <w:pStyle w:val="TableParagraph"/>
              <w:spacing w:before="43"/>
              <w:ind w:right="6"/>
              <w:jc w:val="right"/>
              <w:rPr>
                <w:sz w:val="18"/>
              </w:rPr>
            </w:pPr>
            <w:r>
              <w:rPr>
                <w:color w:val="231F20"/>
                <w:spacing w:val="-2"/>
                <w:w w:val="105"/>
                <w:sz w:val="18"/>
              </w:rPr>
              <w:t>$5,200</w:t>
            </w:r>
          </w:p>
        </w:tc>
        <w:tc>
          <w:tcPr>
            <w:tcW w:w="491" w:type="dxa"/>
          </w:tcPr>
          <w:p>
            <w:pPr>
              <w:pStyle w:val="TableParagraph"/>
              <w:spacing w:before="0"/>
              <w:jc w:val="left"/>
              <w:rPr>
                <w:rFonts w:ascii="Times New Roman"/>
                <w:sz w:val="20"/>
              </w:rPr>
            </w:pPr>
          </w:p>
        </w:tc>
        <w:tc>
          <w:tcPr>
            <w:tcW w:w="780" w:type="dxa"/>
          </w:tcPr>
          <w:p>
            <w:pPr>
              <w:pStyle w:val="TableParagraph"/>
              <w:spacing w:before="43"/>
              <w:jc w:val="left"/>
              <w:rPr>
                <w:sz w:val="18"/>
              </w:rPr>
            </w:pPr>
            <w:r>
              <w:rPr>
                <w:color w:val="231F20"/>
                <w:spacing w:val="-4"/>
                <w:w w:val="105"/>
                <w:sz w:val="18"/>
              </w:rPr>
              <w:t>100%</w:t>
            </w:r>
          </w:p>
        </w:tc>
      </w:tr>
      <w:tr>
        <w:trPr>
          <w:trHeight w:val="294" w:hRule="atLeast"/>
        </w:trPr>
        <w:tc>
          <w:tcPr>
            <w:tcW w:w="3790" w:type="dxa"/>
          </w:tcPr>
          <w:p>
            <w:pPr>
              <w:pStyle w:val="TableParagraph"/>
              <w:spacing w:before="43"/>
              <w:ind w:left="50"/>
              <w:jc w:val="left"/>
              <w:rPr>
                <w:sz w:val="18"/>
              </w:rPr>
            </w:pPr>
            <w:r>
              <w:rPr>
                <w:color w:val="231F20"/>
                <w:w w:val="105"/>
                <w:sz w:val="18"/>
              </w:rPr>
              <w:t>Cost</w:t>
            </w:r>
            <w:r>
              <w:rPr>
                <w:color w:val="231F20"/>
                <w:spacing w:val="12"/>
                <w:w w:val="105"/>
                <w:sz w:val="18"/>
              </w:rPr>
              <w:t> </w:t>
            </w:r>
            <w:r>
              <w:rPr>
                <w:color w:val="231F20"/>
                <w:w w:val="105"/>
                <w:sz w:val="18"/>
              </w:rPr>
              <w:t>of</w:t>
            </w:r>
            <w:r>
              <w:rPr>
                <w:color w:val="231F20"/>
                <w:spacing w:val="12"/>
                <w:w w:val="105"/>
                <w:sz w:val="18"/>
              </w:rPr>
              <w:t> </w:t>
            </w:r>
            <w:r>
              <w:rPr>
                <w:color w:val="231F20"/>
                <w:w w:val="105"/>
                <w:sz w:val="18"/>
              </w:rPr>
              <w:t>Goods</w:t>
            </w:r>
            <w:r>
              <w:rPr>
                <w:color w:val="231F20"/>
                <w:spacing w:val="13"/>
                <w:w w:val="105"/>
                <w:sz w:val="18"/>
              </w:rPr>
              <w:t> </w:t>
            </w:r>
            <w:r>
              <w:rPr>
                <w:color w:val="231F20"/>
                <w:spacing w:val="-4"/>
                <w:w w:val="105"/>
                <w:sz w:val="18"/>
              </w:rPr>
              <w:t>Sold</w:t>
            </w:r>
          </w:p>
        </w:tc>
        <w:tc>
          <w:tcPr>
            <w:tcW w:w="559" w:type="dxa"/>
            <w:tcBorders>
              <w:bottom w:val="single" w:sz="4" w:space="0" w:color="231F20"/>
            </w:tcBorders>
          </w:tcPr>
          <w:p>
            <w:pPr>
              <w:pStyle w:val="TableParagraph"/>
              <w:spacing w:before="43"/>
              <w:ind w:right="16"/>
              <w:jc w:val="right"/>
              <w:rPr>
                <w:sz w:val="18"/>
              </w:rPr>
            </w:pPr>
            <w:r>
              <w:rPr>
                <w:color w:val="231F20"/>
                <w:spacing w:val="-2"/>
                <w:w w:val="105"/>
                <w:sz w:val="18"/>
              </w:rPr>
              <w:t>3,900</w:t>
            </w:r>
          </w:p>
        </w:tc>
        <w:tc>
          <w:tcPr>
            <w:tcW w:w="491" w:type="dxa"/>
          </w:tcPr>
          <w:p>
            <w:pPr>
              <w:pStyle w:val="TableParagraph"/>
              <w:spacing w:before="0"/>
              <w:jc w:val="left"/>
              <w:rPr>
                <w:rFonts w:ascii="Times New Roman"/>
                <w:sz w:val="20"/>
              </w:rPr>
            </w:pPr>
          </w:p>
        </w:tc>
        <w:tc>
          <w:tcPr>
            <w:tcW w:w="780" w:type="dxa"/>
          </w:tcPr>
          <w:p>
            <w:pPr>
              <w:pStyle w:val="TableParagraph"/>
              <w:spacing w:before="43"/>
              <w:ind w:left="90"/>
              <w:jc w:val="left"/>
              <w:rPr>
                <w:sz w:val="18"/>
              </w:rPr>
            </w:pPr>
            <w:r>
              <w:rPr>
                <w:color w:val="231F20"/>
                <w:spacing w:val="-5"/>
                <w:sz w:val="18"/>
              </w:rPr>
              <w:t>75</w:t>
            </w:r>
          </w:p>
        </w:tc>
      </w:tr>
      <w:tr>
        <w:trPr>
          <w:trHeight w:val="295" w:hRule="atLeast"/>
        </w:trPr>
        <w:tc>
          <w:tcPr>
            <w:tcW w:w="3790" w:type="dxa"/>
          </w:tcPr>
          <w:p>
            <w:pPr>
              <w:pStyle w:val="TableParagraph"/>
              <w:spacing w:before="39"/>
              <w:ind w:left="50"/>
              <w:jc w:val="left"/>
              <w:rPr>
                <w:sz w:val="18"/>
              </w:rPr>
            </w:pPr>
            <w:r>
              <w:rPr>
                <w:color w:val="231F20"/>
                <w:w w:val="105"/>
                <w:sz w:val="18"/>
              </w:rPr>
              <w:t>Gross</w:t>
            </w:r>
            <w:r>
              <w:rPr>
                <w:color w:val="231F20"/>
                <w:spacing w:val="-1"/>
                <w:w w:val="105"/>
                <w:sz w:val="18"/>
              </w:rPr>
              <w:t> </w:t>
            </w:r>
            <w:r>
              <w:rPr>
                <w:color w:val="231F20"/>
                <w:spacing w:val="-2"/>
                <w:w w:val="105"/>
                <w:sz w:val="18"/>
              </w:rPr>
              <w:t>Margin</w:t>
            </w:r>
          </w:p>
        </w:tc>
        <w:tc>
          <w:tcPr>
            <w:tcW w:w="559" w:type="dxa"/>
            <w:tcBorders>
              <w:top w:val="single" w:sz="4" w:space="0" w:color="231F20"/>
            </w:tcBorders>
          </w:tcPr>
          <w:p>
            <w:pPr>
              <w:pStyle w:val="TableParagraph"/>
              <w:spacing w:before="39"/>
              <w:ind w:right="6"/>
              <w:jc w:val="right"/>
              <w:rPr>
                <w:sz w:val="18"/>
              </w:rPr>
            </w:pPr>
            <w:r>
              <w:rPr>
                <w:color w:val="231F20"/>
                <w:spacing w:val="-2"/>
                <w:w w:val="105"/>
                <w:sz w:val="18"/>
              </w:rPr>
              <w:t>$1,300</w:t>
            </w:r>
          </w:p>
        </w:tc>
        <w:tc>
          <w:tcPr>
            <w:tcW w:w="491" w:type="dxa"/>
          </w:tcPr>
          <w:p>
            <w:pPr>
              <w:pStyle w:val="TableParagraph"/>
              <w:spacing w:before="0"/>
              <w:jc w:val="left"/>
              <w:rPr>
                <w:rFonts w:ascii="Times New Roman"/>
                <w:sz w:val="20"/>
              </w:rPr>
            </w:pPr>
          </w:p>
        </w:tc>
        <w:tc>
          <w:tcPr>
            <w:tcW w:w="780" w:type="dxa"/>
          </w:tcPr>
          <w:p>
            <w:pPr>
              <w:pStyle w:val="TableParagraph"/>
              <w:spacing w:line="20" w:lineRule="exact" w:before="0"/>
              <w:ind w:left="10"/>
              <w:jc w:val="left"/>
              <w:rPr>
                <w:sz w:val="2"/>
              </w:rPr>
            </w:pPr>
            <w:r>
              <w:rPr>
                <w:sz w:val="2"/>
              </w:rPr>
              <w:pict>
                <v:group style="width:22pt;height:.5pt;mso-position-horizontal-relative:char;mso-position-vertical-relative:line" id="docshapegroup393" coordorigin="0,0" coordsize="440,10">
                  <v:line style="position:absolute" from="0,5" to="440,5" stroked="true" strokeweight=".5pt" strokecolor="#231f20">
                    <v:stroke dashstyle="solid"/>
                  </v:line>
                </v:group>
              </w:pict>
            </w:r>
            <w:r>
              <w:rPr>
                <w:sz w:val="2"/>
              </w:rPr>
            </w:r>
          </w:p>
          <w:p>
            <w:pPr>
              <w:pStyle w:val="TableParagraph"/>
              <w:spacing w:before="19"/>
              <w:ind w:right="307"/>
              <w:jc w:val="right"/>
              <w:rPr>
                <w:sz w:val="18"/>
              </w:rPr>
            </w:pPr>
            <w:r>
              <w:rPr>
                <w:color w:val="231F20"/>
                <w:spacing w:val="-5"/>
                <w:w w:val="105"/>
                <w:sz w:val="18"/>
              </w:rPr>
              <w:t>25%</w:t>
            </w:r>
          </w:p>
        </w:tc>
      </w:tr>
      <w:tr>
        <w:trPr>
          <w:trHeight w:val="294" w:hRule="atLeast"/>
        </w:trPr>
        <w:tc>
          <w:tcPr>
            <w:tcW w:w="3790" w:type="dxa"/>
          </w:tcPr>
          <w:p>
            <w:pPr>
              <w:pStyle w:val="TableParagraph"/>
              <w:spacing w:before="43"/>
              <w:ind w:left="50"/>
              <w:jc w:val="left"/>
              <w:rPr>
                <w:sz w:val="18"/>
              </w:rPr>
            </w:pPr>
            <w:r>
              <w:rPr>
                <w:color w:val="231F20"/>
                <w:sz w:val="18"/>
              </w:rPr>
              <w:t>Selling,</w:t>
            </w:r>
            <w:r>
              <w:rPr>
                <w:color w:val="231F20"/>
                <w:spacing w:val="14"/>
                <w:sz w:val="18"/>
              </w:rPr>
              <w:t> </w:t>
            </w:r>
            <w:r>
              <w:rPr>
                <w:color w:val="231F20"/>
                <w:sz w:val="18"/>
              </w:rPr>
              <w:t>General,</w:t>
            </w:r>
            <w:r>
              <w:rPr>
                <w:color w:val="231F20"/>
                <w:spacing w:val="15"/>
                <w:sz w:val="18"/>
              </w:rPr>
              <w:t> </w:t>
            </w:r>
            <w:r>
              <w:rPr>
                <w:color w:val="231F20"/>
                <w:sz w:val="18"/>
              </w:rPr>
              <w:t>and</w:t>
            </w:r>
            <w:r>
              <w:rPr>
                <w:color w:val="231F20"/>
                <w:spacing w:val="15"/>
                <w:sz w:val="18"/>
              </w:rPr>
              <w:t> </w:t>
            </w:r>
            <w:r>
              <w:rPr>
                <w:color w:val="231F20"/>
                <w:sz w:val="18"/>
              </w:rPr>
              <w:t>Administrative</w:t>
            </w:r>
            <w:r>
              <w:rPr>
                <w:color w:val="231F20"/>
                <w:spacing w:val="15"/>
                <w:sz w:val="18"/>
              </w:rPr>
              <w:t> </w:t>
            </w:r>
            <w:r>
              <w:rPr>
                <w:color w:val="231F20"/>
                <w:spacing w:val="-2"/>
                <w:sz w:val="18"/>
              </w:rPr>
              <w:t>(SG&amp;A)</w:t>
            </w:r>
          </w:p>
        </w:tc>
        <w:tc>
          <w:tcPr>
            <w:tcW w:w="559" w:type="dxa"/>
            <w:tcBorders>
              <w:bottom w:val="single" w:sz="4" w:space="0" w:color="231F20"/>
            </w:tcBorders>
          </w:tcPr>
          <w:p>
            <w:pPr>
              <w:pStyle w:val="TableParagraph"/>
              <w:spacing w:before="43"/>
              <w:ind w:right="-15"/>
              <w:jc w:val="right"/>
              <w:rPr>
                <w:sz w:val="18"/>
              </w:rPr>
            </w:pPr>
            <w:r>
              <w:rPr>
                <w:color w:val="231F20"/>
                <w:spacing w:val="-2"/>
                <w:w w:val="105"/>
                <w:sz w:val="18"/>
              </w:rPr>
              <w:t>1,248</w:t>
            </w:r>
          </w:p>
        </w:tc>
        <w:tc>
          <w:tcPr>
            <w:tcW w:w="491" w:type="dxa"/>
          </w:tcPr>
          <w:p>
            <w:pPr>
              <w:pStyle w:val="TableParagraph"/>
              <w:spacing w:before="0"/>
              <w:jc w:val="left"/>
              <w:rPr>
                <w:rFonts w:ascii="Times New Roman"/>
                <w:sz w:val="20"/>
              </w:rPr>
            </w:pPr>
          </w:p>
        </w:tc>
        <w:tc>
          <w:tcPr>
            <w:tcW w:w="780" w:type="dxa"/>
          </w:tcPr>
          <w:p>
            <w:pPr>
              <w:pStyle w:val="TableParagraph"/>
              <w:spacing w:before="43"/>
              <w:ind w:right="306"/>
              <w:jc w:val="right"/>
              <w:rPr>
                <w:sz w:val="18"/>
              </w:rPr>
            </w:pPr>
            <w:r>
              <w:rPr>
                <w:color w:val="231F20"/>
                <w:spacing w:val="-5"/>
                <w:w w:val="105"/>
                <w:sz w:val="18"/>
              </w:rPr>
              <w:t>24%</w:t>
            </w:r>
          </w:p>
        </w:tc>
      </w:tr>
      <w:tr>
        <w:trPr>
          <w:trHeight w:val="295" w:hRule="atLeast"/>
        </w:trPr>
        <w:tc>
          <w:tcPr>
            <w:tcW w:w="3790" w:type="dxa"/>
          </w:tcPr>
          <w:p>
            <w:pPr>
              <w:pStyle w:val="TableParagraph"/>
              <w:spacing w:before="39"/>
              <w:ind w:left="50"/>
              <w:jc w:val="left"/>
              <w:rPr>
                <w:sz w:val="18"/>
              </w:rPr>
            </w:pPr>
            <w:r>
              <w:rPr>
                <w:color w:val="231F20"/>
                <w:sz w:val="18"/>
              </w:rPr>
              <w:t>Operating</w:t>
            </w:r>
            <w:r>
              <w:rPr>
                <w:color w:val="231F20"/>
                <w:spacing w:val="25"/>
                <w:sz w:val="18"/>
              </w:rPr>
              <w:t> </w:t>
            </w:r>
            <w:r>
              <w:rPr>
                <w:color w:val="231F20"/>
                <w:spacing w:val="-2"/>
                <w:sz w:val="18"/>
              </w:rPr>
              <w:t>Income</w:t>
            </w:r>
          </w:p>
        </w:tc>
        <w:tc>
          <w:tcPr>
            <w:tcW w:w="559" w:type="dxa"/>
            <w:tcBorders>
              <w:top w:val="single" w:sz="4" w:space="0" w:color="231F20"/>
            </w:tcBorders>
          </w:tcPr>
          <w:p>
            <w:pPr>
              <w:pStyle w:val="TableParagraph"/>
              <w:spacing w:before="39"/>
              <w:ind w:right="31"/>
              <w:jc w:val="right"/>
              <w:rPr>
                <w:sz w:val="18"/>
              </w:rPr>
            </w:pPr>
            <w:r>
              <w:rPr>
                <w:color w:val="231F20"/>
                <w:spacing w:val="-5"/>
                <w:w w:val="105"/>
                <w:sz w:val="18"/>
              </w:rPr>
              <w:t>$52</w:t>
            </w:r>
          </w:p>
        </w:tc>
        <w:tc>
          <w:tcPr>
            <w:tcW w:w="491" w:type="dxa"/>
          </w:tcPr>
          <w:p>
            <w:pPr>
              <w:pStyle w:val="TableParagraph"/>
              <w:spacing w:before="0"/>
              <w:jc w:val="left"/>
              <w:rPr>
                <w:rFonts w:ascii="Times New Roman"/>
                <w:sz w:val="20"/>
              </w:rPr>
            </w:pPr>
          </w:p>
        </w:tc>
        <w:tc>
          <w:tcPr>
            <w:tcW w:w="780" w:type="dxa"/>
          </w:tcPr>
          <w:p>
            <w:pPr>
              <w:pStyle w:val="TableParagraph"/>
              <w:spacing w:before="0"/>
              <w:jc w:val="left"/>
              <w:rPr>
                <w:rFonts w:ascii="Times New Roman"/>
                <w:sz w:val="20"/>
              </w:rPr>
            </w:pPr>
          </w:p>
        </w:tc>
      </w:tr>
      <w:tr>
        <w:trPr>
          <w:trHeight w:val="294" w:hRule="atLeast"/>
        </w:trPr>
        <w:tc>
          <w:tcPr>
            <w:tcW w:w="3790" w:type="dxa"/>
          </w:tcPr>
          <w:p>
            <w:pPr>
              <w:pStyle w:val="TableParagraph"/>
              <w:spacing w:before="43"/>
              <w:ind w:left="50"/>
              <w:jc w:val="left"/>
              <w:rPr>
                <w:sz w:val="18"/>
              </w:rPr>
            </w:pPr>
            <w:r>
              <w:rPr>
                <w:color w:val="231F20"/>
                <w:sz w:val="18"/>
              </w:rPr>
              <w:t>Add</w:t>
            </w:r>
            <w:r>
              <w:rPr>
                <w:color w:val="231F20"/>
                <w:spacing w:val="12"/>
                <w:sz w:val="18"/>
              </w:rPr>
              <w:t> </w:t>
            </w:r>
            <w:r>
              <w:rPr>
                <w:color w:val="231F20"/>
                <w:sz w:val="18"/>
              </w:rPr>
              <w:t>Back:</w:t>
            </w:r>
            <w:r>
              <w:rPr>
                <w:color w:val="231F20"/>
                <w:spacing w:val="12"/>
                <w:sz w:val="18"/>
              </w:rPr>
              <w:t> </w:t>
            </w:r>
            <w:r>
              <w:rPr>
                <w:color w:val="231F20"/>
                <w:sz w:val="18"/>
              </w:rPr>
              <w:t>Depreciation</w:t>
            </w:r>
            <w:r>
              <w:rPr>
                <w:color w:val="231F20"/>
                <w:spacing w:val="12"/>
                <w:sz w:val="18"/>
              </w:rPr>
              <w:t> </w:t>
            </w:r>
            <w:r>
              <w:rPr>
                <w:color w:val="231F20"/>
                <w:sz w:val="18"/>
              </w:rPr>
              <w:t>(not</w:t>
            </w:r>
            <w:r>
              <w:rPr>
                <w:color w:val="231F20"/>
                <w:spacing w:val="12"/>
                <w:sz w:val="18"/>
              </w:rPr>
              <w:t> </w:t>
            </w:r>
            <w:r>
              <w:rPr>
                <w:color w:val="231F20"/>
                <w:sz w:val="18"/>
              </w:rPr>
              <w:t>a</w:t>
            </w:r>
            <w:r>
              <w:rPr>
                <w:color w:val="231F20"/>
                <w:spacing w:val="12"/>
                <w:sz w:val="18"/>
              </w:rPr>
              <w:t> </w:t>
            </w:r>
            <w:r>
              <w:rPr>
                <w:color w:val="231F20"/>
                <w:sz w:val="18"/>
              </w:rPr>
              <w:t>cash</w:t>
            </w:r>
            <w:r>
              <w:rPr>
                <w:color w:val="231F20"/>
                <w:spacing w:val="12"/>
                <w:sz w:val="18"/>
              </w:rPr>
              <w:t> </w:t>
            </w:r>
            <w:r>
              <w:rPr>
                <w:color w:val="231F20"/>
                <w:spacing w:val="-4"/>
                <w:sz w:val="18"/>
              </w:rPr>
              <w:t>use)</w:t>
            </w:r>
          </w:p>
        </w:tc>
        <w:tc>
          <w:tcPr>
            <w:tcW w:w="559" w:type="dxa"/>
            <w:tcBorders>
              <w:bottom w:val="single" w:sz="4" w:space="0" w:color="231F20"/>
            </w:tcBorders>
          </w:tcPr>
          <w:p>
            <w:pPr>
              <w:pStyle w:val="TableParagraph"/>
              <w:spacing w:before="43"/>
              <w:ind w:right="6"/>
              <w:jc w:val="right"/>
              <w:rPr>
                <w:sz w:val="18"/>
              </w:rPr>
            </w:pPr>
            <w:r>
              <w:rPr>
                <w:color w:val="231F20"/>
                <w:w w:val="100"/>
                <w:sz w:val="18"/>
              </w:rPr>
              <w:t>3</w:t>
            </w:r>
          </w:p>
        </w:tc>
        <w:tc>
          <w:tcPr>
            <w:tcW w:w="491" w:type="dxa"/>
          </w:tcPr>
          <w:p>
            <w:pPr>
              <w:pStyle w:val="TableParagraph"/>
              <w:spacing w:before="0"/>
              <w:jc w:val="left"/>
              <w:rPr>
                <w:rFonts w:ascii="Times New Roman"/>
                <w:sz w:val="20"/>
              </w:rPr>
            </w:pPr>
          </w:p>
        </w:tc>
        <w:tc>
          <w:tcPr>
            <w:tcW w:w="780" w:type="dxa"/>
          </w:tcPr>
          <w:p>
            <w:pPr>
              <w:pStyle w:val="TableParagraph"/>
              <w:spacing w:before="0"/>
              <w:jc w:val="left"/>
              <w:rPr>
                <w:rFonts w:ascii="Times New Roman"/>
                <w:sz w:val="20"/>
              </w:rPr>
            </w:pPr>
          </w:p>
        </w:tc>
      </w:tr>
      <w:tr>
        <w:trPr>
          <w:trHeight w:val="295" w:hRule="atLeast"/>
        </w:trPr>
        <w:tc>
          <w:tcPr>
            <w:tcW w:w="3790" w:type="dxa"/>
          </w:tcPr>
          <w:p>
            <w:pPr>
              <w:pStyle w:val="TableParagraph"/>
              <w:spacing w:before="39"/>
              <w:ind w:left="50"/>
              <w:jc w:val="left"/>
              <w:rPr>
                <w:sz w:val="18"/>
              </w:rPr>
            </w:pPr>
            <w:r>
              <w:rPr>
                <w:color w:val="231F20"/>
                <w:w w:val="105"/>
                <w:sz w:val="18"/>
              </w:rPr>
              <w:t>“Free</w:t>
            </w:r>
            <w:r>
              <w:rPr>
                <w:color w:val="231F20"/>
                <w:spacing w:val="5"/>
                <w:w w:val="105"/>
                <w:sz w:val="18"/>
              </w:rPr>
              <w:t> </w:t>
            </w:r>
            <w:r>
              <w:rPr>
                <w:color w:val="231F20"/>
                <w:w w:val="105"/>
                <w:sz w:val="18"/>
              </w:rPr>
              <w:t>Cash</w:t>
            </w:r>
            <w:r>
              <w:rPr>
                <w:color w:val="231F20"/>
                <w:spacing w:val="6"/>
                <w:w w:val="105"/>
                <w:sz w:val="18"/>
              </w:rPr>
              <w:t> </w:t>
            </w:r>
            <w:r>
              <w:rPr>
                <w:color w:val="231F20"/>
                <w:spacing w:val="-2"/>
                <w:w w:val="105"/>
                <w:sz w:val="18"/>
              </w:rPr>
              <w:t>Flow”</w:t>
            </w:r>
          </w:p>
        </w:tc>
        <w:tc>
          <w:tcPr>
            <w:tcW w:w="559" w:type="dxa"/>
            <w:tcBorders>
              <w:top w:val="single" w:sz="4" w:space="0" w:color="231F20"/>
            </w:tcBorders>
          </w:tcPr>
          <w:p>
            <w:pPr>
              <w:pStyle w:val="TableParagraph"/>
              <w:spacing w:before="0"/>
              <w:jc w:val="left"/>
              <w:rPr>
                <w:rFonts w:ascii="Times New Roman"/>
                <w:sz w:val="20"/>
              </w:rPr>
            </w:pPr>
          </w:p>
        </w:tc>
        <w:tc>
          <w:tcPr>
            <w:tcW w:w="491" w:type="dxa"/>
          </w:tcPr>
          <w:p>
            <w:pPr>
              <w:pStyle w:val="TableParagraph"/>
              <w:spacing w:before="0"/>
              <w:jc w:val="left"/>
              <w:rPr>
                <w:rFonts w:ascii="Times New Roman"/>
                <w:sz w:val="20"/>
              </w:rPr>
            </w:pPr>
          </w:p>
        </w:tc>
        <w:tc>
          <w:tcPr>
            <w:tcW w:w="780" w:type="dxa"/>
          </w:tcPr>
          <w:p>
            <w:pPr>
              <w:pStyle w:val="TableParagraph"/>
              <w:spacing w:before="0"/>
              <w:jc w:val="left"/>
              <w:rPr>
                <w:rFonts w:ascii="Times New Roman"/>
                <w:sz w:val="20"/>
              </w:rPr>
            </w:pPr>
          </w:p>
        </w:tc>
      </w:tr>
      <w:tr>
        <w:trPr>
          <w:trHeight w:val="294" w:hRule="atLeast"/>
        </w:trPr>
        <w:tc>
          <w:tcPr>
            <w:tcW w:w="3790" w:type="dxa"/>
          </w:tcPr>
          <w:p>
            <w:pPr>
              <w:pStyle w:val="TableParagraph"/>
              <w:spacing w:before="43"/>
              <w:ind w:left="50"/>
              <w:jc w:val="left"/>
              <w:rPr>
                <w:sz w:val="18"/>
              </w:rPr>
            </w:pPr>
            <w:r>
              <w:rPr>
                <w:color w:val="231F20"/>
                <w:sz w:val="18"/>
              </w:rPr>
              <w:t>Earnings</w:t>
            </w:r>
            <w:r>
              <w:rPr>
                <w:color w:val="231F20"/>
                <w:spacing w:val="-2"/>
                <w:sz w:val="18"/>
              </w:rPr>
              <w:t> </w:t>
            </w:r>
            <w:r>
              <w:rPr>
                <w:color w:val="231F20"/>
                <w:sz w:val="18"/>
              </w:rPr>
              <w:t>Before</w:t>
            </w:r>
            <w:r>
              <w:rPr>
                <w:color w:val="231F20"/>
                <w:spacing w:val="-2"/>
                <w:sz w:val="18"/>
              </w:rPr>
              <w:t> </w:t>
            </w:r>
            <w:r>
              <w:rPr>
                <w:color w:val="231F20"/>
                <w:sz w:val="18"/>
              </w:rPr>
              <w:t>Interest</w:t>
            </w:r>
            <w:r>
              <w:rPr>
                <w:color w:val="231F20"/>
                <w:spacing w:val="-2"/>
                <w:sz w:val="18"/>
              </w:rPr>
              <w:t> </w:t>
            </w:r>
            <w:r>
              <w:rPr>
                <w:color w:val="231F20"/>
                <w:sz w:val="18"/>
              </w:rPr>
              <w:t>and</w:t>
            </w:r>
            <w:r>
              <w:rPr>
                <w:color w:val="231F20"/>
                <w:spacing w:val="-2"/>
                <w:sz w:val="18"/>
              </w:rPr>
              <w:t> </w:t>
            </w:r>
            <w:r>
              <w:rPr>
                <w:color w:val="231F20"/>
                <w:sz w:val="18"/>
              </w:rPr>
              <w:t>Taxes</w:t>
            </w:r>
            <w:r>
              <w:rPr>
                <w:color w:val="231F20"/>
                <w:spacing w:val="-2"/>
                <w:sz w:val="18"/>
              </w:rPr>
              <w:t> (EBIT)</w:t>
            </w:r>
          </w:p>
        </w:tc>
        <w:tc>
          <w:tcPr>
            <w:tcW w:w="559" w:type="dxa"/>
            <w:tcBorders>
              <w:bottom w:val="single" w:sz="4" w:space="0" w:color="231F20"/>
            </w:tcBorders>
          </w:tcPr>
          <w:p>
            <w:pPr>
              <w:pStyle w:val="TableParagraph"/>
              <w:spacing w:before="43"/>
              <w:ind w:right="12"/>
              <w:jc w:val="right"/>
              <w:rPr>
                <w:sz w:val="18"/>
              </w:rPr>
            </w:pPr>
            <w:r>
              <w:rPr>
                <w:color w:val="231F20"/>
                <w:spacing w:val="-5"/>
                <w:w w:val="105"/>
                <w:sz w:val="18"/>
              </w:rPr>
              <w:t>$55</w:t>
            </w:r>
          </w:p>
        </w:tc>
        <w:tc>
          <w:tcPr>
            <w:tcW w:w="491" w:type="dxa"/>
          </w:tcPr>
          <w:p>
            <w:pPr>
              <w:pStyle w:val="TableParagraph"/>
              <w:spacing w:before="0"/>
              <w:jc w:val="left"/>
              <w:rPr>
                <w:rFonts w:ascii="Times New Roman"/>
                <w:sz w:val="20"/>
              </w:rPr>
            </w:pPr>
          </w:p>
        </w:tc>
        <w:tc>
          <w:tcPr>
            <w:tcW w:w="780" w:type="dxa"/>
          </w:tcPr>
          <w:p>
            <w:pPr>
              <w:pStyle w:val="TableParagraph"/>
              <w:spacing w:before="0"/>
              <w:jc w:val="left"/>
              <w:rPr>
                <w:rFonts w:ascii="Times New Roman"/>
                <w:sz w:val="20"/>
              </w:rPr>
            </w:pPr>
          </w:p>
        </w:tc>
      </w:tr>
    </w:tbl>
    <w:p>
      <w:pPr>
        <w:pStyle w:val="BodyText"/>
        <w:spacing w:before="1"/>
        <w:rPr>
          <w:b/>
          <w:sz w:val="29"/>
        </w:rPr>
      </w:pPr>
    </w:p>
    <w:p>
      <w:pPr>
        <w:pStyle w:val="ListParagraph"/>
        <w:numPr>
          <w:ilvl w:val="0"/>
          <w:numId w:val="38"/>
        </w:numPr>
        <w:tabs>
          <w:tab w:pos="1439" w:val="left" w:leader="none"/>
        </w:tabs>
        <w:spacing w:line="328" w:lineRule="auto" w:before="0" w:after="0"/>
        <w:ind w:left="1260" w:right="666" w:firstLine="0"/>
        <w:jc w:val="left"/>
        <w:rPr>
          <w:i/>
          <w:sz w:val="19"/>
        </w:rPr>
      </w:pPr>
      <w:r>
        <w:rPr>
          <w:i/>
          <w:color w:val="231F20"/>
          <w:w w:val="115"/>
          <w:sz w:val="19"/>
        </w:rPr>
        <w:t>Analyze</w:t>
      </w:r>
      <w:r>
        <w:rPr>
          <w:i/>
          <w:color w:val="231F20"/>
          <w:spacing w:val="-1"/>
          <w:w w:val="115"/>
          <w:sz w:val="19"/>
        </w:rPr>
        <w:t> </w:t>
      </w:r>
      <w:r>
        <w:rPr>
          <w:i/>
          <w:color w:val="231F20"/>
          <w:w w:val="115"/>
          <w:sz w:val="19"/>
        </w:rPr>
        <w:t>operating</w:t>
      </w:r>
      <w:r>
        <w:rPr>
          <w:i/>
          <w:color w:val="231F20"/>
          <w:spacing w:val="-1"/>
          <w:w w:val="115"/>
          <w:sz w:val="19"/>
        </w:rPr>
        <w:t> </w:t>
      </w:r>
      <w:r>
        <w:rPr>
          <w:i/>
          <w:color w:val="231F20"/>
          <w:w w:val="115"/>
          <w:sz w:val="19"/>
        </w:rPr>
        <w:t>activities</w:t>
      </w:r>
      <w:r>
        <w:rPr>
          <w:i/>
          <w:color w:val="231F20"/>
          <w:spacing w:val="-1"/>
          <w:w w:val="115"/>
          <w:sz w:val="19"/>
        </w:rPr>
        <w:t> </w:t>
      </w:r>
      <w:r>
        <w:rPr>
          <w:i/>
          <w:color w:val="231F20"/>
          <w:w w:val="115"/>
          <w:sz w:val="19"/>
        </w:rPr>
        <w:t>and</w:t>
      </w:r>
      <w:r>
        <w:rPr>
          <w:i/>
          <w:color w:val="231F20"/>
          <w:spacing w:val="-1"/>
          <w:w w:val="115"/>
          <w:sz w:val="19"/>
        </w:rPr>
        <w:t> </w:t>
      </w:r>
      <w:r>
        <w:rPr>
          <w:i/>
          <w:color w:val="231F20"/>
          <w:w w:val="115"/>
          <w:sz w:val="19"/>
        </w:rPr>
        <w:t>the</w:t>
      </w:r>
      <w:r>
        <w:rPr>
          <w:i/>
          <w:color w:val="231F20"/>
          <w:spacing w:val="-1"/>
          <w:w w:val="115"/>
          <w:sz w:val="19"/>
        </w:rPr>
        <w:t> </w:t>
      </w:r>
      <w:r>
        <w:rPr>
          <w:i/>
          <w:color w:val="231F20"/>
          <w:w w:val="115"/>
          <w:sz w:val="19"/>
        </w:rPr>
        <w:t>firm’s</w:t>
      </w:r>
      <w:r>
        <w:rPr>
          <w:i/>
          <w:color w:val="231F20"/>
          <w:spacing w:val="-1"/>
          <w:w w:val="115"/>
          <w:sz w:val="19"/>
        </w:rPr>
        <w:t> </w:t>
      </w:r>
      <w:r>
        <w:rPr>
          <w:i/>
          <w:color w:val="231F20"/>
          <w:w w:val="115"/>
          <w:sz w:val="19"/>
        </w:rPr>
        <w:t>capital</w:t>
      </w:r>
      <w:r>
        <w:rPr>
          <w:i/>
          <w:color w:val="231F20"/>
          <w:spacing w:val="-1"/>
          <w:w w:val="115"/>
          <w:sz w:val="19"/>
        </w:rPr>
        <w:t> </w:t>
      </w:r>
      <w:r>
        <w:rPr>
          <w:i/>
          <w:color w:val="231F20"/>
          <w:w w:val="115"/>
          <w:sz w:val="19"/>
        </w:rPr>
        <w:t>spending</w:t>
      </w:r>
      <w:r>
        <w:rPr>
          <w:i/>
          <w:color w:val="231F20"/>
          <w:w w:val="115"/>
          <w:sz w:val="19"/>
        </w:rPr>
        <w:t> </w:t>
      </w:r>
      <w:r>
        <w:rPr>
          <w:i/>
          <w:color w:val="231F20"/>
          <w:spacing w:val="-2"/>
          <w:w w:val="115"/>
          <w:sz w:val="19"/>
        </w:rPr>
        <w:t>requirements.</w:t>
      </w:r>
    </w:p>
    <w:p>
      <w:pPr>
        <w:pStyle w:val="BodyText"/>
        <w:spacing w:line="226" w:lineRule="exact"/>
        <w:ind w:left="1260"/>
        <w:jc w:val="both"/>
      </w:pPr>
      <w:r>
        <w:rPr>
          <w:color w:val="231F20"/>
        </w:rPr>
        <w:t>The</w:t>
      </w:r>
      <w:r>
        <w:rPr>
          <w:color w:val="231F20"/>
          <w:spacing w:val="2"/>
        </w:rPr>
        <w:t> </w:t>
      </w:r>
      <w:r>
        <w:rPr>
          <w:color w:val="231F20"/>
        </w:rPr>
        <w:t>first</w:t>
      </w:r>
      <w:r>
        <w:rPr>
          <w:color w:val="231F20"/>
          <w:spacing w:val="3"/>
        </w:rPr>
        <w:t> </w:t>
      </w:r>
      <w:r>
        <w:rPr>
          <w:color w:val="231F20"/>
        </w:rPr>
        <w:t>thing</w:t>
      </w:r>
      <w:r>
        <w:rPr>
          <w:color w:val="231F20"/>
          <w:spacing w:val="3"/>
        </w:rPr>
        <w:t> </w:t>
      </w:r>
      <w:r>
        <w:rPr>
          <w:color w:val="231F20"/>
        </w:rPr>
        <w:t>is</w:t>
      </w:r>
      <w:r>
        <w:rPr>
          <w:color w:val="231F20"/>
          <w:spacing w:val="3"/>
        </w:rPr>
        <w:t> </w:t>
      </w:r>
      <w:r>
        <w:rPr>
          <w:color w:val="231F20"/>
        </w:rPr>
        <w:t>to</w:t>
      </w:r>
      <w:r>
        <w:rPr>
          <w:color w:val="231F20"/>
          <w:spacing w:val="3"/>
        </w:rPr>
        <w:t> </w:t>
      </w:r>
      <w:r>
        <w:rPr>
          <w:color w:val="231F20"/>
        </w:rPr>
        <w:t>forecast</w:t>
      </w:r>
      <w:r>
        <w:rPr>
          <w:color w:val="231F20"/>
          <w:spacing w:val="2"/>
        </w:rPr>
        <w:t> </w:t>
      </w:r>
      <w:r>
        <w:rPr>
          <w:color w:val="231F20"/>
        </w:rPr>
        <w:t>sales</w:t>
      </w:r>
      <w:r>
        <w:rPr>
          <w:color w:val="231F20"/>
          <w:spacing w:val="3"/>
        </w:rPr>
        <w:t> </w:t>
      </w:r>
      <w:r>
        <w:rPr>
          <w:color w:val="231F20"/>
        </w:rPr>
        <w:t>and</w:t>
      </w:r>
      <w:r>
        <w:rPr>
          <w:color w:val="231F20"/>
          <w:spacing w:val="3"/>
        </w:rPr>
        <w:t> </w:t>
      </w:r>
      <w:r>
        <w:rPr>
          <w:color w:val="231F20"/>
        </w:rPr>
        <w:t>calculate</w:t>
      </w:r>
      <w:r>
        <w:rPr>
          <w:color w:val="231F20"/>
          <w:spacing w:val="3"/>
        </w:rPr>
        <w:t> </w:t>
      </w:r>
      <w:r>
        <w:rPr>
          <w:color w:val="231F20"/>
        </w:rPr>
        <w:t>the</w:t>
      </w:r>
      <w:r>
        <w:rPr>
          <w:color w:val="231F20"/>
          <w:spacing w:val="3"/>
        </w:rPr>
        <w:t> </w:t>
      </w:r>
      <w:r>
        <w:rPr>
          <w:color w:val="231F20"/>
        </w:rPr>
        <w:t>gross</w:t>
      </w:r>
      <w:r>
        <w:rPr>
          <w:color w:val="231F20"/>
          <w:spacing w:val="3"/>
        </w:rPr>
        <w:t> </w:t>
      </w:r>
      <w:r>
        <w:rPr>
          <w:color w:val="231F20"/>
          <w:spacing w:val="-2"/>
        </w:rPr>
        <w:t>margins</w:t>
      </w:r>
    </w:p>
    <w:p>
      <w:pPr>
        <w:pStyle w:val="BodyText"/>
        <w:spacing w:line="292" w:lineRule="auto" w:before="54"/>
        <w:ind w:left="920" w:right="664"/>
        <w:jc w:val="both"/>
      </w:pPr>
      <w:r>
        <w:rPr>
          <w:color w:val="231F20"/>
        </w:rPr>
        <w:t>on sales and other operating expenses. But financial analysts must</w:t>
      </w:r>
      <w:r>
        <w:rPr>
          <w:color w:val="231F20"/>
          <w:spacing w:val="80"/>
        </w:rPr>
        <w:t> </w:t>
      </w:r>
      <w:r>
        <w:rPr>
          <w:color w:val="231F20"/>
        </w:rPr>
        <w:t>do more than just look at numbers. They must also review the indus- try, the competition, the markets for raw materials, and manage- ment’s plans to run and grow the business. All these factors </w:t>
      </w:r>
      <w:r>
        <w:rPr>
          <w:color w:val="231F20"/>
        </w:rPr>
        <w:t>will</w:t>
      </w:r>
      <w:r>
        <w:rPr>
          <w:color w:val="231F20"/>
          <w:spacing w:val="40"/>
        </w:rPr>
        <w:t> </w:t>
      </w:r>
      <w:r>
        <w:rPr>
          <w:color w:val="231F20"/>
        </w:rPr>
        <w:t>affect the cash flow of business.</w:t>
      </w:r>
    </w:p>
    <w:p>
      <w:pPr>
        <w:pStyle w:val="BodyText"/>
        <w:spacing w:line="292" w:lineRule="auto"/>
        <w:ind w:left="920" w:right="663" w:firstLine="340"/>
        <w:jc w:val="both"/>
      </w:pPr>
      <w:r>
        <w:rPr>
          <w:color w:val="231F20"/>
        </w:rPr>
        <w:t>Discussions with Bob, his accountant, and his assistant </w:t>
      </w:r>
      <w:r>
        <w:rPr>
          <w:color w:val="231F20"/>
        </w:rPr>
        <w:t>manager revealed</w:t>
      </w:r>
      <w:r>
        <w:rPr>
          <w:color w:val="231F20"/>
          <w:spacing w:val="-3"/>
        </w:rPr>
        <w:t> </w:t>
      </w:r>
      <w:r>
        <w:rPr>
          <w:color w:val="231F20"/>
        </w:rPr>
        <w:t>that</w:t>
      </w:r>
      <w:r>
        <w:rPr>
          <w:color w:val="231F20"/>
          <w:spacing w:val="-3"/>
        </w:rPr>
        <w:t> </w:t>
      </w:r>
      <w:r>
        <w:rPr>
          <w:color w:val="231F20"/>
        </w:rPr>
        <w:t>the</w:t>
      </w:r>
      <w:r>
        <w:rPr>
          <w:color w:val="231F20"/>
          <w:spacing w:val="-3"/>
        </w:rPr>
        <w:t> </w:t>
      </w:r>
      <w:r>
        <w:rPr>
          <w:color w:val="231F20"/>
        </w:rPr>
        <w:t>business</w:t>
      </w:r>
      <w:r>
        <w:rPr>
          <w:color w:val="231F20"/>
          <w:spacing w:val="-3"/>
        </w:rPr>
        <w:t> </w:t>
      </w:r>
      <w:r>
        <w:rPr>
          <w:color w:val="231F20"/>
        </w:rPr>
        <w:t>is</w:t>
      </w:r>
      <w:r>
        <w:rPr>
          <w:color w:val="231F20"/>
          <w:spacing w:val="-3"/>
        </w:rPr>
        <w:t> </w:t>
      </w:r>
      <w:r>
        <w:rPr>
          <w:color w:val="231F20"/>
        </w:rPr>
        <w:t>healthy</w:t>
      </w:r>
      <w:r>
        <w:rPr>
          <w:color w:val="231F20"/>
          <w:spacing w:val="-3"/>
        </w:rPr>
        <w:t> </w:t>
      </w:r>
      <w:r>
        <w:rPr>
          <w:color w:val="231F20"/>
        </w:rPr>
        <w:t>and</w:t>
      </w:r>
      <w:r>
        <w:rPr>
          <w:color w:val="231F20"/>
          <w:spacing w:val="-3"/>
        </w:rPr>
        <w:t> </w:t>
      </w:r>
      <w:r>
        <w:rPr>
          <w:color w:val="231F20"/>
        </w:rPr>
        <w:t>they</w:t>
      </w:r>
      <w:r>
        <w:rPr>
          <w:color w:val="231F20"/>
          <w:spacing w:val="-3"/>
        </w:rPr>
        <w:t> </w:t>
      </w:r>
      <w:r>
        <w:rPr>
          <w:color w:val="231F20"/>
        </w:rPr>
        <w:t>expect</w:t>
      </w:r>
      <w:r>
        <w:rPr>
          <w:color w:val="231F20"/>
          <w:spacing w:val="-3"/>
        </w:rPr>
        <w:t> </w:t>
      </w:r>
      <w:r>
        <w:rPr>
          <w:color w:val="231F20"/>
        </w:rPr>
        <w:t>sales</w:t>
      </w:r>
      <w:r>
        <w:rPr>
          <w:color w:val="231F20"/>
          <w:spacing w:val="-3"/>
        </w:rPr>
        <w:t> </w:t>
      </w:r>
      <w:r>
        <w:rPr>
          <w:color w:val="231F20"/>
        </w:rPr>
        <w:t>to</w:t>
      </w:r>
      <w:r>
        <w:rPr>
          <w:color w:val="231F20"/>
          <w:spacing w:val="-3"/>
        </w:rPr>
        <w:t> </w:t>
      </w:r>
      <w:r>
        <w:rPr>
          <w:color w:val="231F20"/>
        </w:rPr>
        <w:t>grow</w:t>
      </w:r>
      <w:r>
        <w:rPr>
          <w:color w:val="231F20"/>
          <w:spacing w:val="-3"/>
        </w:rPr>
        <w:t> </w:t>
      </w:r>
      <w:r>
        <w:rPr>
          <w:color w:val="231F20"/>
        </w:rPr>
        <w:t>by 10 percent a year over a four-year period and then stabilize. They</w:t>
      </w:r>
      <w:r>
        <w:rPr>
          <w:color w:val="231F20"/>
          <w:spacing w:val="80"/>
        </w:rPr>
        <w:t> </w:t>
      </w:r>
      <w:r>
        <w:rPr>
          <w:color w:val="231F20"/>
        </w:rPr>
        <w:t>are confident that they will maintain a gross margin of 25 percent or a</w:t>
      </w:r>
      <w:r>
        <w:rPr>
          <w:color w:val="231F20"/>
          <w:spacing w:val="40"/>
        </w:rPr>
        <w:t> </w:t>
      </w:r>
      <w:r>
        <w:rPr>
          <w:color w:val="231F20"/>
        </w:rPr>
        <w:t>variable</w:t>
      </w:r>
      <w:r>
        <w:rPr>
          <w:color w:val="231F20"/>
          <w:spacing w:val="40"/>
        </w:rPr>
        <w:t> </w:t>
      </w:r>
      <w:r>
        <w:rPr>
          <w:color w:val="231F20"/>
        </w:rPr>
        <w:t>75</w:t>
      </w:r>
      <w:r>
        <w:rPr>
          <w:color w:val="231F20"/>
          <w:spacing w:val="40"/>
        </w:rPr>
        <w:t> </w:t>
      </w:r>
      <w:r>
        <w:rPr>
          <w:color w:val="231F20"/>
        </w:rPr>
        <w:t>percent</w:t>
      </w:r>
      <w:r>
        <w:rPr>
          <w:color w:val="231F20"/>
          <w:spacing w:val="40"/>
        </w:rPr>
        <w:t> </w:t>
      </w:r>
      <w:r>
        <w:rPr>
          <w:color w:val="231F20"/>
        </w:rPr>
        <w:t>cost</w:t>
      </w:r>
      <w:r>
        <w:rPr>
          <w:color w:val="231F20"/>
          <w:spacing w:val="40"/>
        </w:rPr>
        <w:t> </w:t>
      </w:r>
      <w:r>
        <w:rPr>
          <w:color w:val="231F20"/>
        </w:rPr>
        <w:t>of</w:t>
      </w:r>
      <w:r>
        <w:rPr>
          <w:color w:val="231F20"/>
          <w:spacing w:val="40"/>
        </w:rPr>
        <w:t> </w:t>
      </w:r>
      <w:r>
        <w:rPr>
          <w:color w:val="231F20"/>
        </w:rPr>
        <w:t>sales.</w:t>
      </w:r>
      <w:r>
        <w:rPr>
          <w:color w:val="231F20"/>
          <w:spacing w:val="40"/>
        </w:rPr>
        <w:t> </w:t>
      </w:r>
      <w:r>
        <w:rPr>
          <w:color w:val="231F20"/>
        </w:rPr>
        <w:t>They</w:t>
      </w:r>
      <w:r>
        <w:rPr>
          <w:color w:val="231F20"/>
          <w:spacing w:val="40"/>
        </w:rPr>
        <w:t> </w:t>
      </w:r>
      <w:r>
        <w:rPr>
          <w:color w:val="231F20"/>
        </w:rPr>
        <w:t>also</w:t>
      </w:r>
      <w:r>
        <w:rPr>
          <w:color w:val="231F20"/>
          <w:spacing w:val="40"/>
        </w:rPr>
        <w:t> </w:t>
      </w:r>
      <w:r>
        <w:rPr>
          <w:color w:val="231F20"/>
        </w:rPr>
        <w:t>believe</w:t>
      </w:r>
      <w:r>
        <w:rPr>
          <w:color w:val="231F20"/>
          <w:spacing w:val="40"/>
        </w:rPr>
        <w:t> </w:t>
      </w:r>
      <w:r>
        <w:rPr>
          <w:color w:val="231F20"/>
        </w:rPr>
        <w:t>that</w:t>
      </w:r>
      <w:r>
        <w:rPr>
          <w:color w:val="231F20"/>
          <w:spacing w:val="40"/>
        </w:rPr>
        <w:t> </w:t>
      </w:r>
      <w:r>
        <w:rPr>
          <w:color w:val="231F20"/>
        </w:rPr>
        <w:t>their SG&amp;A expenses will remain a steady variable 24 percent of sales.</w:t>
      </w:r>
      <w:r>
        <w:rPr>
          <w:color w:val="231F20"/>
          <w:spacing w:val="80"/>
          <w:w w:val="150"/>
        </w:rPr>
        <w:t> </w:t>
      </w:r>
      <w:r>
        <w:rPr>
          <w:color w:val="231F20"/>
        </w:rPr>
        <w:t>The depreciation for equipment, which does not cost cash, can be added back, but Bob believes that he will be upgrading the store</w:t>
      </w:r>
      <w:r>
        <w:rPr>
          <w:color w:val="231F20"/>
          <w:spacing w:val="80"/>
        </w:rPr>
        <w:t> </w:t>
      </w:r>
      <w:r>
        <w:rPr>
          <w:color w:val="231F20"/>
        </w:rPr>
        <w:t>each year by reinvesting the $3,000 in new store fixtures. With that information, the cash flow forecast would look as follows:</w:t>
      </w:r>
    </w:p>
    <w:p>
      <w:pPr>
        <w:spacing w:after="0" w:line="292" w:lineRule="auto"/>
        <w:jc w:val="both"/>
        <w:sectPr>
          <w:pgSz w:w="8640" w:h="12960"/>
          <w:pgMar w:header="734" w:footer="0" w:top="920" w:bottom="280" w:left="340" w:right="500"/>
        </w:sectPr>
      </w:pPr>
    </w:p>
    <w:p>
      <w:pPr>
        <w:pStyle w:val="BodyText"/>
        <w:spacing w:before="8"/>
        <w:rPr>
          <w:sz w:val="17"/>
        </w:rPr>
      </w:pPr>
    </w:p>
    <w:p>
      <w:pPr>
        <w:spacing w:before="93"/>
        <w:ind w:left="295" w:right="219" w:firstLine="0"/>
        <w:jc w:val="center"/>
        <w:rPr>
          <w:b/>
          <w:sz w:val="20"/>
        </w:rPr>
      </w:pPr>
      <w:r>
        <w:rPr>
          <w:b/>
          <w:color w:val="231F20"/>
          <w:w w:val="115"/>
          <w:sz w:val="20"/>
        </w:rPr>
        <w:t>CASH</w:t>
      </w:r>
      <w:r>
        <w:rPr>
          <w:b/>
          <w:color w:val="231F20"/>
          <w:spacing w:val="45"/>
          <w:w w:val="115"/>
          <w:sz w:val="20"/>
        </w:rPr>
        <w:t> </w:t>
      </w:r>
      <w:r>
        <w:rPr>
          <w:b/>
          <w:color w:val="231F20"/>
          <w:w w:val="115"/>
          <w:sz w:val="20"/>
        </w:rPr>
        <w:t>FLOW</w:t>
      </w:r>
      <w:r>
        <w:rPr>
          <w:b/>
          <w:color w:val="231F20"/>
          <w:spacing w:val="45"/>
          <w:w w:val="115"/>
          <w:sz w:val="20"/>
        </w:rPr>
        <w:t> </w:t>
      </w:r>
      <w:r>
        <w:rPr>
          <w:b/>
          <w:color w:val="231F20"/>
          <w:w w:val="115"/>
          <w:sz w:val="20"/>
        </w:rPr>
        <w:t>PROJECTIONS</w:t>
      </w:r>
      <w:r>
        <w:rPr>
          <w:b/>
          <w:color w:val="231F20"/>
          <w:spacing w:val="45"/>
          <w:w w:val="115"/>
          <w:sz w:val="20"/>
        </w:rPr>
        <w:t> </w:t>
      </w:r>
      <w:r>
        <w:rPr>
          <w:b/>
          <w:color w:val="231F20"/>
          <w:w w:val="115"/>
          <w:sz w:val="20"/>
        </w:rPr>
        <w:t>(IN</w:t>
      </w:r>
      <w:r>
        <w:rPr>
          <w:b/>
          <w:color w:val="231F20"/>
          <w:spacing w:val="45"/>
          <w:w w:val="115"/>
          <w:sz w:val="20"/>
        </w:rPr>
        <w:t> </w:t>
      </w:r>
      <w:r>
        <w:rPr>
          <w:b/>
          <w:color w:val="231F20"/>
          <w:spacing w:val="-2"/>
          <w:w w:val="115"/>
          <w:sz w:val="20"/>
        </w:rPr>
        <w:t>THOUSANDS)</w:t>
      </w:r>
    </w:p>
    <w:p>
      <w:pPr>
        <w:pStyle w:val="BodyText"/>
        <w:spacing w:before="3"/>
        <w:rPr>
          <w:b/>
          <w:sz w:val="5"/>
        </w:rPr>
      </w:pPr>
      <w:r>
        <w:rPr/>
        <w:pict>
          <v:shape style="position:absolute;margin-left:58.5pt;margin-top:4.282509pt;width:310.5pt;height:.1pt;mso-position-horizontal-relative:page;mso-position-vertical-relative:paragraph;z-index:-15578624;mso-wrap-distance-left:0;mso-wrap-distance-right:0" id="docshape394" coordorigin="1170,86" coordsize="6210,0" path="m1170,86l7380,86e" filled="false" stroked="true" strokeweight="1pt" strokecolor="#231f20">
            <v:path arrowok="t"/>
            <v:stroke dashstyle="solid"/>
            <w10:wrap type="topAndBottom"/>
          </v:shape>
        </w:pict>
      </w:r>
    </w:p>
    <w:p>
      <w:pPr>
        <w:pStyle w:val="BodyText"/>
        <w:spacing w:before="7"/>
        <w:rPr>
          <w:b/>
          <w:sz w:val="19"/>
        </w:rPr>
      </w:pPr>
    </w:p>
    <w:tbl>
      <w:tblPr>
        <w:tblW w:w="0" w:type="auto"/>
        <w:jc w:val="left"/>
        <w:tblInd w:w="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10"/>
        <w:gridCol w:w="685"/>
        <w:gridCol w:w="812"/>
        <w:gridCol w:w="810"/>
        <w:gridCol w:w="823"/>
        <w:gridCol w:w="720"/>
      </w:tblGrid>
      <w:tr>
        <w:trPr>
          <w:trHeight w:val="253" w:hRule="atLeast"/>
        </w:trPr>
        <w:tc>
          <w:tcPr>
            <w:tcW w:w="6260" w:type="dxa"/>
            <w:gridSpan w:val="6"/>
          </w:tcPr>
          <w:p>
            <w:pPr>
              <w:pStyle w:val="TableParagraph"/>
              <w:spacing w:line="205" w:lineRule="exact" w:before="0"/>
              <w:ind w:left="2414" w:right="3271"/>
              <w:rPr>
                <w:b/>
                <w:i/>
                <w:sz w:val="18"/>
              </w:rPr>
            </w:pPr>
            <w:r>
              <w:rPr>
                <w:b/>
                <w:i/>
                <w:color w:val="231F20"/>
                <w:spacing w:val="-2"/>
                <w:w w:val="105"/>
                <w:sz w:val="18"/>
              </w:rPr>
              <w:t>PRIOR</w:t>
            </w:r>
          </w:p>
        </w:tc>
      </w:tr>
      <w:tr>
        <w:trPr>
          <w:trHeight w:val="297" w:hRule="atLeast"/>
        </w:trPr>
        <w:tc>
          <w:tcPr>
            <w:tcW w:w="3095" w:type="dxa"/>
            <w:gridSpan w:val="2"/>
          </w:tcPr>
          <w:p>
            <w:pPr>
              <w:pStyle w:val="TableParagraph"/>
              <w:spacing w:before="40"/>
              <w:ind w:right="167"/>
              <w:jc w:val="right"/>
              <w:rPr>
                <w:b/>
                <w:i/>
                <w:sz w:val="18"/>
              </w:rPr>
            </w:pPr>
            <w:r>
              <w:rPr>
                <w:b/>
                <w:i/>
                <w:color w:val="231F20"/>
                <w:spacing w:val="-4"/>
                <w:w w:val="105"/>
                <w:sz w:val="18"/>
              </w:rPr>
              <w:t>YEAR</w:t>
            </w:r>
          </w:p>
        </w:tc>
        <w:tc>
          <w:tcPr>
            <w:tcW w:w="812" w:type="dxa"/>
          </w:tcPr>
          <w:p>
            <w:pPr>
              <w:pStyle w:val="TableParagraph"/>
              <w:spacing w:before="40"/>
              <w:ind w:right="109"/>
              <w:jc w:val="right"/>
              <w:rPr>
                <w:b/>
                <w:i/>
                <w:sz w:val="18"/>
              </w:rPr>
            </w:pPr>
            <w:r>
              <w:rPr>
                <w:b/>
                <w:i/>
                <w:color w:val="231F20"/>
                <w:sz w:val="18"/>
              </w:rPr>
              <w:t>YEAR</w:t>
            </w:r>
            <w:r>
              <w:rPr>
                <w:b/>
                <w:i/>
                <w:color w:val="231F20"/>
                <w:spacing w:val="22"/>
                <w:sz w:val="18"/>
              </w:rPr>
              <w:t> </w:t>
            </w:r>
            <w:r>
              <w:rPr>
                <w:b/>
                <w:i/>
                <w:color w:val="231F20"/>
                <w:spacing w:val="-10"/>
                <w:sz w:val="18"/>
              </w:rPr>
              <w:t>1</w:t>
            </w:r>
          </w:p>
        </w:tc>
        <w:tc>
          <w:tcPr>
            <w:tcW w:w="810" w:type="dxa"/>
          </w:tcPr>
          <w:p>
            <w:pPr>
              <w:pStyle w:val="TableParagraph"/>
              <w:spacing w:before="40"/>
              <w:ind w:right="109"/>
              <w:jc w:val="right"/>
              <w:rPr>
                <w:b/>
                <w:i/>
                <w:sz w:val="18"/>
              </w:rPr>
            </w:pPr>
            <w:r>
              <w:rPr>
                <w:b/>
                <w:i/>
                <w:color w:val="231F20"/>
                <w:sz w:val="18"/>
              </w:rPr>
              <w:t>YEAR</w:t>
            </w:r>
            <w:r>
              <w:rPr>
                <w:b/>
                <w:i/>
                <w:color w:val="231F20"/>
                <w:spacing w:val="22"/>
                <w:sz w:val="18"/>
              </w:rPr>
              <w:t> </w:t>
            </w:r>
            <w:r>
              <w:rPr>
                <w:b/>
                <w:i/>
                <w:color w:val="231F20"/>
                <w:spacing w:val="-10"/>
                <w:sz w:val="18"/>
              </w:rPr>
              <w:t>2</w:t>
            </w:r>
          </w:p>
        </w:tc>
        <w:tc>
          <w:tcPr>
            <w:tcW w:w="823" w:type="dxa"/>
          </w:tcPr>
          <w:p>
            <w:pPr>
              <w:pStyle w:val="TableParagraph"/>
              <w:spacing w:before="40"/>
              <w:ind w:right="122"/>
              <w:jc w:val="right"/>
              <w:rPr>
                <w:b/>
                <w:i/>
                <w:sz w:val="18"/>
              </w:rPr>
            </w:pPr>
            <w:r>
              <w:rPr>
                <w:b/>
                <w:i/>
                <w:color w:val="231F20"/>
                <w:sz w:val="18"/>
              </w:rPr>
              <w:t>YEAR</w:t>
            </w:r>
            <w:r>
              <w:rPr>
                <w:b/>
                <w:i/>
                <w:color w:val="231F20"/>
                <w:spacing w:val="22"/>
                <w:sz w:val="18"/>
              </w:rPr>
              <w:t> </w:t>
            </w:r>
            <w:r>
              <w:rPr>
                <w:b/>
                <w:i/>
                <w:color w:val="231F20"/>
                <w:spacing w:val="-10"/>
                <w:sz w:val="18"/>
              </w:rPr>
              <w:t>3</w:t>
            </w:r>
          </w:p>
        </w:tc>
        <w:tc>
          <w:tcPr>
            <w:tcW w:w="720" w:type="dxa"/>
          </w:tcPr>
          <w:p>
            <w:pPr>
              <w:pStyle w:val="TableParagraph"/>
              <w:spacing w:before="40"/>
              <w:ind w:right="12"/>
              <w:jc w:val="right"/>
              <w:rPr>
                <w:b/>
                <w:i/>
                <w:sz w:val="18"/>
              </w:rPr>
            </w:pPr>
            <w:r>
              <w:rPr>
                <w:b/>
                <w:i/>
                <w:color w:val="231F20"/>
                <w:sz w:val="18"/>
              </w:rPr>
              <w:t>YEAR</w:t>
            </w:r>
            <w:r>
              <w:rPr>
                <w:b/>
                <w:i/>
                <w:color w:val="231F20"/>
                <w:spacing w:val="22"/>
                <w:sz w:val="18"/>
              </w:rPr>
              <w:t> </w:t>
            </w:r>
            <w:r>
              <w:rPr>
                <w:b/>
                <w:i/>
                <w:color w:val="231F20"/>
                <w:spacing w:val="-10"/>
                <w:sz w:val="18"/>
              </w:rPr>
              <w:t>4</w:t>
            </w:r>
          </w:p>
        </w:tc>
      </w:tr>
      <w:tr>
        <w:trPr>
          <w:trHeight w:val="299" w:hRule="atLeast"/>
        </w:trPr>
        <w:tc>
          <w:tcPr>
            <w:tcW w:w="2410" w:type="dxa"/>
          </w:tcPr>
          <w:p>
            <w:pPr>
              <w:pStyle w:val="TableParagraph"/>
              <w:spacing w:before="43"/>
              <w:ind w:left="50"/>
              <w:jc w:val="left"/>
              <w:rPr>
                <w:sz w:val="18"/>
              </w:rPr>
            </w:pPr>
            <w:r>
              <w:rPr>
                <w:color w:val="231F20"/>
                <w:spacing w:val="-2"/>
                <w:sz w:val="18"/>
              </w:rPr>
              <w:t>Sales</w:t>
            </w:r>
          </w:p>
        </w:tc>
        <w:tc>
          <w:tcPr>
            <w:tcW w:w="685" w:type="dxa"/>
          </w:tcPr>
          <w:p>
            <w:pPr>
              <w:pStyle w:val="TableParagraph"/>
              <w:spacing w:before="43"/>
              <w:ind w:right="112"/>
              <w:jc w:val="right"/>
              <w:rPr>
                <w:sz w:val="18"/>
              </w:rPr>
            </w:pPr>
            <w:r>
              <w:rPr>
                <w:color w:val="231F20"/>
                <w:spacing w:val="-2"/>
                <w:w w:val="105"/>
                <w:sz w:val="18"/>
              </w:rPr>
              <w:t>$5,200</w:t>
            </w:r>
          </w:p>
        </w:tc>
        <w:tc>
          <w:tcPr>
            <w:tcW w:w="812" w:type="dxa"/>
          </w:tcPr>
          <w:p>
            <w:pPr>
              <w:pStyle w:val="TableParagraph"/>
              <w:spacing w:before="43"/>
              <w:ind w:right="114"/>
              <w:jc w:val="right"/>
              <w:rPr>
                <w:sz w:val="18"/>
              </w:rPr>
            </w:pPr>
            <w:r>
              <w:rPr>
                <w:color w:val="231F20"/>
                <w:spacing w:val="-2"/>
                <w:w w:val="105"/>
                <w:sz w:val="18"/>
              </w:rPr>
              <w:t>$5,720</w:t>
            </w:r>
          </w:p>
        </w:tc>
        <w:tc>
          <w:tcPr>
            <w:tcW w:w="810" w:type="dxa"/>
          </w:tcPr>
          <w:p>
            <w:pPr>
              <w:pStyle w:val="TableParagraph"/>
              <w:spacing w:before="43"/>
              <w:ind w:right="114"/>
              <w:jc w:val="right"/>
              <w:rPr>
                <w:sz w:val="18"/>
              </w:rPr>
            </w:pPr>
            <w:r>
              <w:rPr>
                <w:color w:val="231F20"/>
                <w:spacing w:val="-2"/>
                <w:w w:val="105"/>
                <w:sz w:val="18"/>
              </w:rPr>
              <w:t>$6,292</w:t>
            </w:r>
          </w:p>
        </w:tc>
        <w:tc>
          <w:tcPr>
            <w:tcW w:w="823" w:type="dxa"/>
          </w:tcPr>
          <w:p>
            <w:pPr>
              <w:pStyle w:val="TableParagraph"/>
              <w:spacing w:before="43"/>
              <w:ind w:right="117"/>
              <w:jc w:val="right"/>
              <w:rPr>
                <w:sz w:val="18"/>
              </w:rPr>
            </w:pPr>
            <w:r>
              <w:rPr>
                <w:color w:val="231F20"/>
                <w:spacing w:val="-2"/>
                <w:w w:val="105"/>
                <w:sz w:val="18"/>
              </w:rPr>
              <w:t>$6,921</w:t>
            </w:r>
          </w:p>
        </w:tc>
        <w:tc>
          <w:tcPr>
            <w:tcW w:w="720" w:type="dxa"/>
          </w:tcPr>
          <w:p>
            <w:pPr>
              <w:pStyle w:val="TableParagraph"/>
              <w:spacing w:before="43"/>
              <w:ind w:right="47"/>
              <w:jc w:val="right"/>
              <w:rPr>
                <w:sz w:val="18"/>
              </w:rPr>
            </w:pPr>
            <w:r>
              <w:rPr>
                <w:color w:val="231F20"/>
                <w:spacing w:val="-2"/>
                <w:w w:val="105"/>
                <w:sz w:val="18"/>
              </w:rPr>
              <w:t>$7,613</w:t>
            </w:r>
          </w:p>
        </w:tc>
      </w:tr>
      <w:tr>
        <w:trPr>
          <w:trHeight w:val="294" w:hRule="atLeast"/>
        </w:trPr>
        <w:tc>
          <w:tcPr>
            <w:tcW w:w="2410" w:type="dxa"/>
          </w:tcPr>
          <w:p>
            <w:pPr>
              <w:pStyle w:val="TableParagraph"/>
              <w:spacing w:before="43"/>
              <w:ind w:left="50"/>
              <w:jc w:val="left"/>
              <w:rPr>
                <w:sz w:val="18"/>
              </w:rPr>
            </w:pPr>
            <w:r>
              <w:rPr>
                <w:color w:val="231F20"/>
                <w:w w:val="110"/>
                <w:sz w:val="18"/>
              </w:rPr>
              <w:t>COGS</w:t>
            </w:r>
            <w:r>
              <w:rPr>
                <w:color w:val="231F20"/>
                <w:spacing w:val="13"/>
                <w:w w:val="110"/>
                <w:sz w:val="18"/>
              </w:rPr>
              <w:t> </w:t>
            </w:r>
            <w:r>
              <w:rPr>
                <w:color w:val="231F20"/>
                <w:w w:val="110"/>
                <w:sz w:val="18"/>
              </w:rPr>
              <w:t>@</w:t>
            </w:r>
            <w:r>
              <w:rPr>
                <w:color w:val="231F20"/>
                <w:spacing w:val="13"/>
                <w:w w:val="110"/>
                <w:sz w:val="18"/>
              </w:rPr>
              <w:t> </w:t>
            </w:r>
            <w:r>
              <w:rPr>
                <w:color w:val="231F20"/>
                <w:spacing w:val="-5"/>
                <w:w w:val="110"/>
                <w:sz w:val="18"/>
              </w:rPr>
              <w:t>75%</w:t>
            </w:r>
          </w:p>
        </w:tc>
        <w:tc>
          <w:tcPr>
            <w:tcW w:w="685" w:type="dxa"/>
            <w:tcBorders>
              <w:bottom w:val="single" w:sz="4" w:space="0" w:color="231F20"/>
            </w:tcBorders>
          </w:tcPr>
          <w:p>
            <w:pPr>
              <w:pStyle w:val="TableParagraph"/>
              <w:spacing w:before="43"/>
              <w:ind w:right="112"/>
              <w:jc w:val="right"/>
              <w:rPr>
                <w:sz w:val="18"/>
              </w:rPr>
            </w:pPr>
            <w:r>
              <w:rPr>
                <w:color w:val="231F20"/>
                <w:spacing w:val="-2"/>
                <w:w w:val="105"/>
                <w:sz w:val="18"/>
              </w:rPr>
              <w:t>3,900</w:t>
            </w:r>
          </w:p>
        </w:tc>
        <w:tc>
          <w:tcPr>
            <w:tcW w:w="812" w:type="dxa"/>
            <w:tcBorders>
              <w:bottom w:val="single" w:sz="4" w:space="0" w:color="231F20"/>
            </w:tcBorders>
          </w:tcPr>
          <w:p>
            <w:pPr>
              <w:pStyle w:val="TableParagraph"/>
              <w:spacing w:before="43"/>
              <w:ind w:right="114"/>
              <w:jc w:val="right"/>
              <w:rPr>
                <w:sz w:val="18"/>
              </w:rPr>
            </w:pPr>
            <w:r>
              <w:rPr>
                <w:color w:val="231F20"/>
                <w:spacing w:val="-2"/>
                <w:w w:val="105"/>
                <w:sz w:val="18"/>
              </w:rPr>
              <w:t>4,290</w:t>
            </w:r>
          </w:p>
        </w:tc>
        <w:tc>
          <w:tcPr>
            <w:tcW w:w="810" w:type="dxa"/>
            <w:tcBorders>
              <w:bottom w:val="single" w:sz="4" w:space="0" w:color="231F20"/>
            </w:tcBorders>
          </w:tcPr>
          <w:p>
            <w:pPr>
              <w:pStyle w:val="TableParagraph"/>
              <w:spacing w:before="43"/>
              <w:ind w:right="114"/>
              <w:jc w:val="right"/>
              <w:rPr>
                <w:sz w:val="18"/>
              </w:rPr>
            </w:pPr>
            <w:r>
              <w:rPr>
                <w:color w:val="231F20"/>
                <w:spacing w:val="-2"/>
                <w:w w:val="105"/>
                <w:sz w:val="18"/>
              </w:rPr>
              <w:t>4,719</w:t>
            </w:r>
          </w:p>
        </w:tc>
        <w:tc>
          <w:tcPr>
            <w:tcW w:w="823" w:type="dxa"/>
            <w:tcBorders>
              <w:bottom w:val="single" w:sz="4" w:space="0" w:color="231F20"/>
            </w:tcBorders>
          </w:tcPr>
          <w:p>
            <w:pPr>
              <w:pStyle w:val="TableParagraph"/>
              <w:spacing w:before="43"/>
              <w:ind w:right="117"/>
              <w:jc w:val="right"/>
              <w:rPr>
                <w:sz w:val="18"/>
              </w:rPr>
            </w:pPr>
            <w:r>
              <w:rPr>
                <w:color w:val="231F20"/>
                <w:spacing w:val="-2"/>
                <w:w w:val="105"/>
                <w:sz w:val="18"/>
              </w:rPr>
              <w:t>5,190</w:t>
            </w:r>
          </w:p>
        </w:tc>
        <w:tc>
          <w:tcPr>
            <w:tcW w:w="720" w:type="dxa"/>
            <w:tcBorders>
              <w:bottom w:val="single" w:sz="4" w:space="0" w:color="231F20"/>
            </w:tcBorders>
          </w:tcPr>
          <w:p>
            <w:pPr>
              <w:pStyle w:val="TableParagraph"/>
              <w:spacing w:before="43"/>
              <w:ind w:right="47"/>
              <w:jc w:val="right"/>
              <w:rPr>
                <w:sz w:val="18"/>
              </w:rPr>
            </w:pPr>
            <w:r>
              <w:rPr>
                <w:color w:val="231F20"/>
                <w:spacing w:val="-2"/>
                <w:w w:val="105"/>
                <w:sz w:val="18"/>
              </w:rPr>
              <w:t>5,709</w:t>
            </w:r>
          </w:p>
        </w:tc>
      </w:tr>
      <w:tr>
        <w:trPr>
          <w:trHeight w:val="445" w:hRule="atLeast"/>
        </w:trPr>
        <w:tc>
          <w:tcPr>
            <w:tcW w:w="2410" w:type="dxa"/>
          </w:tcPr>
          <w:p>
            <w:pPr>
              <w:pStyle w:val="TableParagraph"/>
              <w:spacing w:before="39"/>
              <w:ind w:left="50"/>
              <w:jc w:val="left"/>
              <w:rPr>
                <w:sz w:val="18"/>
              </w:rPr>
            </w:pPr>
            <w:r>
              <w:rPr>
                <w:color w:val="231F20"/>
                <w:w w:val="105"/>
                <w:sz w:val="18"/>
              </w:rPr>
              <w:t>Gross</w:t>
            </w:r>
            <w:r>
              <w:rPr>
                <w:color w:val="231F20"/>
                <w:spacing w:val="-3"/>
                <w:w w:val="105"/>
                <w:sz w:val="18"/>
              </w:rPr>
              <w:t> </w:t>
            </w:r>
            <w:r>
              <w:rPr>
                <w:color w:val="231F20"/>
                <w:w w:val="105"/>
                <w:sz w:val="18"/>
              </w:rPr>
              <w:t>Margin</w:t>
            </w:r>
            <w:r>
              <w:rPr>
                <w:color w:val="231F20"/>
                <w:spacing w:val="-3"/>
                <w:w w:val="105"/>
                <w:sz w:val="18"/>
              </w:rPr>
              <w:t> </w:t>
            </w:r>
            <w:r>
              <w:rPr>
                <w:color w:val="231F20"/>
                <w:w w:val="105"/>
                <w:sz w:val="18"/>
              </w:rPr>
              <w:t>@</w:t>
            </w:r>
            <w:r>
              <w:rPr>
                <w:color w:val="231F20"/>
                <w:spacing w:val="-3"/>
                <w:w w:val="105"/>
                <w:sz w:val="18"/>
              </w:rPr>
              <w:t> </w:t>
            </w:r>
            <w:r>
              <w:rPr>
                <w:color w:val="231F20"/>
                <w:spacing w:val="-5"/>
                <w:w w:val="105"/>
                <w:sz w:val="18"/>
              </w:rPr>
              <w:t>25%</w:t>
            </w:r>
          </w:p>
        </w:tc>
        <w:tc>
          <w:tcPr>
            <w:tcW w:w="685" w:type="dxa"/>
            <w:tcBorders>
              <w:top w:val="single" w:sz="4" w:space="0" w:color="231F20"/>
            </w:tcBorders>
          </w:tcPr>
          <w:p>
            <w:pPr>
              <w:pStyle w:val="TableParagraph"/>
              <w:spacing w:before="39"/>
              <w:ind w:right="112"/>
              <w:jc w:val="right"/>
              <w:rPr>
                <w:sz w:val="18"/>
              </w:rPr>
            </w:pPr>
            <w:r>
              <w:rPr>
                <w:color w:val="231F20"/>
                <w:spacing w:val="-2"/>
                <w:w w:val="105"/>
                <w:sz w:val="18"/>
              </w:rPr>
              <w:t>$1,300</w:t>
            </w:r>
          </w:p>
        </w:tc>
        <w:tc>
          <w:tcPr>
            <w:tcW w:w="812" w:type="dxa"/>
            <w:tcBorders>
              <w:top w:val="single" w:sz="4" w:space="0" w:color="231F20"/>
            </w:tcBorders>
          </w:tcPr>
          <w:p>
            <w:pPr>
              <w:pStyle w:val="TableParagraph"/>
              <w:spacing w:before="39"/>
              <w:ind w:right="114"/>
              <w:jc w:val="right"/>
              <w:rPr>
                <w:sz w:val="18"/>
              </w:rPr>
            </w:pPr>
            <w:r>
              <w:rPr>
                <w:color w:val="231F20"/>
                <w:spacing w:val="-2"/>
                <w:w w:val="105"/>
                <w:sz w:val="18"/>
              </w:rPr>
              <w:t>$1,430</w:t>
            </w:r>
          </w:p>
        </w:tc>
        <w:tc>
          <w:tcPr>
            <w:tcW w:w="810" w:type="dxa"/>
            <w:tcBorders>
              <w:top w:val="single" w:sz="4" w:space="0" w:color="231F20"/>
            </w:tcBorders>
          </w:tcPr>
          <w:p>
            <w:pPr>
              <w:pStyle w:val="TableParagraph"/>
              <w:spacing w:before="39"/>
              <w:ind w:right="114"/>
              <w:jc w:val="right"/>
              <w:rPr>
                <w:sz w:val="18"/>
              </w:rPr>
            </w:pPr>
            <w:r>
              <w:rPr>
                <w:color w:val="231F20"/>
                <w:spacing w:val="-2"/>
                <w:w w:val="105"/>
                <w:sz w:val="18"/>
              </w:rPr>
              <w:t>$1,573</w:t>
            </w:r>
          </w:p>
        </w:tc>
        <w:tc>
          <w:tcPr>
            <w:tcW w:w="823" w:type="dxa"/>
            <w:tcBorders>
              <w:top w:val="single" w:sz="4" w:space="0" w:color="231F20"/>
            </w:tcBorders>
          </w:tcPr>
          <w:p>
            <w:pPr>
              <w:pStyle w:val="TableParagraph"/>
              <w:spacing w:before="39"/>
              <w:ind w:right="117"/>
              <w:jc w:val="right"/>
              <w:rPr>
                <w:sz w:val="18"/>
              </w:rPr>
            </w:pPr>
            <w:r>
              <w:rPr>
                <w:color w:val="231F20"/>
                <w:spacing w:val="-2"/>
                <w:w w:val="105"/>
                <w:sz w:val="18"/>
              </w:rPr>
              <w:t>$1,731</w:t>
            </w:r>
          </w:p>
        </w:tc>
        <w:tc>
          <w:tcPr>
            <w:tcW w:w="720" w:type="dxa"/>
            <w:tcBorders>
              <w:top w:val="single" w:sz="4" w:space="0" w:color="231F20"/>
            </w:tcBorders>
          </w:tcPr>
          <w:p>
            <w:pPr>
              <w:pStyle w:val="TableParagraph"/>
              <w:spacing w:before="39"/>
              <w:ind w:right="47"/>
              <w:jc w:val="right"/>
              <w:rPr>
                <w:sz w:val="18"/>
              </w:rPr>
            </w:pPr>
            <w:r>
              <w:rPr>
                <w:color w:val="231F20"/>
                <w:spacing w:val="-2"/>
                <w:w w:val="105"/>
                <w:sz w:val="18"/>
              </w:rPr>
              <w:t>$1,904</w:t>
            </w:r>
          </w:p>
        </w:tc>
      </w:tr>
      <w:tr>
        <w:trPr>
          <w:trHeight w:val="444" w:hRule="atLeast"/>
        </w:trPr>
        <w:tc>
          <w:tcPr>
            <w:tcW w:w="2410" w:type="dxa"/>
          </w:tcPr>
          <w:p>
            <w:pPr>
              <w:pStyle w:val="TableParagraph"/>
              <w:spacing w:before="5"/>
              <w:jc w:val="left"/>
              <w:rPr>
                <w:b/>
                <w:sz w:val="16"/>
              </w:rPr>
            </w:pPr>
          </w:p>
          <w:p>
            <w:pPr>
              <w:pStyle w:val="TableParagraph"/>
              <w:spacing w:before="1"/>
              <w:ind w:left="50"/>
              <w:jc w:val="left"/>
              <w:rPr>
                <w:sz w:val="18"/>
              </w:rPr>
            </w:pPr>
            <w:r>
              <w:rPr>
                <w:color w:val="231F20"/>
                <w:w w:val="110"/>
                <w:sz w:val="18"/>
              </w:rPr>
              <w:t>SG&amp;A</w:t>
            </w:r>
            <w:r>
              <w:rPr>
                <w:color w:val="231F20"/>
                <w:spacing w:val="14"/>
                <w:w w:val="110"/>
                <w:sz w:val="18"/>
              </w:rPr>
              <w:t> </w:t>
            </w:r>
            <w:r>
              <w:rPr>
                <w:color w:val="231F20"/>
                <w:w w:val="110"/>
                <w:sz w:val="18"/>
              </w:rPr>
              <w:t>@</w:t>
            </w:r>
            <w:r>
              <w:rPr>
                <w:color w:val="231F20"/>
                <w:spacing w:val="14"/>
                <w:w w:val="110"/>
                <w:sz w:val="18"/>
              </w:rPr>
              <w:t> </w:t>
            </w:r>
            <w:r>
              <w:rPr>
                <w:color w:val="231F20"/>
                <w:spacing w:val="-5"/>
                <w:w w:val="110"/>
                <w:sz w:val="18"/>
              </w:rPr>
              <w:t>24%</w:t>
            </w:r>
          </w:p>
        </w:tc>
        <w:tc>
          <w:tcPr>
            <w:tcW w:w="685" w:type="dxa"/>
            <w:tcBorders>
              <w:bottom w:val="single" w:sz="4" w:space="0" w:color="231F20"/>
            </w:tcBorders>
          </w:tcPr>
          <w:p>
            <w:pPr>
              <w:pStyle w:val="TableParagraph"/>
              <w:spacing w:before="5"/>
              <w:jc w:val="left"/>
              <w:rPr>
                <w:b/>
                <w:sz w:val="16"/>
              </w:rPr>
            </w:pPr>
          </w:p>
          <w:p>
            <w:pPr>
              <w:pStyle w:val="TableParagraph"/>
              <w:spacing w:before="1"/>
              <w:ind w:right="112"/>
              <w:jc w:val="right"/>
              <w:rPr>
                <w:sz w:val="18"/>
              </w:rPr>
            </w:pPr>
            <w:r>
              <w:rPr>
                <w:color w:val="231F20"/>
                <w:spacing w:val="-2"/>
                <w:w w:val="105"/>
                <w:sz w:val="18"/>
              </w:rPr>
              <w:t>1,248</w:t>
            </w:r>
          </w:p>
        </w:tc>
        <w:tc>
          <w:tcPr>
            <w:tcW w:w="812" w:type="dxa"/>
            <w:tcBorders>
              <w:bottom w:val="single" w:sz="4" w:space="0" w:color="231F20"/>
            </w:tcBorders>
          </w:tcPr>
          <w:p>
            <w:pPr>
              <w:pStyle w:val="TableParagraph"/>
              <w:spacing w:before="5"/>
              <w:jc w:val="left"/>
              <w:rPr>
                <w:b/>
                <w:sz w:val="16"/>
              </w:rPr>
            </w:pPr>
          </w:p>
          <w:p>
            <w:pPr>
              <w:pStyle w:val="TableParagraph"/>
              <w:spacing w:before="1"/>
              <w:ind w:right="114"/>
              <w:jc w:val="right"/>
              <w:rPr>
                <w:sz w:val="18"/>
              </w:rPr>
            </w:pPr>
            <w:r>
              <w:rPr>
                <w:color w:val="231F20"/>
                <w:spacing w:val="-2"/>
                <w:w w:val="105"/>
                <w:sz w:val="18"/>
              </w:rPr>
              <w:t>1,373</w:t>
            </w:r>
          </w:p>
        </w:tc>
        <w:tc>
          <w:tcPr>
            <w:tcW w:w="810" w:type="dxa"/>
            <w:tcBorders>
              <w:bottom w:val="single" w:sz="4" w:space="0" w:color="231F20"/>
            </w:tcBorders>
          </w:tcPr>
          <w:p>
            <w:pPr>
              <w:pStyle w:val="TableParagraph"/>
              <w:spacing w:before="5"/>
              <w:jc w:val="left"/>
              <w:rPr>
                <w:b/>
                <w:sz w:val="16"/>
              </w:rPr>
            </w:pPr>
          </w:p>
          <w:p>
            <w:pPr>
              <w:pStyle w:val="TableParagraph"/>
              <w:spacing w:before="1"/>
              <w:ind w:right="114"/>
              <w:jc w:val="right"/>
              <w:rPr>
                <w:sz w:val="18"/>
              </w:rPr>
            </w:pPr>
            <w:r>
              <w:rPr>
                <w:color w:val="231F20"/>
                <w:spacing w:val="-2"/>
                <w:w w:val="105"/>
                <w:sz w:val="18"/>
              </w:rPr>
              <w:t>1,510</w:t>
            </w:r>
          </w:p>
        </w:tc>
        <w:tc>
          <w:tcPr>
            <w:tcW w:w="823" w:type="dxa"/>
            <w:tcBorders>
              <w:bottom w:val="single" w:sz="4" w:space="0" w:color="231F20"/>
            </w:tcBorders>
          </w:tcPr>
          <w:p>
            <w:pPr>
              <w:pStyle w:val="TableParagraph"/>
              <w:spacing w:before="5"/>
              <w:jc w:val="left"/>
              <w:rPr>
                <w:b/>
                <w:sz w:val="16"/>
              </w:rPr>
            </w:pPr>
          </w:p>
          <w:p>
            <w:pPr>
              <w:pStyle w:val="TableParagraph"/>
              <w:spacing w:before="1"/>
              <w:ind w:right="117"/>
              <w:jc w:val="right"/>
              <w:rPr>
                <w:sz w:val="18"/>
              </w:rPr>
            </w:pPr>
            <w:r>
              <w:rPr>
                <w:color w:val="231F20"/>
                <w:spacing w:val="-2"/>
                <w:w w:val="105"/>
                <w:sz w:val="18"/>
              </w:rPr>
              <w:t>1,661</w:t>
            </w:r>
          </w:p>
        </w:tc>
        <w:tc>
          <w:tcPr>
            <w:tcW w:w="720" w:type="dxa"/>
            <w:tcBorders>
              <w:bottom w:val="single" w:sz="4" w:space="0" w:color="231F20"/>
            </w:tcBorders>
          </w:tcPr>
          <w:p>
            <w:pPr>
              <w:pStyle w:val="TableParagraph"/>
              <w:spacing w:before="5"/>
              <w:jc w:val="left"/>
              <w:rPr>
                <w:b/>
                <w:sz w:val="16"/>
              </w:rPr>
            </w:pPr>
          </w:p>
          <w:p>
            <w:pPr>
              <w:pStyle w:val="TableParagraph"/>
              <w:spacing w:before="1"/>
              <w:ind w:right="47"/>
              <w:jc w:val="right"/>
              <w:rPr>
                <w:sz w:val="18"/>
              </w:rPr>
            </w:pPr>
            <w:r>
              <w:rPr>
                <w:color w:val="231F20"/>
                <w:spacing w:val="-2"/>
                <w:w w:val="105"/>
                <w:sz w:val="18"/>
              </w:rPr>
              <w:t>1,827</w:t>
            </w:r>
          </w:p>
        </w:tc>
      </w:tr>
      <w:tr>
        <w:trPr>
          <w:trHeight w:val="295" w:hRule="atLeast"/>
        </w:trPr>
        <w:tc>
          <w:tcPr>
            <w:tcW w:w="2410" w:type="dxa"/>
          </w:tcPr>
          <w:p>
            <w:pPr>
              <w:pStyle w:val="TableParagraph"/>
              <w:spacing w:before="39"/>
              <w:ind w:left="50"/>
              <w:jc w:val="left"/>
              <w:rPr>
                <w:sz w:val="18"/>
              </w:rPr>
            </w:pPr>
            <w:r>
              <w:rPr>
                <w:color w:val="231F20"/>
                <w:sz w:val="18"/>
              </w:rPr>
              <w:t>Operating</w:t>
            </w:r>
            <w:r>
              <w:rPr>
                <w:color w:val="231F20"/>
                <w:spacing w:val="25"/>
                <w:sz w:val="18"/>
              </w:rPr>
              <w:t> </w:t>
            </w:r>
            <w:r>
              <w:rPr>
                <w:color w:val="231F20"/>
                <w:spacing w:val="-2"/>
                <w:sz w:val="18"/>
              </w:rPr>
              <w:t>Income</w:t>
            </w:r>
          </w:p>
        </w:tc>
        <w:tc>
          <w:tcPr>
            <w:tcW w:w="685" w:type="dxa"/>
            <w:tcBorders>
              <w:top w:val="single" w:sz="4" w:space="0" w:color="231F20"/>
            </w:tcBorders>
          </w:tcPr>
          <w:p>
            <w:pPr>
              <w:pStyle w:val="TableParagraph"/>
              <w:spacing w:before="39"/>
              <w:ind w:right="112"/>
              <w:jc w:val="right"/>
              <w:rPr>
                <w:sz w:val="18"/>
              </w:rPr>
            </w:pPr>
            <w:r>
              <w:rPr>
                <w:color w:val="231F20"/>
                <w:spacing w:val="-5"/>
                <w:w w:val="105"/>
                <w:sz w:val="18"/>
              </w:rPr>
              <w:t>$52</w:t>
            </w:r>
          </w:p>
        </w:tc>
        <w:tc>
          <w:tcPr>
            <w:tcW w:w="812" w:type="dxa"/>
            <w:tcBorders>
              <w:top w:val="single" w:sz="4" w:space="0" w:color="231F20"/>
            </w:tcBorders>
          </w:tcPr>
          <w:p>
            <w:pPr>
              <w:pStyle w:val="TableParagraph"/>
              <w:spacing w:before="39"/>
              <w:ind w:right="114"/>
              <w:jc w:val="right"/>
              <w:rPr>
                <w:sz w:val="18"/>
              </w:rPr>
            </w:pPr>
            <w:r>
              <w:rPr>
                <w:color w:val="231F20"/>
                <w:spacing w:val="-5"/>
                <w:w w:val="105"/>
                <w:sz w:val="18"/>
              </w:rPr>
              <w:t>$57</w:t>
            </w:r>
          </w:p>
        </w:tc>
        <w:tc>
          <w:tcPr>
            <w:tcW w:w="810" w:type="dxa"/>
            <w:tcBorders>
              <w:top w:val="single" w:sz="4" w:space="0" w:color="231F20"/>
            </w:tcBorders>
          </w:tcPr>
          <w:p>
            <w:pPr>
              <w:pStyle w:val="TableParagraph"/>
              <w:spacing w:before="39"/>
              <w:ind w:right="114"/>
              <w:jc w:val="right"/>
              <w:rPr>
                <w:sz w:val="18"/>
              </w:rPr>
            </w:pPr>
            <w:r>
              <w:rPr>
                <w:color w:val="231F20"/>
                <w:spacing w:val="-5"/>
                <w:w w:val="105"/>
                <w:sz w:val="18"/>
              </w:rPr>
              <w:t>$63</w:t>
            </w:r>
          </w:p>
        </w:tc>
        <w:tc>
          <w:tcPr>
            <w:tcW w:w="823" w:type="dxa"/>
            <w:tcBorders>
              <w:top w:val="single" w:sz="4" w:space="0" w:color="231F20"/>
            </w:tcBorders>
          </w:tcPr>
          <w:p>
            <w:pPr>
              <w:pStyle w:val="TableParagraph"/>
              <w:spacing w:before="39"/>
              <w:ind w:right="117"/>
              <w:jc w:val="right"/>
              <w:rPr>
                <w:sz w:val="18"/>
              </w:rPr>
            </w:pPr>
            <w:r>
              <w:rPr>
                <w:color w:val="231F20"/>
                <w:spacing w:val="-5"/>
                <w:w w:val="105"/>
                <w:sz w:val="18"/>
              </w:rPr>
              <w:t>$70</w:t>
            </w:r>
          </w:p>
        </w:tc>
        <w:tc>
          <w:tcPr>
            <w:tcW w:w="720" w:type="dxa"/>
            <w:tcBorders>
              <w:top w:val="single" w:sz="4" w:space="0" w:color="231F20"/>
            </w:tcBorders>
          </w:tcPr>
          <w:p>
            <w:pPr>
              <w:pStyle w:val="TableParagraph"/>
              <w:spacing w:before="39"/>
              <w:ind w:right="47"/>
              <w:jc w:val="right"/>
              <w:rPr>
                <w:sz w:val="18"/>
              </w:rPr>
            </w:pPr>
            <w:r>
              <w:rPr>
                <w:color w:val="231F20"/>
                <w:spacing w:val="-5"/>
                <w:w w:val="105"/>
                <w:sz w:val="18"/>
              </w:rPr>
              <w:t>$77</w:t>
            </w:r>
          </w:p>
        </w:tc>
      </w:tr>
      <w:tr>
        <w:trPr>
          <w:trHeight w:val="299" w:hRule="atLeast"/>
        </w:trPr>
        <w:tc>
          <w:tcPr>
            <w:tcW w:w="2410" w:type="dxa"/>
          </w:tcPr>
          <w:p>
            <w:pPr>
              <w:pStyle w:val="TableParagraph"/>
              <w:spacing w:before="43"/>
              <w:ind w:left="50"/>
              <w:jc w:val="left"/>
              <w:rPr>
                <w:sz w:val="18"/>
              </w:rPr>
            </w:pPr>
            <w:r>
              <w:rPr>
                <w:color w:val="231F20"/>
                <w:sz w:val="18"/>
              </w:rPr>
              <w:t>Add</w:t>
            </w:r>
            <w:r>
              <w:rPr>
                <w:color w:val="231F20"/>
                <w:spacing w:val="21"/>
                <w:sz w:val="18"/>
              </w:rPr>
              <w:t> </w:t>
            </w:r>
            <w:r>
              <w:rPr>
                <w:color w:val="231F20"/>
                <w:sz w:val="18"/>
              </w:rPr>
              <w:t>Back</w:t>
            </w:r>
            <w:r>
              <w:rPr>
                <w:color w:val="231F20"/>
                <w:spacing w:val="22"/>
                <w:sz w:val="18"/>
              </w:rPr>
              <w:t> </w:t>
            </w:r>
            <w:r>
              <w:rPr>
                <w:color w:val="231F20"/>
                <w:spacing w:val="-2"/>
                <w:sz w:val="18"/>
              </w:rPr>
              <w:t>Depreciation</w:t>
            </w:r>
          </w:p>
        </w:tc>
        <w:tc>
          <w:tcPr>
            <w:tcW w:w="685" w:type="dxa"/>
          </w:tcPr>
          <w:p>
            <w:pPr>
              <w:pStyle w:val="TableParagraph"/>
              <w:spacing w:before="43"/>
              <w:ind w:right="112"/>
              <w:jc w:val="right"/>
              <w:rPr>
                <w:sz w:val="18"/>
              </w:rPr>
            </w:pPr>
            <w:r>
              <w:rPr>
                <w:color w:val="231F20"/>
                <w:w w:val="100"/>
                <w:sz w:val="18"/>
              </w:rPr>
              <w:t>3</w:t>
            </w:r>
          </w:p>
        </w:tc>
        <w:tc>
          <w:tcPr>
            <w:tcW w:w="812" w:type="dxa"/>
          </w:tcPr>
          <w:p>
            <w:pPr>
              <w:pStyle w:val="TableParagraph"/>
              <w:spacing w:before="43"/>
              <w:ind w:right="114"/>
              <w:jc w:val="right"/>
              <w:rPr>
                <w:sz w:val="18"/>
              </w:rPr>
            </w:pPr>
            <w:r>
              <w:rPr>
                <w:color w:val="231F20"/>
                <w:w w:val="100"/>
                <w:sz w:val="18"/>
              </w:rPr>
              <w:t>3</w:t>
            </w:r>
          </w:p>
        </w:tc>
        <w:tc>
          <w:tcPr>
            <w:tcW w:w="810" w:type="dxa"/>
          </w:tcPr>
          <w:p>
            <w:pPr>
              <w:pStyle w:val="TableParagraph"/>
              <w:spacing w:before="43"/>
              <w:ind w:right="114"/>
              <w:jc w:val="right"/>
              <w:rPr>
                <w:sz w:val="18"/>
              </w:rPr>
            </w:pPr>
            <w:r>
              <w:rPr>
                <w:color w:val="231F20"/>
                <w:w w:val="100"/>
                <w:sz w:val="18"/>
              </w:rPr>
              <w:t>3</w:t>
            </w:r>
          </w:p>
        </w:tc>
        <w:tc>
          <w:tcPr>
            <w:tcW w:w="823" w:type="dxa"/>
          </w:tcPr>
          <w:p>
            <w:pPr>
              <w:pStyle w:val="TableParagraph"/>
              <w:spacing w:before="43"/>
              <w:ind w:right="117"/>
              <w:jc w:val="right"/>
              <w:rPr>
                <w:sz w:val="18"/>
              </w:rPr>
            </w:pPr>
            <w:r>
              <w:rPr>
                <w:color w:val="231F20"/>
                <w:w w:val="100"/>
                <w:sz w:val="18"/>
              </w:rPr>
              <w:t>3</w:t>
            </w:r>
          </w:p>
        </w:tc>
        <w:tc>
          <w:tcPr>
            <w:tcW w:w="720" w:type="dxa"/>
          </w:tcPr>
          <w:p>
            <w:pPr>
              <w:pStyle w:val="TableParagraph"/>
              <w:spacing w:before="43"/>
              <w:ind w:right="47"/>
              <w:jc w:val="right"/>
              <w:rPr>
                <w:sz w:val="18"/>
              </w:rPr>
            </w:pPr>
            <w:r>
              <w:rPr>
                <w:color w:val="231F20"/>
                <w:w w:val="100"/>
                <w:sz w:val="18"/>
              </w:rPr>
              <w:t>3</w:t>
            </w:r>
          </w:p>
        </w:tc>
      </w:tr>
      <w:tr>
        <w:trPr>
          <w:trHeight w:val="294" w:hRule="atLeast"/>
        </w:trPr>
        <w:tc>
          <w:tcPr>
            <w:tcW w:w="2410" w:type="dxa"/>
          </w:tcPr>
          <w:p>
            <w:pPr>
              <w:pStyle w:val="TableParagraph"/>
              <w:spacing w:before="43"/>
              <w:ind w:left="50"/>
              <w:jc w:val="left"/>
              <w:rPr>
                <w:sz w:val="18"/>
              </w:rPr>
            </w:pPr>
            <w:r>
              <w:rPr>
                <w:color w:val="231F20"/>
                <w:sz w:val="18"/>
              </w:rPr>
              <w:t>Less Equipment</w:t>
            </w:r>
            <w:r>
              <w:rPr>
                <w:color w:val="231F20"/>
                <w:spacing w:val="1"/>
                <w:sz w:val="18"/>
              </w:rPr>
              <w:t> </w:t>
            </w:r>
            <w:r>
              <w:rPr>
                <w:color w:val="231F20"/>
                <w:spacing w:val="-2"/>
                <w:sz w:val="18"/>
              </w:rPr>
              <w:t>Purchased</w:t>
            </w:r>
          </w:p>
        </w:tc>
        <w:tc>
          <w:tcPr>
            <w:tcW w:w="685" w:type="dxa"/>
            <w:tcBorders>
              <w:bottom w:val="single" w:sz="4" w:space="0" w:color="231F20"/>
            </w:tcBorders>
          </w:tcPr>
          <w:p>
            <w:pPr>
              <w:pStyle w:val="TableParagraph"/>
              <w:spacing w:before="43"/>
              <w:ind w:right="112"/>
              <w:jc w:val="right"/>
              <w:rPr>
                <w:sz w:val="18"/>
              </w:rPr>
            </w:pPr>
            <w:r>
              <w:rPr>
                <w:color w:val="231F20"/>
                <w:w w:val="100"/>
                <w:sz w:val="18"/>
              </w:rPr>
              <w:t>3</w:t>
            </w:r>
          </w:p>
        </w:tc>
        <w:tc>
          <w:tcPr>
            <w:tcW w:w="812" w:type="dxa"/>
            <w:tcBorders>
              <w:bottom w:val="single" w:sz="4" w:space="0" w:color="231F20"/>
            </w:tcBorders>
          </w:tcPr>
          <w:p>
            <w:pPr>
              <w:pStyle w:val="TableParagraph"/>
              <w:spacing w:before="43"/>
              <w:ind w:right="114"/>
              <w:jc w:val="right"/>
              <w:rPr>
                <w:sz w:val="18"/>
              </w:rPr>
            </w:pPr>
            <w:r>
              <w:rPr>
                <w:color w:val="231F20"/>
                <w:w w:val="100"/>
                <w:sz w:val="18"/>
              </w:rPr>
              <w:t>3</w:t>
            </w:r>
          </w:p>
        </w:tc>
        <w:tc>
          <w:tcPr>
            <w:tcW w:w="810" w:type="dxa"/>
            <w:tcBorders>
              <w:bottom w:val="single" w:sz="4" w:space="0" w:color="231F20"/>
            </w:tcBorders>
          </w:tcPr>
          <w:p>
            <w:pPr>
              <w:pStyle w:val="TableParagraph"/>
              <w:spacing w:before="43"/>
              <w:ind w:right="114"/>
              <w:jc w:val="right"/>
              <w:rPr>
                <w:sz w:val="18"/>
              </w:rPr>
            </w:pPr>
            <w:r>
              <w:rPr>
                <w:color w:val="231F20"/>
                <w:w w:val="100"/>
                <w:sz w:val="18"/>
              </w:rPr>
              <w:t>3</w:t>
            </w:r>
          </w:p>
        </w:tc>
        <w:tc>
          <w:tcPr>
            <w:tcW w:w="823" w:type="dxa"/>
            <w:tcBorders>
              <w:bottom w:val="single" w:sz="4" w:space="0" w:color="231F20"/>
            </w:tcBorders>
          </w:tcPr>
          <w:p>
            <w:pPr>
              <w:pStyle w:val="TableParagraph"/>
              <w:spacing w:before="43"/>
              <w:ind w:right="117"/>
              <w:jc w:val="right"/>
              <w:rPr>
                <w:sz w:val="18"/>
              </w:rPr>
            </w:pPr>
            <w:r>
              <w:rPr>
                <w:color w:val="231F20"/>
                <w:w w:val="100"/>
                <w:sz w:val="18"/>
              </w:rPr>
              <w:t>3</w:t>
            </w:r>
          </w:p>
        </w:tc>
        <w:tc>
          <w:tcPr>
            <w:tcW w:w="720" w:type="dxa"/>
            <w:tcBorders>
              <w:bottom w:val="single" w:sz="4" w:space="0" w:color="231F20"/>
            </w:tcBorders>
          </w:tcPr>
          <w:p>
            <w:pPr>
              <w:pStyle w:val="TableParagraph"/>
              <w:spacing w:before="43"/>
              <w:ind w:right="47"/>
              <w:jc w:val="right"/>
              <w:rPr>
                <w:sz w:val="18"/>
              </w:rPr>
            </w:pPr>
            <w:r>
              <w:rPr>
                <w:color w:val="231F20"/>
                <w:w w:val="100"/>
                <w:sz w:val="18"/>
              </w:rPr>
              <w:t>3</w:t>
            </w:r>
          </w:p>
        </w:tc>
      </w:tr>
    </w:tbl>
    <w:p>
      <w:pPr>
        <w:tabs>
          <w:tab w:pos="3460" w:val="left" w:leader="none"/>
          <w:tab w:pos="4270" w:val="left" w:leader="none"/>
          <w:tab w:pos="5080" w:val="left" w:leader="none"/>
          <w:tab w:pos="5900" w:val="left" w:leader="none"/>
          <w:tab w:pos="6690" w:val="left" w:leader="none"/>
        </w:tabs>
        <w:spacing w:before="48"/>
        <w:ind w:left="830" w:right="0" w:firstLine="0"/>
        <w:jc w:val="left"/>
        <w:rPr>
          <w:sz w:val="18"/>
        </w:rPr>
      </w:pPr>
      <w:r>
        <w:rPr>
          <w:color w:val="231F20"/>
          <w:sz w:val="18"/>
        </w:rPr>
        <w:t>Free</w:t>
      </w:r>
      <w:r>
        <w:rPr>
          <w:color w:val="231F20"/>
          <w:spacing w:val="14"/>
          <w:sz w:val="18"/>
        </w:rPr>
        <w:t> </w:t>
      </w:r>
      <w:r>
        <w:rPr>
          <w:color w:val="231F20"/>
          <w:sz w:val="18"/>
        </w:rPr>
        <w:t>Cash</w:t>
      </w:r>
      <w:r>
        <w:rPr>
          <w:color w:val="231F20"/>
          <w:spacing w:val="14"/>
          <w:sz w:val="18"/>
        </w:rPr>
        <w:t> </w:t>
      </w:r>
      <w:r>
        <w:rPr>
          <w:color w:val="231F20"/>
          <w:sz w:val="18"/>
        </w:rPr>
        <w:t>Flow</w:t>
      </w:r>
      <w:r>
        <w:rPr>
          <w:color w:val="231F20"/>
          <w:spacing w:val="14"/>
          <w:sz w:val="18"/>
        </w:rPr>
        <w:t> </w:t>
      </w:r>
      <w:r>
        <w:rPr>
          <w:color w:val="231F20"/>
          <w:spacing w:val="-2"/>
          <w:sz w:val="18"/>
        </w:rPr>
        <w:t>(EBIT)</w:t>
      </w:r>
      <w:r>
        <w:rPr>
          <w:color w:val="231F20"/>
          <w:sz w:val="18"/>
        </w:rPr>
        <w:tab/>
      </w:r>
      <w:r>
        <w:rPr>
          <w:color w:val="231F20"/>
          <w:spacing w:val="-5"/>
          <w:sz w:val="18"/>
        </w:rPr>
        <w:t>$52</w:t>
      </w:r>
      <w:r>
        <w:rPr>
          <w:color w:val="231F20"/>
          <w:sz w:val="18"/>
        </w:rPr>
        <w:tab/>
      </w:r>
      <w:r>
        <w:rPr>
          <w:color w:val="231F20"/>
          <w:spacing w:val="-5"/>
          <w:sz w:val="18"/>
        </w:rPr>
        <w:t>$57</w:t>
      </w:r>
      <w:r>
        <w:rPr>
          <w:color w:val="231F20"/>
          <w:sz w:val="18"/>
        </w:rPr>
        <w:tab/>
      </w:r>
      <w:r>
        <w:rPr>
          <w:color w:val="231F20"/>
          <w:spacing w:val="-5"/>
          <w:sz w:val="18"/>
        </w:rPr>
        <w:t>$63</w:t>
      </w:r>
      <w:r>
        <w:rPr>
          <w:color w:val="231F20"/>
          <w:sz w:val="18"/>
        </w:rPr>
        <w:tab/>
      </w:r>
      <w:r>
        <w:rPr>
          <w:color w:val="231F20"/>
          <w:spacing w:val="-5"/>
          <w:sz w:val="18"/>
        </w:rPr>
        <w:t>$70</w:t>
      </w:r>
      <w:r>
        <w:rPr>
          <w:color w:val="231F20"/>
          <w:sz w:val="18"/>
        </w:rPr>
        <w:tab/>
      </w:r>
      <w:r>
        <w:rPr>
          <w:color w:val="231F20"/>
          <w:spacing w:val="-5"/>
          <w:sz w:val="18"/>
        </w:rPr>
        <w:t>$77</w:t>
      </w:r>
    </w:p>
    <w:p>
      <w:pPr>
        <w:pStyle w:val="BodyText"/>
        <w:rPr>
          <w:sz w:val="20"/>
        </w:rPr>
      </w:pPr>
    </w:p>
    <w:p>
      <w:pPr>
        <w:pStyle w:val="BodyText"/>
        <w:spacing w:before="1"/>
      </w:pPr>
    </w:p>
    <w:p>
      <w:pPr>
        <w:pStyle w:val="ListParagraph"/>
        <w:numPr>
          <w:ilvl w:val="0"/>
          <w:numId w:val="38"/>
        </w:numPr>
        <w:tabs>
          <w:tab w:pos="1395" w:val="left" w:leader="none"/>
        </w:tabs>
        <w:spacing w:line="328" w:lineRule="auto" w:before="0" w:after="0"/>
        <w:ind w:left="1169" w:right="929" w:firstLine="0"/>
        <w:jc w:val="left"/>
        <w:rPr>
          <w:i/>
          <w:sz w:val="19"/>
        </w:rPr>
      </w:pPr>
      <w:r>
        <w:rPr>
          <w:i/>
          <w:color w:val="231F20"/>
          <w:w w:val="115"/>
          <w:sz w:val="19"/>
        </w:rPr>
        <w:t>Analyze</w:t>
      </w:r>
      <w:r>
        <w:rPr>
          <w:i/>
          <w:color w:val="231F20"/>
          <w:spacing w:val="-12"/>
          <w:w w:val="115"/>
          <w:sz w:val="19"/>
        </w:rPr>
        <w:t> </w:t>
      </w:r>
      <w:r>
        <w:rPr>
          <w:i/>
          <w:color w:val="231F20"/>
          <w:w w:val="115"/>
          <w:sz w:val="19"/>
        </w:rPr>
        <w:t>the</w:t>
      </w:r>
      <w:r>
        <w:rPr>
          <w:i/>
          <w:color w:val="231F20"/>
          <w:spacing w:val="-12"/>
          <w:w w:val="115"/>
          <w:sz w:val="19"/>
        </w:rPr>
        <w:t> </w:t>
      </w:r>
      <w:r>
        <w:rPr>
          <w:i/>
          <w:color w:val="231F20"/>
          <w:w w:val="115"/>
          <w:sz w:val="19"/>
        </w:rPr>
        <w:t>investments</w:t>
      </w:r>
      <w:r>
        <w:rPr>
          <w:i/>
          <w:color w:val="231F20"/>
          <w:spacing w:val="-12"/>
          <w:w w:val="115"/>
          <w:sz w:val="19"/>
        </w:rPr>
        <w:t> </w:t>
      </w:r>
      <w:r>
        <w:rPr>
          <w:i/>
          <w:color w:val="231F20"/>
          <w:w w:val="115"/>
          <w:sz w:val="19"/>
        </w:rPr>
        <w:t>necessary</w:t>
      </w:r>
      <w:r>
        <w:rPr>
          <w:i/>
          <w:color w:val="231F20"/>
          <w:spacing w:val="-12"/>
          <w:w w:val="115"/>
          <w:sz w:val="19"/>
        </w:rPr>
        <w:t> </w:t>
      </w:r>
      <w:r>
        <w:rPr>
          <w:i/>
          <w:color w:val="231F20"/>
          <w:w w:val="115"/>
          <w:sz w:val="19"/>
        </w:rPr>
        <w:t>to</w:t>
      </w:r>
      <w:r>
        <w:rPr>
          <w:i/>
          <w:color w:val="231F20"/>
          <w:spacing w:val="-12"/>
          <w:w w:val="115"/>
          <w:sz w:val="19"/>
        </w:rPr>
        <w:t> </w:t>
      </w:r>
      <w:r>
        <w:rPr>
          <w:i/>
          <w:color w:val="231F20"/>
          <w:w w:val="115"/>
          <w:sz w:val="19"/>
        </w:rPr>
        <w:t>replace</w:t>
      </w:r>
      <w:r>
        <w:rPr>
          <w:i/>
          <w:color w:val="231F20"/>
          <w:spacing w:val="-12"/>
          <w:w w:val="115"/>
          <w:sz w:val="19"/>
        </w:rPr>
        <w:t> </w:t>
      </w:r>
      <w:r>
        <w:rPr>
          <w:i/>
          <w:color w:val="231F20"/>
          <w:w w:val="115"/>
          <w:sz w:val="19"/>
        </w:rPr>
        <w:t>and</w:t>
      </w:r>
      <w:r>
        <w:rPr>
          <w:i/>
          <w:color w:val="231F20"/>
          <w:spacing w:val="-12"/>
          <w:w w:val="115"/>
          <w:sz w:val="19"/>
        </w:rPr>
        <w:t> </w:t>
      </w:r>
      <w:r>
        <w:rPr>
          <w:i/>
          <w:color w:val="231F20"/>
          <w:w w:val="115"/>
          <w:sz w:val="19"/>
        </w:rPr>
        <w:t>to</w:t>
      </w:r>
      <w:r>
        <w:rPr>
          <w:i/>
          <w:color w:val="231F20"/>
          <w:spacing w:val="-12"/>
          <w:w w:val="115"/>
          <w:sz w:val="19"/>
        </w:rPr>
        <w:t> </w:t>
      </w:r>
      <w:r>
        <w:rPr>
          <w:i/>
          <w:color w:val="231F20"/>
          <w:w w:val="115"/>
          <w:sz w:val="19"/>
        </w:rPr>
        <w:t>buy</w:t>
      </w:r>
      <w:r>
        <w:rPr>
          <w:i/>
          <w:color w:val="231F20"/>
          <w:w w:val="115"/>
          <w:sz w:val="19"/>
        </w:rPr>
        <w:t> new property, plant, and equipment.</w:t>
      </w:r>
    </w:p>
    <w:p>
      <w:pPr>
        <w:pStyle w:val="BodyText"/>
        <w:spacing w:line="226" w:lineRule="exact"/>
        <w:ind w:left="1170"/>
      </w:pPr>
      <w:r>
        <w:rPr>
          <w:color w:val="231F20"/>
        </w:rPr>
        <w:t>Don’t</w:t>
      </w:r>
      <w:r>
        <w:rPr>
          <w:color w:val="231F20"/>
          <w:spacing w:val="51"/>
        </w:rPr>
        <w:t> </w:t>
      </w:r>
      <w:r>
        <w:rPr>
          <w:color w:val="231F20"/>
        </w:rPr>
        <w:t>be</w:t>
      </w:r>
      <w:r>
        <w:rPr>
          <w:color w:val="231F20"/>
          <w:spacing w:val="52"/>
        </w:rPr>
        <w:t> </w:t>
      </w:r>
      <w:r>
        <w:rPr>
          <w:color w:val="231F20"/>
        </w:rPr>
        <w:t>shy.</w:t>
      </w:r>
      <w:r>
        <w:rPr>
          <w:color w:val="231F20"/>
          <w:spacing w:val="52"/>
        </w:rPr>
        <w:t> </w:t>
      </w:r>
      <w:r>
        <w:rPr>
          <w:color w:val="231F20"/>
        </w:rPr>
        <w:t>Consult</w:t>
      </w:r>
      <w:r>
        <w:rPr>
          <w:color w:val="231F20"/>
          <w:spacing w:val="52"/>
        </w:rPr>
        <w:t> </w:t>
      </w:r>
      <w:r>
        <w:rPr>
          <w:color w:val="231F20"/>
        </w:rPr>
        <w:t>with</w:t>
      </w:r>
      <w:r>
        <w:rPr>
          <w:color w:val="231F20"/>
          <w:spacing w:val="52"/>
        </w:rPr>
        <w:t> </w:t>
      </w:r>
      <w:r>
        <w:rPr>
          <w:color w:val="231F20"/>
        </w:rPr>
        <w:t>the</w:t>
      </w:r>
      <w:r>
        <w:rPr>
          <w:color w:val="231F20"/>
          <w:spacing w:val="52"/>
        </w:rPr>
        <w:t> </w:t>
      </w:r>
      <w:r>
        <w:rPr>
          <w:color w:val="231F20"/>
        </w:rPr>
        <w:t>engineers,</w:t>
      </w:r>
      <w:r>
        <w:rPr>
          <w:color w:val="231F20"/>
          <w:spacing w:val="52"/>
        </w:rPr>
        <w:t> </w:t>
      </w:r>
      <w:r>
        <w:rPr>
          <w:color w:val="231F20"/>
        </w:rPr>
        <w:t>purchasing</w:t>
      </w:r>
      <w:r>
        <w:rPr>
          <w:color w:val="231F20"/>
          <w:spacing w:val="52"/>
        </w:rPr>
        <w:t> </w:t>
      </w:r>
      <w:r>
        <w:rPr>
          <w:color w:val="231F20"/>
          <w:spacing w:val="-2"/>
        </w:rPr>
        <w:t>depart-</w:t>
      </w:r>
    </w:p>
    <w:p>
      <w:pPr>
        <w:pStyle w:val="BodyText"/>
        <w:spacing w:line="292" w:lineRule="auto" w:before="54"/>
        <w:ind w:left="830" w:right="667"/>
      </w:pPr>
      <w:r>
        <w:rPr>
          <w:color w:val="231F20"/>
        </w:rPr>
        <w:t>ment, and the accountants to get a good estimate of costs and useful </w:t>
      </w:r>
      <w:r>
        <w:rPr>
          <w:color w:val="231F20"/>
          <w:spacing w:val="-2"/>
        </w:rPr>
        <w:t>lives.</w:t>
      </w:r>
    </w:p>
    <w:p>
      <w:pPr>
        <w:pStyle w:val="BodyText"/>
        <w:spacing w:before="4"/>
        <w:rPr>
          <w:sz w:val="27"/>
        </w:rPr>
      </w:pPr>
    </w:p>
    <w:p>
      <w:pPr>
        <w:pStyle w:val="ListParagraph"/>
        <w:numPr>
          <w:ilvl w:val="0"/>
          <w:numId w:val="38"/>
        </w:numPr>
        <w:tabs>
          <w:tab w:pos="1497" w:val="left" w:leader="none"/>
        </w:tabs>
        <w:spacing w:line="240" w:lineRule="auto" w:before="0" w:after="0"/>
        <w:ind w:left="1496" w:right="0" w:hanging="227"/>
        <w:jc w:val="left"/>
        <w:rPr>
          <w:i/>
          <w:sz w:val="19"/>
        </w:rPr>
      </w:pPr>
      <w:r>
        <w:rPr>
          <w:i/>
          <w:color w:val="231F20"/>
          <w:w w:val="115"/>
          <w:sz w:val="19"/>
        </w:rPr>
        <w:t>Determine</w:t>
      </w:r>
      <w:r>
        <w:rPr>
          <w:i/>
          <w:color w:val="231F20"/>
          <w:spacing w:val="1"/>
          <w:w w:val="115"/>
          <w:sz w:val="19"/>
        </w:rPr>
        <w:t> </w:t>
      </w:r>
      <w:r>
        <w:rPr>
          <w:i/>
          <w:color w:val="231F20"/>
          <w:w w:val="115"/>
          <w:sz w:val="19"/>
        </w:rPr>
        <w:t>the</w:t>
      </w:r>
      <w:r>
        <w:rPr>
          <w:i/>
          <w:color w:val="231F20"/>
          <w:spacing w:val="1"/>
          <w:w w:val="115"/>
          <w:sz w:val="19"/>
        </w:rPr>
        <w:t> </w:t>
      </w:r>
      <w:r>
        <w:rPr>
          <w:i/>
          <w:color w:val="231F20"/>
          <w:w w:val="115"/>
          <w:sz w:val="19"/>
        </w:rPr>
        <w:t>working</w:t>
      </w:r>
      <w:r>
        <w:rPr>
          <w:i/>
          <w:color w:val="231F20"/>
          <w:spacing w:val="2"/>
          <w:w w:val="115"/>
          <w:sz w:val="19"/>
        </w:rPr>
        <w:t> </w:t>
      </w:r>
      <w:r>
        <w:rPr>
          <w:i/>
          <w:color w:val="231F20"/>
          <w:w w:val="115"/>
          <w:sz w:val="19"/>
        </w:rPr>
        <w:t>capital</w:t>
      </w:r>
      <w:r>
        <w:rPr>
          <w:i/>
          <w:color w:val="231F20"/>
          <w:spacing w:val="1"/>
          <w:w w:val="115"/>
          <w:sz w:val="19"/>
        </w:rPr>
        <w:t> </w:t>
      </w:r>
      <w:r>
        <w:rPr>
          <w:i/>
          <w:color w:val="231F20"/>
          <w:w w:val="115"/>
          <w:sz w:val="19"/>
        </w:rPr>
        <w:t>needs</w:t>
      </w:r>
      <w:r>
        <w:rPr>
          <w:i/>
          <w:color w:val="231F20"/>
          <w:spacing w:val="1"/>
          <w:w w:val="115"/>
          <w:sz w:val="19"/>
        </w:rPr>
        <w:t> </w:t>
      </w:r>
      <w:r>
        <w:rPr>
          <w:i/>
          <w:color w:val="231F20"/>
          <w:w w:val="115"/>
          <w:sz w:val="19"/>
        </w:rPr>
        <w:t>of</w:t>
      </w:r>
      <w:r>
        <w:rPr>
          <w:i/>
          <w:color w:val="231F20"/>
          <w:spacing w:val="1"/>
          <w:w w:val="115"/>
          <w:sz w:val="19"/>
        </w:rPr>
        <w:t> </w:t>
      </w:r>
      <w:r>
        <w:rPr>
          <w:i/>
          <w:color w:val="231F20"/>
          <w:w w:val="115"/>
          <w:sz w:val="19"/>
        </w:rPr>
        <w:t>the</w:t>
      </w:r>
      <w:r>
        <w:rPr>
          <w:i/>
          <w:color w:val="231F20"/>
          <w:spacing w:val="2"/>
          <w:w w:val="115"/>
          <w:sz w:val="19"/>
        </w:rPr>
        <w:t> </w:t>
      </w:r>
      <w:r>
        <w:rPr>
          <w:i/>
          <w:color w:val="231F20"/>
          <w:spacing w:val="-2"/>
          <w:w w:val="115"/>
          <w:sz w:val="19"/>
        </w:rPr>
        <w:t>business.</w:t>
      </w:r>
    </w:p>
    <w:p>
      <w:pPr>
        <w:pStyle w:val="BodyText"/>
        <w:spacing w:line="292" w:lineRule="auto" w:before="61"/>
        <w:ind w:left="830" w:right="756" w:firstLine="340"/>
        <w:jc w:val="both"/>
      </w:pPr>
      <w:r>
        <w:rPr>
          <w:color w:val="231F20"/>
        </w:rPr>
        <w:t>Businesses need cash to operate. The level of working capital </w:t>
      </w:r>
      <w:r>
        <w:rPr>
          <w:color w:val="231F20"/>
        </w:rPr>
        <w:t>is most often a function of the volume of sales. The more sales that are generated, the greater the cash needs for making change at the cash registers and purchasing inventory. This need is balanced somewhat by the credit that vendors increasingly extend as the market’s pur- chases from them grow in volume. This is an important part of the process; failing to consider the working capital needs could result in</w:t>
      </w:r>
      <w:r>
        <w:rPr>
          <w:color w:val="231F20"/>
          <w:spacing w:val="40"/>
        </w:rPr>
        <w:t> </w:t>
      </w:r>
      <w:r>
        <w:rPr>
          <w:color w:val="231F20"/>
        </w:rPr>
        <w:t>a cash squeeze.</w:t>
      </w:r>
    </w:p>
    <w:p>
      <w:pPr>
        <w:pStyle w:val="BodyText"/>
        <w:tabs>
          <w:tab w:pos="6673" w:val="left" w:leader="none"/>
        </w:tabs>
        <w:spacing w:line="292" w:lineRule="auto"/>
        <w:ind w:left="830" w:right="754" w:firstLine="340"/>
        <w:jc w:val="right"/>
      </w:pPr>
      <w:r>
        <w:rPr/>
        <w:pict>
          <v:rect style="position:absolute;margin-left:342.859314pt;margin-top:37.10244pt;width:4.930940pt;height:.7242pt;mso-position-horizontal-relative:page;mso-position-vertical-relative:paragraph;z-index:-25078784" id="docshape395" filled="true" fillcolor="#231f20" stroked="false">
            <v:fill type="solid"/>
            <w10:wrap type="none"/>
          </v:rect>
        </w:pict>
      </w:r>
      <w:r>
        <w:rPr>
          <w:color w:val="231F20"/>
        </w:rPr>
        <w:t>When we look back at the balance sheet of Bob’s Market, we see that Bob had $115,000 in current assets and $87,000 in current lia- bilities. That is a net working capital position of $28,000 (115</w:t>
        <w:tab/>
      </w:r>
      <w:r>
        <w:rPr>
          <w:color w:val="231F20"/>
          <w:spacing w:val="-4"/>
        </w:rPr>
        <w:t>87). </w:t>
      </w:r>
      <w:r>
        <w:rPr>
          <w:color w:val="231F20"/>
        </w:rPr>
        <w:t>Bob</w:t>
      </w:r>
      <w:r>
        <w:rPr>
          <w:color w:val="231F20"/>
          <w:spacing w:val="38"/>
        </w:rPr>
        <w:t> </w:t>
      </w:r>
      <w:r>
        <w:rPr>
          <w:color w:val="231F20"/>
        </w:rPr>
        <w:t>says</w:t>
      </w:r>
      <w:r>
        <w:rPr>
          <w:color w:val="231F20"/>
          <w:spacing w:val="38"/>
        </w:rPr>
        <w:t> </w:t>
      </w:r>
      <w:r>
        <w:rPr>
          <w:color w:val="231F20"/>
        </w:rPr>
        <w:t>that</w:t>
      </w:r>
      <w:r>
        <w:rPr>
          <w:color w:val="231F20"/>
          <w:spacing w:val="38"/>
        </w:rPr>
        <w:t> </w:t>
      </w:r>
      <w:r>
        <w:rPr>
          <w:color w:val="231F20"/>
        </w:rPr>
        <w:t>every</w:t>
      </w:r>
      <w:r>
        <w:rPr>
          <w:color w:val="231F20"/>
          <w:spacing w:val="38"/>
        </w:rPr>
        <w:t> </w:t>
      </w:r>
      <w:r>
        <w:rPr>
          <w:color w:val="231F20"/>
        </w:rPr>
        <w:t>week</w:t>
      </w:r>
      <w:r>
        <w:rPr>
          <w:color w:val="231F20"/>
          <w:spacing w:val="38"/>
        </w:rPr>
        <w:t> </w:t>
      </w:r>
      <w:r>
        <w:rPr>
          <w:color w:val="231F20"/>
        </w:rPr>
        <w:t>he</w:t>
      </w:r>
      <w:r>
        <w:rPr>
          <w:color w:val="231F20"/>
          <w:spacing w:val="38"/>
        </w:rPr>
        <w:t> </w:t>
      </w:r>
      <w:r>
        <w:rPr>
          <w:color w:val="231F20"/>
        </w:rPr>
        <w:t>needs</w:t>
      </w:r>
      <w:r>
        <w:rPr>
          <w:color w:val="231F20"/>
          <w:spacing w:val="38"/>
        </w:rPr>
        <w:t> </w:t>
      </w:r>
      <w:r>
        <w:rPr>
          <w:color w:val="231F20"/>
        </w:rPr>
        <w:t>28</w:t>
      </w:r>
      <w:r>
        <w:rPr>
          <w:color w:val="231F20"/>
          <w:spacing w:val="38"/>
        </w:rPr>
        <w:t> </w:t>
      </w:r>
      <w:r>
        <w:rPr>
          <w:color w:val="231F20"/>
        </w:rPr>
        <w:t>cents</w:t>
      </w:r>
      <w:r>
        <w:rPr>
          <w:color w:val="231F20"/>
          <w:spacing w:val="38"/>
        </w:rPr>
        <w:t> </w:t>
      </w:r>
      <w:r>
        <w:rPr>
          <w:color w:val="231F20"/>
        </w:rPr>
        <w:t>for</w:t>
      </w:r>
      <w:r>
        <w:rPr>
          <w:color w:val="231F20"/>
          <w:spacing w:val="38"/>
        </w:rPr>
        <w:t> </w:t>
      </w:r>
      <w:r>
        <w:rPr>
          <w:color w:val="231F20"/>
        </w:rPr>
        <w:t>every</w:t>
      </w:r>
      <w:r>
        <w:rPr>
          <w:color w:val="231F20"/>
          <w:spacing w:val="38"/>
        </w:rPr>
        <w:t> </w:t>
      </w:r>
      <w:r>
        <w:rPr>
          <w:color w:val="231F20"/>
        </w:rPr>
        <w:t>dollar</w:t>
      </w:r>
      <w:r>
        <w:rPr>
          <w:color w:val="231F20"/>
          <w:spacing w:val="38"/>
        </w:rPr>
        <w:t> </w:t>
      </w:r>
      <w:r>
        <w:rPr>
          <w:color w:val="231F20"/>
        </w:rPr>
        <w:t>of sales</w:t>
      </w:r>
      <w:r>
        <w:rPr>
          <w:color w:val="231F20"/>
          <w:spacing w:val="20"/>
        </w:rPr>
        <w:t> </w:t>
      </w:r>
      <w:r>
        <w:rPr>
          <w:color w:val="231F20"/>
        </w:rPr>
        <w:t>($28,000/[$5,200,000</w:t>
      </w:r>
      <w:r>
        <w:rPr>
          <w:color w:val="231F20"/>
          <w:spacing w:val="20"/>
        </w:rPr>
        <w:t> </w:t>
      </w:r>
      <w:r>
        <w:rPr>
          <w:color w:val="231F20"/>
        </w:rPr>
        <w:t>annual</w:t>
      </w:r>
      <w:r>
        <w:rPr>
          <w:color w:val="231F20"/>
          <w:spacing w:val="20"/>
        </w:rPr>
        <w:t> </w:t>
      </w:r>
      <w:r>
        <w:rPr>
          <w:color w:val="231F20"/>
        </w:rPr>
        <w:t>sales/52</w:t>
      </w:r>
      <w:r>
        <w:rPr>
          <w:color w:val="231F20"/>
          <w:spacing w:val="20"/>
        </w:rPr>
        <w:t> </w:t>
      </w:r>
      <w:r>
        <w:rPr>
          <w:color w:val="231F20"/>
        </w:rPr>
        <w:t>weeks</w:t>
      </w:r>
      <w:r>
        <w:rPr>
          <w:color w:val="231F20"/>
          <w:spacing w:val="20"/>
        </w:rPr>
        <w:t> </w:t>
      </w:r>
      <w:r>
        <w:rPr>
          <w:color w:val="231F20"/>
        </w:rPr>
        <w:t>per</w:t>
      </w:r>
      <w:r>
        <w:rPr>
          <w:color w:val="231F20"/>
          <w:spacing w:val="20"/>
        </w:rPr>
        <w:t> </w:t>
      </w:r>
      <w:r>
        <w:rPr>
          <w:color w:val="231F20"/>
        </w:rPr>
        <w:t>year]).</w:t>
      </w:r>
      <w:r>
        <w:rPr>
          <w:color w:val="231F20"/>
          <w:spacing w:val="20"/>
        </w:rPr>
        <w:t> </w:t>
      </w:r>
      <w:r>
        <w:rPr>
          <w:color w:val="231F20"/>
        </w:rPr>
        <w:t>That covers</w:t>
      </w:r>
      <w:r>
        <w:rPr>
          <w:color w:val="231F20"/>
          <w:spacing w:val="40"/>
        </w:rPr>
        <w:t> </w:t>
      </w:r>
      <w:r>
        <w:rPr>
          <w:color w:val="231F20"/>
        </w:rPr>
        <w:t>his</w:t>
      </w:r>
      <w:r>
        <w:rPr>
          <w:color w:val="231F20"/>
          <w:spacing w:val="40"/>
        </w:rPr>
        <w:t> </w:t>
      </w:r>
      <w:r>
        <w:rPr>
          <w:color w:val="231F20"/>
        </w:rPr>
        <w:t>cash</w:t>
      </w:r>
      <w:r>
        <w:rPr>
          <w:color w:val="231F20"/>
          <w:spacing w:val="40"/>
        </w:rPr>
        <w:t> </w:t>
      </w:r>
      <w:r>
        <w:rPr>
          <w:color w:val="231F20"/>
        </w:rPr>
        <w:t>needs</w:t>
      </w:r>
      <w:r>
        <w:rPr>
          <w:color w:val="231F20"/>
          <w:spacing w:val="40"/>
        </w:rPr>
        <w:t> </w:t>
      </w:r>
      <w:r>
        <w:rPr>
          <w:color w:val="231F20"/>
        </w:rPr>
        <w:t>for</w:t>
      </w:r>
      <w:r>
        <w:rPr>
          <w:color w:val="231F20"/>
          <w:spacing w:val="40"/>
        </w:rPr>
        <w:t> </w:t>
      </w:r>
      <w:r>
        <w:rPr>
          <w:color w:val="231F20"/>
        </w:rPr>
        <w:t>inventory</w:t>
      </w:r>
      <w:r>
        <w:rPr>
          <w:color w:val="231F20"/>
          <w:spacing w:val="40"/>
        </w:rPr>
        <w:t> </w:t>
      </w:r>
      <w:r>
        <w:rPr>
          <w:color w:val="231F20"/>
        </w:rPr>
        <w:t>and</w:t>
      </w:r>
      <w:r>
        <w:rPr>
          <w:color w:val="231F20"/>
          <w:spacing w:val="40"/>
        </w:rPr>
        <w:t> </w:t>
      </w:r>
      <w:r>
        <w:rPr>
          <w:color w:val="231F20"/>
        </w:rPr>
        <w:t>register</w:t>
      </w:r>
      <w:r>
        <w:rPr>
          <w:color w:val="231F20"/>
          <w:spacing w:val="40"/>
        </w:rPr>
        <w:t> </w:t>
      </w:r>
      <w:r>
        <w:rPr>
          <w:color w:val="231F20"/>
        </w:rPr>
        <w:t>money</w:t>
      </w:r>
      <w:r>
        <w:rPr>
          <w:color w:val="231F20"/>
          <w:spacing w:val="40"/>
        </w:rPr>
        <w:t> </w:t>
      </w:r>
      <w:r>
        <w:rPr>
          <w:color w:val="231F20"/>
        </w:rPr>
        <w:t>offset</w:t>
      </w:r>
      <w:r>
        <w:rPr>
          <w:color w:val="231F20"/>
          <w:spacing w:val="40"/>
        </w:rPr>
        <w:t> </w:t>
      </w:r>
      <w:r>
        <w:rPr>
          <w:color w:val="231F20"/>
        </w:rPr>
        <w:t>by the</w:t>
      </w:r>
      <w:r>
        <w:rPr>
          <w:color w:val="231F20"/>
          <w:spacing w:val="19"/>
        </w:rPr>
        <w:t> </w:t>
      </w:r>
      <w:r>
        <w:rPr>
          <w:color w:val="231F20"/>
        </w:rPr>
        <w:t>additional</w:t>
      </w:r>
      <w:r>
        <w:rPr>
          <w:color w:val="231F20"/>
          <w:spacing w:val="19"/>
        </w:rPr>
        <w:t> </w:t>
      </w:r>
      <w:r>
        <w:rPr>
          <w:color w:val="231F20"/>
        </w:rPr>
        <w:t>financing</w:t>
      </w:r>
      <w:r>
        <w:rPr>
          <w:color w:val="231F20"/>
          <w:spacing w:val="19"/>
        </w:rPr>
        <w:t> </w:t>
      </w:r>
      <w:r>
        <w:rPr>
          <w:color w:val="231F20"/>
        </w:rPr>
        <w:t>extended</w:t>
      </w:r>
      <w:r>
        <w:rPr>
          <w:color w:val="231F20"/>
          <w:spacing w:val="19"/>
        </w:rPr>
        <w:t> </w:t>
      </w:r>
      <w:r>
        <w:rPr>
          <w:color w:val="231F20"/>
        </w:rPr>
        <w:t>by</w:t>
      </w:r>
      <w:r>
        <w:rPr>
          <w:color w:val="231F20"/>
          <w:spacing w:val="20"/>
        </w:rPr>
        <w:t> </w:t>
      </w:r>
      <w:r>
        <w:rPr>
          <w:color w:val="231F20"/>
        </w:rPr>
        <w:t>his</w:t>
      </w:r>
      <w:r>
        <w:rPr>
          <w:color w:val="231F20"/>
          <w:spacing w:val="19"/>
        </w:rPr>
        <w:t> </w:t>
      </w:r>
      <w:r>
        <w:rPr>
          <w:color w:val="231F20"/>
        </w:rPr>
        <w:t>grocery</w:t>
      </w:r>
      <w:r>
        <w:rPr>
          <w:color w:val="231F20"/>
          <w:spacing w:val="19"/>
        </w:rPr>
        <w:t> </w:t>
      </w:r>
      <w:r>
        <w:rPr>
          <w:color w:val="231F20"/>
        </w:rPr>
        <w:t>vendors.</w:t>
      </w:r>
      <w:r>
        <w:rPr>
          <w:color w:val="231F20"/>
          <w:spacing w:val="19"/>
        </w:rPr>
        <w:t> </w:t>
      </w:r>
      <w:r>
        <w:rPr>
          <w:color w:val="231F20"/>
        </w:rPr>
        <w:t>Added</w:t>
      </w:r>
      <w:r>
        <w:rPr>
          <w:color w:val="231F20"/>
          <w:spacing w:val="19"/>
        </w:rPr>
        <w:t> </w:t>
      </w:r>
      <w:r>
        <w:rPr>
          <w:color w:val="231F20"/>
          <w:spacing w:val="-5"/>
        </w:rPr>
        <w:t>to</w:t>
      </w:r>
    </w:p>
    <w:p>
      <w:pPr>
        <w:spacing w:after="0" w:line="292" w:lineRule="auto"/>
        <w:jc w:val="right"/>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7"/>
      </w:pPr>
      <w:r>
        <w:rPr>
          <w:color w:val="231F20"/>
        </w:rPr>
        <w:t>the</w:t>
      </w:r>
      <w:r>
        <w:rPr>
          <w:color w:val="231F20"/>
          <w:spacing w:val="40"/>
        </w:rPr>
        <w:t> </w:t>
      </w:r>
      <w:r>
        <w:rPr>
          <w:color w:val="231F20"/>
        </w:rPr>
        <w:t>valuation</w:t>
      </w:r>
      <w:r>
        <w:rPr>
          <w:color w:val="231F20"/>
          <w:spacing w:val="40"/>
        </w:rPr>
        <w:t> </w:t>
      </w:r>
      <w:r>
        <w:rPr>
          <w:color w:val="231F20"/>
        </w:rPr>
        <w:t>calculation,</w:t>
      </w:r>
      <w:r>
        <w:rPr>
          <w:color w:val="231F20"/>
          <w:spacing w:val="40"/>
        </w:rPr>
        <w:t> </w:t>
      </w:r>
      <w:r>
        <w:rPr>
          <w:color w:val="231F20"/>
        </w:rPr>
        <w:t>the</w:t>
      </w:r>
      <w:r>
        <w:rPr>
          <w:color w:val="231F20"/>
          <w:spacing w:val="40"/>
        </w:rPr>
        <w:t> </w:t>
      </w:r>
      <w:r>
        <w:rPr>
          <w:color w:val="231F20"/>
        </w:rPr>
        <w:t>cash</w:t>
      </w:r>
      <w:r>
        <w:rPr>
          <w:color w:val="231F20"/>
          <w:spacing w:val="40"/>
        </w:rPr>
        <w:t> </w:t>
      </w:r>
      <w:r>
        <w:rPr>
          <w:color w:val="231F20"/>
        </w:rPr>
        <w:t>flow</w:t>
      </w:r>
      <w:r>
        <w:rPr>
          <w:color w:val="231F20"/>
          <w:spacing w:val="40"/>
        </w:rPr>
        <w:t> </w:t>
      </w:r>
      <w:r>
        <w:rPr>
          <w:color w:val="231F20"/>
        </w:rPr>
        <w:t>projection</w:t>
      </w:r>
      <w:r>
        <w:rPr>
          <w:color w:val="231F20"/>
          <w:spacing w:val="40"/>
        </w:rPr>
        <w:t> </w:t>
      </w:r>
      <w:r>
        <w:rPr>
          <w:color w:val="231F20"/>
        </w:rPr>
        <w:t>would</w:t>
      </w:r>
      <w:r>
        <w:rPr>
          <w:color w:val="231F20"/>
          <w:spacing w:val="40"/>
        </w:rPr>
        <w:t> </w:t>
      </w:r>
      <w:r>
        <w:rPr>
          <w:color w:val="231F20"/>
        </w:rPr>
        <w:t>look</w:t>
      </w:r>
      <w:r>
        <w:rPr>
          <w:color w:val="231F20"/>
          <w:spacing w:val="40"/>
        </w:rPr>
        <w:t> </w:t>
      </w:r>
      <w:r>
        <w:rPr>
          <w:color w:val="231F20"/>
        </w:rPr>
        <w:t>as </w:t>
      </w:r>
      <w:r>
        <w:rPr>
          <w:color w:val="231F20"/>
          <w:spacing w:val="-2"/>
        </w:rPr>
        <w:t>follows:</w:t>
      </w:r>
    </w:p>
    <w:p>
      <w:pPr>
        <w:pStyle w:val="BodyText"/>
        <w:rPr>
          <w:sz w:val="24"/>
        </w:rPr>
      </w:pPr>
    </w:p>
    <w:p>
      <w:pPr>
        <w:spacing w:before="147"/>
        <w:ind w:left="475" w:right="219" w:firstLine="0"/>
        <w:jc w:val="center"/>
        <w:rPr>
          <w:b/>
          <w:sz w:val="20"/>
        </w:rPr>
      </w:pPr>
      <w:r>
        <w:rPr>
          <w:b/>
          <w:color w:val="231F20"/>
          <w:w w:val="115"/>
          <w:sz w:val="20"/>
        </w:rPr>
        <w:t>CASH</w:t>
      </w:r>
      <w:r>
        <w:rPr>
          <w:b/>
          <w:color w:val="231F20"/>
          <w:spacing w:val="42"/>
          <w:w w:val="115"/>
          <w:sz w:val="20"/>
        </w:rPr>
        <w:t> </w:t>
      </w:r>
      <w:r>
        <w:rPr>
          <w:b/>
          <w:color w:val="231F20"/>
          <w:w w:val="115"/>
          <w:sz w:val="20"/>
        </w:rPr>
        <w:t>FLOW</w:t>
      </w:r>
      <w:r>
        <w:rPr>
          <w:b/>
          <w:color w:val="231F20"/>
          <w:spacing w:val="43"/>
          <w:w w:val="115"/>
          <w:sz w:val="20"/>
        </w:rPr>
        <w:t> </w:t>
      </w:r>
      <w:r>
        <w:rPr>
          <w:b/>
          <w:color w:val="231F20"/>
          <w:w w:val="115"/>
          <w:sz w:val="20"/>
        </w:rPr>
        <w:t>PROJECTION</w:t>
      </w:r>
      <w:r>
        <w:rPr>
          <w:b/>
          <w:color w:val="231F20"/>
          <w:spacing w:val="43"/>
          <w:w w:val="115"/>
          <w:sz w:val="20"/>
        </w:rPr>
        <w:t> </w:t>
      </w:r>
      <w:r>
        <w:rPr>
          <w:b/>
          <w:color w:val="231F20"/>
          <w:w w:val="115"/>
          <w:sz w:val="20"/>
        </w:rPr>
        <w:t>(IN</w:t>
      </w:r>
      <w:r>
        <w:rPr>
          <w:b/>
          <w:color w:val="231F20"/>
          <w:spacing w:val="43"/>
          <w:w w:val="115"/>
          <w:sz w:val="20"/>
        </w:rPr>
        <w:t> </w:t>
      </w:r>
      <w:r>
        <w:rPr>
          <w:b/>
          <w:color w:val="231F20"/>
          <w:spacing w:val="-2"/>
          <w:w w:val="115"/>
          <w:sz w:val="20"/>
        </w:rPr>
        <w:t>THOUSANDS)</w:t>
      </w:r>
    </w:p>
    <w:p>
      <w:pPr>
        <w:pStyle w:val="BodyText"/>
        <w:spacing w:before="3"/>
        <w:rPr>
          <w:b/>
          <w:sz w:val="5"/>
        </w:rPr>
      </w:pPr>
      <w:r>
        <w:rPr/>
        <w:pict>
          <v:shape style="position:absolute;margin-left:63pt;margin-top:4.289823pt;width:310.5pt;height:.1pt;mso-position-horizontal-relative:page;mso-position-vertical-relative:paragraph;z-index:-15577600;mso-wrap-distance-left:0;mso-wrap-distance-right:0" id="docshape396" coordorigin="1260,86" coordsize="6210,0" path="m1260,86l7470,86e" filled="false" stroked="true" strokeweight="1pt" strokecolor="#231f20">
            <v:path arrowok="t"/>
            <v:stroke dashstyle="solid"/>
            <w10:wrap type="topAndBottom"/>
          </v:shape>
        </w:pict>
      </w:r>
    </w:p>
    <w:p>
      <w:pPr>
        <w:pStyle w:val="BodyText"/>
        <w:spacing w:after="1"/>
        <w:rPr>
          <w:b/>
          <w:sz w:val="20"/>
        </w:rPr>
      </w:pP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00"/>
        <w:gridCol w:w="578"/>
        <w:gridCol w:w="875"/>
        <w:gridCol w:w="875"/>
        <w:gridCol w:w="732"/>
      </w:tblGrid>
      <w:tr>
        <w:trPr>
          <w:trHeight w:val="250" w:hRule="atLeast"/>
        </w:trPr>
        <w:tc>
          <w:tcPr>
            <w:tcW w:w="3778" w:type="dxa"/>
            <w:gridSpan w:val="2"/>
          </w:tcPr>
          <w:p>
            <w:pPr>
              <w:pStyle w:val="TableParagraph"/>
              <w:spacing w:line="205" w:lineRule="exact" w:before="0"/>
              <w:ind w:right="140"/>
              <w:jc w:val="right"/>
              <w:rPr>
                <w:b/>
                <w:i/>
                <w:sz w:val="18"/>
              </w:rPr>
            </w:pPr>
            <w:r>
              <w:rPr>
                <w:b/>
                <w:i/>
                <w:color w:val="231F20"/>
                <w:sz w:val="18"/>
              </w:rPr>
              <w:t>YEAR</w:t>
            </w:r>
            <w:r>
              <w:rPr>
                <w:b/>
                <w:i/>
                <w:color w:val="231F20"/>
                <w:spacing w:val="22"/>
                <w:sz w:val="18"/>
              </w:rPr>
              <w:t> </w:t>
            </w:r>
            <w:r>
              <w:rPr>
                <w:b/>
                <w:i/>
                <w:color w:val="231F20"/>
                <w:spacing w:val="-10"/>
                <w:sz w:val="18"/>
              </w:rPr>
              <w:t>1</w:t>
            </w:r>
          </w:p>
        </w:tc>
        <w:tc>
          <w:tcPr>
            <w:tcW w:w="875" w:type="dxa"/>
          </w:tcPr>
          <w:p>
            <w:pPr>
              <w:pStyle w:val="TableParagraph"/>
              <w:spacing w:line="205" w:lineRule="exact" w:before="0"/>
              <w:ind w:right="145"/>
              <w:jc w:val="right"/>
              <w:rPr>
                <w:b/>
                <w:i/>
                <w:sz w:val="18"/>
              </w:rPr>
            </w:pPr>
            <w:r>
              <w:rPr>
                <w:b/>
                <w:i/>
                <w:color w:val="231F20"/>
                <w:sz w:val="18"/>
              </w:rPr>
              <w:t>YEAR</w:t>
            </w:r>
            <w:r>
              <w:rPr>
                <w:b/>
                <w:i/>
                <w:color w:val="231F20"/>
                <w:spacing w:val="22"/>
                <w:sz w:val="18"/>
              </w:rPr>
              <w:t> </w:t>
            </w:r>
            <w:r>
              <w:rPr>
                <w:b/>
                <w:i/>
                <w:color w:val="231F20"/>
                <w:spacing w:val="-10"/>
                <w:sz w:val="18"/>
              </w:rPr>
              <w:t>2</w:t>
            </w:r>
          </w:p>
        </w:tc>
        <w:tc>
          <w:tcPr>
            <w:tcW w:w="875" w:type="dxa"/>
          </w:tcPr>
          <w:p>
            <w:pPr>
              <w:pStyle w:val="TableParagraph"/>
              <w:spacing w:line="205" w:lineRule="exact" w:before="0"/>
              <w:ind w:right="140"/>
              <w:jc w:val="right"/>
              <w:rPr>
                <w:b/>
                <w:i/>
                <w:sz w:val="18"/>
              </w:rPr>
            </w:pPr>
            <w:r>
              <w:rPr>
                <w:b/>
                <w:i/>
                <w:color w:val="231F20"/>
                <w:sz w:val="18"/>
              </w:rPr>
              <w:t>YEAR</w:t>
            </w:r>
            <w:r>
              <w:rPr>
                <w:b/>
                <w:i/>
                <w:color w:val="231F20"/>
                <w:spacing w:val="22"/>
                <w:sz w:val="18"/>
              </w:rPr>
              <w:t> </w:t>
            </w:r>
            <w:r>
              <w:rPr>
                <w:b/>
                <w:i/>
                <w:color w:val="231F20"/>
                <w:spacing w:val="-10"/>
                <w:sz w:val="18"/>
              </w:rPr>
              <w:t>3</w:t>
            </w:r>
          </w:p>
        </w:tc>
        <w:tc>
          <w:tcPr>
            <w:tcW w:w="732" w:type="dxa"/>
          </w:tcPr>
          <w:p>
            <w:pPr>
              <w:pStyle w:val="TableParagraph"/>
              <w:spacing w:line="205" w:lineRule="exact" w:before="0"/>
              <w:ind w:right="2"/>
              <w:jc w:val="right"/>
              <w:rPr>
                <w:b/>
                <w:i/>
                <w:sz w:val="18"/>
              </w:rPr>
            </w:pPr>
            <w:r>
              <w:rPr>
                <w:b/>
                <w:i/>
                <w:color w:val="231F20"/>
                <w:sz w:val="18"/>
              </w:rPr>
              <w:t>YEAR</w:t>
            </w:r>
            <w:r>
              <w:rPr>
                <w:b/>
                <w:i/>
                <w:color w:val="231F20"/>
                <w:spacing w:val="22"/>
                <w:sz w:val="18"/>
              </w:rPr>
              <w:t> </w:t>
            </w:r>
            <w:r>
              <w:rPr>
                <w:b/>
                <w:i/>
                <w:color w:val="231F20"/>
                <w:spacing w:val="-10"/>
                <w:sz w:val="18"/>
              </w:rPr>
              <w:t>4</w:t>
            </w:r>
          </w:p>
        </w:tc>
      </w:tr>
      <w:tr>
        <w:trPr>
          <w:trHeight w:val="299" w:hRule="atLeast"/>
        </w:trPr>
        <w:tc>
          <w:tcPr>
            <w:tcW w:w="3200" w:type="dxa"/>
          </w:tcPr>
          <w:p>
            <w:pPr>
              <w:pStyle w:val="TableParagraph"/>
              <w:spacing w:before="43"/>
              <w:ind w:left="50"/>
              <w:jc w:val="left"/>
              <w:rPr>
                <w:sz w:val="18"/>
              </w:rPr>
            </w:pPr>
            <w:r>
              <w:rPr>
                <w:color w:val="231F20"/>
                <w:sz w:val="18"/>
              </w:rPr>
              <w:t>Free</w:t>
            </w:r>
            <w:r>
              <w:rPr>
                <w:color w:val="231F20"/>
                <w:spacing w:val="14"/>
                <w:sz w:val="18"/>
              </w:rPr>
              <w:t> </w:t>
            </w:r>
            <w:r>
              <w:rPr>
                <w:color w:val="231F20"/>
                <w:sz w:val="18"/>
              </w:rPr>
              <w:t>Cash</w:t>
            </w:r>
            <w:r>
              <w:rPr>
                <w:color w:val="231F20"/>
                <w:spacing w:val="14"/>
                <w:sz w:val="18"/>
              </w:rPr>
              <w:t> </w:t>
            </w:r>
            <w:r>
              <w:rPr>
                <w:color w:val="231F20"/>
                <w:sz w:val="18"/>
              </w:rPr>
              <w:t>Flow</w:t>
            </w:r>
            <w:r>
              <w:rPr>
                <w:color w:val="231F20"/>
                <w:spacing w:val="14"/>
                <w:sz w:val="18"/>
              </w:rPr>
              <w:t> </w:t>
            </w:r>
            <w:r>
              <w:rPr>
                <w:color w:val="231F20"/>
                <w:spacing w:val="-2"/>
                <w:sz w:val="18"/>
              </w:rPr>
              <w:t>(EBIT)</w:t>
            </w:r>
          </w:p>
        </w:tc>
        <w:tc>
          <w:tcPr>
            <w:tcW w:w="578" w:type="dxa"/>
          </w:tcPr>
          <w:p>
            <w:pPr>
              <w:pStyle w:val="TableParagraph"/>
              <w:spacing w:before="43"/>
              <w:ind w:right="275"/>
              <w:jc w:val="right"/>
              <w:rPr>
                <w:sz w:val="18"/>
              </w:rPr>
            </w:pPr>
            <w:r>
              <w:rPr>
                <w:color w:val="231F20"/>
                <w:spacing w:val="-5"/>
                <w:sz w:val="18"/>
              </w:rPr>
              <w:t>$57</w:t>
            </w:r>
          </w:p>
        </w:tc>
        <w:tc>
          <w:tcPr>
            <w:tcW w:w="875" w:type="dxa"/>
          </w:tcPr>
          <w:p>
            <w:pPr>
              <w:pStyle w:val="TableParagraph"/>
              <w:spacing w:before="43"/>
              <w:ind w:left="292"/>
              <w:jc w:val="left"/>
              <w:rPr>
                <w:sz w:val="18"/>
              </w:rPr>
            </w:pPr>
            <w:r>
              <w:rPr>
                <w:color w:val="231F20"/>
                <w:spacing w:val="-5"/>
                <w:w w:val="105"/>
                <w:sz w:val="18"/>
              </w:rPr>
              <w:t>$63</w:t>
            </w:r>
          </w:p>
        </w:tc>
        <w:tc>
          <w:tcPr>
            <w:tcW w:w="875" w:type="dxa"/>
          </w:tcPr>
          <w:p>
            <w:pPr>
              <w:pStyle w:val="TableParagraph"/>
              <w:spacing w:before="43"/>
              <w:ind w:left="297"/>
              <w:jc w:val="left"/>
              <w:rPr>
                <w:sz w:val="18"/>
              </w:rPr>
            </w:pPr>
            <w:r>
              <w:rPr>
                <w:color w:val="231F20"/>
                <w:spacing w:val="-5"/>
                <w:w w:val="105"/>
                <w:sz w:val="18"/>
              </w:rPr>
              <w:t>$70</w:t>
            </w:r>
          </w:p>
        </w:tc>
        <w:tc>
          <w:tcPr>
            <w:tcW w:w="732" w:type="dxa"/>
          </w:tcPr>
          <w:p>
            <w:pPr>
              <w:pStyle w:val="TableParagraph"/>
              <w:spacing w:before="43"/>
              <w:ind w:left="282"/>
              <w:jc w:val="left"/>
              <w:rPr>
                <w:sz w:val="18"/>
              </w:rPr>
            </w:pPr>
            <w:r>
              <w:rPr>
                <w:color w:val="231F20"/>
                <w:spacing w:val="-5"/>
                <w:w w:val="105"/>
                <w:sz w:val="18"/>
              </w:rPr>
              <w:t>$77</w:t>
            </w:r>
          </w:p>
        </w:tc>
      </w:tr>
      <w:tr>
        <w:trPr>
          <w:trHeight w:val="294" w:hRule="atLeast"/>
        </w:trPr>
        <w:tc>
          <w:tcPr>
            <w:tcW w:w="3200" w:type="dxa"/>
          </w:tcPr>
          <w:p>
            <w:pPr>
              <w:pStyle w:val="TableParagraph"/>
              <w:spacing w:before="43"/>
              <w:ind w:left="50"/>
              <w:jc w:val="left"/>
              <w:rPr>
                <w:sz w:val="18"/>
              </w:rPr>
            </w:pPr>
            <w:r>
              <w:rPr>
                <w:color w:val="231F20"/>
                <w:w w:val="105"/>
                <w:sz w:val="18"/>
              </w:rPr>
              <w:t>Less</w:t>
            </w:r>
            <w:r>
              <w:rPr>
                <w:color w:val="231F20"/>
                <w:spacing w:val="-5"/>
                <w:w w:val="105"/>
                <w:sz w:val="18"/>
              </w:rPr>
              <w:t> </w:t>
            </w:r>
            <w:r>
              <w:rPr>
                <w:color w:val="231F20"/>
                <w:w w:val="105"/>
                <w:sz w:val="18"/>
              </w:rPr>
              <w:t>Additional</w:t>
            </w:r>
            <w:r>
              <w:rPr>
                <w:color w:val="231F20"/>
                <w:spacing w:val="-5"/>
                <w:w w:val="105"/>
                <w:sz w:val="18"/>
              </w:rPr>
              <w:t> </w:t>
            </w:r>
            <w:r>
              <w:rPr>
                <w:color w:val="231F20"/>
                <w:w w:val="105"/>
                <w:sz w:val="18"/>
              </w:rPr>
              <w:t>Cash</w:t>
            </w:r>
            <w:r>
              <w:rPr>
                <w:color w:val="231F20"/>
                <w:spacing w:val="-5"/>
                <w:w w:val="105"/>
                <w:sz w:val="18"/>
              </w:rPr>
              <w:t> </w:t>
            </w:r>
            <w:r>
              <w:rPr>
                <w:color w:val="231F20"/>
                <w:w w:val="105"/>
                <w:sz w:val="18"/>
              </w:rPr>
              <w:t>Flow</w:t>
            </w:r>
            <w:r>
              <w:rPr>
                <w:color w:val="231F20"/>
                <w:spacing w:val="-4"/>
                <w:w w:val="105"/>
                <w:sz w:val="18"/>
              </w:rPr>
              <w:t> </w:t>
            </w:r>
            <w:r>
              <w:rPr>
                <w:color w:val="231F20"/>
                <w:spacing w:val="-2"/>
                <w:w w:val="105"/>
                <w:sz w:val="18"/>
              </w:rPr>
              <w:t>Needs*</w:t>
            </w:r>
          </w:p>
        </w:tc>
        <w:tc>
          <w:tcPr>
            <w:tcW w:w="578" w:type="dxa"/>
            <w:tcBorders>
              <w:bottom w:val="single" w:sz="4" w:space="0" w:color="231F20"/>
            </w:tcBorders>
          </w:tcPr>
          <w:p>
            <w:pPr>
              <w:pStyle w:val="TableParagraph"/>
              <w:spacing w:before="43"/>
              <w:ind w:right="275"/>
              <w:jc w:val="right"/>
              <w:rPr>
                <w:sz w:val="18"/>
              </w:rPr>
            </w:pPr>
            <w:r>
              <w:rPr>
                <w:color w:val="231F20"/>
                <w:w w:val="100"/>
                <w:sz w:val="18"/>
              </w:rPr>
              <w:t>3</w:t>
            </w:r>
          </w:p>
        </w:tc>
        <w:tc>
          <w:tcPr>
            <w:tcW w:w="875" w:type="dxa"/>
            <w:tcBorders>
              <w:bottom w:val="single" w:sz="4" w:space="0" w:color="231F20"/>
            </w:tcBorders>
          </w:tcPr>
          <w:p>
            <w:pPr>
              <w:pStyle w:val="TableParagraph"/>
              <w:spacing w:before="43"/>
              <w:ind w:right="280"/>
              <w:jc w:val="right"/>
              <w:rPr>
                <w:sz w:val="18"/>
              </w:rPr>
            </w:pPr>
            <w:r>
              <w:rPr>
                <w:color w:val="231F20"/>
                <w:w w:val="100"/>
                <w:sz w:val="18"/>
              </w:rPr>
              <w:t>3</w:t>
            </w:r>
          </w:p>
        </w:tc>
        <w:tc>
          <w:tcPr>
            <w:tcW w:w="875" w:type="dxa"/>
            <w:tcBorders>
              <w:bottom w:val="single" w:sz="4" w:space="0" w:color="231F20"/>
            </w:tcBorders>
          </w:tcPr>
          <w:p>
            <w:pPr>
              <w:pStyle w:val="TableParagraph"/>
              <w:spacing w:before="43"/>
              <w:ind w:right="275"/>
              <w:jc w:val="right"/>
              <w:rPr>
                <w:sz w:val="18"/>
              </w:rPr>
            </w:pPr>
            <w:r>
              <w:rPr>
                <w:color w:val="231F20"/>
                <w:w w:val="100"/>
                <w:sz w:val="18"/>
              </w:rPr>
              <w:t>4</w:t>
            </w:r>
          </w:p>
        </w:tc>
        <w:tc>
          <w:tcPr>
            <w:tcW w:w="732" w:type="dxa"/>
            <w:tcBorders>
              <w:bottom w:val="single" w:sz="4" w:space="0" w:color="231F20"/>
            </w:tcBorders>
          </w:tcPr>
          <w:p>
            <w:pPr>
              <w:pStyle w:val="TableParagraph"/>
              <w:spacing w:before="43"/>
              <w:ind w:right="147"/>
              <w:jc w:val="right"/>
              <w:rPr>
                <w:sz w:val="18"/>
              </w:rPr>
            </w:pPr>
            <w:r>
              <w:rPr>
                <w:color w:val="231F20"/>
                <w:w w:val="100"/>
                <w:sz w:val="18"/>
              </w:rPr>
              <w:t>4</w:t>
            </w:r>
          </w:p>
        </w:tc>
      </w:tr>
      <w:tr>
        <w:trPr>
          <w:trHeight w:val="251" w:hRule="atLeast"/>
        </w:trPr>
        <w:tc>
          <w:tcPr>
            <w:tcW w:w="3200" w:type="dxa"/>
          </w:tcPr>
          <w:p>
            <w:pPr>
              <w:pStyle w:val="TableParagraph"/>
              <w:spacing w:line="192" w:lineRule="exact" w:before="39"/>
              <w:ind w:left="50"/>
              <w:jc w:val="left"/>
              <w:rPr>
                <w:i/>
                <w:sz w:val="18"/>
              </w:rPr>
            </w:pPr>
            <w:r>
              <w:rPr>
                <w:color w:val="231F20"/>
                <w:w w:val="105"/>
                <w:sz w:val="18"/>
              </w:rPr>
              <w:t>Net</w:t>
            </w:r>
            <w:r>
              <w:rPr>
                <w:color w:val="231F20"/>
                <w:spacing w:val="6"/>
                <w:w w:val="105"/>
                <w:sz w:val="18"/>
              </w:rPr>
              <w:t> </w:t>
            </w:r>
            <w:r>
              <w:rPr>
                <w:i/>
                <w:color w:val="231F20"/>
                <w:w w:val="105"/>
                <w:sz w:val="18"/>
              </w:rPr>
              <w:t>Free</w:t>
            </w:r>
            <w:r>
              <w:rPr>
                <w:i/>
                <w:color w:val="231F20"/>
                <w:spacing w:val="6"/>
                <w:w w:val="105"/>
                <w:sz w:val="18"/>
              </w:rPr>
              <w:t> </w:t>
            </w:r>
            <w:r>
              <w:rPr>
                <w:i/>
                <w:color w:val="231F20"/>
                <w:w w:val="105"/>
                <w:sz w:val="18"/>
              </w:rPr>
              <w:t>Cash</w:t>
            </w:r>
            <w:r>
              <w:rPr>
                <w:i/>
                <w:color w:val="231F20"/>
                <w:spacing w:val="7"/>
                <w:w w:val="105"/>
                <w:sz w:val="18"/>
              </w:rPr>
              <w:t> </w:t>
            </w:r>
            <w:r>
              <w:rPr>
                <w:i/>
                <w:color w:val="231F20"/>
                <w:spacing w:val="-4"/>
                <w:w w:val="105"/>
                <w:sz w:val="18"/>
              </w:rPr>
              <w:t>Flow</w:t>
            </w:r>
          </w:p>
        </w:tc>
        <w:tc>
          <w:tcPr>
            <w:tcW w:w="578" w:type="dxa"/>
            <w:tcBorders>
              <w:top w:val="single" w:sz="4" w:space="0" w:color="231F20"/>
            </w:tcBorders>
          </w:tcPr>
          <w:p>
            <w:pPr>
              <w:pStyle w:val="TableParagraph"/>
              <w:spacing w:line="192" w:lineRule="exact" w:before="39"/>
              <w:ind w:right="275"/>
              <w:jc w:val="right"/>
              <w:rPr>
                <w:sz w:val="18"/>
              </w:rPr>
            </w:pPr>
            <w:r>
              <w:rPr>
                <w:color w:val="231F20"/>
                <w:spacing w:val="-5"/>
                <w:sz w:val="18"/>
              </w:rPr>
              <w:t>$54</w:t>
            </w:r>
          </w:p>
        </w:tc>
        <w:tc>
          <w:tcPr>
            <w:tcW w:w="875" w:type="dxa"/>
            <w:tcBorders>
              <w:top w:val="single" w:sz="4" w:space="0" w:color="231F20"/>
            </w:tcBorders>
          </w:tcPr>
          <w:p>
            <w:pPr>
              <w:pStyle w:val="TableParagraph"/>
              <w:spacing w:line="192" w:lineRule="exact" w:before="39"/>
              <w:ind w:left="291"/>
              <w:jc w:val="left"/>
              <w:rPr>
                <w:sz w:val="18"/>
              </w:rPr>
            </w:pPr>
            <w:r>
              <w:rPr>
                <w:color w:val="231F20"/>
                <w:spacing w:val="-5"/>
                <w:w w:val="105"/>
                <w:sz w:val="18"/>
              </w:rPr>
              <w:t>$60</w:t>
            </w:r>
          </w:p>
        </w:tc>
        <w:tc>
          <w:tcPr>
            <w:tcW w:w="875" w:type="dxa"/>
            <w:tcBorders>
              <w:top w:val="single" w:sz="4" w:space="0" w:color="231F20"/>
            </w:tcBorders>
          </w:tcPr>
          <w:p>
            <w:pPr>
              <w:pStyle w:val="TableParagraph"/>
              <w:spacing w:line="192" w:lineRule="exact" w:before="39"/>
              <w:ind w:left="296"/>
              <w:jc w:val="left"/>
              <w:rPr>
                <w:sz w:val="18"/>
              </w:rPr>
            </w:pPr>
            <w:r>
              <w:rPr>
                <w:color w:val="231F20"/>
                <w:spacing w:val="-5"/>
                <w:w w:val="105"/>
                <w:sz w:val="18"/>
              </w:rPr>
              <w:t>$66</w:t>
            </w:r>
          </w:p>
        </w:tc>
        <w:tc>
          <w:tcPr>
            <w:tcW w:w="732" w:type="dxa"/>
            <w:tcBorders>
              <w:top w:val="single" w:sz="4" w:space="0" w:color="231F20"/>
            </w:tcBorders>
          </w:tcPr>
          <w:p>
            <w:pPr>
              <w:pStyle w:val="TableParagraph"/>
              <w:spacing w:line="192" w:lineRule="exact" w:before="39"/>
              <w:ind w:left="281"/>
              <w:jc w:val="left"/>
              <w:rPr>
                <w:sz w:val="18"/>
              </w:rPr>
            </w:pPr>
            <w:r>
              <w:rPr>
                <w:color w:val="231F20"/>
                <w:spacing w:val="-5"/>
                <w:w w:val="105"/>
                <w:sz w:val="18"/>
              </w:rPr>
              <w:t>$73</w:t>
            </w:r>
          </w:p>
        </w:tc>
      </w:tr>
    </w:tbl>
    <w:p>
      <w:pPr>
        <w:pStyle w:val="BodyText"/>
        <w:spacing w:before="1"/>
        <w:rPr>
          <w:b/>
          <w:sz w:val="28"/>
        </w:rPr>
      </w:pPr>
    </w:p>
    <w:p>
      <w:pPr>
        <w:spacing w:before="0"/>
        <w:ind w:left="920" w:right="0" w:firstLine="0"/>
        <w:jc w:val="left"/>
        <w:rPr>
          <w:sz w:val="17"/>
        </w:rPr>
      </w:pPr>
      <w:r>
        <w:rPr/>
        <w:pict>
          <v:rect style="position:absolute;margin-left:140.652618pt;margin-top:6.196652pt;width:4.0281pt;height:.5916pt;mso-position-horizontal-relative:page;mso-position-vertical-relative:paragraph;z-index:-25077248" id="docshape397" filled="true" fillcolor="#231f20" stroked="false">
            <v:fill type="solid"/>
            <w10:wrap type="none"/>
          </v:rect>
        </w:pict>
      </w:r>
      <w:r>
        <w:rPr>
          <w:color w:val="231F20"/>
          <w:w w:val="105"/>
          <w:sz w:val="17"/>
        </w:rPr>
        <w:t>*</w:t>
      </w:r>
      <w:r>
        <w:rPr>
          <w:color w:val="231F20"/>
          <w:spacing w:val="-4"/>
          <w:w w:val="105"/>
          <w:sz w:val="17"/>
        </w:rPr>
        <w:t> </w:t>
      </w:r>
      <w:r>
        <w:rPr>
          <w:color w:val="231F20"/>
          <w:w w:val="105"/>
          <w:sz w:val="17"/>
        </w:rPr>
        <w:t>(Sales</w:t>
      </w:r>
      <w:r>
        <w:rPr>
          <w:color w:val="231F20"/>
          <w:spacing w:val="-3"/>
          <w:w w:val="105"/>
          <w:sz w:val="17"/>
        </w:rPr>
        <w:t> </w:t>
      </w:r>
      <w:r>
        <w:rPr>
          <w:color w:val="231F20"/>
          <w:w w:val="95"/>
          <w:sz w:val="17"/>
        </w:rPr>
        <w:t>/</w:t>
      </w:r>
      <w:r>
        <w:rPr>
          <w:color w:val="231F20"/>
          <w:spacing w:val="-3"/>
          <w:w w:val="105"/>
          <w:sz w:val="17"/>
        </w:rPr>
        <w:t> </w:t>
      </w:r>
      <w:r>
        <w:rPr>
          <w:color w:val="231F20"/>
          <w:w w:val="105"/>
          <w:sz w:val="17"/>
        </w:rPr>
        <w:t>52)</w:t>
      </w:r>
      <w:r>
        <w:rPr>
          <w:color w:val="231F20"/>
          <w:spacing w:val="-3"/>
          <w:w w:val="105"/>
          <w:sz w:val="17"/>
        </w:rPr>
        <w:t> </w:t>
      </w:r>
      <w:r>
        <w:rPr>
          <w:rFonts w:ascii="Symbol" w:hAnsi="Symbol"/>
          <w:color w:val="231F20"/>
          <w:w w:val="105"/>
          <w:sz w:val="17"/>
        </w:rPr>
        <w:t></w:t>
      </w:r>
      <w:r>
        <w:rPr>
          <w:rFonts w:ascii="Times New Roman" w:hAnsi="Times New Roman"/>
          <w:color w:val="231F20"/>
          <w:spacing w:val="-9"/>
          <w:w w:val="105"/>
          <w:sz w:val="17"/>
        </w:rPr>
        <w:t> </w:t>
      </w:r>
      <w:r>
        <w:rPr>
          <w:color w:val="231F20"/>
          <w:w w:val="105"/>
          <w:sz w:val="17"/>
        </w:rPr>
        <w:t>28%</w:t>
      </w:r>
      <w:r>
        <w:rPr>
          <w:color w:val="231F20"/>
          <w:spacing w:val="36"/>
          <w:w w:val="105"/>
          <w:sz w:val="17"/>
        </w:rPr>
        <w:t>  </w:t>
      </w:r>
      <w:r>
        <w:rPr>
          <w:color w:val="231F20"/>
          <w:w w:val="105"/>
          <w:sz w:val="17"/>
        </w:rPr>
        <w:t>Prior</w:t>
      </w:r>
      <w:r>
        <w:rPr>
          <w:color w:val="231F20"/>
          <w:spacing w:val="-2"/>
          <w:w w:val="105"/>
          <w:sz w:val="17"/>
        </w:rPr>
        <w:t> </w:t>
      </w:r>
      <w:r>
        <w:rPr>
          <w:color w:val="231F20"/>
          <w:w w:val="105"/>
          <w:sz w:val="17"/>
        </w:rPr>
        <w:t>Year’s</w:t>
      </w:r>
      <w:r>
        <w:rPr>
          <w:color w:val="231F20"/>
          <w:spacing w:val="-3"/>
          <w:w w:val="105"/>
          <w:sz w:val="17"/>
        </w:rPr>
        <w:t> </w:t>
      </w:r>
      <w:r>
        <w:rPr>
          <w:color w:val="231F20"/>
          <w:w w:val="105"/>
          <w:sz w:val="17"/>
        </w:rPr>
        <w:t>Working</w:t>
      </w:r>
      <w:r>
        <w:rPr>
          <w:color w:val="231F20"/>
          <w:spacing w:val="-3"/>
          <w:w w:val="105"/>
          <w:sz w:val="17"/>
        </w:rPr>
        <w:t> </w:t>
      </w:r>
      <w:r>
        <w:rPr>
          <w:color w:val="231F20"/>
          <w:w w:val="105"/>
          <w:sz w:val="17"/>
        </w:rPr>
        <w:t>Capital</w:t>
      </w:r>
      <w:r>
        <w:rPr>
          <w:color w:val="231F20"/>
          <w:spacing w:val="-3"/>
          <w:w w:val="105"/>
          <w:sz w:val="17"/>
        </w:rPr>
        <w:t> </w:t>
      </w:r>
      <w:r>
        <w:rPr>
          <w:color w:val="231F20"/>
          <w:spacing w:val="-2"/>
          <w:w w:val="105"/>
          <w:sz w:val="17"/>
        </w:rPr>
        <w:t>Level</w:t>
      </w:r>
    </w:p>
    <w:p>
      <w:pPr>
        <w:pStyle w:val="BodyText"/>
        <w:rPr>
          <w:sz w:val="20"/>
        </w:rPr>
      </w:pPr>
    </w:p>
    <w:p>
      <w:pPr>
        <w:pStyle w:val="ListParagraph"/>
        <w:numPr>
          <w:ilvl w:val="0"/>
          <w:numId w:val="38"/>
        </w:numPr>
        <w:tabs>
          <w:tab w:pos="1495" w:val="left" w:leader="none"/>
        </w:tabs>
        <w:spacing w:line="240" w:lineRule="auto" w:before="150" w:after="0"/>
        <w:ind w:left="1494" w:right="0" w:hanging="235"/>
        <w:jc w:val="left"/>
        <w:rPr>
          <w:i/>
          <w:sz w:val="19"/>
        </w:rPr>
      </w:pPr>
      <w:r>
        <w:rPr>
          <w:i/>
          <w:color w:val="231F20"/>
          <w:w w:val="115"/>
          <w:sz w:val="19"/>
        </w:rPr>
        <w:t>Determine</w:t>
      </w:r>
      <w:r>
        <w:rPr>
          <w:i/>
          <w:color w:val="231F20"/>
          <w:spacing w:val="-1"/>
          <w:w w:val="115"/>
          <w:sz w:val="19"/>
        </w:rPr>
        <w:t> </w:t>
      </w:r>
      <w:r>
        <w:rPr>
          <w:i/>
          <w:color w:val="231F20"/>
          <w:w w:val="115"/>
          <w:sz w:val="19"/>
        </w:rPr>
        <w:t>the</w:t>
      </w:r>
      <w:r>
        <w:rPr>
          <w:i/>
          <w:color w:val="231F20"/>
          <w:spacing w:val="-1"/>
          <w:w w:val="115"/>
          <w:sz w:val="19"/>
        </w:rPr>
        <w:t> </w:t>
      </w:r>
      <w:r>
        <w:rPr>
          <w:i/>
          <w:color w:val="231F20"/>
          <w:w w:val="115"/>
          <w:sz w:val="19"/>
        </w:rPr>
        <w:t>terminal</w:t>
      </w:r>
      <w:r>
        <w:rPr>
          <w:i/>
          <w:color w:val="231F20"/>
          <w:spacing w:val="-1"/>
          <w:w w:val="115"/>
          <w:sz w:val="19"/>
        </w:rPr>
        <w:t> </w:t>
      </w:r>
      <w:r>
        <w:rPr>
          <w:i/>
          <w:color w:val="231F20"/>
          <w:w w:val="115"/>
          <w:sz w:val="19"/>
        </w:rPr>
        <w:t>value</w:t>
      </w:r>
      <w:r>
        <w:rPr>
          <w:i/>
          <w:color w:val="231F20"/>
          <w:spacing w:val="-1"/>
          <w:w w:val="115"/>
          <w:sz w:val="19"/>
        </w:rPr>
        <w:t> </w:t>
      </w:r>
      <w:r>
        <w:rPr>
          <w:i/>
          <w:color w:val="231F20"/>
          <w:w w:val="115"/>
          <w:sz w:val="19"/>
        </w:rPr>
        <w:t>of</w:t>
      </w:r>
      <w:r>
        <w:rPr>
          <w:i/>
          <w:color w:val="231F20"/>
          <w:spacing w:val="-1"/>
          <w:w w:val="115"/>
          <w:sz w:val="19"/>
        </w:rPr>
        <w:t> </w:t>
      </w:r>
      <w:r>
        <w:rPr>
          <w:i/>
          <w:color w:val="231F20"/>
          <w:w w:val="115"/>
          <w:sz w:val="19"/>
        </w:rPr>
        <w:t>the</w:t>
      </w:r>
      <w:r>
        <w:rPr>
          <w:i/>
          <w:color w:val="231F20"/>
          <w:spacing w:val="-1"/>
          <w:w w:val="115"/>
          <w:sz w:val="19"/>
        </w:rPr>
        <w:t> </w:t>
      </w:r>
      <w:r>
        <w:rPr>
          <w:i/>
          <w:color w:val="231F20"/>
          <w:spacing w:val="-2"/>
          <w:w w:val="115"/>
          <w:sz w:val="19"/>
        </w:rPr>
        <w:t>firm.</w:t>
      </w:r>
    </w:p>
    <w:p>
      <w:pPr>
        <w:pStyle w:val="BodyText"/>
        <w:spacing w:line="292" w:lineRule="auto" w:before="60"/>
        <w:ind w:left="919" w:right="666" w:firstLine="340"/>
        <w:jc w:val="both"/>
      </w:pPr>
      <w:r>
        <w:rPr>
          <w:color w:val="231F20"/>
          <w:w w:val="105"/>
        </w:rPr>
        <w:t>A</w:t>
      </w:r>
      <w:r>
        <w:rPr>
          <w:color w:val="231F20"/>
          <w:spacing w:val="-9"/>
          <w:w w:val="105"/>
        </w:rPr>
        <w:t> </w:t>
      </w:r>
      <w:r>
        <w:rPr>
          <w:color w:val="231F20"/>
          <w:w w:val="105"/>
        </w:rPr>
        <w:t>business</w:t>
      </w:r>
      <w:r>
        <w:rPr>
          <w:color w:val="231F20"/>
          <w:spacing w:val="-9"/>
          <w:w w:val="105"/>
        </w:rPr>
        <w:t> </w:t>
      </w:r>
      <w:r>
        <w:rPr>
          <w:color w:val="231F20"/>
          <w:w w:val="105"/>
        </w:rPr>
        <w:t>is</w:t>
      </w:r>
      <w:r>
        <w:rPr>
          <w:color w:val="231F20"/>
          <w:spacing w:val="-9"/>
          <w:w w:val="105"/>
        </w:rPr>
        <w:t> </w:t>
      </w:r>
      <w:r>
        <w:rPr>
          <w:color w:val="231F20"/>
          <w:w w:val="105"/>
        </w:rPr>
        <w:t>presumed</w:t>
      </w:r>
      <w:r>
        <w:rPr>
          <w:color w:val="231F20"/>
          <w:spacing w:val="-9"/>
          <w:w w:val="105"/>
        </w:rPr>
        <w:t> </w:t>
      </w:r>
      <w:r>
        <w:rPr>
          <w:color w:val="231F20"/>
          <w:w w:val="105"/>
        </w:rPr>
        <w:t>to</w:t>
      </w:r>
      <w:r>
        <w:rPr>
          <w:color w:val="231F20"/>
          <w:spacing w:val="-9"/>
          <w:w w:val="105"/>
        </w:rPr>
        <w:t> </w:t>
      </w:r>
      <w:r>
        <w:rPr>
          <w:color w:val="231F20"/>
          <w:w w:val="105"/>
        </w:rPr>
        <w:t>be</w:t>
      </w:r>
      <w:r>
        <w:rPr>
          <w:color w:val="231F20"/>
          <w:spacing w:val="-9"/>
          <w:w w:val="105"/>
        </w:rPr>
        <w:t> </w:t>
      </w:r>
      <w:r>
        <w:rPr>
          <w:color w:val="231F20"/>
          <w:w w:val="105"/>
        </w:rPr>
        <w:t>a</w:t>
      </w:r>
      <w:r>
        <w:rPr>
          <w:color w:val="231F20"/>
          <w:spacing w:val="-10"/>
          <w:w w:val="105"/>
        </w:rPr>
        <w:t> </w:t>
      </w:r>
      <w:r>
        <w:rPr>
          <w:i/>
          <w:color w:val="231F20"/>
          <w:w w:val="105"/>
        </w:rPr>
        <w:t>going</w:t>
      </w:r>
      <w:r>
        <w:rPr>
          <w:i/>
          <w:color w:val="231F20"/>
          <w:spacing w:val="-9"/>
          <w:w w:val="105"/>
        </w:rPr>
        <w:t> </w:t>
      </w:r>
      <w:r>
        <w:rPr>
          <w:i/>
          <w:color w:val="231F20"/>
          <w:w w:val="105"/>
        </w:rPr>
        <w:t>concern</w:t>
      </w:r>
      <w:r>
        <w:rPr>
          <w:i/>
          <w:color w:val="231F20"/>
          <w:spacing w:val="-9"/>
          <w:w w:val="105"/>
        </w:rPr>
        <w:t> </w:t>
      </w:r>
      <w:r>
        <w:rPr>
          <w:color w:val="231F20"/>
          <w:w w:val="105"/>
        </w:rPr>
        <w:t>that</w:t>
      </w:r>
      <w:r>
        <w:rPr>
          <w:color w:val="231F20"/>
          <w:spacing w:val="-9"/>
          <w:w w:val="105"/>
        </w:rPr>
        <w:t> </w:t>
      </w:r>
      <w:r>
        <w:rPr>
          <w:color w:val="231F20"/>
          <w:w w:val="105"/>
        </w:rPr>
        <w:t>will</w:t>
      </w:r>
      <w:r>
        <w:rPr>
          <w:color w:val="231F20"/>
          <w:spacing w:val="-9"/>
          <w:w w:val="105"/>
        </w:rPr>
        <w:t> </w:t>
      </w:r>
      <w:r>
        <w:rPr>
          <w:color w:val="231F20"/>
          <w:w w:val="105"/>
        </w:rPr>
        <w:t>continue to</w:t>
      </w:r>
      <w:r>
        <w:rPr>
          <w:color w:val="231F20"/>
          <w:spacing w:val="-8"/>
          <w:w w:val="105"/>
        </w:rPr>
        <w:t> </w:t>
      </w:r>
      <w:r>
        <w:rPr>
          <w:color w:val="231F20"/>
          <w:w w:val="105"/>
        </w:rPr>
        <w:t>operate</w:t>
      </w:r>
      <w:r>
        <w:rPr>
          <w:color w:val="231F20"/>
          <w:spacing w:val="-8"/>
          <w:w w:val="105"/>
        </w:rPr>
        <w:t> </w:t>
      </w:r>
      <w:r>
        <w:rPr>
          <w:color w:val="231F20"/>
          <w:w w:val="105"/>
        </w:rPr>
        <w:t>indefinitely</w:t>
      </w:r>
      <w:r>
        <w:rPr>
          <w:color w:val="231F20"/>
          <w:spacing w:val="-8"/>
          <w:w w:val="105"/>
        </w:rPr>
        <w:t> </w:t>
      </w:r>
      <w:r>
        <w:rPr>
          <w:color w:val="231F20"/>
          <w:w w:val="105"/>
        </w:rPr>
        <w:t>into</w:t>
      </w:r>
      <w:r>
        <w:rPr>
          <w:color w:val="231F20"/>
          <w:spacing w:val="-8"/>
          <w:w w:val="105"/>
        </w:rPr>
        <w:t> </w:t>
      </w:r>
      <w:r>
        <w:rPr>
          <w:color w:val="231F20"/>
          <w:w w:val="105"/>
        </w:rPr>
        <w:t>the</w:t>
      </w:r>
      <w:r>
        <w:rPr>
          <w:color w:val="231F20"/>
          <w:spacing w:val="-8"/>
          <w:w w:val="105"/>
        </w:rPr>
        <w:t> </w:t>
      </w:r>
      <w:r>
        <w:rPr>
          <w:color w:val="231F20"/>
          <w:w w:val="105"/>
        </w:rPr>
        <w:t>future.</w:t>
      </w:r>
      <w:r>
        <w:rPr>
          <w:color w:val="231F20"/>
          <w:spacing w:val="-8"/>
          <w:w w:val="105"/>
        </w:rPr>
        <w:t> </w:t>
      </w:r>
      <w:r>
        <w:rPr>
          <w:color w:val="231F20"/>
          <w:w w:val="105"/>
        </w:rPr>
        <w:t>By</w:t>
      </w:r>
      <w:r>
        <w:rPr>
          <w:color w:val="231F20"/>
          <w:spacing w:val="-8"/>
          <w:w w:val="105"/>
        </w:rPr>
        <w:t> </w:t>
      </w:r>
      <w:r>
        <w:rPr>
          <w:color w:val="231F20"/>
          <w:w w:val="105"/>
        </w:rPr>
        <w:t>valuing</w:t>
      </w:r>
      <w:r>
        <w:rPr>
          <w:color w:val="231F20"/>
          <w:spacing w:val="-8"/>
          <w:w w:val="105"/>
        </w:rPr>
        <w:t> </w:t>
      </w:r>
      <w:r>
        <w:rPr>
          <w:color w:val="231F20"/>
          <w:w w:val="105"/>
        </w:rPr>
        <w:t>the</w:t>
      </w:r>
      <w:r>
        <w:rPr>
          <w:color w:val="231F20"/>
          <w:spacing w:val="-8"/>
          <w:w w:val="105"/>
        </w:rPr>
        <w:t> </w:t>
      </w:r>
      <w:r>
        <w:rPr>
          <w:color w:val="231F20"/>
          <w:w w:val="105"/>
        </w:rPr>
        <w:t>cash</w:t>
      </w:r>
      <w:r>
        <w:rPr>
          <w:color w:val="231F20"/>
          <w:spacing w:val="-8"/>
          <w:w w:val="105"/>
        </w:rPr>
        <w:t> </w:t>
      </w:r>
      <w:r>
        <w:rPr>
          <w:color w:val="231F20"/>
          <w:w w:val="105"/>
        </w:rPr>
        <w:t>flow</w:t>
      </w:r>
      <w:r>
        <w:rPr>
          <w:color w:val="231F20"/>
          <w:spacing w:val="-8"/>
          <w:w w:val="105"/>
        </w:rPr>
        <w:t> </w:t>
      </w:r>
      <w:r>
        <w:rPr>
          <w:color w:val="231F20"/>
          <w:w w:val="105"/>
        </w:rPr>
        <w:t>to</w:t>
      </w:r>
      <w:r>
        <w:rPr>
          <w:color w:val="231F20"/>
          <w:spacing w:val="-8"/>
          <w:w w:val="105"/>
        </w:rPr>
        <w:t> </w:t>
      </w:r>
      <w:r>
        <w:rPr>
          <w:color w:val="231F20"/>
          <w:w w:val="105"/>
        </w:rPr>
        <w:t>a certain</w:t>
      </w:r>
      <w:r>
        <w:rPr>
          <w:color w:val="231F20"/>
          <w:spacing w:val="-13"/>
          <w:w w:val="105"/>
        </w:rPr>
        <w:t> </w:t>
      </w:r>
      <w:r>
        <w:rPr>
          <w:color w:val="231F20"/>
          <w:w w:val="105"/>
        </w:rPr>
        <w:t>point</w:t>
      </w:r>
      <w:r>
        <w:rPr>
          <w:color w:val="231F20"/>
          <w:spacing w:val="-12"/>
          <w:w w:val="105"/>
        </w:rPr>
        <w:t> </w:t>
      </w:r>
      <w:r>
        <w:rPr>
          <w:color w:val="231F20"/>
          <w:w w:val="105"/>
        </w:rPr>
        <w:t>in</w:t>
      </w:r>
      <w:r>
        <w:rPr>
          <w:color w:val="231F20"/>
          <w:spacing w:val="-12"/>
          <w:w w:val="105"/>
        </w:rPr>
        <w:t> </w:t>
      </w:r>
      <w:r>
        <w:rPr>
          <w:color w:val="231F20"/>
          <w:w w:val="105"/>
        </w:rPr>
        <w:t>time,</w:t>
      </w:r>
      <w:r>
        <w:rPr>
          <w:color w:val="231F20"/>
          <w:spacing w:val="-12"/>
          <w:w w:val="105"/>
        </w:rPr>
        <w:t> </w:t>
      </w:r>
      <w:r>
        <w:rPr>
          <w:color w:val="231F20"/>
          <w:w w:val="105"/>
        </w:rPr>
        <w:t>you</w:t>
      </w:r>
      <w:r>
        <w:rPr>
          <w:color w:val="231F20"/>
          <w:spacing w:val="-12"/>
          <w:w w:val="105"/>
        </w:rPr>
        <w:t> </w:t>
      </w:r>
      <w:r>
        <w:rPr>
          <w:color w:val="231F20"/>
          <w:w w:val="105"/>
        </w:rPr>
        <w:t>are</w:t>
      </w:r>
      <w:r>
        <w:rPr>
          <w:color w:val="231F20"/>
          <w:spacing w:val="-12"/>
          <w:w w:val="105"/>
        </w:rPr>
        <w:t> </w:t>
      </w:r>
      <w:r>
        <w:rPr>
          <w:color w:val="231F20"/>
          <w:w w:val="105"/>
        </w:rPr>
        <w:t>ignoring</w:t>
      </w:r>
      <w:r>
        <w:rPr>
          <w:color w:val="231F20"/>
          <w:spacing w:val="-12"/>
          <w:w w:val="105"/>
        </w:rPr>
        <w:t> </w:t>
      </w:r>
      <w:r>
        <w:rPr>
          <w:color w:val="231F20"/>
          <w:w w:val="105"/>
        </w:rPr>
        <w:t>ongoing</w:t>
      </w:r>
      <w:r>
        <w:rPr>
          <w:color w:val="231F20"/>
          <w:spacing w:val="-13"/>
          <w:w w:val="105"/>
        </w:rPr>
        <w:t> </w:t>
      </w:r>
      <w:r>
        <w:rPr>
          <w:color w:val="231F20"/>
          <w:w w:val="105"/>
        </w:rPr>
        <w:t>value.</w:t>
      </w:r>
      <w:r>
        <w:rPr>
          <w:color w:val="231F20"/>
          <w:spacing w:val="-12"/>
          <w:w w:val="105"/>
        </w:rPr>
        <w:t> </w:t>
      </w:r>
      <w:r>
        <w:rPr>
          <w:color w:val="231F20"/>
          <w:w w:val="105"/>
        </w:rPr>
        <w:t>That</w:t>
      </w:r>
      <w:r>
        <w:rPr>
          <w:color w:val="231F20"/>
          <w:spacing w:val="-12"/>
          <w:w w:val="105"/>
        </w:rPr>
        <w:t> </w:t>
      </w:r>
      <w:r>
        <w:rPr>
          <w:color w:val="231F20"/>
          <w:w w:val="105"/>
        </w:rPr>
        <w:t>is</w:t>
      </w:r>
      <w:r>
        <w:rPr>
          <w:color w:val="231F20"/>
          <w:spacing w:val="-12"/>
          <w:w w:val="105"/>
        </w:rPr>
        <w:t> </w:t>
      </w:r>
      <w:r>
        <w:rPr>
          <w:color w:val="231F20"/>
          <w:w w:val="105"/>
        </w:rPr>
        <w:t>why</w:t>
      </w:r>
      <w:r>
        <w:rPr>
          <w:color w:val="231F20"/>
          <w:spacing w:val="-12"/>
          <w:w w:val="105"/>
        </w:rPr>
        <w:t> </w:t>
      </w:r>
      <w:r>
        <w:rPr>
          <w:color w:val="231F20"/>
          <w:w w:val="105"/>
        </w:rPr>
        <w:t>at the</w:t>
      </w:r>
      <w:r>
        <w:rPr>
          <w:color w:val="231F20"/>
          <w:w w:val="105"/>
        </w:rPr>
        <w:t> end</w:t>
      </w:r>
      <w:r>
        <w:rPr>
          <w:color w:val="231F20"/>
          <w:w w:val="105"/>
        </w:rPr>
        <w:t> of</w:t>
      </w:r>
      <w:r>
        <w:rPr>
          <w:color w:val="231F20"/>
          <w:w w:val="105"/>
        </w:rPr>
        <w:t> the</w:t>
      </w:r>
      <w:r>
        <w:rPr>
          <w:color w:val="231F20"/>
          <w:w w:val="105"/>
        </w:rPr>
        <w:t> financial</w:t>
      </w:r>
      <w:r>
        <w:rPr>
          <w:color w:val="231F20"/>
          <w:w w:val="105"/>
        </w:rPr>
        <w:t> projection,</w:t>
      </w:r>
      <w:r>
        <w:rPr>
          <w:color w:val="231F20"/>
          <w:w w:val="105"/>
        </w:rPr>
        <w:t> a</w:t>
      </w:r>
      <w:r>
        <w:rPr>
          <w:color w:val="231F20"/>
          <w:w w:val="105"/>
        </w:rPr>
        <w:t> </w:t>
      </w:r>
      <w:r>
        <w:rPr>
          <w:i/>
          <w:color w:val="231F20"/>
          <w:w w:val="105"/>
        </w:rPr>
        <w:t>terminal</w:t>
      </w:r>
      <w:r>
        <w:rPr>
          <w:i/>
          <w:color w:val="231F20"/>
          <w:w w:val="105"/>
        </w:rPr>
        <w:t> value</w:t>
      </w:r>
      <w:r>
        <w:rPr>
          <w:i/>
          <w:color w:val="231F20"/>
          <w:w w:val="105"/>
        </w:rPr>
        <w:t> </w:t>
      </w:r>
      <w:r>
        <w:rPr>
          <w:color w:val="231F20"/>
          <w:w w:val="105"/>
        </w:rPr>
        <w:t>must</w:t>
      </w:r>
      <w:r>
        <w:rPr>
          <w:color w:val="231F20"/>
          <w:w w:val="105"/>
        </w:rPr>
        <w:t> be</w:t>
      </w:r>
      <w:r>
        <w:rPr>
          <w:color w:val="231F20"/>
          <w:w w:val="105"/>
        </w:rPr>
        <w:t> calcu- lated and added to the cash flow valuation.</w:t>
      </w:r>
    </w:p>
    <w:p>
      <w:pPr>
        <w:pStyle w:val="BodyText"/>
        <w:spacing w:line="292" w:lineRule="auto"/>
        <w:ind w:left="920" w:right="666" w:firstLine="340"/>
        <w:jc w:val="both"/>
      </w:pPr>
      <w:r>
        <w:rPr>
          <w:color w:val="231F20"/>
        </w:rPr>
        <w:t>At Bob’s Market the fourth year’s cash flow was $73,000. If </w:t>
      </w:r>
      <w:r>
        <w:rPr>
          <w:color w:val="231F20"/>
        </w:rPr>
        <w:t>that cash is forecasted to be the same year after year, you could use the same valuation method that is used to value a perpetuity.</w:t>
      </w:r>
    </w:p>
    <w:p>
      <w:pPr>
        <w:pStyle w:val="BodyText"/>
        <w:spacing w:before="8"/>
        <w:rPr>
          <w:sz w:val="16"/>
        </w:rPr>
      </w:pPr>
    </w:p>
    <w:p>
      <w:pPr>
        <w:spacing w:after="0"/>
        <w:rPr>
          <w:sz w:val="16"/>
        </w:rPr>
        <w:sectPr>
          <w:pgSz w:w="8640" w:h="12960"/>
          <w:pgMar w:header="734" w:footer="0" w:top="920" w:bottom="280" w:left="340" w:right="500"/>
        </w:sectPr>
      </w:pPr>
    </w:p>
    <w:p>
      <w:pPr>
        <w:pStyle w:val="BodyText"/>
        <w:spacing w:before="5"/>
        <w:rPr>
          <w:sz w:val="20"/>
        </w:rPr>
      </w:pPr>
    </w:p>
    <w:p>
      <w:pPr>
        <w:pStyle w:val="BodyText"/>
        <w:ind w:left="1929"/>
        <w:rPr>
          <w:rFonts w:ascii="Symbol" w:hAnsi="Symbol"/>
        </w:rPr>
      </w:pPr>
      <w:r>
        <w:rPr/>
        <w:pict>
          <v:line style="position:absolute;mso-position-horizontal-relative:page;mso-position-vertical-relative:paragraph;z-index:-25077760" from="196pt,7.307036pt" to="323pt,7.307036pt" stroked="true" strokeweight=".5pt" strokecolor="#231f20">
            <v:stroke dashstyle="solid"/>
            <w10:wrap type="none"/>
          </v:line>
        </w:pict>
      </w:r>
      <w:r>
        <w:rPr/>
        <w:pict>
          <v:rect style="position:absolute;margin-left:275.93335pt;margin-top:15.180546pt;width:4.93095pt;height:.7242pt;mso-position-horizontal-relative:page;mso-position-vertical-relative:paragraph;z-index:-25076736" id="docshape398" filled="true" fillcolor="#231f20" stroked="false">
            <v:fill type="solid"/>
            <w10:wrap type="none"/>
          </v:rect>
        </w:pict>
      </w:r>
      <w:r>
        <w:rPr>
          <w:color w:val="231F20"/>
        </w:rPr>
        <w:t>Terminal</w:t>
      </w:r>
      <w:r>
        <w:rPr>
          <w:color w:val="231F20"/>
          <w:spacing w:val="10"/>
        </w:rPr>
        <w:t> </w:t>
      </w:r>
      <w:r>
        <w:rPr>
          <w:color w:val="231F20"/>
        </w:rPr>
        <w:t>Value</w:t>
      </w:r>
      <w:r>
        <w:rPr>
          <w:color w:val="231F20"/>
          <w:spacing w:val="11"/>
        </w:rPr>
        <w:t> </w:t>
      </w:r>
      <w:r>
        <w:rPr>
          <w:rFonts w:ascii="Symbol" w:hAnsi="Symbol"/>
          <w:color w:val="231F20"/>
          <w:spacing w:val="-10"/>
        </w:rPr>
        <w:t></w:t>
      </w:r>
    </w:p>
    <w:p>
      <w:pPr>
        <w:pStyle w:val="BodyText"/>
        <w:tabs>
          <w:tab w:pos="1804" w:val="left" w:leader="none"/>
        </w:tabs>
        <w:spacing w:line="292" w:lineRule="auto" w:before="102"/>
        <w:ind w:left="19" w:right="1659" w:firstLine="349"/>
      </w:pPr>
      <w:r>
        <w:rPr/>
        <w:br w:type="column"/>
      </w:r>
      <w:r>
        <w:rPr>
          <w:color w:val="231F20"/>
          <w:w w:val="105"/>
        </w:rPr>
        <w:t>Terminal Cash Flow (Discount Factor</w:t>
      </w:r>
      <w:r>
        <w:rPr>
          <w:color w:val="231F20"/>
        </w:rPr>
        <w:tab/>
      </w:r>
      <w:r>
        <w:rPr>
          <w:color w:val="231F20"/>
          <w:spacing w:val="-2"/>
          <w:w w:val="105"/>
        </w:rPr>
        <w:t>Growth)</w:t>
      </w:r>
    </w:p>
    <w:p>
      <w:pPr>
        <w:spacing w:after="0" w:line="292" w:lineRule="auto"/>
        <w:sectPr>
          <w:type w:val="continuous"/>
          <w:pgSz w:w="8640" w:h="12960"/>
          <w:pgMar w:header="732" w:footer="0" w:top="1220" w:bottom="280" w:left="340" w:right="500"/>
          <w:cols w:num="2" w:equalWidth="0">
            <w:col w:w="3501" w:space="40"/>
            <w:col w:w="4259"/>
          </w:cols>
        </w:sectPr>
      </w:pPr>
    </w:p>
    <w:p>
      <w:pPr>
        <w:pStyle w:val="BodyText"/>
        <w:spacing w:before="9"/>
        <w:rPr>
          <w:sz w:val="16"/>
        </w:rPr>
      </w:pPr>
    </w:p>
    <w:p>
      <w:pPr>
        <w:pStyle w:val="BodyText"/>
        <w:spacing w:line="292" w:lineRule="auto" w:before="102"/>
        <w:ind w:left="920" w:right="667" w:firstLine="340"/>
        <w:jc w:val="both"/>
      </w:pPr>
      <w:r>
        <w:rPr>
          <w:color w:val="231F20"/>
        </w:rPr>
        <w:t>The</w:t>
      </w:r>
      <w:r>
        <w:rPr>
          <w:color w:val="231F20"/>
          <w:spacing w:val="-10"/>
        </w:rPr>
        <w:t> </w:t>
      </w:r>
      <w:r>
        <w:rPr>
          <w:color w:val="231F20"/>
        </w:rPr>
        <w:t>proper</w:t>
      </w:r>
      <w:r>
        <w:rPr>
          <w:color w:val="231F20"/>
          <w:spacing w:val="-10"/>
        </w:rPr>
        <w:t> </w:t>
      </w:r>
      <w:r>
        <w:rPr>
          <w:color w:val="231F20"/>
        </w:rPr>
        <w:t>discount</w:t>
      </w:r>
      <w:r>
        <w:rPr>
          <w:color w:val="231F20"/>
          <w:spacing w:val="-10"/>
        </w:rPr>
        <w:t> </w:t>
      </w:r>
      <w:r>
        <w:rPr>
          <w:color w:val="231F20"/>
        </w:rPr>
        <w:t>factor</w:t>
      </w:r>
      <w:r>
        <w:rPr>
          <w:color w:val="231F20"/>
          <w:spacing w:val="-10"/>
        </w:rPr>
        <w:t> </w:t>
      </w:r>
      <w:r>
        <w:rPr>
          <w:color w:val="231F20"/>
        </w:rPr>
        <w:t>to</w:t>
      </w:r>
      <w:r>
        <w:rPr>
          <w:color w:val="231F20"/>
          <w:spacing w:val="-10"/>
        </w:rPr>
        <w:t> </w:t>
      </w:r>
      <w:r>
        <w:rPr>
          <w:color w:val="231F20"/>
        </w:rPr>
        <w:t>use</w:t>
      </w:r>
      <w:r>
        <w:rPr>
          <w:color w:val="231F20"/>
          <w:spacing w:val="-10"/>
        </w:rPr>
        <w:t> </w:t>
      </w:r>
      <w:r>
        <w:rPr>
          <w:color w:val="231F20"/>
        </w:rPr>
        <w:t>in</w:t>
      </w:r>
      <w:r>
        <w:rPr>
          <w:color w:val="231F20"/>
          <w:spacing w:val="-10"/>
        </w:rPr>
        <w:t> </w:t>
      </w:r>
      <w:r>
        <w:rPr>
          <w:color w:val="231F20"/>
        </w:rPr>
        <w:t>this</w:t>
      </w:r>
      <w:r>
        <w:rPr>
          <w:color w:val="231F20"/>
          <w:spacing w:val="-10"/>
        </w:rPr>
        <w:t> </w:t>
      </w:r>
      <w:r>
        <w:rPr>
          <w:color w:val="231F20"/>
        </w:rPr>
        <w:t>case</w:t>
      </w:r>
      <w:r>
        <w:rPr>
          <w:color w:val="231F20"/>
          <w:spacing w:val="-10"/>
        </w:rPr>
        <w:t> </w:t>
      </w:r>
      <w:r>
        <w:rPr>
          <w:color w:val="231F20"/>
        </w:rPr>
        <w:t>is</w:t>
      </w:r>
      <w:r>
        <w:rPr>
          <w:color w:val="231F20"/>
          <w:spacing w:val="-10"/>
        </w:rPr>
        <w:t> </w:t>
      </w:r>
      <w:r>
        <w:rPr>
          <w:color w:val="231F20"/>
        </w:rPr>
        <w:t>the</w:t>
      </w:r>
      <w:r>
        <w:rPr>
          <w:color w:val="231F20"/>
          <w:spacing w:val="-10"/>
        </w:rPr>
        <w:t> </w:t>
      </w:r>
      <w:r>
        <w:rPr>
          <w:color w:val="231F20"/>
        </w:rPr>
        <w:t>weighted</w:t>
      </w:r>
      <w:r>
        <w:rPr>
          <w:color w:val="231F20"/>
          <w:spacing w:val="-10"/>
        </w:rPr>
        <w:t> </w:t>
      </w:r>
      <w:r>
        <w:rPr>
          <w:color w:val="231F20"/>
        </w:rPr>
        <w:t>aver- age cost of capital (WACC). We use WACC because the </w:t>
      </w:r>
      <w:r>
        <w:rPr>
          <w:i/>
          <w:color w:val="231F20"/>
        </w:rPr>
        <w:t>free cash flow</w:t>
      </w:r>
      <w:r>
        <w:rPr>
          <w:i/>
          <w:color w:val="231F20"/>
        </w:rPr>
        <w:t> </w:t>
      </w:r>
      <w:r>
        <w:rPr>
          <w:color w:val="231F20"/>
        </w:rPr>
        <w:t>of the company is available to pay interest on debt </w:t>
      </w:r>
      <w:r>
        <w:rPr>
          <w:i/>
          <w:color w:val="231F20"/>
        </w:rPr>
        <w:t>and </w:t>
      </w:r>
      <w:r>
        <w:rPr>
          <w:color w:val="231F20"/>
        </w:rPr>
        <w:t>to pay divi- dends to equity holders. Therefore the proper discount factor takes into account the firm’s entire capital structure, its debt </w:t>
      </w:r>
      <w:r>
        <w:rPr>
          <w:i/>
          <w:color w:val="231F20"/>
        </w:rPr>
        <w:t>and </w:t>
      </w:r>
      <w:r>
        <w:rPr>
          <w:color w:val="231F20"/>
        </w:rPr>
        <w:t>equity.</w:t>
      </w:r>
    </w:p>
    <w:p>
      <w:pPr>
        <w:pStyle w:val="BodyText"/>
        <w:spacing w:line="292" w:lineRule="auto"/>
        <w:ind w:left="920" w:right="666" w:firstLine="340"/>
        <w:jc w:val="both"/>
      </w:pPr>
      <w:r>
        <w:rPr>
          <w:color w:val="231F20"/>
        </w:rPr>
        <w:t>Bob’s Market’s capital structure is conservative. Its balance </w:t>
      </w:r>
      <w:r>
        <w:rPr>
          <w:color w:val="231F20"/>
        </w:rPr>
        <w:t>sheet lists only $10,000 of debt and $45,000 of equity. Its debt carries an interest rate of 10 percent. The cost of equity can be calculated using the Capital Asset Pricing Model. Using a historical long-term risk-</w:t>
      </w:r>
      <w:r>
        <w:rPr>
          <w:color w:val="231F20"/>
          <w:spacing w:val="40"/>
        </w:rPr>
        <w:t> </w:t>
      </w:r>
      <w:r>
        <w:rPr>
          <w:color w:val="231F20"/>
        </w:rPr>
        <w:t>free</w:t>
      </w:r>
      <w:r>
        <w:rPr>
          <w:color w:val="231F20"/>
          <w:spacing w:val="6"/>
        </w:rPr>
        <w:t> </w:t>
      </w:r>
      <w:r>
        <w:rPr>
          <w:color w:val="231F20"/>
        </w:rPr>
        <w:t>Treasury</w:t>
      </w:r>
      <w:r>
        <w:rPr>
          <w:color w:val="231F20"/>
          <w:spacing w:val="7"/>
        </w:rPr>
        <w:t> </w:t>
      </w:r>
      <w:r>
        <w:rPr>
          <w:color w:val="231F20"/>
        </w:rPr>
        <w:t>rate</w:t>
      </w:r>
      <w:r>
        <w:rPr>
          <w:color w:val="231F20"/>
          <w:spacing w:val="7"/>
        </w:rPr>
        <w:t> </w:t>
      </w:r>
      <w:r>
        <w:rPr>
          <w:color w:val="231F20"/>
        </w:rPr>
        <w:t>of</w:t>
      </w:r>
      <w:r>
        <w:rPr>
          <w:color w:val="231F20"/>
          <w:spacing w:val="7"/>
        </w:rPr>
        <w:t> </w:t>
      </w:r>
      <w:r>
        <w:rPr>
          <w:color w:val="231F20"/>
        </w:rPr>
        <w:t>8</w:t>
      </w:r>
      <w:r>
        <w:rPr>
          <w:color w:val="231F20"/>
          <w:spacing w:val="7"/>
        </w:rPr>
        <w:t> </w:t>
      </w:r>
      <w:r>
        <w:rPr>
          <w:color w:val="231F20"/>
        </w:rPr>
        <w:t>percent,</w:t>
      </w:r>
      <w:r>
        <w:rPr>
          <w:color w:val="231F20"/>
          <w:spacing w:val="7"/>
        </w:rPr>
        <w:t> </w:t>
      </w:r>
      <w:r>
        <w:rPr>
          <w:color w:val="231F20"/>
        </w:rPr>
        <w:t>the</w:t>
      </w:r>
      <w:r>
        <w:rPr>
          <w:color w:val="231F20"/>
          <w:spacing w:val="7"/>
        </w:rPr>
        <w:t> </w:t>
      </w:r>
      <w:r>
        <w:rPr>
          <w:color w:val="231F20"/>
        </w:rPr>
        <w:t>risk</w:t>
      </w:r>
      <w:r>
        <w:rPr>
          <w:color w:val="231F20"/>
          <w:spacing w:val="6"/>
        </w:rPr>
        <w:t> </w:t>
      </w:r>
      <w:r>
        <w:rPr>
          <w:color w:val="231F20"/>
        </w:rPr>
        <w:t>premium</w:t>
      </w:r>
      <w:r>
        <w:rPr>
          <w:color w:val="231F20"/>
          <w:spacing w:val="7"/>
        </w:rPr>
        <w:t> </w:t>
      </w:r>
      <w:r>
        <w:rPr>
          <w:color w:val="231F20"/>
        </w:rPr>
        <w:t>of</w:t>
      </w:r>
      <w:r>
        <w:rPr>
          <w:color w:val="231F20"/>
          <w:spacing w:val="7"/>
        </w:rPr>
        <w:t> </w:t>
      </w:r>
      <w:r>
        <w:rPr>
          <w:color w:val="231F20"/>
        </w:rPr>
        <w:t>7.4</w:t>
      </w:r>
      <w:r>
        <w:rPr>
          <w:color w:val="231F20"/>
          <w:spacing w:val="7"/>
        </w:rPr>
        <w:t> </w:t>
      </w:r>
      <w:r>
        <w:rPr>
          <w:color w:val="231F20"/>
        </w:rPr>
        <w:t>percent,</w:t>
      </w:r>
      <w:r>
        <w:rPr>
          <w:color w:val="231F20"/>
          <w:spacing w:val="7"/>
        </w:rPr>
        <w:t> </w:t>
      </w:r>
      <w:r>
        <w:rPr>
          <w:color w:val="231F20"/>
          <w:spacing w:val="-5"/>
        </w:rPr>
        <w:t>and</w:t>
      </w:r>
    </w:p>
    <w:p>
      <w:pPr>
        <w:spacing w:after="0" w:line="292" w:lineRule="auto"/>
        <w:jc w:val="both"/>
        <w:sectPr>
          <w:type w:val="continuous"/>
          <w:pgSz w:w="8640" w:h="12960"/>
          <w:pgMar w:header="732" w:footer="0" w:top="1220" w:bottom="280" w:left="340" w:right="500"/>
        </w:sectPr>
      </w:pPr>
    </w:p>
    <w:p>
      <w:pPr>
        <w:pStyle w:val="BodyText"/>
        <w:spacing w:before="10"/>
        <w:rPr>
          <w:sz w:val="17"/>
        </w:rPr>
      </w:pPr>
    </w:p>
    <w:p>
      <w:pPr>
        <w:pStyle w:val="BodyText"/>
        <w:spacing w:line="292" w:lineRule="auto" w:before="102"/>
        <w:ind w:left="830" w:right="667"/>
      </w:pPr>
      <w:r>
        <w:rPr>
          <w:color w:val="231F20"/>
        </w:rPr>
        <w:t>a</w:t>
      </w:r>
      <w:r>
        <w:rPr>
          <w:color w:val="231F20"/>
          <w:spacing w:val="27"/>
        </w:rPr>
        <w:t> </w:t>
      </w:r>
      <w:r>
        <w:rPr>
          <w:color w:val="231F20"/>
        </w:rPr>
        <w:t>.85</w:t>
      </w:r>
      <w:r>
        <w:rPr>
          <w:color w:val="231F20"/>
          <w:spacing w:val="27"/>
        </w:rPr>
        <w:t> </w:t>
      </w:r>
      <w:r>
        <w:rPr>
          <w:color w:val="231F20"/>
        </w:rPr>
        <w:t>beta</w:t>
      </w:r>
      <w:r>
        <w:rPr>
          <w:color w:val="231F20"/>
          <w:spacing w:val="27"/>
        </w:rPr>
        <w:t> </w:t>
      </w:r>
      <w:r>
        <w:rPr>
          <w:color w:val="231F20"/>
        </w:rPr>
        <w:t>representing</w:t>
      </w:r>
      <w:r>
        <w:rPr>
          <w:color w:val="231F20"/>
          <w:spacing w:val="27"/>
        </w:rPr>
        <w:t> </w:t>
      </w:r>
      <w:r>
        <w:rPr>
          <w:color w:val="231F20"/>
        </w:rPr>
        <w:t>the</w:t>
      </w:r>
      <w:r>
        <w:rPr>
          <w:color w:val="231F20"/>
          <w:spacing w:val="27"/>
        </w:rPr>
        <w:t> </w:t>
      </w:r>
      <w:r>
        <w:rPr>
          <w:color w:val="231F20"/>
        </w:rPr>
        <w:t>lower</w:t>
      </w:r>
      <w:r>
        <w:rPr>
          <w:color w:val="231F20"/>
          <w:spacing w:val="27"/>
        </w:rPr>
        <w:t> </w:t>
      </w:r>
      <w:r>
        <w:rPr>
          <w:color w:val="231F20"/>
        </w:rPr>
        <w:t>risk</w:t>
      </w:r>
      <w:r>
        <w:rPr>
          <w:color w:val="231F20"/>
          <w:spacing w:val="27"/>
        </w:rPr>
        <w:t> </w:t>
      </w:r>
      <w:r>
        <w:rPr>
          <w:color w:val="231F20"/>
        </w:rPr>
        <w:t>of</w:t>
      </w:r>
      <w:r>
        <w:rPr>
          <w:color w:val="231F20"/>
          <w:spacing w:val="27"/>
        </w:rPr>
        <w:t> </w:t>
      </w:r>
      <w:r>
        <w:rPr>
          <w:color w:val="231F20"/>
        </w:rPr>
        <w:t>a</w:t>
      </w:r>
      <w:r>
        <w:rPr>
          <w:color w:val="231F20"/>
          <w:spacing w:val="27"/>
        </w:rPr>
        <w:t> </w:t>
      </w:r>
      <w:r>
        <w:rPr>
          <w:color w:val="231F20"/>
        </w:rPr>
        <w:t>low-debt</w:t>
      </w:r>
      <w:r>
        <w:rPr>
          <w:color w:val="231F20"/>
          <w:spacing w:val="27"/>
        </w:rPr>
        <w:t> </w:t>
      </w:r>
      <w:r>
        <w:rPr>
          <w:color w:val="231F20"/>
        </w:rPr>
        <w:t>grocery</w:t>
      </w:r>
      <w:r>
        <w:rPr>
          <w:color w:val="231F20"/>
          <w:spacing w:val="27"/>
        </w:rPr>
        <w:t> </w:t>
      </w:r>
      <w:r>
        <w:rPr>
          <w:color w:val="231F20"/>
        </w:rPr>
        <w:t>store, the cost of equity is 14.3 percent.</w:t>
      </w:r>
    </w:p>
    <w:p>
      <w:pPr>
        <w:pStyle w:val="BodyText"/>
        <w:spacing w:before="6"/>
        <w:rPr>
          <w:sz w:val="24"/>
        </w:rPr>
      </w:pPr>
    </w:p>
    <w:p>
      <w:pPr>
        <w:pStyle w:val="BodyText"/>
        <w:tabs>
          <w:tab w:pos="4227" w:val="left" w:leader="none"/>
        </w:tabs>
        <w:spacing w:line="403" w:lineRule="auto"/>
        <w:ind w:left="2720" w:right="2642" w:hanging="1"/>
      </w:pPr>
      <w:r>
        <w:rPr/>
        <w:pict>
          <v:rect style="position:absolute;margin-left:220.024643pt;margin-top:7.680528pt;width:4.930940pt;height:.7242pt;mso-position-horizontal-relative:page;mso-position-vertical-relative:paragraph;z-index:-25074688" id="docshape399" filled="true" fillcolor="#231f20" stroked="false">
            <v:fill type="solid"/>
            <w10:wrap type="none"/>
          </v:rect>
        </w:pict>
      </w:r>
      <w:r>
        <w:rPr>
          <w:color w:val="231F20"/>
          <w:spacing w:val="10"/>
          <w:w w:val="110"/>
        </w:rPr>
        <w:t>K</w:t>
      </w:r>
      <w:r>
        <w:rPr>
          <w:color w:val="231F20"/>
          <w:spacing w:val="10"/>
          <w:w w:val="110"/>
          <w:position w:val="-3"/>
          <w:sz w:val="11"/>
        </w:rPr>
        <w:t>e</w:t>
      </w:r>
      <w:r>
        <w:rPr>
          <w:color w:val="231F20"/>
          <w:spacing w:val="40"/>
          <w:w w:val="110"/>
          <w:position w:val="-3"/>
          <w:sz w:val="11"/>
        </w:rPr>
        <w:t> </w:t>
      </w:r>
      <w:r>
        <w:rPr>
          <w:rFonts w:ascii="Symbol" w:hAnsi="Symbol"/>
          <w:color w:val="231F20"/>
          <w:w w:val="110"/>
        </w:rPr>
        <w:t></w:t>
      </w:r>
      <w:r>
        <w:rPr>
          <w:rFonts w:ascii="Times New Roman" w:hAnsi="Times New Roman"/>
          <w:color w:val="231F20"/>
          <w:w w:val="110"/>
        </w:rPr>
        <w:t> </w:t>
      </w:r>
      <w:r>
        <w:rPr>
          <w:color w:val="231F20"/>
          <w:spacing w:val="10"/>
          <w:w w:val="110"/>
        </w:rPr>
        <w:t>R</w:t>
      </w:r>
      <w:r>
        <w:rPr>
          <w:color w:val="231F20"/>
          <w:spacing w:val="10"/>
          <w:w w:val="110"/>
          <w:position w:val="-3"/>
          <w:sz w:val="11"/>
        </w:rPr>
        <w:t>f</w:t>
      </w:r>
      <w:r>
        <w:rPr>
          <w:color w:val="231F20"/>
          <w:spacing w:val="40"/>
          <w:w w:val="110"/>
          <w:position w:val="-3"/>
          <w:sz w:val="11"/>
        </w:rPr>
        <w:t> </w:t>
      </w:r>
      <w:r>
        <w:rPr>
          <w:rFonts w:ascii="Symbol" w:hAnsi="Symbol"/>
          <w:color w:val="231F20"/>
          <w:w w:val="110"/>
        </w:rPr>
        <w:t></w:t>
      </w:r>
      <w:r>
        <w:rPr>
          <w:rFonts w:ascii="Times New Roman" w:hAnsi="Times New Roman"/>
          <w:color w:val="231F20"/>
          <w:w w:val="110"/>
        </w:rPr>
        <w:t> </w:t>
      </w:r>
      <w:r>
        <w:rPr>
          <w:color w:val="231F20"/>
          <w:w w:val="110"/>
        </w:rPr>
        <w:t>(K</w:t>
      </w:r>
      <w:r>
        <w:rPr>
          <w:color w:val="231F20"/>
          <w:spacing w:val="-13"/>
          <w:w w:val="110"/>
        </w:rPr>
        <w:t> </w:t>
      </w:r>
      <w:r>
        <w:rPr>
          <w:color w:val="231F20"/>
          <w:w w:val="110"/>
          <w:position w:val="-3"/>
          <w:sz w:val="11"/>
        </w:rPr>
        <w:t>m</w:t>
      </w:r>
      <w:r>
        <w:rPr>
          <w:color w:val="231F20"/>
          <w:position w:val="-3"/>
          <w:sz w:val="11"/>
        </w:rPr>
        <w:tab/>
      </w:r>
      <w:r>
        <w:rPr>
          <w:color w:val="231F20"/>
          <w:spacing w:val="10"/>
          <w:w w:val="110"/>
        </w:rPr>
        <w:t>R</w:t>
      </w:r>
      <w:r>
        <w:rPr>
          <w:color w:val="231F20"/>
          <w:spacing w:val="10"/>
          <w:w w:val="110"/>
          <w:position w:val="-3"/>
          <w:sz w:val="11"/>
        </w:rPr>
        <w:t>f</w:t>
      </w:r>
      <w:r>
        <w:rPr>
          <w:color w:val="231F20"/>
          <w:spacing w:val="10"/>
          <w:w w:val="110"/>
        </w:rPr>
        <w:t>) </w:t>
      </w:r>
      <w:r>
        <w:rPr>
          <w:color w:val="231F20"/>
          <w:w w:val="110"/>
        </w:rPr>
        <w:t>Beta 14.3%</w:t>
      </w:r>
      <w:r>
        <w:rPr>
          <w:color w:val="231F20"/>
          <w:spacing w:val="-13"/>
          <w:w w:val="110"/>
        </w:rPr>
        <w:t> </w:t>
      </w:r>
      <w:r>
        <w:rPr>
          <w:rFonts w:ascii="Symbol" w:hAnsi="Symbol"/>
          <w:color w:val="231F20"/>
          <w:w w:val="110"/>
        </w:rPr>
        <w:t></w:t>
      </w:r>
      <w:r>
        <w:rPr>
          <w:rFonts w:ascii="Times New Roman" w:hAnsi="Times New Roman"/>
          <w:color w:val="231F20"/>
          <w:spacing w:val="-15"/>
          <w:w w:val="110"/>
        </w:rPr>
        <w:t> </w:t>
      </w:r>
      <w:r>
        <w:rPr>
          <w:color w:val="231F20"/>
          <w:w w:val="110"/>
        </w:rPr>
        <w:t>8%</w:t>
      </w:r>
      <w:r>
        <w:rPr>
          <w:color w:val="231F20"/>
          <w:spacing w:val="-12"/>
          <w:w w:val="110"/>
        </w:rPr>
        <w:t> </w:t>
      </w:r>
      <w:r>
        <w:rPr>
          <w:rFonts w:ascii="Symbol" w:hAnsi="Symbol"/>
          <w:color w:val="231F20"/>
          <w:w w:val="110"/>
        </w:rPr>
        <w:t></w:t>
      </w:r>
      <w:r>
        <w:rPr>
          <w:rFonts w:ascii="Times New Roman" w:hAnsi="Times New Roman"/>
          <w:color w:val="231F20"/>
          <w:spacing w:val="-15"/>
          <w:w w:val="110"/>
        </w:rPr>
        <w:t> </w:t>
      </w:r>
      <w:r>
        <w:rPr>
          <w:color w:val="231F20"/>
          <w:w w:val="110"/>
        </w:rPr>
        <w:t>(7.4%)</w:t>
      </w:r>
      <w:r>
        <w:rPr>
          <w:color w:val="231F20"/>
          <w:spacing w:val="-13"/>
          <w:w w:val="110"/>
        </w:rPr>
        <w:t> </w:t>
      </w:r>
      <w:r>
        <w:rPr>
          <w:color w:val="231F20"/>
          <w:w w:val="110"/>
        </w:rPr>
        <w:t>.85</w:t>
      </w:r>
    </w:p>
    <w:p>
      <w:pPr>
        <w:pStyle w:val="BodyText"/>
        <w:spacing w:line="292" w:lineRule="auto" w:before="178"/>
        <w:ind w:left="830" w:right="667" w:firstLine="340"/>
      </w:pPr>
      <w:r>
        <w:rPr>
          <w:color w:val="231F20"/>
          <w:w w:val="105"/>
        </w:rPr>
        <w:t>Plugging</w:t>
      </w:r>
      <w:r>
        <w:rPr>
          <w:color w:val="231F20"/>
          <w:w w:val="105"/>
        </w:rPr>
        <w:t> the</w:t>
      </w:r>
      <w:r>
        <w:rPr>
          <w:color w:val="231F20"/>
          <w:w w:val="105"/>
        </w:rPr>
        <w:t> cost</w:t>
      </w:r>
      <w:r>
        <w:rPr>
          <w:color w:val="231F20"/>
          <w:w w:val="105"/>
        </w:rPr>
        <w:t> of</w:t>
      </w:r>
      <w:r>
        <w:rPr>
          <w:color w:val="231F20"/>
          <w:w w:val="105"/>
        </w:rPr>
        <w:t> equity</w:t>
      </w:r>
      <w:r>
        <w:rPr>
          <w:color w:val="231F20"/>
          <w:w w:val="105"/>
        </w:rPr>
        <w:t> into</w:t>
      </w:r>
      <w:r>
        <w:rPr>
          <w:color w:val="231F20"/>
          <w:w w:val="105"/>
        </w:rPr>
        <w:t> the</w:t>
      </w:r>
      <w:r>
        <w:rPr>
          <w:color w:val="231F20"/>
          <w:w w:val="105"/>
        </w:rPr>
        <w:t> WACC</w:t>
      </w:r>
      <w:r>
        <w:rPr>
          <w:color w:val="231F20"/>
          <w:w w:val="105"/>
        </w:rPr>
        <w:t> equation,</w:t>
      </w:r>
      <w:r>
        <w:rPr>
          <w:color w:val="231F20"/>
          <w:w w:val="105"/>
        </w:rPr>
        <w:t> the</w:t>
      </w:r>
      <w:r>
        <w:rPr>
          <w:color w:val="231F20"/>
          <w:w w:val="105"/>
        </w:rPr>
        <w:t> firm’s weighted average cost of capital is 13 percent.</w:t>
      </w:r>
    </w:p>
    <w:p>
      <w:pPr>
        <w:pStyle w:val="BodyText"/>
        <w:tabs>
          <w:tab w:pos="1559" w:val="left" w:leader="none"/>
        </w:tabs>
        <w:spacing w:before="126"/>
        <w:ind w:right="844"/>
        <w:jc w:val="center"/>
        <w:rPr>
          <w:rFonts w:ascii="Symbol" w:hAnsi="Symbol"/>
          <w:sz w:val="60"/>
        </w:rPr>
      </w:pPr>
      <w:r>
        <w:rPr/>
        <w:pict>
          <v:rect style="position:absolute;margin-left:158.113586pt;margin-top:29.585264pt;width:4.930940pt;height:.7242pt;mso-position-horizontal-relative:page;mso-position-vertical-relative:paragraph;z-index:-25074176" id="docshape400" filled="true" fillcolor="#231f20" stroked="false">
            <v:fill type="solid"/>
            <w10:wrap type="none"/>
          </v:rect>
        </w:pict>
      </w:r>
      <w:r>
        <w:rPr/>
        <w:pict>
          <v:shape style="position:absolute;margin-left:141.681198pt;margin-top:28.847713pt;width:3.6pt;height:6.9pt;mso-position-horizontal-relative:page;mso-position-vertical-relative:paragraph;z-index:-25070592" type="#_x0000_t202" id="docshape401" filled="false" stroked="false">
            <v:textbox inset="0,0,0,0">
              <w:txbxContent>
                <w:p>
                  <w:pPr>
                    <w:spacing w:before="6"/>
                    <w:ind w:left="0" w:right="0" w:firstLine="0"/>
                    <w:jc w:val="left"/>
                    <w:rPr>
                      <w:sz w:val="11"/>
                    </w:rPr>
                  </w:pPr>
                  <w:r>
                    <w:rPr>
                      <w:color w:val="231F20"/>
                      <w:w w:val="116"/>
                      <w:sz w:val="11"/>
                    </w:rPr>
                    <w:t>d</w:t>
                  </w:r>
                </w:p>
              </w:txbxContent>
            </v:textbox>
            <w10:wrap type="none"/>
          </v:shape>
        </w:pict>
      </w:r>
      <w:r>
        <w:rPr/>
        <w:pict>
          <v:shape style="position:absolute;margin-left:184.008072pt;margin-top:29.908005pt;width:102.55pt;height:12.5pt;mso-position-horizontal-relative:page;mso-position-vertical-relative:paragraph;z-index:-25070080" type="#_x0000_t202" id="docshape402" filled="false" stroked="false">
            <v:textbox inset="0,0,0,0">
              <w:txbxContent>
                <w:p>
                  <w:pPr>
                    <w:pStyle w:val="BodyText"/>
                    <w:spacing w:before="1"/>
                  </w:pPr>
                  <w:r>
                    <w:rPr>
                      <w:color w:val="231F20"/>
                      <w:w w:val="105"/>
                    </w:rPr>
                    <w:t>Total Debt and</w:t>
                  </w:r>
                  <w:r>
                    <w:rPr>
                      <w:color w:val="231F20"/>
                      <w:spacing w:val="1"/>
                      <w:w w:val="105"/>
                    </w:rPr>
                    <w:t> </w:t>
                  </w:r>
                  <w:r>
                    <w:rPr>
                      <w:color w:val="231F20"/>
                      <w:spacing w:val="-4"/>
                      <w:w w:val="105"/>
                    </w:rPr>
                    <w:t>Equity</w:t>
                  </w:r>
                </w:p>
              </w:txbxContent>
            </v:textbox>
            <w10:wrap type="none"/>
          </v:shape>
        </w:pict>
      </w:r>
      <w:r>
        <w:rPr>
          <w:color w:val="231F20"/>
          <w:w w:val="105"/>
          <w:position w:val="-14"/>
        </w:rPr>
        <w:t>WACC</w:t>
      </w:r>
      <w:r>
        <w:rPr>
          <w:color w:val="231F20"/>
          <w:spacing w:val="29"/>
          <w:w w:val="105"/>
          <w:position w:val="-14"/>
        </w:rPr>
        <w:t> </w:t>
      </w:r>
      <w:r>
        <w:rPr>
          <w:rFonts w:ascii="Symbol" w:hAnsi="Symbol"/>
          <w:color w:val="231F20"/>
          <w:w w:val="105"/>
          <w:position w:val="-14"/>
        </w:rPr>
        <w:t></w:t>
      </w:r>
      <w:r>
        <w:rPr>
          <w:rFonts w:ascii="Times New Roman" w:hAnsi="Times New Roman"/>
          <w:color w:val="231F20"/>
          <w:spacing w:val="24"/>
          <w:w w:val="105"/>
          <w:position w:val="-14"/>
        </w:rPr>
        <w:t> </w:t>
      </w:r>
      <w:r>
        <w:rPr>
          <w:color w:val="231F20"/>
          <w:w w:val="105"/>
          <w:position w:val="-14"/>
        </w:rPr>
        <w:t>K</w:t>
      </w:r>
      <w:r>
        <w:rPr>
          <w:color w:val="231F20"/>
          <w:spacing w:val="74"/>
          <w:w w:val="105"/>
          <w:position w:val="-14"/>
        </w:rPr>
        <w:t> </w:t>
      </w:r>
      <w:r>
        <w:rPr>
          <w:color w:val="231F20"/>
          <w:spacing w:val="-7"/>
          <w:w w:val="105"/>
          <w:position w:val="-14"/>
        </w:rPr>
        <w:t>(1</w:t>
      </w:r>
      <w:r>
        <w:rPr>
          <w:color w:val="231F20"/>
          <w:position w:val="-14"/>
        </w:rPr>
        <w:tab/>
        <w:t>t)</w:t>
      </w:r>
      <w:r>
        <w:rPr>
          <w:color w:val="231F20"/>
          <w:spacing w:val="31"/>
          <w:position w:val="-14"/>
        </w:rPr>
        <w:t> </w:t>
      </w:r>
      <w:r>
        <w:rPr>
          <w:rFonts w:ascii="Symbol" w:hAnsi="Symbol"/>
          <w:color w:val="231F20"/>
          <w:position w:val="-22"/>
          <w:sz w:val="60"/>
        </w:rPr>
        <w:t></w:t>
      </w:r>
      <w:r>
        <w:rPr>
          <w:color w:val="231F20"/>
          <w:u w:val="single" w:color="231F20"/>
        </w:rPr>
        <w:t>Market</w:t>
      </w:r>
      <w:r>
        <w:rPr>
          <w:color w:val="231F20"/>
          <w:spacing w:val="12"/>
          <w:u w:val="single" w:color="231F20"/>
        </w:rPr>
        <w:t> </w:t>
      </w:r>
      <w:r>
        <w:rPr>
          <w:color w:val="231F20"/>
          <w:u w:val="single" w:color="231F20"/>
        </w:rPr>
        <w:t>Value</w:t>
      </w:r>
      <w:r>
        <w:rPr>
          <w:color w:val="231F20"/>
          <w:spacing w:val="12"/>
          <w:u w:val="single" w:color="231F20"/>
        </w:rPr>
        <w:t> </w:t>
      </w:r>
      <w:r>
        <w:rPr>
          <w:color w:val="231F20"/>
          <w:u w:val="single" w:color="231F20"/>
        </w:rPr>
        <w:t>of</w:t>
      </w:r>
      <w:r>
        <w:rPr>
          <w:color w:val="231F20"/>
          <w:spacing w:val="12"/>
          <w:u w:val="single" w:color="231F20"/>
        </w:rPr>
        <w:t> </w:t>
      </w:r>
      <w:r>
        <w:rPr>
          <w:color w:val="231F20"/>
          <w:u w:val="single" w:color="231F20"/>
        </w:rPr>
        <w:t>Debt</w:t>
      </w:r>
      <w:r>
        <w:rPr>
          <w:color w:val="231F20"/>
          <w:spacing w:val="38"/>
        </w:rPr>
        <w:t> </w:t>
      </w:r>
      <w:r>
        <w:rPr>
          <w:rFonts w:ascii="Symbol" w:hAnsi="Symbol"/>
          <w:color w:val="231F20"/>
          <w:spacing w:val="-10"/>
          <w:w w:val="80"/>
          <w:position w:val="-22"/>
          <w:sz w:val="60"/>
        </w:rPr>
        <w:t></w:t>
      </w:r>
    </w:p>
    <w:p>
      <w:pPr>
        <w:pStyle w:val="BodyText"/>
        <w:spacing w:before="4"/>
        <w:rPr>
          <w:rFonts w:ascii="Symbol" w:hAnsi="Symbol"/>
          <w:sz w:val="19"/>
        </w:rPr>
      </w:pPr>
    </w:p>
    <w:p>
      <w:pPr>
        <w:spacing w:after="0"/>
        <w:rPr>
          <w:rFonts w:ascii="Symbol" w:hAnsi="Symbol"/>
          <w:sz w:val="19"/>
        </w:rPr>
        <w:sectPr>
          <w:pgSz w:w="8640" w:h="12960"/>
          <w:pgMar w:header="732" w:footer="0" w:top="920" w:bottom="280" w:left="340" w:right="500"/>
        </w:sectPr>
      </w:pPr>
    </w:p>
    <w:p>
      <w:pPr>
        <w:pStyle w:val="BodyText"/>
        <w:spacing w:before="7"/>
        <w:rPr>
          <w:rFonts w:ascii="Symbol" w:hAnsi="Symbol"/>
          <w:sz w:val="19"/>
        </w:rPr>
      </w:pPr>
    </w:p>
    <w:p>
      <w:pPr>
        <w:pStyle w:val="ListParagraph"/>
        <w:numPr>
          <w:ilvl w:val="0"/>
          <w:numId w:val="39"/>
        </w:numPr>
        <w:tabs>
          <w:tab w:pos="177" w:val="left" w:leader="none"/>
        </w:tabs>
        <w:spacing w:line="240" w:lineRule="auto" w:before="0" w:after="0"/>
        <w:ind w:left="176" w:right="0" w:hanging="177"/>
        <w:jc w:val="right"/>
        <w:rPr>
          <w:rFonts w:ascii="Cambria" w:hAnsi="Cambria"/>
          <w:sz w:val="11"/>
        </w:rPr>
      </w:pPr>
      <w:r>
        <w:rPr/>
        <w:pict>
          <v:shape style="position:absolute;margin-left:112.852364pt;margin-top:-8.233095pt;width:121.6pt;height:30pt;mso-position-horizontal-relative:page;mso-position-vertical-relative:paragraph;z-index:-25072128" type="#_x0000_t202" id="docshape403" filled="false" stroked="false">
            <v:textbox inset="0,0,0,0">
              <w:txbxContent>
                <w:p>
                  <w:pPr>
                    <w:tabs>
                      <w:tab w:pos="2351" w:val="left" w:leader="none"/>
                    </w:tabs>
                    <w:spacing w:line="584" w:lineRule="exact" w:before="0"/>
                    <w:ind w:left="0" w:right="0" w:firstLine="0"/>
                    <w:jc w:val="left"/>
                    <w:rPr>
                      <w:rFonts w:ascii="Symbol" w:hAnsi="Symbol"/>
                      <w:sz w:val="60"/>
                    </w:rPr>
                  </w:pPr>
                  <w:r>
                    <w:rPr>
                      <w:rFonts w:ascii="Symbol" w:hAnsi="Symbol"/>
                      <w:color w:val="231F20"/>
                      <w:spacing w:val="-10"/>
                      <w:w w:val="50"/>
                      <w:sz w:val="60"/>
                    </w:rPr>
                    <w:t></w:t>
                  </w:r>
                  <w:r>
                    <w:rPr>
                      <w:rFonts w:ascii="Times New Roman" w:hAnsi="Times New Roman"/>
                      <w:color w:val="231F20"/>
                      <w:sz w:val="60"/>
                    </w:rPr>
                    <w:tab/>
                  </w:r>
                  <w:r>
                    <w:rPr>
                      <w:rFonts w:ascii="Symbol" w:hAnsi="Symbol"/>
                      <w:color w:val="231F20"/>
                      <w:spacing w:val="-30"/>
                      <w:w w:val="50"/>
                      <w:sz w:val="60"/>
                    </w:rPr>
                    <w:t></w:t>
                  </w:r>
                </w:p>
              </w:txbxContent>
            </v:textbox>
            <w10:wrap type="none"/>
          </v:shape>
        </w:pict>
      </w:r>
      <w:r>
        <w:rPr>
          <w:rFonts w:ascii="Cambria" w:hAnsi="Cambria"/>
          <w:color w:val="231F20"/>
          <w:spacing w:val="5"/>
          <w:w w:val="110"/>
          <w:sz w:val="21"/>
        </w:rPr>
        <w:t>K</w:t>
      </w:r>
      <w:r>
        <w:rPr>
          <w:rFonts w:ascii="Cambria" w:hAnsi="Cambria"/>
          <w:color w:val="231F20"/>
          <w:spacing w:val="5"/>
          <w:w w:val="110"/>
          <w:position w:val="-3"/>
          <w:sz w:val="11"/>
        </w:rPr>
        <w:t>e</w:t>
      </w:r>
    </w:p>
    <w:p>
      <w:pPr>
        <w:pStyle w:val="BodyText"/>
        <w:spacing w:line="292" w:lineRule="auto" w:before="102"/>
        <w:ind w:left="222" w:right="3150" w:hanging="54"/>
      </w:pPr>
      <w:r>
        <w:rPr/>
        <w:br w:type="column"/>
      </w:r>
      <w:r>
        <w:rPr>
          <w:color w:val="231F20"/>
          <w:w w:val="105"/>
          <w:u w:val="single" w:color="231F20"/>
        </w:rPr>
        <w:t>Market</w:t>
      </w:r>
      <w:r>
        <w:rPr>
          <w:color w:val="231F20"/>
          <w:spacing w:val="-6"/>
          <w:w w:val="105"/>
          <w:u w:val="single" w:color="231F20"/>
        </w:rPr>
        <w:t> </w:t>
      </w:r>
      <w:r>
        <w:rPr>
          <w:color w:val="231F20"/>
          <w:w w:val="105"/>
          <w:u w:val="single" w:color="231F20"/>
        </w:rPr>
        <w:t>Value</w:t>
      </w:r>
      <w:r>
        <w:rPr>
          <w:color w:val="231F20"/>
          <w:spacing w:val="-6"/>
          <w:w w:val="105"/>
          <w:u w:val="single" w:color="231F20"/>
        </w:rPr>
        <w:t> </w:t>
      </w:r>
      <w:r>
        <w:rPr>
          <w:color w:val="231F20"/>
          <w:w w:val="105"/>
          <w:u w:val="single" w:color="231F20"/>
        </w:rPr>
        <w:t>of</w:t>
      </w:r>
      <w:r>
        <w:rPr>
          <w:color w:val="231F20"/>
          <w:spacing w:val="-6"/>
          <w:w w:val="105"/>
          <w:u w:val="single" w:color="231F20"/>
        </w:rPr>
        <w:t> </w:t>
      </w:r>
      <w:r>
        <w:rPr>
          <w:color w:val="231F20"/>
          <w:w w:val="105"/>
          <w:u w:val="single" w:color="231F20"/>
        </w:rPr>
        <w:t>Equity</w:t>
      </w:r>
      <w:r>
        <w:rPr>
          <w:color w:val="231F20"/>
          <w:w w:val="105"/>
        </w:rPr>
        <w:t> Total Debt and Equity</w:t>
      </w:r>
    </w:p>
    <w:p>
      <w:pPr>
        <w:spacing w:after="0" w:line="292" w:lineRule="auto"/>
        <w:sectPr>
          <w:type w:val="continuous"/>
          <w:pgSz w:w="8640" w:h="12960"/>
          <w:pgMar w:header="734" w:footer="0" w:top="1220" w:bottom="280" w:left="340" w:right="500"/>
          <w:cols w:num="2" w:equalWidth="0">
            <w:col w:w="1838" w:space="40"/>
            <w:col w:w="5922"/>
          </w:cols>
        </w:sectPr>
      </w:pPr>
    </w:p>
    <w:p>
      <w:pPr>
        <w:pStyle w:val="BodyText"/>
        <w:spacing w:before="10"/>
        <w:rPr>
          <w:sz w:val="16"/>
        </w:rPr>
      </w:pPr>
    </w:p>
    <w:p>
      <w:pPr>
        <w:spacing w:after="0"/>
        <w:rPr>
          <w:sz w:val="16"/>
        </w:rPr>
        <w:sectPr>
          <w:type w:val="continuous"/>
          <w:pgSz w:w="8640" w:h="12960"/>
          <w:pgMar w:header="734" w:footer="0" w:top="1220" w:bottom="280" w:left="340" w:right="500"/>
        </w:sectPr>
      </w:pPr>
    </w:p>
    <w:p>
      <w:pPr>
        <w:pStyle w:val="BodyText"/>
        <w:tabs>
          <w:tab w:pos="3048" w:val="left" w:leader="none"/>
          <w:tab w:pos="3624" w:val="left" w:leader="none"/>
        </w:tabs>
        <w:spacing w:line="348" w:lineRule="exact" w:before="101"/>
        <w:ind w:left="1430"/>
      </w:pPr>
      <w:r>
        <w:rPr/>
        <w:pict>
          <v:rect style="position:absolute;margin-left:161.085114pt;margin-top:19.651548pt;width:4.93095pt;height:.7242pt;mso-position-horizontal-relative:page;mso-position-vertical-relative:paragraph;z-index:-25073664" id="docshape404" filled="true" fillcolor="#231f20" stroked="false">
            <v:fill type="solid"/>
            <w10:wrap type="none"/>
          </v:rect>
        </w:pict>
      </w:r>
      <w:r>
        <w:rPr/>
        <w:pict>
          <v:shape style="position:absolute;margin-left:191.733276pt;margin-top:3.737559pt;width:51.15pt;height:30pt;mso-position-horizontal-relative:page;mso-position-vertical-relative:paragraph;z-index:-25071616" type="#_x0000_t202" id="docshape405" filled="false" stroked="false">
            <v:textbox inset="0,0,0,0">
              <w:txbxContent>
                <w:p>
                  <w:pPr>
                    <w:tabs>
                      <w:tab w:pos="942" w:val="left" w:leader="none"/>
                    </w:tabs>
                    <w:spacing w:line="584" w:lineRule="exact" w:before="0"/>
                    <w:ind w:left="0" w:right="0" w:firstLine="0"/>
                    <w:jc w:val="left"/>
                    <w:rPr>
                      <w:rFonts w:ascii="Symbol" w:hAnsi="Symbol"/>
                      <w:sz w:val="60"/>
                    </w:rPr>
                  </w:pPr>
                  <w:r>
                    <w:rPr>
                      <w:rFonts w:ascii="Symbol" w:hAnsi="Symbol"/>
                      <w:color w:val="231F20"/>
                      <w:spacing w:val="-10"/>
                      <w:w w:val="50"/>
                      <w:sz w:val="60"/>
                    </w:rPr>
                    <w:t></w:t>
                  </w:r>
                  <w:r>
                    <w:rPr>
                      <w:rFonts w:ascii="Times New Roman" w:hAnsi="Times New Roman"/>
                      <w:color w:val="231F20"/>
                      <w:sz w:val="60"/>
                    </w:rPr>
                    <w:tab/>
                  </w:r>
                  <w:r>
                    <w:rPr>
                      <w:rFonts w:ascii="Symbol" w:hAnsi="Symbol"/>
                      <w:color w:val="231F20"/>
                      <w:spacing w:val="-30"/>
                      <w:w w:val="50"/>
                      <w:sz w:val="60"/>
                    </w:rPr>
                    <w:t></w:t>
                  </w:r>
                </w:p>
              </w:txbxContent>
            </v:textbox>
            <w10:wrap type="none"/>
          </v:shape>
        </w:pict>
      </w:r>
      <w:r>
        <w:rPr>
          <w:color w:val="231F20"/>
          <w:w w:val="105"/>
        </w:rPr>
        <w:t>13%</w:t>
      </w:r>
      <w:r>
        <w:rPr>
          <w:color w:val="231F20"/>
          <w:spacing w:val="13"/>
          <w:w w:val="105"/>
        </w:rPr>
        <w:t> </w:t>
      </w:r>
      <w:r>
        <w:rPr>
          <w:rFonts w:ascii="Symbol" w:hAnsi="Symbol"/>
          <w:color w:val="231F20"/>
          <w:w w:val="105"/>
        </w:rPr>
        <w:t></w:t>
      </w:r>
      <w:r>
        <w:rPr>
          <w:rFonts w:ascii="Times New Roman" w:hAnsi="Times New Roman"/>
          <w:color w:val="231F20"/>
          <w:spacing w:val="8"/>
          <w:w w:val="105"/>
        </w:rPr>
        <w:t> </w:t>
      </w:r>
      <w:r>
        <w:rPr>
          <w:color w:val="231F20"/>
          <w:w w:val="105"/>
        </w:rPr>
        <w:t>10%</w:t>
      </w:r>
      <w:r>
        <w:rPr>
          <w:color w:val="231F20"/>
          <w:spacing w:val="13"/>
          <w:w w:val="105"/>
        </w:rPr>
        <w:t> </w:t>
      </w:r>
      <w:r>
        <w:rPr>
          <w:color w:val="231F20"/>
          <w:spacing w:val="-7"/>
          <w:w w:val="105"/>
        </w:rPr>
        <w:t>(1</w:t>
      </w:r>
      <w:r>
        <w:rPr>
          <w:color w:val="231F20"/>
        </w:rPr>
        <w:tab/>
      </w:r>
      <w:r>
        <w:rPr>
          <w:color w:val="231F20"/>
          <w:spacing w:val="-4"/>
          <w:w w:val="105"/>
        </w:rPr>
        <w:t>.30)</w:t>
      </w:r>
      <w:r>
        <w:rPr>
          <w:color w:val="231F20"/>
        </w:rPr>
        <w:tab/>
      </w:r>
      <w:r>
        <w:rPr>
          <w:color w:val="231F20"/>
          <w:w w:val="105"/>
          <w:position w:val="15"/>
          <w:u w:val="single" w:color="231F20"/>
        </w:rPr>
        <w:t>$10,000</w:t>
      </w:r>
      <w:r>
        <w:rPr>
          <w:color w:val="231F20"/>
          <w:spacing w:val="37"/>
          <w:w w:val="105"/>
          <w:position w:val="15"/>
        </w:rPr>
        <w:t>  </w:t>
      </w:r>
      <w:r>
        <w:rPr>
          <w:rFonts w:ascii="Symbol" w:hAnsi="Symbol"/>
          <w:color w:val="231F20"/>
          <w:w w:val="105"/>
        </w:rPr>
        <w:t></w:t>
      </w:r>
      <w:r>
        <w:rPr>
          <w:rFonts w:ascii="Times New Roman" w:hAnsi="Times New Roman"/>
          <w:color w:val="231F20"/>
          <w:spacing w:val="3"/>
          <w:w w:val="105"/>
        </w:rPr>
        <w:t> </w:t>
      </w:r>
      <w:r>
        <w:rPr>
          <w:color w:val="231F20"/>
          <w:spacing w:val="-2"/>
          <w:w w:val="105"/>
        </w:rPr>
        <w:t>14.3%</w:t>
      </w:r>
    </w:p>
    <w:p>
      <w:pPr>
        <w:pStyle w:val="BodyText"/>
        <w:spacing w:line="198" w:lineRule="exact"/>
        <w:ind w:right="980"/>
        <w:jc w:val="right"/>
      </w:pPr>
      <w:r>
        <w:rPr>
          <w:color w:val="231F20"/>
          <w:spacing w:val="-2"/>
          <w:w w:val="105"/>
        </w:rPr>
        <w:t>$55,000</w:t>
      </w:r>
    </w:p>
    <w:p>
      <w:pPr>
        <w:pStyle w:val="BodyText"/>
        <w:spacing w:before="101"/>
        <w:ind w:left="196"/>
      </w:pPr>
      <w:r>
        <w:rPr/>
        <w:br w:type="column"/>
      </w:r>
      <w:r>
        <w:rPr>
          <w:color w:val="231F20"/>
          <w:spacing w:val="-2"/>
          <w:w w:val="105"/>
          <w:u w:val="single" w:color="231F20"/>
        </w:rPr>
        <w:t>$45,000</w:t>
      </w:r>
    </w:p>
    <w:p>
      <w:pPr>
        <w:pStyle w:val="BodyText"/>
        <w:spacing w:before="54"/>
        <w:ind w:left="210"/>
      </w:pPr>
      <w:r>
        <w:rPr/>
        <w:pict>
          <v:shape style="position:absolute;margin-left:291.768921pt;margin-top:-13.612441pt;width:50.6pt;height:31pt;mso-position-horizontal-relative:page;mso-position-vertical-relative:paragraph;z-index:-25071104" type="#_x0000_t202" id="docshape406" filled="false" stroked="false">
            <v:textbox inset="0,0,0,0">
              <w:txbxContent>
                <w:p>
                  <w:pPr>
                    <w:spacing w:line="604" w:lineRule="exact" w:before="0"/>
                    <w:ind w:left="0" w:right="0" w:firstLine="0"/>
                    <w:jc w:val="left"/>
                    <w:rPr>
                      <w:rFonts w:ascii="Symbol" w:hAnsi="Symbol"/>
                      <w:sz w:val="60"/>
                    </w:rPr>
                  </w:pPr>
                  <w:r>
                    <w:rPr>
                      <w:rFonts w:ascii="Symbol" w:hAnsi="Symbol"/>
                      <w:color w:val="231F20"/>
                      <w:spacing w:val="-506"/>
                      <w:w w:val="50"/>
                      <w:position w:val="2"/>
                      <w:sz w:val="60"/>
                    </w:rPr>
                    <w:t></w:t>
                  </w:r>
                  <w:r>
                    <w:rPr>
                      <w:rFonts w:ascii="Symbol" w:hAnsi="Symbol"/>
                      <w:color w:val="231F20"/>
                      <w:spacing w:val="-506"/>
                      <w:w w:val="50"/>
                      <w:sz w:val="60"/>
                    </w:rPr>
                    <w:t></w:t>
                  </w:r>
                </w:p>
              </w:txbxContent>
            </v:textbox>
            <w10:wrap type="none"/>
          </v:shape>
        </w:pict>
      </w:r>
      <w:r>
        <w:rPr>
          <w:color w:val="231F20"/>
          <w:spacing w:val="-2"/>
          <w:w w:val="105"/>
        </w:rPr>
        <w:t>$55,000</w:t>
      </w:r>
    </w:p>
    <w:p>
      <w:pPr>
        <w:spacing w:after="0"/>
        <w:sectPr>
          <w:type w:val="continuous"/>
          <w:pgSz w:w="8640" w:h="12960"/>
          <w:pgMar w:header="734" w:footer="0" w:top="1220" w:bottom="280" w:left="340" w:right="500"/>
          <w:cols w:num="2" w:equalWidth="0">
            <w:col w:w="5376" w:space="40"/>
            <w:col w:w="2384"/>
          </w:cols>
        </w:sectPr>
      </w:pPr>
    </w:p>
    <w:p>
      <w:pPr>
        <w:pStyle w:val="BodyText"/>
        <w:spacing w:before="6"/>
      </w:pPr>
    </w:p>
    <w:p>
      <w:pPr>
        <w:pStyle w:val="BodyText"/>
        <w:spacing w:line="292" w:lineRule="auto" w:before="102"/>
        <w:ind w:left="830" w:firstLine="340"/>
      </w:pPr>
      <w:r>
        <w:rPr>
          <w:color w:val="231F20"/>
        </w:rPr>
        <w:t>Putting it all together in a valuation, the terminal value cash </w:t>
      </w:r>
      <w:r>
        <w:rPr>
          <w:color w:val="231F20"/>
        </w:rPr>
        <w:t>flow calculation would be:</w:t>
      </w:r>
    </w:p>
    <w:p>
      <w:pPr>
        <w:pStyle w:val="BodyText"/>
        <w:spacing w:before="9"/>
        <w:rPr>
          <w:sz w:val="26"/>
        </w:rPr>
      </w:pPr>
    </w:p>
    <w:p>
      <w:pPr>
        <w:pStyle w:val="BodyText"/>
        <w:spacing w:line="180" w:lineRule="auto"/>
        <w:ind w:left="298" w:right="219"/>
        <w:jc w:val="center"/>
      </w:pPr>
      <w:r>
        <w:rPr/>
        <w:pict>
          <v:line style="position:absolute;mso-position-horizontal-relative:page;mso-position-vertical-relative:paragraph;z-index:-25075712" from="203pt,14.499605pt" to="307pt,14.499605pt" stroked="true" strokeweight=".5pt" strokecolor="#231f20">
            <v:stroke dashstyle="solid"/>
            <w10:wrap type="none"/>
          </v:line>
        </w:pict>
      </w:r>
      <w:r>
        <w:rPr>
          <w:color w:val="231F20"/>
          <w:position w:val="-14"/>
        </w:rPr>
        <w:t>Terminal</w:t>
      </w:r>
      <w:r>
        <w:rPr>
          <w:color w:val="231F20"/>
          <w:spacing w:val="15"/>
          <w:position w:val="-14"/>
        </w:rPr>
        <w:t> </w:t>
      </w:r>
      <w:r>
        <w:rPr>
          <w:color w:val="231F20"/>
          <w:position w:val="-14"/>
        </w:rPr>
        <w:t>Value</w:t>
      </w:r>
      <w:r>
        <w:rPr>
          <w:color w:val="231F20"/>
          <w:spacing w:val="15"/>
          <w:position w:val="-14"/>
        </w:rPr>
        <w:t> </w:t>
      </w:r>
      <w:r>
        <w:rPr>
          <w:rFonts w:ascii="Symbol" w:hAnsi="Symbol"/>
          <w:color w:val="231F20"/>
          <w:position w:val="-14"/>
        </w:rPr>
        <w:t></w:t>
      </w:r>
      <w:r>
        <w:rPr>
          <w:rFonts w:ascii="Times New Roman" w:hAnsi="Times New Roman"/>
          <w:color w:val="231F20"/>
          <w:spacing w:val="10"/>
          <w:position w:val="-14"/>
        </w:rPr>
        <w:t> </w:t>
      </w:r>
      <w:r>
        <w:rPr>
          <w:color w:val="231F20"/>
        </w:rPr>
        <w:t>Year</w:t>
      </w:r>
      <w:r>
        <w:rPr>
          <w:color w:val="231F20"/>
          <w:spacing w:val="15"/>
        </w:rPr>
        <w:t> </w:t>
      </w:r>
      <w:r>
        <w:rPr>
          <w:color w:val="231F20"/>
        </w:rPr>
        <w:t>4</w:t>
      </w:r>
      <w:r>
        <w:rPr>
          <w:color w:val="231F20"/>
          <w:spacing w:val="16"/>
        </w:rPr>
        <w:t> </w:t>
      </w:r>
      <w:r>
        <w:rPr>
          <w:color w:val="231F20"/>
        </w:rPr>
        <w:t>Free</w:t>
      </w:r>
      <w:r>
        <w:rPr>
          <w:color w:val="231F20"/>
          <w:spacing w:val="15"/>
        </w:rPr>
        <w:t> </w:t>
      </w:r>
      <w:r>
        <w:rPr>
          <w:color w:val="231F20"/>
        </w:rPr>
        <w:t>Cash</w:t>
      </w:r>
      <w:r>
        <w:rPr>
          <w:color w:val="231F20"/>
          <w:spacing w:val="15"/>
        </w:rPr>
        <w:t> </w:t>
      </w:r>
      <w:r>
        <w:rPr>
          <w:color w:val="231F20"/>
          <w:spacing w:val="-4"/>
        </w:rPr>
        <w:t>Flow</w:t>
      </w:r>
    </w:p>
    <w:p>
      <w:pPr>
        <w:pStyle w:val="BodyText"/>
        <w:tabs>
          <w:tab w:pos="4878" w:val="left" w:leader="none"/>
        </w:tabs>
        <w:spacing w:line="197" w:lineRule="exact"/>
        <w:ind w:left="3990"/>
      </w:pPr>
      <w:r>
        <w:rPr/>
        <w:pict>
          <v:rect style="position:absolute;margin-left:252.582886pt;margin-top:4.652057pt;width:4.930940pt;height:.7242pt;mso-position-horizontal-relative:page;mso-position-vertical-relative:paragraph;z-index:-25073152" id="docshape407" filled="true" fillcolor="#231f20" stroked="false">
            <v:fill type="solid"/>
            <w10:wrap type="none"/>
          </v:rect>
        </w:pict>
      </w:r>
      <w:r>
        <w:rPr>
          <w:color w:val="231F20"/>
          <w:spacing w:val="-4"/>
          <w:w w:val="110"/>
        </w:rPr>
        <w:t>WACC</w:t>
      </w:r>
      <w:r>
        <w:rPr>
          <w:color w:val="231F20"/>
        </w:rPr>
        <w:tab/>
      </w:r>
      <w:r>
        <w:rPr>
          <w:color w:val="231F20"/>
          <w:spacing w:val="-2"/>
          <w:w w:val="110"/>
        </w:rPr>
        <w:t>growth</w:t>
      </w:r>
    </w:p>
    <w:p>
      <w:pPr>
        <w:pStyle w:val="BodyText"/>
        <w:spacing w:before="8"/>
        <w:rPr>
          <w:sz w:val="8"/>
        </w:rPr>
      </w:pPr>
    </w:p>
    <w:p>
      <w:pPr>
        <w:spacing w:after="0"/>
        <w:rPr>
          <w:sz w:val="8"/>
        </w:rPr>
        <w:sectPr>
          <w:type w:val="continuous"/>
          <w:pgSz w:w="8640" w:h="12960"/>
          <w:pgMar w:header="734" w:footer="0" w:top="1220" w:bottom="280" w:left="340" w:right="500"/>
        </w:sectPr>
      </w:pPr>
    </w:p>
    <w:p>
      <w:pPr>
        <w:pStyle w:val="BodyText"/>
        <w:spacing w:before="6"/>
        <w:rPr>
          <w:sz w:val="20"/>
        </w:rPr>
      </w:pPr>
    </w:p>
    <w:p>
      <w:pPr>
        <w:pStyle w:val="BodyText"/>
        <w:ind w:left="2080"/>
        <w:rPr>
          <w:rFonts w:ascii="Symbol" w:hAnsi="Symbol"/>
        </w:rPr>
      </w:pPr>
      <w:r>
        <w:rPr/>
        <w:pict>
          <v:line style="position:absolute;mso-position-horizontal-relative:page;mso-position-vertical-relative:paragraph;z-index:-25075200" from="178pt,7.307036pt" to="227pt,7.307036pt" stroked="true" strokeweight=".5pt" strokecolor="#231f20">
            <v:stroke dashstyle="solid"/>
            <w10:wrap type="none"/>
          </v:line>
        </w:pict>
      </w:r>
      <w:r>
        <w:rPr/>
        <w:pict>
          <v:rect style="position:absolute;margin-left:203.076477pt;margin-top:15.180546pt;width:4.930940pt;height:.7242pt;mso-position-horizontal-relative:page;mso-position-vertical-relative:paragraph;z-index:-25072640" id="docshape408" filled="true" fillcolor="#231f20" stroked="false">
            <v:fill type="solid"/>
            <w10:wrap type="none"/>
          </v:rect>
        </w:pict>
      </w:r>
      <w:r>
        <w:rPr>
          <w:color w:val="231F20"/>
          <w:w w:val="105"/>
        </w:rPr>
        <w:t>$561,538</w:t>
      </w:r>
      <w:r>
        <w:rPr>
          <w:color w:val="231F20"/>
          <w:spacing w:val="1"/>
          <w:w w:val="105"/>
        </w:rPr>
        <w:t> </w:t>
      </w:r>
      <w:r>
        <w:rPr>
          <w:rFonts w:ascii="Symbol" w:hAnsi="Symbol"/>
          <w:color w:val="231F20"/>
          <w:spacing w:val="-10"/>
          <w:w w:val="105"/>
        </w:rPr>
        <w:t></w:t>
      </w:r>
    </w:p>
    <w:p>
      <w:pPr>
        <w:pStyle w:val="BodyText"/>
        <w:tabs>
          <w:tab w:pos="704" w:val="left" w:leader="none"/>
        </w:tabs>
        <w:spacing w:line="292" w:lineRule="auto" w:before="102"/>
        <w:ind w:left="19" w:right="3578" w:firstLine="116"/>
      </w:pPr>
      <w:r>
        <w:rPr/>
        <w:br w:type="column"/>
      </w:r>
      <w:r>
        <w:rPr>
          <w:color w:val="231F20"/>
          <w:spacing w:val="-2"/>
          <w:w w:val="105"/>
        </w:rPr>
        <w:t>$73,000 </w:t>
      </w:r>
      <w:r>
        <w:rPr>
          <w:color w:val="231F20"/>
          <w:spacing w:val="-4"/>
          <w:w w:val="105"/>
        </w:rPr>
        <w:t>13%</w:t>
      </w:r>
      <w:r>
        <w:rPr>
          <w:color w:val="231F20"/>
        </w:rPr>
        <w:tab/>
      </w:r>
      <w:r>
        <w:rPr>
          <w:color w:val="231F20"/>
          <w:spacing w:val="-6"/>
          <w:w w:val="105"/>
        </w:rPr>
        <w:t>0%</w:t>
      </w:r>
    </w:p>
    <w:p>
      <w:pPr>
        <w:spacing w:after="0" w:line="292" w:lineRule="auto"/>
        <w:sectPr>
          <w:type w:val="continuous"/>
          <w:pgSz w:w="8640" w:h="12960"/>
          <w:pgMar w:header="734" w:footer="0" w:top="1220" w:bottom="280" w:left="340" w:right="500"/>
          <w:cols w:num="2" w:equalWidth="0">
            <w:col w:w="3145" w:space="40"/>
            <w:col w:w="4615"/>
          </w:cols>
        </w:sectPr>
      </w:pPr>
    </w:p>
    <w:p>
      <w:pPr>
        <w:pStyle w:val="BodyText"/>
        <w:spacing w:before="11"/>
        <w:rPr>
          <w:sz w:val="18"/>
        </w:rPr>
      </w:pPr>
    </w:p>
    <w:p>
      <w:pPr>
        <w:pStyle w:val="ListParagraph"/>
        <w:numPr>
          <w:ilvl w:val="0"/>
          <w:numId w:val="38"/>
        </w:numPr>
        <w:tabs>
          <w:tab w:pos="1396" w:val="left" w:leader="none"/>
        </w:tabs>
        <w:spacing w:line="328" w:lineRule="auto" w:before="98" w:after="0"/>
        <w:ind w:left="1169" w:right="1212" w:firstLine="0"/>
        <w:jc w:val="left"/>
        <w:rPr>
          <w:i/>
          <w:sz w:val="19"/>
        </w:rPr>
      </w:pPr>
      <w:r>
        <w:rPr>
          <w:i/>
          <w:color w:val="231F20"/>
          <w:w w:val="115"/>
          <w:sz w:val="19"/>
        </w:rPr>
        <w:t>Calculate</w:t>
      </w:r>
      <w:r>
        <w:rPr>
          <w:i/>
          <w:color w:val="231F20"/>
          <w:spacing w:val="-10"/>
          <w:w w:val="115"/>
          <w:sz w:val="19"/>
        </w:rPr>
        <w:t> </w:t>
      </w:r>
      <w:r>
        <w:rPr>
          <w:i/>
          <w:color w:val="231F20"/>
          <w:w w:val="115"/>
          <w:sz w:val="19"/>
        </w:rPr>
        <w:t>the</w:t>
      </w:r>
      <w:r>
        <w:rPr>
          <w:i/>
          <w:color w:val="231F20"/>
          <w:spacing w:val="-10"/>
          <w:w w:val="115"/>
          <w:sz w:val="19"/>
        </w:rPr>
        <w:t> </w:t>
      </w:r>
      <w:r>
        <w:rPr>
          <w:i/>
          <w:color w:val="231F20"/>
          <w:w w:val="115"/>
          <w:sz w:val="19"/>
        </w:rPr>
        <w:t>NPV</w:t>
      </w:r>
      <w:r>
        <w:rPr>
          <w:i/>
          <w:color w:val="231F20"/>
          <w:spacing w:val="-10"/>
          <w:w w:val="115"/>
          <w:sz w:val="19"/>
        </w:rPr>
        <w:t> </w:t>
      </w:r>
      <w:r>
        <w:rPr>
          <w:i/>
          <w:color w:val="231F20"/>
          <w:w w:val="115"/>
          <w:sz w:val="19"/>
        </w:rPr>
        <w:t>of</w:t>
      </w:r>
      <w:r>
        <w:rPr>
          <w:i/>
          <w:color w:val="231F20"/>
          <w:spacing w:val="-10"/>
          <w:w w:val="115"/>
          <w:sz w:val="19"/>
        </w:rPr>
        <w:t> </w:t>
      </w:r>
      <w:r>
        <w:rPr>
          <w:i/>
          <w:color w:val="231F20"/>
          <w:w w:val="115"/>
          <w:sz w:val="19"/>
        </w:rPr>
        <w:t>those</w:t>
      </w:r>
      <w:r>
        <w:rPr>
          <w:i/>
          <w:color w:val="231F20"/>
          <w:spacing w:val="-10"/>
          <w:w w:val="115"/>
          <w:sz w:val="19"/>
        </w:rPr>
        <w:t> </w:t>
      </w:r>
      <w:r>
        <w:rPr>
          <w:i/>
          <w:color w:val="231F20"/>
          <w:w w:val="115"/>
          <w:sz w:val="19"/>
        </w:rPr>
        <w:t>cash</w:t>
      </w:r>
      <w:r>
        <w:rPr>
          <w:i/>
          <w:color w:val="231F20"/>
          <w:spacing w:val="-10"/>
          <w:w w:val="115"/>
          <w:sz w:val="19"/>
        </w:rPr>
        <w:t> </w:t>
      </w:r>
      <w:r>
        <w:rPr>
          <w:i/>
          <w:color w:val="231F20"/>
          <w:w w:val="115"/>
          <w:sz w:val="19"/>
        </w:rPr>
        <w:t>flows</w:t>
      </w:r>
      <w:r>
        <w:rPr>
          <w:i/>
          <w:color w:val="231F20"/>
          <w:spacing w:val="-10"/>
          <w:w w:val="115"/>
          <w:sz w:val="19"/>
        </w:rPr>
        <w:t> </w:t>
      </w:r>
      <w:r>
        <w:rPr>
          <w:i/>
          <w:color w:val="231F20"/>
          <w:w w:val="115"/>
          <w:sz w:val="19"/>
        </w:rPr>
        <w:t>to</w:t>
      </w:r>
      <w:r>
        <w:rPr>
          <w:i/>
          <w:color w:val="231F20"/>
          <w:spacing w:val="-10"/>
          <w:w w:val="115"/>
          <w:sz w:val="19"/>
        </w:rPr>
        <w:t> </w:t>
      </w:r>
      <w:r>
        <w:rPr>
          <w:i/>
          <w:color w:val="231F20"/>
          <w:w w:val="115"/>
          <w:sz w:val="19"/>
        </w:rPr>
        <w:t>calculate</w:t>
      </w:r>
      <w:r>
        <w:rPr>
          <w:i/>
          <w:color w:val="231F20"/>
          <w:spacing w:val="-10"/>
          <w:w w:val="115"/>
          <w:sz w:val="19"/>
        </w:rPr>
        <w:t> </w:t>
      </w:r>
      <w:r>
        <w:rPr>
          <w:i/>
          <w:color w:val="231F20"/>
          <w:w w:val="115"/>
          <w:sz w:val="19"/>
        </w:rPr>
        <w:t>the</w:t>
      </w:r>
      <w:r>
        <w:rPr>
          <w:i/>
          <w:color w:val="231F20"/>
          <w:w w:val="115"/>
          <w:sz w:val="19"/>
        </w:rPr>
        <w:t> firm’s value.</w:t>
      </w:r>
    </w:p>
    <w:p>
      <w:pPr>
        <w:pStyle w:val="BodyText"/>
        <w:spacing w:line="226" w:lineRule="exact"/>
        <w:ind w:left="1170"/>
      </w:pPr>
      <w:r>
        <w:rPr>
          <w:color w:val="231F20"/>
        </w:rPr>
        <w:t>Add</w:t>
      </w:r>
      <w:r>
        <w:rPr>
          <w:color w:val="231F20"/>
          <w:spacing w:val="41"/>
        </w:rPr>
        <w:t> </w:t>
      </w:r>
      <w:r>
        <w:rPr>
          <w:color w:val="231F20"/>
        </w:rPr>
        <w:t>the</w:t>
      </w:r>
      <w:r>
        <w:rPr>
          <w:color w:val="231F20"/>
          <w:spacing w:val="41"/>
        </w:rPr>
        <w:t> </w:t>
      </w:r>
      <w:r>
        <w:rPr>
          <w:color w:val="231F20"/>
        </w:rPr>
        <w:t>terminal</w:t>
      </w:r>
      <w:r>
        <w:rPr>
          <w:color w:val="231F20"/>
          <w:spacing w:val="41"/>
        </w:rPr>
        <w:t> </w:t>
      </w:r>
      <w:r>
        <w:rPr>
          <w:color w:val="231F20"/>
        </w:rPr>
        <w:t>value</w:t>
      </w:r>
      <w:r>
        <w:rPr>
          <w:color w:val="231F20"/>
          <w:spacing w:val="41"/>
        </w:rPr>
        <w:t> </w:t>
      </w:r>
      <w:r>
        <w:rPr>
          <w:color w:val="231F20"/>
        </w:rPr>
        <w:t>to</w:t>
      </w:r>
      <w:r>
        <w:rPr>
          <w:color w:val="231F20"/>
          <w:spacing w:val="41"/>
        </w:rPr>
        <w:t> </w:t>
      </w:r>
      <w:r>
        <w:rPr>
          <w:color w:val="231F20"/>
        </w:rPr>
        <w:t>the</w:t>
      </w:r>
      <w:r>
        <w:rPr>
          <w:color w:val="231F20"/>
          <w:spacing w:val="41"/>
        </w:rPr>
        <w:t> </w:t>
      </w:r>
      <w:r>
        <w:rPr>
          <w:color w:val="231F20"/>
        </w:rPr>
        <w:t>present</w:t>
      </w:r>
      <w:r>
        <w:rPr>
          <w:color w:val="231F20"/>
          <w:spacing w:val="41"/>
        </w:rPr>
        <w:t> </w:t>
      </w:r>
      <w:r>
        <w:rPr>
          <w:color w:val="231F20"/>
        </w:rPr>
        <w:t>value</w:t>
      </w:r>
      <w:r>
        <w:rPr>
          <w:color w:val="231F20"/>
          <w:spacing w:val="41"/>
        </w:rPr>
        <w:t> </w:t>
      </w:r>
      <w:r>
        <w:rPr>
          <w:color w:val="231F20"/>
        </w:rPr>
        <w:t>of</w:t>
      </w:r>
      <w:r>
        <w:rPr>
          <w:color w:val="231F20"/>
          <w:spacing w:val="41"/>
        </w:rPr>
        <w:t> </w:t>
      </w:r>
      <w:r>
        <w:rPr>
          <w:color w:val="231F20"/>
        </w:rPr>
        <w:t>the</w:t>
      </w:r>
      <w:r>
        <w:rPr>
          <w:color w:val="231F20"/>
          <w:spacing w:val="41"/>
        </w:rPr>
        <w:t> </w:t>
      </w:r>
      <w:r>
        <w:rPr>
          <w:color w:val="231F20"/>
        </w:rPr>
        <w:t>first</w:t>
      </w:r>
      <w:r>
        <w:rPr>
          <w:color w:val="231F20"/>
          <w:spacing w:val="41"/>
        </w:rPr>
        <w:t> </w:t>
      </w:r>
      <w:r>
        <w:rPr>
          <w:color w:val="231F20"/>
          <w:spacing w:val="-2"/>
        </w:rPr>
        <w:t>three</w:t>
      </w:r>
    </w:p>
    <w:p>
      <w:pPr>
        <w:pStyle w:val="BodyText"/>
        <w:spacing w:line="292" w:lineRule="auto" w:before="54"/>
        <w:ind w:left="830"/>
      </w:pPr>
      <w:r>
        <w:rPr>
          <w:color w:val="231F20"/>
        </w:rPr>
        <w:t>years’</w:t>
      </w:r>
      <w:r>
        <w:rPr>
          <w:color w:val="231F20"/>
          <w:spacing w:val="22"/>
        </w:rPr>
        <w:t> </w:t>
      </w:r>
      <w:r>
        <w:rPr>
          <w:color w:val="231F20"/>
        </w:rPr>
        <w:t>projected</w:t>
      </w:r>
      <w:r>
        <w:rPr>
          <w:color w:val="231F20"/>
          <w:spacing w:val="22"/>
        </w:rPr>
        <w:t> </w:t>
      </w:r>
      <w:r>
        <w:rPr>
          <w:color w:val="231F20"/>
        </w:rPr>
        <w:t>cash</w:t>
      </w:r>
      <w:r>
        <w:rPr>
          <w:color w:val="231F20"/>
          <w:spacing w:val="22"/>
        </w:rPr>
        <w:t> </w:t>
      </w:r>
      <w:r>
        <w:rPr>
          <w:color w:val="231F20"/>
        </w:rPr>
        <w:t>flows,</w:t>
      </w:r>
      <w:r>
        <w:rPr>
          <w:color w:val="231F20"/>
          <w:spacing w:val="22"/>
        </w:rPr>
        <w:t> </w:t>
      </w:r>
      <w:r>
        <w:rPr>
          <w:color w:val="231F20"/>
        </w:rPr>
        <w:t>and</w:t>
      </w:r>
      <w:r>
        <w:rPr>
          <w:color w:val="231F20"/>
          <w:spacing w:val="22"/>
        </w:rPr>
        <w:t> </w:t>
      </w:r>
      <w:r>
        <w:rPr>
          <w:color w:val="231F20"/>
        </w:rPr>
        <w:t>the</w:t>
      </w:r>
      <w:r>
        <w:rPr>
          <w:color w:val="231F20"/>
          <w:spacing w:val="22"/>
        </w:rPr>
        <w:t> </w:t>
      </w:r>
      <w:r>
        <w:rPr>
          <w:color w:val="231F20"/>
        </w:rPr>
        <w:t>entire</w:t>
      </w:r>
      <w:r>
        <w:rPr>
          <w:color w:val="231F20"/>
          <w:spacing w:val="22"/>
        </w:rPr>
        <w:t> </w:t>
      </w:r>
      <w:r>
        <w:rPr>
          <w:color w:val="231F20"/>
        </w:rPr>
        <w:t>value</w:t>
      </w:r>
      <w:r>
        <w:rPr>
          <w:color w:val="231F20"/>
          <w:spacing w:val="22"/>
        </w:rPr>
        <w:t> </w:t>
      </w:r>
      <w:r>
        <w:rPr>
          <w:color w:val="231F20"/>
        </w:rPr>
        <w:t>of</w:t>
      </w:r>
      <w:r>
        <w:rPr>
          <w:color w:val="231F20"/>
          <w:spacing w:val="22"/>
        </w:rPr>
        <w:t> </w:t>
      </w:r>
      <w:r>
        <w:rPr>
          <w:color w:val="231F20"/>
        </w:rPr>
        <w:t>the</w:t>
      </w:r>
      <w:r>
        <w:rPr>
          <w:color w:val="231F20"/>
          <w:spacing w:val="22"/>
        </w:rPr>
        <w:t> </w:t>
      </w:r>
      <w:r>
        <w:rPr>
          <w:color w:val="231F20"/>
        </w:rPr>
        <w:t>firm</w:t>
      </w:r>
      <w:r>
        <w:rPr>
          <w:color w:val="231F20"/>
          <w:spacing w:val="22"/>
        </w:rPr>
        <w:t> </w:t>
      </w:r>
      <w:r>
        <w:rPr>
          <w:color w:val="231F20"/>
        </w:rPr>
        <w:t>can</w:t>
      </w:r>
      <w:r>
        <w:rPr>
          <w:color w:val="231F20"/>
          <w:spacing w:val="22"/>
        </w:rPr>
        <w:t> </w:t>
      </w:r>
      <w:r>
        <w:rPr>
          <w:color w:val="231F20"/>
        </w:rPr>
        <w:t>be calculated as follows:</w:t>
      </w:r>
    </w:p>
    <w:p>
      <w:pPr>
        <w:pStyle w:val="BodyText"/>
        <w:spacing w:before="5"/>
        <w:rPr>
          <w:sz w:val="31"/>
        </w:rPr>
      </w:pPr>
    </w:p>
    <w:p>
      <w:pPr>
        <w:spacing w:line="307" w:lineRule="auto" w:before="1"/>
        <w:ind w:left="2999" w:right="1262" w:hanging="1742"/>
        <w:jc w:val="left"/>
        <w:rPr>
          <w:b/>
          <w:sz w:val="20"/>
        </w:rPr>
      </w:pPr>
      <w:r>
        <w:rPr/>
        <w:pict>
          <v:shape style="position:absolute;margin-left:75.5pt;margin-top:30.802357pt;width:276.5pt;height:.1pt;mso-position-horizontal-relative:page;mso-position-vertical-relative:paragraph;z-index:-15575552;mso-wrap-distance-left:0;mso-wrap-distance-right:0" id="docshape409" coordorigin="1510,616" coordsize="5530,0" path="m1510,616l7040,616e" filled="false" stroked="true" strokeweight="1pt" strokecolor="#231f20">
            <v:path arrowok="t"/>
            <v:stroke dashstyle="solid"/>
            <w10:wrap type="topAndBottom"/>
          </v:shape>
        </w:pict>
      </w:r>
      <w:r>
        <w:rPr>
          <w:b/>
          <w:color w:val="231F20"/>
          <w:w w:val="115"/>
          <w:sz w:val="20"/>
        </w:rPr>
        <w:t>NET PRESENT VALUATION OF FREE CASH FLOWS (IN THOUSANDS)</w:t>
      </w:r>
    </w:p>
    <w:p>
      <w:pPr>
        <w:spacing w:after="0" w:line="307" w:lineRule="auto"/>
        <w:jc w:val="left"/>
        <w:rPr>
          <w:sz w:val="20"/>
        </w:rPr>
        <w:sectPr>
          <w:type w:val="continuous"/>
          <w:pgSz w:w="8640" w:h="12960"/>
          <w:pgMar w:header="734" w:footer="0" w:top="1220" w:bottom="280" w:left="340" w:right="500"/>
        </w:sectPr>
      </w:pPr>
    </w:p>
    <w:tbl>
      <w:tblPr>
        <w:tblW w:w="0" w:type="auto"/>
        <w:jc w:val="left"/>
        <w:tblInd w:w="1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10"/>
        <w:gridCol w:w="780"/>
        <w:gridCol w:w="826"/>
        <w:gridCol w:w="909"/>
        <w:gridCol w:w="797"/>
      </w:tblGrid>
      <w:tr>
        <w:trPr>
          <w:trHeight w:val="352" w:hRule="atLeast"/>
        </w:trPr>
        <w:tc>
          <w:tcPr>
            <w:tcW w:w="3090" w:type="dxa"/>
            <w:gridSpan w:val="2"/>
          </w:tcPr>
          <w:p>
            <w:pPr>
              <w:pStyle w:val="TableParagraph"/>
              <w:spacing w:before="3"/>
              <w:ind w:right="76"/>
              <w:jc w:val="right"/>
              <w:rPr>
                <w:rFonts w:ascii="Arial"/>
                <w:sz w:val="16"/>
              </w:rPr>
            </w:pPr>
            <w:r>
              <w:rPr>
                <w:rFonts w:ascii="Arial"/>
                <w:color w:val="231F20"/>
                <w:spacing w:val="17"/>
                <w:w w:val="110"/>
                <w:sz w:val="16"/>
              </w:rPr>
              <w:t>FINANCE </w:t>
            </w:r>
          </w:p>
        </w:tc>
        <w:tc>
          <w:tcPr>
            <w:tcW w:w="2532" w:type="dxa"/>
            <w:gridSpan w:val="3"/>
          </w:tcPr>
          <w:p>
            <w:pPr>
              <w:pStyle w:val="TableParagraph"/>
              <w:spacing w:line="191" w:lineRule="exact" w:before="0"/>
              <w:ind w:left="121"/>
              <w:jc w:val="left"/>
              <w:rPr>
                <w:rFonts w:ascii="Arial"/>
                <w:i/>
                <w:sz w:val="18"/>
              </w:rPr>
            </w:pPr>
            <w:r>
              <w:rPr>
                <w:rFonts w:ascii="Arial"/>
                <w:i/>
                <w:color w:val="231F20"/>
                <w:spacing w:val="-5"/>
                <w:w w:val="110"/>
                <w:sz w:val="18"/>
              </w:rPr>
              <w:t>247</w:t>
            </w:r>
          </w:p>
        </w:tc>
      </w:tr>
      <w:tr>
        <w:trPr>
          <w:trHeight w:val="405" w:hRule="atLeast"/>
        </w:trPr>
        <w:tc>
          <w:tcPr>
            <w:tcW w:w="3090" w:type="dxa"/>
            <w:gridSpan w:val="2"/>
          </w:tcPr>
          <w:p>
            <w:pPr>
              <w:pStyle w:val="TableParagraph"/>
              <w:spacing w:before="139"/>
              <w:ind w:right="252"/>
              <w:jc w:val="right"/>
              <w:rPr>
                <w:b/>
                <w:i/>
                <w:sz w:val="18"/>
              </w:rPr>
            </w:pPr>
            <w:r>
              <w:rPr>
                <w:b/>
                <w:i/>
                <w:color w:val="231F20"/>
                <w:sz w:val="18"/>
              </w:rPr>
              <w:t>YEAR</w:t>
            </w:r>
            <w:r>
              <w:rPr>
                <w:b/>
                <w:i/>
                <w:color w:val="231F20"/>
                <w:spacing w:val="22"/>
                <w:sz w:val="18"/>
              </w:rPr>
              <w:t> </w:t>
            </w:r>
            <w:r>
              <w:rPr>
                <w:b/>
                <w:i/>
                <w:color w:val="231F20"/>
                <w:spacing w:val="-10"/>
                <w:sz w:val="18"/>
              </w:rPr>
              <w:t>1</w:t>
            </w:r>
          </w:p>
        </w:tc>
        <w:tc>
          <w:tcPr>
            <w:tcW w:w="826" w:type="dxa"/>
          </w:tcPr>
          <w:p>
            <w:pPr>
              <w:pStyle w:val="TableParagraph"/>
              <w:spacing w:before="139"/>
              <w:ind w:left="80"/>
              <w:jc w:val="left"/>
              <w:rPr>
                <w:b/>
                <w:i/>
                <w:sz w:val="18"/>
              </w:rPr>
            </w:pPr>
            <w:r>
              <w:rPr>
                <w:b/>
                <w:i/>
                <w:color w:val="231F20"/>
                <w:sz w:val="18"/>
              </w:rPr>
              <w:t>YEAR</w:t>
            </w:r>
            <w:r>
              <w:rPr>
                <w:b/>
                <w:i/>
                <w:color w:val="231F20"/>
                <w:spacing w:val="22"/>
                <w:sz w:val="18"/>
              </w:rPr>
              <w:t> </w:t>
            </w:r>
            <w:r>
              <w:rPr>
                <w:b/>
                <w:i/>
                <w:color w:val="231F20"/>
                <w:spacing w:val="-10"/>
                <w:sz w:val="18"/>
              </w:rPr>
              <w:t>2</w:t>
            </w:r>
          </w:p>
        </w:tc>
        <w:tc>
          <w:tcPr>
            <w:tcW w:w="909" w:type="dxa"/>
          </w:tcPr>
          <w:p>
            <w:pPr>
              <w:pStyle w:val="TableParagraph"/>
              <w:spacing w:before="139"/>
              <w:ind w:left="164"/>
              <w:jc w:val="left"/>
              <w:rPr>
                <w:b/>
                <w:i/>
                <w:sz w:val="18"/>
              </w:rPr>
            </w:pPr>
            <w:r>
              <w:rPr>
                <w:b/>
                <w:i/>
                <w:color w:val="231F20"/>
                <w:sz w:val="18"/>
              </w:rPr>
              <w:t>YEAR</w:t>
            </w:r>
            <w:r>
              <w:rPr>
                <w:b/>
                <w:i/>
                <w:color w:val="231F20"/>
                <w:spacing w:val="22"/>
                <w:sz w:val="18"/>
              </w:rPr>
              <w:t> </w:t>
            </w:r>
            <w:r>
              <w:rPr>
                <w:b/>
                <w:i/>
                <w:color w:val="231F20"/>
                <w:spacing w:val="-10"/>
                <w:sz w:val="18"/>
              </w:rPr>
              <w:t>3</w:t>
            </w:r>
          </w:p>
        </w:tc>
        <w:tc>
          <w:tcPr>
            <w:tcW w:w="797" w:type="dxa"/>
          </w:tcPr>
          <w:p>
            <w:pPr>
              <w:pStyle w:val="TableParagraph"/>
              <w:spacing w:before="139"/>
              <w:ind w:left="145" w:right="27"/>
              <w:rPr>
                <w:b/>
                <w:i/>
                <w:sz w:val="18"/>
              </w:rPr>
            </w:pPr>
            <w:r>
              <w:rPr>
                <w:b/>
                <w:i/>
                <w:color w:val="231F20"/>
                <w:sz w:val="18"/>
              </w:rPr>
              <w:t>YEAR</w:t>
            </w:r>
            <w:r>
              <w:rPr>
                <w:b/>
                <w:i/>
                <w:color w:val="231F20"/>
                <w:spacing w:val="22"/>
                <w:sz w:val="18"/>
              </w:rPr>
              <w:t> </w:t>
            </w:r>
            <w:r>
              <w:rPr>
                <w:b/>
                <w:i/>
                <w:color w:val="231F20"/>
                <w:spacing w:val="-10"/>
                <w:sz w:val="18"/>
              </w:rPr>
              <w:t>4</w:t>
            </w:r>
          </w:p>
        </w:tc>
      </w:tr>
      <w:tr>
        <w:trPr>
          <w:trHeight w:val="299" w:hRule="atLeast"/>
        </w:trPr>
        <w:tc>
          <w:tcPr>
            <w:tcW w:w="2310" w:type="dxa"/>
          </w:tcPr>
          <w:p>
            <w:pPr>
              <w:pStyle w:val="TableParagraph"/>
              <w:spacing w:before="34"/>
              <w:ind w:left="50"/>
              <w:jc w:val="left"/>
              <w:rPr>
                <w:sz w:val="18"/>
              </w:rPr>
            </w:pPr>
            <w:r>
              <w:rPr>
                <w:color w:val="231F20"/>
                <w:sz w:val="18"/>
              </w:rPr>
              <w:t>Free</w:t>
            </w:r>
            <w:r>
              <w:rPr>
                <w:color w:val="231F20"/>
                <w:spacing w:val="12"/>
                <w:sz w:val="18"/>
              </w:rPr>
              <w:t> </w:t>
            </w:r>
            <w:r>
              <w:rPr>
                <w:color w:val="231F20"/>
                <w:sz w:val="18"/>
              </w:rPr>
              <w:t>Cash</w:t>
            </w:r>
            <w:r>
              <w:rPr>
                <w:color w:val="231F20"/>
                <w:spacing w:val="12"/>
                <w:sz w:val="18"/>
              </w:rPr>
              <w:t> </w:t>
            </w:r>
            <w:r>
              <w:rPr>
                <w:color w:val="231F20"/>
                <w:spacing w:val="-4"/>
                <w:sz w:val="18"/>
              </w:rPr>
              <w:t>Flow</w:t>
            </w:r>
          </w:p>
        </w:tc>
        <w:tc>
          <w:tcPr>
            <w:tcW w:w="780" w:type="dxa"/>
          </w:tcPr>
          <w:p>
            <w:pPr>
              <w:pStyle w:val="TableParagraph"/>
              <w:spacing w:before="34"/>
              <w:ind w:right="327"/>
              <w:jc w:val="right"/>
              <w:rPr>
                <w:sz w:val="18"/>
              </w:rPr>
            </w:pPr>
            <w:r>
              <w:rPr>
                <w:color w:val="231F20"/>
                <w:spacing w:val="-5"/>
                <w:w w:val="105"/>
                <w:sz w:val="18"/>
              </w:rPr>
              <w:t>$54</w:t>
            </w:r>
          </w:p>
        </w:tc>
        <w:tc>
          <w:tcPr>
            <w:tcW w:w="826" w:type="dxa"/>
          </w:tcPr>
          <w:p>
            <w:pPr>
              <w:pStyle w:val="TableParagraph"/>
              <w:spacing w:before="34"/>
              <w:ind w:left="290"/>
              <w:jc w:val="left"/>
              <w:rPr>
                <w:sz w:val="18"/>
              </w:rPr>
            </w:pPr>
            <w:r>
              <w:rPr>
                <w:color w:val="231F20"/>
                <w:spacing w:val="-5"/>
                <w:w w:val="105"/>
                <w:sz w:val="18"/>
              </w:rPr>
              <w:t>$60</w:t>
            </w:r>
          </w:p>
        </w:tc>
        <w:tc>
          <w:tcPr>
            <w:tcW w:w="909" w:type="dxa"/>
          </w:tcPr>
          <w:p>
            <w:pPr>
              <w:pStyle w:val="TableParagraph"/>
              <w:spacing w:before="34"/>
              <w:ind w:left="384"/>
              <w:jc w:val="left"/>
              <w:rPr>
                <w:sz w:val="18"/>
              </w:rPr>
            </w:pPr>
            <w:r>
              <w:rPr>
                <w:color w:val="231F20"/>
                <w:spacing w:val="-5"/>
                <w:w w:val="105"/>
                <w:sz w:val="18"/>
              </w:rPr>
              <w:t>$66</w:t>
            </w:r>
          </w:p>
        </w:tc>
        <w:tc>
          <w:tcPr>
            <w:tcW w:w="797" w:type="dxa"/>
          </w:tcPr>
          <w:p>
            <w:pPr>
              <w:pStyle w:val="TableParagraph"/>
              <w:spacing w:before="34"/>
              <w:ind w:left="180" w:right="27"/>
              <w:rPr>
                <w:sz w:val="18"/>
              </w:rPr>
            </w:pPr>
            <w:r>
              <w:rPr>
                <w:color w:val="231F20"/>
                <w:spacing w:val="-4"/>
                <w:sz w:val="18"/>
              </w:rPr>
              <w:t>$562</w:t>
            </w:r>
          </w:p>
        </w:tc>
      </w:tr>
      <w:tr>
        <w:trPr>
          <w:trHeight w:val="294" w:hRule="atLeast"/>
        </w:trPr>
        <w:tc>
          <w:tcPr>
            <w:tcW w:w="2310" w:type="dxa"/>
          </w:tcPr>
          <w:p>
            <w:pPr>
              <w:pStyle w:val="TableParagraph"/>
              <w:spacing w:before="35"/>
              <w:ind w:left="50"/>
              <w:jc w:val="left"/>
              <w:rPr>
                <w:sz w:val="18"/>
              </w:rPr>
            </w:pPr>
            <w:r>
              <w:rPr>
                <w:color w:val="231F20"/>
                <w:sz w:val="18"/>
              </w:rPr>
              <w:t>Discount</w:t>
            </w:r>
            <w:r>
              <w:rPr>
                <w:color w:val="231F20"/>
                <w:spacing w:val="10"/>
                <w:sz w:val="18"/>
              </w:rPr>
              <w:t> </w:t>
            </w:r>
            <w:r>
              <w:rPr>
                <w:color w:val="231F20"/>
                <w:sz w:val="18"/>
              </w:rPr>
              <w:t>Factor</w:t>
            </w:r>
            <w:r>
              <w:rPr>
                <w:color w:val="231F20"/>
                <w:spacing w:val="11"/>
                <w:sz w:val="18"/>
              </w:rPr>
              <w:t> </w:t>
            </w:r>
            <w:r>
              <w:rPr>
                <w:color w:val="231F20"/>
                <w:sz w:val="18"/>
              </w:rPr>
              <w:t>@</w:t>
            </w:r>
            <w:r>
              <w:rPr>
                <w:color w:val="231F20"/>
                <w:spacing w:val="11"/>
                <w:sz w:val="18"/>
              </w:rPr>
              <w:t> </w:t>
            </w:r>
            <w:r>
              <w:rPr>
                <w:color w:val="231F20"/>
                <w:spacing w:val="-5"/>
                <w:sz w:val="18"/>
              </w:rPr>
              <w:t>13%</w:t>
            </w:r>
          </w:p>
        </w:tc>
        <w:tc>
          <w:tcPr>
            <w:tcW w:w="780" w:type="dxa"/>
            <w:tcBorders>
              <w:bottom w:val="single" w:sz="4" w:space="0" w:color="231F20"/>
            </w:tcBorders>
          </w:tcPr>
          <w:p>
            <w:pPr>
              <w:pStyle w:val="TableParagraph"/>
              <w:spacing w:before="35"/>
              <w:ind w:right="327"/>
              <w:jc w:val="right"/>
              <w:rPr>
                <w:sz w:val="18"/>
              </w:rPr>
            </w:pPr>
            <w:r>
              <w:rPr>
                <w:color w:val="231F20"/>
                <w:spacing w:val="-2"/>
                <w:sz w:val="18"/>
              </w:rPr>
              <w:t>.8850</w:t>
            </w:r>
          </w:p>
        </w:tc>
        <w:tc>
          <w:tcPr>
            <w:tcW w:w="826" w:type="dxa"/>
            <w:tcBorders>
              <w:bottom w:val="single" w:sz="4" w:space="0" w:color="231F20"/>
            </w:tcBorders>
          </w:tcPr>
          <w:p>
            <w:pPr>
              <w:pStyle w:val="TableParagraph"/>
              <w:spacing w:before="35"/>
              <w:ind w:left="140"/>
              <w:jc w:val="left"/>
              <w:rPr>
                <w:sz w:val="18"/>
              </w:rPr>
            </w:pPr>
            <w:r>
              <w:rPr>
                <w:color w:val="231F20"/>
                <w:spacing w:val="-2"/>
                <w:w w:val="105"/>
                <w:sz w:val="18"/>
              </w:rPr>
              <w:t>.7831</w:t>
            </w:r>
          </w:p>
        </w:tc>
        <w:tc>
          <w:tcPr>
            <w:tcW w:w="909" w:type="dxa"/>
            <w:tcBorders>
              <w:bottom w:val="single" w:sz="4" w:space="0" w:color="231F20"/>
            </w:tcBorders>
          </w:tcPr>
          <w:p>
            <w:pPr>
              <w:pStyle w:val="TableParagraph"/>
              <w:spacing w:before="35"/>
              <w:ind w:left="234"/>
              <w:jc w:val="left"/>
              <w:rPr>
                <w:sz w:val="18"/>
              </w:rPr>
            </w:pPr>
            <w:r>
              <w:rPr>
                <w:color w:val="231F20"/>
                <w:spacing w:val="-2"/>
                <w:w w:val="105"/>
                <w:sz w:val="18"/>
              </w:rPr>
              <w:t>.6931</w:t>
            </w:r>
          </w:p>
        </w:tc>
        <w:tc>
          <w:tcPr>
            <w:tcW w:w="797" w:type="dxa"/>
            <w:tcBorders>
              <w:bottom w:val="single" w:sz="4" w:space="0" w:color="231F20"/>
            </w:tcBorders>
          </w:tcPr>
          <w:p>
            <w:pPr>
              <w:pStyle w:val="TableParagraph"/>
              <w:spacing w:before="35"/>
              <w:ind w:left="131" w:right="27"/>
              <w:rPr>
                <w:sz w:val="18"/>
              </w:rPr>
            </w:pPr>
            <w:r>
              <w:rPr>
                <w:color w:val="231F20"/>
                <w:spacing w:val="-2"/>
                <w:w w:val="105"/>
                <w:sz w:val="18"/>
              </w:rPr>
              <w:t>.6133</w:t>
            </w:r>
          </w:p>
        </w:tc>
      </w:tr>
    </w:tbl>
    <w:p>
      <w:pPr>
        <w:pStyle w:val="BodyText"/>
        <w:spacing w:before="3"/>
        <w:rPr>
          <w:b/>
          <w:sz w:val="3"/>
        </w:rPr>
      </w:pPr>
    </w:p>
    <w:tbl>
      <w:tblPr>
        <w:tblW w:w="0" w:type="auto"/>
        <w:jc w:val="left"/>
        <w:tblInd w:w="1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7"/>
        <w:gridCol w:w="1223"/>
        <w:gridCol w:w="920"/>
        <w:gridCol w:w="860"/>
        <w:gridCol w:w="650"/>
      </w:tblGrid>
      <w:tr>
        <w:trPr>
          <w:trHeight w:val="255" w:hRule="atLeast"/>
        </w:trPr>
        <w:tc>
          <w:tcPr>
            <w:tcW w:w="1897" w:type="dxa"/>
          </w:tcPr>
          <w:p>
            <w:pPr>
              <w:pStyle w:val="TableParagraph"/>
              <w:spacing w:line="210" w:lineRule="exact" w:before="0"/>
              <w:ind w:left="50"/>
              <w:jc w:val="left"/>
              <w:rPr>
                <w:sz w:val="18"/>
              </w:rPr>
            </w:pPr>
            <w:r>
              <w:rPr>
                <w:color w:val="231F20"/>
                <w:sz w:val="18"/>
              </w:rPr>
              <w:t>Net Present </w:t>
            </w:r>
            <w:r>
              <w:rPr>
                <w:color w:val="231F20"/>
                <w:spacing w:val="-2"/>
                <w:sz w:val="18"/>
              </w:rPr>
              <w:t>Value</w:t>
            </w:r>
          </w:p>
        </w:tc>
        <w:tc>
          <w:tcPr>
            <w:tcW w:w="1223" w:type="dxa"/>
          </w:tcPr>
          <w:p>
            <w:pPr>
              <w:pStyle w:val="TableParagraph"/>
              <w:spacing w:line="210" w:lineRule="exact" w:before="0"/>
              <w:ind w:right="357"/>
              <w:jc w:val="right"/>
              <w:rPr>
                <w:sz w:val="18"/>
              </w:rPr>
            </w:pPr>
            <w:r>
              <w:rPr>
                <w:color w:val="231F20"/>
                <w:spacing w:val="-5"/>
                <w:sz w:val="18"/>
              </w:rPr>
              <w:t>48</w:t>
            </w:r>
          </w:p>
        </w:tc>
        <w:tc>
          <w:tcPr>
            <w:tcW w:w="920" w:type="dxa"/>
          </w:tcPr>
          <w:p>
            <w:pPr>
              <w:pStyle w:val="TableParagraph"/>
              <w:spacing w:line="210" w:lineRule="exact" w:before="0"/>
              <w:ind w:left="345" w:right="345"/>
              <w:rPr>
                <w:sz w:val="18"/>
              </w:rPr>
            </w:pPr>
            <w:r>
              <w:rPr>
                <w:color w:val="231F20"/>
                <w:spacing w:val="-5"/>
                <w:sz w:val="18"/>
              </w:rPr>
              <w:t>47</w:t>
            </w:r>
          </w:p>
        </w:tc>
        <w:tc>
          <w:tcPr>
            <w:tcW w:w="860" w:type="dxa"/>
          </w:tcPr>
          <w:p>
            <w:pPr>
              <w:pStyle w:val="TableParagraph"/>
              <w:spacing w:line="210" w:lineRule="exact" w:before="0"/>
              <w:ind w:left="345" w:right="285"/>
              <w:rPr>
                <w:sz w:val="18"/>
              </w:rPr>
            </w:pPr>
            <w:r>
              <w:rPr>
                <w:color w:val="231F20"/>
                <w:spacing w:val="-5"/>
                <w:sz w:val="18"/>
              </w:rPr>
              <w:t>46</w:t>
            </w:r>
          </w:p>
        </w:tc>
        <w:tc>
          <w:tcPr>
            <w:tcW w:w="650" w:type="dxa"/>
          </w:tcPr>
          <w:p>
            <w:pPr>
              <w:pStyle w:val="TableParagraph"/>
              <w:spacing w:line="210" w:lineRule="exact" w:before="0"/>
              <w:ind w:left="300"/>
              <w:jc w:val="left"/>
              <w:rPr>
                <w:sz w:val="18"/>
              </w:rPr>
            </w:pPr>
            <w:r>
              <w:rPr>
                <w:color w:val="231F20"/>
                <w:spacing w:val="-5"/>
                <w:sz w:val="18"/>
              </w:rPr>
              <w:t>344</w:t>
            </w:r>
          </w:p>
        </w:tc>
      </w:tr>
      <w:tr>
        <w:trPr>
          <w:trHeight w:val="304" w:hRule="atLeast"/>
        </w:trPr>
        <w:tc>
          <w:tcPr>
            <w:tcW w:w="1897" w:type="dxa"/>
          </w:tcPr>
          <w:p>
            <w:pPr>
              <w:pStyle w:val="TableParagraph"/>
              <w:spacing w:before="43"/>
              <w:ind w:left="50"/>
              <w:jc w:val="left"/>
              <w:rPr>
                <w:sz w:val="18"/>
              </w:rPr>
            </w:pPr>
            <w:r>
              <w:rPr>
                <w:color w:val="231F20"/>
                <w:spacing w:val="-2"/>
                <w:w w:val="105"/>
                <w:sz w:val="18"/>
              </w:rPr>
              <w:t>Total</w:t>
            </w:r>
            <w:r>
              <w:rPr>
                <w:color w:val="231F20"/>
                <w:spacing w:val="-4"/>
                <w:w w:val="110"/>
                <w:sz w:val="18"/>
              </w:rPr>
              <w:t> </w:t>
            </w:r>
            <w:r>
              <w:rPr>
                <w:color w:val="231F20"/>
                <w:spacing w:val="-5"/>
                <w:w w:val="110"/>
                <w:sz w:val="18"/>
              </w:rPr>
              <w:t>NPV</w:t>
            </w:r>
          </w:p>
        </w:tc>
        <w:tc>
          <w:tcPr>
            <w:tcW w:w="1223" w:type="dxa"/>
          </w:tcPr>
          <w:p>
            <w:pPr>
              <w:pStyle w:val="TableParagraph"/>
              <w:spacing w:before="43"/>
              <w:ind w:right="357"/>
              <w:jc w:val="right"/>
              <w:rPr>
                <w:sz w:val="18"/>
              </w:rPr>
            </w:pPr>
            <w:r>
              <w:rPr>
                <w:color w:val="231F20"/>
                <w:spacing w:val="-4"/>
                <w:sz w:val="18"/>
              </w:rPr>
              <w:t>$485</w:t>
            </w:r>
          </w:p>
        </w:tc>
        <w:tc>
          <w:tcPr>
            <w:tcW w:w="920" w:type="dxa"/>
          </w:tcPr>
          <w:p>
            <w:pPr>
              <w:pStyle w:val="TableParagraph"/>
              <w:spacing w:before="0"/>
              <w:jc w:val="left"/>
              <w:rPr>
                <w:rFonts w:ascii="Times New Roman"/>
                <w:sz w:val="20"/>
              </w:rPr>
            </w:pPr>
          </w:p>
        </w:tc>
        <w:tc>
          <w:tcPr>
            <w:tcW w:w="860" w:type="dxa"/>
          </w:tcPr>
          <w:p>
            <w:pPr>
              <w:pStyle w:val="TableParagraph"/>
              <w:spacing w:before="0"/>
              <w:jc w:val="left"/>
              <w:rPr>
                <w:rFonts w:ascii="Times New Roman"/>
                <w:sz w:val="20"/>
              </w:rPr>
            </w:pPr>
          </w:p>
        </w:tc>
        <w:tc>
          <w:tcPr>
            <w:tcW w:w="650" w:type="dxa"/>
          </w:tcPr>
          <w:p>
            <w:pPr>
              <w:pStyle w:val="TableParagraph"/>
              <w:spacing w:before="0"/>
              <w:jc w:val="left"/>
              <w:rPr>
                <w:rFonts w:ascii="Times New Roman"/>
                <w:sz w:val="20"/>
              </w:rPr>
            </w:pPr>
          </w:p>
        </w:tc>
      </w:tr>
    </w:tbl>
    <w:p>
      <w:pPr>
        <w:pStyle w:val="BodyText"/>
        <w:spacing w:before="10"/>
        <w:rPr>
          <w:b/>
          <w:sz w:val="17"/>
        </w:rPr>
      </w:pPr>
    </w:p>
    <w:p>
      <w:pPr>
        <w:pStyle w:val="BodyText"/>
        <w:spacing w:before="102"/>
        <w:ind w:left="1260"/>
        <w:jc w:val="both"/>
      </w:pPr>
      <w:r>
        <w:rPr/>
        <w:pict>
          <v:line style="position:absolute;mso-position-horizontal-relative:page;mso-position-vertical-relative:paragraph;z-index:15888384" from="196.5pt,-10.673196pt" to="219pt,-10.673196pt" stroked="true" strokeweight=".5pt" strokecolor="#231f20">
            <v:stroke dashstyle="solid"/>
            <w10:wrap type="none"/>
          </v:line>
        </w:pict>
      </w:r>
      <w:r>
        <w:rPr>
          <w:color w:val="231F20"/>
        </w:rPr>
        <w:t>That’s</w:t>
      </w:r>
      <w:r>
        <w:rPr>
          <w:color w:val="231F20"/>
          <w:spacing w:val="26"/>
        </w:rPr>
        <w:t> </w:t>
      </w:r>
      <w:r>
        <w:rPr>
          <w:color w:val="231F20"/>
        </w:rPr>
        <w:t>it!</w:t>
      </w:r>
      <w:r>
        <w:rPr>
          <w:color w:val="231F20"/>
          <w:spacing w:val="27"/>
        </w:rPr>
        <w:t> </w:t>
      </w:r>
      <w:r>
        <w:rPr>
          <w:color w:val="231F20"/>
        </w:rPr>
        <w:t>The</w:t>
      </w:r>
      <w:r>
        <w:rPr>
          <w:color w:val="231F20"/>
          <w:spacing w:val="27"/>
        </w:rPr>
        <w:t> </w:t>
      </w:r>
      <w:r>
        <w:rPr>
          <w:color w:val="231F20"/>
        </w:rPr>
        <w:t>grocery</w:t>
      </w:r>
      <w:r>
        <w:rPr>
          <w:color w:val="231F20"/>
          <w:spacing w:val="27"/>
        </w:rPr>
        <w:t> </w:t>
      </w:r>
      <w:r>
        <w:rPr>
          <w:color w:val="231F20"/>
        </w:rPr>
        <w:t>store’s</w:t>
      </w:r>
      <w:r>
        <w:rPr>
          <w:color w:val="231F20"/>
          <w:spacing w:val="27"/>
        </w:rPr>
        <w:t> </w:t>
      </w:r>
      <w:r>
        <w:rPr>
          <w:color w:val="231F20"/>
        </w:rPr>
        <w:t>enterprise</w:t>
      </w:r>
      <w:r>
        <w:rPr>
          <w:color w:val="231F20"/>
          <w:spacing w:val="26"/>
        </w:rPr>
        <w:t> </w:t>
      </w:r>
      <w:r>
        <w:rPr>
          <w:color w:val="231F20"/>
        </w:rPr>
        <w:t>value</w:t>
      </w:r>
      <w:r>
        <w:rPr>
          <w:color w:val="231F20"/>
          <w:spacing w:val="27"/>
        </w:rPr>
        <w:t> </w:t>
      </w:r>
      <w:r>
        <w:rPr>
          <w:color w:val="231F20"/>
        </w:rPr>
        <w:t>is</w:t>
      </w:r>
      <w:r>
        <w:rPr>
          <w:color w:val="231F20"/>
          <w:spacing w:val="27"/>
        </w:rPr>
        <w:t> </w:t>
      </w:r>
      <w:r>
        <w:rPr>
          <w:color w:val="231F20"/>
        </w:rPr>
        <w:t>$485,000.</w:t>
      </w:r>
      <w:r>
        <w:rPr>
          <w:color w:val="231F20"/>
          <w:spacing w:val="27"/>
        </w:rPr>
        <w:t> </w:t>
      </w:r>
      <w:r>
        <w:rPr>
          <w:color w:val="231F20"/>
          <w:spacing w:val="-5"/>
        </w:rPr>
        <w:t>The</w:t>
      </w:r>
    </w:p>
    <w:p>
      <w:pPr>
        <w:pStyle w:val="BodyText"/>
        <w:spacing w:line="292" w:lineRule="auto" w:before="54"/>
        <w:ind w:left="920" w:right="666"/>
        <w:jc w:val="both"/>
      </w:pPr>
      <w:r>
        <w:rPr>
          <w:color w:val="231F20"/>
        </w:rPr>
        <w:t>$5,000 in cash held by the store is not surplus cash; Bob needs it </w:t>
      </w:r>
      <w:r>
        <w:rPr>
          <w:color w:val="231F20"/>
        </w:rPr>
        <w:t>in the registers and to operate. (Cash is an asset on Bob’s balance sheet shown in the accounting chapter.) To find Bob’s equity value, take</w:t>
      </w:r>
      <w:r>
        <w:rPr>
          <w:color w:val="231F20"/>
          <w:spacing w:val="40"/>
        </w:rPr>
        <w:t> </w:t>
      </w:r>
      <w:r>
        <w:rPr>
          <w:color w:val="231F20"/>
        </w:rPr>
        <w:t>the</w:t>
      </w:r>
      <w:r>
        <w:rPr>
          <w:color w:val="231F20"/>
          <w:spacing w:val="24"/>
        </w:rPr>
        <w:t> </w:t>
      </w:r>
      <w:r>
        <w:rPr>
          <w:color w:val="231F20"/>
        </w:rPr>
        <w:t>enterprise</w:t>
      </w:r>
      <w:r>
        <w:rPr>
          <w:color w:val="231F20"/>
          <w:spacing w:val="25"/>
        </w:rPr>
        <w:t> </w:t>
      </w:r>
      <w:r>
        <w:rPr>
          <w:color w:val="231F20"/>
        </w:rPr>
        <w:t>value</w:t>
      </w:r>
      <w:r>
        <w:rPr>
          <w:color w:val="231F20"/>
          <w:spacing w:val="24"/>
        </w:rPr>
        <w:t> </w:t>
      </w:r>
      <w:r>
        <w:rPr>
          <w:color w:val="231F20"/>
        </w:rPr>
        <w:t>of</w:t>
      </w:r>
      <w:r>
        <w:rPr>
          <w:color w:val="231F20"/>
          <w:spacing w:val="25"/>
        </w:rPr>
        <w:t> </w:t>
      </w:r>
      <w:r>
        <w:rPr>
          <w:color w:val="231F20"/>
        </w:rPr>
        <w:t>$485,000</w:t>
      </w:r>
      <w:r>
        <w:rPr>
          <w:color w:val="231F20"/>
          <w:spacing w:val="24"/>
        </w:rPr>
        <w:t> </w:t>
      </w:r>
      <w:r>
        <w:rPr>
          <w:color w:val="231F20"/>
        </w:rPr>
        <w:t>less</w:t>
      </w:r>
      <w:r>
        <w:rPr>
          <w:color w:val="231F20"/>
          <w:spacing w:val="25"/>
        </w:rPr>
        <w:t> </w:t>
      </w:r>
      <w:r>
        <w:rPr>
          <w:color w:val="231F20"/>
        </w:rPr>
        <w:t>the</w:t>
      </w:r>
      <w:r>
        <w:rPr>
          <w:color w:val="231F20"/>
          <w:spacing w:val="24"/>
        </w:rPr>
        <w:t> </w:t>
      </w:r>
      <w:r>
        <w:rPr>
          <w:color w:val="231F20"/>
        </w:rPr>
        <w:t>outstanding</w:t>
      </w:r>
      <w:r>
        <w:rPr>
          <w:color w:val="231F20"/>
          <w:spacing w:val="25"/>
        </w:rPr>
        <w:t> </w:t>
      </w:r>
      <w:r>
        <w:rPr>
          <w:color w:val="231F20"/>
        </w:rPr>
        <w:t>bank</w:t>
      </w:r>
      <w:r>
        <w:rPr>
          <w:color w:val="231F20"/>
          <w:spacing w:val="24"/>
        </w:rPr>
        <w:t> </w:t>
      </w:r>
      <w:r>
        <w:rPr>
          <w:color w:val="231F20"/>
        </w:rPr>
        <w:t>debt</w:t>
      </w:r>
      <w:r>
        <w:rPr>
          <w:color w:val="231F20"/>
          <w:spacing w:val="25"/>
        </w:rPr>
        <w:t> </w:t>
      </w:r>
      <w:r>
        <w:rPr>
          <w:color w:val="231F20"/>
          <w:spacing w:val="-5"/>
        </w:rPr>
        <w:t>of</w:t>
      </w:r>
    </w:p>
    <w:p>
      <w:pPr>
        <w:pStyle w:val="BodyText"/>
        <w:spacing w:line="292" w:lineRule="auto"/>
        <w:ind w:left="920" w:right="663"/>
        <w:jc w:val="both"/>
      </w:pPr>
      <w:r>
        <w:rPr>
          <w:color w:val="231F20"/>
        </w:rPr>
        <w:t>$10,000 (also on his balance sheet), and that equals $475,000. That</w:t>
      </w:r>
      <w:r>
        <w:rPr>
          <w:color w:val="231F20"/>
          <w:spacing w:val="80"/>
        </w:rPr>
        <w:t> </w:t>
      </w:r>
      <w:r>
        <w:rPr>
          <w:color w:val="231F20"/>
        </w:rPr>
        <w:t>is what a takeover artist would expect to pay Bob for his store </w:t>
      </w:r>
      <w:r>
        <w:rPr>
          <w:color w:val="231F20"/>
        </w:rPr>
        <w:t>and assume</w:t>
      </w:r>
      <w:r>
        <w:rPr>
          <w:color w:val="231F20"/>
          <w:spacing w:val="40"/>
        </w:rPr>
        <w:t> </w:t>
      </w:r>
      <w:r>
        <w:rPr>
          <w:color w:val="231F20"/>
        </w:rPr>
        <w:t>its</w:t>
      </w:r>
      <w:r>
        <w:rPr>
          <w:color w:val="231F20"/>
          <w:spacing w:val="40"/>
        </w:rPr>
        <w:t> </w:t>
      </w:r>
      <w:r>
        <w:rPr>
          <w:color w:val="231F20"/>
        </w:rPr>
        <w:t>debt.</w:t>
      </w:r>
      <w:r>
        <w:rPr>
          <w:color w:val="231F20"/>
          <w:spacing w:val="40"/>
        </w:rPr>
        <w:t> </w:t>
      </w:r>
      <w:r>
        <w:rPr>
          <w:color w:val="231F20"/>
        </w:rPr>
        <w:t>That</w:t>
      </w:r>
      <w:r>
        <w:rPr>
          <w:color w:val="231F20"/>
          <w:spacing w:val="40"/>
        </w:rPr>
        <w:t> </w:t>
      </w:r>
      <w:r>
        <w:rPr>
          <w:color w:val="231F20"/>
        </w:rPr>
        <w:t>is</w:t>
      </w:r>
      <w:r>
        <w:rPr>
          <w:color w:val="231F20"/>
          <w:spacing w:val="40"/>
        </w:rPr>
        <w:t> </w:t>
      </w:r>
      <w:r>
        <w:rPr>
          <w:color w:val="231F20"/>
        </w:rPr>
        <w:t>how</w:t>
      </w:r>
      <w:r>
        <w:rPr>
          <w:color w:val="231F20"/>
          <w:spacing w:val="40"/>
        </w:rPr>
        <w:t> </w:t>
      </w:r>
      <w:r>
        <w:rPr>
          <w:color w:val="231F20"/>
        </w:rPr>
        <w:t>MBAs</w:t>
      </w:r>
      <w:r>
        <w:rPr>
          <w:color w:val="231F20"/>
          <w:spacing w:val="40"/>
        </w:rPr>
        <w:t> </w:t>
      </w:r>
      <w:r>
        <w:rPr>
          <w:color w:val="231F20"/>
        </w:rPr>
        <w:t>value</w:t>
      </w:r>
      <w:r>
        <w:rPr>
          <w:color w:val="231F20"/>
          <w:spacing w:val="40"/>
        </w:rPr>
        <w:t> </w:t>
      </w:r>
      <w:r>
        <w:rPr>
          <w:color w:val="231F20"/>
        </w:rPr>
        <w:t>companies</w:t>
      </w:r>
      <w:r>
        <w:rPr>
          <w:color w:val="231F20"/>
          <w:spacing w:val="40"/>
        </w:rPr>
        <w:t> </w:t>
      </w:r>
      <w:r>
        <w:rPr>
          <w:color w:val="231F20"/>
        </w:rPr>
        <w:t>large</w:t>
      </w:r>
      <w:r>
        <w:rPr>
          <w:color w:val="231F20"/>
          <w:spacing w:val="40"/>
        </w:rPr>
        <w:t> </w:t>
      </w:r>
      <w:r>
        <w:rPr>
          <w:color w:val="231F20"/>
        </w:rPr>
        <w:t>and small. Yes, it’s a bit tedious, but mathematically not difficult to cal- culate. By keeping M&amp;A a mysterious process, MBAs can charge</w:t>
      </w:r>
      <w:r>
        <w:rPr>
          <w:color w:val="231F20"/>
          <w:spacing w:val="80"/>
        </w:rPr>
        <w:t> </w:t>
      </w:r>
      <w:r>
        <w:rPr>
          <w:color w:val="231F20"/>
        </w:rPr>
        <w:t>more</w:t>
      </w:r>
      <w:r>
        <w:rPr>
          <w:color w:val="231F20"/>
          <w:spacing w:val="36"/>
        </w:rPr>
        <w:t> </w:t>
      </w:r>
      <w:r>
        <w:rPr>
          <w:color w:val="231F20"/>
        </w:rPr>
        <w:t>for</w:t>
      </w:r>
      <w:r>
        <w:rPr>
          <w:color w:val="231F20"/>
          <w:spacing w:val="36"/>
        </w:rPr>
        <w:t> </w:t>
      </w:r>
      <w:r>
        <w:rPr>
          <w:color w:val="231F20"/>
        </w:rPr>
        <w:t>their</w:t>
      </w:r>
      <w:r>
        <w:rPr>
          <w:color w:val="231F20"/>
          <w:spacing w:val="36"/>
        </w:rPr>
        <w:t> </w:t>
      </w:r>
      <w:r>
        <w:rPr>
          <w:color w:val="231F20"/>
        </w:rPr>
        <w:t>M&amp;A</w:t>
      </w:r>
      <w:r>
        <w:rPr>
          <w:color w:val="231F20"/>
          <w:spacing w:val="36"/>
        </w:rPr>
        <w:t> </w:t>
      </w:r>
      <w:r>
        <w:rPr>
          <w:color w:val="231F20"/>
        </w:rPr>
        <w:t>services.</w:t>
      </w:r>
      <w:r>
        <w:rPr>
          <w:color w:val="231F20"/>
          <w:spacing w:val="36"/>
        </w:rPr>
        <w:t> </w:t>
      </w:r>
      <w:r>
        <w:rPr>
          <w:color w:val="231F20"/>
        </w:rPr>
        <w:t>Now</w:t>
      </w:r>
      <w:r>
        <w:rPr>
          <w:color w:val="231F20"/>
          <w:spacing w:val="36"/>
        </w:rPr>
        <w:t> </w:t>
      </w:r>
      <w:r>
        <w:rPr>
          <w:color w:val="231F20"/>
        </w:rPr>
        <w:t>you</w:t>
      </w:r>
      <w:r>
        <w:rPr>
          <w:color w:val="231F20"/>
          <w:spacing w:val="36"/>
        </w:rPr>
        <w:t> </w:t>
      </w:r>
      <w:r>
        <w:rPr>
          <w:color w:val="231F20"/>
        </w:rPr>
        <w:t>have</w:t>
      </w:r>
      <w:r>
        <w:rPr>
          <w:color w:val="231F20"/>
          <w:spacing w:val="36"/>
        </w:rPr>
        <w:t> </w:t>
      </w:r>
      <w:r>
        <w:rPr>
          <w:color w:val="231F20"/>
        </w:rPr>
        <w:t>the</w:t>
      </w:r>
      <w:r>
        <w:rPr>
          <w:color w:val="231F20"/>
          <w:spacing w:val="36"/>
        </w:rPr>
        <w:t> </w:t>
      </w:r>
      <w:r>
        <w:rPr>
          <w:color w:val="231F20"/>
        </w:rPr>
        <w:t>inside</w:t>
      </w:r>
      <w:r>
        <w:rPr>
          <w:color w:val="231F20"/>
          <w:spacing w:val="36"/>
        </w:rPr>
        <w:t> </w:t>
      </w:r>
      <w:r>
        <w:rPr>
          <w:color w:val="231F20"/>
        </w:rPr>
        <w:t>story.</w:t>
      </w:r>
    </w:p>
    <w:p>
      <w:pPr>
        <w:pStyle w:val="BodyText"/>
        <w:rPr>
          <w:sz w:val="24"/>
        </w:rPr>
      </w:pPr>
    </w:p>
    <w:p>
      <w:pPr>
        <w:pStyle w:val="BodyText"/>
        <w:spacing w:before="10"/>
        <w:rPr>
          <w:sz w:val="26"/>
        </w:rPr>
      </w:pPr>
    </w:p>
    <w:p>
      <w:pPr>
        <w:pStyle w:val="Heading6"/>
        <w:spacing w:line="292" w:lineRule="auto"/>
        <w:ind w:left="2761" w:right="1948" w:hanging="814"/>
        <w:jc w:val="left"/>
      </w:pPr>
      <w:r>
        <w:rPr>
          <w:i/>
          <w:color w:val="231F20"/>
          <w:w w:val="110"/>
        </w:rPr>
        <w:t>ADDITIONAL</w:t>
      </w:r>
      <w:r>
        <w:rPr>
          <w:i/>
          <w:color w:val="231F20"/>
          <w:w w:val="110"/>
        </w:rPr>
        <w:t> THINGS</w:t>
      </w:r>
      <w:r>
        <w:rPr>
          <w:i/>
          <w:color w:val="231F20"/>
          <w:w w:val="110"/>
        </w:rPr>
        <w:t> MBAS</w:t>
      </w:r>
      <w:r>
        <w:rPr>
          <w:i/>
          <w:color w:val="231F20"/>
          <w:w w:val="110"/>
        </w:rPr>
        <w:t> </w:t>
      </w:r>
      <w:r>
        <w:rPr>
          <w:i/>
          <w:color w:val="231F20"/>
          <w:spacing w:val="10"/>
          <w:w w:val="110"/>
        </w:rPr>
        <w:t>INCLUDE</w:t>
      </w:r>
      <w:r>
        <w:rPr>
          <w:color w:val="231F20"/>
          <w:spacing w:val="80"/>
          <w:w w:val="150"/>
        </w:rPr>
        <w:t> </w:t>
      </w:r>
      <w:r>
        <w:rPr>
          <w:color w:val="231F20"/>
          <w:w w:val="110"/>
        </w:rPr>
        <w:t>IN</w:t>
      </w:r>
      <w:r>
        <w:rPr>
          <w:color w:val="231F20"/>
          <w:w w:val="110"/>
        </w:rPr>
        <w:t> THEIR</w:t>
      </w:r>
      <w:r>
        <w:rPr>
          <w:color w:val="231F20"/>
          <w:w w:val="110"/>
        </w:rPr>
        <w:t> VALUATIONS</w:t>
      </w:r>
    </w:p>
    <w:p>
      <w:pPr>
        <w:pStyle w:val="BodyText"/>
        <w:spacing w:before="6"/>
        <w:rPr>
          <w:b/>
          <w:i/>
          <w:sz w:val="25"/>
        </w:rPr>
      </w:pPr>
    </w:p>
    <w:p>
      <w:pPr>
        <w:pStyle w:val="BodyText"/>
        <w:spacing w:line="292" w:lineRule="auto"/>
        <w:ind w:left="920" w:right="663"/>
        <w:jc w:val="both"/>
      </w:pPr>
      <w:r>
        <w:rPr>
          <w:color w:val="231F20"/>
        </w:rPr>
        <w:t>The valuation of Bob’s Market assumes that the grocery store will be operated</w:t>
      </w:r>
      <w:r>
        <w:rPr>
          <w:color w:val="231F20"/>
          <w:spacing w:val="40"/>
        </w:rPr>
        <w:t> </w:t>
      </w:r>
      <w:r>
        <w:rPr>
          <w:color w:val="231F20"/>
        </w:rPr>
        <w:t>as</w:t>
      </w:r>
      <w:r>
        <w:rPr>
          <w:color w:val="231F20"/>
          <w:spacing w:val="40"/>
        </w:rPr>
        <w:t> </w:t>
      </w:r>
      <w:r>
        <w:rPr>
          <w:color w:val="231F20"/>
        </w:rPr>
        <w:t>Bob</w:t>
      </w:r>
      <w:r>
        <w:rPr>
          <w:color w:val="231F20"/>
          <w:spacing w:val="40"/>
        </w:rPr>
        <w:t> </w:t>
      </w:r>
      <w:r>
        <w:rPr>
          <w:color w:val="231F20"/>
        </w:rPr>
        <w:t>said</w:t>
      </w:r>
      <w:r>
        <w:rPr>
          <w:color w:val="231F20"/>
          <w:spacing w:val="40"/>
        </w:rPr>
        <w:t> </w:t>
      </w:r>
      <w:r>
        <w:rPr>
          <w:color w:val="231F20"/>
        </w:rPr>
        <w:t>it</w:t>
      </w:r>
      <w:r>
        <w:rPr>
          <w:color w:val="231F20"/>
          <w:spacing w:val="40"/>
        </w:rPr>
        <w:t> </w:t>
      </w:r>
      <w:r>
        <w:rPr>
          <w:color w:val="231F20"/>
        </w:rPr>
        <w:t>would.</w:t>
      </w:r>
      <w:r>
        <w:rPr>
          <w:color w:val="231F20"/>
          <w:spacing w:val="40"/>
        </w:rPr>
        <w:t> </w:t>
      </w:r>
      <w:r>
        <w:rPr>
          <w:color w:val="231F20"/>
        </w:rPr>
        <w:t>MBAs</w:t>
      </w:r>
      <w:r>
        <w:rPr>
          <w:color w:val="231F20"/>
          <w:spacing w:val="40"/>
        </w:rPr>
        <w:t> </w:t>
      </w:r>
      <w:r>
        <w:rPr>
          <w:color w:val="231F20"/>
        </w:rPr>
        <w:t>sometimes</w:t>
      </w:r>
      <w:r>
        <w:rPr>
          <w:color w:val="231F20"/>
          <w:spacing w:val="40"/>
        </w:rPr>
        <w:t> </w:t>
      </w:r>
      <w:r>
        <w:rPr>
          <w:color w:val="231F20"/>
        </w:rPr>
        <w:t>have</w:t>
      </w:r>
      <w:r>
        <w:rPr>
          <w:color w:val="231F20"/>
          <w:spacing w:val="40"/>
        </w:rPr>
        <w:t> </w:t>
      </w:r>
      <w:r>
        <w:rPr>
          <w:color w:val="231F20"/>
        </w:rPr>
        <w:t>different ideas. Companies being analyzed for potential acquisition are just</w:t>
      </w:r>
      <w:r>
        <w:rPr>
          <w:color w:val="231F20"/>
          <w:spacing w:val="40"/>
        </w:rPr>
        <w:t> </w:t>
      </w:r>
      <w:r>
        <w:rPr>
          <w:color w:val="231F20"/>
        </w:rPr>
        <w:t>like meat in a butcher shop—</w:t>
      </w:r>
      <w:r>
        <w:rPr>
          <w:color w:val="231F20"/>
          <w:spacing w:val="-12"/>
        </w:rPr>
        <w:t> </w:t>
      </w:r>
      <w:r>
        <w:rPr>
          <w:color w:val="231F20"/>
        </w:rPr>
        <w:t>cut, sliced, and ground up as neces- sary.</w:t>
      </w:r>
      <w:r>
        <w:rPr>
          <w:color w:val="231F20"/>
          <w:spacing w:val="32"/>
        </w:rPr>
        <w:t> </w:t>
      </w:r>
      <w:r>
        <w:rPr>
          <w:color w:val="231F20"/>
        </w:rPr>
        <w:t>Analysts</w:t>
      </w:r>
      <w:r>
        <w:rPr>
          <w:color w:val="231F20"/>
          <w:spacing w:val="32"/>
        </w:rPr>
        <w:t> </w:t>
      </w:r>
      <w:r>
        <w:rPr>
          <w:color w:val="231F20"/>
        </w:rPr>
        <w:t>investigate</w:t>
      </w:r>
      <w:r>
        <w:rPr>
          <w:color w:val="231F20"/>
          <w:spacing w:val="32"/>
        </w:rPr>
        <w:t> </w:t>
      </w:r>
      <w:r>
        <w:rPr>
          <w:color w:val="231F20"/>
        </w:rPr>
        <w:t>the</w:t>
      </w:r>
      <w:r>
        <w:rPr>
          <w:color w:val="231F20"/>
          <w:spacing w:val="32"/>
        </w:rPr>
        <w:t> </w:t>
      </w:r>
      <w:r>
        <w:rPr>
          <w:color w:val="231F20"/>
        </w:rPr>
        <w:t>company</w:t>
      </w:r>
      <w:r>
        <w:rPr>
          <w:color w:val="231F20"/>
          <w:spacing w:val="32"/>
        </w:rPr>
        <w:t> </w:t>
      </w:r>
      <w:r>
        <w:rPr>
          <w:color w:val="231F20"/>
        </w:rPr>
        <w:t>from</w:t>
      </w:r>
      <w:r>
        <w:rPr>
          <w:color w:val="231F20"/>
          <w:spacing w:val="32"/>
        </w:rPr>
        <w:t> </w:t>
      </w:r>
      <w:r>
        <w:rPr>
          <w:color w:val="231F20"/>
        </w:rPr>
        <w:t>all</w:t>
      </w:r>
      <w:r>
        <w:rPr>
          <w:color w:val="231F20"/>
          <w:spacing w:val="32"/>
        </w:rPr>
        <w:t> </w:t>
      </w:r>
      <w:r>
        <w:rPr>
          <w:color w:val="231F20"/>
        </w:rPr>
        <w:t>angles.</w:t>
      </w:r>
      <w:r>
        <w:rPr>
          <w:color w:val="231F20"/>
          <w:spacing w:val="32"/>
        </w:rPr>
        <w:t> </w:t>
      </w:r>
      <w:r>
        <w:rPr>
          <w:color w:val="231F20"/>
        </w:rPr>
        <w:t>MBAs</w:t>
      </w:r>
      <w:r>
        <w:rPr>
          <w:color w:val="231F20"/>
          <w:spacing w:val="32"/>
        </w:rPr>
        <w:t> </w:t>
      </w:r>
      <w:r>
        <w:rPr>
          <w:color w:val="231F20"/>
        </w:rPr>
        <w:t>look at any opportunity to improve operations, lower expenses, and in- crease cash flow. They consider the sale of assets. The process is col- ored by the type of acquisition it is: merger, friendly, hostile, or leveraged. If the company is being taken over by a new </w:t>
      </w:r>
      <w:r>
        <w:rPr>
          <w:color w:val="231F20"/>
        </w:rPr>
        <w:t>management, then many changes are possible and likely. If the purchase is made with a great deal of debt, the new owners will want to increase cash flow</w:t>
      </w:r>
      <w:r>
        <w:rPr>
          <w:color w:val="231F20"/>
          <w:spacing w:val="-1"/>
        </w:rPr>
        <w:t> </w:t>
      </w:r>
      <w:r>
        <w:rPr>
          <w:color w:val="231F20"/>
        </w:rPr>
        <w:t>and</w:t>
      </w:r>
      <w:r>
        <w:rPr>
          <w:color w:val="231F20"/>
          <w:spacing w:val="-1"/>
        </w:rPr>
        <w:t> </w:t>
      </w:r>
      <w:r>
        <w:rPr>
          <w:color w:val="231F20"/>
        </w:rPr>
        <w:t>sell</w:t>
      </w:r>
      <w:r>
        <w:rPr>
          <w:color w:val="231F20"/>
          <w:spacing w:val="-1"/>
        </w:rPr>
        <w:t> </w:t>
      </w:r>
      <w:r>
        <w:rPr>
          <w:color w:val="231F20"/>
        </w:rPr>
        <w:t>assets</w:t>
      </w:r>
      <w:r>
        <w:rPr>
          <w:color w:val="231F20"/>
          <w:spacing w:val="-1"/>
        </w:rPr>
        <w:t> </w:t>
      </w:r>
      <w:r>
        <w:rPr>
          <w:color w:val="231F20"/>
        </w:rPr>
        <w:t>as</w:t>
      </w:r>
      <w:r>
        <w:rPr>
          <w:color w:val="231F20"/>
          <w:spacing w:val="-1"/>
        </w:rPr>
        <w:t> </w:t>
      </w:r>
      <w:r>
        <w:rPr>
          <w:color w:val="231F20"/>
        </w:rPr>
        <w:t>soon</w:t>
      </w:r>
      <w:r>
        <w:rPr>
          <w:color w:val="231F20"/>
          <w:spacing w:val="-1"/>
        </w:rPr>
        <w:t> </w:t>
      </w:r>
      <w:r>
        <w:rPr>
          <w:color w:val="231F20"/>
        </w:rPr>
        <w:t>as</w:t>
      </w:r>
      <w:r>
        <w:rPr>
          <w:color w:val="231F20"/>
          <w:spacing w:val="-1"/>
        </w:rPr>
        <w:t> </w:t>
      </w:r>
      <w:r>
        <w:rPr>
          <w:color w:val="231F20"/>
        </w:rPr>
        <w:t>possible</w:t>
      </w:r>
      <w:r>
        <w:rPr>
          <w:color w:val="231F20"/>
          <w:spacing w:val="-1"/>
        </w:rPr>
        <w:t> </w:t>
      </w:r>
      <w:r>
        <w:rPr>
          <w:color w:val="231F20"/>
        </w:rPr>
        <w:t>to</w:t>
      </w:r>
      <w:r>
        <w:rPr>
          <w:color w:val="231F20"/>
          <w:spacing w:val="-1"/>
        </w:rPr>
        <w:t> </w:t>
      </w:r>
      <w:r>
        <w:rPr>
          <w:color w:val="231F20"/>
        </w:rPr>
        <w:t>pay</w:t>
      </w:r>
      <w:r>
        <w:rPr>
          <w:color w:val="231F20"/>
          <w:spacing w:val="-1"/>
        </w:rPr>
        <w:t> </w:t>
      </w:r>
      <w:r>
        <w:rPr>
          <w:color w:val="231F20"/>
        </w:rPr>
        <w:t>off</w:t>
      </w:r>
      <w:r>
        <w:rPr>
          <w:color w:val="231F20"/>
          <w:spacing w:val="-1"/>
        </w:rPr>
        <w:t> </w:t>
      </w:r>
      <w:r>
        <w:rPr>
          <w:color w:val="231F20"/>
        </w:rPr>
        <w:t>the</w:t>
      </w:r>
      <w:r>
        <w:rPr>
          <w:color w:val="231F20"/>
          <w:spacing w:val="-1"/>
        </w:rPr>
        <w:t> </w:t>
      </w:r>
      <w:r>
        <w:rPr>
          <w:color w:val="231F20"/>
        </w:rPr>
        <w:t>debt</w:t>
      </w:r>
      <w:r>
        <w:rPr>
          <w:color w:val="231F20"/>
          <w:spacing w:val="-1"/>
        </w:rPr>
        <w:t> </w:t>
      </w:r>
      <w:r>
        <w:rPr>
          <w:color w:val="231F20"/>
        </w:rPr>
        <w:t>incurred</w:t>
      </w:r>
      <w:r>
        <w:rPr>
          <w:color w:val="231F20"/>
          <w:spacing w:val="-1"/>
        </w:rPr>
        <w:t> </w:t>
      </w:r>
      <w:r>
        <w:rPr>
          <w:color w:val="231F20"/>
        </w:rPr>
        <w:t>in purchasing the company. A sampling of things new owners will look for in these situations are:</w:t>
      </w:r>
    </w:p>
    <w:p>
      <w:pPr>
        <w:spacing w:after="0" w:line="292" w:lineRule="auto"/>
        <w:jc w:val="both"/>
        <w:sectPr>
          <w:headerReference w:type="default" r:id="rId93"/>
          <w:pgSz w:w="8640" w:h="12960"/>
          <w:pgMar w:header="0" w:footer="0" w:top="740" w:bottom="280" w:left="340" w:right="500"/>
        </w:sectPr>
      </w:pPr>
    </w:p>
    <w:p>
      <w:pPr>
        <w:pStyle w:val="BodyText"/>
        <w:spacing w:before="4"/>
        <w:rPr>
          <w:sz w:val="19"/>
        </w:rPr>
      </w:pPr>
    </w:p>
    <w:p>
      <w:pPr>
        <w:pStyle w:val="ListParagraph"/>
        <w:numPr>
          <w:ilvl w:val="0"/>
          <w:numId w:val="40"/>
        </w:numPr>
        <w:tabs>
          <w:tab w:pos="1356" w:val="left" w:leader="none"/>
        </w:tabs>
        <w:spacing w:line="240" w:lineRule="auto" w:before="97" w:after="0"/>
        <w:ind w:left="1355" w:right="0" w:hanging="186"/>
        <w:jc w:val="left"/>
        <w:rPr>
          <w:sz w:val="19"/>
        </w:rPr>
      </w:pPr>
      <w:r>
        <w:rPr>
          <w:color w:val="231F20"/>
          <w:w w:val="110"/>
          <w:sz w:val="19"/>
        </w:rPr>
        <w:t>Wage</w:t>
      </w:r>
      <w:r>
        <w:rPr>
          <w:color w:val="231F20"/>
          <w:spacing w:val="-7"/>
          <w:w w:val="110"/>
          <w:sz w:val="19"/>
        </w:rPr>
        <w:t> </w:t>
      </w:r>
      <w:r>
        <w:rPr>
          <w:color w:val="231F20"/>
          <w:w w:val="110"/>
          <w:sz w:val="19"/>
        </w:rPr>
        <w:t>Concessions,</w:t>
      </w:r>
      <w:r>
        <w:rPr>
          <w:color w:val="231F20"/>
          <w:spacing w:val="-6"/>
          <w:w w:val="110"/>
          <w:sz w:val="19"/>
        </w:rPr>
        <w:t> </w:t>
      </w:r>
      <w:r>
        <w:rPr>
          <w:color w:val="231F20"/>
          <w:w w:val="110"/>
          <w:sz w:val="19"/>
        </w:rPr>
        <w:t>Break</w:t>
      </w:r>
      <w:r>
        <w:rPr>
          <w:color w:val="231F20"/>
          <w:spacing w:val="-6"/>
          <w:w w:val="110"/>
          <w:sz w:val="19"/>
        </w:rPr>
        <w:t> </w:t>
      </w:r>
      <w:r>
        <w:rPr>
          <w:color w:val="231F20"/>
          <w:w w:val="110"/>
          <w:sz w:val="19"/>
        </w:rPr>
        <w:t>Labor</w:t>
      </w:r>
      <w:r>
        <w:rPr>
          <w:color w:val="231F20"/>
          <w:spacing w:val="-6"/>
          <w:w w:val="110"/>
          <w:sz w:val="19"/>
        </w:rPr>
        <w:t> </w:t>
      </w:r>
      <w:r>
        <w:rPr>
          <w:color w:val="231F20"/>
          <w:spacing w:val="-2"/>
          <w:w w:val="110"/>
          <w:sz w:val="19"/>
        </w:rPr>
        <w:t>Unions</w:t>
      </w:r>
    </w:p>
    <w:p>
      <w:pPr>
        <w:pStyle w:val="ListParagraph"/>
        <w:numPr>
          <w:ilvl w:val="0"/>
          <w:numId w:val="40"/>
        </w:numPr>
        <w:tabs>
          <w:tab w:pos="1356" w:val="left" w:leader="none"/>
        </w:tabs>
        <w:spacing w:line="240" w:lineRule="auto" w:before="82" w:after="0"/>
        <w:ind w:left="1355" w:right="0" w:hanging="186"/>
        <w:jc w:val="left"/>
        <w:rPr>
          <w:sz w:val="19"/>
        </w:rPr>
      </w:pPr>
      <w:r>
        <w:rPr>
          <w:color w:val="231F20"/>
          <w:spacing w:val="-2"/>
          <w:w w:val="115"/>
          <w:sz w:val="19"/>
        </w:rPr>
        <w:t>Layoffs</w:t>
      </w:r>
    </w:p>
    <w:p>
      <w:pPr>
        <w:pStyle w:val="ListParagraph"/>
        <w:numPr>
          <w:ilvl w:val="0"/>
          <w:numId w:val="40"/>
        </w:numPr>
        <w:tabs>
          <w:tab w:pos="1356" w:val="left" w:leader="none"/>
        </w:tabs>
        <w:spacing w:line="240" w:lineRule="auto" w:before="81" w:after="0"/>
        <w:ind w:left="1355" w:right="0" w:hanging="186"/>
        <w:jc w:val="left"/>
        <w:rPr>
          <w:sz w:val="19"/>
        </w:rPr>
      </w:pPr>
      <w:r>
        <w:rPr>
          <w:color w:val="231F20"/>
          <w:w w:val="115"/>
          <w:sz w:val="19"/>
        </w:rPr>
        <w:t>Lower</w:t>
      </w:r>
      <w:r>
        <w:rPr>
          <w:color w:val="231F20"/>
          <w:spacing w:val="-11"/>
          <w:w w:val="115"/>
          <w:sz w:val="19"/>
        </w:rPr>
        <w:t> </w:t>
      </w:r>
      <w:r>
        <w:rPr>
          <w:color w:val="231F20"/>
          <w:w w:val="115"/>
          <w:sz w:val="19"/>
        </w:rPr>
        <w:t>Production</w:t>
      </w:r>
      <w:r>
        <w:rPr>
          <w:color w:val="231F20"/>
          <w:spacing w:val="-11"/>
          <w:w w:val="115"/>
          <w:sz w:val="19"/>
        </w:rPr>
        <w:t> </w:t>
      </w:r>
      <w:r>
        <w:rPr>
          <w:color w:val="231F20"/>
          <w:spacing w:val="-2"/>
          <w:w w:val="115"/>
          <w:sz w:val="19"/>
        </w:rPr>
        <w:t>Costs</w:t>
      </w:r>
    </w:p>
    <w:p>
      <w:pPr>
        <w:pStyle w:val="ListParagraph"/>
        <w:numPr>
          <w:ilvl w:val="0"/>
          <w:numId w:val="40"/>
        </w:numPr>
        <w:tabs>
          <w:tab w:pos="1356" w:val="left" w:leader="none"/>
        </w:tabs>
        <w:spacing w:line="328" w:lineRule="auto" w:before="82" w:after="0"/>
        <w:ind w:left="1630" w:right="3475" w:hanging="461"/>
        <w:jc w:val="left"/>
        <w:rPr>
          <w:sz w:val="19"/>
        </w:rPr>
      </w:pPr>
      <w:r>
        <w:rPr>
          <w:color w:val="231F20"/>
          <w:w w:val="110"/>
          <w:sz w:val="19"/>
        </w:rPr>
        <w:t>Reduce Working Capital </w:t>
      </w:r>
      <w:r>
        <w:rPr>
          <w:color w:val="231F20"/>
          <w:w w:val="110"/>
          <w:sz w:val="19"/>
        </w:rPr>
        <w:t>Needs </w:t>
      </w:r>
      <w:r>
        <w:rPr>
          <w:color w:val="231F20"/>
          <w:w w:val="115"/>
          <w:sz w:val="19"/>
        </w:rPr>
        <w:t>Lower Inventory</w:t>
      </w:r>
    </w:p>
    <w:p>
      <w:pPr>
        <w:spacing w:line="328" w:lineRule="auto" w:before="1"/>
        <w:ind w:left="1630" w:right="4157" w:firstLine="0"/>
        <w:jc w:val="left"/>
        <w:rPr>
          <w:rFonts w:ascii="Arial"/>
          <w:sz w:val="19"/>
        </w:rPr>
      </w:pPr>
      <w:r>
        <w:rPr>
          <w:rFonts w:ascii="Arial"/>
          <w:color w:val="231F20"/>
          <w:w w:val="110"/>
          <w:sz w:val="19"/>
        </w:rPr>
        <w:t>Lower</w:t>
      </w:r>
      <w:r>
        <w:rPr>
          <w:rFonts w:ascii="Arial"/>
          <w:color w:val="231F20"/>
          <w:spacing w:val="-15"/>
          <w:w w:val="110"/>
          <w:sz w:val="19"/>
        </w:rPr>
        <w:t> </w:t>
      </w:r>
      <w:r>
        <w:rPr>
          <w:rFonts w:ascii="Arial"/>
          <w:color w:val="231F20"/>
          <w:w w:val="110"/>
          <w:sz w:val="19"/>
        </w:rPr>
        <w:t>Receivables Increase Payables</w:t>
      </w:r>
    </w:p>
    <w:p>
      <w:pPr>
        <w:pStyle w:val="ListParagraph"/>
        <w:numPr>
          <w:ilvl w:val="0"/>
          <w:numId w:val="40"/>
        </w:numPr>
        <w:tabs>
          <w:tab w:pos="1356" w:val="left" w:leader="none"/>
        </w:tabs>
        <w:spacing w:line="240" w:lineRule="auto" w:before="1" w:after="0"/>
        <w:ind w:left="1355" w:right="0" w:hanging="186"/>
        <w:jc w:val="left"/>
        <w:rPr>
          <w:sz w:val="19"/>
        </w:rPr>
      </w:pPr>
      <w:r>
        <w:rPr>
          <w:color w:val="231F20"/>
          <w:w w:val="110"/>
          <w:sz w:val="19"/>
        </w:rPr>
        <w:t>Gain</w:t>
      </w:r>
      <w:r>
        <w:rPr>
          <w:color w:val="231F20"/>
          <w:spacing w:val="-10"/>
          <w:w w:val="110"/>
          <w:sz w:val="19"/>
        </w:rPr>
        <w:t> </w:t>
      </w:r>
      <w:r>
        <w:rPr>
          <w:color w:val="231F20"/>
          <w:w w:val="110"/>
          <w:sz w:val="19"/>
        </w:rPr>
        <w:t>Access</w:t>
      </w:r>
      <w:r>
        <w:rPr>
          <w:color w:val="231F20"/>
          <w:spacing w:val="-9"/>
          <w:w w:val="110"/>
          <w:sz w:val="19"/>
        </w:rPr>
        <w:t> </w:t>
      </w:r>
      <w:r>
        <w:rPr>
          <w:color w:val="231F20"/>
          <w:w w:val="110"/>
          <w:sz w:val="19"/>
        </w:rPr>
        <w:t>to</w:t>
      </w:r>
      <w:r>
        <w:rPr>
          <w:color w:val="231F20"/>
          <w:spacing w:val="-9"/>
          <w:w w:val="110"/>
          <w:sz w:val="19"/>
        </w:rPr>
        <w:t> </w:t>
      </w:r>
      <w:r>
        <w:rPr>
          <w:color w:val="231F20"/>
          <w:w w:val="110"/>
          <w:sz w:val="19"/>
        </w:rPr>
        <w:t>Employees’</w:t>
      </w:r>
      <w:r>
        <w:rPr>
          <w:color w:val="231F20"/>
          <w:spacing w:val="-9"/>
          <w:w w:val="110"/>
          <w:sz w:val="19"/>
        </w:rPr>
        <w:t> </w:t>
      </w:r>
      <w:r>
        <w:rPr>
          <w:color w:val="231F20"/>
          <w:w w:val="110"/>
          <w:sz w:val="19"/>
        </w:rPr>
        <w:t>Pension</w:t>
      </w:r>
      <w:r>
        <w:rPr>
          <w:color w:val="231F20"/>
          <w:spacing w:val="-9"/>
          <w:w w:val="110"/>
          <w:sz w:val="19"/>
        </w:rPr>
        <w:t> </w:t>
      </w:r>
      <w:r>
        <w:rPr>
          <w:color w:val="231F20"/>
          <w:spacing w:val="-4"/>
          <w:w w:val="110"/>
          <w:sz w:val="19"/>
        </w:rPr>
        <w:t>Money</w:t>
      </w:r>
    </w:p>
    <w:p>
      <w:pPr>
        <w:pStyle w:val="ListParagraph"/>
        <w:numPr>
          <w:ilvl w:val="0"/>
          <w:numId w:val="40"/>
        </w:numPr>
        <w:tabs>
          <w:tab w:pos="1356" w:val="left" w:leader="none"/>
        </w:tabs>
        <w:spacing w:line="240" w:lineRule="auto" w:before="82" w:after="0"/>
        <w:ind w:left="1355" w:right="0" w:hanging="186"/>
        <w:jc w:val="left"/>
        <w:rPr>
          <w:sz w:val="19"/>
        </w:rPr>
      </w:pPr>
      <w:r>
        <w:rPr>
          <w:color w:val="231F20"/>
          <w:w w:val="105"/>
          <w:sz w:val="19"/>
        </w:rPr>
        <w:t>Sell</w:t>
      </w:r>
      <w:r>
        <w:rPr>
          <w:color w:val="231F20"/>
          <w:spacing w:val="-3"/>
          <w:w w:val="105"/>
          <w:sz w:val="19"/>
        </w:rPr>
        <w:t> </w:t>
      </w:r>
      <w:r>
        <w:rPr>
          <w:color w:val="231F20"/>
          <w:w w:val="105"/>
          <w:sz w:val="19"/>
        </w:rPr>
        <w:t>Real</w:t>
      </w:r>
      <w:r>
        <w:rPr>
          <w:color w:val="231F20"/>
          <w:spacing w:val="-2"/>
          <w:w w:val="105"/>
          <w:sz w:val="19"/>
        </w:rPr>
        <w:t> Estate</w:t>
      </w:r>
    </w:p>
    <w:p>
      <w:pPr>
        <w:pStyle w:val="ListParagraph"/>
        <w:numPr>
          <w:ilvl w:val="0"/>
          <w:numId w:val="40"/>
        </w:numPr>
        <w:tabs>
          <w:tab w:pos="1356" w:val="left" w:leader="none"/>
        </w:tabs>
        <w:spacing w:line="240" w:lineRule="auto" w:before="81" w:after="0"/>
        <w:ind w:left="1355" w:right="0" w:hanging="186"/>
        <w:jc w:val="left"/>
        <w:rPr>
          <w:sz w:val="19"/>
        </w:rPr>
      </w:pPr>
      <w:r>
        <w:rPr>
          <w:color w:val="231F20"/>
          <w:w w:val="110"/>
          <w:sz w:val="19"/>
        </w:rPr>
        <w:t>Sell</w:t>
      </w:r>
      <w:r>
        <w:rPr>
          <w:color w:val="231F20"/>
          <w:spacing w:val="-4"/>
          <w:w w:val="110"/>
          <w:sz w:val="19"/>
        </w:rPr>
        <w:t> </w:t>
      </w:r>
      <w:r>
        <w:rPr>
          <w:color w:val="231F20"/>
          <w:w w:val="110"/>
          <w:sz w:val="19"/>
        </w:rPr>
        <w:t>Patents</w:t>
      </w:r>
      <w:r>
        <w:rPr>
          <w:color w:val="231F20"/>
          <w:spacing w:val="-4"/>
          <w:w w:val="110"/>
          <w:sz w:val="19"/>
        </w:rPr>
        <w:t> </w:t>
      </w:r>
      <w:r>
        <w:rPr>
          <w:color w:val="231F20"/>
          <w:w w:val="110"/>
          <w:sz w:val="19"/>
        </w:rPr>
        <w:t>and</w:t>
      </w:r>
      <w:r>
        <w:rPr>
          <w:color w:val="231F20"/>
          <w:spacing w:val="-4"/>
          <w:w w:val="110"/>
          <w:sz w:val="19"/>
        </w:rPr>
        <w:t> </w:t>
      </w:r>
      <w:r>
        <w:rPr>
          <w:color w:val="231F20"/>
          <w:spacing w:val="-2"/>
          <w:w w:val="110"/>
          <w:sz w:val="19"/>
        </w:rPr>
        <w:t>Rights</w:t>
      </w:r>
    </w:p>
    <w:p>
      <w:pPr>
        <w:pStyle w:val="ListParagraph"/>
        <w:numPr>
          <w:ilvl w:val="0"/>
          <w:numId w:val="40"/>
        </w:numPr>
        <w:tabs>
          <w:tab w:pos="1356" w:val="left" w:leader="none"/>
        </w:tabs>
        <w:spacing w:line="240" w:lineRule="auto" w:before="82" w:after="0"/>
        <w:ind w:left="1355" w:right="0" w:hanging="186"/>
        <w:jc w:val="left"/>
        <w:rPr>
          <w:sz w:val="19"/>
        </w:rPr>
      </w:pPr>
      <w:r>
        <w:rPr>
          <w:color w:val="231F20"/>
          <w:w w:val="110"/>
          <w:sz w:val="19"/>
        </w:rPr>
        <w:t>Sell</w:t>
      </w:r>
      <w:r>
        <w:rPr>
          <w:color w:val="231F20"/>
          <w:spacing w:val="-2"/>
          <w:w w:val="110"/>
          <w:sz w:val="19"/>
        </w:rPr>
        <w:t> </w:t>
      </w:r>
      <w:r>
        <w:rPr>
          <w:color w:val="231F20"/>
          <w:w w:val="110"/>
          <w:sz w:val="19"/>
        </w:rPr>
        <w:t>Divisions,</w:t>
      </w:r>
      <w:r>
        <w:rPr>
          <w:color w:val="231F20"/>
          <w:spacing w:val="-2"/>
          <w:w w:val="110"/>
          <w:sz w:val="19"/>
        </w:rPr>
        <w:t> </w:t>
      </w:r>
      <w:r>
        <w:rPr>
          <w:color w:val="231F20"/>
          <w:w w:val="110"/>
          <w:sz w:val="19"/>
        </w:rPr>
        <w:t>Subsidiaries,</w:t>
      </w:r>
      <w:r>
        <w:rPr>
          <w:color w:val="231F20"/>
          <w:spacing w:val="-2"/>
          <w:w w:val="110"/>
          <w:sz w:val="19"/>
        </w:rPr>
        <w:t> </w:t>
      </w:r>
      <w:r>
        <w:rPr>
          <w:color w:val="231F20"/>
          <w:w w:val="110"/>
          <w:sz w:val="19"/>
        </w:rPr>
        <w:t>Product</w:t>
      </w:r>
      <w:r>
        <w:rPr>
          <w:color w:val="231F20"/>
          <w:spacing w:val="-2"/>
          <w:w w:val="110"/>
          <w:sz w:val="19"/>
        </w:rPr>
        <w:t> Lines</w:t>
      </w:r>
    </w:p>
    <w:p>
      <w:pPr>
        <w:pStyle w:val="ListParagraph"/>
        <w:numPr>
          <w:ilvl w:val="0"/>
          <w:numId w:val="40"/>
        </w:numPr>
        <w:tabs>
          <w:tab w:pos="1356" w:val="left" w:leader="none"/>
        </w:tabs>
        <w:spacing w:line="328" w:lineRule="auto" w:before="81" w:after="0"/>
        <w:ind w:left="1355" w:right="758" w:hanging="185"/>
        <w:jc w:val="left"/>
        <w:rPr>
          <w:sz w:val="19"/>
        </w:rPr>
      </w:pPr>
      <w:r>
        <w:rPr>
          <w:color w:val="231F20"/>
          <w:w w:val="115"/>
          <w:sz w:val="19"/>
        </w:rPr>
        <w:t>Sell</w:t>
      </w:r>
      <w:r>
        <w:rPr>
          <w:color w:val="231F20"/>
          <w:w w:val="115"/>
          <w:sz w:val="19"/>
        </w:rPr>
        <w:t> Unnecessary</w:t>
      </w:r>
      <w:r>
        <w:rPr>
          <w:color w:val="231F20"/>
          <w:w w:val="115"/>
          <w:sz w:val="19"/>
        </w:rPr>
        <w:t> Luxuries</w:t>
      </w:r>
      <w:r>
        <w:rPr>
          <w:color w:val="231F20"/>
          <w:w w:val="115"/>
          <w:sz w:val="19"/>
        </w:rPr>
        <w:t> for</w:t>
      </w:r>
      <w:r>
        <w:rPr>
          <w:color w:val="231F20"/>
          <w:w w:val="115"/>
          <w:sz w:val="19"/>
        </w:rPr>
        <w:t> Executives</w:t>
      </w:r>
      <w:r>
        <w:rPr>
          <w:color w:val="231F20"/>
          <w:w w:val="115"/>
          <w:sz w:val="19"/>
        </w:rPr>
        <w:t> (jets,</w:t>
      </w:r>
      <w:r>
        <w:rPr>
          <w:color w:val="231F20"/>
          <w:w w:val="115"/>
          <w:sz w:val="19"/>
        </w:rPr>
        <w:t> company </w:t>
      </w:r>
      <w:r>
        <w:rPr>
          <w:color w:val="231F20"/>
          <w:spacing w:val="-2"/>
          <w:w w:val="115"/>
          <w:sz w:val="19"/>
        </w:rPr>
        <w:t>apartments)</w:t>
      </w:r>
    </w:p>
    <w:p>
      <w:pPr>
        <w:pStyle w:val="BodyText"/>
        <w:spacing w:before="6"/>
        <w:rPr>
          <w:rFonts w:ascii="Arial"/>
          <w:sz w:val="24"/>
        </w:rPr>
      </w:pPr>
      <w:r>
        <w:rPr/>
        <w:pict>
          <v:shape style="position:absolute;margin-left:192pt;margin-top:15.300439pt;width:22.6pt;height:.1pt;mso-position-horizontal-relative:page;mso-position-vertical-relative:paragraph;z-index:-15568384;mso-wrap-distance-left:0;mso-wrap-distance-right:0" id="docshape411" coordorigin="3840,306" coordsize="452,0" path="m4292,306l3840,306e" filled="false" stroked="true" strokeweight=".5pt" strokecolor="#231f20">
            <v:path arrowok="t"/>
            <v:stroke dashstyle="solid"/>
            <w10:wrap type="topAndBottom"/>
          </v:shape>
        </w:pict>
      </w:r>
    </w:p>
    <w:p>
      <w:pPr>
        <w:pStyle w:val="BodyText"/>
        <w:spacing w:line="292" w:lineRule="auto"/>
        <w:ind w:left="830" w:right="753"/>
        <w:jc w:val="both"/>
      </w:pPr>
      <w:r>
        <w:rPr>
          <w:i/>
          <w:color w:val="231F20"/>
        </w:rPr>
        <w:t>The MBA Touch: Asking “What If?” </w:t>
      </w:r>
      <w:r>
        <w:rPr>
          <w:color w:val="231F20"/>
        </w:rPr>
        <w:t>All the steps outlined can </w:t>
      </w:r>
      <w:r>
        <w:rPr>
          <w:color w:val="231F20"/>
        </w:rPr>
        <w:t>be investigated and plugged into mathematical formulas and spread- sheets. Analysts have to make many informed guesses. The real con- tribution an MBA can make to the process is not only an accurate evaluation of specific company information, but an experienced evaluation of the external factors that may affect the cash flows fore- casted. How would a change in product costs affect the forecasted cash flows? How could the competitive environment in the industry affect sales? What if?</w:t>
      </w:r>
    </w:p>
    <w:p>
      <w:pPr>
        <w:pStyle w:val="BodyText"/>
        <w:spacing w:line="292" w:lineRule="auto"/>
        <w:ind w:left="829" w:right="753" w:firstLine="340"/>
        <w:jc w:val="both"/>
      </w:pPr>
      <w:r>
        <w:rPr>
          <w:color w:val="231F20"/>
          <w:w w:val="105"/>
        </w:rPr>
        <w:t>A</w:t>
      </w:r>
      <w:r>
        <w:rPr>
          <w:color w:val="231F20"/>
          <w:w w:val="105"/>
        </w:rPr>
        <w:t> proper</w:t>
      </w:r>
      <w:r>
        <w:rPr>
          <w:color w:val="231F20"/>
          <w:w w:val="105"/>
        </w:rPr>
        <w:t> MBA</w:t>
      </w:r>
      <w:r>
        <w:rPr>
          <w:color w:val="231F20"/>
          <w:w w:val="105"/>
        </w:rPr>
        <w:t> forecast</w:t>
      </w:r>
      <w:r>
        <w:rPr>
          <w:color w:val="231F20"/>
          <w:w w:val="105"/>
        </w:rPr>
        <w:t> of</w:t>
      </w:r>
      <w:r>
        <w:rPr>
          <w:color w:val="231F20"/>
          <w:w w:val="105"/>
        </w:rPr>
        <w:t> cash</w:t>
      </w:r>
      <w:r>
        <w:rPr>
          <w:color w:val="231F20"/>
          <w:w w:val="105"/>
        </w:rPr>
        <w:t> flows</w:t>
      </w:r>
      <w:r>
        <w:rPr>
          <w:color w:val="231F20"/>
          <w:w w:val="105"/>
        </w:rPr>
        <w:t> includes</w:t>
      </w:r>
      <w:r>
        <w:rPr>
          <w:color w:val="231F20"/>
          <w:w w:val="105"/>
        </w:rPr>
        <w:t> variations</w:t>
      </w:r>
      <w:r>
        <w:rPr>
          <w:color w:val="231F20"/>
          <w:w w:val="105"/>
        </w:rPr>
        <w:t> or “sensitivities”</w:t>
      </w:r>
      <w:r>
        <w:rPr>
          <w:color w:val="231F20"/>
          <w:w w:val="105"/>
        </w:rPr>
        <w:t> of</w:t>
      </w:r>
      <w:r>
        <w:rPr>
          <w:color w:val="231F20"/>
          <w:w w:val="105"/>
        </w:rPr>
        <w:t> key</w:t>
      </w:r>
      <w:r>
        <w:rPr>
          <w:color w:val="231F20"/>
          <w:w w:val="105"/>
        </w:rPr>
        <w:t> assumptions,</w:t>
      </w:r>
      <w:r>
        <w:rPr>
          <w:color w:val="231F20"/>
          <w:w w:val="105"/>
        </w:rPr>
        <w:t> so</w:t>
      </w:r>
      <w:r>
        <w:rPr>
          <w:color w:val="231F20"/>
          <w:w w:val="105"/>
        </w:rPr>
        <w:t> that</w:t>
      </w:r>
      <w:r>
        <w:rPr>
          <w:color w:val="231F20"/>
          <w:w w:val="105"/>
        </w:rPr>
        <w:t> decision</w:t>
      </w:r>
      <w:r>
        <w:rPr>
          <w:color w:val="231F20"/>
          <w:w w:val="105"/>
        </w:rPr>
        <w:t> makers</w:t>
      </w:r>
      <w:r>
        <w:rPr>
          <w:color w:val="231F20"/>
          <w:w w:val="105"/>
        </w:rPr>
        <w:t> can</w:t>
      </w:r>
      <w:r>
        <w:rPr>
          <w:color w:val="231F20"/>
          <w:w w:val="105"/>
        </w:rPr>
        <w:t> </w:t>
      </w:r>
      <w:r>
        <w:rPr>
          <w:color w:val="231F20"/>
          <w:w w:val="105"/>
        </w:rPr>
        <w:t>as- </w:t>
      </w:r>
      <w:r>
        <w:rPr>
          <w:color w:val="231F20"/>
        </w:rPr>
        <w:t>sess the risk inherent in the cash flows they are forecasting. The use </w:t>
      </w:r>
      <w:r>
        <w:rPr>
          <w:color w:val="231F20"/>
          <w:w w:val="105"/>
        </w:rPr>
        <w:t>of</w:t>
      </w:r>
      <w:r>
        <w:rPr>
          <w:color w:val="231F20"/>
          <w:w w:val="105"/>
        </w:rPr>
        <w:t> a</w:t>
      </w:r>
      <w:r>
        <w:rPr>
          <w:color w:val="231F20"/>
          <w:w w:val="105"/>
        </w:rPr>
        <w:t> spreadsheet</w:t>
      </w:r>
      <w:r>
        <w:rPr>
          <w:color w:val="231F20"/>
          <w:w w:val="105"/>
        </w:rPr>
        <w:t> is</w:t>
      </w:r>
      <w:r>
        <w:rPr>
          <w:color w:val="231F20"/>
          <w:w w:val="105"/>
        </w:rPr>
        <w:t> imperative</w:t>
      </w:r>
      <w:r>
        <w:rPr>
          <w:color w:val="231F20"/>
          <w:w w:val="105"/>
        </w:rPr>
        <w:t> and</w:t>
      </w:r>
      <w:r>
        <w:rPr>
          <w:color w:val="231F20"/>
          <w:w w:val="105"/>
        </w:rPr>
        <w:t> its</w:t>
      </w:r>
      <w:r>
        <w:rPr>
          <w:color w:val="231F20"/>
          <w:w w:val="105"/>
        </w:rPr>
        <w:t> “Data-Table”</w:t>
      </w:r>
      <w:r>
        <w:rPr>
          <w:color w:val="231F20"/>
          <w:w w:val="105"/>
        </w:rPr>
        <w:t> function</w:t>
      </w:r>
      <w:r>
        <w:rPr>
          <w:color w:val="231F20"/>
          <w:w w:val="105"/>
        </w:rPr>
        <w:t> is</w:t>
      </w:r>
      <w:r>
        <w:rPr>
          <w:color w:val="231F20"/>
          <w:w w:val="105"/>
        </w:rPr>
        <w:t> the MBA tool to perform variation analysis. If you’re not familiar with it, consider yourself computer illiterate.</w:t>
      </w:r>
    </w:p>
    <w:p>
      <w:pPr>
        <w:pStyle w:val="BodyText"/>
        <w:spacing w:line="292" w:lineRule="auto"/>
        <w:ind w:left="830" w:right="756" w:firstLine="340"/>
        <w:jc w:val="both"/>
      </w:pPr>
      <w:r>
        <w:rPr>
          <w:color w:val="231F20"/>
        </w:rPr>
        <w:t>In the airline industry, for instance, fuel prices, fares, and </w:t>
      </w:r>
      <w:r>
        <w:rPr>
          <w:color w:val="231F20"/>
        </w:rPr>
        <w:t>passen- ger load factors can produce swings in cash flows. Variations in key assumptions such as these three items dramatically change valua- tions and cash flows. In a leveraged buyout, owners are counting on projected</w:t>
      </w:r>
      <w:r>
        <w:rPr>
          <w:color w:val="231F20"/>
          <w:spacing w:val="-3"/>
        </w:rPr>
        <w:t> </w:t>
      </w:r>
      <w:r>
        <w:rPr>
          <w:color w:val="231F20"/>
        </w:rPr>
        <w:t>cash</w:t>
      </w:r>
      <w:r>
        <w:rPr>
          <w:color w:val="231F20"/>
          <w:spacing w:val="-3"/>
        </w:rPr>
        <w:t> </w:t>
      </w:r>
      <w:r>
        <w:rPr>
          <w:color w:val="231F20"/>
        </w:rPr>
        <w:t>flows</w:t>
      </w:r>
      <w:r>
        <w:rPr>
          <w:color w:val="231F20"/>
          <w:spacing w:val="-3"/>
        </w:rPr>
        <w:t> </w:t>
      </w:r>
      <w:r>
        <w:rPr>
          <w:color w:val="231F20"/>
        </w:rPr>
        <w:t>to</w:t>
      </w:r>
      <w:r>
        <w:rPr>
          <w:color w:val="231F20"/>
          <w:spacing w:val="-3"/>
        </w:rPr>
        <w:t> </w:t>
      </w:r>
      <w:r>
        <w:rPr>
          <w:color w:val="231F20"/>
        </w:rPr>
        <w:t>pay</w:t>
      </w:r>
      <w:r>
        <w:rPr>
          <w:color w:val="231F20"/>
          <w:spacing w:val="-3"/>
        </w:rPr>
        <w:t> </w:t>
      </w:r>
      <w:r>
        <w:rPr>
          <w:color w:val="231F20"/>
        </w:rPr>
        <w:t>interest</w:t>
      </w:r>
      <w:r>
        <w:rPr>
          <w:color w:val="231F20"/>
          <w:spacing w:val="-3"/>
        </w:rPr>
        <w:t> </w:t>
      </w:r>
      <w:r>
        <w:rPr>
          <w:color w:val="231F20"/>
        </w:rPr>
        <w:t>on</w:t>
      </w:r>
      <w:r>
        <w:rPr>
          <w:color w:val="231F20"/>
          <w:spacing w:val="-3"/>
        </w:rPr>
        <w:t> </w:t>
      </w:r>
      <w:r>
        <w:rPr>
          <w:color w:val="231F20"/>
        </w:rPr>
        <w:t>the</w:t>
      </w:r>
      <w:r>
        <w:rPr>
          <w:color w:val="231F20"/>
          <w:spacing w:val="-3"/>
        </w:rPr>
        <w:t> </w:t>
      </w:r>
      <w:r>
        <w:rPr>
          <w:color w:val="231F20"/>
        </w:rPr>
        <w:t>debt</w:t>
      </w:r>
      <w:r>
        <w:rPr>
          <w:color w:val="231F20"/>
          <w:spacing w:val="-3"/>
        </w:rPr>
        <w:t> </w:t>
      </w:r>
      <w:r>
        <w:rPr>
          <w:color w:val="231F20"/>
        </w:rPr>
        <w:t>they</w:t>
      </w:r>
      <w:r>
        <w:rPr>
          <w:color w:val="231F20"/>
          <w:spacing w:val="-3"/>
        </w:rPr>
        <w:t> </w:t>
      </w:r>
      <w:r>
        <w:rPr>
          <w:color w:val="231F20"/>
        </w:rPr>
        <w:t>carry.</w:t>
      </w:r>
      <w:r>
        <w:rPr>
          <w:color w:val="231F20"/>
          <w:spacing w:val="-3"/>
        </w:rPr>
        <w:t> </w:t>
      </w:r>
      <w:r>
        <w:rPr>
          <w:color w:val="231F20"/>
        </w:rPr>
        <w:t>If</w:t>
      </w:r>
      <w:r>
        <w:rPr>
          <w:color w:val="231F20"/>
          <w:spacing w:val="-3"/>
        </w:rPr>
        <w:t> </w:t>
      </w:r>
      <w:r>
        <w:rPr>
          <w:color w:val="231F20"/>
        </w:rPr>
        <w:t>they</w:t>
      </w:r>
      <w:r>
        <w:rPr>
          <w:color w:val="231F20"/>
          <w:spacing w:val="-3"/>
        </w:rPr>
        <w:t> </w:t>
      </w:r>
      <w:r>
        <w:rPr>
          <w:color w:val="231F20"/>
        </w:rPr>
        <w:t>are caught short of cash, companies go into bankruptcy.</w:t>
      </w:r>
    </w:p>
    <w:p>
      <w:pPr>
        <w:spacing w:after="0" w:line="292" w:lineRule="auto"/>
        <w:jc w:val="both"/>
        <w:sectPr>
          <w:headerReference w:type="even" r:id="rId94"/>
          <w:pgSz w:w="8640" w:h="12960"/>
          <w:pgMar w:header="732" w:footer="0" w:top="920" w:bottom="280" w:left="340" w:right="500"/>
          <w:pgNumType w:start="248"/>
        </w:sectPr>
      </w:pPr>
    </w:p>
    <w:p>
      <w:pPr>
        <w:tabs>
          <w:tab w:pos="1382" w:val="left" w:leader="none"/>
        </w:tabs>
        <w:spacing w:before="69"/>
        <w:ind w:left="254" w:right="0" w:firstLine="0"/>
        <w:jc w:val="center"/>
        <w:rPr>
          <w:rFonts w:ascii="Arial"/>
          <w:i/>
          <w:sz w:val="18"/>
        </w:rPr>
      </w:pPr>
      <w:r>
        <w:rPr>
          <w:rFonts w:ascii="Arial"/>
          <w:color w:val="231F20"/>
          <w:spacing w:val="17"/>
          <w:w w:val="110"/>
          <w:sz w:val="16"/>
        </w:rPr>
        <w:t>FINANCE</w:t>
      </w:r>
      <w:r>
        <w:rPr>
          <w:rFonts w:ascii="Arial"/>
          <w:color w:val="231F20"/>
          <w:sz w:val="16"/>
        </w:rPr>
        <w:tab/>
      </w:r>
      <w:r>
        <w:rPr>
          <w:rFonts w:ascii="Arial"/>
          <w:i/>
          <w:color w:val="231F20"/>
          <w:spacing w:val="-5"/>
          <w:w w:val="110"/>
          <w:sz w:val="18"/>
        </w:rPr>
        <w:t>249</w:t>
      </w:r>
    </w:p>
    <w:p>
      <w:pPr>
        <w:pStyle w:val="BodyText"/>
        <w:spacing w:before="5"/>
        <w:rPr>
          <w:rFonts w:ascii="Arial"/>
          <w:i/>
          <w:sz w:val="26"/>
        </w:rPr>
      </w:pPr>
    </w:p>
    <w:p>
      <w:pPr>
        <w:pStyle w:val="Heading6"/>
        <w:rPr>
          <w:i/>
        </w:rPr>
      </w:pPr>
      <w:r>
        <w:rPr>
          <w:i/>
          <w:color w:val="231F20"/>
          <w:w w:val="110"/>
        </w:rPr>
        <w:t>MAKING</w:t>
      </w:r>
      <w:r>
        <w:rPr>
          <w:i/>
          <w:color w:val="231F20"/>
          <w:spacing w:val="38"/>
          <w:w w:val="110"/>
        </w:rPr>
        <w:t> </w:t>
      </w:r>
      <w:r>
        <w:rPr>
          <w:i/>
          <w:color w:val="231F20"/>
          <w:w w:val="110"/>
        </w:rPr>
        <w:t>A</w:t>
      </w:r>
      <w:r>
        <w:rPr>
          <w:i/>
          <w:color w:val="231F20"/>
          <w:spacing w:val="38"/>
          <w:w w:val="110"/>
        </w:rPr>
        <w:t> </w:t>
      </w:r>
      <w:r>
        <w:rPr>
          <w:i/>
          <w:color w:val="231F20"/>
          <w:spacing w:val="5"/>
          <w:w w:val="110"/>
        </w:rPr>
        <w:t>BID</w:t>
      </w:r>
    </w:p>
    <w:p>
      <w:pPr>
        <w:pStyle w:val="BodyText"/>
        <w:spacing w:before="2"/>
        <w:rPr>
          <w:b/>
          <w:i/>
          <w:sz w:val="30"/>
        </w:rPr>
      </w:pPr>
    </w:p>
    <w:p>
      <w:pPr>
        <w:pStyle w:val="BodyText"/>
        <w:spacing w:line="292" w:lineRule="auto"/>
        <w:ind w:left="920" w:right="663"/>
        <w:jc w:val="both"/>
      </w:pPr>
      <w:r>
        <w:rPr>
          <w:color w:val="231F20"/>
          <w:w w:val="105"/>
        </w:rPr>
        <w:t>MBA</w:t>
      </w:r>
      <w:r>
        <w:rPr>
          <w:color w:val="231F20"/>
          <w:w w:val="105"/>
        </w:rPr>
        <w:t> calculations</w:t>
      </w:r>
      <w:r>
        <w:rPr>
          <w:color w:val="231F20"/>
          <w:w w:val="105"/>
        </w:rPr>
        <w:t> and</w:t>
      </w:r>
      <w:r>
        <w:rPr>
          <w:color w:val="231F20"/>
          <w:w w:val="105"/>
        </w:rPr>
        <w:t> forecasts</w:t>
      </w:r>
      <w:r>
        <w:rPr>
          <w:color w:val="231F20"/>
          <w:w w:val="105"/>
        </w:rPr>
        <w:t> are</w:t>
      </w:r>
      <w:r>
        <w:rPr>
          <w:color w:val="231F20"/>
          <w:w w:val="105"/>
        </w:rPr>
        <w:t> fine</w:t>
      </w:r>
      <w:r>
        <w:rPr>
          <w:color w:val="231F20"/>
          <w:w w:val="105"/>
        </w:rPr>
        <w:t> and</w:t>
      </w:r>
      <w:r>
        <w:rPr>
          <w:color w:val="231F20"/>
          <w:w w:val="105"/>
        </w:rPr>
        <w:t> dandy,</w:t>
      </w:r>
      <w:r>
        <w:rPr>
          <w:color w:val="231F20"/>
          <w:w w:val="105"/>
        </w:rPr>
        <w:t> but</w:t>
      </w:r>
      <w:r>
        <w:rPr>
          <w:color w:val="231F20"/>
          <w:w w:val="105"/>
        </w:rPr>
        <w:t> they</w:t>
      </w:r>
      <w:r>
        <w:rPr>
          <w:color w:val="231F20"/>
          <w:w w:val="105"/>
        </w:rPr>
        <w:t> are often</w:t>
      </w:r>
      <w:r>
        <w:rPr>
          <w:color w:val="231F20"/>
          <w:w w:val="105"/>
        </w:rPr>
        <w:t> ignored.</w:t>
      </w:r>
      <w:r>
        <w:rPr>
          <w:color w:val="231F20"/>
          <w:w w:val="105"/>
        </w:rPr>
        <w:t> Sometimes</w:t>
      </w:r>
      <w:r>
        <w:rPr>
          <w:color w:val="231F20"/>
          <w:w w:val="105"/>
        </w:rPr>
        <w:t> the</w:t>
      </w:r>
      <w:r>
        <w:rPr>
          <w:color w:val="231F20"/>
          <w:w w:val="105"/>
        </w:rPr>
        <w:t> thrill</w:t>
      </w:r>
      <w:r>
        <w:rPr>
          <w:color w:val="231F20"/>
          <w:w w:val="105"/>
        </w:rPr>
        <w:t> of</w:t>
      </w:r>
      <w:r>
        <w:rPr>
          <w:color w:val="231F20"/>
          <w:w w:val="105"/>
        </w:rPr>
        <w:t> the</w:t>
      </w:r>
      <w:r>
        <w:rPr>
          <w:color w:val="231F20"/>
          <w:w w:val="105"/>
        </w:rPr>
        <w:t> hunt</w:t>
      </w:r>
      <w:r>
        <w:rPr>
          <w:color w:val="231F20"/>
          <w:w w:val="105"/>
        </w:rPr>
        <w:t> overcomes</w:t>
      </w:r>
      <w:r>
        <w:rPr>
          <w:color w:val="231F20"/>
          <w:w w:val="105"/>
        </w:rPr>
        <w:t> buyers, and they act like bidders in the heat of an art auction. Instead of a </w:t>
      </w:r>
      <w:r>
        <w:rPr>
          <w:color w:val="231F20"/>
          <w:spacing w:val="-2"/>
          <w:w w:val="105"/>
        </w:rPr>
        <w:t>net-present-value</w:t>
      </w:r>
      <w:r>
        <w:rPr>
          <w:color w:val="231F20"/>
          <w:spacing w:val="-2"/>
          <w:w w:val="105"/>
        </w:rPr>
        <w:t> cash-flow</w:t>
      </w:r>
      <w:r>
        <w:rPr>
          <w:color w:val="231F20"/>
          <w:spacing w:val="-2"/>
          <w:w w:val="105"/>
        </w:rPr>
        <w:t> valuation,</w:t>
      </w:r>
      <w:r>
        <w:rPr>
          <w:color w:val="231F20"/>
          <w:spacing w:val="-2"/>
          <w:w w:val="105"/>
        </w:rPr>
        <w:t> bidders</w:t>
      </w:r>
      <w:r>
        <w:rPr>
          <w:color w:val="231F20"/>
          <w:spacing w:val="-2"/>
          <w:w w:val="105"/>
        </w:rPr>
        <w:t> use</w:t>
      </w:r>
      <w:r>
        <w:rPr>
          <w:color w:val="231F20"/>
          <w:spacing w:val="-2"/>
          <w:w w:val="105"/>
        </w:rPr>
        <w:t> simpler</w:t>
      </w:r>
      <w:r>
        <w:rPr>
          <w:color w:val="231F20"/>
          <w:spacing w:val="-2"/>
          <w:w w:val="105"/>
        </w:rPr>
        <w:t> rule-of- </w:t>
      </w:r>
      <w:r>
        <w:rPr>
          <w:color w:val="231F20"/>
          <w:w w:val="105"/>
        </w:rPr>
        <w:t>thumb</w:t>
      </w:r>
      <w:r>
        <w:rPr>
          <w:color w:val="231F20"/>
          <w:w w:val="105"/>
        </w:rPr>
        <w:t> methods,</w:t>
      </w:r>
      <w:r>
        <w:rPr>
          <w:color w:val="231F20"/>
          <w:w w:val="105"/>
        </w:rPr>
        <w:t> a</w:t>
      </w:r>
      <w:r>
        <w:rPr>
          <w:color w:val="231F20"/>
          <w:w w:val="105"/>
        </w:rPr>
        <w:t> multiple</w:t>
      </w:r>
      <w:r>
        <w:rPr>
          <w:color w:val="231F20"/>
          <w:w w:val="105"/>
        </w:rPr>
        <w:t> of</w:t>
      </w:r>
      <w:r>
        <w:rPr>
          <w:color w:val="231F20"/>
          <w:w w:val="105"/>
        </w:rPr>
        <w:t> earnings</w:t>
      </w:r>
      <w:r>
        <w:rPr>
          <w:color w:val="231F20"/>
          <w:w w:val="105"/>
        </w:rPr>
        <w:t> or</w:t>
      </w:r>
      <w:r>
        <w:rPr>
          <w:color w:val="231F20"/>
          <w:w w:val="105"/>
        </w:rPr>
        <w:t> a</w:t>
      </w:r>
      <w:r>
        <w:rPr>
          <w:color w:val="231F20"/>
          <w:w w:val="105"/>
        </w:rPr>
        <w:t> multiple</w:t>
      </w:r>
      <w:r>
        <w:rPr>
          <w:color w:val="231F20"/>
          <w:w w:val="105"/>
        </w:rPr>
        <w:t> of</w:t>
      </w:r>
      <w:r>
        <w:rPr>
          <w:color w:val="231F20"/>
          <w:w w:val="105"/>
        </w:rPr>
        <w:t> sales.</w:t>
      </w:r>
      <w:r>
        <w:rPr>
          <w:color w:val="231F20"/>
          <w:w w:val="105"/>
        </w:rPr>
        <w:t> In leveraged</w:t>
      </w:r>
      <w:r>
        <w:rPr>
          <w:color w:val="231F20"/>
          <w:w w:val="105"/>
        </w:rPr>
        <w:t> buyouts,</w:t>
      </w:r>
      <w:r>
        <w:rPr>
          <w:color w:val="231F20"/>
          <w:w w:val="105"/>
        </w:rPr>
        <w:t> the</w:t>
      </w:r>
      <w:r>
        <w:rPr>
          <w:color w:val="231F20"/>
          <w:w w:val="105"/>
        </w:rPr>
        <w:t> bid</w:t>
      </w:r>
      <w:r>
        <w:rPr>
          <w:color w:val="231F20"/>
          <w:w w:val="105"/>
        </w:rPr>
        <w:t> often</w:t>
      </w:r>
      <w:r>
        <w:rPr>
          <w:color w:val="231F20"/>
          <w:w w:val="105"/>
        </w:rPr>
        <w:t> simply</w:t>
      </w:r>
      <w:r>
        <w:rPr>
          <w:color w:val="231F20"/>
          <w:w w:val="105"/>
        </w:rPr>
        <w:t> represents</w:t>
      </w:r>
      <w:r>
        <w:rPr>
          <w:color w:val="231F20"/>
          <w:w w:val="105"/>
        </w:rPr>
        <w:t> the</w:t>
      </w:r>
      <w:r>
        <w:rPr>
          <w:color w:val="231F20"/>
          <w:w w:val="105"/>
        </w:rPr>
        <w:t> maximum </w:t>
      </w:r>
      <w:r>
        <w:rPr>
          <w:color w:val="231F20"/>
        </w:rPr>
        <w:t>amount of financing the acquisitor can obtain, or the maximum </w:t>
      </w:r>
      <w:r>
        <w:rPr>
          <w:color w:val="231F20"/>
        </w:rPr>
        <w:t>debt </w:t>
      </w:r>
      <w:r>
        <w:rPr>
          <w:color w:val="231F20"/>
          <w:w w:val="105"/>
        </w:rPr>
        <w:t>the</w:t>
      </w:r>
      <w:r>
        <w:rPr>
          <w:color w:val="231F20"/>
          <w:w w:val="105"/>
        </w:rPr>
        <w:t> targeted</w:t>
      </w:r>
      <w:r>
        <w:rPr>
          <w:color w:val="231F20"/>
          <w:w w:val="105"/>
        </w:rPr>
        <w:t> company’s</w:t>
      </w:r>
      <w:r>
        <w:rPr>
          <w:color w:val="231F20"/>
          <w:w w:val="105"/>
        </w:rPr>
        <w:t> cash</w:t>
      </w:r>
      <w:r>
        <w:rPr>
          <w:color w:val="231F20"/>
          <w:w w:val="105"/>
        </w:rPr>
        <w:t> flow</w:t>
      </w:r>
      <w:r>
        <w:rPr>
          <w:color w:val="231F20"/>
          <w:w w:val="105"/>
        </w:rPr>
        <w:t> can</w:t>
      </w:r>
      <w:r>
        <w:rPr>
          <w:color w:val="231F20"/>
          <w:w w:val="105"/>
        </w:rPr>
        <w:t> carry.</w:t>
      </w:r>
      <w:r>
        <w:rPr>
          <w:color w:val="231F20"/>
          <w:w w:val="105"/>
        </w:rPr>
        <w:t> People</w:t>
      </w:r>
      <w:r>
        <w:rPr>
          <w:color w:val="231F20"/>
          <w:w w:val="105"/>
        </w:rPr>
        <w:t> differ,</w:t>
      </w:r>
      <w:r>
        <w:rPr>
          <w:color w:val="231F20"/>
          <w:w w:val="105"/>
        </w:rPr>
        <w:t> and</w:t>
      </w:r>
      <w:r>
        <w:rPr>
          <w:color w:val="231F20"/>
          <w:w w:val="105"/>
        </w:rPr>
        <w:t> ac- cordingly,</w:t>
      </w:r>
      <w:r>
        <w:rPr>
          <w:color w:val="231F20"/>
          <w:w w:val="105"/>
        </w:rPr>
        <w:t> they</w:t>
      </w:r>
      <w:r>
        <w:rPr>
          <w:color w:val="231F20"/>
          <w:w w:val="105"/>
        </w:rPr>
        <w:t> have</w:t>
      </w:r>
      <w:r>
        <w:rPr>
          <w:color w:val="231F20"/>
          <w:w w:val="105"/>
        </w:rPr>
        <w:t> different</w:t>
      </w:r>
      <w:r>
        <w:rPr>
          <w:color w:val="231F20"/>
          <w:w w:val="105"/>
        </w:rPr>
        <w:t> motivations</w:t>
      </w:r>
      <w:r>
        <w:rPr>
          <w:color w:val="231F20"/>
          <w:w w:val="105"/>
        </w:rPr>
        <w:t> and</w:t>
      </w:r>
      <w:r>
        <w:rPr>
          <w:color w:val="231F20"/>
          <w:w w:val="105"/>
        </w:rPr>
        <w:t> methods</w:t>
      </w:r>
      <w:r>
        <w:rPr>
          <w:color w:val="231F20"/>
          <w:w w:val="105"/>
        </w:rPr>
        <w:t> in</w:t>
      </w:r>
      <w:r>
        <w:rPr>
          <w:color w:val="231F20"/>
          <w:w w:val="105"/>
        </w:rPr>
        <w:t> their M&amp;A quests.</w:t>
      </w:r>
    </w:p>
    <w:p>
      <w:pPr>
        <w:pStyle w:val="BodyText"/>
        <w:rPr>
          <w:sz w:val="24"/>
        </w:rPr>
      </w:pPr>
    </w:p>
    <w:p>
      <w:pPr>
        <w:pStyle w:val="BodyText"/>
        <w:spacing w:before="8"/>
        <w:rPr>
          <w:sz w:val="24"/>
        </w:rPr>
      </w:pPr>
    </w:p>
    <w:p>
      <w:pPr>
        <w:pStyle w:val="Heading4"/>
      </w:pPr>
      <w:r>
        <w:rPr>
          <w:color w:val="231F20"/>
          <w:spacing w:val="9"/>
          <w:w w:val="85"/>
        </w:rPr>
        <w:t>FINANCIAL</w:t>
      </w:r>
      <w:r>
        <w:rPr>
          <w:color w:val="231F20"/>
          <w:spacing w:val="27"/>
        </w:rPr>
        <w:t> </w:t>
      </w:r>
      <w:r>
        <w:rPr>
          <w:color w:val="231F20"/>
          <w:spacing w:val="8"/>
          <w:w w:val="90"/>
        </w:rPr>
        <w:t>OVERVIEW</w:t>
      </w:r>
    </w:p>
    <w:p>
      <w:pPr>
        <w:pStyle w:val="BodyText"/>
        <w:spacing w:before="10"/>
        <w:rPr>
          <w:rFonts w:ascii="Trebuchet MS"/>
          <w:sz w:val="29"/>
        </w:rPr>
      </w:pPr>
    </w:p>
    <w:p>
      <w:pPr>
        <w:pStyle w:val="BodyText"/>
        <w:spacing w:line="292" w:lineRule="auto" w:before="1"/>
        <w:ind w:left="920" w:right="663"/>
        <w:jc w:val="both"/>
      </w:pPr>
      <w:r>
        <w:rPr>
          <w:color w:val="231F20"/>
        </w:rPr>
        <w:t>Simply stated, there are two main functions in the financial world: buying and selling. Businesses require funding; therefore, they </w:t>
      </w:r>
      <w:r>
        <w:rPr>
          <w:color w:val="231F20"/>
        </w:rPr>
        <w:t>either sell equity shares in their companies (stocks), or fixed-interest- payments securities (bonds). The investment community values these securities and buys and sells them.</w:t>
      </w:r>
    </w:p>
    <w:p>
      <w:pPr>
        <w:pStyle w:val="BodyText"/>
        <w:spacing w:line="292" w:lineRule="auto"/>
        <w:ind w:left="919" w:right="663" w:firstLine="340"/>
        <w:jc w:val="both"/>
      </w:pPr>
      <w:r>
        <w:rPr>
          <w:color w:val="231F20"/>
        </w:rPr>
        <w:t>The theoretical basis for financial analysis is the risk/reward equation, in which higher risks are associated with higher returns. Returns are calculated by determining the amount and the timing </w:t>
      </w:r>
      <w:r>
        <w:rPr>
          <w:color w:val="231F20"/>
        </w:rPr>
        <w:t>of cash flows.</w:t>
      </w:r>
    </w:p>
    <w:p>
      <w:pPr>
        <w:pStyle w:val="BodyText"/>
        <w:spacing w:line="292" w:lineRule="auto"/>
        <w:ind w:left="919" w:right="666" w:firstLine="340"/>
        <w:jc w:val="both"/>
      </w:pPr>
      <w:r>
        <w:rPr>
          <w:color w:val="231F20"/>
        </w:rPr>
        <w:t>The guiding principle of financial management is to maximize</w:t>
      </w:r>
      <w:r>
        <w:rPr>
          <w:color w:val="231F20"/>
          <w:spacing w:val="80"/>
        </w:rPr>
        <w:t> </w:t>
      </w:r>
      <w:r>
        <w:rPr>
          <w:color w:val="231F20"/>
        </w:rPr>
        <w:t>the</w:t>
      </w:r>
      <w:r>
        <w:rPr>
          <w:color w:val="231F20"/>
          <w:spacing w:val="-2"/>
        </w:rPr>
        <w:t> </w:t>
      </w:r>
      <w:r>
        <w:rPr>
          <w:color w:val="231F20"/>
        </w:rPr>
        <w:t>firm’s</w:t>
      </w:r>
      <w:r>
        <w:rPr>
          <w:color w:val="231F20"/>
          <w:spacing w:val="-2"/>
        </w:rPr>
        <w:t> </w:t>
      </w:r>
      <w:r>
        <w:rPr>
          <w:color w:val="231F20"/>
        </w:rPr>
        <w:t>value</w:t>
      </w:r>
      <w:r>
        <w:rPr>
          <w:color w:val="231F20"/>
          <w:spacing w:val="-2"/>
        </w:rPr>
        <w:t> </w:t>
      </w:r>
      <w:r>
        <w:rPr>
          <w:color w:val="231F20"/>
        </w:rPr>
        <w:t>by</w:t>
      </w:r>
      <w:r>
        <w:rPr>
          <w:color w:val="231F20"/>
          <w:spacing w:val="-2"/>
        </w:rPr>
        <w:t> </w:t>
      </w:r>
      <w:r>
        <w:rPr>
          <w:color w:val="231F20"/>
        </w:rPr>
        <w:t>financing</w:t>
      </w:r>
      <w:r>
        <w:rPr>
          <w:color w:val="231F20"/>
          <w:spacing w:val="-2"/>
        </w:rPr>
        <w:t> </w:t>
      </w:r>
      <w:r>
        <w:rPr>
          <w:color w:val="231F20"/>
        </w:rPr>
        <w:t>cash</w:t>
      </w:r>
      <w:r>
        <w:rPr>
          <w:color w:val="231F20"/>
          <w:spacing w:val="-2"/>
        </w:rPr>
        <w:t> </w:t>
      </w:r>
      <w:r>
        <w:rPr>
          <w:color w:val="231F20"/>
        </w:rPr>
        <w:t>needs</w:t>
      </w:r>
      <w:r>
        <w:rPr>
          <w:color w:val="231F20"/>
          <w:spacing w:val="-2"/>
        </w:rPr>
        <w:t> </w:t>
      </w:r>
      <w:r>
        <w:rPr>
          <w:color w:val="231F20"/>
        </w:rPr>
        <w:t>at</w:t>
      </w:r>
      <w:r>
        <w:rPr>
          <w:color w:val="231F20"/>
          <w:spacing w:val="-2"/>
        </w:rPr>
        <w:t> </w:t>
      </w:r>
      <w:r>
        <w:rPr>
          <w:color w:val="231F20"/>
        </w:rPr>
        <w:t>the</w:t>
      </w:r>
      <w:r>
        <w:rPr>
          <w:color w:val="231F20"/>
          <w:spacing w:val="-2"/>
        </w:rPr>
        <w:t> </w:t>
      </w:r>
      <w:r>
        <w:rPr>
          <w:color w:val="231F20"/>
        </w:rPr>
        <w:t>least</w:t>
      </w:r>
      <w:r>
        <w:rPr>
          <w:color w:val="231F20"/>
          <w:spacing w:val="-2"/>
        </w:rPr>
        <w:t> </w:t>
      </w:r>
      <w:r>
        <w:rPr>
          <w:color w:val="231F20"/>
        </w:rPr>
        <w:t>cost</w:t>
      </w:r>
      <w:r>
        <w:rPr>
          <w:color w:val="231F20"/>
          <w:spacing w:val="-2"/>
        </w:rPr>
        <w:t> </w:t>
      </w:r>
      <w:r>
        <w:rPr>
          <w:color w:val="231F20"/>
        </w:rPr>
        <w:t>possible,</w:t>
      </w:r>
      <w:r>
        <w:rPr>
          <w:color w:val="231F20"/>
          <w:spacing w:val="-2"/>
        </w:rPr>
        <w:t> </w:t>
      </w:r>
      <w:r>
        <w:rPr>
          <w:color w:val="231F20"/>
        </w:rPr>
        <w:t>at</w:t>
      </w:r>
      <w:r>
        <w:rPr>
          <w:color w:val="231F20"/>
          <w:spacing w:val="-2"/>
        </w:rPr>
        <w:t> </w:t>
      </w:r>
      <w:r>
        <w:rPr>
          <w:color w:val="231F20"/>
        </w:rPr>
        <w:t>a level of risk that management can live with.</w:t>
      </w:r>
    </w:p>
    <w:p>
      <w:pPr>
        <w:pStyle w:val="BodyText"/>
        <w:rPr>
          <w:sz w:val="24"/>
        </w:rPr>
      </w:pPr>
    </w:p>
    <w:p>
      <w:pPr>
        <w:pStyle w:val="BodyText"/>
        <w:spacing w:before="7"/>
        <w:rPr>
          <w:sz w:val="24"/>
        </w:rPr>
      </w:pPr>
    </w:p>
    <w:p>
      <w:pPr>
        <w:pStyle w:val="Heading4"/>
        <w:ind w:left="481"/>
      </w:pPr>
      <w:r>
        <w:rPr>
          <w:color w:val="231F20"/>
          <w:w w:val="85"/>
        </w:rPr>
        <w:t>KEY</w:t>
      </w:r>
      <w:r>
        <w:rPr>
          <w:color w:val="231F20"/>
          <w:spacing w:val="19"/>
        </w:rPr>
        <w:t> </w:t>
      </w:r>
      <w:r>
        <w:rPr>
          <w:color w:val="231F20"/>
          <w:spacing w:val="9"/>
          <w:w w:val="85"/>
        </w:rPr>
        <w:t>FINANCE</w:t>
      </w:r>
      <w:r>
        <w:rPr>
          <w:color w:val="231F20"/>
          <w:spacing w:val="22"/>
        </w:rPr>
        <w:t> </w:t>
      </w:r>
      <w:r>
        <w:rPr>
          <w:color w:val="231F20"/>
          <w:spacing w:val="-2"/>
          <w:w w:val="85"/>
        </w:rPr>
        <w:t>TAKEAWAYS</w:t>
      </w:r>
    </w:p>
    <w:p>
      <w:pPr>
        <w:pStyle w:val="BodyText"/>
        <w:spacing w:before="8"/>
        <w:rPr>
          <w:rFonts w:ascii="Trebuchet MS"/>
          <w:sz w:val="31"/>
        </w:rPr>
      </w:pPr>
    </w:p>
    <w:p>
      <w:pPr>
        <w:spacing w:line="328" w:lineRule="auto" w:before="0"/>
        <w:ind w:left="1600" w:right="839" w:hanging="340"/>
        <w:jc w:val="both"/>
        <w:rPr>
          <w:rFonts w:ascii="Arial" w:hAnsi="Arial"/>
          <w:sz w:val="19"/>
        </w:rPr>
      </w:pPr>
      <w:r>
        <w:rPr>
          <w:rFonts w:ascii="Arial" w:hAnsi="Arial"/>
          <w:i/>
          <w:color w:val="231F20"/>
          <w:w w:val="110"/>
          <w:sz w:val="19"/>
        </w:rPr>
        <w:t>Present</w:t>
      </w:r>
      <w:r>
        <w:rPr>
          <w:rFonts w:ascii="Arial" w:hAnsi="Arial"/>
          <w:i/>
          <w:color w:val="231F20"/>
          <w:spacing w:val="-15"/>
          <w:w w:val="110"/>
          <w:sz w:val="19"/>
        </w:rPr>
        <w:t> </w:t>
      </w:r>
      <w:r>
        <w:rPr>
          <w:rFonts w:ascii="Arial" w:hAnsi="Arial"/>
          <w:i/>
          <w:color w:val="231F20"/>
          <w:w w:val="110"/>
          <w:sz w:val="19"/>
        </w:rPr>
        <w:t>Value</w:t>
      </w:r>
      <w:r>
        <w:rPr>
          <w:rFonts w:ascii="Arial" w:hAnsi="Arial"/>
          <w:i/>
          <w:color w:val="231F20"/>
          <w:spacing w:val="-15"/>
          <w:w w:val="110"/>
          <w:sz w:val="19"/>
        </w:rPr>
        <w:t> </w:t>
      </w:r>
      <w:r>
        <w:rPr>
          <w:rFonts w:ascii="Arial" w:hAnsi="Arial"/>
          <w:color w:val="231F20"/>
          <w:w w:val="110"/>
          <w:sz w:val="19"/>
        </w:rPr>
        <w:t>—The</w:t>
      </w:r>
      <w:r>
        <w:rPr>
          <w:rFonts w:ascii="Arial" w:hAnsi="Arial"/>
          <w:color w:val="231F20"/>
          <w:spacing w:val="-8"/>
          <w:w w:val="110"/>
          <w:sz w:val="19"/>
        </w:rPr>
        <w:t> </w:t>
      </w:r>
      <w:r>
        <w:rPr>
          <w:rFonts w:ascii="Arial" w:hAnsi="Arial"/>
          <w:color w:val="231F20"/>
          <w:w w:val="110"/>
          <w:sz w:val="19"/>
        </w:rPr>
        <w:t>value of a dollar received in the future is less than a dollar on hand today. There is a time value of </w:t>
      </w:r>
      <w:r>
        <w:rPr>
          <w:rFonts w:ascii="Arial" w:hAnsi="Arial"/>
          <w:color w:val="231F20"/>
          <w:spacing w:val="-2"/>
          <w:w w:val="110"/>
          <w:sz w:val="19"/>
        </w:rPr>
        <w:t>money.</w:t>
      </w:r>
    </w:p>
    <w:p>
      <w:pPr>
        <w:spacing w:after="0" w:line="328" w:lineRule="auto"/>
        <w:jc w:val="both"/>
        <w:rPr>
          <w:rFonts w:ascii="Arial" w:hAnsi="Arial"/>
          <w:sz w:val="19"/>
        </w:rPr>
        <w:sectPr>
          <w:headerReference w:type="default" r:id="rId95"/>
          <w:pgSz w:w="8640" w:h="12960"/>
          <w:pgMar w:header="0" w:footer="0" w:top="660" w:bottom="280" w:left="340" w:right="500"/>
        </w:sectPr>
      </w:pPr>
    </w:p>
    <w:p>
      <w:pPr>
        <w:pStyle w:val="BodyText"/>
        <w:spacing w:before="8"/>
        <w:rPr>
          <w:rFonts w:ascii="Arial"/>
          <w:sz w:val="19"/>
        </w:rPr>
      </w:pPr>
    </w:p>
    <w:p>
      <w:pPr>
        <w:spacing w:line="328" w:lineRule="auto" w:before="97"/>
        <w:ind w:left="1510" w:right="966" w:hanging="340"/>
        <w:jc w:val="left"/>
        <w:rPr>
          <w:rFonts w:ascii="Arial" w:hAnsi="Arial"/>
          <w:sz w:val="19"/>
        </w:rPr>
      </w:pPr>
      <w:r>
        <w:rPr>
          <w:rFonts w:ascii="Arial" w:hAnsi="Arial"/>
          <w:i/>
          <w:color w:val="231F20"/>
          <w:w w:val="115"/>
          <w:sz w:val="19"/>
        </w:rPr>
        <w:t>Beta</w:t>
      </w:r>
      <w:r>
        <w:rPr>
          <w:rFonts w:ascii="Arial" w:hAnsi="Arial"/>
          <w:i/>
          <w:color w:val="231F20"/>
          <w:spacing w:val="-42"/>
          <w:w w:val="115"/>
          <w:sz w:val="19"/>
        </w:rPr>
        <w:t> </w:t>
      </w:r>
      <w:r>
        <w:rPr>
          <w:rFonts w:ascii="Arial" w:hAnsi="Arial"/>
          <w:color w:val="231F20"/>
          <w:spacing w:val="11"/>
          <w:w w:val="115"/>
          <w:sz w:val="19"/>
        </w:rPr>
        <w:t>—</w:t>
      </w:r>
      <w:r>
        <w:rPr>
          <w:rFonts w:ascii="Arial" w:hAnsi="Arial"/>
          <w:color w:val="231F20"/>
          <w:w w:val="115"/>
          <w:sz w:val="19"/>
        </w:rPr>
        <w:t>A</w:t>
      </w:r>
      <w:r>
        <w:rPr>
          <w:rFonts w:ascii="Arial" w:hAnsi="Arial"/>
          <w:color w:val="231F20"/>
          <w:spacing w:val="-16"/>
          <w:w w:val="115"/>
          <w:sz w:val="19"/>
        </w:rPr>
        <w:t> </w:t>
      </w:r>
      <w:r>
        <w:rPr>
          <w:rFonts w:ascii="Arial" w:hAnsi="Arial"/>
          <w:color w:val="231F20"/>
          <w:w w:val="115"/>
          <w:sz w:val="19"/>
        </w:rPr>
        <w:t>measure</w:t>
      </w:r>
      <w:r>
        <w:rPr>
          <w:rFonts w:ascii="Arial" w:hAnsi="Arial"/>
          <w:color w:val="231F20"/>
          <w:spacing w:val="-15"/>
          <w:w w:val="115"/>
          <w:sz w:val="19"/>
        </w:rPr>
        <w:t> </w:t>
      </w:r>
      <w:r>
        <w:rPr>
          <w:rFonts w:ascii="Arial" w:hAnsi="Arial"/>
          <w:color w:val="231F20"/>
          <w:w w:val="115"/>
          <w:sz w:val="19"/>
        </w:rPr>
        <w:t>of</w:t>
      </w:r>
      <w:r>
        <w:rPr>
          <w:rFonts w:ascii="Arial" w:hAnsi="Arial"/>
          <w:color w:val="231F20"/>
          <w:spacing w:val="-15"/>
          <w:w w:val="115"/>
          <w:sz w:val="19"/>
        </w:rPr>
        <w:t> </w:t>
      </w:r>
      <w:r>
        <w:rPr>
          <w:rFonts w:ascii="Arial" w:hAnsi="Arial"/>
          <w:color w:val="231F20"/>
          <w:w w:val="115"/>
          <w:sz w:val="19"/>
        </w:rPr>
        <w:t>risk</w:t>
      </w:r>
      <w:r>
        <w:rPr>
          <w:rFonts w:ascii="Arial" w:hAnsi="Arial"/>
          <w:color w:val="231F20"/>
          <w:spacing w:val="-15"/>
          <w:w w:val="115"/>
          <w:sz w:val="19"/>
        </w:rPr>
        <w:t> </w:t>
      </w:r>
      <w:r>
        <w:rPr>
          <w:rFonts w:ascii="Arial" w:hAnsi="Arial"/>
          <w:color w:val="231F20"/>
          <w:w w:val="115"/>
          <w:sz w:val="19"/>
        </w:rPr>
        <w:t>inherent</w:t>
      </w:r>
      <w:r>
        <w:rPr>
          <w:rFonts w:ascii="Arial" w:hAnsi="Arial"/>
          <w:color w:val="231F20"/>
          <w:spacing w:val="-14"/>
          <w:w w:val="115"/>
          <w:sz w:val="19"/>
        </w:rPr>
        <w:t> </w:t>
      </w:r>
      <w:r>
        <w:rPr>
          <w:rFonts w:ascii="Arial" w:hAnsi="Arial"/>
          <w:color w:val="231F20"/>
          <w:w w:val="115"/>
          <w:sz w:val="19"/>
        </w:rPr>
        <w:t>in</w:t>
      </w:r>
      <w:r>
        <w:rPr>
          <w:rFonts w:ascii="Arial" w:hAnsi="Arial"/>
          <w:color w:val="231F20"/>
          <w:spacing w:val="-15"/>
          <w:w w:val="115"/>
          <w:sz w:val="19"/>
        </w:rPr>
        <w:t> </w:t>
      </w:r>
      <w:r>
        <w:rPr>
          <w:rFonts w:ascii="Arial" w:hAnsi="Arial"/>
          <w:color w:val="231F20"/>
          <w:w w:val="115"/>
          <w:sz w:val="19"/>
        </w:rPr>
        <w:t>a</w:t>
      </w:r>
      <w:r>
        <w:rPr>
          <w:rFonts w:ascii="Arial" w:hAnsi="Arial"/>
          <w:color w:val="231F20"/>
          <w:spacing w:val="-15"/>
          <w:w w:val="115"/>
          <w:sz w:val="19"/>
        </w:rPr>
        <w:t> </w:t>
      </w:r>
      <w:r>
        <w:rPr>
          <w:rFonts w:ascii="Arial" w:hAnsi="Arial"/>
          <w:color w:val="231F20"/>
          <w:w w:val="115"/>
          <w:sz w:val="19"/>
        </w:rPr>
        <w:t>security</w:t>
      </w:r>
      <w:r>
        <w:rPr>
          <w:rFonts w:ascii="Arial" w:hAnsi="Arial"/>
          <w:color w:val="231F20"/>
          <w:spacing w:val="-14"/>
          <w:w w:val="115"/>
          <w:sz w:val="19"/>
        </w:rPr>
        <w:t> </w:t>
      </w:r>
      <w:r>
        <w:rPr>
          <w:rFonts w:ascii="Arial" w:hAnsi="Arial"/>
          <w:color w:val="231F20"/>
          <w:w w:val="115"/>
          <w:sz w:val="19"/>
        </w:rPr>
        <w:t>or</w:t>
      </w:r>
      <w:r>
        <w:rPr>
          <w:rFonts w:ascii="Arial" w:hAnsi="Arial"/>
          <w:color w:val="231F20"/>
          <w:spacing w:val="-15"/>
          <w:w w:val="115"/>
          <w:sz w:val="19"/>
        </w:rPr>
        <w:t> </w:t>
      </w:r>
      <w:r>
        <w:rPr>
          <w:rFonts w:ascii="Arial" w:hAnsi="Arial"/>
          <w:color w:val="231F20"/>
          <w:w w:val="115"/>
          <w:sz w:val="19"/>
        </w:rPr>
        <w:t>a</w:t>
      </w:r>
      <w:r>
        <w:rPr>
          <w:rFonts w:ascii="Arial" w:hAnsi="Arial"/>
          <w:color w:val="231F20"/>
          <w:spacing w:val="-15"/>
          <w:w w:val="115"/>
          <w:sz w:val="19"/>
        </w:rPr>
        <w:t> </w:t>
      </w:r>
      <w:r>
        <w:rPr>
          <w:rFonts w:ascii="Arial" w:hAnsi="Arial"/>
          <w:color w:val="231F20"/>
          <w:w w:val="115"/>
          <w:sz w:val="19"/>
        </w:rPr>
        <w:t>portfolio of securities as it reacts to general market movements</w:t>
      </w:r>
    </w:p>
    <w:p>
      <w:pPr>
        <w:spacing w:line="328" w:lineRule="auto" w:before="2"/>
        <w:ind w:left="1509" w:right="1262" w:hanging="340"/>
        <w:jc w:val="left"/>
        <w:rPr>
          <w:rFonts w:ascii="Arial" w:hAnsi="Arial"/>
          <w:sz w:val="19"/>
        </w:rPr>
      </w:pPr>
      <w:r>
        <w:rPr>
          <w:rFonts w:ascii="Arial" w:hAnsi="Arial"/>
          <w:i/>
          <w:color w:val="231F20"/>
          <w:w w:val="115"/>
          <w:sz w:val="19"/>
        </w:rPr>
        <w:t>The</w:t>
      </w:r>
      <w:r>
        <w:rPr>
          <w:rFonts w:ascii="Arial" w:hAnsi="Arial"/>
          <w:i/>
          <w:color w:val="231F20"/>
          <w:spacing w:val="-16"/>
          <w:w w:val="115"/>
          <w:sz w:val="19"/>
        </w:rPr>
        <w:t> </w:t>
      </w:r>
      <w:r>
        <w:rPr>
          <w:rFonts w:ascii="Arial" w:hAnsi="Arial"/>
          <w:i/>
          <w:color w:val="231F20"/>
          <w:w w:val="115"/>
          <w:sz w:val="19"/>
        </w:rPr>
        <w:t>Efficient</w:t>
      </w:r>
      <w:r>
        <w:rPr>
          <w:rFonts w:ascii="Arial" w:hAnsi="Arial"/>
          <w:i/>
          <w:color w:val="231F20"/>
          <w:spacing w:val="-15"/>
          <w:w w:val="115"/>
          <w:sz w:val="19"/>
        </w:rPr>
        <w:t> </w:t>
      </w:r>
      <w:r>
        <w:rPr>
          <w:rFonts w:ascii="Arial" w:hAnsi="Arial"/>
          <w:i/>
          <w:color w:val="231F20"/>
          <w:w w:val="115"/>
          <w:sz w:val="19"/>
        </w:rPr>
        <w:t>Frontier</w:t>
      </w:r>
      <w:r>
        <w:rPr>
          <w:rFonts w:ascii="Arial" w:hAnsi="Arial"/>
          <w:color w:val="231F20"/>
          <w:w w:val="115"/>
          <w:sz w:val="19"/>
        </w:rPr>
        <w:t>—The</w:t>
      </w:r>
      <w:r>
        <w:rPr>
          <w:rFonts w:ascii="Arial" w:hAnsi="Arial"/>
          <w:color w:val="231F20"/>
          <w:spacing w:val="-15"/>
          <w:w w:val="115"/>
          <w:sz w:val="19"/>
        </w:rPr>
        <w:t> </w:t>
      </w:r>
      <w:r>
        <w:rPr>
          <w:rFonts w:ascii="Arial" w:hAnsi="Arial"/>
          <w:color w:val="231F20"/>
          <w:w w:val="115"/>
          <w:sz w:val="19"/>
        </w:rPr>
        <w:t>graph</w:t>
      </w:r>
      <w:r>
        <w:rPr>
          <w:rFonts w:ascii="Arial" w:hAnsi="Arial"/>
          <w:color w:val="231F20"/>
          <w:spacing w:val="-15"/>
          <w:w w:val="115"/>
          <w:sz w:val="19"/>
        </w:rPr>
        <w:t> </w:t>
      </w:r>
      <w:r>
        <w:rPr>
          <w:rFonts w:ascii="Arial" w:hAnsi="Arial"/>
          <w:color w:val="231F20"/>
          <w:w w:val="115"/>
          <w:sz w:val="19"/>
        </w:rPr>
        <w:t>depicting</w:t>
      </w:r>
      <w:r>
        <w:rPr>
          <w:rFonts w:ascii="Arial" w:hAnsi="Arial"/>
          <w:color w:val="231F20"/>
          <w:spacing w:val="-15"/>
          <w:w w:val="115"/>
          <w:sz w:val="19"/>
        </w:rPr>
        <w:t> </w:t>
      </w:r>
      <w:r>
        <w:rPr>
          <w:rFonts w:ascii="Arial" w:hAnsi="Arial"/>
          <w:color w:val="231F20"/>
          <w:w w:val="115"/>
          <w:sz w:val="19"/>
        </w:rPr>
        <w:t>the</w:t>
      </w:r>
      <w:r>
        <w:rPr>
          <w:rFonts w:ascii="Arial" w:hAnsi="Arial"/>
          <w:color w:val="231F20"/>
          <w:spacing w:val="-16"/>
          <w:w w:val="115"/>
          <w:sz w:val="19"/>
        </w:rPr>
        <w:t> </w:t>
      </w:r>
      <w:r>
        <w:rPr>
          <w:rFonts w:ascii="Arial" w:hAnsi="Arial"/>
          <w:color w:val="231F20"/>
          <w:w w:val="115"/>
          <w:sz w:val="19"/>
        </w:rPr>
        <w:t>highest portfolio returns for a given risk level</w:t>
      </w:r>
    </w:p>
    <w:p>
      <w:pPr>
        <w:tabs>
          <w:tab w:pos="5867" w:val="left" w:leader="none"/>
        </w:tabs>
        <w:spacing w:line="231" w:lineRule="exact" w:before="0"/>
        <w:ind w:left="1169" w:right="0" w:firstLine="0"/>
        <w:jc w:val="left"/>
        <w:rPr>
          <w:rFonts w:ascii="Arial" w:hAnsi="Arial"/>
          <w:sz w:val="19"/>
        </w:rPr>
      </w:pPr>
      <w:r>
        <w:rPr/>
        <w:pict>
          <v:rect style="position:absolute;margin-left:302.119629pt;margin-top:6.103553pt;width:4.930940pt;height:.7242pt;mso-position-horizontal-relative:page;mso-position-vertical-relative:paragraph;z-index:-25068544" id="docshape413" filled="true" fillcolor="#231f20" stroked="false">
            <v:fill type="solid"/>
            <w10:wrap type="none"/>
          </v:rect>
        </w:pict>
      </w:r>
      <w:r>
        <w:rPr>
          <w:rFonts w:ascii="Arial" w:hAnsi="Arial"/>
          <w:i/>
          <w:color w:val="231F20"/>
          <w:w w:val="110"/>
          <w:sz w:val="19"/>
        </w:rPr>
        <w:t>The</w:t>
      </w:r>
      <w:r>
        <w:rPr>
          <w:rFonts w:ascii="Arial" w:hAnsi="Arial"/>
          <w:i/>
          <w:color w:val="231F20"/>
          <w:spacing w:val="-1"/>
          <w:w w:val="110"/>
          <w:sz w:val="19"/>
        </w:rPr>
        <w:t> </w:t>
      </w:r>
      <w:r>
        <w:rPr>
          <w:rFonts w:ascii="Arial" w:hAnsi="Arial"/>
          <w:i/>
          <w:color w:val="231F20"/>
          <w:w w:val="110"/>
          <w:sz w:val="19"/>
        </w:rPr>
        <w:t>Capital</w:t>
      </w:r>
      <w:r>
        <w:rPr>
          <w:rFonts w:ascii="Arial" w:hAnsi="Arial"/>
          <w:i/>
          <w:color w:val="231F20"/>
          <w:spacing w:val="-1"/>
          <w:w w:val="110"/>
          <w:sz w:val="19"/>
        </w:rPr>
        <w:t> </w:t>
      </w:r>
      <w:r>
        <w:rPr>
          <w:rFonts w:ascii="Arial" w:hAnsi="Arial"/>
          <w:i/>
          <w:color w:val="231F20"/>
          <w:w w:val="110"/>
          <w:sz w:val="19"/>
        </w:rPr>
        <w:t>Asset</w:t>
      </w:r>
      <w:r>
        <w:rPr>
          <w:rFonts w:ascii="Arial" w:hAnsi="Arial"/>
          <w:i/>
          <w:color w:val="231F20"/>
          <w:spacing w:val="-1"/>
          <w:w w:val="110"/>
          <w:sz w:val="19"/>
        </w:rPr>
        <w:t> </w:t>
      </w:r>
      <w:r>
        <w:rPr>
          <w:rFonts w:ascii="Arial" w:hAnsi="Arial"/>
          <w:i/>
          <w:color w:val="231F20"/>
          <w:w w:val="110"/>
          <w:sz w:val="19"/>
        </w:rPr>
        <w:t>Pricing Model</w:t>
      </w:r>
      <w:r>
        <w:rPr>
          <w:rFonts w:ascii="Arial" w:hAnsi="Arial"/>
          <w:i/>
          <w:color w:val="231F20"/>
          <w:spacing w:val="-41"/>
          <w:w w:val="110"/>
          <w:sz w:val="19"/>
        </w:rPr>
        <w:t> </w:t>
      </w:r>
      <w:r>
        <w:rPr>
          <w:rFonts w:ascii="Arial" w:hAnsi="Arial"/>
          <w:color w:val="231F20"/>
          <w:spacing w:val="19"/>
          <w:w w:val="110"/>
          <w:sz w:val="19"/>
        </w:rPr>
        <w:t>—</w:t>
      </w:r>
      <w:r>
        <w:rPr>
          <w:rFonts w:ascii="Arial" w:hAnsi="Arial"/>
          <w:color w:val="231F20"/>
          <w:spacing w:val="9"/>
          <w:w w:val="110"/>
          <w:sz w:val="19"/>
        </w:rPr>
        <w:t>K</w:t>
      </w:r>
      <w:r>
        <w:rPr>
          <w:rFonts w:ascii="Arial" w:hAnsi="Arial"/>
          <w:color w:val="231F20"/>
          <w:spacing w:val="9"/>
          <w:w w:val="110"/>
          <w:position w:val="-2"/>
          <w:sz w:val="10"/>
        </w:rPr>
        <w:t>e</w:t>
      </w:r>
      <w:r>
        <w:rPr>
          <w:rFonts w:ascii="Arial" w:hAnsi="Arial"/>
          <w:color w:val="231F20"/>
          <w:spacing w:val="26"/>
          <w:w w:val="110"/>
          <w:position w:val="-2"/>
          <w:sz w:val="10"/>
        </w:rPr>
        <w:t> </w:t>
      </w:r>
      <w:r>
        <w:rPr>
          <w:rFonts w:ascii="Symbol" w:hAnsi="Symbol"/>
          <w:color w:val="231F20"/>
          <w:w w:val="110"/>
          <w:sz w:val="21"/>
        </w:rPr>
        <w:t></w:t>
      </w:r>
      <w:r>
        <w:rPr>
          <w:rFonts w:ascii="Times New Roman" w:hAnsi="Times New Roman"/>
          <w:color w:val="231F20"/>
          <w:spacing w:val="-1"/>
          <w:w w:val="110"/>
          <w:sz w:val="21"/>
        </w:rPr>
        <w:t> </w:t>
      </w:r>
      <w:r>
        <w:rPr>
          <w:rFonts w:ascii="Arial" w:hAnsi="Arial"/>
          <w:color w:val="231F20"/>
          <w:w w:val="110"/>
          <w:sz w:val="19"/>
        </w:rPr>
        <w:t>R</w:t>
      </w:r>
      <w:r>
        <w:rPr>
          <w:rFonts w:ascii="Arial" w:hAnsi="Arial"/>
          <w:i/>
          <w:color w:val="231F20"/>
          <w:w w:val="110"/>
          <w:position w:val="-2"/>
          <w:sz w:val="10"/>
        </w:rPr>
        <w:t>f</w:t>
      </w:r>
      <w:r>
        <w:rPr>
          <w:rFonts w:ascii="Arial" w:hAnsi="Arial"/>
          <w:i/>
          <w:color w:val="231F20"/>
          <w:spacing w:val="26"/>
          <w:w w:val="110"/>
          <w:position w:val="-2"/>
          <w:sz w:val="10"/>
        </w:rPr>
        <w:t> </w:t>
      </w:r>
      <w:r>
        <w:rPr>
          <w:rFonts w:ascii="Symbol" w:hAnsi="Symbol"/>
          <w:color w:val="231F20"/>
          <w:w w:val="110"/>
          <w:sz w:val="21"/>
        </w:rPr>
        <w:t></w:t>
      </w:r>
      <w:r>
        <w:rPr>
          <w:rFonts w:ascii="Times New Roman" w:hAnsi="Times New Roman"/>
          <w:color w:val="231F20"/>
          <w:spacing w:val="-1"/>
          <w:w w:val="110"/>
          <w:sz w:val="21"/>
        </w:rPr>
        <w:t> </w:t>
      </w:r>
      <w:r>
        <w:rPr>
          <w:rFonts w:ascii="Arial" w:hAnsi="Arial"/>
          <w:color w:val="231F20"/>
          <w:spacing w:val="-5"/>
          <w:w w:val="110"/>
          <w:sz w:val="19"/>
        </w:rPr>
        <w:t>(K</w:t>
      </w:r>
      <w:r>
        <w:rPr>
          <w:rFonts w:ascii="Arial" w:hAnsi="Arial"/>
          <w:color w:val="231F20"/>
          <w:spacing w:val="-5"/>
          <w:w w:val="110"/>
          <w:position w:val="-2"/>
          <w:sz w:val="10"/>
        </w:rPr>
        <w:t>m</w:t>
      </w:r>
      <w:r>
        <w:rPr>
          <w:rFonts w:ascii="Arial" w:hAnsi="Arial"/>
          <w:color w:val="231F20"/>
          <w:position w:val="-2"/>
          <w:sz w:val="10"/>
        </w:rPr>
        <w:tab/>
      </w:r>
      <w:r>
        <w:rPr>
          <w:rFonts w:ascii="Arial" w:hAnsi="Arial"/>
          <w:color w:val="231F20"/>
          <w:spacing w:val="9"/>
          <w:w w:val="115"/>
          <w:sz w:val="19"/>
        </w:rPr>
        <w:t>R</w:t>
      </w:r>
      <w:r>
        <w:rPr>
          <w:rFonts w:ascii="Arial" w:hAnsi="Arial"/>
          <w:color w:val="231F20"/>
          <w:spacing w:val="9"/>
          <w:w w:val="115"/>
          <w:position w:val="-2"/>
          <w:sz w:val="10"/>
        </w:rPr>
        <w:t>f</w:t>
      </w:r>
      <w:r>
        <w:rPr>
          <w:rFonts w:ascii="Arial" w:hAnsi="Arial"/>
          <w:color w:val="231F20"/>
          <w:spacing w:val="9"/>
          <w:w w:val="115"/>
          <w:sz w:val="19"/>
        </w:rPr>
        <w:t>)</w:t>
      </w:r>
      <w:r>
        <w:rPr>
          <w:rFonts w:ascii="Arial" w:hAnsi="Arial"/>
          <w:color w:val="231F20"/>
          <w:spacing w:val="-2"/>
          <w:w w:val="115"/>
          <w:sz w:val="19"/>
        </w:rPr>
        <w:t> </w:t>
      </w:r>
      <w:r>
        <w:rPr>
          <w:rFonts w:ascii="Arial" w:hAnsi="Arial"/>
          <w:color w:val="231F20"/>
          <w:spacing w:val="-4"/>
          <w:w w:val="115"/>
          <w:sz w:val="19"/>
        </w:rPr>
        <w:t>Beta</w:t>
      </w:r>
    </w:p>
    <w:p>
      <w:pPr>
        <w:spacing w:line="328" w:lineRule="auto" w:before="70"/>
        <w:ind w:left="1510" w:right="667" w:hanging="340"/>
        <w:jc w:val="left"/>
        <w:rPr>
          <w:rFonts w:ascii="Arial" w:hAnsi="Arial"/>
          <w:sz w:val="19"/>
        </w:rPr>
      </w:pPr>
      <w:r>
        <w:rPr>
          <w:rFonts w:ascii="Arial" w:hAnsi="Arial"/>
          <w:i/>
          <w:color w:val="231F20"/>
          <w:w w:val="115"/>
          <w:sz w:val="19"/>
        </w:rPr>
        <w:t>Duration</w:t>
      </w:r>
      <w:r>
        <w:rPr>
          <w:rFonts w:ascii="Arial" w:hAnsi="Arial"/>
          <w:color w:val="231F20"/>
          <w:w w:val="115"/>
          <w:sz w:val="19"/>
        </w:rPr>
        <w:t>—The</w:t>
      </w:r>
      <w:r>
        <w:rPr>
          <w:rFonts w:ascii="Arial" w:hAnsi="Arial"/>
          <w:color w:val="231F20"/>
          <w:spacing w:val="-11"/>
          <w:w w:val="115"/>
          <w:sz w:val="19"/>
        </w:rPr>
        <w:t> </w:t>
      </w:r>
      <w:r>
        <w:rPr>
          <w:rFonts w:ascii="Arial" w:hAnsi="Arial"/>
          <w:color w:val="231F20"/>
          <w:w w:val="115"/>
          <w:sz w:val="19"/>
        </w:rPr>
        <w:t>time</w:t>
      </w:r>
      <w:r>
        <w:rPr>
          <w:rFonts w:ascii="Arial" w:hAnsi="Arial"/>
          <w:color w:val="231F20"/>
          <w:spacing w:val="-11"/>
          <w:w w:val="115"/>
          <w:sz w:val="19"/>
        </w:rPr>
        <w:t> </w:t>
      </w:r>
      <w:r>
        <w:rPr>
          <w:rFonts w:ascii="Arial" w:hAnsi="Arial"/>
          <w:color w:val="231F20"/>
          <w:w w:val="115"/>
          <w:sz w:val="19"/>
        </w:rPr>
        <w:t>it</w:t>
      </w:r>
      <w:r>
        <w:rPr>
          <w:rFonts w:ascii="Arial" w:hAnsi="Arial"/>
          <w:color w:val="231F20"/>
          <w:spacing w:val="-11"/>
          <w:w w:val="115"/>
          <w:sz w:val="19"/>
        </w:rPr>
        <w:t> </w:t>
      </w:r>
      <w:r>
        <w:rPr>
          <w:rFonts w:ascii="Arial" w:hAnsi="Arial"/>
          <w:color w:val="231F20"/>
          <w:w w:val="115"/>
          <w:sz w:val="19"/>
        </w:rPr>
        <w:t>takes</w:t>
      </w:r>
      <w:r>
        <w:rPr>
          <w:rFonts w:ascii="Arial" w:hAnsi="Arial"/>
          <w:color w:val="231F20"/>
          <w:spacing w:val="-11"/>
          <w:w w:val="115"/>
          <w:sz w:val="19"/>
        </w:rPr>
        <w:t> </w:t>
      </w:r>
      <w:r>
        <w:rPr>
          <w:rFonts w:ascii="Arial" w:hAnsi="Arial"/>
          <w:color w:val="231F20"/>
          <w:w w:val="115"/>
          <w:sz w:val="19"/>
        </w:rPr>
        <w:t>for</w:t>
      </w:r>
      <w:r>
        <w:rPr>
          <w:rFonts w:ascii="Arial" w:hAnsi="Arial"/>
          <w:color w:val="231F20"/>
          <w:spacing w:val="-11"/>
          <w:w w:val="115"/>
          <w:sz w:val="19"/>
        </w:rPr>
        <w:t> </w:t>
      </w:r>
      <w:r>
        <w:rPr>
          <w:rFonts w:ascii="Arial" w:hAnsi="Arial"/>
          <w:color w:val="231F20"/>
          <w:w w:val="115"/>
          <w:sz w:val="19"/>
        </w:rPr>
        <w:t>a</w:t>
      </w:r>
      <w:r>
        <w:rPr>
          <w:rFonts w:ascii="Arial" w:hAnsi="Arial"/>
          <w:color w:val="231F20"/>
          <w:spacing w:val="-11"/>
          <w:w w:val="115"/>
          <w:sz w:val="19"/>
        </w:rPr>
        <w:t> </w:t>
      </w:r>
      <w:r>
        <w:rPr>
          <w:rFonts w:ascii="Arial" w:hAnsi="Arial"/>
          <w:color w:val="231F20"/>
          <w:w w:val="115"/>
          <w:sz w:val="19"/>
        </w:rPr>
        <w:t>bond</w:t>
      </w:r>
      <w:r>
        <w:rPr>
          <w:rFonts w:ascii="Arial" w:hAnsi="Arial"/>
          <w:color w:val="231F20"/>
          <w:spacing w:val="-11"/>
          <w:w w:val="115"/>
          <w:sz w:val="19"/>
        </w:rPr>
        <w:t> </w:t>
      </w:r>
      <w:r>
        <w:rPr>
          <w:rFonts w:ascii="Arial" w:hAnsi="Arial"/>
          <w:color w:val="231F20"/>
          <w:w w:val="115"/>
          <w:sz w:val="19"/>
        </w:rPr>
        <w:t>to</w:t>
      </w:r>
      <w:r>
        <w:rPr>
          <w:rFonts w:ascii="Arial" w:hAnsi="Arial"/>
          <w:color w:val="231F20"/>
          <w:spacing w:val="-11"/>
          <w:w w:val="115"/>
          <w:sz w:val="19"/>
        </w:rPr>
        <w:t> </w:t>
      </w:r>
      <w:r>
        <w:rPr>
          <w:rFonts w:ascii="Arial" w:hAnsi="Arial"/>
          <w:color w:val="231F20"/>
          <w:w w:val="115"/>
          <w:sz w:val="19"/>
        </w:rPr>
        <w:t>pay</w:t>
      </w:r>
      <w:r>
        <w:rPr>
          <w:rFonts w:ascii="Arial" w:hAnsi="Arial"/>
          <w:color w:val="231F20"/>
          <w:spacing w:val="-11"/>
          <w:w w:val="115"/>
          <w:sz w:val="19"/>
        </w:rPr>
        <w:t> </w:t>
      </w:r>
      <w:r>
        <w:rPr>
          <w:rFonts w:ascii="Arial" w:hAnsi="Arial"/>
          <w:color w:val="231F20"/>
          <w:w w:val="115"/>
          <w:sz w:val="19"/>
        </w:rPr>
        <w:t>back</w:t>
      </w:r>
      <w:r>
        <w:rPr>
          <w:rFonts w:ascii="Arial" w:hAnsi="Arial"/>
          <w:color w:val="231F20"/>
          <w:spacing w:val="-11"/>
          <w:w w:val="115"/>
          <w:sz w:val="19"/>
        </w:rPr>
        <w:t> </w:t>
      </w:r>
      <w:r>
        <w:rPr>
          <w:rFonts w:ascii="Arial" w:hAnsi="Arial"/>
          <w:color w:val="231F20"/>
          <w:w w:val="115"/>
          <w:sz w:val="19"/>
        </w:rPr>
        <w:t>half</w:t>
      </w:r>
      <w:r>
        <w:rPr>
          <w:rFonts w:ascii="Arial" w:hAnsi="Arial"/>
          <w:color w:val="231F20"/>
          <w:spacing w:val="-11"/>
          <w:w w:val="115"/>
          <w:sz w:val="19"/>
        </w:rPr>
        <w:t> </w:t>
      </w:r>
      <w:r>
        <w:rPr>
          <w:rFonts w:ascii="Arial" w:hAnsi="Arial"/>
          <w:color w:val="231F20"/>
          <w:w w:val="115"/>
          <w:sz w:val="19"/>
        </w:rPr>
        <w:t>of</w:t>
      </w:r>
      <w:r>
        <w:rPr>
          <w:rFonts w:ascii="Arial" w:hAnsi="Arial"/>
          <w:color w:val="231F20"/>
          <w:spacing w:val="-11"/>
          <w:w w:val="115"/>
          <w:sz w:val="19"/>
        </w:rPr>
        <w:t> </w:t>
      </w:r>
      <w:r>
        <w:rPr>
          <w:rFonts w:ascii="Arial" w:hAnsi="Arial"/>
          <w:color w:val="231F20"/>
          <w:w w:val="115"/>
          <w:sz w:val="19"/>
        </w:rPr>
        <w:t>an investor’s investment</w:t>
      </w:r>
    </w:p>
    <w:p>
      <w:pPr>
        <w:spacing w:line="328" w:lineRule="auto" w:before="2"/>
        <w:ind w:left="1510" w:right="1262" w:hanging="340"/>
        <w:jc w:val="left"/>
        <w:rPr>
          <w:rFonts w:ascii="Arial" w:hAnsi="Arial"/>
          <w:sz w:val="19"/>
        </w:rPr>
      </w:pPr>
      <w:r>
        <w:rPr>
          <w:rFonts w:ascii="Arial" w:hAnsi="Arial"/>
          <w:i/>
          <w:color w:val="231F20"/>
          <w:spacing w:val="-2"/>
          <w:w w:val="115"/>
          <w:sz w:val="19"/>
        </w:rPr>
        <w:t>Bond</w:t>
      </w:r>
      <w:r>
        <w:rPr>
          <w:rFonts w:ascii="Arial" w:hAnsi="Arial"/>
          <w:i/>
          <w:color w:val="231F20"/>
          <w:spacing w:val="-11"/>
          <w:w w:val="115"/>
          <w:sz w:val="19"/>
        </w:rPr>
        <w:t> </w:t>
      </w:r>
      <w:r>
        <w:rPr>
          <w:rFonts w:ascii="Arial" w:hAnsi="Arial"/>
          <w:i/>
          <w:color w:val="231F20"/>
          <w:spacing w:val="-2"/>
          <w:w w:val="115"/>
          <w:sz w:val="19"/>
        </w:rPr>
        <w:t>Value</w:t>
      </w:r>
      <w:r>
        <w:rPr>
          <w:rFonts w:ascii="Arial" w:hAnsi="Arial"/>
          <w:i/>
          <w:color w:val="231F20"/>
          <w:spacing w:val="-9"/>
          <w:w w:val="115"/>
          <w:sz w:val="19"/>
        </w:rPr>
        <w:t> </w:t>
      </w:r>
      <w:r>
        <w:rPr>
          <w:rFonts w:ascii="Arial" w:hAnsi="Arial"/>
          <w:i/>
          <w:color w:val="231F20"/>
          <w:spacing w:val="-2"/>
          <w:w w:val="115"/>
          <w:sz w:val="19"/>
        </w:rPr>
        <w:t>Fluctuations</w:t>
      </w:r>
      <w:r>
        <w:rPr>
          <w:rFonts w:ascii="Arial" w:hAnsi="Arial"/>
          <w:color w:val="231F20"/>
          <w:spacing w:val="-2"/>
          <w:w w:val="115"/>
          <w:sz w:val="19"/>
        </w:rPr>
        <w:t>—</w:t>
      </w:r>
      <w:r>
        <w:rPr>
          <w:rFonts w:ascii="Arial" w:hAnsi="Arial"/>
          <w:color w:val="231F20"/>
          <w:spacing w:val="-42"/>
          <w:w w:val="115"/>
          <w:sz w:val="19"/>
        </w:rPr>
        <w:t> </w:t>
      </w:r>
      <w:r>
        <w:rPr>
          <w:rFonts w:ascii="Arial" w:hAnsi="Arial"/>
          <w:color w:val="231F20"/>
          <w:spacing w:val="-2"/>
          <w:w w:val="115"/>
          <w:sz w:val="19"/>
        </w:rPr>
        <w:t>If</w:t>
      </w:r>
      <w:r>
        <w:rPr>
          <w:rFonts w:ascii="Arial" w:hAnsi="Arial"/>
          <w:color w:val="231F20"/>
          <w:spacing w:val="-9"/>
          <w:w w:val="115"/>
          <w:sz w:val="19"/>
        </w:rPr>
        <w:t> </w:t>
      </w:r>
      <w:r>
        <w:rPr>
          <w:rFonts w:ascii="Arial" w:hAnsi="Arial"/>
          <w:color w:val="231F20"/>
          <w:spacing w:val="-2"/>
          <w:w w:val="115"/>
          <w:sz w:val="19"/>
        </w:rPr>
        <w:t>market</w:t>
      </w:r>
      <w:r>
        <w:rPr>
          <w:rFonts w:ascii="Arial" w:hAnsi="Arial"/>
          <w:color w:val="231F20"/>
          <w:spacing w:val="-9"/>
          <w:w w:val="115"/>
          <w:sz w:val="19"/>
        </w:rPr>
        <w:t> </w:t>
      </w:r>
      <w:r>
        <w:rPr>
          <w:rFonts w:ascii="Arial" w:hAnsi="Arial"/>
          <w:color w:val="231F20"/>
          <w:spacing w:val="-2"/>
          <w:w w:val="115"/>
          <w:sz w:val="19"/>
        </w:rPr>
        <w:t>interest</w:t>
      </w:r>
      <w:r>
        <w:rPr>
          <w:rFonts w:ascii="Arial" w:hAnsi="Arial"/>
          <w:color w:val="231F20"/>
          <w:spacing w:val="-9"/>
          <w:w w:val="115"/>
          <w:sz w:val="19"/>
        </w:rPr>
        <w:t> </w:t>
      </w:r>
      <w:r>
        <w:rPr>
          <w:rFonts w:ascii="Arial" w:hAnsi="Arial"/>
          <w:color w:val="231F20"/>
          <w:spacing w:val="-2"/>
          <w:w w:val="115"/>
          <w:sz w:val="19"/>
        </w:rPr>
        <w:t>rates</w:t>
      </w:r>
      <w:r>
        <w:rPr>
          <w:rFonts w:ascii="Arial" w:hAnsi="Arial"/>
          <w:color w:val="231F20"/>
          <w:spacing w:val="-9"/>
          <w:w w:val="115"/>
          <w:sz w:val="19"/>
        </w:rPr>
        <w:t> </w:t>
      </w:r>
      <w:r>
        <w:rPr>
          <w:rFonts w:ascii="Arial" w:hAnsi="Arial"/>
          <w:color w:val="231F20"/>
          <w:spacing w:val="-2"/>
          <w:w w:val="115"/>
          <w:sz w:val="19"/>
        </w:rPr>
        <w:t>go</w:t>
      </w:r>
      <w:r>
        <w:rPr>
          <w:rFonts w:ascii="Arial" w:hAnsi="Arial"/>
          <w:color w:val="231F20"/>
          <w:spacing w:val="-9"/>
          <w:w w:val="115"/>
          <w:sz w:val="19"/>
        </w:rPr>
        <w:t> </w:t>
      </w:r>
      <w:r>
        <w:rPr>
          <w:rFonts w:ascii="Arial" w:hAnsi="Arial"/>
          <w:color w:val="231F20"/>
          <w:spacing w:val="-2"/>
          <w:w w:val="115"/>
          <w:sz w:val="19"/>
        </w:rPr>
        <w:t>up, </w:t>
      </w:r>
      <w:r>
        <w:rPr>
          <w:rFonts w:ascii="Arial" w:hAnsi="Arial"/>
          <w:color w:val="231F20"/>
          <w:w w:val="115"/>
          <w:sz w:val="19"/>
        </w:rPr>
        <w:t>bond values go down, and vice versa.</w:t>
      </w:r>
    </w:p>
    <w:p>
      <w:pPr>
        <w:tabs>
          <w:tab w:pos="5477" w:val="left" w:leader="none"/>
        </w:tabs>
        <w:spacing w:line="226" w:lineRule="exact" w:before="0"/>
        <w:ind w:left="1170" w:right="0" w:firstLine="0"/>
        <w:jc w:val="left"/>
        <w:rPr>
          <w:rFonts w:ascii="Arial" w:hAnsi="Arial"/>
          <w:sz w:val="19"/>
        </w:rPr>
      </w:pPr>
      <w:r>
        <w:rPr/>
        <w:pict>
          <v:rect style="position:absolute;margin-left:282.594543pt;margin-top:6.103615pt;width:4.930940pt;height:.7242pt;mso-position-horizontal-relative:page;mso-position-vertical-relative:paragraph;z-index:-25068032" id="docshape414" filled="true" fillcolor="#231f20" stroked="false">
            <v:fill type="solid"/>
            <w10:wrap type="none"/>
          </v:rect>
        </w:pict>
      </w:r>
      <w:r>
        <w:rPr>
          <w:rFonts w:ascii="Arial" w:hAnsi="Arial"/>
          <w:i/>
          <w:color w:val="231F20"/>
          <w:w w:val="110"/>
          <w:sz w:val="19"/>
        </w:rPr>
        <w:t>The</w:t>
      </w:r>
      <w:r>
        <w:rPr>
          <w:rFonts w:ascii="Arial" w:hAnsi="Arial"/>
          <w:i/>
          <w:color w:val="231F20"/>
          <w:spacing w:val="-6"/>
          <w:w w:val="110"/>
          <w:sz w:val="19"/>
        </w:rPr>
        <w:t> </w:t>
      </w:r>
      <w:r>
        <w:rPr>
          <w:rFonts w:ascii="Arial" w:hAnsi="Arial"/>
          <w:i/>
          <w:color w:val="231F20"/>
          <w:w w:val="110"/>
          <w:sz w:val="19"/>
        </w:rPr>
        <w:t>Dividend</w:t>
      </w:r>
      <w:r>
        <w:rPr>
          <w:rFonts w:ascii="Arial" w:hAnsi="Arial"/>
          <w:i/>
          <w:color w:val="231F20"/>
          <w:spacing w:val="-5"/>
          <w:w w:val="110"/>
          <w:sz w:val="19"/>
        </w:rPr>
        <w:t> </w:t>
      </w:r>
      <w:r>
        <w:rPr>
          <w:rFonts w:ascii="Arial" w:hAnsi="Arial"/>
          <w:i/>
          <w:color w:val="231F20"/>
          <w:w w:val="110"/>
          <w:sz w:val="19"/>
        </w:rPr>
        <w:t>Growth</w:t>
      </w:r>
      <w:r>
        <w:rPr>
          <w:rFonts w:ascii="Arial" w:hAnsi="Arial"/>
          <w:i/>
          <w:color w:val="231F20"/>
          <w:spacing w:val="-4"/>
          <w:w w:val="110"/>
          <w:sz w:val="19"/>
        </w:rPr>
        <w:t> </w:t>
      </w:r>
      <w:r>
        <w:rPr>
          <w:rFonts w:ascii="Arial" w:hAnsi="Arial"/>
          <w:i/>
          <w:color w:val="231F20"/>
          <w:w w:val="110"/>
          <w:sz w:val="19"/>
        </w:rPr>
        <w:t>Model</w:t>
      </w:r>
      <w:r>
        <w:rPr>
          <w:rFonts w:ascii="Arial" w:hAnsi="Arial"/>
          <w:i/>
          <w:color w:val="231F20"/>
          <w:spacing w:val="-40"/>
          <w:w w:val="110"/>
          <w:sz w:val="19"/>
        </w:rPr>
        <w:t> </w:t>
      </w:r>
      <w:r>
        <w:rPr>
          <w:rFonts w:ascii="Arial" w:hAnsi="Arial"/>
          <w:color w:val="231F20"/>
          <w:spacing w:val="11"/>
          <w:w w:val="110"/>
          <w:sz w:val="19"/>
        </w:rPr>
        <w:t>—</w:t>
      </w:r>
      <w:r>
        <w:rPr>
          <w:rFonts w:ascii="Arial" w:hAnsi="Arial"/>
          <w:color w:val="231F20"/>
          <w:w w:val="110"/>
          <w:sz w:val="19"/>
        </w:rPr>
        <w:t>Value</w:t>
      </w:r>
      <w:r>
        <w:rPr>
          <w:rFonts w:ascii="Arial" w:hAnsi="Arial"/>
          <w:color w:val="231F20"/>
          <w:spacing w:val="-4"/>
          <w:w w:val="110"/>
          <w:sz w:val="19"/>
        </w:rPr>
        <w:t> </w:t>
      </w:r>
      <w:r>
        <w:rPr>
          <w:rFonts w:ascii="Symbol" w:hAnsi="Symbol"/>
          <w:color w:val="231F20"/>
          <w:w w:val="110"/>
          <w:sz w:val="21"/>
        </w:rPr>
        <w:t></w:t>
      </w:r>
      <w:r>
        <w:rPr>
          <w:rFonts w:ascii="Times New Roman" w:hAnsi="Times New Roman"/>
          <w:color w:val="231F20"/>
          <w:spacing w:val="-5"/>
          <w:w w:val="110"/>
          <w:sz w:val="21"/>
        </w:rPr>
        <w:t> </w:t>
      </w:r>
      <w:r>
        <w:rPr>
          <w:rFonts w:ascii="Arial" w:hAnsi="Arial"/>
          <w:color w:val="231F20"/>
          <w:spacing w:val="-4"/>
          <w:w w:val="110"/>
          <w:sz w:val="19"/>
        </w:rPr>
        <w:t>D/(K</w:t>
      </w:r>
      <w:r>
        <w:rPr>
          <w:rFonts w:ascii="Arial" w:hAnsi="Arial"/>
          <w:color w:val="231F20"/>
          <w:sz w:val="19"/>
        </w:rPr>
        <w:tab/>
      </w:r>
      <w:r>
        <w:rPr>
          <w:rFonts w:ascii="Arial" w:hAnsi="Arial"/>
          <w:color w:val="231F20"/>
          <w:spacing w:val="-5"/>
          <w:w w:val="115"/>
          <w:sz w:val="19"/>
        </w:rPr>
        <w:t>g)</w:t>
      </w:r>
    </w:p>
    <w:p>
      <w:pPr>
        <w:spacing w:line="328" w:lineRule="auto" w:before="75"/>
        <w:ind w:left="1509" w:right="966" w:hanging="340"/>
        <w:jc w:val="left"/>
        <w:rPr>
          <w:rFonts w:ascii="Arial" w:hAnsi="Arial"/>
          <w:sz w:val="19"/>
        </w:rPr>
      </w:pPr>
      <w:r>
        <w:rPr>
          <w:rFonts w:ascii="Arial" w:hAnsi="Arial"/>
          <w:i/>
          <w:color w:val="231F20"/>
          <w:w w:val="115"/>
          <w:sz w:val="19"/>
        </w:rPr>
        <w:t>Call</w:t>
      </w:r>
      <w:r>
        <w:rPr>
          <w:rFonts w:ascii="Arial" w:hAnsi="Arial"/>
          <w:i/>
          <w:color w:val="231F20"/>
          <w:spacing w:val="-16"/>
          <w:w w:val="115"/>
          <w:sz w:val="19"/>
        </w:rPr>
        <w:t> </w:t>
      </w:r>
      <w:r>
        <w:rPr>
          <w:rFonts w:ascii="Arial" w:hAnsi="Arial"/>
          <w:i/>
          <w:color w:val="231F20"/>
          <w:w w:val="115"/>
          <w:sz w:val="19"/>
        </w:rPr>
        <w:t>Option</w:t>
      </w:r>
      <w:r>
        <w:rPr>
          <w:rFonts w:ascii="Arial" w:hAnsi="Arial"/>
          <w:color w:val="231F20"/>
          <w:w w:val="115"/>
          <w:sz w:val="19"/>
        </w:rPr>
        <w:t>—The</w:t>
      </w:r>
      <w:r>
        <w:rPr>
          <w:rFonts w:ascii="Arial" w:hAnsi="Arial"/>
          <w:color w:val="231F20"/>
          <w:spacing w:val="-15"/>
          <w:w w:val="115"/>
          <w:sz w:val="19"/>
        </w:rPr>
        <w:t> </w:t>
      </w:r>
      <w:r>
        <w:rPr>
          <w:rFonts w:ascii="Arial" w:hAnsi="Arial"/>
          <w:color w:val="231F20"/>
          <w:w w:val="115"/>
          <w:sz w:val="19"/>
        </w:rPr>
        <w:t>right</w:t>
      </w:r>
      <w:r>
        <w:rPr>
          <w:rFonts w:ascii="Arial" w:hAnsi="Arial"/>
          <w:color w:val="231F20"/>
          <w:spacing w:val="-15"/>
          <w:w w:val="115"/>
          <w:sz w:val="19"/>
        </w:rPr>
        <w:t> </w:t>
      </w:r>
      <w:r>
        <w:rPr>
          <w:rFonts w:ascii="Arial" w:hAnsi="Arial"/>
          <w:color w:val="231F20"/>
          <w:w w:val="115"/>
          <w:sz w:val="19"/>
        </w:rPr>
        <w:t>to</w:t>
      </w:r>
      <w:r>
        <w:rPr>
          <w:rFonts w:ascii="Arial" w:hAnsi="Arial"/>
          <w:color w:val="231F20"/>
          <w:spacing w:val="-15"/>
          <w:w w:val="115"/>
          <w:sz w:val="19"/>
        </w:rPr>
        <w:t> </w:t>
      </w:r>
      <w:r>
        <w:rPr>
          <w:rFonts w:ascii="Arial" w:hAnsi="Arial"/>
          <w:color w:val="231F20"/>
          <w:w w:val="115"/>
          <w:sz w:val="19"/>
        </w:rPr>
        <w:t>purchase</w:t>
      </w:r>
      <w:r>
        <w:rPr>
          <w:rFonts w:ascii="Arial" w:hAnsi="Arial"/>
          <w:color w:val="231F20"/>
          <w:spacing w:val="-15"/>
          <w:w w:val="115"/>
          <w:sz w:val="19"/>
        </w:rPr>
        <w:t> </w:t>
      </w:r>
      <w:r>
        <w:rPr>
          <w:rFonts w:ascii="Arial" w:hAnsi="Arial"/>
          <w:color w:val="231F20"/>
          <w:w w:val="115"/>
          <w:sz w:val="19"/>
        </w:rPr>
        <w:t>an</w:t>
      </w:r>
      <w:r>
        <w:rPr>
          <w:rFonts w:ascii="Arial" w:hAnsi="Arial"/>
          <w:color w:val="231F20"/>
          <w:spacing w:val="-16"/>
          <w:w w:val="115"/>
          <w:sz w:val="19"/>
        </w:rPr>
        <w:t> </w:t>
      </w:r>
      <w:r>
        <w:rPr>
          <w:rFonts w:ascii="Arial" w:hAnsi="Arial"/>
          <w:color w:val="231F20"/>
          <w:w w:val="115"/>
          <w:sz w:val="19"/>
        </w:rPr>
        <w:t>asset</w:t>
      </w:r>
      <w:r>
        <w:rPr>
          <w:rFonts w:ascii="Arial" w:hAnsi="Arial"/>
          <w:color w:val="231F20"/>
          <w:spacing w:val="-15"/>
          <w:w w:val="115"/>
          <w:sz w:val="19"/>
        </w:rPr>
        <w:t> </w:t>
      </w:r>
      <w:r>
        <w:rPr>
          <w:rFonts w:ascii="Arial" w:hAnsi="Arial"/>
          <w:color w:val="231F20"/>
          <w:w w:val="115"/>
          <w:sz w:val="19"/>
        </w:rPr>
        <w:t>at</w:t>
      </w:r>
      <w:r>
        <w:rPr>
          <w:rFonts w:ascii="Arial" w:hAnsi="Arial"/>
          <w:color w:val="231F20"/>
          <w:spacing w:val="-15"/>
          <w:w w:val="115"/>
          <w:sz w:val="19"/>
        </w:rPr>
        <w:t> </w:t>
      </w:r>
      <w:r>
        <w:rPr>
          <w:rFonts w:ascii="Arial" w:hAnsi="Arial"/>
          <w:color w:val="231F20"/>
          <w:w w:val="115"/>
          <w:sz w:val="19"/>
        </w:rPr>
        <w:t>a</w:t>
      </w:r>
      <w:r>
        <w:rPr>
          <w:rFonts w:ascii="Arial" w:hAnsi="Arial"/>
          <w:color w:val="231F20"/>
          <w:spacing w:val="-15"/>
          <w:w w:val="115"/>
          <w:sz w:val="19"/>
        </w:rPr>
        <w:t> </w:t>
      </w:r>
      <w:r>
        <w:rPr>
          <w:rFonts w:ascii="Arial" w:hAnsi="Arial"/>
          <w:color w:val="231F20"/>
          <w:w w:val="115"/>
          <w:sz w:val="19"/>
        </w:rPr>
        <w:t>fixed</w:t>
      </w:r>
      <w:r>
        <w:rPr>
          <w:rFonts w:ascii="Arial" w:hAnsi="Arial"/>
          <w:color w:val="231F20"/>
          <w:spacing w:val="-15"/>
          <w:w w:val="115"/>
          <w:sz w:val="19"/>
        </w:rPr>
        <w:t> </w:t>
      </w:r>
      <w:r>
        <w:rPr>
          <w:rFonts w:ascii="Arial" w:hAnsi="Arial"/>
          <w:color w:val="231F20"/>
          <w:w w:val="115"/>
          <w:sz w:val="19"/>
        </w:rPr>
        <w:t>price for a limited amount of time</w:t>
      </w:r>
    </w:p>
    <w:p>
      <w:pPr>
        <w:spacing w:line="328" w:lineRule="auto" w:before="2"/>
        <w:ind w:left="1509" w:right="1045" w:hanging="340"/>
        <w:jc w:val="left"/>
        <w:rPr>
          <w:rFonts w:ascii="Arial" w:hAnsi="Arial"/>
          <w:sz w:val="19"/>
        </w:rPr>
      </w:pPr>
      <w:r>
        <w:rPr>
          <w:rFonts w:ascii="Arial" w:hAnsi="Arial"/>
          <w:i/>
          <w:color w:val="231F20"/>
          <w:w w:val="115"/>
          <w:sz w:val="19"/>
        </w:rPr>
        <w:t>Put</w:t>
      </w:r>
      <w:r>
        <w:rPr>
          <w:rFonts w:ascii="Arial" w:hAnsi="Arial"/>
          <w:i/>
          <w:color w:val="231F20"/>
          <w:spacing w:val="-16"/>
          <w:w w:val="115"/>
          <w:sz w:val="19"/>
        </w:rPr>
        <w:t> </w:t>
      </w:r>
      <w:r>
        <w:rPr>
          <w:rFonts w:ascii="Arial" w:hAnsi="Arial"/>
          <w:i/>
          <w:color w:val="231F20"/>
          <w:w w:val="115"/>
          <w:sz w:val="19"/>
        </w:rPr>
        <w:t>Option</w:t>
      </w:r>
      <w:r>
        <w:rPr>
          <w:rFonts w:ascii="Arial" w:hAnsi="Arial"/>
          <w:i/>
          <w:color w:val="231F20"/>
          <w:spacing w:val="-42"/>
          <w:w w:val="115"/>
          <w:sz w:val="19"/>
        </w:rPr>
        <w:t> </w:t>
      </w:r>
      <w:r>
        <w:rPr>
          <w:rFonts w:ascii="Arial" w:hAnsi="Arial"/>
          <w:color w:val="231F20"/>
          <w:w w:val="115"/>
          <w:sz w:val="19"/>
        </w:rPr>
        <w:t>—The</w:t>
      </w:r>
      <w:r>
        <w:rPr>
          <w:rFonts w:ascii="Arial" w:hAnsi="Arial"/>
          <w:color w:val="231F20"/>
          <w:spacing w:val="-14"/>
          <w:w w:val="115"/>
          <w:sz w:val="19"/>
        </w:rPr>
        <w:t> </w:t>
      </w:r>
      <w:r>
        <w:rPr>
          <w:rFonts w:ascii="Arial" w:hAnsi="Arial"/>
          <w:color w:val="231F20"/>
          <w:w w:val="115"/>
          <w:sz w:val="19"/>
        </w:rPr>
        <w:t>right</w:t>
      </w:r>
      <w:r>
        <w:rPr>
          <w:rFonts w:ascii="Arial" w:hAnsi="Arial"/>
          <w:color w:val="231F20"/>
          <w:spacing w:val="-13"/>
          <w:w w:val="115"/>
          <w:sz w:val="19"/>
        </w:rPr>
        <w:t> </w:t>
      </w:r>
      <w:r>
        <w:rPr>
          <w:rFonts w:ascii="Arial" w:hAnsi="Arial"/>
          <w:color w:val="231F20"/>
          <w:w w:val="115"/>
          <w:sz w:val="19"/>
        </w:rPr>
        <w:t>to</w:t>
      </w:r>
      <w:r>
        <w:rPr>
          <w:rFonts w:ascii="Arial" w:hAnsi="Arial"/>
          <w:color w:val="231F20"/>
          <w:spacing w:val="-14"/>
          <w:w w:val="115"/>
          <w:sz w:val="19"/>
        </w:rPr>
        <w:t> </w:t>
      </w:r>
      <w:r>
        <w:rPr>
          <w:rFonts w:ascii="Arial" w:hAnsi="Arial"/>
          <w:color w:val="231F20"/>
          <w:w w:val="115"/>
          <w:sz w:val="19"/>
        </w:rPr>
        <w:t>sell</w:t>
      </w:r>
      <w:r>
        <w:rPr>
          <w:rFonts w:ascii="Arial" w:hAnsi="Arial"/>
          <w:color w:val="231F20"/>
          <w:spacing w:val="-14"/>
          <w:w w:val="115"/>
          <w:sz w:val="19"/>
        </w:rPr>
        <w:t> </w:t>
      </w:r>
      <w:r>
        <w:rPr>
          <w:rFonts w:ascii="Arial" w:hAnsi="Arial"/>
          <w:color w:val="231F20"/>
          <w:w w:val="115"/>
          <w:sz w:val="19"/>
        </w:rPr>
        <w:t>an</w:t>
      </w:r>
      <w:r>
        <w:rPr>
          <w:rFonts w:ascii="Arial" w:hAnsi="Arial"/>
          <w:color w:val="231F20"/>
          <w:spacing w:val="-14"/>
          <w:w w:val="115"/>
          <w:sz w:val="19"/>
        </w:rPr>
        <w:t> </w:t>
      </w:r>
      <w:r>
        <w:rPr>
          <w:rFonts w:ascii="Arial" w:hAnsi="Arial"/>
          <w:color w:val="231F20"/>
          <w:w w:val="115"/>
          <w:sz w:val="19"/>
        </w:rPr>
        <w:t>asset</w:t>
      </w:r>
      <w:r>
        <w:rPr>
          <w:rFonts w:ascii="Arial" w:hAnsi="Arial"/>
          <w:color w:val="231F20"/>
          <w:spacing w:val="-14"/>
          <w:w w:val="115"/>
          <w:sz w:val="19"/>
        </w:rPr>
        <w:t> </w:t>
      </w:r>
      <w:r>
        <w:rPr>
          <w:rFonts w:ascii="Arial" w:hAnsi="Arial"/>
          <w:color w:val="231F20"/>
          <w:w w:val="115"/>
          <w:sz w:val="19"/>
        </w:rPr>
        <w:t>at</w:t>
      </w:r>
      <w:r>
        <w:rPr>
          <w:rFonts w:ascii="Arial" w:hAnsi="Arial"/>
          <w:color w:val="231F20"/>
          <w:spacing w:val="-14"/>
          <w:w w:val="115"/>
          <w:sz w:val="19"/>
        </w:rPr>
        <w:t> </w:t>
      </w:r>
      <w:r>
        <w:rPr>
          <w:rFonts w:ascii="Arial" w:hAnsi="Arial"/>
          <w:color w:val="231F20"/>
          <w:w w:val="115"/>
          <w:sz w:val="19"/>
        </w:rPr>
        <w:t>a</w:t>
      </w:r>
      <w:r>
        <w:rPr>
          <w:rFonts w:ascii="Arial" w:hAnsi="Arial"/>
          <w:color w:val="231F20"/>
          <w:spacing w:val="-14"/>
          <w:w w:val="115"/>
          <w:sz w:val="19"/>
        </w:rPr>
        <w:t> </w:t>
      </w:r>
      <w:r>
        <w:rPr>
          <w:rFonts w:ascii="Arial" w:hAnsi="Arial"/>
          <w:color w:val="231F20"/>
          <w:w w:val="115"/>
          <w:sz w:val="19"/>
        </w:rPr>
        <w:t>fixed</w:t>
      </w:r>
      <w:r>
        <w:rPr>
          <w:rFonts w:ascii="Arial" w:hAnsi="Arial"/>
          <w:color w:val="231F20"/>
          <w:spacing w:val="-14"/>
          <w:w w:val="115"/>
          <w:sz w:val="19"/>
        </w:rPr>
        <w:t> </w:t>
      </w:r>
      <w:r>
        <w:rPr>
          <w:rFonts w:ascii="Arial" w:hAnsi="Arial"/>
          <w:color w:val="231F20"/>
          <w:w w:val="115"/>
          <w:sz w:val="19"/>
        </w:rPr>
        <w:t>price</w:t>
      </w:r>
      <w:r>
        <w:rPr>
          <w:rFonts w:ascii="Arial" w:hAnsi="Arial"/>
          <w:color w:val="231F20"/>
          <w:spacing w:val="-14"/>
          <w:w w:val="115"/>
          <w:sz w:val="19"/>
        </w:rPr>
        <w:t> </w:t>
      </w:r>
      <w:r>
        <w:rPr>
          <w:rFonts w:ascii="Arial" w:hAnsi="Arial"/>
          <w:color w:val="231F20"/>
          <w:w w:val="115"/>
          <w:sz w:val="19"/>
        </w:rPr>
        <w:t>for</w:t>
      </w:r>
      <w:r>
        <w:rPr>
          <w:rFonts w:ascii="Arial" w:hAnsi="Arial"/>
          <w:color w:val="231F20"/>
          <w:spacing w:val="-14"/>
          <w:w w:val="115"/>
          <w:sz w:val="19"/>
        </w:rPr>
        <w:t> </w:t>
      </w:r>
      <w:r>
        <w:rPr>
          <w:rFonts w:ascii="Arial" w:hAnsi="Arial"/>
          <w:color w:val="231F20"/>
          <w:w w:val="115"/>
          <w:sz w:val="19"/>
        </w:rPr>
        <w:t>a limited amount of time</w:t>
      </w:r>
    </w:p>
    <w:p>
      <w:pPr>
        <w:spacing w:line="226" w:lineRule="exact" w:before="0"/>
        <w:ind w:left="1169" w:right="0" w:firstLine="0"/>
        <w:jc w:val="left"/>
        <w:rPr>
          <w:rFonts w:ascii="Arial" w:hAnsi="Arial"/>
          <w:sz w:val="19"/>
        </w:rPr>
      </w:pPr>
      <w:r>
        <w:rPr>
          <w:rFonts w:ascii="Arial" w:hAnsi="Arial"/>
          <w:i/>
          <w:color w:val="231F20"/>
          <w:w w:val="110"/>
          <w:sz w:val="19"/>
        </w:rPr>
        <w:t>The</w:t>
      </w:r>
      <w:r>
        <w:rPr>
          <w:rFonts w:ascii="Arial" w:hAnsi="Arial"/>
          <w:i/>
          <w:color w:val="231F20"/>
          <w:spacing w:val="1"/>
          <w:w w:val="110"/>
          <w:sz w:val="19"/>
        </w:rPr>
        <w:t> </w:t>
      </w:r>
      <w:r>
        <w:rPr>
          <w:rFonts w:ascii="Arial" w:hAnsi="Arial"/>
          <w:i/>
          <w:color w:val="231F20"/>
          <w:w w:val="110"/>
          <w:sz w:val="19"/>
        </w:rPr>
        <w:t>After-Tax</w:t>
      </w:r>
      <w:r>
        <w:rPr>
          <w:rFonts w:ascii="Arial" w:hAnsi="Arial"/>
          <w:i/>
          <w:color w:val="231F20"/>
          <w:spacing w:val="2"/>
          <w:w w:val="110"/>
          <w:sz w:val="19"/>
        </w:rPr>
        <w:t> </w:t>
      </w:r>
      <w:r>
        <w:rPr>
          <w:rFonts w:ascii="Arial" w:hAnsi="Arial"/>
          <w:i/>
          <w:color w:val="231F20"/>
          <w:w w:val="110"/>
          <w:sz w:val="19"/>
        </w:rPr>
        <w:t>Cost</w:t>
      </w:r>
      <w:r>
        <w:rPr>
          <w:rFonts w:ascii="Arial" w:hAnsi="Arial"/>
          <w:i/>
          <w:color w:val="231F20"/>
          <w:spacing w:val="2"/>
          <w:w w:val="110"/>
          <w:sz w:val="19"/>
        </w:rPr>
        <w:t> </w:t>
      </w:r>
      <w:r>
        <w:rPr>
          <w:rFonts w:ascii="Arial" w:hAnsi="Arial"/>
          <w:i/>
          <w:color w:val="231F20"/>
          <w:w w:val="110"/>
          <w:sz w:val="19"/>
        </w:rPr>
        <w:t>of</w:t>
      </w:r>
      <w:r>
        <w:rPr>
          <w:rFonts w:ascii="Arial" w:hAnsi="Arial"/>
          <w:i/>
          <w:color w:val="231F20"/>
          <w:spacing w:val="2"/>
          <w:w w:val="110"/>
          <w:sz w:val="19"/>
        </w:rPr>
        <w:t> </w:t>
      </w:r>
      <w:r>
        <w:rPr>
          <w:rFonts w:ascii="Arial" w:hAnsi="Arial"/>
          <w:i/>
          <w:color w:val="231F20"/>
          <w:w w:val="110"/>
          <w:sz w:val="19"/>
        </w:rPr>
        <w:t>Borrowing</w:t>
      </w:r>
      <w:r>
        <w:rPr>
          <w:rFonts w:ascii="Arial" w:hAnsi="Arial"/>
          <w:color w:val="231F20"/>
          <w:w w:val="110"/>
          <w:sz w:val="19"/>
        </w:rPr>
        <w:t>—After-Tax</w:t>
      </w:r>
      <w:r>
        <w:rPr>
          <w:rFonts w:ascii="Arial" w:hAnsi="Arial"/>
          <w:color w:val="231F20"/>
          <w:spacing w:val="2"/>
          <w:w w:val="110"/>
          <w:sz w:val="19"/>
        </w:rPr>
        <w:t> </w:t>
      </w:r>
      <w:r>
        <w:rPr>
          <w:rFonts w:ascii="Arial" w:hAnsi="Arial"/>
          <w:color w:val="231F20"/>
          <w:w w:val="110"/>
          <w:sz w:val="19"/>
        </w:rPr>
        <w:t>Rate</w:t>
      </w:r>
      <w:r>
        <w:rPr>
          <w:rFonts w:ascii="Arial" w:hAnsi="Arial"/>
          <w:color w:val="231F20"/>
          <w:spacing w:val="1"/>
          <w:w w:val="110"/>
          <w:sz w:val="19"/>
        </w:rPr>
        <w:t> </w:t>
      </w:r>
      <w:r>
        <w:rPr>
          <w:rFonts w:ascii="Symbol" w:hAnsi="Symbol"/>
          <w:color w:val="231F20"/>
          <w:w w:val="110"/>
          <w:sz w:val="21"/>
        </w:rPr>
        <w:t></w:t>
      </w:r>
      <w:r>
        <w:rPr>
          <w:rFonts w:ascii="Times New Roman" w:hAnsi="Times New Roman"/>
          <w:color w:val="231F20"/>
          <w:spacing w:val="2"/>
          <w:w w:val="110"/>
          <w:sz w:val="21"/>
        </w:rPr>
        <w:t> </w:t>
      </w:r>
      <w:r>
        <w:rPr>
          <w:rFonts w:ascii="Arial" w:hAnsi="Arial"/>
          <w:color w:val="231F20"/>
          <w:spacing w:val="-2"/>
          <w:w w:val="110"/>
          <w:sz w:val="19"/>
        </w:rPr>
        <w:t>Borrowing</w:t>
      </w:r>
    </w:p>
    <w:p>
      <w:pPr>
        <w:tabs>
          <w:tab w:pos="2559" w:val="left" w:leader="none"/>
        </w:tabs>
        <w:spacing w:before="42"/>
        <w:ind w:left="1509" w:right="0" w:firstLine="0"/>
        <w:jc w:val="left"/>
        <w:rPr>
          <w:rFonts w:ascii="Arial" w:hAnsi="Arial"/>
          <w:sz w:val="19"/>
        </w:rPr>
      </w:pPr>
      <w:r>
        <w:rPr/>
        <w:pict>
          <v:rect style="position:absolute;margin-left:136.682541pt;margin-top:9.780958pt;width:4.930940pt;height:.7242pt;mso-position-horizontal-relative:page;mso-position-vertical-relative:paragraph;z-index:-25067520" id="docshape415" filled="true" fillcolor="#231f20" stroked="false">
            <v:fill type="solid"/>
            <w10:wrap type="none"/>
          </v:rect>
        </w:pict>
      </w:r>
      <w:r>
        <w:rPr>
          <w:rFonts w:ascii="Arial" w:hAnsi="Arial"/>
          <w:color w:val="231F20"/>
          <w:w w:val="110"/>
          <w:sz w:val="19"/>
        </w:rPr>
        <w:t>Rate</w:t>
      </w:r>
      <w:r>
        <w:rPr>
          <w:rFonts w:ascii="Arial" w:hAnsi="Arial"/>
          <w:color w:val="231F20"/>
          <w:spacing w:val="-12"/>
          <w:w w:val="110"/>
          <w:sz w:val="19"/>
        </w:rPr>
        <w:t> </w:t>
      </w:r>
      <w:r>
        <w:rPr>
          <w:rFonts w:ascii="Symbol" w:hAnsi="Symbol"/>
          <w:color w:val="231F20"/>
          <w:w w:val="110"/>
          <w:sz w:val="21"/>
        </w:rPr>
        <w:t></w:t>
      </w:r>
      <w:r>
        <w:rPr>
          <w:rFonts w:ascii="Times New Roman" w:hAnsi="Times New Roman"/>
          <w:color w:val="231F20"/>
          <w:spacing w:val="-10"/>
          <w:w w:val="110"/>
          <w:sz w:val="21"/>
        </w:rPr>
        <w:t> </w:t>
      </w:r>
      <w:r>
        <w:rPr>
          <w:rFonts w:ascii="Arial" w:hAnsi="Arial"/>
          <w:color w:val="231F20"/>
          <w:spacing w:val="-5"/>
          <w:w w:val="110"/>
          <w:sz w:val="19"/>
        </w:rPr>
        <w:t>(1</w:t>
      </w:r>
      <w:r>
        <w:rPr>
          <w:rFonts w:ascii="Arial" w:hAnsi="Arial"/>
          <w:color w:val="231F20"/>
          <w:sz w:val="19"/>
        </w:rPr>
        <w:tab/>
      </w:r>
      <w:r>
        <w:rPr>
          <w:rFonts w:ascii="Arial" w:hAnsi="Arial"/>
          <w:color w:val="231F20"/>
          <w:w w:val="110"/>
          <w:sz w:val="19"/>
        </w:rPr>
        <w:t>tax</w:t>
      </w:r>
      <w:r>
        <w:rPr>
          <w:rFonts w:ascii="Arial" w:hAnsi="Arial"/>
          <w:color w:val="231F20"/>
          <w:spacing w:val="17"/>
          <w:w w:val="110"/>
          <w:sz w:val="19"/>
        </w:rPr>
        <w:t> </w:t>
      </w:r>
      <w:r>
        <w:rPr>
          <w:rFonts w:ascii="Arial" w:hAnsi="Arial"/>
          <w:color w:val="231F20"/>
          <w:spacing w:val="-4"/>
          <w:w w:val="110"/>
          <w:sz w:val="19"/>
        </w:rPr>
        <w:t>rate)</w:t>
      </w:r>
    </w:p>
    <w:p>
      <w:pPr>
        <w:spacing w:line="328" w:lineRule="auto" w:before="76"/>
        <w:ind w:left="835" w:right="884" w:firstLine="0"/>
        <w:jc w:val="right"/>
        <w:rPr>
          <w:rFonts w:ascii="Arial" w:hAnsi="Arial"/>
          <w:sz w:val="19"/>
        </w:rPr>
      </w:pPr>
      <w:r>
        <w:rPr>
          <w:rFonts w:ascii="Arial" w:hAnsi="Arial"/>
          <w:i/>
          <w:color w:val="231F20"/>
          <w:w w:val="115"/>
          <w:sz w:val="19"/>
        </w:rPr>
        <w:t>Capital</w:t>
      </w:r>
      <w:r>
        <w:rPr>
          <w:rFonts w:ascii="Arial" w:hAnsi="Arial"/>
          <w:i/>
          <w:color w:val="231F20"/>
          <w:spacing w:val="-11"/>
          <w:w w:val="115"/>
          <w:sz w:val="19"/>
        </w:rPr>
        <w:t> </w:t>
      </w:r>
      <w:r>
        <w:rPr>
          <w:rFonts w:ascii="Arial" w:hAnsi="Arial"/>
          <w:i/>
          <w:color w:val="231F20"/>
          <w:w w:val="115"/>
          <w:sz w:val="19"/>
        </w:rPr>
        <w:t>Structure</w:t>
      </w:r>
      <w:r>
        <w:rPr>
          <w:rFonts w:ascii="Arial" w:hAnsi="Arial"/>
          <w:color w:val="231F20"/>
          <w:w w:val="115"/>
          <w:sz w:val="19"/>
        </w:rPr>
        <w:t>—The</w:t>
      </w:r>
      <w:r>
        <w:rPr>
          <w:rFonts w:ascii="Arial" w:hAnsi="Arial"/>
          <w:color w:val="231F20"/>
          <w:spacing w:val="-10"/>
          <w:w w:val="115"/>
          <w:sz w:val="19"/>
        </w:rPr>
        <w:t> </w:t>
      </w:r>
      <w:r>
        <w:rPr>
          <w:rFonts w:ascii="Arial" w:hAnsi="Arial"/>
          <w:color w:val="231F20"/>
          <w:w w:val="115"/>
          <w:sz w:val="19"/>
        </w:rPr>
        <w:t>mix</w:t>
      </w:r>
      <w:r>
        <w:rPr>
          <w:rFonts w:ascii="Arial" w:hAnsi="Arial"/>
          <w:color w:val="231F20"/>
          <w:spacing w:val="-10"/>
          <w:w w:val="115"/>
          <w:sz w:val="19"/>
        </w:rPr>
        <w:t> </w:t>
      </w:r>
      <w:r>
        <w:rPr>
          <w:rFonts w:ascii="Arial" w:hAnsi="Arial"/>
          <w:color w:val="231F20"/>
          <w:w w:val="115"/>
          <w:sz w:val="19"/>
        </w:rPr>
        <w:t>of</w:t>
      </w:r>
      <w:r>
        <w:rPr>
          <w:rFonts w:ascii="Arial" w:hAnsi="Arial"/>
          <w:color w:val="231F20"/>
          <w:spacing w:val="-10"/>
          <w:w w:val="115"/>
          <w:sz w:val="19"/>
        </w:rPr>
        <w:t> </w:t>
      </w:r>
      <w:r>
        <w:rPr>
          <w:rFonts w:ascii="Arial" w:hAnsi="Arial"/>
          <w:color w:val="231F20"/>
          <w:w w:val="115"/>
          <w:sz w:val="19"/>
        </w:rPr>
        <w:t>debt</w:t>
      </w:r>
      <w:r>
        <w:rPr>
          <w:rFonts w:ascii="Arial" w:hAnsi="Arial"/>
          <w:color w:val="231F20"/>
          <w:spacing w:val="-10"/>
          <w:w w:val="115"/>
          <w:sz w:val="19"/>
        </w:rPr>
        <w:t> </w:t>
      </w:r>
      <w:r>
        <w:rPr>
          <w:rFonts w:ascii="Arial" w:hAnsi="Arial"/>
          <w:color w:val="231F20"/>
          <w:w w:val="115"/>
          <w:sz w:val="19"/>
        </w:rPr>
        <w:t>and</w:t>
      </w:r>
      <w:r>
        <w:rPr>
          <w:rFonts w:ascii="Arial" w:hAnsi="Arial"/>
          <w:color w:val="231F20"/>
          <w:spacing w:val="-10"/>
          <w:w w:val="115"/>
          <w:sz w:val="19"/>
        </w:rPr>
        <w:t> </w:t>
      </w:r>
      <w:r>
        <w:rPr>
          <w:rFonts w:ascii="Arial" w:hAnsi="Arial"/>
          <w:color w:val="231F20"/>
          <w:w w:val="115"/>
          <w:sz w:val="19"/>
        </w:rPr>
        <w:t>equity</w:t>
      </w:r>
      <w:r>
        <w:rPr>
          <w:rFonts w:ascii="Arial" w:hAnsi="Arial"/>
          <w:color w:val="231F20"/>
          <w:spacing w:val="-10"/>
          <w:w w:val="115"/>
          <w:sz w:val="19"/>
        </w:rPr>
        <w:t> </w:t>
      </w:r>
      <w:r>
        <w:rPr>
          <w:rFonts w:ascii="Arial" w:hAnsi="Arial"/>
          <w:color w:val="231F20"/>
          <w:w w:val="115"/>
          <w:sz w:val="19"/>
        </w:rPr>
        <w:t>of</w:t>
      </w:r>
      <w:r>
        <w:rPr>
          <w:rFonts w:ascii="Arial" w:hAnsi="Arial"/>
          <w:color w:val="231F20"/>
          <w:spacing w:val="-10"/>
          <w:w w:val="115"/>
          <w:sz w:val="19"/>
        </w:rPr>
        <w:t> </w:t>
      </w:r>
      <w:r>
        <w:rPr>
          <w:rFonts w:ascii="Arial" w:hAnsi="Arial"/>
          <w:color w:val="231F20"/>
          <w:w w:val="115"/>
          <w:sz w:val="19"/>
        </w:rPr>
        <w:t>a</w:t>
      </w:r>
      <w:r>
        <w:rPr>
          <w:rFonts w:ascii="Arial" w:hAnsi="Arial"/>
          <w:color w:val="231F20"/>
          <w:spacing w:val="-10"/>
          <w:w w:val="115"/>
          <w:sz w:val="19"/>
        </w:rPr>
        <w:t> </w:t>
      </w:r>
      <w:r>
        <w:rPr>
          <w:rFonts w:ascii="Arial" w:hAnsi="Arial"/>
          <w:color w:val="231F20"/>
          <w:w w:val="115"/>
          <w:sz w:val="19"/>
        </w:rPr>
        <w:t>company </w:t>
      </w:r>
      <w:r>
        <w:rPr>
          <w:rFonts w:ascii="Arial" w:hAnsi="Arial"/>
          <w:i/>
          <w:color w:val="231F20"/>
          <w:w w:val="110"/>
          <w:sz w:val="19"/>
        </w:rPr>
        <w:t>FRICTO</w:t>
      </w:r>
      <w:r>
        <w:rPr>
          <w:rFonts w:ascii="Arial" w:hAnsi="Arial"/>
          <w:i/>
          <w:color w:val="231F20"/>
          <w:spacing w:val="-40"/>
          <w:w w:val="110"/>
          <w:sz w:val="19"/>
        </w:rPr>
        <w:t> </w:t>
      </w:r>
      <w:r>
        <w:rPr>
          <w:rFonts w:ascii="Arial" w:hAnsi="Arial"/>
          <w:color w:val="231F20"/>
          <w:w w:val="110"/>
          <w:sz w:val="19"/>
        </w:rPr>
        <w:t>—</w:t>
      </w:r>
      <w:r>
        <w:rPr>
          <w:rFonts w:ascii="Arial" w:hAnsi="Arial"/>
          <w:color w:val="231F20"/>
          <w:spacing w:val="-39"/>
          <w:w w:val="110"/>
          <w:sz w:val="19"/>
        </w:rPr>
        <w:t> </w:t>
      </w:r>
      <w:r>
        <w:rPr>
          <w:rFonts w:ascii="Arial" w:hAnsi="Arial"/>
          <w:color w:val="231F20"/>
          <w:w w:val="110"/>
          <w:sz w:val="19"/>
        </w:rPr>
        <w:t>Flexibility,</w:t>
      </w:r>
      <w:r>
        <w:rPr>
          <w:rFonts w:ascii="Arial" w:hAnsi="Arial"/>
          <w:color w:val="231F20"/>
          <w:spacing w:val="-15"/>
          <w:w w:val="110"/>
          <w:sz w:val="19"/>
        </w:rPr>
        <w:t> </w:t>
      </w:r>
      <w:r>
        <w:rPr>
          <w:rFonts w:ascii="Arial" w:hAnsi="Arial"/>
          <w:color w:val="231F20"/>
          <w:w w:val="110"/>
          <w:sz w:val="19"/>
        </w:rPr>
        <w:t>Risk,</w:t>
      </w:r>
      <w:r>
        <w:rPr>
          <w:rFonts w:ascii="Arial" w:hAnsi="Arial"/>
          <w:color w:val="231F20"/>
          <w:spacing w:val="-14"/>
          <w:w w:val="110"/>
          <w:sz w:val="19"/>
        </w:rPr>
        <w:t> </w:t>
      </w:r>
      <w:r>
        <w:rPr>
          <w:rFonts w:ascii="Arial" w:hAnsi="Arial"/>
          <w:color w:val="231F20"/>
          <w:w w:val="110"/>
          <w:sz w:val="19"/>
        </w:rPr>
        <w:t>Income,</w:t>
      </w:r>
      <w:r>
        <w:rPr>
          <w:rFonts w:ascii="Arial" w:hAnsi="Arial"/>
          <w:color w:val="231F20"/>
          <w:spacing w:val="-15"/>
          <w:w w:val="110"/>
          <w:sz w:val="19"/>
        </w:rPr>
        <w:t> </w:t>
      </w:r>
      <w:r>
        <w:rPr>
          <w:rFonts w:ascii="Arial" w:hAnsi="Arial"/>
          <w:color w:val="231F20"/>
          <w:w w:val="110"/>
          <w:sz w:val="19"/>
        </w:rPr>
        <w:t>Control,</w:t>
      </w:r>
      <w:r>
        <w:rPr>
          <w:rFonts w:ascii="Arial" w:hAnsi="Arial"/>
          <w:color w:val="231F20"/>
          <w:spacing w:val="-12"/>
          <w:w w:val="110"/>
          <w:sz w:val="19"/>
        </w:rPr>
        <w:t> </w:t>
      </w:r>
      <w:r>
        <w:rPr>
          <w:rFonts w:ascii="Arial" w:hAnsi="Arial"/>
          <w:color w:val="231F20"/>
          <w:w w:val="110"/>
          <w:sz w:val="19"/>
        </w:rPr>
        <w:t>Timing,</w:t>
      </w:r>
      <w:r>
        <w:rPr>
          <w:rFonts w:ascii="Arial" w:hAnsi="Arial"/>
          <w:color w:val="231F20"/>
          <w:spacing w:val="-13"/>
          <w:w w:val="110"/>
          <w:sz w:val="19"/>
        </w:rPr>
        <w:t> </w:t>
      </w:r>
      <w:r>
        <w:rPr>
          <w:rFonts w:ascii="Arial" w:hAnsi="Arial"/>
          <w:color w:val="231F20"/>
          <w:w w:val="110"/>
          <w:sz w:val="19"/>
        </w:rPr>
        <w:t>and</w:t>
      </w:r>
      <w:r>
        <w:rPr>
          <w:rFonts w:ascii="Arial" w:hAnsi="Arial"/>
          <w:color w:val="231F20"/>
          <w:spacing w:val="-13"/>
          <w:w w:val="110"/>
          <w:sz w:val="19"/>
        </w:rPr>
        <w:t> </w:t>
      </w:r>
      <w:r>
        <w:rPr>
          <w:rFonts w:ascii="Arial" w:hAnsi="Arial"/>
          <w:color w:val="231F20"/>
          <w:w w:val="110"/>
          <w:sz w:val="19"/>
        </w:rPr>
        <w:t>Other </w:t>
      </w:r>
      <w:r>
        <w:rPr>
          <w:rFonts w:ascii="Arial" w:hAnsi="Arial"/>
          <w:color w:val="231F20"/>
          <w:w w:val="115"/>
          <w:sz w:val="19"/>
        </w:rPr>
        <w:t>matters, the checklist to be considered in making capital</w:t>
      </w:r>
    </w:p>
    <w:p>
      <w:pPr>
        <w:spacing w:before="2"/>
        <w:ind w:left="1510" w:right="0" w:firstLine="0"/>
        <w:jc w:val="left"/>
        <w:rPr>
          <w:rFonts w:ascii="Arial"/>
          <w:sz w:val="19"/>
        </w:rPr>
      </w:pPr>
      <w:r>
        <w:rPr>
          <w:rFonts w:ascii="Arial"/>
          <w:color w:val="231F20"/>
          <w:w w:val="115"/>
          <w:sz w:val="19"/>
        </w:rPr>
        <w:t>structure</w:t>
      </w:r>
      <w:r>
        <w:rPr>
          <w:rFonts w:ascii="Arial"/>
          <w:color w:val="231F20"/>
          <w:spacing w:val="-2"/>
          <w:w w:val="115"/>
          <w:sz w:val="19"/>
        </w:rPr>
        <w:t> decisions</w:t>
      </w:r>
    </w:p>
    <w:p>
      <w:pPr>
        <w:spacing w:line="328" w:lineRule="auto" w:before="82"/>
        <w:ind w:left="1510" w:right="827" w:hanging="340"/>
        <w:jc w:val="left"/>
        <w:rPr>
          <w:rFonts w:ascii="Arial" w:hAnsi="Arial"/>
          <w:sz w:val="19"/>
        </w:rPr>
      </w:pPr>
      <w:r>
        <w:rPr>
          <w:rFonts w:ascii="Arial" w:hAnsi="Arial"/>
          <w:i/>
          <w:color w:val="231F20"/>
          <w:w w:val="110"/>
          <w:sz w:val="19"/>
        </w:rPr>
        <w:t>The Optimal Capital Structure</w:t>
      </w:r>
      <w:r>
        <w:rPr>
          <w:rFonts w:ascii="Arial" w:hAnsi="Arial"/>
          <w:i/>
          <w:color w:val="231F20"/>
          <w:spacing w:val="-28"/>
          <w:w w:val="110"/>
          <w:sz w:val="19"/>
        </w:rPr>
        <w:t> </w:t>
      </w:r>
      <w:r>
        <w:rPr>
          <w:rFonts w:ascii="Arial" w:hAnsi="Arial"/>
          <w:color w:val="231F20"/>
          <w:w w:val="110"/>
          <w:sz w:val="19"/>
        </w:rPr>
        <w:t>—</w:t>
      </w:r>
      <w:r>
        <w:rPr>
          <w:rFonts w:ascii="Arial" w:hAnsi="Arial"/>
          <w:color w:val="231F20"/>
          <w:spacing w:val="-28"/>
          <w:w w:val="110"/>
          <w:sz w:val="19"/>
        </w:rPr>
        <w:t> </w:t>
      </w:r>
      <w:r>
        <w:rPr>
          <w:rFonts w:ascii="Arial" w:hAnsi="Arial"/>
          <w:color w:val="231F20"/>
          <w:w w:val="110"/>
          <w:sz w:val="19"/>
        </w:rPr>
        <w:t>One that minimizes the weighted average cost of capital and maximizes the </w:t>
      </w:r>
      <w:r>
        <w:rPr>
          <w:rFonts w:ascii="Arial" w:hAnsi="Arial"/>
          <w:color w:val="231F20"/>
          <w:w w:val="110"/>
          <w:sz w:val="19"/>
        </w:rPr>
        <w:t>value of the firm</w:t>
      </w:r>
    </w:p>
    <w:p>
      <w:pPr>
        <w:spacing w:before="2"/>
        <w:ind w:left="1170" w:right="0" w:firstLine="0"/>
        <w:jc w:val="left"/>
        <w:rPr>
          <w:rFonts w:ascii="Arial" w:hAnsi="Arial"/>
          <w:sz w:val="19"/>
        </w:rPr>
      </w:pPr>
      <w:r>
        <w:rPr>
          <w:rFonts w:ascii="Arial" w:hAnsi="Arial"/>
          <w:i/>
          <w:color w:val="231F20"/>
          <w:w w:val="110"/>
          <w:sz w:val="19"/>
        </w:rPr>
        <w:t>Enterprise</w:t>
      </w:r>
      <w:r>
        <w:rPr>
          <w:rFonts w:ascii="Arial" w:hAnsi="Arial"/>
          <w:i/>
          <w:color w:val="231F20"/>
          <w:spacing w:val="2"/>
          <w:w w:val="110"/>
          <w:sz w:val="19"/>
        </w:rPr>
        <w:t> </w:t>
      </w:r>
      <w:r>
        <w:rPr>
          <w:rFonts w:ascii="Arial" w:hAnsi="Arial"/>
          <w:i/>
          <w:color w:val="231F20"/>
          <w:w w:val="110"/>
          <w:sz w:val="19"/>
        </w:rPr>
        <w:t>Value</w:t>
      </w:r>
      <w:r>
        <w:rPr>
          <w:rFonts w:ascii="Arial" w:hAnsi="Arial"/>
          <w:i/>
          <w:color w:val="231F20"/>
          <w:spacing w:val="3"/>
          <w:w w:val="110"/>
          <w:sz w:val="19"/>
        </w:rPr>
        <w:t> </w:t>
      </w:r>
      <w:r>
        <w:rPr>
          <w:rFonts w:ascii="Arial" w:hAnsi="Arial"/>
          <w:i/>
          <w:color w:val="231F20"/>
          <w:w w:val="110"/>
          <w:sz w:val="19"/>
        </w:rPr>
        <w:t>(EV)</w:t>
      </w:r>
      <w:r>
        <w:rPr>
          <w:rFonts w:ascii="Arial" w:hAnsi="Arial"/>
          <w:i/>
          <w:color w:val="231F20"/>
          <w:spacing w:val="-40"/>
          <w:w w:val="110"/>
          <w:sz w:val="19"/>
        </w:rPr>
        <w:t> </w:t>
      </w:r>
      <w:r>
        <w:rPr>
          <w:rFonts w:ascii="Arial" w:hAnsi="Arial"/>
          <w:color w:val="231F20"/>
          <w:w w:val="110"/>
          <w:sz w:val="19"/>
        </w:rPr>
        <w:t>—The</w:t>
      </w:r>
      <w:r>
        <w:rPr>
          <w:rFonts w:ascii="Arial" w:hAnsi="Arial"/>
          <w:color w:val="231F20"/>
          <w:spacing w:val="3"/>
          <w:w w:val="110"/>
          <w:sz w:val="19"/>
        </w:rPr>
        <w:t> </w:t>
      </w:r>
      <w:r>
        <w:rPr>
          <w:rFonts w:ascii="Arial" w:hAnsi="Arial"/>
          <w:color w:val="231F20"/>
          <w:w w:val="110"/>
          <w:sz w:val="19"/>
        </w:rPr>
        <w:t>total</w:t>
      </w:r>
      <w:r>
        <w:rPr>
          <w:rFonts w:ascii="Arial" w:hAnsi="Arial"/>
          <w:color w:val="231F20"/>
          <w:spacing w:val="2"/>
          <w:w w:val="110"/>
          <w:sz w:val="19"/>
        </w:rPr>
        <w:t> </w:t>
      </w:r>
      <w:r>
        <w:rPr>
          <w:rFonts w:ascii="Arial" w:hAnsi="Arial"/>
          <w:color w:val="231F20"/>
          <w:w w:val="110"/>
          <w:sz w:val="19"/>
        </w:rPr>
        <w:t>value</w:t>
      </w:r>
      <w:r>
        <w:rPr>
          <w:rFonts w:ascii="Arial" w:hAnsi="Arial"/>
          <w:color w:val="231F20"/>
          <w:spacing w:val="3"/>
          <w:w w:val="110"/>
          <w:sz w:val="19"/>
        </w:rPr>
        <w:t> </w:t>
      </w:r>
      <w:r>
        <w:rPr>
          <w:rFonts w:ascii="Arial" w:hAnsi="Arial"/>
          <w:color w:val="231F20"/>
          <w:w w:val="110"/>
          <w:sz w:val="19"/>
        </w:rPr>
        <w:t>of</w:t>
      </w:r>
      <w:r>
        <w:rPr>
          <w:rFonts w:ascii="Arial" w:hAnsi="Arial"/>
          <w:color w:val="231F20"/>
          <w:spacing w:val="2"/>
          <w:w w:val="110"/>
          <w:sz w:val="19"/>
        </w:rPr>
        <w:t> </w:t>
      </w:r>
      <w:r>
        <w:rPr>
          <w:rFonts w:ascii="Arial" w:hAnsi="Arial"/>
          <w:color w:val="231F20"/>
          <w:w w:val="110"/>
          <w:sz w:val="19"/>
        </w:rPr>
        <w:t>a</w:t>
      </w:r>
      <w:r>
        <w:rPr>
          <w:rFonts w:ascii="Arial" w:hAnsi="Arial"/>
          <w:color w:val="231F20"/>
          <w:spacing w:val="3"/>
          <w:w w:val="110"/>
          <w:sz w:val="19"/>
        </w:rPr>
        <w:t> </w:t>
      </w:r>
      <w:r>
        <w:rPr>
          <w:rFonts w:ascii="Arial" w:hAnsi="Arial"/>
          <w:color w:val="231F20"/>
          <w:spacing w:val="-2"/>
          <w:w w:val="110"/>
          <w:sz w:val="19"/>
        </w:rPr>
        <w:t>company</w:t>
      </w:r>
    </w:p>
    <w:p>
      <w:pPr>
        <w:spacing w:after="0"/>
        <w:jc w:val="left"/>
        <w:rPr>
          <w:rFonts w:ascii="Arial" w:hAnsi="Arial"/>
          <w:sz w:val="19"/>
        </w:rPr>
        <w:sectPr>
          <w:headerReference w:type="even" r:id="rId96"/>
          <w:pgSz w:w="8640" w:h="12960"/>
          <w:pgMar w:header="732" w:footer="0" w:top="920" w:bottom="280" w:left="340" w:right="500"/>
          <w:pgNumType w:start="25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9"/>
        </w:rPr>
      </w:pPr>
    </w:p>
    <w:p>
      <w:pPr>
        <w:spacing w:before="86"/>
        <w:ind w:left="469" w:right="219" w:firstLine="0"/>
        <w:jc w:val="center"/>
        <w:rPr>
          <w:b/>
          <w:i/>
          <w:sz w:val="40"/>
        </w:rPr>
      </w:pPr>
      <w:bookmarkStart w:name="Day 7" w:id="21"/>
      <w:bookmarkEnd w:id="21"/>
      <w:r>
        <w:rPr/>
      </w:r>
      <w:bookmarkStart w:name="_bookmark10" w:id="22"/>
      <w:bookmarkEnd w:id="22"/>
      <w:r>
        <w:rPr/>
      </w:r>
      <w:hyperlink w:history="true" w:anchor="_bookmark1">
        <w:r>
          <w:rPr>
            <w:b/>
            <w:i/>
            <w:color w:val="0000FF"/>
            <w:spacing w:val="12"/>
            <w:sz w:val="40"/>
          </w:rPr>
          <w:t>Day</w:t>
        </w:r>
        <w:r>
          <w:rPr>
            <w:b/>
            <w:i/>
            <w:color w:val="0000FF"/>
            <w:spacing w:val="68"/>
            <w:sz w:val="40"/>
          </w:rPr>
          <w:t> </w:t>
        </w:r>
        <w:r>
          <w:rPr>
            <w:b/>
            <w:i/>
            <w:color w:val="0000FF"/>
            <w:spacing w:val="-10"/>
            <w:sz w:val="40"/>
          </w:rPr>
          <w:t>7</w:t>
        </w:r>
      </w:hyperlink>
    </w:p>
    <w:p>
      <w:pPr>
        <w:pStyle w:val="BodyText"/>
        <w:spacing w:before="10"/>
        <w:rPr>
          <w:b/>
          <w:i/>
          <w:sz w:val="10"/>
        </w:rPr>
      </w:pPr>
      <w:r>
        <w:rPr/>
        <w:pict>
          <v:shape style="position:absolute;margin-left:180.25pt;margin-top:7.583056pt;width:76pt;height:.1pt;mso-position-horizontal-relative:page;mso-position-vertical-relative:paragraph;z-index:-15566336;mso-wrap-distance-left:0;mso-wrap-distance-right:0" id="docshape416" coordorigin="3605,152" coordsize="1520,0" path="m3605,152l5125,152e" filled="false" stroked="true" strokeweight="6pt" strokecolor="#d1d3d4">
            <v:path arrowok="t"/>
            <v:stroke dashstyle="solid"/>
            <w10:wrap type="topAndBottom"/>
          </v:shape>
        </w:pict>
      </w:r>
    </w:p>
    <w:p>
      <w:pPr>
        <w:pStyle w:val="Heading1"/>
        <w:ind w:left="510"/>
      </w:pPr>
      <w:r>
        <w:rPr>
          <w:color w:val="231F20"/>
          <w:spacing w:val="35"/>
          <w:w w:val="90"/>
        </w:rPr>
        <w:t>OPERATIONS</w:t>
      </w:r>
    </w:p>
    <w:p>
      <w:pPr>
        <w:pStyle w:val="BodyText"/>
        <w:spacing w:before="6"/>
        <w:rPr>
          <w:rFonts w:ascii="Trebuchet MS"/>
          <w:sz w:val="78"/>
        </w:rPr>
      </w:pPr>
    </w:p>
    <w:p>
      <w:pPr>
        <w:spacing w:line="321" w:lineRule="auto" w:before="0"/>
        <w:ind w:left="1260" w:right="2866" w:firstLine="1834"/>
        <w:jc w:val="left"/>
        <w:rPr>
          <w:rFonts w:ascii="Arial"/>
          <w:sz w:val="19"/>
        </w:rPr>
      </w:pPr>
      <w:r>
        <w:rPr>
          <w:b/>
          <w:i/>
          <w:color w:val="231F20"/>
          <w:spacing w:val="9"/>
          <w:w w:val="90"/>
          <w:sz w:val="23"/>
        </w:rPr>
        <w:t>Operations</w:t>
      </w:r>
      <w:r>
        <w:rPr>
          <w:b/>
          <w:i/>
          <w:color w:val="231F20"/>
          <w:spacing w:val="40"/>
          <w:sz w:val="23"/>
        </w:rPr>
        <w:t> </w:t>
      </w:r>
      <w:r>
        <w:rPr>
          <w:b/>
          <w:i/>
          <w:color w:val="231F20"/>
          <w:w w:val="90"/>
          <w:sz w:val="23"/>
        </w:rPr>
        <w:t>Topics</w:t>
      </w:r>
      <w:r>
        <w:rPr>
          <w:b/>
          <w:i/>
          <w:color w:val="231F20"/>
          <w:w w:val="90"/>
          <w:sz w:val="23"/>
        </w:rPr>
        <w:t> </w:t>
      </w:r>
      <w:r>
        <w:rPr>
          <w:rFonts w:ascii="Arial"/>
          <w:color w:val="808285"/>
          <w:w w:val="105"/>
          <w:sz w:val="19"/>
        </w:rPr>
        <w:t>The</w:t>
      </w:r>
      <w:r>
        <w:rPr>
          <w:rFonts w:ascii="Arial"/>
          <w:color w:val="808285"/>
          <w:spacing w:val="40"/>
          <w:w w:val="105"/>
          <w:sz w:val="19"/>
        </w:rPr>
        <w:t> </w:t>
      </w:r>
      <w:r>
        <w:rPr>
          <w:rFonts w:ascii="Arial"/>
          <w:color w:val="808285"/>
          <w:w w:val="105"/>
          <w:sz w:val="19"/>
        </w:rPr>
        <w:t>History</w:t>
      </w:r>
      <w:r>
        <w:rPr>
          <w:rFonts w:ascii="Arial"/>
          <w:color w:val="808285"/>
          <w:spacing w:val="40"/>
          <w:w w:val="105"/>
          <w:sz w:val="19"/>
        </w:rPr>
        <w:t> </w:t>
      </w:r>
      <w:r>
        <w:rPr>
          <w:rFonts w:ascii="Arial"/>
          <w:color w:val="808285"/>
          <w:w w:val="105"/>
          <w:sz w:val="19"/>
        </w:rPr>
        <w:t>of</w:t>
      </w:r>
      <w:r>
        <w:rPr>
          <w:rFonts w:ascii="Arial"/>
          <w:color w:val="808285"/>
          <w:spacing w:val="40"/>
          <w:w w:val="105"/>
          <w:sz w:val="19"/>
        </w:rPr>
        <w:t> </w:t>
      </w:r>
      <w:r>
        <w:rPr>
          <w:rFonts w:ascii="Arial"/>
          <w:color w:val="808285"/>
          <w:w w:val="105"/>
          <w:sz w:val="19"/>
        </w:rPr>
        <w:t>Operations</w:t>
      </w:r>
      <w:r>
        <w:rPr>
          <w:rFonts w:ascii="Arial"/>
          <w:color w:val="808285"/>
          <w:spacing w:val="40"/>
          <w:w w:val="105"/>
          <w:sz w:val="19"/>
        </w:rPr>
        <w:t> </w:t>
      </w:r>
      <w:r>
        <w:rPr>
          <w:rFonts w:ascii="Arial"/>
          <w:color w:val="808285"/>
          <w:w w:val="105"/>
          <w:sz w:val="19"/>
        </w:rPr>
        <w:t>Research</w:t>
      </w:r>
      <w:r>
        <w:rPr>
          <w:rFonts w:ascii="Arial"/>
          <w:color w:val="808285"/>
          <w:spacing w:val="40"/>
          <w:w w:val="105"/>
          <w:sz w:val="19"/>
        </w:rPr>
        <w:t> </w:t>
      </w:r>
      <w:r>
        <w:rPr>
          <w:rFonts w:ascii="Arial"/>
          <w:color w:val="808285"/>
          <w:w w:val="105"/>
          <w:sz w:val="19"/>
        </w:rPr>
        <w:t>The</w:t>
      </w:r>
      <w:r>
        <w:rPr>
          <w:rFonts w:ascii="Arial"/>
          <w:color w:val="808285"/>
          <w:spacing w:val="72"/>
          <w:w w:val="150"/>
          <w:sz w:val="19"/>
        </w:rPr>
        <w:t> </w:t>
      </w:r>
      <w:r>
        <w:rPr>
          <w:rFonts w:ascii="Arial"/>
          <w:color w:val="808285"/>
          <w:w w:val="105"/>
          <w:sz w:val="19"/>
        </w:rPr>
        <w:t>Problem</w:t>
      </w:r>
      <w:r>
        <w:rPr>
          <w:rFonts w:ascii="Arial"/>
          <w:color w:val="808285"/>
          <w:spacing w:val="72"/>
          <w:w w:val="150"/>
          <w:sz w:val="19"/>
        </w:rPr>
        <w:t> </w:t>
      </w:r>
      <w:r>
        <w:rPr>
          <w:rFonts w:ascii="Arial"/>
          <w:color w:val="808285"/>
          <w:w w:val="105"/>
          <w:sz w:val="19"/>
        </w:rPr>
        <w:t>Solving</w:t>
      </w:r>
      <w:r>
        <w:rPr>
          <w:rFonts w:ascii="Arial"/>
          <w:color w:val="808285"/>
          <w:spacing w:val="72"/>
          <w:w w:val="150"/>
          <w:sz w:val="19"/>
        </w:rPr>
        <w:t> </w:t>
      </w:r>
      <w:r>
        <w:rPr>
          <w:rFonts w:ascii="Arial"/>
          <w:color w:val="808285"/>
          <w:w w:val="105"/>
          <w:sz w:val="19"/>
        </w:rPr>
        <w:t>Framework</w:t>
      </w:r>
      <w:r>
        <w:rPr>
          <w:rFonts w:ascii="Arial"/>
          <w:color w:val="808285"/>
          <w:spacing w:val="80"/>
          <w:w w:val="150"/>
          <w:sz w:val="19"/>
        </w:rPr>
        <w:t> </w:t>
      </w:r>
      <w:r>
        <w:rPr>
          <w:rFonts w:ascii="Arial"/>
          <w:color w:val="808285"/>
          <w:w w:val="105"/>
          <w:sz w:val="19"/>
        </w:rPr>
        <w:t>Flow Diagrams</w:t>
      </w:r>
    </w:p>
    <w:p>
      <w:pPr>
        <w:spacing w:line="328" w:lineRule="auto" w:before="1"/>
        <w:ind w:left="1260" w:right="4157" w:firstLine="0"/>
        <w:jc w:val="left"/>
        <w:rPr>
          <w:rFonts w:ascii="Arial"/>
          <w:sz w:val="19"/>
        </w:rPr>
      </w:pPr>
      <w:r>
        <w:rPr>
          <w:rFonts w:ascii="Arial"/>
          <w:color w:val="808285"/>
          <w:w w:val="115"/>
          <w:sz w:val="19"/>
        </w:rPr>
        <w:t>Linear</w:t>
      </w:r>
      <w:r>
        <w:rPr>
          <w:rFonts w:ascii="Arial"/>
          <w:color w:val="808285"/>
          <w:spacing w:val="-15"/>
          <w:w w:val="115"/>
          <w:sz w:val="19"/>
        </w:rPr>
        <w:t> </w:t>
      </w:r>
      <w:r>
        <w:rPr>
          <w:rFonts w:ascii="Arial"/>
          <w:color w:val="808285"/>
          <w:w w:val="115"/>
          <w:sz w:val="19"/>
        </w:rPr>
        <w:t>Programming Gantt Charts</w:t>
      </w:r>
    </w:p>
    <w:p>
      <w:pPr>
        <w:spacing w:line="328" w:lineRule="auto" w:before="1"/>
        <w:ind w:left="1260" w:right="4157" w:firstLine="0"/>
        <w:jc w:val="left"/>
        <w:rPr>
          <w:rFonts w:ascii="Arial"/>
          <w:sz w:val="19"/>
        </w:rPr>
      </w:pPr>
      <w:r>
        <w:rPr>
          <w:rFonts w:ascii="Arial"/>
          <w:color w:val="808285"/>
          <w:w w:val="115"/>
          <w:sz w:val="19"/>
        </w:rPr>
        <w:t>Critical</w:t>
      </w:r>
      <w:r>
        <w:rPr>
          <w:rFonts w:ascii="Arial"/>
          <w:color w:val="808285"/>
          <w:spacing w:val="-1"/>
          <w:w w:val="115"/>
          <w:sz w:val="19"/>
        </w:rPr>
        <w:t> </w:t>
      </w:r>
      <w:r>
        <w:rPr>
          <w:rFonts w:ascii="Arial"/>
          <w:color w:val="808285"/>
          <w:w w:val="115"/>
          <w:sz w:val="19"/>
        </w:rPr>
        <w:t>Path</w:t>
      </w:r>
      <w:r>
        <w:rPr>
          <w:rFonts w:ascii="Arial"/>
          <w:color w:val="808285"/>
          <w:spacing w:val="-1"/>
          <w:w w:val="115"/>
          <w:sz w:val="19"/>
        </w:rPr>
        <w:t> </w:t>
      </w:r>
      <w:r>
        <w:rPr>
          <w:rFonts w:ascii="Arial"/>
          <w:color w:val="808285"/>
          <w:w w:val="115"/>
          <w:sz w:val="19"/>
        </w:rPr>
        <w:t>Method Queuing Theory </w:t>
      </w:r>
      <w:r>
        <w:rPr>
          <w:rFonts w:ascii="Arial"/>
          <w:color w:val="808285"/>
          <w:spacing w:val="-2"/>
          <w:w w:val="115"/>
          <w:sz w:val="19"/>
        </w:rPr>
        <w:t>Inventories</w:t>
      </w:r>
    </w:p>
    <w:p>
      <w:pPr>
        <w:spacing w:line="328" w:lineRule="auto" w:before="2"/>
        <w:ind w:left="1260" w:right="3159" w:firstLine="0"/>
        <w:jc w:val="left"/>
        <w:rPr>
          <w:rFonts w:ascii="Arial"/>
          <w:sz w:val="19"/>
        </w:rPr>
      </w:pPr>
      <w:r>
        <w:rPr>
          <w:rFonts w:ascii="Arial"/>
          <w:color w:val="808285"/>
          <w:w w:val="115"/>
          <w:sz w:val="19"/>
        </w:rPr>
        <w:t>Economic Order Quantities Material</w:t>
      </w:r>
      <w:r>
        <w:rPr>
          <w:rFonts w:ascii="Arial"/>
          <w:color w:val="808285"/>
          <w:spacing w:val="-16"/>
          <w:w w:val="115"/>
          <w:sz w:val="19"/>
        </w:rPr>
        <w:t> </w:t>
      </w:r>
      <w:r>
        <w:rPr>
          <w:rFonts w:ascii="Arial"/>
          <w:color w:val="808285"/>
          <w:w w:val="115"/>
          <w:sz w:val="19"/>
        </w:rPr>
        <w:t>Requirements</w:t>
      </w:r>
      <w:r>
        <w:rPr>
          <w:rFonts w:ascii="Arial"/>
          <w:color w:val="808285"/>
          <w:spacing w:val="-15"/>
          <w:w w:val="115"/>
          <w:sz w:val="19"/>
        </w:rPr>
        <w:t> </w:t>
      </w:r>
      <w:r>
        <w:rPr>
          <w:rFonts w:ascii="Arial"/>
          <w:color w:val="808285"/>
          <w:w w:val="115"/>
          <w:sz w:val="19"/>
        </w:rPr>
        <w:t>Planning </w:t>
      </w:r>
      <w:r>
        <w:rPr>
          <w:rFonts w:ascii="Arial"/>
          <w:color w:val="808285"/>
          <w:spacing w:val="-2"/>
          <w:w w:val="115"/>
          <w:sz w:val="19"/>
        </w:rPr>
        <w:t>Quality</w:t>
      </w:r>
    </w:p>
    <w:p>
      <w:pPr>
        <w:spacing w:before="2"/>
        <w:ind w:left="1260" w:right="0" w:firstLine="0"/>
        <w:jc w:val="left"/>
        <w:rPr>
          <w:rFonts w:ascii="Arial"/>
          <w:sz w:val="19"/>
        </w:rPr>
      </w:pPr>
      <w:r>
        <w:rPr>
          <w:rFonts w:ascii="Arial"/>
          <w:color w:val="808285"/>
          <w:w w:val="120"/>
          <w:sz w:val="19"/>
        </w:rPr>
        <w:t>Information</w:t>
      </w:r>
      <w:r>
        <w:rPr>
          <w:rFonts w:ascii="Arial"/>
          <w:color w:val="808285"/>
          <w:spacing w:val="-16"/>
          <w:w w:val="120"/>
          <w:sz w:val="19"/>
        </w:rPr>
        <w:t> </w:t>
      </w:r>
      <w:r>
        <w:rPr>
          <w:rFonts w:ascii="Arial"/>
          <w:color w:val="808285"/>
          <w:spacing w:val="-2"/>
          <w:w w:val="120"/>
          <w:sz w:val="19"/>
        </w:rPr>
        <w:t>Technology</w:t>
      </w:r>
    </w:p>
    <w:p>
      <w:pPr>
        <w:pStyle w:val="BodyText"/>
        <w:rPr>
          <w:rFonts w:ascii="Arial"/>
          <w:sz w:val="20"/>
        </w:rPr>
      </w:pPr>
    </w:p>
    <w:p>
      <w:pPr>
        <w:pStyle w:val="BodyText"/>
        <w:spacing w:line="292" w:lineRule="auto" w:before="131"/>
        <w:ind w:left="919" w:right="663" w:firstLine="355"/>
        <w:jc w:val="right"/>
      </w:pPr>
      <w:r>
        <w:rPr/>
        <w:pict>
          <v:shape style="position:absolute;margin-left:63pt;margin-top:-.963862pt;width:17.8pt;height:40.050pt;mso-position-horizontal-relative:page;mso-position-vertical-relative:paragraph;z-index:-25066496" type="#_x0000_t202" id="docshape417" filled="false" stroked="false">
            <v:textbox inset="0,0,0,0">
              <w:txbxContent>
                <w:p>
                  <w:pPr>
                    <w:spacing w:line="789" w:lineRule="exact" w:before="11"/>
                    <w:ind w:left="0" w:right="0" w:firstLine="0"/>
                    <w:jc w:val="left"/>
                    <w:rPr>
                      <w:rFonts w:ascii="Trebuchet MS"/>
                      <w:sz w:val="68"/>
                    </w:rPr>
                  </w:pPr>
                  <w:r>
                    <w:rPr>
                      <w:rFonts w:ascii="Trebuchet MS"/>
                      <w:color w:val="808285"/>
                      <w:w w:val="77"/>
                      <w:sz w:val="68"/>
                    </w:rPr>
                    <w:t>O</w:t>
                  </w:r>
                </w:p>
              </w:txbxContent>
            </v:textbox>
            <w10:wrap type="none"/>
          </v:shape>
        </w:pict>
      </w:r>
      <w:r>
        <w:rPr>
          <w:color w:val="231F20"/>
        </w:rPr>
        <w:t>perations is the only MBA subject that concerns itself with </w:t>
      </w:r>
      <w:r>
        <w:rPr>
          <w:color w:val="231F20"/>
        </w:rPr>
        <w:t>actu- ally making products and providing services—</w:t>
      </w:r>
      <w:r>
        <w:rPr>
          <w:color w:val="231F20"/>
          <w:spacing w:val="-16"/>
        </w:rPr>
        <w:t> </w:t>
      </w:r>
      <w:r>
        <w:rPr>
          <w:color w:val="231F20"/>
        </w:rPr>
        <w:t>the ultimate pur-</w:t>
      </w:r>
      <w:r>
        <w:rPr>
          <w:color w:val="231F20"/>
          <w:spacing w:val="80"/>
        </w:rPr>
        <w:t> </w:t>
      </w:r>
      <w:r>
        <w:rPr>
          <w:color w:val="231F20"/>
        </w:rPr>
        <w:t>pose</w:t>
      </w:r>
      <w:r>
        <w:rPr>
          <w:color w:val="231F20"/>
          <w:spacing w:val="80"/>
        </w:rPr>
        <w:t> </w:t>
      </w:r>
      <w:r>
        <w:rPr>
          <w:color w:val="231F20"/>
        </w:rPr>
        <w:t>of</w:t>
      </w:r>
      <w:r>
        <w:rPr>
          <w:color w:val="231F20"/>
          <w:spacing w:val="80"/>
        </w:rPr>
        <w:t> </w:t>
      </w:r>
      <w:r>
        <w:rPr>
          <w:color w:val="231F20"/>
        </w:rPr>
        <w:t>business.</w:t>
      </w:r>
      <w:r>
        <w:rPr>
          <w:color w:val="231F20"/>
          <w:spacing w:val="80"/>
        </w:rPr>
        <w:t> </w:t>
      </w:r>
      <w:r>
        <w:rPr>
          <w:color w:val="231F20"/>
        </w:rPr>
        <w:t>That</w:t>
      </w:r>
      <w:r>
        <w:rPr>
          <w:color w:val="231F20"/>
          <w:spacing w:val="80"/>
        </w:rPr>
        <w:t> </w:t>
      </w:r>
      <w:r>
        <w:rPr>
          <w:color w:val="231F20"/>
        </w:rPr>
        <w:t>is</w:t>
      </w:r>
      <w:r>
        <w:rPr>
          <w:color w:val="231F20"/>
          <w:spacing w:val="80"/>
        </w:rPr>
        <w:t> </w:t>
      </w:r>
      <w:r>
        <w:rPr>
          <w:color w:val="231F20"/>
        </w:rPr>
        <w:t>the</w:t>
      </w:r>
      <w:r>
        <w:rPr>
          <w:color w:val="231F20"/>
          <w:spacing w:val="80"/>
        </w:rPr>
        <w:t> </w:t>
      </w:r>
      <w:r>
        <w:rPr>
          <w:color w:val="231F20"/>
        </w:rPr>
        <w:t>line</w:t>
      </w:r>
      <w:r>
        <w:rPr>
          <w:color w:val="231F20"/>
          <w:spacing w:val="80"/>
        </w:rPr>
        <w:t> </w:t>
      </w:r>
      <w:r>
        <w:rPr>
          <w:color w:val="231F20"/>
        </w:rPr>
        <w:t>Production</w:t>
      </w:r>
      <w:r>
        <w:rPr>
          <w:color w:val="231F20"/>
          <w:spacing w:val="80"/>
        </w:rPr>
        <w:t> </w:t>
      </w:r>
      <w:r>
        <w:rPr>
          <w:color w:val="231F20"/>
        </w:rPr>
        <w:t>and</w:t>
      </w:r>
      <w:r>
        <w:rPr>
          <w:color w:val="231F20"/>
          <w:spacing w:val="80"/>
        </w:rPr>
        <w:t> </w:t>
      </w:r>
      <w:r>
        <w:rPr>
          <w:color w:val="231F20"/>
        </w:rPr>
        <w:t>Operations Management</w:t>
      </w:r>
      <w:r>
        <w:rPr>
          <w:color w:val="231F20"/>
          <w:spacing w:val="80"/>
        </w:rPr>
        <w:t> </w:t>
      </w:r>
      <w:r>
        <w:rPr>
          <w:color w:val="231F20"/>
        </w:rPr>
        <w:t>(POM)</w:t>
      </w:r>
      <w:r>
        <w:rPr>
          <w:color w:val="231F20"/>
          <w:spacing w:val="80"/>
        </w:rPr>
        <w:t> </w:t>
      </w:r>
      <w:r>
        <w:rPr>
          <w:color w:val="231F20"/>
        </w:rPr>
        <w:t>professors</w:t>
      </w:r>
      <w:r>
        <w:rPr>
          <w:color w:val="231F20"/>
          <w:spacing w:val="80"/>
        </w:rPr>
        <w:t> </w:t>
      </w:r>
      <w:r>
        <w:rPr>
          <w:color w:val="231F20"/>
        </w:rPr>
        <w:t>deliver</w:t>
      </w:r>
      <w:r>
        <w:rPr>
          <w:color w:val="231F20"/>
          <w:spacing w:val="80"/>
        </w:rPr>
        <w:t> </w:t>
      </w:r>
      <w:r>
        <w:rPr>
          <w:color w:val="231F20"/>
        </w:rPr>
        <w:t>each</w:t>
      </w:r>
      <w:r>
        <w:rPr>
          <w:color w:val="231F20"/>
          <w:spacing w:val="80"/>
        </w:rPr>
        <w:t> </w:t>
      </w:r>
      <w:r>
        <w:rPr>
          <w:color w:val="231F20"/>
        </w:rPr>
        <w:t>year</w:t>
      </w:r>
      <w:r>
        <w:rPr>
          <w:color w:val="231F20"/>
          <w:spacing w:val="80"/>
        </w:rPr>
        <w:t> </w:t>
      </w:r>
      <w:r>
        <w:rPr>
          <w:color w:val="231F20"/>
        </w:rPr>
        <w:t>to</w:t>
      </w:r>
      <w:r>
        <w:rPr>
          <w:color w:val="231F20"/>
          <w:spacing w:val="80"/>
        </w:rPr>
        <w:t> </w:t>
      </w:r>
      <w:r>
        <w:rPr>
          <w:color w:val="231F20"/>
        </w:rPr>
        <w:t>incoming MBAs.</w:t>
      </w:r>
      <w:r>
        <w:rPr>
          <w:color w:val="231F20"/>
          <w:spacing w:val="37"/>
        </w:rPr>
        <w:t> </w:t>
      </w:r>
      <w:r>
        <w:rPr>
          <w:color w:val="231F20"/>
        </w:rPr>
        <w:t>It</w:t>
      </w:r>
      <w:r>
        <w:rPr>
          <w:color w:val="231F20"/>
          <w:spacing w:val="37"/>
        </w:rPr>
        <w:t> </w:t>
      </w:r>
      <w:r>
        <w:rPr>
          <w:color w:val="231F20"/>
        </w:rPr>
        <w:t>must</w:t>
      </w:r>
      <w:r>
        <w:rPr>
          <w:color w:val="231F20"/>
          <w:spacing w:val="37"/>
        </w:rPr>
        <w:t> </w:t>
      </w:r>
      <w:r>
        <w:rPr>
          <w:color w:val="231F20"/>
        </w:rPr>
        <w:t>fall</w:t>
      </w:r>
      <w:r>
        <w:rPr>
          <w:color w:val="231F20"/>
          <w:spacing w:val="37"/>
        </w:rPr>
        <w:t> </w:t>
      </w:r>
      <w:r>
        <w:rPr>
          <w:color w:val="231F20"/>
        </w:rPr>
        <w:t>on</w:t>
      </w:r>
      <w:r>
        <w:rPr>
          <w:color w:val="231F20"/>
          <w:spacing w:val="37"/>
        </w:rPr>
        <w:t> </w:t>
      </w:r>
      <w:r>
        <w:rPr>
          <w:color w:val="231F20"/>
        </w:rPr>
        <w:t>deaf</w:t>
      </w:r>
      <w:r>
        <w:rPr>
          <w:color w:val="231F20"/>
          <w:spacing w:val="37"/>
        </w:rPr>
        <w:t> </w:t>
      </w:r>
      <w:r>
        <w:rPr>
          <w:color w:val="231F20"/>
        </w:rPr>
        <w:t>ears,</w:t>
      </w:r>
      <w:r>
        <w:rPr>
          <w:color w:val="231F20"/>
          <w:spacing w:val="37"/>
        </w:rPr>
        <w:t> </w:t>
      </w:r>
      <w:r>
        <w:rPr>
          <w:color w:val="231F20"/>
        </w:rPr>
        <w:t>since</w:t>
      </w:r>
      <w:r>
        <w:rPr>
          <w:color w:val="231F20"/>
          <w:spacing w:val="37"/>
        </w:rPr>
        <w:t> </w:t>
      </w:r>
      <w:r>
        <w:rPr>
          <w:color w:val="231F20"/>
        </w:rPr>
        <w:t>most</w:t>
      </w:r>
      <w:r>
        <w:rPr>
          <w:color w:val="231F20"/>
          <w:spacing w:val="37"/>
        </w:rPr>
        <w:t> </w:t>
      </w:r>
      <w:r>
        <w:rPr>
          <w:color w:val="231F20"/>
        </w:rPr>
        <w:t>MBAs</w:t>
      </w:r>
      <w:r>
        <w:rPr>
          <w:color w:val="231F20"/>
          <w:spacing w:val="37"/>
        </w:rPr>
        <w:t> </w:t>
      </w:r>
      <w:r>
        <w:rPr>
          <w:color w:val="231F20"/>
        </w:rPr>
        <w:t>go</w:t>
      </w:r>
      <w:r>
        <w:rPr>
          <w:color w:val="231F20"/>
          <w:spacing w:val="37"/>
        </w:rPr>
        <w:t> </w:t>
      </w:r>
      <w:r>
        <w:rPr>
          <w:color w:val="231F20"/>
        </w:rPr>
        <w:t>into</w:t>
      </w:r>
      <w:r>
        <w:rPr>
          <w:color w:val="231F20"/>
          <w:spacing w:val="37"/>
        </w:rPr>
        <w:t> </w:t>
      </w:r>
      <w:r>
        <w:rPr>
          <w:color w:val="231F20"/>
        </w:rPr>
        <w:t>finance, marketing,</w:t>
      </w:r>
      <w:r>
        <w:rPr>
          <w:color w:val="231F20"/>
          <w:spacing w:val="29"/>
        </w:rPr>
        <w:t> </w:t>
      </w:r>
      <w:r>
        <w:rPr>
          <w:color w:val="231F20"/>
        </w:rPr>
        <w:t>and</w:t>
      </w:r>
      <w:r>
        <w:rPr>
          <w:color w:val="231F20"/>
          <w:spacing w:val="29"/>
        </w:rPr>
        <w:t> </w:t>
      </w:r>
      <w:r>
        <w:rPr>
          <w:color w:val="231F20"/>
        </w:rPr>
        <w:t>consulting.</w:t>
      </w:r>
      <w:r>
        <w:rPr>
          <w:color w:val="231F20"/>
          <w:spacing w:val="29"/>
        </w:rPr>
        <w:t> </w:t>
      </w:r>
      <w:r>
        <w:rPr>
          <w:color w:val="231F20"/>
        </w:rPr>
        <w:t>It</w:t>
      </w:r>
      <w:r>
        <w:rPr>
          <w:color w:val="231F20"/>
          <w:spacing w:val="29"/>
        </w:rPr>
        <w:t> </w:t>
      </w:r>
      <w:r>
        <w:rPr>
          <w:color w:val="231F20"/>
        </w:rPr>
        <w:t>may</w:t>
      </w:r>
      <w:r>
        <w:rPr>
          <w:color w:val="231F20"/>
          <w:spacing w:val="29"/>
        </w:rPr>
        <w:t> </w:t>
      </w:r>
      <w:r>
        <w:rPr>
          <w:color w:val="231F20"/>
        </w:rPr>
        <w:t>be</w:t>
      </w:r>
      <w:r>
        <w:rPr>
          <w:color w:val="231F20"/>
          <w:spacing w:val="29"/>
        </w:rPr>
        <w:t> </w:t>
      </w:r>
      <w:r>
        <w:rPr>
          <w:color w:val="231F20"/>
        </w:rPr>
        <w:t>that</w:t>
      </w:r>
      <w:r>
        <w:rPr>
          <w:color w:val="231F20"/>
          <w:spacing w:val="29"/>
        </w:rPr>
        <w:t> </w:t>
      </w:r>
      <w:r>
        <w:rPr>
          <w:color w:val="231F20"/>
        </w:rPr>
        <w:t>recruiters</w:t>
      </w:r>
      <w:r>
        <w:rPr>
          <w:color w:val="231F20"/>
          <w:spacing w:val="29"/>
        </w:rPr>
        <w:t> </w:t>
      </w:r>
      <w:r>
        <w:rPr>
          <w:color w:val="231F20"/>
        </w:rPr>
        <w:t>feel</w:t>
      </w:r>
      <w:r>
        <w:rPr>
          <w:color w:val="231F20"/>
          <w:spacing w:val="29"/>
        </w:rPr>
        <w:t> </w:t>
      </w:r>
      <w:r>
        <w:rPr>
          <w:color w:val="231F20"/>
        </w:rPr>
        <w:t>MBAs</w:t>
      </w:r>
      <w:r>
        <w:rPr>
          <w:color w:val="231F20"/>
          <w:spacing w:val="29"/>
        </w:rPr>
        <w:t> </w:t>
      </w:r>
      <w:r>
        <w:rPr>
          <w:color w:val="231F20"/>
        </w:rPr>
        <w:t>are not</w:t>
      </w:r>
      <w:r>
        <w:rPr>
          <w:color w:val="231F20"/>
          <w:spacing w:val="35"/>
        </w:rPr>
        <w:t> </w:t>
      </w:r>
      <w:r>
        <w:rPr>
          <w:color w:val="231F20"/>
        </w:rPr>
        <w:t>sufficiently</w:t>
      </w:r>
      <w:r>
        <w:rPr>
          <w:color w:val="231F20"/>
          <w:spacing w:val="35"/>
        </w:rPr>
        <w:t> </w:t>
      </w:r>
      <w:r>
        <w:rPr>
          <w:color w:val="231F20"/>
        </w:rPr>
        <w:t>trained</w:t>
      </w:r>
      <w:r>
        <w:rPr>
          <w:color w:val="231F20"/>
          <w:spacing w:val="35"/>
        </w:rPr>
        <w:t> </w:t>
      </w:r>
      <w:r>
        <w:rPr>
          <w:color w:val="231F20"/>
        </w:rPr>
        <w:t>to</w:t>
      </w:r>
      <w:r>
        <w:rPr>
          <w:color w:val="231F20"/>
          <w:spacing w:val="35"/>
        </w:rPr>
        <w:t> </w:t>
      </w:r>
      <w:r>
        <w:rPr>
          <w:color w:val="231F20"/>
        </w:rPr>
        <w:t>be</w:t>
      </w:r>
      <w:r>
        <w:rPr>
          <w:color w:val="231F20"/>
          <w:spacing w:val="35"/>
        </w:rPr>
        <w:t> </w:t>
      </w:r>
      <w:r>
        <w:rPr>
          <w:color w:val="231F20"/>
        </w:rPr>
        <w:t>worth</w:t>
      </w:r>
      <w:r>
        <w:rPr>
          <w:color w:val="231F20"/>
          <w:spacing w:val="35"/>
        </w:rPr>
        <w:t> </w:t>
      </w:r>
      <w:r>
        <w:rPr>
          <w:color w:val="231F20"/>
        </w:rPr>
        <w:t>the</w:t>
      </w:r>
      <w:r>
        <w:rPr>
          <w:color w:val="231F20"/>
          <w:spacing w:val="35"/>
        </w:rPr>
        <w:t> </w:t>
      </w:r>
      <w:r>
        <w:rPr>
          <w:color w:val="231F20"/>
        </w:rPr>
        <w:t>high</w:t>
      </w:r>
      <w:r>
        <w:rPr>
          <w:color w:val="231F20"/>
          <w:spacing w:val="35"/>
        </w:rPr>
        <w:t> </w:t>
      </w:r>
      <w:r>
        <w:rPr>
          <w:color w:val="231F20"/>
        </w:rPr>
        <w:t>salaries</w:t>
      </w:r>
      <w:r>
        <w:rPr>
          <w:color w:val="231F20"/>
          <w:spacing w:val="35"/>
        </w:rPr>
        <w:t> </w:t>
      </w:r>
      <w:r>
        <w:rPr>
          <w:color w:val="231F20"/>
        </w:rPr>
        <w:t>paid</w:t>
      </w:r>
      <w:r>
        <w:rPr>
          <w:color w:val="231F20"/>
          <w:spacing w:val="35"/>
        </w:rPr>
        <w:t> </w:t>
      </w:r>
      <w:r>
        <w:rPr>
          <w:color w:val="231F20"/>
        </w:rPr>
        <w:t>in</w:t>
      </w:r>
      <w:r>
        <w:rPr>
          <w:color w:val="231F20"/>
          <w:spacing w:val="35"/>
        </w:rPr>
        <w:t> </w:t>
      </w:r>
      <w:r>
        <w:rPr>
          <w:color w:val="231F20"/>
        </w:rPr>
        <w:t>their plants and factories. They may also believe that MBAs are best kept</w:t>
      </w:r>
      <w:r>
        <w:rPr>
          <w:color w:val="231F20"/>
          <w:spacing w:val="40"/>
        </w:rPr>
        <w:t> </w:t>
      </w:r>
      <w:r>
        <w:rPr>
          <w:color w:val="231F20"/>
        </w:rPr>
        <w:t>at</w:t>
      </w:r>
      <w:r>
        <w:rPr>
          <w:color w:val="231F20"/>
          <w:spacing w:val="29"/>
        </w:rPr>
        <w:t> </w:t>
      </w:r>
      <w:r>
        <w:rPr>
          <w:color w:val="231F20"/>
        </w:rPr>
        <w:t>headquarters</w:t>
      </w:r>
      <w:r>
        <w:rPr>
          <w:color w:val="231F20"/>
          <w:spacing w:val="29"/>
        </w:rPr>
        <w:t> </w:t>
      </w:r>
      <w:r>
        <w:rPr>
          <w:color w:val="231F20"/>
        </w:rPr>
        <w:t>with</w:t>
      </w:r>
      <w:r>
        <w:rPr>
          <w:color w:val="231F20"/>
          <w:spacing w:val="30"/>
        </w:rPr>
        <w:t> </w:t>
      </w:r>
      <w:r>
        <w:rPr>
          <w:color w:val="231F20"/>
        </w:rPr>
        <w:t>their</w:t>
      </w:r>
      <w:r>
        <w:rPr>
          <w:color w:val="231F20"/>
          <w:spacing w:val="29"/>
        </w:rPr>
        <w:t> </w:t>
      </w:r>
      <w:r>
        <w:rPr>
          <w:color w:val="231F20"/>
        </w:rPr>
        <w:t>computers,</w:t>
      </w:r>
      <w:r>
        <w:rPr>
          <w:color w:val="231F20"/>
          <w:spacing w:val="30"/>
        </w:rPr>
        <w:t> </w:t>
      </w:r>
      <w:r>
        <w:rPr>
          <w:color w:val="231F20"/>
        </w:rPr>
        <w:t>cigars,</w:t>
      </w:r>
      <w:r>
        <w:rPr>
          <w:color w:val="231F20"/>
          <w:spacing w:val="29"/>
        </w:rPr>
        <w:t> </w:t>
      </w:r>
      <w:r>
        <w:rPr>
          <w:color w:val="231F20"/>
        </w:rPr>
        <w:t>and</w:t>
      </w:r>
      <w:r>
        <w:rPr>
          <w:color w:val="231F20"/>
          <w:spacing w:val="30"/>
        </w:rPr>
        <w:t> </w:t>
      </w:r>
      <w:r>
        <w:rPr>
          <w:color w:val="231F20"/>
        </w:rPr>
        <w:t>Waterman</w:t>
      </w:r>
      <w:r>
        <w:rPr>
          <w:color w:val="231F20"/>
          <w:spacing w:val="29"/>
        </w:rPr>
        <w:t> </w:t>
      </w:r>
      <w:r>
        <w:rPr>
          <w:color w:val="231F20"/>
          <w:spacing w:val="-2"/>
        </w:rPr>
        <w:t>pens.</w:t>
      </w:r>
    </w:p>
    <w:p>
      <w:pPr>
        <w:spacing w:after="0" w:line="292" w:lineRule="auto"/>
        <w:jc w:val="right"/>
        <w:sectPr>
          <w:headerReference w:type="default" r:id="rId97"/>
          <w:pgSz w:w="8640" w:h="12960"/>
          <w:pgMar w:header="0" w:footer="0" w:top="1220" w:bottom="280" w:left="340" w:right="500"/>
        </w:sectPr>
      </w:pPr>
    </w:p>
    <w:p>
      <w:pPr>
        <w:pStyle w:val="BodyText"/>
        <w:spacing w:before="10"/>
        <w:rPr>
          <w:sz w:val="17"/>
        </w:rPr>
      </w:pPr>
    </w:p>
    <w:p>
      <w:pPr>
        <w:pStyle w:val="BodyText"/>
        <w:spacing w:line="292" w:lineRule="auto" w:before="102"/>
        <w:ind w:left="830" w:right="756"/>
        <w:jc w:val="both"/>
      </w:pPr>
      <w:r>
        <w:rPr>
          <w:color w:val="231F20"/>
        </w:rPr>
        <w:t>From my interviews with recruiters and students, lack of interest </w:t>
      </w:r>
      <w:r>
        <w:rPr>
          <w:color w:val="231F20"/>
        </w:rPr>
        <w:t>on both sides is responsible for the lack of operational-bound MBAs.</w:t>
      </w:r>
    </w:p>
    <w:p>
      <w:pPr>
        <w:pStyle w:val="BodyText"/>
        <w:spacing w:line="292" w:lineRule="auto"/>
        <w:ind w:left="829" w:right="756" w:firstLine="340"/>
        <w:jc w:val="both"/>
      </w:pPr>
      <w:r>
        <w:rPr>
          <w:color w:val="231F20"/>
        </w:rPr>
        <w:t>Operational subjects are not all engineering and numbers. </w:t>
      </w:r>
      <w:r>
        <w:rPr>
          <w:color w:val="231F20"/>
        </w:rPr>
        <w:t>POM classes also have a humanistic side. The technical or quantitative ap- proach presents students with a variety of mathematical tools with which to attack operational problems in a clinical fashion. The hu- manistic approach teaches students to look at operational problems from a worker’s perspective as well. Clearly many business solutions lie in employee motivation.</w:t>
      </w:r>
    </w:p>
    <w:p>
      <w:pPr>
        <w:pStyle w:val="BodyText"/>
        <w:rPr>
          <w:sz w:val="24"/>
        </w:rPr>
      </w:pPr>
    </w:p>
    <w:p>
      <w:pPr>
        <w:pStyle w:val="BodyText"/>
        <w:spacing w:before="8"/>
        <w:rPr>
          <w:sz w:val="24"/>
        </w:rPr>
      </w:pPr>
    </w:p>
    <w:p>
      <w:pPr>
        <w:pStyle w:val="Heading4"/>
        <w:ind w:left="300"/>
      </w:pPr>
      <w:r>
        <w:rPr>
          <w:color w:val="231F20"/>
          <w:w w:val="85"/>
        </w:rPr>
        <w:t>THE</w:t>
      </w:r>
      <w:r>
        <w:rPr>
          <w:color w:val="231F20"/>
          <w:spacing w:val="57"/>
        </w:rPr>
        <w:t> </w:t>
      </w:r>
      <w:r>
        <w:rPr>
          <w:color w:val="231F20"/>
          <w:w w:val="85"/>
        </w:rPr>
        <w:t>OPERATIONS</w:t>
      </w:r>
      <w:r>
        <w:rPr>
          <w:color w:val="231F20"/>
          <w:spacing w:val="58"/>
        </w:rPr>
        <w:t> </w:t>
      </w:r>
      <w:r>
        <w:rPr>
          <w:color w:val="231F20"/>
          <w:w w:val="85"/>
        </w:rPr>
        <w:t>HISTORY</w:t>
      </w:r>
      <w:r>
        <w:rPr>
          <w:color w:val="231F20"/>
          <w:spacing w:val="57"/>
        </w:rPr>
        <w:t> </w:t>
      </w:r>
      <w:r>
        <w:rPr>
          <w:color w:val="231F20"/>
          <w:spacing w:val="9"/>
          <w:w w:val="85"/>
        </w:rPr>
        <w:t>LESSON</w:t>
      </w:r>
    </w:p>
    <w:p>
      <w:pPr>
        <w:pStyle w:val="BodyText"/>
        <w:spacing w:before="10"/>
        <w:rPr>
          <w:rFonts w:ascii="Trebuchet MS"/>
          <w:sz w:val="29"/>
        </w:rPr>
      </w:pPr>
    </w:p>
    <w:p>
      <w:pPr>
        <w:pStyle w:val="BodyText"/>
        <w:spacing w:line="292" w:lineRule="auto"/>
        <w:ind w:left="830" w:right="755"/>
        <w:jc w:val="both"/>
      </w:pPr>
      <w:r>
        <w:rPr>
          <w:color w:val="231F20"/>
        </w:rPr>
        <w:t>Studies on methods to improve the production of goods and </w:t>
      </w:r>
      <w:r>
        <w:rPr>
          <w:color w:val="231F20"/>
        </w:rPr>
        <w:t>services have been conducted since the beginning of the twentieth century. Academics believed that if they only researched closely enough how businesses worked, they would stumble on that magic formula that would result in total efficiency. Much of that pioneering research</w:t>
      </w:r>
      <w:r>
        <w:rPr>
          <w:color w:val="231F20"/>
          <w:spacing w:val="80"/>
        </w:rPr>
        <w:t> </w:t>
      </w:r>
      <w:r>
        <w:rPr>
          <w:color w:val="231F20"/>
        </w:rPr>
        <w:t>was done on the factory floor. Because their names and theories are frequently mentioned in articles and MBA conversation, you had better add them to your business vocabulary.</w:t>
      </w:r>
    </w:p>
    <w:p>
      <w:pPr>
        <w:pStyle w:val="BodyText"/>
        <w:rPr>
          <w:sz w:val="24"/>
        </w:rPr>
      </w:pPr>
    </w:p>
    <w:p>
      <w:pPr>
        <w:pStyle w:val="BodyText"/>
        <w:spacing w:before="11"/>
        <w:rPr>
          <w:sz w:val="26"/>
        </w:rPr>
      </w:pPr>
    </w:p>
    <w:p>
      <w:pPr>
        <w:pStyle w:val="Heading6"/>
        <w:ind w:left="299"/>
        <w:rPr>
          <w:i/>
        </w:rPr>
      </w:pPr>
      <w:r>
        <w:rPr>
          <w:i/>
          <w:color w:val="231F20"/>
          <w:w w:val="110"/>
        </w:rPr>
        <w:t>FREDERICK</w:t>
      </w:r>
      <w:r>
        <w:rPr>
          <w:i/>
          <w:color w:val="231F20"/>
          <w:spacing w:val="37"/>
          <w:w w:val="110"/>
        </w:rPr>
        <w:t>  </w:t>
      </w:r>
      <w:r>
        <w:rPr>
          <w:i/>
          <w:color w:val="231F20"/>
          <w:spacing w:val="-2"/>
          <w:w w:val="110"/>
        </w:rPr>
        <w:t>TAYLOR</w:t>
      </w:r>
    </w:p>
    <w:p>
      <w:pPr>
        <w:pStyle w:val="BodyText"/>
        <w:spacing w:before="2"/>
        <w:rPr>
          <w:b/>
          <w:i/>
          <w:sz w:val="30"/>
        </w:rPr>
      </w:pPr>
    </w:p>
    <w:p>
      <w:pPr>
        <w:pStyle w:val="BodyText"/>
        <w:spacing w:line="292" w:lineRule="auto"/>
        <w:ind w:left="830" w:right="753"/>
        <w:jc w:val="both"/>
      </w:pPr>
      <w:r>
        <w:rPr>
          <w:color w:val="231F20"/>
          <w:w w:val="105"/>
        </w:rPr>
        <w:t>Frederick</w:t>
      </w:r>
      <w:r>
        <w:rPr>
          <w:color w:val="231F20"/>
          <w:w w:val="105"/>
        </w:rPr>
        <w:t> W.</w:t>
      </w:r>
      <w:r>
        <w:rPr>
          <w:color w:val="231F20"/>
          <w:w w:val="105"/>
        </w:rPr>
        <w:t> Taylor,</w:t>
      </w:r>
      <w:r>
        <w:rPr>
          <w:color w:val="231F20"/>
          <w:w w:val="105"/>
        </w:rPr>
        <w:t> considered</w:t>
      </w:r>
      <w:r>
        <w:rPr>
          <w:color w:val="231F20"/>
          <w:w w:val="105"/>
        </w:rPr>
        <w:t> the</w:t>
      </w:r>
      <w:r>
        <w:rPr>
          <w:color w:val="231F20"/>
          <w:w w:val="105"/>
        </w:rPr>
        <w:t> “father</w:t>
      </w:r>
      <w:r>
        <w:rPr>
          <w:color w:val="231F20"/>
          <w:w w:val="105"/>
        </w:rPr>
        <w:t> of</w:t>
      </w:r>
      <w:r>
        <w:rPr>
          <w:color w:val="231F20"/>
          <w:w w:val="105"/>
        </w:rPr>
        <w:t> scientific</w:t>
      </w:r>
      <w:r>
        <w:rPr>
          <w:color w:val="231F20"/>
          <w:w w:val="105"/>
        </w:rPr>
        <w:t> manage- ment,”</w:t>
      </w:r>
      <w:r>
        <w:rPr>
          <w:color w:val="231F20"/>
          <w:w w:val="105"/>
        </w:rPr>
        <w:t> developed</w:t>
      </w:r>
      <w:r>
        <w:rPr>
          <w:color w:val="231F20"/>
          <w:w w:val="105"/>
        </w:rPr>
        <w:t> his</w:t>
      </w:r>
      <w:r>
        <w:rPr>
          <w:color w:val="231F20"/>
          <w:w w:val="105"/>
        </w:rPr>
        <w:t> scientific</w:t>
      </w:r>
      <w:r>
        <w:rPr>
          <w:color w:val="231F20"/>
          <w:w w:val="105"/>
        </w:rPr>
        <w:t> management</w:t>
      </w:r>
      <w:r>
        <w:rPr>
          <w:color w:val="231F20"/>
          <w:w w:val="105"/>
        </w:rPr>
        <w:t> theories</w:t>
      </w:r>
      <w:r>
        <w:rPr>
          <w:color w:val="231F20"/>
          <w:w w:val="105"/>
        </w:rPr>
        <w:t> in</w:t>
      </w:r>
      <w:r>
        <w:rPr>
          <w:color w:val="231F20"/>
          <w:w w:val="105"/>
        </w:rPr>
        <w:t> the</w:t>
      </w:r>
      <w:r>
        <w:rPr>
          <w:color w:val="231F20"/>
          <w:w w:val="105"/>
        </w:rPr>
        <w:t> late 1800s</w:t>
      </w:r>
      <w:r>
        <w:rPr>
          <w:color w:val="231F20"/>
          <w:spacing w:val="-13"/>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early</w:t>
      </w:r>
      <w:r>
        <w:rPr>
          <w:color w:val="231F20"/>
          <w:spacing w:val="-12"/>
          <w:w w:val="105"/>
        </w:rPr>
        <w:t> </w:t>
      </w:r>
      <w:r>
        <w:rPr>
          <w:color w:val="231F20"/>
          <w:w w:val="105"/>
        </w:rPr>
        <w:t>1900s.</w:t>
      </w:r>
      <w:r>
        <w:rPr>
          <w:color w:val="231F20"/>
          <w:spacing w:val="-12"/>
          <w:w w:val="105"/>
        </w:rPr>
        <w:t> </w:t>
      </w:r>
      <w:r>
        <w:rPr>
          <w:color w:val="231F20"/>
          <w:w w:val="105"/>
        </w:rPr>
        <w:t>He</w:t>
      </w:r>
      <w:r>
        <w:rPr>
          <w:color w:val="231F20"/>
          <w:spacing w:val="-12"/>
          <w:w w:val="105"/>
        </w:rPr>
        <w:t> </w:t>
      </w:r>
      <w:r>
        <w:rPr>
          <w:color w:val="231F20"/>
          <w:w w:val="105"/>
        </w:rPr>
        <w:t>studied,</w:t>
      </w:r>
      <w:r>
        <w:rPr>
          <w:color w:val="231F20"/>
          <w:spacing w:val="-12"/>
          <w:w w:val="105"/>
        </w:rPr>
        <w:t> </w:t>
      </w:r>
      <w:r>
        <w:rPr>
          <w:color w:val="231F20"/>
          <w:w w:val="105"/>
        </w:rPr>
        <w:t>measured,</w:t>
      </w:r>
      <w:r>
        <w:rPr>
          <w:color w:val="231F20"/>
          <w:spacing w:val="-13"/>
          <w:w w:val="105"/>
        </w:rPr>
        <w:t> </w:t>
      </w:r>
      <w:r>
        <w:rPr>
          <w:color w:val="231F20"/>
          <w:w w:val="105"/>
        </w:rPr>
        <w:t>and</w:t>
      </w:r>
      <w:r>
        <w:rPr>
          <w:color w:val="231F20"/>
          <w:spacing w:val="-12"/>
          <w:w w:val="105"/>
        </w:rPr>
        <w:t> </w:t>
      </w:r>
      <w:r>
        <w:rPr>
          <w:color w:val="231F20"/>
          <w:w w:val="105"/>
        </w:rPr>
        <w:t>documented the</w:t>
      </w:r>
      <w:r>
        <w:rPr>
          <w:color w:val="231F20"/>
          <w:w w:val="105"/>
        </w:rPr>
        <w:t> behavior</w:t>
      </w:r>
      <w:r>
        <w:rPr>
          <w:color w:val="231F20"/>
          <w:w w:val="105"/>
        </w:rPr>
        <w:t> of</w:t>
      </w:r>
      <w:r>
        <w:rPr>
          <w:color w:val="231F20"/>
          <w:w w:val="105"/>
        </w:rPr>
        <w:t> steelworkers.</w:t>
      </w:r>
      <w:r>
        <w:rPr>
          <w:color w:val="231F20"/>
          <w:w w:val="105"/>
        </w:rPr>
        <w:t> He</w:t>
      </w:r>
      <w:r>
        <w:rPr>
          <w:color w:val="231F20"/>
          <w:w w:val="105"/>
        </w:rPr>
        <w:t> showed</w:t>
      </w:r>
      <w:r>
        <w:rPr>
          <w:color w:val="231F20"/>
          <w:w w:val="105"/>
        </w:rPr>
        <w:t> that</w:t>
      </w:r>
      <w:r>
        <w:rPr>
          <w:color w:val="231F20"/>
          <w:w w:val="105"/>
        </w:rPr>
        <w:t> by</w:t>
      </w:r>
      <w:r>
        <w:rPr>
          <w:color w:val="231F20"/>
          <w:w w:val="105"/>
        </w:rPr>
        <w:t> breaking</w:t>
      </w:r>
      <w:r>
        <w:rPr>
          <w:color w:val="231F20"/>
          <w:w w:val="105"/>
        </w:rPr>
        <w:t> down</w:t>
      </w:r>
      <w:r>
        <w:rPr>
          <w:color w:val="231F20"/>
          <w:w w:val="105"/>
        </w:rPr>
        <w:t> a complex</w:t>
      </w:r>
      <w:r>
        <w:rPr>
          <w:color w:val="231F20"/>
          <w:spacing w:val="-11"/>
          <w:w w:val="105"/>
        </w:rPr>
        <w:t> </w:t>
      </w:r>
      <w:r>
        <w:rPr>
          <w:color w:val="231F20"/>
          <w:w w:val="105"/>
        </w:rPr>
        <w:t>task</w:t>
      </w:r>
      <w:r>
        <w:rPr>
          <w:color w:val="231F20"/>
          <w:spacing w:val="-11"/>
          <w:w w:val="105"/>
        </w:rPr>
        <w:t> </w:t>
      </w:r>
      <w:r>
        <w:rPr>
          <w:color w:val="231F20"/>
          <w:w w:val="105"/>
        </w:rPr>
        <w:t>into</w:t>
      </w:r>
      <w:r>
        <w:rPr>
          <w:color w:val="231F20"/>
          <w:spacing w:val="-11"/>
          <w:w w:val="105"/>
        </w:rPr>
        <w:t> </w:t>
      </w:r>
      <w:r>
        <w:rPr>
          <w:color w:val="231F20"/>
          <w:w w:val="105"/>
        </w:rPr>
        <w:t>smaller</w:t>
      </w:r>
      <w:r>
        <w:rPr>
          <w:color w:val="231F20"/>
          <w:spacing w:val="-11"/>
          <w:w w:val="105"/>
        </w:rPr>
        <w:t> </w:t>
      </w:r>
      <w:r>
        <w:rPr>
          <w:color w:val="231F20"/>
          <w:w w:val="105"/>
        </w:rPr>
        <w:t>component</w:t>
      </w:r>
      <w:r>
        <w:rPr>
          <w:color w:val="231F20"/>
          <w:spacing w:val="-11"/>
          <w:w w:val="105"/>
        </w:rPr>
        <w:t> </w:t>
      </w:r>
      <w:r>
        <w:rPr>
          <w:color w:val="231F20"/>
          <w:w w:val="105"/>
        </w:rPr>
        <w:t>tasks,</w:t>
      </w:r>
      <w:r>
        <w:rPr>
          <w:color w:val="231F20"/>
          <w:spacing w:val="-11"/>
          <w:w w:val="105"/>
        </w:rPr>
        <w:t> </w:t>
      </w:r>
      <w:r>
        <w:rPr>
          <w:color w:val="231F20"/>
          <w:w w:val="105"/>
        </w:rPr>
        <w:t>through</w:t>
      </w:r>
      <w:r>
        <w:rPr>
          <w:color w:val="231F20"/>
          <w:spacing w:val="-11"/>
          <w:w w:val="105"/>
        </w:rPr>
        <w:t> </w:t>
      </w:r>
      <w:r>
        <w:rPr>
          <w:color w:val="231F20"/>
          <w:w w:val="105"/>
        </w:rPr>
        <w:t>a</w:t>
      </w:r>
      <w:r>
        <w:rPr>
          <w:color w:val="231F20"/>
          <w:spacing w:val="-11"/>
          <w:w w:val="105"/>
        </w:rPr>
        <w:t> </w:t>
      </w:r>
      <w:r>
        <w:rPr>
          <w:color w:val="231F20"/>
          <w:w w:val="105"/>
        </w:rPr>
        <w:t>process</w:t>
      </w:r>
      <w:r>
        <w:rPr>
          <w:color w:val="231F20"/>
          <w:spacing w:val="-11"/>
          <w:w w:val="105"/>
        </w:rPr>
        <w:t> </w:t>
      </w:r>
      <w:r>
        <w:rPr>
          <w:color w:val="231F20"/>
          <w:w w:val="105"/>
        </w:rPr>
        <w:t>that he</w:t>
      </w:r>
      <w:r>
        <w:rPr>
          <w:color w:val="231F20"/>
          <w:spacing w:val="-13"/>
          <w:w w:val="105"/>
        </w:rPr>
        <w:t> </w:t>
      </w:r>
      <w:r>
        <w:rPr>
          <w:color w:val="231F20"/>
          <w:w w:val="105"/>
        </w:rPr>
        <w:t>called</w:t>
      </w:r>
      <w:r>
        <w:rPr>
          <w:color w:val="231F20"/>
          <w:spacing w:val="-12"/>
          <w:w w:val="105"/>
        </w:rPr>
        <w:t> </w:t>
      </w:r>
      <w:r>
        <w:rPr>
          <w:i/>
          <w:color w:val="231F20"/>
          <w:w w:val="105"/>
        </w:rPr>
        <w:t>job</w:t>
      </w:r>
      <w:r>
        <w:rPr>
          <w:i/>
          <w:color w:val="231F20"/>
          <w:spacing w:val="-12"/>
          <w:w w:val="105"/>
        </w:rPr>
        <w:t> </w:t>
      </w:r>
      <w:r>
        <w:rPr>
          <w:i/>
          <w:color w:val="231F20"/>
          <w:w w:val="105"/>
        </w:rPr>
        <w:t>fractionalization,</w:t>
      </w:r>
      <w:r>
        <w:rPr>
          <w:i/>
          <w:color w:val="231F20"/>
          <w:spacing w:val="-12"/>
          <w:w w:val="105"/>
        </w:rPr>
        <w:t> </w:t>
      </w:r>
      <w:r>
        <w:rPr>
          <w:color w:val="231F20"/>
          <w:w w:val="105"/>
        </w:rPr>
        <w:t>each</w:t>
      </w:r>
      <w:r>
        <w:rPr>
          <w:color w:val="231F20"/>
          <w:spacing w:val="-12"/>
          <w:w w:val="105"/>
        </w:rPr>
        <w:t> </w:t>
      </w:r>
      <w:r>
        <w:rPr>
          <w:color w:val="231F20"/>
          <w:w w:val="105"/>
        </w:rPr>
        <w:t>smaller</w:t>
      </w:r>
      <w:r>
        <w:rPr>
          <w:color w:val="231F20"/>
          <w:spacing w:val="-12"/>
          <w:w w:val="105"/>
        </w:rPr>
        <w:t> </w:t>
      </w:r>
      <w:r>
        <w:rPr>
          <w:color w:val="231F20"/>
          <w:w w:val="105"/>
        </w:rPr>
        <w:t>task</w:t>
      </w:r>
      <w:r>
        <w:rPr>
          <w:color w:val="231F20"/>
          <w:spacing w:val="-12"/>
          <w:w w:val="105"/>
        </w:rPr>
        <w:t> </w:t>
      </w:r>
      <w:r>
        <w:rPr>
          <w:color w:val="231F20"/>
          <w:w w:val="105"/>
        </w:rPr>
        <w:t>could</w:t>
      </w:r>
      <w:r>
        <w:rPr>
          <w:color w:val="231F20"/>
          <w:spacing w:val="-13"/>
          <w:w w:val="105"/>
        </w:rPr>
        <w:t> </w:t>
      </w:r>
      <w:r>
        <w:rPr>
          <w:color w:val="231F20"/>
          <w:w w:val="105"/>
        </w:rPr>
        <w:t>be</w:t>
      </w:r>
      <w:r>
        <w:rPr>
          <w:color w:val="231F20"/>
          <w:spacing w:val="-12"/>
          <w:w w:val="105"/>
        </w:rPr>
        <w:t> </w:t>
      </w:r>
      <w:r>
        <w:rPr>
          <w:color w:val="231F20"/>
          <w:w w:val="105"/>
        </w:rPr>
        <w:t>studied</w:t>
      </w:r>
      <w:r>
        <w:rPr>
          <w:color w:val="231F20"/>
          <w:spacing w:val="-12"/>
          <w:w w:val="105"/>
        </w:rPr>
        <w:t> </w:t>
      </w:r>
      <w:r>
        <w:rPr>
          <w:color w:val="231F20"/>
          <w:w w:val="105"/>
        </w:rPr>
        <w:t>to </w:t>
      </w:r>
      <w:r>
        <w:rPr>
          <w:color w:val="231F20"/>
        </w:rPr>
        <w:t>find the most efficient way of accomplishing it. By successfully com- </w:t>
      </w:r>
      <w:r>
        <w:rPr>
          <w:color w:val="231F20"/>
          <w:w w:val="105"/>
        </w:rPr>
        <w:t>bining</w:t>
      </w:r>
      <w:r>
        <w:rPr>
          <w:color w:val="231F20"/>
          <w:w w:val="105"/>
        </w:rPr>
        <w:t> the</w:t>
      </w:r>
      <w:r>
        <w:rPr>
          <w:color w:val="231F20"/>
          <w:w w:val="105"/>
        </w:rPr>
        <w:t> most</w:t>
      </w:r>
      <w:r>
        <w:rPr>
          <w:color w:val="231F20"/>
          <w:w w:val="105"/>
        </w:rPr>
        <w:t> efficient</w:t>
      </w:r>
      <w:r>
        <w:rPr>
          <w:color w:val="231F20"/>
          <w:w w:val="105"/>
        </w:rPr>
        <w:t> elements,</w:t>
      </w:r>
      <w:r>
        <w:rPr>
          <w:color w:val="231F20"/>
          <w:w w:val="105"/>
        </w:rPr>
        <w:t> the</w:t>
      </w:r>
      <w:r>
        <w:rPr>
          <w:color w:val="231F20"/>
          <w:w w:val="105"/>
        </w:rPr>
        <w:t> best</w:t>
      </w:r>
      <w:r>
        <w:rPr>
          <w:color w:val="231F20"/>
          <w:w w:val="105"/>
        </w:rPr>
        <w:t> production</w:t>
      </w:r>
      <w:r>
        <w:rPr>
          <w:color w:val="231F20"/>
          <w:w w:val="105"/>
        </w:rPr>
        <w:t> methods could</w:t>
      </w:r>
      <w:r>
        <w:rPr>
          <w:color w:val="231F20"/>
          <w:w w:val="105"/>
        </w:rPr>
        <w:t> be</w:t>
      </w:r>
      <w:r>
        <w:rPr>
          <w:color w:val="231F20"/>
          <w:w w:val="105"/>
        </w:rPr>
        <w:t> adopted.</w:t>
      </w:r>
      <w:r>
        <w:rPr>
          <w:color w:val="231F20"/>
          <w:w w:val="105"/>
        </w:rPr>
        <w:t> Taylor</w:t>
      </w:r>
      <w:r>
        <w:rPr>
          <w:color w:val="231F20"/>
          <w:w w:val="105"/>
        </w:rPr>
        <w:t> performed</w:t>
      </w:r>
      <w:r>
        <w:rPr>
          <w:color w:val="231F20"/>
          <w:w w:val="105"/>
        </w:rPr>
        <w:t> countless</w:t>
      </w:r>
      <w:r>
        <w:rPr>
          <w:color w:val="231F20"/>
          <w:w w:val="105"/>
        </w:rPr>
        <w:t> </w:t>
      </w:r>
      <w:r>
        <w:rPr>
          <w:i/>
          <w:color w:val="231F20"/>
          <w:w w:val="105"/>
        </w:rPr>
        <w:t>time</w:t>
      </w:r>
      <w:r>
        <w:rPr>
          <w:i/>
          <w:color w:val="231F20"/>
          <w:w w:val="105"/>
        </w:rPr>
        <w:t> and</w:t>
      </w:r>
      <w:r>
        <w:rPr>
          <w:i/>
          <w:color w:val="231F20"/>
          <w:w w:val="105"/>
        </w:rPr>
        <w:t> motion</w:t>
      </w:r>
      <w:r>
        <w:rPr>
          <w:i/>
          <w:color w:val="231F20"/>
          <w:w w:val="105"/>
        </w:rPr>
        <w:t> studies</w:t>
      </w:r>
      <w:r>
        <w:rPr>
          <w:i/>
          <w:color w:val="231F20"/>
          <w:w w:val="105"/>
        </w:rPr>
        <w:t> </w:t>
      </w:r>
      <w:r>
        <w:rPr>
          <w:color w:val="231F20"/>
          <w:w w:val="105"/>
        </w:rPr>
        <w:t>using</w:t>
      </w:r>
      <w:r>
        <w:rPr>
          <w:color w:val="231F20"/>
          <w:w w:val="105"/>
        </w:rPr>
        <w:t> a</w:t>
      </w:r>
      <w:r>
        <w:rPr>
          <w:color w:val="231F20"/>
          <w:w w:val="105"/>
        </w:rPr>
        <w:t> stopwatch</w:t>
      </w:r>
      <w:r>
        <w:rPr>
          <w:color w:val="231F20"/>
          <w:w w:val="105"/>
        </w:rPr>
        <w:t> to</w:t>
      </w:r>
      <w:r>
        <w:rPr>
          <w:color w:val="231F20"/>
          <w:w w:val="105"/>
        </w:rPr>
        <w:t> find</w:t>
      </w:r>
      <w:r>
        <w:rPr>
          <w:color w:val="231F20"/>
          <w:w w:val="105"/>
        </w:rPr>
        <w:t> the</w:t>
      </w:r>
      <w:r>
        <w:rPr>
          <w:color w:val="231F20"/>
          <w:w w:val="105"/>
        </w:rPr>
        <w:t> “one</w:t>
      </w:r>
      <w:r>
        <w:rPr>
          <w:color w:val="231F20"/>
          <w:w w:val="105"/>
        </w:rPr>
        <w:t> right</w:t>
      </w:r>
      <w:r>
        <w:rPr>
          <w:color w:val="231F20"/>
          <w:w w:val="105"/>
        </w:rPr>
        <w:t> way”</w:t>
      </w:r>
      <w:r>
        <w:rPr>
          <w:color w:val="231F20"/>
          <w:w w:val="105"/>
        </w:rPr>
        <w:t> of</w:t>
      </w:r>
      <w:r>
        <w:rPr>
          <w:color w:val="231F20"/>
          <w:w w:val="105"/>
        </w:rPr>
        <w:t> doing things.</w:t>
      </w:r>
      <w:r>
        <w:rPr>
          <w:color w:val="231F20"/>
          <w:spacing w:val="-5"/>
          <w:w w:val="105"/>
        </w:rPr>
        <w:t> </w:t>
      </w:r>
      <w:r>
        <w:rPr>
          <w:color w:val="231F20"/>
          <w:w w:val="105"/>
        </w:rPr>
        <w:t>In</w:t>
      </w:r>
      <w:r>
        <w:rPr>
          <w:color w:val="231F20"/>
          <w:spacing w:val="-4"/>
          <w:w w:val="105"/>
        </w:rPr>
        <w:t> </w:t>
      </w:r>
      <w:r>
        <w:rPr>
          <w:color w:val="231F20"/>
          <w:w w:val="105"/>
        </w:rPr>
        <w:t>Taylor’s</w:t>
      </w:r>
      <w:r>
        <w:rPr>
          <w:color w:val="231F20"/>
          <w:spacing w:val="-5"/>
          <w:w w:val="105"/>
        </w:rPr>
        <w:t> </w:t>
      </w:r>
      <w:r>
        <w:rPr>
          <w:color w:val="231F20"/>
          <w:w w:val="105"/>
        </w:rPr>
        <w:t>opinion,</w:t>
      </w:r>
      <w:r>
        <w:rPr>
          <w:color w:val="231F20"/>
          <w:spacing w:val="-4"/>
          <w:w w:val="105"/>
        </w:rPr>
        <w:t> </w:t>
      </w:r>
      <w:r>
        <w:rPr>
          <w:color w:val="231F20"/>
          <w:w w:val="105"/>
        </w:rPr>
        <w:t>it</w:t>
      </w:r>
      <w:r>
        <w:rPr>
          <w:color w:val="231F20"/>
          <w:spacing w:val="-5"/>
          <w:w w:val="105"/>
        </w:rPr>
        <w:t> </w:t>
      </w:r>
      <w:r>
        <w:rPr>
          <w:color w:val="231F20"/>
          <w:w w:val="105"/>
        </w:rPr>
        <w:t>was</w:t>
      </w:r>
      <w:r>
        <w:rPr>
          <w:color w:val="231F20"/>
          <w:spacing w:val="-4"/>
          <w:w w:val="105"/>
        </w:rPr>
        <w:t> </w:t>
      </w:r>
      <w:r>
        <w:rPr>
          <w:color w:val="231F20"/>
          <w:w w:val="105"/>
        </w:rPr>
        <w:t>in</w:t>
      </w:r>
      <w:r>
        <w:rPr>
          <w:color w:val="231F20"/>
          <w:spacing w:val="-5"/>
          <w:w w:val="105"/>
        </w:rPr>
        <w:t> </w:t>
      </w:r>
      <w:r>
        <w:rPr>
          <w:color w:val="231F20"/>
          <w:w w:val="105"/>
        </w:rPr>
        <w:t>a</w:t>
      </w:r>
      <w:r>
        <w:rPr>
          <w:color w:val="231F20"/>
          <w:spacing w:val="-4"/>
          <w:w w:val="105"/>
        </w:rPr>
        <w:t> </w:t>
      </w:r>
      <w:r>
        <w:rPr>
          <w:color w:val="231F20"/>
          <w:w w:val="105"/>
        </w:rPr>
        <w:t>worker’s</w:t>
      </w:r>
      <w:r>
        <w:rPr>
          <w:color w:val="231F20"/>
          <w:spacing w:val="-5"/>
          <w:w w:val="105"/>
        </w:rPr>
        <w:t> </w:t>
      </w:r>
      <w:r>
        <w:rPr>
          <w:color w:val="231F20"/>
          <w:w w:val="105"/>
        </w:rPr>
        <w:t>nature</w:t>
      </w:r>
      <w:r>
        <w:rPr>
          <w:color w:val="231F20"/>
          <w:spacing w:val="-4"/>
          <w:w w:val="105"/>
        </w:rPr>
        <w:t> </w:t>
      </w:r>
      <w:r>
        <w:rPr>
          <w:color w:val="231F20"/>
          <w:w w:val="105"/>
        </w:rPr>
        <w:t>to</w:t>
      </w:r>
      <w:r>
        <w:rPr>
          <w:color w:val="231F20"/>
          <w:spacing w:val="-5"/>
          <w:w w:val="105"/>
        </w:rPr>
        <w:t> </w:t>
      </w:r>
      <w:r>
        <w:rPr>
          <w:color w:val="231F20"/>
          <w:spacing w:val="-2"/>
          <w:w w:val="105"/>
        </w:rPr>
        <w:t>“soldier,”</w:t>
      </w:r>
    </w:p>
    <w:p>
      <w:pPr>
        <w:spacing w:after="0" w:line="292" w:lineRule="auto"/>
        <w:jc w:val="both"/>
        <w:sectPr>
          <w:headerReference w:type="even" r:id="rId98"/>
          <w:headerReference w:type="default" r:id="rId99"/>
          <w:pgSz w:w="8640" w:h="12960"/>
          <w:pgMar w:header="732" w:footer="0" w:top="920" w:bottom="280" w:left="340" w:right="500"/>
          <w:pgNumType w:start="252"/>
        </w:sectPr>
      </w:pPr>
    </w:p>
    <w:p>
      <w:pPr>
        <w:pStyle w:val="BodyText"/>
        <w:spacing w:before="8"/>
        <w:rPr>
          <w:sz w:val="17"/>
        </w:rPr>
      </w:pPr>
    </w:p>
    <w:p>
      <w:pPr>
        <w:pStyle w:val="BodyText"/>
        <w:spacing w:line="292" w:lineRule="auto" w:before="102"/>
        <w:ind w:left="920" w:right="666"/>
        <w:jc w:val="both"/>
      </w:pPr>
      <w:r>
        <w:rPr>
          <w:color w:val="231F20"/>
        </w:rPr>
        <w:t>meaning to slack off. Therefore, it was management’s </w:t>
      </w:r>
      <w:r>
        <w:rPr>
          <w:color w:val="231F20"/>
        </w:rPr>
        <w:t>responsibility to control the workplace and to force lazy workers to be efficient in spite of themselves.</w:t>
      </w:r>
    </w:p>
    <w:p>
      <w:pPr>
        <w:pStyle w:val="BodyText"/>
        <w:rPr>
          <w:sz w:val="24"/>
        </w:rPr>
      </w:pPr>
    </w:p>
    <w:p>
      <w:pPr>
        <w:pStyle w:val="BodyText"/>
        <w:rPr>
          <w:sz w:val="27"/>
        </w:rPr>
      </w:pPr>
    </w:p>
    <w:p>
      <w:pPr>
        <w:pStyle w:val="Heading6"/>
        <w:spacing w:before="1"/>
        <w:rPr>
          <w:i/>
        </w:rPr>
      </w:pPr>
      <w:r>
        <w:rPr>
          <w:i/>
          <w:color w:val="231F20"/>
          <w:w w:val="110"/>
        </w:rPr>
        <w:t>FRANK</w:t>
      </w:r>
      <w:r>
        <w:rPr>
          <w:i/>
          <w:color w:val="231F20"/>
          <w:spacing w:val="69"/>
          <w:w w:val="110"/>
        </w:rPr>
        <w:t> </w:t>
      </w:r>
      <w:r>
        <w:rPr>
          <w:i/>
          <w:color w:val="231F20"/>
          <w:w w:val="110"/>
        </w:rPr>
        <w:t>AND</w:t>
      </w:r>
      <w:r>
        <w:rPr>
          <w:i/>
          <w:color w:val="231F20"/>
          <w:spacing w:val="69"/>
          <w:w w:val="110"/>
        </w:rPr>
        <w:t> </w:t>
      </w:r>
      <w:r>
        <w:rPr>
          <w:i/>
          <w:color w:val="231F20"/>
          <w:w w:val="110"/>
        </w:rPr>
        <w:t>LILLIAN</w:t>
      </w:r>
      <w:r>
        <w:rPr>
          <w:i/>
          <w:color w:val="231F20"/>
          <w:spacing w:val="70"/>
          <w:w w:val="110"/>
        </w:rPr>
        <w:t> </w:t>
      </w:r>
      <w:r>
        <w:rPr>
          <w:i/>
          <w:color w:val="231F20"/>
          <w:spacing w:val="8"/>
          <w:w w:val="110"/>
        </w:rPr>
        <w:t>GILBRETH</w:t>
      </w:r>
    </w:p>
    <w:p>
      <w:pPr>
        <w:pStyle w:val="BodyText"/>
        <w:spacing w:before="1"/>
        <w:rPr>
          <w:b/>
          <w:i/>
          <w:sz w:val="30"/>
        </w:rPr>
      </w:pPr>
    </w:p>
    <w:p>
      <w:pPr>
        <w:pStyle w:val="BodyText"/>
        <w:spacing w:line="292" w:lineRule="auto" w:before="1"/>
        <w:ind w:left="919" w:right="664"/>
        <w:jc w:val="both"/>
      </w:pPr>
      <w:r>
        <w:rPr>
          <w:color w:val="231F20"/>
        </w:rPr>
        <w:t>The Gilbreths also studied ways to achieve peak factory efficiency. Their investigations led them to the development of a spectrum </w:t>
      </w:r>
      <w:r>
        <w:rPr>
          <w:color w:val="231F20"/>
        </w:rPr>
        <w:t>of seventeen types of body movements that covered the range of a fac- tory worker’s motion. Each motion was called a </w:t>
      </w:r>
      <w:r>
        <w:rPr>
          <w:i/>
          <w:color w:val="231F20"/>
        </w:rPr>
        <w:t>therblig. </w:t>
      </w:r>
      <w:r>
        <w:rPr>
          <w:color w:val="231F20"/>
        </w:rPr>
        <w:t>Like Tay-</w:t>
      </w:r>
      <w:r>
        <w:rPr>
          <w:color w:val="231F20"/>
          <w:spacing w:val="40"/>
        </w:rPr>
        <w:t> </w:t>
      </w:r>
      <w:r>
        <w:rPr>
          <w:color w:val="231F20"/>
        </w:rPr>
        <w:t>lor, the Gilbreths broke a complex task into its component parts. By understanding each element, one could simplify a job through the elimination of wasteful motion. Streamlining the task to its essential therbligs was key. Lillian’s children wrote about her attempts to streamline the chores of parenting a family of twelve children in a humorous book entitled </w:t>
      </w:r>
      <w:r>
        <w:rPr>
          <w:i/>
          <w:color w:val="231F20"/>
        </w:rPr>
        <w:t>Cheaper by the Dozen. </w:t>
      </w:r>
      <w:r>
        <w:rPr>
          <w:color w:val="231F20"/>
        </w:rPr>
        <w:t>In 1984 the U.S.</w:t>
      </w:r>
      <w:r>
        <w:rPr>
          <w:color w:val="231F20"/>
          <w:spacing w:val="80"/>
        </w:rPr>
        <w:t> </w:t>
      </w:r>
      <w:r>
        <w:rPr>
          <w:color w:val="231F20"/>
        </w:rPr>
        <w:t>Postal Service commemorated her contribution to business and liter- ature with a forty-cent stamp.</w:t>
      </w:r>
    </w:p>
    <w:p>
      <w:pPr>
        <w:pStyle w:val="BodyText"/>
        <w:rPr>
          <w:sz w:val="24"/>
        </w:rPr>
      </w:pPr>
    </w:p>
    <w:p>
      <w:pPr>
        <w:pStyle w:val="BodyText"/>
        <w:spacing w:before="9"/>
        <w:rPr>
          <w:sz w:val="26"/>
        </w:rPr>
      </w:pPr>
    </w:p>
    <w:p>
      <w:pPr>
        <w:pStyle w:val="Heading6"/>
        <w:rPr>
          <w:i/>
        </w:rPr>
      </w:pPr>
      <w:r>
        <w:rPr>
          <w:i/>
          <w:color w:val="231F20"/>
          <w:w w:val="110"/>
        </w:rPr>
        <w:t>ELTON</w:t>
      </w:r>
      <w:r>
        <w:rPr>
          <w:i/>
          <w:color w:val="231F20"/>
          <w:spacing w:val="68"/>
          <w:w w:val="110"/>
        </w:rPr>
        <w:t> </w:t>
      </w:r>
      <w:r>
        <w:rPr>
          <w:i/>
          <w:color w:val="231F20"/>
          <w:spacing w:val="-4"/>
          <w:w w:val="110"/>
        </w:rPr>
        <w:t>MAYO</w:t>
      </w:r>
    </w:p>
    <w:p>
      <w:pPr>
        <w:pStyle w:val="BodyText"/>
        <w:spacing w:before="2"/>
        <w:rPr>
          <w:b/>
          <w:i/>
          <w:sz w:val="30"/>
        </w:rPr>
      </w:pPr>
    </w:p>
    <w:p>
      <w:pPr>
        <w:pStyle w:val="BodyText"/>
        <w:spacing w:line="292" w:lineRule="auto"/>
        <w:ind w:left="920" w:right="666"/>
        <w:jc w:val="both"/>
      </w:pPr>
      <w:r>
        <w:rPr>
          <w:color w:val="231F20"/>
        </w:rPr>
        <w:t>Elton Mayo is considered the father of the </w:t>
      </w:r>
      <w:r>
        <w:rPr>
          <w:i/>
          <w:color w:val="231F20"/>
        </w:rPr>
        <w:t>human relations </w:t>
      </w:r>
      <w:r>
        <w:rPr>
          <w:color w:val="231F20"/>
        </w:rPr>
        <w:t>move- ment of production management. In his search for efficiency, </w:t>
      </w:r>
      <w:r>
        <w:rPr>
          <w:color w:val="231F20"/>
        </w:rPr>
        <w:t>Mayo believed that the emotional state of workers is just as important as finding the right combination of movements.</w:t>
      </w:r>
    </w:p>
    <w:p>
      <w:pPr>
        <w:pStyle w:val="BodyText"/>
        <w:spacing w:line="292" w:lineRule="auto"/>
        <w:ind w:left="919" w:right="663" w:firstLine="340"/>
        <w:jc w:val="both"/>
      </w:pPr>
      <w:r>
        <w:rPr>
          <w:color w:val="231F20"/>
        </w:rPr>
        <w:t>Mayo’s claim to fame came as a result of a series of experiments he conducted in 1927 at the Hawthorne Works of the Western Elec- tric Company. In those studies, he varied the intensity of light on the shop floor in an effort to discover the degree of lighting that would result in the greatest productivity. He found that regardless of changes in lighting, worker productivity increased. Knowing that</w:t>
      </w:r>
      <w:r>
        <w:rPr>
          <w:color w:val="231F20"/>
          <w:spacing w:val="40"/>
        </w:rPr>
        <w:t> </w:t>
      </w:r>
      <w:r>
        <w:rPr>
          <w:color w:val="231F20"/>
        </w:rPr>
        <w:t>they were the subject of a study made the workers act differently. That phenomenon came to be known as the </w:t>
      </w:r>
      <w:r>
        <w:rPr>
          <w:i/>
          <w:color w:val="231F20"/>
        </w:rPr>
        <w:t>Hawthorne effect. </w:t>
      </w:r>
      <w:r>
        <w:rPr>
          <w:color w:val="231F20"/>
        </w:rPr>
        <w:t>Puz- zled</w:t>
      </w:r>
      <w:r>
        <w:rPr>
          <w:color w:val="231F20"/>
          <w:spacing w:val="31"/>
        </w:rPr>
        <w:t> </w:t>
      </w:r>
      <w:r>
        <w:rPr>
          <w:color w:val="231F20"/>
        </w:rPr>
        <w:t>by</w:t>
      </w:r>
      <w:r>
        <w:rPr>
          <w:color w:val="231F20"/>
          <w:spacing w:val="32"/>
        </w:rPr>
        <w:t> </w:t>
      </w:r>
      <w:r>
        <w:rPr>
          <w:color w:val="231F20"/>
        </w:rPr>
        <w:t>the</w:t>
      </w:r>
      <w:r>
        <w:rPr>
          <w:color w:val="231F20"/>
          <w:spacing w:val="32"/>
        </w:rPr>
        <w:t> </w:t>
      </w:r>
      <w:r>
        <w:rPr>
          <w:color w:val="231F20"/>
        </w:rPr>
        <w:t>results,</w:t>
      </w:r>
      <w:r>
        <w:rPr>
          <w:color w:val="231F20"/>
          <w:spacing w:val="32"/>
        </w:rPr>
        <w:t> </w:t>
      </w:r>
      <w:r>
        <w:rPr>
          <w:color w:val="231F20"/>
        </w:rPr>
        <w:t>Mayo</w:t>
      </w:r>
      <w:r>
        <w:rPr>
          <w:color w:val="231F20"/>
          <w:spacing w:val="32"/>
        </w:rPr>
        <w:t> </w:t>
      </w:r>
      <w:r>
        <w:rPr>
          <w:color w:val="231F20"/>
        </w:rPr>
        <w:t>interviewed</w:t>
      </w:r>
      <w:r>
        <w:rPr>
          <w:color w:val="231F20"/>
          <w:spacing w:val="32"/>
        </w:rPr>
        <w:t> </w:t>
      </w:r>
      <w:r>
        <w:rPr>
          <w:color w:val="231F20"/>
        </w:rPr>
        <w:t>the</w:t>
      </w:r>
      <w:r>
        <w:rPr>
          <w:color w:val="231F20"/>
          <w:spacing w:val="32"/>
        </w:rPr>
        <w:t> </w:t>
      </w:r>
      <w:r>
        <w:rPr>
          <w:color w:val="231F20"/>
        </w:rPr>
        <w:t>workers</w:t>
      </w:r>
      <w:r>
        <w:rPr>
          <w:color w:val="231F20"/>
          <w:spacing w:val="32"/>
        </w:rPr>
        <w:t> </w:t>
      </w:r>
      <w:r>
        <w:rPr>
          <w:color w:val="231F20"/>
        </w:rPr>
        <w:t>and</w:t>
      </w:r>
      <w:r>
        <w:rPr>
          <w:color w:val="231F20"/>
          <w:spacing w:val="32"/>
        </w:rPr>
        <w:t> </w:t>
      </w:r>
      <w:r>
        <w:rPr>
          <w:color w:val="231F20"/>
        </w:rPr>
        <w:t>found</w:t>
      </w:r>
      <w:r>
        <w:rPr>
          <w:color w:val="231F20"/>
          <w:spacing w:val="32"/>
        </w:rPr>
        <w:t> </w:t>
      </w:r>
      <w:r>
        <w:rPr>
          <w:color w:val="231F20"/>
          <w:spacing w:val="-4"/>
        </w:rPr>
        <w:t>that</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they had performed better because during the experiment they were being treated better by their supervisors. The assembly line </w:t>
      </w:r>
      <w:r>
        <w:rPr>
          <w:color w:val="231F20"/>
        </w:rPr>
        <w:t>workers were further motivated because their menial tasks acquired greater meaning as part of an experiment.</w:t>
      </w:r>
    </w:p>
    <w:p>
      <w:pPr>
        <w:pStyle w:val="BodyText"/>
        <w:rPr>
          <w:sz w:val="24"/>
        </w:rPr>
      </w:pPr>
    </w:p>
    <w:p>
      <w:pPr>
        <w:pStyle w:val="BodyText"/>
        <w:rPr>
          <w:sz w:val="27"/>
        </w:rPr>
      </w:pPr>
    </w:p>
    <w:p>
      <w:pPr>
        <w:pStyle w:val="Heading6"/>
        <w:ind w:left="299"/>
        <w:rPr>
          <w:i/>
        </w:rPr>
      </w:pPr>
      <w:r>
        <w:rPr>
          <w:i/>
          <w:color w:val="231F20"/>
          <w:w w:val="110"/>
        </w:rPr>
        <w:t>WORLD</w:t>
      </w:r>
      <w:r>
        <w:rPr>
          <w:i/>
          <w:color w:val="231F20"/>
          <w:spacing w:val="29"/>
          <w:w w:val="110"/>
        </w:rPr>
        <w:t> </w:t>
      </w:r>
      <w:r>
        <w:rPr>
          <w:i/>
          <w:color w:val="231F20"/>
          <w:w w:val="110"/>
        </w:rPr>
        <w:t>WAR</w:t>
      </w:r>
      <w:r>
        <w:rPr>
          <w:i/>
          <w:color w:val="231F20"/>
          <w:spacing w:val="30"/>
          <w:w w:val="110"/>
        </w:rPr>
        <w:t> </w:t>
      </w:r>
      <w:r>
        <w:rPr>
          <w:i/>
          <w:color w:val="231F20"/>
          <w:w w:val="110"/>
        </w:rPr>
        <w:t>II</w:t>
      </w:r>
      <w:r>
        <w:rPr>
          <w:i/>
          <w:color w:val="231F20"/>
          <w:spacing w:val="30"/>
          <w:w w:val="110"/>
        </w:rPr>
        <w:t> </w:t>
      </w:r>
      <w:r>
        <w:rPr>
          <w:i/>
          <w:color w:val="231F20"/>
          <w:w w:val="110"/>
        </w:rPr>
        <w:t>AND</w:t>
      </w:r>
      <w:r>
        <w:rPr>
          <w:i/>
          <w:color w:val="231F20"/>
          <w:spacing w:val="30"/>
          <w:w w:val="110"/>
        </w:rPr>
        <w:t> </w:t>
      </w:r>
      <w:r>
        <w:rPr>
          <w:i/>
          <w:color w:val="231F20"/>
          <w:spacing w:val="5"/>
          <w:w w:val="110"/>
        </w:rPr>
        <w:t>THE</w:t>
      </w:r>
    </w:p>
    <w:p>
      <w:pPr>
        <w:spacing w:before="54"/>
        <w:ind w:left="299" w:right="219" w:firstLine="0"/>
        <w:jc w:val="center"/>
        <w:rPr>
          <w:b/>
          <w:i/>
          <w:sz w:val="21"/>
        </w:rPr>
      </w:pPr>
      <w:r>
        <w:rPr>
          <w:b/>
          <w:i/>
          <w:color w:val="231F20"/>
          <w:w w:val="110"/>
          <w:sz w:val="21"/>
        </w:rPr>
        <w:t>MANAGEMENT</w:t>
      </w:r>
      <w:r>
        <w:rPr>
          <w:b/>
          <w:i/>
          <w:color w:val="231F20"/>
          <w:spacing w:val="31"/>
          <w:w w:val="110"/>
          <w:sz w:val="21"/>
        </w:rPr>
        <w:t>  </w:t>
      </w:r>
      <w:r>
        <w:rPr>
          <w:b/>
          <w:i/>
          <w:color w:val="231F20"/>
          <w:w w:val="110"/>
          <w:sz w:val="21"/>
        </w:rPr>
        <w:t>SCIENCE</w:t>
      </w:r>
      <w:r>
        <w:rPr>
          <w:b/>
          <w:i/>
          <w:color w:val="231F20"/>
          <w:spacing w:val="31"/>
          <w:w w:val="110"/>
          <w:sz w:val="21"/>
        </w:rPr>
        <w:t>  </w:t>
      </w:r>
      <w:r>
        <w:rPr>
          <w:b/>
          <w:i/>
          <w:color w:val="231F20"/>
          <w:spacing w:val="8"/>
          <w:w w:val="110"/>
          <w:sz w:val="21"/>
        </w:rPr>
        <w:t>APPROACH</w:t>
      </w:r>
    </w:p>
    <w:p>
      <w:pPr>
        <w:pStyle w:val="BodyText"/>
        <w:spacing w:before="2"/>
        <w:rPr>
          <w:b/>
          <w:i/>
          <w:sz w:val="30"/>
        </w:rPr>
      </w:pPr>
    </w:p>
    <w:p>
      <w:pPr>
        <w:pStyle w:val="BodyText"/>
        <w:spacing w:line="292" w:lineRule="auto"/>
        <w:ind w:left="830" w:right="756"/>
        <w:jc w:val="both"/>
      </w:pPr>
      <w:r>
        <w:rPr>
          <w:color w:val="231F20"/>
        </w:rPr>
        <w:t>As the technology and the scale of industrialization became more complex, operational problems became more difficult to solve. </w:t>
      </w:r>
      <w:r>
        <w:rPr>
          <w:color w:val="231F20"/>
        </w:rPr>
        <w:t>Dur- ing World War II, production bottlenecks forced the government to turn to scientists and engineers to help achieve maximum military production. In seeking solutions, these pioneers created mathemati- cal models to apply to production problems. Today this branch of operational study is called </w:t>
      </w:r>
      <w:r>
        <w:rPr>
          <w:i/>
          <w:color w:val="231F20"/>
        </w:rPr>
        <w:t>operational research </w:t>
      </w:r>
      <w:r>
        <w:rPr>
          <w:color w:val="231F20"/>
        </w:rPr>
        <w:t>(OR). Some of those models are presented later in this chapter.</w:t>
      </w:r>
    </w:p>
    <w:p>
      <w:pPr>
        <w:pStyle w:val="BodyText"/>
        <w:rPr>
          <w:sz w:val="24"/>
        </w:rPr>
      </w:pPr>
    </w:p>
    <w:p>
      <w:pPr>
        <w:pStyle w:val="BodyText"/>
        <w:spacing w:before="11"/>
        <w:rPr>
          <w:sz w:val="26"/>
        </w:rPr>
      </w:pPr>
    </w:p>
    <w:p>
      <w:pPr>
        <w:pStyle w:val="Heading6"/>
        <w:ind w:left="288"/>
        <w:rPr>
          <w:i/>
        </w:rPr>
      </w:pPr>
      <w:r>
        <w:rPr>
          <w:i/>
          <w:color w:val="231F20"/>
          <w:w w:val="110"/>
        </w:rPr>
        <w:t>THEORY</w:t>
      </w:r>
      <w:r>
        <w:rPr>
          <w:i/>
          <w:color w:val="231F20"/>
          <w:spacing w:val="52"/>
          <w:w w:val="110"/>
        </w:rPr>
        <w:t> </w:t>
      </w:r>
      <w:r>
        <w:rPr>
          <w:i/>
          <w:color w:val="231F20"/>
          <w:w w:val="110"/>
        </w:rPr>
        <w:t>X,</w:t>
      </w:r>
      <w:r>
        <w:rPr>
          <w:i/>
          <w:color w:val="231F20"/>
          <w:spacing w:val="53"/>
          <w:w w:val="110"/>
        </w:rPr>
        <w:t> </w:t>
      </w:r>
      <w:r>
        <w:rPr>
          <w:i/>
          <w:color w:val="231F20"/>
          <w:w w:val="110"/>
        </w:rPr>
        <w:t>THEORY</w:t>
      </w:r>
      <w:r>
        <w:rPr>
          <w:i/>
          <w:color w:val="231F20"/>
          <w:spacing w:val="53"/>
          <w:w w:val="110"/>
        </w:rPr>
        <w:t> </w:t>
      </w:r>
      <w:r>
        <w:rPr>
          <w:i/>
          <w:color w:val="231F20"/>
          <w:w w:val="110"/>
        </w:rPr>
        <w:t>Y,</w:t>
      </w:r>
      <w:r>
        <w:rPr>
          <w:i/>
          <w:color w:val="231F20"/>
          <w:spacing w:val="53"/>
          <w:w w:val="110"/>
        </w:rPr>
        <w:t> </w:t>
      </w:r>
      <w:r>
        <w:rPr>
          <w:i/>
          <w:color w:val="231F20"/>
          <w:w w:val="110"/>
        </w:rPr>
        <w:t>AND</w:t>
      </w:r>
      <w:r>
        <w:rPr>
          <w:i/>
          <w:color w:val="231F20"/>
          <w:spacing w:val="53"/>
          <w:w w:val="110"/>
        </w:rPr>
        <w:t> </w:t>
      </w:r>
      <w:r>
        <w:rPr>
          <w:i/>
          <w:color w:val="231F20"/>
          <w:w w:val="110"/>
        </w:rPr>
        <w:t>THEORY</w:t>
      </w:r>
      <w:r>
        <w:rPr>
          <w:i/>
          <w:color w:val="231F20"/>
          <w:spacing w:val="53"/>
          <w:w w:val="110"/>
        </w:rPr>
        <w:t> </w:t>
      </w:r>
      <w:r>
        <w:rPr>
          <w:i/>
          <w:color w:val="231F20"/>
          <w:spacing w:val="-10"/>
          <w:w w:val="110"/>
        </w:rPr>
        <w:t>Z</w:t>
      </w:r>
    </w:p>
    <w:p>
      <w:pPr>
        <w:pStyle w:val="BodyText"/>
        <w:spacing w:before="2"/>
        <w:rPr>
          <w:b/>
          <w:i/>
          <w:sz w:val="30"/>
        </w:rPr>
      </w:pPr>
    </w:p>
    <w:p>
      <w:pPr>
        <w:pStyle w:val="BodyText"/>
        <w:spacing w:line="292" w:lineRule="auto"/>
        <w:ind w:left="830" w:right="756"/>
        <w:jc w:val="both"/>
      </w:pPr>
      <w:r>
        <w:rPr>
          <w:color w:val="231F20"/>
          <w:w w:val="105"/>
        </w:rPr>
        <w:t>In 1960, Douglas McGregor of MIT renamed Taylor’s scientific </w:t>
      </w:r>
      <w:r>
        <w:rPr>
          <w:color w:val="231F20"/>
          <w:w w:val="105"/>
        </w:rPr>
        <w:t>ap- proach</w:t>
      </w:r>
      <w:r>
        <w:rPr>
          <w:color w:val="231F20"/>
          <w:w w:val="105"/>
        </w:rPr>
        <w:t> to</w:t>
      </w:r>
      <w:r>
        <w:rPr>
          <w:color w:val="231F20"/>
          <w:w w:val="105"/>
        </w:rPr>
        <w:t> management</w:t>
      </w:r>
      <w:r>
        <w:rPr>
          <w:color w:val="231F20"/>
          <w:w w:val="105"/>
        </w:rPr>
        <w:t> </w:t>
      </w:r>
      <w:r>
        <w:rPr>
          <w:i/>
          <w:color w:val="231F20"/>
          <w:w w:val="105"/>
        </w:rPr>
        <w:t>Theory</w:t>
      </w:r>
      <w:r>
        <w:rPr>
          <w:i/>
          <w:color w:val="231F20"/>
          <w:w w:val="105"/>
        </w:rPr>
        <w:t> </w:t>
      </w:r>
      <w:r>
        <w:rPr>
          <w:i/>
          <w:color w:val="231F20"/>
          <w:w w:val="115"/>
        </w:rPr>
        <w:t>X</w:t>
      </w:r>
      <w:r>
        <w:rPr>
          <w:i/>
          <w:color w:val="231F20"/>
          <w:w w:val="115"/>
        </w:rPr>
        <w:t> </w:t>
      </w:r>
      <w:r>
        <w:rPr>
          <w:color w:val="231F20"/>
          <w:w w:val="105"/>
        </w:rPr>
        <w:t>and</w:t>
      </w:r>
      <w:r>
        <w:rPr>
          <w:color w:val="231F20"/>
          <w:w w:val="105"/>
        </w:rPr>
        <w:t> dubbed</w:t>
      </w:r>
      <w:r>
        <w:rPr>
          <w:color w:val="231F20"/>
          <w:w w:val="105"/>
        </w:rPr>
        <w:t> Mayo’s</w:t>
      </w:r>
      <w:r>
        <w:rPr>
          <w:color w:val="231F20"/>
          <w:w w:val="105"/>
        </w:rPr>
        <w:t> behavioral approach</w:t>
      </w:r>
      <w:r>
        <w:rPr>
          <w:color w:val="231F20"/>
          <w:spacing w:val="-13"/>
          <w:w w:val="105"/>
        </w:rPr>
        <w:t> </w:t>
      </w:r>
      <w:r>
        <w:rPr>
          <w:i/>
          <w:color w:val="231F20"/>
          <w:w w:val="105"/>
        </w:rPr>
        <w:t>Theory</w:t>
      </w:r>
      <w:r>
        <w:rPr>
          <w:i/>
          <w:color w:val="231F20"/>
          <w:spacing w:val="-10"/>
          <w:w w:val="105"/>
        </w:rPr>
        <w:t> </w:t>
      </w:r>
      <w:r>
        <w:rPr>
          <w:i/>
          <w:color w:val="231F20"/>
          <w:w w:val="115"/>
        </w:rPr>
        <w:t>Y.</w:t>
      </w:r>
      <w:r>
        <w:rPr>
          <w:i/>
          <w:color w:val="231F20"/>
          <w:spacing w:val="-14"/>
          <w:w w:val="115"/>
        </w:rPr>
        <w:t> </w:t>
      </w:r>
      <w:r>
        <w:rPr>
          <w:color w:val="231F20"/>
          <w:w w:val="105"/>
        </w:rPr>
        <w:t>By</w:t>
      </w:r>
      <w:r>
        <w:rPr>
          <w:color w:val="231F20"/>
          <w:spacing w:val="-10"/>
          <w:w w:val="105"/>
        </w:rPr>
        <w:t> </w:t>
      </w:r>
      <w:r>
        <w:rPr>
          <w:color w:val="231F20"/>
          <w:w w:val="105"/>
        </w:rPr>
        <w:t>repackaging</w:t>
      </w:r>
      <w:r>
        <w:rPr>
          <w:color w:val="231F20"/>
          <w:spacing w:val="-11"/>
          <w:w w:val="105"/>
        </w:rPr>
        <w:t> </w:t>
      </w:r>
      <w:r>
        <w:rPr>
          <w:color w:val="231F20"/>
          <w:w w:val="105"/>
        </w:rPr>
        <w:t>these</w:t>
      </w:r>
      <w:r>
        <w:rPr>
          <w:color w:val="231F20"/>
          <w:spacing w:val="-11"/>
          <w:w w:val="105"/>
        </w:rPr>
        <w:t> </w:t>
      </w:r>
      <w:r>
        <w:rPr>
          <w:color w:val="231F20"/>
          <w:w w:val="105"/>
        </w:rPr>
        <w:t>theories,</w:t>
      </w:r>
      <w:r>
        <w:rPr>
          <w:color w:val="231F20"/>
          <w:spacing w:val="-11"/>
          <w:w w:val="105"/>
        </w:rPr>
        <w:t> </w:t>
      </w:r>
      <w:r>
        <w:rPr>
          <w:color w:val="231F20"/>
          <w:w w:val="105"/>
        </w:rPr>
        <w:t>he</w:t>
      </w:r>
      <w:r>
        <w:rPr>
          <w:color w:val="231F20"/>
          <w:spacing w:val="-11"/>
          <w:w w:val="105"/>
        </w:rPr>
        <w:t> </w:t>
      </w:r>
      <w:r>
        <w:rPr>
          <w:color w:val="231F20"/>
          <w:w w:val="105"/>
        </w:rPr>
        <w:t>made</w:t>
      </w:r>
      <w:r>
        <w:rPr>
          <w:color w:val="231F20"/>
          <w:spacing w:val="-11"/>
          <w:w w:val="105"/>
        </w:rPr>
        <w:t> </w:t>
      </w:r>
      <w:r>
        <w:rPr>
          <w:color w:val="231F20"/>
          <w:w w:val="105"/>
        </w:rPr>
        <w:t>a</w:t>
      </w:r>
      <w:r>
        <w:rPr>
          <w:color w:val="231F20"/>
          <w:spacing w:val="-11"/>
          <w:w w:val="105"/>
        </w:rPr>
        <w:t> </w:t>
      </w:r>
      <w:r>
        <w:rPr>
          <w:color w:val="231F20"/>
          <w:w w:val="105"/>
        </w:rPr>
        <w:t>place for himself in the operational history books.</w:t>
      </w:r>
    </w:p>
    <w:p>
      <w:pPr>
        <w:pStyle w:val="BodyText"/>
        <w:spacing w:line="292" w:lineRule="auto"/>
        <w:ind w:left="830" w:right="756" w:firstLine="340"/>
        <w:jc w:val="both"/>
      </w:pPr>
      <w:r>
        <w:rPr>
          <w:color w:val="231F20"/>
          <w:w w:val="105"/>
        </w:rPr>
        <w:t>Theory</w:t>
      </w:r>
      <w:r>
        <w:rPr>
          <w:color w:val="231F20"/>
          <w:spacing w:val="-12"/>
          <w:w w:val="105"/>
        </w:rPr>
        <w:t> </w:t>
      </w:r>
      <w:r>
        <w:rPr>
          <w:color w:val="231F20"/>
          <w:w w:val="110"/>
        </w:rPr>
        <w:t>X</w:t>
      </w:r>
      <w:r>
        <w:rPr>
          <w:color w:val="231F20"/>
          <w:spacing w:val="-13"/>
          <w:w w:val="110"/>
        </w:rPr>
        <w:t> </w:t>
      </w:r>
      <w:r>
        <w:rPr>
          <w:color w:val="231F20"/>
          <w:w w:val="105"/>
        </w:rPr>
        <w:t>adherents,</w:t>
      </w:r>
      <w:r>
        <w:rPr>
          <w:color w:val="231F20"/>
          <w:spacing w:val="-11"/>
          <w:w w:val="105"/>
        </w:rPr>
        <w:t> </w:t>
      </w:r>
      <w:r>
        <w:rPr>
          <w:color w:val="231F20"/>
          <w:w w:val="105"/>
        </w:rPr>
        <w:t>like</w:t>
      </w:r>
      <w:r>
        <w:rPr>
          <w:color w:val="231F20"/>
          <w:spacing w:val="-12"/>
          <w:w w:val="105"/>
        </w:rPr>
        <w:t> </w:t>
      </w:r>
      <w:r>
        <w:rPr>
          <w:color w:val="231F20"/>
          <w:w w:val="105"/>
        </w:rPr>
        <w:t>Taylor,</w:t>
      </w:r>
      <w:r>
        <w:rPr>
          <w:color w:val="231F20"/>
          <w:spacing w:val="-11"/>
          <w:w w:val="105"/>
        </w:rPr>
        <w:t> </w:t>
      </w:r>
      <w:r>
        <w:rPr>
          <w:color w:val="231F20"/>
          <w:w w:val="105"/>
        </w:rPr>
        <w:t>take</w:t>
      </w:r>
      <w:r>
        <w:rPr>
          <w:color w:val="231F20"/>
          <w:spacing w:val="-12"/>
          <w:w w:val="105"/>
        </w:rPr>
        <w:t> </w:t>
      </w:r>
      <w:r>
        <w:rPr>
          <w:color w:val="231F20"/>
          <w:w w:val="105"/>
        </w:rPr>
        <w:t>a</w:t>
      </w:r>
      <w:r>
        <w:rPr>
          <w:color w:val="231F20"/>
          <w:spacing w:val="-11"/>
          <w:w w:val="105"/>
        </w:rPr>
        <w:t> </w:t>
      </w:r>
      <w:r>
        <w:rPr>
          <w:color w:val="231F20"/>
          <w:w w:val="105"/>
        </w:rPr>
        <w:t>more</w:t>
      </w:r>
      <w:r>
        <w:rPr>
          <w:color w:val="231F20"/>
          <w:spacing w:val="-12"/>
          <w:w w:val="105"/>
        </w:rPr>
        <w:t> </w:t>
      </w:r>
      <w:r>
        <w:rPr>
          <w:color w:val="231F20"/>
          <w:w w:val="105"/>
        </w:rPr>
        <w:t>“pessimistic”</w:t>
      </w:r>
      <w:r>
        <w:rPr>
          <w:color w:val="231F20"/>
          <w:spacing w:val="-11"/>
          <w:w w:val="105"/>
        </w:rPr>
        <w:t> </w:t>
      </w:r>
      <w:r>
        <w:rPr>
          <w:color w:val="231F20"/>
          <w:w w:val="105"/>
        </w:rPr>
        <w:t>view </w:t>
      </w:r>
      <w:r>
        <w:rPr>
          <w:color w:val="231F20"/>
        </w:rPr>
        <w:t>of human behavior. They believe that people are inherently lazy and need to be pushed to produce with rewards and punishments. Work- ers lack creativity and ambition and have little to offer management </w:t>
      </w:r>
      <w:r>
        <w:rPr>
          <w:color w:val="231F20"/>
          <w:w w:val="105"/>
        </w:rPr>
        <w:t>other than their labor.</w:t>
      </w:r>
    </w:p>
    <w:p>
      <w:pPr>
        <w:pStyle w:val="BodyText"/>
        <w:spacing w:line="292" w:lineRule="auto"/>
        <w:ind w:left="830" w:right="756" w:firstLine="340"/>
        <w:jc w:val="both"/>
      </w:pPr>
      <w:r>
        <w:rPr>
          <w:color w:val="231F20"/>
        </w:rPr>
        <w:t>Theory Y adherents, like Mayo, believe that workers are self- motivated given a supportive work environment. Workers are </w:t>
      </w:r>
      <w:r>
        <w:rPr>
          <w:color w:val="231F20"/>
        </w:rPr>
        <w:t>inven- tive and should be consulted for ideas to improve productivity. They are also capable of assuming more responsibility for their work.</w:t>
      </w:r>
    </w:p>
    <w:p>
      <w:pPr>
        <w:pStyle w:val="BodyText"/>
        <w:spacing w:line="292" w:lineRule="auto"/>
        <w:ind w:left="830" w:right="756" w:firstLine="340"/>
        <w:jc w:val="both"/>
        <w:rPr>
          <w:i/>
        </w:rPr>
      </w:pPr>
      <w:r>
        <w:rPr>
          <w:color w:val="231F20"/>
          <w:w w:val="105"/>
        </w:rPr>
        <w:t>In the 1980s Theory Y was taken a step further. William Ouchi </w:t>
      </w:r>
      <w:r>
        <w:rPr>
          <w:color w:val="231F20"/>
        </w:rPr>
        <w:t>called</w:t>
      </w:r>
      <w:r>
        <w:rPr>
          <w:color w:val="231F20"/>
          <w:spacing w:val="16"/>
        </w:rPr>
        <w:t> </w:t>
      </w:r>
      <w:r>
        <w:rPr>
          <w:color w:val="231F20"/>
        </w:rPr>
        <w:t>the</w:t>
      </w:r>
      <w:r>
        <w:rPr>
          <w:color w:val="231F20"/>
          <w:spacing w:val="16"/>
        </w:rPr>
        <w:t> </w:t>
      </w:r>
      <w:r>
        <w:rPr>
          <w:color w:val="231F20"/>
        </w:rPr>
        <w:t>benevolent</w:t>
      </w:r>
      <w:r>
        <w:rPr>
          <w:color w:val="231F20"/>
          <w:spacing w:val="16"/>
        </w:rPr>
        <w:t> </w:t>
      </w:r>
      <w:r>
        <w:rPr>
          <w:color w:val="231F20"/>
        </w:rPr>
        <w:t>Theory</w:t>
      </w:r>
      <w:r>
        <w:rPr>
          <w:color w:val="231F20"/>
          <w:spacing w:val="16"/>
        </w:rPr>
        <w:t> </w:t>
      </w:r>
      <w:r>
        <w:rPr>
          <w:color w:val="231F20"/>
        </w:rPr>
        <w:t>Y</w:t>
      </w:r>
      <w:r>
        <w:rPr>
          <w:color w:val="231F20"/>
          <w:spacing w:val="17"/>
        </w:rPr>
        <w:t> </w:t>
      </w:r>
      <w:r>
        <w:rPr>
          <w:color w:val="231F20"/>
        </w:rPr>
        <w:t>used</w:t>
      </w:r>
      <w:r>
        <w:rPr>
          <w:color w:val="231F20"/>
          <w:spacing w:val="16"/>
        </w:rPr>
        <w:t> </w:t>
      </w:r>
      <w:r>
        <w:rPr>
          <w:color w:val="231F20"/>
        </w:rPr>
        <w:t>by</w:t>
      </w:r>
      <w:r>
        <w:rPr>
          <w:color w:val="231F20"/>
          <w:spacing w:val="16"/>
        </w:rPr>
        <w:t> </w:t>
      </w:r>
      <w:r>
        <w:rPr>
          <w:color w:val="231F20"/>
        </w:rPr>
        <w:t>Japanese</w:t>
      </w:r>
      <w:r>
        <w:rPr>
          <w:color w:val="231F20"/>
          <w:spacing w:val="16"/>
        </w:rPr>
        <w:t> </w:t>
      </w:r>
      <w:r>
        <w:rPr>
          <w:color w:val="231F20"/>
        </w:rPr>
        <w:t>management</w:t>
      </w:r>
      <w:r>
        <w:rPr>
          <w:color w:val="231F20"/>
          <w:spacing w:val="15"/>
        </w:rPr>
        <w:t> </w:t>
      </w:r>
      <w:r>
        <w:rPr>
          <w:i/>
          <w:color w:val="231F20"/>
          <w:spacing w:val="-4"/>
        </w:rPr>
        <w:t>The-</w:t>
      </w:r>
    </w:p>
    <w:p>
      <w:pPr>
        <w:spacing w:after="0" w:line="292" w:lineRule="auto"/>
        <w:jc w:val="both"/>
        <w:sectPr>
          <w:pgSz w:w="8640" w:h="12960"/>
          <w:pgMar w:header="732" w:footer="0" w:top="920" w:bottom="280" w:left="340" w:right="500"/>
        </w:sectPr>
      </w:pPr>
    </w:p>
    <w:p>
      <w:pPr>
        <w:pStyle w:val="BodyText"/>
        <w:spacing w:before="8"/>
        <w:rPr>
          <w:i/>
          <w:sz w:val="17"/>
        </w:rPr>
      </w:pPr>
    </w:p>
    <w:p>
      <w:pPr>
        <w:pStyle w:val="BodyText"/>
        <w:spacing w:line="292" w:lineRule="auto" w:before="102"/>
        <w:ind w:left="919" w:right="666"/>
        <w:jc w:val="both"/>
      </w:pPr>
      <w:r>
        <w:rPr>
          <w:i/>
          <w:color w:val="231F20"/>
          <w:w w:val="105"/>
        </w:rPr>
        <w:t>ory </w:t>
      </w:r>
      <w:r>
        <w:rPr>
          <w:i/>
          <w:color w:val="231F20"/>
          <w:w w:val="115"/>
        </w:rPr>
        <w:t>Z.</w:t>
      </w:r>
      <w:r>
        <w:rPr>
          <w:i/>
          <w:color w:val="231F20"/>
          <w:spacing w:val="-2"/>
          <w:w w:val="115"/>
        </w:rPr>
        <w:t> </w:t>
      </w:r>
      <w:r>
        <w:rPr>
          <w:color w:val="231F20"/>
          <w:w w:val="105"/>
        </w:rPr>
        <w:t>In the mid-1980s some “experts” thought Theory </w:t>
      </w:r>
      <w:r>
        <w:rPr>
          <w:color w:val="231F20"/>
          <w:w w:val="115"/>
        </w:rPr>
        <w:t>Z</w:t>
      </w:r>
      <w:r>
        <w:rPr>
          <w:color w:val="231F20"/>
          <w:spacing w:val="-1"/>
          <w:w w:val="115"/>
        </w:rPr>
        <w:t> </w:t>
      </w:r>
      <w:r>
        <w:rPr>
          <w:color w:val="231F20"/>
          <w:w w:val="105"/>
        </w:rPr>
        <w:t>was </w:t>
      </w:r>
      <w:r>
        <w:rPr>
          <w:color w:val="231F20"/>
          <w:w w:val="105"/>
        </w:rPr>
        <w:t>the </w:t>
      </w:r>
      <w:r>
        <w:rPr>
          <w:color w:val="231F20"/>
          <w:spacing w:val="-2"/>
          <w:w w:val="105"/>
        </w:rPr>
        <w:t>secret</w:t>
      </w:r>
      <w:r>
        <w:rPr>
          <w:color w:val="231F20"/>
          <w:spacing w:val="-3"/>
          <w:w w:val="105"/>
        </w:rPr>
        <w:t> </w:t>
      </w:r>
      <w:r>
        <w:rPr>
          <w:color w:val="231F20"/>
          <w:spacing w:val="-2"/>
          <w:w w:val="105"/>
        </w:rPr>
        <w:t>of</w:t>
      </w:r>
      <w:r>
        <w:rPr>
          <w:color w:val="231F20"/>
          <w:spacing w:val="-3"/>
          <w:w w:val="105"/>
        </w:rPr>
        <w:t> </w:t>
      </w:r>
      <w:r>
        <w:rPr>
          <w:color w:val="231F20"/>
          <w:spacing w:val="-2"/>
          <w:w w:val="105"/>
        </w:rPr>
        <w:t>the</w:t>
      </w:r>
      <w:r>
        <w:rPr>
          <w:color w:val="231F20"/>
          <w:spacing w:val="-3"/>
          <w:w w:val="105"/>
        </w:rPr>
        <w:t> </w:t>
      </w:r>
      <w:r>
        <w:rPr>
          <w:color w:val="231F20"/>
          <w:spacing w:val="-2"/>
          <w:w w:val="105"/>
        </w:rPr>
        <w:t>Japanese</w:t>
      </w:r>
      <w:r>
        <w:rPr>
          <w:color w:val="231F20"/>
          <w:spacing w:val="-3"/>
          <w:w w:val="105"/>
        </w:rPr>
        <w:t> </w:t>
      </w:r>
      <w:r>
        <w:rPr>
          <w:color w:val="231F20"/>
          <w:spacing w:val="-2"/>
          <w:w w:val="105"/>
        </w:rPr>
        <w:t>competitive</w:t>
      </w:r>
      <w:r>
        <w:rPr>
          <w:color w:val="231F20"/>
          <w:spacing w:val="-3"/>
          <w:w w:val="105"/>
        </w:rPr>
        <w:t> </w:t>
      </w:r>
      <w:r>
        <w:rPr>
          <w:color w:val="231F20"/>
          <w:spacing w:val="-2"/>
          <w:w w:val="105"/>
        </w:rPr>
        <w:t>advantage.</w:t>
      </w:r>
      <w:r>
        <w:rPr>
          <w:color w:val="231F20"/>
          <w:spacing w:val="-3"/>
          <w:w w:val="105"/>
        </w:rPr>
        <w:t> </w:t>
      </w:r>
      <w:r>
        <w:rPr>
          <w:color w:val="231F20"/>
          <w:spacing w:val="-2"/>
          <w:w w:val="105"/>
        </w:rPr>
        <w:t>Using</w:t>
      </w:r>
      <w:r>
        <w:rPr>
          <w:color w:val="231F20"/>
          <w:spacing w:val="-3"/>
          <w:w w:val="105"/>
        </w:rPr>
        <w:t> </w:t>
      </w:r>
      <w:r>
        <w:rPr>
          <w:color w:val="231F20"/>
          <w:spacing w:val="-2"/>
          <w:w w:val="110"/>
        </w:rPr>
        <w:t>Z,</w:t>
      </w:r>
      <w:r>
        <w:rPr>
          <w:color w:val="231F20"/>
          <w:spacing w:val="-5"/>
          <w:w w:val="110"/>
        </w:rPr>
        <w:t> </w:t>
      </w:r>
      <w:r>
        <w:rPr>
          <w:color w:val="231F20"/>
          <w:spacing w:val="-2"/>
          <w:w w:val="105"/>
        </w:rPr>
        <w:t>the</w:t>
      </w:r>
      <w:r>
        <w:rPr>
          <w:color w:val="231F20"/>
          <w:spacing w:val="-3"/>
          <w:w w:val="105"/>
        </w:rPr>
        <w:t> </w:t>
      </w:r>
      <w:r>
        <w:rPr>
          <w:color w:val="231F20"/>
          <w:spacing w:val="-2"/>
          <w:w w:val="105"/>
        </w:rPr>
        <w:t>Japanese </w:t>
      </w:r>
      <w:r>
        <w:rPr>
          <w:color w:val="231F20"/>
          <w:w w:val="105"/>
        </w:rPr>
        <w:t>bring</w:t>
      </w:r>
      <w:r>
        <w:rPr>
          <w:color w:val="231F20"/>
          <w:spacing w:val="-12"/>
          <w:w w:val="105"/>
        </w:rPr>
        <w:t> </w:t>
      </w:r>
      <w:r>
        <w:rPr>
          <w:color w:val="231F20"/>
          <w:w w:val="105"/>
        </w:rPr>
        <w:t>together</w:t>
      </w:r>
      <w:r>
        <w:rPr>
          <w:color w:val="231F20"/>
          <w:spacing w:val="-12"/>
          <w:w w:val="105"/>
        </w:rPr>
        <w:t> </w:t>
      </w:r>
      <w:r>
        <w:rPr>
          <w:color w:val="231F20"/>
          <w:w w:val="105"/>
        </w:rPr>
        <w:t>management</w:t>
      </w:r>
      <w:r>
        <w:rPr>
          <w:color w:val="231F20"/>
          <w:spacing w:val="-12"/>
          <w:w w:val="105"/>
        </w:rPr>
        <w:t> </w:t>
      </w:r>
      <w:r>
        <w:rPr>
          <w:color w:val="231F20"/>
          <w:w w:val="105"/>
        </w:rPr>
        <w:t>and</w:t>
      </w:r>
      <w:r>
        <w:rPr>
          <w:color w:val="231F20"/>
          <w:spacing w:val="-12"/>
          <w:w w:val="105"/>
        </w:rPr>
        <w:t> </w:t>
      </w:r>
      <w:r>
        <w:rPr>
          <w:color w:val="231F20"/>
          <w:w w:val="105"/>
        </w:rPr>
        <w:t>workers</w:t>
      </w:r>
      <w:r>
        <w:rPr>
          <w:color w:val="231F20"/>
          <w:spacing w:val="-12"/>
          <w:w w:val="105"/>
        </w:rPr>
        <w:t> </w:t>
      </w:r>
      <w:r>
        <w:rPr>
          <w:color w:val="231F20"/>
          <w:w w:val="105"/>
        </w:rPr>
        <w:t>in</w:t>
      </w:r>
      <w:r>
        <w:rPr>
          <w:color w:val="231F20"/>
          <w:spacing w:val="-12"/>
          <w:w w:val="105"/>
        </w:rPr>
        <w:t> </w:t>
      </w:r>
      <w:r>
        <w:rPr>
          <w:color w:val="231F20"/>
          <w:w w:val="105"/>
        </w:rPr>
        <w:t>cohesive</w:t>
      </w:r>
      <w:r>
        <w:rPr>
          <w:color w:val="231F20"/>
          <w:spacing w:val="-12"/>
          <w:w w:val="105"/>
        </w:rPr>
        <w:t> </w:t>
      </w:r>
      <w:r>
        <w:rPr>
          <w:color w:val="231F20"/>
          <w:w w:val="105"/>
        </w:rPr>
        <w:t>work</w:t>
      </w:r>
      <w:r>
        <w:rPr>
          <w:color w:val="231F20"/>
          <w:spacing w:val="-12"/>
          <w:w w:val="105"/>
        </w:rPr>
        <w:t> </w:t>
      </w:r>
      <w:r>
        <w:rPr>
          <w:color w:val="231F20"/>
          <w:w w:val="105"/>
        </w:rPr>
        <w:t>groups. Everyone</w:t>
      </w:r>
      <w:r>
        <w:rPr>
          <w:color w:val="231F20"/>
          <w:w w:val="105"/>
        </w:rPr>
        <w:t> is</w:t>
      </w:r>
      <w:r>
        <w:rPr>
          <w:color w:val="231F20"/>
          <w:w w:val="105"/>
        </w:rPr>
        <w:t> part</w:t>
      </w:r>
      <w:r>
        <w:rPr>
          <w:color w:val="231F20"/>
          <w:w w:val="105"/>
        </w:rPr>
        <w:t> of</w:t>
      </w:r>
      <w:r>
        <w:rPr>
          <w:color w:val="231F20"/>
          <w:w w:val="105"/>
        </w:rPr>
        <w:t> a</w:t>
      </w:r>
      <w:r>
        <w:rPr>
          <w:color w:val="231F20"/>
          <w:w w:val="105"/>
        </w:rPr>
        <w:t> consensual</w:t>
      </w:r>
      <w:r>
        <w:rPr>
          <w:color w:val="231F20"/>
          <w:w w:val="105"/>
        </w:rPr>
        <w:t> decision-making</w:t>
      </w:r>
      <w:r>
        <w:rPr>
          <w:color w:val="231F20"/>
          <w:w w:val="105"/>
        </w:rPr>
        <w:t> process.</w:t>
      </w:r>
      <w:r>
        <w:rPr>
          <w:color w:val="231F20"/>
          <w:w w:val="105"/>
        </w:rPr>
        <w:t> To</w:t>
      </w:r>
      <w:r>
        <w:rPr>
          <w:color w:val="231F20"/>
          <w:w w:val="105"/>
        </w:rPr>
        <w:t> im- prove</w:t>
      </w:r>
      <w:r>
        <w:rPr>
          <w:color w:val="231F20"/>
          <w:w w:val="105"/>
        </w:rPr>
        <w:t> quality,</w:t>
      </w:r>
      <w:r>
        <w:rPr>
          <w:color w:val="231F20"/>
          <w:w w:val="105"/>
        </w:rPr>
        <w:t> workers</w:t>
      </w:r>
      <w:r>
        <w:rPr>
          <w:color w:val="231F20"/>
          <w:w w:val="105"/>
        </w:rPr>
        <w:t> and</w:t>
      </w:r>
      <w:r>
        <w:rPr>
          <w:color w:val="231F20"/>
          <w:w w:val="105"/>
        </w:rPr>
        <w:t> management</w:t>
      </w:r>
      <w:r>
        <w:rPr>
          <w:color w:val="231F20"/>
          <w:w w:val="105"/>
        </w:rPr>
        <w:t> work</w:t>
      </w:r>
      <w:r>
        <w:rPr>
          <w:color w:val="231F20"/>
          <w:w w:val="105"/>
        </w:rPr>
        <w:t> together</w:t>
      </w:r>
      <w:r>
        <w:rPr>
          <w:color w:val="231F20"/>
          <w:w w:val="105"/>
        </w:rPr>
        <w:t> in</w:t>
      </w:r>
      <w:r>
        <w:rPr>
          <w:color w:val="231F20"/>
          <w:w w:val="105"/>
        </w:rPr>
        <w:t> </w:t>
      </w:r>
      <w:r>
        <w:rPr>
          <w:i/>
          <w:color w:val="231F20"/>
          <w:w w:val="105"/>
        </w:rPr>
        <w:t>quality</w:t>
      </w:r>
      <w:r>
        <w:rPr>
          <w:i/>
          <w:color w:val="231F20"/>
          <w:w w:val="105"/>
        </w:rPr>
        <w:t> </w:t>
      </w:r>
      <w:r>
        <w:rPr>
          <w:i/>
          <w:color w:val="231F20"/>
        </w:rPr>
        <w:t>circles.</w:t>
      </w:r>
      <w:r>
        <w:rPr>
          <w:i/>
          <w:color w:val="231F20"/>
          <w:spacing w:val="-12"/>
        </w:rPr>
        <w:t> </w:t>
      </w:r>
      <w:r>
        <w:rPr>
          <w:color w:val="231F20"/>
        </w:rPr>
        <w:t>Every employee is involved in </w:t>
      </w:r>
      <w:r>
        <w:rPr>
          <w:i/>
          <w:color w:val="231F20"/>
        </w:rPr>
        <w:t>kaizen</w:t>
      </w:r>
      <w:r>
        <w:rPr>
          <w:i/>
          <w:color w:val="231F20"/>
          <w:spacing w:val="-12"/>
        </w:rPr>
        <w:t> </w:t>
      </w:r>
      <w:r>
        <w:rPr>
          <w:color w:val="231F20"/>
        </w:rPr>
        <w:t>—</w:t>
      </w:r>
      <w:r>
        <w:rPr>
          <w:color w:val="231F20"/>
          <w:spacing w:val="-12"/>
        </w:rPr>
        <w:t> </w:t>
      </w:r>
      <w:r>
        <w:rPr>
          <w:color w:val="231F20"/>
        </w:rPr>
        <w:t>the continuous strug- </w:t>
      </w:r>
      <w:r>
        <w:rPr>
          <w:color w:val="231F20"/>
          <w:w w:val="105"/>
        </w:rPr>
        <w:t>gle</w:t>
      </w:r>
      <w:r>
        <w:rPr>
          <w:color w:val="231F20"/>
          <w:spacing w:val="-9"/>
          <w:w w:val="105"/>
        </w:rPr>
        <w:t> </w:t>
      </w:r>
      <w:r>
        <w:rPr>
          <w:color w:val="231F20"/>
          <w:w w:val="105"/>
        </w:rPr>
        <w:t>necessary</w:t>
      </w:r>
      <w:r>
        <w:rPr>
          <w:color w:val="231F20"/>
          <w:spacing w:val="-9"/>
          <w:w w:val="105"/>
        </w:rPr>
        <w:t> </w:t>
      </w:r>
      <w:r>
        <w:rPr>
          <w:color w:val="231F20"/>
          <w:w w:val="105"/>
        </w:rPr>
        <w:t>to</w:t>
      </w:r>
      <w:r>
        <w:rPr>
          <w:color w:val="231F20"/>
          <w:spacing w:val="-9"/>
          <w:w w:val="105"/>
        </w:rPr>
        <w:t> </w:t>
      </w:r>
      <w:r>
        <w:rPr>
          <w:color w:val="231F20"/>
          <w:w w:val="105"/>
        </w:rPr>
        <w:t>improve</w:t>
      </w:r>
      <w:r>
        <w:rPr>
          <w:color w:val="231F20"/>
          <w:spacing w:val="-9"/>
          <w:w w:val="105"/>
        </w:rPr>
        <w:t> </w:t>
      </w:r>
      <w:r>
        <w:rPr>
          <w:color w:val="231F20"/>
          <w:w w:val="105"/>
        </w:rPr>
        <w:t>all</w:t>
      </w:r>
      <w:r>
        <w:rPr>
          <w:color w:val="231F20"/>
          <w:spacing w:val="-9"/>
          <w:w w:val="105"/>
        </w:rPr>
        <w:t> </w:t>
      </w:r>
      <w:r>
        <w:rPr>
          <w:color w:val="231F20"/>
          <w:w w:val="105"/>
        </w:rPr>
        <w:t>aspects</w:t>
      </w:r>
      <w:r>
        <w:rPr>
          <w:color w:val="231F20"/>
          <w:spacing w:val="-9"/>
          <w:w w:val="105"/>
        </w:rPr>
        <w:t> </w:t>
      </w:r>
      <w:r>
        <w:rPr>
          <w:color w:val="231F20"/>
          <w:w w:val="105"/>
        </w:rPr>
        <w:t>of</w:t>
      </w:r>
      <w:r>
        <w:rPr>
          <w:color w:val="231F20"/>
          <w:spacing w:val="-9"/>
          <w:w w:val="105"/>
        </w:rPr>
        <w:t> </w:t>
      </w:r>
      <w:r>
        <w:rPr>
          <w:color w:val="231F20"/>
          <w:w w:val="105"/>
        </w:rPr>
        <w:t>the</w:t>
      </w:r>
      <w:r>
        <w:rPr>
          <w:color w:val="231F20"/>
          <w:spacing w:val="-9"/>
          <w:w w:val="105"/>
        </w:rPr>
        <w:t> </w:t>
      </w:r>
      <w:r>
        <w:rPr>
          <w:color w:val="231F20"/>
          <w:w w:val="105"/>
        </w:rPr>
        <w:t>self</w:t>
      </w:r>
      <w:r>
        <w:rPr>
          <w:color w:val="231F20"/>
          <w:spacing w:val="-9"/>
          <w:w w:val="105"/>
        </w:rPr>
        <w:t> </w:t>
      </w:r>
      <w:r>
        <w:rPr>
          <w:color w:val="231F20"/>
          <w:w w:val="105"/>
        </w:rPr>
        <w:t>and</w:t>
      </w:r>
      <w:r>
        <w:rPr>
          <w:color w:val="231F20"/>
          <w:spacing w:val="-9"/>
          <w:w w:val="105"/>
        </w:rPr>
        <w:t> </w:t>
      </w:r>
      <w:r>
        <w:rPr>
          <w:color w:val="231F20"/>
          <w:w w:val="105"/>
        </w:rPr>
        <w:t>of</w:t>
      </w:r>
      <w:r>
        <w:rPr>
          <w:color w:val="231F20"/>
          <w:spacing w:val="-9"/>
          <w:w w:val="105"/>
        </w:rPr>
        <w:t> </w:t>
      </w:r>
      <w:r>
        <w:rPr>
          <w:color w:val="231F20"/>
          <w:w w:val="105"/>
        </w:rPr>
        <w:t>the</w:t>
      </w:r>
      <w:r>
        <w:rPr>
          <w:color w:val="231F20"/>
          <w:spacing w:val="-9"/>
          <w:w w:val="105"/>
        </w:rPr>
        <w:t> </w:t>
      </w:r>
      <w:r>
        <w:rPr>
          <w:color w:val="231F20"/>
          <w:w w:val="105"/>
        </w:rPr>
        <w:t>company. MBAs</w:t>
      </w:r>
      <w:r>
        <w:rPr>
          <w:color w:val="231F20"/>
          <w:spacing w:val="-2"/>
          <w:w w:val="105"/>
        </w:rPr>
        <w:t> </w:t>
      </w:r>
      <w:r>
        <w:rPr>
          <w:color w:val="231F20"/>
          <w:w w:val="105"/>
        </w:rPr>
        <w:t>refer</w:t>
      </w:r>
      <w:r>
        <w:rPr>
          <w:color w:val="231F20"/>
          <w:spacing w:val="-2"/>
          <w:w w:val="105"/>
        </w:rPr>
        <w:t> </w:t>
      </w:r>
      <w:r>
        <w:rPr>
          <w:color w:val="231F20"/>
          <w:w w:val="105"/>
        </w:rPr>
        <w:t>to</w:t>
      </w:r>
      <w:r>
        <w:rPr>
          <w:color w:val="231F20"/>
          <w:spacing w:val="-2"/>
          <w:w w:val="105"/>
        </w:rPr>
        <w:t> </w:t>
      </w:r>
      <w:r>
        <w:rPr>
          <w:color w:val="231F20"/>
          <w:w w:val="105"/>
        </w:rPr>
        <w:t>this</w:t>
      </w:r>
      <w:r>
        <w:rPr>
          <w:color w:val="231F20"/>
          <w:spacing w:val="-2"/>
          <w:w w:val="105"/>
        </w:rPr>
        <w:t> </w:t>
      </w:r>
      <w:r>
        <w:rPr>
          <w:color w:val="231F20"/>
          <w:w w:val="105"/>
        </w:rPr>
        <w:t>as</w:t>
      </w:r>
      <w:r>
        <w:rPr>
          <w:color w:val="231F20"/>
          <w:spacing w:val="-2"/>
          <w:w w:val="105"/>
        </w:rPr>
        <w:t> </w:t>
      </w:r>
      <w:r>
        <w:rPr>
          <w:i/>
          <w:color w:val="231F20"/>
          <w:w w:val="105"/>
        </w:rPr>
        <w:t>continuous</w:t>
      </w:r>
      <w:r>
        <w:rPr>
          <w:i/>
          <w:color w:val="231F20"/>
          <w:spacing w:val="-2"/>
          <w:w w:val="105"/>
        </w:rPr>
        <w:t> </w:t>
      </w:r>
      <w:r>
        <w:rPr>
          <w:i/>
          <w:color w:val="231F20"/>
          <w:w w:val="105"/>
        </w:rPr>
        <w:t>quality</w:t>
      </w:r>
      <w:r>
        <w:rPr>
          <w:i/>
          <w:color w:val="231F20"/>
          <w:spacing w:val="-2"/>
          <w:w w:val="105"/>
        </w:rPr>
        <w:t> </w:t>
      </w:r>
      <w:r>
        <w:rPr>
          <w:i/>
          <w:color w:val="231F20"/>
          <w:w w:val="105"/>
        </w:rPr>
        <w:t>improvement</w:t>
      </w:r>
      <w:r>
        <w:rPr>
          <w:i/>
          <w:color w:val="231F20"/>
          <w:spacing w:val="-2"/>
          <w:w w:val="105"/>
        </w:rPr>
        <w:t> </w:t>
      </w:r>
      <w:r>
        <w:rPr>
          <w:color w:val="231F20"/>
          <w:w w:val="105"/>
        </w:rPr>
        <w:t>(CQI).</w:t>
      </w:r>
      <w:r>
        <w:rPr>
          <w:color w:val="231F20"/>
          <w:spacing w:val="-2"/>
          <w:w w:val="105"/>
        </w:rPr>
        <w:t> </w:t>
      </w:r>
      <w:r>
        <w:rPr>
          <w:color w:val="231F20"/>
          <w:w w:val="105"/>
        </w:rPr>
        <w:t>When </w:t>
      </w:r>
      <w:r>
        <w:rPr>
          <w:color w:val="231F20"/>
        </w:rPr>
        <w:t>workers</w:t>
      </w:r>
      <w:r>
        <w:rPr>
          <w:color w:val="231F20"/>
          <w:spacing w:val="-4"/>
        </w:rPr>
        <w:t> </w:t>
      </w:r>
      <w:r>
        <w:rPr>
          <w:color w:val="231F20"/>
        </w:rPr>
        <w:t>feel</w:t>
      </w:r>
      <w:r>
        <w:rPr>
          <w:color w:val="231F20"/>
          <w:spacing w:val="-4"/>
        </w:rPr>
        <w:t> </w:t>
      </w:r>
      <w:r>
        <w:rPr>
          <w:color w:val="231F20"/>
        </w:rPr>
        <w:t>like</w:t>
      </w:r>
      <w:r>
        <w:rPr>
          <w:color w:val="231F20"/>
          <w:spacing w:val="-4"/>
        </w:rPr>
        <w:t> </w:t>
      </w:r>
      <w:r>
        <w:rPr>
          <w:color w:val="231F20"/>
        </w:rPr>
        <w:t>partners</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business,</w:t>
      </w:r>
      <w:r>
        <w:rPr>
          <w:color w:val="231F20"/>
          <w:spacing w:val="-4"/>
        </w:rPr>
        <w:t> </w:t>
      </w:r>
      <w:r>
        <w:rPr>
          <w:color w:val="231F20"/>
        </w:rPr>
        <w:t>they</w:t>
      </w:r>
      <w:r>
        <w:rPr>
          <w:color w:val="231F20"/>
          <w:spacing w:val="-4"/>
        </w:rPr>
        <w:t> </w:t>
      </w:r>
      <w:r>
        <w:rPr>
          <w:color w:val="231F20"/>
        </w:rPr>
        <w:t>become</w:t>
      </w:r>
      <w:r>
        <w:rPr>
          <w:color w:val="231F20"/>
          <w:spacing w:val="-4"/>
        </w:rPr>
        <w:t> </w:t>
      </w:r>
      <w:r>
        <w:rPr>
          <w:color w:val="231F20"/>
        </w:rPr>
        <w:t>more</w:t>
      </w:r>
      <w:r>
        <w:rPr>
          <w:color w:val="231F20"/>
          <w:spacing w:val="-4"/>
        </w:rPr>
        <w:t> </w:t>
      </w:r>
      <w:r>
        <w:rPr>
          <w:color w:val="231F20"/>
        </w:rPr>
        <w:t>produc- </w:t>
      </w:r>
      <w:r>
        <w:rPr>
          <w:color w:val="231F20"/>
          <w:w w:val="105"/>
        </w:rPr>
        <w:t>tive and committed to their jobs.</w:t>
      </w:r>
    </w:p>
    <w:p>
      <w:pPr>
        <w:pStyle w:val="BodyText"/>
        <w:rPr>
          <w:sz w:val="24"/>
        </w:rPr>
      </w:pPr>
    </w:p>
    <w:p>
      <w:pPr>
        <w:pStyle w:val="BodyText"/>
        <w:spacing w:before="4"/>
        <w:rPr>
          <w:sz w:val="35"/>
        </w:rPr>
      </w:pPr>
    </w:p>
    <w:p>
      <w:pPr>
        <w:pStyle w:val="Heading6"/>
        <w:rPr>
          <w:i/>
        </w:rPr>
      </w:pPr>
      <w:r>
        <w:rPr>
          <w:i/>
          <w:color w:val="231F20"/>
          <w:w w:val="115"/>
        </w:rPr>
        <w:t>THE</w:t>
      </w:r>
      <w:r>
        <w:rPr>
          <w:i/>
          <w:color w:val="231F20"/>
          <w:spacing w:val="28"/>
          <w:w w:val="115"/>
        </w:rPr>
        <w:t> </w:t>
      </w:r>
      <w:r>
        <w:rPr>
          <w:i/>
          <w:color w:val="231F20"/>
          <w:spacing w:val="9"/>
          <w:w w:val="115"/>
        </w:rPr>
        <w:t>CONTINGENCY</w:t>
      </w:r>
      <w:r>
        <w:rPr>
          <w:i/>
          <w:color w:val="231F20"/>
          <w:spacing w:val="29"/>
          <w:w w:val="115"/>
        </w:rPr>
        <w:t> </w:t>
      </w:r>
      <w:r>
        <w:rPr>
          <w:i/>
          <w:color w:val="231F20"/>
          <w:spacing w:val="8"/>
          <w:w w:val="115"/>
        </w:rPr>
        <w:t>APPROACH</w:t>
      </w:r>
    </w:p>
    <w:p>
      <w:pPr>
        <w:pStyle w:val="BodyText"/>
        <w:spacing w:before="2"/>
        <w:rPr>
          <w:b/>
          <w:i/>
          <w:sz w:val="30"/>
        </w:rPr>
      </w:pPr>
    </w:p>
    <w:p>
      <w:pPr>
        <w:pStyle w:val="BodyText"/>
        <w:spacing w:line="292" w:lineRule="auto"/>
        <w:ind w:left="920" w:right="666"/>
        <w:jc w:val="both"/>
      </w:pPr>
      <w:r>
        <w:rPr>
          <w:color w:val="231F20"/>
          <w:w w:val="105"/>
        </w:rPr>
        <w:t>Because</w:t>
      </w:r>
      <w:r>
        <w:rPr>
          <w:color w:val="231F20"/>
          <w:w w:val="105"/>
        </w:rPr>
        <w:t> neither</w:t>
      </w:r>
      <w:r>
        <w:rPr>
          <w:color w:val="231F20"/>
          <w:w w:val="105"/>
        </w:rPr>
        <w:t> the</w:t>
      </w:r>
      <w:r>
        <w:rPr>
          <w:color w:val="231F20"/>
          <w:w w:val="105"/>
        </w:rPr>
        <w:t> scientific</w:t>
      </w:r>
      <w:r>
        <w:rPr>
          <w:color w:val="231F20"/>
          <w:w w:val="105"/>
        </w:rPr>
        <w:t> methods</w:t>
      </w:r>
      <w:r>
        <w:rPr>
          <w:color w:val="231F20"/>
          <w:w w:val="105"/>
        </w:rPr>
        <w:t> nor</w:t>
      </w:r>
      <w:r>
        <w:rPr>
          <w:color w:val="231F20"/>
          <w:w w:val="105"/>
        </w:rPr>
        <w:t> human</w:t>
      </w:r>
      <w:r>
        <w:rPr>
          <w:color w:val="231F20"/>
          <w:w w:val="105"/>
        </w:rPr>
        <w:t> relations</w:t>
      </w:r>
      <w:r>
        <w:rPr>
          <w:color w:val="231F20"/>
          <w:w w:val="105"/>
        </w:rPr>
        <w:t> ap- </w:t>
      </w:r>
      <w:r>
        <w:rPr>
          <w:color w:val="231F20"/>
        </w:rPr>
        <w:t>proaches can be used successfully at all times, the proponents of the </w:t>
      </w:r>
      <w:r>
        <w:rPr>
          <w:i/>
          <w:color w:val="231F20"/>
          <w:w w:val="105"/>
        </w:rPr>
        <w:t>contingency</w:t>
      </w:r>
      <w:r>
        <w:rPr>
          <w:i/>
          <w:color w:val="231F20"/>
          <w:spacing w:val="-11"/>
          <w:w w:val="105"/>
        </w:rPr>
        <w:t> </w:t>
      </w:r>
      <w:r>
        <w:rPr>
          <w:i/>
          <w:color w:val="231F20"/>
          <w:w w:val="105"/>
        </w:rPr>
        <w:t>approach</w:t>
      </w:r>
      <w:r>
        <w:rPr>
          <w:i/>
          <w:color w:val="231F20"/>
          <w:spacing w:val="-11"/>
          <w:w w:val="105"/>
        </w:rPr>
        <w:t> </w:t>
      </w:r>
      <w:r>
        <w:rPr>
          <w:color w:val="231F20"/>
          <w:w w:val="105"/>
        </w:rPr>
        <w:t>believe</w:t>
      </w:r>
      <w:r>
        <w:rPr>
          <w:color w:val="231F20"/>
          <w:spacing w:val="-11"/>
          <w:w w:val="105"/>
        </w:rPr>
        <w:t> </w:t>
      </w:r>
      <w:r>
        <w:rPr>
          <w:color w:val="231F20"/>
          <w:w w:val="105"/>
        </w:rPr>
        <w:t>that</w:t>
      </w:r>
      <w:r>
        <w:rPr>
          <w:color w:val="231F20"/>
          <w:spacing w:val="-11"/>
          <w:w w:val="105"/>
        </w:rPr>
        <w:t> </w:t>
      </w:r>
      <w:r>
        <w:rPr>
          <w:color w:val="231F20"/>
          <w:w w:val="105"/>
        </w:rPr>
        <w:t>managers</w:t>
      </w:r>
      <w:r>
        <w:rPr>
          <w:color w:val="231F20"/>
          <w:spacing w:val="-11"/>
          <w:w w:val="105"/>
        </w:rPr>
        <w:t> </w:t>
      </w:r>
      <w:r>
        <w:rPr>
          <w:color w:val="231F20"/>
          <w:w w:val="105"/>
        </w:rPr>
        <w:t>should</w:t>
      </w:r>
      <w:r>
        <w:rPr>
          <w:color w:val="231F20"/>
          <w:spacing w:val="-11"/>
          <w:w w:val="105"/>
        </w:rPr>
        <w:t> </w:t>
      </w:r>
      <w:r>
        <w:rPr>
          <w:color w:val="231F20"/>
          <w:w w:val="105"/>
        </w:rPr>
        <w:t>alter</w:t>
      </w:r>
      <w:r>
        <w:rPr>
          <w:color w:val="231F20"/>
          <w:spacing w:val="-11"/>
          <w:w w:val="105"/>
        </w:rPr>
        <w:t> </w:t>
      </w:r>
      <w:r>
        <w:rPr>
          <w:color w:val="231F20"/>
          <w:w w:val="105"/>
        </w:rPr>
        <w:t>and</w:t>
      </w:r>
      <w:r>
        <w:rPr>
          <w:color w:val="231F20"/>
          <w:spacing w:val="-11"/>
          <w:w w:val="105"/>
        </w:rPr>
        <w:t> </w:t>
      </w:r>
      <w:r>
        <w:rPr>
          <w:color w:val="231F20"/>
          <w:w w:val="105"/>
        </w:rPr>
        <w:t>com- bine</w:t>
      </w:r>
      <w:r>
        <w:rPr>
          <w:color w:val="231F20"/>
          <w:spacing w:val="-6"/>
          <w:w w:val="105"/>
        </w:rPr>
        <w:t> </w:t>
      </w:r>
      <w:r>
        <w:rPr>
          <w:color w:val="231F20"/>
          <w:w w:val="105"/>
        </w:rPr>
        <w:t>the</w:t>
      </w:r>
      <w:r>
        <w:rPr>
          <w:color w:val="231F20"/>
          <w:spacing w:val="-6"/>
          <w:w w:val="105"/>
        </w:rPr>
        <w:t> </w:t>
      </w:r>
      <w:r>
        <w:rPr>
          <w:color w:val="231F20"/>
          <w:w w:val="105"/>
        </w:rPr>
        <w:t>two</w:t>
      </w:r>
      <w:r>
        <w:rPr>
          <w:color w:val="231F20"/>
          <w:spacing w:val="-6"/>
          <w:w w:val="105"/>
        </w:rPr>
        <w:t> </w:t>
      </w:r>
      <w:r>
        <w:rPr>
          <w:color w:val="231F20"/>
          <w:w w:val="105"/>
        </w:rPr>
        <w:t>theories</w:t>
      </w:r>
      <w:r>
        <w:rPr>
          <w:color w:val="231F20"/>
          <w:spacing w:val="-6"/>
          <w:w w:val="105"/>
        </w:rPr>
        <w:t> </w:t>
      </w:r>
      <w:r>
        <w:rPr>
          <w:color w:val="231F20"/>
          <w:w w:val="105"/>
        </w:rPr>
        <w:t>to</w:t>
      </w:r>
      <w:r>
        <w:rPr>
          <w:color w:val="231F20"/>
          <w:spacing w:val="-6"/>
          <w:w w:val="105"/>
        </w:rPr>
        <w:t> </w:t>
      </w:r>
      <w:r>
        <w:rPr>
          <w:color w:val="231F20"/>
          <w:w w:val="105"/>
        </w:rPr>
        <w:t>fit</w:t>
      </w:r>
      <w:r>
        <w:rPr>
          <w:color w:val="231F20"/>
          <w:spacing w:val="-6"/>
          <w:w w:val="105"/>
        </w:rPr>
        <w:t> </w:t>
      </w:r>
      <w:r>
        <w:rPr>
          <w:color w:val="231F20"/>
          <w:w w:val="105"/>
        </w:rPr>
        <w:t>the</w:t>
      </w:r>
      <w:r>
        <w:rPr>
          <w:color w:val="231F20"/>
          <w:spacing w:val="-6"/>
          <w:w w:val="105"/>
        </w:rPr>
        <w:t> </w:t>
      </w:r>
      <w:r>
        <w:rPr>
          <w:color w:val="231F20"/>
          <w:w w:val="105"/>
        </w:rPr>
        <w:t>situation.</w:t>
      </w:r>
      <w:r>
        <w:rPr>
          <w:color w:val="231F20"/>
          <w:spacing w:val="-6"/>
          <w:w w:val="105"/>
        </w:rPr>
        <w:t> </w:t>
      </w:r>
      <w:r>
        <w:rPr>
          <w:color w:val="231F20"/>
          <w:w w:val="105"/>
        </w:rPr>
        <w:t>If</w:t>
      </w:r>
      <w:r>
        <w:rPr>
          <w:color w:val="231F20"/>
          <w:spacing w:val="-6"/>
          <w:w w:val="105"/>
        </w:rPr>
        <w:t> </w:t>
      </w:r>
      <w:r>
        <w:rPr>
          <w:color w:val="231F20"/>
          <w:w w:val="105"/>
        </w:rPr>
        <w:t>the</w:t>
      </w:r>
      <w:r>
        <w:rPr>
          <w:color w:val="231F20"/>
          <w:spacing w:val="-6"/>
          <w:w w:val="105"/>
        </w:rPr>
        <w:t> </w:t>
      </w:r>
      <w:r>
        <w:rPr>
          <w:color w:val="231F20"/>
          <w:w w:val="105"/>
        </w:rPr>
        <w:t>classical</w:t>
      </w:r>
      <w:r>
        <w:rPr>
          <w:color w:val="231F20"/>
          <w:spacing w:val="-6"/>
          <w:w w:val="105"/>
        </w:rPr>
        <w:t> </w:t>
      </w:r>
      <w:r>
        <w:rPr>
          <w:color w:val="231F20"/>
          <w:w w:val="105"/>
        </w:rPr>
        <w:t>methods</w:t>
      </w:r>
      <w:r>
        <w:rPr>
          <w:color w:val="231F20"/>
          <w:spacing w:val="-6"/>
          <w:w w:val="105"/>
        </w:rPr>
        <w:t> </w:t>
      </w:r>
      <w:r>
        <w:rPr>
          <w:color w:val="231F20"/>
          <w:w w:val="105"/>
        </w:rPr>
        <w:t>of Taylor</w:t>
      </w:r>
      <w:r>
        <w:rPr>
          <w:color w:val="231F20"/>
          <w:w w:val="105"/>
        </w:rPr>
        <w:t> can</w:t>
      </w:r>
      <w:r>
        <w:rPr>
          <w:color w:val="231F20"/>
          <w:w w:val="105"/>
        </w:rPr>
        <w:t> be</w:t>
      </w:r>
      <w:r>
        <w:rPr>
          <w:color w:val="231F20"/>
          <w:w w:val="105"/>
        </w:rPr>
        <w:t> combined</w:t>
      </w:r>
      <w:r>
        <w:rPr>
          <w:color w:val="231F20"/>
          <w:w w:val="105"/>
        </w:rPr>
        <w:t> with</w:t>
      </w:r>
      <w:r>
        <w:rPr>
          <w:color w:val="231F20"/>
          <w:w w:val="105"/>
        </w:rPr>
        <w:t> a</w:t>
      </w:r>
      <w:r>
        <w:rPr>
          <w:color w:val="231F20"/>
          <w:w w:val="105"/>
        </w:rPr>
        <w:t> bit</w:t>
      </w:r>
      <w:r>
        <w:rPr>
          <w:color w:val="231F20"/>
          <w:w w:val="105"/>
        </w:rPr>
        <w:t> of</w:t>
      </w:r>
      <w:r>
        <w:rPr>
          <w:color w:val="231F20"/>
          <w:w w:val="105"/>
        </w:rPr>
        <w:t> Japanese</w:t>
      </w:r>
      <w:r>
        <w:rPr>
          <w:color w:val="231F20"/>
          <w:w w:val="105"/>
        </w:rPr>
        <w:t> Theory</w:t>
      </w:r>
      <w:r>
        <w:rPr>
          <w:color w:val="231F20"/>
          <w:w w:val="105"/>
        </w:rPr>
        <w:t> Z,</w:t>
      </w:r>
      <w:r>
        <w:rPr>
          <w:color w:val="231F20"/>
          <w:w w:val="105"/>
        </w:rPr>
        <w:t> so</w:t>
      </w:r>
      <w:r>
        <w:rPr>
          <w:color w:val="231F20"/>
          <w:w w:val="105"/>
        </w:rPr>
        <w:t> much the better if the result is good.</w:t>
      </w:r>
    </w:p>
    <w:p>
      <w:pPr>
        <w:pStyle w:val="BodyText"/>
        <w:rPr>
          <w:sz w:val="24"/>
        </w:rPr>
      </w:pPr>
    </w:p>
    <w:p>
      <w:pPr>
        <w:pStyle w:val="BodyText"/>
        <w:spacing w:before="4"/>
        <w:rPr>
          <w:sz w:val="33"/>
        </w:rPr>
      </w:pPr>
    </w:p>
    <w:p>
      <w:pPr>
        <w:pStyle w:val="Heading4"/>
      </w:pPr>
      <w:r>
        <w:rPr>
          <w:color w:val="231F20"/>
          <w:w w:val="85"/>
        </w:rPr>
        <w:t>THE</w:t>
      </w:r>
      <w:r>
        <w:rPr>
          <w:color w:val="231F20"/>
          <w:spacing w:val="30"/>
        </w:rPr>
        <w:t> </w:t>
      </w:r>
      <w:r>
        <w:rPr>
          <w:color w:val="231F20"/>
          <w:spacing w:val="9"/>
          <w:w w:val="85"/>
        </w:rPr>
        <w:t>PROBLEM</w:t>
      </w:r>
      <w:r>
        <w:rPr>
          <w:color w:val="231F20"/>
          <w:spacing w:val="30"/>
        </w:rPr>
        <w:t> </w:t>
      </w:r>
      <w:r>
        <w:rPr>
          <w:color w:val="231F20"/>
          <w:w w:val="85"/>
        </w:rPr>
        <w:t>SOLVING</w:t>
      </w:r>
      <w:r>
        <w:rPr>
          <w:color w:val="231F20"/>
          <w:spacing w:val="30"/>
        </w:rPr>
        <w:t> </w:t>
      </w:r>
      <w:r>
        <w:rPr>
          <w:color w:val="231F20"/>
          <w:spacing w:val="9"/>
          <w:w w:val="85"/>
        </w:rPr>
        <w:t>FRAMEWORK</w:t>
      </w:r>
      <w:r>
        <w:rPr>
          <w:color w:val="231F20"/>
          <w:spacing w:val="29"/>
        </w:rPr>
        <w:t> </w:t>
      </w:r>
      <w:r>
        <w:rPr>
          <w:color w:val="231F20"/>
          <w:w w:val="85"/>
        </w:rPr>
        <w:t>FOR</w:t>
      </w:r>
      <w:r>
        <w:rPr>
          <w:color w:val="231F20"/>
          <w:spacing w:val="30"/>
        </w:rPr>
        <w:t> </w:t>
      </w:r>
      <w:r>
        <w:rPr>
          <w:color w:val="231F20"/>
          <w:spacing w:val="7"/>
          <w:w w:val="85"/>
        </w:rPr>
        <w:t>OPERATIONS</w:t>
      </w:r>
    </w:p>
    <w:p>
      <w:pPr>
        <w:pStyle w:val="BodyText"/>
        <w:spacing w:before="10"/>
        <w:rPr>
          <w:rFonts w:ascii="Trebuchet MS"/>
          <w:sz w:val="29"/>
        </w:rPr>
      </w:pPr>
    </w:p>
    <w:p>
      <w:pPr>
        <w:pStyle w:val="BodyText"/>
        <w:spacing w:line="292" w:lineRule="auto" w:before="1"/>
        <w:ind w:left="920" w:right="666"/>
        <w:jc w:val="both"/>
      </w:pPr>
      <w:r>
        <w:rPr>
          <w:color w:val="231F20"/>
        </w:rPr>
        <w:t>Now that you have acquired a little historical perspective, you are ready to experience the core MBA operations education. Five </w:t>
      </w:r>
      <w:r>
        <w:rPr>
          <w:color w:val="231F20"/>
        </w:rPr>
        <w:t>issues arise when trying to produce a product or service:</w:t>
      </w:r>
    </w:p>
    <w:p>
      <w:pPr>
        <w:pStyle w:val="BodyText"/>
        <w:spacing w:before="9"/>
        <w:rPr>
          <w:sz w:val="35"/>
        </w:rPr>
      </w:pPr>
    </w:p>
    <w:p>
      <w:pPr>
        <w:spacing w:before="0"/>
        <w:ind w:left="1260" w:right="0" w:firstLine="0"/>
        <w:jc w:val="left"/>
        <w:rPr>
          <w:rFonts w:ascii="Arial" w:hAnsi="Arial"/>
          <w:sz w:val="19"/>
        </w:rPr>
      </w:pPr>
      <w:r>
        <w:rPr>
          <w:rFonts w:ascii="Arial" w:hAnsi="Arial"/>
          <w:i/>
          <w:color w:val="231F20"/>
          <w:w w:val="110"/>
          <w:sz w:val="19"/>
        </w:rPr>
        <w:t>Capacity</w:t>
      </w:r>
      <w:r>
        <w:rPr>
          <w:rFonts w:ascii="Arial" w:hAnsi="Arial"/>
          <w:i/>
          <w:color w:val="231F20"/>
          <w:spacing w:val="-39"/>
          <w:w w:val="110"/>
          <w:sz w:val="19"/>
        </w:rPr>
        <w:t> </w:t>
      </w:r>
      <w:r>
        <w:rPr>
          <w:rFonts w:ascii="Arial" w:hAnsi="Arial"/>
          <w:color w:val="231F20"/>
          <w:w w:val="110"/>
          <w:sz w:val="19"/>
        </w:rPr>
        <w:t>—</w:t>
      </w:r>
      <w:r>
        <w:rPr>
          <w:rFonts w:ascii="Arial" w:hAnsi="Arial"/>
          <w:color w:val="231F20"/>
          <w:spacing w:val="-38"/>
          <w:w w:val="110"/>
          <w:sz w:val="19"/>
        </w:rPr>
        <w:t> </w:t>
      </w:r>
      <w:r>
        <w:rPr>
          <w:rFonts w:ascii="Arial" w:hAnsi="Arial"/>
          <w:color w:val="231F20"/>
          <w:w w:val="110"/>
          <w:sz w:val="19"/>
        </w:rPr>
        <w:t>How</w:t>
      </w:r>
      <w:r>
        <w:rPr>
          <w:rFonts w:ascii="Arial" w:hAnsi="Arial"/>
          <w:color w:val="231F20"/>
          <w:spacing w:val="2"/>
          <w:w w:val="110"/>
          <w:sz w:val="19"/>
        </w:rPr>
        <w:t> </w:t>
      </w:r>
      <w:r>
        <w:rPr>
          <w:rFonts w:ascii="Arial" w:hAnsi="Arial"/>
          <w:color w:val="231F20"/>
          <w:w w:val="110"/>
          <w:sz w:val="19"/>
        </w:rPr>
        <w:t>much</w:t>
      </w:r>
      <w:r>
        <w:rPr>
          <w:rFonts w:ascii="Arial" w:hAnsi="Arial"/>
          <w:color w:val="231F20"/>
          <w:spacing w:val="2"/>
          <w:w w:val="110"/>
          <w:sz w:val="19"/>
        </w:rPr>
        <w:t> </w:t>
      </w:r>
      <w:r>
        <w:rPr>
          <w:rFonts w:ascii="Arial" w:hAnsi="Arial"/>
          <w:color w:val="231F20"/>
          <w:w w:val="110"/>
          <w:sz w:val="19"/>
        </w:rPr>
        <w:t>can</w:t>
      </w:r>
      <w:r>
        <w:rPr>
          <w:rFonts w:ascii="Arial" w:hAnsi="Arial"/>
          <w:color w:val="231F20"/>
          <w:spacing w:val="2"/>
          <w:w w:val="110"/>
          <w:sz w:val="19"/>
        </w:rPr>
        <w:t> </w:t>
      </w:r>
      <w:r>
        <w:rPr>
          <w:rFonts w:ascii="Arial" w:hAnsi="Arial"/>
          <w:color w:val="231F20"/>
          <w:w w:val="110"/>
          <w:sz w:val="19"/>
        </w:rPr>
        <w:t>I</w:t>
      </w:r>
      <w:r>
        <w:rPr>
          <w:rFonts w:ascii="Arial" w:hAnsi="Arial"/>
          <w:color w:val="231F20"/>
          <w:spacing w:val="3"/>
          <w:w w:val="110"/>
          <w:sz w:val="19"/>
        </w:rPr>
        <w:t> </w:t>
      </w:r>
      <w:r>
        <w:rPr>
          <w:rFonts w:ascii="Arial" w:hAnsi="Arial"/>
          <w:color w:val="231F20"/>
          <w:spacing w:val="-2"/>
          <w:w w:val="110"/>
          <w:sz w:val="19"/>
        </w:rPr>
        <w:t>produce?</w:t>
      </w:r>
    </w:p>
    <w:p>
      <w:pPr>
        <w:spacing w:before="82"/>
        <w:ind w:left="1260" w:right="0" w:firstLine="0"/>
        <w:jc w:val="left"/>
        <w:rPr>
          <w:rFonts w:ascii="Arial" w:hAnsi="Arial"/>
          <w:sz w:val="19"/>
        </w:rPr>
      </w:pPr>
      <w:r>
        <w:rPr>
          <w:rFonts w:ascii="Arial" w:hAnsi="Arial"/>
          <w:i/>
          <w:color w:val="231F20"/>
          <w:w w:val="110"/>
          <w:sz w:val="19"/>
        </w:rPr>
        <w:t>Scheduling</w:t>
      </w:r>
      <w:r>
        <w:rPr>
          <w:rFonts w:ascii="Arial" w:hAnsi="Arial"/>
          <w:i/>
          <w:color w:val="231F20"/>
          <w:spacing w:val="-37"/>
          <w:w w:val="110"/>
          <w:sz w:val="19"/>
        </w:rPr>
        <w:t> </w:t>
      </w:r>
      <w:r>
        <w:rPr>
          <w:rFonts w:ascii="Arial" w:hAnsi="Arial"/>
          <w:color w:val="231F20"/>
          <w:w w:val="110"/>
          <w:sz w:val="19"/>
        </w:rPr>
        <w:t>—</w:t>
      </w:r>
      <w:r>
        <w:rPr>
          <w:rFonts w:ascii="Arial" w:hAnsi="Arial"/>
          <w:color w:val="231F20"/>
          <w:spacing w:val="-36"/>
          <w:w w:val="110"/>
          <w:sz w:val="19"/>
        </w:rPr>
        <w:t> </w:t>
      </w:r>
      <w:r>
        <w:rPr>
          <w:rFonts w:ascii="Arial" w:hAnsi="Arial"/>
          <w:color w:val="231F20"/>
          <w:w w:val="110"/>
          <w:sz w:val="19"/>
        </w:rPr>
        <w:t>How</w:t>
      </w:r>
      <w:r>
        <w:rPr>
          <w:rFonts w:ascii="Arial" w:hAnsi="Arial"/>
          <w:color w:val="231F20"/>
          <w:spacing w:val="10"/>
          <w:w w:val="110"/>
          <w:sz w:val="19"/>
        </w:rPr>
        <w:t> </w:t>
      </w:r>
      <w:r>
        <w:rPr>
          <w:rFonts w:ascii="Arial" w:hAnsi="Arial"/>
          <w:color w:val="231F20"/>
          <w:w w:val="110"/>
          <w:sz w:val="19"/>
        </w:rPr>
        <w:t>am</w:t>
      </w:r>
      <w:r>
        <w:rPr>
          <w:rFonts w:ascii="Arial" w:hAnsi="Arial"/>
          <w:color w:val="231F20"/>
          <w:spacing w:val="9"/>
          <w:w w:val="110"/>
          <w:sz w:val="19"/>
        </w:rPr>
        <w:t> </w:t>
      </w:r>
      <w:r>
        <w:rPr>
          <w:rFonts w:ascii="Arial" w:hAnsi="Arial"/>
          <w:color w:val="231F20"/>
          <w:w w:val="110"/>
          <w:sz w:val="19"/>
        </w:rPr>
        <w:t>I</w:t>
      </w:r>
      <w:r>
        <w:rPr>
          <w:rFonts w:ascii="Arial" w:hAnsi="Arial"/>
          <w:color w:val="231F20"/>
          <w:spacing w:val="9"/>
          <w:w w:val="110"/>
          <w:sz w:val="19"/>
        </w:rPr>
        <w:t> </w:t>
      </w:r>
      <w:r>
        <w:rPr>
          <w:rFonts w:ascii="Arial" w:hAnsi="Arial"/>
          <w:color w:val="231F20"/>
          <w:w w:val="110"/>
          <w:sz w:val="19"/>
        </w:rPr>
        <w:t>going</w:t>
      </w:r>
      <w:r>
        <w:rPr>
          <w:rFonts w:ascii="Arial" w:hAnsi="Arial"/>
          <w:color w:val="231F20"/>
          <w:spacing w:val="10"/>
          <w:w w:val="110"/>
          <w:sz w:val="19"/>
        </w:rPr>
        <w:t> </w:t>
      </w:r>
      <w:r>
        <w:rPr>
          <w:rFonts w:ascii="Arial" w:hAnsi="Arial"/>
          <w:color w:val="231F20"/>
          <w:w w:val="110"/>
          <w:sz w:val="19"/>
        </w:rPr>
        <w:t>to</w:t>
      </w:r>
      <w:r>
        <w:rPr>
          <w:rFonts w:ascii="Arial" w:hAnsi="Arial"/>
          <w:color w:val="231F20"/>
          <w:spacing w:val="9"/>
          <w:w w:val="110"/>
          <w:sz w:val="19"/>
        </w:rPr>
        <w:t> </w:t>
      </w:r>
      <w:r>
        <w:rPr>
          <w:rFonts w:ascii="Arial" w:hAnsi="Arial"/>
          <w:color w:val="231F20"/>
          <w:w w:val="110"/>
          <w:sz w:val="19"/>
        </w:rPr>
        <w:t>do</w:t>
      </w:r>
      <w:r>
        <w:rPr>
          <w:rFonts w:ascii="Arial" w:hAnsi="Arial"/>
          <w:color w:val="231F20"/>
          <w:spacing w:val="10"/>
          <w:w w:val="110"/>
          <w:sz w:val="19"/>
        </w:rPr>
        <w:t> </w:t>
      </w:r>
      <w:r>
        <w:rPr>
          <w:rFonts w:ascii="Arial" w:hAnsi="Arial"/>
          <w:color w:val="231F20"/>
          <w:spacing w:val="-5"/>
          <w:w w:val="110"/>
          <w:sz w:val="19"/>
        </w:rPr>
        <w:t>it?</w:t>
      </w:r>
    </w:p>
    <w:p>
      <w:pPr>
        <w:spacing w:line="328" w:lineRule="auto" w:before="81"/>
        <w:ind w:left="1600" w:right="1328" w:hanging="340"/>
        <w:jc w:val="left"/>
        <w:rPr>
          <w:rFonts w:ascii="Arial" w:hAnsi="Arial"/>
          <w:sz w:val="19"/>
        </w:rPr>
      </w:pPr>
      <w:r>
        <w:rPr>
          <w:rFonts w:ascii="Arial" w:hAnsi="Arial"/>
          <w:i/>
          <w:color w:val="231F20"/>
          <w:w w:val="115"/>
          <w:sz w:val="19"/>
        </w:rPr>
        <w:t>Inventory</w:t>
      </w:r>
      <w:r>
        <w:rPr>
          <w:rFonts w:ascii="Arial" w:hAnsi="Arial"/>
          <w:color w:val="231F20"/>
          <w:w w:val="115"/>
          <w:sz w:val="19"/>
        </w:rPr>
        <w:t>—</w:t>
      </w:r>
      <w:r>
        <w:rPr>
          <w:rFonts w:ascii="Arial" w:hAnsi="Arial"/>
          <w:color w:val="231F20"/>
          <w:spacing w:val="-42"/>
          <w:w w:val="115"/>
          <w:sz w:val="19"/>
        </w:rPr>
        <w:t> </w:t>
      </w:r>
      <w:r>
        <w:rPr>
          <w:rFonts w:ascii="Arial" w:hAnsi="Arial"/>
          <w:color w:val="231F20"/>
          <w:w w:val="115"/>
          <w:sz w:val="19"/>
        </w:rPr>
        <w:t>How</w:t>
      </w:r>
      <w:r>
        <w:rPr>
          <w:rFonts w:ascii="Arial" w:hAnsi="Arial"/>
          <w:color w:val="231F20"/>
          <w:spacing w:val="-16"/>
          <w:w w:val="115"/>
          <w:sz w:val="19"/>
        </w:rPr>
        <w:t> </w:t>
      </w:r>
      <w:r>
        <w:rPr>
          <w:rFonts w:ascii="Arial" w:hAnsi="Arial"/>
          <w:color w:val="231F20"/>
          <w:w w:val="115"/>
          <w:sz w:val="19"/>
        </w:rPr>
        <w:t>much</w:t>
      </w:r>
      <w:r>
        <w:rPr>
          <w:rFonts w:ascii="Arial" w:hAnsi="Arial"/>
          <w:color w:val="231F20"/>
          <w:spacing w:val="-15"/>
          <w:w w:val="115"/>
          <w:sz w:val="19"/>
        </w:rPr>
        <w:t> </w:t>
      </w:r>
      <w:r>
        <w:rPr>
          <w:rFonts w:ascii="Arial" w:hAnsi="Arial"/>
          <w:color w:val="231F20"/>
          <w:w w:val="115"/>
          <w:sz w:val="19"/>
        </w:rPr>
        <w:t>inventory</w:t>
      </w:r>
      <w:r>
        <w:rPr>
          <w:rFonts w:ascii="Arial" w:hAnsi="Arial"/>
          <w:color w:val="231F20"/>
          <w:spacing w:val="-15"/>
          <w:w w:val="115"/>
          <w:sz w:val="19"/>
        </w:rPr>
        <w:t> </w:t>
      </w:r>
      <w:r>
        <w:rPr>
          <w:rFonts w:ascii="Arial" w:hAnsi="Arial"/>
          <w:color w:val="231F20"/>
          <w:w w:val="115"/>
          <w:sz w:val="19"/>
        </w:rPr>
        <w:t>is</w:t>
      </w:r>
      <w:r>
        <w:rPr>
          <w:rFonts w:ascii="Arial" w:hAnsi="Arial"/>
          <w:color w:val="231F20"/>
          <w:spacing w:val="-15"/>
          <w:w w:val="115"/>
          <w:sz w:val="19"/>
        </w:rPr>
        <w:t> </w:t>
      </w:r>
      <w:r>
        <w:rPr>
          <w:rFonts w:ascii="Arial" w:hAnsi="Arial"/>
          <w:color w:val="231F20"/>
          <w:w w:val="115"/>
          <w:sz w:val="19"/>
        </w:rPr>
        <w:t>there</w:t>
      </w:r>
      <w:r>
        <w:rPr>
          <w:rFonts w:ascii="Arial" w:hAnsi="Arial"/>
          <w:color w:val="231F20"/>
          <w:spacing w:val="-15"/>
          <w:w w:val="115"/>
          <w:sz w:val="19"/>
        </w:rPr>
        <w:t> </w:t>
      </w:r>
      <w:r>
        <w:rPr>
          <w:rFonts w:ascii="Arial" w:hAnsi="Arial"/>
          <w:color w:val="231F20"/>
          <w:w w:val="115"/>
          <w:sz w:val="19"/>
        </w:rPr>
        <w:t>and</w:t>
      </w:r>
      <w:r>
        <w:rPr>
          <w:rFonts w:ascii="Arial" w:hAnsi="Arial"/>
          <w:color w:val="231F20"/>
          <w:spacing w:val="-15"/>
          <w:w w:val="115"/>
          <w:sz w:val="19"/>
        </w:rPr>
        <w:t> </w:t>
      </w:r>
      <w:r>
        <w:rPr>
          <w:rFonts w:ascii="Arial" w:hAnsi="Arial"/>
          <w:color w:val="231F20"/>
          <w:w w:val="115"/>
          <w:sz w:val="19"/>
        </w:rPr>
        <w:t>how</w:t>
      </w:r>
      <w:r>
        <w:rPr>
          <w:rFonts w:ascii="Arial" w:hAnsi="Arial"/>
          <w:color w:val="231F20"/>
          <w:spacing w:val="-16"/>
          <w:w w:val="115"/>
          <w:sz w:val="19"/>
        </w:rPr>
        <w:t> </w:t>
      </w:r>
      <w:r>
        <w:rPr>
          <w:rFonts w:ascii="Arial" w:hAnsi="Arial"/>
          <w:color w:val="231F20"/>
          <w:w w:val="115"/>
          <w:sz w:val="19"/>
        </w:rPr>
        <w:t>can</w:t>
      </w:r>
      <w:r>
        <w:rPr>
          <w:rFonts w:ascii="Arial" w:hAnsi="Arial"/>
          <w:color w:val="231F20"/>
          <w:spacing w:val="-15"/>
          <w:w w:val="115"/>
          <w:sz w:val="19"/>
        </w:rPr>
        <w:t> </w:t>
      </w:r>
      <w:r>
        <w:rPr>
          <w:rFonts w:ascii="Arial" w:hAnsi="Arial"/>
          <w:color w:val="231F20"/>
          <w:w w:val="115"/>
          <w:sz w:val="19"/>
        </w:rPr>
        <w:t>I reduce it?</w:t>
      </w:r>
    </w:p>
    <w:p>
      <w:pPr>
        <w:spacing w:line="328" w:lineRule="auto" w:before="2"/>
        <w:ind w:left="1599" w:right="1262" w:hanging="340"/>
        <w:jc w:val="left"/>
        <w:rPr>
          <w:rFonts w:ascii="Arial" w:hAnsi="Arial"/>
          <w:sz w:val="19"/>
        </w:rPr>
      </w:pPr>
      <w:r>
        <w:rPr>
          <w:rFonts w:ascii="Arial" w:hAnsi="Arial"/>
          <w:i/>
          <w:color w:val="231F20"/>
          <w:w w:val="110"/>
          <w:sz w:val="19"/>
        </w:rPr>
        <w:t>Standards</w:t>
      </w:r>
      <w:r>
        <w:rPr>
          <w:rFonts w:ascii="Arial" w:hAnsi="Arial"/>
          <w:i/>
          <w:color w:val="231F20"/>
          <w:spacing w:val="-33"/>
          <w:w w:val="110"/>
          <w:sz w:val="19"/>
        </w:rPr>
        <w:t> </w:t>
      </w:r>
      <w:r>
        <w:rPr>
          <w:rFonts w:ascii="Arial" w:hAnsi="Arial"/>
          <w:color w:val="231F20"/>
          <w:spacing w:val="12"/>
          <w:w w:val="110"/>
          <w:sz w:val="19"/>
        </w:rPr>
        <w:t>—</w:t>
      </w:r>
      <w:r>
        <w:rPr>
          <w:rFonts w:ascii="Arial" w:hAnsi="Arial"/>
          <w:color w:val="231F20"/>
          <w:w w:val="110"/>
          <w:sz w:val="19"/>
        </w:rPr>
        <w:t>What do I consider efficient production and quality output?</w:t>
      </w:r>
    </w:p>
    <w:p>
      <w:pPr>
        <w:spacing w:before="1"/>
        <w:ind w:left="1259" w:right="0" w:firstLine="0"/>
        <w:jc w:val="left"/>
        <w:rPr>
          <w:rFonts w:ascii="Arial" w:hAnsi="Arial"/>
          <w:sz w:val="19"/>
        </w:rPr>
      </w:pPr>
      <w:r>
        <w:rPr>
          <w:rFonts w:ascii="Arial" w:hAnsi="Arial"/>
          <w:i/>
          <w:color w:val="231F20"/>
          <w:w w:val="110"/>
          <w:sz w:val="19"/>
        </w:rPr>
        <w:t>Control</w:t>
      </w:r>
      <w:r>
        <w:rPr>
          <w:rFonts w:ascii="Arial" w:hAnsi="Arial"/>
          <w:color w:val="231F20"/>
          <w:w w:val="110"/>
          <w:sz w:val="19"/>
        </w:rPr>
        <w:t>—</w:t>
      </w:r>
      <w:r>
        <w:rPr>
          <w:rFonts w:ascii="Arial" w:hAnsi="Arial"/>
          <w:color w:val="231F20"/>
          <w:spacing w:val="-34"/>
          <w:w w:val="110"/>
          <w:sz w:val="19"/>
        </w:rPr>
        <w:t> </w:t>
      </w:r>
      <w:r>
        <w:rPr>
          <w:rFonts w:ascii="Arial" w:hAnsi="Arial"/>
          <w:color w:val="231F20"/>
          <w:w w:val="110"/>
          <w:sz w:val="19"/>
        </w:rPr>
        <w:t>Is</w:t>
      </w:r>
      <w:r>
        <w:rPr>
          <w:rFonts w:ascii="Arial" w:hAnsi="Arial"/>
          <w:color w:val="231F20"/>
          <w:spacing w:val="17"/>
          <w:w w:val="110"/>
          <w:sz w:val="19"/>
        </w:rPr>
        <w:t> </w:t>
      </w:r>
      <w:r>
        <w:rPr>
          <w:rFonts w:ascii="Arial" w:hAnsi="Arial"/>
          <w:color w:val="231F20"/>
          <w:w w:val="110"/>
          <w:sz w:val="19"/>
        </w:rPr>
        <w:t>the</w:t>
      </w:r>
      <w:r>
        <w:rPr>
          <w:rFonts w:ascii="Arial" w:hAnsi="Arial"/>
          <w:color w:val="231F20"/>
          <w:spacing w:val="17"/>
          <w:w w:val="110"/>
          <w:sz w:val="19"/>
        </w:rPr>
        <w:t> </w:t>
      </w:r>
      <w:r>
        <w:rPr>
          <w:rFonts w:ascii="Arial" w:hAnsi="Arial"/>
          <w:color w:val="231F20"/>
          <w:w w:val="110"/>
          <w:sz w:val="19"/>
        </w:rPr>
        <w:t>production</w:t>
      </w:r>
      <w:r>
        <w:rPr>
          <w:rFonts w:ascii="Arial" w:hAnsi="Arial"/>
          <w:color w:val="231F20"/>
          <w:spacing w:val="18"/>
          <w:w w:val="110"/>
          <w:sz w:val="19"/>
        </w:rPr>
        <w:t> </w:t>
      </w:r>
      <w:r>
        <w:rPr>
          <w:rFonts w:ascii="Arial" w:hAnsi="Arial"/>
          <w:color w:val="231F20"/>
          <w:w w:val="110"/>
          <w:sz w:val="19"/>
        </w:rPr>
        <w:t>process</w:t>
      </w:r>
      <w:r>
        <w:rPr>
          <w:rFonts w:ascii="Arial" w:hAnsi="Arial"/>
          <w:color w:val="231F20"/>
          <w:spacing w:val="17"/>
          <w:w w:val="110"/>
          <w:sz w:val="19"/>
        </w:rPr>
        <w:t> </w:t>
      </w:r>
      <w:r>
        <w:rPr>
          <w:rFonts w:ascii="Arial" w:hAnsi="Arial"/>
          <w:color w:val="231F20"/>
          <w:spacing w:val="-2"/>
          <w:w w:val="110"/>
          <w:sz w:val="19"/>
        </w:rPr>
        <w:t>working?</w:t>
      </w:r>
    </w:p>
    <w:p>
      <w:pPr>
        <w:spacing w:after="0"/>
        <w:jc w:val="left"/>
        <w:rPr>
          <w:rFonts w:ascii="Arial" w:hAnsi="Arial"/>
          <w:sz w:val="19"/>
        </w:rPr>
        <w:sectPr>
          <w:pgSz w:w="8640" w:h="12960"/>
          <w:pgMar w:header="734" w:footer="0" w:top="920" w:bottom="280" w:left="340" w:right="500"/>
        </w:sectPr>
      </w:pPr>
    </w:p>
    <w:p>
      <w:pPr>
        <w:pStyle w:val="BodyText"/>
        <w:spacing w:before="2"/>
        <w:rPr>
          <w:rFonts w:ascii="Arial"/>
          <w:sz w:val="18"/>
        </w:rPr>
      </w:pPr>
    </w:p>
    <w:p>
      <w:pPr>
        <w:pStyle w:val="BodyText"/>
        <w:spacing w:line="292" w:lineRule="auto" w:before="102"/>
        <w:ind w:left="830" w:right="756" w:firstLine="340"/>
        <w:jc w:val="both"/>
      </w:pPr>
      <w:r>
        <w:rPr>
          <w:color w:val="231F20"/>
        </w:rPr>
        <w:t>An MBA’s operations education is rudimentary. The object is </w:t>
      </w:r>
      <w:r>
        <w:rPr>
          <w:color w:val="231F20"/>
        </w:rPr>
        <w:t>to turn out not engineers, but managers who understand the manufac- turing and service-rendering process. Each of the five issues raised above can and should be studied in great detail to achieve the most efficient production methods; however, in the spirit of this book, I will present only the highlights of some popular theories to offer you the basics.</w:t>
      </w:r>
    </w:p>
    <w:p>
      <w:pPr>
        <w:pStyle w:val="BodyText"/>
        <w:rPr>
          <w:sz w:val="24"/>
        </w:rPr>
      </w:pPr>
    </w:p>
    <w:p>
      <w:pPr>
        <w:pStyle w:val="BodyText"/>
        <w:spacing w:before="11"/>
        <w:rPr>
          <w:sz w:val="26"/>
        </w:rPr>
      </w:pPr>
    </w:p>
    <w:p>
      <w:pPr>
        <w:pStyle w:val="Heading6"/>
        <w:ind w:left="299"/>
        <w:rPr>
          <w:i/>
        </w:rPr>
      </w:pPr>
      <w:r>
        <w:rPr>
          <w:i/>
          <w:color w:val="231F20"/>
          <w:w w:val="110"/>
        </w:rPr>
        <w:t>THE</w:t>
      </w:r>
      <w:r>
        <w:rPr>
          <w:i/>
          <w:color w:val="231F20"/>
          <w:spacing w:val="44"/>
          <w:w w:val="110"/>
        </w:rPr>
        <w:t> </w:t>
      </w:r>
      <w:r>
        <w:rPr>
          <w:i/>
          <w:color w:val="231F20"/>
          <w:w w:val="110"/>
        </w:rPr>
        <w:t>SIX</w:t>
      </w:r>
      <w:r>
        <w:rPr>
          <w:i/>
          <w:color w:val="231F20"/>
          <w:spacing w:val="45"/>
          <w:w w:val="110"/>
        </w:rPr>
        <w:t> </w:t>
      </w:r>
      <w:r>
        <w:rPr>
          <w:i/>
          <w:color w:val="231F20"/>
          <w:w w:val="110"/>
        </w:rPr>
        <w:t>M’S</w:t>
      </w:r>
      <w:r>
        <w:rPr>
          <w:i/>
          <w:color w:val="231F20"/>
          <w:spacing w:val="44"/>
          <w:w w:val="110"/>
        </w:rPr>
        <w:t> </w:t>
      </w:r>
      <w:r>
        <w:rPr>
          <w:i/>
          <w:color w:val="231F20"/>
          <w:w w:val="110"/>
        </w:rPr>
        <w:t>OF</w:t>
      </w:r>
      <w:r>
        <w:rPr>
          <w:i/>
          <w:color w:val="231F20"/>
          <w:spacing w:val="45"/>
          <w:w w:val="110"/>
        </w:rPr>
        <w:t> </w:t>
      </w:r>
      <w:r>
        <w:rPr>
          <w:i/>
          <w:color w:val="231F20"/>
          <w:spacing w:val="-2"/>
          <w:w w:val="110"/>
        </w:rPr>
        <w:t>CAPACITY</w:t>
      </w:r>
    </w:p>
    <w:p>
      <w:pPr>
        <w:pStyle w:val="BodyText"/>
        <w:spacing w:before="2"/>
        <w:rPr>
          <w:b/>
          <w:i/>
          <w:sz w:val="30"/>
        </w:rPr>
      </w:pPr>
    </w:p>
    <w:p>
      <w:pPr>
        <w:pStyle w:val="BodyText"/>
        <w:spacing w:line="292" w:lineRule="auto"/>
        <w:ind w:left="830" w:right="756"/>
        <w:jc w:val="both"/>
      </w:pPr>
      <w:r>
        <w:rPr>
          <w:color w:val="231F20"/>
        </w:rPr>
        <w:t>To</w:t>
      </w:r>
      <w:r>
        <w:rPr>
          <w:color w:val="231F20"/>
          <w:spacing w:val="33"/>
        </w:rPr>
        <w:t> </w:t>
      </w:r>
      <w:r>
        <w:rPr>
          <w:color w:val="231F20"/>
        </w:rPr>
        <w:t>answer</w:t>
      </w:r>
      <w:r>
        <w:rPr>
          <w:color w:val="231F20"/>
          <w:spacing w:val="33"/>
        </w:rPr>
        <w:t> </w:t>
      </w:r>
      <w:r>
        <w:rPr>
          <w:color w:val="231F20"/>
        </w:rPr>
        <w:t>the</w:t>
      </w:r>
      <w:r>
        <w:rPr>
          <w:color w:val="231F20"/>
          <w:spacing w:val="33"/>
        </w:rPr>
        <w:t> </w:t>
      </w:r>
      <w:r>
        <w:rPr>
          <w:color w:val="231F20"/>
        </w:rPr>
        <w:t>question</w:t>
      </w:r>
      <w:r>
        <w:rPr>
          <w:color w:val="231F20"/>
          <w:spacing w:val="33"/>
        </w:rPr>
        <w:t> </w:t>
      </w:r>
      <w:r>
        <w:rPr>
          <w:color w:val="231F20"/>
        </w:rPr>
        <w:t>of</w:t>
      </w:r>
      <w:r>
        <w:rPr>
          <w:color w:val="231F20"/>
          <w:spacing w:val="33"/>
        </w:rPr>
        <w:t> </w:t>
      </w:r>
      <w:r>
        <w:rPr>
          <w:color w:val="231F20"/>
        </w:rPr>
        <w:t>how</w:t>
      </w:r>
      <w:r>
        <w:rPr>
          <w:color w:val="231F20"/>
          <w:spacing w:val="33"/>
        </w:rPr>
        <w:t> </w:t>
      </w:r>
      <w:r>
        <w:rPr>
          <w:color w:val="231F20"/>
        </w:rPr>
        <w:t>much</w:t>
      </w:r>
      <w:r>
        <w:rPr>
          <w:color w:val="231F20"/>
          <w:spacing w:val="33"/>
        </w:rPr>
        <w:t> </w:t>
      </w:r>
      <w:r>
        <w:rPr>
          <w:color w:val="231F20"/>
        </w:rPr>
        <w:t>you</w:t>
      </w:r>
      <w:r>
        <w:rPr>
          <w:color w:val="231F20"/>
          <w:spacing w:val="33"/>
        </w:rPr>
        <w:t> </w:t>
      </w:r>
      <w:r>
        <w:rPr>
          <w:color w:val="231F20"/>
        </w:rPr>
        <w:t>can</w:t>
      </w:r>
      <w:r>
        <w:rPr>
          <w:color w:val="231F20"/>
          <w:spacing w:val="33"/>
        </w:rPr>
        <w:t> </w:t>
      </w:r>
      <w:r>
        <w:rPr>
          <w:color w:val="231F20"/>
        </w:rPr>
        <w:t>produce,</w:t>
      </w:r>
      <w:r>
        <w:rPr>
          <w:color w:val="231F20"/>
          <w:spacing w:val="33"/>
        </w:rPr>
        <w:t> </w:t>
      </w:r>
      <w:r>
        <w:rPr>
          <w:color w:val="231F20"/>
        </w:rPr>
        <w:t>MBAs</w:t>
      </w:r>
      <w:r>
        <w:rPr>
          <w:color w:val="231F20"/>
          <w:spacing w:val="33"/>
        </w:rPr>
        <w:t> </w:t>
      </w:r>
      <w:r>
        <w:rPr>
          <w:color w:val="231F20"/>
        </w:rPr>
        <w:t>use six M’s to guide them in manufacturing analysis. The M’s focus on</w:t>
      </w:r>
      <w:r>
        <w:rPr>
          <w:color w:val="231F20"/>
          <w:spacing w:val="80"/>
          <w:w w:val="150"/>
        </w:rPr>
        <w:t> </w:t>
      </w:r>
      <w:r>
        <w:rPr>
          <w:color w:val="231F20"/>
        </w:rPr>
        <w:t>the areas that determine the limits of any production facility. Some schools teach only four M’s, while others stretch the six into seven.</w:t>
      </w:r>
      <w:r>
        <w:rPr>
          <w:color w:val="231F20"/>
          <w:spacing w:val="80"/>
        </w:rPr>
        <w:t> </w:t>
      </w:r>
      <w:r>
        <w:rPr>
          <w:color w:val="231F20"/>
        </w:rPr>
        <w:t>In any case, M’s are taught at all the Top Ten schools.</w:t>
      </w:r>
    </w:p>
    <w:p>
      <w:pPr>
        <w:pStyle w:val="BodyText"/>
        <w:spacing w:before="3"/>
        <w:rPr>
          <w:sz w:val="27"/>
        </w:rPr>
      </w:pPr>
    </w:p>
    <w:p>
      <w:pPr>
        <w:spacing w:line="328" w:lineRule="auto" w:before="0"/>
        <w:ind w:left="1510" w:right="667" w:hanging="340"/>
        <w:jc w:val="left"/>
        <w:rPr>
          <w:rFonts w:ascii="Arial" w:hAnsi="Arial"/>
          <w:sz w:val="19"/>
        </w:rPr>
      </w:pPr>
      <w:r>
        <w:rPr>
          <w:rFonts w:ascii="Arial" w:hAnsi="Arial"/>
          <w:i/>
          <w:color w:val="231F20"/>
          <w:w w:val="115"/>
          <w:sz w:val="19"/>
        </w:rPr>
        <w:t>Methods</w:t>
      </w:r>
      <w:r>
        <w:rPr>
          <w:rFonts w:ascii="Arial" w:hAnsi="Arial"/>
          <w:i/>
          <w:color w:val="231F20"/>
          <w:spacing w:val="-39"/>
          <w:w w:val="115"/>
          <w:sz w:val="19"/>
        </w:rPr>
        <w:t> </w:t>
      </w:r>
      <w:r>
        <w:rPr>
          <w:rFonts w:ascii="Arial" w:hAnsi="Arial"/>
          <w:color w:val="231F20"/>
          <w:w w:val="115"/>
          <w:sz w:val="19"/>
        </w:rPr>
        <w:t>—</w:t>
      </w:r>
      <w:r>
        <w:rPr>
          <w:rFonts w:ascii="Arial" w:hAnsi="Arial"/>
          <w:color w:val="231F20"/>
          <w:spacing w:val="-39"/>
          <w:w w:val="115"/>
          <w:sz w:val="19"/>
        </w:rPr>
        <w:t> </w:t>
      </w:r>
      <w:r>
        <w:rPr>
          <w:rFonts w:ascii="Arial" w:hAnsi="Arial"/>
          <w:color w:val="231F20"/>
          <w:w w:val="115"/>
          <w:sz w:val="19"/>
        </w:rPr>
        <w:t>Have you chosen the best method of accomplishing</w:t>
      </w:r>
      <w:r>
        <w:rPr>
          <w:rFonts w:ascii="Arial" w:hAnsi="Arial"/>
          <w:color w:val="231F20"/>
          <w:spacing w:val="-4"/>
          <w:w w:val="115"/>
          <w:sz w:val="19"/>
        </w:rPr>
        <w:t> </w:t>
      </w:r>
      <w:r>
        <w:rPr>
          <w:rFonts w:ascii="Arial" w:hAnsi="Arial"/>
          <w:color w:val="231F20"/>
          <w:w w:val="115"/>
          <w:sz w:val="19"/>
        </w:rPr>
        <w:t>the</w:t>
      </w:r>
      <w:r>
        <w:rPr>
          <w:rFonts w:ascii="Arial" w:hAnsi="Arial"/>
          <w:color w:val="231F20"/>
          <w:spacing w:val="-4"/>
          <w:w w:val="115"/>
          <w:sz w:val="19"/>
        </w:rPr>
        <w:t> </w:t>
      </w:r>
      <w:r>
        <w:rPr>
          <w:rFonts w:ascii="Arial" w:hAnsi="Arial"/>
          <w:color w:val="231F20"/>
          <w:w w:val="115"/>
          <w:sz w:val="19"/>
        </w:rPr>
        <w:t>operational</w:t>
      </w:r>
      <w:r>
        <w:rPr>
          <w:rFonts w:ascii="Arial" w:hAnsi="Arial"/>
          <w:color w:val="231F20"/>
          <w:spacing w:val="-4"/>
          <w:w w:val="115"/>
          <w:sz w:val="19"/>
        </w:rPr>
        <w:t> </w:t>
      </w:r>
      <w:r>
        <w:rPr>
          <w:rFonts w:ascii="Arial" w:hAnsi="Arial"/>
          <w:color w:val="231F20"/>
          <w:w w:val="115"/>
          <w:sz w:val="19"/>
        </w:rPr>
        <w:t>task?</w:t>
      </w:r>
      <w:r>
        <w:rPr>
          <w:rFonts w:ascii="Arial" w:hAnsi="Arial"/>
          <w:color w:val="231F20"/>
          <w:spacing w:val="-4"/>
          <w:w w:val="115"/>
          <w:sz w:val="19"/>
        </w:rPr>
        <w:t> </w:t>
      </w:r>
      <w:r>
        <w:rPr>
          <w:rFonts w:ascii="Arial" w:hAnsi="Arial"/>
          <w:color w:val="231F20"/>
          <w:w w:val="115"/>
          <w:sz w:val="19"/>
        </w:rPr>
        <w:t>Are</w:t>
      </w:r>
      <w:r>
        <w:rPr>
          <w:rFonts w:ascii="Arial" w:hAnsi="Arial"/>
          <w:color w:val="231F20"/>
          <w:spacing w:val="-4"/>
          <w:w w:val="115"/>
          <w:sz w:val="19"/>
        </w:rPr>
        <w:t> </w:t>
      </w:r>
      <w:r>
        <w:rPr>
          <w:rFonts w:ascii="Arial" w:hAnsi="Arial"/>
          <w:color w:val="231F20"/>
          <w:w w:val="115"/>
          <w:sz w:val="19"/>
        </w:rPr>
        <w:t>the</w:t>
      </w:r>
      <w:r>
        <w:rPr>
          <w:rFonts w:ascii="Arial" w:hAnsi="Arial"/>
          <w:color w:val="231F20"/>
          <w:spacing w:val="-4"/>
          <w:w w:val="115"/>
          <w:sz w:val="19"/>
        </w:rPr>
        <w:t> </w:t>
      </w:r>
      <w:r>
        <w:rPr>
          <w:rFonts w:ascii="Arial" w:hAnsi="Arial"/>
          <w:color w:val="231F20"/>
          <w:w w:val="115"/>
          <w:sz w:val="19"/>
        </w:rPr>
        <w:t>machines placed</w:t>
      </w:r>
      <w:r>
        <w:rPr>
          <w:rFonts w:ascii="Arial" w:hAnsi="Arial"/>
          <w:color w:val="231F20"/>
          <w:spacing w:val="-4"/>
          <w:w w:val="115"/>
          <w:sz w:val="19"/>
        </w:rPr>
        <w:t> </w:t>
      </w:r>
      <w:r>
        <w:rPr>
          <w:rFonts w:ascii="Arial" w:hAnsi="Arial"/>
          <w:color w:val="231F20"/>
          <w:w w:val="115"/>
          <w:sz w:val="19"/>
        </w:rPr>
        <w:t>in</w:t>
      </w:r>
      <w:r>
        <w:rPr>
          <w:rFonts w:ascii="Arial" w:hAnsi="Arial"/>
          <w:color w:val="231F20"/>
          <w:spacing w:val="-4"/>
          <w:w w:val="115"/>
          <w:sz w:val="19"/>
        </w:rPr>
        <w:t> </w:t>
      </w:r>
      <w:r>
        <w:rPr>
          <w:rFonts w:ascii="Arial" w:hAnsi="Arial"/>
          <w:color w:val="231F20"/>
          <w:w w:val="115"/>
          <w:sz w:val="19"/>
        </w:rPr>
        <w:t>the</w:t>
      </w:r>
      <w:r>
        <w:rPr>
          <w:rFonts w:ascii="Arial" w:hAnsi="Arial"/>
          <w:color w:val="231F20"/>
          <w:spacing w:val="-4"/>
          <w:w w:val="115"/>
          <w:sz w:val="19"/>
        </w:rPr>
        <w:t> </w:t>
      </w:r>
      <w:r>
        <w:rPr>
          <w:rFonts w:ascii="Arial" w:hAnsi="Arial"/>
          <w:color w:val="231F20"/>
          <w:w w:val="115"/>
          <w:sz w:val="19"/>
        </w:rPr>
        <w:t>most</w:t>
      </w:r>
      <w:r>
        <w:rPr>
          <w:rFonts w:ascii="Arial" w:hAnsi="Arial"/>
          <w:color w:val="231F20"/>
          <w:spacing w:val="-4"/>
          <w:w w:val="115"/>
          <w:sz w:val="19"/>
        </w:rPr>
        <w:t> </w:t>
      </w:r>
      <w:r>
        <w:rPr>
          <w:rFonts w:ascii="Arial" w:hAnsi="Arial"/>
          <w:color w:val="231F20"/>
          <w:w w:val="115"/>
          <w:sz w:val="19"/>
        </w:rPr>
        <w:t>efficient</w:t>
      </w:r>
      <w:r>
        <w:rPr>
          <w:rFonts w:ascii="Arial" w:hAnsi="Arial"/>
          <w:color w:val="231F20"/>
          <w:spacing w:val="-4"/>
          <w:w w:val="115"/>
          <w:sz w:val="19"/>
        </w:rPr>
        <w:t> </w:t>
      </w:r>
      <w:r>
        <w:rPr>
          <w:rFonts w:ascii="Arial" w:hAnsi="Arial"/>
          <w:color w:val="231F20"/>
          <w:w w:val="115"/>
          <w:sz w:val="19"/>
        </w:rPr>
        <w:t>factory-floor</w:t>
      </w:r>
      <w:r>
        <w:rPr>
          <w:rFonts w:ascii="Arial" w:hAnsi="Arial"/>
          <w:color w:val="231F20"/>
          <w:spacing w:val="-4"/>
          <w:w w:val="115"/>
          <w:sz w:val="19"/>
        </w:rPr>
        <w:t> </w:t>
      </w:r>
      <w:r>
        <w:rPr>
          <w:rFonts w:ascii="Arial" w:hAnsi="Arial"/>
          <w:color w:val="231F20"/>
          <w:w w:val="115"/>
          <w:sz w:val="19"/>
        </w:rPr>
        <w:t>configuration?</w:t>
      </w:r>
    </w:p>
    <w:p>
      <w:pPr>
        <w:spacing w:line="328" w:lineRule="auto" w:before="2"/>
        <w:ind w:left="1510" w:right="667" w:hanging="340"/>
        <w:jc w:val="left"/>
        <w:rPr>
          <w:rFonts w:ascii="Arial" w:hAnsi="Arial"/>
          <w:sz w:val="19"/>
        </w:rPr>
      </w:pPr>
      <w:r>
        <w:rPr>
          <w:rFonts w:ascii="Arial" w:hAnsi="Arial"/>
          <w:i/>
          <w:color w:val="231F20"/>
          <w:w w:val="115"/>
          <w:sz w:val="19"/>
        </w:rPr>
        <w:t>Materials</w:t>
      </w:r>
      <w:r>
        <w:rPr>
          <w:rFonts w:ascii="Arial" w:hAnsi="Arial"/>
          <w:i/>
          <w:color w:val="231F20"/>
          <w:spacing w:val="-42"/>
          <w:w w:val="115"/>
          <w:sz w:val="19"/>
        </w:rPr>
        <w:t> </w:t>
      </w:r>
      <w:r>
        <w:rPr>
          <w:rFonts w:ascii="Arial" w:hAnsi="Arial"/>
          <w:color w:val="231F20"/>
          <w:spacing w:val="11"/>
          <w:w w:val="115"/>
          <w:sz w:val="19"/>
        </w:rPr>
        <w:t>—</w:t>
      </w:r>
      <w:r>
        <w:rPr>
          <w:rFonts w:ascii="Arial" w:hAnsi="Arial"/>
          <w:color w:val="231F20"/>
          <w:w w:val="115"/>
          <w:sz w:val="19"/>
        </w:rPr>
        <w:t>Are</w:t>
      </w:r>
      <w:r>
        <w:rPr>
          <w:rFonts w:ascii="Arial" w:hAnsi="Arial"/>
          <w:color w:val="231F20"/>
          <w:spacing w:val="-9"/>
          <w:w w:val="115"/>
          <w:sz w:val="19"/>
        </w:rPr>
        <w:t> </w:t>
      </w:r>
      <w:r>
        <w:rPr>
          <w:rFonts w:ascii="Arial" w:hAnsi="Arial"/>
          <w:color w:val="231F20"/>
          <w:w w:val="115"/>
          <w:sz w:val="19"/>
        </w:rPr>
        <w:t>the</w:t>
      </w:r>
      <w:r>
        <w:rPr>
          <w:rFonts w:ascii="Arial" w:hAnsi="Arial"/>
          <w:color w:val="231F20"/>
          <w:spacing w:val="-7"/>
          <w:w w:val="115"/>
          <w:sz w:val="19"/>
        </w:rPr>
        <w:t> </w:t>
      </w:r>
      <w:r>
        <w:rPr>
          <w:rFonts w:ascii="Arial" w:hAnsi="Arial"/>
          <w:color w:val="231F20"/>
          <w:w w:val="115"/>
          <w:sz w:val="19"/>
        </w:rPr>
        <w:t>materials</w:t>
      </w:r>
      <w:r>
        <w:rPr>
          <w:rFonts w:ascii="Arial" w:hAnsi="Arial"/>
          <w:color w:val="231F20"/>
          <w:spacing w:val="-7"/>
          <w:w w:val="115"/>
          <w:sz w:val="19"/>
        </w:rPr>
        <w:t> </w:t>
      </w:r>
      <w:r>
        <w:rPr>
          <w:rFonts w:ascii="Arial" w:hAnsi="Arial"/>
          <w:color w:val="231F20"/>
          <w:w w:val="115"/>
          <w:sz w:val="19"/>
        </w:rPr>
        <w:t>you</w:t>
      </w:r>
      <w:r>
        <w:rPr>
          <w:rFonts w:ascii="Arial" w:hAnsi="Arial"/>
          <w:color w:val="231F20"/>
          <w:spacing w:val="-7"/>
          <w:w w:val="115"/>
          <w:sz w:val="19"/>
        </w:rPr>
        <w:t> </w:t>
      </w:r>
      <w:r>
        <w:rPr>
          <w:rFonts w:ascii="Arial" w:hAnsi="Arial"/>
          <w:color w:val="231F20"/>
          <w:w w:val="115"/>
          <w:sz w:val="19"/>
        </w:rPr>
        <w:t>need</w:t>
      </w:r>
      <w:r>
        <w:rPr>
          <w:rFonts w:ascii="Arial" w:hAnsi="Arial"/>
          <w:color w:val="231F20"/>
          <w:spacing w:val="-7"/>
          <w:w w:val="115"/>
          <w:sz w:val="19"/>
        </w:rPr>
        <w:t> </w:t>
      </w:r>
      <w:r>
        <w:rPr>
          <w:rFonts w:ascii="Arial" w:hAnsi="Arial"/>
          <w:color w:val="231F20"/>
          <w:w w:val="115"/>
          <w:sz w:val="19"/>
        </w:rPr>
        <w:t>available</w:t>
      </w:r>
      <w:r>
        <w:rPr>
          <w:rFonts w:ascii="Arial" w:hAnsi="Arial"/>
          <w:color w:val="231F20"/>
          <w:spacing w:val="-7"/>
          <w:w w:val="115"/>
          <w:sz w:val="19"/>
        </w:rPr>
        <w:t> </w:t>
      </w:r>
      <w:r>
        <w:rPr>
          <w:rFonts w:ascii="Arial" w:hAnsi="Arial"/>
          <w:color w:val="231F20"/>
          <w:w w:val="115"/>
          <w:sz w:val="19"/>
        </w:rPr>
        <w:t>and</w:t>
      </w:r>
      <w:r>
        <w:rPr>
          <w:rFonts w:ascii="Arial" w:hAnsi="Arial"/>
          <w:color w:val="231F20"/>
          <w:spacing w:val="-7"/>
          <w:w w:val="115"/>
          <w:sz w:val="19"/>
        </w:rPr>
        <w:t> </w:t>
      </w:r>
      <w:r>
        <w:rPr>
          <w:rFonts w:ascii="Arial" w:hAnsi="Arial"/>
          <w:color w:val="231F20"/>
          <w:w w:val="115"/>
          <w:sz w:val="19"/>
        </w:rPr>
        <w:t>of</w:t>
      </w:r>
      <w:r>
        <w:rPr>
          <w:rFonts w:ascii="Arial" w:hAnsi="Arial"/>
          <w:color w:val="231F20"/>
          <w:spacing w:val="-7"/>
          <w:w w:val="115"/>
          <w:sz w:val="19"/>
        </w:rPr>
        <w:t> </w:t>
      </w:r>
      <w:r>
        <w:rPr>
          <w:rFonts w:ascii="Arial" w:hAnsi="Arial"/>
          <w:color w:val="231F20"/>
          <w:w w:val="115"/>
          <w:sz w:val="19"/>
        </w:rPr>
        <w:t>good quality?</w:t>
      </w:r>
      <w:r>
        <w:rPr>
          <w:rFonts w:ascii="Arial" w:hAnsi="Arial"/>
          <w:color w:val="231F20"/>
          <w:spacing w:val="-16"/>
          <w:w w:val="115"/>
          <w:sz w:val="19"/>
        </w:rPr>
        <w:t> </w:t>
      </w:r>
      <w:r>
        <w:rPr>
          <w:rFonts w:ascii="Arial" w:hAnsi="Arial"/>
          <w:color w:val="231F20"/>
          <w:w w:val="115"/>
          <w:sz w:val="19"/>
        </w:rPr>
        <w:t>Do</w:t>
      </w:r>
      <w:r>
        <w:rPr>
          <w:rFonts w:ascii="Arial" w:hAnsi="Arial"/>
          <w:color w:val="231F20"/>
          <w:spacing w:val="-15"/>
          <w:w w:val="115"/>
          <w:sz w:val="19"/>
        </w:rPr>
        <w:t> </w:t>
      </w:r>
      <w:r>
        <w:rPr>
          <w:rFonts w:ascii="Arial" w:hAnsi="Arial"/>
          <w:color w:val="231F20"/>
          <w:w w:val="115"/>
          <w:sz w:val="19"/>
        </w:rPr>
        <w:t>you</w:t>
      </w:r>
      <w:r>
        <w:rPr>
          <w:rFonts w:ascii="Arial" w:hAnsi="Arial"/>
          <w:color w:val="231F20"/>
          <w:spacing w:val="-15"/>
          <w:w w:val="115"/>
          <w:sz w:val="19"/>
        </w:rPr>
        <w:t> </w:t>
      </w:r>
      <w:r>
        <w:rPr>
          <w:rFonts w:ascii="Arial" w:hAnsi="Arial"/>
          <w:color w:val="231F20"/>
          <w:w w:val="115"/>
          <w:sz w:val="19"/>
        </w:rPr>
        <w:t>have</w:t>
      </w:r>
      <w:r>
        <w:rPr>
          <w:rFonts w:ascii="Arial" w:hAnsi="Arial"/>
          <w:color w:val="231F20"/>
          <w:spacing w:val="-15"/>
          <w:w w:val="115"/>
          <w:sz w:val="19"/>
        </w:rPr>
        <w:t> </w:t>
      </w:r>
      <w:r>
        <w:rPr>
          <w:rFonts w:ascii="Arial" w:hAnsi="Arial"/>
          <w:color w:val="231F20"/>
          <w:w w:val="115"/>
          <w:sz w:val="19"/>
        </w:rPr>
        <w:t>the</w:t>
      </w:r>
      <w:r>
        <w:rPr>
          <w:rFonts w:ascii="Arial" w:hAnsi="Arial"/>
          <w:color w:val="231F20"/>
          <w:spacing w:val="-15"/>
          <w:w w:val="115"/>
          <w:sz w:val="19"/>
        </w:rPr>
        <w:t> </w:t>
      </w:r>
      <w:r>
        <w:rPr>
          <w:rFonts w:ascii="Arial" w:hAnsi="Arial"/>
          <w:color w:val="231F20"/>
          <w:w w:val="115"/>
          <w:sz w:val="19"/>
        </w:rPr>
        <w:t>capability</w:t>
      </w:r>
      <w:r>
        <w:rPr>
          <w:rFonts w:ascii="Arial" w:hAnsi="Arial"/>
          <w:color w:val="231F20"/>
          <w:spacing w:val="-16"/>
          <w:w w:val="115"/>
          <w:sz w:val="19"/>
        </w:rPr>
        <w:t> </w:t>
      </w:r>
      <w:r>
        <w:rPr>
          <w:rFonts w:ascii="Arial" w:hAnsi="Arial"/>
          <w:color w:val="231F20"/>
          <w:w w:val="115"/>
          <w:sz w:val="19"/>
        </w:rPr>
        <w:t>to</w:t>
      </w:r>
      <w:r>
        <w:rPr>
          <w:rFonts w:ascii="Arial" w:hAnsi="Arial"/>
          <w:color w:val="231F20"/>
          <w:spacing w:val="-15"/>
          <w:w w:val="115"/>
          <w:sz w:val="19"/>
        </w:rPr>
        <w:t> </w:t>
      </w:r>
      <w:r>
        <w:rPr>
          <w:rFonts w:ascii="Arial" w:hAnsi="Arial"/>
          <w:color w:val="231F20"/>
          <w:w w:val="115"/>
          <w:sz w:val="19"/>
        </w:rPr>
        <w:t>purchase</w:t>
      </w:r>
      <w:r>
        <w:rPr>
          <w:rFonts w:ascii="Arial" w:hAnsi="Arial"/>
          <w:color w:val="231F20"/>
          <w:spacing w:val="-15"/>
          <w:w w:val="115"/>
          <w:sz w:val="19"/>
        </w:rPr>
        <w:t> </w:t>
      </w:r>
      <w:r>
        <w:rPr>
          <w:rFonts w:ascii="Arial" w:hAnsi="Arial"/>
          <w:color w:val="231F20"/>
          <w:w w:val="115"/>
          <w:sz w:val="19"/>
        </w:rPr>
        <w:t>efficiently, store, and distribute the materials when needed by the production process?</w:t>
      </w:r>
    </w:p>
    <w:p>
      <w:pPr>
        <w:spacing w:line="328" w:lineRule="auto" w:before="3"/>
        <w:ind w:left="1510" w:right="667" w:hanging="340"/>
        <w:jc w:val="left"/>
        <w:rPr>
          <w:rFonts w:ascii="Arial" w:hAnsi="Arial"/>
          <w:sz w:val="19"/>
        </w:rPr>
      </w:pPr>
      <w:r>
        <w:rPr>
          <w:rFonts w:ascii="Arial" w:hAnsi="Arial"/>
          <w:i/>
          <w:color w:val="231F20"/>
          <w:spacing w:val="-2"/>
          <w:w w:val="115"/>
          <w:sz w:val="19"/>
        </w:rPr>
        <w:t>Manpower</w:t>
      </w:r>
      <w:r>
        <w:rPr>
          <w:rFonts w:ascii="Arial" w:hAnsi="Arial"/>
          <w:i/>
          <w:color w:val="231F20"/>
          <w:spacing w:val="-42"/>
          <w:w w:val="115"/>
          <w:sz w:val="19"/>
        </w:rPr>
        <w:t> </w:t>
      </w:r>
      <w:r>
        <w:rPr>
          <w:rFonts w:ascii="Arial" w:hAnsi="Arial"/>
          <w:color w:val="231F20"/>
          <w:spacing w:val="-2"/>
          <w:w w:val="115"/>
          <w:sz w:val="19"/>
        </w:rPr>
        <w:t>—</w:t>
      </w:r>
      <w:r>
        <w:rPr>
          <w:rFonts w:ascii="Arial" w:hAnsi="Arial"/>
          <w:color w:val="231F20"/>
          <w:spacing w:val="-42"/>
          <w:w w:val="115"/>
          <w:sz w:val="19"/>
        </w:rPr>
        <w:t> </w:t>
      </w:r>
      <w:r>
        <w:rPr>
          <w:rFonts w:ascii="Arial" w:hAnsi="Arial"/>
          <w:color w:val="231F20"/>
          <w:spacing w:val="-2"/>
          <w:w w:val="115"/>
          <w:sz w:val="19"/>
        </w:rPr>
        <w:t>Do</w:t>
      </w:r>
      <w:r>
        <w:rPr>
          <w:rFonts w:ascii="Arial" w:hAnsi="Arial"/>
          <w:color w:val="231F20"/>
          <w:spacing w:val="-14"/>
          <w:w w:val="115"/>
          <w:sz w:val="19"/>
        </w:rPr>
        <w:t> </w:t>
      </w:r>
      <w:r>
        <w:rPr>
          <w:rFonts w:ascii="Arial" w:hAnsi="Arial"/>
          <w:color w:val="231F20"/>
          <w:spacing w:val="-2"/>
          <w:w w:val="115"/>
          <w:sz w:val="19"/>
        </w:rPr>
        <w:t>you</w:t>
      </w:r>
      <w:r>
        <w:rPr>
          <w:rFonts w:ascii="Arial" w:hAnsi="Arial"/>
          <w:color w:val="231F20"/>
          <w:spacing w:val="-13"/>
          <w:w w:val="115"/>
          <w:sz w:val="19"/>
        </w:rPr>
        <w:t> </w:t>
      </w:r>
      <w:r>
        <w:rPr>
          <w:rFonts w:ascii="Arial" w:hAnsi="Arial"/>
          <w:color w:val="231F20"/>
          <w:spacing w:val="-2"/>
          <w:w w:val="115"/>
          <w:sz w:val="19"/>
        </w:rPr>
        <w:t>have</w:t>
      </w:r>
      <w:r>
        <w:rPr>
          <w:rFonts w:ascii="Arial" w:hAnsi="Arial"/>
          <w:color w:val="231F20"/>
          <w:spacing w:val="-10"/>
          <w:w w:val="115"/>
          <w:sz w:val="19"/>
        </w:rPr>
        <w:t> </w:t>
      </w:r>
      <w:r>
        <w:rPr>
          <w:rFonts w:ascii="Arial" w:hAnsi="Arial"/>
          <w:color w:val="231F20"/>
          <w:spacing w:val="-2"/>
          <w:w w:val="115"/>
          <w:sz w:val="19"/>
        </w:rPr>
        <w:t>well-trained</w:t>
      </w:r>
      <w:r>
        <w:rPr>
          <w:rFonts w:ascii="Arial" w:hAnsi="Arial"/>
          <w:color w:val="231F20"/>
          <w:spacing w:val="-11"/>
          <w:w w:val="115"/>
          <w:sz w:val="19"/>
        </w:rPr>
        <w:t> </w:t>
      </w:r>
      <w:r>
        <w:rPr>
          <w:rFonts w:ascii="Arial" w:hAnsi="Arial"/>
          <w:color w:val="231F20"/>
          <w:spacing w:val="-2"/>
          <w:w w:val="115"/>
          <w:sz w:val="19"/>
        </w:rPr>
        <w:t>and</w:t>
      </w:r>
      <w:r>
        <w:rPr>
          <w:rFonts w:ascii="Arial" w:hAnsi="Arial"/>
          <w:color w:val="231F20"/>
          <w:spacing w:val="-11"/>
          <w:w w:val="115"/>
          <w:sz w:val="19"/>
        </w:rPr>
        <w:t> </w:t>
      </w:r>
      <w:r>
        <w:rPr>
          <w:rFonts w:ascii="Arial" w:hAnsi="Arial"/>
          <w:color w:val="231F20"/>
          <w:spacing w:val="-2"/>
          <w:w w:val="115"/>
          <w:sz w:val="19"/>
        </w:rPr>
        <w:t>productive</w:t>
      </w:r>
      <w:r>
        <w:rPr>
          <w:rFonts w:ascii="Arial" w:hAnsi="Arial"/>
          <w:color w:val="231F20"/>
          <w:spacing w:val="-11"/>
          <w:w w:val="115"/>
          <w:sz w:val="19"/>
        </w:rPr>
        <w:t> </w:t>
      </w:r>
      <w:r>
        <w:rPr>
          <w:rFonts w:ascii="Arial" w:hAnsi="Arial"/>
          <w:color w:val="231F20"/>
          <w:spacing w:val="-2"/>
          <w:w w:val="115"/>
          <w:sz w:val="19"/>
        </w:rPr>
        <w:t>workers </w:t>
      </w:r>
      <w:r>
        <w:rPr>
          <w:rFonts w:ascii="Arial" w:hAnsi="Arial"/>
          <w:color w:val="231F20"/>
          <w:w w:val="115"/>
          <w:sz w:val="19"/>
        </w:rPr>
        <w:t>and managers to accomplish your production goals? Are your workers sufficiently trained to operate any new technology that you may acquire?</w:t>
      </w:r>
    </w:p>
    <w:p>
      <w:pPr>
        <w:spacing w:line="328" w:lineRule="auto" w:before="3"/>
        <w:ind w:left="1510" w:right="896" w:hanging="340"/>
        <w:jc w:val="both"/>
        <w:rPr>
          <w:rFonts w:ascii="Arial" w:hAnsi="Arial"/>
          <w:sz w:val="19"/>
        </w:rPr>
      </w:pPr>
      <w:r>
        <w:rPr>
          <w:rFonts w:ascii="Arial" w:hAnsi="Arial"/>
          <w:i/>
          <w:color w:val="231F20"/>
          <w:w w:val="110"/>
          <w:sz w:val="19"/>
        </w:rPr>
        <w:t>Machinery</w:t>
      </w:r>
      <w:r>
        <w:rPr>
          <w:rFonts w:ascii="Arial" w:hAnsi="Arial"/>
          <w:i/>
          <w:color w:val="231F20"/>
          <w:spacing w:val="-15"/>
          <w:w w:val="110"/>
          <w:sz w:val="19"/>
        </w:rPr>
        <w:t> </w:t>
      </w:r>
      <w:r>
        <w:rPr>
          <w:rFonts w:ascii="Arial" w:hAnsi="Arial"/>
          <w:color w:val="231F20"/>
          <w:w w:val="110"/>
          <w:sz w:val="19"/>
        </w:rPr>
        <w:t>—</w:t>
      </w:r>
      <w:r>
        <w:rPr>
          <w:rFonts w:ascii="Arial" w:hAnsi="Arial"/>
          <w:color w:val="231F20"/>
          <w:spacing w:val="-15"/>
          <w:w w:val="110"/>
          <w:sz w:val="19"/>
        </w:rPr>
        <w:t> </w:t>
      </w:r>
      <w:r>
        <w:rPr>
          <w:rFonts w:ascii="Arial" w:hAnsi="Arial"/>
          <w:color w:val="231F20"/>
          <w:w w:val="110"/>
          <w:sz w:val="19"/>
        </w:rPr>
        <w:t>Do</w:t>
      </w:r>
      <w:r>
        <w:rPr>
          <w:rFonts w:ascii="Arial" w:hAnsi="Arial"/>
          <w:color w:val="231F20"/>
          <w:spacing w:val="-14"/>
          <w:w w:val="110"/>
          <w:sz w:val="19"/>
        </w:rPr>
        <w:t> </w:t>
      </w:r>
      <w:r>
        <w:rPr>
          <w:rFonts w:ascii="Arial" w:hAnsi="Arial"/>
          <w:color w:val="231F20"/>
          <w:w w:val="110"/>
          <w:sz w:val="19"/>
        </w:rPr>
        <w:t>you</w:t>
      </w:r>
      <w:r>
        <w:rPr>
          <w:rFonts w:ascii="Arial" w:hAnsi="Arial"/>
          <w:color w:val="231F20"/>
          <w:spacing w:val="-9"/>
          <w:w w:val="110"/>
          <w:sz w:val="19"/>
        </w:rPr>
        <w:t> </w:t>
      </w:r>
      <w:r>
        <w:rPr>
          <w:rFonts w:ascii="Arial" w:hAnsi="Arial"/>
          <w:color w:val="231F20"/>
          <w:w w:val="110"/>
          <w:sz w:val="19"/>
        </w:rPr>
        <w:t>have the right tools for the job? Do </w:t>
      </w:r>
      <w:r>
        <w:rPr>
          <w:rFonts w:ascii="Arial" w:hAnsi="Arial"/>
          <w:color w:val="231F20"/>
          <w:w w:val="110"/>
          <w:sz w:val="19"/>
        </w:rPr>
        <w:t>your machines meet your needs: capabilities, speed, reliability, </w:t>
      </w:r>
      <w:r>
        <w:rPr>
          <w:rFonts w:ascii="Arial" w:hAnsi="Arial"/>
          <w:color w:val="231F20"/>
          <w:spacing w:val="-2"/>
          <w:w w:val="110"/>
          <w:sz w:val="19"/>
        </w:rPr>
        <w:t>technology?</w:t>
      </w:r>
    </w:p>
    <w:p>
      <w:pPr>
        <w:spacing w:line="328" w:lineRule="auto" w:before="2"/>
        <w:ind w:left="1510" w:right="849" w:hanging="340"/>
        <w:jc w:val="left"/>
        <w:rPr>
          <w:rFonts w:ascii="Arial" w:hAnsi="Arial"/>
          <w:sz w:val="19"/>
        </w:rPr>
      </w:pPr>
      <w:r>
        <w:rPr>
          <w:rFonts w:ascii="Arial" w:hAnsi="Arial"/>
          <w:i/>
          <w:color w:val="231F20"/>
          <w:w w:val="110"/>
          <w:sz w:val="19"/>
        </w:rPr>
        <w:t>Money</w:t>
      </w:r>
      <w:r>
        <w:rPr>
          <w:rFonts w:ascii="Arial" w:hAnsi="Arial"/>
          <w:i/>
          <w:color w:val="231F20"/>
          <w:spacing w:val="-38"/>
          <w:w w:val="110"/>
          <w:sz w:val="19"/>
        </w:rPr>
        <w:t> </w:t>
      </w:r>
      <w:r>
        <w:rPr>
          <w:rFonts w:ascii="Arial" w:hAnsi="Arial"/>
          <w:color w:val="231F20"/>
          <w:w w:val="110"/>
          <w:sz w:val="19"/>
        </w:rPr>
        <w:t>—</w:t>
      </w:r>
      <w:r>
        <w:rPr>
          <w:rFonts w:ascii="Arial" w:hAnsi="Arial"/>
          <w:color w:val="231F20"/>
          <w:spacing w:val="-38"/>
          <w:w w:val="110"/>
          <w:sz w:val="19"/>
        </w:rPr>
        <w:t> </w:t>
      </w:r>
      <w:r>
        <w:rPr>
          <w:rFonts w:ascii="Arial" w:hAnsi="Arial"/>
          <w:color w:val="231F20"/>
          <w:w w:val="110"/>
          <w:sz w:val="19"/>
        </w:rPr>
        <w:t>Is the cash to fund production available as needed? </w:t>
      </w:r>
      <w:r>
        <w:rPr>
          <w:rFonts w:ascii="Arial" w:hAnsi="Arial"/>
          <w:color w:val="231F20"/>
          <w:spacing w:val="-2"/>
          <w:w w:val="115"/>
          <w:sz w:val="19"/>
        </w:rPr>
        <w:t>Is</w:t>
      </w:r>
      <w:r>
        <w:rPr>
          <w:rFonts w:ascii="Arial" w:hAnsi="Arial"/>
          <w:color w:val="231F20"/>
          <w:spacing w:val="-8"/>
          <w:w w:val="115"/>
          <w:sz w:val="19"/>
        </w:rPr>
        <w:t> </w:t>
      </w:r>
      <w:r>
        <w:rPr>
          <w:rFonts w:ascii="Arial" w:hAnsi="Arial"/>
          <w:color w:val="231F20"/>
          <w:spacing w:val="-2"/>
          <w:w w:val="115"/>
          <w:sz w:val="19"/>
        </w:rPr>
        <w:t>the</w:t>
      </w:r>
      <w:r>
        <w:rPr>
          <w:rFonts w:ascii="Arial" w:hAnsi="Arial"/>
          <w:color w:val="231F20"/>
          <w:spacing w:val="-8"/>
          <w:w w:val="115"/>
          <w:sz w:val="19"/>
        </w:rPr>
        <w:t> </w:t>
      </w:r>
      <w:r>
        <w:rPr>
          <w:rFonts w:ascii="Arial" w:hAnsi="Arial"/>
          <w:color w:val="231F20"/>
          <w:spacing w:val="-2"/>
          <w:w w:val="115"/>
          <w:sz w:val="19"/>
        </w:rPr>
        <w:t>investment</w:t>
      </w:r>
      <w:r>
        <w:rPr>
          <w:rFonts w:ascii="Arial" w:hAnsi="Arial"/>
          <w:color w:val="231F20"/>
          <w:spacing w:val="-8"/>
          <w:w w:val="115"/>
          <w:sz w:val="19"/>
        </w:rPr>
        <w:t> </w:t>
      </w:r>
      <w:r>
        <w:rPr>
          <w:rFonts w:ascii="Arial" w:hAnsi="Arial"/>
          <w:color w:val="231F20"/>
          <w:spacing w:val="-2"/>
          <w:w w:val="115"/>
          <w:sz w:val="19"/>
        </w:rPr>
        <w:t>in</w:t>
      </w:r>
      <w:r>
        <w:rPr>
          <w:rFonts w:ascii="Arial" w:hAnsi="Arial"/>
          <w:color w:val="231F20"/>
          <w:spacing w:val="-8"/>
          <w:w w:val="115"/>
          <w:sz w:val="19"/>
        </w:rPr>
        <w:t> </w:t>
      </w:r>
      <w:r>
        <w:rPr>
          <w:rFonts w:ascii="Arial" w:hAnsi="Arial"/>
          <w:color w:val="231F20"/>
          <w:spacing w:val="-2"/>
          <w:w w:val="115"/>
          <w:sz w:val="19"/>
        </w:rPr>
        <w:t>factories,</w:t>
      </w:r>
      <w:r>
        <w:rPr>
          <w:rFonts w:ascii="Arial" w:hAnsi="Arial"/>
          <w:color w:val="231F20"/>
          <w:spacing w:val="-8"/>
          <w:w w:val="115"/>
          <w:sz w:val="19"/>
        </w:rPr>
        <w:t> </w:t>
      </w:r>
      <w:r>
        <w:rPr>
          <w:rFonts w:ascii="Arial" w:hAnsi="Arial"/>
          <w:color w:val="231F20"/>
          <w:spacing w:val="-2"/>
          <w:w w:val="115"/>
          <w:sz w:val="19"/>
        </w:rPr>
        <w:t>equipment,</w:t>
      </w:r>
      <w:r>
        <w:rPr>
          <w:rFonts w:ascii="Arial" w:hAnsi="Arial"/>
          <w:color w:val="231F20"/>
          <w:spacing w:val="-8"/>
          <w:w w:val="115"/>
          <w:sz w:val="19"/>
        </w:rPr>
        <w:t> </w:t>
      </w:r>
      <w:r>
        <w:rPr>
          <w:rFonts w:ascii="Arial" w:hAnsi="Arial"/>
          <w:color w:val="231F20"/>
          <w:spacing w:val="-2"/>
          <w:w w:val="115"/>
          <w:sz w:val="19"/>
        </w:rPr>
        <w:t>and</w:t>
      </w:r>
      <w:r>
        <w:rPr>
          <w:rFonts w:ascii="Arial" w:hAnsi="Arial"/>
          <w:color w:val="231F20"/>
          <w:spacing w:val="-8"/>
          <w:w w:val="115"/>
          <w:sz w:val="19"/>
        </w:rPr>
        <w:t> </w:t>
      </w:r>
      <w:r>
        <w:rPr>
          <w:rFonts w:ascii="Arial" w:hAnsi="Arial"/>
          <w:color w:val="231F20"/>
          <w:spacing w:val="-2"/>
          <w:w w:val="115"/>
          <w:sz w:val="19"/>
        </w:rPr>
        <w:t>inventories </w:t>
      </w:r>
      <w:r>
        <w:rPr>
          <w:rFonts w:ascii="Arial" w:hAnsi="Arial"/>
          <w:color w:val="231F20"/>
          <w:w w:val="115"/>
          <w:sz w:val="19"/>
        </w:rPr>
        <w:t>justified in light of the entire organization’s priorities, capabilities,</w:t>
      </w:r>
      <w:r>
        <w:rPr>
          <w:rFonts w:ascii="Arial" w:hAnsi="Arial"/>
          <w:color w:val="231F20"/>
          <w:spacing w:val="-16"/>
          <w:w w:val="115"/>
          <w:sz w:val="19"/>
        </w:rPr>
        <w:t> </w:t>
      </w:r>
      <w:r>
        <w:rPr>
          <w:rFonts w:ascii="Arial" w:hAnsi="Arial"/>
          <w:color w:val="231F20"/>
          <w:w w:val="115"/>
          <w:sz w:val="19"/>
        </w:rPr>
        <w:t>and</w:t>
      </w:r>
      <w:r>
        <w:rPr>
          <w:rFonts w:ascii="Arial" w:hAnsi="Arial"/>
          <w:color w:val="231F20"/>
          <w:spacing w:val="-15"/>
          <w:w w:val="115"/>
          <w:sz w:val="19"/>
        </w:rPr>
        <w:t> </w:t>
      </w:r>
      <w:r>
        <w:rPr>
          <w:rFonts w:ascii="Arial" w:hAnsi="Arial"/>
          <w:color w:val="231F20"/>
          <w:w w:val="115"/>
          <w:sz w:val="19"/>
        </w:rPr>
        <w:t>other</w:t>
      </w:r>
      <w:r>
        <w:rPr>
          <w:rFonts w:ascii="Arial" w:hAnsi="Arial"/>
          <w:color w:val="231F20"/>
          <w:spacing w:val="-15"/>
          <w:w w:val="115"/>
          <w:sz w:val="19"/>
        </w:rPr>
        <w:t> </w:t>
      </w:r>
      <w:r>
        <w:rPr>
          <w:rFonts w:ascii="Arial" w:hAnsi="Arial"/>
          <w:color w:val="231F20"/>
          <w:w w:val="115"/>
          <w:sz w:val="19"/>
        </w:rPr>
        <w:t>opportunities?</w:t>
      </w:r>
      <w:r>
        <w:rPr>
          <w:rFonts w:ascii="Arial" w:hAnsi="Arial"/>
          <w:color w:val="231F20"/>
          <w:spacing w:val="-15"/>
          <w:w w:val="115"/>
          <w:sz w:val="19"/>
        </w:rPr>
        <w:t> </w:t>
      </w:r>
      <w:r>
        <w:rPr>
          <w:rFonts w:ascii="Arial" w:hAnsi="Arial"/>
          <w:color w:val="231F20"/>
          <w:w w:val="115"/>
          <w:sz w:val="19"/>
        </w:rPr>
        <w:t>Does</w:t>
      </w:r>
      <w:r>
        <w:rPr>
          <w:rFonts w:ascii="Arial" w:hAnsi="Arial"/>
          <w:color w:val="231F20"/>
          <w:spacing w:val="-15"/>
          <w:w w:val="115"/>
          <w:sz w:val="19"/>
        </w:rPr>
        <w:t> </w:t>
      </w:r>
      <w:r>
        <w:rPr>
          <w:rFonts w:ascii="Arial" w:hAnsi="Arial"/>
          <w:color w:val="231F20"/>
          <w:w w:val="115"/>
          <w:sz w:val="19"/>
        </w:rPr>
        <w:t>the</w:t>
      </w:r>
      <w:r>
        <w:rPr>
          <w:rFonts w:ascii="Arial" w:hAnsi="Arial"/>
          <w:color w:val="231F20"/>
          <w:spacing w:val="-16"/>
          <w:w w:val="115"/>
          <w:sz w:val="19"/>
        </w:rPr>
        <w:t> </w:t>
      </w:r>
      <w:r>
        <w:rPr>
          <w:rFonts w:ascii="Arial" w:hAnsi="Arial"/>
          <w:color w:val="231F20"/>
          <w:w w:val="115"/>
          <w:sz w:val="19"/>
        </w:rPr>
        <w:t>projected cash flow justify the investment? (A finance question.)</w:t>
      </w:r>
    </w:p>
    <w:p>
      <w:pPr>
        <w:spacing w:after="0" w:line="328" w:lineRule="auto"/>
        <w:jc w:val="left"/>
        <w:rPr>
          <w:rFonts w:ascii="Arial" w:hAnsi="Arial"/>
          <w:sz w:val="19"/>
        </w:rPr>
        <w:sectPr>
          <w:pgSz w:w="8640" w:h="12960"/>
          <w:pgMar w:header="732" w:footer="0" w:top="920" w:bottom="280" w:left="340" w:right="500"/>
        </w:sectPr>
      </w:pPr>
    </w:p>
    <w:p>
      <w:pPr>
        <w:pStyle w:val="BodyText"/>
        <w:spacing w:before="6"/>
        <w:rPr>
          <w:rFonts w:ascii="Arial"/>
          <w:sz w:val="19"/>
        </w:rPr>
      </w:pPr>
    </w:p>
    <w:p>
      <w:pPr>
        <w:spacing w:line="328" w:lineRule="auto" w:before="97"/>
        <w:ind w:left="1600" w:right="667" w:hanging="340"/>
        <w:jc w:val="left"/>
        <w:rPr>
          <w:rFonts w:ascii="Arial" w:hAnsi="Arial"/>
          <w:sz w:val="19"/>
        </w:rPr>
      </w:pPr>
      <w:r>
        <w:rPr>
          <w:rFonts w:ascii="Arial" w:hAnsi="Arial"/>
          <w:i/>
          <w:color w:val="231F20"/>
          <w:w w:val="115"/>
          <w:sz w:val="19"/>
        </w:rPr>
        <w:t>Messages</w:t>
      </w:r>
      <w:r>
        <w:rPr>
          <w:rFonts w:ascii="Arial" w:hAnsi="Arial"/>
          <w:i/>
          <w:color w:val="231F20"/>
          <w:spacing w:val="-42"/>
          <w:w w:val="115"/>
          <w:sz w:val="19"/>
        </w:rPr>
        <w:t> </w:t>
      </w:r>
      <w:r>
        <w:rPr>
          <w:rFonts w:ascii="Arial" w:hAnsi="Arial"/>
          <w:color w:val="231F20"/>
          <w:w w:val="115"/>
          <w:sz w:val="19"/>
        </w:rPr>
        <w:t>—</w:t>
      </w:r>
      <w:r>
        <w:rPr>
          <w:rFonts w:ascii="Arial" w:hAnsi="Arial"/>
          <w:color w:val="231F20"/>
          <w:spacing w:val="-42"/>
          <w:w w:val="115"/>
          <w:sz w:val="19"/>
        </w:rPr>
        <w:t> </w:t>
      </w:r>
      <w:r>
        <w:rPr>
          <w:rFonts w:ascii="Arial" w:hAnsi="Arial"/>
          <w:color w:val="231F20"/>
          <w:w w:val="115"/>
          <w:sz w:val="19"/>
        </w:rPr>
        <w:t>Do</w:t>
      </w:r>
      <w:r>
        <w:rPr>
          <w:rFonts w:ascii="Arial" w:hAnsi="Arial"/>
          <w:color w:val="231F20"/>
          <w:spacing w:val="-16"/>
          <w:w w:val="115"/>
          <w:sz w:val="19"/>
        </w:rPr>
        <w:t> </w:t>
      </w:r>
      <w:r>
        <w:rPr>
          <w:rFonts w:ascii="Arial" w:hAnsi="Arial"/>
          <w:color w:val="231F20"/>
          <w:w w:val="115"/>
          <w:sz w:val="19"/>
        </w:rPr>
        <w:t>you</w:t>
      </w:r>
      <w:r>
        <w:rPr>
          <w:rFonts w:ascii="Arial" w:hAnsi="Arial"/>
          <w:color w:val="231F20"/>
          <w:spacing w:val="-15"/>
          <w:w w:val="115"/>
          <w:sz w:val="19"/>
        </w:rPr>
        <w:t> </w:t>
      </w:r>
      <w:r>
        <w:rPr>
          <w:rFonts w:ascii="Arial" w:hAnsi="Arial"/>
          <w:color w:val="231F20"/>
          <w:w w:val="115"/>
          <w:sz w:val="19"/>
        </w:rPr>
        <w:t>have</w:t>
      </w:r>
      <w:r>
        <w:rPr>
          <w:rFonts w:ascii="Arial" w:hAnsi="Arial"/>
          <w:color w:val="231F20"/>
          <w:spacing w:val="-15"/>
          <w:w w:val="115"/>
          <w:sz w:val="19"/>
        </w:rPr>
        <w:t> </w:t>
      </w:r>
      <w:r>
        <w:rPr>
          <w:rFonts w:ascii="Arial" w:hAnsi="Arial"/>
          <w:color w:val="231F20"/>
          <w:w w:val="115"/>
          <w:sz w:val="19"/>
        </w:rPr>
        <w:t>a</w:t>
      </w:r>
      <w:r>
        <w:rPr>
          <w:rFonts w:ascii="Arial" w:hAnsi="Arial"/>
          <w:color w:val="231F20"/>
          <w:spacing w:val="-15"/>
          <w:w w:val="115"/>
          <w:sz w:val="19"/>
        </w:rPr>
        <w:t> </w:t>
      </w:r>
      <w:r>
        <w:rPr>
          <w:rFonts w:ascii="Arial" w:hAnsi="Arial"/>
          <w:color w:val="231F20"/>
          <w:w w:val="115"/>
          <w:sz w:val="19"/>
        </w:rPr>
        <w:t>system</w:t>
      </w:r>
      <w:r>
        <w:rPr>
          <w:rFonts w:ascii="Arial" w:hAnsi="Arial"/>
          <w:color w:val="231F20"/>
          <w:spacing w:val="-13"/>
          <w:w w:val="115"/>
          <w:sz w:val="19"/>
        </w:rPr>
        <w:t> </w:t>
      </w:r>
      <w:r>
        <w:rPr>
          <w:rFonts w:ascii="Arial" w:hAnsi="Arial"/>
          <w:color w:val="231F20"/>
          <w:w w:val="115"/>
          <w:sz w:val="19"/>
        </w:rPr>
        <w:t>for</w:t>
      </w:r>
      <w:r>
        <w:rPr>
          <w:rFonts w:ascii="Arial" w:hAnsi="Arial"/>
          <w:color w:val="231F20"/>
          <w:spacing w:val="-14"/>
          <w:w w:val="115"/>
          <w:sz w:val="19"/>
        </w:rPr>
        <w:t> </w:t>
      </w:r>
      <w:r>
        <w:rPr>
          <w:rFonts w:ascii="Arial" w:hAnsi="Arial"/>
          <w:color w:val="231F20"/>
          <w:w w:val="115"/>
          <w:sz w:val="19"/>
        </w:rPr>
        <w:t>sharing</w:t>
      </w:r>
      <w:r>
        <w:rPr>
          <w:rFonts w:ascii="Arial" w:hAnsi="Arial"/>
          <w:color w:val="231F20"/>
          <w:spacing w:val="-14"/>
          <w:w w:val="115"/>
          <w:sz w:val="19"/>
        </w:rPr>
        <w:t> </w:t>
      </w:r>
      <w:r>
        <w:rPr>
          <w:rFonts w:ascii="Arial" w:hAnsi="Arial"/>
          <w:color w:val="231F20"/>
          <w:w w:val="115"/>
          <w:sz w:val="19"/>
        </w:rPr>
        <w:t>accurate</w:t>
      </w:r>
      <w:r>
        <w:rPr>
          <w:rFonts w:ascii="Arial" w:hAnsi="Arial"/>
          <w:color w:val="231F20"/>
          <w:spacing w:val="-14"/>
          <w:w w:val="115"/>
          <w:sz w:val="19"/>
        </w:rPr>
        <w:t> </w:t>
      </w:r>
      <w:r>
        <w:rPr>
          <w:rFonts w:ascii="Arial" w:hAnsi="Arial"/>
          <w:color w:val="231F20"/>
          <w:w w:val="115"/>
          <w:sz w:val="19"/>
        </w:rPr>
        <w:t>and timely information among all members of the production team—</w:t>
      </w:r>
      <w:r>
        <w:rPr>
          <w:rFonts w:ascii="Arial" w:hAnsi="Arial"/>
          <w:color w:val="231F20"/>
          <w:spacing w:val="-41"/>
          <w:w w:val="115"/>
          <w:sz w:val="19"/>
        </w:rPr>
        <w:t> </w:t>
      </w:r>
      <w:r>
        <w:rPr>
          <w:rFonts w:ascii="Arial" w:hAnsi="Arial"/>
          <w:color w:val="231F20"/>
          <w:w w:val="115"/>
          <w:sz w:val="19"/>
        </w:rPr>
        <w:t>people and machines? A machine needs to electronically share information about output and quality on</w:t>
      </w:r>
      <w:r>
        <w:rPr>
          <w:rFonts w:ascii="Arial" w:hAnsi="Arial"/>
          <w:color w:val="231F20"/>
          <w:spacing w:val="-15"/>
          <w:w w:val="115"/>
          <w:sz w:val="19"/>
        </w:rPr>
        <w:t> </w:t>
      </w:r>
      <w:r>
        <w:rPr>
          <w:rFonts w:ascii="Arial" w:hAnsi="Arial"/>
          <w:color w:val="231F20"/>
          <w:w w:val="115"/>
          <w:sz w:val="19"/>
        </w:rPr>
        <w:t>an</w:t>
      </w:r>
      <w:r>
        <w:rPr>
          <w:rFonts w:ascii="Arial" w:hAnsi="Arial"/>
          <w:color w:val="231F20"/>
          <w:spacing w:val="-15"/>
          <w:w w:val="115"/>
          <w:sz w:val="19"/>
        </w:rPr>
        <w:t> </w:t>
      </w:r>
      <w:r>
        <w:rPr>
          <w:rFonts w:ascii="Arial" w:hAnsi="Arial"/>
          <w:color w:val="231F20"/>
          <w:w w:val="115"/>
          <w:sz w:val="19"/>
        </w:rPr>
        <w:t>assembly</w:t>
      </w:r>
      <w:r>
        <w:rPr>
          <w:rFonts w:ascii="Arial" w:hAnsi="Arial"/>
          <w:color w:val="231F20"/>
          <w:spacing w:val="-15"/>
          <w:w w:val="115"/>
          <w:sz w:val="19"/>
        </w:rPr>
        <w:t> </w:t>
      </w:r>
      <w:r>
        <w:rPr>
          <w:rFonts w:ascii="Arial" w:hAnsi="Arial"/>
          <w:color w:val="231F20"/>
          <w:w w:val="115"/>
          <w:sz w:val="19"/>
        </w:rPr>
        <w:t>line</w:t>
      </w:r>
      <w:r>
        <w:rPr>
          <w:rFonts w:ascii="Arial" w:hAnsi="Arial"/>
          <w:color w:val="231F20"/>
          <w:spacing w:val="-15"/>
          <w:w w:val="115"/>
          <w:sz w:val="19"/>
        </w:rPr>
        <w:t> </w:t>
      </w:r>
      <w:r>
        <w:rPr>
          <w:rFonts w:ascii="Arial" w:hAnsi="Arial"/>
          <w:color w:val="231F20"/>
          <w:w w:val="115"/>
          <w:sz w:val="19"/>
        </w:rPr>
        <w:t>with</w:t>
      </w:r>
      <w:r>
        <w:rPr>
          <w:rFonts w:ascii="Arial" w:hAnsi="Arial"/>
          <w:color w:val="231F20"/>
          <w:spacing w:val="-15"/>
          <w:w w:val="115"/>
          <w:sz w:val="19"/>
        </w:rPr>
        <w:t> </w:t>
      </w:r>
      <w:r>
        <w:rPr>
          <w:rFonts w:ascii="Arial" w:hAnsi="Arial"/>
          <w:color w:val="231F20"/>
          <w:w w:val="115"/>
          <w:sz w:val="19"/>
        </w:rPr>
        <w:t>its</w:t>
      </w:r>
      <w:r>
        <w:rPr>
          <w:rFonts w:ascii="Arial" w:hAnsi="Arial"/>
          <w:color w:val="231F20"/>
          <w:spacing w:val="-15"/>
          <w:w w:val="115"/>
          <w:sz w:val="19"/>
        </w:rPr>
        <w:t> </w:t>
      </w:r>
      <w:r>
        <w:rPr>
          <w:rFonts w:ascii="Arial" w:hAnsi="Arial"/>
          <w:color w:val="231F20"/>
          <w:w w:val="115"/>
          <w:sz w:val="19"/>
        </w:rPr>
        <w:t>operator,</w:t>
      </w:r>
      <w:r>
        <w:rPr>
          <w:rFonts w:ascii="Arial" w:hAnsi="Arial"/>
          <w:color w:val="231F20"/>
          <w:spacing w:val="-15"/>
          <w:w w:val="115"/>
          <w:sz w:val="19"/>
        </w:rPr>
        <w:t> </w:t>
      </w:r>
      <w:r>
        <w:rPr>
          <w:rFonts w:ascii="Arial" w:hAnsi="Arial"/>
          <w:color w:val="231F20"/>
          <w:w w:val="115"/>
          <w:sz w:val="19"/>
        </w:rPr>
        <w:t>as</w:t>
      </w:r>
      <w:r>
        <w:rPr>
          <w:rFonts w:ascii="Arial" w:hAnsi="Arial"/>
          <w:color w:val="231F20"/>
          <w:spacing w:val="-15"/>
          <w:w w:val="115"/>
          <w:sz w:val="19"/>
        </w:rPr>
        <w:t> </w:t>
      </w:r>
      <w:r>
        <w:rPr>
          <w:rFonts w:ascii="Arial" w:hAnsi="Arial"/>
          <w:color w:val="231F20"/>
          <w:w w:val="115"/>
          <w:sz w:val="19"/>
        </w:rPr>
        <w:t>well</w:t>
      </w:r>
      <w:r>
        <w:rPr>
          <w:rFonts w:ascii="Arial" w:hAnsi="Arial"/>
          <w:color w:val="231F20"/>
          <w:spacing w:val="-15"/>
          <w:w w:val="115"/>
          <w:sz w:val="19"/>
        </w:rPr>
        <w:t> </w:t>
      </w:r>
      <w:r>
        <w:rPr>
          <w:rFonts w:ascii="Arial" w:hAnsi="Arial"/>
          <w:color w:val="231F20"/>
          <w:w w:val="115"/>
          <w:sz w:val="19"/>
        </w:rPr>
        <w:t>as</w:t>
      </w:r>
      <w:r>
        <w:rPr>
          <w:rFonts w:ascii="Arial" w:hAnsi="Arial"/>
          <w:color w:val="231F20"/>
          <w:spacing w:val="-15"/>
          <w:w w:val="115"/>
          <w:sz w:val="19"/>
        </w:rPr>
        <w:t> </w:t>
      </w:r>
      <w:r>
        <w:rPr>
          <w:rFonts w:ascii="Arial" w:hAnsi="Arial"/>
          <w:color w:val="231F20"/>
          <w:w w:val="115"/>
          <w:sz w:val="19"/>
        </w:rPr>
        <w:t>with</w:t>
      </w:r>
      <w:r>
        <w:rPr>
          <w:rFonts w:ascii="Arial" w:hAnsi="Arial"/>
          <w:color w:val="231F20"/>
          <w:spacing w:val="-15"/>
          <w:w w:val="115"/>
          <w:sz w:val="19"/>
        </w:rPr>
        <w:t> </w:t>
      </w:r>
      <w:r>
        <w:rPr>
          <w:rFonts w:ascii="Arial" w:hAnsi="Arial"/>
          <w:color w:val="231F20"/>
          <w:w w:val="115"/>
          <w:sz w:val="19"/>
        </w:rPr>
        <w:t>other </w:t>
      </w:r>
      <w:r>
        <w:rPr>
          <w:rFonts w:ascii="Arial" w:hAnsi="Arial"/>
          <w:color w:val="231F20"/>
          <w:spacing w:val="-2"/>
          <w:w w:val="115"/>
          <w:sz w:val="19"/>
        </w:rPr>
        <w:t>machines.</w:t>
      </w:r>
    </w:p>
    <w:p>
      <w:pPr>
        <w:pStyle w:val="BodyText"/>
        <w:spacing w:before="5"/>
        <w:rPr>
          <w:rFonts w:ascii="Arial"/>
          <w:sz w:val="25"/>
        </w:rPr>
      </w:pPr>
    </w:p>
    <w:p>
      <w:pPr>
        <w:spacing w:before="1"/>
        <w:ind w:left="1260" w:right="0" w:firstLine="0"/>
        <w:jc w:val="left"/>
        <w:rPr>
          <w:sz w:val="21"/>
        </w:rPr>
      </w:pPr>
      <w:r>
        <w:rPr>
          <w:i/>
          <w:color w:val="231F20"/>
          <w:w w:val="105"/>
          <w:sz w:val="21"/>
        </w:rPr>
        <w:t>Production</w:t>
      </w:r>
      <w:r>
        <w:rPr>
          <w:i/>
          <w:color w:val="231F20"/>
          <w:spacing w:val="-9"/>
          <w:w w:val="105"/>
          <w:sz w:val="21"/>
        </w:rPr>
        <w:t> </w:t>
      </w:r>
      <w:r>
        <w:rPr>
          <w:i/>
          <w:color w:val="231F20"/>
          <w:w w:val="105"/>
          <w:sz w:val="21"/>
        </w:rPr>
        <w:t>methods</w:t>
      </w:r>
      <w:r>
        <w:rPr>
          <w:i/>
          <w:color w:val="231F20"/>
          <w:spacing w:val="-10"/>
          <w:w w:val="105"/>
          <w:sz w:val="21"/>
        </w:rPr>
        <w:t> </w:t>
      </w:r>
      <w:r>
        <w:rPr>
          <w:color w:val="231F20"/>
          <w:w w:val="105"/>
          <w:sz w:val="21"/>
        </w:rPr>
        <w:t>are</w:t>
      </w:r>
      <w:r>
        <w:rPr>
          <w:color w:val="231F20"/>
          <w:spacing w:val="-9"/>
          <w:w w:val="105"/>
          <w:sz w:val="21"/>
        </w:rPr>
        <w:t> </w:t>
      </w:r>
      <w:r>
        <w:rPr>
          <w:color w:val="231F20"/>
          <w:w w:val="105"/>
          <w:sz w:val="21"/>
        </w:rPr>
        <w:t>of</w:t>
      </w:r>
      <w:r>
        <w:rPr>
          <w:color w:val="231F20"/>
          <w:spacing w:val="-9"/>
          <w:w w:val="105"/>
          <w:sz w:val="21"/>
        </w:rPr>
        <w:t> </w:t>
      </w:r>
      <w:r>
        <w:rPr>
          <w:color w:val="231F20"/>
          <w:w w:val="105"/>
          <w:sz w:val="21"/>
        </w:rPr>
        <w:t>three</w:t>
      </w:r>
      <w:r>
        <w:rPr>
          <w:color w:val="231F20"/>
          <w:spacing w:val="-9"/>
          <w:w w:val="105"/>
          <w:sz w:val="21"/>
        </w:rPr>
        <w:t> </w:t>
      </w:r>
      <w:r>
        <w:rPr>
          <w:color w:val="231F20"/>
          <w:w w:val="105"/>
          <w:sz w:val="21"/>
        </w:rPr>
        <w:t>basic</w:t>
      </w:r>
      <w:r>
        <w:rPr>
          <w:color w:val="231F20"/>
          <w:spacing w:val="-9"/>
          <w:w w:val="105"/>
          <w:sz w:val="21"/>
        </w:rPr>
        <w:t> </w:t>
      </w:r>
      <w:r>
        <w:rPr>
          <w:color w:val="231F20"/>
          <w:spacing w:val="-2"/>
          <w:w w:val="105"/>
          <w:sz w:val="21"/>
        </w:rPr>
        <w:t>types:</w:t>
      </w:r>
    </w:p>
    <w:p>
      <w:pPr>
        <w:pStyle w:val="BodyText"/>
        <w:spacing w:before="11"/>
        <w:rPr>
          <w:sz w:val="31"/>
        </w:rPr>
      </w:pPr>
    </w:p>
    <w:p>
      <w:pPr>
        <w:spacing w:line="328" w:lineRule="auto" w:before="0"/>
        <w:ind w:left="1260" w:right="4157" w:firstLine="0"/>
        <w:jc w:val="left"/>
        <w:rPr>
          <w:rFonts w:ascii="Arial"/>
          <w:sz w:val="19"/>
        </w:rPr>
      </w:pPr>
      <w:r>
        <w:rPr>
          <w:rFonts w:ascii="Arial"/>
          <w:color w:val="231F20"/>
          <w:w w:val="110"/>
          <w:sz w:val="19"/>
        </w:rPr>
        <w:t>Continuous</w:t>
      </w:r>
      <w:r>
        <w:rPr>
          <w:rFonts w:ascii="Arial"/>
          <w:color w:val="231F20"/>
          <w:spacing w:val="-15"/>
          <w:w w:val="110"/>
          <w:sz w:val="19"/>
        </w:rPr>
        <w:t> </w:t>
      </w:r>
      <w:r>
        <w:rPr>
          <w:rFonts w:ascii="Arial"/>
          <w:color w:val="231F20"/>
          <w:w w:val="110"/>
          <w:sz w:val="19"/>
        </w:rPr>
        <w:t>Process Assembly Line</w:t>
      </w:r>
    </w:p>
    <w:p>
      <w:pPr>
        <w:spacing w:before="2"/>
        <w:ind w:left="1260" w:right="0" w:firstLine="0"/>
        <w:jc w:val="left"/>
        <w:rPr>
          <w:rFonts w:ascii="Arial"/>
          <w:sz w:val="19"/>
        </w:rPr>
      </w:pPr>
      <w:r>
        <w:rPr>
          <w:rFonts w:ascii="Arial"/>
          <w:color w:val="231F20"/>
          <w:w w:val="115"/>
          <w:sz w:val="19"/>
        </w:rPr>
        <w:t>Job</w:t>
      </w:r>
      <w:r>
        <w:rPr>
          <w:rFonts w:ascii="Arial"/>
          <w:color w:val="231F20"/>
          <w:spacing w:val="3"/>
          <w:w w:val="115"/>
          <w:sz w:val="19"/>
        </w:rPr>
        <w:t> </w:t>
      </w:r>
      <w:r>
        <w:rPr>
          <w:rFonts w:ascii="Arial"/>
          <w:color w:val="231F20"/>
          <w:spacing w:val="-4"/>
          <w:w w:val="115"/>
          <w:sz w:val="19"/>
        </w:rPr>
        <w:t>Shop</w:t>
      </w:r>
    </w:p>
    <w:p>
      <w:pPr>
        <w:pStyle w:val="BodyText"/>
        <w:rPr>
          <w:rFonts w:ascii="Arial"/>
          <w:sz w:val="20"/>
        </w:rPr>
      </w:pPr>
    </w:p>
    <w:p>
      <w:pPr>
        <w:pStyle w:val="BodyText"/>
        <w:spacing w:line="292" w:lineRule="auto" w:before="130"/>
        <w:ind w:left="919" w:right="665" w:firstLine="340"/>
        <w:jc w:val="both"/>
      </w:pPr>
      <w:r>
        <w:rPr>
          <w:color w:val="231F20"/>
        </w:rPr>
        <w:t>The more </w:t>
      </w:r>
      <w:r>
        <w:rPr>
          <w:i/>
          <w:color w:val="231F20"/>
        </w:rPr>
        <w:t>standardized </w:t>
      </w:r>
      <w:r>
        <w:rPr>
          <w:color w:val="231F20"/>
        </w:rPr>
        <w:t>the product, the more likely that a </w:t>
      </w:r>
      <w:r>
        <w:rPr>
          <w:color w:val="231F20"/>
        </w:rPr>
        <w:t>repet- itive, high-volume production method is best. Oil refineries, for in- stance, use a </w:t>
      </w:r>
      <w:r>
        <w:rPr>
          <w:i/>
          <w:color w:val="231F20"/>
        </w:rPr>
        <w:t>continuous </w:t>
      </w:r>
      <w:r>
        <w:rPr>
          <w:color w:val="231F20"/>
        </w:rPr>
        <w:t>production process. Refining equipment works twenty-four hours a day. The operational focus at the refinery is to keep the equipment functioning smoothly. The downside of this kind of operation is that it is not flexible. Changes in the system usu- ally require costly shutdowns.</w:t>
      </w:r>
    </w:p>
    <w:p>
      <w:pPr>
        <w:pStyle w:val="BodyText"/>
        <w:spacing w:line="292" w:lineRule="auto"/>
        <w:ind w:left="919" w:right="666" w:firstLine="340"/>
        <w:jc w:val="both"/>
      </w:pPr>
      <w:r>
        <w:rPr>
          <w:color w:val="231F20"/>
        </w:rPr>
        <w:t>The old Henry Ford </w:t>
      </w:r>
      <w:r>
        <w:rPr>
          <w:i/>
          <w:color w:val="231F20"/>
        </w:rPr>
        <w:t>assembly line </w:t>
      </w:r>
      <w:r>
        <w:rPr>
          <w:color w:val="231F20"/>
        </w:rPr>
        <w:t>is a somewhat less continuous process. Auto production is broken down into separate tasks; each </w:t>
      </w:r>
      <w:r>
        <w:rPr>
          <w:color w:val="231F20"/>
        </w:rPr>
        <w:t>is performed repetitively in a series of workstations. The challenge is</w:t>
      </w:r>
      <w:r>
        <w:rPr>
          <w:color w:val="231F20"/>
          <w:spacing w:val="80"/>
        </w:rPr>
        <w:t> </w:t>
      </w:r>
      <w:r>
        <w:rPr>
          <w:color w:val="231F20"/>
        </w:rPr>
        <w:t>to coordinate the outputs of each task to maximize efficiency, and to minimize the need to hold a great deal of costly inventory. The as- sembly</w:t>
      </w:r>
      <w:r>
        <w:rPr>
          <w:color w:val="231F20"/>
          <w:spacing w:val="32"/>
        </w:rPr>
        <w:t> </w:t>
      </w:r>
      <w:r>
        <w:rPr>
          <w:color w:val="231F20"/>
        </w:rPr>
        <w:t>line</w:t>
      </w:r>
      <w:r>
        <w:rPr>
          <w:color w:val="231F20"/>
          <w:spacing w:val="32"/>
        </w:rPr>
        <w:t> </w:t>
      </w:r>
      <w:r>
        <w:rPr>
          <w:color w:val="231F20"/>
        </w:rPr>
        <w:t>method</w:t>
      </w:r>
      <w:r>
        <w:rPr>
          <w:color w:val="231F20"/>
          <w:spacing w:val="32"/>
        </w:rPr>
        <w:t> </w:t>
      </w:r>
      <w:r>
        <w:rPr>
          <w:color w:val="231F20"/>
        </w:rPr>
        <w:t>allows</w:t>
      </w:r>
      <w:r>
        <w:rPr>
          <w:color w:val="231F20"/>
          <w:spacing w:val="32"/>
        </w:rPr>
        <w:t> </w:t>
      </w:r>
      <w:r>
        <w:rPr>
          <w:color w:val="231F20"/>
        </w:rPr>
        <w:t>for</w:t>
      </w:r>
      <w:r>
        <w:rPr>
          <w:color w:val="231F20"/>
          <w:spacing w:val="32"/>
        </w:rPr>
        <w:t> </w:t>
      </w:r>
      <w:r>
        <w:rPr>
          <w:color w:val="231F20"/>
        </w:rPr>
        <w:t>some</w:t>
      </w:r>
      <w:r>
        <w:rPr>
          <w:color w:val="231F20"/>
          <w:spacing w:val="32"/>
        </w:rPr>
        <w:t> </w:t>
      </w:r>
      <w:r>
        <w:rPr>
          <w:color w:val="231F20"/>
        </w:rPr>
        <w:t>flexibility.</w:t>
      </w:r>
      <w:r>
        <w:rPr>
          <w:color w:val="231F20"/>
          <w:spacing w:val="32"/>
        </w:rPr>
        <w:t> </w:t>
      </w:r>
      <w:r>
        <w:rPr>
          <w:color w:val="231F20"/>
        </w:rPr>
        <w:t>Minor</w:t>
      </w:r>
      <w:r>
        <w:rPr>
          <w:color w:val="231F20"/>
          <w:spacing w:val="32"/>
        </w:rPr>
        <w:t> </w:t>
      </w:r>
      <w:r>
        <w:rPr>
          <w:color w:val="231F20"/>
        </w:rPr>
        <w:t>changes</w:t>
      </w:r>
      <w:r>
        <w:rPr>
          <w:color w:val="231F20"/>
          <w:spacing w:val="32"/>
        </w:rPr>
        <w:t> </w:t>
      </w:r>
      <w:r>
        <w:rPr>
          <w:color w:val="231F20"/>
        </w:rPr>
        <w:t>can be made to the process without a shutdown. Auto assembly lines can accommodate different combinations of optional equipment with-</w:t>
      </w:r>
      <w:r>
        <w:rPr>
          <w:color w:val="231F20"/>
          <w:spacing w:val="40"/>
        </w:rPr>
        <w:t> </w:t>
      </w:r>
      <w:r>
        <w:rPr>
          <w:color w:val="231F20"/>
        </w:rPr>
        <w:t>out interrupting the process.</w:t>
      </w:r>
    </w:p>
    <w:p>
      <w:pPr>
        <w:pStyle w:val="BodyText"/>
        <w:spacing w:line="292" w:lineRule="auto"/>
        <w:ind w:left="919" w:right="666" w:firstLine="340"/>
        <w:jc w:val="both"/>
      </w:pPr>
      <w:r>
        <w:rPr>
          <w:color w:val="231F20"/>
        </w:rPr>
        <w:t>The assembly line system can also be used to perform </w:t>
      </w:r>
      <w:r>
        <w:rPr>
          <w:color w:val="231F20"/>
        </w:rPr>
        <w:t>services. An enterprising surgeon in Russia who specialized in the removal of cataracts broke the operation into its component tasks and created a surgical assembly line.</w:t>
      </w:r>
    </w:p>
    <w:p>
      <w:pPr>
        <w:pStyle w:val="BodyText"/>
        <w:spacing w:line="292" w:lineRule="auto"/>
        <w:ind w:left="919" w:right="666" w:firstLine="340"/>
        <w:jc w:val="both"/>
      </w:pPr>
      <w:r>
        <w:rPr>
          <w:color w:val="231F20"/>
        </w:rPr>
        <w:t>To produce customized products, the </w:t>
      </w:r>
      <w:r>
        <w:rPr>
          <w:i/>
          <w:color w:val="231F20"/>
        </w:rPr>
        <w:t>job shop </w:t>
      </w:r>
      <w:r>
        <w:rPr>
          <w:color w:val="231F20"/>
        </w:rPr>
        <w:t>system is </w:t>
      </w:r>
      <w:r>
        <w:rPr>
          <w:color w:val="231F20"/>
        </w:rPr>
        <w:t>often best. In a job shop, the factory is set up to do many different tasks. Machinery</w:t>
      </w:r>
      <w:r>
        <w:rPr>
          <w:color w:val="231F20"/>
          <w:spacing w:val="11"/>
        </w:rPr>
        <w:t> </w:t>
      </w:r>
      <w:r>
        <w:rPr>
          <w:color w:val="231F20"/>
        </w:rPr>
        <w:t>is</w:t>
      </w:r>
      <w:r>
        <w:rPr>
          <w:color w:val="231F20"/>
          <w:spacing w:val="11"/>
        </w:rPr>
        <w:t> </w:t>
      </w:r>
      <w:r>
        <w:rPr>
          <w:color w:val="231F20"/>
        </w:rPr>
        <w:t>organized</w:t>
      </w:r>
      <w:r>
        <w:rPr>
          <w:color w:val="231F20"/>
          <w:spacing w:val="12"/>
        </w:rPr>
        <w:t> </w:t>
      </w:r>
      <w:r>
        <w:rPr>
          <w:color w:val="231F20"/>
        </w:rPr>
        <w:t>in</w:t>
      </w:r>
      <w:r>
        <w:rPr>
          <w:color w:val="231F20"/>
          <w:spacing w:val="11"/>
        </w:rPr>
        <w:t> </w:t>
      </w:r>
      <w:r>
        <w:rPr>
          <w:color w:val="231F20"/>
        </w:rPr>
        <w:t>work</w:t>
      </w:r>
      <w:r>
        <w:rPr>
          <w:color w:val="231F20"/>
          <w:spacing w:val="12"/>
        </w:rPr>
        <w:t> </w:t>
      </w:r>
      <w:r>
        <w:rPr>
          <w:color w:val="231F20"/>
        </w:rPr>
        <w:t>centers</w:t>
      </w:r>
      <w:r>
        <w:rPr>
          <w:color w:val="231F20"/>
          <w:spacing w:val="11"/>
        </w:rPr>
        <w:t> </w:t>
      </w:r>
      <w:r>
        <w:rPr>
          <w:color w:val="231F20"/>
        </w:rPr>
        <w:t>to</w:t>
      </w:r>
      <w:r>
        <w:rPr>
          <w:color w:val="231F20"/>
          <w:spacing w:val="12"/>
        </w:rPr>
        <w:t> </w:t>
      </w:r>
      <w:r>
        <w:rPr>
          <w:color w:val="231F20"/>
        </w:rPr>
        <w:t>tackle</w:t>
      </w:r>
      <w:r>
        <w:rPr>
          <w:color w:val="231F20"/>
          <w:spacing w:val="11"/>
        </w:rPr>
        <w:t> </w:t>
      </w:r>
      <w:r>
        <w:rPr>
          <w:color w:val="231F20"/>
        </w:rPr>
        <w:t>unique</w:t>
      </w:r>
      <w:r>
        <w:rPr>
          <w:color w:val="231F20"/>
          <w:spacing w:val="11"/>
        </w:rPr>
        <w:t> </w:t>
      </w:r>
      <w:r>
        <w:rPr>
          <w:color w:val="231F20"/>
          <w:spacing w:val="-2"/>
        </w:rPr>
        <w:t>production</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5"/>
        <w:jc w:val="both"/>
      </w:pPr>
      <w:r>
        <w:rPr>
          <w:color w:val="231F20"/>
        </w:rPr>
        <w:t>jobs. Metal machine shops, print shops, hospital operating </w:t>
      </w:r>
      <w:r>
        <w:rPr>
          <w:color w:val="231F20"/>
        </w:rPr>
        <w:t>rooms,</w:t>
      </w:r>
      <w:r>
        <w:rPr>
          <w:color w:val="231F20"/>
          <w:spacing w:val="40"/>
        </w:rPr>
        <w:t> </w:t>
      </w:r>
      <w:r>
        <w:rPr>
          <w:color w:val="231F20"/>
        </w:rPr>
        <w:t>and furniture makers are commonly organized in this way. Each order is somewhat different, but the same basic equipment or instru- ments may be used for each job.</w:t>
      </w:r>
    </w:p>
    <w:p>
      <w:pPr>
        <w:pStyle w:val="BodyText"/>
        <w:spacing w:before="5"/>
        <w:rPr>
          <w:sz w:val="25"/>
        </w:rPr>
      </w:pPr>
    </w:p>
    <w:p>
      <w:pPr>
        <w:pStyle w:val="BodyText"/>
        <w:spacing w:line="292" w:lineRule="auto"/>
        <w:ind w:left="830" w:right="756"/>
        <w:jc w:val="both"/>
        <w:rPr>
          <w:i/>
        </w:rPr>
      </w:pPr>
      <w:r>
        <w:rPr>
          <w:i/>
          <w:color w:val="231F20"/>
        </w:rPr>
        <w:t>Diagnosing</w:t>
      </w:r>
      <w:r>
        <w:rPr>
          <w:i/>
          <w:color w:val="231F20"/>
          <w:spacing w:val="40"/>
        </w:rPr>
        <w:t> </w:t>
      </w:r>
      <w:r>
        <w:rPr>
          <w:i/>
          <w:color w:val="231F20"/>
        </w:rPr>
        <w:t>Capacity</w:t>
      </w:r>
      <w:r>
        <w:rPr>
          <w:i/>
          <w:color w:val="231F20"/>
          <w:spacing w:val="40"/>
        </w:rPr>
        <w:t> </w:t>
      </w:r>
      <w:r>
        <w:rPr>
          <w:i/>
          <w:color w:val="231F20"/>
        </w:rPr>
        <w:t>Problems</w:t>
      </w:r>
      <w:r>
        <w:rPr>
          <w:i/>
          <w:color w:val="231F20"/>
          <w:spacing w:val="40"/>
        </w:rPr>
        <w:t> </w:t>
      </w:r>
      <w:r>
        <w:rPr>
          <w:i/>
          <w:color w:val="231F20"/>
        </w:rPr>
        <w:t>with</w:t>
      </w:r>
      <w:r>
        <w:rPr>
          <w:i/>
          <w:color w:val="231F20"/>
          <w:spacing w:val="40"/>
        </w:rPr>
        <w:t> </w:t>
      </w:r>
      <w:r>
        <w:rPr>
          <w:i/>
          <w:color w:val="231F20"/>
        </w:rPr>
        <w:t>Flow</w:t>
      </w:r>
      <w:r>
        <w:rPr>
          <w:i/>
          <w:color w:val="231F20"/>
          <w:spacing w:val="40"/>
        </w:rPr>
        <w:t> </w:t>
      </w:r>
      <w:r>
        <w:rPr>
          <w:i/>
          <w:color w:val="231F20"/>
        </w:rPr>
        <w:t>Diagrams.</w:t>
      </w:r>
      <w:r>
        <w:rPr>
          <w:i/>
          <w:color w:val="231F20"/>
          <w:spacing w:val="40"/>
        </w:rPr>
        <w:t> </w:t>
      </w:r>
      <w:r>
        <w:rPr>
          <w:color w:val="231F20"/>
        </w:rPr>
        <w:t>Most</w:t>
      </w:r>
      <w:r>
        <w:rPr>
          <w:color w:val="231F20"/>
          <w:spacing w:val="40"/>
        </w:rPr>
        <w:t> </w:t>
      </w:r>
      <w:r>
        <w:rPr>
          <w:color w:val="231F20"/>
        </w:rPr>
        <w:t>MBAs</w:t>
      </w:r>
      <w:r>
        <w:rPr>
          <w:color w:val="231F20"/>
          <w:spacing w:val="80"/>
        </w:rPr>
        <w:t> </w:t>
      </w:r>
      <w:r>
        <w:rPr>
          <w:color w:val="231F20"/>
        </w:rPr>
        <w:t>are</w:t>
      </w:r>
      <w:r>
        <w:rPr>
          <w:color w:val="231F20"/>
          <w:spacing w:val="-1"/>
        </w:rPr>
        <w:t> </w:t>
      </w:r>
      <w:r>
        <w:rPr>
          <w:color w:val="231F20"/>
        </w:rPr>
        <w:t>sent</w:t>
      </w:r>
      <w:r>
        <w:rPr>
          <w:color w:val="231F20"/>
          <w:spacing w:val="-1"/>
        </w:rPr>
        <w:t> </w:t>
      </w:r>
      <w:r>
        <w:rPr>
          <w:color w:val="231F20"/>
        </w:rPr>
        <w:t>to</w:t>
      </w:r>
      <w:r>
        <w:rPr>
          <w:color w:val="231F20"/>
          <w:spacing w:val="-1"/>
        </w:rPr>
        <w:t> </w:t>
      </w:r>
      <w:r>
        <w:rPr>
          <w:color w:val="231F20"/>
        </w:rPr>
        <w:t>factories</w:t>
      </w:r>
      <w:r>
        <w:rPr>
          <w:color w:val="231F20"/>
          <w:spacing w:val="-1"/>
        </w:rPr>
        <w:t> </w:t>
      </w:r>
      <w:r>
        <w:rPr>
          <w:color w:val="231F20"/>
        </w:rPr>
        <w:t>as</w:t>
      </w:r>
      <w:r>
        <w:rPr>
          <w:color w:val="231F20"/>
          <w:spacing w:val="-1"/>
        </w:rPr>
        <w:t> </w:t>
      </w:r>
      <w:r>
        <w:rPr>
          <w:color w:val="231F20"/>
        </w:rPr>
        <w:t>consultants</w:t>
      </w:r>
      <w:r>
        <w:rPr>
          <w:color w:val="231F20"/>
          <w:spacing w:val="-1"/>
        </w:rPr>
        <w:t> </w:t>
      </w:r>
      <w:r>
        <w:rPr>
          <w:color w:val="231F20"/>
        </w:rPr>
        <w:t>rather</w:t>
      </w:r>
      <w:r>
        <w:rPr>
          <w:color w:val="231F20"/>
          <w:spacing w:val="-1"/>
        </w:rPr>
        <w:t> </w:t>
      </w:r>
      <w:r>
        <w:rPr>
          <w:color w:val="231F20"/>
        </w:rPr>
        <w:t>than</w:t>
      </w:r>
      <w:r>
        <w:rPr>
          <w:color w:val="231F20"/>
          <w:spacing w:val="-1"/>
        </w:rPr>
        <w:t> </w:t>
      </w:r>
      <w:r>
        <w:rPr>
          <w:color w:val="231F20"/>
        </w:rPr>
        <w:t>as</w:t>
      </w:r>
      <w:r>
        <w:rPr>
          <w:color w:val="231F20"/>
          <w:spacing w:val="-1"/>
        </w:rPr>
        <w:t> </w:t>
      </w:r>
      <w:r>
        <w:rPr>
          <w:color w:val="231F20"/>
        </w:rPr>
        <w:t>plant</w:t>
      </w:r>
      <w:r>
        <w:rPr>
          <w:color w:val="231F20"/>
          <w:spacing w:val="-1"/>
        </w:rPr>
        <w:t> </w:t>
      </w:r>
      <w:r>
        <w:rPr>
          <w:color w:val="231F20"/>
        </w:rPr>
        <w:t>managers.</w:t>
      </w:r>
      <w:r>
        <w:rPr>
          <w:color w:val="231F20"/>
          <w:spacing w:val="-1"/>
        </w:rPr>
        <w:t> </w:t>
      </w:r>
      <w:r>
        <w:rPr>
          <w:color w:val="231F20"/>
        </w:rPr>
        <w:t>In- stead of a wrench, they usually carry a flat plastic </w:t>
      </w:r>
      <w:r>
        <w:rPr>
          <w:i/>
          <w:color w:val="231F20"/>
        </w:rPr>
        <w:t>flow diagram </w:t>
      </w:r>
      <w:r>
        <w:rPr>
          <w:color w:val="231F20"/>
        </w:rPr>
        <w:t>tem- plate. These templates are plastic stencils with rectangles, triangles, and diamonds cut out. They are used to represent the manufacturing process. By mapping out the process, MBAs hope to find bottle-</w:t>
      </w:r>
      <w:r>
        <w:rPr>
          <w:color w:val="231F20"/>
          <w:spacing w:val="40"/>
        </w:rPr>
        <w:t> </w:t>
      </w:r>
      <w:r>
        <w:rPr>
          <w:color w:val="231F20"/>
        </w:rPr>
        <w:t>necks, inefficiency, and information-sharing problems. A clear sign that you are in the presence of an MBA is when he or she refers to production flows as </w:t>
      </w:r>
      <w:r>
        <w:rPr>
          <w:i/>
          <w:color w:val="231F20"/>
        </w:rPr>
        <w:t>throughputs.</w:t>
      </w:r>
    </w:p>
    <w:p>
      <w:pPr>
        <w:pStyle w:val="BodyText"/>
        <w:spacing w:line="292" w:lineRule="auto"/>
        <w:ind w:left="829" w:right="756" w:firstLine="340"/>
        <w:jc w:val="both"/>
      </w:pPr>
      <w:r>
        <w:rPr>
          <w:color w:val="231F20"/>
        </w:rPr>
        <w:t>In my experience, changing my car’s oil at the gas station </w:t>
      </w:r>
      <w:r>
        <w:rPr>
          <w:color w:val="231F20"/>
        </w:rPr>
        <w:t>takes approximately twenty minutes; at Jiffy Lube, it takes only ten min- utes. A simple process-flow-diagram analysis tells why.</w:t>
      </w:r>
    </w:p>
    <w:p>
      <w:pPr>
        <w:pStyle w:val="BodyText"/>
        <w:spacing w:line="292" w:lineRule="auto"/>
        <w:ind w:left="829" w:right="754" w:firstLine="340"/>
        <w:jc w:val="both"/>
      </w:pPr>
      <w:r>
        <w:rPr>
          <w:color w:val="231F20"/>
        </w:rPr>
        <w:t>Jiffy Lube specializes in oil changes using an assembly line tech- nique. The facility, the tools, and the workers are set up for only </w:t>
      </w:r>
      <w:r>
        <w:rPr>
          <w:color w:val="231F20"/>
        </w:rPr>
        <w:t>this task. Teams are used to complete the job as quickly as possible. Armed with your own template, you can act like a consultant too by diagramming any production process.</w:t>
      </w:r>
    </w:p>
    <w:p>
      <w:pPr>
        <w:pStyle w:val="BodyText"/>
        <w:spacing w:before="1"/>
        <w:rPr>
          <w:sz w:val="25"/>
        </w:rPr>
      </w:pPr>
    </w:p>
    <w:p>
      <w:pPr>
        <w:pStyle w:val="BodyText"/>
        <w:spacing w:line="292" w:lineRule="auto"/>
        <w:ind w:left="829" w:right="755"/>
        <w:jc w:val="both"/>
      </w:pPr>
      <w:r>
        <w:rPr>
          <w:i/>
          <w:color w:val="231F20"/>
        </w:rPr>
        <w:t>Linear</w:t>
      </w:r>
      <w:r>
        <w:rPr>
          <w:i/>
          <w:color w:val="231F20"/>
          <w:spacing w:val="40"/>
        </w:rPr>
        <w:t> </w:t>
      </w:r>
      <w:r>
        <w:rPr>
          <w:i/>
          <w:color w:val="231F20"/>
        </w:rPr>
        <w:t>Programming:</w:t>
      </w:r>
      <w:r>
        <w:rPr>
          <w:i/>
          <w:color w:val="231F20"/>
          <w:spacing w:val="40"/>
        </w:rPr>
        <w:t> </w:t>
      </w:r>
      <w:r>
        <w:rPr>
          <w:i/>
          <w:color w:val="231F20"/>
        </w:rPr>
        <w:t>Dealing</w:t>
      </w:r>
      <w:r>
        <w:rPr>
          <w:i/>
          <w:color w:val="231F20"/>
          <w:spacing w:val="40"/>
        </w:rPr>
        <w:t> </w:t>
      </w:r>
      <w:r>
        <w:rPr>
          <w:i/>
          <w:color w:val="231F20"/>
        </w:rPr>
        <w:t>with</w:t>
      </w:r>
      <w:r>
        <w:rPr>
          <w:i/>
          <w:color w:val="231F20"/>
          <w:spacing w:val="40"/>
        </w:rPr>
        <w:t> </w:t>
      </w:r>
      <w:r>
        <w:rPr>
          <w:i/>
          <w:color w:val="231F20"/>
        </w:rPr>
        <w:t>Capacity</w:t>
      </w:r>
      <w:r>
        <w:rPr>
          <w:i/>
          <w:color w:val="231F20"/>
          <w:spacing w:val="40"/>
        </w:rPr>
        <w:t> </w:t>
      </w:r>
      <w:r>
        <w:rPr>
          <w:i/>
          <w:color w:val="231F20"/>
        </w:rPr>
        <w:t>Constraints.</w:t>
      </w:r>
      <w:r>
        <w:rPr>
          <w:i/>
          <w:color w:val="231F20"/>
          <w:spacing w:val="40"/>
        </w:rPr>
        <w:t> </w:t>
      </w:r>
      <w:r>
        <w:rPr>
          <w:color w:val="231F20"/>
        </w:rPr>
        <w:t>Produc- tion is always faced with constraints. Materials may be scarce. </w:t>
      </w:r>
      <w:r>
        <w:rPr>
          <w:color w:val="231F20"/>
        </w:rPr>
        <w:t>Ma- chines</w:t>
      </w:r>
      <w:r>
        <w:rPr>
          <w:color w:val="231F20"/>
          <w:spacing w:val="40"/>
        </w:rPr>
        <w:t> </w:t>
      </w:r>
      <w:r>
        <w:rPr>
          <w:color w:val="231F20"/>
        </w:rPr>
        <w:t>have</w:t>
      </w:r>
      <w:r>
        <w:rPr>
          <w:color w:val="231F20"/>
          <w:spacing w:val="40"/>
        </w:rPr>
        <w:t> </w:t>
      </w:r>
      <w:r>
        <w:rPr>
          <w:color w:val="231F20"/>
        </w:rPr>
        <w:t>production</w:t>
      </w:r>
      <w:r>
        <w:rPr>
          <w:color w:val="231F20"/>
          <w:spacing w:val="40"/>
        </w:rPr>
        <w:t> </w:t>
      </w:r>
      <w:r>
        <w:rPr>
          <w:color w:val="231F20"/>
        </w:rPr>
        <w:t>limits.</w:t>
      </w:r>
      <w:r>
        <w:rPr>
          <w:color w:val="231F20"/>
          <w:spacing w:val="40"/>
        </w:rPr>
        <w:t> </w:t>
      </w:r>
      <w:r>
        <w:rPr>
          <w:color w:val="231F20"/>
        </w:rPr>
        <w:t>Skilled</w:t>
      </w:r>
      <w:r>
        <w:rPr>
          <w:color w:val="231F20"/>
          <w:spacing w:val="40"/>
        </w:rPr>
        <w:t> </w:t>
      </w:r>
      <w:r>
        <w:rPr>
          <w:color w:val="231F20"/>
        </w:rPr>
        <w:t>labor</w:t>
      </w:r>
      <w:r>
        <w:rPr>
          <w:color w:val="231F20"/>
          <w:spacing w:val="40"/>
        </w:rPr>
        <w:t> </w:t>
      </w:r>
      <w:r>
        <w:rPr>
          <w:color w:val="231F20"/>
        </w:rPr>
        <w:t>is</w:t>
      </w:r>
      <w:r>
        <w:rPr>
          <w:color w:val="231F20"/>
          <w:spacing w:val="40"/>
        </w:rPr>
        <w:t> </w:t>
      </w:r>
      <w:r>
        <w:rPr>
          <w:color w:val="231F20"/>
        </w:rPr>
        <w:t>tough</w:t>
      </w:r>
      <w:r>
        <w:rPr>
          <w:color w:val="231F20"/>
          <w:spacing w:val="40"/>
        </w:rPr>
        <w:t> </w:t>
      </w:r>
      <w:r>
        <w:rPr>
          <w:color w:val="231F20"/>
        </w:rPr>
        <w:t>to</w:t>
      </w:r>
      <w:r>
        <w:rPr>
          <w:color w:val="231F20"/>
          <w:spacing w:val="40"/>
        </w:rPr>
        <w:t> </w:t>
      </w:r>
      <w:r>
        <w:rPr>
          <w:color w:val="231F20"/>
        </w:rPr>
        <w:t>find.</w:t>
      </w:r>
      <w:r>
        <w:rPr>
          <w:color w:val="231F20"/>
          <w:spacing w:val="40"/>
        </w:rPr>
        <w:t> </w:t>
      </w:r>
      <w:r>
        <w:rPr>
          <w:color w:val="231F20"/>
        </w:rPr>
        <w:t>The goal is to choose the best course of action within the prevailing con- straints. What is considered best is the decision that will yield the largest output, the most revenue, and greatest profits at the least</w:t>
      </w:r>
      <w:r>
        <w:rPr>
          <w:color w:val="231F20"/>
          <w:spacing w:val="40"/>
        </w:rPr>
        <w:t> </w:t>
      </w:r>
      <w:r>
        <w:rPr>
          <w:color w:val="231F20"/>
        </w:rPr>
        <w:t>cost. Because often there are dozens of production constraints, to try to find an optimal solution by trial and error can be nearly impossi- ble. Mercifully, a computer technique exists to do the work. It’s</w:t>
      </w:r>
      <w:r>
        <w:rPr>
          <w:color w:val="231F20"/>
          <w:spacing w:val="80"/>
        </w:rPr>
        <w:t> </w:t>
      </w:r>
      <w:r>
        <w:rPr>
          <w:color w:val="231F20"/>
        </w:rPr>
        <w:t>called </w:t>
      </w:r>
      <w:r>
        <w:rPr>
          <w:i/>
          <w:color w:val="231F20"/>
        </w:rPr>
        <w:t>linear programming </w:t>
      </w:r>
      <w:r>
        <w:rPr>
          <w:color w:val="231F20"/>
        </w:rPr>
        <w:t>(LP). Linear programs use the </w:t>
      </w:r>
      <w:r>
        <w:rPr>
          <w:i/>
          <w:color w:val="231F20"/>
        </w:rPr>
        <w:t>simplex</w:t>
      </w:r>
      <w:r>
        <w:rPr>
          <w:i/>
          <w:color w:val="231F20"/>
        </w:rPr>
        <w:t> method </w:t>
      </w:r>
      <w:r>
        <w:rPr>
          <w:color w:val="231F20"/>
        </w:rPr>
        <w:t>to calculate their solutions.</w:t>
      </w:r>
    </w:p>
    <w:p>
      <w:pPr>
        <w:pStyle w:val="BodyText"/>
        <w:spacing w:line="292" w:lineRule="auto"/>
        <w:ind w:left="829" w:right="756" w:firstLine="340"/>
        <w:jc w:val="both"/>
      </w:pPr>
      <w:r>
        <w:rPr>
          <w:color w:val="231F20"/>
        </w:rPr>
        <w:t>Consider the Tangerine Computer factory, which produces </w:t>
      </w:r>
      <w:r>
        <w:rPr>
          <w:color w:val="231F20"/>
        </w:rPr>
        <w:t>two types</w:t>
      </w:r>
      <w:r>
        <w:rPr>
          <w:color w:val="231F20"/>
          <w:spacing w:val="19"/>
        </w:rPr>
        <w:t> </w:t>
      </w:r>
      <w:r>
        <w:rPr>
          <w:color w:val="231F20"/>
        </w:rPr>
        <w:t>of</w:t>
      </w:r>
      <w:r>
        <w:rPr>
          <w:color w:val="231F20"/>
          <w:spacing w:val="20"/>
        </w:rPr>
        <w:t> </w:t>
      </w:r>
      <w:r>
        <w:rPr>
          <w:color w:val="231F20"/>
        </w:rPr>
        <w:t>computers:</w:t>
      </w:r>
      <w:r>
        <w:rPr>
          <w:color w:val="231F20"/>
          <w:spacing w:val="19"/>
        </w:rPr>
        <w:t> </w:t>
      </w:r>
      <w:r>
        <w:rPr>
          <w:color w:val="231F20"/>
        </w:rPr>
        <w:t>a</w:t>
      </w:r>
      <w:r>
        <w:rPr>
          <w:color w:val="231F20"/>
          <w:spacing w:val="20"/>
        </w:rPr>
        <w:t> </w:t>
      </w:r>
      <w:r>
        <w:rPr>
          <w:color w:val="231F20"/>
        </w:rPr>
        <w:t>Deluxe</w:t>
      </w:r>
      <w:r>
        <w:rPr>
          <w:color w:val="231F20"/>
          <w:spacing w:val="19"/>
        </w:rPr>
        <w:t> </w:t>
      </w:r>
      <w:r>
        <w:rPr>
          <w:color w:val="231F20"/>
        </w:rPr>
        <w:t>and</w:t>
      </w:r>
      <w:r>
        <w:rPr>
          <w:color w:val="231F20"/>
          <w:spacing w:val="20"/>
        </w:rPr>
        <w:t> </w:t>
      </w:r>
      <w:r>
        <w:rPr>
          <w:color w:val="231F20"/>
        </w:rPr>
        <w:t>a</w:t>
      </w:r>
      <w:r>
        <w:rPr>
          <w:color w:val="231F20"/>
          <w:spacing w:val="19"/>
        </w:rPr>
        <w:t> </w:t>
      </w:r>
      <w:r>
        <w:rPr>
          <w:color w:val="231F20"/>
        </w:rPr>
        <w:t>Standard.</w:t>
      </w:r>
      <w:r>
        <w:rPr>
          <w:color w:val="231F20"/>
          <w:spacing w:val="20"/>
        </w:rPr>
        <w:t> </w:t>
      </w:r>
      <w:r>
        <w:rPr>
          <w:color w:val="231F20"/>
        </w:rPr>
        <w:t>The</w:t>
      </w:r>
      <w:r>
        <w:rPr>
          <w:color w:val="231F20"/>
          <w:spacing w:val="19"/>
        </w:rPr>
        <w:t> </w:t>
      </w:r>
      <w:r>
        <w:rPr>
          <w:color w:val="231F20"/>
        </w:rPr>
        <w:t>Deluxe</w:t>
      </w:r>
      <w:r>
        <w:rPr>
          <w:color w:val="231F20"/>
          <w:spacing w:val="20"/>
        </w:rPr>
        <w:t> </w:t>
      </w:r>
      <w:r>
        <w:rPr>
          <w:color w:val="231F20"/>
        </w:rPr>
        <w:t>model</w:t>
      </w:r>
      <w:r>
        <w:rPr>
          <w:color w:val="231F20"/>
          <w:spacing w:val="19"/>
        </w:rPr>
        <w:t> </w:t>
      </w:r>
      <w:r>
        <w:rPr>
          <w:color w:val="231F20"/>
          <w:spacing w:val="-5"/>
        </w:rPr>
        <w:t>re-</w:t>
      </w:r>
    </w:p>
    <w:p>
      <w:pPr>
        <w:spacing w:after="0" w:line="292" w:lineRule="auto"/>
        <w:jc w:val="both"/>
        <w:sectPr>
          <w:pgSz w:w="8640" w:h="12960"/>
          <w:pgMar w:header="732" w:footer="0" w:top="920" w:bottom="280" w:left="340" w:right="500"/>
        </w:sectPr>
      </w:pPr>
    </w:p>
    <w:p>
      <w:pPr>
        <w:pStyle w:val="BodyText"/>
        <w:spacing w:before="2"/>
        <w:rPr>
          <w:sz w:val="18"/>
        </w:rPr>
      </w:pPr>
    </w:p>
    <w:p>
      <w:pPr>
        <w:spacing w:before="94"/>
        <w:ind w:left="560" w:right="0" w:firstLine="0"/>
        <w:jc w:val="left"/>
        <w:rPr>
          <w:b/>
          <w:sz w:val="16"/>
        </w:rPr>
      </w:pPr>
      <w:r>
        <w:rPr>
          <w:b/>
          <w:color w:val="231F20"/>
          <w:w w:val="95"/>
          <w:sz w:val="16"/>
        </w:rPr>
        <w:t>Corner</w:t>
      </w:r>
      <w:r>
        <w:rPr>
          <w:b/>
          <w:color w:val="231F20"/>
          <w:spacing w:val="-1"/>
          <w:sz w:val="16"/>
        </w:rPr>
        <w:t> </w:t>
      </w:r>
      <w:r>
        <w:rPr>
          <w:b/>
          <w:color w:val="231F20"/>
          <w:w w:val="95"/>
          <w:sz w:val="16"/>
        </w:rPr>
        <w:t>Gas</w:t>
      </w:r>
      <w:r>
        <w:rPr>
          <w:b/>
          <w:color w:val="231F20"/>
          <w:sz w:val="16"/>
        </w:rPr>
        <w:t> </w:t>
      </w:r>
      <w:r>
        <w:rPr>
          <w:b/>
          <w:color w:val="231F20"/>
          <w:w w:val="95"/>
          <w:sz w:val="16"/>
        </w:rPr>
        <w:t>Station—I</w:t>
      </w:r>
      <w:r>
        <w:rPr>
          <w:b/>
          <w:color w:val="231F20"/>
          <w:sz w:val="16"/>
        </w:rPr>
        <w:t> </w:t>
      </w:r>
      <w:r>
        <w:rPr>
          <w:b/>
          <w:color w:val="231F20"/>
          <w:w w:val="95"/>
          <w:sz w:val="16"/>
        </w:rPr>
        <w:t>must</w:t>
      </w:r>
      <w:r>
        <w:rPr>
          <w:b/>
          <w:color w:val="231F20"/>
          <w:sz w:val="16"/>
        </w:rPr>
        <w:t> </w:t>
      </w:r>
      <w:r>
        <w:rPr>
          <w:b/>
          <w:color w:val="231F20"/>
          <w:w w:val="95"/>
          <w:sz w:val="16"/>
        </w:rPr>
        <w:t>leave</w:t>
      </w:r>
      <w:r>
        <w:rPr>
          <w:b/>
          <w:color w:val="231F20"/>
          <w:sz w:val="16"/>
        </w:rPr>
        <w:t> </w:t>
      </w:r>
      <w:r>
        <w:rPr>
          <w:b/>
          <w:color w:val="231F20"/>
          <w:w w:val="95"/>
          <w:sz w:val="16"/>
        </w:rPr>
        <w:t>my</w:t>
      </w:r>
      <w:r>
        <w:rPr>
          <w:b/>
          <w:color w:val="231F20"/>
          <w:spacing w:val="-1"/>
          <w:sz w:val="16"/>
        </w:rPr>
        <w:t> </w:t>
      </w:r>
      <w:r>
        <w:rPr>
          <w:b/>
          <w:color w:val="231F20"/>
          <w:w w:val="95"/>
          <w:sz w:val="16"/>
        </w:rPr>
        <w:t>car,</w:t>
      </w:r>
      <w:r>
        <w:rPr>
          <w:b/>
          <w:color w:val="231F20"/>
          <w:sz w:val="16"/>
        </w:rPr>
        <w:t> </w:t>
      </w:r>
      <w:r>
        <w:rPr>
          <w:b/>
          <w:color w:val="231F20"/>
          <w:w w:val="95"/>
          <w:sz w:val="16"/>
        </w:rPr>
        <w:t>appointment</w:t>
      </w:r>
      <w:r>
        <w:rPr>
          <w:b/>
          <w:color w:val="231F20"/>
          <w:sz w:val="16"/>
        </w:rPr>
        <w:t> </w:t>
      </w:r>
      <w:r>
        <w:rPr>
          <w:b/>
          <w:color w:val="231F20"/>
          <w:spacing w:val="-2"/>
          <w:w w:val="95"/>
          <w:sz w:val="16"/>
        </w:rPr>
        <w:t>necessary</w:t>
      </w:r>
    </w:p>
    <w:p>
      <w:pPr>
        <w:pStyle w:val="BodyText"/>
        <w:spacing w:before="1"/>
        <w:rPr>
          <w:b/>
          <w:sz w:val="15"/>
        </w:rPr>
      </w:pPr>
    </w:p>
    <w:p>
      <w:pPr>
        <w:spacing w:line="264" w:lineRule="auto" w:before="0"/>
        <w:ind w:left="560" w:right="6803" w:firstLine="0"/>
        <w:jc w:val="left"/>
        <w:rPr>
          <w:rFonts w:ascii="Tahoma"/>
          <w:b/>
          <w:sz w:val="12"/>
        </w:rPr>
      </w:pPr>
      <w:r>
        <w:rPr/>
        <w:pict>
          <v:group style="position:absolute;margin-left:75.5pt;margin-top:1.204102pt;width:316pt;height:26pt;mso-position-horizontal-relative:page;mso-position-vertical-relative:paragraph;z-index:15891968" id="docshapegroup420" coordorigin="1510,24" coordsize="6320,520">
            <v:shape style="position:absolute;left:1515;top:29;width:6310;height:510" id="docshape421" coordorigin="1515,29" coordsize="6310,510" path="m2070,284l2155,284m1515,29l2065,29,2065,539,1515,539,1515,29xm2705,284l2795,284m2155,29l2705,29,2705,539,2155,539,2155,29xm3345,284l3435,284m2795,29l3345,29,3345,539,2795,539,2795,29xm3985,284l4075,284m3435,29l3985,29,3985,539,3435,539,3435,29xm4625,284l4715,284m4075,29l4625,29,4625,539,4075,539,4075,29xm5265,284l5355,284m4715,29l5265,29,5265,539,4715,539,4715,29xm5905,284l5995,284m5355,29l5905,29,5905,539,5355,539,5355,29xm6545,284l6635,284m5995,29l6545,29,6545,539,5995,539,5995,29xm7185,284l7275,284m6635,29l7185,29,7185,539,6635,539,6635,29xm7275,29l7825,29,7825,539,7275,539,7275,29xe" filled="false" stroked="true" strokeweight=".5pt" strokecolor="#231f20">
              <v:path arrowok="t"/>
              <v:stroke dashstyle="solid"/>
            </v:shape>
            <v:shape style="position:absolute;left:1580;top:80;width:835;height:391" type="#_x0000_t202" id="docshape422" filled="false" stroked="false">
              <v:textbox inset="0,0,0,0">
                <w:txbxContent>
                  <w:p>
                    <w:pPr>
                      <w:tabs>
                        <w:tab w:pos="639" w:val="left" w:leader="none"/>
                      </w:tabs>
                      <w:spacing w:line="114" w:lineRule="exact" w:before="0"/>
                      <w:ind w:left="0" w:right="0" w:firstLine="0"/>
                      <w:jc w:val="left"/>
                      <w:rPr>
                        <w:rFonts w:ascii="Tahoma"/>
                        <w:b/>
                        <w:sz w:val="10"/>
                      </w:rPr>
                    </w:pPr>
                    <w:r>
                      <w:rPr>
                        <w:rFonts w:ascii="Tahoma"/>
                        <w:b/>
                        <w:color w:val="231F20"/>
                        <w:spacing w:val="-2"/>
                        <w:sz w:val="10"/>
                      </w:rPr>
                      <w:t>Drive</w:t>
                    </w:r>
                    <w:r>
                      <w:rPr>
                        <w:rFonts w:ascii="Tahoma"/>
                        <w:b/>
                        <w:color w:val="231F20"/>
                        <w:sz w:val="10"/>
                      </w:rPr>
                      <w:tab/>
                    </w:r>
                    <w:r>
                      <w:rPr>
                        <w:rFonts w:ascii="Tahoma"/>
                        <w:b/>
                        <w:color w:val="231F20"/>
                        <w:spacing w:val="-4"/>
                        <w:sz w:val="10"/>
                      </w:rPr>
                      <w:t>Lift</w:t>
                    </w:r>
                  </w:p>
                  <w:p>
                    <w:pPr>
                      <w:tabs>
                        <w:tab w:pos="639" w:val="left" w:leader="none"/>
                      </w:tabs>
                      <w:spacing w:before="19"/>
                      <w:ind w:left="0" w:right="0" w:firstLine="0"/>
                      <w:jc w:val="left"/>
                      <w:rPr>
                        <w:rFonts w:ascii="Tahoma"/>
                        <w:b/>
                        <w:sz w:val="10"/>
                      </w:rPr>
                    </w:pPr>
                    <w:r>
                      <w:rPr>
                        <w:rFonts w:ascii="Tahoma"/>
                        <w:b/>
                        <w:color w:val="231F20"/>
                        <w:spacing w:val="-5"/>
                        <w:w w:val="105"/>
                        <w:sz w:val="10"/>
                      </w:rPr>
                      <w:t>On</w:t>
                    </w:r>
                    <w:r>
                      <w:rPr>
                        <w:rFonts w:ascii="Tahoma"/>
                        <w:b/>
                        <w:color w:val="231F20"/>
                        <w:sz w:val="10"/>
                      </w:rPr>
                      <w:tab/>
                    </w:r>
                    <w:r>
                      <w:rPr>
                        <w:rFonts w:ascii="Tahoma"/>
                        <w:b/>
                        <w:color w:val="231F20"/>
                        <w:spacing w:val="-5"/>
                        <w:w w:val="105"/>
                        <w:sz w:val="10"/>
                      </w:rPr>
                      <w:t>Car</w:t>
                    </w:r>
                  </w:p>
                  <w:p>
                    <w:pPr>
                      <w:spacing w:line="117" w:lineRule="exact" w:before="19"/>
                      <w:ind w:left="0" w:right="0" w:firstLine="0"/>
                      <w:jc w:val="left"/>
                      <w:rPr>
                        <w:rFonts w:ascii="Tahoma"/>
                        <w:b/>
                        <w:sz w:val="10"/>
                      </w:rPr>
                    </w:pPr>
                    <w:r>
                      <w:rPr>
                        <w:rFonts w:ascii="Tahoma"/>
                        <w:b/>
                        <w:color w:val="231F20"/>
                        <w:spacing w:val="-4"/>
                        <w:sz w:val="10"/>
                      </w:rPr>
                      <w:t>Rack</w:t>
                    </w:r>
                  </w:p>
                </w:txbxContent>
              </v:textbox>
              <w10:wrap type="none"/>
            </v:shape>
            <v:shape style="position:absolute;left:2860;top:80;width:4769;height:391" type="#_x0000_t202" id="docshape423" filled="false" stroked="false">
              <v:textbox inset="0,0,0,0">
                <w:txbxContent>
                  <w:p>
                    <w:pPr>
                      <w:tabs>
                        <w:tab w:pos="639" w:val="left" w:leader="none"/>
                        <w:tab w:pos="1279" w:val="left" w:leader="none"/>
                        <w:tab w:pos="1919" w:val="left" w:leader="none"/>
                        <w:tab w:pos="2559" w:val="left" w:leader="none"/>
                        <w:tab w:pos="3199" w:val="left" w:leader="none"/>
                        <w:tab w:pos="3839" w:val="left" w:leader="none"/>
                        <w:tab w:pos="4479" w:val="left" w:leader="none"/>
                      </w:tabs>
                      <w:spacing w:line="114" w:lineRule="exact" w:before="0"/>
                      <w:ind w:left="0" w:right="0" w:firstLine="0"/>
                      <w:jc w:val="left"/>
                      <w:rPr>
                        <w:rFonts w:ascii="Tahoma"/>
                        <w:b/>
                        <w:sz w:val="10"/>
                      </w:rPr>
                    </w:pPr>
                    <w:r>
                      <w:rPr>
                        <w:rFonts w:ascii="Tahoma"/>
                        <w:b/>
                        <w:color w:val="231F20"/>
                        <w:spacing w:val="-2"/>
                        <w:sz w:val="10"/>
                      </w:rPr>
                      <w:t>Remove</w:t>
                    </w:r>
                    <w:r>
                      <w:rPr>
                        <w:rFonts w:ascii="Tahoma"/>
                        <w:b/>
                        <w:color w:val="231F20"/>
                        <w:sz w:val="10"/>
                      </w:rPr>
                      <w:tab/>
                    </w:r>
                    <w:r>
                      <w:rPr>
                        <w:rFonts w:ascii="Tahoma"/>
                        <w:b/>
                        <w:color w:val="231F20"/>
                        <w:spacing w:val="-2"/>
                        <w:sz w:val="10"/>
                      </w:rPr>
                      <w:t>Remove</w:t>
                    </w:r>
                    <w:r>
                      <w:rPr>
                        <w:rFonts w:ascii="Tahoma"/>
                        <w:b/>
                        <w:color w:val="231F20"/>
                        <w:sz w:val="10"/>
                      </w:rPr>
                      <w:tab/>
                    </w:r>
                    <w:r>
                      <w:rPr>
                        <w:rFonts w:ascii="Tahoma"/>
                        <w:b/>
                        <w:color w:val="231F20"/>
                        <w:spacing w:val="-5"/>
                        <w:sz w:val="10"/>
                      </w:rPr>
                      <w:t>Get</w:t>
                    </w:r>
                    <w:r>
                      <w:rPr>
                        <w:rFonts w:ascii="Tahoma"/>
                        <w:b/>
                        <w:color w:val="231F20"/>
                        <w:sz w:val="10"/>
                      </w:rPr>
                      <w:tab/>
                    </w:r>
                    <w:r>
                      <w:rPr>
                        <w:rFonts w:ascii="Tahoma"/>
                        <w:b/>
                        <w:color w:val="231F20"/>
                        <w:spacing w:val="-2"/>
                        <w:sz w:val="10"/>
                      </w:rPr>
                      <w:t>Replace</w:t>
                    </w:r>
                    <w:r>
                      <w:rPr>
                        <w:rFonts w:ascii="Tahoma"/>
                        <w:b/>
                        <w:color w:val="231F20"/>
                        <w:sz w:val="10"/>
                      </w:rPr>
                      <w:tab/>
                    </w:r>
                    <w:r>
                      <w:rPr>
                        <w:rFonts w:ascii="Tahoma"/>
                        <w:b/>
                        <w:color w:val="231F20"/>
                        <w:spacing w:val="-2"/>
                        <w:sz w:val="10"/>
                      </w:rPr>
                      <w:t>Replace</w:t>
                    </w:r>
                    <w:r>
                      <w:rPr>
                        <w:rFonts w:ascii="Tahoma"/>
                        <w:b/>
                        <w:color w:val="231F20"/>
                        <w:sz w:val="10"/>
                      </w:rPr>
                      <w:tab/>
                    </w:r>
                    <w:r>
                      <w:rPr>
                        <w:rFonts w:ascii="Tahoma"/>
                        <w:b/>
                        <w:color w:val="231F20"/>
                        <w:spacing w:val="-2"/>
                        <w:sz w:val="10"/>
                      </w:rPr>
                      <w:t>Refill</w:t>
                    </w:r>
                    <w:r>
                      <w:rPr>
                        <w:rFonts w:ascii="Tahoma"/>
                        <w:b/>
                        <w:color w:val="231F20"/>
                        <w:sz w:val="10"/>
                      </w:rPr>
                      <w:tab/>
                    </w:r>
                    <w:r>
                      <w:rPr>
                        <w:rFonts w:ascii="Tahoma"/>
                        <w:b/>
                        <w:color w:val="231F20"/>
                        <w:spacing w:val="-4"/>
                        <w:sz w:val="10"/>
                      </w:rPr>
                      <w:t>Lower</w:t>
                    </w:r>
                    <w:r>
                      <w:rPr>
                        <w:rFonts w:ascii="Tahoma"/>
                        <w:b/>
                        <w:color w:val="231F20"/>
                        <w:sz w:val="10"/>
                      </w:rPr>
                      <w:tab/>
                    </w:r>
                    <w:r>
                      <w:rPr>
                        <w:rFonts w:ascii="Tahoma"/>
                        <w:b/>
                        <w:color w:val="231F20"/>
                        <w:spacing w:val="-2"/>
                        <w:sz w:val="10"/>
                      </w:rPr>
                      <w:t>Drive</w:t>
                    </w:r>
                  </w:p>
                  <w:p>
                    <w:pPr>
                      <w:tabs>
                        <w:tab w:pos="639" w:val="left" w:leader="none"/>
                        <w:tab w:pos="1279" w:val="left" w:leader="none"/>
                        <w:tab w:pos="1919" w:val="left" w:leader="none"/>
                        <w:tab w:pos="2559" w:val="left" w:leader="none"/>
                        <w:tab w:pos="3199" w:val="left" w:leader="none"/>
                        <w:tab w:pos="3839" w:val="left" w:leader="none"/>
                        <w:tab w:pos="4479" w:val="left" w:leader="none"/>
                      </w:tabs>
                      <w:spacing w:line="278" w:lineRule="auto" w:before="14"/>
                      <w:ind w:left="0" w:right="38" w:firstLine="0"/>
                      <w:jc w:val="left"/>
                      <w:rPr>
                        <w:rFonts w:ascii="Tahoma"/>
                        <w:b/>
                        <w:sz w:val="10"/>
                      </w:rPr>
                    </w:pPr>
                    <w:r>
                      <w:rPr>
                        <w:rFonts w:ascii="Tahoma"/>
                        <w:b/>
                        <w:color w:val="231F20"/>
                        <w:spacing w:val="-4"/>
                        <w:sz w:val="10"/>
                      </w:rPr>
                      <w:t>Plug</w:t>
                    </w:r>
                    <w:r>
                      <w:rPr>
                        <w:rFonts w:ascii="Tahoma"/>
                        <w:b/>
                        <w:color w:val="231F20"/>
                        <w:sz w:val="10"/>
                      </w:rPr>
                      <w:tab/>
                    </w:r>
                    <w:r>
                      <w:rPr>
                        <w:rFonts w:ascii="Tahoma"/>
                        <w:b/>
                        <w:color w:val="231F20"/>
                        <w:spacing w:val="-2"/>
                        <w:sz w:val="10"/>
                      </w:rPr>
                      <w:t>Filter</w:t>
                    </w:r>
                    <w:r>
                      <w:rPr>
                        <w:rFonts w:ascii="Tahoma"/>
                        <w:b/>
                        <w:color w:val="231F20"/>
                        <w:sz w:val="10"/>
                      </w:rPr>
                      <w:tab/>
                      <w:t>oil</w:t>
                    </w:r>
                    <w:r>
                      <w:rPr>
                        <w:rFonts w:ascii="Tahoma"/>
                        <w:b/>
                        <w:color w:val="231F20"/>
                        <w:spacing w:val="-8"/>
                        <w:sz w:val="10"/>
                      </w:rPr>
                      <w:t> </w:t>
                    </w:r>
                    <w:r>
                      <w:rPr>
                        <w:rFonts w:ascii="Tahoma"/>
                        <w:b/>
                        <w:color w:val="231F20"/>
                        <w:sz w:val="10"/>
                      </w:rPr>
                      <w:t>and</w:t>
                      <w:tab/>
                    </w:r>
                    <w:r>
                      <w:rPr>
                        <w:rFonts w:ascii="Tahoma"/>
                        <w:b/>
                        <w:color w:val="231F20"/>
                        <w:spacing w:val="-4"/>
                        <w:sz w:val="10"/>
                      </w:rPr>
                      <w:t>Oil</w:t>
                    </w:r>
                    <w:r>
                      <w:rPr>
                        <w:rFonts w:ascii="Tahoma"/>
                        <w:b/>
                        <w:color w:val="231F20"/>
                        <w:sz w:val="10"/>
                      </w:rPr>
                      <w:tab/>
                    </w:r>
                    <w:r>
                      <w:rPr>
                        <w:rFonts w:ascii="Tahoma"/>
                        <w:b/>
                        <w:color w:val="231F20"/>
                        <w:spacing w:val="-4"/>
                        <w:sz w:val="10"/>
                      </w:rPr>
                      <w:t>Plug</w:t>
                    </w:r>
                    <w:r>
                      <w:rPr>
                        <w:rFonts w:ascii="Tahoma"/>
                        <w:b/>
                        <w:color w:val="231F20"/>
                        <w:sz w:val="10"/>
                      </w:rPr>
                      <w:tab/>
                      <w:t>Oil</w:t>
                    </w:r>
                    <w:r>
                      <w:rPr>
                        <w:rFonts w:ascii="Tahoma"/>
                        <w:b/>
                        <w:color w:val="231F20"/>
                        <w:spacing w:val="-8"/>
                        <w:sz w:val="10"/>
                      </w:rPr>
                      <w:t> </w:t>
                    </w:r>
                    <w:r>
                      <w:rPr>
                        <w:rFonts w:ascii="Tahoma"/>
                        <w:b/>
                        <w:color w:val="231F20"/>
                        <w:sz w:val="10"/>
                      </w:rPr>
                      <w:t>from</w:t>
                      <w:tab/>
                    </w:r>
                    <w:r>
                      <w:rPr>
                        <w:rFonts w:ascii="Tahoma"/>
                        <w:b/>
                        <w:color w:val="231F20"/>
                        <w:spacing w:val="-4"/>
                        <w:sz w:val="10"/>
                      </w:rPr>
                      <w:t>Car</w:t>
                    </w:r>
                    <w:r>
                      <w:rPr>
                        <w:rFonts w:ascii="Tahoma"/>
                        <w:b/>
                        <w:color w:val="231F20"/>
                        <w:sz w:val="10"/>
                      </w:rPr>
                      <w:tab/>
                    </w:r>
                    <w:r>
                      <w:rPr>
                        <w:rFonts w:ascii="Tahoma"/>
                        <w:b/>
                        <w:color w:val="231F20"/>
                        <w:spacing w:val="-4"/>
                        <w:sz w:val="10"/>
                      </w:rPr>
                      <w:t>Off</w:t>
                    </w:r>
                    <w:r>
                      <w:rPr>
                        <w:rFonts w:ascii="Tahoma"/>
                        <w:b/>
                        <w:color w:val="231F20"/>
                        <w:spacing w:val="40"/>
                        <w:sz w:val="10"/>
                      </w:rPr>
                      <w:t> </w:t>
                    </w:r>
                    <w:r>
                      <w:rPr>
                        <w:rFonts w:ascii="Tahoma"/>
                        <w:b/>
                        <w:color w:val="231F20"/>
                        <w:sz w:val="10"/>
                      </w:rPr>
                      <w:t>Drain</w:t>
                    </w:r>
                    <w:r>
                      <w:rPr>
                        <w:rFonts w:ascii="Tahoma"/>
                        <w:b/>
                        <w:color w:val="231F20"/>
                        <w:spacing w:val="-8"/>
                        <w:sz w:val="10"/>
                      </w:rPr>
                      <w:t> </w:t>
                    </w:r>
                    <w:r>
                      <w:rPr>
                        <w:rFonts w:ascii="Tahoma"/>
                        <w:b/>
                        <w:color w:val="231F20"/>
                        <w:sz w:val="10"/>
                      </w:rPr>
                      <w:t>oil</w:t>
                      <w:tab/>
                      <w:tab/>
                    </w:r>
                    <w:r>
                      <w:rPr>
                        <w:rFonts w:ascii="Tahoma"/>
                        <w:b/>
                        <w:color w:val="231F20"/>
                        <w:spacing w:val="-4"/>
                        <w:sz w:val="10"/>
                      </w:rPr>
                      <w:t>Part</w:t>
                    </w:r>
                    <w:r>
                      <w:rPr>
                        <w:rFonts w:ascii="Tahoma"/>
                        <w:b/>
                        <w:color w:val="231F20"/>
                        <w:sz w:val="10"/>
                      </w:rPr>
                      <w:tab/>
                    </w:r>
                    <w:r>
                      <w:rPr>
                        <w:rFonts w:ascii="Tahoma"/>
                        <w:b/>
                        <w:color w:val="231F20"/>
                        <w:spacing w:val="-2"/>
                        <w:sz w:val="10"/>
                      </w:rPr>
                      <w:t>Filter</w:t>
                    </w:r>
                    <w:r>
                      <w:rPr>
                        <w:rFonts w:ascii="Tahoma"/>
                        <w:b/>
                        <w:color w:val="231F20"/>
                        <w:sz w:val="10"/>
                      </w:rPr>
                      <w:tab/>
                      <w:tab/>
                    </w:r>
                    <w:r>
                      <w:rPr>
                        <w:rFonts w:ascii="Tahoma"/>
                        <w:b/>
                        <w:color w:val="231F20"/>
                        <w:spacing w:val="-4"/>
                        <w:sz w:val="10"/>
                      </w:rPr>
                      <w:t>Cans</w:t>
                    </w:r>
                    <w:r>
                      <w:rPr>
                        <w:rFonts w:ascii="Tahoma"/>
                        <w:b/>
                        <w:color w:val="231F20"/>
                        <w:sz w:val="10"/>
                      </w:rPr>
                      <w:tab/>
                      <w:tab/>
                    </w:r>
                    <w:r>
                      <w:rPr>
                        <w:rFonts w:ascii="Tahoma"/>
                        <w:b/>
                        <w:color w:val="231F20"/>
                        <w:spacing w:val="-4"/>
                        <w:sz w:val="10"/>
                      </w:rPr>
                      <w:t>Rack</w:t>
                    </w:r>
                  </w:p>
                </w:txbxContent>
              </v:textbox>
              <w10:wrap type="none"/>
            </v:shape>
            <w10:wrap type="none"/>
          </v:group>
        </w:pict>
      </w:r>
      <w:r>
        <w:rPr>
          <w:rFonts w:ascii="Tahoma"/>
          <w:b/>
          <w:color w:val="231F20"/>
          <w:spacing w:val="-4"/>
          <w:sz w:val="12"/>
        </w:rPr>
        <w:t>One</w:t>
      </w:r>
      <w:r>
        <w:rPr>
          <w:rFonts w:ascii="Tahoma"/>
          <w:b/>
          <w:color w:val="231F20"/>
          <w:spacing w:val="40"/>
          <w:sz w:val="12"/>
        </w:rPr>
        <w:t> </w:t>
      </w:r>
      <w:r>
        <w:rPr>
          <w:rFonts w:ascii="Tahoma"/>
          <w:b/>
          <w:color w:val="231F20"/>
          <w:spacing w:val="-5"/>
          <w:w w:val="95"/>
          <w:sz w:val="12"/>
        </w:rPr>
        <w:t>Man</w:t>
      </w:r>
    </w:p>
    <w:p>
      <w:pPr>
        <w:pStyle w:val="BodyText"/>
        <w:rPr>
          <w:rFonts w:ascii="Tahoma"/>
          <w:b/>
          <w:sz w:val="20"/>
        </w:rPr>
      </w:pPr>
    </w:p>
    <w:p>
      <w:pPr>
        <w:pStyle w:val="BodyText"/>
        <w:spacing w:before="2"/>
        <w:rPr>
          <w:rFonts w:ascii="Tahoma"/>
          <w:b/>
          <w:sz w:val="29"/>
        </w:rPr>
      </w:pPr>
    </w:p>
    <w:p>
      <w:pPr>
        <w:spacing w:before="94"/>
        <w:ind w:left="560" w:right="0" w:firstLine="0"/>
        <w:jc w:val="left"/>
        <w:rPr>
          <w:b/>
          <w:sz w:val="16"/>
        </w:rPr>
      </w:pPr>
      <w:r>
        <w:rPr>
          <w:b/>
          <w:color w:val="231F20"/>
          <w:w w:val="95"/>
          <w:sz w:val="16"/>
        </w:rPr>
        <w:t>Jiffy</w:t>
      </w:r>
      <w:r>
        <w:rPr>
          <w:b/>
          <w:color w:val="231F20"/>
          <w:spacing w:val="5"/>
          <w:sz w:val="16"/>
        </w:rPr>
        <w:t> </w:t>
      </w:r>
      <w:r>
        <w:rPr>
          <w:b/>
          <w:color w:val="231F20"/>
          <w:w w:val="95"/>
          <w:sz w:val="16"/>
        </w:rPr>
        <w:t>Lube—I</w:t>
      </w:r>
      <w:r>
        <w:rPr>
          <w:b/>
          <w:color w:val="231F20"/>
          <w:spacing w:val="6"/>
          <w:sz w:val="16"/>
        </w:rPr>
        <w:t> </w:t>
      </w:r>
      <w:r>
        <w:rPr>
          <w:b/>
          <w:color w:val="231F20"/>
          <w:w w:val="95"/>
          <w:sz w:val="16"/>
        </w:rPr>
        <w:t>wait</w:t>
      </w:r>
      <w:r>
        <w:rPr>
          <w:b/>
          <w:color w:val="231F20"/>
          <w:spacing w:val="6"/>
          <w:sz w:val="16"/>
        </w:rPr>
        <w:t> </w:t>
      </w:r>
      <w:r>
        <w:rPr>
          <w:b/>
          <w:color w:val="231F20"/>
          <w:w w:val="95"/>
          <w:sz w:val="16"/>
        </w:rPr>
        <w:t>for</w:t>
      </w:r>
      <w:r>
        <w:rPr>
          <w:b/>
          <w:color w:val="231F20"/>
          <w:spacing w:val="5"/>
          <w:sz w:val="16"/>
        </w:rPr>
        <w:t> </w:t>
      </w:r>
      <w:r>
        <w:rPr>
          <w:b/>
          <w:color w:val="231F20"/>
          <w:w w:val="95"/>
          <w:sz w:val="16"/>
        </w:rPr>
        <w:t>my</w:t>
      </w:r>
      <w:r>
        <w:rPr>
          <w:b/>
          <w:color w:val="231F20"/>
          <w:spacing w:val="6"/>
          <w:sz w:val="16"/>
        </w:rPr>
        <w:t> </w:t>
      </w:r>
      <w:r>
        <w:rPr>
          <w:b/>
          <w:color w:val="231F20"/>
          <w:w w:val="95"/>
          <w:sz w:val="16"/>
        </w:rPr>
        <w:t>car,</w:t>
      </w:r>
      <w:r>
        <w:rPr>
          <w:b/>
          <w:color w:val="231F20"/>
          <w:spacing w:val="5"/>
          <w:sz w:val="16"/>
        </w:rPr>
        <w:t> </w:t>
      </w:r>
      <w:r>
        <w:rPr>
          <w:b/>
          <w:color w:val="231F20"/>
          <w:w w:val="95"/>
          <w:sz w:val="16"/>
        </w:rPr>
        <w:t>no</w:t>
      </w:r>
      <w:r>
        <w:rPr>
          <w:b/>
          <w:color w:val="231F20"/>
          <w:spacing w:val="6"/>
          <w:sz w:val="16"/>
        </w:rPr>
        <w:t> </w:t>
      </w:r>
      <w:r>
        <w:rPr>
          <w:b/>
          <w:color w:val="231F20"/>
          <w:w w:val="95"/>
          <w:sz w:val="16"/>
        </w:rPr>
        <w:t>appointment</w:t>
      </w:r>
      <w:r>
        <w:rPr>
          <w:b/>
          <w:color w:val="231F20"/>
          <w:spacing w:val="6"/>
          <w:sz w:val="16"/>
        </w:rPr>
        <w:t> </w:t>
      </w:r>
      <w:r>
        <w:rPr>
          <w:b/>
          <w:color w:val="231F20"/>
          <w:spacing w:val="-2"/>
          <w:w w:val="95"/>
          <w:sz w:val="16"/>
        </w:rPr>
        <w:t>necessary</w:t>
      </w:r>
    </w:p>
    <w:p>
      <w:pPr>
        <w:pStyle w:val="BodyText"/>
        <w:rPr>
          <w:b/>
          <w:sz w:val="15"/>
        </w:rPr>
      </w:pPr>
    </w:p>
    <w:p>
      <w:pPr>
        <w:spacing w:line="264" w:lineRule="auto" w:before="1"/>
        <w:ind w:left="560" w:right="6757" w:firstLine="0"/>
        <w:jc w:val="left"/>
        <w:rPr>
          <w:rFonts w:ascii="Tahoma"/>
          <w:b/>
          <w:sz w:val="12"/>
        </w:rPr>
      </w:pPr>
      <w:r>
        <w:rPr/>
        <w:pict>
          <v:line style="position:absolute;mso-position-horizontal-relative:page;mso-position-vertical-relative:paragraph;z-index:15892480" from="273.75pt,17.754528pt" to="278.25pt,17.754528pt" stroked="true" strokeweight=".5pt" strokecolor="#231f20">
            <v:stroke dashstyle="solid"/>
            <w10:wrap type="none"/>
          </v:line>
        </w:pict>
      </w:r>
      <w:r>
        <w:rPr/>
        <w:pict>
          <v:group style="position:absolute;margin-left:86pt;margin-top:1.254529pt;width:32.3pt;height:59.25pt;mso-position-horizontal-relative:page;mso-position-vertical-relative:paragraph;z-index:15894528" id="docshapegroup424" coordorigin="1720,25" coordsize="646,1185">
            <v:line style="position:absolute" from="2360,1205" to="2000,695" stroked="true" strokeweight=".5pt" strokecolor="#231f20">
              <v:stroke dashstyle="solid"/>
            </v:line>
            <v:shape style="position:absolute;left:1725;top:30;width:550;height:660" type="#_x0000_t202" id="docshape425" filled="false" stroked="true" strokeweight=".5pt" strokecolor="#231f20">
              <v:textbox inset="0,0,0,0">
                <w:txbxContent>
                  <w:p>
                    <w:pPr>
                      <w:spacing w:line="278" w:lineRule="auto" w:before="40"/>
                      <w:ind w:left="60" w:right="209" w:firstLine="0"/>
                      <w:jc w:val="both"/>
                      <w:rPr>
                        <w:rFonts w:ascii="Tahoma"/>
                        <w:b/>
                        <w:sz w:val="10"/>
                      </w:rPr>
                    </w:pPr>
                    <w:r>
                      <w:rPr>
                        <w:rFonts w:ascii="Tahoma"/>
                        <w:b/>
                        <w:color w:val="231F20"/>
                        <w:spacing w:val="-2"/>
                        <w:sz w:val="10"/>
                      </w:rPr>
                      <w:t>Drive</w:t>
                    </w:r>
                    <w:r>
                      <w:rPr>
                        <w:rFonts w:ascii="Tahoma"/>
                        <w:b/>
                        <w:color w:val="231F20"/>
                        <w:spacing w:val="40"/>
                        <w:sz w:val="10"/>
                      </w:rPr>
                      <w:t> </w:t>
                    </w:r>
                    <w:r>
                      <w:rPr>
                        <w:rFonts w:ascii="Tahoma"/>
                        <w:b/>
                        <w:color w:val="231F20"/>
                        <w:spacing w:val="-4"/>
                        <w:sz w:val="10"/>
                      </w:rPr>
                      <w:t>Over</w:t>
                    </w:r>
                    <w:r>
                      <w:rPr>
                        <w:rFonts w:ascii="Tahoma"/>
                        <w:b/>
                        <w:color w:val="231F20"/>
                        <w:spacing w:val="40"/>
                        <w:sz w:val="10"/>
                      </w:rPr>
                      <w:t> </w:t>
                    </w:r>
                    <w:r>
                      <w:rPr>
                        <w:rFonts w:ascii="Tahoma"/>
                        <w:b/>
                        <w:color w:val="231F20"/>
                        <w:spacing w:val="-4"/>
                        <w:sz w:val="10"/>
                      </w:rPr>
                      <w:t>Pit</w:t>
                    </w:r>
                  </w:p>
                </w:txbxContent>
              </v:textbox>
              <v:stroke dashstyle="solid"/>
              <w10:wrap type="none"/>
            </v:shape>
            <w10:wrap type="none"/>
          </v:group>
        </w:pict>
      </w:r>
      <w:r>
        <w:rPr/>
        <w:pict>
          <v:shape style="position:absolute;margin-left:246pt;margin-top:1.254529pt;width:60pt;height:33.5pt;mso-position-horizontal-relative:page;mso-position-vertical-relative:paragraph;z-index:15895552" type="#_x0000_t202" id="docshape426" filled="false" stroked="false">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50"/>
                    <w:gridCol w:w="90"/>
                    <w:gridCol w:w="550"/>
                  </w:tblGrid>
                  <w:tr>
                    <w:trPr>
                      <w:trHeight w:val="650" w:hRule="atLeast"/>
                    </w:trPr>
                    <w:tc>
                      <w:tcPr>
                        <w:tcW w:w="550" w:type="dxa"/>
                      </w:tcPr>
                      <w:p>
                        <w:pPr>
                          <w:pStyle w:val="TableParagraph"/>
                          <w:spacing w:line="278" w:lineRule="auto" w:before="40"/>
                          <w:ind w:left="65" w:right="52"/>
                          <w:jc w:val="left"/>
                          <w:rPr>
                            <w:rFonts w:ascii="Tahoma"/>
                            <w:b/>
                            <w:sz w:val="10"/>
                          </w:rPr>
                        </w:pPr>
                        <w:r>
                          <w:rPr>
                            <w:rFonts w:ascii="Tahoma"/>
                            <w:b/>
                            <w:color w:val="231F20"/>
                            <w:spacing w:val="-2"/>
                            <w:sz w:val="10"/>
                          </w:rPr>
                          <w:t>Refill</w:t>
                        </w:r>
                        <w:r>
                          <w:rPr>
                            <w:rFonts w:ascii="Tahoma"/>
                            <w:b/>
                            <w:color w:val="231F20"/>
                            <w:spacing w:val="80"/>
                            <w:sz w:val="10"/>
                          </w:rPr>
                          <w:t> </w:t>
                        </w:r>
                        <w:r>
                          <w:rPr>
                            <w:rFonts w:ascii="Tahoma"/>
                            <w:b/>
                            <w:color w:val="231F20"/>
                            <w:sz w:val="10"/>
                          </w:rPr>
                          <w:t>Oil</w:t>
                        </w:r>
                        <w:r>
                          <w:rPr>
                            <w:rFonts w:ascii="Tahoma"/>
                            <w:b/>
                            <w:color w:val="231F20"/>
                            <w:spacing w:val="-1"/>
                            <w:sz w:val="10"/>
                          </w:rPr>
                          <w:t> </w:t>
                        </w:r>
                        <w:r>
                          <w:rPr>
                            <w:rFonts w:ascii="Tahoma"/>
                            <w:b/>
                            <w:color w:val="231F20"/>
                            <w:sz w:val="10"/>
                          </w:rPr>
                          <w:t>with</w:t>
                        </w:r>
                        <w:r>
                          <w:rPr>
                            <w:rFonts w:ascii="Tahoma"/>
                            <w:b/>
                            <w:color w:val="231F20"/>
                            <w:spacing w:val="40"/>
                            <w:sz w:val="10"/>
                          </w:rPr>
                          <w:t> </w:t>
                        </w:r>
                        <w:r>
                          <w:rPr>
                            <w:rFonts w:ascii="Tahoma"/>
                            <w:b/>
                            <w:color w:val="231F20"/>
                            <w:sz w:val="10"/>
                          </w:rPr>
                          <w:t>Oil</w:t>
                        </w:r>
                        <w:r>
                          <w:rPr>
                            <w:rFonts w:ascii="Tahoma"/>
                            <w:b/>
                            <w:color w:val="231F20"/>
                            <w:spacing w:val="3"/>
                            <w:sz w:val="10"/>
                          </w:rPr>
                          <w:t> </w:t>
                        </w:r>
                        <w:r>
                          <w:rPr>
                            <w:rFonts w:ascii="Tahoma"/>
                            <w:b/>
                            <w:color w:val="231F20"/>
                            <w:spacing w:val="-5"/>
                            <w:sz w:val="10"/>
                          </w:rPr>
                          <w:t>Gun</w:t>
                        </w:r>
                      </w:p>
                    </w:tc>
                    <w:tc>
                      <w:tcPr>
                        <w:tcW w:w="90" w:type="dxa"/>
                        <w:tcBorders>
                          <w:top w:val="nil"/>
                          <w:bottom w:val="nil"/>
                        </w:tcBorders>
                      </w:tcPr>
                      <w:p>
                        <w:pPr>
                          <w:pStyle w:val="TableParagraph"/>
                          <w:spacing w:before="0"/>
                          <w:jc w:val="left"/>
                          <w:rPr>
                            <w:rFonts w:ascii="Times New Roman"/>
                            <w:sz w:val="18"/>
                          </w:rPr>
                        </w:pPr>
                      </w:p>
                    </w:tc>
                    <w:tc>
                      <w:tcPr>
                        <w:tcW w:w="550" w:type="dxa"/>
                      </w:tcPr>
                      <w:p>
                        <w:pPr>
                          <w:pStyle w:val="TableParagraph"/>
                          <w:spacing w:line="278" w:lineRule="auto" w:before="40"/>
                          <w:ind w:left="65" w:right="143"/>
                          <w:jc w:val="left"/>
                          <w:rPr>
                            <w:rFonts w:ascii="Tahoma"/>
                            <w:b/>
                            <w:sz w:val="10"/>
                          </w:rPr>
                        </w:pPr>
                        <w:r>
                          <w:rPr>
                            <w:rFonts w:ascii="Tahoma"/>
                            <w:b/>
                            <w:color w:val="231F20"/>
                            <w:spacing w:val="-2"/>
                            <w:w w:val="105"/>
                            <w:sz w:val="10"/>
                          </w:rPr>
                          <w:t>Drive</w:t>
                        </w:r>
                        <w:r>
                          <w:rPr>
                            <w:rFonts w:ascii="Tahoma"/>
                            <w:b/>
                            <w:color w:val="231F20"/>
                            <w:spacing w:val="40"/>
                            <w:w w:val="105"/>
                            <w:sz w:val="10"/>
                          </w:rPr>
                          <w:t> </w:t>
                        </w:r>
                        <w:r>
                          <w:rPr>
                            <w:rFonts w:ascii="Tahoma"/>
                            <w:b/>
                            <w:color w:val="231F20"/>
                            <w:spacing w:val="-2"/>
                            <w:w w:val="105"/>
                            <w:sz w:val="10"/>
                          </w:rPr>
                          <w:t>Out</w:t>
                        </w:r>
                        <w:r>
                          <w:rPr>
                            <w:rFonts w:ascii="Tahoma"/>
                            <w:b/>
                            <w:color w:val="231F20"/>
                            <w:spacing w:val="-6"/>
                            <w:w w:val="105"/>
                            <w:sz w:val="10"/>
                          </w:rPr>
                          <w:t> </w:t>
                        </w:r>
                        <w:r>
                          <w:rPr>
                            <w:rFonts w:ascii="Tahoma"/>
                            <w:b/>
                            <w:color w:val="231F20"/>
                            <w:spacing w:val="-2"/>
                            <w:w w:val="105"/>
                            <w:sz w:val="10"/>
                          </w:rPr>
                          <w:t>of</w:t>
                        </w:r>
                        <w:r>
                          <w:rPr>
                            <w:rFonts w:ascii="Tahoma"/>
                            <w:b/>
                            <w:color w:val="231F20"/>
                            <w:spacing w:val="40"/>
                            <w:w w:val="105"/>
                            <w:sz w:val="10"/>
                          </w:rPr>
                          <w:t> </w:t>
                        </w:r>
                        <w:r>
                          <w:rPr>
                            <w:rFonts w:ascii="Tahoma"/>
                            <w:b/>
                            <w:color w:val="231F20"/>
                            <w:spacing w:val="-4"/>
                            <w:w w:val="105"/>
                            <w:sz w:val="10"/>
                          </w:rPr>
                          <w:t>Shop</w:t>
                        </w:r>
                      </w:p>
                    </w:tc>
                  </w:tr>
                </w:tbl>
                <w:p>
                  <w:pPr>
                    <w:pStyle w:val="BodyText"/>
                  </w:pPr>
                </w:p>
              </w:txbxContent>
            </v:textbox>
            <w10:wrap type="none"/>
          </v:shape>
        </w:pict>
      </w:r>
      <w:r>
        <w:rPr>
          <w:rFonts w:ascii="Tahoma"/>
          <w:b/>
          <w:color w:val="231F20"/>
          <w:sz w:val="12"/>
        </w:rPr>
        <w:t>Man</w:t>
      </w:r>
      <w:r>
        <w:rPr>
          <w:rFonts w:ascii="Tahoma"/>
          <w:b/>
          <w:color w:val="231F20"/>
          <w:spacing w:val="-9"/>
          <w:sz w:val="12"/>
        </w:rPr>
        <w:t> </w:t>
      </w:r>
      <w:r>
        <w:rPr>
          <w:rFonts w:ascii="Tahoma"/>
          <w:b/>
          <w:color w:val="231F20"/>
          <w:sz w:val="12"/>
        </w:rPr>
        <w:t>1</w:t>
      </w:r>
      <w:r>
        <w:rPr>
          <w:rFonts w:ascii="Tahoma"/>
          <w:b/>
          <w:color w:val="231F20"/>
          <w:spacing w:val="40"/>
          <w:sz w:val="12"/>
        </w:rPr>
        <w:t> </w:t>
      </w:r>
      <w:r>
        <w:rPr>
          <w:rFonts w:ascii="Tahoma"/>
          <w:b/>
          <w:color w:val="231F20"/>
          <w:spacing w:val="-2"/>
          <w:sz w:val="12"/>
        </w:rPr>
        <w:t>Ground</w:t>
      </w:r>
      <w:r>
        <w:rPr>
          <w:rFonts w:ascii="Tahoma"/>
          <w:b/>
          <w:color w:val="231F20"/>
          <w:spacing w:val="40"/>
          <w:sz w:val="12"/>
        </w:rPr>
        <w:t> </w:t>
      </w:r>
      <w:r>
        <w:rPr>
          <w:rFonts w:ascii="Tahoma"/>
          <w:b/>
          <w:color w:val="231F20"/>
          <w:spacing w:val="-2"/>
          <w:sz w:val="12"/>
        </w:rPr>
        <w:t>Level</w:t>
      </w:r>
    </w:p>
    <w:p>
      <w:pPr>
        <w:pStyle w:val="BodyText"/>
        <w:rPr>
          <w:rFonts w:ascii="Tahoma"/>
          <w:b/>
          <w:sz w:val="12"/>
        </w:rPr>
      </w:pPr>
    </w:p>
    <w:p>
      <w:pPr>
        <w:pStyle w:val="BodyText"/>
        <w:rPr>
          <w:rFonts w:ascii="Tahoma"/>
          <w:b/>
          <w:sz w:val="12"/>
        </w:rPr>
      </w:pPr>
    </w:p>
    <w:p>
      <w:pPr>
        <w:spacing w:line="264" w:lineRule="auto" w:before="82"/>
        <w:ind w:left="560" w:right="6757" w:firstLine="0"/>
        <w:jc w:val="left"/>
        <w:rPr>
          <w:rFonts w:ascii="Tahoma"/>
          <w:b/>
          <w:sz w:val="12"/>
        </w:rPr>
      </w:pPr>
      <w:r>
        <w:rPr/>
        <w:pict>
          <v:line style="position:absolute;mso-position-horizontal-relative:page;mso-position-vertical-relative:paragraph;z-index:15892992" from="145.75pt,21.804743pt" to="150.25pt,21.804743pt" stroked="true" strokeweight=".5pt" strokecolor="#231f20">
            <v:stroke dashstyle="solid"/>
            <w10:wrap type="none"/>
          </v:line>
        </w:pict>
      </w:r>
      <w:r>
        <w:rPr/>
        <w:pict>
          <v:line style="position:absolute;mso-position-horizontal-relative:page;mso-position-vertical-relative:paragraph;z-index:15893504" from="177.75pt,21.804743pt" to="182.25pt,21.804743pt" stroked="true" strokeweight=".5pt" strokecolor="#231f20">
            <v:stroke dashstyle="solid"/>
            <w10:wrap type="none"/>
          </v:line>
        </w:pict>
      </w:r>
      <w:r>
        <w:rPr/>
        <w:pict>
          <v:line style="position:absolute;mso-position-horizontal-relative:page;mso-position-vertical-relative:paragraph;z-index:15894016" from="209.75pt,21.804743pt" to="214.25pt,21.804743pt" stroked="true" strokeweight=".5pt" strokecolor="#231f20">
            <v:stroke dashstyle="solid"/>
            <w10:wrap type="none"/>
          </v:line>
        </w:pict>
      </w:r>
      <w:r>
        <w:rPr/>
        <w:pict>
          <v:line style="position:absolute;mso-position-horizontal-relative:page;mso-position-vertical-relative:paragraph;z-index:15895040" from="241.888016pt,21.936733pt" to="259.991996pt,-3.688267pt" stroked="true" strokeweight=".5pt" strokecolor="#231f20">
            <v:stroke dashstyle="solid"/>
            <w10:wrap type="none"/>
          </v:line>
        </w:pict>
      </w:r>
      <w:r>
        <w:rPr/>
        <w:pict>
          <v:shape style="position:absolute;margin-left:118pt;margin-top:5.304742pt;width:124pt;height:33.35pt;mso-position-horizontal-relative:page;mso-position-vertical-relative:paragraph;z-index:15896064" type="#_x0000_t202" id="docshape427" filled="false" stroked="false">
            <v:textbox inset="0,0,0,0">
              <w:txbxContent>
                <w:tbl>
                  <w:tblPr>
                    <w:tblW w:w="0" w:type="auto"/>
                    <w:jc w:val="left"/>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50"/>
                    <w:gridCol w:w="90"/>
                    <w:gridCol w:w="550"/>
                    <w:gridCol w:w="90"/>
                    <w:gridCol w:w="550"/>
                    <w:gridCol w:w="90"/>
                    <w:gridCol w:w="550"/>
                  </w:tblGrid>
                  <w:tr>
                    <w:trPr>
                      <w:trHeight w:val="172" w:hRule="atLeast"/>
                    </w:trPr>
                    <w:tc>
                      <w:tcPr>
                        <w:tcW w:w="550" w:type="dxa"/>
                        <w:tcBorders>
                          <w:bottom w:val="nil"/>
                        </w:tcBorders>
                      </w:tcPr>
                      <w:p>
                        <w:pPr>
                          <w:pStyle w:val="TableParagraph"/>
                          <w:spacing w:line="112" w:lineRule="exact" w:before="40"/>
                          <w:ind w:left="64"/>
                          <w:jc w:val="left"/>
                          <w:rPr>
                            <w:rFonts w:ascii="Tahoma"/>
                            <w:b/>
                            <w:sz w:val="10"/>
                          </w:rPr>
                        </w:pPr>
                        <w:r>
                          <w:rPr>
                            <w:rFonts w:ascii="Tahoma"/>
                            <w:b/>
                            <w:color w:val="231F20"/>
                            <w:spacing w:val="-2"/>
                            <w:sz w:val="10"/>
                          </w:rPr>
                          <w:t>Remove</w:t>
                        </w:r>
                      </w:p>
                    </w:tc>
                    <w:tc>
                      <w:tcPr>
                        <w:tcW w:w="90" w:type="dxa"/>
                        <w:vMerge w:val="restart"/>
                        <w:tcBorders>
                          <w:top w:val="nil"/>
                          <w:bottom w:val="nil"/>
                        </w:tcBorders>
                      </w:tcPr>
                      <w:p>
                        <w:pPr>
                          <w:pStyle w:val="TableParagraph"/>
                          <w:spacing w:before="0"/>
                          <w:jc w:val="left"/>
                          <w:rPr>
                            <w:rFonts w:ascii="Times New Roman"/>
                            <w:sz w:val="18"/>
                          </w:rPr>
                        </w:pPr>
                      </w:p>
                    </w:tc>
                    <w:tc>
                      <w:tcPr>
                        <w:tcW w:w="550" w:type="dxa"/>
                        <w:tcBorders>
                          <w:bottom w:val="nil"/>
                        </w:tcBorders>
                      </w:tcPr>
                      <w:p>
                        <w:pPr>
                          <w:pStyle w:val="TableParagraph"/>
                          <w:spacing w:line="112" w:lineRule="exact" w:before="40"/>
                          <w:ind w:left="64"/>
                          <w:jc w:val="left"/>
                          <w:rPr>
                            <w:rFonts w:ascii="Tahoma"/>
                            <w:b/>
                            <w:sz w:val="10"/>
                          </w:rPr>
                        </w:pPr>
                        <w:r>
                          <w:rPr>
                            <w:rFonts w:ascii="Tahoma"/>
                            <w:b/>
                            <w:color w:val="231F20"/>
                            <w:spacing w:val="-2"/>
                            <w:sz w:val="10"/>
                          </w:rPr>
                          <w:t>Remove</w:t>
                        </w:r>
                      </w:p>
                    </w:tc>
                    <w:tc>
                      <w:tcPr>
                        <w:tcW w:w="90" w:type="dxa"/>
                        <w:vMerge w:val="restart"/>
                        <w:tcBorders>
                          <w:top w:val="nil"/>
                          <w:bottom w:val="nil"/>
                        </w:tcBorders>
                      </w:tcPr>
                      <w:p>
                        <w:pPr>
                          <w:pStyle w:val="TableParagraph"/>
                          <w:spacing w:before="0"/>
                          <w:jc w:val="left"/>
                          <w:rPr>
                            <w:rFonts w:ascii="Times New Roman"/>
                            <w:sz w:val="18"/>
                          </w:rPr>
                        </w:pPr>
                      </w:p>
                    </w:tc>
                    <w:tc>
                      <w:tcPr>
                        <w:tcW w:w="550" w:type="dxa"/>
                        <w:tcBorders>
                          <w:bottom w:val="nil"/>
                        </w:tcBorders>
                      </w:tcPr>
                      <w:p>
                        <w:pPr>
                          <w:pStyle w:val="TableParagraph"/>
                          <w:spacing w:line="112" w:lineRule="exact" w:before="40"/>
                          <w:ind w:left="64"/>
                          <w:jc w:val="left"/>
                          <w:rPr>
                            <w:rFonts w:ascii="Tahoma"/>
                            <w:b/>
                            <w:sz w:val="10"/>
                          </w:rPr>
                        </w:pPr>
                        <w:r>
                          <w:rPr>
                            <w:rFonts w:ascii="Tahoma"/>
                            <w:b/>
                            <w:color w:val="231F20"/>
                            <w:spacing w:val="-2"/>
                            <w:sz w:val="10"/>
                          </w:rPr>
                          <w:t>Replace</w:t>
                        </w:r>
                      </w:p>
                    </w:tc>
                    <w:tc>
                      <w:tcPr>
                        <w:tcW w:w="90" w:type="dxa"/>
                        <w:vMerge w:val="restart"/>
                        <w:tcBorders>
                          <w:top w:val="nil"/>
                          <w:bottom w:val="nil"/>
                        </w:tcBorders>
                      </w:tcPr>
                      <w:p>
                        <w:pPr>
                          <w:pStyle w:val="TableParagraph"/>
                          <w:spacing w:before="0"/>
                          <w:jc w:val="left"/>
                          <w:rPr>
                            <w:rFonts w:ascii="Times New Roman"/>
                            <w:sz w:val="18"/>
                          </w:rPr>
                        </w:pPr>
                      </w:p>
                    </w:tc>
                    <w:tc>
                      <w:tcPr>
                        <w:tcW w:w="550" w:type="dxa"/>
                        <w:tcBorders>
                          <w:bottom w:val="nil"/>
                        </w:tcBorders>
                      </w:tcPr>
                      <w:p>
                        <w:pPr>
                          <w:pStyle w:val="TableParagraph"/>
                          <w:spacing w:line="112" w:lineRule="exact" w:before="40"/>
                          <w:ind w:left="64"/>
                          <w:jc w:val="left"/>
                          <w:rPr>
                            <w:rFonts w:ascii="Tahoma"/>
                            <w:b/>
                            <w:sz w:val="10"/>
                          </w:rPr>
                        </w:pPr>
                        <w:r>
                          <w:rPr>
                            <w:rFonts w:ascii="Tahoma"/>
                            <w:b/>
                            <w:color w:val="231F20"/>
                            <w:spacing w:val="-2"/>
                            <w:sz w:val="10"/>
                          </w:rPr>
                          <w:t>Replace</w:t>
                        </w:r>
                      </w:p>
                    </w:tc>
                  </w:tr>
                  <w:tr>
                    <w:trPr>
                      <w:trHeight w:val="139" w:hRule="atLeast"/>
                    </w:trPr>
                    <w:tc>
                      <w:tcPr>
                        <w:tcW w:w="550" w:type="dxa"/>
                        <w:tcBorders>
                          <w:top w:val="nil"/>
                          <w:bottom w:val="nil"/>
                        </w:tcBorders>
                      </w:tcPr>
                      <w:p>
                        <w:pPr>
                          <w:pStyle w:val="TableParagraph"/>
                          <w:spacing w:line="112" w:lineRule="exact" w:before="8"/>
                          <w:ind w:left="65"/>
                          <w:jc w:val="left"/>
                          <w:rPr>
                            <w:rFonts w:ascii="Tahoma"/>
                            <w:b/>
                            <w:sz w:val="10"/>
                          </w:rPr>
                        </w:pPr>
                        <w:r>
                          <w:rPr>
                            <w:rFonts w:ascii="Tahoma"/>
                            <w:b/>
                            <w:color w:val="231F20"/>
                            <w:spacing w:val="-4"/>
                            <w:sz w:val="10"/>
                          </w:rPr>
                          <w:t>Plug</w:t>
                        </w:r>
                      </w:p>
                    </w:tc>
                    <w:tc>
                      <w:tcPr>
                        <w:tcW w:w="90" w:type="dxa"/>
                        <w:vMerge/>
                        <w:tcBorders>
                          <w:top w:val="nil"/>
                          <w:bottom w:val="nil"/>
                        </w:tcBorders>
                      </w:tcPr>
                      <w:p>
                        <w:pPr>
                          <w:rPr>
                            <w:sz w:val="2"/>
                            <w:szCs w:val="2"/>
                          </w:rPr>
                        </w:pPr>
                      </w:p>
                    </w:tc>
                    <w:tc>
                      <w:tcPr>
                        <w:tcW w:w="550" w:type="dxa"/>
                        <w:tcBorders>
                          <w:top w:val="nil"/>
                          <w:bottom w:val="nil"/>
                        </w:tcBorders>
                      </w:tcPr>
                      <w:p>
                        <w:pPr>
                          <w:pStyle w:val="TableParagraph"/>
                          <w:spacing w:line="112" w:lineRule="exact" w:before="8"/>
                          <w:ind w:left="64"/>
                          <w:jc w:val="left"/>
                          <w:rPr>
                            <w:rFonts w:ascii="Tahoma"/>
                            <w:b/>
                            <w:sz w:val="10"/>
                          </w:rPr>
                        </w:pPr>
                        <w:r>
                          <w:rPr>
                            <w:rFonts w:ascii="Tahoma"/>
                            <w:b/>
                            <w:color w:val="231F20"/>
                            <w:spacing w:val="-2"/>
                            <w:w w:val="105"/>
                            <w:sz w:val="10"/>
                          </w:rPr>
                          <w:t>Filter</w:t>
                        </w:r>
                      </w:p>
                    </w:tc>
                    <w:tc>
                      <w:tcPr>
                        <w:tcW w:w="90" w:type="dxa"/>
                        <w:vMerge/>
                        <w:tcBorders>
                          <w:top w:val="nil"/>
                          <w:bottom w:val="nil"/>
                        </w:tcBorders>
                      </w:tcPr>
                      <w:p>
                        <w:pPr>
                          <w:rPr>
                            <w:sz w:val="2"/>
                            <w:szCs w:val="2"/>
                          </w:rPr>
                        </w:pPr>
                      </w:p>
                    </w:tc>
                    <w:tc>
                      <w:tcPr>
                        <w:tcW w:w="550" w:type="dxa"/>
                        <w:tcBorders>
                          <w:top w:val="nil"/>
                          <w:bottom w:val="nil"/>
                        </w:tcBorders>
                      </w:tcPr>
                      <w:p>
                        <w:pPr>
                          <w:pStyle w:val="TableParagraph"/>
                          <w:spacing w:line="112" w:lineRule="exact" w:before="8"/>
                          <w:ind w:left="64"/>
                          <w:jc w:val="left"/>
                          <w:rPr>
                            <w:rFonts w:ascii="Tahoma"/>
                            <w:b/>
                            <w:sz w:val="10"/>
                          </w:rPr>
                        </w:pPr>
                        <w:r>
                          <w:rPr>
                            <w:rFonts w:ascii="Tahoma"/>
                            <w:b/>
                            <w:color w:val="231F20"/>
                            <w:spacing w:val="-2"/>
                            <w:w w:val="105"/>
                            <w:sz w:val="10"/>
                          </w:rPr>
                          <w:t>Filter</w:t>
                        </w:r>
                      </w:p>
                    </w:tc>
                    <w:tc>
                      <w:tcPr>
                        <w:tcW w:w="90" w:type="dxa"/>
                        <w:vMerge/>
                        <w:tcBorders>
                          <w:top w:val="nil"/>
                          <w:bottom w:val="nil"/>
                        </w:tcBorders>
                      </w:tcPr>
                      <w:p>
                        <w:pPr>
                          <w:rPr>
                            <w:sz w:val="2"/>
                            <w:szCs w:val="2"/>
                          </w:rPr>
                        </w:pPr>
                      </w:p>
                    </w:tc>
                    <w:tc>
                      <w:tcPr>
                        <w:tcW w:w="550" w:type="dxa"/>
                        <w:tcBorders>
                          <w:top w:val="nil"/>
                          <w:bottom w:val="nil"/>
                        </w:tcBorders>
                      </w:tcPr>
                      <w:p>
                        <w:pPr>
                          <w:pStyle w:val="TableParagraph"/>
                          <w:spacing w:line="112" w:lineRule="exact" w:before="8"/>
                          <w:ind w:left="65"/>
                          <w:jc w:val="left"/>
                          <w:rPr>
                            <w:rFonts w:ascii="Tahoma"/>
                            <w:b/>
                            <w:sz w:val="10"/>
                          </w:rPr>
                        </w:pPr>
                        <w:r>
                          <w:rPr>
                            <w:rFonts w:ascii="Tahoma"/>
                            <w:b/>
                            <w:color w:val="231F20"/>
                            <w:spacing w:val="-4"/>
                            <w:sz w:val="10"/>
                          </w:rPr>
                          <w:t>Plug</w:t>
                        </w:r>
                      </w:p>
                    </w:tc>
                  </w:tr>
                  <w:tr>
                    <w:trPr>
                      <w:trHeight w:val="139" w:hRule="atLeast"/>
                    </w:trPr>
                    <w:tc>
                      <w:tcPr>
                        <w:tcW w:w="550" w:type="dxa"/>
                        <w:tcBorders>
                          <w:top w:val="nil"/>
                          <w:bottom w:val="nil"/>
                        </w:tcBorders>
                      </w:tcPr>
                      <w:p>
                        <w:pPr>
                          <w:pStyle w:val="TableParagraph"/>
                          <w:spacing w:line="112" w:lineRule="exact" w:before="8"/>
                          <w:ind w:left="64"/>
                          <w:jc w:val="left"/>
                          <w:rPr>
                            <w:rFonts w:ascii="Tahoma"/>
                            <w:b/>
                            <w:sz w:val="10"/>
                          </w:rPr>
                        </w:pPr>
                        <w:r>
                          <w:rPr>
                            <w:rFonts w:ascii="Tahoma"/>
                            <w:b/>
                            <w:color w:val="231F20"/>
                            <w:spacing w:val="-2"/>
                            <w:sz w:val="10"/>
                          </w:rPr>
                          <w:t>Drain</w:t>
                        </w:r>
                      </w:p>
                    </w:tc>
                    <w:tc>
                      <w:tcPr>
                        <w:tcW w:w="90" w:type="dxa"/>
                        <w:vMerge/>
                        <w:tcBorders>
                          <w:top w:val="nil"/>
                          <w:bottom w:val="nil"/>
                        </w:tcBorders>
                      </w:tcPr>
                      <w:p>
                        <w:pPr>
                          <w:rPr>
                            <w:sz w:val="2"/>
                            <w:szCs w:val="2"/>
                          </w:rPr>
                        </w:pPr>
                      </w:p>
                    </w:tc>
                    <w:tc>
                      <w:tcPr>
                        <w:tcW w:w="550" w:type="dxa"/>
                        <w:tcBorders>
                          <w:top w:val="nil"/>
                          <w:bottom w:val="nil"/>
                        </w:tcBorders>
                      </w:tcPr>
                      <w:p>
                        <w:pPr>
                          <w:pStyle w:val="TableParagraph"/>
                          <w:spacing w:before="0"/>
                          <w:jc w:val="left"/>
                          <w:rPr>
                            <w:rFonts w:ascii="Times New Roman"/>
                            <w:sz w:val="8"/>
                          </w:rPr>
                        </w:pPr>
                      </w:p>
                    </w:tc>
                    <w:tc>
                      <w:tcPr>
                        <w:tcW w:w="90" w:type="dxa"/>
                        <w:vMerge/>
                        <w:tcBorders>
                          <w:top w:val="nil"/>
                          <w:bottom w:val="nil"/>
                        </w:tcBorders>
                      </w:tcPr>
                      <w:p>
                        <w:pPr>
                          <w:rPr>
                            <w:sz w:val="2"/>
                            <w:szCs w:val="2"/>
                          </w:rPr>
                        </w:pPr>
                      </w:p>
                    </w:tc>
                    <w:tc>
                      <w:tcPr>
                        <w:tcW w:w="550" w:type="dxa"/>
                        <w:tcBorders>
                          <w:top w:val="nil"/>
                          <w:bottom w:val="nil"/>
                        </w:tcBorders>
                      </w:tcPr>
                      <w:p>
                        <w:pPr>
                          <w:pStyle w:val="TableParagraph"/>
                          <w:spacing w:line="112" w:lineRule="exact" w:before="8"/>
                          <w:ind w:left="64"/>
                          <w:jc w:val="left"/>
                          <w:rPr>
                            <w:rFonts w:ascii="Tahoma"/>
                            <w:b/>
                            <w:sz w:val="10"/>
                          </w:rPr>
                        </w:pPr>
                        <w:r>
                          <w:rPr>
                            <w:rFonts w:ascii="Tahoma"/>
                            <w:b/>
                            <w:color w:val="231F20"/>
                            <w:spacing w:val="-4"/>
                            <w:sz w:val="10"/>
                          </w:rPr>
                          <w:t>from</w:t>
                        </w:r>
                      </w:p>
                    </w:tc>
                    <w:tc>
                      <w:tcPr>
                        <w:tcW w:w="90" w:type="dxa"/>
                        <w:vMerge/>
                        <w:tcBorders>
                          <w:top w:val="nil"/>
                          <w:bottom w:val="nil"/>
                        </w:tcBorders>
                      </w:tcPr>
                      <w:p>
                        <w:pPr>
                          <w:rPr>
                            <w:sz w:val="2"/>
                            <w:szCs w:val="2"/>
                          </w:rPr>
                        </w:pPr>
                      </w:p>
                    </w:tc>
                    <w:tc>
                      <w:tcPr>
                        <w:tcW w:w="550" w:type="dxa"/>
                        <w:tcBorders>
                          <w:top w:val="nil"/>
                          <w:bottom w:val="nil"/>
                        </w:tcBorders>
                      </w:tcPr>
                      <w:p>
                        <w:pPr>
                          <w:pStyle w:val="TableParagraph"/>
                          <w:spacing w:before="0"/>
                          <w:jc w:val="left"/>
                          <w:rPr>
                            <w:rFonts w:ascii="Times New Roman"/>
                            <w:sz w:val="8"/>
                          </w:rPr>
                        </w:pPr>
                      </w:p>
                    </w:tc>
                  </w:tr>
                  <w:tr>
                    <w:trPr>
                      <w:trHeight w:val="197" w:hRule="atLeast"/>
                    </w:trPr>
                    <w:tc>
                      <w:tcPr>
                        <w:tcW w:w="550" w:type="dxa"/>
                        <w:tcBorders>
                          <w:top w:val="nil"/>
                        </w:tcBorders>
                      </w:tcPr>
                      <w:p>
                        <w:pPr>
                          <w:pStyle w:val="TableParagraph"/>
                          <w:spacing w:before="8"/>
                          <w:ind w:left="65"/>
                          <w:jc w:val="left"/>
                          <w:rPr>
                            <w:rFonts w:ascii="Tahoma"/>
                            <w:b/>
                            <w:sz w:val="10"/>
                          </w:rPr>
                        </w:pPr>
                        <w:r>
                          <w:rPr>
                            <w:rFonts w:ascii="Tahoma"/>
                            <w:b/>
                            <w:color w:val="231F20"/>
                            <w:spacing w:val="-5"/>
                            <w:w w:val="105"/>
                            <w:sz w:val="10"/>
                          </w:rPr>
                          <w:t>Oil</w:t>
                        </w:r>
                      </w:p>
                    </w:tc>
                    <w:tc>
                      <w:tcPr>
                        <w:tcW w:w="90" w:type="dxa"/>
                        <w:vMerge/>
                        <w:tcBorders>
                          <w:top w:val="nil"/>
                          <w:bottom w:val="nil"/>
                        </w:tcBorders>
                      </w:tcPr>
                      <w:p>
                        <w:pPr>
                          <w:rPr>
                            <w:sz w:val="2"/>
                            <w:szCs w:val="2"/>
                          </w:rPr>
                        </w:pPr>
                      </w:p>
                    </w:tc>
                    <w:tc>
                      <w:tcPr>
                        <w:tcW w:w="550" w:type="dxa"/>
                        <w:tcBorders>
                          <w:top w:val="nil"/>
                        </w:tcBorders>
                      </w:tcPr>
                      <w:p>
                        <w:pPr>
                          <w:pStyle w:val="TableParagraph"/>
                          <w:spacing w:before="0"/>
                          <w:jc w:val="left"/>
                          <w:rPr>
                            <w:rFonts w:ascii="Times New Roman"/>
                            <w:sz w:val="12"/>
                          </w:rPr>
                        </w:pPr>
                      </w:p>
                    </w:tc>
                    <w:tc>
                      <w:tcPr>
                        <w:tcW w:w="90" w:type="dxa"/>
                        <w:vMerge/>
                        <w:tcBorders>
                          <w:top w:val="nil"/>
                          <w:bottom w:val="nil"/>
                        </w:tcBorders>
                      </w:tcPr>
                      <w:p>
                        <w:pPr>
                          <w:rPr>
                            <w:sz w:val="2"/>
                            <w:szCs w:val="2"/>
                          </w:rPr>
                        </w:pPr>
                      </w:p>
                    </w:tc>
                    <w:tc>
                      <w:tcPr>
                        <w:tcW w:w="550" w:type="dxa"/>
                        <w:tcBorders>
                          <w:top w:val="nil"/>
                        </w:tcBorders>
                      </w:tcPr>
                      <w:p>
                        <w:pPr>
                          <w:pStyle w:val="TableParagraph"/>
                          <w:spacing w:before="8"/>
                          <w:ind w:left="65"/>
                          <w:jc w:val="left"/>
                          <w:rPr>
                            <w:rFonts w:ascii="Tahoma"/>
                            <w:b/>
                            <w:sz w:val="10"/>
                          </w:rPr>
                        </w:pPr>
                        <w:r>
                          <w:rPr>
                            <w:rFonts w:ascii="Tahoma"/>
                            <w:b/>
                            <w:color w:val="231F20"/>
                            <w:spacing w:val="-5"/>
                            <w:sz w:val="10"/>
                          </w:rPr>
                          <w:t>Bin</w:t>
                        </w:r>
                      </w:p>
                    </w:tc>
                    <w:tc>
                      <w:tcPr>
                        <w:tcW w:w="90" w:type="dxa"/>
                        <w:vMerge/>
                        <w:tcBorders>
                          <w:top w:val="nil"/>
                          <w:bottom w:val="nil"/>
                        </w:tcBorders>
                      </w:tcPr>
                      <w:p>
                        <w:pPr>
                          <w:rPr>
                            <w:sz w:val="2"/>
                            <w:szCs w:val="2"/>
                          </w:rPr>
                        </w:pPr>
                      </w:p>
                    </w:tc>
                    <w:tc>
                      <w:tcPr>
                        <w:tcW w:w="550" w:type="dxa"/>
                        <w:tcBorders>
                          <w:top w:val="nil"/>
                        </w:tcBorders>
                      </w:tcPr>
                      <w:p>
                        <w:pPr>
                          <w:pStyle w:val="TableParagraph"/>
                          <w:spacing w:before="0"/>
                          <w:jc w:val="left"/>
                          <w:rPr>
                            <w:rFonts w:ascii="Times New Roman"/>
                            <w:sz w:val="12"/>
                          </w:rPr>
                        </w:pPr>
                      </w:p>
                    </w:tc>
                  </w:tr>
                </w:tbl>
                <w:p>
                  <w:pPr>
                    <w:pStyle w:val="BodyText"/>
                  </w:pPr>
                </w:p>
              </w:txbxContent>
            </v:textbox>
            <w10:wrap type="none"/>
          </v:shape>
        </w:pict>
      </w:r>
      <w:r>
        <w:rPr>
          <w:rFonts w:ascii="Tahoma"/>
          <w:b/>
          <w:color w:val="231F20"/>
          <w:sz w:val="12"/>
        </w:rPr>
        <w:t>Man</w:t>
      </w:r>
      <w:r>
        <w:rPr>
          <w:rFonts w:ascii="Tahoma"/>
          <w:b/>
          <w:color w:val="231F20"/>
          <w:spacing w:val="-9"/>
          <w:sz w:val="12"/>
        </w:rPr>
        <w:t> </w:t>
      </w:r>
      <w:r>
        <w:rPr>
          <w:rFonts w:ascii="Tahoma"/>
          <w:b/>
          <w:color w:val="231F20"/>
          <w:sz w:val="12"/>
        </w:rPr>
        <w:t>2</w:t>
      </w:r>
      <w:r>
        <w:rPr>
          <w:rFonts w:ascii="Tahoma"/>
          <w:b/>
          <w:color w:val="231F20"/>
          <w:spacing w:val="40"/>
          <w:sz w:val="12"/>
        </w:rPr>
        <w:t> </w:t>
      </w:r>
      <w:r>
        <w:rPr>
          <w:rFonts w:ascii="Tahoma"/>
          <w:b/>
          <w:color w:val="231F20"/>
          <w:spacing w:val="-4"/>
          <w:sz w:val="12"/>
        </w:rPr>
        <w:t>In</w:t>
      </w:r>
      <w:r>
        <w:rPr>
          <w:rFonts w:ascii="Tahoma"/>
          <w:b/>
          <w:color w:val="231F20"/>
          <w:spacing w:val="-5"/>
          <w:sz w:val="12"/>
        </w:rPr>
        <w:t> </w:t>
      </w:r>
      <w:r>
        <w:rPr>
          <w:rFonts w:ascii="Tahoma"/>
          <w:b/>
          <w:color w:val="231F20"/>
          <w:spacing w:val="-4"/>
          <w:sz w:val="12"/>
        </w:rPr>
        <w:t>Work</w:t>
      </w:r>
      <w:r>
        <w:rPr>
          <w:rFonts w:ascii="Tahoma"/>
          <w:b/>
          <w:color w:val="231F20"/>
          <w:spacing w:val="40"/>
          <w:sz w:val="12"/>
        </w:rPr>
        <w:t> </w:t>
      </w:r>
      <w:r>
        <w:rPr>
          <w:rFonts w:ascii="Tahoma"/>
          <w:b/>
          <w:color w:val="231F20"/>
          <w:spacing w:val="-4"/>
          <w:sz w:val="12"/>
        </w:rPr>
        <w:t>Pit</w:t>
      </w: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rPr>
          <w:rFonts w:ascii="Tahoma"/>
          <w:b/>
          <w:sz w:val="12"/>
        </w:rPr>
      </w:pPr>
    </w:p>
    <w:p>
      <w:pPr>
        <w:pStyle w:val="BodyText"/>
        <w:spacing w:before="6"/>
        <w:rPr>
          <w:rFonts w:ascii="Tahoma"/>
          <w:b/>
          <w:sz w:val="9"/>
        </w:rPr>
      </w:pPr>
    </w:p>
    <w:p>
      <w:pPr>
        <w:pStyle w:val="BodyText"/>
        <w:spacing w:line="292" w:lineRule="auto"/>
        <w:ind w:left="920" w:right="666"/>
        <w:jc w:val="both"/>
      </w:pPr>
      <w:r>
        <w:rPr>
          <w:color w:val="231F20"/>
        </w:rPr>
        <w:t>quires a special chassis and two disk drives, whereas the </w:t>
      </w:r>
      <w:r>
        <w:rPr>
          <w:color w:val="231F20"/>
        </w:rPr>
        <w:t>Standard model requires one standard chassis and one disk drive. However, the parts supply is limited to 30 Deluxe chassis, 60 Standard chassis, and 120 disk drives. If the profit on the Deluxe model is $500 and</w:t>
      </w:r>
      <w:r>
        <w:rPr>
          <w:color w:val="231F20"/>
          <w:spacing w:val="80"/>
          <w:w w:val="150"/>
        </w:rPr>
        <w:t> </w:t>
      </w:r>
      <w:r>
        <w:rPr>
          <w:color w:val="231F20"/>
        </w:rPr>
        <w:t>the profit on the Standard model is $300, how many of each unit should the factory produce? How do you sort it out?</w:t>
      </w:r>
    </w:p>
    <w:p>
      <w:pPr>
        <w:pStyle w:val="BodyText"/>
        <w:spacing w:line="292" w:lineRule="auto"/>
        <w:ind w:left="920" w:right="666" w:firstLine="340"/>
        <w:jc w:val="both"/>
      </w:pPr>
      <w:r>
        <w:rPr>
          <w:color w:val="231F20"/>
        </w:rPr>
        <w:t>The first step is to define the linear equation that will either </w:t>
      </w:r>
      <w:r>
        <w:rPr>
          <w:color w:val="231F20"/>
        </w:rPr>
        <w:t>max- imize or minimize the desired results. In this case, Tangerine wants</w:t>
      </w:r>
      <w:r>
        <w:rPr>
          <w:color w:val="231F20"/>
          <w:spacing w:val="40"/>
        </w:rPr>
        <w:t> </w:t>
      </w:r>
      <w:r>
        <w:rPr>
          <w:color w:val="231F20"/>
        </w:rPr>
        <w:t>to maximize profits.</w:t>
      </w:r>
    </w:p>
    <w:p>
      <w:pPr>
        <w:pStyle w:val="BodyText"/>
        <w:spacing w:before="4"/>
        <w:rPr>
          <w:sz w:val="24"/>
        </w:rPr>
      </w:pPr>
    </w:p>
    <w:p>
      <w:pPr>
        <w:pStyle w:val="BodyText"/>
        <w:ind w:left="1259"/>
        <w:rPr>
          <w:rFonts w:ascii="Symbol" w:hAnsi="Symbol"/>
        </w:rPr>
      </w:pPr>
      <w:r>
        <w:rPr>
          <w:color w:val="231F20"/>
          <w:w w:val="105"/>
        </w:rPr>
        <w:t>(X</w:t>
      </w:r>
      <w:r>
        <w:rPr>
          <w:color w:val="231F20"/>
          <w:spacing w:val="5"/>
          <w:w w:val="105"/>
        </w:rPr>
        <w:t> </w:t>
      </w:r>
      <w:r>
        <w:rPr>
          <w:color w:val="231F20"/>
          <w:w w:val="105"/>
        </w:rPr>
        <w:t>Deluxe</w:t>
      </w:r>
      <w:r>
        <w:rPr>
          <w:color w:val="231F20"/>
          <w:spacing w:val="5"/>
          <w:w w:val="105"/>
        </w:rPr>
        <w:t> </w:t>
      </w:r>
      <w:r>
        <w:rPr>
          <w:color w:val="231F20"/>
          <w:w w:val="105"/>
        </w:rPr>
        <w:t>Models</w:t>
      </w:r>
      <w:r>
        <w:rPr>
          <w:color w:val="231F20"/>
          <w:spacing w:val="5"/>
          <w:w w:val="105"/>
        </w:rPr>
        <w:t> </w:t>
      </w:r>
      <w:r>
        <w:rPr>
          <w:rFonts w:ascii="Symbol" w:hAnsi="Symbol"/>
          <w:color w:val="231F20"/>
          <w:w w:val="105"/>
        </w:rPr>
        <w:t></w:t>
      </w:r>
      <w:r>
        <w:rPr>
          <w:rFonts w:ascii="Times New Roman" w:hAnsi="Times New Roman"/>
          <w:color w:val="231F20"/>
          <w:spacing w:val="-1"/>
          <w:w w:val="105"/>
        </w:rPr>
        <w:t> </w:t>
      </w:r>
      <w:r>
        <w:rPr>
          <w:color w:val="231F20"/>
          <w:w w:val="105"/>
        </w:rPr>
        <w:t>$500)</w:t>
      </w:r>
      <w:r>
        <w:rPr>
          <w:color w:val="231F20"/>
          <w:spacing w:val="5"/>
          <w:w w:val="105"/>
        </w:rPr>
        <w:t> </w:t>
      </w:r>
      <w:r>
        <w:rPr>
          <w:rFonts w:ascii="Symbol" w:hAnsi="Symbol"/>
          <w:color w:val="231F20"/>
          <w:w w:val="105"/>
        </w:rPr>
        <w:t></w:t>
      </w:r>
      <w:r>
        <w:rPr>
          <w:rFonts w:ascii="Times New Roman" w:hAnsi="Times New Roman"/>
          <w:color w:val="231F20"/>
          <w:spacing w:val="-1"/>
          <w:w w:val="105"/>
        </w:rPr>
        <w:t> </w:t>
      </w:r>
      <w:r>
        <w:rPr>
          <w:color w:val="231F20"/>
          <w:w w:val="105"/>
        </w:rPr>
        <w:t>(Y</w:t>
      </w:r>
      <w:r>
        <w:rPr>
          <w:color w:val="231F20"/>
          <w:spacing w:val="5"/>
          <w:w w:val="105"/>
        </w:rPr>
        <w:t> </w:t>
      </w:r>
      <w:r>
        <w:rPr>
          <w:color w:val="231F20"/>
          <w:w w:val="105"/>
        </w:rPr>
        <w:t>Standard</w:t>
      </w:r>
      <w:r>
        <w:rPr>
          <w:color w:val="231F20"/>
          <w:spacing w:val="6"/>
          <w:w w:val="105"/>
        </w:rPr>
        <w:t> </w:t>
      </w:r>
      <w:r>
        <w:rPr>
          <w:color w:val="231F20"/>
          <w:w w:val="105"/>
        </w:rPr>
        <w:t>Models</w:t>
      </w:r>
      <w:r>
        <w:rPr>
          <w:color w:val="231F20"/>
          <w:spacing w:val="5"/>
          <w:w w:val="105"/>
        </w:rPr>
        <w:t> </w:t>
      </w:r>
      <w:r>
        <w:rPr>
          <w:rFonts w:ascii="Symbol" w:hAnsi="Symbol"/>
          <w:color w:val="231F20"/>
          <w:w w:val="105"/>
        </w:rPr>
        <w:t></w:t>
      </w:r>
      <w:r>
        <w:rPr>
          <w:rFonts w:ascii="Times New Roman" w:hAnsi="Times New Roman"/>
          <w:color w:val="231F20"/>
          <w:spacing w:val="-1"/>
          <w:w w:val="105"/>
        </w:rPr>
        <w:t> </w:t>
      </w:r>
      <w:r>
        <w:rPr>
          <w:color w:val="231F20"/>
          <w:w w:val="105"/>
        </w:rPr>
        <w:t>$300)</w:t>
      </w:r>
      <w:r>
        <w:rPr>
          <w:color w:val="231F20"/>
          <w:spacing w:val="5"/>
          <w:w w:val="105"/>
        </w:rPr>
        <w:t> </w:t>
      </w:r>
      <w:r>
        <w:rPr>
          <w:rFonts w:ascii="Symbol" w:hAnsi="Symbol"/>
          <w:color w:val="231F20"/>
          <w:spacing w:val="-10"/>
          <w:w w:val="105"/>
        </w:rPr>
        <w:t></w:t>
      </w:r>
    </w:p>
    <w:p>
      <w:pPr>
        <w:pStyle w:val="BodyText"/>
        <w:spacing w:before="54"/>
        <w:ind w:left="1500"/>
      </w:pPr>
      <w:r>
        <w:rPr>
          <w:color w:val="231F20"/>
        </w:rPr>
        <w:t>Total</w:t>
      </w:r>
      <w:r>
        <w:rPr>
          <w:color w:val="231F20"/>
          <w:spacing w:val="17"/>
        </w:rPr>
        <w:t> </w:t>
      </w:r>
      <w:r>
        <w:rPr>
          <w:color w:val="231F20"/>
          <w:spacing w:val="-2"/>
        </w:rPr>
        <w:t>Profits</w:t>
      </w:r>
    </w:p>
    <w:p>
      <w:pPr>
        <w:pStyle w:val="BodyText"/>
        <w:spacing w:before="2"/>
        <w:rPr>
          <w:sz w:val="30"/>
        </w:rPr>
      </w:pPr>
    </w:p>
    <w:p>
      <w:pPr>
        <w:pStyle w:val="BodyText"/>
        <w:ind w:left="1259"/>
      </w:pPr>
      <w:r>
        <w:rPr>
          <w:color w:val="231F20"/>
        </w:rPr>
        <w:t>The</w:t>
      </w:r>
      <w:r>
        <w:rPr>
          <w:color w:val="231F20"/>
          <w:spacing w:val="6"/>
        </w:rPr>
        <w:t> </w:t>
      </w:r>
      <w:r>
        <w:rPr>
          <w:color w:val="231F20"/>
        </w:rPr>
        <w:t>constraints</w:t>
      </w:r>
      <w:r>
        <w:rPr>
          <w:color w:val="231F20"/>
          <w:spacing w:val="6"/>
        </w:rPr>
        <w:t> </w:t>
      </w:r>
      <w:r>
        <w:rPr>
          <w:color w:val="231F20"/>
        </w:rPr>
        <w:t>on</w:t>
      </w:r>
      <w:r>
        <w:rPr>
          <w:color w:val="231F20"/>
          <w:spacing w:val="6"/>
        </w:rPr>
        <w:t> </w:t>
      </w:r>
      <w:r>
        <w:rPr>
          <w:color w:val="231F20"/>
        </w:rPr>
        <w:t>production</w:t>
      </w:r>
      <w:r>
        <w:rPr>
          <w:color w:val="231F20"/>
          <w:spacing w:val="6"/>
        </w:rPr>
        <w:t> </w:t>
      </w:r>
      <w:r>
        <w:rPr>
          <w:color w:val="231F20"/>
        </w:rPr>
        <w:t>are</w:t>
      </w:r>
      <w:r>
        <w:rPr>
          <w:color w:val="231F20"/>
          <w:spacing w:val="6"/>
        </w:rPr>
        <w:t> </w:t>
      </w:r>
      <w:r>
        <w:rPr>
          <w:color w:val="231F20"/>
        </w:rPr>
        <w:t>the</w:t>
      </w:r>
      <w:r>
        <w:rPr>
          <w:color w:val="231F20"/>
          <w:spacing w:val="6"/>
        </w:rPr>
        <w:t> </w:t>
      </w:r>
      <w:r>
        <w:rPr>
          <w:color w:val="231F20"/>
        </w:rPr>
        <w:t>parts</w:t>
      </w:r>
      <w:r>
        <w:rPr>
          <w:color w:val="231F20"/>
          <w:spacing w:val="6"/>
        </w:rPr>
        <w:t> </w:t>
      </w:r>
      <w:r>
        <w:rPr>
          <w:color w:val="231F20"/>
          <w:spacing w:val="-2"/>
        </w:rPr>
        <w:t>supplies:</w:t>
      </w:r>
    </w:p>
    <w:p>
      <w:pPr>
        <w:pStyle w:val="BodyText"/>
        <w:spacing w:before="2"/>
        <w:rPr>
          <w:sz w:val="29"/>
        </w:rPr>
      </w:pPr>
    </w:p>
    <w:p>
      <w:pPr>
        <w:pStyle w:val="BodyText"/>
        <w:spacing w:line="278" w:lineRule="auto"/>
        <w:ind w:left="1260" w:right="1262" w:hanging="1"/>
      </w:pPr>
      <w:r>
        <w:rPr>
          <w:color w:val="231F20"/>
        </w:rPr>
        <w:t>Deluxe Chassis Use: (X units </w:t>
      </w:r>
      <w:r>
        <w:rPr>
          <w:rFonts w:ascii="Symbol" w:hAnsi="Symbol"/>
          <w:color w:val="231F20"/>
        </w:rPr>
        <w:t></w:t>
      </w:r>
      <w:r>
        <w:rPr>
          <w:rFonts w:ascii="Times New Roman" w:hAnsi="Times New Roman"/>
          <w:color w:val="231F20"/>
        </w:rPr>
        <w:t> </w:t>
      </w:r>
      <w:r>
        <w:rPr>
          <w:color w:val="231F20"/>
        </w:rPr>
        <w:t>1) </w:t>
      </w:r>
      <w:r>
        <w:rPr>
          <w:rFonts w:ascii="Symbol" w:hAnsi="Symbol"/>
          <w:color w:val="231F20"/>
        </w:rPr>
        <w:t></w:t>
      </w:r>
      <w:r>
        <w:rPr>
          <w:rFonts w:ascii="Times New Roman" w:hAnsi="Times New Roman"/>
          <w:color w:val="231F20"/>
        </w:rPr>
        <w:t> </w:t>
      </w:r>
      <w:r>
        <w:rPr>
          <w:color w:val="231F20"/>
        </w:rPr>
        <w:t>(Y units </w:t>
      </w:r>
      <w:r>
        <w:rPr>
          <w:rFonts w:ascii="Symbol" w:hAnsi="Symbol"/>
          <w:color w:val="231F20"/>
        </w:rPr>
        <w:t></w:t>
      </w:r>
      <w:r>
        <w:rPr>
          <w:rFonts w:ascii="Times New Roman" w:hAnsi="Times New Roman"/>
          <w:color w:val="231F20"/>
        </w:rPr>
        <w:t> </w:t>
      </w:r>
      <w:r>
        <w:rPr>
          <w:color w:val="231F20"/>
        </w:rPr>
        <w:t>0) &lt; 30 units</w:t>
      </w:r>
      <w:r>
        <w:rPr>
          <w:color w:val="231F20"/>
          <w:spacing w:val="80"/>
        </w:rPr>
        <w:t> </w:t>
      </w:r>
      <w:r>
        <w:rPr>
          <w:color w:val="231F20"/>
        </w:rPr>
        <w:t>Standard</w:t>
      </w:r>
      <w:r>
        <w:rPr>
          <w:color w:val="231F20"/>
          <w:spacing w:val="31"/>
        </w:rPr>
        <w:t> </w:t>
      </w:r>
      <w:r>
        <w:rPr>
          <w:color w:val="231F20"/>
        </w:rPr>
        <w:t>Chassis</w:t>
      </w:r>
      <w:r>
        <w:rPr>
          <w:color w:val="231F20"/>
          <w:spacing w:val="31"/>
        </w:rPr>
        <w:t> </w:t>
      </w:r>
      <w:r>
        <w:rPr>
          <w:color w:val="231F20"/>
        </w:rPr>
        <w:t>Use:</w:t>
      </w:r>
      <w:r>
        <w:rPr>
          <w:color w:val="231F20"/>
          <w:spacing w:val="31"/>
        </w:rPr>
        <w:t> </w:t>
      </w:r>
      <w:r>
        <w:rPr>
          <w:color w:val="231F20"/>
        </w:rPr>
        <w:t>(X</w:t>
      </w:r>
      <w:r>
        <w:rPr>
          <w:color w:val="231F20"/>
          <w:spacing w:val="31"/>
        </w:rPr>
        <w:t> </w:t>
      </w:r>
      <w:r>
        <w:rPr>
          <w:color w:val="231F20"/>
        </w:rPr>
        <w:t>units</w:t>
      </w:r>
      <w:r>
        <w:rPr>
          <w:color w:val="231F20"/>
          <w:spacing w:val="31"/>
        </w:rPr>
        <w:t> </w:t>
      </w:r>
      <w:r>
        <w:rPr>
          <w:rFonts w:ascii="Symbol" w:hAnsi="Symbol"/>
          <w:color w:val="231F20"/>
        </w:rPr>
        <w:t></w:t>
      </w:r>
      <w:r>
        <w:rPr>
          <w:rFonts w:ascii="Times New Roman" w:hAnsi="Times New Roman"/>
          <w:color w:val="231F20"/>
        </w:rPr>
        <w:t> </w:t>
      </w:r>
      <w:r>
        <w:rPr>
          <w:color w:val="231F20"/>
        </w:rPr>
        <w:t>0)</w:t>
      </w:r>
      <w:r>
        <w:rPr>
          <w:color w:val="231F20"/>
          <w:spacing w:val="31"/>
        </w:rPr>
        <w:t> </w:t>
      </w:r>
      <w:r>
        <w:rPr>
          <w:rFonts w:ascii="Symbol" w:hAnsi="Symbol"/>
          <w:color w:val="231F20"/>
        </w:rPr>
        <w:t></w:t>
      </w:r>
      <w:r>
        <w:rPr>
          <w:rFonts w:ascii="Times New Roman" w:hAnsi="Times New Roman"/>
          <w:color w:val="231F20"/>
        </w:rPr>
        <w:t> </w:t>
      </w:r>
      <w:r>
        <w:rPr>
          <w:color w:val="231F20"/>
        </w:rPr>
        <w:t>(Y</w:t>
      </w:r>
      <w:r>
        <w:rPr>
          <w:color w:val="231F20"/>
          <w:spacing w:val="31"/>
        </w:rPr>
        <w:t> </w:t>
      </w:r>
      <w:r>
        <w:rPr>
          <w:color w:val="231F20"/>
        </w:rPr>
        <w:t>units</w:t>
      </w:r>
      <w:r>
        <w:rPr>
          <w:color w:val="231F20"/>
          <w:spacing w:val="31"/>
        </w:rPr>
        <w:t> </w:t>
      </w:r>
      <w:r>
        <w:rPr>
          <w:rFonts w:ascii="Symbol" w:hAnsi="Symbol"/>
          <w:color w:val="231F20"/>
        </w:rPr>
        <w:t></w:t>
      </w:r>
      <w:r>
        <w:rPr>
          <w:rFonts w:ascii="Times New Roman" w:hAnsi="Times New Roman"/>
          <w:color w:val="231F20"/>
        </w:rPr>
        <w:t> </w:t>
      </w:r>
      <w:r>
        <w:rPr>
          <w:color w:val="231F20"/>
        </w:rPr>
        <w:t>1)</w:t>
      </w:r>
      <w:r>
        <w:rPr>
          <w:color w:val="231F20"/>
          <w:spacing w:val="31"/>
        </w:rPr>
        <w:t> </w:t>
      </w:r>
      <w:r>
        <w:rPr>
          <w:color w:val="231F20"/>
        </w:rPr>
        <w:t>&lt;</w:t>
      </w:r>
      <w:r>
        <w:rPr>
          <w:color w:val="231F20"/>
          <w:spacing w:val="31"/>
        </w:rPr>
        <w:t> </w:t>
      </w:r>
      <w:r>
        <w:rPr>
          <w:color w:val="231F20"/>
        </w:rPr>
        <w:t>60</w:t>
      </w:r>
    </w:p>
    <w:p>
      <w:pPr>
        <w:pStyle w:val="BodyText"/>
        <w:spacing w:before="14"/>
        <w:ind w:left="1500"/>
      </w:pPr>
      <w:r>
        <w:rPr>
          <w:color w:val="231F20"/>
          <w:spacing w:val="-2"/>
        </w:rPr>
        <w:t>units</w:t>
      </w:r>
    </w:p>
    <w:p>
      <w:pPr>
        <w:pStyle w:val="BodyText"/>
        <w:spacing w:before="42"/>
        <w:ind w:left="1260"/>
      </w:pPr>
      <w:r>
        <w:rPr>
          <w:color w:val="231F20"/>
          <w:w w:val="105"/>
        </w:rPr>
        <w:t>Disk</w:t>
      </w:r>
      <w:r>
        <w:rPr>
          <w:color w:val="231F20"/>
          <w:spacing w:val="2"/>
          <w:w w:val="105"/>
        </w:rPr>
        <w:t> </w:t>
      </w:r>
      <w:r>
        <w:rPr>
          <w:color w:val="231F20"/>
          <w:w w:val="105"/>
        </w:rPr>
        <w:t>Drive</w:t>
      </w:r>
      <w:r>
        <w:rPr>
          <w:color w:val="231F20"/>
          <w:spacing w:val="3"/>
          <w:w w:val="105"/>
        </w:rPr>
        <w:t> </w:t>
      </w:r>
      <w:r>
        <w:rPr>
          <w:color w:val="231F20"/>
          <w:w w:val="105"/>
        </w:rPr>
        <w:t>Use:</w:t>
      </w:r>
      <w:r>
        <w:rPr>
          <w:color w:val="231F20"/>
          <w:spacing w:val="2"/>
          <w:w w:val="105"/>
        </w:rPr>
        <w:t> </w:t>
      </w:r>
      <w:r>
        <w:rPr>
          <w:color w:val="231F20"/>
          <w:w w:val="105"/>
        </w:rPr>
        <w:t>(X</w:t>
      </w:r>
      <w:r>
        <w:rPr>
          <w:color w:val="231F20"/>
          <w:spacing w:val="3"/>
          <w:w w:val="105"/>
        </w:rPr>
        <w:t> </w:t>
      </w:r>
      <w:r>
        <w:rPr>
          <w:color w:val="231F20"/>
          <w:w w:val="105"/>
        </w:rPr>
        <w:t>units</w:t>
      </w:r>
      <w:r>
        <w:rPr>
          <w:color w:val="231F20"/>
          <w:spacing w:val="2"/>
          <w:w w:val="105"/>
        </w:rPr>
        <w:t> </w:t>
      </w:r>
      <w:r>
        <w:rPr>
          <w:rFonts w:ascii="Symbol" w:hAnsi="Symbol"/>
          <w:color w:val="231F20"/>
          <w:w w:val="105"/>
        </w:rPr>
        <w:t></w:t>
      </w:r>
      <w:r>
        <w:rPr>
          <w:rFonts w:ascii="Times New Roman" w:hAnsi="Times New Roman"/>
          <w:color w:val="231F20"/>
          <w:spacing w:val="-3"/>
          <w:w w:val="105"/>
        </w:rPr>
        <w:t> </w:t>
      </w:r>
      <w:r>
        <w:rPr>
          <w:color w:val="231F20"/>
          <w:w w:val="105"/>
        </w:rPr>
        <w:t>2)</w:t>
      </w:r>
      <w:r>
        <w:rPr>
          <w:color w:val="231F20"/>
          <w:spacing w:val="2"/>
          <w:w w:val="105"/>
        </w:rPr>
        <w:t> </w:t>
      </w:r>
      <w:r>
        <w:rPr>
          <w:rFonts w:ascii="Symbol" w:hAnsi="Symbol"/>
          <w:color w:val="231F20"/>
          <w:w w:val="105"/>
        </w:rPr>
        <w:t></w:t>
      </w:r>
      <w:r>
        <w:rPr>
          <w:rFonts w:ascii="Times New Roman" w:hAnsi="Times New Roman"/>
          <w:color w:val="231F20"/>
          <w:spacing w:val="-3"/>
          <w:w w:val="105"/>
        </w:rPr>
        <w:t> </w:t>
      </w:r>
      <w:r>
        <w:rPr>
          <w:color w:val="231F20"/>
          <w:w w:val="105"/>
        </w:rPr>
        <w:t>(Y</w:t>
      </w:r>
      <w:r>
        <w:rPr>
          <w:color w:val="231F20"/>
          <w:spacing w:val="2"/>
          <w:w w:val="105"/>
        </w:rPr>
        <w:t> </w:t>
      </w:r>
      <w:r>
        <w:rPr>
          <w:color w:val="231F20"/>
          <w:w w:val="105"/>
        </w:rPr>
        <w:t>units</w:t>
      </w:r>
      <w:r>
        <w:rPr>
          <w:color w:val="231F20"/>
          <w:spacing w:val="3"/>
          <w:w w:val="105"/>
        </w:rPr>
        <w:t> </w:t>
      </w:r>
      <w:r>
        <w:rPr>
          <w:rFonts w:ascii="Symbol" w:hAnsi="Symbol"/>
          <w:color w:val="231F20"/>
          <w:w w:val="105"/>
        </w:rPr>
        <w:t></w:t>
      </w:r>
      <w:r>
        <w:rPr>
          <w:rFonts w:ascii="Times New Roman" w:hAnsi="Times New Roman"/>
          <w:color w:val="231F20"/>
          <w:spacing w:val="-4"/>
          <w:w w:val="105"/>
        </w:rPr>
        <w:t> </w:t>
      </w:r>
      <w:r>
        <w:rPr>
          <w:color w:val="231F20"/>
          <w:w w:val="105"/>
        </w:rPr>
        <w:t>1)</w:t>
      </w:r>
      <w:r>
        <w:rPr>
          <w:color w:val="231F20"/>
          <w:spacing w:val="3"/>
          <w:w w:val="105"/>
        </w:rPr>
        <w:t> </w:t>
      </w:r>
      <w:r>
        <w:rPr>
          <w:color w:val="231F20"/>
          <w:w w:val="105"/>
        </w:rPr>
        <w:t>&lt;</w:t>
      </w:r>
      <w:r>
        <w:rPr>
          <w:color w:val="231F20"/>
          <w:spacing w:val="2"/>
          <w:w w:val="105"/>
        </w:rPr>
        <w:t> </w:t>
      </w:r>
      <w:r>
        <w:rPr>
          <w:color w:val="231F20"/>
          <w:w w:val="105"/>
        </w:rPr>
        <w:t>120</w:t>
      </w:r>
      <w:r>
        <w:rPr>
          <w:color w:val="231F20"/>
          <w:spacing w:val="3"/>
          <w:w w:val="105"/>
        </w:rPr>
        <w:t> </w:t>
      </w:r>
      <w:r>
        <w:rPr>
          <w:color w:val="231F20"/>
          <w:spacing w:val="-2"/>
          <w:w w:val="105"/>
        </w:rPr>
        <w:t>units</w:t>
      </w:r>
    </w:p>
    <w:p>
      <w:pPr>
        <w:pStyle w:val="BodyText"/>
        <w:spacing w:before="2"/>
        <w:rPr>
          <w:sz w:val="30"/>
        </w:rPr>
      </w:pPr>
    </w:p>
    <w:p>
      <w:pPr>
        <w:pStyle w:val="BodyText"/>
        <w:spacing w:line="292" w:lineRule="auto"/>
        <w:ind w:left="920" w:right="666" w:firstLine="340"/>
        <w:jc w:val="both"/>
      </w:pPr>
      <w:r>
        <w:rPr>
          <w:color w:val="231F20"/>
        </w:rPr>
        <w:t>The computer program tries many combinations until it has </w:t>
      </w:r>
      <w:r>
        <w:rPr>
          <w:color w:val="231F20"/>
        </w:rPr>
        <w:t>de- termined the production level that maximizes profits. In this case the solution is:</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before="90"/>
        <w:ind w:left="318" w:right="219"/>
        <w:jc w:val="center"/>
      </w:pPr>
      <w:r>
        <w:rPr>
          <w:color w:val="231F20"/>
        </w:rPr>
        <w:t>(30</w:t>
      </w:r>
      <w:r>
        <w:rPr>
          <w:color w:val="231F20"/>
          <w:spacing w:val="22"/>
        </w:rPr>
        <w:t> </w:t>
      </w:r>
      <w:r>
        <w:rPr>
          <w:color w:val="231F20"/>
        </w:rPr>
        <w:t>Deluxe</w:t>
      </w:r>
      <w:r>
        <w:rPr>
          <w:color w:val="231F20"/>
          <w:spacing w:val="22"/>
        </w:rPr>
        <w:t> </w:t>
      </w:r>
      <w:r>
        <w:rPr>
          <w:color w:val="231F20"/>
        </w:rPr>
        <w:t>Models</w:t>
      </w:r>
      <w:r>
        <w:rPr>
          <w:color w:val="231F20"/>
          <w:spacing w:val="22"/>
        </w:rPr>
        <w:t> </w:t>
      </w:r>
      <w:r>
        <w:rPr>
          <w:rFonts w:ascii="Symbol" w:hAnsi="Symbol"/>
          <w:color w:val="231F20"/>
        </w:rPr>
        <w:t></w:t>
      </w:r>
      <w:r>
        <w:rPr>
          <w:rFonts w:ascii="Times New Roman" w:hAnsi="Times New Roman"/>
          <w:color w:val="231F20"/>
          <w:spacing w:val="16"/>
        </w:rPr>
        <w:t> </w:t>
      </w:r>
      <w:r>
        <w:rPr>
          <w:color w:val="231F20"/>
        </w:rPr>
        <w:t>$500)</w:t>
      </w:r>
      <w:r>
        <w:rPr>
          <w:color w:val="231F20"/>
          <w:spacing w:val="22"/>
        </w:rPr>
        <w:t> </w:t>
      </w:r>
      <w:r>
        <w:rPr>
          <w:rFonts w:ascii="Symbol" w:hAnsi="Symbol"/>
          <w:color w:val="231F20"/>
        </w:rPr>
        <w:t></w:t>
      </w:r>
      <w:r>
        <w:rPr>
          <w:rFonts w:ascii="Times New Roman" w:hAnsi="Times New Roman"/>
          <w:color w:val="231F20"/>
          <w:spacing w:val="16"/>
        </w:rPr>
        <w:t> </w:t>
      </w:r>
      <w:r>
        <w:rPr>
          <w:color w:val="231F20"/>
        </w:rPr>
        <w:t>(60</w:t>
      </w:r>
      <w:r>
        <w:rPr>
          <w:color w:val="231F20"/>
          <w:spacing w:val="22"/>
        </w:rPr>
        <w:t> </w:t>
      </w:r>
      <w:r>
        <w:rPr>
          <w:color w:val="231F20"/>
        </w:rPr>
        <w:t>Standard</w:t>
      </w:r>
      <w:r>
        <w:rPr>
          <w:color w:val="231F20"/>
          <w:spacing w:val="22"/>
        </w:rPr>
        <w:t> </w:t>
      </w:r>
      <w:r>
        <w:rPr>
          <w:color w:val="231F20"/>
        </w:rPr>
        <w:t>Models</w:t>
      </w:r>
      <w:r>
        <w:rPr>
          <w:color w:val="231F20"/>
          <w:spacing w:val="22"/>
        </w:rPr>
        <w:t> </w:t>
      </w:r>
      <w:r>
        <w:rPr>
          <w:rFonts w:ascii="Symbol" w:hAnsi="Symbol"/>
          <w:color w:val="231F20"/>
        </w:rPr>
        <w:t></w:t>
      </w:r>
      <w:r>
        <w:rPr>
          <w:rFonts w:ascii="Times New Roman" w:hAnsi="Times New Roman"/>
          <w:color w:val="231F20"/>
          <w:spacing w:val="16"/>
        </w:rPr>
        <w:t> </w:t>
      </w:r>
      <w:r>
        <w:rPr>
          <w:color w:val="231F20"/>
          <w:spacing w:val="-2"/>
        </w:rPr>
        <w:t>$300)</w:t>
      </w:r>
    </w:p>
    <w:p>
      <w:pPr>
        <w:pStyle w:val="BodyText"/>
        <w:spacing w:before="42"/>
        <w:ind w:left="121" w:right="2968"/>
        <w:jc w:val="center"/>
      </w:pPr>
      <w:r>
        <w:rPr>
          <w:rFonts w:ascii="Symbol" w:hAnsi="Symbol"/>
          <w:color w:val="231F20"/>
          <w:w w:val="105"/>
        </w:rPr>
        <w:t></w:t>
      </w:r>
      <w:r>
        <w:rPr>
          <w:rFonts w:ascii="Times New Roman" w:hAnsi="Times New Roman"/>
          <w:color w:val="231F20"/>
          <w:spacing w:val="20"/>
          <w:w w:val="105"/>
        </w:rPr>
        <w:t> </w:t>
      </w:r>
      <w:r>
        <w:rPr>
          <w:color w:val="231F20"/>
          <w:w w:val="105"/>
        </w:rPr>
        <w:t>$33,000</w:t>
      </w:r>
      <w:r>
        <w:rPr>
          <w:color w:val="231F20"/>
          <w:spacing w:val="26"/>
          <w:w w:val="105"/>
        </w:rPr>
        <w:t> </w:t>
      </w:r>
      <w:r>
        <w:rPr>
          <w:color w:val="231F20"/>
          <w:w w:val="105"/>
        </w:rPr>
        <w:t>Max.</w:t>
      </w:r>
      <w:r>
        <w:rPr>
          <w:color w:val="231F20"/>
          <w:spacing w:val="26"/>
          <w:w w:val="105"/>
        </w:rPr>
        <w:t> </w:t>
      </w:r>
      <w:r>
        <w:rPr>
          <w:color w:val="231F20"/>
          <w:spacing w:val="-2"/>
          <w:w w:val="105"/>
        </w:rPr>
        <w:t>Profit</w:t>
      </w:r>
    </w:p>
    <w:p>
      <w:pPr>
        <w:pStyle w:val="BodyText"/>
        <w:spacing w:before="2"/>
        <w:rPr>
          <w:sz w:val="30"/>
        </w:rPr>
      </w:pPr>
    </w:p>
    <w:p>
      <w:pPr>
        <w:pStyle w:val="BodyText"/>
        <w:spacing w:line="292" w:lineRule="auto"/>
        <w:ind w:left="830" w:right="756" w:firstLine="340"/>
        <w:jc w:val="both"/>
      </w:pPr>
      <w:r>
        <w:rPr>
          <w:color w:val="231F20"/>
        </w:rPr>
        <w:t>In most production settings there are many models that a </w:t>
      </w:r>
      <w:r>
        <w:rPr>
          <w:color w:val="231F20"/>
        </w:rPr>
        <w:t>com- pany can choose to produce. There are also many production con- straints. LP can determine the best plan.</w:t>
      </w:r>
    </w:p>
    <w:p>
      <w:pPr>
        <w:pStyle w:val="BodyText"/>
        <w:spacing w:line="292" w:lineRule="auto"/>
        <w:ind w:left="830" w:right="756" w:firstLine="340"/>
        <w:jc w:val="both"/>
      </w:pPr>
      <w:r>
        <w:rPr>
          <w:color w:val="231F20"/>
        </w:rPr>
        <w:t>Linear programming techniques can also be used to solve </w:t>
      </w:r>
      <w:r>
        <w:rPr>
          <w:color w:val="231F20"/>
        </w:rPr>
        <w:t>trans- portation and distribution problems. For example, McDonald’s ven- dors have many warehouses, many franchisees, and a limited truck fleet. The goal is to find the cheapest way to ship the merchandise from a thousand or more possible warehouse/restaurant route com- binations. Linear programming can do the job.</w:t>
      </w:r>
    </w:p>
    <w:p>
      <w:pPr>
        <w:pStyle w:val="BodyText"/>
        <w:rPr>
          <w:sz w:val="24"/>
        </w:rPr>
      </w:pPr>
    </w:p>
    <w:p>
      <w:pPr>
        <w:pStyle w:val="BodyText"/>
        <w:spacing w:before="11"/>
        <w:rPr>
          <w:sz w:val="26"/>
        </w:rPr>
      </w:pPr>
    </w:p>
    <w:p>
      <w:pPr>
        <w:pStyle w:val="Heading6"/>
        <w:ind w:left="299"/>
        <w:rPr>
          <w:i/>
        </w:rPr>
      </w:pPr>
      <w:r>
        <w:rPr>
          <w:i/>
          <w:color w:val="231F20"/>
          <w:spacing w:val="8"/>
          <w:w w:val="115"/>
        </w:rPr>
        <w:t>SCHEDULING</w:t>
      </w:r>
    </w:p>
    <w:p>
      <w:pPr>
        <w:pStyle w:val="BodyText"/>
        <w:spacing w:before="2"/>
        <w:rPr>
          <w:b/>
          <w:i/>
          <w:sz w:val="30"/>
        </w:rPr>
      </w:pPr>
    </w:p>
    <w:p>
      <w:pPr>
        <w:pStyle w:val="BodyText"/>
        <w:spacing w:line="292" w:lineRule="auto"/>
        <w:ind w:left="830" w:right="756"/>
        <w:jc w:val="both"/>
      </w:pPr>
      <w:r>
        <w:rPr>
          <w:i/>
          <w:color w:val="231F20"/>
          <w:w w:val="105"/>
        </w:rPr>
        <w:t>Henry Gantt and Gantt Chart Scheduling. </w:t>
      </w:r>
      <w:r>
        <w:rPr>
          <w:color w:val="231F20"/>
          <w:w w:val="105"/>
        </w:rPr>
        <w:t>In the late 1800s </w:t>
      </w:r>
      <w:r>
        <w:rPr>
          <w:color w:val="231F20"/>
          <w:w w:val="105"/>
        </w:rPr>
        <w:t>Henry Gantt</w:t>
      </w:r>
      <w:r>
        <w:rPr>
          <w:color w:val="231F20"/>
          <w:spacing w:val="-4"/>
          <w:w w:val="105"/>
        </w:rPr>
        <w:t> </w:t>
      </w:r>
      <w:r>
        <w:rPr>
          <w:color w:val="231F20"/>
          <w:w w:val="105"/>
        </w:rPr>
        <w:t>postulated</w:t>
      </w:r>
      <w:r>
        <w:rPr>
          <w:color w:val="231F20"/>
          <w:spacing w:val="-4"/>
          <w:w w:val="105"/>
        </w:rPr>
        <w:t> </w:t>
      </w:r>
      <w:r>
        <w:rPr>
          <w:color w:val="231F20"/>
          <w:w w:val="105"/>
        </w:rPr>
        <w:t>that</w:t>
      </w:r>
      <w:r>
        <w:rPr>
          <w:color w:val="231F20"/>
          <w:spacing w:val="-4"/>
          <w:w w:val="105"/>
        </w:rPr>
        <w:t> </w:t>
      </w:r>
      <w:r>
        <w:rPr>
          <w:color w:val="231F20"/>
          <w:w w:val="105"/>
        </w:rPr>
        <w:t>standards</w:t>
      </w:r>
      <w:r>
        <w:rPr>
          <w:color w:val="231F20"/>
          <w:spacing w:val="-4"/>
          <w:w w:val="105"/>
        </w:rPr>
        <w:t> </w:t>
      </w:r>
      <w:r>
        <w:rPr>
          <w:color w:val="231F20"/>
          <w:w w:val="105"/>
        </w:rPr>
        <w:t>should</w:t>
      </w:r>
      <w:r>
        <w:rPr>
          <w:color w:val="231F20"/>
          <w:spacing w:val="-4"/>
          <w:w w:val="105"/>
        </w:rPr>
        <w:t> </w:t>
      </w:r>
      <w:r>
        <w:rPr>
          <w:color w:val="231F20"/>
          <w:w w:val="105"/>
        </w:rPr>
        <w:t>be</w:t>
      </w:r>
      <w:r>
        <w:rPr>
          <w:color w:val="231F20"/>
          <w:spacing w:val="-4"/>
          <w:w w:val="105"/>
        </w:rPr>
        <w:t> </w:t>
      </w:r>
      <w:r>
        <w:rPr>
          <w:color w:val="231F20"/>
          <w:w w:val="105"/>
        </w:rPr>
        <w:t>set</w:t>
      </w:r>
      <w:r>
        <w:rPr>
          <w:color w:val="231F20"/>
          <w:spacing w:val="-4"/>
          <w:w w:val="105"/>
        </w:rPr>
        <w:t> </w:t>
      </w:r>
      <w:r>
        <w:rPr>
          <w:color w:val="231F20"/>
          <w:w w:val="105"/>
        </w:rPr>
        <w:t>not</w:t>
      </w:r>
      <w:r>
        <w:rPr>
          <w:color w:val="231F20"/>
          <w:spacing w:val="-4"/>
          <w:w w:val="105"/>
        </w:rPr>
        <w:t> </w:t>
      </w:r>
      <w:r>
        <w:rPr>
          <w:color w:val="231F20"/>
          <w:w w:val="105"/>
        </w:rPr>
        <w:t>only</w:t>
      </w:r>
      <w:r>
        <w:rPr>
          <w:color w:val="231F20"/>
          <w:spacing w:val="-4"/>
          <w:w w:val="105"/>
        </w:rPr>
        <w:t> </w:t>
      </w:r>
      <w:r>
        <w:rPr>
          <w:color w:val="231F20"/>
          <w:w w:val="105"/>
        </w:rPr>
        <w:t>for</w:t>
      </w:r>
      <w:r>
        <w:rPr>
          <w:color w:val="231F20"/>
          <w:spacing w:val="-4"/>
          <w:w w:val="105"/>
        </w:rPr>
        <w:t> </w:t>
      </w:r>
      <w:r>
        <w:rPr>
          <w:color w:val="231F20"/>
          <w:w w:val="105"/>
        </w:rPr>
        <w:t>the</w:t>
      </w:r>
      <w:r>
        <w:rPr>
          <w:color w:val="231F20"/>
          <w:spacing w:val="-4"/>
          <w:w w:val="105"/>
        </w:rPr>
        <w:t> </w:t>
      </w:r>
      <w:r>
        <w:rPr>
          <w:color w:val="231F20"/>
          <w:w w:val="105"/>
        </w:rPr>
        <w:t>per- formance</w:t>
      </w:r>
      <w:r>
        <w:rPr>
          <w:color w:val="231F20"/>
          <w:w w:val="105"/>
        </w:rPr>
        <w:t> of</w:t>
      </w:r>
      <w:r>
        <w:rPr>
          <w:color w:val="231F20"/>
          <w:w w:val="105"/>
        </w:rPr>
        <w:t> tasks,</w:t>
      </w:r>
      <w:r>
        <w:rPr>
          <w:color w:val="231F20"/>
          <w:w w:val="105"/>
        </w:rPr>
        <w:t> but</w:t>
      </w:r>
      <w:r>
        <w:rPr>
          <w:color w:val="231F20"/>
          <w:w w:val="105"/>
        </w:rPr>
        <w:t> also</w:t>
      </w:r>
      <w:r>
        <w:rPr>
          <w:color w:val="231F20"/>
          <w:w w:val="105"/>
        </w:rPr>
        <w:t> for</w:t>
      </w:r>
      <w:r>
        <w:rPr>
          <w:color w:val="231F20"/>
          <w:w w:val="105"/>
        </w:rPr>
        <w:t> their</w:t>
      </w:r>
      <w:r>
        <w:rPr>
          <w:color w:val="231F20"/>
          <w:w w:val="105"/>
        </w:rPr>
        <w:t> scheduling</w:t>
      </w:r>
      <w:r>
        <w:rPr>
          <w:color w:val="231F20"/>
          <w:w w:val="105"/>
        </w:rPr>
        <w:t> sequence.</w:t>
      </w:r>
      <w:r>
        <w:rPr>
          <w:color w:val="231F20"/>
          <w:w w:val="105"/>
        </w:rPr>
        <w:t> “Mr. Scheduling”</w:t>
      </w:r>
      <w:r>
        <w:rPr>
          <w:color w:val="231F20"/>
          <w:w w:val="105"/>
        </w:rPr>
        <w:t> felt</w:t>
      </w:r>
      <w:r>
        <w:rPr>
          <w:color w:val="231F20"/>
          <w:w w:val="105"/>
        </w:rPr>
        <w:t> that</w:t>
      </w:r>
      <w:r>
        <w:rPr>
          <w:color w:val="231F20"/>
          <w:w w:val="105"/>
        </w:rPr>
        <w:t> optimal</w:t>
      </w:r>
      <w:r>
        <w:rPr>
          <w:color w:val="231F20"/>
          <w:w w:val="105"/>
        </w:rPr>
        <w:t> timing</w:t>
      </w:r>
      <w:r>
        <w:rPr>
          <w:color w:val="231F20"/>
          <w:w w:val="105"/>
        </w:rPr>
        <w:t> should</w:t>
      </w:r>
      <w:r>
        <w:rPr>
          <w:color w:val="231F20"/>
          <w:w w:val="105"/>
        </w:rPr>
        <w:t> be</w:t>
      </w:r>
      <w:r>
        <w:rPr>
          <w:color w:val="231F20"/>
          <w:w w:val="105"/>
        </w:rPr>
        <w:t> determined</w:t>
      </w:r>
      <w:r>
        <w:rPr>
          <w:color w:val="231F20"/>
          <w:w w:val="105"/>
        </w:rPr>
        <w:t> so</w:t>
      </w:r>
      <w:r>
        <w:rPr>
          <w:color w:val="231F20"/>
          <w:w w:val="105"/>
        </w:rPr>
        <w:t> that </w:t>
      </w:r>
      <w:r>
        <w:rPr>
          <w:color w:val="231F20"/>
          <w:spacing w:val="-2"/>
          <w:w w:val="105"/>
        </w:rPr>
        <w:t>the</w:t>
      </w:r>
      <w:r>
        <w:rPr>
          <w:color w:val="231F20"/>
          <w:spacing w:val="-5"/>
          <w:w w:val="105"/>
        </w:rPr>
        <w:t> </w:t>
      </w:r>
      <w:r>
        <w:rPr>
          <w:color w:val="231F20"/>
          <w:spacing w:val="-2"/>
          <w:w w:val="105"/>
        </w:rPr>
        <w:t>sequence</w:t>
      </w:r>
      <w:r>
        <w:rPr>
          <w:color w:val="231F20"/>
          <w:spacing w:val="-5"/>
          <w:w w:val="105"/>
        </w:rPr>
        <w:t> </w:t>
      </w:r>
      <w:r>
        <w:rPr>
          <w:color w:val="231F20"/>
          <w:spacing w:val="-2"/>
          <w:w w:val="105"/>
        </w:rPr>
        <w:t>of</w:t>
      </w:r>
      <w:r>
        <w:rPr>
          <w:color w:val="231F20"/>
          <w:spacing w:val="-5"/>
          <w:w w:val="105"/>
        </w:rPr>
        <w:t> </w:t>
      </w:r>
      <w:r>
        <w:rPr>
          <w:color w:val="231F20"/>
          <w:spacing w:val="-2"/>
          <w:w w:val="105"/>
        </w:rPr>
        <w:t>production</w:t>
      </w:r>
      <w:r>
        <w:rPr>
          <w:color w:val="231F20"/>
          <w:spacing w:val="-5"/>
          <w:w w:val="105"/>
        </w:rPr>
        <w:t> </w:t>
      </w:r>
      <w:r>
        <w:rPr>
          <w:color w:val="231F20"/>
          <w:spacing w:val="-2"/>
          <w:w w:val="105"/>
        </w:rPr>
        <w:t>tasks</w:t>
      </w:r>
      <w:r>
        <w:rPr>
          <w:color w:val="231F20"/>
          <w:spacing w:val="-5"/>
          <w:w w:val="105"/>
        </w:rPr>
        <w:t> </w:t>
      </w:r>
      <w:r>
        <w:rPr>
          <w:color w:val="231F20"/>
          <w:spacing w:val="-2"/>
          <w:w w:val="105"/>
        </w:rPr>
        <w:t>could</w:t>
      </w:r>
      <w:r>
        <w:rPr>
          <w:color w:val="231F20"/>
          <w:spacing w:val="-5"/>
          <w:w w:val="105"/>
        </w:rPr>
        <w:t> </w:t>
      </w:r>
      <w:r>
        <w:rPr>
          <w:color w:val="231F20"/>
          <w:spacing w:val="-2"/>
          <w:w w:val="105"/>
        </w:rPr>
        <w:t>be</w:t>
      </w:r>
      <w:r>
        <w:rPr>
          <w:color w:val="231F20"/>
          <w:spacing w:val="-5"/>
          <w:w w:val="105"/>
        </w:rPr>
        <w:t> </w:t>
      </w:r>
      <w:r>
        <w:rPr>
          <w:color w:val="231F20"/>
          <w:spacing w:val="-2"/>
          <w:w w:val="105"/>
        </w:rPr>
        <w:t>efficiently</w:t>
      </w:r>
      <w:r>
        <w:rPr>
          <w:color w:val="231F20"/>
          <w:spacing w:val="-5"/>
          <w:w w:val="105"/>
        </w:rPr>
        <w:t> </w:t>
      </w:r>
      <w:r>
        <w:rPr>
          <w:color w:val="231F20"/>
          <w:spacing w:val="-2"/>
          <w:w w:val="105"/>
        </w:rPr>
        <w:t>planned,</w:t>
      </w:r>
      <w:r>
        <w:rPr>
          <w:color w:val="231F20"/>
          <w:spacing w:val="-5"/>
          <w:w w:val="105"/>
        </w:rPr>
        <w:t> </w:t>
      </w:r>
      <w:r>
        <w:rPr>
          <w:color w:val="231F20"/>
          <w:spacing w:val="-2"/>
          <w:w w:val="105"/>
        </w:rPr>
        <w:t>coor- </w:t>
      </w:r>
      <w:r>
        <w:rPr>
          <w:color w:val="231F20"/>
          <w:w w:val="105"/>
        </w:rPr>
        <w:t>dinated,</w:t>
      </w:r>
      <w:r>
        <w:rPr>
          <w:color w:val="231F20"/>
          <w:spacing w:val="-13"/>
          <w:w w:val="105"/>
        </w:rPr>
        <w:t> </w:t>
      </w:r>
      <w:r>
        <w:rPr>
          <w:color w:val="231F20"/>
          <w:w w:val="105"/>
        </w:rPr>
        <w:t>and</w:t>
      </w:r>
      <w:r>
        <w:rPr>
          <w:color w:val="231F20"/>
          <w:spacing w:val="-12"/>
          <w:w w:val="105"/>
        </w:rPr>
        <w:t> </w:t>
      </w:r>
      <w:r>
        <w:rPr>
          <w:color w:val="231F20"/>
          <w:w w:val="105"/>
        </w:rPr>
        <w:t>performed.</w:t>
      </w:r>
      <w:r>
        <w:rPr>
          <w:color w:val="231F20"/>
          <w:spacing w:val="-12"/>
          <w:w w:val="105"/>
        </w:rPr>
        <w:t> </w:t>
      </w:r>
      <w:r>
        <w:rPr>
          <w:color w:val="231F20"/>
          <w:w w:val="105"/>
        </w:rPr>
        <w:t>If</w:t>
      </w:r>
      <w:r>
        <w:rPr>
          <w:color w:val="231F20"/>
          <w:spacing w:val="-12"/>
          <w:w w:val="105"/>
        </w:rPr>
        <w:t> </w:t>
      </w:r>
      <w:r>
        <w:rPr>
          <w:color w:val="231F20"/>
          <w:w w:val="105"/>
        </w:rPr>
        <w:t>scheduling</w:t>
      </w:r>
      <w:r>
        <w:rPr>
          <w:color w:val="231F20"/>
          <w:spacing w:val="-12"/>
          <w:w w:val="105"/>
        </w:rPr>
        <w:t> </w:t>
      </w:r>
      <w:r>
        <w:rPr>
          <w:color w:val="231F20"/>
          <w:w w:val="105"/>
        </w:rPr>
        <w:t>ran</w:t>
      </w:r>
      <w:r>
        <w:rPr>
          <w:color w:val="231F20"/>
          <w:spacing w:val="-12"/>
          <w:w w:val="105"/>
        </w:rPr>
        <w:t> </w:t>
      </w:r>
      <w:r>
        <w:rPr>
          <w:color w:val="231F20"/>
          <w:w w:val="105"/>
        </w:rPr>
        <w:t>amok,</w:t>
      </w:r>
      <w:r>
        <w:rPr>
          <w:color w:val="231F20"/>
          <w:spacing w:val="-12"/>
          <w:w w:val="105"/>
        </w:rPr>
        <w:t> </w:t>
      </w:r>
      <w:r>
        <w:rPr>
          <w:color w:val="231F20"/>
          <w:w w:val="105"/>
        </w:rPr>
        <w:t>bottlenecks</w:t>
      </w:r>
      <w:r>
        <w:rPr>
          <w:color w:val="231F20"/>
          <w:spacing w:val="-13"/>
          <w:w w:val="105"/>
        </w:rPr>
        <w:t> </w:t>
      </w:r>
      <w:r>
        <w:rPr>
          <w:color w:val="231F20"/>
          <w:w w:val="105"/>
        </w:rPr>
        <w:t>would occur and inefficiency would poison the system.</w:t>
      </w:r>
    </w:p>
    <w:p>
      <w:pPr>
        <w:pStyle w:val="BodyText"/>
        <w:spacing w:line="292" w:lineRule="auto"/>
        <w:ind w:left="829" w:right="756" w:firstLine="340"/>
        <w:jc w:val="both"/>
      </w:pPr>
      <w:r>
        <w:rPr>
          <w:color w:val="231F20"/>
        </w:rPr>
        <w:t>The </w:t>
      </w:r>
      <w:r>
        <w:rPr>
          <w:i/>
          <w:color w:val="231F20"/>
        </w:rPr>
        <w:t>Gantt chart, </w:t>
      </w:r>
      <w:r>
        <w:rPr>
          <w:color w:val="231F20"/>
        </w:rPr>
        <w:t>Henry Gantt’s contribution to efficiency, is a</w:t>
      </w:r>
      <w:r>
        <w:rPr>
          <w:color w:val="231F20"/>
          <w:spacing w:val="80"/>
          <w:w w:val="150"/>
        </w:rPr>
        <w:t> </w:t>
      </w:r>
      <w:r>
        <w:rPr>
          <w:color w:val="231F20"/>
        </w:rPr>
        <w:t>grid in which tasks required in a production cycle are listed along</w:t>
      </w:r>
      <w:r>
        <w:rPr>
          <w:color w:val="231F20"/>
          <w:spacing w:val="40"/>
        </w:rPr>
        <w:t> </w:t>
      </w:r>
      <w:r>
        <w:rPr>
          <w:color w:val="231F20"/>
        </w:rPr>
        <w:t>one axis and their time sequence along the other. With a Gantt </w:t>
      </w:r>
      <w:r>
        <w:rPr>
          <w:color w:val="231F20"/>
        </w:rPr>
        <w:t>chart the</w:t>
      </w:r>
      <w:r>
        <w:rPr>
          <w:color w:val="231F20"/>
          <w:spacing w:val="37"/>
        </w:rPr>
        <w:t> </w:t>
      </w:r>
      <w:r>
        <w:rPr>
          <w:color w:val="231F20"/>
        </w:rPr>
        <w:t>entire</w:t>
      </w:r>
      <w:r>
        <w:rPr>
          <w:color w:val="231F20"/>
          <w:spacing w:val="37"/>
        </w:rPr>
        <w:t> </w:t>
      </w:r>
      <w:r>
        <w:rPr>
          <w:color w:val="231F20"/>
        </w:rPr>
        <w:t>production</w:t>
      </w:r>
      <w:r>
        <w:rPr>
          <w:color w:val="231F20"/>
          <w:spacing w:val="37"/>
        </w:rPr>
        <w:t> </w:t>
      </w:r>
      <w:r>
        <w:rPr>
          <w:color w:val="231F20"/>
        </w:rPr>
        <w:t>process</w:t>
      </w:r>
      <w:r>
        <w:rPr>
          <w:color w:val="231F20"/>
          <w:spacing w:val="37"/>
        </w:rPr>
        <w:t> </w:t>
      </w:r>
      <w:r>
        <w:rPr>
          <w:color w:val="231F20"/>
        </w:rPr>
        <w:t>can</w:t>
      </w:r>
      <w:r>
        <w:rPr>
          <w:color w:val="231F20"/>
          <w:spacing w:val="37"/>
        </w:rPr>
        <w:t> </w:t>
      </w:r>
      <w:r>
        <w:rPr>
          <w:color w:val="231F20"/>
        </w:rPr>
        <w:t>be</w:t>
      </w:r>
      <w:r>
        <w:rPr>
          <w:color w:val="231F20"/>
          <w:spacing w:val="37"/>
        </w:rPr>
        <w:t> </w:t>
      </w:r>
      <w:r>
        <w:rPr>
          <w:color w:val="231F20"/>
        </w:rPr>
        <w:t>scheduled,</w:t>
      </w:r>
      <w:r>
        <w:rPr>
          <w:color w:val="231F20"/>
          <w:spacing w:val="37"/>
        </w:rPr>
        <w:t> </w:t>
      </w:r>
      <w:r>
        <w:rPr>
          <w:color w:val="231F20"/>
        </w:rPr>
        <w:t>and</w:t>
      </w:r>
      <w:r>
        <w:rPr>
          <w:color w:val="231F20"/>
          <w:spacing w:val="37"/>
        </w:rPr>
        <w:t> </w:t>
      </w:r>
      <w:r>
        <w:rPr>
          <w:color w:val="231F20"/>
        </w:rPr>
        <w:t>critical</w:t>
      </w:r>
      <w:r>
        <w:rPr>
          <w:color w:val="231F20"/>
          <w:spacing w:val="37"/>
        </w:rPr>
        <w:t> </w:t>
      </w:r>
      <w:r>
        <w:rPr>
          <w:color w:val="231F20"/>
        </w:rPr>
        <w:t>tasks or</w:t>
      </w:r>
      <w:r>
        <w:rPr>
          <w:color w:val="231F20"/>
          <w:spacing w:val="16"/>
        </w:rPr>
        <w:t> </w:t>
      </w:r>
      <w:r>
        <w:rPr>
          <w:color w:val="231F20"/>
        </w:rPr>
        <w:t>bottlenecks</w:t>
      </w:r>
      <w:r>
        <w:rPr>
          <w:color w:val="231F20"/>
          <w:spacing w:val="16"/>
        </w:rPr>
        <w:t> </w:t>
      </w:r>
      <w:r>
        <w:rPr>
          <w:color w:val="231F20"/>
        </w:rPr>
        <w:t>can</w:t>
      </w:r>
      <w:r>
        <w:rPr>
          <w:color w:val="231F20"/>
          <w:spacing w:val="16"/>
        </w:rPr>
        <w:t> </w:t>
      </w:r>
      <w:r>
        <w:rPr>
          <w:color w:val="231F20"/>
        </w:rPr>
        <w:t>readily</w:t>
      </w:r>
      <w:r>
        <w:rPr>
          <w:color w:val="231F20"/>
          <w:spacing w:val="16"/>
        </w:rPr>
        <w:t> </w:t>
      </w:r>
      <w:r>
        <w:rPr>
          <w:color w:val="231F20"/>
        </w:rPr>
        <w:t>be</w:t>
      </w:r>
      <w:r>
        <w:rPr>
          <w:color w:val="231F20"/>
          <w:spacing w:val="16"/>
        </w:rPr>
        <w:t> </w:t>
      </w:r>
      <w:r>
        <w:rPr>
          <w:color w:val="231F20"/>
        </w:rPr>
        <w:t>identified.</w:t>
      </w:r>
      <w:r>
        <w:rPr>
          <w:color w:val="231F20"/>
          <w:spacing w:val="16"/>
        </w:rPr>
        <w:t> </w:t>
      </w:r>
      <w:r>
        <w:rPr>
          <w:color w:val="231F20"/>
        </w:rPr>
        <w:t>Gantt</w:t>
      </w:r>
      <w:r>
        <w:rPr>
          <w:color w:val="231F20"/>
          <w:spacing w:val="16"/>
        </w:rPr>
        <w:t> </w:t>
      </w:r>
      <w:r>
        <w:rPr>
          <w:color w:val="231F20"/>
        </w:rPr>
        <w:t>charts</w:t>
      </w:r>
      <w:r>
        <w:rPr>
          <w:color w:val="231F20"/>
          <w:spacing w:val="16"/>
        </w:rPr>
        <w:t> </w:t>
      </w:r>
      <w:r>
        <w:rPr>
          <w:color w:val="231F20"/>
        </w:rPr>
        <w:t>can</w:t>
      </w:r>
      <w:r>
        <w:rPr>
          <w:color w:val="231F20"/>
          <w:spacing w:val="16"/>
        </w:rPr>
        <w:t> </w:t>
      </w:r>
      <w:r>
        <w:rPr>
          <w:color w:val="231F20"/>
        </w:rPr>
        <w:t>be</w:t>
      </w:r>
      <w:r>
        <w:rPr>
          <w:color w:val="231F20"/>
          <w:spacing w:val="16"/>
        </w:rPr>
        <w:t> </w:t>
      </w:r>
      <w:r>
        <w:rPr>
          <w:color w:val="231F20"/>
        </w:rPr>
        <w:t>used</w:t>
      </w:r>
      <w:r>
        <w:rPr>
          <w:color w:val="231F20"/>
          <w:spacing w:val="16"/>
        </w:rPr>
        <w:t> </w:t>
      </w:r>
      <w:r>
        <w:rPr>
          <w:color w:val="231F20"/>
        </w:rPr>
        <w:t>in a variety of settings; they are not restricted to a factory. In fact, a project such as buying a house can be depicted in a Gantt chart.</w:t>
      </w:r>
    </w:p>
    <w:p>
      <w:pPr>
        <w:pStyle w:val="BodyText"/>
        <w:spacing w:before="2"/>
        <w:rPr>
          <w:sz w:val="25"/>
        </w:rPr>
      </w:pPr>
    </w:p>
    <w:p>
      <w:pPr>
        <w:spacing w:line="292" w:lineRule="auto" w:before="0"/>
        <w:ind w:left="829" w:right="756" w:firstLine="0"/>
        <w:jc w:val="both"/>
        <w:rPr>
          <w:sz w:val="21"/>
        </w:rPr>
      </w:pPr>
      <w:r>
        <w:rPr>
          <w:i/>
          <w:color w:val="231F20"/>
          <w:sz w:val="21"/>
        </w:rPr>
        <w:t>Critical Path Method of Scheduling (CPM). </w:t>
      </w:r>
      <w:r>
        <w:rPr>
          <w:color w:val="231F20"/>
          <w:sz w:val="21"/>
        </w:rPr>
        <w:t>The 1950s brought us </w:t>
      </w:r>
      <w:r>
        <w:rPr>
          <w:color w:val="231F20"/>
          <w:sz w:val="21"/>
        </w:rPr>
        <w:t>a more sophisticated way of determining optimal scheduling: the </w:t>
      </w:r>
      <w:r>
        <w:rPr>
          <w:i/>
          <w:color w:val="231F20"/>
          <w:sz w:val="21"/>
        </w:rPr>
        <w:t>criti-</w:t>
      </w:r>
      <w:r>
        <w:rPr>
          <w:i/>
          <w:color w:val="231F20"/>
          <w:sz w:val="21"/>
        </w:rPr>
        <w:t> cal path method </w:t>
      </w:r>
      <w:r>
        <w:rPr>
          <w:color w:val="231F20"/>
          <w:sz w:val="21"/>
        </w:rPr>
        <w:t>(CPM). CPM is used for complicated production projects that require the coordination of many tasks. An even more complex</w:t>
      </w:r>
      <w:r>
        <w:rPr>
          <w:color w:val="231F20"/>
          <w:spacing w:val="37"/>
          <w:sz w:val="21"/>
        </w:rPr>
        <w:t> </w:t>
      </w:r>
      <w:r>
        <w:rPr>
          <w:color w:val="231F20"/>
          <w:sz w:val="21"/>
        </w:rPr>
        <w:t>form</w:t>
      </w:r>
      <w:r>
        <w:rPr>
          <w:color w:val="231F20"/>
          <w:spacing w:val="37"/>
          <w:sz w:val="21"/>
        </w:rPr>
        <w:t> </w:t>
      </w:r>
      <w:r>
        <w:rPr>
          <w:color w:val="231F20"/>
          <w:sz w:val="21"/>
        </w:rPr>
        <w:t>of</w:t>
      </w:r>
      <w:r>
        <w:rPr>
          <w:color w:val="231F20"/>
          <w:spacing w:val="37"/>
          <w:sz w:val="21"/>
        </w:rPr>
        <w:t> </w:t>
      </w:r>
      <w:r>
        <w:rPr>
          <w:color w:val="231F20"/>
          <w:sz w:val="21"/>
        </w:rPr>
        <w:t>CPM</w:t>
      </w:r>
      <w:r>
        <w:rPr>
          <w:color w:val="231F20"/>
          <w:spacing w:val="38"/>
          <w:sz w:val="21"/>
        </w:rPr>
        <w:t> </w:t>
      </w:r>
      <w:r>
        <w:rPr>
          <w:color w:val="231F20"/>
          <w:sz w:val="21"/>
        </w:rPr>
        <w:t>exists</w:t>
      </w:r>
      <w:r>
        <w:rPr>
          <w:color w:val="231F20"/>
          <w:spacing w:val="37"/>
          <w:sz w:val="21"/>
        </w:rPr>
        <w:t> </w:t>
      </w:r>
      <w:r>
        <w:rPr>
          <w:color w:val="231F20"/>
          <w:sz w:val="21"/>
        </w:rPr>
        <w:t>called</w:t>
      </w:r>
      <w:r>
        <w:rPr>
          <w:color w:val="231F20"/>
          <w:spacing w:val="35"/>
          <w:sz w:val="21"/>
        </w:rPr>
        <w:t> </w:t>
      </w:r>
      <w:r>
        <w:rPr>
          <w:i/>
          <w:color w:val="231F20"/>
          <w:sz w:val="21"/>
        </w:rPr>
        <w:t>PERT,</w:t>
      </w:r>
      <w:r>
        <w:rPr>
          <w:i/>
          <w:color w:val="231F20"/>
          <w:spacing w:val="37"/>
          <w:sz w:val="21"/>
        </w:rPr>
        <w:t> </w:t>
      </w:r>
      <w:r>
        <w:rPr>
          <w:color w:val="231F20"/>
          <w:sz w:val="21"/>
        </w:rPr>
        <w:t>Program</w:t>
      </w:r>
      <w:r>
        <w:rPr>
          <w:color w:val="231F20"/>
          <w:spacing w:val="37"/>
          <w:sz w:val="21"/>
        </w:rPr>
        <w:t> </w:t>
      </w:r>
      <w:r>
        <w:rPr>
          <w:color w:val="231F20"/>
          <w:sz w:val="21"/>
        </w:rPr>
        <w:t>Evaluation</w:t>
      </w:r>
      <w:r>
        <w:rPr>
          <w:color w:val="231F20"/>
          <w:spacing w:val="38"/>
          <w:sz w:val="21"/>
        </w:rPr>
        <w:t> </w:t>
      </w:r>
      <w:r>
        <w:rPr>
          <w:color w:val="231F20"/>
          <w:spacing w:val="-5"/>
          <w:sz w:val="21"/>
        </w:rPr>
        <w:t>and</w:t>
      </w:r>
    </w:p>
    <w:p>
      <w:pPr>
        <w:spacing w:after="0" w:line="292" w:lineRule="auto"/>
        <w:jc w:val="both"/>
        <w:rPr>
          <w:sz w:val="21"/>
        </w:rPr>
        <w:sectPr>
          <w:pgSz w:w="8640" w:h="12960"/>
          <w:pgMar w:header="732" w:footer="0" w:top="920" w:bottom="280" w:left="340" w:right="500"/>
        </w:sectPr>
      </w:pPr>
    </w:p>
    <w:p>
      <w:pPr>
        <w:pStyle w:val="BodyText"/>
        <w:spacing w:before="8"/>
        <w:rPr>
          <w:sz w:val="19"/>
        </w:rPr>
      </w:pPr>
    </w:p>
    <w:p>
      <w:pPr>
        <w:spacing w:before="96"/>
        <w:ind w:left="472" w:right="219" w:firstLine="0"/>
        <w:jc w:val="center"/>
        <w:rPr>
          <w:rFonts w:ascii="Arial"/>
          <w:sz w:val="14"/>
        </w:rPr>
      </w:pPr>
      <w:r>
        <w:rPr>
          <w:rFonts w:ascii="Arial"/>
          <w:color w:val="231F20"/>
          <w:w w:val="105"/>
          <w:sz w:val="14"/>
        </w:rPr>
        <w:t>GANNT</w:t>
      </w:r>
      <w:r>
        <w:rPr>
          <w:rFonts w:ascii="Arial"/>
          <w:color w:val="231F20"/>
          <w:spacing w:val="26"/>
          <w:w w:val="105"/>
          <w:sz w:val="14"/>
        </w:rPr>
        <w:t> </w:t>
      </w:r>
      <w:r>
        <w:rPr>
          <w:rFonts w:ascii="Arial"/>
          <w:color w:val="231F20"/>
          <w:w w:val="105"/>
          <w:sz w:val="14"/>
        </w:rPr>
        <w:t>CHART</w:t>
      </w:r>
      <w:r>
        <w:rPr>
          <w:rFonts w:ascii="Arial"/>
          <w:color w:val="231F20"/>
          <w:spacing w:val="27"/>
          <w:w w:val="105"/>
          <w:sz w:val="14"/>
        </w:rPr>
        <w:t> </w:t>
      </w:r>
      <w:r>
        <w:rPr>
          <w:rFonts w:ascii="Arial"/>
          <w:color w:val="231F20"/>
          <w:w w:val="105"/>
          <w:sz w:val="14"/>
        </w:rPr>
        <w:t>FOR</w:t>
      </w:r>
      <w:r>
        <w:rPr>
          <w:rFonts w:ascii="Arial"/>
          <w:color w:val="231F20"/>
          <w:spacing w:val="27"/>
          <w:w w:val="105"/>
          <w:sz w:val="14"/>
        </w:rPr>
        <w:t> </w:t>
      </w:r>
      <w:r>
        <w:rPr>
          <w:rFonts w:ascii="Arial"/>
          <w:color w:val="231F20"/>
          <w:w w:val="105"/>
          <w:sz w:val="14"/>
        </w:rPr>
        <w:t>BUYING</w:t>
      </w:r>
      <w:r>
        <w:rPr>
          <w:rFonts w:ascii="Arial"/>
          <w:color w:val="231F20"/>
          <w:spacing w:val="26"/>
          <w:w w:val="105"/>
          <w:sz w:val="14"/>
        </w:rPr>
        <w:t> </w:t>
      </w:r>
      <w:r>
        <w:rPr>
          <w:rFonts w:ascii="Arial"/>
          <w:color w:val="231F20"/>
          <w:w w:val="105"/>
          <w:sz w:val="14"/>
        </w:rPr>
        <w:t>A</w:t>
      </w:r>
      <w:r>
        <w:rPr>
          <w:rFonts w:ascii="Arial"/>
          <w:color w:val="231F20"/>
          <w:spacing w:val="27"/>
          <w:w w:val="105"/>
          <w:sz w:val="14"/>
        </w:rPr>
        <w:t> </w:t>
      </w:r>
      <w:r>
        <w:rPr>
          <w:rFonts w:ascii="Arial"/>
          <w:color w:val="231F20"/>
          <w:spacing w:val="-2"/>
          <w:w w:val="105"/>
          <w:sz w:val="14"/>
        </w:rPr>
        <w:t>HOUSE</w:t>
      </w:r>
    </w:p>
    <w:p>
      <w:pPr>
        <w:pStyle w:val="BodyText"/>
        <w:spacing w:before="2"/>
        <w:rPr>
          <w:rFonts w:ascii="Arial"/>
          <w:sz w:val="8"/>
        </w:rPr>
      </w:pPr>
      <w:r>
        <w:rPr/>
        <w:drawing>
          <wp:anchor distT="0" distB="0" distL="0" distR="0" allowOverlap="1" layoutInCell="1" locked="0" behindDoc="0" simplePos="0" relativeHeight="328">
            <wp:simplePos x="0" y="0"/>
            <wp:positionH relativeFrom="page">
              <wp:posOffset>814827</wp:posOffset>
            </wp:positionH>
            <wp:positionV relativeFrom="paragraph">
              <wp:posOffset>75058</wp:posOffset>
            </wp:positionV>
            <wp:extent cx="3939866" cy="2389631"/>
            <wp:effectExtent l="0" t="0" r="0" b="0"/>
            <wp:wrapTopAndBottom/>
            <wp:docPr id="111" name="image65.png"/>
            <wp:cNvGraphicFramePr>
              <a:graphicFrameLocks noChangeAspect="1"/>
            </wp:cNvGraphicFramePr>
            <a:graphic>
              <a:graphicData uri="http://schemas.openxmlformats.org/drawingml/2006/picture">
                <pic:pic>
                  <pic:nvPicPr>
                    <pic:cNvPr id="112" name="image65.png"/>
                    <pic:cNvPicPr/>
                  </pic:nvPicPr>
                  <pic:blipFill>
                    <a:blip r:embed="rId100" cstate="print"/>
                    <a:stretch>
                      <a:fillRect/>
                    </a:stretch>
                  </pic:blipFill>
                  <pic:spPr>
                    <a:xfrm>
                      <a:off x="0" y="0"/>
                      <a:ext cx="3939866" cy="2389631"/>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line="292" w:lineRule="auto" w:before="96"/>
        <w:ind w:left="920" w:right="666"/>
        <w:jc w:val="both"/>
      </w:pPr>
      <w:r>
        <w:rPr>
          <w:color w:val="231F20"/>
          <w:w w:val="105"/>
        </w:rPr>
        <w:t>Review</w:t>
      </w:r>
      <w:r>
        <w:rPr>
          <w:color w:val="231F20"/>
          <w:spacing w:val="-13"/>
          <w:w w:val="105"/>
        </w:rPr>
        <w:t> </w:t>
      </w:r>
      <w:r>
        <w:rPr>
          <w:color w:val="231F20"/>
          <w:w w:val="105"/>
        </w:rPr>
        <w:t>Technique.</w:t>
      </w:r>
      <w:r>
        <w:rPr>
          <w:color w:val="231F20"/>
          <w:spacing w:val="-12"/>
          <w:w w:val="105"/>
        </w:rPr>
        <w:t> </w:t>
      </w:r>
      <w:r>
        <w:rPr>
          <w:color w:val="231F20"/>
          <w:w w:val="105"/>
        </w:rPr>
        <w:t>However,</w:t>
      </w:r>
      <w:r>
        <w:rPr>
          <w:color w:val="231F20"/>
          <w:spacing w:val="-12"/>
          <w:w w:val="105"/>
        </w:rPr>
        <w:t> </w:t>
      </w:r>
      <w:r>
        <w:rPr>
          <w:color w:val="231F20"/>
          <w:w w:val="105"/>
        </w:rPr>
        <w:t>today</w:t>
      </w:r>
      <w:r>
        <w:rPr>
          <w:color w:val="231F20"/>
          <w:spacing w:val="-12"/>
          <w:w w:val="105"/>
        </w:rPr>
        <w:t> </w:t>
      </w:r>
      <w:r>
        <w:rPr>
          <w:color w:val="231F20"/>
          <w:w w:val="105"/>
        </w:rPr>
        <w:t>most</w:t>
      </w:r>
      <w:r>
        <w:rPr>
          <w:color w:val="231F20"/>
          <w:spacing w:val="-12"/>
          <w:w w:val="105"/>
        </w:rPr>
        <w:t> </w:t>
      </w:r>
      <w:r>
        <w:rPr>
          <w:color w:val="231F20"/>
          <w:w w:val="105"/>
        </w:rPr>
        <w:t>businesspeople</w:t>
      </w:r>
      <w:r>
        <w:rPr>
          <w:color w:val="231F20"/>
          <w:spacing w:val="-12"/>
          <w:w w:val="105"/>
        </w:rPr>
        <w:t> </w:t>
      </w:r>
      <w:r>
        <w:rPr>
          <w:color w:val="231F20"/>
          <w:w w:val="105"/>
        </w:rPr>
        <w:t>use</w:t>
      </w:r>
      <w:r>
        <w:rPr>
          <w:color w:val="231F20"/>
          <w:spacing w:val="-12"/>
          <w:w w:val="105"/>
        </w:rPr>
        <w:t> </w:t>
      </w:r>
      <w:r>
        <w:rPr>
          <w:color w:val="231F20"/>
          <w:w w:val="105"/>
        </w:rPr>
        <w:t>PERT and CPM interchangeably.</w:t>
      </w:r>
    </w:p>
    <w:p>
      <w:pPr>
        <w:pStyle w:val="BodyText"/>
        <w:spacing w:line="292" w:lineRule="auto"/>
        <w:ind w:left="919" w:right="664" w:firstLine="340"/>
        <w:jc w:val="both"/>
      </w:pPr>
      <w:r>
        <w:rPr>
          <w:color w:val="231F20"/>
        </w:rPr>
        <w:t>Using</w:t>
      </w:r>
      <w:r>
        <w:rPr>
          <w:color w:val="231F20"/>
          <w:spacing w:val="36"/>
        </w:rPr>
        <w:t> </w:t>
      </w:r>
      <w:r>
        <w:rPr>
          <w:color w:val="231F20"/>
        </w:rPr>
        <w:t>CPM,</w:t>
      </w:r>
      <w:r>
        <w:rPr>
          <w:color w:val="231F20"/>
          <w:spacing w:val="36"/>
        </w:rPr>
        <w:t> </w:t>
      </w:r>
      <w:r>
        <w:rPr>
          <w:color w:val="231F20"/>
        </w:rPr>
        <w:t>production</w:t>
      </w:r>
      <w:r>
        <w:rPr>
          <w:color w:val="231F20"/>
          <w:spacing w:val="36"/>
        </w:rPr>
        <w:t> </w:t>
      </w:r>
      <w:r>
        <w:rPr>
          <w:color w:val="231F20"/>
        </w:rPr>
        <w:t>managers</w:t>
      </w:r>
      <w:r>
        <w:rPr>
          <w:color w:val="231F20"/>
          <w:spacing w:val="36"/>
        </w:rPr>
        <w:t> </w:t>
      </w:r>
      <w:r>
        <w:rPr>
          <w:color w:val="231F20"/>
        </w:rPr>
        <w:t>arrange</w:t>
      </w:r>
      <w:r>
        <w:rPr>
          <w:color w:val="231F20"/>
          <w:spacing w:val="36"/>
        </w:rPr>
        <w:t> </w:t>
      </w:r>
      <w:r>
        <w:rPr>
          <w:color w:val="231F20"/>
        </w:rPr>
        <w:t>each</w:t>
      </w:r>
      <w:r>
        <w:rPr>
          <w:color w:val="231F20"/>
          <w:spacing w:val="36"/>
        </w:rPr>
        <w:t> </w:t>
      </w:r>
      <w:r>
        <w:rPr>
          <w:color w:val="231F20"/>
        </w:rPr>
        <w:t>task</w:t>
      </w:r>
      <w:r>
        <w:rPr>
          <w:color w:val="231F20"/>
          <w:spacing w:val="36"/>
        </w:rPr>
        <w:t> </w:t>
      </w:r>
      <w:r>
        <w:rPr>
          <w:color w:val="231F20"/>
        </w:rPr>
        <w:t>or</w:t>
      </w:r>
      <w:r>
        <w:rPr>
          <w:color w:val="231F20"/>
          <w:spacing w:val="35"/>
        </w:rPr>
        <w:t> </w:t>
      </w:r>
      <w:r>
        <w:rPr>
          <w:i/>
          <w:color w:val="231F20"/>
        </w:rPr>
        <w:t>activity</w:t>
      </w:r>
      <w:r>
        <w:rPr>
          <w:i/>
          <w:color w:val="231F20"/>
        </w:rPr>
        <w:t> </w:t>
      </w:r>
      <w:r>
        <w:rPr>
          <w:color w:val="231F20"/>
        </w:rPr>
        <w:t>in sequential order and estimate the time needed to complete </w:t>
      </w:r>
      <w:r>
        <w:rPr>
          <w:color w:val="231F20"/>
        </w:rPr>
        <w:t>each one. Each time a task begins or is completed it is called an </w:t>
      </w:r>
      <w:r>
        <w:rPr>
          <w:i/>
          <w:color w:val="231F20"/>
        </w:rPr>
        <w:t>event. </w:t>
      </w:r>
      <w:r>
        <w:rPr>
          <w:color w:val="231F20"/>
        </w:rPr>
        <w:t>The CPM chart displays graphically all the events of a project. This en- ables a production engineer to estimate and manage the time to complete the job. Because all tasks are shown, the </w:t>
      </w:r>
      <w:r>
        <w:rPr>
          <w:i/>
          <w:color w:val="231F20"/>
        </w:rPr>
        <w:t>critical </w:t>
      </w:r>
      <w:r>
        <w:rPr>
          <w:color w:val="231F20"/>
        </w:rPr>
        <w:t>activities can be identified. The tasks that could potentially hold up a project are considered critical. The chart organizes and highlights the criti- cal tasks, and it forecasts the time necessary to complete the entire </w:t>
      </w:r>
      <w:r>
        <w:rPr>
          <w:color w:val="231F20"/>
          <w:spacing w:val="-2"/>
        </w:rPr>
        <w:t>project.</w:t>
      </w:r>
    </w:p>
    <w:p>
      <w:pPr>
        <w:pStyle w:val="BodyText"/>
        <w:spacing w:line="292" w:lineRule="auto"/>
        <w:ind w:left="919" w:right="666" w:firstLine="340"/>
        <w:jc w:val="both"/>
      </w:pPr>
      <w:r>
        <w:rPr>
          <w:color w:val="231F20"/>
        </w:rPr>
        <w:t>To illustrate, Kip Mustang, production engineer at General </w:t>
      </w:r>
      <w:r>
        <w:rPr>
          <w:color w:val="231F20"/>
        </w:rPr>
        <w:t>Dy- namics, would like to produce a new switch for a fighter plane. The switch in question that pilots reported as sticking during Operation Desert Storm in 1991 controls the ejection seat. Kip determined the five main activities involved in the project:</w:t>
      </w:r>
    </w:p>
    <w:p>
      <w:pPr>
        <w:pStyle w:val="BodyText"/>
        <w:spacing w:before="10"/>
        <w:rPr>
          <w:sz w:val="26"/>
        </w:rPr>
      </w:pPr>
    </w:p>
    <w:p>
      <w:pPr>
        <w:spacing w:line="292" w:lineRule="auto" w:before="0"/>
        <w:ind w:left="1610" w:right="0" w:hanging="259"/>
        <w:jc w:val="left"/>
        <w:rPr>
          <w:rFonts w:ascii="Arial" w:hAnsi="Arial"/>
          <w:sz w:val="19"/>
        </w:rPr>
      </w:pPr>
      <w:r>
        <w:rPr>
          <w:rFonts w:ascii="Arial" w:hAnsi="Arial"/>
          <w:color w:val="231F20"/>
          <w:w w:val="115"/>
          <w:sz w:val="19"/>
        </w:rPr>
        <w:t>A:</w:t>
      </w:r>
      <w:r>
        <w:rPr>
          <w:rFonts w:ascii="Arial" w:hAnsi="Arial"/>
          <w:color w:val="231F20"/>
          <w:spacing w:val="-14"/>
          <w:w w:val="115"/>
          <w:sz w:val="19"/>
        </w:rPr>
        <w:t> </w:t>
      </w:r>
      <w:r>
        <w:rPr>
          <w:rFonts w:ascii="Arial" w:hAnsi="Arial"/>
          <w:color w:val="231F20"/>
          <w:w w:val="115"/>
          <w:sz w:val="19"/>
        </w:rPr>
        <w:t>Design</w:t>
      </w:r>
      <w:r>
        <w:rPr>
          <w:rFonts w:ascii="Arial" w:hAnsi="Arial"/>
          <w:color w:val="231F20"/>
          <w:spacing w:val="-6"/>
          <w:w w:val="115"/>
          <w:sz w:val="19"/>
        </w:rPr>
        <w:t> </w:t>
      </w:r>
      <w:r>
        <w:rPr>
          <w:rFonts w:ascii="Arial" w:hAnsi="Arial"/>
          <w:color w:val="231F20"/>
          <w:w w:val="115"/>
          <w:sz w:val="19"/>
        </w:rPr>
        <w:t>production</w:t>
      </w:r>
      <w:r>
        <w:rPr>
          <w:rFonts w:ascii="Arial" w:hAnsi="Arial"/>
          <w:color w:val="231F20"/>
          <w:spacing w:val="-6"/>
          <w:w w:val="115"/>
          <w:sz w:val="19"/>
        </w:rPr>
        <w:t> </w:t>
      </w:r>
      <w:r>
        <w:rPr>
          <w:rFonts w:ascii="Arial" w:hAnsi="Arial"/>
          <w:color w:val="231F20"/>
          <w:w w:val="115"/>
          <w:sz w:val="19"/>
        </w:rPr>
        <w:t>machinery</w:t>
      </w:r>
      <w:r>
        <w:rPr>
          <w:rFonts w:ascii="Arial" w:hAnsi="Arial"/>
          <w:color w:val="231F20"/>
          <w:spacing w:val="-6"/>
          <w:w w:val="115"/>
          <w:sz w:val="19"/>
        </w:rPr>
        <w:t> </w:t>
      </w:r>
      <w:r>
        <w:rPr>
          <w:rFonts w:ascii="Arial" w:hAnsi="Arial"/>
          <w:color w:val="231F20"/>
          <w:w w:val="115"/>
          <w:sz w:val="19"/>
        </w:rPr>
        <w:t>and</w:t>
      </w:r>
      <w:r>
        <w:rPr>
          <w:rFonts w:ascii="Arial" w:hAnsi="Arial"/>
          <w:color w:val="231F20"/>
          <w:spacing w:val="-6"/>
          <w:w w:val="115"/>
          <w:sz w:val="19"/>
        </w:rPr>
        <w:t> </w:t>
      </w:r>
      <w:r>
        <w:rPr>
          <w:rFonts w:ascii="Arial" w:hAnsi="Arial"/>
          <w:color w:val="231F20"/>
          <w:w w:val="115"/>
          <w:sz w:val="19"/>
        </w:rPr>
        <w:t>prepare</w:t>
      </w:r>
      <w:r>
        <w:rPr>
          <w:rFonts w:ascii="Arial" w:hAnsi="Arial"/>
          <w:color w:val="231F20"/>
          <w:spacing w:val="-6"/>
          <w:w w:val="115"/>
          <w:sz w:val="19"/>
        </w:rPr>
        <w:t> </w:t>
      </w:r>
      <w:r>
        <w:rPr>
          <w:rFonts w:ascii="Arial" w:hAnsi="Arial"/>
          <w:color w:val="231F20"/>
          <w:w w:val="115"/>
          <w:sz w:val="19"/>
        </w:rPr>
        <w:t>manufacturing drawings </w:t>
      </w:r>
      <w:r>
        <w:rPr>
          <w:rFonts w:ascii="Symbol" w:hAnsi="Symbol"/>
          <w:color w:val="231F20"/>
          <w:w w:val="115"/>
          <w:sz w:val="21"/>
        </w:rPr>
        <w:t></w:t>
      </w:r>
      <w:r>
        <w:rPr>
          <w:rFonts w:ascii="Times New Roman" w:hAnsi="Times New Roman"/>
          <w:color w:val="231F20"/>
          <w:w w:val="115"/>
          <w:sz w:val="21"/>
        </w:rPr>
        <w:t> </w:t>
      </w:r>
      <w:r>
        <w:rPr>
          <w:rFonts w:ascii="Arial" w:hAnsi="Arial"/>
          <w:color w:val="231F20"/>
          <w:w w:val="115"/>
          <w:sz w:val="19"/>
        </w:rPr>
        <w:t>2 weeks</w:t>
      </w:r>
    </w:p>
    <w:p>
      <w:pPr>
        <w:spacing w:after="0" w:line="292" w:lineRule="auto"/>
        <w:jc w:val="left"/>
        <w:rPr>
          <w:rFonts w:ascii="Arial" w:hAnsi="Arial"/>
          <w:sz w:val="19"/>
        </w:rPr>
        <w:sectPr>
          <w:pgSz w:w="8640" w:h="12960"/>
          <w:pgMar w:header="734" w:footer="0" w:top="920" w:bottom="280" w:left="340" w:right="500"/>
        </w:sectPr>
      </w:pPr>
    </w:p>
    <w:p>
      <w:pPr>
        <w:pStyle w:val="BodyText"/>
        <w:spacing w:before="10"/>
        <w:rPr>
          <w:rFonts w:ascii="Arial"/>
          <w:sz w:val="19"/>
        </w:rPr>
      </w:pPr>
    </w:p>
    <w:p>
      <w:pPr>
        <w:spacing w:line="292" w:lineRule="auto" w:before="95"/>
        <w:ind w:left="1519" w:right="667" w:hanging="246"/>
        <w:jc w:val="left"/>
        <w:rPr>
          <w:rFonts w:ascii="Arial" w:hAnsi="Arial"/>
          <w:sz w:val="19"/>
        </w:rPr>
      </w:pPr>
      <w:r>
        <w:rPr>
          <w:rFonts w:ascii="Arial" w:hAnsi="Arial"/>
          <w:color w:val="231F20"/>
          <w:w w:val="115"/>
          <w:sz w:val="19"/>
        </w:rPr>
        <w:t>B:</w:t>
      </w:r>
      <w:r>
        <w:rPr>
          <w:rFonts w:ascii="Arial" w:hAnsi="Arial"/>
          <w:color w:val="231F20"/>
          <w:spacing w:val="-16"/>
          <w:w w:val="115"/>
          <w:sz w:val="19"/>
        </w:rPr>
        <w:t> </w:t>
      </w:r>
      <w:r>
        <w:rPr>
          <w:rFonts w:ascii="Arial" w:hAnsi="Arial"/>
          <w:color w:val="231F20"/>
          <w:w w:val="115"/>
          <w:sz w:val="19"/>
        </w:rPr>
        <w:t>Prepare</w:t>
      </w:r>
      <w:r>
        <w:rPr>
          <w:rFonts w:ascii="Arial" w:hAnsi="Arial"/>
          <w:color w:val="231F20"/>
          <w:spacing w:val="-15"/>
          <w:w w:val="115"/>
          <w:sz w:val="19"/>
        </w:rPr>
        <w:t> </w:t>
      </w:r>
      <w:r>
        <w:rPr>
          <w:rFonts w:ascii="Arial" w:hAnsi="Arial"/>
          <w:color w:val="231F20"/>
          <w:w w:val="115"/>
          <w:sz w:val="19"/>
        </w:rPr>
        <w:t>production</w:t>
      </w:r>
      <w:r>
        <w:rPr>
          <w:rFonts w:ascii="Arial" w:hAnsi="Arial"/>
          <w:color w:val="231F20"/>
          <w:spacing w:val="-15"/>
          <w:w w:val="115"/>
          <w:sz w:val="19"/>
        </w:rPr>
        <w:t> </w:t>
      </w:r>
      <w:r>
        <w:rPr>
          <w:rFonts w:ascii="Arial" w:hAnsi="Arial"/>
          <w:color w:val="231F20"/>
          <w:w w:val="115"/>
          <w:sz w:val="19"/>
        </w:rPr>
        <w:t>facilities</w:t>
      </w:r>
      <w:r>
        <w:rPr>
          <w:rFonts w:ascii="Arial" w:hAnsi="Arial"/>
          <w:color w:val="231F20"/>
          <w:spacing w:val="-15"/>
          <w:w w:val="115"/>
          <w:sz w:val="19"/>
        </w:rPr>
        <w:t> </w:t>
      </w:r>
      <w:r>
        <w:rPr>
          <w:rFonts w:ascii="Arial" w:hAnsi="Arial"/>
          <w:color w:val="231F20"/>
          <w:w w:val="115"/>
          <w:sz w:val="19"/>
        </w:rPr>
        <w:t>to</w:t>
      </w:r>
      <w:r>
        <w:rPr>
          <w:rFonts w:ascii="Arial" w:hAnsi="Arial"/>
          <w:color w:val="231F20"/>
          <w:spacing w:val="-15"/>
          <w:w w:val="115"/>
          <w:sz w:val="19"/>
        </w:rPr>
        <w:t> </w:t>
      </w:r>
      <w:r>
        <w:rPr>
          <w:rFonts w:ascii="Arial" w:hAnsi="Arial"/>
          <w:color w:val="231F20"/>
          <w:w w:val="115"/>
          <w:sz w:val="19"/>
        </w:rPr>
        <w:t>receive</w:t>
      </w:r>
      <w:r>
        <w:rPr>
          <w:rFonts w:ascii="Arial" w:hAnsi="Arial"/>
          <w:color w:val="231F20"/>
          <w:spacing w:val="-16"/>
          <w:w w:val="115"/>
          <w:sz w:val="19"/>
        </w:rPr>
        <w:t> </w:t>
      </w:r>
      <w:r>
        <w:rPr>
          <w:rFonts w:ascii="Arial" w:hAnsi="Arial"/>
          <w:color w:val="231F20"/>
          <w:w w:val="115"/>
          <w:sz w:val="19"/>
        </w:rPr>
        <w:t>new</w:t>
      </w:r>
      <w:r>
        <w:rPr>
          <w:rFonts w:ascii="Arial" w:hAnsi="Arial"/>
          <w:color w:val="231F20"/>
          <w:spacing w:val="-15"/>
          <w:w w:val="115"/>
          <w:sz w:val="19"/>
        </w:rPr>
        <w:t> </w:t>
      </w:r>
      <w:r>
        <w:rPr>
          <w:rFonts w:ascii="Arial" w:hAnsi="Arial"/>
          <w:color w:val="231F20"/>
          <w:w w:val="115"/>
          <w:sz w:val="19"/>
        </w:rPr>
        <w:t>machines</w:t>
      </w:r>
      <w:r>
        <w:rPr>
          <w:rFonts w:ascii="Arial" w:hAnsi="Arial"/>
          <w:color w:val="231F20"/>
          <w:spacing w:val="-15"/>
          <w:w w:val="115"/>
          <w:sz w:val="19"/>
        </w:rPr>
        <w:t> </w:t>
      </w:r>
      <w:r>
        <w:rPr>
          <w:rFonts w:ascii="Arial" w:hAnsi="Arial"/>
          <w:color w:val="231F20"/>
          <w:w w:val="115"/>
          <w:sz w:val="19"/>
        </w:rPr>
        <w:t>and parts </w:t>
      </w:r>
      <w:r>
        <w:rPr>
          <w:rFonts w:ascii="Symbol" w:hAnsi="Symbol"/>
          <w:color w:val="231F20"/>
          <w:w w:val="115"/>
          <w:sz w:val="21"/>
        </w:rPr>
        <w:t></w:t>
      </w:r>
      <w:r>
        <w:rPr>
          <w:rFonts w:ascii="Times New Roman" w:hAnsi="Times New Roman"/>
          <w:color w:val="231F20"/>
          <w:w w:val="115"/>
          <w:sz w:val="21"/>
        </w:rPr>
        <w:t> </w:t>
      </w:r>
      <w:r>
        <w:rPr>
          <w:rFonts w:ascii="Arial" w:hAnsi="Arial"/>
          <w:color w:val="231F20"/>
          <w:w w:val="115"/>
          <w:sz w:val="19"/>
        </w:rPr>
        <w:t>4 weeks</w:t>
      </w:r>
    </w:p>
    <w:p>
      <w:pPr>
        <w:spacing w:line="244" w:lineRule="exact" w:before="0"/>
        <w:ind w:left="1271" w:right="0" w:firstLine="0"/>
        <w:jc w:val="left"/>
        <w:rPr>
          <w:rFonts w:ascii="Arial" w:hAnsi="Arial"/>
          <w:sz w:val="19"/>
        </w:rPr>
      </w:pPr>
      <w:r>
        <w:rPr>
          <w:rFonts w:ascii="Arial" w:hAnsi="Arial"/>
          <w:color w:val="231F20"/>
          <w:w w:val="115"/>
          <w:sz w:val="19"/>
        </w:rPr>
        <w:t>C:</w:t>
      </w:r>
      <w:r>
        <w:rPr>
          <w:rFonts w:ascii="Arial" w:hAnsi="Arial"/>
          <w:color w:val="231F20"/>
          <w:spacing w:val="-4"/>
          <w:w w:val="115"/>
          <w:sz w:val="19"/>
        </w:rPr>
        <w:t> </w:t>
      </w:r>
      <w:r>
        <w:rPr>
          <w:rFonts w:ascii="Arial" w:hAnsi="Arial"/>
          <w:color w:val="231F20"/>
          <w:w w:val="115"/>
          <w:sz w:val="19"/>
        </w:rPr>
        <w:t>Buy</w:t>
      </w:r>
      <w:r>
        <w:rPr>
          <w:rFonts w:ascii="Arial" w:hAnsi="Arial"/>
          <w:color w:val="231F20"/>
          <w:spacing w:val="-10"/>
          <w:w w:val="115"/>
          <w:sz w:val="19"/>
        </w:rPr>
        <w:t> </w:t>
      </w:r>
      <w:r>
        <w:rPr>
          <w:rFonts w:ascii="Arial" w:hAnsi="Arial"/>
          <w:color w:val="231F20"/>
          <w:w w:val="115"/>
          <w:sz w:val="19"/>
        </w:rPr>
        <w:t>tooling</w:t>
      </w:r>
      <w:r>
        <w:rPr>
          <w:rFonts w:ascii="Arial" w:hAnsi="Arial"/>
          <w:color w:val="231F20"/>
          <w:spacing w:val="-11"/>
          <w:w w:val="115"/>
          <w:sz w:val="19"/>
        </w:rPr>
        <w:t> </w:t>
      </w:r>
      <w:r>
        <w:rPr>
          <w:rFonts w:ascii="Arial" w:hAnsi="Arial"/>
          <w:color w:val="231F20"/>
          <w:w w:val="115"/>
          <w:sz w:val="19"/>
        </w:rPr>
        <w:t>and</w:t>
      </w:r>
      <w:r>
        <w:rPr>
          <w:rFonts w:ascii="Arial" w:hAnsi="Arial"/>
          <w:color w:val="231F20"/>
          <w:spacing w:val="-11"/>
          <w:w w:val="115"/>
          <w:sz w:val="19"/>
        </w:rPr>
        <w:t> </w:t>
      </w:r>
      <w:r>
        <w:rPr>
          <w:rFonts w:ascii="Arial" w:hAnsi="Arial"/>
          <w:color w:val="231F20"/>
          <w:w w:val="115"/>
          <w:sz w:val="19"/>
        </w:rPr>
        <w:t>parts</w:t>
      </w:r>
      <w:r>
        <w:rPr>
          <w:rFonts w:ascii="Arial" w:hAnsi="Arial"/>
          <w:color w:val="231F20"/>
          <w:spacing w:val="-11"/>
          <w:w w:val="115"/>
          <w:sz w:val="19"/>
        </w:rPr>
        <w:t> </w:t>
      </w:r>
      <w:r>
        <w:rPr>
          <w:rFonts w:ascii="Arial" w:hAnsi="Arial"/>
          <w:color w:val="231F20"/>
          <w:w w:val="115"/>
          <w:sz w:val="19"/>
        </w:rPr>
        <w:t>for</w:t>
      </w:r>
      <w:r>
        <w:rPr>
          <w:rFonts w:ascii="Arial" w:hAnsi="Arial"/>
          <w:color w:val="231F20"/>
          <w:spacing w:val="-10"/>
          <w:w w:val="115"/>
          <w:sz w:val="19"/>
        </w:rPr>
        <w:t> </w:t>
      </w:r>
      <w:r>
        <w:rPr>
          <w:rFonts w:ascii="Arial" w:hAnsi="Arial"/>
          <w:color w:val="231F20"/>
          <w:w w:val="115"/>
          <w:sz w:val="19"/>
        </w:rPr>
        <w:t>production</w:t>
      </w:r>
      <w:r>
        <w:rPr>
          <w:rFonts w:ascii="Arial" w:hAnsi="Arial"/>
          <w:color w:val="231F20"/>
          <w:spacing w:val="-12"/>
          <w:w w:val="115"/>
          <w:sz w:val="19"/>
        </w:rPr>
        <w:t> </w:t>
      </w:r>
      <w:r>
        <w:rPr>
          <w:rFonts w:ascii="Symbol" w:hAnsi="Symbol"/>
          <w:color w:val="231F20"/>
          <w:w w:val="115"/>
          <w:sz w:val="21"/>
        </w:rPr>
        <w:t></w:t>
      </w:r>
      <w:r>
        <w:rPr>
          <w:rFonts w:ascii="Times New Roman" w:hAnsi="Times New Roman"/>
          <w:color w:val="231F20"/>
          <w:spacing w:val="-11"/>
          <w:w w:val="115"/>
          <w:sz w:val="21"/>
        </w:rPr>
        <w:t> </w:t>
      </w:r>
      <w:r>
        <w:rPr>
          <w:rFonts w:ascii="Arial" w:hAnsi="Arial"/>
          <w:color w:val="231F20"/>
          <w:w w:val="115"/>
          <w:sz w:val="19"/>
        </w:rPr>
        <w:t>3</w:t>
      </w:r>
      <w:r>
        <w:rPr>
          <w:rFonts w:ascii="Arial" w:hAnsi="Arial"/>
          <w:color w:val="231F20"/>
          <w:spacing w:val="-11"/>
          <w:w w:val="115"/>
          <w:sz w:val="19"/>
        </w:rPr>
        <w:t> </w:t>
      </w:r>
      <w:r>
        <w:rPr>
          <w:rFonts w:ascii="Arial" w:hAnsi="Arial"/>
          <w:color w:val="231F20"/>
          <w:spacing w:val="-4"/>
          <w:w w:val="115"/>
          <w:sz w:val="19"/>
        </w:rPr>
        <w:t>weeks</w:t>
      </w:r>
    </w:p>
    <w:p>
      <w:pPr>
        <w:spacing w:line="280" w:lineRule="auto" w:before="43"/>
        <w:ind w:left="1284" w:right="1256" w:hanging="22"/>
        <w:jc w:val="left"/>
        <w:rPr>
          <w:rFonts w:ascii="Arial" w:hAnsi="Arial"/>
          <w:sz w:val="19"/>
        </w:rPr>
      </w:pPr>
      <w:r>
        <w:rPr>
          <w:rFonts w:ascii="Arial" w:hAnsi="Arial"/>
          <w:color w:val="231F20"/>
          <w:w w:val="105"/>
          <w:sz w:val="19"/>
        </w:rPr>
        <w:t>D:</w:t>
      </w:r>
      <w:r>
        <w:rPr>
          <w:rFonts w:ascii="Arial" w:hAnsi="Arial"/>
          <w:color w:val="231F20"/>
          <w:spacing w:val="38"/>
          <w:w w:val="105"/>
          <w:sz w:val="19"/>
        </w:rPr>
        <w:t> </w:t>
      </w:r>
      <w:r>
        <w:rPr>
          <w:rFonts w:ascii="Arial" w:hAnsi="Arial"/>
          <w:color w:val="231F20"/>
          <w:w w:val="105"/>
          <w:sz w:val="19"/>
        </w:rPr>
        <w:t>Stock parts and install production machinery</w:t>
      </w:r>
      <w:r>
        <w:rPr>
          <w:rFonts w:ascii="Arial" w:hAnsi="Arial"/>
          <w:color w:val="231F20"/>
          <w:spacing w:val="27"/>
          <w:w w:val="105"/>
          <w:sz w:val="19"/>
        </w:rPr>
        <w:t> </w:t>
      </w:r>
      <w:r>
        <w:rPr>
          <w:rFonts w:ascii="Symbol" w:hAnsi="Symbol"/>
          <w:color w:val="231F20"/>
          <w:w w:val="105"/>
          <w:sz w:val="21"/>
        </w:rPr>
        <w:t></w:t>
      </w:r>
      <w:r>
        <w:rPr>
          <w:rFonts w:ascii="Times New Roman" w:hAnsi="Times New Roman"/>
          <w:color w:val="231F20"/>
          <w:w w:val="105"/>
          <w:sz w:val="21"/>
        </w:rPr>
        <w:t> </w:t>
      </w:r>
      <w:r>
        <w:rPr>
          <w:rFonts w:ascii="Arial" w:hAnsi="Arial"/>
          <w:color w:val="231F20"/>
          <w:sz w:val="19"/>
        </w:rPr>
        <w:t>1</w:t>
      </w:r>
      <w:r>
        <w:rPr>
          <w:rFonts w:ascii="Arial" w:hAnsi="Arial"/>
          <w:color w:val="231F20"/>
          <w:w w:val="105"/>
          <w:sz w:val="19"/>
        </w:rPr>
        <w:t> week</w:t>
      </w:r>
      <w:r>
        <w:rPr>
          <w:rFonts w:ascii="Arial" w:hAnsi="Arial"/>
          <w:color w:val="231F20"/>
          <w:spacing w:val="40"/>
          <w:w w:val="105"/>
          <w:sz w:val="19"/>
        </w:rPr>
        <w:t> </w:t>
      </w:r>
      <w:r>
        <w:rPr>
          <w:rFonts w:ascii="Arial" w:hAnsi="Arial"/>
          <w:color w:val="231F20"/>
          <w:w w:val="105"/>
          <w:sz w:val="19"/>
        </w:rPr>
        <w:t>E: Test new production line </w:t>
      </w:r>
      <w:r>
        <w:rPr>
          <w:rFonts w:ascii="Symbol" w:hAnsi="Symbol"/>
          <w:color w:val="231F20"/>
          <w:w w:val="105"/>
          <w:sz w:val="21"/>
        </w:rPr>
        <w:t></w:t>
      </w:r>
      <w:r>
        <w:rPr>
          <w:rFonts w:ascii="Times New Roman" w:hAnsi="Times New Roman"/>
          <w:color w:val="231F20"/>
          <w:w w:val="105"/>
          <w:sz w:val="21"/>
        </w:rPr>
        <w:t> </w:t>
      </w:r>
      <w:r>
        <w:rPr>
          <w:rFonts w:ascii="Arial" w:hAnsi="Arial"/>
          <w:color w:val="231F20"/>
          <w:sz w:val="19"/>
        </w:rPr>
        <w:t>1 </w:t>
      </w:r>
      <w:r>
        <w:rPr>
          <w:rFonts w:ascii="Arial" w:hAnsi="Arial"/>
          <w:color w:val="231F20"/>
          <w:w w:val="105"/>
          <w:sz w:val="19"/>
        </w:rPr>
        <w:t>week</w:t>
      </w:r>
    </w:p>
    <w:p>
      <w:pPr>
        <w:pStyle w:val="BodyText"/>
        <w:spacing w:before="9"/>
        <w:rPr>
          <w:rFonts w:ascii="Arial"/>
          <w:sz w:val="27"/>
        </w:rPr>
      </w:pPr>
    </w:p>
    <w:p>
      <w:pPr>
        <w:pStyle w:val="BodyText"/>
        <w:ind w:left="1170"/>
      </w:pPr>
      <w:r>
        <w:rPr>
          <w:color w:val="231F20"/>
          <w:w w:val="105"/>
        </w:rPr>
        <w:t>The</w:t>
      </w:r>
      <w:r>
        <w:rPr>
          <w:color w:val="231F20"/>
          <w:spacing w:val="4"/>
          <w:w w:val="105"/>
        </w:rPr>
        <w:t> </w:t>
      </w:r>
      <w:r>
        <w:rPr>
          <w:color w:val="231F20"/>
          <w:w w:val="105"/>
        </w:rPr>
        <w:t>CPM</w:t>
      </w:r>
      <w:r>
        <w:rPr>
          <w:color w:val="231F20"/>
          <w:spacing w:val="4"/>
          <w:w w:val="105"/>
        </w:rPr>
        <w:t> </w:t>
      </w:r>
      <w:r>
        <w:rPr>
          <w:color w:val="231F20"/>
          <w:w w:val="105"/>
        </w:rPr>
        <w:t>chart</w:t>
      </w:r>
      <w:r>
        <w:rPr>
          <w:color w:val="231F20"/>
          <w:spacing w:val="4"/>
          <w:w w:val="105"/>
        </w:rPr>
        <w:t> </w:t>
      </w:r>
      <w:r>
        <w:rPr>
          <w:color w:val="231F20"/>
          <w:w w:val="105"/>
        </w:rPr>
        <w:t>would</w:t>
      </w:r>
      <w:r>
        <w:rPr>
          <w:color w:val="231F20"/>
          <w:spacing w:val="4"/>
          <w:w w:val="105"/>
        </w:rPr>
        <w:t> </w:t>
      </w:r>
      <w:r>
        <w:rPr>
          <w:color w:val="231F20"/>
          <w:w w:val="105"/>
        </w:rPr>
        <w:t>look</w:t>
      </w:r>
      <w:r>
        <w:rPr>
          <w:color w:val="231F20"/>
          <w:spacing w:val="4"/>
          <w:w w:val="105"/>
        </w:rPr>
        <w:t> </w:t>
      </w:r>
      <w:r>
        <w:rPr>
          <w:color w:val="231F20"/>
          <w:w w:val="105"/>
        </w:rPr>
        <w:t>like</w:t>
      </w:r>
      <w:r>
        <w:rPr>
          <w:color w:val="231F20"/>
          <w:spacing w:val="4"/>
          <w:w w:val="105"/>
        </w:rPr>
        <w:t> </w:t>
      </w:r>
      <w:r>
        <w:rPr>
          <w:color w:val="231F20"/>
          <w:spacing w:val="-2"/>
          <w:w w:val="105"/>
        </w:rPr>
        <w:t>this:</w:t>
      </w:r>
    </w:p>
    <w:p>
      <w:pPr>
        <w:pStyle w:val="BodyText"/>
        <w:rPr>
          <w:sz w:val="24"/>
        </w:rPr>
      </w:pPr>
    </w:p>
    <w:p>
      <w:pPr>
        <w:pStyle w:val="BodyText"/>
        <w:rPr>
          <w:sz w:val="34"/>
        </w:rPr>
      </w:pPr>
    </w:p>
    <w:p>
      <w:pPr>
        <w:spacing w:before="0"/>
        <w:ind w:left="289" w:right="219" w:firstLine="0"/>
        <w:jc w:val="center"/>
        <w:rPr>
          <w:rFonts w:ascii="Arial"/>
          <w:sz w:val="14"/>
        </w:rPr>
      </w:pPr>
      <w:r>
        <w:rPr>
          <w:rFonts w:ascii="Arial"/>
          <w:color w:val="231F20"/>
          <w:w w:val="105"/>
          <w:sz w:val="14"/>
        </w:rPr>
        <w:t>EJECTION</w:t>
      </w:r>
      <w:r>
        <w:rPr>
          <w:rFonts w:ascii="Arial"/>
          <w:color w:val="231F20"/>
          <w:spacing w:val="21"/>
          <w:w w:val="105"/>
          <w:sz w:val="14"/>
        </w:rPr>
        <w:t> </w:t>
      </w:r>
      <w:r>
        <w:rPr>
          <w:rFonts w:ascii="Arial"/>
          <w:color w:val="231F20"/>
          <w:w w:val="105"/>
          <w:sz w:val="14"/>
        </w:rPr>
        <w:t>SEAT</w:t>
      </w:r>
      <w:r>
        <w:rPr>
          <w:rFonts w:ascii="Arial"/>
          <w:color w:val="231F20"/>
          <w:spacing w:val="22"/>
          <w:w w:val="105"/>
          <w:sz w:val="14"/>
        </w:rPr>
        <w:t> </w:t>
      </w:r>
      <w:r>
        <w:rPr>
          <w:rFonts w:ascii="Arial"/>
          <w:color w:val="231F20"/>
          <w:w w:val="105"/>
          <w:sz w:val="14"/>
        </w:rPr>
        <w:t>SWITCH</w:t>
      </w:r>
      <w:r>
        <w:rPr>
          <w:rFonts w:ascii="Arial"/>
          <w:color w:val="231F20"/>
          <w:spacing w:val="22"/>
          <w:w w:val="105"/>
          <w:sz w:val="14"/>
        </w:rPr>
        <w:t> </w:t>
      </w:r>
      <w:r>
        <w:rPr>
          <w:rFonts w:ascii="Arial"/>
          <w:color w:val="231F20"/>
          <w:w w:val="105"/>
          <w:sz w:val="14"/>
        </w:rPr>
        <w:t>PROJECT</w:t>
      </w:r>
      <w:r>
        <w:rPr>
          <w:rFonts w:ascii="Arial"/>
          <w:color w:val="231F20"/>
          <w:spacing w:val="22"/>
          <w:w w:val="105"/>
          <w:sz w:val="14"/>
        </w:rPr>
        <w:t> </w:t>
      </w:r>
      <w:r>
        <w:rPr>
          <w:rFonts w:ascii="Arial"/>
          <w:color w:val="231F20"/>
          <w:w w:val="105"/>
          <w:sz w:val="14"/>
        </w:rPr>
        <w:t>CRITICAL</w:t>
      </w:r>
      <w:r>
        <w:rPr>
          <w:rFonts w:ascii="Arial"/>
          <w:color w:val="231F20"/>
          <w:spacing w:val="21"/>
          <w:w w:val="105"/>
          <w:sz w:val="14"/>
        </w:rPr>
        <w:t> </w:t>
      </w:r>
      <w:r>
        <w:rPr>
          <w:rFonts w:ascii="Arial"/>
          <w:color w:val="231F20"/>
          <w:w w:val="105"/>
          <w:sz w:val="14"/>
        </w:rPr>
        <w:t>PATH</w:t>
      </w:r>
      <w:r>
        <w:rPr>
          <w:rFonts w:ascii="Arial"/>
          <w:color w:val="231F20"/>
          <w:spacing w:val="22"/>
          <w:w w:val="105"/>
          <w:sz w:val="14"/>
        </w:rPr>
        <w:t> </w:t>
      </w:r>
      <w:r>
        <w:rPr>
          <w:rFonts w:ascii="Arial"/>
          <w:color w:val="231F20"/>
          <w:spacing w:val="-2"/>
          <w:w w:val="105"/>
          <w:sz w:val="14"/>
        </w:rPr>
        <w:t>CHART</w:t>
      </w:r>
    </w:p>
    <w:p>
      <w:pPr>
        <w:pStyle w:val="BodyText"/>
        <w:spacing w:before="7"/>
        <w:rPr>
          <w:rFonts w:ascii="Arial"/>
          <w:sz w:val="15"/>
        </w:rPr>
      </w:pPr>
      <w:r>
        <w:rPr/>
        <w:drawing>
          <wp:anchor distT="0" distB="0" distL="0" distR="0" allowOverlap="1" layoutInCell="1" locked="0" behindDoc="0" simplePos="0" relativeHeight="329">
            <wp:simplePos x="0" y="0"/>
            <wp:positionH relativeFrom="page">
              <wp:posOffset>767291</wp:posOffset>
            </wp:positionH>
            <wp:positionV relativeFrom="paragraph">
              <wp:posOffset>129382</wp:posOffset>
            </wp:positionV>
            <wp:extent cx="3922158" cy="1780031"/>
            <wp:effectExtent l="0" t="0" r="0" b="0"/>
            <wp:wrapTopAndBottom/>
            <wp:docPr id="113" name="image66.png"/>
            <wp:cNvGraphicFramePr>
              <a:graphicFrameLocks noChangeAspect="1"/>
            </wp:cNvGraphicFramePr>
            <a:graphic>
              <a:graphicData uri="http://schemas.openxmlformats.org/drawingml/2006/picture">
                <pic:pic>
                  <pic:nvPicPr>
                    <pic:cNvPr id="114" name="image66.png"/>
                    <pic:cNvPicPr/>
                  </pic:nvPicPr>
                  <pic:blipFill>
                    <a:blip r:embed="rId101" cstate="print"/>
                    <a:stretch>
                      <a:fillRect/>
                    </a:stretch>
                  </pic:blipFill>
                  <pic:spPr>
                    <a:xfrm>
                      <a:off x="0" y="0"/>
                      <a:ext cx="3922158" cy="1780031"/>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3"/>
        <w:rPr>
          <w:rFonts w:ascii="Arial"/>
          <w:sz w:val="19"/>
        </w:rPr>
      </w:pPr>
    </w:p>
    <w:p>
      <w:pPr>
        <w:pStyle w:val="BodyText"/>
        <w:spacing w:line="292" w:lineRule="auto"/>
        <w:ind w:left="830" w:right="754" w:firstLine="340"/>
        <w:jc w:val="right"/>
      </w:pPr>
      <w:r>
        <w:rPr>
          <w:color w:val="231F20"/>
        </w:rPr>
        <w:t>Each</w:t>
      </w:r>
      <w:r>
        <w:rPr>
          <w:color w:val="231F20"/>
          <w:spacing w:val="32"/>
        </w:rPr>
        <w:t> </w:t>
      </w:r>
      <w:r>
        <w:rPr>
          <w:color w:val="231F20"/>
        </w:rPr>
        <w:t>task</w:t>
      </w:r>
      <w:r>
        <w:rPr>
          <w:color w:val="231F20"/>
          <w:spacing w:val="32"/>
        </w:rPr>
        <w:t> </w:t>
      </w:r>
      <w:r>
        <w:rPr>
          <w:color w:val="231F20"/>
        </w:rPr>
        <w:t>at</w:t>
      </w:r>
      <w:r>
        <w:rPr>
          <w:color w:val="231F20"/>
          <w:spacing w:val="32"/>
        </w:rPr>
        <w:t> </w:t>
      </w:r>
      <w:r>
        <w:rPr>
          <w:color w:val="231F20"/>
        </w:rPr>
        <w:t>General</w:t>
      </w:r>
      <w:r>
        <w:rPr>
          <w:color w:val="231F20"/>
          <w:spacing w:val="32"/>
        </w:rPr>
        <w:t> </w:t>
      </w:r>
      <w:r>
        <w:rPr>
          <w:color w:val="231F20"/>
        </w:rPr>
        <w:t>Dynamics</w:t>
      </w:r>
      <w:r>
        <w:rPr>
          <w:color w:val="231F20"/>
          <w:spacing w:val="32"/>
        </w:rPr>
        <w:t> </w:t>
      </w:r>
      <w:r>
        <w:rPr>
          <w:color w:val="231F20"/>
        </w:rPr>
        <w:t>is</w:t>
      </w:r>
      <w:r>
        <w:rPr>
          <w:color w:val="231F20"/>
          <w:spacing w:val="32"/>
        </w:rPr>
        <w:t> </w:t>
      </w:r>
      <w:r>
        <w:rPr>
          <w:color w:val="231F20"/>
        </w:rPr>
        <w:t>represented</w:t>
      </w:r>
      <w:r>
        <w:rPr>
          <w:color w:val="231F20"/>
          <w:spacing w:val="32"/>
        </w:rPr>
        <w:t> </w:t>
      </w:r>
      <w:r>
        <w:rPr>
          <w:color w:val="231F20"/>
        </w:rPr>
        <w:t>by</w:t>
      </w:r>
      <w:r>
        <w:rPr>
          <w:color w:val="231F20"/>
          <w:spacing w:val="32"/>
        </w:rPr>
        <w:t> </w:t>
      </w:r>
      <w:r>
        <w:rPr>
          <w:color w:val="231F20"/>
        </w:rPr>
        <w:t>an</w:t>
      </w:r>
      <w:r>
        <w:rPr>
          <w:color w:val="231F20"/>
          <w:spacing w:val="32"/>
        </w:rPr>
        <w:t> </w:t>
      </w:r>
      <w:r>
        <w:rPr>
          <w:color w:val="231F20"/>
        </w:rPr>
        <w:t>arrow</w:t>
      </w:r>
      <w:r>
        <w:rPr>
          <w:color w:val="231F20"/>
          <w:spacing w:val="32"/>
        </w:rPr>
        <w:t> </w:t>
      </w:r>
      <w:r>
        <w:rPr>
          <w:color w:val="231F20"/>
        </w:rPr>
        <w:t>for the activity and a circle for each event. As shown in the diagram, the shortest</w:t>
      </w:r>
      <w:r>
        <w:rPr>
          <w:color w:val="231F20"/>
          <w:spacing w:val="30"/>
        </w:rPr>
        <w:t> </w:t>
      </w:r>
      <w:r>
        <w:rPr>
          <w:color w:val="231F20"/>
        </w:rPr>
        <w:t>path</w:t>
      </w:r>
      <w:r>
        <w:rPr>
          <w:color w:val="231F20"/>
          <w:spacing w:val="30"/>
        </w:rPr>
        <w:t> </w:t>
      </w:r>
      <w:r>
        <w:rPr>
          <w:color w:val="231F20"/>
        </w:rPr>
        <w:t>to</w:t>
      </w:r>
      <w:r>
        <w:rPr>
          <w:color w:val="231F20"/>
          <w:spacing w:val="30"/>
        </w:rPr>
        <w:t> </w:t>
      </w:r>
      <w:r>
        <w:rPr>
          <w:color w:val="231F20"/>
        </w:rPr>
        <w:t>set</w:t>
      </w:r>
      <w:r>
        <w:rPr>
          <w:color w:val="231F20"/>
          <w:spacing w:val="30"/>
        </w:rPr>
        <w:t> </w:t>
      </w:r>
      <w:r>
        <w:rPr>
          <w:color w:val="231F20"/>
        </w:rPr>
        <w:t>up</w:t>
      </w:r>
      <w:r>
        <w:rPr>
          <w:color w:val="231F20"/>
          <w:spacing w:val="30"/>
        </w:rPr>
        <w:t> </w:t>
      </w:r>
      <w:r>
        <w:rPr>
          <w:color w:val="231F20"/>
        </w:rPr>
        <w:t>the</w:t>
      </w:r>
      <w:r>
        <w:rPr>
          <w:color w:val="231F20"/>
          <w:spacing w:val="30"/>
        </w:rPr>
        <w:t> </w:t>
      </w:r>
      <w:r>
        <w:rPr>
          <w:color w:val="231F20"/>
        </w:rPr>
        <w:t>production</w:t>
      </w:r>
      <w:r>
        <w:rPr>
          <w:color w:val="231F20"/>
          <w:spacing w:val="30"/>
        </w:rPr>
        <w:t> </w:t>
      </w:r>
      <w:r>
        <w:rPr>
          <w:color w:val="231F20"/>
        </w:rPr>
        <w:t>line</w:t>
      </w:r>
      <w:r>
        <w:rPr>
          <w:color w:val="231F20"/>
          <w:spacing w:val="30"/>
        </w:rPr>
        <w:t> </w:t>
      </w:r>
      <w:r>
        <w:rPr>
          <w:color w:val="231F20"/>
        </w:rPr>
        <w:t>for</w:t>
      </w:r>
      <w:r>
        <w:rPr>
          <w:color w:val="231F20"/>
          <w:spacing w:val="30"/>
        </w:rPr>
        <w:t> </w:t>
      </w:r>
      <w:r>
        <w:rPr>
          <w:color w:val="231F20"/>
        </w:rPr>
        <w:t>the</w:t>
      </w:r>
      <w:r>
        <w:rPr>
          <w:color w:val="231F20"/>
          <w:spacing w:val="30"/>
        </w:rPr>
        <w:t> </w:t>
      </w:r>
      <w:r>
        <w:rPr>
          <w:color w:val="231F20"/>
        </w:rPr>
        <w:t>switch</w:t>
      </w:r>
      <w:r>
        <w:rPr>
          <w:color w:val="231F20"/>
          <w:spacing w:val="30"/>
        </w:rPr>
        <w:t> </w:t>
      </w:r>
      <w:r>
        <w:rPr>
          <w:color w:val="231F20"/>
        </w:rPr>
        <w:t>is</w:t>
      </w:r>
      <w:r>
        <w:rPr>
          <w:color w:val="231F20"/>
          <w:spacing w:val="30"/>
        </w:rPr>
        <w:t> </w:t>
      </w:r>
      <w:r>
        <w:rPr>
          <w:color w:val="231F20"/>
        </w:rPr>
        <w:t>seven weeks.</w:t>
      </w:r>
      <w:r>
        <w:rPr>
          <w:color w:val="231F20"/>
          <w:spacing w:val="40"/>
        </w:rPr>
        <w:t> </w:t>
      </w:r>
      <w:r>
        <w:rPr>
          <w:color w:val="231F20"/>
        </w:rPr>
        <w:t>These</w:t>
      </w:r>
      <w:r>
        <w:rPr>
          <w:color w:val="231F20"/>
          <w:spacing w:val="40"/>
        </w:rPr>
        <w:t> </w:t>
      </w:r>
      <w:r>
        <w:rPr>
          <w:color w:val="231F20"/>
        </w:rPr>
        <w:t>activities</w:t>
      </w:r>
      <w:r>
        <w:rPr>
          <w:color w:val="231F20"/>
          <w:spacing w:val="40"/>
        </w:rPr>
        <w:t> </w:t>
      </w:r>
      <w:r>
        <w:rPr>
          <w:color w:val="231F20"/>
        </w:rPr>
        <w:t>along</w:t>
      </w:r>
      <w:r>
        <w:rPr>
          <w:color w:val="231F20"/>
          <w:spacing w:val="40"/>
        </w:rPr>
        <w:t> </w:t>
      </w:r>
      <w:r>
        <w:rPr>
          <w:color w:val="231F20"/>
        </w:rPr>
        <w:t>the</w:t>
      </w:r>
      <w:r>
        <w:rPr>
          <w:color w:val="231F20"/>
          <w:spacing w:val="40"/>
        </w:rPr>
        <w:t> </w:t>
      </w:r>
      <w:r>
        <w:rPr>
          <w:color w:val="231F20"/>
        </w:rPr>
        <w:t>longest</w:t>
      </w:r>
      <w:r>
        <w:rPr>
          <w:color w:val="231F20"/>
          <w:spacing w:val="40"/>
        </w:rPr>
        <w:t> </w:t>
      </w:r>
      <w:r>
        <w:rPr>
          <w:color w:val="231F20"/>
        </w:rPr>
        <w:t>path,</w:t>
      </w:r>
      <w:r>
        <w:rPr>
          <w:color w:val="231F20"/>
          <w:spacing w:val="40"/>
        </w:rPr>
        <w:t> </w:t>
      </w:r>
      <w:r>
        <w:rPr>
          <w:color w:val="231F20"/>
        </w:rPr>
        <w:t>called</w:t>
      </w:r>
      <w:r>
        <w:rPr>
          <w:color w:val="231F20"/>
          <w:spacing w:val="40"/>
        </w:rPr>
        <w:t> </w:t>
      </w:r>
      <w:r>
        <w:rPr>
          <w:color w:val="231F20"/>
        </w:rPr>
        <w:t>the</w:t>
      </w:r>
      <w:r>
        <w:rPr>
          <w:color w:val="231F20"/>
          <w:spacing w:val="40"/>
        </w:rPr>
        <w:t> </w:t>
      </w:r>
      <w:r>
        <w:rPr>
          <w:i/>
          <w:color w:val="231F20"/>
        </w:rPr>
        <w:t>critical</w:t>
      </w:r>
      <w:r>
        <w:rPr>
          <w:i/>
          <w:color w:val="231F20"/>
        </w:rPr>
        <w:t> path, </w:t>
      </w:r>
      <w:r>
        <w:rPr>
          <w:color w:val="231F20"/>
        </w:rPr>
        <w:t>determine and control the length of the project. When critical</w:t>
      </w:r>
      <w:r>
        <w:rPr>
          <w:color w:val="231F20"/>
          <w:spacing w:val="40"/>
        </w:rPr>
        <w:t> </w:t>
      </w:r>
      <w:r>
        <w:rPr>
          <w:color w:val="231F20"/>
        </w:rPr>
        <w:t>tasks can be accomplished faster, this is called </w:t>
      </w:r>
      <w:r>
        <w:rPr>
          <w:i/>
          <w:color w:val="231F20"/>
        </w:rPr>
        <w:t>crashing the project,</w:t>
      </w:r>
      <w:r>
        <w:rPr>
          <w:i/>
          <w:color w:val="231F20"/>
          <w:spacing w:val="40"/>
        </w:rPr>
        <w:t> </w:t>
      </w:r>
      <w:r>
        <w:rPr>
          <w:color w:val="231F20"/>
        </w:rPr>
        <w:t>because</w:t>
      </w:r>
      <w:r>
        <w:rPr>
          <w:color w:val="231F20"/>
          <w:spacing w:val="23"/>
        </w:rPr>
        <w:t> </w:t>
      </w:r>
      <w:r>
        <w:rPr>
          <w:color w:val="231F20"/>
        </w:rPr>
        <w:t>the</w:t>
      </w:r>
      <w:r>
        <w:rPr>
          <w:color w:val="231F20"/>
          <w:spacing w:val="23"/>
        </w:rPr>
        <w:t> </w:t>
      </w:r>
      <w:r>
        <w:rPr>
          <w:color w:val="231F20"/>
        </w:rPr>
        <w:t>project</w:t>
      </w:r>
      <w:r>
        <w:rPr>
          <w:color w:val="231F20"/>
          <w:spacing w:val="23"/>
        </w:rPr>
        <w:t> </w:t>
      </w:r>
      <w:r>
        <w:rPr>
          <w:color w:val="231F20"/>
        </w:rPr>
        <w:t>can</w:t>
      </w:r>
      <w:r>
        <w:rPr>
          <w:color w:val="231F20"/>
          <w:spacing w:val="23"/>
        </w:rPr>
        <w:t> </w:t>
      </w:r>
      <w:r>
        <w:rPr>
          <w:color w:val="231F20"/>
        </w:rPr>
        <w:t>be</w:t>
      </w:r>
      <w:r>
        <w:rPr>
          <w:color w:val="231F20"/>
          <w:spacing w:val="23"/>
        </w:rPr>
        <w:t> </w:t>
      </w:r>
      <w:r>
        <w:rPr>
          <w:color w:val="231F20"/>
        </w:rPr>
        <w:t>finished</w:t>
      </w:r>
      <w:r>
        <w:rPr>
          <w:color w:val="231F20"/>
          <w:spacing w:val="23"/>
        </w:rPr>
        <w:t> </w:t>
      </w:r>
      <w:r>
        <w:rPr>
          <w:color w:val="231F20"/>
        </w:rPr>
        <w:t>sooner.</w:t>
      </w:r>
      <w:r>
        <w:rPr>
          <w:color w:val="231F20"/>
          <w:spacing w:val="23"/>
        </w:rPr>
        <w:t> </w:t>
      </w:r>
      <w:r>
        <w:rPr>
          <w:color w:val="231F20"/>
        </w:rPr>
        <w:t>If</w:t>
      </w:r>
      <w:r>
        <w:rPr>
          <w:color w:val="231F20"/>
          <w:spacing w:val="23"/>
        </w:rPr>
        <w:t> </w:t>
      </w:r>
      <w:r>
        <w:rPr>
          <w:color w:val="231F20"/>
        </w:rPr>
        <w:t>designing</w:t>
      </w:r>
      <w:r>
        <w:rPr>
          <w:color w:val="231F20"/>
          <w:spacing w:val="23"/>
        </w:rPr>
        <w:t> </w:t>
      </w:r>
      <w:r>
        <w:rPr>
          <w:color w:val="231F20"/>
        </w:rPr>
        <w:t>the</w:t>
      </w:r>
      <w:r>
        <w:rPr>
          <w:color w:val="231F20"/>
          <w:spacing w:val="23"/>
        </w:rPr>
        <w:t> </w:t>
      </w:r>
      <w:r>
        <w:rPr>
          <w:color w:val="231F20"/>
        </w:rPr>
        <w:t>tooling could be sped up, that would crash the switch project. If any of the</w:t>
      </w:r>
      <w:r>
        <w:rPr>
          <w:color w:val="231F20"/>
          <w:spacing w:val="80"/>
          <w:w w:val="150"/>
        </w:rPr>
        <w:t> </w:t>
      </w:r>
      <w:r>
        <w:rPr>
          <w:color w:val="231F20"/>
        </w:rPr>
        <w:t>critical</w:t>
      </w:r>
      <w:r>
        <w:rPr>
          <w:color w:val="231F20"/>
          <w:spacing w:val="40"/>
        </w:rPr>
        <w:t> </w:t>
      </w:r>
      <w:r>
        <w:rPr>
          <w:color w:val="231F20"/>
        </w:rPr>
        <w:t>activities,</w:t>
      </w:r>
      <w:r>
        <w:rPr>
          <w:color w:val="231F20"/>
          <w:spacing w:val="40"/>
        </w:rPr>
        <w:t> </w:t>
      </w:r>
      <w:r>
        <w:rPr>
          <w:color w:val="231F20"/>
        </w:rPr>
        <w:t>such</w:t>
      </w:r>
      <w:r>
        <w:rPr>
          <w:color w:val="231F20"/>
          <w:spacing w:val="40"/>
        </w:rPr>
        <w:t> </w:t>
      </w:r>
      <w:r>
        <w:rPr>
          <w:color w:val="231F20"/>
        </w:rPr>
        <w:t>as</w:t>
      </w:r>
      <w:r>
        <w:rPr>
          <w:color w:val="231F20"/>
          <w:spacing w:val="40"/>
        </w:rPr>
        <w:t> </w:t>
      </w:r>
      <w:r>
        <w:rPr>
          <w:color w:val="231F20"/>
        </w:rPr>
        <w:t>designing</w:t>
      </w:r>
      <w:r>
        <w:rPr>
          <w:color w:val="231F20"/>
          <w:spacing w:val="40"/>
        </w:rPr>
        <w:t> </w:t>
      </w:r>
      <w:r>
        <w:rPr>
          <w:color w:val="231F20"/>
        </w:rPr>
        <w:t>the</w:t>
      </w:r>
      <w:r>
        <w:rPr>
          <w:color w:val="231F20"/>
          <w:spacing w:val="40"/>
        </w:rPr>
        <w:t> </w:t>
      </w:r>
      <w:r>
        <w:rPr>
          <w:color w:val="231F20"/>
        </w:rPr>
        <w:t>production</w:t>
      </w:r>
      <w:r>
        <w:rPr>
          <w:color w:val="231F20"/>
          <w:spacing w:val="40"/>
        </w:rPr>
        <w:t> </w:t>
      </w:r>
      <w:r>
        <w:rPr>
          <w:color w:val="231F20"/>
        </w:rPr>
        <w:t>tooling,</w:t>
      </w:r>
      <w:r>
        <w:rPr>
          <w:color w:val="231F20"/>
          <w:spacing w:val="40"/>
        </w:rPr>
        <w:t> </w:t>
      </w:r>
      <w:r>
        <w:rPr>
          <w:color w:val="231F20"/>
        </w:rPr>
        <w:t>is</w:t>
      </w:r>
      <w:r>
        <w:rPr>
          <w:color w:val="231F20"/>
          <w:spacing w:val="40"/>
        </w:rPr>
        <w:t> </w:t>
      </w:r>
      <w:r>
        <w:rPr>
          <w:color w:val="231F20"/>
        </w:rPr>
        <w:t>de- layed, the project is delayed. Noncritical activities, such as preparing the facility, do not hold up the project. They have built-in </w:t>
      </w:r>
      <w:r>
        <w:rPr>
          <w:i/>
          <w:color w:val="231F20"/>
        </w:rPr>
        <w:t>slack time.</w:t>
      </w:r>
      <w:r>
        <w:rPr>
          <w:i/>
          <w:color w:val="231F20"/>
        </w:rPr>
        <w:t> </w:t>
      </w:r>
      <w:r>
        <w:rPr>
          <w:color w:val="231F20"/>
        </w:rPr>
        <w:t>With</w:t>
      </w:r>
      <w:r>
        <w:rPr>
          <w:color w:val="231F20"/>
          <w:spacing w:val="40"/>
        </w:rPr>
        <w:t> </w:t>
      </w:r>
      <w:r>
        <w:rPr>
          <w:color w:val="231F20"/>
        </w:rPr>
        <w:t>large</w:t>
      </w:r>
      <w:r>
        <w:rPr>
          <w:color w:val="231F20"/>
          <w:spacing w:val="40"/>
        </w:rPr>
        <w:t> </w:t>
      </w:r>
      <w:r>
        <w:rPr>
          <w:color w:val="231F20"/>
        </w:rPr>
        <w:t>engineering,</w:t>
      </w:r>
      <w:r>
        <w:rPr>
          <w:color w:val="231F20"/>
          <w:spacing w:val="40"/>
        </w:rPr>
        <w:t> </w:t>
      </w:r>
      <w:r>
        <w:rPr>
          <w:color w:val="231F20"/>
        </w:rPr>
        <w:t>construction,</w:t>
      </w:r>
      <w:r>
        <w:rPr>
          <w:color w:val="231F20"/>
          <w:spacing w:val="40"/>
        </w:rPr>
        <w:t> </w:t>
      </w:r>
      <w:r>
        <w:rPr>
          <w:color w:val="231F20"/>
        </w:rPr>
        <w:t>and</w:t>
      </w:r>
      <w:r>
        <w:rPr>
          <w:color w:val="231F20"/>
          <w:spacing w:val="40"/>
        </w:rPr>
        <w:t> </w:t>
      </w:r>
      <w:r>
        <w:rPr>
          <w:color w:val="231F20"/>
        </w:rPr>
        <w:t>manufacturing</w:t>
      </w:r>
      <w:r>
        <w:rPr>
          <w:color w:val="231F20"/>
          <w:spacing w:val="40"/>
        </w:rPr>
        <w:t> </w:t>
      </w:r>
      <w:r>
        <w:rPr>
          <w:color w:val="231F20"/>
        </w:rPr>
        <w:t>proj-</w:t>
      </w:r>
      <w:r>
        <w:rPr>
          <w:color w:val="231F20"/>
          <w:spacing w:val="40"/>
        </w:rPr>
        <w:t> </w:t>
      </w:r>
      <w:r>
        <w:rPr>
          <w:color w:val="231F20"/>
        </w:rPr>
        <w:t>ects, there are myriad tasks to keep track of. For these projects, com- puter</w:t>
      </w:r>
      <w:r>
        <w:rPr>
          <w:color w:val="231F20"/>
          <w:spacing w:val="4"/>
        </w:rPr>
        <w:t> </w:t>
      </w:r>
      <w:r>
        <w:rPr>
          <w:color w:val="231F20"/>
        </w:rPr>
        <w:t>software</w:t>
      </w:r>
      <w:r>
        <w:rPr>
          <w:color w:val="231F20"/>
          <w:spacing w:val="4"/>
        </w:rPr>
        <w:t> </w:t>
      </w:r>
      <w:r>
        <w:rPr>
          <w:color w:val="231F20"/>
        </w:rPr>
        <w:t>is</w:t>
      </w:r>
      <w:r>
        <w:rPr>
          <w:color w:val="231F20"/>
          <w:spacing w:val="4"/>
        </w:rPr>
        <w:t> </w:t>
      </w:r>
      <w:r>
        <w:rPr>
          <w:color w:val="231F20"/>
        </w:rPr>
        <w:t>available</w:t>
      </w:r>
      <w:r>
        <w:rPr>
          <w:color w:val="231F20"/>
          <w:spacing w:val="4"/>
        </w:rPr>
        <w:t> </w:t>
      </w:r>
      <w:r>
        <w:rPr>
          <w:color w:val="231F20"/>
        </w:rPr>
        <w:t>to</w:t>
      </w:r>
      <w:r>
        <w:rPr>
          <w:color w:val="231F20"/>
          <w:spacing w:val="4"/>
        </w:rPr>
        <w:t> </w:t>
      </w:r>
      <w:r>
        <w:rPr>
          <w:color w:val="231F20"/>
        </w:rPr>
        <w:t>help</w:t>
      </w:r>
      <w:r>
        <w:rPr>
          <w:color w:val="231F20"/>
          <w:spacing w:val="4"/>
        </w:rPr>
        <w:t> </w:t>
      </w:r>
      <w:r>
        <w:rPr>
          <w:color w:val="231F20"/>
        </w:rPr>
        <w:t>create</w:t>
      </w:r>
      <w:r>
        <w:rPr>
          <w:color w:val="231F20"/>
          <w:spacing w:val="4"/>
        </w:rPr>
        <w:t> </w:t>
      </w:r>
      <w:r>
        <w:rPr>
          <w:color w:val="231F20"/>
        </w:rPr>
        <w:t>the</w:t>
      </w:r>
      <w:r>
        <w:rPr>
          <w:color w:val="231F20"/>
          <w:spacing w:val="5"/>
        </w:rPr>
        <w:t> </w:t>
      </w:r>
      <w:r>
        <w:rPr>
          <w:color w:val="231F20"/>
        </w:rPr>
        <w:t>chart</w:t>
      </w:r>
      <w:r>
        <w:rPr>
          <w:color w:val="231F20"/>
          <w:spacing w:val="4"/>
        </w:rPr>
        <w:t> </w:t>
      </w:r>
      <w:r>
        <w:rPr>
          <w:color w:val="231F20"/>
        </w:rPr>
        <w:t>and</w:t>
      </w:r>
      <w:r>
        <w:rPr>
          <w:color w:val="231F20"/>
          <w:spacing w:val="4"/>
        </w:rPr>
        <w:t> </w:t>
      </w:r>
      <w:r>
        <w:rPr>
          <w:color w:val="231F20"/>
        </w:rPr>
        <w:t>do</w:t>
      </w:r>
      <w:r>
        <w:rPr>
          <w:color w:val="231F20"/>
          <w:spacing w:val="4"/>
        </w:rPr>
        <w:t> </w:t>
      </w:r>
      <w:r>
        <w:rPr>
          <w:color w:val="231F20"/>
        </w:rPr>
        <w:t>the</w:t>
      </w:r>
      <w:r>
        <w:rPr>
          <w:color w:val="231F20"/>
          <w:spacing w:val="4"/>
        </w:rPr>
        <w:t> </w:t>
      </w:r>
      <w:r>
        <w:rPr>
          <w:color w:val="231F20"/>
          <w:spacing w:val="-2"/>
        </w:rPr>
        <w:t>timing</w:t>
      </w:r>
    </w:p>
    <w:p>
      <w:pPr>
        <w:spacing w:after="0" w:line="292" w:lineRule="auto"/>
        <w:jc w:val="right"/>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calculations. The drawback to this wonder tool is the time needed </w:t>
      </w:r>
      <w:r>
        <w:rPr>
          <w:color w:val="231F20"/>
        </w:rPr>
        <w:t>to </w:t>
      </w:r>
      <w:r>
        <w:rPr>
          <w:color w:val="231F20"/>
          <w:w w:val="105"/>
        </w:rPr>
        <w:t>set</w:t>
      </w:r>
      <w:r>
        <w:rPr>
          <w:color w:val="231F20"/>
          <w:spacing w:val="-1"/>
          <w:w w:val="105"/>
        </w:rPr>
        <w:t> </w:t>
      </w:r>
      <w:r>
        <w:rPr>
          <w:color w:val="231F20"/>
          <w:w w:val="105"/>
        </w:rPr>
        <w:t>up</w:t>
      </w:r>
      <w:r>
        <w:rPr>
          <w:color w:val="231F20"/>
          <w:spacing w:val="-1"/>
          <w:w w:val="105"/>
        </w:rPr>
        <w:t> </w:t>
      </w:r>
      <w:r>
        <w:rPr>
          <w:color w:val="231F20"/>
          <w:w w:val="105"/>
        </w:rPr>
        <w:t>and</w:t>
      </w:r>
      <w:r>
        <w:rPr>
          <w:color w:val="231F20"/>
          <w:spacing w:val="-1"/>
          <w:w w:val="105"/>
        </w:rPr>
        <w:t> </w:t>
      </w:r>
      <w:r>
        <w:rPr>
          <w:color w:val="231F20"/>
          <w:w w:val="105"/>
        </w:rPr>
        <w:t>manage</w:t>
      </w:r>
      <w:r>
        <w:rPr>
          <w:color w:val="231F20"/>
          <w:spacing w:val="-1"/>
          <w:w w:val="105"/>
        </w:rPr>
        <w:t> </w:t>
      </w:r>
      <w:r>
        <w:rPr>
          <w:color w:val="231F20"/>
          <w:w w:val="105"/>
        </w:rPr>
        <w:t>the</w:t>
      </w:r>
      <w:r>
        <w:rPr>
          <w:color w:val="231F20"/>
          <w:spacing w:val="-1"/>
          <w:w w:val="105"/>
        </w:rPr>
        <w:t> </w:t>
      </w:r>
      <w:r>
        <w:rPr>
          <w:color w:val="231F20"/>
          <w:w w:val="105"/>
        </w:rPr>
        <w:t>tedious</w:t>
      </w:r>
      <w:r>
        <w:rPr>
          <w:color w:val="231F20"/>
          <w:spacing w:val="-1"/>
          <w:w w:val="105"/>
        </w:rPr>
        <w:t> </w:t>
      </w:r>
      <w:r>
        <w:rPr>
          <w:color w:val="231F20"/>
          <w:w w:val="105"/>
        </w:rPr>
        <w:t>CPM</w:t>
      </w:r>
      <w:r>
        <w:rPr>
          <w:color w:val="231F20"/>
          <w:spacing w:val="-1"/>
          <w:w w:val="105"/>
        </w:rPr>
        <w:t> </w:t>
      </w:r>
      <w:r>
        <w:rPr>
          <w:color w:val="231F20"/>
          <w:w w:val="105"/>
        </w:rPr>
        <w:t>charts.</w:t>
      </w:r>
      <w:r>
        <w:rPr>
          <w:color w:val="231F20"/>
          <w:spacing w:val="-1"/>
          <w:w w:val="105"/>
        </w:rPr>
        <w:t> </w:t>
      </w:r>
      <w:r>
        <w:rPr>
          <w:color w:val="231F20"/>
          <w:w w:val="105"/>
        </w:rPr>
        <w:t>“We</w:t>
      </w:r>
      <w:r>
        <w:rPr>
          <w:color w:val="231F20"/>
          <w:spacing w:val="-1"/>
          <w:w w:val="105"/>
        </w:rPr>
        <w:t> </w:t>
      </w:r>
      <w:r>
        <w:rPr>
          <w:color w:val="231F20"/>
          <w:w w:val="105"/>
        </w:rPr>
        <w:t>all</w:t>
      </w:r>
      <w:r>
        <w:rPr>
          <w:color w:val="231F20"/>
          <w:spacing w:val="-1"/>
          <w:w w:val="105"/>
        </w:rPr>
        <w:t> </w:t>
      </w:r>
      <w:r>
        <w:rPr>
          <w:color w:val="231F20"/>
          <w:w w:val="105"/>
        </w:rPr>
        <w:t>did</w:t>
      </w:r>
      <w:r>
        <w:rPr>
          <w:color w:val="231F20"/>
          <w:spacing w:val="-1"/>
          <w:w w:val="105"/>
        </w:rPr>
        <w:t> </w:t>
      </w:r>
      <w:r>
        <w:rPr>
          <w:color w:val="231F20"/>
          <w:w w:val="105"/>
        </w:rPr>
        <w:t>them</w:t>
      </w:r>
      <w:r>
        <w:rPr>
          <w:color w:val="231F20"/>
          <w:spacing w:val="-1"/>
          <w:w w:val="105"/>
        </w:rPr>
        <w:t> </w:t>
      </w:r>
      <w:r>
        <w:rPr>
          <w:color w:val="231F20"/>
          <w:w w:val="105"/>
        </w:rPr>
        <w:t>[CPM charts</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1950s],”</w:t>
      </w:r>
      <w:r>
        <w:rPr>
          <w:color w:val="231F20"/>
          <w:spacing w:val="-8"/>
          <w:w w:val="105"/>
        </w:rPr>
        <w:t> </w:t>
      </w:r>
      <w:r>
        <w:rPr>
          <w:color w:val="231F20"/>
          <w:w w:val="105"/>
        </w:rPr>
        <w:t>recalls</w:t>
      </w:r>
      <w:r>
        <w:rPr>
          <w:color w:val="231F20"/>
          <w:spacing w:val="-8"/>
          <w:w w:val="105"/>
        </w:rPr>
        <w:t> </w:t>
      </w:r>
      <w:r>
        <w:rPr>
          <w:color w:val="231F20"/>
          <w:w w:val="105"/>
        </w:rPr>
        <w:t>Donald</w:t>
      </w:r>
      <w:r>
        <w:rPr>
          <w:color w:val="231F20"/>
          <w:spacing w:val="-8"/>
          <w:w w:val="105"/>
        </w:rPr>
        <w:t> </w:t>
      </w:r>
      <w:r>
        <w:rPr>
          <w:color w:val="231F20"/>
          <w:w w:val="105"/>
        </w:rPr>
        <w:t>N.</w:t>
      </w:r>
      <w:r>
        <w:rPr>
          <w:color w:val="231F20"/>
          <w:spacing w:val="-8"/>
          <w:w w:val="105"/>
        </w:rPr>
        <w:t> </w:t>
      </w:r>
      <w:r>
        <w:rPr>
          <w:color w:val="231F20"/>
          <w:w w:val="105"/>
        </w:rPr>
        <w:t>Frey,</w:t>
      </w:r>
      <w:r>
        <w:rPr>
          <w:color w:val="231F20"/>
          <w:spacing w:val="-8"/>
          <w:w w:val="105"/>
        </w:rPr>
        <w:t> </w:t>
      </w:r>
      <w:r>
        <w:rPr>
          <w:color w:val="231F20"/>
          <w:w w:val="105"/>
        </w:rPr>
        <w:t>chief</w:t>
      </w:r>
      <w:r>
        <w:rPr>
          <w:color w:val="231F20"/>
          <w:spacing w:val="-8"/>
          <w:w w:val="105"/>
        </w:rPr>
        <w:t> </w:t>
      </w:r>
      <w:r>
        <w:rPr>
          <w:color w:val="231F20"/>
          <w:w w:val="105"/>
        </w:rPr>
        <w:t>executive</w:t>
      </w:r>
      <w:r>
        <w:rPr>
          <w:color w:val="231F20"/>
          <w:spacing w:val="-8"/>
          <w:w w:val="105"/>
        </w:rPr>
        <w:t> </w:t>
      </w:r>
      <w:r>
        <w:rPr>
          <w:color w:val="231F20"/>
          <w:w w:val="105"/>
        </w:rPr>
        <w:t>of</w:t>
      </w:r>
      <w:r>
        <w:rPr>
          <w:color w:val="231F20"/>
          <w:spacing w:val="-8"/>
          <w:w w:val="105"/>
        </w:rPr>
        <w:t> </w:t>
      </w:r>
      <w:r>
        <w:rPr>
          <w:color w:val="231F20"/>
          <w:w w:val="105"/>
        </w:rPr>
        <w:t>Bell </w:t>
      </w:r>
      <w:r>
        <w:rPr>
          <w:color w:val="231F20"/>
          <w:w w:val="110"/>
        </w:rPr>
        <w:t>&amp;</w:t>
      </w:r>
      <w:r>
        <w:rPr>
          <w:color w:val="231F20"/>
          <w:w w:val="110"/>
        </w:rPr>
        <w:t> Howell</w:t>
      </w:r>
      <w:r>
        <w:rPr>
          <w:color w:val="231F20"/>
          <w:w w:val="110"/>
        </w:rPr>
        <w:t> Co.,</w:t>
      </w:r>
      <w:r>
        <w:rPr>
          <w:color w:val="231F20"/>
          <w:w w:val="110"/>
        </w:rPr>
        <w:t> “but</w:t>
      </w:r>
      <w:r>
        <w:rPr>
          <w:color w:val="231F20"/>
          <w:w w:val="110"/>
        </w:rPr>
        <w:t> it</w:t>
      </w:r>
      <w:r>
        <w:rPr>
          <w:color w:val="231F20"/>
          <w:w w:val="110"/>
        </w:rPr>
        <w:t> took</w:t>
      </w:r>
      <w:r>
        <w:rPr>
          <w:color w:val="231F20"/>
          <w:w w:val="110"/>
        </w:rPr>
        <w:t> so</w:t>
      </w:r>
      <w:r>
        <w:rPr>
          <w:color w:val="231F20"/>
          <w:w w:val="110"/>
        </w:rPr>
        <w:t> much</w:t>
      </w:r>
      <w:r>
        <w:rPr>
          <w:color w:val="231F20"/>
          <w:w w:val="110"/>
        </w:rPr>
        <w:t> effort</w:t>
      </w:r>
      <w:r>
        <w:rPr>
          <w:color w:val="231F20"/>
          <w:w w:val="110"/>
        </w:rPr>
        <w:t> to</w:t>
      </w:r>
      <w:r>
        <w:rPr>
          <w:color w:val="231F20"/>
          <w:w w:val="110"/>
        </w:rPr>
        <w:t> get</w:t>
      </w:r>
      <w:r>
        <w:rPr>
          <w:color w:val="231F20"/>
          <w:w w:val="110"/>
        </w:rPr>
        <w:t> the</w:t>
      </w:r>
      <w:r>
        <w:rPr>
          <w:color w:val="231F20"/>
          <w:w w:val="110"/>
        </w:rPr>
        <w:t> charts</w:t>
      </w:r>
      <w:r>
        <w:rPr>
          <w:color w:val="231F20"/>
          <w:w w:val="110"/>
        </w:rPr>
        <w:t> done, </w:t>
      </w:r>
      <w:r>
        <w:rPr>
          <w:color w:val="231F20"/>
          <w:w w:val="105"/>
        </w:rPr>
        <w:t>you might as well have spent the time getting the job done.”</w:t>
      </w:r>
    </w:p>
    <w:p>
      <w:pPr>
        <w:pStyle w:val="BodyText"/>
        <w:spacing w:before="4"/>
        <w:rPr>
          <w:sz w:val="25"/>
        </w:rPr>
      </w:pPr>
    </w:p>
    <w:p>
      <w:pPr>
        <w:pStyle w:val="BodyText"/>
        <w:spacing w:line="292" w:lineRule="auto" w:before="1"/>
        <w:ind w:left="919" w:right="664"/>
        <w:jc w:val="both"/>
      </w:pPr>
      <w:r>
        <w:rPr>
          <w:i/>
          <w:color w:val="231F20"/>
        </w:rPr>
        <w:t>Queuing Theory to Schedule. </w:t>
      </w:r>
      <w:r>
        <w:rPr>
          <w:color w:val="231F20"/>
        </w:rPr>
        <w:t>Ever been stuck in line at a bank? Trapped on hold while trying to order something by phone? </w:t>
      </w:r>
      <w:r>
        <w:rPr>
          <w:color w:val="231F20"/>
        </w:rPr>
        <w:t>Then queuing theory is a topic that you might find interesting. A </w:t>
      </w:r>
      <w:r>
        <w:rPr>
          <w:i/>
          <w:color w:val="231F20"/>
        </w:rPr>
        <w:t>queue </w:t>
      </w:r>
      <w:r>
        <w:rPr>
          <w:color w:val="231F20"/>
        </w:rPr>
        <w:t>is any line that either people or products wait in before they are ser- viced. Each person servicing a person in a queue is called a </w:t>
      </w:r>
      <w:r>
        <w:rPr>
          <w:i/>
          <w:color w:val="231F20"/>
        </w:rPr>
        <w:t>channel.</w:t>
      </w:r>
      <w:r>
        <w:rPr>
          <w:i/>
          <w:color w:val="231F20"/>
        </w:rPr>
        <w:t> </w:t>
      </w:r>
      <w:r>
        <w:rPr>
          <w:color w:val="231F20"/>
        </w:rPr>
        <w:t>MBAs use queuing theory to schedule workers and to design waiting lines to save money and improve service. The question of efficiency lies in the optimal number of channels needed per queue. For in- stance, a bank manager would like to have few tellers and short</w:t>
      </w:r>
      <w:r>
        <w:rPr>
          <w:color w:val="231F20"/>
          <w:spacing w:val="80"/>
          <w:w w:val="150"/>
        </w:rPr>
        <w:t> </w:t>
      </w:r>
      <w:r>
        <w:rPr>
          <w:color w:val="231F20"/>
          <w:spacing w:val="-2"/>
        </w:rPr>
        <w:t>lines.</w:t>
      </w:r>
    </w:p>
    <w:p>
      <w:pPr>
        <w:pStyle w:val="BodyText"/>
        <w:spacing w:line="292" w:lineRule="auto"/>
        <w:ind w:left="919" w:right="663" w:firstLine="340"/>
        <w:jc w:val="both"/>
      </w:pPr>
      <w:r>
        <w:rPr>
          <w:color w:val="231F20"/>
        </w:rPr>
        <w:t>To answer queuing questions, you must determine several</w:t>
      </w:r>
      <w:r>
        <w:rPr>
          <w:color w:val="231F20"/>
          <w:spacing w:val="80"/>
        </w:rPr>
        <w:t> </w:t>
      </w:r>
      <w:r>
        <w:rPr>
          <w:color w:val="231F20"/>
          <w:spacing w:val="-2"/>
        </w:rPr>
        <w:t>things:</w:t>
      </w:r>
    </w:p>
    <w:p>
      <w:pPr>
        <w:pStyle w:val="BodyText"/>
        <w:spacing w:before="2"/>
        <w:rPr>
          <w:sz w:val="24"/>
        </w:rPr>
      </w:pPr>
    </w:p>
    <w:p>
      <w:pPr>
        <w:pStyle w:val="BodyText"/>
        <w:spacing w:line="278" w:lineRule="auto"/>
        <w:ind w:left="1481" w:right="1107" w:hanging="43"/>
      </w:pPr>
      <w:r>
        <w:rPr>
          <w:color w:val="231F20"/>
        </w:rPr>
        <w:t>A</w:t>
      </w:r>
      <w:r>
        <w:rPr>
          <w:color w:val="231F20"/>
          <w:spacing w:val="22"/>
        </w:rPr>
        <w:t> </w:t>
      </w:r>
      <w:r>
        <w:rPr>
          <w:rFonts w:ascii="Symbol" w:hAnsi="Symbol"/>
          <w:color w:val="231F20"/>
        </w:rPr>
        <w:t></w:t>
      </w:r>
      <w:r>
        <w:rPr>
          <w:rFonts w:ascii="Times New Roman" w:hAnsi="Times New Roman"/>
          <w:color w:val="231F20"/>
        </w:rPr>
        <w:t> </w:t>
      </w:r>
      <w:r>
        <w:rPr>
          <w:color w:val="231F20"/>
        </w:rPr>
        <w:t>Average</w:t>
      </w:r>
      <w:r>
        <w:rPr>
          <w:color w:val="231F20"/>
          <w:spacing w:val="22"/>
        </w:rPr>
        <w:t> </w:t>
      </w:r>
      <w:r>
        <w:rPr>
          <w:color w:val="231F20"/>
        </w:rPr>
        <w:t>number</w:t>
      </w:r>
      <w:r>
        <w:rPr>
          <w:color w:val="231F20"/>
          <w:spacing w:val="22"/>
        </w:rPr>
        <w:t> </w:t>
      </w:r>
      <w:r>
        <w:rPr>
          <w:color w:val="231F20"/>
        </w:rPr>
        <w:t>of</w:t>
      </w:r>
      <w:r>
        <w:rPr>
          <w:color w:val="231F20"/>
          <w:spacing w:val="22"/>
        </w:rPr>
        <w:t> </w:t>
      </w:r>
      <w:r>
        <w:rPr>
          <w:color w:val="231F20"/>
        </w:rPr>
        <w:t>random</w:t>
      </w:r>
      <w:r>
        <w:rPr>
          <w:color w:val="231F20"/>
          <w:spacing w:val="22"/>
        </w:rPr>
        <w:t> </w:t>
      </w:r>
      <w:r>
        <w:rPr>
          <w:color w:val="231F20"/>
        </w:rPr>
        <w:t>arrivals</w:t>
      </w:r>
      <w:r>
        <w:rPr>
          <w:color w:val="231F20"/>
          <w:spacing w:val="22"/>
        </w:rPr>
        <w:t> </w:t>
      </w:r>
      <w:r>
        <w:rPr>
          <w:color w:val="231F20"/>
        </w:rPr>
        <w:t>per</w:t>
      </w:r>
      <w:r>
        <w:rPr>
          <w:color w:val="231F20"/>
          <w:spacing w:val="22"/>
        </w:rPr>
        <w:t> </w:t>
      </w:r>
      <w:r>
        <w:rPr>
          <w:color w:val="231F20"/>
        </w:rPr>
        <w:t>unit</w:t>
      </w:r>
      <w:r>
        <w:rPr>
          <w:color w:val="231F20"/>
          <w:spacing w:val="22"/>
        </w:rPr>
        <w:t> </w:t>
      </w:r>
      <w:r>
        <w:rPr>
          <w:color w:val="231F20"/>
        </w:rPr>
        <w:t>of</w:t>
      </w:r>
      <w:r>
        <w:rPr>
          <w:color w:val="231F20"/>
          <w:spacing w:val="22"/>
        </w:rPr>
        <w:t> </w:t>
      </w:r>
      <w:r>
        <w:rPr>
          <w:color w:val="231F20"/>
        </w:rPr>
        <w:t>time S </w:t>
      </w:r>
      <w:r>
        <w:rPr>
          <w:rFonts w:ascii="Symbol" w:hAnsi="Symbol"/>
          <w:color w:val="231F20"/>
        </w:rPr>
        <w:t></w:t>
      </w:r>
      <w:r>
        <w:rPr>
          <w:rFonts w:ascii="Times New Roman" w:hAnsi="Times New Roman"/>
          <w:color w:val="231F20"/>
          <w:spacing w:val="-2"/>
        </w:rPr>
        <w:t> </w:t>
      </w:r>
      <w:r>
        <w:rPr>
          <w:color w:val="231F20"/>
        </w:rPr>
        <w:t>Average number of services provided per channel per</w:t>
      </w:r>
    </w:p>
    <w:p>
      <w:pPr>
        <w:pStyle w:val="BodyText"/>
        <w:spacing w:before="14"/>
        <w:ind w:left="1822"/>
      </w:pPr>
      <w:r>
        <w:rPr>
          <w:color w:val="231F20"/>
        </w:rPr>
        <w:t>unit</w:t>
      </w:r>
      <w:r>
        <w:rPr>
          <w:color w:val="231F20"/>
          <w:spacing w:val="20"/>
        </w:rPr>
        <w:t> </w:t>
      </w:r>
      <w:r>
        <w:rPr>
          <w:color w:val="231F20"/>
        </w:rPr>
        <w:t>of</w:t>
      </w:r>
      <w:r>
        <w:rPr>
          <w:color w:val="231F20"/>
          <w:spacing w:val="21"/>
        </w:rPr>
        <w:t> </w:t>
      </w:r>
      <w:r>
        <w:rPr>
          <w:color w:val="231F20"/>
          <w:spacing w:val="-4"/>
        </w:rPr>
        <w:t>time</w:t>
      </w:r>
    </w:p>
    <w:p>
      <w:pPr>
        <w:pStyle w:val="BodyText"/>
        <w:spacing w:before="42"/>
        <w:ind w:left="1379"/>
      </w:pPr>
      <w:r>
        <w:rPr>
          <w:color w:val="231F20"/>
          <w:w w:val="105"/>
        </w:rPr>
        <w:t>M</w:t>
      </w:r>
      <w:r>
        <w:rPr>
          <w:color w:val="231F20"/>
          <w:spacing w:val="8"/>
          <w:w w:val="105"/>
        </w:rPr>
        <w:t> </w:t>
      </w:r>
      <w:r>
        <w:rPr>
          <w:rFonts w:ascii="Symbol" w:hAnsi="Symbol"/>
          <w:color w:val="231F20"/>
          <w:w w:val="105"/>
        </w:rPr>
        <w:t></w:t>
      </w:r>
      <w:r>
        <w:rPr>
          <w:rFonts w:ascii="Times New Roman" w:hAnsi="Times New Roman"/>
          <w:color w:val="231F20"/>
          <w:spacing w:val="1"/>
          <w:w w:val="105"/>
        </w:rPr>
        <w:t> </w:t>
      </w:r>
      <w:r>
        <w:rPr>
          <w:color w:val="231F20"/>
          <w:w w:val="105"/>
        </w:rPr>
        <w:t>Number</w:t>
      </w:r>
      <w:r>
        <w:rPr>
          <w:color w:val="231F20"/>
          <w:spacing w:val="8"/>
          <w:w w:val="105"/>
        </w:rPr>
        <w:t> </w:t>
      </w:r>
      <w:r>
        <w:rPr>
          <w:color w:val="231F20"/>
          <w:w w:val="105"/>
        </w:rPr>
        <w:t>of</w:t>
      </w:r>
      <w:r>
        <w:rPr>
          <w:color w:val="231F20"/>
          <w:spacing w:val="9"/>
          <w:w w:val="105"/>
        </w:rPr>
        <w:t> </w:t>
      </w:r>
      <w:r>
        <w:rPr>
          <w:color w:val="231F20"/>
          <w:w w:val="105"/>
        </w:rPr>
        <w:t>available</w:t>
      </w:r>
      <w:r>
        <w:rPr>
          <w:color w:val="231F20"/>
          <w:spacing w:val="8"/>
          <w:w w:val="105"/>
        </w:rPr>
        <w:t> </w:t>
      </w:r>
      <w:r>
        <w:rPr>
          <w:color w:val="231F20"/>
          <w:spacing w:val="-2"/>
          <w:w w:val="105"/>
        </w:rPr>
        <w:t>channels</w:t>
      </w:r>
    </w:p>
    <w:p>
      <w:pPr>
        <w:pStyle w:val="BodyText"/>
        <w:spacing w:before="2"/>
        <w:rPr>
          <w:sz w:val="30"/>
        </w:rPr>
      </w:pPr>
    </w:p>
    <w:p>
      <w:pPr>
        <w:pStyle w:val="BodyText"/>
        <w:spacing w:line="292" w:lineRule="auto"/>
        <w:ind w:left="919" w:right="666" w:firstLine="340"/>
        <w:jc w:val="both"/>
      </w:pPr>
      <w:r>
        <w:rPr>
          <w:color w:val="231F20"/>
        </w:rPr>
        <w:t>With those items of information and a series of tables, you </w:t>
      </w:r>
      <w:r>
        <w:rPr>
          <w:color w:val="231F20"/>
        </w:rPr>
        <w:t>can make several calculations:</w:t>
      </w:r>
    </w:p>
    <w:p>
      <w:pPr>
        <w:pStyle w:val="BodyText"/>
        <w:spacing w:before="7"/>
        <w:rPr>
          <w:sz w:val="24"/>
        </w:rPr>
      </w:pPr>
    </w:p>
    <w:p>
      <w:pPr>
        <w:pStyle w:val="BodyText"/>
        <w:ind w:left="1409"/>
      </w:pPr>
      <w:r>
        <w:rPr>
          <w:color w:val="231F20"/>
        </w:rPr>
        <w:t>Utilization</w:t>
      </w:r>
      <w:r>
        <w:rPr>
          <w:color w:val="231F20"/>
          <w:spacing w:val="16"/>
        </w:rPr>
        <w:t> </w:t>
      </w:r>
      <w:r>
        <w:rPr>
          <w:color w:val="231F20"/>
        </w:rPr>
        <w:t>factor</w:t>
      </w:r>
      <w:r>
        <w:rPr>
          <w:color w:val="231F20"/>
          <w:spacing w:val="17"/>
        </w:rPr>
        <w:t> </w:t>
      </w:r>
      <w:r>
        <w:rPr>
          <w:color w:val="231F20"/>
        </w:rPr>
        <w:t>of</w:t>
      </w:r>
      <w:r>
        <w:rPr>
          <w:color w:val="231F20"/>
          <w:spacing w:val="17"/>
        </w:rPr>
        <w:t> </w:t>
      </w:r>
      <w:r>
        <w:rPr>
          <w:color w:val="231F20"/>
        </w:rPr>
        <w:t>the</w:t>
      </w:r>
      <w:r>
        <w:rPr>
          <w:color w:val="231F20"/>
          <w:spacing w:val="16"/>
        </w:rPr>
        <w:t> </w:t>
      </w:r>
      <w:r>
        <w:rPr>
          <w:color w:val="231F20"/>
        </w:rPr>
        <w:t>system</w:t>
      </w:r>
      <w:r>
        <w:rPr>
          <w:color w:val="231F20"/>
          <w:spacing w:val="16"/>
        </w:rPr>
        <w:t> </w:t>
      </w:r>
      <w:r>
        <w:rPr>
          <w:rFonts w:ascii="Symbol" w:hAnsi="Symbol"/>
          <w:color w:val="231F20"/>
        </w:rPr>
        <w:t></w:t>
      </w:r>
      <w:r>
        <w:rPr>
          <w:rFonts w:ascii="Times New Roman" w:hAnsi="Times New Roman"/>
          <w:color w:val="231F20"/>
          <w:spacing w:val="10"/>
        </w:rPr>
        <w:t> </w:t>
      </w:r>
      <w:r>
        <w:rPr>
          <w:color w:val="231F20"/>
          <w:spacing w:val="-4"/>
        </w:rPr>
        <w:t>A/MS</w:t>
      </w:r>
    </w:p>
    <w:p>
      <w:pPr>
        <w:pStyle w:val="BodyText"/>
        <w:tabs>
          <w:tab w:pos="6214" w:val="left" w:leader="none"/>
        </w:tabs>
        <w:spacing w:before="42"/>
        <w:ind w:left="1409"/>
      </w:pPr>
      <w:r>
        <w:rPr/>
        <w:pict>
          <v:rect style="position:absolute;margin-left:319.369812pt;margin-top:9.78091pt;width:4.93095pt;height:.7242pt;mso-position-horizontal-relative:page;mso-position-vertical-relative:paragraph;z-index:-25059840" id="docshape428" filled="true" fillcolor="#231f20" stroked="false">
            <v:fill type="solid"/>
            <w10:wrap type="none"/>
          </v:rect>
        </w:pict>
      </w:r>
      <w:r>
        <w:rPr>
          <w:color w:val="231F20"/>
          <w:w w:val="105"/>
        </w:rPr>
        <w:t>Average</w:t>
      </w:r>
      <w:r>
        <w:rPr>
          <w:color w:val="231F20"/>
          <w:spacing w:val="-9"/>
          <w:w w:val="105"/>
        </w:rPr>
        <w:t> </w:t>
      </w:r>
      <w:r>
        <w:rPr>
          <w:color w:val="231F20"/>
          <w:w w:val="105"/>
        </w:rPr>
        <w:t>Number</w:t>
      </w:r>
      <w:r>
        <w:rPr>
          <w:color w:val="231F20"/>
          <w:spacing w:val="-8"/>
          <w:w w:val="105"/>
        </w:rPr>
        <w:t> </w:t>
      </w:r>
      <w:r>
        <w:rPr>
          <w:color w:val="231F20"/>
          <w:w w:val="105"/>
        </w:rPr>
        <w:t>Waiting</w:t>
      </w:r>
      <w:r>
        <w:rPr>
          <w:color w:val="231F20"/>
          <w:spacing w:val="-7"/>
          <w:w w:val="105"/>
        </w:rPr>
        <w:t> </w:t>
      </w:r>
      <w:r>
        <w:rPr>
          <w:rFonts w:ascii="Symbol" w:hAnsi="Symbol"/>
          <w:color w:val="231F20"/>
          <w:w w:val="105"/>
        </w:rPr>
        <w:t></w:t>
      </w:r>
      <w:r>
        <w:rPr>
          <w:rFonts w:ascii="Times New Roman" w:hAnsi="Times New Roman"/>
          <w:color w:val="231F20"/>
          <w:spacing w:val="-14"/>
          <w:w w:val="105"/>
        </w:rPr>
        <w:t> </w:t>
      </w:r>
      <w:r>
        <w:rPr>
          <w:color w:val="231F20"/>
          <w:w w:val="105"/>
        </w:rPr>
        <w:t>Total</w:t>
      </w:r>
      <w:r>
        <w:rPr>
          <w:color w:val="231F20"/>
          <w:spacing w:val="-8"/>
          <w:w w:val="105"/>
        </w:rPr>
        <w:t> </w:t>
      </w:r>
      <w:r>
        <w:rPr>
          <w:color w:val="231F20"/>
          <w:w w:val="105"/>
        </w:rPr>
        <w:t>Number</w:t>
      </w:r>
      <w:r>
        <w:rPr>
          <w:color w:val="231F20"/>
          <w:spacing w:val="-8"/>
          <w:w w:val="105"/>
        </w:rPr>
        <w:t> </w:t>
      </w:r>
      <w:r>
        <w:rPr>
          <w:color w:val="231F20"/>
          <w:w w:val="105"/>
        </w:rPr>
        <w:t>in</w:t>
      </w:r>
      <w:r>
        <w:rPr>
          <w:color w:val="231F20"/>
          <w:spacing w:val="-8"/>
          <w:w w:val="105"/>
        </w:rPr>
        <w:t> </w:t>
      </w:r>
      <w:r>
        <w:rPr>
          <w:color w:val="231F20"/>
          <w:spacing w:val="-4"/>
          <w:w w:val="105"/>
        </w:rPr>
        <w:t>Line</w:t>
      </w:r>
      <w:r>
        <w:rPr>
          <w:color w:val="231F20"/>
        </w:rPr>
        <w:tab/>
      </w:r>
      <w:r>
        <w:rPr>
          <w:color w:val="231F20"/>
          <w:spacing w:val="-2"/>
          <w:w w:val="105"/>
        </w:rPr>
        <w:t>(A/S)</w:t>
      </w:r>
    </w:p>
    <w:p>
      <w:pPr>
        <w:pStyle w:val="BodyText"/>
        <w:spacing w:line="348" w:lineRule="exact" w:before="54"/>
        <w:ind w:left="472" w:right="219"/>
        <w:jc w:val="center"/>
      </w:pPr>
      <w:r>
        <w:rPr/>
        <w:pict>
          <v:line style="position:absolute;mso-position-horizontal-relative:page;mso-position-vertical-relative:paragraph;z-index:-25060352" from="253.5pt,16.877445pt" to="337.5pt,16.877445pt" stroked="true" strokeweight=".39999pt" strokecolor="#231f20">
            <v:stroke dashstyle="solid"/>
            <w10:wrap type="none"/>
          </v:line>
        </w:pict>
      </w:r>
      <w:r>
        <w:rPr>
          <w:color w:val="231F20"/>
        </w:rPr>
        <w:t>Expected</w:t>
      </w:r>
      <w:r>
        <w:rPr>
          <w:color w:val="231F20"/>
          <w:spacing w:val="12"/>
        </w:rPr>
        <w:t> </w:t>
      </w:r>
      <w:r>
        <w:rPr>
          <w:color w:val="231F20"/>
        </w:rPr>
        <w:t>Waiting</w:t>
      </w:r>
      <w:r>
        <w:rPr>
          <w:color w:val="231F20"/>
          <w:spacing w:val="12"/>
        </w:rPr>
        <w:t> </w:t>
      </w:r>
      <w:r>
        <w:rPr>
          <w:color w:val="231F20"/>
        </w:rPr>
        <w:t>Time</w:t>
      </w:r>
      <w:r>
        <w:rPr>
          <w:color w:val="231F20"/>
          <w:spacing w:val="12"/>
        </w:rPr>
        <w:t> </w:t>
      </w:r>
      <w:r>
        <w:rPr>
          <w:color w:val="231F20"/>
        </w:rPr>
        <w:t>in</w:t>
      </w:r>
      <w:r>
        <w:rPr>
          <w:color w:val="231F20"/>
          <w:spacing w:val="13"/>
        </w:rPr>
        <w:t> </w:t>
      </w:r>
      <w:r>
        <w:rPr>
          <w:color w:val="231F20"/>
        </w:rPr>
        <w:t>Line</w:t>
      </w:r>
      <w:r>
        <w:rPr>
          <w:color w:val="231F20"/>
          <w:spacing w:val="12"/>
        </w:rPr>
        <w:t> </w:t>
      </w:r>
      <w:r>
        <w:rPr>
          <w:rFonts w:ascii="Symbol" w:hAnsi="Symbol"/>
          <w:color w:val="231F20"/>
        </w:rPr>
        <w:t></w:t>
      </w:r>
      <w:r>
        <w:rPr>
          <w:rFonts w:ascii="Times New Roman" w:hAnsi="Times New Roman"/>
          <w:color w:val="231F20"/>
          <w:spacing w:val="6"/>
        </w:rPr>
        <w:t> </w:t>
      </w:r>
      <w:r>
        <w:rPr>
          <w:color w:val="231F20"/>
          <w:position w:val="15"/>
        </w:rPr>
        <w:t>Average</w:t>
      </w:r>
      <w:r>
        <w:rPr>
          <w:color w:val="231F20"/>
          <w:spacing w:val="13"/>
          <w:position w:val="15"/>
        </w:rPr>
        <w:t> </w:t>
      </w:r>
      <w:r>
        <w:rPr>
          <w:color w:val="231F20"/>
          <w:position w:val="15"/>
        </w:rPr>
        <w:t>#</w:t>
      </w:r>
      <w:r>
        <w:rPr>
          <w:color w:val="231F20"/>
          <w:spacing w:val="12"/>
          <w:position w:val="15"/>
        </w:rPr>
        <w:t> </w:t>
      </w:r>
      <w:r>
        <w:rPr>
          <w:color w:val="231F20"/>
          <w:spacing w:val="-2"/>
          <w:position w:val="15"/>
        </w:rPr>
        <w:t>Waiting</w:t>
      </w:r>
    </w:p>
    <w:p>
      <w:pPr>
        <w:pStyle w:val="BodyText"/>
        <w:spacing w:line="198" w:lineRule="exact"/>
        <w:ind w:right="2154"/>
        <w:jc w:val="right"/>
      </w:pPr>
      <w:r>
        <w:rPr>
          <w:color w:val="231F20"/>
          <w:w w:val="117"/>
        </w:rPr>
        <w:t>A</w:t>
      </w:r>
    </w:p>
    <w:p>
      <w:pPr>
        <w:pStyle w:val="BodyText"/>
        <w:spacing w:before="2"/>
        <w:rPr>
          <w:sz w:val="30"/>
        </w:rPr>
      </w:pPr>
    </w:p>
    <w:p>
      <w:pPr>
        <w:pStyle w:val="BodyText"/>
        <w:spacing w:line="292" w:lineRule="auto"/>
        <w:ind w:left="920" w:right="663" w:firstLine="340"/>
        <w:jc w:val="both"/>
      </w:pPr>
      <w:r>
        <w:rPr>
          <w:color w:val="231F20"/>
        </w:rPr>
        <w:t>Let’s</w:t>
      </w:r>
      <w:r>
        <w:rPr>
          <w:color w:val="231F20"/>
          <w:spacing w:val="40"/>
        </w:rPr>
        <w:t> </w:t>
      </w:r>
      <w:r>
        <w:rPr>
          <w:color w:val="231F20"/>
        </w:rPr>
        <w:t>continue</w:t>
      </w:r>
      <w:r>
        <w:rPr>
          <w:color w:val="231F20"/>
          <w:spacing w:val="40"/>
        </w:rPr>
        <w:t> </w:t>
      </w:r>
      <w:r>
        <w:rPr>
          <w:color w:val="231F20"/>
        </w:rPr>
        <w:t>the</w:t>
      </w:r>
      <w:r>
        <w:rPr>
          <w:color w:val="231F20"/>
          <w:spacing w:val="40"/>
        </w:rPr>
        <w:t> </w:t>
      </w:r>
      <w:r>
        <w:rPr>
          <w:color w:val="231F20"/>
        </w:rPr>
        <w:t>banking</w:t>
      </w:r>
      <w:r>
        <w:rPr>
          <w:color w:val="231F20"/>
          <w:spacing w:val="40"/>
        </w:rPr>
        <w:t> </w:t>
      </w:r>
      <w:r>
        <w:rPr>
          <w:color w:val="231F20"/>
        </w:rPr>
        <w:t>example:</w:t>
      </w:r>
      <w:r>
        <w:rPr>
          <w:color w:val="231F20"/>
          <w:spacing w:val="40"/>
        </w:rPr>
        <w:t> </w:t>
      </w:r>
      <w:r>
        <w:rPr>
          <w:color w:val="231F20"/>
        </w:rPr>
        <w:t>Consider</w:t>
      </w:r>
      <w:r>
        <w:rPr>
          <w:color w:val="231F20"/>
          <w:spacing w:val="40"/>
        </w:rPr>
        <w:t> </w:t>
      </w:r>
      <w:r>
        <w:rPr>
          <w:color w:val="231F20"/>
        </w:rPr>
        <w:t>a</w:t>
      </w:r>
      <w:r>
        <w:rPr>
          <w:color w:val="231F20"/>
          <w:spacing w:val="40"/>
        </w:rPr>
        <w:t> </w:t>
      </w:r>
      <w:r>
        <w:rPr>
          <w:color w:val="231F20"/>
        </w:rPr>
        <w:t>Citibank</w:t>
      </w:r>
      <w:r>
        <w:rPr>
          <w:color w:val="231F20"/>
          <w:spacing w:val="40"/>
        </w:rPr>
        <w:t> </w:t>
      </w:r>
      <w:r>
        <w:rPr>
          <w:color w:val="231F20"/>
        </w:rPr>
        <w:t>in lower Manhattan with one express teller who can process </w:t>
      </w:r>
      <w:r>
        <w:rPr>
          <w:color w:val="231F20"/>
        </w:rPr>
        <w:t>deposits</w:t>
      </w:r>
      <w:r>
        <w:rPr>
          <w:color w:val="231F20"/>
          <w:spacing w:val="80"/>
        </w:rPr>
        <w:t> </w:t>
      </w:r>
      <w:r>
        <w:rPr>
          <w:color w:val="231F20"/>
        </w:rPr>
        <w:t>at a rate of 50 per hour with an average customer arrival rate of 45 people per hour.</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before="102"/>
        <w:ind w:left="1670"/>
      </w:pPr>
      <w:r>
        <w:rPr>
          <w:color w:val="231F20"/>
          <w:w w:val="105"/>
        </w:rPr>
        <w:t>One</w:t>
      </w:r>
      <w:r>
        <w:rPr>
          <w:color w:val="231F20"/>
          <w:spacing w:val="23"/>
          <w:w w:val="105"/>
        </w:rPr>
        <w:t> </w:t>
      </w:r>
      <w:r>
        <w:rPr>
          <w:color w:val="231F20"/>
          <w:spacing w:val="-2"/>
          <w:w w:val="105"/>
        </w:rPr>
        <w:t>Teller:</w:t>
      </w:r>
    </w:p>
    <w:p>
      <w:pPr>
        <w:pStyle w:val="BodyText"/>
        <w:spacing w:line="278" w:lineRule="auto" w:before="42"/>
        <w:ind w:left="1670" w:right="2028" w:firstLine="48"/>
      </w:pPr>
      <w:r>
        <w:rPr>
          <w:color w:val="231F20"/>
        </w:rPr>
        <w:t>S</w:t>
      </w:r>
      <w:r>
        <w:rPr>
          <w:color w:val="231F20"/>
          <w:spacing w:val="-1"/>
        </w:rPr>
        <w:t> </w:t>
      </w:r>
      <w:r>
        <w:rPr>
          <w:rFonts w:ascii="Symbol" w:hAnsi="Symbol"/>
          <w:color w:val="231F20"/>
        </w:rPr>
        <w:t></w:t>
      </w:r>
      <w:r>
        <w:rPr>
          <w:rFonts w:ascii="Times New Roman" w:hAnsi="Times New Roman"/>
          <w:color w:val="231F20"/>
          <w:spacing w:val="-7"/>
        </w:rPr>
        <w:t> </w:t>
      </w:r>
      <w:r>
        <w:rPr>
          <w:color w:val="231F20"/>
        </w:rPr>
        <w:t>50-customer-per-hour</w:t>
      </w:r>
      <w:r>
        <w:rPr>
          <w:color w:val="231F20"/>
          <w:spacing w:val="-1"/>
        </w:rPr>
        <w:t> </w:t>
      </w:r>
      <w:r>
        <w:rPr>
          <w:color w:val="231F20"/>
        </w:rPr>
        <w:t>capacity</w:t>
      </w:r>
      <w:r>
        <w:rPr>
          <w:color w:val="231F20"/>
          <w:spacing w:val="-1"/>
        </w:rPr>
        <w:t> </w:t>
      </w:r>
      <w:r>
        <w:rPr>
          <w:color w:val="231F20"/>
        </w:rPr>
        <w:t>per</w:t>
      </w:r>
      <w:r>
        <w:rPr>
          <w:color w:val="231F20"/>
          <w:spacing w:val="-1"/>
        </w:rPr>
        <w:t> </w:t>
      </w:r>
      <w:r>
        <w:rPr>
          <w:color w:val="231F20"/>
        </w:rPr>
        <w:t>teller A </w:t>
      </w:r>
      <w:r>
        <w:rPr>
          <w:rFonts w:ascii="Symbol" w:hAnsi="Symbol"/>
          <w:color w:val="231F20"/>
        </w:rPr>
        <w:t></w:t>
      </w:r>
      <w:r>
        <w:rPr>
          <w:rFonts w:ascii="Times New Roman" w:hAnsi="Times New Roman"/>
          <w:color w:val="231F20"/>
        </w:rPr>
        <w:t> </w:t>
      </w:r>
      <w:r>
        <w:rPr>
          <w:color w:val="231F20"/>
        </w:rPr>
        <w:t>45 customers arriving per hour</w:t>
      </w:r>
    </w:p>
    <w:p>
      <w:pPr>
        <w:spacing w:after="0" w:line="278" w:lineRule="auto"/>
        <w:sectPr>
          <w:pgSz w:w="8640" w:h="12960"/>
          <w:pgMar w:header="732" w:footer="0" w:top="920" w:bottom="280" w:left="340" w:right="500"/>
        </w:sectPr>
      </w:pPr>
    </w:p>
    <w:p>
      <w:pPr>
        <w:pStyle w:val="BodyText"/>
        <w:spacing w:before="152"/>
        <w:ind w:left="1289"/>
        <w:rPr>
          <w:rFonts w:ascii="Symbol" w:hAnsi="Symbol"/>
        </w:rPr>
      </w:pPr>
      <w:r>
        <w:rPr>
          <w:color w:val="231F20"/>
          <w:w w:val="105"/>
        </w:rPr>
        <w:t>A/MS</w:t>
      </w:r>
      <w:r>
        <w:rPr>
          <w:color w:val="231F20"/>
          <w:spacing w:val="4"/>
          <w:w w:val="105"/>
        </w:rPr>
        <w:t> </w:t>
      </w:r>
      <w:r>
        <w:rPr>
          <w:rFonts w:ascii="Symbol" w:hAnsi="Symbol"/>
          <w:color w:val="231F20"/>
          <w:spacing w:val="-10"/>
          <w:w w:val="105"/>
        </w:rPr>
        <w:t></w:t>
      </w:r>
    </w:p>
    <w:p>
      <w:pPr>
        <w:spacing w:before="14"/>
        <w:ind w:left="9" w:right="5128" w:firstLine="0"/>
        <w:jc w:val="center"/>
        <w:rPr>
          <w:sz w:val="21"/>
        </w:rPr>
      </w:pPr>
      <w:r>
        <w:rPr/>
        <w:br w:type="column"/>
      </w:r>
      <w:r>
        <w:rPr>
          <w:color w:val="231F20"/>
          <w:spacing w:val="-5"/>
          <w:sz w:val="21"/>
        </w:rPr>
        <w:t>45</w:t>
      </w:r>
    </w:p>
    <w:p>
      <w:pPr>
        <w:pStyle w:val="BodyText"/>
        <w:spacing w:before="3"/>
        <w:rPr>
          <w:sz w:val="3"/>
        </w:rPr>
      </w:pPr>
    </w:p>
    <w:p>
      <w:pPr>
        <w:pStyle w:val="BodyText"/>
        <w:spacing w:line="20" w:lineRule="exact"/>
        <w:ind w:left="41"/>
        <w:rPr>
          <w:sz w:val="2"/>
        </w:rPr>
      </w:pPr>
      <w:r>
        <w:rPr>
          <w:sz w:val="2"/>
        </w:rPr>
        <w:pict>
          <v:group style="width:43pt;height:.5pt;mso-position-horizontal-relative:char;mso-position-vertical-relative:line" id="docshapegroup429" coordorigin="0,0" coordsize="860,10">
            <v:line style="position:absolute" from="0,5" to="860,5" stroked="true" strokeweight=".5pt" strokecolor="#231f20">
              <v:stroke dashstyle="solid"/>
            </v:line>
          </v:group>
        </w:pict>
      </w:r>
      <w:r>
        <w:rPr>
          <w:sz w:val="2"/>
        </w:rPr>
      </w:r>
    </w:p>
    <w:p>
      <w:pPr>
        <w:pStyle w:val="BodyText"/>
        <w:ind w:left="9" w:right="5139"/>
        <w:jc w:val="center"/>
      </w:pPr>
      <w:r>
        <w:rPr>
          <w:color w:val="231F20"/>
        </w:rPr>
        <w:t>1</w:t>
      </w:r>
      <w:r>
        <w:rPr>
          <w:color w:val="231F20"/>
          <w:spacing w:val="13"/>
        </w:rPr>
        <w:t> </w:t>
      </w:r>
      <w:r>
        <w:rPr>
          <w:rFonts w:ascii="Symbol" w:hAnsi="Symbol"/>
          <w:color w:val="231F20"/>
        </w:rPr>
        <w:t></w:t>
      </w:r>
      <w:r>
        <w:rPr>
          <w:rFonts w:ascii="Times New Roman" w:hAnsi="Times New Roman"/>
          <w:color w:val="231F20"/>
          <w:spacing w:val="7"/>
        </w:rPr>
        <w:t> </w:t>
      </w:r>
      <w:r>
        <w:rPr>
          <w:color w:val="231F20"/>
          <w:spacing w:val="-5"/>
        </w:rPr>
        <w:t>50</w:t>
      </w:r>
    </w:p>
    <w:p>
      <w:pPr>
        <w:spacing w:after="0"/>
        <w:jc w:val="center"/>
        <w:sectPr>
          <w:type w:val="continuous"/>
          <w:pgSz w:w="8640" w:h="12960"/>
          <w:pgMar w:header="734" w:footer="0" w:top="1220" w:bottom="280" w:left="340" w:right="500"/>
          <w:cols w:num="2" w:equalWidth="0">
            <w:col w:w="1999" w:space="40"/>
            <w:col w:w="5761"/>
          </w:cols>
        </w:sectPr>
      </w:pPr>
    </w:p>
    <w:p>
      <w:pPr>
        <w:pStyle w:val="BodyText"/>
        <w:spacing w:before="26"/>
        <w:ind w:left="1883"/>
      </w:pPr>
      <w:r>
        <w:rPr>
          <w:rFonts w:ascii="Symbol" w:hAnsi="Symbol"/>
          <w:color w:val="231F20"/>
        </w:rPr>
        <w:t></w:t>
      </w:r>
      <w:r>
        <w:rPr>
          <w:rFonts w:ascii="Times New Roman" w:hAnsi="Times New Roman"/>
          <w:color w:val="231F20"/>
          <w:spacing w:val="6"/>
        </w:rPr>
        <w:t> </w:t>
      </w:r>
      <w:r>
        <w:rPr>
          <w:color w:val="231F20"/>
        </w:rPr>
        <w:t>90%</w:t>
      </w:r>
      <w:r>
        <w:rPr>
          <w:color w:val="231F20"/>
          <w:spacing w:val="12"/>
        </w:rPr>
        <w:t> </w:t>
      </w:r>
      <w:r>
        <w:rPr>
          <w:color w:val="231F20"/>
        </w:rPr>
        <w:t>utilization</w:t>
      </w:r>
      <w:r>
        <w:rPr>
          <w:color w:val="231F20"/>
          <w:spacing w:val="12"/>
        </w:rPr>
        <w:t> </w:t>
      </w:r>
      <w:r>
        <w:rPr>
          <w:color w:val="231F20"/>
        </w:rPr>
        <w:t>of</w:t>
      </w:r>
      <w:r>
        <w:rPr>
          <w:color w:val="231F20"/>
          <w:spacing w:val="13"/>
        </w:rPr>
        <w:t> </w:t>
      </w:r>
      <w:r>
        <w:rPr>
          <w:color w:val="231F20"/>
        </w:rPr>
        <w:t>one</w:t>
      </w:r>
      <w:r>
        <w:rPr>
          <w:color w:val="231F20"/>
          <w:spacing w:val="12"/>
        </w:rPr>
        <w:t> </w:t>
      </w:r>
      <w:r>
        <w:rPr>
          <w:color w:val="231F20"/>
        </w:rPr>
        <w:t>teller</w:t>
      </w:r>
      <w:r>
        <w:rPr>
          <w:color w:val="231F20"/>
          <w:spacing w:val="12"/>
        </w:rPr>
        <w:t> </w:t>
      </w:r>
      <w:r>
        <w:rPr>
          <w:color w:val="231F20"/>
        </w:rPr>
        <w:t>expected</w:t>
      </w:r>
      <w:r>
        <w:rPr>
          <w:color w:val="231F20"/>
          <w:spacing w:val="13"/>
        </w:rPr>
        <w:t> </w:t>
      </w:r>
      <w:r>
        <w:rPr>
          <w:color w:val="231F20"/>
        </w:rPr>
        <w:t>(very</w:t>
      </w:r>
      <w:r>
        <w:rPr>
          <w:color w:val="231F20"/>
          <w:spacing w:val="12"/>
        </w:rPr>
        <w:t> </w:t>
      </w:r>
      <w:r>
        <w:rPr>
          <w:color w:val="231F20"/>
          <w:spacing w:val="-2"/>
        </w:rPr>
        <w:t>busy)</w:t>
      </w:r>
    </w:p>
    <w:p>
      <w:pPr>
        <w:pStyle w:val="BodyText"/>
        <w:spacing w:before="2"/>
        <w:rPr>
          <w:sz w:val="30"/>
        </w:rPr>
      </w:pPr>
    </w:p>
    <w:p>
      <w:pPr>
        <w:pStyle w:val="BodyText"/>
        <w:spacing w:line="292" w:lineRule="auto"/>
        <w:ind w:left="830" w:right="667" w:firstLine="340"/>
      </w:pPr>
      <w:r>
        <w:rPr>
          <w:color w:val="231F20"/>
        </w:rPr>
        <w:t>With that information and the abbreviated table below, the aver- age number of people waiting in line should be 8.1.</w:t>
      </w:r>
    </w:p>
    <w:p>
      <w:pPr>
        <w:pStyle w:val="BodyText"/>
        <w:spacing w:before="11"/>
        <w:rPr>
          <w:sz w:val="26"/>
        </w:rPr>
      </w:pPr>
    </w:p>
    <w:tbl>
      <w:tblPr>
        <w:tblW w:w="0" w:type="auto"/>
        <w:jc w:val="left"/>
        <w:tblInd w:w="2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2"/>
        <w:gridCol w:w="975"/>
        <w:gridCol w:w="777"/>
      </w:tblGrid>
      <w:tr>
        <w:trPr>
          <w:trHeight w:val="258" w:hRule="atLeast"/>
        </w:trPr>
        <w:tc>
          <w:tcPr>
            <w:tcW w:w="742" w:type="dxa"/>
          </w:tcPr>
          <w:p>
            <w:pPr>
              <w:pStyle w:val="TableParagraph"/>
              <w:spacing w:line="227" w:lineRule="exact" w:before="0"/>
              <w:ind w:left="20" w:right="215"/>
              <w:rPr>
                <w:b/>
                <w:i/>
                <w:sz w:val="20"/>
              </w:rPr>
            </w:pPr>
            <w:r>
              <w:rPr>
                <w:b/>
                <w:i/>
                <w:color w:val="231F20"/>
                <w:spacing w:val="-4"/>
                <w:sz w:val="20"/>
              </w:rPr>
              <w:t>A/MS</w:t>
            </w:r>
          </w:p>
        </w:tc>
        <w:tc>
          <w:tcPr>
            <w:tcW w:w="975" w:type="dxa"/>
          </w:tcPr>
          <w:p>
            <w:pPr>
              <w:pStyle w:val="TableParagraph"/>
              <w:spacing w:line="229" w:lineRule="exact" w:before="0"/>
              <w:ind w:right="248"/>
              <w:jc w:val="right"/>
              <w:rPr>
                <w:b/>
                <w:i/>
                <w:sz w:val="20"/>
              </w:rPr>
            </w:pPr>
            <w:r>
              <w:rPr>
                <w:b/>
                <w:i/>
                <w:color w:val="231F20"/>
                <w:sz w:val="20"/>
              </w:rPr>
              <w:t>M</w:t>
            </w:r>
            <w:r>
              <w:rPr>
                <w:b/>
                <w:i/>
                <w:color w:val="231F20"/>
                <w:spacing w:val="3"/>
                <w:sz w:val="20"/>
              </w:rPr>
              <w:t> </w:t>
            </w:r>
            <w:r>
              <w:rPr>
                <w:rFonts w:ascii="Symbol" w:hAnsi="Symbol"/>
                <w:color w:val="231F20"/>
                <w:sz w:val="21"/>
              </w:rPr>
              <w:t></w:t>
            </w:r>
            <w:r>
              <w:rPr>
                <w:rFonts w:ascii="Times New Roman" w:hAnsi="Times New Roman"/>
                <w:color w:val="231F20"/>
                <w:spacing w:val="-5"/>
                <w:sz w:val="21"/>
              </w:rPr>
              <w:t> </w:t>
            </w:r>
            <w:r>
              <w:rPr>
                <w:b/>
                <w:i/>
                <w:color w:val="231F20"/>
                <w:spacing w:val="-10"/>
                <w:sz w:val="20"/>
              </w:rPr>
              <w:t>1</w:t>
            </w:r>
          </w:p>
        </w:tc>
        <w:tc>
          <w:tcPr>
            <w:tcW w:w="777" w:type="dxa"/>
          </w:tcPr>
          <w:p>
            <w:pPr>
              <w:pStyle w:val="TableParagraph"/>
              <w:spacing w:line="229" w:lineRule="exact" w:before="0"/>
              <w:ind w:right="45"/>
              <w:jc w:val="right"/>
              <w:rPr>
                <w:b/>
                <w:i/>
                <w:sz w:val="20"/>
              </w:rPr>
            </w:pPr>
            <w:r>
              <w:rPr>
                <w:b/>
                <w:i/>
                <w:color w:val="231F20"/>
                <w:sz w:val="20"/>
              </w:rPr>
              <w:t>M</w:t>
            </w:r>
            <w:r>
              <w:rPr>
                <w:b/>
                <w:i/>
                <w:color w:val="231F20"/>
                <w:spacing w:val="3"/>
                <w:sz w:val="20"/>
              </w:rPr>
              <w:t> </w:t>
            </w:r>
            <w:r>
              <w:rPr>
                <w:rFonts w:ascii="Symbol" w:hAnsi="Symbol"/>
                <w:color w:val="231F20"/>
                <w:sz w:val="21"/>
              </w:rPr>
              <w:t></w:t>
            </w:r>
            <w:r>
              <w:rPr>
                <w:rFonts w:ascii="Times New Roman" w:hAnsi="Times New Roman"/>
                <w:color w:val="231F20"/>
                <w:spacing w:val="-5"/>
                <w:sz w:val="21"/>
              </w:rPr>
              <w:t> </w:t>
            </w:r>
            <w:r>
              <w:rPr>
                <w:b/>
                <w:i/>
                <w:color w:val="231F20"/>
                <w:spacing w:val="-10"/>
                <w:sz w:val="20"/>
              </w:rPr>
              <w:t>2</w:t>
            </w:r>
          </w:p>
        </w:tc>
      </w:tr>
      <w:tr>
        <w:trPr>
          <w:trHeight w:val="298" w:hRule="atLeast"/>
        </w:trPr>
        <w:tc>
          <w:tcPr>
            <w:tcW w:w="742" w:type="dxa"/>
          </w:tcPr>
          <w:p>
            <w:pPr>
              <w:pStyle w:val="TableParagraph"/>
              <w:spacing w:before="25"/>
              <w:ind w:left="20" w:right="213"/>
              <w:rPr>
                <w:sz w:val="21"/>
              </w:rPr>
            </w:pPr>
            <w:r>
              <w:rPr>
                <w:color w:val="231F20"/>
                <w:spacing w:val="-5"/>
                <w:w w:val="105"/>
                <w:sz w:val="21"/>
              </w:rPr>
              <w:t>.45</w:t>
            </w:r>
          </w:p>
        </w:tc>
        <w:tc>
          <w:tcPr>
            <w:tcW w:w="975" w:type="dxa"/>
          </w:tcPr>
          <w:p>
            <w:pPr>
              <w:pStyle w:val="TableParagraph"/>
              <w:spacing w:before="25"/>
              <w:ind w:right="282"/>
              <w:jc w:val="right"/>
              <w:rPr>
                <w:sz w:val="21"/>
              </w:rPr>
            </w:pPr>
            <w:r>
              <w:rPr>
                <w:color w:val="231F20"/>
                <w:spacing w:val="-5"/>
                <w:w w:val="105"/>
                <w:sz w:val="21"/>
              </w:rPr>
              <w:t>.37</w:t>
            </w:r>
          </w:p>
        </w:tc>
        <w:tc>
          <w:tcPr>
            <w:tcW w:w="777" w:type="dxa"/>
          </w:tcPr>
          <w:p>
            <w:pPr>
              <w:pStyle w:val="TableParagraph"/>
              <w:spacing w:before="25"/>
              <w:ind w:right="79"/>
              <w:jc w:val="right"/>
              <w:rPr>
                <w:sz w:val="21"/>
              </w:rPr>
            </w:pPr>
            <w:r>
              <w:rPr>
                <w:color w:val="231F20"/>
                <w:spacing w:val="-5"/>
                <w:w w:val="105"/>
                <w:sz w:val="21"/>
              </w:rPr>
              <w:t>.23</w:t>
            </w:r>
          </w:p>
        </w:tc>
      </w:tr>
      <w:tr>
        <w:trPr>
          <w:trHeight w:val="300" w:hRule="atLeast"/>
        </w:trPr>
        <w:tc>
          <w:tcPr>
            <w:tcW w:w="742" w:type="dxa"/>
          </w:tcPr>
          <w:p>
            <w:pPr>
              <w:pStyle w:val="TableParagraph"/>
              <w:spacing w:before="26"/>
              <w:ind w:left="20" w:right="213"/>
              <w:rPr>
                <w:sz w:val="21"/>
              </w:rPr>
            </w:pPr>
            <w:r>
              <w:rPr>
                <w:color w:val="231F20"/>
                <w:spacing w:val="-5"/>
                <w:w w:val="105"/>
                <w:sz w:val="21"/>
              </w:rPr>
              <w:t>.50</w:t>
            </w:r>
          </w:p>
        </w:tc>
        <w:tc>
          <w:tcPr>
            <w:tcW w:w="975" w:type="dxa"/>
          </w:tcPr>
          <w:p>
            <w:pPr>
              <w:pStyle w:val="TableParagraph"/>
              <w:spacing w:before="26"/>
              <w:ind w:right="282"/>
              <w:jc w:val="right"/>
              <w:rPr>
                <w:sz w:val="21"/>
              </w:rPr>
            </w:pPr>
            <w:r>
              <w:rPr>
                <w:color w:val="231F20"/>
                <w:spacing w:val="-5"/>
                <w:w w:val="105"/>
                <w:sz w:val="21"/>
              </w:rPr>
              <w:t>.50</w:t>
            </w:r>
          </w:p>
        </w:tc>
        <w:tc>
          <w:tcPr>
            <w:tcW w:w="777" w:type="dxa"/>
          </w:tcPr>
          <w:p>
            <w:pPr>
              <w:pStyle w:val="TableParagraph"/>
              <w:spacing w:before="26"/>
              <w:ind w:right="79"/>
              <w:jc w:val="right"/>
              <w:rPr>
                <w:sz w:val="21"/>
              </w:rPr>
            </w:pPr>
            <w:r>
              <w:rPr>
                <w:color w:val="231F20"/>
                <w:spacing w:val="-5"/>
                <w:w w:val="105"/>
                <w:sz w:val="21"/>
              </w:rPr>
              <w:t>.33</w:t>
            </w:r>
          </w:p>
        </w:tc>
      </w:tr>
      <w:tr>
        <w:trPr>
          <w:trHeight w:val="300" w:hRule="atLeast"/>
        </w:trPr>
        <w:tc>
          <w:tcPr>
            <w:tcW w:w="742" w:type="dxa"/>
          </w:tcPr>
          <w:p>
            <w:pPr>
              <w:pStyle w:val="TableParagraph"/>
              <w:spacing w:before="26"/>
              <w:ind w:left="20" w:right="213"/>
              <w:rPr>
                <w:sz w:val="21"/>
              </w:rPr>
            </w:pPr>
            <w:r>
              <w:rPr>
                <w:color w:val="231F20"/>
                <w:spacing w:val="-5"/>
                <w:w w:val="105"/>
                <w:sz w:val="21"/>
              </w:rPr>
              <w:t>.60</w:t>
            </w:r>
          </w:p>
        </w:tc>
        <w:tc>
          <w:tcPr>
            <w:tcW w:w="975" w:type="dxa"/>
          </w:tcPr>
          <w:p>
            <w:pPr>
              <w:pStyle w:val="TableParagraph"/>
              <w:spacing w:before="26"/>
              <w:ind w:right="282"/>
              <w:jc w:val="right"/>
              <w:rPr>
                <w:sz w:val="21"/>
              </w:rPr>
            </w:pPr>
            <w:r>
              <w:rPr>
                <w:color w:val="231F20"/>
                <w:spacing w:val="-5"/>
                <w:w w:val="105"/>
                <w:sz w:val="21"/>
              </w:rPr>
              <w:t>.90</w:t>
            </w:r>
          </w:p>
        </w:tc>
        <w:tc>
          <w:tcPr>
            <w:tcW w:w="777" w:type="dxa"/>
          </w:tcPr>
          <w:p>
            <w:pPr>
              <w:pStyle w:val="TableParagraph"/>
              <w:spacing w:before="26"/>
              <w:ind w:right="79"/>
              <w:jc w:val="right"/>
              <w:rPr>
                <w:sz w:val="21"/>
              </w:rPr>
            </w:pPr>
            <w:r>
              <w:rPr>
                <w:color w:val="231F20"/>
                <w:spacing w:val="-5"/>
                <w:w w:val="105"/>
                <w:sz w:val="21"/>
              </w:rPr>
              <w:t>.67</w:t>
            </w:r>
          </w:p>
        </w:tc>
      </w:tr>
      <w:tr>
        <w:trPr>
          <w:trHeight w:val="300" w:hRule="atLeast"/>
        </w:trPr>
        <w:tc>
          <w:tcPr>
            <w:tcW w:w="742" w:type="dxa"/>
          </w:tcPr>
          <w:p>
            <w:pPr>
              <w:pStyle w:val="TableParagraph"/>
              <w:spacing w:before="26"/>
              <w:ind w:left="20" w:right="213"/>
              <w:rPr>
                <w:sz w:val="21"/>
              </w:rPr>
            </w:pPr>
            <w:r>
              <w:rPr>
                <w:color w:val="231F20"/>
                <w:spacing w:val="-5"/>
                <w:w w:val="105"/>
                <w:sz w:val="21"/>
              </w:rPr>
              <w:t>.70</w:t>
            </w:r>
          </w:p>
        </w:tc>
        <w:tc>
          <w:tcPr>
            <w:tcW w:w="975" w:type="dxa"/>
          </w:tcPr>
          <w:p>
            <w:pPr>
              <w:pStyle w:val="TableParagraph"/>
              <w:spacing w:before="26"/>
              <w:ind w:right="270"/>
              <w:jc w:val="right"/>
              <w:rPr>
                <w:sz w:val="21"/>
              </w:rPr>
            </w:pPr>
            <w:r>
              <w:rPr>
                <w:color w:val="231F20"/>
                <w:spacing w:val="-4"/>
                <w:w w:val="105"/>
                <w:sz w:val="21"/>
              </w:rPr>
              <w:t>1.60</w:t>
            </w:r>
          </w:p>
        </w:tc>
        <w:tc>
          <w:tcPr>
            <w:tcW w:w="777" w:type="dxa"/>
          </w:tcPr>
          <w:p>
            <w:pPr>
              <w:pStyle w:val="TableParagraph"/>
              <w:spacing w:before="26"/>
              <w:ind w:right="67"/>
              <w:jc w:val="right"/>
              <w:rPr>
                <w:sz w:val="21"/>
              </w:rPr>
            </w:pPr>
            <w:r>
              <w:rPr>
                <w:color w:val="231F20"/>
                <w:spacing w:val="-4"/>
                <w:w w:val="105"/>
                <w:sz w:val="21"/>
              </w:rPr>
              <w:t>1.30</w:t>
            </w:r>
          </w:p>
        </w:tc>
      </w:tr>
      <w:tr>
        <w:trPr>
          <w:trHeight w:val="300" w:hRule="atLeast"/>
        </w:trPr>
        <w:tc>
          <w:tcPr>
            <w:tcW w:w="742" w:type="dxa"/>
          </w:tcPr>
          <w:p>
            <w:pPr>
              <w:pStyle w:val="TableParagraph"/>
              <w:spacing w:before="26"/>
              <w:ind w:left="20" w:right="213"/>
              <w:rPr>
                <w:sz w:val="21"/>
              </w:rPr>
            </w:pPr>
            <w:r>
              <w:rPr>
                <w:color w:val="231F20"/>
                <w:spacing w:val="-5"/>
                <w:w w:val="105"/>
                <w:sz w:val="21"/>
              </w:rPr>
              <w:t>.80</w:t>
            </w:r>
          </w:p>
        </w:tc>
        <w:tc>
          <w:tcPr>
            <w:tcW w:w="975" w:type="dxa"/>
          </w:tcPr>
          <w:p>
            <w:pPr>
              <w:pStyle w:val="TableParagraph"/>
              <w:spacing w:before="26"/>
              <w:ind w:right="270"/>
              <w:jc w:val="right"/>
              <w:rPr>
                <w:sz w:val="21"/>
              </w:rPr>
            </w:pPr>
            <w:r>
              <w:rPr>
                <w:color w:val="231F20"/>
                <w:spacing w:val="-4"/>
                <w:w w:val="105"/>
                <w:sz w:val="21"/>
              </w:rPr>
              <w:t>3.20</w:t>
            </w:r>
          </w:p>
        </w:tc>
        <w:tc>
          <w:tcPr>
            <w:tcW w:w="777" w:type="dxa"/>
          </w:tcPr>
          <w:p>
            <w:pPr>
              <w:pStyle w:val="TableParagraph"/>
              <w:spacing w:before="26"/>
              <w:ind w:right="67"/>
              <w:jc w:val="right"/>
              <w:rPr>
                <w:sz w:val="21"/>
              </w:rPr>
            </w:pPr>
            <w:r>
              <w:rPr>
                <w:color w:val="231F20"/>
                <w:spacing w:val="-4"/>
                <w:w w:val="105"/>
                <w:sz w:val="21"/>
              </w:rPr>
              <w:t>2.90</w:t>
            </w:r>
          </w:p>
        </w:tc>
      </w:tr>
      <w:tr>
        <w:trPr>
          <w:trHeight w:val="274" w:hRule="atLeast"/>
        </w:trPr>
        <w:tc>
          <w:tcPr>
            <w:tcW w:w="742" w:type="dxa"/>
          </w:tcPr>
          <w:p>
            <w:pPr>
              <w:pStyle w:val="TableParagraph"/>
              <w:spacing w:line="228" w:lineRule="exact" w:before="26"/>
              <w:ind w:left="20" w:right="213"/>
              <w:rPr>
                <w:sz w:val="21"/>
              </w:rPr>
            </w:pPr>
            <w:r>
              <w:rPr>
                <w:color w:val="231F20"/>
                <w:spacing w:val="-5"/>
                <w:w w:val="105"/>
                <w:sz w:val="21"/>
              </w:rPr>
              <w:t>.90</w:t>
            </w:r>
          </w:p>
        </w:tc>
        <w:tc>
          <w:tcPr>
            <w:tcW w:w="975" w:type="dxa"/>
          </w:tcPr>
          <w:p>
            <w:pPr>
              <w:pStyle w:val="TableParagraph"/>
              <w:spacing w:line="228" w:lineRule="exact" w:before="26"/>
              <w:ind w:right="270"/>
              <w:jc w:val="right"/>
              <w:rPr>
                <w:sz w:val="21"/>
              </w:rPr>
            </w:pPr>
            <w:r>
              <w:rPr>
                <w:color w:val="231F20"/>
                <w:spacing w:val="-4"/>
                <w:w w:val="105"/>
                <w:sz w:val="21"/>
              </w:rPr>
              <w:t>8.10</w:t>
            </w:r>
          </w:p>
        </w:tc>
        <w:tc>
          <w:tcPr>
            <w:tcW w:w="777" w:type="dxa"/>
          </w:tcPr>
          <w:p>
            <w:pPr>
              <w:pStyle w:val="TableParagraph"/>
              <w:spacing w:line="228" w:lineRule="exact" w:before="26"/>
              <w:ind w:right="67"/>
              <w:jc w:val="right"/>
              <w:rPr>
                <w:sz w:val="21"/>
              </w:rPr>
            </w:pPr>
            <w:r>
              <w:rPr>
                <w:color w:val="231F20"/>
                <w:spacing w:val="-4"/>
                <w:w w:val="105"/>
                <w:sz w:val="21"/>
              </w:rPr>
              <w:t>7.70</w:t>
            </w:r>
          </w:p>
        </w:tc>
      </w:tr>
    </w:tbl>
    <w:p>
      <w:pPr>
        <w:pStyle w:val="BodyText"/>
        <w:spacing w:before="1"/>
        <w:rPr>
          <w:sz w:val="30"/>
        </w:rPr>
      </w:pPr>
    </w:p>
    <w:p>
      <w:pPr>
        <w:pStyle w:val="BodyText"/>
        <w:spacing w:line="292" w:lineRule="auto"/>
        <w:ind w:left="830" w:right="667" w:firstLine="340"/>
      </w:pPr>
      <w:r>
        <w:rPr>
          <w:color w:val="231F20"/>
          <w:spacing w:val="-2"/>
          <w:w w:val="105"/>
        </w:rPr>
        <w:t>It</w:t>
      </w:r>
      <w:r>
        <w:rPr>
          <w:color w:val="231F20"/>
          <w:spacing w:val="-4"/>
          <w:w w:val="105"/>
        </w:rPr>
        <w:t> </w:t>
      </w:r>
      <w:r>
        <w:rPr>
          <w:color w:val="231F20"/>
          <w:spacing w:val="-2"/>
          <w:w w:val="105"/>
        </w:rPr>
        <w:t>would</w:t>
      </w:r>
      <w:r>
        <w:rPr>
          <w:color w:val="231F20"/>
          <w:spacing w:val="-4"/>
          <w:w w:val="105"/>
        </w:rPr>
        <w:t> </w:t>
      </w:r>
      <w:r>
        <w:rPr>
          <w:color w:val="231F20"/>
          <w:spacing w:val="-2"/>
          <w:w w:val="105"/>
        </w:rPr>
        <w:t>seem</w:t>
      </w:r>
      <w:r>
        <w:rPr>
          <w:color w:val="231F20"/>
          <w:spacing w:val="-4"/>
          <w:w w:val="105"/>
        </w:rPr>
        <w:t> </w:t>
      </w:r>
      <w:r>
        <w:rPr>
          <w:color w:val="231F20"/>
          <w:spacing w:val="-2"/>
          <w:w w:val="105"/>
        </w:rPr>
        <w:t>logical</w:t>
      </w:r>
      <w:r>
        <w:rPr>
          <w:color w:val="231F20"/>
          <w:spacing w:val="-4"/>
          <w:w w:val="105"/>
        </w:rPr>
        <w:t> </w:t>
      </w:r>
      <w:r>
        <w:rPr>
          <w:color w:val="231F20"/>
          <w:spacing w:val="-2"/>
          <w:w w:val="105"/>
        </w:rPr>
        <w:t>that</w:t>
      </w:r>
      <w:r>
        <w:rPr>
          <w:color w:val="231F20"/>
          <w:spacing w:val="-4"/>
          <w:w w:val="105"/>
        </w:rPr>
        <w:t> </w:t>
      </w:r>
      <w:r>
        <w:rPr>
          <w:color w:val="231F20"/>
          <w:spacing w:val="-2"/>
          <w:w w:val="105"/>
        </w:rPr>
        <w:t>by</w:t>
      </w:r>
      <w:r>
        <w:rPr>
          <w:color w:val="231F20"/>
          <w:spacing w:val="-4"/>
          <w:w w:val="105"/>
        </w:rPr>
        <w:t> </w:t>
      </w:r>
      <w:r>
        <w:rPr>
          <w:color w:val="231F20"/>
          <w:spacing w:val="-2"/>
          <w:w w:val="105"/>
        </w:rPr>
        <w:t>adding</w:t>
      </w:r>
      <w:r>
        <w:rPr>
          <w:color w:val="231F20"/>
          <w:spacing w:val="-4"/>
          <w:w w:val="105"/>
        </w:rPr>
        <w:t> </w:t>
      </w:r>
      <w:r>
        <w:rPr>
          <w:color w:val="231F20"/>
          <w:spacing w:val="-2"/>
          <w:w w:val="105"/>
        </w:rPr>
        <w:t>a</w:t>
      </w:r>
      <w:r>
        <w:rPr>
          <w:color w:val="231F20"/>
          <w:spacing w:val="-4"/>
          <w:w w:val="105"/>
        </w:rPr>
        <w:t> </w:t>
      </w:r>
      <w:r>
        <w:rPr>
          <w:color w:val="231F20"/>
          <w:spacing w:val="-2"/>
          <w:w w:val="105"/>
        </w:rPr>
        <w:t>second</w:t>
      </w:r>
      <w:r>
        <w:rPr>
          <w:color w:val="231F20"/>
          <w:spacing w:val="-4"/>
          <w:w w:val="105"/>
        </w:rPr>
        <w:t> </w:t>
      </w:r>
      <w:r>
        <w:rPr>
          <w:color w:val="231F20"/>
          <w:spacing w:val="-2"/>
          <w:w w:val="105"/>
        </w:rPr>
        <w:t>express</w:t>
      </w:r>
      <w:r>
        <w:rPr>
          <w:color w:val="231F20"/>
          <w:spacing w:val="-4"/>
          <w:w w:val="105"/>
        </w:rPr>
        <w:t> </w:t>
      </w:r>
      <w:r>
        <w:rPr>
          <w:color w:val="231F20"/>
          <w:spacing w:val="-2"/>
          <w:w w:val="105"/>
        </w:rPr>
        <w:t>teller,</w:t>
      </w:r>
      <w:r>
        <w:rPr>
          <w:color w:val="231F20"/>
          <w:spacing w:val="-4"/>
          <w:w w:val="105"/>
        </w:rPr>
        <w:t> </w:t>
      </w:r>
      <w:r>
        <w:rPr>
          <w:color w:val="231F20"/>
          <w:spacing w:val="-2"/>
          <w:w w:val="105"/>
        </w:rPr>
        <w:t>the </w:t>
      </w:r>
      <w:r>
        <w:rPr>
          <w:color w:val="231F20"/>
          <w:w w:val="105"/>
        </w:rPr>
        <w:t>average line would be cut from 8 to 4, wouldn’t it?</w:t>
      </w:r>
    </w:p>
    <w:p>
      <w:pPr>
        <w:pStyle w:val="BodyText"/>
        <w:spacing w:before="6"/>
        <w:rPr>
          <w:sz w:val="25"/>
        </w:rPr>
      </w:pPr>
    </w:p>
    <w:p>
      <w:pPr>
        <w:pStyle w:val="BodyText"/>
        <w:spacing w:before="1"/>
        <w:ind w:left="2170"/>
      </w:pPr>
      <w:r>
        <w:rPr>
          <w:color w:val="231F20"/>
        </w:rPr>
        <w:t>Two</w:t>
      </w:r>
      <w:r>
        <w:rPr>
          <w:color w:val="231F20"/>
          <w:spacing w:val="17"/>
        </w:rPr>
        <w:t> </w:t>
      </w:r>
      <w:r>
        <w:rPr>
          <w:color w:val="231F20"/>
          <w:spacing w:val="-2"/>
        </w:rPr>
        <w:t>Tellers:</w:t>
      </w:r>
    </w:p>
    <w:p>
      <w:pPr>
        <w:spacing w:after="0"/>
        <w:sectPr>
          <w:type w:val="continuous"/>
          <w:pgSz w:w="8640" w:h="12960"/>
          <w:pgMar w:header="734" w:footer="0" w:top="1220" w:bottom="280" w:left="340" w:right="500"/>
        </w:sectPr>
      </w:pPr>
    </w:p>
    <w:p>
      <w:pPr>
        <w:pStyle w:val="BodyText"/>
        <w:spacing w:before="192"/>
        <w:jc w:val="right"/>
        <w:rPr>
          <w:rFonts w:ascii="Symbol" w:hAnsi="Symbol"/>
        </w:rPr>
      </w:pPr>
      <w:r>
        <w:rPr>
          <w:color w:val="231F20"/>
          <w:w w:val="105"/>
        </w:rPr>
        <w:t>A/MS</w:t>
      </w:r>
      <w:r>
        <w:rPr>
          <w:color w:val="231F20"/>
          <w:spacing w:val="4"/>
          <w:w w:val="105"/>
        </w:rPr>
        <w:t> </w:t>
      </w:r>
      <w:r>
        <w:rPr>
          <w:rFonts w:ascii="Symbol" w:hAnsi="Symbol"/>
          <w:color w:val="231F20"/>
          <w:spacing w:val="-10"/>
          <w:w w:val="105"/>
        </w:rPr>
        <w:t></w:t>
      </w:r>
    </w:p>
    <w:p>
      <w:pPr>
        <w:spacing w:before="53"/>
        <w:ind w:left="14" w:right="21" w:firstLine="0"/>
        <w:jc w:val="center"/>
        <w:rPr>
          <w:sz w:val="21"/>
        </w:rPr>
      </w:pPr>
      <w:r>
        <w:rPr/>
        <w:br w:type="column"/>
      </w:r>
      <w:r>
        <w:rPr>
          <w:color w:val="231F20"/>
          <w:spacing w:val="-5"/>
          <w:sz w:val="21"/>
        </w:rPr>
        <w:t>45</w:t>
      </w:r>
    </w:p>
    <w:p>
      <w:pPr>
        <w:pStyle w:val="BodyText"/>
        <w:spacing w:before="3"/>
        <w:rPr>
          <w:sz w:val="3"/>
        </w:rPr>
      </w:pPr>
    </w:p>
    <w:p>
      <w:pPr>
        <w:pStyle w:val="BodyText"/>
        <w:spacing w:line="20" w:lineRule="exact"/>
        <w:ind w:left="31" w:right="-58"/>
        <w:rPr>
          <w:sz w:val="2"/>
        </w:rPr>
      </w:pPr>
      <w:r>
        <w:rPr>
          <w:sz w:val="2"/>
        </w:rPr>
        <w:pict>
          <v:group style="width:28.5pt;height:.5pt;mso-position-horizontal-relative:char;mso-position-vertical-relative:line" id="docshapegroup430" coordorigin="0,0" coordsize="570,10">
            <v:line style="position:absolute" from="0,5" to="570,5" stroked="true" strokeweight=".5pt" strokecolor="#231f20">
              <v:stroke dashstyle="solid"/>
            </v:line>
          </v:group>
        </w:pict>
      </w:r>
      <w:r>
        <w:rPr>
          <w:sz w:val="2"/>
        </w:rPr>
      </w:r>
    </w:p>
    <w:p>
      <w:pPr>
        <w:pStyle w:val="BodyText"/>
        <w:ind w:left="19"/>
        <w:jc w:val="center"/>
      </w:pPr>
      <w:r>
        <w:rPr>
          <w:color w:val="231F20"/>
        </w:rPr>
        <w:t>2</w:t>
      </w:r>
      <w:r>
        <w:rPr>
          <w:color w:val="231F20"/>
          <w:spacing w:val="13"/>
        </w:rPr>
        <w:t> </w:t>
      </w:r>
      <w:r>
        <w:rPr>
          <w:rFonts w:ascii="Symbol" w:hAnsi="Symbol"/>
          <w:color w:val="231F20"/>
        </w:rPr>
        <w:t></w:t>
      </w:r>
      <w:r>
        <w:rPr>
          <w:rFonts w:ascii="Times New Roman" w:hAnsi="Times New Roman"/>
          <w:color w:val="231F20"/>
          <w:spacing w:val="7"/>
        </w:rPr>
        <w:t> </w:t>
      </w:r>
      <w:r>
        <w:rPr>
          <w:color w:val="231F20"/>
          <w:spacing w:val="-5"/>
        </w:rPr>
        <w:t>50</w:t>
      </w:r>
    </w:p>
    <w:p>
      <w:pPr>
        <w:pStyle w:val="BodyText"/>
        <w:spacing w:before="192"/>
        <w:ind w:left="19"/>
      </w:pPr>
      <w:r>
        <w:rPr/>
        <w:br w:type="column"/>
      </w:r>
      <w:r>
        <w:rPr>
          <w:rFonts w:ascii="Symbol" w:hAnsi="Symbol"/>
          <w:color w:val="231F20"/>
          <w:w w:val="105"/>
        </w:rPr>
        <w:t></w:t>
      </w:r>
      <w:r>
        <w:rPr>
          <w:rFonts w:ascii="Times New Roman" w:hAnsi="Times New Roman"/>
          <w:color w:val="231F20"/>
          <w:spacing w:val="-2"/>
          <w:w w:val="105"/>
        </w:rPr>
        <w:t> </w:t>
      </w:r>
      <w:r>
        <w:rPr>
          <w:color w:val="231F20"/>
          <w:spacing w:val="-5"/>
          <w:w w:val="105"/>
        </w:rPr>
        <w:t>.45</w:t>
      </w:r>
    </w:p>
    <w:p>
      <w:pPr>
        <w:spacing w:after="0"/>
        <w:sectPr>
          <w:type w:val="continuous"/>
          <w:pgSz w:w="8640" w:h="12960"/>
          <w:pgMar w:header="734" w:footer="0" w:top="1220" w:bottom="280" w:left="340" w:right="500"/>
          <w:cols w:num="3" w:equalWidth="0">
            <w:col w:w="2879" w:space="40"/>
            <w:col w:w="610" w:space="39"/>
            <w:col w:w="4232"/>
          </w:cols>
        </w:sectPr>
      </w:pPr>
    </w:p>
    <w:p>
      <w:pPr>
        <w:pStyle w:val="BodyText"/>
        <w:spacing w:before="38"/>
        <w:ind w:left="2170"/>
      </w:pPr>
      <w:r>
        <w:rPr>
          <w:color w:val="231F20"/>
        </w:rPr>
        <w:t>Expected</w:t>
      </w:r>
      <w:r>
        <w:rPr>
          <w:color w:val="231F20"/>
          <w:spacing w:val="12"/>
        </w:rPr>
        <w:t> </w:t>
      </w:r>
      <w:r>
        <w:rPr>
          <w:color w:val="231F20"/>
        </w:rPr>
        <w:t>Average</w:t>
      </w:r>
      <w:r>
        <w:rPr>
          <w:color w:val="231F20"/>
          <w:spacing w:val="13"/>
        </w:rPr>
        <w:t> </w:t>
      </w:r>
      <w:r>
        <w:rPr>
          <w:color w:val="231F20"/>
        </w:rPr>
        <w:t>Waiting</w:t>
      </w:r>
      <w:r>
        <w:rPr>
          <w:color w:val="231F20"/>
          <w:spacing w:val="12"/>
        </w:rPr>
        <w:t> </w:t>
      </w:r>
      <w:r>
        <w:rPr>
          <w:color w:val="231F20"/>
          <w:spacing w:val="-4"/>
        </w:rPr>
        <w:t>Line</w:t>
      </w:r>
    </w:p>
    <w:p>
      <w:pPr>
        <w:pStyle w:val="BodyText"/>
        <w:spacing w:line="290" w:lineRule="auto" w:before="43"/>
        <w:ind w:left="2170" w:right="1948"/>
      </w:pPr>
      <w:r>
        <w:rPr>
          <w:rFonts w:ascii="Symbol" w:hAnsi="Symbol"/>
          <w:color w:val="231F20"/>
        </w:rPr>
        <w:t></w:t>
      </w:r>
      <w:r>
        <w:rPr>
          <w:rFonts w:ascii="Times New Roman" w:hAnsi="Times New Roman"/>
          <w:color w:val="231F20"/>
        </w:rPr>
        <w:t> </w:t>
      </w:r>
      <w:r>
        <w:rPr>
          <w:color w:val="231F20"/>
        </w:rPr>
        <w:t>.23 customers (from the table </w:t>
      </w:r>
      <w:r>
        <w:rPr>
          <w:color w:val="231F20"/>
        </w:rPr>
        <w:t>above) No wait!</w:t>
      </w:r>
    </w:p>
    <w:p>
      <w:pPr>
        <w:pStyle w:val="BodyText"/>
        <w:spacing w:before="8"/>
        <w:rPr>
          <w:sz w:val="25"/>
        </w:rPr>
      </w:pPr>
    </w:p>
    <w:p>
      <w:pPr>
        <w:pStyle w:val="BodyText"/>
        <w:spacing w:line="292" w:lineRule="auto"/>
        <w:ind w:left="830" w:right="756" w:firstLine="340"/>
        <w:jc w:val="both"/>
      </w:pPr>
      <w:r>
        <w:rPr>
          <w:color w:val="231F20"/>
        </w:rPr>
        <w:t>The waiting line would be reduced by over 97 percent by </w:t>
      </w:r>
      <w:r>
        <w:rPr>
          <w:color w:val="231F20"/>
        </w:rPr>
        <w:t>adding an extra teller. When the line is very busy, the second teller makes a </w:t>
      </w:r>
      <w:r>
        <w:rPr>
          <w:i/>
          <w:color w:val="231F20"/>
        </w:rPr>
        <w:t>big </w:t>
      </w:r>
      <w:r>
        <w:rPr>
          <w:color w:val="231F20"/>
        </w:rPr>
        <w:t>difference. Only queuing theory could tell you that. This teller problem is the simplest of examples. A whole “science” has been</w:t>
      </w:r>
      <w:r>
        <w:rPr>
          <w:color w:val="231F20"/>
          <w:spacing w:val="80"/>
        </w:rPr>
        <w:t> </w:t>
      </w:r>
      <w:r>
        <w:rPr>
          <w:color w:val="231F20"/>
        </w:rPr>
        <w:t>born around queuing. Academics have created books of tables and charts to answer many queuing dilemmas. Although you may not be an expert, you now know of the existence of queuing theory. That’s how</w:t>
      </w:r>
      <w:r>
        <w:rPr>
          <w:color w:val="231F20"/>
          <w:spacing w:val="44"/>
        </w:rPr>
        <w:t> </w:t>
      </w:r>
      <w:r>
        <w:rPr>
          <w:color w:val="231F20"/>
        </w:rPr>
        <w:t>most</w:t>
      </w:r>
      <w:r>
        <w:rPr>
          <w:color w:val="231F20"/>
          <w:spacing w:val="45"/>
        </w:rPr>
        <w:t> </w:t>
      </w:r>
      <w:r>
        <w:rPr>
          <w:color w:val="231F20"/>
        </w:rPr>
        <w:t>MBA</w:t>
      </w:r>
      <w:r>
        <w:rPr>
          <w:color w:val="231F20"/>
          <w:spacing w:val="44"/>
        </w:rPr>
        <w:t> </w:t>
      </w:r>
      <w:r>
        <w:rPr>
          <w:color w:val="231F20"/>
        </w:rPr>
        <w:t>courses</w:t>
      </w:r>
      <w:r>
        <w:rPr>
          <w:color w:val="231F20"/>
          <w:spacing w:val="45"/>
        </w:rPr>
        <w:t> </w:t>
      </w:r>
      <w:r>
        <w:rPr>
          <w:color w:val="231F20"/>
        </w:rPr>
        <w:t>work.</w:t>
      </w:r>
      <w:r>
        <w:rPr>
          <w:color w:val="231F20"/>
          <w:spacing w:val="45"/>
        </w:rPr>
        <w:t> </w:t>
      </w:r>
      <w:r>
        <w:rPr>
          <w:color w:val="231F20"/>
        </w:rPr>
        <w:t>They</w:t>
      </w:r>
      <w:r>
        <w:rPr>
          <w:color w:val="231F20"/>
          <w:spacing w:val="44"/>
        </w:rPr>
        <w:t> </w:t>
      </w:r>
      <w:r>
        <w:rPr>
          <w:color w:val="231F20"/>
        </w:rPr>
        <w:t>teach</w:t>
      </w:r>
      <w:r>
        <w:rPr>
          <w:color w:val="231F20"/>
          <w:spacing w:val="45"/>
        </w:rPr>
        <w:t> </w:t>
      </w:r>
      <w:r>
        <w:rPr>
          <w:color w:val="231F20"/>
        </w:rPr>
        <w:t>you</w:t>
      </w:r>
      <w:r>
        <w:rPr>
          <w:color w:val="231F20"/>
          <w:spacing w:val="44"/>
        </w:rPr>
        <w:t> </w:t>
      </w:r>
      <w:r>
        <w:rPr>
          <w:color w:val="231F20"/>
        </w:rPr>
        <w:t>the</w:t>
      </w:r>
      <w:r>
        <w:rPr>
          <w:color w:val="231F20"/>
          <w:spacing w:val="45"/>
        </w:rPr>
        <w:t> </w:t>
      </w:r>
      <w:r>
        <w:rPr>
          <w:color w:val="231F20"/>
          <w:spacing w:val="-2"/>
        </w:rPr>
        <w:t>fundamentals,</w:t>
      </w:r>
    </w:p>
    <w:p>
      <w:pPr>
        <w:spacing w:after="0" w:line="292" w:lineRule="auto"/>
        <w:jc w:val="both"/>
        <w:sectPr>
          <w:type w:val="continuous"/>
          <w:pgSz w:w="8640" w:h="12960"/>
          <w:pgMar w:header="734" w:footer="0" w:top="1220" w:bottom="280" w:left="340" w:right="500"/>
        </w:sectPr>
      </w:pPr>
    </w:p>
    <w:p>
      <w:pPr>
        <w:pStyle w:val="BodyText"/>
        <w:spacing w:before="8"/>
        <w:rPr>
          <w:sz w:val="17"/>
        </w:rPr>
      </w:pPr>
    </w:p>
    <w:p>
      <w:pPr>
        <w:pStyle w:val="BodyText"/>
        <w:spacing w:line="292" w:lineRule="auto" w:before="102"/>
        <w:ind w:left="920" w:right="666"/>
        <w:jc w:val="both"/>
      </w:pPr>
      <w:r>
        <w:rPr>
          <w:color w:val="231F20"/>
          <w:w w:val="105"/>
        </w:rPr>
        <w:t>but</w:t>
      </w:r>
      <w:r>
        <w:rPr>
          <w:color w:val="231F20"/>
          <w:spacing w:val="-1"/>
          <w:w w:val="105"/>
        </w:rPr>
        <w:t> </w:t>
      </w:r>
      <w:r>
        <w:rPr>
          <w:color w:val="231F20"/>
          <w:w w:val="105"/>
        </w:rPr>
        <w:t>they</w:t>
      </w:r>
      <w:r>
        <w:rPr>
          <w:color w:val="231F20"/>
          <w:spacing w:val="-1"/>
          <w:w w:val="105"/>
        </w:rPr>
        <w:t> </w:t>
      </w:r>
      <w:r>
        <w:rPr>
          <w:color w:val="231F20"/>
          <w:w w:val="105"/>
        </w:rPr>
        <w:t>expect</w:t>
      </w:r>
      <w:r>
        <w:rPr>
          <w:color w:val="231F20"/>
          <w:spacing w:val="-1"/>
          <w:w w:val="105"/>
        </w:rPr>
        <w:t> </w:t>
      </w:r>
      <w:r>
        <w:rPr>
          <w:color w:val="231F20"/>
          <w:w w:val="105"/>
        </w:rPr>
        <w:t>that</w:t>
      </w:r>
      <w:r>
        <w:rPr>
          <w:color w:val="231F20"/>
          <w:spacing w:val="-1"/>
          <w:w w:val="105"/>
        </w:rPr>
        <w:t> </w:t>
      </w:r>
      <w:r>
        <w:rPr>
          <w:color w:val="231F20"/>
          <w:w w:val="105"/>
        </w:rPr>
        <w:t>as</w:t>
      </w:r>
      <w:r>
        <w:rPr>
          <w:color w:val="231F20"/>
          <w:spacing w:val="-1"/>
          <w:w w:val="105"/>
        </w:rPr>
        <w:t> </w:t>
      </w:r>
      <w:r>
        <w:rPr>
          <w:color w:val="231F20"/>
          <w:w w:val="105"/>
        </w:rPr>
        <w:t>an</w:t>
      </w:r>
      <w:r>
        <w:rPr>
          <w:color w:val="231F20"/>
          <w:spacing w:val="-1"/>
          <w:w w:val="105"/>
        </w:rPr>
        <w:t> </w:t>
      </w:r>
      <w:r>
        <w:rPr>
          <w:color w:val="231F20"/>
          <w:w w:val="105"/>
        </w:rPr>
        <w:t>MBA,</w:t>
      </w:r>
      <w:r>
        <w:rPr>
          <w:color w:val="231F20"/>
          <w:spacing w:val="-1"/>
          <w:w w:val="105"/>
        </w:rPr>
        <w:t> </w:t>
      </w:r>
      <w:r>
        <w:rPr>
          <w:color w:val="231F20"/>
          <w:w w:val="105"/>
        </w:rPr>
        <w:t>you’ll</w:t>
      </w:r>
      <w:r>
        <w:rPr>
          <w:color w:val="231F20"/>
          <w:spacing w:val="-1"/>
          <w:w w:val="105"/>
        </w:rPr>
        <w:t> </w:t>
      </w:r>
      <w:r>
        <w:rPr>
          <w:color w:val="231F20"/>
          <w:w w:val="105"/>
        </w:rPr>
        <w:t>seek</w:t>
      </w:r>
      <w:r>
        <w:rPr>
          <w:color w:val="231F20"/>
          <w:spacing w:val="-1"/>
          <w:w w:val="105"/>
        </w:rPr>
        <w:t> </w:t>
      </w:r>
      <w:r>
        <w:rPr>
          <w:color w:val="231F20"/>
          <w:w w:val="105"/>
        </w:rPr>
        <w:t>out</w:t>
      </w:r>
      <w:r>
        <w:rPr>
          <w:color w:val="231F20"/>
          <w:spacing w:val="-1"/>
          <w:w w:val="105"/>
        </w:rPr>
        <w:t> </w:t>
      </w:r>
      <w:r>
        <w:rPr>
          <w:color w:val="231F20"/>
          <w:w w:val="105"/>
        </w:rPr>
        <w:t>an</w:t>
      </w:r>
      <w:r>
        <w:rPr>
          <w:color w:val="231F20"/>
          <w:spacing w:val="-1"/>
          <w:w w:val="105"/>
        </w:rPr>
        <w:t> </w:t>
      </w:r>
      <w:r>
        <w:rPr>
          <w:color w:val="231F20"/>
          <w:w w:val="105"/>
        </w:rPr>
        <w:t>expert</w:t>
      </w:r>
      <w:r>
        <w:rPr>
          <w:color w:val="231F20"/>
          <w:spacing w:val="-1"/>
          <w:w w:val="105"/>
        </w:rPr>
        <w:t> </w:t>
      </w:r>
      <w:r>
        <w:rPr>
          <w:color w:val="231F20"/>
          <w:w w:val="105"/>
        </w:rPr>
        <w:t>to</w:t>
      </w:r>
      <w:r>
        <w:rPr>
          <w:color w:val="231F20"/>
          <w:spacing w:val="-1"/>
          <w:w w:val="105"/>
        </w:rPr>
        <w:t> </w:t>
      </w:r>
      <w:r>
        <w:rPr>
          <w:color w:val="231F20"/>
          <w:w w:val="105"/>
        </w:rPr>
        <w:t>imple- ment the program.</w:t>
      </w:r>
    </w:p>
    <w:p>
      <w:pPr>
        <w:pStyle w:val="BodyText"/>
        <w:rPr>
          <w:sz w:val="24"/>
        </w:rPr>
      </w:pPr>
    </w:p>
    <w:p>
      <w:pPr>
        <w:pStyle w:val="BodyText"/>
        <w:spacing w:before="5"/>
        <w:rPr>
          <w:sz w:val="33"/>
        </w:rPr>
      </w:pPr>
    </w:p>
    <w:p>
      <w:pPr>
        <w:pStyle w:val="Heading6"/>
        <w:spacing w:before="1"/>
        <w:ind w:left="468"/>
        <w:rPr>
          <w:i/>
        </w:rPr>
      </w:pPr>
      <w:r>
        <w:rPr>
          <w:i/>
          <w:color w:val="231F20"/>
          <w:spacing w:val="-2"/>
          <w:w w:val="110"/>
        </w:rPr>
        <w:t>INVENTORY</w:t>
      </w:r>
    </w:p>
    <w:p>
      <w:pPr>
        <w:pStyle w:val="BodyText"/>
        <w:spacing w:before="1"/>
        <w:rPr>
          <w:b/>
          <w:i/>
          <w:sz w:val="30"/>
        </w:rPr>
      </w:pPr>
    </w:p>
    <w:p>
      <w:pPr>
        <w:pStyle w:val="BodyText"/>
        <w:spacing w:line="292" w:lineRule="auto" w:before="1"/>
        <w:ind w:left="920" w:right="664"/>
        <w:jc w:val="both"/>
        <w:rPr>
          <w:i/>
        </w:rPr>
      </w:pPr>
      <w:r>
        <w:rPr>
          <w:i/>
          <w:color w:val="231F20"/>
        </w:rPr>
        <w:t>The Balancing Act. </w:t>
      </w:r>
      <w:r>
        <w:rPr>
          <w:color w:val="231F20"/>
        </w:rPr>
        <w:t>The optimal inventory level is a delicate balanc- ing act. Inventory decisions are tough because different </w:t>
      </w:r>
      <w:r>
        <w:rPr>
          <w:color w:val="231F20"/>
        </w:rPr>
        <w:t>departments of the same company have different goals. When it comes to auto- mobiles, marketers prefer to have too much rather than too little in- ventory. Salespeople want product for their customers. They hate to lose a sale because they are out of the hot minivan or sports car. Fi- nance people want to carry the least amount of inventory possible. A smaller inventory investment leaves them with more cash on hand for other investments or to pay higher dividends. Production depart- ments like to run as efficiently as possible. Long runs reduce the waste of multiple starts and stops, but can, of course, also be respon- sible for significant inventory buildups. MBAs call the process for getting all this right </w:t>
      </w:r>
      <w:r>
        <w:rPr>
          <w:i/>
          <w:color w:val="231F20"/>
        </w:rPr>
        <w:t>supply chain management.</w:t>
      </w:r>
    </w:p>
    <w:p>
      <w:pPr>
        <w:pStyle w:val="BodyText"/>
        <w:spacing w:before="6"/>
        <w:rPr>
          <w:i/>
          <w:sz w:val="31"/>
        </w:rPr>
      </w:pPr>
    </w:p>
    <w:p>
      <w:pPr>
        <w:spacing w:line="292" w:lineRule="auto" w:before="1"/>
        <w:ind w:left="920" w:right="666" w:firstLine="0"/>
        <w:jc w:val="both"/>
        <w:rPr>
          <w:sz w:val="21"/>
        </w:rPr>
      </w:pPr>
      <w:r>
        <w:rPr>
          <w:i/>
          <w:color w:val="231F20"/>
          <w:sz w:val="21"/>
        </w:rPr>
        <w:t>Inventory Vocabulary. </w:t>
      </w:r>
      <w:r>
        <w:rPr>
          <w:color w:val="231F20"/>
          <w:sz w:val="21"/>
        </w:rPr>
        <w:t>Inventory exists in one of three forms, be it </w:t>
      </w:r>
      <w:r>
        <w:rPr>
          <w:color w:val="231F20"/>
          <w:sz w:val="21"/>
        </w:rPr>
        <w:t>in</w:t>
      </w:r>
      <w:r>
        <w:rPr>
          <w:color w:val="231F20"/>
          <w:spacing w:val="80"/>
          <w:sz w:val="21"/>
        </w:rPr>
        <w:t> </w:t>
      </w:r>
      <w:r>
        <w:rPr>
          <w:color w:val="231F20"/>
          <w:sz w:val="21"/>
        </w:rPr>
        <w:t>a factory or in a bakery:</w:t>
      </w:r>
    </w:p>
    <w:p>
      <w:pPr>
        <w:pStyle w:val="BodyText"/>
        <w:spacing w:before="8"/>
        <w:rPr>
          <w:sz w:val="33"/>
        </w:rPr>
      </w:pPr>
    </w:p>
    <w:p>
      <w:pPr>
        <w:spacing w:line="328" w:lineRule="auto" w:before="0"/>
        <w:ind w:left="1600" w:right="1262" w:hanging="340"/>
        <w:jc w:val="left"/>
        <w:rPr>
          <w:rFonts w:ascii="Arial" w:hAnsi="Arial"/>
          <w:sz w:val="19"/>
        </w:rPr>
      </w:pPr>
      <w:r>
        <w:rPr>
          <w:rFonts w:ascii="Arial" w:hAnsi="Arial"/>
          <w:i/>
          <w:color w:val="231F20"/>
          <w:w w:val="110"/>
          <w:sz w:val="19"/>
        </w:rPr>
        <w:t>Raw</w:t>
      </w:r>
      <w:r>
        <w:rPr>
          <w:rFonts w:ascii="Arial" w:hAnsi="Arial"/>
          <w:i/>
          <w:color w:val="231F20"/>
          <w:spacing w:val="-15"/>
          <w:w w:val="110"/>
          <w:sz w:val="19"/>
        </w:rPr>
        <w:t> </w:t>
      </w:r>
      <w:r>
        <w:rPr>
          <w:rFonts w:ascii="Arial" w:hAnsi="Arial"/>
          <w:i/>
          <w:color w:val="231F20"/>
          <w:w w:val="110"/>
          <w:sz w:val="19"/>
        </w:rPr>
        <w:t>Materials</w:t>
      </w:r>
      <w:r>
        <w:rPr>
          <w:rFonts w:ascii="Arial" w:hAnsi="Arial"/>
          <w:i/>
          <w:color w:val="231F20"/>
          <w:spacing w:val="-39"/>
          <w:w w:val="110"/>
          <w:sz w:val="19"/>
        </w:rPr>
        <w:t> </w:t>
      </w:r>
      <w:r>
        <w:rPr>
          <w:rFonts w:ascii="Arial" w:hAnsi="Arial"/>
          <w:color w:val="231F20"/>
          <w:w w:val="110"/>
          <w:sz w:val="19"/>
        </w:rPr>
        <w:t>—</w:t>
      </w:r>
      <w:r>
        <w:rPr>
          <w:rFonts w:ascii="Arial" w:hAnsi="Arial"/>
          <w:color w:val="231F20"/>
          <w:spacing w:val="-40"/>
          <w:w w:val="110"/>
          <w:sz w:val="19"/>
        </w:rPr>
        <w:t> </w:t>
      </w:r>
      <w:r>
        <w:rPr>
          <w:rFonts w:ascii="Arial" w:hAnsi="Arial"/>
          <w:color w:val="231F20"/>
          <w:w w:val="110"/>
          <w:sz w:val="19"/>
        </w:rPr>
        <w:t>Flour,</w:t>
      </w:r>
      <w:r>
        <w:rPr>
          <w:rFonts w:ascii="Arial" w:hAnsi="Arial"/>
          <w:color w:val="231F20"/>
          <w:spacing w:val="-14"/>
          <w:w w:val="110"/>
          <w:sz w:val="19"/>
        </w:rPr>
        <w:t> </w:t>
      </w:r>
      <w:r>
        <w:rPr>
          <w:rFonts w:ascii="Arial" w:hAnsi="Arial"/>
          <w:color w:val="231F20"/>
          <w:w w:val="110"/>
          <w:sz w:val="19"/>
        </w:rPr>
        <w:t>sugar,</w:t>
      </w:r>
      <w:r>
        <w:rPr>
          <w:rFonts w:ascii="Arial" w:hAnsi="Arial"/>
          <w:color w:val="231F20"/>
          <w:spacing w:val="-15"/>
          <w:w w:val="110"/>
          <w:sz w:val="19"/>
        </w:rPr>
        <w:t> </w:t>
      </w:r>
      <w:r>
        <w:rPr>
          <w:rFonts w:ascii="Arial" w:hAnsi="Arial"/>
          <w:color w:val="231F20"/>
          <w:w w:val="110"/>
          <w:sz w:val="19"/>
        </w:rPr>
        <w:t>shortening,</w:t>
      </w:r>
      <w:r>
        <w:rPr>
          <w:rFonts w:ascii="Arial" w:hAnsi="Arial"/>
          <w:color w:val="231F20"/>
          <w:spacing w:val="-13"/>
          <w:w w:val="110"/>
          <w:sz w:val="19"/>
        </w:rPr>
        <w:t> </w:t>
      </w:r>
      <w:r>
        <w:rPr>
          <w:rFonts w:ascii="Arial" w:hAnsi="Arial"/>
          <w:color w:val="231F20"/>
          <w:w w:val="110"/>
          <w:sz w:val="19"/>
        </w:rPr>
        <w:t>ready-made icing, etc.</w:t>
      </w:r>
    </w:p>
    <w:p>
      <w:pPr>
        <w:spacing w:line="328" w:lineRule="auto" w:before="2"/>
        <w:ind w:left="1600" w:right="1262" w:hanging="340"/>
        <w:jc w:val="left"/>
        <w:rPr>
          <w:rFonts w:ascii="Arial" w:hAnsi="Arial"/>
          <w:sz w:val="19"/>
        </w:rPr>
      </w:pPr>
      <w:r>
        <w:rPr>
          <w:rFonts w:ascii="Arial" w:hAnsi="Arial"/>
          <w:i/>
          <w:color w:val="231F20"/>
          <w:w w:val="110"/>
          <w:sz w:val="19"/>
        </w:rPr>
        <w:t>Work in Process</w:t>
      </w:r>
      <w:r>
        <w:rPr>
          <w:rFonts w:ascii="Arial" w:hAnsi="Arial"/>
          <w:i/>
          <w:color w:val="231F20"/>
          <w:spacing w:val="-39"/>
          <w:w w:val="110"/>
          <w:sz w:val="19"/>
        </w:rPr>
        <w:t> </w:t>
      </w:r>
      <w:r>
        <w:rPr>
          <w:rFonts w:ascii="Arial" w:hAnsi="Arial"/>
          <w:color w:val="231F20"/>
          <w:w w:val="110"/>
          <w:sz w:val="19"/>
        </w:rPr>
        <w:t>—</w:t>
      </w:r>
      <w:r>
        <w:rPr>
          <w:rFonts w:ascii="Arial" w:hAnsi="Arial"/>
          <w:color w:val="231F20"/>
          <w:spacing w:val="-39"/>
          <w:w w:val="110"/>
          <w:sz w:val="19"/>
        </w:rPr>
        <w:t> </w:t>
      </w:r>
      <w:r>
        <w:rPr>
          <w:rFonts w:ascii="Arial" w:hAnsi="Arial"/>
          <w:color w:val="231F20"/>
          <w:w w:val="110"/>
          <w:sz w:val="19"/>
        </w:rPr>
        <w:t>Dough, pastry in the oven, pastry on cooling trays</w:t>
      </w:r>
    </w:p>
    <w:p>
      <w:pPr>
        <w:spacing w:line="328" w:lineRule="auto" w:before="1"/>
        <w:ind w:left="1599" w:right="1262" w:hanging="340"/>
        <w:jc w:val="left"/>
        <w:rPr>
          <w:rFonts w:ascii="Arial" w:hAnsi="Arial"/>
          <w:sz w:val="19"/>
        </w:rPr>
      </w:pPr>
      <w:r>
        <w:rPr>
          <w:rFonts w:ascii="Arial" w:hAnsi="Arial"/>
          <w:i/>
          <w:color w:val="231F20"/>
          <w:w w:val="110"/>
          <w:sz w:val="19"/>
        </w:rPr>
        <w:t>Finished</w:t>
      </w:r>
      <w:r>
        <w:rPr>
          <w:rFonts w:ascii="Arial" w:hAnsi="Arial"/>
          <w:i/>
          <w:color w:val="231F20"/>
          <w:spacing w:val="-9"/>
          <w:w w:val="110"/>
          <w:sz w:val="19"/>
        </w:rPr>
        <w:t> </w:t>
      </w:r>
      <w:r>
        <w:rPr>
          <w:rFonts w:ascii="Arial" w:hAnsi="Arial"/>
          <w:i/>
          <w:color w:val="231F20"/>
          <w:w w:val="110"/>
          <w:sz w:val="19"/>
        </w:rPr>
        <w:t>Goods</w:t>
      </w:r>
      <w:r>
        <w:rPr>
          <w:rFonts w:ascii="Arial" w:hAnsi="Arial"/>
          <w:i/>
          <w:color w:val="231F20"/>
          <w:spacing w:val="-40"/>
          <w:w w:val="110"/>
          <w:sz w:val="19"/>
        </w:rPr>
        <w:t> </w:t>
      </w:r>
      <w:r>
        <w:rPr>
          <w:rFonts w:ascii="Arial" w:hAnsi="Arial"/>
          <w:color w:val="231F20"/>
          <w:w w:val="110"/>
          <w:sz w:val="19"/>
        </w:rPr>
        <w:t>—</w:t>
      </w:r>
      <w:r>
        <w:rPr>
          <w:rFonts w:ascii="Arial" w:hAnsi="Arial"/>
          <w:color w:val="231F20"/>
          <w:spacing w:val="-39"/>
          <w:w w:val="110"/>
          <w:sz w:val="19"/>
        </w:rPr>
        <w:t> </w:t>
      </w:r>
      <w:r>
        <w:rPr>
          <w:rFonts w:ascii="Arial" w:hAnsi="Arial"/>
          <w:color w:val="231F20"/>
          <w:w w:val="110"/>
          <w:sz w:val="19"/>
        </w:rPr>
        <w:t>Cakes,</w:t>
      </w:r>
      <w:r>
        <w:rPr>
          <w:rFonts w:ascii="Arial" w:hAnsi="Arial"/>
          <w:color w:val="231F20"/>
          <w:spacing w:val="-5"/>
          <w:w w:val="110"/>
          <w:sz w:val="19"/>
        </w:rPr>
        <w:t> </w:t>
      </w:r>
      <w:r>
        <w:rPr>
          <w:rFonts w:ascii="Arial" w:hAnsi="Arial"/>
          <w:color w:val="231F20"/>
          <w:w w:val="110"/>
          <w:sz w:val="19"/>
        </w:rPr>
        <w:t>cookies,</w:t>
      </w:r>
      <w:r>
        <w:rPr>
          <w:rFonts w:ascii="Arial" w:hAnsi="Arial"/>
          <w:color w:val="231F20"/>
          <w:spacing w:val="-6"/>
          <w:w w:val="110"/>
          <w:sz w:val="19"/>
        </w:rPr>
        <w:t> </w:t>
      </w:r>
      <w:r>
        <w:rPr>
          <w:rFonts w:ascii="Arial" w:hAnsi="Arial"/>
          <w:color w:val="231F20"/>
          <w:w w:val="110"/>
          <w:sz w:val="19"/>
        </w:rPr>
        <w:t>and</w:t>
      </w:r>
      <w:r>
        <w:rPr>
          <w:rFonts w:ascii="Arial" w:hAnsi="Arial"/>
          <w:color w:val="231F20"/>
          <w:spacing w:val="-6"/>
          <w:w w:val="110"/>
          <w:sz w:val="19"/>
        </w:rPr>
        <w:t> </w:t>
      </w:r>
      <w:r>
        <w:rPr>
          <w:rFonts w:ascii="Arial" w:hAnsi="Arial"/>
          <w:color w:val="231F20"/>
          <w:w w:val="110"/>
          <w:sz w:val="19"/>
        </w:rPr>
        <w:t>doughnuts</w:t>
      </w:r>
      <w:r>
        <w:rPr>
          <w:rFonts w:ascii="Arial" w:hAnsi="Arial"/>
          <w:color w:val="231F20"/>
          <w:spacing w:val="-6"/>
          <w:w w:val="110"/>
          <w:sz w:val="19"/>
        </w:rPr>
        <w:t> </w:t>
      </w:r>
      <w:r>
        <w:rPr>
          <w:rFonts w:ascii="Arial" w:hAnsi="Arial"/>
          <w:color w:val="231F20"/>
          <w:w w:val="110"/>
          <w:sz w:val="19"/>
        </w:rPr>
        <w:t>ready for sale</w:t>
      </w:r>
    </w:p>
    <w:p>
      <w:pPr>
        <w:pStyle w:val="BodyText"/>
        <w:rPr>
          <w:rFonts w:ascii="Arial"/>
          <w:sz w:val="20"/>
        </w:rPr>
      </w:pPr>
    </w:p>
    <w:p>
      <w:pPr>
        <w:pStyle w:val="BodyText"/>
        <w:spacing w:line="292" w:lineRule="auto" w:before="125"/>
        <w:ind w:left="920" w:right="665" w:firstLine="340"/>
        <w:jc w:val="both"/>
      </w:pPr>
      <w:r>
        <w:rPr>
          <w:color w:val="231F20"/>
        </w:rPr>
        <w:t>Inventory includes not only the investment in materials, but </w:t>
      </w:r>
      <w:r>
        <w:rPr>
          <w:color w:val="231F20"/>
        </w:rPr>
        <w:t>also the investment in labor. As long as inventory remains in a company’s possession, money is being tied up. A simple and illustrative way of analyzing</w:t>
      </w:r>
      <w:r>
        <w:rPr>
          <w:color w:val="231F20"/>
          <w:spacing w:val="45"/>
        </w:rPr>
        <w:t> </w:t>
      </w:r>
      <w:r>
        <w:rPr>
          <w:color w:val="231F20"/>
        </w:rPr>
        <w:t>inventory</w:t>
      </w:r>
      <w:r>
        <w:rPr>
          <w:color w:val="231F20"/>
          <w:spacing w:val="45"/>
        </w:rPr>
        <w:t> </w:t>
      </w:r>
      <w:r>
        <w:rPr>
          <w:color w:val="231F20"/>
        </w:rPr>
        <w:t>levels</w:t>
      </w:r>
      <w:r>
        <w:rPr>
          <w:color w:val="231F20"/>
          <w:spacing w:val="46"/>
        </w:rPr>
        <w:t> </w:t>
      </w:r>
      <w:r>
        <w:rPr>
          <w:color w:val="231F20"/>
        </w:rPr>
        <w:t>is</w:t>
      </w:r>
      <w:r>
        <w:rPr>
          <w:color w:val="231F20"/>
          <w:spacing w:val="45"/>
        </w:rPr>
        <w:t> </w:t>
      </w:r>
      <w:r>
        <w:rPr>
          <w:color w:val="231F20"/>
        </w:rPr>
        <w:t>the</w:t>
      </w:r>
      <w:r>
        <w:rPr>
          <w:color w:val="231F20"/>
          <w:spacing w:val="46"/>
        </w:rPr>
        <w:t> </w:t>
      </w:r>
      <w:r>
        <w:rPr>
          <w:i/>
          <w:color w:val="231F20"/>
        </w:rPr>
        <w:t>inventory</w:t>
      </w:r>
      <w:r>
        <w:rPr>
          <w:i/>
          <w:color w:val="231F20"/>
          <w:spacing w:val="45"/>
        </w:rPr>
        <w:t> </w:t>
      </w:r>
      <w:r>
        <w:rPr>
          <w:i/>
          <w:color w:val="231F20"/>
        </w:rPr>
        <w:t>flow</w:t>
      </w:r>
      <w:r>
        <w:rPr>
          <w:i/>
          <w:color w:val="231F20"/>
          <w:spacing w:val="45"/>
        </w:rPr>
        <w:t> </w:t>
      </w:r>
      <w:r>
        <w:rPr>
          <w:i/>
          <w:color w:val="231F20"/>
        </w:rPr>
        <w:t>diagram</w:t>
      </w:r>
      <w:r>
        <w:rPr>
          <w:i/>
          <w:color w:val="231F20"/>
          <w:spacing w:val="46"/>
        </w:rPr>
        <w:t> </w:t>
      </w:r>
      <w:r>
        <w:rPr>
          <w:color w:val="231F20"/>
        </w:rPr>
        <w:t>on</w:t>
      </w:r>
      <w:r>
        <w:rPr>
          <w:color w:val="231F20"/>
          <w:spacing w:val="45"/>
        </w:rPr>
        <w:t> </w:t>
      </w:r>
      <w:r>
        <w:rPr>
          <w:color w:val="231F20"/>
          <w:spacing w:val="-4"/>
        </w:rPr>
        <w:t>page</w:t>
      </w:r>
    </w:p>
    <w:p>
      <w:pPr>
        <w:pStyle w:val="BodyText"/>
        <w:spacing w:line="245" w:lineRule="exact"/>
        <w:ind w:left="920"/>
        <w:jc w:val="both"/>
      </w:pPr>
      <w:r>
        <w:rPr>
          <w:color w:val="231F20"/>
        </w:rPr>
        <w:t>270.</w:t>
      </w:r>
      <w:r>
        <w:rPr>
          <w:color w:val="231F20"/>
          <w:spacing w:val="12"/>
        </w:rPr>
        <w:t> </w:t>
      </w:r>
      <w:r>
        <w:rPr>
          <w:color w:val="231F20"/>
        </w:rPr>
        <w:t>It</w:t>
      </w:r>
      <w:r>
        <w:rPr>
          <w:color w:val="231F20"/>
          <w:spacing w:val="12"/>
        </w:rPr>
        <w:t> </w:t>
      </w:r>
      <w:r>
        <w:rPr>
          <w:color w:val="231F20"/>
        </w:rPr>
        <w:t>shows</w:t>
      </w:r>
      <w:r>
        <w:rPr>
          <w:color w:val="231F20"/>
          <w:spacing w:val="13"/>
        </w:rPr>
        <w:t> </w:t>
      </w:r>
      <w:r>
        <w:rPr>
          <w:color w:val="231F20"/>
        </w:rPr>
        <w:t>the</w:t>
      </w:r>
      <w:r>
        <w:rPr>
          <w:color w:val="231F20"/>
          <w:spacing w:val="12"/>
        </w:rPr>
        <w:t> </w:t>
      </w:r>
      <w:r>
        <w:rPr>
          <w:color w:val="231F20"/>
        </w:rPr>
        <w:t>type</w:t>
      </w:r>
      <w:r>
        <w:rPr>
          <w:color w:val="231F20"/>
          <w:spacing w:val="13"/>
        </w:rPr>
        <w:t> </w:t>
      </w:r>
      <w:r>
        <w:rPr>
          <w:color w:val="231F20"/>
        </w:rPr>
        <w:t>and</w:t>
      </w:r>
      <w:r>
        <w:rPr>
          <w:color w:val="231F20"/>
          <w:spacing w:val="12"/>
        </w:rPr>
        <w:t> </w:t>
      </w:r>
      <w:r>
        <w:rPr>
          <w:color w:val="231F20"/>
        </w:rPr>
        <w:t>value</w:t>
      </w:r>
      <w:r>
        <w:rPr>
          <w:color w:val="231F20"/>
          <w:spacing w:val="13"/>
        </w:rPr>
        <w:t> </w:t>
      </w:r>
      <w:r>
        <w:rPr>
          <w:color w:val="231F20"/>
        </w:rPr>
        <w:t>of</w:t>
      </w:r>
      <w:r>
        <w:rPr>
          <w:color w:val="231F20"/>
          <w:spacing w:val="12"/>
        </w:rPr>
        <w:t> </w:t>
      </w:r>
      <w:r>
        <w:rPr>
          <w:color w:val="231F20"/>
        </w:rPr>
        <w:t>a</w:t>
      </w:r>
      <w:r>
        <w:rPr>
          <w:color w:val="231F20"/>
          <w:spacing w:val="13"/>
        </w:rPr>
        <w:t> </w:t>
      </w:r>
      <w:r>
        <w:rPr>
          <w:color w:val="231F20"/>
        </w:rPr>
        <w:t>factory’s</w:t>
      </w:r>
      <w:r>
        <w:rPr>
          <w:color w:val="231F20"/>
          <w:spacing w:val="12"/>
        </w:rPr>
        <w:t> </w:t>
      </w:r>
      <w:r>
        <w:rPr>
          <w:color w:val="231F20"/>
        </w:rPr>
        <w:t>inventory.</w:t>
      </w:r>
      <w:r>
        <w:rPr>
          <w:color w:val="231F20"/>
          <w:spacing w:val="13"/>
        </w:rPr>
        <w:t> </w:t>
      </w:r>
      <w:r>
        <w:rPr>
          <w:color w:val="231F20"/>
        </w:rPr>
        <w:t>As</w:t>
      </w:r>
      <w:r>
        <w:rPr>
          <w:color w:val="231F20"/>
          <w:spacing w:val="12"/>
        </w:rPr>
        <w:t> </w:t>
      </w:r>
      <w:r>
        <w:rPr>
          <w:color w:val="231F20"/>
        </w:rPr>
        <w:t>a</w:t>
      </w:r>
      <w:r>
        <w:rPr>
          <w:color w:val="231F20"/>
          <w:spacing w:val="12"/>
        </w:rPr>
        <w:t> </w:t>
      </w:r>
      <w:r>
        <w:rPr>
          <w:color w:val="231F20"/>
          <w:spacing w:val="-2"/>
        </w:rPr>
        <w:t>prod-</w:t>
      </w:r>
    </w:p>
    <w:p>
      <w:pPr>
        <w:spacing w:after="0" w:line="245" w:lineRule="exact"/>
        <w:jc w:val="both"/>
        <w:sectPr>
          <w:pgSz w:w="8640" w:h="12960"/>
          <w:pgMar w:header="734" w:footer="0" w:top="920" w:bottom="280" w:left="340" w:right="500"/>
        </w:sectPr>
      </w:pPr>
    </w:p>
    <w:p>
      <w:pPr>
        <w:pStyle w:val="BodyText"/>
        <w:spacing w:before="10"/>
        <w:rPr>
          <w:sz w:val="19"/>
        </w:rPr>
      </w:pPr>
    </w:p>
    <w:p>
      <w:pPr>
        <w:spacing w:before="96"/>
        <w:ind w:left="293" w:right="219" w:firstLine="0"/>
        <w:jc w:val="center"/>
        <w:rPr>
          <w:rFonts w:ascii="Arial"/>
          <w:sz w:val="14"/>
        </w:rPr>
      </w:pPr>
      <w:r>
        <w:rPr>
          <w:rFonts w:ascii="Arial"/>
          <w:color w:val="231F20"/>
          <w:w w:val="110"/>
          <w:sz w:val="14"/>
        </w:rPr>
        <w:t>INVENTORY</w:t>
      </w:r>
      <w:r>
        <w:rPr>
          <w:rFonts w:ascii="Arial"/>
          <w:color w:val="231F20"/>
          <w:spacing w:val="5"/>
          <w:w w:val="110"/>
          <w:sz w:val="14"/>
        </w:rPr>
        <w:t> </w:t>
      </w:r>
      <w:r>
        <w:rPr>
          <w:rFonts w:ascii="Arial"/>
          <w:color w:val="231F20"/>
          <w:w w:val="110"/>
          <w:sz w:val="14"/>
        </w:rPr>
        <w:t>FLOW</w:t>
      </w:r>
      <w:r>
        <w:rPr>
          <w:rFonts w:ascii="Arial"/>
          <w:color w:val="231F20"/>
          <w:spacing w:val="6"/>
          <w:w w:val="110"/>
          <w:sz w:val="14"/>
        </w:rPr>
        <w:t> </w:t>
      </w:r>
      <w:r>
        <w:rPr>
          <w:rFonts w:ascii="Arial"/>
          <w:color w:val="231F20"/>
          <w:spacing w:val="-2"/>
          <w:w w:val="110"/>
          <w:sz w:val="14"/>
        </w:rPr>
        <w:t>DIAGRAM</w:t>
      </w:r>
    </w:p>
    <w:p>
      <w:pPr>
        <w:pStyle w:val="BodyText"/>
        <w:spacing w:before="8"/>
        <w:rPr>
          <w:rFonts w:ascii="Arial"/>
          <w:sz w:val="15"/>
        </w:rPr>
      </w:pPr>
      <w:r>
        <w:rPr/>
        <w:drawing>
          <wp:anchor distT="0" distB="0" distL="0" distR="0" allowOverlap="1" layoutInCell="1" locked="0" behindDoc="0" simplePos="0" relativeHeight="334">
            <wp:simplePos x="0" y="0"/>
            <wp:positionH relativeFrom="page">
              <wp:posOffset>868127</wp:posOffset>
            </wp:positionH>
            <wp:positionV relativeFrom="paragraph">
              <wp:posOffset>129844</wp:posOffset>
            </wp:positionV>
            <wp:extent cx="3706275" cy="2487168"/>
            <wp:effectExtent l="0" t="0" r="0" b="0"/>
            <wp:wrapTopAndBottom/>
            <wp:docPr id="115" name="image67.png"/>
            <wp:cNvGraphicFramePr>
              <a:graphicFrameLocks noChangeAspect="1"/>
            </wp:cNvGraphicFramePr>
            <a:graphic>
              <a:graphicData uri="http://schemas.openxmlformats.org/drawingml/2006/picture">
                <pic:pic>
                  <pic:nvPicPr>
                    <pic:cNvPr id="116" name="image67.png"/>
                    <pic:cNvPicPr/>
                  </pic:nvPicPr>
                  <pic:blipFill>
                    <a:blip r:embed="rId102" cstate="print"/>
                    <a:stretch>
                      <a:fillRect/>
                    </a:stretch>
                  </pic:blipFill>
                  <pic:spPr>
                    <a:xfrm>
                      <a:off x="0" y="0"/>
                      <a:ext cx="3706275" cy="2487168"/>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spacing w:before="5"/>
        <w:rPr>
          <w:rFonts w:ascii="Arial"/>
          <w:sz w:val="15"/>
        </w:rPr>
      </w:pPr>
    </w:p>
    <w:p>
      <w:pPr>
        <w:pStyle w:val="BodyText"/>
        <w:spacing w:line="292" w:lineRule="auto"/>
        <w:ind w:left="830" w:right="667"/>
      </w:pPr>
      <w:r>
        <w:rPr>
          <w:color w:val="231F20"/>
        </w:rPr>
        <w:t>uct</w:t>
      </w:r>
      <w:r>
        <w:rPr>
          <w:color w:val="231F20"/>
          <w:spacing w:val="74"/>
        </w:rPr>
        <w:t> </w:t>
      </w:r>
      <w:r>
        <w:rPr>
          <w:color w:val="231F20"/>
        </w:rPr>
        <w:t>is</w:t>
      </w:r>
      <w:r>
        <w:rPr>
          <w:color w:val="231F20"/>
          <w:spacing w:val="74"/>
        </w:rPr>
        <w:t> </w:t>
      </w:r>
      <w:r>
        <w:rPr>
          <w:color w:val="231F20"/>
        </w:rPr>
        <w:t>made,</w:t>
      </w:r>
      <w:r>
        <w:rPr>
          <w:color w:val="231F20"/>
          <w:spacing w:val="74"/>
        </w:rPr>
        <w:t> </w:t>
      </w:r>
      <w:r>
        <w:rPr>
          <w:color w:val="231F20"/>
        </w:rPr>
        <w:t>raw</w:t>
      </w:r>
      <w:r>
        <w:rPr>
          <w:color w:val="231F20"/>
          <w:spacing w:val="74"/>
        </w:rPr>
        <w:t> </w:t>
      </w:r>
      <w:r>
        <w:rPr>
          <w:color w:val="231F20"/>
        </w:rPr>
        <w:t>materials</w:t>
      </w:r>
      <w:r>
        <w:rPr>
          <w:color w:val="231F20"/>
          <w:spacing w:val="74"/>
        </w:rPr>
        <w:t> </w:t>
      </w:r>
      <w:r>
        <w:rPr>
          <w:color w:val="231F20"/>
        </w:rPr>
        <w:t>are</w:t>
      </w:r>
      <w:r>
        <w:rPr>
          <w:color w:val="231F20"/>
          <w:spacing w:val="74"/>
        </w:rPr>
        <w:t> </w:t>
      </w:r>
      <w:r>
        <w:rPr>
          <w:color w:val="231F20"/>
        </w:rPr>
        <w:t>combined</w:t>
      </w:r>
      <w:r>
        <w:rPr>
          <w:color w:val="231F20"/>
          <w:spacing w:val="74"/>
        </w:rPr>
        <w:t> </w:t>
      </w:r>
      <w:r>
        <w:rPr>
          <w:color w:val="231F20"/>
        </w:rPr>
        <w:t>with</w:t>
      </w:r>
      <w:r>
        <w:rPr>
          <w:color w:val="231F20"/>
          <w:spacing w:val="74"/>
        </w:rPr>
        <w:t> </w:t>
      </w:r>
      <w:r>
        <w:rPr>
          <w:color w:val="231F20"/>
        </w:rPr>
        <w:t>labor</w:t>
      </w:r>
      <w:r>
        <w:rPr>
          <w:color w:val="231F20"/>
          <w:spacing w:val="74"/>
        </w:rPr>
        <w:t> </w:t>
      </w:r>
      <w:r>
        <w:rPr>
          <w:color w:val="231F20"/>
        </w:rPr>
        <w:t>to</w:t>
      </w:r>
      <w:r>
        <w:rPr>
          <w:color w:val="231F20"/>
          <w:spacing w:val="74"/>
        </w:rPr>
        <w:t> </w:t>
      </w:r>
      <w:r>
        <w:rPr>
          <w:color w:val="231F20"/>
        </w:rPr>
        <w:t>create finished goods of higher value.</w:t>
      </w:r>
    </w:p>
    <w:p>
      <w:pPr>
        <w:pStyle w:val="BodyText"/>
        <w:spacing w:before="6"/>
        <w:rPr>
          <w:sz w:val="25"/>
        </w:rPr>
      </w:pPr>
    </w:p>
    <w:p>
      <w:pPr>
        <w:spacing w:line="292" w:lineRule="auto" w:before="1"/>
        <w:ind w:left="830" w:right="0" w:firstLine="0"/>
        <w:jc w:val="left"/>
        <w:rPr>
          <w:sz w:val="21"/>
        </w:rPr>
      </w:pPr>
      <w:r>
        <w:rPr>
          <w:i/>
          <w:color w:val="231F20"/>
          <w:sz w:val="21"/>
        </w:rPr>
        <w:t>Reasons</w:t>
      </w:r>
      <w:r>
        <w:rPr>
          <w:i/>
          <w:color w:val="231F20"/>
          <w:spacing w:val="32"/>
          <w:sz w:val="21"/>
        </w:rPr>
        <w:t> </w:t>
      </w:r>
      <w:r>
        <w:rPr>
          <w:i/>
          <w:color w:val="231F20"/>
          <w:sz w:val="21"/>
        </w:rPr>
        <w:t>for</w:t>
      </w:r>
      <w:r>
        <w:rPr>
          <w:i/>
          <w:color w:val="231F20"/>
          <w:spacing w:val="32"/>
          <w:sz w:val="21"/>
        </w:rPr>
        <w:t> </w:t>
      </w:r>
      <w:r>
        <w:rPr>
          <w:i/>
          <w:color w:val="231F20"/>
          <w:sz w:val="21"/>
        </w:rPr>
        <w:t>Holding</w:t>
      </w:r>
      <w:r>
        <w:rPr>
          <w:i/>
          <w:color w:val="231F20"/>
          <w:spacing w:val="32"/>
          <w:sz w:val="21"/>
        </w:rPr>
        <w:t> </w:t>
      </w:r>
      <w:r>
        <w:rPr>
          <w:i/>
          <w:color w:val="231F20"/>
          <w:sz w:val="21"/>
        </w:rPr>
        <w:t>Inventory. </w:t>
      </w:r>
      <w:r>
        <w:rPr>
          <w:color w:val="231F20"/>
          <w:sz w:val="21"/>
        </w:rPr>
        <w:t>There</w:t>
      </w:r>
      <w:r>
        <w:rPr>
          <w:color w:val="231F20"/>
          <w:spacing w:val="32"/>
          <w:sz w:val="21"/>
        </w:rPr>
        <w:t> </w:t>
      </w:r>
      <w:r>
        <w:rPr>
          <w:color w:val="231F20"/>
          <w:sz w:val="21"/>
        </w:rPr>
        <w:t>are</w:t>
      </w:r>
      <w:r>
        <w:rPr>
          <w:color w:val="231F20"/>
          <w:spacing w:val="32"/>
          <w:sz w:val="21"/>
        </w:rPr>
        <w:t> </w:t>
      </w:r>
      <w:r>
        <w:rPr>
          <w:color w:val="231F20"/>
          <w:sz w:val="21"/>
        </w:rPr>
        <w:t>five</w:t>
      </w:r>
      <w:r>
        <w:rPr>
          <w:color w:val="231F20"/>
          <w:spacing w:val="32"/>
          <w:sz w:val="21"/>
        </w:rPr>
        <w:t> </w:t>
      </w:r>
      <w:r>
        <w:rPr>
          <w:color w:val="231F20"/>
          <w:sz w:val="21"/>
        </w:rPr>
        <w:t>major</w:t>
      </w:r>
      <w:r>
        <w:rPr>
          <w:color w:val="231F20"/>
          <w:spacing w:val="32"/>
          <w:sz w:val="21"/>
        </w:rPr>
        <w:t> </w:t>
      </w:r>
      <w:r>
        <w:rPr>
          <w:color w:val="231F20"/>
          <w:sz w:val="21"/>
        </w:rPr>
        <w:t>and</w:t>
      </w:r>
      <w:r>
        <w:rPr>
          <w:color w:val="231F20"/>
          <w:spacing w:val="32"/>
          <w:sz w:val="21"/>
        </w:rPr>
        <w:t> </w:t>
      </w:r>
      <w:r>
        <w:rPr>
          <w:color w:val="231F20"/>
          <w:sz w:val="21"/>
        </w:rPr>
        <w:t>legitimate justifications for holding inventory:</w:t>
      </w:r>
    </w:p>
    <w:p>
      <w:pPr>
        <w:pStyle w:val="BodyText"/>
        <w:spacing w:before="4"/>
        <w:rPr>
          <w:sz w:val="27"/>
        </w:rPr>
      </w:pPr>
    </w:p>
    <w:p>
      <w:pPr>
        <w:spacing w:line="328" w:lineRule="auto" w:before="0"/>
        <w:ind w:left="1510" w:right="728" w:hanging="340"/>
        <w:jc w:val="left"/>
        <w:rPr>
          <w:rFonts w:ascii="Arial" w:hAnsi="Arial"/>
          <w:sz w:val="19"/>
        </w:rPr>
      </w:pPr>
      <w:r>
        <w:rPr>
          <w:rFonts w:ascii="Arial" w:hAnsi="Arial"/>
          <w:i/>
          <w:color w:val="231F20"/>
          <w:spacing w:val="-2"/>
          <w:w w:val="115"/>
          <w:sz w:val="19"/>
        </w:rPr>
        <w:t>Pipeline</w:t>
      </w:r>
      <w:r>
        <w:rPr>
          <w:rFonts w:ascii="Arial" w:hAnsi="Arial"/>
          <w:i/>
          <w:color w:val="231F20"/>
          <w:spacing w:val="-42"/>
          <w:w w:val="115"/>
          <w:sz w:val="19"/>
        </w:rPr>
        <w:t> </w:t>
      </w:r>
      <w:r>
        <w:rPr>
          <w:rFonts w:ascii="Arial" w:hAnsi="Arial"/>
          <w:color w:val="231F20"/>
          <w:spacing w:val="-2"/>
          <w:w w:val="115"/>
          <w:sz w:val="19"/>
        </w:rPr>
        <w:t>—</w:t>
      </w:r>
      <w:r>
        <w:rPr>
          <w:rFonts w:ascii="Arial" w:hAnsi="Arial"/>
          <w:color w:val="231F20"/>
          <w:spacing w:val="-42"/>
          <w:w w:val="115"/>
          <w:sz w:val="19"/>
        </w:rPr>
        <w:t> </w:t>
      </w:r>
      <w:r>
        <w:rPr>
          <w:rFonts w:ascii="Arial" w:hAnsi="Arial"/>
          <w:color w:val="231F20"/>
          <w:spacing w:val="-2"/>
          <w:w w:val="115"/>
          <w:sz w:val="19"/>
        </w:rPr>
        <w:t>Inventory</w:t>
      </w:r>
      <w:r>
        <w:rPr>
          <w:rFonts w:ascii="Arial" w:hAnsi="Arial"/>
          <w:color w:val="231F20"/>
          <w:spacing w:val="-10"/>
          <w:w w:val="115"/>
          <w:sz w:val="19"/>
        </w:rPr>
        <w:t> </w:t>
      </w:r>
      <w:r>
        <w:rPr>
          <w:rFonts w:ascii="Arial" w:hAnsi="Arial"/>
          <w:color w:val="231F20"/>
          <w:spacing w:val="-2"/>
          <w:w w:val="115"/>
          <w:sz w:val="19"/>
        </w:rPr>
        <w:t>on</w:t>
      </w:r>
      <w:r>
        <w:rPr>
          <w:rFonts w:ascii="Arial" w:hAnsi="Arial"/>
          <w:color w:val="231F20"/>
          <w:spacing w:val="-8"/>
          <w:w w:val="115"/>
          <w:sz w:val="19"/>
        </w:rPr>
        <w:t> </w:t>
      </w:r>
      <w:r>
        <w:rPr>
          <w:rFonts w:ascii="Arial" w:hAnsi="Arial"/>
          <w:color w:val="231F20"/>
          <w:spacing w:val="-2"/>
          <w:w w:val="115"/>
          <w:sz w:val="19"/>
        </w:rPr>
        <w:t>hand</w:t>
      </w:r>
      <w:r>
        <w:rPr>
          <w:rFonts w:ascii="Arial" w:hAnsi="Arial"/>
          <w:color w:val="231F20"/>
          <w:spacing w:val="-8"/>
          <w:w w:val="115"/>
          <w:sz w:val="19"/>
        </w:rPr>
        <w:t> </w:t>
      </w:r>
      <w:r>
        <w:rPr>
          <w:rFonts w:ascii="Arial" w:hAnsi="Arial"/>
          <w:color w:val="231F20"/>
          <w:spacing w:val="-2"/>
          <w:w w:val="115"/>
          <w:sz w:val="19"/>
        </w:rPr>
        <w:t>to</w:t>
      </w:r>
      <w:r>
        <w:rPr>
          <w:rFonts w:ascii="Arial" w:hAnsi="Arial"/>
          <w:color w:val="231F20"/>
          <w:spacing w:val="-8"/>
          <w:w w:val="115"/>
          <w:sz w:val="19"/>
        </w:rPr>
        <w:t> </w:t>
      </w:r>
      <w:r>
        <w:rPr>
          <w:rFonts w:ascii="Arial" w:hAnsi="Arial"/>
          <w:color w:val="231F20"/>
          <w:spacing w:val="-2"/>
          <w:w w:val="115"/>
          <w:sz w:val="19"/>
        </w:rPr>
        <w:t>minimize</w:t>
      </w:r>
      <w:r>
        <w:rPr>
          <w:rFonts w:ascii="Arial" w:hAnsi="Arial"/>
          <w:color w:val="231F20"/>
          <w:spacing w:val="-8"/>
          <w:w w:val="115"/>
          <w:sz w:val="19"/>
        </w:rPr>
        <w:t> </w:t>
      </w:r>
      <w:r>
        <w:rPr>
          <w:rFonts w:ascii="Arial" w:hAnsi="Arial"/>
          <w:color w:val="231F20"/>
          <w:spacing w:val="-2"/>
          <w:w w:val="115"/>
          <w:sz w:val="19"/>
        </w:rPr>
        <w:t>production</w:t>
      </w:r>
      <w:r>
        <w:rPr>
          <w:rFonts w:ascii="Arial" w:hAnsi="Arial"/>
          <w:color w:val="231F20"/>
          <w:spacing w:val="-8"/>
          <w:w w:val="115"/>
          <w:sz w:val="19"/>
        </w:rPr>
        <w:t> </w:t>
      </w:r>
      <w:r>
        <w:rPr>
          <w:rFonts w:ascii="Arial" w:hAnsi="Arial"/>
          <w:color w:val="231F20"/>
          <w:spacing w:val="-2"/>
          <w:w w:val="115"/>
          <w:sz w:val="19"/>
        </w:rPr>
        <w:t>delays </w:t>
      </w:r>
      <w:r>
        <w:rPr>
          <w:rFonts w:ascii="Arial" w:hAnsi="Arial"/>
          <w:color w:val="231F20"/>
          <w:w w:val="115"/>
          <w:sz w:val="19"/>
        </w:rPr>
        <w:t>and maximize efficiency</w:t>
      </w:r>
    </w:p>
    <w:p>
      <w:pPr>
        <w:spacing w:line="328" w:lineRule="auto" w:before="1"/>
        <w:ind w:left="1509" w:right="1262" w:hanging="340"/>
        <w:jc w:val="left"/>
        <w:rPr>
          <w:rFonts w:ascii="Arial" w:hAnsi="Arial"/>
          <w:sz w:val="19"/>
        </w:rPr>
      </w:pPr>
      <w:r>
        <w:rPr>
          <w:rFonts w:ascii="Arial" w:hAnsi="Arial"/>
          <w:i/>
          <w:color w:val="231F20"/>
          <w:w w:val="110"/>
          <w:sz w:val="19"/>
        </w:rPr>
        <w:t>Cycle</w:t>
      </w:r>
      <w:r>
        <w:rPr>
          <w:rFonts w:ascii="Arial" w:hAnsi="Arial"/>
          <w:i/>
          <w:color w:val="231F20"/>
          <w:spacing w:val="-38"/>
          <w:w w:val="110"/>
          <w:sz w:val="19"/>
        </w:rPr>
        <w:t> </w:t>
      </w:r>
      <w:r>
        <w:rPr>
          <w:rFonts w:ascii="Arial" w:hAnsi="Arial"/>
          <w:color w:val="231F20"/>
          <w:w w:val="110"/>
          <w:sz w:val="19"/>
        </w:rPr>
        <w:t>—</w:t>
      </w:r>
      <w:r>
        <w:rPr>
          <w:rFonts w:ascii="Arial" w:hAnsi="Arial"/>
          <w:color w:val="231F20"/>
          <w:spacing w:val="-38"/>
          <w:w w:val="110"/>
          <w:sz w:val="19"/>
        </w:rPr>
        <w:t> </w:t>
      </w:r>
      <w:r>
        <w:rPr>
          <w:rFonts w:ascii="Arial" w:hAnsi="Arial"/>
          <w:color w:val="231F20"/>
          <w:w w:val="110"/>
          <w:sz w:val="19"/>
        </w:rPr>
        <w:t>Suppliers have minimum order amounts that </w:t>
      </w:r>
      <w:r>
        <w:rPr>
          <w:rFonts w:ascii="Arial" w:hAnsi="Arial"/>
          <w:color w:val="231F20"/>
          <w:w w:val="110"/>
          <w:sz w:val="19"/>
        </w:rPr>
        <w:t>are </w:t>
      </w:r>
      <w:r>
        <w:rPr>
          <w:rFonts w:ascii="Arial" w:hAnsi="Arial"/>
          <w:color w:val="231F20"/>
          <w:w w:val="115"/>
          <w:sz w:val="19"/>
        </w:rPr>
        <w:t>greater than immediate need.</w:t>
      </w:r>
    </w:p>
    <w:p>
      <w:pPr>
        <w:spacing w:line="328" w:lineRule="auto" w:before="1"/>
        <w:ind w:left="1509" w:right="667" w:hanging="340"/>
        <w:jc w:val="left"/>
        <w:rPr>
          <w:rFonts w:ascii="Arial" w:hAnsi="Arial"/>
          <w:sz w:val="19"/>
        </w:rPr>
      </w:pPr>
      <w:r>
        <w:rPr>
          <w:rFonts w:ascii="Arial" w:hAnsi="Arial"/>
          <w:i/>
          <w:color w:val="231F20"/>
          <w:spacing w:val="-2"/>
          <w:w w:val="115"/>
          <w:sz w:val="19"/>
        </w:rPr>
        <w:t>Safety</w:t>
      </w:r>
      <w:r>
        <w:rPr>
          <w:rFonts w:ascii="Arial" w:hAnsi="Arial"/>
          <w:color w:val="231F20"/>
          <w:spacing w:val="-2"/>
          <w:w w:val="115"/>
          <w:sz w:val="19"/>
        </w:rPr>
        <w:t>—</w:t>
      </w:r>
      <w:r>
        <w:rPr>
          <w:rFonts w:ascii="Arial" w:hAnsi="Arial"/>
          <w:color w:val="231F20"/>
          <w:spacing w:val="-42"/>
          <w:w w:val="115"/>
          <w:sz w:val="19"/>
        </w:rPr>
        <w:t> </w:t>
      </w:r>
      <w:r>
        <w:rPr>
          <w:rFonts w:ascii="Arial" w:hAnsi="Arial"/>
          <w:color w:val="231F20"/>
          <w:spacing w:val="-2"/>
          <w:w w:val="115"/>
          <w:sz w:val="19"/>
        </w:rPr>
        <w:t>Stocks</w:t>
      </w:r>
      <w:r>
        <w:rPr>
          <w:rFonts w:ascii="Arial" w:hAnsi="Arial"/>
          <w:color w:val="231F20"/>
          <w:spacing w:val="-11"/>
          <w:w w:val="115"/>
          <w:sz w:val="19"/>
        </w:rPr>
        <w:t> </w:t>
      </w:r>
      <w:r>
        <w:rPr>
          <w:rFonts w:ascii="Arial" w:hAnsi="Arial"/>
          <w:color w:val="231F20"/>
          <w:spacing w:val="-2"/>
          <w:w w:val="115"/>
          <w:sz w:val="19"/>
        </w:rPr>
        <w:t>held</w:t>
      </w:r>
      <w:r>
        <w:rPr>
          <w:rFonts w:ascii="Arial" w:hAnsi="Arial"/>
          <w:color w:val="231F20"/>
          <w:spacing w:val="-9"/>
          <w:w w:val="115"/>
          <w:sz w:val="19"/>
        </w:rPr>
        <w:t> </w:t>
      </w:r>
      <w:r>
        <w:rPr>
          <w:rFonts w:ascii="Arial" w:hAnsi="Arial"/>
          <w:color w:val="231F20"/>
          <w:spacing w:val="-2"/>
          <w:w w:val="115"/>
          <w:sz w:val="19"/>
        </w:rPr>
        <w:t>to</w:t>
      </w:r>
      <w:r>
        <w:rPr>
          <w:rFonts w:ascii="Arial" w:hAnsi="Arial"/>
          <w:color w:val="231F20"/>
          <w:spacing w:val="-9"/>
          <w:w w:val="115"/>
          <w:sz w:val="19"/>
        </w:rPr>
        <w:t> </w:t>
      </w:r>
      <w:r>
        <w:rPr>
          <w:rFonts w:ascii="Arial" w:hAnsi="Arial"/>
          <w:color w:val="231F20"/>
          <w:spacing w:val="-2"/>
          <w:w w:val="115"/>
          <w:sz w:val="19"/>
        </w:rPr>
        <w:t>avoid</w:t>
      </w:r>
      <w:r>
        <w:rPr>
          <w:rFonts w:ascii="Arial" w:hAnsi="Arial"/>
          <w:color w:val="231F20"/>
          <w:spacing w:val="-9"/>
          <w:w w:val="115"/>
          <w:sz w:val="19"/>
        </w:rPr>
        <w:t> </w:t>
      </w:r>
      <w:r>
        <w:rPr>
          <w:rFonts w:ascii="Arial" w:hAnsi="Arial"/>
          <w:color w:val="231F20"/>
          <w:spacing w:val="-2"/>
          <w:w w:val="115"/>
          <w:sz w:val="19"/>
        </w:rPr>
        <w:t>a</w:t>
      </w:r>
      <w:r>
        <w:rPr>
          <w:rFonts w:ascii="Arial" w:hAnsi="Arial"/>
          <w:color w:val="231F20"/>
          <w:spacing w:val="-9"/>
          <w:w w:val="115"/>
          <w:sz w:val="19"/>
        </w:rPr>
        <w:t> </w:t>
      </w:r>
      <w:r>
        <w:rPr>
          <w:rFonts w:ascii="Arial" w:hAnsi="Arial"/>
          <w:color w:val="231F20"/>
          <w:spacing w:val="-2"/>
          <w:w w:val="115"/>
          <w:sz w:val="19"/>
        </w:rPr>
        <w:t>shortage</w:t>
      </w:r>
      <w:r>
        <w:rPr>
          <w:rFonts w:ascii="Arial" w:hAnsi="Arial"/>
          <w:color w:val="231F20"/>
          <w:spacing w:val="-9"/>
          <w:w w:val="115"/>
          <w:sz w:val="19"/>
        </w:rPr>
        <w:t> </w:t>
      </w:r>
      <w:r>
        <w:rPr>
          <w:rFonts w:ascii="Arial" w:hAnsi="Arial"/>
          <w:color w:val="231F20"/>
          <w:spacing w:val="-2"/>
          <w:w w:val="115"/>
          <w:sz w:val="19"/>
        </w:rPr>
        <w:t>because</w:t>
      </w:r>
      <w:r>
        <w:rPr>
          <w:rFonts w:ascii="Arial" w:hAnsi="Arial"/>
          <w:color w:val="231F20"/>
          <w:spacing w:val="-9"/>
          <w:w w:val="115"/>
          <w:sz w:val="19"/>
        </w:rPr>
        <w:t> </w:t>
      </w:r>
      <w:r>
        <w:rPr>
          <w:rFonts w:ascii="Arial" w:hAnsi="Arial"/>
          <w:color w:val="231F20"/>
          <w:spacing w:val="-2"/>
          <w:w w:val="115"/>
          <w:sz w:val="19"/>
        </w:rPr>
        <w:t>of</w:t>
      </w:r>
      <w:r>
        <w:rPr>
          <w:rFonts w:ascii="Arial" w:hAnsi="Arial"/>
          <w:color w:val="231F20"/>
          <w:spacing w:val="-9"/>
          <w:w w:val="115"/>
          <w:sz w:val="19"/>
        </w:rPr>
        <w:t> </w:t>
      </w:r>
      <w:r>
        <w:rPr>
          <w:rFonts w:ascii="Arial" w:hAnsi="Arial"/>
          <w:color w:val="231F20"/>
          <w:spacing w:val="-2"/>
          <w:w w:val="115"/>
          <w:sz w:val="19"/>
        </w:rPr>
        <w:t>uncertain </w:t>
      </w:r>
      <w:r>
        <w:rPr>
          <w:rFonts w:ascii="Arial" w:hAnsi="Arial"/>
          <w:color w:val="231F20"/>
          <w:w w:val="115"/>
          <w:sz w:val="19"/>
        </w:rPr>
        <w:t>production demands. Stockouts cost money when production is halted.</w:t>
      </w:r>
    </w:p>
    <w:p>
      <w:pPr>
        <w:spacing w:line="328" w:lineRule="auto" w:before="2"/>
        <w:ind w:left="1509" w:right="1262" w:hanging="340"/>
        <w:jc w:val="left"/>
        <w:rPr>
          <w:rFonts w:ascii="Arial" w:hAnsi="Arial"/>
          <w:sz w:val="19"/>
        </w:rPr>
      </w:pPr>
      <w:r>
        <w:rPr>
          <w:rFonts w:ascii="Arial" w:hAnsi="Arial"/>
          <w:i/>
          <w:color w:val="231F20"/>
          <w:w w:val="115"/>
          <w:sz w:val="19"/>
        </w:rPr>
        <w:t>Anticipatory</w:t>
      </w:r>
      <w:r>
        <w:rPr>
          <w:rFonts w:ascii="Arial" w:hAnsi="Arial"/>
          <w:color w:val="231F20"/>
          <w:w w:val="115"/>
          <w:sz w:val="19"/>
        </w:rPr>
        <w:t>—</w:t>
      </w:r>
      <w:r>
        <w:rPr>
          <w:rFonts w:ascii="Arial" w:hAnsi="Arial"/>
          <w:color w:val="231F20"/>
          <w:spacing w:val="-42"/>
          <w:w w:val="115"/>
          <w:sz w:val="19"/>
        </w:rPr>
        <w:t> </w:t>
      </w:r>
      <w:r>
        <w:rPr>
          <w:rFonts w:ascii="Arial" w:hAnsi="Arial"/>
          <w:color w:val="231F20"/>
          <w:w w:val="115"/>
          <w:sz w:val="19"/>
        </w:rPr>
        <w:t>Inventory</w:t>
      </w:r>
      <w:r>
        <w:rPr>
          <w:rFonts w:ascii="Arial" w:hAnsi="Arial"/>
          <w:color w:val="231F20"/>
          <w:spacing w:val="-9"/>
          <w:w w:val="115"/>
          <w:sz w:val="19"/>
        </w:rPr>
        <w:t> </w:t>
      </w:r>
      <w:r>
        <w:rPr>
          <w:rFonts w:ascii="Arial" w:hAnsi="Arial"/>
          <w:color w:val="231F20"/>
          <w:w w:val="115"/>
          <w:sz w:val="19"/>
        </w:rPr>
        <w:t>held</w:t>
      </w:r>
      <w:r>
        <w:rPr>
          <w:rFonts w:ascii="Arial" w:hAnsi="Arial"/>
          <w:color w:val="231F20"/>
          <w:spacing w:val="-8"/>
          <w:w w:val="115"/>
          <w:sz w:val="19"/>
        </w:rPr>
        <w:t> </w:t>
      </w:r>
      <w:r>
        <w:rPr>
          <w:rFonts w:ascii="Arial" w:hAnsi="Arial"/>
          <w:color w:val="231F20"/>
          <w:w w:val="115"/>
          <w:sz w:val="19"/>
        </w:rPr>
        <w:t>in</w:t>
      </w:r>
      <w:r>
        <w:rPr>
          <w:rFonts w:ascii="Arial" w:hAnsi="Arial"/>
          <w:color w:val="231F20"/>
          <w:spacing w:val="-8"/>
          <w:w w:val="115"/>
          <w:sz w:val="19"/>
        </w:rPr>
        <w:t> </w:t>
      </w:r>
      <w:r>
        <w:rPr>
          <w:rFonts w:ascii="Arial" w:hAnsi="Arial"/>
          <w:color w:val="231F20"/>
          <w:w w:val="115"/>
          <w:sz w:val="19"/>
        </w:rPr>
        <w:t>anticipation</w:t>
      </w:r>
      <w:r>
        <w:rPr>
          <w:rFonts w:ascii="Arial" w:hAnsi="Arial"/>
          <w:color w:val="231F20"/>
          <w:spacing w:val="-8"/>
          <w:w w:val="115"/>
          <w:sz w:val="19"/>
        </w:rPr>
        <w:t> </w:t>
      </w:r>
      <w:r>
        <w:rPr>
          <w:rFonts w:ascii="Arial" w:hAnsi="Arial"/>
          <w:color w:val="231F20"/>
          <w:w w:val="115"/>
          <w:sz w:val="19"/>
        </w:rPr>
        <w:t>of</w:t>
      </w:r>
      <w:r>
        <w:rPr>
          <w:rFonts w:ascii="Arial" w:hAnsi="Arial"/>
          <w:color w:val="231F20"/>
          <w:spacing w:val="-8"/>
          <w:w w:val="115"/>
          <w:sz w:val="19"/>
        </w:rPr>
        <w:t> </w:t>
      </w:r>
      <w:r>
        <w:rPr>
          <w:rFonts w:ascii="Arial" w:hAnsi="Arial"/>
          <w:color w:val="231F20"/>
          <w:w w:val="115"/>
          <w:sz w:val="19"/>
        </w:rPr>
        <w:t>known </w:t>
      </w:r>
      <w:r>
        <w:rPr>
          <w:rFonts w:ascii="Arial" w:hAnsi="Arial"/>
          <w:color w:val="231F20"/>
          <w:spacing w:val="-2"/>
          <w:w w:val="115"/>
          <w:sz w:val="19"/>
        </w:rPr>
        <w:t>demand</w:t>
      </w:r>
    </w:p>
    <w:p>
      <w:pPr>
        <w:spacing w:line="328" w:lineRule="auto" w:before="2"/>
        <w:ind w:left="1509" w:right="1262" w:hanging="340"/>
        <w:jc w:val="left"/>
        <w:rPr>
          <w:rFonts w:ascii="Arial" w:hAnsi="Arial"/>
          <w:sz w:val="19"/>
        </w:rPr>
      </w:pPr>
      <w:r>
        <w:rPr>
          <w:rFonts w:ascii="Arial" w:hAnsi="Arial"/>
          <w:i/>
          <w:color w:val="231F20"/>
          <w:w w:val="110"/>
          <w:sz w:val="19"/>
        </w:rPr>
        <w:t>Speculative</w:t>
      </w:r>
      <w:r>
        <w:rPr>
          <w:rFonts w:ascii="Arial" w:hAnsi="Arial"/>
          <w:color w:val="231F20"/>
          <w:w w:val="110"/>
          <w:sz w:val="19"/>
        </w:rPr>
        <w:t>—</w:t>
      </w:r>
      <w:r>
        <w:rPr>
          <w:rFonts w:ascii="Arial" w:hAnsi="Arial"/>
          <w:color w:val="231F20"/>
          <w:spacing w:val="-36"/>
          <w:w w:val="110"/>
          <w:sz w:val="19"/>
        </w:rPr>
        <w:t> </w:t>
      </w:r>
      <w:r>
        <w:rPr>
          <w:rFonts w:ascii="Arial" w:hAnsi="Arial"/>
          <w:color w:val="231F20"/>
          <w:w w:val="110"/>
          <w:sz w:val="19"/>
        </w:rPr>
        <w:t>Items purchased to beat supplier price </w:t>
      </w:r>
      <w:r>
        <w:rPr>
          <w:rFonts w:ascii="Arial" w:hAnsi="Arial"/>
          <w:color w:val="231F20"/>
          <w:spacing w:val="-2"/>
          <w:w w:val="110"/>
          <w:sz w:val="19"/>
        </w:rPr>
        <w:t>increases</w:t>
      </w:r>
    </w:p>
    <w:p>
      <w:pPr>
        <w:pStyle w:val="BodyText"/>
        <w:spacing w:before="4"/>
        <w:rPr>
          <w:rFonts w:ascii="Arial"/>
          <w:sz w:val="24"/>
        </w:rPr>
      </w:pPr>
    </w:p>
    <w:p>
      <w:pPr>
        <w:pStyle w:val="BodyText"/>
        <w:spacing w:line="292" w:lineRule="auto"/>
        <w:ind w:left="830" w:right="667" w:firstLine="340"/>
      </w:pPr>
      <w:r>
        <w:rPr>
          <w:color w:val="231F20"/>
        </w:rPr>
        <w:t>In</w:t>
      </w:r>
      <w:r>
        <w:rPr>
          <w:color w:val="231F20"/>
          <w:spacing w:val="24"/>
        </w:rPr>
        <w:t> </w:t>
      </w:r>
      <w:r>
        <w:rPr>
          <w:color w:val="231F20"/>
        </w:rPr>
        <w:t>efficient</w:t>
      </w:r>
      <w:r>
        <w:rPr>
          <w:color w:val="231F20"/>
          <w:spacing w:val="24"/>
        </w:rPr>
        <w:t> </w:t>
      </w:r>
      <w:r>
        <w:rPr>
          <w:color w:val="231F20"/>
        </w:rPr>
        <w:t>companies,</w:t>
      </w:r>
      <w:r>
        <w:rPr>
          <w:color w:val="231F20"/>
          <w:spacing w:val="24"/>
        </w:rPr>
        <w:t> </w:t>
      </w:r>
      <w:r>
        <w:rPr>
          <w:color w:val="231F20"/>
        </w:rPr>
        <w:t>materials</w:t>
      </w:r>
      <w:r>
        <w:rPr>
          <w:color w:val="231F20"/>
          <w:spacing w:val="24"/>
        </w:rPr>
        <w:t> </w:t>
      </w:r>
      <w:r>
        <w:rPr>
          <w:color w:val="231F20"/>
        </w:rPr>
        <w:t>arrive</w:t>
      </w:r>
      <w:r>
        <w:rPr>
          <w:color w:val="231F20"/>
          <w:spacing w:val="24"/>
        </w:rPr>
        <w:t> </w:t>
      </w:r>
      <w:r>
        <w:rPr>
          <w:color w:val="231F20"/>
        </w:rPr>
        <w:t>just</w:t>
      </w:r>
      <w:r>
        <w:rPr>
          <w:color w:val="231F20"/>
          <w:spacing w:val="24"/>
        </w:rPr>
        <w:t> </w:t>
      </w:r>
      <w:r>
        <w:rPr>
          <w:color w:val="231F20"/>
        </w:rPr>
        <w:t>in</w:t>
      </w:r>
      <w:r>
        <w:rPr>
          <w:color w:val="231F20"/>
          <w:spacing w:val="24"/>
        </w:rPr>
        <w:t> </w:t>
      </w:r>
      <w:r>
        <w:rPr>
          <w:color w:val="231F20"/>
        </w:rPr>
        <w:t>time</w:t>
      </w:r>
      <w:r>
        <w:rPr>
          <w:color w:val="231F20"/>
          <w:spacing w:val="24"/>
        </w:rPr>
        <w:t> </w:t>
      </w:r>
      <w:r>
        <w:rPr>
          <w:color w:val="231F20"/>
        </w:rPr>
        <w:t>for</w:t>
      </w:r>
      <w:r>
        <w:rPr>
          <w:color w:val="231F20"/>
          <w:spacing w:val="24"/>
        </w:rPr>
        <w:t> </w:t>
      </w:r>
      <w:r>
        <w:rPr>
          <w:color w:val="231F20"/>
        </w:rPr>
        <w:t>produc- tion.</w:t>
      </w:r>
      <w:r>
        <w:rPr>
          <w:color w:val="231F20"/>
          <w:spacing w:val="20"/>
        </w:rPr>
        <w:t> </w:t>
      </w:r>
      <w:r>
        <w:rPr>
          <w:color w:val="231F20"/>
        </w:rPr>
        <w:t>This</w:t>
      </w:r>
      <w:r>
        <w:rPr>
          <w:color w:val="231F20"/>
          <w:spacing w:val="20"/>
        </w:rPr>
        <w:t> </w:t>
      </w:r>
      <w:r>
        <w:rPr>
          <w:color w:val="231F20"/>
        </w:rPr>
        <w:t>is</w:t>
      </w:r>
      <w:r>
        <w:rPr>
          <w:color w:val="231F20"/>
          <w:spacing w:val="21"/>
        </w:rPr>
        <w:t> </w:t>
      </w:r>
      <w:r>
        <w:rPr>
          <w:color w:val="231F20"/>
        </w:rPr>
        <w:t>called</w:t>
      </w:r>
      <w:r>
        <w:rPr>
          <w:color w:val="231F20"/>
          <w:spacing w:val="20"/>
        </w:rPr>
        <w:t> </w:t>
      </w:r>
      <w:r>
        <w:rPr>
          <w:i/>
          <w:color w:val="231F20"/>
        </w:rPr>
        <w:t>just-in-time</w:t>
      </w:r>
      <w:r>
        <w:rPr>
          <w:i/>
          <w:color w:val="231F20"/>
          <w:spacing w:val="20"/>
        </w:rPr>
        <w:t> </w:t>
      </w:r>
      <w:r>
        <w:rPr>
          <w:color w:val="231F20"/>
        </w:rPr>
        <w:t>inventory</w:t>
      </w:r>
      <w:r>
        <w:rPr>
          <w:color w:val="231F20"/>
          <w:spacing w:val="21"/>
        </w:rPr>
        <w:t> </w:t>
      </w:r>
      <w:r>
        <w:rPr>
          <w:color w:val="231F20"/>
        </w:rPr>
        <w:t>(JIT).</w:t>
      </w:r>
      <w:r>
        <w:rPr>
          <w:color w:val="231F20"/>
          <w:spacing w:val="20"/>
        </w:rPr>
        <w:t> </w:t>
      </w:r>
      <w:r>
        <w:rPr>
          <w:color w:val="231F20"/>
        </w:rPr>
        <w:t>The</w:t>
      </w:r>
      <w:r>
        <w:rPr>
          <w:color w:val="231F20"/>
          <w:spacing w:val="21"/>
        </w:rPr>
        <w:t> </w:t>
      </w:r>
      <w:r>
        <w:rPr>
          <w:color w:val="231F20"/>
        </w:rPr>
        <w:t>Japanese</w:t>
      </w:r>
      <w:r>
        <w:rPr>
          <w:color w:val="231F20"/>
          <w:spacing w:val="20"/>
        </w:rPr>
        <w:t> </w:t>
      </w:r>
      <w:r>
        <w:rPr>
          <w:color w:val="231F20"/>
        </w:rPr>
        <w:t>are</w:t>
      </w:r>
      <w:r>
        <w:rPr>
          <w:color w:val="231F20"/>
          <w:spacing w:val="20"/>
        </w:rPr>
        <w:t> </w:t>
      </w:r>
      <w:r>
        <w:rPr>
          <w:color w:val="231F20"/>
          <w:spacing w:val="-5"/>
        </w:rPr>
        <w:t>fa-</w:t>
      </w:r>
    </w:p>
    <w:p>
      <w:pPr>
        <w:spacing w:after="0" w:line="292" w:lineRule="auto"/>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3"/>
        <w:jc w:val="both"/>
      </w:pPr>
      <w:r>
        <w:rPr>
          <w:color w:val="231F20"/>
        </w:rPr>
        <w:t>mous for this. Factory line workers request parts as needed with in- ventory order cards called </w:t>
      </w:r>
      <w:r>
        <w:rPr>
          <w:i/>
          <w:color w:val="231F20"/>
        </w:rPr>
        <w:t>kanban. </w:t>
      </w:r>
      <w:r>
        <w:rPr>
          <w:color w:val="231F20"/>
        </w:rPr>
        <w:t>However, JIT does not necessar- ily mean that parts suppliers produce at the exact rate of the automaker’s</w:t>
      </w:r>
      <w:r>
        <w:rPr>
          <w:color w:val="231F20"/>
          <w:spacing w:val="-4"/>
        </w:rPr>
        <w:t> </w:t>
      </w:r>
      <w:r>
        <w:rPr>
          <w:color w:val="231F20"/>
        </w:rPr>
        <w:t>assembly</w:t>
      </w:r>
      <w:r>
        <w:rPr>
          <w:color w:val="231F20"/>
          <w:spacing w:val="-4"/>
        </w:rPr>
        <w:t> </w:t>
      </w:r>
      <w:r>
        <w:rPr>
          <w:color w:val="231F20"/>
        </w:rPr>
        <w:t>line</w:t>
      </w:r>
      <w:r>
        <w:rPr>
          <w:color w:val="231F20"/>
          <w:spacing w:val="-4"/>
        </w:rPr>
        <w:t> </w:t>
      </w:r>
      <w:r>
        <w:rPr>
          <w:color w:val="231F20"/>
        </w:rPr>
        <w:t>needs.</w:t>
      </w:r>
      <w:r>
        <w:rPr>
          <w:color w:val="231F20"/>
          <w:spacing w:val="-4"/>
        </w:rPr>
        <w:t> </w:t>
      </w:r>
      <w:r>
        <w:rPr>
          <w:color w:val="231F20"/>
        </w:rPr>
        <w:t>In</w:t>
      </w:r>
      <w:r>
        <w:rPr>
          <w:color w:val="231F20"/>
          <w:spacing w:val="-4"/>
        </w:rPr>
        <w:t> </w:t>
      </w:r>
      <w:r>
        <w:rPr>
          <w:color w:val="231F20"/>
        </w:rPr>
        <w:t>reality</w:t>
      </w:r>
      <w:r>
        <w:rPr>
          <w:color w:val="231F20"/>
          <w:spacing w:val="-4"/>
        </w:rPr>
        <w:t> </w:t>
      </w:r>
      <w:r>
        <w:rPr>
          <w:color w:val="231F20"/>
        </w:rPr>
        <w:t>the</w:t>
      </w:r>
      <w:r>
        <w:rPr>
          <w:color w:val="231F20"/>
          <w:spacing w:val="-4"/>
        </w:rPr>
        <w:t> </w:t>
      </w:r>
      <w:r>
        <w:rPr>
          <w:color w:val="231F20"/>
        </w:rPr>
        <w:t>parts</w:t>
      </w:r>
      <w:r>
        <w:rPr>
          <w:color w:val="231F20"/>
          <w:spacing w:val="-4"/>
        </w:rPr>
        <w:t> </w:t>
      </w:r>
      <w:r>
        <w:rPr>
          <w:color w:val="231F20"/>
        </w:rPr>
        <w:t>inventory</w:t>
      </w:r>
      <w:r>
        <w:rPr>
          <w:color w:val="231F20"/>
          <w:spacing w:val="-4"/>
        </w:rPr>
        <w:t> </w:t>
      </w:r>
      <w:r>
        <w:rPr>
          <w:color w:val="231F20"/>
        </w:rPr>
        <w:t>sits</w:t>
      </w:r>
      <w:r>
        <w:rPr>
          <w:color w:val="231F20"/>
          <w:spacing w:val="-4"/>
        </w:rPr>
        <w:t> </w:t>
      </w:r>
      <w:r>
        <w:rPr>
          <w:color w:val="231F20"/>
        </w:rPr>
        <w:t>in the warehouse of less powerful suppliers until it is called in by </w:t>
      </w:r>
      <w:r>
        <w:rPr>
          <w:color w:val="231F20"/>
        </w:rPr>
        <w:t>the auto manufacturers. True JIT has all manufacturing participants working in concert to meet production demands.</w:t>
      </w:r>
    </w:p>
    <w:p>
      <w:pPr>
        <w:pStyle w:val="BodyText"/>
        <w:rPr>
          <w:sz w:val="24"/>
        </w:rPr>
      </w:pPr>
    </w:p>
    <w:p>
      <w:pPr>
        <w:pStyle w:val="BodyText"/>
        <w:spacing w:before="5"/>
        <w:rPr>
          <w:sz w:val="28"/>
        </w:rPr>
      </w:pPr>
    </w:p>
    <w:p>
      <w:pPr>
        <w:spacing w:line="357" w:lineRule="auto" w:before="0"/>
        <w:ind w:left="3385" w:right="1416" w:hanging="1519"/>
        <w:jc w:val="left"/>
        <w:rPr>
          <w:rFonts w:ascii="Arial"/>
          <w:sz w:val="14"/>
        </w:rPr>
      </w:pPr>
      <w:r>
        <w:rPr/>
        <w:pict>
          <v:group style="position:absolute;margin-left:68.818352pt;margin-top:20.967316pt;width:298.45pt;height:214.85pt;mso-position-horizontal-relative:page;mso-position-vertical-relative:paragraph;z-index:-25057792" id="docshapegroup431" coordorigin="1376,419" coordsize="5969,4297">
            <v:shape style="position:absolute;left:1376;top:499;width:5969;height:4217" type="#_x0000_t75" id="docshape432" stroked="false">
              <v:imagedata r:id="rId103" o:title=""/>
            </v:shape>
            <v:shape style="position:absolute;left:2420;top:419;width:4620;height:470" id="docshape433" coordorigin="2420,419" coordsize="4620,470" path="m2670,419l2420,459,2460,609,2710,709,2940,719,3200,719,3560,799,3840,869,4320,889,4690,869,5430,869,5900,859,6330,789,6720,609,6990,609,7040,459,6880,429,3300,429,3050,439,2670,419xe" filled="true" fillcolor="#ffffff" stroked="false">
              <v:path arrowok="t"/>
              <v:fill type="solid"/>
            </v:shape>
            <w10:wrap type="none"/>
          </v:group>
        </w:pict>
      </w:r>
      <w:r>
        <w:rPr>
          <w:rFonts w:ascii="Arial"/>
          <w:color w:val="231F20"/>
          <w:w w:val="105"/>
          <w:sz w:val="14"/>
        </w:rPr>
        <w:t>THE</w:t>
      </w:r>
      <w:r>
        <w:rPr>
          <w:rFonts w:ascii="Arial"/>
          <w:color w:val="231F20"/>
          <w:spacing w:val="36"/>
          <w:w w:val="105"/>
          <w:sz w:val="14"/>
        </w:rPr>
        <w:t> </w:t>
      </w:r>
      <w:r>
        <w:rPr>
          <w:rFonts w:ascii="Arial"/>
          <w:color w:val="231F20"/>
          <w:w w:val="105"/>
          <w:sz w:val="14"/>
        </w:rPr>
        <w:t>BALANCE</w:t>
      </w:r>
      <w:r>
        <w:rPr>
          <w:rFonts w:ascii="Arial"/>
          <w:color w:val="231F20"/>
          <w:spacing w:val="36"/>
          <w:w w:val="105"/>
          <w:sz w:val="14"/>
        </w:rPr>
        <w:t> </w:t>
      </w:r>
      <w:r>
        <w:rPr>
          <w:rFonts w:ascii="Arial"/>
          <w:color w:val="231F20"/>
          <w:w w:val="105"/>
          <w:sz w:val="14"/>
        </w:rPr>
        <w:t>OF</w:t>
      </w:r>
      <w:r>
        <w:rPr>
          <w:rFonts w:ascii="Arial"/>
          <w:color w:val="231F20"/>
          <w:spacing w:val="36"/>
          <w:w w:val="105"/>
          <w:sz w:val="14"/>
        </w:rPr>
        <w:t> </w:t>
      </w:r>
      <w:r>
        <w:rPr>
          <w:rFonts w:ascii="Arial"/>
          <w:color w:val="231F20"/>
          <w:w w:val="105"/>
          <w:sz w:val="14"/>
        </w:rPr>
        <w:t>ORDERING</w:t>
      </w:r>
      <w:r>
        <w:rPr>
          <w:rFonts w:ascii="Arial"/>
          <w:color w:val="231F20"/>
          <w:spacing w:val="36"/>
          <w:w w:val="105"/>
          <w:sz w:val="14"/>
        </w:rPr>
        <w:t> </w:t>
      </w:r>
      <w:r>
        <w:rPr>
          <w:rFonts w:ascii="Arial"/>
          <w:color w:val="231F20"/>
          <w:w w:val="105"/>
          <w:sz w:val="14"/>
        </w:rPr>
        <w:t>AND</w:t>
      </w:r>
      <w:r>
        <w:rPr>
          <w:rFonts w:ascii="Arial"/>
          <w:color w:val="231F20"/>
          <w:spacing w:val="36"/>
          <w:w w:val="105"/>
          <w:sz w:val="14"/>
        </w:rPr>
        <w:t> </w:t>
      </w:r>
      <w:r>
        <w:rPr>
          <w:rFonts w:ascii="Arial"/>
          <w:color w:val="231F20"/>
          <w:w w:val="105"/>
          <w:sz w:val="14"/>
        </w:rPr>
        <w:t>HOLDING</w:t>
      </w:r>
      <w:r>
        <w:rPr>
          <w:rFonts w:ascii="Arial"/>
          <w:color w:val="231F20"/>
          <w:spacing w:val="36"/>
          <w:w w:val="105"/>
          <w:sz w:val="14"/>
        </w:rPr>
        <w:t> </w:t>
      </w:r>
      <w:r>
        <w:rPr>
          <w:rFonts w:ascii="Arial"/>
          <w:color w:val="231F20"/>
          <w:w w:val="105"/>
          <w:sz w:val="14"/>
        </w:rPr>
        <w:t>INVENTORY THE EOQ GRAPH</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17"/>
        </w:rPr>
      </w:pPr>
    </w:p>
    <w:p>
      <w:pPr>
        <w:pStyle w:val="BodyText"/>
        <w:spacing w:line="292" w:lineRule="auto" w:before="102"/>
        <w:ind w:left="920" w:right="663"/>
        <w:jc w:val="both"/>
      </w:pPr>
      <w:r>
        <w:rPr>
          <w:i/>
          <w:color w:val="231F20"/>
          <w:w w:val="105"/>
        </w:rPr>
        <w:t>Economic</w:t>
      </w:r>
      <w:r>
        <w:rPr>
          <w:i/>
          <w:color w:val="231F20"/>
          <w:spacing w:val="40"/>
          <w:w w:val="105"/>
        </w:rPr>
        <w:t> </w:t>
      </w:r>
      <w:r>
        <w:rPr>
          <w:i/>
          <w:color w:val="231F20"/>
          <w:w w:val="105"/>
        </w:rPr>
        <w:t>Order</w:t>
      </w:r>
      <w:r>
        <w:rPr>
          <w:i/>
          <w:color w:val="231F20"/>
          <w:spacing w:val="40"/>
          <w:w w:val="105"/>
        </w:rPr>
        <w:t> </w:t>
      </w:r>
      <w:r>
        <w:rPr>
          <w:i/>
          <w:color w:val="231F20"/>
          <w:w w:val="105"/>
        </w:rPr>
        <w:t>Quantity</w:t>
      </w:r>
      <w:r>
        <w:rPr>
          <w:i/>
          <w:color w:val="231F20"/>
          <w:spacing w:val="40"/>
          <w:w w:val="105"/>
        </w:rPr>
        <w:t> </w:t>
      </w:r>
      <w:r>
        <w:rPr>
          <w:i/>
          <w:color w:val="231F20"/>
          <w:w w:val="105"/>
        </w:rPr>
        <w:t>(EOQ).</w:t>
      </w:r>
      <w:r>
        <w:rPr>
          <w:i/>
          <w:color w:val="231F20"/>
          <w:spacing w:val="40"/>
          <w:w w:val="105"/>
        </w:rPr>
        <w:t> </w:t>
      </w:r>
      <w:r>
        <w:rPr>
          <w:color w:val="231F20"/>
          <w:w w:val="105"/>
        </w:rPr>
        <w:t>Special</w:t>
      </w:r>
      <w:r>
        <w:rPr>
          <w:color w:val="231F20"/>
          <w:spacing w:val="40"/>
          <w:w w:val="105"/>
        </w:rPr>
        <w:t> </w:t>
      </w:r>
      <w:r>
        <w:rPr>
          <w:color w:val="231F20"/>
          <w:w w:val="105"/>
        </w:rPr>
        <w:t>EOQ</w:t>
      </w:r>
      <w:r>
        <w:rPr>
          <w:color w:val="231F20"/>
          <w:spacing w:val="40"/>
          <w:w w:val="105"/>
        </w:rPr>
        <w:t> </w:t>
      </w:r>
      <w:r>
        <w:rPr>
          <w:color w:val="231F20"/>
          <w:w w:val="105"/>
        </w:rPr>
        <w:t>formulas</w:t>
      </w:r>
      <w:r>
        <w:rPr>
          <w:color w:val="231F20"/>
          <w:spacing w:val="40"/>
          <w:w w:val="105"/>
        </w:rPr>
        <w:t> </w:t>
      </w:r>
      <w:r>
        <w:rPr>
          <w:color w:val="231F20"/>
          <w:w w:val="105"/>
        </w:rPr>
        <w:t>help MBAs</w:t>
      </w:r>
      <w:r>
        <w:rPr>
          <w:color w:val="231F20"/>
          <w:w w:val="105"/>
        </w:rPr>
        <w:t> find</w:t>
      </w:r>
      <w:r>
        <w:rPr>
          <w:color w:val="231F20"/>
          <w:w w:val="105"/>
        </w:rPr>
        <w:t> just</w:t>
      </w:r>
      <w:r>
        <w:rPr>
          <w:color w:val="231F20"/>
          <w:w w:val="105"/>
        </w:rPr>
        <w:t> the</w:t>
      </w:r>
      <w:r>
        <w:rPr>
          <w:color w:val="231F20"/>
          <w:w w:val="105"/>
        </w:rPr>
        <w:t> right</w:t>
      </w:r>
      <w:r>
        <w:rPr>
          <w:color w:val="231F20"/>
          <w:w w:val="105"/>
        </w:rPr>
        <w:t> quantity</w:t>
      </w:r>
      <w:r>
        <w:rPr>
          <w:color w:val="231F20"/>
          <w:w w:val="105"/>
        </w:rPr>
        <w:t> of</w:t>
      </w:r>
      <w:r>
        <w:rPr>
          <w:color w:val="231F20"/>
          <w:w w:val="105"/>
        </w:rPr>
        <w:t> inventory</w:t>
      </w:r>
      <w:r>
        <w:rPr>
          <w:color w:val="231F20"/>
          <w:w w:val="105"/>
        </w:rPr>
        <w:t> to</w:t>
      </w:r>
      <w:r>
        <w:rPr>
          <w:color w:val="231F20"/>
          <w:w w:val="105"/>
        </w:rPr>
        <w:t> order</w:t>
      </w:r>
      <w:r>
        <w:rPr>
          <w:color w:val="231F20"/>
          <w:w w:val="105"/>
        </w:rPr>
        <w:t> to</w:t>
      </w:r>
      <w:r>
        <w:rPr>
          <w:color w:val="231F20"/>
          <w:w w:val="105"/>
        </w:rPr>
        <w:t> keep parts, raw materials, or shelf items to a minimum.</w:t>
      </w:r>
    </w:p>
    <w:p>
      <w:pPr>
        <w:pStyle w:val="BodyText"/>
        <w:spacing w:line="292" w:lineRule="auto"/>
        <w:ind w:left="919" w:right="666" w:firstLine="340"/>
        <w:jc w:val="both"/>
      </w:pPr>
      <w:r>
        <w:rPr>
          <w:color w:val="231F20"/>
          <w:w w:val="105"/>
        </w:rPr>
        <w:t>The</w:t>
      </w:r>
      <w:r>
        <w:rPr>
          <w:color w:val="231F20"/>
          <w:spacing w:val="-10"/>
          <w:w w:val="105"/>
        </w:rPr>
        <w:t> </w:t>
      </w:r>
      <w:r>
        <w:rPr>
          <w:color w:val="231F20"/>
          <w:w w:val="105"/>
        </w:rPr>
        <w:t>Economic</w:t>
      </w:r>
      <w:r>
        <w:rPr>
          <w:color w:val="231F20"/>
          <w:spacing w:val="-10"/>
          <w:w w:val="105"/>
        </w:rPr>
        <w:t> </w:t>
      </w:r>
      <w:r>
        <w:rPr>
          <w:color w:val="231F20"/>
          <w:w w:val="105"/>
        </w:rPr>
        <w:t>Order</w:t>
      </w:r>
      <w:r>
        <w:rPr>
          <w:color w:val="231F20"/>
          <w:spacing w:val="-10"/>
          <w:w w:val="105"/>
        </w:rPr>
        <w:t> </w:t>
      </w:r>
      <w:r>
        <w:rPr>
          <w:color w:val="231F20"/>
          <w:w w:val="105"/>
        </w:rPr>
        <w:t>Quantity</w:t>
      </w:r>
      <w:r>
        <w:rPr>
          <w:color w:val="231F20"/>
          <w:spacing w:val="-10"/>
          <w:w w:val="105"/>
        </w:rPr>
        <w:t> </w:t>
      </w:r>
      <w:r>
        <w:rPr>
          <w:color w:val="231F20"/>
          <w:w w:val="105"/>
        </w:rPr>
        <w:t>formula</w:t>
      </w:r>
      <w:r>
        <w:rPr>
          <w:color w:val="231F20"/>
          <w:spacing w:val="-10"/>
          <w:w w:val="105"/>
        </w:rPr>
        <w:t> </w:t>
      </w:r>
      <w:r>
        <w:rPr>
          <w:color w:val="231F20"/>
          <w:w w:val="105"/>
        </w:rPr>
        <w:t>is</w:t>
      </w:r>
      <w:r>
        <w:rPr>
          <w:color w:val="231F20"/>
          <w:spacing w:val="-10"/>
          <w:w w:val="105"/>
        </w:rPr>
        <w:t> </w:t>
      </w:r>
      <w:r>
        <w:rPr>
          <w:color w:val="231F20"/>
          <w:w w:val="105"/>
        </w:rPr>
        <w:t>based</w:t>
      </w:r>
      <w:r>
        <w:rPr>
          <w:color w:val="231F20"/>
          <w:spacing w:val="-10"/>
          <w:w w:val="105"/>
        </w:rPr>
        <w:t> </w:t>
      </w:r>
      <w:r>
        <w:rPr>
          <w:color w:val="231F20"/>
          <w:w w:val="105"/>
        </w:rPr>
        <w:t>on</w:t>
      </w:r>
      <w:r>
        <w:rPr>
          <w:color w:val="231F20"/>
          <w:spacing w:val="-10"/>
          <w:w w:val="105"/>
        </w:rPr>
        <w:t> </w:t>
      </w:r>
      <w:r>
        <w:rPr>
          <w:color w:val="231F20"/>
          <w:w w:val="105"/>
        </w:rPr>
        <w:t>the</w:t>
      </w:r>
      <w:r>
        <w:rPr>
          <w:color w:val="231F20"/>
          <w:spacing w:val="-10"/>
          <w:w w:val="105"/>
        </w:rPr>
        <w:t> </w:t>
      </w:r>
      <w:r>
        <w:rPr>
          <w:color w:val="231F20"/>
          <w:w w:val="105"/>
        </w:rPr>
        <w:t>trade-off of two costs associated with inventory.</w:t>
      </w:r>
    </w:p>
    <w:p>
      <w:pPr>
        <w:pStyle w:val="BodyText"/>
        <w:spacing w:before="2"/>
        <w:rPr>
          <w:sz w:val="27"/>
        </w:rPr>
      </w:pPr>
    </w:p>
    <w:p>
      <w:pPr>
        <w:spacing w:line="328" w:lineRule="auto" w:before="1"/>
        <w:ind w:left="1599" w:right="707" w:hanging="340"/>
        <w:jc w:val="left"/>
        <w:rPr>
          <w:rFonts w:ascii="Arial" w:hAnsi="Arial"/>
          <w:sz w:val="19"/>
        </w:rPr>
      </w:pPr>
      <w:r>
        <w:rPr>
          <w:rFonts w:ascii="Arial" w:hAnsi="Arial"/>
          <w:i/>
          <w:color w:val="231F20"/>
          <w:w w:val="110"/>
          <w:sz w:val="19"/>
        </w:rPr>
        <w:t>Carrying</w:t>
      </w:r>
      <w:r>
        <w:rPr>
          <w:rFonts w:ascii="Arial" w:hAnsi="Arial"/>
          <w:i/>
          <w:color w:val="231F20"/>
          <w:spacing w:val="-1"/>
          <w:w w:val="110"/>
          <w:sz w:val="19"/>
        </w:rPr>
        <w:t> </w:t>
      </w:r>
      <w:r>
        <w:rPr>
          <w:rFonts w:ascii="Arial" w:hAnsi="Arial"/>
          <w:i/>
          <w:color w:val="231F20"/>
          <w:w w:val="110"/>
          <w:sz w:val="19"/>
        </w:rPr>
        <w:t>Costs</w:t>
      </w:r>
      <w:r>
        <w:rPr>
          <w:rFonts w:ascii="Arial" w:hAnsi="Arial"/>
          <w:color w:val="231F20"/>
          <w:w w:val="110"/>
          <w:sz w:val="19"/>
        </w:rPr>
        <w:t>—The</w:t>
      </w:r>
      <w:r>
        <w:rPr>
          <w:rFonts w:ascii="Arial" w:hAnsi="Arial"/>
          <w:color w:val="231F20"/>
          <w:spacing w:val="-1"/>
          <w:w w:val="110"/>
          <w:sz w:val="19"/>
        </w:rPr>
        <w:t> </w:t>
      </w:r>
      <w:r>
        <w:rPr>
          <w:rFonts w:ascii="Arial" w:hAnsi="Arial"/>
          <w:color w:val="231F20"/>
          <w:w w:val="110"/>
          <w:sz w:val="19"/>
        </w:rPr>
        <w:t>costs</w:t>
      </w:r>
      <w:r>
        <w:rPr>
          <w:rFonts w:ascii="Arial" w:hAnsi="Arial"/>
          <w:color w:val="231F20"/>
          <w:spacing w:val="-1"/>
          <w:w w:val="110"/>
          <w:sz w:val="19"/>
        </w:rPr>
        <w:t> </w:t>
      </w:r>
      <w:r>
        <w:rPr>
          <w:rFonts w:ascii="Arial" w:hAnsi="Arial"/>
          <w:color w:val="231F20"/>
          <w:w w:val="110"/>
          <w:sz w:val="19"/>
        </w:rPr>
        <w:t>associated</w:t>
      </w:r>
      <w:r>
        <w:rPr>
          <w:rFonts w:ascii="Arial" w:hAnsi="Arial"/>
          <w:color w:val="231F20"/>
          <w:spacing w:val="-1"/>
          <w:w w:val="110"/>
          <w:sz w:val="19"/>
        </w:rPr>
        <w:t> </w:t>
      </w:r>
      <w:r>
        <w:rPr>
          <w:rFonts w:ascii="Arial" w:hAnsi="Arial"/>
          <w:color w:val="231F20"/>
          <w:w w:val="110"/>
          <w:sz w:val="19"/>
        </w:rPr>
        <w:t>with</w:t>
      </w:r>
      <w:r>
        <w:rPr>
          <w:rFonts w:ascii="Arial" w:hAnsi="Arial"/>
          <w:color w:val="231F20"/>
          <w:spacing w:val="-1"/>
          <w:w w:val="110"/>
          <w:sz w:val="19"/>
        </w:rPr>
        <w:t> </w:t>
      </w:r>
      <w:r>
        <w:rPr>
          <w:rFonts w:ascii="Arial" w:hAnsi="Arial"/>
          <w:color w:val="231F20"/>
          <w:w w:val="110"/>
          <w:sz w:val="19"/>
        </w:rPr>
        <w:t>storage,</w:t>
      </w:r>
      <w:r>
        <w:rPr>
          <w:rFonts w:ascii="Arial" w:hAnsi="Arial"/>
          <w:color w:val="231F20"/>
          <w:spacing w:val="-1"/>
          <w:w w:val="110"/>
          <w:sz w:val="19"/>
        </w:rPr>
        <w:t> </w:t>
      </w:r>
      <w:r>
        <w:rPr>
          <w:rFonts w:ascii="Arial" w:hAnsi="Arial"/>
          <w:color w:val="231F20"/>
          <w:w w:val="110"/>
          <w:sz w:val="19"/>
        </w:rPr>
        <w:t>insurance, and financing of inventory. The opportunity cost of using</w:t>
      </w:r>
      <w:r>
        <w:rPr>
          <w:rFonts w:ascii="Arial" w:hAnsi="Arial"/>
          <w:color w:val="231F20"/>
          <w:spacing w:val="40"/>
          <w:w w:val="110"/>
          <w:sz w:val="19"/>
        </w:rPr>
        <w:t> </w:t>
      </w:r>
      <w:r>
        <w:rPr>
          <w:rFonts w:ascii="Arial" w:hAnsi="Arial"/>
          <w:color w:val="231F20"/>
          <w:w w:val="110"/>
          <w:sz w:val="19"/>
        </w:rPr>
        <w:t>the company’s funds elsewhere should be considered.</w:t>
      </w:r>
    </w:p>
    <w:p>
      <w:pPr>
        <w:spacing w:after="0" w:line="328" w:lineRule="auto"/>
        <w:jc w:val="left"/>
        <w:rPr>
          <w:rFonts w:ascii="Arial" w:hAnsi="Arial"/>
          <w:sz w:val="19"/>
        </w:rPr>
        <w:sectPr>
          <w:pgSz w:w="8640" w:h="12960"/>
          <w:pgMar w:header="734" w:footer="0" w:top="920" w:bottom="280" w:left="340" w:right="500"/>
        </w:sectPr>
      </w:pPr>
    </w:p>
    <w:p>
      <w:pPr>
        <w:pStyle w:val="BodyText"/>
        <w:spacing w:before="8"/>
        <w:rPr>
          <w:rFonts w:ascii="Arial"/>
          <w:sz w:val="19"/>
        </w:rPr>
      </w:pPr>
    </w:p>
    <w:p>
      <w:pPr>
        <w:spacing w:line="328" w:lineRule="auto" w:before="97"/>
        <w:ind w:left="1510" w:right="1152" w:hanging="340"/>
        <w:jc w:val="both"/>
        <w:rPr>
          <w:rFonts w:ascii="Arial" w:hAnsi="Arial"/>
          <w:sz w:val="19"/>
        </w:rPr>
      </w:pPr>
      <w:r>
        <w:rPr>
          <w:rFonts w:ascii="Arial" w:hAnsi="Arial"/>
          <w:i/>
          <w:color w:val="231F20"/>
          <w:spacing w:val="-2"/>
          <w:w w:val="115"/>
          <w:sz w:val="19"/>
        </w:rPr>
        <w:t>Ordering</w:t>
      </w:r>
      <w:r>
        <w:rPr>
          <w:rFonts w:ascii="Arial" w:hAnsi="Arial"/>
          <w:i/>
          <w:color w:val="231F20"/>
          <w:spacing w:val="-14"/>
          <w:w w:val="115"/>
          <w:sz w:val="19"/>
        </w:rPr>
        <w:t> </w:t>
      </w:r>
      <w:r>
        <w:rPr>
          <w:rFonts w:ascii="Arial" w:hAnsi="Arial"/>
          <w:i/>
          <w:color w:val="231F20"/>
          <w:spacing w:val="-2"/>
          <w:w w:val="115"/>
          <w:sz w:val="19"/>
        </w:rPr>
        <w:t>Costs</w:t>
      </w:r>
      <w:r>
        <w:rPr>
          <w:rFonts w:ascii="Arial" w:hAnsi="Arial"/>
          <w:i/>
          <w:color w:val="231F20"/>
          <w:spacing w:val="-13"/>
          <w:w w:val="115"/>
          <w:sz w:val="19"/>
        </w:rPr>
        <w:t> </w:t>
      </w:r>
      <w:r>
        <w:rPr>
          <w:rFonts w:ascii="Arial" w:hAnsi="Arial"/>
          <w:color w:val="231F20"/>
          <w:spacing w:val="-2"/>
          <w:w w:val="115"/>
          <w:sz w:val="19"/>
        </w:rPr>
        <w:t>—The</w:t>
      </w:r>
      <w:r>
        <w:rPr>
          <w:rFonts w:ascii="Arial" w:hAnsi="Arial"/>
          <w:color w:val="231F20"/>
          <w:spacing w:val="-13"/>
          <w:w w:val="115"/>
          <w:sz w:val="19"/>
        </w:rPr>
        <w:t> </w:t>
      </w:r>
      <w:r>
        <w:rPr>
          <w:rFonts w:ascii="Arial" w:hAnsi="Arial"/>
          <w:color w:val="231F20"/>
          <w:spacing w:val="-2"/>
          <w:w w:val="115"/>
          <w:sz w:val="19"/>
        </w:rPr>
        <w:t>costs</w:t>
      </w:r>
      <w:r>
        <w:rPr>
          <w:rFonts w:ascii="Arial" w:hAnsi="Arial"/>
          <w:color w:val="231F20"/>
          <w:spacing w:val="-13"/>
          <w:w w:val="115"/>
          <w:sz w:val="19"/>
        </w:rPr>
        <w:t> </w:t>
      </w:r>
      <w:r>
        <w:rPr>
          <w:rFonts w:ascii="Arial" w:hAnsi="Arial"/>
          <w:color w:val="231F20"/>
          <w:spacing w:val="-2"/>
          <w:w w:val="115"/>
          <w:sz w:val="19"/>
        </w:rPr>
        <w:t>of</w:t>
      </w:r>
      <w:r>
        <w:rPr>
          <w:rFonts w:ascii="Arial" w:hAnsi="Arial"/>
          <w:color w:val="231F20"/>
          <w:spacing w:val="-13"/>
          <w:w w:val="115"/>
          <w:sz w:val="19"/>
        </w:rPr>
        <w:t> </w:t>
      </w:r>
      <w:r>
        <w:rPr>
          <w:rFonts w:ascii="Arial" w:hAnsi="Arial"/>
          <w:color w:val="231F20"/>
          <w:spacing w:val="-2"/>
          <w:w w:val="115"/>
          <w:sz w:val="19"/>
        </w:rPr>
        <w:t>ordering</w:t>
      </w:r>
      <w:r>
        <w:rPr>
          <w:rFonts w:ascii="Arial" w:hAnsi="Arial"/>
          <w:color w:val="231F20"/>
          <w:spacing w:val="-5"/>
          <w:w w:val="115"/>
          <w:sz w:val="19"/>
        </w:rPr>
        <w:t> </w:t>
      </w:r>
      <w:r>
        <w:rPr>
          <w:rFonts w:ascii="Arial" w:hAnsi="Arial"/>
          <w:color w:val="231F20"/>
          <w:spacing w:val="-2"/>
          <w:w w:val="115"/>
          <w:sz w:val="19"/>
        </w:rPr>
        <w:t>that</w:t>
      </w:r>
      <w:r>
        <w:rPr>
          <w:rFonts w:ascii="Arial" w:hAnsi="Arial"/>
          <w:color w:val="231F20"/>
          <w:spacing w:val="-6"/>
          <w:w w:val="115"/>
          <w:sz w:val="19"/>
        </w:rPr>
        <w:t> </w:t>
      </w:r>
      <w:r>
        <w:rPr>
          <w:rFonts w:ascii="Arial" w:hAnsi="Arial"/>
          <w:color w:val="231F20"/>
          <w:spacing w:val="-2"/>
          <w:w w:val="115"/>
          <w:sz w:val="19"/>
        </w:rPr>
        <w:t>include</w:t>
      </w:r>
      <w:r>
        <w:rPr>
          <w:rFonts w:ascii="Arial" w:hAnsi="Arial"/>
          <w:color w:val="231F20"/>
          <w:spacing w:val="-6"/>
          <w:w w:val="115"/>
          <w:sz w:val="19"/>
        </w:rPr>
        <w:t> </w:t>
      </w:r>
      <w:r>
        <w:rPr>
          <w:rFonts w:ascii="Arial" w:hAnsi="Arial"/>
          <w:color w:val="231F20"/>
          <w:spacing w:val="-2"/>
          <w:w w:val="115"/>
          <w:sz w:val="19"/>
        </w:rPr>
        <w:t>all</w:t>
      </w:r>
      <w:r>
        <w:rPr>
          <w:rFonts w:ascii="Arial" w:hAnsi="Arial"/>
          <w:color w:val="231F20"/>
          <w:spacing w:val="-6"/>
          <w:w w:val="115"/>
          <w:sz w:val="19"/>
        </w:rPr>
        <w:t> </w:t>
      </w:r>
      <w:r>
        <w:rPr>
          <w:rFonts w:ascii="Arial" w:hAnsi="Arial"/>
          <w:color w:val="231F20"/>
          <w:spacing w:val="-2"/>
          <w:w w:val="115"/>
          <w:sz w:val="19"/>
        </w:rPr>
        <w:t>the accounting</w:t>
      </w:r>
      <w:r>
        <w:rPr>
          <w:rFonts w:ascii="Arial" w:hAnsi="Arial"/>
          <w:color w:val="231F20"/>
          <w:spacing w:val="-9"/>
          <w:w w:val="115"/>
          <w:sz w:val="19"/>
        </w:rPr>
        <w:t> </w:t>
      </w:r>
      <w:r>
        <w:rPr>
          <w:rFonts w:ascii="Arial" w:hAnsi="Arial"/>
          <w:color w:val="231F20"/>
          <w:spacing w:val="-2"/>
          <w:w w:val="115"/>
          <w:sz w:val="19"/>
        </w:rPr>
        <w:t>and</w:t>
      </w:r>
      <w:r>
        <w:rPr>
          <w:rFonts w:ascii="Arial" w:hAnsi="Arial"/>
          <w:color w:val="231F20"/>
          <w:spacing w:val="-9"/>
          <w:w w:val="115"/>
          <w:sz w:val="19"/>
        </w:rPr>
        <w:t> </w:t>
      </w:r>
      <w:r>
        <w:rPr>
          <w:rFonts w:ascii="Arial" w:hAnsi="Arial"/>
          <w:color w:val="231F20"/>
          <w:spacing w:val="-2"/>
          <w:w w:val="115"/>
          <w:sz w:val="19"/>
        </w:rPr>
        <w:t>clerical</w:t>
      </w:r>
      <w:r>
        <w:rPr>
          <w:rFonts w:ascii="Arial" w:hAnsi="Arial"/>
          <w:color w:val="231F20"/>
          <w:spacing w:val="-9"/>
          <w:w w:val="115"/>
          <w:sz w:val="19"/>
        </w:rPr>
        <w:t> </w:t>
      </w:r>
      <w:r>
        <w:rPr>
          <w:rFonts w:ascii="Arial" w:hAnsi="Arial"/>
          <w:color w:val="231F20"/>
          <w:spacing w:val="-2"/>
          <w:w w:val="115"/>
          <w:sz w:val="19"/>
        </w:rPr>
        <w:t>labor</w:t>
      </w:r>
      <w:r>
        <w:rPr>
          <w:rFonts w:ascii="Arial" w:hAnsi="Arial"/>
          <w:color w:val="231F20"/>
          <w:spacing w:val="-9"/>
          <w:w w:val="115"/>
          <w:sz w:val="19"/>
        </w:rPr>
        <w:t> </w:t>
      </w:r>
      <w:r>
        <w:rPr>
          <w:rFonts w:ascii="Arial" w:hAnsi="Arial"/>
          <w:color w:val="231F20"/>
          <w:spacing w:val="-2"/>
          <w:w w:val="115"/>
          <w:sz w:val="19"/>
        </w:rPr>
        <w:t>and</w:t>
      </w:r>
      <w:r>
        <w:rPr>
          <w:rFonts w:ascii="Arial" w:hAnsi="Arial"/>
          <w:color w:val="231F20"/>
          <w:spacing w:val="-9"/>
          <w:w w:val="115"/>
          <w:sz w:val="19"/>
        </w:rPr>
        <w:t> </w:t>
      </w:r>
      <w:r>
        <w:rPr>
          <w:rFonts w:ascii="Arial" w:hAnsi="Arial"/>
          <w:color w:val="231F20"/>
          <w:spacing w:val="-2"/>
          <w:w w:val="115"/>
          <w:sz w:val="19"/>
        </w:rPr>
        <w:t>materials</w:t>
      </w:r>
      <w:r>
        <w:rPr>
          <w:rFonts w:ascii="Arial" w:hAnsi="Arial"/>
          <w:color w:val="231F20"/>
          <w:spacing w:val="-9"/>
          <w:w w:val="115"/>
          <w:sz w:val="19"/>
        </w:rPr>
        <w:t> </w:t>
      </w:r>
      <w:r>
        <w:rPr>
          <w:rFonts w:ascii="Arial" w:hAnsi="Arial"/>
          <w:color w:val="231F20"/>
          <w:spacing w:val="-2"/>
          <w:w w:val="115"/>
          <w:sz w:val="19"/>
        </w:rPr>
        <w:t>associated </w:t>
      </w:r>
      <w:r>
        <w:rPr>
          <w:rFonts w:ascii="Arial" w:hAnsi="Arial"/>
          <w:color w:val="231F20"/>
          <w:w w:val="115"/>
          <w:sz w:val="19"/>
        </w:rPr>
        <w:t>with placing an order</w:t>
      </w:r>
    </w:p>
    <w:p>
      <w:pPr>
        <w:pStyle w:val="BodyText"/>
        <w:spacing w:before="3"/>
        <w:rPr>
          <w:rFonts w:ascii="Arial"/>
          <w:sz w:val="25"/>
        </w:rPr>
      </w:pPr>
    </w:p>
    <w:p>
      <w:pPr>
        <w:pStyle w:val="BodyText"/>
        <w:spacing w:line="292" w:lineRule="auto" w:before="1"/>
        <w:ind w:left="830" w:right="756" w:firstLine="340"/>
        <w:jc w:val="both"/>
      </w:pPr>
      <w:r>
        <w:rPr>
          <w:color w:val="231F20"/>
        </w:rPr>
        <w:t>There are two extremes. A factory manager may choose to </w:t>
      </w:r>
      <w:r>
        <w:rPr>
          <w:color w:val="231F20"/>
        </w:rPr>
        <w:t>order huge quantities of parts infrequently, which reduces order costs, but maximizes carrying costs. Or he or she may order frequently to re- duce carrying costs, maximizing ordering costs. The graph on page 271 shows that the least total cost is the inventory level when both ordering and carrying costs are minimized.</w:t>
      </w:r>
    </w:p>
    <w:p>
      <w:pPr>
        <w:pStyle w:val="BodyText"/>
        <w:spacing w:line="292" w:lineRule="auto"/>
        <w:ind w:left="830" w:right="756" w:firstLine="340"/>
        <w:jc w:val="both"/>
      </w:pPr>
      <w:r>
        <w:rPr>
          <w:color w:val="231F20"/>
        </w:rPr>
        <w:t>The EOQ formula tries to find that optimal point at which the</w:t>
      </w:r>
      <w:r>
        <w:rPr>
          <w:color w:val="231F20"/>
          <w:spacing w:val="40"/>
        </w:rPr>
        <w:t> </w:t>
      </w:r>
      <w:r>
        <w:rPr>
          <w:color w:val="231F20"/>
        </w:rPr>
        <w:t>total cost of both ordering and carrying is minimized.</w:t>
      </w:r>
    </w:p>
    <w:p>
      <w:pPr>
        <w:pStyle w:val="BodyText"/>
        <w:spacing w:line="245" w:lineRule="exact"/>
        <w:ind w:left="1170"/>
        <w:jc w:val="both"/>
      </w:pPr>
      <w:r>
        <w:rPr>
          <w:color w:val="231F20"/>
          <w:w w:val="110"/>
        </w:rPr>
        <w:t>The</w:t>
      </w:r>
      <w:r>
        <w:rPr>
          <w:color w:val="231F20"/>
          <w:spacing w:val="-7"/>
          <w:w w:val="110"/>
        </w:rPr>
        <w:t> </w:t>
      </w:r>
      <w:r>
        <w:rPr>
          <w:color w:val="231F20"/>
          <w:w w:val="110"/>
        </w:rPr>
        <w:t>EOQ</w:t>
      </w:r>
      <w:r>
        <w:rPr>
          <w:color w:val="231F20"/>
          <w:spacing w:val="-6"/>
          <w:w w:val="110"/>
        </w:rPr>
        <w:t> </w:t>
      </w:r>
      <w:r>
        <w:rPr>
          <w:color w:val="231F20"/>
          <w:w w:val="110"/>
        </w:rPr>
        <w:t>formula</w:t>
      </w:r>
      <w:r>
        <w:rPr>
          <w:color w:val="231F20"/>
          <w:spacing w:val="-7"/>
          <w:w w:val="110"/>
        </w:rPr>
        <w:t> </w:t>
      </w:r>
      <w:r>
        <w:rPr>
          <w:color w:val="231F20"/>
          <w:spacing w:val="-5"/>
          <w:w w:val="110"/>
        </w:rPr>
        <w:t>is:</w:t>
      </w:r>
    </w:p>
    <w:p>
      <w:pPr>
        <w:pStyle w:val="BodyText"/>
        <w:spacing w:before="10"/>
        <w:rPr>
          <w:sz w:val="18"/>
        </w:rPr>
      </w:pPr>
    </w:p>
    <w:p>
      <w:pPr>
        <w:spacing w:after="0"/>
        <w:rPr>
          <w:sz w:val="18"/>
        </w:rPr>
        <w:sectPr>
          <w:pgSz w:w="8640" w:h="12960"/>
          <w:pgMar w:header="732" w:footer="0" w:top="920" w:bottom="280" w:left="340" w:right="500"/>
        </w:sectPr>
      </w:pPr>
    </w:p>
    <w:p>
      <w:pPr>
        <w:pStyle w:val="BodyText"/>
        <w:spacing w:before="123"/>
        <w:ind w:left="1810"/>
        <w:rPr>
          <w:rFonts w:ascii="Symbol" w:hAnsi="Symbol"/>
        </w:rPr>
      </w:pPr>
      <w:r>
        <w:rPr/>
        <w:pict>
          <v:line style="position:absolute;mso-position-horizontal-relative:page;mso-position-vertical-relative:paragraph;z-index:-25056768" from="268.5pt,22.320774pt" to="319.5pt,22.320774pt" stroked="true" strokeweight=".5pt" strokecolor="#231f20">
            <v:stroke dashstyle="solid"/>
            <w10:wrap type="none"/>
          </v:line>
        </w:pict>
      </w:r>
      <w:r>
        <w:rPr>
          <w:color w:val="231F20"/>
          <w:w w:val="105"/>
        </w:rPr>
        <w:t>Economic</w:t>
      </w:r>
      <w:r>
        <w:rPr>
          <w:color w:val="231F20"/>
          <w:spacing w:val="4"/>
          <w:w w:val="105"/>
        </w:rPr>
        <w:t> </w:t>
      </w:r>
      <w:r>
        <w:rPr>
          <w:color w:val="231F20"/>
          <w:w w:val="105"/>
        </w:rPr>
        <w:t>Order</w:t>
      </w:r>
      <w:r>
        <w:rPr>
          <w:color w:val="231F20"/>
          <w:spacing w:val="5"/>
          <w:w w:val="105"/>
        </w:rPr>
        <w:t> </w:t>
      </w:r>
      <w:r>
        <w:rPr>
          <w:color w:val="231F20"/>
          <w:w w:val="105"/>
        </w:rPr>
        <w:t>Quantity</w:t>
      </w:r>
      <w:r>
        <w:rPr>
          <w:color w:val="231F20"/>
          <w:spacing w:val="4"/>
          <w:w w:val="105"/>
        </w:rPr>
        <w:t> </w:t>
      </w:r>
      <w:r>
        <w:rPr>
          <w:color w:val="231F20"/>
          <w:spacing w:val="-98"/>
        </w:rPr>
        <w:t>(Q*)</w:t>
      </w:r>
      <w:r>
        <w:rPr>
          <w:rFonts w:ascii="Calibri" w:hAnsi="Calibri"/>
          <w:color w:val="231F20"/>
          <w:spacing w:val="-98"/>
          <w:position w:val="-23"/>
          <w:sz w:val="66"/>
        </w:rPr>
        <w:t>�</w:t>
      </w:r>
      <w:r>
        <w:rPr>
          <w:rFonts w:ascii="Symbol" w:hAnsi="Symbol"/>
          <w:color w:val="231F20"/>
          <w:spacing w:val="-98"/>
        </w:rPr>
        <w:t></w:t>
      </w:r>
    </w:p>
    <w:p>
      <w:pPr>
        <w:spacing w:before="123"/>
        <w:ind w:left="66" w:right="0" w:firstLine="0"/>
        <w:jc w:val="left"/>
        <w:rPr>
          <w:sz w:val="21"/>
        </w:rPr>
      </w:pPr>
      <w:r>
        <w:rPr/>
        <w:br w:type="column"/>
      </w:r>
      <w:r>
        <w:rPr>
          <w:color w:val="231F20"/>
          <w:spacing w:val="-71"/>
          <w:w w:val="84"/>
          <w:sz w:val="21"/>
        </w:rPr>
        <w:t>(</w:t>
      </w:r>
      <w:r>
        <w:rPr>
          <w:rFonts w:ascii="Calibri" w:hAnsi="Calibri"/>
          <w:color w:val="231F20"/>
          <w:spacing w:val="-590"/>
          <w:w w:val="193"/>
          <w:position w:val="-38"/>
          <w:sz w:val="66"/>
        </w:rPr>
        <w:t>�</w:t>
      </w:r>
      <w:r>
        <w:rPr>
          <w:color w:val="231F20"/>
          <w:w w:val="97"/>
          <w:sz w:val="21"/>
        </w:rPr>
        <w:t>2</w:t>
      </w:r>
      <w:r>
        <w:rPr>
          <w:color w:val="231F20"/>
          <w:spacing w:val="31"/>
          <w:w w:val="125"/>
          <w:sz w:val="21"/>
        </w:rPr>
        <w:t> </w:t>
      </w:r>
      <w:r>
        <w:rPr>
          <w:rFonts w:ascii="Symbol" w:hAnsi="Symbol"/>
          <w:color w:val="231F20"/>
          <w:w w:val="125"/>
          <w:sz w:val="21"/>
        </w:rPr>
        <w:t></w:t>
      </w:r>
      <w:r>
        <w:rPr>
          <w:rFonts w:ascii="Times New Roman" w:hAnsi="Times New Roman"/>
          <w:color w:val="231F20"/>
          <w:spacing w:val="-19"/>
          <w:w w:val="125"/>
          <w:sz w:val="21"/>
        </w:rPr>
        <w:t> </w:t>
      </w:r>
      <w:r>
        <w:rPr>
          <w:rFonts w:ascii="Calibri" w:hAnsi="Calibri"/>
          <w:color w:val="231F20"/>
          <w:spacing w:val="-632"/>
          <w:w w:val="180"/>
          <w:position w:val="-38"/>
          <w:sz w:val="66"/>
        </w:rPr>
        <w:t>�</w:t>
      </w:r>
      <w:r>
        <w:rPr>
          <w:color w:val="231F20"/>
          <w:sz w:val="21"/>
        </w:rPr>
        <w:t>R</w:t>
      </w:r>
      <w:r>
        <w:rPr>
          <w:color w:val="231F20"/>
          <w:spacing w:val="25"/>
          <w:w w:val="140"/>
          <w:sz w:val="21"/>
        </w:rPr>
        <w:t> </w:t>
      </w:r>
      <w:r>
        <w:rPr>
          <w:rFonts w:ascii="Symbol" w:hAnsi="Symbol"/>
          <w:color w:val="231F20"/>
          <w:w w:val="125"/>
          <w:sz w:val="21"/>
        </w:rPr>
        <w:t></w:t>
      </w:r>
      <w:r>
        <w:rPr>
          <w:rFonts w:ascii="Times New Roman" w:hAnsi="Times New Roman"/>
          <w:color w:val="231F20"/>
          <w:spacing w:val="24"/>
          <w:w w:val="125"/>
          <w:sz w:val="21"/>
        </w:rPr>
        <w:t> </w:t>
      </w:r>
      <w:r>
        <w:rPr>
          <w:color w:val="231F20"/>
          <w:spacing w:val="-5"/>
          <w:w w:val="125"/>
          <w:sz w:val="21"/>
        </w:rPr>
        <w:t>O)</w:t>
      </w:r>
    </w:p>
    <w:p>
      <w:pPr>
        <w:spacing w:after="0"/>
        <w:jc w:val="left"/>
        <w:rPr>
          <w:sz w:val="21"/>
        </w:rPr>
        <w:sectPr>
          <w:type w:val="continuous"/>
          <w:pgSz w:w="8640" w:h="12960"/>
          <w:pgMar w:header="734" w:footer="0" w:top="1220" w:bottom="280" w:left="340" w:right="500"/>
          <w:cols w:num="2" w:equalWidth="0">
            <w:col w:w="4897" w:space="40"/>
            <w:col w:w="2863"/>
          </w:cols>
        </w:sectPr>
      </w:pPr>
    </w:p>
    <w:p>
      <w:pPr>
        <w:pStyle w:val="BodyText"/>
        <w:spacing w:before="166"/>
        <w:ind w:left="1540"/>
      </w:pPr>
      <w:r>
        <w:rPr/>
        <w:pict>
          <v:shape style="position:absolute;margin-left:290.00058pt;margin-top:-23.376148pt;width:7.7pt;height:12.5pt;mso-position-horizontal-relative:page;mso-position-vertical-relative:paragraph;z-index:-25056256" type="#_x0000_t202" id="docshape434" filled="false" stroked="false">
            <v:textbox inset="0,0,0,0">
              <w:txbxContent>
                <w:p>
                  <w:pPr>
                    <w:pStyle w:val="BodyText"/>
                    <w:spacing w:before="1"/>
                  </w:pPr>
                  <w:r>
                    <w:rPr>
                      <w:color w:val="231F20"/>
                      <w:w w:val="130"/>
                    </w:rPr>
                    <w:t>C</w:t>
                  </w:r>
                </w:p>
              </w:txbxContent>
            </v:textbox>
            <w10:wrap type="none"/>
          </v:shape>
        </w:pict>
      </w:r>
      <w:r>
        <w:rPr>
          <w:color w:val="231F20"/>
          <w:spacing w:val="-2"/>
        </w:rPr>
        <w:t>Where:</w:t>
      </w:r>
    </w:p>
    <w:p>
      <w:pPr>
        <w:pStyle w:val="BodyText"/>
        <w:spacing w:before="42"/>
        <w:ind w:left="1540"/>
      </w:pPr>
      <w:r>
        <w:rPr>
          <w:color w:val="231F20"/>
          <w:w w:val="105"/>
        </w:rPr>
        <w:t>Q*</w:t>
      </w:r>
      <w:r>
        <w:rPr>
          <w:color w:val="231F20"/>
          <w:spacing w:val="5"/>
          <w:w w:val="105"/>
        </w:rPr>
        <w:t> </w:t>
      </w:r>
      <w:r>
        <w:rPr>
          <w:rFonts w:ascii="Symbol" w:hAnsi="Symbol"/>
          <w:color w:val="231F20"/>
          <w:w w:val="105"/>
        </w:rPr>
        <w:t></w:t>
      </w:r>
      <w:r>
        <w:rPr>
          <w:rFonts w:ascii="Times New Roman" w:hAnsi="Times New Roman"/>
          <w:color w:val="231F20"/>
          <w:spacing w:val="-1"/>
          <w:w w:val="105"/>
        </w:rPr>
        <w:t> </w:t>
      </w:r>
      <w:r>
        <w:rPr>
          <w:color w:val="231F20"/>
          <w:w w:val="105"/>
        </w:rPr>
        <w:t>Optimal</w:t>
      </w:r>
      <w:r>
        <w:rPr>
          <w:color w:val="231F20"/>
          <w:spacing w:val="5"/>
          <w:w w:val="105"/>
        </w:rPr>
        <w:t> </w:t>
      </w:r>
      <w:r>
        <w:rPr>
          <w:color w:val="231F20"/>
          <w:w w:val="105"/>
        </w:rPr>
        <w:t>inventory</w:t>
      </w:r>
      <w:r>
        <w:rPr>
          <w:color w:val="231F20"/>
          <w:spacing w:val="6"/>
          <w:w w:val="105"/>
        </w:rPr>
        <w:t> </w:t>
      </w:r>
      <w:r>
        <w:rPr>
          <w:color w:val="231F20"/>
          <w:w w:val="105"/>
        </w:rPr>
        <w:t>order</w:t>
      </w:r>
      <w:r>
        <w:rPr>
          <w:color w:val="231F20"/>
          <w:spacing w:val="5"/>
          <w:w w:val="105"/>
        </w:rPr>
        <w:t> </w:t>
      </w:r>
      <w:r>
        <w:rPr>
          <w:color w:val="231F20"/>
          <w:spacing w:val="-2"/>
          <w:w w:val="105"/>
        </w:rPr>
        <w:t>quantity</w:t>
      </w:r>
    </w:p>
    <w:p>
      <w:pPr>
        <w:pStyle w:val="BodyText"/>
        <w:spacing w:line="278" w:lineRule="auto" w:before="42"/>
        <w:ind w:left="1540" w:right="2299"/>
      </w:pPr>
      <w:r>
        <w:rPr>
          <w:color w:val="231F20"/>
          <w:w w:val="105"/>
        </w:rPr>
        <w:t>R</w:t>
      </w:r>
      <w:r>
        <w:rPr>
          <w:color w:val="231F20"/>
          <w:spacing w:val="79"/>
          <w:w w:val="105"/>
        </w:rPr>
        <w:t> </w:t>
      </w:r>
      <w:r>
        <w:rPr>
          <w:rFonts w:ascii="Symbol" w:hAnsi="Symbol"/>
          <w:color w:val="231F20"/>
          <w:w w:val="105"/>
        </w:rPr>
        <w:t></w:t>
      </w:r>
      <w:r>
        <w:rPr>
          <w:rFonts w:ascii="Times New Roman" w:hAnsi="Times New Roman"/>
          <w:color w:val="231F20"/>
          <w:spacing w:val="-14"/>
          <w:w w:val="105"/>
        </w:rPr>
        <w:t> </w:t>
      </w:r>
      <w:r>
        <w:rPr>
          <w:color w:val="231F20"/>
          <w:w w:val="105"/>
        </w:rPr>
        <w:t>Annual</w:t>
      </w:r>
      <w:r>
        <w:rPr>
          <w:color w:val="231F20"/>
          <w:spacing w:val="-10"/>
          <w:w w:val="105"/>
        </w:rPr>
        <w:t> </w:t>
      </w:r>
      <w:r>
        <w:rPr>
          <w:color w:val="231F20"/>
          <w:w w:val="105"/>
        </w:rPr>
        <w:t>unit</w:t>
      </w:r>
      <w:r>
        <w:rPr>
          <w:color w:val="231F20"/>
          <w:spacing w:val="-11"/>
          <w:w w:val="105"/>
        </w:rPr>
        <w:t> </w:t>
      </w:r>
      <w:r>
        <w:rPr>
          <w:color w:val="231F20"/>
          <w:w w:val="105"/>
        </w:rPr>
        <w:t>requirements</w:t>
      </w:r>
      <w:r>
        <w:rPr>
          <w:color w:val="231F20"/>
          <w:spacing w:val="-11"/>
          <w:w w:val="105"/>
        </w:rPr>
        <w:t> </w:t>
      </w:r>
      <w:r>
        <w:rPr>
          <w:color w:val="231F20"/>
          <w:w w:val="105"/>
        </w:rPr>
        <w:t>(Demand)</w:t>
      </w:r>
      <w:r>
        <w:rPr>
          <w:color w:val="231F20"/>
          <w:w w:val="105"/>
        </w:rPr>
        <w:t> O</w:t>
      </w:r>
      <w:r>
        <w:rPr>
          <w:color w:val="231F20"/>
          <w:spacing w:val="80"/>
          <w:w w:val="105"/>
        </w:rPr>
        <w:t> </w:t>
      </w:r>
      <w:r>
        <w:rPr>
          <w:rFonts w:ascii="Symbol" w:hAnsi="Symbol"/>
          <w:color w:val="231F20"/>
          <w:w w:val="105"/>
        </w:rPr>
        <w:t></w:t>
      </w:r>
      <w:r>
        <w:rPr>
          <w:rFonts w:ascii="Times New Roman" w:hAnsi="Times New Roman"/>
          <w:color w:val="231F20"/>
          <w:w w:val="105"/>
        </w:rPr>
        <w:t> </w:t>
      </w:r>
      <w:r>
        <w:rPr>
          <w:color w:val="231F20"/>
          <w:w w:val="105"/>
        </w:rPr>
        <w:t>Cost of placing an order</w:t>
      </w:r>
    </w:p>
    <w:p>
      <w:pPr>
        <w:pStyle w:val="BodyText"/>
        <w:spacing w:before="2"/>
        <w:ind w:left="1540"/>
      </w:pPr>
      <w:r>
        <w:rPr>
          <w:color w:val="231F20"/>
          <w:w w:val="105"/>
        </w:rPr>
        <w:t>C</w:t>
      </w:r>
      <w:r>
        <w:rPr>
          <w:color w:val="231F20"/>
          <w:spacing w:val="38"/>
          <w:w w:val="105"/>
        </w:rPr>
        <w:t>  </w:t>
      </w:r>
      <w:r>
        <w:rPr>
          <w:rFonts w:ascii="Symbol" w:hAnsi="Symbol"/>
          <w:color w:val="231F20"/>
          <w:w w:val="105"/>
        </w:rPr>
        <w:t></w:t>
      </w:r>
      <w:r>
        <w:rPr>
          <w:rFonts w:ascii="Times New Roman" w:hAnsi="Times New Roman"/>
          <w:color w:val="231F20"/>
          <w:spacing w:val="-4"/>
          <w:w w:val="105"/>
        </w:rPr>
        <w:t> </w:t>
      </w:r>
      <w:r>
        <w:rPr>
          <w:color w:val="231F20"/>
          <w:w w:val="105"/>
        </w:rPr>
        <w:t>Cost</w:t>
      </w:r>
      <w:r>
        <w:rPr>
          <w:color w:val="231F20"/>
          <w:spacing w:val="3"/>
          <w:w w:val="105"/>
        </w:rPr>
        <w:t> </w:t>
      </w:r>
      <w:r>
        <w:rPr>
          <w:color w:val="231F20"/>
          <w:w w:val="105"/>
        </w:rPr>
        <w:t>of</w:t>
      </w:r>
      <w:r>
        <w:rPr>
          <w:color w:val="231F20"/>
          <w:spacing w:val="2"/>
          <w:w w:val="105"/>
        </w:rPr>
        <w:t> </w:t>
      </w:r>
      <w:r>
        <w:rPr>
          <w:color w:val="231F20"/>
          <w:w w:val="105"/>
        </w:rPr>
        <w:t>carrying</w:t>
      </w:r>
      <w:r>
        <w:rPr>
          <w:color w:val="231F20"/>
          <w:spacing w:val="3"/>
          <w:w w:val="105"/>
        </w:rPr>
        <w:t> </w:t>
      </w:r>
      <w:r>
        <w:rPr>
          <w:color w:val="231F20"/>
          <w:w w:val="105"/>
        </w:rPr>
        <w:t>a</w:t>
      </w:r>
      <w:r>
        <w:rPr>
          <w:color w:val="231F20"/>
          <w:spacing w:val="3"/>
          <w:w w:val="105"/>
        </w:rPr>
        <w:t> </w:t>
      </w:r>
      <w:r>
        <w:rPr>
          <w:color w:val="231F20"/>
          <w:w w:val="105"/>
        </w:rPr>
        <w:t>unit</w:t>
      </w:r>
      <w:r>
        <w:rPr>
          <w:color w:val="231F20"/>
          <w:spacing w:val="2"/>
          <w:w w:val="105"/>
        </w:rPr>
        <w:t> </w:t>
      </w:r>
      <w:r>
        <w:rPr>
          <w:color w:val="231F20"/>
          <w:w w:val="105"/>
        </w:rPr>
        <w:t>of</w:t>
      </w:r>
      <w:r>
        <w:rPr>
          <w:color w:val="231F20"/>
          <w:spacing w:val="3"/>
          <w:w w:val="105"/>
        </w:rPr>
        <w:t> </w:t>
      </w:r>
      <w:r>
        <w:rPr>
          <w:color w:val="231F20"/>
          <w:w w:val="105"/>
        </w:rPr>
        <w:t>inventory</w:t>
      </w:r>
      <w:r>
        <w:rPr>
          <w:color w:val="231F20"/>
          <w:spacing w:val="3"/>
          <w:w w:val="105"/>
        </w:rPr>
        <w:t> </w:t>
      </w:r>
      <w:r>
        <w:rPr>
          <w:color w:val="231F20"/>
          <w:w w:val="105"/>
        </w:rPr>
        <w:t>per</w:t>
      </w:r>
      <w:r>
        <w:rPr>
          <w:color w:val="231F20"/>
          <w:spacing w:val="2"/>
          <w:w w:val="105"/>
        </w:rPr>
        <w:t> </w:t>
      </w:r>
      <w:r>
        <w:rPr>
          <w:color w:val="231F20"/>
          <w:spacing w:val="-2"/>
          <w:w w:val="105"/>
        </w:rPr>
        <w:t>period</w:t>
      </w:r>
    </w:p>
    <w:p>
      <w:pPr>
        <w:pStyle w:val="BodyText"/>
        <w:spacing w:before="9"/>
        <w:rPr>
          <w:sz w:val="32"/>
        </w:rPr>
      </w:pPr>
    </w:p>
    <w:p>
      <w:pPr>
        <w:pStyle w:val="BodyText"/>
        <w:spacing w:line="292" w:lineRule="auto"/>
        <w:ind w:left="830" w:right="754" w:firstLine="340"/>
        <w:jc w:val="both"/>
      </w:pPr>
      <w:r>
        <w:rPr>
          <w:color w:val="231F20"/>
        </w:rPr>
        <w:t>Consider</w:t>
      </w:r>
      <w:r>
        <w:rPr>
          <w:color w:val="231F20"/>
          <w:spacing w:val="40"/>
        </w:rPr>
        <w:t> </w:t>
      </w:r>
      <w:r>
        <w:rPr>
          <w:color w:val="231F20"/>
        </w:rPr>
        <w:t>an</w:t>
      </w:r>
      <w:r>
        <w:rPr>
          <w:color w:val="231F20"/>
          <w:spacing w:val="40"/>
        </w:rPr>
        <w:t> </w:t>
      </w:r>
      <w:r>
        <w:rPr>
          <w:color w:val="231F20"/>
        </w:rPr>
        <w:t>auto</w:t>
      </w:r>
      <w:r>
        <w:rPr>
          <w:color w:val="231F20"/>
          <w:spacing w:val="40"/>
        </w:rPr>
        <w:t> </w:t>
      </w:r>
      <w:r>
        <w:rPr>
          <w:color w:val="231F20"/>
        </w:rPr>
        <w:t>parts</w:t>
      </w:r>
      <w:r>
        <w:rPr>
          <w:color w:val="231F20"/>
          <w:spacing w:val="40"/>
        </w:rPr>
        <w:t> </w:t>
      </w:r>
      <w:r>
        <w:rPr>
          <w:color w:val="231F20"/>
        </w:rPr>
        <w:t>distributor</w:t>
      </w:r>
      <w:r>
        <w:rPr>
          <w:color w:val="231F20"/>
          <w:spacing w:val="40"/>
        </w:rPr>
        <w:t> </w:t>
      </w:r>
      <w:r>
        <w:rPr>
          <w:color w:val="231F20"/>
        </w:rPr>
        <w:t>that</w:t>
      </w:r>
      <w:r>
        <w:rPr>
          <w:color w:val="231F20"/>
          <w:spacing w:val="40"/>
        </w:rPr>
        <w:t> </w:t>
      </w:r>
      <w:r>
        <w:rPr>
          <w:color w:val="231F20"/>
        </w:rPr>
        <w:t>supplies</w:t>
      </w:r>
      <w:r>
        <w:rPr>
          <w:color w:val="231F20"/>
          <w:spacing w:val="40"/>
        </w:rPr>
        <w:t> </w:t>
      </w:r>
      <w:r>
        <w:rPr>
          <w:color w:val="231F20"/>
        </w:rPr>
        <w:t>Kansas</w:t>
      </w:r>
      <w:r>
        <w:rPr>
          <w:color w:val="231F20"/>
          <w:spacing w:val="40"/>
        </w:rPr>
        <w:t> </w:t>
      </w:r>
      <w:r>
        <w:rPr>
          <w:color w:val="231F20"/>
        </w:rPr>
        <w:t>City with replacement lamp bulbs for car dome lights. Its sales history </w:t>
      </w:r>
      <w:r>
        <w:rPr>
          <w:color w:val="231F20"/>
        </w:rPr>
        <w:t>in- dicates that a level demand of 2,000 bulbs throughout the year is most likely. Each time the distributor orders a shipment from Gen- eral Electric it costs $14 to process the order. A detailed study of</w:t>
      </w:r>
      <w:r>
        <w:rPr>
          <w:color w:val="231F20"/>
          <w:spacing w:val="40"/>
        </w:rPr>
        <w:t> </w:t>
      </w:r>
      <w:r>
        <w:rPr>
          <w:color w:val="231F20"/>
        </w:rPr>
        <w:t>costs reveals that it costs $.50 to carry each bulb in inventory for a </w:t>
      </w:r>
      <w:r>
        <w:rPr>
          <w:color w:val="231F20"/>
          <w:spacing w:val="-2"/>
        </w:rPr>
        <w:t>year.</w:t>
      </w:r>
    </w:p>
    <w:p>
      <w:pPr>
        <w:pStyle w:val="BodyText"/>
        <w:spacing w:before="5"/>
        <w:rPr>
          <w:sz w:val="19"/>
        </w:rPr>
      </w:pPr>
    </w:p>
    <w:p>
      <w:pPr>
        <w:spacing w:after="0"/>
        <w:rPr>
          <w:sz w:val="19"/>
        </w:rPr>
        <w:sectPr>
          <w:type w:val="continuous"/>
          <w:pgSz w:w="8640" w:h="12960"/>
          <w:pgMar w:header="734" w:footer="0" w:top="1220" w:bottom="280" w:left="340" w:right="500"/>
        </w:sectPr>
      </w:pPr>
    </w:p>
    <w:p>
      <w:pPr>
        <w:pStyle w:val="BodyText"/>
        <w:spacing w:before="102"/>
        <w:ind w:left="1170"/>
      </w:pPr>
      <w:r>
        <w:rPr>
          <w:color w:val="231F20"/>
          <w:w w:val="105"/>
        </w:rPr>
        <w:t>Economic</w:t>
      </w:r>
      <w:r>
        <w:rPr>
          <w:color w:val="231F20"/>
          <w:spacing w:val="-7"/>
          <w:w w:val="105"/>
        </w:rPr>
        <w:t> </w:t>
      </w:r>
      <w:r>
        <w:rPr>
          <w:color w:val="231F20"/>
          <w:w w:val="105"/>
        </w:rPr>
        <w:t>Order</w:t>
      </w:r>
      <w:r>
        <w:rPr>
          <w:color w:val="231F20"/>
          <w:spacing w:val="-7"/>
          <w:w w:val="105"/>
        </w:rPr>
        <w:t> </w:t>
      </w:r>
      <w:r>
        <w:rPr>
          <w:color w:val="231F20"/>
          <w:spacing w:val="-2"/>
          <w:w w:val="105"/>
        </w:rPr>
        <w:t>Quantity</w:t>
      </w:r>
    </w:p>
    <w:p>
      <w:pPr>
        <w:pStyle w:val="BodyText"/>
        <w:spacing w:before="10"/>
        <w:rPr>
          <w:sz w:val="31"/>
        </w:rPr>
      </w:pPr>
    </w:p>
    <w:p>
      <w:pPr>
        <w:pStyle w:val="BodyText"/>
        <w:ind w:left="2490"/>
      </w:pPr>
      <w:r>
        <w:rPr/>
        <w:pict>
          <v:shape style="position:absolute;margin-left:138.5pt;margin-top:-2.934706pt;width:93.9pt;height:42.05pt;mso-position-horizontal-relative:page;mso-position-vertical-relative:paragraph;z-index:-25055744" type="#_x0000_t202" id="docshape435" filled="false" stroked="false">
            <v:textbox inset="0,0,0,0">
              <w:txbxContent>
                <w:p>
                  <w:pPr>
                    <w:spacing w:before="19"/>
                    <w:ind w:left="0" w:right="0" w:firstLine="0"/>
                    <w:jc w:val="left"/>
                    <w:rPr>
                      <w:rFonts w:ascii="Calibri" w:hAnsi="Calibri" w:cs="Calibri" w:eastAsia="Calibri"/>
                      <w:sz w:val="66"/>
                      <w:szCs w:val="66"/>
                    </w:rPr>
                  </w:pPr>
                  <w:r>
                    <w:rPr>
                      <w:rFonts w:ascii="Calibri" w:hAnsi="Calibri" w:cs="Calibri" w:eastAsia="Calibri"/>
                      <w:color w:val="231F20"/>
                      <w:spacing w:val="-4"/>
                      <w:w w:val="2"/>
                      <w:sz w:val="66"/>
                      <w:szCs w:val="66"/>
                    </w:rPr>
                    <w:t>�</w:t>
                  </w:r>
                  <w:r>
                    <w:rPr>
                      <w:rFonts w:ascii="Calibri" w:hAnsi="Calibri" w:cs="Calibri" w:eastAsia="Calibri"/>
                      <w:color w:val="231F20"/>
                      <w:spacing w:val="-202"/>
                      <w:w w:val="112"/>
                      <w:sz w:val="66"/>
                      <w:szCs w:val="66"/>
                    </w:rPr>
                    <w:t>��</w:t>
                  </w:r>
                  <w:r>
                    <w:rPr>
                      <w:rFonts w:ascii="Calibri" w:hAnsi="Calibri" w:cs="Calibri" w:eastAsia="Calibri"/>
                      <w:color w:val="231F20"/>
                      <w:spacing w:val="-4"/>
                      <w:w w:val="112"/>
                      <w:sz w:val="66"/>
                      <w:szCs w:val="66"/>
                    </w:rPr>
                    <w:t>�</w:t>
                  </w:r>
                </w:p>
              </w:txbxContent>
            </v:textbox>
            <w10:wrap type="none"/>
          </v:shape>
        </w:pict>
      </w:r>
      <w:r>
        <w:rPr>
          <w:rFonts w:ascii="Symbol" w:hAnsi="Symbol"/>
          <w:color w:val="231F20"/>
        </w:rPr>
        <w:t></w:t>
      </w:r>
      <w:r>
        <w:rPr>
          <w:rFonts w:ascii="Times New Roman" w:hAnsi="Times New Roman"/>
          <w:color w:val="231F20"/>
          <w:spacing w:val="70"/>
        </w:rPr>
        <w:t> </w:t>
      </w:r>
      <w:r>
        <w:rPr>
          <w:color w:val="231F20"/>
        </w:rPr>
        <w:t>(2</w:t>
      </w:r>
      <w:r>
        <w:rPr>
          <w:color w:val="231F20"/>
          <w:spacing w:val="14"/>
        </w:rPr>
        <w:t> </w:t>
      </w:r>
      <w:r>
        <w:rPr>
          <w:rFonts w:ascii="Symbol" w:hAnsi="Symbol"/>
          <w:color w:val="231F20"/>
        </w:rPr>
        <w:t></w:t>
      </w:r>
      <w:r>
        <w:rPr>
          <w:rFonts w:ascii="Times New Roman" w:hAnsi="Times New Roman"/>
          <w:color w:val="231F20"/>
          <w:spacing w:val="8"/>
        </w:rPr>
        <w:t> </w:t>
      </w:r>
      <w:r>
        <w:rPr>
          <w:color w:val="231F20"/>
        </w:rPr>
        <w:t>2,000</w:t>
      </w:r>
      <w:r>
        <w:rPr>
          <w:color w:val="231F20"/>
          <w:spacing w:val="15"/>
        </w:rPr>
        <w:t> </w:t>
      </w:r>
      <w:r>
        <w:rPr>
          <w:rFonts w:ascii="Symbol" w:hAnsi="Symbol"/>
          <w:color w:val="231F20"/>
        </w:rPr>
        <w:t></w:t>
      </w:r>
      <w:r>
        <w:rPr>
          <w:rFonts w:ascii="Times New Roman" w:hAnsi="Times New Roman"/>
          <w:color w:val="231F20"/>
          <w:spacing w:val="8"/>
        </w:rPr>
        <w:t> </w:t>
      </w:r>
      <w:r>
        <w:rPr>
          <w:color w:val="231F20"/>
          <w:spacing w:val="-4"/>
        </w:rPr>
        <w:t>$14)</w:t>
      </w:r>
    </w:p>
    <w:p>
      <w:pPr>
        <w:pStyle w:val="BodyText"/>
        <w:spacing w:before="3"/>
        <w:rPr>
          <w:sz w:val="3"/>
        </w:rPr>
      </w:pPr>
    </w:p>
    <w:p>
      <w:pPr>
        <w:pStyle w:val="BodyText"/>
        <w:spacing w:line="20" w:lineRule="exact"/>
        <w:ind w:left="2740" w:right="-44"/>
        <w:rPr>
          <w:sz w:val="2"/>
        </w:rPr>
      </w:pPr>
      <w:r>
        <w:rPr>
          <w:sz w:val="2"/>
        </w:rPr>
        <w:pict>
          <v:group style="width:79pt;height:.5pt;mso-position-horizontal-relative:char;mso-position-vertical-relative:line" id="docshapegroup436" coordorigin="0,0" coordsize="1580,10">
            <v:line style="position:absolute" from="0,5" to="1580,5" stroked="true" strokeweight=".5pt" strokecolor="#231f20">
              <v:stroke dashstyle="solid"/>
            </v:line>
          </v:group>
        </w:pict>
      </w:r>
      <w:r>
        <w:rPr>
          <w:sz w:val="2"/>
        </w:rPr>
      </w:r>
    </w:p>
    <w:p>
      <w:pPr>
        <w:pStyle w:val="BodyText"/>
        <w:ind w:left="3330"/>
      </w:pPr>
      <w:r>
        <w:rPr>
          <w:color w:val="231F20"/>
          <w:spacing w:val="-4"/>
          <w:w w:val="110"/>
        </w:rPr>
        <w:t>$.50</w:t>
      </w:r>
    </w:p>
    <w:p>
      <w:pPr>
        <w:spacing w:line="240" w:lineRule="auto" w:before="0"/>
        <w:rPr>
          <w:sz w:val="24"/>
        </w:rPr>
      </w:pPr>
      <w:r>
        <w:rPr/>
        <w:br w:type="column"/>
      </w:r>
      <w:r>
        <w:rPr>
          <w:sz w:val="24"/>
        </w:rPr>
      </w:r>
    </w:p>
    <w:p>
      <w:pPr>
        <w:pStyle w:val="BodyText"/>
        <w:rPr>
          <w:sz w:val="24"/>
        </w:rPr>
      </w:pPr>
    </w:p>
    <w:p>
      <w:pPr>
        <w:pStyle w:val="BodyText"/>
        <w:spacing w:before="4"/>
        <w:rPr>
          <w:sz w:val="26"/>
        </w:rPr>
      </w:pPr>
    </w:p>
    <w:p>
      <w:pPr>
        <w:pStyle w:val="BodyText"/>
        <w:ind w:left="19"/>
      </w:pPr>
      <w:r>
        <w:rPr>
          <w:rFonts w:ascii="Symbol" w:hAnsi="Symbol"/>
          <w:color w:val="231F20"/>
        </w:rPr>
        <w:t></w:t>
      </w:r>
      <w:r>
        <w:rPr>
          <w:rFonts w:ascii="Times New Roman" w:hAnsi="Times New Roman"/>
          <w:color w:val="231F20"/>
          <w:spacing w:val="2"/>
        </w:rPr>
        <w:t> </w:t>
      </w:r>
      <w:r>
        <w:rPr>
          <w:color w:val="231F20"/>
        </w:rPr>
        <w:t>335</w:t>
      </w:r>
      <w:r>
        <w:rPr>
          <w:color w:val="231F20"/>
          <w:spacing w:val="14"/>
        </w:rPr>
        <w:t> </w:t>
      </w:r>
      <w:r>
        <w:rPr>
          <w:color w:val="231F20"/>
          <w:spacing w:val="-2"/>
        </w:rPr>
        <w:t>units</w:t>
      </w:r>
    </w:p>
    <w:p>
      <w:pPr>
        <w:spacing w:after="0"/>
        <w:sectPr>
          <w:type w:val="continuous"/>
          <w:pgSz w:w="8640" w:h="12960"/>
          <w:pgMar w:header="734" w:footer="0" w:top="1220" w:bottom="280" w:left="340" w:right="500"/>
          <w:cols w:num="2" w:equalWidth="0">
            <w:col w:w="4345" w:space="40"/>
            <w:col w:w="3415"/>
          </w:cols>
        </w:sectPr>
      </w:pPr>
    </w:p>
    <w:p>
      <w:pPr>
        <w:pStyle w:val="BodyText"/>
        <w:spacing w:before="8"/>
        <w:rPr>
          <w:sz w:val="17"/>
        </w:rPr>
      </w:pPr>
    </w:p>
    <w:p>
      <w:pPr>
        <w:pStyle w:val="BodyText"/>
        <w:spacing w:line="292" w:lineRule="auto" w:before="102"/>
        <w:ind w:left="920" w:right="666" w:firstLine="340"/>
        <w:jc w:val="both"/>
      </w:pPr>
      <w:r>
        <w:rPr>
          <w:color w:val="231F20"/>
          <w:w w:val="105"/>
        </w:rPr>
        <w:t>The</w:t>
      </w:r>
      <w:r>
        <w:rPr>
          <w:color w:val="231F20"/>
          <w:w w:val="105"/>
        </w:rPr>
        <w:t> formula</w:t>
      </w:r>
      <w:r>
        <w:rPr>
          <w:color w:val="231F20"/>
          <w:w w:val="105"/>
        </w:rPr>
        <w:t> calculates</w:t>
      </w:r>
      <w:r>
        <w:rPr>
          <w:color w:val="231F20"/>
          <w:w w:val="105"/>
        </w:rPr>
        <w:t> the</w:t>
      </w:r>
      <w:r>
        <w:rPr>
          <w:color w:val="231F20"/>
          <w:w w:val="105"/>
        </w:rPr>
        <w:t> most</w:t>
      </w:r>
      <w:r>
        <w:rPr>
          <w:color w:val="231F20"/>
          <w:w w:val="105"/>
        </w:rPr>
        <w:t> economic</w:t>
      </w:r>
      <w:r>
        <w:rPr>
          <w:color w:val="231F20"/>
          <w:w w:val="105"/>
        </w:rPr>
        <w:t> inventory</w:t>
      </w:r>
      <w:r>
        <w:rPr>
          <w:color w:val="231F20"/>
          <w:w w:val="105"/>
        </w:rPr>
        <w:t> order</w:t>
      </w:r>
      <w:r>
        <w:rPr>
          <w:color w:val="231F20"/>
          <w:w w:val="105"/>
        </w:rPr>
        <w:t> </w:t>
      </w:r>
      <w:r>
        <w:rPr>
          <w:color w:val="231F20"/>
          <w:w w:val="105"/>
        </w:rPr>
        <w:t>as 335</w:t>
      </w:r>
      <w:r>
        <w:rPr>
          <w:color w:val="231F20"/>
          <w:w w:val="105"/>
        </w:rPr>
        <w:t> bulbs.</w:t>
      </w:r>
      <w:r>
        <w:rPr>
          <w:color w:val="231F20"/>
          <w:w w:val="105"/>
        </w:rPr>
        <w:t> Since</w:t>
      </w:r>
      <w:r>
        <w:rPr>
          <w:color w:val="231F20"/>
          <w:w w:val="105"/>
        </w:rPr>
        <w:t> the</w:t>
      </w:r>
      <w:r>
        <w:rPr>
          <w:color w:val="231F20"/>
          <w:w w:val="105"/>
        </w:rPr>
        <w:t> demand</w:t>
      </w:r>
      <w:r>
        <w:rPr>
          <w:color w:val="231F20"/>
          <w:w w:val="105"/>
        </w:rPr>
        <w:t> is</w:t>
      </w:r>
      <w:r>
        <w:rPr>
          <w:color w:val="231F20"/>
          <w:w w:val="105"/>
        </w:rPr>
        <w:t> 2,000</w:t>
      </w:r>
      <w:r>
        <w:rPr>
          <w:color w:val="231F20"/>
          <w:w w:val="105"/>
        </w:rPr>
        <w:t> bulbs,</w:t>
      </w:r>
      <w:r>
        <w:rPr>
          <w:color w:val="231F20"/>
          <w:w w:val="105"/>
        </w:rPr>
        <w:t> this</w:t>
      </w:r>
      <w:r>
        <w:rPr>
          <w:color w:val="231F20"/>
          <w:w w:val="105"/>
        </w:rPr>
        <w:t> means</w:t>
      </w:r>
      <w:r>
        <w:rPr>
          <w:color w:val="231F20"/>
          <w:w w:val="105"/>
        </w:rPr>
        <w:t> that</w:t>
      </w:r>
      <w:r>
        <w:rPr>
          <w:color w:val="231F20"/>
          <w:w w:val="105"/>
        </w:rPr>
        <w:t> there </w:t>
      </w:r>
      <w:r>
        <w:rPr>
          <w:color w:val="231F20"/>
        </w:rPr>
        <w:t>will</w:t>
      </w:r>
      <w:r>
        <w:rPr>
          <w:color w:val="231F20"/>
          <w:spacing w:val="-1"/>
        </w:rPr>
        <w:t> </w:t>
      </w:r>
      <w:r>
        <w:rPr>
          <w:color w:val="231F20"/>
        </w:rPr>
        <w:t>be</w:t>
      </w:r>
      <w:r>
        <w:rPr>
          <w:color w:val="231F20"/>
          <w:spacing w:val="-1"/>
        </w:rPr>
        <w:t> </w:t>
      </w:r>
      <w:r>
        <w:rPr>
          <w:color w:val="231F20"/>
        </w:rPr>
        <w:t>about</w:t>
      </w:r>
      <w:r>
        <w:rPr>
          <w:color w:val="231F20"/>
          <w:spacing w:val="-1"/>
        </w:rPr>
        <w:t> </w:t>
      </w:r>
      <w:r>
        <w:rPr>
          <w:color w:val="231F20"/>
        </w:rPr>
        <w:t>six</w:t>
      </w:r>
      <w:r>
        <w:rPr>
          <w:color w:val="231F20"/>
          <w:spacing w:val="-1"/>
        </w:rPr>
        <w:t> </w:t>
      </w:r>
      <w:r>
        <w:rPr>
          <w:color w:val="231F20"/>
        </w:rPr>
        <w:t>orders</w:t>
      </w:r>
      <w:r>
        <w:rPr>
          <w:color w:val="231F20"/>
          <w:spacing w:val="-1"/>
        </w:rPr>
        <w:t> </w:t>
      </w:r>
      <w:r>
        <w:rPr>
          <w:color w:val="231F20"/>
        </w:rPr>
        <w:t>per</w:t>
      </w:r>
      <w:r>
        <w:rPr>
          <w:color w:val="231F20"/>
          <w:spacing w:val="-1"/>
        </w:rPr>
        <w:t> </w:t>
      </w:r>
      <w:r>
        <w:rPr>
          <w:color w:val="231F20"/>
        </w:rPr>
        <w:t>year</w:t>
      </w:r>
      <w:r>
        <w:rPr>
          <w:color w:val="231F20"/>
          <w:spacing w:val="-1"/>
        </w:rPr>
        <w:t> </w:t>
      </w:r>
      <w:r>
        <w:rPr>
          <w:color w:val="231F20"/>
        </w:rPr>
        <w:t>(2000/335).</w:t>
      </w:r>
      <w:r>
        <w:rPr>
          <w:color w:val="231F20"/>
          <w:spacing w:val="-1"/>
        </w:rPr>
        <w:t> </w:t>
      </w:r>
      <w:r>
        <w:rPr>
          <w:color w:val="231F20"/>
        </w:rPr>
        <w:t>Sounds</w:t>
      </w:r>
      <w:r>
        <w:rPr>
          <w:color w:val="231F20"/>
          <w:spacing w:val="-1"/>
        </w:rPr>
        <w:t> </w:t>
      </w:r>
      <w:r>
        <w:rPr>
          <w:color w:val="231F20"/>
        </w:rPr>
        <w:t>simple.</w:t>
      </w:r>
      <w:r>
        <w:rPr>
          <w:color w:val="231F20"/>
          <w:spacing w:val="-1"/>
        </w:rPr>
        <w:t> </w:t>
      </w:r>
      <w:r>
        <w:rPr>
          <w:color w:val="231F20"/>
        </w:rPr>
        <w:t>But</w:t>
      </w:r>
      <w:r>
        <w:rPr>
          <w:color w:val="231F20"/>
          <w:spacing w:val="-1"/>
        </w:rPr>
        <w:t> </w:t>
      </w:r>
      <w:r>
        <w:rPr>
          <w:color w:val="231F20"/>
        </w:rPr>
        <w:t>it</w:t>
      </w:r>
      <w:r>
        <w:rPr>
          <w:color w:val="231F20"/>
          <w:spacing w:val="-1"/>
        </w:rPr>
        <w:t> </w:t>
      </w:r>
      <w:r>
        <w:rPr>
          <w:color w:val="231F20"/>
        </w:rPr>
        <w:t>is </w:t>
      </w:r>
      <w:r>
        <w:rPr>
          <w:color w:val="231F20"/>
          <w:w w:val="105"/>
        </w:rPr>
        <w:t>not.</w:t>
      </w:r>
      <w:r>
        <w:rPr>
          <w:color w:val="231F20"/>
          <w:w w:val="105"/>
        </w:rPr>
        <w:t> The</w:t>
      </w:r>
      <w:r>
        <w:rPr>
          <w:color w:val="231F20"/>
          <w:w w:val="105"/>
        </w:rPr>
        <w:t> simple</w:t>
      </w:r>
      <w:r>
        <w:rPr>
          <w:color w:val="231F20"/>
          <w:w w:val="105"/>
        </w:rPr>
        <w:t> EOQ</w:t>
      </w:r>
      <w:r>
        <w:rPr>
          <w:color w:val="231F20"/>
          <w:w w:val="105"/>
        </w:rPr>
        <w:t> formula</w:t>
      </w:r>
      <w:r>
        <w:rPr>
          <w:color w:val="231F20"/>
          <w:w w:val="105"/>
        </w:rPr>
        <w:t> only</w:t>
      </w:r>
      <w:r>
        <w:rPr>
          <w:color w:val="231F20"/>
          <w:w w:val="105"/>
        </w:rPr>
        <w:t> works</w:t>
      </w:r>
      <w:r>
        <w:rPr>
          <w:color w:val="231F20"/>
          <w:w w:val="105"/>
        </w:rPr>
        <w:t> if</w:t>
      </w:r>
      <w:r>
        <w:rPr>
          <w:color w:val="231F20"/>
          <w:w w:val="105"/>
        </w:rPr>
        <w:t> the</w:t>
      </w:r>
      <w:r>
        <w:rPr>
          <w:color w:val="231F20"/>
          <w:w w:val="105"/>
        </w:rPr>
        <w:t> demand</w:t>
      </w:r>
      <w:r>
        <w:rPr>
          <w:color w:val="231F20"/>
          <w:w w:val="105"/>
        </w:rPr>
        <w:t> is</w:t>
      </w:r>
      <w:r>
        <w:rPr>
          <w:color w:val="231F20"/>
          <w:w w:val="105"/>
        </w:rPr>
        <w:t> </w:t>
      </w:r>
      <w:r>
        <w:rPr>
          <w:i/>
          <w:color w:val="231F20"/>
          <w:w w:val="105"/>
        </w:rPr>
        <w:t>level.</w:t>
      </w:r>
      <w:r>
        <w:rPr>
          <w:i/>
          <w:color w:val="231F20"/>
          <w:w w:val="105"/>
        </w:rPr>
        <w:t> </w:t>
      </w:r>
      <w:r>
        <w:rPr>
          <w:color w:val="231F20"/>
        </w:rPr>
        <w:t>When</w:t>
      </w:r>
      <w:r>
        <w:rPr>
          <w:color w:val="231F20"/>
          <w:spacing w:val="-1"/>
        </w:rPr>
        <w:t> </w:t>
      </w:r>
      <w:r>
        <w:rPr>
          <w:color w:val="231F20"/>
        </w:rPr>
        <w:t>demand</w:t>
      </w:r>
      <w:r>
        <w:rPr>
          <w:color w:val="231F20"/>
          <w:spacing w:val="-1"/>
        </w:rPr>
        <w:t> </w:t>
      </w:r>
      <w:r>
        <w:rPr>
          <w:color w:val="231F20"/>
        </w:rPr>
        <w:t>fluctuates</w:t>
      </w:r>
      <w:r>
        <w:rPr>
          <w:color w:val="231F20"/>
          <w:spacing w:val="-1"/>
        </w:rPr>
        <w:t> </w:t>
      </w:r>
      <w:r>
        <w:rPr>
          <w:color w:val="231F20"/>
        </w:rPr>
        <w:t>wildly</w:t>
      </w:r>
      <w:r>
        <w:rPr>
          <w:color w:val="231F20"/>
          <w:spacing w:val="-1"/>
        </w:rPr>
        <w:t> </w:t>
      </w:r>
      <w:r>
        <w:rPr>
          <w:color w:val="231F20"/>
        </w:rPr>
        <w:t>throughout</w:t>
      </w:r>
      <w:r>
        <w:rPr>
          <w:color w:val="231F20"/>
          <w:spacing w:val="-1"/>
        </w:rPr>
        <w:t> </w:t>
      </w:r>
      <w:r>
        <w:rPr>
          <w:color w:val="231F20"/>
        </w:rPr>
        <w:t>the</w:t>
      </w:r>
      <w:r>
        <w:rPr>
          <w:color w:val="231F20"/>
          <w:spacing w:val="-1"/>
        </w:rPr>
        <w:t> </w:t>
      </w:r>
      <w:r>
        <w:rPr>
          <w:color w:val="231F20"/>
        </w:rPr>
        <w:t>year,</w:t>
      </w:r>
      <w:r>
        <w:rPr>
          <w:color w:val="231F20"/>
          <w:spacing w:val="-1"/>
        </w:rPr>
        <w:t> </w:t>
      </w:r>
      <w:r>
        <w:rPr>
          <w:color w:val="231F20"/>
        </w:rPr>
        <w:t>as</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case</w:t>
      </w:r>
      <w:r>
        <w:rPr>
          <w:color w:val="231F20"/>
          <w:spacing w:val="-1"/>
        </w:rPr>
        <w:t> </w:t>
      </w:r>
      <w:r>
        <w:rPr>
          <w:color w:val="231F20"/>
        </w:rPr>
        <w:t>of </w:t>
      </w:r>
      <w:r>
        <w:rPr>
          <w:color w:val="231F20"/>
          <w:w w:val="105"/>
        </w:rPr>
        <w:t>a</w:t>
      </w:r>
      <w:r>
        <w:rPr>
          <w:color w:val="231F20"/>
          <w:w w:val="105"/>
        </w:rPr>
        <w:t> grocery</w:t>
      </w:r>
      <w:r>
        <w:rPr>
          <w:color w:val="231F20"/>
          <w:w w:val="105"/>
        </w:rPr>
        <w:t> store’s</w:t>
      </w:r>
      <w:r>
        <w:rPr>
          <w:color w:val="231F20"/>
          <w:w w:val="105"/>
        </w:rPr>
        <w:t> demand</w:t>
      </w:r>
      <w:r>
        <w:rPr>
          <w:color w:val="231F20"/>
          <w:w w:val="105"/>
        </w:rPr>
        <w:t> for</w:t>
      </w:r>
      <w:r>
        <w:rPr>
          <w:color w:val="231F20"/>
          <w:w w:val="105"/>
        </w:rPr>
        <w:t> bagged</w:t>
      </w:r>
      <w:r>
        <w:rPr>
          <w:color w:val="231F20"/>
          <w:w w:val="105"/>
        </w:rPr>
        <w:t> ice,</w:t>
      </w:r>
      <w:r>
        <w:rPr>
          <w:color w:val="231F20"/>
          <w:w w:val="105"/>
        </w:rPr>
        <w:t> eggnog,</w:t>
      </w:r>
      <w:r>
        <w:rPr>
          <w:color w:val="231F20"/>
          <w:w w:val="105"/>
        </w:rPr>
        <w:t> or</w:t>
      </w:r>
      <w:r>
        <w:rPr>
          <w:color w:val="231F20"/>
          <w:w w:val="105"/>
        </w:rPr>
        <w:t> beer,</w:t>
      </w:r>
      <w:r>
        <w:rPr>
          <w:color w:val="231F20"/>
          <w:w w:val="105"/>
        </w:rPr>
        <w:t> the</w:t>
      </w:r>
      <w:r>
        <w:rPr>
          <w:color w:val="231F20"/>
          <w:w w:val="105"/>
        </w:rPr>
        <w:t> EOQ model</w:t>
      </w:r>
      <w:r>
        <w:rPr>
          <w:color w:val="231F20"/>
          <w:spacing w:val="-13"/>
          <w:w w:val="105"/>
        </w:rPr>
        <w:t> </w:t>
      </w:r>
      <w:r>
        <w:rPr>
          <w:color w:val="231F20"/>
          <w:w w:val="105"/>
        </w:rPr>
        <w:t>has</w:t>
      </w:r>
      <w:r>
        <w:rPr>
          <w:color w:val="231F20"/>
          <w:spacing w:val="-12"/>
          <w:w w:val="105"/>
        </w:rPr>
        <w:t> </w:t>
      </w:r>
      <w:r>
        <w:rPr>
          <w:color w:val="231F20"/>
          <w:w w:val="105"/>
        </w:rPr>
        <w:t>little</w:t>
      </w:r>
      <w:r>
        <w:rPr>
          <w:color w:val="231F20"/>
          <w:spacing w:val="-12"/>
          <w:w w:val="105"/>
        </w:rPr>
        <w:t> </w:t>
      </w:r>
      <w:r>
        <w:rPr>
          <w:color w:val="231F20"/>
          <w:w w:val="105"/>
        </w:rPr>
        <w:t>value.</w:t>
      </w:r>
      <w:r>
        <w:rPr>
          <w:color w:val="231F20"/>
          <w:spacing w:val="-12"/>
          <w:w w:val="105"/>
        </w:rPr>
        <w:t> </w:t>
      </w:r>
      <w:r>
        <w:rPr>
          <w:color w:val="231F20"/>
          <w:w w:val="105"/>
        </w:rPr>
        <w:t>Sophisticated</w:t>
      </w:r>
      <w:r>
        <w:rPr>
          <w:color w:val="231F20"/>
          <w:spacing w:val="-12"/>
          <w:w w:val="105"/>
        </w:rPr>
        <w:t> </w:t>
      </w:r>
      <w:r>
        <w:rPr>
          <w:color w:val="231F20"/>
          <w:w w:val="105"/>
        </w:rPr>
        <w:t>computer</w:t>
      </w:r>
      <w:r>
        <w:rPr>
          <w:color w:val="231F20"/>
          <w:spacing w:val="-12"/>
          <w:w w:val="105"/>
        </w:rPr>
        <w:t> </w:t>
      </w:r>
      <w:r>
        <w:rPr>
          <w:color w:val="231F20"/>
          <w:w w:val="105"/>
        </w:rPr>
        <w:t>programs</w:t>
      </w:r>
      <w:r>
        <w:rPr>
          <w:color w:val="231F20"/>
          <w:spacing w:val="-12"/>
          <w:w w:val="105"/>
        </w:rPr>
        <w:t> </w:t>
      </w:r>
      <w:r>
        <w:rPr>
          <w:color w:val="231F20"/>
          <w:w w:val="105"/>
        </w:rPr>
        <w:t>perform</w:t>
      </w:r>
      <w:r>
        <w:rPr>
          <w:color w:val="231F20"/>
          <w:spacing w:val="-13"/>
          <w:w w:val="105"/>
        </w:rPr>
        <w:t> </w:t>
      </w:r>
      <w:r>
        <w:rPr>
          <w:color w:val="231F20"/>
          <w:w w:val="105"/>
        </w:rPr>
        <w:t>a modified</w:t>
      </w:r>
      <w:r>
        <w:rPr>
          <w:color w:val="231F20"/>
          <w:w w:val="105"/>
        </w:rPr>
        <w:t> EOQ</w:t>
      </w:r>
      <w:r>
        <w:rPr>
          <w:color w:val="231F20"/>
          <w:w w:val="105"/>
        </w:rPr>
        <w:t> calculation</w:t>
      </w:r>
      <w:r>
        <w:rPr>
          <w:color w:val="231F20"/>
          <w:w w:val="105"/>
        </w:rPr>
        <w:t> more</w:t>
      </w:r>
      <w:r>
        <w:rPr>
          <w:color w:val="231F20"/>
          <w:w w:val="105"/>
        </w:rPr>
        <w:t> frequently</w:t>
      </w:r>
      <w:r>
        <w:rPr>
          <w:color w:val="231F20"/>
          <w:w w:val="105"/>
        </w:rPr>
        <w:t> to</w:t>
      </w:r>
      <w:r>
        <w:rPr>
          <w:color w:val="231F20"/>
          <w:w w:val="105"/>
        </w:rPr>
        <w:t> adjust</w:t>
      </w:r>
      <w:r>
        <w:rPr>
          <w:color w:val="231F20"/>
          <w:w w:val="105"/>
        </w:rPr>
        <w:t> the</w:t>
      </w:r>
      <w:r>
        <w:rPr>
          <w:color w:val="231F20"/>
          <w:w w:val="105"/>
        </w:rPr>
        <w:t> EOQ</w:t>
      </w:r>
      <w:r>
        <w:rPr>
          <w:color w:val="231F20"/>
          <w:w w:val="105"/>
        </w:rPr>
        <w:t> for </w:t>
      </w:r>
      <w:r>
        <w:rPr>
          <w:color w:val="231F20"/>
        </w:rPr>
        <w:t>fluctuating demand projections. In those situations the computer cal- culates varying optimal order sizes many times throughout the year. </w:t>
      </w:r>
      <w:r>
        <w:rPr>
          <w:color w:val="231F20"/>
          <w:w w:val="105"/>
        </w:rPr>
        <w:t>Even though the EOQ formula’s application is limited, an MBA can </w:t>
      </w:r>
      <w:r>
        <w:rPr>
          <w:color w:val="231F20"/>
        </w:rPr>
        <w:t>talk intelligently with inventory experts if a problem arises. Because </w:t>
      </w:r>
      <w:r>
        <w:rPr>
          <w:color w:val="231F20"/>
          <w:w w:val="105"/>
        </w:rPr>
        <w:t>when</w:t>
      </w:r>
      <w:r>
        <w:rPr>
          <w:color w:val="231F20"/>
          <w:spacing w:val="-10"/>
          <w:w w:val="105"/>
        </w:rPr>
        <w:t> </w:t>
      </w:r>
      <w:r>
        <w:rPr>
          <w:color w:val="231F20"/>
          <w:w w:val="105"/>
        </w:rPr>
        <w:t>inventory</w:t>
      </w:r>
      <w:r>
        <w:rPr>
          <w:color w:val="231F20"/>
          <w:spacing w:val="-10"/>
          <w:w w:val="105"/>
        </w:rPr>
        <w:t> </w:t>
      </w:r>
      <w:r>
        <w:rPr>
          <w:color w:val="231F20"/>
          <w:w w:val="105"/>
        </w:rPr>
        <w:t>piles</w:t>
      </w:r>
      <w:r>
        <w:rPr>
          <w:color w:val="231F20"/>
          <w:spacing w:val="-10"/>
          <w:w w:val="105"/>
        </w:rPr>
        <w:t> </w:t>
      </w:r>
      <w:r>
        <w:rPr>
          <w:color w:val="231F20"/>
          <w:w w:val="105"/>
        </w:rPr>
        <w:t>up</w:t>
      </w:r>
      <w:r>
        <w:rPr>
          <w:color w:val="231F20"/>
          <w:spacing w:val="-10"/>
          <w:w w:val="105"/>
        </w:rPr>
        <w:t> </w:t>
      </w:r>
      <w:r>
        <w:rPr>
          <w:color w:val="231F20"/>
          <w:w w:val="105"/>
        </w:rPr>
        <w:t>unexpectedly,</w:t>
      </w:r>
      <w:r>
        <w:rPr>
          <w:color w:val="231F20"/>
          <w:spacing w:val="-10"/>
          <w:w w:val="105"/>
        </w:rPr>
        <w:t> </w:t>
      </w:r>
      <w:r>
        <w:rPr>
          <w:color w:val="231F20"/>
          <w:w w:val="105"/>
        </w:rPr>
        <w:t>it</w:t>
      </w:r>
      <w:r>
        <w:rPr>
          <w:color w:val="231F20"/>
          <w:spacing w:val="-10"/>
          <w:w w:val="105"/>
        </w:rPr>
        <w:t> </w:t>
      </w:r>
      <w:r>
        <w:rPr>
          <w:color w:val="231F20"/>
          <w:w w:val="105"/>
        </w:rPr>
        <w:t>is</w:t>
      </w:r>
      <w:r>
        <w:rPr>
          <w:color w:val="231F20"/>
          <w:spacing w:val="-10"/>
          <w:w w:val="105"/>
        </w:rPr>
        <w:t> </w:t>
      </w:r>
      <w:r>
        <w:rPr>
          <w:color w:val="231F20"/>
          <w:w w:val="105"/>
        </w:rPr>
        <w:t>serious</w:t>
      </w:r>
      <w:r>
        <w:rPr>
          <w:color w:val="231F20"/>
          <w:spacing w:val="-10"/>
          <w:w w:val="105"/>
        </w:rPr>
        <w:t> </w:t>
      </w:r>
      <w:r>
        <w:rPr>
          <w:color w:val="231F20"/>
          <w:w w:val="105"/>
        </w:rPr>
        <w:t>business.</w:t>
      </w:r>
    </w:p>
    <w:p>
      <w:pPr>
        <w:pStyle w:val="BodyText"/>
        <w:spacing w:before="2"/>
        <w:rPr>
          <w:sz w:val="25"/>
        </w:rPr>
      </w:pPr>
    </w:p>
    <w:p>
      <w:pPr>
        <w:pStyle w:val="BodyText"/>
        <w:spacing w:line="292" w:lineRule="auto"/>
        <w:ind w:left="920" w:right="663"/>
        <w:jc w:val="both"/>
      </w:pPr>
      <w:r>
        <w:rPr>
          <w:i/>
          <w:color w:val="231F20"/>
          <w:w w:val="105"/>
        </w:rPr>
        <w:t>Material</w:t>
      </w:r>
      <w:r>
        <w:rPr>
          <w:i/>
          <w:color w:val="231F20"/>
          <w:w w:val="105"/>
        </w:rPr>
        <w:t> Requirements</w:t>
      </w:r>
      <w:r>
        <w:rPr>
          <w:i/>
          <w:color w:val="231F20"/>
          <w:w w:val="105"/>
        </w:rPr>
        <w:t> Planning</w:t>
      </w:r>
      <w:r>
        <w:rPr>
          <w:i/>
          <w:color w:val="231F20"/>
          <w:w w:val="105"/>
        </w:rPr>
        <w:t> (MRP):</w:t>
      </w:r>
      <w:r>
        <w:rPr>
          <w:i/>
          <w:color w:val="231F20"/>
          <w:w w:val="105"/>
        </w:rPr>
        <w:t> Inventory</w:t>
      </w:r>
      <w:r>
        <w:rPr>
          <w:i/>
          <w:color w:val="231F20"/>
          <w:w w:val="105"/>
        </w:rPr>
        <w:t> and</w:t>
      </w:r>
      <w:r>
        <w:rPr>
          <w:i/>
          <w:color w:val="231F20"/>
          <w:w w:val="105"/>
        </w:rPr>
        <w:t> Capacity</w:t>
      </w:r>
      <w:r>
        <w:rPr>
          <w:i/>
          <w:color w:val="231F20"/>
          <w:w w:val="105"/>
        </w:rPr>
        <w:t> Management.</w:t>
      </w:r>
      <w:r>
        <w:rPr>
          <w:i/>
          <w:color w:val="231F20"/>
          <w:spacing w:val="-2"/>
          <w:w w:val="105"/>
        </w:rPr>
        <w:t> </w:t>
      </w:r>
      <w:r>
        <w:rPr>
          <w:color w:val="231F20"/>
          <w:w w:val="105"/>
        </w:rPr>
        <w:t>The</w:t>
      </w:r>
      <w:r>
        <w:rPr>
          <w:color w:val="231F20"/>
          <w:spacing w:val="-2"/>
          <w:w w:val="105"/>
        </w:rPr>
        <w:t> </w:t>
      </w:r>
      <w:r>
        <w:rPr>
          <w:color w:val="231F20"/>
          <w:w w:val="105"/>
        </w:rPr>
        <w:t>knowledge</w:t>
      </w:r>
      <w:r>
        <w:rPr>
          <w:color w:val="231F20"/>
          <w:spacing w:val="-2"/>
          <w:w w:val="105"/>
        </w:rPr>
        <w:t> </w:t>
      </w:r>
      <w:r>
        <w:rPr>
          <w:color w:val="231F20"/>
          <w:w w:val="105"/>
        </w:rPr>
        <w:t>of</w:t>
      </w:r>
      <w:r>
        <w:rPr>
          <w:color w:val="231F20"/>
          <w:spacing w:val="-2"/>
          <w:w w:val="105"/>
        </w:rPr>
        <w:t> </w:t>
      </w:r>
      <w:r>
        <w:rPr>
          <w:color w:val="231F20"/>
          <w:w w:val="105"/>
        </w:rPr>
        <w:t>production</w:t>
      </w:r>
      <w:r>
        <w:rPr>
          <w:color w:val="231F20"/>
          <w:spacing w:val="-2"/>
          <w:w w:val="105"/>
        </w:rPr>
        <w:t> </w:t>
      </w:r>
      <w:r>
        <w:rPr>
          <w:color w:val="231F20"/>
          <w:w w:val="105"/>
        </w:rPr>
        <w:t>scheduling</w:t>
      </w:r>
      <w:r>
        <w:rPr>
          <w:color w:val="231F20"/>
          <w:spacing w:val="-2"/>
          <w:w w:val="105"/>
        </w:rPr>
        <w:t> </w:t>
      </w:r>
      <w:r>
        <w:rPr>
          <w:color w:val="231F20"/>
          <w:w w:val="105"/>
        </w:rPr>
        <w:t>and</w:t>
      </w:r>
      <w:r>
        <w:rPr>
          <w:color w:val="231F20"/>
          <w:spacing w:val="-2"/>
          <w:w w:val="105"/>
        </w:rPr>
        <w:t> </w:t>
      </w:r>
      <w:r>
        <w:rPr>
          <w:color w:val="231F20"/>
          <w:w w:val="105"/>
        </w:rPr>
        <w:t>inven- tory</w:t>
      </w:r>
      <w:r>
        <w:rPr>
          <w:color w:val="231F20"/>
          <w:spacing w:val="-13"/>
          <w:w w:val="105"/>
        </w:rPr>
        <w:t> </w:t>
      </w:r>
      <w:r>
        <w:rPr>
          <w:color w:val="231F20"/>
          <w:w w:val="105"/>
        </w:rPr>
        <w:t>control</w:t>
      </w:r>
      <w:r>
        <w:rPr>
          <w:color w:val="231F20"/>
          <w:spacing w:val="-12"/>
          <w:w w:val="105"/>
        </w:rPr>
        <w:t> </w:t>
      </w:r>
      <w:r>
        <w:rPr>
          <w:color w:val="231F20"/>
          <w:w w:val="105"/>
        </w:rPr>
        <w:t>makes</w:t>
      </w:r>
      <w:r>
        <w:rPr>
          <w:color w:val="231F20"/>
          <w:spacing w:val="-12"/>
          <w:w w:val="105"/>
        </w:rPr>
        <w:t> </w:t>
      </w:r>
      <w:r>
        <w:rPr>
          <w:color w:val="231F20"/>
          <w:w w:val="105"/>
        </w:rPr>
        <w:t>state-of-the-art</w:t>
      </w:r>
      <w:r>
        <w:rPr>
          <w:color w:val="231F20"/>
          <w:spacing w:val="-12"/>
          <w:w w:val="105"/>
        </w:rPr>
        <w:t> </w:t>
      </w:r>
      <w:r>
        <w:rPr>
          <w:color w:val="231F20"/>
          <w:w w:val="105"/>
        </w:rPr>
        <w:t>manufacturing</w:t>
      </w:r>
      <w:r>
        <w:rPr>
          <w:color w:val="231F20"/>
          <w:spacing w:val="-12"/>
          <w:w w:val="105"/>
        </w:rPr>
        <w:t> </w:t>
      </w:r>
      <w:r>
        <w:rPr>
          <w:color w:val="231F20"/>
          <w:w w:val="105"/>
        </w:rPr>
        <w:t>possible.</w:t>
      </w:r>
      <w:r>
        <w:rPr>
          <w:color w:val="231F20"/>
          <w:spacing w:val="-12"/>
          <w:w w:val="105"/>
        </w:rPr>
        <w:t> </w:t>
      </w:r>
      <w:r>
        <w:rPr>
          <w:color w:val="231F20"/>
          <w:w w:val="105"/>
        </w:rPr>
        <w:t>MRP</w:t>
      </w:r>
      <w:r>
        <w:rPr>
          <w:color w:val="231F20"/>
          <w:spacing w:val="-12"/>
          <w:w w:val="105"/>
        </w:rPr>
        <w:t> </w:t>
      </w:r>
      <w:r>
        <w:rPr>
          <w:color w:val="231F20"/>
          <w:w w:val="105"/>
        </w:rPr>
        <w:t>is </w:t>
      </w:r>
      <w:r>
        <w:rPr>
          <w:color w:val="231F20"/>
        </w:rPr>
        <w:t>a method for planning and controlling inventories required in a fac- </w:t>
      </w:r>
      <w:r>
        <w:rPr>
          <w:color w:val="231F20"/>
          <w:w w:val="105"/>
        </w:rPr>
        <w:t>tory.</w:t>
      </w:r>
      <w:r>
        <w:rPr>
          <w:color w:val="231F20"/>
          <w:w w:val="105"/>
        </w:rPr>
        <w:t> Some</w:t>
      </w:r>
      <w:r>
        <w:rPr>
          <w:color w:val="231F20"/>
          <w:w w:val="105"/>
        </w:rPr>
        <w:t> say</w:t>
      </w:r>
      <w:r>
        <w:rPr>
          <w:color w:val="231F20"/>
          <w:w w:val="105"/>
        </w:rPr>
        <w:t> that</w:t>
      </w:r>
      <w:r>
        <w:rPr>
          <w:color w:val="231F20"/>
          <w:w w:val="105"/>
        </w:rPr>
        <w:t> MRP</w:t>
      </w:r>
      <w:r>
        <w:rPr>
          <w:color w:val="231F20"/>
          <w:w w:val="105"/>
        </w:rPr>
        <w:t> means</w:t>
      </w:r>
      <w:r>
        <w:rPr>
          <w:color w:val="231F20"/>
          <w:w w:val="105"/>
        </w:rPr>
        <w:t> “manufacturing</w:t>
      </w:r>
      <w:r>
        <w:rPr>
          <w:color w:val="231F20"/>
          <w:w w:val="105"/>
        </w:rPr>
        <w:t> resource</w:t>
      </w:r>
      <w:r>
        <w:rPr>
          <w:color w:val="231F20"/>
          <w:w w:val="105"/>
        </w:rPr>
        <w:t> plan- ning,”</w:t>
      </w:r>
      <w:r>
        <w:rPr>
          <w:color w:val="231F20"/>
          <w:w w:val="105"/>
        </w:rPr>
        <w:t> but</w:t>
      </w:r>
      <w:r>
        <w:rPr>
          <w:color w:val="231F20"/>
          <w:w w:val="105"/>
        </w:rPr>
        <w:t> under</w:t>
      </w:r>
      <w:r>
        <w:rPr>
          <w:color w:val="231F20"/>
          <w:w w:val="105"/>
        </w:rPr>
        <w:t> any</w:t>
      </w:r>
      <w:r>
        <w:rPr>
          <w:color w:val="231F20"/>
          <w:w w:val="105"/>
        </w:rPr>
        <w:t> name,</w:t>
      </w:r>
      <w:r>
        <w:rPr>
          <w:color w:val="231F20"/>
          <w:w w:val="105"/>
        </w:rPr>
        <w:t> MRP</w:t>
      </w:r>
      <w:r>
        <w:rPr>
          <w:color w:val="231F20"/>
          <w:w w:val="105"/>
        </w:rPr>
        <w:t> is</w:t>
      </w:r>
      <w:r>
        <w:rPr>
          <w:color w:val="231F20"/>
          <w:w w:val="105"/>
        </w:rPr>
        <w:t> a</w:t>
      </w:r>
      <w:r>
        <w:rPr>
          <w:color w:val="231F20"/>
          <w:w w:val="105"/>
        </w:rPr>
        <w:t> sophisticated</w:t>
      </w:r>
      <w:r>
        <w:rPr>
          <w:color w:val="231F20"/>
          <w:w w:val="105"/>
        </w:rPr>
        <w:t> system</w:t>
      </w:r>
      <w:r>
        <w:rPr>
          <w:color w:val="231F20"/>
          <w:w w:val="105"/>
        </w:rPr>
        <w:t> to improve</w:t>
      </w:r>
      <w:r>
        <w:rPr>
          <w:color w:val="231F20"/>
          <w:spacing w:val="-3"/>
          <w:w w:val="105"/>
        </w:rPr>
        <w:t> </w:t>
      </w:r>
      <w:r>
        <w:rPr>
          <w:color w:val="231F20"/>
          <w:w w:val="105"/>
        </w:rPr>
        <w:t>manufacturing</w:t>
      </w:r>
      <w:r>
        <w:rPr>
          <w:color w:val="231F20"/>
          <w:spacing w:val="-3"/>
          <w:w w:val="105"/>
        </w:rPr>
        <w:t> </w:t>
      </w:r>
      <w:r>
        <w:rPr>
          <w:color w:val="231F20"/>
          <w:w w:val="105"/>
        </w:rPr>
        <w:t>efficiency.</w:t>
      </w:r>
      <w:r>
        <w:rPr>
          <w:color w:val="231F20"/>
          <w:spacing w:val="-3"/>
          <w:w w:val="105"/>
        </w:rPr>
        <w:t> </w:t>
      </w:r>
      <w:r>
        <w:rPr>
          <w:color w:val="231F20"/>
          <w:w w:val="105"/>
        </w:rPr>
        <w:t>MRP</w:t>
      </w:r>
      <w:r>
        <w:rPr>
          <w:color w:val="231F20"/>
          <w:spacing w:val="-3"/>
          <w:w w:val="105"/>
        </w:rPr>
        <w:t> </w:t>
      </w:r>
      <w:r>
        <w:rPr>
          <w:color w:val="231F20"/>
          <w:w w:val="105"/>
        </w:rPr>
        <w:t>schedules</w:t>
      </w:r>
      <w:r>
        <w:rPr>
          <w:color w:val="231F20"/>
          <w:spacing w:val="-3"/>
          <w:w w:val="105"/>
        </w:rPr>
        <w:t> </w:t>
      </w:r>
      <w:r>
        <w:rPr>
          <w:color w:val="231F20"/>
          <w:w w:val="105"/>
        </w:rPr>
        <w:t>production</w:t>
      </w:r>
      <w:r>
        <w:rPr>
          <w:color w:val="231F20"/>
          <w:spacing w:val="-3"/>
          <w:w w:val="105"/>
        </w:rPr>
        <w:t> </w:t>
      </w:r>
      <w:r>
        <w:rPr>
          <w:color w:val="231F20"/>
          <w:w w:val="105"/>
        </w:rPr>
        <w:t>and </w:t>
      </w:r>
      <w:r>
        <w:rPr>
          <w:color w:val="231F20"/>
        </w:rPr>
        <w:t>calculates the optimal amount of inventory needed for efficient pro- </w:t>
      </w:r>
      <w:r>
        <w:rPr>
          <w:color w:val="231F20"/>
          <w:w w:val="105"/>
        </w:rPr>
        <w:t>duction.</w:t>
      </w:r>
      <w:r>
        <w:rPr>
          <w:color w:val="231F20"/>
          <w:spacing w:val="-7"/>
          <w:w w:val="105"/>
        </w:rPr>
        <w:t> </w:t>
      </w:r>
      <w:r>
        <w:rPr>
          <w:color w:val="231F20"/>
          <w:w w:val="105"/>
        </w:rPr>
        <w:t>With</w:t>
      </w:r>
      <w:r>
        <w:rPr>
          <w:color w:val="231F20"/>
          <w:spacing w:val="-7"/>
          <w:w w:val="105"/>
        </w:rPr>
        <w:t> </w:t>
      </w:r>
      <w:r>
        <w:rPr>
          <w:color w:val="231F20"/>
          <w:w w:val="105"/>
        </w:rPr>
        <w:t>products</w:t>
      </w:r>
      <w:r>
        <w:rPr>
          <w:color w:val="231F20"/>
          <w:spacing w:val="-7"/>
          <w:w w:val="105"/>
        </w:rPr>
        <w:t> </w:t>
      </w:r>
      <w:r>
        <w:rPr>
          <w:color w:val="231F20"/>
          <w:w w:val="105"/>
        </w:rPr>
        <w:t>that</w:t>
      </w:r>
      <w:r>
        <w:rPr>
          <w:color w:val="231F20"/>
          <w:spacing w:val="-7"/>
          <w:w w:val="105"/>
        </w:rPr>
        <w:t> </w:t>
      </w:r>
      <w:r>
        <w:rPr>
          <w:color w:val="231F20"/>
          <w:w w:val="105"/>
        </w:rPr>
        <w:t>have</w:t>
      </w:r>
      <w:r>
        <w:rPr>
          <w:color w:val="231F20"/>
          <w:spacing w:val="-7"/>
          <w:w w:val="105"/>
        </w:rPr>
        <w:t> </w:t>
      </w:r>
      <w:r>
        <w:rPr>
          <w:color w:val="231F20"/>
          <w:w w:val="105"/>
        </w:rPr>
        <w:t>many</w:t>
      </w:r>
      <w:r>
        <w:rPr>
          <w:color w:val="231F20"/>
          <w:spacing w:val="-7"/>
          <w:w w:val="105"/>
        </w:rPr>
        <w:t> </w:t>
      </w:r>
      <w:r>
        <w:rPr>
          <w:color w:val="231F20"/>
          <w:w w:val="105"/>
        </w:rPr>
        <w:t>parts,</w:t>
      </w:r>
      <w:r>
        <w:rPr>
          <w:color w:val="231F20"/>
          <w:spacing w:val="-7"/>
          <w:w w:val="105"/>
        </w:rPr>
        <w:t> </w:t>
      </w:r>
      <w:r>
        <w:rPr>
          <w:color w:val="231F20"/>
          <w:w w:val="105"/>
        </w:rPr>
        <w:t>such</w:t>
      </w:r>
      <w:r>
        <w:rPr>
          <w:color w:val="231F20"/>
          <w:spacing w:val="-7"/>
          <w:w w:val="105"/>
        </w:rPr>
        <w:t> </w:t>
      </w:r>
      <w:r>
        <w:rPr>
          <w:color w:val="231F20"/>
          <w:w w:val="105"/>
        </w:rPr>
        <w:t>as</w:t>
      </w:r>
      <w:r>
        <w:rPr>
          <w:color w:val="231F20"/>
          <w:spacing w:val="-7"/>
          <w:w w:val="105"/>
        </w:rPr>
        <w:t> </w:t>
      </w:r>
      <w:r>
        <w:rPr>
          <w:color w:val="231F20"/>
          <w:w w:val="105"/>
        </w:rPr>
        <w:t>automobiles, </w:t>
      </w:r>
      <w:r>
        <w:rPr>
          <w:color w:val="231F20"/>
        </w:rPr>
        <w:t>appliances, and electronics, such a calculation can only be arrived at </w:t>
      </w:r>
      <w:r>
        <w:rPr>
          <w:color w:val="231F20"/>
          <w:w w:val="105"/>
        </w:rPr>
        <w:t>by using a computer.</w:t>
      </w:r>
    </w:p>
    <w:p>
      <w:pPr>
        <w:pStyle w:val="BodyText"/>
        <w:spacing w:line="292" w:lineRule="auto"/>
        <w:ind w:left="920" w:right="663" w:firstLine="340"/>
        <w:jc w:val="both"/>
      </w:pPr>
      <w:r>
        <w:rPr>
          <w:color w:val="231F20"/>
        </w:rPr>
        <w:t>To</w:t>
      </w:r>
      <w:r>
        <w:rPr>
          <w:color w:val="231F20"/>
          <w:spacing w:val="-1"/>
        </w:rPr>
        <w:t> </w:t>
      </w:r>
      <w:r>
        <w:rPr>
          <w:color w:val="231F20"/>
        </w:rPr>
        <w:t>set</w:t>
      </w:r>
      <w:r>
        <w:rPr>
          <w:color w:val="231F20"/>
          <w:spacing w:val="-1"/>
        </w:rPr>
        <w:t> </w:t>
      </w:r>
      <w:r>
        <w:rPr>
          <w:color w:val="231F20"/>
        </w:rPr>
        <w:t>up</w:t>
      </w:r>
      <w:r>
        <w:rPr>
          <w:color w:val="231F20"/>
          <w:spacing w:val="-1"/>
        </w:rPr>
        <w:t> </w:t>
      </w:r>
      <w:r>
        <w:rPr>
          <w:color w:val="231F20"/>
        </w:rPr>
        <w:t>the</w:t>
      </w:r>
      <w:r>
        <w:rPr>
          <w:color w:val="231F20"/>
          <w:spacing w:val="-1"/>
        </w:rPr>
        <w:t> </w:t>
      </w:r>
      <w:r>
        <w:rPr>
          <w:color w:val="231F20"/>
        </w:rPr>
        <w:t>system,</w:t>
      </w:r>
      <w:r>
        <w:rPr>
          <w:color w:val="231F20"/>
          <w:spacing w:val="-1"/>
        </w:rPr>
        <w:t> </w:t>
      </w:r>
      <w:r>
        <w:rPr>
          <w:color w:val="231F20"/>
        </w:rPr>
        <w:t>the</w:t>
      </w:r>
      <w:r>
        <w:rPr>
          <w:color w:val="231F20"/>
          <w:spacing w:val="-1"/>
        </w:rPr>
        <w:t> </w:t>
      </w:r>
      <w:r>
        <w:rPr>
          <w:color w:val="231F20"/>
        </w:rPr>
        <w:t>computer</w:t>
      </w:r>
      <w:r>
        <w:rPr>
          <w:color w:val="231F20"/>
          <w:spacing w:val="-1"/>
        </w:rPr>
        <w:t> </w:t>
      </w:r>
      <w:r>
        <w:rPr>
          <w:color w:val="231F20"/>
        </w:rPr>
        <w:t>programmer</w:t>
      </w:r>
      <w:r>
        <w:rPr>
          <w:color w:val="231F20"/>
          <w:spacing w:val="-1"/>
        </w:rPr>
        <w:t> </w:t>
      </w:r>
      <w:r>
        <w:rPr>
          <w:color w:val="231F20"/>
        </w:rPr>
        <w:t>must</w:t>
      </w:r>
      <w:r>
        <w:rPr>
          <w:color w:val="231F20"/>
          <w:spacing w:val="-1"/>
        </w:rPr>
        <w:t> </w:t>
      </w:r>
      <w:r>
        <w:rPr>
          <w:color w:val="231F20"/>
        </w:rPr>
        <w:t>be</w:t>
      </w:r>
      <w:r>
        <w:rPr>
          <w:color w:val="231F20"/>
          <w:spacing w:val="-1"/>
        </w:rPr>
        <w:t> </w:t>
      </w:r>
      <w:r>
        <w:rPr>
          <w:color w:val="231F20"/>
        </w:rPr>
        <w:t>familiar with the production process and material requirements. Then the computer can translate customer product demand into detailed orders to guide factory production and material requisitions from </w:t>
      </w:r>
      <w:r>
        <w:rPr>
          <w:color w:val="231F20"/>
          <w:spacing w:val="-2"/>
        </w:rPr>
        <w:t>vendors.</w:t>
      </w:r>
    </w:p>
    <w:p>
      <w:pPr>
        <w:pStyle w:val="BodyText"/>
        <w:spacing w:line="292" w:lineRule="auto"/>
        <w:ind w:left="920" w:right="663" w:firstLine="340"/>
        <w:jc w:val="both"/>
      </w:pPr>
      <w:r>
        <w:rPr>
          <w:color w:val="231F20"/>
        </w:rPr>
        <w:t>The MRP process begins when production engineers determine the most efficient production method. For autos like a Honda </w:t>
      </w:r>
      <w:r>
        <w:rPr>
          <w:color w:val="231F20"/>
        </w:rPr>
        <w:t>Civic, for example, the assembly line is the most efficient production method. The process investigation must include every step of assem- bly, from sanding the raw steel body to driving the Honda out of the factory.</w:t>
      </w:r>
      <w:r>
        <w:rPr>
          <w:color w:val="231F20"/>
          <w:spacing w:val="32"/>
        </w:rPr>
        <w:t> </w:t>
      </w:r>
      <w:r>
        <w:rPr>
          <w:color w:val="231F20"/>
        </w:rPr>
        <w:t>Time</w:t>
      </w:r>
      <w:r>
        <w:rPr>
          <w:color w:val="231F20"/>
          <w:spacing w:val="32"/>
        </w:rPr>
        <w:t> </w:t>
      </w:r>
      <w:r>
        <w:rPr>
          <w:color w:val="231F20"/>
        </w:rPr>
        <w:t>and</w:t>
      </w:r>
      <w:r>
        <w:rPr>
          <w:color w:val="231F20"/>
          <w:spacing w:val="33"/>
        </w:rPr>
        <w:t> </w:t>
      </w:r>
      <w:r>
        <w:rPr>
          <w:color w:val="231F20"/>
        </w:rPr>
        <w:t>motion</w:t>
      </w:r>
      <w:r>
        <w:rPr>
          <w:color w:val="231F20"/>
          <w:spacing w:val="32"/>
        </w:rPr>
        <w:t> </w:t>
      </w:r>
      <w:r>
        <w:rPr>
          <w:color w:val="231F20"/>
        </w:rPr>
        <w:t>studies,</w:t>
      </w:r>
      <w:r>
        <w:rPr>
          <w:color w:val="231F20"/>
          <w:spacing w:val="33"/>
        </w:rPr>
        <w:t> </w:t>
      </w:r>
      <w:r>
        <w:rPr>
          <w:color w:val="231F20"/>
        </w:rPr>
        <w:t>such</w:t>
      </w:r>
      <w:r>
        <w:rPr>
          <w:color w:val="231F20"/>
          <w:spacing w:val="32"/>
        </w:rPr>
        <w:t> </w:t>
      </w:r>
      <w:r>
        <w:rPr>
          <w:color w:val="231F20"/>
        </w:rPr>
        <w:t>as</w:t>
      </w:r>
      <w:r>
        <w:rPr>
          <w:color w:val="231F20"/>
          <w:spacing w:val="33"/>
        </w:rPr>
        <w:t> </w:t>
      </w:r>
      <w:r>
        <w:rPr>
          <w:color w:val="231F20"/>
        </w:rPr>
        <w:t>those</w:t>
      </w:r>
      <w:r>
        <w:rPr>
          <w:color w:val="231F20"/>
          <w:spacing w:val="32"/>
        </w:rPr>
        <w:t> </w:t>
      </w:r>
      <w:r>
        <w:rPr>
          <w:color w:val="231F20"/>
        </w:rPr>
        <w:t>Taylor</w:t>
      </w:r>
      <w:r>
        <w:rPr>
          <w:color w:val="231F20"/>
          <w:spacing w:val="33"/>
        </w:rPr>
        <w:t> </w:t>
      </w:r>
      <w:r>
        <w:rPr>
          <w:color w:val="231F20"/>
          <w:spacing w:val="-2"/>
        </w:rPr>
        <w:t>conducted</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nearly a century ago, might be necessary. The capabilities of both machine and worker must be known to determine the capacity of</w:t>
      </w:r>
      <w:r>
        <w:rPr>
          <w:color w:val="231F20"/>
          <w:spacing w:val="80"/>
          <w:w w:val="150"/>
        </w:rPr>
        <w:t> </w:t>
      </w:r>
      <w:r>
        <w:rPr>
          <w:color w:val="231F20"/>
        </w:rPr>
        <w:t>the factory. For instance, production engineers know exactly how many front quarter panels can be stamped out per hour and </w:t>
      </w:r>
      <w:r>
        <w:rPr>
          <w:color w:val="231F20"/>
        </w:rPr>
        <w:t>how many man-hours are required to operate the press.</w:t>
      </w:r>
    </w:p>
    <w:p>
      <w:pPr>
        <w:pStyle w:val="BodyText"/>
        <w:spacing w:line="292" w:lineRule="auto"/>
        <w:ind w:left="829" w:right="754" w:firstLine="340"/>
        <w:jc w:val="both"/>
      </w:pPr>
      <w:r>
        <w:rPr>
          <w:color w:val="231F20"/>
        </w:rPr>
        <w:t>Process engineers also have to detail </w:t>
      </w:r>
      <w:r>
        <w:rPr>
          <w:i/>
          <w:color w:val="231F20"/>
        </w:rPr>
        <w:t>all </w:t>
      </w:r>
      <w:r>
        <w:rPr>
          <w:color w:val="231F20"/>
        </w:rPr>
        <w:t>the part and material re- quirements of a product. The requirements list is called a Bill of Ma- terials (BOM). It is recorded in the computer so that production demands can be “exploded” into exact material needs. For each Honda Civic, the MRP system would know that it needed two </w:t>
      </w:r>
      <w:r>
        <w:rPr>
          <w:color w:val="231F20"/>
        </w:rPr>
        <w:t>head- lamps, forty-six two-inch screws, 4.2 quarts of paint, and hundreds</w:t>
      </w:r>
      <w:r>
        <w:rPr>
          <w:color w:val="231F20"/>
          <w:spacing w:val="80"/>
        </w:rPr>
        <w:t> </w:t>
      </w:r>
      <w:r>
        <w:rPr>
          <w:color w:val="231F20"/>
        </w:rPr>
        <w:t>of other parts. The inventories of the materials are also tracked by MRP. In that way MRP can direct the factory manager to keep ade- quate part inventories to feed the production line needs. At the same time, MRP minimizes inventory levels by telling inventory clerks to order economic order quantities.</w:t>
      </w:r>
    </w:p>
    <w:p>
      <w:pPr>
        <w:pStyle w:val="BodyText"/>
        <w:spacing w:line="292" w:lineRule="auto"/>
        <w:ind w:left="829" w:right="756" w:firstLine="340"/>
        <w:jc w:val="both"/>
      </w:pPr>
      <w:r>
        <w:rPr>
          <w:color w:val="231F20"/>
          <w:w w:val="105"/>
        </w:rPr>
        <w:t>A</w:t>
      </w:r>
      <w:r>
        <w:rPr>
          <w:color w:val="231F20"/>
          <w:w w:val="105"/>
        </w:rPr>
        <w:t> “complete”</w:t>
      </w:r>
      <w:r>
        <w:rPr>
          <w:color w:val="231F20"/>
          <w:w w:val="105"/>
        </w:rPr>
        <w:t> MRP</w:t>
      </w:r>
      <w:r>
        <w:rPr>
          <w:color w:val="231F20"/>
          <w:w w:val="105"/>
        </w:rPr>
        <w:t> system,</w:t>
      </w:r>
      <w:r>
        <w:rPr>
          <w:color w:val="231F20"/>
          <w:w w:val="105"/>
        </w:rPr>
        <w:t> also</w:t>
      </w:r>
      <w:r>
        <w:rPr>
          <w:color w:val="231F20"/>
          <w:w w:val="105"/>
        </w:rPr>
        <w:t> called </w:t>
      </w:r>
      <w:r>
        <w:rPr>
          <w:i/>
          <w:color w:val="231F20"/>
          <w:w w:val="105"/>
        </w:rPr>
        <w:t>enterprise</w:t>
      </w:r>
      <w:r>
        <w:rPr>
          <w:i/>
          <w:color w:val="231F20"/>
          <w:w w:val="105"/>
        </w:rPr>
        <w:t> software, </w:t>
      </w:r>
      <w:r>
        <w:rPr>
          <w:color w:val="231F20"/>
          <w:w w:val="105"/>
        </w:rPr>
        <w:t>co- </w:t>
      </w:r>
      <w:r>
        <w:rPr>
          <w:color w:val="231F20"/>
        </w:rPr>
        <w:t>ordinates the manufacturing process from forecasting customer de- </w:t>
      </w:r>
      <w:r>
        <w:rPr>
          <w:color w:val="231F20"/>
          <w:w w:val="105"/>
        </w:rPr>
        <w:t>mand,</w:t>
      </w:r>
      <w:r>
        <w:rPr>
          <w:color w:val="231F20"/>
          <w:spacing w:val="-12"/>
          <w:w w:val="105"/>
        </w:rPr>
        <w:t> </w:t>
      </w:r>
      <w:r>
        <w:rPr>
          <w:color w:val="231F20"/>
          <w:w w:val="105"/>
        </w:rPr>
        <w:t>shipment</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finished</w:t>
      </w:r>
      <w:r>
        <w:rPr>
          <w:color w:val="231F20"/>
          <w:spacing w:val="-12"/>
          <w:w w:val="105"/>
        </w:rPr>
        <w:t> </w:t>
      </w:r>
      <w:r>
        <w:rPr>
          <w:color w:val="231F20"/>
          <w:w w:val="105"/>
        </w:rPr>
        <w:t>product,</w:t>
      </w:r>
      <w:r>
        <w:rPr>
          <w:color w:val="231F20"/>
          <w:spacing w:val="-12"/>
          <w:w w:val="105"/>
        </w:rPr>
        <w:t> </w:t>
      </w:r>
      <w:r>
        <w:rPr>
          <w:color w:val="231F20"/>
          <w:w w:val="105"/>
        </w:rPr>
        <w:t>managing</w:t>
      </w:r>
      <w:r>
        <w:rPr>
          <w:color w:val="231F20"/>
          <w:spacing w:val="-12"/>
          <w:w w:val="105"/>
        </w:rPr>
        <w:t> </w:t>
      </w:r>
      <w:r>
        <w:rPr>
          <w:color w:val="231F20"/>
          <w:w w:val="105"/>
        </w:rPr>
        <w:t>the</w:t>
      </w:r>
      <w:r>
        <w:rPr>
          <w:color w:val="231F20"/>
          <w:spacing w:val="-12"/>
          <w:w w:val="105"/>
        </w:rPr>
        <w:t> </w:t>
      </w:r>
      <w:r>
        <w:rPr>
          <w:color w:val="231F20"/>
          <w:w w:val="105"/>
        </w:rPr>
        <w:t>inventory</w:t>
      </w:r>
      <w:r>
        <w:rPr>
          <w:color w:val="231F20"/>
          <w:spacing w:val="-12"/>
          <w:w w:val="105"/>
        </w:rPr>
        <w:t> </w:t>
      </w:r>
      <w:r>
        <w:rPr>
          <w:color w:val="231F20"/>
          <w:w w:val="105"/>
        </w:rPr>
        <w:t>in transit,</w:t>
      </w:r>
      <w:r>
        <w:rPr>
          <w:color w:val="231F20"/>
          <w:spacing w:val="-7"/>
          <w:w w:val="105"/>
        </w:rPr>
        <w:t> </w:t>
      </w:r>
      <w:r>
        <w:rPr>
          <w:color w:val="231F20"/>
          <w:w w:val="105"/>
        </w:rPr>
        <w:t>and</w:t>
      </w:r>
      <w:r>
        <w:rPr>
          <w:color w:val="231F20"/>
          <w:spacing w:val="-7"/>
          <w:w w:val="105"/>
        </w:rPr>
        <w:t> </w:t>
      </w:r>
      <w:r>
        <w:rPr>
          <w:color w:val="231F20"/>
          <w:w w:val="105"/>
        </w:rPr>
        <w:t>stocking</w:t>
      </w:r>
      <w:r>
        <w:rPr>
          <w:color w:val="231F20"/>
          <w:spacing w:val="-7"/>
          <w:w w:val="105"/>
        </w:rPr>
        <w:t> </w:t>
      </w:r>
      <w:r>
        <w:rPr>
          <w:color w:val="231F20"/>
          <w:w w:val="105"/>
        </w:rPr>
        <w:t>the</w:t>
      </w:r>
      <w:r>
        <w:rPr>
          <w:color w:val="231F20"/>
          <w:spacing w:val="-7"/>
          <w:w w:val="105"/>
        </w:rPr>
        <w:t> </w:t>
      </w:r>
      <w:r>
        <w:rPr>
          <w:color w:val="231F20"/>
          <w:w w:val="105"/>
        </w:rPr>
        <w:t>store</w:t>
      </w:r>
      <w:r>
        <w:rPr>
          <w:color w:val="231F20"/>
          <w:spacing w:val="-7"/>
          <w:w w:val="105"/>
        </w:rPr>
        <w:t> </w:t>
      </w:r>
      <w:r>
        <w:rPr>
          <w:color w:val="231F20"/>
          <w:w w:val="105"/>
        </w:rPr>
        <w:t>shelf.</w:t>
      </w:r>
      <w:r>
        <w:rPr>
          <w:color w:val="231F20"/>
          <w:spacing w:val="-7"/>
          <w:w w:val="105"/>
        </w:rPr>
        <w:t> </w:t>
      </w:r>
      <w:r>
        <w:rPr>
          <w:color w:val="231F20"/>
          <w:w w:val="105"/>
        </w:rPr>
        <w:t>The</w:t>
      </w:r>
      <w:r>
        <w:rPr>
          <w:color w:val="231F20"/>
          <w:spacing w:val="-7"/>
          <w:w w:val="105"/>
        </w:rPr>
        <w:t> </w:t>
      </w:r>
      <w:r>
        <w:rPr>
          <w:color w:val="231F20"/>
          <w:w w:val="105"/>
        </w:rPr>
        <w:t>Master</w:t>
      </w:r>
      <w:r>
        <w:rPr>
          <w:color w:val="231F20"/>
          <w:spacing w:val="-7"/>
          <w:w w:val="105"/>
        </w:rPr>
        <w:t> </w:t>
      </w:r>
      <w:r>
        <w:rPr>
          <w:color w:val="231F20"/>
          <w:w w:val="105"/>
        </w:rPr>
        <w:t>Production</w:t>
      </w:r>
      <w:r>
        <w:rPr>
          <w:color w:val="231F20"/>
          <w:spacing w:val="-7"/>
          <w:w w:val="105"/>
        </w:rPr>
        <w:t> </w:t>
      </w:r>
      <w:r>
        <w:rPr>
          <w:color w:val="231F20"/>
          <w:w w:val="105"/>
        </w:rPr>
        <w:t>Sched- ule</w:t>
      </w:r>
      <w:r>
        <w:rPr>
          <w:color w:val="231F20"/>
          <w:spacing w:val="-8"/>
          <w:w w:val="105"/>
        </w:rPr>
        <w:t> </w:t>
      </w:r>
      <w:r>
        <w:rPr>
          <w:color w:val="231F20"/>
          <w:w w:val="105"/>
        </w:rPr>
        <w:t>(MPS)</w:t>
      </w:r>
      <w:r>
        <w:rPr>
          <w:color w:val="231F20"/>
          <w:spacing w:val="-8"/>
          <w:w w:val="105"/>
        </w:rPr>
        <w:t> </w:t>
      </w:r>
      <w:r>
        <w:rPr>
          <w:color w:val="231F20"/>
          <w:w w:val="105"/>
        </w:rPr>
        <w:t>within</w:t>
      </w:r>
      <w:r>
        <w:rPr>
          <w:color w:val="231F20"/>
          <w:spacing w:val="-8"/>
          <w:w w:val="105"/>
        </w:rPr>
        <w:t> </w:t>
      </w:r>
      <w:r>
        <w:rPr>
          <w:color w:val="231F20"/>
          <w:w w:val="105"/>
        </w:rPr>
        <w:t>the</w:t>
      </w:r>
      <w:r>
        <w:rPr>
          <w:color w:val="231F20"/>
          <w:spacing w:val="-8"/>
          <w:w w:val="105"/>
        </w:rPr>
        <w:t> </w:t>
      </w:r>
      <w:r>
        <w:rPr>
          <w:color w:val="231F20"/>
          <w:w w:val="105"/>
        </w:rPr>
        <w:t>computer</w:t>
      </w:r>
      <w:r>
        <w:rPr>
          <w:color w:val="231F20"/>
          <w:spacing w:val="-8"/>
          <w:w w:val="105"/>
        </w:rPr>
        <w:t> </w:t>
      </w:r>
      <w:r>
        <w:rPr>
          <w:color w:val="231F20"/>
          <w:w w:val="105"/>
        </w:rPr>
        <w:t>sorts</w:t>
      </w:r>
      <w:r>
        <w:rPr>
          <w:color w:val="231F20"/>
          <w:spacing w:val="-8"/>
          <w:w w:val="105"/>
        </w:rPr>
        <w:t> </w:t>
      </w:r>
      <w:r>
        <w:rPr>
          <w:color w:val="231F20"/>
          <w:w w:val="105"/>
        </w:rPr>
        <w:t>and</w:t>
      </w:r>
      <w:r>
        <w:rPr>
          <w:color w:val="231F20"/>
          <w:spacing w:val="-8"/>
          <w:w w:val="105"/>
        </w:rPr>
        <w:t> </w:t>
      </w:r>
      <w:r>
        <w:rPr>
          <w:color w:val="231F20"/>
          <w:w w:val="105"/>
        </w:rPr>
        <w:t>stores</w:t>
      </w:r>
      <w:r>
        <w:rPr>
          <w:color w:val="231F20"/>
          <w:spacing w:val="-8"/>
          <w:w w:val="105"/>
        </w:rPr>
        <w:t> </w:t>
      </w:r>
      <w:r>
        <w:rPr>
          <w:color w:val="231F20"/>
          <w:w w:val="105"/>
        </w:rPr>
        <w:t>all</w:t>
      </w:r>
      <w:r>
        <w:rPr>
          <w:color w:val="231F20"/>
          <w:spacing w:val="-8"/>
          <w:w w:val="105"/>
        </w:rPr>
        <w:t> </w:t>
      </w:r>
      <w:r>
        <w:rPr>
          <w:color w:val="231F20"/>
          <w:w w:val="105"/>
        </w:rPr>
        <w:t>the</w:t>
      </w:r>
      <w:r>
        <w:rPr>
          <w:color w:val="231F20"/>
          <w:spacing w:val="-8"/>
          <w:w w:val="105"/>
        </w:rPr>
        <w:t> </w:t>
      </w:r>
      <w:r>
        <w:rPr>
          <w:color w:val="231F20"/>
          <w:w w:val="105"/>
        </w:rPr>
        <w:t>information about</w:t>
      </w:r>
      <w:r>
        <w:rPr>
          <w:color w:val="231F20"/>
          <w:w w:val="105"/>
        </w:rPr>
        <w:t> demand,</w:t>
      </w:r>
      <w:r>
        <w:rPr>
          <w:color w:val="231F20"/>
          <w:w w:val="105"/>
        </w:rPr>
        <w:t> production,</w:t>
      </w:r>
      <w:r>
        <w:rPr>
          <w:color w:val="231F20"/>
          <w:w w:val="105"/>
        </w:rPr>
        <w:t> and</w:t>
      </w:r>
      <w:r>
        <w:rPr>
          <w:color w:val="231F20"/>
          <w:w w:val="105"/>
        </w:rPr>
        <w:t> materials</w:t>
      </w:r>
      <w:r>
        <w:rPr>
          <w:color w:val="231F20"/>
          <w:w w:val="105"/>
        </w:rPr>
        <w:t> and</w:t>
      </w:r>
      <w:r>
        <w:rPr>
          <w:color w:val="231F20"/>
          <w:w w:val="105"/>
        </w:rPr>
        <w:t> sends</w:t>
      </w:r>
      <w:r>
        <w:rPr>
          <w:color w:val="231F20"/>
          <w:w w:val="105"/>
        </w:rPr>
        <w:t> out</w:t>
      </w:r>
      <w:r>
        <w:rPr>
          <w:color w:val="231F20"/>
          <w:w w:val="105"/>
        </w:rPr>
        <w:t> orders</w:t>
      </w:r>
      <w:r>
        <w:rPr>
          <w:color w:val="231F20"/>
          <w:w w:val="105"/>
        </w:rPr>
        <w:t> to direct and coordinate manufacturing.</w:t>
      </w:r>
    </w:p>
    <w:p>
      <w:pPr>
        <w:pStyle w:val="BodyText"/>
        <w:rPr>
          <w:sz w:val="24"/>
        </w:rPr>
      </w:pPr>
    </w:p>
    <w:p>
      <w:pPr>
        <w:pStyle w:val="BodyText"/>
        <w:rPr>
          <w:sz w:val="24"/>
        </w:rPr>
      </w:pPr>
    </w:p>
    <w:p>
      <w:pPr>
        <w:pStyle w:val="BodyText"/>
        <w:rPr>
          <w:sz w:val="24"/>
        </w:rPr>
      </w:pPr>
    </w:p>
    <w:p>
      <w:pPr>
        <w:pStyle w:val="BodyText"/>
        <w:rPr>
          <w:sz w:val="24"/>
        </w:rPr>
      </w:pPr>
    </w:p>
    <w:p>
      <w:pPr>
        <w:spacing w:before="153"/>
        <w:ind w:left="293" w:right="219" w:firstLine="0"/>
        <w:jc w:val="center"/>
        <w:rPr>
          <w:rFonts w:ascii="Arial"/>
          <w:sz w:val="14"/>
        </w:rPr>
      </w:pPr>
      <w:r>
        <w:rPr>
          <w:rFonts w:ascii="Arial"/>
          <w:color w:val="231F20"/>
          <w:w w:val="105"/>
          <w:sz w:val="14"/>
        </w:rPr>
        <w:t>MATERIAL</w:t>
      </w:r>
      <w:r>
        <w:rPr>
          <w:rFonts w:ascii="Arial"/>
          <w:color w:val="231F20"/>
          <w:spacing w:val="42"/>
          <w:w w:val="105"/>
          <w:sz w:val="14"/>
        </w:rPr>
        <w:t> </w:t>
      </w:r>
      <w:r>
        <w:rPr>
          <w:rFonts w:ascii="Arial"/>
          <w:color w:val="231F20"/>
          <w:w w:val="105"/>
          <w:sz w:val="14"/>
        </w:rPr>
        <w:t>REQUIREMENT</w:t>
      </w:r>
      <w:r>
        <w:rPr>
          <w:rFonts w:ascii="Arial"/>
          <w:color w:val="231F20"/>
          <w:spacing w:val="42"/>
          <w:w w:val="105"/>
          <w:sz w:val="14"/>
        </w:rPr>
        <w:t> </w:t>
      </w:r>
      <w:r>
        <w:rPr>
          <w:rFonts w:ascii="Arial"/>
          <w:color w:val="231F20"/>
          <w:w w:val="105"/>
          <w:sz w:val="14"/>
        </w:rPr>
        <w:t>PLANNING</w:t>
      </w:r>
      <w:r>
        <w:rPr>
          <w:rFonts w:ascii="Arial"/>
          <w:color w:val="231F20"/>
          <w:spacing w:val="42"/>
          <w:w w:val="105"/>
          <w:sz w:val="14"/>
        </w:rPr>
        <w:t> </w:t>
      </w:r>
      <w:r>
        <w:rPr>
          <w:rFonts w:ascii="Arial"/>
          <w:color w:val="231F20"/>
          <w:spacing w:val="-2"/>
          <w:w w:val="105"/>
          <w:sz w:val="14"/>
        </w:rPr>
        <w:t>SYSTEM</w:t>
      </w:r>
    </w:p>
    <w:p>
      <w:pPr>
        <w:pStyle w:val="BodyText"/>
        <w:rPr>
          <w:rFonts w:ascii="Arial"/>
          <w:sz w:val="17"/>
        </w:rPr>
      </w:pPr>
    </w:p>
    <w:p>
      <w:pPr>
        <w:spacing w:line="482" w:lineRule="auto" w:before="0"/>
        <w:ind w:left="3222" w:right="3206" w:hanging="1"/>
        <w:jc w:val="center"/>
        <w:rPr>
          <w:rFonts w:ascii="Arial"/>
          <w:b/>
          <w:sz w:val="14"/>
        </w:rPr>
      </w:pPr>
      <w:r>
        <w:rPr/>
        <w:pict>
          <v:group style="position:absolute;margin-left:211.608017pt;margin-top:7.825407pt;width:2.5pt;height:7.85pt;mso-position-horizontal-relative:page;mso-position-vertical-relative:paragraph;z-index:-25054208" id="docshapegroup437" coordorigin="4232,157" coordsize="50,157">
            <v:line style="position:absolute" from="4257,157" to="4257,277" stroked="true" strokeweight="1pt" strokecolor="#231f20">
              <v:stroke dashstyle="solid"/>
            </v:line>
            <v:shape style="position:absolute;left:4232;top:269;width:50;height:44" id="docshape438" coordorigin="4232,270" coordsize="50,44" path="m4282,270l4232,270,4257,313,4282,270xe" filled="true" fillcolor="#231f20" stroked="false">
              <v:path arrowok="t"/>
              <v:fill type="solid"/>
            </v:shape>
            <w10:wrap type="none"/>
          </v:group>
        </w:pict>
      </w:r>
      <w:r>
        <w:rPr/>
        <w:pict>
          <v:group style="position:absolute;margin-left:211.608017pt;margin-top:24.070408pt;width:2.5pt;height:7.85pt;mso-position-horizontal-relative:page;mso-position-vertical-relative:paragraph;z-index:-25052672" id="docshapegroup439" coordorigin="4232,481" coordsize="50,157">
            <v:line style="position:absolute" from="4257,481" to="4257,602" stroked="true" strokeweight="1pt" strokecolor="#231f20">
              <v:stroke dashstyle="solid"/>
            </v:line>
            <v:shape style="position:absolute;left:4232;top:594;width:50;height:44" id="docshape440" coordorigin="4232,594" coordsize="50,44" path="m4282,594l4232,594,4257,638,4282,594xe" filled="true" fillcolor="#231f20" stroked="false">
              <v:path arrowok="t"/>
              <v:fill type="solid"/>
            </v:shape>
            <w10:wrap type="none"/>
          </v:group>
        </w:pict>
      </w:r>
      <w:r>
        <w:rPr>
          <w:rFonts w:ascii="Arial"/>
          <w:b/>
          <w:color w:val="231F20"/>
          <w:sz w:val="14"/>
        </w:rPr>
        <w:t>Customer</w:t>
      </w:r>
      <w:r>
        <w:rPr>
          <w:rFonts w:ascii="Arial"/>
          <w:b/>
          <w:color w:val="231F20"/>
          <w:spacing w:val="-2"/>
          <w:sz w:val="14"/>
        </w:rPr>
        <w:t> </w:t>
      </w:r>
      <w:r>
        <w:rPr>
          <w:rFonts w:ascii="Arial"/>
          <w:b/>
          <w:color w:val="231F20"/>
          <w:sz w:val="14"/>
        </w:rPr>
        <w:t>Demand</w:t>
      </w:r>
      <w:r>
        <w:rPr>
          <w:rFonts w:ascii="Arial"/>
          <w:b/>
          <w:color w:val="231F20"/>
          <w:spacing w:val="40"/>
          <w:sz w:val="14"/>
        </w:rPr>
        <w:t> </w:t>
      </w:r>
      <w:r>
        <w:rPr>
          <w:rFonts w:ascii="Arial"/>
          <w:b/>
          <w:color w:val="231F20"/>
          <w:sz w:val="14"/>
        </w:rPr>
        <w:t>Production </w:t>
      </w:r>
      <w:r>
        <w:rPr>
          <w:rFonts w:ascii="Arial"/>
          <w:b/>
          <w:color w:val="231F20"/>
          <w:spacing w:val="-2"/>
          <w:sz w:val="14"/>
        </w:rPr>
        <w:t>Planning</w:t>
      </w:r>
    </w:p>
    <w:p>
      <w:pPr>
        <w:spacing w:line="146" w:lineRule="exact" w:before="0"/>
        <w:ind w:left="232" w:right="219" w:firstLine="0"/>
        <w:jc w:val="center"/>
        <w:rPr>
          <w:rFonts w:ascii="Arial"/>
          <w:b/>
          <w:sz w:val="14"/>
        </w:rPr>
      </w:pPr>
      <w:r>
        <w:rPr/>
        <w:pict>
          <v:group style="position:absolute;margin-left:267.646027pt;margin-top:17.138165pt;width:14.05pt;height:2.5pt;mso-position-horizontal-relative:page;mso-position-vertical-relative:paragraph;z-index:15904768" id="docshapegroup441" coordorigin="5353,343" coordsize="281,50">
            <v:line style="position:absolute" from="5634,368" to="5389,368" stroked="true" strokeweight="1pt" strokecolor="#231f20">
              <v:stroke dashstyle="solid"/>
            </v:line>
            <v:shape style="position:absolute;left:5352;top:342;width:44;height:50" id="docshape442" coordorigin="5353,343" coordsize="44,50" path="m5396,343l5353,368,5396,393,5396,343xe" filled="true" fillcolor="#231f20" stroked="false">
              <v:path arrowok="t"/>
              <v:fill type="solid"/>
            </v:shape>
            <w10:wrap type="none"/>
          </v:group>
        </w:pict>
      </w:r>
      <w:r>
        <w:rPr>
          <w:rFonts w:ascii="Arial"/>
          <w:b/>
          <w:color w:val="231F20"/>
          <w:sz w:val="14"/>
        </w:rPr>
        <w:t>Master</w:t>
      </w:r>
      <w:r>
        <w:rPr>
          <w:rFonts w:ascii="Arial"/>
          <w:b/>
          <w:color w:val="231F20"/>
          <w:spacing w:val="-3"/>
          <w:sz w:val="14"/>
        </w:rPr>
        <w:t> </w:t>
      </w:r>
      <w:r>
        <w:rPr>
          <w:rFonts w:ascii="Arial"/>
          <w:b/>
          <w:color w:val="231F20"/>
          <w:sz w:val="14"/>
        </w:rPr>
        <w:t>Production</w:t>
      </w:r>
      <w:r>
        <w:rPr>
          <w:rFonts w:ascii="Arial"/>
          <w:b/>
          <w:color w:val="231F20"/>
          <w:spacing w:val="-2"/>
          <w:sz w:val="14"/>
        </w:rPr>
        <w:t> Schedule</w:t>
      </w:r>
    </w:p>
    <w:p>
      <w:pPr>
        <w:spacing w:after="0" w:line="146" w:lineRule="exact"/>
        <w:jc w:val="center"/>
        <w:rPr>
          <w:rFonts w:ascii="Arial"/>
          <w:sz w:val="14"/>
        </w:rPr>
        <w:sectPr>
          <w:pgSz w:w="8640" w:h="12960"/>
          <w:pgMar w:header="732" w:footer="0" w:top="920" w:bottom="280" w:left="340" w:right="500"/>
        </w:sectPr>
      </w:pPr>
    </w:p>
    <w:p>
      <w:pPr>
        <w:spacing w:before="140"/>
        <w:ind w:left="1170" w:right="0" w:firstLine="0"/>
        <w:jc w:val="left"/>
        <w:rPr>
          <w:rFonts w:ascii="Arial"/>
          <w:b/>
          <w:sz w:val="14"/>
        </w:rPr>
      </w:pPr>
      <w:r>
        <w:rPr/>
        <w:pict>
          <v:group style="position:absolute;margin-left:121.058006pt;margin-top:15.108404pt;width:185.25pt;height:23.7pt;mso-position-horizontal-relative:page;mso-position-vertical-relative:paragraph;z-index:-25054720" id="docshapegroup443" coordorigin="2421,302" coordsize="3705,474">
            <v:shape style="position:absolute;left:2446;top:545;width:3655;height:124" id="docshape444" coordorigin="2446,546" coordsize="3655,124" path="m2446,669l2446,546,6101,546,6101,669e" filled="false" stroked="true" strokeweight="1pt" strokecolor="#231f20">
              <v:path arrowok="t"/>
              <v:stroke dashstyle="solid"/>
            </v:shape>
            <v:shape style="position:absolute;left:2421;top:661;width:3705;height:44" id="docshape445" coordorigin="2421,662" coordsize="3705,44" path="m6126,662l6076,662,6101,705,6126,662xm2471,662l2421,662,2446,705,2471,662xe" filled="true" fillcolor="#231f20" stroked="false">
              <v:path arrowok="t"/>
              <v:fill type="solid"/>
            </v:shape>
            <v:rect style="position:absolute;left:3707;top:470;width:1100;height:161" id="docshape446" filled="true" fillcolor="#ffffff" stroked="false">
              <v:fill type="solid"/>
            </v:rect>
            <v:line style="position:absolute" from="4257,302" to="4257,423" stroked="true" strokeweight="1pt" strokecolor="#231f20">
              <v:stroke dashstyle="solid"/>
            </v:line>
            <v:shape style="position:absolute;left:4232;top:415;width:50;height:44" id="docshape447" coordorigin="4232,415" coordsize="50,44" path="m4282,415l4232,415,4257,458,4282,415xe" filled="true" fillcolor="#231f20" stroked="false">
              <v:path arrowok="t"/>
              <v:fill type="solid"/>
            </v:shape>
            <v:line style="position:absolute" from="4257,619" to="4257,739" stroked="true" strokeweight="1pt" strokecolor="#231f20">
              <v:stroke dashstyle="solid"/>
            </v:line>
            <v:shape style="position:absolute;left:4232;top:732;width:50;height:44" id="docshape448" coordorigin="4232,732" coordsize="50,44" path="m4282,732l4232,732,4257,775,4282,732xe" filled="true" fillcolor="#231f20" stroked="false">
              <v:path arrowok="t"/>
              <v:fill type="solid"/>
            </v:shape>
            <w10:wrap type="none"/>
          </v:group>
        </w:pict>
      </w:r>
      <w:r>
        <w:rPr>
          <w:rFonts w:ascii="Arial"/>
          <w:b/>
          <w:color w:val="231F20"/>
          <w:sz w:val="14"/>
        </w:rPr>
        <w:t>Bill</w:t>
      </w:r>
      <w:r>
        <w:rPr>
          <w:rFonts w:ascii="Arial"/>
          <w:b/>
          <w:color w:val="231F20"/>
          <w:spacing w:val="-3"/>
          <w:sz w:val="14"/>
        </w:rPr>
        <w:t> </w:t>
      </w:r>
      <w:r>
        <w:rPr>
          <w:rFonts w:ascii="Arial"/>
          <w:b/>
          <w:color w:val="231F20"/>
          <w:sz w:val="14"/>
        </w:rPr>
        <w:t>of</w:t>
      </w:r>
      <w:r>
        <w:rPr>
          <w:rFonts w:ascii="Arial"/>
          <w:b/>
          <w:color w:val="231F20"/>
          <w:spacing w:val="-2"/>
          <w:sz w:val="14"/>
        </w:rPr>
        <w:t> </w:t>
      </w:r>
      <w:r>
        <w:rPr>
          <w:rFonts w:ascii="Arial"/>
          <w:b/>
          <w:color w:val="231F20"/>
          <w:sz w:val="14"/>
        </w:rPr>
        <w:t>Materials</w:t>
      </w:r>
      <w:r>
        <w:rPr>
          <w:rFonts w:ascii="Arial"/>
          <w:b/>
          <w:color w:val="231F20"/>
          <w:spacing w:val="-2"/>
          <w:sz w:val="14"/>
        </w:rPr>
        <w:t> </w:t>
      </w:r>
      <w:r>
        <w:rPr>
          <w:rFonts w:ascii="Arial"/>
          <w:b/>
          <w:color w:val="231F20"/>
          <w:spacing w:val="-4"/>
          <w:sz w:val="14"/>
        </w:rPr>
        <w:t>File</w:t>
      </w:r>
    </w:p>
    <w:p>
      <w:pPr>
        <w:spacing w:line="166" w:lineRule="exact"/>
        <w:ind w:left="1367" w:right="0" w:firstLine="0"/>
        <w:rPr>
          <w:rFonts w:ascii="Arial"/>
          <w:sz w:val="16"/>
        </w:rPr>
      </w:pPr>
      <w:r>
        <w:rPr/>
        <w:br w:type="column"/>
      </w:r>
      <w:r>
        <w:rPr>
          <w:rFonts w:ascii="Arial"/>
          <w:position w:val="-2"/>
          <w:sz w:val="16"/>
        </w:rPr>
        <w:pict>
          <v:group style="width:2.5pt;height:7.85pt;mso-position-horizontal-relative:char;mso-position-vertical-relative:line" id="docshapegroup449" coordorigin="0,0" coordsize="50,157">
            <v:line style="position:absolute" from="25,0" to="25,120" stroked="true" strokeweight="1pt" strokecolor="#231f20">
              <v:stroke dashstyle="solid"/>
            </v:line>
            <v:shape style="position:absolute;left:0;top:113;width:50;height:44" id="docshape450" coordorigin="0,113" coordsize="50,44" path="m50,113l0,113,25,156,50,113xe" filled="true" fillcolor="#231f20" stroked="false">
              <v:path arrowok="t"/>
              <v:fill type="solid"/>
            </v:shape>
          </v:group>
        </w:pict>
      </w:r>
      <w:r>
        <w:rPr>
          <w:rFonts w:ascii="Arial"/>
          <w:position w:val="-2"/>
          <w:sz w:val="16"/>
        </w:rPr>
      </w:r>
    </w:p>
    <w:p>
      <w:pPr>
        <w:spacing w:line="482" w:lineRule="auto" w:before="0"/>
        <w:ind w:left="854" w:right="0" w:hanging="517"/>
        <w:jc w:val="left"/>
        <w:rPr>
          <w:rFonts w:ascii="Arial"/>
          <w:b/>
          <w:sz w:val="14"/>
        </w:rPr>
      </w:pPr>
      <w:r>
        <w:rPr/>
        <w:pict>
          <v:group style="position:absolute;margin-left:143.588013pt;margin-top:3.250415pt;width:14.05pt;height:2.5pt;mso-position-horizontal-relative:page;mso-position-vertical-relative:paragraph;z-index:15904256" id="docshapegroup451" coordorigin="2872,65" coordsize="281,50">
            <v:line style="position:absolute" from="2872,90" to="3117,90" stroked="true" strokeweight="1pt" strokecolor="#231f20">
              <v:stroke dashstyle="solid"/>
            </v:line>
            <v:shape style="position:absolute;left:3109;top:65;width:44;height:50" id="docshape452" coordorigin="3109,65" coordsize="44,50" path="m3109,65l3109,115,3153,90,3109,65xe" filled="true" fillcolor="#231f20" stroked="false">
              <v:path arrowok="t"/>
              <v:fill type="solid"/>
            </v:shape>
            <w10:wrap type="none"/>
          </v:group>
        </w:pict>
      </w:r>
      <w:r>
        <w:rPr>
          <w:rFonts w:ascii="Arial"/>
          <w:b/>
          <w:color w:val="231F20"/>
          <w:sz w:val="14"/>
        </w:rPr>
        <w:t>Material</w:t>
      </w:r>
      <w:r>
        <w:rPr>
          <w:rFonts w:ascii="Arial"/>
          <w:b/>
          <w:color w:val="231F20"/>
          <w:spacing w:val="-10"/>
          <w:sz w:val="14"/>
        </w:rPr>
        <w:t> </w:t>
      </w:r>
      <w:r>
        <w:rPr>
          <w:rFonts w:ascii="Arial"/>
          <w:b/>
          <w:color w:val="231F20"/>
          <w:sz w:val="14"/>
        </w:rPr>
        <w:t>Requirements</w:t>
      </w:r>
      <w:r>
        <w:rPr>
          <w:rFonts w:ascii="Arial"/>
          <w:b/>
          <w:color w:val="231F20"/>
          <w:spacing w:val="-10"/>
          <w:sz w:val="14"/>
        </w:rPr>
        <w:t> </w:t>
      </w:r>
      <w:r>
        <w:rPr>
          <w:rFonts w:ascii="Arial"/>
          <w:b/>
          <w:color w:val="231F20"/>
          <w:sz w:val="14"/>
        </w:rPr>
        <w:t>Program</w:t>
      </w:r>
      <w:r>
        <w:rPr>
          <w:rFonts w:ascii="Arial"/>
          <w:b/>
          <w:color w:val="231F20"/>
          <w:spacing w:val="40"/>
          <w:sz w:val="14"/>
        </w:rPr>
        <w:t> </w:t>
      </w:r>
      <w:r>
        <w:rPr>
          <w:rFonts w:ascii="Arial"/>
          <w:b/>
          <w:color w:val="231F20"/>
          <w:sz w:val="14"/>
        </w:rPr>
        <w:t>Production</w:t>
      </w:r>
      <w:r>
        <w:rPr>
          <w:rFonts w:ascii="Arial"/>
          <w:b/>
          <w:color w:val="231F20"/>
          <w:spacing w:val="-2"/>
          <w:sz w:val="14"/>
        </w:rPr>
        <w:t> </w:t>
      </w:r>
      <w:r>
        <w:rPr>
          <w:rFonts w:ascii="Arial"/>
          <w:b/>
          <w:color w:val="231F20"/>
          <w:sz w:val="14"/>
        </w:rPr>
        <w:t>Plan</w:t>
      </w:r>
    </w:p>
    <w:p>
      <w:pPr>
        <w:spacing w:before="140"/>
        <w:ind w:left="309" w:right="0" w:firstLine="0"/>
        <w:jc w:val="left"/>
        <w:rPr>
          <w:rFonts w:ascii="Arial"/>
          <w:b/>
          <w:sz w:val="14"/>
        </w:rPr>
      </w:pPr>
      <w:r>
        <w:rPr/>
        <w:br w:type="column"/>
      </w:r>
      <w:r>
        <w:rPr>
          <w:rFonts w:ascii="Arial"/>
          <w:b/>
          <w:color w:val="231F20"/>
          <w:sz w:val="14"/>
        </w:rPr>
        <w:t>Inventory Status </w:t>
      </w:r>
      <w:r>
        <w:rPr>
          <w:rFonts w:ascii="Arial"/>
          <w:b/>
          <w:color w:val="231F20"/>
          <w:spacing w:val="-4"/>
          <w:sz w:val="14"/>
        </w:rPr>
        <w:t>File</w:t>
      </w:r>
    </w:p>
    <w:p>
      <w:pPr>
        <w:spacing w:after="0"/>
        <w:jc w:val="left"/>
        <w:rPr>
          <w:rFonts w:ascii="Arial"/>
          <w:sz w:val="14"/>
        </w:rPr>
        <w:sectPr>
          <w:type w:val="continuous"/>
          <w:pgSz w:w="8640" w:h="12960"/>
          <w:pgMar w:header="734" w:footer="0" w:top="1220" w:bottom="280" w:left="340" w:right="500"/>
          <w:cols w:num="3" w:equalWidth="0">
            <w:col w:w="2485" w:space="40"/>
            <w:col w:w="2455" w:space="39"/>
            <w:col w:w="2781"/>
          </w:cols>
        </w:sectPr>
      </w:pPr>
    </w:p>
    <w:p>
      <w:pPr>
        <w:spacing w:line="120" w:lineRule="exact" w:before="0"/>
        <w:ind w:left="1250" w:right="0" w:firstLine="0"/>
        <w:jc w:val="left"/>
        <w:rPr>
          <w:rFonts w:ascii="Arial"/>
          <w:b/>
          <w:sz w:val="14"/>
        </w:rPr>
      </w:pPr>
      <w:r>
        <w:rPr>
          <w:rFonts w:ascii="Arial"/>
          <w:b/>
          <w:color w:val="231F20"/>
          <w:sz w:val="14"/>
        </w:rPr>
        <w:t>Factory</w:t>
      </w:r>
      <w:r>
        <w:rPr>
          <w:rFonts w:ascii="Arial"/>
          <w:b/>
          <w:color w:val="231F20"/>
          <w:spacing w:val="-3"/>
          <w:sz w:val="14"/>
        </w:rPr>
        <w:t> </w:t>
      </w:r>
      <w:r>
        <w:rPr>
          <w:rFonts w:ascii="Arial"/>
          <w:b/>
          <w:color w:val="231F20"/>
          <w:sz w:val="14"/>
        </w:rPr>
        <w:t>Floor</w:t>
      </w:r>
      <w:r>
        <w:rPr>
          <w:rFonts w:ascii="Arial"/>
          <w:b/>
          <w:color w:val="231F20"/>
          <w:spacing w:val="-3"/>
          <w:sz w:val="14"/>
        </w:rPr>
        <w:t> </w:t>
      </w:r>
      <w:r>
        <w:rPr>
          <w:rFonts w:ascii="Arial"/>
          <w:b/>
          <w:color w:val="231F20"/>
          <w:spacing w:val="-2"/>
          <w:sz w:val="14"/>
        </w:rPr>
        <w:t>Schedules</w:t>
      </w:r>
    </w:p>
    <w:p>
      <w:pPr>
        <w:spacing w:before="7"/>
        <w:ind w:left="1250" w:right="0" w:firstLine="0"/>
        <w:jc w:val="left"/>
        <w:rPr>
          <w:rFonts w:ascii="Arial"/>
          <w:b/>
          <w:sz w:val="14"/>
        </w:rPr>
      </w:pPr>
      <w:r>
        <w:rPr>
          <w:rFonts w:ascii="Arial"/>
          <w:b/>
          <w:color w:val="231F20"/>
          <w:sz w:val="14"/>
        </w:rPr>
        <w:t>(machine</w:t>
      </w:r>
      <w:r>
        <w:rPr>
          <w:rFonts w:ascii="Arial"/>
          <w:b/>
          <w:color w:val="231F20"/>
          <w:spacing w:val="-3"/>
          <w:sz w:val="14"/>
        </w:rPr>
        <w:t> </w:t>
      </w:r>
      <w:r>
        <w:rPr>
          <w:rFonts w:ascii="Arial"/>
          <w:b/>
          <w:color w:val="231F20"/>
          <w:sz w:val="14"/>
        </w:rPr>
        <w:t>and</w:t>
      </w:r>
      <w:r>
        <w:rPr>
          <w:rFonts w:ascii="Arial"/>
          <w:b/>
          <w:color w:val="231F20"/>
          <w:spacing w:val="-2"/>
          <w:sz w:val="14"/>
        </w:rPr>
        <w:t> </w:t>
      </w:r>
      <w:r>
        <w:rPr>
          <w:rFonts w:ascii="Arial"/>
          <w:b/>
          <w:color w:val="231F20"/>
          <w:sz w:val="14"/>
        </w:rPr>
        <w:t>labor</w:t>
      </w:r>
      <w:r>
        <w:rPr>
          <w:rFonts w:ascii="Arial"/>
          <w:b/>
          <w:color w:val="231F20"/>
          <w:spacing w:val="-2"/>
          <w:sz w:val="14"/>
        </w:rPr>
        <w:t> </w:t>
      </w:r>
      <w:r>
        <w:rPr>
          <w:rFonts w:ascii="Arial"/>
          <w:b/>
          <w:color w:val="231F20"/>
          <w:spacing w:val="-2"/>
          <w:sz w:val="14"/>
        </w:rPr>
        <w:t>needs)</w:t>
      </w:r>
    </w:p>
    <w:p>
      <w:pPr>
        <w:tabs>
          <w:tab w:pos="2179" w:val="left" w:leader="none"/>
        </w:tabs>
        <w:spacing w:line="120" w:lineRule="exact" w:before="0"/>
        <w:ind w:left="102" w:right="0" w:firstLine="0"/>
        <w:jc w:val="left"/>
        <w:rPr>
          <w:rFonts w:ascii="Arial"/>
          <w:b/>
          <w:sz w:val="14"/>
        </w:rPr>
      </w:pPr>
      <w:r>
        <w:rPr/>
        <w:br w:type="column"/>
      </w:r>
      <w:r>
        <w:rPr>
          <w:rFonts w:ascii="Arial"/>
          <w:b/>
          <w:color w:val="231F20"/>
          <w:sz w:val="14"/>
        </w:rPr>
        <w:t>Inventory </w:t>
      </w:r>
      <w:r>
        <w:rPr>
          <w:rFonts w:ascii="Arial"/>
          <w:b/>
          <w:color w:val="231F20"/>
          <w:spacing w:val="-2"/>
          <w:sz w:val="14"/>
        </w:rPr>
        <w:t>Requisitions</w:t>
      </w:r>
      <w:r>
        <w:rPr>
          <w:rFonts w:ascii="Arial"/>
          <w:b/>
          <w:color w:val="231F20"/>
          <w:sz w:val="14"/>
        </w:rPr>
        <w:tab/>
      </w:r>
      <w:r>
        <w:rPr>
          <w:rFonts w:ascii="Arial"/>
          <w:b/>
          <w:color w:val="231F20"/>
          <w:position w:val="2"/>
          <w:sz w:val="14"/>
        </w:rPr>
        <w:t>Orders</w:t>
      </w:r>
      <w:r>
        <w:rPr>
          <w:rFonts w:ascii="Arial"/>
          <w:b/>
          <w:color w:val="231F20"/>
          <w:spacing w:val="-3"/>
          <w:position w:val="2"/>
          <w:sz w:val="14"/>
        </w:rPr>
        <w:t> </w:t>
      </w:r>
      <w:r>
        <w:rPr>
          <w:rFonts w:ascii="Arial"/>
          <w:b/>
          <w:color w:val="231F20"/>
          <w:position w:val="2"/>
          <w:sz w:val="14"/>
        </w:rPr>
        <w:t>to</w:t>
      </w:r>
      <w:r>
        <w:rPr>
          <w:rFonts w:ascii="Arial"/>
          <w:b/>
          <w:color w:val="231F20"/>
          <w:spacing w:val="-2"/>
          <w:position w:val="2"/>
          <w:sz w:val="14"/>
        </w:rPr>
        <w:t> Vendors</w:t>
      </w:r>
    </w:p>
    <w:p>
      <w:pPr>
        <w:spacing w:after="0" w:line="120" w:lineRule="exact"/>
        <w:jc w:val="left"/>
        <w:rPr>
          <w:rFonts w:ascii="Arial"/>
          <w:sz w:val="14"/>
        </w:rPr>
        <w:sectPr>
          <w:type w:val="continuous"/>
          <w:pgSz w:w="8640" w:h="12960"/>
          <w:pgMar w:header="734" w:footer="0" w:top="1220" w:bottom="280" w:left="340" w:right="500"/>
          <w:cols w:num="2" w:equalWidth="0">
            <w:col w:w="3024" w:space="40"/>
            <w:col w:w="4736"/>
          </w:cols>
        </w:sectPr>
      </w:pPr>
    </w:p>
    <w:p>
      <w:pPr>
        <w:spacing w:before="126"/>
        <w:ind w:left="216" w:right="219" w:firstLine="0"/>
        <w:jc w:val="center"/>
        <w:rPr>
          <w:rFonts w:ascii="Arial"/>
          <w:b/>
          <w:sz w:val="14"/>
        </w:rPr>
      </w:pPr>
      <w:r>
        <w:rPr/>
        <w:pict>
          <v:group style="position:absolute;margin-left:211.608017pt;margin-top:-4.847591pt;width:2.5pt;height:7.85pt;mso-position-horizontal-relative:page;mso-position-vertical-relative:paragraph;z-index:15905792" id="docshapegroup453" coordorigin="4232,-97" coordsize="50,157">
            <v:line style="position:absolute" from="4257,-97" to="4257,23" stroked="true" strokeweight="1pt" strokecolor="#231f20">
              <v:stroke dashstyle="solid"/>
            </v:line>
            <v:shape style="position:absolute;left:4232;top:16;width:50;height:44" id="docshape454" coordorigin="4232,16" coordsize="50,44" path="m4282,16l4232,16,4257,59,4282,16xe" filled="true" fillcolor="#231f20" stroked="false">
              <v:path arrowok="t"/>
              <v:fill type="solid"/>
            </v:shape>
            <w10:wrap type="none"/>
          </v:group>
        </w:pict>
      </w:r>
      <w:r>
        <w:rPr>
          <w:rFonts w:ascii="Arial"/>
          <w:b/>
          <w:color w:val="231F20"/>
          <w:sz w:val="14"/>
        </w:rPr>
        <w:t>A</w:t>
      </w:r>
      <w:r>
        <w:rPr>
          <w:rFonts w:ascii="Arial"/>
          <w:b/>
          <w:color w:val="231F20"/>
          <w:spacing w:val="-7"/>
          <w:sz w:val="14"/>
        </w:rPr>
        <w:t> </w:t>
      </w:r>
      <w:r>
        <w:rPr>
          <w:rFonts w:ascii="Arial"/>
          <w:b/>
          <w:color w:val="231F20"/>
          <w:sz w:val="14"/>
        </w:rPr>
        <w:t>Coordinated and Efficient Manufacturing</w:t>
      </w:r>
      <w:r>
        <w:rPr>
          <w:rFonts w:ascii="Arial"/>
          <w:b/>
          <w:color w:val="231F20"/>
          <w:spacing w:val="-1"/>
          <w:sz w:val="14"/>
        </w:rPr>
        <w:t> </w:t>
      </w:r>
      <w:r>
        <w:rPr>
          <w:rFonts w:ascii="Arial"/>
          <w:b/>
          <w:color w:val="231F20"/>
          <w:spacing w:val="-2"/>
          <w:sz w:val="14"/>
        </w:rPr>
        <w:t>Process</w:t>
      </w:r>
    </w:p>
    <w:p>
      <w:pPr>
        <w:spacing w:after="0"/>
        <w:jc w:val="center"/>
        <w:rPr>
          <w:rFonts w:ascii="Arial"/>
          <w:sz w:val="14"/>
        </w:rPr>
        <w:sectPr>
          <w:type w:val="continuous"/>
          <w:pgSz w:w="8640" w:h="12960"/>
          <w:pgMar w:header="734" w:footer="0" w:top="1220" w:bottom="280" w:left="340" w:right="500"/>
        </w:sectPr>
      </w:pPr>
    </w:p>
    <w:p>
      <w:pPr>
        <w:pStyle w:val="BodyText"/>
        <w:rPr>
          <w:rFonts w:ascii="Arial"/>
          <w:b/>
          <w:sz w:val="20"/>
        </w:rPr>
      </w:pPr>
    </w:p>
    <w:p>
      <w:pPr>
        <w:pStyle w:val="BodyText"/>
        <w:spacing w:before="6"/>
        <w:rPr>
          <w:rFonts w:ascii="Arial"/>
          <w:b/>
        </w:rPr>
      </w:pPr>
    </w:p>
    <w:p>
      <w:pPr>
        <w:pStyle w:val="Heading4"/>
        <w:spacing w:before="103"/>
      </w:pPr>
      <w:r>
        <w:rPr>
          <w:color w:val="231F20"/>
          <w:w w:val="85"/>
        </w:rPr>
        <w:t>STANDARDS</w:t>
      </w:r>
      <w:r>
        <w:rPr>
          <w:color w:val="231F20"/>
          <w:spacing w:val="57"/>
        </w:rPr>
        <w:t> </w:t>
      </w:r>
      <w:r>
        <w:rPr>
          <w:color w:val="231F20"/>
          <w:w w:val="85"/>
        </w:rPr>
        <w:t>AND</w:t>
      </w:r>
      <w:r>
        <w:rPr>
          <w:color w:val="231F20"/>
          <w:spacing w:val="58"/>
        </w:rPr>
        <w:t> </w:t>
      </w:r>
      <w:r>
        <w:rPr>
          <w:color w:val="231F20"/>
          <w:spacing w:val="9"/>
          <w:w w:val="85"/>
        </w:rPr>
        <w:t>CONTROL</w:t>
      </w:r>
    </w:p>
    <w:p>
      <w:pPr>
        <w:pStyle w:val="BodyText"/>
        <w:spacing w:before="10"/>
        <w:rPr>
          <w:rFonts w:ascii="Trebuchet MS"/>
          <w:sz w:val="29"/>
        </w:rPr>
      </w:pPr>
    </w:p>
    <w:p>
      <w:pPr>
        <w:pStyle w:val="BodyText"/>
        <w:spacing w:line="292" w:lineRule="auto"/>
        <w:ind w:left="920" w:right="664"/>
        <w:jc w:val="both"/>
      </w:pPr>
      <w:r>
        <w:rPr>
          <w:color w:val="231F20"/>
        </w:rPr>
        <w:t>All the information about the production process necessary to </w:t>
      </w:r>
      <w:r>
        <w:rPr>
          <w:color w:val="231F20"/>
        </w:rPr>
        <w:t>create an</w:t>
      </w:r>
      <w:r>
        <w:rPr>
          <w:color w:val="231F20"/>
          <w:spacing w:val="37"/>
        </w:rPr>
        <w:t> </w:t>
      </w:r>
      <w:r>
        <w:rPr>
          <w:color w:val="231F20"/>
        </w:rPr>
        <w:t>MRP</w:t>
      </w:r>
      <w:r>
        <w:rPr>
          <w:color w:val="231F20"/>
          <w:spacing w:val="37"/>
        </w:rPr>
        <w:t> </w:t>
      </w:r>
      <w:r>
        <w:rPr>
          <w:color w:val="231F20"/>
        </w:rPr>
        <w:t>system</w:t>
      </w:r>
      <w:r>
        <w:rPr>
          <w:color w:val="231F20"/>
          <w:spacing w:val="37"/>
        </w:rPr>
        <w:t> </w:t>
      </w:r>
      <w:r>
        <w:rPr>
          <w:color w:val="231F20"/>
        </w:rPr>
        <w:t>or</w:t>
      </w:r>
      <w:r>
        <w:rPr>
          <w:color w:val="231F20"/>
          <w:spacing w:val="37"/>
        </w:rPr>
        <w:t> </w:t>
      </w:r>
      <w:r>
        <w:rPr>
          <w:color w:val="231F20"/>
        </w:rPr>
        <w:t>to</w:t>
      </w:r>
      <w:r>
        <w:rPr>
          <w:color w:val="231F20"/>
          <w:spacing w:val="37"/>
        </w:rPr>
        <w:t> </w:t>
      </w:r>
      <w:r>
        <w:rPr>
          <w:color w:val="231F20"/>
        </w:rPr>
        <w:t>use</w:t>
      </w:r>
      <w:r>
        <w:rPr>
          <w:color w:val="231F20"/>
          <w:spacing w:val="37"/>
        </w:rPr>
        <w:t> </w:t>
      </w:r>
      <w:r>
        <w:rPr>
          <w:color w:val="231F20"/>
        </w:rPr>
        <w:t>the</w:t>
      </w:r>
      <w:r>
        <w:rPr>
          <w:color w:val="231F20"/>
          <w:spacing w:val="37"/>
        </w:rPr>
        <w:t> </w:t>
      </w:r>
      <w:r>
        <w:rPr>
          <w:color w:val="231F20"/>
        </w:rPr>
        <w:t>other</w:t>
      </w:r>
      <w:r>
        <w:rPr>
          <w:color w:val="231F20"/>
          <w:spacing w:val="37"/>
        </w:rPr>
        <w:t> </w:t>
      </w:r>
      <w:r>
        <w:rPr>
          <w:color w:val="231F20"/>
        </w:rPr>
        <w:t>MBA</w:t>
      </w:r>
      <w:r>
        <w:rPr>
          <w:color w:val="231F20"/>
          <w:spacing w:val="37"/>
        </w:rPr>
        <w:t> </w:t>
      </w:r>
      <w:r>
        <w:rPr>
          <w:color w:val="231F20"/>
        </w:rPr>
        <w:t>efficiency</w:t>
      </w:r>
      <w:r>
        <w:rPr>
          <w:color w:val="231F20"/>
          <w:spacing w:val="37"/>
        </w:rPr>
        <w:t> </w:t>
      </w:r>
      <w:r>
        <w:rPr>
          <w:color w:val="231F20"/>
        </w:rPr>
        <w:t>tools</w:t>
      </w:r>
      <w:r>
        <w:rPr>
          <w:color w:val="231F20"/>
          <w:spacing w:val="37"/>
        </w:rPr>
        <w:t> </w:t>
      </w:r>
      <w:r>
        <w:rPr>
          <w:color w:val="231F20"/>
        </w:rPr>
        <w:t>provides the</w:t>
      </w:r>
      <w:r>
        <w:rPr>
          <w:color w:val="231F20"/>
          <w:spacing w:val="-2"/>
        </w:rPr>
        <w:t> </w:t>
      </w:r>
      <w:r>
        <w:rPr>
          <w:color w:val="231F20"/>
        </w:rPr>
        <w:t>basis</w:t>
      </w:r>
      <w:r>
        <w:rPr>
          <w:color w:val="231F20"/>
          <w:spacing w:val="-2"/>
        </w:rPr>
        <w:t> </w:t>
      </w:r>
      <w:r>
        <w:rPr>
          <w:color w:val="231F20"/>
        </w:rPr>
        <w:t>for</w:t>
      </w:r>
      <w:r>
        <w:rPr>
          <w:color w:val="231F20"/>
          <w:spacing w:val="-2"/>
        </w:rPr>
        <w:t> </w:t>
      </w:r>
      <w:r>
        <w:rPr>
          <w:color w:val="231F20"/>
        </w:rPr>
        <w:t>the</w:t>
      </w:r>
      <w:r>
        <w:rPr>
          <w:color w:val="231F20"/>
          <w:spacing w:val="-2"/>
        </w:rPr>
        <w:t> </w:t>
      </w:r>
      <w:r>
        <w:rPr>
          <w:color w:val="231F20"/>
        </w:rPr>
        <w:t>standards</w:t>
      </w:r>
      <w:r>
        <w:rPr>
          <w:color w:val="231F20"/>
          <w:spacing w:val="-2"/>
        </w:rPr>
        <w:t> </w:t>
      </w:r>
      <w:r>
        <w:rPr>
          <w:color w:val="231F20"/>
        </w:rPr>
        <w:t>that</w:t>
      </w:r>
      <w:r>
        <w:rPr>
          <w:color w:val="231F20"/>
          <w:spacing w:val="-2"/>
        </w:rPr>
        <w:t> </w:t>
      </w:r>
      <w:r>
        <w:rPr>
          <w:color w:val="231F20"/>
        </w:rPr>
        <w:t>managers</w:t>
      </w:r>
      <w:r>
        <w:rPr>
          <w:color w:val="231F20"/>
          <w:spacing w:val="-2"/>
        </w:rPr>
        <w:t> </w:t>
      </w:r>
      <w:r>
        <w:rPr>
          <w:color w:val="231F20"/>
        </w:rPr>
        <w:t>use</w:t>
      </w:r>
      <w:r>
        <w:rPr>
          <w:color w:val="231F20"/>
          <w:spacing w:val="-2"/>
        </w:rPr>
        <w:t> </w:t>
      </w:r>
      <w:r>
        <w:rPr>
          <w:color w:val="231F20"/>
        </w:rPr>
        <w:t>to</w:t>
      </w:r>
      <w:r>
        <w:rPr>
          <w:color w:val="231F20"/>
          <w:spacing w:val="-2"/>
        </w:rPr>
        <w:t> </w:t>
      </w:r>
      <w:r>
        <w:rPr>
          <w:color w:val="231F20"/>
        </w:rPr>
        <w:t>measure</w:t>
      </w:r>
      <w:r>
        <w:rPr>
          <w:color w:val="231F20"/>
          <w:spacing w:val="-2"/>
        </w:rPr>
        <w:t> </w:t>
      </w:r>
      <w:r>
        <w:rPr>
          <w:color w:val="231F20"/>
        </w:rPr>
        <w:t>and</w:t>
      </w:r>
      <w:r>
        <w:rPr>
          <w:color w:val="231F20"/>
          <w:spacing w:val="-2"/>
        </w:rPr>
        <w:t> </w:t>
      </w:r>
      <w:r>
        <w:rPr>
          <w:color w:val="231F20"/>
        </w:rPr>
        <w:t>control performance. An MBA buzzword for using standards is the term </w:t>
      </w:r>
      <w:r>
        <w:rPr>
          <w:i/>
          <w:color w:val="231F20"/>
        </w:rPr>
        <w:t>benchmarking. </w:t>
      </w:r>
      <w:r>
        <w:rPr>
          <w:color w:val="231F20"/>
        </w:rPr>
        <w:t>This is where accountants jump in to help the opera- tional side of the business. The </w:t>
      </w:r>
      <w:r>
        <w:rPr>
          <w:i/>
          <w:color w:val="231F20"/>
        </w:rPr>
        <w:t>managerial accounting </w:t>
      </w:r>
      <w:r>
        <w:rPr>
          <w:color w:val="231F20"/>
        </w:rPr>
        <w:t>section of the accounting chapter explained how accountants track and report production efficiency through the use of variances. The factory can vary by paying more than planned for materials (price variances) or using more materials or labor per unit produced (material and labor usage variance). By setting standards and seeing if they are met, pro- duction managers control the process.</w:t>
      </w:r>
    </w:p>
    <w:p>
      <w:pPr>
        <w:pStyle w:val="BodyText"/>
        <w:rPr>
          <w:sz w:val="24"/>
        </w:rPr>
      </w:pPr>
    </w:p>
    <w:p>
      <w:pPr>
        <w:pStyle w:val="BodyText"/>
        <w:spacing w:before="10"/>
        <w:rPr>
          <w:sz w:val="26"/>
        </w:rPr>
      </w:pPr>
    </w:p>
    <w:p>
      <w:pPr>
        <w:pStyle w:val="Heading6"/>
        <w:rPr>
          <w:i/>
        </w:rPr>
      </w:pPr>
      <w:r>
        <w:rPr>
          <w:i/>
          <w:color w:val="231F20"/>
          <w:spacing w:val="8"/>
          <w:w w:val="110"/>
        </w:rPr>
        <w:t>QUALITY</w:t>
      </w:r>
    </w:p>
    <w:p>
      <w:pPr>
        <w:pStyle w:val="BodyText"/>
        <w:spacing w:before="2"/>
        <w:rPr>
          <w:b/>
          <w:i/>
          <w:sz w:val="30"/>
        </w:rPr>
      </w:pPr>
    </w:p>
    <w:p>
      <w:pPr>
        <w:pStyle w:val="BodyText"/>
        <w:spacing w:line="292" w:lineRule="auto"/>
        <w:ind w:left="920" w:right="663"/>
        <w:jc w:val="both"/>
      </w:pPr>
      <w:r>
        <w:rPr>
          <w:color w:val="231F20"/>
        </w:rPr>
        <w:t>Operations classes take the concept of standards a bit further and deal with the issue of “quality,” which is vital to America’s competi- tiveness. What is quality, anyway? Quality only means that the product or service “meets the standards” set by either the </w:t>
      </w:r>
      <w:r>
        <w:rPr>
          <w:color w:val="231F20"/>
        </w:rPr>
        <w:t>manufac- turer or the consumer. Quality does not necessarily mean a flawless product or service. Nor does it mean the most expensive product in its</w:t>
      </w:r>
      <w:r>
        <w:rPr>
          <w:color w:val="231F20"/>
          <w:spacing w:val="40"/>
        </w:rPr>
        <w:t> </w:t>
      </w:r>
      <w:r>
        <w:rPr>
          <w:color w:val="231F20"/>
        </w:rPr>
        <w:t>class</w:t>
      </w:r>
      <w:r>
        <w:rPr>
          <w:color w:val="231F20"/>
          <w:spacing w:val="40"/>
        </w:rPr>
        <w:t> </w:t>
      </w:r>
      <w:r>
        <w:rPr>
          <w:color w:val="231F20"/>
        </w:rPr>
        <w:t>like</w:t>
      </w:r>
      <w:r>
        <w:rPr>
          <w:color w:val="231F20"/>
          <w:spacing w:val="40"/>
        </w:rPr>
        <w:t> </w:t>
      </w:r>
      <w:r>
        <w:rPr>
          <w:color w:val="231F20"/>
        </w:rPr>
        <w:t>a</w:t>
      </w:r>
      <w:r>
        <w:rPr>
          <w:color w:val="231F20"/>
          <w:spacing w:val="40"/>
        </w:rPr>
        <w:t> </w:t>
      </w:r>
      <w:r>
        <w:rPr>
          <w:color w:val="231F20"/>
        </w:rPr>
        <w:t>Rolls-Royce.</w:t>
      </w:r>
      <w:r>
        <w:rPr>
          <w:color w:val="231F20"/>
          <w:spacing w:val="40"/>
        </w:rPr>
        <w:t> </w:t>
      </w:r>
      <w:r>
        <w:rPr>
          <w:color w:val="231F20"/>
        </w:rPr>
        <w:t>Quality</w:t>
      </w:r>
      <w:r>
        <w:rPr>
          <w:color w:val="231F20"/>
          <w:spacing w:val="40"/>
        </w:rPr>
        <w:t> </w:t>
      </w:r>
      <w:r>
        <w:rPr>
          <w:color w:val="231F20"/>
        </w:rPr>
        <w:t>products</w:t>
      </w:r>
      <w:r>
        <w:rPr>
          <w:color w:val="231F20"/>
          <w:spacing w:val="40"/>
        </w:rPr>
        <w:t> </w:t>
      </w:r>
      <w:r>
        <w:rPr>
          <w:color w:val="231F20"/>
        </w:rPr>
        <w:t>perform</w:t>
      </w:r>
      <w:r>
        <w:rPr>
          <w:color w:val="231F20"/>
          <w:spacing w:val="40"/>
        </w:rPr>
        <w:t> </w:t>
      </w:r>
      <w:r>
        <w:rPr>
          <w:color w:val="231F20"/>
        </w:rPr>
        <w:t>“as</w:t>
      </w:r>
      <w:r>
        <w:rPr>
          <w:color w:val="231F20"/>
          <w:spacing w:val="40"/>
        </w:rPr>
        <w:t> </w:t>
      </w:r>
      <w:r>
        <w:rPr>
          <w:color w:val="231F20"/>
        </w:rPr>
        <w:t>ex- pected.” Mundane things such as paper clips could be considered of high quality if they are not rusted and hold paper together well.</w:t>
      </w:r>
    </w:p>
    <w:p>
      <w:pPr>
        <w:pStyle w:val="BodyText"/>
        <w:spacing w:line="292" w:lineRule="auto"/>
        <w:ind w:left="919" w:right="666" w:firstLine="340"/>
        <w:jc w:val="both"/>
      </w:pPr>
      <w:r>
        <w:rPr>
          <w:color w:val="231F20"/>
        </w:rPr>
        <w:t>There are three important “quality gurus” whose </w:t>
      </w:r>
      <w:r>
        <w:rPr>
          <w:color w:val="231F20"/>
        </w:rPr>
        <w:t>prescriptions are touted as the cure for America’s troubled manufacturing: Joseph Juran, W. Edwards Deming, and Philip Crosby. Each has made a for- tune writing, lecturing, and consulting about quality.</w:t>
      </w:r>
    </w:p>
    <w:p>
      <w:pPr>
        <w:pStyle w:val="BodyText"/>
        <w:spacing w:before="2"/>
        <w:rPr>
          <w:sz w:val="25"/>
        </w:rPr>
      </w:pPr>
    </w:p>
    <w:p>
      <w:pPr>
        <w:pStyle w:val="BodyText"/>
        <w:spacing w:line="292" w:lineRule="auto"/>
        <w:ind w:left="920" w:right="666"/>
        <w:jc w:val="both"/>
      </w:pPr>
      <w:r>
        <w:rPr>
          <w:i/>
          <w:color w:val="231F20"/>
          <w:w w:val="105"/>
        </w:rPr>
        <w:t>Juran and Fitness for Use. </w:t>
      </w:r>
      <w:r>
        <w:rPr>
          <w:color w:val="231F20"/>
          <w:w w:val="105"/>
        </w:rPr>
        <w:t>Joseph Juran uses the phrase “fitness </w:t>
      </w:r>
      <w:r>
        <w:rPr>
          <w:color w:val="231F20"/>
          <w:w w:val="105"/>
        </w:rPr>
        <w:t>for use”</w:t>
      </w:r>
      <w:r>
        <w:rPr>
          <w:color w:val="231F20"/>
          <w:w w:val="105"/>
        </w:rPr>
        <w:t> when</w:t>
      </w:r>
      <w:r>
        <w:rPr>
          <w:color w:val="231F20"/>
          <w:w w:val="105"/>
        </w:rPr>
        <w:t> speaking</w:t>
      </w:r>
      <w:r>
        <w:rPr>
          <w:color w:val="231F20"/>
          <w:w w:val="105"/>
        </w:rPr>
        <w:t> about</w:t>
      </w:r>
      <w:r>
        <w:rPr>
          <w:color w:val="231F20"/>
          <w:w w:val="105"/>
        </w:rPr>
        <w:t> quality.</w:t>
      </w:r>
      <w:r>
        <w:rPr>
          <w:color w:val="231F20"/>
          <w:w w:val="105"/>
        </w:rPr>
        <w:t> “Consumers</w:t>
      </w:r>
      <w:r>
        <w:rPr>
          <w:color w:val="231F20"/>
          <w:w w:val="105"/>
        </w:rPr>
        <w:t> should</w:t>
      </w:r>
      <w:r>
        <w:rPr>
          <w:color w:val="231F20"/>
          <w:w w:val="105"/>
        </w:rPr>
        <w:t> be</w:t>
      </w:r>
      <w:r>
        <w:rPr>
          <w:color w:val="231F20"/>
          <w:w w:val="105"/>
        </w:rPr>
        <w:t> able</w:t>
      </w:r>
      <w:r>
        <w:rPr>
          <w:color w:val="231F20"/>
          <w:w w:val="105"/>
        </w:rPr>
        <w:t> to count</w:t>
      </w:r>
      <w:r>
        <w:rPr>
          <w:color w:val="231F20"/>
          <w:spacing w:val="16"/>
          <w:w w:val="105"/>
        </w:rPr>
        <w:t> </w:t>
      </w:r>
      <w:r>
        <w:rPr>
          <w:color w:val="231F20"/>
          <w:w w:val="105"/>
        </w:rPr>
        <w:t>on</w:t>
      </w:r>
      <w:r>
        <w:rPr>
          <w:color w:val="231F20"/>
          <w:spacing w:val="17"/>
          <w:w w:val="105"/>
        </w:rPr>
        <w:t> </w:t>
      </w:r>
      <w:r>
        <w:rPr>
          <w:color w:val="231F20"/>
          <w:w w:val="105"/>
        </w:rPr>
        <w:t>the</w:t>
      </w:r>
      <w:r>
        <w:rPr>
          <w:color w:val="231F20"/>
          <w:spacing w:val="17"/>
          <w:w w:val="105"/>
        </w:rPr>
        <w:t> </w:t>
      </w:r>
      <w:r>
        <w:rPr>
          <w:color w:val="231F20"/>
          <w:w w:val="105"/>
        </w:rPr>
        <w:t>product</w:t>
      </w:r>
      <w:r>
        <w:rPr>
          <w:color w:val="231F20"/>
          <w:spacing w:val="17"/>
          <w:w w:val="105"/>
        </w:rPr>
        <w:t> </w:t>
      </w:r>
      <w:r>
        <w:rPr>
          <w:color w:val="231F20"/>
          <w:w w:val="105"/>
        </w:rPr>
        <w:t>for</w:t>
      </w:r>
      <w:r>
        <w:rPr>
          <w:color w:val="231F20"/>
          <w:spacing w:val="16"/>
          <w:w w:val="105"/>
        </w:rPr>
        <w:t> </w:t>
      </w:r>
      <w:r>
        <w:rPr>
          <w:color w:val="231F20"/>
          <w:w w:val="105"/>
        </w:rPr>
        <w:t>what</w:t>
      </w:r>
      <w:r>
        <w:rPr>
          <w:color w:val="231F20"/>
          <w:spacing w:val="17"/>
          <w:w w:val="105"/>
        </w:rPr>
        <w:t> </w:t>
      </w:r>
      <w:r>
        <w:rPr>
          <w:color w:val="231F20"/>
          <w:w w:val="105"/>
        </w:rPr>
        <w:t>they</w:t>
      </w:r>
      <w:r>
        <w:rPr>
          <w:color w:val="231F20"/>
          <w:spacing w:val="17"/>
          <w:w w:val="105"/>
        </w:rPr>
        <w:t> </w:t>
      </w:r>
      <w:r>
        <w:rPr>
          <w:color w:val="231F20"/>
          <w:w w:val="105"/>
        </w:rPr>
        <w:t>need</w:t>
      </w:r>
      <w:r>
        <w:rPr>
          <w:color w:val="231F20"/>
          <w:spacing w:val="17"/>
          <w:w w:val="105"/>
        </w:rPr>
        <w:t> </w:t>
      </w:r>
      <w:r>
        <w:rPr>
          <w:color w:val="231F20"/>
          <w:w w:val="105"/>
        </w:rPr>
        <w:t>or</w:t>
      </w:r>
      <w:r>
        <w:rPr>
          <w:color w:val="231F20"/>
          <w:spacing w:val="17"/>
          <w:w w:val="105"/>
        </w:rPr>
        <w:t> </w:t>
      </w:r>
      <w:r>
        <w:rPr>
          <w:color w:val="231F20"/>
          <w:w w:val="105"/>
        </w:rPr>
        <w:t>want</w:t>
      </w:r>
      <w:r>
        <w:rPr>
          <w:color w:val="231F20"/>
          <w:spacing w:val="16"/>
          <w:w w:val="105"/>
        </w:rPr>
        <w:t> </w:t>
      </w:r>
      <w:r>
        <w:rPr>
          <w:color w:val="231F20"/>
          <w:w w:val="105"/>
        </w:rPr>
        <w:t>to</w:t>
      </w:r>
      <w:r>
        <w:rPr>
          <w:color w:val="231F20"/>
          <w:spacing w:val="17"/>
          <w:w w:val="105"/>
        </w:rPr>
        <w:t> </w:t>
      </w:r>
      <w:r>
        <w:rPr>
          <w:color w:val="231F20"/>
          <w:w w:val="105"/>
        </w:rPr>
        <w:t>do</w:t>
      </w:r>
      <w:r>
        <w:rPr>
          <w:color w:val="231F20"/>
          <w:spacing w:val="17"/>
          <w:w w:val="105"/>
        </w:rPr>
        <w:t> </w:t>
      </w:r>
      <w:r>
        <w:rPr>
          <w:color w:val="231F20"/>
          <w:w w:val="105"/>
        </w:rPr>
        <w:t>with</w:t>
      </w:r>
      <w:r>
        <w:rPr>
          <w:color w:val="231F20"/>
          <w:spacing w:val="17"/>
          <w:w w:val="105"/>
        </w:rPr>
        <w:t> </w:t>
      </w:r>
      <w:r>
        <w:rPr>
          <w:color w:val="231F20"/>
          <w:spacing w:val="-4"/>
          <w:w w:val="105"/>
        </w:rPr>
        <w:t>it.”</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Manufacturers should produce quality products while “achieving</w:t>
      </w:r>
      <w:r>
        <w:rPr>
          <w:color w:val="231F20"/>
          <w:spacing w:val="40"/>
        </w:rPr>
        <w:t> </w:t>
      </w:r>
      <w:r>
        <w:rPr>
          <w:color w:val="231F20"/>
        </w:rPr>
        <w:t>high yields and minimal downtime.”</w:t>
      </w:r>
    </w:p>
    <w:p>
      <w:pPr>
        <w:pStyle w:val="BodyText"/>
        <w:spacing w:line="292" w:lineRule="auto"/>
        <w:ind w:left="830" w:right="756" w:firstLine="339"/>
        <w:jc w:val="both"/>
      </w:pPr>
      <w:r>
        <w:rPr>
          <w:i/>
          <w:color w:val="231F20"/>
        </w:rPr>
        <w:t>Fitness for use </w:t>
      </w:r>
      <w:r>
        <w:rPr>
          <w:color w:val="231F20"/>
        </w:rPr>
        <w:t>has five “dimensions”; quality of design, </w:t>
      </w:r>
      <w:r>
        <w:rPr>
          <w:color w:val="231F20"/>
        </w:rPr>
        <w:t>confor- mance to manufacturing standards, lack of breakdowns, satisfactory performance,</w:t>
      </w:r>
      <w:r>
        <w:rPr>
          <w:color w:val="231F20"/>
          <w:spacing w:val="3"/>
        </w:rPr>
        <w:t> </w:t>
      </w:r>
      <w:r>
        <w:rPr>
          <w:color w:val="231F20"/>
        </w:rPr>
        <w:t>and</w:t>
      </w:r>
      <w:r>
        <w:rPr>
          <w:color w:val="231F20"/>
          <w:spacing w:val="4"/>
        </w:rPr>
        <w:t> </w:t>
      </w:r>
      <w:r>
        <w:rPr>
          <w:color w:val="231F20"/>
        </w:rPr>
        <w:t>the</w:t>
      </w:r>
      <w:r>
        <w:rPr>
          <w:color w:val="231F20"/>
          <w:spacing w:val="3"/>
        </w:rPr>
        <w:t> </w:t>
      </w:r>
      <w:r>
        <w:rPr>
          <w:color w:val="231F20"/>
        </w:rPr>
        <w:t>ease</w:t>
      </w:r>
      <w:r>
        <w:rPr>
          <w:color w:val="231F20"/>
          <w:spacing w:val="4"/>
        </w:rPr>
        <w:t> </w:t>
      </w:r>
      <w:r>
        <w:rPr>
          <w:color w:val="231F20"/>
        </w:rPr>
        <w:t>of</w:t>
      </w:r>
      <w:r>
        <w:rPr>
          <w:color w:val="231F20"/>
          <w:spacing w:val="4"/>
        </w:rPr>
        <w:t> </w:t>
      </w:r>
      <w:r>
        <w:rPr>
          <w:color w:val="231F20"/>
        </w:rPr>
        <w:t>maintenance</w:t>
      </w:r>
      <w:r>
        <w:rPr>
          <w:color w:val="231F20"/>
          <w:spacing w:val="3"/>
        </w:rPr>
        <w:t> </w:t>
      </w:r>
      <w:r>
        <w:rPr>
          <w:color w:val="231F20"/>
        </w:rPr>
        <w:t>of</w:t>
      </w:r>
      <w:r>
        <w:rPr>
          <w:color w:val="231F20"/>
          <w:spacing w:val="4"/>
        </w:rPr>
        <w:t> </w:t>
      </w:r>
      <w:r>
        <w:rPr>
          <w:color w:val="231F20"/>
        </w:rPr>
        <w:t>product</w:t>
      </w:r>
      <w:r>
        <w:rPr>
          <w:color w:val="231F20"/>
          <w:spacing w:val="4"/>
        </w:rPr>
        <w:t> </w:t>
      </w:r>
      <w:r>
        <w:rPr>
          <w:color w:val="231F20"/>
        </w:rPr>
        <w:t>after</w:t>
      </w:r>
      <w:r>
        <w:rPr>
          <w:color w:val="231F20"/>
          <w:spacing w:val="3"/>
        </w:rPr>
        <w:t> </w:t>
      </w:r>
      <w:r>
        <w:rPr>
          <w:color w:val="231F20"/>
          <w:spacing w:val="-2"/>
        </w:rPr>
        <w:t>purchase.</w:t>
      </w:r>
    </w:p>
    <w:p>
      <w:pPr>
        <w:pStyle w:val="BodyText"/>
        <w:spacing w:before="5"/>
        <w:rPr>
          <w:sz w:val="25"/>
        </w:rPr>
      </w:pPr>
    </w:p>
    <w:p>
      <w:pPr>
        <w:pStyle w:val="BodyText"/>
        <w:spacing w:line="292" w:lineRule="auto"/>
        <w:ind w:left="830" w:right="753"/>
        <w:jc w:val="both"/>
      </w:pPr>
      <w:r>
        <w:rPr>
          <w:i/>
          <w:color w:val="231F20"/>
          <w:w w:val="105"/>
        </w:rPr>
        <w:t>Deming,</w:t>
      </w:r>
      <w:r>
        <w:rPr>
          <w:i/>
          <w:color w:val="231F20"/>
          <w:w w:val="105"/>
        </w:rPr>
        <w:t> TQM,</w:t>
      </w:r>
      <w:r>
        <w:rPr>
          <w:i/>
          <w:color w:val="231F20"/>
          <w:w w:val="105"/>
        </w:rPr>
        <w:t> and</w:t>
      </w:r>
      <w:r>
        <w:rPr>
          <w:i/>
          <w:color w:val="231F20"/>
          <w:w w:val="105"/>
        </w:rPr>
        <w:t> Statistical</w:t>
      </w:r>
      <w:r>
        <w:rPr>
          <w:i/>
          <w:color w:val="231F20"/>
          <w:w w:val="105"/>
        </w:rPr>
        <w:t> Process</w:t>
      </w:r>
      <w:r>
        <w:rPr>
          <w:i/>
          <w:color w:val="231F20"/>
          <w:w w:val="105"/>
        </w:rPr>
        <w:t> Control.</w:t>
      </w:r>
      <w:r>
        <w:rPr>
          <w:i/>
          <w:color w:val="231F20"/>
          <w:w w:val="105"/>
        </w:rPr>
        <w:t> </w:t>
      </w:r>
      <w:r>
        <w:rPr>
          <w:color w:val="231F20"/>
          <w:w w:val="105"/>
        </w:rPr>
        <w:t>W.</w:t>
      </w:r>
      <w:r>
        <w:rPr>
          <w:color w:val="231F20"/>
          <w:w w:val="105"/>
        </w:rPr>
        <w:t> Edwards</w:t>
      </w:r>
      <w:r>
        <w:rPr>
          <w:color w:val="231F20"/>
          <w:w w:val="105"/>
        </w:rPr>
        <w:t> Dem-</w:t>
      </w:r>
      <w:r>
        <w:rPr>
          <w:color w:val="231F20"/>
          <w:spacing w:val="40"/>
          <w:w w:val="105"/>
        </w:rPr>
        <w:t> </w:t>
      </w:r>
      <w:r>
        <w:rPr>
          <w:color w:val="231F20"/>
          <w:w w:val="105"/>
        </w:rPr>
        <w:t>ing</w:t>
      </w:r>
      <w:r>
        <w:rPr>
          <w:color w:val="231F20"/>
          <w:w w:val="105"/>
        </w:rPr>
        <w:t> is</w:t>
      </w:r>
      <w:r>
        <w:rPr>
          <w:color w:val="231F20"/>
          <w:w w:val="105"/>
        </w:rPr>
        <w:t> famous</w:t>
      </w:r>
      <w:r>
        <w:rPr>
          <w:color w:val="231F20"/>
          <w:w w:val="105"/>
        </w:rPr>
        <w:t> for</w:t>
      </w:r>
      <w:r>
        <w:rPr>
          <w:color w:val="231F20"/>
          <w:w w:val="105"/>
        </w:rPr>
        <w:t> having</w:t>
      </w:r>
      <w:r>
        <w:rPr>
          <w:color w:val="231F20"/>
          <w:w w:val="105"/>
        </w:rPr>
        <w:t> taught</w:t>
      </w:r>
      <w:r>
        <w:rPr>
          <w:color w:val="231F20"/>
          <w:w w:val="105"/>
        </w:rPr>
        <w:t> the</w:t>
      </w:r>
      <w:r>
        <w:rPr>
          <w:color w:val="231F20"/>
          <w:w w:val="105"/>
        </w:rPr>
        <w:t> Japanese</w:t>
      </w:r>
      <w:r>
        <w:rPr>
          <w:color w:val="231F20"/>
          <w:w w:val="105"/>
        </w:rPr>
        <w:t> about</w:t>
      </w:r>
      <w:r>
        <w:rPr>
          <w:color w:val="231F20"/>
          <w:w w:val="105"/>
        </w:rPr>
        <w:t> quality</w:t>
      </w:r>
      <w:r>
        <w:rPr>
          <w:color w:val="231F20"/>
          <w:w w:val="105"/>
        </w:rPr>
        <w:t> in</w:t>
      </w:r>
      <w:r>
        <w:rPr>
          <w:color w:val="231F20"/>
          <w:w w:val="105"/>
        </w:rPr>
        <w:t> the </w:t>
      </w:r>
      <w:r>
        <w:rPr>
          <w:color w:val="231F20"/>
        </w:rPr>
        <w:t>1950s, when American industry showed little interest in the </w:t>
      </w:r>
      <w:r>
        <w:rPr>
          <w:color w:val="231F20"/>
        </w:rPr>
        <w:t>subject. </w:t>
      </w:r>
      <w:r>
        <w:rPr>
          <w:color w:val="231F20"/>
          <w:w w:val="105"/>
        </w:rPr>
        <w:t>Deming</w:t>
      </w:r>
      <w:r>
        <w:rPr>
          <w:color w:val="231F20"/>
          <w:w w:val="105"/>
        </w:rPr>
        <w:t> quite</w:t>
      </w:r>
      <w:r>
        <w:rPr>
          <w:color w:val="231F20"/>
          <w:w w:val="105"/>
        </w:rPr>
        <w:t> simply</w:t>
      </w:r>
      <w:r>
        <w:rPr>
          <w:color w:val="231F20"/>
          <w:w w:val="105"/>
        </w:rPr>
        <w:t> proposed</w:t>
      </w:r>
      <w:r>
        <w:rPr>
          <w:color w:val="231F20"/>
          <w:w w:val="105"/>
        </w:rPr>
        <w:t> that</w:t>
      </w:r>
      <w:r>
        <w:rPr>
          <w:color w:val="231F20"/>
          <w:w w:val="105"/>
        </w:rPr>
        <w:t> quality</w:t>
      </w:r>
      <w:r>
        <w:rPr>
          <w:color w:val="231F20"/>
          <w:w w:val="105"/>
        </w:rPr>
        <w:t> could</w:t>
      </w:r>
      <w:r>
        <w:rPr>
          <w:color w:val="231F20"/>
          <w:w w:val="105"/>
        </w:rPr>
        <w:t> be</w:t>
      </w:r>
      <w:r>
        <w:rPr>
          <w:color w:val="231F20"/>
          <w:w w:val="105"/>
        </w:rPr>
        <w:t> achieved</w:t>
      </w:r>
      <w:r>
        <w:rPr>
          <w:color w:val="231F20"/>
          <w:w w:val="105"/>
        </w:rPr>
        <w:t> by identifying</w:t>
      </w:r>
      <w:r>
        <w:rPr>
          <w:color w:val="231F20"/>
          <w:w w:val="105"/>
        </w:rPr>
        <w:t> the</w:t>
      </w:r>
      <w:r>
        <w:rPr>
          <w:color w:val="231F20"/>
          <w:w w:val="105"/>
        </w:rPr>
        <w:t> causes</w:t>
      </w:r>
      <w:r>
        <w:rPr>
          <w:color w:val="231F20"/>
          <w:w w:val="105"/>
        </w:rPr>
        <w:t> of</w:t>
      </w:r>
      <w:r>
        <w:rPr>
          <w:color w:val="231F20"/>
          <w:w w:val="105"/>
        </w:rPr>
        <w:t> production</w:t>
      </w:r>
      <w:r>
        <w:rPr>
          <w:color w:val="231F20"/>
          <w:w w:val="105"/>
        </w:rPr>
        <w:t> problems</w:t>
      </w:r>
      <w:r>
        <w:rPr>
          <w:color w:val="231F20"/>
          <w:w w:val="105"/>
        </w:rPr>
        <w:t> throughout</w:t>
      </w:r>
      <w:r>
        <w:rPr>
          <w:color w:val="231F20"/>
          <w:w w:val="105"/>
        </w:rPr>
        <w:t> the process</w:t>
      </w:r>
      <w:r>
        <w:rPr>
          <w:color w:val="231F20"/>
          <w:w w:val="105"/>
        </w:rPr>
        <w:t> and</w:t>
      </w:r>
      <w:r>
        <w:rPr>
          <w:color w:val="231F20"/>
          <w:w w:val="105"/>
        </w:rPr>
        <w:t> by</w:t>
      </w:r>
      <w:r>
        <w:rPr>
          <w:color w:val="231F20"/>
          <w:w w:val="105"/>
        </w:rPr>
        <w:t> carefully</w:t>
      </w:r>
      <w:r>
        <w:rPr>
          <w:color w:val="231F20"/>
          <w:w w:val="105"/>
        </w:rPr>
        <w:t> monitoring</w:t>
      </w:r>
      <w:r>
        <w:rPr>
          <w:color w:val="231F20"/>
          <w:w w:val="105"/>
        </w:rPr>
        <w:t> production</w:t>
      </w:r>
      <w:r>
        <w:rPr>
          <w:color w:val="231F20"/>
          <w:w w:val="105"/>
        </w:rPr>
        <w:t> to</w:t>
      </w:r>
      <w:r>
        <w:rPr>
          <w:color w:val="231F20"/>
          <w:w w:val="105"/>
        </w:rPr>
        <w:t> stop</w:t>
      </w:r>
      <w:r>
        <w:rPr>
          <w:color w:val="231F20"/>
          <w:w w:val="105"/>
        </w:rPr>
        <w:t> errors</w:t>
      </w:r>
      <w:r>
        <w:rPr>
          <w:color w:val="231F20"/>
          <w:w w:val="105"/>
        </w:rPr>
        <w:t> be- fore</w:t>
      </w:r>
      <w:r>
        <w:rPr>
          <w:color w:val="231F20"/>
          <w:spacing w:val="-13"/>
          <w:w w:val="105"/>
        </w:rPr>
        <w:t> </w:t>
      </w:r>
      <w:r>
        <w:rPr>
          <w:color w:val="231F20"/>
          <w:w w:val="105"/>
        </w:rPr>
        <w:t>too</w:t>
      </w:r>
      <w:r>
        <w:rPr>
          <w:color w:val="231F20"/>
          <w:spacing w:val="-12"/>
          <w:w w:val="105"/>
        </w:rPr>
        <w:t> </w:t>
      </w:r>
      <w:r>
        <w:rPr>
          <w:color w:val="231F20"/>
          <w:w w:val="105"/>
        </w:rPr>
        <w:t>many</w:t>
      </w:r>
      <w:r>
        <w:rPr>
          <w:color w:val="231F20"/>
          <w:spacing w:val="-12"/>
          <w:w w:val="105"/>
        </w:rPr>
        <w:t> </w:t>
      </w:r>
      <w:r>
        <w:rPr>
          <w:color w:val="231F20"/>
          <w:w w:val="105"/>
        </w:rPr>
        <w:t>products</w:t>
      </w:r>
      <w:r>
        <w:rPr>
          <w:color w:val="231F20"/>
          <w:spacing w:val="-12"/>
          <w:w w:val="105"/>
        </w:rPr>
        <w:t> </w:t>
      </w:r>
      <w:r>
        <w:rPr>
          <w:color w:val="231F20"/>
          <w:w w:val="105"/>
        </w:rPr>
        <w:t>were</w:t>
      </w:r>
      <w:r>
        <w:rPr>
          <w:color w:val="231F20"/>
          <w:spacing w:val="-12"/>
          <w:w w:val="105"/>
        </w:rPr>
        <w:t> </w:t>
      </w:r>
      <w:r>
        <w:rPr>
          <w:color w:val="231F20"/>
          <w:w w:val="105"/>
        </w:rPr>
        <w:t>produced.</w:t>
      </w:r>
      <w:r>
        <w:rPr>
          <w:color w:val="231F20"/>
          <w:spacing w:val="-12"/>
          <w:w w:val="105"/>
        </w:rPr>
        <w:t> </w:t>
      </w:r>
      <w:r>
        <w:rPr>
          <w:color w:val="231F20"/>
          <w:w w:val="105"/>
        </w:rPr>
        <w:t>Every</w:t>
      </w:r>
      <w:r>
        <w:rPr>
          <w:color w:val="231F20"/>
          <w:spacing w:val="-12"/>
          <w:w w:val="105"/>
        </w:rPr>
        <w:t> </w:t>
      </w:r>
      <w:r>
        <w:rPr>
          <w:color w:val="231F20"/>
          <w:w w:val="105"/>
        </w:rPr>
        <w:t>step</w:t>
      </w:r>
      <w:r>
        <w:rPr>
          <w:color w:val="231F20"/>
          <w:spacing w:val="-13"/>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process</w:t>
      </w:r>
      <w:r>
        <w:rPr>
          <w:color w:val="231F20"/>
          <w:spacing w:val="-12"/>
          <w:w w:val="105"/>
        </w:rPr>
        <w:t> </w:t>
      </w:r>
      <w:r>
        <w:rPr>
          <w:color w:val="231F20"/>
          <w:w w:val="105"/>
        </w:rPr>
        <w:t>is </w:t>
      </w:r>
      <w:r>
        <w:rPr>
          <w:color w:val="231F20"/>
        </w:rPr>
        <w:t>an opportunity for increased efficiency; hence the term </w:t>
      </w:r>
      <w:r>
        <w:rPr>
          <w:i/>
          <w:color w:val="231F20"/>
        </w:rPr>
        <w:t>Total Quality</w:t>
      </w:r>
      <w:r>
        <w:rPr>
          <w:i/>
          <w:color w:val="231F20"/>
        </w:rPr>
        <w:t> </w:t>
      </w:r>
      <w:r>
        <w:rPr>
          <w:i/>
          <w:color w:val="231F20"/>
          <w:w w:val="105"/>
        </w:rPr>
        <w:t>Management </w:t>
      </w:r>
      <w:r>
        <w:rPr>
          <w:color w:val="231F20"/>
          <w:w w:val="105"/>
        </w:rPr>
        <w:t>(TQM).</w:t>
      </w:r>
    </w:p>
    <w:p>
      <w:pPr>
        <w:pStyle w:val="BodyText"/>
        <w:spacing w:line="292" w:lineRule="auto"/>
        <w:ind w:left="830" w:right="756" w:firstLine="340"/>
        <w:jc w:val="both"/>
      </w:pPr>
      <w:r>
        <w:rPr>
          <w:color w:val="231F20"/>
        </w:rPr>
        <w:t>He divided problems into two categories, “common causes” </w:t>
      </w:r>
      <w:r>
        <w:rPr>
          <w:color w:val="231F20"/>
        </w:rPr>
        <w:t>and “special causes.” Common causes are systemic problems, shared by many workers, machines, or product types. Special causes are those problems that relate to individual workers, machines, or material </w:t>
      </w:r>
      <w:r>
        <w:rPr>
          <w:color w:val="231F20"/>
          <w:spacing w:val="-2"/>
        </w:rPr>
        <w:t>shipments.</w:t>
      </w:r>
    </w:p>
    <w:p>
      <w:pPr>
        <w:pStyle w:val="BodyText"/>
        <w:spacing w:line="292" w:lineRule="auto"/>
        <w:ind w:left="830" w:right="756" w:firstLine="340"/>
        <w:jc w:val="both"/>
      </w:pPr>
      <w:r>
        <w:rPr>
          <w:color w:val="231F20"/>
        </w:rPr>
        <w:t>Deming, with the help of Juran and W.A. Shewhart, developed a tool for identifying problems called </w:t>
      </w:r>
      <w:r>
        <w:rPr>
          <w:i/>
          <w:color w:val="231F20"/>
        </w:rPr>
        <w:t>statistical process control </w:t>
      </w:r>
      <w:r>
        <w:rPr>
          <w:color w:val="231F20"/>
        </w:rPr>
        <w:t>(SPC). “It is unlikely that two parts, even when produced by the same oper- ator on the same machine, would ever be identical. The issue, there- fore, was distinguishing acceptable variations from variations that could indicate problems.” Statistical probability provides a </w:t>
      </w:r>
      <w:r>
        <w:rPr>
          <w:color w:val="231F20"/>
        </w:rPr>
        <w:t>method</w:t>
      </w:r>
      <w:r>
        <w:rPr>
          <w:color w:val="231F20"/>
          <w:spacing w:val="80"/>
        </w:rPr>
        <w:t> </w:t>
      </w:r>
      <w:r>
        <w:rPr>
          <w:color w:val="231F20"/>
        </w:rPr>
        <w:t>of making that distinction.</w:t>
      </w:r>
    </w:p>
    <w:p>
      <w:pPr>
        <w:pStyle w:val="BodyText"/>
        <w:spacing w:line="292" w:lineRule="auto"/>
        <w:ind w:left="830" w:right="756" w:firstLine="340"/>
        <w:jc w:val="both"/>
      </w:pPr>
      <w:r>
        <w:rPr>
          <w:color w:val="231F20"/>
        </w:rPr>
        <w:t>Production engineers make that distinction by studying the </w:t>
      </w:r>
      <w:r>
        <w:rPr>
          <w:color w:val="231F20"/>
        </w:rPr>
        <w:t>ex- pected tolerance of each production task. For example, the filling machine at a Coca-Cola bottling plant does not pour exactly two</w:t>
      </w:r>
      <w:r>
        <w:rPr>
          <w:color w:val="231F20"/>
          <w:spacing w:val="80"/>
        </w:rPr>
        <w:t> </w:t>
      </w:r>
      <w:r>
        <w:rPr>
          <w:color w:val="231F20"/>
        </w:rPr>
        <w:t>liters into the two-liter jugs. The range of error is a few milliliters above or below two liters. Production engineers need to perform de- tailed studies to determine the usual amount of liquid squirted into each bottle. This exercise will result in a determination of the bell curve</w:t>
      </w:r>
      <w:r>
        <w:rPr>
          <w:color w:val="231F20"/>
          <w:spacing w:val="12"/>
        </w:rPr>
        <w:t> </w:t>
      </w:r>
      <w:r>
        <w:rPr>
          <w:color w:val="231F20"/>
        </w:rPr>
        <w:t>or</w:t>
      </w:r>
      <w:r>
        <w:rPr>
          <w:color w:val="231F20"/>
          <w:spacing w:val="12"/>
        </w:rPr>
        <w:t> </w:t>
      </w:r>
      <w:r>
        <w:rPr>
          <w:color w:val="231F20"/>
        </w:rPr>
        <w:t>statistical</w:t>
      </w:r>
      <w:r>
        <w:rPr>
          <w:color w:val="231F20"/>
          <w:spacing w:val="13"/>
        </w:rPr>
        <w:t> </w:t>
      </w:r>
      <w:r>
        <w:rPr>
          <w:color w:val="231F20"/>
        </w:rPr>
        <w:t>frequency</w:t>
      </w:r>
      <w:r>
        <w:rPr>
          <w:color w:val="231F20"/>
          <w:spacing w:val="12"/>
        </w:rPr>
        <w:t> </w:t>
      </w:r>
      <w:r>
        <w:rPr>
          <w:color w:val="231F20"/>
        </w:rPr>
        <w:t>distribution</w:t>
      </w:r>
      <w:r>
        <w:rPr>
          <w:color w:val="231F20"/>
          <w:spacing w:val="12"/>
        </w:rPr>
        <w:t> </w:t>
      </w:r>
      <w:r>
        <w:rPr>
          <w:color w:val="231F20"/>
        </w:rPr>
        <w:t>of</w:t>
      </w:r>
      <w:r>
        <w:rPr>
          <w:color w:val="231F20"/>
          <w:spacing w:val="13"/>
        </w:rPr>
        <w:t> </w:t>
      </w:r>
      <w:r>
        <w:rPr>
          <w:color w:val="231F20"/>
        </w:rPr>
        <w:t>filling</w:t>
      </w:r>
      <w:r>
        <w:rPr>
          <w:color w:val="231F20"/>
          <w:spacing w:val="12"/>
        </w:rPr>
        <w:t> </w:t>
      </w:r>
      <w:r>
        <w:rPr>
          <w:color w:val="231F20"/>
        </w:rPr>
        <w:t>quantities.</w:t>
      </w:r>
      <w:r>
        <w:rPr>
          <w:color w:val="231F20"/>
          <w:spacing w:val="12"/>
        </w:rPr>
        <w:t> </w:t>
      </w:r>
      <w:r>
        <w:rPr>
          <w:color w:val="231F20"/>
        </w:rPr>
        <w:t>If</w:t>
      </w:r>
      <w:r>
        <w:rPr>
          <w:color w:val="231F20"/>
          <w:spacing w:val="13"/>
        </w:rPr>
        <w:t> </w:t>
      </w:r>
      <w:r>
        <w:rPr>
          <w:color w:val="231F20"/>
          <w:spacing w:val="-5"/>
        </w:rPr>
        <w:t>you</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remember the </w:t>
      </w:r>
      <w:r>
        <w:rPr>
          <w:i/>
          <w:color w:val="231F20"/>
        </w:rPr>
        <w:t>normal </w:t>
      </w:r>
      <w:r>
        <w:rPr>
          <w:color w:val="231F20"/>
        </w:rPr>
        <w:t>or </w:t>
      </w:r>
      <w:r>
        <w:rPr>
          <w:i/>
          <w:color w:val="231F20"/>
        </w:rPr>
        <w:t>bell curve </w:t>
      </w:r>
      <w:r>
        <w:rPr>
          <w:color w:val="231F20"/>
        </w:rPr>
        <w:t>discussion in the QA chapter, </w:t>
      </w:r>
      <w:r>
        <w:rPr>
          <w:color w:val="231F20"/>
        </w:rPr>
        <w:t>the range of variation that occurs 68 percent of the time was called </w:t>
      </w:r>
      <w:r>
        <w:rPr>
          <w:i/>
          <w:color w:val="231F20"/>
        </w:rPr>
        <w:t>one</w:t>
      </w:r>
      <w:r>
        <w:rPr>
          <w:i/>
          <w:color w:val="231F20"/>
        </w:rPr>
        <w:t> standard deviation </w:t>
      </w:r>
      <w:r>
        <w:rPr>
          <w:color w:val="231F20"/>
        </w:rPr>
        <w:t>or </w:t>
      </w:r>
      <w:r>
        <w:rPr>
          <w:i/>
          <w:color w:val="231F20"/>
        </w:rPr>
        <w:t>one sigma </w:t>
      </w:r>
      <w:r>
        <w:rPr>
          <w:color w:val="231F20"/>
        </w:rPr>
        <w:t>from the expected quantity. Any production measure outside a one-sigma-tolerance quality standard would signal a production problem. If a production manager de-</w:t>
      </w:r>
      <w:r>
        <w:rPr>
          <w:color w:val="231F20"/>
          <w:spacing w:val="40"/>
        </w:rPr>
        <w:t> </w:t>
      </w:r>
      <w:r>
        <w:rPr>
          <w:color w:val="231F20"/>
        </w:rPr>
        <w:t>sires, he or she can choose two- or three-sigma tolerances. </w:t>
      </w:r>
      <w:r>
        <w:rPr>
          <w:i/>
          <w:color w:val="231F20"/>
        </w:rPr>
        <w:t>Six sigma</w:t>
      </w:r>
      <w:r>
        <w:rPr>
          <w:i/>
          <w:color w:val="231F20"/>
        </w:rPr>
        <w:t> </w:t>
      </w:r>
      <w:r>
        <w:rPr>
          <w:color w:val="231F20"/>
        </w:rPr>
        <w:t>also refers to a program coined by Motorola that refers to a goal of a six-sigma standard or 3.4 defects per million. Many companies have six-sigma programs in place to reduce defects and increase profits.</w:t>
      </w:r>
    </w:p>
    <w:p>
      <w:pPr>
        <w:pStyle w:val="BodyText"/>
        <w:spacing w:line="292" w:lineRule="auto"/>
        <w:ind w:left="920" w:right="666" w:firstLine="340"/>
        <w:jc w:val="both"/>
      </w:pPr>
      <w:r>
        <w:rPr>
          <w:color w:val="231F20"/>
        </w:rPr>
        <w:t>In my Coca-Cola example, the production engineer selected a</w:t>
      </w:r>
      <w:r>
        <w:rPr>
          <w:color w:val="231F20"/>
          <w:spacing w:val="40"/>
        </w:rPr>
        <w:t> </w:t>
      </w:r>
      <w:r>
        <w:rPr>
          <w:color w:val="231F20"/>
        </w:rPr>
        <w:t>one-sigma tolerance and found that 68 percent of the time, the </w:t>
      </w:r>
      <w:r>
        <w:rPr>
          <w:color w:val="231F20"/>
        </w:rPr>
        <w:t>bot- tles measured in his or her sampling were filled within a range of ten milliliters above or below the desired two-liter level.</w:t>
      </w:r>
    </w:p>
    <w:p>
      <w:pPr>
        <w:pStyle w:val="BodyText"/>
        <w:spacing w:line="292" w:lineRule="auto"/>
        <w:ind w:left="920" w:right="663" w:firstLine="340"/>
        <w:jc w:val="both"/>
      </w:pPr>
      <w:r>
        <w:rPr>
          <w:color w:val="231F20"/>
        </w:rPr>
        <w:t>Using</w:t>
      </w:r>
      <w:r>
        <w:rPr>
          <w:color w:val="231F20"/>
          <w:spacing w:val="40"/>
        </w:rPr>
        <w:t> </w:t>
      </w:r>
      <w:r>
        <w:rPr>
          <w:color w:val="231F20"/>
        </w:rPr>
        <w:t>Deming’s</w:t>
      </w:r>
      <w:r>
        <w:rPr>
          <w:color w:val="231F20"/>
          <w:spacing w:val="40"/>
        </w:rPr>
        <w:t> </w:t>
      </w:r>
      <w:r>
        <w:rPr>
          <w:color w:val="231F20"/>
        </w:rPr>
        <w:t>SPC,</w:t>
      </w:r>
      <w:r>
        <w:rPr>
          <w:color w:val="231F20"/>
          <w:spacing w:val="40"/>
        </w:rPr>
        <w:t> </w:t>
      </w:r>
      <w:r>
        <w:rPr>
          <w:color w:val="231F20"/>
        </w:rPr>
        <w:t>a</w:t>
      </w:r>
      <w:r>
        <w:rPr>
          <w:color w:val="231F20"/>
          <w:spacing w:val="40"/>
        </w:rPr>
        <w:t> </w:t>
      </w:r>
      <w:r>
        <w:rPr>
          <w:color w:val="231F20"/>
        </w:rPr>
        <w:t>filling-machine</w:t>
      </w:r>
      <w:r>
        <w:rPr>
          <w:color w:val="231F20"/>
          <w:spacing w:val="40"/>
        </w:rPr>
        <w:t> </w:t>
      </w:r>
      <w:r>
        <w:rPr>
          <w:color w:val="231F20"/>
        </w:rPr>
        <w:t>operator</w:t>
      </w:r>
      <w:r>
        <w:rPr>
          <w:color w:val="231F20"/>
          <w:spacing w:val="40"/>
        </w:rPr>
        <w:t> </w:t>
      </w:r>
      <w:r>
        <w:rPr>
          <w:color w:val="231F20"/>
        </w:rPr>
        <w:t>could</w:t>
      </w:r>
      <w:r>
        <w:rPr>
          <w:color w:val="231F20"/>
          <w:spacing w:val="40"/>
        </w:rPr>
        <w:t> </w:t>
      </w:r>
      <w:r>
        <w:rPr>
          <w:color w:val="231F20"/>
        </w:rPr>
        <w:t>take hourly batches of ten two-liter jugs off the assembly line. Using one- sigma tolerance, samples above two liters and ten milliliters </w:t>
      </w:r>
      <w:r>
        <w:rPr>
          <w:color w:val="231F20"/>
        </w:rPr>
        <w:t>would</w:t>
      </w:r>
      <w:r>
        <w:rPr>
          <w:color w:val="231F20"/>
          <w:spacing w:val="40"/>
        </w:rPr>
        <w:t> </w:t>
      </w:r>
      <w:r>
        <w:rPr>
          <w:color w:val="231F20"/>
        </w:rPr>
        <w:t>be above the </w:t>
      </w:r>
      <w:r>
        <w:rPr>
          <w:i/>
          <w:color w:val="231F20"/>
        </w:rPr>
        <w:t>upper control limit </w:t>
      </w:r>
      <w:r>
        <w:rPr>
          <w:color w:val="231F20"/>
        </w:rPr>
        <w:t>(UCL). For those measuring below two liters, 1,990 milliliters would be below the </w:t>
      </w:r>
      <w:r>
        <w:rPr>
          <w:i/>
          <w:color w:val="231F20"/>
        </w:rPr>
        <w:t>lower control limit</w:t>
      </w:r>
      <w:r>
        <w:rPr>
          <w:i/>
          <w:color w:val="231F20"/>
        </w:rPr>
        <w:t> </w:t>
      </w:r>
      <w:r>
        <w:rPr>
          <w:color w:val="231F20"/>
        </w:rPr>
        <w:t>(LCL). Measurements outside the limits would signal a “special problem,” meaning a feeding line is crimped or clogged. The process would be considered “out of control,” and the operator would be instructed to take corrective action. If after the correction the next samples are within the ten-milliliter tolerance, the process is “in con- trol” and the machines are allowed to operate. (My Coca-Cola ex- ample of selecting the UCL and LCL was greatly simplified merely to expose you to the subject. The frequency and number taken in each sample by the operator greatly affects the statistical calculation of limits.) See chart, below.</w:t>
      </w:r>
    </w:p>
    <w:p>
      <w:pPr>
        <w:pStyle w:val="BodyText"/>
        <w:spacing w:line="292" w:lineRule="auto"/>
        <w:ind w:left="920" w:right="663" w:firstLine="340"/>
        <w:jc w:val="both"/>
      </w:pPr>
      <w:r>
        <w:rPr>
          <w:color w:val="231F20"/>
        </w:rPr>
        <w:t>Using</w:t>
      </w:r>
      <w:r>
        <w:rPr>
          <w:color w:val="231F20"/>
          <w:spacing w:val="40"/>
        </w:rPr>
        <w:t> </w:t>
      </w:r>
      <w:r>
        <w:rPr>
          <w:color w:val="231F20"/>
        </w:rPr>
        <w:t>SPC,</w:t>
      </w:r>
      <w:r>
        <w:rPr>
          <w:color w:val="231F20"/>
          <w:spacing w:val="40"/>
        </w:rPr>
        <w:t> </w:t>
      </w:r>
      <w:r>
        <w:rPr>
          <w:color w:val="231F20"/>
        </w:rPr>
        <w:t>the</w:t>
      </w:r>
      <w:r>
        <w:rPr>
          <w:color w:val="231F20"/>
          <w:spacing w:val="40"/>
        </w:rPr>
        <w:t> </w:t>
      </w:r>
      <w:r>
        <w:rPr>
          <w:color w:val="231F20"/>
        </w:rPr>
        <w:t>filling-machine</w:t>
      </w:r>
      <w:r>
        <w:rPr>
          <w:color w:val="231F20"/>
          <w:spacing w:val="40"/>
        </w:rPr>
        <w:t> </w:t>
      </w:r>
      <w:r>
        <w:rPr>
          <w:color w:val="231F20"/>
        </w:rPr>
        <w:t>operator</w:t>
      </w:r>
      <w:r>
        <w:rPr>
          <w:color w:val="231F20"/>
          <w:spacing w:val="40"/>
        </w:rPr>
        <w:t> </w:t>
      </w:r>
      <w:r>
        <w:rPr>
          <w:color w:val="231F20"/>
        </w:rPr>
        <w:t>records</w:t>
      </w:r>
      <w:r>
        <w:rPr>
          <w:color w:val="231F20"/>
          <w:spacing w:val="40"/>
        </w:rPr>
        <w:t> </w:t>
      </w:r>
      <w:r>
        <w:rPr>
          <w:color w:val="231F20"/>
        </w:rPr>
        <w:t>his</w:t>
      </w:r>
      <w:r>
        <w:rPr>
          <w:color w:val="231F20"/>
          <w:spacing w:val="40"/>
        </w:rPr>
        <w:t> </w:t>
      </w:r>
      <w:r>
        <w:rPr>
          <w:color w:val="231F20"/>
        </w:rPr>
        <w:t>sample Coca-Cola</w:t>
      </w:r>
      <w:r>
        <w:rPr>
          <w:color w:val="231F20"/>
          <w:spacing w:val="40"/>
        </w:rPr>
        <w:t> </w:t>
      </w:r>
      <w:r>
        <w:rPr>
          <w:color w:val="231F20"/>
        </w:rPr>
        <w:t>measurements</w:t>
      </w:r>
      <w:r>
        <w:rPr>
          <w:color w:val="231F20"/>
          <w:spacing w:val="40"/>
        </w:rPr>
        <w:t> </w:t>
      </w:r>
      <w:r>
        <w:rPr>
          <w:color w:val="231F20"/>
        </w:rPr>
        <w:t>on</w:t>
      </w:r>
      <w:r>
        <w:rPr>
          <w:color w:val="231F20"/>
          <w:spacing w:val="40"/>
        </w:rPr>
        <w:t> </w:t>
      </w:r>
      <w:r>
        <w:rPr>
          <w:color w:val="231F20"/>
        </w:rPr>
        <w:t>SPC</w:t>
      </w:r>
      <w:r>
        <w:rPr>
          <w:color w:val="231F20"/>
          <w:spacing w:val="40"/>
        </w:rPr>
        <w:t> </w:t>
      </w:r>
      <w:r>
        <w:rPr>
          <w:color w:val="231F20"/>
        </w:rPr>
        <w:t>charts.</w:t>
      </w:r>
      <w:r>
        <w:rPr>
          <w:color w:val="231F20"/>
          <w:spacing w:val="40"/>
        </w:rPr>
        <w:t> </w:t>
      </w:r>
      <w:r>
        <w:rPr>
          <w:color w:val="231F20"/>
        </w:rPr>
        <w:t>On</w:t>
      </w:r>
      <w:r>
        <w:rPr>
          <w:color w:val="231F20"/>
          <w:spacing w:val="40"/>
          <w:w w:val="115"/>
        </w:rPr>
        <w:t> </w:t>
      </w:r>
      <w:r>
        <w:rPr>
          <w:i/>
          <w:color w:val="231F20"/>
          <w:w w:val="115"/>
        </w:rPr>
        <w:t>X</w:t>
      </w:r>
      <w:r>
        <w:rPr>
          <w:i/>
          <w:color w:val="231F20"/>
          <w:spacing w:val="40"/>
          <w:w w:val="115"/>
        </w:rPr>
        <w:t> </w:t>
      </w:r>
      <w:r>
        <w:rPr>
          <w:i/>
          <w:color w:val="231F20"/>
        </w:rPr>
        <w:t>Bar</w:t>
      </w:r>
      <w:r>
        <w:rPr>
          <w:i/>
          <w:color w:val="231F20"/>
          <w:spacing w:val="40"/>
        </w:rPr>
        <w:t> </w:t>
      </w:r>
      <w:r>
        <w:rPr>
          <w:i/>
          <w:color w:val="231F20"/>
        </w:rPr>
        <w:t>Control</w:t>
      </w:r>
      <w:r>
        <w:rPr>
          <w:i/>
          <w:color w:val="231F20"/>
          <w:spacing w:val="40"/>
        </w:rPr>
        <w:t> </w:t>
      </w:r>
      <w:r>
        <w:rPr>
          <w:i/>
          <w:color w:val="231F20"/>
        </w:rPr>
        <w:t>Charts</w:t>
      </w:r>
      <w:r>
        <w:rPr>
          <w:i/>
          <w:color w:val="231F20"/>
        </w:rPr>
        <w:t> </w:t>
      </w:r>
      <w:r>
        <w:rPr>
          <w:color w:val="231F20"/>
        </w:rPr>
        <w:t>the operator records the average (X Bar) of the sample measurement he or she takes every hour. The </w:t>
      </w:r>
      <w:r>
        <w:rPr>
          <w:color w:val="231F20"/>
          <w:w w:val="115"/>
        </w:rPr>
        <w:t>X </w:t>
      </w:r>
      <w:r>
        <w:rPr>
          <w:color w:val="231F20"/>
        </w:rPr>
        <w:t>Bar chart shows any tendency </w:t>
      </w:r>
      <w:r>
        <w:rPr>
          <w:color w:val="231F20"/>
        </w:rPr>
        <w:t>of the machine to drift or jump over time. If the chart is approaching a limit, the operator can investigate before the filling machine gets out of statistical control.</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3" w:firstLine="340"/>
        <w:jc w:val="both"/>
      </w:pPr>
      <w:r>
        <w:rPr>
          <w:color w:val="231F20"/>
        </w:rPr>
        <w:t>The</w:t>
      </w:r>
      <w:r>
        <w:rPr>
          <w:color w:val="231F20"/>
          <w:spacing w:val="40"/>
          <w:w w:val="110"/>
        </w:rPr>
        <w:t> </w:t>
      </w:r>
      <w:r>
        <w:rPr>
          <w:i/>
          <w:color w:val="231F20"/>
          <w:w w:val="110"/>
        </w:rPr>
        <w:t>R</w:t>
      </w:r>
      <w:r>
        <w:rPr>
          <w:i/>
          <w:color w:val="231F20"/>
          <w:spacing w:val="40"/>
          <w:w w:val="110"/>
        </w:rPr>
        <w:t> </w:t>
      </w:r>
      <w:r>
        <w:rPr>
          <w:i/>
          <w:color w:val="231F20"/>
        </w:rPr>
        <w:t>(Range)</w:t>
      </w:r>
      <w:r>
        <w:rPr>
          <w:i/>
          <w:color w:val="231F20"/>
          <w:spacing w:val="40"/>
        </w:rPr>
        <w:t> </w:t>
      </w:r>
      <w:r>
        <w:rPr>
          <w:i/>
          <w:color w:val="231F20"/>
        </w:rPr>
        <w:t>Control</w:t>
      </w:r>
      <w:r>
        <w:rPr>
          <w:i/>
          <w:color w:val="231F20"/>
          <w:spacing w:val="40"/>
        </w:rPr>
        <w:t> </w:t>
      </w:r>
      <w:r>
        <w:rPr>
          <w:i/>
          <w:color w:val="231F20"/>
        </w:rPr>
        <w:t>Chart</w:t>
      </w:r>
      <w:r>
        <w:rPr>
          <w:i/>
          <w:color w:val="231F20"/>
          <w:spacing w:val="40"/>
        </w:rPr>
        <w:t> </w:t>
      </w:r>
      <w:r>
        <w:rPr>
          <w:color w:val="231F20"/>
        </w:rPr>
        <w:t>reveals</w:t>
      </w:r>
      <w:r>
        <w:rPr>
          <w:color w:val="231F20"/>
          <w:spacing w:val="40"/>
        </w:rPr>
        <w:t> </w:t>
      </w:r>
      <w:r>
        <w:rPr>
          <w:color w:val="231F20"/>
        </w:rPr>
        <w:t>any</w:t>
      </w:r>
      <w:r>
        <w:rPr>
          <w:color w:val="231F20"/>
          <w:spacing w:val="40"/>
        </w:rPr>
        <w:t> </w:t>
      </w:r>
      <w:r>
        <w:rPr>
          <w:color w:val="231F20"/>
        </w:rPr>
        <w:t>tendency</w:t>
      </w:r>
      <w:r>
        <w:rPr>
          <w:color w:val="231F20"/>
          <w:spacing w:val="40"/>
        </w:rPr>
        <w:t> </w:t>
      </w:r>
      <w:r>
        <w:rPr>
          <w:color w:val="231F20"/>
        </w:rPr>
        <w:t>of</w:t>
      </w:r>
      <w:r>
        <w:rPr>
          <w:color w:val="231F20"/>
          <w:spacing w:val="40"/>
        </w:rPr>
        <w:t> </w:t>
      </w:r>
      <w:r>
        <w:rPr>
          <w:color w:val="231F20"/>
        </w:rPr>
        <w:t>the process to behave more or less randomly over time. It measures </w:t>
      </w:r>
      <w:r>
        <w:rPr>
          <w:color w:val="231F20"/>
        </w:rPr>
        <w:t>the range between the largest and smallest measurement in the same sampling used to create the </w:t>
      </w:r>
      <w:r>
        <w:rPr>
          <w:color w:val="231F20"/>
          <w:w w:val="110"/>
        </w:rPr>
        <w:t>X </w:t>
      </w:r>
      <w:r>
        <w:rPr>
          <w:color w:val="231F20"/>
        </w:rPr>
        <w:t>Bar charts. Within each group sample, the average of the sample measurements might mask unacceptable deviations. For example, a sample of a one-liter measurement and a three-liter measurement would average to two liters and appear ac- ceptable on an </w:t>
      </w:r>
      <w:r>
        <w:rPr>
          <w:color w:val="231F20"/>
          <w:w w:val="110"/>
        </w:rPr>
        <w:t>X</w:t>
      </w:r>
      <w:r>
        <w:rPr>
          <w:color w:val="231F20"/>
          <w:w w:val="110"/>
        </w:rPr>
        <w:t> </w:t>
      </w:r>
      <w:r>
        <w:rPr>
          <w:color w:val="231F20"/>
        </w:rPr>
        <w:t>Bar chart. However, it is safe to expect that cus- tomers would be upset with half-filled bottles as well as bottles</w:t>
      </w:r>
      <w:r>
        <w:rPr>
          <w:color w:val="231F20"/>
          <w:spacing w:val="40"/>
        </w:rPr>
        <w:t> </w:t>
      </w:r>
      <w:r>
        <w:rPr>
          <w:color w:val="231F20"/>
        </w:rPr>
        <w:t>sticky from being grossly overfilled. In the case of being outside of</w:t>
      </w:r>
      <w:r>
        <w:rPr>
          <w:color w:val="231F20"/>
          <w:spacing w:val="80"/>
          <w:w w:val="150"/>
        </w:rPr>
        <w:t> </w:t>
      </w:r>
      <w:r>
        <w:rPr>
          <w:color w:val="231F20"/>
        </w:rPr>
        <w:t>an R chart’s limit, the operator must also take corrective action.</w:t>
      </w:r>
    </w:p>
    <w:p>
      <w:pPr>
        <w:pStyle w:val="BodyText"/>
        <w:rPr>
          <w:sz w:val="24"/>
        </w:rPr>
      </w:pPr>
    </w:p>
    <w:p>
      <w:pPr>
        <w:pStyle w:val="BodyText"/>
        <w:spacing w:before="5"/>
        <w:rPr>
          <w:sz w:val="33"/>
        </w:rPr>
      </w:pPr>
    </w:p>
    <w:p>
      <w:pPr>
        <w:spacing w:before="0"/>
        <w:ind w:left="292" w:right="219" w:firstLine="0"/>
        <w:jc w:val="center"/>
        <w:rPr>
          <w:rFonts w:ascii="Arial"/>
          <w:sz w:val="14"/>
        </w:rPr>
      </w:pPr>
      <w:r>
        <w:rPr>
          <w:rFonts w:ascii="Arial"/>
          <w:color w:val="231F20"/>
          <w:w w:val="105"/>
          <w:sz w:val="14"/>
        </w:rPr>
        <w:t>BELL</w:t>
      </w:r>
      <w:r>
        <w:rPr>
          <w:rFonts w:ascii="Arial"/>
          <w:color w:val="231F20"/>
          <w:spacing w:val="25"/>
          <w:w w:val="105"/>
          <w:sz w:val="14"/>
        </w:rPr>
        <w:t> </w:t>
      </w:r>
      <w:r>
        <w:rPr>
          <w:rFonts w:ascii="Arial"/>
          <w:color w:val="231F20"/>
          <w:w w:val="105"/>
          <w:sz w:val="14"/>
        </w:rPr>
        <w:t>CURVE</w:t>
      </w:r>
      <w:r>
        <w:rPr>
          <w:rFonts w:ascii="Arial"/>
          <w:color w:val="231F20"/>
          <w:spacing w:val="26"/>
          <w:w w:val="105"/>
          <w:sz w:val="14"/>
        </w:rPr>
        <w:t> </w:t>
      </w:r>
      <w:r>
        <w:rPr>
          <w:rFonts w:ascii="Arial"/>
          <w:color w:val="231F20"/>
          <w:w w:val="105"/>
          <w:sz w:val="14"/>
        </w:rPr>
        <w:t>OF</w:t>
      </w:r>
      <w:r>
        <w:rPr>
          <w:rFonts w:ascii="Arial"/>
          <w:color w:val="231F20"/>
          <w:spacing w:val="26"/>
          <w:w w:val="105"/>
          <w:sz w:val="14"/>
        </w:rPr>
        <w:t> </w:t>
      </w:r>
      <w:r>
        <w:rPr>
          <w:rFonts w:ascii="Arial"/>
          <w:color w:val="231F20"/>
          <w:w w:val="105"/>
          <w:sz w:val="14"/>
        </w:rPr>
        <w:t>COLA</w:t>
      </w:r>
      <w:r>
        <w:rPr>
          <w:rFonts w:ascii="Arial"/>
          <w:color w:val="231F20"/>
          <w:spacing w:val="25"/>
          <w:w w:val="105"/>
          <w:sz w:val="14"/>
        </w:rPr>
        <w:t> </w:t>
      </w:r>
      <w:r>
        <w:rPr>
          <w:rFonts w:ascii="Arial"/>
          <w:color w:val="231F20"/>
          <w:w w:val="105"/>
          <w:sz w:val="14"/>
        </w:rPr>
        <w:t>FILL</w:t>
      </w:r>
      <w:r>
        <w:rPr>
          <w:rFonts w:ascii="Arial"/>
          <w:color w:val="231F20"/>
          <w:spacing w:val="26"/>
          <w:w w:val="105"/>
          <w:sz w:val="14"/>
        </w:rPr>
        <w:t> </w:t>
      </w:r>
      <w:r>
        <w:rPr>
          <w:rFonts w:ascii="Arial"/>
          <w:color w:val="231F20"/>
          <w:spacing w:val="-2"/>
          <w:w w:val="105"/>
          <w:sz w:val="14"/>
        </w:rPr>
        <w:t>QUANTITIES</w:t>
      </w:r>
    </w:p>
    <w:p>
      <w:pPr>
        <w:pStyle w:val="BodyText"/>
        <w:spacing w:before="3"/>
        <w:rPr>
          <w:rFonts w:ascii="Arial"/>
          <w:sz w:val="12"/>
        </w:rPr>
      </w:pPr>
      <w:r>
        <w:rPr/>
        <w:drawing>
          <wp:anchor distT="0" distB="0" distL="0" distR="0" allowOverlap="1" layoutInCell="1" locked="0" behindDoc="0" simplePos="0" relativeHeight="347">
            <wp:simplePos x="0" y="0"/>
            <wp:positionH relativeFrom="page">
              <wp:posOffset>1058366</wp:posOffset>
            </wp:positionH>
            <wp:positionV relativeFrom="paragraph">
              <wp:posOffset>104793</wp:posOffset>
            </wp:positionV>
            <wp:extent cx="3326821" cy="2535936"/>
            <wp:effectExtent l="0" t="0" r="0" b="0"/>
            <wp:wrapTopAndBottom/>
            <wp:docPr id="117" name="image69.png"/>
            <wp:cNvGraphicFramePr>
              <a:graphicFrameLocks noChangeAspect="1"/>
            </wp:cNvGraphicFramePr>
            <a:graphic>
              <a:graphicData uri="http://schemas.openxmlformats.org/drawingml/2006/picture">
                <pic:pic>
                  <pic:nvPicPr>
                    <pic:cNvPr id="118" name="image69.png"/>
                    <pic:cNvPicPr/>
                  </pic:nvPicPr>
                  <pic:blipFill>
                    <a:blip r:embed="rId104" cstate="print"/>
                    <a:stretch>
                      <a:fillRect/>
                    </a:stretch>
                  </pic:blipFill>
                  <pic:spPr>
                    <a:xfrm>
                      <a:off x="0" y="0"/>
                      <a:ext cx="3326821" cy="2535936"/>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spacing w:line="292" w:lineRule="auto" w:before="81"/>
        <w:ind w:left="830" w:right="756" w:firstLine="340"/>
        <w:jc w:val="both"/>
      </w:pPr>
      <w:r>
        <w:rPr>
          <w:color w:val="231F20"/>
          <w:w w:val="105"/>
        </w:rPr>
        <w:t>The hypothetical SPC </w:t>
      </w:r>
      <w:r>
        <w:rPr>
          <w:color w:val="231F20"/>
          <w:w w:val="110"/>
        </w:rPr>
        <w:t>X </w:t>
      </w:r>
      <w:r>
        <w:rPr>
          <w:color w:val="231F20"/>
          <w:w w:val="105"/>
        </w:rPr>
        <w:t>Bar and R charts of a twelve-hour </w:t>
      </w:r>
      <w:r>
        <w:rPr>
          <w:color w:val="231F20"/>
          <w:w w:val="105"/>
        </w:rPr>
        <w:t>bot- tling shift on page 280 highlight problems.</w:t>
      </w:r>
    </w:p>
    <w:p>
      <w:pPr>
        <w:pStyle w:val="BodyText"/>
        <w:spacing w:line="292" w:lineRule="auto"/>
        <w:ind w:left="830" w:right="756" w:firstLine="340"/>
        <w:jc w:val="both"/>
      </w:pPr>
      <w:r>
        <w:rPr>
          <w:color w:val="231F20"/>
        </w:rPr>
        <w:t>The sudden change in </w:t>
      </w:r>
      <w:r>
        <w:rPr>
          <w:color w:val="231F20"/>
          <w:w w:val="110"/>
        </w:rPr>
        <w:t>X</w:t>
      </w:r>
      <w:r>
        <w:rPr>
          <w:color w:val="231F20"/>
          <w:spacing w:val="-4"/>
          <w:w w:val="110"/>
        </w:rPr>
        <w:t> </w:t>
      </w:r>
      <w:r>
        <w:rPr>
          <w:color w:val="231F20"/>
        </w:rPr>
        <w:t>suggests that there is a mechanical </w:t>
      </w:r>
      <w:r>
        <w:rPr>
          <w:color w:val="231F20"/>
        </w:rPr>
        <w:t>prob- lem or a new employee unfamiliar with the specifications.</w:t>
      </w:r>
    </w:p>
    <w:p>
      <w:pPr>
        <w:pStyle w:val="BodyText"/>
        <w:spacing w:line="292" w:lineRule="auto"/>
        <w:ind w:left="830" w:right="756" w:firstLine="340"/>
        <w:jc w:val="both"/>
      </w:pPr>
      <w:r>
        <w:rPr>
          <w:color w:val="231F20"/>
        </w:rPr>
        <w:t>The rise in R may signal that a machine is deteriorating, a ma- chine control is vibrating and slipping out of specification, or a worker is getting tired.</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4"/>
        <w:jc w:val="both"/>
      </w:pPr>
      <w:r>
        <w:rPr>
          <w:i/>
          <w:color w:val="231F20"/>
        </w:rPr>
        <w:t>Crosby and “Quality Is Free.” </w:t>
      </w:r>
      <w:r>
        <w:rPr>
          <w:color w:val="231F20"/>
        </w:rPr>
        <w:t>Philip Crosby’s claim to fame is the proclamation that “quality is free.” He believed that if </w:t>
      </w:r>
      <w:r>
        <w:rPr>
          <w:color w:val="231F20"/>
        </w:rPr>
        <w:t>manufactur-</w:t>
      </w:r>
      <w:r>
        <w:rPr>
          <w:color w:val="231F20"/>
          <w:spacing w:val="40"/>
        </w:rPr>
        <w:t> </w:t>
      </w:r>
      <w:r>
        <w:rPr>
          <w:color w:val="231F20"/>
        </w:rPr>
        <w:t>ers improved quality, “conforming to requirements,” total produc- tion costs would fall. Crosby proposed that the ultimate goal of a quality program is zero defects. Management must make a con- certed effort to alter both the design and the production method to improve quality. In his opinion, any costs incurred in improving quality would be paid for by the saving of materials and labor that were once expended in correcting defects.</w:t>
      </w:r>
    </w:p>
    <w:p>
      <w:pPr>
        <w:pStyle w:val="BodyText"/>
        <w:rPr>
          <w:sz w:val="24"/>
        </w:rPr>
      </w:pPr>
    </w:p>
    <w:p>
      <w:pPr>
        <w:pStyle w:val="BodyText"/>
        <w:spacing w:line="292" w:lineRule="auto" w:before="165"/>
        <w:ind w:left="920" w:right="666"/>
        <w:jc w:val="both"/>
      </w:pPr>
      <w:r>
        <w:rPr>
          <w:i/>
          <w:color w:val="231F20"/>
        </w:rPr>
        <w:t>Genichi</w:t>
      </w:r>
      <w:r>
        <w:rPr>
          <w:i/>
          <w:color w:val="231F20"/>
          <w:spacing w:val="40"/>
        </w:rPr>
        <w:t> </w:t>
      </w:r>
      <w:r>
        <w:rPr>
          <w:i/>
          <w:color w:val="231F20"/>
        </w:rPr>
        <w:t>Taguchi</w:t>
      </w:r>
      <w:r>
        <w:rPr>
          <w:i/>
          <w:color w:val="231F20"/>
          <w:spacing w:val="40"/>
        </w:rPr>
        <w:t> </w:t>
      </w:r>
      <w:r>
        <w:rPr>
          <w:i/>
          <w:color w:val="231F20"/>
        </w:rPr>
        <w:t>and</w:t>
      </w:r>
      <w:r>
        <w:rPr>
          <w:i/>
          <w:color w:val="231F20"/>
          <w:spacing w:val="40"/>
        </w:rPr>
        <w:t> </w:t>
      </w:r>
      <w:r>
        <w:rPr>
          <w:i/>
          <w:color w:val="231F20"/>
        </w:rPr>
        <w:t>Poor</w:t>
      </w:r>
      <w:r>
        <w:rPr>
          <w:i/>
          <w:color w:val="231F20"/>
          <w:spacing w:val="40"/>
        </w:rPr>
        <w:t> </w:t>
      </w:r>
      <w:r>
        <w:rPr>
          <w:i/>
          <w:color w:val="231F20"/>
        </w:rPr>
        <w:t>Quality</w:t>
      </w:r>
      <w:r>
        <w:rPr>
          <w:i/>
          <w:color w:val="231F20"/>
          <w:spacing w:val="40"/>
        </w:rPr>
        <w:t> </w:t>
      </w:r>
      <w:r>
        <w:rPr>
          <w:i/>
          <w:color w:val="231F20"/>
        </w:rPr>
        <w:t>Is</w:t>
      </w:r>
      <w:r>
        <w:rPr>
          <w:i/>
          <w:color w:val="231F20"/>
          <w:spacing w:val="40"/>
        </w:rPr>
        <w:t> </w:t>
      </w:r>
      <w:r>
        <w:rPr>
          <w:i/>
          <w:color w:val="231F20"/>
        </w:rPr>
        <w:t>a</w:t>
      </w:r>
      <w:r>
        <w:rPr>
          <w:i/>
          <w:color w:val="231F20"/>
          <w:spacing w:val="40"/>
        </w:rPr>
        <w:t> </w:t>
      </w:r>
      <w:r>
        <w:rPr>
          <w:i/>
          <w:color w:val="231F20"/>
        </w:rPr>
        <w:t>Crime.</w:t>
      </w:r>
      <w:r>
        <w:rPr>
          <w:i/>
          <w:color w:val="231F20"/>
          <w:spacing w:val="40"/>
        </w:rPr>
        <w:t> </w:t>
      </w:r>
      <w:r>
        <w:rPr>
          <w:color w:val="231F20"/>
        </w:rPr>
        <w:t>Japanese</w:t>
      </w:r>
      <w:r>
        <w:rPr>
          <w:color w:val="231F20"/>
          <w:spacing w:val="40"/>
        </w:rPr>
        <w:t> </w:t>
      </w:r>
      <w:r>
        <w:rPr>
          <w:color w:val="231F20"/>
        </w:rPr>
        <w:t>quality</w:t>
      </w:r>
      <w:r>
        <w:rPr>
          <w:color w:val="231F20"/>
          <w:spacing w:val="40"/>
        </w:rPr>
        <w:t> </w:t>
      </w:r>
      <w:r>
        <w:rPr>
          <w:color w:val="231F20"/>
        </w:rPr>
        <w:t>ex- pert Genichi Taguchi was a key quality proponent in postwar </w:t>
      </w:r>
      <w:r>
        <w:rPr>
          <w:color w:val="231F20"/>
        </w:rPr>
        <w:t>Japan. He</w:t>
      </w:r>
      <w:r>
        <w:rPr>
          <w:color w:val="231F20"/>
          <w:spacing w:val="28"/>
        </w:rPr>
        <w:t> </w:t>
      </w:r>
      <w:r>
        <w:rPr>
          <w:color w:val="231F20"/>
        </w:rPr>
        <w:t>taught</w:t>
      </w:r>
      <w:r>
        <w:rPr>
          <w:color w:val="231F20"/>
          <w:spacing w:val="28"/>
        </w:rPr>
        <w:t> </w:t>
      </w:r>
      <w:r>
        <w:rPr>
          <w:color w:val="231F20"/>
        </w:rPr>
        <w:t>from</w:t>
      </w:r>
      <w:r>
        <w:rPr>
          <w:color w:val="231F20"/>
          <w:spacing w:val="28"/>
        </w:rPr>
        <w:t> </w:t>
      </w:r>
      <w:r>
        <w:rPr>
          <w:color w:val="231F20"/>
        </w:rPr>
        <w:t>a</w:t>
      </w:r>
      <w:r>
        <w:rPr>
          <w:color w:val="231F20"/>
          <w:spacing w:val="28"/>
        </w:rPr>
        <w:t> </w:t>
      </w:r>
      <w:r>
        <w:rPr>
          <w:color w:val="231F20"/>
        </w:rPr>
        <w:t>spiritual</w:t>
      </w:r>
      <w:r>
        <w:rPr>
          <w:color w:val="231F20"/>
          <w:spacing w:val="28"/>
        </w:rPr>
        <w:t> </w:t>
      </w:r>
      <w:r>
        <w:rPr>
          <w:color w:val="231F20"/>
        </w:rPr>
        <w:t>perspective</w:t>
      </w:r>
      <w:r>
        <w:rPr>
          <w:color w:val="231F20"/>
          <w:spacing w:val="28"/>
        </w:rPr>
        <w:t> </w:t>
      </w:r>
      <w:r>
        <w:rPr>
          <w:color w:val="231F20"/>
        </w:rPr>
        <w:t>that</w:t>
      </w:r>
      <w:r>
        <w:rPr>
          <w:color w:val="231F20"/>
          <w:spacing w:val="28"/>
        </w:rPr>
        <w:t> </w:t>
      </w:r>
      <w:r>
        <w:rPr>
          <w:color w:val="231F20"/>
        </w:rPr>
        <w:t>“making</w:t>
      </w:r>
      <w:r>
        <w:rPr>
          <w:color w:val="231F20"/>
          <w:spacing w:val="28"/>
        </w:rPr>
        <w:t> </w:t>
      </w:r>
      <w:r>
        <w:rPr>
          <w:color w:val="231F20"/>
        </w:rPr>
        <w:t>poor</w:t>
      </w:r>
      <w:r>
        <w:rPr>
          <w:color w:val="231F20"/>
          <w:spacing w:val="28"/>
        </w:rPr>
        <w:t> </w:t>
      </w:r>
      <w:r>
        <w:rPr>
          <w:color w:val="231F20"/>
        </w:rPr>
        <w:t>products is worse than a thief.” Society does not lose anything from a thief as</w:t>
      </w:r>
      <w:r>
        <w:rPr>
          <w:color w:val="231F20"/>
          <w:spacing w:val="80"/>
        </w:rPr>
        <w:t> </w:t>
      </w:r>
      <w:r>
        <w:rPr>
          <w:color w:val="231F20"/>
        </w:rPr>
        <w:t>it is a redistribution of wealth, but everyone loses when poor-quality products are made.</w:t>
      </w:r>
    </w:p>
    <w:p>
      <w:pPr>
        <w:pStyle w:val="BodyText"/>
        <w:rPr>
          <w:sz w:val="24"/>
        </w:rPr>
      </w:pPr>
    </w:p>
    <w:p>
      <w:pPr>
        <w:pStyle w:val="BodyText"/>
        <w:spacing w:before="9"/>
        <w:rPr>
          <w:sz w:val="24"/>
        </w:rPr>
      </w:pPr>
    </w:p>
    <w:p>
      <w:pPr>
        <w:pStyle w:val="Heading4"/>
      </w:pPr>
      <w:r>
        <w:rPr>
          <w:color w:val="231F20"/>
          <w:w w:val="80"/>
        </w:rPr>
        <w:t>HOT</w:t>
      </w:r>
      <w:r>
        <w:rPr>
          <w:color w:val="231F20"/>
          <w:spacing w:val="19"/>
        </w:rPr>
        <w:t> </w:t>
      </w:r>
      <w:r>
        <w:rPr>
          <w:color w:val="231F20"/>
          <w:spacing w:val="8"/>
          <w:w w:val="95"/>
        </w:rPr>
        <w:t>TOPICS</w:t>
      </w:r>
    </w:p>
    <w:p>
      <w:pPr>
        <w:pStyle w:val="BodyText"/>
        <w:spacing w:before="10"/>
        <w:rPr>
          <w:rFonts w:ascii="Trebuchet MS"/>
          <w:sz w:val="29"/>
        </w:rPr>
      </w:pPr>
    </w:p>
    <w:p>
      <w:pPr>
        <w:pStyle w:val="BodyText"/>
        <w:spacing w:line="292" w:lineRule="auto" w:before="1"/>
        <w:ind w:left="920" w:right="666"/>
        <w:jc w:val="both"/>
      </w:pPr>
      <w:r>
        <w:rPr>
          <w:color w:val="231F20"/>
        </w:rPr>
        <w:t>With the basics of capacity, scheduling, standards, and control </w:t>
      </w:r>
      <w:r>
        <w:rPr>
          <w:color w:val="231F20"/>
        </w:rPr>
        <w:t>be- hind you, this chapter would not be complete without mentioning some</w:t>
      </w:r>
      <w:r>
        <w:rPr>
          <w:color w:val="231F20"/>
          <w:spacing w:val="4"/>
        </w:rPr>
        <w:t> </w:t>
      </w:r>
      <w:r>
        <w:rPr>
          <w:color w:val="231F20"/>
        </w:rPr>
        <w:t>of</w:t>
      </w:r>
      <w:r>
        <w:rPr>
          <w:color w:val="231F20"/>
          <w:spacing w:val="5"/>
        </w:rPr>
        <w:t> </w:t>
      </w:r>
      <w:r>
        <w:rPr>
          <w:color w:val="231F20"/>
        </w:rPr>
        <w:t>the</w:t>
      </w:r>
      <w:r>
        <w:rPr>
          <w:color w:val="231F20"/>
          <w:spacing w:val="5"/>
        </w:rPr>
        <w:t> </w:t>
      </w:r>
      <w:r>
        <w:rPr>
          <w:color w:val="231F20"/>
        </w:rPr>
        <w:t>trendy</w:t>
      </w:r>
      <w:r>
        <w:rPr>
          <w:color w:val="231F20"/>
          <w:spacing w:val="4"/>
        </w:rPr>
        <w:t> </w:t>
      </w:r>
      <w:r>
        <w:rPr>
          <w:color w:val="231F20"/>
        </w:rPr>
        <w:t>stuff</w:t>
      </w:r>
      <w:r>
        <w:rPr>
          <w:color w:val="231F20"/>
          <w:spacing w:val="5"/>
        </w:rPr>
        <w:t> </w:t>
      </w:r>
      <w:r>
        <w:rPr>
          <w:color w:val="231F20"/>
        </w:rPr>
        <w:t>that</w:t>
      </w:r>
      <w:r>
        <w:rPr>
          <w:color w:val="231F20"/>
          <w:spacing w:val="5"/>
        </w:rPr>
        <w:t> </w:t>
      </w:r>
      <w:r>
        <w:rPr>
          <w:color w:val="231F20"/>
        </w:rPr>
        <w:t>keeps</w:t>
      </w:r>
      <w:r>
        <w:rPr>
          <w:color w:val="231F20"/>
          <w:spacing w:val="4"/>
        </w:rPr>
        <w:t> </w:t>
      </w:r>
      <w:r>
        <w:rPr>
          <w:color w:val="231F20"/>
        </w:rPr>
        <w:t>popping</w:t>
      </w:r>
      <w:r>
        <w:rPr>
          <w:color w:val="231F20"/>
          <w:spacing w:val="5"/>
        </w:rPr>
        <w:t> </w:t>
      </w:r>
      <w:r>
        <w:rPr>
          <w:color w:val="231F20"/>
        </w:rPr>
        <w:t>up</w:t>
      </w:r>
      <w:r>
        <w:rPr>
          <w:color w:val="231F20"/>
          <w:spacing w:val="5"/>
        </w:rPr>
        <w:t> </w:t>
      </w:r>
      <w:r>
        <w:rPr>
          <w:color w:val="231F20"/>
        </w:rPr>
        <w:t>in</w:t>
      </w:r>
      <w:r>
        <w:rPr>
          <w:color w:val="231F20"/>
          <w:spacing w:val="5"/>
        </w:rPr>
        <w:t> </w:t>
      </w:r>
      <w:r>
        <w:rPr>
          <w:color w:val="231F20"/>
        </w:rPr>
        <w:t>the</w:t>
      </w:r>
      <w:r>
        <w:rPr>
          <w:color w:val="231F20"/>
          <w:spacing w:val="4"/>
        </w:rPr>
        <w:t> </w:t>
      </w:r>
      <w:r>
        <w:rPr>
          <w:color w:val="231F20"/>
        </w:rPr>
        <w:t>business</w:t>
      </w:r>
      <w:r>
        <w:rPr>
          <w:color w:val="231F20"/>
          <w:spacing w:val="5"/>
        </w:rPr>
        <w:t> </w:t>
      </w:r>
      <w:r>
        <w:rPr>
          <w:color w:val="231F20"/>
          <w:spacing w:val="-2"/>
        </w:rPr>
        <w:t>press.</w:t>
      </w:r>
    </w:p>
    <w:p>
      <w:pPr>
        <w:pStyle w:val="BodyText"/>
        <w:rPr>
          <w:sz w:val="24"/>
        </w:rPr>
      </w:pPr>
    </w:p>
    <w:p>
      <w:pPr>
        <w:pStyle w:val="BodyText"/>
        <w:rPr>
          <w:sz w:val="27"/>
        </w:rPr>
      </w:pPr>
    </w:p>
    <w:p>
      <w:pPr>
        <w:pStyle w:val="Heading6"/>
        <w:spacing w:before="1"/>
        <w:rPr>
          <w:i/>
        </w:rPr>
      </w:pPr>
      <w:r>
        <w:rPr>
          <w:i/>
          <w:color w:val="231F20"/>
          <w:w w:val="115"/>
        </w:rPr>
        <w:t>CYCLE</w:t>
      </w:r>
      <w:r>
        <w:rPr>
          <w:i/>
          <w:color w:val="231F20"/>
          <w:spacing w:val="79"/>
          <w:w w:val="115"/>
        </w:rPr>
        <w:t> </w:t>
      </w:r>
      <w:r>
        <w:rPr>
          <w:i/>
          <w:color w:val="231F20"/>
          <w:spacing w:val="6"/>
          <w:w w:val="115"/>
        </w:rPr>
        <w:t>TIME</w:t>
      </w:r>
    </w:p>
    <w:p>
      <w:pPr>
        <w:pStyle w:val="BodyText"/>
        <w:spacing w:before="2"/>
        <w:rPr>
          <w:b/>
          <w:i/>
          <w:sz w:val="30"/>
        </w:rPr>
      </w:pPr>
    </w:p>
    <w:p>
      <w:pPr>
        <w:pStyle w:val="BodyText"/>
        <w:spacing w:line="292" w:lineRule="auto"/>
        <w:ind w:left="920" w:right="666"/>
        <w:jc w:val="both"/>
      </w:pPr>
      <w:r>
        <w:rPr>
          <w:color w:val="231F20"/>
        </w:rPr>
        <w:t>The time it takes for a company to convert a product idea into a new product or to improve an already existing product is called the </w:t>
      </w:r>
      <w:r>
        <w:rPr>
          <w:i/>
          <w:color w:val="231F20"/>
        </w:rPr>
        <w:t>cycle</w:t>
      </w:r>
      <w:r>
        <w:rPr>
          <w:i/>
          <w:color w:val="231F20"/>
        </w:rPr>
        <w:t> time </w:t>
      </w:r>
      <w:r>
        <w:rPr>
          <w:color w:val="231F20"/>
        </w:rPr>
        <w:t>of introduction. In Detroit the design and retooling for a new automobile may take two or more years. The turnaround for a new fashion item is often six months from design to store delivery. The faster a company can turn out a new product to meet consumer de- mand, the better the corporation will compete in the marketplace. Accordingly,</w:t>
      </w:r>
      <w:r>
        <w:rPr>
          <w:color w:val="231F20"/>
          <w:spacing w:val="3"/>
        </w:rPr>
        <w:t> </w:t>
      </w:r>
      <w:r>
        <w:rPr>
          <w:color w:val="231F20"/>
        </w:rPr>
        <w:t>rapid</w:t>
      </w:r>
      <w:r>
        <w:rPr>
          <w:color w:val="231F20"/>
          <w:spacing w:val="3"/>
        </w:rPr>
        <w:t> </w:t>
      </w:r>
      <w:r>
        <w:rPr>
          <w:color w:val="231F20"/>
        </w:rPr>
        <w:t>cycle</w:t>
      </w:r>
      <w:r>
        <w:rPr>
          <w:color w:val="231F20"/>
          <w:spacing w:val="3"/>
        </w:rPr>
        <w:t> </w:t>
      </w:r>
      <w:r>
        <w:rPr>
          <w:color w:val="231F20"/>
        </w:rPr>
        <w:t>times</w:t>
      </w:r>
      <w:r>
        <w:rPr>
          <w:color w:val="231F20"/>
          <w:spacing w:val="3"/>
        </w:rPr>
        <w:t> </w:t>
      </w:r>
      <w:r>
        <w:rPr>
          <w:color w:val="231F20"/>
        </w:rPr>
        <w:t>are</w:t>
      </w:r>
      <w:r>
        <w:rPr>
          <w:color w:val="231F20"/>
          <w:spacing w:val="3"/>
        </w:rPr>
        <w:t> </w:t>
      </w:r>
      <w:r>
        <w:rPr>
          <w:color w:val="231F20"/>
        </w:rPr>
        <w:t>a</w:t>
      </w:r>
      <w:r>
        <w:rPr>
          <w:color w:val="231F20"/>
          <w:spacing w:val="3"/>
        </w:rPr>
        <w:t> </w:t>
      </w:r>
      <w:r>
        <w:rPr>
          <w:color w:val="231F20"/>
        </w:rPr>
        <w:t>competitive</w:t>
      </w:r>
      <w:r>
        <w:rPr>
          <w:color w:val="231F20"/>
          <w:spacing w:val="4"/>
        </w:rPr>
        <w:t> </w:t>
      </w:r>
      <w:r>
        <w:rPr>
          <w:color w:val="231F20"/>
        </w:rPr>
        <w:t>advantage</w:t>
      </w:r>
      <w:r>
        <w:rPr>
          <w:color w:val="231F20"/>
          <w:spacing w:val="3"/>
        </w:rPr>
        <w:t> </w:t>
      </w:r>
      <w:r>
        <w:rPr>
          <w:color w:val="231F20"/>
        </w:rPr>
        <w:t>and</w:t>
      </w:r>
      <w:r>
        <w:rPr>
          <w:color w:val="231F20"/>
          <w:spacing w:val="3"/>
        </w:rPr>
        <w:t> </w:t>
      </w:r>
      <w:r>
        <w:rPr>
          <w:color w:val="231F20"/>
        </w:rPr>
        <w:t>a</w:t>
      </w:r>
      <w:r>
        <w:rPr>
          <w:color w:val="231F20"/>
          <w:spacing w:val="3"/>
        </w:rPr>
        <w:t> </w:t>
      </w:r>
      <w:r>
        <w:rPr>
          <w:color w:val="231F20"/>
          <w:spacing w:val="-5"/>
        </w:rPr>
        <w:t>hot</w:t>
      </w:r>
    </w:p>
    <w:p>
      <w:pPr>
        <w:spacing w:after="0" w:line="292" w:lineRule="auto"/>
        <w:jc w:val="both"/>
        <w:sectPr>
          <w:pgSz w:w="8640" w:h="12960"/>
          <w:pgMar w:header="734" w:footer="0" w:top="920" w:bottom="280" w:left="340" w:right="500"/>
        </w:sectPr>
      </w:pPr>
    </w:p>
    <w:p>
      <w:pPr>
        <w:pStyle w:val="BodyText"/>
        <w:spacing w:before="10"/>
        <w:rPr>
          <w:sz w:val="19"/>
        </w:rPr>
      </w:pPr>
    </w:p>
    <w:p>
      <w:pPr>
        <w:spacing w:line="357" w:lineRule="auto" w:before="96"/>
        <w:ind w:left="2338" w:right="2266" w:firstLine="0"/>
        <w:jc w:val="center"/>
        <w:rPr>
          <w:rFonts w:ascii="Arial"/>
          <w:sz w:val="14"/>
        </w:rPr>
      </w:pPr>
      <w:r>
        <w:rPr>
          <w:rFonts w:ascii="Arial"/>
          <w:color w:val="231F20"/>
          <w:w w:val="105"/>
          <w:sz w:val="14"/>
        </w:rPr>
        <w:t>STATISTICAL PROCESS CONTROL </w:t>
      </w:r>
      <w:r>
        <w:rPr>
          <w:rFonts w:ascii="Arial"/>
          <w:color w:val="231F20"/>
          <w:w w:val="105"/>
          <w:sz w:val="14"/>
        </w:rPr>
        <w:t>CHARTS COCA-COLA BOTTLING PLANT</w:t>
      </w:r>
    </w:p>
    <w:p>
      <w:pPr>
        <w:spacing w:before="0"/>
        <w:ind w:left="288" w:right="219" w:firstLine="0"/>
        <w:jc w:val="center"/>
        <w:rPr>
          <w:rFonts w:ascii="Arial"/>
          <w:sz w:val="14"/>
        </w:rPr>
      </w:pPr>
      <w:r>
        <w:rPr>
          <w:rFonts w:ascii="Arial"/>
          <w:color w:val="231F20"/>
          <w:w w:val="105"/>
          <w:sz w:val="14"/>
        </w:rPr>
        <w:t>X</w:t>
      </w:r>
      <w:r>
        <w:rPr>
          <w:rFonts w:ascii="Arial"/>
          <w:color w:val="231F20"/>
          <w:spacing w:val="19"/>
          <w:w w:val="105"/>
          <w:sz w:val="14"/>
        </w:rPr>
        <w:t> </w:t>
      </w:r>
      <w:r>
        <w:rPr>
          <w:rFonts w:ascii="Arial"/>
          <w:color w:val="231F20"/>
          <w:w w:val="105"/>
          <w:sz w:val="14"/>
        </w:rPr>
        <w:t>BAR</w:t>
      </w:r>
      <w:r>
        <w:rPr>
          <w:rFonts w:ascii="Arial"/>
          <w:color w:val="231F20"/>
          <w:spacing w:val="19"/>
          <w:w w:val="105"/>
          <w:sz w:val="14"/>
        </w:rPr>
        <w:t> </w:t>
      </w:r>
      <w:r>
        <w:rPr>
          <w:rFonts w:ascii="Arial"/>
          <w:color w:val="231F20"/>
          <w:w w:val="105"/>
          <w:sz w:val="14"/>
        </w:rPr>
        <w:t>AND</w:t>
      </w:r>
      <w:r>
        <w:rPr>
          <w:rFonts w:ascii="Arial"/>
          <w:color w:val="231F20"/>
          <w:spacing w:val="19"/>
          <w:w w:val="105"/>
          <w:sz w:val="14"/>
        </w:rPr>
        <w:t> </w:t>
      </w:r>
      <w:r>
        <w:rPr>
          <w:rFonts w:ascii="Arial"/>
          <w:color w:val="231F20"/>
          <w:w w:val="105"/>
          <w:sz w:val="14"/>
        </w:rPr>
        <w:t>R</w:t>
      </w:r>
      <w:r>
        <w:rPr>
          <w:rFonts w:ascii="Arial"/>
          <w:color w:val="231F20"/>
          <w:spacing w:val="19"/>
          <w:w w:val="105"/>
          <w:sz w:val="14"/>
        </w:rPr>
        <w:t> </w:t>
      </w:r>
      <w:r>
        <w:rPr>
          <w:rFonts w:ascii="Arial"/>
          <w:color w:val="231F20"/>
          <w:spacing w:val="-2"/>
          <w:w w:val="105"/>
          <w:sz w:val="14"/>
        </w:rPr>
        <w:t>CHARTS</w:t>
      </w:r>
    </w:p>
    <w:p>
      <w:pPr>
        <w:pStyle w:val="BodyText"/>
        <w:spacing w:before="6"/>
        <w:rPr>
          <w:rFonts w:ascii="Arial"/>
          <w:sz w:val="16"/>
        </w:rPr>
      </w:pPr>
      <w:r>
        <w:rPr/>
        <w:drawing>
          <wp:anchor distT="0" distB="0" distL="0" distR="0" allowOverlap="1" layoutInCell="1" locked="0" behindDoc="0" simplePos="0" relativeHeight="348">
            <wp:simplePos x="0" y="0"/>
            <wp:positionH relativeFrom="page">
              <wp:posOffset>1355610</wp:posOffset>
            </wp:positionH>
            <wp:positionV relativeFrom="paragraph">
              <wp:posOffset>136022</wp:posOffset>
            </wp:positionV>
            <wp:extent cx="2737106" cy="1712976"/>
            <wp:effectExtent l="0" t="0" r="0" b="0"/>
            <wp:wrapTopAndBottom/>
            <wp:docPr id="119" name="image70.png"/>
            <wp:cNvGraphicFramePr>
              <a:graphicFrameLocks noChangeAspect="1"/>
            </wp:cNvGraphicFramePr>
            <a:graphic>
              <a:graphicData uri="http://schemas.openxmlformats.org/drawingml/2006/picture">
                <pic:pic>
                  <pic:nvPicPr>
                    <pic:cNvPr id="120" name="image70.png"/>
                    <pic:cNvPicPr/>
                  </pic:nvPicPr>
                  <pic:blipFill>
                    <a:blip r:embed="rId105" cstate="print"/>
                    <a:stretch>
                      <a:fillRect/>
                    </a:stretch>
                  </pic:blipFill>
                  <pic:spPr>
                    <a:xfrm>
                      <a:off x="0" y="0"/>
                      <a:ext cx="2737106" cy="1712976"/>
                    </a:xfrm>
                    <a:prstGeom prst="rect">
                      <a:avLst/>
                    </a:prstGeom>
                  </pic:spPr>
                </pic:pic>
              </a:graphicData>
            </a:graphic>
          </wp:anchor>
        </w:drawing>
      </w:r>
    </w:p>
    <w:p>
      <w:pPr>
        <w:pStyle w:val="BodyText"/>
        <w:spacing w:before="2"/>
        <w:rPr>
          <w:rFonts w:ascii="Arial"/>
          <w:sz w:val="18"/>
        </w:rPr>
      </w:pPr>
    </w:p>
    <w:p>
      <w:pPr>
        <w:spacing w:line="244" w:lineRule="auto" w:before="0"/>
        <w:ind w:left="830" w:right="667" w:firstLine="0"/>
        <w:jc w:val="left"/>
        <w:rPr>
          <w:sz w:val="20"/>
        </w:rPr>
      </w:pPr>
      <w:r>
        <w:rPr>
          <w:color w:val="231F20"/>
          <w:sz w:val="20"/>
        </w:rPr>
        <w:t>The sudden change in X suggests that there is a mechanical problem or </w:t>
      </w:r>
      <w:r>
        <w:rPr>
          <w:color w:val="231F20"/>
          <w:sz w:val="20"/>
        </w:rPr>
        <w:t>a </w:t>
      </w:r>
      <w:r>
        <w:rPr>
          <w:color w:val="231F20"/>
          <w:w w:val="105"/>
          <w:sz w:val="20"/>
        </w:rPr>
        <w:t>new</w:t>
      </w:r>
      <w:r>
        <w:rPr>
          <w:color w:val="231F20"/>
          <w:spacing w:val="-12"/>
          <w:w w:val="105"/>
          <w:sz w:val="20"/>
        </w:rPr>
        <w:t> </w:t>
      </w:r>
      <w:r>
        <w:rPr>
          <w:color w:val="231F20"/>
          <w:w w:val="105"/>
          <w:sz w:val="20"/>
        </w:rPr>
        <w:t>employee</w:t>
      </w:r>
      <w:r>
        <w:rPr>
          <w:color w:val="231F20"/>
          <w:spacing w:val="-12"/>
          <w:w w:val="105"/>
          <w:sz w:val="20"/>
        </w:rPr>
        <w:t> </w:t>
      </w:r>
      <w:r>
        <w:rPr>
          <w:color w:val="231F20"/>
          <w:w w:val="105"/>
          <w:sz w:val="20"/>
        </w:rPr>
        <w:t>unfamiliar</w:t>
      </w:r>
      <w:r>
        <w:rPr>
          <w:color w:val="231F20"/>
          <w:spacing w:val="-11"/>
          <w:w w:val="105"/>
          <w:sz w:val="20"/>
        </w:rPr>
        <w:t> </w:t>
      </w:r>
      <w:r>
        <w:rPr>
          <w:color w:val="231F20"/>
          <w:w w:val="105"/>
          <w:sz w:val="20"/>
        </w:rPr>
        <w:t>with</w:t>
      </w:r>
      <w:r>
        <w:rPr>
          <w:color w:val="231F20"/>
          <w:spacing w:val="-12"/>
          <w:w w:val="105"/>
          <w:sz w:val="20"/>
        </w:rPr>
        <w:t> </w:t>
      </w:r>
      <w:r>
        <w:rPr>
          <w:color w:val="231F20"/>
          <w:w w:val="105"/>
          <w:sz w:val="20"/>
        </w:rPr>
        <w:t>the</w:t>
      </w:r>
      <w:r>
        <w:rPr>
          <w:color w:val="231F20"/>
          <w:spacing w:val="-11"/>
          <w:w w:val="105"/>
          <w:sz w:val="20"/>
        </w:rPr>
        <w:t> </w:t>
      </w:r>
      <w:r>
        <w:rPr>
          <w:color w:val="231F20"/>
          <w:w w:val="105"/>
          <w:sz w:val="20"/>
        </w:rPr>
        <w:t>specifications.</w:t>
      </w:r>
    </w:p>
    <w:p>
      <w:pPr>
        <w:pStyle w:val="BodyText"/>
        <w:rPr>
          <w:sz w:val="20"/>
        </w:rPr>
      </w:pPr>
    </w:p>
    <w:p>
      <w:pPr>
        <w:pStyle w:val="BodyText"/>
        <w:spacing w:before="7"/>
      </w:pPr>
      <w:r>
        <w:rPr/>
        <w:drawing>
          <wp:anchor distT="0" distB="0" distL="0" distR="0" allowOverlap="1" layoutInCell="1" locked="0" behindDoc="0" simplePos="0" relativeHeight="349">
            <wp:simplePos x="0" y="0"/>
            <wp:positionH relativeFrom="page">
              <wp:posOffset>1104527</wp:posOffset>
            </wp:positionH>
            <wp:positionV relativeFrom="paragraph">
              <wp:posOffset>176364</wp:posOffset>
            </wp:positionV>
            <wp:extent cx="2980742" cy="1969008"/>
            <wp:effectExtent l="0" t="0" r="0" b="0"/>
            <wp:wrapTopAndBottom/>
            <wp:docPr id="121" name="image71.png"/>
            <wp:cNvGraphicFramePr>
              <a:graphicFrameLocks noChangeAspect="1"/>
            </wp:cNvGraphicFramePr>
            <a:graphic>
              <a:graphicData uri="http://schemas.openxmlformats.org/drawingml/2006/picture">
                <pic:pic>
                  <pic:nvPicPr>
                    <pic:cNvPr id="122" name="image71.png"/>
                    <pic:cNvPicPr/>
                  </pic:nvPicPr>
                  <pic:blipFill>
                    <a:blip r:embed="rId106" cstate="print"/>
                    <a:stretch>
                      <a:fillRect/>
                    </a:stretch>
                  </pic:blipFill>
                  <pic:spPr>
                    <a:xfrm>
                      <a:off x="0" y="0"/>
                      <a:ext cx="2980742" cy="1969008"/>
                    </a:xfrm>
                    <a:prstGeom prst="rect">
                      <a:avLst/>
                    </a:prstGeom>
                  </pic:spPr>
                </pic:pic>
              </a:graphicData>
            </a:graphic>
          </wp:anchor>
        </w:drawing>
      </w:r>
    </w:p>
    <w:p>
      <w:pPr>
        <w:pStyle w:val="BodyText"/>
        <w:spacing w:before="3"/>
        <w:rPr>
          <w:sz w:val="10"/>
        </w:rPr>
      </w:pPr>
    </w:p>
    <w:p>
      <w:pPr>
        <w:spacing w:line="244" w:lineRule="auto" w:before="99"/>
        <w:ind w:left="830" w:right="756" w:firstLine="0"/>
        <w:jc w:val="both"/>
        <w:rPr>
          <w:sz w:val="20"/>
        </w:rPr>
      </w:pPr>
      <w:r>
        <w:rPr>
          <w:color w:val="231F20"/>
          <w:sz w:val="20"/>
        </w:rPr>
        <w:t>The rise in R may signal that a machine may be deteriorating, a </w:t>
      </w:r>
      <w:r>
        <w:rPr>
          <w:color w:val="231F20"/>
          <w:sz w:val="20"/>
        </w:rPr>
        <w:t>machine control may be vibrating and slipping out of specification, or a worker could be getting tired.</w:t>
      </w:r>
    </w:p>
    <w:p>
      <w:pPr>
        <w:spacing w:line="292" w:lineRule="auto" w:before="193"/>
        <w:ind w:left="830" w:right="755" w:firstLine="0"/>
        <w:jc w:val="both"/>
        <w:rPr>
          <w:i/>
          <w:sz w:val="21"/>
        </w:rPr>
      </w:pPr>
      <w:r>
        <w:rPr>
          <w:color w:val="231F20"/>
          <w:w w:val="105"/>
          <w:sz w:val="21"/>
        </w:rPr>
        <w:t>MBA</w:t>
      </w:r>
      <w:r>
        <w:rPr>
          <w:color w:val="231F20"/>
          <w:w w:val="105"/>
          <w:sz w:val="21"/>
        </w:rPr>
        <w:t> topic.</w:t>
      </w:r>
      <w:r>
        <w:rPr>
          <w:color w:val="231F20"/>
          <w:w w:val="105"/>
          <w:sz w:val="21"/>
        </w:rPr>
        <w:t> Some</w:t>
      </w:r>
      <w:r>
        <w:rPr>
          <w:color w:val="231F20"/>
          <w:w w:val="105"/>
          <w:sz w:val="21"/>
        </w:rPr>
        <w:t> trendy</w:t>
      </w:r>
      <w:r>
        <w:rPr>
          <w:color w:val="231F20"/>
          <w:w w:val="105"/>
          <w:sz w:val="21"/>
        </w:rPr>
        <w:t> MBAs</w:t>
      </w:r>
      <w:r>
        <w:rPr>
          <w:color w:val="231F20"/>
          <w:w w:val="105"/>
          <w:sz w:val="21"/>
        </w:rPr>
        <w:t> call</w:t>
      </w:r>
      <w:r>
        <w:rPr>
          <w:color w:val="231F20"/>
          <w:w w:val="105"/>
          <w:sz w:val="21"/>
        </w:rPr>
        <w:t> the</w:t>
      </w:r>
      <w:r>
        <w:rPr>
          <w:color w:val="231F20"/>
          <w:w w:val="105"/>
          <w:sz w:val="21"/>
        </w:rPr>
        <w:t> battle</w:t>
      </w:r>
      <w:r>
        <w:rPr>
          <w:color w:val="231F20"/>
          <w:w w:val="105"/>
          <w:sz w:val="21"/>
        </w:rPr>
        <w:t> to</w:t>
      </w:r>
      <w:r>
        <w:rPr>
          <w:color w:val="231F20"/>
          <w:w w:val="105"/>
          <w:sz w:val="21"/>
        </w:rPr>
        <w:t> act</w:t>
      </w:r>
      <w:r>
        <w:rPr>
          <w:color w:val="231F20"/>
          <w:w w:val="105"/>
          <w:sz w:val="21"/>
        </w:rPr>
        <w:t> faster</w:t>
      </w:r>
      <w:r>
        <w:rPr>
          <w:color w:val="231F20"/>
          <w:w w:val="105"/>
          <w:sz w:val="21"/>
        </w:rPr>
        <w:t> </w:t>
      </w:r>
      <w:r>
        <w:rPr>
          <w:i/>
          <w:color w:val="231F20"/>
          <w:w w:val="105"/>
          <w:sz w:val="21"/>
        </w:rPr>
        <w:t>time-</w:t>
      </w:r>
      <w:r>
        <w:rPr>
          <w:i/>
          <w:color w:val="231F20"/>
          <w:w w:val="105"/>
          <w:sz w:val="21"/>
        </w:rPr>
        <w:t> based competition.</w:t>
      </w:r>
    </w:p>
    <w:p>
      <w:pPr>
        <w:spacing w:after="0" w:line="292" w:lineRule="auto"/>
        <w:jc w:val="both"/>
        <w:rPr>
          <w:sz w:val="21"/>
        </w:rPr>
        <w:sectPr>
          <w:pgSz w:w="8640" w:h="12960"/>
          <w:pgMar w:header="732" w:footer="0" w:top="920" w:bottom="280" w:left="340" w:right="500"/>
        </w:sectPr>
      </w:pPr>
    </w:p>
    <w:p>
      <w:pPr>
        <w:pStyle w:val="BodyText"/>
        <w:spacing w:before="8"/>
        <w:rPr>
          <w:i/>
          <w:sz w:val="17"/>
        </w:rPr>
      </w:pPr>
    </w:p>
    <w:p>
      <w:pPr>
        <w:pStyle w:val="Heading6"/>
        <w:spacing w:before="99"/>
        <w:rPr>
          <w:i/>
        </w:rPr>
      </w:pPr>
      <w:r>
        <w:rPr>
          <w:i/>
          <w:color w:val="231F20"/>
          <w:w w:val="110"/>
        </w:rPr>
        <w:t>NEW</w:t>
      </w:r>
      <w:r>
        <w:rPr>
          <w:i/>
          <w:color w:val="231F20"/>
          <w:spacing w:val="77"/>
          <w:w w:val="110"/>
        </w:rPr>
        <w:t> </w:t>
      </w:r>
      <w:r>
        <w:rPr>
          <w:i/>
          <w:color w:val="231F20"/>
          <w:w w:val="110"/>
        </w:rPr>
        <w:t>TECHNOLOGY</w:t>
      </w:r>
      <w:r>
        <w:rPr>
          <w:i/>
          <w:color w:val="231F20"/>
          <w:spacing w:val="78"/>
          <w:w w:val="110"/>
        </w:rPr>
        <w:t> </w:t>
      </w:r>
      <w:r>
        <w:rPr>
          <w:i/>
          <w:color w:val="231F20"/>
          <w:w w:val="110"/>
        </w:rPr>
        <w:t>AND</w:t>
      </w:r>
      <w:r>
        <w:rPr>
          <w:i/>
          <w:color w:val="231F20"/>
          <w:spacing w:val="78"/>
          <w:w w:val="110"/>
        </w:rPr>
        <w:t> </w:t>
      </w:r>
      <w:r>
        <w:rPr>
          <w:i/>
          <w:color w:val="231F20"/>
          <w:spacing w:val="-2"/>
          <w:w w:val="110"/>
        </w:rPr>
        <w:t>INTEGRATION</w:t>
      </w:r>
    </w:p>
    <w:p>
      <w:pPr>
        <w:pStyle w:val="BodyText"/>
        <w:spacing w:before="2"/>
        <w:rPr>
          <w:b/>
          <w:i/>
          <w:sz w:val="30"/>
        </w:rPr>
      </w:pPr>
    </w:p>
    <w:p>
      <w:pPr>
        <w:pStyle w:val="BodyText"/>
        <w:spacing w:line="292" w:lineRule="auto"/>
        <w:ind w:left="920" w:right="666"/>
        <w:jc w:val="both"/>
      </w:pPr>
      <w:r>
        <w:rPr>
          <w:color w:val="231F20"/>
        </w:rPr>
        <w:t>New technology in and of itself is not necessarily a good thing unless it can be used effectively. General Motors spent billions of dollars </w:t>
      </w:r>
      <w:r>
        <w:rPr>
          <w:color w:val="231F20"/>
        </w:rPr>
        <w:t>in the 1980s for robotics to automate its assembly lines. With this lav- ish spending, GM hoped to achieve both higher quality and lower costs. However, GM lacked the technical expertise to integrate the new technology effectively into its operations.</w:t>
      </w:r>
    </w:p>
    <w:p>
      <w:pPr>
        <w:pStyle w:val="BodyText"/>
        <w:spacing w:line="292" w:lineRule="auto"/>
        <w:ind w:left="919" w:right="663" w:firstLine="340"/>
        <w:jc w:val="both"/>
      </w:pPr>
      <w:r>
        <w:rPr>
          <w:color w:val="231F20"/>
        </w:rPr>
        <w:t>Using traditional low-tech tooling and American workers, Japanese</w:t>
      </w:r>
      <w:r>
        <w:rPr>
          <w:color w:val="231F20"/>
          <w:spacing w:val="40"/>
        </w:rPr>
        <w:t> </w:t>
      </w:r>
      <w:r>
        <w:rPr>
          <w:color w:val="231F20"/>
        </w:rPr>
        <w:t>auto</w:t>
      </w:r>
      <w:r>
        <w:rPr>
          <w:color w:val="231F20"/>
          <w:spacing w:val="40"/>
        </w:rPr>
        <w:t> </w:t>
      </w:r>
      <w:r>
        <w:rPr>
          <w:color w:val="231F20"/>
        </w:rPr>
        <w:t>companies</w:t>
      </w:r>
      <w:r>
        <w:rPr>
          <w:color w:val="231F20"/>
          <w:spacing w:val="40"/>
        </w:rPr>
        <w:t> </w:t>
      </w:r>
      <w:r>
        <w:rPr>
          <w:color w:val="231F20"/>
        </w:rPr>
        <w:t>have</w:t>
      </w:r>
      <w:r>
        <w:rPr>
          <w:color w:val="231F20"/>
          <w:spacing w:val="40"/>
        </w:rPr>
        <w:t> </w:t>
      </w:r>
      <w:r>
        <w:rPr>
          <w:color w:val="231F20"/>
        </w:rPr>
        <w:t>met</w:t>
      </w:r>
      <w:r>
        <w:rPr>
          <w:color w:val="231F20"/>
          <w:spacing w:val="40"/>
        </w:rPr>
        <w:t> </w:t>
      </w:r>
      <w:r>
        <w:rPr>
          <w:color w:val="231F20"/>
        </w:rPr>
        <w:t>high</w:t>
      </w:r>
      <w:r>
        <w:rPr>
          <w:color w:val="231F20"/>
          <w:spacing w:val="40"/>
        </w:rPr>
        <w:t> </w:t>
      </w:r>
      <w:r>
        <w:rPr>
          <w:color w:val="231F20"/>
        </w:rPr>
        <w:t>productivity</w:t>
      </w:r>
      <w:r>
        <w:rPr>
          <w:color w:val="231F20"/>
          <w:spacing w:val="40"/>
        </w:rPr>
        <w:t> </w:t>
      </w:r>
      <w:r>
        <w:rPr>
          <w:color w:val="231F20"/>
        </w:rPr>
        <w:t>and</w:t>
      </w:r>
      <w:r>
        <w:rPr>
          <w:color w:val="231F20"/>
          <w:spacing w:val="40"/>
        </w:rPr>
        <w:t> </w:t>
      </w:r>
      <w:r>
        <w:rPr>
          <w:color w:val="231F20"/>
        </w:rPr>
        <w:t>qual-</w:t>
      </w:r>
      <w:r>
        <w:rPr>
          <w:color w:val="231F20"/>
          <w:spacing w:val="80"/>
        </w:rPr>
        <w:t> </w:t>
      </w:r>
      <w:r>
        <w:rPr>
          <w:color w:val="231F20"/>
        </w:rPr>
        <w:t>ity standards in their U.S. assembly plants, to the chagrin of Detroit.</w:t>
      </w:r>
      <w:r>
        <w:rPr>
          <w:color w:val="231F20"/>
          <w:spacing w:val="40"/>
        </w:rPr>
        <w:t> </w:t>
      </w:r>
      <w:r>
        <w:rPr>
          <w:color w:val="231F20"/>
        </w:rPr>
        <w:t>In Honda’s case, the use of flexible work rules, production work teams, and participative management has resulted in the produc- tivity and quality gains that Detroit expected from its high-tech </w:t>
      </w:r>
      <w:r>
        <w:rPr>
          <w:color w:val="231F20"/>
          <w:spacing w:val="-2"/>
        </w:rPr>
        <w:t>investments.</w:t>
      </w:r>
    </w:p>
    <w:p>
      <w:pPr>
        <w:pStyle w:val="BodyText"/>
        <w:spacing w:line="292" w:lineRule="auto"/>
        <w:ind w:left="919" w:right="663" w:firstLine="340"/>
        <w:jc w:val="both"/>
      </w:pPr>
      <w:r>
        <w:rPr>
          <w:i/>
          <w:color w:val="231F20"/>
        </w:rPr>
        <w:t>Mass customization </w:t>
      </w:r>
      <w:r>
        <w:rPr>
          <w:color w:val="231F20"/>
        </w:rPr>
        <w:t>was a new concept promoted in 1992 by the Strategic</w:t>
      </w:r>
      <w:r>
        <w:rPr>
          <w:color w:val="231F20"/>
          <w:spacing w:val="30"/>
        </w:rPr>
        <w:t> </w:t>
      </w:r>
      <w:r>
        <w:rPr>
          <w:color w:val="231F20"/>
        </w:rPr>
        <w:t>Horizons</w:t>
      </w:r>
      <w:r>
        <w:rPr>
          <w:color w:val="231F20"/>
          <w:spacing w:val="30"/>
        </w:rPr>
        <w:t> </w:t>
      </w:r>
      <w:r>
        <w:rPr>
          <w:color w:val="231F20"/>
        </w:rPr>
        <w:t>group.</w:t>
      </w:r>
      <w:r>
        <w:rPr>
          <w:color w:val="231F20"/>
          <w:spacing w:val="30"/>
        </w:rPr>
        <w:t> </w:t>
      </w:r>
      <w:r>
        <w:rPr>
          <w:color w:val="231F20"/>
        </w:rPr>
        <w:t>Mass</w:t>
      </w:r>
      <w:r>
        <w:rPr>
          <w:color w:val="231F20"/>
          <w:spacing w:val="30"/>
        </w:rPr>
        <w:t> </w:t>
      </w:r>
      <w:r>
        <w:rPr>
          <w:color w:val="231F20"/>
        </w:rPr>
        <w:t>customization</w:t>
      </w:r>
      <w:r>
        <w:rPr>
          <w:color w:val="231F20"/>
          <w:spacing w:val="30"/>
        </w:rPr>
        <w:t> </w:t>
      </w:r>
      <w:r>
        <w:rPr>
          <w:color w:val="231F20"/>
        </w:rPr>
        <w:t>is</w:t>
      </w:r>
      <w:r>
        <w:rPr>
          <w:color w:val="231F20"/>
          <w:spacing w:val="30"/>
        </w:rPr>
        <w:t> </w:t>
      </w:r>
      <w:r>
        <w:rPr>
          <w:color w:val="231F20"/>
        </w:rPr>
        <w:t>based</w:t>
      </w:r>
      <w:r>
        <w:rPr>
          <w:color w:val="231F20"/>
          <w:spacing w:val="30"/>
        </w:rPr>
        <w:t> </w:t>
      </w:r>
      <w:r>
        <w:rPr>
          <w:color w:val="231F20"/>
        </w:rPr>
        <w:t>on</w:t>
      </w:r>
      <w:r>
        <w:rPr>
          <w:color w:val="231F20"/>
          <w:spacing w:val="30"/>
        </w:rPr>
        <w:t> </w:t>
      </w:r>
      <w:r>
        <w:rPr>
          <w:color w:val="231F20"/>
        </w:rPr>
        <w:t>the</w:t>
      </w:r>
      <w:r>
        <w:rPr>
          <w:color w:val="231F20"/>
          <w:spacing w:val="30"/>
        </w:rPr>
        <w:t> </w:t>
      </w:r>
      <w:r>
        <w:rPr>
          <w:color w:val="231F20"/>
        </w:rPr>
        <w:t>idea of tying computer-based information systems together with new modes of operation such as flexible manufacturing and just-in-time production. Using those linked systems, companies can provide each customer with the attractive, tailor-made benefits of the preindus- trial craft era at the low cost of modern mass production. Products such as customized shoes, magazines, books, and computers can be provided in this manner.</w:t>
      </w:r>
    </w:p>
    <w:p>
      <w:pPr>
        <w:pStyle w:val="BodyText"/>
        <w:rPr>
          <w:sz w:val="24"/>
        </w:rPr>
      </w:pPr>
    </w:p>
    <w:p>
      <w:pPr>
        <w:pStyle w:val="BodyText"/>
        <w:spacing w:before="6"/>
        <w:rPr>
          <w:sz w:val="26"/>
        </w:rPr>
      </w:pPr>
    </w:p>
    <w:p>
      <w:pPr>
        <w:pStyle w:val="Heading6"/>
        <w:rPr>
          <w:i/>
        </w:rPr>
      </w:pPr>
      <w:r>
        <w:rPr>
          <w:i/>
          <w:color w:val="231F20"/>
          <w:w w:val="110"/>
        </w:rPr>
        <w:t>INFORMATION</w:t>
      </w:r>
      <w:r>
        <w:rPr>
          <w:i/>
          <w:color w:val="231F20"/>
          <w:spacing w:val="35"/>
          <w:w w:val="110"/>
        </w:rPr>
        <w:t>  </w:t>
      </w:r>
      <w:r>
        <w:rPr>
          <w:i/>
          <w:color w:val="231F20"/>
          <w:w w:val="110"/>
        </w:rPr>
        <w:t>TECHNOLOGY</w:t>
      </w:r>
      <w:r>
        <w:rPr>
          <w:i/>
          <w:color w:val="231F20"/>
          <w:spacing w:val="35"/>
          <w:w w:val="110"/>
        </w:rPr>
        <w:t>  </w:t>
      </w:r>
      <w:r>
        <w:rPr>
          <w:i/>
          <w:color w:val="231F20"/>
          <w:spacing w:val="6"/>
          <w:w w:val="110"/>
        </w:rPr>
        <w:t>(IT)</w:t>
      </w:r>
    </w:p>
    <w:p>
      <w:pPr>
        <w:pStyle w:val="BodyText"/>
        <w:spacing w:before="2"/>
        <w:rPr>
          <w:b/>
          <w:i/>
          <w:sz w:val="30"/>
        </w:rPr>
      </w:pPr>
    </w:p>
    <w:p>
      <w:pPr>
        <w:pStyle w:val="BodyText"/>
        <w:spacing w:line="292" w:lineRule="auto"/>
        <w:ind w:left="920" w:right="666"/>
        <w:jc w:val="both"/>
      </w:pPr>
      <w:r>
        <w:rPr>
          <w:color w:val="231F20"/>
        </w:rPr>
        <w:t>At many of the Top Ten schools, information technology has </w:t>
      </w:r>
      <w:r>
        <w:rPr>
          <w:color w:val="231F20"/>
        </w:rPr>
        <w:t>been added as a separate course. The topic has gained a life of its own in academic journals, the business press, and on the lecture circuit. As computers have become more powerful, and linked on the Internet, they have become a valuable tool in the gathering and integration of useful information for competitive advantages.</w:t>
      </w:r>
    </w:p>
    <w:p>
      <w:pPr>
        <w:pStyle w:val="BodyText"/>
        <w:spacing w:line="292" w:lineRule="auto"/>
        <w:ind w:left="919" w:right="664" w:firstLine="340"/>
        <w:jc w:val="both"/>
      </w:pPr>
      <w:r>
        <w:rPr>
          <w:color w:val="231F20"/>
        </w:rPr>
        <w:t>Those companies that know the most about their customers’ preferences</w:t>
      </w:r>
      <w:r>
        <w:rPr>
          <w:color w:val="231F20"/>
          <w:spacing w:val="-1"/>
        </w:rPr>
        <w:t> </w:t>
      </w:r>
      <w:r>
        <w:rPr>
          <w:color w:val="231F20"/>
        </w:rPr>
        <w:t>have</w:t>
      </w:r>
      <w:r>
        <w:rPr>
          <w:color w:val="231F20"/>
          <w:spacing w:val="-1"/>
        </w:rPr>
        <w:t> </w:t>
      </w:r>
      <w:r>
        <w:rPr>
          <w:color w:val="231F20"/>
        </w:rPr>
        <w:t>an</w:t>
      </w:r>
      <w:r>
        <w:rPr>
          <w:color w:val="231F20"/>
          <w:spacing w:val="-1"/>
        </w:rPr>
        <w:t> </w:t>
      </w:r>
      <w:r>
        <w:rPr>
          <w:color w:val="231F20"/>
        </w:rPr>
        <w:t>advantage</w:t>
      </w:r>
      <w:r>
        <w:rPr>
          <w:color w:val="231F20"/>
          <w:spacing w:val="-1"/>
        </w:rPr>
        <w:t> </w:t>
      </w:r>
      <w:r>
        <w:rPr>
          <w:color w:val="231F20"/>
        </w:rPr>
        <w:t>over</w:t>
      </w:r>
      <w:r>
        <w:rPr>
          <w:color w:val="231F20"/>
          <w:spacing w:val="-1"/>
        </w:rPr>
        <w:t> </w:t>
      </w:r>
      <w:r>
        <w:rPr>
          <w:color w:val="231F20"/>
        </w:rPr>
        <w:t>their</w:t>
      </w:r>
      <w:r>
        <w:rPr>
          <w:color w:val="231F20"/>
          <w:spacing w:val="-1"/>
        </w:rPr>
        <w:t> </w:t>
      </w:r>
      <w:r>
        <w:rPr>
          <w:color w:val="231F20"/>
        </w:rPr>
        <w:t>competitors.</w:t>
      </w:r>
      <w:r>
        <w:rPr>
          <w:color w:val="231F20"/>
          <w:spacing w:val="-1"/>
        </w:rPr>
        <w:t> </w:t>
      </w:r>
      <w:r>
        <w:rPr>
          <w:color w:val="231F20"/>
        </w:rPr>
        <w:t>Sales</w:t>
      </w:r>
      <w:r>
        <w:rPr>
          <w:color w:val="231F20"/>
          <w:spacing w:val="-1"/>
        </w:rPr>
        <w:t> </w:t>
      </w:r>
      <w:r>
        <w:rPr>
          <w:color w:val="231F20"/>
          <w:spacing w:val="-2"/>
        </w:rPr>
        <w:t>registers</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5"/>
        <w:jc w:val="both"/>
      </w:pPr>
      <w:r>
        <w:rPr>
          <w:color w:val="231F20"/>
        </w:rPr>
        <w:t>linked to large computers can yield daily information on consumer demand and preferences. Department stores, such as Macy’s and</w:t>
      </w:r>
      <w:r>
        <w:rPr>
          <w:color w:val="231F20"/>
          <w:spacing w:val="40"/>
        </w:rPr>
        <w:t> </w:t>
      </w:r>
      <w:r>
        <w:rPr>
          <w:color w:val="231F20"/>
        </w:rPr>
        <w:t>Wal-Mart, can track daily rack movement of their apparel to spot </w:t>
      </w:r>
      <w:r>
        <w:rPr>
          <w:color w:val="231F20"/>
        </w:rPr>
        <w:t>a</w:t>
      </w:r>
      <w:r>
        <w:rPr>
          <w:color w:val="231F20"/>
          <w:spacing w:val="40"/>
        </w:rPr>
        <w:t> </w:t>
      </w:r>
      <w:r>
        <w:rPr>
          <w:color w:val="231F20"/>
        </w:rPr>
        <w:t>hit dress or to cut back on orders for a fashion dud. The supermar- ket checkout scanners serve the same purpose. With limited shelf space, grocers can cull slow-moving items and replace them with more promising ones to maximize every foot of the aisle. Using the information in computer databases, direct mail pitches can be tar- geted to the most likely prospects.</w:t>
      </w:r>
    </w:p>
    <w:p>
      <w:pPr>
        <w:pStyle w:val="BodyText"/>
        <w:spacing w:line="292" w:lineRule="auto"/>
        <w:ind w:left="829" w:right="753" w:firstLine="340"/>
        <w:jc w:val="both"/>
      </w:pPr>
      <w:r>
        <w:rPr>
          <w:i/>
          <w:color w:val="231F20"/>
        </w:rPr>
        <w:t>Customer relationship management </w:t>
      </w:r>
      <w:r>
        <w:rPr>
          <w:color w:val="231F20"/>
        </w:rPr>
        <w:t>(CRM) is the current hot</w:t>
      </w:r>
      <w:r>
        <w:rPr>
          <w:color w:val="231F20"/>
          <w:spacing w:val="80"/>
        </w:rPr>
        <w:t> </w:t>
      </w:r>
      <w:r>
        <w:rPr>
          <w:color w:val="231F20"/>
        </w:rPr>
        <w:t>topic in business automation. Complicated and expensive to imple- ment, it is therefore fertile ground for MBA consultants. In theory it could automate every aspect of a company’s relationship with its customers from customer data acquisition to customer retention.</w:t>
      </w:r>
      <w:r>
        <w:rPr>
          <w:color w:val="231F20"/>
          <w:spacing w:val="40"/>
        </w:rPr>
        <w:t> </w:t>
      </w:r>
      <w:r>
        <w:rPr>
          <w:color w:val="231F20"/>
        </w:rPr>
        <w:t>The contact with the customer can be in person, via e-mail, on the Web, or on the phone. Technological applications range from </w:t>
      </w:r>
      <w:r>
        <w:rPr>
          <w:color w:val="231F20"/>
        </w:rPr>
        <w:t>front- line customer data collection to providing customers and potential customers more accurate real-time data to answer their questions. Automated operators, called interactive voice response (IVR), can provide information or better route calls to the most competent ser- vice provider. Within the corporation, a well-constructed database can identify opportunities for product development and additional markets for current products. The information that could poten-</w:t>
      </w:r>
      <w:r>
        <w:rPr>
          <w:color w:val="231F20"/>
          <w:spacing w:val="40"/>
        </w:rPr>
        <w:t> </w:t>
      </w:r>
      <w:r>
        <w:rPr>
          <w:color w:val="231F20"/>
        </w:rPr>
        <w:t>tially be part of a CRM system encompasses all parts of the organi- zation, such as accounting, production, marketing, and finance. Technological barriers often keep these functions from interaction, making for an expensive and difficult implementation. Security of each function’s data is critical.</w:t>
      </w:r>
    </w:p>
    <w:p>
      <w:pPr>
        <w:pStyle w:val="BodyText"/>
        <w:spacing w:line="292" w:lineRule="auto"/>
        <w:ind w:left="830" w:right="756" w:firstLine="340"/>
        <w:jc w:val="both"/>
      </w:pPr>
      <w:r>
        <w:rPr>
          <w:color w:val="231F20"/>
        </w:rPr>
        <w:t>As the scope of a CRM implementation can be so </w:t>
      </w:r>
      <w:r>
        <w:rPr>
          <w:color w:val="231F20"/>
        </w:rPr>
        <w:t>comprehen-</w:t>
      </w:r>
      <w:r>
        <w:rPr>
          <w:color w:val="231F20"/>
          <w:spacing w:val="40"/>
        </w:rPr>
        <w:t> </w:t>
      </w:r>
      <w:r>
        <w:rPr>
          <w:color w:val="231F20"/>
        </w:rPr>
        <w:t>sive, corporations must create a CRM strategy and then select the initial CRM application that delivers the greatest return on initial CRM investment.</w:t>
      </w:r>
    </w:p>
    <w:p>
      <w:pPr>
        <w:pStyle w:val="BodyText"/>
        <w:spacing w:line="245" w:lineRule="exact"/>
        <w:ind w:left="1169"/>
        <w:jc w:val="both"/>
      </w:pPr>
      <w:r>
        <w:rPr>
          <w:color w:val="231F20"/>
          <w:w w:val="105"/>
        </w:rPr>
        <w:t>The</w:t>
      </w:r>
      <w:r>
        <w:rPr>
          <w:color w:val="231F20"/>
          <w:spacing w:val="-9"/>
          <w:w w:val="105"/>
        </w:rPr>
        <w:t> </w:t>
      </w:r>
      <w:r>
        <w:rPr>
          <w:color w:val="231F20"/>
          <w:w w:val="105"/>
        </w:rPr>
        <w:t>CRM</w:t>
      </w:r>
      <w:r>
        <w:rPr>
          <w:color w:val="231F20"/>
          <w:spacing w:val="-9"/>
          <w:w w:val="105"/>
        </w:rPr>
        <w:t> </w:t>
      </w:r>
      <w:r>
        <w:rPr>
          <w:color w:val="231F20"/>
          <w:w w:val="105"/>
        </w:rPr>
        <w:t>cycle</w:t>
      </w:r>
      <w:r>
        <w:rPr>
          <w:color w:val="231F20"/>
          <w:spacing w:val="-9"/>
          <w:w w:val="105"/>
        </w:rPr>
        <w:t> </w:t>
      </w:r>
      <w:r>
        <w:rPr>
          <w:color w:val="231F20"/>
          <w:w w:val="105"/>
        </w:rPr>
        <w:t>encompasses</w:t>
      </w:r>
      <w:r>
        <w:rPr>
          <w:color w:val="231F20"/>
          <w:spacing w:val="-8"/>
          <w:w w:val="105"/>
        </w:rPr>
        <w:t> </w:t>
      </w:r>
      <w:r>
        <w:rPr>
          <w:color w:val="231F20"/>
          <w:w w:val="105"/>
        </w:rPr>
        <w:t>five</w:t>
      </w:r>
      <w:r>
        <w:rPr>
          <w:color w:val="231F20"/>
          <w:spacing w:val="-9"/>
          <w:w w:val="105"/>
        </w:rPr>
        <w:t> </w:t>
      </w:r>
      <w:r>
        <w:rPr>
          <w:color w:val="231F20"/>
          <w:spacing w:val="-2"/>
          <w:w w:val="105"/>
        </w:rPr>
        <w:t>functions:</w:t>
      </w:r>
    </w:p>
    <w:p>
      <w:pPr>
        <w:pStyle w:val="BodyText"/>
        <w:spacing w:before="1"/>
        <w:rPr>
          <w:sz w:val="31"/>
        </w:rPr>
      </w:pPr>
    </w:p>
    <w:p>
      <w:pPr>
        <w:spacing w:before="0"/>
        <w:ind w:left="1170" w:right="0" w:firstLine="0"/>
        <w:jc w:val="both"/>
        <w:rPr>
          <w:rFonts w:ascii="Arial" w:hAnsi="Arial"/>
          <w:sz w:val="19"/>
        </w:rPr>
      </w:pPr>
      <w:r>
        <w:rPr>
          <w:rFonts w:ascii="Arial" w:hAnsi="Arial"/>
          <w:color w:val="231F20"/>
          <w:w w:val="110"/>
          <w:sz w:val="19"/>
        </w:rPr>
        <w:t>Product</w:t>
      </w:r>
      <w:r>
        <w:rPr>
          <w:rFonts w:ascii="Arial" w:hAnsi="Arial"/>
          <w:color w:val="231F20"/>
          <w:spacing w:val="17"/>
          <w:w w:val="110"/>
          <w:sz w:val="19"/>
        </w:rPr>
        <w:t> </w:t>
      </w:r>
      <w:r>
        <w:rPr>
          <w:rFonts w:ascii="Arial" w:hAnsi="Arial"/>
          <w:color w:val="231F20"/>
          <w:w w:val="110"/>
          <w:sz w:val="19"/>
        </w:rPr>
        <w:t>Development—</w:t>
      </w:r>
      <w:r>
        <w:rPr>
          <w:rFonts w:ascii="Arial" w:hAnsi="Arial"/>
          <w:color w:val="231F20"/>
          <w:spacing w:val="-34"/>
          <w:w w:val="110"/>
          <w:sz w:val="19"/>
        </w:rPr>
        <w:t> </w:t>
      </w:r>
      <w:r>
        <w:rPr>
          <w:rFonts w:ascii="Arial" w:hAnsi="Arial"/>
          <w:color w:val="231F20"/>
          <w:w w:val="110"/>
          <w:sz w:val="19"/>
        </w:rPr>
        <w:t>Research,</w:t>
      </w:r>
      <w:r>
        <w:rPr>
          <w:rFonts w:ascii="Arial" w:hAnsi="Arial"/>
          <w:color w:val="231F20"/>
          <w:spacing w:val="18"/>
          <w:w w:val="110"/>
          <w:sz w:val="19"/>
        </w:rPr>
        <w:t> </w:t>
      </w:r>
      <w:r>
        <w:rPr>
          <w:rFonts w:ascii="Arial" w:hAnsi="Arial"/>
          <w:color w:val="231F20"/>
          <w:w w:val="110"/>
          <w:sz w:val="19"/>
        </w:rPr>
        <w:t>concept</w:t>
      </w:r>
      <w:r>
        <w:rPr>
          <w:rFonts w:ascii="Arial" w:hAnsi="Arial"/>
          <w:color w:val="231F20"/>
          <w:spacing w:val="17"/>
          <w:w w:val="110"/>
          <w:sz w:val="19"/>
        </w:rPr>
        <w:t> </w:t>
      </w:r>
      <w:r>
        <w:rPr>
          <w:rFonts w:ascii="Arial" w:hAnsi="Arial"/>
          <w:color w:val="231F20"/>
          <w:spacing w:val="-2"/>
          <w:w w:val="110"/>
          <w:sz w:val="19"/>
        </w:rPr>
        <w:t>development</w:t>
      </w:r>
    </w:p>
    <w:p>
      <w:pPr>
        <w:spacing w:after="0"/>
        <w:jc w:val="both"/>
        <w:rPr>
          <w:rFonts w:ascii="Arial" w:hAnsi="Arial"/>
          <w:sz w:val="19"/>
        </w:rPr>
        <w:sectPr>
          <w:pgSz w:w="8640" w:h="12960"/>
          <w:pgMar w:header="732" w:footer="0" w:top="920" w:bottom="280" w:left="340" w:right="500"/>
        </w:sectPr>
      </w:pPr>
    </w:p>
    <w:p>
      <w:pPr>
        <w:pStyle w:val="BodyText"/>
        <w:spacing w:before="6"/>
        <w:rPr>
          <w:rFonts w:ascii="Arial"/>
          <w:sz w:val="19"/>
        </w:rPr>
      </w:pPr>
    </w:p>
    <w:p>
      <w:pPr>
        <w:spacing w:line="328" w:lineRule="auto" w:before="97"/>
        <w:ind w:left="1600" w:right="667" w:hanging="340"/>
        <w:jc w:val="left"/>
        <w:rPr>
          <w:rFonts w:ascii="Arial" w:hAnsi="Arial"/>
          <w:sz w:val="19"/>
        </w:rPr>
      </w:pPr>
      <w:r>
        <w:rPr>
          <w:rFonts w:ascii="Arial" w:hAnsi="Arial"/>
          <w:color w:val="231F20"/>
          <w:w w:val="110"/>
          <w:sz w:val="19"/>
        </w:rPr>
        <w:t>Sales—</w:t>
      </w:r>
      <w:r>
        <w:rPr>
          <w:rFonts w:ascii="Arial" w:hAnsi="Arial"/>
          <w:color w:val="231F20"/>
          <w:spacing w:val="-39"/>
          <w:w w:val="110"/>
          <w:sz w:val="19"/>
        </w:rPr>
        <w:t> </w:t>
      </w:r>
      <w:r>
        <w:rPr>
          <w:rFonts w:ascii="Arial" w:hAnsi="Arial"/>
          <w:color w:val="231F20"/>
          <w:w w:val="110"/>
          <w:sz w:val="19"/>
        </w:rPr>
        <w:t>Ordering, cross-selling, leads, forecasting, bidding </w:t>
      </w:r>
      <w:r>
        <w:rPr>
          <w:rFonts w:ascii="Arial" w:hAnsi="Arial"/>
          <w:color w:val="231F20"/>
          <w:w w:val="110"/>
          <w:sz w:val="19"/>
        </w:rPr>
        <w:t>and </w:t>
      </w:r>
      <w:r>
        <w:rPr>
          <w:rFonts w:ascii="Arial" w:hAnsi="Arial"/>
          <w:color w:val="231F20"/>
          <w:spacing w:val="-2"/>
          <w:w w:val="115"/>
          <w:sz w:val="19"/>
        </w:rPr>
        <w:t>quoting</w:t>
      </w:r>
    </w:p>
    <w:p>
      <w:pPr>
        <w:spacing w:line="328" w:lineRule="auto" w:before="2"/>
        <w:ind w:left="1600" w:right="1045" w:hanging="340"/>
        <w:jc w:val="left"/>
        <w:rPr>
          <w:rFonts w:ascii="Arial" w:hAnsi="Arial"/>
          <w:sz w:val="19"/>
        </w:rPr>
      </w:pPr>
      <w:r>
        <w:rPr>
          <w:rFonts w:ascii="Arial" w:hAnsi="Arial"/>
          <w:color w:val="231F20"/>
          <w:w w:val="110"/>
          <w:sz w:val="19"/>
        </w:rPr>
        <w:t>Superior Customer Experience—</w:t>
      </w:r>
      <w:r>
        <w:rPr>
          <w:rFonts w:ascii="Arial" w:hAnsi="Arial"/>
          <w:color w:val="231F20"/>
          <w:spacing w:val="-39"/>
          <w:w w:val="110"/>
          <w:sz w:val="19"/>
        </w:rPr>
        <w:t> </w:t>
      </w:r>
      <w:r>
        <w:rPr>
          <w:rFonts w:ascii="Arial" w:hAnsi="Arial"/>
          <w:color w:val="231F20"/>
          <w:w w:val="110"/>
          <w:sz w:val="19"/>
        </w:rPr>
        <w:t>Personalization, service, queue management</w:t>
      </w:r>
    </w:p>
    <w:p>
      <w:pPr>
        <w:spacing w:line="328" w:lineRule="auto" w:before="1"/>
        <w:ind w:left="1600" w:right="1262" w:hanging="340"/>
        <w:jc w:val="left"/>
        <w:rPr>
          <w:rFonts w:ascii="Arial" w:hAnsi="Arial"/>
          <w:sz w:val="19"/>
        </w:rPr>
      </w:pPr>
      <w:r>
        <w:rPr>
          <w:rFonts w:ascii="Arial" w:hAnsi="Arial"/>
          <w:color w:val="231F20"/>
          <w:w w:val="110"/>
          <w:sz w:val="19"/>
        </w:rPr>
        <w:t>Retention and Win-Back Customers—</w:t>
      </w:r>
      <w:r>
        <w:rPr>
          <w:rFonts w:ascii="Arial" w:hAnsi="Arial"/>
          <w:color w:val="231F20"/>
          <w:spacing w:val="-33"/>
          <w:w w:val="110"/>
          <w:sz w:val="19"/>
        </w:rPr>
        <w:t> </w:t>
      </w:r>
      <w:r>
        <w:rPr>
          <w:rFonts w:ascii="Arial" w:hAnsi="Arial"/>
          <w:color w:val="231F20"/>
          <w:w w:val="110"/>
          <w:sz w:val="19"/>
        </w:rPr>
        <w:t>Loyalty </w:t>
      </w:r>
      <w:r>
        <w:rPr>
          <w:rFonts w:ascii="Arial" w:hAnsi="Arial"/>
          <w:color w:val="231F20"/>
          <w:w w:val="110"/>
          <w:sz w:val="19"/>
        </w:rPr>
        <w:t>programs, </w:t>
      </w:r>
      <w:r>
        <w:rPr>
          <w:rFonts w:ascii="Arial" w:hAnsi="Arial"/>
          <w:color w:val="231F20"/>
          <w:w w:val="115"/>
          <w:sz w:val="19"/>
        </w:rPr>
        <w:t>outbound efforts</w:t>
      </w:r>
    </w:p>
    <w:p>
      <w:pPr>
        <w:spacing w:line="328" w:lineRule="auto" w:before="1"/>
        <w:ind w:left="1599" w:right="667" w:hanging="340"/>
        <w:jc w:val="left"/>
        <w:rPr>
          <w:rFonts w:ascii="Arial" w:hAnsi="Arial"/>
          <w:sz w:val="19"/>
        </w:rPr>
      </w:pPr>
      <w:r>
        <w:rPr>
          <w:rFonts w:ascii="Arial" w:hAnsi="Arial"/>
          <w:color w:val="231F20"/>
          <w:w w:val="110"/>
          <w:sz w:val="19"/>
        </w:rPr>
        <w:t>Targeting and Marketing—</w:t>
      </w:r>
      <w:r>
        <w:rPr>
          <w:rFonts w:ascii="Arial" w:hAnsi="Arial"/>
          <w:color w:val="231F20"/>
          <w:spacing w:val="-32"/>
          <w:w w:val="110"/>
          <w:sz w:val="19"/>
        </w:rPr>
        <w:t> </w:t>
      </w:r>
      <w:r>
        <w:rPr>
          <w:rFonts w:ascii="Arial" w:hAnsi="Arial"/>
          <w:color w:val="231F20"/>
          <w:w w:val="110"/>
          <w:sz w:val="19"/>
        </w:rPr>
        <w:t>Promotions, pricing, segmentation, </w:t>
      </w:r>
      <w:r>
        <w:rPr>
          <w:rFonts w:ascii="Arial" w:hAnsi="Arial"/>
          <w:color w:val="231F20"/>
          <w:w w:val="115"/>
          <w:sz w:val="19"/>
        </w:rPr>
        <w:t>behavior modeling, customer scoring, analytics</w:t>
      </w:r>
    </w:p>
    <w:p>
      <w:pPr>
        <w:pStyle w:val="BodyText"/>
        <w:spacing w:before="4"/>
        <w:rPr>
          <w:rFonts w:ascii="Arial"/>
          <w:sz w:val="24"/>
        </w:rPr>
      </w:pPr>
    </w:p>
    <w:p>
      <w:pPr>
        <w:pStyle w:val="BodyText"/>
        <w:spacing w:line="292" w:lineRule="auto"/>
        <w:ind w:left="920" w:right="663" w:firstLine="340"/>
        <w:jc w:val="both"/>
      </w:pPr>
      <w:r>
        <w:rPr>
          <w:color w:val="231F20"/>
        </w:rPr>
        <w:t>According</w:t>
      </w:r>
      <w:r>
        <w:rPr>
          <w:color w:val="231F20"/>
          <w:spacing w:val="40"/>
        </w:rPr>
        <w:t> </w:t>
      </w:r>
      <w:r>
        <w:rPr>
          <w:color w:val="231F20"/>
        </w:rPr>
        <w:t>to</w:t>
      </w:r>
      <w:r>
        <w:rPr>
          <w:color w:val="231F20"/>
          <w:spacing w:val="40"/>
        </w:rPr>
        <w:t> </w:t>
      </w:r>
      <w:r>
        <w:rPr>
          <w:color w:val="231F20"/>
        </w:rPr>
        <w:t>a</w:t>
      </w:r>
      <w:r>
        <w:rPr>
          <w:color w:val="231F20"/>
          <w:spacing w:val="40"/>
        </w:rPr>
        <w:t> </w:t>
      </w:r>
      <w:r>
        <w:rPr>
          <w:color w:val="231F20"/>
        </w:rPr>
        <w:t>Gartner</w:t>
      </w:r>
      <w:r>
        <w:rPr>
          <w:color w:val="231F20"/>
          <w:spacing w:val="40"/>
        </w:rPr>
        <w:t> </w:t>
      </w:r>
      <w:r>
        <w:rPr>
          <w:color w:val="231F20"/>
        </w:rPr>
        <w:t>Group</w:t>
      </w:r>
      <w:r>
        <w:rPr>
          <w:color w:val="231F20"/>
          <w:spacing w:val="40"/>
        </w:rPr>
        <w:t> </w:t>
      </w:r>
      <w:r>
        <w:rPr>
          <w:color w:val="231F20"/>
        </w:rPr>
        <w:t>survey</w:t>
      </w:r>
      <w:r>
        <w:rPr>
          <w:color w:val="231F20"/>
          <w:spacing w:val="40"/>
        </w:rPr>
        <w:t> </w:t>
      </w:r>
      <w:r>
        <w:rPr>
          <w:color w:val="231F20"/>
        </w:rPr>
        <w:t>in</w:t>
      </w:r>
      <w:r>
        <w:rPr>
          <w:color w:val="231F20"/>
          <w:spacing w:val="40"/>
        </w:rPr>
        <w:t> </w:t>
      </w:r>
      <w:r>
        <w:rPr>
          <w:color w:val="231F20"/>
        </w:rPr>
        <w:t>2003,</w:t>
      </w:r>
      <w:r>
        <w:rPr>
          <w:color w:val="231F20"/>
          <w:spacing w:val="40"/>
        </w:rPr>
        <w:t> </w:t>
      </w:r>
      <w:r>
        <w:rPr>
          <w:color w:val="231F20"/>
        </w:rPr>
        <w:t>55</w:t>
      </w:r>
      <w:r>
        <w:rPr>
          <w:color w:val="231F20"/>
          <w:spacing w:val="40"/>
        </w:rPr>
        <w:t> </w:t>
      </w:r>
      <w:r>
        <w:rPr>
          <w:color w:val="231F20"/>
        </w:rPr>
        <w:t>percent</w:t>
      </w:r>
      <w:r>
        <w:rPr>
          <w:color w:val="231F20"/>
          <w:spacing w:val="40"/>
        </w:rPr>
        <w:t> </w:t>
      </w:r>
      <w:r>
        <w:rPr>
          <w:color w:val="231F20"/>
        </w:rPr>
        <w:t>of CRM projects do not produce results. With annual expenditures </w:t>
      </w:r>
      <w:r>
        <w:rPr>
          <w:color w:val="231F20"/>
        </w:rPr>
        <w:t>for CRM</w:t>
      </w:r>
      <w:r>
        <w:rPr>
          <w:color w:val="231F20"/>
          <w:spacing w:val="40"/>
        </w:rPr>
        <w:t> </w:t>
      </w:r>
      <w:r>
        <w:rPr>
          <w:color w:val="231F20"/>
        </w:rPr>
        <w:t>approaching</w:t>
      </w:r>
      <w:r>
        <w:rPr>
          <w:color w:val="231F20"/>
          <w:spacing w:val="40"/>
        </w:rPr>
        <w:t> </w:t>
      </w:r>
      <w:r>
        <w:rPr>
          <w:color w:val="231F20"/>
        </w:rPr>
        <w:t>$100</w:t>
      </w:r>
      <w:r>
        <w:rPr>
          <w:color w:val="231F20"/>
          <w:spacing w:val="40"/>
        </w:rPr>
        <w:t> </w:t>
      </w:r>
      <w:r>
        <w:rPr>
          <w:color w:val="231F20"/>
        </w:rPr>
        <w:t>billion,</w:t>
      </w:r>
      <w:r>
        <w:rPr>
          <w:color w:val="231F20"/>
          <w:spacing w:val="40"/>
        </w:rPr>
        <w:t> </w:t>
      </w:r>
      <w:r>
        <w:rPr>
          <w:color w:val="231F20"/>
        </w:rPr>
        <w:t>it</w:t>
      </w:r>
      <w:r>
        <w:rPr>
          <w:color w:val="231F20"/>
          <w:spacing w:val="40"/>
        </w:rPr>
        <w:t> </w:t>
      </w:r>
      <w:r>
        <w:rPr>
          <w:color w:val="231F20"/>
        </w:rPr>
        <w:t>is</w:t>
      </w:r>
      <w:r>
        <w:rPr>
          <w:color w:val="231F20"/>
          <w:spacing w:val="40"/>
        </w:rPr>
        <w:t> </w:t>
      </w:r>
      <w:r>
        <w:rPr>
          <w:color w:val="231F20"/>
        </w:rPr>
        <w:t>important</w:t>
      </w:r>
      <w:r>
        <w:rPr>
          <w:color w:val="231F20"/>
          <w:spacing w:val="40"/>
        </w:rPr>
        <w:t> </w:t>
      </w:r>
      <w:r>
        <w:rPr>
          <w:color w:val="231F20"/>
        </w:rPr>
        <w:t>to</w:t>
      </w:r>
      <w:r>
        <w:rPr>
          <w:color w:val="231F20"/>
          <w:spacing w:val="40"/>
        </w:rPr>
        <w:t> </w:t>
      </w:r>
      <w:r>
        <w:rPr>
          <w:color w:val="231F20"/>
        </w:rPr>
        <w:t>avoid</w:t>
      </w:r>
      <w:r>
        <w:rPr>
          <w:color w:val="231F20"/>
          <w:spacing w:val="40"/>
        </w:rPr>
        <w:t> </w:t>
      </w:r>
      <w:r>
        <w:rPr>
          <w:color w:val="231F20"/>
        </w:rPr>
        <w:t>the</w:t>
      </w:r>
      <w:r>
        <w:rPr>
          <w:color w:val="231F20"/>
          <w:spacing w:val="40"/>
        </w:rPr>
        <w:t> </w:t>
      </w:r>
      <w:r>
        <w:rPr>
          <w:color w:val="231F20"/>
        </w:rPr>
        <w:t>com- mon missteps: focusing solely on the technology, losing sight of the customer, lack of management support, inflexible business</w:t>
      </w:r>
      <w:r>
        <w:rPr>
          <w:color w:val="231F20"/>
          <w:spacing w:val="80"/>
        </w:rPr>
        <w:t> </w:t>
      </w:r>
      <w:r>
        <w:rPr>
          <w:color w:val="231F20"/>
        </w:rPr>
        <w:t>processes, underestimating change management, and undervaluing CRM’s benefits.</w:t>
      </w:r>
    </w:p>
    <w:p>
      <w:pPr>
        <w:pStyle w:val="BodyText"/>
        <w:spacing w:line="292" w:lineRule="auto"/>
        <w:ind w:left="920" w:right="666" w:firstLine="340"/>
        <w:jc w:val="both"/>
      </w:pPr>
      <w:r>
        <w:rPr>
          <w:color w:val="231F20"/>
        </w:rPr>
        <w:t>MBA students are taught a lot of computer jargon so that </w:t>
      </w:r>
      <w:r>
        <w:rPr>
          <w:color w:val="231F20"/>
        </w:rPr>
        <w:t>they</w:t>
      </w:r>
      <w:r>
        <w:rPr>
          <w:color w:val="231F20"/>
          <w:spacing w:val="80"/>
        </w:rPr>
        <w:t> </w:t>
      </w:r>
      <w:r>
        <w:rPr>
          <w:color w:val="231F20"/>
        </w:rPr>
        <w:t>can be conversant in technospeak. MBAs hate to be outjargoned. Here’s a small lexicon sampling.</w:t>
      </w:r>
    </w:p>
    <w:p>
      <w:pPr>
        <w:pStyle w:val="BodyText"/>
        <w:spacing w:before="1"/>
        <w:rPr>
          <w:sz w:val="27"/>
        </w:rPr>
      </w:pPr>
    </w:p>
    <w:p>
      <w:pPr>
        <w:spacing w:before="1"/>
        <w:ind w:left="1260" w:right="0" w:firstLine="0"/>
        <w:jc w:val="left"/>
        <w:rPr>
          <w:rFonts w:ascii="Arial" w:hAnsi="Arial"/>
          <w:sz w:val="19"/>
        </w:rPr>
      </w:pPr>
      <w:r>
        <w:rPr>
          <w:rFonts w:ascii="Arial" w:hAnsi="Arial"/>
          <w:i/>
          <w:color w:val="231F20"/>
          <w:w w:val="110"/>
          <w:sz w:val="19"/>
        </w:rPr>
        <w:t>EDI</w:t>
      </w:r>
      <w:r>
        <w:rPr>
          <w:rFonts w:ascii="Arial" w:hAnsi="Arial"/>
          <w:i/>
          <w:color w:val="231F20"/>
          <w:spacing w:val="-40"/>
          <w:w w:val="110"/>
          <w:sz w:val="19"/>
        </w:rPr>
        <w:t> </w:t>
      </w:r>
      <w:r>
        <w:rPr>
          <w:rFonts w:ascii="Arial" w:hAnsi="Arial"/>
          <w:color w:val="231F20"/>
          <w:w w:val="110"/>
          <w:sz w:val="19"/>
        </w:rPr>
        <w:t>—</w:t>
      </w:r>
      <w:r>
        <w:rPr>
          <w:rFonts w:ascii="Arial" w:hAnsi="Arial"/>
          <w:color w:val="231F20"/>
          <w:spacing w:val="-39"/>
          <w:w w:val="110"/>
          <w:sz w:val="19"/>
        </w:rPr>
        <w:t> </w:t>
      </w:r>
      <w:r>
        <w:rPr>
          <w:rFonts w:ascii="Arial" w:hAnsi="Arial"/>
          <w:color w:val="231F20"/>
          <w:w w:val="110"/>
          <w:sz w:val="19"/>
        </w:rPr>
        <w:t>Electronic</w:t>
      </w:r>
      <w:r>
        <w:rPr>
          <w:rFonts w:ascii="Arial" w:hAnsi="Arial"/>
          <w:color w:val="231F20"/>
          <w:spacing w:val="-12"/>
          <w:w w:val="110"/>
          <w:sz w:val="19"/>
        </w:rPr>
        <w:t> </w:t>
      </w:r>
      <w:r>
        <w:rPr>
          <w:rFonts w:ascii="Arial" w:hAnsi="Arial"/>
          <w:color w:val="231F20"/>
          <w:w w:val="110"/>
          <w:sz w:val="19"/>
        </w:rPr>
        <w:t>data</w:t>
      </w:r>
      <w:r>
        <w:rPr>
          <w:rFonts w:ascii="Arial" w:hAnsi="Arial"/>
          <w:color w:val="231F20"/>
          <w:spacing w:val="-8"/>
          <w:w w:val="110"/>
          <w:sz w:val="19"/>
        </w:rPr>
        <w:t> </w:t>
      </w:r>
      <w:r>
        <w:rPr>
          <w:rFonts w:ascii="Arial" w:hAnsi="Arial"/>
          <w:color w:val="231F20"/>
          <w:spacing w:val="-2"/>
          <w:w w:val="110"/>
          <w:sz w:val="19"/>
        </w:rPr>
        <w:t>interchange</w:t>
      </w:r>
    </w:p>
    <w:p>
      <w:pPr>
        <w:spacing w:line="328" w:lineRule="auto" w:before="81"/>
        <w:ind w:left="1600" w:right="0" w:hanging="340"/>
        <w:jc w:val="left"/>
        <w:rPr>
          <w:rFonts w:ascii="Arial" w:hAnsi="Arial"/>
          <w:sz w:val="19"/>
        </w:rPr>
      </w:pPr>
      <w:r>
        <w:rPr>
          <w:rFonts w:ascii="Arial" w:hAnsi="Arial"/>
          <w:i/>
          <w:color w:val="231F20"/>
          <w:spacing w:val="-2"/>
          <w:w w:val="115"/>
          <w:sz w:val="19"/>
        </w:rPr>
        <w:t>CAD/CAM</w:t>
      </w:r>
      <w:r>
        <w:rPr>
          <w:rFonts w:ascii="Arial" w:hAnsi="Arial"/>
          <w:i/>
          <w:color w:val="231F20"/>
          <w:spacing w:val="-42"/>
          <w:w w:val="115"/>
          <w:sz w:val="19"/>
        </w:rPr>
        <w:t> </w:t>
      </w:r>
      <w:r>
        <w:rPr>
          <w:rFonts w:ascii="Arial" w:hAnsi="Arial"/>
          <w:color w:val="231F20"/>
          <w:spacing w:val="-2"/>
          <w:w w:val="115"/>
          <w:sz w:val="19"/>
        </w:rPr>
        <w:t>—</w:t>
      </w:r>
      <w:r>
        <w:rPr>
          <w:rFonts w:ascii="Arial" w:hAnsi="Arial"/>
          <w:color w:val="231F20"/>
          <w:spacing w:val="-42"/>
          <w:w w:val="115"/>
          <w:sz w:val="19"/>
        </w:rPr>
        <w:t> </w:t>
      </w:r>
      <w:r>
        <w:rPr>
          <w:rFonts w:ascii="Arial" w:hAnsi="Arial"/>
          <w:color w:val="231F20"/>
          <w:spacing w:val="-2"/>
          <w:w w:val="115"/>
          <w:sz w:val="19"/>
        </w:rPr>
        <w:t>Computer-Aided</w:t>
      </w:r>
      <w:r>
        <w:rPr>
          <w:rFonts w:ascii="Arial" w:hAnsi="Arial"/>
          <w:color w:val="231F20"/>
          <w:spacing w:val="-6"/>
          <w:w w:val="115"/>
          <w:sz w:val="19"/>
        </w:rPr>
        <w:t> </w:t>
      </w:r>
      <w:r>
        <w:rPr>
          <w:rFonts w:ascii="Arial" w:hAnsi="Arial"/>
          <w:color w:val="231F20"/>
          <w:spacing w:val="-2"/>
          <w:w w:val="115"/>
          <w:sz w:val="19"/>
        </w:rPr>
        <w:t>Design</w:t>
      </w:r>
      <w:r>
        <w:rPr>
          <w:rFonts w:ascii="Arial" w:hAnsi="Arial"/>
          <w:color w:val="231F20"/>
          <w:spacing w:val="-5"/>
          <w:w w:val="115"/>
          <w:sz w:val="19"/>
        </w:rPr>
        <w:t> </w:t>
      </w:r>
      <w:r>
        <w:rPr>
          <w:rFonts w:ascii="Arial" w:hAnsi="Arial"/>
          <w:color w:val="231F20"/>
          <w:spacing w:val="-2"/>
          <w:w w:val="115"/>
          <w:sz w:val="19"/>
        </w:rPr>
        <w:t>/</w:t>
      </w:r>
      <w:r>
        <w:rPr>
          <w:rFonts w:ascii="Arial" w:hAnsi="Arial"/>
          <w:color w:val="231F20"/>
          <w:spacing w:val="-5"/>
          <w:w w:val="115"/>
          <w:sz w:val="19"/>
        </w:rPr>
        <w:t> </w:t>
      </w:r>
      <w:r>
        <w:rPr>
          <w:rFonts w:ascii="Arial" w:hAnsi="Arial"/>
          <w:color w:val="231F20"/>
          <w:spacing w:val="-2"/>
          <w:w w:val="115"/>
          <w:sz w:val="19"/>
        </w:rPr>
        <w:t>Computer-Aided </w:t>
      </w:r>
      <w:r>
        <w:rPr>
          <w:rFonts w:ascii="Arial" w:hAnsi="Arial"/>
          <w:color w:val="231F20"/>
          <w:spacing w:val="-2"/>
          <w:w w:val="120"/>
          <w:sz w:val="19"/>
        </w:rPr>
        <w:t>Manufacturing</w:t>
      </w:r>
    </w:p>
    <w:p>
      <w:pPr>
        <w:spacing w:line="328" w:lineRule="auto" w:before="2"/>
        <w:ind w:left="1600" w:right="1262" w:hanging="340"/>
        <w:jc w:val="left"/>
        <w:rPr>
          <w:rFonts w:ascii="Arial" w:hAnsi="Arial"/>
          <w:sz w:val="19"/>
        </w:rPr>
      </w:pPr>
      <w:r>
        <w:rPr>
          <w:rFonts w:ascii="Arial" w:hAnsi="Arial"/>
          <w:i/>
          <w:color w:val="231F20"/>
          <w:spacing w:val="-2"/>
          <w:w w:val="115"/>
          <w:sz w:val="19"/>
        </w:rPr>
        <w:t>Online</w:t>
      </w:r>
      <w:r>
        <w:rPr>
          <w:rFonts w:ascii="Arial" w:hAnsi="Arial"/>
          <w:i/>
          <w:color w:val="231F20"/>
          <w:spacing w:val="-14"/>
          <w:w w:val="115"/>
          <w:sz w:val="19"/>
        </w:rPr>
        <w:t> </w:t>
      </w:r>
      <w:r>
        <w:rPr>
          <w:rFonts w:ascii="Arial" w:hAnsi="Arial"/>
          <w:i/>
          <w:color w:val="231F20"/>
          <w:spacing w:val="-2"/>
          <w:w w:val="140"/>
          <w:sz w:val="19"/>
        </w:rPr>
        <w:t>/</w:t>
      </w:r>
      <w:r>
        <w:rPr>
          <w:rFonts w:ascii="Arial" w:hAnsi="Arial"/>
          <w:i/>
          <w:color w:val="231F20"/>
          <w:spacing w:val="-16"/>
          <w:w w:val="140"/>
          <w:sz w:val="19"/>
        </w:rPr>
        <w:t> </w:t>
      </w:r>
      <w:r>
        <w:rPr>
          <w:rFonts w:ascii="Arial" w:hAnsi="Arial"/>
          <w:i/>
          <w:color w:val="231F20"/>
          <w:spacing w:val="-2"/>
          <w:w w:val="115"/>
          <w:sz w:val="19"/>
        </w:rPr>
        <w:t>Real</w:t>
      </w:r>
      <w:r>
        <w:rPr>
          <w:rFonts w:ascii="Arial" w:hAnsi="Arial"/>
          <w:i/>
          <w:color w:val="231F20"/>
          <w:spacing w:val="-13"/>
          <w:w w:val="115"/>
          <w:sz w:val="19"/>
        </w:rPr>
        <w:t> </w:t>
      </w:r>
      <w:r>
        <w:rPr>
          <w:rFonts w:ascii="Arial" w:hAnsi="Arial"/>
          <w:i/>
          <w:color w:val="231F20"/>
          <w:spacing w:val="-2"/>
          <w:w w:val="115"/>
          <w:sz w:val="19"/>
        </w:rPr>
        <w:t>Time</w:t>
      </w:r>
      <w:r>
        <w:rPr>
          <w:rFonts w:ascii="Arial" w:hAnsi="Arial"/>
          <w:i/>
          <w:color w:val="231F20"/>
          <w:spacing w:val="-42"/>
          <w:w w:val="115"/>
          <w:sz w:val="19"/>
        </w:rPr>
        <w:t> </w:t>
      </w:r>
      <w:r>
        <w:rPr>
          <w:rFonts w:ascii="Arial" w:hAnsi="Arial"/>
          <w:color w:val="231F20"/>
          <w:spacing w:val="-2"/>
          <w:w w:val="115"/>
          <w:sz w:val="19"/>
        </w:rPr>
        <w:t>—</w:t>
      </w:r>
      <w:r>
        <w:rPr>
          <w:rFonts w:ascii="Arial" w:hAnsi="Arial"/>
          <w:color w:val="231F20"/>
          <w:spacing w:val="-42"/>
          <w:w w:val="115"/>
          <w:sz w:val="19"/>
        </w:rPr>
        <w:t> </w:t>
      </w:r>
      <w:r>
        <w:rPr>
          <w:rFonts w:ascii="Arial" w:hAnsi="Arial"/>
          <w:color w:val="231F20"/>
          <w:spacing w:val="-2"/>
          <w:w w:val="115"/>
          <w:sz w:val="19"/>
        </w:rPr>
        <w:t>Computer</w:t>
      </w:r>
      <w:r>
        <w:rPr>
          <w:rFonts w:ascii="Arial" w:hAnsi="Arial"/>
          <w:color w:val="231F20"/>
          <w:spacing w:val="-13"/>
          <w:w w:val="115"/>
          <w:sz w:val="19"/>
        </w:rPr>
        <w:t> </w:t>
      </w:r>
      <w:r>
        <w:rPr>
          <w:rFonts w:ascii="Arial" w:hAnsi="Arial"/>
          <w:color w:val="231F20"/>
          <w:spacing w:val="-2"/>
          <w:w w:val="115"/>
          <w:sz w:val="19"/>
        </w:rPr>
        <w:t>system</w:t>
      </w:r>
      <w:r>
        <w:rPr>
          <w:rFonts w:ascii="Arial" w:hAnsi="Arial"/>
          <w:color w:val="231F20"/>
          <w:spacing w:val="-14"/>
          <w:w w:val="115"/>
          <w:sz w:val="19"/>
        </w:rPr>
        <w:t> </w:t>
      </w:r>
      <w:r>
        <w:rPr>
          <w:rFonts w:ascii="Arial" w:hAnsi="Arial"/>
          <w:color w:val="231F20"/>
          <w:spacing w:val="-2"/>
          <w:w w:val="115"/>
          <w:sz w:val="19"/>
        </w:rPr>
        <w:t>with</w:t>
      </w:r>
      <w:r>
        <w:rPr>
          <w:rFonts w:ascii="Arial" w:hAnsi="Arial"/>
          <w:color w:val="231F20"/>
          <w:spacing w:val="-13"/>
          <w:w w:val="115"/>
          <w:sz w:val="19"/>
        </w:rPr>
        <w:t> </w:t>
      </w:r>
      <w:r>
        <w:rPr>
          <w:rFonts w:ascii="Arial" w:hAnsi="Arial"/>
          <w:color w:val="231F20"/>
          <w:spacing w:val="-2"/>
          <w:w w:val="115"/>
          <w:sz w:val="19"/>
        </w:rPr>
        <w:t>continuous </w:t>
      </w:r>
      <w:r>
        <w:rPr>
          <w:rFonts w:ascii="Arial" w:hAnsi="Arial"/>
          <w:color w:val="231F20"/>
          <w:w w:val="115"/>
          <w:sz w:val="19"/>
        </w:rPr>
        <w:t>updating (airline reservation systems)</w:t>
      </w:r>
    </w:p>
    <w:p>
      <w:pPr>
        <w:spacing w:line="328" w:lineRule="auto" w:before="1"/>
        <w:ind w:left="1260" w:right="1262" w:firstLine="0"/>
        <w:jc w:val="left"/>
        <w:rPr>
          <w:rFonts w:ascii="Arial" w:hAnsi="Arial"/>
          <w:sz w:val="19"/>
        </w:rPr>
      </w:pPr>
      <w:r>
        <w:rPr>
          <w:rFonts w:ascii="Arial" w:hAnsi="Arial"/>
          <w:i/>
          <w:color w:val="231F20"/>
          <w:w w:val="110"/>
          <w:sz w:val="19"/>
        </w:rPr>
        <w:t>POS</w:t>
      </w:r>
      <w:r>
        <w:rPr>
          <w:rFonts w:ascii="Arial" w:hAnsi="Arial"/>
          <w:i/>
          <w:color w:val="231F20"/>
          <w:spacing w:val="-32"/>
          <w:w w:val="110"/>
          <w:sz w:val="19"/>
        </w:rPr>
        <w:t> </w:t>
      </w:r>
      <w:r>
        <w:rPr>
          <w:rFonts w:ascii="Arial" w:hAnsi="Arial"/>
          <w:color w:val="231F20"/>
          <w:w w:val="110"/>
          <w:sz w:val="19"/>
        </w:rPr>
        <w:t>—</w:t>
      </w:r>
      <w:r>
        <w:rPr>
          <w:rFonts w:ascii="Arial" w:hAnsi="Arial"/>
          <w:color w:val="231F20"/>
          <w:spacing w:val="-32"/>
          <w:w w:val="110"/>
          <w:sz w:val="19"/>
        </w:rPr>
        <w:t> </w:t>
      </w:r>
      <w:r>
        <w:rPr>
          <w:rFonts w:ascii="Arial" w:hAnsi="Arial"/>
          <w:color w:val="231F20"/>
          <w:w w:val="110"/>
          <w:sz w:val="19"/>
        </w:rPr>
        <w:t>Point of Sale systems, checkout registers </w:t>
      </w:r>
      <w:r>
        <w:rPr>
          <w:rFonts w:ascii="Arial" w:hAnsi="Arial"/>
          <w:i/>
          <w:color w:val="231F20"/>
          <w:w w:val="110"/>
          <w:sz w:val="19"/>
        </w:rPr>
        <w:t>Hardware</w:t>
      </w:r>
      <w:r>
        <w:rPr>
          <w:rFonts w:ascii="Arial" w:hAnsi="Arial"/>
          <w:i/>
          <w:color w:val="231F20"/>
          <w:spacing w:val="-38"/>
          <w:w w:val="110"/>
          <w:sz w:val="19"/>
        </w:rPr>
        <w:t> </w:t>
      </w:r>
      <w:r>
        <w:rPr>
          <w:rFonts w:ascii="Arial" w:hAnsi="Arial"/>
          <w:color w:val="231F20"/>
          <w:w w:val="110"/>
          <w:sz w:val="19"/>
        </w:rPr>
        <w:t>—</w:t>
      </w:r>
      <w:r>
        <w:rPr>
          <w:rFonts w:ascii="Arial" w:hAnsi="Arial"/>
          <w:color w:val="231F20"/>
          <w:spacing w:val="-38"/>
          <w:w w:val="110"/>
          <w:sz w:val="19"/>
        </w:rPr>
        <w:t> </w:t>
      </w:r>
      <w:r>
        <w:rPr>
          <w:rFonts w:ascii="Arial" w:hAnsi="Arial"/>
          <w:color w:val="231F20"/>
          <w:w w:val="110"/>
          <w:sz w:val="19"/>
        </w:rPr>
        <w:t>Computer equipment (IBM, Apple, </w:t>
      </w:r>
      <w:r>
        <w:rPr>
          <w:rFonts w:ascii="Arial" w:hAnsi="Arial"/>
          <w:color w:val="231F20"/>
          <w:w w:val="110"/>
          <w:sz w:val="19"/>
        </w:rPr>
        <w:t>EMC) </w:t>
      </w:r>
      <w:r>
        <w:rPr>
          <w:rFonts w:ascii="Arial" w:hAnsi="Arial"/>
          <w:i/>
          <w:color w:val="231F20"/>
          <w:w w:val="110"/>
          <w:sz w:val="19"/>
        </w:rPr>
        <w:t>Software</w:t>
      </w:r>
      <w:r>
        <w:rPr>
          <w:rFonts w:ascii="Arial" w:hAnsi="Arial"/>
          <w:i/>
          <w:color w:val="231F20"/>
          <w:spacing w:val="-29"/>
          <w:w w:val="110"/>
          <w:sz w:val="19"/>
        </w:rPr>
        <w:t> </w:t>
      </w:r>
      <w:r>
        <w:rPr>
          <w:rFonts w:ascii="Arial" w:hAnsi="Arial"/>
          <w:color w:val="231F20"/>
          <w:w w:val="110"/>
          <w:sz w:val="19"/>
        </w:rPr>
        <w:t>—</w:t>
      </w:r>
      <w:r>
        <w:rPr>
          <w:rFonts w:ascii="Arial" w:hAnsi="Arial"/>
          <w:color w:val="231F20"/>
          <w:spacing w:val="-29"/>
          <w:w w:val="110"/>
          <w:sz w:val="19"/>
        </w:rPr>
        <w:t> </w:t>
      </w:r>
      <w:r>
        <w:rPr>
          <w:rFonts w:ascii="Arial" w:hAnsi="Arial"/>
          <w:color w:val="231F20"/>
          <w:w w:val="110"/>
          <w:sz w:val="19"/>
        </w:rPr>
        <w:t>Computer programs</w:t>
      </w:r>
    </w:p>
    <w:p>
      <w:pPr>
        <w:spacing w:before="2"/>
        <w:ind w:left="1260" w:right="0" w:firstLine="0"/>
        <w:jc w:val="left"/>
        <w:rPr>
          <w:rFonts w:ascii="Arial" w:hAnsi="Arial"/>
          <w:i/>
          <w:sz w:val="19"/>
        </w:rPr>
      </w:pPr>
      <w:r>
        <w:rPr>
          <w:rFonts w:ascii="Arial" w:hAnsi="Arial"/>
          <w:i/>
          <w:color w:val="231F20"/>
          <w:w w:val="110"/>
          <w:sz w:val="19"/>
        </w:rPr>
        <w:t>Applications</w:t>
      </w:r>
      <w:r>
        <w:rPr>
          <w:rFonts w:ascii="Arial" w:hAnsi="Arial"/>
          <w:i/>
          <w:color w:val="231F20"/>
          <w:spacing w:val="-34"/>
          <w:w w:val="110"/>
          <w:sz w:val="19"/>
        </w:rPr>
        <w:t> </w:t>
      </w:r>
      <w:r>
        <w:rPr>
          <w:rFonts w:ascii="Arial" w:hAnsi="Arial"/>
          <w:color w:val="231F20"/>
          <w:w w:val="110"/>
          <w:sz w:val="19"/>
        </w:rPr>
        <w:t>—</w:t>
      </w:r>
      <w:r>
        <w:rPr>
          <w:rFonts w:ascii="Arial" w:hAnsi="Arial"/>
          <w:color w:val="231F20"/>
          <w:spacing w:val="-33"/>
          <w:w w:val="110"/>
          <w:sz w:val="19"/>
        </w:rPr>
        <w:t> </w:t>
      </w:r>
      <w:r>
        <w:rPr>
          <w:rFonts w:ascii="Arial" w:hAnsi="Arial"/>
          <w:color w:val="231F20"/>
          <w:w w:val="110"/>
          <w:sz w:val="19"/>
        </w:rPr>
        <w:t>Synonym</w:t>
      </w:r>
      <w:r>
        <w:rPr>
          <w:rFonts w:ascii="Arial" w:hAnsi="Arial"/>
          <w:color w:val="231F20"/>
          <w:spacing w:val="18"/>
          <w:w w:val="110"/>
          <w:sz w:val="19"/>
        </w:rPr>
        <w:t> </w:t>
      </w:r>
      <w:r>
        <w:rPr>
          <w:rFonts w:ascii="Arial" w:hAnsi="Arial"/>
          <w:color w:val="231F20"/>
          <w:w w:val="110"/>
          <w:sz w:val="19"/>
        </w:rPr>
        <w:t>for</w:t>
      </w:r>
      <w:r>
        <w:rPr>
          <w:rFonts w:ascii="Arial" w:hAnsi="Arial"/>
          <w:color w:val="231F20"/>
          <w:spacing w:val="16"/>
          <w:w w:val="110"/>
          <w:sz w:val="19"/>
        </w:rPr>
        <w:t> </w:t>
      </w:r>
      <w:r>
        <w:rPr>
          <w:rFonts w:ascii="Arial" w:hAnsi="Arial"/>
          <w:i/>
          <w:color w:val="231F20"/>
          <w:spacing w:val="-2"/>
          <w:w w:val="110"/>
          <w:sz w:val="19"/>
        </w:rPr>
        <w:t>software.</w:t>
      </w:r>
    </w:p>
    <w:p>
      <w:pPr>
        <w:spacing w:before="81"/>
        <w:ind w:left="1260" w:right="0" w:firstLine="0"/>
        <w:jc w:val="left"/>
        <w:rPr>
          <w:rFonts w:ascii="Arial" w:hAnsi="Arial"/>
          <w:sz w:val="19"/>
        </w:rPr>
      </w:pPr>
      <w:r>
        <w:rPr>
          <w:rFonts w:ascii="Arial" w:hAnsi="Arial"/>
          <w:i/>
          <w:color w:val="231F20"/>
          <w:w w:val="110"/>
          <w:sz w:val="19"/>
        </w:rPr>
        <w:t>Mainframe</w:t>
      </w:r>
      <w:r>
        <w:rPr>
          <w:rFonts w:ascii="Arial" w:hAnsi="Arial"/>
          <w:i/>
          <w:color w:val="231F20"/>
          <w:spacing w:val="-38"/>
          <w:w w:val="110"/>
          <w:sz w:val="19"/>
        </w:rPr>
        <w:t> </w:t>
      </w:r>
      <w:r>
        <w:rPr>
          <w:rFonts w:ascii="Arial" w:hAnsi="Arial"/>
          <w:color w:val="231F20"/>
          <w:spacing w:val="11"/>
          <w:w w:val="110"/>
          <w:sz w:val="19"/>
        </w:rPr>
        <w:t>—</w:t>
      </w:r>
      <w:r>
        <w:rPr>
          <w:rFonts w:ascii="Arial" w:hAnsi="Arial"/>
          <w:color w:val="231F20"/>
          <w:w w:val="110"/>
          <w:sz w:val="19"/>
        </w:rPr>
        <w:t>A</w:t>
      </w:r>
      <w:r>
        <w:rPr>
          <w:rFonts w:ascii="Arial" w:hAnsi="Arial"/>
          <w:color w:val="231F20"/>
          <w:spacing w:val="5"/>
          <w:w w:val="110"/>
          <w:sz w:val="19"/>
        </w:rPr>
        <w:t> </w:t>
      </w:r>
      <w:r>
        <w:rPr>
          <w:rFonts w:ascii="Arial" w:hAnsi="Arial"/>
          <w:color w:val="231F20"/>
          <w:w w:val="110"/>
          <w:sz w:val="19"/>
        </w:rPr>
        <w:t>big</w:t>
      </w:r>
      <w:r>
        <w:rPr>
          <w:rFonts w:ascii="Arial" w:hAnsi="Arial"/>
          <w:color w:val="231F20"/>
          <w:spacing w:val="5"/>
          <w:w w:val="110"/>
          <w:sz w:val="19"/>
        </w:rPr>
        <w:t> </w:t>
      </w:r>
      <w:r>
        <w:rPr>
          <w:rFonts w:ascii="Arial" w:hAnsi="Arial"/>
          <w:color w:val="231F20"/>
          <w:spacing w:val="-2"/>
          <w:w w:val="110"/>
          <w:sz w:val="19"/>
        </w:rPr>
        <w:t>computer</w:t>
      </w:r>
    </w:p>
    <w:p>
      <w:pPr>
        <w:spacing w:line="328" w:lineRule="auto" w:before="82"/>
        <w:ind w:left="1260" w:right="1801" w:firstLine="0"/>
        <w:jc w:val="both"/>
        <w:rPr>
          <w:rFonts w:ascii="Arial" w:hAnsi="Arial"/>
          <w:sz w:val="19"/>
        </w:rPr>
      </w:pPr>
      <w:r>
        <w:rPr>
          <w:rFonts w:ascii="Arial" w:hAnsi="Arial"/>
          <w:i/>
          <w:color w:val="231F20"/>
          <w:w w:val="110"/>
          <w:sz w:val="19"/>
        </w:rPr>
        <w:t>Microcomputer</w:t>
      </w:r>
      <w:r>
        <w:rPr>
          <w:rFonts w:ascii="Arial" w:hAnsi="Arial"/>
          <w:i/>
          <w:color w:val="231F20"/>
          <w:spacing w:val="-15"/>
          <w:w w:val="110"/>
          <w:sz w:val="19"/>
        </w:rPr>
        <w:t> </w:t>
      </w:r>
      <w:r>
        <w:rPr>
          <w:rFonts w:ascii="Arial" w:hAnsi="Arial"/>
          <w:color w:val="231F20"/>
          <w:spacing w:val="11"/>
          <w:w w:val="110"/>
          <w:sz w:val="19"/>
        </w:rPr>
        <w:t>—</w:t>
      </w:r>
      <w:r>
        <w:rPr>
          <w:rFonts w:ascii="Arial" w:hAnsi="Arial"/>
          <w:color w:val="231F20"/>
          <w:w w:val="110"/>
          <w:sz w:val="19"/>
        </w:rPr>
        <w:t>A desktop or portable computer </w:t>
      </w:r>
      <w:r>
        <w:rPr>
          <w:rFonts w:ascii="Arial" w:hAnsi="Arial"/>
          <w:i/>
          <w:color w:val="231F20"/>
          <w:w w:val="110"/>
          <w:sz w:val="19"/>
        </w:rPr>
        <w:t>CPU</w:t>
      </w:r>
      <w:r>
        <w:rPr>
          <w:rFonts w:ascii="Arial" w:hAnsi="Arial"/>
          <w:i/>
          <w:color w:val="231F20"/>
          <w:spacing w:val="-15"/>
          <w:w w:val="110"/>
          <w:sz w:val="19"/>
        </w:rPr>
        <w:t> </w:t>
      </w:r>
      <w:r>
        <w:rPr>
          <w:rFonts w:ascii="Arial" w:hAnsi="Arial"/>
          <w:color w:val="231F20"/>
          <w:w w:val="110"/>
          <w:sz w:val="19"/>
        </w:rPr>
        <w:t>—</w:t>
      </w:r>
      <w:r>
        <w:rPr>
          <w:rFonts w:ascii="Arial" w:hAnsi="Arial"/>
          <w:color w:val="231F20"/>
          <w:spacing w:val="-15"/>
          <w:w w:val="110"/>
          <w:sz w:val="19"/>
        </w:rPr>
        <w:t> </w:t>
      </w:r>
      <w:r>
        <w:rPr>
          <w:rFonts w:ascii="Arial" w:hAnsi="Arial"/>
          <w:color w:val="231F20"/>
          <w:w w:val="110"/>
          <w:sz w:val="19"/>
        </w:rPr>
        <w:t>Central</w:t>
      </w:r>
      <w:r>
        <w:rPr>
          <w:rFonts w:ascii="Arial" w:hAnsi="Arial"/>
          <w:color w:val="231F20"/>
          <w:spacing w:val="-14"/>
          <w:w w:val="110"/>
          <w:sz w:val="19"/>
        </w:rPr>
        <w:t> </w:t>
      </w:r>
      <w:r>
        <w:rPr>
          <w:rFonts w:ascii="Arial" w:hAnsi="Arial"/>
          <w:color w:val="231F20"/>
          <w:w w:val="110"/>
          <w:sz w:val="19"/>
        </w:rPr>
        <w:t>Processing</w:t>
      </w:r>
      <w:r>
        <w:rPr>
          <w:rFonts w:ascii="Arial" w:hAnsi="Arial"/>
          <w:color w:val="231F20"/>
          <w:spacing w:val="-15"/>
          <w:w w:val="110"/>
          <w:sz w:val="19"/>
        </w:rPr>
        <w:t> </w:t>
      </w:r>
      <w:r>
        <w:rPr>
          <w:rFonts w:ascii="Arial" w:hAnsi="Arial"/>
          <w:color w:val="231F20"/>
          <w:w w:val="110"/>
          <w:sz w:val="19"/>
        </w:rPr>
        <w:t>Unit,</w:t>
      </w:r>
      <w:r>
        <w:rPr>
          <w:rFonts w:ascii="Arial" w:hAnsi="Arial"/>
          <w:color w:val="231F20"/>
          <w:spacing w:val="-14"/>
          <w:w w:val="110"/>
          <w:sz w:val="19"/>
        </w:rPr>
        <w:t> </w:t>
      </w:r>
      <w:r>
        <w:rPr>
          <w:rFonts w:ascii="Arial" w:hAnsi="Arial"/>
          <w:color w:val="231F20"/>
          <w:w w:val="110"/>
          <w:sz w:val="19"/>
        </w:rPr>
        <w:t>a</w:t>
      </w:r>
      <w:r>
        <w:rPr>
          <w:rFonts w:ascii="Arial" w:hAnsi="Arial"/>
          <w:color w:val="231F20"/>
          <w:spacing w:val="-15"/>
          <w:w w:val="110"/>
          <w:sz w:val="19"/>
        </w:rPr>
        <w:t> </w:t>
      </w:r>
      <w:r>
        <w:rPr>
          <w:rFonts w:ascii="Arial" w:hAnsi="Arial"/>
          <w:color w:val="231F20"/>
          <w:w w:val="110"/>
          <w:sz w:val="19"/>
        </w:rPr>
        <w:t>computer’s</w:t>
      </w:r>
      <w:r>
        <w:rPr>
          <w:rFonts w:ascii="Arial" w:hAnsi="Arial"/>
          <w:color w:val="231F20"/>
          <w:spacing w:val="-11"/>
          <w:w w:val="110"/>
          <w:sz w:val="19"/>
        </w:rPr>
        <w:t> </w:t>
      </w:r>
      <w:r>
        <w:rPr>
          <w:rFonts w:ascii="Arial" w:hAnsi="Arial"/>
          <w:color w:val="231F20"/>
          <w:w w:val="110"/>
          <w:sz w:val="19"/>
        </w:rPr>
        <w:t>brain </w:t>
      </w:r>
      <w:r>
        <w:rPr>
          <w:rFonts w:ascii="Arial" w:hAnsi="Arial"/>
          <w:i/>
          <w:color w:val="231F20"/>
          <w:w w:val="110"/>
          <w:sz w:val="19"/>
        </w:rPr>
        <w:t>LAN</w:t>
      </w:r>
      <w:r>
        <w:rPr>
          <w:rFonts w:ascii="Arial" w:hAnsi="Arial"/>
          <w:i/>
          <w:color w:val="231F20"/>
          <w:spacing w:val="-24"/>
          <w:w w:val="110"/>
          <w:sz w:val="19"/>
        </w:rPr>
        <w:t> </w:t>
      </w:r>
      <w:r>
        <w:rPr>
          <w:rFonts w:ascii="Arial" w:hAnsi="Arial"/>
          <w:color w:val="231F20"/>
          <w:w w:val="110"/>
          <w:sz w:val="19"/>
        </w:rPr>
        <w:t>—</w:t>
      </w:r>
      <w:r>
        <w:rPr>
          <w:rFonts w:ascii="Arial" w:hAnsi="Arial"/>
          <w:color w:val="231F20"/>
          <w:spacing w:val="-24"/>
          <w:w w:val="110"/>
          <w:sz w:val="19"/>
        </w:rPr>
        <w:t> </w:t>
      </w:r>
      <w:r>
        <w:rPr>
          <w:rFonts w:ascii="Arial" w:hAnsi="Arial"/>
          <w:color w:val="231F20"/>
          <w:w w:val="110"/>
          <w:sz w:val="19"/>
        </w:rPr>
        <w:t>Local Area Network of many computers</w:t>
      </w:r>
    </w:p>
    <w:p>
      <w:pPr>
        <w:spacing w:before="2"/>
        <w:ind w:left="1260" w:right="0" w:firstLine="0"/>
        <w:jc w:val="left"/>
        <w:rPr>
          <w:rFonts w:ascii="Arial" w:hAnsi="Arial"/>
          <w:sz w:val="19"/>
        </w:rPr>
      </w:pPr>
      <w:r>
        <w:rPr>
          <w:rFonts w:ascii="Arial" w:hAnsi="Arial"/>
          <w:i/>
          <w:color w:val="231F20"/>
          <w:w w:val="110"/>
          <w:sz w:val="19"/>
        </w:rPr>
        <w:t>AI</w:t>
      </w:r>
      <w:r>
        <w:rPr>
          <w:rFonts w:ascii="Arial" w:hAnsi="Arial"/>
          <w:i/>
          <w:color w:val="231F20"/>
          <w:spacing w:val="-35"/>
          <w:w w:val="110"/>
          <w:sz w:val="19"/>
        </w:rPr>
        <w:t> </w:t>
      </w:r>
      <w:r>
        <w:rPr>
          <w:rFonts w:ascii="Arial" w:hAnsi="Arial"/>
          <w:color w:val="231F20"/>
          <w:spacing w:val="11"/>
          <w:w w:val="110"/>
          <w:sz w:val="19"/>
        </w:rPr>
        <w:t>—</w:t>
      </w:r>
      <w:r>
        <w:rPr>
          <w:rFonts w:ascii="Arial" w:hAnsi="Arial"/>
          <w:color w:val="231F20"/>
          <w:w w:val="110"/>
          <w:sz w:val="19"/>
        </w:rPr>
        <w:t>Artificial</w:t>
      </w:r>
      <w:r>
        <w:rPr>
          <w:rFonts w:ascii="Arial" w:hAnsi="Arial"/>
          <w:color w:val="231F20"/>
          <w:spacing w:val="14"/>
          <w:w w:val="110"/>
          <w:sz w:val="19"/>
        </w:rPr>
        <w:t> </w:t>
      </w:r>
      <w:r>
        <w:rPr>
          <w:rFonts w:ascii="Arial" w:hAnsi="Arial"/>
          <w:color w:val="231F20"/>
          <w:w w:val="110"/>
          <w:sz w:val="19"/>
        </w:rPr>
        <w:t>Intelligence,</w:t>
      </w:r>
      <w:r>
        <w:rPr>
          <w:rFonts w:ascii="Arial" w:hAnsi="Arial"/>
          <w:color w:val="231F20"/>
          <w:spacing w:val="15"/>
          <w:w w:val="110"/>
          <w:sz w:val="19"/>
        </w:rPr>
        <w:t> </w:t>
      </w:r>
      <w:r>
        <w:rPr>
          <w:rFonts w:ascii="Arial" w:hAnsi="Arial"/>
          <w:color w:val="231F20"/>
          <w:w w:val="110"/>
          <w:sz w:val="19"/>
        </w:rPr>
        <w:t>computers</w:t>
      </w:r>
      <w:r>
        <w:rPr>
          <w:rFonts w:ascii="Arial" w:hAnsi="Arial"/>
          <w:color w:val="231F20"/>
          <w:spacing w:val="14"/>
          <w:w w:val="110"/>
          <w:sz w:val="19"/>
        </w:rPr>
        <w:t> </w:t>
      </w:r>
      <w:r>
        <w:rPr>
          <w:rFonts w:ascii="Arial" w:hAnsi="Arial"/>
          <w:color w:val="231F20"/>
          <w:w w:val="110"/>
          <w:sz w:val="19"/>
        </w:rPr>
        <w:t>that</w:t>
      </w:r>
      <w:r>
        <w:rPr>
          <w:rFonts w:ascii="Arial" w:hAnsi="Arial"/>
          <w:color w:val="231F20"/>
          <w:spacing w:val="14"/>
          <w:w w:val="110"/>
          <w:sz w:val="19"/>
        </w:rPr>
        <w:t> </w:t>
      </w:r>
      <w:r>
        <w:rPr>
          <w:rFonts w:ascii="Arial" w:hAnsi="Arial"/>
          <w:color w:val="231F20"/>
          <w:w w:val="110"/>
          <w:sz w:val="19"/>
        </w:rPr>
        <w:t>think</w:t>
      </w:r>
      <w:r>
        <w:rPr>
          <w:rFonts w:ascii="Arial" w:hAnsi="Arial"/>
          <w:color w:val="231F20"/>
          <w:spacing w:val="15"/>
          <w:w w:val="110"/>
          <w:sz w:val="19"/>
        </w:rPr>
        <w:t> </w:t>
      </w:r>
      <w:r>
        <w:rPr>
          <w:rFonts w:ascii="Arial" w:hAnsi="Arial"/>
          <w:color w:val="231F20"/>
          <w:w w:val="110"/>
          <w:sz w:val="19"/>
        </w:rPr>
        <w:t>like</w:t>
      </w:r>
      <w:r>
        <w:rPr>
          <w:rFonts w:ascii="Arial" w:hAnsi="Arial"/>
          <w:color w:val="231F20"/>
          <w:spacing w:val="14"/>
          <w:w w:val="110"/>
          <w:sz w:val="19"/>
        </w:rPr>
        <w:t> </w:t>
      </w:r>
      <w:r>
        <w:rPr>
          <w:rFonts w:ascii="Arial" w:hAnsi="Arial"/>
          <w:color w:val="231F20"/>
          <w:spacing w:val="-2"/>
          <w:w w:val="110"/>
          <w:sz w:val="19"/>
        </w:rPr>
        <w:t>people</w:t>
      </w:r>
    </w:p>
    <w:p>
      <w:pPr>
        <w:spacing w:before="81"/>
        <w:ind w:left="1260" w:right="0" w:firstLine="0"/>
        <w:jc w:val="left"/>
        <w:rPr>
          <w:rFonts w:ascii="Arial" w:hAnsi="Arial"/>
          <w:sz w:val="19"/>
        </w:rPr>
      </w:pPr>
      <w:r>
        <w:rPr>
          <w:rFonts w:ascii="Arial" w:hAnsi="Arial"/>
          <w:i/>
          <w:color w:val="231F20"/>
          <w:w w:val="110"/>
          <w:sz w:val="19"/>
        </w:rPr>
        <w:t>Intranet</w:t>
      </w:r>
      <w:r>
        <w:rPr>
          <w:rFonts w:ascii="Arial" w:hAnsi="Arial"/>
          <w:i/>
          <w:color w:val="231F20"/>
          <w:spacing w:val="-35"/>
          <w:w w:val="110"/>
          <w:sz w:val="19"/>
        </w:rPr>
        <w:t> </w:t>
      </w:r>
      <w:r>
        <w:rPr>
          <w:rFonts w:ascii="Arial" w:hAnsi="Arial"/>
          <w:color w:val="231F20"/>
          <w:w w:val="110"/>
          <w:sz w:val="19"/>
        </w:rPr>
        <w:t>—</w:t>
      </w:r>
      <w:r>
        <w:rPr>
          <w:rFonts w:ascii="Arial" w:hAnsi="Arial"/>
          <w:color w:val="231F20"/>
          <w:spacing w:val="-34"/>
          <w:w w:val="110"/>
          <w:sz w:val="19"/>
        </w:rPr>
        <w:t> </w:t>
      </w:r>
      <w:r>
        <w:rPr>
          <w:rFonts w:ascii="Arial" w:hAnsi="Arial"/>
          <w:color w:val="231F20"/>
          <w:w w:val="110"/>
          <w:sz w:val="19"/>
        </w:rPr>
        <w:t>Private</w:t>
      </w:r>
      <w:r>
        <w:rPr>
          <w:rFonts w:ascii="Arial" w:hAnsi="Arial"/>
          <w:color w:val="231F20"/>
          <w:spacing w:val="14"/>
          <w:w w:val="110"/>
          <w:sz w:val="19"/>
        </w:rPr>
        <w:t> </w:t>
      </w:r>
      <w:r>
        <w:rPr>
          <w:rFonts w:ascii="Arial" w:hAnsi="Arial"/>
          <w:color w:val="231F20"/>
          <w:w w:val="110"/>
          <w:sz w:val="19"/>
        </w:rPr>
        <w:t>network</w:t>
      </w:r>
      <w:r>
        <w:rPr>
          <w:rFonts w:ascii="Arial" w:hAnsi="Arial"/>
          <w:color w:val="231F20"/>
          <w:spacing w:val="14"/>
          <w:w w:val="110"/>
          <w:sz w:val="19"/>
        </w:rPr>
        <w:t> </w:t>
      </w:r>
      <w:r>
        <w:rPr>
          <w:rFonts w:ascii="Arial" w:hAnsi="Arial"/>
          <w:color w:val="231F20"/>
          <w:spacing w:val="-2"/>
          <w:w w:val="110"/>
          <w:sz w:val="19"/>
        </w:rPr>
        <w:t>system</w:t>
      </w:r>
    </w:p>
    <w:p>
      <w:pPr>
        <w:spacing w:before="82"/>
        <w:ind w:left="1260" w:right="0" w:firstLine="0"/>
        <w:jc w:val="left"/>
        <w:rPr>
          <w:rFonts w:ascii="Arial" w:hAnsi="Arial"/>
          <w:sz w:val="19"/>
        </w:rPr>
      </w:pPr>
      <w:r>
        <w:rPr>
          <w:rFonts w:ascii="Arial" w:hAnsi="Arial"/>
          <w:i/>
          <w:color w:val="231F20"/>
          <w:w w:val="110"/>
          <w:sz w:val="19"/>
        </w:rPr>
        <w:t>Browser</w:t>
      </w:r>
      <w:r>
        <w:rPr>
          <w:rFonts w:ascii="Arial" w:hAnsi="Arial"/>
          <w:i/>
          <w:color w:val="231F20"/>
          <w:spacing w:val="-39"/>
          <w:w w:val="110"/>
          <w:sz w:val="19"/>
        </w:rPr>
        <w:t> </w:t>
      </w:r>
      <w:r>
        <w:rPr>
          <w:rFonts w:ascii="Arial" w:hAnsi="Arial"/>
          <w:color w:val="231F20"/>
          <w:w w:val="110"/>
          <w:sz w:val="19"/>
        </w:rPr>
        <w:t>—</w:t>
      </w:r>
      <w:r>
        <w:rPr>
          <w:rFonts w:ascii="Arial" w:hAnsi="Arial"/>
          <w:color w:val="231F20"/>
          <w:spacing w:val="-38"/>
          <w:w w:val="110"/>
          <w:sz w:val="19"/>
        </w:rPr>
        <w:t> </w:t>
      </w:r>
      <w:r>
        <w:rPr>
          <w:rFonts w:ascii="Arial" w:hAnsi="Arial"/>
          <w:color w:val="231F20"/>
          <w:w w:val="110"/>
          <w:sz w:val="19"/>
        </w:rPr>
        <w:t>Internet</w:t>
      </w:r>
      <w:r>
        <w:rPr>
          <w:rFonts w:ascii="Arial" w:hAnsi="Arial"/>
          <w:color w:val="231F20"/>
          <w:spacing w:val="2"/>
          <w:w w:val="110"/>
          <w:sz w:val="19"/>
        </w:rPr>
        <w:t> </w:t>
      </w:r>
      <w:r>
        <w:rPr>
          <w:rFonts w:ascii="Arial" w:hAnsi="Arial"/>
          <w:color w:val="231F20"/>
          <w:w w:val="110"/>
          <w:sz w:val="19"/>
        </w:rPr>
        <w:t>searching</w:t>
      </w:r>
      <w:r>
        <w:rPr>
          <w:rFonts w:ascii="Arial" w:hAnsi="Arial"/>
          <w:color w:val="231F20"/>
          <w:spacing w:val="2"/>
          <w:w w:val="110"/>
          <w:sz w:val="19"/>
        </w:rPr>
        <w:t> </w:t>
      </w:r>
      <w:r>
        <w:rPr>
          <w:rFonts w:ascii="Arial" w:hAnsi="Arial"/>
          <w:color w:val="231F20"/>
          <w:spacing w:val="-2"/>
          <w:w w:val="110"/>
          <w:sz w:val="19"/>
        </w:rPr>
        <w:t>software</w:t>
      </w:r>
    </w:p>
    <w:p>
      <w:pPr>
        <w:spacing w:after="0"/>
        <w:jc w:val="left"/>
        <w:rPr>
          <w:rFonts w:ascii="Arial" w:hAnsi="Arial"/>
          <w:sz w:val="19"/>
        </w:rPr>
        <w:sectPr>
          <w:pgSz w:w="8640" w:h="12960"/>
          <w:pgMar w:header="734" w:footer="0" w:top="920" w:bottom="280" w:left="340" w:right="500"/>
        </w:sectPr>
      </w:pPr>
    </w:p>
    <w:p>
      <w:pPr>
        <w:pStyle w:val="BodyText"/>
        <w:spacing w:before="8"/>
        <w:rPr>
          <w:rFonts w:ascii="Arial"/>
          <w:sz w:val="19"/>
        </w:rPr>
      </w:pPr>
    </w:p>
    <w:p>
      <w:pPr>
        <w:spacing w:before="97"/>
        <w:ind w:left="1170" w:right="0" w:firstLine="0"/>
        <w:jc w:val="left"/>
        <w:rPr>
          <w:rFonts w:ascii="Arial" w:hAnsi="Arial"/>
          <w:sz w:val="19"/>
        </w:rPr>
      </w:pPr>
      <w:r>
        <w:rPr>
          <w:rFonts w:ascii="Arial" w:hAnsi="Arial"/>
          <w:i/>
          <w:color w:val="231F20"/>
          <w:w w:val="110"/>
          <w:sz w:val="19"/>
        </w:rPr>
        <w:t>RFID</w:t>
      </w:r>
      <w:r>
        <w:rPr>
          <w:rFonts w:ascii="Arial" w:hAnsi="Arial"/>
          <w:i/>
          <w:color w:val="231F20"/>
          <w:spacing w:val="-36"/>
          <w:w w:val="110"/>
          <w:sz w:val="19"/>
        </w:rPr>
        <w:t> </w:t>
      </w:r>
      <w:r>
        <w:rPr>
          <w:rFonts w:ascii="Arial" w:hAnsi="Arial"/>
          <w:color w:val="231F20"/>
          <w:w w:val="110"/>
          <w:sz w:val="19"/>
        </w:rPr>
        <w:t>—</w:t>
      </w:r>
      <w:r>
        <w:rPr>
          <w:rFonts w:ascii="Arial" w:hAnsi="Arial"/>
          <w:color w:val="231F20"/>
          <w:spacing w:val="-35"/>
          <w:w w:val="110"/>
          <w:sz w:val="19"/>
        </w:rPr>
        <w:t> </w:t>
      </w:r>
      <w:r>
        <w:rPr>
          <w:rFonts w:ascii="Arial" w:hAnsi="Arial"/>
          <w:color w:val="231F20"/>
          <w:w w:val="110"/>
          <w:sz w:val="19"/>
        </w:rPr>
        <w:t>Radio</w:t>
      </w:r>
      <w:r>
        <w:rPr>
          <w:rFonts w:ascii="Arial" w:hAnsi="Arial"/>
          <w:color w:val="231F20"/>
          <w:spacing w:val="13"/>
          <w:w w:val="110"/>
          <w:sz w:val="19"/>
        </w:rPr>
        <w:t> </w:t>
      </w:r>
      <w:r>
        <w:rPr>
          <w:rFonts w:ascii="Arial" w:hAnsi="Arial"/>
          <w:color w:val="231F20"/>
          <w:w w:val="110"/>
          <w:sz w:val="19"/>
        </w:rPr>
        <w:t>Frequency</w:t>
      </w:r>
      <w:r>
        <w:rPr>
          <w:rFonts w:ascii="Arial" w:hAnsi="Arial"/>
          <w:color w:val="231F20"/>
          <w:spacing w:val="13"/>
          <w:w w:val="110"/>
          <w:sz w:val="19"/>
        </w:rPr>
        <w:t> </w:t>
      </w:r>
      <w:r>
        <w:rPr>
          <w:rFonts w:ascii="Arial" w:hAnsi="Arial"/>
          <w:color w:val="231F20"/>
          <w:w w:val="110"/>
          <w:sz w:val="19"/>
        </w:rPr>
        <w:t>Identification</w:t>
      </w:r>
      <w:r>
        <w:rPr>
          <w:rFonts w:ascii="Arial" w:hAnsi="Arial"/>
          <w:color w:val="231F20"/>
          <w:spacing w:val="12"/>
          <w:w w:val="110"/>
          <w:sz w:val="19"/>
        </w:rPr>
        <w:t> </w:t>
      </w:r>
      <w:r>
        <w:rPr>
          <w:rFonts w:ascii="Arial" w:hAnsi="Arial"/>
          <w:color w:val="231F20"/>
          <w:w w:val="110"/>
          <w:sz w:val="19"/>
        </w:rPr>
        <w:t>Inventory</w:t>
      </w:r>
      <w:r>
        <w:rPr>
          <w:rFonts w:ascii="Arial" w:hAnsi="Arial"/>
          <w:color w:val="231F20"/>
          <w:spacing w:val="13"/>
          <w:w w:val="110"/>
          <w:sz w:val="19"/>
        </w:rPr>
        <w:t> </w:t>
      </w:r>
      <w:r>
        <w:rPr>
          <w:rFonts w:ascii="Arial" w:hAnsi="Arial"/>
          <w:color w:val="231F20"/>
          <w:w w:val="110"/>
          <w:sz w:val="19"/>
        </w:rPr>
        <w:t>control</w:t>
      </w:r>
      <w:r>
        <w:rPr>
          <w:rFonts w:ascii="Arial" w:hAnsi="Arial"/>
          <w:color w:val="231F20"/>
          <w:spacing w:val="12"/>
          <w:w w:val="110"/>
          <w:sz w:val="19"/>
        </w:rPr>
        <w:t> </w:t>
      </w:r>
      <w:r>
        <w:rPr>
          <w:rFonts w:ascii="Arial" w:hAnsi="Arial"/>
          <w:color w:val="231F20"/>
          <w:spacing w:val="-4"/>
          <w:w w:val="110"/>
          <w:sz w:val="19"/>
        </w:rPr>
        <w:t>tags</w:t>
      </w:r>
    </w:p>
    <w:p>
      <w:pPr>
        <w:spacing w:before="82"/>
        <w:ind w:left="1170" w:right="0" w:firstLine="0"/>
        <w:jc w:val="left"/>
        <w:rPr>
          <w:rFonts w:ascii="Arial" w:hAnsi="Arial"/>
          <w:sz w:val="19"/>
        </w:rPr>
      </w:pPr>
      <w:r>
        <w:rPr>
          <w:rFonts w:ascii="Arial" w:hAnsi="Arial"/>
          <w:i/>
          <w:color w:val="231F20"/>
          <w:w w:val="110"/>
          <w:sz w:val="19"/>
        </w:rPr>
        <w:t>URL</w:t>
      </w:r>
      <w:r>
        <w:rPr>
          <w:rFonts w:ascii="Arial" w:hAnsi="Arial"/>
          <w:i/>
          <w:color w:val="231F20"/>
          <w:spacing w:val="-40"/>
          <w:w w:val="110"/>
          <w:sz w:val="19"/>
        </w:rPr>
        <w:t> </w:t>
      </w:r>
      <w:r>
        <w:rPr>
          <w:rFonts w:ascii="Arial" w:hAnsi="Arial"/>
          <w:color w:val="231F20"/>
          <w:w w:val="110"/>
          <w:sz w:val="19"/>
        </w:rPr>
        <w:t>—</w:t>
      </w:r>
      <w:r>
        <w:rPr>
          <w:rFonts w:ascii="Arial" w:hAnsi="Arial"/>
          <w:color w:val="231F20"/>
          <w:spacing w:val="-39"/>
          <w:w w:val="110"/>
          <w:sz w:val="19"/>
        </w:rPr>
        <w:t> </w:t>
      </w:r>
      <w:r>
        <w:rPr>
          <w:rFonts w:ascii="Arial" w:hAnsi="Arial"/>
          <w:color w:val="231F20"/>
          <w:w w:val="110"/>
          <w:sz w:val="19"/>
        </w:rPr>
        <w:t>Uniform</w:t>
      </w:r>
      <w:r>
        <w:rPr>
          <w:rFonts w:ascii="Arial" w:hAnsi="Arial"/>
          <w:color w:val="231F20"/>
          <w:spacing w:val="-10"/>
          <w:w w:val="110"/>
          <w:sz w:val="19"/>
        </w:rPr>
        <w:t> </w:t>
      </w:r>
      <w:r>
        <w:rPr>
          <w:rFonts w:ascii="Arial" w:hAnsi="Arial"/>
          <w:color w:val="231F20"/>
          <w:w w:val="110"/>
          <w:sz w:val="19"/>
        </w:rPr>
        <w:t>Resource</w:t>
      </w:r>
      <w:r>
        <w:rPr>
          <w:rFonts w:ascii="Arial" w:hAnsi="Arial"/>
          <w:color w:val="231F20"/>
          <w:spacing w:val="-5"/>
          <w:w w:val="110"/>
          <w:sz w:val="19"/>
        </w:rPr>
        <w:t> </w:t>
      </w:r>
      <w:r>
        <w:rPr>
          <w:rFonts w:ascii="Arial" w:hAnsi="Arial"/>
          <w:color w:val="231F20"/>
          <w:w w:val="110"/>
          <w:sz w:val="19"/>
        </w:rPr>
        <w:t>Locator,</w:t>
      </w:r>
      <w:r>
        <w:rPr>
          <w:rFonts w:ascii="Arial" w:hAnsi="Arial"/>
          <w:color w:val="231F20"/>
          <w:spacing w:val="-6"/>
          <w:w w:val="110"/>
          <w:sz w:val="19"/>
        </w:rPr>
        <w:t> </w:t>
      </w:r>
      <w:r>
        <w:rPr>
          <w:rFonts w:ascii="Arial" w:hAnsi="Arial"/>
          <w:color w:val="231F20"/>
          <w:w w:val="110"/>
          <w:sz w:val="19"/>
        </w:rPr>
        <w:t>Web</w:t>
      </w:r>
      <w:r>
        <w:rPr>
          <w:rFonts w:ascii="Arial" w:hAnsi="Arial"/>
          <w:color w:val="231F20"/>
          <w:spacing w:val="-6"/>
          <w:w w:val="110"/>
          <w:sz w:val="19"/>
        </w:rPr>
        <w:t> </w:t>
      </w:r>
      <w:r>
        <w:rPr>
          <w:rFonts w:ascii="Arial" w:hAnsi="Arial"/>
          <w:color w:val="231F20"/>
          <w:w w:val="110"/>
          <w:sz w:val="19"/>
        </w:rPr>
        <w:t>page</w:t>
      </w:r>
      <w:r>
        <w:rPr>
          <w:rFonts w:ascii="Arial" w:hAnsi="Arial"/>
          <w:color w:val="231F20"/>
          <w:spacing w:val="-6"/>
          <w:w w:val="110"/>
          <w:sz w:val="19"/>
        </w:rPr>
        <w:t> </w:t>
      </w:r>
      <w:r>
        <w:rPr>
          <w:rFonts w:ascii="Arial" w:hAnsi="Arial"/>
          <w:color w:val="231F20"/>
          <w:spacing w:val="-2"/>
          <w:w w:val="110"/>
          <w:sz w:val="19"/>
        </w:rPr>
        <w:t>address</w:t>
      </w:r>
    </w:p>
    <w:p>
      <w:pPr>
        <w:spacing w:line="328" w:lineRule="auto" w:before="81"/>
        <w:ind w:left="1510" w:right="1262" w:hanging="340"/>
        <w:jc w:val="left"/>
        <w:rPr>
          <w:rFonts w:ascii="Arial" w:hAnsi="Arial"/>
          <w:sz w:val="19"/>
        </w:rPr>
      </w:pPr>
      <w:r>
        <w:rPr>
          <w:rFonts w:ascii="Arial" w:hAnsi="Arial"/>
          <w:i/>
          <w:color w:val="231F20"/>
          <w:w w:val="110"/>
          <w:sz w:val="19"/>
        </w:rPr>
        <w:t>HTTP</w:t>
      </w:r>
      <w:r>
        <w:rPr>
          <w:rFonts w:ascii="Arial" w:hAnsi="Arial"/>
          <w:i/>
          <w:color w:val="231F20"/>
          <w:spacing w:val="-37"/>
          <w:w w:val="110"/>
          <w:sz w:val="19"/>
        </w:rPr>
        <w:t> </w:t>
      </w:r>
      <w:r>
        <w:rPr>
          <w:rFonts w:ascii="Arial" w:hAnsi="Arial"/>
          <w:color w:val="231F20"/>
          <w:w w:val="110"/>
          <w:sz w:val="19"/>
        </w:rPr>
        <w:t>—</w:t>
      </w:r>
      <w:r>
        <w:rPr>
          <w:rFonts w:ascii="Arial" w:hAnsi="Arial"/>
          <w:color w:val="231F20"/>
          <w:spacing w:val="-37"/>
          <w:w w:val="110"/>
          <w:sz w:val="19"/>
        </w:rPr>
        <w:t> </w:t>
      </w:r>
      <w:r>
        <w:rPr>
          <w:rFonts w:ascii="Arial" w:hAnsi="Arial"/>
          <w:color w:val="231F20"/>
          <w:w w:val="110"/>
          <w:sz w:val="19"/>
        </w:rPr>
        <w:t>Hypertext Transport Protocol, the way </w:t>
      </w:r>
      <w:r>
        <w:rPr>
          <w:rFonts w:ascii="Arial" w:hAnsi="Arial"/>
          <w:color w:val="231F20"/>
          <w:w w:val="110"/>
          <w:sz w:val="19"/>
        </w:rPr>
        <w:t>Internet </w:t>
      </w:r>
      <w:r>
        <w:rPr>
          <w:rFonts w:ascii="Arial" w:hAnsi="Arial"/>
          <w:color w:val="231F20"/>
          <w:w w:val="115"/>
          <w:sz w:val="19"/>
        </w:rPr>
        <w:t>browsers communicate with server computers</w:t>
      </w:r>
    </w:p>
    <w:p>
      <w:pPr>
        <w:spacing w:line="328" w:lineRule="auto" w:before="2"/>
        <w:ind w:left="1509" w:right="827" w:hanging="340"/>
        <w:jc w:val="left"/>
        <w:rPr>
          <w:rFonts w:ascii="Arial" w:hAnsi="Arial"/>
          <w:sz w:val="19"/>
        </w:rPr>
      </w:pPr>
      <w:r>
        <w:rPr>
          <w:rFonts w:ascii="Arial" w:hAnsi="Arial"/>
          <w:i/>
          <w:color w:val="231F20"/>
          <w:w w:val="110"/>
          <w:sz w:val="19"/>
        </w:rPr>
        <w:t>HTML</w:t>
      </w:r>
      <w:r>
        <w:rPr>
          <w:rFonts w:ascii="Arial" w:hAnsi="Arial"/>
          <w:i/>
          <w:color w:val="231F20"/>
          <w:spacing w:val="-37"/>
          <w:w w:val="110"/>
          <w:sz w:val="19"/>
        </w:rPr>
        <w:t> </w:t>
      </w:r>
      <w:r>
        <w:rPr>
          <w:rFonts w:ascii="Arial" w:hAnsi="Arial"/>
          <w:color w:val="231F20"/>
          <w:w w:val="110"/>
          <w:sz w:val="19"/>
        </w:rPr>
        <w:t>—</w:t>
      </w:r>
      <w:r>
        <w:rPr>
          <w:rFonts w:ascii="Arial" w:hAnsi="Arial"/>
          <w:color w:val="231F20"/>
          <w:spacing w:val="-37"/>
          <w:w w:val="110"/>
          <w:sz w:val="19"/>
        </w:rPr>
        <w:t> </w:t>
      </w:r>
      <w:r>
        <w:rPr>
          <w:rFonts w:ascii="Arial" w:hAnsi="Arial"/>
          <w:color w:val="231F20"/>
          <w:w w:val="110"/>
          <w:sz w:val="19"/>
        </w:rPr>
        <w:t>Hypertext Markup Language, the computer </w:t>
      </w:r>
      <w:r>
        <w:rPr>
          <w:rFonts w:ascii="Arial" w:hAnsi="Arial"/>
          <w:color w:val="231F20"/>
          <w:w w:val="110"/>
          <w:sz w:val="19"/>
        </w:rPr>
        <w:t>language of Internet Web pages</w:t>
      </w:r>
    </w:p>
    <w:p>
      <w:pPr>
        <w:spacing w:before="1"/>
        <w:ind w:left="1169" w:right="0" w:firstLine="0"/>
        <w:jc w:val="left"/>
        <w:rPr>
          <w:rFonts w:ascii="Arial" w:hAnsi="Arial"/>
          <w:sz w:val="19"/>
        </w:rPr>
      </w:pPr>
      <w:r>
        <w:rPr>
          <w:rFonts w:ascii="Arial" w:hAnsi="Arial"/>
          <w:i/>
          <w:color w:val="231F20"/>
          <w:w w:val="110"/>
          <w:sz w:val="19"/>
        </w:rPr>
        <w:t>Hypertext</w:t>
      </w:r>
      <w:r>
        <w:rPr>
          <w:rFonts w:ascii="Arial" w:hAnsi="Arial"/>
          <w:color w:val="231F20"/>
          <w:w w:val="110"/>
          <w:sz w:val="19"/>
        </w:rPr>
        <w:t>—The</w:t>
      </w:r>
      <w:r>
        <w:rPr>
          <w:rFonts w:ascii="Arial" w:hAnsi="Arial"/>
          <w:color w:val="231F20"/>
          <w:spacing w:val="17"/>
          <w:w w:val="110"/>
          <w:sz w:val="19"/>
        </w:rPr>
        <w:t> </w:t>
      </w:r>
      <w:r>
        <w:rPr>
          <w:rFonts w:ascii="Arial" w:hAnsi="Arial"/>
          <w:color w:val="231F20"/>
          <w:w w:val="110"/>
          <w:sz w:val="19"/>
        </w:rPr>
        <w:t>system</w:t>
      </w:r>
      <w:r>
        <w:rPr>
          <w:rFonts w:ascii="Arial" w:hAnsi="Arial"/>
          <w:color w:val="231F20"/>
          <w:spacing w:val="18"/>
          <w:w w:val="110"/>
          <w:sz w:val="19"/>
        </w:rPr>
        <w:t> </w:t>
      </w:r>
      <w:r>
        <w:rPr>
          <w:rFonts w:ascii="Arial" w:hAnsi="Arial"/>
          <w:color w:val="231F20"/>
          <w:w w:val="110"/>
          <w:sz w:val="19"/>
        </w:rPr>
        <w:t>of</w:t>
      </w:r>
      <w:r>
        <w:rPr>
          <w:rFonts w:ascii="Arial" w:hAnsi="Arial"/>
          <w:color w:val="231F20"/>
          <w:spacing w:val="17"/>
          <w:w w:val="110"/>
          <w:sz w:val="19"/>
        </w:rPr>
        <w:t> </w:t>
      </w:r>
      <w:r>
        <w:rPr>
          <w:rFonts w:ascii="Arial" w:hAnsi="Arial"/>
          <w:color w:val="231F20"/>
          <w:w w:val="110"/>
          <w:sz w:val="19"/>
        </w:rPr>
        <w:t>interlinking</w:t>
      </w:r>
      <w:r>
        <w:rPr>
          <w:rFonts w:ascii="Arial" w:hAnsi="Arial"/>
          <w:color w:val="231F20"/>
          <w:spacing w:val="18"/>
          <w:w w:val="110"/>
          <w:sz w:val="19"/>
        </w:rPr>
        <w:t> </w:t>
      </w:r>
      <w:r>
        <w:rPr>
          <w:rFonts w:ascii="Arial" w:hAnsi="Arial"/>
          <w:color w:val="231F20"/>
          <w:w w:val="110"/>
          <w:sz w:val="19"/>
        </w:rPr>
        <w:t>Web</w:t>
      </w:r>
      <w:r>
        <w:rPr>
          <w:rFonts w:ascii="Arial" w:hAnsi="Arial"/>
          <w:color w:val="231F20"/>
          <w:spacing w:val="17"/>
          <w:w w:val="110"/>
          <w:sz w:val="19"/>
        </w:rPr>
        <w:t> </w:t>
      </w:r>
      <w:r>
        <w:rPr>
          <w:rFonts w:ascii="Arial" w:hAnsi="Arial"/>
          <w:color w:val="231F20"/>
          <w:spacing w:val="-2"/>
          <w:w w:val="110"/>
          <w:sz w:val="19"/>
        </w:rPr>
        <w:t>pages</w:t>
      </w:r>
    </w:p>
    <w:p>
      <w:pPr>
        <w:spacing w:line="328" w:lineRule="auto" w:before="82"/>
        <w:ind w:left="1509" w:right="667" w:hanging="340"/>
        <w:jc w:val="left"/>
        <w:rPr>
          <w:rFonts w:ascii="Arial" w:hAnsi="Arial"/>
          <w:sz w:val="19"/>
        </w:rPr>
      </w:pPr>
      <w:r>
        <w:rPr>
          <w:rFonts w:ascii="Arial" w:hAnsi="Arial"/>
          <w:i/>
          <w:color w:val="231F20"/>
          <w:spacing w:val="-2"/>
          <w:w w:val="115"/>
          <w:sz w:val="19"/>
        </w:rPr>
        <w:t>Firewall</w:t>
      </w:r>
      <w:r>
        <w:rPr>
          <w:rFonts w:ascii="Arial" w:hAnsi="Arial"/>
          <w:i/>
          <w:color w:val="231F20"/>
          <w:spacing w:val="-42"/>
          <w:w w:val="115"/>
          <w:sz w:val="19"/>
        </w:rPr>
        <w:t> </w:t>
      </w:r>
      <w:r>
        <w:rPr>
          <w:rFonts w:ascii="Arial" w:hAnsi="Arial"/>
          <w:color w:val="231F20"/>
          <w:spacing w:val="-2"/>
          <w:w w:val="115"/>
          <w:sz w:val="19"/>
        </w:rPr>
        <w:t>—</w:t>
      </w:r>
      <w:r>
        <w:rPr>
          <w:rFonts w:ascii="Arial" w:hAnsi="Arial"/>
          <w:color w:val="231F20"/>
          <w:spacing w:val="-42"/>
          <w:w w:val="115"/>
          <w:sz w:val="19"/>
        </w:rPr>
        <w:t> </w:t>
      </w:r>
      <w:r>
        <w:rPr>
          <w:rFonts w:ascii="Arial" w:hAnsi="Arial"/>
          <w:color w:val="231F20"/>
          <w:spacing w:val="-2"/>
          <w:w w:val="115"/>
          <w:sz w:val="19"/>
        </w:rPr>
        <w:t>Network protection from unauthorized access from </w:t>
      </w:r>
      <w:r>
        <w:rPr>
          <w:rFonts w:ascii="Arial" w:hAnsi="Arial"/>
          <w:color w:val="231F20"/>
          <w:w w:val="115"/>
          <w:sz w:val="19"/>
        </w:rPr>
        <w:t>outside computer users</w:t>
      </w:r>
    </w:p>
    <w:p>
      <w:pPr>
        <w:spacing w:line="328" w:lineRule="auto" w:before="1"/>
        <w:ind w:left="1509" w:right="1045" w:hanging="340"/>
        <w:jc w:val="left"/>
        <w:rPr>
          <w:rFonts w:ascii="Arial" w:hAnsi="Arial"/>
          <w:sz w:val="19"/>
        </w:rPr>
      </w:pPr>
      <w:r>
        <w:rPr>
          <w:rFonts w:ascii="Arial" w:hAnsi="Arial"/>
          <w:i/>
          <w:color w:val="231F20"/>
          <w:w w:val="115"/>
          <w:sz w:val="19"/>
        </w:rPr>
        <w:t>Moore’s</w:t>
      </w:r>
      <w:r>
        <w:rPr>
          <w:rFonts w:ascii="Arial" w:hAnsi="Arial"/>
          <w:i/>
          <w:color w:val="231F20"/>
          <w:spacing w:val="-4"/>
          <w:w w:val="115"/>
          <w:sz w:val="19"/>
        </w:rPr>
        <w:t> </w:t>
      </w:r>
      <w:r>
        <w:rPr>
          <w:rFonts w:ascii="Arial" w:hAnsi="Arial"/>
          <w:i/>
          <w:color w:val="231F20"/>
          <w:w w:val="115"/>
          <w:sz w:val="19"/>
        </w:rPr>
        <w:t>Law</w:t>
      </w:r>
      <w:r>
        <w:rPr>
          <w:rFonts w:ascii="Arial" w:hAnsi="Arial"/>
          <w:color w:val="231F20"/>
          <w:w w:val="115"/>
          <w:sz w:val="19"/>
        </w:rPr>
        <w:t>—</w:t>
      </w:r>
      <w:r>
        <w:rPr>
          <w:rFonts w:ascii="Arial" w:hAnsi="Arial"/>
          <w:color w:val="231F20"/>
          <w:spacing w:val="-42"/>
          <w:w w:val="115"/>
          <w:sz w:val="19"/>
        </w:rPr>
        <w:t> </w:t>
      </w:r>
      <w:r>
        <w:rPr>
          <w:rFonts w:ascii="Arial" w:hAnsi="Arial"/>
          <w:color w:val="231F20"/>
          <w:w w:val="115"/>
          <w:sz w:val="19"/>
        </w:rPr>
        <w:t>Intel</w:t>
      </w:r>
      <w:r>
        <w:rPr>
          <w:rFonts w:ascii="Arial" w:hAnsi="Arial"/>
          <w:color w:val="231F20"/>
          <w:spacing w:val="-3"/>
          <w:w w:val="115"/>
          <w:sz w:val="19"/>
        </w:rPr>
        <w:t> </w:t>
      </w:r>
      <w:r>
        <w:rPr>
          <w:rFonts w:ascii="Arial" w:hAnsi="Arial"/>
          <w:color w:val="231F20"/>
          <w:w w:val="115"/>
          <w:sz w:val="19"/>
        </w:rPr>
        <w:t>founder</w:t>
      </w:r>
      <w:r>
        <w:rPr>
          <w:rFonts w:ascii="Arial" w:hAnsi="Arial"/>
          <w:color w:val="231F20"/>
          <w:spacing w:val="-3"/>
          <w:w w:val="115"/>
          <w:sz w:val="19"/>
        </w:rPr>
        <w:t> </w:t>
      </w:r>
      <w:r>
        <w:rPr>
          <w:rFonts w:ascii="Arial" w:hAnsi="Arial"/>
          <w:color w:val="231F20"/>
          <w:w w:val="115"/>
          <w:sz w:val="19"/>
        </w:rPr>
        <w:t>Gordon</w:t>
      </w:r>
      <w:r>
        <w:rPr>
          <w:rFonts w:ascii="Arial" w:hAnsi="Arial"/>
          <w:color w:val="231F20"/>
          <w:spacing w:val="-3"/>
          <w:w w:val="115"/>
          <w:sz w:val="19"/>
        </w:rPr>
        <w:t> </w:t>
      </w:r>
      <w:r>
        <w:rPr>
          <w:rFonts w:ascii="Arial" w:hAnsi="Arial"/>
          <w:color w:val="231F20"/>
          <w:w w:val="115"/>
          <w:sz w:val="19"/>
        </w:rPr>
        <w:t>Moore’s</w:t>
      </w:r>
      <w:r>
        <w:rPr>
          <w:rFonts w:ascii="Arial" w:hAnsi="Arial"/>
          <w:color w:val="231F20"/>
          <w:spacing w:val="-3"/>
          <w:w w:val="115"/>
          <w:sz w:val="19"/>
        </w:rPr>
        <w:t> </w:t>
      </w:r>
      <w:r>
        <w:rPr>
          <w:rFonts w:ascii="Arial" w:hAnsi="Arial"/>
          <w:color w:val="231F20"/>
          <w:w w:val="115"/>
          <w:sz w:val="19"/>
        </w:rPr>
        <w:t>idea</w:t>
      </w:r>
      <w:r>
        <w:rPr>
          <w:rFonts w:ascii="Arial" w:hAnsi="Arial"/>
          <w:color w:val="231F20"/>
          <w:spacing w:val="-3"/>
          <w:w w:val="115"/>
          <w:sz w:val="19"/>
        </w:rPr>
        <w:t> </w:t>
      </w:r>
      <w:r>
        <w:rPr>
          <w:rFonts w:ascii="Arial" w:hAnsi="Arial"/>
          <w:color w:val="231F20"/>
          <w:w w:val="115"/>
          <w:sz w:val="19"/>
        </w:rPr>
        <w:t>that processing</w:t>
      </w:r>
      <w:r>
        <w:rPr>
          <w:rFonts w:ascii="Arial" w:hAnsi="Arial"/>
          <w:color w:val="231F20"/>
          <w:spacing w:val="-16"/>
          <w:w w:val="115"/>
          <w:sz w:val="19"/>
        </w:rPr>
        <w:t> </w:t>
      </w:r>
      <w:r>
        <w:rPr>
          <w:rFonts w:ascii="Arial" w:hAnsi="Arial"/>
          <w:color w:val="231F20"/>
          <w:w w:val="115"/>
          <w:sz w:val="19"/>
        </w:rPr>
        <w:t>power</w:t>
      </w:r>
      <w:r>
        <w:rPr>
          <w:rFonts w:ascii="Arial" w:hAnsi="Arial"/>
          <w:color w:val="231F20"/>
          <w:spacing w:val="-15"/>
          <w:w w:val="115"/>
          <w:sz w:val="19"/>
        </w:rPr>
        <w:t> </w:t>
      </w:r>
      <w:r>
        <w:rPr>
          <w:rFonts w:ascii="Arial" w:hAnsi="Arial"/>
          <w:color w:val="231F20"/>
          <w:w w:val="115"/>
          <w:sz w:val="19"/>
        </w:rPr>
        <w:t>doubles</w:t>
      </w:r>
      <w:r>
        <w:rPr>
          <w:rFonts w:ascii="Arial" w:hAnsi="Arial"/>
          <w:color w:val="231F20"/>
          <w:spacing w:val="-15"/>
          <w:w w:val="115"/>
          <w:sz w:val="19"/>
        </w:rPr>
        <w:t> </w:t>
      </w:r>
      <w:r>
        <w:rPr>
          <w:rFonts w:ascii="Arial" w:hAnsi="Arial"/>
          <w:color w:val="231F20"/>
          <w:w w:val="115"/>
          <w:sz w:val="19"/>
        </w:rPr>
        <w:t>every</w:t>
      </w:r>
      <w:r>
        <w:rPr>
          <w:rFonts w:ascii="Arial" w:hAnsi="Arial"/>
          <w:color w:val="231F20"/>
          <w:spacing w:val="-15"/>
          <w:w w:val="115"/>
          <w:sz w:val="19"/>
        </w:rPr>
        <w:t> </w:t>
      </w:r>
      <w:r>
        <w:rPr>
          <w:rFonts w:ascii="Arial" w:hAnsi="Arial"/>
          <w:color w:val="231F20"/>
          <w:w w:val="115"/>
          <w:sz w:val="19"/>
        </w:rPr>
        <w:t>eighteen</w:t>
      </w:r>
      <w:r>
        <w:rPr>
          <w:rFonts w:ascii="Arial" w:hAnsi="Arial"/>
          <w:color w:val="231F20"/>
          <w:spacing w:val="-15"/>
          <w:w w:val="115"/>
          <w:sz w:val="19"/>
        </w:rPr>
        <w:t> </w:t>
      </w:r>
      <w:r>
        <w:rPr>
          <w:rFonts w:ascii="Arial" w:hAnsi="Arial"/>
          <w:color w:val="231F20"/>
          <w:w w:val="115"/>
          <w:sz w:val="19"/>
        </w:rPr>
        <w:t>months</w:t>
      </w:r>
      <w:r>
        <w:rPr>
          <w:rFonts w:ascii="Arial" w:hAnsi="Arial"/>
          <w:color w:val="231F20"/>
          <w:spacing w:val="-16"/>
          <w:w w:val="115"/>
          <w:sz w:val="19"/>
        </w:rPr>
        <w:t> </w:t>
      </w:r>
      <w:r>
        <w:rPr>
          <w:rFonts w:ascii="Arial" w:hAnsi="Arial"/>
          <w:color w:val="231F20"/>
          <w:w w:val="115"/>
          <w:sz w:val="19"/>
        </w:rPr>
        <w:t>with proportionate decreases in cost</w:t>
      </w:r>
    </w:p>
    <w:p>
      <w:pPr>
        <w:pStyle w:val="BodyText"/>
        <w:spacing w:before="3"/>
        <w:rPr>
          <w:rFonts w:ascii="Arial"/>
          <w:sz w:val="25"/>
        </w:rPr>
      </w:pPr>
    </w:p>
    <w:p>
      <w:pPr>
        <w:pStyle w:val="BodyText"/>
        <w:spacing w:line="292" w:lineRule="auto"/>
        <w:ind w:left="830" w:right="755" w:firstLine="340"/>
        <w:jc w:val="both"/>
      </w:pPr>
      <w:r>
        <w:rPr>
          <w:color w:val="231F20"/>
        </w:rPr>
        <w:t>Besides knowing the vocabulary, it is important that MBAs </w:t>
      </w:r>
      <w:r>
        <w:rPr>
          <w:color w:val="231F20"/>
        </w:rPr>
        <w:t>be- come knowledgeable computer buyers. The same equipment that</w:t>
      </w:r>
      <w:r>
        <w:rPr>
          <w:color w:val="231F20"/>
          <w:spacing w:val="80"/>
        </w:rPr>
        <w:t> </w:t>
      </w:r>
      <w:r>
        <w:rPr>
          <w:color w:val="231F20"/>
        </w:rPr>
        <w:t>can create a competitive advantage can also become a disadvantage</w:t>
      </w:r>
      <w:r>
        <w:rPr>
          <w:color w:val="231F20"/>
          <w:spacing w:val="80"/>
        </w:rPr>
        <w:t> </w:t>
      </w:r>
      <w:r>
        <w:rPr>
          <w:color w:val="231F20"/>
        </w:rPr>
        <w:t>if the equipment or the programming cannot be changed to suit the company’s needs. Therefore computers and other technology pur- chases should be made after considering the company’s long-range </w:t>
      </w:r>
      <w:r>
        <w:rPr>
          <w:color w:val="231F20"/>
          <w:spacing w:val="-2"/>
        </w:rPr>
        <w:t>strategy.</w:t>
      </w:r>
    </w:p>
    <w:p>
      <w:pPr>
        <w:pStyle w:val="BodyText"/>
        <w:rPr>
          <w:sz w:val="24"/>
        </w:rPr>
      </w:pPr>
    </w:p>
    <w:p>
      <w:pPr>
        <w:pStyle w:val="BodyText"/>
        <w:spacing w:before="9"/>
        <w:rPr>
          <w:sz w:val="24"/>
        </w:rPr>
      </w:pPr>
    </w:p>
    <w:p>
      <w:pPr>
        <w:pStyle w:val="Heading4"/>
        <w:ind w:left="301"/>
      </w:pPr>
      <w:r>
        <w:rPr>
          <w:color w:val="231F20"/>
          <w:w w:val="80"/>
        </w:rPr>
        <w:t>OPERATIONS</w:t>
      </w:r>
      <w:r>
        <w:rPr>
          <w:color w:val="231F20"/>
          <w:spacing w:val="47"/>
        </w:rPr>
        <w:t>  </w:t>
      </w:r>
      <w:r>
        <w:rPr>
          <w:color w:val="231F20"/>
          <w:spacing w:val="11"/>
          <w:w w:val="80"/>
        </w:rPr>
        <w:t>WRAP-</w:t>
      </w:r>
      <w:r>
        <w:rPr>
          <w:color w:val="231F20"/>
          <w:spacing w:val="6"/>
          <w:w w:val="80"/>
        </w:rPr>
        <w:t>UP</w:t>
      </w:r>
    </w:p>
    <w:p>
      <w:pPr>
        <w:pStyle w:val="BodyText"/>
        <w:spacing w:before="10"/>
        <w:rPr>
          <w:rFonts w:ascii="Trebuchet MS"/>
          <w:sz w:val="29"/>
        </w:rPr>
      </w:pPr>
    </w:p>
    <w:p>
      <w:pPr>
        <w:pStyle w:val="BodyText"/>
        <w:spacing w:line="292" w:lineRule="auto" w:before="1"/>
        <w:ind w:left="830" w:right="756"/>
        <w:jc w:val="both"/>
      </w:pPr>
      <w:r>
        <w:rPr>
          <w:color w:val="231F20"/>
        </w:rPr>
        <w:t>In all operational situations a five-issue framework applies: </w:t>
      </w:r>
      <w:r>
        <w:rPr>
          <w:color w:val="231F20"/>
        </w:rPr>
        <w:t>capacity, scheduling, inventory, standards, and controls. With that frame- work, a little history, some vocabulary, six M’s, and a few formulas, the top MBA schools thrust their students into the business world. Imagine yourself as a consultant reviewing the operations of Onoff, Inc., a switch supplier to IBM. Onoff has been running short of cash. Product defects have plagued the factory, and costs have been rising. Based on the MBA knowledge culled from this chapter, you would start your investigation by asking a few questions:</w:t>
      </w:r>
    </w:p>
    <w:p>
      <w:pPr>
        <w:pStyle w:val="BodyText"/>
        <w:spacing w:before="1"/>
        <w:rPr>
          <w:sz w:val="27"/>
        </w:rPr>
      </w:pPr>
    </w:p>
    <w:p>
      <w:pPr>
        <w:spacing w:line="328" w:lineRule="auto" w:before="0"/>
        <w:ind w:left="1510" w:right="966" w:hanging="340"/>
        <w:jc w:val="left"/>
        <w:rPr>
          <w:rFonts w:ascii="Arial"/>
          <w:sz w:val="19"/>
        </w:rPr>
      </w:pPr>
      <w:r>
        <w:rPr>
          <w:rFonts w:ascii="Arial"/>
          <w:color w:val="231F20"/>
          <w:w w:val="115"/>
          <w:sz w:val="19"/>
        </w:rPr>
        <w:t>What</w:t>
      </w:r>
      <w:r>
        <w:rPr>
          <w:rFonts w:ascii="Arial"/>
          <w:color w:val="231F20"/>
          <w:spacing w:val="-11"/>
          <w:w w:val="115"/>
          <w:sz w:val="19"/>
        </w:rPr>
        <w:t> </w:t>
      </w:r>
      <w:r>
        <w:rPr>
          <w:rFonts w:ascii="Arial"/>
          <w:color w:val="231F20"/>
          <w:w w:val="115"/>
          <w:sz w:val="19"/>
        </w:rPr>
        <w:t>is</w:t>
      </w:r>
      <w:r>
        <w:rPr>
          <w:rFonts w:ascii="Arial"/>
          <w:color w:val="231F20"/>
          <w:spacing w:val="-11"/>
          <w:w w:val="115"/>
          <w:sz w:val="19"/>
        </w:rPr>
        <w:t> </w:t>
      </w:r>
      <w:r>
        <w:rPr>
          <w:rFonts w:ascii="Arial"/>
          <w:color w:val="231F20"/>
          <w:w w:val="115"/>
          <w:sz w:val="19"/>
        </w:rPr>
        <w:t>the</w:t>
      </w:r>
      <w:r>
        <w:rPr>
          <w:rFonts w:ascii="Arial"/>
          <w:color w:val="231F20"/>
          <w:spacing w:val="-11"/>
          <w:w w:val="115"/>
          <w:sz w:val="19"/>
        </w:rPr>
        <w:t> </w:t>
      </w:r>
      <w:r>
        <w:rPr>
          <w:rFonts w:ascii="Arial"/>
          <w:color w:val="231F20"/>
          <w:w w:val="115"/>
          <w:sz w:val="19"/>
        </w:rPr>
        <w:t>management</w:t>
      </w:r>
      <w:r>
        <w:rPr>
          <w:rFonts w:ascii="Arial"/>
          <w:color w:val="231F20"/>
          <w:spacing w:val="-11"/>
          <w:w w:val="115"/>
          <w:sz w:val="19"/>
        </w:rPr>
        <w:t> </w:t>
      </w:r>
      <w:r>
        <w:rPr>
          <w:rFonts w:ascii="Arial"/>
          <w:color w:val="231F20"/>
          <w:w w:val="115"/>
          <w:sz w:val="19"/>
        </w:rPr>
        <w:t>style</w:t>
      </w:r>
      <w:r>
        <w:rPr>
          <w:rFonts w:ascii="Arial"/>
          <w:color w:val="231F20"/>
          <w:spacing w:val="-11"/>
          <w:w w:val="115"/>
          <w:sz w:val="19"/>
        </w:rPr>
        <w:t> </w:t>
      </w:r>
      <w:r>
        <w:rPr>
          <w:rFonts w:ascii="Arial"/>
          <w:color w:val="231F20"/>
          <w:w w:val="115"/>
          <w:sz w:val="19"/>
        </w:rPr>
        <w:t>used</w:t>
      </w:r>
      <w:r>
        <w:rPr>
          <w:rFonts w:ascii="Arial"/>
          <w:color w:val="231F20"/>
          <w:spacing w:val="-11"/>
          <w:w w:val="115"/>
          <w:sz w:val="19"/>
        </w:rPr>
        <w:t> </w:t>
      </w:r>
      <w:r>
        <w:rPr>
          <w:rFonts w:ascii="Arial"/>
          <w:color w:val="231F20"/>
          <w:w w:val="115"/>
          <w:sz w:val="19"/>
        </w:rPr>
        <w:t>in</w:t>
      </w:r>
      <w:r>
        <w:rPr>
          <w:rFonts w:ascii="Arial"/>
          <w:color w:val="231F20"/>
          <w:spacing w:val="-11"/>
          <w:w w:val="115"/>
          <w:sz w:val="19"/>
        </w:rPr>
        <w:t> </w:t>
      </w:r>
      <w:r>
        <w:rPr>
          <w:rFonts w:ascii="Arial"/>
          <w:color w:val="231F20"/>
          <w:w w:val="115"/>
          <w:sz w:val="19"/>
        </w:rPr>
        <w:t>the</w:t>
      </w:r>
      <w:r>
        <w:rPr>
          <w:rFonts w:ascii="Arial"/>
          <w:color w:val="231F20"/>
          <w:spacing w:val="-11"/>
          <w:w w:val="115"/>
          <w:sz w:val="19"/>
        </w:rPr>
        <w:t> </w:t>
      </w:r>
      <w:r>
        <w:rPr>
          <w:rFonts w:ascii="Arial"/>
          <w:color w:val="231F20"/>
          <w:w w:val="115"/>
          <w:sz w:val="19"/>
        </w:rPr>
        <w:t>plant?</w:t>
      </w:r>
      <w:r>
        <w:rPr>
          <w:rFonts w:ascii="Arial"/>
          <w:color w:val="231F20"/>
          <w:spacing w:val="-11"/>
          <w:w w:val="115"/>
          <w:sz w:val="19"/>
        </w:rPr>
        <w:t> </w:t>
      </w:r>
      <w:r>
        <w:rPr>
          <w:rFonts w:ascii="Arial"/>
          <w:color w:val="231F20"/>
          <w:w w:val="115"/>
          <w:sz w:val="19"/>
        </w:rPr>
        <w:t>Theory</w:t>
      </w:r>
      <w:r>
        <w:rPr>
          <w:rFonts w:ascii="Arial"/>
          <w:color w:val="231F20"/>
          <w:spacing w:val="-11"/>
          <w:w w:val="115"/>
          <w:sz w:val="19"/>
        </w:rPr>
        <w:t> </w:t>
      </w:r>
      <w:r>
        <w:rPr>
          <w:rFonts w:ascii="Arial"/>
          <w:color w:val="231F20"/>
          <w:w w:val="115"/>
          <w:sz w:val="19"/>
        </w:rPr>
        <w:t>X, Y, or Z?</w:t>
      </w:r>
    </w:p>
    <w:p>
      <w:pPr>
        <w:spacing w:after="0" w:line="328" w:lineRule="auto"/>
        <w:jc w:val="left"/>
        <w:rPr>
          <w:rFonts w:ascii="Arial"/>
          <w:sz w:val="19"/>
        </w:rPr>
        <w:sectPr>
          <w:pgSz w:w="8640" w:h="12960"/>
          <w:pgMar w:header="732" w:footer="0" w:top="920" w:bottom="280" w:left="340" w:right="500"/>
        </w:sectPr>
      </w:pPr>
    </w:p>
    <w:p>
      <w:pPr>
        <w:pStyle w:val="BodyText"/>
        <w:spacing w:before="6"/>
        <w:rPr>
          <w:rFonts w:ascii="Arial"/>
          <w:sz w:val="19"/>
        </w:rPr>
      </w:pPr>
    </w:p>
    <w:p>
      <w:pPr>
        <w:spacing w:before="97"/>
        <w:ind w:left="1260" w:right="0" w:firstLine="0"/>
        <w:jc w:val="left"/>
        <w:rPr>
          <w:rFonts w:ascii="Arial"/>
          <w:sz w:val="19"/>
        </w:rPr>
      </w:pPr>
      <w:r>
        <w:rPr>
          <w:rFonts w:ascii="Arial"/>
          <w:color w:val="231F20"/>
          <w:w w:val="115"/>
          <w:sz w:val="19"/>
        </w:rPr>
        <w:t>Are the workers properly </w:t>
      </w:r>
      <w:r>
        <w:rPr>
          <w:rFonts w:ascii="Arial"/>
          <w:color w:val="231F20"/>
          <w:spacing w:val="-2"/>
          <w:w w:val="115"/>
          <w:sz w:val="19"/>
        </w:rPr>
        <w:t>trained?</w:t>
      </w:r>
    </w:p>
    <w:p>
      <w:pPr>
        <w:spacing w:before="82"/>
        <w:ind w:left="1260" w:right="0" w:firstLine="0"/>
        <w:jc w:val="left"/>
        <w:rPr>
          <w:rFonts w:ascii="Arial"/>
          <w:sz w:val="19"/>
        </w:rPr>
      </w:pPr>
      <w:r>
        <w:rPr>
          <w:rFonts w:ascii="Arial"/>
          <w:color w:val="231F20"/>
          <w:w w:val="115"/>
          <w:sz w:val="19"/>
        </w:rPr>
        <w:t>Is</w:t>
      </w:r>
      <w:r>
        <w:rPr>
          <w:rFonts w:ascii="Arial"/>
          <w:color w:val="231F20"/>
          <w:spacing w:val="-6"/>
          <w:w w:val="115"/>
          <w:sz w:val="19"/>
        </w:rPr>
        <w:t> </w:t>
      </w:r>
      <w:r>
        <w:rPr>
          <w:rFonts w:ascii="Arial"/>
          <w:color w:val="231F20"/>
          <w:w w:val="115"/>
          <w:sz w:val="19"/>
        </w:rPr>
        <w:t>the</w:t>
      </w:r>
      <w:r>
        <w:rPr>
          <w:rFonts w:ascii="Arial"/>
          <w:color w:val="231F20"/>
          <w:spacing w:val="-5"/>
          <w:w w:val="115"/>
          <w:sz w:val="19"/>
        </w:rPr>
        <w:t> </w:t>
      </w:r>
      <w:r>
        <w:rPr>
          <w:rFonts w:ascii="Arial"/>
          <w:color w:val="231F20"/>
          <w:w w:val="115"/>
          <w:sz w:val="19"/>
        </w:rPr>
        <w:t>production</w:t>
      </w:r>
      <w:r>
        <w:rPr>
          <w:rFonts w:ascii="Arial"/>
          <w:color w:val="231F20"/>
          <w:spacing w:val="-5"/>
          <w:w w:val="115"/>
          <w:sz w:val="19"/>
        </w:rPr>
        <w:t> </w:t>
      </w:r>
      <w:r>
        <w:rPr>
          <w:rFonts w:ascii="Arial"/>
          <w:color w:val="231F20"/>
          <w:w w:val="115"/>
          <w:sz w:val="19"/>
        </w:rPr>
        <w:t>equipment</w:t>
      </w:r>
      <w:r>
        <w:rPr>
          <w:rFonts w:ascii="Arial"/>
          <w:color w:val="231F20"/>
          <w:spacing w:val="-5"/>
          <w:w w:val="115"/>
          <w:sz w:val="19"/>
        </w:rPr>
        <w:t> </w:t>
      </w:r>
      <w:r>
        <w:rPr>
          <w:rFonts w:ascii="Arial"/>
          <w:color w:val="231F20"/>
          <w:w w:val="115"/>
          <w:sz w:val="19"/>
        </w:rPr>
        <w:t>adequate?</w:t>
      </w:r>
      <w:r>
        <w:rPr>
          <w:rFonts w:ascii="Arial"/>
          <w:color w:val="231F20"/>
          <w:spacing w:val="-6"/>
          <w:w w:val="115"/>
          <w:sz w:val="19"/>
        </w:rPr>
        <w:t> </w:t>
      </w:r>
      <w:r>
        <w:rPr>
          <w:rFonts w:ascii="Arial"/>
          <w:color w:val="231F20"/>
          <w:spacing w:val="-2"/>
          <w:w w:val="115"/>
          <w:sz w:val="19"/>
        </w:rPr>
        <w:t>Efficient?</w:t>
      </w:r>
    </w:p>
    <w:p>
      <w:pPr>
        <w:spacing w:line="328" w:lineRule="auto" w:before="81"/>
        <w:ind w:left="1600" w:right="1262" w:hanging="340"/>
        <w:jc w:val="left"/>
        <w:rPr>
          <w:rFonts w:ascii="Arial"/>
          <w:sz w:val="19"/>
        </w:rPr>
      </w:pPr>
      <w:r>
        <w:rPr>
          <w:rFonts w:ascii="Arial"/>
          <w:color w:val="231F20"/>
          <w:w w:val="115"/>
          <w:sz w:val="19"/>
        </w:rPr>
        <w:t>Are</w:t>
      </w:r>
      <w:r>
        <w:rPr>
          <w:rFonts w:ascii="Arial"/>
          <w:color w:val="231F20"/>
          <w:spacing w:val="-16"/>
          <w:w w:val="115"/>
          <w:sz w:val="19"/>
        </w:rPr>
        <w:t> </w:t>
      </w:r>
      <w:r>
        <w:rPr>
          <w:rFonts w:ascii="Arial"/>
          <w:color w:val="231F20"/>
          <w:w w:val="115"/>
          <w:sz w:val="19"/>
        </w:rPr>
        <w:t>there</w:t>
      </w:r>
      <w:r>
        <w:rPr>
          <w:rFonts w:ascii="Arial"/>
          <w:color w:val="231F20"/>
          <w:spacing w:val="-15"/>
          <w:w w:val="115"/>
          <w:sz w:val="19"/>
        </w:rPr>
        <w:t> </w:t>
      </w:r>
      <w:r>
        <w:rPr>
          <w:rFonts w:ascii="Arial"/>
          <w:color w:val="231F20"/>
          <w:w w:val="115"/>
          <w:sz w:val="19"/>
        </w:rPr>
        <w:t>material</w:t>
      </w:r>
      <w:r>
        <w:rPr>
          <w:rFonts w:ascii="Arial"/>
          <w:color w:val="231F20"/>
          <w:spacing w:val="-15"/>
          <w:w w:val="115"/>
          <w:sz w:val="19"/>
        </w:rPr>
        <w:t> </w:t>
      </w:r>
      <w:r>
        <w:rPr>
          <w:rFonts w:ascii="Arial"/>
          <w:color w:val="231F20"/>
          <w:w w:val="115"/>
          <w:sz w:val="19"/>
        </w:rPr>
        <w:t>supplier</w:t>
      </w:r>
      <w:r>
        <w:rPr>
          <w:rFonts w:ascii="Arial"/>
          <w:color w:val="231F20"/>
          <w:spacing w:val="-15"/>
          <w:w w:val="115"/>
          <w:sz w:val="19"/>
        </w:rPr>
        <w:t> </w:t>
      </w:r>
      <w:r>
        <w:rPr>
          <w:rFonts w:ascii="Arial"/>
          <w:color w:val="231F20"/>
          <w:w w:val="115"/>
          <w:sz w:val="19"/>
        </w:rPr>
        <w:t>problems?</w:t>
      </w:r>
      <w:r>
        <w:rPr>
          <w:rFonts w:ascii="Arial"/>
          <w:color w:val="231F20"/>
          <w:spacing w:val="-15"/>
          <w:w w:val="115"/>
          <w:sz w:val="19"/>
        </w:rPr>
        <w:t> </w:t>
      </w:r>
      <w:r>
        <w:rPr>
          <w:rFonts w:ascii="Arial"/>
          <w:color w:val="231F20"/>
          <w:w w:val="115"/>
          <w:sz w:val="19"/>
        </w:rPr>
        <w:t>Quality,</w:t>
      </w:r>
      <w:r>
        <w:rPr>
          <w:rFonts w:ascii="Arial"/>
          <w:color w:val="231F20"/>
          <w:spacing w:val="-16"/>
          <w:w w:val="115"/>
          <w:sz w:val="19"/>
        </w:rPr>
        <w:t> </w:t>
      </w:r>
      <w:r>
        <w:rPr>
          <w:rFonts w:ascii="Arial"/>
          <w:color w:val="231F20"/>
          <w:w w:val="115"/>
          <w:sz w:val="19"/>
        </w:rPr>
        <w:t>Delivery </w:t>
      </w:r>
      <w:r>
        <w:rPr>
          <w:rFonts w:ascii="Arial"/>
          <w:color w:val="231F20"/>
          <w:spacing w:val="-2"/>
          <w:w w:val="115"/>
          <w:sz w:val="19"/>
        </w:rPr>
        <w:t>problems?</w:t>
      </w:r>
    </w:p>
    <w:p>
      <w:pPr>
        <w:spacing w:line="328" w:lineRule="auto" w:before="2"/>
        <w:ind w:left="1600" w:right="667" w:hanging="340"/>
        <w:jc w:val="left"/>
        <w:rPr>
          <w:rFonts w:ascii="Arial"/>
          <w:sz w:val="19"/>
        </w:rPr>
      </w:pPr>
      <w:r>
        <w:rPr>
          <w:rFonts w:ascii="Arial"/>
          <w:color w:val="231F20"/>
          <w:w w:val="115"/>
          <w:sz w:val="19"/>
        </w:rPr>
        <w:t>Is</w:t>
      </w:r>
      <w:r>
        <w:rPr>
          <w:rFonts w:ascii="Arial"/>
          <w:color w:val="231F20"/>
          <w:spacing w:val="-9"/>
          <w:w w:val="115"/>
          <w:sz w:val="19"/>
        </w:rPr>
        <w:t> </w:t>
      </w:r>
      <w:r>
        <w:rPr>
          <w:rFonts w:ascii="Arial"/>
          <w:color w:val="231F20"/>
          <w:w w:val="115"/>
          <w:sz w:val="19"/>
        </w:rPr>
        <w:t>the</w:t>
      </w:r>
      <w:r>
        <w:rPr>
          <w:rFonts w:ascii="Arial"/>
          <w:color w:val="231F20"/>
          <w:spacing w:val="-9"/>
          <w:w w:val="115"/>
          <w:sz w:val="19"/>
        </w:rPr>
        <w:t> </w:t>
      </w:r>
      <w:r>
        <w:rPr>
          <w:rFonts w:ascii="Arial"/>
          <w:color w:val="231F20"/>
          <w:w w:val="115"/>
          <w:sz w:val="19"/>
        </w:rPr>
        <w:t>production</w:t>
      </w:r>
      <w:r>
        <w:rPr>
          <w:rFonts w:ascii="Arial"/>
          <w:color w:val="231F20"/>
          <w:spacing w:val="-9"/>
          <w:w w:val="115"/>
          <w:sz w:val="19"/>
        </w:rPr>
        <w:t> </w:t>
      </w:r>
      <w:r>
        <w:rPr>
          <w:rFonts w:ascii="Arial"/>
          <w:color w:val="231F20"/>
          <w:w w:val="115"/>
          <w:sz w:val="19"/>
        </w:rPr>
        <w:t>process</w:t>
      </w:r>
      <w:r>
        <w:rPr>
          <w:rFonts w:ascii="Arial"/>
          <w:color w:val="231F20"/>
          <w:spacing w:val="-9"/>
          <w:w w:val="115"/>
          <w:sz w:val="19"/>
        </w:rPr>
        <w:t> </w:t>
      </w:r>
      <w:r>
        <w:rPr>
          <w:rFonts w:ascii="Arial"/>
          <w:color w:val="231F20"/>
          <w:w w:val="115"/>
          <w:sz w:val="19"/>
        </w:rPr>
        <w:t>efficiently</w:t>
      </w:r>
      <w:r>
        <w:rPr>
          <w:rFonts w:ascii="Arial"/>
          <w:color w:val="231F20"/>
          <w:spacing w:val="-9"/>
          <w:w w:val="115"/>
          <w:sz w:val="19"/>
        </w:rPr>
        <w:t> </w:t>
      </w:r>
      <w:r>
        <w:rPr>
          <w:rFonts w:ascii="Arial"/>
          <w:color w:val="231F20"/>
          <w:w w:val="115"/>
          <w:sz w:val="19"/>
        </w:rPr>
        <w:t>configured?</w:t>
      </w:r>
      <w:r>
        <w:rPr>
          <w:rFonts w:ascii="Arial"/>
          <w:color w:val="231F20"/>
          <w:spacing w:val="-9"/>
          <w:w w:val="115"/>
          <w:sz w:val="19"/>
        </w:rPr>
        <w:t> </w:t>
      </w:r>
      <w:r>
        <w:rPr>
          <w:rFonts w:ascii="Arial"/>
          <w:color w:val="231F20"/>
          <w:w w:val="115"/>
          <w:sz w:val="19"/>
        </w:rPr>
        <w:t>Consider</w:t>
      </w:r>
      <w:r>
        <w:rPr>
          <w:rFonts w:ascii="Arial"/>
          <w:color w:val="231F20"/>
          <w:spacing w:val="-9"/>
          <w:w w:val="115"/>
          <w:sz w:val="19"/>
        </w:rPr>
        <w:t> </w:t>
      </w:r>
      <w:r>
        <w:rPr>
          <w:rFonts w:ascii="Arial"/>
          <w:color w:val="231F20"/>
          <w:w w:val="115"/>
          <w:sz w:val="19"/>
        </w:rPr>
        <w:t>a flow diagram.</w:t>
      </w:r>
    </w:p>
    <w:p>
      <w:pPr>
        <w:spacing w:line="328" w:lineRule="auto" w:before="1"/>
        <w:ind w:left="1600" w:right="1045" w:hanging="340"/>
        <w:jc w:val="left"/>
        <w:rPr>
          <w:rFonts w:ascii="Arial"/>
          <w:sz w:val="19"/>
        </w:rPr>
      </w:pPr>
      <w:r>
        <w:rPr>
          <w:rFonts w:ascii="Arial"/>
          <w:color w:val="231F20"/>
          <w:w w:val="115"/>
          <w:sz w:val="19"/>
        </w:rPr>
        <w:t>Can</w:t>
      </w:r>
      <w:r>
        <w:rPr>
          <w:rFonts w:ascii="Arial"/>
          <w:color w:val="231F20"/>
          <w:spacing w:val="-9"/>
          <w:w w:val="115"/>
          <w:sz w:val="19"/>
        </w:rPr>
        <w:t> </w:t>
      </w:r>
      <w:r>
        <w:rPr>
          <w:rFonts w:ascii="Arial"/>
          <w:color w:val="231F20"/>
          <w:w w:val="115"/>
          <w:sz w:val="19"/>
        </w:rPr>
        <w:t>linear</w:t>
      </w:r>
      <w:r>
        <w:rPr>
          <w:rFonts w:ascii="Arial"/>
          <w:color w:val="231F20"/>
          <w:spacing w:val="-9"/>
          <w:w w:val="115"/>
          <w:sz w:val="19"/>
        </w:rPr>
        <w:t> </w:t>
      </w:r>
      <w:r>
        <w:rPr>
          <w:rFonts w:ascii="Arial"/>
          <w:color w:val="231F20"/>
          <w:w w:val="115"/>
          <w:sz w:val="19"/>
        </w:rPr>
        <w:t>programming</w:t>
      </w:r>
      <w:r>
        <w:rPr>
          <w:rFonts w:ascii="Arial"/>
          <w:color w:val="231F20"/>
          <w:spacing w:val="-9"/>
          <w:w w:val="115"/>
          <w:sz w:val="19"/>
        </w:rPr>
        <w:t> </w:t>
      </w:r>
      <w:r>
        <w:rPr>
          <w:rFonts w:ascii="Arial"/>
          <w:color w:val="231F20"/>
          <w:w w:val="115"/>
          <w:sz w:val="19"/>
        </w:rPr>
        <w:t>help</w:t>
      </w:r>
      <w:r>
        <w:rPr>
          <w:rFonts w:ascii="Arial"/>
          <w:color w:val="231F20"/>
          <w:spacing w:val="-9"/>
          <w:w w:val="115"/>
          <w:sz w:val="19"/>
        </w:rPr>
        <w:t> </w:t>
      </w:r>
      <w:r>
        <w:rPr>
          <w:rFonts w:ascii="Arial"/>
          <w:color w:val="231F20"/>
          <w:w w:val="115"/>
          <w:sz w:val="19"/>
        </w:rPr>
        <w:t>develop</w:t>
      </w:r>
      <w:r>
        <w:rPr>
          <w:rFonts w:ascii="Arial"/>
          <w:color w:val="231F20"/>
          <w:spacing w:val="-9"/>
          <w:w w:val="115"/>
          <w:sz w:val="19"/>
        </w:rPr>
        <w:t> </w:t>
      </w:r>
      <w:r>
        <w:rPr>
          <w:rFonts w:ascii="Arial"/>
          <w:color w:val="231F20"/>
          <w:w w:val="115"/>
          <w:sz w:val="19"/>
        </w:rPr>
        <w:t>a</w:t>
      </w:r>
      <w:r>
        <w:rPr>
          <w:rFonts w:ascii="Arial"/>
          <w:color w:val="231F20"/>
          <w:spacing w:val="-9"/>
          <w:w w:val="115"/>
          <w:sz w:val="19"/>
        </w:rPr>
        <w:t> </w:t>
      </w:r>
      <w:r>
        <w:rPr>
          <w:rFonts w:ascii="Arial"/>
          <w:color w:val="231F20"/>
          <w:w w:val="115"/>
          <w:sz w:val="19"/>
        </w:rPr>
        <w:t>more</w:t>
      </w:r>
      <w:r>
        <w:rPr>
          <w:rFonts w:ascii="Arial"/>
          <w:color w:val="231F20"/>
          <w:spacing w:val="-9"/>
          <w:w w:val="115"/>
          <w:sz w:val="19"/>
        </w:rPr>
        <w:t> </w:t>
      </w:r>
      <w:r>
        <w:rPr>
          <w:rFonts w:ascii="Arial"/>
          <w:color w:val="231F20"/>
          <w:w w:val="115"/>
          <w:sz w:val="19"/>
        </w:rPr>
        <w:t>profitable product mix?</w:t>
      </w:r>
    </w:p>
    <w:p>
      <w:pPr>
        <w:spacing w:line="328" w:lineRule="auto" w:before="1"/>
        <w:ind w:left="1600" w:right="730" w:hanging="340"/>
        <w:jc w:val="left"/>
        <w:rPr>
          <w:rFonts w:ascii="Arial"/>
          <w:sz w:val="19"/>
        </w:rPr>
      </w:pPr>
      <w:r>
        <w:rPr>
          <w:rFonts w:ascii="Arial"/>
          <w:color w:val="231F20"/>
          <w:w w:val="115"/>
          <w:sz w:val="19"/>
        </w:rPr>
        <w:t>Could an MRP system be used to coordinate the entire production</w:t>
      </w:r>
      <w:r>
        <w:rPr>
          <w:rFonts w:ascii="Arial"/>
          <w:color w:val="231F20"/>
          <w:spacing w:val="-16"/>
          <w:w w:val="115"/>
          <w:sz w:val="19"/>
        </w:rPr>
        <w:t> </w:t>
      </w:r>
      <w:r>
        <w:rPr>
          <w:rFonts w:ascii="Arial"/>
          <w:color w:val="231F20"/>
          <w:w w:val="115"/>
          <w:sz w:val="19"/>
        </w:rPr>
        <w:t>process,</w:t>
      </w:r>
      <w:r>
        <w:rPr>
          <w:rFonts w:ascii="Arial"/>
          <w:color w:val="231F20"/>
          <w:spacing w:val="-15"/>
          <w:w w:val="115"/>
          <w:sz w:val="19"/>
        </w:rPr>
        <w:t> </w:t>
      </w:r>
      <w:r>
        <w:rPr>
          <w:rFonts w:ascii="Arial"/>
          <w:color w:val="231F20"/>
          <w:w w:val="115"/>
          <w:sz w:val="19"/>
        </w:rPr>
        <w:t>or</w:t>
      </w:r>
      <w:r>
        <w:rPr>
          <w:rFonts w:ascii="Arial"/>
          <w:color w:val="231F20"/>
          <w:spacing w:val="-15"/>
          <w:w w:val="115"/>
          <w:sz w:val="19"/>
        </w:rPr>
        <w:t> </w:t>
      </w:r>
      <w:r>
        <w:rPr>
          <w:rFonts w:ascii="Arial"/>
          <w:color w:val="231F20"/>
          <w:w w:val="115"/>
          <w:sz w:val="19"/>
        </w:rPr>
        <w:t>a</w:t>
      </w:r>
      <w:r>
        <w:rPr>
          <w:rFonts w:ascii="Arial"/>
          <w:color w:val="231F20"/>
          <w:spacing w:val="-15"/>
          <w:w w:val="115"/>
          <w:sz w:val="19"/>
        </w:rPr>
        <w:t> </w:t>
      </w:r>
      <w:r>
        <w:rPr>
          <w:rFonts w:ascii="Arial"/>
          <w:color w:val="231F20"/>
          <w:w w:val="115"/>
          <w:sz w:val="19"/>
        </w:rPr>
        <w:t>CRM</w:t>
      </w:r>
      <w:r>
        <w:rPr>
          <w:rFonts w:ascii="Arial"/>
          <w:color w:val="231F20"/>
          <w:spacing w:val="-15"/>
          <w:w w:val="115"/>
          <w:sz w:val="19"/>
        </w:rPr>
        <w:t> </w:t>
      </w:r>
      <w:r>
        <w:rPr>
          <w:rFonts w:ascii="Arial"/>
          <w:color w:val="231F20"/>
          <w:w w:val="115"/>
          <w:sz w:val="19"/>
        </w:rPr>
        <w:t>system</w:t>
      </w:r>
      <w:r>
        <w:rPr>
          <w:rFonts w:ascii="Arial"/>
          <w:color w:val="231F20"/>
          <w:spacing w:val="-16"/>
          <w:w w:val="115"/>
          <w:sz w:val="19"/>
        </w:rPr>
        <w:t> </w:t>
      </w:r>
      <w:r>
        <w:rPr>
          <w:rFonts w:ascii="Arial"/>
          <w:color w:val="231F20"/>
          <w:w w:val="115"/>
          <w:sz w:val="19"/>
        </w:rPr>
        <w:t>be</w:t>
      </w:r>
      <w:r>
        <w:rPr>
          <w:rFonts w:ascii="Arial"/>
          <w:color w:val="231F20"/>
          <w:spacing w:val="-15"/>
          <w:w w:val="115"/>
          <w:sz w:val="19"/>
        </w:rPr>
        <w:t> </w:t>
      </w:r>
      <w:r>
        <w:rPr>
          <w:rFonts w:ascii="Arial"/>
          <w:color w:val="231F20"/>
          <w:w w:val="115"/>
          <w:sz w:val="19"/>
        </w:rPr>
        <w:t>used</w:t>
      </w:r>
      <w:r>
        <w:rPr>
          <w:rFonts w:ascii="Arial"/>
          <w:color w:val="231F20"/>
          <w:spacing w:val="-15"/>
          <w:w w:val="115"/>
          <w:sz w:val="19"/>
        </w:rPr>
        <w:t> </w:t>
      </w:r>
      <w:r>
        <w:rPr>
          <w:rFonts w:ascii="Arial"/>
          <w:color w:val="231F20"/>
          <w:w w:val="115"/>
          <w:sz w:val="19"/>
        </w:rPr>
        <w:t>to</w:t>
      </w:r>
      <w:r>
        <w:rPr>
          <w:rFonts w:ascii="Arial"/>
          <w:color w:val="231F20"/>
          <w:spacing w:val="-15"/>
          <w:w w:val="115"/>
          <w:sz w:val="19"/>
        </w:rPr>
        <w:t> </w:t>
      </w:r>
      <w:r>
        <w:rPr>
          <w:rFonts w:ascii="Arial"/>
          <w:color w:val="231F20"/>
          <w:w w:val="115"/>
          <w:sz w:val="19"/>
        </w:rPr>
        <w:t>manage the customer relationship?</w:t>
      </w:r>
    </w:p>
    <w:p>
      <w:pPr>
        <w:spacing w:line="328" w:lineRule="auto" w:before="2"/>
        <w:ind w:left="1600" w:right="751" w:hanging="340"/>
        <w:jc w:val="left"/>
        <w:rPr>
          <w:rFonts w:ascii="Arial"/>
          <w:sz w:val="19"/>
        </w:rPr>
      </w:pPr>
      <w:r>
        <w:rPr>
          <w:rFonts w:ascii="Arial"/>
          <w:color w:val="231F20"/>
          <w:w w:val="115"/>
          <w:sz w:val="19"/>
        </w:rPr>
        <w:t>Are</w:t>
      </w:r>
      <w:r>
        <w:rPr>
          <w:rFonts w:ascii="Arial"/>
          <w:color w:val="231F20"/>
          <w:spacing w:val="-7"/>
          <w:w w:val="115"/>
          <w:sz w:val="19"/>
        </w:rPr>
        <w:t> </w:t>
      </w:r>
      <w:r>
        <w:rPr>
          <w:rFonts w:ascii="Arial"/>
          <w:color w:val="231F20"/>
          <w:w w:val="115"/>
          <w:sz w:val="19"/>
        </w:rPr>
        <w:t>Economic</w:t>
      </w:r>
      <w:r>
        <w:rPr>
          <w:rFonts w:ascii="Arial"/>
          <w:color w:val="231F20"/>
          <w:spacing w:val="-7"/>
          <w:w w:val="115"/>
          <w:sz w:val="19"/>
        </w:rPr>
        <w:t> </w:t>
      </w:r>
      <w:r>
        <w:rPr>
          <w:rFonts w:ascii="Arial"/>
          <w:color w:val="231F20"/>
          <w:w w:val="115"/>
          <w:sz w:val="19"/>
        </w:rPr>
        <w:t>Order</w:t>
      </w:r>
      <w:r>
        <w:rPr>
          <w:rFonts w:ascii="Arial"/>
          <w:color w:val="231F20"/>
          <w:spacing w:val="-7"/>
          <w:w w:val="115"/>
          <w:sz w:val="19"/>
        </w:rPr>
        <w:t> </w:t>
      </w:r>
      <w:r>
        <w:rPr>
          <w:rFonts w:ascii="Arial"/>
          <w:color w:val="231F20"/>
          <w:w w:val="115"/>
          <w:sz w:val="19"/>
        </w:rPr>
        <w:t>Quantities</w:t>
      </w:r>
      <w:r>
        <w:rPr>
          <w:rFonts w:ascii="Arial"/>
          <w:color w:val="231F20"/>
          <w:spacing w:val="-7"/>
          <w:w w:val="115"/>
          <w:sz w:val="19"/>
        </w:rPr>
        <w:t> </w:t>
      </w:r>
      <w:r>
        <w:rPr>
          <w:rFonts w:ascii="Arial"/>
          <w:color w:val="231F20"/>
          <w:w w:val="115"/>
          <w:sz w:val="19"/>
        </w:rPr>
        <w:t>used</w:t>
      </w:r>
      <w:r>
        <w:rPr>
          <w:rFonts w:ascii="Arial"/>
          <w:color w:val="231F20"/>
          <w:spacing w:val="-7"/>
          <w:w w:val="115"/>
          <w:sz w:val="19"/>
        </w:rPr>
        <w:t> </w:t>
      </w:r>
      <w:r>
        <w:rPr>
          <w:rFonts w:ascii="Arial"/>
          <w:color w:val="231F20"/>
          <w:w w:val="115"/>
          <w:sz w:val="19"/>
        </w:rPr>
        <w:t>for</w:t>
      </w:r>
      <w:r>
        <w:rPr>
          <w:rFonts w:ascii="Arial"/>
          <w:color w:val="231F20"/>
          <w:spacing w:val="-7"/>
          <w:w w:val="115"/>
          <w:sz w:val="19"/>
        </w:rPr>
        <w:t> </w:t>
      </w:r>
      <w:r>
        <w:rPr>
          <w:rFonts w:ascii="Arial"/>
          <w:color w:val="231F20"/>
          <w:w w:val="115"/>
          <w:sz w:val="19"/>
        </w:rPr>
        <w:t>inventory</w:t>
      </w:r>
      <w:r>
        <w:rPr>
          <w:rFonts w:ascii="Arial"/>
          <w:color w:val="231F20"/>
          <w:spacing w:val="-7"/>
          <w:w w:val="115"/>
          <w:sz w:val="19"/>
        </w:rPr>
        <w:t> </w:t>
      </w:r>
      <w:r>
        <w:rPr>
          <w:rFonts w:ascii="Arial"/>
          <w:color w:val="231F20"/>
          <w:w w:val="115"/>
          <w:sz w:val="19"/>
        </w:rPr>
        <w:t>ordering to minimize inventories and to free up cash?</w:t>
      </w:r>
    </w:p>
    <w:p>
      <w:pPr>
        <w:spacing w:line="328" w:lineRule="auto" w:before="2"/>
        <w:ind w:left="1600" w:right="1222" w:hanging="340"/>
        <w:jc w:val="left"/>
        <w:rPr>
          <w:rFonts w:ascii="Arial"/>
          <w:sz w:val="19"/>
        </w:rPr>
      </w:pPr>
      <w:r>
        <w:rPr>
          <w:rFonts w:ascii="Arial"/>
          <w:color w:val="231F20"/>
          <w:w w:val="115"/>
          <w:sz w:val="19"/>
        </w:rPr>
        <w:t>Are</w:t>
      </w:r>
      <w:r>
        <w:rPr>
          <w:rFonts w:ascii="Arial"/>
          <w:color w:val="231F20"/>
          <w:spacing w:val="-16"/>
          <w:w w:val="115"/>
          <w:sz w:val="19"/>
        </w:rPr>
        <w:t> </w:t>
      </w:r>
      <w:r>
        <w:rPr>
          <w:rFonts w:ascii="Arial"/>
          <w:color w:val="231F20"/>
          <w:w w:val="115"/>
          <w:sz w:val="19"/>
        </w:rPr>
        <w:t>there</w:t>
      </w:r>
      <w:r>
        <w:rPr>
          <w:rFonts w:ascii="Arial"/>
          <w:color w:val="231F20"/>
          <w:spacing w:val="-15"/>
          <w:w w:val="115"/>
          <w:sz w:val="19"/>
        </w:rPr>
        <w:t> </w:t>
      </w:r>
      <w:r>
        <w:rPr>
          <w:rFonts w:ascii="Arial"/>
          <w:color w:val="231F20"/>
          <w:w w:val="115"/>
          <w:sz w:val="19"/>
        </w:rPr>
        <w:t>quality</w:t>
      </w:r>
      <w:r>
        <w:rPr>
          <w:rFonts w:ascii="Arial"/>
          <w:color w:val="231F20"/>
          <w:spacing w:val="-15"/>
          <w:w w:val="115"/>
          <w:sz w:val="19"/>
        </w:rPr>
        <w:t> </w:t>
      </w:r>
      <w:r>
        <w:rPr>
          <w:rFonts w:ascii="Arial"/>
          <w:color w:val="231F20"/>
          <w:w w:val="115"/>
          <w:sz w:val="19"/>
        </w:rPr>
        <w:t>improvement</w:t>
      </w:r>
      <w:r>
        <w:rPr>
          <w:rFonts w:ascii="Arial"/>
          <w:color w:val="231F20"/>
          <w:spacing w:val="-15"/>
          <w:w w:val="115"/>
          <w:sz w:val="19"/>
        </w:rPr>
        <w:t> </w:t>
      </w:r>
      <w:r>
        <w:rPr>
          <w:rFonts w:ascii="Arial"/>
          <w:color w:val="231F20"/>
          <w:w w:val="115"/>
          <w:sz w:val="19"/>
        </w:rPr>
        <w:t>programs</w:t>
      </w:r>
      <w:r>
        <w:rPr>
          <w:rFonts w:ascii="Arial"/>
          <w:color w:val="231F20"/>
          <w:spacing w:val="-15"/>
          <w:w w:val="115"/>
          <w:sz w:val="19"/>
        </w:rPr>
        <w:t> </w:t>
      </w:r>
      <w:r>
        <w:rPr>
          <w:rFonts w:ascii="Arial"/>
          <w:color w:val="231F20"/>
          <w:w w:val="115"/>
          <w:sz w:val="19"/>
        </w:rPr>
        <w:t>in</w:t>
      </w:r>
      <w:r>
        <w:rPr>
          <w:rFonts w:ascii="Arial"/>
          <w:color w:val="231F20"/>
          <w:spacing w:val="-16"/>
          <w:w w:val="115"/>
          <w:sz w:val="19"/>
        </w:rPr>
        <w:t> </w:t>
      </w:r>
      <w:r>
        <w:rPr>
          <w:rFonts w:ascii="Arial"/>
          <w:color w:val="231F20"/>
          <w:w w:val="115"/>
          <w:sz w:val="19"/>
        </w:rPr>
        <w:t>place?</w:t>
      </w:r>
      <w:r>
        <w:rPr>
          <w:rFonts w:ascii="Arial"/>
          <w:color w:val="231F20"/>
          <w:spacing w:val="-15"/>
          <w:w w:val="115"/>
          <w:sz w:val="19"/>
        </w:rPr>
        <w:t> </w:t>
      </w:r>
      <w:r>
        <w:rPr>
          <w:rFonts w:ascii="Arial"/>
          <w:color w:val="231F20"/>
          <w:w w:val="115"/>
          <w:sz w:val="19"/>
        </w:rPr>
        <w:t>SPC, quality circles?</w:t>
      </w:r>
    </w:p>
    <w:p>
      <w:pPr>
        <w:spacing w:line="328" w:lineRule="auto" w:before="1"/>
        <w:ind w:left="1600" w:right="728" w:hanging="340"/>
        <w:jc w:val="left"/>
        <w:rPr>
          <w:rFonts w:ascii="Arial"/>
          <w:sz w:val="19"/>
        </w:rPr>
      </w:pPr>
      <w:r>
        <w:rPr>
          <w:rFonts w:ascii="Arial"/>
          <w:color w:val="231F20"/>
          <w:w w:val="115"/>
          <w:sz w:val="19"/>
        </w:rPr>
        <w:t>Are</w:t>
      </w:r>
      <w:r>
        <w:rPr>
          <w:rFonts w:ascii="Arial"/>
          <w:color w:val="231F20"/>
          <w:spacing w:val="-12"/>
          <w:w w:val="115"/>
          <w:sz w:val="19"/>
        </w:rPr>
        <w:t> </w:t>
      </w:r>
      <w:r>
        <w:rPr>
          <w:rFonts w:ascii="Arial"/>
          <w:color w:val="231F20"/>
          <w:w w:val="115"/>
          <w:sz w:val="19"/>
        </w:rPr>
        <w:t>adequate</w:t>
      </w:r>
      <w:r>
        <w:rPr>
          <w:rFonts w:ascii="Arial"/>
          <w:color w:val="231F20"/>
          <w:spacing w:val="-12"/>
          <w:w w:val="115"/>
          <w:sz w:val="19"/>
        </w:rPr>
        <w:t> </w:t>
      </w:r>
      <w:r>
        <w:rPr>
          <w:rFonts w:ascii="Arial"/>
          <w:color w:val="231F20"/>
          <w:w w:val="115"/>
          <w:sz w:val="19"/>
        </w:rPr>
        <w:t>standards</w:t>
      </w:r>
      <w:r>
        <w:rPr>
          <w:rFonts w:ascii="Arial"/>
          <w:color w:val="231F20"/>
          <w:spacing w:val="-12"/>
          <w:w w:val="115"/>
          <w:sz w:val="19"/>
        </w:rPr>
        <w:t> </w:t>
      </w:r>
      <w:r>
        <w:rPr>
          <w:rFonts w:ascii="Arial"/>
          <w:color w:val="231F20"/>
          <w:w w:val="115"/>
          <w:sz w:val="19"/>
        </w:rPr>
        <w:t>being</w:t>
      </w:r>
      <w:r>
        <w:rPr>
          <w:rFonts w:ascii="Arial"/>
          <w:color w:val="231F20"/>
          <w:spacing w:val="-12"/>
          <w:w w:val="115"/>
          <w:sz w:val="19"/>
        </w:rPr>
        <w:t> </w:t>
      </w:r>
      <w:r>
        <w:rPr>
          <w:rFonts w:ascii="Arial"/>
          <w:color w:val="231F20"/>
          <w:w w:val="115"/>
          <w:sz w:val="19"/>
        </w:rPr>
        <w:t>set,</w:t>
      </w:r>
      <w:r>
        <w:rPr>
          <w:rFonts w:ascii="Arial"/>
          <w:color w:val="231F20"/>
          <w:spacing w:val="-12"/>
          <w:w w:val="115"/>
          <w:sz w:val="19"/>
        </w:rPr>
        <w:t> </w:t>
      </w:r>
      <w:r>
        <w:rPr>
          <w:rFonts w:ascii="Arial"/>
          <w:color w:val="231F20"/>
          <w:w w:val="115"/>
          <w:sz w:val="19"/>
        </w:rPr>
        <w:t>monitored,</w:t>
      </w:r>
      <w:r>
        <w:rPr>
          <w:rFonts w:ascii="Arial"/>
          <w:color w:val="231F20"/>
          <w:spacing w:val="-12"/>
          <w:w w:val="115"/>
          <w:sz w:val="19"/>
        </w:rPr>
        <w:t> </w:t>
      </w:r>
      <w:r>
        <w:rPr>
          <w:rFonts w:ascii="Arial"/>
          <w:color w:val="231F20"/>
          <w:w w:val="115"/>
          <w:sz w:val="19"/>
        </w:rPr>
        <w:t>and</w:t>
      </w:r>
      <w:r>
        <w:rPr>
          <w:rFonts w:ascii="Arial"/>
          <w:color w:val="231F20"/>
          <w:spacing w:val="-12"/>
          <w:w w:val="115"/>
          <w:sz w:val="19"/>
        </w:rPr>
        <w:t> </w:t>
      </w:r>
      <w:r>
        <w:rPr>
          <w:rFonts w:ascii="Arial"/>
          <w:color w:val="231F20"/>
          <w:w w:val="115"/>
          <w:sz w:val="19"/>
        </w:rPr>
        <w:t>followed up timely?</w:t>
      </w:r>
    </w:p>
    <w:p>
      <w:pPr>
        <w:pStyle w:val="BodyText"/>
        <w:spacing w:before="4"/>
        <w:rPr>
          <w:rFonts w:ascii="Arial"/>
          <w:sz w:val="24"/>
        </w:rPr>
      </w:pPr>
    </w:p>
    <w:p>
      <w:pPr>
        <w:pStyle w:val="BodyText"/>
        <w:spacing w:line="292" w:lineRule="auto"/>
        <w:ind w:left="920" w:right="666" w:firstLine="340"/>
        <w:jc w:val="both"/>
      </w:pPr>
      <w:r>
        <w:rPr>
          <w:color w:val="231F20"/>
        </w:rPr>
        <w:t>Those are the types of questions that run through an MBA’s</w:t>
      </w:r>
      <w:r>
        <w:rPr>
          <w:color w:val="231F20"/>
          <w:spacing w:val="80"/>
        </w:rPr>
        <w:t> </w:t>
      </w:r>
      <w:r>
        <w:rPr>
          <w:color w:val="231F20"/>
        </w:rPr>
        <w:t>head. With this chapter in mind, you too are able to ask the </w:t>
      </w:r>
      <w:r>
        <w:rPr>
          <w:color w:val="231F20"/>
        </w:rPr>
        <w:t>right </w:t>
      </w:r>
      <w:r>
        <w:rPr>
          <w:color w:val="231F20"/>
          <w:spacing w:val="-2"/>
        </w:rPr>
        <w:t>questions.</w:t>
      </w:r>
    </w:p>
    <w:p>
      <w:pPr>
        <w:pStyle w:val="BodyText"/>
        <w:rPr>
          <w:sz w:val="24"/>
        </w:rPr>
      </w:pPr>
    </w:p>
    <w:p>
      <w:pPr>
        <w:pStyle w:val="BodyText"/>
        <w:spacing w:before="10"/>
        <w:rPr>
          <w:sz w:val="24"/>
        </w:rPr>
      </w:pPr>
    </w:p>
    <w:p>
      <w:pPr>
        <w:pStyle w:val="Heading4"/>
        <w:spacing w:before="1"/>
      </w:pPr>
      <w:r>
        <w:rPr>
          <w:color w:val="231F20"/>
          <w:w w:val="85"/>
        </w:rPr>
        <w:t>KEY</w:t>
      </w:r>
      <w:r>
        <w:rPr>
          <w:color w:val="231F20"/>
          <w:spacing w:val="58"/>
        </w:rPr>
        <w:t> </w:t>
      </w:r>
      <w:r>
        <w:rPr>
          <w:color w:val="231F20"/>
          <w:w w:val="85"/>
        </w:rPr>
        <w:t>OPERATIONS</w:t>
      </w:r>
      <w:r>
        <w:rPr>
          <w:color w:val="231F20"/>
          <w:spacing w:val="59"/>
        </w:rPr>
        <w:t> </w:t>
      </w:r>
      <w:r>
        <w:rPr>
          <w:color w:val="231F20"/>
          <w:spacing w:val="-2"/>
          <w:w w:val="85"/>
        </w:rPr>
        <w:t>TAKEAWAYS</w:t>
      </w:r>
    </w:p>
    <w:p>
      <w:pPr>
        <w:pStyle w:val="BodyText"/>
        <w:spacing w:before="8"/>
        <w:rPr>
          <w:rFonts w:ascii="Trebuchet MS"/>
          <w:sz w:val="31"/>
        </w:rPr>
      </w:pPr>
    </w:p>
    <w:p>
      <w:pPr>
        <w:spacing w:line="328" w:lineRule="auto" w:before="0"/>
        <w:ind w:left="1599" w:right="1766" w:hanging="340"/>
        <w:jc w:val="left"/>
        <w:rPr>
          <w:rFonts w:ascii="Arial" w:hAnsi="Arial"/>
          <w:sz w:val="19"/>
        </w:rPr>
      </w:pPr>
      <w:r>
        <w:rPr>
          <w:rFonts w:ascii="Arial" w:hAnsi="Arial"/>
          <w:i/>
          <w:color w:val="231F20"/>
          <w:w w:val="115"/>
          <w:sz w:val="19"/>
        </w:rPr>
        <w:t>Frederick</w:t>
      </w:r>
      <w:r>
        <w:rPr>
          <w:rFonts w:ascii="Arial" w:hAnsi="Arial"/>
          <w:i/>
          <w:color w:val="231F20"/>
          <w:spacing w:val="-16"/>
          <w:w w:val="115"/>
          <w:sz w:val="19"/>
        </w:rPr>
        <w:t> </w:t>
      </w:r>
      <w:r>
        <w:rPr>
          <w:rFonts w:ascii="Arial" w:hAnsi="Arial"/>
          <w:i/>
          <w:color w:val="231F20"/>
          <w:w w:val="115"/>
          <w:sz w:val="19"/>
        </w:rPr>
        <w:t>Taylor</w:t>
      </w:r>
      <w:r>
        <w:rPr>
          <w:rFonts w:ascii="Arial" w:hAnsi="Arial"/>
          <w:color w:val="231F20"/>
          <w:w w:val="115"/>
          <w:sz w:val="19"/>
        </w:rPr>
        <w:t>—</w:t>
      </w:r>
      <w:r>
        <w:rPr>
          <w:rFonts w:ascii="Arial" w:hAnsi="Arial"/>
          <w:color w:val="231F20"/>
          <w:spacing w:val="-42"/>
          <w:w w:val="115"/>
          <w:sz w:val="19"/>
        </w:rPr>
        <w:t> </w:t>
      </w:r>
      <w:r>
        <w:rPr>
          <w:rFonts w:ascii="Arial" w:hAnsi="Arial"/>
          <w:color w:val="231F20"/>
          <w:w w:val="115"/>
          <w:sz w:val="19"/>
        </w:rPr>
        <w:t>Father</w:t>
      </w:r>
      <w:r>
        <w:rPr>
          <w:rFonts w:ascii="Arial" w:hAnsi="Arial"/>
          <w:color w:val="231F20"/>
          <w:spacing w:val="-15"/>
          <w:w w:val="115"/>
          <w:sz w:val="19"/>
        </w:rPr>
        <w:t> </w:t>
      </w:r>
      <w:r>
        <w:rPr>
          <w:rFonts w:ascii="Arial" w:hAnsi="Arial"/>
          <w:color w:val="231F20"/>
          <w:w w:val="115"/>
          <w:sz w:val="19"/>
        </w:rPr>
        <w:t>of</w:t>
      </w:r>
      <w:r>
        <w:rPr>
          <w:rFonts w:ascii="Arial" w:hAnsi="Arial"/>
          <w:color w:val="231F20"/>
          <w:spacing w:val="-15"/>
          <w:w w:val="115"/>
          <w:sz w:val="19"/>
        </w:rPr>
        <w:t> </w:t>
      </w:r>
      <w:r>
        <w:rPr>
          <w:rFonts w:ascii="Arial" w:hAnsi="Arial"/>
          <w:color w:val="231F20"/>
          <w:w w:val="115"/>
          <w:sz w:val="19"/>
        </w:rPr>
        <w:t>“scientific”</w:t>
      </w:r>
      <w:r>
        <w:rPr>
          <w:rFonts w:ascii="Arial" w:hAnsi="Arial"/>
          <w:color w:val="231F20"/>
          <w:spacing w:val="-15"/>
          <w:w w:val="115"/>
          <w:sz w:val="19"/>
        </w:rPr>
        <w:t> </w:t>
      </w:r>
      <w:r>
        <w:rPr>
          <w:rFonts w:ascii="Arial" w:hAnsi="Arial"/>
          <w:color w:val="231F20"/>
          <w:w w:val="115"/>
          <w:sz w:val="19"/>
        </w:rPr>
        <w:t>production management (Theory X)</w:t>
      </w:r>
    </w:p>
    <w:p>
      <w:pPr>
        <w:spacing w:line="328" w:lineRule="auto" w:before="1"/>
        <w:ind w:left="1599" w:right="667" w:hanging="340"/>
        <w:jc w:val="left"/>
        <w:rPr>
          <w:rFonts w:ascii="Arial" w:hAnsi="Arial"/>
          <w:sz w:val="19"/>
        </w:rPr>
      </w:pPr>
      <w:r>
        <w:rPr>
          <w:rFonts w:ascii="Arial" w:hAnsi="Arial"/>
          <w:i/>
          <w:color w:val="231F20"/>
          <w:spacing w:val="-2"/>
          <w:w w:val="115"/>
          <w:sz w:val="19"/>
        </w:rPr>
        <w:t>Elton</w:t>
      </w:r>
      <w:r>
        <w:rPr>
          <w:rFonts w:ascii="Arial" w:hAnsi="Arial"/>
          <w:i/>
          <w:color w:val="231F20"/>
          <w:spacing w:val="-13"/>
          <w:w w:val="115"/>
          <w:sz w:val="19"/>
        </w:rPr>
        <w:t> </w:t>
      </w:r>
      <w:r>
        <w:rPr>
          <w:rFonts w:ascii="Arial" w:hAnsi="Arial"/>
          <w:i/>
          <w:color w:val="231F20"/>
          <w:spacing w:val="-2"/>
          <w:w w:val="115"/>
          <w:sz w:val="19"/>
        </w:rPr>
        <w:t>Mayo</w:t>
      </w:r>
      <w:r>
        <w:rPr>
          <w:rFonts w:ascii="Arial" w:hAnsi="Arial"/>
          <w:i/>
          <w:color w:val="231F20"/>
          <w:spacing w:val="-42"/>
          <w:w w:val="115"/>
          <w:sz w:val="19"/>
        </w:rPr>
        <w:t> </w:t>
      </w:r>
      <w:r>
        <w:rPr>
          <w:rFonts w:ascii="Arial" w:hAnsi="Arial"/>
          <w:color w:val="231F20"/>
          <w:spacing w:val="-2"/>
          <w:w w:val="115"/>
          <w:sz w:val="19"/>
        </w:rPr>
        <w:t>—</w:t>
      </w:r>
      <w:r>
        <w:rPr>
          <w:rFonts w:ascii="Arial" w:hAnsi="Arial"/>
          <w:color w:val="231F20"/>
          <w:spacing w:val="-42"/>
          <w:w w:val="115"/>
          <w:sz w:val="19"/>
        </w:rPr>
        <w:t> </w:t>
      </w:r>
      <w:r>
        <w:rPr>
          <w:rFonts w:ascii="Arial" w:hAnsi="Arial"/>
          <w:color w:val="231F20"/>
          <w:spacing w:val="-2"/>
          <w:w w:val="115"/>
          <w:sz w:val="19"/>
        </w:rPr>
        <w:t>Father</w:t>
      </w:r>
      <w:r>
        <w:rPr>
          <w:rFonts w:ascii="Arial" w:hAnsi="Arial"/>
          <w:color w:val="231F20"/>
          <w:spacing w:val="-8"/>
          <w:w w:val="115"/>
          <w:sz w:val="19"/>
        </w:rPr>
        <w:t> </w:t>
      </w:r>
      <w:r>
        <w:rPr>
          <w:rFonts w:ascii="Arial" w:hAnsi="Arial"/>
          <w:color w:val="231F20"/>
          <w:spacing w:val="-2"/>
          <w:w w:val="115"/>
          <w:sz w:val="19"/>
        </w:rPr>
        <w:t>of</w:t>
      </w:r>
      <w:r>
        <w:rPr>
          <w:rFonts w:ascii="Arial" w:hAnsi="Arial"/>
          <w:color w:val="231F20"/>
          <w:spacing w:val="-9"/>
          <w:w w:val="115"/>
          <w:sz w:val="19"/>
        </w:rPr>
        <w:t> </w:t>
      </w:r>
      <w:r>
        <w:rPr>
          <w:rFonts w:ascii="Arial" w:hAnsi="Arial"/>
          <w:color w:val="231F20"/>
          <w:spacing w:val="-2"/>
          <w:w w:val="115"/>
          <w:sz w:val="19"/>
        </w:rPr>
        <w:t>the</w:t>
      </w:r>
      <w:r>
        <w:rPr>
          <w:rFonts w:ascii="Arial" w:hAnsi="Arial"/>
          <w:color w:val="231F20"/>
          <w:spacing w:val="-9"/>
          <w:w w:val="115"/>
          <w:sz w:val="19"/>
        </w:rPr>
        <w:t> </w:t>
      </w:r>
      <w:r>
        <w:rPr>
          <w:rFonts w:ascii="Arial" w:hAnsi="Arial"/>
          <w:color w:val="231F20"/>
          <w:spacing w:val="-2"/>
          <w:w w:val="115"/>
          <w:sz w:val="19"/>
        </w:rPr>
        <w:t>“human</w:t>
      </w:r>
      <w:r>
        <w:rPr>
          <w:rFonts w:ascii="Arial" w:hAnsi="Arial"/>
          <w:color w:val="231F20"/>
          <w:spacing w:val="-9"/>
          <w:w w:val="115"/>
          <w:sz w:val="19"/>
        </w:rPr>
        <w:t> </w:t>
      </w:r>
      <w:r>
        <w:rPr>
          <w:rFonts w:ascii="Arial" w:hAnsi="Arial"/>
          <w:color w:val="231F20"/>
          <w:spacing w:val="-2"/>
          <w:w w:val="115"/>
          <w:sz w:val="19"/>
        </w:rPr>
        <w:t>relations</w:t>
      </w:r>
      <w:r>
        <w:rPr>
          <w:rFonts w:ascii="Arial" w:hAnsi="Arial"/>
          <w:color w:val="231F20"/>
          <w:spacing w:val="-9"/>
          <w:w w:val="115"/>
          <w:sz w:val="19"/>
        </w:rPr>
        <w:t> </w:t>
      </w:r>
      <w:r>
        <w:rPr>
          <w:rFonts w:ascii="Arial" w:hAnsi="Arial"/>
          <w:color w:val="231F20"/>
          <w:spacing w:val="-2"/>
          <w:w w:val="115"/>
          <w:sz w:val="19"/>
        </w:rPr>
        <w:t>movement”</w:t>
      </w:r>
      <w:r>
        <w:rPr>
          <w:rFonts w:ascii="Arial" w:hAnsi="Arial"/>
          <w:color w:val="231F20"/>
          <w:spacing w:val="-9"/>
          <w:w w:val="115"/>
          <w:sz w:val="19"/>
        </w:rPr>
        <w:t> </w:t>
      </w:r>
      <w:r>
        <w:rPr>
          <w:rFonts w:ascii="Arial" w:hAnsi="Arial"/>
          <w:color w:val="231F20"/>
          <w:spacing w:val="-2"/>
          <w:w w:val="115"/>
          <w:sz w:val="19"/>
        </w:rPr>
        <w:t>of </w:t>
      </w:r>
      <w:r>
        <w:rPr>
          <w:rFonts w:ascii="Arial" w:hAnsi="Arial"/>
          <w:color w:val="231F20"/>
          <w:w w:val="115"/>
          <w:sz w:val="19"/>
        </w:rPr>
        <w:t>production management (Theory Y)</w:t>
      </w:r>
    </w:p>
    <w:p>
      <w:pPr>
        <w:spacing w:line="328" w:lineRule="auto" w:before="2"/>
        <w:ind w:left="1599" w:right="1262" w:hanging="340"/>
        <w:jc w:val="left"/>
        <w:rPr>
          <w:rFonts w:ascii="Arial" w:hAnsi="Arial"/>
          <w:sz w:val="19"/>
        </w:rPr>
      </w:pPr>
      <w:r>
        <w:rPr>
          <w:rFonts w:ascii="Arial" w:hAnsi="Arial"/>
          <w:i/>
          <w:color w:val="231F20"/>
          <w:w w:val="110"/>
          <w:sz w:val="19"/>
        </w:rPr>
        <w:t>Operational Problem Solving</w:t>
      </w:r>
      <w:r>
        <w:rPr>
          <w:rFonts w:ascii="Arial" w:hAnsi="Arial"/>
          <w:i/>
          <w:color w:val="231F20"/>
          <w:spacing w:val="-38"/>
          <w:w w:val="110"/>
          <w:sz w:val="19"/>
        </w:rPr>
        <w:t> </w:t>
      </w:r>
      <w:r>
        <w:rPr>
          <w:rFonts w:ascii="Arial" w:hAnsi="Arial"/>
          <w:color w:val="231F20"/>
          <w:w w:val="110"/>
          <w:sz w:val="19"/>
        </w:rPr>
        <w:t>—</w:t>
      </w:r>
      <w:r>
        <w:rPr>
          <w:rFonts w:ascii="Arial" w:hAnsi="Arial"/>
          <w:color w:val="231F20"/>
          <w:spacing w:val="-38"/>
          <w:w w:val="110"/>
          <w:sz w:val="19"/>
        </w:rPr>
        <w:t> </w:t>
      </w:r>
      <w:r>
        <w:rPr>
          <w:rFonts w:ascii="Arial" w:hAnsi="Arial"/>
          <w:color w:val="231F20"/>
          <w:w w:val="110"/>
          <w:sz w:val="19"/>
        </w:rPr>
        <w:t>Capacity, scheduling, inventory, standards, controls</w:t>
      </w:r>
    </w:p>
    <w:p>
      <w:pPr>
        <w:spacing w:line="328" w:lineRule="auto" w:before="1"/>
        <w:ind w:left="1599" w:right="0" w:hanging="340"/>
        <w:jc w:val="left"/>
        <w:rPr>
          <w:rFonts w:ascii="Arial" w:hAnsi="Arial"/>
          <w:sz w:val="19"/>
        </w:rPr>
      </w:pPr>
      <w:r>
        <w:rPr>
          <w:rFonts w:ascii="Arial" w:hAnsi="Arial"/>
          <w:i/>
          <w:color w:val="231F20"/>
          <w:w w:val="110"/>
          <w:sz w:val="19"/>
        </w:rPr>
        <w:t>Six</w:t>
      </w:r>
      <w:r>
        <w:rPr>
          <w:rFonts w:ascii="Arial" w:hAnsi="Arial"/>
          <w:i/>
          <w:color w:val="231F20"/>
          <w:spacing w:val="-15"/>
          <w:w w:val="110"/>
          <w:sz w:val="19"/>
        </w:rPr>
        <w:t> </w:t>
      </w:r>
      <w:r>
        <w:rPr>
          <w:rFonts w:ascii="Arial" w:hAnsi="Arial"/>
          <w:i/>
          <w:color w:val="231F20"/>
          <w:w w:val="110"/>
          <w:sz w:val="19"/>
        </w:rPr>
        <w:t>M’s</w:t>
      </w:r>
      <w:r>
        <w:rPr>
          <w:rFonts w:ascii="Arial" w:hAnsi="Arial"/>
          <w:i/>
          <w:color w:val="231F20"/>
          <w:spacing w:val="-15"/>
          <w:w w:val="110"/>
          <w:sz w:val="19"/>
        </w:rPr>
        <w:t> </w:t>
      </w:r>
      <w:r>
        <w:rPr>
          <w:rFonts w:ascii="Arial" w:hAnsi="Arial"/>
          <w:i/>
          <w:color w:val="231F20"/>
          <w:w w:val="110"/>
          <w:sz w:val="19"/>
        </w:rPr>
        <w:t>of</w:t>
      </w:r>
      <w:r>
        <w:rPr>
          <w:rFonts w:ascii="Arial" w:hAnsi="Arial"/>
          <w:i/>
          <w:color w:val="231F20"/>
          <w:spacing w:val="-13"/>
          <w:w w:val="110"/>
          <w:sz w:val="19"/>
        </w:rPr>
        <w:t> </w:t>
      </w:r>
      <w:r>
        <w:rPr>
          <w:rFonts w:ascii="Arial" w:hAnsi="Arial"/>
          <w:i/>
          <w:color w:val="231F20"/>
          <w:w w:val="110"/>
          <w:sz w:val="19"/>
        </w:rPr>
        <w:t>Capacity</w:t>
      </w:r>
      <w:r>
        <w:rPr>
          <w:rFonts w:ascii="Arial" w:hAnsi="Arial"/>
          <w:i/>
          <w:color w:val="231F20"/>
          <w:spacing w:val="-40"/>
          <w:w w:val="110"/>
          <w:sz w:val="19"/>
        </w:rPr>
        <w:t> </w:t>
      </w:r>
      <w:r>
        <w:rPr>
          <w:rFonts w:ascii="Arial" w:hAnsi="Arial"/>
          <w:color w:val="231F20"/>
          <w:w w:val="110"/>
          <w:sz w:val="19"/>
        </w:rPr>
        <w:t>—</w:t>
      </w:r>
      <w:r>
        <w:rPr>
          <w:rFonts w:ascii="Arial" w:hAnsi="Arial"/>
          <w:color w:val="231F20"/>
          <w:spacing w:val="-39"/>
          <w:w w:val="110"/>
          <w:sz w:val="19"/>
        </w:rPr>
        <w:t> </w:t>
      </w:r>
      <w:r>
        <w:rPr>
          <w:rFonts w:ascii="Arial" w:hAnsi="Arial"/>
          <w:color w:val="231F20"/>
          <w:w w:val="110"/>
          <w:sz w:val="19"/>
        </w:rPr>
        <w:t>Manpower,</w:t>
      </w:r>
      <w:r>
        <w:rPr>
          <w:rFonts w:ascii="Arial" w:hAnsi="Arial"/>
          <w:color w:val="231F20"/>
          <w:spacing w:val="-12"/>
          <w:w w:val="110"/>
          <w:sz w:val="19"/>
        </w:rPr>
        <w:t> </w:t>
      </w:r>
      <w:r>
        <w:rPr>
          <w:rFonts w:ascii="Arial" w:hAnsi="Arial"/>
          <w:color w:val="231F20"/>
          <w:w w:val="110"/>
          <w:sz w:val="19"/>
        </w:rPr>
        <w:t>machinery,</w:t>
      </w:r>
      <w:r>
        <w:rPr>
          <w:rFonts w:ascii="Arial" w:hAnsi="Arial"/>
          <w:color w:val="231F20"/>
          <w:spacing w:val="-12"/>
          <w:w w:val="110"/>
          <w:sz w:val="19"/>
        </w:rPr>
        <w:t> </w:t>
      </w:r>
      <w:r>
        <w:rPr>
          <w:rFonts w:ascii="Arial" w:hAnsi="Arial"/>
          <w:color w:val="231F20"/>
          <w:w w:val="110"/>
          <w:sz w:val="19"/>
        </w:rPr>
        <w:t>materials,</w:t>
      </w:r>
      <w:r>
        <w:rPr>
          <w:rFonts w:ascii="Arial" w:hAnsi="Arial"/>
          <w:color w:val="231F20"/>
          <w:spacing w:val="-12"/>
          <w:w w:val="110"/>
          <w:sz w:val="19"/>
        </w:rPr>
        <w:t> </w:t>
      </w:r>
      <w:r>
        <w:rPr>
          <w:rFonts w:ascii="Arial" w:hAnsi="Arial"/>
          <w:color w:val="231F20"/>
          <w:w w:val="110"/>
          <w:sz w:val="19"/>
        </w:rPr>
        <w:t>money, methods, messages</w:t>
      </w:r>
    </w:p>
    <w:p>
      <w:pPr>
        <w:spacing w:line="328" w:lineRule="auto" w:before="2"/>
        <w:ind w:left="1599" w:right="1262" w:hanging="340"/>
        <w:jc w:val="left"/>
        <w:rPr>
          <w:rFonts w:ascii="Arial" w:hAnsi="Arial"/>
          <w:sz w:val="19"/>
        </w:rPr>
      </w:pPr>
      <w:r>
        <w:rPr>
          <w:rFonts w:ascii="Arial" w:hAnsi="Arial"/>
          <w:i/>
          <w:color w:val="231F20"/>
          <w:w w:val="115"/>
          <w:sz w:val="19"/>
        </w:rPr>
        <w:t>Flow</w:t>
      </w:r>
      <w:r>
        <w:rPr>
          <w:rFonts w:ascii="Arial" w:hAnsi="Arial"/>
          <w:i/>
          <w:color w:val="231F20"/>
          <w:spacing w:val="-16"/>
          <w:w w:val="115"/>
          <w:sz w:val="19"/>
        </w:rPr>
        <w:t> </w:t>
      </w:r>
      <w:r>
        <w:rPr>
          <w:rFonts w:ascii="Arial" w:hAnsi="Arial"/>
          <w:i/>
          <w:color w:val="231F20"/>
          <w:w w:val="115"/>
          <w:sz w:val="19"/>
        </w:rPr>
        <w:t>Diagramming</w:t>
      </w:r>
      <w:r>
        <w:rPr>
          <w:rFonts w:ascii="Arial" w:hAnsi="Arial"/>
          <w:i/>
          <w:color w:val="231F20"/>
          <w:spacing w:val="-42"/>
          <w:w w:val="115"/>
          <w:sz w:val="19"/>
        </w:rPr>
        <w:t> </w:t>
      </w:r>
      <w:r>
        <w:rPr>
          <w:rFonts w:ascii="Arial" w:hAnsi="Arial"/>
          <w:color w:val="231F20"/>
          <w:w w:val="115"/>
          <w:sz w:val="19"/>
        </w:rPr>
        <w:t>—</w:t>
      </w:r>
      <w:r>
        <w:rPr>
          <w:rFonts w:ascii="Arial" w:hAnsi="Arial"/>
          <w:color w:val="231F20"/>
          <w:spacing w:val="-42"/>
          <w:w w:val="115"/>
          <w:sz w:val="19"/>
        </w:rPr>
        <w:t> </w:t>
      </w:r>
      <w:r>
        <w:rPr>
          <w:rFonts w:ascii="Arial" w:hAnsi="Arial"/>
          <w:color w:val="231F20"/>
          <w:w w:val="115"/>
          <w:sz w:val="19"/>
        </w:rPr>
        <w:t>Mapping</w:t>
      </w:r>
      <w:r>
        <w:rPr>
          <w:rFonts w:ascii="Arial" w:hAnsi="Arial"/>
          <w:color w:val="231F20"/>
          <w:spacing w:val="-12"/>
          <w:w w:val="115"/>
          <w:sz w:val="19"/>
        </w:rPr>
        <w:t> </w:t>
      </w:r>
      <w:r>
        <w:rPr>
          <w:rFonts w:ascii="Arial" w:hAnsi="Arial"/>
          <w:color w:val="231F20"/>
          <w:w w:val="115"/>
          <w:sz w:val="19"/>
        </w:rPr>
        <w:t>out</w:t>
      </w:r>
      <w:r>
        <w:rPr>
          <w:rFonts w:ascii="Arial" w:hAnsi="Arial"/>
          <w:color w:val="231F20"/>
          <w:spacing w:val="-12"/>
          <w:w w:val="115"/>
          <w:sz w:val="19"/>
        </w:rPr>
        <w:t> </w:t>
      </w:r>
      <w:r>
        <w:rPr>
          <w:rFonts w:ascii="Arial" w:hAnsi="Arial"/>
          <w:color w:val="231F20"/>
          <w:w w:val="115"/>
          <w:sz w:val="19"/>
        </w:rPr>
        <w:t>work</w:t>
      </w:r>
      <w:r>
        <w:rPr>
          <w:rFonts w:ascii="Arial" w:hAnsi="Arial"/>
          <w:color w:val="231F20"/>
          <w:spacing w:val="-12"/>
          <w:w w:val="115"/>
          <w:sz w:val="19"/>
        </w:rPr>
        <w:t> </w:t>
      </w:r>
      <w:r>
        <w:rPr>
          <w:rFonts w:ascii="Arial" w:hAnsi="Arial"/>
          <w:color w:val="231F20"/>
          <w:w w:val="115"/>
          <w:sz w:val="19"/>
        </w:rPr>
        <w:t>flows</w:t>
      </w:r>
      <w:r>
        <w:rPr>
          <w:rFonts w:ascii="Arial" w:hAnsi="Arial"/>
          <w:color w:val="231F20"/>
          <w:spacing w:val="-12"/>
          <w:w w:val="115"/>
          <w:sz w:val="19"/>
        </w:rPr>
        <w:t> </w:t>
      </w:r>
      <w:r>
        <w:rPr>
          <w:rFonts w:ascii="Arial" w:hAnsi="Arial"/>
          <w:color w:val="231F20"/>
          <w:w w:val="115"/>
          <w:sz w:val="19"/>
        </w:rPr>
        <w:t>to</w:t>
      </w:r>
      <w:r>
        <w:rPr>
          <w:rFonts w:ascii="Arial" w:hAnsi="Arial"/>
          <w:color w:val="231F20"/>
          <w:spacing w:val="-12"/>
          <w:w w:val="115"/>
          <w:sz w:val="19"/>
        </w:rPr>
        <w:t> </w:t>
      </w:r>
      <w:r>
        <w:rPr>
          <w:rFonts w:ascii="Arial" w:hAnsi="Arial"/>
          <w:color w:val="231F20"/>
          <w:w w:val="115"/>
          <w:sz w:val="19"/>
        </w:rPr>
        <w:t>spot efficiency opportunities</w:t>
      </w:r>
    </w:p>
    <w:p>
      <w:pPr>
        <w:spacing w:after="0" w:line="328" w:lineRule="auto"/>
        <w:jc w:val="left"/>
        <w:rPr>
          <w:rFonts w:ascii="Arial" w:hAnsi="Arial"/>
          <w:sz w:val="19"/>
        </w:rPr>
        <w:sectPr>
          <w:pgSz w:w="8640" w:h="12960"/>
          <w:pgMar w:header="734" w:footer="0" w:top="920" w:bottom="280" w:left="340" w:right="500"/>
        </w:sectPr>
      </w:pPr>
    </w:p>
    <w:p>
      <w:pPr>
        <w:pStyle w:val="BodyText"/>
        <w:spacing w:before="8"/>
        <w:rPr>
          <w:rFonts w:ascii="Arial"/>
          <w:sz w:val="19"/>
        </w:rPr>
      </w:pPr>
    </w:p>
    <w:p>
      <w:pPr>
        <w:spacing w:line="328" w:lineRule="auto" w:before="97"/>
        <w:ind w:left="1509" w:right="667" w:hanging="340"/>
        <w:jc w:val="left"/>
        <w:rPr>
          <w:rFonts w:ascii="Arial" w:hAnsi="Arial"/>
          <w:sz w:val="19"/>
        </w:rPr>
      </w:pPr>
      <w:r>
        <w:rPr>
          <w:rFonts w:ascii="Arial" w:hAnsi="Arial"/>
          <w:i/>
          <w:color w:val="231F20"/>
          <w:w w:val="115"/>
          <w:sz w:val="19"/>
        </w:rPr>
        <w:t>Linear</w:t>
      </w:r>
      <w:r>
        <w:rPr>
          <w:rFonts w:ascii="Arial" w:hAnsi="Arial"/>
          <w:i/>
          <w:color w:val="231F20"/>
          <w:spacing w:val="-16"/>
          <w:w w:val="115"/>
          <w:sz w:val="19"/>
        </w:rPr>
        <w:t> </w:t>
      </w:r>
      <w:r>
        <w:rPr>
          <w:rFonts w:ascii="Arial" w:hAnsi="Arial"/>
          <w:i/>
          <w:color w:val="231F20"/>
          <w:w w:val="115"/>
          <w:sz w:val="19"/>
        </w:rPr>
        <w:t>Programming</w:t>
      </w:r>
      <w:r>
        <w:rPr>
          <w:rFonts w:ascii="Arial" w:hAnsi="Arial"/>
          <w:i/>
          <w:color w:val="231F20"/>
          <w:spacing w:val="-42"/>
          <w:w w:val="115"/>
          <w:sz w:val="19"/>
        </w:rPr>
        <w:t> </w:t>
      </w:r>
      <w:r>
        <w:rPr>
          <w:rFonts w:ascii="Arial" w:hAnsi="Arial"/>
          <w:color w:val="231F20"/>
          <w:w w:val="115"/>
          <w:sz w:val="19"/>
        </w:rPr>
        <w:t>—</w:t>
      </w:r>
      <w:r>
        <w:rPr>
          <w:rFonts w:ascii="Arial" w:hAnsi="Arial"/>
          <w:color w:val="231F20"/>
          <w:spacing w:val="-42"/>
          <w:w w:val="115"/>
          <w:sz w:val="19"/>
        </w:rPr>
        <w:t> </w:t>
      </w:r>
      <w:r>
        <w:rPr>
          <w:rFonts w:ascii="Arial" w:hAnsi="Arial"/>
          <w:color w:val="231F20"/>
          <w:w w:val="115"/>
          <w:sz w:val="19"/>
        </w:rPr>
        <w:t>Computer</w:t>
      </w:r>
      <w:r>
        <w:rPr>
          <w:rFonts w:ascii="Arial" w:hAnsi="Arial"/>
          <w:color w:val="231F20"/>
          <w:spacing w:val="-15"/>
          <w:w w:val="115"/>
          <w:sz w:val="19"/>
        </w:rPr>
        <w:t> </w:t>
      </w:r>
      <w:r>
        <w:rPr>
          <w:rFonts w:ascii="Arial" w:hAnsi="Arial"/>
          <w:color w:val="231F20"/>
          <w:w w:val="115"/>
          <w:sz w:val="19"/>
        </w:rPr>
        <w:t>method</w:t>
      </w:r>
      <w:r>
        <w:rPr>
          <w:rFonts w:ascii="Arial" w:hAnsi="Arial"/>
          <w:color w:val="231F20"/>
          <w:spacing w:val="-15"/>
          <w:w w:val="115"/>
          <w:sz w:val="19"/>
        </w:rPr>
        <w:t> </w:t>
      </w:r>
      <w:r>
        <w:rPr>
          <w:rFonts w:ascii="Arial" w:hAnsi="Arial"/>
          <w:color w:val="231F20"/>
          <w:w w:val="115"/>
          <w:sz w:val="19"/>
        </w:rPr>
        <w:t>of</w:t>
      </w:r>
      <w:r>
        <w:rPr>
          <w:rFonts w:ascii="Arial" w:hAnsi="Arial"/>
          <w:color w:val="231F20"/>
          <w:spacing w:val="-15"/>
          <w:w w:val="115"/>
          <w:sz w:val="19"/>
        </w:rPr>
        <w:t> </w:t>
      </w:r>
      <w:r>
        <w:rPr>
          <w:rFonts w:ascii="Arial" w:hAnsi="Arial"/>
          <w:color w:val="231F20"/>
          <w:w w:val="115"/>
          <w:sz w:val="19"/>
        </w:rPr>
        <w:t>determining</w:t>
      </w:r>
      <w:r>
        <w:rPr>
          <w:rFonts w:ascii="Arial" w:hAnsi="Arial"/>
          <w:color w:val="231F20"/>
          <w:spacing w:val="-15"/>
          <w:w w:val="115"/>
          <w:sz w:val="19"/>
        </w:rPr>
        <w:t> </w:t>
      </w:r>
      <w:r>
        <w:rPr>
          <w:rFonts w:ascii="Arial" w:hAnsi="Arial"/>
          <w:color w:val="231F20"/>
          <w:w w:val="115"/>
          <w:sz w:val="19"/>
        </w:rPr>
        <w:t>the optimal solutions in situations with constrained capacity</w:t>
      </w:r>
    </w:p>
    <w:p>
      <w:pPr>
        <w:spacing w:before="2"/>
        <w:ind w:left="1169" w:right="0" w:firstLine="0"/>
        <w:jc w:val="left"/>
        <w:rPr>
          <w:rFonts w:ascii="Arial" w:hAnsi="Arial"/>
          <w:sz w:val="19"/>
        </w:rPr>
      </w:pPr>
      <w:r>
        <w:rPr>
          <w:rFonts w:ascii="Arial" w:hAnsi="Arial"/>
          <w:i/>
          <w:color w:val="231F20"/>
          <w:w w:val="110"/>
          <w:sz w:val="19"/>
        </w:rPr>
        <w:t>Gantt</w:t>
      </w:r>
      <w:r>
        <w:rPr>
          <w:rFonts w:ascii="Arial" w:hAnsi="Arial"/>
          <w:i/>
          <w:color w:val="231F20"/>
          <w:spacing w:val="21"/>
          <w:w w:val="110"/>
          <w:sz w:val="19"/>
        </w:rPr>
        <w:t> </w:t>
      </w:r>
      <w:r>
        <w:rPr>
          <w:rFonts w:ascii="Arial" w:hAnsi="Arial"/>
          <w:i/>
          <w:color w:val="231F20"/>
          <w:w w:val="110"/>
          <w:sz w:val="19"/>
        </w:rPr>
        <w:t>Chart</w:t>
      </w:r>
      <w:r>
        <w:rPr>
          <w:rFonts w:ascii="Arial" w:hAnsi="Arial"/>
          <w:i/>
          <w:color w:val="231F20"/>
          <w:spacing w:val="-32"/>
          <w:w w:val="110"/>
          <w:sz w:val="19"/>
        </w:rPr>
        <w:t> </w:t>
      </w:r>
      <w:r>
        <w:rPr>
          <w:rFonts w:ascii="Arial" w:hAnsi="Arial"/>
          <w:color w:val="231F20"/>
          <w:spacing w:val="11"/>
          <w:w w:val="110"/>
          <w:sz w:val="19"/>
        </w:rPr>
        <w:t>—</w:t>
      </w:r>
      <w:r>
        <w:rPr>
          <w:rFonts w:ascii="Arial" w:hAnsi="Arial"/>
          <w:color w:val="231F20"/>
          <w:w w:val="110"/>
          <w:sz w:val="19"/>
        </w:rPr>
        <w:t>A</w:t>
      </w:r>
      <w:r>
        <w:rPr>
          <w:rFonts w:ascii="Arial" w:hAnsi="Arial"/>
          <w:color w:val="231F20"/>
          <w:spacing w:val="21"/>
          <w:w w:val="110"/>
          <w:sz w:val="19"/>
        </w:rPr>
        <w:t> </w:t>
      </w:r>
      <w:r>
        <w:rPr>
          <w:rFonts w:ascii="Arial" w:hAnsi="Arial"/>
          <w:color w:val="231F20"/>
          <w:w w:val="110"/>
          <w:sz w:val="19"/>
        </w:rPr>
        <w:t>simple</w:t>
      </w:r>
      <w:r>
        <w:rPr>
          <w:rFonts w:ascii="Arial" w:hAnsi="Arial"/>
          <w:color w:val="231F20"/>
          <w:spacing w:val="22"/>
          <w:w w:val="110"/>
          <w:sz w:val="19"/>
        </w:rPr>
        <w:t> </w:t>
      </w:r>
      <w:r>
        <w:rPr>
          <w:rFonts w:ascii="Arial" w:hAnsi="Arial"/>
          <w:color w:val="231F20"/>
          <w:w w:val="110"/>
          <w:sz w:val="19"/>
        </w:rPr>
        <w:t>project-scheduling</w:t>
      </w:r>
      <w:r>
        <w:rPr>
          <w:rFonts w:ascii="Arial" w:hAnsi="Arial"/>
          <w:color w:val="231F20"/>
          <w:spacing w:val="21"/>
          <w:w w:val="110"/>
          <w:sz w:val="19"/>
        </w:rPr>
        <w:t> </w:t>
      </w:r>
      <w:r>
        <w:rPr>
          <w:rFonts w:ascii="Arial" w:hAnsi="Arial"/>
          <w:color w:val="231F20"/>
          <w:spacing w:val="-4"/>
          <w:w w:val="110"/>
          <w:sz w:val="19"/>
        </w:rPr>
        <w:t>tool</w:t>
      </w:r>
    </w:p>
    <w:p>
      <w:pPr>
        <w:spacing w:line="328" w:lineRule="auto" w:before="81"/>
        <w:ind w:left="1509" w:right="1262" w:hanging="340"/>
        <w:jc w:val="left"/>
        <w:rPr>
          <w:rFonts w:ascii="Arial" w:hAnsi="Arial"/>
          <w:sz w:val="19"/>
        </w:rPr>
      </w:pPr>
      <w:r>
        <w:rPr>
          <w:rFonts w:ascii="Arial" w:hAnsi="Arial"/>
          <w:i/>
          <w:color w:val="231F20"/>
          <w:w w:val="110"/>
          <w:sz w:val="19"/>
        </w:rPr>
        <w:t>Critical Path Method (CPM)</w:t>
      </w:r>
      <w:r>
        <w:rPr>
          <w:rFonts w:ascii="Arial" w:hAnsi="Arial"/>
          <w:i/>
          <w:color w:val="231F20"/>
          <w:spacing w:val="-37"/>
          <w:w w:val="110"/>
          <w:sz w:val="19"/>
        </w:rPr>
        <w:t> </w:t>
      </w:r>
      <w:r>
        <w:rPr>
          <w:rFonts w:ascii="Arial" w:hAnsi="Arial"/>
          <w:color w:val="231F20"/>
          <w:w w:val="110"/>
          <w:sz w:val="19"/>
        </w:rPr>
        <w:t>—</w:t>
      </w:r>
      <w:r>
        <w:rPr>
          <w:rFonts w:ascii="Arial" w:hAnsi="Arial"/>
          <w:color w:val="231F20"/>
          <w:spacing w:val="-36"/>
          <w:w w:val="110"/>
          <w:sz w:val="19"/>
        </w:rPr>
        <w:t> </w:t>
      </w:r>
      <w:r>
        <w:rPr>
          <w:rFonts w:ascii="Arial" w:hAnsi="Arial"/>
          <w:color w:val="231F20"/>
          <w:w w:val="110"/>
          <w:sz w:val="19"/>
        </w:rPr>
        <w:t>Sophisticated scheduling </w:t>
      </w:r>
      <w:r>
        <w:rPr>
          <w:rFonts w:ascii="Arial" w:hAnsi="Arial"/>
          <w:color w:val="231F20"/>
          <w:w w:val="115"/>
          <w:sz w:val="19"/>
        </w:rPr>
        <w:t>method for projects</w:t>
      </w:r>
    </w:p>
    <w:p>
      <w:pPr>
        <w:spacing w:line="328" w:lineRule="auto" w:before="2"/>
        <w:ind w:left="1509" w:right="1045" w:hanging="340"/>
        <w:jc w:val="left"/>
        <w:rPr>
          <w:rFonts w:ascii="Arial" w:hAnsi="Arial"/>
          <w:sz w:val="19"/>
        </w:rPr>
      </w:pPr>
      <w:r>
        <w:rPr>
          <w:rFonts w:ascii="Arial" w:hAnsi="Arial"/>
          <w:i/>
          <w:color w:val="231F20"/>
          <w:w w:val="110"/>
          <w:sz w:val="19"/>
        </w:rPr>
        <w:t>Queuing Theory</w:t>
      </w:r>
      <w:r>
        <w:rPr>
          <w:rFonts w:ascii="Arial" w:hAnsi="Arial"/>
          <w:i/>
          <w:color w:val="231F20"/>
          <w:spacing w:val="-36"/>
          <w:w w:val="110"/>
          <w:sz w:val="19"/>
        </w:rPr>
        <w:t> </w:t>
      </w:r>
      <w:r>
        <w:rPr>
          <w:rFonts w:ascii="Arial" w:hAnsi="Arial"/>
          <w:color w:val="231F20"/>
          <w:w w:val="110"/>
          <w:sz w:val="19"/>
        </w:rPr>
        <w:t>—</w:t>
      </w:r>
      <w:r>
        <w:rPr>
          <w:rFonts w:ascii="Arial" w:hAnsi="Arial"/>
          <w:color w:val="231F20"/>
          <w:spacing w:val="-36"/>
          <w:w w:val="110"/>
          <w:sz w:val="19"/>
        </w:rPr>
        <w:t> </w:t>
      </w:r>
      <w:r>
        <w:rPr>
          <w:rFonts w:ascii="Arial" w:hAnsi="Arial"/>
          <w:color w:val="231F20"/>
          <w:w w:val="110"/>
          <w:sz w:val="19"/>
        </w:rPr>
        <w:t>Mathematical tool to make waiting lines more efficient</w:t>
      </w:r>
    </w:p>
    <w:p>
      <w:pPr>
        <w:spacing w:line="328" w:lineRule="auto" w:before="1"/>
        <w:ind w:left="1509" w:right="1262" w:hanging="340"/>
        <w:jc w:val="left"/>
        <w:rPr>
          <w:rFonts w:ascii="Arial" w:hAnsi="Arial"/>
          <w:sz w:val="19"/>
        </w:rPr>
      </w:pPr>
      <w:r>
        <w:rPr>
          <w:rFonts w:ascii="Arial" w:hAnsi="Arial"/>
          <w:i/>
          <w:color w:val="231F20"/>
          <w:w w:val="110"/>
          <w:sz w:val="19"/>
        </w:rPr>
        <w:t>Inventory Types by Stage of Production</w:t>
      </w:r>
      <w:r>
        <w:rPr>
          <w:rFonts w:ascii="Arial" w:hAnsi="Arial"/>
          <w:color w:val="231F20"/>
          <w:w w:val="110"/>
          <w:sz w:val="19"/>
        </w:rPr>
        <w:t>—</w:t>
      </w:r>
      <w:r>
        <w:rPr>
          <w:rFonts w:ascii="Arial" w:hAnsi="Arial"/>
          <w:color w:val="231F20"/>
          <w:spacing w:val="-37"/>
          <w:w w:val="110"/>
          <w:sz w:val="19"/>
        </w:rPr>
        <w:t> </w:t>
      </w:r>
      <w:r>
        <w:rPr>
          <w:rFonts w:ascii="Arial" w:hAnsi="Arial"/>
          <w:color w:val="231F20"/>
          <w:w w:val="110"/>
          <w:sz w:val="19"/>
        </w:rPr>
        <w:t>Raw materials, </w:t>
      </w:r>
      <w:r>
        <w:rPr>
          <w:rFonts w:ascii="Arial" w:hAnsi="Arial"/>
          <w:color w:val="231F20"/>
          <w:w w:val="115"/>
          <w:sz w:val="19"/>
        </w:rPr>
        <w:t>work in process, finished goods</w:t>
      </w:r>
    </w:p>
    <w:p>
      <w:pPr>
        <w:spacing w:line="328" w:lineRule="auto" w:before="1"/>
        <w:ind w:left="1509" w:right="1262" w:hanging="340"/>
        <w:jc w:val="left"/>
        <w:rPr>
          <w:rFonts w:ascii="Arial" w:hAnsi="Arial"/>
          <w:sz w:val="19"/>
        </w:rPr>
      </w:pPr>
      <w:r>
        <w:rPr>
          <w:rFonts w:ascii="Arial" w:hAnsi="Arial"/>
          <w:i/>
          <w:color w:val="231F20"/>
          <w:w w:val="110"/>
          <w:sz w:val="19"/>
        </w:rPr>
        <w:t>Inventory</w:t>
      </w:r>
      <w:r>
        <w:rPr>
          <w:rFonts w:ascii="Arial" w:hAnsi="Arial"/>
          <w:i/>
          <w:color w:val="231F20"/>
          <w:spacing w:val="-1"/>
          <w:w w:val="110"/>
          <w:sz w:val="19"/>
        </w:rPr>
        <w:t> </w:t>
      </w:r>
      <w:r>
        <w:rPr>
          <w:rFonts w:ascii="Arial" w:hAnsi="Arial"/>
          <w:i/>
          <w:color w:val="231F20"/>
          <w:w w:val="110"/>
          <w:sz w:val="19"/>
        </w:rPr>
        <w:t>Types</w:t>
      </w:r>
      <w:r>
        <w:rPr>
          <w:rFonts w:ascii="Arial" w:hAnsi="Arial"/>
          <w:i/>
          <w:color w:val="231F20"/>
          <w:spacing w:val="-1"/>
          <w:w w:val="110"/>
          <w:sz w:val="19"/>
        </w:rPr>
        <w:t> </w:t>
      </w:r>
      <w:r>
        <w:rPr>
          <w:rFonts w:ascii="Arial" w:hAnsi="Arial"/>
          <w:i/>
          <w:color w:val="231F20"/>
          <w:w w:val="110"/>
          <w:sz w:val="19"/>
        </w:rPr>
        <w:t>by</w:t>
      </w:r>
      <w:r>
        <w:rPr>
          <w:rFonts w:ascii="Arial" w:hAnsi="Arial"/>
          <w:i/>
          <w:color w:val="231F20"/>
          <w:spacing w:val="-1"/>
          <w:w w:val="110"/>
          <w:sz w:val="19"/>
        </w:rPr>
        <w:t> </w:t>
      </w:r>
      <w:r>
        <w:rPr>
          <w:rFonts w:ascii="Arial" w:hAnsi="Arial"/>
          <w:i/>
          <w:color w:val="231F20"/>
          <w:w w:val="110"/>
          <w:sz w:val="19"/>
        </w:rPr>
        <w:t>Reason</w:t>
      </w:r>
      <w:r>
        <w:rPr>
          <w:rFonts w:ascii="Arial" w:hAnsi="Arial"/>
          <w:i/>
          <w:color w:val="231F20"/>
          <w:spacing w:val="-1"/>
          <w:w w:val="110"/>
          <w:sz w:val="19"/>
        </w:rPr>
        <w:t> </w:t>
      </w:r>
      <w:r>
        <w:rPr>
          <w:rFonts w:ascii="Arial" w:hAnsi="Arial"/>
          <w:i/>
          <w:color w:val="231F20"/>
          <w:w w:val="110"/>
          <w:sz w:val="19"/>
        </w:rPr>
        <w:t>for</w:t>
      </w:r>
      <w:r>
        <w:rPr>
          <w:rFonts w:ascii="Arial" w:hAnsi="Arial"/>
          <w:i/>
          <w:color w:val="231F20"/>
          <w:spacing w:val="-1"/>
          <w:w w:val="110"/>
          <w:sz w:val="19"/>
        </w:rPr>
        <w:t> </w:t>
      </w:r>
      <w:r>
        <w:rPr>
          <w:rFonts w:ascii="Arial" w:hAnsi="Arial"/>
          <w:i/>
          <w:color w:val="231F20"/>
          <w:w w:val="110"/>
          <w:sz w:val="19"/>
        </w:rPr>
        <w:t>Holding</w:t>
      </w:r>
      <w:r>
        <w:rPr>
          <w:rFonts w:ascii="Arial" w:hAnsi="Arial"/>
          <w:color w:val="231F20"/>
          <w:w w:val="110"/>
          <w:sz w:val="19"/>
        </w:rPr>
        <w:t>—</w:t>
      </w:r>
      <w:r>
        <w:rPr>
          <w:rFonts w:ascii="Arial" w:hAnsi="Arial"/>
          <w:color w:val="231F20"/>
          <w:spacing w:val="-40"/>
          <w:w w:val="110"/>
          <w:sz w:val="19"/>
        </w:rPr>
        <w:t> </w:t>
      </w:r>
      <w:r>
        <w:rPr>
          <w:rFonts w:ascii="Arial" w:hAnsi="Arial"/>
          <w:color w:val="231F20"/>
          <w:w w:val="110"/>
          <w:sz w:val="19"/>
        </w:rPr>
        <w:t>Pipeline,</w:t>
      </w:r>
      <w:r>
        <w:rPr>
          <w:rFonts w:ascii="Arial" w:hAnsi="Arial"/>
          <w:color w:val="231F20"/>
          <w:spacing w:val="-1"/>
          <w:w w:val="110"/>
          <w:sz w:val="19"/>
        </w:rPr>
        <w:t> </w:t>
      </w:r>
      <w:r>
        <w:rPr>
          <w:rFonts w:ascii="Arial" w:hAnsi="Arial"/>
          <w:color w:val="231F20"/>
          <w:w w:val="110"/>
          <w:sz w:val="19"/>
        </w:rPr>
        <w:t>cycle, </w:t>
      </w:r>
      <w:r>
        <w:rPr>
          <w:rFonts w:ascii="Arial" w:hAnsi="Arial"/>
          <w:color w:val="231F20"/>
          <w:w w:val="115"/>
          <w:sz w:val="19"/>
        </w:rPr>
        <w:t>safety, anticipatory, speculative</w:t>
      </w:r>
    </w:p>
    <w:p>
      <w:pPr>
        <w:spacing w:line="328" w:lineRule="auto" w:before="2"/>
        <w:ind w:left="1509" w:right="667" w:hanging="340"/>
        <w:jc w:val="left"/>
        <w:rPr>
          <w:rFonts w:ascii="Arial" w:hAnsi="Arial"/>
          <w:sz w:val="19"/>
        </w:rPr>
      </w:pPr>
      <w:r>
        <w:rPr>
          <w:rFonts w:ascii="Arial" w:hAnsi="Arial"/>
          <w:i/>
          <w:color w:val="231F20"/>
          <w:spacing w:val="-2"/>
          <w:w w:val="115"/>
          <w:sz w:val="19"/>
        </w:rPr>
        <w:t>Economic</w:t>
      </w:r>
      <w:r>
        <w:rPr>
          <w:rFonts w:ascii="Arial" w:hAnsi="Arial"/>
          <w:i/>
          <w:color w:val="231F20"/>
          <w:spacing w:val="-8"/>
          <w:w w:val="115"/>
          <w:sz w:val="19"/>
        </w:rPr>
        <w:t> </w:t>
      </w:r>
      <w:r>
        <w:rPr>
          <w:rFonts w:ascii="Arial" w:hAnsi="Arial"/>
          <w:i/>
          <w:color w:val="231F20"/>
          <w:spacing w:val="-2"/>
          <w:w w:val="115"/>
          <w:sz w:val="19"/>
        </w:rPr>
        <w:t>Order</w:t>
      </w:r>
      <w:r>
        <w:rPr>
          <w:rFonts w:ascii="Arial" w:hAnsi="Arial"/>
          <w:i/>
          <w:color w:val="231F20"/>
          <w:spacing w:val="-6"/>
          <w:w w:val="115"/>
          <w:sz w:val="19"/>
        </w:rPr>
        <w:t> </w:t>
      </w:r>
      <w:r>
        <w:rPr>
          <w:rFonts w:ascii="Arial" w:hAnsi="Arial"/>
          <w:i/>
          <w:color w:val="231F20"/>
          <w:spacing w:val="-2"/>
          <w:w w:val="115"/>
          <w:sz w:val="19"/>
        </w:rPr>
        <w:t>Quantity</w:t>
      </w:r>
      <w:r>
        <w:rPr>
          <w:rFonts w:ascii="Arial" w:hAnsi="Arial"/>
          <w:i/>
          <w:color w:val="231F20"/>
          <w:spacing w:val="-6"/>
          <w:w w:val="115"/>
          <w:sz w:val="19"/>
        </w:rPr>
        <w:t> </w:t>
      </w:r>
      <w:r>
        <w:rPr>
          <w:rFonts w:ascii="Arial" w:hAnsi="Arial"/>
          <w:i/>
          <w:color w:val="231F20"/>
          <w:spacing w:val="-2"/>
          <w:w w:val="115"/>
          <w:sz w:val="19"/>
        </w:rPr>
        <w:t>(EOQ)</w:t>
      </w:r>
      <w:r>
        <w:rPr>
          <w:rFonts w:ascii="Arial" w:hAnsi="Arial"/>
          <w:i/>
          <w:color w:val="231F20"/>
          <w:spacing w:val="-42"/>
          <w:w w:val="115"/>
          <w:sz w:val="19"/>
        </w:rPr>
        <w:t> </w:t>
      </w:r>
      <w:r>
        <w:rPr>
          <w:rFonts w:ascii="Arial" w:hAnsi="Arial"/>
          <w:color w:val="231F20"/>
          <w:spacing w:val="-2"/>
          <w:w w:val="115"/>
          <w:sz w:val="19"/>
        </w:rPr>
        <w:t>—</w:t>
      </w:r>
      <w:r>
        <w:rPr>
          <w:rFonts w:ascii="Arial" w:hAnsi="Arial"/>
          <w:color w:val="231F20"/>
          <w:spacing w:val="-42"/>
          <w:w w:val="115"/>
          <w:sz w:val="19"/>
        </w:rPr>
        <w:t> </w:t>
      </w:r>
      <w:r>
        <w:rPr>
          <w:rFonts w:ascii="Arial" w:hAnsi="Arial"/>
          <w:color w:val="231F20"/>
          <w:spacing w:val="-2"/>
          <w:w w:val="115"/>
          <w:sz w:val="19"/>
        </w:rPr>
        <w:t>Mathematical</w:t>
      </w:r>
      <w:r>
        <w:rPr>
          <w:rFonts w:ascii="Arial" w:hAnsi="Arial"/>
          <w:color w:val="231F20"/>
          <w:spacing w:val="-7"/>
          <w:w w:val="115"/>
          <w:sz w:val="19"/>
        </w:rPr>
        <w:t> </w:t>
      </w:r>
      <w:r>
        <w:rPr>
          <w:rFonts w:ascii="Arial" w:hAnsi="Arial"/>
          <w:color w:val="231F20"/>
          <w:spacing w:val="-2"/>
          <w:w w:val="115"/>
          <w:sz w:val="19"/>
        </w:rPr>
        <w:t>formula</w:t>
      </w:r>
      <w:r>
        <w:rPr>
          <w:rFonts w:ascii="Arial" w:hAnsi="Arial"/>
          <w:color w:val="231F20"/>
          <w:spacing w:val="-7"/>
          <w:w w:val="115"/>
          <w:sz w:val="19"/>
        </w:rPr>
        <w:t> </w:t>
      </w:r>
      <w:r>
        <w:rPr>
          <w:rFonts w:ascii="Arial" w:hAnsi="Arial"/>
          <w:color w:val="231F20"/>
          <w:spacing w:val="-2"/>
          <w:w w:val="115"/>
          <w:sz w:val="19"/>
        </w:rPr>
        <w:t>to </w:t>
      </w:r>
      <w:r>
        <w:rPr>
          <w:rFonts w:ascii="Arial" w:hAnsi="Arial"/>
          <w:color w:val="231F20"/>
          <w:w w:val="115"/>
          <w:sz w:val="19"/>
        </w:rPr>
        <w:t>minimize inventory costs</w:t>
      </w:r>
    </w:p>
    <w:p>
      <w:pPr>
        <w:spacing w:line="328" w:lineRule="auto" w:before="1"/>
        <w:ind w:left="1509" w:right="1045" w:hanging="340"/>
        <w:jc w:val="left"/>
        <w:rPr>
          <w:rFonts w:ascii="Arial" w:hAnsi="Arial"/>
          <w:sz w:val="19"/>
        </w:rPr>
      </w:pPr>
      <w:r>
        <w:rPr>
          <w:rFonts w:ascii="Arial" w:hAnsi="Arial"/>
          <w:i/>
          <w:color w:val="231F20"/>
          <w:w w:val="115"/>
          <w:sz w:val="19"/>
        </w:rPr>
        <w:t>Material</w:t>
      </w:r>
      <w:r>
        <w:rPr>
          <w:rFonts w:ascii="Arial" w:hAnsi="Arial"/>
          <w:i/>
          <w:color w:val="231F20"/>
          <w:spacing w:val="-5"/>
          <w:w w:val="115"/>
          <w:sz w:val="19"/>
        </w:rPr>
        <w:t> </w:t>
      </w:r>
      <w:r>
        <w:rPr>
          <w:rFonts w:ascii="Arial" w:hAnsi="Arial"/>
          <w:i/>
          <w:color w:val="231F20"/>
          <w:w w:val="115"/>
          <w:sz w:val="19"/>
        </w:rPr>
        <w:t>Requirements</w:t>
      </w:r>
      <w:r>
        <w:rPr>
          <w:rFonts w:ascii="Arial" w:hAnsi="Arial"/>
          <w:i/>
          <w:color w:val="231F20"/>
          <w:spacing w:val="-5"/>
          <w:w w:val="115"/>
          <w:sz w:val="19"/>
        </w:rPr>
        <w:t> </w:t>
      </w:r>
      <w:r>
        <w:rPr>
          <w:rFonts w:ascii="Arial" w:hAnsi="Arial"/>
          <w:i/>
          <w:color w:val="231F20"/>
          <w:w w:val="115"/>
          <w:sz w:val="19"/>
        </w:rPr>
        <w:t>Planning</w:t>
      </w:r>
      <w:r>
        <w:rPr>
          <w:rFonts w:ascii="Arial" w:hAnsi="Arial"/>
          <w:i/>
          <w:color w:val="231F20"/>
          <w:spacing w:val="-5"/>
          <w:w w:val="115"/>
          <w:sz w:val="19"/>
        </w:rPr>
        <w:t> </w:t>
      </w:r>
      <w:r>
        <w:rPr>
          <w:rFonts w:ascii="Arial" w:hAnsi="Arial"/>
          <w:i/>
          <w:color w:val="231F20"/>
          <w:w w:val="115"/>
          <w:sz w:val="19"/>
        </w:rPr>
        <w:t>(MRP)</w:t>
      </w:r>
      <w:r>
        <w:rPr>
          <w:rFonts w:ascii="Arial" w:hAnsi="Arial"/>
          <w:color w:val="231F20"/>
          <w:w w:val="115"/>
          <w:sz w:val="19"/>
        </w:rPr>
        <w:t>—</w:t>
      </w:r>
      <w:r>
        <w:rPr>
          <w:rFonts w:ascii="Arial" w:hAnsi="Arial"/>
          <w:color w:val="231F20"/>
          <w:spacing w:val="-42"/>
          <w:w w:val="115"/>
          <w:sz w:val="19"/>
        </w:rPr>
        <w:t> </w:t>
      </w:r>
      <w:r>
        <w:rPr>
          <w:rFonts w:ascii="Arial" w:hAnsi="Arial"/>
          <w:color w:val="231F20"/>
          <w:w w:val="115"/>
          <w:sz w:val="19"/>
        </w:rPr>
        <w:t>Sophisticated operational</w:t>
      </w:r>
      <w:r>
        <w:rPr>
          <w:rFonts w:ascii="Arial" w:hAnsi="Arial"/>
          <w:color w:val="231F20"/>
          <w:spacing w:val="-13"/>
          <w:w w:val="115"/>
          <w:sz w:val="19"/>
        </w:rPr>
        <w:t> </w:t>
      </w:r>
      <w:r>
        <w:rPr>
          <w:rFonts w:ascii="Arial" w:hAnsi="Arial"/>
          <w:color w:val="231F20"/>
          <w:w w:val="115"/>
          <w:sz w:val="19"/>
        </w:rPr>
        <w:t>inventory</w:t>
      </w:r>
      <w:r>
        <w:rPr>
          <w:rFonts w:ascii="Arial" w:hAnsi="Arial"/>
          <w:color w:val="231F20"/>
          <w:spacing w:val="-13"/>
          <w:w w:val="115"/>
          <w:sz w:val="19"/>
        </w:rPr>
        <w:t> </w:t>
      </w:r>
      <w:r>
        <w:rPr>
          <w:rFonts w:ascii="Arial" w:hAnsi="Arial"/>
          <w:color w:val="231F20"/>
          <w:w w:val="115"/>
          <w:sz w:val="19"/>
        </w:rPr>
        <w:t>and</w:t>
      </w:r>
      <w:r>
        <w:rPr>
          <w:rFonts w:ascii="Arial" w:hAnsi="Arial"/>
          <w:color w:val="231F20"/>
          <w:spacing w:val="-13"/>
          <w:w w:val="115"/>
          <w:sz w:val="19"/>
        </w:rPr>
        <w:t> </w:t>
      </w:r>
      <w:r>
        <w:rPr>
          <w:rFonts w:ascii="Arial" w:hAnsi="Arial"/>
          <w:color w:val="231F20"/>
          <w:w w:val="115"/>
          <w:sz w:val="19"/>
        </w:rPr>
        <w:t>capacity</w:t>
      </w:r>
      <w:r>
        <w:rPr>
          <w:rFonts w:ascii="Arial" w:hAnsi="Arial"/>
          <w:color w:val="231F20"/>
          <w:spacing w:val="-13"/>
          <w:w w:val="115"/>
          <w:sz w:val="19"/>
        </w:rPr>
        <w:t> </w:t>
      </w:r>
      <w:r>
        <w:rPr>
          <w:rFonts w:ascii="Arial" w:hAnsi="Arial"/>
          <w:color w:val="231F20"/>
          <w:w w:val="115"/>
          <w:sz w:val="19"/>
        </w:rPr>
        <w:t>management</w:t>
      </w:r>
      <w:r>
        <w:rPr>
          <w:rFonts w:ascii="Arial" w:hAnsi="Arial"/>
          <w:color w:val="231F20"/>
          <w:spacing w:val="-13"/>
          <w:w w:val="115"/>
          <w:sz w:val="19"/>
        </w:rPr>
        <w:t> </w:t>
      </w:r>
      <w:r>
        <w:rPr>
          <w:rFonts w:ascii="Arial" w:hAnsi="Arial"/>
          <w:color w:val="231F20"/>
          <w:w w:val="115"/>
          <w:sz w:val="19"/>
        </w:rPr>
        <w:t>tool</w:t>
      </w:r>
    </w:p>
    <w:p>
      <w:pPr>
        <w:spacing w:line="328" w:lineRule="auto" w:before="1"/>
        <w:ind w:left="1509" w:right="667" w:hanging="340"/>
        <w:jc w:val="left"/>
        <w:rPr>
          <w:rFonts w:ascii="Arial" w:hAnsi="Arial"/>
          <w:sz w:val="19"/>
        </w:rPr>
      </w:pPr>
      <w:r>
        <w:rPr>
          <w:rFonts w:ascii="Arial" w:hAnsi="Arial"/>
          <w:i/>
          <w:color w:val="231F20"/>
          <w:w w:val="110"/>
          <w:sz w:val="19"/>
        </w:rPr>
        <w:t>Quality</w:t>
      </w:r>
      <w:r>
        <w:rPr>
          <w:rFonts w:ascii="Arial" w:hAnsi="Arial"/>
          <w:i/>
          <w:color w:val="231F20"/>
          <w:spacing w:val="-8"/>
          <w:w w:val="110"/>
          <w:sz w:val="19"/>
        </w:rPr>
        <w:t> </w:t>
      </w:r>
      <w:r>
        <w:rPr>
          <w:rFonts w:ascii="Arial" w:hAnsi="Arial"/>
          <w:i/>
          <w:color w:val="231F20"/>
          <w:w w:val="110"/>
          <w:sz w:val="19"/>
        </w:rPr>
        <w:t>Gurus</w:t>
      </w:r>
      <w:r>
        <w:rPr>
          <w:rFonts w:ascii="Arial" w:hAnsi="Arial"/>
          <w:i/>
          <w:color w:val="231F20"/>
          <w:spacing w:val="-40"/>
          <w:w w:val="110"/>
          <w:sz w:val="19"/>
        </w:rPr>
        <w:t> </w:t>
      </w:r>
      <w:r>
        <w:rPr>
          <w:rFonts w:ascii="Arial" w:hAnsi="Arial"/>
          <w:color w:val="231F20"/>
          <w:w w:val="110"/>
          <w:sz w:val="19"/>
        </w:rPr>
        <w:t>—</w:t>
      </w:r>
      <w:r>
        <w:rPr>
          <w:rFonts w:ascii="Arial" w:hAnsi="Arial"/>
          <w:color w:val="231F20"/>
          <w:spacing w:val="-39"/>
          <w:w w:val="110"/>
          <w:sz w:val="19"/>
        </w:rPr>
        <w:t> </w:t>
      </w:r>
      <w:r>
        <w:rPr>
          <w:rFonts w:ascii="Arial" w:hAnsi="Arial"/>
          <w:color w:val="231F20"/>
          <w:w w:val="110"/>
          <w:sz w:val="19"/>
        </w:rPr>
        <w:t>Joseph</w:t>
      </w:r>
      <w:r>
        <w:rPr>
          <w:rFonts w:ascii="Arial" w:hAnsi="Arial"/>
          <w:color w:val="231F20"/>
          <w:spacing w:val="-5"/>
          <w:w w:val="110"/>
          <w:sz w:val="19"/>
        </w:rPr>
        <w:t> </w:t>
      </w:r>
      <w:r>
        <w:rPr>
          <w:rFonts w:ascii="Arial" w:hAnsi="Arial"/>
          <w:color w:val="231F20"/>
          <w:w w:val="110"/>
          <w:sz w:val="19"/>
        </w:rPr>
        <w:t>Juran,</w:t>
      </w:r>
      <w:r>
        <w:rPr>
          <w:rFonts w:ascii="Arial" w:hAnsi="Arial"/>
          <w:color w:val="231F20"/>
          <w:spacing w:val="-5"/>
          <w:w w:val="110"/>
          <w:sz w:val="19"/>
        </w:rPr>
        <w:t> </w:t>
      </w:r>
      <w:r>
        <w:rPr>
          <w:rFonts w:ascii="Arial" w:hAnsi="Arial"/>
          <w:color w:val="231F20"/>
          <w:w w:val="110"/>
          <w:sz w:val="19"/>
        </w:rPr>
        <w:t>W.</w:t>
      </w:r>
      <w:r>
        <w:rPr>
          <w:rFonts w:ascii="Arial" w:hAnsi="Arial"/>
          <w:color w:val="231F20"/>
          <w:spacing w:val="-5"/>
          <w:w w:val="110"/>
          <w:sz w:val="19"/>
        </w:rPr>
        <w:t> </w:t>
      </w:r>
      <w:r>
        <w:rPr>
          <w:rFonts w:ascii="Arial" w:hAnsi="Arial"/>
          <w:color w:val="231F20"/>
          <w:w w:val="110"/>
          <w:sz w:val="19"/>
        </w:rPr>
        <w:t>Edwards</w:t>
      </w:r>
      <w:r>
        <w:rPr>
          <w:rFonts w:ascii="Arial" w:hAnsi="Arial"/>
          <w:color w:val="231F20"/>
          <w:spacing w:val="-5"/>
          <w:w w:val="110"/>
          <w:sz w:val="19"/>
        </w:rPr>
        <w:t> </w:t>
      </w:r>
      <w:r>
        <w:rPr>
          <w:rFonts w:ascii="Arial" w:hAnsi="Arial"/>
          <w:color w:val="231F20"/>
          <w:w w:val="110"/>
          <w:sz w:val="19"/>
        </w:rPr>
        <w:t>Deming,</w:t>
      </w:r>
      <w:r>
        <w:rPr>
          <w:rFonts w:ascii="Arial" w:hAnsi="Arial"/>
          <w:color w:val="231F20"/>
          <w:spacing w:val="-5"/>
          <w:w w:val="110"/>
          <w:sz w:val="19"/>
        </w:rPr>
        <w:t> </w:t>
      </w:r>
      <w:r>
        <w:rPr>
          <w:rFonts w:ascii="Arial" w:hAnsi="Arial"/>
          <w:color w:val="231F20"/>
          <w:w w:val="110"/>
          <w:sz w:val="19"/>
        </w:rPr>
        <w:t>and</w:t>
      </w:r>
      <w:r>
        <w:rPr>
          <w:rFonts w:ascii="Arial" w:hAnsi="Arial"/>
          <w:color w:val="231F20"/>
          <w:spacing w:val="-5"/>
          <w:w w:val="110"/>
          <w:sz w:val="19"/>
        </w:rPr>
        <w:t> </w:t>
      </w:r>
      <w:r>
        <w:rPr>
          <w:rFonts w:ascii="Arial" w:hAnsi="Arial"/>
          <w:color w:val="231F20"/>
          <w:w w:val="110"/>
          <w:sz w:val="19"/>
        </w:rPr>
        <w:t>Philip </w:t>
      </w:r>
      <w:r>
        <w:rPr>
          <w:rFonts w:ascii="Arial" w:hAnsi="Arial"/>
          <w:color w:val="231F20"/>
          <w:spacing w:val="-2"/>
          <w:w w:val="110"/>
          <w:sz w:val="19"/>
        </w:rPr>
        <w:t>Crosby</w:t>
      </w:r>
    </w:p>
    <w:p>
      <w:pPr>
        <w:spacing w:line="328" w:lineRule="auto" w:before="2"/>
        <w:ind w:left="1509" w:right="667" w:hanging="340"/>
        <w:jc w:val="left"/>
        <w:rPr>
          <w:rFonts w:ascii="Arial" w:hAnsi="Arial"/>
          <w:sz w:val="19"/>
        </w:rPr>
      </w:pPr>
      <w:r>
        <w:rPr>
          <w:rFonts w:ascii="Arial" w:hAnsi="Arial"/>
          <w:i/>
          <w:color w:val="231F20"/>
          <w:spacing w:val="-2"/>
          <w:w w:val="115"/>
          <w:sz w:val="19"/>
        </w:rPr>
        <w:t>Statistical</w:t>
      </w:r>
      <w:r>
        <w:rPr>
          <w:rFonts w:ascii="Arial" w:hAnsi="Arial"/>
          <w:i/>
          <w:color w:val="231F20"/>
          <w:spacing w:val="-8"/>
          <w:w w:val="115"/>
          <w:sz w:val="19"/>
        </w:rPr>
        <w:t> </w:t>
      </w:r>
      <w:r>
        <w:rPr>
          <w:rFonts w:ascii="Arial" w:hAnsi="Arial"/>
          <w:i/>
          <w:color w:val="231F20"/>
          <w:spacing w:val="-2"/>
          <w:w w:val="115"/>
          <w:sz w:val="19"/>
        </w:rPr>
        <w:t>Process</w:t>
      </w:r>
      <w:r>
        <w:rPr>
          <w:rFonts w:ascii="Arial" w:hAnsi="Arial"/>
          <w:i/>
          <w:color w:val="231F20"/>
          <w:spacing w:val="-7"/>
          <w:w w:val="115"/>
          <w:sz w:val="19"/>
        </w:rPr>
        <w:t> </w:t>
      </w:r>
      <w:r>
        <w:rPr>
          <w:rFonts w:ascii="Arial" w:hAnsi="Arial"/>
          <w:i/>
          <w:color w:val="231F20"/>
          <w:spacing w:val="-2"/>
          <w:w w:val="115"/>
          <w:sz w:val="19"/>
        </w:rPr>
        <w:t>Control</w:t>
      </w:r>
      <w:r>
        <w:rPr>
          <w:rFonts w:ascii="Arial" w:hAnsi="Arial"/>
          <w:i/>
          <w:color w:val="231F20"/>
          <w:spacing w:val="-7"/>
          <w:w w:val="115"/>
          <w:sz w:val="19"/>
        </w:rPr>
        <w:t> </w:t>
      </w:r>
      <w:r>
        <w:rPr>
          <w:rFonts w:ascii="Arial" w:hAnsi="Arial"/>
          <w:i/>
          <w:color w:val="231F20"/>
          <w:spacing w:val="-2"/>
          <w:w w:val="115"/>
          <w:sz w:val="19"/>
        </w:rPr>
        <w:t>(SPC)</w:t>
      </w:r>
      <w:r>
        <w:rPr>
          <w:rFonts w:ascii="Arial" w:hAnsi="Arial"/>
          <w:color w:val="231F20"/>
          <w:spacing w:val="-2"/>
          <w:w w:val="115"/>
          <w:sz w:val="19"/>
        </w:rPr>
        <w:t>—</w:t>
      </w:r>
      <w:r>
        <w:rPr>
          <w:rFonts w:ascii="Arial" w:hAnsi="Arial"/>
          <w:color w:val="231F20"/>
          <w:spacing w:val="-42"/>
          <w:w w:val="115"/>
          <w:sz w:val="19"/>
        </w:rPr>
        <w:t> </w:t>
      </w:r>
      <w:r>
        <w:rPr>
          <w:rFonts w:ascii="Arial" w:hAnsi="Arial"/>
          <w:color w:val="231F20"/>
          <w:spacing w:val="-2"/>
          <w:w w:val="115"/>
          <w:sz w:val="19"/>
        </w:rPr>
        <w:t>Statistical</w:t>
      </w:r>
      <w:r>
        <w:rPr>
          <w:rFonts w:ascii="Arial" w:hAnsi="Arial"/>
          <w:color w:val="231F20"/>
          <w:spacing w:val="-7"/>
          <w:w w:val="115"/>
          <w:sz w:val="19"/>
        </w:rPr>
        <w:t> </w:t>
      </w:r>
      <w:r>
        <w:rPr>
          <w:rFonts w:ascii="Arial" w:hAnsi="Arial"/>
          <w:color w:val="231F20"/>
          <w:spacing w:val="-2"/>
          <w:w w:val="115"/>
          <w:sz w:val="19"/>
        </w:rPr>
        <w:t>quality-control technique</w:t>
      </w:r>
    </w:p>
    <w:p>
      <w:pPr>
        <w:spacing w:line="328" w:lineRule="auto" w:before="1"/>
        <w:ind w:left="1509" w:right="667" w:hanging="340"/>
        <w:jc w:val="left"/>
        <w:rPr>
          <w:rFonts w:ascii="Arial" w:hAnsi="Arial"/>
          <w:sz w:val="19"/>
        </w:rPr>
      </w:pPr>
      <w:r>
        <w:rPr>
          <w:rFonts w:ascii="Arial" w:hAnsi="Arial"/>
          <w:i/>
          <w:color w:val="231F20"/>
          <w:w w:val="115"/>
          <w:sz w:val="19"/>
        </w:rPr>
        <w:t>Customer</w:t>
      </w:r>
      <w:r>
        <w:rPr>
          <w:rFonts w:ascii="Arial" w:hAnsi="Arial"/>
          <w:i/>
          <w:color w:val="231F20"/>
          <w:spacing w:val="-4"/>
          <w:w w:val="115"/>
          <w:sz w:val="19"/>
        </w:rPr>
        <w:t> </w:t>
      </w:r>
      <w:r>
        <w:rPr>
          <w:rFonts w:ascii="Arial" w:hAnsi="Arial"/>
          <w:i/>
          <w:color w:val="231F20"/>
          <w:w w:val="115"/>
          <w:sz w:val="19"/>
        </w:rPr>
        <w:t>Relationship</w:t>
      </w:r>
      <w:r>
        <w:rPr>
          <w:rFonts w:ascii="Arial" w:hAnsi="Arial"/>
          <w:i/>
          <w:color w:val="231F20"/>
          <w:spacing w:val="-4"/>
          <w:w w:val="115"/>
          <w:sz w:val="19"/>
        </w:rPr>
        <w:t> </w:t>
      </w:r>
      <w:r>
        <w:rPr>
          <w:rFonts w:ascii="Arial" w:hAnsi="Arial"/>
          <w:i/>
          <w:color w:val="231F20"/>
          <w:w w:val="115"/>
          <w:sz w:val="19"/>
        </w:rPr>
        <w:t>Management</w:t>
      </w:r>
      <w:r>
        <w:rPr>
          <w:rFonts w:ascii="Arial" w:hAnsi="Arial"/>
          <w:i/>
          <w:color w:val="231F20"/>
          <w:spacing w:val="-4"/>
          <w:w w:val="115"/>
          <w:sz w:val="19"/>
        </w:rPr>
        <w:t> </w:t>
      </w:r>
      <w:r>
        <w:rPr>
          <w:rFonts w:ascii="Arial" w:hAnsi="Arial"/>
          <w:i/>
          <w:color w:val="231F20"/>
          <w:w w:val="115"/>
          <w:sz w:val="19"/>
        </w:rPr>
        <w:t>(CRM)</w:t>
      </w:r>
      <w:r>
        <w:rPr>
          <w:rFonts w:ascii="Arial" w:hAnsi="Arial"/>
          <w:i/>
          <w:color w:val="231F20"/>
          <w:spacing w:val="-43"/>
          <w:w w:val="115"/>
          <w:sz w:val="19"/>
        </w:rPr>
        <w:t> </w:t>
      </w:r>
      <w:r>
        <w:rPr>
          <w:rFonts w:ascii="Arial" w:hAnsi="Arial"/>
          <w:color w:val="231F20"/>
          <w:spacing w:val="11"/>
          <w:w w:val="115"/>
          <w:sz w:val="19"/>
        </w:rPr>
        <w:t>—</w:t>
      </w:r>
      <w:r>
        <w:rPr>
          <w:rFonts w:ascii="Arial" w:hAnsi="Arial"/>
          <w:color w:val="231F20"/>
          <w:w w:val="115"/>
          <w:sz w:val="19"/>
        </w:rPr>
        <w:t>A</w:t>
      </w:r>
      <w:r>
        <w:rPr>
          <w:rFonts w:ascii="Arial" w:hAnsi="Arial"/>
          <w:color w:val="231F20"/>
          <w:spacing w:val="-4"/>
          <w:w w:val="115"/>
          <w:sz w:val="19"/>
        </w:rPr>
        <w:t> </w:t>
      </w:r>
      <w:r>
        <w:rPr>
          <w:rFonts w:ascii="Arial" w:hAnsi="Arial"/>
          <w:color w:val="231F20"/>
          <w:w w:val="115"/>
          <w:sz w:val="19"/>
        </w:rPr>
        <w:t>system</w:t>
      </w:r>
      <w:r>
        <w:rPr>
          <w:rFonts w:ascii="Arial" w:hAnsi="Arial"/>
          <w:color w:val="231F20"/>
          <w:spacing w:val="-4"/>
          <w:w w:val="115"/>
          <w:sz w:val="19"/>
        </w:rPr>
        <w:t> </w:t>
      </w:r>
      <w:r>
        <w:rPr>
          <w:rFonts w:ascii="Arial" w:hAnsi="Arial"/>
          <w:color w:val="231F20"/>
          <w:w w:val="115"/>
          <w:sz w:val="19"/>
        </w:rPr>
        <w:t>of improving</w:t>
      </w:r>
      <w:r>
        <w:rPr>
          <w:rFonts w:ascii="Arial" w:hAnsi="Arial"/>
          <w:color w:val="231F20"/>
          <w:spacing w:val="-10"/>
          <w:w w:val="115"/>
          <w:sz w:val="19"/>
        </w:rPr>
        <w:t> </w:t>
      </w:r>
      <w:r>
        <w:rPr>
          <w:rFonts w:ascii="Arial" w:hAnsi="Arial"/>
          <w:color w:val="231F20"/>
          <w:w w:val="115"/>
          <w:sz w:val="19"/>
        </w:rPr>
        <w:t>and</w:t>
      </w:r>
      <w:r>
        <w:rPr>
          <w:rFonts w:ascii="Arial" w:hAnsi="Arial"/>
          <w:color w:val="231F20"/>
          <w:spacing w:val="-10"/>
          <w:w w:val="115"/>
          <w:sz w:val="19"/>
        </w:rPr>
        <w:t> </w:t>
      </w:r>
      <w:r>
        <w:rPr>
          <w:rFonts w:ascii="Arial" w:hAnsi="Arial"/>
          <w:color w:val="231F20"/>
          <w:w w:val="115"/>
          <w:sz w:val="19"/>
        </w:rPr>
        <w:t>managing</w:t>
      </w:r>
      <w:r>
        <w:rPr>
          <w:rFonts w:ascii="Arial" w:hAnsi="Arial"/>
          <w:color w:val="231F20"/>
          <w:spacing w:val="-10"/>
          <w:w w:val="115"/>
          <w:sz w:val="19"/>
        </w:rPr>
        <w:t> </w:t>
      </w:r>
      <w:r>
        <w:rPr>
          <w:rFonts w:ascii="Arial" w:hAnsi="Arial"/>
          <w:color w:val="231F20"/>
          <w:w w:val="115"/>
          <w:sz w:val="19"/>
        </w:rPr>
        <w:t>the</w:t>
      </w:r>
      <w:r>
        <w:rPr>
          <w:rFonts w:ascii="Arial" w:hAnsi="Arial"/>
          <w:color w:val="231F20"/>
          <w:spacing w:val="-10"/>
          <w:w w:val="115"/>
          <w:sz w:val="19"/>
        </w:rPr>
        <w:t> </w:t>
      </w:r>
      <w:r>
        <w:rPr>
          <w:rFonts w:ascii="Arial" w:hAnsi="Arial"/>
          <w:color w:val="231F20"/>
          <w:w w:val="115"/>
          <w:sz w:val="19"/>
        </w:rPr>
        <w:t>entire</w:t>
      </w:r>
      <w:r>
        <w:rPr>
          <w:rFonts w:ascii="Arial" w:hAnsi="Arial"/>
          <w:color w:val="231F20"/>
          <w:spacing w:val="-10"/>
          <w:w w:val="115"/>
          <w:sz w:val="19"/>
        </w:rPr>
        <w:t> </w:t>
      </w:r>
      <w:r>
        <w:rPr>
          <w:rFonts w:ascii="Arial" w:hAnsi="Arial"/>
          <w:color w:val="231F20"/>
          <w:w w:val="115"/>
          <w:sz w:val="19"/>
        </w:rPr>
        <w:t>relationship</w:t>
      </w:r>
      <w:r>
        <w:rPr>
          <w:rFonts w:ascii="Arial" w:hAnsi="Arial"/>
          <w:color w:val="231F20"/>
          <w:spacing w:val="-10"/>
          <w:w w:val="115"/>
          <w:sz w:val="19"/>
        </w:rPr>
        <w:t> </w:t>
      </w:r>
      <w:r>
        <w:rPr>
          <w:rFonts w:ascii="Arial" w:hAnsi="Arial"/>
          <w:color w:val="231F20"/>
          <w:w w:val="115"/>
          <w:sz w:val="19"/>
        </w:rPr>
        <w:t>with</w:t>
      </w:r>
      <w:r>
        <w:rPr>
          <w:rFonts w:ascii="Arial" w:hAnsi="Arial"/>
          <w:color w:val="231F20"/>
          <w:spacing w:val="-10"/>
          <w:w w:val="115"/>
          <w:sz w:val="19"/>
        </w:rPr>
        <w:t> </w:t>
      </w:r>
      <w:r>
        <w:rPr>
          <w:rFonts w:ascii="Arial" w:hAnsi="Arial"/>
          <w:color w:val="231F20"/>
          <w:w w:val="115"/>
          <w:sz w:val="19"/>
        </w:rPr>
        <w:t>the </w:t>
      </w:r>
      <w:r>
        <w:rPr>
          <w:rFonts w:ascii="Arial" w:hAnsi="Arial"/>
          <w:color w:val="231F20"/>
          <w:spacing w:val="-2"/>
          <w:w w:val="115"/>
          <w:sz w:val="19"/>
        </w:rPr>
        <w:t>customer</w:t>
      </w:r>
    </w:p>
    <w:p>
      <w:pPr>
        <w:spacing w:after="0" w:line="328" w:lineRule="auto"/>
        <w:jc w:val="left"/>
        <w:rPr>
          <w:rFonts w:ascii="Arial" w:hAnsi="Arial"/>
          <w:sz w:val="19"/>
        </w:rPr>
        <w:sectPr>
          <w:pgSz w:w="8640" w:h="12960"/>
          <w:pgMar w:header="732" w:footer="0" w:top="920" w:bottom="280" w:left="340" w:right="50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9"/>
        </w:rPr>
      </w:pPr>
    </w:p>
    <w:p>
      <w:pPr>
        <w:spacing w:before="86"/>
        <w:ind w:left="469" w:right="219" w:firstLine="0"/>
        <w:jc w:val="center"/>
        <w:rPr>
          <w:b/>
          <w:i/>
          <w:sz w:val="40"/>
        </w:rPr>
      </w:pPr>
      <w:bookmarkStart w:name="Day 8" w:id="23"/>
      <w:bookmarkEnd w:id="23"/>
      <w:r>
        <w:rPr/>
      </w:r>
      <w:bookmarkStart w:name="_bookmark11" w:id="24"/>
      <w:bookmarkEnd w:id="24"/>
      <w:r>
        <w:rPr/>
      </w:r>
      <w:hyperlink w:history="true" w:anchor="_bookmark1">
        <w:r>
          <w:rPr>
            <w:b/>
            <w:i/>
            <w:color w:val="0000FF"/>
            <w:spacing w:val="12"/>
            <w:sz w:val="40"/>
          </w:rPr>
          <w:t>Day</w:t>
        </w:r>
        <w:r>
          <w:rPr>
            <w:b/>
            <w:i/>
            <w:color w:val="0000FF"/>
            <w:spacing w:val="68"/>
            <w:sz w:val="40"/>
          </w:rPr>
          <w:t> </w:t>
        </w:r>
        <w:r>
          <w:rPr>
            <w:b/>
            <w:i/>
            <w:color w:val="0000FF"/>
            <w:spacing w:val="-10"/>
            <w:sz w:val="40"/>
          </w:rPr>
          <w:t>8</w:t>
        </w:r>
      </w:hyperlink>
    </w:p>
    <w:p>
      <w:pPr>
        <w:pStyle w:val="BodyText"/>
        <w:spacing w:before="10"/>
        <w:rPr>
          <w:b/>
          <w:i/>
          <w:sz w:val="10"/>
        </w:rPr>
      </w:pPr>
      <w:r>
        <w:rPr/>
        <w:pict>
          <v:shape style="position:absolute;margin-left:180.25pt;margin-top:7.583056pt;width:76pt;height:.1pt;mso-position-horizontal-relative:page;mso-position-vertical-relative:paragraph;z-index:-15549440;mso-wrap-distance-left:0;mso-wrap-distance-right:0" id="docshape455" coordorigin="3605,152" coordsize="1520,0" path="m3605,152l5125,152e" filled="false" stroked="true" strokeweight="6pt" strokecolor="#d1d3d4">
            <v:path arrowok="t"/>
            <v:stroke dashstyle="solid"/>
            <w10:wrap type="topAndBottom"/>
          </v:shape>
        </w:pict>
      </w:r>
    </w:p>
    <w:p>
      <w:pPr>
        <w:pStyle w:val="Heading1"/>
        <w:ind w:left="510"/>
      </w:pPr>
      <w:r>
        <w:rPr>
          <w:color w:val="231F20"/>
          <w:spacing w:val="39"/>
          <w:w w:val="90"/>
        </w:rPr>
        <w:t>ECONOMICS</w:t>
      </w:r>
    </w:p>
    <w:p>
      <w:pPr>
        <w:pStyle w:val="BodyText"/>
        <w:spacing w:before="6"/>
        <w:rPr>
          <w:rFonts w:ascii="Trebuchet MS"/>
          <w:sz w:val="78"/>
        </w:rPr>
      </w:pPr>
    </w:p>
    <w:p>
      <w:pPr>
        <w:pStyle w:val="Heading5"/>
        <w:ind w:left="480"/>
        <w:rPr>
          <w:i/>
        </w:rPr>
      </w:pPr>
      <w:r>
        <w:rPr>
          <w:i/>
          <w:color w:val="231F20"/>
          <w:spacing w:val="9"/>
          <w:w w:val="90"/>
        </w:rPr>
        <w:t>Economics</w:t>
      </w:r>
      <w:r>
        <w:rPr>
          <w:i/>
          <w:color w:val="231F20"/>
          <w:spacing w:val="30"/>
        </w:rPr>
        <w:t> </w:t>
      </w:r>
      <w:r>
        <w:rPr>
          <w:i/>
          <w:color w:val="231F20"/>
          <w:spacing w:val="-2"/>
        </w:rPr>
        <w:t>Topics</w:t>
      </w:r>
    </w:p>
    <w:p>
      <w:pPr>
        <w:spacing w:line="328" w:lineRule="auto" w:before="71"/>
        <w:ind w:left="1260" w:right="4535" w:firstLine="0"/>
        <w:jc w:val="left"/>
        <w:rPr>
          <w:rFonts w:ascii="Arial"/>
          <w:sz w:val="19"/>
        </w:rPr>
      </w:pPr>
      <w:r>
        <w:rPr>
          <w:rFonts w:ascii="Arial"/>
          <w:color w:val="808285"/>
          <w:w w:val="115"/>
          <w:sz w:val="19"/>
        </w:rPr>
        <w:t>Supply</w:t>
      </w:r>
      <w:r>
        <w:rPr>
          <w:rFonts w:ascii="Arial"/>
          <w:color w:val="808285"/>
          <w:spacing w:val="-16"/>
          <w:w w:val="115"/>
          <w:sz w:val="19"/>
        </w:rPr>
        <w:t> </w:t>
      </w:r>
      <w:r>
        <w:rPr>
          <w:rFonts w:ascii="Arial"/>
          <w:color w:val="808285"/>
          <w:w w:val="115"/>
          <w:sz w:val="19"/>
        </w:rPr>
        <w:t>and</w:t>
      </w:r>
      <w:r>
        <w:rPr>
          <w:rFonts w:ascii="Arial"/>
          <w:color w:val="808285"/>
          <w:spacing w:val="-15"/>
          <w:w w:val="115"/>
          <w:sz w:val="19"/>
        </w:rPr>
        <w:t> </w:t>
      </w:r>
      <w:r>
        <w:rPr>
          <w:rFonts w:ascii="Arial"/>
          <w:color w:val="808285"/>
          <w:w w:val="115"/>
          <w:sz w:val="19"/>
        </w:rPr>
        <w:t>Demand </w:t>
      </w:r>
      <w:r>
        <w:rPr>
          <w:rFonts w:ascii="Arial"/>
          <w:color w:val="808285"/>
          <w:spacing w:val="-2"/>
          <w:w w:val="115"/>
          <w:sz w:val="19"/>
        </w:rPr>
        <w:t>Microeconomics </w:t>
      </w:r>
      <w:r>
        <w:rPr>
          <w:rFonts w:ascii="Arial"/>
          <w:color w:val="808285"/>
          <w:w w:val="115"/>
          <w:sz w:val="19"/>
        </w:rPr>
        <w:t>Opportunity Costs Marginal Utility </w:t>
      </w:r>
      <w:r>
        <w:rPr>
          <w:rFonts w:ascii="Arial"/>
          <w:color w:val="808285"/>
          <w:spacing w:val="-2"/>
          <w:w w:val="115"/>
          <w:sz w:val="19"/>
        </w:rPr>
        <w:t>Elasticity</w:t>
      </w:r>
    </w:p>
    <w:p>
      <w:pPr>
        <w:spacing w:line="328" w:lineRule="auto" w:before="3"/>
        <w:ind w:left="1260" w:right="4157" w:firstLine="0"/>
        <w:jc w:val="left"/>
        <w:rPr>
          <w:rFonts w:ascii="Arial"/>
          <w:sz w:val="19"/>
        </w:rPr>
      </w:pPr>
      <w:r>
        <w:rPr>
          <w:rFonts w:ascii="Arial"/>
          <w:color w:val="808285"/>
          <w:w w:val="115"/>
          <w:sz w:val="19"/>
        </w:rPr>
        <w:t>Market</w:t>
      </w:r>
      <w:r>
        <w:rPr>
          <w:rFonts w:ascii="Arial"/>
          <w:color w:val="808285"/>
          <w:spacing w:val="-16"/>
          <w:w w:val="115"/>
          <w:sz w:val="19"/>
        </w:rPr>
        <w:t> </w:t>
      </w:r>
      <w:r>
        <w:rPr>
          <w:rFonts w:ascii="Arial"/>
          <w:color w:val="808285"/>
          <w:w w:val="115"/>
          <w:sz w:val="19"/>
        </w:rPr>
        <w:t>Structures </w:t>
      </w:r>
      <w:r>
        <w:rPr>
          <w:rFonts w:ascii="Arial"/>
          <w:color w:val="808285"/>
          <w:spacing w:val="-2"/>
          <w:w w:val="115"/>
          <w:sz w:val="19"/>
        </w:rPr>
        <w:t>Macroeconomics</w:t>
      </w:r>
    </w:p>
    <w:p>
      <w:pPr>
        <w:spacing w:line="328" w:lineRule="auto" w:before="2"/>
        <w:ind w:left="1260" w:right="2640" w:firstLine="0"/>
        <w:jc w:val="left"/>
        <w:rPr>
          <w:rFonts w:ascii="Arial"/>
          <w:sz w:val="19"/>
        </w:rPr>
      </w:pPr>
      <w:r>
        <w:rPr>
          <w:rFonts w:ascii="Arial"/>
          <w:color w:val="808285"/>
          <w:w w:val="120"/>
          <w:sz w:val="19"/>
        </w:rPr>
        <w:t>Keynesian and Monetarist Theory </w:t>
      </w:r>
      <w:r>
        <w:rPr>
          <w:rFonts w:ascii="Arial"/>
          <w:color w:val="808285"/>
          <w:w w:val="115"/>
          <w:sz w:val="19"/>
        </w:rPr>
        <w:t>Gross National Product Accounting </w:t>
      </w:r>
      <w:r>
        <w:rPr>
          <w:rFonts w:ascii="Arial"/>
          <w:color w:val="808285"/>
          <w:w w:val="120"/>
          <w:sz w:val="19"/>
        </w:rPr>
        <w:t>International Economics</w:t>
      </w:r>
    </w:p>
    <w:p>
      <w:pPr>
        <w:pStyle w:val="BodyText"/>
        <w:rPr>
          <w:rFonts w:ascii="Arial"/>
          <w:sz w:val="20"/>
        </w:rPr>
      </w:pPr>
    </w:p>
    <w:p>
      <w:pPr>
        <w:pStyle w:val="BodyText"/>
        <w:rPr>
          <w:rFonts w:ascii="Arial"/>
          <w:sz w:val="20"/>
        </w:rPr>
      </w:pPr>
    </w:p>
    <w:p>
      <w:pPr>
        <w:spacing w:line="324" w:lineRule="auto" w:before="139"/>
        <w:ind w:left="1260" w:right="1006" w:firstLine="0"/>
        <w:jc w:val="both"/>
        <w:rPr>
          <w:sz w:val="19"/>
        </w:rPr>
      </w:pPr>
      <w:r>
        <w:rPr>
          <w:color w:val="231F20"/>
          <w:sz w:val="19"/>
        </w:rPr>
        <w:t>Like kings of old dispensing with their astrologers, big business is sacking its economic soothsayers. Their stargazing proved </w:t>
      </w:r>
      <w:r>
        <w:rPr>
          <w:color w:val="231F20"/>
          <w:sz w:val="19"/>
        </w:rPr>
        <w:t>enter- taining and interesting—</w:t>
      </w:r>
      <w:r>
        <w:rPr>
          <w:color w:val="231F20"/>
          <w:spacing w:val="-8"/>
          <w:sz w:val="19"/>
        </w:rPr>
        <w:t> </w:t>
      </w:r>
      <w:r>
        <w:rPr>
          <w:color w:val="231F20"/>
          <w:sz w:val="19"/>
        </w:rPr>
        <w:t>but not very useful.</w:t>
      </w:r>
    </w:p>
    <w:p>
      <w:pPr>
        <w:spacing w:before="17"/>
        <w:ind w:left="3195" w:right="0" w:firstLine="0"/>
        <w:jc w:val="both"/>
        <w:rPr>
          <w:i/>
          <w:sz w:val="17"/>
        </w:rPr>
      </w:pPr>
      <w:r>
        <w:rPr>
          <w:color w:val="231F20"/>
          <w:spacing w:val="17"/>
          <w:w w:val="105"/>
          <w:sz w:val="17"/>
        </w:rPr>
        <w:t>—</w:t>
      </w:r>
      <w:r>
        <w:rPr>
          <w:color w:val="231F20"/>
          <w:w w:val="105"/>
          <w:sz w:val="17"/>
        </w:rPr>
        <w:t>“Dreary</w:t>
      </w:r>
      <w:r>
        <w:rPr>
          <w:color w:val="231F20"/>
          <w:spacing w:val="13"/>
          <w:w w:val="105"/>
          <w:sz w:val="17"/>
        </w:rPr>
        <w:t> </w:t>
      </w:r>
      <w:r>
        <w:rPr>
          <w:color w:val="231F20"/>
          <w:w w:val="105"/>
          <w:sz w:val="17"/>
        </w:rPr>
        <w:t>Days</w:t>
      </w:r>
      <w:r>
        <w:rPr>
          <w:color w:val="231F20"/>
          <w:spacing w:val="13"/>
          <w:w w:val="105"/>
          <w:sz w:val="17"/>
        </w:rPr>
        <w:t> </w:t>
      </w:r>
      <w:r>
        <w:rPr>
          <w:color w:val="231F20"/>
          <w:w w:val="105"/>
          <w:sz w:val="17"/>
        </w:rPr>
        <w:t>in</w:t>
      </w:r>
      <w:r>
        <w:rPr>
          <w:color w:val="231F20"/>
          <w:spacing w:val="13"/>
          <w:w w:val="105"/>
          <w:sz w:val="17"/>
        </w:rPr>
        <w:t> </w:t>
      </w:r>
      <w:r>
        <w:rPr>
          <w:color w:val="231F20"/>
          <w:w w:val="105"/>
          <w:sz w:val="17"/>
        </w:rPr>
        <w:t>the</w:t>
      </w:r>
      <w:r>
        <w:rPr>
          <w:color w:val="231F20"/>
          <w:spacing w:val="13"/>
          <w:w w:val="105"/>
          <w:sz w:val="17"/>
        </w:rPr>
        <w:t> </w:t>
      </w:r>
      <w:r>
        <w:rPr>
          <w:color w:val="231F20"/>
          <w:w w:val="105"/>
          <w:sz w:val="17"/>
        </w:rPr>
        <w:t>Dismal</w:t>
      </w:r>
      <w:r>
        <w:rPr>
          <w:color w:val="231F20"/>
          <w:spacing w:val="13"/>
          <w:w w:val="105"/>
          <w:sz w:val="17"/>
        </w:rPr>
        <w:t> </w:t>
      </w:r>
      <w:r>
        <w:rPr>
          <w:color w:val="231F20"/>
          <w:w w:val="105"/>
          <w:sz w:val="17"/>
        </w:rPr>
        <w:t>Science,”</w:t>
      </w:r>
      <w:r>
        <w:rPr>
          <w:color w:val="231F20"/>
          <w:spacing w:val="13"/>
          <w:w w:val="105"/>
          <w:sz w:val="17"/>
        </w:rPr>
        <w:t> </w:t>
      </w:r>
      <w:r>
        <w:rPr>
          <w:i/>
          <w:color w:val="231F20"/>
          <w:spacing w:val="-2"/>
          <w:w w:val="105"/>
          <w:sz w:val="17"/>
        </w:rPr>
        <w:t>Forbes</w:t>
      </w:r>
    </w:p>
    <w:p>
      <w:pPr>
        <w:pStyle w:val="BodyText"/>
        <w:rPr>
          <w:i/>
          <w:sz w:val="20"/>
        </w:rPr>
      </w:pPr>
    </w:p>
    <w:p>
      <w:pPr>
        <w:pStyle w:val="BodyText"/>
        <w:spacing w:line="292" w:lineRule="auto" w:before="129"/>
        <w:ind w:left="919" w:right="663" w:firstLine="315"/>
        <w:jc w:val="right"/>
      </w:pPr>
      <w:r>
        <w:rPr/>
        <w:pict>
          <v:shape style="position:absolute;margin-left:63pt;margin-top:-1.063862pt;width:15.9pt;height:40.050pt;mso-position-horizontal-relative:page;mso-position-vertical-relative:paragraph;z-index:-25049600" type="#_x0000_t202" id="docshape456" filled="false" stroked="false">
            <v:textbox inset="0,0,0,0">
              <w:txbxContent>
                <w:p>
                  <w:pPr>
                    <w:spacing w:line="789" w:lineRule="exact" w:before="11"/>
                    <w:ind w:left="0" w:right="0" w:firstLine="0"/>
                    <w:jc w:val="left"/>
                    <w:rPr>
                      <w:rFonts w:ascii="Trebuchet MS"/>
                      <w:sz w:val="68"/>
                    </w:rPr>
                  </w:pPr>
                  <w:r>
                    <w:rPr>
                      <w:rFonts w:ascii="Trebuchet MS"/>
                      <w:color w:val="808285"/>
                      <w:w w:val="80"/>
                      <w:sz w:val="68"/>
                    </w:rPr>
                    <w:t>T</w:t>
                  </w:r>
                </w:p>
              </w:txbxContent>
            </v:textbox>
            <w10:wrap type="none"/>
          </v:shape>
        </w:pict>
      </w:r>
      <w:r>
        <w:rPr>
          <w:color w:val="231F20"/>
        </w:rPr>
        <w:t>hat</w:t>
      </w:r>
      <w:r>
        <w:rPr>
          <w:color w:val="231F20"/>
          <w:spacing w:val="25"/>
        </w:rPr>
        <w:t> </w:t>
      </w:r>
      <w:r>
        <w:rPr>
          <w:color w:val="231F20"/>
        </w:rPr>
        <w:t>may</w:t>
      </w:r>
      <w:r>
        <w:rPr>
          <w:color w:val="231F20"/>
          <w:spacing w:val="25"/>
        </w:rPr>
        <w:t> </w:t>
      </w:r>
      <w:r>
        <w:rPr>
          <w:color w:val="231F20"/>
        </w:rPr>
        <w:t>sound</w:t>
      </w:r>
      <w:r>
        <w:rPr>
          <w:color w:val="231F20"/>
          <w:spacing w:val="25"/>
        </w:rPr>
        <w:t> </w:t>
      </w:r>
      <w:r>
        <w:rPr>
          <w:color w:val="231F20"/>
        </w:rPr>
        <w:t>like</w:t>
      </w:r>
      <w:r>
        <w:rPr>
          <w:color w:val="231F20"/>
          <w:spacing w:val="25"/>
        </w:rPr>
        <w:t> </w:t>
      </w:r>
      <w:r>
        <w:rPr>
          <w:color w:val="231F20"/>
        </w:rPr>
        <w:t>a</w:t>
      </w:r>
      <w:r>
        <w:rPr>
          <w:color w:val="231F20"/>
          <w:spacing w:val="25"/>
        </w:rPr>
        <w:t> </w:t>
      </w:r>
      <w:r>
        <w:rPr>
          <w:color w:val="231F20"/>
        </w:rPr>
        <w:t>good</w:t>
      </w:r>
      <w:r>
        <w:rPr>
          <w:color w:val="231F20"/>
          <w:spacing w:val="25"/>
        </w:rPr>
        <w:t> </w:t>
      </w:r>
      <w:r>
        <w:rPr>
          <w:color w:val="231F20"/>
        </w:rPr>
        <w:t>excuse</w:t>
      </w:r>
      <w:r>
        <w:rPr>
          <w:color w:val="231F20"/>
          <w:spacing w:val="25"/>
        </w:rPr>
        <w:t> </w:t>
      </w:r>
      <w:r>
        <w:rPr>
          <w:color w:val="231F20"/>
        </w:rPr>
        <w:t>to</w:t>
      </w:r>
      <w:r>
        <w:rPr>
          <w:color w:val="231F20"/>
          <w:spacing w:val="25"/>
        </w:rPr>
        <w:t> </w:t>
      </w:r>
      <w:r>
        <w:rPr>
          <w:color w:val="231F20"/>
        </w:rPr>
        <w:t>play</w:t>
      </w:r>
      <w:r>
        <w:rPr>
          <w:color w:val="231F20"/>
          <w:spacing w:val="25"/>
        </w:rPr>
        <w:t> </w:t>
      </w:r>
      <w:r>
        <w:rPr>
          <w:color w:val="231F20"/>
        </w:rPr>
        <w:t>hooky</w:t>
      </w:r>
      <w:r>
        <w:rPr>
          <w:color w:val="231F20"/>
          <w:spacing w:val="25"/>
        </w:rPr>
        <w:t> </w:t>
      </w:r>
      <w:r>
        <w:rPr>
          <w:color w:val="231F20"/>
        </w:rPr>
        <w:t>on</w:t>
      </w:r>
      <w:r>
        <w:rPr>
          <w:color w:val="231F20"/>
          <w:spacing w:val="25"/>
        </w:rPr>
        <w:t> </w:t>
      </w:r>
      <w:r>
        <w:rPr>
          <w:color w:val="231F20"/>
        </w:rPr>
        <w:t>the</w:t>
      </w:r>
      <w:r>
        <w:rPr>
          <w:color w:val="231F20"/>
          <w:spacing w:val="25"/>
        </w:rPr>
        <w:t> </w:t>
      </w:r>
      <w:r>
        <w:rPr>
          <w:color w:val="231F20"/>
        </w:rPr>
        <w:t>day</w:t>
      </w:r>
      <w:r>
        <w:rPr>
          <w:color w:val="231F20"/>
          <w:spacing w:val="25"/>
        </w:rPr>
        <w:t> </w:t>
      </w:r>
      <w:r>
        <w:rPr>
          <w:color w:val="231F20"/>
        </w:rPr>
        <w:t>for economics, yet there is value in studying the subject. Economics cannot provide a clear picture, but it can supply some insights into</w:t>
      </w:r>
      <w:r>
        <w:rPr>
          <w:color w:val="231F20"/>
          <w:spacing w:val="80"/>
        </w:rPr>
        <w:t> </w:t>
      </w:r>
      <w:r>
        <w:rPr>
          <w:color w:val="231F20"/>
        </w:rPr>
        <w:t>the</w:t>
      </w:r>
      <w:r>
        <w:rPr>
          <w:color w:val="231F20"/>
          <w:spacing w:val="80"/>
        </w:rPr>
        <w:t> </w:t>
      </w:r>
      <w:r>
        <w:rPr>
          <w:color w:val="231F20"/>
        </w:rPr>
        <w:t>“invisible</w:t>
      </w:r>
      <w:r>
        <w:rPr>
          <w:color w:val="231F20"/>
          <w:spacing w:val="80"/>
        </w:rPr>
        <w:t> </w:t>
      </w:r>
      <w:r>
        <w:rPr>
          <w:color w:val="231F20"/>
        </w:rPr>
        <w:t>forces”</w:t>
      </w:r>
      <w:r>
        <w:rPr>
          <w:color w:val="231F20"/>
          <w:spacing w:val="80"/>
        </w:rPr>
        <w:t> </w:t>
      </w:r>
      <w:r>
        <w:rPr>
          <w:color w:val="231F20"/>
        </w:rPr>
        <w:t>that</w:t>
      </w:r>
      <w:r>
        <w:rPr>
          <w:color w:val="231F20"/>
          <w:spacing w:val="80"/>
        </w:rPr>
        <w:t> </w:t>
      </w:r>
      <w:r>
        <w:rPr>
          <w:color w:val="231F20"/>
        </w:rPr>
        <w:t>underlie</w:t>
      </w:r>
      <w:r>
        <w:rPr>
          <w:color w:val="231F20"/>
          <w:spacing w:val="80"/>
        </w:rPr>
        <w:t> </w:t>
      </w:r>
      <w:r>
        <w:rPr>
          <w:color w:val="231F20"/>
        </w:rPr>
        <w:t>the</w:t>
      </w:r>
      <w:r>
        <w:rPr>
          <w:color w:val="231F20"/>
          <w:spacing w:val="80"/>
        </w:rPr>
        <w:t> </w:t>
      </w:r>
      <w:r>
        <w:rPr>
          <w:color w:val="231F20"/>
        </w:rPr>
        <w:t>movement</w:t>
      </w:r>
      <w:r>
        <w:rPr>
          <w:color w:val="231F20"/>
          <w:spacing w:val="80"/>
        </w:rPr>
        <w:t> </w:t>
      </w:r>
      <w:r>
        <w:rPr>
          <w:color w:val="231F20"/>
        </w:rPr>
        <w:t>of</w:t>
      </w:r>
      <w:r>
        <w:rPr>
          <w:color w:val="231F20"/>
          <w:spacing w:val="80"/>
        </w:rPr>
        <w:t> </w:t>
      </w:r>
      <w:r>
        <w:rPr>
          <w:color w:val="231F20"/>
        </w:rPr>
        <w:t>business around</w:t>
      </w:r>
      <w:r>
        <w:rPr>
          <w:color w:val="231F20"/>
          <w:spacing w:val="13"/>
        </w:rPr>
        <w:t> </w:t>
      </w:r>
      <w:r>
        <w:rPr>
          <w:color w:val="231F20"/>
        </w:rPr>
        <w:t>the</w:t>
      </w:r>
      <w:r>
        <w:rPr>
          <w:color w:val="231F20"/>
          <w:spacing w:val="13"/>
        </w:rPr>
        <w:t> </w:t>
      </w:r>
      <w:r>
        <w:rPr>
          <w:color w:val="231F20"/>
        </w:rPr>
        <w:t>world.</w:t>
      </w:r>
      <w:r>
        <w:rPr>
          <w:color w:val="231F20"/>
          <w:spacing w:val="13"/>
        </w:rPr>
        <w:t> </w:t>
      </w:r>
      <w:r>
        <w:rPr>
          <w:color w:val="231F20"/>
        </w:rPr>
        <w:t>As</w:t>
      </w:r>
      <w:r>
        <w:rPr>
          <w:color w:val="231F20"/>
          <w:spacing w:val="13"/>
        </w:rPr>
        <w:t> </w:t>
      </w:r>
      <w:r>
        <w:rPr>
          <w:color w:val="231F20"/>
        </w:rPr>
        <w:t>in</w:t>
      </w:r>
      <w:r>
        <w:rPr>
          <w:color w:val="231F20"/>
          <w:spacing w:val="13"/>
        </w:rPr>
        <w:t> </w:t>
      </w:r>
      <w:r>
        <w:rPr>
          <w:color w:val="231F20"/>
        </w:rPr>
        <w:t>the</w:t>
      </w:r>
      <w:r>
        <w:rPr>
          <w:color w:val="231F20"/>
          <w:spacing w:val="13"/>
        </w:rPr>
        <w:t> </w:t>
      </w:r>
      <w:r>
        <w:rPr>
          <w:color w:val="231F20"/>
        </w:rPr>
        <w:t>case</w:t>
      </w:r>
      <w:r>
        <w:rPr>
          <w:color w:val="231F20"/>
          <w:spacing w:val="13"/>
        </w:rPr>
        <w:t> </w:t>
      </w:r>
      <w:r>
        <w:rPr>
          <w:color w:val="231F20"/>
        </w:rPr>
        <w:t>of</w:t>
      </w:r>
      <w:r>
        <w:rPr>
          <w:color w:val="231F20"/>
          <w:spacing w:val="13"/>
        </w:rPr>
        <w:t> </w:t>
      </w:r>
      <w:r>
        <w:rPr>
          <w:color w:val="231F20"/>
        </w:rPr>
        <w:t>all</w:t>
      </w:r>
      <w:r>
        <w:rPr>
          <w:color w:val="231F20"/>
          <w:spacing w:val="13"/>
        </w:rPr>
        <w:t> </w:t>
      </w:r>
      <w:r>
        <w:rPr>
          <w:color w:val="231F20"/>
        </w:rPr>
        <w:t>other</w:t>
      </w:r>
      <w:r>
        <w:rPr>
          <w:color w:val="231F20"/>
          <w:spacing w:val="13"/>
        </w:rPr>
        <w:t> </w:t>
      </w:r>
      <w:r>
        <w:rPr>
          <w:color w:val="231F20"/>
        </w:rPr>
        <w:t>MBA</w:t>
      </w:r>
      <w:r>
        <w:rPr>
          <w:color w:val="231F20"/>
          <w:spacing w:val="13"/>
        </w:rPr>
        <w:t> </w:t>
      </w:r>
      <w:r>
        <w:rPr>
          <w:color w:val="231F20"/>
        </w:rPr>
        <w:t>subjects,</w:t>
      </w:r>
      <w:r>
        <w:rPr>
          <w:color w:val="231F20"/>
          <w:spacing w:val="13"/>
        </w:rPr>
        <w:t> </w:t>
      </w:r>
      <w:r>
        <w:rPr>
          <w:color w:val="231F20"/>
        </w:rPr>
        <w:t>some</w:t>
      </w:r>
      <w:r>
        <w:rPr>
          <w:color w:val="231F20"/>
          <w:spacing w:val="14"/>
        </w:rPr>
        <w:t> </w:t>
      </w:r>
      <w:r>
        <w:rPr>
          <w:color w:val="231F20"/>
          <w:spacing w:val="-5"/>
        </w:rPr>
        <w:t>fa-</w:t>
      </w:r>
    </w:p>
    <w:p>
      <w:pPr>
        <w:spacing w:after="0" w:line="292" w:lineRule="auto"/>
        <w:jc w:val="right"/>
        <w:sectPr>
          <w:headerReference w:type="default" r:id="rId107"/>
          <w:pgSz w:w="8640" w:h="12960"/>
          <w:pgMar w:header="0" w:footer="0" w:top="1220" w:bottom="280" w:left="340" w:right="500"/>
        </w:sectPr>
      </w:pPr>
    </w:p>
    <w:p>
      <w:pPr>
        <w:pStyle w:val="BodyText"/>
        <w:spacing w:before="10"/>
        <w:rPr>
          <w:sz w:val="17"/>
        </w:rPr>
      </w:pPr>
    </w:p>
    <w:p>
      <w:pPr>
        <w:pStyle w:val="BodyText"/>
        <w:spacing w:line="292" w:lineRule="auto" w:before="102"/>
        <w:ind w:left="830" w:right="756"/>
        <w:jc w:val="both"/>
      </w:pPr>
      <w:r>
        <w:rPr>
          <w:color w:val="231F20"/>
        </w:rPr>
        <w:t>miliarity with this subject provides the chance to impress people </w:t>
      </w:r>
      <w:r>
        <w:rPr>
          <w:color w:val="231F20"/>
        </w:rPr>
        <w:t>at the office with how smart we are!</w:t>
      </w:r>
    </w:p>
    <w:p>
      <w:pPr>
        <w:pStyle w:val="BodyText"/>
        <w:spacing w:line="292" w:lineRule="auto"/>
        <w:ind w:left="829" w:right="756" w:firstLine="340"/>
        <w:jc w:val="both"/>
      </w:pPr>
      <w:r>
        <w:rPr>
          <w:color w:val="231F20"/>
        </w:rPr>
        <w:t>Schools like Chicago and MIT place a great deal of emphasis on learning classical textbook economics, but most others treat eco- nomics a bit more on an applied basis. Harvard and Darden have in- tegrated economics into their international studies courses.</w:t>
      </w:r>
    </w:p>
    <w:p>
      <w:pPr>
        <w:pStyle w:val="BodyText"/>
        <w:spacing w:line="292" w:lineRule="auto"/>
        <w:ind w:left="829" w:right="756" w:firstLine="340"/>
        <w:jc w:val="both"/>
      </w:pPr>
      <w:r>
        <w:rPr>
          <w:color w:val="231F20"/>
        </w:rPr>
        <w:t>Economics can boast about only a few basic concepts. So </w:t>
      </w:r>
      <w:r>
        <w:rPr>
          <w:color w:val="231F20"/>
        </w:rPr>
        <w:t>how does</w:t>
      </w:r>
      <w:r>
        <w:rPr>
          <w:color w:val="231F20"/>
          <w:spacing w:val="-1"/>
        </w:rPr>
        <w:t> </w:t>
      </w:r>
      <w:r>
        <w:rPr>
          <w:color w:val="231F20"/>
        </w:rPr>
        <w:t>one</w:t>
      </w:r>
      <w:r>
        <w:rPr>
          <w:color w:val="231F20"/>
          <w:spacing w:val="-1"/>
        </w:rPr>
        <w:t> </w:t>
      </w:r>
      <w:r>
        <w:rPr>
          <w:color w:val="231F20"/>
        </w:rPr>
        <w:t>explain</w:t>
      </w:r>
      <w:r>
        <w:rPr>
          <w:color w:val="231F20"/>
          <w:spacing w:val="-1"/>
        </w:rPr>
        <w:t> </w:t>
      </w:r>
      <w:r>
        <w:rPr>
          <w:color w:val="231F20"/>
        </w:rPr>
        <w:t>the</w:t>
      </w:r>
      <w:r>
        <w:rPr>
          <w:color w:val="231F20"/>
          <w:spacing w:val="-1"/>
        </w:rPr>
        <w:t> </w:t>
      </w:r>
      <w:r>
        <w:rPr>
          <w:color w:val="231F20"/>
        </w:rPr>
        <w:t>endless</w:t>
      </w:r>
      <w:r>
        <w:rPr>
          <w:color w:val="231F20"/>
          <w:spacing w:val="-1"/>
        </w:rPr>
        <w:t> </w:t>
      </w:r>
      <w:r>
        <w:rPr>
          <w:color w:val="231F20"/>
        </w:rPr>
        <w:t>volumes</w:t>
      </w:r>
      <w:r>
        <w:rPr>
          <w:color w:val="231F20"/>
          <w:spacing w:val="-1"/>
        </w:rPr>
        <w:t> </w:t>
      </w:r>
      <w:r>
        <w:rPr>
          <w:color w:val="231F20"/>
        </w:rPr>
        <w:t>of</w:t>
      </w:r>
      <w:r>
        <w:rPr>
          <w:color w:val="231F20"/>
          <w:spacing w:val="-1"/>
        </w:rPr>
        <w:t> </w:t>
      </w:r>
      <w:r>
        <w:rPr>
          <w:color w:val="231F20"/>
        </w:rPr>
        <w:t>complex</w:t>
      </w:r>
      <w:r>
        <w:rPr>
          <w:color w:val="231F20"/>
          <w:spacing w:val="-1"/>
        </w:rPr>
        <w:t> </w:t>
      </w:r>
      <w:r>
        <w:rPr>
          <w:color w:val="231F20"/>
        </w:rPr>
        <w:t>academic</w:t>
      </w:r>
      <w:r>
        <w:rPr>
          <w:color w:val="231F20"/>
          <w:spacing w:val="-1"/>
        </w:rPr>
        <w:t> </w:t>
      </w:r>
      <w:r>
        <w:rPr>
          <w:color w:val="231F20"/>
        </w:rPr>
        <w:t>literature that try to explain the booms and busts of business cycles? Like the Holy Grail, the perfect economic model is an elusive target that se- duces many zealous professors and thousands of Ph.D.’s in private industry. In their wake over the past hundred years they have left thousands of magic formulas, graphs, and charts. An MBA should</w:t>
      </w:r>
      <w:r>
        <w:rPr>
          <w:color w:val="231F20"/>
          <w:spacing w:val="80"/>
          <w:w w:val="150"/>
        </w:rPr>
        <w:t> </w:t>
      </w:r>
      <w:r>
        <w:rPr>
          <w:color w:val="231F20"/>
        </w:rPr>
        <w:t>aim at understanding the fundamentals and the vocabulary of eco- nomics, then move on and leave the windmill theories for theoretical Don Quixotes to chase after. With that in mind, this chapter sticks to the basics. It does not dwell on complicated formulas and difficult concepts that you would probably skip over, have no real use for,</w:t>
      </w:r>
      <w:r>
        <w:rPr>
          <w:color w:val="231F20"/>
          <w:spacing w:val="80"/>
        </w:rPr>
        <w:t> </w:t>
      </w:r>
      <w:r>
        <w:rPr>
          <w:color w:val="231F20"/>
        </w:rPr>
        <w:t>and forget in short order anyway.</w:t>
      </w:r>
    </w:p>
    <w:p>
      <w:pPr>
        <w:pStyle w:val="BodyText"/>
        <w:spacing w:line="292" w:lineRule="auto"/>
        <w:ind w:left="829" w:right="756" w:firstLine="340"/>
        <w:jc w:val="both"/>
      </w:pPr>
      <w:r>
        <w:rPr>
          <w:color w:val="231F20"/>
        </w:rPr>
        <w:t>Economics studies how society allocates the limited resources </w:t>
      </w:r>
      <w:r>
        <w:rPr>
          <w:color w:val="231F20"/>
        </w:rPr>
        <w:t>of </w:t>
      </w:r>
      <w:r>
        <w:rPr>
          <w:color w:val="231F20"/>
          <w:spacing w:val="-2"/>
          <w:w w:val="105"/>
        </w:rPr>
        <w:t>the</w:t>
      </w:r>
      <w:r>
        <w:rPr>
          <w:color w:val="231F20"/>
          <w:spacing w:val="-5"/>
          <w:w w:val="105"/>
        </w:rPr>
        <w:t> </w:t>
      </w:r>
      <w:r>
        <w:rPr>
          <w:color w:val="231F20"/>
          <w:spacing w:val="-2"/>
          <w:w w:val="105"/>
        </w:rPr>
        <w:t>earth</w:t>
      </w:r>
      <w:r>
        <w:rPr>
          <w:color w:val="231F20"/>
          <w:spacing w:val="-5"/>
          <w:w w:val="105"/>
        </w:rPr>
        <w:t> </w:t>
      </w:r>
      <w:r>
        <w:rPr>
          <w:color w:val="231F20"/>
          <w:spacing w:val="-2"/>
          <w:w w:val="105"/>
        </w:rPr>
        <w:t>to</w:t>
      </w:r>
      <w:r>
        <w:rPr>
          <w:color w:val="231F20"/>
          <w:spacing w:val="-5"/>
          <w:w w:val="105"/>
        </w:rPr>
        <w:t> </w:t>
      </w:r>
      <w:r>
        <w:rPr>
          <w:color w:val="231F20"/>
          <w:spacing w:val="-2"/>
          <w:w w:val="105"/>
        </w:rPr>
        <w:t>the</w:t>
      </w:r>
      <w:r>
        <w:rPr>
          <w:color w:val="231F20"/>
          <w:spacing w:val="-5"/>
          <w:w w:val="105"/>
        </w:rPr>
        <w:t> </w:t>
      </w:r>
      <w:r>
        <w:rPr>
          <w:color w:val="231F20"/>
          <w:spacing w:val="-2"/>
          <w:w w:val="105"/>
        </w:rPr>
        <w:t>insatiable</w:t>
      </w:r>
      <w:r>
        <w:rPr>
          <w:color w:val="231F20"/>
          <w:spacing w:val="-5"/>
          <w:w w:val="105"/>
        </w:rPr>
        <w:t> </w:t>
      </w:r>
      <w:r>
        <w:rPr>
          <w:color w:val="231F20"/>
          <w:spacing w:val="-2"/>
          <w:w w:val="105"/>
        </w:rPr>
        <w:t>appetites</w:t>
      </w:r>
      <w:r>
        <w:rPr>
          <w:color w:val="231F20"/>
          <w:spacing w:val="-5"/>
          <w:w w:val="105"/>
        </w:rPr>
        <w:t> </w:t>
      </w:r>
      <w:r>
        <w:rPr>
          <w:color w:val="231F20"/>
          <w:spacing w:val="-2"/>
          <w:w w:val="105"/>
        </w:rPr>
        <w:t>of</w:t>
      </w:r>
      <w:r>
        <w:rPr>
          <w:color w:val="231F20"/>
          <w:spacing w:val="-5"/>
          <w:w w:val="105"/>
        </w:rPr>
        <w:t> </w:t>
      </w:r>
      <w:r>
        <w:rPr>
          <w:color w:val="231F20"/>
          <w:spacing w:val="-2"/>
          <w:w w:val="105"/>
        </w:rPr>
        <w:t>humans.</w:t>
      </w:r>
      <w:r>
        <w:rPr>
          <w:color w:val="231F20"/>
          <w:spacing w:val="-5"/>
          <w:w w:val="105"/>
        </w:rPr>
        <w:t> </w:t>
      </w:r>
      <w:r>
        <w:rPr>
          <w:color w:val="231F20"/>
          <w:spacing w:val="-2"/>
          <w:w w:val="105"/>
        </w:rPr>
        <w:t>Supply</w:t>
      </w:r>
      <w:r>
        <w:rPr>
          <w:color w:val="231F20"/>
          <w:spacing w:val="-5"/>
          <w:w w:val="105"/>
        </w:rPr>
        <w:t> </w:t>
      </w:r>
      <w:r>
        <w:rPr>
          <w:color w:val="231F20"/>
          <w:spacing w:val="-2"/>
          <w:w w:val="105"/>
        </w:rPr>
        <w:t>and</w:t>
      </w:r>
      <w:r>
        <w:rPr>
          <w:color w:val="231F20"/>
          <w:spacing w:val="-5"/>
          <w:w w:val="105"/>
        </w:rPr>
        <w:t> </w:t>
      </w:r>
      <w:r>
        <w:rPr>
          <w:color w:val="231F20"/>
          <w:spacing w:val="-2"/>
          <w:w w:val="105"/>
        </w:rPr>
        <w:t>demand </w:t>
      </w:r>
      <w:r>
        <w:rPr>
          <w:color w:val="231F20"/>
          <w:w w:val="105"/>
        </w:rPr>
        <w:t>are</w:t>
      </w:r>
      <w:r>
        <w:rPr>
          <w:color w:val="231F20"/>
          <w:spacing w:val="-8"/>
          <w:w w:val="105"/>
        </w:rPr>
        <w:t> </w:t>
      </w:r>
      <w:r>
        <w:rPr>
          <w:color w:val="231F20"/>
          <w:w w:val="105"/>
        </w:rPr>
        <w:t>the</w:t>
      </w:r>
      <w:r>
        <w:rPr>
          <w:color w:val="231F20"/>
          <w:spacing w:val="-8"/>
          <w:w w:val="105"/>
        </w:rPr>
        <w:t> </w:t>
      </w:r>
      <w:r>
        <w:rPr>
          <w:color w:val="231F20"/>
          <w:w w:val="105"/>
        </w:rPr>
        <w:t>forces</w:t>
      </w:r>
      <w:r>
        <w:rPr>
          <w:color w:val="231F20"/>
          <w:spacing w:val="-8"/>
          <w:w w:val="105"/>
        </w:rPr>
        <w:t> </w:t>
      </w:r>
      <w:r>
        <w:rPr>
          <w:color w:val="231F20"/>
          <w:w w:val="105"/>
        </w:rPr>
        <w:t>at</w:t>
      </w:r>
      <w:r>
        <w:rPr>
          <w:color w:val="231F20"/>
          <w:spacing w:val="-8"/>
          <w:w w:val="105"/>
        </w:rPr>
        <w:t> </w:t>
      </w:r>
      <w:r>
        <w:rPr>
          <w:color w:val="231F20"/>
          <w:w w:val="105"/>
        </w:rPr>
        <w:t>work.</w:t>
      </w:r>
      <w:r>
        <w:rPr>
          <w:color w:val="231F20"/>
          <w:spacing w:val="-8"/>
          <w:w w:val="105"/>
        </w:rPr>
        <w:t> </w:t>
      </w:r>
      <w:r>
        <w:rPr>
          <w:color w:val="231F20"/>
          <w:w w:val="105"/>
        </w:rPr>
        <w:t>At</w:t>
      </w:r>
      <w:r>
        <w:rPr>
          <w:color w:val="231F20"/>
          <w:spacing w:val="-8"/>
          <w:w w:val="105"/>
        </w:rPr>
        <w:t> </w:t>
      </w:r>
      <w:r>
        <w:rPr>
          <w:color w:val="231F20"/>
          <w:w w:val="105"/>
        </w:rPr>
        <w:t>what</w:t>
      </w:r>
      <w:r>
        <w:rPr>
          <w:color w:val="231F20"/>
          <w:spacing w:val="-8"/>
          <w:w w:val="105"/>
        </w:rPr>
        <w:t> </w:t>
      </w:r>
      <w:r>
        <w:rPr>
          <w:color w:val="231F20"/>
          <w:w w:val="105"/>
        </w:rPr>
        <w:t>is</w:t>
      </w:r>
      <w:r>
        <w:rPr>
          <w:color w:val="231F20"/>
          <w:spacing w:val="-8"/>
          <w:w w:val="105"/>
        </w:rPr>
        <w:t> </w:t>
      </w:r>
      <w:r>
        <w:rPr>
          <w:color w:val="231F20"/>
          <w:w w:val="105"/>
        </w:rPr>
        <w:t>referred</w:t>
      </w:r>
      <w:r>
        <w:rPr>
          <w:color w:val="231F20"/>
          <w:spacing w:val="-8"/>
          <w:w w:val="105"/>
        </w:rPr>
        <w:t> </w:t>
      </w:r>
      <w:r>
        <w:rPr>
          <w:color w:val="231F20"/>
          <w:w w:val="105"/>
        </w:rPr>
        <w:t>to</w:t>
      </w:r>
      <w:r>
        <w:rPr>
          <w:color w:val="231F20"/>
          <w:spacing w:val="-8"/>
          <w:w w:val="105"/>
        </w:rPr>
        <w:t> </w:t>
      </w:r>
      <w:r>
        <w:rPr>
          <w:color w:val="231F20"/>
          <w:w w:val="105"/>
        </w:rPr>
        <w:t>as</w:t>
      </w:r>
      <w:r>
        <w:rPr>
          <w:color w:val="231F20"/>
          <w:spacing w:val="-9"/>
          <w:w w:val="105"/>
        </w:rPr>
        <w:t> </w:t>
      </w:r>
      <w:r>
        <w:rPr>
          <w:i/>
          <w:color w:val="231F20"/>
          <w:w w:val="105"/>
        </w:rPr>
        <w:t>equilibrium</w:t>
      </w:r>
      <w:r>
        <w:rPr>
          <w:i/>
          <w:color w:val="231F20"/>
          <w:spacing w:val="-8"/>
          <w:w w:val="105"/>
        </w:rPr>
        <w:t> </w:t>
      </w:r>
      <w:r>
        <w:rPr>
          <w:color w:val="231F20"/>
          <w:w w:val="105"/>
        </w:rPr>
        <w:t>(E),</w:t>
      </w:r>
      <w:r>
        <w:rPr>
          <w:color w:val="231F20"/>
          <w:spacing w:val="-8"/>
          <w:w w:val="105"/>
        </w:rPr>
        <w:t> </w:t>
      </w:r>
      <w:r>
        <w:rPr>
          <w:color w:val="231F20"/>
          <w:w w:val="105"/>
        </w:rPr>
        <w:t>the market</w:t>
      </w:r>
      <w:r>
        <w:rPr>
          <w:color w:val="231F20"/>
          <w:spacing w:val="-11"/>
          <w:w w:val="105"/>
        </w:rPr>
        <w:t> </w:t>
      </w:r>
      <w:r>
        <w:rPr>
          <w:color w:val="231F20"/>
          <w:w w:val="105"/>
        </w:rPr>
        <w:t>price</w:t>
      </w:r>
      <w:r>
        <w:rPr>
          <w:color w:val="231F20"/>
          <w:spacing w:val="-11"/>
          <w:w w:val="105"/>
        </w:rPr>
        <w:t> </w:t>
      </w:r>
      <w:r>
        <w:rPr>
          <w:color w:val="231F20"/>
          <w:w w:val="105"/>
        </w:rPr>
        <w:t>allows</w:t>
      </w:r>
      <w:r>
        <w:rPr>
          <w:color w:val="231F20"/>
          <w:spacing w:val="-11"/>
          <w:w w:val="105"/>
        </w:rPr>
        <w:t> </w:t>
      </w:r>
      <w:r>
        <w:rPr>
          <w:color w:val="231F20"/>
          <w:w w:val="105"/>
        </w:rPr>
        <w:t>the</w:t>
      </w:r>
      <w:r>
        <w:rPr>
          <w:color w:val="231F20"/>
          <w:spacing w:val="-11"/>
          <w:w w:val="105"/>
        </w:rPr>
        <w:t> </w:t>
      </w:r>
      <w:r>
        <w:rPr>
          <w:color w:val="231F20"/>
          <w:w w:val="105"/>
        </w:rPr>
        <w:t>quantity</w:t>
      </w:r>
      <w:r>
        <w:rPr>
          <w:color w:val="231F20"/>
          <w:spacing w:val="-11"/>
          <w:w w:val="105"/>
        </w:rPr>
        <w:t> </w:t>
      </w:r>
      <w:r>
        <w:rPr>
          <w:color w:val="231F20"/>
          <w:w w:val="105"/>
        </w:rPr>
        <w:t>supplied</w:t>
      </w:r>
      <w:r>
        <w:rPr>
          <w:color w:val="231F20"/>
          <w:spacing w:val="-11"/>
          <w:w w:val="105"/>
        </w:rPr>
        <w:t> </w:t>
      </w:r>
      <w:r>
        <w:rPr>
          <w:color w:val="231F20"/>
          <w:w w:val="105"/>
        </w:rPr>
        <w:t>to</w:t>
      </w:r>
      <w:r>
        <w:rPr>
          <w:color w:val="231F20"/>
          <w:spacing w:val="-11"/>
          <w:w w:val="105"/>
        </w:rPr>
        <w:t> </w:t>
      </w:r>
      <w:r>
        <w:rPr>
          <w:color w:val="231F20"/>
          <w:w w:val="105"/>
        </w:rPr>
        <w:t>equal</w:t>
      </w:r>
      <w:r>
        <w:rPr>
          <w:color w:val="231F20"/>
          <w:spacing w:val="-11"/>
          <w:w w:val="105"/>
        </w:rPr>
        <w:t> </w:t>
      </w:r>
      <w:r>
        <w:rPr>
          <w:color w:val="231F20"/>
          <w:w w:val="105"/>
        </w:rPr>
        <w:t>the</w:t>
      </w:r>
      <w:r>
        <w:rPr>
          <w:color w:val="231F20"/>
          <w:spacing w:val="-11"/>
          <w:w w:val="105"/>
        </w:rPr>
        <w:t> </w:t>
      </w:r>
      <w:r>
        <w:rPr>
          <w:color w:val="231F20"/>
          <w:w w:val="105"/>
        </w:rPr>
        <w:t>quantity</w:t>
      </w:r>
      <w:r>
        <w:rPr>
          <w:color w:val="231F20"/>
          <w:spacing w:val="-11"/>
          <w:w w:val="105"/>
        </w:rPr>
        <w:t> </w:t>
      </w:r>
      <w:r>
        <w:rPr>
          <w:color w:val="231F20"/>
          <w:w w:val="105"/>
        </w:rPr>
        <w:t>de- manded.</w:t>
      </w:r>
      <w:r>
        <w:rPr>
          <w:color w:val="231F20"/>
          <w:spacing w:val="-6"/>
          <w:w w:val="105"/>
        </w:rPr>
        <w:t> </w:t>
      </w:r>
      <w:r>
        <w:rPr>
          <w:color w:val="231F20"/>
          <w:w w:val="105"/>
        </w:rPr>
        <w:t>Suppliers</w:t>
      </w:r>
      <w:r>
        <w:rPr>
          <w:color w:val="231F20"/>
          <w:spacing w:val="-6"/>
          <w:w w:val="105"/>
        </w:rPr>
        <w:t> </w:t>
      </w:r>
      <w:r>
        <w:rPr>
          <w:color w:val="231F20"/>
          <w:w w:val="105"/>
        </w:rPr>
        <w:t>are</w:t>
      </w:r>
      <w:r>
        <w:rPr>
          <w:color w:val="231F20"/>
          <w:spacing w:val="-6"/>
          <w:w w:val="105"/>
        </w:rPr>
        <w:t> </w:t>
      </w:r>
      <w:r>
        <w:rPr>
          <w:color w:val="231F20"/>
          <w:w w:val="105"/>
        </w:rPr>
        <w:t>willing</w:t>
      </w:r>
      <w:r>
        <w:rPr>
          <w:color w:val="231F20"/>
          <w:spacing w:val="-6"/>
          <w:w w:val="105"/>
        </w:rPr>
        <w:t> </w:t>
      </w:r>
      <w:r>
        <w:rPr>
          <w:color w:val="231F20"/>
          <w:w w:val="105"/>
        </w:rPr>
        <w:t>to</w:t>
      </w:r>
      <w:r>
        <w:rPr>
          <w:color w:val="231F20"/>
          <w:spacing w:val="-6"/>
          <w:w w:val="105"/>
        </w:rPr>
        <w:t> </w:t>
      </w:r>
      <w:r>
        <w:rPr>
          <w:color w:val="231F20"/>
          <w:w w:val="105"/>
        </w:rPr>
        <w:t>sell,</w:t>
      </w:r>
      <w:r>
        <w:rPr>
          <w:color w:val="231F20"/>
          <w:spacing w:val="-6"/>
          <w:w w:val="105"/>
        </w:rPr>
        <w:t> </w:t>
      </w:r>
      <w:r>
        <w:rPr>
          <w:color w:val="231F20"/>
          <w:w w:val="105"/>
        </w:rPr>
        <w:t>and</w:t>
      </w:r>
      <w:r>
        <w:rPr>
          <w:color w:val="231F20"/>
          <w:spacing w:val="-6"/>
          <w:w w:val="105"/>
        </w:rPr>
        <w:t> </w:t>
      </w:r>
      <w:r>
        <w:rPr>
          <w:color w:val="231F20"/>
          <w:w w:val="105"/>
        </w:rPr>
        <w:t>consumers</w:t>
      </w:r>
      <w:r>
        <w:rPr>
          <w:color w:val="231F20"/>
          <w:spacing w:val="-6"/>
          <w:w w:val="105"/>
        </w:rPr>
        <w:t> </w:t>
      </w:r>
      <w:r>
        <w:rPr>
          <w:color w:val="231F20"/>
          <w:w w:val="105"/>
        </w:rPr>
        <w:t>are</w:t>
      </w:r>
      <w:r>
        <w:rPr>
          <w:color w:val="231F20"/>
          <w:spacing w:val="-6"/>
          <w:w w:val="105"/>
        </w:rPr>
        <w:t> </w:t>
      </w:r>
      <w:r>
        <w:rPr>
          <w:color w:val="231F20"/>
          <w:w w:val="105"/>
        </w:rPr>
        <w:t>willing</w:t>
      </w:r>
      <w:r>
        <w:rPr>
          <w:color w:val="231F20"/>
          <w:spacing w:val="-6"/>
          <w:w w:val="105"/>
        </w:rPr>
        <w:t> </w:t>
      </w:r>
      <w:r>
        <w:rPr>
          <w:color w:val="231F20"/>
          <w:w w:val="105"/>
        </w:rPr>
        <w:t>to buy.</w:t>
      </w:r>
      <w:r>
        <w:rPr>
          <w:color w:val="231F20"/>
          <w:w w:val="105"/>
        </w:rPr>
        <w:t> Supply</w:t>
      </w:r>
      <w:r>
        <w:rPr>
          <w:color w:val="231F20"/>
          <w:w w:val="105"/>
        </w:rPr>
        <w:t> equals</w:t>
      </w:r>
      <w:r>
        <w:rPr>
          <w:color w:val="231F20"/>
          <w:w w:val="105"/>
        </w:rPr>
        <w:t> demand</w:t>
      </w:r>
      <w:r>
        <w:rPr>
          <w:color w:val="231F20"/>
          <w:w w:val="105"/>
        </w:rPr>
        <w:t> for</w:t>
      </w:r>
      <w:r>
        <w:rPr>
          <w:color w:val="231F20"/>
          <w:w w:val="105"/>
        </w:rPr>
        <w:t> a</w:t>
      </w:r>
      <w:r>
        <w:rPr>
          <w:color w:val="231F20"/>
          <w:w w:val="105"/>
        </w:rPr>
        <w:t> price.</w:t>
      </w:r>
      <w:r>
        <w:rPr>
          <w:color w:val="231F20"/>
          <w:w w:val="105"/>
        </w:rPr>
        <w:t> That,</w:t>
      </w:r>
      <w:r>
        <w:rPr>
          <w:color w:val="231F20"/>
          <w:w w:val="105"/>
        </w:rPr>
        <w:t> in</w:t>
      </w:r>
      <w:r>
        <w:rPr>
          <w:color w:val="231F20"/>
          <w:w w:val="105"/>
        </w:rPr>
        <w:t> a</w:t>
      </w:r>
      <w:r>
        <w:rPr>
          <w:color w:val="231F20"/>
          <w:w w:val="105"/>
        </w:rPr>
        <w:t> nutshell,</w:t>
      </w:r>
      <w:r>
        <w:rPr>
          <w:color w:val="231F20"/>
          <w:w w:val="105"/>
        </w:rPr>
        <w:t> is</w:t>
      </w:r>
      <w:r>
        <w:rPr>
          <w:color w:val="231F20"/>
          <w:w w:val="105"/>
        </w:rPr>
        <w:t> the basis of all economic theory.</w:t>
      </w:r>
    </w:p>
    <w:p>
      <w:pPr>
        <w:pStyle w:val="BodyText"/>
        <w:spacing w:line="292" w:lineRule="auto"/>
        <w:ind w:left="829" w:right="755" w:firstLine="340"/>
        <w:jc w:val="both"/>
      </w:pPr>
      <w:r>
        <w:rPr>
          <w:color w:val="231F20"/>
          <w:w w:val="105"/>
        </w:rPr>
        <w:t>For</w:t>
      </w:r>
      <w:r>
        <w:rPr>
          <w:color w:val="231F20"/>
          <w:w w:val="105"/>
        </w:rPr>
        <w:t> example,</w:t>
      </w:r>
      <w:r>
        <w:rPr>
          <w:color w:val="231F20"/>
          <w:w w:val="105"/>
        </w:rPr>
        <w:t> let’s</w:t>
      </w:r>
      <w:r>
        <w:rPr>
          <w:color w:val="231F20"/>
          <w:w w:val="105"/>
        </w:rPr>
        <w:t> take</w:t>
      </w:r>
      <w:r>
        <w:rPr>
          <w:color w:val="231F20"/>
          <w:w w:val="105"/>
        </w:rPr>
        <w:t> a</w:t>
      </w:r>
      <w:r>
        <w:rPr>
          <w:color w:val="231F20"/>
          <w:w w:val="105"/>
        </w:rPr>
        <w:t> look</w:t>
      </w:r>
      <w:r>
        <w:rPr>
          <w:color w:val="231F20"/>
          <w:w w:val="105"/>
        </w:rPr>
        <w:t> at</w:t>
      </w:r>
      <w:r>
        <w:rPr>
          <w:color w:val="231F20"/>
          <w:w w:val="105"/>
        </w:rPr>
        <w:t> the</w:t>
      </w:r>
      <w:r>
        <w:rPr>
          <w:color w:val="231F20"/>
          <w:w w:val="105"/>
        </w:rPr>
        <w:t> local</w:t>
      </w:r>
      <w:r>
        <w:rPr>
          <w:color w:val="231F20"/>
          <w:w w:val="105"/>
        </w:rPr>
        <w:t> pub,</w:t>
      </w:r>
      <w:r>
        <w:rPr>
          <w:color w:val="231F20"/>
          <w:w w:val="105"/>
        </w:rPr>
        <w:t> Porth</w:t>
      </w:r>
      <w:r>
        <w:rPr>
          <w:color w:val="231F20"/>
          <w:w w:val="105"/>
        </w:rPr>
        <w:t> Tavern, which</w:t>
      </w:r>
      <w:r>
        <w:rPr>
          <w:color w:val="231F20"/>
          <w:w w:val="105"/>
        </w:rPr>
        <w:t> brews</w:t>
      </w:r>
      <w:r>
        <w:rPr>
          <w:color w:val="231F20"/>
          <w:w w:val="105"/>
        </w:rPr>
        <w:t> its</w:t>
      </w:r>
      <w:r>
        <w:rPr>
          <w:color w:val="231F20"/>
          <w:w w:val="105"/>
        </w:rPr>
        <w:t> own</w:t>
      </w:r>
      <w:r>
        <w:rPr>
          <w:color w:val="231F20"/>
          <w:w w:val="105"/>
        </w:rPr>
        <w:t> beer,</w:t>
      </w:r>
      <w:r>
        <w:rPr>
          <w:color w:val="231F20"/>
          <w:w w:val="105"/>
        </w:rPr>
        <w:t> Duff</w:t>
      </w:r>
      <w:r>
        <w:rPr>
          <w:color w:val="231F20"/>
          <w:w w:val="105"/>
        </w:rPr>
        <w:t> beer.</w:t>
      </w:r>
      <w:r>
        <w:rPr>
          <w:color w:val="231F20"/>
          <w:w w:val="105"/>
        </w:rPr>
        <w:t> Imagine</w:t>
      </w:r>
      <w:r>
        <w:rPr>
          <w:color w:val="231F20"/>
          <w:w w:val="105"/>
        </w:rPr>
        <w:t> you</w:t>
      </w:r>
      <w:r>
        <w:rPr>
          <w:color w:val="231F20"/>
          <w:w w:val="105"/>
        </w:rPr>
        <w:t> are</w:t>
      </w:r>
      <w:r>
        <w:rPr>
          <w:color w:val="231F20"/>
          <w:w w:val="105"/>
        </w:rPr>
        <w:t> a</w:t>
      </w:r>
      <w:r>
        <w:rPr>
          <w:color w:val="231F20"/>
          <w:w w:val="105"/>
        </w:rPr>
        <w:t> Heineken </w:t>
      </w:r>
      <w:r>
        <w:rPr>
          <w:color w:val="231F20"/>
        </w:rPr>
        <w:t>drinker and the bar is running a twenty-five-cent special on mugs of </w:t>
      </w:r>
      <w:r>
        <w:rPr>
          <w:color w:val="231F20"/>
          <w:w w:val="105"/>
        </w:rPr>
        <w:t>Duff.</w:t>
      </w:r>
      <w:r>
        <w:rPr>
          <w:color w:val="231F20"/>
          <w:spacing w:val="-11"/>
          <w:w w:val="105"/>
        </w:rPr>
        <w:t> </w:t>
      </w:r>
      <w:r>
        <w:rPr>
          <w:color w:val="231F20"/>
          <w:w w:val="105"/>
        </w:rPr>
        <w:t>The</w:t>
      </w:r>
      <w:r>
        <w:rPr>
          <w:color w:val="231F20"/>
          <w:spacing w:val="-11"/>
          <w:w w:val="105"/>
        </w:rPr>
        <w:t> </w:t>
      </w:r>
      <w:r>
        <w:rPr>
          <w:color w:val="231F20"/>
          <w:w w:val="105"/>
        </w:rPr>
        <w:t>owner</w:t>
      </w:r>
      <w:r>
        <w:rPr>
          <w:color w:val="231F20"/>
          <w:spacing w:val="-11"/>
          <w:w w:val="105"/>
        </w:rPr>
        <w:t> </w:t>
      </w:r>
      <w:r>
        <w:rPr>
          <w:color w:val="231F20"/>
          <w:w w:val="105"/>
        </w:rPr>
        <w:t>has</w:t>
      </w:r>
      <w:r>
        <w:rPr>
          <w:color w:val="231F20"/>
          <w:spacing w:val="-11"/>
          <w:w w:val="105"/>
        </w:rPr>
        <w:t> </w:t>
      </w:r>
      <w:r>
        <w:rPr>
          <w:color w:val="231F20"/>
          <w:w w:val="105"/>
        </w:rPr>
        <w:t>ten</w:t>
      </w:r>
      <w:r>
        <w:rPr>
          <w:color w:val="231F20"/>
          <w:spacing w:val="-11"/>
          <w:w w:val="105"/>
        </w:rPr>
        <w:t> </w:t>
      </w:r>
      <w:r>
        <w:rPr>
          <w:color w:val="231F20"/>
          <w:w w:val="105"/>
        </w:rPr>
        <w:t>kegs</w:t>
      </w:r>
      <w:r>
        <w:rPr>
          <w:color w:val="231F20"/>
          <w:spacing w:val="-11"/>
          <w:w w:val="105"/>
        </w:rPr>
        <w:t> </w:t>
      </w:r>
      <w:r>
        <w:rPr>
          <w:color w:val="231F20"/>
          <w:w w:val="105"/>
        </w:rPr>
        <w:t>on</w:t>
      </w:r>
      <w:r>
        <w:rPr>
          <w:color w:val="231F20"/>
          <w:spacing w:val="-11"/>
          <w:w w:val="105"/>
        </w:rPr>
        <w:t> </w:t>
      </w:r>
      <w:r>
        <w:rPr>
          <w:color w:val="231F20"/>
          <w:w w:val="105"/>
        </w:rPr>
        <w:t>hand,</w:t>
      </w:r>
      <w:r>
        <w:rPr>
          <w:color w:val="231F20"/>
          <w:spacing w:val="-11"/>
          <w:w w:val="105"/>
        </w:rPr>
        <w:t> </w:t>
      </w:r>
      <w:r>
        <w:rPr>
          <w:color w:val="231F20"/>
          <w:w w:val="105"/>
        </w:rPr>
        <w:t>but</w:t>
      </w:r>
      <w:r>
        <w:rPr>
          <w:color w:val="231F20"/>
          <w:spacing w:val="-11"/>
          <w:w w:val="105"/>
        </w:rPr>
        <w:t> </w:t>
      </w:r>
      <w:r>
        <w:rPr>
          <w:color w:val="231F20"/>
          <w:w w:val="105"/>
        </w:rPr>
        <w:t>feels</w:t>
      </w:r>
      <w:r>
        <w:rPr>
          <w:color w:val="231F20"/>
          <w:spacing w:val="-11"/>
          <w:w w:val="105"/>
        </w:rPr>
        <w:t> </w:t>
      </w:r>
      <w:r>
        <w:rPr>
          <w:color w:val="231F20"/>
          <w:w w:val="105"/>
        </w:rPr>
        <w:t>if</w:t>
      </w:r>
      <w:r>
        <w:rPr>
          <w:color w:val="231F20"/>
          <w:spacing w:val="-11"/>
          <w:w w:val="105"/>
        </w:rPr>
        <w:t> </w:t>
      </w:r>
      <w:r>
        <w:rPr>
          <w:color w:val="231F20"/>
          <w:w w:val="105"/>
        </w:rPr>
        <w:t>he</w:t>
      </w:r>
      <w:r>
        <w:rPr>
          <w:color w:val="231F20"/>
          <w:spacing w:val="-11"/>
          <w:w w:val="105"/>
        </w:rPr>
        <w:t> </w:t>
      </w:r>
      <w:r>
        <w:rPr>
          <w:color w:val="231F20"/>
          <w:w w:val="105"/>
        </w:rPr>
        <w:t>were</w:t>
      </w:r>
      <w:r>
        <w:rPr>
          <w:color w:val="231F20"/>
          <w:spacing w:val="-11"/>
          <w:w w:val="105"/>
        </w:rPr>
        <w:t> </w:t>
      </w:r>
      <w:r>
        <w:rPr>
          <w:color w:val="231F20"/>
          <w:w w:val="105"/>
        </w:rPr>
        <w:t>to</w:t>
      </w:r>
      <w:r>
        <w:rPr>
          <w:color w:val="231F20"/>
          <w:spacing w:val="-11"/>
          <w:w w:val="105"/>
        </w:rPr>
        <w:t> </w:t>
      </w:r>
      <w:r>
        <w:rPr>
          <w:color w:val="231F20"/>
          <w:w w:val="105"/>
        </w:rPr>
        <w:t>charge the</w:t>
      </w:r>
      <w:r>
        <w:rPr>
          <w:color w:val="231F20"/>
          <w:w w:val="105"/>
        </w:rPr>
        <w:t> usual</w:t>
      </w:r>
      <w:r>
        <w:rPr>
          <w:color w:val="231F20"/>
          <w:w w:val="105"/>
        </w:rPr>
        <w:t> dollar</w:t>
      </w:r>
      <w:r>
        <w:rPr>
          <w:color w:val="231F20"/>
          <w:w w:val="105"/>
        </w:rPr>
        <w:t> per</w:t>
      </w:r>
      <w:r>
        <w:rPr>
          <w:color w:val="231F20"/>
          <w:w w:val="105"/>
        </w:rPr>
        <w:t> mug,</w:t>
      </w:r>
      <w:r>
        <w:rPr>
          <w:color w:val="231F20"/>
          <w:w w:val="105"/>
        </w:rPr>
        <w:t> he</w:t>
      </w:r>
      <w:r>
        <w:rPr>
          <w:color w:val="231F20"/>
          <w:w w:val="105"/>
        </w:rPr>
        <w:t> might</w:t>
      </w:r>
      <w:r>
        <w:rPr>
          <w:color w:val="231F20"/>
          <w:w w:val="105"/>
        </w:rPr>
        <w:t> only</w:t>
      </w:r>
      <w:r>
        <w:rPr>
          <w:color w:val="231F20"/>
          <w:w w:val="105"/>
        </w:rPr>
        <w:t> be</w:t>
      </w:r>
      <w:r>
        <w:rPr>
          <w:color w:val="231F20"/>
          <w:w w:val="105"/>
        </w:rPr>
        <w:t> able</w:t>
      </w:r>
      <w:r>
        <w:rPr>
          <w:color w:val="231F20"/>
          <w:w w:val="105"/>
        </w:rPr>
        <w:t> to</w:t>
      </w:r>
      <w:r>
        <w:rPr>
          <w:color w:val="231F20"/>
          <w:w w:val="105"/>
        </w:rPr>
        <w:t> sell</w:t>
      </w:r>
      <w:r>
        <w:rPr>
          <w:color w:val="231F20"/>
          <w:w w:val="105"/>
        </w:rPr>
        <w:t> one</w:t>
      </w:r>
      <w:r>
        <w:rPr>
          <w:color w:val="231F20"/>
          <w:w w:val="105"/>
        </w:rPr>
        <w:t> or</w:t>
      </w:r>
      <w:r>
        <w:rPr>
          <w:color w:val="231F20"/>
          <w:w w:val="105"/>
        </w:rPr>
        <w:t> two kegs.</w:t>
      </w:r>
      <w:r>
        <w:rPr>
          <w:color w:val="231F20"/>
          <w:spacing w:val="-4"/>
          <w:w w:val="105"/>
        </w:rPr>
        <w:t> </w:t>
      </w:r>
      <w:r>
        <w:rPr>
          <w:color w:val="231F20"/>
          <w:w w:val="105"/>
        </w:rPr>
        <w:t>You</w:t>
      </w:r>
      <w:r>
        <w:rPr>
          <w:color w:val="231F20"/>
          <w:spacing w:val="-4"/>
          <w:w w:val="105"/>
        </w:rPr>
        <w:t> </w:t>
      </w:r>
      <w:r>
        <w:rPr>
          <w:color w:val="231F20"/>
          <w:w w:val="105"/>
        </w:rPr>
        <w:t>like</w:t>
      </w:r>
      <w:r>
        <w:rPr>
          <w:color w:val="231F20"/>
          <w:spacing w:val="-4"/>
          <w:w w:val="105"/>
        </w:rPr>
        <w:t> </w:t>
      </w:r>
      <w:r>
        <w:rPr>
          <w:color w:val="231F20"/>
          <w:w w:val="105"/>
        </w:rPr>
        <w:t>Heineken,</w:t>
      </w:r>
      <w:r>
        <w:rPr>
          <w:color w:val="231F20"/>
          <w:spacing w:val="-4"/>
          <w:w w:val="105"/>
        </w:rPr>
        <w:t> </w:t>
      </w:r>
      <w:r>
        <w:rPr>
          <w:color w:val="231F20"/>
          <w:w w:val="105"/>
        </w:rPr>
        <w:t>but</w:t>
      </w:r>
      <w:r>
        <w:rPr>
          <w:color w:val="231F20"/>
          <w:spacing w:val="-4"/>
          <w:w w:val="105"/>
        </w:rPr>
        <w:t> </w:t>
      </w:r>
      <w:r>
        <w:rPr>
          <w:color w:val="231F20"/>
          <w:w w:val="105"/>
        </w:rPr>
        <w:t>at</w:t>
      </w:r>
      <w:r>
        <w:rPr>
          <w:color w:val="231F20"/>
          <w:spacing w:val="-4"/>
          <w:w w:val="105"/>
        </w:rPr>
        <w:t> </w:t>
      </w:r>
      <w:r>
        <w:rPr>
          <w:color w:val="231F20"/>
          <w:w w:val="105"/>
        </w:rPr>
        <w:t>twenty-five</w:t>
      </w:r>
      <w:r>
        <w:rPr>
          <w:color w:val="231F20"/>
          <w:spacing w:val="-4"/>
          <w:w w:val="105"/>
        </w:rPr>
        <w:t> </w:t>
      </w:r>
      <w:r>
        <w:rPr>
          <w:color w:val="231F20"/>
          <w:w w:val="105"/>
        </w:rPr>
        <w:t>cents,</w:t>
      </w:r>
      <w:r>
        <w:rPr>
          <w:color w:val="231F20"/>
          <w:spacing w:val="-4"/>
          <w:w w:val="105"/>
        </w:rPr>
        <w:t> </w:t>
      </w:r>
      <w:r>
        <w:rPr>
          <w:color w:val="231F20"/>
          <w:w w:val="105"/>
        </w:rPr>
        <w:t>you</w:t>
      </w:r>
      <w:r>
        <w:rPr>
          <w:color w:val="231F20"/>
          <w:spacing w:val="-4"/>
          <w:w w:val="105"/>
        </w:rPr>
        <w:t> </w:t>
      </w:r>
      <w:r>
        <w:rPr>
          <w:color w:val="231F20"/>
          <w:w w:val="105"/>
        </w:rPr>
        <w:t>decide</w:t>
      </w:r>
      <w:r>
        <w:rPr>
          <w:color w:val="231F20"/>
          <w:spacing w:val="-4"/>
          <w:w w:val="105"/>
        </w:rPr>
        <w:t> </w:t>
      </w:r>
      <w:r>
        <w:rPr>
          <w:color w:val="231F20"/>
          <w:w w:val="105"/>
        </w:rPr>
        <w:t>to</w:t>
      </w:r>
      <w:r>
        <w:rPr>
          <w:color w:val="231F20"/>
          <w:spacing w:val="-4"/>
          <w:w w:val="105"/>
        </w:rPr>
        <w:t> </w:t>
      </w:r>
      <w:r>
        <w:rPr>
          <w:color w:val="231F20"/>
          <w:w w:val="105"/>
        </w:rPr>
        <w:t>try the</w:t>
      </w:r>
      <w:r>
        <w:rPr>
          <w:color w:val="231F20"/>
          <w:spacing w:val="-10"/>
          <w:w w:val="105"/>
        </w:rPr>
        <w:t> </w:t>
      </w:r>
      <w:r>
        <w:rPr>
          <w:color w:val="231F20"/>
          <w:w w:val="105"/>
        </w:rPr>
        <w:t>cheaper</w:t>
      </w:r>
      <w:r>
        <w:rPr>
          <w:color w:val="231F20"/>
          <w:spacing w:val="-10"/>
          <w:w w:val="105"/>
        </w:rPr>
        <w:t> </w:t>
      </w:r>
      <w:r>
        <w:rPr>
          <w:color w:val="231F20"/>
          <w:w w:val="105"/>
        </w:rPr>
        <w:t>brew.</w:t>
      </w:r>
      <w:r>
        <w:rPr>
          <w:color w:val="231F20"/>
          <w:spacing w:val="-10"/>
          <w:w w:val="105"/>
        </w:rPr>
        <w:t> </w:t>
      </w:r>
      <w:r>
        <w:rPr>
          <w:color w:val="231F20"/>
          <w:w w:val="105"/>
        </w:rPr>
        <w:t>Here,</w:t>
      </w:r>
      <w:r>
        <w:rPr>
          <w:color w:val="231F20"/>
          <w:spacing w:val="-10"/>
          <w:w w:val="105"/>
        </w:rPr>
        <w:t> </w:t>
      </w:r>
      <w:r>
        <w:rPr>
          <w:color w:val="231F20"/>
          <w:w w:val="105"/>
        </w:rPr>
        <w:t>in</w:t>
      </w:r>
      <w:r>
        <w:rPr>
          <w:color w:val="231F20"/>
          <w:spacing w:val="-10"/>
          <w:w w:val="105"/>
        </w:rPr>
        <w:t> </w:t>
      </w:r>
      <w:r>
        <w:rPr>
          <w:color w:val="231F20"/>
          <w:w w:val="105"/>
        </w:rPr>
        <w:t>this</w:t>
      </w:r>
      <w:r>
        <w:rPr>
          <w:color w:val="231F20"/>
          <w:spacing w:val="-10"/>
          <w:w w:val="105"/>
        </w:rPr>
        <w:t> </w:t>
      </w:r>
      <w:r>
        <w:rPr>
          <w:color w:val="231F20"/>
          <w:w w:val="105"/>
        </w:rPr>
        <w:t>bar,</w:t>
      </w:r>
      <w:r>
        <w:rPr>
          <w:color w:val="231F20"/>
          <w:spacing w:val="-10"/>
          <w:w w:val="105"/>
        </w:rPr>
        <w:t> </w:t>
      </w:r>
      <w:r>
        <w:rPr>
          <w:color w:val="231F20"/>
          <w:w w:val="105"/>
        </w:rPr>
        <w:t>the</w:t>
      </w:r>
      <w:r>
        <w:rPr>
          <w:color w:val="231F20"/>
          <w:spacing w:val="-10"/>
          <w:w w:val="105"/>
        </w:rPr>
        <w:t> </w:t>
      </w:r>
      <w:r>
        <w:rPr>
          <w:color w:val="231F20"/>
          <w:w w:val="105"/>
        </w:rPr>
        <w:t>“invisible</w:t>
      </w:r>
      <w:r>
        <w:rPr>
          <w:color w:val="231F20"/>
          <w:spacing w:val="-10"/>
          <w:w w:val="105"/>
        </w:rPr>
        <w:t> </w:t>
      </w:r>
      <w:r>
        <w:rPr>
          <w:color w:val="231F20"/>
          <w:w w:val="105"/>
        </w:rPr>
        <w:t>hand”</w:t>
      </w:r>
      <w:r>
        <w:rPr>
          <w:color w:val="231F20"/>
          <w:spacing w:val="-10"/>
          <w:w w:val="105"/>
        </w:rPr>
        <w:t> </w:t>
      </w:r>
      <w:r>
        <w:rPr>
          <w:color w:val="231F20"/>
          <w:w w:val="105"/>
        </w:rPr>
        <w:t>of</w:t>
      </w:r>
      <w:r>
        <w:rPr>
          <w:color w:val="231F20"/>
          <w:spacing w:val="-10"/>
          <w:w w:val="105"/>
        </w:rPr>
        <w:t> </w:t>
      </w:r>
      <w:r>
        <w:rPr>
          <w:color w:val="231F20"/>
          <w:w w:val="105"/>
        </w:rPr>
        <w:t>econom- ics</w:t>
      </w:r>
      <w:r>
        <w:rPr>
          <w:color w:val="231F20"/>
          <w:w w:val="105"/>
        </w:rPr>
        <w:t> is</w:t>
      </w:r>
      <w:r>
        <w:rPr>
          <w:color w:val="231F20"/>
          <w:w w:val="105"/>
        </w:rPr>
        <w:t> at</w:t>
      </w:r>
      <w:r>
        <w:rPr>
          <w:color w:val="231F20"/>
          <w:w w:val="105"/>
        </w:rPr>
        <w:t> work.</w:t>
      </w:r>
      <w:r>
        <w:rPr>
          <w:color w:val="231F20"/>
          <w:w w:val="105"/>
        </w:rPr>
        <w:t> At</w:t>
      </w:r>
      <w:r>
        <w:rPr>
          <w:color w:val="231F20"/>
          <w:w w:val="105"/>
        </w:rPr>
        <w:t> the</w:t>
      </w:r>
      <w:r>
        <w:rPr>
          <w:color w:val="231F20"/>
          <w:w w:val="105"/>
        </w:rPr>
        <w:t> “right”</w:t>
      </w:r>
      <w:r>
        <w:rPr>
          <w:color w:val="231F20"/>
          <w:w w:val="105"/>
        </w:rPr>
        <w:t> price,</w:t>
      </w:r>
      <w:r>
        <w:rPr>
          <w:color w:val="231F20"/>
          <w:w w:val="105"/>
        </w:rPr>
        <w:t> there</w:t>
      </w:r>
      <w:r>
        <w:rPr>
          <w:color w:val="231F20"/>
          <w:w w:val="105"/>
        </w:rPr>
        <w:t> is</w:t>
      </w:r>
      <w:r>
        <w:rPr>
          <w:color w:val="231F20"/>
          <w:w w:val="105"/>
        </w:rPr>
        <w:t> a</w:t>
      </w:r>
      <w:r>
        <w:rPr>
          <w:color w:val="231F20"/>
          <w:w w:val="105"/>
        </w:rPr>
        <w:t> demand</w:t>
      </w:r>
      <w:r>
        <w:rPr>
          <w:color w:val="231F20"/>
          <w:w w:val="105"/>
        </w:rPr>
        <w:t> for</w:t>
      </w:r>
      <w:r>
        <w:rPr>
          <w:color w:val="231F20"/>
          <w:w w:val="105"/>
        </w:rPr>
        <w:t> the</w:t>
      </w:r>
      <w:r>
        <w:rPr>
          <w:color w:val="231F20"/>
          <w:w w:val="105"/>
        </w:rPr>
        <w:t> ten </w:t>
      </w:r>
      <w:r>
        <w:rPr>
          <w:color w:val="231F20"/>
        </w:rPr>
        <w:t>kegs.</w:t>
      </w:r>
      <w:r>
        <w:rPr>
          <w:color w:val="231F20"/>
          <w:spacing w:val="1"/>
        </w:rPr>
        <w:t> </w:t>
      </w:r>
      <w:r>
        <w:rPr>
          <w:color w:val="231F20"/>
        </w:rPr>
        <w:t>The</w:t>
      </w:r>
      <w:r>
        <w:rPr>
          <w:color w:val="231F20"/>
          <w:spacing w:val="2"/>
        </w:rPr>
        <w:t> </w:t>
      </w:r>
      <w:r>
        <w:rPr>
          <w:color w:val="231F20"/>
        </w:rPr>
        <w:t>graph</w:t>
      </w:r>
      <w:r>
        <w:rPr>
          <w:color w:val="231F20"/>
          <w:spacing w:val="1"/>
        </w:rPr>
        <w:t> </w:t>
      </w:r>
      <w:r>
        <w:rPr>
          <w:color w:val="231F20"/>
        </w:rPr>
        <w:t>shows</w:t>
      </w:r>
      <w:r>
        <w:rPr>
          <w:color w:val="231F20"/>
          <w:spacing w:val="2"/>
        </w:rPr>
        <w:t> </w:t>
      </w:r>
      <w:r>
        <w:rPr>
          <w:color w:val="231F20"/>
        </w:rPr>
        <w:t>that</w:t>
      </w:r>
      <w:r>
        <w:rPr>
          <w:color w:val="231F20"/>
          <w:spacing w:val="2"/>
        </w:rPr>
        <w:t> </w:t>
      </w:r>
      <w:r>
        <w:rPr>
          <w:color w:val="231F20"/>
        </w:rPr>
        <w:t>as</w:t>
      </w:r>
      <w:r>
        <w:rPr>
          <w:color w:val="231F20"/>
          <w:spacing w:val="1"/>
        </w:rPr>
        <w:t> </w:t>
      </w:r>
      <w:r>
        <w:rPr>
          <w:color w:val="231F20"/>
        </w:rPr>
        <w:t>the</w:t>
      </w:r>
      <w:r>
        <w:rPr>
          <w:color w:val="231F20"/>
          <w:spacing w:val="2"/>
        </w:rPr>
        <w:t> </w:t>
      </w:r>
      <w:r>
        <w:rPr>
          <w:color w:val="231F20"/>
        </w:rPr>
        <w:t>price</w:t>
      </w:r>
      <w:r>
        <w:rPr>
          <w:color w:val="231F20"/>
          <w:spacing w:val="2"/>
        </w:rPr>
        <w:t> </w:t>
      </w:r>
      <w:r>
        <w:rPr>
          <w:color w:val="231F20"/>
        </w:rPr>
        <w:t>per</w:t>
      </w:r>
      <w:r>
        <w:rPr>
          <w:color w:val="231F20"/>
          <w:spacing w:val="1"/>
        </w:rPr>
        <w:t> </w:t>
      </w:r>
      <w:r>
        <w:rPr>
          <w:color w:val="231F20"/>
        </w:rPr>
        <w:t>mug</w:t>
      </w:r>
      <w:r>
        <w:rPr>
          <w:color w:val="231F20"/>
          <w:spacing w:val="2"/>
        </w:rPr>
        <w:t> </w:t>
      </w:r>
      <w:r>
        <w:rPr>
          <w:color w:val="231F20"/>
        </w:rPr>
        <w:t>increases,</w:t>
      </w:r>
      <w:r>
        <w:rPr>
          <w:color w:val="231F20"/>
          <w:spacing w:val="2"/>
        </w:rPr>
        <w:t> </w:t>
      </w:r>
      <w:r>
        <w:rPr>
          <w:color w:val="231F20"/>
        </w:rPr>
        <w:t>the</w:t>
      </w:r>
      <w:r>
        <w:rPr>
          <w:color w:val="231F20"/>
          <w:spacing w:val="1"/>
        </w:rPr>
        <w:t> </w:t>
      </w:r>
      <w:r>
        <w:rPr>
          <w:color w:val="231F20"/>
          <w:spacing w:val="-2"/>
        </w:rPr>
        <w:t>brew-</w:t>
      </w:r>
    </w:p>
    <w:p>
      <w:pPr>
        <w:spacing w:after="0" w:line="292" w:lineRule="auto"/>
        <w:jc w:val="both"/>
        <w:sectPr>
          <w:headerReference w:type="even" r:id="rId108"/>
          <w:headerReference w:type="default" r:id="rId109"/>
          <w:pgSz w:w="8640" w:h="12960"/>
          <w:pgMar w:header="732" w:footer="0" w:top="920" w:bottom="280" w:left="340" w:right="500"/>
          <w:pgNumType w:start="284"/>
        </w:sectPr>
      </w:pPr>
    </w:p>
    <w:p>
      <w:pPr>
        <w:pStyle w:val="BodyText"/>
        <w:spacing w:before="8"/>
        <w:rPr>
          <w:sz w:val="19"/>
        </w:rPr>
      </w:pPr>
    </w:p>
    <w:p>
      <w:pPr>
        <w:spacing w:before="96"/>
        <w:ind w:left="472" w:right="219" w:firstLine="0"/>
        <w:jc w:val="center"/>
        <w:rPr>
          <w:rFonts w:ascii="Arial"/>
          <w:sz w:val="14"/>
        </w:rPr>
      </w:pPr>
      <w:r>
        <w:rPr>
          <w:rFonts w:ascii="Arial"/>
          <w:color w:val="231F20"/>
          <w:w w:val="105"/>
          <w:sz w:val="14"/>
        </w:rPr>
        <w:t>SUPPLY</w:t>
      </w:r>
      <w:r>
        <w:rPr>
          <w:rFonts w:ascii="Arial"/>
          <w:color w:val="231F20"/>
          <w:spacing w:val="23"/>
          <w:w w:val="105"/>
          <w:sz w:val="14"/>
        </w:rPr>
        <w:t> </w:t>
      </w:r>
      <w:r>
        <w:rPr>
          <w:rFonts w:ascii="Arial"/>
          <w:color w:val="231F20"/>
          <w:w w:val="105"/>
          <w:sz w:val="14"/>
        </w:rPr>
        <w:t>AND</w:t>
      </w:r>
      <w:r>
        <w:rPr>
          <w:rFonts w:ascii="Arial"/>
          <w:color w:val="231F20"/>
          <w:spacing w:val="24"/>
          <w:w w:val="105"/>
          <w:sz w:val="14"/>
        </w:rPr>
        <w:t> </w:t>
      </w:r>
      <w:r>
        <w:rPr>
          <w:rFonts w:ascii="Arial"/>
          <w:color w:val="231F20"/>
          <w:w w:val="105"/>
          <w:sz w:val="14"/>
        </w:rPr>
        <w:t>DEMAND</w:t>
      </w:r>
      <w:r>
        <w:rPr>
          <w:rFonts w:ascii="Arial"/>
          <w:color w:val="231F20"/>
          <w:spacing w:val="24"/>
          <w:w w:val="105"/>
          <w:sz w:val="14"/>
        </w:rPr>
        <w:t> </w:t>
      </w:r>
      <w:r>
        <w:rPr>
          <w:rFonts w:ascii="Arial"/>
          <w:color w:val="231F20"/>
          <w:w w:val="105"/>
          <w:sz w:val="14"/>
        </w:rPr>
        <w:t>FOR</w:t>
      </w:r>
      <w:r>
        <w:rPr>
          <w:rFonts w:ascii="Arial"/>
          <w:color w:val="231F20"/>
          <w:spacing w:val="23"/>
          <w:w w:val="105"/>
          <w:sz w:val="14"/>
        </w:rPr>
        <w:t> </w:t>
      </w:r>
      <w:r>
        <w:rPr>
          <w:rFonts w:ascii="Arial"/>
          <w:color w:val="231F20"/>
          <w:spacing w:val="-4"/>
          <w:w w:val="105"/>
          <w:sz w:val="14"/>
        </w:rPr>
        <w:t>BEER</w:t>
      </w:r>
    </w:p>
    <w:p>
      <w:pPr>
        <w:pStyle w:val="BodyText"/>
        <w:rPr>
          <w:rFonts w:ascii="Arial"/>
          <w:sz w:val="9"/>
        </w:rPr>
      </w:pPr>
      <w:r>
        <w:rPr/>
        <w:drawing>
          <wp:anchor distT="0" distB="0" distL="0" distR="0" allowOverlap="1" layoutInCell="1" locked="0" behindDoc="0" simplePos="0" relativeHeight="352">
            <wp:simplePos x="0" y="0"/>
            <wp:positionH relativeFrom="page">
              <wp:posOffset>1231900</wp:posOffset>
            </wp:positionH>
            <wp:positionV relativeFrom="paragraph">
              <wp:posOffset>81408</wp:posOffset>
            </wp:positionV>
            <wp:extent cx="3070674" cy="2389631"/>
            <wp:effectExtent l="0" t="0" r="0" b="0"/>
            <wp:wrapTopAndBottom/>
            <wp:docPr id="123" name="image72.png"/>
            <wp:cNvGraphicFramePr>
              <a:graphicFrameLocks noChangeAspect="1"/>
            </wp:cNvGraphicFramePr>
            <a:graphic>
              <a:graphicData uri="http://schemas.openxmlformats.org/drawingml/2006/picture">
                <pic:pic>
                  <pic:nvPicPr>
                    <pic:cNvPr id="124" name="image72.png"/>
                    <pic:cNvPicPr/>
                  </pic:nvPicPr>
                  <pic:blipFill>
                    <a:blip r:embed="rId110" cstate="print"/>
                    <a:stretch>
                      <a:fillRect/>
                    </a:stretch>
                  </pic:blipFill>
                  <pic:spPr>
                    <a:xfrm>
                      <a:off x="0" y="0"/>
                      <a:ext cx="3070674" cy="2389631"/>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line="292" w:lineRule="auto" w:before="86"/>
        <w:ind w:left="920" w:right="666"/>
        <w:jc w:val="both"/>
      </w:pPr>
      <w:r>
        <w:rPr>
          <w:color w:val="231F20"/>
        </w:rPr>
        <w:t>ery would be willing to produce more, but people would be less will- ing to buy.</w:t>
      </w:r>
    </w:p>
    <w:p>
      <w:pPr>
        <w:pStyle w:val="BodyText"/>
        <w:spacing w:line="292" w:lineRule="auto"/>
        <w:ind w:left="919" w:right="666" w:firstLine="340"/>
        <w:jc w:val="both"/>
      </w:pPr>
      <w:r>
        <w:rPr>
          <w:color w:val="231F20"/>
        </w:rPr>
        <w:t>Generalizing from this simple relationship to an entire </w:t>
      </w:r>
      <w:r>
        <w:rPr>
          <w:color w:val="231F20"/>
        </w:rPr>
        <w:t>economy, aggregate supply (AS) equals aggregate demand (AD) at an equilib- rium price and level of economic output. The graph is similar to the beer graph, the same relationship holds, but the elements measured constitute a much more serious MBA subject.</w:t>
      </w:r>
    </w:p>
    <w:p>
      <w:pPr>
        <w:pStyle w:val="BodyText"/>
        <w:rPr>
          <w:sz w:val="24"/>
        </w:rPr>
      </w:pPr>
    </w:p>
    <w:p>
      <w:pPr>
        <w:pStyle w:val="BodyText"/>
        <w:spacing w:before="8"/>
        <w:rPr>
          <w:sz w:val="24"/>
        </w:rPr>
      </w:pPr>
    </w:p>
    <w:p>
      <w:pPr>
        <w:pStyle w:val="Heading4"/>
        <w:spacing w:before="1"/>
        <w:ind w:left="481"/>
      </w:pPr>
      <w:r>
        <w:rPr>
          <w:color w:val="231F20"/>
          <w:w w:val="85"/>
        </w:rPr>
        <w:t>LEVEL</w:t>
      </w:r>
      <w:r>
        <w:rPr>
          <w:color w:val="231F20"/>
          <w:spacing w:val="32"/>
        </w:rPr>
        <w:t> </w:t>
      </w:r>
      <w:r>
        <w:rPr>
          <w:color w:val="231F20"/>
          <w:w w:val="85"/>
        </w:rPr>
        <w:t>OF</w:t>
      </w:r>
      <w:r>
        <w:rPr>
          <w:color w:val="231F20"/>
          <w:spacing w:val="33"/>
        </w:rPr>
        <w:t> </w:t>
      </w:r>
      <w:r>
        <w:rPr>
          <w:color w:val="231F20"/>
          <w:spacing w:val="9"/>
          <w:w w:val="85"/>
        </w:rPr>
        <w:t>ECONOMICS:</w:t>
      </w:r>
      <w:r>
        <w:rPr>
          <w:color w:val="231F20"/>
          <w:spacing w:val="33"/>
        </w:rPr>
        <w:t> </w:t>
      </w:r>
      <w:r>
        <w:rPr>
          <w:color w:val="231F20"/>
          <w:w w:val="85"/>
        </w:rPr>
        <w:t>MICRO</w:t>
      </w:r>
      <w:r>
        <w:rPr>
          <w:color w:val="231F20"/>
          <w:spacing w:val="32"/>
        </w:rPr>
        <w:t> </w:t>
      </w:r>
      <w:r>
        <w:rPr>
          <w:color w:val="231F20"/>
          <w:w w:val="85"/>
        </w:rPr>
        <w:t>OR</w:t>
      </w:r>
      <w:r>
        <w:rPr>
          <w:color w:val="231F20"/>
          <w:spacing w:val="33"/>
        </w:rPr>
        <w:t> </w:t>
      </w:r>
      <w:r>
        <w:rPr>
          <w:color w:val="231F20"/>
          <w:spacing w:val="9"/>
          <w:w w:val="85"/>
        </w:rPr>
        <w:t>MACRO?</w:t>
      </w:r>
    </w:p>
    <w:p>
      <w:pPr>
        <w:pStyle w:val="BodyText"/>
        <w:spacing w:before="10"/>
        <w:rPr>
          <w:rFonts w:ascii="Trebuchet MS"/>
          <w:sz w:val="29"/>
        </w:rPr>
      </w:pPr>
    </w:p>
    <w:p>
      <w:pPr>
        <w:pStyle w:val="BodyText"/>
        <w:spacing w:line="292" w:lineRule="auto"/>
        <w:ind w:left="920" w:right="663" w:hanging="1"/>
        <w:jc w:val="both"/>
      </w:pPr>
      <w:r>
        <w:rPr>
          <w:color w:val="231F20"/>
          <w:w w:val="105"/>
        </w:rPr>
        <w:t>Students</w:t>
      </w:r>
      <w:r>
        <w:rPr>
          <w:color w:val="231F20"/>
          <w:spacing w:val="-1"/>
          <w:w w:val="105"/>
        </w:rPr>
        <w:t> </w:t>
      </w:r>
      <w:r>
        <w:rPr>
          <w:color w:val="231F20"/>
          <w:w w:val="105"/>
        </w:rPr>
        <w:t>can</w:t>
      </w:r>
      <w:r>
        <w:rPr>
          <w:color w:val="231F20"/>
          <w:spacing w:val="-1"/>
          <w:w w:val="105"/>
        </w:rPr>
        <w:t> </w:t>
      </w:r>
      <w:r>
        <w:rPr>
          <w:color w:val="231F20"/>
          <w:w w:val="105"/>
        </w:rPr>
        <w:t>study</w:t>
      </w:r>
      <w:r>
        <w:rPr>
          <w:color w:val="231F20"/>
          <w:spacing w:val="-1"/>
          <w:w w:val="105"/>
        </w:rPr>
        <w:t> </w:t>
      </w:r>
      <w:r>
        <w:rPr>
          <w:color w:val="231F20"/>
          <w:w w:val="105"/>
        </w:rPr>
        <w:t>either</w:t>
      </w:r>
      <w:r>
        <w:rPr>
          <w:color w:val="231F20"/>
          <w:spacing w:val="-1"/>
          <w:w w:val="105"/>
        </w:rPr>
        <w:t> </w:t>
      </w:r>
      <w:r>
        <w:rPr>
          <w:i/>
          <w:color w:val="231F20"/>
          <w:w w:val="105"/>
        </w:rPr>
        <w:t>microeconomics</w:t>
      </w:r>
      <w:r>
        <w:rPr>
          <w:i/>
          <w:color w:val="231F20"/>
          <w:spacing w:val="-1"/>
          <w:w w:val="105"/>
        </w:rPr>
        <w:t> </w:t>
      </w:r>
      <w:r>
        <w:rPr>
          <w:color w:val="231F20"/>
          <w:w w:val="105"/>
        </w:rPr>
        <w:t>or</w:t>
      </w:r>
      <w:r>
        <w:rPr>
          <w:color w:val="231F20"/>
          <w:spacing w:val="-1"/>
          <w:w w:val="105"/>
        </w:rPr>
        <w:t> </w:t>
      </w:r>
      <w:r>
        <w:rPr>
          <w:i/>
          <w:color w:val="231F20"/>
          <w:w w:val="105"/>
        </w:rPr>
        <w:t>macroeconomics.</w:t>
      </w:r>
      <w:r>
        <w:rPr>
          <w:i/>
          <w:color w:val="231F20"/>
          <w:spacing w:val="-1"/>
          <w:w w:val="105"/>
        </w:rPr>
        <w:t> </w:t>
      </w:r>
      <w:r>
        <w:rPr>
          <w:color w:val="231F20"/>
          <w:w w:val="105"/>
        </w:rPr>
        <w:t>Mi- croeconomics</w:t>
      </w:r>
      <w:r>
        <w:rPr>
          <w:color w:val="231F20"/>
          <w:w w:val="105"/>
        </w:rPr>
        <w:t> deals</w:t>
      </w:r>
      <w:r>
        <w:rPr>
          <w:color w:val="231F20"/>
          <w:w w:val="105"/>
        </w:rPr>
        <w:t> with</w:t>
      </w:r>
      <w:r>
        <w:rPr>
          <w:color w:val="231F20"/>
          <w:w w:val="105"/>
        </w:rPr>
        <w:t> the</w:t>
      </w:r>
      <w:r>
        <w:rPr>
          <w:color w:val="231F20"/>
          <w:w w:val="105"/>
        </w:rPr>
        <w:t> supply</w:t>
      </w:r>
      <w:r>
        <w:rPr>
          <w:color w:val="231F20"/>
          <w:w w:val="105"/>
        </w:rPr>
        <w:t> and</w:t>
      </w:r>
      <w:r>
        <w:rPr>
          <w:color w:val="231F20"/>
          <w:w w:val="105"/>
        </w:rPr>
        <w:t> demand</w:t>
      </w:r>
      <w:r>
        <w:rPr>
          <w:color w:val="231F20"/>
          <w:w w:val="105"/>
        </w:rPr>
        <w:t> equation</w:t>
      </w:r>
      <w:r>
        <w:rPr>
          <w:color w:val="231F20"/>
          <w:w w:val="105"/>
        </w:rPr>
        <w:t> of</w:t>
      </w:r>
      <w:r>
        <w:rPr>
          <w:color w:val="231F20"/>
          <w:w w:val="105"/>
        </w:rPr>
        <w:t> indi- viduals,</w:t>
      </w:r>
      <w:r>
        <w:rPr>
          <w:color w:val="231F20"/>
          <w:w w:val="105"/>
        </w:rPr>
        <w:t> families,</w:t>
      </w:r>
      <w:r>
        <w:rPr>
          <w:color w:val="231F20"/>
          <w:w w:val="105"/>
        </w:rPr>
        <w:t> companies,</w:t>
      </w:r>
      <w:r>
        <w:rPr>
          <w:color w:val="231F20"/>
          <w:w w:val="105"/>
        </w:rPr>
        <w:t> or</w:t>
      </w:r>
      <w:r>
        <w:rPr>
          <w:color w:val="231F20"/>
          <w:w w:val="105"/>
        </w:rPr>
        <w:t> industries.</w:t>
      </w:r>
      <w:r>
        <w:rPr>
          <w:color w:val="231F20"/>
          <w:w w:val="105"/>
        </w:rPr>
        <w:t> The</w:t>
      </w:r>
      <w:r>
        <w:rPr>
          <w:color w:val="231F20"/>
          <w:w w:val="105"/>
        </w:rPr>
        <w:t> Heineken</w:t>
      </w:r>
      <w:r>
        <w:rPr>
          <w:color w:val="231F20"/>
          <w:w w:val="105"/>
        </w:rPr>
        <w:t> versus Duff</w:t>
      </w:r>
      <w:r>
        <w:rPr>
          <w:color w:val="231F20"/>
          <w:w w:val="105"/>
        </w:rPr>
        <w:t> competition</w:t>
      </w:r>
      <w:r>
        <w:rPr>
          <w:color w:val="231F20"/>
          <w:w w:val="105"/>
        </w:rPr>
        <w:t> was</w:t>
      </w:r>
      <w:r>
        <w:rPr>
          <w:color w:val="231F20"/>
          <w:w w:val="105"/>
        </w:rPr>
        <w:t> an</w:t>
      </w:r>
      <w:r>
        <w:rPr>
          <w:color w:val="231F20"/>
          <w:w w:val="105"/>
        </w:rPr>
        <w:t> example</w:t>
      </w:r>
      <w:r>
        <w:rPr>
          <w:color w:val="231F20"/>
          <w:w w:val="105"/>
        </w:rPr>
        <w:t> of</w:t>
      </w:r>
      <w:r>
        <w:rPr>
          <w:color w:val="231F20"/>
          <w:w w:val="105"/>
        </w:rPr>
        <w:t> a</w:t>
      </w:r>
      <w:r>
        <w:rPr>
          <w:color w:val="231F20"/>
          <w:w w:val="105"/>
        </w:rPr>
        <w:t> microeconomic</w:t>
      </w:r>
      <w:r>
        <w:rPr>
          <w:color w:val="231F20"/>
          <w:w w:val="105"/>
        </w:rPr>
        <w:t> battle. Macroeconomics,</w:t>
      </w:r>
      <w:r>
        <w:rPr>
          <w:color w:val="231F20"/>
          <w:w w:val="105"/>
        </w:rPr>
        <w:t> on</w:t>
      </w:r>
      <w:r>
        <w:rPr>
          <w:color w:val="231F20"/>
          <w:w w:val="105"/>
        </w:rPr>
        <w:t> the</w:t>
      </w:r>
      <w:r>
        <w:rPr>
          <w:color w:val="231F20"/>
          <w:w w:val="105"/>
        </w:rPr>
        <w:t> other</w:t>
      </w:r>
      <w:r>
        <w:rPr>
          <w:color w:val="231F20"/>
          <w:w w:val="105"/>
        </w:rPr>
        <w:t> hand,</w:t>
      </w:r>
      <w:r>
        <w:rPr>
          <w:color w:val="231F20"/>
          <w:w w:val="105"/>
        </w:rPr>
        <w:t> concerns</w:t>
      </w:r>
      <w:r>
        <w:rPr>
          <w:color w:val="231F20"/>
          <w:w w:val="105"/>
        </w:rPr>
        <w:t> itself</w:t>
      </w:r>
      <w:r>
        <w:rPr>
          <w:color w:val="231F20"/>
          <w:w w:val="105"/>
        </w:rPr>
        <w:t> with</w:t>
      </w:r>
      <w:r>
        <w:rPr>
          <w:color w:val="231F20"/>
          <w:w w:val="105"/>
        </w:rPr>
        <w:t> the economies</w:t>
      </w:r>
      <w:r>
        <w:rPr>
          <w:color w:val="231F20"/>
          <w:spacing w:val="-8"/>
          <w:w w:val="105"/>
        </w:rPr>
        <w:t> </w:t>
      </w:r>
      <w:r>
        <w:rPr>
          <w:color w:val="231F20"/>
          <w:w w:val="105"/>
        </w:rPr>
        <w:t>of</w:t>
      </w:r>
      <w:r>
        <w:rPr>
          <w:color w:val="231F20"/>
          <w:spacing w:val="-8"/>
          <w:w w:val="105"/>
        </w:rPr>
        <w:t> </w:t>
      </w:r>
      <w:r>
        <w:rPr>
          <w:color w:val="231F20"/>
          <w:w w:val="105"/>
        </w:rPr>
        <w:t>cities,</w:t>
      </w:r>
      <w:r>
        <w:rPr>
          <w:color w:val="231F20"/>
          <w:spacing w:val="-8"/>
          <w:w w:val="105"/>
        </w:rPr>
        <w:t> </w:t>
      </w:r>
      <w:r>
        <w:rPr>
          <w:color w:val="231F20"/>
          <w:w w:val="105"/>
        </w:rPr>
        <w:t>countries,</w:t>
      </w:r>
      <w:r>
        <w:rPr>
          <w:color w:val="231F20"/>
          <w:spacing w:val="-8"/>
          <w:w w:val="105"/>
        </w:rPr>
        <w:t> </w:t>
      </w:r>
      <w:r>
        <w:rPr>
          <w:color w:val="231F20"/>
          <w:w w:val="105"/>
        </w:rPr>
        <w:t>or</w:t>
      </w:r>
      <w:r>
        <w:rPr>
          <w:color w:val="231F20"/>
          <w:spacing w:val="-8"/>
          <w:w w:val="105"/>
        </w:rPr>
        <w:t> </w:t>
      </w:r>
      <w:r>
        <w:rPr>
          <w:color w:val="231F20"/>
          <w:w w:val="105"/>
        </w:rPr>
        <w:t>the</w:t>
      </w:r>
      <w:r>
        <w:rPr>
          <w:color w:val="231F20"/>
          <w:spacing w:val="-8"/>
          <w:w w:val="105"/>
        </w:rPr>
        <w:t> </w:t>
      </w:r>
      <w:r>
        <w:rPr>
          <w:color w:val="231F20"/>
          <w:w w:val="105"/>
        </w:rPr>
        <w:t>world</w:t>
      </w:r>
      <w:r>
        <w:rPr>
          <w:color w:val="231F20"/>
          <w:spacing w:val="-8"/>
          <w:w w:val="105"/>
        </w:rPr>
        <w:t> </w:t>
      </w:r>
      <w:r>
        <w:rPr>
          <w:color w:val="231F20"/>
          <w:w w:val="105"/>
        </w:rPr>
        <w:t>as</w:t>
      </w:r>
      <w:r>
        <w:rPr>
          <w:color w:val="231F20"/>
          <w:spacing w:val="-8"/>
          <w:w w:val="105"/>
        </w:rPr>
        <w:t> </w:t>
      </w:r>
      <w:r>
        <w:rPr>
          <w:color w:val="231F20"/>
          <w:w w:val="105"/>
        </w:rPr>
        <w:t>shown</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second graph.</w:t>
      </w:r>
      <w:r>
        <w:rPr>
          <w:color w:val="231F20"/>
          <w:w w:val="105"/>
        </w:rPr>
        <w:t> Simply</w:t>
      </w:r>
      <w:r>
        <w:rPr>
          <w:color w:val="231F20"/>
          <w:w w:val="105"/>
        </w:rPr>
        <w:t> put,</w:t>
      </w:r>
      <w:r>
        <w:rPr>
          <w:color w:val="231F20"/>
          <w:w w:val="105"/>
        </w:rPr>
        <w:t> “micro”</w:t>
      </w:r>
      <w:r>
        <w:rPr>
          <w:color w:val="231F20"/>
          <w:w w:val="105"/>
        </w:rPr>
        <w:t> economics</w:t>
      </w:r>
      <w:r>
        <w:rPr>
          <w:color w:val="231F20"/>
          <w:w w:val="105"/>
        </w:rPr>
        <w:t> deals</w:t>
      </w:r>
      <w:r>
        <w:rPr>
          <w:color w:val="231F20"/>
          <w:w w:val="105"/>
        </w:rPr>
        <w:t> with</w:t>
      </w:r>
      <w:r>
        <w:rPr>
          <w:color w:val="231F20"/>
          <w:w w:val="105"/>
        </w:rPr>
        <w:t> “small,”</w:t>
      </w:r>
      <w:r>
        <w:rPr>
          <w:color w:val="231F20"/>
          <w:w w:val="105"/>
        </w:rPr>
        <w:t> specific situations;</w:t>
      </w:r>
      <w:r>
        <w:rPr>
          <w:color w:val="231F20"/>
          <w:w w:val="105"/>
        </w:rPr>
        <w:t> “macro”</w:t>
      </w:r>
      <w:r>
        <w:rPr>
          <w:color w:val="231F20"/>
          <w:w w:val="105"/>
        </w:rPr>
        <w:t> economics</w:t>
      </w:r>
      <w:r>
        <w:rPr>
          <w:color w:val="231F20"/>
          <w:w w:val="105"/>
        </w:rPr>
        <w:t> looks</w:t>
      </w:r>
      <w:r>
        <w:rPr>
          <w:color w:val="231F20"/>
          <w:w w:val="105"/>
        </w:rPr>
        <w:t> at</w:t>
      </w:r>
      <w:r>
        <w:rPr>
          <w:color w:val="231F20"/>
          <w:w w:val="105"/>
        </w:rPr>
        <w:t> the</w:t>
      </w:r>
      <w:r>
        <w:rPr>
          <w:color w:val="231F20"/>
          <w:w w:val="105"/>
        </w:rPr>
        <w:t> “big”</w:t>
      </w:r>
      <w:r>
        <w:rPr>
          <w:color w:val="231F20"/>
          <w:w w:val="105"/>
        </w:rPr>
        <w:t> picture</w:t>
      </w:r>
      <w:r>
        <w:rPr>
          <w:color w:val="231F20"/>
          <w:w w:val="105"/>
        </w:rPr>
        <w:t> of</w:t>
      </w:r>
      <w:r>
        <w:rPr>
          <w:color w:val="231F20"/>
          <w:w w:val="105"/>
        </w:rPr>
        <w:t> entire </w:t>
      </w:r>
      <w:r>
        <w:rPr>
          <w:color w:val="231F20"/>
          <w:spacing w:val="-2"/>
          <w:w w:val="105"/>
        </w:rPr>
        <w:t>economics.</w:t>
      </w:r>
    </w:p>
    <w:p>
      <w:pPr>
        <w:spacing w:after="0" w:line="292" w:lineRule="auto"/>
        <w:jc w:val="both"/>
        <w:sectPr>
          <w:pgSz w:w="8640" w:h="12960"/>
          <w:pgMar w:header="734" w:footer="0" w:top="920" w:bottom="280" w:left="340" w:right="500"/>
        </w:sectPr>
      </w:pPr>
    </w:p>
    <w:p>
      <w:pPr>
        <w:pStyle w:val="BodyText"/>
        <w:spacing w:before="10"/>
        <w:rPr>
          <w:sz w:val="19"/>
        </w:rPr>
      </w:pPr>
    </w:p>
    <w:p>
      <w:pPr>
        <w:spacing w:before="96"/>
        <w:ind w:left="292" w:right="219" w:firstLine="0"/>
        <w:jc w:val="center"/>
        <w:rPr>
          <w:rFonts w:ascii="Arial"/>
          <w:sz w:val="14"/>
        </w:rPr>
      </w:pPr>
      <w:r>
        <w:rPr>
          <w:rFonts w:ascii="Arial"/>
          <w:color w:val="231F20"/>
          <w:w w:val="105"/>
          <w:sz w:val="14"/>
        </w:rPr>
        <w:t>SUPPLY</w:t>
      </w:r>
      <w:r>
        <w:rPr>
          <w:rFonts w:ascii="Arial"/>
          <w:color w:val="231F20"/>
          <w:spacing w:val="24"/>
          <w:w w:val="105"/>
          <w:sz w:val="14"/>
        </w:rPr>
        <w:t> </w:t>
      </w:r>
      <w:r>
        <w:rPr>
          <w:rFonts w:ascii="Arial"/>
          <w:color w:val="231F20"/>
          <w:w w:val="105"/>
          <w:sz w:val="14"/>
        </w:rPr>
        <w:t>AND</w:t>
      </w:r>
      <w:r>
        <w:rPr>
          <w:rFonts w:ascii="Arial"/>
          <w:color w:val="231F20"/>
          <w:spacing w:val="25"/>
          <w:w w:val="105"/>
          <w:sz w:val="14"/>
        </w:rPr>
        <w:t> </w:t>
      </w:r>
      <w:r>
        <w:rPr>
          <w:rFonts w:ascii="Arial"/>
          <w:color w:val="231F20"/>
          <w:w w:val="105"/>
          <w:sz w:val="14"/>
        </w:rPr>
        <w:t>DEMAND</w:t>
      </w:r>
      <w:r>
        <w:rPr>
          <w:rFonts w:ascii="Arial"/>
          <w:color w:val="231F20"/>
          <w:spacing w:val="25"/>
          <w:w w:val="105"/>
          <w:sz w:val="14"/>
        </w:rPr>
        <w:t> </w:t>
      </w:r>
      <w:r>
        <w:rPr>
          <w:rFonts w:ascii="Arial"/>
          <w:color w:val="231F20"/>
          <w:w w:val="105"/>
          <w:sz w:val="14"/>
        </w:rPr>
        <w:t>FOR</w:t>
      </w:r>
      <w:r>
        <w:rPr>
          <w:rFonts w:ascii="Arial"/>
          <w:color w:val="231F20"/>
          <w:spacing w:val="24"/>
          <w:w w:val="105"/>
          <w:sz w:val="14"/>
        </w:rPr>
        <w:t> </w:t>
      </w:r>
      <w:r>
        <w:rPr>
          <w:rFonts w:ascii="Arial"/>
          <w:color w:val="231F20"/>
          <w:w w:val="105"/>
          <w:sz w:val="14"/>
        </w:rPr>
        <w:t>AN</w:t>
      </w:r>
      <w:r>
        <w:rPr>
          <w:rFonts w:ascii="Arial"/>
          <w:color w:val="231F20"/>
          <w:spacing w:val="25"/>
          <w:w w:val="105"/>
          <w:sz w:val="14"/>
        </w:rPr>
        <w:t> </w:t>
      </w:r>
      <w:r>
        <w:rPr>
          <w:rFonts w:ascii="Arial"/>
          <w:color w:val="231F20"/>
          <w:spacing w:val="-2"/>
          <w:w w:val="105"/>
          <w:sz w:val="14"/>
        </w:rPr>
        <w:t>ECONOMY</w:t>
      </w:r>
    </w:p>
    <w:p>
      <w:pPr>
        <w:pStyle w:val="BodyText"/>
        <w:spacing w:before="8"/>
        <w:rPr>
          <w:rFonts w:ascii="Arial"/>
          <w:sz w:val="15"/>
        </w:rPr>
      </w:pPr>
      <w:r>
        <w:rPr/>
        <w:drawing>
          <wp:anchor distT="0" distB="0" distL="0" distR="0" allowOverlap="1" layoutInCell="1" locked="0" behindDoc="0" simplePos="0" relativeHeight="353">
            <wp:simplePos x="0" y="0"/>
            <wp:positionH relativeFrom="page">
              <wp:posOffset>1056890</wp:posOffset>
            </wp:positionH>
            <wp:positionV relativeFrom="paragraph">
              <wp:posOffset>130031</wp:posOffset>
            </wp:positionV>
            <wp:extent cx="3342934" cy="1865376"/>
            <wp:effectExtent l="0" t="0" r="0" b="0"/>
            <wp:wrapTopAndBottom/>
            <wp:docPr id="125" name="image73.png"/>
            <wp:cNvGraphicFramePr>
              <a:graphicFrameLocks noChangeAspect="1"/>
            </wp:cNvGraphicFramePr>
            <a:graphic>
              <a:graphicData uri="http://schemas.openxmlformats.org/drawingml/2006/picture">
                <pic:pic>
                  <pic:nvPicPr>
                    <pic:cNvPr id="126" name="image73.png"/>
                    <pic:cNvPicPr/>
                  </pic:nvPicPr>
                  <pic:blipFill>
                    <a:blip r:embed="rId111" cstate="print"/>
                    <a:stretch>
                      <a:fillRect/>
                    </a:stretch>
                  </pic:blipFill>
                  <pic:spPr>
                    <a:xfrm>
                      <a:off x="0" y="0"/>
                      <a:ext cx="3342934" cy="1865376"/>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11"/>
        <w:rPr>
          <w:rFonts w:ascii="Arial"/>
          <w:sz w:val="17"/>
        </w:rPr>
      </w:pPr>
    </w:p>
    <w:p>
      <w:pPr>
        <w:pStyle w:val="Heading4"/>
        <w:ind w:left="300"/>
      </w:pPr>
      <w:r>
        <w:rPr>
          <w:color w:val="231F20"/>
          <w:spacing w:val="9"/>
          <w:w w:val="95"/>
        </w:rPr>
        <w:t>MICROECONOMICS</w:t>
      </w:r>
    </w:p>
    <w:p>
      <w:pPr>
        <w:pStyle w:val="BodyText"/>
        <w:spacing w:before="10"/>
        <w:rPr>
          <w:rFonts w:ascii="Trebuchet MS"/>
          <w:sz w:val="29"/>
        </w:rPr>
      </w:pPr>
    </w:p>
    <w:p>
      <w:pPr>
        <w:pStyle w:val="BodyText"/>
        <w:spacing w:line="292" w:lineRule="auto"/>
        <w:ind w:left="830" w:right="756"/>
        <w:jc w:val="both"/>
      </w:pPr>
      <w:r>
        <w:rPr>
          <w:color w:val="231F20"/>
        </w:rPr>
        <w:t>Microeconomics is less glamorous than macroeconomics but is a </w:t>
      </w:r>
      <w:r>
        <w:rPr>
          <w:color w:val="231F20"/>
        </w:rPr>
        <w:t>lit- tle more practical. Since most of us are not likely to have a macro- effect on a whole economy, it is better if we concentrate on the few basic concepts that make up microeconomic knowledge.</w:t>
      </w:r>
    </w:p>
    <w:p>
      <w:pPr>
        <w:pStyle w:val="BodyText"/>
        <w:rPr>
          <w:sz w:val="24"/>
        </w:rPr>
      </w:pPr>
    </w:p>
    <w:p>
      <w:pPr>
        <w:pStyle w:val="BodyText"/>
        <w:spacing w:before="1"/>
        <w:rPr>
          <w:sz w:val="27"/>
        </w:rPr>
      </w:pPr>
    </w:p>
    <w:p>
      <w:pPr>
        <w:pStyle w:val="Heading6"/>
        <w:ind w:left="299"/>
        <w:rPr>
          <w:i/>
        </w:rPr>
      </w:pPr>
      <w:r>
        <w:rPr>
          <w:i/>
          <w:color w:val="231F20"/>
          <w:w w:val="110"/>
        </w:rPr>
        <w:t>OPPORTUNITY</w:t>
      </w:r>
      <w:r>
        <w:rPr>
          <w:i/>
          <w:color w:val="231F20"/>
          <w:spacing w:val="28"/>
          <w:w w:val="110"/>
        </w:rPr>
        <w:t>  </w:t>
      </w:r>
      <w:r>
        <w:rPr>
          <w:i/>
          <w:color w:val="231F20"/>
          <w:spacing w:val="8"/>
          <w:w w:val="110"/>
        </w:rPr>
        <w:t>COSTS</w:t>
      </w:r>
    </w:p>
    <w:p>
      <w:pPr>
        <w:pStyle w:val="BodyText"/>
        <w:spacing w:before="2"/>
        <w:rPr>
          <w:b/>
          <w:i/>
          <w:sz w:val="30"/>
        </w:rPr>
      </w:pPr>
    </w:p>
    <w:p>
      <w:pPr>
        <w:pStyle w:val="BodyText"/>
        <w:spacing w:line="292" w:lineRule="auto"/>
        <w:ind w:left="830" w:right="754"/>
        <w:jc w:val="both"/>
        <w:rPr>
          <w:i/>
        </w:rPr>
      </w:pPr>
      <w:r>
        <w:rPr>
          <w:color w:val="231F20"/>
        </w:rPr>
        <w:t>Because</w:t>
      </w:r>
      <w:r>
        <w:rPr>
          <w:color w:val="231F20"/>
          <w:spacing w:val="-4"/>
        </w:rPr>
        <w:t> </w:t>
      </w:r>
      <w:r>
        <w:rPr>
          <w:color w:val="231F20"/>
        </w:rPr>
        <w:t>our</w:t>
      </w:r>
      <w:r>
        <w:rPr>
          <w:color w:val="231F20"/>
          <w:spacing w:val="-4"/>
        </w:rPr>
        <w:t> </w:t>
      </w:r>
      <w:r>
        <w:rPr>
          <w:color w:val="231F20"/>
        </w:rPr>
        <w:t>appetites</w:t>
      </w:r>
      <w:r>
        <w:rPr>
          <w:color w:val="231F20"/>
          <w:spacing w:val="-4"/>
        </w:rPr>
        <w:t> </w:t>
      </w:r>
      <w:r>
        <w:rPr>
          <w:color w:val="231F20"/>
        </w:rPr>
        <w:t>for</w:t>
      </w:r>
      <w:r>
        <w:rPr>
          <w:color w:val="231F20"/>
          <w:spacing w:val="-4"/>
        </w:rPr>
        <w:t> </w:t>
      </w:r>
      <w:r>
        <w:rPr>
          <w:color w:val="231F20"/>
        </w:rPr>
        <w:t>goods</w:t>
      </w:r>
      <w:r>
        <w:rPr>
          <w:color w:val="231F20"/>
          <w:spacing w:val="-4"/>
        </w:rPr>
        <w:t> </w:t>
      </w:r>
      <w:r>
        <w:rPr>
          <w:color w:val="231F20"/>
        </w:rPr>
        <w:t>and</w:t>
      </w:r>
      <w:r>
        <w:rPr>
          <w:color w:val="231F20"/>
          <w:spacing w:val="-4"/>
        </w:rPr>
        <w:t> </w:t>
      </w:r>
      <w:r>
        <w:rPr>
          <w:color w:val="231F20"/>
        </w:rPr>
        <w:t>services</w:t>
      </w:r>
      <w:r>
        <w:rPr>
          <w:color w:val="231F20"/>
          <w:spacing w:val="-4"/>
        </w:rPr>
        <w:t> </w:t>
      </w:r>
      <w:r>
        <w:rPr>
          <w:color w:val="231F20"/>
        </w:rPr>
        <w:t>are</w:t>
      </w:r>
      <w:r>
        <w:rPr>
          <w:color w:val="231F20"/>
          <w:spacing w:val="-4"/>
        </w:rPr>
        <w:t> </w:t>
      </w:r>
      <w:r>
        <w:rPr>
          <w:color w:val="231F20"/>
        </w:rPr>
        <w:t>insatiable,</w:t>
      </w:r>
      <w:r>
        <w:rPr>
          <w:color w:val="231F20"/>
          <w:spacing w:val="-4"/>
        </w:rPr>
        <w:t> </w:t>
      </w:r>
      <w:r>
        <w:rPr>
          <w:color w:val="231F20"/>
        </w:rPr>
        <w:t>decisions have to be made to determine how to allocate limited resources.</w:t>
      </w:r>
      <w:r>
        <w:rPr>
          <w:color w:val="231F20"/>
          <w:spacing w:val="40"/>
        </w:rPr>
        <w:t> </w:t>
      </w:r>
      <w:r>
        <w:rPr>
          <w:color w:val="231F20"/>
        </w:rPr>
        <w:t>Most often, the increase in production of a good or service requires that a cost or sacrifice be incurred. Economists call these costs </w:t>
      </w:r>
      <w:r>
        <w:rPr>
          <w:i/>
          <w:color w:val="231F20"/>
        </w:rPr>
        <w:t>op-</w:t>
      </w:r>
      <w:r>
        <w:rPr>
          <w:i/>
          <w:color w:val="231F20"/>
        </w:rPr>
        <w:t> portunity costs.</w:t>
      </w:r>
    </w:p>
    <w:p>
      <w:pPr>
        <w:pStyle w:val="BodyText"/>
        <w:spacing w:line="292" w:lineRule="auto"/>
        <w:ind w:left="830" w:right="753" w:firstLine="340"/>
        <w:jc w:val="both"/>
      </w:pPr>
      <w:r>
        <w:rPr>
          <w:color w:val="231F20"/>
        </w:rPr>
        <w:t>For example, in the 1990s the demand for Harley-Davidson mo- torcycles had the company’s factories operating at 100 percent of ca- pacity. Harley controlled 60 percent of the big-ticket, big-bike</w:t>
      </w:r>
      <w:r>
        <w:rPr>
          <w:color w:val="231F20"/>
          <w:spacing w:val="40"/>
        </w:rPr>
        <w:t> </w:t>
      </w:r>
      <w:r>
        <w:rPr>
          <w:color w:val="231F20"/>
        </w:rPr>
        <w:t>market, and management was forced to decide how best to </w:t>
      </w:r>
      <w:r>
        <w:rPr>
          <w:color w:val="231F20"/>
        </w:rPr>
        <w:t>allocate limited production capacity to satisfy demand. They chose to pro- duce several models for sale in the United States and abroad. As a re- sult,</w:t>
      </w:r>
      <w:r>
        <w:rPr>
          <w:color w:val="231F20"/>
          <w:spacing w:val="38"/>
        </w:rPr>
        <w:t>  </w:t>
      </w:r>
      <w:r>
        <w:rPr>
          <w:color w:val="231F20"/>
        </w:rPr>
        <w:t>Harley-Davidson</w:t>
      </w:r>
      <w:r>
        <w:rPr>
          <w:color w:val="231F20"/>
          <w:spacing w:val="38"/>
        </w:rPr>
        <w:t>  </w:t>
      </w:r>
      <w:r>
        <w:rPr>
          <w:color w:val="231F20"/>
        </w:rPr>
        <w:t>incurred</w:t>
      </w:r>
      <w:r>
        <w:rPr>
          <w:color w:val="231F20"/>
          <w:spacing w:val="38"/>
        </w:rPr>
        <w:t>  </w:t>
      </w:r>
      <w:r>
        <w:rPr>
          <w:color w:val="231F20"/>
        </w:rPr>
        <w:t>a</w:t>
      </w:r>
      <w:r>
        <w:rPr>
          <w:color w:val="231F20"/>
          <w:spacing w:val="38"/>
        </w:rPr>
        <w:t>  </w:t>
      </w:r>
      <w:r>
        <w:rPr>
          <w:color w:val="231F20"/>
        </w:rPr>
        <w:t>significant</w:t>
      </w:r>
      <w:r>
        <w:rPr>
          <w:color w:val="231F20"/>
          <w:spacing w:val="38"/>
        </w:rPr>
        <w:t>  </w:t>
      </w:r>
      <w:r>
        <w:rPr>
          <w:color w:val="231F20"/>
        </w:rPr>
        <w:t>opportunity</w:t>
      </w:r>
      <w:r>
        <w:rPr>
          <w:color w:val="231F20"/>
          <w:spacing w:val="39"/>
        </w:rPr>
        <w:t>  </w:t>
      </w:r>
      <w:r>
        <w:rPr>
          <w:color w:val="231F20"/>
          <w:spacing w:val="-4"/>
        </w:rPr>
        <w:t>cost</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3"/>
        <w:jc w:val="both"/>
      </w:pPr>
      <w:r>
        <w:rPr>
          <w:color w:val="231F20"/>
        </w:rPr>
        <w:t>because the company decided not to devote its entire capacity to </w:t>
      </w:r>
      <w:r>
        <w:rPr>
          <w:color w:val="231F20"/>
        </w:rPr>
        <w:t>its most expensive and profitable models for export to Japan. Had</w:t>
      </w:r>
      <w:r>
        <w:rPr>
          <w:color w:val="231F20"/>
          <w:spacing w:val="40"/>
        </w:rPr>
        <w:t> </w:t>
      </w:r>
      <w:r>
        <w:rPr>
          <w:color w:val="231F20"/>
        </w:rPr>
        <w:t>Harley tried to maximize short-term profits, it would have risked alienating the domestic market of devoted bikers—</w:t>
      </w:r>
      <w:r>
        <w:rPr>
          <w:color w:val="231F20"/>
          <w:spacing w:val="-12"/>
        </w:rPr>
        <w:t> </w:t>
      </w:r>
      <w:r>
        <w:rPr>
          <w:color w:val="231F20"/>
        </w:rPr>
        <w:t>the very group that helped create the Harley mystique that the Japanese are buying. Opportunity cost, therefore, is the cost of choice, when output, time, and money are limited.</w:t>
      </w:r>
    </w:p>
    <w:p>
      <w:pPr>
        <w:pStyle w:val="BodyText"/>
        <w:rPr>
          <w:sz w:val="24"/>
        </w:rPr>
      </w:pPr>
    </w:p>
    <w:p>
      <w:pPr>
        <w:pStyle w:val="BodyText"/>
        <w:spacing w:before="11"/>
        <w:rPr>
          <w:sz w:val="26"/>
        </w:rPr>
      </w:pPr>
    </w:p>
    <w:p>
      <w:pPr>
        <w:pStyle w:val="Heading6"/>
        <w:rPr>
          <w:i/>
        </w:rPr>
      </w:pPr>
      <w:r>
        <w:rPr>
          <w:i/>
          <w:color w:val="231F20"/>
          <w:w w:val="110"/>
        </w:rPr>
        <w:t>MARGINAL</w:t>
      </w:r>
      <w:r>
        <w:rPr>
          <w:i/>
          <w:color w:val="231F20"/>
          <w:spacing w:val="70"/>
          <w:w w:val="110"/>
        </w:rPr>
        <w:t> </w:t>
      </w:r>
      <w:r>
        <w:rPr>
          <w:i/>
          <w:color w:val="231F20"/>
          <w:w w:val="110"/>
        </w:rPr>
        <w:t>REVENUE</w:t>
      </w:r>
      <w:r>
        <w:rPr>
          <w:i/>
          <w:color w:val="231F20"/>
          <w:spacing w:val="71"/>
          <w:w w:val="110"/>
        </w:rPr>
        <w:t> </w:t>
      </w:r>
      <w:r>
        <w:rPr>
          <w:i/>
          <w:color w:val="231F20"/>
          <w:w w:val="110"/>
        </w:rPr>
        <w:t>AND</w:t>
      </w:r>
      <w:r>
        <w:rPr>
          <w:i/>
          <w:color w:val="231F20"/>
          <w:spacing w:val="71"/>
          <w:w w:val="110"/>
        </w:rPr>
        <w:t> </w:t>
      </w:r>
      <w:r>
        <w:rPr>
          <w:i/>
          <w:color w:val="231F20"/>
          <w:spacing w:val="6"/>
          <w:w w:val="110"/>
        </w:rPr>
        <w:t>COST</w:t>
      </w:r>
    </w:p>
    <w:p>
      <w:pPr>
        <w:pStyle w:val="BodyText"/>
        <w:spacing w:before="2"/>
        <w:rPr>
          <w:b/>
          <w:i/>
          <w:sz w:val="30"/>
        </w:rPr>
      </w:pPr>
    </w:p>
    <w:p>
      <w:pPr>
        <w:spacing w:line="292" w:lineRule="auto" w:before="0"/>
        <w:ind w:left="919" w:right="666" w:firstLine="0"/>
        <w:jc w:val="both"/>
        <w:rPr>
          <w:sz w:val="21"/>
        </w:rPr>
      </w:pPr>
      <w:r>
        <w:rPr>
          <w:color w:val="231F20"/>
          <w:sz w:val="21"/>
        </w:rPr>
        <w:t>A concept closely associated with opportunity cost is </w:t>
      </w:r>
      <w:r>
        <w:rPr>
          <w:i/>
          <w:color w:val="231F20"/>
          <w:sz w:val="21"/>
        </w:rPr>
        <w:t>marginal rev-</w:t>
      </w:r>
      <w:r>
        <w:rPr>
          <w:i/>
          <w:color w:val="231F20"/>
          <w:sz w:val="21"/>
        </w:rPr>
        <w:t> enue and marginal cost. </w:t>
      </w:r>
      <w:r>
        <w:rPr>
          <w:color w:val="231F20"/>
          <w:sz w:val="21"/>
        </w:rPr>
        <w:t>Companies are motivated to maximize </w:t>
      </w:r>
      <w:r>
        <w:rPr>
          <w:color w:val="231F20"/>
          <w:sz w:val="21"/>
        </w:rPr>
        <w:t>total profits by maximizing revenues and minimizing costs. If a business has the </w:t>
      </w:r>
      <w:r>
        <w:rPr>
          <w:i/>
          <w:color w:val="231F20"/>
          <w:sz w:val="21"/>
        </w:rPr>
        <w:t>opportunity </w:t>
      </w:r>
      <w:r>
        <w:rPr>
          <w:color w:val="231F20"/>
          <w:sz w:val="21"/>
        </w:rPr>
        <w:t>to sell even a single additional unit at a profit, it should produce it. The </w:t>
      </w:r>
      <w:r>
        <w:rPr>
          <w:i/>
          <w:color w:val="231F20"/>
          <w:sz w:val="21"/>
        </w:rPr>
        <w:t>marginal revenue </w:t>
      </w:r>
      <w:r>
        <w:rPr>
          <w:color w:val="231F20"/>
          <w:sz w:val="21"/>
        </w:rPr>
        <w:t>(MR) from the sale should exceed the </w:t>
      </w:r>
      <w:r>
        <w:rPr>
          <w:i/>
          <w:color w:val="231F20"/>
          <w:sz w:val="21"/>
        </w:rPr>
        <w:t>marginal cost </w:t>
      </w:r>
      <w:r>
        <w:rPr>
          <w:color w:val="231F20"/>
          <w:sz w:val="21"/>
        </w:rPr>
        <w:t>(MC) to produce.</w:t>
      </w:r>
    </w:p>
    <w:p>
      <w:pPr>
        <w:pStyle w:val="BodyText"/>
        <w:spacing w:line="292" w:lineRule="auto"/>
        <w:ind w:left="920" w:right="663" w:firstLine="340"/>
        <w:jc w:val="both"/>
      </w:pPr>
      <w:r>
        <w:rPr>
          <w:color w:val="231F20"/>
          <w:w w:val="105"/>
        </w:rPr>
        <w:t>Enterprises</w:t>
      </w:r>
      <w:r>
        <w:rPr>
          <w:color w:val="231F20"/>
          <w:w w:val="105"/>
        </w:rPr>
        <w:t> should</w:t>
      </w:r>
      <w:r>
        <w:rPr>
          <w:color w:val="231F20"/>
          <w:w w:val="105"/>
        </w:rPr>
        <w:t> continue</w:t>
      </w:r>
      <w:r>
        <w:rPr>
          <w:color w:val="231F20"/>
          <w:w w:val="105"/>
        </w:rPr>
        <w:t> to</w:t>
      </w:r>
      <w:r>
        <w:rPr>
          <w:color w:val="231F20"/>
          <w:w w:val="105"/>
        </w:rPr>
        <w:t> produce</w:t>
      </w:r>
      <w:r>
        <w:rPr>
          <w:color w:val="231F20"/>
          <w:w w:val="105"/>
        </w:rPr>
        <w:t> until</w:t>
      </w:r>
      <w:r>
        <w:rPr>
          <w:color w:val="231F20"/>
          <w:w w:val="105"/>
        </w:rPr>
        <w:t> their</w:t>
      </w:r>
      <w:r>
        <w:rPr>
          <w:color w:val="231F20"/>
          <w:w w:val="105"/>
        </w:rPr>
        <w:t> MR</w:t>
      </w:r>
      <w:r>
        <w:rPr>
          <w:color w:val="231F20"/>
          <w:w w:val="105"/>
        </w:rPr>
        <w:t> equals their</w:t>
      </w:r>
      <w:r>
        <w:rPr>
          <w:color w:val="231F20"/>
          <w:w w:val="105"/>
        </w:rPr>
        <w:t> MC.</w:t>
      </w:r>
      <w:r>
        <w:rPr>
          <w:color w:val="231F20"/>
          <w:w w:val="105"/>
        </w:rPr>
        <w:t> At</w:t>
      </w:r>
      <w:r>
        <w:rPr>
          <w:color w:val="231F20"/>
          <w:w w:val="105"/>
        </w:rPr>
        <w:t> that</w:t>
      </w:r>
      <w:r>
        <w:rPr>
          <w:color w:val="231F20"/>
          <w:w w:val="105"/>
        </w:rPr>
        <w:t> point</w:t>
      </w:r>
      <w:r>
        <w:rPr>
          <w:color w:val="231F20"/>
          <w:w w:val="105"/>
        </w:rPr>
        <w:t> of</w:t>
      </w:r>
      <w:r>
        <w:rPr>
          <w:color w:val="231F20"/>
          <w:w w:val="105"/>
        </w:rPr>
        <w:t> equilibrium</w:t>
      </w:r>
      <w:r>
        <w:rPr>
          <w:color w:val="231F20"/>
          <w:w w:val="105"/>
        </w:rPr>
        <w:t> the</w:t>
      </w:r>
      <w:r>
        <w:rPr>
          <w:color w:val="231F20"/>
          <w:w w:val="105"/>
        </w:rPr>
        <w:t> marginal</w:t>
      </w:r>
      <w:r>
        <w:rPr>
          <w:color w:val="231F20"/>
          <w:w w:val="105"/>
        </w:rPr>
        <w:t> profit</w:t>
      </w:r>
      <w:r>
        <w:rPr>
          <w:color w:val="231F20"/>
          <w:w w:val="105"/>
        </w:rPr>
        <w:t> on</w:t>
      </w:r>
      <w:r>
        <w:rPr>
          <w:color w:val="231F20"/>
          <w:w w:val="105"/>
        </w:rPr>
        <w:t> the next unit sold will equal zero. No profits are left on the table. Past that</w:t>
      </w:r>
      <w:r>
        <w:rPr>
          <w:color w:val="231F20"/>
          <w:w w:val="105"/>
        </w:rPr>
        <w:t> level,</w:t>
      </w:r>
      <w:r>
        <w:rPr>
          <w:color w:val="231F20"/>
          <w:w w:val="105"/>
        </w:rPr>
        <w:t> the</w:t>
      </w:r>
      <w:r>
        <w:rPr>
          <w:color w:val="231F20"/>
          <w:w w:val="105"/>
        </w:rPr>
        <w:t> marginal</w:t>
      </w:r>
      <w:r>
        <w:rPr>
          <w:color w:val="231F20"/>
          <w:w w:val="105"/>
        </w:rPr>
        <w:t> revenue</w:t>
      </w:r>
      <w:r>
        <w:rPr>
          <w:color w:val="231F20"/>
          <w:w w:val="105"/>
        </w:rPr>
        <w:t> of</w:t>
      </w:r>
      <w:r>
        <w:rPr>
          <w:color w:val="231F20"/>
          <w:w w:val="105"/>
        </w:rPr>
        <w:t> each</w:t>
      </w:r>
      <w:r>
        <w:rPr>
          <w:color w:val="231F20"/>
          <w:w w:val="105"/>
        </w:rPr>
        <w:t> additional</w:t>
      </w:r>
      <w:r>
        <w:rPr>
          <w:color w:val="231F20"/>
          <w:w w:val="105"/>
        </w:rPr>
        <w:t> unit</w:t>
      </w:r>
      <w:r>
        <w:rPr>
          <w:color w:val="231F20"/>
          <w:w w:val="105"/>
        </w:rPr>
        <w:t> sold</w:t>
      </w:r>
      <w:r>
        <w:rPr>
          <w:color w:val="231F20"/>
          <w:w w:val="105"/>
        </w:rPr>
        <w:t> de- </w:t>
      </w:r>
      <w:r>
        <w:rPr>
          <w:color w:val="231F20"/>
        </w:rPr>
        <w:t>creases and the marginal cost increases. Experience tells us that the more units businesses try to push on the market, the less the market </w:t>
      </w:r>
      <w:r>
        <w:rPr>
          <w:color w:val="231F20"/>
          <w:w w:val="105"/>
        </w:rPr>
        <w:t>is</w:t>
      </w:r>
      <w:r>
        <w:rPr>
          <w:color w:val="231F20"/>
          <w:w w:val="105"/>
        </w:rPr>
        <w:t> willing</w:t>
      </w:r>
      <w:r>
        <w:rPr>
          <w:color w:val="231F20"/>
          <w:w w:val="105"/>
        </w:rPr>
        <w:t> to</w:t>
      </w:r>
      <w:r>
        <w:rPr>
          <w:color w:val="231F20"/>
          <w:w w:val="105"/>
        </w:rPr>
        <w:t> pay</w:t>
      </w:r>
      <w:r>
        <w:rPr>
          <w:color w:val="231F20"/>
          <w:w w:val="105"/>
        </w:rPr>
        <w:t> for</w:t>
      </w:r>
      <w:r>
        <w:rPr>
          <w:color w:val="231F20"/>
          <w:w w:val="105"/>
        </w:rPr>
        <w:t> these</w:t>
      </w:r>
      <w:r>
        <w:rPr>
          <w:color w:val="231F20"/>
          <w:w w:val="105"/>
        </w:rPr>
        <w:t> goods.</w:t>
      </w:r>
      <w:r>
        <w:rPr>
          <w:color w:val="231F20"/>
          <w:w w:val="105"/>
        </w:rPr>
        <w:t> The</w:t>
      </w:r>
      <w:r>
        <w:rPr>
          <w:color w:val="231F20"/>
          <w:w w:val="105"/>
        </w:rPr>
        <w:t> cost</w:t>
      </w:r>
      <w:r>
        <w:rPr>
          <w:color w:val="231F20"/>
          <w:w w:val="105"/>
        </w:rPr>
        <w:t> of</w:t>
      </w:r>
      <w:r>
        <w:rPr>
          <w:color w:val="231F20"/>
          <w:w w:val="105"/>
        </w:rPr>
        <w:t> producing</w:t>
      </w:r>
      <w:r>
        <w:rPr>
          <w:color w:val="231F20"/>
          <w:w w:val="105"/>
        </w:rPr>
        <w:t> one</w:t>
      </w:r>
      <w:r>
        <w:rPr>
          <w:color w:val="231F20"/>
          <w:w w:val="105"/>
        </w:rPr>
        <w:t> addi- tional</w:t>
      </w:r>
      <w:r>
        <w:rPr>
          <w:color w:val="231F20"/>
          <w:spacing w:val="-3"/>
          <w:w w:val="105"/>
        </w:rPr>
        <w:t> </w:t>
      </w:r>
      <w:r>
        <w:rPr>
          <w:color w:val="231F20"/>
          <w:w w:val="105"/>
        </w:rPr>
        <w:t>unit</w:t>
      </w:r>
      <w:r>
        <w:rPr>
          <w:color w:val="231F20"/>
          <w:spacing w:val="-3"/>
          <w:w w:val="105"/>
        </w:rPr>
        <w:t> </w:t>
      </w:r>
      <w:r>
        <w:rPr>
          <w:color w:val="231F20"/>
          <w:w w:val="105"/>
        </w:rPr>
        <w:t>is</w:t>
      </w:r>
      <w:r>
        <w:rPr>
          <w:color w:val="231F20"/>
          <w:spacing w:val="-3"/>
          <w:w w:val="105"/>
        </w:rPr>
        <w:t> </w:t>
      </w:r>
      <w:r>
        <w:rPr>
          <w:color w:val="231F20"/>
          <w:w w:val="105"/>
        </w:rPr>
        <w:t>minimal.</w:t>
      </w:r>
      <w:r>
        <w:rPr>
          <w:color w:val="231F20"/>
          <w:spacing w:val="-3"/>
          <w:w w:val="105"/>
        </w:rPr>
        <w:t> </w:t>
      </w:r>
      <w:r>
        <w:rPr>
          <w:color w:val="231F20"/>
          <w:w w:val="105"/>
        </w:rPr>
        <w:t>But</w:t>
      </w:r>
      <w:r>
        <w:rPr>
          <w:color w:val="231F20"/>
          <w:spacing w:val="-3"/>
          <w:w w:val="105"/>
        </w:rPr>
        <w:t> </w:t>
      </w:r>
      <w:r>
        <w:rPr>
          <w:color w:val="231F20"/>
          <w:w w:val="105"/>
        </w:rPr>
        <w:t>if</w:t>
      </w:r>
      <w:r>
        <w:rPr>
          <w:color w:val="231F20"/>
          <w:spacing w:val="-3"/>
          <w:w w:val="105"/>
        </w:rPr>
        <w:t> </w:t>
      </w:r>
      <w:r>
        <w:rPr>
          <w:color w:val="231F20"/>
          <w:w w:val="105"/>
        </w:rPr>
        <w:t>there</w:t>
      </w:r>
      <w:r>
        <w:rPr>
          <w:color w:val="231F20"/>
          <w:spacing w:val="-3"/>
          <w:w w:val="105"/>
        </w:rPr>
        <w:t> </w:t>
      </w:r>
      <w:r>
        <w:rPr>
          <w:color w:val="231F20"/>
          <w:w w:val="105"/>
        </w:rPr>
        <w:t>is</w:t>
      </w:r>
      <w:r>
        <w:rPr>
          <w:color w:val="231F20"/>
          <w:spacing w:val="-3"/>
          <w:w w:val="105"/>
        </w:rPr>
        <w:t> </w:t>
      </w:r>
      <w:r>
        <w:rPr>
          <w:color w:val="231F20"/>
          <w:w w:val="105"/>
        </w:rPr>
        <w:t>no</w:t>
      </w:r>
      <w:r>
        <w:rPr>
          <w:color w:val="231F20"/>
          <w:spacing w:val="-3"/>
          <w:w w:val="105"/>
        </w:rPr>
        <w:t> </w:t>
      </w:r>
      <w:r>
        <w:rPr>
          <w:color w:val="231F20"/>
          <w:w w:val="105"/>
        </w:rPr>
        <w:t>excess</w:t>
      </w:r>
      <w:r>
        <w:rPr>
          <w:color w:val="231F20"/>
          <w:spacing w:val="-3"/>
          <w:w w:val="105"/>
        </w:rPr>
        <w:t> </w:t>
      </w:r>
      <w:r>
        <w:rPr>
          <w:color w:val="231F20"/>
          <w:w w:val="105"/>
        </w:rPr>
        <w:t>capacity</w:t>
      </w:r>
      <w:r>
        <w:rPr>
          <w:color w:val="231F20"/>
          <w:spacing w:val="-3"/>
          <w:w w:val="105"/>
        </w:rPr>
        <w:t> </w:t>
      </w:r>
      <w:r>
        <w:rPr>
          <w:color w:val="231F20"/>
          <w:w w:val="105"/>
        </w:rPr>
        <w:t>and</w:t>
      </w:r>
      <w:r>
        <w:rPr>
          <w:color w:val="231F20"/>
          <w:spacing w:val="-3"/>
          <w:w w:val="105"/>
        </w:rPr>
        <w:t> </w:t>
      </w:r>
      <w:r>
        <w:rPr>
          <w:color w:val="231F20"/>
          <w:w w:val="105"/>
        </w:rPr>
        <w:t>a</w:t>
      </w:r>
      <w:r>
        <w:rPr>
          <w:color w:val="231F20"/>
          <w:spacing w:val="-3"/>
          <w:w w:val="105"/>
        </w:rPr>
        <w:t> </w:t>
      </w:r>
      <w:r>
        <w:rPr>
          <w:color w:val="231F20"/>
          <w:w w:val="105"/>
        </w:rPr>
        <w:t>com- pany</w:t>
      </w:r>
      <w:r>
        <w:rPr>
          <w:color w:val="231F20"/>
          <w:w w:val="105"/>
        </w:rPr>
        <w:t> wants</w:t>
      </w:r>
      <w:r>
        <w:rPr>
          <w:color w:val="231F20"/>
          <w:w w:val="105"/>
        </w:rPr>
        <w:t> to</w:t>
      </w:r>
      <w:r>
        <w:rPr>
          <w:color w:val="231F20"/>
          <w:w w:val="105"/>
        </w:rPr>
        <w:t> produce</w:t>
      </w:r>
      <w:r>
        <w:rPr>
          <w:color w:val="231F20"/>
          <w:w w:val="105"/>
        </w:rPr>
        <w:t> more</w:t>
      </w:r>
      <w:r>
        <w:rPr>
          <w:color w:val="231F20"/>
          <w:w w:val="105"/>
        </w:rPr>
        <w:t> units,</w:t>
      </w:r>
      <w:r>
        <w:rPr>
          <w:color w:val="231F20"/>
          <w:w w:val="105"/>
        </w:rPr>
        <w:t> new</w:t>
      </w:r>
      <w:r>
        <w:rPr>
          <w:color w:val="231F20"/>
          <w:w w:val="105"/>
        </w:rPr>
        <w:t> workers</w:t>
      </w:r>
      <w:r>
        <w:rPr>
          <w:color w:val="231F20"/>
          <w:w w:val="105"/>
        </w:rPr>
        <w:t> will</w:t>
      </w:r>
      <w:r>
        <w:rPr>
          <w:color w:val="231F20"/>
          <w:w w:val="105"/>
        </w:rPr>
        <w:t> need</w:t>
      </w:r>
      <w:r>
        <w:rPr>
          <w:color w:val="231F20"/>
          <w:w w:val="105"/>
        </w:rPr>
        <w:t> to</w:t>
      </w:r>
      <w:r>
        <w:rPr>
          <w:color w:val="231F20"/>
          <w:w w:val="105"/>
        </w:rPr>
        <w:t> be hired,</w:t>
      </w:r>
      <w:r>
        <w:rPr>
          <w:color w:val="231F20"/>
          <w:w w:val="105"/>
        </w:rPr>
        <w:t> new</w:t>
      </w:r>
      <w:r>
        <w:rPr>
          <w:color w:val="231F20"/>
          <w:w w:val="105"/>
        </w:rPr>
        <w:t> equipment</w:t>
      </w:r>
      <w:r>
        <w:rPr>
          <w:color w:val="231F20"/>
          <w:w w:val="105"/>
        </w:rPr>
        <w:t> purchased,</w:t>
      </w:r>
      <w:r>
        <w:rPr>
          <w:color w:val="231F20"/>
          <w:w w:val="105"/>
        </w:rPr>
        <w:t> and</w:t>
      </w:r>
      <w:r>
        <w:rPr>
          <w:color w:val="231F20"/>
          <w:w w:val="105"/>
        </w:rPr>
        <w:t> a</w:t>
      </w:r>
      <w:r>
        <w:rPr>
          <w:color w:val="231F20"/>
          <w:w w:val="105"/>
        </w:rPr>
        <w:t> larger</w:t>
      </w:r>
      <w:r>
        <w:rPr>
          <w:color w:val="231F20"/>
          <w:w w:val="105"/>
        </w:rPr>
        <w:t> factory</w:t>
      </w:r>
      <w:r>
        <w:rPr>
          <w:color w:val="231F20"/>
          <w:w w:val="105"/>
        </w:rPr>
        <w:t> leased</w:t>
      </w:r>
      <w:r>
        <w:rPr>
          <w:color w:val="231F20"/>
          <w:w w:val="105"/>
        </w:rPr>
        <w:t> or built.</w:t>
      </w:r>
      <w:r>
        <w:rPr>
          <w:color w:val="231F20"/>
          <w:spacing w:val="-4"/>
          <w:w w:val="105"/>
        </w:rPr>
        <w:t> </w:t>
      </w:r>
      <w:r>
        <w:rPr>
          <w:color w:val="231F20"/>
          <w:w w:val="105"/>
        </w:rPr>
        <w:t>Therefore,</w:t>
      </w:r>
      <w:r>
        <w:rPr>
          <w:color w:val="231F20"/>
          <w:spacing w:val="-4"/>
          <w:w w:val="105"/>
        </w:rPr>
        <w:t> </w:t>
      </w:r>
      <w:r>
        <w:rPr>
          <w:color w:val="231F20"/>
          <w:w w:val="105"/>
        </w:rPr>
        <w:t>once</w:t>
      </w:r>
      <w:r>
        <w:rPr>
          <w:color w:val="231F20"/>
          <w:spacing w:val="-4"/>
          <w:w w:val="105"/>
        </w:rPr>
        <w:t> </w:t>
      </w:r>
      <w:r>
        <w:rPr>
          <w:color w:val="231F20"/>
          <w:w w:val="105"/>
        </w:rPr>
        <w:t>a</w:t>
      </w:r>
      <w:r>
        <w:rPr>
          <w:color w:val="231F20"/>
          <w:spacing w:val="-4"/>
          <w:w w:val="105"/>
        </w:rPr>
        <w:t> </w:t>
      </w:r>
      <w:r>
        <w:rPr>
          <w:color w:val="231F20"/>
          <w:w w:val="105"/>
        </w:rPr>
        <w:t>factory</w:t>
      </w:r>
      <w:r>
        <w:rPr>
          <w:color w:val="231F20"/>
          <w:spacing w:val="-4"/>
          <w:w w:val="105"/>
        </w:rPr>
        <w:t> </w:t>
      </w:r>
      <w:r>
        <w:rPr>
          <w:color w:val="231F20"/>
          <w:w w:val="105"/>
        </w:rPr>
        <w:t>reaches</w:t>
      </w:r>
      <w:r>
        <w:rPr>
          <w:color w:val="231F20"/>
          <w:spacing w:val="-4"/>
          <w:w w:val="105"/>
        </w:rPr>
        <w:t> </w:t>
      </w:r>
      <w:r>
        <w:rPr>
          <w:color w:val="231F20"/>
          <w:w w:val="105"/>
        </w:rPr>
        <w:t>capacity,</w:t>
      </w:r>
      <w:r>
        <w:rPr>
          <w:color w:val="231F20"/>
          <w:spacing w:val="-4"/>
          <w:w w:val="105"/>
        </w:rPr>
        <w:t> </w:t>
      </w:r>
      <w:r>
        <w:rPr>
          <w:color w:val="231F20"/>
          <w:w w:val="105"/>
        </w:rPr>
        <w:t>the</w:t>
      </w:r>
      <w:r>
        <w:rPr>
          <w:color w:val="231F20"/>
          <w:spacing w:val="-4"/>
          <w:w w:val="105"/>
        </w:rPr>
        <w:t> </w:t>
      </w:r>
      <w:r>
        <w:rPr>
          <w:color w:val="231F20"/>
          <w:w w:val="105"/>
        </w:rPr>
        <w:t>marginal</w:t>
      </w:r>
      <w:r>
        <w:rPr>
          <w:color w:val="231F20"/>
          <w:spacing w:val="-4"/>
          <w:w w:val="105"/>
        </w:rPr>
        <w:t> </w:t>
      </w:r>
      <w:r>
        <w:rPr>
          <w:color w:val="231F20"/>
          <w:w w:val="105"/>
        </w:rPr>
        <w:t>cost of</w:t>
      </w:r>
      <w:r>
        <w:rPr>
          <w:color w:val="231F20"/>
          <w:w w:val="105"/>
        </w:rPr>
        <w:t> producing</w:t>
      </w:r>
      <w:r>
        <w:rPr>
          <w:color w:val="231F20"/>
          <w:w w:val="105"/>
        </w:rPr>
        <w:t> one</w:t>
      </w:r>
      <w:r>
        <w:rPr>
          <w:color w:val="231F20"/>
          <w:w w:val="105"/>
        </w:rPr>
        <w:t> additional</w:t>
      </w:r>
      <w:r>
        <w:rPr>
          <w:color w:val="231F20"/>
          <w:w w:val="105"/>
        </w:rPr>
        <w:t> unit</w:t>
      </w:r>
      <w:r>
        <w:rPr>
          <w:color w:val="231F20"/>
          <w:w w:val="105"/>
        </w:rPr>
        <w:t> increases</w:t>
      </w:r>
      <w:r>
        <w:rPr>
          <w:color w:val="231F20"/>
          <w:w w:val="105"/>
        </w:rPr>
        <w:t> beyond</w:t>
      </w:r>
      <w:r>
        <w:rPr>
          <w:color w:val="231F20"/>
          <w:w w:val="105"/>
        </w:rPr>
        <w:t> the</w:t>
      </w:r>
      <w:r>
        <w:rPr>
          <w:color w:val="231F20"/>
          <w:w w:val="105"/>
        </w:rPr>
        <w:t> cost</w:t>
      </w:r>
      <w:r>
        <w:rPr>
          <w:color w:val="231F20"/>
          <w:w w:val="105"/>
        </w:rPr>
        <w:t> of</w:t>
      </w:r>
      <w:r>
        <w:rPr>
          <w:color w:val="231F20"/>
          <w:w w:val="105"/>
        </w:rPr>
        <w:t> the last unit produced.</w:t>
      </w:r>
    </w:p>
    <w:p>
      <w:pPr>
        <w:pStyle w:val="BodyText"/>
        <w:spacing w:line="290" w:lineRule="auto"/>
        <w:ind w:left="920" w:right="663" w:firstLine="340"/>
        <w:jc w:val="both"/>
      </w:pPr>
      <w:r>
        <w:rPr>
          <w:color w:val="231F20"/>
        </w:rPr>
        <w:t>In</w:t>
      </w:r>
      <w:r>
        <w:rPr>
          <w:color w:val="231F20"/>
          <w:spacing w:val="26"/>
        </w:rPr>
        <w:t> </w:t>
      </w:r>
      <w:r>
        <w:rPr>
          <w:color w:val="231F20"/>
        </w:rPr>
        <w:t>the</w:t>
      </w:r>
      <w:r>
        <w:rPr>
          <w:color w:val="231F20"/>
          <w:spacing w:val="26"/>
        </w:rPr>
        <w:t> </w:t>
      </w:r>
      <w:r>
        <w:rPr>
          <w:color w:val="231F20"/>
        </w:rPr>
        <w:t>case</w:t>
      </w:r>
      <w:r>
        <w:rPr>
          <w:color w:val="231F20"/>
          <w:spacing w:val="26"/>
        </w:rPr>
        <w:t> </w:t>
      </w:r>
      <w:r>
        <w:rPr>
          <w:color w:val="231F20"/>
        </w:rPr>
        <w:t>of</w:t>
      </w:r>
      <w:r>
        <w:rPr>
          <w:color w:val="231F20"/>
          <w:spacing w:val="26"/>
        </w:rPr>
        <w:t> </w:t>
      </w:r>
      <w:r>
        <w:rPr>
          <w:color w:val="231F20"/>
        </w:rPr>
        <w:t>a</w:t>
      </w:r>
      <w:r>
        <w:rPr>
          <w:color w:val="231F20"/>
          <w:spacing w:val="26"/>
        </w:rPr>
        <w:t> </w:t>
      </w:r>
      <w:r>
        <w:rPr>
          <w:color w:val="231F20"/>
        </w:rPr>
        <w:t>cattle</w:t>
      </w:r>
      <w:r>
        <w:rPr>
          <w:color w:val="231F20"/>
          <w:spacing w:val="26"/>
        </w:rPr>
        <w:t> </w:t>
      </w:r>
      <w:r>
        <w:rPr>
          <w:color w:val="231F20"/>
        </w:rPr>
        <w:t>rancher,</w:t>
      </w:r>
      <w:r>
        <w:rPr>
          <w:color w:val="231F20"/>
          <w:spacing w:val="26"/>
        </w:rPr>
        <w:t> </w:t>
      </w:r>
      <w:r>
        <w:rPr>
          <w:color w:val="231F20"/>
        </w:rPr>
        <w:t>Bud</w:t>
      </w:r>
      <w:r>
        <w:rPr>
          <w:color w:val="231F20"/>
          <w:spacing w:val="26"/>
        </w:rPr>
        <w:t> </w:t>
      </w:r>
      <w:r>
        <w:rPr>
          <w:color w:val="231F20"/>
        </w:rPr>
        <w:t>Montana,</w:t>
      </w:r>
      <w:r>
        <w:rPr>
          <w:color w:val="231F20"/>
          <w:spacing w:val="26"/>
        </w:rPr>
        <w:t> </w:t>
      </w:r>
      <w:r>
        <w:rPr>
          <w:color w:val="231F20"/>
        </w:rPr>
        <w:t>the</w:t>
      </w:r>
      <w:r>
        <w:rPr>
          <w:color w:val="231F20"/>
          <w:spacing w:val="26"/>
        </w:rPr>
        <w:t> </w:t>
      </w:r>
      <w:r>
        <w:rPr>
          <w:color w:val="231F20"/>
        </w:rPr>
        <w:t>marginal</w:t>
      </w:r>
      <w:r>
        <w:rPr>
          <w:color w:val="231F20"/>
          <w:spacing w:val="26"/>
        </w:rPr>
        <w:t> </w:t>
      </w:r>
      <w:r>
        <w:rPr>
          <w:color w:val="231F20"/>
        </w:rPr>
        <w:t>cost of adding a steer to the herd is minimal. Fences still have to be mended and the pasture maintained. Since he is a </w:t>
      </w:r>
      <w:r>
        <w:rPr>
          <w:i/>
          <w:color w:val="231F20"/>
        </w:rPr>
        <w:t>rational </w:t>
      </w:r>
      <w:r>
        <w:rPr>
          <w:color w:val="231F20"/>
        </w:rPr>
        <w:t>decision maker, Bud will add cattle to the point that the marginal revenue from the sale of an additional steer will cover these marginal costs of raising</w:t>
      </w:r>
      <w:r>
        <w:rPr>
          <w:color w:val="231F20"/>
          <w:spacing w:val="38"/>
        </w:rPr>
        <w:t> </w:t>
      </w:r>
      <w:r>
        <w:rPr>
          <w:color w:val="231F20"/>
        </w:rPr>
        <w:t>this</w:t>
      </w:r>
      <w:r>
        <w:rPr>
          <w:color w:val="231F20"/>
          <w:spacing w:val="39"/>
        </w:rPr>
        <w:t> </w:t>
      </w:r>
      <w:r>
        <w:rPr>
          <w:color w:val="231F20"/>
        </w:rPr>
        <w:t>steer</w:t>
      </w:r>
      <w:r>
        <w:rPr>
          <w:color w:val="231F20"/>
          <w:spacing w:val="38"/>
        </w:rPr>
        <w:t> </w:t>
      </w:r>
      <w:r>
        <w:rPr>
          <w:color w:val="231F20"/>
        </w:rPr>
        <w:t>(MR</w:t>
      </w:r>
      <w:r>
        <w:rPr>
          <w:color w:val="231F20"/>
          <w:spacing w:val="38"/>
        </w:rPr>
        <w:t> </w:t>
      </w:r>
      <w:r>
        <w:rPr>
          <w:rFonts w:ascii="Symbol" w:hAnsi="Symbol"/>
          <w:color w:val="231F20"/>
        </w:rPr>
        <w:t></w:t>
      </w:r>
      <w:r>
        <w:rPr>
          <w:rFonts w:ascii="Times New Roman" w:hAnsi="Times New Roman"/>
          <w:color w:val="231F20"/>
          <w:spacing w:val="33"/>
        </w:rPr>
        <w:t> </w:t>
      </w:r>
      <w:r>
        <w:rPr>
          <w:color w:val="231F20"/>
        </w:rPr>
        <w:t>MC).</w:t>
      </w:r>
      <w:r>
        <w:rPr>
          <w:color w:val="231F20"/>
          <w:spacing w:val="38"/>
        </w:rPr>
        <w:t> </w:t>
      </w:r>
      <w:r>
        <w:rPr>
          <w:color w:val="231F20"/>
        </w:rPr>
        <w:t>If</w:t>
      </w:r>
      <w:r>
        <w:rPr>
          <w:color w:val="231F20"/>
          <w:spacing w:val="39"/>
        </w:rPr>
        <w:t> </w:t>
      </w:r>
      <w:r>
        <w:rPr>
          <w:color w:val="231F20"/>
        </w:rPr>
        <w:t>the</w:t>
      </w:r>
      <w:r>
        <w:rPr>
          <w:color w:val="231F20"/>
          <w:spacing w:val="39"/>
        </w:rPr>
        <w:t> </w:t>
      </w:r>
      <w:r>
        <w:rPr>
          <w:color w:val="231F20"/>
        </w:rPr>
        <w:t>cost</w:t>
      </w:r>
      <w:r>
        <w:rPr>
          <w:color w:val="231F20"/>
          <w:spacing w:val="38"/>
        </w:rPr>
        <w:t> </w:t>
      </w:r>
      <w:r>
        <w:rPr>
          <w:color w:val="231F20"/>
        </w:rPr>
        <w:t>of</w:t>
      </w:r>
      <w:r>
        <w:rPr>
          <w:color w:val="231F20"/>
          <w:spacing w:val="39"/>
        </w:rPr>
        <w:t> </w:t>
      </w:r>
      <w:r>
        <w:rPr>
          <w:color w:val="231F20"/>
        </w:rPr>
        <w:t>raising</w:t>
      </w:r>
      <w:r>
        <w:rPr>
          <w:color w:val="231F20"/>
          <w:spacing w:val="39"/>
        </w:rPr>
        <w:t> </w:t>
      </w:r>
      <w:r>
        <w:rPr>
          <w:color w:val="231F20"/>
        </w:rPr>
        <w:t>one</w:t>
      </w:r>
      <w:r>
        <w:rPr>
          <w:color w:val="231F20"/>
          <w:spacing w:val="38"/>
        </w:rPr>
        <w:t> </w:t>
      </w:r>
      <w:r>
        <w:rPr>
          <w:color w:val="231F20"/>
          <w:spacing w:val="-2"/>
        </w:rPr>
        <w:t>additional</w:t>
      </w:r>
    </w:p>
    <w:p>
      <w:pPr>
        <w:spacing w:after="0" w:line="290"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unit becomes higher than the current market price, then Bud </w:t>
      </w:r>
      <w:r>
        <w:rPr>
          <w:color w:val="231F20"/>
        </w:rPr>
        <w:t>Mon- tana will stop adding steers to his herd.</w:t>
      </w:r>
    </w:p>
    <w:p>
      <w:pPr>
        <w:pStyle w:val="BodyText"/>
        <w:spacing w:line="290" w:lineRule="auto"/>
        <w:ind w:left="829" w:right="754" w:firstLine="340"/>
        <w:jc w:val="both"/>
      </w:pPr>
      <w:r>
        <w:rPr>
          <w:color w:val="231F20"/>
        </w:rPr>
        <w:t>You might wonder why the demand curve is flat rather than downward sloping, as in the case of other demand curves. It is be- cause the price of beef is determined in a competitive auction. The few additional head of cattle that Bud might bring to the market will not</w:t>
      </w:r>
      <w:r>
        <w:rPr>
          <w:color w:val="231F20"/>
          <w:spacing w:val="31"/>
        </w:rPr>
        <w:t> </w:t>
      </w:r>
      <w:r>
        <w:rPr>
          <w:color w:val="231F20"/>
        </w:rPr>
        <w:t>affect</w:t>
      </w:r>
      <w:r>
        <w:rPr>
          <w:color w:val="231F20"/>
          <w:spacing w:val="31"/>
        </w:rPr>
        <w:t> </w:t>
      </w:r>
      <w:r>
        <w:rPr>
          <w:color w:val="231F20"/>
        </w:rPr>
        <w:t>the</w:t>
      </w:r>
      <w:r>
        <w:rPr>
          <w:color w:val="231F20"/>
          <w:spacing w:val="31"/>
        </w:rPr>
        <w:t> </w:t>
      </w:r>
      <w:r>
        <w:rPr>
          <w:color w:val="231F20"/>
        </w:rPr>
        <w:t>price</w:t>
      </w:r>
      <w:r>
        <w:rPr>
          <w:color w:val="231F20"/>
          <w:spacing w:val="31"/>
        </w:rPr>
        <w:t> </w:t>
      </w:r>
      <w:r>
        <w:rPr>
          <w:color w:val="231F20"/>
        </w:rPr>
        <w:t>that</w:t>
      </w:r>
      <w:r>
        <w:rPr>
          <w:color w:val="231F20"/>
          <w:spacing w:val="31"/>
        </w:rPr>
        <w:t> </w:t>
      </w:r>
      <w:r>
        <w:rPr>
          <w:color w:val="231F20"/>
        </w:rPr>
        <w:t>is</w:t>
      </w:r>
      <w:r>
        <w:rPr>
          <w:color w:val="231F20"/>
          <w:spacing w:val="31"/>
        </w:rPr>
        <w:t> </w:t>
      </w:r>
      <w:r>
        <w:rPr>
          <w:color w:val="231F20"/>
        </w:rPr>
        <w:t>determined</w:t>
      </w:r>
      <w:r>
        <w:rPr>
          <w:color w:val="231F20"/>
          <w:spacing w:val="31"/>
        </w:rPr>
        <w:t> </w:t>
      </w:r>
      <w:r>
        <w:rPr>
          <w:color w:val="231F20"/>
        </w:rPr>
        <w:t>by</w:t>
      </w:r>
      <w:r>
        <w:rPr>
          <w:color w:val="231F20"/>
          <w:spacing w:val="31"/>
        </w:rPr>
        <w:t> </w:t>
      </w:r>
      <w:r>
        <w:rPr>
          <w:color w:val="231F20"/>
        </w:rPr>
        <w:t>the</w:t>
      </w:r>
      <w:r>
        <w:rPr>
          <w:color w:val="231F20"/>
          <w:spacing w:val="31"/>
        </w:rPr>
        <w:t> </w:t>
      </w:r>
      <w:r>
        <w:rPr>
          <w:color w:val="231F20"/>
        </w:rPr>
        <w:t>output</w:t>
      </w:r>
      <w:r>
        <w:rPr>
          <w:color w:val="231F20"/>
          <w:spacing w:val="31"/>
        </w:rPr>
        <w:t> </w:t>
      </w:r>
      <w:r>
        <w:rPr>
          <w:color w:val="231F20"/>
        </w:rPr>
        <w:t>of</w:t>
      </w:r>
      <w:r>
        <w:rPr>
          <w:color w:val="231F20"/>
          <w:spacing w:val="31"/>
        </w:rPr>
        <w:t> </w:t>
      </w:r>
      <w:r>
        <w:rPr>
          <w:color w:val="231F20"/>
        </w:rPr>
        <w:t>thousands of ranchers and meat processors. If Bud had a corner on the beef market, or a monopoly, then presumably he would always produce and sell at the point where MR </w:t>
      </w:r>
      <w:r>
        <w:rPr>
          <w:rFonts w:ascii="Symbol" w:hAnsi="Symbol"/>
          <w:color w:val="231F20"/>
        </w:rPr>
        <w:t></w:t>
      </w:r>
      <w:r>
        <w:rPr>
          <w:rFonts w:ascii="Times New Roman" w:hAnsi="Times New Roman"/>
          <w:color w:val="231F20"/>
        </w:rPr>
        <w:t> </w:t>
      </w:r>
      <w:r>
        <w:rPr>
          <w:color w:val="231F20"/>
        </w:rPr>
        <w:t>MC. In that case, his marginal rev- enue curve would slope downward to the right as in the instance of the standard demand curve shown in the beer and </w:t>
      </w:r>
      <w:r>
        <w:rPr>
          <w:color w:val="231F20"/>
        </w:rPr>
        <w:t>macroeconomic </w:t>
      </w:r>
      <w:r>
        <w:rPr>
          <w:color w:val="231F20"/>
          <w:spacing w:val="-2"/>
        </w:rPr>
        <w:t>illustrations.</w:t>
      </w:r>
    </w:p>
    <w:p>
      <w:pPr>
        <w:pStyle w:val="BodyText"/>
        <w:spacing w:line="292" w:lineRule="auto" w:before="8"/>
        <w:ind w:left="829" w:right="756" w:firstLine="340"/>
        <w:jc w:val="both"/>
      </w:pPr>
      <w:r>
        <w:rPr>
          <w:color w:val="231F20"/>
        </w:rPr>
        <w:t>The marginal cost and revenue concepts would also hold true </w:t>
      </w:r>
      <w:r>
        <w:rPr>
          <w:color w:val="231F20"/>
        </w:rPr>
        <w:t>for a cookie factory manager faced with a large special order. Imagine yourself in his or her apron. The customer wants to pay $1.00 per dozen for 100 dozens to be sold at a church fair. You have some ex- cess capacity and so you go to your accountant and ask what your cost is to satisfy this order. She asserts that it would cost $1.45 per dozen. She gives you this breakdown as proof:</w:t>
      </w:r>
    </w:p>
    <w:p>
      <w:pPr>
        <w:pStyle w:val="BodyText"/>
        <w:rPr>
          <w:sz w:val="24"/>
        </w:rPr>
      </w:pPr>
    </w:p>
    <w:p>
      <w:pPr>
        <w:pStyle w:val="BodyText"/>
        <w:rPr>
          <w:sz w:val="24"/>
        </w:rPr>
      </w:pPr>
    </w:p>
    <w:p>
      <w:pPr>
        <w:pStyle w:val="BodyText"/>
        <w:rPr>
          <w:sz w:val="24"/>
        </w:rPr>
      </w:pPr>
    </w:p>
    <w:p>
      <w:pPr>
        <w:spacing w:before="191"/>
        <w:ind w:left="292" w:right="219" w:firstLine="0"/>
        <w:jc w:val="center"/>
        <w:rPr>
          <w:rFonts w:ascii="Arial"/>
          <w:sz w:val="14"/>
        </w:rPr>
      </w:pPr>
      <w:r>
        <w:rPr>
          <w:rFonts w:ascii="Arial"/>
          <w:color w:val="231F20"/>
          <w:w w:val="105"/>
          <w:sz w:val="14"/>
        </w:rPr>
        <w:t>MARGINAL</w:t>
      </w:r>
      <w:r>
        <w:rPr>
          <w:rFonts w:ascii="Arial"/>
          <w:color w:val="231F20"/>
          <w:spacing w:val="32"/>
          <w:w w:val="105"/>
          <w:sz w:val="14"/>
        </w:rPr>
        <w:t> </w:t>
      </w:r>
      <w:r>
        <w:rPr>
          <w:rFonts w:ascii="Arial"/>
          <w:color w:val="231F20"/>
          <w:w w:val="105"/>
          <w:sz w:val="14"/>
        </w:rPr>
        <w:t>REVENUE</w:t>
      </w:r>
      <w:r>
        <w:rPr>
          <w:rFonts w:ascii="Arial"/>
          <w:color w:val="231F20"/>
          <w:spacing w:val="31"/>
          <w:w w:val="105"/>
          <w:sz w:val="14"/>
        </w:rPr>
        <w:t> </w:t>
      </w:r>
      <w:r>
        <w:rPr>
          <w:rFonts w:ascii="Arial"/>
          <w:color w:val="231F20"/>
          <w:w w:val="105"/>
          <w:sz w:val="14"/>
        </w:rPr>
        <w:t>AND</w:t>
      </w:r>
      <w:r>
        <w:rPr>
          <w:rFonts w:ascii="Arial"/>
          <w:color w:val="231F20"/>
          <w:spacing w:val="32"/>
          <w:w w:val="105"/>
          <w:sz w:val="14"/>
        </w:rPr>
        <w:t> </w:t>
      </w:r>
      <w:r>
        <w:rPr>
          <w:rFonts w:ascii="Arial"/>
          <w:color w:val="231F20"/>
          <w:w w:val="105"/>
          <w:sz w:val="14"/>
        </w:rPr>
        <w:t>COST</w:t>
      </w:r>
      <w:r>
        <w:rPr>
          <w:rFonts w:ascii="Arial"/>
          <w:color w:val="231F20"/>
          <w:spacing w:val="32"/>
          <w:w w:val="105"/>
          <w:sz w:val="14"/>
        </w:rPr>
        <w:t> </w:t>
      </w:r>
      <w:r>
        <w:rPr>
          <w:rFonts w:ascii="Arial"/>
          <w:color w:val="231F20"/>
          <w:spacing w:val="-2"/>
          <w:w w:val="105"/>
          <w:sz w:val="14"/>
        </w:rPr>
        <w:t>EQUILIBRIUM</w:t>
      </w:r>
    </w:p>
    <w:p>
      <w:pPr>
        <w:pStyle w:val="BodyText"/>
        <w:rPr>
          <w:rFonts w:ascii="Arial"/>
          <w:sz w:val="13"/>
        </w:rPr>
      </w:pPr>
      <w:r>
        <w:rPr/>
        <w:drawing>
          <wp:anchor distT="0" distB="0" distL="0" distR="0" allowOverlap="1" layoutInCell="1" locked="0" behindDoc="0" simplePos="0" relativeHeight="354">
            <wp:simplePos x="0" y="0"/>
            <wp:positionH relativeFrom="page">
              <wp:posOffset>1077217</wp:posOffset>
            </wp:positionH>
            <wp:positionV relativeFrom="paragraph">
              <wp:posOffset>110208</wp:posOffset>
            </wp:positionV>
            <wp:extent cx="3242491" cy="2112264"/>
            <wp:effectExtent l="0" t="0" r="0" b="0"/>
            <wp:wrapTopAndBottom/>
            <wp:docPr id="127" name="image74.png"/>
            <wp:cNvGraphicFramePr>
              <a:graphicFrameLocks noChangeAspect="1"/>
            </wp:cNvGraphicFramePr>
            <a:graphic>
              <a:graphicData uri="http://schemas.openxmlformats.org/drawingml/2006/picture">
                <pic:pic>
                  <pic:nvPicPr>
                    <pic:cNvPr id="128" name="image74.png"/>
                    <pic:cNvPicPr/>
                  </pic:nvPicPr>
                  <pic:blipFill>
                    <a:blip r:embed="rId112" cstate="print"/>
                    <a:stretch>
                      <a:fillRect/>
                    </a:stretch>
                  </pic:blipFill>
                  <pic:spPr>
                    <a:xfrm>
                      <a:off x="0" y="0"/>
                      <a:ext cx="3242491" cy="2112264"/>
                    </a:xfrm>
                    <a:prstGeom prst="rect">
                      <a:avLst/>
                    </a:prstGeom>
                  </pic:spPr>
                </pic:pic>
              </a:graphicData>
            </a:graphic>
          </wp:anchor>
        </w:drawing>
      </w:r>
    </w:p>
    <w:p>
      <w:pPr>
        <w:spacing w:after="0"/>
        <w:rPr>
          <w:rFonts w:ascii="Arial"/>
          <w:sz w:val="13"/>
        </w:rPr>
        <w:sectPr>
          <w:pgSz w:w="8640" w:h="12960"/>
          <w:pgMar w:header="732" w:footer="0" w:top="920" w:bottom="280" w:left="340" w:right="500"/>
        </w:sectPr>
      </w:pPr>
    </w:p>
    <w:p>
      <w:pPr>
        <w:pStyle w:val="BodyText"/>
        <w:spacing w:before="8"/>
        <w:rPr>
          <w:rFonts w:ascii="Arial"/>
          <w:sz w:val="26"/>
        </w:rPr>
      </w:pPr>
    </w:p>
    <w:tbl>
      <w:tblPr>
        <w:tblW w:w="0" w:type="auto"/>
        <w:jc w:val="left"/>
        <w:tblInd w:w="2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7"/>
        <w:gridCol w:w="532"/>
      </w:tblGrid>
      <w:tr>
        <w:trPr>
          <w:trHeight w:val="274" w:hRule="atLeast"/>
        </w:trPr>
        <w:tc>
          <w:tcPr>
            <w:tcW w:w="1987" w:type="dxa"/>
          </w:tcPr>
          <w:p>
            <w:pPr>
              <w:pStyle w:val="TableParagraph"/>
              <w:spacing w:before="1"/>
              <w:ind w:left="50"/>
              <w:jc w:val="left"/>
              <w:rPr>
                <w:sz w:val="21"/>
              </w:rPr>
            </w:pPr>
            <w:r>
              <w:rPr>
                <w:color w:val="231F20"/>
                <w:w w:val="105"/>
                <w:sz w:val="21"/>
              </w:rPr>
              <w:t>Cookie</w:t>
            </w:r>
            <w:r>
              <w:rPr>
                <w:color w:val="231F20"/>
                <w:spacing w:val="28"/>
                <w:w w:val="105"/>
                <w:sz w:val="21"/>
              </w:rPr>
              <w:t> </w:t>
            </w:r>
            <w:r>
              <w:rPr>
                <w:color w:val="231F20"/>
                <w:spacing w:val="-2"/>
                <w:w w:val="105"/>
                <w:sz w:val="21"/>
              </w:rPr>
              <w:t>Batter</w:t>
            </w:r>
          </w:p>
        </w:tc>
        <w:tc>
          <w:tcPr>
            <w:tcW w:w="532" w:type="dxa"/>
          </w:tcPr>
          <w:p>
            <w:pPr>
              <w:pStyle w:val="TableParagraph"/>
              <w:spacing w:before="1"/>
              <w:ind w:right="-15"/>
              <w:jc w:val="right"/>
              <w:rPr>
                <w:sz w:val="21"/>
              </w:rPr>
            </w:pPr>
            <w:r>
              <w:rPr>
                <w:color w:val="231F20"/>
                <w:spacing w:val="-4"/>
                <w:w w:val="110"/>
                <w:sz w:val="21"/>
              </w:rPr>
              <w:t>$.80</w:t>
            </w:r>
          </w:p>
        </w:tc>
      </w:tr>
      <w:tr>
        <w:trPr>
          <w:trHeight w:val="300" w:hRule="atLeast"/>
        </w:trPr>
        <w:tc>
          <w:tcPr>
            <w:tcW w:w="1987" w:type="dxa"/>
          </w:tcPr>
          <w:p>
            <w:pPr>
              <w:pStyle w:val="TableParagraph"/>
              <w:spacing w:before="26"/>
              <w:ind w:left="50"/>
              <w:jc w:val="left"/>
              <w:rPr>
                <w:sz w:val="21"/>
              </w:rPr>
            </w:pPr>
            <w:r>
              <w:rPr>
                <w:color w:val="231F20"/>
                <w:spacing w:val="-2"/>
                <w:w w:val="105"/>
                <w:sz w:val="21"/>
              </w:rPr>
              <w:t>Labor</w:t>
            </w:r>
          </w:p>
        </w:tc>
        <w:tc>
          <w:tcPr>
            <w:tcW w:w="532" w:type="dxa"/>
          </w:tcPr>
          <w:p>
            <w:pPr>
              <w:pStyle w:val="TableParagraph"/>
              <w:spacing w:before="26"/>
              <w:ind w:right="-15"/>
              <w:jc w:val="right"/>
              <w:rPr>
                <w:sz w:val="21"/>
              </w:rPr>
            </w:pPr>
            <w:r>
              <w:rPr>
                <w:color w:val="231F20"/>
                <w:spacing w:val="-5"/>
                <w:w w:val="105"/>
                <w:sz w:val="21"/>
              </w:rPr>
              <w:t>.25</w:t>
            </w:r>
          </w:p>
        </w:tc>
      </w:tr>
      <w:tr>
        <w:trPr>
          <w:trHeight w:val="299" w:hRule="atLeast"/>
        </w:trPr>
        <w:tc>
          <w:tcPr>
            <w:tcW w:w="1987" w:type="dxa"/>
          </w:tcPr>
          <w:p>
            <w:pPr>
              <w:pStyle w:val="TableParagraph"/>
              <w:spacing w:before="26"/>
              <w:ind w:left="50"/>
              <w:jc w:val="left"/>
              <w:rPr>
                <w:sz w:val="21"/>
              </w:rPr>
            </w:pPr>
            <w:r>
              <w:rPr>
                <w:color w:val="231F20"/>
                <w:sz w:val="21"/>
              </w:rPr>
              <w:t>Factory</w:t>
            </w:r>
            <w:r>
              <w:rPr>
                <w:color w:val="231F20"/>
                <w:spacing w:val="25"/>
                <w:sz w:val="21"/>
              </w:rPr>
              <w:t> </w:t>
            </w:r>
            <w:r>
              <w:rPr>
                <w:color w:val="231F20"/>
                <w:spacing w:val="-2"/>
                <w:sz w:val="21"/>
              </w:rPr>
              <w:t>Utilities</w:t>
            </w:r>
          </w:p>
        </w:tc>
        <w:tc>
          <w:tcPr>
            <w:tcW w:w="532" w:type="dxa"/>
          </w:tcPr>
          <w:p>
            <w:pPr>
              <w:pStyle w:val="TableParagraph"/>
              <w:spacing w:before="26"/>
              <w:ind w:right="-15"/>
              <w:jc w:val="right"/>
              <w:rPr>
                <w:sz w:val="21"/>
              </w:rPr>
            </w:pPr>
            <w:r>
              <w:rPr>
                <w:color w:val="231F20"/>
                <w:spacing w:val="-5"/>
                <w:w w:val="105"/>
                <w:sz w:val="21"/>
              </w:rPr>
              <w:t>.20</w:t>
            </w:r>
          </w:p>
        </w:tc>
      </w:tr>
      <w:tr>
        <w:trPr>
          <w:trHeight w:val="306" w:hRule="atLeast"/>
        </w:trPr>
        <w:tc>
          <w:tcPr>
            <w:tcW w:w="1987" w:type="dxa"/>
          </w:tcPr>
          <w:p>
            <w:pPr>
              <w:pStyle w:val="TableParagraph"/>
              <w:spacing w:before="26"/>
              <w:ind w:left="50"/>
              <w:jc w:val="left"/>
              <w:rPr>
                <w:sz w:val="21"/>
              </w:rPr>
            </w:pPr>
            <w:r>
              <w:rPr>
                <w:color w:val="231F20"/>
                <w:sz w:val="21"/>
              </w:rPr>
              <w:t>Factory</w:t>
            </w:r>
            <w:r>
              <w:rPr>
                <w:color w:val="231F20"/>
                <w:spacing w:val="25"/>
                <w:sz w:val="21"/>
              </w:rPr>
              <w:t> </w:t>
            </w:r>
            <w:r>
              <w:rPr>
                <w:color w:val="231F20"/>
                <w:spacing w:val="-2"/>
                <w:sz w:val="21"/>
              </w:rPr>
              <w:t>Upkeep</w:t>
            </w:r>
          </w:p>
        </w:tc>
        <w:tc>
          <w:tcPr>
            <w:tcW w:w="532" w:type="dxa"/>
            <w:tcBorders>
              <w:bottom w:val="single" w:sz="4" w:space="0" w:color="231F20"/>
            </w:tcBorders>
          </w:tcPr>
          <w:p>
            <w:pPr>
              <w:pStyle w:val="TableParagraph"/>
              <w:spacing w:before="26"/>
              <w:ind w:right="-15"/>
              <w:jc w:val="right"/>
              <w:rPr>
                <w:sz w:val="21"/>
              </w:rPr>
            </w:pPr>
            <w:r>
              <w:rPr>
                <w:color w:val="231F20"/>
                <w:spacing w:val="-5"/>
                <w:w w:val="105"/>
                <w:sz w:val="21"/>
              </w:rPr>
              <w:t>.20</w:t>
            </w:r>
          </w:p>
        </w:tc>
      </w:tr>
      <w:tr>
        <w:trPr>
          <w:trHeight w:val="258" w:hRule="atLeast"/>
        </w:trPr>
        <w:tc>
          <w:tcPr>
            <w:tcW w:w="1987" w:type="dxa"/>
          </w:tcPr>
          <w:p>
            <w:pPr>
              <w:pStyle w:val="TableParagraph"/>
              <w:spacing w:line="228" w:lineRule="exact" w:before="10"/>
              <w:ind w:left="50"/>
              <w:jc w:val="left"/>
              <w:rPr>
                <w:sz w:val="21"/>
              </w:rPr>
            </w:pPr>
            <w:r>
              <w:rPr>
                <w:color w:val="231F20"/>
                <w:w w:val="105"/>
                <w:sz w:val="21"/>
              </w:rPr>
              <w:t>Total</w:t>
            </w:r>
            <w:r>
              <w:rPr>
                <w:color w:val="231F20"/>
                <w:spacing w:val="-9"/>
                <w:w w:val="105"/>
                <w:sz w:val="21"/>
              </w:rPr>
              <w:t> </w:t>
            </w:r>
            <w:r>
              <w:rPr>
                <w:color w:val="231F20"/>
                <w:spacing w:val="-4"/>
                <w:w w:val="105"/>
                <w:sz w:val="21"/>
              </w:rPr>
              <w:t>Cost</w:t>
            </w:r>
          </w:p>
        </w:tc>
        <w:tc>
          <w:tcPr>
            <w:tcW w:w="532" w:type="dxa"/>
            <w:tcBorders>
              <w:top w:val="single" w:sz="4" w:space="0" w:color="231F20"/>
            </w:tcBorders>
          </w:tcPr>
          <w:p>
            <w:pPr>
              <w:pStyle w:val="TableParagraph"/>
              <w:spacing w:line="228" w:lineRule="exact" w:before="10"/>
              <w:ind w:right="-15"/>
              <w:jc w:val="right"/>
              <w:rPr>
                <w:sz w:val="21"/>
              </w:rPr>
            </w:pPr>
            <w:r>
              <w:rPr>
                <w:color w:val="231F20"/>
                <w:spacing w:val="-4"/>
                <w:w w:val="105"/>
                <w:sz w:val="21"/>
              </w:rPr>
              <w:t>$1.45</w:t>
            </w:r>
          </w:p>
        </w:tc>
      </w:tr>
    </w:tbl>
    <w:p>
      <w:pPr>
        <w:pStyle w:val="BodyText"/>
        <w:rPr>
          <w:rFonts w:ascii="Arial"/>
          <w:sz w:val="22"/>
        </w:rPr>
      </w:pPr>
    </w:p>
    <w:p>
      <w:pPr>
        <w:pStyle w:val="BodyText"/>
        <w:spacing w:line="292" w:lineRule="auto" w:before="101"/>
        <w:ind w:left="920" w:right="665" w:firstLine="339"/>
        <w:jc w:val="both"/>
      </w:pPr>
      <w:r>
        <w:rPr>
          <w:color w:val="231F20"/>
        </w:rPr>
        <w:t>From that information you can see that the only </w:t>
      </w:r>
      <w:r>
        <w:rPr>
          <w:i/>
          <w:color w:val="231F20"/>
        </w:rPr>
        <w:t>marginal </w:t>
      </w:r>
      <w:r>
        <w:rPr>
          <w:color w:val="231F20"/>
        </w:rPr>
        <w:t>cost </w:t>
      </w:r>
      <w:r>
        <w:rPr>
          <w:color w:val="231F20"/>
        </w:rPr>
        <w:t>of running the automated cookie production line is the extra batter.</w:t>
      </w:r>
      <w:r>
        <w:rPr>
          <w:color w:val="231F20"/>
          <w:spacing w:val="80"/>
        </w:rPr>
        <w:t> </w:t>
      </w:r>
      <w:r>
        <w:rPr>
          <w:color w:val="231F20"/>
        </w:rPr>
        <w:t>The machine operator would be there anyway, and the large oven would be on anyhow. The factory would continue to require the</w:t>
      </w:r>
      <w:r>
        <w:rPr>
          <w:color w:val="231F20"/>
          <w:spacing w:val="40"/>
        </w:rPr>
        <w:t> </w:t>
      </w:r>
      <w:r>
        <w:rPr>
          <w:color w:val="231F20"/>
        </w:rPr>
        <w:t>usual maintenance.</w:t>
      </w:r>
    </w:p>
    <w:p>
      <w:pPr>
        <w:pStyle w:val="BodyText"/>
        <w:spacing w:line="292" w:lineRule="auto"/>
        <w:ind w:left="920" w:right="666" w:firstLine="340"/>
        <w:jc w:val="both"/>
      </w:pPr>
      <w:r>
        <w:rPr>
          <w:color w:val="231F20"/>
        </w:rPr>
        <w:t>The factory manager should welcome the order because he </w:t>
      </w:r>
      <w:r>
        <w:rPr>
          <w:color w:val="231F20"/>
        </w:rPr>
        <w:t>can make a marginal profit. The only reason to reject the order would be if word were to get out to regular customers that you sold the $2.00 cookies for $1.00. The rub is that if everyone paid the $1.00 special price per dozen, there would be no profits to pay for the fixed costs, such as the operator’s salary and the cost of running the factory.</w:t>
      </w:r>
    </w:p>
    <w:p>
      <w:pPr>
        <w:pStyle w:val="BodyText"/>
        <w:spacing w:line="292" w:lineRule="auto"/>
        <w:ind w:left="920" w:right="666" w:firstLine="340"/>
        <w:jc w:val="both"/>
      </w:pPr>
      <w:r>
        <w:rPr>
          <w:color w:val="231F20"/>
        </w:rPr>
        <w:t>As shown in the example of steers and cookies, “marginal” costs and revenues are critical in making “marginal” pricing and </w:t>
      </w:r>
      <w:r>
        <w:rPr>
          <w:color w:val="231F20"/>
        </w:rPr>
        <w:t>produc- tion decisions. However, to evaluate profitability of an entire busi- ness, rather than one transaction, </w:t>
      </w:r>
      <w:r>
        <w:rPr>
          <w:i/>
          <w:color w:val="231F20"/>
        </w:rPr>
        <w:t>total </w:t>
      </w:r>
      <w:r>
        <w:rPr>
          <w:color w:val="231F20"/>
        </w:rPr>
        <w:t>revenue must exceed </w:t>
      </w:r>
      <w:r>
        <w:rPr>
          <w:i/>
          <w:color w:val="231F20"/>
        </w:rPr>
        <w:t>total</w:t>
      </w:r>
      <w:r>
        <w:rPr>
          <w:i/>
          <w:color w:val="231F20"/>
        </w:rPr>
        <w:t> </w:t>
      </w:r>
      <w:r>
        <w:rPr>
          <w:color w:val="231F20"/>
        </w:rPr>
        <w:t>costs to make a bottom-line company profit.</w:t>
      </w:r>
    </w:p>
    <w:p>
      <w:pPr>
        <w:pStyle w:val="BodyText"/>
        <w:rPr>
          <w:sz w:val="24"/>
        </w:rPr>
      </w:pPr>
    </w:p>
    <w:p>
      <w:pPr>
        <w:pStyle w:val="BodyText"/>
        <w:spacing w:before="8"/>
        <w:rPr>
          <w:sz w:val="26"/>
        </w:rPr>
      </w:pPr>
    </w:p>
    <w:p>
      <w:pPr>
        <w:pStyle w:val="Heading6"/>
        <w:rPr>
          <w:i/>
        </w:rPr>
      </w:pPr>
      <w:r>
        <w:rPr>
          <w:i/>
          <w:color w:val="231F20"/>
          <w:w w:val="110"/>
        </w:rPr>
        <w:t>MARGINAL</w:t>
      </w:r>
      <w:r>
        <w:rPr>
          <w:i/>
          <w:color w:val="231F20"/>
          <w:spacing w:val="74"/>
          <w:w w:val="110"/>
        </w:rPr>
        <w:t> </w:t>
      </w:r>
      <w:r>
        <w:rPr>
          <w:i/>
          <w:color w:val="231F20"/>
          <w:spacing w:val="8"/>
          <w:w w:val="110"/>
        </w:rPr>
        <w:t>UTILITY</w:t>
      </w:r>
    </w:p>
    <w:p>
      <w:pPr>
        <w:pStyle w:val="BodyText"/>
        <w:spacing w:before="2"/>
        <w:rPr>
          <w:b/>
          <w:i/>
          <w:sz w:val="30"/>
        </w:rPr>
      </w:pPr>
    </w:p>
    <w:p>
      <w:pPr>
        <w:pStyle w:val="BodyText"/>
        <w:spacing w:line="292" w:lineRule="auto"/>
        <w:ind w:left="920" w:right="666"/>
        <w:jc w:val="both"/>
      </w:pPr>
      <w:r>
        <w:rPr>
          <w:i/>
          <w:color w:val="231F20"/>
        </w:rPr>
        <w:t>Utility </w:t>
      </w:r>
      <w:r>
        <w:rPr>
          <w:color w:val="231F20"/>
        </w:rPr>
        <w:t>is a term used to describe the value of a product to a con- sumer. </w:t>
      </w:r>
      <w:r>
        <w:rPr>
          <w:i/>
          <w:color w:val="231F20"/>
        </w:rPr>
        <w:t>Marginal utility </w:t>
      </w:r>
      <w:r>
        <w:rPr>
          <w:color w:val="231F20"/>
        </w:rPr>
        <w:t>(MU) means the usefulness or utility of </w:t>
      </w:r>
      <w:r>
        <w:rPr>
          <w:color w:val="231F20"/>
        </w:rPr>
        <w:t>hav- ing an additional unit of a product. At some point a buyer is fully satisfied,</w:t>
      </w:r>
      <w:r>
        <w:rPr>
          <w:color w:val="231F20"/>
          <w:spacing w:val="40"/>
        </w:rPr>
        <w:t> </w:t>
      </w:r>
      <w:r>
        <w:rPr>
          <w:color w:val="231F20"/>
        </w:rPr>
        <w:t>and</w:t>
      </w:r>
      <w:r>
        <w:rPr>
          <w:color w:val="231F20"/>
          <w:spacing w:val="40"/>
        </w:rPr>
        <w:t> </w:t>
      </w:r>
      <w:r>
        <w:rPr>
          <w:color w:val="231F20"/>
        </w:rPr>
        <w:t>an</w:t>
      </w:r>
      <w:r>
        <w:rPr>
          <w:color w:val="231F20"/>
          <w:spacing w:val="40"/>
        </w:rPr>
        <w:t> </w:t>
      </w:r>
      <w:r>
        <w:rPr>
          <w:color w:val="231F20"/>
        </w:rPr>
        <w:t>additional</w:t>
      </w:r>
      <w:r>
        <w:rPr>
          <w:color w:val="231F20"/>
          <w:spacing w:val="40"/>
        </w:rPr>
        <w:t> </w:t>
      </w:r>
      <w:r>
        <w:rPr>
          <w:color w:val="231F20"/>
        </w:rPr>
        <w:t>unit</w:t>
      </w:r>
      <w:r>
        <w:rPr>
          <w:color w:val="231F20"/>
          <w:spacing w:val="40"/>
        </w:rPr>
        <w:t> </w:t>
      </w:r>
      <w:r>
        <w:rPr>
          <w:color w:val="231F20"/>
        </w:rPr>
        <w:t>is</w:t>
      </w:r>
      <w:r>
        <w:rPr>
          <w:color w:val="231F20"/>
          <w:spacing w:val="40"/>
        </w:rPr>
        <w:t> </w:t>
      </w:r>
      <w:r>
        <w:rPr>
          <w:color w:val="231F20"/>
        </w:rPr>
        <w:t>of</w:t>
      </w:r>
      <w:r>
        <w:rPr>
          <w:color w:val="231F20"/>
          <w:spacing w:val="40"/>
        </w:rPr>
        <w:t> </w:t>
      </w:r>
      <w:r>
        <w:rPr>
          <w:color w:val="231F20"/>
        </w:rPr>
        <w:t>no</w:t>
      </w:r>
      <w:r>
        <w:rPr>
          <w:color w:val="231F20"/>
          <w:spacing w:val="40"/>
        </w:rPr>
        <w:t> </w:t>
      </w:r>
      <w:r>
        <w:rPr>
          <w:color w:val="231F20"/>
        </w:rPr>
        <w:t>value.</w:t>
      </w:r>
      <w:r>
        <w:rPr>
          <w:color w:val="231F20"/>
          <w:spacing w:val="40"/>
        </w:rPr>
        <w:t> </w:t>
      </w:r>
      <w:r>
        <w:rPr>
          <w:color w:val="231F20"/>
        </w:rPr>
        <w:t>Going</w:t>
      </w:r>
      <w:r>
        <w:rPr>
          <w:color w:val="231F20"/>
          <w:spacing w:val="40"/>
        </w:rPr>
        <w:t> </w:t>
      </w:r>
      <w:r>
        <w:rPr>
          <w:color w:val="231F20"/>
        </w:rPr>
        <w:t>back</w:t>
      </w:r>
      <w:r>
        <w:rPr>
          <w:color w:val="231F20"/>
          <w:spacing w:val="40"/>
        </w:rPr>
        <w:t> </w:t>
      </w:r>
      <w:r>
        <w:rPr>
          <w:color w:val="231F20"/>
        </w:rPr>
        <w:t>to</w:t>
      </w:r>
      <w:r>
        <w:rPr>
          <w:color w:val="231F20"/>
          <w:spacing w:val="40"/>
        </w:rPr>
        <w:t> </w:t>
      </w:r>
      <w:r>
        <w:rPr>
          <w:color w:val="231F20"/>
        </w:rPr>
        <w:t>the beer example, suppose you are looking to forget whatever troubles you have and you order one beer at Porth Tavern. A second beer would be welcome and would in fact be of great marginal utility.</w:t>
      </w:r>
      <w:r>
        <w:rPr>
          <w:color w:val="231F20"/>
          <w:spacing w:val="80"/>
          <w:w w:val="150"/>
        </w:rPr>
        <w:t> </w:t>
      </w:r>
      <w:r>
        <w:rPr>
          <w:color w:val="231F20"/>
        </w:rPr>
        <w:t>Five hours later you’ve had twelve beers, played pool, danced, and forgotten your troubles. At this point, an extra beer would be of lit-</w:t>
      </w:r>
      <w:r>
        <w:rPr>
          <w:color w:val="231F20"/>
          <w:spacing w:val="40"/>
        </w:rPr>
        <w:t> </w:t>
      </w:r>
      <w:r>
        <w:rPr>
          <w:color w:val="231F20"/>
        </w:rPr>
        <w:t>tle value. The marginal utility of the thirteenth beer is negligible.</w:t>
      </w:r>
    </w:p>
    <w:p>
      <w:pPr>
        <w:spacing w:after="0" w:line="292" w:lineRule="auto"/>
        <w:jc w:val="both"/>
        <w:sectPr>
          <w:pgSz w:w="8640" w:h="12960"/>
          <w:pgMar w:header="734" w:footer="0" w:top="920" w:bottom="280" w:left="340" w:right="500"/>
        </w:sectPr>
      </w:pPr>
    </w:p>
    <w:p>
      <w:pPr>
        <w:pStyle w:val="BodyText"/>
        <w:spacing w:before="10"/>
        <w:rPr>
          <w:sz w:val="17"/>
        </w:rPr>
      </w:pPr>
    </w:p>
    <w:p>
      <w:pPr>
        <w:pStyle w:val="Heading6"/>
        <w:spacing w:before="99"/>
        <w:ind w:left="299"/>
        <w:rPr>
          <w:i/>
        </w:rPr>
      </w:pPr>
      <w:r>
        <w:rPr>
          <w:i/>
          <w:color w:val="231F20"/>
          <w:w w:val="110"/>
        </w:rPr>
        <w:t>PRICE</w:t>
      </w:r>
      <w:r>
        <w:rPr>
          <w:i/>
          <w:color w:val="231F20"/>
          <w:spacing w:val="66"/>
          <w:w w:val="150"/>
        </w:rPr>
        <w:t> </w:t>
      </w:r>
      <w:r>
        <w:rPr>
          <w:i/>
          <w:color w:val="231F20"/>
          <w:w w:val="110"/>
        </w:rPr>
        <w:t>ELASTICITY</w:t>
      </w:r>
      <w:r>
        <w:rPr>
          <w:i/>
          <w:color w:val="231F20"/>
          <w:spacing w:val="66"/>
          <w:w w:val="150"/>
        </w:rPr>
        <w:t> </w:t>
      </w:r>
      <w:r>
        <w:rPr>
          <w:i/>
          <w:color w:val="231F20"/>
          <w:w w:val="110"/>
        </w:rPr>
        <w:t>OF</w:t>
      </w:r>
      <w:r>
        <w:rPr>
          <w:i/>
          <w:color w:val="231F20"/>
          <w:spacing w:val="67"/>
          <w:w w:val="150"/>
        </w:rPr>
        <w:t> </w:t>
      </w:r>
      <w:r>
        <w:rPr>
          <w:i/>
          <w:color w:val="231F20"/>
          <w:spacing w:val="8"/>
          <w:w w:val="110"/>
        </w:rPr>
        <w:t>DEMAND</w:t>
      </w:r>
    </w:p>
    <w:p>
      <w:pPr>
        <w:pStyle w:val="BodyText"/>
        <w:spacing w:before="2"/>
        <w:rPr>
          <w:b/>
          <w:i/>
          <w:sz w:val="30"/>
        </w:rPr>
      </w:pPr>
    </w:p>
    <w:p>
      <w:pPr>
        <w:pStyle w:val="BodyText"/>
        <w:spacing w:line="292" w:lineRule="auto"/>
        <w:ind w:left="830" w:right="754"/>
        <w:jc w:val="both"/>
        <w:rPr>
          <w:i/>
        </w:rPr>
      </w:pPr>
      <w:r>
        <w:rPr>
          <w:color w:val="231F20"/>
        </w:rPr>
        <w:t>In the first illustration of supply and demand, Heineken drinkers were willing to buy Duff beer at a price. When the price was </w:t>
      </w:r>
      <w:r>
        <w:rPr>
          <w:color w:val="231F20"/>
        </w:rPr>
        <w:t>low- ered, demand increased. Conversely, if the price had been higher, de- mand would have fallen. Buyers’ responsiveness or </w:t>
      </w:r>
      <w:r>
        <w:rPr>
          <w:i/>
          <w:color w:val="231F20"/>
        </w:rPr>
        <w:t>sensitivity </w:t>
      </w:r>
      <w:r>
        <w:rPr>
          <w:color w:val="231F20"/>
        </w:rPr>
        <w:t>to changes in price is called </w:t>
      </w:r>
      <w:r>
        <w:rPr>
          <w:i/>
          <w:color w:val="231F20"/>
        </w:rPr>
        <w:t>elasticity.</w:t>
      </w:r>
    </w:p>
    <w:p>
      <w:pPr>
        <w:pStyle w:val="BodyText"/>
        <w:spacing w:line="292" w:lineRule="auto"/>
        <w:ind w:left="830" w:right="756" w:firstLine="340"/>
        <w:jc w:val="both"/>
      </w:pPr>
      <w:r>
        <w:rPr>
          <w:color w:val="231F20"/>
        </w:rPr>
        <w:t>Elasticity of demand is one of the few economic theories that my MBA alumni friends have reportedly used. Brand managers at </w:t>
      </w:r>
      <w:r>
        <w:rPr>
          <w:color w:val="231F20"/>
        </w:rPr>
        <w:t>Proc- ter </w:t>
      </w:r>
      <w:r>
        <w:rPr>
          <w:color w:val="231F20"/>
          <w:w w:val="110"/>
        </w:rPr>
        <w:t>&amp; </w:t>
      </w:r>
      <w:r>
        <w:rPr>
          <w:color w:val="231F20"/>
        </w:rPr>
        <w:t>Gamble, for example, want to know how a price change will affect demand for their brand of soap. Production foremen at Ford Motor Company want to know how price changes will affect their production requirements.</w:t>
      </w:r>
    </w:p>
    <w:p>
      <w:pPr>
        <w:pStyle w:val="BodyText"/>
        <w:spacing w:line="292" w:lineRule="auto"/>
        <w:ind w:left="830" w:right="753" w:firstLine="340"/>
        <w:jc w:val="both"/>
      </w:pPr>
      <w:r>
        <w:rPr>
          <w:color w:val="231F20"/>
        </w:rPr>
        <w:t>If consumers are sensitive to price changes, their demand is termed </w:t>
      </w:r>
      <w:r>
        <w:rPr>
          <w:i/>
          <w:color w:val="231F20"/>
        </w:rPr>
        <w:t>elastic. </w:t>
      </w:r>
      <w:r>
        <w:rPr>
          <w:color w:val="231F20"/>
        </w:rPr>
        <w:t>Consider the fast-food junkies’ buying habits at </w:t>
      </w:r>
      <w:r>
        <w:rPr>
          <w:color w:val="231F20"/>
        </w:rPr>
        <w:t>Taco Bell. In 1988, Taco Bell lowered its prices by introducing “value meals.” Consumers responded strongly by increasing their pur- chases. With tacos priced at fifty-nine cents, only fifty-nine cents stood in the way of having a third or fourth helping. Competitors followed. Package deals at McDonald’s gave permission to fence- sitters to order the large fries, large Coke, and apple pie with their</w:t>
      </w:r>
      <w:r>
        <w:rPr>
          <w:color w:val="231F20"/>
          <w:spacing w:val="40"/>
        </w:rPr>
        <w:t> </w:t>
      </w:r>
      <w:r>
        <w:rPr>
          <w:color w:val="231F20"/>
        </w:rPr>
        <w:t>Big Macs at savings of twenty to fifty cents over ordering each item </w:t>
      </w:r>
      <w:r>
        <w:rPr>
          <w:color w:val="231F20"/>
          <w:spacing w:val="-2"/>
        </w:rPr>
        <w:t>separately.</w:t>
      </w:r>
    </w:p>
    <w:p>
      <w:pPr>
        <w:pStyle w:val="BodyText"/>
        <w:spacing w:line="292" w:lineRule="auto"/>
        <w:ind w:left="830" w:right="756" w:firstLine="340"/>
        <w:jc w:val="both"/>
      </w:pPr>
      <w:r>
        <w:rPr>
          <w:color w:val="231F20"/>
        </w:rPr>
        <w:t>When</w:t>
      </w:r>
      <w:r>
        <w:rPr>
          <w:color w:val="231F20"/>
          <w:spacing w:val="-2"/>
        </w:rPr>
        <w:t> </w:t>
      </w:r>
      <w:r>
        <w:rPr>
          <w:color w:val="231F20"/>
        </w:rPr>
        <w:t>consumers</w:t>
      </w:r>
      <w:r>
        <w:rPr>
          <w:color w:val="231F20"/>
          <w:spacing w:val="-2"/>
        </w:rPr>
        <w:t> </w:t>
      </w:r>
      <w:r>
        <w:rPr>
          <w:color w:val="231F20"/>
        </w:rPr>
        <w:t>are</w:t>
      </w:r>
      <w:r>
        <w:rPr>
          <w:color w:val="231F20"/>
          <w:spacing w:val="-2"/>
        </w:rPr>
        <w:t> </w:t>
      </w:r>
      <w:r>
        <w:rPr>
          <w:color w:val="231F20"/>
        </w:rPr>
        <w:t>not</w:t>
      </w:r>
      <w:r>
        <w:rPr>
          <w:color w:val="231F20"/>
          <w:spacing w:val="-2"/>
        </w:rPr>
        <w:t> </w:t>
      </w:r>
      <w:r>
        <w:rPr>
          <w:color w:val="231F20"/>
        </w:rPr>
        <w:t>sensitive</w:t>
      </w:r>
      <w:r>
        <w:rPr>
          <w:color w:val="231F20"/>
          <w:spacing w:val="-2"/>
        </w:rPr>
        <w:t> </w:t>
      </w:r>
      <w:r>
        <w:rPr>
          <w:color w:val="231F20"/>
        </w:rPr>
        <w:t>to</w:t>
      </w:r>
      <w:r>
        <w:rPr>
          <w:color w:val="231F20"/>
          <w:spacing w:val="-2"/>
        </w:rPr>
        <w:t> </w:t>
      </w:r>
      <w:r>
        <w:rPr>
          <w:color w:val="231F20"/>
        </w:rPr>
        <w:t>prices,</w:t>
      </w:r>
      <w:r>
        <w:rPr>
          <w:color w:val="231F20"/>
          <w:spacing w:val="-2"/>
        </w:rPr>
        <w:t> </w:t>
      </w:r>
      <w:r>
        <w:rPr>
          <w:color w:val="231F20"/>
        </w:rPr>
        <w:t>economists</w:t>
      </w:r>
      <w:r>
        <w:rPr>
          <w:color w:val="231F20"/>
          <w:spacing w:val="-2"/>
        </w:rPr>
        <w:t> </w:t>
      </w:r>
      <w:r>
        <w:rPr>
          <w:color w:val="231F20"/>
        </w:rPr>
        <w:t>call</w:t>
      </w:r>
      <w:r>
        <w:rPr>
          <w:color w:val="231F20"/>
          <w:spacing w:val="-2"/>
        </w:rPr>
        <w:t> </w:t>
      </w:r>
      <w:r>
        <w:rPr>
          <w:color w:val="231F20"/>
        </w:rPr>
        <w:t>their demand </w:t>
      </w:r>
      <w:r>
        <w:rPr>
          <w:i/>
          <w:color w:val="231F20"/>
        </w:rPr>
        <w:t>inelastic. </w:t>
      </w:r>
      <w:r>
        <w:rPr>
          <w:color w:val="231F20"/>
        </w:rPr>
        <w:t>Their purchasing behavior does not change </w:t>
      </w:r>
      <w:r>
        <w:rPr>
          <w:color w:val="231F20"/>
        </w:rPr>
        <w:t>with price changes. Necessities such as medical services or cigarettes fall into the inelastic category. When patients are in pain because of an appendicitis attack, they pay whatever the surgeon wants. Hard-core nicotine addicts accept cigarette price increases in the same way.</w:t>
      </w:r>
    </w:p>
    <w:p>
      <w:pPr>
        <w:spacing w:line="292" w:lineRule="auto" w:before="0"/>
        <w:ind w:left="830" w:right="757" w:firstLine="339"/>
        <w:jc w:val="both"/>
        <w:rPr>
          <w:sz w:val="21"/>
        </w:rPr>
      </w:pPr>
      <w:r>
        <w:rPr>
          <w:color w:val="231F20"/>
          <w:sz w:val="21"/>
        </w:rPr>
        <w:t>As you can see by now, the </w:t>
      </w:r>
      <w:r>
        <w:rPr>
          <w:i/>
          <w:color w:val="231F20"/>
          <w:sz w:val="21"/>
        </w:rPr>
        <w:t>price elasticity </w:t>
      </w:r>
      <w:r>
        <w:rPr>
          <w:color w:val="231F20"/>
          <w:sz w:val="21"/>
        </w:rPr>
        <w:t>of consumer demand for product is important to consider when pricing a product. To quantify elasticity, a descriptive </w:t>
      </w:r>
      <w:r>
        <w:rPr>
          <w:i/>
          <w:color w:val="231F20"/>
          <w:sz w:val="21"/>
        </w:rPr>
        <w:t>elasticity coefficient </w:t>
      </w:r>
      <w:r>
        <w:rPr>
          <w:color w:val="231F20"/>
          <w:sz w:val="21"/>
        </w:rPr>
        <w:t>is used:</w:t>
      </w:r>
    </w:p>
    <w:p>
      <w:pPr>
        <w:pStyle w:val="BodyText"/>
        <w:rPr>
          <w:sz w:val="24"/>
        </w:rPr>
      </w:pPr>
    </w:p>
    <w:p>
      <w:pPr>
        <w:pStyle w:val="BodyText"/>
        <w:tabs>
          <w:tab w:pos="3449" w:val="left" w:leader="none"/>
          <w:tab w:pos="4169" w:val="left" w:leader="none"/>
        </w:tabs>
        <w:spacing w:line="139" w:lineRule="auto" w:before="167"/>
        <w:ind w:left="1330" w:right="1200"/>
      </w:pPr>
      <w:r>
        <w:rPr/>
        <w:pict>
          <v:line style="position:absolute;mso-position-horizontal-relative:page;mso-position-vertical-relative:paragraph;z-index:-25047552" from="190pt,26.386339pt" to="345.5pt,26.386339pt" stroked="true" strokeweight=".5pt" strokecolor="#231f20">
            <v:stroke dashstyle="solid"/>
            <w10:wrap type="none"/>
          </v:line>
        </w:pict>
      </w:r>
      <w:r>
        <w:rPr>
          <w:color w:val="231F20"/>
          <w:w w:val="105"/>
          <w:position w:val="15"/>
        </w:rPr>
        <w:t>Elasticity of</w:t>
      </w:r>
      <w:r>
        <w:rPr>
          <w:color w:val="231F20"/>
          <w:position w:val="15"/>
        </w:rPr>
        <w:tab/>
      </w:r>
      <w:r>
        <w:rPr>
          <w:color w:val="231F20"/>
          <w:w w:val="105"/>
        </w:rPr>
        <w:t>% Change in Quantity </w:t>
      </w:r>
      <w:r>
        <w:rPr>
          <w:color w:val="231F20"/>
          <w:w w:val="105"/>
        </w:rPr>
        <w:t>Demanded Quantity Demanded </w:t>
      </w:r>
      <w:r>
        <w:rPr>
          <w:rFonts w:ascii="Symbol" w:hAnsi="Symbol"/>
          <w:color w:val="231F20"/>
          <w:w w:val="105"/>
        </w:rPr>
        <w:t></w:t>
      </w:r>
      <w:r>
        <w:rPr>
          <w:rFonts w:ascii="Times New Roman" w:hAnsi="Times New Roman"/>
          <w:color w:val="231F20"/>
        </w:rPr>
        <w:tab/>
        <w:tab/>
      </w:r>
      <w:r>
        <w:rPr>
          <w:color w:val="231F20"/>
          <w:w w:val="105"/>
          <w:position w:val="-14"/>
        </w:rPr>
        <w:t>% Change in Price</w:t>
      </w:r>
    </w:p>
    <w:p>
      <w:pPr>
        <w:spacing w:after="0" w:line="139" w:lineRule="auto"/>
        <w:sectPr>
          <w:pgSz w:w="8640" w:h="12960"/>
          <w:pgMar w:header="732" w:footer="0" w:top="920" w:bottom="280" w:left="340" w:right="500"/>
        </w:sectPr>
      </w:pPr>
    </w:p>
    <w:p>
      <w:pPr>
        <w:pStyle w:val="BodyText"/>
        <w:spacing w:before="8"/>
        <w:rPr>
          <w:sz w:val="17"/>
        </w:rPr>
      </w:pPr>
    </w:p>
    <w:p>
      <w:pPr>
        <w:pStyle w:val="BodyText"/>
        <w:spacing w:before="102"/>
        <w:ind w:left="468" w:right="219"/>
        <w:jc w:val="center"/>
      </w:pPr>
      <w:r>
        <w:rPr>
          <w:color w:val="231F20"/>
          <w:spacing w:val="-5"/>
          <w:w w:val="125"/>
        </w:rPr>
        <w:t>OR</w:t>
      </w:r>
    </w:p>
    <w:p>
      <w:pPr>
        <w:pStyle w:val="BodyText"/>
        <w:spacing w:line="348" w:lineRule="exact" w:before="53"/>
        <w:ind w:left="460" w:right="219"/>
        <w:jc w:val="center"/>
      </w:pPr>
      <w:r>
        <w:rPr/>
        <w:pict>
          <v:line style="position:absolute;mso-position-horizontal-relative:page;mso-position-vertical-relative:paragraph;z-index:-25047040" from="221.5pt,17.377298pt" to="348.5pt,17.377298pt" stroked="true" strokeweight=".5pt" strokecolor="#231f20">
            <v:stroke dashstyle="solid"/>
            <w10:wrap type="none"/>
          </v:line>
        </w:pict>
      </w:r>
      <w:r>
        <w:rPr>
          <w:color w:val="231F20"/>
        </w:rPr>
        <w:t>Elasticity</w:t>
      </w:r>
      <w:r>
        <w:rPr>
          <w:color w:val="231F20"/>
          <w:spacing w:val="22"/>
        </w:rPr>
        <w:t> </w:t>
      </w:r>
      <w:r>
        <w:rPr>
          <w:color w:val="231F20"/>
        </w:rPr>
        <w:t>of</w:t>
      </w:r>
      <w:r>
        <w:rPr>
          <w:color w:val="231F20"/>
          <w:spacing w:val="23"/>
        </w:rPr>
        <w:t> </w:t>
      </w:r>
      <w:r>
        <w:rPr>
          <w:color w:val="231F20"/>
        </w:rPr>
        <w:t>Total</w:t>
      </w:r>
      <w:r>
        <w:rPr>
          <w:color w:val="231F20"/>
          <w:spacing w:val="22"/>
        </w:rPr>
        <w:t> </w:t>
      </w:r>
      <w:r>
        <w:rPr>
          <w:color w:val="231F20"/>
        </w:rPr>
        <w:t>Revenue</w:t>
      </w:r>
      <w:r>
        <w:rPr>
          <w:color w:val="231F20"/>
          <w:spacing w:val="23"/>
        </w:rPr>
        <w:t> </w:t>
      </w:r>
      <w:r>
        <w:rPr>
          <w:rFonts w:ascii="Symbol" w:hAnsi="Symbol"/>
          <w:color w:val="231F20"/>
        </w:rPr>
        <w:t></w:t>
      </w:r>
      <w:r>
        <w:rPr>
          <w:rFonts w:ascii="Times New Roman" w:hAnsi="Times New Roman"/>
          <w:color w:val="231F20"/>
          <w:spacing w:val="16"/>
        </w:rPr>
        <w:t> </w:t>
      </w:r>
      <w:r>
        <w:rPr>
          <w:color w:val="231F20"/>
          <w:position w:val="15"/>
        </w:rPr>
        <w:t>%</w:t>
      </w:r>
      <w:r>
        <w:rPr>
          <w:color w:val="231F20"/>
          <w:spacing w:val="23"/>
          <w:position w:val="15"/>
        </w:rPr>
        <w:t> </w:t>
      </w:r>
      <w:r>
        <w:rPr>
          <w:color w:val="231F20"/>
          <w:position w:val="15"/>
        </w:rPr>
        <w:t>Change</w:t>
      </w:r>
      <w:r>
        <w:rPr>
          <w:color w:val="231F20"/>
          <w:spacing w:val="23"/>
          <w:position w:val="15"/>
        </w:rPr>
        <w:t> </w:t>
      </w:r>
      <w:r>
        <w:rPr>
          <w:color w:val="231F20"/>
          <w:position w:val="15"/>
        </w:rPr>
        <w:t>in</w:t>
      </w:r>
      <w:r>
        <w:rPr>
          <w:color w:val="231F20"/>
          <w:spacing w:val="22"/>
          <w:position w:val="15"/>
        </w:rPr>
        <w:t> </w:t>
      </w:r>
      <w:r>
        <w:rPr>
          <w:color w:val="231F20"/>
          <w:position w:val="15"/>
        </w:rPr>
        <w:t>Total</w:t>
      </w:r>
      <w:r>
        <w:rPr>
          <w:color w:val="231F20"/>
          <w:spacing w:val="23"/>
          <w:position w:val="15"/>
        </w:rPr>
        <w:t> </w:t>
      </w:r>
      <w:r>
        <w:rPr>
          <w:color w:val="231F20"/>
          <w:spacing w:val="-2"/>
          <w:position w:val="15"/>
        </w:rPr>
        <w:t>Revenue</w:t>
      </w:r>
    </w:p>
    <w:p>
      <w:pPr>
        <w:pStyle w:val="BodyText"/>
        <w:spacing w:line="198" w:lineRule="exact"/>
        <w:ind w:left="4510"/>
      </w:pPr>
      <w:r>
        <w:rPr>
          <w:color w:val="231F20"/>
          <w:w w:val="105"/>
        </w:rPr>
        <w:t>%</w:t>
      </w:r>
      <w:r>
        <w:rPr>
          <w:color w:val="231F20"/>
          <w:spacing w:val="12"/>
          <w:w w:val="105"/>
        </w:rPr>
        <w:t> </w:t>
      </w:r>
      <w:r>
        <w:rPr>
          <w:color w:val="231F20"/>
          <w:w w:val="105"/>
        </w:rPr>
        <w:t>Change</w:t>
      </w:r>
      <w:r>
        <w:rPr>
          <w:color w:val="231F20"/>
          <w:spacing w:val="13"/>
          <w:w w:val="105"/>
        </w:rPr>
        <w:t> </w:t>
      </w:r>
      <w:r>
        <w:rPr>
          <w:color w:val="231F20"/>
          <w:w w:val="105"/>
        </w:rPr>
        <w:t>in</w:t>
      </w:r>
      <w:r>
        <w:rPr>
          <w:color w:val="231F20"/>
          <w:spacing w:val="13"/>
          <w:w w:val="105"/>
        </w:rPr>
        <w:t> </w:t>
      </w:r>
      <w:r>
        <w:rPr>
          <w:color w:val="231F20"/>
          <w:spacing w:val="-4"/>
          <w:w w:val="105"/>
        </w:rPr>
        <w:t>Price</w:t>
      </w:r>
    </w:p>
    <w:p>
      <w:pPr>
        <w:pStyle w:val="BodyText"/>
        <w:rPr>
          <w:sz w:val="24"/>
        </w:rPr>
      </w:pPr>
    </w:p>
    <w:p>
      <w:pPr>
        <w:pStyle w:val="BodyText"/>
        <w:spacing w:line="292" w:lineRule="auto" w:before="148"/>
        <w:ind w:left="920" w:right="666" w:firstLine="340"/>
        <w:jc w:val="both"/>
      </w:pPr>
      <w:r>
        <w:rPr>
          <w:color w:val="231F20"/>
        </w:rPr>
        <w:t>The higher the elasticity coefficient, the higher the price </w:t>
      </w:r>
      <w:r>
        <w:rPr>
          <w:color w:val="231F20"/>
        </w:rPr>
        <w:t>elastic- ity. A coefficient equal to or greater than 1 is considered elastic. For example,</w:t>
      </w:r>
      <w:r>
        <w:rPr>
          <w:color w:val="231F20"/>
          <w:spacing w:val="-6"/>
        </w:rPr>
        <w:t> </w:t>
      </w:r>
      <w:r>
        <w:rPr>
          <w:color w:val="231F20"/>
        </w:rPr>
        <w:t>researchers</w:t>
      </w:r>
      <w:r>
        <w:rPr>
          <w:color w:val="231F20"/>
          <w:spacing w:val="-6"/>
        </w:rPr>
        <w:t> </w:t>
      </w:r>
      <w:r>
        <w:rPr>
          <w:color w:val="231F20"/>
        </w:rPr>
        <w:t>have</w:t>
      </w:r>
      <w:r>
        <w:rPr>
          <w:color w:val="231F20"/>
          <w:spacing w:val="-6"/>
        </w:rPr>
        <w:t> </w:t>
      </w:r>
      <w:r>
        <w:rPr>
          <w:color w:val="231F20"/>
        </w:rPr>
        <w:t>calculated</w:t>
      </w:r>
      <w:r>
        <w:rPr>
          <w:color w:val="231F20"/>
          <w:spacing w:val="-6"/>
        </w:rPr>
        <w:t> </w:t>
      </w:r>
      <w:r>
        <w:rPr>
          <w:color w:val="231F20"/>
        </w:rPr>
        <w:t>elasticities</w:t>
      </w:r>
      <w:r>
        <w:rPr>
          <w:color w:val="231F20"/>
          <w:spacing w:val="-6"/>
        </w:rPr>
        <w:t> </w:t>
      </w:r>
      <w:r>
        <w:rPr>
          <w:color w:val="231F20"/>
        </w:rPr>
        <w:t>for</w:t>
      </w:r>
      <w:r>
        <w:rPr>
          <w:color w:val="231F20"/>
          <w:spacing w:val="-6"/>
        </w:rPr>
        <w:t> </w:t>
      </w:r>
      <w:r>
        <w:rPr>
          <w:color w:val="231F20"/>
        </w:rPr>
        <w:t>restaurant</w:t>
      </w:r>
      <w:r>
        <w:rPr>
          <w:color w:val="231F20"/>
          <w:spacing w:val="-6"/>
        </w:rPr>
        <w:t> </w:t>
      </w:r>
      <w:r>
        <w:rPr>
          <w:color w:val="231F20"/>
        </w:rPr>
        <w:t>meals at 2 and medical services at .31. Usually a great deal of research is necessary to determine elasticity, but of course the process may be simplified at the expense of accuracy. Managers must analyze histor- ical data and also try to sort out the nonprice influences that may have caused a demand change, such as weather and competition.</w:t>
      </w:r>
    </w:p>
    <w:p>
      <w:pPr>
        <w:pStyle w:val="BodyText"/>
        <w:spacing w:line="292" w:lineRule="auto"/>
        <w:ind w:left="920" w:right="666" w:firstLine="340"/>
        <w:jc w:val="both"/>
      </w:pPr>
      <w:r>
        <w:rPr>
          <w:color w:val="231F20"/>
        </w:rPr>
        <w:t>Another important aspect of elasticity is that it is not constant at all price levels. At different price levels elasticity may vary. This </w:t>
      </w:r>
      <w:r>
        <w:rPr>
          <w:color w:val="231F20"/>
        </w:rPr>
        <w:t>phe- nomenon is illustrated in a hypothetical table showing how people responded to price changes of hamburger meat sold by a particular </w:t>
      </w:r>
      <w:r>
        <w:rPr>
          <w:color w:val="231F20"/>
          <w:spacing w:val="-2"/>
        </w:rPr>
        <w:t>butcher.</w:t>
      </w:r>
    </w:p>
    <w:p>
      <w:pPr>
        <w:pStyle w:val="BodyText"/>
        <w:spacing w:line="292" w:lineRule="auto"/>
        <w:ind w:left="920" w:right="664" w:firstLine="340"/>
        <w:jc w:val="both"/>
      </w:pPr>
      <w:r>
        <w:rPr>
          <w:color w:val="231F20"/>
        </w:rPr>
        <w:t>If you were a butcher, this information would confirm what you might expect. At lower price levels, affordable to most families, changes in prices do not prompt the cook of the house to switch </w:t>
      </w:r>
      <w:r>
        <w:rPr>
          <w:color w:val="231F20"/>
        </w:rPr>
        <w:t>to other meats. However, when prices are higher, in the $2 to $5 range per pound, hamburger loses its broad appeal. Shoppers demonstrate elastic demand by selecting hot dogs or even pasta instead of beef. Those with unlimited cash tend to be more price inelastic and buy regardless of the price. That is why the elasticity of “quantity de- manded” differs from the elasticity of “total revenue.” The die-hard beef eaters who are willing to buy at higher prices make up for the lost revenue of higher sales volumes.</w:t>
      </w:r>
    </w:p>
    <w:p>
      <w:pPr>
        <w:pStyle w:val="BodyText"/>
        <w:spacing w:line="292" w:lineRule="auto"/>
        <w:ind w:left="920" w:right="663" w:firstLine="340"/>
        <w:jc w:val="both"/>
      </w:pPr>
      <w:r>
        <w:rPr>
          <w:color w:val="231F20"/>
        </w:rPr>
        <w:t>The same concept of elasticity of demand can be applied to the supply side of the economy, but in the opposite direction. Higher prices encourage more production while simultaneously </w:t>
      </w:r>
      <w:r>
        <w:rPr>
          <w:color w:val="231F20"/>
        </w:rPr>
        <w:t>discourag- ing more consumption. Lower prices discourage production but en- courage more consumption. At the point that the quantity supplied and the quantity demanded meet at a market price, the market reaches equilibrium.</w:t>
      </w:r>
    </w:p>
    <w:p>
      <w:pPr>
        <w:spacing w:after="0" w:line="292" w:lineRule="auto"/>
        <w:jc w:val="both"/>
        <w:sectPr>
          <w:pgSz w:w="8640" w:h="12960"/>
          <w:pgMar w:header="734" w:footer="0" w:top="920" w:bottom="280" w:left="340" w:right="500"/>
        </w:sectPr>
      </w:pPr>
    </w:p>
    <w:p>
      <w:pPr>
        <w:pStyle w:val="BodyText"/>
        <w:spacing w:before="10"/>
        <w:rPr>
          <w:sz w:val="19"/>
        </w:rPr>
      </w:pPr>
    </w:p>
    <w:p>
      <w:pPr>
        <w:spacing w:line="357" w:lineRule="auto" w:before="96"/>
        <w:ind w:left="1961" w:right="1885" w:firstLine="0"/>
        <w:jc w:val="center"/>
        <w:rPr>
          <w:rFonts w:ascii="Arial"/>
          <w:sz w:val="14"/>
        </w:rPr>
      </w:pPr>
      <w:r>
        <w:rPr/>
        <w:drawing>
          <wp:anchor distT="0" distB="0" distL="0" distR="0" allowOverlap="1" layoutInCell="1" locked="0" behindDoc="0" simplePos="0" relativeHeight="357">
            <wp:simplePos x="0" y="0"/>
            <wp:positionH relativeFrom="page">
              <wp:posOffset>734057</wp:posOffset>
            </wp:positionH>
            <wp:positionV relativeFrom="paragraph">
              <wp:posOffset>377512</wp:posOffset>
            </wp:positionV>
            <wp:extent cx="3970093" cy="2103120"/>
            <wp:effectExtent l="0" t="0" r="0" b="0"/>
            <wp:wrapTopAndBottom/>
            <wp:docPr id="129" name="image75.png"/>
            <wp:cNvGraphicFramePr>
              <a:graphicFrameLocks noChangeAspect="1"/>
            </wp:cNvGraphicFramePr>
            <a:graphic>
              <a:graphicData uri="http://schemas.openxmlformats.org/drawingml/2006/picture">
                <pic:pic>
                  <pic:nvPicPr>
                    <pic:cNvPr id="130" name="image75.png"/>
                    <pic:cNvPicPr/>
                  </pic:nvPicPr>
                  <pic:blipFill>
                    <a:blip r:embed="rId113" cstate="print"/>
                    <a:stretch>
                      <a:fillRect/>
                    </a:stretch>
                  </pic:blipFill>
                  <pic:spPr>
                    <a:xfrm>
                      <a:off x="0" y="0"/>
                      <a:ext cx="3970093" cy="2103120"/>
                    </a:xfrm>
                    <a:prstGeom prst="rect">
                      <a:avLst/>
                    </a:prstGeom>
                  </pic:spPr>
                </pic:pic>
              </a:graphicData>
            </a:graphic>
          </wp:anchor>
        </w:drawing>
      </w:r>
      <w:r>
        <w:rPr>
          <w:rFonts w:ascii="Arial"/>
          <w:color w:val="231F20"/>
          <w:w w:val="105"/>
          <w:sz w:val="14"/>
        </w:rPr>
        <w:t>ELASTICITY OF DEMAND FOR </w:t>
      </w:r>
      <w:r>
        <w:rPr>
          <w:rFonts w:ascii="Arial"/>
          <w:color w:val="231F20"/>
          <w:w w:val="105"/>
          <w:sz w:val="14"/>
        </w:rPr>
        <w:t>HAMBURGER </w:t>
      </w:r>
      <w:r>
        <w:rPr>
          <w:rFonts w:ascii="Arial"/>
          <w:color w:val="231F20"/>
          <w:spacing w:val="-2"/>
          <w:w w:val="105"/>
          <w:sz w:val="14"/>
        </w:rPr>
        <w:t>(HYPOTHETICAL)</w:t>
      </w: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2"/>
        <w:rPr>
          <w:rFonts w:ascii="Arial"/>
          <w:sz w:val="16"/>
        </w:rPr>
      </w:pPr>
    </w:p>
    <w:p>
      <w:pPr>
        <w:pStyle w:val="Heading6"/>
        <w:ind w:left="299"/>
        <w:rPr>
          <w:i/>
        </w:rPr>
      </w:pPr>
      <w:r>
        <w:rPr>
          <w:i/>
          <w:color w:val="231F20"/>
          <w:spacing w:val="9"/>
          <w:w w:val="110"/>
        </w:rPr>
        <w:t>COMPETITIVE</w:t>
      </w:r>
      <w:r>
        <w:rPr>
          <w:i/>
          <w:color w:val="231F20"/>
          <w:spacing w:val="33"/>
          <w:w w:val="110"/>
        </w:rPr>
        <w:t> </w:t>
      </w:r>
      <w:r>
        <w:rPr>
          <w:i/>
          <w:color w:val="231F20"/>
          <w:w w:val="110"/>
        </w:rPr>
        <w:t>MARKET</w:t>
      </w:r>
      <w:r>
        <w:rPr>
          <w:i/>
          <w:color w:val="231F20"/>
          <w:spacing w:val="34"/>
          <w:w w:val="110"/>
        </w:rPr>
        <w:t> </w:t>
      </w:r>
      <w:r>
        <w:rPr>
          <w:i/>
          <w:color w:val="231F20"/>
          <w:spacing w:val="8"/>
          <w:w w:val="110"/>
        </w:rPr>
        <w:t>STRUCTURES</w:t>
      </w:r>
    </w:p>
    <w:p>
      <w:pPr>
        <w:pStyle w:val="BodyText"/>
        <w:spacing w:before="2"/>
        <w:rPr>
          <w:b/>
          <w:i/>
          <w:sz w:val="30"/>
        </w:rPr>
      </w:pPr>
    </w:p>
    <w:p>
      <w:pPr>
        <w:pStyle w:val="BodyText"/>
        <w:spacing w:line="292" w:lineRule="auto"/>
        <w:ind w:left="830" w:right="757"/>
        <w:jc w:val="both"/>
        <w:rPr>
          <w:i/>
        </w:rPr>
      </w:pPr>
      <w:r>
        <w:rPr>
          <w:color w:val="231F20"/>
        </w:rPr>
        <w:t>In addition to elasticity of demand, the competitive environment drives supply, demand, and prices. The greater the competition in </w:t>
      </w:r>
      <w:r>
        <w:rPr>
          <w:color w:val="231F20"/>
        </w:rPr>
        <w:t>a given market, the more sensitive the market price is to changes in supply and demand. In the diamond trade, DeBeers of South Africa tries to control the supply of diamonds, thus prices remain high and relatively stable with predictable annual price increases. In the gold market, there are many suppliers worldwide and the price fluctuates daily on commodity exchanges. The same holds true in the beef mar- ket in which Bud Montana operates. Now that you understand the principle involved, let’s look at the four basic </w:t>
      </w:r>
      <w:r>
        <w:rPr>
          <w:i/>
          <w:color w:val="231F20"/>
        </w:rPr>
        <w:t>market structures.</w:t>
      </w:r>
    </w:p>
    <w:p>
      <w:pPr>
        <w:pStyle w:val="BodyText"/>
        <w:spacing w:before="3"/>
        <w:rPr>
          <w:i/>
          <w:sz w:val="25"/>
        </w:rPr>
      </w:pPr>
    </w:p>
    <w:p>
      <w:pPr>
        <w:pStyle w:val="BodyText"/>
        <w:spacing w:line="292" w:lineRule="auto" w:before="1"/>
        <w:ind w:left="830" w:right="755"/>
        <w:jc w:val="both"/>
      </w:pPr>
      <w:r>
        <w:rPr>
          <w:i/>
          <w:color w:val="231F20"/>
          <w:w w:val="105"/>
        </w:rPr>
        <w:t>Pure</w:t>
      </w:r>
      <w:r>
        <w:rPr>
          <w:i/>
          <w:color w:val="231F20"/>
          <w:w w:val="105"/>
        </w:rPr>
        <w:t> Monopoly.</w:t>
      </w:r>
      <w:r>
        <w:rPr>
          <w:i/>
          <w:color w:val="231F20"/>
          <w:w w:val="105"/>
        </w:rPr>
        <w:t> </w:t>
      </w:r>
      <w:r>
        <w:rPr>
          <w:color w:val="231F20"/>
          <w:w w:val="105"/>
        </w:rPr>
        <w:t>If</w:t>
      </w:r>
      <w:r>
        <w:rPr>
          <w:color w:val="231F20"/>
          <w:w w:val="105"/>
        </w:rPr>
        <w:t> there</w:t>
      </w:r>
      <w:r>
        <w:rPr>
          <w:color w:val="231F20"/>
          <w:w w:val="105"/>
        </w:rPr>
        <w:t> is</w:t>
      </w:r>
      <w:r>
        <w:rPr>
          <w:color w:val="231F20"/>
          <w:w w:val="105"/>
        </w:rPr>
        <w:t> only</w:t>
      </w:r>
      <w:r>
        <w:rPr>
          <w:color w:val="231F20"/>
          <w:w w:val="105"/>
        </w:rPr>
        <w:t> one</w:t>
      </w:r>
      <w:r>
        <w:rPr>
          <w:color w:val="231F20"/>
          <w:w w:val="105"/>
        </w:rPr>
        <w:t> seller</w:t>
      </w:r>
      <w:r>
        <w:rPr>
          <w:color w:val="231F20"/>
          <w:w w:val="105"/>
        </w:rPr>
        <w:t> with</w:t>
      </w:r>
      <w:r>
        <w:rPr>
          <w:color w:val="231F20"/>
          <w:w w:val="105"/>
        </w:rPr>
        <w:t> a</w:t>
      </w:r>
      <w:r>
        <w:rPr>
          <w:color w:val="231F20"/>
          <w:w w:val="105"/>
        </w:rPr>
        <w:t> unique</w:t>
      </w:r>
      <w:r>
        <w:rPr>
          <w:color w:val="231F20"/>
          <w:w w:val="105"/>
        </w:rPr>
        <w:t> product, </w:t>
      </w:r>
      <w:r>
        <w:rPr>
          <w:color w:val="231F20"/>
          <w:spacing w:val="-2"/>
          <w:w w:val="105"/>
        </w:rPr>
        <w:t>then</w:t>
      </w:r>
      <w:r>
        <w:rPr>
          <w:color w:val="231F20"/>
          <w:spacing w:val="-7"/>
          <w:w w:val="105"/>
        </w:rPr>
        <w:t> </w:t>
      </w:r>
      <w:r>
        <w:rPr>
          <w:color w:val="231F20"/>
          <w:spacing w:val="-2"/>
          <w:w w:val="105"/>
        </w:rPr>
        <w:t>the</w:t>
      </w:r>
      <w:r>
        <w:rPr>
          <w:color w:val="231F20"/>
          <w:spacing w:val="-7"/>
          <w:w w:val="105"/>
        </w:rPr>
        <w:t> </w:t>
      </w:r>
      <w:r>
        <w:rPr>
          <w:color w:val="231F20"/>
          <w:spacing w:val="-2"/>
          <w:w w:val="105"/>
        </w:rPr>
        <w:t>seller</w:t>
      </w:r>
      <w:r>
        <w:rPr>
          <w:color w:val="231F20"/>
          <w:spacing w:val="-7"/>
          <w:w w:val="105"/>
        </w:rPr>
        <w:t> </w:t>
      </w:r>
      <w:r>
        <w:rPr>
          <w:color w:val="231F20"/>
          <w:spacing w:val="-2"/>
          <w:w w:val="105"/>
        </w:rPr>
        <w:t>is</w:t>
      </w:r>
      <w:r>
        <w:rPr>
          <w:color w:val="231F20"/>
          <w:spacing w:val="-7"/>
          <w:w w:val="105"/>
        </w:rPr>
        <w:t> </w:t>
      </w:r>
      <w:r>
        <w:rPr>
          <w:color w:val="231F20"/>
          <w:spacing w:val="-2"/>
          <w:w w:val="105"/>
        </w:rPr>
        <w:t>said</w:t>
      </w:r>
      <w:r>
        <w:rPr>
          <w:color w:val="231F20"/>
          <w:spacing w:val="-7"/>
          <w:w w:val="105"/>
        </w:rPr>
        <w:t> </w:t>
      </w:r>
      <w:r>
        <w:rPr>
          <w:color w:val="231F20"/>
          <w:spacing w:val="-2"/>
          <w:w w:val="105"/>
        </w:rPr>
        <w:t>to</w:t>
      </w:r>
      <w:r>
        <w:rPr>
          <w:color w:val="231F20"/>
          <w:spacing w:val="-7"/>
          <w:w w:val="105"/>
        </w:rPr>
        <w:t> </w:t>
      </w:r>
      <w:r>
        <w:rPr>
          <w:color w:val="231F20"/>
          <w:spacing w:val="-2"/>
          <w:w w:val="105"/>
        </w:rPr>
        <w:t>have</w:t>
      </w:r>
      <w:r>
        <w:rPr>
          <w:color w:val="231F20"/>
          <w:spacing w:val="-7"/>
          <w:w w:val="105"/>
        </w:rPr>
        <w:t> </w:t>
      </w:r>
      <w:r>
        <w:rPr>
          <w:color w:val="231F20"/>
          <w:spacing w:val="-2"/>
          <w:w w:val="105"/>
        </w:rPr>
        <w:t>a</w:t>
      </w:r>
      <w:r>
        <w:rPr>
          <w:color w:val="231F20"/>
          <w:spacing w:val="-8"/>
          <w:w w:val="105"/>
        </w:rPr>
        <w:t> </w:t>
      </w:r>
      <w:r>
        <w:rPr>
          <w:i/>
          <w:color w:val="231F20"/>
          <w:spacing w:val="-2"/>
          <w:w w:val="105"/>
        </w:rPr>
        <w:t>pure</w:t>
      </w:r>
      <w:r>
        <w:rPr>
          <w:i/>
          <w:color w:val="231F20"/>
          <w:spacing w:val="-7"/>
          <w:w w:val="105"/>
        </w:rPr>
        <w:t> </w:t>
      </w:r>
      <w:r>
        <w:rPr>
          <w:i/>
          <w:color w:val="231F20"/>
          <w:spacing w:val="-2"/>
          <w:w w:val="105"/>
        </w:rPr>
        <w:t>monopoly.</w:t>
      </w:r>
      <w:r>
        <w:rPr>
          <w:i/>
          <w:color w:val="231F20"/>
          <w:spacing w:val="-7"/>
          <w:w w:val="105"/>
        </w:rPr>
        <w:t> </w:t>
      </w:r>
      <w:r>
        <w:rPr>
          <w:color w:val="231F20"/>
          <w:spacing w:val="-2"/>
          <w:w w:val="105"/>
        </w:rPr>
        <w:t>The</w:t>
      </w:r>
      <w:r>
        <w:rPr>
          <w:color w:val="231F20"/>
          <w:spacing w:val="-7"/>
          <w:w w:val="105"/>
        </w:rPr>
        <w:t> </w:t>
      </w:r>
      <w:r>
        <w:rPr>
          <w:color w:val="231F20"/>
          <w:spacing w:val="-2"/>
          <w:w w:val="105"/>
        </w:rPr>
        <w:t>National</w:t>
      </w:r>
      <w:r>
        <w:rPr>
          <w:color w:val="231F20"/>
          <w:spacing w:val="-7"/>
          <w:w w:val="105"/>
        </w:rPr>
        <w:t> </w:t>
      </w:r>
      <w:r>
        <w:rPr>
          <w:color w:val="231F20"/>
          <w:spacing w:val="-2"/>
          <w:w w:val="105"/>
        </w:rPr>
        <w:t>Basket- </w:t>
      </w:r>
      <w:r>
        <w:rPr>
          <w:color w:val="231F20"/>
          <w:w w:val="105"/>
        </w:rPr>
        <w:t>ball</w:t>
      </w:r>
      <w:r>
        <w:rPr>
          <w:color w:val="231F20"/>
          <w:w w:val="105"/>
        </w:rPr>
        <w:t> Association</w:t>
      </w:r>
      <w:r>
        <w:rPr>
          <w:color w:val="231F20"/>
          <w:w w:val="105"/>
        </w:rPr>
        <w:t> controls</w:t>
      </w:r>
      <w:r>
        <w:rPr>
          <w:color w:val="231F20"/>
          <w:w w:val="105"/>
        </w:rPr>
        <w:t> professional</w:t>
      </w:r>
      <w:r>
        <w:rPr>
          <w:color w:val="231F20"/>
          <w:w w:val="105"/>
        </w:rPr>
        <w:t> basketball.</w:t>
      </w:r>
      <w:r>
        <w:rPr>
          <w:color w:val="231F20"/>
          <w:w w:val="105"/>
        </w:rPr>
        <w:t> Electric</w:t>
      </w:r>
      <w:r>
        <w:rPr>
          <w:color w:val="231F20"/>
          <w:w w:val="105"/>
        </w:rPr>
        <w:t> </w:t>
      </w:r>
      <w:r>
        <w:rPr>
          <w:color w:val="231F20"/>
          <w:w w:val="105"/>
        </w:rPr>
        <w:t>utilities </w:t>
      </w:r>
      <w:r>
        <w:rPr>
          <w:color w:val="231F20"/>
        </w:rPr>
        <w:t>are another monopoly. They are “price makers” because they can set </w:t>
      </w:r>
      <w:r>
        <w:rPr>
          <w:color w:val="231F20"/>
          <w:w w:val="105"/>
        </w:rPr>
        <w:t>the</w:t>
      </w:r>
      <w:r>
        <w:rPr>
          <w:color w:val="231F20"/>
          <w:spacing w:val="-4"/>
          <w:w w:val="105"/>
        </w:rPr>
        <w:t> </w:t>
      </w:r>
      <w:r>
        <w:rPr>
          <w:color w:val="231F20"/>
          <w:w w:val="105"/>
        </w:rPr>
        <w:t>price</w:t>
      </w:r>
      <w:r>
        <w:rPr>
          <w:color w:val="231F20"/>
          <w:spacing w:val="-4"/>
          <w:w w:val="105"/>
        </w:rPr>
        <w:t> </w:t>
      </w:r>
      <w:r>
        <w:rPr>
          <w:color w:val="231F20"/>
          <w:w w:val="105"/>
        </w:rPr>
        <w:t>of</w:t>
      </w:r>
      <w:r>
        <w:rPr>
          <w:color w:val="231F20"/>
          <w:spacing w:val="-4"/>
          <w:w w:val="105"/>
        </w:rPr>
        <w:t> </w:t>
      </w:r>
      <w:r>
        <w:rPr>
          <w:color w:val="231F20"/>
          <w:w w:val="105"/>
        </w:rPr>
        <w:t>stadium</w:t>
      </w:r>
      <w:r>
        <w:rPr>
          <w:color w:val="231F20"/>
          <w:spacing w:val="-4"/>
          <w:w w:val="105"/>
        </w:rPr>
        <w:t> </w:t>
      </w:r>
      <w:r>
        <w:rPr>
          <w:color w:val="231F20"/>
          <w:w w:val="105"/>
        </w:rPr>
        <w:t>tickets</w:t>
      </w:r>
      <w:r>
        <w:rPr>
          <w:color w:val="231F20"/>
          <w:spacing w:val="-4"/>
          <w:w w:val="105"/>
        </w:rPr>
        <w:t> </w:t>
      </w:r>
      <w:r>
        <w:rPr>
          <w:color w:val="231F20"/>
          <w:w w:val="105"/>
        </w:rPr>
        <w:t>and</w:t>
      </w:r>
      <w:r>
        <w:rPr>
          <w:color w:val="231F20"/>
          <w:spacing w:val="-4"/>
          <w:w w:val="105"/>
        </w:rPr>
        <w:t> </w:t>
      </w:r>
      <w:r>
        <w:rPr>
          <w:color w:val="231F20"/>
          <w:w w:val="105"/>
        </w:rPr>
        <w:t>of</w:t>
      </w:r>
      <w:r>
        <w:rPr>
          <w:color w:val="231F20"/>
          <w:spacing w:val="-4"/>
          <w:w w:val="105"/>
        </w:rPr>
        <w:t> </w:t>
      </w:r>
      <w:r>
        <w:rPr>
          <w:color w:val="231F20"/>
          <w:w w:val="105"/>
        </w:rPr>
        <w:t>your</w:t>
      </w:r>
      <w:r>
        <w:rPr>
          <w:color w:val="231F20"/>
          <w:spacing w:val="-4"/>
          <w:w w:val="105"/>
        </w:rPr>
        <w:t> </w:t>
      </w:r>
      <w:r>
        <w:rPr>
          <w:color w:val="231F20"/>
          <w:w w:val="105"/>
        </w:rPr>
        <w:t>utilities.</w:t>
      </w:r>
      <w:r>
        <w:rPr>
          <w:color w:val="231F20"/>
          <w:spacing w:val="-4"/>
          <w:w w:val="105"/>
        </w:rPr>
        <w:t> </w:t>
      </w:r>
      <w:r>
        <w:rPr>
          <w:color w:val="231F20"/>
          <w:w w:val="105"/>
        </w:rPr>
        <w:t>And</w:t>
      </w:r>
      <w:r>
        <w:rPr>
          <w:color w:val="231F20"/>
          <w:spacing w:val="-4"/>
          <w:w w:val="105"/>
        </w:rPr>
        <w:t> </w:t>
      </w:r>
      <w:r>
        <w:rPr>
          <w:color w:val="231F20"/>
          <w:w w:val="105"/>
        </w:rPr>
        <w:t>when</w:t>
      </w:r>
      <w:r>
        <w:rPr>
          <w:color w:val="231F20"/>
          <w:spacing w:val="-4"/>
          <w:w w:val="105"/>
        </w:rPr>
        <w:t> </w:t>
      </w:r>
      <w:r>
        <w:rPr>
          <w:color w:val="231F20"/>
          <w:w w:val="105"/>
        </w:rPr>
        <w:t>a</w:t>
      </w:r>
      <w:r>
        <w:rPr>
          <w:color w:val="231F20"/>
          <w:spacing w:val="-4"/>
          <w:w w:val="105"/>
        </w:rPr>
        <w:t> </w:t>
      </w:r>
      <w:r>
        <w:rPr>
          <w:color w:val="231F20"/>
          <w:w w:val="105"/>
        </w:rPr>
        <w:t>phar- maceutical</w:t>
      </w:r>
      <w:r>
        <w:rPr>
          <w:color w:val="231F20"/>
          <w:spacing w:val="-13"/>
          <w:w w:val="105"/>
        </w:rPr>
        <w:t> </w:t>
      </w:r>
      <w:r>
        <w:rPr>
          <w:color w:val="231F20"/>
          <w:w w:val="105"/>
        </w:rPr>
        <w:t>company</w:t>
      </w:r>
      <w:r>
        <w:rPr>
          <w:color w:val="231F20"/>
          <w:spacing w:val="-12"/>
          <w:w w:val="105"/>
        </w:rPr>
        <w:t> </w:t>
      </w:r>
      <w:r>
        <w:rPr>
          <w:color w:val="231F20"/>
          <w:w w:val="105"/>
        </w:rPr>
        <w:t>holds</w:t>
      </w:r>
      <w:r>
        <w:rPr>
          <w:color w:val="231F20"/>
          <w:spacing w:val="-12"/>
          <w:w w:val="105"/>
        </w:rPr>
        <w:t> </w:t>
      </w:r>
      <w:r>
        <w:rPr>
          <w:color w:val="231F20"/>
          <w:w w:val="105"/>
        </w:rPr>
        <w:t>an</w:t>
      </w:r>
      <w:r>
        <w:rPr>
          <w:color w:val="231F20"/>
          <w:spacing w:val="-12"/>
          <w:w w:val="105"/>
        </w:rPr>
        <w:t> </w:t>
      </w:r>
      <w:r>
        <w:rPr>
          <w:color w:val="231F20"/>
          <w:w w:val="105"/>
        </w:rPr>
        <w:t>exclusive</w:t>
      </w:r>
      <w:r>
        <w:rPr>
          <w:color w:val="231F20"/>
          <w:spacing w:val="-12"/>
          <w:w w:val="105"/>
        </w:rPr>
        <w:t> </w:t>
      </w:r>
      <w:r>
        <w:rPr>
          <w:color w:val="231F20"/>
          <w:w w:val="105"/>
        </w:rPr>
        <w:t>patent,</w:t>
      </w:r>
      <w:r>
        <w:rPr>
          <w:color w:val="231F20"/>
          <w:spacing w:val="-12"/>
          <w:w w:val="105"/>
        </w:rPr>
        <w:t> </w:t>
      </w:r>
      <w:r>
        <w:rPr>
          <w:color w:val="231F20"/>
          <w:w w:val="105"/>
        </w:rPr>
        <w:t>as</w:t>
      </w:r>
      <w:r>
        <w:rPr>
          <w:color w:val="231F20"/>
          <w:spacing w:val="-12"/>
          <w:w w:val="105"/>
        </w:rPr>
        <w:t> </w:t>
      </w:r>
      <w:r>
        <w:rPr>
          <w:color w:val="231F20"/>
          <w:w w:val="105"/>
        </w:rPr>
        <w:t>GlaxoSmithKline does for its AIDS drug AZT, it can charge thousands of dollars for </w:t>
      </w:r>
      <w:r>
        <w:rPr>
          <w:color w:val="231F20"/>
        </w:rPr>
        <w:t>treatments</w:t>
      </w:r>
      <w:r>
        <w:rPr>
          <w:color w:val="231F20"/>
          <w:spacing w:val="7"/>
        </w:rPr>
        <w:t> </w:t>
      </w:r>
      <w:r>
        <w:rPr>
          <w:color w:val="231F20"/>
        </w:rPr>
        <w:t>that</w:t>
      </w:r>
      <w:r>
        <w:rPr>
          <w:color w:val="231F20"/>
          <w:spacing w:val="8"/>
        </w:rPr>
        <w:t> </w:t>
      </w:r>
      <w:r>
        <w:rPr>
          <w:color w:val="231F20"/>
        </w:rPr>
        <w:t>cost</w:t>
      </w:r>
      <w:r>
        <w:rPr>
          <w:color w:val="231F20"/>
          <w:spacing w:val="7"/>
        </w:rPr>
        <w:t> </w:t>
      </w:r>
      <w:r>
        <w:rPr>
          <w:color w:val="231F20"/>
        </w:rPr>
        <w:t>little</w:t>
      </w:r>
      <w:r>
        <w:rPr>
          <w:color w:val="231F20"/>
          <w:spacing w:val="8"/>
        </w:rPr>
        <w:t> </w:t>
      </w:r>
      <w:r>
        <w:rPr>
          <w:color w:val="231F20"/>
        </w:rPr>
        <w:t>to</w:t>
      </w:r>
      <w:r>
        <w:rPr>
          <w:color w:val="231F20"/>
          <w:spacing w:val="8"/>
        </w:rPr>
        <w:t> </w:t>
      </w:r>
      <w:r>
        <w:rPr>
          <w:color w:val="231F20"/>
        </w:rPr>
        <w:t>produce.</w:t>
      </w:r>
      <w:r>
        <w:rPr>
          <w:color w:val="231F20"/>
          <w:spacing w:val="7"/>
        </w:rPr>
        <w:t> </w:t>
      </w:r>
      <w:r>
        <w:rPr>
          <w:color w:val="231F20"/>
        </w:rPr>
        <w:t>Government</w:t>
      </w:r>
      <w:r>
        <w:rPr>
          <w:color w:val="231F20"/>
          <w:spacing w:val="8"/>
        </w:rPr>
        <w:t> </w:t>
      </w:r>
      <w:r>
        <w:rPr>
          <w:color w:val="231F20"/>
        </w:rPr>
        <w:t>regulation</w:t>
      </w:r>
      <w:r>
        <w:rPr>
          <w:color w:val="231F20"/>
          <w:spacing w:val="8"/>
        </w:rPr>
        <w:t> </w:t>
      </w:r>
      <w:r>
        <w:rPr>
          <w:color w:val="231F20"/>
        </w:rPr>
        <w:t>is</w:t>
      </w:r>
      <w:r>
        <w:rPr>
          <w:color w:val="231F20"/>
          <w:spacing w:val="7"/>
        </w:rPr>
        <w:t> </w:t>
      </w:r>
      <w:r>
        <w:rPr>
          <w:color w:val="231F20"/>
          <w:spacing w:val="-4"/>
        </w:rPr>
        <w:t>usu-</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3"/>
        <w:jc w:val="both"/>
      </w:pPr>
      <w:r>
        <w:rPr>
          <w:color w:val="231F20"/>
        </w:rPr>
        <w:t>ally the only restraint on greed. For a monopoly to exist there shouldn’t be any close substitutes to which consumers can switch.</w:t>
      </w:r>
    </w:p>
    <w:p>
      <w:pPr>
        <w:pStyle w:val="BodyText"/>
        <w:spacing w:before="6"/>
        <w:rPr>
          <w:sz w:val="25"/>
        </w:rPr>
      </w:pPr>
    </w:p>
    <w:p>
      <w:pPr>
        <w:pStyle w:val="BodyText"/>
        <w:spacing w:line="292" w:lineRule="auto"/>
        <w:ind w:left="920" w:right="665"/>
        <w:jc w:val="both"/>
      </w:pPr>
      <w:r>
        <w:rPr>
          <w:i/>
          <w:color w:val="231F20"/>
        </w:rPr>
        <w:t>Oligopoly. </w:t>
      </w:r>
      <w:r>
        <w:rPr>
          <w:color w:val="231F20"/>
        </w:rPr>
        <w:t>When there are only a few suppliers for a product for which there are few substitutes, then what prevails is an </w:t>
      </w:r>
      <w:r>
        <w:rPr>
          <w:i/>
          <w:color w:val="231F20"/>
        </w:rPr>
        <w:t>oligopoly.</w:t>
      </w:r>
      <w:r>
        <w:rPr>
          <w:i/>
          <w:color w:val="231F20"/>
        </w:rPr>
        <w:t> </w:t>
      </w:r>
      <w:r>
        <w:rPr>
          <w:color w:val="231F20"/>
        </w:rPr>
        <w:t>With only a few competitors, prices can be maintained at high levels</w:t>
      </w:r>
      <w:r>
        <w:rPr>
          <w:color w:val="231F20"/>
          <w:spacing w:val="40"/>
        </w:rPr>
        <w:t> </w:t>
      </w:r>
      <w:r>
        <w:rPr>
          <w:color w:val="231F20"/>
        </w:rPr>
        <w:t>if the producers choose not to compete on price. If not, the market players can engage in price wars that can push prices down. </w:t>
      </w:r>
      <w:r>
        <w:rPr>
          <w:color w:val="231F20"/>
        </w:rPr>
        <w:t>Airlines are</w:t>
      </w:r>
      <w:r>
        <w:rPr>
          <w:color w:val="231F20"/>
          <w:spacing w:val="40"/>
        </w:rPr>
        <w:t> </w:t>
      </w:r>
      <w:r>
        <w:rPr>
          <w:color w:val="231F20"/>
        </w:rPr>
        <w:t>a</w:t>
      </w:r>
      <w:r>
        <w:rPr>
          <w:color w:val="231F20"/>
          <w:spacing w:val="40"/>
        </w:rPr>
        <w:t> </w:t>
      </w:r>
      <w:r>
        <w:rPr>
          <w:color w:val="231F20"/>
        </w:rPr>
        <w:t>good</w:t>
      </w:r>
      <w:r>
        <w:rPr>
          <w:color w:val="231F20"/>
          <w:spacing w:val="40"/>
        </w:rPr>
        <w:t> </w:t>
      </w:r>
      <w:r>
        <w:rPr>
          <w:color w:val="231F20"/>
        </w:rPr>
        <w:t>example</w:t>
      </w:r>
      <w:r>
        <w:rPr>
          <w:color w:val="231F20"/>
          <w:spacing w:val="40"/>
        </w:rPr>
        <w:t> </w:t>
      </w:r>
      <w:r>
        <w:rPr>
          <w:color w:val="231F20"/>
        </w:rPr>
        <w:t>of</w:t>
      </w:r>
      <w:r>
        <w:rPr>
          <w:color w:val="231F20"/>
          <w:spacing w:val="40"/>
        </w:rPr>
        <w:t> </w:t>
      </w:r>
      <w:r>
        <w:rPr>
          <w:color w:val="231F20"/>
        </w:rPr>
        <w:t>both</w:t>
      </w:r>
      <w:r>
        <w:rPr>
          <w:color w:val="231F20"/>
          <w:spacing w:val="40"/>
        </w:rPr>
        <w:t> </w:t>
      </w:r>
      <w:r>
        <w:rPr>
          <w:color w:val="231F20"/>
        </w:rPr>
        <w:t>of</w:t>
      </w:r>
      <w:r>
        <w:rPr>
          <w:color w:val="231F20"/>
          <w:spacing w:val="40"/>
        </w:rPr>
        <w:t> </w:t>
      </w:r>
      <w:r>
        <w:rPr>
          <w:color w:val="231F20"/>
        </w:rPr>
        <w:t>these</w:t>
      </w:r>
      <w:r>
        <w:rPr>
          <w:color w:val="231F20"/>
          <w:spacing w:val="40"/>
        </w:rPr>
        <w:t> </w:t>
      </w:r>
      <w:r>
        <w:rPr>
          <w:color w:val="231F20"/>
        </w:rPr>
        <w:t>conditions.</w:t>
      </w:r>
      <w:r>
        <w:rPr>
          <w:color w:val="231F20"/>
          <w:spacing w:val="40"/>
        </w:rPr>
        <w:t> </w:t>
      </w:r>
      <w:r>
        <w:rPr>
          <w:color w:val="231F20"/>
        </w:rPr>
        <w:t>Occasionally</w:t>
      </w:r>
      <w:r>
        <w:rPr>
          <w:color w:val="231F20"/>
          <w:spacing w:val="40"/>
        </w:rPr>
        <w:t> </w:t>
      </w:r>
      <w:r>
        <w:rPr>
          <w:color w:val="231F20"/>
        </w:rPr>
        <w:t>on busy routes price wars break out, but once it becomes clear that no- body can win, oligopolists return prices to higher levels.</w:t>
      </w:r>
    </w:p>
    <w:p>
      <w:pPr>
        <w:pStyle w:val="BodyText"/>
        <w:spacing w:before="4"/>
        <w:rPr>
          <w:sz w:val="25"/>
        </w:rPr>
      </w:pPr>
    </w:p>
    <w:p>
      <w:pPr>
        <w:pStyle w:val="BodyText"/>
        <w:spacing w:line="292" w:lineRule="auto"/>
        <w:ind w:left="920" w:right="663"/>
        <w:jc w:val="both"/>
      </w:pPr>
      <w:r>
        <w:rPr>
          <w:i/>
          <w:color w:val="231F20"/>
        </w:rPr>
        <w:t>Monopolistic Competition. </w:t>
      </w:r>
      <w:r>
        <w:rPr>
          <w:color w:val="231F20"/>
        </w:rPr>
        <w:t>In a market where there are many </w:t>
      </w:r>
      <w:r>
        <w:rPr>
          <w:color w:val="231F20"/>
        </w:rPr>
        <w:t>pro- ducers with products that can be differentiated, </w:t>
      </w:r>
      <w:r>
        <w:rPr>
          <w:i/>
          <w:color w:val="231F20"/>
        </w:rPr>
        <w:t>monopolistic com-</w:t>
      </w:r>
      <w:r>
        <w:rPr>
          <w:i/>
          <w:color w:val="231F20"/>
        </w:rPr>
        <w:t> petition </w:t>
      </w:r>
      <w:r>
        <w:rPr>
          <w:color w:val="231F20"/>
        </w:rPr>
        <w:t>can occur. Copy stores are known for this. The copies may</w:t>
      </w:r>
      <w:r>
        <w:rPr>
          <w:color w:val="231F20"/>
          <w:spacing w:val="80"/>
          <w:w w:val="150"/>
        </w:rPr>
        <w:t> </w:t>
      </w:r>
      <w:r>
        <w:rPr>
          <w:color w:val="231F20"/>
        </w:rPr>
        <w:t>be the same, but the service varies. FedEx Kinko’s copy centers, for example, sell copies for seven cents each, while some economy shops charge only five cents a copy. FedEx Kinko’s justifies the higher price by being open twenty-four hours, and offering competent and friendly</w:t>
      </w:r>
      <w:r>
        <w:rPr>
          <w:color w:val="231F20"/>
          <w:spacing w:val="-4"/>
        </w:rPr>
        <w:t> </w:t>
      </w:r>
      <w:r>
        <w:rPr>
          <w:color w:val="231F20"/>
        </w:rPr>
        <w:t>service</w:t>
      </w:r>
      <w:r>
        <w:rPr>
          <w:color w:val="231F20"/>
          <w:spacing w:val="-4"/>
        </w:rPr>
        <w:t> </w:t>
      </w:r>
      <w:r>
        <w:rPr>
          <w:color w:val="231F20"/>
        </w:rPr>
        <w:t>in</w:t>
      </w:r>
      <w:r>
        <w:rPr>
          <w:color w:val="231F20"/>
          <w:spacing w:val="-4"/>
        </w:rPr>
        <w:t> </w:t>
      </w:r>
      <w:r>
        <w:rPr>
          <w:color w:val="231F20"/>
        </w:rPr>
        <w:t>clean</w:t>
      </w:r>
      <w:r>
        <w:rPr>
          <w:color w:val="231F20"/>
          <w:spacing w:val="-4"/>
        </w:rPr>
        <w:t> </w:t>
      </w:r>
      <w:r>
        <w:rPr>
          <w:color w:val="231F20"/>
        </w:rPr>
        <w:t>stores.</w:t>
      </w:r>
      <w:r>
        <w:rPr>
          <w:color w:val="231F20"/>
          <w:spacing w:val="-4"/>
        </w:rPr>
        <w:t> </w:t>
      </w:r>
      <w:r>
        <w:rPr>
          <w:color w:val="231F20"/>
        </w:rPr>
        <w:t>The</w:t>
      </w:r>
      <w:r>
        <w:rPr>
          <w:color w:val="231F20"/>
          <w:spacing w:val="-4"/>
        </w:rPr>
        <w:t> </w:t>
      </w:r>
      <w:r>
        <w:rPr>
          <w:color w:val="231F20"/>
        </w:rPr>
        <w:t>lower-priced</w:t>
      </w:r>
      <w:r>
        <w:rPr>
          <w:color w:val="231F20"/>
          <w:spacing w:val="-4"/>
        </w:rPr>
        <w:t> </w:t>
      </w:r>
      <w:r>
        <w:rPr>
          <w:color w:val="231F20"/>
        </w:rPr>
        <w:t>shops</w:t>
      </w:r>
      <w:r>
        <w:rPr>
          <w:color w:val="231F20"/>
          <w:spacing w:val="-4"/>
        </w:rPr>
        <w:t> </w:t>
      </w:r>
      <w:r>
        <w:rPr>
          <w:color w:val="231F20"/>
        </w:rPr>
        <w:t>provide</w:t>
      </w:r>
      <w:r>
        <w:rPr>
          <w:color w:val="231F20"/>
          <w:spacing w:val="-4"/>
        </w:rPr>
        <w:t> </w:t>
      </w:r>
      <w:r>
        <w:rPr>
          <w:color w:val="231F20"/>
        </w:rPr>
        <w:t>bare- bones service. But the existence of discounters places a lid on copy prices for the whole market. FedEx Kinko’s would most likely expe- rience</w:t>
      </w:r>
      <w:r>
        <w:rPr>
          <w:color w:val="231F20"/>
          <w:spacing w:val="-1"/>
        </w:rPr>
        <w:t> </w:t>
      </w:r>
      <w:r>
        <w:rPr>
          <w:color w:val="231F20"/>
        </w:rPr>
        <w:t>a</w:t>
      </w:r>
      <w:r>
        <w:rPr>
          <w:color w:val="231F20"/>
          <w:spacing w:val="-1"/>
        </w:rPr>
        <w:t> </w:t>
      </w:r>
      <w:r>
        <w:rPr>
          <w:color w:val="231F20"/>
        </w:rPr>
        <w:t>downturn</w:t>
      </w:r>
      <w:r>
        <w:rPr>
          <w:color w:val="231F20"/>
          <w:spacing w:val="-1"/>
        </w:rPr>
        <w:t> </w:t>
      </w:r>
      <w:r>
        <w:rPr>
          <w:color w:val="231F20"/>
        </w:rPr>
        <w:t>if</w:t>
      </w:r>
      <w:r>
        <w:rPr>
          <w:color w:val="231F20"/>
          <w:spacing w:val="-1"/>
        </w:rPr>
        <w:t> </w:t>
      </w:r>
      <w:r>
        <w:rPr>
          <w:color w:val="231F20"/>
        </w:rPr>
        <w:t>its</w:t>
      </w:r>
      <w:r>
        <w:rPr>
          <w:color w:val="231F20"/>
          <w:spacing w:val="-1"/>
        </w:rPr>
        <w:t> </w:t>
      </w:r>
      <w:r>
        <w:rPr>
          <w:color w:val="231F20"/>
        </w:rPr>
        <w:t>prices</w:t>
      </w:r>
      <w:r>
        <w:rPr>
          <w:color w:val="231F20"/>
          <w:spacing w:val="-1"/>
        </w:rPr>
        <w:t> </w:t>
      </w:r>
      <w:r>
        <w:rPr>
          <w:color w:val="231F20"/>
        </w:rPr>
        <w:t>were</w:t>
      </w:r>
      <w:r>
        <w:rPr>
          <w:color w:val="231F20"/>
          <w:spacing w:val="-1"/>
        </w:rPr>
        <w:t> </w:t>
      </w:r>
      <w:r>
        <w:rPr>
          <w:color w:val="231F20"/>
        </w:rPr>
        <w:t>two</w:t>
      </w:r>
      <w:r>
        <w:rPr>
          <w:color w:val="231F20"/>
          <w:spacing w:val="-1"/>
        </w:rPr>
        <w:t> </w:t>
      </w:r>
      <w:r>
        <w:rPr>
          <w:color w:val="231F20"/>
        </w:rPr>
        <w:t>or</w:t>
      </w:r>
      <w:r>
        <w:rPr>
          <w:color w:val="231F20"/>
          <w:spacing w:val="-1"/>
        </w:rPr>
        <w:t> </w:t>
      </w:r>
      <w:r>
        <w:rPr>
          <w:color w:val="231F20"/>
        </w:rPr>
        <w:t>three</w:t>
      </w:r>
      <w:r>
        <w:rPr>
          <w:color w:val="231F20"/>
          <w:spacing w:val="-1"/>
        </w:rPr>
        <w:t> </w:t>
      </w:r>
      <w:r>
        <w:rPr>
          <w:color w:val="231F20"/>
        </w:rPr>
        <w:t>times</w:t>
      </w:r>
      <w:r>
        <w:rPr>
          <w:color w:val="231F20"/>
          <w:spacing w:val="-1"/>
        </w:rPr>
        <w:t> </w:t>
      </w:r>
      <w:r>
        <w:rPr>
          <w:color w:val="231F20"/>
        </w:rPr>
        <w:t>those</w:t>
      </w:r>
      <w:r>
        <w:rPr>
          <w:color w:val="231F20"/>
          <w:spacing w:val="-1"/>
        </w:rPr>
        <w:t> </w:t>
      </w:r>
      <w:r>
        <w:rPr>
          <w:color w:val="231F20"/>
        </w:rPr>
        <w:t>of</w:t>
      </w:r>
      <w:r>
        <w:rPr>
          <w:color w:val="231F20"/>
          <w:spacing w:val="-1"/>
        </w:rPr>
        <w:t> </w:t>
      </w:r>
      <w:r>
        <w:rPr>
          <w:color w:val="231F20"/>
        </w:rPr>
        <w:t>econ- omy shops.</w:t>
      </w:r>
    </w:p>
    <w:p>
      <w:pPr>
        <w:pStyle w:val="BodyText"/>
        <w:spacing w:before="2"/>
        <w:rPr>
          <w:sz w:val="25"/>
        </w:rPr>
      </w:pPr>
    </w:p>
    <w:p>
      <w:pPr>
        <w:pStyle w:val="BodyText"/>
        <w:spacing w:line="292" w:lineRule="auto"/>
        <w:ind w:left="919" w:right="666"/>
        <w:jc w:val="both"/>
      </w:pPr>
      <w:r>
        <w:rPr>
          <w:i/>
          <w:color w:val="231F20"/>
        </w:rPr>
        <w:t>Pure Competition. </w:t>
      </w:r>
      <w:r>
        <w:rPr>
          <w:color w:val="231F20"/>
        </w:rPr>
        <w:t>In </w:t>
      </w:r>
      <w:r>
        <w:rPr>
          <w:i/>
          <w:color w:val="231F20"/>
        </w:rPr>
        <w:t>pure competition </w:t>
      </w:r>
      <w:r>
        <w:rPr>
          <w:color w:val="231F20"/>
        </w:rPr>
        <w:t>there are many </w:t>
      </w:r>
      <w:r>
        <w:rPr>
          <w:color w:val="231F20"/>
        </w:rPr>
        <w:t>competitors selling</w:t>
      </w:r>
      <w:r>
        <w:rPr>
          <w:color w:val="231F20"/>
          <w:spacing w:val="40"/>
        </w:rPr>
        <w:t> </w:t>
      </w:r>
      <w:r>
        <w:rPr>
          <w:color w:val="231F20"/>
        </w:rPr>
        <w:t>a</w:t>
      </w:r>
      <w:r>
        <w:rPr>
          <w:color w:val="231F20"/>
          <w:spacing w:val="40"/>
        </w:rPr>
        <w:t> </w:t>
      </w:r>
      <w:r>
        <w:rPr>
          <w:color w:val="231F20"/>
        </w:rPr>
        <w:t>similar,</w:t>
      </w:r>
      <w:r>
        <w:rPr>
          <w:color w:val="231F20"/>
          <w:spacing w:val="40"/>
        </w:rPr>
        <w:t> </w:t>
      </w:r>
      <w:r>
        <w:rPr>
          <w:color w:val="231F20"/>
        </w:rPr>
        <w:t>substitutable</w:t>
      </w:r>
      <w:r>
        <w:rPr>
          <w:color w:val="231F20"/>
          <w:spacing w:val="40"/>
        </w:rPr>
        <w:t> </w:t>
      </w:r>
      <w:r>
        <w:rPr>
          <w:color w:val="231F20"/>
        </w:rPr>
        <w:t>product.</w:t>
      </w:r>
      <w:r>
        <w:rPr>
          <w:color w:val="231F20"/>
          <w:spacing w:val="40"/>
        </w:rPr>
        <w:t> </w:t>
      </w:r>
      <w:r>
        <w:rPr>
          <w:color w:val="231F20"/>
        </w:rPr>
        <w:t>Marketing</w:t>
      </w:r>
      <w:r>
        <w:rPr>
          <w:color w:val="231F20"/>
          <w:spacing w:val="40"/>
        </w:rPr>
        <w:t> </w:t>
      </w:r>
      <w:r>
        <w:rPr>
          <w:color w:val="231F20"/>
        </w:rPr>
        <w:t>does</w:t>
      </w:r>
      <w:r>
        <w:rPr>
          <w:color w:val="231F20"/>
          <w:spacing w:val="40"/>
        </w:rPr>
        <w:t> </w:t>
      </w:r>
      <w:r>
        <w:rPr>
          <w:color w:val="231F20"/>
        </w:rPr>
        <w:t>not</w:t>
      </w:r>
      <w:r>
        <w:rPr>
          <w:color w:val="231F20"/>
          <w:spacing w:val="40"/>
        </w:rPr>
        <w:t> </w:t>
      </w:r>
      <w:r>
        <w:rPr>
          <w:color w:val="231F20"/>
        </w:rPr>
        <w:t>affect the price producers can get. Gold, silver, wheat, and corn are prod- ucts that fit into this category. Many suppliers and buyers compete</w:t>
      </w:r>
      <w:r>
        <w:rPr>
          <w:color w:val="231F20"/>
          <w:spacing w:val="40"/>
        </w:rPr>
        <w:t> </w:t>
      </w:r>
      <w:r>
        <w:rPr>
          <w:color w:val="231F20"/>
        </w:rPr>
        <w:t>on commodity exchanges, and the prices are determined by the mar- ket forces of supply and demand. The producers are “price takers” from the market that arrives at prices by competitive bidding.</w:t>
      </w:r>
    </w:p>
    <w:p>
      <w:pPr>
        <w:pStyle w:val="BodyText"/>
        <w:spacing w:before="5"/>
        <w:rPr>
          <w:sz w:val="25"/>
        </w:rPr>
      </w:pPr>
    </w:p>
    <w:p>
      <w:pPr>
        <w:pStyle w:val="BodyText"/>
        <w:spacing w:line="292" w:lineRule="auto"/>
        <w:ind w:left="919" w:right="663" w:firstLine="340"/>
        <w:jc w:val="both"/>
      </w:pPr>
      <w:r>
        <w:rPr>
          <w:color w:val="231F20"/>
        </w:rPr>
        <w:t>In summary, when you are thinking about the specific market conditions of an industry, a company, or the buying behavior of </w:t>
      </w:r>
      <w:r>
        <w:rPr>
          <w:color w:val="231F20"/>
        </w:rPr>
        <w:t>indi- viduals,</w:t>
      </w:r>
      <w:r>
        <w:rPr>
          <w:color w:val="231F20"/>
          <w:spacing w:val="63"/>
          <w:w w:val="150"/>
        </w:rPr>
        <w:t> </w:t>
      </w:r>
      <w:r>
        <w:rPr>
          <w:color w:val="231F20"/>
        </w:rPr>
        <w:t>microeconomic</w:t>
      </w:r>
      <w:r>
        <w:rPr>
          <w:color w:val="231F20"/>
          <w:spacing w:val="64"/>
          <w:w w:val="150"/>
        </w:rPr>
        <w:t> </w:t>
      </w:r>
      <w:r>
        <w:rPr>
          <w:color w:val="231F20"/>
        </w:rPr>
        <w:t>theory</w:t>
      </w:r>
      <w:r>
        <w:rPr>
          <w:color w:val="231F20"/>
          <w:spacing w:val="63"/>
          <w:w w:val="150"/>
        </w:rPr>
        <w:t> </w:t>
      </w:r>
      <w:r>
        <w:rPr>
          <w:color w:val="231F20"/>
        </w:rPr>
        <w:t>governs.</w:t>
      </w:r>
      <w:r>
        <w:rPr>
          <w:color w:val="231F20"/>
          <w:spacing w:val="64"/>
          <w:w w:val="150"/>
        </w:rPr>
        <w:t> </w:t>
      </w:r>
      <w:r>
        <w:rPr>
          <w:color w:val="231F20"/>
        </w:rPr>
        <w:t>Industries</w:t>
      </w:r>
      <w:r>
        <w:rPr>
          <w:color w:val="231F20"/>
          <w:spacing w:val="63"/>
          <w:w w:val="150"/>
        </w:rPr>
        <w:t> </w:t>
      </w:r>
      <w:r>
        <w:rPr>
          <w:color w:val="231F20"/>
        </w:rPr>
        <w:t>produce</w:t>
      </w:r>
      <w:r>
        <w:rPr>
          <w:color w:val="231F20"/>
          <w:spacing w:val="64"/>
          <w:w w:val="150"/>
        </w:rPr>
        <w:t> </w:t>
      </w:r>
      <w:r>
        <w:rPr>
          <w:color w:val="231F20"/>
          <w:spacing w:val="-5"/>
        </w:rPr>
        <w:t>the</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3"/>
        <w:jc w:val="both"/>
      </w:pPr>
      <w:r>
        <w:rPr>
          <w:color w:val="231F20"/>
        </w:rPr>
        <w:t>quantity that meets demand at an equilibrium price based on the competitive market structure. Companies produce the quantity at which the marginal revenue of the last unit produced equals the marginal cost. Individuals purchase based on their elasticity of </w:t>
      </w:r>
      <w:r>
        <w:rPr>
          <w:color w:val="231F20"/>
          <w:spacing w:val="-2"/>
        </w:rPr>
        <w:t>demand.</w:t>
      </w:r>
    </w:p>
    <w:p>
      <w:pPr>
        <w:pStyle w:val="BodyText"/>
        <w:rPr>
          <w:sz w:val="24"/>
        </w:rPr>
      </w:pPr>
    </w:p>
    <w:p>
      <w:pPr>
        <w:pStyle w:val="BodyText"/>
        <w:spacing w:before="9"/>
        <w:rPr>
          <w:sz w:val="24"/>
        </w:rPr>
      </w:pPr>
    </w:p>
    <w:p>
      <w:pPr>
        <w:pStyle w:val="Heading4"/>
        <w:ind w:left="300"/>
      </w:pPr>
      <w:r>
        <w:rPr>
          <w:color w:val="231F20"/>
          <w:spacing w:val="9"/>
          <w:w w:val="95"/>
        </w:rPr>
        <w:t>MACROECONOMICS</w:t>
      </w:r>
    </w:p>
    <w:p>
      <w:pPr>
        <w:pStyle w:val="BodyText"/>
        <w:spacing w:before="10"/>
        <w:rPr>
          <w:rFonts w:ascii="Trebuchet MS"/>
          <w:sz w:val="29"/>
        </w:rPr>
      </w:pPr>
    </w:p>
    <w:p>
      <w:pPr>
        <w:pStyle w:val="BodyText"/>
        <w:spacing w:line="292" w:lineRule="auto" w:before="1"/>
        <w:ind w:left="830" w:right="753"/>
        <w:jc w:val="both"/>
      </w:pPr>
      <w:r>
        <w:rPr>
          <w:color w:val="231F20"/>
        </w:rPr>
        <w:t>MBAs study macroeconomics to understand the forces that shape</w:t>
      </w:r>
      <w:r>
        <w:rPr>
          <w:color w:val="231F20"/>
          <w:spacing w:val="80"/>
        </w:rPr>
        <w:t> </w:t>
      </w:r>
      <w:r>
        <w:rPr>
          <w:color w:val="231F20"/>
        </w:rPr>
        <w:t>the larger economy in which their companies operate. Is a </w:t>
      </w:r>
      <w:r>
        <w:rPr>
          <w:color w:val="231F20"/>
        </w:rPr>
        <w:t>recession coming? Are interest rates heading up? Is inflation a threat? Those are legitimate questions that business owners need to ask and con- sider. Even though theories may not offer you the answers, knowing the fundamental principles of macroeconomics may provide the framework within which to make intelligent guesses about the</w:t>
      </w:r>
      <w:r>
        <w:rPr>
          <w:color w:val="231F20"/>
          <w:spacing w:val="40"/>
        </w:rPr>
        <w:t> </w:t>
      </w:r>
      <w:r>
        <w:rPr>
          <w:color w:val="231F20"/>
          <w:spacing w:val="-2"/>
        </w:rPr>
        <w:t>future.</w:t>
      </w:r>
    </w:p>
    <w:p>
      <w:pPr>
        <w:pStyle w:val="BodyText"/>
        <w:rPr>
          <w:sz w:val="24"/>
        </w:rPr>
      </w:pPr>
    </w:p>
    <w:p>
      <w:pPr>
        <w:pStyle w:val="BodyText"/>
        <w:spacing w:before="10"/>
        <w:rPr>
          <w:sz w:val="26"/>
        </w:rPr>
      </w:pPr>
    </w:p>
    <w:p>
      <w:pPr>
        <w:pStyle w:val="Heading6"/>
        <w:spacing w:line="292" w:lineRule="auto" w:before="1"/>
        <w:ind w:left="1041" w:right="958"/>
      </w:pPr>
      <w:r>
        <w:rPr>
          <w:i/>
          <w:color w:val="231F20"/>
          <w:w w:val="110"/>
        </w:rPr>
        <w:t>THE</w:t>
      </w:r>
      <w:r>
        <w:rPr>
          <w:i/>
          <w:color w:val="231F20"/>
          <w:spacing w:val="40"/>
          <w:w w:val="110"/>
        </w:rPr>
        <w:t> </w:t>
      </w:r>
      <w:r>
        <w:rPr>
          <w:i/>
          <w:color w:val="231F20"/>
          <w:w w:val="110"/>
        </w:rPr>
        <w:t>BATTLE</w:t>
      </w:r>
      <w:r>
        <w:rPr>
          <w:i/>
          <w:color w:val="231F20"/>
          <w:spacing w:val="40"/>
          <w:w w:val="110"/>
        </w:rPr>
        <w:t> </w:t>
      </w:r>
      <w:r>
        <w:rPr>
          <w:i/>
          <w:color w:val="231F20"/>
          <w:w w:val="110"/>
        </w:rPr>
        <w:t>OVER</w:t>
      </w:r>
      <w:r>
        <w:rPr>
          <w:i/>
          <w:color w:val="231F20"/>
          <w:spacing w:val="40"/>
          <w:w w:val="110"/>
        </w:rPr>
        <w:t> </w:t>
      </w:r>
      <w:r>
        <w:rPr>
          <w:i/>
          <w:color w:val="231F20"/>
          <w:w w:val="110"/>
        </w:rPr>
        <w:t>HOW</w:t>
      </w:r>
      <w:r>
        <w:rPr>
          <w:i/>
          <w:color w:val="231F20"/>
          <w:spacing w:val="40"/>
          <w:w w:val="110"/>
        </w:rPr>
        <w:t> </w:t>
      </w:r>
      <w:r>
        <w:rPr>
          <w:i/>
          <w:color w:val="231F20"/>
          <w:w w:val="110"/>
        </w:rPr>
        <w:t>THE</w:t>
      </w:r>
      <w:r>
        <w:rPr>
          <w:i/>
          <w:color w:val="231F20"/>
          <w:spacing w:val="40"/>
          <w:w w:val="110"/>
        </w:rPr>
        <w:t> </w:t>
      </w:r>
      <w:r>
        <w:rPr>
          <w:i/>
          <w:color w:val="231F20"/>
          <w:w w:val="110"/>
        </w:rPr>
        <w:t>ECONOMY</w:t>
      </w:r>
      <w:r>
        <w:rPr>
          <w:i/>
          <w:color w:val="231F20"/>
          <w:spacing w:val="10"/>
          <w:w w:val="110"/>
        </w:rPr>
        <w:t> WORKS:</w:t>
      </w:r>
      <w:r>
        <w:rPr>
          <w:color w:val="231F20"/>
          <w:spacing w:val="10"/>
          <w:w w:val="110"/>
        </w:rPr>
        <w:t> </w:t>
      </w:r>
      <w:r>
        <w:rPr>
          <w:color w:val="231F20"/>
          <w:w w:val="110"/>
        </w:rPr>
        <w:t>KEYNES</w:t>
      </w:r>
      <w:r>
        <w:rPr>
          <w:color w:val="231F20"/>
          <w:w w:val="110"/>
        </w:rPr>
        <w:t> VERSUS</w:t>
      </w:r>
      <w:r>
        <w:rPr>
          <w:color w:val="231F20"/>
          <w:w w:val="110"/>
        </w:rPr>
        <w:t> </w:t>
      </w:r>
      <w:r>
        <w:rPr>
          <w:color w:val="231F20"/>
          <w:spacing w:val="10"/>
          <w:w w:val="110"/>
        </w:rPr>
        <w:t>FRIEDMAN</w:t>
      </w:r>
    </w:p>
    <w:p>
      <w:pPr>
        <w:pStyle w:val="BodyText"/>
        <w:spacing w:before="6"/>
        <w:rPr>
          <w:b/>
          <w:i/>
          <w:sz w:val="25"/>
        </w:rPr>
      </w:pPr>
    </w:p>
    <w:p>
      <w:pPr>
        <w:pStyle w:val="BodyText"/>
        <w:spacing w:line="292" w:lineRule="auto"/>
        <w:ind w:left="830" w:right="756"/>
        <w:jc w:val="both"/>
      </w:pPr>
      <w:r>
        <w:rPr>
          <w:color w:val="231F20"/>
        </w:rPr>
        <w:t>Economists rarely agree on what </w:t>
      </w:r>
      <w:r>
        <w:rPr>
          <w:i/>
          <w:color w:val="231F20"/>
        </w:rPr>
        <w:t>drives </w:t>
      </w:r>
      <w:r>
        <w:rPr>
          <w:color w:val="231F20"/>
        </w:rPr>
        <w:t>the economy. Just as </w:t>
      </w:r>
      <w:r>
        <w:rPr>
          <w:color w:val="231F20"/>
        </w:rPr>
        <w:t>there</w:t>
      </w:r>
      <w:r>
        <w:rPr>
          <w:color w:val="231F20"/>
          <w:spacing w:val="40"/>
        </w:rPr>
        <w:t> </w:t>
      </w:r>
      <w:r>
        <w:rPr>
          <w:color w:val="231F20"/>
        </w:rPr>
        <w:t>are Democrats and Republicans in politics, there are Keynesians and monetarists in economics. Keynesians hold that government inter- vention can significantly improve the operation of the economy. On the other hand, monetarists believe that markets work best if left alone with minimal government interference.</w:t>
      </w:r>
    </w:p>
    <w:p>
      <w:pPr>
        <w:pStyle w:val="BodyText"/>
        <w:spacing w:line="292" w:lineRule="auto"/>
        <w:ind w:left="829" w:right="756" w:firstLine="340"/>
        <w:jc w:val="both"/>
      </w:pPr>
      <w:r>
        <w:rPr>
          <w:color w:val="231F20"/>
        </w:rPr>
        <w:t>The fathers of these opposing economic camps were </w:t>
      </w:r>
      <w:r>
        <w:rPr>
          <w:color w:val="231F20"/>
        </w:rPr>
        <w:t>profoundly influenced by the times in which they lived. John Maynard Keynes of Cambridge wrote </w:t>
      </w:r>
      <w:r>
        <w:rPr>
          <w:i/>
          <w:color w:val="231F20"/>
        </w:rPr>
        <w:t>The General Theory of Employment, Interest and</w:t>
      </w:r>
      <w:r>
        <w:rPr>
          <w:i/>
          <w:color w:val="231F20"/>
        </w:rPr>
        <w:t> Money </w:t>
      </w:r>
      <w:r>
        <w:rPr>
          <w:color w:val="231F20"/>
        </w:rPr>
        <w:t>(1936), the cornerstone of modern Keynesian macroeco- nomics, in the midst of the chaos of the worldwide Great Depression of the 1930s. Keynes saw the hands-off policies of world leaders as a failure and felt that judicious and timely government intervention could have a stabilizing and beneficial effect on the economy.</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5" w:firstLine="340"/>
        <w:jc w:val="both"/>
      </w:pPr>
      <w:r>
        <w:rPr>
          <w:color w:val="231F20"/>
        </w:rPr>
        <w:t>In the boom years following World War II, Milton Friedman </w:t>
      </w:r>
      <w:r>
        <w:rPr>
          <w:color w:val="231F20"/>
        </w:rPr>
        <w:t>of</w:t>
      </w:r>
      <w:r>
        <w:rPr>
          <w:color w:val="231F20"/>
          <w:spacing w:val="40"/>
        </w:rPr>
        <w:t> </w:t>
      </w:r>
      <w:r>
        <w:rPr>
          <w:color w:val="231F20"/>
        </w:rPr>
        <w:t>the University of Chicago became a forceful advocate of the mone- tarist view of economics. He is the same person who asserts that a business’s sole function is to make profits (see the ethics chapter). Having witnessed the prosperity of the Eisenhower and Kennedy years, he believed in the power of the market to heal itself. Friedman was convinced that government ought to keep its hands off the econ- omy. In areas as varied as income tax policy, agricultural subsidies, public housing, and others, he thought governmental regulation had done more harm than good.</w:t>
      </w:r>
    </w:p>
    <w:p>
      <w:pPr>
        <w:pStyle w:val="BodyText"/>
        <w:spacing w:line="292" w:lineRule="auto"/>
        <w:ind w:left="920" w:right="666" w:firstLine="340"/>
        <w:jc w:val="both"/>
      </w:pPr>
      <w:r>
        <w:rPr>
          <w:color w:val="231F20"/>
        </w:rPr>
        <w:t>The macroeconomic debate of good-versus-evil government </w:t>
      </w:r>
      <w:r>
        <w:rPr>
          <w:color w:val="231F20"/>
        </w:rPr>
        <w:t>oc- cupies an inordinate amount of time at MBA schools. The mostly conservative Republican MBA majority frequently clashes with a small but vocal Democratic minority. Using the following chart as a guide, I feel confident you can argue both sides if you wish to, in true MBA form!</w:t>
      </w:r>
    </w:p>
    <w:p>
      <w:pPr>
        <w:pStyle w:val="BodyText"/>
        <w:spacing w:before="11"/>
        <w:rPr>
          <w:sz w:val="17"/>
        </w:rPr>
      </w:pPr>
    </w:p>
    <w:p>
      <w:pPr>
        <w:spacing w:after="0"/>
        <w:rPr>
          <w:sz w:val="17"/>
        </w:rPr>
        <w:sectPr>
          <w:pgSz w:w="8640" w:h="12960"/>
          <w:pgMar w:header="734" w:footer="0" w:top="920" w:bottom="280" w:left="340" w:right="500"/>
        </w:sectPr>
      </w:pPr>
    </w:p>
    <w:p>
      <w:pPr>
        <w:spacing w:before="93"/>
        <w:ind w:left="1260" w:right="0" w:firstLine="0"/>
        <w:jc w:val="left"/>
        <w:rPr>
          <w:b/>
          <w:i/>
          <w:sz w:val="20"/>
        </w:rPr>
      </w:pPr>
      <w:r>
        <w:rPr>
          <w:b/>
          <w:i/>
          <w:color w:val="231F20"/>
          <w:w w:val="110"/>
          <w:sz w:val="20"/>
        </w:rPr>
        <w:t>KEYNESIAN</w:t>
      </w:r>
      <w:r>
        <w:rPr>
          <w:b/>
          <w:i/>
          <w:color w:val="231F20"/>
          <w:spacing w:val="-10"/>
          <w:w w:val="110"/>
          <w:sz w:val="20"/>
        </w:rPr>
        <w:t> </w:t>
      </w:r>
      <w:r>
        <w:rPr>
          <w:b/>
          <w:i/>
          <w:color w:val="231F20"/>
          <w:spacing w:val="-2"/>
          <w:w w:val="110"/>
          <w:sz w:val="20"/>
        </w:rPr>
        <w:t>THOUGHT</w:t>
      </w:r>
    </w:p>
    <w:p>
      <w:pPr>
        <w:pStyle w:val="BodyText"/>
        <w:spacing w:line="292" w:lineRule="auto" w:before="56"/>
        <w:ind w:left="1260" w:right="393"/>
      </w:pPr>
      <w:r>
        <w:rPr>
          <w:color w:val="231F20"/>
        </w:rPr>
        <w:t>Free enterprise without government</w:t>
      </w:r>
      <w:r>
        <w:rPr>
          <w:color w:val="231F20"/>
          <w:spacing w:val="-9"/>
        </w:rPr>
        <w:t> </w:t>
      </w:r>
      <w:r>
        <w:rPr>
          <w:color w:val="231F20"/>
        </w:rPr>
        <w:t>intervention does not cause full </w:t>
      </w:r>
      <w:r>
        <w:rPr>
          <w:color w:val="231F20"/>
          <w:spacing w:val="-2"/>
        </w:rPr>
        <w:t>employment.</w:t>
      </w:r>
    </w:p>
    <w:p>
      <w:pPr>
        <w:pStyle w:val="BodyText"/>
        <w:spacing w:line="292" w:lineRule="auto" w:before="149"/>
        <w:ind w:left="1260" w:right="30"/>
      </w:pPr>
      <w:r>
        <w:rPr>
          <w:color w:val="231F20"/>
        </w:rPr>
        <w:t>Unemployment is the </w:t>
      </w:r>
      <w:r>
        <w:rPr>
          <w:color w:val="231F20"/>
        </w:rPr>
        <w:t>big problem that needs a </w:t>
      </w:r>
      <w:r>
        <w:rPr>
          <w:color w:val="231F20"/>
          <w:spacing w:val="-2"/>
        </w:rPr>
        <w:t>solution.</w:t>
      </w:r>
    </w:p>
    <w:p>
      <w:pPr>
        <w:pStyle w:val="BodyText"/>
        <w:spacing w:line="292" w:lineRule="auto" w:before="148"/>
        <w:ind w:left="1260"/>
      </w:pPr>
      <w:r>
        <w:rPr>
          <w:color w:val="231F20"/>
        </w:rPr>
        <w:t>With government spending and monetary policy, government should </w:t>
      </w:r>
      <w:r>
        <w:rPr>
          <w:color w:val="231F20"/>
        </w:rPr>
        <w:t>smooth out the business cycles.</w:t>
      </w:r>
    </w:p>
    <w:p>
      <w:pPr>
        <w:pStyle w:val="BodyText"/>
        <w:spacing w:line="292" w:lineRule="auto" w:before="149"/>
        <w:ind w:left="1260"/>
      </w:pPr>
      <w:r>
        <w:rPr>
          <w:color w:val="231F20"/>
        </w:rPr>
        <w:t>Adequate information is available to take </w:t>
      </w:r>
      <w:r>
        <w:rPr>
          <w:color w:val="231F20"/>
        </w:rPr>
        <w:t>government </w:t>
      </w:r>
      <w:r>
        <w:rPr>
          <w:color w:val="231F20"/>
          <w:spacing w:val="-2"/>
        </w:rPr>
        <w:t>action.</w:t>
      </w:r>
    </w:p>
    <w:p>
      <w:pPr>
        <w:pStyle w:val="BodyText"/>
        <w:rPr>
          <w:sz w:val="24"/>
        </w:rPr>
      </w:pPr>
    </w:p>
    <w:p>
      <w:pPr>
        <w:pStyle w:val="BodyText"/>
        <w:spacing w:before="168"/>
        <w:ind w:left="1260"/>
      </w:pPr>
      <w:r>
        <w:rPr>
          <w:color w:val="231F20"/>
        </w:rPr>
        <w:t>Government</w:t>
      </w:r>
      <w:r>
        <w:rPr>
          <w:color w:val="231F20"/>
          <w:spacing w:val="19"/>
        </w:rPr>
        <w:t> </w:t>
      </w:r>
      <w:r>
        <w:rPr>
          <w:color w:val="231F20"/>
        </w:rPr>
        <w:t>spending</w:t>
      </w:r>
      <w:r>
        <w:rPr>
          <w:color w:val="231F20"/>
          <w:spacing w:val="19"/>
        </w:rPr>
        <w:t> </w:t>
      </w:r>
      <w:r>
        <w:rPr>
          <w:color w:val="231F20"/>
          <w:spacing w:val="-5"/>
        </w:rPr>
        <w:t>can</w:t>
      </w:r>
    </w:p>
    <w:p>
      <w:pPr>
        <w:spacing w:before="93"/>
        <w:ind w:left="207" w:right="0" w:firstLine="0"/>
        <w:jc w:val="both"/>
        <w:rPr>
          <w:b/>
          <w:i/>
          <w:sz w:val="20"/>
        </w:rPr>
      </w:pPr>
      <w:r>
        <w:rPr/>
        <w:br w:type="column"/>
      </w:r>
      <w:r>
        <w:rPr>
          <w:b/>
          <w:i/>
          <w:color w:val="231F20"/>
          <w:w w:val="105"/>
          <w:sz w:val="20"/>
        </w:rPr>
        <w:t>MONETARIST</w:t>
      </w:r>
      <w:r>
        <w:rPr>
          <w:b/>
          <w:i/>
          <w:color w:val="231F20"/>
          <w:spacing w:val="-9"/>
          <w:w w:val="105"/>
          <w:sz w:val="20"/>
        </w:rPr>
        <w:t> </w:t>
      </w:r>
      <w:r>
        <w:rPr>
          <w:b/>
          <w:i/>
          <w:color w:val="231F20"/>
          <w:spacing w:val="-2"/>
          <w:w w:val="105"/>
          <w:sz w:val="20"/>
        </w:rPr>
        <w:t>THOUGHT</w:t>
      </w:r>
    </w:p>
    <w:p>
      <w:pPr>
        <w:pStyle w:val="BodyText"/>
        <w:spacing w:line="292" w:lineRule="auto" w:before="56"/>
        <w:ind w:left="208" w:right="1129"/>
        <w:jc w:val="both"/>
      </w:pPr>
      <w:r>
        <w:rPr>
          <w:color w:val="231F20"/>
        </w:rPr>
        <w:t>Free market economics are best in the long run even </w:t>
      </w:r>
      <w:r>
        <w:rPr>
          <w:color w:val="231F20"/>
        </w:rPr>
        <w:t>at the cost of unemployment.</w:t>
      </w:r>
    </w:p>
    <w:p>
      <w:pPr>
        <w:pStyle w:val="BodyText"/>
        <w:rPr>
          <w:sz w:val="24"/>
        </w:rPr>
      </w:pPr>
    </w:p>
    <w:p>
      <w:pPr>
        <w:pStyle w:val="BodyText"/>
        <w:spacing w:line="292" w:lineRule="auto" w:before="168"/>
        <w:ind w:left="208" w:right="1129"/>
        <w:jc w:val="both"/>
      </w:pPr>
      <w:r>
        <w:rPr>
          <w:color w:val="231F20"/>
        </w:rPr>
        <w:t>Inflation is the big evil; it </w:t>
      </w:r>
      <w:r>
        <w:rPr>
          <w:color w:val="231F20"/>
        </w:rPr>
        <w:t>is a tax on everyone.</w:t>
      </w:r>
    </w:p>
    <w:p>
      <w:pPr>
        <w:pStyle w:val="BodyText"/>
        <w:rPr>
          <w:sz w:val="24"/>
        </w:rPr>
      </w:pPr>
    </w:p>
    <w:p>
      <w:pPr>
        <w:pStyle w:val="BodyText"/>
        <w:spacing w:line="292" w:lineRule="auto" w:before="167"/>
        <w:ind w:left="208" w:right="1079"/>
      </w:pPr>
      <w:r>
        <w:rPr>
          <w:color w:val="231F20"/>
        </w:rPr>
        <w:t>Government tinkering makes</w:t>
      </w:r>
      <w:r>
        <w:rPr>
          <w:color w:val="231F20"/>
          <w:spacing w:val="-1"/>
        </w:rPr>
        <w:t> </w:t>
      </w:r>
      <w:r>
        <w:rPr>
          <w:color w:val="231F20"/>
        </w:rPr>
        <w:t>the</w:t>
      </w:r>
      <w:r>
        <w:rPr>
          <w:color w:val="231F20"/>
          <w:spacing w:val="-1"/>
        </w:rPr>
        <w:t> </w:t>
      </w:r>
      <w:r>
        <w:rPr>
          <w:color w:val="231F20"/>
        </w:rPr>
        <w:t>economy</w:t>
      </w:r>
      <w:r>
        <w:rPr>
          <w:color w:val="231F20"/>
          <w:spacing w:val="-1"/>
        </w:rPr>
        <w:t> </w:t>
      </w:r>
      <w:r>
        <w:rPr>
          <w:color w:val="231F20"/>
        </w:rPr>
        <w:t>worse off in the long run.</w:t>
      </w:r>
    </w:p>
    <w:p>
      <w:pPr>
        <w:pStyle w:val="BodyText"/>
        <w:rPr>
          <w:sz w:val="24"/>
        </w:rPr>
      </w:pPr>
    </w:p>
    <w:p>
      <w:pPr>
        <w:pStyle w:val="BodyText"/>
        <w:spacing w:line="292" w:lineRule="auto" w:before="168"/>
        <w:ind w:left="207" w:right="961"/>
      </w:pPr>
      <w:r>
        <w:rPr>
          <w:color w:val="231F20"/>
        </w:rPr>
        <w:t>Available economic data </w:t>
      </w:r>
      <w:r>
        <w:rPr>
          <w:color w:val="231F20"/>
        </w:rPr>
        <w:t>are usually inaccurate and too late for useful government </w:t>
      </w:r>
      <w:r>
        <w:rPr>
          <w:color w:val="231F20"/>
          <w:spacing w:val="-2"/>
        </w:rPr>
        <w:t>intervention.</w:t>
      </w:r>
    </w:p>
    <w:p>
      <w:pPr>
        <w:pStyle w:val="BodyText"/>
        <w:spacing w:before="149"/>
        <w:ind w:left="208"/>
      </w:pPr>
      <w:r>
        <w:rPr>
          <w:color w:val="231F20"/>
        </w:rPr>
        <w:t>Government</w:t>
      </w:r>
      <w:r>
        <w:rPr>
          <w:color w:val="231F20"/>
          <w:spacing w:val="34"/>
        </w:rPr>
        <w:t> </w:t>
      </w:r>
      <w:r>
        <w:rPr>
          <w:color w:val="231F20"/>
          <w:spacing w:val="-2"/>
        </w:rPr>
        <w:t>spending</w:t>
      </w:r>
    </w:p>
    <w:p>
      <w:pPr>
        <w:spacing w:after="0"/>
        <w:sectPr>
          <w:type w:val="continuous"/>
          <w:pgSz w:w="8640" w:h="12960"/>
          <w:pgMar w:header="732" w:footer="0" w:top="1220" w:bottom="280" w:left="340" w:right="500"/>
          <w:cols w:num="2" w:equalWidth="0">
            <w:col w:w="3923" w:space="40"/>
            <w:col w:w="3837"/>
          </w:cols>
        </w:sectPr>
      </w:pPr>
    </w:p>
    <w:p>
      <w:pPr>
        <w:pStyle w:val="BodyText"/>
        <w:spacing w:before="10"/>
        <w:rPr>
          <w:sz w:val="17"/>
        </w:rPr>
      </w:pPr>
    </w:p>
    <w:p>
      <w:pPr>
        <w:pStyle w:val="BodyText"/>
        <w:tabs>
          <w:tab w:pos="4080" w:val="left" w:leader="none"/>
        </w:tabs>
        <w:spacing w:line="292" w:lineRule="auto" w:before="102"/>
        <w:ind w:left="1170" w:right="1208"/>
      </w:pPr>
      <w:r>
        <w:rPr>
          <w:color w:val="231F20"/>
        </w:rPr>
        <w:t>help spur efficient economic</w:t>
        <w:tab/>
        <w:t>crowds out efficient </w:t>
      </w:r>
      <w:r>
        <w:rPr>
          <w:color w:val="231F20"/>
        </w:rPr>
        <w:t>private </w:t>
      </w:r>
      <w:r>
        <w:rPr>
          <w:color w:val="231F20"/>
          <w:spacing w:val="-2"/>
        </w:rPr>
        <w:t>growth.</w:t>
      </w:r>
      <w:r>
        <w:rPr>
          <w:color w:val="231F20"/>
        </w:rPr>
        <w:tab/>
      </w:r>
      <w:r>
        <w:rPr>
          <w:color w:val="231F20"/>
          <w:spacing w:val="-2"/>
        </w:rPr>
        <w:t>activity.</w:t>
      </w:r>
    </w:p>
    <w:p>
      <w:pPr>
        <w:pStyle w:val="BodyText"/>
        <w:spacing w:before="6"/>
        <w:rPr>
          <w:sz w:val="25"/>
        </w:rPr>
      </w:pPr>
    </w:p>
    <w:p>
      <w:pPr>
        <w:pStyle w:val="BodyText"/>
        <w:spacing w:line="292" w:lineRule="auto"/>
        <w:ind w:left="830" w:right="756" w:firstLine="340"/>
        <w:jc w:val="both"/>
      </w:pPr>
      <w:r>
        <w:rPr>
          <w:color w:val="231F20"/>
        </w:rPr>
        <w:t>This rather simplistic table covers the major theoretical </w:t>
      </w:r>
      <w:r>
        <w:rPr>
          <w:color w:val="231F20"/>
        </w:rPr>
        <w:t>macro- economic arguments.</w:t>
      </w:r>
    </w:p>
    <w:p>
      <w:pPr>
        <w:pStyle w:val="BodyText"/>
        <w:rPr>
          <w:sz w:val="24"/>
        </w:rPr>
      </w:pPr>
    </w:p>
    <w:p>
      <w:pPr>
        <w:pStyle w:val="BodyText"/>
        <w:spacing w:before="1"/>
        <w:rPr>
          <w:sz w:val="27"/>
        </w:rPr>
      </w:pPr>
    </w:p>
    <w:p>
      <w:pPr>
        <w:pStyle w:val="Heading6"/>
        <w:spacing w:line="292" w:lineRule="auto"/>
        <w:ind w:left="2409" w:right="1742" w:hanging="745"/>
        <w:jc w:val="left"/>
      </w:pPr>
      <w:r>
        <w:rPr>
          <w:i/>
          <w:color w:val="231F20"/>
          <w:w w:val="110"/>
        </w:rPr>
        <w:t>GROSS</w:t>
      </w:r>
      <w:r>
        <w:rPr>
          <w:i/>
          <w:color w:val="231F20"/>
          <w:spacing w:val="40"/>
          <w:w w:val="110"/>
        </w:rPr>
        <w:t> </w:t>
      </w:r>
      <w:r>
        <w:rPr>
          <w:i/>
          <w:color w:val="231F20"/>
          <w:w w:val="110"/>
        </w:rPr>
        <w:t>NATIONAL</w:t>
      </w:r>
      <w:r>
        <w:rPr>
          <w:i/>
          <w:color w:val="231F20"/>
          <w:spacing w:val="40"/>
          <w:w w:val="110"/>
        </w:rPr>
        <w:t> </w:t>
      </w:r>
      <w:r>
        <w:rPr>
          <w:i/>
          <w:color w:val="231F20"/>
          <w:w w:val="110"/>
        </w:rPr>
        <w:t>PRODUCT,</w:t>
      </w:r>
      <w:r>
        <w:rPr>
          <w:i/>
          <w:color w:val="231F20"/>
          <w:spacing w:val="40"/>
          <w:w w:val="110"/>
        </w:rPr>
        <w:t> </w:t>
      </w:r>
      <w:r>
        <w:rPr>
          <w:i/>
          <w:color w:val="231F20"/>
          <w:w w:val="110"/>
        </w:rPr>
        <w:t>INFLATION,</w:t>
      </w:r>
      <w:r>
        <w:rPr>
          <w:color w:val="231F20"/>
          <w:spacing w:val="40"/>
          <w:w w:val="110"/>
        </w:rPr>
        <w:t> </w:t>
      </w:r>
      <w:r>
        <w:rPr>
          <w:color w:val="231F20"/>
          <w:w w:val="110"/>
        </w:rPr>
        <w:t>AND</w:t>
      </w:r>
      <w:r>
        <w:rPr>
          <w:color w:val="231F20"/>
          <w:spacing w:val="40"/>
          <w:w w:val="110"/>
        </w:rPr>
        <w:t> </w:t>
      </w:r>
      <w:r>
        <w:rPr>
          <w:color w:val="231F20"/>
          <w:w w:val="110"/>
        </w:rPr>
        <w:t>THE</w:t>
      </w:r>
      <w:r>
        <w:rPr>
          <w:color w:val="231F20"/>
          <w:spacing w:val="40"/>
          <w:w w:val="110"/>
        </w:rPr>
        <w:t> </w:t>
      </w:r>
      <w:r>
        <w:rPr>
          <w:color w:val="231F20"/>
          <w:w w:val="110"/>
        </w:rPr>
        <w:t>KEYNESIAN</w:t>
      </w:r>
      <w:r>
        <w:rPr>
          <w:color w:val="231F20"/>
          <w:spacing w:val="10"/>
          <w:w w:val="110"/>
        </w:rPr>
        <w:t> VIEW</w:t>
      </w:r>
    </w:p>
    <w:p>
      <w:pPr>
        <w:pStyle w:val="BodyText"/>
        <w:spacing w:before="6"/>
        <w:rPr>
          <w:b/>
          <w:i/>
          <w:sz w:val="25"/>
        </w:rPr>
      </w:pPr>
    </w:p>
    <w:p>
      <w:pPr>
        <w:pStyle w:val="BodyText"/>
        <w:spacing w:line="292" w:lineRule="auto"/>
        <w:ind w:left="830" w:right="753"/>
        <w:jc w:val="both"/>
      </w:pPr>
      <w:r>
        <w:rPr>
          <w:color w:val="231F20"/>
        </w:rPr>
        <w:t>The centerpiece of macroeconomics is understanding a nation’s</w:t>
      </w:r>
      <w:r>
        <w:rPr>
          <w:color w:val="231F20"/>
          <w:spacing w:val="80"/>
        </w:rPr>
        <w:t> </w:t>
      </w:r>
      <w:r>
        <w:rPr>
          <w:i/>
          <w:color w:val="231F20"/>
        </w:rPr>
        <w:t>gross national product </w:t>
      </w:r>
      <w:r>
        <w:rPr>
          <w:color w:val="231F20"/>
        </w:rPr>
        <w:t>(GNP). GNP is the total market value of </w:t>
      </w:r>
      <w:r>
        <w:rPr>
          <w:color w:val="231F20"/>
        </w:rPr>
        <w:t>all</w:t>
      </w:r>
      <w:r>
        <w:rPr>
          <w:color w:val="231F20"/>
          <w:spacing w:val="80"/>
        </w:rPr>
        <w:t> </w:t>
      </w:r>
      <w:r>
        <w:rPr>
          <w:i/>
          <w:color w:val="231F20"/>
        </w:rPr>
        <w:t>final </w:t>
      </w:r>
      <w:r>
        <w:rPr>
          <w:color w:val="231F20"/>
        </w:rPr>
        <w:t>goods and services produced by an economy in a year. Changes in GNP are used as a measure of the health of an economy. The qualifier “final” is important. There is no double counting. An auto- mobile, for example, is the sum of many components. Steel is</w:t>
      </w:r>
      <w:r>
        <w:rPr>
          <w:color w:val="231F20"/>
          <w:spacing w:val="80"/>
        </w:rPr>
        <w:t> </w:t>
      </w:r>
      <w:r>
        <w:rPr>
          <w:color w:val="231F20"/>
        </w:rPr>
        <w:t>counted in production only once, when the car is finished.</w:t>
      </w:r>
    </w:p>
    <w:p>
      <w:pPr>
        <w:pStyle w:val="BodyText"/>
        <w:spacing w:line="292" w:lineRule="auto"/>
        <w:ind w:left="829" w:right="753" w:firstLine="340"/>
        <w:jc w:val="both"/>
      </w:pPr>
      <w:r>
        <w:rPr>
          <w:color w:val="231F20"/>
        </w:rPr>
        <w:t>Because prices change from year to year, economists must </w:t>
      </w:r>
      <w:r>
        <w:rPr>
          <w:color w:val="231F20"/>
        </w:rPr>
        <w:t>adjust </w:t>
      </w:r>
      <w:r>
        <w:rPr>
          <w:color w:val="231F20"/>
          <w:w w:val="105"/>
        </w:rPr>
        <w:t>GNP</w:t>
      </w:r>
      <w:r>
        <w:rPr>
          <w:color w:val="231F20"/>
          <w:spacing w:val="-13"/>
          <w:w w:val="105"/>
        </w:rPr>
        <w:t> </w:t>
      </w:r>
      <w:r>
        <w:rPr>
          <w:color w:val="231F20"/>
          <w:w w:val="105"/>
        </w:rPr>
        <w:t>for</w:t>
      </w:r>
      <w:r>
        <w:rPr>
          <w:color w:val="231F20"/>
          <w:spacing w:val="-12"/>
          <w:w w:val="105"/>
        </w:rPr>
        <w:t> </w:t>
      </w:r>
      <w:r>
        <w:rPr>
          <w:color w:val="231F20"/>
          <w:w w:val="105"/>
        </w:rPr>
        <w:t>year-to-year</w:t>
      </w:r>
      <w:r>
        <w:rPr>
          <w:color w:val="231F20"/>
          <w:spacing w:val="-12"/>
          <w:w w:val="105"/>
        </w:rPr>
        <w:t> </w:t>
      </w:r>
      <w:r>
        <w:rPr>
          <w:color w:val="231F20"/>
          <w:w w:val="105"/>
        </w:rPr>
        <w:t>comparisons.</w:t>
      </w:r>
      <w:r>
        <w:rPr>
          <w:color w:val="231F20"/>
          <w:spacing w:val="-12"/>
          <w:w w:val="105"/>
        </w:rPr>
        <w:t> </w:t>
      </w:r>
      <w:r>
        <w:rPr>
          <w:color w:val="231F20"/>
          <w:w w:val="105"/>
        </w:rPr>
        <w:t>The</w:t>
      </w:r>
      <w:r>
        <w:rPr>
          <w:color w:val="231F20"/>
          <w:spacing w:val="-12"/>
          <w:w w:val="105"/>
        </w:rPr>
        <w:t> </w:t>
      </w:r>
      <w:r>
        <w:rPr>
          <w:color w:val="231F20"/>
          <w:w w:val="105"/>
        </w:rPr>
        <w:t>cost</w:t>
      </w:r>
      <w:r>
        <w:rPr>
          <w:color w:val="231F20"/>
          <w:spacing w:val="-12"/>
          <w:w w:val="105"/>
        </w:rPr>
        <w:t> </w:t>
      </w:r>
      <w:r>
        <w:rPr>
          <w:color w:val="231F20"/>
          <w:w w:val="105"/>
        </w:rPr>
        <w:t>of</w:t>
      </w:r>
      <w:r>
        <w:rPr>
          <w:color w:val="231F20"/>
          <w:spacing w:val="-12"/>
          <w:w w:val="105"/>
        </w:rPr>
        <w:t> </w:t>
      </w:r>
      <w:r>
        <w:rPr>
          <w:color w:val="231F20"/>
          <w:w w:val="105"/>
        </w:rPr>
        <w:t>a</w:t>
      </w:r>
      <w:r>
        <w:rPr>
          <w:color w:val="231F20"/>
          <w:spacing w:val="-13"/>
          <w:w w:val="105"/>
        </w:rPr>
        <w:t> </w:t>
      </w:r>
      <w:r>
        <w:rPr>
          <w:color w:val="231F20"/>
          <w:w w:val="105"/>
        </w:rPr>
        <w:t>pound</w:t>
      </w:r>
      <w:r>
        <w:rPr>
          <w:color w:val="231F20"/>
          <w:spacing w:val="-12"/>
          <w:w w:val="105"/>
        </w:rPr>
        <w:t> </w:t>
      </w:r>
      <w:r>
        <w:rPr>
          <w:color w:val="231F20"/>
          <w:w w:val="105"/>
        </w:rPr>
        <w:t>of</w:t>
      </w:r>
      <w:r>
        <w:rPr>
          <w:color w:val="231F20"/>
          <w:spacing w:val="-12"/>
          <w:w w:val="105"/>
        </w:rPr>
        <w:t> </w:t>
      </w:r>
      <w:r>
        <w:rPr>
          <w:color w:val="231F20"/>
          <w:w w:val="105"/>
        </w:rPr>
        <w:t>steel</w:t>
      </w:r>
      <w:r>
        <w:rPr>
          <w:color w:val="231F20"/>
          <w:spacing w:val="-12"/>
          <w:w w:val="105"/>
        </w:rPr>
        <w:t> </w:t>
      </w:r>
      <w:r>
        <w:rPr>
          <w:color w:val="231F20"/>
          <w:w w:val="105"/>
        </w:rPr>
        <w:t>usu- </w:t>
      </w:r>
      <w:r>
        <w:rPr>
          <w:color w:val="231F20"/>
          <w:w w:val="110"/>
        </w:rPr>
        <w:t>ally</w:t>
      </w:r>
      <w:r>
        <w:rPr>
          <w:color w:val="231F20"/>
          <w:w w:val="110"/>
        </w:rPr>
        <w:t> increases</w:t>
      </w:r>
      <w:r>
        <w:rPr>
          <w:color w:val="231F20"/>
          <w:w w:val="110"/>
        </w:rPr>
        <w:t> from</w:t>
      </w:r>
      <w:r>
        <w:rPr>
          <w:color w:val="231F20"/>
          <w:w w:val="110"/>
        </w:rPr>
        <w:t> year</w:t>
      </w:r>
      <w:r>
        <w:rPr>
          <w:color w:val="231F20"/>
          <w:w w:val="110"/>
        </w:rPr>
        <w:t> to</w:t>
      </w:r>
      <w:r>
        <w:rPr>
          <w:color w:val="231F20"/>
          <w:w w:val="110"/>
        </w:rPr>
        <w:t> year.</w:t>
      </w:r>
      <w:r>
        <w:rPr>
          <w:color w:val="231F20"/>
          <w:w w:val="110"/>
        </w:rPr>
        <w:t> If</w:t>
      </w:r>
      <w:r>
        <w:rPr>
          <w:color w:val="231F20"/>
          <w:w w:val="110"/>
        </w:rPr>
        <w:t> price</w:t>
      </w:r>
      <w:r>
        <w:rPr>
          <w:color w:val="231F20"/>
          <w:w w:val="110"/>
        </w:rPr>
        <w:t> levels</w:t>
      </w:r>
      <w:r>
        <w:rPr>
          <w:color w:val="231F20"/>
          <w:w w:val="110"/>
        </w:rPr>
        <w:t> rise,</w:t>
      </w:r>
      <w:r>
        <w:rPr>
          <w:color w:val="231F20"/>
          <w:w w:val="110"/>
        </w:rPr>
        <w:t> it</w:t>
      </w:r>
      <w:r>
        <w:rPr>
          <w:color w:val="231F20"/>
          <w:w w:val="110"/>
        </w:rPr>
        <w:t> is</w:t>
      </w:r>
      <w:r>
        <w:rPr>
          <w:color w:val="231F20"/>
          <w:w w:val="110"/>
        </w:rPr>
        <w:t> called </w:t>
      </w:r>
      <w:r>
        <w:rPr>
          <w:i/>
          <w:color w:val="231F20"/>
          <w:w w:val="105"/>
        </w:rPr>
        <w:t>inflation. </w:t>
      </w:r>
      <w:r>
        <w:rPr>
          <w:color w:val="231F20"/>
          <w:w w:val="105"/>
        </w:rPr>
        <w:t>GNP adjusted for inflation is called </w:t>
      </w:r>
      <w:r>
        <w:rPr>
          <w:i/>
          <w:color w:val="231F20"/>
          <w:w w:val="105"/>
        </w:rPr>
        <w:t>real GNP. </w:t>
      </w:r>
      <w:r>
        <w:rPr>
          <w:color w:val="231F20"/>
          <w:w w:val="105"/>
        </w:rPr>
        <w:t>If left unad- justed, the so-called </w:t>
      </w:r>
      <w:r>
        <w:rPr>
          <w:i/>
          <w:color w:val="231F20"/>
          <w:w w:val="105"/>
        </w:rPr>
        <w:t>nominal GNP </w:t>
      </w:r>
      <w:r>
        <w:rPr>
          <w:color w:val="231F20"/>
          <w:w w:val="105"/>
        </w:rPr>
        <w:t>could show dollar growth, even if</w:t>
      </w:r>
      <w:r>
        <w:rPr>
          <w:color w:val="231F20"/>
          <w:spacing w:val="-3"/>
          <w:w w:val="105"/>
        </w:rPr>
        <w:t> </w:t>
      </w:r>
      <w:r>
        <w:rPr>
          <w:color w:val="231F20"/>
          <w:w w:val="105"/>
        </w:rPr>
        <w:t>the</w:t>
      </w:r>
      <w:r>
        <w:rPr>
          <w:color w:val="231F20"/>
          <w:spacing w:val="-3"/>
          <w:w w:val="105"/>
        </w:rPr>
        <w:t> </w:t>
      </w:r>
      <w:r>
        <w:rPr>
          <w:color w:val="231F20"/>
          <w:w w:val="105"/>
        </w:rPr>
        <w:t>economy</w:t>
      </w:r>
      <w:r>
        <w:rPr>
          <w:color w:val="231F20"/>
          <w:spacing w:val="-3"/>
          <w:w w:val="105"/>
        </w:rPr>
        <w:t> </w:t>
      </w:r>
      <w:r>
        <w:rPr>
          <w:color w:val="231F20"/>
          <w:w w:val="105"/>
        </w:rPr>
        <w:t>produced</w:t>
      </w:r>
      <w:r>
        <w:rPr>
          <w:color w:val="231F20"/>
          <w:spacing w:val="-3"/>
          <w:w w:val="105"/>
        </w:rPr>
        <w:t> </w:t>
      </w:r>
      <w:r>
        <w:rPr>
          <w:color w:val="231F20"/>
          <w:w w:val="105"/>
        </w:rPr>
        <w:t>the</w:t>
      </w:r>
      <w:r>
        <w:rPr>
          <w:color w:val="231F20"/>
          <w:spacing w:val="-3"/>
          <w:w w:val="105"/>
        </w:rPr>
        <w:t> </w:t>
      </w:r>
      <w:r>
        <w:rPr>
          <w:color w:val="231F20"/>
          <w:w w:val="105"/>
        </w:rPr>
        <w:t>same</w:t>
      </w:r>
      <w:r>
        <w:rPr>
          <w:color w:val="231F20"/>
          <w:spacing w:val="-3"/>
          <w:w w:val="105"/>
        </w:rPr>
        <w:t> </w:t>
      </w:r>
      <w:r>
        <w:rPr>
          <w:color w:val="231F20"/>
          <w:w w:val="105"/>
        </w:rPr>
        <w:t>amount</w:t>
      </w:r>
      <w:r>
        <w:rPr>
          <w:color w:val="231F20"/>
          <w:spacing w:val="-3"/>
          <w:w w:val="105"/>
        </w:rPr>
        <w:t> </w:t>
      </w:r>
      <w:r>
        <w:rPr>
          <w:color w:val="231F20"/>
          <w:w w:val="105"/>
        </w:rPr>
        <w:t>of</w:t>
      </w:r>
      <w:r>
        <w:rPr>
          <w:color w:val="231F20"/>
          <w:spacing w:val="-3"/>
          <w:w w:val="105"/>
        </w:rPr>
        <w:t> </w:t>
      </w:r>
      <w:r>
        <w:rPr>
          <w:color w:val="231F20"/>
          <w:w w:val="105"/>
        </w:rPr>
        <w:t>goods</w:t>
      </w:r>
      <w:r>
        <w:rPr>
          <w:color w:val="231F20"/>
          <w:spacing w:val="-3"/>
          <w:w w:val="105"/>
        </w:rPr>
        <w:t> </w:t>
      </w:r>
      <w:r>
        <w:rPr>
          <w:color w:val="231F20"/>
          <w:w w:val="105"/>
        </w:rPr>
        <w:t>and</w:t>
      </w:r>
      <w:r>
        <w:rPr>
          <w:color w:val="231F20"/>
          <w:spacing w:val="-3"/>
          <w:w w:val="105"/>
        </w:rPr>
        <w:t> </w:t>
      </w:r>
      <w:r>
        <w:rPr>
          <w:color w:val="231F20"/>
          <w:w w:val="105"/>
        </w:rPr>
        <w:t>services.</w:t>
      </w:r>
    </w:p>
    <w:p>
      <w:pPr>
        <w:pStyle w:val="BodyText"/>
        <w:spacing w:line="292" w:lineRule="auto"/>
        <w:ind w:left="830" w:right="756" w:firstLine="340"/>
        <w:jc w:val="both"/>
      </w:pPr>
      <w:r>
        <w:rPr>
          <w:color w:val="231F20"/>
          <w:w w:val="105"/>
        </w:rPr>
        <w:t>To</w:t>
      </w:r>
      <w:r>
        <w:rPr>
          <w:color w:val="231F20"/>
          <w:w w:val="105"/>
        </w:rPr>
        <w:t> convert</w:t>
      </w:r>
      <w:r>
        <w:rPr>
          <w:color w:val="231F20"/>
          <w:w w:val="105"/>
        </w:rPr>
        <w:t> the</w:t>
      </w:r>
      <w:r>
        <w:rPr>
          <w:color w:val="231F20"/>
          <w:w w:val="105"/>
        </w:rPr>
        <w:t> unadjusted</w:t>
      </w:r>
      <w:r>
        <w:rPr>
          <w:color w:val="231F20"/>
          <w:w w:val="105"/>
        </w:rPr>
        <w:t> nominal</w:t>
      </w:r>
      <w:r>
        <w:rPr>
          <w:color w:val="231F20"/>
          <w:w w:val="105"/>
        </w:rPr>
        <w:t> GNP</w:t>
      </w:r>
      <w:r>
        <w:rPr>
          <w:color w:val="231F20"/>
          <w:w w:val="105"/>
        </w:rPr>
        <w:t> to</w:t>
      </w:r>
      <w:r>
        <w:rPr>
          <w:color w:val="231F20"/>
          <w:w w:val="105"/>
        </w:rPr>
        <w:t> real</w:t>
      </w:r>
      <w:r>
        <w:rPr>
          <w:color w:val="231F20"/>
          <w:w w:val="105"/>
        </w:rPr>
        <w:t> GNP,</w:t>
      </w:r>
      <w:r>
        <w:rPr>
          <w:color w:val="231F20"/>
          <w:w w:val="105"/>
        </w:rPr>
        <w:t> econo- mists</w:t>
      </w:r>
      <w:r>
        <w:rPr>
          <w:color w:val="231F20"/>
          <w:spacing w:val="-3"/>
          <w:w w:val="105"/>
        </w:rPr>
        <w:t> </w:t>
      </w:r>
      <w:r>
        <w:rPr>
          <w:color w:val="231F20"/>
          <w:w w:val="105"/>
        </w:rPr>
        <w:t>use</w:t>
      </w:r>
      <w:r>
        <w:rPr>
          <w:color w:val="231F20"/>
          <w:spacing w:val="-3"/>
          <w:w w:val="105"/>
        </w:rPr>
        <w:t> </w:t>
      </w:r>
      <w:r>
        <w:rPr>
          <w:color w:val="231F20"/>
          <w:w w:val="105"/>
        </w:rPr>
        <w:t>a</w:t>
      </w:r>
      <w:r>
        <w:rPr>
          <w:color w:val="231F20"/>
          <w:spacing w:val="-4"/>
          <w:w w:val="105"/>
        </w:rPr>
        <w:t> </w:t>
      </w:r>
      <w:r>
        <w:rPr>
          <w:i/>
          <w:color w:val="231F20"/>
          <w:w w:val="105"/>
        </w:rPr>
        <w:t>GNP</w:t>
      </w:r>
      <w:r>
        <w:rPr>
          <w:i/>
          <w:color w:val="231F20"/>
          <w:spacing w:val="-3"/>
          <w:w w:val="105"/>
        </w:rPr>
        <w:t> </w:t>
      </w:r>
      <w:r>
        <w:rPr>
          <w:i/>
          <w:color w:val="231F20"/>
          <w:w w:val="105"/>
        </w:rPr>
        <w:t>deflator</w:t>
      </w:r>
      <w:r>
        <w:rPr>
          <w:i/>
          <w:color w:val="231F20"/>
          <w:spacing w:val="-4"/>
          <w:w w:val="105"/>
        </w:rPr>
        <w:t> </w:t>
      </w:r>
      <w:r>
        <w:rPr>
          <w:color w:val="231F20"/>
          <w:w w:val="105"/>
        </w:rPr>
        <w:t>index.</w:t>
      </w:r>
      <w:r>
        <w:rPr>
          <w:color w:val="231F20"/>
          <w:spacing w:val="-3"/>
          <w:w w:val="105"/>
        </w:rPr>
        <w:t> </w:t>
      </w:r>
      <w:r>
        <w:rPr>
          <w:color w:val="231F20"/>
          <w:w w:val="105"/>
        </w:rPr>
        <w:t>Using</w:t>
      </w:r>
      <w:r>
        <w:rPr>
          <w:color w:val="231F20"/>
          <w:spacing w:val="-3"/>
          <w:w w:val="105"/>
        </w:rPr>
        <w:t> </w:t>
      </w:r>
      <w:r>
        <w:rPr>
          <w:color w:val="231F20"/>
          <w:w w:val="105"/>
        </w:rPr>
        <w:t>1996</w:t>
      </w:r>
      <w:r>
        <w:rPr>
          <w:color w:val="231F20"/>
          <w:spacing w:val="-3"/>
          <w:w w:val="105"/>
        </w:rPr>
        <w:t> </w:t>
      </w:r>
      <w:r>
        <w:rPr>
          <w:color w:val="231F20"/>
          <w:w w:val="105"/>
        </w:rPr>
        <w:t>as</w:t>
      </w:r>
      <w:r>
        <w:rPr>
          <w:color w:val="231F20"/>
          <w:spacing w:val="-3"/>
          <w:w w:val="105"/>
        </w:rPr>
        <w:t> </w:t>
      </w:r>
      <w:r>
        <w:rPr>
          <w:color w:val="231F20"/>
          <w:w w:val="105"/>
        </w:rPr>
        <w:t>a</w:t>
      </w:r>
      <w:r>
        <w:rPr>
          <w:color w:val="231F20"/>
          <w:spacing w:val="-3"/>
          <w:w w:val="105"/>
        </w:rPr>
        <w:t> </w:t>
      </w:r>
      <w:r>
        <w:rPr>
          <w:color w:val="231F20"/>
          <w:w w:val="105"/>
        </w:rPr>
        <w:t>base</w:t>
      </w:r>
      <w:r>
        <w:rPr>
          <w:color w:val="231F20"/>
          <w:spacing w:val="-3"/>
          <w:w w:val="105"/>
        </w:rPr>
        <w:t> </w:t>
      </w:r>
      <w:r>
        <w:rPr>
          <w:color w:val="231F20"/>
          <w:w w:val="105"/>
        </w:rPr>
        <w:t>year,</w:t>
      </w:r>
      <w:r>
        <w:rPr>
          <w:color w:val="231F20"/>
          <w:spacing w:val="-3"/>
          <w:w w:val="105"/>
        </w:rPr>
        <w:t> </w:t>
      </w:r>
      <w:r>
        <w:rPr>
          <w:color w:val="231F20"/>
          <w:w w:val="105"/>
        </w:rPr>
        <w:t>the</w:t>
      </w:r>
      <w:r>
        <w:rPr>
          <w:color w:val="231F20"/>
          <w:spacing w:val="-3"/>
          <w:w w:val="105"/>
        </w:rPr>
        <w:t> </w:t>
      </w:r>
      <w:r>
        <w:rPr>
          <w:color w:val="231F20"/>
          <w:w w:val="105"/>
        </w:rPr>
        <w:t>GNP </w:t>
      </w:r>
      <w:r>
        <w:rPr>
          <w:color w:val="231F20"/>
          <w:spacing w:val="-2"/>
          <w:w w:val="105"/>
        </w:rPr>
        <w:t>deflator</w:t>
      </w:r>
      <w:r>
        <w:rPr>
          <w:color w:val="231F20"/>
          <w:spacing w:val="-8"/>
          <w:w w:val="105"/>
        </w:rPr>
        <w:t> </w:t>
      </w:r>
      <w:r>
        <w:rPr>
          <w:color w:val="231F20"/>
          <w:spacing w:val="-2"/>
          <w:w w:val="105"/>
        </w:rPr>
        <w:t>index</w:t>
      </w:r>
      <w:r>
        <w:rPr>
          <w:color w:val="231F20"/>
          <w:spacing w:val="-8"/>
          <w:w w:val="105"/>
        </w:rPr>
        <w:t> </w:t>
      </w:r>
      <w:r>
        <w:rPr>
          <w:color w:val="231F20"/>
          <w:spacing w:val="-2"/>
          <w:w w:val="105"/>
        </w:rPr>
        <w:t>then</w:t>
      </w:r>
      <w:r>
        <w:rPr>
          <w:color w:val="231F20"/>
          <w:spacing w:val="-8"/>
          <w:w w:val="105"/>
        </w:rPr>
        <w:t> </w:t>
      </w:r>
      <w:r>
        <w:rPr>
          <w:color w:val="231F20"/>
          <w:spacing w:val="-2"/>
          <w:w w:val="105"/>
        </w:rPr>
        <w:t>equaled</w:t>
      </w:r>
      <w:r>
        <w:rPr>
          <w:color w:val="231F20"/>
          <w:spacing w:val="-8"/>
          <w:w w:val="105"/>
        </w:rPr>
        <w:t> </w:t>
      </w:r>
      <w:r>
        <w:rPr>
          <w:color w:val="231F20"/>
          <w:spacing w:val="-2"/>
          <w:w w:val="105"/>
        </w:rPr>
        <w:t>100.</w:t>
      </w:r>
      <w:r>
        <w:rPr>
          <w:color w:val="231F20"/>
          <w:spacing w:val="-8"/>
          <w:w w:val="105"/>
        </w:rPr>
        <w:t> </w:t>
      </w:r>
      <w:r>
        <w:rPr>
          <w:color w:val="231F20"/>
          <w:spacing w:val="-2"/>
          <w:w w:val="105"/>
        </w:rPr>
        <w:t>In</w:t>
      </w:r>
      <w:r>
        <w:rPr>
          <w:color w:val="231F20"/>
          <w:spacing w:val="-8"/>
          <w:w w:val="105"/>
        </w:rPr>
        <w:t> </w:t>
      </w:r>
      <w:r>
        <w:rPr>
          <w:color w:val="231F20"/>
          <w:spacing w:val="-2"/>
          <w:w w:val="105"/>
        </w:rPr>
        <w:t>1950</w:t>
      </w:r>
      <w:r>
        <w:rPr>
          <w:color w:val="231F20"/>
          <w:spacing w:val="-8"/>
          <w:w w:val="105"/>
        </w:rPr>
        <w:t> </w:t>
      </w:r>
      <w:r>
        <w:rPr>
          <w:color w:val="231F20"/>
          <w:spacing w:val="-2"/>
          <w:w w:val="105"/>
        </w:rPr>
        <w:t>it</w:t>
      </w:r>
      <w:r>
        <w:rPr>
          <w:color w:val="231F20"/>
          <w:spacing w:val="-8"/>
          <w:w w:val="105"/>
        </w:rPr>
        <w:t> </w:t>
      </w:r>
      <w:r>
        <w:rPr>
          <w:color w:val="231F20"/>
          <w:spacing w:val="-2"/>
          <w:w w:val="105"/>
        </w:rPr>
        <w:t>equaled</w:t>
      </w:r>
      <w:r>
        <w:rPr>
          <w:color w:val="231F20"/>
          <w:spacing w:val="-8"/>
          <w:w w:val="105"/>
        </w:rPr>
        <w:t> </w:t>
      </w:r>
      <w:r>
        <w:rPr>
          <w:color w:val="231F20"/>
          <w:spacing w:val="-2"/>
          <w:w w:val="105"/>
        </w:rPr>
        <w:t>17.</w:t>
      </w:r>
      <w:r>
        <w:rPr>
          <w:color w:val="231F20"/>
          <w:spacing w:val="-8"/>
          <w:w w:val="105"/>
        </w:rPr>
        <w:t> </w:t>
      </w:r>
      <w:r>
        <w:rPr>
          <w:color w:val="231F20"/>
          <w:spacing w:val="-2"/>
          <w:w w:val="105"/>
        </w:rPr>
        <w:t>To</w:t>
      </w:r>
      <w:r>
        <w:rPr>
          <w:color w:val="231F20"/>
          <w:spacing w:val="-8"/>
          <w:w w:val="105"/>
        </w:rPr>
        <w:t> </w:t>
      </w:r>
      <w:r>
        <w:rPr>
          <w:color w:val="231F20"/>
          <w:spacing w:val="-2"/>
          <w:w w:val="105"/>
        </w:rPr>
        <w:t>translate, </w:t>
      </w:r>
      <w:r>
        <w:rPr>
          <w:color w:val="231F20"/>
          <w:w w:val="105"/>
        </w:rPr>
        <w:t>in</w:t>
      </w:r>
      <w:r>
        <w:rPr>
          <w:color w:val="231F20"/>
          <w:w w:val="105"/>
        </w:rPr>
        <w:t> 1950</w:t>
      </w:r>
      <w:r>
        <w:rPr>
          <w:color w:val="231F20"/>
          <w:w w:val="105"/>
        </w:rPr>
        <w:t> the</w:t>
      </w:r>
      <w:r>
        <w:rPr>
          <w:color w:val="231F20"/>
          <w:w w:val="105"/>
        </w:rPr>
        <w:t> price</w:t>
      </w:r>
      <w:r>
        <w:rPr>
          <w:color w:val="231F20"/>
          <w:w w:val="105"/>
        </w:rPr>
        <w:t> of</w:t>
      </w:r>
      <w:r>
        <w:rPr>
          <w:color w:val="231F20"/>
          <w:w w:val="105"/>
        </w:rPr>
        <w:t> goods</w:t>
      </w:r>
      <w:r>
        <w:rPr>
          <w:color w:val="231F20"/>
          <w:w w:val="105"/>
        </w:rPr>
        <w:t> and</w:t>
      </w:r>
      <w:r>
        <w:rPr>
          <w:color w:val="231F20"/>
          <w:w w:val="105"/>
        </w:rPr>
        <w:t> services</w:t>
      </w:r>
      <w:r>
        <w:rPr>
          <w:color w:val="231F20"/>
          <w:w w:val="105"/>
        </w:rPr>
        <w:t> was</w:t>
      </w:r>
      <w:r>
        <w:rPr>
          <w:color w:val="231F20"/>
          <w:w w:val="105"/>
        </w:rPr>
        <w:t> 17</w:t>
      </w:r>
      <w:r>
        <w:rPr>
          <w:color w:val="231F20"/>
          <w:w w:val="105"/>
        </w:rPr>
        <w:t> percent</w:t>
      </w:r>
      <w:r>
        <w:rPr>
          <w:color w:val="231F20"/>
          <w:w w:val="105"/>
        </w:rPr>
        <w:t> of</w:t>
      </w:r>
      <w:r>
        <w:rPr>
          <w:color w:val="231F20"/>
          <w:w w:val="105"/>
        </w:rPr>
        <w:t> what</w:t>
      </w:r>
      <w:r>
        <w:rPr>
          <w:color w:val="231F20"/>
          <w:w w:val="105"/>
        </w:rPr>
        <w:t> it was</w:t>
      </w:r>
      <w:r>
        <w:rPr>
          <w:color w:val="231F20"/>
          <w:spacing w:val="-10"/>
          <w:w w:val="105"/>
        </w:rPr>
        <w:t> </w:t>
      </w:r>
      <w:r>
        <w:rPr>
          <w:color w:val="231F20"/>
          <w:w w:val="105"/>
        </w:rPr>
        <w:t>in</w:t>
      </w:r>
      <w:r>
        <w:rPr>
          <w:color w:val="231F20"/>
          <w:spacing w:val="-10"/>
          <w:w w:val="105"/>
        </w:rPr>
        <w:t> </w:t>
      </w:r>
      <w:r>
        <w:rPr>
          <w:color w:val="231F20"/>
          <w:w w:val="105"/>
        </w:rPr>
        <w:t>1996.</w:t>
      </w:r>
      <w:r>
        <w:rPr>
          <w:color w:val="231F20"/>
          <w:spacing w:val="-10"/>
          <w:w w:val="105"/>
        </w:rPr>
        <w:t> </w:t>
      </w:r>
      <w:r>
        <w:rPr>
          <w:color w:val="231F20"/>
          <w:w w:val="105"/>
        </w:rPr>
        <w:t>During</w:t>
      </w:r>
      <w:r>
        <w:rPr>
          <w:color w:val="231F20"/>
          <w:spacing w:val="-10"/>
          <w:w w:val="105"/>
        </w:rPr>
        <w:t> </w:t>
      </w:r>
      <w:r>
        <w:rPr>
          <w:color w:val="231F20"/>
          <w:w w:val="105"/>
        </w:rPr>
        <w:t>recessions</w:t>
      </w:r>
      <w:r>
        <w:rPr>
          <w:color w:val="231F20"/>
          <w:spacing w:val="-10"/>
          <w:w w:val="105"/>
        </w:rPr>
        <w:t> </w:t>
      </w:r>
      <w:r>
        <w:rPr>
          <w:color w:val="231F20"/>
          <w:w w:val="105"/>
        </w:rPr>
        <w:t>and</w:t>
      </w:r>
      <w:r>
        <w:rPr>
          <w:color w:val="231F20"/>
          <w:spacing w:val="-10"/>
          <w:w w:val="105"/>
        </w:rPr>
        <w:t> </w:t>
      </w:r>
      <w:r>
        <w:rPr>
          <w:color w:val="231F20"/>
          <w:w w:val="105"/>
        </w:rPr>
        <w:t>depressions</w:t>
      </w:r>
      <w:r>
        <w:rPr>
          <w:color w:val="231F20"/>
          <w:spacing w:val="-10"/>
          <w:w w:val="105"/>
        </w:rPr>
        <w:t> </w:t>
      </w:r>
      <w:r>
        <w:rPr>
          <w:color w:val="231F20"/>
          <w:w w:val="105"/>
        </w:rPr>
        <w:t>real</w:t>
      </w:r>
      <w:r>
        <w:rPr>
          <w:color w:val="231F20"/>
          <w:spacing w:val="-10"/>
          <w:w w:val="105"/>
        </w:rPr>
        <w:t> </w:t>
      </w:r>
      <w:r>
        <w:rPr>
          <w:color w:val="231F20"/>
          <w:w w:val="105"/>
        </w:rPr>
        <w:t>GNP</w:t>
      </w:r>
      <w:r>
        <w:rPr>
          <w:color w:val="231F20"/>
          <w:spacing w:val="-10"/>
          <w:w w:val="105"/>
        </w:rPr>
        <w:t> </w:t>
      </w:r>
      <w:r>
        <w:rPr>
          <w:color w:val="231F20"/>
          <w:w w:val="105"/>
        </w:rPr>
        <w:t>falls,</w:t>
      </w:r>
      <w:r>
        <w:rPr>
          <w:color w:val="231F20"/>
          <w:spacing w:val="-10"/>
          <w:w w:val="105"/>
        </w:rPr>
        <w:t> </w:t>
      </w:r>
      <w:r>
        <w:rPr>
          <w:color w:val="231F20"/>
          <w:w w:val="105"/>
        </w:rPr>
        <w:t>and during booms, it grows.</w:t>
      </w:r>
    </w:p>
    <w:p>
      <w:pPr>
        <w:pStyle w:val="BodyText"/>
        <w:spacing w:line="292" w:lineRule="auto"/>
        <w:ind w:left="830" w:right="753" w:firstLine="340"/>
        <w:jc w:val="both"/>
      </w:pPr>
      <w:r>
        <w:rPr>
          <w:color w:val="231F20"/>
        </w:rPr>
        <w:t>For example, imagine that in 2005 you produced in your kitchen one pound of saltwater taffy worth $1. Then the following year, </w:t>
      </w:r>
      <w:r>
        <w:rPr>
          <w:color w:val="231F20"/>
        </w:rPr>
        <w:t>you made</w:t>
      </w:r>
      <w:r>
        <w:rPr>
          <w:color w:val="231F20"/>
          <w:spacing w:val="40"/>
        </w:rPr>
        <w:t> </w:t>
      </w:r>
      <w:r>
        <w:rPr>
          <w:color w:val="231F20"/>
        </w:rPr>
        <w:t>an</w:t>
      </w:r>
      <w:r>
        <w:rPr>
          <w:color w:val="231F20"/>
          <w:spacing w:val="40"/>
        </w:rPr>
        <w:t> </w:t>
      </w:r>
      <w:r>
        <w:rPr>
          <w:color w:val="231F20"/>
        </w:rPr>
        <w:t>identical</w:t>
      </w:r>
      <w:r>
        <w:rPr>
          <w:color w:val="231F20"/>
          <w:spacing w:val="40"/>
        </w:rPr>
        <w:t> </w:t>
      </w:r>
      <w:r>
        <w:rPr>
          <w:color w:val="231F20"/>
        </w:rPr>
        <w:t>pound</w:t>
      </w:r>
      <w:r>
        <w:rPr>
          <w:color w:val="231F20"/>
          <w:spacing w:val="40"/>
        </w:rPr>
        <w:t> </w:t>
      </w:r>
      <w:r>
        <w:rPr>
          <w:color w:val="231F20"/>
        </w:rPr>
        <w:t>of</w:t>
      </w:r>
      <w:r>
        <w:rPr>
          <w:color w:val="231F20"/>
          <w:spacing w:val="40"/>
        </w:rPr>
        <w:t> </w:t>
      </w:r>
      <w:r>
        <w:rPr>
          <w:color w:val="231F20"/>
        </w:rPr>
        <w:t>candy,</w:t>
      </w:r>
      <w:r>
        <w:rPr>
          <w:color w:val="231F20"/>
          <w:spacing w:val="40"/>
        </w:rPr>
        <w:t> </w:t>
      </w:r>
      <w:r>
        <w:rPr>
          <w:color w:val="231F20"/>
        </w:rPr>
        <w:t>now</w:t>
      </w:r>
      <w:r>
        <w:rPr>
          <w:color w:val="231F20"/>
          <w:spacing w:val="40"/>
        </w:rPr>
        <w:t> </w:t>
      </w:r>
      <w:r>
        <w:rPr>
          <w:color w:val="231F20"/>
        </w:rPr>
        <w:t>worth</w:t>
      </w:r>
      <w:r>
        <w:rPr>
          <w:color w:val="231F20"/>
          <w:spacing w:val="40"/>
        </w:rPr>
        <w:t> </w:t>
      </w:r>
      <w:r>
        <w:rPr>
          <w:color w:val="231F20"/>
        </w:rPr>
        <w:t>$1.04</w:t>
      </w:r>
      <w:r>
        <w:rPr>
          <w:color w:val="231F20"/>
          <w:spacing w:val="40"/>
        </w:rPr>
        <w:t> </w:t>
      </w:r>
      <w:r>
        <w:rPr>
          <w:color w:val="231F20"/>
        </w:rPr>
        <w:t>due</w:t>
      </w:r>
      <w:r>
        <w:rPr>
          <w:color w:val="231F20"/>
          <w:spacing w:val="40"/>
        </w:rPr>
        <w:t> </w:t>
      </w:r>
      <w:r>
        <w:rPr>
          <w:color w:val="231F20"/>
        </w:rPr>
        <w:t>to inflation. “Nominally,” in “current” dollar terms in 2006, you pro- duced</w:t>
      </w:r>
      <w:r>
        <w:rPr>
          <w:color w:val="231F20"/>
          <w:spacing w:val="40"/>
        </w:rPr>
        <w:t> </w:t>
      </w:r>
      <w:r>
        <w:rPr>
          <w:color w:val="231F20"/>
        </w:rPr>
        <w:t>4</w:t>
      </w:r>
      <w:r>
        <w:rPr>
          <w:color w:val="231F20"/>
          <w:spacing w:val="40"/>
        </w:rPr>
        <w:t> </w:t>
      </w:r>
      <w:r>
        <w:rPr>
          <w:color w:val="231F20"/>
        </w:rPr>
        <w:t>percent</w:t>
      </w:r>
      <w:r>
        <w:rPr>
          <w:color w:val="231F20"/>
          <w:spacing w:val="40"/>
        </w:rPr>
        <w:t> </w:t>
      </w:r>
      <w:r>
        <w:rPr>
          <w:color w:val="231F20"/>
        </w:rPr>
        <w:t>more</w:t>
      </w:r>
      <w:r>
        <w:rPr>
          <w:color w:val="231F20"/>
          <w:spacing w:val="40"/>
        </w:rPr>
        <w:t> </w:t>
      </w:r>
      <w:r>
        <w:rPr>
          <w:color w:val="231F20"/>
        </w:rPr>
        <w:t>value.</w:t>
      </w:r>
      <w:r>
        <w:rPr>
          <w:color w:val="231F20"/>
          <w:spacing w:val="40"/>
        </w:rPr>
        <w:t> </w:t>
      </w:r>
      <w:r>
        <w:rPr>
          <w:color w:val="231F20"/>
        </w:rPr>
        <w:t>But</w:t>
      </w:r>
      <w:r>
        <w:rPr>
          <w:color w:val="231F20"/>
          <w:spacing w:val="40"/>
        </w:rPr>
        <w:t> </w:t>
      </w:r>
      <w:r>
        <w:rPr>
          <w:color w:val="231F20"/>
        </w:rPr>
        <w:t>did</w:t>
      </w:r>
      <w:r>
        <w:rPr>
          <w:color w:val="231F20"/>
          <w:spacing w:val="40"/>
        </w:rPr>
        <w:t> </w:t>
      </w:r>
      <w:r>
        <w:rPr>
          <w:color w:val="231F20"/>
        </w:rPr>
        <w:t>you</w:t>
      </w:r>
      <w:r>
        <w:rPr>
          <w:color w:val="231F20"/>
          <w:spacing w:val="40"/>
        </w:rPr>
        <w:t> </w:t>
      </w:r>
      <w:r>
        <w:rPr>
          <w:color w:val="231F20"/>
        </w:rPr>
        <w:t>really?</w:t>
      </w:r>
      <w:r>
        <w:rPr>
          <w:color w:val="231F20"/>
          <w:spacing w:val="40"/>
        </w:rPr>
        <w:t> </w:t>
      </w:r>
      <w:r>
        <w:rPr>
          <w:color w:val="231F20"/>
        </w:rPr>
        <w:t>No.</w:t>
      </w:r>
      <w:r>
        <w:rPr>
          <w:color w:val="231F20"/>
          <w:spacing w:val="40"/>
        </w:rPr>
        <w:t> </w:t>
      </w:r>
      <w:r>
        <w:rPr>
          <w:color w:val="231F20"/>
        </w:rPr>
        <w:t>Your</w:t>
      </w:r>
      <w:r>
        <w:rPr>
          <w:color w:val="231F20"/>
          <w:spacing w:val="40"/>
        </w:rPr>
        <w:t> </w:t>
      </w:r>
      <w:r>
        <w:rPr>
          <w:color w:val="231F20"/>
        </w:rPr>
        <w:t>output was</w:t>
      </w:r>
      <w:r>
        <w:rPr>
          <w:color w:val="231F20"/>
          <w:spacing w:val="28"/>
        </w:rPr>
        <w:t> </w:t>
      </w:r>
      <w:r>
        <w:rPr>
          <w:color w:val="231F20"/>
        </w:rPr>
        <w:t>the</w:t>
      </w:r>
      <w:r>
        <w:rPr>
          <w:color w:val="231F20"/>
          <w:spacing w:val="28"/>
        </w:rPr>
        <w:t> </w:t>
      </w:r>
      <w:r>
        <w:rPr>
          <w:color w:val="231F20"/>
        </w:rPr>
        <w:t>same.</w:t>
      </w:r>
      <w:r>
        <w:rPr>
          <w:color w:val="231F20"/>
          <w:spacing w:val="28"/>
        </w:rPr>
        <w:t> </w:t>
      </w:r>
      <w:r>
        <w:rPr>
          <w:color w:val="231F20"/>
        </w:rPr>
        <w:t>Therefore,</w:t>
      </w:r>
      <w:r>
        <w:rPr>
          <w:color w:val="231F20"/>
          <w:spacing w:val="28"/>
        </w:rPr>
        <w:t> </w:t>
      </w:r>
      <w:r>
        <w:rPr>
          <w:color w:val="231F20"/>
        </w:rPr>
        <w:t>economists</w:t>
      </w:r>
      <w:r>
        <w:rPr>
          <w:color w:val="231F20"/>
          <w:spacing w:val="28"/>
        </w:rPr>
        <w:t> </w:t>
      </w:r>
      <w:r>
        <w:rPr>
          <w:color w:val="231F20"/>
        </w:rPr>
        <w:t>adjust</w:t>
      </w:r>
      <w:r>
        <w:rPr>
          <w:color w:val="231F20"/>
          <w:spacing w:val="29"/>
        </w:rPr>
        <w:t> </w:t>
      </w:r>
      <w:r>
        <w:rPr>
          <w:color w:val="231F20"/>
        </w:rPr>
        <w:t>nominal</w:t>
      </w:r>
      <w:r>
        <w:rPr>
          <w:color w:val="231F20"/>
          <w:spacing w:val="28"/>
        </w:rPr>
        <w:t> </w:t>
      </w:r>
      <w:r>
        <w:rPr>
          <w:color w:val="231F20"/>
        </w:rPr>
        <w:t>GNP</w:t>
      </w:r>
      <w:r>
        <w:rPr>
          <w:color w:val="231F20"/>
          <w:spacing w:val="28"/>
        </w:rPr>
        <w:t> </w:t>
      </w:r>
      <w:r>
        <w:rPr>
          <w:color w:val="231F20"/>
          <w:spacing w:val="-2"/>
        </w:rPr>
        <w:t>numbers</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7"/>
        <w:jc w:val="both"/>
      </w:pPr>
      <w:r>
        <w:rPr>
          <w:color w:val="231F20"/>
          <w:w w:val="105"/>
        </w:rPr>
        <w:t>with</w:t>
      </w:r>
      <w:r>
        <w:rPr>
          <w:color w:val="231F20"/>
          <w:w w:val="105"/>
        </w:rPr>
        <w:t> a</w:t>
      </w:r>
      <w:r>
        <w:rPr>
          <w:color w:val="231F20"/>
          <w:w w:val="105"/>
        </w:rPr>
        <w:t> deflator</w:t>
      </w:r>
      <w:r>
        <w:rPr>
          <w:color w:val="231F20"/>
          <w:w w:val="105"/>
        </w:rPr>
        <w:t> to</w:t>
      </w:r>
      <w:r>
        <w:rPr>
          <w:color w:val="231F20"/>
          <w:w w:val="105"/>
        </w:rPr>
        <w:t> yield</w:t>
      </w:r>
      <w:r>
        <w:rPr>
          <w:color w:val="231F20"/>
          <w:w w:val="105"/>
        </w:rPr>
        <w:t> real</w:t>
      </w:r>
      <w:r>
        <w:rPr>
          <w:color w:val="231F20"/>
          <w:w w:val="105"/>
        </w:rPr>
        <w:t> GNP.</w:t>
      </w:r>
      <w:r>
        <w:rPr>
          <w:color w:val="231F20"/>
          <w:w w:val="105"/>
        </w:rPr>
        <w:t> With</w:t>
      </w:r>
      <w:r>
        <w:rPr>
          <w:color w:val="231F20"/>
          <w:w w:val="105"/>
        </w:rPr>
        <w:t> “real”</w:t>
      </w:r>
      <w:r>
        <w:rPr>
          <w:color w:val="231F20"/>
          <w:w w:val="105"/>
        </w:rPr>
        <w:t> figures</w:t>
      </w:r>
      <w:r>
        <w:rPr>
          <w:color w:val="231F20"/>
          <w:w w:val="105"/>
        </w:rPr>
        <w:t> analysts</w:t>
      </w:r>
      <w:r>
        <w:rPr>
          <w:color w:val="231F20"/>
          <w:w w:val="105"/>
        </w:rPr>
        <w:t> </w:t>
      </w:r>
      <w:r>
        <w:rPr>
          <w:color w:val="231F20"/>
          <w:w w:val="105"/>
        </w:rPr>
        <w:t>can measure and compare “real” growth in the economy.</w:t>
      </w:r>
    </w:p>
    <w:p>
      <w:pPr>
        <w:pStyle w:val="BodyText"/>
        <w:spacing w:line="290" w:lineRule="auto"/>
        <w:ind w:left="920" w:right="663" w:firstLine="340"/>
        <w:jc w:val="both"/>
      </w:pPr>
      <w:r>
        <w:rPr>
          <w:color w:val="231F20"/>
        </w:rPr>
        <w:t>In addition to a GNP deflator, economists use two more mea- sures of inflation to gauge inflation’s impact on the economy. The </w:t>
      </w:r>
      <w:r>
        <w:rPr>
          <w:i/>
          <w:color w:val="231F20"/>
        </w:rPr>
        <w:t>consumer price index </w:t>
      </w:r>
      <w:r>
        <w:rPr>
          <w:color w:val="231F20"/>
        </w:rPr>
        <w:t>(CPI) measures the price changes of a specifically defined basket of consumer goods and services that peo- ple buy most often. This shopping basket or collection of goods is kept constant from year to year. The </w:t>
      </w:r>
      <w:r>
        <w:rPr>
          <w:i/>
          <w:color w:val="231F20"/>
        </w:rPr>
        <w:t>producer price index </w:t>
      </w:r>
      <w:r>
        <w:rPr>
          <w:color w:val="231F20"/>
        </w:rPr>
        <w:t>(PPI) </w:t>
      </w:r>
      <w:r>
        <w:rPr>
          <w:color w:val="231F20"/>
        </w:rPr>
        <w:t>mea- sures price changes of a collection of raw materials used most often by</w:t>
      </w:r>
      <w:r>
        <w:rPr>
          <w:color w:val="231F20"/>
          <w:spacing w:val="40"/>
        </w:rPr>
        <w:t> </w:t>
      </w:r>
      <w:r>
        <w:rPr>
          <w:color w:val="231F20"/>
        </w:rPr>
        <w:t>producers.</w:t>
      </w:r>
      <w:r>
        <w:rPr>
          <w:color w:val="231F20"/>
          <w:spacing w:val="40"/>
        </w:rPr>
        <w:t> </w:t>
      </w:r>
      <w:r>
        <w:rPr>
          <w:color w:val="231F20"/>
        </w:rPr>
        <w:t>The</w:t>
      </w:r>
      <w:r>
        <w:rPr>
          <w:color w:val="231F20"/>
          <w:spacing w:val="40"/>
        </w:rPr>
        <w:t> </w:t>
      </w:r>
      <w:r>
        <w:rPr>
          <w:color w:val="231F20"/>
        </w:rPr>
        <w:t>CPI</w:t>
      </w:r>
      <w:r>
        <w:rPr>
          <w:color w:val="231F20"/>
          <w:spacing w:val="40"/>
        </w:rPr>
        <w:t> </w:t>
      </w:r>
      <w:r>
        <w:rPr>
          <w:color w:val="231F20"/>
        </w:rPr>
        <w:t>index</w:t>
      </w:r>
      <w:r>
        <w:rPr>
          <w:color w:val="231F20"/>
          <w:spacing w:val="40"/>
        </w:rPr>
        <w:t> </w:t>
      </w:r>
      <w:r>
        <w:rPr>
          <w:color w:val="231F20"/>
        </w:rPr>
        <w:t>uses</w:t>
      </w:r>
      <w:r>
        <w:rPr>
          <w:color w:val="231F20"/>
          <w:spacing w:val="40"/>
        </w:rPr>
        <w:t> </w:t>
      </w:r>
      <w:r>
        <w:rPr>
          <w:color w:val="231F20"/>
        </w:rPr>
        <w:t>1982</w:t>
      </w:r>
      <w:r>
        <w:rPr>
          <w:color w:val="231F20"/>
          <w:spacing w:val="-12"/>
        </w:rPr>
        <w:t> </w:t>
      </w:r>
      <w:r>
        <w:rPr>
          <w:color w:val="231F20"/>
        </w:rPr>
        <w:t>–</w:t>
      </w:r>
      <w:r>
        <w:rPr>
          <w:color w:val="231F20"/>
          <w:spacing w:val="-12"/>
        </w:rPr>
        <w:t> </w:t>
      </w:r>
      <w:r>
        <w:rPr>
          <w:color w:val="231F20"/>
        </w:rPr>
        <w:t>84</w:t>
      </w:r>
      <w:r>
        <w:rPr>
          <w:color w:val="231F20"/>
          <w:spacing w:val="40"/>
        </w:rPr>
        <w:t> </w:t>
      </w:r>
      <w:r>
        <w:rPr>
          <w:color w:val="231F20"/>
        </w:rPr>
        <w:t>as</w:t>
      </w:r>
      <w:r>
        <w:rPr>
          <w:color w:val="231F20"/>
          <w:spacing w:val="40"/>
        </w:rPr>
        <w:t> </w:t>
      </w:r>
      <w:r>
        <w:rPr>
          <w:color w:val="231F20"/>
        </w:rPr>
        <w:t>its</w:t>
      </w:r>
      <w:r>
        <w:rPr>
          <w:color w:val="231F20"/>
          <w:spacing w:val="40"/>
        </w:rPr>
        <w:t> </w:t>
      </w:r>
      <w:r>
        <w:rPr>
          <w:color w:val="231F20"/>
        </w:rPr>
        <w:t>base</w:t>
      </w:r>
      <w:r>
        <w:rPr>
          <w:color w:val="231F20"/>
          <w:spacing w:val="40"/>
        </w:rPr>
        <w:t> </w:t>
      </w:r>
      <w:r>
        <w:rPr>
          <w:color w:val="231F20"/>
        </w:rPr>
        <w:t>years (1982</w:t>
      </w:r>
      <w:r>
        <w:rPr>
          <w:color w:val="231F20"/>
          <w:spacing w:val="-25"/>
        </w:rPr>
        <w:t> </w:t>
      </w:r>
      <w:r>
        <w:rPr>
          <w:color w:val="231F20"/>
        </w:rPr>
        <w:t>–</w:t>
      </w:r>
      <w:r>
        <w:rPr>
          <w:color w:val="231F20"/>
          <w:spacing w:val="-25"/>
        </w:rPr>
        <w:t> </w:t>
      </w:r>
      <w:r>
        <w:rPr>
          <w:color w:val="231F20"/>
        </w:rPr>
        <w:t>84</w:t>
      </w:r>
      <w:r>
        <w:rPr>
          <w:color w:val="231F20"/>
          <w:spacing w:val="9"/>
        </w:rPr>
        <w:t> </w:t>
      </w:r>
      <w:r>
        <w:rPr>
          <w:rFonts w:ascii="Symbol" w:hAnsi="Symbol"/>
          <w:color w:val="231F20"/>
        </w:rPr>
        <w:t></w:t>
      </w:r>
      <w:r>
        <w:rPr>
          <w:rFonts w:ascii="Times New Roman" w:hAnsi="Times New Roman"/>
          <w:color w:val="231F20"/>
          <w:spacing w:val="4"/>
        </w:rPr>
        <w:t> </w:t>
      </w:r>
      <w:r>
        <w:rPr>
          <w:color w:val="231F20"/>
        </w:rPr>
        <w:t>100).</w:t>
      </w:r>
      <w:r>
        <w:rPr>
          <w:color w:val="231F20"/>
          <w:spacing w:val="9"/>
        </w:rPr>
        <w:t> </w:t>
      </w:r>
      <w:r>
        <w:rPr>
          <w:color w:val="231F20"/>
        </w:rPr>
        <w:t>The</w:t>
      </w:r>
      <w:r>
        <w:rPr>
          <w:color w:val="231F20"/>
          <w:spacing w:val="10"/>
        </w:rPr>
        <w:t> </w:t>
      </w:r>
      <w:r>
        <w:rPr>
          <w:color w:val="231F20"/>
        </w:rPr>
        <w:t>PPI</w:t>
      </w:r>
      <w:r>
        <w:rPr>
          <w:color w:val="231F20"/>
          <w:spacing w:val="10"/>
        </w:rPr>
        <w:t> </w:t>
      </w:r>
      <w:r>
        <w:rPr>
          <w:color w:val="231F20"/>
        </w:rPr>
        <w:t>uses</w:t>
      </w:r>
      <w:r>
        <w:rPr>
          <w:color w:val="231F20"/>
          <w:spacing w:val="9"/>
        </w:rPr>
        <w:t> </w:t>
      </w:r>
      <w:r>
        <w:rPr>
          <w:color w:val="231F20"/>
        </w:rPr>
        <w:t>1982</w:t>
      </w:r>
      <w:r>
        <w:rPr>
          <w:color w:val="231F20"/>
          <w:spacing w:val="10"/>
        </w:rPr>
        <w:t> </w:t>
      </w:r>
      <w:r>
        <w:rPr>
          <w:color w:val="231F20"/>
        </w:rPr>
        <w:t>(1982</w:t>
      </w:r>
      <w:r>
        <w:rPr>
          <w:color w:val="231F20"/>
          <w:spacing w:val="9"/>
        </w:rPr>
        <w:t> </w:t>
      </w:r>
      <w:r>
        <w:rPr>
          <w:rFonts w:ascii="Symbol" w:hAnsi="Symbol"/>
          <w:color w:val="231F20"/>
        </w:rPr>
        <w:t></w:t>
      </w:r>
      <w:r>
        <w:rPr>
          <w:rFonts w:ascii="Times New Roman" w:hAnsi="Times New Roman"/>
          <w:color w:val="231F20"/>
          <w:spacing w:val="4"/>
        </w:rPr>
        <w:t> </w:t>
      </w:r>
      <w:r>
        <w:rPr>
          <w:color w:val="231F20"/>
        </w:rPr>
        <w:t>100).</w:t>
      </w:r>
      <w:r>
        <w:rPr>
          <w:color w:val="231F20"/>
          <w:spacing w:val="9"/>
        </w:rPr>
        <w:t> </w:t>
      </w:r>
      <w:r>
        <w:rPr>
          <w:color w:val="231F20"/>
        </w:rPr>
        <w:t>In</w:t>
      </w:r>
      <w:r>
        <w:rPr>
          <w:color w:val="231F20"/>
          <w:spacing w:val="10"/>
        </w:rPr>
        <w:t> </w:t>
      </w:r>
      <w:r>
        <w:rPr>
          <w:color w:val="231F20"/>
        </w:rPr>
        <w:t>2002</w:t>
      </w:r>
      <w:r>
        <w:rPr>
          <w:color w:val="231F20"/>
          <w:spacing w:val="9"/>
        </w:rPr>
        <w:t> </w:t>
      </w:r>
      <w:r>
        <w:rPr>
          <w:color w:val="231F20"/>
        </w:rPr>
        <w:t>the</w:t>
      </w:r>
      <w:r>
        <w:rPr>
          <w:color w:val="231F20"/>
          <w:spacing w:val="10"/>
        </w:rPr>
        <w:t> </w:t>
      </w:r>
      <w:r>
        <w:rPr>
          <w:color w:val="231F20"/>
          <w:spacing w:val="-5"/>
        </w:rPr>
        <w:t>CPI</w:t>
      </w:r>
    </w:p>
    <w:p>
      <w:pPr>
        <w:pStyle w:val="BodyText"/>
        <w:spacing w:line="292" w:lineRule="auto" w:before="4"/>
        <w:ind w:left="920" w:right="666"/>
        <w:jc w:val="both"/>
      </w:pPr>
      <w:r>
        <w:rPr>
          <w:color w:val="231F20"/>
        </w:rPr>
        <w:t>was 182 and the PPI 139. That means that consumer prices in 2002 were 82 percent greater than they were in 1984 for identical goods.</w:t>
      </w:r>
    </w:p>
    <w:p>
      <w:pPr>
        <w:pStyle w:val="BodyText"/>
        <w:spacing w:line="292" w:lineRule="auto"/>
        <w:ind w:left="919" w:right="663" w:firstLine="340"/>
        <w:jc w:val="both"/>
      </w:pPr>
      <w:r>
        <w:rPr>
          <w:color w:val="231F20"/>
        </w:rPr>
        <w:t>There are also two additional variations of GNP measures </w:t>
      </w:r>
      <w:r>
        <w:rPr>
          <w:color w:val="231F20"/>
        </w:rPr>
        <w:t>called </w:t>
      </w:r>
      <w:r>
        <w:rPr>
          <w:i/>
          <w:color w:val="231F20"/>
          <w:w w:val="105"/>
        </w:rPr>
        <w:t>net</w:t>
      </w:r>
      <w:r>
        <w:rPr>
          <w:i/>
          <w:color w:val="231F20"/>
          <w:w w:val="105"/>
        </w:rPr>
        <w:t> national</w:t>
      </w:r>
      <w:r>
        <w:rPr>
          <w:i/>
          <w:color w:val="231F20"/>
          <w:w w:val="105"/>
        </w:rPr>
        <w:t> product</w:t>
      </w:r>
      <w:r>
        <w:rPr>
          <w:i/>
          <w:color w:val="231F20"/>
          <w:w w:val="105"/>
        </w:rPr>
        <w:t> </w:t>
      </w:r>
      <w:r>
        <w:rPr>
          <w:color w:val="231F20"/>
          <w:w w:val="105"/>
        </w:rPr>
        <w:t>(NNP)</w:t>
      </w:r>
      <w:r>
        <w:rPr>
          <w:color w:val="231F20"/>
          <w:w w:val="105"/>
        </w:rPr>
        <w:t> and</w:t>
      </w:r>
      <w:r>
        <w:rPr>
          <w:color w:val="231F20"/>
          <w:w w:val="105"/>
        </w:rPr>
        <w:t> </w:t>
      </w:r>
      <w:r>
        <w:rPr>
          <w:i/>
          <w:color w:val="231F20"/>
          <w:w w:val="105"/>
        </w:rPr>
        <w:t>gross</w:t>
      </w:r>
      <w:r>
        <w:rPr>
          <w:i/>
          <w:color w:val="231F20"/>
          <w:w w:val="105"/>
        </w:rPr>
        <w:t> domestic</w:t>
      </w:r>
      <w:r>
        <w:rPr>
          <w:i/>
          <w:color w:val="231F20"/>
          <w:w w:val="105"/>
        </w:rPr>
        <w:t> product</w:t>
      </w:r>
      <w:r>
        <w:rPr>
          <w:i/>
          <w:color w:val="231F20"/>
          <w:w w:val="105"/>
        </w:rPr>
        <w:t> </w:t>
      </w:r>
      <w:r>
        <w:rPr>
          <w:color w:val="231F20"/>
          <w:w w:val="105"/>
        </w:rPr>
        <w:t>(GDP).</w:t>
      </w:r>
      <w:r>
        <w:rPr>
          <w:color w:val="231F20"/>
          <w:spacing w:val="40"/>
          <w:w w:val="105"/>
        </w:rPr>
        <w:t> </w:t>
      </w:r>
      <w:r>
        <w:rPr>
          <w:color w:val="231F20"/>
          <w:w w:val="105"/>
        </w:rPr>
        <w:t>NNP</w:t>
      </w:r>
      <w:r>
        <w:rPr>
          <w:color w:val="231F20"/>
          <w:spacing w:val="-13"/>
          <w:w w:val="105"/>
        </w:rPr>
        <w:t> </w:t>
      </w:r>
      <w:r>
        <w:rPr>
          <w:color w:val="231F20"/>
          <w:w w:val="105"/>
        </w:rPr>
        <w:t>considers</w:t>
      </w:r>
      <w:r>
        <w:rPr>
          <w:color w:val="231F20"/>
          <w:spacing w:val="-12"/>
          <w:w w:val="105"/>
        </w:rPr>
        <w:t> </w:t>
      </w:r>
      <w:r>
        <w:rPr>
          <w:color w:val="231F20"/>
          <w:w w:val="105"/>
        </w:rPr>
        <w:t>the</w:t>
      </w:r>
      <w:r>
        <w:rPr>
          <w:color w:val="231F20"/>
          <w:spacing w:val="-12"/>
          <w:w w:val="105"/>
        </w:rPr>
        <w:t> </w:t>
      </w:r>
      <w:r>
        <w:rPr>
          <w:color w:val="231F20"/>
          <w:w w:val="105"/>
        </w:rPr>
        <w:t>cost</w:t>
      </w:r>
      <w:r>
        <w:rPr>
          <w:color w:val="231F20"/>
          <w:spacing w:val="-12"/>
          <w:w w:val="105"/>
        </w:rPr>
        <w:t> </w:t>
      </w:r>
      <w:r>
        <w:rPr>
          <w:color w:val="231F20"/>
          <w:w w:val="105"/>
        </w:rPr>
        <w:t>of</w:t>
      </w:r>
      <w:r>
        <w:rPr>
          <w:color w:val="231F20"/>
          <w:spacing w:val="-12"/>
          <w:w w:val="105"/>
        </w:rPr>
        <w:t> </w:t>
      </w:r>
      <w:r>
        <w:rPr>
          <w:color w:val="231F20"/>
          <w:w w:val="105"/>
        </w:rPr>
        <w:t>using</w:t>
      </w:r>
      <w:r>
        <w:rPr>
          <w:color w:val="231F20"/>
          <w:spacing w:val="-12"/>
          <w:w w:val="105"/>
        </w:rPr>
        <w:t> </w:t>
      </w:r>
      <w:r>
        <w:rPr>
          <w:color w:val="231F20"/>
          <w:w w:val="105"/>
        </w:rPr>
        <w:t>up</w:t>
      </w:r>
      <w:r>
        <w:rPr>
          <w:color w:val="231F20"/>
          <w:spacing w:val="-12"/>
          <w:w w:val="105"/>
        </w:rPr>
        <w:t> </w:t>
      </w:r>
      <w:r>
        <w:rPr>
          <w:color w:val="231F20"/>
          <w:w w:val="105"/>
        </w:rPr>
        <w:t>machinery,</w:t>
      </w:r>
      <w:r>
        <w:rPr>
          <w:color w:val="231F20"/>
          <w:spacing w:val="-13"/>
          <w:w w:val="105"/>
        </w:rPr>
        <w:t> </w:t>
      </w:r>
      <w:r>
        <w:rPr>
          <w:color w:val="231F20"/>
          <w:w w:val="105"/>
        </w:rPr>
        <w:t>factories,</w:t>
      </w:r>
      <w:r>
        <w:rPr>
          <w:color w:val="231F20"/>
          <w:spacing w:val="-12"/>
          <w:w w:val="105"/>
        </w:rPr>
        <w:t> </w:t>
      </w:r>
      <w:r>
        <w:rPr>
          <w:color w:val="231F20"/>
          <w:w w:val="105"/>
        </w:rPr>
        <w:t>and</w:t>
      </w:r>
      <w:r>
        <w:rPr>
          <w:color w:val="231F20"/>
          <w:spacing w:val="-12"/>
          <w:w w:val="105"/>
        </w:rPr>
        <w:t> </w:t>
      </w:r>
      <w:r>
        <w:rPr>
          <w:color w:val="231F20"/>
          <w:w w:val="105"/>
        </w:rPr>
        <w:t>equip- ment</w:t>
      </w:r>
      <w:r>
        <w:rPr>
          <w:color w:val="231F20"/>
          <w:w w:val="105"/>
        </w:rPr>
        <w:t> in</w:t>
      </w:r>
      <w:r>
        <w:rPr>
          <w:color w:val="231F20"/>
          <w:w w:val="105"/>
        </w:rPr>
        <w:t> production.</w:t>
      </w:r>
      <w:r>
        <w:rPr>
          <w:color w:val="231F20"/>
          <w:w w:val="105"/>
        </w:rPr>
        <w:t> In</w:t>
      </w:r>
      <w:r>
        <w:rPr>
          <w:color w:val="231F20"/>
          <w:w w:val="105"/>
        </w:rPr>
        <w:t> accounting,</w:t>
      </w:r>
      <w:r>
        <w:rPr>
          <w:color w:val="231F20"/>
          <w:w w:val="105"/>
        </w:rPr>
        <w:t> as</w:t>
      </w:r>
      <w:r>
        <w:rPr>
          <w:color w:val="231F20"/>
          <w:w w:val="105"/>
        </w:rPr>
        <w:t> I</w:t>
      </w:r>
      <w:r>
        <w:rPr>
          <w:color w:val="231F20"/>
          <w:w w:val="105"/>
        </w:rPr>
        <w:t> know</w:t>
      </w:r>
      <w:r>
        <w:rPr>
          <w:color w:val="231F20"/>
          <w:w w:val="105"/>
        </w:rPr>
        <w:t> you</w:t>
      </w:r>
      <w:r>
        <w:rPr>
          <w:color w:val="231F20"/>
          <w:w w:val="105"/>
        </w:rPr>
        <w:t> remember,</w:t>
      </w:r>
      <w:r>
        <w:rPr>
          <w:color w:val="231F20"/>
          <w:w w:val="105"/>
        </w:rPr>
        <w:t> they call</w:t>
      </w:r>
      <w:r>
        <w:rPr>
          <w:color w:val="231F20"/>
          <w:spacing w:val="-4"/>
          <w:w w:val="105"/>
        </w:rPr>
        <w:t> </w:t>
      </w:r>
      <w:r>
        <w:rPr>
          <w:color w:val="231F20"/>
          <w:w w:val="105"/>
        </w:rPr>
        <w:t>that</w:t>
      </w:r>
      <w:r>
        <w:rPr>
          <w:color w:val="231F20"/>
          <w:spacing w:val="-4"/>
          <w:w w:val="105"/>
        </w:rPr>
        <w:t> </w:t>
      </w:r>
      <w:r>
        <w:rPr>
          <w:color w:val="231F20"/>
          <w:w w:val="105"/>
        </w:rPr>
        <w:t>wasting</w:t>
      </w:r>
      <w:r>
        <w:rPr>
          <w:color w:val="231F20"/>
          <w:spacing w:val="-4"/>
          <w:w w:val="105"/>
        </w:rPr>
        <w:t> </w:t>
      </w:r>
      <w:r>
        <w:rPr>
          <w:color w:val="231F20"/>
          <w:w w:val="105"/>
        </w:rPr>
        <w:t>of</w:t>
      </w:r>
      <w:r>
        <w:rPr>
          <w:color w:val="231F20"/>
          <w:spacing w:val="-4"/>
          <w:w w:val="105"/>
        </w:rPr>
        <w:t> </w:t>
      </w:r>
      <w:r>
        <w:rPr>
          <w:color w:val="231F20"/>
          <w:w w:val="105"/>
        </w:rPr>
        <w:t>assets</w:t>
      </w:r>
      <w:r>
        <w:rPr>
          <w:color w:val="231F20"/>
          <w:spacing w:val="-4"/>
          <w:w w:val="105"/>
        </w:rPr>
        <w:t> </w:t>
      </w:r>
      <w:r>
        <w:rPr>
          <w:i/>
          <w:color w:val="231F20"/>
          <w:w w:val="105"/>
        </w:rPr>
        <w:t>depreciation.</w:t>
      </w:r>
      <w:r>
        <w:rPr>
          <w:i/>
          <w:color w:val="231F20"/>
          <w:spacing w:val="-4"/>
          <w:w w:val="105"/>
        </w:rPr>
        <w:t> </w:t>
      </w:r>
      <w:r>
        <w:rPr>
          <w:color w:val="231F20"/>
          <w:w w:val="105"/>
        </w:rPr>
        <w:t>NNP</w:t>
      </w:r>
      <w:r>
        <w:rPr>
          <w:color w:val="231F20"/>
          <w:spacing w:val="-4"/>
          <w:w w:val="105"/>
        </w:rPr>
        <w:t> </w:t>
      </w:r>
      <w:r>
        <w:rPr>
          <w:color w:val="231F20"/>
          <w:w w:val="105"/>
        </w:rPr>
        <w:t>is</w:t>
      </w:r>
      <w:r>
        <w:rPr>
          <w:color w:val="231F20"/>
          <w:spacing w:val="-4"/>
          <w:w w:val="105"/>
        </w:rPr>
        <w:t> </w:t>
      </w:r>
      <w:r>
        <w:rPr>
          <w:color w:val="231F20"/>
          <w:w w:val="105"/>
        </w:rPr>
        <w:t>GNP</w:t>
      </w:r>
      <w:r>
        <w:rPr>
          <w:color w:val="231F20"/>
          <w:spacing w:val="-4"/>
          <w:w w:val="105"/>
        </w:rPr>
        <w:t> </w:t>
      </w:r>
      <w:r>
        <w:rPr>
          <w:color w:val="231F20"/>
          <w:w w:val="105"/>
        </w:rPr>
        <w:t>less</w:t>
      </w:r>
      <w:r>
        <w:rPr>
          <w:color w:val="231F20"/>
          <w:spacing w:val="-4"/>
          <w:w w:val="105"/>
        </w:rPr>
        <w:t> </w:t>
      </w:r>
      <w:r>
        <w:rPr>
          <w:color w:val="231F20"/>
          <w:w w:val="105"/>
        </w:rPr>
        <w:t>the</w:t>
      </w:r>
      <w:r>
        <w:rPr>
          <w:color w:val="231F20"/>
          <w:spacing w:val="-4"/>
          <w:w w:val="105"/>
        </w:rPr>
        <w:t> </w:t>
      </w:r>
      <w:r>
        <w:rPr>
          <w:color w:val="231F20"/>
          <w:w w:val="105"/>
        </w:rPr>
        <w:t>depre- ciation</w:t>
      </w:r>
      <w:r>
        <w:rPr>
          <w:color w:val="231F20"/>
          <w:spacing w:val="-1"/>
          <w:w w:val="105"/>
        </w:rPr>
        <w:t> </w:t>
      </w:r>
      <w:r>
        <w:rPr>
          <w:color w:val="231F20"/>
          <w:w w:val="105"/>
        </w:rPr>
        <w:t>on</w:t>
      </w:r>
      <w:r>
        <w:rPr>
          <w:color w:val="231F20"/>
          <w:spacing w:val="-1"/>
          <w:w w:val="105"/>
        </w:rPr>
        <w:t> </w:t>
      </w:r>
      <w:r>
        <w:rPr>
          <w:color w:val="231F20"/>
          <w:w w:val="105"/>
        </w:rPr>
        <w:t>the</w:t>
      </w:r>
      <w:r>
        <w:rPr>
          <w:color w:val="231F20"/>
          <w:spacing w:val="-1"/>
          <w:w w:val="105"/>
        </w:rPr>
        <w:t> </w:t>
      </w:r>
      <w:r>
        <w:rPr>
          <w:color w:val="231F20"/>
          <w:w w:val="105"/>
        </w:rPr>
        <w:t>fixed</w:t>
      </w:r>
      <w:r>
        <w:rPr>
          <w:color w:val="231F20"/>
          <w:spacing w:val="-1"/>
          <w:w w:val="105"/>
        </w:rPr>
        <w:t> </w:t>
      </w:r>
      <w:r>
        <w:rPr>
          <w:color w:val="231F20"/>
          <w:w w:val="105"/>
        </w:rPr>
        <w:t>assets</w:t>
      </w:r>
      <w:r>
        <w:rPr>
          <w:color w:val="231F20"/>
          <w:spacing w:val="-1"/>
          <w:w w:val="105"/>
        </w:rPr>
        <w:t> </w:t>
      </w:r>
      <w:r>
        <w:rPr>
          <w:color w:val="231F20"/>
          <w:w w:val="105"/>
        </w:rPr>
        <w:t>used</w:t>
      </w:r>
      <w:r>
        <w:rPr>
          <w:color w:val="231F20"/>
          <w:spacing w:val="-1"/>
          <w:w w:val="105"/>
        </w:rPr>
        <w:t> </w:t>
      </w:r>
      <w:r>
        <w:rPr>
          <w:color w:val="231F20"/>
          <w:w w:val="105"/>
        </w:rPr>
        <w:t>in</w:t>
      </w:r>
      <w:r>
        <w:rPr>
          <w:color w:val="231F20"/>
          <w:spacing w:val="-1"/>
          <w:w w:val="105"/>
        </w:rPr>
        <w:t> </w:t>
      </w:r>
      <w:r>
        <w:rPr>
          <w:color w:val="231F20"/>
          <w:w w:val="105"/>
        </w:rPr>
        <w:t>the</w:t>
      </w:r>
      <w:r>
        <w:rPr>
          <w:color w:val="231F20"/>
          <w:spacing w:val="-1"/>
          <w:w w:val="105"/>
        </w:rPr>
        <w:t> </w:t>
      </w:r>
      <w:r>
        <w:rPr>
          <w:color w:val="231F20"/>
          <w:w w:val="105"/>
        </w:rPr>
        <w:t>economy.</w:t>
      </w:r>
    </w:p>
    <w:p>
      <w:pPr>
        <w:pStyle w:val="BodyText"/>
        <w:spacing w:line="292" w:lineRule="auto"/>
        <w:ind w:left="920" w:right="663" w:firstLine="340"/>
        <w:jc w:val="both"/>
      </w:pPr>
      <w:r>
        <w:rPr>
          <w:i/>
          <w:color w:val="231F20"/>
        </w:rPr>
        <w:t>Gross</w:t>
      </w:r>
      <w:r>
        <w:rPr>
          <w:i/>
          <w:color w:val="231F20"/>
          <w:spacing w:val="40"/>
        </w:rPr>
        <w:t> </w:t>
      </w:r>
      <w:r>
        <w:rPr>
          <w:i/>
          <w:color w:val="231F20"/>
        </w:rPr>
        <w:t>domestic</w:t>
      </w:r>
      <w:r>
        <w:rPr>
          <w:i/>
          <w:color w:val="231F20"/>
          <w:spacing w:val="40"/>
        </w:rPr>
        <w:t> </w:t>
      </w:r>
      <w:r>
        <w:rPr>
          <w:i/>
          <w:color w:val="231F20"/>
        </w:rPr>
        <w:t>product</w:t>
      </w:r>
      <w:r>
        <w:rPr>
          <w:i/>
          <w:color w:val="231F20"/>
          <w:spacing w:val="40"/>
        </w:rPr>
        <w:t> </w:t>
      </w:r>
      <w:r>
        <w:rPr>
          <w:color w:val="231F20"/>
        </w:rPr>
        <w:t>is</w:t>
      </w:r>
      <w:r>
        <w:rPr>
          <w:color w:val="231F20"/>
          <w:spacing w:val="40"/>
        </w:rPr>
        <w:t> </w:t>
      </w:r>
      <w:r>
        <w:rPr>
          <w:color w:val="231F20"/>
        </w:rPr>
        <w:t>the</w:t>
      </w:r>
      <w:r>
        <w:rPr>
          <w:color w:val="231F20"/>
          <w:spacing w:val="40"/>
        </w:rPr>
        <w:t> </w:t>
      </w:r>
      <w:r>
        <w:rPr>
          <w:color w:val="231F20"/>
        </w:rPr>
        <w:t>part</w:t>
      </w:r>
      <w:r>
        <w:rPr>
          <w:color w:val="231F20"/>
          <w:spacing w:val="40"/>
        </w:rPr>
        <w:t> </w:t>
      </w:r>
      <w:r>
        <w:rPr>
          <w:color w:val="231F20"/>
        </w:rPr>
        <w:t>of</w:t>
      </w:r>
      <w:r>
        <w:rPr>
          <w:color w:val="231F20"/>
          <w:spacing w:val="40"/>
        </w:rPr>
        <w:t> </w:t>
      </w:r>
      <w:r>
        <w:rPr>
          <w:color w:val="231F20"/>
        </w:rPr>
        <w:t>GNP</w:t>
      </w:r>
      <w:r>
        <w:rPr>
          <w:color w:val="231F20"/>
          <w:spacing w:val="40"/>
        </w:rPr>
        <w:t> </w:t>
      </w:r>
      <w:r>
        <w:rPr>
          <w:color w:val="231F20"/>
        </w:rPr>
        <w:t>that</w:t>
      </w:r>
      <w:r>
        <w:rPr>
          <w:color w:val="231F20"/>
          <w:spacing w:val="40"/>
        </w:rPr>
        <w:t> </w:t>
      </w:r>
      <w:r>
        <w:rPr>
          <w:color w:val="231F20"/>
        </w:rPr>
        <w:t>is</w:t>
      </w:r>
      <w:r>
        <w:rPr>
          <w:color w:val="231F20"/>
          <w:spacing w:val="40"/>
        </w:rPr>
        <w:t> </w:t>
      </w:r>
      <w:r>
        <w:rPr>
          <w:color w:val="231F20"/>
        </w:rPr>
        <w:t>produced within a country’s borders. It is an important statistic for economies heavily involved in trade. For example, Japan’s GNP includes profits from Honda’s assembly plants in the United States, but these profits would</w:t>
      </w:r>
      <w:r>
        <w:rPr>
          <w:color w:val="231F20"/>
          <w:spacing w:val="40"/>
        </w:rPr>
        <w:t> </w:t>
      </w:r>
      <w:r>
        <w:rPr>
          <w:color w:val="231F20"/>
        </w:rPr>
        <w:t>be</w:t>
      </w:r>
      <w:r>
        <w:rPr>
          <w:color w:val="231F20"/>
          <w:spacing w:val="40"/>
        </w:rPr>
        <w:t> </w:t>
      </w:r>
      <w:r>
        <w:rPr>
          <w:color w:val="231F20"/>
        </w:rPr>
        <w:t>excluded</w:t>
      </w:r>
      <w:r>
        <w:rPr>
          <w:color w:val="231F20"/>
          <w:spacing w:val="40"/>
        </w:rPr>
        <w:t> </w:t>
      </w:r>
      <w:r>
        <w:rPr>
          <w:color w:val="231F20"/>
        </w:rPr>
        <w:t>from</w:t>
      </w:r>
      <w:r>
        <w:rPr>
          <w:color w:val="231F20"/>
          <w:spacing w:val="40"/>
        </w:rPr>
        <w:t> </w:t>
      </w:r>
      <w:r>
        <w:rPr>
          <w:color w:val="231F20"/>
        </w:rPr>
        <w:t>its</w:t>
      </w:r>
      <w:r>
        <w:rPr>
          <w:color w:val="231F20"/>
          <w:spacing w:val="40"/>
        </w:rPr>
        <w:t> </w:t>
      </w:r>
      <w:r>
        <w:rPr>
          <w:color w:val="231F20"/>
        </w:rPr>
        <w:t>GDP.</w:t>
      </w:r>
      <w:r>
        <w:rPr>
          <w:color w:val="231F20"/>
          <w:spacing w:val="40"/>
        </w:rPr>
        <w:t> </w:t>
      </w:r>
      <w:r>
        <w:rPr>
          <w:color w:val="231F20"/>
        </w:rPr>
        <w:t>GDP</w:t>
      </w:r>
      <w:r>
        <w:rPr>
          <w:color w:val="231F20"/>
          <w:spacing w:val="40"/>
        </w:rPr>
        <w:t> </w:t>
      </w:r>
      <w:r>
        <w:rPr>
          <w:color w:val="231F20"/>
        </w:rPr>
        <w:t>is</w:t>
      </w:r>
      <w:r>
        <w:rPr>
          <w:color w:val="231F20"/>
          <w:spacing w:val="40"/>
        </w:rPr>
        <w:t> </w:t>
      </w:r>
      <w:r>
        <w:rPr>
          <w:color w:val="231F20"/>
        </w:rPr>
        <w:t>widely</w:t>
      </w:r>
      <w:r>
        <w:rPr>
          <w:color w:val="231F20"/>
          <w:spacing w:val="40"/>
        </w:rPr>
        <w:t> </w:t>
      </w:r>
      <w:r>
        <w:rPr>
          <w:color w:val="231F20"/>
        </w:rPr>
        <w:t>used.</w:t>
      </w:r>
    </w:p>
    <w:p>
      <w:pPr>
        <w:pStyle w:val="BodyText"/>
        <w:spacing w:before="2"/>
        <w:rPr>
          <w:sz w:val="25"/>
        </w:rPr>
      </w:pPr>
    </w:p>
    <w:p>
      <w:pPr>
        <w:pStyle w:val="BodyText"/>
        <w:spacing w:line="292" w:lineRule="auto"/>
        <w:ind w:left="920" w:right="666"/>
        <w:jc w:val="both"/>
      </w:pPr>
      <w:r>
        <w:rPr>
          <w:i/>
          <w:color w:val="231F20"/>
          <w:w w:val="105"/>
        </w:rPr>
        <w:t>The</w:t>
      </w:r>
      <w:r>
        <w:rPr>
          <w:i/>
          <w:color w:val="231F20"/>
          <w:w w:val="105"/>
        </w:rPr>
        <w:t> GNP</w:t>
      </w:r>
      <w:r>
        <w:rPr>
          <w:i/>
          <w:color w:val="231F20"/>
          <w:w w:val="105"/>
        </w:rPr>
        <w:t> Equation.</w:t>
      </w:r>
      <w:r>
        <w:rPr>
          <w:i/>
          <w:color w:val="231F20"/>
          <w:w w:val="105"/>
        </w:rPr>
        <w:t> </w:t>
      </w:r>
      <w:r>
        <w:rPr>
          <w:color w:val="231F20"/>
          <w:w w:val="105"/>
        </w:rPr>
        <w:t>The</w:t>
      </w:r>
      <w:r>
        <w:rPr>
          <w:color w:val="231F20"/>
          <w:w w:val="105"/>
        </w:rPr>
        <w:t> gross</w:t>
      </w:r>
      <w:r>
        <w:rPr>
          <w:color w:val="231F20"/>
          <w:w w:val="105"/>
        </w:rPr>
        <w:t> national</w:t>
      </w:r>
      <w:r>
        <w:rPr>
          <w:color w:val="231F20"/>
          <w:w w:val="105"/>
        </w:rPr>
        <w:t> product,</w:t>
      </w:r>
      <w:r>
        <w:rPr>
          <w:color w:val="231F20"/>
          <w:w w:val="105"/>
        </w:rPr>
        <w:t> in</w:t>
      </w:r>
      <w:r>
        <w:rPr>
          <w:color w:val="231F20"/>
          <w:w w:val="105"/>
        </w:rPr>
        <w:t> the</w:t>
      </w:r>
      <w:r>
        <w:rPr>
          <w:color w:val="231F20"/>
          <w:w w:val="105"/>
        </w:rPr>
        <w:t> </w:t>
      </w:r>
      <w:r>
        <w:rPr>
          <w:color w:val="231F20"/>
          <w:w w:val="105"/>
        </w:rPr>
        <w:t>Keynesian </w:t>
      </w:r>
      <w:r>
        <w:rPr>
          <w:color w:val="231F20"/>
        </w:rPr>
        <w:t>view, is composed of four types of spending that result in income for </w:t>
      </w:r>
      <w:r>
        <w:rPr>
          <w:color w:val="231F20"/>
          <w:w w:val="105"/>
        </w:rPr>
        <w:t>others.</w:t>
      </w:r>
      <w:r>
        <w:rPr>
          <w:color w:val="231F20"/>
          <w:w w:val="105"/>
        </w:rPr>
        <w:t> Each</w:t>
      </w:r>
      <w:r>
        <w:rPr>
          <w:color w:val="231F20"/>
          <w:w w:val="105"/>
        </w:rPr>
        <w:t> component</w:t>
      </w:r>
      <w:r>
        <w:rPr>
          <w:color w:val="231F20"/>
          <w:w w:val="105"/>
        </w:rPr>
        <w:t> can</w:t>
      </w:r>
      <w:r>
        <w:rPr>
          <w:color w:val="231F20"/>
          <w:w w:val="105"/>
        </w:rPr>
        <w:t> and</w:t>
      </w:r>
      <w:r>
        <w:rPr>
          <w:color w:val="231F20"/>
          <w:w w:val="105"/>
        </w:rPr>
        <w:t> should</w:t>
      </w:r>
      <w:r>
        <w:rPr>
          <w:color w:val="231F20"/>
          <w:w w:val="105"/>
        </w:rPr>
        <w:t> be</w:t>
      </w:r>
      <w:r>
        <w:rPr>
          <w:color w:val="231F20"/>
          <w:w w:val="105"/>
        </w:rPr>
        <w:t> influenced</w:t>
      </w:r>
      <w:r>
        <w:rPr>
          <w:color w:val="231F20"/>
          <w:w w:val="105"/>
        </w:rPr>
        <w:t> by</w:t>
      </w:r>
      <w:r>
        <w:rPr>
          <w:color w:val="231F20"/>
          <w:w w:val="105"/>
        </w:rPr>
        <w:t> the</w:t>
      </w:r>
      <w:r>
        <w:rPr>
          <w:color w:val="231F20"/>
          <w:w w:val="105"/>
        </w:rPr>
        <w:t> gov- ernment’s</w:t>
      </w:r>
      <w:r>
        <w:rPr>
          <w:color w:val="231F20"/>
          <w:spacing w:val="-7"/>
          <w:w w:val="105"/>
        </w:rPr>
        <w:t> </w:t>
      </w:r>
      <w:r>
        <w:rPr>
          <w:color w:val="231F20"/>
          <w:w w:val="105"/>
        </w:rPr>
        <w:t>desire</w:t>
      </w:r>
      <w:r>
        <w:rPr>
          <w:color w:val="231F20"/>
          <w:spacing w:val="-7"/>
          <w:w w:val="105"/>
        </w:rPr>
        <w:t> </w:t>
      </w:r>
      <w:r>
        <w:rPr>
          <w:color w:val="231F20"/>
          <w:w w:val="105"/>
        </w:rPr>
        <w:t>to</w:t>
      </w:r>
      <w:r>
        <w:rPr>
          <w:color w:val="231F20"/>
          <w:spacing w:val="-7"/>
          <w:w w:val="105"/>
        </w:rPr>
        <w:t> </w:t>
      </w:r>
      <w:r>
        <w:rPr>
          <w:color w:val="231F20"/>
          <w:w w:val="105"/>
        </w:rPr>
        <w:t>maintain</w:t>
      </w:r>
      <w:r>
        <w:rPr>
          <w:color w:val="231F20"/>
          <w:spacing w:val="-7"/>
          <w:w w:val="105"/>
        </w:rPr>
        <w:t> </w:t>
      </w:r>
      <w:r>
        <w:rPr>
          <w:color w:val="231F20"/>
          <w:w w:val="105"/>
        </w:rPr>
        <w:t>steady</w:t>
      </w:r>
      <w:r>
        <w:rPr>
          <w:color w:val="231F20"/>
          <w:spacing w:val="-7"/>
          <w:w w:val="105"/>
        </w:rPr>
        <w:t> </w:t>
      </w:r>
      <w:r>
        <w:rPr>
          <w:color w:val="231F20"/>
          <w:w w:val="105"/>
        </w:rPr>
        <w:t>economic</w:t>
      </w:r>
      <w:r>
        <w:rPr>
          <w:color w:val="231F20"/>
          <w:spacing w:val="-7"/>
          <w:w w:val="105"/>
        </w:rPr>
        <w:t> </w:t>
      </w:r>
      <w:r>
        <w:rPr>
          <w:color w:val="231F20"/>
          <w:w w:val="105"/>
        </w:rPr>
        <w:t>growth</w:t>
      </w:r>
      <w:r>
        <w:rPr>
          <w:color w:val="231F20"/>
          <w:spacing w:val="-7"/>
          <w:w w:val="105"/>
        </w:rPr>
        <w:t> </w:t>
      </w:r>
      <w:r>
        <w:rPr>
          <w:color w:val="231F20"/>
          <w:w w:val="105"/>
        </w:rPr>
        <w:t>and</w:t>
      </w:r>
      <w:r>
        <w:rPr>
          <w:color w:val="231F20"/>
          <w:spacing w:val="-7"/>
          <w:w w:val="105"/>
        </w:rPr>
        <w:t> </w:t>
      </w:r>
      <w:r>
        <w:rPr>
          <w:color w:val="231F20"/>
          <w:w w:val="105"/>
        </w:rPr>
        <w:t>low</w:t>
      </w:r>
      <w:r>
        <w:rPr>
          <w:color w:val="231F20"/>
          <w:spacing w:val="-7"/>
          <w:w w:val="105"/>
        </w:rPr>
        <w:t> </w:t>
      </w:r>
      <w:r>
        <w:rPr>
          <w:color w:val="231F20"/>
          <w:w w:val="105"/>
        </w:rPr>
        <w:t>un- employment.</w:t>
      </w:r>
      <w:r>
        <w:rPr>
          <w:color w:val="231F20"/>
          <w:spacing w:val="-13"/>
          <w:w w:val="105"/>
        </w:rPr>
        <w:t> </w:t>
      </w:r>
      <w:r>
        <w:rPr>
          <w:color w:val="231F20"/>
          <w:w w:val="105"/>
        </w:rPr>
        <w:t>When</w:t>
      </w:r>
      <w:r>
        <w:rPr>
          <w:color w:val="231F20"/>
          <w:spacing w:val="-12"/>
          <w:w w:val="105"/>
        </w:rPr>
        <w:t> </w:t>
      </w:r>
      <w:r>
        <w:rPr>
          <w:color w:val="231F20"/>
          <w:w w:val="105"/>
        </w:rPr>
        <w:t>MBAs</w:t>
      </w:r>
      <w:r>
        <w:rPr>
          <w:color w:val="231F20"/>
          <w:spacing w:val="-12"/>
          <w:w w:val="105"/>
        </w:rPr>
        <w:t> </w:t>
      </w:r>
      <w:r>
        <w:rPr>
          <w:color w:val="231F20"/>
          <w:w w:val="105"/>
        </w:rPr>
        <w:t>refer</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components</w:t>
      </w:r>
      <w:r>
        <w:rPr>
          <w:color w:val="231F20"/>
          <w:spacing w:val="-12"/>
          <w:w w:val="105"/>
        </w:rPr>
        <w:t> </w:t>
      </w:r>
      <w:r>
        <w:rPr>
          <w:color w:val="231F20"/>
          <w:w w:val="105"/>
        </w:rPr>
        <w:t>of</w:t>
      </w:r>
      <w:r>
        <w:rPr>
          <w:color w:val="231F20"/>
          <w:spacing w:val="-13"/>
          <w:w w:val="105"/>
        </w:rPr>
        <w:t> </w:t>
      </w:r>
      <w:r>
        <w:rPr>
          <w:color w:val="231F20"/>
          <w:w w:val="105"/>
        </w:rPr>
        <w:t>GNP,</w:t>
      </w:r>
      <w:r>
        <w:rPr>
          <w:color w:val="231F20"/>
          <w:spacing w:val="-12"/>
          <w:w w:val="105"/>
        </w:rPr>
        <w:t> </w:t>
      </w:r>
      <w:r>
        <w:rPr>
          <w:color w:val="231F20"/>
          <w:w w:val="105"/>
        </w:rPr>
        <w:t>they</w:t>
      </w:r>
      <w:r>
        <w:rPr>
          <w:color w:val="231F20"/>
          <w:spacing w:val="-12"/>
          <w:w w:val="105"/>
        </w:rPr>
        <w:t> </w:t>
      </w:r>
      <w:r>
        <w:rPr>
          <w:color w:val="231F20"/>
          <w:w w:val="105"/>
        </w:rPr>
        <w:t>call them the </w:t>
      </w:r>
      <w:r>
        <w:rPr>
          <w:i/>
          <w:color w:val="231F20"/>
          <w:w w:val="105"/>
        </w:rPr>
        <w:t>drivers </w:t>
      </w:r>
      <w:r>
        <w:rPr>
          <w:color w:val="231F20"/>
          <w:w w:val="105"/>
        </w:rPr>
        <w:t>of GNP.</w:t>
      </w:r>
    </w:p>
    <w:p>
      <w:pPr>
        <w:pStyle w:val="BodyText"/>
        <w:spacing w:before="5"/>
        <w:rPr>
          <w:sz w:val="24"/>
        </w:rPr>
      </w:pPr>
    </w:p>
    <w:p>
      <w:pPr>
        <w:spacing w:line="290" w:lineRule="auto" w:before="0"/>
        <w:ind w:left="2505" w:right="2700" w:hanging="1"/>
        <w:jc w:val="left"/>
        <w:rPr>
          <w:sz w:val="21"/>
        </w:rPr>
      </w:pPr>
      <w:r>
        <w:rPr>
          <w:b/>
          <w:color w:val="231F20"/>
          <w:w w:val="105"/>
          <w:sz w:val="21"/>
        </w:rPr>
        <w:t>GNP </w:t>
      </w:r>
      <w:r>
        <w:rPr>
          <w:rFonts w:ascii="Symbol" w:hAnsi="Symbol"/>
          <w:color w:val="231F20"/>
          <w:w w:val="105"/>
          <w:sz w:val="21"/>
        </w:rPr>
        <w:t></w:t>
      </w:r>
      <w:r>
        <w:rPr>
          <w:rFonts w:ascii="Times New Roman" w:hAnsi="Times New Roman"/>
          <w:color w:val="231F20"/>
          <w:w w:val="105"/>
          <w:sz w:val="21"/>
        </w:rPr>
        <w:t> </w:t>
      </w:r>
      <w:r>
        <w:rPr>
          <w:b/>
          <w:color w:val="231F20"/>
          <w:w w:val="105"/>
          <w:sz w:val="21"/>
        </w:rPr>
        <w:t>C </w:t>
      </w:r>
      <w:r>
        <w:rPr>
          <w:rFonts w:ascii="Symbol" w:hAnsi="Symbol"/>
          <w:color w:val="231F20"/>
          <w:w w:val="105"/>
          <w:sz w:val="21"/>
        </w:rPr>
        <w:t></w:t>
      </w:r>
      <w:r>
        <w:rPr>
          <w:rFonts w:ascii="Times New Roman" w:hAnsi="Times New Roman"/>
          <w:color w:val="231F20"/>
          <w:w w:val="105"/>
          <w:sz w:val="21"/>
        </w:rPr>
        <w:t> </w:t>
      </w:r>
      <w:r>
        <w:rPr>
          <w:b/>
          <w:color w:val="231F20"/>
          <w:w w:val="105"/>
          <w:sz w:val="21"/>
        </w:rPr>
        <w:t>I </w:t>
      </w:r>
      <w:r>
        <w:rPr>
          <w:rFonts w:ascii="Symbol" w:hAnsi="Symbol"/>
          <w:color w:val="231F20"/>
          <w:w w:val="105"/>
          <w:sz w:val="21"/>
        </w:rPr>
        <w:t></w:t>
      </w:r>
      <w:r>
        <w:rPr>
          <w:rFonts w:ascii="Times New Roman" w:hAnsi="Times New Roman"/>
          <w:color w:val="231F20"/>
          <w:w w:val="105"/>
          <w:sz w:val="21"/>
        </w:rPr>
        <w:t> </w:t>
      </w:r>
      <w:r>
        <w:rPr>
          <w:b/>
          <w:color w:val="231F20"/>
          <w:w w:val="105"/>
          <w:sz w:val="21"/>
        </w:rPr>
        <w:t>G </w:t>
      </w:r>
      <w:r>
        <w:rPr>
          <w:rFonts w:ascii="Symbol" w:hAnsi="Symbol"/>
          <w:color w:val="231F20"/>
          <w:w w:val="105"/>
          <w:sz w:val="21"/>
        </w:rPr>
        <w:t></w:t>
      </w:r>
      <w:r>
        <w:rPr>
          <w:rFonts w:ascii="Times New Roman" w:hAnsi="Times New Roman"/>
          <w:color w:val="231F20"/>
          <w:w w:val="105"/>
          <w:sz w:val="21"/>
        </w:rPr>
        <w:t> </w:t>
      </w:r>
      <w:r>
        <w:rPr>
          <w:b/>
          <w:color w:val="231F20"/>
          <w:w w:val="105"/>
          <w:sz w:val="21"/>
        </w:rPr>
        <w:t>X </w:t>
      </w:r>
      <w:r>
        <w:rPr>
          <w:color w:val="231F20"/>
          <w:w w:val="105"/>
          <w:sz w:val="21"/>
        </w:rPr>
        <w:t>where: </w:t>
      </w:r>
      <w:r>
        <w:rPr>
          <w:b/>
          <w:color w:val="231F20"/>
          <w:w w:val="105"/>
          <w:sz w:val="21"/>
        </w:rPr>
        <w:t>C </w:t>
      </w:r>
      <w:r>
        <w:rPr>
          <w:color w:val="231F20"/>
          <w:w w:val="105"/>
          <w:sz w:val="21"/>
        </w:rPr>
        <w:t>is Personal Consumption</w:t>
      </w:r>
      <w:r>
        <w:rPr>
          <w:color w:val="231F20"/>
          <w:spacing w:val="40"/>
          <w:w w:val="105"/>
          <w:sz w:val="21"/>
        </w:rPr>
        <w:t> </w:t>
      </w:r>
      <w:r>
        <w:rPr>
          <w:b/>
          <w:color w:val="231F20"/>
          <w:w w:val="105"/>
          <w:sz w:val="21"/>
        </w:rPr>
        <w:t>I </w:t>
      </w:r>
      <w:r>
        <w:rPr>
          <w:color w:val="231F20"/>
          <w:w w:val="105"/>
          <w:sz w:val="21"/>
        </w:rPr>
        <w:t>is Private Investment</w:t>
      </w:r>
    </w:p>
    <w:p>
      <w:pPr>
        <w:pStyle w:val="BodyText"/>
        <w:spacing w:before="4"/>
        <w:ind w:left="2505"/>
      </w:pPr>
      <w:r>
        <w:rPr>
          <w:b/>
          <w:color w:val="231F20"/>
          <w:w w:val="105"/>
        </w:rPr>
        <w:t>G</w:t>
      </w:r>
      <w:r>
        <w:rPr>
          <w:b/>
          <w:color w:val="231F20"/>
          <w:spacing w:val="1"/>
          <w:w w:val="105"/>
        </w:rPr>
        <w:t> </w:t>
      </w:r>
      <w:r>
        <w:rPr>
          <w:color w:val="231F20"/>
          <w:w w:val="105"/>
        </w:rPr>
        <w:t>is</w:t>
      </w:r>
      <w:r>
        <w:rPr>
          <w:color w:val="231F20"/>
          <w:spacing w:val="1"/>
          <w:w w:val="105"/>
        </w:rPr>
        <w:t> </w:t>
      </w:r>
      <w:r>
        <w:rPr>
          <w:color w:val="231F20"/>
          <w:w w:val="105"/>
        </w:rPr>
        <w:t>Government</w:t>
      </w:r>
      <w:r>
        <w:rPr>
          <w:color w:val="231F20"/>
          <w:spacing w:val="1"/>
          <w:w w:val="105"/>
        </w:rPr>
        <w:t> </w:t>
      </w:r>
      <w:r>
        <w:rPr>
          <w:color w:val="231F20"/>
          <w:spacing w:val="-2"/>
          <w:w w:val="105"/>
        </w:rPr>
        <w:t>Purchases</w:t>
      </w:r>
    </w:p>
    <w:p>
      <w:pPr>
        <w:spacing w:after="0"/>
        <w:sectPr>
          <w:pgSz w:w="8640" w:h="12960"/>
          <w:pgMar w:header="734" w:footer="0" w:top="920" w:bottom="280" w:left="340" w:right="500"/>
        </w:sectPr>
      </w:pPr>
    </w:p>
    <w:p>
      <w:pPr>
        <w:pStyle w:val="BodyText"/>
        <w:spacing w:before="5"/>
        <w:rPr>
          <w:sz w:val="17"/>
        </w:rPr>
      </w:pPr>
    </w:p>
    <w:p>
      <w:pPr>
        <w:pStyle w:val="BodyText"/>
        <w:spacing w:before="107"/>
        <w:ind w:left="290" w:right="219"/>
        <w:jc w:val="center"/>
      </w:pPr>
      <w:r>
        <w:rPr>
          <w:b/>
          <w:color w:val="231F20"/>
          <w:w w:val="105"/>
        </w:rPr>
        <w:t>X</w:t>
      </w:r>
      <w:r>
        <w:rPr>
          <w:b/>
          <w:color w:val="231F20"/>
          <w:spacing w:val="7"/>
          <w:w w:val="105"/>
        </w:rPr>
        <w:t> </w:t>
      </w:r>
      <w:r>
        <w:rPr>
          <w:color w:val="231F20"/>
          <w:w w:val="105"/>
        </w:rPr>
        <w:t>is</w:t>
      </w:r>
      <w:r>
        <w:rPr>
          <w:color w:val="231F20"/>
          <w:spacing w:val="7"/>
          <w:w w:val="105"/>
        </w:rPr>
        <w:t> </w:t>
      </w:r>
      <w:r>
        <w:rPr>
          <w:color w:val="231F20"/>
          <w:w w:val="105"/>
        </w:rPr>
        <w:t>Net</w:t>
      </w:r>
      <w:r>
        <w:rPr>
          <w:color w:val="231F20"/>
          <w:spacing w:val="8"/>
          <w:w w:val="105"/>
        </w:rPr>
        <w:t> </w:t>
      </w:r>
      <w:r>
        <w:rPr>
          <w:color w:val="231F20"/>
          <w:w w:val="105"/>
        </w:rPr>
        <w:t>of</w:t>
      </w:r>
      <w:r>
        <w:rPr>
          <w:color w:val="231F20"/>
          <w:spacing w:val="7"/>
          <w:w w:val="105"/>
        </w:rPr>
        <w:t> </w:t>
      </w:r>
      <w:r>
        <w:rPr>
          <w:color w:val="231F20"/>
          <w:w w:val="105"/>
        </w:rPr>
        <w:t>Exports</w:t>
      </w:r>
      <w:r>
        <w:rPr>
          <w:color w:val="231F20"/>
          <w:spacing w:val="7"/>
          <w:w w:val="105"/>
        </w:rPr>
        <w:t> </w:t>
      </w:r>
      <w:r>
        <w:rPr>
          <w:color w:val="231F20"/>
          <w:w w:val="105"/>
        </w:rPr>
        <w:t>over</w:t>
      </w:r>
      <w:r>
        <w:rPr>
          <w:color w:val="231F20"/>
          <w:spacing w:val="8"/>
          <w:w w:val="105"/>
        </w:rPr>
        <w:t> </w:t>
      </w:r>
      <w:r>
        <w:rPr>
          <w:color w:val="231F20"/>
          <w:spacing w:val="-2"/>
          <w:w w:val="105"/>
        </w:rPr>
        <w:t>Imports</w:t>
      </w:r>
    </w:p>
    <w:p>
      <w:pPr>
        <w:pStyle w:val="BodyText"/>
        <w:spacing w:before="2"/>
        <w:rPr>
          <w:sz w:val="30"/>
        </w:rPr>
      </w:pPr>
    </w:p>
    <w:p>
      <w:pPr>
        <w:pStyle w:val="BodyText"/>
        <w:spacing w:line="292" w:lineRule="auto"/>
        <w:ind w:left="830" w:right="755" w:firstLine="340"/>
        <w:jc w:val="both"/>
      </w:pPr>
      <w:r>
        <w:rPr>
          <w:color w:val="231F20"/>
        </w:rPr>
        <w:t>As illustrated by the equation, any increase in consumption, </w:t>
      </w:r>
      <w:r>
        <w:rPr>
          <w:color w:val="231F20"/>
        </w:rPr>
        <w:t>in- vestment,</w:t>
      </w:r>
      <w:r>
        <w:rPr>
          <w:color w:val="231F20"/>
          <w:spacing w:val="-1"/>
        </w:rPr>
        <w:t> </w:t>
      </w:r>
      <w:r>
        <w:rPr>
          <w:color w:val="231F20"/>
        </w:rPr>
        <w:t>or</w:t>
      </w:r>
      <w:r>
        <w:rPr>
          <w:color w:val="231F20"/>
          <w:spacing w:val="-1"/>
        </w:rPr>
        <w:t> </w:t>
      </w:r>
      <w:r>
        <w:rPr>
          <w:color w:val="231F20"/>
        </w:rPr>
        <w:t>government</w:t>
      </w:r>
      <w:r>
        <w:rPr>
          <w:color w:val="231F20"/>
          <w:spacing w:val="-1"/>
        </w:rPr>
        <w:t> </w:t>
      </w:r>
      <w:r>
        <w:rPr>
          <w:color w:val="231F20"/>
        </w:rPr>
        <w:t>spending</w:t>
      </w:r>
      <w:r>
        <w:rPr>
          <w:color w:val="231F20"/>
          <w:spacing w:val="-1"/>
        </w:rPr>
        <w:t> </w:t>
      </w:r>
      <w:r>
        <w:rPr>
          <w:color w:val="231F20"/>
        </w:rPr>
        <w:t>will</w:t>
      </w:r>
      <w:r>
        <w:rPr>
          <w:color w:val="231F20"/>
          <w:spacing w:val="-1"/>
        </w:rPr>
        <w:t> </w:t>
      </w:r>
      <w:r>
        <w:rPr>
          <w:color w:val="231F20"/>
        </w:rPr>
        <w:t>result</w:t>
      </w:r>
      <w:r>
        <w:rPr>
          <w:color w:val="231F20"/>
          <w:spacing w:val="-1"/>
        </w:rPr>
        <w:t> </w:t>
      </w:r>
      <w:r>
        <w:rPr>
          <w:color w:val="231F20"/>
        </w:rPr>
        <w:t>in</w:t>
      </w:r>
      <w:r>
        <w:rPr>
          <w:color w:val="231F20"/>
          <w:spacing w:val="-1"/>
        </w:rPr>
        <w:t> </w:t>
      </w:r>
      <w:r>
        <w:rPr>
          <w:color w:val="231F20"/>
        </w:rPr>
        <w:t>growth</w:t>
      </w:r>
      <w:r>
        <w:rPr>
          <w:color w:val="231F20"/>
          <w:spacing w:val="-1"/>
        </w:rPr>
        <w:t> </w:t>
      </w:r>
      <w:r>
        <w:rPr>
          <w:color w:val="231F20"/>
        </w:rPr>
        <w:t>for</w:t>
      </w:r>
      <w:r>
        <w:rPr>
          <w:color w:val="231F20"/>
          <w:spacing w:val="-1"/>
        </w:rPr>
        <w:t> </w:t>
      </w:r>
      <w:r>
        <w:rPr>
          <w:color w:val="231F20"/>
        </w:rPr>
        <w:t>the</w:t>
      </w:r>
      <w:r>
        <w:rPr>
          <w:color w:val="231F20"/>
          <w:spacing w:val="-1"/>
        </w:rPr>
        <w:t> </w:t>
      </w:r>
      <w:r>
        <w:rPr>
          <w:color w:val="231F20"/>
        </w:rPr>
        <w:t>econ- omy.</w:t>
      </w:r>
      <w:r>
        <w:rPr>
          <w:color w:val="231F20"/>
          <w:spacing w:val="40"/>
        </w:rPr>
        <w:t> </w:t>
      </w:r>
      <w:r>
        <w:rPr>
          <w:color w:val="231F20"/>
        </w:rPr>
        <w:t>Countries</w:t>
      </w:r>
      <w:r>
        <w:rPr>
          <w:color w:val="231F20"/>
          <w:spacing w:val="40"/>
        </w:rPr>
        <w:t> </w:t>
      </w:r>
      <w:r>
        <w:rPr>
          <w:color w:val="231F20"/>
        </w:rPr>
        <w:t>such</w:t>
      </w:r>
      <w:r>
        <w:rPr>
          <w:color w:val="231F20"/>
          <w:spacing w:val="40"/>
        </w:rPr>
        <w:t> </w:t>
      </w:r>
      <w:r>
        <w:rPr>
          <w:color w:val="231F20"/>
        </w:rPr>
        <w:t>as</w:t>
      </w:r>
      <w:r>
        <w:rPr>
          <w:color w:val="231F20"/>
          <w:spacing w:val="40"/>
        </w:rPr>
        <w:t> </w:t>
      </w:r>
      <w:r>
        <w:rPr>
          <w:color w:val="231F20"/>
        </w:rPr>
        <w:t>China,</w:t>
      </w:r>
      <w:r>
        <w:rPr>
          <w:color w:val="231F20"/>
          <w:spacing w:val="40"/>
        </w:rPr>
        <w:t> </w:t>
      </w:r>
      <w:r>
        <w:rPr>
          <w:color w:val="231F20"/>
        </w:rPr>
        <w:t>Japan,</w:t>
      </w:r>
      <w:r>
        <w:rPr>
          <w:color w:val="231F20"/>
          <w:spacing w:val="40"/>
        </w:rPr>
        <w:t> </w:t>
      </w:r>
      <w:r>
        <w:rPr>
          <w:color w:val="231F20"/>
        </w:rPr>
        <w:t>and</w:t>
      </w:r>
      <w:r>
        <w:rPr>
          <w:color w:val="231F20"/>
          <w:spacing w:val="40"/>
        </w:rPr>
        <w:t> </w:t>
      </w:r>
      <w:r>
        <w:rPr>
          <w:color w:val="231F20"/>
        </w:rPr>
        <w:t>Taiwan</w:t>
      </w:r>
      <w:r>
        <w:rPr>
          <w:color w:val="231F20"/>
          <w:spacing w:val="40"/>
        </w:rPr>
        <w:t> </w:t>
      </w:r>
      <w:r>
        <w:rPr>
          <w:color w:val="231F20"/>
        </w:rPr>
        <w:t>use</w:t>
      </w:r>
      <w:r>
        <w:rPr>
          <w:color w:val="231F20"/>
          <w:spacing w:val="40"/>
        </w:rPr>
        <w:t> </w:t>
      </w:r>
      <w:r>
        <w:rPr>
          <w:color w:val="231F20"/>
        </w:rPr>
        <w:t>exports</w:t>
      </w:r>
      <w:r>
        <w:rPr>
          <w:color w:val="231F20"/>
          <w:spacing w:val="40"/>
        </w:rPr>
        <w:t> </w:t>
      </w:r>
      <w:r>
        <w:rPr>
          <w:color w:val="231F20"/>
        </w:rPr>
        <w:t>as their engines for growth. The United States, by contrast, drags its economy with a yearly trade deficit.</w:t>
      </w:r>
    </w:p>
    <w:p>
      <w:pPr>
        <w:pStyle w:val="BodyText"/>
        <w:spacing w:line="292" w:lineRule="auto"/>
        <w:ind w:left="830" w:right="755" w:firstLine="340"/>
        <w:jc w:val="both"/>
      </w:pPr>
      <w:r>
        <w:rPr>
          <w:color w:val="231F20"/>
          <w:w w:val="105"/>
        </w:rPr>
        <w:t>As</w:t>
      </w:r>
      <w:r>
        <w:rPr>
          <w:color w:val="231F20"/>
          <w:spacing w:val="-2"/>
          <w:w w:val="105"/>
        </w:rPr>
        <w:t> </w:t>
      </w:r>
      <w:r>
        <w:rPr>
          <w:color w:val="231F20"/>
          <w:w w:val="105"/>
        </w:rPr>
        <w:t>mentioned</w:t>
      </w:r>
      <w:r>
        <w:rPr>
          <w:color w:val="231F20"/>
          <w:spacing w:val="-2"/>
          <w:w w:val="105"/>
        </w:rPr>
        <w:t> </w:t>
      </w:r>
      <w:r>
        <w:rPr>
          <w:color w:val="231F20"/>
          <w:w w:val="105"/>
        </w:rPr>
        <w:t>previously,</w:t>
      </w:r>
      <w:r>
        <w:rPr>
          <w:color w:val="231F20"/>
          <w:spacing w:val="-2"/>
          <w:w w:val="105"/>
        </w:rPr>
        <w:t> </w:t>
      </w:r>
      <w:r>
        <w:rPr>
          <w:color w:val="231F20"/>
          <w:w w:val="105"/>
        </w:rPr>
        <w:t>the</w:t>
      </w:r>
      <w:r>
        <w:rPr>
          <w:color w:val="231F20"/>
          <w:spacing w:val="-2"/>
          <w:w w:val="105"/>
        </w:rPr>
        <w:t> </w:t>
      </w:r>
      <w:r>
        <w:rPr>
          <w:color w:val="231F20"/>
          <w:w w:val="105"/>
        </w:rPr>
        <w:t>Keynesians’</w:t>
      </w:r>
      <w:r>
        <w:rPr>
          <w:color w:val="231F20"/>
          <w:spacing w:val="-2"/>
          <w:w w:val="105"/>
        </w:rPr>
        <w:t> </w:t>
      </w:r>
      <w:r>
        <w:rPr>
          <w:color w:val="231F20"/>
          <w:w w:val="105"/>
        </w:rPr>
        <w:t>main</w:t>
      </w:r>
      <w:r>
        <w:rPr>
          <w:color w:val="231F20"/>
          <w:spacing w:val="-2"/>
          <w:w w:val="105"/>
        </w:rPr>
        <w:t> </w:t>
      </w:r>
      <w:r>
        <w:rPr>
          <w:color w:val="231F20"/>
          <w:w w:val="105"/>
        </w:rPr>
        <w:t>goal</w:t>
      </w:r>
      <w:r>
        <w:rPr>
          <w:color w:val="231F20"/>
          <w:spacing w:val="-2"/>
          <w:w w:val="105"/>
        </w:rPr>
        <w:t> </w:t>
      </w:r>
      <w:r>
        <w:rPr>
          <w:color w:val="231F20"/>
          <w:w w:val="105"/>
        </w:rPr>
        <w:t>is</w:t>
      </w:r>
      <w:r>
        <w:rPr>
          <w:color w:val="231F20"/>
          <w:spacing w:val="-2"/>
          <w:w w:val="105"/>
        </w:rPr>
        <w:t> </w:t>
      </w:r>
      <w:r>
        <w:rPr>
          <w:color w:val="231F20"/>
          <w:w w:val="105"/>
        </w:rPr>
        <w:t>full</w:t>
      </w:r>
      <w:r>
        <w:rPr>
          <w:color w:val="231F20"/>
          <w:spacing w:val="-2"/>
          <w:w w:val="105"/>
        </w:rPr>
        <w:t> </w:t>
      </w:r>
      <w:r>
        <w:rPr>
          <w:color w:val="231F20"/>
          <w:w w:val="105"/>
        </w:rPr>
        <w:t>em- ployment.</w:t>
      </w:r>
      <w:r>
        <w:rPr>
          <w:color w:val="231F20"/>
          <w:w w:val="105"/>
        </w:rPr>
        <w:t> A</w:t>
      </w:r>
      <w:r>
        <w:rPr>
          <w:color w:val="231F20"/>
          <w:w w:val="105"/>
        </w:rPr>
        <w:t> lowering</w:t>
      </w:r>
      <w:r>
        <w:rPr>
          <w:color w:val="231F20"/>
          <w:w w:val="105"/>
        </w:rPr>
        <w:t> in</w:t>
      </w:r>
      <w:r>
        <w:rPr>
          <w:color w:val="231F20"/>
          <w:w w:val="105"/>
        </w:rPr>
        <w:t> GNP</w:t>
      </w:r>
      <w:r>
        <w:rPr>
          <w:color w:val="231F20"/>
          <w:w w:val="105"/>
        </w:rPr>
        <w:t> is</w:t>
      </w:r>
      <w:r>
        <w:rPr>
          <w:color w:val="231F20"/>
          <w:w w:val="105"/>
        </w:rPr>
        <w:t> distressing</w:t>
      </w:r>
      <w:r>
        <w:rPr>
          <w:color w:val="231F20"/>
          <w:w w:val="105"/>
        </w:rPr>
        <w:t> since</w:t>
      </w:r>
      <w:r>
        <w:rPr>
          <w:color w:val="231F20"/>
          <w:w w:val="105"/>
        </w:rPr>
        <w:t> it</w:t>
      </w:r>
      <w:r>
        <w:rPr>
          <w:color w:val="231F20"/>
          <w:w w:val="105"/>
        </w:rPr>
        <w:t> means</w:t>
      </w:r>
      <w:r>
        <w:rPr>
          <w:color w:val="231F20"/>
          <w:w w:val="105"/>
        </w:rPr>
        <w:t> fewer jobs.</w:t>
      </w:r>
      <w:r>
        <w:rPr>
          <w:color w:val="231F20"/>
          <w:spacing w:val="-2"/>
          <w:w w:val="105"/>
        </w:rPr>
        <w:t> </w:t>
      </w:r>
      <w:r>
        <w:rPr>
          <w:color w:val="231F20"/>
          <w:w w:val="105"/>
        </w:rPr>
        <w:t>If</w:t>
      </w:r>
      <w:r>
        <w:rPr>
          <w:color w:val="231F20"/>
          <w:spacing w:val="-2"/>
          <w:w w:val="105"/>
        </w:rPr>
        <w:t> </w:t>
      </w:r>
      <w:r>
        <w:rPr>
          <w:color w:val="231F20"/>
          <w:w w:val="105"/>
        </w:rPr>
        <w:t>the</w:t>
      </w:r>
      <w:r>
        <w:rPr>
          <w:color w:val="231F20"/>
          <w:spacing w:val="-2"/>
          <w:w w:val="105"/>
        </w:rPr>
        <w:t> </w:t>
      </w:r>
      <w:r>
        <w:rPr>
          <w:color w:val="231F20"/>
          <w:w w:val="105"/>
        </w:rPr>
        <w:t>economy</w:t>
      </w:r>
      <w:r>
        <w:rPr>
          <w:color w:val="231F20"/>
          <w:spacing w:val="-2"/>
          <w:w w:val="105"/>
        </w:rPr>
        <w:t> </w:t>
      </w:r>
      <w:r>
        <w:rPr>
          <w:color w:val="231F20"/>
          <w:w w:val="105"/>
        </w:rPr>
        <w:t>is</w:t>
      </w:r>
      <w:r>
        <w:rPr>
          <w:color w:val="231F20"/>
          <w:spacing w:val="-2"/>
          <w:w w:val="105"/>
        </w:rPr>
        <w:t> </w:t>
      </w:r>
      <w:r>
        <w:rPr>
          <w:color w:val="231F20"/>
          <w:w w:val="105"/>
        </w:rPr>
        <w:t>operating</w:t>
      </w:r>
      <w:r>
        <w:rPr>
          <w:color w:val="231F20"/>
          <w:spacing w:val="-2"/>
          <w:w w:val="105"/>
        </w:rPr>
        <w:t> </w:t>
      </w:r>
      <w:r>
        <w:rPr>
          <w:color w:val="231F20"/>
          <w:w w:val="105"/>
        </w:rPr>
        <w:t>at</w:t>
      </w:r>
      <w:r>
        <w:rPr>
          <w:color w:val="231F20"/>
          <w:spacing w:val="-2"/>
          <w:w w:val="105"/>
        </w:rPr>
        <w:t> </w:t>
      </w:r>
      <w:r>
        <w:rPr>
          <w:color w:val="231F20"/>
          <w:w w:val="105"/>
        </w:rPr>
        <w:t>a</w:t>
      </w:r>
      <w:r>
        <w:rPr>
          <w:color w:val="231F20"/>
          <w:spacing w:val="-2"/>
          <w:w w:val="105"/>
        </w:rPr>
        <w:t> </w:t>
      </w:r>
      <w:r>
        <w:rPr>
          <w:color w:val="231F20"/>
          <w:w w:val="105"/>
        </w:rPr>
        <w:t>level</w:t>
      </w:r>
      <w:r>
        <w:rPr>
          <w:color w:val="231F20"/>
          <w:spacing w:val="-2"/>
          <w:w w:val="105"/>
        </w:rPr>
        <w:t> </w:t>
      </w:r>
      <w:r>
        <w:rPr>
          <w:color w:val="231F20"/>
          <w:w w:val="105"/>
        </w:rPr>
        <w:t>below</w:t>
      </w:r>
      <w:r>
        <w:rPr>
          <w:color w:val="231F20"/>
          <w:spacing w:val="-2"/>
          <w:w w:val="105"/>
        </w:rPr>
        <w:t> </w:t>
      </w:r>
      <w:r>
        <w:rPr>
          <w:color w:val="231F20"/>
          <w:w w:val="105"/>
        </w:rPr>
        <w:t>full</w:t>
      </w:r>
      <w:r>
        <w:rPr>
          <w:color w:val="231F20"/>
          <w:spacing w:val="-2"/>
          <w:w w:val="105"/>
        </w:rPr>
        <w:t> </w:t>
      </w:r>
      <w:r>
        <w:rPr>
          <w:color w:val="231F20"/>
          <w:w w:val="105"/>
        </w:rPr>
        <w:t>employment, then</w:t>
      </w:r>
      <w:r>
        <w:rPr>
          <w:color w:val="231F20"/>
          <w:spacing w:val="-13"/>
          <w:w w:val="105"/>
        </w:rPr>
        <w:t> </w:t>
      </w:r>
      <w:r>
        <w:rPr>
          <w:color w:val="231F20"/>
          <w:w w:val="105"/>
        </w:rPr>
        <w:t>there</w:t>
      </w:r>
      <w:r>
        <w:rPr>
          <w:color w:val="231F20"/>
          <w:spacing w:val="-12"/>
          <w:w w:val="105"/>
        </w:rPr>
        <w:t> </w:t>
      </w:r>
      <w:r>
        <w:rPr>
          <w:color w:val="231F20"/>
          <w:w w:val="105"/>
        </w:rPr>
        <w:t>is</w:t>
      </w:r>
      <w:r>
        <w:rPr>
          <w:color w:val="231F20"/>
          <w:spacing w:val="-12"/>
          <w:w w:val="105"/>
        </w:rPr>
        <w:t> </w:t>
      </w:r>
      <w:r>
        <w:rPr>
          <w:color w:val="231F20"/>
          <w:w w:val="105"/>
        </w:rPr>
        <w:t>what</w:t>
      </w:r>
      <w:r>
        <w:rPr>
          <w:color w:val="231F20"/>
          <w:spacing w:val="-12"/>
          <w:w w:val="105"/>
        </w:rPr>
        <w:t> </w:t>
      </w:r>
      <w:r>
        <w:rPr>
          <w:color w:val="231F20"/>
          <w:w w:val="105"/>
        </w:rPr>
        <w:t>is</w:t>
      </w:r>
      <w:r>
        <w:rPr>
          <w:color w:val="231F20"/>
          <w:spacing w:val="-12"/>
          <w:w w:val="105"/>
        </w:rPr>
        <w:t> </w:t>
      </w:r>
      <w:r>
        <w:rPr>
          <w:color w:val="231F20"/>
          <w:w w:val="105"/>
        </w:rPr>
        <w:t>called</w:t>
      </w:r>
      <w:r>
        <w:rPr>
          <w:color w:val="231F20"/>
          <w:spacing w:val="-12"/>
          <w:w w:val="105"/>
        </w:rPr>
        <w:t> </w:t>
      </w:r>
      <w:r>
        <w:rPr>
          <w:color w:val="231F20"/>
          <w:w w:val="105"/>
        </w:rPr>
        <w:t>a</w:t>
      </w:r>
      <w:r>
        <w:rPr>
          <w:color w:val="231F20"/>
          <w:spacing w:val="-12"/>
          <w:w w:val="105"/>
        </w:rPr>
        <w:t> </w:t>
      </w:r>
      <w:r>
        <w:rPr>
          <w:i/>
          <w:color w:val="231F20"/>
          <w:w w:val="105"/>
        </w:rPr>
        <w:t>GNP</w:t>
      </w:r>
      <w:r>
        <w:rPr>
          <w:i/>
          <w:color w:val="231F20"/>
          <w:spacing w:val="-13"/>
          <w:w w:val="105"/>
        </w:rPr>
        <w:t> </w:t>
      </w:r>
      <w:r>
        <w:rPr>
          <w:i/>
          <w:color w:val="231F20"/>
          <w:w w:val="105"/>
        </w:rPr>
        <w:t>gap.</w:t>
      </w:r>
      <w:r>
        <w:rPr>
          <w:i/>
          <w:color w:val="231F20"/>
          <w:spacing w:val="-12"/>
          <w:w w:val="105"/>
        </w:rPr>
        <w:t> </w:t>
      </w:r>
      <w:r>
        <w:rPr>
          <w:color w:val="231F20"/>
          <w:w w:val="105"/>
        </w:rPr>
        <w:t>If</w:t>
      </w:r>
      <w:r>
        <w:rPr>
          <w:color w:val="231F20"/>
          <w:spacing w:val="-12"/>
          <w:w w:val="105"/>
        </w:rPr>
        <w:t> </w:t>
      </w:r>
      <w:r>
        <w:rPr>
          <w:color w:val="231F20"/>
          <w:w w:val="105"/>
        </w:rPr>
        <w:t>the</w:t>
      </w:r>
      <w:r>
        <w:rPr>
          <w:color w:val="231F20"/>
          <w:spacing w:val="-12"/>
          <w:w w:val="105"/>
        </w:rPr>
        <w:t> </w:t>
      </w:r>
      <w:r>
        <w:rPr>
          <w:color w:val="231F20"/>
          <w:w w:val="105"/>
        </w:rPr>
        <w:t>government</w:t>
      </w:r>
      <w:r>
        <w:rPr>
          <w:color w:val="231F20"/>
          <w:spacing w:val="-12"/>
          <w:w w:val="105"/>
        </w:rPr>
        <w:t> </w:t>
      </w:r>
      <w:r>
        <w:rPr>
          <w:color w:val="231F20"/>
          <w:w w:val="105"/>
        </w:rPr>
        <w:t>intervenes </w:t>
      </w:r>
      <w:r>
        <w:rPr>
          <w:color w:val="231F20"/>
        </w:rPr>
        <w:t>in the equation by increasing spending, the economy will be buoyed </w:t>
      </w:r>
      <w:r>
        <w:rPr>
          <w:color w:val="231F20"/>
          <w:w w:val="105"/>
        </w:rPr>
        <w:t>up</w:t>
      </w:r>
      <w:r>
        <w:rPr>
          <w:color w:val="231F20"/>
          <w:spacing w:val="-1"/>
          <w:w w:val="105"/>
        </w:rPr>
        <w:t> </w:t>
      </w:r>
      <w:r>
        <w:rPr>
          <w:color w:val="231F20"/>
          <w:w w:val="105"/>
        </w:rPr>
        <w:t>and</w:t>
      </w:r>
      <w:r>
        <w:rPr>
          <w:color w:val="231F20"/>
          <w:spacing w:val="-1"/>
          <w:w w:val="105"/>
        </w:rPr>
        <w:t> </w:t>
      </w:r>
      <w:r>
        <w:rPr>
          <w:color w:val="231F20"/>
          <w:w w:val="105"/>
        </w:rPr>
        <w:t>there</w:t>
      </w:r>
      <w:r>
        <w:rPr>
          <w:color w:val="231F20"/>
          <w:spacing w:val="-1"/>
          <w:w w:val="105"/>
        </w:rPr>
        <w:t> </w:t>
      </w:r>
      <w:r>
        <w:rPr>
          <w:color w:val="231F20"/>
          <w:w w:val="105"/>
        </w:rPr>
        <w:t>will</w:t>
      </w:r>
      <w:r>
        <w:rPr>
          <w:color w:val="231F20"/>
          <w:spacing w:val="-1"/>
          <w:w w:val="105"/>
        </w:rPr>
        <w:t> </w:t>
      </w:r>
      <w:r>
        <w:rPr>
          <w:color w:val="231F20"/>
          <w:w w:val="105"/>
        </w:rPr>
        <w:t>be</w:t>
      </w:r>
      <w:r>
        <w:rPr>
          <w:color w:val="231F20"/>
          <w:spacing w:val="-1"/>
          <w:w w:val="105"/>
        </w:rPr>
        <w:t> </w:t>
      </w:r>
      <w:r>
        <w:rPr>
          <w:color w:val="231F20"/>
          <w:w w:val="105"/>
        </w:rPr>
        <w:t>a</w:t>
      </w:r>
      <w:r>
        <w:rPr>
          <w:color w:val="231F20"/>
          <w:spacing w:val="-1"/>
          <w:w w:val="105"/>
        </w:rPr>
        <w:t> </w:t>
      </w:r>
      <w:r>
        <w:rPr>
          <w:color w:val="231F20"/>
          <w:w w:val="105"/>
        </w:rPr>
        <w:t>rise</w:t>
      </w:r>
      <w:r>
        <w:rPr>
          <w:color w:val="231F20"/>
          <w:spacing w:val="-1"/>
          <w:w w:val="105"/>
        </w:rPr>
        <w:t> </w:t>
      </w:r>
      <w:r>
        <w:rPr>
          <w:color w:val="231F20"/>
          <w:w w:val="105"/>
        </w:rPr>
        <w:t>in</w:t>
      </w:r>
      <w:r>
        <w:rPr>
          <w:color w:val="231F20"/>
          <w:spacing w:val="-1"/>
          <w:w w:val="105"/>
        </w:rPr>
        <w:t> </w:t>
      </w:r>
      <w:r>
        <w:rPr>
          <w:color w:val="231F20"/>
          <w:w w:val="105"/>
        </w:rPr>
        <w:t>employment</w:t>
      </w:r>
      <w:r>
        <w:rPr>
          <w:color w:val="231F20"/>
          <w:spacing w:val="-1"/>
          <w:w w:val="105"/>
        </w:rPr>
        <w:t> </w:t>
      </w:r>
      <w:r>
        <w:rPr>
          <w:color w:val="231F20"/>
          <w:w w:val="105"/>
        </w:rPr>
        <w:t>to</w:t>
      </w:r>
      <w:r>
        <w:rPr>
          <w:color w:val="231F20"/>
          <w:spacing w:val="-1"/>
          <w:w w:val="105"/>
        </w:rPr>
        <w:t> </w:t>
      </w:r>
      <w:r>
        <w:rPr>
          <w:color w:val="231F20"/>
          <w:w w:val="105"/>
        </w:rPr>
        <w:t>close</w:t>
      </w:r>
      <w:r>
        <w:rPr>
          <w:color w:val="231F20"/>
          <w:spacing w:val="-1"/>
          <w:w w:val="105"/>
        </w:rPr>
        <w:t> </w:t>
      </w:r>
      <w:r>
        <w:rPr>
          <w:color w:val="231F20"/>
          <w:w w:val="105"/>
        </w:rPr>
        <w:t>the</w:t>
      </w:r>
      <w:r>
        <w:rPr>
          <w:color w:val="231F20"/>
          <w:spacing w:val="-1"/>
          <w:w w:val="105"/>
        </w:rPr>
        <w:t> </w:t>
      </w:r>
      <w:r>
        <w:rPr>
          <w:color w:val="231F20"/>
          <w:w w:val="105"/>
        </w:rPr>
        <w:t>gap.</w:t>
      </w:r>
    </w:p>
    <w:p>
      <w:pPr>
        <w:pStyle w:val="BodyText"/>
        <w:spacing w:line="292" w:lineRule="auto"/>
        <w:ind w:left="830" w:right="756" w:firstLine="340"/>
        <w:jc w:val="both"/>
      </w:pPr>
      <w:r>
        <w:rPr>
          <w:color w:val="231F20"/>
        </w:rPr>
        <w:t>Playing the devil’s advocate, a monetarist would argue that </w:t>
      </w:r>
      <w:r>
        <w:rPr>
          <w:color w:val="231F20"/>
        </w:rPr>
        <w:t>the measures of the economy provided by government statistics are not accurate. Absent from GNP are the underground and unrecognized economies of crime, unreported earnings, and the output of mothers working at home. GNP also neglects to subtract the cost of environ- mental damage and add the value of leisure time produced.</w:t>
      </w:r>
    </w:p>
    <w:p>
      <w:pPr>
        <w:pStyle w:val="BodyText"/>
        <w:rPr>
          <w:sz w:val="25"/>
        </w:rPr>
      </w:pPr>
    </w:p>
    <w:p>
      <w:pPr>
        <w:pStyle w:val="BodyText"/>
        <w:spacing w:line="292" w:lineRule="auto" w:before="1"/>
        <w:ind w:left="830" w:right="757"/>
        <w:jc w:val="both"/>
        <w:rPr>
          <w:i/>
        </w:rPr>
      </w:pPr>
      <w:r>
        <w:rPr>
          <w:i/>
          <w:color w:val="231F20"/>
        </w:rPr>
        <w:t>The Multiplier Effect and Fiscal Policy. </w:t>
      </w:r>
      <w:r>
        <w:rPr>
          <w:color w:val="231F20"/>
        </w:rPr>
        <w:t>Keynesian theorists favor gov- </w:t>
      </w:r>
      <w:r>
        <w:rPr>
          <w:color w:val="231F20"/>
          <w:spacing w:val="-2"/>
        </w:rPr>
        <w:t>ernment</w:t>
      </w:r>
      <w:r>
        <w:rPr>
          <w:color w:val="231F20"/>
          <w:spacing w:val="-5"/>
        </w:rPr>
        <w:t> </w:t>
      </w:r>
      <w:r>
        <w:rPr>
          <w:color w:val="231F20"/>
          <w:spacing w:val="-2"/>
        </w:rPr>
        <w:t>spending</w:t>
      </w:r>
      <w:r>
        <w:rPr>
          <w:color w:val="231F20"/>
          <w:spacing w:val="-5"/>
        </w:rPr>
        <w:t> </w:t>
      </w:r>
      <w:r>
        <w:rPr>
          <w:color w:val="231F20"/>
          <w:spacing w:val="-2"/>
        </w:rPr>
        <w:t>to</w:t>
      </w:r>
      <w:r>
        <w:rPr>
          <w:color w:val="231F20"/>
          <w:spacing w:val="-5"/>
        </w:rPr>
        <w:t> </w:t>
      </w:r>
      <w:r>
        <w:rPr>
          <w:color w:val="231F20"/>
          <w:spacing w:val="-2"/>
        </w:rPr>
        <w:t>spur</w:t>
      </w:r>
      <w:r>
        <w:rPr>
          <w:color w:val="231F20"/>
          <w:spacing w:val="-5"/>
        </w:rPr>
        <w:t> </w:t>
      </w:r>
      <w:r>
        <w:rPr>
          <w:color w:val="231F20"/>
          <w:spacing w:val="-2"/>
        </w:rPr>
        <w:t>the</w:t>
      </w:r>
      <w:r>
        <w:rPr>
          <w:color w:val="231F20"/>
          <w:spacing w:val="-5"/>
        </w:rPr>
        <w:t> </w:t>
      </w:r>
      <w:r>
        <w:rPr>
          <w:color w:val="231F20"/>
          <w:spacing w:val="-2"/>
        </w:rPr>
        <w:t>economy</w:t>
      </w:r>
      <w:r>
        <w:rPr>
          <w:color w:val="231F20"/>
          <w:spacing w:val="-5"/>
        </w:rPr>
        <w:t> </w:t>
      </w:r>
      <w:r>
        <w:rPr>
          <w:color w:val="231F20"/>
          <w:spacing w:val="-2"/>
        </w:rPr>
        <w:t>because</w:t>
      </w:r>
      <w:r>
        <w:rPr>
          <w:color w:val="231F20"/>
          <w:spacing w:val="-5"/>
        </w:rPr>
        <w:t> </w:t>
      </w:r>
      <w:r>
        <w:rPr>
          <w:color w:val="231F20"/>
          <w:spacing w:val="-2"/>
        </w:rPr>
        <w:t>they</w:t>
      </w:r>
      <w:r>
        <w:rPr>
          <w:color w:val="231F20"/>
          <w:spacing w:val="-5"/>
        </w:rPr>
        <w:t> </w:t>
      </w:r>
      <w:r>
        <w:rPr>
          <w:color w:val="231F20"/>
          <w:spacing w:val="-2"/>
        </w:rPr>
        <w:t>believe</w:t>
      </w:r>
      <w:r>
        <w:rPr>
          <w:color w:val="231F20"/>
          <w:spacing w:val="-5"/>
        </w:rPr>
        <w:t> </w:t>
      </w:r>
      <w:r>
        <w:rPr>
          <w:color w:val="231F20"/>
          <w:spacing w:val="-2"/>
        </w:rPr>
        <w:t>in</w:t>
      </w:r>
      <w:r>
        <w:rPr>
          <w:color w:val="231F20"/>
          <w:spacing w:val="-5"/>
        </w:rPr>
        <w:t> </w:t>
      </w:r>
      <w:r>
        <w:rPr>
          <w:color w:val="231F20"/>
          <w:spacing w:val="-2"/>
        </w:rPr>
        <w:t>its</w:t>
      </w:r>
      <w:r>
        <w:rPr>
          <w:color w:val="231F20"/>
          <w:spacing w:val="-5"/>
        </w:rPr>
        <w:t> </w:t>
      </w:r>
      <w:r>
        <w:rPr>
          <w:color w:val="231F20"/>
          <w:spacing w:val="-2"/>
        </w:rPr>
        <w:t>pos- </w:t>
      </w:r>
      <w:r>
        <w:rPr>
          <w:color w:val="231F20"/>
        </w:rPr>
        <w:t>itive impact. Spending by one person or by a government provides income to another individual or company. The way that such spend- ing</w:t>
      </w:r>
      <w:r>
        <w:rPr>
          <w:color w:val="231F20"/>
          <w:spacing w:val="-1"/>
        </w:rPr>
        <w:t> </w:t>
      </w:r>
      <w:r>
        <w:rPr>
          <w:color w:val="231F20"/>
        </w:rPr>
        <w:t>ripples</w:t>
      </w:r>
      <w:r>
        <w:rPr>
          <w:color w:val="231F20"/>
          <w:spacing w:val="-1"/>
        </w:rPr>
        <w:t> </w:t>
      </w:r>
      <w:r>
        <w:rPr>
          <w:color w:val="231F20"/>
        </w:rPr>
        <w:t>through</w:t>
      </w:r>
      <w:r>
        <w:rPr>
          <w:color w:val="231F20"/>
          <w:spacing w:val="-1"/>
        </w:rPr>
        <w:t> </w:t>
      </w:r>
      <w:r>
        <w:rPr>
          <w:color w:val="231F20"/>
        </w:rPr>
        <w:t>the</w:t>
      </w:r>
      <w:r>
        <w:rPr>
          <w:color w:val="231F20"/>
          <w:spacing w:val="-1"/>
        </w:rPr>
        <w:t> </w:t>
      </w:r>
      <w:r>
        <w:rPr>
          <w:color w:val="231F20"/>
        </w:rPr>
        <w:t>economy</w:t>
      </w:r>
      <w:r>
        <w:rPr>
          <w:color w:val="231F20"/>
          <w:spacing w:val="-1"/>
        </w:rPr>
        <w:t> </w:t>
      </w:r>
      <w:r>
        <w:rPr>
          <w:color w:val="231F20"/>
        </w:rPr>
        <w:t>in</w:t>
      </w:r>
      <w:r>
        <w:rPr>
          <w:color w:val="231F20"/>
          <w:spacing w:val="-1"/>
        </w:rPr>
        <w:t> </w:t>
      </w:r>
      <w:r>
        <w:rPr>
          <w:color w:val="231F20"/>
        </w:rPr>
        <w:t>a</w:t>
      </w:r>
      <w:r>
        <w:rPr>
          <w:color w:val="231F20"/>
          <w:spacing w:val="-1"/>
        </w:rPr>
        <w:t> </w:t>
      </w:r>
      <w:r>
        <w:rPr>
          <w:color w:val="231F20"/>
        </w:rPr>
        <w:t>repetitive</w:t>
      </w:r>
      <w:r>
        <w:rPr>
          <w:color w:val="231F20"/>
          <w:spacing w:val="-1"/>
        </w:rPr>
        <w:t> </w:t>
      </w:r>
      <w:r>
        <w:rPr>
          <w:color w:val="231F20"/>
        </w:rPr>
        <w:t>cycle</w:t>
      </w:r>
      <w:r>
        <w:rPr>
          <w:color w:val="231F20"/>
          <w:spacing w:val="-1"/>
        </w:rPr>
        <w:t> </w:t>
      </w:r>
      <w:r>
        <w:rPr>
          <w:color w:val="231F20"/>
        </w:rPr>
        <w:t>of</w:t>
      </w:r>
      <w:r>
        <w:rPr>
          <w:color w:val="231F20"/>
          <w:spacing w:val="-1"/>
        </w:rPr>
        <w:t> </w:t>
      </w:r>
      <w:r>
        <w:rPr>
          <w:color w:val="231F20"/>
        </w:rPr>
        <w:t>spending</w:t>
      </w:r>
      <w:r>
        <w:rPr>
          <w:color w:val="231F20"/>
          <w:spacing w:val="-1"/>
        </w:rPr>
        <w:t> </w:t>
      </w:r>
      <w:r>
        <w:rPr>
          <w:color w:val="231F20"/>
        </w:rPr>
        <w:t>and income is called the </w:t>
      </w:r>
      <w:r>
        <w:rPr>
          <w:i/>
          <w:color w:val="231F20"/>
        </w:rPr>
        <w:t>multiplier effect. </w:t>
      </w:r>
      <w:r>
        <w:rPr>
          <w:color w:val="231F20"/>
        </w:rPr>
        <w:t>How the Congress and the pres- ident decide to spend money is called the government’s </w:t>
      </w:r>
      <w:r>
        <w:rPr>
          <w:i/>
          <w:color w:val="231F20"/>
        </w:rPr>
        <w:t>fiscal policy.</w:t>
      </w:r>
    </w:p>
    <w:p>
      <w:pPr>
        <w:pStyle w:val="BodyText"/>
        <w:spacing w:line="292" w:lineRule="auto"/>
        <w:ind w:left="830" w:right="753" w:firstLine="340"/>
        <w:jc w:val="both"/>
      </w:pPr>
      <w:r>
        <w:rPr>
          <w:color w:val="231F20"/>
        </w:rPr>
        <w:t>The Keynesians believe that a government’s fiscal policy can “prime the pump” of a slow economy. In 1992 members of Con-</w:t>
      </w:r>
      <w:r>
        <w:rPr>
          <w:color w:val="231F20"/>
          <w:spacing w:val="80"/>
        </w:rPr>
        <w:t> </w:t>
      </w:r>
      <w:r>
        <w:rPr>
          <w:color w:val="231F20"/>
        </w:rPr>
        <w:t>gress raced to start public works projects to boost the economy dur- ing the recession. Road construction involves the purchase of rock, cement, steel, equipment, and labor, and the people involved in </w:t>
      </w:r>
      <w:r>
        <w:rPr>
          <w:color w:val="231F20"/>
        </w:rPr>
        <w:t>this work spend their wages and profits on food, housing, and clothes. This </w:t>
      </w:r>
      <w:r>
        <w:rPr>
          <w:i/>
          <w:color w:val="231F20"/>
        </w:rPr>
        <w:t>multiplies </w:t>
      </w:r>
      <w:r>
        <w:rPr>
          <w:color w:val="231F20"/>
        </w:rPr>
        <w:t>throughout the community the effect of the original government spending.</w:t>
      </w:r>
    </w:p>
    <w:p>
      <w:pPr>
        <w:pStyle w:val="BodyText"/>
        <w:spacing w:line="243" w:lineRule="exact"/>
        <w:ind w:left="1170"/>
        <w:jc w:val="both"/>
      </w:pPr>
      <w:r>
        <w:rPr>
          <w:color w:val="231F20"/>
        </w:rPr>
        <w:t>Let’s</w:t>
      </w:r>
      <w:r>
        <w:rPr>
          <w:color w:val="231F20"/>
          <w:spacing w:val="45"/>
        </w:rPr>
        <w:t> </w:t>
      </w:r>
      <w:r>
        <w:rPr>
          <w:color w:val="231F20"/>
        </w:rPr>
        <w:t>see</w:t>
      </w:r>
      <w:r>
        <w:rPr>
          <w:color w:val="231F20"/>
          <w:spacing w:val="45"/>
        </w:rPr>
        <w:t> </w:t>
      </w:r>
      <w:r>
        <w:rPr>
          <w:color w:val="231F20"/>
        </w:rPr>
        <w:t>the</w:t>
      </w:r>
      <w:r>
        <w:rPr>
          <w:color w:val="231F20"/>
          <w:spacing w:val="45"/>
        </w:rPr>
        <w:t> </w:t>
      </w:r>
      <w:r>
        <w:rPr>
          <w:color w:val="231F20"/>
        </w:rPr>
        <w:t>multiplier</w:t>
      </w:r>
      <w:r>
        <w:rPr>
          <w:color w:val="231F20"/>
          <w:spacing w:val="45"/>
        </w:rPr>
        <w:t> </w:t>
      </w:r>
      <w:r>
        <w:rPr>
          <w:color w:val="231F20"/>
        </w:rPr>
        <w:t>at</w:t>
      </w:r>
      <w:r>
        <w:rPr>
          <w:color w:val="231F20"/>
          <w:spacing w:val="45"/>
        </w:rPr>
        <w:t> </w:t>
      </w:r>
      <w:r>
        <w:rPr>
          <w:color w:val="231F20"/>
        </w:rPr>
        <w:t>work</w:t>
      </w:r>
      <w:r>
        <w:rPr>
          <w:color w:val="231F20"/>
          <w:spacing w:val="45"/>
        </w:rPr>
        <w:t> </w:t>
      </w:r>
      <w:r>
        <w:rPr>
          <w:color w:val="231F20"/>
        </w:rPr>
        <w:t>for</w:t>
      </w:r>
      <w:r>
        <w:rPr>
          <w:color w:val="231F20"/>
          <w:spacing w:val="45"/>
        </w:rPr>
        <w:t> </w:t>
      </w:r>
      <w:r>
        <w:rPr>
          <w:color w:val="231F20"/>
        </w:rPr>
        <w:t>$1,000,000</w:t>
      </w:r>
      <w:r>
        <w:rPr>
          <w:color w:val="231F20"/>
          <w:spacing w:val="46"/>
        </w:rPr>
        <w:t> </w:t>
      </w:r>
      <w:r>
        <w:rPr>
          <w:color w:val="231F20"/>
        </w:rPr>
        <w:t>of</w:t>
      </w:r>
      <w:r>
        <w:rPr>
          <w:color w:val="231F20"/>
          <w:spacing w:val="45"/>
        </w:rPr>
        <w:t> </w:t>
      </w:r>
      <w:r>
        <w:rPr>
          <w:color w:val="231F20"/>
        </w:rPr>
        <w:t>those</w:t>
      </w:r>
      <w:r>
        <w:rPr>
          <w:color w:val="231F20"/>
          <w:spacing w:val="45"/>
        </w:rPr>
        <w:t> </w:t>
      </w:r>
      <w:r>
        <w:rPr>
          <w:color w:val="231F20"/>
          <w:spacing w:val="-4"/>
        </w:rPr>
        <w:t>con-</w:t>
      </w:r>
    </w:p>
    <w:p>
      <w:pPr>
        <w:spacing w:after="0" w:line="243" w:lineRule="exact"/>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19" w:right="666"/>
        <w:jc w:val="both"/>
      </w:pPr>
      <w:r>
        <w:rPr>
          <w:color w:val="231F20"/>
        </w:rPr>
        <w:t>struction salaries. The workers’ impact on the economy is </w:t>
      </w:r>
      <w:r>
        <w:rPr>
          <w:color w:val="231F20"/>
        </w:rPr>
        <w:t>dependent on their </w:t>
      </w:r>
      <w:r>
        <w:rPr>
          <w:i/>
          <w:color w:val="231F20"/>
        </w:rPr>
        <w:t>marginal propensity to consume </w:t>
      </w:r>
      <w:r>
        <w:rPr>
          <w:color w:val="231F20"/>
        </w:rPr>
        <w:t>(MPC) or spend the money they earn. If construction workers spent 80 percent of what they earned</w:t>
      </w:r>
      <w:r>
        <w:rPr>
          <w:color w:val="231F20"/>
          <w:spacing w:val="35"/>
        </w:rPr>
        <w:t> </w:t>
      </w:r>
      <w:r>
        <w:rPr>
          <w:color w:val="231F20"/>
        </w:rPr>
        <w:t>and</w:t>
      </w:r>
      <w:r>
        <w:rPr>
          <w:color w:val="231F20"/>
          <w:spacing w:val="35"/>
        </w:rPr>
        <w:t> </w:t>
      </w:r>
      <w:r>
        <w:rPr>
          <w:color w:val="231F20"/>
        </w:rPr>
        <w:t>saved</w:t>
      </w:r>
      <w:r>
        <w:rPr>
          <w:color w:val="231F20"/>
          <w:spacing w:val="35"/>
        </w:rPr>
        <w:t> </w:t>
      </w:r>
      <w:r>
        <w:rPr>
          <w:color w:val="231F20"/>
        </w:rPr>
        <w:t>20</w:t>
      </w:r>
      <w:r>
        <w:rPr>
          <w:color w:val="231F20"/>
          <w:spacing w:val="35"/>
        </w:rPr>
        <w:t> </w:t>
      </w:r>
      <w:r>
        <w:rPr>
          <w:color w:val="231F20"/>
        </w:rPr>
        <w:t>percent,</w:t>
      </w:r>
      <w:r>
        <w:rPr>
          <w:color w:val="231F20"/>
          <w:spacing w:val="35"/>
        </w:rPr>
        <w:t> </w:t>
      </w:r>
      <w:r>
        <w:rPr>
          <w:color w:val="231F20"/>
        </w:rPr>
        <w:t>they</w:t>
      </w:r>
      <w:r>
        <w:rPr>
          <w:color w:val="231F20"/>
          <w:spacing w:val="35"/>
        </w:rPr>
        <w:t> </w:t>
      </w:r>
      <w:r>
        <w:rPr>
          <w:color w:val="231F20"/>
        </w:rPr>
        <w:t>are</w:t>
      </w:r>
      <w:r>
        <w:rPr>
          <w:color w:val="231F20"/>
          <w:spacing w:val="35"/>
        </w:rPr>
        <w:t> </w:t>
      </w:r>
      <w:r>
        <w:rPr>
          <w:color w:val="231F20"/>
        </w:rPr>
        <w:t>said</w:t>
      </w:r>
      <w:r>
        <w:rPr>
          <w:color w:val="231F20"/>
          <w:spacing w:val="35"/>
        </w:rPr>
        <w:t> </w:t>
      </w:r>
      <w:r>
        <w:rPr>
          <w:color w:val="231F20"/>
        </w:rPr>
        <w:t>to</w:t>
      </w:r>
      <w:r>
        <w:rPr>
          <w:color w:val="231F20"/>
          <w:spacing w:val="35"/>
        </w:rPr>
        <w:t> </w:t>
      </w:r>
      <w:r>
        <w:rPr>
          <w:color w:val="231F20"/>
        </w:rPr>
        <w:t>have</w:t>
      </w:r>
      <w:r>
        <w:rPr>
          <w:color w:val="231F20"/>
          <w:spacing w:val="35"/>
        </w:rPr>
        <w:t> </w:t>
      </w:r>
      <w:r>
        <w:rPr>
          <w:color w:val="231F20"/>
        </w:rPr>
        <w:t>an</w:t>
      </w:r>
      <w:r>
        <w:rPr>
          <w:color w:val="231F20"/>
          <w:spacing w:val="35"/>
        </w:rPr>
        <w:t> </w:t>
      </w:r>
      <w:r>
        <w:rPr>
          <w:color w:val="231F20"/>
        </w:rPr>
        <w:t>MPC</w:t>
      </w:r>
      <w:r>
        <w:rPr>
          <w:color w:val="231F20"/>
          <w:spacing w:val="35"/>
        </w:rPr>
        <w:t> </w:t>
      </w:r>
      <w:r>
        <w:rPr>
          <w:color w:val="231F20"/>
        </w:rPr>
        <w:t>of</w:t>
      </w:r>
      <w:r>
        <w:rPr>
          <w:color w:val="231F20"/>
          <w:spacing w:val="35"/>
        </w:rPr>
        <w:t> </w:t>
      </w:r>
      <w:r>
        <w:rPr>
          <w:color w:val="231F20"/>
        </w:rPr>
        <w:t>.8. The higher the MPC, the greater the impact of their earnings on the economy.</w:t>
      </w:r>
      <w:r>
        <w:rPr>
          <w:color w:val="231F20"/>
          <w:spacing w:val="7"/>
        </w:rPr>
        <w:t> </w:t>
      </w:r>
      <w:r>
        <w:rPr>
          <w:color w:val="231F20"/>
        </w:rPr>
        <w:t>The</w:t>
      </w:r>
      <w:r>
        <w:rPr>
          <w:color w:val="231F20"/>
          <w:spacing w:val="7"/>
        </w:rPr>
        <w:t> </w:t>
      </w:r>
      <w:r>
        <w:rPr>
          <w:color w:val="231F20"/>
        </w:rPr>
        <w:t>effect</w:t>
      </w:r>
      <w:r>
        <w:rPr>
          <w:color w:val="231F20"/>
          <w:spacing w:val="8"/>
        </w:rPr>
        <w:t> </w:t>
      </w:r>
      <w:r>
        <w:rPr>
          <w:color w:val="231F20"/>
        </w:rPr>
        <w:t>on</w:t>
      </w:r>
      <w:r>
        <w:rPr>
          <w:color w:val="231F20"/>
          <w:spacing w:val="7"/>
        </w:rPr>
        <w:t> </w:t>
      </w:r>
      <w:r>
        <w:rPr>
          <w:color w:val="231F20"/>
        </w:rPr>
        <w:t>the</w:t>
      </w:r>
      <w:r>
        <w:rPr>
          <w:color w:val="231F20"/>
          <w:spacing w:val="7"/>
        </w:rPr>
        <w:t> </w:t>
      </w:r>
      <w:r>
        <w:rPr>
          <w:color w:val="231F20"/>
        </w:rPr>
        <w:t>economy</w:t>
      </w:r>
      <w:r>
        <w:rPr>
          <w:color w:val="231F20"/>
          <w:spacing w:val="8"/>
        </w:rPr>
        <w:t> </w:t>
      </w:r>
      <w:r>
        <w:rPr>
          <w:color w:val="231F20"/>
        </w:rPr>
        <w:t>would</w:t>
      </w:r>
      <w:r>
        <w:rPr>
          <w:color w:val="231F20"/>
          <w:spacing w:val="7"/>
        </w:rPr>
        <w:t> </w:t>
      </w:r>
      <w:r>
        <w:rPr>
          <w:color w:val="231F20"/>
        </w:rPr>
        <w:t>be</w:t>
      </w:r>
      <w:r>
        <w:rPr>
          <w:color w:val="231F20"/>
          <w:spacing w:val="7"/>
        </w:rPr>
        <w:t> </w:t>
      </w:r>
      <w:r>
        <w:rPr>
          <w:color w:val="231F20"/>
        </w:rPr>
        <w:t>calculated</w:t>
      </w:r>
      <w:r>
        <w:rPr>
          <w:color w:val="231F20"/>
          <w:spacing w:val="8"/>
        </w:rPr>
        <w:t> </w:t>
      </w:r>
      <w:r>
        <w:rPr>
          <w:color w:val="231F20"/>
        </w:rPr>
        <w:t>as</w:t>
      </w:r>
      <w:r>
        <w:rPr>
          <w:color w:val="231F20"/>
          <w:spacing w:val="7"/>
        </w:rPr>
        <w:t> </w:t>
      </w:r>
      <w:r>
        <w:rPr>
          <w:color w:val="231F20"/>
          <w:spacing w:val="-2"/>
        </w:rPr>
        <w:t>follows:</w:t>
      </w:r>
    </w:p>
    <w:p>
      <w:pPr>
        <w:pStyle w:val="BodyText"/>
        <w:spacing w:before="8"/>
        <w:rPr>
          <w:sz w:val="16"/>
        </w:rPr>
      </w:pPr>
    </w:p>
    <w:p>
      <w:pPr>
        <w:spacing w:after="0"/>
        <w:rPr>
          <w:sz w:val="16"/>
        </w:rPr>
        <w:sectPr>
          <w:pgSz w:w="8640" w:h="12960"/>
          <w:pgMar w:header="734" w:footer="0" w:top="920" w:bottom="280" w:left="340" w:right="500"/>
        </w:sectPr>
      </w:pPr>
    </w:p>
    <w:p>
      <w:pPr>
        <w:pStyle w:val="BodyText"/>
        <w:spacing w:before="6"/>
        <w:rPr>
          <w:sz w:val="20"/>
        </w:rPr>
      </w:pPr>
    </w:p>
    <w:p>
      <w:pPr>
        <w:pStyle w:val="BodyText"/>
        <w:ind w:left="2509"/>
        <w:rPr>
          <w:rFonts w:ascii="Symbol" w:hAnsi="Symbol"/>
        </w:rPr>
      </w:pPr>
      <w:r>
        <w:rPr>
          <w:color w:val="231F20"/>
        </w:rPr>
        <w:t>Spending</w:t>
      </w:r>
      <w:r>
        <w:rPr>
          <w:color w:val="231F20"/>
          <w:spacing w:val="29"/>
        </w:rPr>
        <w:t> </w:t>
      </w:r>
      <w:r>
        <w:rPr>
          <w:color w:val="231F20"/>
        </w:rPr>
        <w:t>Multiplier</w:t>
      </w:r>
      <w:r>
        <w:rPr>
          <w:color w:val="231F20"/>
          <w:spacing w:val="30"/>
        </w:rPr>
        <w:t> </w:t>
      </w:r>
      <w:r>
        <w:rPr>
          <w:rFonts w:ascii="Symbol" w:hAnsi="Symbol"/>
          <w:color w:val="231F20"/>
          <w:spacing w:val="-10"/>
        </w:rPr>
        <w:t></w:t>
      </w:r>
    </w:p>
    <w:p>
      <w:pPr>
        <w:spacing w:before="102"/>
        <w:ind w:left="429" w:right="0" w:firstLine="0"/>
        <w:jc w:val="left"/>
        <w:rPr>
          <w:sz w:val="21"/>
        </w:rPr>
      </w:pPr>
      <w:r>
        <w:rPr/>
        <w:br w:type="column"/>
      </w:r>
      <w:r>
        <w:rPr>
          <w:color w:val="231F20"/>
          <w:spacing w:val="-10"/>
          <w:sz w:val="21"/>
        </w:rPr>
        <w:t>1</w:t>
      </w:r>
    </w:p>
    <w:p>
      <w:pPr>
        <w:pStyle w:val="BodyText"/>
        <w:spacing w:before="3"/>
        <w:rPr>
          <w:sz w:val="3"/>
        </w:rPr>
      </w:pPr>
    </w:p>
    <w:p>
      <w:pPr>
        <w:pStyle w:val="BodyText"/>
        <w:spacing w:line="20" w:lineRule="exact"/>
        <w:ind w:left="29"/>
        <w:rPr>
          <w:sz w:val="2"/>
        </w:rPr>
      </w:pPr>
      <w:r>
        <w:rPr>
          <w:sz w:val="2"/>
        </w:rPr>
        <w:pict>
          <v:group style="width:46.5pt;height:.5pt;mso-position-horizontal-relative:char;mso-position-vertical-relative:line" id="docshapegroup459" coordorigin="0,0" coordsize="930,10">
            <v:line style="position:absolute" from="0,5" to="930,5" stroked="true" strokeweight=".5pt" strokecolor="#231f20">
              <v:stroke dashstyle="solid"/>
            </v:line>
          </v:group>
        </w:pict>
      </w:r>
      <w:r>
        <w:rPr>
          <w:sz w:val="2"/>
        </w:rPr>
      </w:r>
    </w:p>
    <w:p>
      <w:pPr>
        <w:pStyle w:val="BodyText"/>
        <w:tabs>
          <w:tab w:pos="443" w:val="left" w:leader="none"/>
        </w:tabs>
        <w:ind w:left="19"/>
      </w:pPr>
      <w:r>
        <w:rPr/>
        <w:pict>
          <v:rect style="position:absolute;margin-left:258.858673pt;margin-top:7.101551pt;width:4.930940pt;height:.7242pt;mso-position-horizontal-relative:page;mso-position-vertical-relative:paragraph;z-index:-25044992" id="docshape460" filled="true" fillcolor="#231f20" stroked="false">
            <v:fill type="solid"/>
            <w10:wrap type="none"/>
          </v:rect>
        </w:pict>
      </w:r>
      <w:r>
        <w:rPr>
          <w:color w:val="231F20"/>
          <w:spacing w:val="-5"/>
          <w:w w:val="105"/>
        </w:rPr>
        <w:t>(1</w:t>
      </w:r>
      <w:r>
        <w:rPr>
          <w:color w:val="231F20"/>
        </w:rPr>
        <w:tab/>
      </w:r>
      <w:r>
        <w:rPr>
          <w:color w:val="231F20"/>
          <w:spacing w:val="-4"/>
          <w:w w:val="105"/>
        </w:rPr>
        <w:t>MPC)</w:t>
      </w:r>
    </w:p>
    <w:p>
      <w:pPr>
        <w:pStyle w:val="BodyText"/>
        <w:spacing w:line="189" w:lineRule="exact" w:before="49"/>
        <w:ind w:left="321"/>
      </w:pPr>
      <w:r>
        <w:rPr>
          <w:color w:val="231F20"/>
          <w:w w:val="101"/>
        </w:rPr>
        <w:t>1</w:t>
      </w:r>
    </w:p>
    <w:p>
      <w:pPr>
        <w:spacing w:after="0" w:line="189" w:lineRule="exact"/>
        <w:sectPr>
          <w:type w:val="continuous"/>
          <w:pgSz w:w="8640" w:h="12960"/>
          <w:pgMar w:header="732" w:footer="0" w:top="1220" w:bottom="280" w:left="340" w:right="500"/>
          <w:cols w:num="2" w:equalWidth="0">
            <w:col w:w="4521" w:space="40"/>
            <w:col w:w="3239"/>
          </w:cols>
        </w:sectPr>
      </w:pPr>
    </w:p>
    <w:p>
      <w:pPr>
        <w:pStyle w:val="BodyText"/>
        <w:tabs>
          <w:tab w:pos="4994" w:val="left" w:leader="none"/>
        </w:tabs>
        <w:spacing w:line="358" w:lineRule="exact"/>
        <w:ind w:left="4390"/>
      </w:pPr>
      <w:r>
        <w:rPr/>
        <w:pict>
          <v:line style="position:absolute;mso-position-horizontal-relative:page;mso-position-vertical-relative:paragraph;z-index:-25045504" from="247pt,4.807994pt" to="277.5pt,4.807994pt" stroked="true" strokeweight=".5pt" strokecolor="#231f20">
            <v:stroke dashstyle="solid"/>
            <w10:wrap type="none"/>
          </v:line>
        </w:pict>
      </w:r>
      <w:r>
        <w:rPr/>
        <w:pict>
          <v:rect style="position:absolute;margin-left:258.379333pt;margin-top:12.683044pt;width:4.930940pt;height:.7242pt;mso-position-horizontal-relative:page;mso-position-vertical-relative:paragraph;z-index:-25044480" id="docshape461" filled="true" fillcolor="#231f20" stroked="false">
            <v:fill type="solid"/>
            <w10:wrap type="none"/>
          </v:rect>
        </w:pict>
      </w:r>
      <w:r>
        <w:rPr>
          <w:rFonts w:ascii="Symbol" w:hAnsi="Symbol"/>
          <w:color w:val="231F20"/>
          <w:position w:val="15"/>
        </w:rPr>
        <w:t></w:t>
      </w:r>
      <w:r>
        <w:rPr>
          <w:rFonts w:ascii="Times New Roman" w:hAnsi="Times New Roman"/>
          <w:color w:val="231F20"/>
          <w:spacing w:val="11"/>
          <w:position w:val="15"/>
        </w:rPr>
        <w:t> </w:t>
      </w:r>
      <w:r>
        <w:rPr>
          <w:color w:val="231F20"/>
          <w:spacing w:val="-5"/>
        </w:rPr>
        <w:t>(1</w:t>
      </w:r>
      <w:r>
        <w:rPr>
          <w:color w:val="231F20"/>
        </w:rPr>
        <w:tab/>
      </w:r>
      <w:r>
        <w:rPr>
          <w:color w:val="231F20"/>
          <w:spacing w:val="-5"/>
        </w:rPr>
        <w:t>.8)</w:t>
      </w:r>
    </w:p>
    <w:p>
      <w:pPr>
        <w:pStyle w:val="BodyText"/>
        <w:spacing w:before="42"/>
        <w:ind w:left="4399"/>
      </w:pPr>
      <w:r>
        <w:rPr>
          <w:rFonts w:ascii="Symbol" w:hAnsi="Symbol"/>
          <w:color w:val="231F20"/>
        </w:rPr>
        <w:t></w:t>
      </w:r>
      <w:r>
        <w:rPr>
          <w:rFonts w:ascii="Times New Roman" w:hAnsi="Times New Roman"/>
          <w:color w:val="231F20"/>
          <w:spacing w:val="7"/>
        </w:rPr>
        <w:t> </w:t>
      </w:r>
      <w:r>
        <w:rPr>
          <w:color w:val="231F20"/>
          <w:spacing w:val="-10"/>
        </w:rPr>
        <w:t>5</w:t>
      </w:r>
    </w:p>
    <w:p>
      <w:pPr>
        <w:pStyle w:val="BodyText"/>
        <w:spacing w:before="2"/>
        <w:rPr>
          <w:sz w:val="30"/>
        </w:rPr>
      </w:pPr>
    </w:p>
    <w:p>
      <w:pPr>
        <w:pStyle w:val="BodyText"/>
        <w:spacing w:line="288" w:lineRule="auto"/>
        <w:ind w:left="920" w:right="664" w:firstLine="340"/>
        <w:jc w:val="both"/>
      </w:pPr>
      <w:r>
        <w:rPr>
          <w:color w:val="231F20"/>
          <w:w w:val="105"/>
        </w:rPr>
        <w:t>The</w:t>
      </w:r>
      <w:r>
        <w:rPr>
          <w:color w:val="231F20"/>
          <w:w w:val="105"/>
        </w:rPr>
        <w:t> effect</w:t>
      </w:r>
      <w:r>
        <w:rPr>
          <w:color w:val="231F20"/>
          <w:w w:val="105"/>
        </w:rPr>
        <w:t> of</w:t>
      </w:r>
      <w:r>
        <w:rPr>
          <w:color w:val="231F20"/>
          <w:w w:val="105"/>
        </w:rPr>
        <w:t> $1</w:t>
      </w:r>
      <w:r>
        <w:rPr>
          <w:color w:val="231F20"/>
          <w:w w:val="105"/>
        </w:rPr>
        <w:t> million</w:t>
      </w:r>
      <w:r>
        <w:rPr>
          <w:color w:val="231F20"/>
          <w:w w:val="105"/>
        </w:rPr>
        <w:t> of</w:t>
      </w:r>
      <w:r>
        <w:rPr>
          <w:color w:val="231F20"/>
          <w:w w:val="105"/>
        </w:rPr>
        <w:t> wages</w:t>
      </w:r>
      <w:r>
        <w:rPr>
          <w:color w:val="231F20"/>
          <w:w w:val="105"/>
        </w:rPr>
        <w:t> would</w:t>
      </w:r>
      <w:r>
        <w:rPr>
          <w:color w:val="231F20"/>
          <w:w w:val="105"/>
        </w:rPr>
        <w:t> result</w:t>
      </w:r>
      <w:r>
        <w:rPr>
          <w:color w:val="231F20"/>
          <w:w w:val="105"/>
        </w:rPr>
        <w:t> in</w:t>
      </w:r>
      <w:r>
        <w:rPr>
          <w:color w:val="231F20"/>
          <w:w w:val="105"/>
        </w:rPr>
        <w:t> $5</w:t>
      </w:r>
      <w:r>
        <w:rPr>
          <w:color w:val="231F20"/>
          <w:w w:val="105"/>
        </w:rPr>
        <w:t> million ($1,000,000</w:t>
      </w:r>
      <w:r>
        <w:rPr>
          <w:color w:val="231F20"/>
          <w:spacing w:val="-11"/>
          <w:w w:val="105"/>
        </w:rPr>
        <w:t> </w:t>
      </w:r>
      <w:r>
        <w:rPr>
          <w:rFonts w:ascii="Symbol" w:hAnsi="Symbol"/>
          <w:color w:val="231F20"/>
          <w:w w:val="105"/>
        </w:rPr>
        <w:t></w:t>
      </w:r>
      <w:r>
        <w:rPr>
          <w:rFonts w:ascii="Times New Roman" w:hAnsi="Times New Roman"/>
          <w:color w:val="231F20"/>
          <w:spacing w:val="-14"/>
          <w:w w:val="105"/>
        </w:rPr>
        <w:t> </w:t>
      </w:r>
      <w:r>
        <w:rPr>
          <w:color w:val="231F20"/>
          <w:w w:val="105"/>
        </w:rPr>
        <w:t>5)</w:t>
      </w:r>
      <w:r>
        <w:rPr>
          <w:color w:val="231F20"/>
          <w:spacing w:val="-9"/>
          <w:w w:val="105"/>
        </w:rPr>
        <w:t> </w:t>
      </w:r>
      <w:r>
        <w:rPr>
          <w:color w:val="231F20"/>
          <w:w w:val="105"/>
        </w:rPr>
        <w:t>of</w:t>
      </w:r>
      <w:r>
        <w:rPr>
          <w:color w:val="231F20"/>
          <w:spacing w:val="-9"/>
          <w:w w:val="105"/>
        </w:rPr>
        <w:t> </w:t>
      </w:r>
      <w:r>
        <w:rPr>
          <w:color w:val="231F20"/>
          <w:w w:val="105"/>
        </w:rPr>
        <w:t>total</w:t>
      </w:r>
      <w:r>
        <w:rPr>
          <w:color w:val="231F20"/>
          <w:spacing w:val="-9"/>
          <w:w w:val="105"/>
        </w:rPr>
        <w:t> </w:t>
      </w:r>
      <w:r>
        <w:rPr>
          <w:color w:val="231F20"/>
          <w:w w:val="105"/>
        </w:rPr>
        <w:t>spending</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economy.</w:t>
      </w:r>
      <w:r>
        <w:rPr>
          <w:color w:val="231F20"/>
          <w:spacing w:val="-9"/>
          <w:w w:val="105"/>
        </w:rPr>
        <w:t> </w:t>
      </w:r>
      <w:r>
        <w:rPr>
          <w:color w:val="231F20"/>
          <w:w w:val="105"/>
        </w:rPr>
        <w:t>For</w:t>
      </w:r>
      <w:r>
        <w:rPr>
          <w:color w:val="231F20"/>
          <w:spacing w:val="-9"/>
          <w:w w:val="105"/>
        </w:rPr>
        <w:t> </w:t>
      </w:r>
      <w:r>
        <w:rPr>
          <w:color w:val="231F20"/>
          <w:w w:val="105"/>
        </w:rPr>
        <w:t>members</w:t>
      </w:r>
      <w:r>
        <w:rPr>
          <w:color w:val="231F20"/>
          <w:spacing w:val="-9"/>
          <w:w w:val="105"/>
        </w:rPr>
        <w:t> </w:t>
      </w:r>
      <w:r>
        <w:rPr>
          <w:color w:val="231F20"/>
          <w:w w:val="105"/>
        </w:rPr>
        <w:t>of Congress</w:t>
      </w:r>
      <w:r>
        <w:rPr>
          <w:color w:val="231F20"/>
          <w:spacing w:val="-7"/>
          <w:w w:val="105"/>
        </w:rPr>
        <w:t> </w:t>
      </w:r>
      <w:r>
        <w:rPr>
          <w:color w:val="231F20"/>
          <w:w w:val="105"/>
        </w:rPr>
        <w:t>who</w:t>
      </w:r>
      <w:r>
        <w:rPr>
          <w:color w:val="231F20"/>
          <w:spacing w:val="-7"/>
          <w:w w:val="105"/>
        </w:rPr>
        <w:t> </w:t>
      </w:r>
      <w:r>
        <w:rPr>
          <w:color w:val="231F20"/>
          <w:w w:val="105"/>
        </w:rPr>
        <w:t>win</w:t>
      </w:r>
      <w:r>
        <w:rPr>
          <w:color w:val="231F20"/>
          <w:spacing w:val="-7"/>
          <w:w w:val="105"/>
        </w:rPr>
        <w:t> </w:t>
      </w:r>
      <w:r>
        <w:rPr>
          <w:color w:val="231F20"/>
          <w:w w:val="105"/>
        </w:rPr>
        <w:t>public</w:t>
      </w:r>
      <w:r>
        <w:rPr>
          <w:color w:val="231F20"/>
          <w:spacing w:val="-7"/>
          <w:w w:val="105"/>
        </w:rPr>
        <w:t> </w:t>
      </w:r>
      <w:r>
        <w:rPr>
          <w:color w:val="231F20"/>
          <w:w w:val="105"/>
        </w:rPr>
        <w:t>works</w:t>
      </w:r>
      <w:r>
        <w:rPr>
          <w:color w:val="231F20"/>
          <w:spacing w:val="-7"/>
          <w:w w:val="105"/>
        </w:rPr>
        <w:t> </w:t>
      </w:r>
      <w:r>
        <w:rPr>
          <w:color w:val="231F20"/>
          <w:w w:val="105"/>
        </w:rPr>
        <w:t>projects</w:t>
      </w:r>
      <w:r>
        <w:rPr>
          <w:color w:val="231F20"/>
          <w:spacing w:val="-7"/>
          <w:w w:val="105"/>
        </w:rPr>
        <w:t> </w:t>
      </w:r>
      <w:r>
        <w:rPr>
          <w:color w:val="231F20"/>
          <w:w w:val="105"/>
        </w:rPr>
        <w:t>and</w:t>
      </w:r>
      <w:r>
        <w:rPr>
          <w:color w:val="231F20"/>
          <w:spacing w:val="-7"/>
          <w:w w:val="105"/>
        </w:rPr>
        <w:t> </w:t>
      </w:r>
      <w:r>
        <w:rPr>
          <w:color w:val="231F20"/>
          <w:w w:val="105"/>
        </w:rPr>
        <w:t>defense</w:t>
      </w:r>
      <w:r>
        <w:rPr>
          <w:color w:val="231F20"/>
          <w:spacing w:val="-7"/>
          <w:w w:val="105"/>
        </w:rPr>
        <w:t> </w:t>
      </w:r>
      <w:r>
        <w:rPr>
          <w:color w:val="231F20"/>
          <w:w w:val="105"/>
        </w:rPr>
        <w:t>contracts</w:t>
      </w:r>
      <w:r>
        <w:rPr>
          <w:color w:val="231F20"/>
          <w:spacing w:val="-7"/>
          <w:w w:val="105"/>
        </w:rPr>
        <w:t> </w:t>
      </w:r>
      <w:r>
        <w:rPr>
          <w:color w:val="231F20"/>
          <w:w w:val="105"/>
        </w:rPr>
        <w:t>for their</w:t>
      </w:r>
      <w:r>
        <w:rPr>
          <w:color w:val="231F20"/>
          <w:spacing w:val="-6"/>
          <w:w w:val="105"/>
        </w:rPr>
        <w:t> </w:t>
      </w:r>
      <w:r>
        <w:rPr>
          <w:color w:val="231F20"/>
          <w:w w:val="105"/>
        </w:rPr>
        <w:t>districts,</w:t>
      </w:r>
      <w:r>
        <w:rPr>
          <w:color w:val="231F20"/>
          <w:spacing w:val="-6"/>
          <w:w w:val="105"/>
        </w:rPr>
        <w:t> </w:t>
      </w:r>
      <w:r>
        <w:rPr>
          <w:color w:val="231F20"/>
          <w:w w:val="105"/>
        </w:rPr>
        <w:t>their</w:t>
      </w:r>
      <w:r>
        <w:rPr>
          <w:color w:val="231F20"/>
          <w:spacing w:val="-6"/>
          <w:w w:val="105"/>
        </w:rPr>
        <w:t> </w:t>
      </w:r>
      <w:r>
        <w:rPr>
          <w:color w:val="231F20"/>
          <w:w w:val="105"/>
        </w:rPr>
        <w:t>vote-buying</w:t>
      </w:r>
      <w:r>
        <w:rPr>
          <w:color w:val="231F20"/>
          <w:spacing w:val="-6"/>
          <w:w w:val="105"/>
        </w:rPr>
        <w:t> </w:t>
      </w:r>
      <w:r>
        <w:rPr>
          <w:color w:val="231F20"/>
          <w:w w:val="105"/>
        </w:rPr>
        <w:t>power</w:t>
      </w:r>
      <w:r>
        <w:rPr>
          <w:color w:val="231F20"/>
          <w:spacing w:val="-6"/>
          <w:w w:val="105"/>
        </w:rPr>
        <w:t> </w:t>
      </w:r>
      <w:r>
        <w:rPr>
          <w:color w:val="231F20"/>
          <w:w w:val="105"/>
        </w:rPr>
        <w:t>is</w:t>
      </w:r>
      <w:r>
        <w:rPr>
          <w:color w:val="231F20"/>
          <w:spacing w:val="-6"/>
          <w:w w:val="105"/>
        </w:rPr>
        <w:t> </w:t>
      </w:r>
      <w:r>
        <w:rPr>
          <w:color w:val="231F20"/>
          <w:w w:val="105"/>
        </w:rPr>
        <w:t>also</w:t>
      </w:r>
      <w:r>
        <w:rPr>
          <w:color w:val="231F20"/>
          <w:spacing w:val="-6"/>
          <w:w w:val="105"/>
        </w:rPr>
        <w:t> </w:t>
      </w:r>
      <w:r>
        <w:rPr>
          <w:color w:val="231F20"/>
          <w:w w:val="105"/>
        </w:rPr>
        <w:t>multiplied</w:t>
      </w:r>
      <w:r>
        <w:rPr>
          <w:color w:val="231F20"/>
          <w:spacing w:val="-6"/>
          <w:w w:val="105"/>
        </w:rPr>
        <w:t> </w:t>
      </w:r>
      <w:r>
        <w:rPr>
          <w:color w:val="231F20"/>
          <w:w w:val="105"/>
        </w:rPr>
        <w:t>by</w:t>
      </w:r>
      <w:r>
        <w:rPr>
          <w:color w:val="231F20"/>
          <w:spacing w:val="-6"/>
          <w:w w:val="105"/>
        </w:rPr>
        <w:t> </w:t>
      </w:r>
      <w:r>
        <w:rPr>
          <w:color w:val="231F20"/>
          <w:w w:val="105"/>
        </w:rPr>
        <w:t>five.</w:t>
      </w:r>
    </w:p>
    <w:p>
      <w:pPr>
        <w:pStyle w:val="BodyText"/>
        <w:spacing w:before="11"/>
        <w:rPr>
          <w:sz w:val="25"/>
        </w:rPr>
      </w:pPr>
    </w:p>
    <w:p>
      <w:pPr>
        <w:pStyle w:val="BodyText"/>
        <w:spacing w:line="292" w:lineRule="auto"/>
        <w:ind w:left="920" w:right="663"/>
        <w:jc w:val="both"/>
      </w:pPr>
      <w:r>
        <w:rPr>
          <w:i/>
          <w:color w:val="231F20"/>
          <w:w w:val="105"/>
        </w:rPr>
        <w:t>The IS/LM Curve of the Goods and Money Markets. </w:t>
      </w:r>
      <w:r>
        <w:rPr>
          <w:color w:val="231F20"/>
          <w:w w:val="105"/>
        </w:rPr>
        <w:t>According </w:t>
      </w:r>
      <w:r>
        <w:rPr>
          <w:color w:val="231F20"/>
          <w:w w:val="105"/>
        </w:rPr>
        <w:t>to Keynes,</w:t>
      </w:r>
      <w:r>
        <w:rPr>
          <w:color w:val="231F20"/>
          <w:spacing w:val="-6"/>
          <w:w w:val="105"/>
        </w:rPr>
        <w:t> </w:t>
      </w:r>
      <w:r>
        <w:rPr>
          <w:color w:val="231F20"/>
          <w:w w:val="105"/>
        </w:rPr>
        <w:t>interest</w:t>
      </w:r>
      <w:r>
        <w:rPr>
          <w:color w:val="231F20"/>
          <w:spacing w:val="-6"/>
          <w:w w:val="105"/>
        </w:rPr>
        <w:t> </w:t>
      </w:r>
      <w:r>
        <w:rPr>
          <w:color w:val="231F20"/>
          <w:w w:val="105"/>
        </w:rPr>
        <w:t>rates</w:t>
      </w:r>
      <w:r>
        <w:rPr>
          <w:color w:val="231F20"/>
          <w:spacing w:val="-6"/>
          <w:w w:val="105"/>
        </w:rPr>
        <w:t> </w:t>
      </w:r>
      <w:r>
        <w:rPr>
          <w:color w:val="231F20"/>
          <w:w w:val="105"/>
        </w:rPr>
        <w:t>are</w:t>
      </w:r>
      <w:r>
        <w:rPr>
          <w:color w:val="231F20"/>
          <w:spacing w:val="-6"/>
          <w:w w:val="105"/>
        </w:rPr>
        <w:t> </w:t>
      </w:r>
      <w:r>
        <w:rPr>
          <w:color w:val="231F20"/>
          <w:w w:val="105"/>
        </w:rPr>
        <w:t>also</w:t>
      </w:r>
      <w:r>
        <w:rPr>
          <w:color w:val="231F20"/>
          <w:spacing w:val="-6"/>
          <w:w w:val="105"/>
        </w:rPr>
        <w:t> </w:t>
      </w:r>
      <w:r>
        <w:rPr>
          <w:color w:val="231F20"/>
          <w:w w:val="105"/>
        </w:rPr>
        <w:t>powerful</w:t>
      </w:r>
      <w:r>
        <w:rPr>
          <w:color w:val="231F20"/>
          <w:spacing w:val="-6"/>
          <w:w w:val="105"/>
        </w:rPr>
        <w:t> </w:t>
      </w:r>
      <w:r>
        <w:rPr>
          <w:color w:val="231F20"/>
          <w:w w:val="105"/>
        </w:rPr>
        <w:t>driving</w:t>
      </w:r>
      <w:r>
        <w:rPr>
          <w:color w:val="231F20"/>
          <w:spacing w:val="-6"/>
          <w:w w:val="105"/>
        </w:rPr>
        <w:t> </w:t>
      </w:r>
      <w:r>
        <w:rPr>
          <w:color w:val="231F20"/>
          <w:w w:val="105"/>
        </w:rPr>
        <w:t>forces</w:t>
      </w:r>
      <w:r>
        <w:rPr>
          <w:color w:val="231F20"/>
          <w:spacing w:val="-6"/>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econ- omy.</w:t>
      </w:r>
      <w:r>
        <w:rPr>
          <w:color w:val="231F20"/>
          <w:w w:val="105"/>
        </w:rPr>
        <w:t> Higher</w:t>
      </w:r>
      <w:r>
        <w:rPr>
          <w:color w:val="231F20"/>
          <w:w w:val="105"/>
        </w:rPr>
        <w:t> interest</w:t>
      </w:r>
      <w:r>
        <w:rPr>
          <w:color w:val="231F20"/>
          <w:w w:val="105"/>
        </w:rPr>
        <w:t> rates</w:t>
      </w:r>
      <w:r>
        <w:rPr>
          <w:color w:val="231F20"/>
          <w:w w:val="105"/>
        </w:rPr>
        <w:t> tend</w:t>
      </w:r>
      <w:r>
        <w:rPr>
          <w:color w:val="231F20"/>
          <w:w w:val="105"/>
        </w:rPr>
        <w:t> to</w:t>
      </w:r>
      <w:r>
        <w:rPr>
          <w:color w:val="231F20"/>
          <w:w w:val="105"/>
        </w:rPr>
        <w:t> retard</w:t>
      </w:r>
      <w:r>
        <w:rPr>
          <w:color w:val="231F20"/>
          <w:w w:val="105"/>
        </w:rPr>
        <w:t> the</w:t>
      </w:r>
      <w:r>
        <w:rPr>
          <w:color w:val="231F20"/>
          <w:w w:val="105"/>
        </w:rPr>
        <w:t> investments</w:t>
      </w:r>
      <w:r>
        <w:rPr>
          <w:color w:val="231F20"/>
          <w:w w:val="105"/>
        </w:rPr>
        <w:t> (I)</w:t>
      </w:r>
      <w:r>
        <w:rPr>
          <w:color w:val="231F20"/>
          <w:w w:val="105"/>
        </w:rPr>
        <w:t> that </w:t>
      </w:r>
      <w:r>
        <w:rPr>
          <w:color w:val="231F20"/>
        </w:rPr>
        <w:t>drive economic growth. It is unlikely that consumers will buy expen- </w:t>
      </w:r>
      <w:r>
        <w:rPr>
          <w:color w:val="231F20"/>
          <w:w w:val="105"/>
        </w:rPr>
        <w:t>sive items, such as cars and houses, if high interest rates make monthly</w:t>
      </w:r>
      <w:r>
        <w:rPr>
          <w:color w:val="231F20"/>
          <w:w w:val="105"/>
        </w:rPr>
        <w:t> payments</w:t>
      </w:r>
      <w:r>
        <w:rPr>
          <w:color w:val="231F20"/>
          <w:w w:val="105"/>
        </w:rPr>
        <w:t> unaffordable.</w:t>
      </w:r>
      <w:r>
        <w:rPr>
          <w:color w:val="231F20"/>
          <w:w w:val="105"/>
        </w:rPr>
        <w:t> The</w:t>
      </w:r>
      <w:r>
        <w:rPr>
          <w:color w:val="231F20"/>
          <w:w w:val="105"/>
        </w:rPr>
        <w:t> downward-sloping</w:t>
      </w:r>
      <w:r>
        <w:rPr>
          <w:color w:val="231F20"/>
          <w:w w:val="105"/>
        </w:rPr>
        <w:t> curve explaining</w:t>
      </w:r>
      <w:r>
        <w:rPr>
          <w:color w:val="231F20"/>
          <w:w w:val="105"/>
        </w:rPr>
        <w:t> this</w:t>
      </w:r>
      <w:r>
        <w:rPr>
          <w:color w:val="231F20"/>
          <w:w w:val="105"/>
        </w:rPr>
        <w:t> relationship</w:t>
      </w:r>
      <w:r>
        <w:rPr>
          <w:color w:val="231F20"/>
          <w:w w:val="105"/>
        </w:rPr>
        <w:t> is</w:t>
      </w:r>
      <w:r>
        <w:rPr>
          <w:color w:val="231F20"/>
          <w:w w:val="105"/>
        </w:rPr>
        <w:t> called</w:t>
      </w:r>
      <w:r>
        <w:rPr>
          <w:color w:val="231F20"/>
          <w:w w:val="105"/>
        </w:rPr>
        <w:t> the</w:t>
      </w:r>
      <w:r>
        <w:rPr>
          <w:color w:val="231F20"/>
          <w:w w:val="105"/>
        </w:rPr>
        <w:t> </w:t>
      </w:r>
      <w:r>
        <w:rPr>
          <w:i/>
          <w:color w:val="231F20"/>
          <w:w w:val="105"/>
        </w:rPr>
        <w:t>investment</w:t>
      </w:r>
      <w:r>
        <w:rPr>
          <w:i/>
          <w:color w:val="231F20"/>
          <w:w w:val="105"/>
        </w:rPr>
        <w:t> and</w:t>
      </w:r>
      <w:r>
        <w:rPr>
          <w:i/>
          <w:color w:val="231F20"/>
          <w:w w:val="105"/>
        </w:rPr>
        <w:t> spending</w:t>
      </w:r>
      <w:r>
        <w:rPr>
          <w:i/>
          <w:color w:val="231F20"/>
          <w:w w:val="105"/>
        </w:rPr>
        <w:t> curve </w:t>
      </w:r>
      <w:r>
        <w:rPr>
          <w:color w:val="231F20"/>
          <w:w w:val="105"/>
        </w:rPr>
        <w:t>(IS).</w:t>
      </w:r>
    </w:p>
    <w:p>
      <w:pPr>
        <w:pStyle w:val="BodyText"/>
        <w:spacing w:line="292" w:lineRule="auto"/>
        <w:ind w:left="920" w:right="663" w:firstLine="340"/>
        <w:jc w:val="both"/>
      </w:pPr>
      <w:r>
        <w:rPr>
          <w:color w:val="231F20"/>
          <w:w w:val="105"/>
        </w:rPr>
        <w:t>Acknowledging the power of money, Keynes noted that the higher the interest rates, the higher the </w:t>
      </w:r>
      <w:r>
        <w:rPr>
          <w:i/>
          <w:color w:val="231F20"/>
          <w:w w:val="105"/>
        </w:rPr>
        <w:t>liquidity preference </w:t>
      </w:r>
      <w:r>
        <w:rPr>
          <w:color w:val="231F20"/>
          <w:w w:val="105"/>
        </w:rPr>
        <w:t>for money.</w:t>
      </w:r>
      <w:r>
        <w:rPr>
          <w:color w:val="231F20"/>
          <w:w w:val="105"/>
        </w:rPr>
        <w:t> On</w:t>
      </w:r>
      <w:r>
        <w:rPr>
          <w:color w:val="231F20"/>
          <w:w w:val="105"/>
        </w:rPr>
        <w:t> December</w:t>
      </w:r>
      <w:r>
        <w:rPr>
          <w:color w:val="231F20"/>
          <w:w w:val="105"/>
        </w:rPr>
        <w:t> 19,</w:t>
      </w:r>
      <w:r>
        <w:rPr>
          <w:color w:val="231F20"/>
          <w:w w:val="105"/>
        </w:rPr>
        <w:t> 1980,</w:t>
      </w:r>
      <w:r>
        <w:rPr>
          <w:color w:val="231F20"/>
          <w:w w:val="105"/>
        </w:rPr>
        <w:t> interest</w:t>
      </w:r>
      <w:r>
        <w:rPr>
          <w:color w:val="231F20"/>
          <w:w w:val="105"/>
        </w:rPr>
        <w:t> rates</w:t>
      </w:r>
      <w:r>
        <w:rPr>
          <w:color w:val="231F20"/>
          <w:w w:val="105"/>
        </w:rPr>
        <w:t> reached</w:t>
      </w:r>
      <w:r>
        <w:rPr>
          <w:color w:val="231F20"/>
          <w:w w:val="105"/>
        </w:rPr>
        <w:t> an</w:t>
      </w:r>
      <w:r>
        <w:rPr>
          <w:color w:val="231F20"/>
          <w:w w:val="105"/>
        </w:rPr>
        <w:t> all-time high</w:t>
      </w:r>
      <w:r>
        <w:rPr>
          <w:color w:val="231F20"/>
          <w:w w:val="105"/>
        </w:rPr>
        <w:t> of</w:t>
      </w:r>
      <w:r>
        <w:rPr>
          <w:color w:val="231F20"/>
          <w:w w:val="105"/>
        </w:rPr>
        <w:t> 21</w:t>
      </w:r>
      <w:r>
        <w:rPr>
          <w:color w:val="231F20"/>
          <w:w w:val="105"/>
        </w:rPr>
        <w:t> percent,</w:t>
      </w:r>
      <w:r>
        <w:rPr>
          <w:color w:val="231F20"/>
          <w:w w:val="105"/>
        </w:rPr>
        <w:t> and</w:t>
      </w:r>
      <w:r>
        <w:rPr>
          <w:color w:val="231F20"/>
          <w:w w:val="105"/>
        </w:rPr>
        <w:t> people</w:t>
      </w:r>
      <w:r>
        <w:rPr>
          <w:color w:val="231F20"/>
          <w:w w:val="105"/>
        </w:rPr>
        <w:t> flocked</w:t>
      </w:r>
      <w:r>
        <w:rPr>
          <w:color w:val="231F20"/>
          <w:w w:val="105"/>
        </w:rPr>
        <w:t> to</w:t>
      </w:r>
      <w:r>
        <w:rPr>
          <w:color w:val="231F20"/>
          <w:w w:val="105"/>
        </w:rPr>
        <w:t> invest</w:t>
      </w:r>
      <w:r>
        <w:rPr>
          <w:color w:val="231F20"/>
          <w:w w:val="105"/>
        </w:rPr>
        <w:t> in</w:t>
      </w:r>
      <w:r>
        <w:rPr>
          <w:color w:val="231F20"/>
          <w:w w:val="105"/>
        </w:rPr>
        <w:t> money</w:t>
      </w:r>
      <w:r>
        <w:rPr>
          <w:color w:val="231F20"/>
          <w:w w:val="105"/>
        </w:rPr>
        <w:t> market funds.</w:t>
      </w:r>
      <w:r>
        <w:rPr>
          <w:color w:val="231F20"/>
          <w:spacing w:val="-13"/>
          <w:w w:val="105"/>
        </w:rPr>
        <w:t> </w:t>
      </w:r>
      <w:r>
        <w:rPr>
          <w:color w:val="231F20"/>
          <w:w w:val="105"/>
        </w:rPr>
        <w:t>In</w:t>
      </w:r>
      <w:r>
        <w:rPr>
          <w:color w:val="231F20"/>
          <w:spacing w:val="-12"/>
          <w:w w:val="105"/>
        </w:rPr>
        <w:t> </w:t>
      </w:r>
      <w:r>
        <w:rPr>
          <w:color w:val="231F20"/>
          <w:w w:val="105"/>
        </w:rPr>
        <w:t>1992,</w:t>
      </w:r>
      <w:r>
        <w:rPr>
          <w:color w:val="231F20"/>
          <w:spacing w:val="-12"/>
          <w:w w:val="105"/>
        </w:rPr>
        <w:t> </w:t>
      </w:r>
      <w:r>
        <w:rPr>
          <w:color w:val="231F20"/>
          <w:w w:val="105"/>
        </w:rPr>
        <w:t>when</w:t>
      </w:r>
      <w:r>
        <w:rPr>
          <w:color w:val="231F20"/>
          <w:spacing w:val="-12"/>
          <w:w w:val="105"/>
        </w:rPr>
        <w:t> </w:t>
      </w:r>
      <w:r>
        <w:rPr>
          <w:color w:val="231F20"/>
          <w:w w:val="105"/>
        </w:rPr>
        <w:t>interest</w:t>
      </w:r>
      <w:r>
        <w:rPr>
          <w:color w:val="231F20"/>
          <w:spacing w:val="-12"/>
          <w:w w:val="105"/>
        </w:rPr>
        <w:t> </w:t>
      </w:r>
      <w:r>
        <w:rPr>
          <w:color w:val="231F20"/>
          <w:w w:val="105"/>
        </w:rPr>
        <w:t>rates</w:t>
      </w:r>
      <w:r>
        <w:rPr>
          <w:color w:val="231F20"/>
          <w:spacing w:val="-12"/>
          <w:w w:val="105"/>
        </w:rPr>
        <w:t> </w:t>
      </w:r>
      <w:r>
        <w:rPr>
          <w:color w:val="231F20"/>
          <w:w w:val="105"/>
        </w:rPr>
        <w:t>were</w:t>
      </w:r>
      <w:r>
        <w:rPr>
          <w:color w:val="231F20"/>
          <w:spacing w:val="-12"/>
          <w:w w:val="105"/>
        </w:rPr>
        <w:t> </w:t>
      </w:r>
      <w:r>
        <w:rPr>
          <w:color w:val="231F20"/>
          <w:w w:val="105"/>
        </w:rPr>
        <w:t>hovering</w:t>
      </w:r>
      <w:r>
        <w:rPr>
          <w:color w:val="231F20"/>
          <w:spacing w:val="-13"/>
          <w:w w:val="105"/>
        </w:rPr>
        <w:t> </w:t>
      </w:r>
      <w:r>
        <w:rPr>
          <w:color w:val="231F20"/>
          <w:w w:val="105"/>
        </w:rPr>
        <w:t>at</w:t>
      </w:r>
      <w:r>
        <w:rPr>
          <w:color w:val="231F20"/>
          <w:spacing w:val="-12"/>
          <w:w w:val="105"/>
        </w:rPr>
        <w:t> </w:t>
      </w:r>
      <w:r>
        <w:rPr>
          <w:color w:val="231F20"/>
          <w:w w:val="105"/>
        </w:rPr>
        <w:t>3</w:t>
      </w:r>
      <w:r>
        <w:rPr>
          <w:color w:val="231F20"/>
          <w:spacing w:val="-12"/>
          <w:w w:val="105"/>
        </w:rPr>
        <w:t> </w:t>
      </w:r>
      <w:r>
        <w:rPr>
          <w:color w:val="231F20"/>
          <w:w w:val="105"/>
        </w:rPr>
        <w:t>to</w:t>
      </w:r>
      <w:r>
        <w:rPr>
          <w:color w:val="231F20"/>
          <w:spacing w:val="-12"/>
          <w:w w:val="105"/>
        </w:rPr>
        <w:t> </w:t>
      </w:r>
      <w:r>
        <w:rPr>
          <w:color w:val="231F20"/>
          <w:w w:val="105"/>
        </w:rPr>
        <w:t>5</w:t>
      </w:r>
      <w:r>
        <w:rPr>
          <w:color w:val="231F20"/>
          <w:spacing w:val="-12"/>
          <w:w w:val="105"/>
        </w:rPr>
        <w:t> </w:t>
      </w:r>
      <w:r>
        <w:rPr>
          <w:color w:val="231F20"/>
          <w:w w:val="105"/>
        </w:rPr>
        <w:t>percent, </w:t>
      </w:r>
      <w:r>
        <w:rPr>
          <w:color w:val="231F20"/>
        </w:rPr>
        <w:t>investors rushed to shed their cash and ventured into the stock mar- </w:t>
      </w:r>
      <w:r>
        <w:rPr>
          <w:color w:val="231F20"/>
          <w:w w:val="105"/>
        </w:rPr>
        <w:t>ket.</w:t>
      </w:r>
      <w:r>
        <w:rPr>
          <w:color w:val="231F20"/>
          <w:w w:val="105"/>
        </w:rPr>
        <w:t> In</w:t>
      </w:r>
      <w:r>
        <w:rPr>
          <w:color w:val="231F20"/>
          <w:w w:val="105"/>
        </w:rPr>
        <w:t> 2003,</w:t>
      </w:r>
      <w:r>
        <w:rPr>
          <w:color w:val="231F20"/>
          <w:w w:val="105"/>
        </w:rPr>
        <w:t> with</w:t>
      </w:r>
      <w:r>
        <w:rPr>
          <w:color w:val="231F20"/>
          <w:w w:val="105"/>
        </w:rPr>
        <w:t> rates</w:t>
      </w:r>
      <w:r>
        <w:rPr>
          <w:color w:val="231F20"/>
          <w:w w:val="105"/>
        </w:rPr>
        <w:t> at</w:t>
      </w:r>
      <w:r>
        <w:rPr>
          <w:color w:val="231F20"/>
          <w:w w:val="105"/>
        </w:rPr>
        <w:t> 1</w:t>
      </w:r>
      <w:r>
        <w:rPr>
          <w:color w:val="231F20"/>
          <w:w w:val="105"/>
        </w:rPr>
        <w:t> to</w:t>
      </w:r>
      <w:r>
        <w:rPr>
          <w:color w:val="231F20"/>
          <w:w w:val="105"/>
        </w:rPr>
        <w:t> 3</w:t>
      </w:r>
      <w:r>
        <w:rPr>
          <w:color w:val="231F20"/>
          <w:w w:val="105"/>
        </w:rPr>
        <w:t> percent,</w:t>
      </w:r>
      <w:r>
        <w:rPr>
          <w:color w:val="231F20"/>
          <w:w w:val="105"/>
        </w:rPr>
        <w:t> and</w:t>
      </w:r>
      <w:r>
        <w:rPr>
          <w:color w:val="231F20"/>
          <w:w w:val="105"/>
        </w:rPr>
        <w:t> the</w:t>
      </w:r>
      <w:r>
        <w:rPr>
          <w:color w:val="231F20"/>
          <w:w w:val="105"/>
        </w:rPr>
        <w:t> stock</w:t>
      </w:r>
      <w:r>
        <w:rPr>
          <w:color w:val="231F20"/>
          <w:w w:val="105"/>
        </w:rPr>
        <w:t> market </w:t>
      </w:r>
      <w:r>
        <w:rPr>
          <w:color w:val="231F20"/>
        </w:rPr>
        <w:t>somewhat</w:t>
      </w:r>
      <w:r>
        <w:rPr>
          <w:color w:val="231F20"/>
          <w:spacing w:val="-5"/>
        </w:rPr>
        <w:t> </w:t>
      </w:r>
      <w:r>
        <w:rPr>
          <w:color w:val="231F20"/>
        </w:rPr>
        <w:t>risky,</w:t>
      </w:r>
      <w:r>
        <w:rPr>
          <w:color w:val="231F20"/>
          <w:spacing w:val="-5"/>
        </w:rPr>
        <w:t> </w:t>
      </w:r>
      <w:r>
        <w:rPr>
          <w:color w:val="231F20"/>
        </w:rPr>
        <w:t>investors</w:t>
      </w:r>
      <w:r>
        <w:rPr>
          <w:color w:val="231F20"/>
          <w:spacing w:val="-5"/>
        </w:rPr>
        <w:t> </w:t>
      </w:r>
      <w:r>
        <w:rPr>
          <w:color w:val="231F20"/>
        </w:rPr>
        <w:t>rushed</w:t>
      </w:r>
      <w:r>
        <w:rPr>
          <w:color w:val="231F20"/>
          <w:spacing w:val="-5"/>
        </w:rPr>
        <w:t> </w:t>
      </w:r>
      <w:r>
        <w:rPr>
          <w:color w:val="231F20"/>
        </w:rPr>
        <w:t>into</w:t>
      </w:r>
      <w:r>
        <w:rPr>
          <w:color w:val="231F20"/>
          <w:spacing w:val="-5"/>
        </w:rPr>
        <w:t> </w:t>
      </w:r>
      <w:r>
        <w:rPr>
          <w:color w:val="231F20"/>
        </w:rPr>
        <w:t>real</w:t>
      </w:r>
      <w:r>
        <w:rPr>
          <w:color w:val="231F20"/>
          <w:spacing w:val="-5"/>
        </w:rPr>
        <w:t> </w:t>
      </w:r>
      <w:r>
        <w:rPr>
          <w:color w:val="231F20"/>
        </w:rPr>
        <w:t>estate.</w:t>
      </w:r>
      <w:r>
        <w:rPr>
          <w:color w:val="231F20"/>
          <w:spacing w:val="-5"/>
        </w:rPr>
        <w:t> </w:t>
      </w:r>
      <w:r>
        <w:rPr>
          <w:color w:val="231F20"/>
        </w:rPr>
        <w:t>This</w:t>
      </w:r>
      <w:r>
        <w:rPr>
          <w:color w:val="231F20"/>
          <w:spacing w:val="-5"/>
        </w:rPr>
        <w:t> </w:t>
      </w:r>
      <w:r>
        <w:rPr>
          <w:color w:val="231F20"/>
        </w:rPr>
        <w:t>relationship</w:t>
      </w:r>
      <w:r>
        <w:rPr>
          <w:color w:val="231F20"/>
          <w:spacing w:val="-5"/>
        </w:rPr>
        <w:t> </w:t>
      </w:r>
      <w:r>
        <w:rPr>
          <w:color w:val="231F20"/>
        </w:rPr>
        <w:t>is </w:t>
      </w:r>
      <w:r>
        <w:rPr>
          <w:color w:val="231F20"/>
          <w:w w:val="105"/>
        </w:rPr>
        <w:t>illustrated</w:t>
      </w:r>
      <w:r>
        <w:rPr>
          <w:color w:val="231F20"/>
          <w:w w:val="105"/>
        </w:rPr>
        <w:t> by</w:t>
      </w:r>
      <w:r>
        <w:rPr>
          <w:color w:val="231F20"/>
          <w:w w:val="105"/>
        </w:rPr>
        <w:t> an</w:t>
      </w:r>
      <w:r>
        <w:rPr>
          <w:color w:val="231F20"/>
          <w:w w:val="105"/>
        </w:rPr>
        <w:t> upward-sloping</w:t>
      </w:r>
      <w:r>
        <w:rPr>
          <w:color w:val="231F20"/>
          <w:w w:val="105"/>
        </w:rPr>
        <w:t> curve</w:t>
      </w:r>
      <w:r>
        <w:rPr>
          <w:color w:val="231F20"/>
          <w:w w:val="105"/>
        </w:rPr>
        <w:t> called</w:t>
      </w:r>
      <w:r>
        <w:rPr>
          <w:color w:val="231F20"/>
          <w:w w:val="105"/>
        </w:rPr>
        <w:t> the</w:t>
      </w:r>
      <w:r>
        <w:rPr>
          <w:color w:val="231F20"/>
          <w:w w:val="105"/>
        </w:rPr>
        <w:t> </w:t>
      </w:r>
      <w:r>
        <w:rPr>
          <w:i/>
          <w:color w:val="231F20"/>
          <w:w w:val="105"/>
        </w:rPr>
        <w:t>liquidity</w:t>
      </w:r>
      <w:r>
        <w:rPr>
          <w:i/>
          <w:color w:val="231F20"/>
          <w:w w:val="105"/>
        </w:rPr>
        <w:t> and</w:t>
      </w:r>
      <w:r>
        <w:rPr>
          <w:i/>
          <w:color w:val="231F20"/>
          <w:w w:val="105"/>
        </w:rPr>
        <w:t> money</w:t>
      </w:r>
      <w:r>
        <w:rPr>
          <w:i/>
          <w:color w:val="231F20"/>
          <w:spacing w:val="-12"/>
          <w:w w:val="105"/>
        </w:rPr>
        <w:t> </w:t>
      </w:r>
      <w:r>
        <w:rPr>
          <w:i/>
          <w:color w:val="231F20"/>
          <w:w w:val="105"/>
        </w:rPr>
        <w:t>curve</w:t>
      </w:r>
      <w:r>
        <w:rPr>
          <w:i/>
          <w:color w:val="231F20"/>
          <w:spacing w:val="-12"/>
          <w:w w:val="105"/>
        </w:rPr>
        <w:t> </w:t>
      </w:r>
      <w:r>
        <w:rPr>
          <w:color w:val="231F20"/>
          <w:w w:val="105"/>
        </w:rPr>
        <w:t>(LM).</w:t>
      </w:r>
      <w:r>
        <w:rPr>
          <w:color w:val="231F20"/>
          <w:spacing w:val="-11"/>
          <w:w w:val="105"/>
        </w:rPr>
        <w:t> </w:t>
      </w:r>
      <w:r>
        <w:rPr>
          <w:color w:val="231F20"/>
          <w:w w:val="105"/>
        </w:rPr>
        <w:t>At</w:t>
      </w:r>
      <w:r>
        <w:rPr>
          <w:color w:val="231F20"/>
          <w:spacing w:val="-12"/>
          <w:w w:val="105"/>
        </w:rPr>
        <w:t> </w:t>
      </w:r>
      <w:r>
        <w:rPr>
          <w:color w:val="231F20"/>
          <w:w w:val="105"/>
        </w:rPr>
        <w:t>some</w:t>
      </w:r>
      <w:r>
        <w:rPr>
          <w:color w:val="231F20"/>
          <w:spacing w:val="-12"/>
          <w:w w:val="105"/>
        </w:rPr>
        <w:t> </w:t>
      </w:r>
      <w:r>
        <w:rPr>
          <w:color w:val="231F20"/>
          <w:w w:val="105"/>
        </w:rPr>
        <w:t>theoretical</w:t>
      </w:r>
      <w:r>
        <w:rPr>
          <w:color w:val="231F20"/>
          <w:spacing w:val="-11"/>
          <w:w w:val="105"/>
        </w:rPr>
        <w:t> </w:t>
      </w:r>
      <w:r>
        <w:rPr>
          <w:color w:val="231F20"/>
          <w:w w:val="105"/>
        </w:rPr>
        <w:t>point</w:t>
      </w:r>
      <w:r>
        <w:rPr>
          <w:color w:val="231F20"/>
          <w:spacing w:val="-12"/>
          <w:w w:val="105"/>
        </w:rPr>
        <w:t> </w:t>
      </w:r>
      <w:r>
        <w:rPr>
          <w:color w:val="231F20"/>
          <w:w w:val="105"/>
        </w:rPr>
        <w:t>there</w:t>
      </w:r>
      <w:r>
        <w:rPr>
          <w:color w:val="231F20"/>
          <w:spacing w:val="-11"/>
          <w:w w:val="105"/>
        </w:rPr>
        <w:t> </w:t>
      </w:r>
      <w:r>
        <w:rPr>
          <w:color w:val="231F20"/>
          <w:w w:val="105"/>
        </w:rPr>
        <w:t>is</w:t>
      </w:r>
      <w:r>
        <w:rPr>
          <w:color w:val="231F20"/>
          <w:spacing w:val="-12"/>
          <w:w w:val="105"/>
        </w:rPr>
        <w:t> </w:t>
      </w:r>
      <w:r>
        <w:rPr>
          <w:color w:val="231F20"/>
          <w:w w:val="105"/>
        </w:rPr>
        <w:t>an</w:t>
      </w:r>
      <w:r>
        <w:rPr>
          <w:color w:val="231F20"/>
          <w:spacing w:val="-12"/>
          <w:w w:val="105"/>
        </w:rPr>
        <w:t> </w:t>
      </w:r>
      <w:r>
        <w:rPr>
          <w:color w:val="231F20"/>
          <w:spacing w:val="-2"/>
        </w:rPr>
        <w:t>equilibrium</w:t>
      </w:r>
    </w:p>
    <w:p>
      <w:pPr>
        <w:spacing w:after="0" w:line="292" w:lineRule="auto"/>
        <w:jc w:val="both"/>
        <w:sectPr>
          <w:type w:val="continuous"/>
          <w:pgSz w:w="8640" w:h="12960"/>
          <w:pgMar w:header="732" w:footer="0" w:top="1220" w:bottom="280" w:left="340" w:right="500"/>
        </w:sectPr>
      </w:pPr>
    </w:p>
    <w:p>
      <w:pPr>
        <w:pStyle w:val="BodyText"/>
        <w:spacing w:before="8"/>
        <w:rPr>
          <w:sz w:val="23"/>
        </w:rPr>
      </w:pPr>
    </w:p>
    <w:p>
      <w:pPr>
        <w:pStyle w:val="BodyText"/>
        <w:ind w:left="813"/>
        <w:rPr>
          <w:sz w:val="20"/>
        </w:rPr>
      </w:pPr>
      <w:r>
        <w:rPr>
          <w:sz w:val="20"/>
        </w:rPr>
        <w:drawing>
          <wp:inline distT="0" distB="0" distL="0" distR="0">
            <wp:extent cx="4003952" cy="2584704"/>
            <wp:effectExtent l="0" t="0" r="0" b="0"/>
            <wp:docPr id="131" name="image76.png"/>
            <wp:cNvGraphicFramePr>
              <a:graphicFrameLocks noChangeAspect="1"/>
            </wp:cNvGraphicFramePr>
            <a:graphic>
              <a:graphicData uri="http://schemas.openxmlformats.org/drawingml/2006/picture">
                <pic:pic>
                  <pic:nvPicPr>
                    <pic:cNvPr id="132" name="image76.png"/>
                    <pic:cNvPicPr/>
                  </pic:nvPicPr>
                  <pic:blipFill>
                    <a:blip r:embed="rId114" cstate="print"/>
                    <a:stretch>
                      <a:fillRect/>
                    </a:stretch>
                  </pic:blipFill>
                  <pic:spPr>
                    <a:xfrm>
                      <a:off x="0" y="0"/>
                      <a:ext cx="4003952" cy="2584704"/>
                    </a:xfrm>
                    <a:prstGeom prst="rect">
                      <a:avLst/>
                    </a:prstGeom>
                  </pic:spPr>
                </pic:pic>
              </a:graphicData>
            </a:graphic>
          </wp:inline>
        </w:drawing>
      </w:r>
      <w:r>
        <w:rPr>
          <w:sz w:val="20"/>
        </w:rPr>
      </w:r>
    </w:p>
    <w:p>
      <w:pPr>
        <w:pStyle w:val="BodyText"/>
        <w:rPr>
          <w:sz w:val="20"/>
        </w:rPr>
      </w:pPr>
    </w:p>
    <w:p>
      <w:pPr>
        <w:pStyle w:val="BodyText"/>
        <w:spacing w:before="4"/>
        <w:rPr>
          <w:sz w:val="19"/>
        </w:rPr>
      </w:pPr>
    </w:p>
    <w:p>
      <w:pPr>
        <w:pStyle w:val="BodyText"/>
        <w:spacing w:line="292" w:lineRule="auto" w:before="1"/>
        <w:ind w:left="830" w:right="757"/>
        <w:jc w:val="both"/>
      </w:pPr>
      <w:r>
        <w:rPr>
          <w:color w:val="231F20"/>
        </w:rPr>
        <w:t>point where the IS and LM curves meet at an equilibrium interest</w:t>
      </w:r>
      <w:r>
        <w:rPr>
          <w:color w:val="231F20"/>
          <w:spacing w:val="40"/>
        </w:rPr>
        <w:t> </w:t>
      </w:r>
      <w:r>
        <w:rPr>
          <w:color w:val="231F20"/>
        </w:rPr>
        <w:t>rate and a level of GNP.</w:t>
      </w:r>
    </w:p>
    <w:p>
      <w:pPr>
        <w:pStyle w:val="BodyText"/>
        <w:spacing w:line="292" w:lineRule="auto"/>
        <w:ind w:left="829" w:right="756" w:firstLine="340"/>
        <w:jc w:val="both"/>
      </w:pPr>
      <w:r>
        <w:rPr>
          <w:color w:val="231F20"/>
        </w:rPr>
        <w:t>The IS/LM curve is not fixed. It can change. If spending </w:t>
      </w:r>
      <w:r>
        <w:rPr>
          <w:color w:val="231F20"/>
        </w:rPr>
        <w:t>increases due to pump priming by the government during a recession, people will spend more in the aggregate. In this case, the entire IS curve will shift upward, resulting in higher interest rates and a higher GNP. If the money supply were also to be increased by the right proportion to accommodate the increase in spending, then interest rates could remain the same. That’s in theory, of course.</w:t>
      </w:r>
    </w:p>
    <w:p>
      <w:pPr>
        <w:pStyle w:val="BodyText"/>
        <w:spacing w:line="292" w:lineRule="auto"/>
        <w:ind w:left="829" w:right="756" w:firstLine="340"/>
        <w:jc w:val="both"/>
      </w:pPr>
      <w:r>
        <w:rPr>
          <w:color w:val="231F20"/>
        </w:rPr>
        <w:t>There is not a single interest rate for the whole economy, nor can an accurate picture of how consumer spending responds to </w:t>
      </w:r>
      <w:r>
        <w:rPr>
          <w:color w:val="231F20"/>
        </w:rPr>
        <w:t>interest rates be drawn. That’s why this is economics. The IS/LM curve is not precise; it does, however, illustrate a relationship that makes logical </w:t>
      </w:r>
      <w:r>
        <w:rPr>
          <w:color w:val="231F20"/>
          <w:spacing w:val="-2"/>
        </w:rPr>
        <w:t>sense.</w:t>
      </w:r>
    </w:p>
    <w:p>
      <w:pPr>
        <w:pStyle w:val="BodyText"/>
        <w:rPr>
          <w:sz w:val="24"/>
        </w:rPr>
      </w:pPr>
    </w:p>
    <w:p>
      <w:pPr>
        <w:pStyle w:val="BodyText"/>
        <w:spacing w:before="8"/>
        <w:rPr>
          <w:sz w:val="26"/>
        </w:rPr>
      </w:pPr>
    </w:p>
    <w:p>
      <w:pPr>
        <w:pStyle w:val="Heading6"/>
        <w:ind w:left="299"/>
        <w:rPr>
          <w:i/>
        </w:rPr>
      </w:pPr>
      <w:r>
        <w:rPr>
          <w:i/>
          <w:color w:val="231F20"/>
          <w:w w:val="110"/>
        </w:rPr>
        <w:t>ECONOMIC</w:t>
      </w:r>
      <w:r>
        <w:rPr>
          <w:i/>
          <w:color w:val="231F20"/>
          <w:spacing w:val="66"/>
          <w:w w:val="110"/>
        </w:rPr>
        <w:t> </w:t>
      </w:r>
      <w:r>
        <w:rPr>
          <w:i/>
          <w:color w:val="231F20"/>
          <w:w w:val="110"/>
        </w:rPr>
        <w:t>GROWTH</w:t>
      </w:r>
      <w:r>
        <w:rPr>
          <w:i/>
          <w:color w:val="231F20"/>
          <w:spacing w:val="66"/>
          <w:w w:val="110"/>
        </w:rPr>
        <w:t> </w:t>
      </w:r>
      <w:r>
        <w:rPr>
          <w:i/>
          <w:color w:val="231F20"/>
          <w:w w:val="110"/>
        </w:rPr>
        <w:t>AND</w:t>
      </w:r>
      <w:r>
        <w:rPr>
          <w:i/>
          <w:color w:val="231F20"/>
          <w:spacing w:val="66"/>
          <w:w w:val="110"/>
        </w:rPr>
        <w:t> </w:t>
      </w:r>
      <w:r>
        <w:rPr>
          <w:i/>
          <w:color w:val="231F20"/>
          <w:w w:val="110"/>
        </w:rPr>
        <w:t>THE</w:t>
      </w:r>
      <w:r>
        <w:rPr>
          <w:i/>
          <w:color w:val="231F20"/>
          <w:spacing w:val="66"/>
          <w:w w:val="110"/>
        </w:rPr>
        <w:t> </w:t>
      </w:r>
      <w:r>
        <w:rPr>
          <w:i/>
          <w:color w:val="231F20"/>
          <w:w w:val="110"/>
        </w:rPr>
        <w:t>MONETARIST</w:t>
      </w:r>
      <w:r>
        <w:rPr>
          <w:i/>
          <w:color w:val="231F20"/>
          <w:spacing w:val="66"/>
          <w:w w:val="110"/>
        </w:rPr>
        <w:t> </w:t>
      </w:r>
      <w:r>
        <w:rPr>
          <w:i/>
          <w:color w:val="231F20"/>
          <w:spacing w:val="6"/>
          <w:w w:val="110"/>
        </w:rPr>
        <w:t>VIEW</w:t>
      </w:r>
    </w:p>
    <w:p>
      <w:pPr>
        <w:pStyle w:val="BodyText"/>
        <w:spacing w:before="2"/>
        <w:rPr>
          <w:b/>
          <w:i/>
          <w:sz w:val="30"/>
        </w:rPr>
      </w:pPr>
    </w:p>
    <w:p>
      <w:pPr>
        <w:pStyle w:val="BodyText"/>
        <w:spacing w:line="292" w:lineRule="auto" w:before="1"/>
        <w:ind w:left="830" w:right="756"/>
        <w:jc w:val="both"/>
      </w:pPr>
      <w:r>
        <w:rPr>
          <w:i/>
          <w:color w:val="231F20"/>
        </w:rPr>
        <w:t>What Is Money? </w:t>
      </w:r>
      <w:r>
        <w:rPr>
          <w:color w:val="231F20"/>
        </w:rPr>
        <w:t>To begin a discussion on the monetarists, you </w:t>
      </w:r>
      <w:r>
        <w:rPr>
          <w:color w:val="231F20"/>
        </w:rPr>
        <w:t>need</w:t>
      </w:r>
      <w:r>
        <w:rPr>
          <w:color w:val="231F20"/>
          <w:spacing w:val="40"/>
        </w:rPr>
        <w:t> </w:t>
      </w:r>
      <w:r>
        <w:rPr>
          <w:color w:val="231F20"/>
        </w:rPr>
        <w:t>to know what they are talking about when they speak of what is dearest</w:t>
      </w:r>
      <w:r>
        <w:rPr>
          <w:color w:val="231F20"/>
          <w:spacing w:val="27"/>
        </w:rPr>
        <w:t> </w:t>
      </w:r>
      <w:r>
        <w:rPr>
          <w:color w:val="231F20"/>
        </w:rPr>
        <w:t>to</w:t>
      </w:r>
      <w:r>
        <w:rPr>
          <w:color w:val="231F20"/>
          <w:spacing w:val="28"/>
        </w:rPr>
        <w:t> </w:t>
      </w:r>
      <w:r>
        <w:rPr>
          <w:color w:val="231F20"/>
        </w:rPr>
        <w:t>their</w:t>
      </w:r>
      <w:r>
        <w:rPr>
          <w:color w:val="231F20"/>
          <w:spacing w:val="27"/>
        </w:rPr>
        <w:t> </w:t>
      </w:r>
      <w:r>
        <w:rPr>
          <w:color w:val="231F20"/>
        </w:rPr>
        <w:t>hearts—</w:t>
      </w:r>
      <w:r>
        <w:rPr>
          <w:color w:val="231F20"/>
          <w:spacing w:val="-24"/>
        </w:rPr>
        <w:t> </w:t>
      </w:r>
      <w:r>
        <w:rPr>
          <w:i/>
          <w:color w:val="231F20"/>
        </w:rPr>
        <w:t>money.</w:t>
      </w:r>
      <w:r>
        <w:rPr>
          <w:i/>
          <w:color w:val="231F20"/>
          <w:spacing w:val="27"/>
        </w:rPr>
        <w:t> </w:t>
      </w:r>
      <w:r>
        <w:rPr>
          <w:color w:val="231F20"/>
        </w:rPr>
        <w:t>Money</w:t>
      </w:r>
      <w:r>
        <w:rPr>
          <w:color w:val="231F20"/>
          <w:spacing w:val="28"/>
        </w:rPr>
        <w:t> </w:t>
      </w:r>
      <w:r>
        <w:rPr>
          <w:color w:val="231F20"/>
        </w:rPr>
        <w:t>is</w:t>
      </w:r>
      <w:r>
        <w:rPr>
          <w:color w:val="231F20"/>
          <w:spacing w:val="27"/>
        </w:rPr>
        <w:t> </w:t>
      </w:r>
      <w:r>
        <w:rPr>
          <w:color w:val="231F20"/>
        </w:rPr>
        <w:t>the</w:t>
      </w:r>
      <w:r>
        <w:rPr>
          <w:color w:val="231F20"/>
          <w:spacing w:val="28"/>
        </w:rPr>
        <w:t> </w:t>
      </w:r>
      <w:r>
        <w:rPr>
          <w:color w:val="231F20"/>
        </w:rPr>
        <w:t>medium</w:t>
      </w:r>
      <w:r>
        <w:rPr>
          <w:color w:val="231F20"/>
          <w:spacing w:val="27"/>
        </w:rPr>
        <w:t> </w:t>
      </w:r>
      <w:r>
        <w:rPr>
          <w:color w:val="231F20"/>
        </w:rPr>
        <w:t>of</w:t>
      </w:r>
      <w:r>
        <w:rPr>
          <w:color w:val="231F20"/>
          <w:spacing w:val="28"/>
        </w:rPr>
        <w:t> </w:t>
      </w:r>
      <w:r>
        <w:rPr>
          <w:color w:val="231F20"/>
          <w:spacing w:val="-2"/>
        </w:rPr>
        <w:t>exchange</w:t>
      </w:r>
    </w:p>
    <w:p>
      <w:pPr>
        <w:spacing w:after="0" w:line="292" w:lineRule="auto"/>
        <w:jc w:val="both"/>
        <w:sectPr>
          <w:pgSz w:w="8640" w:h="12960"/>
          <w:pgMar w:header="732" w:footer="0" w:top="920" w:bottom="280" w:left="340" w:right="500"/>
        </w:sectPr>
      </w:pPr>
    </w:p>
    <w:p>
      <w:pPr>
        <w:pStyle w:val="BodyText"/>
        <w:spacing w:before="8"/>
        <w:rPr>
          <w:sz w:val="19"/>
        </w:rPr>
      </w:pPr>
    </w:p>
    <w:p>
      <w:pPr>
        <w:spacing w:before="96"/>
        <w:ind w:left="473" w:right="219" w:firstLine="0"/>
        <w:jc w:val="center"/>
        <w:rPr>
          <w:rFonts w:ascii="Arial"/>
          <w:sz w:val="14"/>
        </w:rPr>
      </w:pPr>
      <w:r>
        <w:rPr>
          <w:rFonts w:ascii="Arial"/>
          <w:color w:val="231F20"/>
          <w:w w:val="105"/>
          <w:sz w:val="14"/>
        </w:rPr>
        <w:t>THE</w:t>
      </w:r>
      <w:r>
        <w:rPr>
          <w:rFonts w:ascii="Arial"/>
          <w:color w:val="231F20"/>
          <w:spacing w:val="31"/>
          <w:w w:val="105"/>
          <w:sz w:val="14"/>
        </w:rPr>
        <w:t> </w:t>
      </w:r>
      <w:r>
        <w:rPr>
          <w:rFonts w:ascii="Arial"/>
          <w:color w:val="231F20"/>
          <w:w w:val="105"/>
          <w:sz w:val="14"/>
        </w:rPr>
        <w:t>IS/LM</w:t>
      </w:r>
      <w:r>
        <w:rPr>
          <w:rFonts w:ascii="Arial"/>
          <w:color w:val="231F20"/>
          <w:spacing w:val="31"/>
          <w:w w:val="105"/>
          <w:sz w:val="14"/>
        </w:rPr>
        <w:t> </w:t>
      </w:r>
      <w:r>
        <w:rPr>
          <w:rFonts w:ascii="Arial"/>
          <w:color w:val="231F20"/>
          <w:spacing w:val="-2"/>
          <w:w w:val="105"/>
          <w:sz w:val="14"/>
        </w:rPr>
        <w:t>CURVE</w:t>
      </w:r>
    </w:p>
    <w:p>
      <w:pPr>
        <w:pStyle w:val="BodyText"/>
        <w:spacing w:before="10"/>
        <w:rPr>
          <w:rFonts w:ascii="Arial"/>
          <w:sz w:val="15"/>
        </w:rPr>
      </w:pPr>
      <w:r>
        <w:rPr/>
        <w:drawing>
          <wp:anchor distT="0" distB="0" distL="0" distR="0" allowOverlap="1" layoutInCell="1" locked="0" behindDoc="0" simplePos="0" relativeHeight="362">
            <wp:simplePos x="0" y="0"/>
            <wp:positionH relativeFrom="page">
              <wp:posOffset>1095498</wp:posOffset>
            </wp:positionH>
            <wp:positionV relativeFrom="paragraph">
              <wp:posOffset>131671</wp:posOffset>
            </wp:positionV>
            <wp:extent cx="3332434" cy="2633472"/>
            <wp:effectExtent l="0" t="0" r="0" b="0"/>
            <wp:wrapTopAndBottom/>
            <wp:docPr id="133" name="image77.png"/>
            <wp:cNvGraphicFramePr>
              <a:graphicFrameLocks noChangeAspect="1"/>
            </wp:cNvGraphicFramePr>
            <a:graphic>
              <a:graphicData uri="http://schemas.openxmlformats.org/drawingml/2006/picture">
                <pic:pic>
                  <pic:nvPicPr>
                    <pic:cNvPr id="134" name="image77.png"/>
                    <pic:cNvPicPr/>
                  </pic:nvPicPr>
                  <pic:blipFill>
                    <a:blip r:embed="rId115" cstate="print"/>
                    <a:stretch>
                      <a:fillRect/>
                    </a:stretch>
                  </pic:blipFill>
                  <pic:spPr>
                    <a:xfrm>
                      <a:off x="0" y="0"/>
                      <a:ext cx="3332434" cy="2633472"/>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2"/>
        <w:rPr>
          <w:rFonts w:ascii="Arial"/>
          <w:sz w:val="12"/>
        </w:rPr>
      </w:pPr>
    </w:p>
    <w:p>
      <w:pPr>
        <w:spacing w:before="0"/>
        <w:ind w:left="473" w:right="219" w:firstLine="0"/>
        <w:jc w:val="center"/>
        <w:rPr>
          <w:rFonts w:ascii="Arial"/>
          <w:sz w:val="14"/>
        </w:rPr>
      </w:pPr>
      <w:r>
        <w:rPr>
          <w:rFonts w:ascii="Arial"/>
          <w:color w:val="231F20"/>
          <w:w w:val="105"/>
          <w:sz w:val="14"/>
        </w:rPr>
        <w:t>THE</w:t>
      </w:r>
      <w:r>
        <w:rPr>
          <w:rFonts w:ascii="Arial"/>
          <w:color w:val="231F20"/>
          <w:spacing w:val="31"/>
          <w:w w:val="105"/>
          <w:sz w:val="14"/>
        </w:rPr>
        <w:t> </w:t>
      </w:r>
      <w:r>
        <w:rPr>
          <w:rFonts w:ascii="Arial"/>
          <w:color w:val="231F20"/>
          <w:w w:val="105"/>
          <w:sz w:val="14"/>
        </w:rPr>
        <w:t>IS/LM</w:t>
      </w:r>
      <w:r>
        <w:rPr>
          <w:rFonts w:ascii="Arial"/>
          <w:color w:val="231F20"/>
          <w:spacing w:val="31"/>
          <w:w w:val="105"/>
          <w:sz w:val="14"/>
        </w:rPr>
        <w:t> </w:t>
      </w:r>
      <w:r>
        <w:rPr>
          <w:rFonts w:ascii="Arial"/>
          <w:color w:val="231F20"/>
          <w:spacing w:val="-2"/>
          <w:w w:val="105"/>
          <w:sz w:val="14"/>
        </w:rPr>
        <w:t>CURVE</w:t>
      </w:r>
    </w:p>
    <w:p>
      <w:pPr>
        <w:pStyle w:val="BodyText"/>
        <w:spacing w:before="2"/>
        <w:rPr>
          <w:rFonts w:ascii="Arial"/>
          <w:sz w:val="15"/>
        </w:rPr>
      </w:pPr>
      <w:r>
        <w:rPr/>
        <w:drawing>
          <wp:anchor distT="0" distB="0" distL="0" distR="0" allowOverlap="1" layoutInCell="1" locked="0" behindDoc="0" simplePos="0" relativeHeight="363">
            <wp:simplePos x="0" y="0"/>
            <wp:positionH relativeFrom="page">
              <wp:posOffset>1096704</wp:posOffset>
            </wp:positionH>
            <wp:positionV relativeFrom="paragraph">
              <wp:posOffset>126190</wp:posOffset>
            </wp:positionV>
            <wp:extent cx="3462954" cy="2383536"/>
            <wp:effectExtent l="0" t="0" r="0" b="0"/>
            <wp:wrapTopAndBottom/>
            <wp:docPr id="135" name="image78.png"/>
            <wp:cNvGraphicFramePr>
              <a:graphicFrameLocks noChangeAspect="1"/>
            </wp:cNvGraphicFramePr>
            <a:graphic>
              <a:graphicData uri="http://schemas.openxmlformats.org/drawingml/2006/picture">
                <pic:pic>
                  <pic:nvPicPr>
                    <pic:cNvPr id="136" name="image78.png"/>
                    <pic:cNvPicPr/>
                  </pic:nvPicPr>
                  <pic:blipFill>
                    <a:blip r:embed="rId116" cstate="print"/>
                    <a:stretch>
                      <a:fillRect/>
                    </a:stretch>
                  </pic:blipFill>
                  <pic:spPr>
                    <a:xfrm>
                      <a:off x="0" y="0"/>
                      <a:ext cx="3462954" cy="2383536"/>
                    </a:xfrm>
                    <a:prstGeom prst="rect">
                      <a:avLst/>
                    </a:prstGeom>
                  </pic:spPr>
                </pic:pic>
              </a:graphicData>
            </a:graphic>
          </wp:anchor>
        </w:drawing>
      </w:r>
    </w:p>
    <w:p>
      <w:pPr>
        <w:spacing w:after="0"/>
        <w:rPr>
          <w:rFonts w:ascii="Arial"/>
          <w:sz w:val="15"/>
        </w:rPr>
        <w:sectPr>
          <w:pgSz w:w="8640" w:h="12960"/>
          <w:pgMar w:header="734" w:footer="0" w:top="920" w:bottom="280" w:left="340" w:right="500"/>
        </w:sectPr>
      </w:pPr>
    </w:p>
    <w:p>
      <w:pPr>
        <w:pStyle w:val="BodyText"/>
        <w:spacing w:before="2"/>
        <w:rPr>
          <w:rFonts w:ascii="Arial"/>
          <w:sz w:val="18"/>
        </w:rPr>
      </w:pPr>
    </w:p>
    <w:p>
      <w:pPr>
        <w:pStyle w:val="BodyText"/>
        <w:spacing w:line="292" w:lineRule="auto" w:before="102"/>
        <w:ind w:left="830" w:right="756"/>
        <w:jc w:val="both"/>
      </w:pPr>
      <w:r>
        <w:rPr>
          <w:color w:val="231F20"/>
        </w:rPr>
        <w:t>to buy and sell goods and services. Sounds simple, but is money just cash? No. When economists speak about measuring the money </w:t>
      </w:r>
      <w:r>
        <w:rPr>
          <w:color w:val="231F20"/>
        </w:rPr>
        <w:t>sup- ply, they also include the “money equivalents” such as checking ac- count balances and money market funds.</w:t>
      </w:r>
    </w:p>
    <w:p>
      <w:pPr>
        <w:pStyle w:val="BodyText"/>
        <w:spacing w:line="292" w:lineRule="auto"/>
        <w:ind w:left="829" w:right="754" w:firstLine="340"/>
        <w:jc w:val="both"/>
      </w:pPr>
      <w:r>
        <w:rPr>
          <w:color w:val="231F20"/>
        </w:rPr>
        <w:t>The money supply is referred to as </w:t>
      </w:r>
      <w:r>
        <w:rPr>
          <w:i/>
          <w:color w:val="231F20"/>
        </w:rPr>
        <w:t>M1 </w:t>
      </w:r>
      <w:r>
        <w:rPr>
          <w:color w:val="231F20"/>
        </w:rPr>
        <w:t>and </w:t>
      </w:r>
      <w:r>
        <w:rPr>
          <w:i/>
          <w:color w:val="231F20"/>
        </w:rPr>
        <w:t>M2. </w:t>
      </w:r>
      <w:r>
        <w:rPr>
          <w:color w:val="231F20"/>
        </w:rPr>
        <w:t>M1, the most ac- cessible money, includes only cash, checking account balances, and nonbank traveler’s checks. M2 includes M1’s components plus </w:t>
      </w:r>
      <w:r>
        <w:rPr>
          <w:color w:val="231F20"/>
        </w:rPr>
        <w:t>sav- ings</w:t>
      </w:r>
      <w:r>
        <w:rPr>
          <w:color w:val="231F20"/>
          <w:spacing w:val="56"/>
        </w:rPr>
        <w:t> </w:t>
      </w:r>
      <w:r>
        <w:rPr>
          <w:color w:val="231F20"/>
        </w:rPr>
        <w:t>and</w:t>
      </w:r>
      <w:r>
        <w:rPr>
          <w:color w:val="231F20"/>
          <w:spacing w:val="57"/>
        </w:rPr>
        <w:t> </w:t>
      </w:r>
      <w:r>
        <w:rPr>
          <w:color w:val="231F20"/>
        </w:rPr>
        <w:t>money</w:t>
      </w:r>
      <w:r>
        <w:rPr>
          <w:color w:val="231F20"/>
          <w:spacing w:val="57"/>
        </w:rPr>
        <w:t> </w:t>
      </w:r>
      <w:r>
        <w:rPr>
          <w:color w:val="231F20"/>
        </w:rPr>
        <w:t>market</w:t>
      </w:r>
      <w:r>
        <w:rPr>
          <w:color w:val="231F20"/>
          <w:spacing w:val="57"/>
        </w:rPr>
        <w:t> </w:t>
      </w:r>
      <w:r>
        <w:rPr>
          <w:color w:val="231F20"/>
        </w:rPr>
        <w:t>accounts.</w:t>
      </w:r>
      <w:r>
        <w:rPr>
          <w:color w:val="231F20"/>
          <w:spacing w:val="57"/>
        </w:rPr>
        <w:t> </w:t>
      </w:r>
      <w:r>
        <w:rPr>
          <w:color w:val="231F20"/>
        </w:rPr>
        <w:t>In</w:t>
      </w:r>
      <w:r>
        <w:rPr>
          <w:color w:val="231F20"/>
          <w:spacing w:val="56"/>
        </w:rPr>
        <w:t> </w:t>
      </w:r>
      <w:r>
        <w:rPr>
          <w:color w:val="231F20"/>
        </w:rPr>
        <w:t>2004,</w:t>
      </w:r>
      <w:r>
        <w:rPr>
          <w:color w:val="231F20"/>
          <w:spacing w:val="57"/>
        </w:rPr>
        <w:t> </w:t>
      </w:r>
      <w:r>
        <w:rPr>
          <w:color w:val="231F20"/>
        </w:rPr>
        <w:t>M1</w:t>
      </w:r>
      <w:r>
        <w:rPr>
          <w:color w:val="231F20"/>
          <w:spacing w:val="57"/>
        </w:rPr>
        <w:t> </w:t>
      </w:r>
      <w:r>
        <w:rPr>
          <w:color w:val="231F20"/>
        </w:rPr>
        <w:t>and</w:t>
      </w:r>
      <w:r>
        <w:rPr>
          <w:color w:val="231F20"/>
          <w:spacing w:val="57"/>
        </w:rPr>
        <w:t> </w:t>
      </w:r>
      <w:r>
        <w:rPr>
          <w:color w:val="231F20"/>
        </w:rPr>
        <w:t>M2</w:t>
      </w:r>
      <w:r>
        <w:rPr>
          <w:color w:val="231F20"/>
          <w:spacing w:val="57"/>
        </w:rPr>
        <w:t> </w:t>
      </w:r>
      <w:r>
        <w:rPr>
          <w:color w:val="231F20"/>
          <w:spacing w:val="-2"/>
        </w:rPr>
        <w:t>equaled</w:t>
      </w:r>
    </w:p>
    <w:p>
      <w:pPr>
        <w:pStyle w:val="BodyText"/>
        <w:spacing w:line="292" w:lineRule="auto"/>
        <w:ind w:left="829" w:right="757"/>
        <w:jc w:val="both"/>
      </w:pPr>
      <w:r>
        <w:rPr>
          <w:color w:val="231F20"/>
        </w:rPr>
        <w:t>$1.3 trillion and $6.3 trillion respectively. The government closely monitors M1 and M2 money supply to gauge the economy’s de-</w:t>
      </w:r>
      <w:r>
        <w:rPr>
          <w:color w:val="231F20"/>
          <w:spacing w:val="80"/>
        </w:rPr>
        <w:t> </w:t>
      </w:r>
      <w:r>
        <w:rPr>
          <w:color w:val="231F20"/>
        </w:rPr>
        <w:t>mand for money, and hence, its health.</w:t>
      </w:r>
    </w:p>
    <w:p>
      <w:pPr>
        <w:pStyle w:val="BodyText"/>
        <w:spacing w:before="3"/>
        <w:rPr>
          <w:sz w:val="25"/>
        </w:rPr>
      </w:pPr>
    </w:p>
    <w:p>
      <w:pPr>
        <w:spacing w:line="292" w:lineRule="auto" w:before="0"/>
        <w:ind w:left="829" w:right="753" w:firstLine="0"/>
        <w:jc w:val="both"/>
        <w:rPr>
          <w:i/>
          <w:sz w:val="21"/>
        </w:rPr>
      </w:pPr>
      <w:r>
        <w:rPr>
          <w:i/>
          <w:color w:val="231F20"/>
          <w:w w:val="105"/>
          <w:sz w:val="21"/>
        </w:rPr>
        <w:t>The</w:t>
      </w:r>
      <w:r>
        <w:rPr>
          <w:i/>
          <w:color w:val="231F20"/>
          <w:w w:val="105"/>
          <w:sz w:val="21"/>
        </w:rPr>
        <w:t> Quantity</w:t>
      </w:r>
      <w:r>
        <w:rPr>
          <w:i/>
          <w:color w:val="231F20"/>
          <w:w w:val="105"/>
          <w:sz w:val="21"/>
        </w:rPr>
        <w:t> Theory</w:t>
      </w:r>
      <w:r>
        <w:rPr>
          <w:i/>
          <w:color w:val="231F20"/>
          <w:w w:val="105"/>
          <w:sz w:val="21"/>
        </w:rPr>
        <w:t> Equation</w:t>
      </w:r>
      <w:r>
        <w:rPr>
          <w:i/>
          <w:color w:val="231F20"/>
          <w:w w:val="105"/>
          <w:sz w:val="21"/>
        </w:rPr>
        <w:t> of</w:t>
      </w:r>
      <w:r>
        <w:rPr>
          <w:i/>
          <w:color w:val="231F20"/>
          <w:w w:val="105"/>
          <w:sz w:val="21"/>
        </w:rPr>
        <w:t> Money.</w:t>
      </w:r>
      <w:r>
        <w:rPr>
          <w:i/>
          <w:color w:val="231F20"/>
          <w:w w:val="105"/>
          <w:sz w:val="21"/>
        </w:rPr>
        <w:t> </w:t>
      </w:r>
      <w:r>
        <w:rPr>
          <w:color w:val="231F20"/>
          <w:w w:val="105"/>
          <w:sz w:val="21"/>
        </w:rPr>
        <w:t>Whereas</w:t>
      </w:r>
      <w:r>
        <w:rPr>
          <w:color w:val="231F20"/>
          <w:w w:val="105"/>
          <w:sz w:val="21"/>
        </w:rPr>
        <w:t> Keynes</w:t>
      </w:r>
      <w:r>
        <w:rPr>
          <w:color w:val="231F20"/>
          <w:w w:val="105"/>
          <w:sz w:val="21"/>
        </w:rPr>
        <w:t> ad- </w:t>
      </w:r>
      <w:r>
        <w:rPr>
          <w:color w:val="231F20"/>
          <w:sz w:val="21"/>
        </w:rPr>
        <w:t>dresses the monetary dimension of the economy with the LM curve, </w:t>
      </w:r>
      <w:r>
        <w:rPr>
          <w:color w:val="231F20"/>
          <w:w w:val="105"/>
          <w:sz w:val="21"/>
        </w:rPr>
        <w:t>monetarists consider money the main </w:t>
      </w:r>
      <w:r>
        <w:rPr>
          <w:i/>
          <w:color w:val="231F20"/>
          <w:w w:val="105"/>
          <w:sz w:val="21"/>
        </w:rPr>
        <w:t>driver </w:t>
      </w:r>
      <w:r>
        <w:rPr>
          <w:color w:val="231F20"/>
          <w:w w:val="105"/>
          <w:sz w:val="21"/>
        </w:rPr>
        <w:t>of GNP. The </w:t>
      </w:r>
      <w:r>
        <w:rPr>
          <w:i/>
          <w:color w:val="231F20"/>
          <w:w w:val="105"/>
          <w:sz w:val="21"/>
        </w:rPr>
        <w:t>Quantity</w:t>
      </w:r>
      <w:r>
        <w:rPr>
          <w:i/>
          <w:color w:val="231F20"/>
          <w:w w:val="105"/>
          <w:sz w:val="21"/>
        </w:rPr>
        <w:t> Theory</w:t>
      </w:r>
      <w:r>
        <w:rPr>
          <w:i/>
          <w:color w:val="231F20"/>
          <w:w w:val="105"/>
          <w:sz w:val="21"/>
        </w:rPr>
        <w:t> Equation</w:t>
      </w:r>
      <w:r>
        <w:rPr>
          <w:i/>
          <w:color w:val="231F20"/>
          <w:w w:val="105"/>
          <w:sz w:val="21"/>
        </w:rPr>
        <w:t> </w:t>
      </w:r>
      <w:r>
        <w:rPr>
          <w:color w:val="231F20"/>
          <w:w w:val="105"/>
          <w:sz w:val="21"/>
        </w:rPr>
        <w:t>explains</w:t>
      </w:r>
      <w:r>
        <w:rPr>
          <w:color w:val="231F20"/>
          <w:w w:val="105"/>
          <w:sz w:val="21"/>
        </w:rPr>
        <w:t> the</w:t>
      </w:r>
      <w:r>
        <w:rPr>
          <w:color w:val="231F20"/>
          <w:w w:val="105"/>
          <w:sz w:val="21"/>
        </w:rPr>
        <w:t> monetarists’</w:t>
      </w:r>
      <w:r>
        <w:rPr>
          <w:color w:val="231F20"/>
          <w:w w:val="105"/>
          <w:sz w:val="21"/>
        </w:rPr>
        <w:t> position.</w:t>
      </w:r>
      <w:r>
        <w:rPr>
          <w:color w:val="231F20"/>
          <w:w w:val="105"/>
          <w:sz w:val="21"/>
        </w:rPr>
        <w:t> Changes</w:t>
      </w:r>
      <w:r>
        <w:rPr>
          <w:color w:val="231F20"/>
          <w:w w:val="105"/>
          <w:sz w:val="21"/>
        </w:rPr>
        <w:t> in money supply cause direct changes in </w:t>
      </w:r>
      <w:r>
        <w:rPr>
          <w:i/>
          <w:color w:val="231F20"/>
          <w:w w:val="105"/>
          <w:sz w:val="21"/>
        </w:rPr>
        <w:t>nominal GNP:</w:t>
      </w:r>
    </w:p>
    <w:p>
      <w:pPr>
        <w:pStyle w:val="BodyText"/>
        <w:spacing w:before="5"/>
        <w:rPr>
          <w:i/>
          <w:sz w:val="24"/>
        </w:rPr>
      </w:pPr>
    </w:p>
    <w:p>
      <w:pPr>
        <w:pStyle w:val="BodyText"/>
        <w:ind w:left="1930"/>
      </w:pPr>
      <w:r>
        <w:rPr>
          <w:color w:val="231F20"/>
          <w:w w:val="110"/>
        </w:rPr>
        <w:t>M</w:t>
      </w:r>
      <w:r>
        <w:rPr>
          <w:color w:val="231F20"/>
          <w:spacing w:val="6"/>
          <w:w w:val="110"/>
        </w:rPr>
        <w:t> </w:t>
      </w:r>
      <w:r>
        <w:rPr>
          <w:rFonts w:ascii="Symbol" w:hAnsi="Symbol"/>
          <w:color w:val="231F20"/>
          <w:w w:val="110"/>
        </w:rPr>
        <w:t></w:t>
      </w:r>
      <w:r>
        <w:rPr>
          <w:rFonts w:ascii="Times New Roman" w:hAnsi="Times New Roman"/>
          <w:color w:val="231F20"/>
          <w:w w:val="110"/>
        </w:rPr>
        <w:t> </w:t>
      </w:r>
      <w:r>
        <w:rPr>
          <w:color w:val="231F20"/>
          <w:w w:val="110"/>
        </w:rPr>
        <w:t>V</w:t>
      </w:r>
      <w:r>
        <w:rPr>
          <w:color w:val="231F20"/>
          <w:spacing w:val="6"/>
          <w:w w:val="110"/>
        </w:rPr>
        <w:t> </w:t>
      </w:r>
      <w:r>
        <w:rPr>
          <w:rFonts w:ascii="Symbol" w:hAnsi="Symbol"/>
          <w:color w:val="231F20"/>
          <w:w w:val="110"/>
        </w:rPr>
        <w:t></w:t>
      </w:r>
      <w:r>
        <w:rPr>
          <w:rFonts w:ascii="Times New Roman" w:hAnsi="Times New Roman"/>
          <w:color w:val="231F20"/>
          <w:w w:val="110"/>
        </w:rPr>
        <w:t> </w:t>
      </w:r>
      <w:r>
        <w:rPr>
          <w:color w:val="231F20"/>
          <w:w w:val="110"/>
        </w:rPr>
        <w:t>P</w:t>
      </w:r>
      <w:r>
        <w:rPr>
          <w:color w:val="231F20"/>
          <w:spacing w:val="6"/>
          <w:w w:val="110"/>
        </w:rPr>
        <w:t> </w:t>
      </w:r>
      <w:r>
        <w:rPr>
          <w:rFonts w:ascii="Symbol" w:hAnsi="Symbol"/>
          <w:color w:val="231F20"/>
          <w:w w:val="110"/>
        </w:rPr>
        <w:t></w:t>
      </w:r>
      <w:r>
        <w:rPr>
          <w:rFonts w:ascii="Times New Roman" w:hAnsi="Times New Roman"/>
          <w:color w:val="231F20"/>
          <w:w w:val="110"/>
        </w:rPr>
        <w:t> </w:t>
      </w:r>
      <w:r>
        <w:rPr>
          <w:color w:val="231F20"/>
          <w:spacing w:val="-10"/>
          <w:w w:val="110"/>
        </w:rPr>
        <w:t>Q</w:t>
      </w:r>
    </w:p>
    <w:p>
      <w:pPr>
        <w:pStyle w:val="BodyText"/>
        <w:spacing w:line="278" w:lineRule="auto" w:before="42"/>
        <w:ind w:left="1930" w:right="1742" w:hanging="1"/>
      </w:pPr>
      <w:r>
        <w:rPr>
          <w:color w:val="231F20"/>
          <w:w w:val="105"/>
        </w:rPr>
        <w:t>Money </w:t>
      </w:r>
      <w:r>
        <w:rPr>
          <w:rFonts w:ascii="Symbol" w:hAnsi="Symbol"/>
          <w:color w:val="231F20"/>
          <w:w w:val="105"/>
        </w:rPr>
        <w:t></w:t>
      </w:r>
      <w:r>
        <w:rPr>
          <w:rFonts w:ascii="Times New Roman" w:hAnsi="Times New Roman"/>
          <w:color w:val="231F20"/>
          <w:spacing w:val="-3"/>
          <w:w w:val="105"/>
        </w:rPr>
        <w:t> </w:t>
      </w:r>
      <w:r>
        <w:rPr>
          <w:color w:val="231F20"/>
          <w:w w:val="105"/>
        </w:rPr>
        <w:t>Velocity </w:t>
      </w:r>
      <w:r>
        <w:rPr>
          <w:rFonts w:ascii="Symbol" w:hAnsi="Symbol"/>
          <w:color w:val="231F20"/>
          <w:w w:val="105"/>
        </w:rPr>
        <w:t></w:t>
      </w:r>
      <w:r>
        <w:rPr>
          <w:rFonts w:ascii="Times New Roman" w:hAnsi="Times New Roman"/>
          <w:color w:val="231F20"/>
          <w:spacing w:val="-3"/>
          <w:w w:val="105"/>
        </w:rPr>
        <w:t> </w:t>
      </w:r>
      <w:r>
        <w:rPr>
          <w:color w:val="231F20"/>
          <w:w w:val="105"/>
        </w:rPr>
        <w:t>Price Level </w:t>
      </w:r>
      <w:r>
        <w:rPr>
          <w:rFonts w:ascii="Symbol" w:hAnsi="Symbol"/>
          <w:color w:val="231F20"/>
          <w:w w:val="105"/>
        </w:rPr>
        <w:t></w:t>
      </w:r>
      <w:r>
        <w:rPr>
          <w:rFonts w:ascii="Times New Roman" w:hAnsi="Times New Roman"/>
          <w:color w:val="231F20"/>
          <w:spacing w:val="-3"/>
          <w:w w:val="105"/>
        </w:rPr>
        <w:t> </w:t>
      </w:r>
      <w:r>
        <w:rPr>
          <w:color w:val="231F20"/>
          <w:w w:val="105"/>
        </w:rPr>
        <w:t>Real </w:t>
      </w:r>
      <w:r>
        <w:rPr>
          <w:color w:val="231F20"/>
          <w:w w:val="105"/>
        </w:rPr>
        <w:t>GNP Money Supply </w:t>
      </w:r>
      <w:r>
        <w:rPr>
          <w:rFonts w:ascii="Symbol" w:hAnsi="Symbol"/>
          <w:color w:val="231F20"/>
          <w:w w:val="105"/>
        </w:rPr>
        <w:t></w:t>
      </w:r>
      <w:r>
        <w:rPr>
          <w:rFonts w:ascii="Times New Roman" w:hAnsi="Times New Roman"/>
          <w:color w:val="231F20"/>
          <w:w w:val="105"/>
        </w:rPr>
        <w:t> </w:t>
      </w:r>
      <w:r>
        <w:rPr>
          <w:color w:val="231F20"/>
          <w:w w:val="105"/>
        </w:rPr>
        <w:t>Nominal GNP</w:t>
      </w:r>
    </w:p>
    <w:p>
      <w:pPr>
        <w:pStyle w:val="BodyText"/>
        <w:spacing w:before="9"/>
        <w:rPr>
          <w:sz w:val="26"/>
        </w:rPr>
      </w:pPr>
    </w:p>
    <w:p>
      <w:pPr>
        <w:pStyle w:val="BodyText"/>
        <w:spacing w:line="292" w:lineRule="auto"/>
        <w:ind w:left="830" w:right="753" w:firstLine="340"/>
        <w:jc w:val="both"/>
      </w:pPr>
      <w:r>
        <w:rPr>
          <w:color w:val="231F20"/>
        </w:rPr>
        <w:t>Monetary theories consider the money supply as the product </w:t>
      </w:r>
      <w:r>
        <w:rPr>
          <w:color w:val="231F20"/>
        </w:rPr>
        <w:t>of the amount of money and the </w:t>
      </w:r>
      <w:r>
        <w:rPr>
          <w:i/>
          <w:color w:val="231F20"/>
        </w:rPr>
        <w:t>velocity </w:t>
      </w:r>
      <w:r>
        <w:rPr>
          <w:color w:val="231F20"/>
        </w:rPr>
        <w:t>at which it travels through the economy. Velocity is the speed at which money changes hands. It is obvious that if a dollar remains under the mattress, it has little value to the economy. Its velocity is zero. If that same dollar were to</w:t>
      </w:r>
      <w:r>
        <w:rPr>
          <w:color w:val="231F20"/>
          <w:spacing w:val="40"/>
        </w:rPr>
        <w:t> </w:t>
      </w:r>
      <w:r>
        <w:rPr>
          <w:color w:val="231F20"/>
        </w:rPr>
        <w:t>change hands many times—</w:t>
      </w:r>
      <w:r>
        <w:rPr>
          <w:color w:val="231F20"/>
          <w:spacing w:val="-12"/>
        </w:rPr>
        <w:t> </w:t>
      </w:r>
      <w:r>
        <w:rPr>
          <w:color w:val="231F20"/>
        </w:rPr>
        <w:t>be spent by some and be income to others—</w:t>
      </w:r>
      <w:r>
        <w:rPr>
          <w:color w:val="231F20"/>
          <w:spacing w:val="-12"/>
        </w:rPr>
        <w:t> </w:t>
      </w:r>
      <w:r>
        <w:rPr>
          <w:color w:val="231F20"/>
        </w:rPr>
        <w:t>the rate of economic growth would be increased. None- theless, monetarists oddly believe that the velocity of money is </w:t>
      </w:r>
      <w:r>
        <w:rPr>
          <w:color w:val="231F20"/>
          <w:spacing w:val="-2"/>
        </w:rPr>
        <w:t>constant.</w:t>
      </w:r>
    </w:p>
    <w:p>
      <w:pPr>
        <w:pStyle w:val="BodyText"/>
        <w:spacing w:line="292" w:lineRule="auto"/>
        <w:ind w:left="830" w:right="756" w:firstLine="340"/>
        <w:jc w:val="both"/>
      </w:pPr>
      <w:r>
        <w:rPr>
          <w:color w:val="231F20"/>
        </w:rPr>
        <w:t>The assumption of constant velocity is convenient if you look at the Quantity Theory Equation. Holding velocity constant makes </w:t>
      </w:r>
      <w:r>
        <w:rPr>
          <w:color w:val="231F20"/>
        </w:rPr>
        <w:t>the money supply the only determinant of growth in the economy. Key- nesians find that proposition ludicrous. At different points in time, based</w:t>
      </w:r>
      <w:r>
        <w:rPr>
          <w:color w:val="231F20"/>
          <w:spacing w:val="25"/>
        </w:rPr>
        <w:t> </w:t>
      </w:r>
      <w:r>
        <w:rPr>
          <w:color w:val="231F20"/>
        </w:rPr>
        <w:t>on</w:t>
      </w:r>
      <w:r>
        <w:rPr>
          <w:color w:val="231F20"/>
          <w:spacing w:val="26"/>
        </w:rPr>
        <w:t> </w:t>
      </w:r>
      <w:r>
        <w:rPr>
          <w:color w:val="231F20"/>
        </w:rPr>
        <w:t>prevailing</w:t>
      </w:r>
      <w:r>
        <w:rPr>
          <w:color w:val="231F20"/>
          <w:spacing w:val="26"/>
        </w:rPr>
        <w:t> </w:t>
      </w:r>
      <w:r>
        <w:rPr>
          <w:color w:val="231F20"/>
        </w:rPr>
        <w:t>fear</w:t>
      </w:r>
      <w:r>
        <w:rPr>
          <w:color w:val="231F20"/>
          <w:spacing w:val="26"/>
        </w:rPr>
        <w:t> </w:t>
      </w:r>
      <w:r>
        <w:rPr>
          <w:color w:val="231F20"/>
        </w:rPr>
        <w:t>or</w:t>
      </w:r>
      <w:r>
        <w:rPr>
          <w:color w:val="231F20"/>
          <w:spacing w:val="26"/>
        </w:rPr>
        <w:t> </w:t>
      </w:r>
      <w:r>
        <w:rPr>
          <w:color w:val="231F20"/>
        </w:rPr>
        <w:t>euphoria,</w:t>
      </w:r>
      <w:r>
        <w:rPr>
          <w:color w:val="231F20"/>
          <w:spacing w:val="26"/>
        </w:rPr>
        <w:t> </w:t>
      </w:r>
      <w:r>
        <w:rPr>
          <w:color w:val="231F20"/>
        </w:rPr>
        <w:t>Keynesians</w:t>
      </w:r>
      <w:r>
        <w:rPr>
          <w:color w:val="231F20"/>
          <w:spacing w:val="26"/>
        </w:rPr>
        <w:t> </w:t>
      </w:r>
      <w:r>
        <w:rPr>
          <w:color w:val="231F20"/>
        </w:rPr>
        <w:t>believe</w:t>
      </w:r>
      <w:r>
        <w:rPr>
          <w:color w:val="231F20"/>
          <w:spacing w:val="26"/>
        </w:rPr>
        <w:t> </w:t>
      </w:r>
      <w:r>
        <w:rPr>
          <w:color w:val="231F20"/>
        </w:rPr>
        <w:t>there</w:t>
      </w:r>
      <w:r>
        <w:rPr>
          <w:color w:val="231F20"/>
          <w:spacing w:val="26"/>
        </w:rPr>
        <w:t> </w:t>
      </w:r>
      <w:r>
        <w:rPr>
          <w:color w:val="231F20"/>
          <w:spacing w:val="-5"/>
        </w:rPr>
        <w:t>are</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changes in velocity. In a depression, for instance, people try to save whatever they can because they fear the next paycheck may be their </w:t>
      </w:r>
      <w:r>
        <w:rPr>
          <w:color w:val="231F20"/>
          <w:spacing w:val="-2"/>
        </w:rPr>
        <w:t>last.</w:t>
      </w:r>
    </w:p>
    <w:p>
      <w:pPr>
        <w:pStyle w:val="BodyText"/>
        <w:spacing w:line="292" w:lineRule="auto"/>
        <w:ind w:left="920" w:right="666" w:firstLine="340"/>
        <w:jc w:val="both"/>
      </w:pPr>
      <w:r>
        <w:rPr>
          <w:color w:val="231F20"/>
        </w:rPr>
        <w:t>You might conclude from the equation that by setting the print- ing press on high speed, a government could send an economy into a high-growth gear. That may be true. The nominal GNP could be driven to new heights, but adjusted for inflation, the real GNP </w:t>
      </w:r>
      <w:r>
        <w:rPr>
          <w:color w:val="231F20"/>
        </w:rPr>
        <w:t>might remain the same or fall as a result.</w:t>
      </w:r>
    </w:p>
    <w:p>
      <w:pPr>
        <w:pStyle w:val="BodyText"/>
        <w:spacing w:line="292" w:lineRule="auto"/>
        <w:ind w:left="919" w:right="666" w:firstLine="340"/>
        <w:jc w:val="both"/>
      </w:pPr>
      <w:r>
        <w:rPr>
          <w:color w:val="231F20"/>
        </w:rPr>
        <w:t>Monetarists are most concerned about changes in price levels or inflation. If money is devalued by price increases, the real value of</w:t>
      </w:r>
      <w:r>
        <w:rPr>
          <w:color w:val="231F20"/>
          <w:spacing w:val="40"/>
        </w:rPr>
        <w:t> </w:t>
      </w:r>
      <w:r>
        <w:rPr>
          <w:color w:val="231F20"/>
        </w:rPr>
        <w:t>the economy’s output is diminished. The trick is to have the wise</w:t>
      </w:r>
      <w:r>
        <w:rPr>
          <w:color w:val="231F20"/>
          <w:spacing w:val="40"/>
        </w:rPr>
        <w:t> </w:t>
      </w:r>
      <w:r>
        <w:rPr>
          <w:color w:val="231F20"/>
        </w:rPr>
        <w:t>men in Washington increase the money supply just the right amount so that there may be economic growth with litle inflation.</w:t>
      </w:r>
    </w:p>
    <w:p>
      <w:pPr>
        <w:pStyle w:val="BodyText"/>
        <w:spacing w:line="292" w:lineRule="auto"/>
        <w:ind w:left="919" w:right="666" w:firstLine="340"/>
        <w:jc w:val="both"/>
      </w:pPr>
      <w:r>
        <w:rPr>
          <w:color w:val="231F20"/>
        </w:rPr>
        <w:t>Keynesians like a little inflation. That preference is supported </w:t>
      </w:r>
      <w:r>
        <w:rPr>
          <w:color w:val="231F20"/>
        </w:rPr>
        <w:t>by the</w:t>
      </w:r>
      <w:r>
        <w:rPr>
          <w:color w:val="231F20"/>
          <w:spacing w:val="40"/>
        </w:rPr>
        <w:t> </w:t>
      </w:r>
      <w:r>
        <w:rPr>
          <w:color w:val="231F20"/>
        </w:rPr>
        <w:t>research</w:t>
      </w:r>
      <w:r>
        <w:rPr>
          <w:color w:val="231F20"/>
          <w:spacing w:val="40"/>
        </w:rPr>
        <w:t> </w:t>
      </w:r>
      <w:r>
        <w:rPr>
          <w:color w:val="231F20"/>
        </w:rPr>
        <w:t>of</w:t>
      </w:r>
      <w:r>
        <w:rPr>
          <w:color w:val="231F20"/>
          <w:spacing w:val="40"/>
        </w:rPr>
        <w:t> </w:t>
      </w:r>
      <w:r>
        <w:rPr>
          <w:color w:val="231F20"/>
        </w:rPr>
        <w:t>A.</w:t>
      </w:r>
      <w:r>
        <w:rPr>
          <w:color w:val="231F20"/>
          <w:spacing w:val="40"/>
        </w:rPr>
        <w:t> </w:t>
      </w:r>
      <w:r>
        <w:rPr>
          <w:color w:val="231F20"/>
        </w:rPr>
        <w:t>W.</w:t>
      </w:r>
      <w:r>
        <w:rPr>
          <w:color w:val="231F20"/>
          <w:spacing w:val="40"/>
        </w:rPr>
        <w:t> </w:t>
      </w:r>
      <w:r>
        <w:rPr>
          <w:color w:val="231F20"/>
        </w:rPr>
        <w:t>Philips</w:t>
      </w:r>
      <w:r>
        <w:rPr>
          <w:color w:val="231F20"/>
          <w:spacing w:val="40"/>
        </w:rPr>
        <w:t> </w:t>
      </w:r>
      <w:r>
        <w:rPr>
          <w:color w:val="231F20"/>
        </w:rPr>
        <w:t>of</w:t>
      </w:r>
      <w:r>
        <w:rPr>
          <w:color w:val="231F20"/>
          <w:spacing w:val="40"/>
        </w:rPr>
        <w:t> </w:t>
      </w:r>
      <w:r>
        <w:rPr>
          <w:color w:val="231F20"/>
        </w:rPr>
        <w:t>the</w:t>
      </w:r>
      <w:r>
        <w:rPr>
          <w:color w:val="231F20"/>
          <w:spacing w:val="40"/>
        </w:rPr>
        <w:t> </w:t>
      </w:r>
      <w:r>
        <w:rPr>
          <w:color w:val="231F20"/>
        </w:rPr>
        <w:t>London</w:t>
      </w:r>
      <w:r>
        <w:rPr>
          <w:color w:val="231F20"/>
          <w:spacing w:val="40"/>
        </w:rPr>
        <w:t> </w:t>
      </w:r>
      <w:r>
        <w:rPr>
          <w:color w:val="231F20"/>
        </w:rPr>
        <w:t>School</w:t>
      </w:r>
      <w:r>
        <w:rPr>
          <w:color w:val="231F20"/>
          <w:spacing w:val="40"/>
        </w:rPr>
        <w:t> </w:t>
      </w:r>
      <w:r>
        <w:rPr>
          <w:color w:val="231F20"/>
        </w:rPr>
        <w:t>of</w:t>
      </w:r>
      <w:r>
        <w:rPr>
          <w:color w:val="231F20"/>
          <w:spacing w:val="40"/>
        </w:rPr>
        <w:t> </w:t>
      </w:r>
      <w:r>
        <w:rPr>
          <w:color w:val="231F20"/>
        </w:rPr>
        <w:t>Economics, who claimed that higher inflation is accompanied by lower unem- ployment. The relationship between inflation and employment is shown by a graph called the </w:t>
      </w:r>
      <w:r>
        <w:rPr>
          <w:i/>
          <w:color w:val="231F20"/>
        </w:rPr>
        <w:t>Phillips curve. </w:t>
      </w:r>
      <w:r>
        <w:rPr>
          <w:color w:val="231F20"/>
        </w:rPr>
        <w:t>Monetarists don’t buy it. They believe that an economy with lower inflation can also have low rates of unemployment. Historical data in the United States show</w:t>
      </w:r>
      <w:r>
        <w:rPr>
          <w:color w:val="231F20"/>
          <w:spacing w:val="80"/>
        </w:rPr>
        <w:t> </w:t>
      </w:r>
      <w:r>
        <w:rPr>
          <w:color w:val="231F20"/>
        </w:rPr>
        <w:t>that the Keynesian relationship does hold. It was especially true in the period between 1950 and 1985, but it has not been consistently so over time, such as the period since 1985.</w:t>
      </w:r>
    </w:p>
    <w:p>
      <w:pPr>
        <w:pStyle w:val="BodyText"/>
        <w:spacing w:before="10"/>
        <w:rPr>
          <w:sz w:val="24"/>
        </w:rPr>
      </w:pPr>
    </w:p>
    <w:p>
      <w:pPr>
        <w:pStyle w:val="BodyText"/>
        <w:spacing w:line="292" w:lineRule="auto"/>
        <w:ind w:left="920" w:right="666"/>
        <w:jc w:val="both"/>
      </w:pPr>
      <w:r>
        <w:rPr>
          <w:i/>
          <w:color w:val="231F20"/>
        </w:rPr>
        <w:t>Monetary Policy Tools. </w:t>
      </w:r>
      <w:r>
        <w:rPr>
          <w:color w:val="231F20"/>
        </w:rPr>
        <w:t>I mentioned that the supply of money can be manipulated. A group of seven men appointed by the president sit</w:t>
      </w:r>
      <w:r>
        <w:rPr>
          <w:color w:val="231F20"/>
          <w:spacing w:val="80"/>
          <w:w w:val="150"/>
        </w:rPr>
        <w:t> </w:t>
      </w:r>
      <w:r>
        <w:rPr>
          <w:color w:val="231F20"/>
        </w:rPr>
        <w:t>on the Federal Reserve Board of Governors in Washington. The </w:t>
      </w:r>
      <w:r>
        <w:rPr>
          <w:i/>
          <w:color w:val="231F20"/>
        </w:rPr>
        <w:t>Fed,</w:t>
      </w:r>
      <w:r>
        <w:rPr>
          <w:i/>
          <w:color w:val="231F20"/>
        </w:rPr>
        <w:t> </w:t>
      </w:r>
      <w:r>
        <w:rPr>
          <w:color w:val="231F20"/>
        </w:rPr>
        <w:t>as it is called, has three monetary tools at its disposal to regulate the </w:t>
      </w:r>
      <w:r>
        <w:rPr>
          <w:color w:val="231F20"/>
          <w:spacing w:val="-2"/>
        </w:rPr>
        <w:t>economy.</w:t>
      </w:r>
    </w:p>
    <w:p>
      <w:pPr>
        <w:pStyle w:val="BodyText"/>
        <w:spacing w:line="292" w:lineRule="auto"/>
        <w:ind w:left="919" w:right="669" w:firstLine="340"/>
        <w:jc w:val="both"/>
      </w:pPr>
      <w:r>
        <w:rPr>
          <w:b/>
          <w:i/>
          <w:color w:val="231F20"/>
        </w:rPr>
        <w:t>Change</w:t>
      </w:r>
      <w:r>
        <w:rPr>
          <w:b/>
          <w:i/>
          <w:color w:val="231F20"/>
          <w:spacing w:val="-10"/>
        </w:rPr>
        <w:t> </w:t>
      </w:r>
      <w:r>
        <w:rPr>
          <w:b/>
          <w:i/>
          <w:color w:val="231F20"/>
        </w:rPr>
        <w:t>the</w:t>
      </w:r>
      <w:r>
        <w:rPr>
          <w:b/>
          <w:i/>
          <w:color w:val="231F20"/>
          <w:spacing w:val="-10"/>
        </w:rPr>
        <w:t> </w:t>
      </w:r>
      <w:r>
        <w:rPr>
          <w:b/>
          <w:i/>
          <w:color w:val="231F20"/>
        </w:rPr>
        <w:t>discount</w:t>
      </w:r>
      <w:r>
        <w:rPr>
          <w:b/>
          <w:i/>
          <w:color w:val="231F20"/>
          <w:spacing w:val="-10"/>
        </w:rPr>
        <w:t> </w:t>
      </w:r>
      <w:r>
        <w:rPr>
          <w:b/>
          <w:i/>
          <w:color w:val="231F20"/>
        </w:rPr>
        <w:t>rate.</w:t>
      </w:r>
      <w:r>
        <w:rPr>
          <w:b/>
          <w:i/>
          <w:color w:val="231F20"/>
          <w:spacing w:val="-10"/>
        </w:rPr>
        <w:t> </w:t>
      </w:r>
      <w:r>
        <w:rPr>
          <w:color w:val="231F20"/>
        </w:rPr>
        <w:t>Banks</w:t>
      </w:r>
      <w:r>
        <w:rPr>
          <w:color w:val="231F20"/>
          <w:spacing w:val="-10"/>
        </w:rPr>
        <w:t> </w:t>
      </w:r>
      <w:r>
        <w:rPr>
          <w:color w:val="231F20"/>
        </w:rPr>
        <w:t>borrow</w:t>
      </w:r>
      <w:r>
        <w:rPr>
          <w:color w:val="231F20"/>
          <w:spacing w:val="-10"/>
        </w:rPr>
        <w:t> </w:t>
      </w:r>
      <w:r>
        <w:rPr>
          <w:color w:val="231F20"/>
        </w:rPr>
        <w:t>money</w:t>
      </w:r>
      <w:r>
        <w:rPr>
          <w:color w:val="231F20"/>
          <w:spacing w:val="-10"/>
        </w:rPr>
        <w:t> </w:t>
      </w:r>
      <w:r>
        <w:rPr>
          <w:color w:val="231F20"/>
        </w:rPr>
        <w:t>from</w:t>
      </w:r>
      <w:r>
        <w:rPr>
          <w:color w:val="231F20"/>
          <w:spacing w:val="-10"/>
        </w:rPr>
        <w:t> </w:t>
      </w:r>
      <w:r>
        <w:rPr>
          <w:color w:val="231F20"/>
        </w:rPr>
        <w:t>the</w:t>
      </w:r>
      <w:r>
        <w:rPr>
          <w:color w:val="231F20"/>
          <w:spacing w:val="-10"/>
        </w:rPr>
        <w:t> </w:t>
      </w:r>
      <w:r>
        <w:rPr>
          <w:color w:val="231F20"/>
        </w:rPr>
        <w:t>Federal Reserve at a </w:t>
      </w:r>
      <w:r>
        <w:rPr>
          <w:i/>
          <w:color w:val="231F20"/>
        </w:rPr>
        <w:t>discount </w:t>
      </w:r>
      <w:r>
        <w:rPr>
          <w:color w:val="231F20"/>
        </w:rPr>
        <w:t>rate and loan it at higher rates to customers. If the</w:t>
      </w:r>
      <w:r>
        <w:rPr>
          <w:color w:val="231F20"/>
          <w:spacing w:val="-2"/>
        </w:rPr>
        <w:t> </w:t>
      </w:r>
      <w:r>
        <w:rPr>
          <w:color w:val="231F20"/>
        </w:rPr>
        <w:t>discount</w:t>
      </w:r>
      <w:r>
        <w:rPr>
          <w:color w:val="231F20"/>
          <w:spacing w:val="-2"/>
        </w:rPr>
        <w:t> </w:t>
      </w:r>
      <w:r>
        <w:rPr>
          <w:color w:val="231F20"/>
        </w:rPr>
        <w:t>rate</w:t>
      </w:r>
      <w:r>
        <w:rPr>
          <w:color w:val="231F20"/>
          <w:spacing w:val="-2"/>
        </w:rPr>
        <w:t> </w:t>
      </w:r>
      <w:r>
        <w:rPr>
          <w:color w:val="231F20"/>
        </w:rPr>
        <w:t>is</w:t>
      </w:r>
      <w:r>
        <w:rPr>
          <w:color w:val="231F20"/>
          <w:spacing w:val="-2"/>
        </w:rPr>
        <w:t> </w:t>
      </w:r>
      <w:r>
        <w:rPr>
          <w:color w:val="231F20"/>
        </w:rPr>
        <w:t>lowered,</w:t>
      </w:r>
      <w:r>
        <w:rPr>
          <w:color w:val="231F20"/>
          <w:spacing w:val="-2"/>
        </w:rPr>
        <w:t> </w:t>
      </w:r>
      <w:r>
        <w:rPr>
          <w:color w:val="231F20"/>
        </w:rPr>
        <w:t>the</w:t>
      </w:r>
      <w:r>
        <w:rPr>
          <w:color w:val="231F20"/>
          <w:spacing w:val="-2"/>
        </w:rPr>
        <w:t> </w:t>
      </w:r>
      <w:r>
        <w:rPr>
          <w:color w:val="231F20"/>
        </w:rPr>
        <w:t>margin</w:t>
      </w:r>
      <w:r>
        <w:rPr>
          <w:color w:val="231F20"/>
          <w:spacing w:val="-2"/>
        </w:rPr>
        <w:t> </w:t>
      </w:r>
      <w:r>
        <w:rPr>
          <w:color w:val="231F20"/>
        </w:rPr>
        <w:t>between</w:t>
      </w:r>
      <w:r>
        <w:rPr>
          <w:color w:val="231F20"/>
          <w:spacing w:val="-2"/>
        </w:rPr>
        <w:t> </w:t>
      </w:r>
      <w:r>
        <w:rPr>
          <w:color w:val="231F20"/>
        </w:rPr>
        <w:t>the</w:t>
      </w:r>
      <w:r>
        <w:rPr>
          <w:color w:val="231F20"/>
          <w:spacing w:val="-2"/>
        </w:rPr>
        <w:t> </w:t>
      </w:r>
      <w:r>
        <w:rPr>
          <w:color w:val="231F20"/>
        </w:rPr>
        <w:t>banks’</w:t>
      </w:r>
      <w:r>
        <w:rPr>
          <w:color w:val="231F20"/>
          <w:spacing w:val="-2"/>
        </w:rPr>
        <w:t> </w:t>
      </w:r>
      <w:r>
        <w:rPr>
          <w:color w:val="231F20"/>
        </w:rPr>
        <w:t>loan</w:t>
      </w:r>
      <w:r>
        <w:rPr>
          <w:color w:val="231F20"/>
          <w:spacing w:val="-2"/>
        </w:rPr>
        <w:t> </w:t>
      </w:r>
      <w:r>
        <w:rPr>
          <w:color w:val="231F20"/>
        </w:rPr>
        <w:t>rate and</w:t>
      </w:r>
      <w:r>
        <w:rPr>
          <w:color w:val="231F20"/>
          <w:spacing w:val="-10"/>
        </w:rPr>
        <w:t> </w:t>
      </w:r>
      <w:r>
        <w:rPr>
          <w:color w:val="231F20"/>
        </w:rPr>
        <w:t>their</w:t>
      </w:r>
      <w:r>
        <w:rPr>
          <w:color w:val="231F20"/>
          <w:spacing w:val="-10"/>
        </w:rPr>
        <w:t> </w:t>
      </w:r>
      <w:r>
        <w:rPr>
          <w:color w:val="231F20"/>
        </w:rPr>
        <w:t>cost</w:t>
      </w:r>
      <w:r>
        <w:rPr>
          <w:color w:val="231F20"/>
          <w:spacing w:val="-10"/>
        </w:rPr>
        <w:t> </w:t>
      </w:r>
      <w:r>
        <w:rPr>
          <w:color w:val="231F20"/>
        </w:rPr>
        <w:t>from</w:t>
      </w:r>
      <w:r>
        <w:rPr>
          <w:color w:val="231F20"/>
          <w:spacing w:val="-10"/>
        </w:rPr>
        <w:t> </w:t>
      </w:r>
      <w:r>
        <w:rPr>
          <w:color w:val="231F20"/>
        </w:rPr>
        <w:t>the</w:t>
      </w:r>
      <w:r>
        <w:rPr>
          <w:color w:val="231F20"/>
          <w:spacing w:val="-10"/>
        </w:rPr>
        <w:t> </w:t>
      </w:r>
      <w:r>
        <w:rPr>
          <w:color w:val="231F20"/>
        </w:rPr>
        <w:t>Fed</w:t>
      </w:r>
      <w:r>
        <w:rPr>
          <w:color w:val="231F20"/>
          <w:spacing w:val="-10"/>
        </w:rPr>
        <w:t> </w:t>
      </w:r>
      <w:r>
        <w:rPr>
          <w:color w:val="231F20"/>
        </w:rPr>
        <w:t>is</w:t>
      </w:r>
      <w:r>
        <w:rPr>
          <w:color w:val="231F20"/>
          <w:spacing w:val="-10"/>
        </w:rPr>
        <w:t> </w:t>
      </w:r>
      <w:r>
        <w:rPr>
          <w:color w:val="231F20"/>
        </w:rPr>
        <w:t>higher.</w:t>
      </w:r>
      <w:r>
        <w:rPr>
          <w:color w:val="231F20"/>
          <w:spacing w:val="-10"/>
        </w:rPr>
        <w:t> </w:t>
      </w:r>
      <w:r>
        <w:rPr>
          <w:color w:val="231F20"/>
        </w:rPr>
        <w:t>In</w:t>
      </w:r>
      <w:r>
        <w:rPr>
          <w:color w:val="231F20"/>
          <w:spacing w:val="-10"/>
        </w:rPr>
        <w:t> </w:t>
      </w:r>
      <w:r>
        <w:rPr>
          <w:color w:val="231F20"/>
        </w:rPr>
        <w:t>turn,</w:t>
      </w:r>
      <w:r>
        <w:rPr>
          <w:color w:val="231F20"/>
          <w:spacing w:val="-10"/>
        </w:rPr>
        <w:t> </w:t>
      </w:r>
      <w:r>
        <w:rPr>
          <w:color w:val="231F20"/>
        </w:rPr>
        <w:t>that</w:t>
      </w:r>
      <w:r>
        <w:rPr>
          <w:color w:val="231F20"/>
          <w:spacing w:val="-10"/>
        </w:rPr>
        <w:t> </w:t>
      </w:r>
      <w:r>
        <w:rPr>
          <w:color w:val="231F20"/>
        </w:rPr>
        <w:t>encourages</w:t>
      </w:r>
      <w:r>
        <w:rPr>
          <w:color w:val="231F20"/>
          <w:spacing w:val="-10"/>
        </w:rPr>
        <w:t> </w:t>
      </w:r>
      <w:r>
        <w:rPr>
          <w:color w:val="231F20"/>
        </w:rPr>
        <w:t>banks</w:t>
      </w:r>
      <w:r>
        <w:rPr>
          <w:color w:val="231F20"/>
          <w:spacing w:val="-10"/>
        </w:rPr>
        <w:t> </w:t>
      </w:r>
      <w:r>
        <w:rPr>
          <w:color w:val="231F20"/>
        </w:rPr>
        <w:t>to make</w:t>
      </w:r>
      <w:r>
        <w:rPr>
          <w:color w:val="231F20"/>
          <w:spacing w:val="-8"/>
        </w:rPr>
        <w:t> </w:t>
      </w:r>
      <w:r>
        <w:rPr>
          <w:color w:val="231F20"/>
        </w:rPr>
        <w:t>more</w:t>
      </w:r>
      <w:r>
        <w:rPr>
          <w:color w:val="231F20"/>
          <w:spacing w:val="-8"/>
        </w:rPr>
        <w:t> </w:t>
      </w:r>
      <w:r>
        <w:rPr>
          <w:color w:val="231F20"/>
        </w:rPr>
        <w:t>loans</w:t>
      </w:r>
      <w:r>
        <w:rPr>
          <w:color w:val="231F20"/>
          <w:spacing w:val="-8"/>
        </w:rPr>
        <w:t> </w:t>
      </w:r>
      <w:r>
        <w:rPr>
          <w:color w:val="231F20"/>
        </w:rPr>
        <w:t>to</w:t>
      </w:r>
      <w:r>
        <w:rPr>
          <w:color w:val="231F20"/>
          <w:spacing w:val="-8"/>
        </w:rPr>
        <w:t> </w:t>
      </w:r>
      <w:r>
        <w:rPr>
          <w:color w:val="231F20"/>
        </w:rPr>
        <w:t>businesses</w:t>
      </w:r>
      <w:r>
        <w:rPr>
          <w:color w:val="231F20"/>
          <w:spacing w:val="-8"/>
        </w:rPr>
        <w:t> </w:t>
      </w:r>
      <w:r>
        <w:rPr>
          <w:color w:val="231F20"/>
        </w:rPr>
        <w:t>and</w:t>
      </w:r>
      <w:r>
        <w:rPr>
          <w:color w:val="231F20"/>
          <w:spacing w:val="-8"/>
        </w:rPr>
        <w:t> </w:t>
      </w:r>
      <w:r>
        <w:rPr>
          <w:color w:val="231F20"/>
        </w:rPr>
        <w:t>to</w:t>
      </w:r>
      <w:r>
        <w:rPr>
          <w:color w:val="231F20"/>
          <w:spacing w:val="-8"/>
        </w:rPr>
        <w:t> </w:t>
      </w:r>
      <w:r>
        <w:rPr>
          <w:color w:val="231F20"/>
        </w:rPr>
        <w:t>consumers</w:t>
      </w:r>
      <w:r>
        <w:rPr>
          <w:color w:val="231F20"/>
          <w:spacing w:val="-8"/>
        </w:rPr>
        <w:t> </w:t>
      </w:r>
      <w:r>
        <w:rPr>
          <w:color w:val="231F20"/>
        </w:rPr>
        <w:t>for</w:t>
      </w:r>
      <w:r>
        <w:rPr>
          <w:color w:val="231F20"/>
          <w:spacing w:val="-8"/>
        </w:rPr>
        <w:t> </w:t>
      </w:r>
      <w:r>
        <w:rPr>
          <w:color w:val="231F20"/>
        </w:rPr>
        <w:t>homes,</w:t>
      </w:r>
      <w:r>
        <w:rPr>
          <w:color w:val="231F20"/>
          <w:spacing w:val="-8"/>
        </w:rPr>
        <w:t> </w:t>
      </w:r>
      <w:r>
        <w:rPr>
          <w:color w:val="231F20"/>
        </w:rPr>
        <w:t>cars,</w:t>
      </w:r>
      <w:r>
        <w:rPr>
          <w:color w:val="231F20"/>
          <w:spacing w:val="-8"/>
        </w:rPr>
        <w:t> </w:t>
      </w:r>
      <w:r>
        <w:rPr>
          <w:color w:val="231F20"/>
        </w:rPr>
        <w:t>and credit</w:t>
      </w:r>
      <w:r>
        <w:rPr>
          <w:color w:val="231F20"/>
          <w:spacing w:val="-8"/>
        </w:rPr>
        <w:t> </w:t>
      </w:r>
      <w:r>
        <w:rPr>
          <w:color w:val="231F20"/>
        </w:rPr>
        <w:t>cards.</w:t>
      </w:r>
      <w:r>
        <w:rPr>
          <w:color w:val="231F20"/>
          <w:spacing w:val="-8"/>
        </w:rPr>
        <w:t> </w:t>
      </w:r>
      <w:r>
        <w:rPr>
          <w:color w:val="231F20"/>
        </w:rPr>
        <w:t>Banks</w:t>
      </w:r>
      <w:r>
        <w:rPr>
          <w:color w:val="231F20"/>
          <w:spacing w:val="-8"/>
        </w:rPr>
        <w:t> </w:t>
      </w:r>
      <w:r>
        <w:rPr>
          <w:color w:val="231F20"/>
        </w:rPr>
        <w:t>charge</w:t>
      </w:r>
      <w:r>
        <w:rPr>
          <w:color w:val="231F20"/>
          <w:spacing w:val="-8"/>
        </w:rPr>
        <w:t> </w:t>
      </w:r>
      <w:r>
        <w:rPr>
          <w:color w:val="231F20"/>
        </w:rPr>
        <w:t>their</w:t>
      </w:r>
      <w:r>
        <w:rPr>
          <w:color w:val="231F20"/>
          <w:spacing w:val="-8"/>
        </w:rPr>
        <w:t> </w:t>
      </w:r>
      <w:r>
        <w:rPr>
          <w:color w:val="231F20"/>
        </w:rPr>
        <w:t>best</w:t>
      </w:r>
      <w:r>
        <w:rPr>
          <w:color w:val="231F20"/>
          <w:spacing w:val="-8"/>
        </w:rPr>
        <w:t> </w:t>
      </w:r>
      <w:r>
        <w:rPr>
          <w:color w:val="231F20"/>
        </w:rPr>
        <w:t>customers</w:t>
      </w:r>
      <w:r>
        <w:rPr>
          <w:color w:val="231F20"/>
          <w:spacing w:val="-8"/>
        </w:rPr>
        <w:t> </w:t>
      </w:r>
      <w:r>
        <w:rPr>
          <w:color w:val="231F20"/>
        </w:rPr>
        <w:t>their</w:t>
      </w:r>
      <w:r>
        <w:rPr>
          <w:color w:val="231F20"/>
          <w:spacing w:val="-8"/>
        </w:rPr>
        <w:t> </w:t>
      </w:r>
      <w:r>
        <w:rPr>
          <w:color w:val="231F20"/>
        </w:rPr>
        <w:t>lowest</w:t>
      </w:r>
      <w:r>
        <w:rPr>
          <w:color w:val="231F20"/>
          <w:spacing w:val="-8"/>
        </w:rPr>
        <w:t> </w:t>
      </w:r>
      <w:r>
        <w:rPr>
          <w:color w:val="231F20"/>
        </w:rPr>
        <w:t>loan</w:t>
      </w:r>
      <w:r>
        <w:rPr>
          <w:color w:val="231F20"/>
          <w:spacing w:val="-8"/>
        </w:rPr>
        <w:t> </w:t>
      </w:r>
      <w:r>
        <w:rPr>
          <w:color w:val="231F20"/>
        </w:rPr>
        <w:t>rate, called</w:t>
      </w:r>
      <w:r>
        <w:rPr>
          <w:color w:val="231F20"/>
          <w:spacing w:val="22"/>
        </w:rPr>
        <w:t> </w:t>
      </w:r>
      <w:r>
        <w:rPr>
          <w:color w:val="231F20"/>
        </w:rPr>
        <w:t>the</w:t>
      </w:r>
      <w:r>
        <w:rPr>
          <w:color w:val="231F20"/>
          <w:spacing w:val="22"/>
        </w:rPr>
        <w:t> </w:t>
      </w:r>
      <w:r>
        <w:rPr>
          <w:i/>
          <w:color w:val="231F20"/>
        </w:rPr>
        <w:t>prime</w:t>
      </w:r>
      <w:r>
        <w:rPr>
          <w:i/>
          <w:color w:val="231F20"/>
          <w:spacing w:val="22"/>
        </w:rPr>
        <w:t> </w:t>
      </w:r>
      <w:r>
        <w:rPr>
          <w:i/>
          <w:color w:val="231F20"/>
        </w:rPr>
        <w:t>rate.</w:t>
      </w:r>
      <w:r>
        <w:rPr>
          <w:i/>
          <w:color w:val="231F20"/>
          <w:spacing w:val="22"/>
        </w:rPr>
        <w:t> </w:t>
      </w:r>
      <w:r>
        <w:rPr>
          <w:color w:val="231F20"/>
        </w:rPr>
        <w:t>More</w:t>
      </w:r>
      <w:r>
        <w:rPr>
          <w:color w:val="231F20"/>
          <w:spacing w:val="22"/>
        </w:rPr>
        <w:t> </w:t>
      </w:r>
      <w:r>
        <w:rPr>
          <w:color w:val="231F20"/>
        </w:rPr>
        <w:t>loans</w:t>
      </w:r>
      <w:r>
        <w:rPr>
          <w:color w:val="231F20"/>
          <w:spacing w:val="22"/>
        </w:rPr>
        <w:t> </w:t>
      </w:r>
      <w:r>
        <w:rPr>
          <w:color w:val="231F20"/>
        </w:rPr>
        <w:t>increase</w:t>
      </w:r>
      <w:r>
        <w:rPr>
          <w:color w:val="231F20"/>
          <w:spacing w:val="22"/>
        </w:rPr>
        <w:t> </w:t>
      </w:r>
      <w:r>
        <w:rPr>
          <w:color w:val="231F20"/>
        </w:rPr>
        <w:t>the</w:t>
      </w:r>
      <w:r>
        <w:rPr>
          <w:color w:val="231F20"/>
          <w:spacing w:val="22"/>
        </w:rPr>
        <w:t> </w:t>
      </w:r>
      <w:r>
        <w:rPr>
          <w:color w:val="231F20"/>
        </w:rPr>
        <w:t>money</w:t>
      </w:r>
      <w:r>
        <w:rPr>
          <w:color w:val="231F20"/>
          <w:spacing w:val="22"/>
        </w:rPr>
        <w:t> </w:t>
      </w:r>
      <w:r>
        <w:rPr>
          <w:color w:val="231F20"/>
        </w:rPr>
        <w:t>supply</w:t>
      </w:r>
      <w:r>
        <w:rPr>
          <w:color w:val="231F20"/>
          <w:spacing w:val="22"/>
        </w:rPr>
        <w:t> </w:t>
      </w:r>
      <w:r>
        <w:rPr>
          <w:color w:val="231F20"/>
        </w:rPr>
        <w:t>in</w:t>
      </w:r>
      <w:r>
        <w:rPr>
          <w:color w:val="231F20"/>
          <w:spacing w:val="22"/>
        </w:rPr>
        <w:t> </w:t>
      </w:r>
      <w:r>
        <w:rPr>
          <w:color w:val="231F20"/>
        </w:rPr>
        <w:t>the</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9"/>
        <w:jc w:val="both"/>
      </w:pPr>
      <w:r>
        <w:rPr>
          <w:color w:val="231F20"/>
        </w:rPr>
        <w:t>economy and the multiplier effect starts. After September 11, 2001, the Fed lowered the rate to 1 percent to prevent a severe recession under extraordinary circumstances.</w:t>
      </w:r>
    </w:p>
    <w:p>
      <w:pPr>
        <w:pStyle w:val="BodyText"/>
        <w:spacing w:line="292" w:lineRule="auto"/>
        <w:ind w:left="830" w:right="755" w:firstLine="339"/>
        <w:jc w:val="both"/>
      </w:pPr>
      <w:r>
        <w:rPr>
          <w:b/>
          <w:i/>
          <w:color w:val="231F20"/>
        </w:rPr>
        <w:t>Trade</w:t>
      </w:r>
      <w:r>
        <w:rPr>
          <w:b/>
          <w:i/>
          <w:color w:val="231F20"/>
          <w:spacing w:val="-4"/>
        </w:rPr>
        <w:t> </w:t>
      </w:r>
      <w:r>
        <w:rPr>
          <w:b/>
          <w:i/>
          <w:color w:val="231F20"/>
        </w:rPr>
        <w:t>government</w:t>
      </w:r>
      <w:r>
        <w:rPr>
          <w:b/>
          <w:i/>
          <w:color w:val="231F20"/>
          <w:spacing w:val="-4"/>
        </w:rPr>
        <w:t> </w:t>
      </w:r>
      <w:r>
        <w:rPr>
          <w:b/>
          <w:i/>
          <w:color w:val="231F20"/>
        </w:rPr>
        <w:t>securities.</w:t>
      </w:r>
      <w:r>
        <w:rPr>
          <w:b/>
          <w:i/>
          <w:color w:val="231F20"/>
          <w:spacing w:val="-4"/>
        </w:rPr>
        <w:t> </w:t>
      </w:r>
      <w:r>
        <w:rPr>
          <w:color w:val="231F20"/>
        </w:rPr>
        <w:t>The</w:t>
      </w:r>
      <w:r>
        <w:rPr>
          <w:color w:val="231F20"/>
          <w:spacing w:val="-4"/>
        </w:rPr>
        <w:t> </w:t>
      </w:r>
      <w:r>
        <w:rPr>
          <w:color w:val="231F20"/>
        </w:rPr>
        <w:t>Fed</w:t>
      </w:r>
      <w:r>
        <w:rPr>
          <w:color w:val="231F20"/>
          <w:spacing w:val="-4"/>
        </w:rPr>
        <w:t> </w:t>
      </w:r>
      <w:r>
        <w:rPr>
          <w:color w:val="231F20"/>
        </w:rPr>
        <w:t>actually</w:t>
      </w:r>
      <w:r>
        <w:rPr>
          <w:color w:val="231F20"/>
          <w:spacing w:val="-4"/>
        </w:rPr>
        <w:t> </w:t>
      </w:r>
      <w:r>
        <w:rPr>
          <w:color w:val="231F20"/>
        </w:rPr>
        <w:t>trades</w:t>
      </w:r>
      <w:r>
        <w:rPr>
          <w:color w:val="231F20"/>
          <w:spacing w:val="-4"/>
        </w:rPr>
        <w:t> </w:t>
      </w:r>
      <w:r>
        <w:rPr>
          <w:color w:val="231F20"/>
        </w:rPr>
        <w:t>in</w:t>
      </w:r>
      <w:r>
        <w:rPr>
          <w:color w:val="231F20"/>
          <w:spacing w:val="-4"/>
        </w:rPr>
        <w:t> </w:t>
      </w:r>
      <w:r>
        <w:rPr>
          <w:color w:val="231F20"/>
        </w:rPr>
        <w:t>govern- ment securities in the financial markets. It buys and sells the </w:t>
      </w:r>
      <w:r>
        <w:rPr>
          <w:color w:val="231F20"/>
        </w:rPr>
        <w:t>govern- ment’s own Treasury bonds. These trading transactions are called </w:t>
      </w:r>
      <w:r>
        <w:rPr>
          <w:i/>
          <w:color w:val="231F20"/>
        </w:rPr>
        <w:t>open market operations. </w:t>
      </w:r>
      <w:r>
        <w:rPr>
          <w:color w:val="231F20"/>
        </w:rPr>
        <w:t>When the Fed purchases government secu- rities from the public it places more money in the hands of the public who sold them; the money supply increases. When investors buy government securities sold by the Fed, money is drained from their pool of cash; the money supply decreases.</w:t>
      </w:r>
    </w:p>
    <w:p>
      <w:pPr>
        <w:pStyle w:val="BodyText"/>
        <w:spacing w:line="292" w:lineRule="auto"/>
        <w:ind w:left="830" w:right="753" w:firstLine="339"/>
        <w:jc w:val="both"/>
      </w:pPr>
      <w:r>
        <w:rPr>
          <w:b/>
          <w:i/>
          <w:color w:val="231F20"/>
        </w:rPr>
        <w:t>Change the reserve requirement of ﬁnancial institutions. </w:t>
      </w:r>
      <w:r>
        <w:rPr>
          <w:color w:val="231F20"/>
        </w:rPr>
        <w:t>The Federal Reserve requires that financial institutions, such as banks and brokers, keep a prescribed percentage of the cash deposited </w:t>
      </w:r>
      <w:r>
        <w:rPr>
          <w:color w:val="231F20"/>
        </w:rPr>
        <w:t>by customers on hand. This cash is called a </w:t>
      </w:r>
      <w:r>
        <w:rPr>
          <w:i/>
          <w:color w:val="231F20"/>
        </w:rPr>
        <w:t>reserve. </w:t>
      </w:r>
      <w:r>
        <w:rPr>
          <w:color w:val="231F20"/>
        </w:rPr>
        <w:t>A </w:t>
      </w:r>
      <w:r>
        <w:rPr>
          <w:i/>
          <w:color w:val="231F20"/>
        </w:rPr>
        <w:t>reserve require-</w:t>
      </w:r>
      <w:r>
        <w:rPr>
          <w:i/>
          <w:color w:val="231F20"/>
        </w:rPr>
        <w:t> ment </w:t>
      </w:r>
      <w:r>
        <w:rPr>
          <w:color w:val="231F20"/>
        </w:rPr>
        <w:t>is needed for banks to conduct daily transactions and accom- modate depositors who wish to withdraw their funds. A reserve provides a measure of security. The rest of the depositors’ money is loaned to customers. When regulators require a higher level of re- serves, banks cannot loan as much money; this reduces the money supply in the economy.</w:t>
      </w:r>
    </w:p>
    <w:p>
      <w:pPr>
        <w:pStyle w:val="BodyText"/>
        <w:spacing w:before="11"/>
        <w:rPr>
          <w:sz w:val="24"/>
        </w:rPr>
      </w:pPr>
    </w:p>
    <w:p>
      <w:pPr>
        <w:pStyle w:val="BodyText"/>
        <w:spacing w:line="292" w:lineRule="auto"/>
        <w:ind w:left="830" w:right="751"/>
        <w:jc w:val="both"/>
      </w:pPr>
      <w:r>
        <w:rPr>
          <w:color w:val="231F20"/>
        </w:rPr>
        <w:t>With</w:t>
      </w:r>
      <w:r>
        <w:rPr>
          <w:color w:val="231F20"/>
          <w:spacing w:val="40"/>
        </w:rPr>
        <w:t> </w:t>
      </w:r>
      <w:r>
        <w:rPr>
          <w:color w:val="231F20"/>
        </w:rPr>
        <w:t>these</w:t>
      </w:r>
      <w:r>
        <w:rPr>
          <w:color w:val="231F20"/>
          <w:spacing w:val="40"/>
        </w:rPr>
        <w:t> </w:t>
      </w:r>
      <w:r>
        <w:rPr>
          <w:color w:val="231F20"/>
        </w:rPr>
        <w:t>three</w:t>
      </w:r>
      <w:r>
        <w:rPr>
          <w:color w:val="231F20"/>
          <w:spacing w:val="40"/>
        </w:rPr>
        <w:t> </w:t>
      </w:r>
      <w:r>
        <w:rPr>
          <w:color w:val="231F20"/>
        </w:rPr>
        <w:t>tools,</w:t>
      </w:r>
      <w:r>
        <w:rPr>
          <w:color w:val="231F20"/>
          <w:spacing w:val="40"/>
        </w:rPr>
        <w:t> </w:t>
      </w:r>
      <w:r>
        <w:rPr>
          <w:color w:val="231F20"/>
        </w:rPr>
        <w:t>the</w:t>
      </w:r>
      <w:r>
        <w:rPr>
          <w:color w:val="231F20"/>
          <w:spacing w:val="40"/>
        </w:rPr>
        <w:t> </w:t>
      </w:r>
      <w:r>
        <w:rPr>
          <w:color w:val="231F20"/>
        </w:rPr>
        <w:t>Fed</w:t>
      </w:r>
      <w:r>
        <w:rPr>
          <w:color w:val="231F20"/>
          <w:spacing w:val="40"/>
        </w:rPr>
        <w:t> </w:t>
      </w:r>
      <w:r>
        <w:rPr>
          <w:color w:val="231F20"/>
        </w:rPr>
        <w:t>is</w:t>
      </w:r>
      <w:r>
        <w:rPr>
          <w:color w:val="231F20"/>
          <w:spacing w:val="40"/>
        </w:rPr>
        <w:t> </w:t>
      </w:r>
      <w:r>
        <w:rPr>
          <w:color w:val="231F20"/>
        </w:rPr>
        <w:t>able</w:t>
      </w:r>
      <w:r>
        <w:rPr>
          <w:color w:val="231F20"/>
          <w:spacing w:val="40"/>
        </w:rPr>
        <w:t> </w:t>
      </w:r>
      <w:r>
        <w:rPr>
          <w:color w:val="231F20"/>
        </w:rPr>
        <w:t>to</w:t>
      </w:r>
      <w:r>
        <w:rPr>
          <w:color w:val="231F20"/>
          <w:spacing w:val="40"/>
        </w:rPr>
        <w:t> </w:t>
      </w:r>
      <w:r>
        <w:rPr>
          <w:color w:val="231F20"/>
        </w:rPr>
        <w:t>change</w:t>
      </w:r>
      <w:r>
        <w:rPr>
          <w:color w:val="231F20"/>
          <w:spacing w:val="40"/>
        </w:rPr>
        <w:t> </w:t>
      </w:r>
      <w:r>
        <w:rPr>
          <w:color w:val="231F20"/>
        </w:rPr>
        <w:t>not</w:t>
      </w:r>
      <w:r>
        <w:rPr>
          <w:color w:val="231F20"/>
          <w:spacing w:val="40"/>
        </w:rPr>
        <w:t> </w:t>
      </w:r>
      <w:r>
        <w:rPr>
          <w:color w:val="231F20"/>
        </w:rPr>
        <w:t>only</w:t>
      </w:r>
      <w:r>
        <w:rPr>
          <w:color w:val="231F20"/>
          <w:spacing w:val="40"/>
        </w:rPr>
        <w:t> </w:t>
      </w:r>
      <w:r>
        <w:rPr>
          <w:color w:val="231F20"/>
        </w:rPr>
        <w:t>the money supply, but also the cost of money—</w:t>
      </w:r>
      <w:r>
        <w:rPr>
          <w:color w:val="231F20"/>
          <w:spacing w:val="-12"/>
        </w:rPr>
        <w:t> </w:t>
      </w:r>
      <w:r>
        <w:rPr>
          <w:color w:val="231F20"/>
        </w:rPr>
        <w:t>interest rates. The Fed tries to gradually increase the supply of money as the economy grows. If this operation is performed correctly, inflation and inter-</w:t>
      </w:r>
      <w:r>
        <w:rPr>
          <w:color w:val="231F20"/>
          <w:spacing w:val="40"/>
        </w:rPr>
        <w:t> </w:t>
      </w:r>
      <w:r>
        <w:rPr>
          <w:color w:val="231F20"/>
        </w:rPr>
        <w:t>est rates can stay low and the economy can grow. If the money sup- ply is kept too tight, a deep recession could occur, as it did in the</w:t>
      </w:r>
      <w:r>
        <w:rPr>
          <w:color w:val="231F20"/>
          <w:spacing w:val="40"/>
        </w:rPr>
        <w:t> </w:t>
      </w:r>
      <w:r>
        <w:rPr>
          <w:color w:val="231F20"/>
        </w:rPr>
        <w:t>early 1980s. If left to grow unrestrained, inflation can roar out of control, as has happened in many South American countries in the past two decades.</w:t>
      </w:r>
    </w:p>
    <w:p>
      <w:pPr>
        <w:pStyle w:val="BodyText"/>
        <w:spacing w:before="3"/>
        <w:rPr>
          <w:sz w:val="25"/>
        </w:rPr>
      </w:pPr>
    </w:p>
    <w:p>
      <w:pPr>
        <w:pStyle w:val="BodyText"/>
        <w:spacing w:line="292" w:lineRule="auto"/>
        <w:ind w:left="830" w:right="755"/>
        <w:jc w:val="both"/>
      </w:pPr>
      <w:r>
        <w:rPr>
          <w:i/>
          <w:color w:val="231F20"/>
        </w:rPr>
        <w:t>Which</w:t>
      </w:r>
      <w:r>
        <w:rPr>
          <w:i/>
          <w:color w:val="231F20"/>
          <w:spacing w:val="31"/>
        </w:rPr>
        <w:t> </w:t>
      </w:r>
      <w:r>
        <w:rPr>
          <w:i/>
          <w:color w:val="231F20"/>
        </w:rPr>
        <w:t>Side</w:t>
      </w:r>
      <w:r>
        <w:rPr>
          <w:i/>
          <w:color w:val="231F20"/>
          <w:spacing w:val="31"/>
        </w:rPr>
        <w:t> </w:t>
      </w:r>
      <w:r>
        <w:rPr>
          <w:i/>
          <w:color w:val="231F20"/>
        </w:rPr>
        <w:t>to</w:t>
      </w:r>
      <w:r>
        <w:rPr>
          <w:i/>
          <w:color w:val="231F20"/>
          <w:spacing w:val="31"/>
        </w:rPr>
        <w:t> </w:t>
      </w:r>
      <w:r>
        <w:rPr>
          <w:i/>
          <w:color w:val="231F20"/>
        </w:rPr>
        <w:t>Choose?</w:t>
      </w:r>
      <w:r>
        <w:rPr>
          <w:i/>
          <w:color w:val="231F20"/>
          <w:spacing w:val="30"/>
        </w:rPr>
        <w:t> </w:t>
      </w:r>
      <w:r>
        <w:rPr>
          <w:color w:val="231F20"/>
        </w:rPr>
        <w:t>If</w:t>
      </w:r>
      <w:r>
        <w:rPr>
          <w:color w:val="231F20"/>
          <w:spacing w:val="31"/>
        </w:rPr>
        <w:t> </w:t>
      </w:r>
      <w:r>
        <w:rPr>
          <w:color w:val="231F20"/>
        </w:rPr>
        <w:t>you</w:t>
      </w:r>
      <w:r>
        <w:rPr>
          <w:color w:val="231F20"/>
          <w:spacing w:val="31"/>
        </w:rPr>
        <w:t> </w:t>
      </w:r>
      <w:r>
        <w:rPr>
          <w:color w:val="231F20"/>
        </w:rPr>
        <w:t>are</w:t>
      </w:r>
      <w:r>
        <w:rPr>
          <w:color w:val="231F20"/>
          <w:spacing w:val="31"/>
        </w:rPr>
        <w:t> </w:t>
      </w:r>
      <w:r>
        <w:rPr>
          <w:color w:val="231F20"/>
        </w:rPr>
        <w:t>a</w:t>
      </w:r>
      <w:r>
        <w:rPr>
          <w:color w:val="231F20"/>
          <w:spacing w:val="31"/>
        </w:rPr>
        <w:t> </w:t>
      </w:r>
      <w:r>
        <w:rPr>
          <w:color w:val="231F20"/>
        </w:rPr>
        <w:t>conservative,</w:t>
      </w:r>
      <w:r>
        <w:rPr>
          <w:color w:val="231F20"/>
          <w:spacing w:val="31"/>
        </w:rPr>
        <w:t> </w:t>
      </w:r>
      <w:r>
        <w:rPr>
          <w:color w:val="231F20"/>
        </w:rPr>
        <w:t>you</w:t>
      </w:r>
      <w:r>
        <w:rPr>
          <w:color w:val="231F20"/>
          <w:spacing w:val="31"/>
        </w:rPr>
        <w:t> </w:t>
      </w:r>
      <w:r>
        <w:rPr>
          <w:color w:val="231F20"/>
        </w:rPr>
        <w:t>will</w:t>
      </w:r>
      <w:r>
        <w:rPr>
          <w:color w:val="231F20"/>
          <w:spacing w:val="31"/>
        </w:rPr>
        <w:t> </w:t>
      </w:r>
      <w:r>
        <w:rPr>
          <w:color w:val="231F20"/>
        </w:rPr>
        <w:t>gravitate to the Friedman camp. If you are politically liberal, Keynesian eco- nomics might be appealing since it calls for a more activist govern- ment.</w:t>
      </w:r>
      <w:r>
        <w:rPr>
          <w:color w:val="231F20"/>
          <w:spacing w:val="48"/>
        </w:rPr>
        <w:t> </w:t>
      </w:r>
      <w:r>
        <w:rPr>
          <w:color w:val="231F20"/>
        </w:rPr>
        <w:t>Regardless,</w:t>
      </w:r>
      <w:r>
        <w:rPr>
          <w:color w:val="231F20"/>
          <w:spacing w:val="49"/>
        </w:rPr>
        <w:t> </w:t>
      </w:r>
      <w:r>
        <w:rPr>
          <w:color w:val="231F20"/>
        </w:rPr>
        <w:t>the</w:t>
      </w:r>
      <w:r>
        <w:rPr>
          <w:color w:val="231F20"/>
          <w:spacing w:val="49"/>
        </w:rPr>
        <w:t> </w:t>
      </w:r>
      <w:r>
        <w:rPr>
          <w:color w:val="231F20"/>
        </w:rPr>
        <w:t>track</w:t>
      </w:r>
      <w:r>
        <w:rPr>
          <w:color w:val="231F20"/>
          <w:spacing w:val="49"/>
        </w:rPr>
        <w:t> </w:t>
      </w:r>
      <w:r>
        <w:rPr>
          <w:color w:val="231F20"/>
        </w:rPr>
        <w:t>record</w:t>
      </w:r>
      <w:r>
        <w:rPr>
          <w:color w:val="231F20"/>
          <w:spacing w:val="49"/>
        </w:rPr>
        <w:t> </w:t>
      </w:r>
      <w:r>
        <w:rPr>
          <w:color w:val="231F20"/>
        </w:rPr>
        <w:t>of</w:t>
      </w:r>
      <w:r>
        <w:rPr>
          <w:color w:val="231F20"/>
          <w:spacing w:val="49"/>
        </w:rPr>
        <w:t> </w:t>
      </w:r>
      <w:r>
        <w:rPr>
          <w:color w:val="231F20"/>
        </w:rPr>
        <w:t>both</w:t>
      </w:r>
      <w:r>
        <w:rPr>
          <w:color w:val="231F20"/>
          <w:spacing w:val="49"/>
        </w:rPr>
        <w:t> </w:t>
      </w:r>
      <w:r>
        <w:rPr>
          <w:color w:val="231F20"/>
        </w:rPr>
        <w:t>camps</w:t>
      </w:r>
      <w:r>
        <w:rPr>
          <w:color w:val="231F20"/>
          <w:spacing w:val="49"/>
        </w:rPr>
        <w:t> </w:t>
      </w:r>
      <w:r>
        <w:rPr>
          <w:color w:val="231F20"/>
        </w:rPr>
        <w:t>in</w:t>
      </w:r>
      <w:r>
        <w:rPr>
          <w:color w:val="231F20"/>
          <w:spacing w:val="49"/>
        </w:rPr>
        <w:t> </w:t>
      </w:r>
      <w:r>
        <w:rPr>
          <w:color w:val="231F20"/>
        </w:rPr>
        <w:t>keeping</w:t>
      </w:r>
      <w:r>
        <w:rPr>
          <w:color w:val="231F20"/>
          <w:spacing w:val="48"/>
        </w:rPr>
        <w:t> </w:t>
      </w:r>
      <w:r>
        <w:rPr>
          <w:color w:val="231F20"/>
          <w:spacing w:val="-5"/>
        </w:rPr>
        <w:t>the</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economy on a steady course is not impressive. We still have </w:t>
      </w:r>
      <w:r>
        <w:rPr>
          <w:color w:val="231F20"/>
        </w:rPr>
        <w:t>reces- sions in the United States.</w:t>
      </w:r>
    </w:p>
    <w:p>
      <w:pPr>
        <w:pStyle w:val="BodyText"/>
        <w:spacing w:line="292" w:lineRule="auto"/>
        <w:ind w:left="919" w:right="664" w:firstLine="340"/>
        <w:jc w:val="both"/>
      </w:pPr>
      <w:r>
        <w:rPr>
          <w:color w:val="231F20"/>
        </w:rPr>
        <w:t>Both</w:t>
      </w:r>
      <w:r>
        <w:rPr>
          <w:color w:val="231F20"/>
          <w:spacing w:val="-1"/>
        </w:rPr>
        <w:t> </w:t>
      </w:r>
      <w:r>
        <w:rPr>
          <w:color w:val="231F20"/>
        </w:rPr>
        <w:t>monetary</w:t>
      </w:r>
      <w:r>
        <w:rPr>
          <w:color w:val="231F20"/>
          <w:spacing w:val="-1"/>
        </w:rPr>
        <w:t> </w:t>
      </w:r>
      <w:r>
        <w:rPr>
          <w:color w:val="231F20"/>
        </w:rPr>
        <w:t>and</w:t>
      </w:r>
      <w:r>
        <w:rPr>
          <w:color w:val="231F20"/>
          <w:spacing w:val="-1"/>
        </w:rPr>
        <w:t> </w:t>
      </w:r>
      <w:r>
        <w:rPr>
          <w:color w:val="231F20"/>
        </w:rPr>
        <w:t>spending</w:t>
      </w:r>
      <w:r>
        <w:rPr>
          <w:color w:val="231F20"/>
          <w:spacing w:val="-1"/>
        </w:rPr>
        <w:t> </w:t>
      </w:r>
      <w:r>
        <w:rPr>
          <w:color w:val="231F20"/>
        </w:rPr>
        <w:t>theories</w:t>
      </w:r>
      <w:r>
        <w:rPr>
          <w:color w:val="231F20"/>
          <w:spacing w:val="-1"/>
        </w:rPr>
        <w:t> </w:t>
      </w:r>
      <w:r>
        <w:rPr>
          <w:color w:val="231F20"/>
        </w:rPr>
        <w:t>play</w:t>
      </w:r>
      <w:r>
        <w:rPr>
          <w:color w:val="231F20"/>
          <w:spacing w:val="-1"/>
        </w:rPr>
        <w:t> </w:t>
      </w:r>
      <w:r>
        <w:rPr>
          <w:color w:val="231F20"/>
        </w:rPr>
        <w:t>significant</w:t>
      </w:r>
      <w:r>
        <w:rPr>
          <w:color w:val="231F20"/>
          <w:spacing w:val="-1"/>
        </w:rPr>
        <w:t> </w:t>
      </w:r>
      <w:r>
        <w:rPr>
          <w:color w:val="231F20"/>
        </w:rPr>
        <w:t>roles</w:t>
      </w:r>
      <w:r>
        <w:rPr>
          <w:color w:val="231F20"/>
          <w:spacing w:val="-1"/>
        </w:rPr>
        <w:t> </w:t>
      </w:r>
      <w:r>
        <w:rPr>
          <w:color w:val="231F20"/>
        </w:rPr>
        <w:t>in</w:t>
      </w:r>
      <w:r>
        <w:rPr>
          <w:color w:val="231F20"/>
          <w:spacing w:val="-1"/>
        </w:rPr>
        <w:t> </w:t>
      </w:r>
      <w:r>
        <w:rPr>
          <w:color w:val="231F20"/>
        </w:rPr>
        <w:t>the workings of economic systems. It is a chicken-and-egg dilemma.</w:t>
      </w:r>
      <w:r>
        <w:rPr>
          <w:color w:val="231F20"/>
          <w:spacing w:val="80"/>
          <w:w w:val="150"/>
        </w:rPr>
        <w:t> </w:t>
      </w:r>
      <w:r>
        <w:rPr>
          <w:color w:val="231F20"/>
        </w:rPr>
        <w:t>Who starts the process? Monetary policy determines the supply </w:t>
      </w:r>
      <w:r>
        <w:rPr>
          <w:color w:val="231F20"/>
        </w:rPr>
        <w:t>of money, which in turn affects spending and GNP. Or does the Keyne- sian</w:t>
      </w:r>
      <w:r>
        <w:rPr>
          <w:color w:val="231F20"/>
          <w:spacing w:val="40"/>
        </w:rPr>
        <w:t> </w:t>
      </w:r>
      <w:r>
        <w:rPr>
          <w:color w:val="231F20"/>
        </w:rPr>
        <w:t>spending</w:t>
      </w:r>
      <w:r>
        <w:rPr>
          <w:color w:val="231F20"/>
          <w:spacing w:val="40"/>
        </w:rPr>
        <w:t> </w:t>
      </w:r>
      <w:r>
        <w:rPr>
          <w:color w:val="231F20"/>
        </w:rPr>
        <w:t>“tail”</w:t>
      </w:r>
      <w:r>
        <w:rPr>
          <w:color w:val="231F20"/>
          <w:spacing w:val="40"/>
        </w:rPr>
        <w:t> </w:t>
      </w:r>
      <w:r>
        <w:rPr>
          <w:color w:val="231F20"/>
        </w:rPr>
        <w:t>wag</w:t>
      </w:r>
      <w:r>
        <w:rPr>
          <w:color w:val="231F20"/>
          <w:spacing w:val="40"/>
        </w:rPr>
        <w:t> </w:t>
      </w:r>
      <w:r>
        <w:rPr>
          <w:color w:val="231F20"/>
        </w:rPr>
        <w:t>the</w:t>
      </w:r>
      <w:r>
        <w:rPr>
          <w:color w:val="231F20"/>
          <w:spacing w:val="40"/>
        </w:rPr>
        <w:t> </w:t>
      </w:r>
      <w:r>
        <w:rPr>
          <w:color w:val="231F20"/>
        </w:rPr>
        <w:t>monetarist</w:t>
      </w:r>
      <w:r>
        <w:rPr>
          <w:color w:val="231F20"/>
          <w:spacing w:val="40"/>
        </w:rPr>
        <w:t> </w:t>
      </w:r>
      <w:r>
        <w:rPr>
          <w:color w:val="231F20"/>
        </w:rPr>
        <w:t>“dog”?</w:t>
      </w:r>
      <w:r>
        <w:rPr>
          <w:color w:val="231F20"/>
          <w:spacing w:val="40"/>
        </w:rPr>
        <w:t> </w:t>
      </w:r>
      <w:r>
        <w:rPr>
          <w:color w:val="231F20"/>
        </w:rPr>
        <w:t>If</w:t>
      </w:r>
      <w:r>
        <w:rPr>
          <w:color w:val="231F20"/>
          <w:spacing w:val="40"/>
        </w:rPr>
        <w:t> </w:t>
      </w:r>
      <w:r>
        <w:rPr>
          <w:color w:val="231F20"/>
        </w:rPr>
        <w:t>you</w:t>
      </w:r>
      <w:r>
        <w:rPr>
          <w:color w:val="231F20"/>
          <w:spacing w:val="40"/>
        </w:rPr>
        <w:t> </w:t>
      </w:r>
      <w:r>
        <w:rPr>
          <w:color w:val="231F20"/>
        </w:rPr>
        <w:t>figure</w:t>
      </w:r>
      <w:r>
        <w:rPr>
          <w:color w:val="231F20"/>
          <w:spacing w:val="40"/>
        </w:rPr>
        <w:t> </w:t>
      </w:r>
      <w:r>
        <w:rPr>
          <w:color w:val="231F20"/>
        </w:rPr>
        <w:t>that one out, please write a book and set all the economists straight.</w:t>
      </w:r>
    </w:p>
    <w:p>
      <w:pPr>
        <w:pStyle w:val="BodyText"/>
        <w:rPr>
          <w:sz w:val="24"/>
        </w:rPr>
      </w:pPr>
    </w:p>
    <w:p>
      <w:pPr>
        <w:pStyle w:val="BodyText"/>
        <w:spacing w:before="10"/>
        <w:rPr>
          <w:sz w:val="26"/>
        </w:rPr>
      </w:pPr>
    </w:p>
    <w:p>
      <w:pPr>
        <w:pStyle w:val="Heading6"/>
        <w:rPr>
          <w:i/>
        </w:rPr>
      </w:pPr>
      <w:r>
        <w:rPr>
          <w:i/>
          <w:color w:val="231F20"/>
          <w:w w:val="110"/>
        </w:rPr>
        <w:t>MORE</w:t>
      </w:r>
      <w:r>
        <w:rPr>
          <w:i/>
          <w:color w:val="231F20"/>
          <w:spacing w:val="57"/>
          <w:w w:val="110"/>
        </w:rPr>
        <w:t> </w:t>
      </w:r>
      <w:r>
        <w:rPr>
          <w:i/>
          <w:color w:val="231F20"/>
          <w:w w:val="110"/>
        </w:rPr>
        <w:t>ECONOMISTS</w:t>
      </w:r>
      <w:r>
        <w:rPr>
          <w:i/>
          <w:color w:val="231F20"/>
          <w:spacing w:val="58"/>
          <w:w w:val="110"/>
        </w:rPr>
        <w:t> </w:t>
      </w:r>
      <w:r>
        <w:rPr>
          <w:i/>
          <w:color w:val="231F20"/>
          <w:w w:val="110"/>
        </w:rPr>
        <w:t>YOU</w:t>
      </w:r>
      <w:r>
        <w:rPr>
          <w:i/>
          <w:color w:val="231F20"/>
          <w:spacing w:val="58"/>
          <w:w w:val="110"/>
        </w:rPr>
        <w:t> </w:t>
      </w:r>
      <w:r>
        <w:rPr>
          <w:i/>
          <w:color w:val="231F20"/>
          <w:w w:val="110"/>
        </w:rPr>
        <w:t>NEED</w:t>
      </w:r>
      <w:r>
        <w:rPr>
          <w:i/>
          <w:color w:val="231F20"/>
          <w:spacing w:val="57"/>
          <w:w w:val="110"/>
        </w:rPr>
        <w:t> </w:t>
      </w:r>
      <w:r>
        <w:rPr>
          <w:i/>
          <w:color w:val="231F20"/>
          <w:w w:val="110"/>
        </w:rPr>
        <w:t>TO</w:t>
      </w:r>
      <w:r>
        <w:rPr>
          <w:i/>
          <w:color w:val="231F20"/>
          <w:spacing w:val="58"/>
          <w:w w:val="110"/>
        </w:rPr>
        <w:t> </w:t>
      </w:r>
      <w:r>
        <w:rPr>
          <w:i/>
          <w:color w:val="231F20"/>
          <w:w w:val="110"/>
        </w:rPr>
        <w:t>KNOW</w:t>
      </w:r>
      <w:r>
        <w:rPr>
          <w:i/>
          <w:color w:val="231F20"/>
          <w:spacing w:val="58"/>
          <w:w w:val="110"/>
        </w:rPr>
        <w:t> </w:t>
      </w:r>
      <w:r>
        <w:rPr>
          <w:i/>
          <w:color w:val="231F20"/>
          <w:spacing w:val="6"/>
          <w:w w:val="110"/>
        </w:rPr>
        <w:t>ABOUT</w:t>
      </w:r>
    </w:p>
    <w:p>
      <w:pPr>
        <w:pStyle w:val="BodyText"/>
        <w:spacing w:before="2"/>
        <w:rPr>
          <w:b/>
          <w:i/>
          <w:sz w:val="30"/>
        </w:rPr>
      </w:pPr>
    </w:p>
    <w:p>
      <w:pPr>
        <w:pStyle w:val="BodyText"/>
        <w:spacing w:line="292" w:lineRule="auto" w:before="1"/>
        <w:ind w:left="920" w:right="664"/>
        <w:jc w:val="both"/>
      </w:pPr>
      <w:r>
        <w:rPr>
          <w:color w:val="231F20"/>
        </w:rPr>
        <w:t>With</w:t>
      </w:r>
      <w:r>
        <w:rPr>
          <w:color w:val="231F20"/>
          <w:spacing w:val="40"/>
        </w:rPr>
        <w:t> </w:t>
      </w:r>
      <w:r>
        <w:rPr>
          <w:color w:val="231F20"/>
        </w:rPr>
        <w:t>Friedman</w:t>
      </w:r>
      <w:r>
        <w:rPr>
          <w:color w:val="231F20"/>
          <w:spacing w:val="40"/>
        </w:rPr>
        <w:t> </w:t>
      </w:r>
      <w:r>
        <w:rPr>
          <w:color w:val="231F20"/>
        </w:rPr>
        <w:t>and</w:t>
      </w:r>
      <w:r>
        <w:rPr>
          <w:color w:val="231F20"/>
          <w:spacing w:val="40"/>
        </w:rPr>
        <w:t> </w:t>
      </w:r>
      <w:r>
        <w:rPr>
          <w:color w:val="231F20"/>
        </w:rPr>
        <w:t>Keynes</w:t>
      </w:r>
      <w:r>
        <w:rPr>
          <w:color w:val="231F20"/>
          <w:spacing w:val="40"/>
        </w:rPr>
        <w:t> </w:t>
      </w:r>
      <w:r>
        <w:rPr>
          <w:color w:val="231F20"/>
        </w:rPr>
        <w:t>in</w:t>
      </w:r>
      <w:r>
        <w:rPr>
          <w:color w:val="231F20"/>
          <w:spacing w:val="40"/>
        </w:rPr>
        <w:t> </w:t>
      </w:r>
      <w:r>
        <w:rPr>
          <w:color w:val="231F20"/>
        </w:rPr>
        <w:t>your</w:t>
      </w:r>
      <w:r>
        <w:rPr>
          <w:color w:val="231F20"/>
          <w:spacing w:val="40"/>
        </w:rPr>
        <w:t> </w:t>
      </w:r>
      <w:r>
        <w:rPr>
          <w:color w:val="231F20"/>
        </w:rPr>
        <w:t>MBA</w:t>
      </w:r>
      <w:r>
        <w:rPr>
          <w:color w:val="231F20"/>
          <w:spacing w:val="40"/>
        </w:rPr>
        <w:t> </w:t>
      </w:r>
      <w:r>
        <w:rPr>
          <w:color w:val="231F20"/>
        </w:rPr>
        <w:t>grab</w:t>
      </w:r>
      <w:r>
        <w:rPr>
          <w:color w:val="231F20"/>
          <w:spacing w:val="40"/>
        </w:rPr>
        <w:t> </w:t>
      </w:r>
      <w:r>
        <w:rPr>
          <w:color w:val="231F20"/>
        </w:rPr>
        <w:t>bag,</w:t>
      </w:r>
      <w:r>
        <w:rPr>
          <w:color w:val="231F20"/>
          <w:spacing w:val="40"/>
        </w:rPr>
        <w:t> </w:t>
      </w:r>
      <w:r>
        <w:rPr>
          <w:color w:val="231F20"/>
        </w:rPr>
        <w:t>you</w:t>
      </w:r>
      <w:r>
        <w:rPr>
          <w:color w:val="231F20"/>
          <w:spacing w:val="40"/>
        </w:rPr>
        <w:t> </w:t>
      </w:r>
      <w:r>
        <w:rPr>
          <w:color w:val="231F20"/>
        </w:rPr>
        <w:t>need</w:t>
      </w:r>
      <w:r>
        <w:rPr>
          <w:color w:val="231F20"/>
          <w:spacing w:val="40"/>
        </w:rPr>
        <w:t> </w:t>
      </w:r>
      <w:r>
        <w:rPr>
          <w:color w:val="231F20"/>
        </w:rPr>
        <w:t>to know at least a little something about the following five </w:t>
      </w:r>
      <w:r>
        <w:rPr>
          <w:color w:val="231F20"/>
        </w:rPr>
        <w:t>economists. They are frequently mentioned as having shaped modern economics as we know it.</w:t>
      </w:r>
    </w:p>
    <w:p>
      <w:pPr>
        <w:pStyle w:val="BodyText"/>
        <w:spacing w:before="5"/>
        <w:rPr>
          <w:sz w:val="25"/>
        </w:rPr>
      </w:pPr>
    </w:p>
    <w:p>
      <w:pPr>
        <w:pStyle w:val="BodyText"/>
        <w:spacing w:line="292" w:lineRule="auto"/>
        <w:ind w:left="920" w:right="666"/>
        <w:jc w:val="both"/>
      </w:pPr>
      <w:r>
        <w:rPr>
          <w:i/>
          <w:color w:val="231F20"/>
        </w:rPr>
        <w:t>Adam Smith and </w:t>
      </w:r>
      <w:r>
        <w:rPr>
          <w:color w:val="231F20"/>
        </w:rPr>
        <w:t>The Wealth of Nations. Adam Smith is one of </w:t>
      </w:r>
      <w:r>
        <w:rPr>
          <w:color w:val="231F20"/>
        </w:rPr>
        <w:t>the world’s earliest economists, but he is still much talked about. His book</w:t>
      </w:r>
      <w:r>
        <w:rPr>
          <w:color w:val="231F20"/>
          <w:spacing w:val="36"/>
        </w:rPr>
        <w:t> </w:t>
      </w:r>
      <w:r>
        <w:rPr>
          <w:i/>
          <w:color w:val="231F20"/>
        </w:rPr>
        <w:t>The</w:t>
      </w:r>
      <w:r>
        <w:rPr>
          <w:i/>
          <w:color w:val="231F20"/>
          <w:spacing w:val="36"/>
        </w:rPr>
        <w:t> </w:t>
      </w:r>
      <w:r>
        <w:rPr>
          <w:i/>
          <w:color w:val="231F20"/>
        </w:rPr>
        <w:t>Wealth</w:t>
      </w:r>
      <w:r>
        <w:rPr>
          <w:i/>
          <w:color w:val="231F20"/>
          <w:spacing w:val="36"/>
        </w:rPr>
        <w:t> </w:t>
      </w:r>
      <w:r>
        <w:rPr>
          <w:i/>
          <w:color w:val="231F20"/>
        </w:rPr>
        <w:t>of</w:t>
      </w:r>
      <w:r>
        <w:rPr>
          <w:i/>
          <w:color w:val="231F20"/>
          <w:spacing w:val="36"/>
        </w:rPr>
        <w:t> </w:t>
      </w:r>
      <w:r>
        <w:rPr>
          <w:i/>
          <w:color w:val="231F20"/>
        </w:rPr>
        <w:t>Nations</w:t>
      </w:r>
      <w:r>
        <w:rPr>
          <w:i/>
          <w:color w:val="231F20"/>
          <w:spacing w:val="35"/>
        </w:rPr>
        <w:t> </w:t>
      </w:r>
      <w:r>
        <w:rPr>
          <w:color w:val="231F20"/>
        </w:rPr>
        <w:t>(1776)</w:t>
      </w:r>
      <w:r>
        <w:rPr>
          <w:color w:val="231F20"/>
          <w:spacing w:val="36"/>
        </w:rPr>
        <w:t> </w:t>
      </w:r>
      <w:r>
        <w:rPr>
          <w:color w:val="231F20"/>
        </w:rPr>
        <w:t>described</w:t>
      </w:r>
      <w:r>
        <w:rPr>
          <w:color w:val="231F20"/>
          <w:spacing w:val="36"/>
        </w:rPr>
        <w:t> </w:t>
      </w:r>
      <w:r>
        <w:rPr>
          <w:color w:val="231F20"/>
        </w:rPr>
        <w:t>the</w:t>
      </w:r>
      <w:r>
        <w:rPr>
          <w:color w:val="231F20"/>
          <w:spacing w:val="36"/>
        </w:rPr>
        <w:t> </w:t>
      </w:r>
      <w:r>
        <w:rPr>
          <w:color w:val="231F20"/>
        </w:rPr>
        <w:t>“invisible</w:t>
      </w:r>
      <w:r>
        <w:rPr>
          <w:color w:val="231F20"/>
          <w:spacing w:val="36"/>
        </w:rPr>
        <w:t> </w:t>
      </w:r>
      <w:r>
        <w:rPr>
          <w:color w:val="231F20"/>
        </w:rPr>
        <w:t>hand” of competition as guiding an economic system based on self-interest. He saw the “wealth of nations” increase by the division of labor.</w:t>
      </w:r>
      <w:r>
        <w:rPr>
          <w:color w:val="231F20"/>
          <w:spacing w:val="40"/>
        </w:rPr>
        <w:t> </w:t>
      </w:r>
      <w:r>
        <w:rPr>
          <w:color w:val="231F20"/>
        </w:rPr>
        <w:t>Using the example of a pin factory, Smith described how productiv- ity of a factory was enhanced when the different tasks were assigned to those workers with the appropriate skill. He observed cases in which ten people each performing a separate task turned out forty- eight thousand pins a day in an era when individuals were still turn- ing out but a few pins.</w:t>
      </w:r>
    </w:p>
    <w:p>
      <w:pPr>
        <w:pStyle w:val="BodyText"/>
        <w:spacing w:before="3"/>
        <w:rPr>
          <w:sz w:val="25"/>
        </w:rPr>
      </w:pPr>
    </w:p>
    <w:p>
      <w:pPr>
        <w:pStyle w:val="BodyText"/>
        <w:spacing w:line="292" w:lineRule="auto"/>
        <w:ind w:left="920" w:right="663"/>
        <w:jc w:val="both"/>
        <w:rPr>
          <w:i/>
        </w:rPr>
      </w:pPr>
      <w:r>
        <w:rPr>
          <w:i/>
          <w:color w:val="231F20"/>
        </w:rPr>
        <w:t>Joseph Schumpeter and “Creative Destruction.” </w:t>
      </w:r>
      <w:r>
        <w:rPr>
          <w:color w:val="231F20"/>
        </w:rPr>
        <w:t>This Harvard econ- omist, long dead and forgotten, was resurrected in the 1980s. Schumpeter has been exhumed because he saw the </w:t>
      </w:r>
      <w:r>
        <w:rPr>
          <w:i/>
          <w:color w:val="231F20"/>
        </w:rPr>
        <w:t>entrepreneur </w:t>
      </w:r>
      <w:r>
        <w:rPr>
          <w:color w:val="231F20"/>
        </w:rPr>
        <w:t>as the crucial figure in economic life. If you have picked up any busi- ness periodical lately, you will not have failed to notice the word </w:t>
      </w:r>
      <w:r>
        <w:rPr>
          <w:i/>
          <w:color w:val="231F20"/>
        </w:rPr>
        <w:t>en-</w:t>
      </w:r>
      <w:r>
        <w:rPr>
          <w:i/>
          <w:color w:val="231F20"/>
        </w:rPr>
        <w:t> trepreneur </w:t>
      </w:r>
      <w:r>
        <w:rPr>
          <w:color w:val="231F20"/>
        </w:rPr>
        <w:t>or some derivation thereof used with as much frequency as </w:t>
      </w:r>
      <w:r>
        <w:rPr>
          <w:i/>
          <w:color w:val="231F20"/>
        </w:rPr>
        <w:t>a </w:t>
      </w:r>
      <w:r>
        <w:rPr>
          <w:color w:val="231F20"/>
        </w:rPr>
        <w:t>and </w:t>
      </w:r>
      <w:r>
        <w:rPr>
          <w:i/>
          <w:color w:val="231F20"/>
        </w:rPr>
        <w:t>the.</w:t>
      </w:r>
    </w:p>
    <w:p>
      <w:pPr>
        <w:spacing w:after="0" w:line="292" w:lineRule="auto"/>
        <w:jc w:val="both"/>
        <w:sectPr>
          <w:pgSz w:w="8640" w:h="12960"/>
          <w:pgMar w:header="734" w:footer="0" w:top="920" w:bottom="280" w:left="340" w:right="500"/>
        </w:sectPr>
      </w:pPr>
    </w:p>
    <w:p>
      <w:pPr>
        <w:pStyle w:val="BodyText"/>
        <w:spacing w:before="10"/>
        <w:rPr>
          <w:i/>
          <w:sz w:val="17"/>
        </w:rPr>
      </w:pPr>
    </w:p>
    <w:p>
      <w:pPr>
        <w:pStyle w:val="BodyText"/>
        <w:spacing w:line="292" w:lineRule="auto" w:before="102"/>
        <w:ind w:left="830" w:right="753" w:firstLine="340"/>
        <w:jc w:val="both"/>
      </w:pPr>
      <w:r>
        <w:rPr>
          <w:color w:val="231F20"/>
        </w:rPr>
        <w:t>Schumpeter considered capitalism “unruly and disconcerting, a system</w:t>
      </w:r>
      <w:r>
        <w:rPr>
          <w:color w:val="231F20"/>
          <w:spacing w:val="40"/>
        </w:rPr>
        <w:t> </w:t>
      </w:r>
      <w:r>
        <w:rPr>
          <w:color w:val="231F20"/>
        </w:rPr>
        <w:t>of</w:t>
      </w:r>
      <w:r>
        <w:rPr>
          <w:color w:val="231F20"/>
          <w:spacing w:val="40"/>
        </w:rPr>
        <w:t> </w:t>
      </w:r>
      <w:r>
        <w:rPr>
          <w:color w:val="231F20"/>
        </w:rPr>
        <w:t>flux</w:t>
      </w:r>
      <w:r>
        <w:rPr>
          <w:color w:val="231F20"/>
          <w:spacing w:val="40"/>
        </w:rPr>
        <w:t> </w:t>
      </w:r>
      <w:r>
        <w:rPr>
          <w:color w:val="231F20"/>
        </w:rPr>
        <w:t>rather</w:t>
      </w:r>
      <w:r>
        <w:rPr>
          <w:color w:val="231F20"/>
          <w:spacing w:val="40"/>
        </w:rPr>
        <w:t> </w:t>
      </w:r>
      <w:r>
        <w:rPr>
          <w:color w:val="231F20"/>
        </w:rPr>
        <w:t>than</w:t>
      </w:r>
      <w:r>
        <w:rPr>
          <w:color w:val="231F20"/>
          <w:spacing w:val="40"/>
        </w:rPr>
        <w:t> </w:t>
      </w:r>
      <w:r>
        <w:rPr>
          <w:color w:val="231F20"/>
        </w:rPr>
        <w:t>equilibrium.”</w:t>
      </w:r>
      <w:r>
        <w:rPr>
          <w:color w:val="231F20"/>
          <w:spacing w:val="40"/>
        </w:rPr>
        <w:t> </w:t>
      </w:r>
      <w:r>
        <w:rPr>
          <w:color w:val="231F20"/>
        </w:rPr>
        <w:t>In</w:t>
      </w:r>
      <w:r>
        <w:rPr>
          <w:color w:val="231F20"/>
          <w:spacing w:val="40"/>
        </w:rPr>
        <w:t> </w:t>
      </w:r>
      <w:r>
        <w:rPr>
          <w:i/>
          <w:color w:val="231F20"/>
        </w:rPr>
        <w:t>Capitalism,</w:t>
      </w:r>
      <w:r>
        <w:rPr>
          <w:i/>
          <w:color w:val="231F20"/>
          <w:spacing w:val="40"/>
        </w:rPr>
        <w:t> </w:t>
      </w:r>
      <w:r>
        <w:rPr>
          <w:i/>
          <w:color w:val="231F20"/>
        </w:rPr>
        <w:t>Socialism</w:t>
      </w:r>
      <w:r>
        <w:rPr>
          <w:i/>
          <w:color w:val="231F20"/>
        </w:rPr>
        <w:t> and Democracy </w:t>
      </w:r>
      <w:r>
        <w:rPr>
          <w:color w:val="231F20"/>
        </w:rPr>
        <w:t>(1942) he wrote about capitalism as a process of “creative destruction.” “Entrepreneurs create new industries that displace others in a painful and disquieting way.” During the</w:t>
      </w:r>
      <w:r>
        <w:rPr>
          <w:color w:val="231F20"/>
          <w:spacing w:val="40"/>
        </w:rPr>
        <w:t> </w:t>
      </w:r>
      <w:r>
        <w:rPr>
          <w:color w:val="231F20"/>
        </w:rPr>
        <w:t>takeover and leveraged buyout craze of the 1980s, corporate </w:t>
      </w:r>
      <w:r>
        <w:rPr>
          <w:color w:val="231F20"/>
        </w:rPr>
        <w:t>raiders quoted Schumpeter to justify their actions and their profits as</w:t>
      </w:r>
      <w:r>
        <w:rPr>
          <w:color w:val="231F20"/>
          <w:spacing w:val="40"/>
        </w:rPr>
        <w:t> </w:t>
      </w:r>
      <w:r>
        <w:rPr>
          <w:color w:val="231F20"/>
        </w:rPr>
        <w:t>healthy activities that cleansed the capitalist system. For MBAs without the nerve to strike out on their own, theorists have created the term </w:t>
      </w:r>
      <w:r>
        <w:rPr>
          <w:i/>
          <w:color w:val="231F20"/>
        </w:rPr>
        <w:t>intrapreneurs </w:t>
      </w:r>
      <w:r>
        <w:rPr>
          <w:color w:val="231F20"/>
        </w:rPr>
        <w:t>as a consolation prize for those who are locked in corporations but still want to be agents of change.</w:t>
      </w:r>
    </w:p>
    <w:p>
      <w:pPr>
        <w:pStyle w:val="BodyText"/>
        <w:spacing w:before="2"/>
        <w:rPr>
          <w:sz w:val="25"/>
        </w:rPr>
      </w:pPr>
    </w:p>
    <w:p>
      <w:pPr>
        <w:spacing w:line="292" w:lineRule="auto" w:before="1"/>
        <w:ind w:left="830" w:right="756" w:firstLine="0"/>
        <w:jc w:val="both"/>
        <w:rPr>
          <w:sz w:val="21"/>
        </w:rPr>
      </w:pPr>
      <w:r>
        <w:rPr>
          <w:i/>
          <w:color w:val="231F20"/>
          <w:w w:val="105"/>
          <w:sz w:val="21"/>
        </w:rPr>
        <w:t>John</w:t>
      </w:r>
      <w:r>
        <w:rPr>
          <w:i/>
          <w:color w:val="231F20"/>
          <w:w w:val="105"/>
          <w:sz w:val="21"/>
        </w:rPr>
        <w:t> Kenneth</w:t>
      </w:r>
      <w:r>
        <w:rPr>
          <w:i/>
          <w:color w:val="231F20"/>
          <w:w w:val="105"/>
          <w:sz w:val="21"/>
        </w:rPr>
        <w:t> Galbraith</w:t>
      </w:r>
      <w:r>
        <w:rPr>
          <w:i/>
          <w:color w:val="231F20"/>
          <w:w w:val="105"/>
          <w:sz w:val="21"/>
        </w:rPr>
        <w:t> and</w:t>
      </w:r>
      <w:r>
        <w:rPr>
          <w:i/>
          <w:color w:val="231F20"/>
          <w:w w:val="105"/>
          <w:sz w:val="21"/>
        </w:rPr>
        <w:t> a</w:t>
      </w:r>
      <w:r>
        <w:rPr>
          <w:i/>
          <w:color w:val="231F20"/>
          <w:w w:val="105"/>
          <w:sz w:val="21"/>
        </w:rPr>
        <w:t> Liberal</w:t>
      </w:r>
      <w:r>
        <w:rPr>
          <w:i/>
          <w:color w:val="231F20"/>
          <w:w w:val="105"/>
          <w:sz w:val="21"/>
        </w:rPr>
        <w:t> View.</w:t>
      </w:r>
      <w:r>
        <w:rPr>
          <w:i/>
          <w:color w:val="231F20"/>
          <w:w w:val="105"/>
          <w:sz w:val="21"/>
        </w:rPr>
        <w:t> </w:t>
      </w:r>
      <w:r>
        <w:rPr>
          <w:color w:val="231F20"/>
          <w:w w:val="105"/>
          <w:sz w:val="21"/>
        </w:rPr>
        <w:t>Galbraith,</w:t>
      </w:r>
      <w:r>
        <w:rPr>
          <w:color w:val="231F20"/>
          <w:w w:val="105"/>
          <w:sz w:val="21"/>
        </w:rPr>
        <w:t> a</w:t>
      </w:r>
      <w:r>
        <w:rPr>
          <w:color w:val="231F20"/>
          <w:w w:val="105"/>
          <w:sz w:val="21"/>
        </w:rPr>
        <w:t> Harvard </w:t>
      </w:r>
      <w:r>
        <w:rPr>
          <w:color w:val="231F20"/>
          <w:sz w:val="21"/>
        </w:rPr>
        <w:t>economist, is known not for his grand theories or technical </w:t>
      </w:r>
      <w:r>
        <w:rPr>
          <w:color w:val="231F20"/>
          <w:sz w:val="21"/>
        </w:rPr>
        <w:t>research, </w:t>
      </w:r>
      <w:r>
        <w:rPr>
          <w:color w:val="231F20"/>
          <w:w w:val="105"/>
          <w:sz w:val="21"/>
        </w:rPr>
        <w:t>but</w:t>
      </w:r>
      <w:r>
        <w:rPr>
          <w:color w:val="231F20"/>
          <w:spacing w:val="-13"/>
          <w:w w:val="105"/>
          <w:sz w:val="21"/>
        </w:rPr>
        <w:t> </w:t>
      </w:r>
      <w:r>
        <w:rPr>
          <w:color w:val="231F20"/>
          <w:w w:val="105"/>
          <w:sz w:val="21"/>
        </w:rPr>
        <w:t>for</w:t>
      </w:r>
      <w:r>
        <w:rPr>
          <w:color w:val="231F20"/>
          <w:spacing w:val="-12"/>
          <w:w w:val="105"/>
          <w:sz w:val="21"/>
        </w:rPr>
        <w:t> </w:t>
      </w:r>
      <w:r>
        <w:rPr>
          <w:color w:val="231F20"/>
          <w:w w:val="105"/>
          <w:sz w:val="21"/>
        </w:rPr>
        <w:t>his</w:t>
      </w:r>
      <w:r>
        <w:rPr>
          <w:color w:val="231F20"/>
          <w:spacing w:val="-12"/>
          <w:w w:val="105"/>
          <w:sz w:val="21"/>
        </w:rPr>
        <w:t> </w:t>
      </w:r>
      <w:r>
        <w:rPr>
          <w:color w:val="231F20"/>
          <w:w w:val="105"/>
          <w:sz w:val="21"/>
        </w:rPr>
        <w:t>broad</w:t>
      </w:r>
      <w:r>
        <w:rPr>
          <w:color w:val="231F20"/>
          <w:spacing w:val="-12"/>
          <w:w w:val="105"/>
          <w:sz w:val="21"/>
        </w:rPr>
        <w:t> </w:t>
      </w:r>
      <w:r>
        <w:rPr>
          <w:color w:val="231F20"/>
          <w:w w:val="105"/>
          <w:sz w:val="21"/>
        </w:rPr>
        <w:t>policy</w:t>
      </w:r>
      <w:r>
        <w:rPr>
          <w:color w:val="231F20"/>
          <w:spacing w:val="-12"/>
          <w:w w:val="105"/>
          <w:sz w:val="21"/>
        </w:rPr>
        <w:t> </w:t>
      </w:r>
      <w:r>
        <w:rPr>
          <w:color w:val="231F20"/>
          <w:w w:val="105"/>
          <w:sz w:val="21"/>
        </w:rPr>
        <w:t>statements.</w:t>
      </w:r>
      <w:r>
        <w:rPr>
          <w:color w:val="231F20"/>
          <w:spacing w:val="-12"/>
          <w:w w:val="105"/>
          <w:sz w:val="21"/>
        </w:rPr>
        <w:t> </w:t>
      </w:r>
      <w:r>
        <w:rPr>
          <w:color w:val="231F20"/>
          <w:w w:val="105"/>
          <w:sz w:val="21"/>
        </w:rPr>
        <w:t>Although</w:t>
      </w:r>
      <w:r>
        <w:rPr>
          <w:color w:val="231F20"/>
          <w:spacing w:val="-12"/>
          <w:w w:val="105"/>
          <w:sz w:val="21"/>
        </w:rPr>
        <w:t> </w:t>
      </w:r>
      <w:r>
        <w:rPr>
          <w:color w:val="231F20"/>
          <w:w w:val="105"/>
          <w:sz w:val="21"/>
        </w:rPr>
        <w:t>he</w:t>
      </w:r>
      <w:r>
        <w:rPr>
          <w:color w:val="231F20"/>
          <w:spacing w:val="-13"/>
          <w:w w:val="105"/>
          <w:sz w:val="21"/>
        </w:rPr>
        <w:t> </w:t>
      </w:r>
      <w:r>
        <w:rPr>
          <w:color w:val="231F20"/>
          <w:w w:val="105"/>
          <w:sz w:val="21"/>
        </w:rPr>
        <w:t>is</w:t>
      </w:r>
      <w:r>
        <w:rPr>
          <w:color w:val="231F20"/>
          <w:spacing w:val="-12"/>
          <w:w w:val="105"/>
          <w:sz w:val="21"/>
        </w:rPr>
        <w:t> </w:t>
      </w:r>
      <w:r>
        <w:rPr>
          <w:color w:val="231F20"/>
          <w:w w:val="105"/>
          <w:sz w:val="21"/>
        </w:rPr>
        <w:t>not</w:t>
      </w:r>
      <w:r>
        <w:rPr>
          <w:color w:val="231F20"/>
          <w:spacing w:val="-12"/>
          <w:w w:val="105"/>
          <w:sz w:val="21"/>
        </w:rPr>
        <w:t> </w:t>
      </w:r>
      <w:r>
        <w:rPr>
          <w:color w:val="231F20"/>
          <w:w w:val="105"/>
          <w:sz w:val="21"/>
        </w:rPr>
        <w:t>considered</w:t>
      </w:r>
      <w:r>
        <w:rPr>
          <w:color w:val="231F20"/>
          <w:spacing w:val="-12"/>
          <w:w w:val="105"/>
          <w:sz w:val="21"/>
        </w:rPr>
        <w:t> </w:t>
      </w:r>
      <w:r>
        <w:rPr>
          <w:color w:val="231F20"/>
          <w:w w:val="105"/>
          <w:sz w:val="21"/>
        </w:rPr>
        <w:t>a </w:t>
      </w:r>
      <w:r>
        <w:rPr>
          <w:color w:val="231F20"/>
          <w:sz w:val="21"/>
        </w:rPr>
        <w:t>breakthrough thinker, his ability to give rousing lectures and market </w:t>
      </w:r>
      <w:r>
        <w:rPr>
          <w:color w:val="231F20"/>
          <w:w w:val="105"/>
          <w:sz w:val="21"/>
        </w:rPr>
        <w:t>his</w:t>
      </w:r>
      <w:r>
        <w:rPr>
          <w:color w:val="231F20"/>
          <w:w w:val="105"/>
          <w:sz w:val="21"/>
        </w:rPr>
        <w:t> books</w:t>
      </w:r>
      <w:r>
        <w:rPr>
          <w:color w:val="231F20"/>
          <w:w w:val="105"/>
          <w:sz w:val="21"/>
        </w:rPr>
        <w:t> has</w:t>
      </w:r>
      <w:r>
        <w:rPr>
          <w:color w:val="231F20"/>
          <w:w w:val="105"/>
          <w:sz w:val="21"/>
        </w:rPr>
        <w:t> given</w:t>
      </w:r>
      <w:r>
        <w:rPr>
          <w:color w:val="231F20"/>
          <w:w w:val="105"/>
          <w:sz w:val="21"/>
        </w:rPr>
        <w:t> him</w:t>
      </w:r>
      <w:r>
        <w:rPr>
          <w:color w:val="231F20"/>
          <w:w w:val="105"/>
          <w:sz w:val="21"/>
        </w:rPr>
        <w:t> a</w:t>
      </w:r>
      <w:r>
        <w:rPr>
          <w:color w:val="231F20"/>
          <w:w w:val="105"/>
          <w:sz w:val="21"/>
        </w:rPr>
        <w:t> big</w:t>
      </w:r>
      <w:r>
        <w:rPr>
          <w:color w:val="231F20"/>
          <w:w w:val="105"/>
          <w:sz w:val="21"/>
        </w:rPr>
        <w:t> name</w:t>
      </w:r>
      <w:r>
        <w:rPr>
          <w:color w:val="231F20"/>
          <w:w w:val="105"/>
          <w:sz w:val="21"/>
        </w:rPr>
        <w:t> in</w:t>
      </w:r>
      <w:r>
        <w:rPr>
          <w:color w:val="231F20"/>
          <w:w w:val="105"/>
          <w:sz w:val="21"/>
        </w:rPr>
        <w:t> economics.</w:t>
      </w:r>
      <w:r>
        <w:rPr>
          <w:color w:val="231F20"/>
          <w:w w:val="105"/>
          <w:sz w:val="21"/>
        </w:rPr>
        <w:t> In</w:t>
      </w:r>
      <w:r>
        <w:rPr>
          <w:color w:val="231F20"/>
          <w:w w:val="105"/>
          <w:sz w:val="21"/>
        </w:rPr>
        <w:t> 1951,</w:t>
      </w:r>
      <w:r>
        <w:rPr>
          <w:color w:val="231F20"/>
          <w:w w:val="105"/>
          <w:sz w:val="21"/>
        </w:rPr>
        <w:t> Gal- braith</w:t>
      </w:r>
      <w:r>
        <w:rPr>
          <w:color w:val="231F20"/>
          <w:w w:val="105"/>
          <w:sz w:val="21"/>
        </w:rPr>
        <w:t> made</w:t>
      </w:r>
      <w:r>
        <w:rPr>
          <w:color w:val="231F20"/>
          <w:w w:val="105"/>
          <w:sz w:val="21"/>
        </w:rPr>
        <w:t> a</w:t>
      </w:r>
      <w:r>
        <w:rPr>
          <w:color w:val="231F20"/>
          <w:w w:val="105"/>
          <w:sz w:val="21"/>
        </w:rPr>
        <w:t> case</w:t>
      </w:r>
      <w:r>
        <w:rPr>
          <w:color w:val="231F20"/>
          <w:w w:val="105"/>
          <w:sz w:val="21"/>
        </w:rPr>
        <w:t> for</w:t>
      </w:r>
      <w:r>
        <w:rPr>
          <w:color w:val="231F20"/>
          <w:w w:val="105"/>
          <w:sz w:val="21"/>
        </w:rPr>
        <w:t> labor</w:t>
      </w:r>
      <w:r>
        <w:rPr>
          <w:color w:val="231F20"/>
          <w:w w:val="105"/>
          <w:sz w:val="21"/>
        </w:rPr>
        <w:t> unions</w:t>
      </w:r>
      <w:r>
        <w:rPr>
          <w:color w:val="231F20"/>
          <w:w w:val="105"/>
          <w:sz w:val="21"/>
        </w:rPr>
        <w:t> in</w:t>
      </w:r>
      <w:r>
        <w:rPr>
          <w:color w:val="231F20"/>
          <w:w w:val="105"/>
          <w:sz w:val="21"/>
        </w:rPr>
        <w:t> </w:t>
      </w:r>
      <w:r>
        <w:rPr>
          <w:i/>
          <w:color w:val="231F20"/>
          <w:w w:val="105"/>
          <w:sz w:val="21"/>
        </w:rPr>
        <w:t>American</w:t>
      </w:r>
      <w:r>
        <w:rPr>
          <w:i/>
          <w:color w:val="231F20"/>
          <w:w w:val="105"/>
          <w:sz w:val="21"/>
        </w:rPr>
        <w:t> Capitalism:</w:t>
      </w:r>
      <w:r>
        <w:rPr>
          <w:i/>
          <w:color w:val="231F20"/>
          <w:w w:val="105"/>
          <w:sz w:val="21"/>
        </w:rPr>
        <w:t> The</w:t>
      </w:r>
      <w:r>
        <w:rPr>
          <w:i/>
          <w:color w:val="231F20"/>
          <w:w w:val="105"/>
          <w:sz w:val="21"/>
        </w:rPr>
        <w:t> Concept of Countervailing Power. </w:t>
      </w:r>
      <w:r>
        <w:rPr>
          <w:color w:val="231F20"/>
          <w:w w:val="105"/>
          <w:sz w:val="21"/>
        </w:rPr>
        <w:t>In </w:t>
      </w:r>
      <w:r>
        <w:rPr>
          <w:i/>
          <w:color w:val="231F20"/>
          <w:w w:val="105"/>
          <w:sz w:val="21"/>
        </w:rPr>
        <w:t>The Affluent Society </w:t>
      </w:r>
      <w:r>
        <w:rPr>
          <w:color w:val="231F20"/>
          <w:w w:val="105"/>
          <w:sz w:val="21"/>
        </w:rPr>
        <w:t>(1958) he </w:t>
      </w:r>
      <w:r>
        <w:rPr>
          <w:color w:val="231F20"/>
          <w:sz w:val="21"/>
        </w:rPr>
        <w:t>called for the economy to deemphasize production in favor of public </w:t>
      </w:r>
      <w:r>
        <w:rPr>
          <w:color w:val="231F20"/>
          <w:w w:val="105"/>
          <w:sz w:val="21"/>
        </w:rPr>
        <w:t>services.</w:t>
      </w:r>
      <w:r>
        <w:rPr>
          <w:color w:val="231F20"/>
          <w:w w:val="105"/>
          <w:sz w:val="21"/>
        </w:rPr>
        <w:t> In</w:t>
      </w:r>
      <w:r>
        <w:rPr>
          <w:color w:val="231F20"/>
          <w:w w:val="105"/>
          <w:sz w:val="21"/>
        </w:rPr>
        <w:t> his</w:t>
      </w:r>
      <w:r>
        <w:rPr>
          <w:color w:val="231F20"/>
          <w:w w:val="105"/>
          <w:sz w:val="21"/>
        </w:rPr>
        <w:t> 1967</w:t>
      </w:r>
      <w:r>
        <w:rPr>
          <w:color w:val="231F20"/>
          <w:w w:val="105"/>
          <w:sz w:val="21"/>
        </w:rPr>
        <w:t> </w:t>
      </w:r>
      <w:r>
        <w:rPr>
          <w:i/>
          <w:color w:val="231F20"/>
          <w:w w:val="105"/>
          <w:sz w:val="21"/>
        </w:rPr>
        <w:t>The</w:t>
      </w:r>
      <w:r>
        <w:rPr>
          <w:i/>
          <w:color w:val="231F20"/>
          <w:w w:val="105"/>
          <w:sz w:val="21"/>
        </w:rPr>
        <w:t> New</w:t>
      </w:r>
      <w:r>
        <w:rPr>
          <w:i/>
          <w:color w:val="231F20"/>
          <w:w w:val="105"/>
          <w:sz w:val="21"/>
        </w:rPr>
        <w:t> Industrial</w:t>
      </w:r>
      <w:r>
        <w:rPr>
          <w:i/>
          <w:color w:val="231F20"/>
          <w:w w:val="105"/>
          <w:sz w:val="21"/>
        </w:rPr>
        <w:t> State,</w:t>
      </w:r>
      <w:r>
        <w:rPr>
          <w:i/>
          <w:color w:val="231F20"/>
          <w:w w:val="105"/>
          <w:sz w:val="21"/>
        </w:rPr>
        <w:t> </w:t>
      </w:r>
      <w:r>
        <w:rPr>
          <w:color w:val="231F20"/>
          <w:w w:val="105"/>
          <w:sz w:val="21"/>
        </w:rPr>
        <w:t>Galbraith</w:t>
      </w:r>
      <w:r>
        <w:rPr>
          <w:color w:val="231F20"/>
          <w:w w:val="105"/>
          <w:sz w:val="21"/>
        </w:rPr>
        <w:t> com- mented</w:t>
      </w:r>
      <w:r>
        <w:rPr>
          <w:color w:val="231F20"/>
          <w:spacing w:val="-11"/>
          <w:w w:val="105"/>
          <w:sz w:val="21"/>
        </w:rPr>
        <w:t> </w:t>
      </w:r>
      <w:r>
        <w:rPr>
          <w:color w:val="231F20"/>
          <w:w w:val="105"/>
          <w:sz w:val="21"/>
        </w:rPr>
        <w:t>on</w:t>
      </w:r>
      <w:r>
        <w:rPr>
          <w:color w:val="231F20"/>
          <w:spacing w:val="-11"/>
          <w:w w:val="105"/>
          <w:sz w:val="21"/>
        </w:rPr>
        <w:t> </w:t>
      </w:r>
      <w:r>
        <w:rPr>
          <w:color w:val="231F20"/>
          <w:w w:val="105"/>
          <w:sz w:val="21"/>
        </w:rPr>
        <w:t>the</w:t>
      </w:r>
      <w:r>
        <w:rPr>
          <w:color w:val="231F20"/>
          <w:spacing w:val="-11"/>
          <w:w w:val="105"/>
          <w:sz w:val="21"/>
        </w:rPr>
        <w:t> </w:t>
      </w:r>
      <w:r>
        <w:rPr>
          <w:color w:val="231F20"/>
          <w:w w:val="105"/>
          <w:sz w:val="21"/>
        </w:rPr>
        <w:t>gradual</w:t>
      </w:r>
      <w:r>
        <w:rPr>
          <w:color w:val="231F20"/>
          <w:spacing w:val="-11"/>
          <w:w w:val="105"/>
          <w:sz w:val="21"/>
        </w:rPr>
        <w:t> </w:t>
      </w:r>
      <w:r>
        <w:rPr>
          <w:color w:val="231F20"/>
          <w:w w:val="105"/>
          <w:sz w:val="21"/>
        </w:rPr>
        <w:t>move</w:t>
      </w:r>
      <w:r>
        <w:rPr>
          <w:color w:val="231F20"/>
          <w:spacing w:val="-11"/>
          <w:w w:val="105"/>
          <w:sz w:val="21"/>
        </w:rPr>
        <w:t> </w:t>
      </w:r>
      <w:r>
        <w:rPr>
          <w:color w:val="231F20"/>
          <w:w w:val="105"/>
          <w:sz w:val="21"/>
        </w:rPr>
        <w:t>toward</w:t>
      </w:r>
      <w:r>
        <w:rPr>
          <w:color w:val="231F20"/>
          <w:spacing w:val="-11"/>
          <w:w w:val="105"/>
          <w:sz w:val="21"/>
        </w:rPr>
        <w:t> </w:t>
      </w:r>
      <w:r>
        <w:rPr>
          <w:color w:val="231F20"/>
          <w:w w:val="105"/>
          <w:sz w:val="21"/>
        </w:rPr>
        <w:t>socialism</w:t>
      </w:r>
      <w:r>
        <w:rPr>
          <w:color w:val="231F20"/>
          <w:spacing w:val="-11"/>
          <w:w w:val="105"/>
          <w:sz w:val="21"/>
        </w:rPr>
        <w:t> </w:t>
      </w:r>
      <w:r>
        <w:rPr>
          <w:color w:val="231F20"/>
          <w:w w:val="105"/>
          <w:sz w:val="21"/>
        </w:rPr>
        <w:t>in</w:t>
      </w:r>
      <w:r>
        <w:rPr>
          <w:color w:val="231F20"/>
          <w:spacing w:val="-11"/>
          <w:w w:val="105"/>
          <w:sz w:val="21"/>
        </w:rPr>
        <w:t> </w:t>
      </w:r>
      <w:r>
        <w:rPr>
          <w:color w:val="231F20"/>
          <w:w w:val="105"/>
          <w:sz w:val="21"/>
        </w:rPr>
        <w:t>the</w:t>
      </w:r>
      <w:r>
        <w:rPr>
          <w:color w:val="231F20"/>
          <w:spacing w:val="-11"/>
          <w:w w:val="105"/>
          <w:sz w:val="21"/>
        </w:rPr>
        <w:t> </w:t>
      </w:r>
      <w:r>
        <w:rPr>
          <w:color w:val="231F20"/>
          <w:w w:val="105"/>
          <w:sz w:val="21"/>
        </w:rPr>
        <w:t>United</w:t>
      </w:r>
      <w:r>
        <w:rPr>
          <w:color w:val="231F20"/>
          <w:spacing w:val="-11"/>
          <w:w w:val="105"/>
          <w:sz w:val="21"/>
        </w:rPr>
        <w:t> </w:t>
      </w:r>
      <w:r>
        <w:rPr>
          <w:color w:val="231F20"/>
          <w:w w:val="105"/>
          <w:sz w:val="21"/>
        </w:rPr>
        <w:t>States.</w:t>
      </w:r>
    </w:p>
    <w:p>
      <w:pPr>
        <w:pStyle w:val="BodyText"/>
        <w:spacing w:before="3"/>
        <w:rPr>
          <w:sz w:val="25"/>
        </w:rPr>
      </w:pPr>
    </w:p>
    <w:p>
      <w:pPr>
        <w:pStyle w:val="BodyText"/>
        <w:spacing w:line="292" w:lineRule="auto"/>
        <w:ind w:left="830" w:right="753"/>
        <w:jc w:val="both"/>
      </w:pPr>
      <w:r>
        <w:rPr>
          <w:i/>
          <w:color w:val="231F20"/>
        </w:rPr>
        <w:t>Arthur</w:t>
      </w:r>
      <w:r>
        <w:rPr>
          <w:i/>
          <w:color w:val="231F20"/>
          <w:spacing w:val="40"/>
        </w:rPr>
        <w:t> </w:t>
      </w:r>
      <w:r>
        <w:rPr>
          <w:i/>
          <w:color w:val="231F20"/>
        </w:rPr>
        <w:t>Okun</w:t>
      </w:r>
      <w:r>
        <w:rPr>
          <w:i/>
          <w:color w:val="231F20"/>
          <w:spacing w:val="40"/>
        </w:rPr>
        <w:t> </w:t>
      </w:r>
      <w:r>
        <w:rPr>
          <w:i/>
          <w:color w:val="231F20"/>
        </w:rPr>
        <w:t>and</w:t>
      </w:r>
      <w:r>
        <w:rPr>
          <w:i/>
          <w:color w:val="231F20"/>
          <w:spacing w:val="40"/>
        </w:rPr>
        <w:t> </w:t>
      </w:r>
      <w:r>
        <w:rPr>
          <w:i/>
          <w:color w:val="231F20"/>
        </w:rPr>
        <w:t>Okun’s</w:t>
      </w:r>
      <w:r>
        <w:rPr>
          <w:i/>
          <w:color w:val="231F20"/>
          <w:spacing w:val="40"/>
        </w:rPr>
        <w:t> </w:t>
      </w:r>
      <w:r>
        <w:rPr>
          <w:i/>
          <w:color w:val="231F20"/>
        </w:rPr>
        <w:t>Law.</w:t>
      </w:r>
      <w:r>
        <w:rPr>
          <w:i/>
          <w:color w:val="231F20"/>
          <w:spacing w:val="40"/>
        </w:rPr>
        <w:t> </w:t>
      </w:r>
      <w:r>
        <w:rPr>
          <w:color w:val="231F20"/>
        </w:rPr>
        <w:t>Arthur</w:t>
      </w:r>
      <w:r>
        <w:rPr>
          <w:color w:val="231F20"/>
          <w:spacing w:val="40"/>
        </w:rPr>
        <w:t> </w:t>
      </w:r>
      <w:r>
        <w:rPr>
          <w:color w:val="231F20"/>
        </w:rPr>
        <w:t>Okun</w:t>
      </w:r>
      <w:r>
        <w:rPr>
          <w:color w:val="231F20"/>
          <w:spacing w:val="40"/>
        </w:rPr>
        <w:t> </w:t>
      </w:r>
      <w:r>
        <w:rPr>
          <w:color w:val="231F20"/>
        </w:rPr>
        <w:t>studied</w:t>
      </w:r>
      <w:r>
        <w:rPr>
          <w:color w:val="231F20"/>
          <w:spacing w:val="40"/>
        </w:rPr>
        <w:t> </w:t>
      </w:r>
      <w:r>
        <w:rPr>
          <w:color w:val="231F20"/>
        </w:rPr>
        <w:t>economic growth and unemployment just as A. W. Phillips did. Okun, from</w:t>
      </w:r>
      <w:r>
        <w:rPr>
          <w:color w:val="231F20"/>
          <w:spacing w:val="80"/>
        </w:rPr>
        <w:t> </w:t>
      </w:r>
      <w:r>
        <w:rPr>
          <w:color w:val="231F20"/>
        </w:rPr>
        <w:t>Yale, was one of the most influential economists on the President’s Council of Economic Advisers during the Kennedy and Johnson </w:t>
      </w:r>
      <w:r>
        <w:rPr>
          <w:color w:val="231F20"/>
        </w:rPr>
        <w:t>ad- ministrations. He found that higher levels of economic growth are accompanied by lower unemployment. His historical studies indi- cated that for every 2.2 percentage points of real GNP growth, un- employment falls 1 point. That rule of thumb was extensively used</w:t>
      </w:r>
      <w:r>
        <w:rPr>
          <w:color w:val="231F20"/>
          <w:spacing w:val="80"/>
          <w:w w:val="150"/>
        </w:rPr>
        <w:t> </w:t>
      </w:r>
      <w:r>
        <w:rPr>
          <w:color w:val="231F20"/>
        </w:rPr>
        <w:t>to justify the stimulative policies pursued by Washington in the </w:t>
      </w:r>
      <w:r>
        <w:rPr>
          <w:color w:val="231F20"/>
          <w:spacing w:val="-2"/>
        </w:rPr>
        <w:t>1960s.</w:t>
      </w:r>
    </w:p>
    <w:p>
      <w:pPr>
        <w:pStyle w:val="BodyText"/>
        <w:spacing w:before="3"/>
        <w:rPr>
          <w:sz w:val="25"/>
        </w:rPr>
      </w:pPr>
    </w:p>
    <w:p>
      <w:pPr>
        <w:spacing w:line="292" w:lineRule="auto" w:before="0"/>
        <w:ind w:left="830" w:right="756" w:firstLine="0"/>
        <w:jc w:val="both"/>
        <w:rPr>
          <w:sz w:val="21"/>
        </w:rPr>
      </w:pPr>
      <w:r>
        <w:rPr>
          <w:i/>
          <w:color w:val="231F20"/>
          <w:sz w:val="21"/>
        </w:rPr>
        <w:t>Arthur Laffer and the Supply-Side Economists of the 1980s. </w:t>
      </w:r>
      <w:r>
        <w:rPr>
          <w:color w:val="231F20"/>
          <w:sz w:val="21"/>
        </w:rPr>
        <w:t>Arthur Laffer</w:t>
      </w:r>
      <w:r>
        <w:rPr>
          <w:color w:val="231F20"/>
          <w:spacing w:val="8"/>
          <w:sz w:val="21"/>
        </w:rPr>
        <w:t> </w:t>
      </w:r>
      <w:r>
        <w:rPr>
          <w:color w:val="231F20"/>
          <w:sz w:val="21"/>
        </w:rPr>
        <w:t>is</w:t>
      </w:r>
      <w:r>
        <w:rPr>
          <w:color w:val="231F20"/>
          <w:spacing w:val="8"/>
          <w:sz w:val="21"/>
        </w:rPr>
        <w:t> </w:t>
      </w:r>
      <w:r>
        <w:rPr>
          <w:color w:val="231F20"/>
          <w:sz w:val="21"/>
        </w:rPr>
        <w:t>one</w:t>
      </w:r>
      <w:r>
        <w:rPr>
          <w:color w:val="231F20"/>
          <w:spacing w:val="8"/>
          <w:sz w:val="21"/>
        </w:rPr>
        <w:t> </w:t>
      </w:r>
      <w:r>
        <w:rPr>
          <w:color w:val="231F20"/>
          <w:sz w:val="21"/>
        </w:rPr>
        <w:t>of</w:t>
      </w:r>
      <w:r>
        <w:rPr>
          <w:color w:val="231F20"/>
          <w:spacing w:val="8"/>
          <w:sz w:val="21"/>
        </w:rPr>
        <w:t> </w:t>
      </w:r>
      <w:r>
        <w:rPr>
          <w:color w:val="231F20"/>
          <w:sz w:val="21"/>
        </w:rPr>
        <w:t>the</w:t>
      </w:r>
      <w:r>
        <w:rPr>
          <w:color w:val="231F20"/>
          <w:spacing w:val="8"/>
          <w:sz w:val="21"/>
        </w:rPr>
        <w:t> </w:t>
      </w:r>
      <w:r>
        <w:rPr>
          <w:color w:val="231F20"/>
          <w:sz w:val="21"/>
        </w:rPr>
        <w:t>best-known</w:t>
      </w:r>
      <w:r>
        <w:rPr>
          <w:color w:val="231F20"/>
          <w:spacing w:val="8"/>
          <w:sz w:val="21"/>
        </w:rPr>
        <w:t> </w:t>
      </w:r>
      <w:r>
        <w:rPr>
          <w:color w:val="231F20"/>
          <w:sz w:val="21"/>
        </w:rPr>
        <w:t>supply-side</w:t>
      </w:r>
      <w:r>
        <w:rPr>
          <w:color w:val="231F20"/>
          <w:spacing w:val="8"/>
          <w:sz w:val="21"/>
        </w:rPr>
        <w:t> </w:t>
      </w:r>
      <w:r>
        <w:rPr>
          <w:color w:val="231F20"/>
          <w:sz w:val="21"/>
        </w:rPr>
        <w:t>economists</w:t>
      </w:r>
      <w:r>
        <w:rPr>
          <w:color w:val="231F20"/>
          <w:spacing w:val="8"/>
          <w:sz w:val="21"/>
        </w:rPr>
        <w:t> </w:t>
      </w:r>
      <w:r>
        <w:rPr>
          <w:color w:val="231F20"/>
          <w:sz w:val="21"/>
        </w:rPr>
        <w:t>to</w:t>
      </w:r>
      <w:r>
        <w:rPr>
          <w:color w:val="231F20"/>
          <w:spacing w:val="8"/>
          <w:sz w:val="21"/>
        </w:rPr>
        <w:t> </w:t>
      </w:r>
      <w:r>
        <w:rPr>
          <w:color w:val="231F20"/>
          <w:sz w:val="21"/>
        </w:rPr>
        <w:t>emerge</w:t>
      </w:r>
      <w:r>
        <w:rPr>
          <w:color w:val="231F20"/>
          <w:spacing w:val="8"/>
          <w:sz w:val="21"/>
        </w:rPr>
        <w:t> </w:t>
      </w:r>
      <w:r>
        <w:rPr>
          <w:color w:val="231F20"/>
          <w:spacing w:val="-5"/>
          <w:sz w:val="21"/>
        </w:rPr>
        <w:t>in</w:t>
      </w:r>
    </w:p>
    <w:p>
      <w:pPr>
        <w:spacing w:after="0" w:line="292" w:lineRule="auto"/>
        <w:jc w:val="both"/>
        <w:rPr>
          <w:sz w:val="21"/>
        </w:rPr>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the 1980s. Supply-siders believe in the incentive effects of reduced taxation. Tax incentives and federal spending reductions are </w:t>
      </w:r>
      <w:r>
        <w:rPr>
          <w:color w:val="231F20"/>
        </w:rPr>
        <w:t>critical in promoting growth by causing increases in savings and investment. When individuals and businesses keep more of their earnings, they can save and invest in projects, which in turn makes the economy more productive. This increase in productivity increases the level of “supply” and produces more wealth and economic growth.</w:t>
      </w:r>
    </w:p>
    <w:p>
      <w:pPr>
        <w:pStyle w:val="BodyText"/>
        <w:spacing w:line="292" w:lineRule="auto"/>
        <w:ind w:left="919" w:right="663" w:firstLine="340"/>
        <w:jc w:val="both"/>
      </w:pPr>
      <w:r>
        <w:rPr>
          <w:color w:val="231F20"/>
        </w:rPr>
        <w:t>While at the University of Southern California, Laffer developed what has come to be known as the </w:t>
      </w:r>
      <w:r>
        <w:rPr>
          <w:i/>
          <w:color w:val="231F20"/>
        </w:rPr>
        <w:t>Laffer curve </w:t>
      </w:r>
      <w:r>
        <w:rPr>
          <w:color w:val="231F20"/>
        </w:rPr>
        <w:t>to explain the incen- tive effects of tax rates. No, it’s not a joke. The Laffer curve moti- vated the Reagan administration and the Congress to cut taxes in 1981. His theory suggests that tax revenues are correlated to the tax rate. His curve shows that total tax revenues increase as tax rates in- crease, but past a certain point, increases in rates decrease total </w:t>
      </w:r>
      <w:r>
        <w:rPr>
          <w:color w:val="231F20"/>
        </w:rPr>
        <w:t>tax revenues. Higher rates encourage tax cheating. Higher tax rates dis- courage people from working more. If rates are too high, reducing</w:t>
      </w:r>
      <w:r>
        <w:rPr>
          <w:color w:val="231F20"/>
          <w:spacing w:val="40"/>
        </w:rPr>
        <w:t> </w:t>
      </w:r>
      <w:r>
        <w:rPr>
          <w:color w:val="231F20"/>
        </w:rPr>
        <w:t>the tax rate will encourage people to work by making it more profitable to do so. That in turn will increase gross tax receipts al- though the marginal tax on each dollar of income is smaller. The problem with the theory is that it is too abstract. There is, theoreti- cally,</w:t>
      </w:r>
      <w:r>
        <w:rPr>
          <w:color w:val="231F20"/>
          <w:spacing w:val="33"/>
        </w:rPr>
        <w:t> </w:t>
      </w:r>
      <w:r>
        <w:rPr>
          <w:color w:val="231F20"/>
        </w:rPr>
        <w:t>an</w:t>
      </w:r>
      <w:r>
        <w:rPr>
          <w:color w:val="231F20"/>
          <w:spacing w:val="33"/>
        </w:rPr>
        <w:t> </w:t>
      </w:r>
      <w:r>
        <w:rPr>
          <w:color w:val="231F20"/>
        </w:rPr>
        <w:t>optimal</w:t>
      </w:r>
      <w:r>
        <w:rPr>
          <w:color w:val="231F20"/>
          <w:spacing w:val="33"/>
        </w:rPr>
        <w:t> </w:t>
      </w:r>
      <w:r>
        <w:rPr>
          <w:color w:val="231F20"/>
        </w:rPr>
        <w:t>tax</w:t>
      </w:r>
      <w:r>
        <w:rPr>
          <w:color w:val="231F20"/>
          <w:spacing w:val="33"/>
        </w:rPr>
        <w:t> </w:t>
      </w:r>
      <w:r>
        <w:rPr>
          <w:color w:val="231F20"/>
        </w:rPr>
        <w:t>rate,</w:t>
      </w:r>
      <w:r>
        <w:rPr>
          <w:color w:val="231F20"/>
          <w:spacing w:val="33"/>
        </w:rPr>
        <w:t> </w:t>
      </w:r>
      <w:r>
        <w:rPr>
          <w:color w:val="231F20"/>
        </w:rPr>
        <w:t>but</w:t>
      </w:r>
      <w:r>
        <w:rPr>
          <w:color w:val="231F20"/>
          <w:spacing w:val="33"/>
        </w:rPr>
        <w:t> </w:t>
      </w:r>
      <w:r>
        <w:rPr>
          <w:color w:val="231F20"/>
        </w:rPr>
        <w:t>nobody</w:t>
      </w:r>
      <w:r>
        <w:rPr>
          <w:color w:val="231F20"/>
          <w:spacing w:val="33"/>
        </w:rPr>
        <w:t> </w:t>
      </w:r>
      <w:r>
        <w:rPr>
          <w:color w:val="231F20"/>
        </w:rPr>
        <w:t>knows</w:t>
      </w:r>
      <w:r>
        <w:rPr>
          <w:color w:val="231F20"/>
          <w:spacing w:val="33"/>
        </w:rPr>
        <w:t> </w:t>
      </w:r>
      <w:r>
        <w:rPr>
          <w:color w:val="231F20"/>
        </w:rPr>
        <w:t>exactly</w:t>
      </w:r>
      <w:r>
        <w:rPr>
          <w:color w:val="231F20"/>
          <w:spacing w:val="33"/>
        </w:rPr>
        <w:t> </w:t>
      </w:r>
      <w:r>
        <w:rPr>
          <w:color w:val="231F20"/>
        </w:rPr>
        <w:t>what</w:t>
      </w:r>
      <w:r>
        <w:rPr>
          <w:color w:val="231F20"/>
          <w:spacing w:val="33"/>
        </w:rPr>
        <w:t> </w:t>
      </w:r>
      <w:r>
        <w:rPr>
          <w:color w:val="231F20"/>
        </w:rPr>
        <w:t>it</w:t>
      </w:r>
      <w:r>
        <w:rPr>
          <w:color w:val="231F20"/>
          <w:spacing w:val="33"/>
        </w:rPr>
        <w:t> </w:t>
      </w:r>
      <w:r>
        <w:rPr>
          <w:color w:val="231F20"/>
        </w:rPr>
        <w:t>is.</w:t>
      </w:r>
    </w:p>
    <w:p>
      <w:pPr>
        <w:spacing w:line="292" w:lineRule="auto" w:before="0"/>
        <w:ind w:left="919" w:right="664" w:firstLine="340"/>
        <w:jc w:val="both"/>
        <w:rPr>
          <w:sz w:val="21"/>
        </w:rPr>
      </w:pPr>
      <w:r>
        <w:rPr>
          <w:color w:val="231F20"/>
          <w:sz w:val="21"/>
        </w:rPr>
        <w:t>Other</w:t>
      </w:r>
      <w:r>
        <w:rPr>
          <w:color w:val="231F20"/>
          <w:spacing w:val="40"/>
          <w:sz w:val="21"/>
        </w:rPr>
        <w:t> </w:t>
      </w:r>
      <w:r>
        <w:rPr>
          <w:color w:val="231F20"/>
          <w:sz w:val="21"/>
        </w:rPr>
        <w:t>“radical”</w:t>
      </w:r>
      <w:r>
        <w:rPr>
          <w:color w:val="231F20"/>
          <w:spacing w:val="40"/>
          <w:sz w:val="21"/>
        </w:rPr>
        <w:t> </w:t>
      </w:r>
      <w:r>
        <w:rPr>
          <w:color w:val="231F20"/>
          <w:sz w:val="21"/>
        </w:rPr>
        <w:t>supply-side</w:t>
      </w:r>
      <w:r>
        <w:rPr>
          <w:color w:val="231F20"/>
          <w:spacing w:val="40"/>
          <w:sz w:val="21"/>
        </w:rPr>
        <w:t> </w:t>
      </w:r>
      <w:r>
        <w:rPr>
          <w:color w:val="231F20"/>
          <w:sz w:val="21"/>
        </w:rPr>
        <w:t>economists</w:t>
      </w:r>
      <w:r>
        <w:rPr>
          <w:color w:val="231F20"/>
          <w:spacing w:val="40"/>
          <w:sz w:val="21"/>
        </w:rPr>
        <w:t> </w:t>
      </w:r>
      <w:r>
        <w:rPr>
          <w:color w:val="231F20"/>
          <w:sz w:val="21"/>
        </w:rPr>
        <w:t>from</w:t>
      </w:r>
      <w:r>
        <w:rPr>
          <w:color w:val="231F20"/>
          <w:spacing w:val="40"/>
          <w:sz w:val="21"/>
        </w:rPr>
        <w:t> </w:t>
      </w:r>
      <w:r>
        <w:rPr>
          <w:color w:val="231F20"/>
          <w:sz w:val="21"/>
        </w:rPr>
        <w:t>the</w:t>
      </w:r>
      <w:r>
        <w:rPr>
          <w:color w:val="231F20"/>
          <w:spacing w:val="40"/>
          <w:sz w:val="21"/>
        </w:rPr>
        <w:t> </w:t>
      </w:r>
      <w:r>
        <w:rPr>
          <w:color w:val="231F20"/>
          <w:sz w:val="21"/>
        </w:rPr>
        <w:t>Reagan</w:t>
      </w:r>
      <w:r>
        <w:rPr>
          <w:color w:val="231F20"/>
          <w:spacing w:val="40"/>
          <w:sz w:val="21"/>
        </w:rPr>
        <w:t> </w:t>
      </w:r>
      <w:r>
        <w:rPr>
          <w:color w:val="231F20"/>
          <w:sz w:val="21"/>
        </w:rPr>
        <w:t>era who might creep into your economic conversations include George Gilder (</w:t>
      </w:r>
      <w:r>
        <w:rPr>
          <w:i/>
          <w:color w:val="231F20"/>
          <w:sz w:val="21"/>
        </w:rPr>
        <w:t>Wealth and Poverty, </w:t>
      </w:r>
      <w:r>
        <w:rPr>
          <w:color w:val="231F20"/>
          <w:sz w:val="21"/>
        </w:rPr>
        <w:t>1981) and Jude Wanniski (</w:t>
      </w:r>
      <w:r>
        <w:rPr>
          <w:i/>
          <w:color w:val="231F20"/>
          <w:sz w:val="21"/>
        </w:rPr>
        <w:t>The Way the</w:t>
      </w:r>
      <w:r>
        <w:rPr>
          <w:i/>
          <w:color w:val="231F20"/>
          <w:sz w:val="21"/>
        </w:rPr>
        <w:t> World Works, </w:t>
      </w:r>
      <w:r>
        <w:rPr>
          <w:color w:val="231F20"/>
          <w:sz w:val="21"/>
        </w:rPr>
        <w:t>1978).</w:t>
      </w:r>
    </w:p>
    <w:p>
      <w:pPr>
        <w:pStyle w:val="BodyText"/>
        <w:rPr>
          <w:sz w:val="24"/>
        </w:rPr>
      </w:pPr>
    </w:p>
    <w:p>
      <w:pPr>
        <w:pStyle w:val="BodyText"/>
        <w:spacing w:before="2"/>
        <w:rPr>
          <w:sz w:val="24"/>
        </w:rPr>
      </w:pPr>
    </w:p>
    <w:p>
      <w:pPr>
        <w:pStyle w:val="Heading4"/>
      </w:pPr>
      <w:r>
        <w:rPr>
          <w:color w:val="231F20"/>
          <w:spacing w:val="9"/>
          <w:w w:val="85"/>
        </w:rPr>
        <w:t>INTERNATIONAL</w:t>
      </w:r>
      <w:r>
        <w:rPr>
          <w:color w:val="231F20"/>
          <w:spacing w:val="-4"/>
          <w:w w:val="85"/>
        </w:rPr>
        <w:t> </w:t>
      </w:r>
      <w:r>
        <w:rPr>
          <w:color w:val="231F20"/>
          <w:spacing w:val="9"/>
          <w:w w:val="95"/>
        </w:rPr>
        <w:t>MACROECONOMICS</w:t>
      </w:r>
    </w:p>
    <w:p>
      <w:pPr>
        <w:pStyle w:val="BodyText"/>
        <w:spacing w:before="10"/>
        <w:rPr>
          <w:rFonts w:ascii="Trebuchet MS"/>
          <w:sz w:val="29"/>
        </w:rPr>
      </w:pPr>
    </w:p>
    <w:p>
      <w:pPr>
        <w:pStyle w:val="BodyText"/>
        <w:spacing w:line="292" w:lineRule="auto"/>
        <w:ind w:left="920" w:right="664"/>
        <w:jc w:val="both"/>
      </w:pPr>
      <w:r>
        <w:rPr>
          <w:color w:val="231F20"/>
        </w:rPr>
        <w:t>Taking an even broader view, macroeconomics in the international arena is a favorite of business schools. With the globalization of </w:t>
      </w:r>
      <w:r>
        <w:rPr>
          <w:color w:val="231F20"/>
        </w:rPr>
        <w:t>the world’s economy, international economics has become a popular</w:t>
      </w:r>
      <w:r>
        <w:rPr>
          <w:color w:val="231F20"/>
          <w:spacing w:val="40"/>
        </w:rPr>
        <w:t> </w:t>
      </w:r>
      <w:r>
        <w:rPr>
          <w:color w:val="231F20"/>
        </w:rPr>
        <w:t>part of the MBA curriculum. The admissions departments of the top schools make special efforts to have just the “right” mix of foreign students in each entering class to add that international flavor to the </w:t>
      </w:r>
      <w:r>
        <w:rPr>
          <w:color w:val="231F20"/>
          <w:spacing w:val="-2"/>
        </w:rPr>
        <w:t>classroom.</w:t>
      </w:r>
    </w:p>
    <w:p>
      <w:pPr>
        <w:spacing w:after="0" w:line="292" w:lineRule="auto"/>
        <w:jc w:val="both"/>
        <w:sectPr>
          <w:pgSz w:w="8640" w:h="12960"/>
          <w:pgMar w:header="734" w:footer="0" w:top="920" w:bottom="280" w:left="340" w:right="500"/>
        </w:sectPr>
      </w:pPr>
    </w:p>
    <w:p>
      <w:pPr>
        <w:pStyle w:val="BodyText"/>
        <w:spacing w:before="10"/>
        <w:rPr>
          <w:sz w:val="19"/>
        </w:rPr>
      </w:pPr>
    </w:p>
    <w:p>
      <w:pPr>
        <w:spacing w:before="96"/>
        <w:ind w:left="293" w:right="219" w:firstLine="0"/>
        <w:jc w:val="center"/>
        <w:rPr>
          <w:rFonts w:ascii="Arial"/>
          <w:sz w:val="14"/>
        </w:rPr>
      </w:pPr>
      <w:r>
        <w:rPr>
          <w:rFonts w:ascii="Arial"/>
          <w:color w:val="231F20"/>
          <w:w w:val="105"/>
          <w:sz w:val="14"/>
        </w:rPr>
        <w:t>THE</w:t>
      </w:r>
      <w:r>
        <w:rPr>
          <w:rFonts w:ascii="Arial"/>
          <w:color w:val="231F20"/>
          <w:spacing w:val="25"/>
          <w:w w:val="105"/>
          <w:sz w:val="14"/>
        </w:rPr>
        <w:t> </w:t>
      </w:r>
      <w:r>
        <w:rPr>
          <w:rFonts w:ascii="Arial"/>
          <w:color w:val="231F20"/>
          <w:w w:val="105"/>
          <w:sz w:val="14"/>
        </w:rPr>
        <w:t>LAFFER</w:t>
      </w:r>
      <w:r>
        <w:rPr>
          <w:rFonts w:ascii="Arial"/>
          <w:color w:val="231F20"/>
          <w:spacing w:val="26"/>
          <w:w w:val="105"/>
          <w:sz w:val="14"/>
        </w:rPr>
        <w:t> </w:t>
      </w:r>
      <w:r>
        <w:rPr>
          <w:rFonts w:ascii="Arial"/>
          <w:color w:val="231F20"/>
          <w:spacing w:val="-2"/>
          <w:w w:val="105"/>
          <w:sz w:val="14"/>
        </w:rPr>
        <w:t>CURVE</w:t>
      </w:r>
    </w:p>
    <w:p>
      <w:pPr>
        <w:pStyle w:val="BodyText"/>
        <w:spacing w:before="8"/>
        <w:rPr>
          <w:rFonts w:ascii="Arial"/>
          <w:sz w:val="15"/>
        </w:rPr>
      </w:pPr>
      <w:r>
        <w:rPr/>
        <w:drawing>
          <wp:anchor distT="0" distB="0" distL="0" distR="0" allowOverlap="1" layoutInCell="1" locked="0" behindDoc="0" simplePos="0" relativeHeight="364">
            <wp:simplePos x="0" y="0"/>
            <wp:positionH relativeFrom="page">
              <wp:posOffset>1260090</wp:posOffset>
            </wp:positionH>
            <wp:positionV relativeFrom="paragraph">
              <wp:posOffset>129969</wp:posOffset>
            </wp:positionV>
            <wp:extent cx="2914896" cy="1816607"/>
            <wp:effectExtent l="0" t="0" r="0" b="0"/>
            <wp:wrapTopAndBottom/>
            <wp:docPr id="137" name="image79.png"/>
            <wp:cNvGraphicFramePr>
              <a:graphicFrameLocks noChangeAspect="1"/>
            </wp:cNvGraphicFramePr>
            <a:graphic>
              <a:graphicData uri="http://schemas.openxmlformats.org/drawingml/2006/picture">
                <pic:pic>
                  <pic:nvPicPr>
                    <pic:cNvPr id="138" name="image79.png"/>
                    <pic:cNvPicPr/>
                  </pic:nvPicPr>
                  <pic:blipFill>
                    <a:blip r:embed="rId117" cstate="print"/>
                    <a:stretch>
                      <a:fillRect/>
                    </a:stretch>
                  </pic:blipFill>
                  <pic:spPr>
                    <a:xfrm>
                      <a:off x="0" y="0"/>
                      <a:ext cx="2914896" cy="1816607"/>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9"/>
        <w:rPr>
          <w:rFonts w:ascii="Arial"/>
          <w:sz w:val="14"/>
        </w:rPr>
      </w:pPr>
    </w:p>
    <w:p>
      <w:pPr>
        <w:pStyle w:val="Heading6"/>
        <w:ind w:left="299"/>
        <w:rPr>
          <w:i/>
        </w:rPr>
      </w:pPr>
      <w:r>
        <w:rPr>
          <w:i/>
          <w:color w:val="231F20"/>
          <w:w w:val="110"/>
        </w:rPr>
        <w:t>THE</w:t>
      </w:r>
      <w:r>
        <w:rPr>
          <w:i/>
          <w:color w:val="231F20"/>
          <w:spacing w:val="51"/>
          <w:w w:val="110"/>
        </w:rPr>
        <w:t> </w:t>
      </w:r>
      <w:r>
        <w:rPr>
          <w:i/>
          <w:color w:val="231F20"/>
          <w:w w:val="110"/>
        </w:rPr>
        <w:t>COMPARATIVE</w:t>
      </w:r>
      <w:r>
        <w:rPr>
          <w:i/>
          <w:color w:val="231F20"/>
          <w:spacing w:val="51"/>
          <w:w w:val="110"/>
        </w:rPr>
        <w:t> </w:t>
      </w:r>
      <w:r>
        <w:rPr>
          <w:i/>
          <w:color w:val="231F20"/>
          <w:w w:val="110"/>
        </w:rPr>
        <w:t>ADVANTAGE</w:t>
      </w:r>
      <w:r>
        <w:rPr>
          <w:i/>
          <w:color w:val="231F20"/>
          <w:spacing w:val="52"/>
          <w:w w:val="110"/>
        </w:rPr>
        <w:t> </w:t>
      </w:r>
      <w:r>
        <w:rPr>
          <w:i/>
          <w:color w:val="231F20"/>
          <w:w w:val="110"/>
        </w:rPr>
        <w:t>OF</w:t>
      </w:r>
      <w:r>
        <w:rPr>
          <w:i/>
          <w:color w:val="231F20"/>
          <w:spacing w:val="51"/>
          <w:w w:val="110"/>
        </w:rPr>
        <w:t> </w:t>
      </w:r>
      <w:r>
        <w:rPr>
          <w:i/>
          <w:color w:val="231F20"/>
          <w:spacing w:val="-2"/>
          <w:w w:val="110"/>
        </w:rPr>
        <w:t>NATIONS</w:t>
      </w:r>
    </w:p>
    <w:p>
      <w:pPr>
        <w:pStyle w:val="BodyText"/>
        <w:spacing w:before="2"/>
        <w:rPr>
          <w:b/>
          <w:i/>
          <w:sz w:val="30"/>
        </w:rPr>
      </w:pPr>
    </w:p>
    <w:p>
      <w:pPr>
        <w:pStyle w:val="BodyText"/>
        <w:spacing w:line="292" w:lineRule="auto"/>
        <w:ind w:left="829" w:right="753"/>
        <w:jc w:val="both"/>
      </w:pPr>
      <w:r>
        <w:rPr>
          <w:color w:val="231F20"/>
        </w:rPr>
        <w:t>In 1817, David Ricardo outlined the principles of </w:t>
      </w:r>
      <w:r>
        <w:rPr>
          <w:i/>
          <w:color w:val="231F20"/>
        </w:rPr>
        <w:t>comparative ad-</w:t>
      </w:r>
      <w:r>
        <w:rPr>
          <w:i/>
          <w:color w:val="231F20"/>
        </w:rPr>
        <w:t> vantage </w:t>
      </w:r>
      <w:r>
        <w:rPr>
          <w:color w:val="231F20"/>
        </w:rPr>
        <w:t>in his work </w:t>
      </w:r>
      <w:r>
        <w:rPr>
          <w:i/>
          <w:color w:val="231F20"/>
        </w:rPr>
        <w:t>Principles of Policy, Economy and Taxation. </w:t>
      </w:r>
      <w:r>
        <w:rPr>
          <w:color w:val="231F20"/>
        </w:rPr>
        <w:t>A comparative advantage of a nation is its ability to produce a </w:t>
      </w:r>
      <w:r>
        <w:rPr>
          <w:color w:val="231F20"/>
        </w:rPr>
        <w:t>product at</w:t>
      </w:r>
      <w:r>
        <w:rPr>
          <w:color w:val="231F20"/>
          <w:spacing w:val="40"/>
        </w:rPr>
        <w:t> </w:t>
      </w:r>
      <w:r>
        <w:rPr>
          <w:color w:val="231F20"/>
        </w:rPr>
        <w:t>a</w:t>
      </w:r>
      <w:r>
        <w:rPr>
          <w:color w:val="231F20"/>
          <w:spacing w:val="40"/>
        </w:rPr>
        <w:t> </w:t>
      </w:r>
      <w:r>
        <w:rPr>
          <w:color w:val="231F20"/>
        </w:rPr>
        <w:t>lower</w:t>
      </w:r>
      <w:r>
        <w:rPr>
          <w:color w:val="231F20"/>
          <w:spacing w:val="40"/>
        </w:rPr>
        <w:t> </w:t>
      </w:r>
      <w:r>
        <w:rPr>
          <w:color w:val="231F20"/>
        </w:rPr>
        <w:t>cost</w:t>
      </w:r>
      <w:r>
        <w:rPr>
          <w:color w:val="231F20"/>
          <w:spacing w:val="40"/>
        </w:rPr>
        <w:t> </w:t>
      </w:r>
      <w:r>
        <w:rPr>
          <w:color w:val="231F20"/>
        </w:rPr>
        <w:t>than</w:t>
      </w:r>
      <w:r>
        <w:rPr>
          <w:color w:val="231F20"/>
          <w:spacing w:val="40"/>
        </w:rPr>
        <w:t> </w:t>
      </w:r>
      <w:r>
        <w:rPr>
          <w:color w:val="231F20"/>
        </w:rPr>
        <w:t>its</w:t>
      </w:r>
      <w:r>
        <w:rPr>
          <w:color w:val="231F20"/>
          <w:spacing w:val="40"/>
        </w:rPr>
        <w:t> </w:t>
      </w:r>
      <w:r>
        <w:rPr>
          <w:color w:val="231F20"/>
        </w:rPr>
        <w:t>trading</w:t>
      </w:r>
      <w:r>
        <w:rPr>
          <w:color w:val="231F20"/>
          <w:spacing w:val="40"/>
        </w:rPr>
        <w:t> </w:t>
      </w:r>
      <w:r>
        <w:rPr>
          <w:color w:val="231F20"/>
        </w:rPr>
        <w:t>partners.</w:t>
      </w:r>
      <w:r>
        <w:rPr>
          <w:color w:val="231F20"/>
          <w:spacing w:val="40"/>
        </w:rPr>
        <w:t> </w:t>
      </w:r>
      <w:r>
        <w:rPr>
          <w:color w:val="231F20"/>
        </w:rPr>
        <w:t>Nations</w:t>
      </w:r>
      <w:r>
        <w:rPr>
          <w:color w:val="231F20"/>
          <w:spacing w:val="40"/>
        </w:rPr>
        <w:t> </w:t>
      </w:r>
      <w:r>
        <w:rPr>
          <w:color w:val="231F20"/>
        </w:rPr>
        <w:t>theoretically should maximize the production of goods that they produce most efficiently because of availability of land, labor, or good weather.</w:t>
      </w:r>
      <w:r>
        <w:rPr>
          <w:color w:val="231F20"/>
          <w:spacing w:val="40"/>
        </w:rPr>
        <w:t> </w:t>
      </w:r>
      <w:r>
        <w:rPr>
          <w:color w:val="231F20"/>
        </w:rPr>
        <w:t>Even if a country is able to produce a product at an absolute lower cost relative to another nation, that nation should maximize the out- put of products that it produces more efficiently than other nations. Ricardo proposed that Portugal export wine to England and import wool from England even though both products are produced at ab- solutely lower costs in Portugal. The rationale is that Portugal is</w:t>
      </w:r>
      <w:r>
        <w:rPr>
          <w:color w:val="231F20"/>
          <w:spacing w:val="40"/>
        </w:rPr>
        <w:t> </w:t>
      </w:r>
      <w:r>
        <w:rPr>
          <w:color w:val="231F20"/>
        </w:rPr>
        <w:t>more efficient at producing wine than wool and it has a limited pro- ductive capacity. Therefore its capacity is best utilized for wine, and thus wool should be imported from England.</w:t>
      </w:r>
    </w:p>
    <w:p>
      <w:pPr>
        <w:pStyle w:val="BodyText"/>
        <w:spacing w:line="292" w:lineRule="auto"/>
        <w:ind w:left="829" w:right="753" w:firstLine="340"/>
        <w:jc w:val="both"/>
      </w:pPr>
      <w:r>
        <w:rPr>
          <w:color w:val="231F20"/>
          <w:w w:val="105"/>
        </w:rPr>
        <w:t>In</w:t>
      </w:r>
      <w:r>
        <w:rPr>
          <w:color w:val="231F20"/>
          <w:w w:val="105"/>
        </w:rPr>
        <w:t> the</w:t>
      </w:r>
      <w:r>
        <w:rPr>
          <w:color w:val="231F20"/>
          <w:w w:val="105"/>
        </w:rPr>
        <w:t> U.S.-Japanese</w:t>
      </w:r>
      <w:r>
        <w:rPr>
          <w:color w:val="231F20"/>
          <w:w w:val="105"/>
        </w:rPr>
        <w:t> trading</w:t>
      </w:r>
      <w:r>
        <w:rPr>
          <w:color w:val="231F20"/>
          <w:w w:val="105"/>
        </w:rPr>
        <w:t> relationship,</w:t>
      </w:r>
      <w:r>
        <w:rPr>
          <w:color w:val="231F20"/>
          <w:w w:val="105"/>
        </w:rPr>
        <w:t> the</w:t>
      </w:r>
      <w:r>
        <w:rPr>
          <w:color w:val="231F20"/>
          <w:w w:val="105"/>
        </w:rPr>
        <w:t> United</w:t>
      </w:r>
      <w:r>
        <w:rPr>
          <w:color w:val="231F20"/>
          <w:w w:val="105"/>
        </w:rPr>
        <w:t> States </w:t>
      </w:r>
      <w:r>
        <w:rPr>
          <w:color w:val="231F20"/>
          <w:spacing w:val="-2"/>
          <w:w w:val="105"/>
        </w:rPr>
        <w:t>should</w:t>
      </w:r>
      <w:r>
        <w:rPr>
          <w:color w:val="231F20"/>
          <w:spacing w:val="-6"/>
          <w:w w:val="105"/>
        </w:rPr>
        <w:t> </w:t>
      </w:r>
      <w:r>
        <w:rPr>
          <w:color w:val="231F20"/>
          <w:spacing w:val="-2"/>
          <w:w w:val="105"/>
        </w:rPr>
        <w:t>maximize</w:t>
      </w:r>
      <w:r>
        <w:rPr>
          <w:color w:val="231F20"/>
          <w:spacing w:val="-6"/>
          <w:w w:val="105"/>
        </w:rPr>
        <w:t> </w:t>
      </w:r>
      <w:r>
        <w:rPr>
          <w:color w:val="231F20"/>
          <w:spacing w:val="-2"/>
          <w:w w:val="105"/>
        </w:rPr>
        <w:t>its</w:t>
      </w:r>
      <w:r>
        <w:rPr>
          <w:color w:val="231F20"/>
          <w:spacing w:val="-6"/>
          <w:w w:val="105"/>
        </w:rPr>
        <w:t> </w:t>
      </w:r>
      <w:r>
        <w:rPr>
          <w:color w:val="231F20"/>
          <w:spacing w:val="-2"/>
          <w:w w:val="105"/>
        </w:rPr>
        <w:t>ability</w:t>
      </w:r>
      <w:r>
        <w:rPr>
          <w:color w:val="231F20"/>
          <w:spacing w:val="-6"/>
          <w:w w:val="105"/>
        </w:rPr>
        <w:t> </w:t>
      </w:r>
      <w:r>
        <w:rPr>
          <w:color w:val="231F20"/>
          <w:spacing w:val="-2"/>
          <w:w w:val="105"/>
        </w:rPr>
        <w:t>to</w:t>
      </w:r>
      <w:r>
        <w:rPr>
          <w:color w:val="231F20"/>
          <w:spacing w:val="-6"/>
          <w:w w:val="105"/>
        </w:rPr>
        <w:t> </w:t>
      </w:r>
      <w:r>
        <w:rPr>
          <w:color w:val="231F20"/>
          <w:spacing w:val="-2"/>
          <w:w w:val="105"/>
        </w:rPr>
        <w:t>produce</w:t>
      </w:r>
      <w:r>
        <w:rPr>
          <w:color w:val="231F20"/>
          <w:spacing w:val="-6"/>
          <w:w w:val="105"/>
        </w:rPr>
        <w:t> </w:t>
      </w:r>
      <w:r>
        <w:rPr>
          <w:color w:val="231F20"/>
          <w:spacing w:val="-2"/>
          <w:w w:val="105"/>
        </w:rPr>
        <w:t>food</w:t>
      </w:r>
      <w:r>
        <w:rPr>
          <w:color w:val="231F20"/>
          <w:spacing w:val="-6"/>
          <w:w w:val="105"/>
        </w:rPr>
        <w:t> </w:t>
      </w:r>
      <w:r>
        <w:rPr>
          <w:color w:val="231F20"/>
          <w:spacing w:val="-2"/>
          <w:w w:val="105"/>
        </w:rPr>
        <w:t>at</w:t>
      </w:r>
      <w:r>
        <w:rPr>
          <w:color w:val="231F20"/>
          <w:spacing w:val="-6"/>
          <w:w w:val="105"/>
        </w:rPr>
        <w:t> </w:t>
      </w:r>
      <w:r>
        <w:rPr>
          <w:color w:val="231F20"/>
          <w:spacing w:val="-2"/>
          <w:w w:val="105"/>
        </w:rPr>
        <w:t>a</w:t>
      </w:r>
      <w:r>
        <w:rPr>
          <w:color w:val="231F20"/>
          <w:spacing w:val="-6"/>
          <w:w w:val="105"/>
        </w:rPr>
        <w:t> </w:t>
      </w:r>
      <w:r>
        <w:rPr>
          <w:color w:val="231F20"/>
          <w:spacing w:val="-2"/>
          <w:w w:val="105"/>
        </w:rPr>
        <w:t>lower</w:t>
      </w:r>
      <w:r>
        <w:rPr>
          <w:color w:val="231F20"/>
          <w:spacing w:val="-6"/>
          <w:w w:val="105"/>
        </w:rPr>
        <w:t> </w:t>
      </w:r>
      <w:r>
        <w:rPr>
          <w:color w:val="231F20"/>
          <w:spacing w:val="-2"/>
          <w:w w:val="105"/>
        </w:rPr>
        <w:t>cost.</w:t>
      </w:r>
      <w:r>
        <w:rPr>
          <w:color w:val="231F20"/>
          <w:spacing w:val="-6"/>
          <w:w w:val="105"/>
        </w:rPr>
        <w:t> </w:t>
      </w:r>
      <w:r>
        <w:rPr>
          <w:color w:val="231F20"/>
          <w:spacing w:val="-2"/>
          <w:w w:val="105"/>
        </w:rPr>
        <w:t>America </w:t>
      </w:r>
      <w:r>
        <w:rPr>
          <w:color w:val="231F20"/>
          <w:w w:val="105"/>
        </w:rPr>
        <w:t>has</w:t>
      </w:r>
      <w:r>
        <w:rPr>
          <w:color w:val="231F20"/>
          <w:spacing w:val="-9"/>
          <w:w w:val="105"/>
        </w:rPr>
        <w:t> </w:t>
      </w:r>
      <w:r>
        <w:rPr>
          <w:color w:val="231F20"/>
          <w:w w:val="105"/>
        </w:rPr>
        <w:t>plenty</w:t>
      </w:r>
      <w:r>
        <w:rPr>
          <w:color w:val="231F20"/>
          <w:spacing w:val="-9"/>
          <w:w w:val="105"/>
        </w:rPr>
        <w:t> </w:t>
      </w:r>
      <w:r>
        <w:rPr>
          <w:color w:val="231F20"/>
          <w:w w:val="105"/>
        </w:rPr>
        <w:t>of</w:t>
      </w:r>
      <w:r>
        <w:rPr>
          <w:color w:val="231F20"/>
          <w:spacing w:val="-9"/>
          <w:w w:val="105"/>
        </w:rPr>
        <w:t> </w:t>
      </w:r>
      <w:r>
        <w:rPr>
          <w:color w:val="231F20"/>
          <w:w w:val="105"/>
        </w:rPr>
        <w:t>good</w:t>
      </w:r>
      <w:r>
        <w:rPr>
          <w:color w:val="231F20"/>
          <w:spacing w:val="-9"/>
          <w:w w:val="105"/>
        </w:rPr>
        <w:t> </w:t>
      </w:r>
      <w:r>
        <w:rPr>
          <w:color w:val="231F20"/>
          <w:w w:val="105"/>
        </w:rPr>
        <w:t>farmland,</w:t>
      </w:r>
      <w:r>
        <w:rPr>
          <w:color w:val="231F20"/>
          <w:spacing w:val="-9"/>
          <w:w w:val="105"/>
        </w:rPr>
        <w:t> </w:t>
      </w:r>
      <w:r>
        <w:rPr>
          <w:color w:val="231F20"/>
          <w:w w:val="105"/>
        </w:rPr>
        <w:t>machinery,</w:t>
      </w:r>
      <w:r>
        <w:rPr>
          <w:color w:val="231F20"/>
          <w:spacing w:val="-9"/>
          <w:w w:val="105"/>
        </w:rPr>
        <w:t> </w:t>
      </w:r>
      <w:r>
        <w:rPr>
          <w:color w:val="231F20"/>
          <w:w w:val="105"/>
        </w:rPr>
        <w:t>fertilizer,</w:t>
      </w:r>
      <w:r>
        <w:rPr>
          <w:color w:val="231F20"/>
          <w:spacing w:val="-9"/>
          <w:w w:val="105"/>
        </w:rPr>
        <w:t> </w:t>
      </w:r>
      <w:r>
        <w:rPr>
          <w:color w:val="231F20"/>
          <w:w w:val="105"/>
        </w:rPr>
        <w:t>technical</w:t>
      </w:r>
      <w:r>
        <w:rPr>
          <w:color w:val="231F20"/>
          <w:spacing w:val="-9"/>
          <w:w w:val="105"/>
        </w:rPr>
        <w:t> </w:t>
      </w:r>
      <w:r>
        <w:rPr>
          <w:color w:val="231F20"/>
          <w:w w:val="105"/>
        </w:rPr>
        <w:t>exper- tise,</w:t>
      </w:r>
      <w:r>
        <w:rPr>
          <w:color w:val="231F20"/>
          <w:spacing w:val="-2"/>
          <w:w w:val="105"/>
        </w:rPr>
        <w:t> </w:t>
      </w:r>
      <w:r>
        <w:rPr>
          <w:color w:val="231F20"/>
          <w:w w:val="105"/>
        </w:rPr>
        <w:t>and</w:t>
      </w:r>
      <w:r>
        <w:rPr>
          <w:color w:val="231F20"/>
          <w:spacing w:val="-2"/>
          <w:w w:val="105"/>
        </w:rPr>
        <w:t> </w:t>
      </w:r>
      <w:r>
        <w:rPr>
          <w:color w:val="231F20"/>
          <w:w w:val="105"/>
        </w:rPr>
        <w:t>labor.</w:t>
      </w:r>
      <w:r>
        <w:rPr>
          <w:color w:val="231F20"/>
          <w:spacing w:val="-2"/>
          <w:w w:val="105"/>
        </w:rPr>
        <w:t> </w:t>
      </w:r>
      <w:r>
        <w:rPr>
          <w:color w:val="231F20"/>
          <w:w w:val="105"/>
        </w:rPr>
        <w:t>U.S.</w:t>
      </w:r>
      <w:r>
        <w:rPr>
          <w:color w:val="231F20"/>
          <w:spacing w:val="-2"/>
          <w:w w:val="105"/>
        </w:rPr>
        <w:t> </w:t>
      </w:r>
      <w:r>
        <w:rPr>
          <w:color w:val="231F20"/>
          <w:w w:val="105"/>
        </w:rPr>
        <w:t>farm</w:t>
      </w:r>
      <w:r>
        <w:rPr>
          <w:color w:val="231F20"/>
          <w:spacing w:val="-2"/>
          <w:w w:val="105"/>
        </w:rPr>
        <w:t> </w:t>
      </w:r>
      <w:r>
        <w:rPr>
          <w:color w:val="231F20"/>
          <w:w w:val="105"/>
        </w:rPr>
        <w:t>productivity</w:t>
      </w:r>
      <w:r>
        <w:rPr>
          <w:color w:val="231F20"/>
          <w:spacing w:val="-2"/>
          <w:w w:val="105"/>
        </w:rPr>
        <w:t> </w:t>
      </w:r>
      <w:r>
        <w:rPr>
          <w:color w:val="231F20"/>
          <w:w w:val="105"/>
        </w:rPr>
        <w:t>is</w:t>
      </w:r>
      <w:r>
        <w:rPr>
          <w:color w:val="231F20"/>
          <w:spacing w:val="-2"/>
          <w:w w:val="105"/>
        </w:rPr>
        <w:t> </w:t>
      </w:r>
      <w:r>
        <w:rPr>
          <w:color w:val="231F20"/>
          <w:w w:val="105"/>
        </w:rPr>
        <w:t>three</w:t>
      </w:r>
      <w:r>
        <w:rPr>
          <w:color w:val="231F20"/>
          <w:spacing w:val="-2"/>
          <w:w w:val="105"/>
        </w:rPr>
        <w:t> </w:t>
      </w:r>
      <w:r>
        <w:rPr>
          <w:color w:val="231F20"/>
          <w:w w:val="105"/>
        </w:rPr>
        <w:t>times</w:t>
      </w:r>
      <w:r>
        <w:rPr>
          <w:color w:val="231F20"/>
          <w:spacing w:val="-2"/>
          <w:w w:val="105"/>
        </w:rPr>
        <w:t> </w:t>
      </w:r>
      <w:r>
        <w:rPr>
          <w:color w:val="231F20"/>
          <w:w w:val="105"/>
        </w:rPr>
        <w:t>Japan’s.</w:t>
      </w:r>
      <w:r>
        <w:rPr>
          <w:color w:val="231F20"/>
          <w:spacing w:val="-2"/>
          <w:w w:val="105"/>
        </w:rPr>
        <w:t> </w:t>
      </w:r>
      <w:r>
        <w:rPr>
          <w:color w:val="231F20"/>
          <w:w w:val="105"/>
        </w:rPr>
        <w:t>Japan, on</w:t>
      </w:r>
      <w:r>
        <w:rPr>
          <w:color w:val="231F20"/>
          <w:w w:val="105"/>
        </w:rPr>
        <w:t> the</w:t>
      </w:r>
      <w:r>
        <w:rPr>
          <w:color w:val="231F20"/>
          <w:w w:val="105"/>
        </w:rPr>
        <w:t> other</w:t>
      </w:r>
      <w:r>
        <w:rPr>
          <w:color w:val="231F20"/>
          <w:w w:val="105"/>
        </w:rPr>
        <w:t> hand,</w:t>
      </w:r>
      <w:r>
        <w:rPr>
          <w:color w:val="231F20"/>
          <w:w w:val="105"/>
        </w:rPr>
        <w:t> is</w:t>
      </w:r>
      <w:r>
        <w:rPr>
          <w:color w:val="231F20"/>
          <w:w w:val="105"/>
        </w:rPr>
        <w:t> good</w:t>
      </w:r>
      <w:r>
        <w:rPr>
          <w:color w:val="231F20"/>
          <w:w w:val="105"/>
        </w:rPr>
        <w:t> at</w:t>
      </w:r>
      <w:r>
        <w:rPr>
          <w:color w:val="231F20"/>
          <w:w w:val="105"/>
        </w:rPr>
        <w:t> producing</w:t>
      </w:r>
      <w:r>
        <w:rPr>
          <w:color w:val="231F20"/>
          <w:w w:val="105"/>
        </w:rPr>
        <w:t> electronics</w:t>
      </w:r>
      <w:r>
        <w:rPr>
          <w:color w:val="231F20"/>
          <w:w w:val="105"/>
        </w:rPr>
        <w:t> and</w:t>
      </w:r>
      <w:r>
        <w:rPr>
          <w:color w:val="231F20"/>
          <w:w w:val="105"/>
        </w:rPr>
        <w:t> automo- biles.</w:t>
      </w:r>
      <w:r>
        <w:rPr>
          <w:color w:val="231F20"/>
          <w:spacing w:val="34"/>
          <w:w w:val="105"/>
        </w:rPr>
        <w:t> </w:t>
      </w:r>
      <w:r>
        <w:rPr>
          <w:color w:val="231F20"/>
          <w:w w:val="105"/>
        </w:rPr>
        <w:t>Theoretically,</w:t>
      </w:r>
      <w:r>
        <w:rPr>
          <w:color w:val="231F20"/>
          <w:spacing w:val="35"/>
          <w:w w:val="105"/>
        </w:rPr>
        <w:t> </w:t>
      </w:r>
      <w:r>
        <w:rPr>
          <w:color w:val="231F20"/>
          <w:w w:val="105"/>
        </w:rPr>
        <w:t>if</w:t>
      </w:r>
      <w:r>
        <w:rPr>
          <w:color w:val="231F20"/>
          <w:spacing w:val="35"/>
          <w:w w:val="105"/>
        </w:rPr>
        <w:t> </w:t>
      </w:r>
      <w:r>
        <w:rPr>
          <w:color w:val="231F20"/>
          <w:w w:val="105"/>
        </w:rPr>
        <w:t>these</w:t>
      </w:r>
      <w:r>
        <w:rPr>
          <w:color w:val="231F20"/>
          <w:spacing w:val="34"/>
          <w:w w:val="105"/>
        </w:rPr>
        <w:t> </w:t>
      </w:r>
      <w:r>
        <w:rPr>
          <w:color w:val="231F20"/>
          <w:w w:val="105"/>
        </w:rPr>
        <w:t>were</w:t>
      </w:r>
      <w:r>
        <w:rPr>
          <w:color w:val="231F20"/>
          <w:spacing w:val="35"/>
          <w:w w:val="105"/>
        </w:rPr>
        <w:t> </w:t>
      </w:r>
      <w:r>
        <w:rPr>
          <w:color w:val="231F20"/>
          <w:w w:val="105"/>
        </w:rPr>
        <w:t>the</w:t>
      </w:r>
      <w:r>
        <w:rPr>
          <w:color w:val="231F20"/>
          <w:spacing w:val="35"/>
          <w:w w:val="105"/>
        </w:rPr>
        <w:t> </w:t>
      </w:r>
      <w:r>
        <w:rPr>
          <w:color w:val="231F20"/>
          <w:w w:val="105"/>
        </w:rPr>
        <w:t>only</w:t>
      </w:r>
      <w:r>
        <w:rPr>
          <w:color w:val="231F20"/>
          <w:spacing w:val="34"/>
          <w:w w:val="105"/>
        </w:rPr>
        <w:t> </w:t>
      </w:r>
      <w:r>
        <w:rPr>
          <w:color w:val="231F20"/>
          <w:w w:val="105"/>
        </w:rPr>
        <w:t>two</w:t>
      </w:r>
      <w:r>
        <w:rPr>
          <w:color w:val="231F20"/>
          <w:spacing w:val="35"/>
          <w:w w:val="105"/>
        </w:rPr>
        <w:t> </w:t>
      </w:r>
      <w:r>
        <w:rPr>
          <w:color w:val="231F20"/>
          <w:w w:val="105"/>
        </w:rPr>
        <w:t>countries</w:t>
      </w:r>
      <w:r>
        <w:rPr>
          <w:color w:val="231F20"/>
          <w:spacing w:val="35"/>
          <w:w w:val="105"/>
        </w:rPr>
        <w:t> </w:t>
      </w:r>
      <w:r>
        <w:rPr>
          <w:color w:val="231F20"/>
          <w:w w:val="105"/>
        </w:rPr>
        <w:t>in</w:t>
      </w:r>
      <w:r>
        <w:rPr>
          <w:color w:val="231F20"/>
          <w:spacing w:val="34"/>
          <w:w w:val="105"/>
        </w:rPr>
        <w:t> </w:t>
      </w:r>
      <w:r>
        <w:rPr>
          <w:color w:val="231F20"/>
          <w:spacing w:val="-5"/>
          <w:w w:val="105"/>
        </w:rPr>
        <w:t>the</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3"/>
        <w:jc w:val="both"/>
      </w:pPr>
      <w:r>
        <w:rPr>
          <w:color w:val="231F20"/>
        </w:rPr>
        <w:t>world, the United States should slash all electronics production </w:t>
      </w:r>
      <w:r>
        <w:rPr>
          <w:color w:val="231F20"/>
        </w:rPr>
        <w:t>and shift its emphasis to food production. The Japanese, conversely, should stop their inefficient food production. In reality, however, there are other national agenda and special interests at work that prompt</w:t>
      </w:r>
      <w:r>
        <w:rPr>
          <w:color w:val="231F20"/>
          <w:spacing w:val="-1"/>
        </w:rPr>
        <w:t> </w:t>
      </w:r>
      <w:r>
        <w:rPr>
          <w:color w:val="231F20"/>
        </w:rPr>
        <w:t>nations</w:t>
      </w:r>
      <w:r>
        <w:rPr>
          <w:color w:val="231F20"/>
          <w:spacing w:val="-1"/>
        </w:rPr>
        <w:t> </w:t>
      </w:r>
      <w:r>
        <w:rPr>
          <w:color w:val="231F20"/>
        </w:rPr>
        <w:t>to</w:t>
      </w:r>
      <w:r>
        <w:rPr>
          <w:color w:val="231F20"/>
          <w:spacing w:val="-1"/>
        </w:rPr>
        <w:t> </w:t>
      </w:r>
      <w:r>
        <w:rPr>
          <w:color w:val="231F20"/>
        </w:rPr>
        <w:t>erect</w:t>
      </w:r>
      <w:r>
        <w:rPr>
          <w:color w:val="231F20"/>
          <w:spacing w:val="-1"/>
        </w:rPr>
        <w:t> </w:t>
      </w:r>
      <w:r>
        <w:rPr>
          <w:color w:val="231F20"/>
        </w:rPr>
        <w:t>trade</w:t>
      </w:r>
      <w:r>
        <w:rPr>
          <w:color w:val="231F20"/>
          <w:spacing w:val="-1"/>
        </w:rPr>
        <w:t> </w:t>
      </w:r>
      <w:r>
        <w:rPr>
          <w:color w:val="231F20"/>
        </w:rPr>
        <w:t>barriers.</w:t>
      </w:r>
      <w:r>
        <w:rPr>
          <w:color w:val="231F20"/>
          <w:spacing w:val="-1"/>
        </w:rPr>
        <w:t> </w:t>
      </w:r>
      <w:r>
        <w:rPr>
          <w:color w:val="231F20"/>
        </w:rPr>
        <w:t>These</w:t>
      </w:r>
      <w:r>
        <w:rPr>
          <w:color w:val="231F20"/>
          <w:spacing w:val="-1"/>
        </w:rPr>
        <w:t> </w:t>
      </w:r>
      <w:r>
        <w:rPr>
          <w:color w:val="231F20"/>
        </w:rPr>
        <w:t>prevent</w:t>
      </w:r>
      <w:r>
        <w:rPr>
          <w:color w:val="231F20"/>
          <w:spacing w:val="-1"/>
        </w:rPr>
        <w:t> </w:t>
      </w:r>
      <w:r>
        <w:rPr>
          <w:color w:val="231F20"/>
        </w:rPr>
        <w:t>the</w:t>
      </w:r>
      <w:r>
        <w:rPr>
          <w:color w:val="231F20"/>
          <w:spacing w:val="-1"/>
        </w:rPr>
        <w:t> </w:t>
      </w:r>
      <w:r>
        <w:rPr>
          <w:color w:val="231F20"/>
        </w:rPr>
        <w:t>efficiencies of comparative advantage from working. Trade barriers such as</w:t>
      </w:r>
      <w:r>
        <w:rPr>
          <w:color w:val="231F20"/>
          <w:spacing w:val="80"/>
        </w:rPr>
        <w:t> </w:t>
      </w:r>
      <w:r>
        <w:rPr>
          <w:color w:val="231F20"/>
        </w:rPr>
        <w:t>taxes on imports, import quotas, or other trading rules are govern- mental attempts to protect domestic industries and jobs. MBA</w:t>
      </w:r>
      <w:r>
        <w:rPr>
          <w:color w:val="231F20"/>
          <w:spacing w:val="40"/>
        </w:rPr>
        <w:t> </w:t>
      </w:r>
      <w:r>
        <w:rPr>
          <w:color w:val="231F20"/>
        </w:rPr>
        <w:t>schools consistently preach that tariffs and trade barriers are “bad,” and free trade is preferred for long-term economic growth.</w:t>
      </w:r>
    </w:p>
    <w:p>
      <w:pPr>
        <w:pStyle w:val="BodyText"/>
        <w:rPr>
          <w:sz w:val="24"/>
        </w:rPr>
      </w:pPr>
    </w:p>
    <w:p>
      <w:pPr>
        <w:pStyle w:val="BodyText"/>
        <w:spacing w:before="10"/>
        <w:rPr>
          <w:sz w:val="26"/>
        </w:rPr>
      </w:pPr>
    </w:p>
    <w:p>
      <w:pPr>
        <w:pStyle w:val="Heading6"/>
        <w:rPr>
          <w:i/>
        </w:rPr>
      </w:pPr>
      <w:r>
        <w:rPr>
          <w:i/>
          <w:color w:val="231F20"/>
          <w:w w:val="110"/>
        </w:rPr>
        <w:t>BALANCE</w:t>
      </w:r>
      <w:r>
        <w:rPr>
          <w:i/>
          <w:color w:val="231F20"/>
          <w:spacing w:val="58"/>
          <w:w w:val="110"/>
        </w:rPr>
        <w:t> </w:t>
      </w:r>
      <w:r>
        <w:rPr>
          <w:i/>
          <w:color w:val="231F20"/>
          <w:w w:val="110"/>
        </w:rPr>
        <w:t>OF</w:t>
      </w:r>
      <w:r>
        <w:rPr>
          <w:i/>
          <w:color w:val="231F20"/>
          <w:spacing w:val="58"/>
          <w:w w:val="110"/>
        </w:rPr>
        <w:t> </w:t>
      </w:r>
      <w:r>
        <w:rPr>
          <w:i/>
          <w:color w:val="231F20"/>
          <w:spacing w:val="-2"/>
          <w:w w:val="110"/>
        </w:rPr>
        <w:t>PAYMENTS</w:t>
      </w:r>
    </w:p>
    <w:p>
      <w:pPr>
        <w:pStyle w:val="BodyText"/>
        <w:spacing w:before="2"/>
        <w:rPr>
          <w:b/>
          <w:i/>
          <w:sz w:val="30"/>
        </w:rPr>
      </w:pPr>
    </w:p>
    <w:p>
      <w:pPr>
        <w:pStyle w:val="BodyText"/>
        <w:spacing w:line="292" w:lineRule="auto"/>
        <w:ind w:left="919" w:right="664"/>
        <w:jc w:val="both"/>
      </w:pPr>
      <w:r>
        <w:rPr>
          <w:color w:val="231F20"/>
        </w:rPr>
        <w:t>Just as companies keep track of their transactions with financial statements, entire nations keep track of their international transac- tions via </w:t>
      </w:r>
      <w:r>
        <w:rPr>
          <w:i/>
          <w:color w:val="231F20"/>
        </w:rPr>
        <w:t>balance of payments </w:t>
      </w:r>
      <w:r>
        <w:rPr>
          <w:color w:val="231F20"/>
        </w:rPr>
        <w:t>(BOP) accounting. The BOP </w:t>
      </w:r>
      <w:r>
        <w:rPr>
          <w:color w:val="231F20"/>
        </w:rPr>
        <w:t>registers the changes in a country’s financial claims and obligations with all other countries. It is similar to an accountant’s cash flow statement. Balance of payments accounting shows changes in </w:t>
      </w:r>
      <w:r>
        <w:rPr>
          <w:i/>
          <w:color w:val="231F20"/>
        </w:rPr>
        <w:t>foreign exchange</w:t>
      </w:r>
      <w:r>
        <w:rPr>
          <w:i/>
          <w:color w:val="231F20"/>
        </w:rPr>
        <w:t> </w:t>
      </w:r>
      <w:r>
        <w:rPr>
          <w:color w:val="231F20"/>
        </w:rPr>
        <w:t>for a period of time. Foreign exchange is the balance of liquid assets such as cash and gold reserves that can be used to make interna- tional payments.</w:t>
      </w:r>
    </w:p>
    <w:p>
      <w:pPr>
        <w:pStyle w:val="BodyText"/>
        <w:spacing w:before="8"/>
        <w:rPr>
          <w:sz w:val="26"/>
        </w:rPr>
      </w:pPr>
    </w:p>
    <w:tbl>
      <w:tblPr>
        <w:tblW w:w="0" w:type="auto"/>
        <w:jc w:val="left"/>
        <w:tblInd w:w="1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85"/>
        <w:gridCol w:w="2810"/>
      </w:tblGrid>
      <w:tr>
        <w:trPr>
          <w:trHeight w:val="264" w:hRule="atLeast"/>
        </w:trPr>
        <w:tc>
          <w:tcPr>
            <w:tcW w:w="2785" w:type="dxa"/>
          </w:tcPr>
          <w:p>
            <w:pPr>
              <w:pStyle w:val="TableParagraph"/>
              <w:spacing w:line="227" w:lineRule="exact" w:before="0"/>
              <w:ind w:left="50"/>
              <w:jc w:val="left"/>
              <w:rPr>
                <w:b/>
                <w:i/>
                <w:sz w:val="20"/>
              </w:rPr>
            </w:pPr>
            <w:r>
              <w:rPr>
                <w:b/>
                <w:i/>
                <w:color w:val="231F20"/>
                <w:w w:val="105"/>
                <w:sz w:val="20"/>
              </w:rPr>
              <w:t>SOURCES</w:t>
            </w:r>
            <w:r>
              <w:rPr>
                <w:b/>
                <w:i/>
                <w:color w:val="231F20"/>
                <w:spacing w:val="35"/>
                <w:w w:val="105"/>
                <w:sz w:val="20"/>
              </w:rPr>
              <w:t> </w:t>
            </w:r>
            <w:r>
              <w:rPr>
                <w:b/>
                <w:i/>
                <w:color w:val="231F20"/>
                <w:spacing w:val="-5"/>
                <w:w w:val="105"/>
                <w:sz w:val="20"/>
              </w:rPr>
              <w:t>OF</w:t>
            </w:r>
          </w:p>
        </w:tc>
        <w:tc>
          <w:tcPr>
            <w:tcW w:w="2810" w:type="dxa"/>
          </w:tcPr>
          <w:p>
            <w:pPr>
              <w:pStyle w:val="TableParagraph"/>
              <w:spacing w:line="227" w:lineRule="exact" w:before="0"/>
              <w:ind w:left="155"/>
              <w:jc w:val="left"/>
              <w:rPr>
                <w:b/>
                <w:i/>
                <w:sz w:val="20"/>
              </w:rPr>
            </w:pPr>
            <w:r>
              <w:rPr>
                <w:b/>
                <w:i/>
                <w:color w:val="231F20"/>
                <w:w w:val="110"/>
                <w:sz w:val="20"/>
              </w:rPr>
              <w:t>USES</w:t>
            </w:r>
            <w:r>
              <w:rPr>
                <w:b/>
                <w:i/>
                <w:color w:val="231F20"/>
                <w:spacing w:val="5"/>
                <w:w w:val="110"/>
                <w:sz w:val="20"/>
              </w:rPr>
              <w:t> </w:t>
            </w:r>
            <w:r>
              <w:rPr>
                <w:b/>
                <w:i/>
                <w:color w:val="231F20"/>
                <w:spacing w:val="-5"/>
                <w:w w:val="110"/>
                <w:sz w:val="20"/>
              </w:rPr>
              <w:t>OF</w:t>
            </w:r>
          </w:p>
        </w:tc>
      </w:tr>
      <w:tr>
        <w:trPr>
          <w:trHeight w:val="290" w:hRule="atLeast"/>
        </w:trPr>
        <w:tc>
          <w:tcPr>
            <w:tcW w:w="2785" w:type="dxa"/>
          </w:tcPr>
          <w:p>
            <w:pPr>
              <w:pStyle w:val="TableParagraph"/>
              <w:spacing w:before="28"/>
              <w:ind w:left="50"/>
              <w:jc w:val="left"/>
              <w:rPr>
                <w:b/>
                <w:i/>
                <w:sz w:val="20"/>
              </w:rPr>
            </w:pPr>
            <w:r>
              <w:rPr>
                <w:b/>
                <w:i/>
                <w:color w:val="231F20"/>
                <w:w w:val="110"/>
                <w:sz w:val="20"/>
              </w:rPr>
              <w:t>FOREIGN</w:t>
            </w:r>
            <w:r>
              <w:rPr>
                <w:b/>
                <w:i/>
                <w:color w:val="231F20"/>
                <w:spacing w:val="-8"/>
                <w:w w:val="110"/>
                <w:sz w:val="20"/>
              </w:rPr>
              <w:t> </w:t>
            </w:r>
            <w:r>
              <w:rPr>
                <w:b/>
                <w:i/>
                <w:color w:val="231F20"/>
                <w:spacing w:val="-2"/>
                <w:w w:val="110"/>
                <w:sz w:val="20"/>
              </w:rPr>
              <w:t>EXCHANGE</w:t>
            </w:r>
          </w:p>
        </w:tc>
        <w:tc>
          <w:tcPr>
            <w:tcW w:w="2810" w:type="dxa"/>
          </w:tcPr>
          <w:p>
            <w:pPr>
              <w:pStyle w:val="TableParagraph"/>
              <w:spacing w:before="28"/>
              <w:ind w:left="155"/>
              <w:jc w:val="left"/>
              <w:rPr>
                <w:b/>
                <w:i/>
                <w:sz w:val="20"/>
              </w:rPr>
            </w:pPr>
            <w:r>
              <w:rPr>
                <w:b/>
                <w:i/>
                <w:color w:val="231F20"/>
                <w:w w:val="110"/>
                <w:sz w:val="20"/>
              </w:rPr>
              <w:t>FOREIGN</w:t>
            </w:r>
            <w:r>
              <w:rPr>
                <w:b/>
                <w:i/>
                <w:color w:val="231F20"/>
                <w:spacing w:val="-8"/>
                <w:w w:val="110"/>
                <w:sz w:val="20"/>
              </w:rPr>
              <w:t> </w:t>
            </w:r>
            <w:r>
              <w:rPr>
                <w:b/>
                <w:i/>
                <w:color w:val="231F20"/>
                <w:spacing w:val="-2"/>
                <w:w w:val="110"/>
                <w:sz w:val="20"/>
              </w:rPr>
              <w:t>EXCHANGE</w:t>
            </w:r>
          </w:p>
        </w:tc>
      </w:tr>
      <w:tr>
        <w:trPr>
          <w:trHeight w:val="365" w:hRule="atLeast"/>
        </w:trPr>
        <w:tc>
          <w:tcPr>
            <w:tcW w:w="2785" w:type="dxa"/>
          </w:tcPr>
          <w:p>
            <w:pPr>
              <w:pStyle w:val="TableParagraph"/>
              <w:spacing w:before="27"/>
              <w:ind w:left="50"/>
              <w:jc w:val="left"/>
              <w:rPr>
                <w:sz w:val="21"/>
              </w:rPr>
            </w:pPr>
            <w:r>
              <w:rPr>
                <w:color w:val="231F20"/>
                <w:sz w:val="21"/>
              </w:rPr>
              <w:t>Merchandise</w:t>
            </w:r>
            <w:r>
              <w:rPr>
                <w:color w:val="231F20"/>
                <w:spacing w:val="32"/>
                <w:w w:val="105"/>
                <w:sz w:val="21"/>
              </w:rPr>
              <w:t> </w:t>
            </w:r>
            <w:r>
              <w:rPr>
                <w:color w:val="231F20"/>
                <w:spacing w:val="-2"/>
                <w:w w:val="105"/>
                <w:sz w:val="21"/>
              </w:rPr>
              <w:t>Exports</w:t>
            </w:r>
          </w:p>
        </w:tc>
        <w:tc>
          <w:tcPr>
            <w:tcW w:w="2810" w:type="dxa"/>
          </w:tcPr>
          <w:p>
            <w:pPr>
              <w:pStyle w:val="TableParagraph"/>
              <w:spacing w:before="27"/>
              <w:ind w:left="155"/>
              <w:jc w:val="left"/>
              <w:rPr>
                <w:sz w:val="21"/>
              </w:rPr>
            </w:pPr>
            <w:r>
              <w:rPr>
                <w:color w:val="231F20"/>
                <w:sz w:val="21"/>
              </w:rPr>
              <w:t>Merchandise</w:t>
            </w:r>
            <w:r>
              <w:rPr>
                <w:color w:val="231F20"/>
                <w:spacing w:val="35"/>
                <w:sz w:val="21"/>
              </w:rPr>
              <w:t> </w:t>
            </w:r>
            <w:r>
              <w:rPr>
                <w:color w:val="231F20"/>
                <w:spacing w:val="-2"/>
                <w:sz w:val="21"/>
              </w:rPr>
              <w:t>Imports</w:t>
            </w:r>
          </w:p>
        </w:tc>
      </w:tr>
      <w:tr>
        <w:trPr>
          <w:trHeight w:val="364" w:hRule="atLeast"/>
        </w:trPr>
        <w:tc>
          <w:tcPr>
            <w:tcW w:w="2785" w:type="dxa"/>
          </w:tcPr>
          <w:p>
            <w:pPr>
              <w:pStyle w:val="TableParagraph"/>
              <w:spacing w:before="91"/>
              <w:ind w:left="50"/>
              <w:jc w:val="left"/>
              <w:rPr>
                <w:sz w:val="21"/>
              </w:rPr>
            </w:pPr>
            <w:r>
              <w:rPr>
                <w:color w:val="231F20"/>
                <w:sz w:val="21"/>
              </w:rPr>
              <w:t>Travel</w:t>
            </w:r>
            <w:r>
              <w:rPr>
                <w:color w:val="231F20"/>
                <w:spacing w:val="3"/>
                <w:sz w:val="21"/>
              </w:rPr>
              <w:t> </w:t>
            </w:r>
            <w:r>
              <w:rPr>
                <w:color w:val="231F20"/>
                <w:sz w:val="21"/>
              </w:rPr>
              <w:t>Expenses</w:t>
            </w:r>
            <w:r>
              <w:rPr>
                <w:color w:val="231F20"/>
                <w:spacing w:val="4"/>
                <w:sz w:val="21"/>
              </w:rPr>
              <w:t> </w:t>
            </w:r>
            <w:r>
              <w:rPr>
                <w:color w:val="231F20"/>
                <w:spacing w:val="-5"/>
                <w:sz w:val="21"/>
              </w:rPr>
              <w:t>of</w:t>
            </w:r>
          </w:p>
        </w:tc>
        <w:tc>
          <w:tcPr>
            <w:tcW w:w="2810" w:type="dxa"/>
          </w:tcPr>
          <w:p>
            <w:pPr>
              <w:pStyle w:val="TableParagraph"/>
              <w:spacing w:before="91"/>
              <w:ind w:left="155"/>
              <w:jc w:val="left"/>
              <w:rPr>
                <w:sz w:val="21"/>
              </w:rPr>
            </w:pPr>
            <w:r>
              <w:rPr>
                <w:color w:val="231F20"/>
                <w:w w:val="105"/>
                <w:sz w:val="21"/>
              </w:rPr>
              <w:t>Travel</w:t>
            </w:r>
            <w:r>
              <w:rPr>
                <w:color w:val="231F20"/>
                <w:spacing w:val="-6"/>
                <w:w w:val="105"/>
                <w:sz w:val="21"/>
              </w:rPr>
              <w:t> </w:t>
            </w:r>
            <w:r>
              <w:rPr>
                <w:color w:val="231F20"/>
                <w:w w:val="105"/>
                <w:sz w:val="21"/>
              </w:rPr>
              <w:t>of</w:t>
            </w:r>
            <w:r>
              <w:rPr>
                <w:color w:val="231F20"/>
                <w:spacing w:val="-6"/>
                <w:w w:val="105"/>
                <w:sz w:val="21"/>
              </w:rPr>
              <w:t> </w:t>
            </w:r>
            <w:r>
              <w:rPr>
                <w:color w:val="231F20"/>
                <w:w w:val="105"/>
                <w:sz w:val="21"/>
              </w:rPr>
              <w:t>Citizens</w:t>
            </w:r>
            <w:r>
              <w:rPr>
                <w:color w:val="231F20"/>
                <w:spacing w:val="-5"/>
                <w:w w:val="105"/>
                <w:sz w:val="21"/>
              </w:rPr>
              <w:t> </w:t>
            </w:r>
            <w:r>
              <w:rPr>
                <w:color w:val="231F20"/>
                <w:spacing w:val="-2"/>
                <w:w w:val="105"/>
                <w:sz w:val="21"/>
              </w:rPr>
              <w:t>Abroad</w:t>
            </w:r>
          </w:p>
        </w:tc>
      </w:tr>
      <w:tr>
        <w:trPr>
          <w:trHeight w:val="364" w:hRule="atLeast"/>
        </w:trPr>
        <w:tc>
          <w:tcPr>
            <w:tcW w:w="2785" w:type="dxa"/>
          </w:tcPr>
          <w:p>
            <w:pPr>
              <w:pStyle w:val="TableParagraph"/>
              <w:spacing w:before="26"/>
              <w:ind w:left="50"/>
              <w:jc w:val="left"/>
              <w:rPr>
                <w:sz w:val="21"/>
              </w:rPr>
            </w:pPr>
            <w:r>
              <w:rPr>
                <w:color w:val="231F20"/>
                <w:sz w:val="21"/>
              </w:rPr>
              <w:t>Foreigners</w:t>
            </w:r>
            <w:r>
              <w:rPr>
                <w:color w:val="231F20"/>
                <w:spacing w:val="-8"/>
                <w:sz w:val="21"/>
              </w:rPr>
              <w:t> </w:t>
            </w:r>
            <w:r>
              <w:rPr>
                <w:color w:val="231F20"/>
                <w:spacing w:val="-4"/>
                <w:sz w:val="21"/>
              </w:rPr>
              <w:t>Here</w:t>
            </w:r>
          </w:p>
        </w:tc>
        <w:tc>
          <w:tcPr>
            <w:tcW w:w="2810" w:type="dxa"/>
          </w:tcPr>
          <w:p>
            <w:pPr>
              <w:pStyle w:val="TableParagraph"/>
              <w:spacing w:before="0"/>
              <w:jc w:val="left"/>
              <w:rPr>
                <w:rFonts w:ascii="Times New Roman"/>
                <w:sz w:val="20"/>
              </w:rPr>
            </w:pPr>
          </w:p>
        </w:tc>
      </w:tr>
      <w:tr>
        <w:trPr>
          <w:trHeight w:val="364" w:hRule="atLeast"/>
        </w:trPr>
        <w:tc>
          <w:tcPr>
            <w:tcW w:w="2785" w:type="dxa"/>
          </w:tcPr>
          <w:p>
            <w:pPr>
              <w:pStyle w:val="TableParagraph"/>
              <w:spacing w:before="91"/>
              <w:ind w:left="50"/>
              <w:jc w:val="left"/>
              <w:rPr>
                <w:sz w:val="21"/>
              </w:rPr>
            </w:pPr>
            <w:r>
              <w:rPr>
                <w:color w:val="231F20"/>
                <w:sz w:val="21"/>
              </w:rPr>
              <w:t>Transportation</w:t>
            </w:r>
            <w:r>
              <w:rPr>
                <w:color w:val="231F20"/>
                <w:spacing w:val="12"/>
                <w:sz w:val="21"/>
              </w:rPr>
              <w:t> </w:t>
            </w:r>
            <w:r>
              <w:rPr>
                <w:color w:val="231F20"/>
                <w:sz w:val="21"/>
              </w:rPr>
              <w:t>Receipts</w:t>
            </w:r>
            <w:r>
              <w:rPr>
                <w:color w:val="231F20"/>
                <w:spacing w:val="13"/>
                <w:sz w:val="21"/>
              </w:rPr>
              <w:t> </w:t>
            </w:r>
            <w:r>
              <w:rPr>
                <w:color w:val="231F20"/>
                <w:spacing w:val="-5"/>
                <w:sz w:val="21"/>
              </w:rPr>
              <w:t>of</w:t>
            </w:r>
          </w:p>
        </w:tc>
        <w:tc>
          <w:tcPr>
            <w:tcW w:w="2810" w:type="dxa"/>
          </w:tcPr>
          <w:p>
            <w:pPr>
              <w:pStyle w:val="TableParagraph"/>
              <w:spacing w:before="91"/>
              <w:ind w:left="155"/>
              <w:jc w:val="left"/>
              <w:rPr>
                <w:sz w:val="21"/>
              </w:rPr>
            </w:pPr>
            <w:r>
              <w:rPr>
                <w:color w:val="231F20"/>
                <w:sz w:val="21"/>
              </w:rPr>
              <w:t>Transportation</w:t>
            </w:r>
            <w:r>
              <w:rPr>
                <w:color w:val="231F20"/>
                <w:spacing w:val="8"/>
                <w:sz w:val="21"/>
              </w:rPr>
              <w:t> </w:t>
            </w:r>
            <w:r>
              <w:rPr>
                <w:color w:val="231F20"/>
                <w:sz w:val="21"/>
              </w:rPr>
              <w:t>Expenses</w:t>
            </w:r>
            <w:r>
              <w:rPr>
                <w:color w:val="231F20"/>
                <w:spacing w:val="8"/>
                <w:sz w:val="21"/>
              </w:rPr>
              <w:t> </w:t>
            </w:r>
            <w:r>
              <w:rPr>
                <w:color w:val="231F20"/>
                <w:spacing w:val="-5"/>
                <w:sz w:val="21"/>
              </w:rPr>
              <w:t>by</w:t>
            </w:r>
          </w:p>
        </w:tc>
      </w:tr>
      <w:tr>
        <w:trPr>
          <w:trHeight w:val="300" w:hRule="atLeast"/>
        </w:trPr>
        <w:tc>
          <w:tcPr>
            <w:tcW w:w="2785" w:type="dxa"/>
          </w:tcPr>
          <w:p>
            <w:pPr>
              <w:pStyle w:val="TableParagraph"/>
              <w:spacing w:before="26"/>
              <w:ind w:left="50"/>
              <w:jc w:val="left"/>
              <w:rPr>
                <w:sz w:val="21"/>
              </w:rPr>
            </w:pPr>
            <w:r>
              <w:rPr>
                <w:color w:val="231F20"/>
                <w:sz w:val="21"/>
              </w:rPr>
              <w:t>Domestic</w:t>
            </w:r>
            <w:r>
              <w:rPr>
                <w:color w:val="231F20"/>
                <w:spacing w:val="24"/>
                <w:sz w:val="21"/>
              </w:rPr>
              <w:t> </w:t>
            </w:r>
            <w:r>
              <w:rPr>
                <w:color w:val="231F20"/>
                <w:sz w:val="21"/>
              </w:rPr>
              <w:t>Carriers</w:t>
            </w:r>
            <w:r>
              <w:rPr>
                <w:color w:val="231F20"/>
                <w:spacing w:val="24"/>
                <w:sz w:val="21"/>
              </w:rPr>
              <w:t> </w:t>
            </w:r>
            <w:r>
              <w:rPr>
                <w:color w:val="231F20"/>
                <w:spacing w:val="-4"/>
                <w:sz w:val="21"/>
              </w:rPr>
              <w:t>from</w:t>
            </w:r>
          </w:p>
        </w:tc>
        <w:tc>
          <w:tcPr>
            <w:tcW w:w="2810" w:type="dxa"/>
          </w:tcPr>
          <w:p>
            <w:pPr>
              <w:pStyle w:val="TableParagraph"/>
              <w:spacing w:before="26"/>
              <w:ind w:left="155"/>
              <w:jc w:val="left"/>
              <w:rPr>
                <w:sz w:val="21"/>
              </w:rPr>
            </w:pPr>
            <w:r>
              <w:rPr>
                <w:color w:val="231F20"/>
                <w:sz w:val="21"/>
              </w:rPr>
              <w:t>Residents</w:t>
            </w:r>
            <w:r>
              <w:rPr>
                <w:color w:val="231F20"/>
                <w:spacing w:val="12"/>
                <w:sz w:val="21"/>
              </w:rPr>
              <w:t> </w:t>
            </w:r>
            <w:r>
              <w:rPr>
                <w:color w:val="231F20"/>
                <w:sz w:val="21"/>
              </w:rPr>
              <w:t>Paid</w:t>
            </w:r>
            <w:r>
              <w:rPr>
                <w:color w:val="231F20"/>
                <w:spacing w:val="12"/>
                <w:sz w:val="21"/>
              </w:rPr>
              <w:t> </w:t>
            </w:r>
            <w:r>
              <w:rPr>
                <w:color w:val="231F20"/>
                <w:sz w:val="21"/>
              </w:rPr>
              <w:t>to</w:t>
            </w:r>
            <w:r>
              <w:rPr>
                <w:color w:val="231F20"/>
                <w:spacing w:val="12"/>
                <w:sz w:val="21"/>
              </w:rPr>
              <w:t> </w:t>
            </w:r>
            <w:r>
              <w:rPr>
                <w:color w:val="231F20"/>
                <w:spacing w:val="-2"/>
                <w:sz w:val="21"/>
              </w:rPr>
              <w:t>Foreigners</w:t>
            </w:r>
          </w:p>
        </w:tc>
      </w:tr>
      <w:tr>
        <w:trPr>
          <w:trHeight w:val="364" w:hRule="atLeast"/>
        </w:trPr>
        <w:tc>
          <w:tcPr>
            <w:tcW w:w="2785" w:type="dxa"/>
          </w:tcPr>
          <w:p>
            <w:pPr>
              <w:pStyle w:val="TableParagraph"/>
              <w:spacing w:before="26"/>
              <w:ind w:left="50"/>
              <w:jc w:val="left"/>
              <w:rPr>
                <w:sz w:val="21"/>
              </w:rPr>
            </w:pPr>
            <w:r>
              <w:rPr>
                <w:color w:val="231F20"/>
                <w:spacing w:val="-2"/>
                <w:sz w:val="21"/>
              </w:rPr>
              <w:t>Foreigners</w:t>
            </w:r>
          </w:p>
        </w:tc>
        <w:tc>
          <w:tcPr>
            <w:tcW w:w="2810" w:type="dxa"/>
          </w:tcPr>
          <w:p>
            <w:pPr>
              <w:pStyle w:val="TableParagraph"/>
              <w:spacing w:before="0"/>
              <w:jc w:val="left"/>
              <w:rPr>
                <w:rFonts w:ascii="Times New Roman"/>
                <w:sz w:val="20"/>
              </w:rPr>
            </w:pPr>
          </w:p>
        </w:tc>
      </w:tr>
      <w:tr>
        <w:trPr>
          <w:trHeight w:val="364" w:hRule="atLeast"/>
        </w:trPr>
        <w:tc>
          <w:tcPr>
            <w:tcW w:w="2785" w:type="dxa"/>
          </w:tcPr>
          <w:p>
            <w:pPr>
              <w:pStyle w:val="TableParagraph"/>
              <w:spacing w:before="91"/>
              <w:ind w:left="50"/>
              <w:jc w:val="left"/>
              <w:rPr>
                <w:sz w:val="21"/>
              </w:rPr>
            </w:pPr>
            <w:r>
              <w:rPr>
                <w:color w:val="231F20"/>
                <w:sz w:val="21"/>
              </w:rPr>
              <w:t>Fees</w:t>
            </w:r>
            <w:r>
              <w:rPr>
                <w:color w:val="231F20"/>
                <w:spacing w:val="12"/>
                <w:sz w:val="21"/>
              </w:rPr>
              <w:t> </w:t>
            </w:r>
            <w:r>
              <w:rPr>
                <w:color w:val="231F20"/>
                <w:sz w:val="21"/>
              </w:rPr>
              <w:t>and</w:t>
            </w:r>
            <w:r>
              <w:rPr>
                <w:color w:val="231F20"/>
                <w:spacing w:val="13"/>
                <w:sz w:val="21"/>
              </w:rPr>
              <w:t> </w:t>
            </w:r>
            <w:r>
              <w:rPr>
                <w:color w:val="231F20"/>
                <w:sz w:val="21"/>
              </w:rPr>
              <w:t>Royalties</w:t>
            </w:r>
            <w:r>
              <w:rPr>
                <w:color w:val="231F20"/>
                <w:spacing w:val="13"/>
                <w:sz w:val="21"/>
              </w:rPr>
              <w:t> </w:t>
            </w:r>
            <w:r>
              <w:rPr>
                <w:color w:val="231F20"/>
                <w:spacing w:val="-2"/>
                <w:sz w:val="21"/>
              </w:rPr>
              <w:t>Received</w:t>
            </w:r>
          </w:p>
        </w:tc>
        <w:tc>
          <w:tcPr>
            <w:tcW w:w="2810" w:type="dxa"/>
          </w:tcPr>
          <w:p>
            <w:pPr>
              <w:pStyle w:val="TableParagraph"/>
              <w:spacing w:before="91"/>
              <w:ind w:left="155"/>
              <w:jc w:val="left"/>
              <w:rPr>
                <w:sz w:val="21"/>
              </w:rPr>
            </w:pPr>
            <w:r>
              <w:rPr>
                <w:color w:val="231F20"/>
                <w:sz w:val="21"/>
              </w:rPr>
              <w:t>Fees</w:t>
            </w:r>
            <w:r>
              <w:rPr>
                <w:color w:val="231F20"/>
                <w:spacing w:val="12"/>
                <w:sz w:val="21"/>
              </w:rPr>
              <w:t> </w:t>
            </w:r>
            <w:r>
              <w:rPr>
                <w:color w:val="231F20"/>
                <w:sz w:val="21"/>
              </w:rPr>
              <w:t>and</w:t>
            </w:r>
            <w:r>
              <w:rPr>
                <w:color w:val="231F20"/>
                <w:spacing w:val="13"/>
                <w:sz w:val="21"/>
              </w:rPr>
              <w:t> </w:t>
            </w:r>
            <w:r>
              <w:rPr>
                <w:color w:val="231F20"/>
                <w:sz w:val="21"/>
              </w:rPr>
              <w:t>Royalties</w:t>
            </w:r>
            <w:r>
              <w:rPr>
                <w:color w:val="231F20"/>
                <w:spacing w:val="13"/>
                <w:sz w:val="21"/>
              </w:rPr>
              <w:t> </w:t>
            </w:r>
            <w:r>
              <w:rPr>
                <w:color w:val="231F20"/>
                <w:spacing w:val="-4"/>
                <w:sz w:val="21"/>
              </w:rPr>
              <w:t>Paid</w:t>
            </w:r>
          </w:p>
        </w:tc>
      </w:tr>
      <w:tr>
        <w:trPr>
          <w:trHeight w:val="274" w:hRule="atLeast"/>
        </w:trPr>
        <w:tc>
          <w:tcPr>
            <w:tcW w:w="2785" w:type="dxa"/>
          </w:tcPr>
          <w:p>
            <w:pPr>
              <w:pStyle w:val="TableParagraph"/>
              <w:spacing w:before="0"/>
              <w:jc w:val="left"/>
              <w:rPr>
                <w:rFonts w:ascii="Times New Roman"/>
                <w:sz w:val="20"/>
              </w:rPr>
            </w:pPr>
          </w:p>
        </w:tc>
        <w:tc>
          <w:tcPr>
            <w:tcW w:w="2810" w:type="dxa"/>
          </w:tcPr>
          <w:p>
            <w:pPr>
              <w:pStyle w:val="TableParagraph"/>
              <w:spacing w:line="228" w:lineRule="exact" w:before="26"/>
              <w:ind w:left="155"/>
              <w:jc w:val="left"/>
              <w:rPr>
                <w:sz w:val="21"/>
              </w:rPr>
            </w:pPr>
            <w:r>
              <w:rPr>
                <w:color w:val="231F20"/>
                <w:spacing w:val="-2"/>
                <w:w w:val="105"/>
                <w:sz w:val="21"/>
              </w:rPr>
              <w:t>Abroad</w:t>
            </w:r>
          </w:p>
        </w:tc>
      </w:tr>
    </w:tbl>
    <w:p>
      <w:pPr>
        <w:spacing w:after="0" w:line="228" w:lineRule="exact"/>
        <w:jc w:val="left"/>
        <w:rPr>
          <w:sz w:val="21"/>
        </w:rPr>
        <w:sectPr>
          <w:pgSz w:w="8640" w:h="12960"/>
          <w:pgMar w:header="734" w:footer="0" w:top="920" w:bottom="280" w:left="340" w:right="500"/>
        </w:sectPr>
      </w:pPr>
    </w:p>
    <w:p>
      <w:pPr>
        <w:pStyle w:val="BodyText"/>
        <w:spacing w:before="4" w:after="1"/>
        <w:rPr>
          <w:sz w:val="26"/>
        </w:rPr>
      </w:pPr>
    </w:p>
    <w:tbl>
      <w:tblPr>
        <w:tblW w:w="0" w:type="auto"/>
        <w:jc w:val="left"/>
        <w:tblInd w:w="1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48"/>
        <w:gridCol w:w="2775"/>
      </w:tblGrid>
      <w:tr>
        <w:trPr>
          <w:trHeight w:val="274" w:hRule="atLeast"/>
        </w:trPr>
        <w:tc>
          <w:tcPr>
            <w:tcW w:w="2748" w:type="dxa"/>
          </w:tcPr>
          <w:p>
            <w:pPr>
              <w:pStyle w:val="TableParagraph"/>
              <w:spacing w:before="1"/>
              <w:ind w:left="50"/>
              <w:jc w:val="left"/>
              <w:rPr>
                <w:sz w:val="21"/>
              </w:rPr>
            </w:pPr>
            <w:r>
              <w:rPr>
                <w:color w:val="231F20"/>
                <w:sz w:val="21"/>
              </w:rPr>
              <w:t>Foreign</w:t>
            </w:r>
            <w:r>
              <w:rPr>
                <w:color w:val="231F20"/>
                <w:spacing w:val="1"/>
                <w:sz w:val="21"/>
              </w:rPr>
              <w:t> </w:t>
            </w:r>
            <w:r>
              <w:rPr>
                <w:color w:val="231F20"/>
                <w:sz w:val="21"/>
              </w:rPr>
              <w:t>Investment</w:t>
            </w:r>
            <w:r>
              <w:rPr>
                <w:color w:val="231F20"/>
                <w:spacing w:val="2"/>
                <w:sz w:val="21"/>
              </w:rPr>
              <w:t> </w:t>
            </w:r>
            <w:r>
              <w:rPr>
                <w:color w:val="231F20"/>
                <w:spacing w:val="-2"/>
                <w:sz w:val="21"/>
              </w:rPr>
              <w:t>Income</w:t>
            </w:r>
          </w:p>
        </w:tc>
        <w:tc>
          <w:tcPr>
            <w:tcW w:w="2775" w:type="dxa"/>
          </w:tcPr>
          <w:p>
            <w:pPr>
              <w:pStyle w:val="TableParagraph"/>
              <w:spacing w:before="1"/>
              <w:ind w:left="192"/>
              <w:jc w:val="left"/>
              <w:rPr>
                <w:sz w:val="21"/>
              </w:rPr>
            </w:pPr>
            <w:r>
              <w:rPr>
                <w:color w:val="231F20"/>
                <w:sz w:val="21"/>
              </w:rPr>
              <w:t>Interest</w:t>
            </w:r>
            <w:r>
              <w:rPr>
                <w:color w:val="231F20"/>
                <w:spacing w:val="10"/>
                <w:sz w:val="21"/>
              </w:rPr>
              <w:t> </w:t>
            </w:r>
            <w:r>
              <w:rPr>
                <w:color w:val="231F20"/>
                <w:sz w:val="21"/>
              </w:rPr>
              <w:t>and</w:t>
            </w:r>
            <w:r>
              <w:rPr>
                <w:color w:val="231F20"/>
                <w:spacing w:val="11"/>
                <w:sz w:val="21"/>
              </w:rPr>
              <w:t> </w:t>
            </w:r>
            <w:r>
              <w:rPr>
                <w:color w:val="231F20"/>
                <w:sz w:val="21"/>
              </w:rPr>
              <w:t>Dividends</w:t>
            </w:r>
            <w:r>
              <w:rPr>
                <w:color w:val="231F20"/>
                <w:spacing w:val="11"/>
                <w:sz w:val="21"/>
              </w:rPr>
              <w:t> </w:t>
            </w:r>
            <w:r>
              <w:rPr>
                <w:color w:val="231F20"/>
                <w:spacing w:val="-4"/>
                <w:sz w:val="21"/>
              </w:rPr>
              <w:t>Paid</w:t>
            </w:r>
          </w:p>
        </w:tc>
      </w:tr>
      <w:tr>
        <w:trPr>
          <w:trHeight w:val="364" w:hRule="atLeast"/>
        </w:trPr>
        <w:tc>
          <w:tcPr>
            <w:tcW w:w="2748" w:type="dxa"/>
          </w:tcPr>
          <w:p>
            <w:pPr>
              <w:pStyle w:val="TableParagraph"/>
              <w:spacing w:before="0"/>
              <w:jc w:val="left"/>
              <w:rPr>
                <w:rFonts w:ascii="Times New Roman"/>
                <w:sz w:val="20"/>
              </w:rPr>
            </w:pPr>
          </w:p>
        </w:tc>
        <w:tc>
          <w:tcPr>
            <w:tcW w:w="2775" w:type="dxa"/>
          </w:tcPr>
          <w:p>
            <w:pPr>
              <w:pStyle w:val="TableParagraph"/>
              <w:spacing w:before="26"/>
              <w:ind w:left="192"/>
              <w:jc w:val="left"/>
              <w:rPr>
                <w:sz w:val="21"/>
              </w:rPr>
            </w:pPr>
            <w:r>
              <w:rPr>
                <w:color w:val="231F20"/>
                <w:spacing w:val="-2"/>
                <w:w w:val="105"/>
                <w:sz w:val="21"/>
              </w:rPr>
              <w:t>Abroad</w:t>
            </w:r>
          </w:p>
        </w:tc>
      </w:tr>
      <w:tr>
        <w:trPr>
          <w:trHeight w:val="364" w:hRule="atLeast"/>
        </w:trPr>
        <w:tc>
          <w:tcPr>
            <w:tcW w:w="2748" w:type="dxa"/>
          </w:tcPr>
          <w:p>
            <w:pPr>
              <w:pStyle w:val="TableParagraph"/>
              <w:spacing w:before="91"/>
              <w:ind w:left="50"/>
              <w:jc w:val="left"/>
              <w:rPr>
                <w:sz w:val="21"/>
              </w:rPr>
            </w:pPr>
            <w:r>
              <w:rPr>
                <w:color w:val="231F20"/>
                <w:sz w:val="21"/>
              </w:rPr>
              <w:t>Government</w:t>
            </w:r>
            <w:r>
              <w:rPr>
                <w:color w:val="231F20"/>
                <w:spacing w:val="23"/>
                <w:sz w:val="21"/>
              </w:rPr>
              <w:t> </w:t>
            </w:r>
            <w:r>
              <w:rPr>
                <w:color w:val="231F20"/>
                <w:sz w:val="21"/>
              </w:rPr>
              <w:t>Foreign</w:t>
            </w:r>
            <w:r>
              <w:rPr>
                <w:color w:val="231F20"/>
                <w:spacing w:val="23"/>
                <w:sz w:val="21"/>
              </w:rPr>
              <w:t> </w:t>
            </w:r>
            <w:r>
              <w:rPr>
                <w:color w:val="231F20"/>
                <w:spacing w:val="-5"/>
                <w:sz w:val="21"/>
              </w:rPr>
              <w:t>Aid</w:t>
            </w:r>
          </w:p>
        </w:tc>
        <w:tc>
          <w:tcPr>
            <w:tcW w:w="2775" w:type="dxa"/>
          </w:tcPr>
          <w:p>
            <w:pPr>
              <w:pStyle w:val="TableParagraph"/>
              <w:spacing w:before="91"/>
              <w:ind w:left="192"/>
              <w:jc w:val="left"/>
              <w:rPr>
                <w:sz w:val="21"/>
              </w:rPr>
            </w:pPr>
            <w:r>
              <w:rPr>
                <w:color w:val="231F20"/>
                <w:sz w:val="21"/>
              </w:rPr>
              <w:t>Government</w:t>
            </w:r>
            <w:r>
              <w:rPr>
                <w:color w:val="231F20"/>
                <w:spacing w:val="23"/>
                <w:sz w:val="21"/>
              </w:rPr>
              <w:t> </w:t>
            </w:r>
            <w:r>
              <w:rPr>
                <w:color w:val="231F20"/>
                <w:sz w:val="21"/>
              </w:rPr>
              <w:t>Foreign</w:t>
            </w:r>
            <w:r>
              <w:rPr>
                <w:color w:val="231F20"/>
                <w:spacing w:val="23"/>
                <w:sz w:val="21"/>
              </w:rPr>
              <w:t> </w:t>
            </w:r>
            <w:r>
              <w:rPr>
                <w:color w:val="231F20"/>
                <w:spacing w:val="-5"/>
                <w:sz w:val="21"/>
              </w:rPr>
              <w:t>Aid</w:t>
            </w:r>
          </w:p>
        </w:tc>
      </w:tr>
      <w:tr>
        <w:trPr>
          <w:trHeight w:val="364" w:hRule="atLeast"/>
        </w:trPr>
        <w:tc>
          <w:tcPr>
            <w:tcW w:w="2748" w:type="dxa"/>
          </w:tcPr>
          <w:p>
            <w:pPr>
              <w:pStyle w:val="TableParagraph"/>
              <w:spacing w:before="26"/>
              <w:ind w:left="50"/>
              <w:jc w:val="left"/>
              <w:rPr>
                <w:sz w:val="21"/>
              </w:rPr>
            </w:pPr>
            <w:r>
              <w:rPr>
                <w:color w:val="231F20"/>
                <w:spacing w:val="-2"/>
                <w:sz w:val="21"/>
              </w:rPr>
              <w:t>Received</w:t>
            </w:r>
          </w:p>
        </w:tc>
        <w:tc>
          <w:tcPr>
            <w:tcW w:w="2775" w:type="dxa"/>
          </w:tcPr>
          <w:p>
            <w:pPr>
              <w:pStyle w:val="TableParagraph"/>
              <w:spacing w:before="26"/>
              <w:ind w:left="192"/>
              <w:jc w:val="left"/>
              <w:rPr>
                <w:sz w:val="21"/>
              </w:rPr>
            </w:pPr>
            <w:r>
              <w:rPr>
                <w:color w:val="231F20"/>
                <w:spacing w:val="-2"/>
                <w:w w:val="105"/>
                <w:sz w:val="21"/>
              </w:rPr>
              <w:t>Given</w:t>
            </w:r>
          </w:p>
        </w:tc>
      </w:tr>
      <w:tr>
        <w:trPr>
          <w:trHeight w:val="364" w:hRule="atLeast"/>
        </w:trPr>
        <w:tc>
          <w:tcPr>
            <w:tcW w:w="2748" w:type="dxa"/>
          </w:tcPr>
          <w:p>
            <w:pPr>
              <w:pStyle w:val="TableParagraph"/>
              <w:spacing w:before="91"/>
              <w:ind w:left="50"/>
              <w:jc w:val="left"/>
              <w:rPr>
                <w:sz w:val="21"/>
              </w:rPr>
            </w:pPr>
            <w:r>
              <w:rPr>
                <w:color w:val="231F20"/>
                <w:sz w:val="21"/>
              </w:rPr>
              <w:t>Private</w:t>
            </w:r>
            <w:r>
              <w:rPr>
                <w:color w:val="231F20"/>
                <w:spacing w:val="5"/>
                <w:sz w:val="21"/>
              </w:rPr>
              <w:t> </w:t>
            </w:r>
            <w:r>
              <w:rPr>
                <w:color w:val="231F20"/>
                <w:sz w:val="21"/>
              </w:rPr>
              <w:t>Transfers</w:t>
            </w:r>
            <w:r>
              <w:rPr>
                <w:color w:val="231F20"/>
                <w:spacing w:val="5"/>
                <w:sz w:val="21"/>
              </w:rPr>
              <w:t> </w:t>
            </w:r>
            <w:r>
              <w:rPr>
                <w:color w:val="231F20"/>
                <w:sz w:val="21"/>
              </w:rPr>
              <w:t>of</w:t>
            </w:r>
            <w:r>
              <w:rPr>
                <w:color w:val="231F20"/>
                <w:spacing w:val="6"/>
                <w:sz w:val="21"/>
              </w:rPr>
              <w:t> </w:t>
            </w:r>
            <w:r>
              <w:rPr>
                <w:color w:val="231F20"/>
                <w:spacing w:val="-2"/>
                <w:sz w:val="21"/>
              </w:rPr>
              <w:t>Money</w:t>
            </w:r>
          </w:p>
        </w:tc>
        <w:tc>
          <w:tcPr>
            <w:tcW w:w="2775" w:type="dxa"/>
          </w:tcPr>
          <w:p>
            <w:pPr>
              <w:pStyle w:val="TableParagraph"/>
              <w:spacing w:before="91"/>
              <w:ind w:left="192"/>
              <w:jc w:val="left"/>
              <w:rPr>
                <w:sz w:val="21"/>
              </w:rPr>
            </w:pPr>
            <w:r>
              <w:rPr>
                <w:color w:val="231F20"/>
                <w:sz w:val="21"/>
              </w:rPr>
              <w:t>Private</w:t>
            </w:r>
            <w:r>
              <w:rPr>
                <w:color w:val="231F20"/>
                <w:spacing w:val="5"/>
                <w:sz w:val="21"/>
              </w:rPr>
              <w:t> </w:t>
            </w:r>
            <w:r>
              <w:rPr>
                <w:color w:val="231F20"/>
                <w:sz w:val="21"/>
              </w:rPr>
              <w:t>Transfers</w:t>
            </w:r>
            <w:r>
              <w:rPr>
                <w:color w:val="231F20"/>
                <w:spacing w:val="5"/>
                <w:sz w:val="21"/>
              </w:rPr>
              <w:t> </w:t>
            </w:r>
            <w:r>
              <w:rPr>
                <w:color w:val="231F20"/>
                <w:sz w:val="21"/>
              </w:rPr>
              <w:t>of</w:t>
            </w:r>
            <w:r>
              <w:rPr>
                <w:color w:val="231F20"/>
                <w:spacing w:val="6"/>
                <w:sz w:val="21"/>
              </w:rPr>
              <w:t> </w:t>
            </w:r>
            <w:r>
              <w:rPr>
                <w:color w:val="231F20"/>
                <w:spacing w:val="-2"/>
                <w:sz w:val="21"/>
              </w:rPr>
              <w:t>Money</w:t>
            </w:r>
          </w:p>
        </w:tc>
      </w:tr>
      <w:tr>
        <w:trPr>
          <w:trHeight w:val="364" w:hRule="atLeast"/>
        </w:trPr>
        <w:tc>
          <w:tcPr>
            <w:tcW w:w="2748" w:type="dxa"/>
          </w:tcPr>
          <w:p>
            <w:pPr>
              <w:pStyle w:val="TableParagraph"/>
              <w:spacing w:before="26"/>
              <w:ind w:left="50"/>
              <w:jc w:val="left"/>
              <w:rPr>
                <w:sz w:val="21"/>
              </w:rPr>
            </w:pPr>
            <w:r>
              <w:rPr>
                <w:color w:val="231F20"/>
                <w:sz w:val="21"/>
              </w:rPr>
              <w:t>into</w:t>
            </w:r>
            <w:r>
              <w:rPr>
                <w:color w:val="231F20"/>
                <w:spacing w:val="12"/>
                <w:sz w:val="21"/>
              </w:rPr>
              <w:t> </w:t>
            </w:r>
            <w:r>
              <w:rPr>
                <w:color w:val="231F20"/>
                <w:sz w:val="21"/>
              </w:rPr>
              <w:t>the</w:t>
            </w:r>
            <w:r>
              <w:rPr>
                <w:color w:val="231F20"/>
                <w:spacing w:val="13"/>
                <w:sz w:val="21"/>
              </w:rPr>
              <w:t> </w:t>
            </w:r>
            <w:r>
              <w:rPr>
                <w:color w:val="231F20"/>
                <w:spacing w:val="-2"/>
                <w:sz w:val="21"/>
              </w:rPr>
              <w:t>Country</w:t>
            </w:r>
          </w:p>
        </w:tc>
        <w:tc>
          <w:tcPr>
            <w:tcW w:w="2775" w:type="dxa"/>
          </w:tcPr>
          <w:p>
            <w:pPr>
              <w:pStyle w:val="TableParagraph"/>
              <w:spacing w:before="26"/>
              <w:ind w:left="192"/>
              <w:jc w:val="left"/>
              <w:rPr>
                <w:sz w:val="21"/>
              </w:rPr>
            </w:pPr>
            <w:r>
              <w:rPr>
                <w:color w:val="231F20"/>
                <w:spacing w:val="-2"/>
                <w:w w:val="105"/>
                <w:sz w:val="21"/>
              </w:rPr>
              <w:t>Abroad</w:t>
            </w:r>
          </w:p>
        </w:tc>
      </w:tr>
      <w:tr>
        <w:trPr>
          <w:trHeight w:val="364" w:hRule="atLeast"/>
        </w:trPr>
        <w:tc>
          <w:tcPr>
            <w:tcW w:w="2748" w:type="dxa"/>
          </w:tcPr>
          <w:p>
            <w:pPr>
              <w:pStyle w:val="TableParagraph"/>
              <w:spacing w:before="91"/>
              <w:ind w:left="50"/>
              <w:jc w:val="left"/>
              <w:rPr>
                <w:sz w:val="21"/>
              </w:rPr>
            </w:pPr>
            <w:r>
              <w:rPr>
                <w:color w:val="231F20"/>
                <w:sz w:val="21"/>
              </w:rPr>
              <w:t>Increases in </w:t>
            </w:r>
            <w:r>
              <w:rPr>
                <w:color w:val="231F20"/>
                <w:spacing w:val="-2"/>
                <w:sz w:val="21"/>
              </w:rPr>
              <w:t>Foreign</w:t>
            </w:r>
          </w:p>
        </w:tc>
        <w:tc>
          <w:tcPr>
            <w:tcW w:w="2775" w:type="dxa"/>
          </w:tcPr>
          <w:p>
            <w:pPr>
              <w:pStyle w:val="TableParagraph"/>
              <w:spacing w:before="91"/>
              <w:ind w:left="192"/>
              <w:jc w:val="left"/>
              <w:rPr>
                <w:sz w:val="21"/>
              </w:rPr>
            </w:pPr>
            <w:r>
              <w:rPr>
                <w:color w:val="231F20"/>
                <w:sz w:val="21"/>
              </w:rPr>
              <w:t>Increases</w:t>
            </w:r>
            <w:r>
              <w:rPr>
                <w:color w:val="231F20"/>
                <w:spacing w:val="4"/>
                <w:sz w:val="21"/>
              </w:rPr>
              <w:t> </w:t>
            </w:r>
            <w:r>
              <w:rPr>
                <w:color w:val="231F20"/>
                <w:sz w:val="21"/>
              </w:rPr>
              <w:t>in</w:t>
            </w:r>
            <w:r>
              <w:rPr>
                <w:color w:val="231F20"/>
                <w:spacing w:val="4"/>
                <w:sz w:val="21"/>
              </w:rPr>
              <w:t> </w:t>
            </w:r>
            <w:r>
              <w:rPr>
                <w:color w:val="231F20"/>
                <w:sz w:val="21"/>
              </w:rPr>
              <w:t>Foreign</w:t>
            </w:r>
            <w:r>
              <w:rPr>
                <w:color w:val="231F20"/>
                <w:spacing w:val="4"/>
                <w:sz w:val="21"/>
              </w:rPr>
              <w:t> </w:t>
            </w:r>
            <w:r>
              <w:rPr>
                <w:color w:val="231F20"/>
                <w:spacing w:val="-2"/>
                <w:sz w:val="21"/>
              </w:rPr>
              <w:t>Assets</w:t>
            </w:r>
          </w:p>
        </w:tc>
      </w:tr>
      <w:tr>
        <w:trPr>
          <w:trHeight w:val="274" w:hRule="atLeast"/>
        </w:trPr>
        <w:tc>
          <w:tcPr>
            <w:tcW w:w="2748" w:type="dxa"/>
          </w:tcPr>
          <w:p>
            <w:pPr>
              <w:pStyle w:val="TableParagraph"/>
              <w:spacing w:line="228" w:lineRule="exact" w:before="26"/>
              <w:ind w:left="50"/>
              <w:jc w:val="left"/>
              <w:rPr>
                <w:sz w:val="21"/>
              </w:rPr>
            </w:pPr>
            <w:r>
              <w:rPr>
                <w:color w:val="231F20"/>
                <w:spacing w:val="-2"/>
                <w:sz w:val="21"/>
              </w:rPr>
              <w:t>Liabilities</w:t>
            </w:r>
          </w:p>
        </w:tc>
        <w:tc>
          <w:tcPr>
            <w:tcW w:w="2775" w:type="dxa"/>
          </w:tcPr>
          <w:p>
            <w:pPr>
              <w:pStyle w:val="TableParagraph"/>
              <w:spacing w:before="0"/>
              <w:jc w:val="left"/>
              <w:rPr>
                <w:rFonts w:ascii="Times New Roman"/>
                <w:sz w:val="20"/>
              </w:rPr>
            </w:pPr>
          </w:p>
        </w:tc>
      </w:tr>
    </w:tbl>
    <w:p>
      <w:pPr>
        <w:pStyle w:val="BodyText"/>
        <w:spacing w:before="7"/>
      </w:pPr>
    </w:p>
    <w:p>
      <w:pPr>
        <w:pStyle w:val="BodyText"/>
        <w:spacing w:line="292" w:lineRule="auto" w:before="102"/>
        <w:ind w:left="830" w:right="754" w:firstLine="340"/>
        <w:jc w:val="both"/>
      </w:pPr>
      <w:r>
        <w:rPr>
          <w:color w:val="231F20"/>
        </w:rPr>
        <w:t>The sources and uses above show in broad terms the items that most frequently enter into a foreign exchange ledger. Excluded from the count are the international drug trade and other unreported </w:t>
      </w:r>
      <w:r>
        <w:rPr>
          <w:color w:val="231F20"/>
        </w:rPr>
        <w:t>ac- tivities. The press usually ignores the whole BOP picture and focuses only on the </w:t>
      </w:r>
      <w:r>
        <w:rPr>
          <w:i/>
          <w:color w:val="231F20"/>
        </w:rPr>
        <w:t>merchandise trade deficit. </w:t>
      </w:r>
      <w:r>
        <w:rPr>
          <w:color w:val="231F20"/>
        </w:rPr>
        <w:t>It is easier to say that the</w:t>
      </w:r>
      <w:r>
        <w:rPr>
          <w:color w:val="231F20"/>
          <w:spacing w:val="40"/>
        </w:rPr>
        <w:t> </w:t>
      </w:r>
      <w:r>
        <w:rPr>
          <w:color w:val="231F20"/>
        </w:rPr>
        <w:t>United States in 2004 ran a $600 billion merchandise trade deficit. Journalists ignore that the U.S. ran a $60 billion surplus in trading services, such as consulting and engineering, and a net surplus of in- vestment</w:t>
      </w:r>
      <w:r>
        <w:rPr>
          <w:color w:val="231F20"/>
          <w:spacing w:val="40"/>
        </w:rPr>
        <w:t> </w:t>
      </w:r>
      <w:r>
        <w:rPr>
          <w:color w:val="231F20"/>
        </w:rPr>
        <w:t>income</w:t>
      </w:r>
      <w:r>
        <w:rPr>
          <w:color w:val="231F20"/>
          <w:spacing w:val="40"/>
        </w:rPr>
        <w:t> </w:t>
      </w:r>
      <w:r>
        <w:rPr>
          <w:color w:val="231F20"/>
        </w:rPr>
        <w:t>of</w:t>
      </w:r>
      <w:r>
        <w:rPr>
          <w:color w:val="231F20"/>
          <w:spacing w:val="40"/>
        </w:rPr>
        <w:t> </w:t>
      </w:r>
      <w:r>
        <w:rPr>
          <w:color w:val="231F20"/>
        </w:rPr>
        <w:t>$50</w:t>
      </w:r>
      <w:r>
        <w:rPr>
          <w:color w:val="231F20"/>
          <w:spacing w:val="40"/>
        </w:rPr>
        <w:t> </w:t>
      </w:r>
      <w:r>
        <w:rPr>
          <w:color w:val="231F20"/>
        </w:rPr>
        <w:t>billion.</w:t>
      </w:r>
      <w:r>
        <w:rPr>
          <w:color w:val="231F20"/>
          <w:spacing w:val="40"/>
        </w:rPr>
        <w:t> </w:t>
      </w:r>
      <w:r>
        <w:rPr>
          <w:color w:val="231F20"/>
        </w:rPr>
        <w:t>That</w:t>
      </w:r>
      <w:r>
        <w:rPr>
          <w:color w:val="231F20"/>
          <w:spacing w:val="40"/>
        </w:rPr>
        <w:t> </w:t>
      </w:r>
      <w:r>
        <w:rPr>
          <w:color w:val="231F20"/>
        </w:rPr>
        <w:t>leaves</w:t>
      </w:r>
      <w:r>
        <w:rPr>
          <w:color w:val="231F20"/>
          <w:spacing w:val="40"/>
        </w:rPr>
        <w:t> </w:t>
      </w:r>
      <w:r>
        <w:rPr>
          <w:color w:val="231F20"/>
        </w:rPr>
        <w:t>a</w:t>
      </w:r>
      <w:r>
        <w:rPr>
          <w:color w:val="231F20"/>
          <w:spacing w:val="40"/>
        </w:rPr>
        <w:t> </w:t>
      </w:r>
      <w:r>
        <w:rPr>
          <w:color w:val="231F20"/>
        </w:rPr>
        <w:t>net</w:t>
      </w:r>
      <w:r>
        <w:rPr>
          <w:color w:val="231F20"/>
          <w:spacing w:val="40"/>
        </w:rPr>
        <w:t> </w:t>
      </w:r>
      <w:r>
        <w:rPr>
          <w:color w:val="231F20"/>
        </w:rPr>
        <w:t>trade</w:t>
      </w:r>
      <w:r>
        <w:rPr>
          <w:color w:val="231F20"/>
          <w:spacing w:val="40"/>
        </w:rPr>
        <w:t> </w:t>
      </w:r>
      <w:r>
        <w:rPr>
          <w:color w:val="231F20"/>
        </w:rPr>
        <w:t>deficit</w:t>
      </w:r>
      <w:r>
        <w:rPr>
          <w:color w:val="231F20"/>
          <w:spacing w:val="40"/>
        </w:rPr>
        <w:t> </w:t>
      </w:r>
      <w:r>
        <w:rPr>
          <w:color w:val="231F20"/>
        </w:rPr>
        <w:t>of</w:t>
      </w:r>
    </w:p>
    <w:p>
      <w:pPr>
        <w:pStyle w:val="BodyText"/>
        <w:spacing w:line="243" w:lineRule="exact"/>
        <w:ind w:left="830"/>
        <w:jc w:val="both"/>
      </w:pPr>
      <w:r>
        <w:rPr>
          <w:color w:val="231F20"/>
          <w:w w:val="105"/>
        </w:rPr>
        <w:t>$490</w:t>
      </w:r>
      <w:r>
        <w:rPr>
          <w:color w:val="231F20"/>
          <w:spacing w:val="-5"/>
          <w:w w:val="105"/>
        </w:rPr>
        <w:t> </w:t>
      </w:r>
      <w:r>
        <w:rPr>
          <w:color w:val="231F20"/>
          <w:w w:val="105"/>
        </w:rPr>
        <w:t>billion</w:t>
      </w:r>
      <w:r>
        <w:rPr>
          <w:color w:val="231F20"/>
          <w:spacing w:val="-4"/>
          <w:w w:val="105"/>
        </w:rPr>
        <w:t> </w:t>
      </w:r>
      <w:r>
        <w:rPr>
          <w:color w:val="231F20"/>
          <w:w w:val="105"/>
        </w:rPr>
        <w:t>in</w:t>
      </w:r>
      <w:r>
        <w:rPr>
          <w:color w:val="231F20"/>
          <w:spacing w:val="-4"/>
          <w:w w:val="105"/>
        </w:rPr>
        <w:t> </w:t>
      </w:r>
      <w:r>
        <w:rPr>
          <w:color w:val="231F20"/>
          <w:w w:val="105"/>
        </w:rPr>
        <w:t>a</w:t>
      </w:r>
      <w:r>
        <w:rPr>
          <w:color w:val="231F20"/>
          <w:spacing w:val="-4"/>
          <w:w w:val="105"/>
        </w:rPr>
        <w:t> </w:t>
      </w:r>
      <w:r>
        <w:rPr>
          <w:color w:val="231F20"/>
          <w:w w:val="105"/>
        </w:rPr>
        <w:t>$11</w:t>
      </w:r>
      <w:r>
        <w:rPr>
          <w:color w:val="231F20"/>
          <w:spacing w:val="-4"/>
          <w:w w:val="105"/>
        </w:rPr>
        <w:t> </w:t>
      </w:r>
      <w:r>
        <w:rPr>
          <w:color w:val="231F20"/>
          <w:w w:val="105"/>
        </w:rPr>
        <w:t>trillion</w:t>
      </w:r>
      <w:r>
        <w:rPr>
          <w:color w:val="231F20"/>
          <w:spacing w:val="-5"/>
          <w:w w:val="105"/>
        </w:rPr>
        <w:t> </w:t>
      </w:r>
      <w:r>
        <w:rPr>
          <w:color w:val="231F20"/>
          <w:spacing w:val="-2"/>
          <w:w w:val="105"/>
        </w:rPr>
        <w:t>economy.</w:t>
      </w:r>
    </w:p>
    <w:p>
      <w:pPr>
        <w:pStyle w:val="BodyText"/>
        <w:spacing w:line="292" w:lineRule="auto" w:before="54"/>
        <w:ind w:left="830" w:right="753" w:firstLine="340"/>
        <w:jc w:val="both"/>
      </w:pPr>
      <w:r>
        <w:rPr>
          <w:color w:val="231F20"/>
        </w:rPr>
        <w:t>Having enough foreign exchange is extremely important. </w:t>
      </w:r>
      <w:r>
        <w:rPr>
          <w:color w:val="231F20"/>
        </w:rPr>
        <w:t>The collapse of the currency in Lebanon in 1992 came as a result of insufficient foreign exchange in its central bank to make good on the purchases made by its citizens. When foreigners went to convert</w:t>
      </w:r>
      <w:r>
        <w:rPr>
          <w:color w:val="231F20"/>
          <w:spacing w:val="40"/>
        </w:rPr>
        <w:t> </w:t>
      </w:r>
      <w:r>
        <w:rPr>
          <w:color w:val="231F20"/>
        </w:rPr>
        <w:t>their Lebanese claims into dollars and yen, the central bank was emptied of its foreign exchange. Without convertibility, everyone dumped their nearly worthless Lebanese pounds.</w:t>
      </w:r>
    </w:p>
    <w:p>
      <w:pPr>
        <w:pStyle w:val="BodyText"/>
        <w:rPr>
          <w:sz w:val="24"/>
        </w:rPr>
      </w:pPr>
    </w:p>
    <w:p>
      <w:pPr>
        <w:pStyle w:val="BodyText"/>
        <w:spacing w:before="11"/>
        <w:rPr>
          <w:sz w:val="26"/>
        </w:rPr>
      </w:pPr>
    </w:p>
    <w:p>
      <w:pPr>
        <w:pStyle w:val="Heading6"/>
        <w:ind w:left="299"/>
        <w:rPr>
          <w:i/>
        </w:rPr>
      </w:pPr>
      <w:r>
        <w:rPr>
          <w:i/>
          <w:color w:val="231F20"/>
          <w:w w:val="110"/>
        </w:rPr>
        <w:t>EXCHANGE</w:t>
      </w:r>
      <w:r>
        <w:rPr>
          <w:i/>
          <w:color w:val="231F20"/>
          <w:spacing w:val="76"/>
          <w:w w:val="110"/>
        </w:rPr>
        <w:t> </w:t>
      </w:r>
      <w:r>
        <w:rPr>
          <w:i/>
          <w:color w:val="231F20"/>
          <w:w w:val="110"/>
        </w:rPr>
        <w:t>RATE</w:t>
      </w:r>
      <w:r>
        <w:rPr>
          <w:i/>
          <w:color w:val="231F20"/>
          <w:spacing w:val="76"/>
          <w:w w:val="110"/>
        </w:rPr>
        <w:t> </w:t>
      </w:r>
      <w:r>
        <w:rPr>
          <w:i/>
          <w:color w:val="231F20"/>
          <w:w w:val="110"/>
        </w:rPr>
        <w:t>AND</w:t>
      </w:r>
      <w:r>
        <w:rPr>
          <w:i/>
          <w:color w:val="231F20"/>
          <w:spacing w:val="76"/>
          <w:w w:val="110"/>
        </w:rPr>
        <w:t> </w:t>
      </w:r>
      <w:r>
        <w:rPr>
          <w:i/>
          <w:color w:val="231F20"/>
          <w:w w:val="110"/>
        </w:rPr>
        <w:t>PURCHASE</w:t>
      </w:r>
      <w:r>
        <w:rPr>
          <w:i/>
          <w:color w:val="231F20"/>
          <w:spacing w:val="76"/>
          <w:w w:val="110"/>
        </w:rPr>
        <w:t> </w:t>
      </w:r>
      <w:r>
        <w:rPr>
          <w:i/>
          <w:color w:val="231F20"/>
          <w:w w:val="110"/>
        </w:rPr>
        <w:t>PRICE</w:t>
      </w:r>
      <w:r>
        <w:rPr>
          <w:i/>
          <w:color w:val="231F20"/>
          <w:spacing w:val="76"/>
          <w:w w:val="110"/>
        </w:rPr>
        <w:t> </w:t>
      </w:r>
      <w:r>
        <w:rPr>
          <w:i/>
          <w:color w:val="231F20"/>
          <w:spacing w:val="-2"/>
          <w:w w:val="110"/>
        </w:rPr>
        <w:t>PARITY</w:t>
      </w:r>
    </w:p>
    <w:p>
      <w:pPr>
        <w:pStyle w:val="BodyText"/>
        <w:spacing w:before="2"/>
        <w:rPr>
          <w:b/>
          <w:i/>
          <w:sz w:val="30"/>
        </w:rPr>
      </w:pPr>
    </w:p>
    <w:p>
      <w:pPr>
        <w:pStyle w:val="BodyText"/>
        <w:spacing w:line="292" w:lineRule="auto"/>
        <w:ind w:left="830" w:right="756"/>
        <w:jc w:val="both"/>
      </w:pPr>
      <w:r>
        <w:rPr>
          <w:color w:val="231F20"/>
        </w:rPr>
        <w:t>The </w:t>
      </w:r>
      <w:r>
        <w:rPr>
          <w:i/>
          <w:color w:val="231F20"/>
        </w:rPr>
        <w:t>exchange rate </w:t>
      </w:r>
      <w:r>
        <w:rPr>
          <w:color w:val="231F20"/>
        </w:rPr>
        <w:t>is the rate at which one country’s currency is </w:t>
      </w:r>
      <w:r>
        <w:rPr>
          <w:color w:val="231F20"/>
        </w:rPr>
        <w:t>con- verted into another’s. In September 2004, one U.S. dollar could buy 110 Japanese yen, 56 percent of one British pound, or 83 percent of one</w:t>
      </w:r>
      <w:r>
        <w:rPr>
          <w:color w:val="231F20"/>
          <w:spacing w:val="42"/>
        </w:rPr>
        <w:t> </w:t>
      </w:r>
      <w:r>
        <w:rPr>
          <w:color w:val="231F20"/>
        </w:rPr>
        <w:t>European</w:t>
      </w:r>
      <w:r>
        <w:rPr>
          <w:color w:val="231F20"/>
          <w:spacing w:val="43"/>
        </w:rPr>
        <w:t> </w:t>
      </w:r>
      <w:r>
        <w:rPr>
          <w:color w:val="231F20"/>
        </w:rPr>
        <w:t>Union</w:t>
      </w:r>
      <w:r>
        <w:rPr>
          <w:color w:val="231F20"/>
          <w:spacing w:val="43"/>
        </w:rPr>
        <w:t> </w:t>
      </w:r>
      <w:r>
        <w:rPr>
          <w:color w:val="231F20"/>
        </w:rPr>
        <w:t>euro.</w:t>
      </w:r>
      <w:r>
        <w:rPr>
          <w:color w:val="231F20"/>
          <w:spacing w:val="42"/>
        </w:rPr>
        <w:t> </w:t>
      </w:r>
      <w:r>
        <w:rPr>
          <w:color w:val="231F20"/>
        </w:rPr>
        <w:t>In</w:t>
      </w:r>
      <w:r>
        <w:rPr>
          <w:color w:val="231F20"/>
          <w:spacing w:val="43"/>
        </w:rPr>
        <w:t> </w:t>
      </w:r>
      <w:r>
        <w:rPr>
          <w:color w:val="231F20"/>
        </w:rPr>
        <w:t>the</w:t>
      </w:r>
      <w:r>
        <w:rPr>
          <w:color w:val="231F20"/>
          <w:spacing w:val="43"/>
        </w:rPr>
        <w:t> </w:t>
      </w:r>
      <w:r>
        <w:rPr>
          <w:color w:val="231F20"/>
        </w:rPr>
        <w:t>early</w:t>
      </w:r>
      <w:r>
        <w:rPr>
          <w:color w:val="231F20"/>
          <w:spacing w:val="42"/>
        </w:rPr>
        <w:t> </w:t>
      </w:r>
      <w:r>
        <w:rPr>
          <w:color w:val="231F20"/>
        </w:rPr>
        <w:t>and</w:t>
      </w:r>
      <w:r>
        <w:rPr>
          <w:color w:val="231F20"/>
          <w:spacing w:val="43"/>
        </w:rPr>
        <w:t> </w:t>
      </w:r>
      <w:r>
        <w:rPr>
          <w:color w:val="231F20"/>
        </w:rPr>
        <w:t>mid-1980s</w:t>
      </w:r>
      <w:r>
        <w:rPr>
          <w:color w:val="231F20"/>
          <w:spacing w:val="43"/>
        </w:rPr>
        <w:t> </w:t>
      </w:r>
      <w:r>
        <w:rPr>
          <w:color w:val="231F20"/>
        </w:rPr>
        <w:t>the</w:t>
      </w:r>
      <w:r>
        <w:rPr>
          <w:color w:val="231F20"/>
          <w:spacing w:val="42"/>
        </w:rPr>
        <w:t> </w:t>
      </w:r>
      <w:r>
        <w:rPr>
          <w:color w:val="231F20"/>
          <w:spacing w:val="-2"/>
        </w:rPr>
        <w:t>dollar</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3"/>
        <w:jc w:val="both"/>
      </w:pPr>
      <w:r>
        <w:rPr>
          <w:color w:val="231F20"/>
        </w:rPr>
        <w:t>was more valuable. Americans found real bargains when they </w:t>
      </w:r>
      <w:r>
        <w:rPr>
          <w:color w:val="231F20"/>
        </w:rPr>
        <w:t>trav- eled to Europe. In the 2000s with a weaker U.S. dollar, traveling in Europe was expensive for American citizens. What makes one country’s currency worth more than another’s? It’s the old supply- and-demand relationship. International currency traders have to keep the following four factors in mind when trying to predict the gyrations of world currencies:</w:t>
      </w:r>
    </w:p>
    <w:p>
      <w:pPr>
        <w:pStyle w:val="BodyText"/>
        <w:spacing w:before="2"/>
        <w:rPr>
          <w:sz w:val="27"/>
        </w:rPr>
      </w:pPr>
    </w:p>
    <w:p>
      <w:pPr>
        <w:pStyle w:val="ListParagraph"/>
        <w:numPr>
          <w:ilvl w:val="0"/>
          <w:numId w:val="41"/>
        </w:numPr>
        <w:tabs>
          <w:tab w:pos="1446" w:val="left" w:leader="none"/>
        </w:tabs>
        <w:spacing w:line="328" w:lineRule="auto" w:before="0" w:after="0"/>
        <w:ind w:left="1445" w:right="664" w:hanging="186"/>
        <w:jc w:val="both"/>
        <w:rPr>
          <w:sz w:val="19"/>
        </w:rPr>
      </w:pPr>
      <w:r>
        <w:rPr>
          <w:color w:val="231F20"/>
          <w:w w:val="115"/>
          <w:sz w:val="19"/>
        </w:rPr>
        <w:t>Trading</w:t>
      </w:r>
      <w:r>
        <w:rPr>
          <w:color w:val="231F20"/>
          <w:w w:val="115"/>
          <w:sz w:val="19"/>
        </w:rPr>
        <w:t> Demands</w:t>
      </w:r>
      <w:r>
        <w:rPr>
          <w:color w:val="231F20"/>
          <w:w w:val="115"/>
          <w:sz w:val="19"/>
        </w:rPr>
        <w:t> for</w:t>
      </w:r>
      <w:r>
        <w:rPr>
          <w:color w:val="231F20"/>
          <w:w w:val="115"/>
          <w:sz w:val="19"/>
        </w:rPr>
        <w:t> Currency</w:t>
      </w:r>
      <w:r>
        <w:rPr>
          <w:color w:val="231F20"/>
          <w:w w:val="115"/>
          <w:sz w:val="19"/>
        </w:rPr>
        <w:t> to</w:t>
      </w:r>
      <w:r>
        <w:rPr>
          <w:color w:val="231F20"/>
          <w:w w:val="115"/>
          <w:sz w:val="19"/>
        </w:rPr>
        <w:t> Pay</w:t>
      </w:r>
      <w:r>
        <w:rPr>
          <w:color w:val="231F20"/>
          <w:w w:val="115"/>
          <w:sz w:val="19"/>
        </w:rPr>
        <w:t> for</w:t>
      </w:r>
      <w:r>
        <w:rPr>
          <w:color w:val="231F20"/>
          <w:w w:val="115"/>
          <w:sz w:val="19"/>
        </w:rPr>
        <w:t> Goods</w:t>
      </w:r>
      <w:r>
        <w:rPr>
          <w:color w:val="231F20"/>
          <w:w w:val="115"/>
          <w:sz w:val="19"/>
        </w:rPr>
        <w:t> and </w:t>
      </w:r>
      <w:r>
        <w:rPr>
          <w:color w:val="231F20"/>
          <w:spacing w:val="-2"/>
          <w:w w:val="115"/>
          <w:sz w:val="19"/>
        </w:rPr>
        <w:t>Services</w:t>
      </w:r>
    </w:p>
    <w:p>
      <w:pPr>
        <w:spacing w:line="328" w:lineRule="auto" w:before="1"/>
        <w:ind w:left="1450" w:right="667" w:firstLine="340"/>
        <w:jc w:val="both"/>
        <w:rPr>
          <w:rFonts w:ascii="Arial"/>
          <w:sz w:val="19"/>
        </w:rPr>
      </w:pPr>
      <w:r>
        <w:rPr>
          <w:rFonts w:ascii="Arial"/>
          <w:color w:val="231F20"/>
          <w:w w:val="110"/>
          <w:sz w:val="19"/>
        </w:rPr>
        <w:t>When the United States needs to buy French wine, im- porters sell U.S. dollars and buy euros to make payment </w:t>
      </w:r>
      <w:r>
        <w:rPr>
          <w:rFonts w:ascii="Arial"/>
          <w:color w:val="231F20"/>
          <w:w w:val="110"/>
          <w:sz w:val="19"/>
        </w:rPr>
        <w:t>in EU currency.</w:t>
      </w:r>
    </w:p>
    <w:p>
      <w:pPr>
        <w:pStyle w:val="ListParagraph"/>
        <w:numPr>
          <w:ilvl w:val="0"/>
          <w:numId w:val="41"/>
        </w:numPr>
        <w:tabs>
          <w:tab w:pos="1446" w:val="left" w:leader="none"/>
        </w:tabs>
        <w:spacing w:line="240" w:lineRule="auto" w:before="2" w:after="0"/>
        <w:ind w:left="1445" w:right="0" w:hanging="186"/>
        <w:jc w:val="both"/>
        <w:rPr>
          <w:sz w:val="19"/>
        </w:rPr>
      </w:pPr>
      <w:r>
        <w:rPr>
          <w:color w:val="231F20"/>
          <w:w w:val="115"/>
          <w:sz w:val="19"/>
        </w:rPr>
        <w:t>Demands</w:t>
      </w:r>
      <w:r>
        <w:rPr>
          <w:color w:val="231F20"/>
          <w:spacing w:val="-11"/>
          <w:w w:val="115"/>
          <w:sz w:val="19"/>
        </w:rPr>
        <w:t> </w:t>
      </w:r>
      <w:r>
        <w:rPr>
          <w:color w:val="231F20"/>
          <w:w w:val="115"/>
          <w:sz w:val="19"/>
        </w:rPr>
        <w:t>for</w:t>
      </w:r>
      <w:r>
        <w:rPr>
          <w:color w:val="231F20"/>
          <w:spacing w:val="-10"/>
          <w:w w:val="115"/>
          <w:sz w:val="19"/>
        </w:rPr>
        <w:t> </w:t>
      </w:r>
      <w:r>
        <w:rPr>
          <w:color w:val="231F20"/>
          <w:w w:val="115"/>
          <w:sz w:val="19"/>
        </w:rPr>
        <w:t>Currency</w:t>
      </w:r>
      <w:r>
        <w:rPr>
          <w:color w:val="231F20"/>
          <w:spacing w:val="-11"/>
          <w:w w:val="115"/>
          <w:sz w:val="19"/>
        </w:rPr>
        <w:t> </w:t>
      </w:r>
      <w:r>
        <w:rPr>
          <w:color w:val="231F20"/>
          <w:w w:val="115"/>
          <w:sz w:val="19"/>
        </w:rPr>
        <w:t>for</w:t>
      </w:r>
      <w:r>
        <w:rPr>
          <w:color w:val="231F20"/>
          <w:spacing w:val="-10"/>
          <w:w w:val="115"/>
          <w:sz w:val="19"/>
        </w:rPr>
        <w:t> </w:t>
      </w:r>
      <w:r>
        <w:rPr>
          <w:color w:val="231F20"/>
          <w:w w:val="115"/>
          <w:sz w:val="19"/>
        </w:rPr>
        <w:t>Attractive</w:t>
      </w:r>
      <w:r>
        <w:rPr>
          <w:color w:val="231F20"/>
          <w:spacing w:val="-11"/>
          <w:w w:val="115"/>
          <w:sz w:val="19"/>
        </w:rPr>
        <w:t> </w:t>
      </w:r>
      <w:r>
        <w:rPr>
          <w:color w:val="231F20"/>
          <w:spacing w:val="-2"/>
          <w:w w:val="115"/>
          <w:sz w:val="19"/>
        </w:rPr>
        <w:t>Investments</w:t>
      </w:r>
    </w:p>
    <w:p>
      <w:pPr>
        <w:spacing w:line="328" w:lineRule="auto" w:before="82"/>
        <w:ind w:left="1450" w:right="667" w:firstLine="340"/>
        <w:jc w:val="both"/>
        <w:rPr>
          <w:rFonts w:ascii="Arial"/>
          <w:sz w:val="19"/>
        </w:rPr>
      </w:pPr>
      <w:r>
        <w:rPr>
          <w:rFonts w:ascii="Arial"/>
          <w:color w:val="231F20"/>
          <w:w w:val="115"/>
          <w:sz w:val="19"/>
        </w:rPr>
        <w:t>Higher</w:t>
      </w:r>
      <w:r>
        <w:rPr>
          <w:rFonts w:ascii="Arial"/>
          <w:color w:val="231F20"/>
          <w:spacing w:val="-16"/>
          <w:w w:val="115"/>
          <w:sz w:val="19"/>
        </w:rPr>
        <w:t> </w:t>
      </w:r>
      <w:r>
        <w:rPr>
          <w:rFonts w:ascii="Arial"/>
          <w:color w:val="231F20"/>
          <w:w w:val="115"/>
          <w:sz w:val="19"/>
        </w:rPr>
        <w:t>relative</w:t>
      </w:r>
      <w:r>
        <w:rPr>
          <w:rFonts w:ascii="Arial"/>
          <w:color w:val="231F20"/>
          <w:spacing w:val="-15"/>
          <w:w w:val="115"/>
          <w:sz w:val="19"/>
        </w:rPr>
        <w:t> </w:t>
      </w:r>
      <w:r>
        <w:rPr>
          <w:rFonts w:ascii="Arial"/>
          <w:color w:val="231F20"/>
          <w:w w:val="115"/>
          <w:sz w:val="19"/>
        </w:rPr>
        <w:t>interest</w:t>
      </w:r>
      <w:r>
        <w:rPr>
          <w:rFonts w:ascii="Arial"/>
          <w:color w:val="231F20"/>
          <w:spacing w:val="-15"/>
          <w:w w:val="115"/>
          <w:sz w:val="19"/>
        </w:rPr>
        <w:t> </w:t>
      </w:r>
      <w:r>
        <w:rPr>
          <w:rFonts w:ascii="Arial"/>
          <w:color w:val="231F20"/>
          <w:w w:val="115"/>
          <w:sz w:val="19"/>
        </w:rPr>
        <w:t>rates</w:t>
      </w:r>
      <w:r>
        <w:rPr>
          <w:rFonts w:ascii="Arial"/>
          <w:color w:val="231F20"/>
          <w:spacing w:val="-15"/>
          <w:w w:val="115"/>
          <w:sz w:val="19"/>
        </w:rPr>
        <w:t> </w:t>
      </w:r>
      <w:r>
        <w:rPr>
          <w:rFonts w:ascii="Arial"/>
          <w:color w:val="231F20"/>
          <w:w w:val="115"/>
          <w:sz w:val="19"/>
        </w:rPr>
        <w:t>in</w:t>
      </w:r>
      <w:r>
        <w:rPr>
          <w:rFonts w:ascii="Arial"/>
          <w:color w:val="231F20"/>
          <w:spacing w:val="-15"/>
          <w:w w:val="115"/>
          <w:sz w:val="19"/>
        </w:rPr>
        <w:t> </w:t>
      </w:r>
      <w:r>
        <w:rPr>
          <w:rFonts w:ascii="Arial"/>
          <w:color w:val="231F20"/>
          <w:w w:val="115"/>
          <w:sz w:val="19"/>
        </w:rPr>
        <w:t>the</w:t>
      </w:r>
      <w:r>
        <w:rPr>
          <w:rFonts w:ascii="Arial"/>
          <w:color w:val="231F20"/>
          <w:spacing w:val="-16"/>
          <w:w w:val="115"/>
          <w:sz w:val="19"/>
        </w:rPr>
        <w:t> </w:t>
      </w:r>
      <w:r>
        <w:rPr>
          <w:rFonts w:ascii="Arial"/>
          <w:color w:val="231F20"/>
          <w:w w:val="115"/>
          <w:sz w:val="19"/>
        </w:rPr>
        <w:t>United</w:t>
      </w:r>
      <w:r>
        <w:rPr>
          <w:rFonts w:ascii="Arial"/>
          <w:color w:val="231F20"/>
          <w:spacing w:val="-15"/>
          <w:w w:val="115"/>
          <w:sz w:val="19"/>
        </w:rPr>
        <w:t> </w:t>
      </w:r>
      <w:r>
        <w:rPr>
          <w:rFonts w:ascii="Arial"/>
          <w:color w:val="231F20"/>
          <w:w w:val="115"/>
          <w:sz w:val="19"/>
        </w:rPr>
        <w:t>States</w:t>
      </w:r>
      <w:r>
        <w:rPr>
          <w:rFonts w:ascii="Arial"/>
          <w:color w:val="231F20"/>
          <w:spacing w:val="-15"/>
          <w:w w:val="115"/>
          <w:sz w:val="19"/>
        </w:rPr>
        <w:t> </w:t>
      </w:r>
      <w:r>
        <w:rPr>
          <w:rFonts w:ascii="Arial"/>
          <w:color w:val="231F20"/>
          <w:w w:val="115"/>
          <w:sz w:val="19"/>
        </w:rPr>
        <w:t>prompt purchases of bonds by foreigners.</w:t>
      </w:r>
    </w:p>
    <w:p>
      <w:pPr>
        <w:spacing w:line="328" w:lineRule="auto" w:before="1"/>
        <w:ind w:left="1450" w:right="665" w:firstLine="340"/>
        <w:jc w:val="both"/>
        <w:rPr>
          <w:rFonts w:ascii="Arial"/>
          <w:sz w:val="19"/>
        </w:rPr>
      </w:pPr>
      <w:r>
        <w:rPr>
          <w:rFonts w:ascii="Arial"/>
          <w:color w:val="231F20"/>
          <w:w w:val="110"/>
          <w:sz w:val="19"/>
        </w:rPr>
        <w:t>Higher U.S. relative rate of economic growth prompts purchases of stocks by foreigners.</w:t>
      </w:r>
    </w:p>
    <w:p>
      <w:pPr>
        <w:pStyle w:val="ListParagraph"/>
        <w:numPr>
          <w:ilvl w:val="0"/>
          <w:numId w:val="41"/>
        </w:numPr>
        <w:tabs>
          <w:tab w:pos="1446" w:val="left" w:leader="none"/>
        </w:tabs>
        <w:spacing w:line="240" w:lineRule="auto" w:before="1" w:after="0"/>
        <w:ind w:left="1445" w:right="0" w:hanging="186"/>
        <w:jc w:val="both"/>
        <w:rPr>
          <w:sz w:val="19"/>
        </w:rPr>
      </w:pPr>
      <w:r>
        <w:rPr>
          <w:color w:val="231F20"/>
          <w:w w:val="110"/>
          <w:sz w:val="19"/>
        </w:rPr>
        <w:t>Demands</w:t>
      </w:r>
      <w:r>
        <w:rPr>
          <w:color w:val="231F20"/>
          <w:spacing w:val="-4"/>
          <w:w w:val="110"/>
          <w:sz w:val="19"/>
        </w:rPr>
        <w:t> </w:t>
      </w:r>
      <w:r>
        <w:rPr>
          <w:color w:val="231F20"/>
          <w:w w:val="110"/>
          <w:sz w:val="19"/>
        </w:rPr>
        <w:t>for</w:t>
      </w:r>
      <w:r>
        <w:rPr>
          <w:color w:val="231F20"/>
          <w:spacing w:val="-3"/>
          <w:w w:val="110"/>
          <w:sz w:val="19"/>
        </w:rPr>
        <w:t> </w:t>
      </w:r>
      <w:r>
        <w:rPr>
          <w:color w:val="231F20"/>
          <w:w w:val="110"/>
          <w:sz w:val="19"/>
        </w:rPr>
        <w:t>a</w:t>
      </w:r>
      <w:r>
        <w:rPr>
          <w:color w:val="231F20"/>
          <w:spacing w:val="-4"/>
          <w:w w:val="110"/>
          <w:sz w:val="19"/>
        </w:rPr>
        <w:t> </w:t>
      </w:r>
      <w:r>
        <w:rPr>
          <w:color w:val="231F20"/>
          <w:w w:val="110"/>
          <w:sz w:val="19"/>
        </w:rPr>
        <w:t>Safe</w:t>
      </w:r>
      <w:r>
        <w:rPr>
          <w:color w:val="231F20"/>
          <w:spacing w:val="-3"/>
          <w:w w:val="110"/>
          <w:sz w:val="19"/>
        </w:rPr>
        <w:t> </w:t>
      </w:r>
      <w:r>
        <w:rPr>
          <w:color w:val="231F20"/>
          <w:w w:val="110"/>
          <w:sz w:val="19"/>
        </w:rPr>
        <w:t>Haven</w:t>
      </w:r>
      <w:r>
        <w:rPr>
          <w:color w:val="231F20"/>
          <w:spacing w:val="-4"/>
          <w:w w:val="110"/>
          <w:sz w:val="19"/>
        </w:rPr>
        <w:t> </w:t>
      </w:r>
      <w:r>
        <w:rPr>
          <w:color w:val="231F20"/>
          <w:w w:val="110"/>
          <w:sz w:val="19"/>
        </w:rPr>
        <w:t>in</w:t>
      </w:r>
      <w:r>
        <w:rPr>
          <w:color w:val="231F20"/>
          <w:spacing w:val="-3"/>
          <w:w w:val="110"/>
          <w:sz w:val="19"/>
        </w:rPr>
        <w:t> </w:t>
      </w:r>
      <w:r>
        <w:rPr>
          <w:color w:val="231F20"/>
          <w:w w:val="110"/>
          <w:sz w:val="19"/>
        </w:rPr>
        <w:t>Times</w:t>
      </w:r>
      <w:r>
        <w:rPr>
          <w:color w:val="231F20"/>
          <w:spacing w:val="-4"/>
          <w:w w:val="110"/>
          <w:sz w:val="19"/>
        </w:rPr>
        <w:t> </w:t>
      </w:r>
      <w:r>
        <w:rPr>
          <w:color w:val="231F20"/>
          <w:w w:val="110"/>
          <w:sz w:val="19"/>
        </w:rPr>
        <w:t>of</w:t>
      </w:r>
      <w:r>
        <w:rPr>
          <w:color w:val="231F20"/>
          <w:spacing w:val="-3"/>
          <w:w w:val="110"/>
          <w:sz w:val="19"/>
        </w:rPr>
        <w:t> </w:t>
      </w:r>
      <w:r>
        <w:rPr>
          <w:color w:val="231F20"/>
          <w:spacing w:val="-2"/>
          <w:w w:val="110"/>
          <w:sz w:val="19"/>
        </w:rPr>
        <w:t>Uncertainty</w:t>
      </w:r>
    </w:p>
    <w:p>
      <w:pPr>
        <w:spacing w:line="328" w:lineRule="auto" w:before="82"/>
        <w:ind w:left="1450" w:right="664" w:firstLine="340"/>
        <w:jc w:val="both"/>
        <w:rPr>
          <w:rFonts w:ascii="Arial" w:hAnsi="Arial"/>
          <w:sz w:val="19"/>
        </w:rPr>
      </w:pPr>
      <w:r>
        <w:rPr>
          <w:rFonts w:ascii="Arial" w:hAnsi="Arial"/>
          <w:color w:val="231F20"/>
          <w:w w:val="110"/>
          <w:sz w:val="19"/>
        </w:rPr>
        <w:t>In times of war or chaos, investors seek the currencies </w:t>
      </w:r>
      <w:r>
        <w:rPr>
          <w:rFonts w:ascii="Arial" w:hAnsi="Arial"/>
          <w:color w:val="231F20"/>
          <w:w w:val="110"/>
          <w:sz w:val="19"/>
        </w:rPr>
        <w:t>of stable governments. During the Gulf War in 1991, investors bought U.S. dollars believing that in an unstable climate, the United States would fare better than other countries. After</w:t>
      </w:r>
      <w:r>
        <w:rPr>
          <w:rFonts w:ascii="Arial" w:hAnsi="Arial"/>
          <w:color w:val="231F20"/>
          <w:spacing w:val="80"/>
          <w:w w:val="110"/>
          <w:sz w:val="19"/>
        </w:rPr>
        <w:t> </w:t>
      </w:r>
      <w:r>
        <w:rPr>
          <w:rFonts w:ascii="Arial" w:hAnsi="Arial"/>
          <w:color w:val="231F20"/>
          <w:w w:val="110"/>
          <w:sz w:val="19"/>
        </w:rPr>
        <w:t>the</w:t>
      </w:r>
      <w:r>
        <w:rPr>
          <w:rFonts w:ascii="Arial" w:hAnsi="Arial"/>
          <w:color w:val="231F20"/>
          <w:w w:val="110"/>
          <w:sz w:val="19"/>
        </w:rPr>
        <w:t> Iraqi</w:t>
      </w:r>
      <w:r>
        <w:rPr>
          <w:rFonts w:ascii="Arial" w:hAnsi="Arial"/>
          <w:color w:val="231F20"/>
          <w:w w:val="110"/>
          <w:sz w:val="19"/>
        </w:rPr>
        <w:t> War</w:t>
      </w:r>
      <w:r>
        <w:rPr>
          <w:rFonts w:ascii="Arial" w:hAnsi="Arial"/>
          <w:color w:val="231F20"/>
          <w:w w:val="110"/>
          <w:sz w:val="19"/>
        </w:rPr>
        <w:t> in</w:t>
      </w:r>
      <w:r>
        <w:rPr>
          <w:rFonts w:ascii="Arial" w:hAnsi="Arial"/>
          <w:color w:val="231F20"/>
          <w:w w:val="110"/>
          <w:sz w:val="19"/>
        </w:rPr>
        <w:t> 2003,</w:t>
      </w:r>
      <w:r>
        <w:rPr>
          <w:rFonts w:ascii="Arial" w:hAnsi="Arial"/>
          <w:color w:val="231F20"/>
          <w:w w:val="110"/>
          <w:sz w:val="19"/>
        </w:rPr>
        <w:t> investors</w:t>
      </w:r>
      <w:r>
        <w:rPr>
          <w:rFonts w:ascii="Arial" w:hAnsi="Arial"/>
          <w:color w:val="231F20"/>
          <w:w w:val="110"/>
          <w:sz w:val="19"/>
        </w:rPr>
        <w:t> bought</w:t>
      </w:r>
      <w:r>
        <w:rPr>
          <w:rFonts w:ascii="Arial" w:hAnsi="Arial"/>
          <w:color w:val="231F20"/>
          <w:w w:val="110"/>
          <w:sz w:val="19"/>
        </w:rPr>
        <w:t> the</w:t>
      </w:r>
      <w:r>
        <w:rPr>
          <w:rFonts w:ascii="Arial" w:hAnsi="Arial"/>
          <w:color w:val="231F20"/>
          <w:w w:val="110"/>
          <w:sz w:val="19"/>
        </w:rPr>
        <w:t> European</w:t>
      </w:r>
      <w:r>
        <w:rPr>
          <w:rFonts w:ascii="Arial" w:hAnsi="Arial"/>
          <w:color w:val="231F20"/>
          <w:spacing w:val="80"/>
          <w:w w:val="110"/>
          <w:sz w:val="19"/>
        </w:rPr>
        <w:t> </w:t>
      </w:r>
      <w:r>
        <w:rPr>
          <w:rFonts w:ascii="Arial" w:hAnsi="Arial"/>
          <w:color w:val="231F20"/>
          <w:w w:val="110"/>
          <w:sz w:val="19"/>
        </w:rPr>
        <w:t>Union’s euro.</w:t>
      </w:r>
    </w:p>
    <w:p>
      <w:pPr>
        <w:pStyle w:val="ListParagraph"/>
        <w:numPr>
          <w:ilvl w:val="0"/>
          <w:numId w:val="41"/>
        </w:numPr>
        <w:tabs>
          <w:tab w:pos="1446" w:val="left" w:leader="none"/>
        </w:tabs>
        <w:spacing w:line="240" w:lineRule="auto" w:before="4" w:after="0"/>
        <w:ind w:left="1445" w:right="0" w:hanging="186"/>
        <w:jc w:val="both"/>
        <w:rPr>
          <w:sz w:val="19"/>
        </w:rPr>
      </w:pPr>
      <w:r>
        <w:rPr>
          <w:color w:val="231F20"/>
          <w:w w:val="115"/>
          <w:sz w:val="19"/>
        </w:rPr>
        <w:t>Lower</w:t>
      </w:r>
      <w:r>
        <w:rPr>
          <w:color w:val="231F20"/>
          <w:spacing w:val="-14"/>
          <w:w w:val="115"/>
          <w:sz w:val="19"/>
        </w:rPr>
        <w:t> </w:t>
      </w:r>
      <w:r>
        <w:rPr>
          <w:color w:val="231F20"/>
          <w:w w:val="115"/>
          <w:sz w:val="19"/>
        </w:rPr>
        <w:t>Inflation</w:t>
      </w:r>
      <w:r>
        <w:rPr>
          <w:color w:val="231F20"/>
          <w:spacing w:val="-13"/>
          <w:w w:val="115"/>
          <w:sz w:val="19"/>
        </w:rPr>
        <w:t> </w:t>
      </w:r>
      <w:r>
        <w:rPr>
          <w:color w:val="231F20"/>
          <w:w w:val="115"/>
          <w:sz w:val="19"/>
        </w:rPr>
        <w:t>Relative</w:t>
      </w:r>
      <w:r>
        <w:rPr>
          <w:color w:val="231F20"/>
          <w:spacing w:val="-13"/>
          <w:w w:val="115"/>
          <w:sz w:val="19"/>
        </w:rPr>
        <w:t> </w:t>
      </w:r>
      <w:r>
        <w:rPr>
          <w:color w:val="231F20"/>
          <w:w w:val="115"/>
          <w:sz w:val="19"/>
        </w:rPr>
        <w:t>to</w:t>
      </w:r>
      <w:r>
        <w:rPr>
          <w:color w:val="231F20"/>
          <w:spacing w:val="-13"/>
          <w:w w:val="115"/>
          <w:sz w:val="19"/>
        </w:rPr>
        <w:t> </w:t>
      </w:r>
      <w:r>
        <w:rPr>
          <w:color w:val="231F20"/>
          <w:w w:val="115"/>
          <w:sz w:val="19"/>
        </w:rPr>
        <w:t>Other</w:t>
      </w:r>
      <w:r>
        <w:rPr>
          <w:color w:val="231F20"/>
          <w:spacing w:val="-13"/>
          <w:w w:val="115"/>
          <w:sz w:val="19"/>
        </w:rPr>
        <w:t> </w:t>
      </w:r>
      <w:r>
        <w:rPr>
          <w:color w:val="231F20"/>
          <w:spacing w:val="-2"/>
          <w:w w:val="115"/>
          <w:sz w:val="19"/>
        </w:rPr>
        <w:t>Countries</w:t>
      </w:r>
    </w:p>
    <w:p>
      <w:pPr>
        <w:spacing w:line="328" w:lineRule="auto" w:before="82"/>
        <w:ind w:left="1450" w:right="668" w:firstLine="340"/>
        <w:jc w:val="both"/>
        <w:rPr>
          <w:rFonts w:ascii="Arial" w:hAnsi="Arial"/>
          <w:sz w:val="19"/>
        </w:rPr>
      </w:pPr>
      <w:r>
        <w:rPr>
          <w:rFonts w:ascii="Arial" w:hAnsi="Arial"/>
          <w:color w:val="231F20"/>
          <w:w w:val="115"/>
          <w:sz w:val="19"/>
        </w:rPr>
        <w:t>In</w:t>
      </w:r>
      <w:r>
        <w:rPr>
          <w:rFonts w:ascii="Arial" w:hAnsi="Arial"/>
          <w:color w:val="231F20"/>
          <w:w w:val="115"/>
          <w:sz w:val="19"/>
        </w:rPr>
        <w:t> 1987</w:t>
      </w:r>
      <w:r>
        <w:rPr>
          <w:rFonts w:ascii="Arial" w:hAnsi="Arial"/>
          <w:color w:val="231F20"/>
          <w:w w:val="115"/>
          <w:sz w:val="19"/>
        </w:rPr>
        <w:t> the</w:t>
      </w:r>
      <w:r>
        <w:rPr>
          <w:rFonts w:ascii="Arial" w:hAnsi="Arial"/>
          <w:color w:val="231F20"/>
          <w:w w:val="115"/>
          <w:sz w:val="19"/>
        </w:rPr>
        <w:t> U.S.</w:t>
      </w:r>
      <w:r>
        <w:rPr>
          <w:rFonts w:ascii="Arial" w:hAnsi="Arial"/>
          <w:color w:val="231F20"/>
          <w:w w:val="115"/>
          <w:sz w:val="19"/>
        </w:rPr>
        <w:t> inflation</w:t>
      </w:r>
      <w:r>
        <w:rPr>
          <w:rFonts w:ascii="Arial" w:hAnsi="Arial"/>
          <w:color w:val="231F20"/>
          <w:w w:val="115"/>
          <w:sz w:val="19"/>
        </w:rPr>
        <w:t> rate</w:t>
      </w:r>
      <w:r>
        <w:rPr>
          <w:rFonts w:ascii="Arial" w:hAnsi="Arial"/>
          <w:color w:val="231F20"/>
          <w:w w:val="115"/>
          <w:sz w:val="19"/>
        </w:rPr>
        <w:t> was</w:t>
      </w:r>
      <w:r>
        <w:rPr>
          <w:rFonts w:ascii="Arial" w:hAnsi="Arial"/>
          <w:color w:val="231F20"/>
          <w:w w:val="115"/>
          <w:sz w:val="19"/>
        </w:rPr>
        <w:t> 3.6</w:t>
      </w:r>
      <w:r>
        <w:rPr>
          <w:rFonts w:ascii="Arial" w:hAnsi="Arial"/>
          <w:color w:val="231F20"/>
          <w:w w:val="115"/>
          <w:sz w:val="19"/>
        </w:rPr>
        <w:t> percent,</w:t>
      </w:r>
      <w:r>
        <w:rPr>
          <w:rFonts w:ascii="Arial" w:hAnsi="Arial"/>
          <w:color w:val="231F20"/>
          <w:w w:val="115"/>
          <w:sz w:val="19"/>
        </w:rPr>
        <w:t> and</w:t>
      </w:r>
      <w:r>
        <w:rPr>
          <w:rFonts w:ascii="Arial" w:hAnsi="Arial"/>
          <w:color w:val="231F20"/>
          <w:w w:val="115"/>
          <w:sz w:val="19"/>
        </w:rPr>
        <w:t> </w:t>
      </w:r>
      <w:r>
        <w:rPr>
          <w:rFonts w:ascii="Arial" w:hAnsi="Arial"/>
          <w:color w:val="231F20"/>
          <w:w w:val="115"/>
          <w:sz w:val="19"/>
        </w:rPr>
        <w:t>the </w:t>
      </w:r>
      <w:r>
        <w:rPr>
          <w:rFonts w:ascii="Arial" w:hAnsi="Arial"/>
          <w:color w:val="231F20"/>
          <w:w w:val="110"/>
          <w:sz w:val="19"/>
        </w:rPr>
        <w:t>Lebanese</w:t>
      </w:r>
      <w:r>
        <w:rPr>
          <w:rFonts w:ascii="Arial" w:hAnsi="Arial"/>
          <w:color w:val="231F20"/>
          <w:spacing w:val="-14"/>
          <w:w w:val="110"/>
          <w:sz w:val="19"/>
        </w:rPr>
        <w:t> </w:t>
      </w:r>
      <w:r>
        <w:rPr>
          <w:rFonts w:ascii="Arial" w:hAnsi="Arial"/>
          <w:color w:val="231F20"/>
          <w:w w:val="110"/>
          <w:sz w:val="19"/>
        </w:rPr>
        <w:t>inflation</w:t>
      </w:r>
      <w:r>
        <w:rPr>
          <w:rFonts w:ascii="Arial" w:hAnsi="Arial"/>
          <w:color w:val="231F20"/>
          <w:spacing w:val="-14"/>
          <w:w w:val="110"/>
          <w:sz w:val="19"/>
        </w:rPr>
        <w:t> </w:t>
      </w:r>
      <w:r>
        <w:rPr>
          <w:rFonts w:ascii="Arial" w:hAnsi="Arial"/>
          <w:color w:val="231F20"/>
          <w:w w:val="110"/>
          <w:sz w:val="19"/>
        </w:rPr>
        <w:t>rate</w:t>
      </w:r>
      <w:r>
        <w:rPr>
          <w:rFonts w:ascii="Arial" w:hAnsi="Arial"/>
          <w:color w:val="231F20"/>
          <w:spacing w:val="-14"/>
          <w:w w:val="110"/>
          <w:sz w:val="19"/>
        </w:rPr>
        <w:t> </w:t>
      </w:r>
      <w:r>
        <w:rPr>
          <w:rFonts w:ascii="Arial" w:hAnsi="Arial"/>
          <w:color w:val="231F20"/>
          <w:w w:val="110"/>
          <w:sz w:val="19"/>
        </w:rPr>
        <w:t>723</w:t>
      </w:r>
      <w:r>
        <w:rPr>
          <w:rFonts w:ascii="Arial" w:hAnsi="Arial"/>
          <w:color w:val="231F20"/>
          <w:spacing w:val="-14"/>
          <w:w w:val="110"/>
          <w:sz w:val="19"/>
        </w:rPr>
        <w:t> </w:t>
      </w:r>
      <w:r>
        <w:rPr>
          <w:rFonts w:ascii="Arial" w:hAnsi="Arial"/>
          <w:color w:val="231F20"/>
          <w:w w:val="110"/>
          <w:sz w:val="19"/>
        </w:rPr>
        <w:t>percent,</w:t>
      </w:r>
      <w:r>
        <w:rPr>
          <w:rFonts w:ascii="Arial" w:hAnsi="Arial"/>
          <w:color w:val="231F20"/>
          <w:spacing w:val="-14"/>
          <w:w w:val="110"/>
          <w:sz w:val="19"/>
        </w:rPr>
        <w:t> </w:t>
      </w:r>
      <w:r>
        <w:rPr>
          <w:rFonts w:ascii="Arial" w:hAnsi="Arial"/>
          <w:color w:val="231F20"/>
          <w:w w:val="110"/>
          <w:sz w:val="19"/>
        </w:rPr>
        <w:t>which</w:t>
      </w:r>
      <w:r>
        <w:rPr>
          <w:rFonts w:ascii="Arial" w:hAnsi="Arial"/>
          <w:color w:val="231F20"/>
          <w:spacing w:val="-14"/>
          <w:w w:val="110"/>
          <w:sz w:val="19"/>
        </w:rPr>
        <w:t> </w:t>
      </w:r>
      <w:r>
        <w:rPr>
          <w:rFonts w:ascii="Arial" w:hAnsi="Arial"/>
          <w:color w:val="231F20"/>
          <w:w w:val="110"/>
          <w:sz w:val="19"/>
        </w:rPr>
        <w:t>reflected</w:t>
      </w:r>
      <w:r>
        <w:rPr>
          <w:rFonts w:ascii="Arial" w:hAnsi="Arial"/>
          <w:color w:val="231F20"/>
          <w:spacing w:val="-14"/>
          <w:w w:val="110"/>
          <w:sz w:val="19"/>
        </w:rPr>
        <w:t> </w:t>
      </w:r>
      <w:r>
        <w:rPr>
          <w:rFonts w:ascii="Arial" w:hAnsi="Arial"/>
          <w:color w:val="231F20"/>
          <w:w w:val="110"/>
          <w:sz w:val="19"/>
        </w:rPr>
        <w:t>the</w:t>
      </w:r>
      <w:r>
        <w:rPr>
          <w:rFonts w:ascii="Arial" w:hAnsi="Arial"/>
          <w:color w:val="231F20"/>
          <w:spacing w:val="-14"/>
          <w:w w:val="110"/>
          <w:sz w:val="19"/>
        </w:rPr>
        <w:t> </w:t>
      </w:r>
      <w:r>
        <w:rPr>
          <w:rFonts w:ascii="Arial" w:hAnsi="Arial"/>
          <w:color w:val="231F20"/>
          <w:w w:val="110"/>
          <w:sz w:val="19"/>
        </w:rPr>
        <w:t>chaos </w:t>
      </w:r>
      <w:r>
        <w:rPr>
          <w:rFonts w:ascii="Arial" w:hAnsi="Arial"/>
          <w:color w:val="231F20"/>
          <w:spacing w:val="-2"/>
          <w:w w:val="115"/>
          <w:sz w:val="19"/>
        </w:rPr>
        <w:t>of</w:t>
      </w:r>
      <w:r>
        <w:rPr>
          <w:rFonts w:ascii="Arial" w:hAnsi="Arial"/>
          <w:color w:val="231F20"/>
          <w:spacing w:val="-14"/>
          <w:w w:val="115"/>
          <w:sz w:val="19"/>
        </w:rPr>
        <w:t> </w:t>
      </w:r>
      <w:r>
        <w:rPr>
          <w:rFonts w:ascii="Arial" w:hAnsi="Arial"/>
          <w:color w:val="231F20"/>
          <w:spacing w:val="-2"/>
          <w:w w:val="115"/>
          <w:sz w:val="19"/>
        </w:rPr>
        <w:t>their</w:t>
      </w:r>
      <w:r>
        <w:rPr>
          <w:rFonts w:ascii="Arial" w:hAnsi="Arial"/>
          <w:color w:val="231F20"/>
          <w:spacing w:val="-13"/>
          <w:w w:val="115"/>
          <w:sz w:val="19"/>
        </w:rPr>
        <w:t> </w:t>
      </w:r>
      <w:r>
        <w:rPr>
          <w:rFonts w:ascii="Arial" w:hAnsi="Arial"/>
          <w:color w:val="231F20"/>
          <w:spacing w:val="-2"/>
          <w:w w:val="115"/>
          <w:sz w:val="19"/>
        </w:rPr>
        <w:t>civil</w:t>
      </w:r>
      <w:r>
        <w:rPr>
          <w:rFonts w:ascii="Arial" w:hAnsi="Arial"/>
          <w:color w:val="231F20"/>
          <w:spacing w:val="-13"/>
          <w:w w:val="115"/>
          <w:sz w:val="19"/>
        </w:rPr>
        <w:t> </w:t>
      </w:r>
      <w:r>
        <w:rPr>
          <w:rFonts w:ascii="Arial" w:hAnsi="Arial"/>
          <w:color w:val="231F20"/>
          <w:spacing w:val="-2"/>
          <w:w w:val="115"/>
          <w:sz w:val="19"/>
        </w:rPr>
        <w:t>war.</w:t>
      </w:r>
      <w:r>
        <w:rPr>
          <w:rFonts w:ascii="Arial" w:hAnsi="Arial"/>
          <w:color w:val="231F20"/>
          <w:spacing w:val="-13"/>
          <w:w w:val="115"/>
          <w:sz w:val="19"/>
        </w:rPr>
        <w:t> </w:t>
      </w:r>
      <w:r>
        <w:rPr>
          <w:rFonts w:ascii="Arial" w:hAnsi="Arial"/>
          <w:color w:val="231F20"/>
          <w:spacing w:val="-2"/>
          <w:w w:val="115"/>
          <w:sz w:val="19"/>
        </w:rPr>
        <w:t>Lebanese</w:t>
      </w:r>
      <w:r>
        <w:rPr>
          <w:rFonts w:ascii="Arial" w:hAnsi="Arial"/>
          <w:color w:val="231F20"/>
          <w:spacing w:val="-13"/>
          <w:w w:val="115"/>
          <w:sz w:val="19"/>
        </w:rPr>
        <w:t> </w:t>
      </w:r>
      <w:r>
        <w:rPr>
          <w:rFonts w:ascii="Arial" w:hAnsi="Arial"/>
          <w:color w:val="231F20"/>
          <w:spacing w:val="-2"/>
          <w:w w:val="115"/>
          <w:sz w:val="19"/>
        </w:rPr>
        <w:t>investors</w:t>
      </w:r>
      <w:r>
        <w:rPr>
          <w:rFonts w:ascii="Arial" w:hAnsi="Arial"/>
          <w:color w:val="231F20"/>
          <w:spacing w:val="-14"/>
          <w:w w:val="115"/>
          <w:sz w:val="19"/>
        </w:rPr>
        <w:t> </w:t>
      </w:r>
      <w:r>
        <w:rPr>
          <w:rFonts w:ascii="Arial" w:hAnsi="Arial"/>
          <w:color w:val="231F20"/>
          <w:spacing w:val="-2"/>
          <w:w w:val="115"/>
          <w:sz w:val="19"/>
        </w:rPr>
        <w:t>naturally</w:t>
      </w:r>
      <w:r>
        <w:rPr>
          <w:rFonts w:ascii="Arial" w:hAnsi="Arial"/>
          <w:color w:val="231F20"/>
          <w:spacing w:val="-13"/>
          <w:w w:val="115"/>
          <w:sz w:val="19"/>
        </w:rPr>
        <w:t> </w:t>
      </w:r>
      <w:r>
        <w:rPr>
          <w:rFonts w:ascii="Arial" w:hAnsi="Arial"/>
          <w:color w:val="231F20"/>
          <w:spacing w:val="-2"/>
          <w:w w:val="115"/>
          <w:sz w:val="19"/>
        </w:rPr>
        <w:t>wanted</w:t>
      </w:r>
      <w:r>
        <w:rPr>
          <w:rFonts w:ascii="Arial" w:hAnsi="Arial"/>
          <w:color w:val="231F20"/>
          <w:spacing w:val="-13"/>
          <w:w w:val="115"/>
          <w:sz w:val="19"/>
        </w:rPr>
        <w:t> </w:t>
      </w:r>
      <w:r>
        <w:rPr>
          <w:rFonts w:ascii="Arial" w:hAnsi="Arial"/>
          <w:color w:val="231F20"/>
          <w:spacing w:val="-2"/>
          <w:w w:val="115"/>
          <w:sz w:val="19"/>
        </w:rPr>
        <w:t>to</w:t>
      </w:r>
      <w:r>
        <w:rPr>
          <w:rFonts w:ascii="Arial" w:hAnsi="Arial"/>
          <w:color w:val="231F20"/>
          <w:spacing w:val="-13"/>
          <w:w w:val="115"/>
          <w:sz w:val="19"/>
        </w:rPr>
        <w:t> </w:t>
      </w:r>
      <w:r>
        <w:rPr>
          <w:rFonts w:ascii="Arial" w:hAnsi="Arial"/>
          <w:color w:val="231F20"/>
          <w:spacing w:val="-2"/>
          <w:w w:val="115"/>
          <w:sz w:val="19"/>
        </w:rPr>
        <w:t>hold their</w:t>
      </w:r>
      <w:r>
        <w:rPr>
          <w:rFonts w:ascii="Arial" w:hAnsi="Arial"/>
          <w:color w:val="231F20"/>
          <w:spacing w:val="-14"/>
          <w:w w:val="115"/>
          <w:sz w:val="19"/>
        </w:rPr>
        <w:t> </w:t>
      </w:r>
      <w:r>
        <w:rPr>
          <w:rFonts w:ascii="Arial" w:hAnsi="Arial"/>
          <w:color w:val="231F20"/>
          <w:spacing w:val="-2"/>
          <w:w w:val="115"/>
          <w:sz w:val="19"/>
        </w:rPr>
        <w:t>investments</w:t>
      </w:r>
      <w:r>
        <w:rPr>
          <w:rFonts w:ascii="Arial" w:hAnsi="Arial"/>
          <w:color w:val="231F20"/>
          <w:spacing w:val="-13"/>
          <w:w w:val="115"/>
          <w:sz w:val="19"/>
        </w:rPr>
        <w:t> </w:t>
      </w:r>
      <w:r>
        <w:rPr>
          <w:rFonts w:ascii="Arial" w:hAnsi="Arial"/>
          <w:color w:val="231F20"/>
          <w:spacing w:val="-2"/>
          <w:w w:val="115"/>
          <w:sz w:val="19"/>
        </w:rPr>
        <w:t>in</w:t>
      </w:r>
      <w:r>
        <w:rPr>
          <w:rFonts w:ascii="Arial" w:hAnsi="Arial"/>
          <w:color w:val="231F20"/>
          <w:spacing w:val="-13"/>
          <w:w w:val="115"/>
          <w:sz w:val="19"/>
        </w:rPr>
        <w:t> </w:t>
      </w:r>
      <w:r>
        <w:rPr>
          <w:rFonts w:ascii="Arial" w:hAnsi="Arial"/>
          <w:color w:val="231F20"/>
          <w:spacing w:val="-2"/>
          <w:w w:val="115"/>
          <w:sz w:val="19"/>
        </w:rPr>
        <w:t>U.S.</w:t>
      </w:r>
      <w:r>
        <w:rPr>
          <w:rFonts w:ascii="Arial" w:hAnsi="Arial"/>
          <w:color w:val="231F20"/>
          <w:spacing w:val="-13"/>
          <w:w w:val="115"/>
          <w:sz w:val="19"/>
        </w:rPr>
        <w:t> </w:t>
      </w:r>
      <w:r>
        <w:rPr>
          <w:rFonts w:ascii="Arial" w:hAnsi="Arial"/>
          <w:color w:val="231F20"/>
          <w:spacing w:val="-2"/>
          <w:w w:val="115"/>
          <w:sz w:val="19"/>
        </w:rPr>
        <w:t>dollars</w:t>
      </w:r>
      <w:r>
        <w:rPr>
          <w:rFonts w:ascii="Arial" w:hAnsi="Arial"/>
          <w:color w:val="231F20"/>
          <w:spacing w:val="-13"/>
          <w:w w:val="115"/>
          <w:sz w:val="19"/>
        </w:rPr>
        <w:t> </w:t>
      </w:r>
      <w:r>
        <w:rPr>
          <w:rFonts w:ascii="Arial" w:hAnsi="Arial"/>
          <w:color w:val="231F20"/>
          <w:spacing w:val="-2"/>
          <w:w w:val="115"/>
          <w:sz w:val="19"/>
        </w:rPr>
        <w:t>because</w:t>
      </w:r>
      <w:r>
        <w:rPr>
          <w:rFonts w:ascii="Arial" w:hAnsi="Arial"/>
          <w:color w:val="231F20"/>
          <w:spacing w:val="-14"/>
          <w:w w:val="115"/>
          <w:sz w:val="19"/>
        </w:rPr>
        <w:t> </w:t>
      </w:r>
      <w:r>
        <w:rPr>
          <w:rFonts w:ascii="Arial" w:hAnsi="Arial"/>
          <w:color w:val="231F20"/>
          <w:spacing w:val="-2"/>
          <w:w w:val="115"/>
          <w:sz w:val="19"/>
        </w:rPr>
        <w:t>their</w:t>
      </w:r>
      <w:r>
        <w:rPr>
          <w:rFonts w:ascii="Arial" w:hAnsi="Arial"/>
          <w:color w:val="231F20"/>
          <w:spacing w:val="-13"/>
          <w:w w:val="115"/>
          <w:sz w:val="19"/>
        </w:rPr>
        <w:t> </w:t>
      </w:r>
      <w:r>
        <w:rPr>
          <w:rFonts w:ascii="Arial" w:hAnsi="Arial"/>
          <w:color w:val="231F20"/>
          <w:spacing w:val="-2"/>
          <w:w w:val="115"/>
          <w:sz w:val="19"/>
        </w:rPr>
        <w:t>pound’s</w:t>
      </w:r>
      <w:r>
        <w:rPr>
          <w:rFonts w:ascii="Arial" w:hAnsi="Arial"/>
          <w:color w:val="231F20"/>
          <w:spacing w:val="-13"/>
          <w:w w:val="115"/>
          <w:sz w:val="19"/>
        </w:rPr>
        <w:t> </w:t>
      </w:r>
      <w:r>
        <w:rPr>
          <w:rFonts w:ascii="Arial" w:hAnsi="Arial"/>
          <w:color w:val="231F20"/>
          <w:spacing w:val="-2"/>
          <w:w w:val="115"/>
          <w:sz w:val="19"/>
        </w:rPr>
        <w:t>value </w:t>
      </w:r>
      <w:r>
        <w:rPr>
          <w:rFonts w:ascii="Arial" w:hAnsi="Arial"/>
          <w:color w:val="231F20"/>
          <w:w w:val="115"/>
          <w:sz w:val="19"/>
        </w:rPr>
        <w:t>was</w:t>
      </w:r>
      <w:r>
        <w:rPr>
          <w:rFonts w:ascii="Arial" w:hAnsi="Arial"/>
          <w:color w:val="231F20"/>
          <w:spacing w:val="-10"/>
          <w:w w:val="115"/>
          <w:sz w:val="19"/>
        </w:rPr>
        <w:t> </w:t>
      </w:r>
      <w:r>
        <w:rPr>
          <w:rFonts w:ascii="Arial" w:hAnsi="Arial"/>
          <w:color w:val="231F20"/>
          <w:w w:val="115"/>
          <w:sz w:val="19"/>
        </w:rPr>
        <w:t>eroding</w:t>
      </w:r>
      <w:r>
        <w:rPr>
          <w:rFonts w:ascii="Arial" w:hAnsi="Arial"/>
          <w:color w:val="231F20"/>
          <w:spacing w:val="-10"/>
          <w:w w:val="115"/>
          <w:sz w:val="19"/>
        </w:rPr>
        <w:t> </w:t>
      </w:r>
      <w:r>
        <w:rPr>
          <w:rFonts w:ascii="Arial" w:hAnsi="Arial"/>
          <w:color w:val="231F20"/>
          <w:w w:val="115"/>
          <w:sz w:val="19"/>
        </w:rPr>
        <w:t>quickly.</w:t>
      </w:r>
      <w:r>
        <w:rPr>
          <w:rFonts w:ascii="Arial" w:hAnsi="Arial"/>
          <w:color w:val="231F20"/>
          <w:spacing w:val="-10"/>
          <w:w w:val="115"/>
          <w:sz w:val="19"/>
        </w:rPr>
        <w:t> </w:t>
      </w:r>
      <w:r>
        <w:rPr>
          <w:rFonts w:ascii="Arial" w:hAnsi="Arial"/>
          <w:color w:val="231F20"/>
          <w:w w:val="115"/>
          <w:sz w:val="19"/>
        </w:rPr>
        <w:t>The</w:t>
      </w:r>
      <w:r>
        <w:rPr>
          <w:rFonts w:ascii="Arial" w:hAnsi="Arial"/>
          <w:color w:val="231F20"/>
          <w:spacing w:val="-10"/>
          <w:w w:val="115"/>
          <w:sz w:val="19"/>
        </w:rPr>
        <w:t> </w:t>
      </w:r>
      <w:r>
        <w:rPr>
          <w:rFonts w:ascii="Arial" w:hAnsi="Arial"/>
          <w:color w:val="231F20"/>
          <w:w w:val="115"/>
          <w:sz w:val="19"/>
        </w:rPr>
        <w:t>theory</w:t>
      </w:r>
      <w:r>
        <w:rPr>
          <w:rFonts w:ascii="Arial" w:hAnsi="Arial"/>
          <w:color w:val="231F20"/>
          <w:spacing w:val="-10"/>
          <w:w w:val="115"/>
          <w:sz w:val="19"/>
        </w:rPr>
        <w:t> </w:t>
      </w:r>
      <w:r>
        <w:rPr>
          <w:rFonts w:ascii="Arial" w:hAnsi="Arial"/>
          <w:color w:val="231F20"/>
          <w:w w:val="115"/>
          <w:sz w:val="19"/>
        </w:rPr>
        <w:t>of</w:t>
      </w:r>
      <w:r>
        <w:rPr>
          <w:rFonts w:ascii="Arial" w:hAnsi="Arial"/>
          <w:color w:val="231F20"/>
          <w:spacing w:val="-10"/>
          <w:w w:val="115"/>
          <w:sz w:val="19"/>
        </w:rPr>
        <w:t> </w:t>
      </w:r>
      <w:r>
        <w:rPr>
          <w:rFonts w:ascii="Arial" w:hAnsi="Arial"/>
          <w:i/>
          <w:color w:val="231F20"/>
          <w:w w:val="115"/>
          <w:sz w:val="19"/>
        </w:rPr>
        <w:t>purchasing-power</w:t>
      </w:r>
      <w:r>
        <w:rPr>
          <w:rFonts w:ascii="Arial" w:hAnsi="Arial"/>
          <w:i/>
          <w:color w:val="231F20"/>
          <w:spacing w:val="-10"/>
          <w:w w:val="115"/>
          <w:sz w:val="19"/>
        </w:rPr>
        <w:t> </w:t>
      </w:r>
      <w:r>
        <w:rPr>
          <w:rFonts w:ascii="Arial" w:hAnsi="Arial"/>
          <w:i/>
          <w:color w:val="231F20"/>
          <w:w w:val="115"/>
          <w:sz w:val="19"/>
        </w:rPr>
        <w:t>parity</w:t>
      </w:r>
      <w:r>
        <w:rPr>
          <w:rFonts w:ascii="Arial" w:hAnsi="Arial"/>
          <w:i/>
          <w:color w:val="231F20"/>
          <w:w w:val="115"/>
          <w:sz w:val="19"/>
        </w:rPr>
        <w:t> </w:t>
      </w:r>
      <w:r>
        <w:rPr>
          <w:rFonts w:ascii="Arial" w:hAnsi="Arial"/>
          <w:color w:val="231F20"/>
          <w:spacing w:val="-2"/>
          <w:w w:val="115"/>
          <w:sz w:val="19"/>
        </w:rPr>
        <w:t>describes</w:t>
      </w:r>
      <w:r>
        <w:rPr>
          <w:rFonts w:ascii="Arial" w:hAnsi="Arial"/>
          <w:color w:val="231F20"/>
          <w:spacing w:val="-14"/>
          <w:w w:val="115"/>
          <w:sz w:val="19"/>
        </w:rPr>
        <w:t> </w:t>
      </w:r>
      <w:r>
        <w:rPr>
          <w:rFonts w:ascii="Arial" w:hAnsi="Arial"/>
          <w:color w:val="231F20"/>
          <w:spacing w:val="-2"/>
          <w:w w:val="115"/>
          <w:sz w:val="19"/>
        </w:rPr>
        <w:t>the</w:t>
      </w:r>
      <w:r>
        <w:rPr>
          <w:rFonts w:ascii="Arial" w:hAnsi="Arial"/>
          <w:color w:val="231F20"/>
          <w:spacing w:val="-13"/>
          <w:w w:val="115"/>
          <w:sz w:val="19"/>
        </w:rPr>
        <w:t> </w:t>
      </w:r>
      <w:r>
        <w:rPr>
          <w:rFonts w:ascii="Arial" w:hAnsi="Arial"/>
          <w:color w:val="231F20"/>
          <w:spacing w:val="-2"/>
          <w:w w:val="115"/>
          <w:sz w:val="19"/>
        </w:rPr>
        <w:t>way</w:t>
      </w:r>
      <w:r>
        <w:rPr>
          <w:rFonts w:ascii="Arial" w:hAnsi="Arial"/>
          <w:color w:val="231F20"/>
          <w:spacing w:val="-13"/>
          <w:w w:val="115"/>
          <w:sz w:val="19"/>
        </w:rPr>
        <w:t> </w:t>
      </w:r>
      <w:r>
        <w:rPr>
          <w:rFonts w:ascii="Arial" w:hAnsi="Arial"/>
          <w:color w:val="231F20"/>
          <w:spacing w:val="-2"/>
          <w:w w:val="115"/>
          <w:sz w:val="19"/>
        </w:rPr>
        <w:t>that</w:t>
      </w:r>
      <w:r>
        <w:rPr>
          <w:rFonts w:ascii="Arial" w:hAnsi="Arial"/>
          <w:color w:val="231F20"/>
          <w:spacing w:val="-13"/>
          <w:w w:val="115"/>
          <w:sz w:val="19"/>
        </w:rPr>
        <w:t> </w:t>
      </w:r>
      <w:r>
        <w:rPr>
          <w:rFonts w:ascii="Arial" w:hAnsi="Arial"/>
          <w:color w:val="231F20"/>
          <w:spacing w:val="-2"/>
          <w:w w:val="115"/>
          <w:sz w:val="19"/>
        </w:rPr>
        <w:t>currencies’</w:t>
      </w:r>
      <w:r>
        <w:rPr>
          <w:rFonts w:ascii="Arial" w:hAnsi="Arial"/>
          <w:color w:val="231F20"/>
          <w:spacing w:val="-13"/>
          <w:w w:val="115"/>
          <w:sz w:val="19"/>
        </w:rPr>
        <w:t> </w:t>
      </w:r>
      <w:r>
        <w:rPr>
          <w:rFonts w:ascii="Arial" w:hAnsi="Arial"/>
          <w:color w:val="231F20"/>
          <w:spacing w:val="-2"/>
          <w:w w:val="115"/>
          <w:sz w:val="19"/>
        </w:rPr>
        <w:t>values</w:t>
      </w:r>
      <w:r>
        <w:rPr>
          <w:rFonts w:ascii="Arial" w:hAnsi="Arial"/>
          <w:color w:val="231F20"/>
          <w:spacing w:val="-14"/>
          <w:w w:val="115"/>
          <w:sz w:val="19"/>
        </w:rPr>
        <w:t> </w:t>
      </w:r>
      <w:r>
        <w:rPr>
          <w:rFonts w:ascii="Arial" w:hAnsi="Arial"/>
          <w:color w:val="231F20"/>
          <w:spacing w:val="-2"/>
          <w:w w:val="115"/>
          <w:sz w:val="19"/>
        </w:rPr>
        <w:t>adjust</w:t>
      </w:r>
      <w:r>
        <w:rPr>
          <w:rFonts w:ascii="Arial" w:hAnsi="Arial"/>
          <w:color w:val="231F20"/>
          <w:spacing w:val="-13"/>
          <w:w w:val="115"/>
          <w:sz w:val="19"/>
        </w:rPr>
        <w:t> </w:t>
      </w:r>
      <w:r>
        <w:rPr>
          <w:rFonts w:ascii="Arial" w:hAnsi="Arial"/>
          <w:color w:val="231F20"/>
          <w:spacing w:val="-2"/>
          <w:w w:val="115"/>
          <w:sz w:val="19"/>
        </w:rPr>
        <w:t>versus</w:t>
      </w:r>
      <w:r>
        <w:rPr>
          <w:rFonts w:ascii="Arial" w:hAnsi="Arial"/>
          <w:color w:val="231F20"/>
          <w:spacing w:val="-13"/>
          <w:w w:val="115"/>
          <w:sz w:val="19"/>
        </w:rPr>
        <w:t> </w:t>
      </w:r>
      <w:r>
        <w:rPr>
          <w:rFonts w:ascii="Arial" w:hAnsi="Arial"/>
          <w:color w:val="231F20"/>
          <w:spacing w:val="-2"/>
          <w:w w:val="115"/>
          <w:sz w:val="19"/>
        </w:rPr>
        <w:t>each </w:t>
      </w:r>
      <w:r>
        <w:rPr>
          <w:rFonts w:ascii="Arial" w:hAnsi="Arial"/>
          <w:color w:val="231F20"/>
          <w:w w:val="115"/>
          <w:sz w:val="19"/>
        </w:rPr>
        <w:t>other</w:t>
      </w:r>
      <w:r>
        <w:rPr>
          <w:rFonts w:ascii="Arial" w:hAnsi="Arial"/>
          <w:color w:val="231F20"/>
          <w:spacing w:val="-12"/>
          <w:w w:val="115"/>
          <w:sz w:val="19"/>
        </w:rPr>
        <w:t> </w:t>
      </w:r>
      <w:r>
        <w:rPr>
          <w:rFonts w:ascii="Arial" w:hAnsi="Arial"/>
          <w:color w:val="231F20"/>
          <w:w w:val="115"/>
          <w:sz w:val="19"/>
        </w:rPr>
        <w:t>because</w:t>
      </w:r>
      <w:r>
        <w:rPr>
          <w:rFonts w:ascii="Arial" w:hAnsi="Arial"/>
          <w:color w:val="231F20"/>
          <w:spacing w:val="-12"/>
          <w:w w:val="115"/>
          <w:sz w:val="19"/>
        </w:rPr>
        <w:t> </w:t>
      </w:r>
      <w:r>
        <w:rPr>
          <w:rFonts w:ascii="Arial" w:hAnsi="Arial"/>
          <w:color w:val="231F20"/>
          <w:w w:val="115"/>
          <w:sz w:val="19"/>
        </w:rPr>
        <w:t>of</w:t>
      </w:r>
      <w:r>
        <w:rPr>
          <w:rFonts w:ascii="Arial" w:hAnsi="Arial"/>
          <w:color w:val="231F20"/>
          <w:spacing w:val="-12"/>
          <w:w w:val="115"/>
          <w:sz w:val="19"/>
        </w:rPr>
        <w:t> </w:t>
      </w:r>
      <w:r>
        <w:rPr>
          <w:rFonts w:ascii="Arial" w:hAnsi="Arial"/>
          <w:color w:val="231F20"/>
          <w:w w:val="115"/>
          <w:sz w:val="19"/>
        </w:rPr>
        <w:t>inflation.</w:t>
      </w:r>
      <w:r>
        <w:rPr>
          <w:rFonts w:ascii="Arial" w:hAnsi="Arial"/>
          <w:color w:val="231F20"/>
          <w:spacing w:val="-12"/>
          <w:w w:val="115"/>
          <w:sz w:val="19"/>
        </w:rPr>
        <w:t> </w:t>
      </w:r>
      <w:r>
        <w:rPr>
          <w:rFonts w:ascii="Arial" w:hAnsi="Arial"/>
          <w:color w:val="231F20"/>
          <w:w w:val="115"/>
          <w:sz w:val="19"/>
        </w:rPr>
        <w:t>If</w:t>
      </w:r>
      <w:r>
        <w:rPr>
          <w:rFonts w:ascii="Arial" w:hAnsi="Arial"/>
          <w:color w:val="231F20"/>
          <w:spacing w:val="-12"/>
          <w:w w:val="115"/>
          <w:sz w:val="19"/>
        </w:rPr>
        <w:t> </w:t>
      </w:r>
      <w:r>
        <w:rPr>
          <w:rFonts w:ascii="Arial" w:hAnsi="Arial"/>
          <w:color w:val="231F20"/>
          <w:w w:val="115"/>
          <w:sz w:val="19"/>
        </w:rPr>
        <w:t>one</w:t>
      </w:r>
      <w:r>
        <w:rPr>
          <w:rFonts w:ascii="Arial" w:hAnsi="Arial"/>
          <w:color w:val="231F20"/>
          <w:spacing w:val="-12"/>
          <w:w w:val="115"/>
          <w:sz w:val="19"/>
        </w:rPr>
        <w:t> </w:t>
      </w:r>
      <w:r>
        <w:rPr>
          <w:rFonts w:ascii="Arial" w:hAnsi="Arial"/>
          <w:color w:val="231F20"/>
          <w:w w:val="115"/>
          <w:sz w:val="19"/>
        </w:rPr>
        <w:t>country’s</w:t>
      </w:r>
      <w:r>
        <w:rPr>
          <w:rFonts w:ascii="Arial" w:hAnsi="Arial"/>
          <w:color w:val="231F20"/>
          <w:spacing w:val="-12"/>
          <w:w w:val="115"/>
          <w:sz w:val="19"/>
        </w:rPr>
        <w:t> </w:t>
      </w:r>
      <w:r>
        <w:rPr>
          <w:rFonts w:ascii="Arial" w:hAnsi="Arial"/>
          <w:color w:val="231F20"/>
          <w:w w:val="115"/>
          <w:sz w:val="19"/>
        </w:rPr>
        <w:t>inflation</w:t>
      </w:r>
      <w:r>
        <w:rPr>
          <w:rFonts w:ascii="Arial" w:hAnsi="Arial"/>
          <w:color w:val="231F20"/>
          <w:spacing w:val="-12"/>
          <w:w w:val="115"/>
          <w:sz w:val="19"/>
        </w:rPr>
        <w:t> </w:t>
      </w:r>
      <w:r>
        <w:rPr>
          <w:rFonts w:ascii="Arial" w:hAnsi="Arial"/>
          <w:color w:val="231F20"/>
          <w:w w:val="115"/>
          <w:sz w:val="19"/>
        </w:rPr>
        <w:t>is</w:t>
      </w:r>
      <w:r>
        <w:rPr>
          <w:rFonts w:ascii="Arial" w:hAnsi="Arial"/>
          <w:color w:val="231F20"/>
          <w:spacing w:val="-12"/>
          <w:w w:val="115"/>
          <w:sz w:val="19"/>
        </w:rPr>
        <w:t> </w:t>
      </w:r>
      <w:r>
        <w:rPr>
          <w:rFonts w:ascii="Arial" w:hAnsi="Arial"/>
          <w:color w:val="231F20"/>
          <w:w w:val="115"/>
          <w:sz w:val="19"/>
        </w:rPr>
        <w:t>higher </w:t>
      </w:r>
      <w:r>
        <w:rPr>
          <w:rFonts w:ascii="Arial" w:hAnsi="Arial"/>
          <w:color w:val="231F20"/>
          <w:w w:val="110"/>
          <w:sz w:val="19"/>
        </w:rPr>
        <w:t>than</w:t>
      </w:r>
      <w:r>
        <w:rPr>
          <w:rFonts w:ascii="Arial" w:hAnsi="Arial"/>
          <w:color w:val="231F20"/>
          <w:spacing w:val="-7"/>
          <w:w w:val="110"/>
          <w:sz w:val="19"/>
        </w:rPr>
        <w:t> </w:t>
      </w:r>
      <w:r>
        <w:rPr>
          <w:rFonts w:ascii="Arial" w:hAnsi="Arial"/>
          <w:color w:val="231F20"/>
          <w:w w:val="110"/>
          <w:sz w:val="19"/>
        </w:rPr>
        <w:t>another’s,</w:t>
      </w:r>
      <w:r>
        <w:rPr>
          <w:rFonts w:ascii="Arial" w:hAnsi="Arial"/>
          <w:color w:val="231F20"/>
          <w:spacing w:val="-7"/>
          <w:w w:val="110"/>
          <w:sz w:val="19"/>
        </w:rPr>
        <w:t> </w:t>
      </w:r>
      <w:r>
        <w:rPr>
          <w:rFonts w:ascii="Arial" w:hAnsi="Arial"/>
          <w:color w:val="231F20"/>
          <w:w w:val="110"/>
          <w:sz w:val="19"/>
        </w:rPr>
        <w:t>then</w:t>
      </w:r>
      <w:r>
        <w:rPr>
          <w:rFonts w:ascii="Arial" w:hAnsi="Arial"/>
          <w:color w:val="231F20"/>
          <w:spacing w:val="-7"/>
          <w:w w:val="110"/>
          <w:sz w:val="19"/>
        </w:rPr>
        <w:t> </w:t>
      </w:r>
      <w:r>
        <w:rPr>
          <w:rFonts w:ascii="Arial" w:hAnsi="Arial"/>
          <w:color w:val="231F20"/>
          <w:w w:val="110"/>
          <w:sz w:val="19"/>
        </w:rPr>
        <w:t>its</w:t>
      </w:r>
      <w:r>
        <w:rPr>
          <w:rFonts w:ascii="Arial" w:hAnsi="Arial"/>
          <w:color w:val="231F20"/>
          <w:spacing w:val="-7"/>
          <w:w w:val="110"/>
          <w:sz w:val="19"/>
        </w:rPr>
        <w:t> </w:t>
      </w:r>
      <w:r>
        <w:rPr>
          <w:rFonts w:ascii="Arial" w:hAnsi="Arial"/>
          <w:color w:val="231F20"/>
          <w:w w:val="110"/>
          <w:sz w:val="19"/>
        </w:rPr>
        <w:t>currency</w:t>
      </w:r>
      <w:r>
        <w:rPr>
          <w:rFonts w:ascii="Arial" w:hAnsi="Arial"/>
          <w:color w:val="231F20"/>
          <w:spacing w:val="-7"/>
          <w:w w:val="110"/>
          <w:sz w:val="19"/>
        </w:rPr>
        <w:t> </w:t>
      </w:r>
      <w:r>
        <w:rPr>
          <w:rFonts w:ascii="Arial" w:hAnsi="Arial"/>
          <w:color w:val="231F20"/>
          <w:w w:val="110"/>
          <w:sz w:val="19"/>
        </w:rPr>
        <w:t>will</w:t>
      </w:r>
      <w:r>
        <w:rPr>
          <w:rFonts w:ascii="Arial" w:hAnsi="Arial"/>
          <w:color w:val="231F20"/>
          <w:spacing w:val="-7"/>
          <w:w w:val="110"/>
          <w:sz w:val="19"/>
        </w:rPr>
        <w:t> </w:t>
      </w:r>
      <w:r>
        <w:rPr>
          <w:rFonts w:ascii="Arial" w:hAnsi="Arial"/>
          <w:color w:val="231F20"/>
          <w:w w:val="110"/>
          <w:sz w:val="19"/>
        </w:rPr>
        <w:t>be</w:t>
      </w:r>
      <w:r>
        <w:rPr>
          <w:rFonts w:ascii="Arial" w:hAnsi="Arial"/>
          <w:color w:val="231F20"/>
          <w:spacing w:val="-7"/>
          <w:w w:val="110"/>
          <w:sz w:val="19"/>
        </w:rPr>
        <w:t> </w:t>
      </w:r>
      <w:r>
        <w:rPr>
          <w:rFonts w:ascii="Arial" w:hAnsi="Arial"/>
          <w:color w:val="231F20"/>
          <w:w w:val="110"/>
          <w:sz w:val="19"/>
        </w:rPr>
        <w:t>adjusted</w:t>
      </w:r>
      <w:r>
        <w:rPr>
          <w:rFonts w:ascii="Arial" w:hAnsi="Arial"/>
          <w:color w:val="231F20"/>
          <w:spacing w:val="-7"/>
          <w:w w:val="110"/>
          <w:sz w:val="19"/>
        </w:rPr>
        <w:t> </w:t>
      </w:r>
      <w:r>
        <w:rPr>
          <w:rFonts w:ascii="Arial" w:hAnsi="Arial"/>
          <w:color w:val="231F20"/>
          <w:w w:val="110"/>
          <w:sz w:val="19"/>
        </w:rPr>
        <w:t>downward</w:t>
      </w:r>
      <w:r>
        <w:rPr>
          <w:rFonts w:ascii="Arial" w:hAnsi="Arial"/>
          <w:color w:val="231F20"/>
          <w:spacing w:val="-7"/>
          <w:w w:val="110"/>
          <w:sz w:val="19"/>
        </w:rPr>
        <w:t> </w:t>
      </w:r>
      <w:r>
        <w:rPr>
          <w:rFonts w:ascii="Arial" w:hAnsi="Arial"/>
          <w:color w:val="231F20"/>
          <w:w w:val="110"/>
          <w:sz w:val="19"/>
        </w:rPr>
        <w:t>to compensate</w:t>
      </w:r>
      <w:r>
        <w:rPr>
          <w:rFonts w:ascii="Arial" w:hAnsi="Arial"/>
          <w:color w:val="231F20"/>
          <w:spacing w:val="-13"/>
          <w:w w:val="110"/>
          <w:sz w:val="19"/>
        </w:rPr>
        <w:t> </w:t>
      </w:r>
      <w:r>
        <w:rPr>
          <w:rFonts w:ascii="Arial" w:hAnsi="Arial"/>
          <w:color w:val="231F20"/>
          <w:w w:val="110"/>
          <w:sz w:val="19"/>
        </w:rPr>
        <w:t>for</w:t>
      </w:r>
      <w:r>
        <w:rPr>
          <w:rFonts w:ascii="Arial" w:hAnsi="Arial"/>
          <w:color w:val="231F20"/>
          <w:spacing w:val="-13"/>
          <w:w w:val="110"/>
          <w:sz w:val="19"/>
        </w:rPr>
        <w:t> </w:t>
      </w:r>
      <w:r>
        <w:rPr>
          <w:rFonts w:ascii="Arial" w:hAnsi="Arial"/>
          <w:color w:val="231F20"/>
          <w:w w:val="110"/>
          <w:sz w:val="19"/>
        </w:rPr>
        <w:t>the</w:t>
      </w:r>
      <w:r>
        <w:rPr>
          <w:rFonts w:ascii="Arial" w:hAnsi="Arial"/>
          <w:color w:val="231F20"/>
          <w:spacing w:val="-13"/>
          <w:w w:val="110"/>
          <w:sz w:val="19"/>
        </w:rPr>
        <w:t> </w:t>
      </w:r>
      <w:r>
        <w:rPr>
          <w:rFonts w:ascii="Arial" w:hAnsi="Arial"/>
          <w:color w:val="231F20"/>
          <w:w w:val="110"/>
          <w:sz w:val="19"/>
        </w:rPr>
        <w:t>annual</w:t>
      </w:r>
      <w:r>
        <w:rPr>
          <w:rFonts w:ascii="Arial" w:hAnsi="Arial"/>
          <w:color w:val="231F20"/>
          <w:spacing w:val="-13"/>
          <w:w w:val="110"/>
          <w:sz w:val="19"/>
        </w:rPr>
        <w:t> </w:t>
      </w:r>
      <w:r>
        <w:rPr>
          <w:rFonts w:ascii="Arial" w:hAnsi="Arial"/>
          <w:color w:val="231F20"/>
          <w:w w:val="110"/>
          <w:sz w:val="19"/>
        </w:rPr>
        <w:t>loss</w:t>
      </w:r>
      <w:r>
        <w:rPr>
          <w:rFonts w:ascii="Arial" w:hAnsi="Arial"/>
          <w:color w:val="231F20"/>
          <w:spacing w:val="-13"/>
          <w:w w:val="110"/>
          <w:sz w:val="19"/>
        </w:rPr>
        <w:t> </w:t>
      </w:r>
      <w:r>
        <w:rPr>
          <w:rFonts w:ascii="Arial" w:hAnsi="Arial"/>
          <w:color w:val="231F20"/>
          <w:w w:val="110"/>
          <w:sz w:val="19"/>
        </w:rPr>
        <w:t>of</w:t>
      </w:r>
      <w:r>
        <w:rPr>
          <w:rFonts w:ascii="Arial" w:hAnsi="Arial"/>
          <w:color w:val="231F20"/>
          <w:spacing w:val="-13"/>
          <w:w w:val="110"/>
          <w:sz w:val="19"/>
        </w:rPr>
        <w:t> </w:t>
      </w:r>
      <w:r>
        <w:rPr>
          <w:rFonts w:ascii="Arial" w:hAnsi="Arial"/>
          <w:color w:val="231F20"/>
          <w:w w:val="110"/>
          <w:sz w:val="19"/>
        </w:rPr>
        <w:t>value.</w:t>
      </w:r>
      <w:r>
        <w:rPr>
          <w:rFonts w:ascii="Arial" w:hAnsi="Arial"/>
          <w:color w:val="231F20"/>
          <w:spacing w:val="-13"/>
          <w:w w:val="110"/>
          <w:sz w:val="19"/>
        </w:rPr>
        <w:t> </w:t>
      </w:r>
      <w:r>
        <w:rPr>
          <w:rFonts w:ascii="Arial" w:hAnsi="Arial"/>
          <w:color w:val="231F20"/>
          <w:w w:val="110"/>
          <w:sz w:val="19"/>
        </w:rPr>
        <w:t>During</w:t>
      </w:r>
      <w:r>
        <w:rPr>
          <w:rFonts w:ascii="Arial" w:hAnsi="Arial"/>
          <w:color w:val="231F20"/>
          <w:spacing w:val="-13"/>
          <w:w w:val="110"/>
          <w:sz w:val="19"/>
        </w:rPr>
        <w:t> </w:t>
      </w:r>
      <w:r>
        <w:rPr>
          <w:rFonts w:ascii="Arial" w:hAnsi="Arial"/>
          <w:color w:val="231F20"/>
          <w:w w:val="110"/>
          <w:sz w:val="19"/>
        </w:rPr>
        <w:t>the</w:t>
      </w:r>
      <w:r>
        <w:rPr>
          <w:rFonts w:ascii="Arial" w:hAnsi="Arial"/>
          <w:color w:val="231F20"/>
          <w:spacing w:val="-13"/>
          <w:w w:val="110"/>
          <w:sz w:val="19"/>
        </w:rPr>
        <w:t> </w:t>
      </w:r>
      <w:r>
        <w:rPr>
          <w:rFonts w:ascii="Arial" w:hAnsi="Arial"/>
          <w:color w:val="231F20"/>
          <w:w w:val="110"/>
          <w:sz w:val="19"/>
        </w:rPr>
        <w:t>Lebanese </w:t>
      </w:r>
      <w:r>
        <w:rPr>
          <w:rFonts w:ascii="Arial" w:hAnsi="Arial"/>
          <w:color w:val="231F20"/>
          <w:spacing w:val="-2"/>
          <w:w w:val="115"/>
          <w:sz w:val="19"/>
        </w:rPr>
        <w:t>civil</w:t>
      </w:r>
      <w:r>
        <w:rPr>
          <w:rFonts w:ascii="Arial" w:hAnsi="Arial"/>
          <w:color w:val="231F20"/>
          <w:spacing w:val="-12"/>
          <w:w w:val="115"/>
          <w:sz w:val="19"/>
        </w:rPr>
        <w:t> </w:t>
      </w:r>
      <w:r>
        <w:rPr>
          <w:rFonts w:ascii="Arial" w:hAnsi="Arial"/>
          <w:color w:val="231F20"/>
          <w:spacing w:val="-2"/>
          <w:w w:val="115"/>
          <w:sz w:val="19"/>
        </w:rPr>
        <w:t>war</w:t>
      </w:r>
      <w:r>
        <w:rPr>
          <w:rFonts w:ascii="Arial" w:hAnsi="Arial"/>
          <w:color w:val="231F20"/>
          <w:spacing w:val="-12"/>
          <w:w w:val="115"/>
          <w:sz w:val="19"/>
        </w:rPr>
        <w:t> </w:t>
      </w:r>
      <w:r>
        <w:rPr>
          <w:rFonts w:ascii="Arial" w:hAnsi="Arial"/>
          <w:color w:val="231F20"/>
          <w:spacing w:val="-2"/>
          <w:w w:val="115"/>
          <w:sz w:val="19"/>
        </w:rPr>
        <w:t>in</w:t>
      </w:r>
      <w:r>
        <w:rPr>
          <w:rFonts w:ascii="Arial" w:hAnsi="Arial"/>
          <w:color w:val="231F20"/>
          <w:spacing w:val="-12"/>
          <w:w w:val="115"/>
          <w:sz w:val="19"/>
        </w:rPr>
        <w:t> </w:t>
      </w:r>
      <w:r>
        <w:rPr>
          <w:rFonts w:ascii="Arial" w:hAnsi="Arial"/>
          <w:color w:val="231F20"/>
          <w:spacing w:val="-2"/>
          <w:w w:val="115"/>
          <w:sz w:val="19"/>
        </w:rPr>
        <w:t>1986</w:t>
      </w:r>
      <w:r>
        <w:rPr>
          <w:rFonts w:ascii="Arial" w:hAnsi="Arial"/>
          <w:color w:val="231F20"/>
          <w:spacing w:val="-12"/>
          <w:w w:val="115"/>
          <w:sz w:val="19"/>
        </w:rPr>
        <w:t> </w:t>
      </w:r>
      <w:r>
        <w:rPr>
          <w:rFonts w:ascii="Arial" w:hAnsi="Arial"/>
          <w:color w:val="231F20"/>
          <w:spacing w:val="-2"/>
          <w:w w:val="115"/>
          <w:sz w:val="19"/>
        </w:rPr>
        <w:t>and</w:t>
      </w:r>
      <w:r>
        <w:rPr>
          <w:rFonts w:ascii="Arial" w:hAnsi="Arial"/>
          <w:color w:val="231F20"/>
          <w:spacing w:val="-12"/>
          <w:w w:val="115"/>
          <w:sz w:val="19"/>
        </w:rPr>
        <w:t> </w:t>
      </w:r>
      <w:r>
        <w:rPr>
          <w:rFonts w:ascii="Arial" w:hAnsi="Arial"/>
          <w:color w:val="231F20"/>
          <w:spacing w:val="-2"/>
          <w:w w:val="115"/>
          <w:sz w:val="19"/>
        </w:rPr>
        <w:t>1987,</w:t>
      </w:r>
      <w:r>
        <w:rPr>
          <w:rFonts w:ascii="Arial" w:hAnsi="Arial"/>
          <w:color w:val="231F20"/>
          <w:spacing w:val="-12"/>
          <w:w w:val="115"/>
          <w:sz w:val="19"/>
        </w:rPr>
        <w:t> </w:t>
      </w:r>
      <w:r>
        <w:rPr>
          <w:rFonts w:ascii="Arial" w:hAnsi="Arial"/>
          <w:color w:val="231F20"/>
          <w:spacing w:val="-2"/>
          <w:w w:val="115"/>
          <w:sz w:val="19"/>
        </w:rPr>
        <w:t>the</w:t>
      </w:r>
      <w:r>
        <w:rPr>
          <w:rFonts w:ascii="Arial" w:hAnsi="Arial"/>
          <w:color w:val="231F20"/>
          <w:spacing w:val="-12"/>
          <w:w w:val="115"/>
          <w:sz w:val="19"/>
        </w:rPr>
        <w:t> </w:t>
      </w:r>
      <w:r>
        <w:rPr>
          <w:rFonts w:ascii="Arial" w:hAnsi="Arial"/>
          <w:color w:val="231F20"/>
          <w:spacing w:val="-2"/>
          <w:w w:val="115"/>
          <w:sz w:val="19"/>
        </w:rPr>
        <w:t>country’s</w:t>
      </w:r>
      <w:r>
        <w:rPr>
          <w:rFonts w:ascii="Arial" w:hAnsi="Arial"/>
          <w:color w:val="231F20"/>
          <w:spacing w:val="-12"/>
          <w:w w:val="115"/>
          <w:sz w:val="19"/>
        </w:rPr>
        <w:t> </w:t>
      </w:r>
      <w:r>
        <w:rPr>
          <w:rFonts w:ascii="Arial" w:hAnsi="Arial"/>
          <w:color w:val="231F20"/>
          <w:spacing w:val="-2"/>
          <w:w w:val="115"/>
          <w:sz w:val="19"/>
        </w:rPr>
        <w:t>exchange</w:t>
      </w:r>
      <w:r>
        <w:rPr>
          <w:rFonts w:ascii="Arial" w:hAnsi="Arial"/>
          <w:color w:val="231F20"/>
          <w:spacing w:val="-12"/>
          <w:w w:val="115"/>
          <w:sz w:val="19"/>
        </w:rPr>
        <w:t> </w:t>
      </w:r>
      <w:r>
        <w:rPr>
          <w:rFonts w:ascii="Arial" w:hAnsi="Arial"/>
          <w:color w:val="231F20"/>
          <w:spacing w:val="-2"/>
          <w:w w:val="115"/>
          <w:sz w:val="19"/>
        </w:rPr>
        <w:t>rate</w:t>
      </w:r>
      <w:r>
        <w:rPr>
          <w:rFonts w:ascii="Arial" w:hAnsi="Arial"/>
          <w:color w:val="231F20"/>
          <w:spacing w:val="-12"/>
          <w:w w:val="115"/>
          <w:sz w:val="19"/>
        </w:rPr>
        <w:t> </w:t>
      </w:r>
      <w:r>
        <w:rPr>
          <w:rFonts w:ascii="Arial" w:hAnsi="Arial"/>
          <w:color w:val="231F20"/>
          <w:spacing w:val="-4"/>
          <w:w w:val="115"/>
          <w:sz w:val="19"/>
        </w:rPr>
        <w:t>went</w:t>
      </w:r>
    </w:p>
    <w:p>
      <w:pPr>
        <w:spacing w:after="0" w:line="328" w:lineRule="auto"/>
        <w:jc w:val="both"/>
        <w:rPr>
          <w:rFonts w:ascii="Arial" w:hAnsi="Arial"/>
          <w:sz w:val="19"/>
        </w:rPr>
        <w:sectPr>
          <w:pgSz w:w="8640" w:h="12960"/>
          <w:pgMar w:header="734" w:footer="0" w:top="920" w:bottom="280" w:left="340" w:right="500"/>
        </w:sectPr>
      </w:pPr>
    </w:p>
    <w:p>
      <w:pPr>
        <w:pStyle w:val="BodyText"/>
        <w:spacing w:before="10"/>
        <w:rPr>
          <w:rFonts w:ascii="Arial"/>
          <w:sz w:val="19"/>
        </w:rPr>
      </w:pPr>
    </w:p>
    <w:p>
      <w:pPr>
        <w:spacing w:line="328" w:lineRule="auto" w:before="95"/>
        <w:ind w:left="1360" w:right="758" w:firstLine="0"/>
        <w:jc w:val="both"/>
        <w:rPr>
          <w:rFonts w:ascii="Arial"/>
          <w:sz w:val="19"/>
        </w:rPr>
      </w:pPr>
      <w:r>
        <w:rPr>
          <w:rFonts w:ascii="Arial"/>
          <w:color w:val="231F20"/>
          <w:w w:val="110"/>
          <w:sz w:val="19"/>
        </w:rPr>
        <w:t>from 38 to 496 pounds to the dollar, a loss of 86 percent to compensate</w:t>
      </w:r>
      <w:r>
        <w:rPr>
          <w:rFonts w:ascii="Arial"/>
          <w:color w:val="231F20"/>
          <w:w w:val="110"/>
          <w:sz w:val="19"/>
        </w:rPr>
        <w:t> for</w:t>
      </w:r>
      <w:r>
        <w:rPr>
          <w:rFonts w:ascii="Arial"/>
          <w:color w:val="231F20"/>
          <w:w w:val="110"/>
          <w:sz w:val="19"/>
        </w:rPr>
        <w:t> the</w:t>
      </w:r>
      <w:r>
        <w:rPr>
          <w:rFonts w:ascii="Arial"/>
          <w:color w:val="231F20"/>
          <w:w w:val="110"/>
          <w:sz w:val="19"/>
        </w:rPr>
        <w:t> loss</w:t>
      </w:r>
      <w:r>
        <w:rPr>
          <w:rFonts w:ascii="Arial"/>
          <w:color w:val="231F20"/>
          <w:w w:val="110"/>
          <w:sz w:val="19"/>
        </w:rPr>
        <w:t> of</w:t>
      </w:r>
      <w:r>
        <w:rPr>
          <w:rFonts w:ascii="Arial"/>
          <w:color w:val="231F20"/>
          <w:w w:val="110"/>
          <w:sz w:val="19"/>
        </w:rPr>
        <w:t> inflation.</w:t>
      </w:r>
      <w:r>
        <w:rPr>
          <w:rFonts w:ascii="Arial"/>
          <w:color w:val="231F20"/>
          <w:w w:val="110"/>
          <w:sz w:val="19"/>
        </w:rPr>
        <w:t> In</w:t>
      </w:r>
      <w:r>
        <w:rPr>
          <w:rFonts w:ascii="Arial"/>
          <w:color w:val="231F20"/>
          <w:w w:val="110"/>
          <w:sz w:val="19"/>
        </w:rPr>
        <w:t> 2004</w:t>
      </w:r>
      <w:r>
        <w:rPr>
          <w:rFonts w:ascii="Arial"/>
          <w:color w:val="231F20"/>
          <w:w w:val="110"/>
          <w:sz w:val="19"/>
        </w:rPr>
        <w:t> a</w:t>
      </w:r>
      <w:r>
        <w:rPr>
          <w:rFonts w:ascii="Arial"/>
          <w:color w:val="231F20"/>
          <w:w w:val="110"/>
          <w:sz w:val="19"/>
        </w:rPr>
        <w:t> dollar</w:t>
      </w:r>
      <w:r>
        <w:rPr>
          <w:rFonts w:ascii="Arial"/>
          <w:color w:val="231F20"/>
          <w:w w:val="110"/>
          <w:sz w:val="19"/>
        </w:rPr>
        <w:t> could buy 1,510 Lebanese pounds as a result of continued </w:t>
      </w:r>
      <w:r>
        <w:rPr>
          <w:rFonts w:ascii="Arial"/>
          <w:color w:val="231F20"/>
          <w:w w:val="110"/>
          <w:sz w:val="19"/>
        </w:rPr>
        <w:t>inflation and political instability.</w:t>
      </w:r>
    </w:p>
    <w:p>
      <w:pPr>
        <w:pStyle w:val="BodyText"/>
        <w:spacing w:before="4"/>
        <w:rPr>
          <w:rFonts w:ascii="Arial"/>
          <w:sz w:val="25"/>
        </w:rPr>
      </w:pPr>
    </w:p>
    <w:p>
      <w:pPr>
        <w:pStyle w:val="BodyText"/>
        <w:spacing w:line="292" w:lineRule="auto"/>
        <w:ind w:left="830" w:right="753" w:firstLine="340"/>
        <w:jc w:val="both"/>
      </w:pPr>
      <w:r>
        <w:rPr>
          <w:color w:val="231F20"/>
        </w:rPr>
        <w:t>Exchange rate movements are critical for companies involved </w:t>
      </w:r>
      <w:r>
        <w:rPr>
          <w:color w:val="231F20"/>
        </w:rPr>
        <w:t>in international trade. If exchange rates change between the time of signing a contract and its settlement, anticipated profits can be</w:t>
      </w:r>
      <w:r>
        <w:rPr>
          <w:color w:val="231F20"/>
          <w:spacing w:val="80"/>
        </w:rPr>
        <w:t> </w:t>
      </w:r>
      <w:r>
        <w:rPr>
          <w:color w:val="231F20"/>
        </w:rPr>
        <w:t>wiped out by currency fluctuations. Imagine if a farmer wanted to</w:t>
      </w:r>
      <w:r>
        <w:rPr>
          <w:color w:val="231F20"/>
          <w:spacing w:val="40"/>
        </w:rPr>
        <w:t> </w:t>
      </w:r>
      <w:r>
        <w:rPr>
          <w:color w:val="231F20"/>
        </w:rPr>
        <w:t>sell one U.S. dollar’s worth of beef to Japan. At the 2004 exchange</w:t>
      </w:r>
      <w:r>
        <w:rPr>
          <w:color w:val="231F20"/>
          <w:spacing w:val="40"/>
        </w:rPr>
        <w:t> </w:t>
      </w:r>
      <w:r>
        <w:rPr>
          <w:color w:val="231F20"/>
        </w:rPr>
        <w:t>rate he would charge 110 yen, expecting a 5 percent profit. But</w:t>
      </w:r>
      <w:r>
        <w:rPr>
          <w:color w:val="231F20"/>
          <w:spacing w:val="80"/>
          <w:w w:val="150"/>
        </w:rPr>
        <w:t> </w:t>
      </w:r>
      <w:r>
        <w:rPr>
          <w:color w:val="231F20"/>
        </w:rPr>
        <w:t>when he got paid, he might need 150 yen to buy the same one dollar, because of a rate change. Although the yen payment would have re- mained constant at 110 yen, the currency fluctuation would have caused</w:t>
      </w:r>
      <w:r>
        <w:rPr>
          <w:color w:val="231F20"/>
          <w:spacing w:val="40"/>
        </w:rPr>
        <w:t> </w:t>
      </w:r>
      <w:r>
        <w:rPr>
          <w:color w:val="231F20"/>
        </w:rPr>
        <w:t>a</w:t>
      </w:r>
      <w:r>
        <w:rPr>
          <w:color w:val="231F20"/>
          <w:spacing w:val="40"/>
        </w:rPr>
        <w:t> </w:t>
      </w:r>
      <w:r>
        <w:rPr>
          <w:color w:val="231F20"/>
        </w:rPr>
        <w:t>36</w:t>
      </w:r>
      <w:r>
        <w:rPr>
          <w:color w:val="231F20"/>
          <w:spacing w:val="40"/>
        </w:rPr>
        <w:t> </w:t>
      </w:r>
      <w:r>
        <w:rPr>
          <w:color w:val="231F20"/>
        </w:rPr>
        <w:t>percent</w:t>
      </w:r>
      <w:r>
        <w:rPr>
          <w:color w:val="231F20"/>
          <w:spacing w:val="40"/>
        </w:rPr>
        <w:t> </w:t>
      </w:r>
      <w:r>
        <w:rPr>
          <w:color w:val="231F20"/>
        </w:rPr>
        <w:t>loss</w:t>
      </w:r>
      <w:r>
        <w:rPr>
          <w:color w:val="231F20"/>
          <w:spacing w:val="40"/>
        </w:rPr>
        <w:t> </w:t>
      </w:r>
      <w:r>
        <w:rPr>
          <w:color w:val="231F20"/>
        </w:rPr>
        <w:t>in</w:t>
      </w:r>
      <w:r>
        <w:rPr>
          <w:color w:val="231F20"/>
          <w:spacing w:val="40"/>
        </w:rPr>
        <w:t> </w:t>
      </w:r>
      <w:r>
        <w:rPr>
          <w:color w:val="231F20"/>
        </w:rPr>
        <w:t>U.S.</w:t>
      </w:r>
      <w:r>
        <w:rPr>
          <w:color w:val="231F20"/>
          <w:spacing w:val="40"/>
        </w:rPr>
        <w:t> </w:t>
      </w:r>
      <w:r>
        <w:rPr>
          <w:color w:val="231F20"/>
        </w:rPr>
        <w:t>dollar</w:t>
      </w:r>
      <w:r>
        <w:rPr>
          <w:color w:val="231F20"/>
          <w:spacing w:val="40"/>
        </w:rPr>
        <w:t> </w:t>
      </w:r>
      <w:r>
        <w:rPr>
          <w:color w:val="231F20"/>
        </w:rPr>
        <w:t>buying</w:t>
      </w:r>
      <w:r>
        <w:rPr>
          <w:color w:val="231F20"/>
          <w:spacing w:val="40"/>
        </w:rPr>
        <w:t> </w:t>
      </w:r>
      <w:r>
        <w:rPr>
          <w:color w:val="231F20"/>
        </w:rPr>
        <w:t>power.</w:t>
      </w:r>
      <w:r>
        <w:rPr>
          <w:color w:val="231F20"/>
          <w:spacing w:val="40"/>
        </w:rPr>
        <w:t> </w:t>
      </w:r>
      <w:r>
        <w:rPr>
          <w:color w:val="231F20"/>
        </w:rPr>
        <w:t>Companies and individuals use the futures and options markets to offset or</w:t>
      </w:r>
      <w:r>
        <w:rPr>
          <w:color w:val="231F20"/>
          <w:spacing w:val="40"/>
        </w:rPr>
        <w:t> </w:t>
      </w:r>
      <w:r>
        <w:rPr>
          <w:i/>
          <w:color w:val="231F20"/>
        </w:rPr>
        <w:t>hedge </w:t>
      </w:r>
      <w:r>
        <w:rPr>
          <w:color w:val="231F20"/>
        </w:rPr>
        <w:t>losses on this kind of currency transaction. This is not unlike the stock-option hedging described in the finance chapter.</w:t>
      </w:r>
    </w:p>
    <w:p>
      <w:pPr>
        <w:pStyle w:val="BodyText"/>
        <w:rPr>
          <w:sz w:val="24"/>
        </w:rPr>
      </w:pPr>
    </w:p>
    <w:p>
      <w:pPr>
        <w:pStyle w:val="BodyText"/>
        <w:spacing w:before="9"/>
        <w:rPr>
          <w:sz w:val="26"/>
        </w:rPr>
      </w:pPr>
    </w:p>
    <w:p>
      <w:pPr>
        <w:pStyle w:val="Heading6"/>
        <w:ind w:left="299"/>
        <w:rPr>
          <w:i/>
        </w:rPr>
      </w:pPr>
      <w:r>
        <w:rPr>
          <w:i/>
          <w:color w:val="231F20"/>
          <w:w w:val="110"/>
        </w:rPr>
        <w:t>EXCHANGE</w:t>
      </w:r>
      <w:r>
        <w:rPr>
          <w:i/>
          <w:color w:val="231F20"/>
          <w:spacing w:val="63"/>
          <w:w w:val="150"/>
        </w:rPr>
        <w:t> </w:t>
      </w:r>
      <w:r>
        <w:rPr>
          <w:i/>
          <w:color w:val="231F20"/>
          <w:w w:val="110"/>
        </w:rPr>
        <w:t>RATE</w:t>
      </w:r>
      <w:r>
        <w:rPr>
          <w:i/>
          <w:color w:val="231F20"/>
          <w:spacing w:val="63"/>
          <w:w w:val="150"/>
        </w:rPr>
        <w:t> </w:t>
      </w:r>
      <w:r>
        <w:rPr>
          <w:i/>
          <w:color w:val="231F20"/>
          <w:spacing w:val="8"/>
          <w:w w:val="110"/>
        </w:rPr>
        <w:t>SYSTEMS</w:t>
      </w:r>
    </w:p>
    <w:p>
      <w:pPr>
        <w:pStyle w:val="BodyText"/>
        <w:spacing w:before="2"/>
        <w:rPr>
          <w:b/>
          <w:i/>
          <w:sz w:val="30"/>
        </w:rPr>
      </w:pPr>
    </w:p>
    <w:p>
      <w:pPr>
        <w:pStyle w:val="BodyText"/>
        <w:spacing w:line="292" w:lineRule="auto" w:before="1"/>
        <w:ind w:left="830" w:right="757"/>
        <w:jc w:val="both"/>
      </w:pPr>
      <w:r>
        <w:rPr>
          <w:color w:val="231F20"/>
        </w:rPr>
        <w:t>Exchange</w:t>
      </w:r>
      <w:r>
        <w:rPr>
          <w:color w:val="231F20"/>
          <w:spacing w:val="-4"/>
        </w:rPr>
        <w:t> </w:t>
      </w:r>
      <w:r>
        <w:rPr>
          <w:color w:val="231F20"/>
        </w:rPr>
        <w:t>rates</w:t>
      </w:r>
      <w:r>
        <w:rPr>
          <w:color w:val="231F20"/>
          <w:spacing w:val="-4"/>
        </w:rPr>
        <w:t> </w:t>
      </w:r>
      <w:r>
        <w:rPr>
          <w:color w:val="231F20"/>
        </w:rPr>
        <w:t>are</w:t>
      </w:r>
      <w:r>
        <w:rPr>
          <w:color w:val="231F20"/>
          <w:spacing w:val="-4"/>
        </w:rPr>
        <w:t> </w:t>
      </w:r>
      <w:r>
        <w:rPr>
          <w:color w:val="231F20"/>
        </w:rPr>
        <w:t>governed</w:t>
      </w:r>
      <w:r>
        <w:rPr>
          <w:color w:val="231F20"/>
          <w:spacing w:val="-4"/>
        </w:rPr>
        <w:t> </w:t>
      </w:r>
      <w:r>
        <w:rPr>
          <w:color w:val="231F20"/>
        </w:rPr>
        <w:t>by</w:t>
      </w:r>
      <w:r>
        <w:rPr>
          <w:color w:val="231F20"/>
          <w:spacing w:val="-4"/>
        </w:rPr>
        <w:t> </w:t>
      </w:r>
      <w:r>
        <w:rPr>
          <w:color w:val="231F20"/>
        </w:rPr>
        <w:t>the</w:t>
      </w:r>
      <w:r>
        <w:rPr>
          <w:color w:val="231F20"/>
          <w:spacing w:val="-4"/>
        </w:rPr>
        <w:t> </w:t>
      </w:r>
      <w:r>
        <w:rPr>
          <w:color w:val="231F20"/>
        </w:rPr>
        <w:t>host</w:t>
      </w:r>
      <w:r>
        <w:rPr>
          <w:color w:val="231F20"/>
          <w:spacing w:val="-4"/>
        </w:rPr>
        <w:t> </w:t>
      </w:r>
      <w:r>
        <w:rPr>
          <w:color w:val="231F20"/>
        </w:rPr>
        <w:t>country’s</w:t>
      </w:r>
      <w:r>
        <w:rPr>
          <w:color w:val="231F20"/>
          <w:spacing w:val="-4"/>
        </w:rPr>
        <w:t> </w:t>
      </w:r>
      <w:r>
        <w:rPr>
          <w:color w:val="231F20"/>
        </w:rPr>
        <w:t>exchange</w:t>
      </w:r>
      <w:r>
        <w:rPr>
          <w:color w:val="231F20"/>
          <w:spacing w:val="-4"/>
        </w:rPr>
        <w:t> </w:t>
      </w:r>
      <w:r>
        <w:rPr>
          <w:color w:val="231F20"/>
        </w:rPr>
        <w:t>rate</w:t>
      </w:r>
      <w:r>
        <w:rPr>
          <w:color w:val="231F20"/>
          <w:spacing w:val="-4"/>
        </w:rPr>
        <w:t> </w:t>
      </w:r>
      <w:r>
        <w:rPr>
          <w:color w:val="231F20"/>
        </w:rPr>
        <w:t>sys- tem. With a </w:t>
      </w:r>
      <w:r>
        <w:rPr>
          <w:i/>
          <w:color w:val="231F20"/>
        </w:rPr>
        <w:t>floating </w:t>
      </w:r>
      <w:r>
        <w:rPr>
          <w:color w:val="231F20"/>
        </w:rPr>
        <w:t>exchange rate, the value of the country’s cur- rency can freely move based on the factors described above. With a </w:t>
      </w:r>
      <w:r>
        <w:rPr>
          <w:i/>
          <w:color w:val="231F20"/>
        </w:rPr>
        <w:t>fixed </w:t>
      </w:r>
      <w:r>
        <w:rPr>
          <w:color w:val="231F20"/>
        </w:rPr>
        <w:t>exchange rate system, the host government tries to change in- terest rates or buy and sell foreign currencies to maintain a fixed value against the U.S. dollar, the EU’s euro, or a basket of currencies. This is called </w:t>
      </w:r>
      <w:r>
        <w:rPr>
          <w:i/>
          <w:color w:val="231F20"/>
        </w:rPr>
        <w:t>pegging </w:t>
      </w:r>
      <w:r>
        <w:rPr>
          <w:color w:val="231F20"/>
        </w:rPr>
        <w:t>the value of the currency to another. Between 1945 and 1971 under the Bretton Woods system, the U.S. dollar was pegged against a certain amount of gold, and all other currencies were pegged to the U.S. dollar. That system ended in 1971 when many countries decided to allow their currencies to float.</w:t>
      </w:r>
    </w:p>
    <w:p>
      <w:pPr>
        <w:pStyle w:val="BodyText"/>
        <w:spacing w:line="292" w:lineRule="auto"/>
        <w:ind w:left="830" w:right="756" w:firstLine="340"/>
        <w:jc w:val="both"/>
      </w:pPr>
      <w:r>
        <w:rPr>
          <w:color w:val="231F20"/>
        </w:rPr>
        <w:t>Counties cannot just do anything with their currencies. A </w:t>
      </w:r>
      <w:r>
        <w:rPr>
          <w:color w:val="231F20"/>
        </w:rPr>
        <w:t>con- cept called the </w:t>
      </w:r>
      <w:r>
        <w:rPr>
          <w:i/>
          <w:color w:val="231F20"/>
        </w:rPr>
        <w:t>impossible trilogy </w:t>
      </w:r>
      <w:r>
        <w:rPr>
          <w:color w:val="231F20"/>
        </w:rPr>
        <w:t>says a government can have only two of the following three options:</w:t>
      </w:r>
    </w:p>
    <w:p>
      <w:pPr>
        <w:spacing w:after="0" w:line="292" w:lineRule="auto"/>
        <w:jc w:val="both"/>
        <w:sectPr>
          <w:pgSz w:w="8640" w:h="12960"/>
          <w:pgMar w:header="732" w:footer="0" w:top="920" w:bottom="280" w:left="340" w:right="500"/>
        </w:sectPr>
      </w:pPr>
    </w:p>
    <w:p>
      <w:pPr>
        <w:pStyle w:val="BodyText"/>
        <w:spacing w:before="4"/>
        <w:rPr>
          <w:sz w:val="19"/>
        </w:rPr>
      </w:pPr>
    </w:p>
    <w:p>
      <w:pPr>
        <w:spacing w:line="328" w:lineRule="auto" w:before="95"/>
        <w:ind w:left="1260" w:right="3699" w:firstLine="0"/>
        <w:jc w:val="left"/>
        <w:rPr>
          <w:rFonts w:ascii="Arial"/>
          <w:sz w:val="19"/>
        </w:rPr>
      </w:pPr>
      <w:r>
        <w:rPr>
          <w:rFonts w:ascii="Arial"/>
          <w:color w:val="231F20"/>
          <w:w w:val="115"/>
          <w:sz w:val="19"/>
        </w:rPr>
        <w:t>Independent</w:t>
      </w:r>
      <w:r>
        <w:rPr>
          <w:rFonts w:ascii="Arial"/>
          <w:color w:val="231F20"/>
          <w:spacing w:val="-16"/>
          <w:w w:val="115"/>
          <w:sz w:val="19"/>
        </w:rPr>
        <w:t> </w:t>
      </w:r>
      <w:r>
        <w:rPr>
          <w:rFonts w:ascii="Arial"/>
          <w:color w:val="231F20"/>
          <w:w w:val="115"/>
          <w:sz w:val="19"/>
        </w:rPr>
        <w:t>monetary</w:t>
      </w:r>
      <w:r>
        <w:rPr>
          <w:rFonts w:ascii="Arial"/>
          <w:color w:val="231F20"/>
          <w:spacing w:val="-15"/>
          <w:w w:val="115"/>
          <w:sz w:val="19"/>
        </w:rPr>
        <w:t> </w:t>
      </w:r>
      <w:r>
        <w:rPr>
          <w:rFonts w:ascii="Arial"/>
          <w:color w:val="231F20"/>
          <w:w w:val="115"/>
          <w:sz w:val="19"/>
        </w:rPr>
        <w:t>policy Fixed exchange rates Absence of capital controls</w:t>
      </w:r>
    </w:p>
    <w:p>
      <w:pPr>
        <w:pStyle w:val="BodyText"/>
        <w:spacing w:before="5"/>
        <w:rPr>
          <w:rFonts w:ascii="Arial"/>
          <w:sz w:val="24"/>
        </w:rPr>
      </w:pPr>
    </w:p>
    <w:p>
      <w:pPr>
        <w:pStyle w:val="BodyText"/>
        <w:spacing w:line="292" w:lineRule="auto"/>
        <w:ind w:left="920" w:right="666" w:firstLine="340"/>
        <w:jc w:val="both"/>
      </w:pPr>
      <w:r>
        <w:rPr>
          <w:color w:val="231F20"/>
        </w:rPr>
        <w:t>For example, if a country chooses a fixed exchange rate, it has </w:t>
      </w:r>
      <w:r>
        <w:rPr>
          <w:color w:val="231F20"/>
        </w:rPr>
        <w:t>to abandon an independent monetary policy or impose capital controls to maintain its fixed peg versus the other independent currency. If a country decides to maintain a peg in volatile times, it becomes ex- pensive to keep a fixed rate of exchange. When a fixed system begins to fail, as it did in Mexico in 1994 and Southeast Asia in 1998, there</w:t>
      </w:r>
      <w:r>
        <w:rPr>
          <w:color w:val="231F20"/>
          <w:spacing w:val="80"/>
        </w:rPr>
        <w:t> </w:t>
      </w:r>
      <w:r>
        <w:rPr>
          <w:color w:val="231F20"/>
        </w:rPr>
        <w:t>is a currency “crisis” as the currencies fall to their true levels, caus- ing trade and investment disruptions.</w:t>
      </w:r>
    </w:p>
    <w:p>
      <w:pPr>
        <w:pStyle w:val="BodyText"/>
        <w:rPr>
          <w:sz w:val="24"/>
        </w:rPr>
      </w:pPr>
    </w:p>
    <w:p>
      <w:pPr>
        <w:pStyle w:val="BodyText"/>
        <w:spacing w:before="11"/>
        <w:rPr>
          <w:sz w:val="26"/>
        </w:rPr>
      </w:pPr>
    </w:p>
    <w:p>
      <w:pPr>
        <w:pStyle w:val="Heading6"/>
        <w:rPr>
          <w:i/>
        </w:rPr>
      </w:pPr>
      <w:r>
        <w:rPr>
          <w:i/>
          <w:color w:val="231F20"/>
          <w:w w:val="110"/>
        </w:rPr>
        <w:t>COUNTRY</w:t>
      </w:r>
      <w:r>
        <w:rPr>
          <w:i/>
          <w:color w:val="231F20"/>
          <w:spacing w:val="72"/>
          <w:w w:val="150"/>
        </w:rPr>
        <w:t> </w:t>
      </w:r>
      <w:r>
        <w:rPr>
          <w:i/>
          <w:color w:val="231F20"/>
          <w:spacing w:val="-2"/>
          <w:w w:val="110"/>
        </w:rPr>
        <w:t>ANALYSIS</w:t>
      </w:r>
    </w:p>
    <w:p>
      <w:pPr>
        <w:pStyle w:val="BodyText"/>
        <w:spacing w:before="2"/>
        <w:rPr>
          <w:b/>
          <w:i/>
          <w:sz w:val="30"/>
        </w:rPr>
      </w:pPr>
    </w:p>
    <w:p>
      <w:pPr>
        <w:pStyle w:val="BodyText"/>
        <w:spacing w:line="292" w:lineRule="auto"/>
        <w:ind w:left="920" w:right="666"/>
        <w:jc w:val="both"/>
      </w:pPr>
      <w:r>
        <w:rPr>
          <w:color w:val="231F20"/>
        </w:rPr>
        <w:t>B-schools teach students what to consider when trying to make </w:t>
      </w:r>
      <w:r>
        <w:rPr>
          <w:color w:val="231F20"/>
        </w:rPr>
        <w:t>pre- dictions about a country’s future. Since MBA schools aspire to turn out presidents of large multinational corporations, they must pre- pare these future captains of industry to evaluate investment oppor- tunities abroad.</w:t>
      </w:r>
    </w:p>
    <w:p>
      <w:pPr>
        <w:pStyle w:val="BodyText"/>
        <w:spacing w:line="292" w:lineRule="auto"/>
        <w:ind w:left="919" w:right="663" w:firstLine="340"/>
        <w:jc w:val="both"/>
      </w:pPr>
      <w:r>
        <w:rPr>
          <w:color w:val="231F20"/>
        </w:rPr>
        <w:t>A </w:t>
      </w:r>
      <w:r>
        <w:rPr>
          <w:i/>
          <w:color w:val="231F20"/>
        </w:rPr>
        <w:t>country analysis, </w:t>
      </w:r>
      <w:r>
        <w:rPr>
          <w:color w:val="231F20"/>
        </w:rPr>
        <w:t>as developed at the Harvard Business </w:t>
      </w:r>
      <w:r>
        <w:rPr>
          <w:color w:val="231F20"/>
        </w:rPr>
        <w:t>School, is a four-step process that attempts to organize all available economic, social, political, and geographic data for strategy </w:t>
      </w:r>
      <w:r>
        <w:rPr>
          <w:color w:val="231F20"/>
          <w:spacing w:val="-2"/>
        </w:rPr>
        <w:t>development.</w:t>
      </w:r>
    </w:p>
    <w:p>
      <w:pPr>
        <w:pStyle w:val="BodyText"/>
        <w:spacing w:before="1"/>
        <w:rPr>
          <w:sz w:val="27"/>
        </w:rPr>
      </w:pPr>
    </w:p>
    <w:p>
      <w:pPr>
        <w:pStyle w:val="ListParagraph"/>
        <w:numPr>
          <w:ilvl w:val="0"/>
          <w:numId w:val="42"/>
        </w:numPr>
        <w:tabs>
          <w:tab w:pos="1610" w:val="left" w:leader="none"/>
        </w:tabs>
        <w:spacing w:line="240" w:lineRule="auto" w:before="0" w:after="0"/>
        <w:ind w:left="1609" w:right="0" w:hanging="177"/>
        <w:jc w:val="left"/>
        <w:rPr>
          <w:sz w:val="19"/>
        </w:rPr>
      </w:pPr>
      <w:r>
        <w:rPr>
          <w:color w:val="231F20"/>
          <w:w w:val="110"/>
          <w:sz w:val="19"/>
        </w:rPr>
        <w:t>Analyze</w:t>
      </w:r>
      <w:r>
        <w:rPr>
          <w:color w:val="231F20"/>
          <w:spacing w:val="-6"/>
          <w:w w:val="110"/>
          <w:sz w:val="19"/>
        </w:rPr>
        <w:t> </w:t>
      </w:r>
      <w:r>
        <w:rPr>
          <w:color w:val="231F20"/>
          <w:w w:val="110"/>
          <w:sz w:val="19"/>
        </w:rPr>
        <w:t>Past</w:t>
      </w:r>
      <w:r>
        <w:rPr>
          <w:color w:val="231F20"/>
          <w:spacing w:val="-5"/>
          <w:w w:val="110"/>
          <w:sz w:val="19"/>
        </w:rPr>
        <w:t> </w:t>
      </w:r>
      <w:r>
        <w:rPr>
          <w:color w:val="231F20"/>
          <w:spacing w:val="-2"/>
          <w:w w:val="110"/>
          <w:sz w:val="19"/>
        </w:rPr>
        <w:t>Performance</w:t>
      </w:r>
    </w:p>
    <w:p>
      <w:pPr>
        <w:spacing w:line="328" w:lineRule="auto" w:before="82"/>
        <w:ind w:left="1850" w:right="667" w:hanging="240"/>
        <w:jc w:val="left"/>
        <w:rPr>
          <w:rFonts w:ascii="Arial" w:hAnsi="Arial"/>
          <w:sz w:val="19"/>
        </w:rPr>
      </w:pPr>
      <w:r>
        <w:rPr>
          <w:rFonts w:ascii="Arial" w:hAnsi="Arial"/>
          <w:color w:val="231F20"/>
          <w:w w:val="110"/>
          <w:sz w:val="19"/>
        </w:rPr>
        <w:t>External Measures—</w:t>
      </w:r>
      <w:r>
        <w:rPr>
          <w:rFonts w:ascii="Arial" w:hAnsi="Arial"/>
          <w:color w:val="231F20"/>
          <w:spacing w:val="-40"/>
          <w:w w:val="110"/>
          <w:sz w:val="19"/>
        </w:rPr>
        <w:t> </w:t>
      </w:r>
      <w:r>
        <w:rPr>
          <w:rFonts w:ascii="Arial" w:hAnsi="Arial"/>
          <w:color w:val="231F20"/>
          <w:w w:val="110"/>
          <w:sz w:val="19"/>
        </w:rPr>
        <w:t>balance of payments, exchange </w:t>
      </w:r>
      <w:r>
        <w:rPr>
          <w:rFonts w:ascii="Arial" w:hAnsi="Arial"/>
          <w:color w:val="231F20"/>
          <w:w w:val="110"/>
          <w:sz w:val="19"/>
        </w:rPr>
        <w:t>rates Internal Measures</w:t>
      </w:r>
    </w:p>
    <w:p>
      <w:pPr>
        <w:spacing w:before="1"/>
        <w:ind w:left="1949" w:right="0" w:firstLine="0"/>
        <w:jc w:val="left"/>
        <w:rPr>
          <w:rFonts w:ascii="Arial"/>
          <w:sz w:val="19"/>
        </w:rPr>
      </w:pPr>
      <w:r>
        <w:rPr>
          <w:rFonts w:ascii="Arial"/>
          <w:color w:val="231F20"/>
          <w:w w:val="105"/>
          <w:sz w:val="19"/>
        </w:rPr>
        <w:t>General: GNP,</w:t>
      </w:r>
      <w:r>
        <w:rPr>
          <w:rFonts w:ascii="Arial"/>
          <w:color w:val="231F20"/>
          <w:spacing w:val="1"/>
          <w:w w:val="105"/>
          <w:sz w:val="19"/>
        </w:rPr>
        <w:t> </w:t>
      </w:r>
      <w:r>
        <w:rPr>
          <w:rFonts w:ascii="Arial"/>
          <w:color w:val="231F20"/>
          <w:w w:val="105"/>
          <w:sz w:val="19"/>
        </w:rPr>
        <w:t>inflation,</w:t>
      </w:r>
      <w:r>
        <w:rPr>
          <w:rFonts w:ascii="Arial"/>
          <w:color w:val="231F20"/>
          <w:spacing w:val="1"/>
          <w:w w:val="105"/>
          <w:sz w:val="19"/>
        </w:rPr>
        <w:t> </w:t>
      </w:r>
      <w:r>
        <w:rPr>
          <w:rFonts w:ascii="Arial"/>
          <w:color w:val="231F20"/>
          <w:spacing w:val="-2"/>
          <w:w w:val="105"/>
          <w:sz w:val="19"/>
        </w:rPr>
        <w:t>employment</w:t>
      </w:r>
    </w:p>
    <w:p>
      <w:pPr>
        <w:spacing w:line="328" w:lineRule="auto" w:before="82"/>
        <w:ind w:left="1949" w:right="1262" w:firstLine="0"/>
        <w:jc w:val="left"/>
        <w:rPr>
          <w:rFonts w:ascii="Arial"/>
          <w:sz w:val="19"/>
        </w:rPr>
      </w:pPr>
      <w:r>
        <w:rPr>
          <w:rFonts w:ascii="Arial"/>
          <w:color w:val="231F20"/>
          <w:w w:val="110"/>
          <w:sz w:val="19"/>
        </w:rPr>
        <w:t>Supply Side: interest rates, investment, capacity Demand</w:t>
      </w:r>
      <w:r>
        <w:rPr>
          <w:rFonts w:ascii="Arial"/>
          <w:color w:val="231F20"/>
          <w:spacing w:val="2"/>
          <w:w w:val="110"/>
          <w:sz w:val="19"/>
        </w:rPr>
        <w:t> </w:t>
      </w:r>
      <w:r>
        <w:rPr>
          <w:rFonts w:ascii="Arial"/>
          <w:color w:val="231F20"/>
          <w:w w:val="110"/>
          <w:sz w:val="19"/>
        </w:rPr>
        <w:t>Side:</w:t>
      </w:r>
      <w:r>
        <w:rPr>
          <w:rFonts w:ascii="Arial"/>
          <w:color w:val="231F20"/>
          <w:spacing w:val="2"/>
          <w:w w:val="110"/>
          <w:sz w:val="19"/>
        </w:rPr>
        <w:t> </w:t>
      </w:r>
      <w:r>
        <w:rPr>
          <w:rFonts w:ascii="Arial"/>
          <w:color w:val="231F20"/>
          <w:w w:val="110"/>
          <w:sz w:val="19"/>
        </w:rPr>
        <w:t>consumption,</w:t>
      </w:r>
      <w:r>
        <w:rPr>
          <w:rFonts w:ascii="Arial"/>
          <w:color w:val="231F20"/>
          <w:spacing w:val="3"/>
          <w:w w:val="110"/>
          <w:sz w:val="19"/>
        </w:rPr>
        <w:t> </w:t>
      </w:r>
      <w:r>
        <w:rPr>
          <w:rFonts w:ascii="Arial"/>
          <w:color w:val="231F20"/>
          <w:w w:val="110"/>
          <w:sz w:val="19"/>
        </w:rPr>
        <w:t>income</w:t>
      </w:r>
      <w:r>
        <w:rPr>
          <w:rFonts w:ascii="Arial"/>
          <w:color w:val="231F20"/>
          <w:spacing w:val="2"/>
          <w:w w:val="110"/>
          <w:sz w:val="19"/>
        </w:rPr>
        <w:t> </w:t>
      </w:r>
      <w:r>
        <w:rPr>
          <w:rFonts w:ascii="Arial"/>
          <w:color w:val="231F20"/>
          <w:spacing w:val="-2"/>
          <w:w w:val="110"/>
          <w:sz w:val="19"/>
        </w:rPr>
        <w:t>distribution</w:t>
      </w:r>
    </w:p>
    <w:p>
      <w:pPr>
        <w:spacing w:line="328" w:lineRule="auto" w:before="1"/>
        <w:ind w:left="2189" w:right="0" w:hanging="240"/>
        <w:jc w:val="left"/>
        <w:rPr>
          <w:rFonts w:ascii="Arial"/>
          <w:sz w:val="19"/>
        </w:rPr>
      </w:pPr>
      <w:r>
        <w:rPr>
          <w:rFonts w:ascii="Arial"/>
          <w:color w:val="231F20"/>
          <w:w w:val="115"/>
          <w:sz w:val="19"/>
        </w:rPr>
        <w:t>Social</w:t>
      </w:r>
      <w:r>
        <w:rPr>
          <w:rFonts w:ascii="Arial"/>
          <w:color w:val="231F20"/>
          <w:spacing w:val="40"/>
          <w:w w:val="115"/>
          <w:sz w:val="19"/>
        </w:rPr>
        <w:t> </w:t>
      </w:r>
      <w:r>
        <w:rPr>
          <w:rFonts w:ascii="Arial"/>
          <w:color w:val="231F20"/>
          <w:w w:val="115"/>
          <w:sz w:val="19"/>
        </w:rPr>
        <w:t>Side:</w:t>
      </w:r>
      <w:r>
        <w:rPr>
          <w:rFonts w:ascii="Arial"/>
          <w:color w:val="231F20"/>
          <w:spacing w:val="40"/>
          <w:w w:val="115"/>
          <w:sz w:val="19"/>
        </w:rPr>
        <w:t> </w:t>
      </w:r>
      <w:r>
        <w:rPr>
          <w:rFonts w:ascii="Arial"/>
          <w:color w:val="231F20"/>
          <w:w w:val="115"/>
          <w:sz w:val="19"/>
        </w:rPr>
        <w:t>human</w:t>
      </w:r>
      <w:r>
        <w:rPr>
          <w:rFonts w:ascii="Arial"/>
          <w:color w:val="231F20"/>
          <w:spacing w:val="40"/>
          <w:w w:val="115"/>
          <w:sz w:val="19"/>
        </w:rPr>
        <w:t> </w:t>
      </w:r>
      <w:r>
        <w:rPr>
          <w:rFonts w:ascii="Arial"/>
          <w:color w:val="231F20"/>
          <w:w w:val="115"/>
          <w:sz w:val="19"/>
        </w:rPr>
        <w:t>migrations,</w:t>
      </w:r>
      <w:r>
        <w:rPr>
          <w:rFonts w:ascii="Arial"/>
          <w:color w:val="231F20"/>
          <w:spacing w:val="40"/>
          <w:w w:val="115"/>
          <w:sz w:val="19"/>
        </w:rPr>
        <w:t> </w:t>
      </w:r>
      <w:r>
        <w:rPr>
          <w:rFonts w:ascii="Arial"/>
          <w:color w:val="231F20"/>
          <w:w w:val="115"/>
          <w:sz w:val="19"/>
        </w:rPr>
        <w:t>population</w:t>
      </w:r>
      <w:r>
        <w:rPr>
          <w:rFonts w:ascii="Arial"/>
          <w:color w:val="231F20"/>
          <w:spacing w:val="40"/>
          <w:w w:val="115"/>
          <w:sz w:val="19"/>
        </w:rPr>
        <w:t> </w:t>
      </w:r>
      <w:r>
        <w:rPr>
          <w:rFonts w:ascii="Arial"/>
          <w:color w:val="231F20"/>
          <w:w w:val="115"/>
          <w:sz w:val="19"/>
        </w:rPr>
        <w:t>growth, </w:t>
      </w:r>
      <w:r>
        <w:rPr>
          <w:rFonts w:ascii="Arial"/>
          <w:color w:val="231F20"/>
          <w:spacing w:val="-2"/>
          <w:w w:val="115"/>
          <w:sz w:val="19"/>
        </w:rPr>
        <w:t>education</w:t>
      </w:r>
    </w:p>
    <w:p>
      <w:pPr>
        <w:pStyle w:val="ListParagraph"/>
        <w:numPr>
          <w:ilvl w:val="0"/>
          <w:numId w:val="42"/>
        </w:numPr>
        <w:tabs>
          <w:tab w:pos="1610" w:val="left" w:leader="none"/>
        </w:tabs>
        <w:spacing w:line="240" w:lineRule="auto" w:before="1" w:after="0"/>
        <w:ind w:left="1609" w:right="0" w:hanging="223"/>
        <w:jc w:val="left"/>
        <w:rPr>
          <w:sz w:val="19"/>
        </w:rPr>
      </w:pPr>
      <w:r>
        <w:rPr>
          <w:color w:val="231F20"/>
          <w:w w:val="115"/>
          <w:sz w:val="19"/>
        </w:rPr>
        <w:t>Identify</w:t>
      </w:r>
      <w:r>
        <w:rPr>
          <w:color w:val="231F20"/>
          <w:spacing w:val="-9"/>
          <w:w w:val="115"/>
          <w:sz w:val="19"/>
        </w:rPr>
        <w:t> </w:t>
      </w:r>
      <w:r>
        <w:rPr>
          <w:color w:val="231F20"/>
          <w:w w:val="115"/>
          <w:sz w:val="19"/>
        </w:rPr>
        <w:t>the</w:t>
      </w:r>
      <w:r>
        <w:rPr>
          <w:color w:val="231F20"/>
          <w:spacing w:val="-9"/>
          <w:w w:val="115"/>
          <w:sz w:val="19"/>
        </w:rPr>
        <w:t> </w:t>
      </w:r>
      <w:r>
        <w:rPr>
          <w:color w:val="231F20"/>
          <w:w w:val="115"/>
          <w:sz w:val="19"/>
        </w:rPr>
        <w:t>Country’s</w:t>
      </w:r>
      <w:r>
        <w:rPr>
          <w:color w:val="231F20"/>
          <w:spacing w:val="-9"/>
          <w:w w:val="115"/>
          <w:sz w:val="19"/>
        </w:rPr>
        <w:t> </w:t>
      </w:r>
      <w:r>
        <w:rPr>
          <w:color w:val="231F20"/>
          <w:spacing w:val="-2"/>
          <w:w w:val="115"/>
          <w:sz w:val="19"/>
        </w:rPr>
        <w:t>Strategy</w:t>
      </w:r>
    </w:p>
    <w:p>
      <w:pPr>
        <w:spacing w:before="82"/>
        <w:ind w:left="1609" w:right="0" w:firstLine="0"/>
        <w:jc w:val="left"/>
        <w:rPr>
          <w:rFonts w:ascii="Arial"/>
          <w:sz w:val="19"/>
        </w:rPr>
      </w:pPr>
      <w:r>
        <w:rPr>
          <w:rFonts w:ascii="Arial"/>
          <w:color w:val="231F20"/>
          <w:w w:val="110"/>
          <w:sz w:val="19"/>
        </w:rPr>
        <w:t>Goals:</w:t>
      </w:r>
      <w:r>
        <w:rPr>
          <w:rFonts w:ascii="Arial"/>
          <w:color w:val="231F20"/>
          <w:spacing w:val="6"/>
          <w:w w:val="110"/>
          <w:sz w:val="19"/>
        </w:rPr>
        <w:t> </w:t>
      </w:r>
      <w:r>
        <w:rPr>
          <w:rFonts w:ascii="Arial"/>
          <w:color w:val="231F20"/>
          <w:w w:val="110"/>
          <w:sz w:val="19"/>
        </w:rPr>
        <w:t>autonomy,</w:t>
      </w:r>
      <w:r>
        <w:rPr>
          <w:rFonts w:ascii="Arial"/>
          <w:color w:val="231F20"/>
          <w:spacing w:val="6"/>
          <w:w w:val="110"/>
          <w:sz w:val="19"/>
        </w:rPr>
        <w:t> </w:t>
      </w:r>
      <w:r>
        <w:rPr>
          <w:rFonts w:ascii="Arial"/>
          <w:color w:val="231F20"/>
          <w:w w:val="110"/>
          <w:sz w:val="19"/>
        </w:rPr>
        <w:t>productivity,</w:t>
      </w:r>
      <w:r>
        <w:rPr>
          <w:rFonts w:ascii="Arial"/>
          <w:color w:val="231F20"/>
          <w:spacing w:val="7"/>
          <w:w w:val="110"/>
          <w:sz w:val="19"/>
        </w:rPr>
        <w:t> </w:t>
      </w:r>
      <w:r>
        <w:rPr>
          <w:rFonts w:ascii="Arial"/>
          <w:color w:val="231F20"/>
          <w:spacing w:val="-2"/>
          <w:w w:val="110"/>
          <w:sz w:val="19"/>
        </w:rPr>
        <w:t>equity</w:t>
      </w:r>
    </w:p>
    <w:p>
      <w:pPr>
        <w:spacing w:after="0"/>
        <w:jc w:val="left"/>
        <w:rPr>
          <w:rFonts w:ascii="Arial"/>
          <w:sz w:val="19"/>
        </w:rPr>
        <w:sectPr>
          <w:pgSz w:w="8640" w:h="12960"/>
          <w:pgMar w:header="734" w:footer="0" w:top="920" w:bottom="280" w:left="340" w:right="500"/>
        </w:sectPr>
      </w:pPr>
    </w:p>
    <w:p>
      <w:pPr>
        <w:pStyle w:val="BodyText"/>
        <w:spacing w:before="10"/>
        <w:rPr>
          <w:rFonts w:ascii="Arial"/>
          <w:sz w:val="19"/>
        </w:rPr>
      </w:pPr>
    </w:p>
    <w:p>
      <w:pPr>
        <w:spacing w:before="95"/>
        <w:ind w:left="1520" w:right="0" w:firstLine="0"/>
        <w:jc w:val="left"/>
        <w:rPr>
          <w:rFonts w:ascii="Arial"/>
          <w:sz w:val="19"/>
        </w:rPr>
      </w:pPr>
      <w:r>
        <w:rPr>
          <w:rFonts w:ascii="Arial"/>
          <w:color w:val="231F20"/>
          <w:w w:val="110"/>
          <w:sz w:val="19"/>
        </w:rPr>
        <w:t>Policies:</w:t>
      </w:r>
      <w:r>
        <w:rPr>
          <w:rFonts w:ascii="Arial"/>
          <w:color w:val="231F20"/>
          <w:spacing w:val="-11"/>
          <w:w w:val="110"/>
          <w:sz w:val="19"/>
        </w:rPr>
        <w:t> </w:t>
      </w:r>
      <w:r>
        <w:rPr>
          <w:rFonts w:ascii="Arial"/>
          <w:color w:val="231F20"/>
          <w:w w:val="110"/>
          <w:sz w:val="19"/>
        </w:rPr>
        <w:t>fiscal,</w:t>
      </w:r>
      <w:r>
        <w:rPr>
          <w:rFonts w:ascii="Arial"/>
          <w:color w:val="231F20"/>
          <w:spacing w:val="-10"/>
          <w:w w:val="110"/>
          <w:sz w:val="19"/>
        </w:rPr>
        <w:t> </w:t>
      </w:r>
      <w:r>
        <w:rPr>
          <w:rFonts w:ascii="Arial"/>
          <w:color w:val="231F20"/>
          <w:w w:val="110"/>
          <w:sz w:val="19"/>
        </w:rPr>
        <w:t>monetary,</w:t>
      </w:r>
      <w:r>
        <w:rPr>
          <w:rFonts w:ascii="Arial"/>
          <w:color w:val="231F20"/>
          <w:spacing w:val="-10"/>
          <w:w w:val="110"/>
          <w:sz w:val="19"/>
        </w:rPr>
        <w:t> </w:t>
      </w:r>
      <w:r>
        <w:rPr>
          <w:rFonts w:ascii="Arial"/>
          <w:color w:val="231F20"/>
          <w:w w:val="110"/>
          <w:sz w:val="19"/>
        </w:rPr>
        <w:t>trade,</w:t>
      </w:r>
      <w:r>
        <w:rPr>
          <w:rFonts w:ascii="Arial"/>
          <w:color w:val="231F20"/>
          <w:spacing w:val="-11"/>
          <w:w w:val="110"/>
          <w:sz w:val="19"/>
        </w:rPr>
        <w:t> </w:t>
      </w:r>
      <w:r>
        <w:rPr>
          <w:rFonts w:ascii="Arial"/>
          <w:color w:val="231F20"/>
          <w:spacing w:val="-2"/>
          <w:w w:val="110"/>
          <w:sz w:val="19"/>
        </w:rPr>
        <w:t>social</w:t>
      </w:r>
    </w:p>
    <w:p>
      <w:pPr>
        <w:pStyle w:val="ListParagraph"/>
        <w:numPr>
          <w:ilvl w:val="0"/>
          <w:numId w:val="42"/>
        </w:numPr>
        <w:tabs>
          <w:tab w:pos="1520" w:val="left" w:leader="none"/>
        </w:tabs>
        <w:spacing w:line="240" w:lineRule="auto" w:before="82" w:after="0"/>
        <w:ind w:left="1520" w:right="0" w:hanging="226"/>
        <w:jc w:val="left"/>
        <w:rPr>
          <w:sz w:val="19"/>
        </w:rPr>
      </w:pPr>
      <w:r>
        <w:rPr>
          <w:color w:val="231F20"/>
          <w:w w:val="110"/>
          <w:sz w:val="19"/>
        </w:rPr>
        <w:t>Analyze</w:t>
      </w:r>
      <w:r>
        <w:rPr>
          <w:color w:val="231F20"/>
          <w:spacing w:val="2"/>
          <w:w w:val="110"/>
          <w:sz w:val="19"/>
        </w:rPr>
        <w:t> </w:t>
      </w:r>
      <w:r>
        <w:rPr>
          <w:color w:val="231F20"/>
          <w:w w:val="110"/>
          <w:sz w:val="19"/>
        </w:rPr>
        <w:t>a</w:t>
      </w:r>
      <w:r>
        <w:rPr>
          <w:color w:val="231F20"/>
          <w:spacing w:val="3"/>
          <w:w w:val="110"/>
          <w:sz w:val="19"/>
        </w:rPr>
        <w:t> </w:t>
      </w:r>
      <w:r>
        <w:rPr>
          <w:color w:val="231F20"/>
          <w:w w:val="110"/>
          <w:sz w:val="19"/>
        </w:rPr>
        <w:t>Country’s</w:t>
      </w:r>
      <w:r>
        <w:rPr>
          <w:color w:val="231F20"/>
          <w:spacing w:val="3"/>
          <w:w w:val="110"/>
          <w:sz w:val="19"/>
        </w:rPr>
        <w:t> </w:t>
      </w:r>
      <w:r>
        <w:rPr>
          <w:color w:val="231F20"/>
          <w:spacing w:val="-2"/>
          <w:w w:val="110"/>
          <w:sz w:val="19"/>
        </w:rPr>
        <w:t>Context</w:t>
      </w:r>
    </w:p>
    <w:p>
      <w:pPr>
        <w:spacing w:before="81"/>
        <w:ind w:left="1520" w:right="0" w:firstLine="0"/>
        <w:jc w:val="left"/>
        <w:rPr>
          <w:rFonts w:ascii="Arial"/>
          <w:sz w:val="19"/>
        </w:rPr>
      </w:pPr>
      <w:r>
        <w:rPr>
          <w:rFonts w:ascii="Arial"/>
          <w:color w:val="231F20"/>
          <w:spacing w:val="-2"/>
          <w:w w:val="110"/>
          <w:sz w:val="19"/>
        </w:rPr>
        <w:t>Physical:</w:t>
      </w:r>
      <w:r>
        <w:rPr>
          <w:rFonts w:ascii="Arial"/>
          <w:color w:val="231F20"/>
          <w:spacing w:val="-1"/>
          <w:w w:val="110"/>
          <w:sz w:val="19"/>
        </w:rPr>
        <w:t> </w:t>
      </w:r>
      <w:r>
        <w:rPr>
          <w:rFonts w:ascii="Arial"/>
          <w:color w:val="231F20"/>
          <w:spacing w:val="-2"/>
          <w:w w:val="110"/>
          <w:sz w:val="19"/>
        </w:rPr>
        <w:t>size,</w:t>
      </w:r>
      <w:r>
        <w:rPr>
          <w:rFonts w:ascii="Arial"/>
          <w:color w:val="231F20"/>
          <w:spacing w:val="-1"/>
          <w:w w:val="110"/>
          <w:sz w:val="19"/>
        </w:rPr>
        <w:t> </w:t>
      </w:r>
      <w:r>
        <w:rPr>
          <w:rFonts w:ascii="Arial"/>
          <w:color w:val="231F20"/>
          <w:spacing w:val="-2"/>
          <w:w w:val="110"/>
          <w:sz w:val="19"/>
        </w:rPr>
        <w:t>population,</w:t>
      </w:r>
      <w:r>
        <w:rPr>
          <w:rFonts w:ascii="Arial"/>
          <w:color w:val="231F20"/>
          <w:spacing w:val="-1"/>
          <w:w w:val="110"/>
          <w:sz w:val="19"/>
        </w:rPr>
        <w:t> </w:t>
      </w:r>
      <w:r>
        <w:rPr>
          <w:rFonts w:ascii="Arial"/>
          <w:color w:val="231F20"/>
          <w:spacing w:val="-2"/>
          <w:w w:val="110"/>
          <w:sz w:val="19"/>
        </w:rPr>
        <w:t>geography</w:t>
      </w:r>
    </w:p>
    <w:p>
      <w:pPr>
        <w:spacing w:line="328" w:lineRule="auto" w:before="82"/>
        <w:ind w:left="1520" w:right="0" w:firstLine="0"/>
        <w:jc w:val="left"/>
        <w:rPr>
          <w:rFonts w:ascii="Arial"/>
          <w:sz w:val="19"/>
        </w:rPr>
      </w:pPr>
      <w:r>
        <w:rPr>
          <w:rFonts w:ascii="Arial"/>
          <w:color w:val="231F20"/>
          <w:w w:val="115"/>
          <w:sz w:val="19"/>
        </w:rPr>
        <w:t>Political: government type, stability, corruption, leaders </w:t>
      </w:r>
      <w:r>
        <w:rPr>
          <w:rFonts w:ascii="Arial"/>
          <w:color w:val="231F20"/>
          <w:w w:val="110"/>
          <w:sz w:val="19"/>
        </w:rPr>
        <w:t>Institutions: government agencies, business, labor, </w:t>
      </w:r>
      <w:r>
        <w:rPr>
          <w:rFonts w:ascii="Arial"/>
          <w:color w:val="231F20"/>
          <w:w w:val="110"/>
          <w:sz w:val="19"/>
        </w:rPr>
        <w:t>religion,</w:t>
      </w:r>
    </w:p>
    <w:p>
      <w:pPr>
        <w:spacing w:before="1"/>
        <w:ind w:left="1759" w:right="0" w:firstLine="0"/>
        <w:jc w:val="left"/>
        <w:rPr>
          <w:rFonts w:ascii="Arial"/>
          <w:sz w:val="19"/>
        </w:rPr>
      </w:pPr>
      <w:r>
        <w:rPr>
          <w:rFonts w:ascii="Arial"/>
          <w:color w:val="231F20"/>
          <w:spacing w:val="-2"/>
          <w:w w:val="115"/>
          <w:sz w:val="19"/>
        </w:rPr>
        <w:t>agriculture</w:t>
      </w:r>
    </w:p>
    <w:p>
      <w:pPr>
        <w:spacing w:line="328" w:lineRule="auto" w:before="82"/>
        <w:ind w:left="1759" w:right="667" w:hanging="240"/>
        <w:jc w:val="left"/>
        <w:rPr>
          <w:rFonts w:ascii="Arial"/>
          <w:sz w:val="19"/>
        </w:rPr>
      </w:pPr>
      <w:r>
        <w:rPr>
          <w:rFonts w:ascii="Arial"/>
          <w:color w:val="231F20"/>
          <w:w w:val="115"/>
          <w:sz w:val="19"/>
        </w:rPr>
        <w:t>Ideological: role of government, family, culture, individu- </w:t>
      </w:r>
      <w:r>
        <w:rPr>
          <w:rFonts w:ascii="Arial"/>
          <w:color w:val="231F20"/>
          <w:spacing w:val="-4"/>
          <w:w w:val="115"/>
          <w:sz w:val="19"/>
        </w:rPr>
        <w:t>alism</w:t>
      </w:r>
    </w:p>
    <w:p>
      <w:pPr>
        <w:spacing w:before="1"/>
        <w:ind w:left="1520" w:right="0" w:firstLine="0"/>
        <w:jc w:val="left"/>
        <w:rPr>
          <w:rFonts w:ascii="Arial"/>
          <w:sz w:val="19"/>
        </w:rPr>
      </w:pPr>
      <w:r>
        <w:rPr>
          <w:rFonts w:ascii="Arial"/>
          <w:color w:val="231F20"/>
          <w:w w:val="110"/>
          <w:sz w:val="19"/>
        </w:rPr>
        <w:t>International:</w:t>
      </w:r>
      <w:r>
        <w:rPr>
          <w:rFonts w:ascii="Arial"/>
          <w:color w:val="231F20"/>
          <w:spacing w:val="7"/>
          <w:w w:val="110"/>
          <w:sz w:val="19"/>
        </w:rPr>
        <w:t> </w:t>
      </w:r>
      <w:r>
        <w:rPr>
          <w:rFonts w:ascii="Arial"/>
          <w:color w:val="231F20"/>
          <w:w w:val="110"/>
          <w:sz w:val="19"/>
        </w:rPr>
        <w:t>trade</w:t>
      </w:r>
      <w:r>
        <w:rPr>
          <w:rFonts w:ascii="Arial"/>
          <w:color w:val="231F20"/>
          <w:spacing w:val="8"/>
          <w:w w:val="110"/>
          <w:sz w:val="19"/>
        </w:rPr>
        <w:t> </w:t>
      </w:r>
      <w:r>
        <w:rPr>
          <w:rFonts w:ascii="Arial"/>
          <w:color w:val="231F20"/>
          <w:w w:val="110"/>
          <w:sz w:val="19"/>
        </w:rPr>
        <w:t>advantages,</w:t>
      </w:r>
      <w:r>
        <w:rPr>
          <w:rFonts w:ascii="Arial"/>
          <w:color w:val="231F20"/>
          <w:spacing w:val="8"/>
          <w:w w:val="110"/>
          <w:sz w:val="19"/>
        </w:rPr>
        <w:t> </w:t>
      </w:r>
      <w:r>
        <w:rPr>
          <w:rFonts w:ascii="Arial"/>
          <w:color w:val="231F20"/>
          <w:spacing w:val="-2"/>
          <w:w w:val="110"/>
          <w:sz w:val="19"/>
        </w:rPr>
        <w:t>competitiveness</w:t>
      </w:r>
    </w:p>
    <w:p>
      <w:pPr>
        <w:pStyle w:val="ListParagraph"/>
        <w:numPr>
          <w:ilvl w:val="0"/>
          <w:numId w:val="42"/>
        </w:numPr>
        <w:tabs>
          <w:tab w:pos="1520" w:val="left" w:leader="none"/>
        </w:tabs>
        <w:spacing w:line="240" w:lineRule="auto" w:before="82" w:after="0"/>
        <w:ind w:left="1519" w:right="0" w:hanging="237"/>
        <w:jc w:val="left"/>
        <w:rPr>
          <w:sz w:val="19"/>
        </w:rPr>
      </w:pPr>
      <w:r>
        <w:rPr>
          <w:color w:val="231F20"/>
          <w:w w:val="105"/>
          <w:sz w:val="19"/>
        </w:rPr>
        <w:t>Make</w:t>
      </w:r>
      <w:r>
        <w:rPr>
          <w:color w:val="231F20"/>
          <w:spacing w:val="9"/>
          <w:w w:val="105"/>
          <w:sz w:val="19"/>
        </w:rPr>
        <w:t> </w:t>
      </w:r>
      <w:r>
        <w:rPr>
          <w:color w:val="231F20"/>
          <w:w w:val="105"/>
          <w:sz w:val="19"/>
        </w:rPr>
        <w:t>a</w:t>
      </w:r>
      <w:r>
        <w:rPr>
          <w:color w:val="231F20"/>
          <w:spacing w:val="9"/>
          <w:w w:val="105"/>
          <w:sz w:val="19"/>
        </w:rPr>
        <w:t> </w:t>
      </w:r>
      <w:r>
        <w:rPr>
          <w:color w:val="231F20"/>
          <w:w w:val="105"/>
          <w:sz w:val="19"/>
        </w:rPr>
        <w:t>Prediction</w:t>
      </w:r>
      <w:r>
        <w:rPr>
          <w:color w:val="231F20"/>
          <w:spacing w:val="10"/>
          <w:w w:val="105"/>
          <w:sz w:val="19"/>
        </w:rPr>
        <w:t> </w:t>
      </w:r>
      <w:r>
        <w:rPr>
          <w:color w:val="231F20"/>
          <w:w w:val="105"/>
          <w:sz w:val="19"/>
        </w:rPr>
        <w:t>Based</w:t>
      </w:r>
      <w:r>
        <w:rPr>
          <w:color w:val="231F20"/>
          <w:spacing w:val="9"/>
          <w:w w:val="105"/>
          <w:sz w:val="19"/>
        </w:rPr>
        <w:t> </w:t>
      </w:r>
      <w:r>
        <w:rPr>
          <w:color w:val="231F20"/>
          <w:w w:val="105"/>
          <w:sz w:val="19"/>
        </w:rPr>
        <w:t>on</w:t>
      </w:r>
      <w:r>
        <w:rPr>
          <w:color w:val="231F20"/>
          <w:spacing w:val="10"/>
          <w:w w:val="105"/>
          <w:sz w:val="19"/>
        </w:rPr>
        <w:t> </w:t>
      </w:r>
      <w:r>
        <w:rPr>
          <w:color w:val="231F20"/>
          <w:w w:val="105"/>
          <w:sz w:val="19"/>
        </w:rPr>
        <w:t>Steps</w:t>
      </w:r>
      <w:r>
        <w:rPr>
          <w:color w:val="231F20"/>
          <w:spacing w:val="9"/>
          <w:w w:val="105"/>
          <w:sz w:val="19"/>
        </w:rPr>
        <w:t> </w:t>
      </w:r>
      <w:r>
        <w:rPr>
          <w:color w:val="231F20"/>
          <w:sz w:val="19"/>
        </w:rPr>
        <w:t>1,</w:t>
      </w:r>
      <w:r>
        <w:rPr>
          <w:color w:val="231F20"/>
          <w:spacing w:val="10"/>
          <w:w w:val="105"/>
          <w:sz w:val="19"/>
        </w:rPr>
        <w:t> </w:t>
      </w:r>
      <w:r>
        <w:rPr>
          <w:color w:val="231F20"/>
          <w:w w:val="105"/>
          <w:sz w:val="19"/>
        </w:rPr>
        <w:t>2,</w:t>
      </w:r>
      <w:r>
        <w:rPr>
          <w:color w:val="231F20"/>
          <w:spacing w:val="9"/>
          <w:w w:val="105"/>
          <w:sz w:val="19"/>
        </w:rPr>
        <w:t> </w:t>
      </w:r>
      <w:r>
        <w:rPr>
          <w:color w:val="231F20"/>
          <w:w w:val="105"/>
          <w:sz w:val="19"/>
        </w:rPr>
        <w:t>and</w:t>
      </w:r>
      <w:r>
        <w:rPr>
          <w:color w:val="231F20"/>
          <w:spacing w:val="10"/>
          <w:w w:val="105"/>
          <w:sz w:val="19"/>
        </w:rPr>
        <w:t> </w:t>
      </w:r>
      <w:r>
        <w:rPr>
          <w:color w:val="231F20"/>
          <w:spacing w:val="-10"/>
          <w:w w:val="105"/>
          <w:sz w:val="19"/>
        </w:rPr>
        <w:t>3</w:t>
      </w:r>
    </w:p>
    <w:p>
      <w:pPr>
        <w:pStyle w:val="BodyText"/>
        <w:rPr>
          <w:rFonts w:ascii="Arial"/>
          <w:sz w:val="20"/>
        </w:rPr>
      </w:pPr>
    </w:p>
    <w:p>
      <w:pPr>
        <w:pStyle w:val="BodyText"/>
        <w:spacing w:line="292" w:lineRule="auto" w:before="130"/>
        <w:ind w:left="830" w:right="754" w:firstLine="340"/>
        <w:jc w:val="both"/>
      </w:pPr>
      <w:r>
        <w:rPr>
          <w:color w:val="231F20"/>
        </w:rPr>
        <w:t>Let’s take a country that is deep in debt and mired in political gridlock—</w:t>
      </w:r>
      <w:r>
        <w:rPr>
          <w:color w:val="231F20"/>
          <w:spacing w:val="-12"/>
        </w:rPr>
        <w:t> </w:t>
      </w:r>
      <w:r>
        <w:rPr>
          <w:color w:val="231F20"/>
        </w:rPr>
        <w:t>as an example, the United States of America in 1990. As- sume that you are in 1990 and that you are Franz Danninger, a Swiss banker at the Bank of Zurich. You are considering whether you</w:t>
      </w:r>
      <w:r>
        <w:rPr>
          <w:color w:val="231F20"/>
          <w:spacing w:val="40"/>
        </w:rPr>
        <w:t> </w:t>
      </w:r>
      <w:r>
        <w:rPr>
          <w:color w:val="231F20"/>
        </w:rPr>
        <w:t>should invest your clients’ money in the United States as part of your global portfolio. What follows is—</w:t>
      </w:r>
      <w:r>
        <w:rPr>
          <w:color w:val="231F20"/>
          <w:spacing w:val="-12"/>
        </w:rPr>
        <w:t> </w:t>
      </w:r>
      <w:r>
        <w:rPr>
          <w:color w:val="231F20"/>
        </w:rPr>
        <w:t>in a broad sense—</w:t>
      </w:r>
      <w:r>
        <w:rPr>
          <w:color w:val="231F20"/>
          <w:spacing w:val="-12"/>
        </w:rPr>
        <w:t> </w:t>
      </w:r>
      <w:r>
        <w:rPr>
          <w:color w:val="231F20"/>
        </w:rPr>
        <w:t>the type of analysis an MBA would do to decide.</w:t>
      </w:r>
    </w:p>
    <w:p>
      <w:pPr>
        <w:pStyle w:val="BodyText"/>
        <w:spacing w:before="2"/>
        <w:rPr>
          <w:sz w:val="27"/>
        </w:rPr>
      </w:pPr>
    </w:p>
    <w:p>
      <w:pPr>
        <w:pStyle w:val="ListParagraph"/>
        <w:numPr>
          <w:ilvl w:val="0"/>
          <w:numId w:val="43"/>
        </w:numPr>
        <w:tabs>
          <w:tab w:pos="1349" w:val="left" w:leader="none"/>
        </w:tabs>
        <w:spacing w:line="240" w:lineRule="auto" w:before="0" w:after="0"/>
        <w:ind w:left="1348" w:right="350" w:hanging="1349"/>
        <w:jc w:val="left"/>
        <w:rPr>
          <w:i/>
          <w:sz w:val="19"/>
        </w:rPr>
      </w:pPr>
      <w:r>
        <w:rPr>
          <w:i/>
          <w:color w:val="231F20"/>
          <w:w w:val="115"/>
          <w:sz w:val="19"/>
        </w:rPr>
        <w:t>Analyze</w:t>
      </w:r>
      <w:r>
        <w:rPr>
          <w:i/>
          <w:color w:val="231F20"/>
          <w:spacing w:val="-4"/>
          <w:w w:val="115"/>
          <w:sz w:val="19"/>
        </w:rPr>
        <w:t> </w:t>
      </w:r>
      <w:r>
        <w:rPr>
          <w:i/>
          <w:color w:val="231F20"/>
          <w:w w:val="115"/>
          <w:sz w:val="19"/>
        </w:rPr>
        <w:t>the</w:t>
      </w:r>
      <w:r>
        <w:rPr>
          <w:i/>
          <w:color w:val="231F20"/>
          <w:spacing w:val="-4"/>
          <w:w w:val="115"/>
          <w:sz w:val="19"/>
        </w:rPr>
        <w:t> </w:t>
      </w:r>
      <w:r>
        <w:rPr>
          <w:i/>
          <w:color w:val="231F20"/>
          <w:w w:val="115"/>
          <w:sz w:val="19"/>
        </w:rPr>
        <w:t>past</w:t>
      </w:r>
      <w:r>
        <w:rPr>
          <w:i/>
          <w:color w:val="231F20"/>
          <w:spacing w:val="-3"/>
          <w:w w:val="115"/>
          <w:sz w:val="19"/>
        </w:rPr>
        <w:t> </w:t>
      </w:r>
      <w:r>
        <w:rPr>
          <w:i/>
          <w:color w:val="231F20"/>
          <w:w w:val="115"/>
          <w:sz w:val="19"/>
        </w:rPr>
        <w:t>performance</w:t>
      </w:r>
      <w:r>
        <w:rPr>
          <w:i/>
          <w:color w:val="231F20"/>
          <w:spacing w:val="-4"/>
          <w:w w:val="115"/>
          <w:sz w:val="19"/>
        </w:rPr>
        <w:t> </w:t>
      </w:r>
      <w:r>
        <w:rPr>
          <w:i/>
          <w:color w:val="231F20"/>
          <w:w w:val="115"/>
          <w:sz w:val="19"/>
        </w:rPr>
        <w:t>of</w:t>
      </w:r>
      <w:r>
        <w:rPr>
          <w:i/>
          <w:color w:val="231F20"/>
          <w:spacing w:val="-3"/>
          <w:w w:val="115"/>
          <w:sz w:val="19"/>
        </w:rPr>
        <w:t> </w:t>
      </w:r>
      <w:r>
        <w:rPr>
          <w:i/>
          <w:color w:val="231F20"/>
          <w:w w:val="115"/>
          <w:sz w:val="19"/>
        </w:rPr>
        <w:t>the</w:t>
      </w:r>
      <w:r>
        <w:rPr>
          <w:i/>
          <w:color w:val="231F20"/>
          <w:spacing w:val="-4"/>
          <w:w w:val="115"/>
          <w:sz w:val="19"/>
        </w:rPr>
        <w:t> </w:t>
      </w:r>
      <w:r>
        <w:rPr>
          <w:i/>
          <w:color w:val="231F20"/>
          <w:w w:val="115"/>
          <w:sz w:val="19"/>
        </w:rPr>
        <w:t>United</w:t>
      </w:r>
      <w:r>
        <w:rPr>
          <w:i/>
          <w:color w:val="231F20"/>
          <w:spacing w:val="-3"/>
          <w:w w:val="115"/>
          <w:sz w:val="19"/>
        </w:rPr>
        <w:t> </w:t>
      </w:r>
      <w:r>
        <w:rPr>
          <w:i/>
          <w:color w:val="231F20"/>
          <w:spacing w:val="-2"/>
          <w:w w:val="115"/>
          <w:sz w:val="19"/>
        </w:rPr>
        <w:t>States.</w:t>
      </w:r>
    </w:p>
    <w:p>
      <w:pPr>
        <w:spacing w:before="60"/>
        <w:ind w:left="1170" w:right="0" w:firstLine="0"/>
        <w:jc w:val="both"/>
        <w:rPr>
          <w:sz w:val="21"/>
        </w:rPr>
      </w:pPr>
      <w:r>
        <w:rPr>
          <w:i/>
          <w:color w:val="231F20"/>
          <w:w w:val="105"/>
          <w:sz w:val="21"/>
        </w:rPr>
        <w:t>External</w:t>
      </w:r>
      <w:r>
        <w:rPr>
          <w:i/>
          <w:color w:val="231F20"/>
          <w:spacing w:val="-10"/>
          <w:w w:val="105"/>
          <w:sz w:val="21"/>
        </w:rPr>
        <w:t> </w:t>
      </w:r>
      <w:r>
        <w:rPr>
          <w:i/>
          <w:color w:val="231F20"/>
          <w:w w:val="105"/>
          <w:sz w:val="21"/>
        </w:rPr>
        <w:t>Measures.</w:t>
      </w:r>
      <w:r>
        <w:rPr>
          <w:i/>
          <w:color w:val="231F20"/>
          <w:spacing w:val="-10"/>
          <w:w w:val="105"/>
          <w:sz w:val="21"/>
        </w:rPr>
        <w:t> </w:t>
      </w:r>
      <w:r>
        <w:rPr>
          <w:color w:val="231F20"/>
          <w:w w:val="105"/>
          <w:sz w:val="21"/>
        </w:rPr>
        <w:t>In</w:t>
      </w:r>
      <w:r>
        <w:rPr>
          <w:color w:val="231F20"/>
          <w:spacing w:val="-9"/>
          <w:w w:val="105"/>
          <w:sz w:val="21"/>
        </w:rPr>
        <w:t> </w:t>
      </w:r>
      <w:r>
        <w:rPr>
          <w:color w:val="231F20"/>
          <w:w w:val="105"/>
          <w:sz w:val="21"/>
        </w:rPr>
        <w:t>1990</w:t>
      </w:r>
      <w:r>
        <w:rPr>
          <w:color w:val="231F20"/>
          <w:spacing w:val="-9"/>
          <w:w w:val="105"/>
          <w:sz w:val="21"/>
        </w:rPr>
        <w:t> </w:t>
      </w:r>
      <w:r>
        <w:rPr>
          <w:color w:val="231F20"/>
          <w:w w:val="105"/>
          <w:sz w:val="21"/>
        </w:rPr>
        <w:t>the</w:t>
      </w:r>
      <w:r>
        <w:rPr>
          <w:color w:val="231F20"/>
          <w:spacing w:val="-9"/>
          <w:w w:val="105"/>
          <w:sz w:val="21"/>
        </w:rPr>
        <w:t> </w:t>
      </w:r>
      <w:r>
        <w:rPr>
          <w:color w:val="231F20"/>
          <w:w w:val="105"/>
          <w:sz w:val="21"/>
        </w:rPr>
        <w:t>U.S.</w:t>
      </w:r>
      <w:r>
        <w:rPr>
          <w:color w:val="231F20"/>
          <w:spacing w:val="-9"/>
          <w:w w:val="105"/>
          <w:sz w:val="21"/>
        </w:rPr>
        <w:t> </w:t>
      </w:r>
      <w:r>
        <w:rPr>
          <w:color w:val="231F20"/>
          <w:w w:val="105"/>
          <w:sz w:val="21"/>
        </w:rPr>
        <w:t>trade</w:t>
      </w:r>
      <w:r>
        <w:rPr>
          <w:color w:val="231F20"/>
          <w:spacing w:val="-9"/>
          <w:w w:val="105"/>
          <w:sz w:val="21"/>
        </w:rPr>
        <w:t> </w:t>
      </w:r>
      <w:r>
        <w:rPr>
          <w:color w:val="231F20"/>
          <w:w w:val="105"/>
          <w:sz w:val="21"/>
        </w:rPr>
        <w:t>deficit</w:t>
      </w:r>
      <w:r>
        <w:rPr>
          <w:color w:val="231F20"/>
          <w:spacing w:val="-9"/>
          <w:w w:val="105"/>
          <w:sz w:val="21"/>
        </w:rPr>
        <w:t> </w:t>
      </w:r>
      <w:r>
        <w:rPr>
          <w:color w:val="231F20"/>
          <w:w w:val="105"/>
          <w:sz w:val="21"/>
        </w:rPr>
        <w:t>was</w:t>
      </w:r>
      <w:r>
        <w:rPr>
          <w:color w:val="231F20"/>
          <w:spacing w:val="-9"/>
          <w:w w:val="105"/>
          <w:sz w:val="21"/>
        </w:rPr>
        <w:t> </w:t>
      </w:r>
      <w:r>
        <w:rPr>
          <w:color w:val="231F20"/>
          <w:w w:val="105"/>
          <w:sz w:val="21"/>
        </w:rPr>
        <w:t>reduced</w:t>
      </w:r>
      <w:r>
        <w:rPr>
          <w:color w:val="231F20"/>
          <w:spacing w:val="-10"/>
          <w:w w:val="105"/>
          <w:sz w:val="21"/>
        </w:rPr>
        <w:t> </w:t>
      </w:r>
      <w:r>
        <w:rPr>
          <w:color w:val="231F20"/>
          <w:spacing w:val="-5"/>
          <w:w w:val="105"/>
          <w:sz w:val="21"/>
        </w:rPr>
        <w:t>to</w:t>
      </w:r>
    </w:p>
    <w:p>
      <w:pPr>
        <w:pStyle w:val="BodyText"/>
        <w:spacing w:line="292" w:lineRule="auto" w:before="54"/>
        <w:ind w:left="830" w:right="756"/>
        <w:jc w:val="both"/>
      </w:pPr>
      <w:r>
        <w:rPr>
          <w:color w:val="231F20"/>
        </w:rPr>
        <w:t>$60 billion, down from a huge $150 billion in 1987. The U.S. dollar has shown small but consistent weakening versus the other major currencies. Inflation has been kept steady at a low 2 to 5 percent</w:t>
      </w:r>
      <w:r>
        <w:rPr>
          <w:color w:val="231F20"/>
          <w:spacing w:val="80"/>
        </w:rPr>
        <w:t> </w:t>
      </w:r>
      <w:r>
        <w:rPr>
          <w:color w:val="231F20"/>
        </w:rPr>
        <w:t>over the past five years, with little indication of its heating up. In </w:t>
      </w:r>
      <w:r>
        <w:rPr>
          <w:color w:val="231F20"/>
        </w:rPr>
        <w:t>the same way, unemployment has been kept low, between 5 and 6 per- cent a year.</w:t>
      </w:r>
    </w:p>
    <w:p>
      <w:pPr>
        <w:pStyle w:val="BodyText"/>
        <w:spacing w:line="292" w:lineRule="auto"/>
        <w:ind w:left="830" w:right="754" w:firstLine="340"/>
        <w:jc w:val="both"/>
      </w:pPr>
      <w:r>
        <w:rPr>
          <w:i/>
          <w:color w:val="231F20"/>
          <w:w w:val="105"/>
        </w:rPr>
        <w:t>Internal</w:t>
      </w:r>
      <w:r>
        <w:rPr>
          <w:i/>
          <w:color w:val="231F20"/>
          <w:w w:val="105"/>
        </w:rPr>
        <w:t> Measures.</w:t>
      </w:r>
      <w:r>
        <w:rPr>
          <w:i/>
          <w:color w:val="231F20"/>
          <w:w w:val="105"/>
        </w:rPr>
        <w:t> </w:t>
      </w:r>
      <w:r>
        <w:rPr>
          <w:color w:val="231F20"/>
          <w:w w:val="105"/>
        </w:rPr>
        <w:t>GNP</w:t>
      </w:r>
      <w:r>
        <w:rPr>
          <w:color w:val="231F20"/>
          <w:w w:val="105"/>
        </w:rPr>
        <w:t> increased</w:t>
      </w:r>
      <w:r>
        <w:rPr>
          <w:color w:val="231F20"/>
          <w:w w:val="105"/>
        </w:rPr>
        <w:t> a</w:t>
      </w:r>
      <w:r>
        <w:rPr>
          <w:color w:val="231F20"/>
          <w:w w:val="105"/>
        </w:rPr>
        <w:t> sluggish</w:t>
      </w:r>
      <w:r>
        <w:rPr>
          <w:color w:val="231F20"/>
          <w:w w:val="105"/>
        </w:rPr>
        <w:t> 1</w:t>
      </w:r>
      <w:r>
        <w:rPr>
          <w:color w:val="231F20"/>
          <w:w w:val="105"/>
        </w:rPr>
        <w:t> percent</w:t>
      </w:r>
      <w:r>
        <w:rPr>
          <w:color w:val="231F20"/>
          <w:w w:val="105"/>
        </w:rPr>
        <w:t> in</w:t>
      </w:r>
      <w:r>
        <w:rPr>
          <w:color w:val="231F20"/>
          <w:w w:val="105"/>
        </w:rPr>
        <w:t> an economy</w:t>
      </w:r>
      <w:r>
        <w:rPr>
          <w:color w:val="231F20"/>
          <w:w w:val="105"/>
        </w:rPr>
        <w:t> of</w:t>
      </w:r>
      <w:r>
        <w:rPr>
          <w:color w:val="231F20"/>
          <w:w w:val="105"/>
        </w:rPr>
        <w:t> $5.4</w:t>
      </w:r>
      <w:r>
        <w:rPr>
          <w:color w:val="231F20"/>
          <w:w w:val="105"/>
        </w:rPr>
        <w:t> trillion.</w:t>
      </w:r>
      <w:r>
        <w:rPr>
          <w:color w:val="231F20"/>
          <w:w w:val="105"/>
        </w:rPr>
        <w:t> The</w:t>
      </w:r>
      <w:r>
        <w:rPr>
          <w:color w:val="231F20"/>
          <w:w w:val="105"/>
        </w:rPr>
        <w:t> economy</w:t>
      </w:r>
      <w:r>
        <w:rPr>
          <w:color w:val="231F20"/>
          <w:w w:val="105"/>
        </w:rPr>
        <w:t> is</w:t>
      </w:r>
      <w:r>
        <w:rPr>
          <w:color w:val="231F20"/>
          <w:w w:val="105"/>
        </w:rPr>
        <w:t> the</w:t>
      </w:r>
      <w:r>
        <w:rPr>
          <w:color w:val="231F20"/>
          <w:w w:val="105"/>
        </w:rPr>
        <w:t> largest</w:t>
      </w:r>
      <w:r>
        <w:rPr>
          <w:color w:val="231F20"/>
          <w:w w:val="105"/>
        </w:rPr>
        <w:t> in</w:t>
      </w:r>
      <w:r>
        <w:rPr>
          <w:color w:val="231F20"/>
          <w:w w:val="105"/>
        </w:rPr>
        <w:t> the</w:t>
      </w:r>
      <w:r>
        <w:rPr>
          <w:color w:val="231F20"/>
          <w:w w:val="105"/>
        </w:rPr>
        <w:t> world, twice</w:t>
      </w:r>
      <w:r>
        <w:rPr>
          <w:color w:val="231F20"/>
          <w:w w:val="105"/>
        </w:rPr>
        <w:t> that</w:t>
      </w:r>
      <w:r>
        <w:rPr>
          <w:color w:val="231F20"/>
          <w:w w:val="105"/>
        </w:rPr>
        <w:t> of</w:t>
      </w:r>
      <w:r>
        <w:rPr>
          <w:color w:val="231F20"/>
          <w:w w:val="105"/>
        </w:rPr>
        <w:t> Japan,</w:t>
      </w:r>
      <w:r>
        <w:rPr>
          <w:color w:val="231F20"/>
          <w:w w:val="105"/>
        </w:rPr>
        <w:t> four</w:t>
      </w:r>
      <w:r>
        <w:rPr>
          <w:color w:val="231F20"/>
          <w:w w:val="105"/>
        </w:rPr>
        <w:t> times</w:t>
      </w:r>
      <w:r>
        <w:rPr>
          <w:color w:val="231F20"/>
          <w:w w:val="105"/>
        </w:rPr>
        <w:t> that</w:t>
      </w:r>
      <w:r>
        <w:rPr>
          <w:color w:val="231F20"/>
          <w:w w:val="105"/>
        </w:rPr>
        <w:t> of</w:t>
      </w:r>
      <w:r>
        <w:rPr>
          <w:color w:val="231F20"/>
          <w:w w:val="105"/>
        </w:rPr>
        <w:t> Germany,</w:t>
      </w:r>
      <w:r>
        <w:rPr>
          <w:color w:val="231F20"/>
          <w:w w:val="105"/>
        </w:rPr>
        <w:t> and</w:t>
      </w:r>
      <w:r>
        <w:rPr>
          <w:color w:val="231F20"/>
          <w:w w:val="105"/>
        </w:rPr>
        <w:t> seven</w:t>
      </w:r>
      <w:r>
        <w:rPr>
          <w:color w:val="231F20"/>
          <w:w w:val="105"/>
        </w:rPr>
        <w:t> times that of the United Kingdom.</w:t>
      </w:r>
    </w:p>
    <w:p>
      <w:pPr>
        <w:pStyle w:val="BodyText"/>
        <w:spacing w:line="292" w:lineRule="auto"/>
        <w:ind w:left="830" w:right="754" w:firstLine="340"/>
        <w:jc w:val="both"/>
      </w:pPr>
      <w:r>
        <w:rPr>
          <w:i/>
          <w:color w:val="231F20"/>
        </w:rPr>
        <w:t>Supply Side. </w:t>
      </w:r>
      <w:r>
        <w:rPr>
          <w:color w:val="231F20"/>
        </w:rPr>
        <w:t>Interest rates have steadily been falling with </w:t>
      </w:r>
      <w:r>
        <w:rPr>
          <w:color w:val="231F20"/>
        </w:rPr>
        <w:t>the prime lending rate at 8 to 9 percent. Because of the low level of inflation, that is considered high.</w:t>
      </w:r>
    </w:p>
    <w:p>
      <w:pPr>
        <w:pStyle w:val="BodyText"/>
        <w:spacing w:line="292" w:lineRule="auto"/>
        <w:ind w:left="830" w:right="756" w:firstLine="339"/>
        <w:jc w:val="both"/>
      </w:pPr>
      <w:r>
        <w:rPr>
          <w:i/>
          <w:color w:val="231F20"/>
        </w:rPr>
        <w:t>Demand Side. </w:t>
      </w:r>
      <w:r>
        <w:rPr>
          <w:color w:val="231F20"/>
        </w:rPr>
        <w:t>Personal consumption has shown small but </w:t>
      </w:r>
      <w:r>
        <w:rPr>
          <w:color w:val="231F20"/>
        </w:rPr>
        <w:t>steady growth</w:t>
      </w:r>
      <w:r>
        <w:rPr>
          <w:color w:val="231F20"/>
          <w:spacing w:val="18"/>
        </w:rPr>
        <w:t> </w:t>
      </w:r>
      <w:r>
        <w:rPr>
          <w:color w:val="231F20"/>
        </w:rPr>
        <w:t>of</w:t>
      </w:r>
      <w:r>
        <w:rPr>
          <w:color w:val="231F20"/>
          <w:spacing w:val="18"/>
        </w:rPr>
        <w:t> </w:t>
      </w:r>
      <w:r>
        <w:rPr>
          <w:color w:val="231F20"/>
        </w:rPr>
        <w:t>6</w:t>
      </w:r>
      <w:r>
        <w:rPr>
          <w:color w:val="231F20"/>
          <w:spacing w:val="19"/>
        </w:rPr>
        <w:t> </w:t>
      </w:r>
      <w:r>
        <w:rPr>
          <w:color w:val="231F20"/>
        </w:rPr>
        <w:t>percent</w:t>
      </w:r>
      <w:r>
        <w:rPr>
          <w:color w:val="231F20"/>
          <w:spacing w:val="18"/>
        </w:rPr>
        <w:t> </w:t>
      </w:r>
      <w:r>
        <w:rPr>
          <w:color w:val="231F20"/>
        </w:rPr>
        <w:t>in</w:t>
      </w:r>
      <w:r>
        <w:rPr>
          <w:color w:val="231F20"/>
          <w:spacing w:val="19"/>
        </w:rPr>
        <w:t> </w:t>
      </w:r>
      <w:r>
        <w:rPr>
          <w:color w:val="231F20"/>
        </w:rPr>
        <w:t>1990.</w:t>
      </w:r>
      <w:r>
        <w:rPr>
          <w:color w:val="231F20"/>
          <w:spacing w:val="18"/>
        </w:rPr>
        <w:t> </w:t>
      </w:r>
      <w:r>
        <w:rPr>
          <w:color w:val="231F20"/>
        </w:rPr>
        <w:t>The</w:t>
      </w:r>
      <w:r>
        <w:rPr>
          <w:color w:val="231F20"/>
          <w:spacing w:val="18"/>
        </w:rPr>
        <w:t> </w:t>
      </w:r>
      <w:r>
        <w:rPr>
          <w:color w:val="231F20"/>
        </w:rPr>
        <w:t>distribution</w:t>
      </w:r>
      <w:r>
        <w:rPr>
          <w:color w:val="231F20"/>
          <w:spacing w:val="19"/>
        </w:rPr>
        <w:t> </w:t>
      </w:r>
      <w:r>
        <w:rPr>
          <w:color w:val="231F20"/>
        </w:rPr>
        <w:t>of</w:t>
      </w:r>
      <w:r>
        <w:rPr>
          <w:color w:val="231F20"/>
          <w:spacing w:val="18"/>
        </w:rPr>
        <w:t> </w:t>
      </w:r>
      <w:r>
        <w:rPr>
          <w:color w:val="231F20"/>
        </w:rPr>
        <w:t>income</w:t>
      </w:r>
      <w:r>
        <w:rPr>
          <w:color w:val="231F20"/>
          <w:spacing w:val="19"/>
        </w:rPr>
        <w:t> </w:t>
      </w:r>
      <w:r>
        <w:rPr>
          <w:color w:val="231F20"/>
        </w:rPr>
        <w:t>among</w:t>
      </w:r>
      <w:r>
        <w:rPr>
          <w:color w:val="231F20"/>
          <w:spacing w:val="18"/>
        </w:rPr>
        <w:t> </w:t>
      </w:r>
      <w:r>
        <w:rPr>
          <w:color w:val="231F20"/>
          <w:spacing w:val="-5"/>
        </w:rPr>
        <w:t>the</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7"/>
        <w:jc w:val="both"/>
      </w:pPr>
      <w:r>
        <w:rPr>
          <w:color w:val="231F20"/>
        </w:rPr>
        <w:t>population is uneven. Minority populations are participating at a lesser percentage in the labor market than they had in the past.</w:t>
      </w:r>
    </w:p>
    <w:p>
      <w:pPr>
        <w:pStyle w:val="BodyText"/>
        <w:spacing w:line="292" w:lineRule="auto"/>
        <w:ind w:left="920" w:right="666" w:firstLine="339"/>
        <w:jc w:val="both"/>
      </w:pPr>
      <w:r>
        <w:rPr>
          <w:i/>
          <w:color w:val="231F20"/>
        </w:rPr>
        <w:t>Social Side. </w:t>
      </w:r>
      <w:r>
        <w:rPr>
          <w:color w:val="231F20"/>
        </w:rPr>
        <w:t>There has been no major exodus or influx of people. The birth rate is low and population growth is near zero, a sign of </w:t>
      </w:r>
      <w:r>
        <w:rPr>
          <w:color w:val="231F20"/>
        </w:rPr>
        <w:t>a prosperous industrialized nation. Public education is available to all children, but illiteracy is a problem with many students and adults.</w:t>
      </w:r>
    </w:p>
    <w:p>
      <w:pPr>
        <w:pStyle w:val="BodyText"/>
        <w:spacing w:line="292" w:lineRule="auto"/>
        <w:ind w:left="920" w:right="666" w:firstLine="340"/>
        <w:jc w:val="both"/>
      </w:pPr>
      <w:r>
        <w:rPr>
          <w:color w:val="231F20"/>
        </w:rPr>
        <w:t>From that collection of statistics, you conclude that the </w:t>
      </w:r>
      <w:r>
        <w:rPr>
          <w:color w:val="231F20"/>
        </w:rPr>
        <w:t>country’s economy is sluggish. It has some problems, but not anything cata- clysmic. With some history under your belt, the next step is to see where the American leaders want to take the nation.</w:t>
      </w:r>
    </w:p>
    <w:p>
      <w:pPr>
        <w:pStyle w:val="BodyText"/>
        <w:spacing w:before="1"/>
        <w:rPr>
          <w:sz w:val="27"/>
        </w:rPr>
      </w:pPr>
    </w:p>
    <w:p>
      <w:pPr>
        <w:pStyle w:val="ListParagraph"/>
        <w:numPr>
          <w:ilvl w:val="0"/>
          <w:numId w:val="43"/>
        </w:numPr>
        <w:tabs>
          <w:tab w:pos="1485" w:val="left" w:leader="none"/>
        </w:tabs>
        <w:spacing w:line="240" w:lineRule="auto" w:before="0" w:after="0"/>
        <w:ind w:left="1484" w:right="0" w:hanging="225"/>
        <w:jc w:val="left"/>
        <w:rPr>
          <w:i/>
          <w:sz w:val="19"/>
        </w:rPr>
      </w:pPr>
      <w:r>
        <w:rPr>
          <w:i/>
          <w:color w:val="231F20"/>
          <w:w w:val="115"/>
          <w:sz w:val="19"/>
        </w:rPr>
        <w:t>Identify</w:t>
      </w:r>
      <w:r>
        <w:rPr>
          <w:i/>
          <w:color w:val="231F20"/>
          <w:spacing w:val="-1"/>
          <w:w w:val="115"/>
          <w:sz w:val="19"/>
        </w:rPr>
        <w:t> </w:t>
      </w:r>
      <w:r>
        <w:rPr>
          <w:i/>
          <w:color w:val="231F20"/>
          <w:w w:val="115"/>
          <w:sz w:val="19"/>
        </w:rPr>
        <w:t>America’s </w:t>
      </w:r>
      <w:r>
        <w:rPr>
          <w:i/>
          <w:color w:val="231F20"/>
          <w:spacing w:val="-2"/>
          <w:w w:val="115"/>
          <w:sz w:val="19"/>
        </w:rPr>
        <w:t>strategy.</w:t>
      </w:r>
    </w:p>
    <w:p>
      <w:pPr>
        <w:pStyle w:val="BodyText"/>
        <w:spacing w:line="292" w:lineRule="auto" w:before="60"/>
        <w:ind w:left="920" w:right="663" w:firstLine="339"/>
        <w:jc w:val="both"/>
      </w:pPr>
      <w:r>
        <w:rPr>
          <w:i/>
          <w:color w:val="231F20"/>
        </w:rPr>
        <w:t>Goals. </w:t>
      </w:r>
      <w:r>
        <w:rPr>
          <w:color w:val="231F20"/>
        </w:rPr>
        <w:t>The United States is known for its leadership in world af- fairs. After the recession of 1981 and 1982, politicians and </w:t>
      </w:r>
      <w:r>
        <w:rPr>
          <w:color w:val="231F20"/>
        </w:rPr>
        <w:t>business- people focused on making the nation’s industrial base more productive. Factory productivity has increased 3.1 percent a year since 1983 as the result of automation, new management practices, and layoffs. The Washington leadership has not made economic eq- uity a priority. Leaders talk about “trickle down” economics; this theory suggests that if the economy is doing well, everyone will eventually participate.</w:t>
      </w:r>
    </w:p>
    <w:p>
      <w:pPr>
        <w:pStyle w:val="BodyText"/>
        <w:spacing w:before="3"/>
        <w:rPr>
          <w:sz w:val="25"/>
        </w:rPr>
      </w:pPr>
    </w:p>
    <w:p>
      <w:pPr>
        <w:pStyle w:val="BodyText"/>
        <w:spacing w:line="292" w:lineRule="auto" w:before="1"/>
        <w:ind w:left="920" w:right="666"/>
        <w:jc w:val="both"/>
      </w:pPr>
      <w:r>
        <w:rPr>
          <w:i/>
          <w:color w:val="231F20"/>
        </w:rPr>
        <w:t>Policies. </w:t>
      </w:r>
      <w:r>
        <w:rPr>
          <w:color w:val="231F20"/>
        </w:rPr>
        <w:t>The spending policies of the legislature and the executive branch continue to show little fiscal restraint in 1990. The </w:t>
      </w:r>
      <w:r>
        <w:rPr>
          <w:color w:val="231F20"/>
        </w:rPr>
        <w:t>budget deficit remains at a high $220 billion. A steady decade of overspend- ing has added a worrisome $2 trillion of additional debt. In 1990, fourteen cents of every federal dollar went to pay interest on that debt. Monetary policy, controlled by an independent Federal Re- serve, shows great restraint by keeping a lid on the money supply, keeping inflation low but interest rates high. Because the nation con- siders itself a free-trading nation, the federal government does not follow a formal trade policy. Issues are dealt with case by case.</w:t>
      </w:r>
    </w:p>
    <w:p>
      <w:pPr>
        <w:pStyle w:val="BodyText"/>
        <w:spacing w:before="1"/>
        <w:rPr>
          <w:sz w:val="27"/>
        </w:rPr>
      </w:pPr>
    </w:p>
    <w:p>
      <w:pPr>
        <w:pStyle w:val="ListParagraph"/>
        <w:numPr>
          <w:ilvl w:val="0"/>
          <w:numId w:val="43"/>
        </w:numPr>
        <w:tabs>
          <w:tab w:pos="1486" w:val="left" w:leader="none"/>
        </w:tabs>
        <w:spacing w:line="240" w:lineRule="auto" w:before="0" w:after="0"/>
        <w:ind w:left="1486" w:right="0" w:hanging="226"/>
        <w:jc w:val="left"/>
        <w:rPr>
          <w:i/>
          <w:sz w:val="19"/>
        </w:rPr>
      </w:pPr>
      <w:r>
        <w:rPr>
          <w:i/>
          <w:color w:val="231F20"/>
          <w:w w:val="115"/>
          <w:sz w:val="19"/>
        </w:rPr>
        <w:t>Analyze</w:t>
      </w:r>
      <w:r>
        <w:rPr>
          <w:i/>
          <w:color w:val="231F20"/>
          <w:spacing w:val="-1"/>
          <w:w w:val="115"/>
          <w:sz w:val="19"/>
        </w:rPr>
        <w:t> </w:t>
      </w:r>
      <w:r>
        <w:rPr>
          <w:i/>
          <w:color w:val="231F20"/>
          <w:w w:val="115"/>
          <w:sz w:val="19"/>
        </w:rPr>
        <w:t>the context</w:t>
      </w:r>
      <w:r>
        <w:rPr>
          <w:i/>
          <w:color w:val="231F20"/>
          <w:spacing w:val="-1"/>
          <w:w w:val="115"/>
          <w:sz w:val="19"/>
        </w:rPr>
        <w:t> </w:t>
      </w:r>
      <w:r>
        <w:rPr>
          <w:i/>
          <w:color w:val="231F20"/>
          <w:w w:val="115"/>
          <w:sz w:val="19"/>
        </w:rPr>
        <w:t>of the</w:t>
      </w:r>
      <w:r>
        <w:rPr>
          <w:i/>
          <w:color w:val="231F20"/>
          <w:spacing w:val="-1"/>
          <w:w w:val="115"/>
          <w:sz w:val="19"/>
        </w:rPr>
        <w:t> </w:t>
      </w:r>
      <w:r>
        <w:rPr>
          <w:i/>
          <w:color w:val="231F20"/>
          <w:w w:val="115"/>
          <w:sz w:val="19"/>
        </w:rPr>
        <w:t>United </w:t>
      </w:r>
      <w:r>
        <w:rPr>
          <w:i/>
          <w:color w:val="231F20"/>
          <w:spacing w:val="-2"/>
          <w:w w:val="115"/>
          <w:sz w:val="19"/>
        </w:rPr>
        <w:t>States.</w:t>
      </w:r>
    </w:p>
    <w:p>
      <w:pPr>
        <w:pStyle w:val="BodyText"/>
        <w:spacing w:before="60"/>
        <w:ind w:left="1260"/>
      </w:pPr>
      <w:r>
        <w:rPr>
          <w:i/>
          <w:color w:val="231F20"/>
        </w:rPr>
        <w:t>Physical.</w:t>
      </w:r>
      <w:r>
        <w:rPr>
          <w:i/>
          <w:color w:val="231F20"/>
          <w:spacing w:val="35"/>
        </w:rPr>
        <w:t> </w:t>
      </w:r>
      <w:r>
        <w:rPr>
          <w:color w:val="231F20"/>
        </w:rPr>
        <w:t>The</w:t>
      </w:r>
      <w:r>
        <w:rPr>
          <w:color w:val="231F20"/>
          <w:spacing w:val="36"/>
        </w:rPr>
        <w:t> </w:t>
      </w:r>
      <w:r>
        <w:rPr>
          <w:color w:val="231F20"/>
        </w:rPr>
        <w:t>United</w:t>
      </w:r>
      <w:r>
        <w:rPr>
          <w:color w:val="231F20"/>
          <w:spacing w:val="35"/>
        </w:rPr>
        <w:t> </w:t>
      </w:r>
      <w:r>
        <w:rPr>
          <w:color w:val="231F20"/>
        </w:rPr>
        <w:t>States</w:t>
      </w:r>
      <w:r>
        <w:rPr>
          <w:color w:val="231F20"/>
          <w:spacing w:val="36"/>
        </w:rPr>
        <w:t> </w:t>
      </w:r>
      <w:r>
        <w:rPr>
          <w:color w:val="231F20"/>
        </w:rPr>
        <w:t>is</w:t>
      </w:r>
      <w:r>
        <w:rPr>
          <w:color w:val="231F20"/>
          <w:spacing w:val="36"/>
        </w:rPr>
        <w:t> </w:t>
      </w:r>
      <w:r>
        <w:rPr>
          <w:color w:val="231F20"/>
        </w:rPr>
        <w:t>one</w:t>
      </w:r>
      <w:r>
        <w:rPr>
          <w:color w:val="231F20"/>
          <w:spacing w:val="35"/>
        </w:rPr>
        <w:t> </w:t>
      </w:r>
      <w:r>
        <w:rPr>
          <w:color w:val="231F20"/>
        </w:rPr>
        <w:t>of</w:t>
      </w:r>
      <w:r>
        <w:rPr>
          <w:color w:val="231F20"/>
          <w:spacing w:val="36"/>
        </w:rPr>
        <w:t> </w:t>
      </w:r>
      <w:r>
        <w:rPr>
          <w:color w:val="231F20"/>
        </w:rPr>
        <w:t>the</w:t>
      </w:r>
      <w:r>
        <w:rPr>
          <w:color w:val="231F20"/>
          <w:spacing w:val="35"/>
        </w:rPr>
        <w:t> </w:t>
      </w:r>
      <w:r>
        <w:rPr>
          <w:color w:val="231F20"/>
        </w:rPr>
        <w:t>largest</w:t>
      </w:r>
      <w:r>
        <w:rPr>
          <w:color w:val="231F20"/>
          <w:spacing w:val="36"/>
        </w:rPr>
        <w:t> </w:t>
      </w:r>
      <w:r>
        <w:rPr>
          <w:color w:val="231F20"/>
        </w:rPr>
        <w:t>nations</w:t>
      </w:r>
      <w:r>
        <w:rPr>
          <w:color w:val="231F20"/>
          <w:spacing w:val="36"/>
        </w:rPr>
        <w:t> </w:t>
      </w:r>
      <w:r>
        <w:rPr>
          <w:color w:val="231F20"/>
        </w:rPr>
        <w:t>in</w:t>
      </w:r>
      <w:r>
        <w:rPr>
          <w:color w:val="231F20"/>
          <w:spacing w:val="35"/>
        </w:rPr>
        <w:t> </w:t>
      </w:r>
      <w:r>
        <w:rPr>
          <w:color w:val="231F20"/>
          <w:spacing w:val="-5"/>
        </w:rPr>
        <w:t>the</w:t>
      </w:r>
    </w:p>
    <w:p>
      <w:pPr>
        <w:spacing w:after="0"/>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world. It is rich in natural resources, but it needs to import oil and other metals.</w:t>
      </w:r>
    </w:p>
    <w:p>
      <w:pPr>
        <w:pStyle w:val="BodyText"/>
        <w:spacing w:before="6"/>
        <w:rPr>
          <w:sz w:val="25"/>
        </w:rPr>
      </w:pPr>
    </w:p>
    <w:p>
      <w:pPr>
        <w:pStyle w:val="BodyText"/>
        <w:spacing w:line="292" w:lineRule="auto"/>
        <w:ind w:left="830" w:right="754"/>
        <w:jc w:val="both"/>
      </w:pPr>
      <w:r>
        <w:rPr>
          <w:i/>
          <w:color w:val="231F20"/>
        </w:rPr>
        <w:t>Political. </w:t>
      </w:r>
      <w:r>
        <w:rPr>
          <w:color w:val="231F20"/>
        </w:rPr>
        <w:t>The U.S. government is considered the world’s most stable constitutional democracy. It is a federal republic with power shared between the central government and the fifty state governments. Corruption does exist, but a vigilant press keeps it to a minimum.</w:t>
      </w:r>
    </w:p>
    <w:p>
      <w:pPr>
        <w:pStyle w:val="BodyText"/>
        <w:spacing w:before="5"/>
        <w:rPr>
          <w:sz w:val="25"/>
        </w:rPr>
      </w:pPr>
    </w:p>
    <w:p>
      <w:pPr>
        <w:pStyle w:val="BodyText"/>
        <w:spacing w:line="292" w:lineRule="auto"/>
        <w:ind w:left="830" w:right="756"/>
        <w:jc w:val="both"/>
      </w:pPr>
      <w:r>
        <w:rPr>
          <w:i/>
          <w:color w:val="231F20"/>
        </w:rPr>
        <w:t>Institutions. </w:t>
      </w:r>
      <w:r>
        <w:rPr>
          <w:color w:val="231F20"/>
        </w:rPr>
        <w:t>The United States is an advanced industrialized </w:t>
      </w:r>
      <w:r>
        <w:rPr>
          <w:color w:val="231F20"/>
        </w:rPr>
        <w:t>nation. The infrastructure of governmental agencies, business, labor, reli- gion, and agriculture exists and operates like most developed bu- </w:t>
      </w:r>
      <w:r>
        <w:rPr>
          <w:color w:val="231F20"/>
          <w:spacing w:val="-2"/>
        </w:rPr>
        <w:t>reaucracies.</w:t>
      </w:r>
    </w:p>
    <w:p>
      <w:pPr>
        <w:pStyle w:val="BodyText"/>
        <w:spacing w:before="6"/>
        <w:rPr>
          <w:sz w:val="25"/>
        </w:rPr>
      </w:pPr>
    </w:p>
    <w:p>
      <w:pPr>
        <w:pStyle w:val="BodyText"/>
        <w:spacing w:line="292" w:lineRule="auto"/>
        <w:ind w:left="830" w:right="753"/>
        <w:jc w:val="both"/>
      </w:pPr>
      <w:r>
        <w:rPr>
          <w:i/>
          <w:color w:val="231F20"/>
        </w:rPr>
        <w:t>Ideological. </w:t>
      </w:r>
      <w:r>
        <w:rPr>
          <w:color w:val="231F20"/>
        </w:rPr>
        <w:t>The United States views the government as a servant </w:t>
      </w:r>
      <w:r>
        <w:rPr>
          <w:color w:val="231F20"/>
        </w:rPr>
        <w:t>of the</w:t>
      </w:r>
      <w:r>
        <w:rPr>
          <w:color w:val="231F20"/>
          <w:spacing w:val="40"/>
        </w:rPr>
        <w:t> </w:t>
      </w:r>
      <w:r>
        <w:rPr>
          <w:color w:val="231F20"/>
        </w:rPr>
        <w:t>people.</w:t>
      </w:r>
      <w:r>
        <w:rPr>
          <w:color w:val="231F20"/>
          <w:spacing w:val="40"/>
        </w:rPr>
        <w:t> </w:t>
      </w:r>
      <w:r>
        <w:rPr>
          <w:color w:val="231F20"/>
        </w:rPr>
        <w:t>Its</w:t>
      </w:r>
      <w:r>
        <w:rPr>
          <w:color w:val="231F20"/>
          <w:spacing w:val="40"/>
        </w:rPr>
        <w:t> </w:t>
      </w:r>
      <w:r>
        <w:rPr>
          <w:color w:val="231F20"/>
        </w:rPr>
        <w:t>constitution</w:t>
      </w:r>
      <w:r>
        <w:rPr>
          <w:color w:val="231F20"/>
          <w:spacing w:val="40"/>
        </w:rPr>
        <w:t> </w:t>
      </w:r>
      <w:r>
        <w:rPr>
          <w:color w:val="231F20"/>
        </w:rPr>
        <w:t>gives</w:t>
      </w:r>
      <w:r>
        <w:rPr>
          <w:color w:val="231F20"/>
          <w:spacing w:val="40"/>
        </w:rPr>
        <w:t> </w:t>
      </w:r>
      <w:r>
        <w:rPr>
          <w:color w:val="231F20"/>
        </w:rPr>
        <w:t>individuals</w:t>
      </w:r>
      <w:r>
        <w:rPr>
          <w:color w:val="231F20"/>
          <w:spacing w:val="40"/>
        </w:rPr>
        <w:t> </w:t>
      </w:r>
      <w:r>
        <w:rPr>
          <w:color w:val="231F20"/>
        </w:rPr>
        <w:t>an</w:t>
      </w:r>
      <w:r>
        <w:rPr>
          <w:color w:val="231F20"/>
          <w:spacing w:val="40"/>
        </w:rPr>
        <w:t> </w:t>
      </w:r>
      <w:r>
        <w:rPr>
          <w:color w:val="231F20"/>
        </w:rPr>
        <w:t>explicit</w:t>
      </w:r>
      <w:r>
        <w:rPr>
          <w:color w:val="231F20"/>
          <w:spacing w:val="40"/>
        </w:rPr>
        <w:t> </w:t>
      </w:r>
      <w:r>
        <w:rPr>
          <w:color w:val="231F20"/>
        </w:rPr>
        <w:t>Bill</w:t>
      </w:r>
      <w:r>
        <w:rPr>
          <w:color w:val="231F20"/>
          <w:spacing w:val="40"/>
        </w:rPr>
        <w:t> </w:t>
      </w:r>
      <w:r>
        <w:rPr>
          <w:color w:val="231F20"/>
        </w:rPr>
        <w:t>of Rights, which the government cannot abridge. The culture of the United States is a reflection of its immigrant past and its capitalist economics. It is diverse. A common thread of deep respect for mate- rial wealth pervades this society.</w:t>
      </w:r>
    </w:p>
    <w:p>
      <w:pPr>
        <w:pStyle w:val="BodyText"/>
        <w:spacing w:before="4"/>
        <w:rPr>
          <w:sz w:val="25"/>
        </w:rPr>
      </w:pPr>
    </w:p>
    <w:p>
      <w:pPr>
        <w:pStyle w:val="BodyText"/>
        <w:spacing w:line="292" w:lineRule="auto" w:before="1"/>
        <w:ind w:left="830" w:right="756"/>
        <w:jc w:val="both"/>
      </w:pPr>
      <w:r>
        <w:rPr>
          <w:i/>
          <w:color w:val="231F20"/>
        </w:rPr>
        <w:t>International. </w:t>
      </w:r>
      <w:r>
        <w:rPr>
          <w:color w:val="231F20"/>
        </w:rPr>
        <w:t>Being the largest consumer market in the world, </w:t>
      </w:r>
      <w:r>
        <w:rPr>
          <w:color w:val="231F20"/>
        </w:rPr>
        <w:t>the United States plays a dominant role in world trade. With a stable dollar and low inflation it continues to be a strong economy.</w:t>
      </w:r>
    </w:p>
    <w:p>
      <w:pPr>
        <w:pStyle w:val="BodyText"/>
        <w:spacing w:before="3"/>
        <w:rPr>
          <w:sz w:val="27"/>
        </w:rPr>
      </w:pPr>
    </w:p>
    <w:p>
      <w:pPr>
        <w:pStyle w:val="ListParagraph"/>
        <w:numPr>
          <w:ilvl w:val="0"/>
          <w:numId w:val="43"/>
        </w:numPr>
        <w:tabs>
          <w:tab w:pos="1405" w:val="left" w:leader="none"/>
        </w:tabs>
        <w:spacing w:line="240" w:lineRule="auto" w:before="0" w:after="0"/>
        <w:ind w:left="1404" w:right="0" w:hanging="235"/>
        <w:jc w:val="left"/>
        <w:rPr>
          <w:i/>
          <w:sz w:val="19"/>
        </w:rPr>
      </w:pPr>
      <w:r>
        <w:rPr>
          <w:i/>
          <w:color w:val="231F20"/>
          <w:w w:val="110"/>
          <w:sz w:val="19"/>
        </w:rPr>
        <w:t>Make</w:t>
      </w:r>
      <w:r>
        <w:rPr>
          <w:i/>
          <w:color w:val="231F20"/>
          <w:spacing w:val="17"/>
          <w:w w:val="110"/>
          <w:sz w:val="19"/>
        </w:rPr>
        <w:t> </w:t>
      </w:r>
      <w:r>
        <w:rPr>
          <w:i/>
          <w:color w:val="231F20"/>
          <w:w w:val="110"/>
          <w:sz w:val="19"/>
        </w:rPr>
        <w:t>a</w:t>
      </w:r>
      <w:r>
        <w:rPr>
          <w:i/>
          <w:color w:val="231F20"/>
          <w:spacing w:val="18"/>
          <w:w w:val="110"/>
          <w:sz w:val="19"/>
        </w:rPr>
        <w:t> </w:t>
      </w:r>
      <w:r>
        <w:rPr>
          <w:i/>
          <w:color w:val="231F20"/>
          <w:w w:val="110"/>
          <w:sz w:val="19"/>
        </w:rPr>
        <w:t>prediction</w:t>
      </w:r>
      <w:r>
        <w:rPr>
          <w:i/>
          <w:color w:val="231F20"/>
          <w:spacing w:val="18"/>
          <w:w w:val="110"/>
          <w:sz w:val="19"/>
        </w:rPr>
        <w:t> </w:t>
      </w:r>
      <w:r>
        <w:rPr>
          <w:i/>
          <w:color w:val="231F20"/>
          <w:w w:val="110"/>
          <w:sz w:val="19"/>
        </w:rPr>
        <w:t>and</w:t>
      </w:r>
      <w:r>
        <w:rPr>
          <w:i/>
          <w:color w:val="231F20"/>
          <w:spacing w:val="18"/>
          <w:w w:val="110"/>
          <w:sz w:val="19"/>
        </w:rPr>
        <w:t> </w:t>
      </w:r>
      <w:r>
        <w:rPr>
          <w:i/>
          <w:color w:val="231F20"/>
          <w:w w:val="110"/>
          <w:sz w:val="19"/>
        </w:rPr>
        <w:t>an</w:t>
      </w:r>
      <w:r>
        <w:rPr>
          <w:i/>
          <w:color w:val="231F20"/>
          <w:spacing w:val="18"/>
          <w:w w:val="110"/>
          <w:sz w:val="19"/>
        </w:rPr>
        <w:t> </w:t>
      </w:r>
      <w:r>
        <w:rPr>
          <w:i/>
          <w:color w:val="231F20"/>
          <w:w w:val="110"/>
          <w:sz w:val="19"/>
        </w:rPr>
        <w:t>investment</w:t>
      </w:r>
      <w:r>
        <w:rPr>
          <w:i/>
          <w:color w:val="231F20"/>
          <w:spacing w:val="18"/>
          <w:w w:val="110"/>
          <w:sz w:val="19"/>
        </w:rPr>
        <w:t> </w:t>
      </w:r>
      <w:r>
        <w:rPr>
          <w:i/>
          <w:color w:val="231F20"/>
          <w:spacing w:val="-2"/>
          <w:w w:val="110"/>
          <w:sz w:val="19"/>
        </w:rPr>
        <w:t>decision.</w:t>
      </w:r>
    </w:p>
    <w:p>
      <w:pPr>
        <w:pStyle w:val="BodyText"/>
        <w:spacing w:line="292" w:lineRule="auto" w:before="60"/>
        <w:ind w:left="830" w:right="756" w:firstLine="340"/>
        <w:jc w:val="both"/>
      </w:pPr>
      <w:r>
        <w:rPr>
          <w:color w:val="231F20"/>
        </w:rPr>
        <w:t>As Franz Danninger, your analysis and prediction might be </w:t>
      </w:r>
      <w:r>
        <w:rPr>
          <w:color w:val="231F20"/>
        </w:rPr>
        <w:t>as follows: Like Switzerland, the United States is a stable industrialized country that is experiencing a sluggish patch of growth in its busi- ness cycle. I, Franz Danninger, suggest that we at the Bank of Zurich maintain our exposure to the U.S. economy. Investments should be maintained in the U.S. stock and bond markets. I do not see any bet- ter safe haven for our clients’ funds. I do believe, however, that in 1990 the United States will enter into a recession for a period of two years</w:t>
      </w:r>
      <w:r>
        <w:rPr>
          <w:color w:val="231F20"/>
          <w:spacing w:val="5"/>
        </w:rPr>
        <w:t> </w:t>
      </w:r>
      <w:r>
        <w:rPr>
          <w:color w:val="231F20"/>
        </w:rPr>
        <w:t>and</w:t>
      </w:r>
      <w:r>
        <w:rPr>
          <w:color w:val="231F20"/>
          <w:spacing w:val="6"/>
        </w:rPr>
        <w:t> </w:t>
      </w:r>
      <w:r>
        <w:rPr>
          <w:color w:val="231F20"/>
        </w:rPr>
        <w:t>will</w:t>
      </w:r>
      <w:r>
        <w:rPr>
          <w:color w:val="231F20"/>
          <w:spacing w:val="5"/>
        </w:rPr>
        <w:t> </w:t>
      </w:r>
      <w:r>
        <w:rPr>
          <w:color w:val="231F20"/>
        </w:rPr>
        <w:t>experience</w:t>
      </w:r>
      <w:r>
        <w:rPr>
          <w:color w:val="231F20"/>
          <w:spacing w:val="6"/>
        </w:rPr>
        <w:t> </w:t>
      </w:r>
      <w:r>
        <w:rPr>
          <w:color w:val="231F20"/>
        </w:rPr>
        <w:t>a</w:t>
      </w:r>
      <w:r>
        <w:rPr>
          <w:color w:val="231F20"/>
          <w:spacing w:val="5"/>
        </w:rPr>
        <w:t> </w:t>
      </w:r>
      <w:r>
        <w:rPr>
          <w:color w:val="231F20"/>
        </w:rPr>
        <w:t>slow</w:t>
      </w:r>
      <w:r>
        <w:rPr>
          <w:color w:val="231F20"/>
          <w:spacing w:val="6"/>
        </w:rPr>
        <w:t> </w:t>
      </w:r>
      <w:r>
        <w:rPr>
          <w:color w:val="231F20"/>
        </w:rPr>
        <w:t>recovery</w:t>
      </w:r>
      <w:r>
        <w:rPr>
          <w:color w:val="231F20"/>
          <w:spacing w:val="5"/>
        </w:rPr>
        <w:t> </w:t>
      </w:r>
      <w:r>
        <w:rPr>
          <w:color w:val="231F20"/>
        </w:rPr>
        <w:t>and</w:t>
      </w:r>
      <w:r>
        <w:rPr>
          <w:color w:val="231F20"/>
          <w:spacing w:val="6"/>
        </w:rPr>
        <w:t> </w:t>
      </w:r>
      <w:r>
        <w:rPr>
          <w:color w:val="231F20"/>
        </w:rPr>
        <w:t>prolonged</w:t>
      </w:r>
      <w:r>
        <w:rPr>
          <w:color w:val="231F20"/>
          <w:spacing w:val="5"/>
        </w:rPr>
        <w:t> </w:t>
      </w:r>
      <w:r>
        <w:rPr>
          <w:color w:val="231F20"/>
          <w:spacing w:val="-2"/>
        </w:rPr>
        <w:t>expansion.</w:t>
      </w:r>
    </w:p>
    <w:p>
      <w:pPr>
        <w:pStyle w:val="BodyText"/>
        <w:spacing w:line="243" w:lineRule="exact"/>
        <w:ind w:left="1170"/>
        <w:jc w:val="both"/>
      </w:pPr>
      <w:r>
        <w:rPr>
          <w:color w:val="231F20"/>
        </w:rPr>
        <w:t>Isn’t</w:t>
      </w:r>
      <w:r>
        <w:rPr>
          <w:color w:val="231F20"/>
          <w:spacing w:val="13"/>
        </w:rPr>
        <w:t> </w:t>
      </w:r>
      <w:r>
        <w:rPr>
          <w:color w:val="231F20"/>
        </w:rPr>
        <w:t>that</w:t>
      </w:r>
      <w:r>
        <w:rPr>
          <w:color w:val="231F20"/>
          <w:spacing w:val="14"/>
        </w:rPr>
        <w:t> </w:t>
      </w:r>
      <w:r>
        <w:rPr>
          <w:color w:val="231F20"/>
        </w:rPr>
        <w:t>MBA</w:t>
      </w:r>
      <w:r>
        <w:rPr>
          <w:color w:val="231F20"/>
          <w:spacing w:val="14"/>
        </w:rPr>
        <w:t> </w:t>
      </w:r>
      <w:r>
        <w:rPr>
          <w:color w:val="231F20"/>
        </w:rPr>
        <w:t>prediction</w:t>
      </w:r>
      <w:r>
        <w:rPr>
          <w:color w:val="231F20"/>
          <w:spacing w:val="13"/>
        </w:rPr>
        <w:t> </w:t>
      </w:r>
      <w:r>
        <w:rPr>
          <w:color w:val="231F20"/>
        </w:rPr>
        <w:t>impressive</w:t>
      </w:r>
      <w:r>
        <w:rPr>
          <w:color w:val="231F20"/>
          <w:spacing w:val="14"/>
        </w:rPr>
        <w:t> </w:t>
      </w:r>
      <w:r>
        <w:rPr>
          <w:color w:val="231F20"/>
        </w:rPr>
        <w:t>with</w:t>
      </w:r>
      <w:r>
        <w:rPr>
          <w:color w:val="231F20"/>
          <w:spacing w:val="14"/>
        </w:rPr>
        <w:t> </w:t>
      </w:r>
      <w:r>
        <w:rPr>
          <w:color w:val="231F20"/>
          <w:spacing w:val="-2"/>
        </w:rPr>
        <w:t>hindsight?</w:t>
      </w:r>
    </w:p>
    <w:p>
      <w:pPr>
        <w:pStyle w:val="BodyText"/>
        <w:spacing w:before="54"/>
        <w:ind w:left="1170"/>
        <w:jc w:val="both"/>
      </w:pPr>
      <w:r>
        <w:rPr>
          <w:color w:val="231F20"/>
        </w:rPr>
        <w:t>If</w:t>
      </w:r>
      <w:r>
        <w:rPr>
          <w:color w:val="231F20"/>
          <w:spacing w:val="48"/>
        </w:rPr>
        <w:t> </w:t>
      </w:r>
      <w:r>
        <w:rPr>
          <w:color w:val="231F20"/>
        </w:rPr>
        <w:t>Franz</w:t>
      </w:r>
      <w:r>
        <w:rPr>
          <w:color w:val="231F20"/>
          <w:spacing w:val="48"/>
        </w:rPr>
        <w:t> </w:t>
      </w:r>
      <w:r>
        <w:rPr>
          <w:color w:val="231F20"/>
        </w:rPr>
        <w:t>were</w:t>
      </w:r>
      <w:r>
        <w:rPr>
          <w:color w:val="231F20"/>
          <w:spacing w:val="48"/>
        </w:rPr>
        <w:t> </w:t>
      </w:r>
      <w:r>
        <w:rPr>
          <w:color w:val="231F20"/>
        </w:rPr>
        <w:t>to</w:t>
      </w:r>
      <w:r>
        <w:rPr>
          <w:color w:val="231F20"/>
          <w:spacing w:val="49"/>
        </w:rPr>
        <w:t> </w:t>
      </w:r>
      <w:r>
        <w:rPr>
          <w:color w:val="231F20"/>
        </w:rPr>
        <w:t>make</w:t>
      </w:r>
      <w:r>
        <w:rPr>
          <w:color w:val="231F20"/>
          <w:spacing w:val="48"/>
        </w:rPr>
        <w:t> </w:t>
      </w:r>
      <w:r>
        <w:rPr>
          <w:color w:val="231F20"/>
        </w:rPr>
        <w:t>several</w:t>
      </w:r>
      <w:r>
        <w:rPr>
          <w:color w:val="231F20"/>
          <w:spacing w:val="48"/>
        </w:rPr>
        <w:t> </w:t>
      </w:r>
      <w:r>
        <w:rPr>
          <w:color w:val="231F20"/>
        </w:rPr>
        <w:t>forecasts</w:t>
      </w:r>
      <w:r>
        <w:rPr>
          <w:color w:val="231F20"/>
          <w:spacing w:val="48"/>
        </w:rPr>
        <w:t> </w:t>
      </w:r>
      <w:r>
        <w:rPr>
          <w:color w:val="231F20"/>
        </w:rPr>
        <w:t>of</w:t>
      </w:r>
      <w:r>
        <w:rPr>
          <w:color w:val="231F20"/>
          <w:spacing w:val="49"/>
        </w:rPr>
        <w:t> </w:t>
      </w:r>
      <w:r>
        <w:rPr>
          <w:color w:val="231F20"/>
        </w:rPr>
        <w:t>the</w:t>
      </w:r>
      <w:r>
        <w:rPr>
          <w:color w:val="231F20"/>
          <w:spacing w:val="48"/>
        </w:rPr>
        <w:t> </w:t>
      </w:r>
      <w:r>
        <w:rPr>
          <w:color w:val="231F20"/>
        </w:rPr>
        <w:t>future,</w:t>
      </w:r>
      <w:r>
        <w:rPr>
          <w:color w:val="231F20"/>
          <w:spacing w:val="48"/>
        </w:rPr>
        <w:t> </w:t>
      </w:r>
      <w:r>
        <w:rPr>
          <w:color w:val="231F20"/>
          <w:spacing w:val="-4"/>
        </w:rPr>
        <w:t>MBAs</w:t>
      </w:r>
    </w:p>
    <w:p>
      <w:pPr>
        <w:spacing w:after="0"/>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5" w:hanging="1"/>
        <w:jc w:val="both"/>
      </w:pPr>
      <w:r>
        <w:rPr>
          <w:color w:val="231F20"/>
        </w:rPr>
        <w:t>would call that </w:t>
      </w:r>
      <w:r>
        <w:rPr>
          <w:i/>
          <w:color w:val="231F20"/>
        </w:rPr>
        <w:t>scenario analysis. </w:t>
      </w:r>
      <w:r>
        <w:rPr>
          <w:color w:val="231F20"/>
        </w:rPr>
        <w:t>The same facts supporting a </w:t>
      </w:r>
      <w:r>
        <w:rPr>
          <w:color w:val="231F20"/>
        </w:rPr>
        <w:t>reces- sionary prediction could also support a scenario of an economic boom or bust in the United States. An astute manager should make contingency</w:t>
      </w:r>
      <w:r>
        <w:rPr>
          <w:color w:val="231F20"/>
          <w:spacing w:val="-1"/>
        </w:rPr>
        <w:t> </w:t>
      </w:r>
      <w:r>
        <w:rPr>
          <w:color w:val="231F20"/>
        </w:rPr>
        <w:t>plans</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event</w:t>
      </w:r>
      <w:r>
        <w:rPr>
          <w:color w:val="231F20"/>
          <w:spacing w:val="-1"/>
        </w:rPr>
        <w:t> </w:t>
      </w:r>
      <w:r>
        <w:rPr>
          <w:color w:val="231F20"/>
        </w:rPr>
        <w:t>that</w:t>
      </w:r>
      <w:r>
        <w:rPr>
          <w:color w:val="231F20"/>
          <w:spacing w:val="-1"/>
        </w:rPr>
        <w:t> </w:t>
      </w:r>
      <w:r>
        <w:rPr>
          <w:color w:val="231F20"/>
        </w:rPr>
        <w:t>one</w:t>
      </w:r>
      <w:r>
        <w:rPr>
          <w:color w:val="231F20"/>
          <w:spacing w:val="-1"/>
        </w:rPr>
        <w:t> </w:t>
      </w:r>
      <w:r>
        <w:rPr>
          <w:color w:val="231F20"/>
        </w:rPr>
        <w:t>of</w:t>
      </w:r>
      <w:r>
        <w:rPr>
          <w:color w:val="231F20"/>
          <w:spacing w:val="-1"/>
        </w:rPr>
        <w:t> </w:t>
      </w:r>
      <w:r>
        <w:rPr>
          <w:color w:val="231F20"/>
        </w:rPr>
        <w:t>these</w:t>
      </w:r>
      <w:r>
        <w:rPr>
          <w:color w:val="231F20"/>
          <w:spacing w:val="-1"/>
        </w:rPr>
        <w:t> </w:t>
      </w:r>
      <w:r>
        <w:rPr>
          <w:color w:val="231F20"/>
        </w:rPr>
        <w:t>alternative</w:t>
      </w:r>
      <w:r>
        <w:rPr>
          <w:color w:val="231F20"/>
          <w:spacing w:val="-1"/>
        </w:rPr>
        <w:t> </w:t>
      </w:r>
      <w:r>
        <w:rPr>
          <w:color w:val="231F20"/>
        </w:rPr>
        <w:t>scenarios begins to develop.</w:t>
      </w:r>
    </w:p>
    <w:p>
      <w:pPr>
        <w:pStyle w:val="BodyText"/>
        <w:spacing w:line="292" w:lineRule="auto"/>
        <w:ind w:left="920" w:right="666" w:firstLine="340"/>
        <w:jc w:val="both"/>
      </w:pPr>
      <w:r>
        <w:rPr>
          <w:color w:val="231F20"/>
        </w:rPr>
        <w:t>Country analysis is a multipurpose tool that provides a way to sort out all the reams of economic data that are available on a </w:t>
      </w:r>
      <w:r>
        <w:rPr>
          <w:color w:val="231F20"/>
        </w:rPr>
        <w:t>na- tion. As a new MBA you now have the framework that global strate- gists use in the boardrooms of multinational corporations and that economic analysis departments of the world’s most prestigious in- vestment firms employ.</w:t>
      </w:r>
    </w:p>
    <w:p>
      <w:pPr>
        <w:pStyle w:val="BodyText"/>
        <w:rPr>
          <w:sz w:val="24"/>
        </w:rPr>
      </w:pPr>
    </w:p>
    <w:p>
      <w:pPr>
        <w:pStyle w:val="BodyText"/>
        <w:spacing w:before="7"/>
        <w:rPr>
          <w:sz w:val="24"/>
        </w:rPr>
      </w:pPr>
    </w:p>
    <w:p>
      <w:pPr>
        <w:pStyle w:val="Heading4"/>
        <w:ind w:left="481"/>
      </w:pPr>
      <w:r>
        <w:rPr>
          <w:color w:val="231F20"/>
          <w:spacing w:val="9"/>
          <w:w w:val="85"/>
        </w:rPr>
        <w:t>ECONOMICS</w:t>
      </w:r>
      <w:r>
        <w:rPr>
          <w:color w:val="231F20"/>
          <w:spacing w:val="27"/>
        </w:rPr>
        <w:t> </w:t>
      </w:r>
      <w:r>
        <w:rPr>
          <w:color w:val="231F20"/>
          <w:w w:val="85"/>
        </w:rPr>
        <w:t>IN</w:t>
      </w:r>
      <w:r>
        <w:rPr>
          <w:color w:val="231F20"/>
          <w:spacing w:val="28"/>
        </w:rPr>
        <w:t> </w:t>
      </w:r>
      <w:r>
        <w:rPr>
          <w:color w:val="231F20"/>
          <w:spacing w:val="9"/>
          <w:w w:val="85"/>
        </w:rPr>
        <w:t>REVIEW</w:t>
      </w:r>
    </w:p>
    <w:p>
      <w:pPr>
        <w:pStyle w:val="BodyText"/>
        <w:spacing w:before="10"/>
        <w:rPr>
          <w:rFonts w:ascii="Trebuchet MS"/>
          <w:sz w:val="29"/>
        </w:rPr>
      </w:pPr>
    </w:p>
    <w:p>
      <w:pPr>
        <w:pStyle w:val="BodyText"/>
        <w:spacing w:line="292" w:lineRule="auto"/>
        <w:ind w:left="920" w:right="666"/>
        <w:jc w:val="both"/>
      </w:pPr>
      <w:r>
        <w:rPr>
          <w:color w:val="231F20"/>
        </w:rPr>
        <w:t>As</w:t>
      </w:r>
      <w:r>
        <w:rPr>
          <w:color w:val="231F20"/>
          <w:spacing w:val="40"/>
        </w:rPr>
        <w:t> </w:t>
      </w:r>
      <w:r>
        <w:rPr>
          <w:color w:val="231F20"/>
        </w:rPr>
        <w:t>this</w:t>
      </w:r>
      <w:r>
        <w:rPr>
          <w:color w:val="231F20"/>
          <w:spacing w:val="40"/>
        </w:rPr>
        <w:t> </w:t>
      </w:r>
      <w:r>
        <w:rPr>
          <w:color w:val="231F20"/>
        </w:rPr>
        <w:t>chapter</w:t>
      </w:r>
      <w:r>
        <w:rPr>
          <w:color w:val="231F20"/>
          <w:spacing w:val="40"/>
        </w:rPr>
        <w:t> </w:t>
      </w:r>
      <w:r>
        <w:rPr>
          <w:color w:val="231F20"/>
        </w:rPr>
        <w:t>has</w:t>
      </w:r>
      <w:r>
        <w:rPr>
          <w:color w:val="231F20"/>
          <w:spacing w:val="40"/>
        </w:rPr>
        <w:t> </w:t>
      </w:r>
      <w:r>
        <w:rPr>
          <w:color w:val="231F20"/>
        </w:rPr>
        <w:t>shown,</w:t>
      </w:r>
      <w:r>
        <w:rPr>
          <w:color w:val="231F20"/>
          <w:spacing w:val="40"/>
        </w:rPr>
        <w:t> </w:t>
      </w:r>
      <w:r>
        <w:rPr>
          <w:color w:val="231F20"/>
        </w:rPr>
        <w:t>microeconomics</w:t>
      </w:r>
      <w:r>
        <w:rPr>
          <w:color w:val="231F20"/>
          <w:spacing w:val="40"/>
        </w:rPr>
        <w:t> </w:t>
      </w:r>
      <w:r>
        <w:rPr>
          <w:color w:val="231F20"/>
        </w:rPr>
        <w:t>and</w:t>
      </w:r>
      <w:r>
        <w:rPr>
          <w:color w:val="231F20"/>
          <w:spacing w:val="40"/>
        </w:rPr>
        <w:t> </w:t>
      </w:r>
      <w:r>
        <w:rPr>
          <w:color w:val="231F20"/>
        </w:rPr>
        <w:t>macroeco-</w:t>
      </w:r>
      <w:r>
        <w:rPr>
          <w:color w:val="231F20"/>
          <w:spacing w:val="40"/>
        </w:rPr>
        <w:t> </w:t>
      </w:r>
      <w:r>
        <w:rPr>
          <w:color w:val="231F20"/>
        </w:rPr>
        <w:t>nomics are not that complicated if you wish to know only the MBA </w:t>
      </w:r>
      <w:r>
        <w:rPr>
          <w:color w:val="231F20"/>
          <w:spacing w:val="-2"/>
        </w:rPr>
        <w:t>basics.</w:t>
      </w:r>
    </w:p>
    <w:p>
      <w:pPr>
        <w:pStyle w:val="BodyText"/>
        <w:spacing w:before="6"/>
        <w:rPr>
          <w:sz w:val="25"/>
        </w:rPr>
      </w:pPr>
    </w:p>
    <w:p>
      <w:pPr>
        <w:pStyle w:val="BodyText"/>
        <w:spacing w:line="292" w:lineRule="auto"/>
        <w:ind w:left="919" w:right="665"/>
        <w:jc w:val="both"/>
      </w:pPr>
      <w:r>
        <w:rPr>
          <w:i/>
          <w:color w:val="231F20"/>
        </w:rPr>
        <w:t>Microeconomics. </w:t>
      </w:r>
      <w:r>
        <w:rPr>
          <w:color w:val="231F20"/>
        </w:rPr>
        <w:t>Supply equals demand at an equilibrium price. Consumers try to minimize opportunity costs and maximize mar- ginal profits and utility. If they respond to price changes, economists call their behavior elastic.</w:t>
      </w:r>
    </w:p>
    <w:p>
      <w:pPr>
        <w:pStyle w:val="BodyText"/>
        <w:spacing w:before="6"/>
        <w:rPr>
          <w:sz w:val="25"/>
        </w:rPr>
      </w:pPr>
    </w:p>
    <w:p>
      <w:pPr>
        <w:pStyle w:val="BodyText"/>
        <w:spacing w:line="292" w:lineRule="auto"/>
        <w:ind w:left="920" w:right="664"/>
        <w:jc w:val="both"/>
      </w:pPr>
      <w:r>
        <w:rPr>
          <w:i/>
          <w:color w:val="231F20"/>
        </w:rPr>
        <w:t>Macroeconomics. </w:t>
      </w:r>
      <w:r>
        <w:rPr>
          <w:color w:val="231F20"/>
        </w:rPr>
        <w:t>Keynesians like government and consumer </w:t>
      </w:r>
      <w:r>
        <w:rPr>
          <w:color w:val="231F20"/>
        </w:rPr>
        <w:t>spend- ing. Friedman and his monetarist friends place their faith in the con- trol of the money supply. It looks like both camps have valid points</w:t>
      </w:r>
      <w:r>
        <w:rPr>
          <w:color w:val="231F20"/>
          <w:spacing w:val="80"/>
        </w:rPr>
        <w:t> </w:t>
      </w:r>
      <w:r>
        <w:rPr>
          <w:color w:val="231F20"/>
        </w:rPr>
        <w:t>to make, but neither has a corner on explaining how economies</w:t>
      </w:r>
      <w:r>
        <w:rPr>
          <w:color w:val="231F20"/>
          <w:spacing w:val="40"/>
        </w:rPr>
        <w:t> </w:t>
      </w:r>
      <w:r>
        <w:rPr>
          <w:color w:val="231F20"/>
        </w:rPr>
        <w:t>work. In any case, supply equals demand at an equilibrium price.</w:t>
      </w:r>
      <w:r>
        <w:rPr>
          <w:color w:val="231F20"/>
          <w:spacing w:val="40"/>
        </w:rPr>
        <w:t> </w:t>
      </w:r>
      <w:r>
        <w:rPr>
          <w:color w:val="231F20"/>
        </w:rPr>
        <w:t>That much they agree on.</w:t>
      </w:r>
    </w:p>
    <w:p>
      <w:pPr>
        <w:pStyle w:val="BodyText"/>
        <w:spacing w:before="4"/>
        <w:rPr>
          <w:sz w:val="25"/>
        </w:rPr>
      </w:pPr>
    </w:p>
    <w:p>
      <w:pPr>
        <w:pStyle w:val="BodyText"/>
        <w:spacing w:line="292" w:lineRule="auto" w:before="1"/>
        <w:ind w:left="919" w:right="663"/>
        <w:jc w:val="both"/>
      </w:pPr>
      <w:r>
        <w:rPr>
          <w:i/>
          <w:color w:val="231F20"/>
          <w:w w:val="105"/>
        </w:rPr>
        <w:t>Global Macroeconomics. </w:t>
      </w:r>
      <w:r>
        <w:rPr>
          <w:color w:val="231F20"/>
          <w:w w:val="105"/>
        </w:rPr>
        <w:t>The economies of the world keep track of their</w:t>
      </w:r>
      <w:r>
        <w:rPr>
          <w:color w:val="231F20"/>
          <w:w w:val="105"/>
        </w:rPr>
        <w:t> activity</w:t>
      </w:r>
      <w:r>
        <w:rPr>
          <w:color w:val="231F20"/>
          <w:w w:val="105"/>
        </w:rPr>
        <w:t> using</w:t>
      </w:r>
      <w:r>
        <w:rPr>
          <w:color w:val="231F20"/>
          <w:w w:val="105"/>
        </w:rPr>
        <w:t> balance</w:t>
      </w:r>
      <w:r>
        <w:rPr>
          <w:color w:val="231F20"/>
          <w:w w:val="105"/>
        </w:rPr>
        <w:t> of</w:t>
      </w:r>
      <w:r>
        <w:rPr>
          <w:color w:val="231F20"/>
          <w:w w:val="105"/>
        </w:rPr>
        <w:t> payments</w:t>
      </w:r>
      <w:r>
        <w:rPr>
          <w:color w:val="231F20"/>
          <w:w w:val="105"/>
        </w:rPr>
        <w:t> accounting.</w:t>
      </w:r>
      <w:r>
        <w:rPr>
          <w:color w:val="231F20"/>
          <w:w w:val="105"/>
        </w:rPr>
        <w:t> If</w:t>
      </w:r>
      <w:r>
        <w:rPr>
          <w:color w:val="231F20"/>
          <w:w w:val="105"/>
        </w:rPr>
        <w:t> they</w:t>
      </w:r>
      <w:r>
        <w:rPr>
          <w:color w:val="231F20"/>
          <w:w w:val="105"/>
        </w:rPr>
        <w:t> are doing</w:t>
      </w:r>
      <w:r>
        <w:rPr>
          <w:color w:val="231F20"/>
          <w:w w:val="105"/>
        </w:rPr>
        <w:t> a</w:t>
      </w:r>
      <w:r>
        <w:rPr>
          <w:color w:val="231F20"/>
          <w:w w:val="105"/>
        </w:rPr>
        <w:t> good</w:t>
      </w:r>
      <w:r>
        <w:rPr>
          <w:color w:val="231F20"/>
          <w:w w:val="105"/>
        </w:rPr>
        <w:t> job,</w:t>
      </w:r>
      <w:r>
        <w:rPr>
          <w:color w:val="231F20"/>
          <w:w w:val="105"/>
        </w:rPr>
        <w:t> inflation</w:t>
      </w:r>
      <w:r>
        <w:rPr>
          <w:color w:val="231F20"/>
          <w:w w:val="105"/>
        </w:rPr>
        <w:t> stays</w:t>
      </w:r>
      <w:r>
        <w:rPr>
          <w:color w:val="231F20"/>
          <w:w w:val="105"/>
        </w:rPr>
        <w:t> low,</w:t>
      </w:r>
      <w:r>
        <w:rPr>
          <w:color w:val="231F20"/>
          <w:w w:val="105"/>
        </w:rPr>
        <w:t> economic</w:t>
      </w:r>
      <w:r>
        <w:rPr>
          <w:color w:val="231F20"/>
          <w:w w:val="105"/>
        </w:rPr>
        <w:t> growth</w:t>
      </w:r>
      <w:r>
        <w:rPr>
          <w:color w:val="231F20"/>
          <w:w w:val="105"/>
        </w:rPr>
        <w:t> remains steady,</w:t>
      </w:r>
      <w:r>
        <w:rPr>
          <w:color w:val="231F20"/>
          <w:spacing w:val="-13"/>
          <w:w w:val="105"/>
        </w:rPr>
        <w:t> </w:t>
      </w:r>
      <w:r>
        <w:rPr>
          <w:color w:val="231F20"/>
          <w:w w:val="105"/>
        </w:rPr>
        <w:t>foreign</w:t>
      </w:r>
      <w:r>
        <w:rPr>
          <w:color w:val="231F20"/>
          <w:spacing w:val="-12"/>
          <w:w w:val="105"/>
        </w:rPr>
        <w:t> </w:t>
      </w:r>
      <w:r>
        <w:rPr>
          <w:color w:val="231F20"/>
          <w:w w:val="105"/>
        </w:rPr>
        <w:t>reserves</w:t>
      </w:r>
      <w:r>
        <w:rPr>
          <w:color w:val="231F20"/>
          <w:spacing w:val="-12"/>
          <w:w w:val="105"/>
        </w:rPr>
        <w:t> </w:t>
      </w:r>
      <w:r>
        <w:rPr>
          <w:color w:val="231F20"/>
          <w:w w:val="105"/>
        </w:rPr>
        <w:t>stay</w:t>
      </w:r>
      <w:r>
        <w:rPr>
          <w:color w:val="231F20"/>
          <w:spacing w:val="-12"/>
          <w:w w:val="105"/>
        </w:rPr>
        <w:t> </w:t>
      </w:r>
      <w:r>
        <w:rPr>
          <w:color w:val="231F20"/>
          <w:w w:val="105"/>
        </w:rPr>
        <w:t>high,</w:t>
      </w:r>
      <w:r>
        <w:rPr>
          <w:color w:val="231F20"/>
          <w:spacing w:val="-12"/>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local</w:t>
      </w:r>
      <w:r>
        <w:rPr>
          <w:color w:val="231F20"/>
          <w:spacing w:val="-13"/>
          <w:w w:val="105"/>
        </w:rPr>
        <w:t> </w:t>
      </w:r>
      <w:r>
        <w:rPr>
          <w:color w:val="231F20"/>
          <w:w w:val="105"/>
        </w:rPr>
        <w:t>currency</w:t>
      </w:r>
      <w:r>
        <w:rPr>
          <w:color w:val="231F20"/>
          <w:spacing w:val="-12"/>
          <w:w w:val="105"/>
        </w:rPr>
        <w:t> </w:t>
      </w:r>
      <w:r>
        <w:rPr>
          <w:color w:val="231F20"/>
          <w:w w:val="105"/>
        </w:rPr>
        <w:t>maintains its</w:t>
      </w:r>
      <w:r>
        <w:rPr>
          <w:color w:val="231F20"/>
          <w:spacing w:val="-10"/>
          <w:w w:val="105"/>
        </w:rPr>
        <w:t> </w:t>
      </w:r>
      <w:r>
        <w:rPr>
          <w:color w:val="231F20"/>
          <w:w w:val="105"/>
        </w:rPr>
        <w:t>value.</w:t>
      </w:r>
      <w:r>
        <w:rPr>
          <w:color w:val="231F20"/>
          <w:spacing w:val="-10"/>
          <w:w w:val="105"/>
        </w:rPr>
        <w:t> </w:t>
      </w:r>
      <w:r>
        <w:rPr>
          <w:color w:val="231F20"/>
          <w:w w:val="105"/>
        </w:rPr>
        <w:t>If</w:t>
      </w:r>
      <w:r>
        <w:rPr>
          <w:color w:val="231F20"/>
          <w:spacing w:val="-10"/>
          <w:w w:val="105"/>
        </w:rPr>
        <w:t> </w:t>
      </w:r>
      <w:r>
        <w:rPr>
          <w:color w:val="231F20"/>
          <w:w w:val="105"/>
        </w:rPr>
        <w:t>not,</w:t>
      </w:r>
      <w:r>
        <w:rPr>
          <w:color w:val="231F20"/>
          <w:spacing w:val="-10"/>
          <w:w w:val="105"/>
        </w:rPr>
        <w:t> </w:t>
      </w:r>
      <w:r>
        <w:rPr>
          <w:color w:val="231F20"/>
          <w:w w:val="105"/>
        </w:rPr>
        <w:t>a</w:t>
      </w:r>
      <w:r>
        <w:rPr>
          <w:color w:val="231F20"/>
          <w:spacing w:val="-10"/>
          <w:w w:val="105"/>
        </w:rPr>
        <w:t> </w:t>
      </w:r>
      <w:r>
        <w:rPr>
          <w:color w:val="231F20"/>
          <w:w w:val="105"/>
        </w:rPr>
        <w:t>country</w:t>
      </w:r>
      <w:r>
        <w:rPr>
          <w:color w:val="231F20"/>
          <w:spacing w:val="-10"/>
          <w:w w:val="105"/>
        </w:rPr>
        <w:t> </w:t>
      </w:r>
      <w:r>
        <w:rPr>
          <w:color w:val="231F20"/>
          <w:w w:val="105"/>
        </w:rPr>
        <w:t>may</w:t>
      </w:r>
      <w:r>
        <w:rPr>
          <w:color w:val="231F20"/>
          <w:spacing w:val="-10"/>
          <w:w w:val="105"/>
        </w:rPr>
        <w:t> </w:t>
      </w:r>
      <w:r>
        <w:rPr>
          <w:color w:val="231F20"/>
          <w:w w:val="105"/>
        </w:rPr>
        <w:t>end</w:t>
      </w:r>
      <w:r>
        <w:rPr>
          <w:color w:val="231F20"/>
          <w:spacing w:val="-10"/>
          <w:w w:val="105"/>
        </w:rPr>
        <w:t> </w:t>
      </w:r>
      <w:r>
        <w:rPr>
          <w:color w:val="231F20"/>
          <w:w w:val="105"/>
        </w:rPr>
        <w:t>up</w:t>
      </w:r>
      <w:r>
        <w:rPr>
          <w:color w:val="231F20"/>
          <w:spacing w:val="-10"/>
          <w:w w:val="105"/>
        </w:rPr>
        <w:t> </w:t>
      </w:r>
      <w:r>
        <w:rPr>
          <w:color w:val="231F20"/>
          <w:w w:val="105"/>
        </w:rPr>
        <w:t>in</w:t>
      </w:r>
      <w:r>
        <w:rPr>
          <w:color w:val="231F20"/>
          <w:spacing w:val="-10"/>
          <w:w w:val="105"/>
        </w:rPr>
        <w:t> </w:t>
      </w:r>
      <w:r>
        <w:rPr>
          <w:color w:val="231F20"/>
          <w:w w:val="105"/>
        </w:rPr>
        <w:t>an</w:t>
      </w:r>
      <w:r>
        <w:rPr>
          <w:color w:val="231F20"/>
          <w:spacing w:val="-10"/>
          <w:w w:val="105"/>
        </w:rPr>
        <w:t> </w:t>
      </w:r>
      <w:r>
        <w:rPr>
          <w:color w:val="231F20"/>
          <w:w w:val="105"/>
        </w:rPr>
        <w:t>economic</w:t>
      </w:r>
      <w:r>
        <w:rPr>
          <w:color w:val="231F20"/>
          <w:spacing w:val="-10"/>
          <w:w w:val="105"/>
        </w:rPr>
        <w:t> </w:t>
      </w:r>
      <w:r>
        <w:rPr>
          <w:color w:val="231F20"/>
          <w:w w:val="105"/>
        </w:rPr>
        <w:t>quagmire</w:t>
      </w:r>
      <w:r>
        <w:rPr>
          <w:color w:val="231F20"/>
          <w:spacing w:val="-10"/>
          <w:w w:val="105"/>
        </w:rPr>
        <w:t> </w:t>
      </w:r>
      <w:r>
        <w:rPr>
          <w:color w:val="231F20"/>
          <w:spacing w:val="-4"/>
          <w:w w:val="105"/>
        </w:rPr>
        <w:t>like</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3"/>
        <w:jc w:val="both"/>
      </w:pPr>
      <w:r>
        <w:rPr>
          <w:color w:val="231F20"/>
        </w:rPr>
        <w:t>Lebanon. If you want to be a crystal ball reader and want to </w:t>
      </w:r>
      <w:r>
        <w:rPr>
          <w:color w:val="231F20"/>
        </w:rPr>
        <w:t>predict where your favorite nation is headed, use the country analysis framework to make a prediction.</w:t>
      </w:r>
    </w:p>
    <w:p>
      <w:pPr>
        <w:pStyle w:val="BodyText"/>
        <w:rPr>
          <w:sz w:val="24"/>
        </w:rPr>
      </w:pPr>
    </w:p>
    <w:p>
      <w:pPr>
        <w:pStyle w:val="BodyText"/>
        <w:spacing w:before="10"/>
        <w:rPr>
          <w:sz w:val="24"/>
        </w:rPr>
      </w:pPr>
    </w:p>
    <w:p>
      <w:pPr>
        <w:pStyle w:val="Heading4"/>
        <w:ind w:left="300"/>
      </w:pPr>
      <w:r>
        <w:rPr>
          <w:color w:val="231F20"/>
          <w:w w:val="85"/>
        </w:rPr>
        <w:t>KEY</w:t>
      </w:r>
      <w:r>
        <w:rPr>
          <w:color w:val="231F20"/>
          <w:spacing w:val="29"/>
        </w:rPr>
        <w:t> </w:t>
      </w:r>
      <w:r>
        <w:rPr>
          <w:color w:val="231F20"/>
          <w:spacing w:val="9"/>
          <w:w w:val="85"/>
        </w:rPr>
        <w:t>ECONOMICS</w:t>
      </w:r>
      <w:r>
        <w:rPr>
          <w:color w:val="231F20"/>
          <w:spacing w:val="30"/>
        </w:rPr>
        <w:t> </w:t>
      </w:r>
      <w:r>
        <w:rPr>
          <w:color w:val="231F20"/>
          <w:spacing w:val="-2"/>
          <w:w w:val="85"/>
        </w:rPr>
        <w:t>TAKEAWAYS</w:t>
      </w:r>
    </w:p>
    <w:p>
      <w:pPr>
        <w:pStyle w:val="BodyText"/>
        <w:spacing w:before="8"/>
        <w:rPr>
          <w:rFonts w:ascii="Trebuchet MS"/>
          <w:sz w:val="31"/>
        </w:rPr>
      </w:pPr>
    </w:p>
    <w:p>
      <w:pPr>
        <w:spacing w:line="328" w:lineRule="auto" w:before="1"/>
        <w:ind w:left="1509" w:right="1045" w:hanging="340"/>
        <w:jc w:val="left"/>
        <w:rPr>
          <w:rFonts w:ascii="Arial" w:hAnsi="Arial"/>
          <w:sz w:val="19"/>
        </w:rPr>
      </w:pPr>
      <w:r>
        <w:rPr>
          <w:rFonts w:ascii="Arial" w:hAnsi="Arial"/>
          <w:i/>
          <w:color w:val="231F20"/>
          <w:w w:val="110"/>
          <w:sz w:val="19"/>
        </w:rPr>
        <w:t>Microeconomics</w:t>
      </w:r>
      <w:r>
        <w:rPr>
          <w:rFonts w:ascii="Arial" w:hAnsi="Arial"/>
          <w:i/>
          <w:color w:val="231F20"/>
          <w:spacing w:val="-38"/>
          <w:w w:val="110"/>
          <w:sz w:val="19"/>
        </w:rPr>
        <w:t> </w:t>
      </w:r>
      <w:r>
        <w:rPr>
          <w:rFonts w:ascii="Arial" w:hAnsi="Arial"/>
          <w:color w:val="231F20"/>
          <w:w w:val="110"/>
          <w:sz w:val="19"/>
        </w:rPr>
        <w:t>—The study of individual, family, company, and industry economic behavior</w:t>
      </w:r>
    </w:p>
    <w:p>
      <w:pPr>
        <w:spacing w:line="328" w:lineRule="auto" w:before="1"/>
        <w:ind w:left="1509" w:right="1262" w:hanging="340"/>
        <w:jc w:val="left"/>
        <w:rPr>
          <w:rFonts w:ascii="Arial" w:hAnsi="Arial"/>
          <w:sz w:val="19"/>
        </w:rPr>
      </w:pPr>
      <w:r>
        <w:rPr>
          <w:rFonts w:ascii="Arial" w:hAnsi="Arial"/>
          <w:i/>
          <w:color w:val="231F20"/>
          <w:w w:val="110"/>
          <w:sz w:val="19"/>
        </w:rPr>
        <w:t>Macroeconomics</w:t>
      </w:r>
      <w:r>
        <w:rPr>
          <w:rFonts w:ascii="Arial" w:hAnsi="Arial"/>
          <w:i/>
          <w:color w:val="231F20"/>
          <w:spacing w:val="-35"/>
          <w:w w:val="110"/>
          <w:sz w:val="19"/>
        </w:rPr>
        <w:t> </w:t>
      </w:r>
      <w:r>
        <w:rPr>
          <w:rFonts w:ascii="Arial" w:hAnsi="Arial"/>
          <w:color w:val="231F20"/>
          <w:w w:val="110"/>
          <w:sz w:val="19"/>
        </w:rPr>
        <w:t>—The study of the behavior of entire </w:t>
      </w:r>
      <w:r>
        <w:rPr>
          <w:rFonts w:ascii="Arial" w:hAnsi="Arial"/>
          <w:color w:val="231F20"/>
          <w:spacing w:val="-2"/>
          <w:w w:val="110"/>
          <w:sz w:val="19"/>
        </w:rPr>
        <w:t>economies</w:t>
      </w:r>
    </w:p>
    <w:p>
      <w:pPr>
        <w:spacing w:line="328" w:lineRule="auto" w:before="1"/>
        <w:ind w:left="1509" w:right="836" w:hanging="340"/>
        <w:jc w:val="both"/>
        <w:rPr>
          <w:rFonts w:ascii="Arial" w:hAnsi="Arial"/>
          <w:sz w:val="19"/>
        </w:rPr>
      </w:pPr>
      <w:r>
        <w:rPr>
          <w:rFonts w:ascii="Arial" w:hAnsi="Arial"/>
          <w:i/>
          <w:color w:val="231F20"/>
          <w:w w:val="110"/>
          <w:sz w:val="19"/>
        </w:rPr>
        <w:t>Equilibrium</w:t>
      </w:r>
      <w:r>
        <w:rPr>
          <w:rFonts w:ascii="Arial" w:hAnsi="Arial"/>
          <w:i/>
          <w:color w:val="231F20"/>
          <w:spacing w:val="-15"/>
          <w:w w:val="110"/>
          <w:sz w:val="19"/>
        </w:rPr>
        <w:t> </w:t>
      </w:r>
      <w:r>
        <w:rPr>
          <w:rFonts w:ascii="Arial" w:hAnsi="Arial"/>
          <w:color w:val="231F20"/>
          <w:w w:val="110"/>
          <w:sz w:val="19"/>
        </w:rPr>
        <w:t>—The point at which the quantity supplied equals the quantity demanded and a mutually agreeable price is </w:t>
      </w:r>
      <w:r>
        <w:rPr>
          <w:rFonts w:ascii="Arial" w:hAnsi="Arial"/>
          <w:color w:val="231F20"/>
          <w:spacing w:val="-2"/>
          <w:w w:val="110"/>
          <w:sz w:val="19"/>
        </w:rPr>
        <w:t>determined</w:t>
      </w:r>
    </w:p>
    <w:p>
      <w:pPr>
        <w:spacing w:line="328" w:lineRule="auto" w:before="2"/>
        <w:ind w:left="1509" w:right="889" w:hanging="340"/>
        <w:jc w:val="both"/>
        <w:rPr>
          <w:rFonts w:ascii="Arial" w:hAnsi="Arial"/>
          <w:sz w:val="19"/>
        </w:rPr>
      </w:pPr>
      <w:r>
        <w:rPr>
          <w:rFonts w:ascii="Arial" w:hAnsi="Arial"/>
          <w:i/>
          <w:color w:val="231F20"/>
          <w:w w:val="110"/>
          <w:sz w:val="19"/>
        </w:rPr>
        <w:t>Marginal Revenue and Cost</w:t>
      </w:r>
      <w:r>
        <w:rPr>
          <w:rFonts w:ascii="Arial" w:hAnsi="Arial"/>
          <w:color w:val="231F20"/>
          <w:w w:val="110"/>
          <w:sz w:val="19"/>
        </w:rPr>
        <w:t>—The added revenue and cost of </w:t>
      </w:r>
      <w:r>
        <w:rPr>
          <w:rFonts w:ascii="Arial" w:hAnsi="Arial"/>
          <w:color w:val="231F20"/>
          <w:w w:val="115"/>
          <w:sz w:val="19"/>
        </w:rPr>
        <w:t>producing and selling one additional unit</w:t>
      </w:r>
    </w:p>
    <w:p>
      <w:pPr>
        <w:spacing w:line="328" w:lineRule="auto" w:before="2"/>
        <w:ind w:left="1509" w:right="866" w:hanging="340"/>
        <w:jc w:val="both"/>
        <w:rPr>
          <w:rFonts w:ascii="Arial" w:hAnsi="Arial"/>
          <w:sz w:val="19"/>
        </w:rPr>
      </w:pPr>
      <w:r>
        <w:rPr>
          <w:rFonts w:ascii="Arial" w:hAnsi="Arial"/>
          <w:i/>
          <w:color w:val="231F20"/>
          <w:w w:val="110"/>
          <w:sz w:val="19"/>
        </w:rPr>
        <w:t>Elasticity</w:t>
      </w:r>
      <w:r>
        <w:rPr>
          <w:rFonts w:ascii="Arial" w:hAnsi="Arial"/>
          <w:color w:val="231F20"/>
          <w:w w:val="110"/>
          <w:sz w:val="19"/>
        </w:rPr>
        <w:t>—The change in buyers’ demand as a result of </w:t>
      </w:r>
      <w:r>
        <w:rPr>
          <w:rFonts w:ascii="Arial" w:hAnsi="Arial"/>
          <w:color w:val="231F20"/>
          <w:w w:val="110"/>
          <w:sz w:val="19"/>
        </w:rPr>
        <w:t>price </w:t>
      </w:r>
      <w:r>
        <w:rPr>
          <w:rFonts w:ascii="Arial" w:hAnsi="Arial"/>
          <w:color w:val="231F20"/>
          <w:spacing w:val="-2"/>
          <w:w w:val="115"/>
          <w:sz w:val="19"/>
        </w:rPr>
        <w:t>changes</w:t>
      </w:r>
    </w:p>
    <w:p>
      <w:pPr>
        <w:spacing w:line="328" w:lineRule="auto" w:before="1"/>
        <w:ind w:left="1509" w:right="1045" w:hanging="340"/>
        <w:jc w:val="left"/>
        <w:rPr>
          <w:rFonts w:ascii="Arial" w:hAnsi="Arial"/>
          <w:sz w:val="19"/>
        </w:rPr>
      </w:pPr>
      <w:r>
        <w:rPr>
          <w:rFonts w:ascii="Arial" w:hAnsi="Arial"/>
          <w:i/>
          <w:color w:val="231F20"/>
          <w:w w:val="115"/>
          <w:sz w:val="19"/>
        </w:rPr>
        <w:t>Market Structures</w:t>
      </w:r>
      <w:r>
        <w:rPr>
          <w:rFonts w:ascii="Arial" w:hAnsi="Arial"/>
          <w:i/>
          <w:color w:val="231F20"/>
          <w:spacing w:val="-40"/>
          <w:w w:val="115"/>
          <w:sz w:val="19"/>
        </w:rPr>
        <w:t> </w:t>
      </w:r>
      <w:r>
        <w:rPr>
          <w:rFonts w:ascii="Arial" w:hAnsi="Arial"/>
          <w:color w:val="231F20"/>
          <w:w w:val="115"/>
          <w:sz w:val="19"/>
        </w:rPr>
        <w:t>—The competitive environment in an industry</w:t>
      </w:r>
      <w:r>
        <w:rPr>
          <w:rFonts w:ascii="Arial" w:hAnsi="Arial"/>
          <w:color w:val="231F20"/>
          <w:spacing w:val="-10"/>
          <w:w w:val="115"/>
          <w:sz w:val="19"/>
        </w:rPr>
        <w:t> </w:t>
      </w:r>
      <w:r>
        <w:rPr>
          <w:rFonts w:ascii="Arial" w:hAnsi="Arial"/>
          <w:color w:val="231F20"/>
          <w:w w:val="115"/>
          <w:sz w:val="19"/>
        </w:rPr>
        <w:t>determined</w:t>
      </w:r>
      <w:r>
        <w:rPr>
          <w:rFonts w:ascii="Arial" w:hAnsi="Arial"/>
          <w:color w:val="231F20"/>
          <w:spacing w:val="-10"/>
          <w:w w:val="115"/>
          <w:sz w:val="19"/>
        </w:rPr>
        <w:t> </w:t>
      </w:r>
      <w:r>
        <w:rPr>
          <w:rFonts w:ascii="Arial" w:hAnsi="Arial"/>
          <w:color w:val="231F20"/>
          <w:w w:val="115"/>
          <w:sz w:val="19"/>
        </w:rPr>
        <w:t>by</w:t>
      </w:r>
      <w:r>
        <w:rPr>
          <w:rFonts w:ascii="Arial" w:hAnsi="Arial"/>
          <w:color w:val="231F20"/>
          <w:spacing w:val="-10"/>
          <w:w w:val="115"/>
          <w:sz w:val="19"/>
        </w:rPr>
        <w:t> </w:t>
      </w:r>
      <w:r>
        <w:rPr>
          <w:rFonts w:ascii="Arial" w:hAnsi="Arial"/>
          <w:color w:val="231F20"/>
          <w:w w:val="115"/>
          <w:sz w:val="19"/>
        </w:rPr>
        <w:t>the</w:t>
      </w:r>
      <w:r>
        <w:rPr>
          <w:rFonts w:ascii="Arial" w:hAnsi="Arial"/>
          <w:color w:val="231F20"/>
          <w:spacing w:val="-10"/>
          <w:w w:val="115"/>
          <w:sz w:val="19"/>
        </w:rPr>
        <w:t> </w:t>
      </w:r>
      <w:r>
        <w:rPr>
          <w:rFonts w:ascii="Arial" w:hAnsi="Arial"/>
          <w:color w:val="231F20"/>
          <w:w w:val="115"/>
          <w:sz w:val="19"/>
        </w:rPr>
        <w:t>number</w:t>
      </w:r>
      <w:r>
        <w:rPr>
          <w:rFonts w:ascii="Arial" w:hAnsi="Arial"/>
          <w:color w:val="231F20"/>
          <w:spacing w:val="-10"/>
          <w:w w:val="115"/>
          <w:sz w:val="19"/>
        </w:rPr>
        <w:t> </w:t>
      </w:r>
      <w:r>
        <w:rPr>
          <w:rFonts w:ascii="Arial" w:hAnsi="Arial"/>
          <w:color w:val="231F20"/>
          <w:w w:val="115"/>
          <w:sz w:val="19"/>
        </w:rPr>
        <w:t>of</w:t>
      </w:r>
      <w:r>
        <w:rPr>
          <w:rFonts w:ascii="Arial" w:hAnsi="Arial"/>
          <w:color w:val="231F20"/>
          <w:spacing w:val="-10"/>
          <w:w w:val="115"/>
          <w:sz w:val="19"/>
        </w:rPr>
        <w:t> </w:t>
      </w:r>
      <w:r>
        <w:rPr>
          <w:rFonts w:ascii="Arial" w:hAnsi="Arial"/>
          <w:color w:val="231F20"/>
          <w:w w:val="115"/>
          <w:sz w:val="19"/>
        </w:rPr>
        <w:t>sellers</w:t>
      </w:r>
      <w:r>
        <w:rPr>
          <w:rFonts w:ascii="Arial" w:hAnsi="Arial"/>
          <w:color w:val="231F20"/>
          <w:spacing w:val="-10"/>
          <w:w w:val="115"/>
          <w:sz w:val="19"/>
        </w:rPr>
        <w:t> </w:t>
      </w:r>
      <w:r>
        <w:rPr>
          <w:rFonts w:ascii="Arial" w:hAnsi="Arial"/>
          <w:color w:val="231F20"/>
          <w:w w:val="115"/>
          <w:sz w:val="19"/>
        </w:rPr>
        <w:t>and</w:t>
      </w:r>
      <w:r>
        <w:rPr>
          <w:rFonts w:ascii="Arial" w:hAnsi="Arial"/>
          <w:color w:val="231F20"/>
          <w:spacing w:val="-10"/>
          <w:w w:val="115"/>
          <w:sz w:val="19"/>
        </w:rPr>
        <w:t> </w:t>
      </w:r>
      <w:r>
        <w:rPr>
          <w:rFonts w:ascii="Arial" w:hAnsi="Arial"/>
          <w:color w:val="231F20"/>
          <w:w w:val="115"/>
          <w:sz w:val="19"/>
        </w:rPr>
        <w:t>the product’s characteristics</w:t>
      </w:r>
    </w:p>
    <w:p>
      <w:pPr>
        <w:spacing w:line="328" w:lineRule="auto" w:before="2"/>
        <w:ind w:left="1509" w:right="667" w:hanging="340"/>
        <w:jc w:val="left"/>
        <w:rPr>
          <w:rFonts w:ascii="Arial" w:hAnsi="Arial"/>
          <w:sz w:val="19"/>
        </w:rPr>
      </w:pPr>
      <w:r>
        <w:rPr>
          <w:rFonts w:ascii="Arial" w:hAnsi="Arial"/>
          <w:i/>
          <w:color w:val="231F20"/>
          <w:w w:val="110"/>
          <w:sz w:val="19"/>
        </w:rPr>
        <w:t>Keynesian Theory</w:t>
      </w:r>
      <w:r>
        <w:rPr>
          <w:rFonts w:ascii="Arial" w:hAnsi="Arial"/>
          <w:i/>
          <w:color w:val="231F20"/>
          <w:spacing w:val="-38"/>
          <w:w w:val="110"/>
          <w:sz w:val="19"/>
        </w:rPr>
        <w:t> </w:t>
      </w:r>
      <w:r>
        <w:rPr>
          <w:rFonts w:ascii="Arial" w:hAnsi="Arial"/>
          <w:color w:val="231F20"/>
          <w:w w:val="110"/>
          <w:sz w:val="19"/>
        </w:rPr>
        <w:t>—</w:t>
      </w:r>
      <w:r>
        <w:rPr>
          <w:rFonts w:ascii="Arial" w:hAnsi="Arial"/>
          <w:color w:val="231F20"/>
          <w:spacing w:val="-38"/>
          <w:w w:val="110"/>
          <w:sz w:val="19"/>
        </w:rPr>
        <w:t> </w:t>
      </w:r>
      <w:r>
        <w:rPr>
          <w:rFonts w:ascii="Arial" w:hAnsi="Arial"/>
          <w:color w:val="231F20"/>
          <w:w w:val="110"/>
          <w:sz w:val="19"/>
        </w:rPr>
        <w:t>Spending and consumption are the </w:t>
      </w:r>
      <w:r>
        <w:rPr>
          <w:rFonts w:ascii="Arial" w:hAnsi="Arial"/>
          <w:color w:val="231F20"/>
          <w:w w:val="110"/>
          <w:sz w:val="19"/>
        </w:rPr>
        <w:t>main drivers of an economy.</w:t>
      </w:r>
    </w:p>
    <w:p>
      <w:pPr>
        <w:spacing w:line="328" w:lineRule="auto" w:before="1"/>
        <w:ind w:left="1509" w:right="771" w:hanging="340"/>
        <w:jc w:val="both"/>
        <w:rPr>
          <w:rFonts w:ascii="Arial" w:hAnsi="Arial"/>
          <w:sz w:val="19"/>
        </w:rPr>
      </w:pPr>
      <w:r>
        <w:rPr>
          <w:rFonts w:ascii="Arial" w:hAnsi="Arial"/>
          <w:i/>
          <w:color w:val="231F20"/>
          <w:spacing w:val="-2"/>
          <w:w w:val="115"/>
          <w:sz w:val="19"/>
        </w:rPr>
        <w:t>Monetarist</w:t>
      </w:r>
      <w:r>
        <w:rPr>
          <w:rFonts w:ascii="Arial" w:hAnsi="Arial"/>
          <w:i/>
          <w:color w:val="231F20"/>
          <w:spacing w:val="-14"/>
          <w:w w:val="115"/>
          <w:sz w:val="19"/>
        </w:rPr>
        <w:t> </w:t>
      </w:r>
      <w:r>
        <w:rPr>
          <w:rFonts w:ascii="Arial" w:hAnsi="Arial"/>
          <w:i/>
          <w:color w:val="231F20"/>
          <w:spacing w:val="-2"/>
          <w:w w:val="115"/>
          <w:sz w:val="19"/>
        </w:rPr>
        <w:t>Theory</w:t>
      </w:r>
      <w:r>
        <w:rPr>
          <w:rFonts w:ascii="Arial" w:hAnsi="Arial"/>
          <w:i/>
          <w:color w:val="231F20"/>
          <w:spacing w:val="-13"/>
          <w:w w:val="115"/>
          <w:sz w:val="19"/>
        </w:rPr>
        <w:t> </w:t>
      </w:r>
      <w:r>
        <w:rPr>
          <w:rFonts w:ascii="Arial" w:hAnsi="Arial"/>
          <w:color w:val="231F20"/>
          <w:spacing w:val="-2"/>
          <w:w w:val="115"/>
          <w:sz w:val="19"/>
        </w:rPr>
        <w:t>—The</w:t>
      </w:r>
      <w:r>
        <w:rPr>
          <w:rFonts w:ascii="Arial" w:hAnsi="Arial"/>
          <w:color w:val="231F20"/>
          <w:spacing w:val="-13"/>
          <w:w w:val="115"/>
          <w:sz w:val="19"/>
        </w:rPr>
        <w:t> </w:t>
      </w:r>
      <w:r>
        <w:rPr>
          <w:rFonts w:ascii="Arial" w:hAnsi="Arial"/>
          <w:color w:val="231F20"/>
          <w:spacing w:val="-2"/>
          <w:w w:val="115"/>
          <w:sz w:val="19"/>
        </w:rPr>
        <w:t>size</w:t>
      </w:r>
      <w:r>
        <w:rPr>
          <w:rFonts w:ascii="Arial" w:hAnsi="Arial"/>
          <w:color w:val="231F20"/>
          <w:spacing w:val="-13"/>
          <w:w w:val="115"/>
          <w:sz w:val="19"/>
        </w:rPr>
        <w:t> </w:t>
      </w:r>
      <w:r>
        <w:rPr>
          <w:rFonts w:ascii="Arial" w:hAnsi="Arial"/>
          <w:color w:val="231F20"/>
          <w:spacing w:val="-2"/>
          <w:w w:val="115"/>
          <w:sz w:val="19"/>
        </w:rPr>
        <w:t>and</w:t>
      </w:r>
      <w:r>
        <w:rPr>
          <w:rFonts w:ascii="Arial" w:hAnsi="Arial"/>
          <w:color w:val="231F20"/>
          <w:spacing w:val="-13"/>
          <w:w w:val="115"/>
          <w:sz w:val="19"/>
        </w:rPr>
        <w:t> </w:t>
      </w:r>
      <w:r>
        <w:rPr>
          <w:rFonts w:ascii="Arial" w:hAnsi="Arial"/>
          <w:color w:val="231F20"/>
          <w:spacing w:val="-2"/>
          <w:w w:val="115"/>
          <w:sz w:val="19"/>
        </w:rPr>
        <w:t>growth</w:t>
      </w:r>
      <w:r>
        <w:rPr>
          <w:rFonts w:ascii="Arial" w:hAnsi="Arial"/>
          <w:color w:val="231F20"/>
          <w:spacing w:val="-14"/>
          <w:w w:val="115"/>
          <w:sz w:val="19"/>
        </w:rPr>
        <w:t> </w:t>
      </w:r>
      <w:r>
        <w:rPr>
          <w:rFonts w:ascii="Arial" w:hAnsi="Arial"/>
          <w:color w:val="231F20"/>
          <w:spacing w:val="-2"/>
          <w:w w:val="115"/>
          <w:sz w:val="19"/>
        </w:rPr>
        <w:t>of</w:t>
      </w:r>
      <w:r>
        <w:rPr>
          <w:rFonts w:ascii="Arial" w:hAnsi="Arial"/>
          <w:color w:val="231F20"/>
          <w:spacing w:val="-11"/>
          <w:w w:val="115"/>
          <w:sz w:val="19"/>
        </w:rPr>
        <w:t> </w:t>
      </w:r>
      <w:r>
        <w:rPr>
          <w:rFonts w:ascii="Arial" w:hAnsi="Arial"/>
          <w:color w:val="231F20"/>
          <w:spacing w:val="-2"/>
          <w:w w:val="115"/>
          <w:sz w:val="19"/>
        </w:rPr>
        <w:t>the</w:t>
      </w:r>
      <w:r>
        <w:rPr>
          <w:rFonts w:ascii="Arial" w:hAnsi="Arial"/>
          <w:color w:val="231F20"/>
          <w:spacing w:val="-8"/>
          <w:w w:val="115"/>
          <w:sz w:val="19"/>
        </w:rPr>
        <w:t> </w:t>
      </w:r>
      <w:r>
        <w:rPr>
          <w:rFonts w:ascii="Arial" w:hAnsi="Arial"/>
          <w:color w:val="231F20"/>
          <w:spacing w:val="-2"/>
          <w:w w:val="115"/>
          <w:sz w:val="19"/>
        </w:rPr>
        <w:t>money</w:t>
      </w:r>
      <w:r>
        <w:rPr>
          <w:rFonts w:ascii="Arial" w:hAnsi="Arial"/>
          <w:color w:val="231F20"/>
          <w:spacing w:val="-8"/>
          <w:w w:val="115"/>
          <w:sz w:val="19"/>
        </w:rPr>
        <w:t> </w:t>
      </w:r>
      <w:r>
        <w:rPr>
          <w:rFonts w:ascii="Arial" w:hAnsi="Arial"/>
          <w:color w:val="231F20"/>
          <w:spacing w:val="-2"/>
          <w:w w:val="115"/>
          <w:sz w:val="19"/>
        </w:rPr>
        <w:t>supply </w:t>
      </w:r>
      <w:r>
        <w:rPr>
          <w:rFonts w:ascii="Arial" w:hAnsi="Arial"/>
          <w:color w:val="231F20"/>
          <w:w w:val="115"/>
          <w:sz w:val="19"/>
        </w:rPr>
        <w:t>determines</w:t>
      </w:r>
      <w:r>
        <w:rPr>
          <w:rFonts w:ascii="Arial" w:hAnsi="Arial"/>
          <w:color w:val="231F20"/>
          <w:spacing w:val="-11"/>
          <w:w w:val="115"/>
          <w:sz w:val="19"/>
        </w:rPr>
        <w:t> </w:t>
      </w:r>
      <w:r>
        <w:rPr>
          <w:rFonts w:ascii="Arial" w:hAnsi="Arial"/>
          <w:color w:val="231F20"/>
          <w:w w:val="115"/>
          <w:sz w:val="19"/>
        </w:rPr>
        <w:t>the</w:t>
      </w:r>
      <w:r>
        <w:rPr>
          <w:rFonts w:ascii="Arial" w:hAnsi="Arial"/>
          <w:color w:val="231F20"/>
          <w:spacing w:val="-11"/>
          <w:w w:val="115"/>
          <w:sz w:val="19"/>
        </w:rPr>
        <w:t> </w:t>
      </w:r>
      <w:r>
        <w:rPr>
          <w:rFonts w:ascii="Arial" w:hAnsi="Arial"/>
          <w:color w:val="231F20"/>
          <w:w w:val="115"/>
          <w:sz w:val="19"/>
        </w:rPr>
        <w:t>growth</w:t>
      </w:r>
      <w:r>
        <w:rPr>
          <w:rFonts w:ascii="Arial" w:hAnsi="Arial"/>
          <w:color w:val="231F20"/>
          <w:spacing w:val="-11"/>
          <w:w w:val="115"/>
          <w:sz w:val="19"/>
        </w:rPr>
        <w:t> </w:t>
      </w:r>
      <w:r>
        <w:rPr>
          <w:rFonts w:ascii="Arial" w:hAnsi="Arial"/>
          <w:color w:val="231F20"/>
          <w:w w:val="115"/>
          <w:sz w:val="19"/>
        </w:rPr>
        <w:t>of</w:t>
      </w:r>
      <w:r>
        <w:rPr>
          <w:rFonts w:ascii="Arial" w:hAnsi="Arial"/>
          <w:color w:val="231F20"/>
          <w:spacing w:val="-11"/>
          <w:w w:val="115"/>
          <w:sz w:val="19"/>
        </w:rPr>
        <w:t> </w:t>
      </w:r>
      <w:r>
        <w:rPr>
          <w:rFonts w:ascii="Arial" w:hAnsi="Arial"/>
          <w:color w:val="231F20"/>
          <w:w w:val="115"/>
          <w:sz w:val="19"/>
        </w:rPr>
        <w:t>the</w:t>
      </w:r>
      <w:r>
        <w:rPr>
          <w:rFonts w:ascii="Arial" w:hAnsi="Arial"/>
          <w:color w:val="231F20"/>
          <w:spacing w:val="-11"/>
          <w:w w:val="115"/>
          <w:sz w:val="19"/>
        </w:rPr>
        <w:t> </w:t>
      </w:r>
      <w:r>
        <w:rPr>
          <w:rFonts w:ascii="Arial" w:hAnsi="Arial"/>
          <w:color w:val="231F20"/>
          <w:w w:val="115"/>
          <w:sz w:val="19"/>
        </w:rPr>
        <w:t>economy.</w:t>
      </w:r>
      <w:r>
        <w:rPr>
          <w:rFonts w:ascii="Arial" w:hAnsi="Arial"/>
          <w:color w:val="231F20"/>
          <w:spacing w:val="-11"/>
          <w:w w:val="115"/>
          <w:sz w:val="19"/>
        </w:rPr>
        <w:t> </w:t>
      </w:r>
      <w:r>
        <w:rPr>
          <w:rFonts w:ascii="Arial" w:hAnsi="Arial"/>
          <w:color w:val="231F20"/>
          <w:w w:val="115"/>
          <w:sz w:val="19"/>
        </w:rPr>
        <w:t>Money</w:t>
      </w:r>
      <w:r>
        <w:rPr>
          <w:rFonts w:ascii="Arial" w:hAnsi="Arial"/>
          <w:color w:val="231F20"/>
          <w:spacing w:val="-11"/>
          <w:w w:val="115"/>
          <w:sz w:val="19"/>
        </w:rPr>
        <w:t> </w:t>
      </w:r>
      <w:r>
        <w:rPr>
          <w:rFonts w:ascii="Arial" w:hAnsi="Arial"/>
          <w:color w:val="231F20"/>
          <w:w w:val="115"/>
          <w:sz w:val="19"/>
        </w:rPr>
        <w:t>makes</w:t>
      </w:r>
      <w:r>
        <w:rPr>
          <w:rFonts w:ascii="Arial" w:hAnsi="Arial"/>
          <w:color w:val="231F20"/>
          <w:spacing w:val="-11"/>
          <w:w w:val="115"/>
          <w:sz w:val="19"/>
        </w:rPr>
        <w:t> </w:t>
      </w:r>
      <w:r>
        <w:rPr>
          <w:rFonts w:ascii="Arial" w:hAnsi="Arial"/>
          <w:color w:val="231F20"/>
          <w:w w:val="115"/>
          <w:sz w:val="19"/>
        </w:rPr>
        <w:t>the world go around.</w:t>
      </w:r>
    </w:p>
    <w:p>
      <w:pPr>
        <w:spacing w:line="328" w:lineRule="auto" w:before="2"/>
        <w:ind w:left="1509" w:right="817" w:hanging="340"/>
        <w:jc w:val="both"/>
        <w:rPr>
          <w:rFonts w:ascii="Arial" w:hAnsi="Arial"/>
          <w:sz w:val="19"/>
        </w:rPr>
      </w:pPr>
      <w:r>
        <w:rPr>
          <w:rFonts w:ascii="Arial" w:hAnsi="Arial"/>
          <w:i/>
          <w:color w:val="231F20"/>
          <w:w w:val="115"/>
          <w:sz w:val="19"/>
        </w:rPr>
        <w:t>Gross</w:t>
      </w:r>
      <w:r>
        <w:rPr>
          <w:rFonts w:ascii="Arial" w:hAnsi="Arial"/>
          <w:i/>
          <w:color w:val="231F20"/>
          <w:spacing w:val="-16"/>
          <w:w w:val="115"/>
          <w:sz w:val="19"/>
        </w:rPr>
        <w:t> </w:t>
      </w:r>
      <w:r>
        <w:rPr>
          <w:rFonts w:ascii="Arial" w:hAnsi="Arial"/>
          <w:i/>
          <w:color w:val="231F20"/>
          <w:w w:val="115"/>
          <w:sz w:val="19"/>
        </w:rPr>
        <w:t>National</w:t>
      </w:r>
      <w:r>
        <w:rPr>
          <w:rFonts w:ascii="Arial" w:hAnsi="Arial"/>
          <w:i/>
          <w:color w:val="231F20"/>
          <w:spacing w:val="-15"/>
          <w:w w:val="115"/>
          <w:sz w:val="19"/>
        </w:rPr>
        <w:t> </w:t>
      </w:r>
      <w:r>
        <w:rPr>
          <w:rFonts w:ascii="Arial" w:hAnsi="Arial"/>
          <w:i/>
          <w:color w:val="231F20"/>
          <w:w w:val="115"/>
          <w:sz w:val="19"/>
        </w:rPr>
        <w:t>Product</w:t>
      </w:r>
      <w:r>
        <w:rPr>
          <w:rFonts w:ascii="Arial" w:hAnsi="Arial"/>
          <w:color w:val="231F20"/>
          <w:w w:val="115"/>
          <w:sz w:val="19"/>
        </w:rPr>
        <w:t>—The</w:t>
      </w:r>
      <w:r>
        <w:rPr>
          <w:rFonts w:ascii="Arial" w:hAnsi="Arial"/>
          <w:color w:val="231F20"/>
          <w:spacing w:val="-15"/>
          <w:w w:val="115"/>
          <w:sz w:val="19"/>
        </w:rPr>
        <w:t> </w:t>
      </w:r>
      <w:r>
        <w:rPr>
          <w:rFonts w:ascii="Arial" w:hAnsi="Arial"/>
          <w:color w:val="231F20"/>
          <w:w w:val="115"/>
          <w:sz w:val="19"/>
        </w:rPr>
        <w:t>total</w:t>
      </w:r>
      <w:r>
        <w:rPr>
          <w:rFonts w:ascii="Arial" w:hAnsi="Arial"/>
          <w:color w:val="231F20"/>
          <w:spacing w:val="-15"/>
          <w:w w:val="115"/>
          <w:sz w:val="19"/>
        </w:rPr>
        <w:t> </w:t>
      </w:r>
      <w:r>
        <w:rPr>
          <w:rFonts w:ascii="Arial" w:hAnsi="Arial"/>
          <w:color w:val="231F20"/>
          <w:w w:val="115"/>
          <w:sz w:val="19"/>
        </w:rPr>
        <w:t>amount</w:t>
      </w:r>
      <w:r>
        <w:rPr>
          <w:rFonts w:ascii="Arial" w:hAnsi="Arial"/>
          <w:color w:val="231F20"/>
          <w:spacing w:val="-15"/>
          <w:w w:val="115"/>
          <w:sz w:val="19"/>
        </w:rPr>
        <w:t> </w:t>
      </w:r>
      <w:r>
        <w:rPr>
          <w:rFonts w:ascii="Arial" w:hAnsi="Arial"/>
          <w:color w:val="231F20"/>
          <w:w w:val="115"/>
          <w:sz w:val="19"/>
        </w:rPr>
        <w:t>of</w:t>
      </w:r>
      <w:r>
        <w:rPr>
          <w:rFonts w:ascii="Arial" w:hAnsi="Arial"/>
          <w:color w:val="231F20"/>
          <w:spacing w:val="-16"/>
          <w:w w:val="115"/>
          <w:sz w:val="19"/>
        </w:rPr>
        <w:t> </w:t>
      </w:r>
      <w:r>
        <w:rPr>
          <w:rFonts w:ascii="Arial" w:hAnsi="Arial"/>
          <w:color w:val="231F20"/>
          <w:w w:val="115"/>
          <w:sz w:val="19"/>
        </w:rPr>
        <w:t>final</w:t>
      </w:r>
      <w:r>
        <w:rPr>
          <w:rFonts w:ascii="Arial" w:hAnsi="Arial"/>
          <w:color w:val="231F20"/>
          <w:spacing w:val="-15"/>
          <w:w w:val="115"/>
          <w:sz w:val="19"/>
        </w:rPr>
        <w:t> </w:t>
      </w:r>
      <w:r>
        <w:rPr>
          <w:rFonts w:ascii="Arial" w:hAnsi="Arial"/>
          <w:color w:val="231F20"/>
          <w:w w:val="115"/>
          <w:sz w:val="19"/>
        </w:rPr>
        <w:t>goods</w:t>
      </w:r>
      <w:r>
        <w:rPr>
          <w:rFonts w:ascii="Arial" w:hAnsi="Arial"/>
          <w:color w:val="231F20"/>
          <w:spacing w:val="-15"/>
          <w:w w:val="115"/>
          <w:sz w:val="19"/>
        </w:rPr>
        <w:t> </w:t>
      </w:r>
      <w:r>
        <w:rPr>
          <w:rFonts w:ascii="Arial" w:hAnsi="Arial"/>
          <w:color w:val="231F20"/>
          <w:w w:val="115"/>
          <w:sz w:val="19"/>
        </w:rPr>
        <w:t>and services produced by an economy over a period of time</w:t>
      </w:r>
    </w:p>
    <w:p>
      <w:pPr>
        <w:spacing w:line="328" w:lineRule="auto" w:before="2"/>
        <w:ind w:left="1509" w:right="728" w:hanging="340"/>
        <w:jc w:val="left"/>
        <w:rPr>
          <w:rFonts w:ascii="Arial" w:hAnsi="Arial"/>
          <w:sz w:val="19"/>
        </w:rPr>
      </w:pPr>
      <w:r>
        <w:rPr>
          <w:rFonts w:ascii="Arial" w:hAnsi="Arial"/>
          <w:i/>
          <w:color w:val="231F20"/>
          <w:w w:val="115"/>
          <w:sz w:val="19"/>
        </w:rPr>
        <w:t>The Spending Multiplier</w:t>
      </w:r>
      <w:r>
        <w:rPr>
          <w:rFonts w:ascii="Arial" w:hAnsi="Arial"/>
          <w:color w:val="231F20"/>
          <w:w w:val="115"/>
          <w:sz w:val="19"/>
        </w:rPr>
        <w:t>—The economic ripple effect of money</w:t>
      </w:r>
      <w:r>
        <w:rPr>
          <w:rFonts w:ascii="Arial" w:hAnsi="Arial"/>
          <w:color w:val="231F20"/>
          <w:spacing w:val="-16"/>
          <w:w w:val="115"/>
          <w:sz w:val="19"/>
        </w:rPr>
        <w:t> </w:t>
      </w:r>
      <w:r>
        <w:rPr>
          <w:rFonts w:ascii="Arial" w:hAnsi="Arial"/>
          <w:color w:val="231F20"/>
          <w:w w:val="115"/>
          <w:sz w:val="19"/>
        </w:rPr>
        <w:t>being</w:t>
      </w:r>
      <w:r>
        <w:rPr>
          <w:rFonts w:ascii="Arial" w:hAnsi="Arial"/>
          <w:color w:val="231F20"/>
          <w:spacing w:val="-15"/>
          <w:w w:val="115"/>
          <w:sz w:val="19"/>
        </w:rPr>
        <w:t> </w:t>
      </w:r>
      <w:r>
        <w:rPr>
          <w:rFonts w:ascii="Arial" w:hAnsi="Arial"/>
          <w:color w:val="231F20"/>
          <w:w w:val="115"/>
          <w:sz w:val="19"/>
        </w:rPr>
        <w:t>circulated</w:t>
      </w:r>
      <w:r>
        <w:rPr>
          <w:rFonts w:ascii="Arial" w:hAnsi="Arial"/>
          <w:color w:val="231F20"/>
          <w:spacing w:val="-15"/>
          <w:w w:val="115"/>
          <w:sz w:val="19"/>
        </w:rPr>
        <w:t> </w:t>
      </w:r>
      <w:r>
        <w:rPr>
          <w:rFonts w:ascii="Arial" w:hAnsi="Arial"/>
          <w:color w:val="231F20"/>
          <w:w w:val="115"/>
          <w:sz w:val="19"/>
        </w:rPr>
        <w:t>in</w:t>
      </w:r>
      <w:r>
        <w:rPr>
          <w:rFonts w:ascii="Arial" w:hAnsi="Arial"/>
          <w:color w:val="231F20"/>
          <w:spacing w:val="-15"/>
          <w:w w:val="115"/>
          <w:sz w:val="19"/>
        </w:rPr>
        <w:t> </w:t>
      </w:r>
      <w:r>
        <w:rPr>
          <w:rFonts w:ascii="Arial" w:hAnsi="Arial"/>
          <w:color w:val="231F20"/>
          <w:w w:val="115"/>
          <w:sz w:val="19"/>
        </w:rPr>
        <w:t>an</w:t>
      </w:r>
      <w:r>
        <w:rPr>
          <w:rFonts w:ascii="Arial" w:hAnsi="Arial"/>
          <w:color w:val="231F20"/>
          <w:spacing w:val="-15"/>
          <w:w w:val="115"/>
          <w:sz w:val="19"/>
        </w:rPr>
        <w:t> </w:t>
      </w:r>
      <w:r>
        <w:rPr>
          <w:rFonts w:ascii="Arial" w:hAnsi="Arial"/>
          <w:color w:val="231F20"/>
          <w:w w:val="115"/>
          <w:sz w:val="19"/>
        </w:rPr>
        <w:t>economy:</w:t>
      </w:r>
      <w:r>
        <w:rPr>
          <w:rFonts w:ascii="Arial" w:hAnsi="Arial"/>
          <w:color w:val="231F20"/>
          <w:spacing w:val="-16"/>
          <w:w w:val="115"/>
          <w:sz w:val="19"/>
        </w:rPr>
        <w:t> </w:t>
      </w:r>
      <w:r>
        <w:rPr>
          <w:rFonts w:ascii="Arial" w:hAnsi="Arial"/>
          <w:color w:val="231F20"/>
          <w:w w:val="115"/>
          <w:sz w:val="19"/>
        </w:rPr>
        <w:t>spending</w:t>
      </w:r>
      <w:r>
        <w:rPr>
          <w:rFonts w:ascii="Arial" w:hAnsi="Arial"/>
          <w:color w:val="231F20"/>
          <w:spacing w:val="-15"/>
          <w:w w:val="115"/>
          <w:sz w:val="19"/>
        </w:rPr>
        <w:t> </w:t>
      </w:r>
      <w:r>
        <w:rPr>
          <w:rFonts w:ascii="Arial" w:hAnsi="Arial"/>
          <w:color w:val="231F20"/>
          <w:w w:val="115"/>
          <w:sz w:val="19"/>
        </w:rPr>
        <w:t>for</w:t>
      </w:r>
      <w:r>
        <w:rPr>
          <w:rFonts w:ascii="Arial" w:hAnsi="Arial"/>
          <w:color w:val="231F20"/>
          <w:spacing w:val="-15"/>
          <w:w w:val="115"/>
          <w:sz w:val="19"/>
        </w:rPr>
        <w:t> </w:t>
      </w:r>
      <w:r>
        <w:rPr>
          <w:rFonts w:ascii="Arial" w:hAnsi="Arial"/>
          <w:color w:val="231F20"/>
          <w:w w:val="115"/>
          <w:sz w:val="19"/>
        </w:rPr>
        <w:t>one person is income for another.</w:t>
      </w:r>
    </w:p>
    <w:p>
      <w:pPr>
        <w:spacing w:before="2"/>
        <w:ind w:left="1169" w:right="0" w:firstLine="0"/>
        <w:jc w:val="left"/>
        <w:rPr>
          <w:rFonts w:ascii="Arial" w:hAnsi="Arial"/>
          <w:sz w:val="19"/>
        </w:rPr>
      </w:pPr>
      <w:r>
        <w:rPr>
          <w:rFonts w:ascii="Arial" w:hAnsi="Arial"/>
          <w:i/>
          <w:color w:val="231F20"/>
          <w:w w:val="110"/>
          <w:sz w:val="19"/>
        </w:rPr>
        <w:t>Fiscal Policy</w:t>
      </w:r>
      <w:r>
        <w:rPr>
          <w:rFonts w:ascii="Arial" w:hAnsi="Arial"/>
          <w:i/>
          <w:color w:val="231F20"/>
          <w:spacing w:val="-38"/>
          <w:w w:val="110"/>
          <w:sz w:val="19"/>
        </w:rPr>
        <w:t> </w:t>
      </w:r>
      <w:r>
        <w:rPr>
          <w:rFonts w:ascii="Arial" w:hAnsi="Arial"/>
          <w:color w:val="231F20"/>
          <w:spacing w:val="11"/>
          <w:w w:val="110"/>
          <w:sz w:val="19"/>
        </w:rPr>
        <w:t>—</w:t>
      </w:r>
      <w:r>
        <w:rPr>
          <w:rFonts w:ascii="Arial" w:hAnsi="Arial"/>
          <w:color w:val="231F20"/>
          <w:w w:val="110"/>
          <w:sz w:val="19"/>
        </w:rPr>
        <w:t>A</w:t>
      </w:r>
      <w:r>
        <w:rPr>
          <w:rFonts w:ascii="Arial" w:hAnsi="Arial"/>
          <w:color w:val="231F20"/>
          <w:spacing w:val="2"/>
          <w:w w:val="110"/>
          <w:sz w:val="19"/>
        </w:rPr>
        <w:t> </w:t>
      </w:r>
      <w:r>
        <w:rPr>
          <w:rFonts w:ascii="Arial" w:hAnsi="Arial"/>
          <w:color w:val="231F20"/>
          <w:w w:val="110"/>
          <w:sz w:val="19"/>
        </w:rPr>
        <w:t>government’s</w:t>
      </w:r>
      <w:r>
        <w:rPr>
          <w:rFonts w:ascii="Arial" w:hAnsi="Arial"/>
          <w:color w:val="231F20"/>
          <w:spacing w:val="2"/>
          <w:w w:val="110"/>
          <w:sz w:val="19"/>
        </w:rPr>
        <w:t> </w:t>
      </w:r>
      <w:r>
        <w:rPr>
          <w:rFonts w:ascii="Arial" w:hAnsi="Arial"/>
          <w:color w:val="231F20"/>
          <w:w w:val="110"/>
          <w:sz w:val="19"/>
        </w:rPr>
        <w:t>spending</w:t>
      </w:r>
      <w:r>
        <w:rPr>
          <w:rFonts w:ascii="Arial" w:hAnsi="Arial"/>
          <w:color w:val="231F20"/>
          <w:spacing w:val="2"/>
          <w:w w:val="110"/>
          <w:sz w:val="19"/>
        </w:rPr>
        <w:t> </w:t>
      </w:r>
      <w:r>
        <w:rPr>
          <w:rFonts w:ascii="Arial" w:hAnsi="Arial"/>
          <w:color w:val="231F20"/>
          <w:spacing w:val="-2"/>
          <w:w w:val="110"/>
          <w:sz w:val="19"/>
        </w:rPr>
        <w:t>policy</w:t>
      </w:r>
    </w:p>
    <w:p>
      <w:pPr>
        <w:spacing w:line="328" w:lineRule="auto" w:before="81"/>
        <w:ind w:left="1509" w:right="1045" w:hanging="340"/>
        <w:jc w:val="left"/>
        <w:rPr>
          <w:rFonts w:ascii="Arial" w:hAnsi="Arial"/>
          <w:sz w:val="19"/>
        </w:rPr>
      </w:pPr>
      <w:r>
        <w:rPr>
          <w:rFonts w:ascii="Arial" w:hAnsi="Arial"/>
          <w:i/>
          <w:color w:val="231F20"/>
          <w:w w:val="115"/>
          <w:sz w:val="19"/>
        </w:rPr>
        <w:t>Monetary</w:t>
      </w:r>
      <w:r>
        <w:rPr>
          <w:rFonts w:ascii="Arial" w:hAnsi="Arial"/>
          <w:i/>
          <w:color w:val="231F20"/>
          <w:spacing w:val="-16"/>
          <w:w w:val="115"/>
          <w:sz w:val="19"/>
        </w:rPr>
        <w:t> </w:t>
      </w:r>
      <w:r>
        <w:rPr>
          <w:rFonts w:ascii="Arial" w:hAnsi="Arial"/>
          <w:i/>
          <w:color w:val="231F20"/>
          <w:w w:val="115"/>
          <w:sz w:val="19"/>
        </w:rPr>
        <w:t>Policy</w:t>
      </w:r>
      <w:r>
        <w:rPr>
          <w:rFonts w:ascii="Arial" w:hAnsi="Arial"/>
          <w:i/>
          <w:color w:val="231F20"/>
          <w:spacing w:val="-42"/>
          <w:w w:val="115"/>
          <w:sz w:val="19"/>
        </w:rPr>
        <w:t> </w:t>
      </w:r>
      <w:r>
        <w:rPr>
          <w:rFonts w:ascii="Arial" w:hAnsi="Arial"/>
          <w:color w:val="231F20"/>
          <w:spacing w:val="11"/>
          <w:w w:val="115"/>
          <w:sz w:val="19"/>
        </w:rPr>
        <w:t>—</w:t>
      </w:r>
      <w:r>
        <w:rPr>
          <w:rFonts w:ascii="Arial" w:hAnsi="Arial"/>
          <w:color w:val="231F20"/>
          <w:w w:val="115"/>
          <w:sz w:val="19"/>
        </w:rPr>
        <w:t>A</w:t>
      </w:r>
      <w:r>
        <w:rPr>
          <w:rFonts w:ascii="Arial" w:hAnsi="Arial"/>
          <w:color w:val="231F20"/>
          <w:spacing w:val="-15"/>
          <w:w w:val="115"/>
          <w:sz w:val="19"/>
        </w:rPr>
        <w:t> </w:t>
      </w:r>
      <w:r>
        <w:rPr>
          <w:rFonts w:ascii="Arial" w:hAnsi="Arial"/>
          <w:color w:val="231F20"/>
          <w:w w:val="115"/>
          <w:sz w:val="19"/>
        </w:rPr>
        <w:t>government’s</w:t>
      </w:r>
      <w:r>
        <w:rPr>
          <w:rFonts w:ascii="Arial" w:hAnsi="Arial"/>
          <w:color w:val="231F20"/>
          <w:spacing w:val="-15"/>
          <w:w w:val="115"/>
          <w:sz w:val="19"/>
        </w:rPr>
        <w:t> </w:t>
      </w:r>
      <w:r>
        <w:rPr>
          <w:rFonts w:ascii="Arial" w:hAnsi="Arial"/>
          <w:color w:val="231F20"/>
          <w:w w:val="115"/>
          <w:sz w:val="19"/>
        </w:rPr>
        <w:t>policy</w:t>
      </w:r>
      <w:r>
        <w:rPr>
          <w:rFonts w:ascii="Arial" w:hAnsi="Arial"/>
          <w:color w:val="231F20"/>
          <w:spacing w:val="-15"/>
          <w:w w:val="115"/>
          <w:sz w:val="19"/>
        </w:rPr>
        <w:t> </w:t>
      </w:r>
      <w:r>
        <w:rPr>
          <w:rFonts w:ascii="Arial" w:hAnsi="Arial"/>
          <w:color w:val="231F20"/>
          <w:w w:val="115"/>
          <w:sz w:val="19"/>
        </w:rPr>
        <w:t>of</w:t>
      </w:r>
      <w:r>
        <w:rPr>
          <w:rFonts w:ascii="Arial" w:hAnsi="Arial"/>
          <w:color w:val="231F20"/>
          <w:spacing w:val="-15"/>
          <w:w w:val="115"/>
          <w:sz w:val="19"/>
        </w:rPr>
        <w:t> </w:t>
      </w:r>
      <w:r>
        <w:rPr>
          <w:rFonts w:ascii="Arial" w:hAnsi="Arial"/>
          <w:color w:val="231F20"/>
          <w:w w:val="115"/>
          <w:sz w:val="19"/>
        </w:rPr>
        <w:t>controlling</w:t>
      </w:r>
      <w:r>
        <w:rPr>
          <w:rFonts w:ascii="Arial" w:hAnsi="Arial"/>
          <w:color w:val="231F20"/>
          <w:spacing w:val="-15"/>
          <w:w w:val="115"/>
          <w:sz w:val="19"/>
        </w:rPr>
        <w:t> </w:t>
      </w:r>
      <w:r>
        <w:rPr>
          <w:rFonts w:ascii="Arial" w:hAnsi="Arial"/>
          <w:color w:val="231F20"/>
          <w:w w:val="115"/>
          <w:sz w:val="19"/>
        </w:rPr>
        <w:t>the supply of money and interest rates</w:t>
      </w:r>
    </w:p>
    <w:p>
      <w:pPr>
        <w:spacing w:after="0" w:line="328" w:lineRule="auto"/>
        <w:jc w:val="left"/>
        <w:rPr>
          <w:rFonts w:ascii="Arial" w:hAnsi="Arial"/>
          <w:sz w:val="19"/>
        </w:rPr>
        <w:sectPr>
          <w:pgSz w:w="8640" w:h="12960"/>
          <w:pgMar w:header="732" w:footer="0" w:top="920" w:bottom="280" w:left="340" w:right="500"/>
        </w:sectPr>
      </w:pPr>
    </w:p>
    <w:p>
      <w:pPr>
        <w:pStyle w:val="BodyText"/>
        <w:spacing w:before="6"/>
        <w:rPr>
          <w:rFonts w:ascii="Arial"/>
          <w:sz w:val="19"/>
        </w:rPr>
      </w:pPr>
    </w:p>
    <w:p>
      <w:pPr>
        <w:spacing w:line="328" w:lineRule="auto" w:before="97"/>
        <w:ind w:left="1600" w:right="667" w:hanging="340"/>
        <w:jc w:val="left"/>
        <w:rPr>
          <w:rFonts w:ascii="Arial" w:hAnsi="Arial"/>
          <w:sz w:val="19"/>
        </w:rPr>
      </w:pPr>
      <w:r>
        <w:rPr>
          <w:rFonts w:ascii="Arial" w:hAnsi="Arial"/>
          <w:i/>
          <w:color w:val="231F20"/>
          <w:w w:val="115"/>
          <w:sz w:val="19"/>
        </w:rPr>
        <w:t>Adam</w:t>
      </w:r>
      <w:r>
        <w:rPr>
          <w:rFonts w:ascii="Arial" w:hAnsi="Arial"/>
          <w:i/>
          <w:color w:val="231F20"/>
          <w:spacing w:val="-16"/>
          <w:w w:val="115"/>
          <w:sz w:val="19"/>
        </w:rPr>
        <w:t> </w:t>
      </w:r>
      <w:r>
        <w:rPr>
          <w:rFonts w:ascii="Arial" w:hAnsi="Arial"/>
          <w:i/>
          <w:color w:val="231F20"/>
          <w:w w:val="115"/>
          <w:sz w:val="19"/>
        </w:rPr>
        <w:t>Smith</w:t>
      </w:r>
      <w:r>
        <w:rPr>
          <w:rFonts w:ascii="Arial" w:hAnsi="Arial"/>
          <w:i/>
          <w:color w:val="231F20"/>
          <w:spacing w:val="-42"/>
          <w:w w:val="115"/>
          <w:sz w:val="19"/>
        </w:rPr>
        <w:t> </w:t>
      </w:r>
      <w:r>
        <w:rPr>
          <w:rFonts w:ascii="Arial" w:hAnsi="Arial"/>
          <w:color w:val="231F20"/>
          <w:w w:val="115"/>
          <w:sz w:val="19"/>
        </w:rPr>
        <w:t>—The</w:t>
      </w:r>
      <w:r>
        <w:rPr>
          <w:rFonts w:ascii="Arial" w:hAnsi="Arial"/>
          <w:color w:val="231F20"/>
          <w:spacing w:val="-15"/>
          <w:w w:val="115"/>
          <w:sz w:val="19"/>
        </w:rPr>
        <w:t> </w:t>
      </w:r>
      <w:r>
        <w:rPr>
          <w:rFonts w:ascii="Arial" w:hAnsi="Arial"/>
          <w:color w:val="231F20"/>
          <w:w w:val="115"/>
          <w:sz w:val="19"/>
        </w:rPr>
        <w:t>economist</w:t>
      </w:r>
      <w:r>
        <w:rPr>
          <w:rFonts w:ascii="Arial" w:hAnsi="Arial"/>
          <w:color w:val="231F20"/>
          <w:spacing w:val="-15"/>
          <w:w w:val="115"/>
          <w:sz w:val="19"/>
        </w:rPr>
        <w:t> </w:t>
      </w:r>
      <w:r>
        <w:rPr>
          <w:rFonts w:ascii="Arial" w:hAnsi="Arial"/>
          <w:color w:val="231F20"/>
          <w:w w:val="115"/>
          <w:sz w:val="19"/>
        </w:rPr>
        <w:t>who</w:t>
      </w:r>
      <w:r>
        <w:rPr>
          <w:rFonts w:ascii="Arial" w:hAnsi="Arial"/>
          <w:color w:val="231F20"/>
          <w:spacing w:val="-15"/>
          <w:w w:val="115"/>
          <w:sz w:val="19"/>
        </w:rPr>
        <w:t> </w:t>
      </w:r>
      <w:r>
        <w:rPr>
          <w:rFonts w:ascii="Arial" w:hAnsi="Arial"/>
          <w:color w:val="231F20"/>
          <w:w w:val="115"/>
          <w:sz w:val="19"/>
        </w:rPr>
        <w:t>wrote</w:t>
      </w:r>
      <w:r>
        <w:rPr>
          <w:rFonts w:ascii="Arial" w:hAnsi="Arial"/>
          <w:color w:val="231F20"/>
          <w:spacing w:val="-15"/>
          <w:w w:val="115"/>
          <w:sz w:val="19"/>
        </w:rPr>
        <w:t> </w:t>
      </w:r>
      <w:r>
        <w:rPr>
          <w:rFonts w:ascii="Arial" w:hAnsi="Arial"/>
          <w:color w:val="231F20"/>
          <w:w w:val="115"/>
          <w:sz w:val="19"/>
        </w:rPr>
        <w:t>about</w:t>
      </w:r>
      <w:r>
        <w:rPr>
          <w:rFonts w:ascii="Arial" w:hAnsi="Arial"/>
          <w:color w:val="231F20"/>
          <w:spacing w:val="-15"/>
          <w:w w:val="115"/>
          <w:sz w:val="19"/>
        </w:rPr>
        <w:t> </w:t>
      </w:r>
      <w:r>
        <w:rPr>
          <w:rFonts w:ascii="Arial" w:hAnsi="Arial"/>
          <w:color w:val="231F20"/>
          <w:w w:val="115"/>
          <w:sz w:val="19"/>
        </w:rPr>
        <w:t>the</w:t>
      </w:r>
      <w:r>
        <w:rPr>
          <w:rFonts w:ascii="Arial" w:hAnsi="Arial"/>
          <w:color w:val="231F20"/>
          <w:spacing w:val="-16"/>
          <w:w w:val="115"/>
          <w:sz w:val="19"/>
        </w:rPr>
        <w:t> </w:t>
      </w:r>
      <w:r>
        <w:rPr>
          <w:rFonts w:ascii="Arial" w:hAnsi="Arial"/>
          <w:color w:val="231F20"/>
          <w:w w:val="115"/>
          <w:sz w:val="19"/>
        </w:rPr>
        <w:t>“invisible hand”</w:t>
      </w:r>
      <w:r>
        <w:rPr>
          <w:rFonts w:ascii="Arial" w:hAnsi="Arial"/>
          <w:color w:val="231F20"/>
          <w:spacing w:val="-3"/>
          <w:w w:val="115"/>
          <w:sz w:val="19"/>
        </w:rPr>
        <w:t> </w:t>
      </w:r>
      <w:r>
        <w:rPr>
          <w:rFonts w:ascii="Arial" w:hAnsi="Arial"/>
          <w:color w:val="231F20"/>
          <w:w w:val="115"/>
          <w:sz w:val="19"/>
        </w:rPr>
        <w:t>of</w:t>
      </w:r>
      <w:r>
        <w:rPr>
          <w:rFonts w:ascii="Arial" w:hAnsi="Arial"/>
          <w:color w:val="231F20"/>
          <w:spacing w:val="-3"/>
          <w:w w:val="115"/>
          <w:sz w:val="19"/>
        </w:rPr>
        <w:t> </w:t>
      </w:r>
      <w:r>
        <w:rPr>
          <w:rFonts w:ascii="Arial" w:hAnsi="Arial"/>
          <w:color w:val="231F20"/>
          <w:w w:val="115"/>
          <w:sz w:val="19"/>
        </w:rPr>
        <w:t>capitalism</w:t>
      </w:r>
      <w:r>
        <w:rPr>
          <w:rFonts w:ascii="Arial" w:hAnsi="Arial"/>
          <w:color w:val="231F20"/>
          <w:spacing w:val="-3"/>
          <w:w w:val="115"/>
          <w:sz w:val="19"/>
        </w:rPr>
        <w:t> </w:t>
      </w:r>
      <w:r>
        <w:rPr>
          <w:rFonts w:ascii="Arial" w:hAnsi="Arial"/>
          <w:color w:val="231F20"/>
          <w:w w:val="115"/>
          <w:sz w:val="19"/>
        </w:rPr>
        <w:t>in</w:t>
      </w:r>
      <w:r>
        <w:rPr>
          <w:rFonts w:ascii="Arial" w:hAnsi="Arial"/>
          <w:color w:val="231F20"/>
          <w:spacing w:val="-4"/>
          <w:w w:val="115"/>
          <w:sz w:val="19"/>
        </w:rPr>
        <w:t> </w:t>
      </w:r>
      <w:r>
        <w:rPr>
          <w:rFonts w:ascii="Arial" w:hAnsi="Arial"/>
          <w:i/>
          <w:color w:val="231F20"/>
          <w:w w:val="115"/>
          <w:sz w:val="19"/>
        </w:rPr>
        <w:t>The</w:t>
      </w:r>
      <w:r>
        <w:rPr>
          <w:rFonts w:ascii="Arial" w:hAnsi="Arial"/>
          <w:i/>
          <w:color w:val="231F20"/>
          <w:spacing w:val="-3"/>
          <w:w w:val="115"/>
          <w:sz w:val="19"/>
        </w:rPr>
        <w:t> </w:t>
      </w:r>
      <w:r>
        <w:rPr>
          <w:rFonts w:ascii="Arial" w:hAnsi="Arial"/>
          <w:i/>
          <w:color w:val="231F20"/>
          <w:w w:val="115"/>
          <w:sz w:val="19"/>
        </w:rPr>
        <w:t>Wealth</w:t>
      </w:r>
      <w:r>
        <w:rPr>
          <w:rFonts w:ascii="Arial" w:hAnsi="Arial"/>
          <w:i/>
          <w:color w:val="231F20"/>
          <w:spacing w:val="-3"/>
          <w:w w:val="115"/>
          <w:sz w:val="19"/>
        </w:rPr>
        <w:t> </w:t>
      </w:r>
      <w:r>
        <w:rPr>
          <w:rFonts w:ascii="Arial" w:hAnsi="Arial"/>
          <w:i/>
          <w:color w:val="231F20"/>
          <w:w w:val="115"/>
          <w:sz w:val="19"/>
        </w:rPr>
        <w:t>of</w:t>
      </w:r>
      <w:r>
        <w:rPr>
          <w:rFonts w:ascii="Arial" w:hAnsi="Arial"/>
          <w:i/>
          <w:color w:val="231F20"/>
          <w:spacing w:val="-3"/>
          <w:w w:val="115"/>
          <w:sz w:val="19"/>
        </w:rPr>
        <w:t> </w:t>
      </w:r>
      <w:r>
        <w:rPr>
          <w:rFonts w:ascii="Arial" w:hAnsi="Arial"/>
          <w:i/>
          <w:color w:val="231F20"/>
          <w:w w:val="115"/>
          <w:sz w:val="19"/>
        </w:rPr>
        <w:t>Nations</w:t>
      </w:r>
      <w:r>
        <w:rPr>
          <w:rFonts w:ascii="Arial" w:hAnsi="Arial"/>
          <w:i/>
          <w:color w:val="231F20"/>
          <w:spacing w:val="-4"/>
          <w:w w:val="115"/>
          <w:sz w:val="19"/>
        </w:rPr>
        <w:t> </w:t>
      </w:r>
      <w:r>
        <w:rPr>
          <w:rFonts w:ascii="Arial" w:hAnsi="Arial"/>
          <w:color w:val="231F20"/>
          <w:w w:val="115"/>
          <w:sz w:val="19"/>
        </w:rPr>
        <w:t>in</w:t>
      </w:r>
      <w:r>
        <w:rPr>
          <w:rFonts w:ascii="Arial" w:hAnsi="Arial"/>
          <w:color w:val="231F20"/>
          <w:spacing w:val="-3"/>
          <w:w w:val="115"/>
          <w:sz w:val="19"/>
        </w:rPr>
        <w:t> </w:t>
      </w:r>
      <w:r>
        <w:rPr>
          <w:rFonts w:ascii="Arial" w:hAnsi="Arial"/>
          <w:color w:val="231F20"/>
          <w:w w:val="115"/>
          <w:sz w:val="19"/>
        </w:rPr>
        <w:t>1776</w:t>
      </w:r>
    </w:p>
    <w:p>
      <w:pPr>
        <w:spacing w:line="328" w:lineRule="auto" w:before="2"/>
        <w:ind w:left="1600" w:right="667" w:hanging="340"/>
        <w:jc w:val="left"/>
        <w:rPr>
          <w:rFonts w:ascii="Arial" w:hAnsi="Arial"/>
          <w:sz w:val="19"/>
        </w:rPr>
      </w:pPr>
      <w:r>
        <w:rPr>
          <w:rFonts w:ascii="Arial" w:hAnsi="Arial"/>
          <w:i/>
          <w:color w:val="231F20"/>
          <w:w w:val="115"/>
          <w:sz w:val="19"/>
        </w:rPr>
        <w:t>Arthur Laffer</w:t>
      </w:r>
      <w:r>
        <w:rPr>
          <w:rFonts w:ascii="Arial" w:hAnsi="Arial"/>
          <w:i/>
          <w:color w:val="231F20"/>
          <w:spacing w:val="-39"/>
          <w:w w:val="115"/>
          <w:sz w:val="19"/>
        </w:rPr>
        <w:t> </w:t>
      </w:r>
      <w:r>
        <w:rPr>
          <w:rFonts w:ascii="Arial" w:hAnsi="Arial"/>
          <w:color w:val="231F20"/>
          <w:spacing w:val="13"/>
          <w:w w:val="115"/>
          <w:sz w:val="19"/>
        </w:rPr>
        <w:t>—</w:t>
      </w:r>
      <w:r>
        <w:rPr>
          <w:rFonts w:ascii="Arial" w:hAnsi="Arial"/>
          <w:color w:val="231F20"/>
          <w:w w:val="115"/>
          <w:sz w:val="19"/>
        </w:rPr>
        <w:t>1980s economist who developed the Laffer curve,</w:t>
      </w:r>
      <w:r>
        <w:rPr>
          <w:rFonts w:ascii="Arial" w:hAnsi="Arial"/>
          <w:color w:val="231F20"/>
          <w:spacing w:val="-12"/>
          <w:w w:val="115"/>
          <w:sz w:val="19"/>
        </w:rPr>
        <w:t> </w:t>
      </w:r>
      <w:r>
        <w:rPr>
          <w:rFonts w:ascii="Arial" w:hAnsi="Arial"/>
          <w:color w:val="231F20"/>
          <w:w w:val="115"/>
          <w:sz w:val="19"/>
        </w:rPr>
        <w:t>which</w:t>
      </w:r>
      <w:r>
        <w:rPr>
          <w:rFonts w:ascii="Arial" w:hAnsi="Arial"/>
          <w:color w:val="231F20"/>
          <w:spacing w:val="-12"/>
          <w:w w:val="115"/>
          <w:sz w:val="19"/>
        </w:rPr>
        <w:t> </w:t>
      </w:r>
      <w:r>
        <w:rPr>
          <w:rFonts w:ascii="Arial" w:hAnsi="Arial"/>
          <w:color w:val="231F20"/>
          <w:w w:val="115"/>
          <w:sz w:val="19"/>
        </w:rPr>
        <w:t>illustrated</w:t>
      </w:r>
      <w:r>
        <w:rPr>
          <w:rFonts w:ascii="Arial" w:hAnsi="Arial"/>
          <w:color w:val="231F20"/>
          <w:spacing w:val="-12"/>
          <w:w w:val="115"/>
          <w:sz w:val="19"/>
        </w:rPr>
        <w:t> </w:t>
      </w:r>
      <w:r>
        <w:rPr>
          <w:rFonts w:ascii="Arial" w:hAnsi="Arial"/>
          <w:color w:val="231F20"/>
          <w:w w:val="115"/>
          <w:sz w:val="19"/>
        </w:rPr>
        <w:t>that</w:t>
      </w:r>
      <w:r>
        <w:rPr>
          <w:rFonts w:ascii="Arial" w:hAnsi="Arial"/>
          <w:color w:val="231F20"/>
          <w:spacing w:val="-12"/>
          <w:w w:val="115"/>
          <w:sz w:val="19"/>
        </w:rPr>
        <w:t> </w:t>
      </w:r>
      <w:r>
        <w:rPr>
          <w:rFonts w:ascii="Arial" w:hAnsi="Arial"/>
          <w:color w:val="231F20"/>
          <w:w w:val="115"/>
          <w:sz w:val="19"/>
        </w:rPr>
        <w:t>lower</w:t>
      </w:r>
      <w:r>
        <w:rPr>
          <w:rFonts w:ascii="Arial" w:hAnsi="Arial"/>
          <w:color w:val="231F20"/>
          <w:spacing w:val="-12"/>
          <w:w w:val="115"/>
          <w:sz w:val="19"/>
        </w:rPr>
        <w:t> </w:t>
      </w:r>
      <w:r>
        <w:rPr>
          <w:rFonts w:ascii="Arial" w:hAnsi="Arial"/>
          <w:color w:val="231F20"/>
          <w:w w:val="115"/>
          <w:sz w:val="19"/>
        </w:rPr>
        <w:t>tax</w:t>
      </w:r>
      <w:r>
        <w:rPr>
          <w:rFonts w:ascii="Arial" w:hAnsi="Arial"/>
          <w:color w:val="231F20"/>
          <w:spacing w:val="-12"/>
          <w:w w:val="115"/>
          <w:sz w:val="19"/>
        </w:rPr>
        <w:t> </w:t>
      </w:r>
      <w:r>
        <w:rPr>
          <w:rFonts w:ascii="Arial" w:hAnsi="Arial"/>
          <w:color w:val="231F20"/>
          <w:w w:val="115"/>
          <w:sz w:val="19"/>
        </w:rPr>
        <w:t>rates</w:t>
      </w:r>
      <w:r>
        <w:rPr>
          <w:rFonts w:ascii="Arial" w:hAnsi="Arial"/>
          <w:color w:val="231F20"/>
          <w:spacing w:val="-12"/>
          <w:w w:val="115"/>
          <w:sz w:val="19"/>
        </w:rPr>
        <w:t> </w:t>
      </w:r>
      <w:r>
        <w:rPr>
          <w:rFonts w:ascii="Arial" w:hAnsi="Arial"/>
          <w:color w:val="231F20"/>
          <w:w w:val="115"/>
          <w:sz w:val="19"/>
        </w:rPr>
        <w:t>would</w:t>
      </w:r>
      <w:r>
        <w:rPr>
          <w:rFonts w:ascii="Arial" w:hAnsi="Arial"/>
          <w:color w:val="231F20"/>
          <w:spacing w:val="-12"/>
          <w:w w:val="115"/>
          <w:sz w:val="19"/>
        </w:rPr>
        <w:t> </w:t>
      </w:r>
      <w:r>
        <w:rPr>
          <w:rFonts w:ascii="Arial" w:hAnsi="Arial"/>
          <w:color w:val="231F20"/>
          <w:w w:val="115"/>
          <w:sz w:val="19"/>
        </w:rPr>
        <w:t>result</w:t>
      </w:r>
      <w:r>
        <w:rPr>
          <w:rFonts w:ascii="Arial" w:hAnsi="Arial"/>
          <w:color w:val="231F20"/>
          <w:spacing w:val="-12"/>
          <w:w w:val="115"/>
          <w:sz w:val="19"/>
        </w:rPr>
        <w:t> </w:t>
      </w:r>
      <w:r>
        <w:rPr>
          <w:rFonts w:ascii="Arial" w:hAnsi="Arial"/>
          <w:color w:val="231F20"/>
          <w:w w:val="115"/>
          <w:sz w:val="19"/>
        </w:rPr>
        <w:t>in higher tax revenues</w:t>
      </w:r>
    </w:p>
    <w:p>
      <w:pPr>
        <w:spacing w:line="328" w:lineRule="auto" w:before="2"/>
        <w:ind w:left="1600" w:right="1045" w:hanging="340"/>
        <w:jc w:val="left"/>
        <w:rPr>
          <w:rFonts w:ascii="Arial" w:hAnsi="Arial"/>
          <w:sz w:val="19"/>
        </w:rPr>
      </w:pPr>
      <w:r>
        <w:rPr>
          <w:rFonts w:ascii="Arial" w:hAnsi="Arial"/>
          <w:i/>
          <w:color w:val="231F20"/>
          <w:w w:val="110"/>
          <w:sz w:val="19"/>
        </w:rPr>
        <w:t>Balance of Payments</w:t>
      </w:r>
      <w:r>
        <w:rPr>
          <w:rFonts w:ascii="Arial" w:hAnsi="Arial"/>
          <w:i/>
          <w:color w:val="231F20"/>
          <w:spacing w:val="-37"/>
          <w:w w:val="110"/>
          <w:sz w:val="19"/>
        </w:rPr>
        <w:t> </w:t>
      </w:r>
      <w:r>
        <w:rPr>
          <w:rFonts w:ascii="Arial" w:hAnsi="Arial"/>
          <w:color w:val="231F20"/>
          <w:w w:val="110"/>
          <w:sz w:val="19"/>
        </w:rPr>
        <w:t>—The accounting for the inflows and </w:t>
      </w:r>
      <w:r>
        <w:rPr>
          <w:rFonts w:ascii="Arial" w:hAnsi="Arial"/>
          <w:color w:val="231F20"/>
          <w:w w:val="115"/>
          <w:sz w:val="19"/>
        </w:rPr>
        <w:t>outflows of foreign exchange of a country</w:t>
      </w:r>
    </w:p>
    <w:p>
      <w:pPr>
        <w:spacing w:line="328" w:lineRule="auto" w:before="1"/>
        <w:ind w:left="1600" w:right="667" w:hanging="340"/>
        <w:jc w:val="left"/>
        <w:rPr>
          <w:rFonts w:ascii="Arial" w:hAnsi="Arial"/>
          <w:sz w:val="19"/>
        </w:rPr>
      </w:pPr>
      <w:r>
        <w:rPr>
          <w:rFonts w:ascii="Arial" w:hAnsi="Arial"/>
          <w:i/>
          <w:color w:val="231F20"/>
          <w:w w:val="115"/>
          <w:sz w:val="19"/>
        </w:rPr>
        <w:t>Country Analysis</w:t>
      </w:r>
      <w:r>
        <w:rPr>
          <w:rFonts w:ascii="Arial" w:hAnsi="Arial"/>
          <w:i/>
          <w:color w:val="231F20"/>
          <w:spacing w:val="-40"/>
          <w:w w:val="115"/>
          <w:sz w:val="19"/>
        </w:rPr>
        <w:t> </w:t>
      </w:r>
      <w:r>
        <w:rPr>
          <w:rFonts w:ascii="Arial" w:hAnsi="Arial"/>
          <w:color w:val="231F20"/>
          <w:spacing w:val="11"/>
          <w:w w:val="115"/>
          <w:sz w:val="19"/>
        </w:rPr>
        <w:t>—</w:t>
      </w:r>
      <w:r>
        <w:rPr>
          <w:rFonts w:ascii="Arial" w:hAnsi="Arial"/>
          <w:color w:val="231F20"/>
          <w:w w:val="115"/>
          <w:sz w:val="19"/>
        </w:rPr>
        <w:t>A systematic framework to organize economic</w:t>
      </w:r>
      <w:r>
        <w:rPr>
          <w:rFonts w:ascii="Arial" w:hAnsi="Arial"/>
          <w:color w:val="231F20"/>
          <w:spacing w:val="-12"/>
          <w:w w:val="115"/>
          <w:sz w:val="19"/>
        </w:rPr>
        <w:t> </w:t>
      </w:r>
      <w:r>
        <w:rPr>
          <w:rFonts w:ascii="Arial" w:hAnsi="Arial"/>
          <w:color w:val="231F20"/>
          <w:w w:val="115"/>
          <w:sz w:val="19"/>
        </w:rPr>
        <w:t>data</w:t>
      </w:r>
      <w:r>
        <w:rPr>
          <w:rFonts w:ascii="Arial" w:hAnsi="Arial"/>
          <w:color w:val="231F20"/>
          <w:spacing w:val="-12"/>
          <w:w w:val="115"/>
          <w:sz w:val="19"/>
        </w:rPr>
        <w:t> </w:t>
      </w:r>
      <w:r>
        <w:rPr>
          <w:rFonts w:ascii="Arial" w:hAnsi="Arial"/>
          <w:color w:val="231F20"/>
          <w:w w:val="115"/>
          <w:sz w:val="19"/>
        </w:rPr>
        <w:t>and</w:t>
      </w:r>
      <w:r>
        <w:rPr>
          <w:rFonts w:ascii="Arial" w:hAnsi="Arial"/>
          <w:color w:val="231F20"/>
          <w:spacing w:val="-12"/>
          <w:w w:val="115"/>
          <w:sz w:val="19"/>
        </w:rPr>
        <w:t> </w:t>
      </w:r>
      <w:r>
        <w:rPr>
          <w:rFonts w:ascii="Arial" w:hAnsi="Arial"/>
          <w:color w:val="231F20"/>
          <w:w w:val="115"/>
          <w:sz w:val="19"/>
        </w:rPr>
        <w:t>make</w:t>
      </w:r>
      <w:r>
        <w:rPr>
          <w:rFonts w:ascii="Arial" w:hAnsi="Arial"/>
          <w:color w:val="231F20"/>
          <w:spacing w:val="-12"/>
          <w:w w:val="115"/>
          <w:sz w:val="19"/>
        </w:rPr>
        <w:t> </w:t>
      </w:r>
      <w:r>
        <w:rPr>
          <w:rFonts w:ascii="Arial" w:hAnsi="Arial"/>
          <w:color w:val="231F20"/>
          <w:w w:val="115"/>
          <w:sz w:val="19"/>
        </w:rPr>
        <w:t>predictions</w:t>
      </w:r>
      <w:r>
        <w:rPr>
          <w:rFonts w:ascii="Arial" w:hAnsi="Arial"/>
          <w:color w:val="231F20"/>
          <w:spacing w:val="-12"/>
          <w:w w:val="115"/>
          <w:sz w:val="19"/>
        </w:rPr>
        <w:t> </w:t>
      </w:r>
      <w:r>
        <w:rPr>
          <w:rFonts w:ascii="Arial" w:hAnsi="Arial"/>
          <w:color w:val="231F20"/>
          <w:w w:val="115"/>
          <w:sz w:val="19"/>
        </w:rPr>
        <w:t>about</w:t>
      </w:r>
      <w:r>
        <w:rPr>
          <w:rFonts w:ascii="Arial" w:hAnsi="Arial"/>
          <w:color w:val="231F20"/>
          <w:spacing w:val="-12"/>
          <w:w w:val="115"/>
          <w:sz w:val="19"/>
        </w:rPr>
        <w:t> </w:t>
      </w:r>
      <w:r>
        <w:rPr>
          <w:rFonts w:ascii="Arial" w:hAnsi="Arial"/>
          <w:color w:val="231F20"/>
          <w:w w:val="115"/>
          <w:sz w:val="19"/>
        </w:rPr>
        <w:t>the</w:t>
      </w:r>
      <w:r>
        <w:rPr>
          <w:rFonts w:ascii="Arial" w:hAnsi="Arial"/>
          <w:color w:val="231F20"/>
          <w:spacing w:val="-12"/>
          <w:w w:val="115"/>
          <w:sz w:val="19"/>
        </w:rPr>
        <w:t> </w:t>
      </w:r>
      <w:r>
        <w:rPr>
          <w:rFonts w:ascii="Arial" w:hAnsi="Arial"/>
          <w:color w:val="231F20"/>
          <w:w w:val="115"/>
          <w:sz w:val="19"/>
        </w:rPr>
        <w:t>prospects of a nation</w:t>
      </w:r>
    </w:p>
    <w:p>
      <w:pPr>
        <w:spacing w:after="0" w:line="328" w:lineRule="auto"/>
        <w:jc w:val="left"/>
        <w:rPr>
          <w:rFonts w:ascii="Arial" w:hAnsi="Arial"/>
          <w:sz w:val="19"/>
        </w:rPr>
        <w:sectPr>
          <w:pgSz w:w="8640" w:h="12960"/>
          <w:pgMar w:header="734" w:footer="0" w:top="920" w:bottom="280" w:left="340" w:right="50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9"/>
        </w:rPr>
      </w:pPr>
    </w:p>
    <w:p>
      <w:pPr>
        <w:spacing w:before="86"/>
        <w:ind w:left="289" w:right="219" w:firstLine="0"/>
        <w:jc w:val="center"/>
        <w:rPr>
          <w:b/>
          <w:i/>
          <w:sz w:val="40"/>
        </w:rPr>
      </w:pPr>
      <w:bookmarkStart w:name="Day 9" w:id="25"/>
      <w:bookmarkEnd w:id="25"/>
      <w:r>
        <w:rPr/>
      </w:r>
      <w:bookmarkStart w:name="_bookmark12" w:id="26"/>
      <w:bookmarkEnd w:id="26"/>
      <w:r>
        <w:rPr/>
      </w:r>
      <w:hyperlink w:history="true" w:anchor="_bookmark1">
        <w:r>
          <w:rPr>
            <w:b/>
            <w:i/>
            <w:color w:val="0000FF"/>
            <w:spacing w:val="12"/>
            <w:sz w:val="40"/>
          </w:rPr>
          <w:t>Day</w:t>
        </w:r>
        <w:r>
          <w:rPr>
            <w:b/>
            <w:i/>
            <w:color w:val="0000FF"/>
            <w:spacing w:val="68"/>
            <w:sz w:val="40"/>
          </w:rPr>
          <w:t> </w:t>
        </w:r>
        <w:r>
          <w:rPr>
            <w:b/>
            <w:i/>
            <w:color w:val="0000FF"/>
            <w:spacing w:val="-10"/>
            <w:sz w:val="40"/>
          </w:rPr>
          <w:t>9</w:t>
        </w:r>
      </w:hyperlink>
    </w:p>
    <w:p>
      <w:pPr>
        <w:pStyle w:val="BodyText"/>
        <w:spacing w:before="10"/>
        <w:rPr>
          <w:b/>
          <w:i/>
          <w:sz w:val="10"/>
        </w:rPr>
      </w:pPr>
      <w:r>
        <w:rPr/>
        <w:pict>
          <v:shape style="position:absolute;margin-left:175.75pt;margin-top:7.583056pt;width:76pt;height:.1pt;mso-position-horizontal-relative:page;mso-position-vertical-relative:paragraph;z-index:-15541760;mso-wrap-distance-left:0;mso-wrap-distance-right:0" id="docshape462" coordorigin="3515,152" coordsize="1520,0" path="m3515,152l5035,152e" filled="false" stroked="true" strokeweight="6pt" strokecolor="#d1d3d4">
            <v:path arrowok="t"/>
            <v:stroke dashstyle="solid"/>
            <w10:wrap type="topAndBottom"/>
          </v:shape>
        </w:pict>
      </w:r>
    </w:p>
    <w:p>
      <w:pPr>
        <w:pStyle w:val="Heading1"/>
      </w:pPr>
      <w:r>
        <w:rPr>
          <w:color w:val="231F20"/>
          <w:spacing w:val="35"/>
          <w:w w:val="90"/>
        </w:rPr>
        <w:t>STRATEGY</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Heading5"/>
        <w:spacing w:before="215"/>
        <w:rPr>
          <w:i/>
        </w:rPr>
      </w:pPr>
      <w:r>
        <w:rPr>
          <w:i/>
          <w:color w:val="231F20"/>
          <w:spacing w:val="9"/>
          <w:w w:val="90"/>
        </w:rPr>
        <w:t>Strategy</w:t>
      </w:r>
      <w:r>
        <w:rPr>
          <w:i/>
          <w:color w:val="231F20"/>
          <w:spacing w:val="47"/>
        </w:rPr>
        <w:t> </w:t>
      </w:r>
      <w:r>
        <w:rPr>
          <w:i/>
          <w:color w:val="231F20"/>
          <w:spacing w:val="-2"/>
          <w:w w:val="95"/>
        </w:rPr>
        <w:t>Topics</w:t>
      </w:r>
    </w:p>
    <w:p>
      <w:pPr>
        <w:spacing w:line="328" w:lineRule="auto" w:before="71"/>
        <w:ind w:left="1170" w:right="4535" w:firstLine="0"/>
        <w:jc w:val="left"/>
        <w:rPr>
          <w:rFonts w:ascii="Arial"/>
          <w:sz w:val="19"/>
        </w:rPr>
      </w:pPr>
      <w:r>
        <w:rPr>
          <w:rFonts w:ascii="Arial"/>
          <w:color w:val="808285"/>
          <w:w w:val="110"/>
          <w:sz w:val="19"/>
        </w:rPr>
        <w:t>The</w:t>
      </w:r>
      <w:r>
        <w:rPr>
          <w:rFonts w:ascii="Arial"/>
          <w:color w:val="808285"/>
          <w:spacing w:val="-7"/>
          <w:w w:val="110"/>
          <w:sz w:val="19"/>
        </w:rPr>
        <w:t> </w:t>
      </w:r>
      <w:r>
        <w:rPr>
          <w:rFonts w:ascii="Arial"/>
          <w:color w:val="808285"/>
          <w:w w:val="110"/>
          <w:sz w:val="19"/>
        </w:rPr>
        <w:t>Seven</w:t>
      </w:r>
      <w:r>
        <w:rPr>
          <w:rFonts w:ascii="Arial"/>
          <w:color w:val="808285"/>
          <w:spacing w:val="-7"/>
          <w:w w:val="110"/>
          <w:sz w:val="19"/>
        </w:rPr>
        <w:t> </w:t>
      </w:r>
      <w:r>
        <w:rPr>
          <w:rFonts w:ascii="Arial"/>
          <w:color w:val="808285"/>
          <w:w w:val="110"/>
          <w:sz w:val="19"/>
        </w:rPr>
        <w:t>S</w:t>
      </w:r>
      <w:r>
        <w:rPr>
          <w:rFonts w:ascii="Arial"/>
          <w:color w:val="808285"/>
          <w:spacing w:val="-7"/>
          <w:w w:val="110"/>
          <w:sz w:val="19"/>
        </w:rPr>
        <w:t> </w:t>
      </w:r>
      <w:r>
        <w:rPr>
          <w:rFonts w:ascii="Arial"/>
          <w:color w:val="808285"/>
          <w:w w:val="110"/>
          <w:sz w:val="19"/>
        </w:rPr>
        <w:t>Model The Value Chain</w:t>
      </w:r>
    </w:p>
    <w:p>
      <w:pPr>
        <w:spacing w:line="328" w:lineRule="auto" w:before="1"/>
        <w:ind w:left="1170" w:right="2640" w:firstLine="0"/>
        <w:jc w:val="left"/>
        <w:rPr>
          <w:rFonts w:ascii="Arial"/>
          <w:sz w:val="19"/>
        </w:rPr>
      </w:pPr>
      <w:r>
        <w:rPr>
          <w:rFonts w:ascii="Arial"/>
          <w:color w:val="808285"/>
          <w:w w:val="115"/>
          <w:sz w:val="19"/>
        </w:rPr>
        <w:t>Integration and Expansion Strategies Industry Analysis</w:t>
      </w:r>
    </w:p>
    <w:p>
      <w:pPr>
        <w:spacing w:line="328" w:lineRule="auto" w:before="2"/>
        <w:ind w:left="1170" w:right="4372" w:firstLine="0"/>
        <w:jc w:val="left"/>
        <w:rPr>
          <w:rFonts w:ascii="Arial"/>
          <w:sz w:val="19"/>
        </w:rPr>
      </w:pPr>
      <w:r>
        <w:rPr>
          <w:rFonts w:ascii="Arial"/>
          <w:color w:val="808285"/>
          <w:spacing w:val="-2"/>
          <w:w w:val="120"/>
          <w:sz w:val="19"/>
        </w:rPr>
        <w:t>Competitive</w:t>
      </w:r>
      <w:r>
        <w:rPr>
          <w:rFonts w:ascii="Arial"/>
          <w:color w:val="808285"/>
          <w:spacing w:val="-14"/>
          <w:w w:val="120"/>
          <w:sz w:val="19"/>
        </w:rPr>
        <w:t> </w:t>
      </w:r>
      <w:r>
        <w:rPr>
          <w:rFonts w:ascii="Arial"/>
          <w:color w:val="808285"/>
          <w:spacing w:val="-2"/>
          <w:w w:val="120"/>
          <w:sz w:val="19"/>
        </w:rPr>
        <w:t>Strategies Signaling</w:t>
      </w:r>
    </w:p>
    <w:p>
      <w:pPr>
        <w:spacing w:line="328" w:lineRule="auto" w:before="1"/>
        <w:ind w:left="1170" w:right="4535" w:firstLine="0"/>
        <w:jc w:val="left"/>
        <w:rPr>
          <w:rFonts w:ascii="Arial"/>
          <w:sz w:val="19"/>
        </w:rPr>
      </w:pPr>
      <w:r>
        <w:rPr/>
        <w:pict>
          <v:shape style="position:absolute;margin-left:58.5pt;margin-top:66.717934pt;width:17.8pt;height:40.050pt;mso-position-horizontal-relative:page;mso-position-vertical-relative:paragraph;z-index:-25041920" type="#_x0000_t202" id="docshape463" filled="false" stroked="false">
            <v:textbox inset="0,0,0,0">
              <w:txbxContent>
                <w:p>
                  <w:pPr>
                    <w:spacing w:line="789" w:lineRule="exact" w:before="11"/>
                    <w:ind w:left="0" w:right="0" w:firstLine="0"/>
                    <w:jc w:val="left"/>
                    <w:rPr>
                      <w:rFonts w:ascii="Trebuchet MS"/>
                      <w:sz w:val="68"/>
                    </w:rPr>
                  </w:pPr>
                  <w:r>
                    <w:rPr>
                      <w:rFonts w:ascii="Trebuchet MS"/>
                      <w:color w:val="808285"/>
                      <w:w w:val="108"/>
                      <w:sz w:val="68"/>
                    </w:rPr>
                    <w:t>S</w:t>
                  </w:r>
                </w:p>
              </w:txbxContent>
            </v:textbox>
            <w10:wrap type="none"/>
          </v:shape>
        </w:pict>
      </w:r>
      <w:r>
        <w:rPr>
          <w:rFonts w:ascii="Arial"/>
          <w:color w:val="808285"/>
          <w:spacing w:val="-2"/>
          <w:w w:val="120"/>
          <w:sz w:val="19"/>
        </w:rPr>
        <w:t>Portfolio</w:t>
      </w:r>
      <w:r>
        <w:rPr>
          <w:rFonts w:ascii="Arial"/>
          <w:color w:val="808285"/>
          <w:spacing w:val="-14"/>
          <w:w w:val="120"/>
          <w:sz w:val="19"/>
        </w:rPr>
        <w:t> </w:t>
      </w:r>
      <w:r>
        <w:rPr>
          <w:rFonts w:ascii="Arial"/>
          <w:color w:val="808285"/>
          <w:spacing w:val="-2"/>
          <w:w w:val="120"/>
          <w:sz w:val="19"/>
        </w:rPr>
        <w:t>Strategies Globalization Synergy Incrementalism</w:t>
      </w:r>
    </w:p>
    <w:p>
      <w:pPr>
        <w:pStyle w:val="BodyText"/>
        <w:spacing w:before="10"/>
        <w:rPr>
          <w:rFonts w:ascii="Arial"/>
          <w:sz w:val="24"/>
        </w:rPr>
      </w:pPr>
    </w:p>
    <w:p>
      <w:pPr>
        <w:pStyle w:val="BodyText"/>
        <w:spacing w:line="292" w:lineRule="auto"/>
        <w:ind w:left="829" w:right="755" w:firstLine="355"/>
        <w:jc w:val="right"/>
      </w:pPr>
      <w:r>
        <w:rPr>
          <w:color w:val="231F20"/>
        </w:rPr>
        <w:t>trategy</w:t>
      </w:r>
      <w:r>
        <w:rPr>
          <w:color w:val="231F20"/>
          <w:spacing w:val="34"/>
        </w:rPr>
        <w:t> </w:t>
      </w:r>
      <w:r>
        <w:rPr>
          <w:color w:val="231F20"/>
        </w:rPr>
        <w:t>is</w:t>
      </w:r>
      <w:r>
        <w:rPr>
          <w:color w:val="231F20"/>
          <w:spacing w:val="34"/>
        </w:rPr>
        <w:t> </w:t>
      </w:r>
      <w:r>
        <w:rPr>
          <w:color w:val="231F20"/>
        </w:rPr>
        <w:t>the</w:t>
      </w:r>
      <w:r>
        <w:rPr>
          <w:color w:val="231F20"/>
          <w:spacing w:val="34"/>
        </w:rPr>
        <w:t> </w:t>
      </w:r>
      <w:r>
        <w:rPr>
          <w:color w:val="231F20"/>
        </w:rPr>
        <w:t>most</w:t>
      </w:r>
      <w:r>
        <w:rPr>
          <w:color w:val="231F20"/>
          <w:spacing w:val="34"/>
        </w:rPr>
        <w:t> </w:t>
      </w:r>
      <w:r>
        <w:rPr>
          <w:color w:val="231F20"/>
        </w:rPr>
        <w:t>exciting</w:t>
      </w:r>
      <w:r>
        <w:rPr>
          <w:color w:val="231F20"/>
          <w:spacing w:val="34"/>
        </w:rPr>
        <w:t> </w:t>
      </w:r>
      <w:r>
        <w:rPr>
          <w:color w:val="231F20"/>
        </w:rPr>
        <w:t>course</w:t>
      </w:r>
      <w:r>
        <w:rPr>
          <w:color w:val="231F20"/>
          <w:spacing w:val="34"/>
        </w:rPr>
        <w:t> </w:t>
      </w:r>
      <w:r>
        <w:rPr>
          <w:color w:val="231F20"/>
        </w:rPr>
        <w:t>in</w:t>
      </w:r>
      <w:r>
        <w:rPr>
          <w:color w:val="231F20"/>
          <w:spacing w:val="34"/>
        </w:rPr>
        <w:t> </w:t>
      </w:r>
      <w:r>
        <w:rPr>
          <w:color w:val="231F20"/>
        </w:rPr>
        <w:t>the</w:t>
      </w:r>
      <w:r>
        <w:rPr>
          <w:color w:val="231F20"/>
          <w:spacing w:val="34"/>
        </w:rPr>
        <w:t> </w:t>
      </w:r>
      <w:r>
        <w:rPr>
          <w:color w:val="231F20"/>
        </w:rPr>
        <w:t>MBA</w:t>
      </w:r>
      <w:r>
        <w:rPr>
          <w:color w:val="231F20"/>
          <w:spacing w:val="34"/>
        </w:rPr>
        <w:t> </w:t>
      </w:r>
      <w:r>
        <w:rPr>
          <w:color w:val="231F20"/>
        </w:rPr>
        <w:t>curriculum</w:t>
      </w:r>
      <w:r>
        <w:rPr>
          <w:color w:val="231F20"/>
          <w:spacing w:val="34"/>
        </w:rPr>
        <w:t> </w:t>
      </w:r>
      <w:r>
        <w:rPr>
          <w:color w:val="231F20"/>
        </w:rPr>
        <w:t>be- cause</w:t>
      </w:r>
      <w:r>
        <w:rPr>
          <w:color w:val="231F20"/>
          <w:spacing w:val="31"/>
        </w:rPr>
        <w:t> </w:t>
      </w:r>
      <w:r>
        <w:rPr>
          <w:color w:val="231F20"/>
        </w:rPr>
        <w:t>it</w:t>
      </w:r>
      <w:r>
        <w:rPr>
          <w:color w:val="231F20"/>
          <w:spacing w:val="31"/>
        </w:rPr>
        <w:t> </w:t>
      </w:r>
      <w:r>
        <w:rPr>
          <w:color w:val="231F20"/>
        </w:rPr>
        <w:t>gives</w:t>
      </w:r>
      <w:r>
        <w:rPr>
          <w:color w:val="231F20"/>
          <w:spacing w:val="31"/>
        </w:rPr>
        <w:t> </w:t>
      </w:r>
      <w:r>
        <w:rPr>
          <w:color w:val="231F20"/>
        </w:rPr>
        <w:t>you</w:t>
      </w:r>
      <w:r>
        <w:rPr>
          <w:color w:val="231F20"/>
          <w:spacing w:val="31"/>
        </w:rPr>
        <w:t> </w:t>
      </w:r>
      <w:r>
        <w:rPr>
          <w:color w:val="231F20"/>
        </w:rPr>
        <w:t>the</w:t>
      </w:r>
      <w:r>
        <w:rPr>
          <w:color w:val="231F20"/>
          <w:spacing w:val="31"/>
        </w:rPr>
        <w:t> </w:t>
      </w:r>
      <w:r>
        <w:rPr>
          <w:color w:val="231F20"/>
        </w:rPr>
        <w:t>chance</w:t>
      </w:r>
      <w:r>
        <w:rPr>
          <w:color w:val="231F20"/>
          <w:spacing w:val="31"/>
        </w:rPr>
        <w:t> </w:t>
      </w:r>
      <w:r>
        <w:rPr>
          <w:color w:val="231F20"/>
        </w:rPr>
        <w:t>to</w:t>
      </w:r>
      <w:r>
        <w:rPr>
          <w:color w:val="231F20"/>
          <w:spacing w:val="31"/>
        </w:rPr>
        <w:t> </w:t>
      </w:r>
      <w:r>
        <w:rPr>
          <w:color w:val="231F20"/>
        </w:rPr>
        <w:t>put</w:t>
      </w:r>
      <w:r>
        <w:rPr>
          <w:color w:val="231F20"/>
          <w:spacing w:val="31"/>
        </w:rPr>
        <w:t> </w:t>
      </w:r>
      <w:r>
        <w:rPr>
          <w:color w:val="231F20"/>
        </w:rPr>
        <w:t>all</w:t>
      </w:r>
      <w:r>
        <w:rPr>
          <w:color w:val="231F20"/>
          <w:spacing w:val="31"/>
        </w:rPr>
        <w:t> </w:t>
      </w:r>
      <w:r>
        <w:rPr>
          <w:color w:val="231F20"/>
        </w:rPr>
        <w:t>your</w:t>
      </w:r>
      <w:r>
        <w:rPr>
          <w:color w:val="231F20"/>
          <w:spacing w:val="31"/>
        </w:rPr>
        <w:t> </w:t>
      </w:r>
      <w:r>
        <w:rPr>
          <w:color w:val="231F20"/>
        </w:rPr>
        <w:t>new</w:t>
      </w:r>
      <w:r>
        <w:rPr>
          <w:color w:val="231F20"/>
          <w:spacing w:val="31"/>
        </w:rPr>
        <w:t> </w:t>
      </w:r>
      <w:r>
        <w:rPr>
          <w:color w:val="231F20"/>
        </w:rPr>
        <w:t>skills</w:t>
      </w:r>
      <w:r>
        <w:rPr>
          <w:color w:val="231F20"/>
          <w:spacing w:val="31"/>
        </w:rPr>
        <w:t> </w:t>
      </w:r>
      <w:r>
        <w:rPr>
          <w:color w:val="231F20"/>
        </w:rPr>
        <w:t>to</w:t>
      </w:r>
      <w:r>
        <w:rPr>
          <w:color w:val="231F20"/>
          <w:spacing w:val="31"/>
        </w:rPr>
        <w:t> </w:t>
      </w:r>
      <w:r>
        <w:rPr>
          <w:color w:val="231F20"/>
        </w:rPr>
        <w:t>work. Most professors insist that strategy be taught after completing most of the core courses, because it requires a background in all the MBA disciplines.</w:t>
      </w:r>
      <w:r>
        <w:rPr>
          <w:color w:val="231F20"/>
          <w:spacing w:val="39"/>
        </w:rPr>
        <w:t> </w:t>
      </w:r>
      <w:r>
        <w:rPr>
          <w:color w:val="231F20"/>
        </w:rPr>
        <w:t>Strategy</w:t>
      </w:r>
      <w:r>
        <w:rPr>
          <w:color w:val="231F20"/>
          <w:spacing w:val="39"/>
        </w:rPr>
        <w:t> </w:t>
      </w:r>
      <w:r>
        <w:rPr>
          <w:color w:val="231F20"/>
        </w:rPr>
        <w:t>classes</w:t>
      </w:r>
      <w:r>
        <w:rPr>
          <w:color w:val="231F20"/>
          <w:spacing w:val="39"/>
        </w:rPr>
        <w:t> </w:t>
      </w:r>
      <w:r>
        <w:rPr>
          <w:color w:val="231F20"/>
        </w:rPr>
        <w:t>place</w:t>
      </w:r>
      <w:r>
        <w:rPr>
          <w:color w:val="231F20"/>
          <w:spacing w:val="39"/>
        </w:rPr>
        <w:t> </w:t>
      </w:r>
      <w:r>
        <w:rPr>
          <w:color w:val="231F20"/>
        </w:rPr>
        <w:t>students</w:t>
      </w:r>
      <w:r>
        <w:rPr>
          <w:color w:val="231F20"/>
          <w:spacing w:val="39"/>
        </w:rPr>
        <w:t> </w:t>
      </w:r>
      <w:r>
        <w:rPr>
          <w:color w:val="231F20"/>
        </w:rPr>
        <w:t>in</w:t>
      </w:r>
      <w:r>
        <w:rPr>
          <w:color w:val="231F20"/>
          <w:spacing w:val="39"/>
        </w:rPr>
        <w:t> </w:t>
      </w:r>
      <w:r>
        <w:rPr>
          <w:color w:val="231F20"/>
        </w:rPr>
        <w:t>the</w:t>
      </w:r>
      <w:r>
        <w:rPr>
          <w:color w:val="231F20"/>
          <w:spacing w:val="39"/>
        </w:rPr>
        <w:t> </w:t>
      </w:r>
      <w:r>
        <w:rPr>
          <w:color w:val="231F20"/>
        </w:rPr>
        <w:t>chairman</w:t>
      </w:r>
      <w:r>
        <w:rPr>
          <w:color w:val="231F20"/>
          <w:spacing w:val="39"/>
        </w:rPr>
        <w:t> </w:t>
      </w:r>
      <w:r>
        <w:rPr>
          <w:color w:val="231F20"/>
        </w:rPr>
        <w:t>of</w:t>
      </w:r>
      <w:r>
        <w:rPr>
          <w:color w:val="231F20"/>
          <w:spacing w:val="39"/>
        </w:rPr>
        <w:t> </w:t>
      </w:r>
      <w:r>
        <w:rPr>
          <w:color w:val="231F20"/>
        </w:rPr>
        <w:t>the board’s chair, and MBAs love that feeling. As my strategy professor</w:t>
      </w:r>
      <w:r>
        <w:rPr>
          <w:color w:val="231F20"/>
          <w:spacing w:val="40"/>
        </w:rPr>
        <w:t> </w:t>
      </w:r>
      <w:r>
        <w:rPr>
          <w:color w:val="231F20"/>
        </w:rPr>
        <w:t>told</w:t>
      </w:r>
      <w:r>
        <w:rPr>
          <w:color w:val="231F20"/>
          <w:spacing w:val="40"/>
        </w:rPr>
        <w:t> </w:t>
      </w:r>
      <w:r>
        <w:rPr>
          <w:color w:val="231F20"/>
        </w:rPr>
        <w:t>us,</w:t>
      </w:r>
      <w:r>
        <w:rPr>
          <w:color w:val="231F20"/>
          <w:spacing w:val="40"/>
        </w:rPr>
        <w:t> </w:t>
      </w:r>
      <w:r>
        <w:rPr>
          <w:color w:val="231F20"/>
        </w:rPr>
        <w:t>exposure</w:t>
      </w:r>
      <w:r>
        <w:rPr>
          <w:color w:val="231F20"/>
          <w:spacing w:val="40"/>
        </w:rPr>
        <w:t> </w:t>
      </w:r>
      <w:r>
        <w:rPr>
          <w:color w:val="231F20"/>
        </w:rPr>
        <w:t>to</w:t>
      </w:r>
      <w:r>
        <w:rPr>
          <w:color w:val="231F20"/>
          <w:spacing w:val="40"/>
        </w:rPr>
        <w:t> </w:t>
      </w:r>
      <w:r>
        <w:rPr>
          <w:color w:val="231F20"/>
        </w:rPr>
        <w:t>strategy</w:t>
      </w:r>
      <w:r>
        <w:rPr>
          <w:color w:val="231F20"/>
          <w:spacing w:val="40"/>
        </w:rPr>
        <w:t> </w:t>
      </w:r>
      <w:r>
        <w:rPr>
          <w:color w:val="231F20"/>
        </w:rPr>
        <w:t>concepts</w:t>
      </w:r>
      <w:r>
        <w:rPr>
          <w:color w:val="231F20"/>
          <w:spacing w:val="40"/>
        </w:rPr>
        <w:t> </w:t>
      </w:r>
      <w:r>
        <w:rPr>
          <w:color w:val="231F20"/>
        </w:rPr>
        <w:t>alters</w:t>
      </w:r>
      <w:r>
        <w:rPr>
          <w:color w:val="231F20"/>
          <w:spacing w:val="40"/>
        </w:rPr>
        <w:t> </w:t>
      </w:r>
      <w:r>
        <w:rPr>
          <w:color w:val="231F20"/>
        </w:rPr>
        <w:t>the</w:t>
      </w:r>
      <w:r>
        <w:rPr>
          <w:color w:val="231F20"/>
          <w:spacing w:val="40"/>
        </w:rPr>
        <w:t> </w:t>
      </w:r>
      <w:r>
        <w:rPr>
          <w:color w:val="231F20"/>
        </w:rPr>
        <w:t>way</w:t>
      </w:r>
      <w:r>
        <w:rPr>
          <w:color w:val="231F20"/>
          <w:spacing w:val="40"/>
        </w:rPr>
        <w:t> </w:t>
      </w:r>
      <w:r>
        <w:rPr>
          <w:color w:val="231F20"/>
        </w:rPr>
        <w:t>you</w:t>
      </w:r>
      <w:r>
        <w:rPr>
          <w:color w:val="231F20"/>
          <w:spacing w:val="40"/>
        </w:rPr>
        <w:t> </w:t>
      </w:r>
      <w:r>
        <w:rPr>
          <w:color w:val="231F20"/>
        </w:rPr>
        <w:t>look</w:t>
      </w:r>
      <w:r>
        <w:rPr>
          <w:color w:val="231F20"/>
          <w:spacing w:val="40"/>
        </w:rPr>
        <w:t> </w:t>
      </w:r>
      <w:r>
        <w:rPr>
          <w:color w:val="231F20"/>
        </w:rPr>
        <w:t>at businesses. Strategic thinking involves a comprehensive analysis of a business in relation to its industry, its competitors, and the business environment</w:t>
      </w:r>
      <w:r>
        <w:rPr>
          <w:color w:val="231F20"/>
          <w:spacing w:val="25"/>
        </w:rPr>
        <w:t> </w:t>
      </w:r>
      <w:r>
        <w:rPr>
          <w:color w:val="231F20"/>
        </w:rPr>
        <w:t>in</w:t>
      </w:r>
      <w:r>
        <w:rPr>
          <w:color w:val="231F20"/>
          <w:spacing w:val="25"/>
        </w:rPr>
        <w:t> </w:t>
      </w:r>
      <w:r>
        <w:rPr>
          <w:color w:val="231F20"/>
        </w:rPr>
        <w:t>both</w:t>
      </w:r>
      <w:r>
        <w:rPr>
          <w:color w:val="231F20"/>
          <w:spacing w:val="26"/>
        </w:rPr>
        <w:t> </w:t>
      </w:r>
      <w:r>
        <w:rPr>
          <w:color w:val="231F20"/>
        </w:rPr>
        <w:t>the</w:t>
      </w:r>
      <w:r>
        <w:rPr>
          <w:color w:val="231F20"/>
          <w:spacing w:val="25"/>
        </w:rPr>
        <w:t> </w:t>
      </w:r>
      <w:r>
        <w:rPr>
          <w:color w:val="231F20"/>
        </w:rPr>
        <w:t>short</w:t>
      </w:r>
      <w:r>
        <w:rPr>
          <w:color w:val="231F20"/>
          <w:spacing w:val="26"/>
        </w:rPr>
        <w:t> </w:t>
      </w:r>
      <w:r>
        <w:rPr>
          <w:color w:val="231F20"/>
        </w:rPr>
        <w:t>and</w:t>
      </w:r>
      <w:r>
        <w:rPr>
          <w:color w:val="231F20"/>
          <w:spacing w:val="25"/>
        </w:rPr>
        <w:t> </w:t>
      </w:r>
      <w:r>
        <w:rPr>
          <w:color w:val="231F20"/>
        </w:rPr>
        <w:t>the</w:t>
      </w:r>
      <w:r>
        <w:rPr>
          <w:color w:val="231F20"/>
          <w:spacing w:val="25"/>
        </w:rPr>
        <w:t> </w:t>
      </w:r>
      <w:r>
        <w:rPr>
          <w:color w:val="231F20"/>
        </w:rPr>
        <w:t>long</w:t>
      </w:r>
      <w:r>
        <w:rPr>
          <w:color w:val="231F20"/>
          <w:spacing w:val="26"/>
        </w:rPr>
        <w:t> </w:t>
      </w:r>
      <w:r>
        <w:rPr>
          <w:color w:val="231F20"/>
        </w:rPr>
        <w:t>term.</w:t>
      </w:r>
      <w:r>
        <w:rPr>
          <w:color w:val="231F20"/>
          <w:spacing w:val="25"/>
        </w:rPr>
        <w:t> </w:t>
      </w:r>
      <w:r>
        <w:rPr>
          <w:color w:val="231F20"/>
        </w:rPr>
        <w:t>Ultimately,</w:t>
      </w:r>
      <w:r>
        <w:rPr>
          <w:color w:val="231F20"/>
          <w:spacing w:val="26"/>
        </w:rPr>
        <w:t> </w:t>
      </w:r>
      <w:r>
        <w:rPr>
          <w:color w:val="231F20"/>
          <w:spacing w:val="-2"/>
        </w:rPr>
        <w:t>strat-</w:t>
      </w:r>
    </w:p>
    <w:p>
      <w:pPr>
        <w:pStyle w:val="BodyText"/>
        <w:spacing w:line="243" w:lineRule="exact"/>
        <w:ind w:left="829"/>
      </w:pPr>
      <w:r>
        <w:rPr>
          <w:color w:val="231F20"/>
        </w:rPr>
        <w:t>egy</w:t>
      </w:r>
      <w:r>
        <w:rPr>
          <w:color w:val="231F20"/>
          <w:spacing w:val="5"/>
        </w:rPr>
        <w:t> </w:t>
      </w:r>
      <w:r>
        <w:rPr>
          <w:color w:val="231F20"/>
        </w:rPr>
        <w:t>is</w:t>
      </w:r>
      <w:r>
        <w:rPr>
          <w:color w:val="231F20"/>
          <w:spacing w:val="6"/>
        </w:rPr>
        <w:t> </w:t>
      </w:r>
      <w:r>
        <w:rPr>
          <w:color w:val="231F20"/>
        </w:rPr>
        <w:t>a</w:t>
      </w:r>
      <w:r>
        <w:rPr>
          <w:color w:val="231F20"/>
          <w:spacing w:val="5"/>
        </w:rPr>
        <w:t> </w:t>
      </w:r>
      <w:r>
        <w:rPr>
          <w:color w:val="231F20"/>
        </w:rPr>
        <w:t>company’s</w:t>
      </w:r>
      <w:r>
        <w:rPr>
          <w:color w:val="231F20"/>
          <w:spacing w:val="6"/>
        </w:rPr>
        <w:t> </w:t>
      </w:r>
      <w:r>
        <w:rPr>
          <w:color w:val="231F20"/>
        </w:rPr>
        <w:t>plan</w:t>
      </w:r>
      <w:r>
        <w:rPr>
          <w:color w:val="231F20"/>
          <w:spacing w:val="6"/>
        </w:rPr>
        <w:t> </w:t>
      </w:r>
      <w:r>
        <w:rPr>
          <w:color w:val="231F20"/>
        </w:rPr>
        <w:t>to</w:t>
      </w:r>
      <w:r>
        <w:rPr>
          <w:color w:val="231F20"/>
          <w:spacing w:val="5"/>
        </w:rPr>
        <w:t> </w:t>
      </w:r>
      <w:r>
        <w:rPr>
          <w:color w:val="231F20"/>
        </w:rPr>
        <w:t>achieve</w:t>
      </w:r>
      <w:r>
        <w:rPr>
          <w:color w:val="231F20"/>
          <w:spacing w:val="6"/>
        </w:rPr>
        <w:t> </w:t>
      </w:r>
      <w:r>
        <w:rPr>
          <w:color w:val="231F20"/>
        </w:rPr>
        <w:t>its</w:t>
      </w:r>
      <w:r>
        <w:rPr>
          <w:color w:val="231F20"/>
          <w:spacing w:val="6"/>
        </w:rPr>
        <w:t> </w:t>
      </w:r>
      <w:r>
        <w:rPr>
          <w:color w:val="231F20"/>
          <w:spacing w:val="-2"/>
        </w:rPr>
        <w:t>goals.</w:t>
      </w:r>
    </w:p>
    <w:p>
      <w:pPr>
        <w:spacing w:after="0" w:line="243" w:lineRule="exact"/>
        <w:sectPr>
          <w:headerReference w:type="even" r:id="rId118"/>
          <w:pgSz w:w="8640" w:h="12960"/>
          <w:pgMar w:header="0" w:footer="0" w:top="1220" w:bottom="280" w:left="340" w:right="500"/>
        </w:sectPr>
      </w:pPr>
    </w:p>
    <w:p>
      <w:pPr>
        <w:pStyle w:val="BodyText"/>
        <w:spacing w:before="8"/>
        <w:rPr>
          <w:sz w:val="17"/>
        </w:rPr>
      </w:pPr>
    </w:p>
    <w:p>
      <w:pPr>
        <w:pStyle w:val="BodyText"/>
        <w:spacing w:line="292" w:lineRule="auto" w:before="102"/>
        <w:ind w:left="920" w:right="666" w:firstLine="340"/>
        <w:jc w:val="both"/>
        <w:rPr>
          <w:i/>
        </w:rPr>
      </w:pPr>
      <w:r>
        <w:rPr>
          <w:color w:val="231F20"/>
        </w:rPr>
        <w:t>Corporate managements often do not know clearly what they want or how they’ll get there. When this is the situation, a </w:t>
      </w:r>
      <w:r>
        <w:rPr>
          <w:color w:val="231F20"/>
        </w:rPr>
        <w:t>board- room discussion could resemble a scene from Lewis Carroll’s </w:t>
      </w:r>
      <w:r>
        <w:rPr>
          <w:i/>
          <w:color w:val="231F20"/>
        </w:rPr>
        <w:t>Alice’s</w:t>
      </w:r>
      <w:r>
        <w:rPr>
          <w:i/>
          <w:color w:val="231F20"/>
        </w:rPr>
        <w:t> Adventures in Wonderland:</w:t>
      </w:r>
    </w:p>
    <w:p>
      <w:pPr>
        <w:pStyle w:val="BodyText"/>
        <w:spacing w:before="7"/>
        <w:rPr>
          <w:i/>
          <w:sz w:val="20"/>
        </w:rPr>
      </w:pPr>
    </w:p>
    <w:p>
      <w:pPr>
        <w:spacing w:line="324" w:lineRule="auto" w:before="1"/>
        <w:ind w:left="1260" w:right="1045" w:firstLine="0"/>
        <w:jc w:val="left"/>
        <w:rPr>
          <w:sz w:val="19"/>
        </w:rPr>
      </w:pPr>
      <w:r>
        <w:rPr>
          <w:rFonts w:ascii="Arial"/>
          <w:color w:val="231F20"/>
          <w:w w:val="105"/>
          <w:sz w:val="16"/>
        </w:rPr>
        <w:t>ALICE:</w:t>
      </w:r>
      <w:r>
        <w:rPr>
          <w:rFonts w:ascii="Arial"/>
          <w:color w:val="231F20"/>
          <w:w w:val="105"/>
          <w:sz w:val="16"/>
        </w:rPr>
        <w:t> </w:t>
      </w:r>
      <w:r>
        <w:rPr>
          <w:color w:val="231F20"/>
          <w:w w:val="105"/>
          <w:sz w:val="19"/>
        </w:rPr>
        <w:t>Would you tell me, please, which way ought I to go from </w:t>
      </w:r>
      <w:r>
        <w:rPr>
          <w:color w:val="231F20"/>
          <w:spacing w:val="-2"/>
          <w:w w:val="105"/>
          <w:sz w:val="19"/>
        </w:rPr>
        <w:t>here?</w:t>
      </w:r>
    </w:p>
    <w:p>
      <w:pPr>
        <w:spacing w:line="324" w:lineRule="auto" w:before="0"/>
        <w:ind w:left="1259" w:right="966" w:firstLine="0"/>
        <w:jc w:val="left"/>
        <w:rPr>
          <w:sz w:val="19"/>
        </w:rPr>
      </w:pPr>
      <w:r>
        <w:rPr>
          <w:rFonts w:ascii="Arial"/>
          <w:color w:val="231F20"/>
          <w:sz w:val="16"/>
        </w:rPr>
        <w:t>CHESHIRE</w:t>
      </w:r>
      <w:r>
        <w:rPr>
          <w:rFonts w:ascii="Arial"/>
          <w:color w:val="231F20"/>
          <w:spacing w:val="39"/>
          <w:sz w:val="16"/>
        </w:rPr>
        <w:t> </w:t>
      </w:r>
      <w:r>
        <w:rPr>
          <w:rFonts w:ascii="Arial"/>
          <w:color w:val="231F20"/>
          <w:sz w:val="16"/>
        </w:rPr>
        <w:t>CAT:</w:t>
      </w:r>
      <w:r>
        <w:rPr>
          <w:rFonts w:ascii="Arial"/>
          <w:color w:val="231F20"/>
          <w:spacing w:val="37"/>
          <w:sz w:val="16"/>
        </w:rPr>
        <w:t> </w:t>
      </w:r>
      <w:r>
        <w:rPr>
          <w:color w:val="231F20"/>
          <w:sz w:val="19"/>
        </w:rPr>
        <w:t>That</w:t>
      </w:r>
      <w:r>
        <w:rPr>
          <w:color w:val="231F20"/>
          <w:spacing w:val="29"/>
          <w:sz w:val="19"/>
        </w:rPr>
        <w:t> </w:t>
      </w:r>
      <w:r>
        <w:rPr>
          <w:color w:val="231F20"/>
          <w:sz w:val="19"/>
        </w:rPr>
        <w:t>depends</w:t>
      </w:r>
      <w:r>
        <w:rPr>
          <w:color w:val="231F20"/>
          <w:spacing w:val="29"/>
          <w:sz w:val="19"/>
        </w:rPr>
        <w:t> </w:t>
      </w:r>
      <w:r>
        <w:rPr>
          <w:color w:val="231F20"/>
          <w:sz w:val="19"/>
        </w:rPr>
        <w:t>a</w:t>
      </w:r>
      <w:r>
        <w:rPr>
          <w:color w:val="231F20"/>
          <w:spacing w:val="29"/>
          <w:sz w:val="19"/>
        </w:rPr>
        <w:t> </w:t>
      </w:r>
      <w:r>
        <w:rPr>
          <w:color w:val="231F20"/>
          <w:sz w:val="19"/>
        </w:rPr>
        <w:t>good</w:t>
      </w:r>
      <w:r>
        <w:rPr>
          <w:color w:val="231F20"/>
          <w:spacing w:val="29"/>
          <w:sz w:val="19"/>
        </w:rPr>
        <w:t> </w:t>
      </w:r>
      <w:r>
        <w:rPr>
          <w:color w:val="231F20"/>
          <w:sz w:val="19"/>
        </w:rPr>
        <w:t>deal</w:t>
      </w:r>
      <w:r>
        <w:rPr>
          <w:color w:val="231F20"/>
          <w:spacing w:val="29"/>
          <w:sz w:val="19"/>
        </w:rPr>
        <w:t> </w:t>
      </w:r>
      <w:r>
        <w:rPr>
          <w:color w:val="231F20"/>
          <w:sz w:val="19"/>
        </w:rPr>
        <w:t>on</w:t>
      </w:r>
      <w:r>
        <w:rPr>
          <w:color w:val="231F20"/>
          <w:spacing w:val="29"/>
          <w:sz w:val="19"/>
        </w:rPr>
        <w:t> </w:t>
      </w:r>
      <w:r>
        <w:rPr>
          <w:color w:val="231F20"/>
          <w:sz w:val="19"/>
        </w:rPr>
        <w:t>where</w:t>
      </w:r>
      <w:r>
        <w:rPr>
          <w:color w:val="231F20"/>
          <w:spacing w:val="29"/>
          <w:sz w:val="19"/>
        </w:rPr>
        <w:t> </w:t>
      </w:r>
      <w:r>
        <w:rPr>
          <w:color w:val="231F20"/>
          <w:sz w:val="19"/>
        </w:rPr>
        <w:t>you</w:t>
      </w:r>
      <w:r>
        <w:rPr>
          <w:color w:val="231F20"/>
          <w:spacing w:val="29"/>
          <w:sz w:val="19"/>
        </w:rPr>
        <w:t> </w:t>
      </w:r>
      <w:r>
        <w:rPr>
          <w:color w:val="231F20"/>
          <w:sz w:val="19"/>
        </w:rPr>
        <w:t>want</w:t>
      </w:r>
      <w:r>
        <w:rPr>
          <w:color w:val="231F20"/>
          <w:spacing w:val="29"/>
          <w:sz w:val="19"/>
        </w:rPr>
        <w:t> </w:t>
      </w:r>
      <w:r>
        <w:rPr>
          <w:color w:val="231F20"/>
          <w:sz w:val="19"/>
        </w:rPr>
        <w:t>to get to.</w:t>
      </w:r>
    </w:p>
    <w:p>
      <w:pPr>
        <w:spacing w:line="221" w:lineRule="exact" w:before="0"/>
        <w:ind w:left="1260" w:right="0" w:firstLine="0"/>
        <w:jc w:val="left"/>
        <w:rPr>
          <w:sz w:val="19"/>
        </w:rPr>
      </w:pPr>
      <w:r>
        <w:rPr>
          <w:rFonts w:ascii="Arial" w:hAnsi="Arial"/>
          <w:color w:val="231F20"/>
          <w:w w:val="105"/>
          <w:sz w:val="16"/>
        </w:rPr>
        <w:t>ALICE:</w:t>
      </w:r>
      <w:r>
        <w:rPr>
          <w:rFonts w:ascii="Arial" w:hAnsi="Arial"/>
          <w:color w:val="231F20"/>
          <w:spacing w:val="14"/>
          <w:w w:val="105"/>
          <w:sz w:val="16"/>
        </w:rPr>
        <w:t> </w:t>
      </w:r>
      <w:r>
        <w:rPr>
          <w:color w:val="231F20"/>
          <w:w w:val="105"/>
          <w:sz w:val="19"/>
        </w:rPr>
        <w:t>I</w:t>
      </w:r>
      <w:r>
        <w:rPr>
          <w:color w:val="231F20"/>
          <w:spacing w:val="10"/>
          <w:w w:val="105"/>
          <w:sz w:val="19"/>
        </w:rPr>
        <w:t> </w:t>
      </w:r>
      <w:r>
        <w:rPr>
          <w:color w:val="231F20"/>
          <w:w w:val="105"/>
          <w:sz w:val="19"/>
        </w:rPr>
        <w:t>don’t</w:t>
      </w:r>
      <w:r>
        <w:rPr>
          <w:color w:val="231F20"/>
          <w:spacing w:val="9"/>
          <w:w w:val="105"/>
          <w:sz w:val="19"/>
        </w:rPr>
        <w:t> </w:t>
      </w:r>
      <w:r>
        <w:rPr>
          <w:color w:val="231F20"/>
          <w:w w:val="105"/>
          <w:sz w:val="19"/>
        </w:rPr>
        <w:t>much</w:t>
      </w:r>
      <w:r>
        <w:rPr>
          <w:color w:val="231F20"/>
          <w:spacing w:val="9"/>
          <w:w w:val="105"/>
          <w:sz w:val="19"/>
        </w:rPr>
        <w:t> </w:t>
      </w:r>
      <w:r>
        <w:rPr>
          <w:color w:val="231F20"/>
          <w:w w:val="105"/>
          <w:sz w:val="19"/>
        </w:rPr>
        <w:t>care</w:t>
      </w:r>
      <w:r>
        <w:rPr>
          <w:color w:val="231F20"/>
          <w:spacing w:val="10"/>
          <w:w w:val="105"/>
          <w:sz w:val="19"/>
        </w:rPr>
        <w:t> </w:t>
      </w:r>
      <w:r>
        <w:rPr>
          <w:color w:val="231F20"/>
          <w:w w:val="105"/>
          <w:sz w:val="19"/>
        </w:rPr>
        <w:t>where—</w:t>
      </w:r>
      <w:r>
        <w:rPr>
          <w:color w:val="231F20"/>
          <w:spacing w:val="-10"/>
          <w:w w:val="105"/>
          <w:sz w:val="19"/>
        </w:rPr>
        <w:t>.</w:t>
      </w:r>
    </w:p>
    <w:p>
      <w:pPr>
        <w:spacing w:before="75"/>
        <w:ind w:left="1260" w:right="0" w:firstLine="0"/>
        <w:jc w:val="left"/>
        <w:rPr>
          <w:sz w:val="19"/>
        </w:rPr>
      </w:pPr>
      <w:r>
        <w:rPr>
          <w:rFonts w:ascii="Arial" w:hAnsi="Arial"/>
          <w:color w:val="231F20"/>
          <w:sz w:val="16"/>
        </w:rPr>
        <w:t>CHESHIRE</w:t>
      </w:r>
      <w:r>
        <w:rPr>
          <w:rFonts w:ascii="Arial" w:hAnsi="Arial"/>
          <w:color w:val="231F20"/>
          <w:spacing w:val="35"/>
          <w:sz w:val="16"/>
        </w:rPr>
        <w:t> </w:t>
      </w:r>
      <w:r>
        <w:rPr>
          <w:rFonts w:ascii="Arial" w:hAnsi="Arial"/>
          <w:color w:val="231F20"/>
          <w:sz w:val="16"/>
        </w:rPr>
        <w:t>CAT:</w:t>
      </w:r>
      <w:r>
        <w:rPr>
          <w:rFonts w:ascii="Arial" w:hAnsi="Arial"/>
          <w:color w:val="231F20"/>
          <w:spacing w:val="32"/>
          <w:sz w:val="16"/>
        </w:rPr>
        <w:t> </w:t>
      </w:r>
      <w:r>
        <w:rPr>
          <w:color w:val="231F20"/>
          <w:sz w:val="19"/>
        </w:rPr>
        <w:t>Then</w:t>
      </w:r>
      <w:r>
        <w:rPr>
          <w:color w:val="231F20"/>
          <w:spacing w:val="25"/>
          <w:sz w:val="19"/>
        </w:rPr>
        <w:t> </w:t>
      </w:r>
      <w:r>
        <w:rPr>
          <w:color w:val="231F20"/>
          <w:sz w:val="19"/>
        </w:rPr>
        <w:t>it</w:t>
      </w:r>
      <w:r>
        <w:rPr>
          <w:color w:val="231F20"/>
          <w:spacing w:val="25"/>
          <w:sz w:val="19"/>
        </w:rPr>
        <w:t> </w:t>
      </w:r>
      <w:r>
        <w:rPr>
          <w:color w:val="231F20"/>
          <w:sz w:val="19"/>
        </w:rPr>
        <w:t>doesn’t</w:t>
      </w:r>
      <w:r>
        <w:rPr>
          <w:color w:val="231F20"/>
          <w:spacing w:val="25"/>
          <w:sz w:val="19"/>
        </w:rPr>
        <w:t> </w:t>
      </w:r>
      <w:r>
        <w:rPr>
          <w:color w:val="231F20"/>
          <w:sz w:val="19"/>
        </w:rPr>
        <w:t>matter</w:t>
      </w:r>
      <w:r>
        <w:rPr>
          <w:color w:val="231F20"/>
          <w:spacing w:val="24"/>
          <w:sz w:val="19"/>
        </w:rPr>
        <w:t> </w:t>
      </w:r>
      <w:r>
        <w:rPr>
          <w:color w:val="231F20"/>
          <w:sz w:val="19"/>
        </w:rPr>
        <w:t>which</w:t>
      </w:r>
      <w:r>
        <w:rPr>
          <w:color w:val="231F20"/>
          <w:spacing w:val="25"/>
          <w:sz w:val="19"/>
        </w:rPr>
        <w:t> </w:t>
      </w:r>
      <w:r>
        <w:rPr>
          <w:color w:val="231F20"/>
          <w:sz w:val="19"/>
        </w:rPr>
        <w:t>way</w:t>
      </w:r>
      <w:r>
        <w:rPr>
          <w:color w:val="231F20"/>
          <w:spacing w:val="25"/>
          <w:sz w:val="19"/>
        </w:rPr>
        <w:t> </w:t>
      </w:r>
      <w:r>
        <w:rPr>
          <w:color w:val="231F20"/>
          <w:sz w:val="19"/>
        </w:rPr>
        <w:t>you</w:t>
      </w:r>
      <w:r>
        <w:rPr>
          <w:color w:val="231F20"/>
          <w:spacing w:val="25"/>
          <w:sz w:val="19"/>
        </w:rPr>
        <w:t> </w:t>
      </w:r>
      <w:r>
        <w:rPr>
          <w:color w:val="231F20"/>
          <w:spacing w:val="-5"/>
          <w:sz w:val="19"/>
        </w:rPr>
        <w:t>go.</w:t>
      </w:r>
    </w:p>
    <w:p>
      <w:pPr>
        <w:pStyle w:val="BodyText"/>
        <w:spacing w:before="2"/>
        <w:rPr>
          <w:sz w:val="24"/>
        </w:rPr>
      </w:pPr>
    </w:p>
    <w:p>
      <w:pPr>
        <w:pStyle w:val="BodyText"/>
        <w:spacing w:line="292" w:lineRule="auto"/>
        <w:ind w:left="920" w:right="664"/>
        <w:jc w:val="both"/>
      </w:pPr>
      <w:r>
        <w:rPr>
          <w:color w:val="231F20"/>
        </w:rPr>
        <w:t>Corporations need well-thought-out strategic plans or inevitably</w:t>
      </w:r>
      <w:r>
        <w:rPr>
          <w:color w:val="231F20"/>
          <w:spacing w:val="40"/>
        </w:rPr>
        <w:t> </w:t>
      </w:r>
      <w:r>
        <w:rPr>
          <w:color w:val="231F20"/>
        </w:rPr>
        <w:t>they will become victims of the marketplace instead of being the </w:t>
      </w:r>
      <w:r>
        <w:rPr>
          <w:color w:val="231F20"/>
        </w:rPr>
        <w:t>vic- tors who shape it.</w:t>
      </w:r>
    </w:p>
    <w:p>
      <w:pPr>
        <w:pStyle w:val="BodyText"/>
        <w:rPr>
          <w:sz w:val="24"/>
        </w:rPr>
      </w:pPr>
    </w:p>
    <w:p>
      <w:pPr>
        <w:pStyle w:val="BodyText"/>
        <w:spacing w:before="6"/>
        <w:rPr>
          <w:sz w:val="18"/>
        </w:rPr>
      </w:pPr>
    </w:p>
    <w:p>
      <w:pPr>
        <w:pStyle w:val="Heading4"/>
        <w:spacing w:line="259" w:lineRule="auto"/>
        <w:ind w:left="3004" w:right="1742" w:hanging="1059"/>
        <w:jc w:val="left"/>
      </w:pPr>
      <w:r>
        <w:rPr>
          <w:color w:val="231F20"/>
          <w:w w:val="85"/>
        </w:rPr>
        <w:t>STRATEGY AS PART OF AN </w:t>
      </w:r>
      <w:r>
        <w:rPr>
          <w:color w:val="231F20"/>
          <w:spacing w:val="10"/>
          <w:w w:val="85"/>
        </w:rPr>
        <w:t>ORGANIZATION: </w:t>
      </w:r>
      <w:r>
        <w:rPr>
          <w:color w:val="231F20"/>
          <w:w w:val="95"/>
        </w:rPr>
        <w:t>THE SEVEN S </w:t>
      </w:r>
      <w:r>
        <w:rPr>
          <w:color w:val="231F20"/>
          <w:spacing w:val="11"/>
          <w:w w:val="95"/>
        </w:rPr>
        <w:t>MODEL</w:t>
      </w:r>
    </w:p>
    <w:p>
      <w:pPr>
        <w:pStyle w:val="BodyText"/>
        <w:spacing w:before="10"/>
        <w:rPr>
          <w:rFonts w:ascii="Trebuchet MS"/>
          <w:sz w:val="27"/>
        </w:rPr>
      </w:pPr>
    </w:p>
    <w:p>
      <w:pPr>
        <w:pStyle w:val="BodyText"/>
        <w:spacing w:line="292" w:lineRule="auto"/>
        <w:ind w:left="919" w:right="663"/>
        <w:jc w:val="both"/>
      </w:pPr>
      <w:r>
        <w:rPr>
          <w:color w:val="231F20"/>
          <w:w w:val="105"/>
        </w:rPr>
        <w:t>Strategic</w:t>
      </w:r>
      <w:r>
        <w:rPr>
          <w:color w:val="231F20"/>
          <w:spacing w:val="-11"/>
          <w:w w:val="105"/>
        </w:rPr>
        <w:t> </w:t>
      </w:r>
      <w:r>
        <w:rPr>
          <w:color w:val="231F20"/>
          <w:w w:val="105"/>
        </w:rPr>
        <w:t>plans</w:t>
      </w:r>
      <w:r>
        <w:rPr>
          <w:color w:val="231F20"/>
          <w:spacing w:val="-11"/>
          <w:w w:val="105"/>
        </w:rPr>
        <w:t> </w:t>
      </w:r>
      <w:r>
        <w:rPr>
          <w:color w:val="231F20"/>
          <w:w w:val="105"/>
        </w:rPr>
        <w:t>cannot</w:t>
      </w:r>
      <w:r>
        <w:rPr>
          <w:color w:val="231F20"/>
          <w:spacing w:val="-11"/>
          <w:w w:val="105"/>
        </w:rPr>
        <w:t> </w:t>
      </w:r>
      <w:r>
        <w:rPr>
          <w:color w:val="231F20"/>
          <w:w w:val="105"/>
        </w:rPr>
        <w:t>be</w:t>
      </w:r>
      <w:r>
        <w:rPr>
          <w:color w:val="231F20"/>
          <w:spacing w:val="-11"/>
          <w:w w:val="105"/>
        </w:rPr>
        <w:t> </w:t>
      </w:r>
      <w:r>
        <w:rPr>
          <w:color w:val="231F20"/>
          <w:w w:val="105"/>
        </w:rPr>
        <w:t>formed</w:t>
      </w:r>
      <w:r>
        <w:rPr>
          <w:color w:val="231F20"/>
          <w:spacing w:val="-11"/>
          <w:w w:val="105"/>
        </w:rPr>
        <w:t> </w:t>
      </w:r>
      <w:r>
        <w:rPr>
          <w:color w:val="231F20"/>
          <w:w w:val="105"/>
        </w:rPr>
        <w:t>in</w:t>
      </w:r>
      <w:r>
        <w:rPr>
          <w:color w:val="231F20"/>
          <w:spacing w:val="-11"/>
          <w:w w:val="105"/>
        </w:rPr>
        <w:t> </w:t>
      </w:r>
      <w:r>
        <w:rPr>
          <w:color w:val="231F20"/>
          <w:w w:val="105"/>
        </w:rPr>
        <w:t>a</w:t>
      </w:r>
      <w:r>
        <w:rPr>
          <w:color w:val="231F20"/>
          <w:spacing w:val="-11"/>
          <w:w w:val="105"/>
        </w:rPr>
        <w:t> </w:t>
      </w:r>
      <w:r>
        <w:rPr>
          <w:color w:val="231F20"/>
          <w:w w:val="105"/>
        </w:rPr>
        <w:t>vacuum;</w:t>
      </w:r>
      <w:r>
        <w:rPr>
          <w:color w:val="231F20"/>
          <w:spacing w:val="-11"/>
          <w:w w:val="105"/>
        </w:rPr>
        <w:t> </w:t>
      </w:r>
      <w:r>
        <w:rPr>
          <w:color w:val="231F20"/>
          <w:w w:val="105"/>
        </w:rPr>
        <w:t>they</w:t>
      </w:r>
      <w:r>
        <w:rPr>
          <w:color w:val="231F20"/>
          <w:spacing w:val="-11"/>
          <w:w w:val="105"/>
        </w:rPr>
        <w:t> </w:t>
      </w:r>
      <w:r>
        <w:rPr>
          <w:color w:val="231F20"/>
          <w:w w:val="105"/>
        </w:rPr>
        <w:t>must</w:t>
      </w:r>
      <w:r>
        <w:rPr>
          <w:color w:val="231F20"/>
          <w:spacing w:val="-13"/>
          <w:w w:val="105"/>
        </w:rPr>
        <w:t> </w:t>
      </w:r>
      <w:r>
        <w:rPr>
          <w:i/>
          <w:color w:val="231F20"/>
          <w:w w:val="105"/>
        </w:rPr>
        <w:t>fit</w:t>
      </w:r>
      <w:r>
        <w:rPr>
          <w:i/>
          <w:color w:val="231F20"/>
          <w:spacing w:val="-11"/>
          <w:w w:val="105"/>
        </w:rPr>
        <w:t> </w:t>
      </w:r>
      <w:r>
        <w:rPr>
          <w:color w:val="231F20"/>
          <w:w w:val="105"/>
        </w:rPr>
        <w:t>organi- </w:t>
      </w:r>
      <w:r>
        <w:rPr>
          <w:color w:val="231F20"/>
        </w:rPr>
        <w:t>zations, just as marketing plans must be suited to products. Two sep- </w:t>
      </w:r>
      <w:r>
        <w:rPr>
          <w:color w:val="231F20"/>
          <w:w w:val="105"/>
        </w:rPr>
        <w:t>arate</w:t>
      </w:r>
      <w:r>
        <w:rPr>
          <w:color w:val="231F20"/>
          <w:w w:val="105"/>
        </w:rPr>
        <w:t> stages</w:t>
      </w:r>
      <w:r>
        <w:rPr>
          <w:color w:val="231F20"/>
          <w:w w:val="105"/>
        </w:rPr>
        <w:t> characterize</w:t>
      </w:r>
      <w:r>
        <w:rPr>
          <w:color w:val="231F20"/>
          <w:w w:val="105"/>
        </w:rPr>
        <w:t> strategic</w:t>
      </w:r>
      <w:r>
        <w:rPr>
          <w:color w:val="231F20"/>
          <w:w w:val="105"/>
        </w:rPr>
        <w:t> planning:</w:t>
      </w:r>
      <w:r>
        <w:rPr>
          <w:color w:val="231F20"/>
          <w:w w:val="105"/>
        </w:rPr>
        <w:t> </w:t>
      </w:r>
      <w:r>
        <w:rPr>
          <w:i/>
          <w:color w:val="231F20"/>
          <w:w w:val="105"/>
        </w:rPr>
        <w:t>formation</w:t>
      </w:r>
      <w:r>
        <w:rPr>
          <w:i/>
          <w:color w:val="231F20"/>
          <w:w w:val="105"/>
        </w:rPr>
        <w:t> </w:t>
      </w:r>
      <w:r>
        <w:rPr>
          <w:color w:val="231F20"/>
          <w:w w:val="105"/>
        </w:rPr>
        <w:t>and </w:t>
      </w:r>
      <w:r>
        <w:rPr>
          <w:i/>
          <w:color w:val="231F20"/>
        </w:rPr>
        <w:t>implementation. </w:t>
      </w:r>
      <w:r>
        <w:rPr>
          <w:color w:val="231F20"/>
        </w:rPr>
        <w:t>Strategists should always devise their plans with an </w:t>
      </w:r>
      <w:r>
        <w:rPr>
          <w:color w:val="231F20"/>
          <w:w w:val="105"/>
        </w:rPr>
        <w:t>eye</w:t>
      </w:r>
      <w:r>
        <w:rPr>
          <w:color w:val="231F20"/>
          <w:spacing w:val="-11"/>
          <w:w w:val="105"/>
        </w:rPr>
        <w:t> </w:t>
      </w:r>
      <w:r>
        <w:rPr>
          <w:color w:val="231F20"/>
          <w:w w:val="105"/>
        </w:rPr>
        <w:t>toward</w:t>
      </w:r>
      <w:r>
        <w:rPr>
          <w:color w:val="231F20"/>
          <w:spacing w:val="-11"/>
          <w:w w:val="105"/>
        </w:rPr>
        <w:t> </w:t>
      </w:r>
      <w:r>
        <w:rPr>
          <w:color w:val="231F20"/>
          <w:w w:val="105"/>
        </w:rPr>
        <w:t>implementation.</w:t>
      </w:r>
      <w:r>
        <w:rPr>
          <w:color w:val="231F20"/>
          <w:spacing w:val="-11"/>
          <w:w w:val="105"/>
        </w:rPr>
        <w:t> </w:t>
      </w:r>
      <w:r>
        <w:rPr>
          <w:color w:val="231F20"/>
          <w:w w:val="105"/>
        </w:rPr>
        <w:t>Thomas</w:t>
      </w:r>
      <w:r>
        <w:rPr>
          <w:color w:val="231F20"/>
          <w:spacing w:val="-11"/>
          <w:w w:val="105"/>
        </w:rPr>
        <w:t> </w:t>
      </w:r>
      <w:r>
        <w:rPr>
          <w:color w:val="231F20"/>
          <w:w w:val="105"/>
        </w:rPr>
        <w:t>J.</w:t>
      </w:r>
      <w:r>
        <w:rPr>
          <w:color w:val="231F20"/>
          <w:spacing w:val="-11"/>
          <w:w w:val="105"/>
        </w:rPr>
        <w:t> </w:t>
      </w:r>
      <w:r>
        <w:rPr>
          <w:color w:val="231F20"/>
          <w:w w:val="105"/>
        </w:rPr>
        <w:t>Peters,</w:t>
      </w:r>
      <w:r>
        <w:rPr>
          <w:color w:val="231F20"/>
          <w:spacing w:val="-11"/>
          <w:w w:val="105"/>
        </w:rPr>
        <w:t> </w:t>
      </w:r>
      <w:r>
        <w:rPr>
          <w:color w:val="231F20"/>
          <w:w w:val="105"/>
        </w:rPr>
        <w:t>of</w:t>
      </w:r>
      <w:r>
        <w:rPr>
          <w:color w:val="231F20"/>
          <w:spacing w:val="-12"/>
          <w:w w:val="105"/>
        </w:rPr>
        <w:t> </w:t>
      </w:r>
      <w:r>
        <w:rPr>
          <w:i/>
          <w:color w:val="231F20"/>
          <w:w w:val="105"/>
        </w:rPr>
        <w:t>In</w:t>
      </w:r>
      <w:r>
        <w:rPr>
          <w:i/>
          <w:color w:val="231F20"/>
          <w:spacing w:val="-11"/>
          <w:w w:val="105"/>
        </w:rPr>
        <w:t> </w:t>
      </w:r>
      <w:r>
        <w:rPr>
          <w:i/>
          <w:color w:val="231F20"/>
          <w:w w:val="105"/>
        </w:rPr>
        <w:t>Search</w:t>
      </w:r>
      <w:r>
        <w:rPr>
          <w:i/>
          <w:color w:val="231F20"/>
          <w:spacing w:val="-11"/>
          <w:w w:val="105"/>
        </w:rPr>
        <w:t> </w:t>
      </w:r>
      <w:r>
        <w:rPr>
          <w:i/>
          <w:color w:val="231F20"/>
          <w:w w:val="105"/>
        </w:rPr>
        <w:t>of</w:t>
      </w:r>
      <w:r>
        <w:rPr>
          <w:i/>
          <w:color w:val="231F20"/>
          <w:spacing w:val="-11"/>
          <w:w w:val="105"/>
        </w:rPr>
        <w:t> </w:t>
      </w:r>
      <w:r>
        <w:rPr>
          <w:i/>
          <w:color w:val="231F20"/>
          <w:w w:val="105"/>
        </w:rPr>
        <w:t>Excel-</w:t>
      </w:r>
      <w:r>
        <w:rPr>
          <w:i/>
          <w:color w:val="231F20"/>
          <w:w w:val="105"/>
        </w:rPr>
        <w:t> lence</w:t>
      </w:r>
      <w:r>
        <w:rPr>
          <w:i/>
          <w:color w:val="231F20"/>
          <w:w w:val="105"/>
        </w:rPr>
        <w:t> </w:t>
      </w:r>
      <w:r>
        <w:rPr>
          <w:color w:val="231F20"/>
          <w:w w:val="105"/>
        </w:rPr>
        <w:t>fame,</w:t>
      </w:r>
      <w:r>
        <w:rPr>
          <w:color w:val="231F20"/>
          <w:w w:val="105"/>
        </w:rPr>
        <w:t> created</w:t>
      </w:r>
      <w:r>
        <w:rPr>
          <w:color w:val="231F20"/>
          <w:w w:val="105"/>
        </w:rPr>
        <w:t> the</w:t>
      </w:r>
      <w:r>
        <w:rPr>
          <w:color w:val="231F20"/>
          <w:w w:val="105"/>
        </w:rPr>
        <w:t> </w:t>
      </w:r>
      <w:r>
        <w:rPr>
          <w:i/>
          <w:color w:val="231F20"/>
          <w:w w:val="105"/>
        </w:rPr>
        <w:t>Seven</w:t>
      </w:r>
      <w:r>
        <w:rPr>
          <w:i/>
          <w:color w:val="231F20"/>
          <w:w w:val="105"/>
        </w:rPr>
        <w:t> S</w:t>
      </w:r>
      <w:r>
        <w:rPr>
          <w:i/>
          <w:color w:val="231F20"/>
          <w:w w:val="105"/>
        </w:rPr>
        <w:t> model</w:t>
      </w:r>
      <w:r>
        <w:rPr>
          <w:i/>
          <w:color w:val="231F20"/>
          <w:w w:val="105"/>
        </w:rPr>
        <w:t> </w:t>
      </w:r>
      <w:r>
        <w:rPr>
          <w:color w:val="231F20"/>
          <w:w w:val="105"/>
        </w:rPr>
        <w:t>showing</w:t>
      </w:r>
      <w:r>
        <w:rPr>
          <w:color w:val="231F20"/>
          <w:w w:val="105"/>
        </w:rPr>
        <w:t> that</w:t>
      </w:r>
      <w:r>
        <w:rPr>
          <w:color w:val="231F20"/>
          <w:w w:val="105"/>
        </w:rPr>
        <w:t> strategy</w:t>
      </w:r>
      <w:r>
        <w:rPr>
          <w:color w:val="231F20"/>
          <w:w w:val="105"/>
        </w:rPr>
        <w:t> ought to</w:t>
      </w:r>
      <w:r>
        <w:rPr>
          <w:color w:val="231F20"/>
          <w:spacing w:val="-1"/>
          <w:w w:val="105"/>
        </w:rPr>
        <w:t> </w:t>
      </w:r>
      <w:r>
        <w:rPr>
          <w:color w:val="231F20"/>
          <w:w w:val="105"/>
        </w:rPr>
        <w:t>be</w:t>
      </w:r>
      <w:r>
        <w:rPr>
          <w:color w:val="231F20"/>
          <w:spacing w:val="-1"/>
          <w:w w:val="105"/>
        </w:rPr>
        <w:t> </w:t>
      </w:r>
      <w:r>
        <w:rPr>
          <w:color w:val="231F20"/>
          <w:w w:val="105"/>
        </w:rPr>
        <w:t>interwoven</w:t>
      </w:r>
      <w:r>
        <w:rPr>
          <w:color w:val="231F20"/>
          <w:spacing w:val="-1"/>
          <w:w w:val="105"/>
        </w:rPr>
        <w:t> </w:t>
      </w:r>
      <w:r>
        <w:rPr>
          <w:color w:val="231F20"/>
          <w:w w:val="105"/>
        </w:rPr>
        <w:t>within</w:t>
      </w:r>
      <w:r>
        <w:rPr>
          <w:color w:val="231F20"/>
          <w:spacing w:val="-1"/>
          <w:w w:val="105"/>
        </w:rPr>
        <w:t> </w:t>
      </w:r>
      <w:r>
        <w:rPr>
          <w:color w:val="231F20"/>
          <w:w w:val="105"/>
        </w:rPr>
        <w:t>the</w:t>
      </w:r>
      <w:r>
        <w:rPr>
          <w:color w:val="231F20"/>
          <w:spacing w:val="-1"/>
          <w:w w:val="105"/>
        </w:rPr>
        <w:t> </w:t>
      </w:r>
      <w:r>
        <w:rPr>
          <w:color w:val="231F20"/>
          <w:w w:val="105"/>
        </w:rPr>
        <w:t>fabric</w:t>
      </w:r>
      <w:r>
        <w:rPr>
          <w:color w:val="231F20"/>
          <w:spacing w:val="-1"/>
          <w:w w:val="105"/>
        </w:rPr>
        <w:t> </w:t>
      </w:r>
      <w:r>
        <w:rPr>
          <w:color w:val="231F20"/>
          <w:w w:val="105"/>
        </w:rPr>
        <w:t>of</w:t>
      </w:r>
      <w:r>
        <w:rPr>
          <w:color w:val="231F20"/>
          <w:spacing w:val="-1"/>
          <w:w w:val="105"/>
        </w:rPr>
        <w:t> </w:t>
      </w:r>
      <w:r>
        <w:rPr>
          <w:color w:val="231F20"/>
          <w:w w:val="105"/>
        </w:rPr>
        <w:t>an</w:t>
      </w:r>
      <w:r>
        <w:rPr>
          <w:color w:val="231F20"/>
          <w:spacing w:val="-1"/>
          <w:w w:val="105"/>
        </w:rPr>
        <w:t> </w:t>
      </w:r>
      <w:r>
        <w:rPr>
          <w:color w:val="231F20"/>
          <w:w w:val="105"/>
        </w:rPr>
        <w:t>organization.</w:t>
      </w:r>
      <w:r>
        <w:rPr>
          <w:color w:val="231F20"/>
          <w:spacing w:val="-1"/>
          <w:w w:val="105"/>
        </w:rPr>
        <w:t> </w:t>
      </w:r>
      <w:r>
        <w:rPr>
          <w:color w:val="231F20"/>
          <w:w w:val="105"/>
        </w:rPr>
        <w:t>Actually</w:t>
      </w:r>
      <w:r>
        <w:rPr>
          <w:color w:val="231F20"/>
          <w:spacing w:val="-1"/>
          <w:w w:val="105"/>
        </w:rPr>
        <w:t> </w:t>
      </w:r>
      <w:r>
        <w:rPr>
          <w:color w:val="231F20"/>
          <w:w w:val="105"/>
        </w:rPr>
        <w:t>Pe- ters</w:t>
      </w:r>
      <w:r>
        <w:rPr>
          <w:color w:val="231F20"/>
          <w:w w:val="105"/>
        </w:rPr>
        <w:t> created</w:t>
      </w:r>
      <w:r>
        <w:rPr>
          <w:color w:val="231F20"/>
          <w:w w:val="105"/>
        </w:rPr>
        <w:t> the</w:t>
      </w:r>
      <w:r>
        <w:rPr>
          <w:color w:val="231F20"/>
          <w:w w:val="105"/>
        </w:rPr>
        <w:t> model</w:t>
      </w:r>
      <w:r>
        <w:rPr>
          <w:color w:val="231F20"/>
          <w:w w:val="105"/>
        </w:rPr>
        <w:t> with</w:t>
      </w:r>
      <w:r>
        <w:rPr>
          <w:color w:val="231F20"/>
          <w:w w:val="105"/>
        </w:rPr>
        <w:t> Robert</w:t>
      </w:r>
      <w:r>
        <w:rPr>
          <w:color w:val="231F20"/>
          <w:w w:val="105"/>
        </w:rPr>
        <w:t> H.</w:t>
      </w:r>
      <w:r>
        <w:rPr>
          <w:color w:val="231F20"/>
          <w:w w:val="105"/>
        </w:rPr>
        <w:t> Waterman</w:t>
      </w:r>
      <w:r>
        <w:rPr>
          <w:color w:val="231F20"/>
          <w:w w:val="105"/>
        </w:rPr>
        <w:t> and</w:t>
      </w:r>
      <w:r>
        <w:rPr>
          <w:color w:val="231F20"/>
          <w:w w:val="105"/>
        </w:rPr>
        <w:t> Julien</w:t>
      </w:r>
      <w:r>
        <w:rPr>
          <w:color w:val="231F20"/>
          <w:w w:val="105"/>
        </w:rPr>
        <w:t> R. Phillips,</w:t>
      </w:r>
      <w:r>
        <w:rPr>
          <w:color w:val="231F20"/>
          <w:spacing w:val="-13"/>
          <w:w w:val="105"/>
        </w:rPr>
        <w:t> </w:t>
      </w:r>
      <w:r>
        <w:rPr>
          <w:color w:val="231F20"/>
          <w:w w:val="105"/>
        </w:rPr>
        <w:t>but</w:t>
      </w:r>
      <w:r>
        <w:rPr>
          <w:color w:val="231F20"/>
          <w:spacing w:val="-12"/>
          <w:w w:val="105"/>
        </w:rPr>
        <w:t> </w:t>
      </w:r>
      <w:r>
        <w:rPr>
          <w:color w:val="231F20"/>
          <w:w w:val="105"/>
        </w:rPr>
        <w:t>Peters,</w:t>
      </w:r>
      <w:r>
        <w:rPr>
          <w:color w:val="231F20"/>
          <w:spacing w:val="-12"/>
          <w:w w:val="105"/>
        </w:rPr>
        <w:t> </w:t>
      </w:r>
      <w:r>
        <w:rPr>
          <w:color w:val="231F20"/>
          <w:w w:val="105"/>
        </w:rPr>
        <w:t>an</w:t>
      </w:r>
      <w:r>
        <w:rPr>
          <w:color w:val="231F20"/>
          <w:spacing w:val="-12"/>
          <w:w w:val="105"/>
        </w:rPr>
        <w:t> </w:t>
      </w:r>
      <w:r>
        <w:rPr>
          <w:color w:val="231F20"/>
          <w:w w:val="105"/>
        </w:rPr>
        <w:t>exceptional</w:t>
      </w:r>
      <w:r>
        <w:rPr>
          <w:color w:val="231F20"/>
          <w:spacing w:val="-12"/>
          <w:w w:val="105"/>
        </w:rPr>
        <w:t> </w:t>
      </w:r>
      <w:r>
        <w:rPr>
          <w:color w:val="231F20"/>
          <w:w w:val="105"/>
        </w:rPr>
        <w:t>speaker,</w:t>
      </w:r>
      <w:r>
        <w:rPr>
          <w:color w:val="231F20"/>
          <w:spacing w:val="-12"/>
          <w:w w:val="105"/>
        </w:rPr>
        <w:t> </w:t>
      </w:r>
      <w:r>
        <w:rPr>
          <w:color w:val="231F20"/>
          <w:w w:val="105"/>
        </w:rPr>
        <w:t>is</w:t>
      </w:r>
      <w:r>
        <w:rPr>
          <w:color w:val="231F20"/>
          <w:spacing w:val="-12"/>
          <w:w w:val="105"/>
        </w:rPr>
        <w:t> </w:t>
      </w:r>
      <w:r>
        <w:rPr>
          <w:color w:val="231F20"/>
          <w:w w:val="105"/>
        </w:rPr>
        <w:t>usually</w:t>
      </w:r>
      <w:r>
        <w:rPr>
          <w:color w:val="231F20"/>
          <w:spacing w:val="-13"/>
          <w:w w:val="105"/>
        </w:rPr>
        <w:t> </w:t>
      </w:r>
      <w:r>
        <w:rPr>
          <w:color w:val="231F20"/>
          <w:w w:val="105"/>
        </w:rPr>
        <w:t>given</w:t>
      </w:r>
      <w:r>
        <w:rPr>
          <w:color w:val="231F20"/>
          <w:spacing w:val="-12"/>
          <w:w w:val="105"/>
        </w:rPr>
        <w:t> </w:t>
      </w:r>
      <w:r>
        <w:rPr>
          <w:color w:val="231F20"/>
          <w:w w:val="105"/>
        </w:rPr>
        <w:t>most</w:t>
      </w:r>
      <w:r>
        <w:rPr>
          <w:color w:val="231F20"/>
          <w:spacing w:val="-12"/>
          <w:w w:val="105"/>
        </w:rPr>
        <w:t> </w:t>
      </w:r>
      <w:r>
        <w:rPr>
          <w:color w:val="231F20"/>
          <w:w w:val="105"/>
        </w:rPr>
        <w:t>of </w:t>
      </w:r>
      <w:r>
        <w:rPr>
          <w:color w:val="231F20"/>
        </w:rPr>
        <w:t>the credit. Their model provides a structure with which to consider a </w:t>
      </w:r>
      <w:r>
        <w:rPr>
          <w:color w:val="231F20"/>
          <w:spacing w:val="-2"/>
          <w:w w:val="105"/>
        </w:rPr>
        <w:t>company</w:t>
      </w:r>
      <w:r>
        <w:rPr>
          <w:color w:val="231F20"/>
          <w:spacing w:val="-6"/>
          <w:w w:val="105"/>
        </w:rPr>
        <w:t> </w:t>
      </w:r>
      <w:r>
        <w:rPr>
          <w:color w:val="231F20"/>
          <w:spacing w:val="-2"/>
          <w:w w:val="105"/>
        </w:rPr>
        <w:t>as</w:t>
      </w:r>
      <w:r>
        <w:rPr>
          <w:color w:val="231F20"/>
          <w:spacing w:val="-6"/>
          <w:w w:val="105"/>
        </w:rPr>
        <w:t> </w:t>
      </w:r>
      <w:r>
        <w:rPr>
          <w:color w:val="231F20"/>
          <w:spacing w:val="-2"/>
          <w:w w:val="105"/>
        </w:rPr>
        <w:t>a</w:t>
      </w:r>
      <w:r>
        <w:rPr>
          <w:color w:val="231F20"/>
          <w:spacing w:val="-6"/>
          <w:w w:val="105"/>
        </w:rPr>
        <w:t> </w:t>
      </w:r>
      <w:r>
        <w:rPr>
          <w:color w:val="231F20"/>
          <w:spacing w:val="-2"/>
          <w:w w:val="105"/>
        </w:rPr>
        <w:t>whole,</w:t>
      </w:r>
      <w:r>
        <w:rPr>
          <w:color w:val="231F20"/>
          <w:spacing w:val="-6"/>
          <w:w w:val="105"/>
        </w:rPr>
        <w:t> </w:t>
      </w:r>
      <w:r>
        <w:rPr>
          <w:color w:val="231F20"/>
          <w:spacing w:val="-2"/>
          <w:w w:val="105"/>
        </w:rPr>
        <w:t>so</w:t>
      </w:r>
      <w:r>
        <w:rPr>
          <w:color w:val="231F20"/>
          <w:spacing w:val="-6"/>
          <w:w w:val="105"/>
        </w:rPr>
        <w:t> </w:t>
      </w:r>
      <w:r>
        <w:rPr>
          <w:color w:val="231F20"/>
          <w:spacing w:val="-2"/>
          <w:w w:val="105"/>
        </w:rPr>
        <w:t>that</w:t>
      </w:r>
      <w:r>
        <w:rPr>
          <w:color w:val="231F20"/>
          <w:spacing w:val="-6"/>
          <w:w w:val="105"/>
        </w:rPr>
        <w:t> </w:t>
      </w:r>
      <w:r>
        <w:rPr>
          <w:color w:val="231F20"/>
          <w:spacing w:val="-2"/>
          <w:w w:val="105"/>
        </w:rPr>
        <w:t>the</w:t>
      </w:r>
      <w:r>
        <w:rPr>
          <w:color w:val="231F20"/>
          <w:spacing w:val="-6"/>
          <w:w w:val="105"/>
        </w:rPr>
        <w:t> </w:t>
      </w:r>
      <w:r>
        <w:rPr>
          <w:color w:val="231F20"/>
          <w:spacing w:val="-2"/>
          <w:w w:val="105"/>
        </w:rPr>
        <w:t>organization’s</w:t>
      </w:r>
      <w:r>
        <w:rPr>
          <w:color w:val="231F20"/>
          <w:spacing w:val="-6"/>
          <w:w w:val="105"/>
        </w:rPr>
        <w:t> </w:t>
      </w:r>
      <w:r>
        <w:rPr>
          <w:color w:val="231F20"/>
          <w:spacing w:val="-2"/>
          <w:w w:val="105"/>
        </w:rPr>
        <w:t>problems</w:t>
      </w:r>
      <w:r>
        <w:rPr>
          <w:color w:val="231F20"/>
          <w:spacing w:val="-6"/>
          <w:w w:val="105"/>
        </w:rPr>
        <w:t> </w:t>
      </w:r>
      <w:r>
        <w:rPr>
          <w:color w:val="231F20"/>
          <w:spacing w:val="-2"/>
          <w:w w:val="105"/>
        </w:rPr>
        <w:t>may</w:t>
      </w:r>
      <w:r>
        <w:rPr>
          <w:color w:val="231F20"/>
          <w:spacing w:val="-6"/>
          <w:w w:val="105"/>
        </w:rPr>
        <w:t> </w:t>
      </w:r>
      <w:r>
        <w:rPr>
          <w:color w:val="231F20"/>
          <w:spacing w:val="-2"/>
          <w:w w:val="105"/>
        </w:rPr>
        <w:t>be</w:t>
      </w:r>
      <w:r>
        <w:rPr>
          <w:color w:val="231F20"/>
          <w:spacing w:val="-6"/>
          <w:w w:val="105"/>
        </w:rPr>
        <w:t> </w:t>
      </w:r>
      <w:r>
        <w:rPr>
          <w:color w:val="231F20"/>
          <w:spacing w:val="-2"/>
          <w:w w:val="105"/>
        </w:rPr>
        <w:t>di- </w:t>
      </w:r>
      <w:r>
        <w:rPr>
          <w:color w:val="231F20"/>
          <w:w w:val="105"/>
        </w:rPr>
        <w:t>agnosed</w:t>
      </w:r>
      <w:r>
        <w:rPr>
          <w:color w:val="231F20"/>
          <w:w w:val="105"/>
        </w:rPr>
        <w:t> and</w:t>
      </w:r>
      <w:r>
        <w:rPr>
          <w:color w:val="231F20"/>
          <w:w w:val="105"/>
        </w:rPr>
        <w:t> a</w:t>
      </w:r>
      <w:r>
        <w:rPr>
          <w:color w:val="231F20"/>
          <w:w w:val="105"/>
        </w:rPr>
        <w:t> strategy</w:t>
      </w:r>
      <w:r>
        <w:rPr>
          <w:color w:val="231F20"/>
          <w:w w:val="105"/>
        </w:rPr>
        <w:t> may</w:t>
      </w:r>
      <w:r>
        <w:rPr>
          <w:color w:val="231F20"/>
          <w:w w:val="105"/>
        </w:rPr>
        <w:t> be</w:t>
      </w:r>
      <w:r>
        <w:rPr>
          <w:color w:val="231F20"/>
          <w:w w:val="105"/>
        </w:rPr>
        <w:t> developed</w:t>
      </w:r>
      <w:r>
        <w:rPr>
          <w:color w:val="231F20"/>
          <w:w w:val="105"/>
        </w:rPr>
        <w:t> and</w:t>
      </w:r>
      <w:r>
        <w:rPr>
          <w:color w:val="231F20"/>
          <w:w w:val="105"/>
        </w:rPr>
        <w:t> implemented.</w:t>
      </w:r>
      <w:r>
        <w:rPr>
          <w:color w:val="231F20"/>
          <w:w w:val="105"/>
        </w:rPr>
        <w:t> If</w:t>
      </w:r>
      <w:r>
        <w:rPr>
          <w:color w:val="231F20"/>
          <w:w w:val="105"/>
        </w:rPr>
        <w:t> a </w:t>
      </w:r>
      <w:r>
        <w:rPr>
          <w:color w:val="231F20"/>
          <w:spacing w:val="-2"/>
          <w:w w:val="105"/>
        </w:rPr>
        <w:t>strategy</w:t>
      </w:r>
      <w:r>
        <w:rPr>
          <w:color w:val="231F20"/>
          <w:spacing w:val="-2"/>
          <w:w w:val="105"/>
        </w:rPr>
        <w:t> requires</w:t>
      </w:r>
      <w:r>
        <w:rPr>
          <w:color w:val="231F20"/>
          <w:spacing w:val="-2"/>
          <w:w w:val="105"/>
        </w:rPr>
        <w:t> radical</w:t>
      </w:r>
      <w:r>
        <w:rPr>
          <w:color w:val="231F20"/>
          <w:spacing w:val="-2"/>
          <w:w w:val="105"/>
        </w:rPr>
        <w:t> reorganization,</w:t>
      </w:r>
      <w:r>
        <w:rPr>
          <w:color w:val="231F20"/>
          <w:spacing w:val="-2"/>
          <w:w w:val="105"/>
        </w:rPr>
        <w:t> it’s</w:t>
      </w:r>
      <w:r>
        <w:rPr>
          <w:color w:val="231F20"/>
          <w:spacing w:val="-2"/>
          <w:w w:val="105"/>
        </w:rPr>
        <w:t> called</w:t>
      </w:r>
      <w:r>
        <w:rPr>
          <w:color w:val="231F20"/>
          <w:spacing w:val="-2"/>
          <w:w w:val="105"/>
        </w:rPr>
        <w:t> </w:t>
      </w:r>
      <w:r>
        <w:rPr>
          <w:i/>
          <w:color w:val="231F20"/>
          <w:spacing w:val="-2"/>
          <w:w w:val="105"/>
        </w:rPr>
        <w:t>reengineering.</w:t>
      </w:r>
      <w:r>
        <w:rPr>
          <w:i/>
          <w:color w:val="231F20"/>
          <w:spacing w:val="-2"/>
          <w:w w:val="105"/>
        </w:rPr>
        <w:t> </w:t>
      </w:r>
      <w:r>
        <w:rPr>
          <w:color w:val="231F20"/>
          <w:spacing w:val="-2"/>
          <w:w w:val="105"/>
        </w:rPr>
        <w:t>If </w:t>
      </w:r>
      <w:r>
        <w:rPr>
          <w:color w:val="231F20"/>
          <w:w w:val="105"/>
        </w:rPr>
        <w:t>not,</w:t>
      </w:r>
      <w:r>
        <w:rPr>
          <w:color w:val="231F20"/>
          <w:spacing w:val="-1"/>
          <w:w w:val="105"/>
        </w:rPr>
        <w:t> </w:t>
      </w:r>
      <w:r>
        <w:rPr>
          <w:color w:val="231F20"/>
          <w:w w:val="105"/>
        </w:rPr>
        <w:t>it</w:t>
      </w:r>
      <w:r>
        <w:rPr>
          <w:color w:val="231F20"/>
          <w:spacing w:val="-1"/>
          <w:w w:val="105"/>
        </w:rPr>
        <w:t> </w:t>
      </w:r>
      <w:r>
        <w:rPr>
          <w:color w:val="231F20"/>
          <w:w w:val="105"/>
        </w:rPr>
        <w:t>is</w:t>
      </w:r>
      <w:r>
        <w:rPr>
          <w:color w:val="231F20"/>
          <w:spacing w:val="-1"/>
          <w:w w:val="105"/>
        </w:rPr>
        <w:t> </w:t>
      </w:r>
      <w:r>
        <w:rPr>
          <w:color w:val="231F20"/>
          <w:w w:val="105"/>
        </w:rPr>
        <w:t>described</w:t>
      </w:r>
      <w:r>
        <w:rPr>
          <w:color w:val="231F20"/>
          <w:spacing w:val="-1"/>
          <w:w w:val="105"/>
        </w:rPr>
        <w:t> </w:t>
      </w:r>
      <w:r>
        <w:rPr>
          <w:color w:val="231F20"/>
          <w:w w:val="105"/>
        </w:rPr>
        <w:t>as</w:t>
      </w:r>
      <w:r>
        <w:rPr>
          <w:color w:val="231F20"/>
          <w:spacing w:val="-2"/>
          <w:w w:val="105"/>
        </w:rPr>
        <w:t> </w:t>
      </w:r>
      <w:r>
        <w:rPr>
          <w:i/>
          <w:color w:val="231F20"/>
          <w:w w:val="105"/>
        </w:rPr>
        <w:t>organizational</w:t>
      </w:r>
      <w:r>
        <w:rPr>
          <w:i/>
          <w:color w:val="231F20"/>
          <w:spacing w:val="-1"/>
          <w:w w:val="105"/>
        </w:rPr>
        <w:t> </w:t>
      </w:r>
      <w:r>
        <w:rPr>
          <w:i/>
          <w:color w:val="231F20"/>
          <w:w w:val="105"/>
        </w:rPr>
        <w:t>tinkering.</w:t>
      </w:r>
      <w:r>
        <w:rPr>
          <w:i/>
          <w:color w:val="231F20"/>
          <w:spacing w:val="-2"/>
          <w:w w:val="105"/>
        </w:rPr>
        <w:t> </w:t>
      </w:r>
      <w:r>
        <w:rPr>
          <w:color w:val="231F20"/>
          <w:w w:val="105"/>
        </w:rPr>
        <w:t>The</w:t>
      </w:r>
      <w:r>
        <w:rPr>
          <w:color w:val="231F20"/>
          <w:spacing w:val="-1"/>
          <w:w w:val="105"/>
        </w:rPr>
        <w:t> </w:t>
      </w:r>
      <w:r>
        <w:rPr>
          <w:color w:val="231F20"/>
          <w:w w:val="105"/>
        </w:rPr>
        <w:t>Seven</w:t>
      </w:r>
      <w:r>
        <w:rPr>
          <w:color w:val="231F20"/>
          <w:spacing w:val="-1"/>
          <w:w w:val="105"/>
        </w:rPr>
        <w:t> </w:t>
      </w:r>
      <w:r>
        <w:rPr>
          <w:color w:val="231F20"/>
          <w:w w:val="105"/>
        </w:rPr>
        <w:t>S’s</w:t>
      </w:r>
      <w:r>
        <w:rPr>
          <w:color w:val="231F20"/>
          <w:spacing w:val="-1"/>
          <w:w w:val="105"/>
        </w:rPr>
        <w:t> </w:t>
      </w:r>
      <w:r>
        <w:rPr>
          <w:color w:val="231F20"/>
          <w:w w:val="105"/>
        </w:rPr>
        <w:t>are:</w:t>
      </w:r>
    </w:p>
    <w:p>
      <w:pPr>
        <w:pStyle w:val="BodyText"/>
        <w:spacing w:before="7"/>
        <w:rPr>
          <w:sz w:val="20"/>
        </w:rPr>
      </w:pPr>
    </w:p>
    <w:p>
      <w:pPr>
        <w:pStyle w:val="ListParagraph"/>
        <w:numPr>
          <w:ilvl w:val="0"/>
          <w:numId w:val="44"/>
        </w:numPr>
        <w:tabs>
          <w:tab w:pos="1446" w:val="left" w:leader="none"/>
        </w:tabs>
        <w:spacing w:line="240" w:lineRule="auto" w:before="0" w:after="0"/>
        <w:ind w:left="1445" w:right="0" w:hanging="186"/>
        <w:jc w:val="left"/>
        <w:rPr>
          <w:sz w:val="19"/>
        </w:rPr>
      </w:pPr>
      <w:r>
        <w:rPr>
          <w:color w:val="231F20"/>
          <w:spacing w:val="-2"/>
          <w:w w:val="115"/>
          <w:sz w:val="19"/>
        </w:rPr>
        <w:t>Structure</w:t>
      </w:r>
    </w:p>
    <w:p>
      <w:pPr>
        <w:pStyle w:val="ListParagraph"/>
        <w:numPr>
          <w:ilvl w:val="0"/>
          <w:numId w:val="44"/>
        </w:numPr>
        <w:tabs>
          <w:tab w:pos="1446" w:val="left" w:leader="none"/>
        </w:tabs>
        <w:spacing w:line="240" w:lineRule="auto" w:before="82" w:after="0"/>
        <w:ind w:left="1445" w:right="0" w:hanging="186"/>
        <w:jc w:val="left"/>
        <w:rPr>
          <w:sz w:val="19"/>
        </w:rPr>
      </w:pPr>
      <w:r>
        <w:rPr>
          <w:color w:val="231F20"/>
          <w:spacing w:val="-2"/>
          <w:w w:val="115"/>
          <w:sz w:val="19"/>
        </w:rPr>
        <w:t>Systems</w:t>
      </w:r>
    </w:p>
    <w:p>
      <w:pPr>
        <w:spacing w:after="0" w:line="240" w:lineRule="auto"/>
        <w:jc w:val="left"/>
        <w:rPr>
          <w:sz w:val="19"/>
        </w:rPr>
        <w:sectPr>
          <w:headerReference w:type="default" r:id="rId119"/>
          <w:headerReference w:type="even" r:id="rId120"/>
          <w:pgSz w:w="8640" w:h="12960"/>
          <w:pgMar w:header="734" w:footer="0" w:top="920" w:bottom="280" w:left="340" w:right="500"/>
          <w:pgNumType w:start="321"/>
        </w:sectPr>
      </w:pPr>
    </w:p>
    <w:p>
      <w:pPr>
        <w:pStyle w:val="BodyText"/>
        <w:spacing w:before="8"/>
        <w:rPr>
          <w:rFonts w:ascii="Arial"/>
          <w:sz w:val="19"/>
        </w:rPr>
      </w:pPr>
    </w:p>
    <w:p>
      <w:pPr>
        <w:pStyle w:val="ListParagraph"/>
        <w:numPr>
          <w:ilvl w:val="0"/>
          <w:numId w:val="45"/>
        </w:numPr>
        <w:tabs>
          <w:tab w:pos="1356" w:val="left" w:leader="none"/>
        </w:tabs>
        <w:spacing w:line="240" w:lineRule="auto" w:before="97" w:after="0"/>
        <w:ind w:left="1355" w:right="0" w:hanging="186"/>
        <w:jc w:val="left"/>
        <w:rPr>
          <w:sz w:val="19"/>
        </w:rPr>
      </w:pPr>
      <w:r>
        <w:rPr>
          <w:color w:val="231F20"/>
          <w:spacing w:val="-2"/>
          <w:w w:val="110"/>
          <w:sz w:val="19"/>
        </w:rPr>
        <w:t>Skills</w:t>
      </w:r>
    </w:p>
    <w:p>
      <w:pPr>
        <w:pStyle w:val="ListParagraph"/>
        <w:numPr>
          <w:ilvl w:val="0"/>
          <w:numId w:val="45"/>
        </w:numPr>
        <w:tabs>
          <w:tab w:pos="1356" w:val="left" w:leader="none"/>
        </w:tabs>
        <w:spacing w:line="240" w:lineRule="auto" w:before="82" w:after="0"/>
        <w:ind w:left="1355" w:right="0" w:hanging="186"/>
        <w:jc w:val="left"/>
        <w:rPr>
          <w:sz w:val="19"/>
        </w:rPr>
      </w:pPr>
      <w:r>
        <w:rPr>
          <w:color w:val="231F20"/>
          <w:spacing w:val="-4"/>
          <w:w w:val="115"/>
          <w:sz w:val="19"/>
        </w:rPr>
        <w:t>Style</w:t>
      </w:r>
    </w:p>
    <w:p>
      <w:pPr>
        <w:pStyle w:val="ListParagraph"/>
        <w:numPr>
          <w:ilvl w:val="0"/>
          <w:numId w:val="45"/>
        </w:numPr>
        <w:tabs>
          <w:tab w:pos="1356" w:val="left" w:leader="none"/>
        </w:tabs>
        <w:spacing w:line="240" w:lineRule="auto" w:before="81" w:after="0"/>
        <w:ind w:left="1355" w:right="0" w:hanging="186"/>
        <w:jc w:val="left"/>
        <w:rPr>
          <w:sz w:val="19"/>
        </w:rPr>
      </w:pPr>
      <w:r>
        <w:rPr>
          <w:color w:val="231F20"/>
          <w:spacing w:val="-4"/>
          <w:w w:val="115"/>
          <w:sz w:val="19"/>
        </w:rPr>
        <w:t>Staff</w:t>
      </w:r>
    </w:p>
    <w:p>
      <w:pPr>
        <w:pStyle w:val="ListParagraph"/>
        <w:numPr>
          <w:ilvl w:val="0"/>
          <w:numId w:val="45"/>
        </w:numPr>
        <w:tabs>
          <w:tab w:pos="1356" w:val="left" w:leader="none"/>
        </w:tabs>
        <w:spacing w:line="240" w:lineRule="auto" w:before="82" w:after="0"/>
        <w:ind w:left="1355" w:right="0" w:hanging="186"/>
        <w:jc w:val="left"/>
        <w:rPr>
          <w:sz w:val="19"/>
        </w:rPr>
      </w:pPr>
      <w:r>
        <w:rPr>
          <w:color w:val="231F20"/>
          <w:w w:val="110"/>
          <w:sz w:val="19"/>
        </w:rPr>
        <w:t>Superordinate</w:t>
      </w:r>
      <w:r>
        <w:rPr>
          <w:color w:val="231F20"/>
          <w:spacing w:val="11"/>
          <w:w w:val="110"/>
          <w:sz w:val="19"/>
        </w:rPr>
        <w:t> </w:t>
      </w:r>
      <w:r>
        <w:rPr>
          <w:color w:val="231F20"/>
          <w:w w:val="110"/>
          <w:sz w:val="19"/>
        </w:rPr>
        <w:t>Goals/Shared</w:t>
      </w:r>
      <w:r>
        <w:rPr>
          <w:color w:val="231F20"/>
          <w:spacing w:val="11"/>
          <w:w w:val="110"/>
          <w:sz w:val="19"/>
        </w:rPr>
        <w:t> </w:t>
      </w:r>
      <w:r>
        <w:rPr>
          <w:color w:val="231F20"/>
          <w:spacing w:val="-2"/>
          <w:w w:val="110"/>
          <w:sz w:val="19"/>
        </w:rPr>
        <w:t>Values</w:t>
      </w:r>
    </w:p>
    <w:p>
      <w:pPr>
        <w:pStyle w:val="ListParagraph"/>
        <w:numPr>
          <w:ilvl w:val="0"/>
          <w:numId w:val="45"/>
        </w:numPr>
        <w:tabs>
          <w:tab w:pos="1356" w:val="left" w:leader="none"/>
        </w:tabs>
        <w:spacing w:line="240" w:lineRule="auto" w:before="81" w:after="0"/>
        <w:ind w:left="1355" w:right="0" w:hanging="186"/>
        <w:jc w:val="left"/>
        <w:rPr>
          <w:sz w:val="19"/>
        </w:rPr>
      </w:pPr>
      <w:r>
        <w:rPr>
          <w:color w:val="231F20"/>
          <w:spacing w:val="-2"/>
          <w:w w:val="115"/>
          <w:sz w:val="19"/>
        </w:rPr>
        <w:t>Strategy</w:t>
      </w:r>
    </w:p>
    <w:p>
      <w:pPr>
        <w:pStyle w:val="BodyText"/>
        <w:rPr>
          <w:rFonts w:ascii="Arial"/>
          <w:sz w:val="20"/>
        </w:rPr>
      </w:pPr>
    </w:p>
    <w:p>
      <w:pPr>
        <w:pStyle w:val="BodyText"/>
        <w:spacing w:line="292" w:lineRule="auto" w:before="141"/>
        <w:ind w:left="830" w:right="753" w:firstLine="340"/>
        <w:jc w:val="both"/>
      </w:pPr>
      <w:r>
        <w:rPr>
          <w:color w:val="231F20"/>
        </w:rPr>
        <w:t>The diagram illustrates the “multiplicity” and “interconnected- ness” of elements that influence an organization’s ability to </w:t>
      </w:r>
      <w:r>
        <w:rPr>
          <w:color w:val="231F20"/>
        </w:rPr>
        <w:t>change. The other notable feature in the diagram is that there is “no starting point or implied hierarchy.” In any one organization, different fac- tors may drive the business. In an “excellent” organization, each of</w:t>
      </w:r>
      <w:r>
        <w:rPr>
          <w:color w:val="231F20"/>
          <w:spacing w:val="40"/>
        </w:rPr>
        <w:t> </w:t>
      </w:r>
      <w:r>
        <w:rPr>
          <w:color w:val="231F20"/>
        </w:rPr>
        <w:t>the</w:t>
      </w:r>
      <w:r>
        <w:rPr>
          <w:color w:val="231F20"/>
          <w:spacing w:val="58"/>
          <w:w w:val="150"/>
        </w:rPr>
        <w:t> </w:t>
      </w:r>
      <w:r>
        <w:rPr>
          <w:color w:val="231F20"/>
        </w:rPr>
        <w:t>S’s</w:t>
      </w:r>
      <w:r>
        <w:rPr>
          <w:color w:val="231F20"/>
          <w:spacing w:val="58"/>
          <w:w w:val="150"/>
        </w:rPr>
        <w:t> </w:t>
      </w:r>
      <w:r>
        <w:rPr>
          <w:color w:val="231F20"/>
        </w:rPr>
        <w:t>complements</w:t>
      </w:r>
      <w:r>
        <w:rPr>
          <w:color w:val="231F20"/>
          <w:spacing w:val="58"/>
          <w:w w:val="150"/>
        </w:rPr>
        <w:t> </w:t>
      </w:r>
      <w:r>
        <w:rPr>
          <w:color w:val="231F20"/>
        </w:rPr>
        <w:t>the</w:t>
      </w:r>
      <w:r>
        <w:rPr>
          <w:color w:val="231F20"/>
          <w:spacing w:val="59"/>
          <w:w w:val="150"/>
        </w:rPr>
        <w:t> </w:t>
      </w:r>
      <w:r>
        <w:rPr>
          <w:color w:val="231F20"/>
        </w:rPr>
        <w:t>others</w:t>
      </w:r>
      <w:r>
        <w:rPr>
          <w:color w:val="231F20"/>
          <w:spacing w:val="58"/>
          <w:w w:val="150"/>
        </w:rPr>
        <w:t> </w:t>
      </w:r>
      <w:r>
        <w:rPr>
          <w:color w:val="231F20"/>
        </w:rPr>
        <w:t>and</w:t>
      </w:r>
      <w:r>
        <w:rPr>
          <w:color w:val="231F20"/>
          <w:spacing w:val="58"/>
          <w:w w:val="150"/>
        </w:rPr>
        <w:t> </w:t>
      </w:r>
      <w:r>
        <w:rPr>
          <w:color w:val="231F20"/>
        </w:rPr>
        <w:t>consistently</w:t>
      </w:r>
      <w:r>
        <w:rPr>
          <w:color w:val="231F20"/>
          <w:spacing w:val="59"/>
          <w:w w:val="150"/>
        </w:rPr>
        <w:t> </w:t>
      </w:r>
      <w:r>
        <w:rPr>
          <w:color w:val="231F20"/>
        </w:rPr>
        <w:t>advances</w:t>
      </w:r>
      <w:r>
        <w:rPr>
          <w:color w:val="231F20"/>
          <w:spacing w:val="58"/>
          <w:w w:val="150"/>
        </w:rPr>
        <w:t> </w:t>
      </w:r>
      <w:r>
        <w:rPr>
          <w:color w:val="231F20"/>
          <w:spacing w:val="-5"/>
        </w:rPr>
        <w:t>the</w:t>
      </w:r>
    </w:p>
    <w:p>
      <w:pPr>
        <w:pStyle w:val="BodyText"/>
        <w:rPr>
          <w:sz w:val="24"/>
        </w:rPr>
      </w:pPr>
    </w:p>
    <w:p>
      <w:pPr>
        <w:spacing w:before="202"/>
        <w:ind w:left="293" w:right="219" w:firstLine="0"/>
        <w:jc w:val="center"/>
        <w:rPr>
          <w:rFonts w:ascii="Arial"/>
          <w:sz w:val="14"/>
        </w:rPr>
      </w:pPr>
      <w:r>
        <w:rPr>
          <w:rFonts w:ascii="Arial"/>
          <w:color w:val="231F20"/>
          <w:sz w:val="14"/>
        </w:rPr>
        <w:t>THE</w:t>
      </w:r>
      <w:r>
        <w:rPr>
          <w:rFonts w:ascii="Arial"/>
          <w:color w:val="231F20"/>
          <w:spacing w:val="24"/>
          <w:sz w:val="14"/>
        </w:rPr>
        <w:t> </w:t>
      </w:r>
      <w:r>
        <w:rPr>
          <w:rFonts w:ascii="Arial"/>
          <w:color w:val="231F20"/>
          <w:sz w:val="14"/>
        </w:rPr>
        <w:t>SEVEN</w:t>
      </w:r>
      <w:r>
        <w:rPr>
          <w:rFonts w:ascii="Arial"/>
          <w:color w:val="231F20"/>
          <w:spacing w:val="25"/>
          <w:sz w:val="14"/>
        </w:rPr>
        <w:t> </w:t>
      </w:r>
      <w:r>
        <w:rPr>
          <w:rFonts w:ascii="Arial"/>
          <w:color w:val="231F20"/>
          <w:sz w:val="14"/>
        </w:rPr>
        <w:t>S</w:t>
      </w:r>
      <w:r>
        <w:rPr>
          <w:rFonts w:ascii="Arial"/>
          <w:color w:val="231F20"/>
          <w:spacing w:val="25"/>
          <w:sz w:val="14"/>
        </w:rPr>
        <w:t> </w:t>
      </w:r>
      <w:r>
        <w:rPr>
          <w:rFonts w:ascii="Arial"/>
          <w:color w:val="231F20"/>
          <w:spacing w:val="-2"/>
          <w:sz w:val="14"/>
        </w:rPr>
        <w:t>MODEL</w:t>
      </w:r>
    </w:p>
    <w:p>
      <w:pPr>
        <w:pStyle w:val="BodyText"/>
        <w:spacing w:before="10"/>
        <w:rPr>
          <w:rFonts w:ascii="Arial"/>
          <w:sz w:val="16"/>
        </w:rPr>
      </w:pPr>
      <w:r>
        <w:rPr/>
        <w:pict>
          <v:group style="position:absolute;margin-left:102pt;margin-top:10.933295pt;width:224.5pt;height:248.7pt;mso-position-horizontal-relative:page;mso-position-vertical-relative:paragraph;z-index:-15540736;mso-wrap-distance-left:0;mso-wrap-distance-right:0" id="docshapegroup466" coordorigin="2040,219" coordsize="4490,4974">
            <v:shape style="position:absolute;left:3777;top:228;width:1032;height:1032" id="docshape467" coordorigin="3778,229" coordsize="1032,1032" path="m4810,745l4804,821,4788,894,4762,962,4726,1025,4683,1083,4632,1134,4575,1177,4511,1213,4443,1239,4370,1255,4294,1260,4217,1255,4145,1239,4076,1213,4013,1177,3955,1134,3904,1083,3861,1025,3826,962,3800,894,3783,821,3778,745,3783,668,3800,596,3826,527,3861,464,3904,406,3955,355,4013,312,4076,277,4145,251,4217,234,4294,229,4370,234,4443,251,4511,277,4575,312,4632,355,4683,406,4726,464,4762,527,4788,596,4804,668,4810,745xe" filled="false" stroked="true" strokeweight="1pt" strokecolor="#231f20">
              <v:path arrowok="t"/>
              <v:stroke dashstyle="solid"/>
            </v:shape>
            <v:shape style="position:absolute;left:2090;top:987;width:1732;height:1276" id="docshape468" coordorigin="2090,988" coordsize="1732,1276" path="m3122,1747l3116,1823,3100,1896,3074,1964,3039,2028,2995,2085,2944,2136,2887,2180,2823,2215,2755,2241,2682,2257,2606,2263,2530,2257,2457,2241,2388,2215,2325,2180,2267,2136,2217,2085,2173,2028,2138,1964,2112,1896,2096,1823,2090,1747,2096,1671,2112,1598,2138,1529,2173,1466,2217,1408,2267,1358,2325,1314,2388,1279,2457,1253,2530,1237,2606,1231,2682,1237,2755,1253,2823,1279,2887,1314,2944,1358,2995,1408,3039,1466,3074,1529,3100,1598,3116,1671,3122,1747xm3026,1437l3822,988e" filled="false" stroked="true" strokeweight="1pt" strokecolor="#231f20">
              <v:path arrowok="t"/>
              <v:stroke dashstyle="solid"/>
            </v:shape>
            <v:shape style="position:absolute;left:5487;top:1230;width:1032;height:1032" id="docshape469" coordorigin="5488,1231" coordsize="1032,1032" path="m6519,1747l6514,1823,6498,1896,6471,1964,6436,2028,6393,2085,6342,2136,6284,2180,6221,2215,6152,2241,6080,2257,6004,2263,5927,2257,5854,2241,5786,2215,5723,2180,5665,2136,5614,2085,5571,2028,5536,1964,5509,1896,5493,1823,5488,1747,5493,1671,5509,1598,5536,1529,5571,1466,5614,1408,5665,1358,5723,1314,5786,1279,5854,1253,5927,1237,6004,1231,6080,1237,6152,1253,6221,1279,6284,1314,6342,1358,6393,1408,6436,1466,6471,1529,6498,1598,6514,1671,6519,1747xe" filled="false" stroked="true" strokeweight="1pt" strokecolor="#231f20">
              <v:path arrowok="t"/>
              <v:stroke dashstyle="solid"/>
            </v:shape>
            <v:line style="position:absolute" from="4743,1003" to="5539,1496" stroked="true" strokeweight="1pt" strokecolor="#231f20">
              <v:stroke dashstyle="solid"/>
            </v:line>
            <v:shape style="position:absolute;left:2050;top:3118;width:1032;height:1032" id="docshape470" coordorigin="2050,3119" coordsize="1032,1032" path="m3082,3635l3076,3711,3060,3784,3034,3852,2999,3916,2955,3973,2904,4024,2847,4067,2783,4103,2715,4129,2642,4145,2566,4151,2490,4145,2417,4129,2348,4103,2285,4067,2227,4024,2177,3973,2133,3916,2098,3852,2072,3784,2056,3711,2050,3635,2056,3558,2072,3486,2098,3417,2133,3354,2177,3296,2227,3245,2285,3202,2348,3167,2417,3141,2490,3124,2566,3119,2642,3124,2715,3141,2783,3167,2847,3202,2904,3245,2955,3296,2999,3354,3034,3417,3060,3486,3076,3558,3082,3635xe" filled="false" stroked="true" strokeweight="1pt" strokecolor="#231f20">
              <v:path arrowok="t"/>
              <v:stroke dashstyle="solid"/>
            </v:shape>
            <v:shape style="position:absolute;left:2576;top:1186;width:2912;height:2050" id="docshape471" coordorigin="2576,1187" coordsize="2912,2050" path="m2576,2263l2576,3103m3114,1688l5488,1748m4806,2721l4801,2797,4785,2870,4758,2938,4723,3002,4680,3059,4629,3110,4571,3154,4508,3189,4440,3215,4367,3231,4291,3237,4214,3231,4141,3215,4073,3189,4010,3154,3952,3110,3901,3059,3858,3002,3823,2938,3796,2870,3780,2797,3775,2721,3780,2645,3796,2572,3823,2503,3858,2440,3901,2382,3952,2331,4010,2288,4073,2253,4141,2227,4214,2211,4291,2205,4367,2211,4440,2227,4508,2253,4571,2288,4629,2331,4680,2382,4723,2440,4758,2503,4785,2572,4801,2645,4806,2721xm4294,1260l4294,2189m2820,3184l4014,1187m3070,1968l3859,2432e" filled="false" stroked="true" strokeweight="1pt" strokecolor="#231f20">
              <v:path arrowok="t"/>
              <v:stroke dashstyle="solid"/>
            </v:shape>
            <v:shape style="position:absolute;left:3774;top:4150;width:1032;height:1032" id="docshape472" coordorigin="3775,4151" coordsize="1032,1032" path="m4806,4667l4801,4743,4785,4816,4758,4884,4723,4947,4680,5005,4629,5056,4571,5099,4508,5134,4440,5161,4367,5177,4291,5182,4214,5177,4141,5161,4073,5134,4010,5099,3952,5056,3901,5005,3858,4947,3823,4884,3796,4816,3780,4743,3775,4667,3780,4590,3796,4518,3823,4449,3858,4386,3901,4328,3952,4277,4010,4234,4073,4199,4141,4172,4214,4156,4291,4151,4367,4156,4440,4172,4508,4199,4571,4234,4629,4277,4680,4328,4723,4386,4758,4449,4785,4518,4801,4590,4806,4667xe" filled="false" stroked="true" strokeweight="1pt" strokecolor="#231f20">
              <v:path arrowok="t"/>
              <v:stroke dashstyle="solid"/>
            </v:shape>
            <v:shape style="position:absolute;left:2885;top:2181;width:1143;height:2211" id="docshape473" coordorigin="2886,2182" coordsize="1143,2211" path="m2886,2182l4028,4201m3011,3906l3829,4393m3004,3383l3815,2933e" filled="false" stroked="true" strokeweight="1pt" strokecolor="#231f20">
              <v:path arrowok="t"/>
              <v:stroke dashstyle="solid"/>
            </v:shape>
            <v:shape style="position:absolute;left:5487;top:3198;width:1032;height:1032" id="docshape474" coordorigin="5488,3199" coordsize="1032,1032" path="m6519,3715l6514,3791,6498,3864,6471,3932,6436,3996,6393,4053,6342,4104,6284,4147,6221,4183,6152,4209,6080,4225,6004,4231,5927,4225,5854,4209,5786,4183,5723,4147,5665,4104,5614,4053,5571,3996,5536,3932,5509,3864,5493,3791,5488,3715,5493,3638,5509,3566,5536,3497,5571,3434,5614,3376,5665,3325,5723,3282,5786,3247,5854,3221,5927,3204,6004,3199,6080,3204,6152,3221,6221,3247,6284,3282,6342,3325,6393,3376,6436,3434,6471,3497,6498,3566,6514,3638,6519,3715xe" filled="false" stroked="true" strokeweight="1pt" strokecolor="#231f20">
              <v:path arrowok="t"/>
              <v:stroke dashstyle="solid"/>
            </v:shape>
            <v:shape style="position:absolute;left:3081;top:1194;width:2922;height:3199" id="docshape475" coordorigin="3082,1194" coordsize="2922,3199" path="m4544,1194l5753,3243m5539,1997l4729,2432m4279,4135l4279,3237m4729,4393l5547,3951m4537,4201l5746,2189m4758,2956l5554,3413m3082,3635l5480,3695m6004,2263l6004,3177e" filled="false" stroked="true" strokeweight="1pt" strokecolor="#231f20">
              <v:path arrowok="t"/>
              <v:stroke dashstyle="solid"/>
            </v:shape>
            <v:shape style="position:absolute;left:3953;top:602;width:670;height:236" type="#_x0000_t202" id="docshape476" filled="false" stroked="false">
              <v:textbox inset="0,0,0,0">
                <w:txbxContent>
                  <w:p>
                    <w:pPr>
                      <w:spacing w:before="14"/>
                      <w:ind w:left="0" w:right="0" w:firstLine="0"/>
                      <w:jc w:val="left"/>
                      <w:rPr>
                        <w:rFonts w:ascii="Arial"/>
                        <w:sz w:val="16"/>
                      </w:rPr>
                    </w:pPr>
                    <w:r>
                      <w:rPr>
                        <w:rFonts w:ascii="Arial"/>
                        <w:color w:val="231F20"/>
                        <w:spacing w:val="-2"/>
                        <w:sz w:val="16"/>
                      </w:rPr>
                      <w:t>Structure</w:t>
                    </w:r>
                  </w:p>
                </w:txbxContent>
              </v:textbox>
              <w10:wrap type="none"/>
            </v:shape>
            <v:shape style="position:absolute;left:2300;top:1645;width:616;height:236" type="#_x0000_t202" id="docshape477" filled="false" stroked="false">
              <v:textbox inset="0,0,0,0">
                <w:txbxContent>
                  <w:p>
                    <w:pPr>
                      <w:spacing w:before="14"/>
                      <w:ind w:left="0" w:right="0" w:firstLine="0"/>
                      <w:jc w:val="left"/>
                      <w:rPr>
                        <w:rFonts w:ascii="Arial"/>
                        <w:sz w:val="16"/>
                      </w:rPr>
                    </w:pPr>
                    <w:r>
                      <w:rPr>
                        <w:rFonts w:ascii="Arial"/>
                        <w:color w:val="231F20"/>
                        <w:spacing w:val="-2"/>
                        <w:sz w:val="16"/>
                      </w:rPr>
                      <w:t>Strategy</w:t>
                    </w:r>
                  </w:p>
                </w:txbxContent>
              </v:textbox>
              <w10:wrap type="none"/>
            </v:shape>
            <v:shape style="position:absolute;left:5700;top:1634;width:634;height:236" type="#_x0000_t202" id="docshape478" filled="false" stroked="false">
              <v:textbox inset="0,0,0,0">
                <w:txbxContent>
                  <w:p>
                    <w:pPr>
                      <w:spacing w:before="14"/>
                      <w:ind w:left="0" w:right="0" w:firstLine="0"/>
                      <w:jc w:val="left"/>
                      <w:rPr>
                        <w:rFonts w:ascii="Arial"/>
                        <w:sz w:val="16"/>
                      </w:rPr>
                    </w:pPr>
                    <w:r>
                      <w:rPr>
                        <w:rFonts w:ascii="Arial"/>
                        <w:color w:val="231F20"/>
                        <w:spacing w:val="-2"/>
                        <w:sz w:val="16"/>
                      </w:rPr>
                      <w:t>Systems</w:t>
                    </w:r>
                  </w:p>
                </w:txbxContent>
              </v:textbox>
              <w10:wrap type="none"/>
            </v:shape>
            <v:shape style="position:absolute;left:3816;top:2555;width:975;height:428" type="#_x0000_t202" id="docshape479" filled="false" stroked="false">
              <v:textbox inset="0,0,0,0">
                <w:txbxContent>
                  <w:p>
                    <w:pPr>
                      <w:spacing w:line="249" w:lineRule="auto" w:before="14"/>
                      <w:ind w:left="278" w:right="0" w:hanging="279"/>
                      <w:jc w:val="left"/>
                      <w:rPr>
                        <w:rFonts w:ascii="Arial"/>
                        <w:sz w:val="16"/>
                      </w:rPr>
                    </w:pPr>
                    <w:r>
                      <w:rPr>
                        <w:rFonts w:ascii="Arial"/>
                        <w:color w:val="231F20"/>
                        <w:spacing w:val="-2"/>
                        <w:w w:val="95"/>
                        <w:sz w:val="16"/>
                      </w:rPr>
                      <w:t>Superordinate </w:t>
                    </w:r>
                    <w:r>
                      <w:rPr>
                        <w:rFonts w:ascii="Arial"/>
                        <w:color w:val="231F20"/>
                        <w:spacing w:val="-2"/>
                        <w:sz w:val="16"/>
                      </w:rPr>
                      <w:t>Goals</w:t>
                    </w:r>
                  </w:p>
                </w:txbxContent>
              </v:textbox>
              <w10:wrap type="none"/>
            </v:shape>
            <v:shape style="position:absolute;left:2383;top:3513;width:394;height:236" type="#_x0000_t202" id="docshape480" filled="false" stroked="false">
              <v:textbox inset="0,0,0,0">
                <w:txbxContent>
                  <w:p>
                    <w:pPr>
                      <w:spacing w:before="14"/>
                      <w:ind w:left="0" w:right="0" w:firstLine="0"/>
                      <w:jc w:val="left"/>
                      <w:rPr>
                        <w:rFonts w:ascii="Arial"/>
                        <w:sz w:val="16"/>
                      </w:rPr>
                    </w:pPr>
                    <w:r>
                      <w:rPr>
                        <w:rFonts w:ascii="Arial"/>
                        <w:color w:val="231F20"/>
                        <w:spacing w:val="-2"/>
                        <w:sz w:val="16"/>
                      </w:rPr>
                      <w:t>Skills</w:t>
                    </w:r>
                  </w:p>
                </w:txbxContent>
              </v:textbox>
              <w10:wrap type="none"/>
            </v:shape>
            <v:shape style="position:absolute;left:5842;top:3594;width:376;height:236" type="#_x0000_t202" id="docshape481" filled="false" stroked="false">
              <v:textbox inset="0,0,0,0">
                <w:txbxContent>
                  <w:p>
                    <w:pPr>
                      <w:spacing w:before="14"/>
                      <w:ind w:left="0" w:right="0" w:firstLine="0"/>
                      <w:jc w:val="left"/>
                      <w:rPr>
                        <w:rFonts w:ascii="Arial"/>
                        <w:sz w:val="16"/>
                      </w:rPr>
                    </w:pPr>
                    <w:r>
                      <w:rPr>
                        <w:rFonts w:ascii="Arial"/>
                        <w:color w:val="231F20"/>
                        <w:spacing w:val="-2"/>
                        <w:sz w:val="16"/>
                      </w:rPr>
                      <w:t>Style</w:t>
                    </w:r>
                  </w:p>
                </w:txbxContent>
              </v:textbox>
              <w10:wrap type="none"/>
            </v:shape>
            <v:shape style="position:absolute;left:4135;top:4575;width:347;height:236" type="#_x0000_t202" id="docshape482" filled="false" stroked="false">
              <v:textbox inset="0,0,0,0">
                <w:txbxContent>
                  <w:p>
                    <w:pPr>
                      <w:spacing w:before="14"/>
                      <w:ind w:left="0" w:right="0" w:firstLine="0"/>
                      <w:jc w:val="left"/>
                      <w:rPr>
                        <w:rFonts w:ascii="Arial"/>
                        <w:sz w:val="16"/>
                      </w:rPr>
                    </w:pPr>
                    <w:r>
                      <w:rPr>
                        <w:rFonts w:ascii="Arial"/>
                        <w:color w:val="231F20"/>
                        <w:spacing w:val="-4"/>
                        <w:sz w:val="16"/>
                      </w:rPr>
                      <w:t>Staff</w:t>
                    </w:r>
                  </w:p>
                </w:txbxContent>
              </v:textbox>
              <w10:wrap type="none"/>
            </v:shape>
            <w10:wrap type="topAndBottom"/>
          </v:group>
        </w:pict>
      </w:r>
    </w:p>
    <w:p>
      <w:pPr>
        <w:pStyle w:val="BodyText"/>
        <w:rPr>
          <w:rFonts w:ascii="Arial"/>
          <w:sz w:val="20"/>
        </w:rPr>
      </w:pPr>
    </w:p>
    <w:p>
      <w:pPr>
        <w:pStyle w:val="BodyText"/>
        <w:spacing w:before="7"/>
        <w:rPr>
          <w:rFonts w:ascii="Arial"/>
          <w:sz w:val="22"/>
        </w:rPr>
      </w:pPr>
    </w:p>
    <w:p>
      <w:pPr>
        <w:spacing w:line="244" w:lineRule="auto" w:before="99"/>
        <w:ind w:left="830" w:right="753" w:firstLine="0"/>
        <w:jc w:val="both"/>
        <w:rPr>
          <w:sz w:val="20"/>
        </w:rPr>
      </w:pPr>
      <w:r>
        <w:rPr>
          <w:color w:val="231F20"/>
          <w:sz w:val="20"/>
        </w:rPr>
        <w:t>Reprinted from </w:t>
      </w:r>
      <w:r>
        <w:rPr>
          <w:i/>
          <w:color w:val="231F20"/>
          <w:sz w:val="20"/>
        </w:rPr>
        <w:t>Business Horizons, </w:t>
      </w:r>
      <w:r>
        <w:rPr>
          <w:color w:val="231F20"/>
          <w:sz w:val="20"/>
        </w:rPr>
        <w:t>June 1980. © 1980 by the Foun- dation for the School of Business at Indiana University. Used with </w:t>
      </w:r>
      <w:r>
        <w:rPr>
          <w:color w:val="231F20"/>
          <w:spacing w:val="-2"/>
          <w:sz w:val="20"/>
        </w:rPr>
        <w:t>permission.</w:t>
      </w:r>
    </w:p>
    <w:p>
      <w:pPr>
        <w:spacing w:after="0" w:line="244" w:lineRule="auto"/>
        <w:jc w:val="both"/>
        <w:rPr>
          <w:sz w:val="20"/>
        </w:rPr>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3"/>
        <w:jc w:val="both"/>
      </w:pPr>
      <w:r>
        <w:rPr>
          <w:color w:val="231F20"/>
        </w:rPr>
        <w:t>company’s goal. This is not any different from a marketing plan, which should be </w:t>
      </w:r>
      <w:r>
        <w:rPr>
          <w:i/>
          <w:color w:val="231F20"/>
        </w:rPr>
        <w:t>internally consistent </w:t>
      </w:r>
      <w:r>
        <w:rPr>
          <w:color w:val="231F20"/>
        </w:rPr>
        <w:t>and </w:t>
      </w:r>
      <w:r>
        <w:rPr>
          <w:i/>
          <w:color w:val="231F20"/>
        </w:rPr>
        <w:t>mutually supportive, </w:t>
      </w:r>
      <w:r>
        <w:rPr>
          <w:color w:val="231F20"/>
        </w:rPr>
        <w:t>as explained in the first chapter. The Seven S model is a helpful tool to organize one’s thoughts in order to define and effectively attack complicated problems.</w:t>
      </w:r>
    </w:p>
    <w:p>
      <w:pPr>
        <w:pStyle w:val="BodyText"/>
        <w:spacing w:line="292" w:lineRule="auto"/>
        <w:ind w:left="919" w:right="666" w:firstLine="340"/>
        <w:jc w:val="both"/>
      </w:pPr>
      <w:r>
        <w:rPr>
          <w:color w:val="231F20"/>
        </w:rPr>
        <w:t>If you recall the </w:t>
      </w:r>
      <w:r>
        <w:rPr>
          <w:i/>
          <w:color w:val="231F20"/>
        </w:rPr>
        <w:t>basic organizational model </w:t>
      </w:r>
      <w:r>
        <w:rPr>
          <w:color w:val="231F20"/>
        </w:rPr>
        <w:t>outlined in the </w:t>
      </w:r>
      <w:r>
        <w:rPr>
          <w:color w:val="231F20"/>
        </w:rPr>
        <w:t>orga- nizational behavior chapter, the Seven S’s should look familiar. Strat- egy theorists borrow ideas and concepts from other MBA disciplines and integrate them. Here the same S’s appear but with some addi- tions and deletions.</w:t>
      </w:r>
    </w:p>
    <w:p>
      <w:pPr>
        <w:pStyle w:val="BodyText"/>
        <w:spacing w:before="3"/>
        <w:rPr>
          <w:sz w:val="25"/>
        </w:rPr>
      </w:pPr>
    </w:p>
    <w:p>
      <w:pPr>
        <w:pStyle w:val="BodyText"/>
        <w:spacing w:line="292" w:lineRule="auto"/>
        <w:ind w:left="919" w:right="663"/>
        <w:jc w:val="both"/>
      </w:pPr>
      <w:r>
        <w:rPr>
          <w:i/>
          <w:color w:val="231F20"/>
        </w:rPr>
        <w:t>Structure. </w:t>
      </w:r>
      <w:r>
        <w:rPr>
          <w:color w:val="231F20"/>
        </w:rPr>
        <w:t>A corporation’s </w:t>
      </w:r>
      <w:r>
        <w:rPr>
          <w:i/>
          <w:color w:val="231F20"/>
        </w:rPr>
        <w:t>structure </w:t>
      </w:r>
      <w:r>
        <w:rPr>
          <w:color w:val="231F20"/>
        </w:rPr>
        <w:t>affects its strategic planning </w:t>
      </w:r>
      <w:r>
        <w:rPr>
          <w:color w:val="231F20"/>
        </w:rPr>
        <w:t>and </w:t>
      </w:r>
      <w:r>
        <w:rPr>
          <w:color w:val="231F20"/>
          <w:w w:val="105"/>
        </w:rPr>
        <w:t>its</w:t>
      </w:r>
      <w:r>
        <w:rPr>
          <w:color w:val="231F20"/>
          <w:w w:val="105"/>
        </w:rPr>
        <w:t> ability</w:t>
      </w:r>
      <w:r>
        <w:rPr>
          <w:color w:val="231F20"/>
          <w:w w:val="105"/>
        </w:rPr>
        <w:t> to</w:t>
      </w:r>
      <w:r>
        <w:rPr>
          <w:color w:val="231F20"/>
          <w:w w:val="105"/>
        </w:rPr>
        <w:t> change.</w:t>
      </w:r>
      <w:r>
        <w:rPr>
          <w:color w:val="231F20"/>
          <w:w w:val="105"/>
        </w:rPr>
        <w:t> As</w:t>
      </w:r>
      <w:r>
        <w:rPr>
          <w:color w:val="231F20"/>
          <w:w w:val="105"/>
        </w:rPr>
        <w:t> explained</w:t>
      </w:r>
      <w:r>
        <w:rPr>
          <w:color w:val="231F20"/>
          <w:w w:val="105"/>
        </w:rPr>
        <w:t> in</w:t>
      </w:r>
      <w:r>
        <w:rPr>
          <w:color w:val="231F20"/>
          <w:w w:val="105"/>
        </w:rPr>
        <w:t> the</w:t>
      </w:r>
      <w:r>
        <w:rPr>
          <w:color w:val="231F20"/>
          <w:w w:val="105"/>
        </w:rPr>
        <w:t> OB</w:t>
      </w:r>
      <w:r>
        <w:rPr>
          <w:color w:val="231F20"/>
          <w:w w:val="105"/>
        </w:rPr>
        <w:t> chapter,</w:t>
      </w:r>
      <w:r>
        <w:rPr>
          <w:color w:val="231F20"/>
          <w:w w:val="105"/>
        </w:rPr>
        <w:t> a</w:t>
      </w:r>
      <w:r>
        <w:rPr>
          <w:color w:val="231F20"/>
          <w:w w:val="105"/>
        </w:rPr>
        <w:t> company’s structure</w:t>
      </w:r>
      <w:r>
        <w:rPr>
          <w:color w:val="231F20"/>
          <w:spacing w:val="-10"/>
          <w:w w:val="105"/>
        </w:rPr>
        <w:t> </w:t>
      </w:r>
      <w:r>
        <w:rPr>
          <w:color w:val="231F20"/>
          <w:w w:val="105"/>
        </w:rPr>
        <w:t>may</w:t>
      </w:r>
      <w:r>
        <w:rPr>
          <w:color w:val="231F20"/>
          <w:spacing w:val="-10"/>
          <w:w w:val="105"/>
        </w:rPr>
        <w:t> </w:t>
      </w:r>
      <w:r>
        <w:rPr>
          <w:color w:val="231F20"/>
          <w:w w:val="105"/>
        </w:rPr>
        <w:t>have</w:t>
      </w:r>
      <w:r>
        <w:rPr>
          <w:color w:val="231F20"/>
          <w:spacing w:val="-10"/>
          <w:w w:val="105"/>
        </w:rPr>
        <w:t> </w:t>
      </w:r>
      <w:r>
        <w:rPr>
          <w:color w:val="231F20"/>
          <w:w w:val="105"/>
        </w:rPr>
        <w:t>a</w:t>
      </w:r>
      <w:r>
        <w:rPr>
          <w:color w:val="231F20"/>
          <w:spacing w:val="-10"/>
          <w:w w:val="105"/>
        </w:rPr>
        <w:t> </w:t>
      </w:r>
      <w:r>
        <w:rPr>
          <w:color w:val="231F20"/>
          <w:w w:val="105"/>
        </w:rPr>
        <w:t>customer</w:t>
      </w:r>
      <w:r>
        <w:rPr>
          <w:color w:val="231F20"/>
          <w:spacing w:val="-10"/>
          <w:w w:val="105"/>
        </w:rPr>
        <w:t> </w:t>
      </w:r>
      <w:r>
        <w:rPr>
          <w:color w:val="231F20"/>
          <w:w w:val="105"/>
        </w:rPr>
        <w:t>or</w:t>
      </w:r>
      <w:r>
        <w:rPr>
          <w:color w:val="231F20"/>
          <w:spacing w:val="-10"/>
          <w:w w:val="105"/>
        </w:rPr>
        <w:t> </w:t>
      </w:r>
      <w:r>
        <w:rPr>
          <w:color w:val="231F20"/>
          <w:w w:val="105"/>
        </w:rPr>
        <w:t>a</w:t>
      </w:r>
      <w:r>
        <w:rPr>
          <w:color w:val="231F20"/>
          <w:spacing w:val="-10"/>
          <w:w w:val="105"/>
        </w:rPr>
        <w:t> </w:t>
      </w:r>
      <w:r>
        <w:rPr>
          <w:color w:val="231F20"/>
          <w:w w:val="105"/>
        </w:rPr>
        <w:t>geographic</w:t>
      </w:r>
      <w:r>
        <w:rPr>
          <w:color w:val="231F20"/>
          <w:spacing w:val="-10"/>
          <w:w w:val="105"/>
        </w:rPr>
        <w:t> </w:t>
      </w:r>
      <w:r>
        <w:rPr>
          <w:color w:val="231F20"/>
          <w:w w:val="105"/>
        </w:rPr>
        <w:t>focus.</w:t>
      </w:r>
      <w:r>
        <w:rPr>
          <w:color w:val="231F20"/>
          <w:spacing w:val="-10"/>
          <w:w w:val="105"/>
        </w:rPr>
        <w:t> </w:t>
      </w:r>
      <w:r>
        <w:rPr>
          <w:color w:val="231F20"/>
          <w:w w:val="105"/>
        </w:rPr>
        <w:t>For</w:t>
      </w:r>
      <w:r>
        <w:rPr>
          <w:color w:val="231F20"/>
          <w:spacing w:val="-10"/>
          <w:w w:val="105"/>
        </w:rPr>
        <w:t> </w:t>
      </w:r>
      <w:r>
        <w:rPr>
          <w:color w:val="231F20"/>
          <w:w w:val="105"/>
        </w:rPr>
        <w:t>instance, </w:t>
      </w:r>
      <w:r>
        <w:rPr>
          <w:color w:val="231F20"/>
        </w:rPr>
        <w:t>if a company decides to alter its strategy to become more responsive </w:t>
      </w:r>
      <w:r>
        <w:rPr>
          <w:color w:val="231F20"/>
          <w:w w:val="105"/>
        </w:rPr>
        <w:t>to</w:t>
      </w:r>
      <w:r>
        <w:rPr>
          <w:color w:val="231F20"/>
          <w:w w:val="105"/>
        </w:rPr>
        <w:t> its</w:t>
      </w:r>
      <w:r>
        <w:rPr>
          <w:color w:val="231F20"/>
          <w:w w:val="105"/>
        </w:rPr>
        <w:t> customers,</w:t>
      </w:r>
      <w:r>
        <w:rPr>
          <w:color w:val="231F20"/>
          <w:w w:val="105"/>
        </w:rPr>
        <w:t> it</w:t>
      </w:r>
      <w:r>
        <w:rPr>
          <w:color w:val="231F20"/>
          <w:w w:val="105"/>
        </w:rPr>
        <w:t> may</w:t>
      </w:r>
      <w:r>
        <w:rPr>
          <w:color w:val="231F20"/>
          <w:w w:val="105"/>
        </w:rPr>
        <w:t> need</w:t>
      </w:r>
      <w:r>
        <w:rPr>
          <w:color w:val="231F20"/>
          <w:w w:val="105"/>
        </w:rPr>
        <w:t> to</w:t>
      </w:r>
      <w:r>
        <w:rPr>
          <w:color w:val="231F20"/>
          <w:w w:val="105"/>
        </w:rPr>
        <w:t> adopt</w:t>
      </w:r>
      <w:r>
        <w:rPr>
          <w:color w:val="231F20"/>
          <w:w w:val="105"/>
        </w:rPr>
        <w:t> a</w:t>
      </w:r>
      <w:r>
        <w:rPr>
          <w:color w:val="231F20"/>
          <w:w w:val="105"/>
        </w:rPr>
        <w:t> </w:t>
      </w:r>
      <w:r>
        <w:rPr>
          <w:i/>
          <w:color w:val="231F20"/>
          <w:w w:val="105"/>
        </w:rPr>
        <w:t>customer</w:t>
      </w:r>
      <w:r>
        <w:rPr>
          <w:i/>
          <w:color w:val="231F20"/>
          <w:w w:val="105"/>
        </w:rPr>
        <w:t> </w:t>
      </w:r>
      <w:r>
        <w:rPr>
          <w:color w:val="231F20"/>
          <w:w w:val="105"/>
        </w:rPr>
        <w:t>structure,</w:t>
      </w:r>
      <w:r>
        <w:rPr>
          <w:color w:val="231F20"/>
          <w:w w:val="105"/>
        </w:rPr>
        <w:t> which will</w:t>
      </w:r>
      <w:r>
        <w:rPr>
          <w:color w:val="231F20"/>
          <w:spacing w:val="-3"/>
          <w:w w:val="105"/>
        </w:rPr>
        <w:t> </w:t>
      </w:r>
      <w:r>
        <w:rPr>
          <w:color w:val="231F20"/>
          <w:w w:val="105"/>
        </w:rPr>
        <w:t>channel</w:t>
      </w:r>
      <w:r>
        <w:rPr>
          <w:color w:val="231F20"/>
          <w:spacing w:val="-3"/>
          <w:w w:val="105"/>
        </w:rPr>
        <w:t> </w:t>
      </w:r>
      <w:r>
        <w:rPr>
          <w:color w:val="231F20"/>
          <w:w w:val="105"/>
        </w:rPr>
        <w:t>all</w:t>
      </w:r>
      <w:r>
        <w:rPr>
          <w:color w:val="231F20"/>
          <w:spacing w:val="-3"/>
          <w:w w:val="105"/>
        </w:rPr>
        <w:t> </w:t>
      </w:r>
      <w:r>
        <w:rPr>
          <w:color w:val="231F20"/>
          <w:w w:val="105"/>
        </w:rPr>
        <w:t>the</w:t>
      </w:r>
      <w:r>
        <w:rPr>
          <w:color w:val="231F20"/>
          <w:spacing w:val="-3"/>
          <w:w w:val="105"/>
        </w:rPr>
        <w:t> </w:t>
      </w:r>
      <w:r>
        <w:rPr>
          <w:color w:val="231F20"/>
          <w:w w:val="105"/>
        </w:rPr>
        <w:t>skills</w:t>
      </w:r>
      <w:r>
        <w:rPr>
          <w:color w:val="231F20"/>
          <w:spacing w:val="-3"/>
          <w:w w:val="105"/>
        </w:rPr>
        <w:t> </w:t>
      </w:r>
      <w:r>
        <w:rPr>
          <w:color w:val="231F20"/>
          <w:w w:val="105"/>
        </w:rPr>
        <w:t>of</w:t>
      </w:r>
      <w:r>
        <w:rPr>
          <w:color w:val="231F20"/>
          <w:spacing w:val="-3"/>
          <w:w w:val="105"/>
        </w:rPr>
        <w:t> </w:t>
      </w:r>
      <w:r>
        <w:rPr>
          <w:color w:val="231F20"/>
          <w:w w:val="105"/>
        </w:rPr>
        <w:t>a</w:t>
      </w:r>
      <w:r>
        <w:rPr>
          <w:color w:val="231F20"/>
          <w:spacing w:val="-3"/>
          <w:w w:val="105"/>
        </w:rPr>
        <w:t> </w:t>
      </w:r>
      <w:r>
        <w:rPr>
          <w:color w:val="231F20"/>
          <w:w w:val="105"/>
        </w:rPr>
        <w:t>company</w:t>
      </w:r>
      <w:r>
        <w:rPr>
          <w:color w:val="231F20"/>
          <w:spacing w:val="-3"/>
          <w:w w:val="105"/>
        </w:rPr>
        <w:t> </w:t>
      </w:r>
      <w:r>
        <w:rPr>
          <w:color w:val="231F20"/>
          <w:w w:val="105"/>
        </w:rPr>
        <w:t>to</w:t>
      </w:r>
      <w:r>
        <w:rPr>
          <w:color w:val="231F20"/>
          <w:spacing w:val="-3"/>
          <w:w w:val="105"/>
        </w:rPr>
        <w:t> </w:t>
      </w:r>
      <w:r>
        <w:rPr>
          <w:color w:val="231F20"/>
          <w:w w:val="105"/>
        </w:rPr>
        <w:t>meet</w:t>
      </w:r>
      <w:r>
        <w:rPr>
          <w:color w:val="231F20"/>
          <w:spacing w:val="-3"/>
          <w:w w:val="105"/>
        </w:rPr>
        <w:t> </w:t>
      </w:r>
      <w:r>
        <w:rPr>
          <w:color w:val="231F20"/>
          <w:w w:val="105"/>
        </w:rPr>
        <w:t>customers’</w:t>
      </w:r>
      <w:r>
        <w:rPr>
          <w:color w:val="231F20"/>
          <w:spacing w:val="-3"/>
          <w:w w:val="105"/>
        </w:rPr>
        <w:t> </w:t>
      </w:r>
      <w:r>
        <w:rPr>
          <w:color w:val="231F20"/>
          <w:w w:val="105"/>
        </w:rPr>
        <w:t>specific needs.</w:t>
      </w:r>
      <w:r>
        <w:rPr>
          <w:color w:val="231F20"/>
          <w:w w:val="105"/>
        </w:rPr>
        <w:t> In</w:t>
      </w:r>
      <w:r>
        <w:rPr>
          <w:color w:val="231F20"/>
          <w:w w:val="105"/>
        </w:rPr>
        <w:t> the</w:t>
      </w:r>
      <w:r>
        <w:rPr>
          <w:color w:val="231F20"/>
          <w:w w:val="105"/>
        </w:rPr>
        <w:t> case</w:t>
      </w:r>
      <w:r>
        <w:rPr>
          <w:color w:val="231F20"/>
          <w:w w:val="105"/>
        </w:rPr>
        <w:t> of</w:t>
      </w:r>
      <w:r>
        <w:rPr>
          <w:color w:val="231F20"/>
          <w:w w:val="105"/>
        </w:rPr>
        <w:t> a</w:t>
      </w:r>
      <w:r>
        <w:rPr>
          <w:color w:val="231F20"/>
          <w:w w:val="105"/>
        </w:rPr>
        <w:t> power</w:t>
      </w:r>
      <w:r>
        <w:rPr>
          <w:color w:val="231F20"/>
          <w:w w:val="105"/>
        </w:rPr>
        <w:t> tool</w:t>
      </w:r>
      <w:r>
        <w:rPr>
          <w:color w:val="231F20"/>
          <w:w w:val="105"/>
        </w:rPr>
        <w:t> manufacturer,</w:t>
      </w:r>
      <w:r>
        <w:rPr>
          <w:color w:val="231F20"/>
          <w:w w:val="105"/>
        </w:rPr>
        <w:t> the</w:t>
      </w:r>
      <w:r>
        <w:rPr>
          <w:color w:val="231F20"/>
          <w:w w:val="105"/>
        </w:rPr>
        <w:t> competition may</w:t>
      </w:r>
      <w:r>
        <w:rPr>
          <w:color w:val="231F20"/>
          <w:w w:val="105"/>
        </w:rPr>
        <w:t> demand</w:t>
      </w:r>
      <w:r>
        <w:rPr>
          <w:color w:val="231F20"/>
          <w:w w:val="105"/>
        </w:rPr>
        <w:t> a</w:t>
      </w:r>
      <w:r>
        <w:rPr>
          <w:color w:val="231F20"/>
          <w:w w:val="105"/>
        </w:rPr>
        <w:t> change</w:t>
      </w:r>
      <w:r>
        <w:rPr>
          <w:color w:val="231F20"/>
          <w:w w:val="105"/>
        </w:rPr>
        <w:t> from</w:t>
      </w:r>
      <w:r>
        <w:rPr>
          <w:color w:val="231F20"/>
          <w:w w:val="105"/>
        </w:rPr>
        <w:t> a</w:t>
      </w:r>
      <w:r>
        <w:rPr>
          <w:color w:val="231F20"/>
          <w:w w:val="105"/>
        </w:rPr>
        <w:t> </w:t>
      </w:r>
      <w:r>
        <w:rPr>
          <w:i/>
          <w:color w:val="231F20"/>
          <w:w w:val="105"/>
        </w:rPr>
        <w:t>functional</w:t>
      </w:r>
      <w:r>
        <w:rPr>
          <w:i/>
          <w:color w:val="231F20"/>
          <w:w w:val="105"/>
        </w:rPr>
        <w:t> form,</w:t>
      </w:r>
      <w:r>
        <w:rPr>
          <w:i/>
          <w:color w:val="231F20"/>
          <w:w w:val="105"/>
        </w:rPr>
        <w:t> </w:t>
      </w:r>
      <w:r>
        <w:rPr>
          <w:color w:val="231F20"/>
          <w:w w:val="105"/>
        </w:rPr>
        <w:t>which</w:t>
      </w:r>
      <w:r>
        <w:rPr>
          <w:color w:val="231F20"/>
          <w:w w:val="105"/>
        </w:rPr>
        <w:t> separates manufacturing,</w:t>
      </w:r>
      <w:r>
        <w:rPr>
          <w:color w:val="231F20"/>
          <w:spacing w:val="-9"/>
          <w:w w:val="105"/>
        </w:rPr>
        <w:t> </w:t>
      </w:r>
      <w:r>
        <w:rPr>
          <w:color w:val="231F20"/>
          <w:w w:val="105"/>
        </w:rPr>
        <w:t>sales,</w:t>
      </w:r>
      <w:r>
        <w:rPr>
          <w:color w:val="231F20"/>
          <w:spacing w:val="-9"/>
          <w:w w:val="105"/>
        </w:rPr>
        <w:t> </w:t>
      </w:r>
      <w:r>
        <w:rPr>
          <w:color w:val="231F20"/>
          <w:w w:val="105"/>
        </w:rPr>
        <w:t>and</w:t>
      </w:r>
      <w:r>
        <w:rPr>
          <w:color w:val="231F20"/>
          <w:spacing w:val="-9"/>
          <w:w w:val="105"/>
        </w:rPr>
        <w:t> </w:t>
      </w:r>
      <w:r>
        <w:rPr>
          <w:color w:val="231F20"/>
          <w:w w:val="105"/>
        </w:rPr>
        <w:t>finance,</w:t>
      </w:r>
      <w:r>
        <w:rPr>
          <w:color w:val="231F20"/>
          <w:spacing w:val="-9"/>
          <w:w w:val="105"/>
        </w:rPr>
        <w:t> </w:t>
      </w:r>
      <w:r>
        <w:rPr>
          <w:color w:val="231F20"/>
          <w:w w:val="105"/>
        </w:rPr>
        <w:t>to</w:t>
      </w:r>
      <w:r>
        <w:rPr>
          <w:color w:val="231F20"/>
          <w:spacing w:val="-9"/>
          <w:w w:val="105"/>
        </w:rPr>
        <w:t> </w:t>
      </w:r>
      <w:r>
        <w:rPr>
          <w:color w:val="231F20"/>
          <w:w w:val="105"/>
        </w:rPr>
        <w:t>an</w:t>
      </w:r>
      <w:r>
        <w:rPr>
          <w:color w:val="231F20"/>
          <w:spacing w:val="-9"/>
          <w:w w:val="105"/>
        </w:rPr>
        <w:t> </w:t>
      </w:r>
      <w:r>
        <w:rPr>
          <w:color w:val="231F20"/>
          <w:w w:val="105"/>
        </w:rPr>
        <w:t>organization</w:t>
      </w:r>
      <w:r>
        <w:rPr>
          <w:color w:val="231F20"/>
          <w:spacing w:val="-9"/>
          <w:w w:val="105"/>
        </w:rPr>
        <w:t> </w:t>
      </w:r>
      <w:r>
        <w:rPr>
          <w:color w:val="231F20"/>
          <w:w w:val="105"/>
        </w:rPr>
        <w:t>with</w:t>
      </w:r>
      <w:r>
        <w:rPr>
          <w:color w:val="231F20"/>
          <w:spacing w:val="-9"/>
          <w:w w:val="105"/>
        </w:rPr>
        <w:t> </w:t>
      </w:r>
      <w:r>
        <w:rPr>
          <w:color w:val="231F20"/>
          <w:w w:val="105"/>
        </w:rPr>
        <w:t>two</w:t>
      </w:r>
      <w:r>
        <w:rPr>
          <w:color w:val="231F20"/>
          <w:spacing w:val="-9"/>
          <w:w w:val="105"/>
        </w:rPr>
        <w:t> </w:t>
      </w:r>
      <w:r>
        <w:rPr>
          <w:color w:val="231F20"/>
          <w:w w:val="105"/>
        </w:rPr>
        <w:t>cus- </w:t>
      </w:r>
      <w:r>
        <w:rPr>
          <w:color w:val="231F20"/>
        </w:rPr>
        <w:t>tomer divisions. One division would serve household consumers and </w:t>
      </w:r>
      <w:r>
        <w:rPr>
          <w:color w:val="231F20"/>
          <w:spacing w:val="-2"/>
          <w:w w:val="105"/>
        </w:rPr>
        <w:t>the</w:t>
      </w:r>
      <w:r>
        <w:rPr>
          <w:color w:val="231F20"/>
          <w:spacing w:val="-4"/>
          <w:w w:val="105"/>
        </w:rPr>
        <w:t> </w:t>
      </w:r>
      <w:r>
        <w:rPr>
          <w:color w:val="231F20"/>
          <w:spacing w:val="-2"/>
          <w:w w:val="105"/>
        </w:rPr>
        <w:t>other</w:t>
      </w:r>
      <w:r>
        <w:rPr>
          <w:color w:val="231F20"/>
          <w:spacing w:val="-4"/>
          <w:w w:val="105"/>
        </w:rPr>
        <w:t> </w:t>
      </w:r>
      <w:r>
        <w:rPr>
          <w:color w:val="231F20"/>
          <w:spacing w:val="-2"/>
          <w:w w:val="105"/>
        </w:rPr>
        <w:t>industrial</w:t>
      </w:r>
      <w:r>
        <w:rPr>
          <w:color w:val="231F20"/>
          <w:spacing w:val="-4"/>
          <w:w w:val="105"/>
        </w:rPr>
        <w:t> </w:t>
      </w:r>
      <w:r>
        <w:rPr>
          <w:color w:val="231F20"/>
          <w:spacing w:val="-2"/>
          <w:w w:val="105"/>
        </w:rPr>
        <w:t>customers.</w:t>
      </w:r>
      <w:r>
        <w:rPr>
          <w:color w:val="231F20"/>
          <w:spacing w:val="-4"/>
          <w:w w:val="105"/>
        </w:rPr>
        <w:t> </w:t>
      </w:r>
      <w:r>
        <w:rPr>
          <w:color w:val="231F20"/>
          <w:spacing w:val="-2"/>
          <w:w w:val="105"/>
        </w:rPr>
        <w:t>These</w:t>
      </w:r>
      <w:r>
        <w:rPr>
          <w:color w:val="231F20"/>
          <w:spacing w:val="-4"/>
          <w:w w:val="105"/>
        </w:rPr>
        <w:t> </w:t>
      </w:r>
      <w:r>
        <w:rPr>
          <w:color w:val="231F20"/>
          <w:spacing w:val="-2"/>
          <w:w w:val="105"/>
        </w:rPr>
        <w:t>market</w:t>
      </w:r>
      <w:r>
        <w:rPr>
          <w:color w:val="231F20"/>
          <w:spacing w:val="-4"/>
          <w:w w:val="105"/>
        </w:rPr>
        <w:t> </w:t>
      </w:r>
      <w:r>
        <w:rPr>
          <w:color w:val="231F20"/>
          <w:spacing w:val="-2"/>
          <w:w w:val="105"/>
        </w:rPr>
        <w:t>segments</w:t>
      </w:r>
      <w:r>
        <w:rPr>
          <w:color w:val="231F20"/>
          <w:spacing w:val="-4"/>
          <w:w w:val="105"/>
        </w:rPr>
        <w:t> </w:t>
      </w:r>
      <w:r>
        <w:rPr>
          <w:color w:val="231F20"/>
          <w:spacing w:val="-2"/>
          <w:w w:val="105"/>
        </w:rPr>
        <w:t>have</w:t>
      </w:r>
      <w:r>
        <w:rPr>
          <w:color w:val="231F20"/>
          <w:spacing w:val="-4"/>
          <w:w w:val="105"/>
        </w:rPr>
        <w:t> </w:t>
      </w:r>
      <w:r>
        <w:rPr>
          <w:color w:val="231F20"/>
          <w:spacing w:val="-2"/>
          <w:w w:val="105"/>
        </w:rPr>
        <w:t>differ- </w:t>
      </w:r>
      <w:r>
        <w:rPr>
          <w:color w:val="231F20"/>
        </w:rPr>
        <w:t>ent</w:t>
      </w:r>
      <w:r>
        <w:rPr>
          <w:color w:val="231F20"/>
          <w:spacing w:val="-2"/>
        </w:rPr>
        <w:t> </w:t>
      </w:r>
      <w:r>
        <w:rPr>
          <w:color w:val="231F20"/>
        </w:rPr>
        <w:t>needs</w:t>
      </w:r>
      <w:r>
        <w:rPr>
          <w:color w:val="231F20"/>
          <w:spacing w:val="-2"/>
        </w:rPr>
        <w:t> </w:t>
      </w:r>
      <w:r>
        <w:rPr>
          <w:color w:val="231F20"/>
        </w:rPr>
        <w:t>that</w:t>
      </w:r>
      <w:r>
        <w:rPr>
          <w:color w:val="231F20"/>
          <w:spacing w:val="-2"/>
        </w:rPr>
        <w:t> </w:t>
      </w:r>
      <w:r>
        <w:rPr>
          <w:color w:val="231F20"/>
        </w:rPr>
        <w:t>could</w:t>
      </w:r>
      <w:r>
        <w:rPr>
          <w:color w:val="231F20"/>
          <w:spacing w:val="-2"/>
        </w:rPr>
        <w:t> </w:t>
      </w:r>
      <w:r>
        <w:rPr>
          <w:color w:val="231F20"/>
        </w:rPr>
        <w:t>most</w:t>
      </w:r>
      <w:r>
        <w:rPr>
          <w:color w:val="231F20"/>
          <w:spacing w:val="-2"/>
        </w:rPr>
        <w:t> </w:t>
      </w:r>
      <w:r>
        <w:rPr>
          <w:color w:val="231F20"/>
        </w:rPr>
        <w:t>effectively</w:t>
      </w:r>
      <w:r>
        <w:rPr>
          <w:color w:val="231F20"/>
          <w:spacing w:val="-2"/>
        </w:rPr>
        <w:t> </w:t>
      </w:r>
      <w:r>
        <w:rPr>
          <w:color w:val="231F20"/>
        </w:rPr>
        <w:t>be</w:t>
      </w:r>
      <w:r>
        <w:rPr>
          <w:color w:val="231F20"/>
          <w:spacing w:val="-2"/>
        </w:rPr>
        <w:t> </w:t>
      </w:r>
      <w:r>
        <w:rPr>
          <w:color w:val="231F20"/>
        </w:rPr>
        <w:t>serviced</w:t>
      </w:r>
      <w:r>
        <w:rPr>
          <w:color w:val="231F20"/>
          <w:spacing w:val="-2"/>
        </w:rPr>
        <w:t> </w:t>
      </w:r>
      <w:r>
        <w:rPr>
          <w:color w:val="231F20"/>
        </w:rPr>
        <w:t>by</w:t>
      </w:r>
      <w:r>
        <w:rPr>
          <w:color w:val="231F20"/>
          <w:spacing w:val="-2"/>
        </w:rPr>
        <w:t> </w:t>
      </w:r>
      <w:r>
        <w:rPr>
          <w:color w:val="231F20"/>
        </w:rPr>
        <w:t>two</w:t>
      </w:r>
      <w:r>
        <w:rPr>
          <w:color w:val="231F20"/>
          <w:spacing w:val="-2"/>
        </w:rPr>
        <w:t> </w:t>
      </w:r>
      <w:r>
        <w:rPr>
          <w:color w:val="231F20"/>
        </w:rPr>
        <w:t>focused</w:t>
      </w:r>
      <w:r>
        <w:rPr>
          <w:color w:val="231F20"/>
          <w:spacing w:val="-2"/>
        </w:rPr>
        <w:t> </w:t>
      </w:r>
      <w:r>
        <w:rPr>
          <w:color w:val="231F20"/>
        </w:rPr>
        <w:t>divi- </w:t>
      </w:r>
      <w:r>
        <w:rPr>
          <w:color w:val="231F20"/>
          <w:w w:val="105"/>
        </w:rPr>
        <w:t>sions.</w:t>
      </w:r>
      <w:r>
        <w:rPr>
          <w:color w:val="231F20"/>
          <w:spacing w:val="-3"/>
          <w:w w:val="105"/>
        </w:rPr>
        <w:t> </w:t>
      </w:r>
      <w:r>
        <w:rPr>
          <w:color w:val="231F20"/>
          <w:w w:val="105"/>
        </w:rPr>
        <w:t>In</w:t>
      </w:r>
      <w:r>
        <w:rPr>
          <w:color w:val="231F20"/>
          <w:spacing w:val="-3"/>
          <w:w w:val="105"/>
        </w:rPr>
        <w:t> </w:t>
      </w:r>
      <w:r>
        <w:rPr>
          <w:color w:val="231F20"/>
          <w:w w:val="105"/>
        </w:rPr>
        <w:t>special</w:t>
      </w:r>
      <w:r>
        <w:rPr>
          <w:color w:val="231F20"/>
          <w:spacing w:val="-3"/>
          <w:w w:val="105"/>
        </w:rPr>
        <w:t> </w:t>
      </w:r>
      <w:r>
        <w:rPr>
          <w:color w:val="231F20"/>
          <w:w w:val="105"/>
        </w:rPr>
        <w:t>situations,</w:t>
      </w:r>
      <w:r>
        <w:rPr>
          <w:color w:val="231F20"/>
          <w:spacing w:val="-3"/>
          <w:w w:val="105"/>
        </w:rPr>
        <w:t> </w:t>
      </w:r>
      <w:r>
        <w:rPr>
          <w:color w:val="231F20"/>
          <w:w w:val="105"/>
        </w:rPr>
        <w:t>a</w:t>
      </w:r>
      <w:r>
        <w:rPr>
          <w:color w:val="231F20"/>
          <w:spacing w:val="-3"/>
          <w:w w:val="105"/>
        </w:rPr>
        <w:t> </w:t>
      </w:r>
      <w:r>
        <w:rPr>
          <w:color w:val="231F20"/>
          <w:w w:val="105"/>
        </w:rPr>
        <w:t>temporary</w:t>
      </w:r>
      <w:r>
        <w:rPr>
          <w:color w:val="231F20"/>
          <w:spacing w:val="-3"/>
          <w:w w:val="105"/>
        </w:rPr>
        <w:t> </w:t>
      </w:r>
      <w:r>
        <w:rPr>
          <w:color w:val="231F20"/>
          <w:w w:val="105"/>
        </w:rPr>
        <w:t>structure</w:t>
      </w:r>
      <w:r>
        <w:rPr>
          <w:color w:val="231F20"/>
          <w:spacing w:val="-3"/>
          <w:w w:val="105"/>
        </w:rPr>
        <w:t> </w:t>
      </w:r>
      <w:r>
        <w:rPr>
          <w:color w:val="231F20"/>
          <w:w w:val="105"/>
        </w:rPr>
        <w:t>such</w:t>
      </w:r>
      <w:r>
        <w:rPr>
          <w:color w:val="231F20"/>
          <w:spacing w:val="-3"/>
          <w:w w:val="105"/>
        </w:rPr>
        <w:t> </w:t>
      </w:r>
      <w:r>
        <w:rPr>
          <w:color w:val="231F20"/>
          <w:w w:val="105"/>
        </w:rPr>
        <w:t>as</w:t>
      </w:r>
      <w:r>
        <w:rPr>
          <w:color w:val="231F20"/>
          <w:spacing w:val="-3"/>
          <w:w w:val="105"/>
        </w:rPr>
        <w:t> </w:t>
      </w:r>
      <w:r>
        <w:rPr>
          <w:color w:val="231F20"/>
          <w:w w:val="105"/>
        </w:rPr>
        <w:t>a</w:t>
      </w:r>
      <w:r>
        <w:rPr>
          <w:color w:val="231F20"/>
          <w:spacing w:val="-3"/>
          <w:w w:val="105"/>
        </w:rPr>
        <w:t> </w:t>
      </w:r>
      <w:r>
        <w:rPr>
          <w:color w:val="231F20"/>
          <w:w w:val="105"/>
        </w:rPr>
        <w:t>matrix could</w:t>
      </w:r>
      <w:r>
        <w:rPr>
          <w:color w:val="231F20"/>
          <w:w w:val="105"/>
        </w:rPr>
        <w:t> be</w:t>
      </w:r>
      <w:r>
        <w:rPr>
          <w:color w:val="231F20"/>
          <w:w w:val="105"/>
        </w:rPr>
        <w:t> overlaid</w:t>
      </w:r>
      <w:r>
        <w:rPr>
          <w:color w:val="231F20"/>
          <w:w w:val="105"/>
        </w:rPr>
        <w:t> to</w:t>
      </w:r>
      <w:r>
        <w:rPr>
          <w:color w:val="231F20"/>
          <w:w w:val="105"/>
        </w:rPr>
        <w:t> form</w:t>
      </w:r>
      <w:r>
        <w:rPr>
          <w:color w:val="231F20"/>
          <w:w w:val="105"/>
        </w:rPr>
        <w:t> project</w:t>
      </w:r>
      <w:r>
        <w:rPr>
          <w:color w:val="231F20"/>
          <w:w w:val="105"/>
        </w:rPr>
        <w:t> teams</w:t>
      </w:r>
      <w:r>
        <w:rPr>
          <w:color w:val="231F20"/>
          <w:w w:val="105"/>
        </w:rPr>
        <w:t> skilled</w:t>
      </w:r>
      <w:r>
        <w:rPr>
          <w:color w:val="231F20"/>
          <w:w w:val="105"/>
        </w:rPr>
        <w:t> in</w:t>
      </w:r>
      <w:r>
        <w:rPr>
          <w:color w:val="231F20"/>
          <w:w w:val="105"/>
        </w:rPr>
        <w:t> developing</w:t>
      </w:r>
      <w:r>
        <w:rPr>
          <w:color w:val="231F20"/>
          <w:w w:val="105"/>
        </w:rPr>
        <w:t> new </w:t>
      </w:r>
      <w:r>
        <w:rPr>
          <w:color w:val="231F20"/>
          <w:spacing w:val="-2"/>
          <w:w w:val="105"/>
        </w:rPr>
        <w:t>products.</w:t>
      </w:r>
    </w:p>
    <w:p>
      <w:pPr>
        <w:pStyle w:val="BodyText"/>
        <w:spacing w:before="1"/>
        <w:rPr>
          <w:sz w:val="25"/>
        </w:rPr>
      </w:pPr>
    </w:p>
    <w:p>
      <w:pPr>
        <w:pStyle w:val="BodyText"/>
        <w:spacing w:line="292" w:lineRule="auto"/>
        <w:ind w:left="920" w:right="666"/>
        <w:jc w:val="both"/>
      </w:pPr>
      <w:r>
        <w:rPr>
          <w:i/>
          <w:color w:val="231F20"/>
        </w:rPr>
        <w:t>Strategy. </w:t>
      </w:r>
      <w:r>
        <w:rPr>
          <w:color w:val="231F20"/>
        </w:rPr>
        <w:t>This refers to the </w:t>
      </w:r>
      <w:r>
        <w:rPr>
          <w:i/>
          <w:color w:val="231F20"/>
        </w:rPr>
        <w:t>actions </w:t>
      </w:r>
      <w:r>
        <w:rPr>
          <w:color w:val="231F20"/>
        </w:rPr>
        <w:t>that a company plans in </w:t>
      </w:r>
      <w:r>
        <w:rPr>
          <w:color w:val="231F20"/>
        </w:rPr>
        <w:t>response to or in anticipation of changes in its external environment, its cus- tomers, and its competitors. The spectrum of strategies a company can use is the focus of this chapter.</w:t>
      </w:r>
    </w:p>
    <w:p>
      <w:pPr>
        <w:pStyle w:val="BodyText"/>
        <w:spacing w:before="6"/>
        <w:rPr>
          <w:sz w:val="25"/>
        </w:rPr>
      </w:pPr>
    </w:p>
    <w:p>
      <w:pPr>
        <w:pStyle w:val="BodyText"/>
        <w:spacing w:line="292" w:lineRule="auto"/>
        <w:ind w:left="920" w:right="667"/>
        <w:jc w:val="both"/>
      </w:pPr>
      <w:r>
        <w:rPr>
          <w:i/>
          <w:color w:val="231F20"/>
        </w:rPr>
        <w:t>Style. </w:t>
      </w:r>
      <w:r>
        <w:rPr>
          <w:color w:val="231F20"/>
        </w:rPr>
        <w:t>It sounds like a new addition to the </w:t>
      </w:r>
      <w:r>
        <w:rPr>
          <w:i/>
          <w:color w:val="231F20"/>
        </w:rPr>
        <w:t>basic organizational model,</w:t>
      </w:r>
      <w:r>
        <w:rPr>
          <w:i/>
          <w:color w:val="231F20"/>
        </w:rPr>
        <w:t> </w:t>
      </w:r>
      <w:r>
        <w:rPr>
          <w:color w:val="231F20"/>
        </w:rPr>
        <w:t>but this S is more closely related to </w:t>
      </w:r>
      <w:r>
        <w:rPr>
          <w:i/>
          <w:color w:val="231F20"/>
        </w:rPr>
        <w:t>culture. </w:t>
      </w:r>
      <w:r>
        <w:rPr>
          <w:color w:val="231F20"/>
        </w:rPr>
        <w:t>Culture or style is the aggregate of behaviors, thoughts, beliefs, and symbols that are con- veyed</w:t>
      </w:r>
      <w:r>
        <w:rPr>
          <w:color w:val="231F20"/>
          <w:spacing w:val="-6"/>
        </w:rPr>
        <w:t> </w:t>
      </w:r>
      <w:r>
        <w:rPr>
          <w:color w:val="231F20"/>
        </w:rPr>
        <w:t>to</w:t>
      </w:r>
      <w:r>
        <w:rPr>
          <w:color w:val="231F20"/>
          <w:spacing w:val="-6"/>
        </w:rPr>
        <w:t> </w:t>
      </w:r>
      <w:r>
        <w:rPr>
          <w:color w:val="231F20"/>
        </w:rPr>
        <w:t>people</w:t>
      </w:r>
      <w:r>
        <w:rPr>
          <w:color w:val="231F20"/>
          <w:spacing w:val="-6"/>
        </w:rPr>
        <w:t> </w:t>
      </w:r>
      <w:r>
        <w:rPr>
          <w:color w:val="231F20"/>
        </w:rPr>
        <w:t>throughout</w:t>
      </w:r>
      <w:r>
        <w:rPr>
          <w:color w:val="231F20"/>
          <w:spacing w:val="-6"/>
        </w:rPr>
        <w:t> </w:t>
      </w:r>
      <w:r>
        <w:rPr>
          <w:color w:val="231F20"/>
        </w:rPr>
        <w:t>an</w:t>
      </w:r>
      <w:r>
        <w:rPr>
          <w:color w:val="231F20"/>
          <w:spacing w:val="-6"/>
        </w:rPr>
        <w:t> </w:t>
      </w:r>
      <w:r>
        <w:rPr>
          <w:color w:val="231F20"/>
        </w:rPr>
        <w:t>organization</w:t>
      </w:r>
      <w:r>
        <w:rPr>
          <w:color w:val="231F20"/>
          <w:spacing w:val="-6"/>
        </w:rPr>
        <w:t> </w:t>
      </w:r>
      <w:r>
        <w:rPr>
          <w:color w:val="231F20"/>
        </w:rPr>
        <w:t>over</w:t>
      </w:r>
      <w:r>
        <w:rPr>
          <w:color w:val="231F20"/>
          <w:spacing w:val="-6"/>
        </w:rPr>
        <w:t> </w:t>
      </w:r>
      <w:r>
        <w:rPr>
          <w:color w:val="231F20"/>
        </w:rPr>
        <w:t>time.</w:t>
      </w:r>
      <w:r>
        <w:rPr>
          <w:color w:val="231F20"/>
          <w:spacing w:val="-6"/>
        </w:rPr>
        <w:t> </w:t>
      </w:r>
      <w:r>
        <w:rPr>
          <w:color w:val="231F20"/>
        </w:rPr>
        <w:t>Since</w:t>
      </w:r>
      <w:r>
        <w:rPr>
          <w:color w:val="231F20"/>
          <w:spacing w:val="-6"/>
        </w:rPr>
        <w:t> </w:t>
      </w:r>
      <w:r>
        <w:rPr>
          <w:color w:val="231F20"/>
        </w:rPr>
        <w:t>it</w:t>
      </w:r>
      <w:r>
        <w:rPr>
          <w:color w:val="231F20"/>
          <w:spacing w:val="-6"/>
        </w:rPr>
        <w:t> </w:t>
      </w:r>
      <w:r>
        <w:rPr>
          <w:color w:val="231F20"/>
        </w:rPr>
        <w:t>is</w:t>
      </w:r>
      <w:r>
        <w:rPr>
          <w:color w:val="231F20"/>
          <w:spacing w:val="-6"/>
        </w:rPr>
        <w:t> </w:t>
      </w:r>
      <w:r>
        <w:rPr>
          <w:color w:val="231F20"/>
        </w:rPr>
        <w:t>hard</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7"/>
        <w:jc w:val="both"/>
      </w:pPr>
      <w:r>
        <w:rPr>
          <w:color w:val="231F20"/>
        </w:rPr>
        <w:t>to change a company’s ingrained culture, it is important to bear it in mind when developing a new strategy. If a consumer products com- pany has a conservative bent, it will need to be convinced, beyond a shadow of a doubt, of the efficacy or viability of a new product. His- torically,</w:t>
      </w:r>
      <w:r>
        <w:rPr>
          <w:color w:val="231F20"/>
          <w:spacing w:val="-2"/>
        </w:rPr>
        <w:t> </w:t>
      </w:r>
      <w:r>
        <w:rPr>
          <w:color w:val="231F20"/>
        </w:rPr>
        <w:t>Procter</w:t>
      </w:r>
      <w:r>
        <w:rPr>
          <w:color w:val="231F20"/>
          <w:spacing w:val="-2"/>
        </w:rPr>
        <w:t> </w:t>
      </w:r>
      <w:r>
        <w:rPr>
          <w:color w:val="231F20"/>
          <w:w w:val="110"/>
        </w:rPr>
        <w:t>&amp;</w:t>
      </w:r>
      <w:r>
        <w:rPr>
          <w:color w:val="231F20"/>
          <w:spacing w:val="-6"/>
          <w:w w:val="110"/>
        </w:rPr>
        <w:t> </w:t>
      </w:r>
      <w:r>
        <w:rPr>
          <w:color w:val="231F20"/>
        </w:rPr>
        <w:t>Gamble</w:t>
      </w:r>
      <w:r>
        <w:rPr>
          <w:color w:val="231F20"/>
          <w:spacing w:val="-2"/>
        </w:rPr>
        <w:t> </w:t>
      </w:r>
      <w:r>
        <w:rPr>
          <w:color w:val="231F20"/>
        </w:rPr>
        <w:t>was</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slow-to-innovate</w:t>
      </w:r>
      <w:r>
        <w:rPr>
          <w:color w:val="231F20"/>
          <w:spacing w:val="-2"/>
        </w:rPr>
        <w:t> </w:t>
      </w:r>
      <w:r>
        <w:rPr>
          <w:color w:val="231F20"/>
        </w:rPr>
        <w:t>category,</w:t>
      </w:r>
      <w:r>
        <w:rPr>
          <w:color w:val="231F20"/>
          <w:spacing w:val="-2"/>
        </w:rPr>
        <w:t> </w:t>
      </w:r>
      <w:r>
        <w:rPr>
          <w:color w:val="231F20"/>
        </w:rPr>
        <w:t>but lately</w:t>
      </w:r>
      <w:r>
        <w:rPr>
          <w:color w:val="231F20"/>
          <w:spacing w:val="-3"/>
        </w:rPr>
        <w:t> </w:t>
      </w:r>
      <w:r>
        <w:rPr>
          <w:color w:val="231F20"/>
        </w:rPr>
        <w:t>its</w:t>
      </w:r>
      <w:r>
        <w:rPr>
          <w:color w:val="231F20"/>
          <w:spacing w:val="-3"/>
        </w:rPr>
        <w:t> </w:t>
      </w:r>
      <w:r>
        <w:rPr>
          <w:color w:val="231F20"/>
        </w:rPr>
        <w:t>behavior</w:t>
      </w:r>
      <w:r>
        <w:rPr>
          <w:color w:val="231F20"/>
          <w:spacing w:val="-3"/>
        </w:rPr>
        <w:t> </w:t>
      </w:r>
      <w:r>
        <w:rPr>
          <w:color w:val="231F20"/>
        </w:rPr>
        <w:t>has</w:t>
      </w:r>
      <w:r>
        <w:rPr>
          <w:color w:val="231F20"/>
          <w:spacing w:val="-3"/>
        </w:rPr>
        <w:t> </w:t>
      </w:r>
      <w:r>
        <w:rPr>
          <w:color w:val="231F20"/>
        </w:rPr>
        <w:t>been</w:t>
      </w:r>
      <w:r>
        <w:rPr>
          <w:color w:val="231F20"/>
          <w:spacing w:val="-3"/>
        </w:rPr>
        <w:t> </w:t>
      </w:r>
      <w:r>
        <w:rPr>
          <w:color w:val="231F20"/>
        </w:rPr>
        <w:t>changing.</w:t>
      </w:r>
      <w:r>
        <w:rPr>
          <w:color w:val="231F20"/>
          <w:spacing w:val="-3"/>
        </w:rPr>
        <w:t> </w:t>
      </w:r>
      <w:r>
        <w:rPr>
          <w:color w:val="231F20"/>
        </w:rPr>
        <w:t>P&amp;G</w:t>
      </w:r>
      <w:r>
        <w:rPr>
          <w:color w:val="231F20"/>
          <w:spacing w:val="-3"/>
        </w:rPr>
        <w:t> </w:t>
      </w:r>
      <w:r>
        <w:rPr>
          <w:color w:val="231F20"/>
        </w:rPr>
        <w:t>had</w:t>
      </w:r>
      <w:r>
        <w:rPr>
          <w:color w:val="231F20"/>
          <w:spacing w:val="-3"/>
        </w:rPr>
        <w:t> </w:t>
      </w:r>
      <w:r>
        <w:rPr>
          <w:color w:val="231F20"/>
        </w:rPr>
        <w:t>test-marketed</w:t>
      </w:r>
      <w:r>
        <w:rPr>
          <w:color w:val="231F20"/>
          <w:spacing w:val="-3"/>
        </w:rPr>
        <w:t> </w:t>
      </w:r>
      <w:r>
        <w:rPr>
          <w:color w:val="231F20"/>
        </w:rPr>
        <w:t>Bounce fabric softener for years before introducing it across the country. By contrast it rolls out new products in months now.</w:t>
      </w:r>
    </w:p>
    <w:p>
      <w:pPr>
        <w:pStyle w:val="BodyText"/>
        <w:spacing w:before="4"/>
        <w:rPr>
          <w:sz w:val="25"/>
        </w:rPr>
      </w:pPr>
    </w:p>
    <w:p>
      <w:pPr>
        <w:pStyle w:val="BodyText"/>
        <w:spacing w:line="292" w:lineRule="auto"/>
        <w:ind w:left="829" w:right="753"/>
        <w:jc w:val="both"/>
      </w:pPr>
      <w:r>
        <w:rPr>
          <w:i/>
          <w:color w:val="231F20"/>
        </w:rPr>
        <w:t>Staff. </w:t>
      </w:r>
      <w:r>
        <w:rPr>
          <w:color w:val="231F20"/>
        </w:rPr>
        <w:t>With no warm bodies, there’s no company. By </w:t>
      </w:r>
      <w:r>
        <w:rPr>
          <w:i/>
          <w:color w:val="231F20"/>
        </w:rPr>
        <w:t>staff </w:t>
      </w:r>
      <w:r>
        <w:rPr>
          <w:color w:val="231F20"/>
        </w:rPr>
        <w:t>Peters means the human resource </w:t>
      </w:r>
      <w:r>
        <w:rPr>
          <w:i/>
          <w:color w:val="231F20"/>
        </w:rPr>
        <w:t>systems, </w:t>
      </w:r>
      <w:r>
        <w:rPr>
          <w:color w:val="231F20"/>
        </w:rPr>
        <w:t>which include appraisals, train- ing, wages, and the intangibles, such as employee motivation,</w:t>
      </w:r>
      <w:r>
        <w:rPr>
          <w:color w:val="231F20"/>
          <w:spacing w:val="80"/>
        </w:rPr>
        <w:t> </w:t>
      </w:r>
      <w:r>
        <w:rPr>
          <w:color w:val="231F20"/>
        </w:rPr>
        <w:t>morale, and attitude. With a motivated workforce, companies are</w:t>
      </w:r>
      <w:r>
        <w:rPr>
          <w:color w:val="231F20"/>
          <w:spacing w:val="40"/>
        </w:rPr>
        <w:t> </w:t>
      </w:r>
      <w:r>
        <w:rPr>
          <w:color w:val="231F20"/>
        </w:rPr>
        <w:t>able to adapt and compete. Top management often ignores this S </w:t>
      </w:r>
      <w:r>
        <w:rPr>
          <w:color w:val="231F20"/>
        </w:rPr>
        <w:t>be- cause they feel that it is not significant on one hand and too touchy- feely on the other. “Let the human resources department deal with</w:t>
      </w:r>
      <w:r>
        <w:rPr>
          <w:color w:val="231F20"/>
          <w:spacing w:val="80"/>
        </w:rPr>
        <w:t> </w:t>
      </w:r>
      <w:r>
        <w:rPr>
          <w:color w:val="231F20"/>
        </w:rPr>
        <w:t>it” is the common attitude. This soft factor is essential, however, be- cause without employee cooperation a company will not have the ability to succeed.</w:t>
      </w:r>
    </w:p>
    <w:p>
      <w:pPr>
        <w:pStyle w:val="BodyText"/>
        <w:spacing w:before="3"/>
        <w:rPr>
          <w:sz w:val="25"/>
        </w:rPr>
      </w:pPr>
    </w:p>
    <w:p>
      <w:pPr>
        <w:pStyle w:val="BodyText"/>
        <w:spacing w:line="292" w:lineRule="auto"/>
        <w:ind w:left="829" w:right="756"/>
        <w:jc w:val="both"/>
      </w:pPr>
      <w:r>
        <w:rPr>
          <w:i/>
          <w:color w:val="231F20"/>
        </w:rPr>
        <w:t>Skills. </w:t>
      </w:r>
      <w:r>
        <w:rPr>
          <w:color w:val="231F20"/>
        </w:rPr>
        <w:t>Closely related to staff are the distinctive abilities and </w:t>
      </w:r>
      <w:r>
        <w:rPr>
          <w:color w:val="231F20"/>
        </w:rPr>
        <w:t>talents that a company possesses. </w:t>
      </w:r>
      <w:r>
        <w:rPr>
          <w:i/>
          <w:color w:val="231F20"/>
        </w:rPr>
        <w:t>Skills </w:t>
      </w:r>
      <w:r>
        <w:rPr>
          <w:color w:val="231F20"/>
        </w:rPr>
        <w:t>may range from the ability of a staff to speak Spanish, to an understanding of statistics, to computer lit- eracy, for instance. Certain companies are strong in particular areas. Du Pont and 3M are known for their superb research and develop- ment capabilities. IBM’s and General Electric’s strengths lie in their ability to provide superior service support for their products. Inter- national companies need people with language skills and in-depth knowledge of other cultures and customs. American Express for one acquires these skills by hiring knowledgeable nationals in the mar- kets in which it competes.</w:t>
      </w:r>
    </w:p>
    <w:p>
      <w:pPr>
        <w:pStyle w:val="BodyText"/>
        <w:spacing w:before="3"/>
        <w:rPr>
          <w:sz w:val="25"/>
        </w:rPr>
      </w:pPr>
    </w:p>
    <w:p>
      <w:pPr>
        <w:pStyle w:val="BodyText"/>
        <w:spacing w:line="292" w:lineRule="auto"/>
        <w:ind w:left="830" w:right="756"/>
        <w:jc w:val="both"/>
      </w:pPr>
      <w:r>
        <w:rPr>
          <w:i/>
          <w:color w:val="231F20"/>
        </w:rPr>
        <w:t>Systems. </w:t>
      </w:r>
      <w:r>
        <w:rPr>
          <w:color w:val="231F20"/>
        </w:rPr>
        <w:t>The procedures, both formal and informal, by which an </w:t>
      </w:r>
      <w:r>
        <w:rPr>
          <w:color w:val="231F20"/>
        </w:rPr>
        <w:t>or- ganization operates and gathers information constitute the </w:t>
      </w:r>
      <w:r>
        <w:rPr>
          <w:i/>
          <w:color w:val="231F20"/>
        </w:rPr>
        <w:t>systems</w:t>
      </w:r>
      <w:r>
        <w:rPr>
          <w:i/>
          <w:color w:val="231F20"/>
          <w:spacing w:val="80"/>
        </w:rPr>
        <w:t> </w:t>
      </w:r>
      <w:r>
        <w:rPr>
          <w:color w:val="231F20"/>
        </w:rPr>
        <w:t>of a company. As I mentioned, Peters considers the systems relating to</w:t>
      </w:r>
      <w:r>
        <w:rPr>
          <w:color w:val="231F20"/>
          <w:spacing w:val="23"/>
        </w:rPr>
        <w:t> </w:t>
      </w:r>
      <w:r>
        <w:rPr>
          <w:color w:val="231F20"/>
        </w:rPr>
        <w:t>personnel</w:t>
      </w:r>
      <w:r>
        <w:rPr>
          <w:color w:val="231F20"/>
          <w:spacing w:val="23"/>
        </w:rPr>
        <w:t> </w:t>
      </w:r>
      <w:r>
        <w:rPr>
          <w:color w:val="231F20"/>
        </w:rPr>
        <w:t>part</w:t>
      </w:r>
      <w:r>
        <w:rPr>
          <w:color w:val="231F20"/>
          <w:spacing w:val="23"/>
        </w:rPr>
        <w:t> </w:t>
      </w:r>
      <w:r>
        <w:rPr>
          <w:color w:val="231F20"/>
        </w:rPr>
        <w:t>of</w:t>
      </w:r>
      <w:r>
        <w:rPr>
          <w:color w:val="231F20"/>
          <w:spacing w:val="23"/>
        </w:rPr>
        <w:t> </w:t>
      </w:r>
      <w:r>
        <w:rPr>
          <w:i/>
          <w:color w:val="231F20"/>
        </w:rPr>
        <w:t>staff.</w:t>
      </w:r>
      <w:r>
        <w:rPr>
          <w:i/>
          <w:color w:val="231F20"/>
          <w:spacing w:val="24"/>
        </w:rPr>
        <w:t> </w:t>
      </w:r>
      <w:r>
        <w:rPr>
          <w:color w:val="231F20"/>
        </w:rPr>
        <w:t>With</w:t>
      </w:r>
      <w:r>
        <w:rPr>
          <w:color w:val="231F20"/>
          <w:spacing w:val="23"/>
        </w:rPr>
        <w:t> </w:t>
      </w:r>
      <w:r>
        <w:rPr>
          <w:color w:val="231F20"/>
        </w:rPr>
        <w:t>this</w:t>
      </w:r>
      <w:r>
        <w:rPr>
          <w:color w:val="231F20"/>
          <w:spacing w:val="24"/>
        </w:rPr>
        <w:t> </w:t>
      </w:r>
      <w:r>
        <w:rPr>
          <w:color w:val="231F20"/>
        </w:rPr>
        <w:t>S,</w:t>
      </w:r>
      <w:r>
        <w:rPr>
          <w:color w:val="231F20"/>
          <w:spacing w:val="23"/>
        </w:rPr>
        <w:t> </w:t>
      </w:r>
      <w:r>
        <w:rPr>
          <w:color w:val="231F20"/>
        </w:rPr>
        <w:t>Peters</w:t>
      </w:r>
      <w:r>
        <w:rPr>
          <w:color w:val="231F20"/>
          <w:spacing w:val="23"/>
        </w:rPr>
        <w:t> </w:t>
      </w:r>
      <w:r>
        <w:rPr>
          <w:color w:val="231F20"/>
        </w:rPr>
        <w:t>is</w:t>
      </w:r>
      <w:r>
        <w:rPr>
          <w:color w:val="231F20"/>
          <w:spacing w:val="23"/>
        </w:rPr>
        <w:t> </w:t>
      </w:r>
      <w:r>
        <w:rPr>
          <w:color w:val="231F20"/>
        </w:rPr>
        <w:t>concerned</w:t>
      </w:r>
      <w:r>
        <w:rPr>
          <w:color w:val="231F20"/>
          <w:spacing w:val="23"/>
        </w:rPr>
        <w:t> </w:t>
      </w:r>
      <w:r>
        <w:rPr>
          <w:color w:val="231F20"/>
        </w:rPr>
        <w:t>with</w:t>
      </w:r>
      <w:r>
        <w:rPr>
          <w:color w:val="231F20"/>
          <w:spacing w:val="23"/>
        </w:rPr>
        <w:t> </w:t>
      </w:r>
      <w:r>
        <w:rPr>
          <w:color w:val="231F20"/>
          <w:spacing w:val="-5"/>
        </w:rPr>
        <w:t>the</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systems that allocate and control money and materials as well as gather information.</w:t>
      </w:r>
    </w:p>
    <w:p>
      <w:pPr>
        <w:pStyle w:val="BodyText"/>
        <w:spacing w:line="292" w:lineRule="auto"/>
        <w:ind w:left="920" w:right="665" w:firstLine="340"/>
        <w:jc w:val="both"/>
      </w:pPr>
      <w:r>
        <w:rPr>
          <w:color w:val="231F20"/>
        </w:rPr>
        <w:t>When a company confronts a major challenge in the market- place, management must have detailed data about its operations, customers, and competition to determine the gravity of the situa- tion. Managerial accounting systems provide operational data </w:t>
      </w:r>
      <w:r>
        <w:rPr>
          <w:color w:val="231F20"/>
        </w:rPr>
        <w:t>about production and costs. Marketing research and sales tracking systems give information about the customers. Competitive intelligence sys- tems provide insight as to what other companies are up to.</w:t>
      </w:r>
    </w:p>
    <w:p>
      <w:pPr>
        <w:pStyle w:val="BodyText"/>
        <w:spacing w:before="3"/>
        <w:rPr>
          <w:sz w:val="25"/>
        </w:rPr>
      </w:pPr>
    </w:p>
    <w:p>
      <w:pPr>
        <w:pStyle w:val="BodyText"/>
        <w:spacing w:line="292" w:lineRule="auto"/>
        <w:ind w:left="919" w:right="664"/>
        <w:jc w:val="both"/>
      </w:pPr>
      <w:r>
        <w:rPr>
          <w:i/>
          <w:color w:val="231F20"/>
        </w:rPr>
        <w:t>Superordinate Goals. </w:t>
      </w:r>
      <w:r>
        <w:rPr>
          <w:color w:val="231F20"/>
        </w:rPr>
        <w:t>This last S is at the core of an organization. According to Peters, “The word </w:t>
      </w:r>
      <w:r>
        <w:rPr>
          <w:i/>
          <w:color w:val="231F20"/>
        </w:rPr>
        <w:t>superordinate </w:t>
      </w:r>
      <w:r>
        <w:rPr>
          <w:color w:val="231F20"/>
        </w:rPr>
        <w:t>literally means </w:t>
      </w:r>
      <w:r>
        <w:rPr>
          <w:i/>
          <w:color w:val="231F20"/>
        </w:rPr>
        <w:t>of</w:t>
      </w:r>
      <w:r>
        <w:rPr>
          <w:i/>
          <w:color w:val="231F20"/>
        </w:rPr>
        <w:t> higher order.</w:t>
      </w:r>
      <w:r>
        <w:rPr>
          <w:color w:val="231F20"/>
        </w:rPr>
        <w:t>” </w:t>
      </w:r>
      <w:r>
        <w:rPr>
          <w:i/>
          <w:color w:val="231F20"/>
        </w:rPr>
        <w:t>Superordinate goals </w:t>
      </w:r>
      <w:r>
        <w:rPr>
          <w:color w:val="231F20"/>
        </w:rPr>
        <w:t>are the guiding concepts—</w:t>
      </w:r>
      <w:r>
        <w:rPr>
          <w:color w:val="231F20"/>
          <w:spacing w:val="-12"/>
        </w:rPr>
        <w:t> </w:t>
      </w:r>
      <w:r>
        <w:rPr>
          <w:color w:val="231F20"/>
        </w:rPr>
        <w:t>values and aspirations, often unwritten—</w:t>
      </w:r>
      <w:r>
        <w:rPr>
          <w:color w:val="231F20"/>
          <w:spacing w:val="-12"/>
        </w:rPr>
        <w:t> </w:t>
      </w:r>
      <w:r>
        <w:rPr>
          <w:color w:val="231F20"/>
        </w:rPr>
        <w:t>that go beyond the conventional statements of corporate objectives. “Superordinate goals are the fundamental ideas around which a business is built.” For example, Peters wrote in 1980 that Hewlett-Packard’s superordinate goal was to have “innovative people at all levels in the organization.” 3M’s superordinate</w:t>
      </w:r>
      <w:r>
        <w:rPr>
          <w:color w:val="231F20"/>
          <w:spacing w:val="40"/>
        </w:rPr>
        <w:t> </w:t>
      </w:r>
      <w:r>
        <w:rPr>
          <w:color w:val="231F20"/>
        </w:rPr>
        <w:t>goal</w:t>
      </w:r>
      <w:r>
        <w:rPr>
          <w:color w:val="231F20"/>
          <w:spacing w:val="40"/>
        </w:rPr>
        <w:t> </w:t>
      </w:r>
      <w:r>
        <w:rPr>
          <w:color w:val="231F20"/>
        </w:rPr>
        <w:t>was</w:t>
      </w:r>
      <w:r>
        <w:rPr>
          <w:color w:val="231F20"/>
          <w:spacing w:val="40"/>
        </w:rPr>
        <w:t> </w:t>
      </w:r>
      <w:r>
        <w:rPr>
          <w:color w:val="231F20"/>
        </w:rPr>
        <w:t>to</w:t>
      </w:r>
      <w:r>
        <w:rPr>
          <w:color w:val="231F20"/>
          <w:spacing w:val="40"/>
        </w:rPr>
        <w:t> </w:t>
      </w:r>
      <w:r>
        <w:rPr>
          <w:color w:val="231F20"/>
        </w:rPr>
        <w:t>produce</w:t>
      </w:r>
      <w:r>
        <w:rPr>
          <w:color w:val="231F20"/>
          <w:spacing w:val="40"/>
        </w:rPr>
        <w:t> </w:t>
      </w:r>
      <w:r>
        <w:rPr>
          <w:color w:val="231F20"/>
        </w:rPr>
        <w:t>“new</w:t>
      </w:r>
      <w:r>
        <w:rPr>
          <w:color w:val="231F20"/>
          <w:spacing w:val="40"/>
        </w:rPr>
        <w:t> </w:t>
      </w:r>
      <w:r>
        <w:rPr>
          <w:color w:val="231F20"/>
        </w:rPr>
        <w:t>products,”</w:t>
      </w:r>
      <w:r>
        <w:rPr>
          <w:color w:val="231F20"/>
          <w:spacing w:val="40"/>
        </w:rPr>
        <w:t> </w:t>
      </w:r>
      <w:r>
        <w:rPr>
          <w:color w:val="231F20"/>
        </w:rPr>
        <w:t>while</w:t>
      </w:r>
      <w:r>
        <w:rPr>
          <w:color w:val="231F20"/>
          <w:spacing w:val="40"/>
        </w:rPr>
        <w:t> </w:t>
      </w:r>
      <w:r>
        <w:rPr>
          <w:color w:val="231F20"/>
        </w:rPr>
        <w:t>IBM’s was “customer service.”</w:t>
      </w:r>
    </w:p>
    <w:p>
      <w:pPr>
        <w:pStyle w:val="BodyText"/>
        <w:spacing w:before="3"/>
        <w:rPr>
          <w:sz w:val="25"/>
        </w:rPr>
      </w:pPr>
    </w:p>
    <w:p>
      <w:pPr>
        <w:pStyle w:val="BodyText"/>
        <w:spacing w:line="292" w:lineRule="auto" w:before="1"/>
        <w:ind w:left="920" w:right="664"/>
        <w:jc w:val="both"/>
      </w:pPr>
      <w:r>
        <w:rPr>
          <w:i/>
          <w:color w:val="231F20"/>
        </w:rPr>
        <w:t>Mission Statements. </w:t>
      </w:r>
      <w:r>
        <w:rPr>
          <w:color w:val="231F20"/>
        </w:rPr>
        <w:t>These are often mentioned when companies speak about their goals. A mission statement should be a short </w:t>
      </w:r>
      <w:r>
        <w:rPr>
          <w:color w:val="231F20"/>
        </w:rPr>
        <w:t>and concise statement of goals and priorities. Unfortunately they are</w:t>
      </w:r>
      <w:r>
        <w:rPr>
          <w:color w:val="231F20"/>
          <w:spacing w:val="40"/>
        </w:rPr>
        <w:t> </w:t>
      </w:r>
      <w:r>
        <w:rPr>
          <w:color w:val="231F20"/>
        </w:rPr>
        <w:t>often long, bland, and tedious documents. When senior executives return from expensive executive programs from one of the Top Ten schools, frequently they form a mission statement task force or hire</w:t>
      </w:r>
      <w:r>
        <w:rPr>
          <w:color w:val="231F20"/>
          <w:spacing w:val="80"/>
        </w:rPr>
        <w:t> </w:t>
      </w:r>
      <w:r>
        <w:rPr>
          <w:color w:val="231F20"/>
        </w:rPr>
        <w:t>a consultant for this purpose. This exercise has a large element of “keeping up with the Joneses.” If a company incorporates a mission statement in its annual report, then all of its competitors go off to cook up theirs. Chrysler’s and Campbell’s (soup) annual reports</w:t>
      </w:r>
      <w:r>
        <w:rPr>
          <w:color w:val="231F20"/>
          <w:spacing w:val="40"/>
        </w:rPr>
        <w:t> </w:t>
      </w:r>
      <w:r>
        <w:rPr>
          <w:color w:val="231F20"/>
        </w:rPr>
        <w:t>boast well-written mission statements:</w:t>
      </w:r>
    </w:p>
    <w:p>
      <w:pPr>
        <w:pStyle w:val="BodyText"/>
        <w:spacing w:before="10"/>
        <w:rPr>
          <w:sz w:val="26"/>
        </w:rPr>
      </w:pPr>
    </w:p>
    <w:p>
      <w:pPr>
        <w:spacing w:line="324" w:lineRule="auto" w:before="0"/>
        <w:ind w:left="1260" w:right="1006" w:firstLine="0"/>
        <w:jc w:val="both"/>
        <w:rPr>
          <w:sz w:val="19"/>
        </w:rPr>
      </w:pPr>
      <w:r>
        <w:rPr>
          <w:color w:val="231F20"/>
          <w:spacing w:val="-2"/>
          <w:w w:val="105"/>
          <w:sz w:val="19"/>
        </w:rPr>
        <w:t>Chrysler’s primary goal is to achieve consumer satisfaction. We do </w:t>
      </w:r>
      <w:r>
        <w:rPr>
          <w:color w:val="231F20"/>
          <w:w w:val="105"/>
          <w:sz w:val="19"/>
        </w:rPr>
        <w:t>it</w:t>
      </w:r>
      <w:r>
        <w:rPr>
          <w:color w:val="231F20"/>
          <w:spacing w:val="-11"/>
          <w:w w:val="105"/>
          <w:sz w:val="19"/>
        </w:rPr>
        <w:t> </w:t>
      </w:r>
      <w:r>
        <w:rPr>
          <w:color w:val="231F20"/>
          <w:w w:val="105"/>
          <w:sz w:val="19"/>
        </w:rPr>
        <w:t>through</w:t>
      </w:r>
      <w:r>
        <w:rPr>
          <w:color w:val="231F20"/>
          <w:spacing w:val="-11"/>
          <w:w w:val="105"/>
          <w:sz w:val="19"/>
        </w:rPr>
        <w:t> </w:t>
      </w:r>
      <w:r>
        <w:rPr>
          <w:color w:val="231F20"/>
          <w:w w:val="105"/>
          <w:sz w:val="19"/>
        </w:rPr>
        <w:t>engineering</w:t>
      </w:r>
      <w:r>
        <w:rPr>
          <w:color w:val="231F20"/>
          <w:spacing w:val="-11"/>
          <w:w w:val="105"/>
          <w:sz w:val="19"/>
        </w:rPr>
        <w:t> </w:t>
      </w:r>
      <w:r>
        <w:rPr>
          <w:color w:val="231F20"/>
          <w:w w:val="105"/>
          <w:sz w:val="19"/>
        </w:rPr>
        <w:t>excellence,</w:t>
      </w:r>
      <w:r>
        <w:rPr>
          <w:color w:val="231F20"/>
          <w:spacing w:val="-11"/>
          <w:w w:val="105"/>
          <w:sz w:val="19"/>
        </w:rPr>
        <w:t> </w:t>
      </w:r>
      <w:r>
        <w:rPr>
          <w:color w:val="231F20"/>
          <w:w w:val="105"/>
          <w:sz w:val="19"/>
        </w:rPr>
        <w:t>innovative</w:t>
      </w:r>
      <w:r>
        <w:rPr>
          <w:color w:val="231F20"/>
          <w:spacing w:val="-11"/>
          <w:w w:val="105"/>
          <w:sz w:val="19"/>
        </w:rPr>
        <w:t> </w:t>
      </w:r>
      <w:r>
        <w:rPr>
          <w:color w:val="231F20"/>
          <w:w w:val="105"/>
          <w:sz w:val="19"/>
        </w:rPr>
        <w:t>products,</w:t>
      </w:r>
      <w:r>
        <w:rPr>
          <w:color w:val="231F20"/>
          <w:spacing w:val="-11"/>
          <w:w w:val="105"/>
          <w:sz w:val="19"/>
        </w:rPr>
        <w:t> </w:t>
      </w:r>
      <w:r>
        <w:rPr>
          <w:color w:val="231F20"/>
          <w:w w:val="105"/>
          <w:sz w:val="19"/>
        </w:rPr>
        <w:t>high</w:t>
      </w:r>
      <w:r>
        <w:rPr>
          <w:color w:val="231F20"/>
          <w:spacing w:val="-11"/>
          <w:w w:val="105"/>
          <w:sz w:val="19"/>
        </w:rPr>
        <w:t> </w:t>
      </w:r>
      <w:r>
        <w:rPr>
          <w:color w:val="231F20"/>
          <w:w w:val="105"/>
          <w:sz w:val="19"/>
        </w:rPr>
        <w:t>qual- ity, and superior service. And we do it as a team. [1988]</w:t>
      </w:r>
    </w:p>
    <w:p>
      <w:pPr>
        <w:spacing w:after="0" w:line="324" w:lineRule="auto"/>
        <w:jc w:val="both"/>
        <w:rPr>
          <w:sz w:val="19"/>
        </w:rPr>
        <w:sectPr>
          <w:pgSz w:w="8640" w:h="12960"/>
          <w:pgMar w:header="734" w:footer="0" w:top="920" w:bottom="280" w:left="340" w:right="500"/>
        </w:sectPr>
      </w:pPr>
    </w:p>
    <w:p>
      <w:pPr>
        <w:pStyle w:val="BodyText"/>
        <w:spacing w:before="1"/>
        <w:rPr>
          <w:sz w:val="18"/>
        </w:rPr>
      </w:pPr>
    </w:p>
    <w:p>
      <w:pPr>
        <w:spacing w:line="324" w:lineRule="auto" w:before="104"/>
        <w:ind w:left="1170" w:right="1096" w:firstLine="0"/>
        <w:jc w:val="both"/>
        <w:rPr>
          <w:sz w:val="19"/>
        </w:rPr>
      </w:pPr>
      <w:r>
        <w:rPr>
          <w:color w:val="231F20"/>
          <w:sz w:val="19"/>
        </w:rPr>
        <w:t>All</w:t>
      </w:r>
      <w:r>
        <w:rPr>
          <w:color w:val="231F20"/>
          <w:spacing w:val="40"/>
          <w:sz w:val="19"/>
        </w:rPr>
        <w:t> </w:t>
      </w:r>
      <w:r>
        <w:rPr>
          <w:color w:val="231F20"/>
          <w:sz w:val="19"/>
        </w:rPr>
        <w:t>of</w:t>
      </w:r>
      <w:r>
        <w:rPr>
          <w:color w:val="231F20"/>
          <w:spacing w:val="40"/>
          <w:sz w:val="19"/>
        </w:rPr>
        <w:t> </w:t>
      </w:r>
      <w:r>
        <w:rPr>
          <w:color w:val="231F20"/>
          <w:sz w:val="19"/>
        </w:rPr>
        <w:t>Campbell’s</w:t>
      </w:r>
      <w:r>
        <w:rPr>
          <w:color w:val="231F20"/>
          <w:spacing w:val="40"/>
          <w:sz w:val="19"/>
        </w:rPr>
        <w:t> </w:t>
      </w:r>
      <w:r>
        <w:rPr>
          <w:color w:val="231F20"/>
          <w:sz w:val="19"/>
        </w:rPr>
        <w:t>activities</w:t>
      </w:r>
      <w:r>
        <w:rPr>
          <w:color w:val="231F20"/>
          <w:spacing w:val="40"/>
          <w:sz w:val="19"/>
        </w:rPr>
        <w:t> </w:t>
      </w:r>
      <w:r>
        <w:rPr>
          <w:color w:val="231F20"/>
          <w:sz w:val="19"/>
        </w:rPr>
        <w:t>begin</w:t>
      </w:r>
      <w:r>
        <w:rPr>
          <w:color w:val="231F20"/>
          <w:spacing w:val="40"/>
          <w:sz w:val="19"/>
        </w:rPr>
        <w:t> </w:t>
      </w:r>
      <w:r>
        <w:rPr>
          <w:color w:val="231F20"/>
          <w:sz w:val="19"/>
        </w:rPr>
        <w:t>with</w:t>
      </w:r>
      <w:r>
        <w:rPr>
          <w:color w:val="231F20"/>
          <w:spacing w:val="40"/>
          <w:sz w:val="19"/>
        </w:rPr>
        <w:t> </w:t>
      </w:r>
      <w:r>
        <w:rPr>
          <w:color w:val="231F20"/>
          <w:sz w:val="19"/>
        </w:rPr>
        <w:t>our</w:t>
      </w:r>
      <w:r>
        <w:rPr>
          <w:color w:val="231F20"/>
          <w:spacing w:val="40"/>
          <w:sz w:val="19"/>
        </w:rPr>
        <w:t> </w:t>
      </w:r>
      <w:r>
        <w:rPr>
          <w:color w:val="231F20"/>
          <w:sz w:val="19"/>
        </w:rPr>
        <w:t>focus</w:t>
      </w:r>
      <w:r>
        <w:rPr>
          <w:color w:val="231F20"/>
          <w:spacing w:val="40"/>
          <w:sz w:val="19"/>
        </w:rPr>
        <w:t> </w:t>
      </w:r>
      <w:r>
        <w:rPr>
          <w:color w:val="231F20"/>
          <w:sz w:val="19"/>
        </w:rPr>
        <w:t>on</w:t>
      </w:r>
      <w:r>
        <w:rPr>
          <w:color w:val="231F20"/>
          <w:spacing w:val="40"/>
          <w:sz w:val="19"/>
        </w:rPr>
        <w:t> </w:t>
      </w:r>
      <w:r>
        <w:rPr>
          <w:color w:val="231F20"/>
          <w:sz w:val="19"/>
        </w:rPr>
        <w:t>consumers. Our goals are to maximize profitability and shareholder value </w:t>
      </w:r>
      <w:r>
        <w:rPr>
          <w:color w:val="231F20"/>
          <w:sz w:val="19"/>
        </w:rPr>
        <w:t>by marketing consumer food products that lead in quality and value; and to build and defend the first or second position in every cate- gory in which we compete. [1989]</w:t>
      </w:r>
    </w:p>
    <w:p>
      <w:pPr>
        <w:pStyle w:val="BodyText"/>
        <w:spacing w:before="6"/>
        <w:rPr>
          <w:sz w:val="24"/>
        </w:rPr>
      </w:pPr>
    </w:p>
    <w:p>
      <w:pPr>
        <w:pStyle w:val="BodyText"/>
        <w:spacing w:line="292" w:lineRule="auto"/>
        <w:ind w:left="830" w:right="753" w:firstLine="340"/>
        <w:jc w:val="both"/>
      </w:pPr>
      <w:r>
        <w:rPr>
          <w:color w:val="231F20"/>
        </w:rPr>
        <w:t>Their goals were clear. Chrysler focused on consumer satisfac- tion, while Campbell’s main goal was to satisfy its shareholders. The wording of the mission statement is often crafted to address the</w:t>
      </w:r>
      <w:r>
        <w:rPr>
          <w:color w:val="231F20"/>
          <w:spacing w:val="80"/>
        </w:rPr>
        <w:t> </w:t>
      </w:r>
      <w:r>
        <w:rPr>
          <w:color w:val="231F20"/>
        </w:rPr>
        <w:t>most important constituency at the time. In Chrysler’s case, the com- pany was doing well, and its price per share was high. Chrysler fo- cused on making even more sales. Controlled by the Dorrance</w:t>
      </w:r>
      <w:r>
        <w:rPr>
          <w:color w:val="231F20"/>
          <w:spacing w:val="80"/>
          <w:w w:val="150"/>
        </w:rPr>
        <w:t> </w:t>
      </w:r>
      <w:r>
        <w:rPr>
          <w:color w:val="231F20"/>
        </w:rPr>
        <w:t>family, Campbell’s wrote its statement at a time when the company was</w:t>
      </w:r>
      <w:r>
        <w:rPr>
          <w:color w:val="231F20"/>
          <w:spacing w:val="29"/>
        </w:rPr>
        <w:t> </w:t>
      </w:r>
      <w:r>
        <w:rPr>
          <w:color w:val="231F20"/>
        </w:rPr>
        <w:t>said</w:t>
      </w:r>
      <w:r>
        <w:rPr>
          <w:color w:val="231F20"/>
          <w:spacing w:val="29"/>
        </w:rPr>
        <w:t> </w:t>
      </w:r>
      <w:r>
        <w:rPr>
          <w:color w:val="231F20"/>
        </w:rPr>
        <w:t>to</w:t>
      </w:r>
      <w:r>
        <w:rPr>
          <w:color w:val="231F20"/>
          <w:spacing w:val="29"/>
        </w:rPr>
        <w:t> </w:t>
      </w:r>
      <w:r>
        <w:rPr>
          <w:color w:val="231F20"/>
        </w:rPr>
        <w:t>be</w:t>
      </w:r>
      <w:r>
        <w:rPr>
          <w:color w:val="231F20"/>
          <w:spacing w:val="29"/>
        </w:rPr>
        <w:t> </w:t>
      </w:r>
      <w:r>
        <w:rPr>
          <w:color w:val="231F20"/>
        </w:rPr>
        <w:t>managed</w:t>
      </w:r>
      <w:r>
        <w:rPr>
          <w:color w:val="231F20"/>
          <w:spacing w:val="29"/>
        </w:rPr>
        <w:t> </w:t>
      </w:r>
      <w:r>
        <w:rPr>
          <w:color w:val="231F20"/>
        </w:rPr>
        <w:t>for</w:t>
      </w:r>
      <w:r>
        <w:rPr>
          <w:color w:val="231F20"/>
          <w:spacing w:val="29"/>
        </w:rPr>
        <w:t> </w:t>
      </w:r>
      <w:r>
        <w:rPr>
          <w:color w:val="231F20"/>
        </w:rPr>
        <w:t>the</w:t>
      </w:r>
      <w:r>
        <w:rPr>
          <w:color w:val="231F20"/>
          <w:spacing w:val="29"/>
        </w:rPr>
        <w:t> </w:t>
      </w:r>
      <w:r>
        <w:rPr>
          <w:color w:val="231F20"/>
        </w:rPr>
        <w:t>sole</w:t>
      </w:r>
      <w:r>
        <w:rPr>
          <w:color w:val="231F20"/>
          <w:spacing w:val="29"/>
        </w:rPr>
        <w:t> </w:t>
      </w:r>
      <w:r>
        <w:rPr>
          <w:color w:val="231F20"/>
        </w:rPr>
        <w:t>benefit</w:t>
      </w:r>
      <w:r>
        <w:rPr>
          <w:color w:val="231F20"/>
          <w:spacing w:val="29"/>
        </w:rPr>
        <w:t> </w:t>
      </w:r>
      <w:r>
        <w:rPr>
          <w:color w:val="231F20"/>
        </w:rPr>
        <w:t>of</w:t>
      </w:r>
      <w:r>
        <w:rPr>
          <w:color w:val="231F20"/>
          <w:spacing w:val="29"/>
        </w:rPr>
        <w:t> </w:t>
      </w:r>
      <w:r>
        <w:rPr>
          <w:color w:val="231F20"/>
        </w:rPr>
        <w:t>the</w:t>
      </w:r>
      <w:r>
        <w:rPr>
          <w:color w:val="231F20"/>
          <w:spacing w:val="29"/>
        </w:rPr>
        <w:t> </w:t>
      </w:r>
      <w:r>
        <w:rPr>
          <w:color w:val="231F20"/>
        </w:rPr>
        <w:t>family,</w:t>
      </w:r>
      <w:r>
        <w:rPr>
          <w:color w:val="231F20"/>
          <w:spacing w:val="29"/>
        </w:rPr>
        <w:t> </w:t>
      </w:r>
      <w:r>
        <w:rPr>
          <w:color w:val="231F20"/>
        </w:rPr>
        <w:t>and</w:t>
      </w:r>
      <w:r>
        <w:rPr>
          <w:color w:val="231F20"/>
          <w:spacing w:val="29"/>
        </w:rPr>
        <w:t> </w:t>
      </w:r>
      <w:r>
        <w:rPr>
          <w:color w:val="231F20"/>
        </w:rPr>
        <w:t>not for the public shareholders. Campbell’s share price lagged behind</w:t>
      </w:r>
      <w:r>
        <w:rPr>
          <w:color w:val="231F20"/>
          <w:spacing w:val="80"/>
        </w:rPr>
        <w:t> </w:t>
      </w:r>
      <w:r>
        <w:rPr>
          <w:color w:val="231F20"/>
        </w:rPr>
        <w:t>the gains of other food companies. Consequently, Campbell’s sought to placate Wall Street in its mission statement by mentioning </w:t>
      </w:r>
      <w:r>
        <w:rPr>
          <w:color w:val="231F20"/>
        </w:rPr>
        <w:t>“share- holder value” and increasing profitability. Chrysler’s success con- tinued and in 1998 Daimler Benz acquired the company, and Campbell’s continued to lag its industry competitors. Apart from the politics involved in its creation, a mission statement can be a useful surrogate for a firm’s superordinate goal, if it doesn’t have one.</w:t>
      </w:r>
    </w:p>
    <w:p>
      <w:pPr>
        <w:pStyle w:val="BodyText"/>
        <w:rPr>
          <w:sz w:val="24"/>
        </w:rPr>
      </w:pPr>
    </w:p>
    <w:p>
      <w:pPr>
        <w:pStyle w:val="BodyText"/>
        <w:spacing w:before="8"/>
        <w:rPr>
          <w:sz w:val="26"/>
        </w:rPr>
      </w:pPr>
    </w:p>
    <w:p>
      <w:pPr>
        <w:pStyle w:val="Heading6"/>
        <w:ind w:left="299"/>
        <w:rPr>
          <w:i/>
        </w:rPr>
      </w:pPr>
      <w:r>
        <w:rPr>
          <w:i/>
          <w:color w:val="231F20"/>
          <w:w w:val="110"/>
        </w:rPr>
        <w:t>A</w:t>
      </w:r>
      <w:r>
        <w:rPr>
          <w:i/>
          <w:color w:val="231F20"/>
          <w:spacing w:val="43"/>
          <w:w w:val="110"/>
        </w:rPr>
        <w:t> </w:t>
      </w:r>
      <w:r>
        <w:rPr>
          <w:i/>
          <w:color w:val="231F20"/>
          <w:w w:val="110"/>
        </w:rPr>
        <w:t>SEVEN</w:t>
      </w:r>
      <w:r>
        <w:rPr>
          <w:i/>
          <w:color w:val="231F20"/>
          <w:spacing w:val="42"/>
          <w:w w:val="110"/>
        </w:rPr>
        <w:t> </w:t>
      </w:r>
      <w:r>
        <w:rPr>
          <w:i/>
          <w:color w:val="231F20"/>
          <w:w w:val="110"/>
        </w:rPr>
        <w:t>S</w:t>
      </w:r>
      <w:r>
        <w:rPr>
          <w:i/>
          <w:color w:val="231F20"/>
          <w:spacing w:val="43"/>
          <w:w w:val="110"/>
        </w:rPr>
        <w:t> </w:t>
      </w:r>
      <w:r>
        <w:rPr>
          <w:i/>
          <w:color w:val="231F20"/>
          <w:w w:val="110"/>
        </w:rPr>
        <w:t>MODEL</w:t>
      </w:r>
      <w:r>
        <w:rPr>
          <w:i/>
          <w:color w:val="231F20"/>
          <w:spacing w:val="43"/>
          <w:w w:val="110"/>
        </w:rPr>
        <w:t> </w:t>
      </w:r>
      <w:r>
        <w:rPr>
          <w:i/>
          <w:color w:val="231F20"/>
          <w:spacing w:val="8"/>
          <w:w w:val="110"/>
        </w:rPr>
        <w:t>EXAMPLE</w:t>
      </w:r>
    </w:p>
    <w:p>
      <w:pPr>
        <w:pStyle w:val="BodyText"/>
        <w:spacing w:before="2"/>
        <w:rPr>
          <w:b/>
          <w:i/>
          <w:sz w:val="30"/>
        </w:rPr>
      </w:pPr>
    </w:p>
    <w:p>
      <w:pPr>
        <w:pStyle w:val="BodyText"/>
        <w:spacing w:line="292" w:lineRule="auto"/>
        <w:ind w:left="830" w:right="753"/>
        <w:jc w:val="both"/>
      </w:pPr>
      <w:r>
        <w:rPr>
          <w:color w:val="231F20"/>
        </w:rPr>
        <w:t>When all of a company’s S’s move in concert, it can be a formidable competitor. The early success of Apple Computer can be said to </w:t>
      </w:r>
      <w:r>
        <w:rPr>
          <w:color w:val="231F20"/>
        </w:rPr>
        <w:t>have been derived from the balance of its S’s. It had an entrepreneurial </w:t>
      </w:r>
      <w:r>
        <w:rPr>
          <w:i/>
          <w:color w:val="231F20"/>
        </w:rPr>
        <w:t>style </w:t>
      </w:r>
      <w:r>
        <w:rPr>
          <w:color w:val="231F20"/>
        </w:rPr>
        <w:t>fostered by its founders that attracted the brightest and most creative </w:t>
      </w:r>
      <w:r>
        <w:rPr>
          <w:i/>
          <w:color w:val="231F20"/>
        </w:rPr>
        <w:t>staff. </w:t>
      </w:r>
      <w:r>
        <w:rPr>
          <w:color w:val="231F20"/>
        </w:rPr>
        <w:t>With their cutting-edge technological </w:t>
      </w:r>
      <w:r>
        <w:rPr>
          <w:i/>
          <w:color w:val="231F20"/>
        </w:rPr>
        <w:t>skills, </w:t>
      </w:r>
      <w:r>
        <w:rPr>
          <w:color w:val="231F20"/>
        </w:rPr>
        <w:t>the founders organized Apple in a loose corporate matrix </w:t>
      </w:r>
      <w:r>
        <w:rPr>
          <w:i/>
          <w:color w:val="231F20"/>
        </w:rPr>
        <w:t>structure </w:t>
      </w:r>
      <w:r>
        <w:rPr>
          <w:color w:val="231F20"/>
        </w:rPr>
        <w:t>that fit the personalities of the people and the task of creating new prod- ucts. Apple developed reinforcing </w:t>
      </w:r>
      <w:r>
        <w:rPr>
          <w:i/>
          <w:color w:val="231F20"/>
        </w:rPr>
        <w:t>systems </w:t>
      </w:r>
      <w:r>
        <w:rPr>
          <w:color w:val="231F20"/>
        </w:rPr>
        <w:t>to reward innovation and to track operations. Their rewards supported Apple’s shared values of</w:t>
      </w:r>
      <w:r>
        <w:rPr>
          <w:color w:val="231F20"/>
          <w:spacing w:val="16"/>
        </w:rPr>
        <w:t> </w:t>
      </w:r>
      <w:r>
        <w:rPr>
          <w:color w:val="231F20"/>
        </w:rPr>
        <w:t>teamwork</w:t>
      </w:r>
      <w:r>
        <w:rPr>
          <w:color w:val="231F20"/>
          <w:spacing w:val="17"/>
        </w:rPr>
        <w:t> </w:t>
      </w:r>
      <w:r>
        <w:rPr>
          <w:color w:val="231F20"/>
        </w:rPr>
        <w:t>and</w:t>
      </w:r>
      <w:r>
        <w:rPr>
          <w:color w:val="231F20"/>
          <w:spacing w:val="17"/>
        </w:rPr>
        <w:t> </w:t>
      </w:r>
      <w:r>
        <w:rPr>
          <w:color w:val="231F20"/>
        </w:rPr>
        <w:t>fun</w:t>
      </w:r>
      <w:r>
        <w:rPr>
          <w:color w:val="231F20"/>
          <w:spacing w:val="17"/>
        </w:rPr>
        <w:t> </w:t>
      </w:r>
      <w:r>
        <w:rPr>
          <w:color w:val="231F20"/>
        </w:rPr>
        <w:t>to</w:t>
      </w:r>
      <w:r>
        <w:rPr>
          <w:color w:val="231F20"/>
          <w:spacing w:val="17"/>
        </w:rPr>
        <w:t> </w:t>
      </w:r>
      <w:r>
        <w:rPr>
          <w:color w:val="231F20"/>
        </w:rPr>
        <w:t>achieve</w:t>
      </w:r>
      <w:r>
        <w:rPr>
          <w:color w:val="231F20"/>
          <w:spacing w:val="16"/>
        </w:rPr>
        <w:t> </w:t>
      </w:r>
      <w:r>
        <w:rPr>
          <w:color w:val="231F20"/>
        </w:rPr>
        <w:t>its</w:t>
      </w:r>
      <w:r>
        <w:rPr>
          <w:color w:val="231F20"/>
          <w:spacing w:val="16"/>
        </w:rPr>
        <w:t> </w:t>
      </w:r>
      <w:r>
        <w:rPr>
          <w:i/>
          <w:color w:val="231F20"/>
        </w:rPr>
        <w:t>superordinate</w:t>
      </w:r>
      <w:r>
        <w:rPr>
          <w:i/>
          <w:color w:val="231F20"/>
          <w:spacing w:val="17"/>
        </w:rPr>
        <w:t> </w:t>
      </w:r>
      <w:r>
        <w:rPr>
          <w:i/>
          <w:color w:val="231F20"/>
        </w:rPr>
        <w:t>goal</w:t>
      </w:r>
      <w:r>
        <w:rPr>
          <w:i/>
          <w:color w:val="231F20"/>
          <w:spacing w:val="-23"/>
        </w:rPr>
        <w:t> </w:t>
      </w:r>
      <w:r>
        <w:rPr>
          <w:color w:val="231F20"/>
        </w:rPr>
        <w:t>—</w:t>
      </w:r>
      <w:r>
        <w:rPr>
          <w:color w:val="231F20"/>
          <w:spacing w:val="-22"/>
        </w:rPr>
        <w:t> </w:t>
      </w:r>
      <w:r>
        <w:rPr>
          <w:color w:val="231F20"/>
        </w:rPr>
        <w:t>placing</w:t>
      </w:r>
      <w:r>
        <w:rPr>
          <w:color w:val="231F20"/>
          <w:spacing w:val="17"/>
        </w:rPr>
        <w:t> </w:t>
      </w:r>
      <w:r>
        <w:rPr>
          <w:color w:val="231F20"/>
          <w:spacing w:val="-5"/>
        </w:rPr>
        <w:t>the</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best</w:t>
      </w:r>
      <w:r>
        <w:rPr>
          <w:color w:val="231F20"/>
          <w:spacing w:val="-3"/>
        </w:rPr>
        <w:t> </w:t>
      </w:r>
      <w:r>
        <w:rPr>
          <w:color w:val="231F20"/>
        </w:rPr>
        <w:t>user-friendly</w:t>
      </w:r>
      <w:r>
        <w:rPr>
          <w:color w:val="231F20"/>
          <w:spacing w:val="-3"/>
        </w:rPr>
        <w:t> </w:t>
      </w:r>
      <w:r>
        <w:rPr>
          <w:color w:val="231F20"/>
        </w:rPr>
        <w:t>computer</w:t>
      </w:r>
      <w:r>
        <w:rPr>
          <w:color w:val="231F20"/>
          <w:spacing w:val="-3"/>
        </w:rPr>
        <w:t> </w:t>
      </w:r>
      <w:r>
        <w:rPr>
          <w:color w:val="231F20"/>
        </w:rPr>
        <w:t>in</w:t>
      </w:r>
      <w:r>
        <w:rPr>
          <w:color w:val="231F20"/>
          <w:spacing w:val="-3"/>
        </w:rPr>
        <w:t> </w:t>
      </w:r>
      <w:r>
        <w:rPr>
          <w:color w:val="231F20"/>
        </w:rPr>
        <w:t>every</w:t>
      </w:r>
      <w:r>
        <w:rPr>
          <w:color w:val="231F20"/>
          <w:spacing w:val="-3"/>
        </w:rPr>
        <w:t> </w:t>
      </w:r>
      <w:r>
        <w:rPr>
          <w:color w:val="231F20"/>
        </w:rPr>
        <w:t>household.</w:t>
      </w:r>
      <w:r>
        <w:rPr>
          <w:color w:val="231F20"/>
          <w:spacing w:val="-3"/>
        </w:rPr>
        <w:t> </w:t>
      </w:r>
      <w:r>
        <w:rPr>
          <w:color w:val="231F20"/>
        </w:rPr>
        <w:t>Apple’s</w:t>
      </w:r>
      <w:r>
        <w:rPr>
          <w:color w:val="231F20"/>
          <w:spacing w:val="-3"/>
        </w:rPr>
        <w:t> </w:t>
      </w:r>
      <w:r>
        <w:rPr>
          <w:i/>
          <w:color w:val="231F20"/>
        </w:rPr>
        <w:t>strategy</w:t>
      </w:r>
      <w:r>
        <w:rPr>
          <w:i/>
          <w:color w:val="231F20"/>
          <w:spacing w:val="-3"/>
        </w:rPr>
        <w:t> </w:t>
      </w:r>
      <w:r>
        <w:rPr>
          <w:color w:val="231F20"/>
        </w:rPr>
        <w:t>was to create a proprietary, user-friendly system for the home, school, and graphics markets. All the S’s fit together well and were mutually supportive of its goals.</w:t>
      </w:r>
    </w:p>
    <w:p>
      <w:pPr>
        <w:pStyle w:val="BodyText"/>
        <w:spacing w:line="292" w:lineRule="auto"/>
        <w:ind w:left="919" w:right="663" w:firstLine="340"/>
        <w:jc w:val="both"/>
      </w:pPr>
      <w:r>
        <w:rPr>
          <w:color w:val="231F20"/>
          <w:w w:val="105"/>
        </w:rPr>
        <w:t>Do</w:t>
      </w:r>
      <w:r>
        <w:rPr>
          <w:color w:val="231F20"/>
          <w:w w:val="105"/>
        </w:rPr>
        <w:t> your</w:t>
      </w:r>
      <w:r>
        <w:rPr>
          <w:color w:val="231F20"/>
          <w:w w:val="105"/>
        </w:rPr>
        <w:t> own</w:t>
      </w:r>
      <w:r>
        <w:rPr>
          <w:color w:val="231F20"/>
          <w:w w:val="105"/>
        </w:rPr>
        <w:t> MBA</w:t>
      </w:r>
      <w:r>
        <w:rPr>
          <w:color w:val="231F20"/>
          <w:w w:val="105"/>
        </w:rPr>
        <w:t> analysis</w:t>
      </w:r>
      <w:r>
        <w:rPr>
          <w:color w:val="231F20"/>
          <w:w w:val="105"/>
        </w:rPr>
        <w:t> of</w:t>
      </w:r>
      <w:r>
        <w:rPr>
          <w:color w:val="231F20"/>
          <w:w w:val="105"/>
        </w:rPr>
        <w:t> your</w:t>
      </w:r>
      <w:r>
        <w:rPr>
          <w:color w:val="231F20"/>
          <w:w w:val="105"/>
        </w:rPr>
        <w:t> favorite</w:t>
      </w:r>
      <w:r>
        <w:rPr>
          <w:color w:val="231F20"/>
          <w:w w:val="105"/>
        </w:rPr>
        <w:t> organization.</w:t>
      </w:r>
      <w:r>
        <w:rPr>
          <w:color w:val="231F20"/>
          <w:w w:val="105"/>
        </w:rPr>
        <w:t> List the</w:t>
      </w:r>
      <w:r>
        <w:rPr>
          <w:color w:val="231F20"/>
          <w:w w:val="105"/>
        </w:rPr>
        <w:t> Seven</w:t>
      </w:r>
      <w:r>
        <w:rPr>
          <w:color w:val="231F20"/>
          <w:w w:val="105"/>
        </w:rPr>
        <w:t> S’s</w:t>
      </w:r>
      <w:r>
        <w:rPr>
          <w:color w:val="231F20"/>
          <w:w w:val="105"/>
        </w:rPr>
        <w:t> on</w:t>
      </w:r>
      <w:r>
        <w:rPr>
          <w:color w:val="231F20"/>
          <w:w w:val="105"/>
        </w:rPr>
        <w:t> a</w:t>
      </w:r>
      <w:r>
        <w:rPr>
          <w:color w:val="231F20"/>
          <w:w w:val="105"/>
        </w:rPr>
        <w:t> sheet</w:t>
      </w:r>
      <w:r>
        <w:rPr>
          <w:color w:val="231F20"/>
          <w:w w:val="105"/>
        </w:rPr>
        <w:t> of</w:t>
      </w:r>
      <w:r>
        <w:rPr>
          <w:color w:val="231F20"/>
          <w:w w:val="105"/>
        </w:rPr>
        <w:t> paper</w:t>
      </w:r>
      <w:r>
        <w:rPr>
          <w:color w:val="231F20"/>
          <w:w w:val="105"/>
        </w:rPr>
        <w:t> and</w:t>
      </w:r>
      <w:r>
        <w:rPr>
          <w:color w:val="231F20"/>
          <w:w w:val="105"/>
        </w:rPr>
        <w:t> dig</w:t>
      </w:r>
      <w:r>
        <w:rPr>
          <w:color w:val="231F20"/>
          <w:w w:val="105"/>
        </w:rPr>
        <w:t> in.</w:t>
      </w:r>
      <w:r>
        <w:rPr>
          <w:color w:val="231F20"/>
          <w:w w:val="105"/>
        </w:rPr>
        <w:t> A</w:t>
      </w:r>
      <w:r>
        <w:rPr>
          <w:color w:val="231F20"/>
          <w:w w:val="105"/>
        </w:rPr>
        <w:t> strategic</w:t>
      </w:r>
      <w:r>
        <w:rPr>
          <w:color w:val="231F20"/>
          <w:w w:val="105"/>
        </w:rPr>
        <w:t> consultant with</w:t>
      </w:r>
      <w:r>
        <w:rPr>
          <w:color w:val="231F20"/>
          <w:spacing w:val="-8"/>
          <w:w w:val="105"/>
        </w:rPr>
        <w:t> </w:t>
      </w:r>
      <w:r>
        <w:rPr>
          <w:color w:val="231F20"/>
          <w:w w:val="105"/>
        </w:rPr>
        <w:t>an</w:t>
      </w:r>
      <w:r>
        <w:rPr>
          <w:color w:val="231F20"/>
          <w:spacing w:val="-8"/>
          <w:w w:val="105"/>
        </w:rPr>
        <w:t> </w:t>
      </w:r>
      <w:r>
        <w:rPr>
          <w:color w:val="231F20"/>
          <w:w w:val="105"/>
        </w:rPr>
        <w:t>MBA</w:t>
      </w:r>
      <w:r>
        <w:rPr>
          <w:color w:val="231F20"/>
          <w:spacing w:val="-8"/>
          <w:w w:val="105"/>
        </w:rPr>
        <w:t> </w:t>
      </w:r>
      <w:r>
        <w:rPr>
          <w:color w:val="231F20"/>
          <w:w w:val="105"/>
        </w:rPr>
        <w:t>would</w:t>
      </w:r>
      <w:r>
        <w:rPr>
          <w:color w:val="231F20"/>
          <w:spacing w:val="-8"/>
          <w:w w:val="105"/>
        </w:rPr>
        <w:t> </w:t>
      </w:r>
      <w:r>
        <w:rPr>
          <w:color w:val="231F20"/>
          <w:w w:val="105"/>
        </w:rPr>
        <w:t>do</w:t>
      </w:r>
      <w:r>
        <w:rPr>
          <w:color w:val="231F20"/>
          <w:spacing w:val="-8"/>
          <w:w w:val="105"/>
        </w:rPr>
        <w:t> </w:t>
      </w:r>
      <w:r>
        <w:rPr>
          <w:color w:val="231F20"/>
          <w:w w:val="105"/>
        </w:rPr>
        <w:t>exactly</w:t>
      </w:r>
      <w:r>
        <w:rPr>
          <w:color w:val="231F20"/>
          <w:spacing w:val="-8"/>
          <w:w w:val="105"/>
        </w:rPr>
        <w:t> </w:t>
      </w:r>
      <w:r>
        <w:rPr>
          <w:color w:val="231F20"/>
          <w:w w:val="105"/>
        </w:rPr>
        <w:t>the</w:t>
      </w:r>
      <w:r>
        <w:rPr>
          <w:color w:val="231F20"/>
          <w:spacing w:val="-8"/>
          <w:w w:val="105"/>
        </w:rPr>
        <w:t> </w:t>
      </w:r>
      <w:r>
        <w:rPr>
          <w:color w:val="231F20"/>
          <w:w w:val="105"/>
        </w:rPr>
        <w:t>same</w:t>
      </w:r>
      <w:r>
        <w:rPr>
          <w:color w:val="231F20"/>
          <w:spacing w:val="-8"/>
          <w:w w:val="105"/>
        </w:rPr>
        <w:t> </w:t>
      </w:r>
      <w:r>
        <w:rPr>
          <w:color w:val="231F20"/>
          <w:w w:val="105"/>
        </w:rPr>
        <w:t>thing</w:t>
      </w:r>
      <w:r>
        <w:rPr>
          <w:color w:val="231F20"/>
          <w:spacing w:val="-8"/>
          <w:w w:val="105"/>
        </w:rPr>
        <w:t> </w:t>
      </w:r>
      <w:r>
        <w:rPr>
          <w:color w:val="231F20"/>
          <w:w w:val="105"/>
        </w:rPr>
        <w:t>you</w:t>
      </w:r>
      <w:r>
        <w:rPr>
          <w:color w:val="231F20"/>
          <w:spacing w:val="-8"/>
          <w:w w:val="105"/>
        </w:rPr>
        <w:t> </w:t>
      </w:r>
      <w:r>
        <w:rPr>
          <w:color w:val="231F20"/>
          <w:w w:val="105"/>
        </w:rPr>
        <w:t>can</w:t>
      </w:r>
      <w:r>
        <w:rPr>
          <w:color w:val="231F20"/>
          <w:spacing w:val="-8"/>
          <w:w w:val="105"/>
        </w:rPr>
        <w:t> </w:t>
      </w:r>
      <w:r>
        <w:rPr>
          <w:color w:val="231F20"/>
          <w:w w:val="105"/>
        </w:rPr>
        <w:t>now</w:t>
      </w:r>
      <w:r>
        <w:rPr>
          <w:color w:val="231F20"/>
          <w:spacing w:val="-8"/>
          <w:w w:val="105"/>
        </w:rPr>
        <w:t> </w:t>
      </w:r>
      <w:r>
        <w:rPr>
          <w:color w:val="231F20"/>
          <w:w w:val="105"/>
        </w:rPr>
        <w:t>do</w:t>
      </w:r>
      <w:r>
        <w:rPr>
          <w:color w:val="231F20"/>
          <w:spacing w:val="-8"/>
          <w:w w:val="105"/>
        </w:rPr>
        <w:t> </w:t>
      </w:r>
      <w:r>
        <w:rPr>
          <w:color w:val="231F20"/>
          <w:w w:val="105"/>
        </w:rPr>
        <w:t>with the</w:t>
      </w:r>
      <w:r>
        <w:rPr>
          <w:color w:val="231F20"/>
          <w:w w:val="105"/>
        </w:rPr>
        <w:t> Seven</w:t>
      </w:r>
      <w:r>
        <w:rPr>
          <w:color w:val="231F20"/>
          <w:w w:val="105"/>
        </w:rPr>
        <w:t> S</w:t>
      </w:r>
      <w:r>
        <w:rPr>
          <w:color w:val="231F20"/>
          <w:w w:val="105"/>
        </w:rPr>
        <w:t> model.</w:t>
      </w:r>
      <w:r>
        <w:rPr>
          <w:color w:val="231F20"/>
          <w:w w:val="105"/>
        </w:rPr>
        <w:t> But</w:t>
      </w:r>
      <w:r>
        <w:rPr>
          <w:color w:val="231F20"/>
          <w:w w:val="105"/>
        </w:rPr>
        <w:t> a</w:t>
      </w:r>
      <w:r>
        <w:rPr>
          <w:color w:val="231F20"/>
          <w:w w:val="105"/>
        </w:rPr>
        <w:t> consulting</w:t>
      </w:r>
      <w:r>
        <w:rPr>
          <w:color w:val="231F20"/>
          <w:w w:val="105"/>
        </w:rPr>
        <w:t> firm</w:t>
      </w:r>
      <w:r>
        <w:rPr>
          <w:color w:val="231F20"/>
          <w:w w:val="105"/>
        </w:rPr>
        <w:t> would</w:t>
      </w:r>
      <w:r>
        <w:rPr>
          <w:color w:val="231F20"/>
          <w:w w:val="105"/>
        </w:rPr>
        <w:t> accompany</w:t>
      </w:r>
      <w:r>
        <w:rPr>
          <w:color w:val="231F20"/>
          <w:w w:val="105"/>
        </w:rPr>
        <w:t> the study</w:t>
      </w:r>
      <w:r>
        <w:rPr>
          <w:color w:val="231F20"/>
          <w:w w:val="105"/>
        </w:rPr>
        <w:t> with</w:t>
      </w:r>
      <w:r>
        <w:rPr>
          <w:color w:val="231F20"/>
          <w:w w:val="105"/>
        </w:rPr>
        <w:t> fancy</w:t>
      </w:r>
      <w:r>
        <w:rPr>
          <w:color w:val="231F20"/>
          <w:w w:val="105"/>
        </w:rPr>
        <w:t> computer</w:t>
      </w:r>
      <w:r>
        <w:rPr>
          <w:color w:val="231F20"/>
          <w:w w:val="105"/>
        </w:rPr>
        <w:t> graphics,</w:t>
      </w:r>
      <w:r>
        <w:rPr>
          <w:color w:val="231F20"/>
          <w:w w:val="105"/>
        </w:rPr>
        <w:t> put</w:t>
      </w:r>
      <w:r>
        <w:rPr>
          <w:color w:val="231F20"/>
          <w:w w:val="105"/>
        </w:rPr>
        <w:t> it</w:t>
      </w:r>
      <w:r>
        <w:rPr>
          <w:color w:val="231F20"/>
          <w:w w:val="105"/>
        </w:rPr>
        <w:t> in</w:t>
      </w:r>
      <w:r>
        <w:rPr>
          <w:color w:val="231F20"/>
          <w:w w:val="105"/>
        </w:rPr>
        <w:t> a</w:t>
      </w:r>
      <w:r>
        <w:rPr>
          <w:color w:val="231F20"/>
          <w:w w:val="105"/>
        </w:rPr>
        <w:t> binder,</w:t>
      </w:r>
      <w:r>
        <w:rPr>
          <w:color w:val="231F20"/>
          <w:w w:val="105"/>
        </w:rPr>
        <w:t> and</w:t>
      </w:r>
      <w:r>
        <w:rPr>
          <w:color w:val="231F20"/>
          <w:w w:val="105"/>
        </w:rPr>
        <w:t> charge your company a small fortune.</w:t>
      </w:r>
    </w:p>
    <w:p>
      <w:pPr>
        <w:pStyle w:val="BodyText"/>
        <w:rPr>
          <w:sz w:val="24"/>
        </w:rPr>
      </w:pPr>
    </w:p>
    <w:p>
      <w:pPr>
        <w:pStyle w:val="BodyText"/>
        <w:rPr>
          <w:sz w:val="24"/>
        </w:rPr>
      </w:pPr>
    </w:p>
    <w:p>
      <w:pPr>
        <w:pStyle w:val="BodyText"/>
        <w:spacing w:before="9"/>
        <w:rPr>
          <w:sz w:val="19"/>
        </w:rPr>
      </w:pPr>
    </w:p>
    <w:p>
      <w:pPr>
        <w:pStyle w:val="Heading4"/>
        <w:spacing w:before="1"/>
      </w:pPr>
      <w:r>
        <w:rPr>
          <w:color w:val="231F20"/>
          <w:w w:val="85"/>
        </w:rPr>
        <w:t>THE</w:t>
      </w:r>
      <w:r>
        <w:rPr>
          <w:color w:val="231F20"/>
          <w:spacing w:val="22"/>
        </w:rPr>
        <w:t> </w:t>
      </w:r>
      <w:r>
        <w:rPr>
          <w:color w:val="231F20"/>
          <w:w w:val="85"/>
        </w:rPr>
        <w:t>VALUE</w:t>
      </w:r>
      <w:r>
        <w:rPr>
          <w:color w:val="231F20"/>
          <w:spacing w:val="23"/>
        </w:rPr>
        <w:t> </w:t>
      </w:r>
      <w:r>
        <w:rPr>
          <w:color w:val="231F20"/>
          <w:w w:val="85"/>
        </w:rPr>
        <w:t>CHAIN</w:t>
      </w:r>
      <w:r>
        <w:rPr>
          <w:color w:val="231F20"/>
          <w:spacing w:val="23"/>
        </w:rPr>
        <w:t> </w:t>
      </w:r>
      <w:r>
        <w:rPr>
          <w:color w:val="231F20"/>
          <w:w w:val="85"/>
        </w:rPr>
        <w:t>AND</w:t>
      </w:r>
      <w:r>
        <w:rPr>
          <w:color w:val="231F20"/>
          <w:spacing w:val="23"/>
        </w:rPr>
        <w:t> </w:t>
      </w:r>
      <w:r>
        <w:rPr>
          <w:color w:val="231F20"/>
          <w:spacing w:val="7"/>
          <w:w w:val="85"/>
        </w:rPr>
        <w:t>INTEGRATION</w:t>
      </w:r>
    </w:p>
    <w:p>
      <w:pPr>
        <w:pStyle w:val="BodyText"/>
        <w:spacing w:before="10"/>
        <w:rPr>
          <w:rFonts w:ascii="Trebuchet MS"/>
          <w:sz w:val="29"/>
        </w:rPr>
      </w:pPr>
    </w:p>
    <w:p>
      <w:pPr>
        <w:pStyle w:val="BodyText"/>
        <w:spacing w:line="292" w:lineRule="auto"/>
        <w:ind w:left="920" w:right="665"/>
        <w:jc w:val="both"/>
      </w:pPr>
      <w:r>
        <w:rPr>
          <w:color w:val="231F20"/>
        </w:rPr>
        <w:t>When an MBA begins the strategic analysis of any company, one of the first questions should be “What business is it in?” The value</w:t>
      </w:r>
      <w:r>
        <w:rPr>
          <w:color w:val="231F20"/>
          <w:spacing w:val="80"/>
        </w:rPr>
        <w:t> </w:t>
      </w:r>
      <w:r>
        <w:rPr>
          <w:color w:val="231F20"/>
        </w:rPr>
        <w:t>chain and integration concepts help to answer that question.</w:t>
      </w:r>
    </w:p>
    <w:p>
      <w:pPr>
        <w:pStyle w:val="BodyText"/>
        <w:rPr>
          <w:sz w:val="24"/>
        </w:rPr>
      </w:pPr>
    </w:p>
    <w:p>
      <w:pPr>
        <w:pStyle w:val="BodyText"/>
        <w:rPr>
          <w:sz w:val="24"/>
        </w:rPr>
      </w:pPr>
    </w:p>
    <w:p>
      <w:pPr>
        <w:pStyle w:val="BodyText"/>
        <w:spacing w:before="3"/>
        <w:rPr>
          <w:sz w:val="22"/>
        </w:rPr>
      </w:pPr>
    </w:p>
    <w:p>
      <w:pPr>
        <w:pStyle w:val="Heading6"/>
        <w:rPr>
          <w:i/>
        </w:rPr>
      </w:pPr>
      <w:r>
        <w:rPr>
          <w:i/>
          <w:color w:val="231F20"/>
          <w:w w:val="110"/>
        </w:rPr>
        <w:t>VALUE</w:t>
      </w:r>
      <w:r>
        <w:rPr>
          <w:i/>
          <w:color w:val="231F20"/>
          <w:spacing w:val="51"/>
          <w:w w:val="110"/>
        </w:rPr>
        <w:t> </w:t>
      </w:r>
      <w:r>
        <w:rPr>
          <w:i/>
          <w:color w:val="231F20"/>
          <w:spacing w:val="6"/>
          <w:w w:val="110"/>
        </w:rPr>
        <w:t>CHAIN</w:t>
      </w:r>
    </w:p>
    <w:p>
      <w:pPr>
        <w:pStyle w:val="BodyText"/>
        <w:spacing w:before="2"/>
        <w:rPr>
          <w:b/>
          <w:i/>
          <w:sz w:val="30"/>
        </w:rPr>
      </w:pPr>
    </w:p>
    <w:p>
      <w:pPr>
        <w:pStyle w:val="BodyText"/>
        <w:spacing w:line="292" w:lineRule="auto"/>
        <w:ind w:left="920" w:right="667"/>
        <w:jc w:val="both"/>
      </w:pPr>
      <w:r>
        <w:rPr>
          <w:color w:val="231F20"/>
        </w:rPr>
        <w:t>After the basic question has been answered, the next step for a strategic analyst is to assess the </w:t>
      </w:r>
      <w:r>
        <w:rPr>
          <w:i/>
          <w:color w:val="231F20"/>
        </w:rPr>
        <w:t>value </w:t>
      </w:r>
      <w:r>
        <w:rPr>
          <w:color w:val="231F20"/>
        </w:rPr>
        <w:t>a company adds to its </w:t>
      </w:r>
      <w:r>
        <w:rPr>
          <w:color w:val="231F20"/>
        </w:rPr>
        <w:t>prod- ucts. The apparel industry’s value chain looks like this:</w:t>
      </w:r>
    </w:p>
    <w:p>
      <w:pPr>
        <w:pStyle w:val="BodyText"/>
        <w:spacing w:before="11"/>
        <w:rPr>
          <w:sz w:val="31"/>
        </w:rPr>
      </w:pPr>
    </w:p>
    <w:p>
      <w:pPr>
        <w:pStyle w:val="BodyText"/>
        <w:tabs>
          <w:tab w:pos="1807" w:val="left" w:leader="none"/>
          <w:tab w:pos="2064" w:val="left" w:leader="none"/>
          <w:tab w:pos="2682" w:val="left" w:leader="none"/>
          <w:tab w:pos="3521" w:val="left" w:leader="none"/>
          <w:tab w:pos="4442" w:val="left" w:leader="none"/>
          <w:tab w:pos="5661" w:val="left" w:leader="none"/>
        </w:tabs>
        <w:spacing w:line="292" w:lineRule="auto"/>
        <w:ind w:left="920" w:right="966" w:hanging="1"/>
      </w:pPr>
      <w:r>
        <w:rPr/>
        <w:pict>
          <v:shape style="position:absolute;margin-left:93.1203pt;margin-top:5.024801pt;width:9.35pt;height:3.5pt;mso-position-horizontal-relative:page;mso-position-vertical-relative:paragraph;z-index:-25040896" id="docshape483" coordorigin="1862,100" coordsize="187,70" path="m1986,100l1982,111,2025,129,1862,129,1862,141,2025,141,1982,159,1986,170,2049,143,2049,127,1986,100xe" filled="true" fillcolor="#231f20" stroked="false">
            <v:path arrowok="t"/>
            <v:fill type="solid"/>
            <w10:wrap type="none"/>
          </v:shape>
        </w:pict>
      </w:r>
      <w:r>
        <w:rPr/>
        <w:pict>
          <v:shape style="position:absolute;margin-left:136.856506pt;margin-top:5.024801pt;width:9.35pt;height:3.5pt;mso-position-horizontal-relative:page;mso-position-vertical-relative:paragraph;z-index:-25040384" id="docshape484" coordorigin="2737,100" coordsize="187,70" path="m2861,100l2856,111,2900,129,2737,129,2737,141,2900,141,2856,159,2861,170,2924,143,2924,127,2861,100xe" filled="true" fillcolor="#231f20" stroked="false">
            <v:path arrowok="t"/>
            <v:fill type="solid"/>
            <w10:wrap type="none"/>
          </v:shape>
        </w:pict>
      </w:r>
      <w:r>
        <w:rPr/>
        <w:pict>
          <v:shape style="position:absolute;margin-left:178.801483pt;margin-top:5.024801pt;width:9.35pt;height:3.5pt;mso-position-horizontal-relative:page;mso-position-vertical-relative:paragraph;z-index:-25039872" id="docshape485" coordorigin="3576,100" coordsize="187,70" path="m3700,100l3695,111,3739,129,3576,129,3576,141,3739,141,3695,159,3700,170,3762,143,3762,127,3700,100xe" filled="true" fillcolor="#231f20" stroked="false">
            <v:path arrowok="t"/>
            <v:fill type="solid"/>
            <w10:wrap type="none"/>
          </v:shape>
        </w:pict>
      </w:r>
      <w:r>
        <w:rPr/>
        <w:pict>
          <v:shape style="position:absolute;margin-left:224.891464pt;margin-top:5.024801pt;width:9.35pt;height:3.5pt;mso-position-horizontal-relative:page;mso-position-vertical-relative:paragraph;z-index:-25039360" id="docshape486" coordorigin="4498,100" coordsize="187,70" path="m4622,100l4617,111,4661,129,4498,129,4498,141,4661,141,4617,159,4622,170,4684,143,4684,127,4622,100xe" filled="true" fillcolor="#231f20" stroked="false">
            <v:path arrowok="t"/>
            <v:fill type="solid"/>
            <w10:wrap type="none"/>
          </v:shape>
        </w:pict>
      </w:r>
      <w:r>
        <w:rPr/>
        <w:pict>
          <v:shape style="position:absolute;margin-left:285.824188pt;margin-top:5.024801pt;width:9.35pt;height:3.5pt;mso-position-horizontal-relative:page;mso-position-vertical-relative:paragraph;z-index:-25038848" id="docshape487" coordorigin="5716,100" coordsize="187,70" path="m5840,100l5836,111,5879,129,5716,129,5716,141,5879,141,5836,159,5840,170,5903,143,5903,127,5840,100xe" filled="true" fillcolor="#231f20" stroked="false">
            <v:path arrowok="t"/>
            <v:fill type="solid"/>
            <w10:wrap type="none"/>
          </v:shape>
        </w:pict>
      </w:r>
      <w:r>
        <w:rPr/>
        <w:pict>
          <v:shape style="position:absolute;margin-left:363.587219pt;margin-top:5.024801pt;width:9.35pt;height:3.5pt;mso-position-horizontal-relative:page;mso-position-vertical-relative:paragraph;z-index:15919616" id="docshape488" coordorigin="7272,100" coordsize="187,70" path="m7396,100l7391,111,7435,129,7272,129,7272,141,7435,141,7391,159,7396,170,7458,143,7458,127,7396,100xe" filled="true" fillcolor="#231f20" stroked="false">
            <v:path arrowok="t"/>
            <v:fill type="solid"/>
            <w10:wrap type="none"/>
          </v:shape>
        </w:pict>
      </w:r>
      <w:r>
        <w:rPr/>
        <w:pict>
          <v:shape style="position:absolute;margin-left:107.666801pt;margin-top:20.025211pt;width:9.35pt;height:3.5pt;mso-position-horizontal-relative:page;mso-position-vertical-relative:paragraph;z-index:-25037824" id="docshape489" coordorigin="2153,401" coordsize="187,70" path="m2277,401l2273,411,2316,429,2153,429,2153,441,2316,441,2273,459,2277,470,2340,443,2340,427,2277,401xe" filled="true" fillcolor="#231f20" stroked="false">
            <v:path arrowok="t"/>
            <v:fill type="solid"/>
            <w10:wrap type="none"/>
          </v:shape>
        </w:pict>
      </w:r>
      <w:r>
        <w:rPr>
          <w:color w:val="231F20"/>
          <w:spacing w:val="-4"/>
          <w:w w:val="105"/>
        </w:rPr>
        <w:t>Wool</w:t>
      </w:r>
      <w:r>
        <w:rPr>
          <w:color w:val="231F20"/>
        </w:rPr>
        <w:tab/>
      </w:r>
      <w:r>
        <w:rPr>
          <w:color w:val="231F20"/>
          <w:spacing w:val="-2"/>
          <w:w w:val="105"/>
        </w:rPr>
        <w:t>Fiber</w:t>
      </w:r>
      <w:r>
        <w:rPr>
          <w:color w:val="231F20"/>
        </w:rPr>
        <w:tab/>
      </w:r>
      <w:r>
        <w:rPr>
          <w:color w:val="231F20"/>
          <w:spacing w:val="-4"/>
          <w:w w:val="105"/>
        </w:rPr>
        <w:t>Yarn</w:t>
      </w:r>
      <w:r>
        <w:rPr>
          <w:color w:val="231F20"/>
        </w:rPr>
        <w:tab/>
      </w:r>
      <w:r>
        <w:rPr>
          <w:color w:val="231F20"/>
          <w:spacing w:val="-4"/>
          <w:w w:val="105"/>
        </w:rPr>
        <w:t>Cloth</w:t>
      </w:r>
      <w:r>
        <w:rPr>
          <w:color w:val="231F20"/>
        </w:rPr>
        <w:tab/>
      </w:r>
      <w:r>
        <w:rPr>
          <w:color w:val="231F20"/>
          <w:spacing w:val="-2"/>
          <w:w w:val="105"/>
        </w:rPr>
        <w:t>Clothing</w:t>
      </w:r>
      <w:r>
        <w:rPr>
          <w:color w:val="231F20"/>
        </w:rPr>
        <w:tab/>
      </w:r>
      <w:r>
        <w:rPr>
          <w:color w:val="231F20"/>
          <w:spacing w:val="-2"/>
          <w:w w:val="105"/>
        </w:rPr>
        <w:t>Distribution Retailing</w:t>
      </w:r>
      <w:r>
        <w:rPr>
          <w:color w:val="231F20"/>
        </w:rPr>
        <w:tab/>
        <w:tab/>
      </w:r>
      <w:r>
        <w:rPr>
          <w:color w:val="231F20"/>
          <w:spacing w:val="-2"/>
          <w:w w:val="105"/>
        </w:rPr>
        <w:t>Consumer</w:t>
      </w:r>
    </w:p>
    <w:p>
      <w:pPr>
        <w:pStyle w:val="BodyText"/>
        <w:spacing w:before="11"/>
        <w:rPr>
          <w:sz w:val="31"/>
        </w:rPr>
      </w:pPr>
    </w:p>
    <w:p>
      <w:pPr>
        <w:pStyle w:val="BodyText"/>
        <w:spacing w:line="292" w:lineRule="auto"/>
        <w:ind w:left="920" w:right="663" w:firstLine="340"/>
        <w:jc w:val="both"/>
      </w:pPr>
      <w:r>
        <w:rPr>
          <w:color w:val="231F20"/>
        </w:rPr>
        <w:t>At</w:t>
      </w:r>
      <w:r>
        <w:rPr>
          <w:color w:val="231F20"/>
          <w:spacing w:val="40"/>
        </w:rPr>
        <w:t> </w:t>
      </w:r>
      <w:r>
        <w:rPr>
          <w:color w:val="231F20"/>
        </w:rPr>
        <w:t>each</w:t>
      </w:r>
      <w:r>
        <w:rPr>
          <w:color w:val="231F20"/>
          <w:spacing w:val="40"/>
        </w:rPr>
        <w:t> </w:t>
      </w:r>
      <w:r>
        <w:rPr>
          <w:color w:val="231F20"/>
        </w:rPr>
        <w:t>link</w:t>
      </w:r>
      <w:r>
        <w:rPr>
          <w:color w:val="231F20"/>
          <w:spacing w:val="40"/>
        </w:rPr>
        <w:t> </w:t>
      </w:r>
      <w:r>
        <w:rPr>
          <w:color w:val="231F20"/>
        </w:rPr>
        <w:t>in</w:t>
      </w:r>
      <w:r>
        <w:rPr>
          <w:color w:val="231F20"/>
          <w:spacing w:val="40"/>
        </w:rPr>
        <w:t> </w:t>
      </w:r>
      <w:r>
        <w:rPr>
          <w:color w:val="231F20"/>
        </w:rPr>
        <w:t>the</w:t>
      </w:r>
      <w:r>
        <w:rPr>
          <w:color w:val="231F20"/>
          <w:spacing w:val="40"/>
        </w:rPr>
        <w:t> </w:t>
      </w:r>
      <w:r>
        <w:rPr>
          <w:color w:val="231F20"/>
        </w:rPr>
        <w:t>chain,</w:t>
      </w:r>
      <w:r>
        <w:rPr>
          <w:color w:val="231F20"/>
          <w:spacing w:val="40"/>
        </w:rPr>
        <w:t> </w:t>
      </w:r>
      <w:r>
        <w:rPr>
          <w:color w:val="231F20"/>
        </w:rPr>
        <w:t>a</w:t>
      </w:r>
      <w:r>
        <w:rPr>
          <w:color w:val="231F20"/>
          <w:spacing w:val="40"/>
        </w:rPr>
        <w:t> </w:t>
      </w:r>
      <w:r>
        <w:rPr>
          <w:i/>
          <w:color w:val="231F20"/>
        </w:rPr>
        <w:t>channel</w:t>
      </w:r>
      <w:r>
        <w:rPr>
          <w:i/>
          <w:color w:val="231F20"/>
          <w:spacing w:val="40"/>
        </w:rPr>
        <w:t> </w:t>
      </w:r>
      <w:r>
        <w:rPr>
          <w:i/>
          <w:color w:val="231F20"/>
        </w:rPr>
        <w:t>participant</w:t>
      </w:r>
      <w:r>
        <w:rPr>
          <w:i/>
          <w:color w:val="231F20"/>
          <w:spacing w:val="40"/>
        </w:rPr>
        <w:t> </w:t>
      </w:r>
      <w:r>
        <w:rPr>
          <w:color w:val="231F20"/>
        </w:rPr>
        <w:t>adds</w:t>
      </w:r>
      <w:r>
        <w:rPr>
          <w:color w:val="231F20"/>
          <w:spacing w:val="40"/>
        </w:rPr>
        <w:t> </w:t>
      </w:r>
      <w:r>
        <w:rPr>
          <w:color w:val="231F20"/>
        </w:rPr>
        <w:t>value</w:t>
      </w:r>
      <w:r>
        <w:rPr>
          <w:color w:val="231F20"/>
          <w:spacing w:val="40"/>
        </w:rPr>
        <w:t> </w:t>
      </w:r>
      <w:r>
        <w:rPr>
          <w:color w:val="231F20"/>
        </w:rPr>
        <w:t>to the product as it makes its way to the consumer. First, the raw materials must be produced, harvested, or mined. These factors </w:t>
      </w:r>
      <w:r>
        <w:rPr>
          <w:color w:val="231F20"/>
        </w:rPr>
        <w:t>of production—</w:t>
      </w:r>
      <w:r>
        <w:rPr>
          <w:color w:val="231F20"/>
          <w:spacing w:val="-12"/>
        </w:rPr>
        <w:t> </w:t>
      </w:r>
      <w:r>
        <w:rPr>
          <w:color w:val="231F20"/>
        </w:rPr>
        <w:t>wool, cotton, and chemicals—</w:t>
      </w:r>
      <w:r>
        <w:rPr>
          <w:color w:val="231F20"/>
          <w:spacing w:val="-12"/>
        </w:rPr>
        <w:t> </w:t>
      </w:r>
      <w:r>
        <w:rPr>
          <w:color w:val="231F20"/>
        </w:rPr>
        <w:t>are combined to manu- facture clothing. Once it is produced, marketers must promote, dis- tributors transport, and retailers sell the clothing to the consumer.</w:t>
      </w:r>
    </w:p>
    <w:p>
      <w:pPr>
        <w:spacing w:after="0" w:line="292" w:lineRule="auto"/>
        <w:jc w:val="both"/>
        <w:sectPr>
          <w:pgSz w:w="8640" w:h="12960"/>
          <w:pgMar w:header="734" w:footer="0" w:top="920" w:bottom="280" w:left="340" w:right="500"/>
        </w:sectPr>
      </w:pPr>
    </w:p>
    <w:p>
      <w:pPr>
        <w:pStyle w:val="BodyText"/>
        <w:spacing w:before="10"/>
        <w:rPr>
          <w:sz w:val="17"/>
        </w:rPr>
      </w:pPr>
    </w:p>
    <w:p>
      <w:pPr>
        <w:pStyle w:val="Heading6"/>
        <w:spacing w:before="99"/>
        <w:ind w:left="299"/>
        <w:rPr>
          <w:i/>
        </w:rPr>
      </w:pPr>
      <w:r>
        <w:rPr>
          <w:i/>
          <w:color w:val="231F20"/>
          <w:spacing w:val="-2"/>
          <w:w w:val="110"/>
        </w:rPr>
        <w:t>INTEGRATION</w:t>
      </w:r>
    </w:p>
    <w:p>
      <w:pPr>
        <w:pStyle w:val="BodyText"/>
        <w:spacing w:before="2"/>
        <w:rPr>
          <w:b/>
          <w:i/>
          <w:sz w:val="30"/>
        </w:rPr>
      </w:pPr>
    </w:p>
    <w:p>
      <w:pPr>
        <w:pStyle w:val="BodyText"/>
        <w:spacing w:line="292" w:lineRule="auto"/>
        <w:ind w:left="830" w:right="756"/>
        <w:jc w:val="both"/>
      </w:pPr>
      <w:r>
        <w:rPr>
          <w:i/>
          <w:color w:val="231F20"/>
          <w:w w:val="105"/>
        </w:rPr>
        <w:t>Forward</w:t>
      </w:r>
      <w:r>
        <w:rPr>
          <w:i/>
          <w:color w:val="231F20"/>
          <w:spacing w:val="-9"/>
          <w:w w:val="105"/>
        </w:rPr>
        <w:t> </w:t>
      </w:r>
      <w:r>
        <w:rPr>
          <w:i/>
          <w:color w:val="231F20"/>
          <w:w w:val="105"/>
        </w:rPr>
        <w:t>and</w:t>
      </w:r>
      <w:r>
        <w:rPr>
          <w:i/>
          <w:color w:val="231F20"/>
          <w:spacing w:val="-9"/>
          <w:w w:val="105"/>
        </w:rPr>
        <w:t> </w:t>
      </w:r>
      <w:r>
        <w:rPr>
          <w:i/>
          <w:color w:val="231F20"/>
          <w:w w:val="105"/>
        </w:rPr>
        <w:t>Backward</w:t>
      </w:r>
      <w:r>
        <w:rPr>
          <w:i/>
          <w:color w:val="231F20"/>
          <w:spacing w:val="-9"/>
          <w:w w:val="105"/>
        </w:rPr>
        <w:t> </w:t>
      </w:r>
      <w:r>
        <w:rPr>
          <w:i/>
          <w:color w:val="231F20"/>
          <w:w w:val="105"/>
        </w:rPr>
        <w:t>Integration.</w:t>
      </w:r>
      <w:r>
        <w:rPr>
          <w:i/>
          <w:color w:val="231F20"/>
          <w:spacing w:val="-9"/>
          <w:w w:val="105"/>
        </w:rPr>
        <w:t> </w:t>
      </w:r>
      <w:r>
        <w:rPr>
          <w:color w:val="231F20"/>
          <w:w w:val="105"/>
        </w:rPr>
        <w:t>A</w:t>
      </w:r>
      <w:r>
        <w:rPr>
          <w:color w:val="231F20"/>
          <w:spacing w:val="-9"/>
          <w:w w:val="105"/>
        </w:rPr>
        <w:t> </w:t>
      </w:r>
      <w:r>
        <w:rPr>
          <w:color w:val="231F20"/>
          <w:w w:val="105"/>
        </w:rPr>
        <w:t>company</w:t>
      </w:r>
      <w:r>
        <w:rPr>
          <w:color w:val="231F20"/>
          <w:spacing w:val="-9"/>
          <w:w w:val="105"/>
        </w:rPr>
        <w:t> </w:t>
      </w:r>
      <w:r>
        <w:rPr>
          <w:color w:val="231F20"/>
          <w:w w:val="105"/>
        </w:rPr>
        <w:t>can</w:t>
      </w:r>
      <w:r>
        <w:rPr>
          <w:color w:val="231F20"/>
          <w:spacing w:val="-9"/>
          <w:w w:val="105"/>
        </w:rPr>
        <w:t> </w:t>
      </w:r>
      <w:r>
        <w:rPr>
          <w:color w:val="231F20"/>
          <w:w w:val="105"/>
        </w:rPr>
        <w:t>perform</w:t>
      </w:r>
      <w:r>
        <w:rPr>
          <w:color w:val="231F20"/>
          <w:spacing w:val="-9"/>
          <w:w w:val="105"/>
        </w:rPr>
        <w:t> </w:t>
      </w:r>
      <w:r>
        <w:rPr>
          <w:color w:val="231F20"/>
          <w:w w:val="105"/>
        </w:rPr>
        <w:t>at</w:t>
      </w:r>
      <w:r>
        <w:rPr>
          <w:color w:val="231F20"/>
          <w:spacing w:val="-9"/>
          <w:w w:val="105"/>
        </w:rPr>
        <w:t> </w:t>
      </w:r>
      <w:r>
        <w:rPr>
          <w:color w:val="231F20"/>
          <w:w w:val="105"/>
        </w:rPr>
        <w:t>any link</w:t>
      </w:r>
      <w:r>
        <w:rPr>
          <w:color w:val="231F20"/>
          <w:w w:val="105"/>
        </w:rPr>
        <w:t> in</w:t>
      </w:r>
      <w:r>
        <w:rPr>
          <w:color w:val="231F20"/>
          <w:w w:val="105"/>
        </w:rPr>
        <w:t> the</w:t>
      </w:r>
      <w:r>
        <w:rPr>
          <w:color w:val="231F20"/>
          <w:w w:val="105"/>
        </w:rPr>
        <w:t> value</w:t>
      </w:r>
      <w:r>
        <w:rPr>
          <w:color w:val="231F20"/>
          <w:w w:val="105"/>
        </w:rPr>
        <w:t> chain.</w:t>
      </w:r>
      <w:r>
        <w:rPr>
          <w:color w:val="231F20"/>
          <w:w w:val="105"/>
        </w:rPr>
        <w:t> When</w:t>
      </w:r>
      <w:r>
        <w:rPr>
          <w:color w:val="231F20"/>
          <w:w w:val="105"/>
        </w:rPr>
        <w:t> a</w:t>
      </w:r>
      <w:r>
        <w:rPr>
          <w:color w:val="231F20"/>
          <w:w w:val="105"/>
        </w:rPr>
        <w:t> company</w:t>
      </w:r>
      <w:r>
        <w:rPr>
          <w:color w:val="231F20"/>
          <w:w w:val="105"/>
        </w:rPr>
        <w:t> operates</w:t>
      </w:r>
      <w:r>
        <w:rPr>
          <w:color w:val="231F20"/>
          <w:w w:val="105"/>
        </w:rPr>
        <w:t> in</w:t>
      </w:r>
      <w:r>
        <w:rPr>
          <w:color w:val="231F20"/>
          <w:w w:val="105"/>
        </w:rPr>
        <w:t> areas</w:t>
      </w:r>
      <w:r>
        <w:rPr>
          <w:color w:val="231F20"/>
          <w:w w:val="105"/>
        </w:rPr>
        <w:t> further down</w:t>
      </w:r>
      <w:r>
        <w:rPr>
          <w:color w:val="231F20"/>
          <w:w w:val="105"/>
        </w:rPr>
        <w:t> the</w:t>
      </w:r>
      <w:r>
        <w:rPr>
          <w:color w:val="231F20"/>
          <w:w w:val="105"/>
        </w:rPr>
        <w:t> value</w:t>
      </w:r>
      <w:r>
        <w:rPr>
          <w:color w:val="231F20"/>
          <w:w w:val="105"/>
        </w:rPr>
        <w:t> chain,</w:t>
      </w:r>
      <w:r>
        <w:rPr>
          <w:color w:val="231F20"/>
          <w:w w:val="105"/>
        </w:rPr>
        <w:t> it</w:t>
      </w:r>
      <w:r>
        <w:rPr>
          <w:color w:val="231F20"/>
          <w:w w:val="105"/>
        </w:rPr>
        <w:t> is</w:t>
      </w:r>
      <w:r>
        <w:rPr>
          <w:color w:val="231F20"/>
          <w:w w:val="105"/>
        </w:rPr>
        <w:t> said</w:t>
      </w:r>
      <w:r>
        <w:rPr>
          <w:color w:val="231F20"/>
          <w:w w:val="105"/>
        </w:rPr>
        <w:t> to</w:t>
      </w:r>
      <w:r>
        <w:rPr>
          <w:color w:val="231F20"/>
          <w:w w:val="105"/>
        </w:rPr>
        <w:t> be</w:t>
      </w:r>
      <w:r>
        <w:rPr>
          <w:color w:val="231F20"/>
          <w:w w:val="105"/>
        </w:rPr>
        <w:t> </w:t>
      </w:r>
      <w:r>
        <w:rPr>
          <w:i/>
          <w:color w:val="231F20"/>
          <w:w w:val="105"/>
        </w:rPr>
        <w:t>forwardly</w:t>
      </w:r>
      <w:r>
        <w:rPr>
          <w:i/>
          <w:color w:val="231F20"/>
          <w:w w:val="105"/>
        </w:rPr>
        <w:t> integrated</w:t>
      </w:r>
      <w:r>
        <w:rPr>
          <w:i/>
          <w:color w:val="231F20"/>
          <w:w w:val="105"/>
        </w:rPr>
        <w:t> </w:t>
      </w:r>
      <w:r>
        <w:rPr>
          <w:color w:val="231F20"/>
          <w:w w:val="105"/>
        </w:rPr>
        <w:t>toward the</w:t>
      </w:r>
      <w:r>
        <w:rPr>
          <w:color w:val="231F20"/>
          <w:spacing w:val="-3"/>
          <w:w w:val="105"/>
        </w:rPr>
        <w:t> </w:t>
      </w:r>
      <w:r>
        <w:rPr>
          <w:color w:val="231F20"/>
          <w:w w:val="105"/>
        </w:rPr>
        <w:t>consumer.</w:t>
      </w:r>
      <w:r>
        <w:rPr>
          <w:color w:val="231F20"/>
          <w:spacing w:val="-3"/>
          <w:w w:val="105"/>
        </w:rPr>
        <w:t> </w:t>
      </w:r>
      <w:r>
        <w:rPr>
          <w:color w:val="231F20"/>
          <w:w w:val="105"/>
        </w:rPr>
        <w:t>For</w:t>
      </w:r>
      <w:r>
        <w:rPr>
          <w:color w:val="231F20"/>
          <w:spacing w:val="-3"/>
          <w:w w:val="105"/>
        </w:rPr>
        <w:t> </w:t>
      </w:r>
      <w:r>
        <w:rPr>
          <w:color w:val="231F20"/>
          <w:w w:val="105"/>
        </w:rPr>
        <w:t>example,</w:t>
      </w:r>
      <w:r>
        <w:rPr>
          <w:color w:val="231F20"/>
          <w:spacing w:val="-3"/>
          <w:w w:val="105"/>
        </w:rPr>
        <w:t> </w:t>
      </w:r>
      <w:r>
        <w:rPr>
          <w:color w:val="231F20"/>
          <w:w w:val="105"/>
        </w:rPr>
        <w:t>if</w:t>
      </w:r>
      <w:r>
        <w:rPr>
          <w:color w:val="231F20"/>
          <w:spacing w:val="-3"/>
          <w:w w:val="105"/>
        </w:rPr>
        <w:t> </w:t>
      </w:r>
      <w:r>
        <w:rPr>
          <w:color w:val="231F20"/>
          <w:w w:val="105"/>
        </w:rPr>
        <w:t>an</w:t>
      </w:r>
      <w:r>
        <w:rPr>
          <w:color w:val="231F20"/>
          <w:spacing w:val="-3"/>
          <w:w w:val="105"/>
        </w:rPr>
        <w:t> </w:t>
      </w:r>
      <w:r>
        <w:rPr>
          <w:color w:val="231F20"/>
          <w:w w:val="105"/>
        </w:rPr>
        <w:t>orchard</w:t>
      </w:r>
      <w:r>
        <w:rPr>
          <w:color w:val="231F20"/>
          <w:spacing w:val="-3"/>
          <w:w w:val="105"/>
        </w:rPr>
        <w:t> </w:t>
      </w:r>
      <w:r>
        <w:rPr>
          <w:color w:val="231F20"/>
          <w:w w:val="105"/>
        </w:rPr>
        <w:t>owner</w:t>
      </w:r>
      <w:r>
        <w:rPr>
          <w:color w:val="231F20"/>
          <w:spacing w:val="-3"/>
          <w:w w:val="105"/>
        </w:rPr>
        <w:t> </w:t>
      </w:r>
      <w:r>
        <w:rPr>
          <w:color w:val="231F20"/>
          <w:w w:val="105"/>
        </w:rPr>
        <w:t>grew</w:t>
      </w:r>
      <w:r>
        <w:rPr>
          <w:color w:val="231F20"/>
          <w:spacing w:val="-3"/>
          <w:w w:val="105"/>
        </w:rPr>
        <w:t> </w:t>
      </w:r>
      <w:r>
        <w:rPr>
          <w:color w:val="231F20"/>
          <w:w w:val="105"/>
        </w:rPr>
        <w:t>and</w:t>
      </w:r>
      <w:r>
        <w:rPr>
          <w:color w:val="231F20"/>
          <w:spacing w:val="-3"/>
          <w:w w:val="105"/>
        </w:rPr>
        <w:t> </w:t>
      </w:r>
      <w:r>
        <w:rPr>
          <w:color w:val="231F20"/>
          <w:w w:val="105"/>
        </w:rPr>
        <w:t>sold</w:t>
      </w:r>
      <w:r>
        <w:rPr>
          <w:color w:val="231F20"/>
          <w:spacing w:val="-3"/>
          <w:w w:val="105"/>
        </w:rPr>
        <w:t> </w:t>
      </w:r>
      <w:r>
        <w:rPr>
          <w:color w:val="231F20"/>
          <w:w w:val="105"/>
        </w:rPr>
        <w:t>his fruit</w:t>
      </w:r>
      <w:r>
        <w:rPr>
          <w:color w:val="231F20"/>
          <w:spacing w:val="-13"/>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public,</w:t>
      </w:r>
      <w:r>
        <w:rPr>
          <w:color w:val="231F20"/>
          <w:spacing w:val="-12"/>
          <w:w w:val="105"/>
        </w:rPr>
        <w:t> </w:t>
      </w:r>
      <w:r>
        <w:rPr>
          <w:color w:val="231F20"/>
          <w:w w:val="105"/>
        </w:rPr>
        <w:t>he</w:t>
      </w:r>
      <w:r>
        <w:rPr>
          <w:color w:val="231F20"/>
          <w:spacing w:val="-12"/>
          <w:w w:val="105"/>
        </w:rPr>
        <w:t> </w:t>
      </w:r>
      <w:r>
        <w:rPr>
          <w:color w:val="231F20"/>
          <w:w w:val="105"/>
        </w:rPr>
        <w:t>would</w:t>
      </w:r>
      <w:r>
        <w:rPr>
          <w:color w:val="231F20"/>
          <w:spacing w:val="-12"/>
          <w:w w:val="105"/>
        </w:rPr>
        <w:t> </w:t>
      </w:r>
      <w:r>
        <w:rPr>
          <w:color w:val="231F20"/>
          <w:w w:val="105"/>
        </w:rPr>
        <w:t>be</w:t>
      </w:r>
      <w:r>
        <w:rPr>
          <w:color w:val="231F20"/>
          <w:spacing w:val="-12"/>
          <w:w w:val="105"/>
        </w:rPr>
        <w:t> </w:t>
      </w:r>
      <w:r>
        <w:rPr>
          <w:color w:val="231F20"/>
          <w:w w:val="105"/>
        </w:rPr>
        <w:t>considered</w:t>
      </w:r>
      <w:r>
        <w:rPr>
          <w:color w:val="231F20"/>
          <w:spacing w:val="-13"/>
          <w:w w:val="105"/>
        </w:rPr>
        <w:t> </w:t>
      </w:r>
      <w:r>
        <w:rPr>
          <w:color w:val="231F20"/>
          <w:w w:val="105"/>
        </w:rPr>
        <w:t>forwardly</w:t>
      </w:r>
      <w:r>
        <w:rPr>
          <w:color w:val="231F20"/>
          <w:spacing w:val="-12"/>
          <w:w w:val="105"/>
        </w:rPr>
        <w:t> </w:t>
      </w:r>
      <w:r>
        <w:rPr>
          <w:color w:val="231F20"/>
          <w:w w:val="105"/>
        </w:rPr>
        <w:t>integrated</w:t>
      </w:r>
      <w:r>
        <w:rPr>
          <w:color w:val="231F20"/>
          <w:spacing w:val="-12"/>
          <w:w w:val="105"/>
        </w:rPr>
        <w:t> </w:t>
      </w:r>
      <w:r>
        <w:rPr>
          <w:color w:val="231F20"/>
          <w:w w:val="105"/>
        </w:rPr>
        <w:t>to- </w:t>
      </w:r>
      <w:r>
        <w:rPr>
          <w:color w:val="231F20"/>
        </w:rPr>
        <w:t>ward the buyer. The grower could decide to sell at a lower price than </w:t>
      </w:r>
      <w:r>
        <w:rPr>
          <w:color w:val="231F20"/>
          <w:w w:val="105"/>
        </w:rPr>
        <w:t>the</w:t>
      </w:r>
      <w:r>
        <w:rPr>
          <w:color w:val="231F20"/>
          <w:spacing w:val="-13"/>
          <w:w w:val="105"/>
        </w:rPr>
        <w:t> </w:t>
      </w:r>
      <w:r>
        <w:rPr>
          <w:color w:val="231F20"/>
          <w:w w:val="105"/>
        </w:rPr>
        <w:t>grocery</w:t>
      </w:r>
      <w:r>
        <w:rPr>
          <w:color w:val="231F20"/>
          <w:spacing w:val="-12"/>
          <w:w w:val="105"/>
        </w:rPr>
        <w:t> </w:t>
      </w:r>
      <w:r>
        <w:rPr>
          <w:color w:val="231F20"/>
          <w:w w:val="105"/>
        </w:rPr>
        <w:t>store</w:t>
      </w:r>
      <w:r>
        <w:rPr>
          <w:color w:val="231F20"/>
          <w:spacing w:val="-12"/>
          <w:w w:val="105"/>
        </w:rPr>
        <w:t> </w:t>
      </w:r>
      <w:r>
        <w:rPr>
          <w:color w:val="231F20"/>
          <w:w w:val="105"/>
        </w:rPr>
        <w:t>or</w:t>
      </w:r>
      <w:r>
        <w:rPr>
          <w:color w:val="231F20"/>
          <w:spacing w:val="-12"/>
          <w:w w:val="105"/>
        </w:rPr>
        <w:t> </w:t>
      </w:r>
      <w:r>
        <w:rPr>
          <w:color w:val="231F20"/>
          <w:w w:val="105"/>
        </w:rPr>
        <w:t>to</w:t>
      </w:r>
      <w:r>
        <w:rPr>
          <w:color w:val="231F20"/>
          <w:spacing w:val="-12"/>
          <w:w w:val="105"/>
        </w:rPr>
        <w:t> </w:t>
      </w:r>
      <w:r>
        <w:rPr>
          <w:color w:val="231F20"/>
          <w:w w:val="105"/>
        </w:rPr>
        <w:t>sell</w:t>
      </w:r>
      <w:r>
        <w:rPr>
          <w:color w:val="231F20"/>
          <w:spacing w:val="-12"/>
          <w:w w:val="105"/>
        </w:rPr>
        <w:t> </w:t>
      </w:r>
      <w:r>
        <w:rPr>
          <w:color w:val="231F20"/>
          <w:w w:val="105"/>
        </w:rPr>
        <w:t>at</w:t>
      </w:r>
      <w:r>
        <w:rPr>
          <w:color w:val="231F20"/>
          <w:spacing w:val="-12"/>
          <w:w w:val="105"/>
        </w:rPr>
        <w:t> </w:t>
      </w:r>
      <w:r>
        <w:rPr>
          <w:color w:val="231F20"/>
          <w:w w:val="105"/>
        </w:rPr>
        <w:t>the</w:t>
      </w:r>
      <w:r>
        <w:rPr>
          <w:color w:val="231F20"/>
          <w:spacing w:val="-13"/>
          <w:w w:val="105"/>
        </w:rPr>
        <w:t> </w:t>
      </w:r>
      <w:r>
        <w:rPr>
          <w:color w:val="231F20"/>
          <w:w w:val="105"/>
        </w:rPr>
        <w:t>grocery’s</w:t>
      </w:r>
      <w:r>
        <w:rPr>
          <w:color w:val="231F20"/>
          <w:spacing w:val="-12"/>
          <w:w w:val="105"/>
        </w:rPr>
        <w:t> </w:t>
      </w:r>
      <w:r>
        <w:rPr>
          <w:color w:val="231F20"/>
          <w:w w:val="105"/>
        </w:rPr>
        <w:t>price</w:t>
      </w:r>
      <w:r>
        <w:rPr>
          <w:color w:val="231F20"/>
          <w:spacing w:val="-12"/>
          <w:w w:val="105"/>
        </w:rPr>
        <w:t> </w:t>
      </w:r>
      <w:r>
        <w:rPr>
          <w:color w:val="231F20"/>
          <w:w w:val="105"/>
        </w:rPr>
        <w:t>and</w:t>
      </w:r>
      <w:r>
        <w:rPr>
          <w:color w:val="231F20"/>
          <w:spacing w:val="-12"/>
          <w:w w:val="105"/>
        </w:rPr>
        <w:t> </w:t>
      </w:r>
      <w:r>
        <w:rPr>
          <w:color w:val="231F20"/>
          <w:w w:val="105"/>
        </w:rPr>
        <w:t>make</w:t>
      </w:r>
      <w:r>
        <w:rPr>
          <w:color w:val="231F20"/>
          <w:spacing w:val="-12"/>
          <w:w w:val="105"/>
        </w:rPr>
        <w:t> </w:t>
      </w:r>
      <w:r>
        <w:rPr>
          <w:color w:val="231F20"/>
          <w:w w:val="105"/>
        </w:rPr>
        <w:t>the</w:t>
      </w:r>
      <w:r>
        <w:rPr>
          <w:color w:val="231F20"/>
          <w:spacing w:val="-12"/>
          <w:w w:val="105"/>
        </w:rPr>
        <w:t> </w:t>
      </w:r>
      <w:r>
        <w:rPr>
          <w:color w:val="231F20"/>
          <w:w w:val="105"/>
        </w:rPr>
        <w:t>addi- tional profit.</w:t>
      </w:r>
    </w:p>
    <w:p>
      <w:pPr>
        <w:pStyle w:val="BodyText"/>
        <w:spacing w:line="292" w:lineRule="auto"/>
        <w:ind w:left="830" w:right="753" w:firstLine="340"/>
        <w:jc w:val="both"/>
      </w:pPr>
      <w:r>
        <w:rPr>
          <w:color w:val="231F20"/>
        </w:rPr>
        <w:t>If a business operates in areas closer to the raw materials, then the company is said to be </w:t>
      </w:r>
      <w:r>
        <w:rPr>
          <w:i/>
          <w:color w:val="231F20"/>
        </w:rPr>
        <w:t>backwardly integrated. </w:t>
      </w:r>
      <w:r>
        <w:rPr>
          <w:color w:val="231F20"/>
        </w:rPr>
        <w:t>International</w:t>
      </w:r>
      <w:r>
        <w:rPr>
          <w:color w:val="231F20"/>
          <w:spacing w:val="80"/>
        </w:rPr>
        <w:t> </w:t>
      </w:r>
      <w:r>
        <w:rPr>
          <w:color w:val="231F20"/>
        </w:rPr>
        <w:t>Paper, which owns its own forests and paper-manufacturing facili- ties, would be classified as being backwardly integrated.</w:t>
      </w:r>
    </w:p>
    <w:p>
      <w:pPr>
        <w:pStyle w:val="BodyText"/>
        <w:spacing w:line="292" w:lineRule="auto"/>
        <w:ind w:left="830" w:right="756" w:firstLine="340"/>
        <w:jc w:val="both"/>
      </w:pPr>
      <w:r>
        <w:rPr>
          <w:color w:val="231F20"/>
        </w:rPr>
        <w:t>You can see a company as either forwardly or backwardly </w:t>
      </w:r>
      <w:r>
        <w:rPr>
          <w:color w:val="231F20"/>
        </w:rPr>
        <w:t>inte- grated depending on the point in the value chain at which you view that company. If you consider the orchard owner primarily as a grower, then you might view his business as forwardly integrated to- ward the retailing end of the chain. If you believed that his main business was retailing fruit to the public, then you could say that his business is backwardly integrated because he grows what he sells. International Paper is backwardly integrated to its timberland oper- ations and forwardly integrated to its consumer paper-product man- ufacturing and distribution activities.</w:t>
      </w:r>
    </w:p>
    <w:p>
      <w:pPr>
        <w:pStyle w:val="BodyText"/>
        <w:spacing w:before="7"/>
        <w:rPr>
          <w:sz w:val="30"/>
        </w:rPr>
      </w:pPr>
    </w:p>
    <w:p>
      <w:pPr>
        <w:spacing w:before="0"/>
        <w:ind w:left="830" w:right="0" w:firstLine="0"/>
        <w:jc w:val="both"/>
        <w:rPr>
          <w:sz w:val="14"/>
        </w:rPr>
      </w:pPr>
      <w:r>
        <w:rPr/>
        <w:pict>
          <v:shape style="position:absolute;margin-left:86.25528pt;margin-top:3.303367pt;width:6.3pt;height:2.35pt;mso-position-horizontal-relative:page;mso-position-vertical-relative:paragraph;z-index:-25037312" id="docshape490" coordorigin="1725,66" coordsize="126,47" path="m1767,66l1725,84,1725,95,1767,113,1770,105,1741,93,1851,93,1851,85,1741,85,1770,73,1767,66xe" filled="true" fillcolor="#231f20" stroked="false">
            <v:path arrowok="t"/>
            <v:fill type="solid"/>
            <w10:wrap type="none"/>
          </v:shape>
        </w:pict>
      </w:r>
      <w:r>
        <w:rPr/>
        <w:pict>
          <v:shape style="position:absolute;margin-left:164.980804pt;margin-top:3.303367pt;width:6.3pt;height:2.35pt;mso-position-horizontal-relative:page;mso-position-vertical-relative:paragraph;z-index:-25036800" id="docshape491" coordorigin="3300,66" coordsize="126,47" path="m3342,66l3300,84,3300,95,3342,113,3345,105,3315,93,3426,93,3426,85,3315,85,3345,73,3342,66xe" filled="true" fillcolor="#231f20" stroked="false">
            <v:path arrowok="t"/>
            <v:fill type="solid"/>
            <w10:wrap type="none"/>
          </v:shape>
        </w:pict>
      </w:r>
      <w:r>
        <w:rPr/>
        <w:pict>
          <v:shape style="position:absolute;margin-left:235.295349pt;margin-top:3.303367pt;width:6.3pt;height:2.35pt;mso-position-horizontal-relative:page;mso-position-vertical-relative:paragraph;z-index:-25036288" id="docshape492" coordorigin="4706,66" coordsize="126,47" path="m4790,66l4787,73,4816,85,4706,85,4706,93,4816,93,4787,105,4790,113,4832,95,4832,84,4790,66xe" filled="true" fillcolor="#231f20" stroked="false">
            <v:path arrowok="t"/>
            <v:fill type="solid"/>
            <w10:wrap type="none"/>
          </v:shape>
        </w:pict>
      </w:r>
      <w:r>
        <w:rPr/>
        <w:pict>
          <v:shape style="position:absolute;margin-left:309.225677pt;margin-top:3.303367pt;width:6.3pt;height:2.35pt;mso-position-horizontal-relative:page;mso-position-vertical-relative:paragraph;z-index:-25035776" id="docshape493" coordorigin="6185,66" coordsize="126,47" path="m6268,66l6265,73,6295,85,6185,85,6185,93,6295,93,6265,105,6268,113,6311,95,6311,84,6268,66xe" filled="true" fillcolor="#231f20" stroked="false">
            <v:path arrowok="t"/>
            <v:fill type="solid"/>
            <w10:wrap type="none"/>
          </v:shape>
        </w:pict>
      </w:r>
      <w:r>
        <w:rPr>
          <w:color w:val="231F20"/>
          <w:sz w:val="14"/>
        </w:rPr>
        <w:t>Forestry</w:t>
      </w:r>
      <w:r>
        <w:rPr>
          <w:color w:val="231F20"/>
          <w:spacing w:val="78"/>
          <w:sz w:val="14"/>
        </w:rPr>
        <w:t>  </w:t>
      </w:r>
      <w:r>
        <w:rPr>
          <w:i/>
          <w:color w:val="231F20"/>
          <w:sz w:val="14"/>
        </w:rPr>
        <w:t>Backward</w:t>
      </w:r>
      <w:r>
        <w:rPr>
          <w:i/>
          <w:color w:val="231F20"/>
          <w:spacing w:val="7"/>
          <w:sz w:val="14"/>
        </w:rPr>
        <w:t> </w:t>
      </w:r>
      <w:r>
        <w:rPr>
          <w:i/>
          <w:color w:val="231F20"/>
          <w:sz w:val="14"/>
        </w:rPr>
        <w:t>Integration</w:t>
      </w:r>
      <w:r>
        <w:rPr>
          <w:i/>
          <w:color w:val="231F20"/>
          <w:spacing w:val="78"/>
          <w:sz w:val="14"/>
        </w:rPr>
        <w:t>  </w:t>
      </w:r>
      <w:r>
        <w:rPr>
          <w:b/>
          <w:color w:val="231F20"/>
          <w:sz w:val="14"/>
        </w:rPr>
        <w:t>International</w:t>
      </w:r>
      <w:r>
        <w:rPr>
          <w:b/>
          <w:color w:val="231F20"/>
          <w:spacing w:val="7"/>
          <w:sz w:val="14"/>
        </w:rPr>
        <w:t> </w:t>
      </w:r>
      <w:r>
        <w:rPr>
          <w:b/>
          <w:color w:val="231F20"/>
          <w:sz w:val="14"/>
        </w:rPr>
        <w:t>Paper</w:t>
      </w:r>
      <w:r>
        <w:rPr>
          <w:b/>
          <w:color w:val="231F20"/>
          <w:spacing w:val="79"/>
          <w:sz w:val="14"/>
        </w:rPr>
        <w:t>  </w:t>
      </w:r>
      <w:r>
        <w:rPr>
          <w:i/>
          <w:color w:val="231F20"/>
          <w:sz w:val="14"/>
        </w:rPr>
        <w:t>Forward</w:t>
      </w:r>
      <w:r>
        <w:rPr>
          <w:i/>
          <w:color w:val="231F20"/>
          <w:spacing w:val="5"/>
          <w:sz w:val="14"/>
        </w:rPr>
        <w:t> </w:t>
      </w:r>
      <w:r>
        <w:rPr>
          <w:i/>
          <w:color w:val="231F20"/>
          <w:sz w:val="14"/>
        </w:rPr>
        <w:t>Integration</w:t>
      </w:r>
      <w:r>
        <w:rPr>
          <w:i/>
          <w:color w:val="231F20"/>
          <w:spacing w:val="79"/>
          <w:sz w:val="14"/>
        </w:rPr>
        <w:t>  </w:t>
      </w:r>
      <w:r>
        <w:rPr>
          <w:color w:val="231F20"/>
          <w:sz w:val="14"/>
        </w:rPr>
        <w:t>Consumer</w:t>
      </w:r>
      <w:r>
        <w:rPr>
          <w:color w:val="231F20"/>
          <w:spacing w:val="5"/>
          <w:sz w:val="14"/>
        </w:rPr>
        <w:t> </w:t>
      </w:r>
      <w:r>
        <w:rPr>
          <w:color w:val="231F20"/>
          <w:spacing w:val="-2"/>
          <w:sz w:val="14"/>
        </w:rPr>
        <w:t>Paper</w:t>
      </w:r>
    </w:p>
    <w:p>
      <w:pPr>
        <w:pStyle w:val="BodyText"/>
        <w:rPr>
          <w:sz w:val="16"/>
        </w:rPr>
      </w:pPr>
    </w:p>
    <w:p>
      <w:pPr>
        <w:pStyle w:val="BodyText"/>
        <w:spacing w:before="6"/>
        <w:rPr>
          <w:sz w:val="15"/>
        </w:rPr>
      </w:pPr>
    </w:p>
    <w:p>
      <w:pPr>
        <w:spacing w:line="292" w:lineRule="auto" w:before="0"/>
        <w:ind w:left="830" w:right="756" w:firstLine="0"/>
        <w:jc w:val="both"/>
        <w:rPr>
          <w:sz w:val="21"/>
        </w:rPr>
      </w:pPr>
      <w:r>
        <w:rPr>
          <w:i/>
          <w:color w:val="231F20"/>
          <w:sz w:val="21"/>
        </w:rPr>
        <w:t>Vertical and Horizontal Integration. </w:t>
      </w:r>
      <w:r>
        <w:rPr>
          <w:color w:val="231F20"/>
          <w:sz w:val="21"/>
        </w:rPr>
        <w:t>Industries can also be viewed </w:t>
      </w:r>
      <w:r>
        <w:rPr>
          <w:i/>
          <w:color w:val="231F20"/>
          <w:sz w:val="21"/>
        </w:rPr>
        <w:t>vertically </w:t>
      </w:r>
      <w:r>
        <w:rPr>
          <w:color w:val="231F20"/>
          <w:sz w:val="21"/>
        </w:rPr>
        <w:t>and </w:t>
      </w:r>
      <w:r>
        <w:rPr>
          <w:i/>
          <w:color w:val="231F20"/>
          <w:sz w:val="21"/>
        </w:rPr>
        <w:t>horizontally. Vertically integrated </w:t>
      </w:r>
      <w:r>
        <w:rPr>
          <w:color w:val="231F20"/>
          <w:sz w:val="21"/>
        </w:rPr>
        <w:t>is a term used for companies that participate at many levels of the value chain in an in- dustry. International Paper is vertically integrated because it owns both the trees and the paper mills. The term can describe both </w:t>
      </w:r>
      <w:r>
        <w:rPr>
          <w:i/>
          <w:color w:val="231F20"/>
          <w:sz w:val="21"/>
        </w:rPr>
        <w:t>for-</w:t>
      </w:r>
      <w:r>
        <w:rPr>
          <w:i/>
          <w:color w:val="231F20"/>
          <w:sz w:val="21"/>
        </w:rPr>
        <w:t> wardly </w:t>
      </w:r>
      <w:r>
        <w:rPr>
          <w:color w:val="231F20"/>
          <w:sz w:val="21"/>
        </w:rPr>
        <w:t>and </w:t>
      </w:r>
      <w:r>
        <w:rPr>
          <w:i/>
          <w:color w:val="231F20"/>
          <w:sz w:val="21"/>
        </w:rPr>
        <w:t>backwardly integrated </w:t>
      </w:r>
      <w:r>
        <w:rPr>
          <w:color w:val="231F20"/>
          <w:sz w:val="21"/>
        </w:rPr>
        <w:t>companies. The key is that sev- eral value-adding functions are being performed by one firm.</w:t>
      </w:r>
    </w:p>
    <w:p>
      <w:pPr>
        <w:pStyle w:val="BodyText"/>
        <w:spacing w:line="244" w:lineRule="exact"/>
        <w:ind w:left="1170"/>
        <w:jc w:val="both"/>
      </w:pPr>
      <w:r>
        <w:rPr>
          <w:color w:val="231F20"/>
        </w:rPr>
        <w:t>When</w:t>
      </w:r>
      <w:r>
        <w:rPr>
          <w:color w:val="231F20"/>
          <w:spacing w:val="34"/>
        </w:rPr>
        <w:t> </w:t>
      </w:r>
      <w:r>
        <w:rPr>
          <w:color w:val="231F20"/>
        </w:rPr>
        <w:t>Daimler</w:t>
      </w:r>
      <w:r>
        <w:rPr>
          <w:color w:val="231F20"/>
          <w:spacing w:val="35"/>
        </w:rPr>
        <w:t> </w:t>
      </w:r>
      <w:r>
        <w:rPr>
          <w:color w:val="231F20"/>
        </w:rPr>
        <w:t>Benz</w:t>
      </w:r>
      <w:r>
        <w:rPr>
          <w:color w:val="231F20"/>
          <w:spacing w:val="35"/>
        </w:rPr>
        <w:t> </w:t>
      </w:r>
      <w:r>
        <w:rPr>
          <w:color w:val="231F20"/>
        </w:rPr>
        <w:t>purchased</w:t>
      </w:r>
      <w:r>
        <w:rPr>
          <w:color w:val="231F20"/>
          <w:spacing w:val="34"/>
        </w:rPr>
        <w:t> </w:t>
      </w:r>
      <w:r>
        <w:rPr>
          <w:color w:val="231F20"/>
        </w:rPr>
        <w:t>Chrysler</w:t>
      </w:r>
      <w:r>
        <w:rPr>
          <w:color w:val="231F20"/>
          <w:spacing w:val="35"/>
        </w:rPr>
        <w:t> </w:t>
      </w:r>
      <w:r>
        <w:rPr>
          <w:color w:val="231F20"/>
        </w:rPr>
        <w:t>in</w:t>
      </w:r>
      <w:r>
        <w:rPr>
          <w:color w:val="231F20"/>
          <w:spacing w:val="35"/>
        </w:rPr>
        <w:t> </w:t>
      </w:r>
      <w:r>
        <w:rPr>
          <w:color w:val="231F20"/>
        </w:rPr>
        <w:t>1998,</w:t>
      </w:r>
      <w:r>
        <w:rPr>
          <w:color w:val="231F20"/>
          <w:spacing w:val="34"/>
        </w:rPr>
        <w:t> </w:t>
      </w:r>
      <w:r>
        <w:rPr>
          <w:color w:val="231F20"/>
        </w:rPr>
        <w:t>it</w:t>
      </w:r>
      <w:r>
        <w:rPr>
          <w:color w:val="231F20"/>
          <w:spacing w:val="35"/>
        </w:rPr>
        <w:t> </w:t>
      </w:r>
      <w:r>
        <w:rPr>
          <w:color w:val="231F20"/>
        </w:rPr>
        <w:t>acquired</w:t>
      </w:r>
      <w:r>
        <w:rPr>
          <w:color w:val="231F20"/>
          <w:spacing w:val="35"/>
        </w:rPr>
        <w:t> </w:t>
      </w:r>
      <w:r>
        <w:rPr>
          <w:color w:val="231F20"/>
          <w:spacing w:val="-10"/>
        </w:rPr>
        <w:t>a</w:t>
      </w:r>
    </w:p>
    <w:p>
      <w:pPr>
        <w:spacing w:after="0" w:line="244" w:lineRule="exact"/>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3"/>
        <w:jc w:val="both"/>
      </w:pPr>
      <w:r>
        <w:rPr>
          <w:color w:val="231F20"/>
        </w:rPr>
        <w:t>competitor at the same level in the value chain. This is called </w:t>
      </w:r>
      <w:r>
        <w:rPr>
          <w:i/>
          <w:color w:val="231F20"/>
        </w:rPr>
        <w:t>hori-</w:t>
      </w:r>
      <w:r>
        <w:rPr>
          <w:i/>
          <w:color w:val="231F20"/>
        </w:rPr>
        <w:t> zontal</w:t>
      </w:r>
      <w:r>
        <w:rPr>
          <w:i/>
          <w:color w:val="231F20"/>
          <w:spacing w:val="40"/>
        </w:rPr>
        <w:t> </w:t>
      </w:r>
      <w:r>
        <w:rPr>
          <w:i/>
          <w:color w:val="231F20"/>
        </w:rPr>
        <w:t>integration.</w:t>
      </w:r>
      <w:r>
        <w:rPr>
          <w:i/>
          <w:color w:val="231F20"/>
          <w:spacing w:val="40"/>
        </w:rPr>
        <w:t> </w:t>
      </w:r>
      <w:r>
        <w:rPr>
          <w:color w:val="231F20"/>
        </w:rPr>
        <w:t>Daimler</w:t>
      </w:r>
      <w:r>
        <w:rPr>
          <w:color w:val="231F20"/>
          <w:spacing w:val="40"/>
        </w:rPr>
        <w:t> </w:t>
      </w:r>
      <w:r>
        <w:rPr>
          <w:color w:val="231F20"/>
        </w:rPr>
        <w:t>Benz</w:t>
      </w:r>
      <w:r>
        <w:rPr>
          <w:color w:val="231F20"/>
          <w:spacing w:val="40"/>
        </w:rPr>
        <w:t> </w:t>
      </w:r>
      <w:r>
        <w:rPr>
          <w:color w:val="231F20"/>
        </w:rPr>
        <w:t>chose</w:t>
      </w:r>
      <w:r>
        <w:rPr>
          <w:color w:val="231F20"/>
          <w:spacing w:val="40"/>
        </w:rPr>
        <w:t> </w:t>
      </w:r>
      <w:r>
        <w:rPr>
          <w:color w:val="231F20"/>
        </w:rPr>
        <w:t>not</w:t>
      </w:r>
      <w:r>
        <w:rPr>
          <w:color w:val="231F20"/>
          <w:spacing w:val="40"/>
        </w:rPr>
        <w:t> </w:t>
      </w:r>
      <w:r>
        <w:rPr>
          <w:color w:val="231F20"/>
        </w:rPr>
        <w:t>to</w:t>
      </w:r>
      <w:r>
        <w:rPr>
          <w:color w:val="231F20"/>
          <w:spacing w:val="40"/>
        </w:rPr>
        <w:t> </w:t>
      </w:r>
      <w:r>
        <w:rPr>
          <w:color w:val="231F20"/>
        </w:rPr>
        <w:t>move</w:t>
      </w:r>
      <w:r>
        <w:rPr>
          <w:color w:val="231F20"/>
          <w:spacing w:val="40"/>
        </w:rPr>
        <w:t> </w:t>
      </w:r>
      <w:r>
        <w:rPr>
          <w:color w:val="231F20"/>
        </w:rPr>
        <w:t>to</w:t>
      </w:r>
      <w:r>
        <w:rPr>
          <w:color w:val="231F20"/>
          <w:spacing w:val="40"/>
        </w:rPr>
        <w:t> </w:t>
      </w:r>
      <w:r>
        <w:rPr>
          <w:color w:val="231F20"/>
        </w:rPr>
        <w:t>another value-adding activity. Instead Daimler Benz moved sideways or </w:t>
      </w:r>
      <w:r>
        <w:rPr>
          <w:color w:val="231F20"/>
        </w:rPr>
        <w:t>hor- izontally. If Daimler Benz had bought U.S. Steel, it would be verti- cally integrated. In this hypothetical case, a new value function</w:t>
      </w:r>
      <w:r>
        <w:rPr>
          <w:color w:val="231F20"/>
          <w:spacing w:val="80"/>
        </w:rPr>
        <w:t> </w:t>
      </w:r>
      <w:r>
        <w:rPr>
          <w:color w:val="231F20"/>
        </w:rPr>
        <w:t>would have been added to Daimler Benz’s manufacturing operations in the automobile industry.</w:t>
      </w:r>
    </w:p>
    <w:p>
      <w:pPr>
        <w:pStyle w:val="BodyText"/>
        <w:spacing w:before="4"/>
        <w:rPr>
          <w:sz w:val="25"/>
        </w:rPr>
      </w:pPr>
    </w:p>
    <w:p>
      <w:pPr>
        <w:pStyle w:val="BodyText"/>
        <w:ind w:left="469" w:right="219"/>
        <w:jc w:val="center"/>
      </w:pPr>
      <w:r>
        <w:rPr/>
        <w:pict>
          <v:shape style="position:absolute;margin-left:125.663719pt;margin-top:65.024582pt;width:9.35pt;height:3.5pt;mso-position-horizontal-relative:page;mso-position-vertical-relative:paragraph;z-index:-25033216" id="docshape494" coordorigin="2513,1300" coordsize="187,70" path="m2576,1300l2513,1327,2513,1343,2576,1370,2580,1359,2537,1341,2700,1341,2700,1329,2537,1329,2580,1311,2576,1300xe" filled="true" fillcolor="#231f20" stroked="false">
            <v:path arrowok="t"/>
            <v:fill type="solid"/>
            <w10:wrap type="none"/>
          </v:shape>
        </w:pict>
      </w:r>
      <w:r>
        <w:rPr/>
        <w:pict>
          <v:shape style="position:absolute;margin-left:192.376328pt;margin-top:65.024582pt;width:9.35pt;height:3.5pt;mso-position-horizontal-relative:page;mso-position-vertical-relative:paragraph;z-index:-25032704" id="docshape495" coordorigin="3848,1300" coordsize="187,70" path="m3910,1300l3848,1327,3848,1343,3910,1370,3915,1359,3871,1341,4034,1341,4034,1329,3871,1329,3915,1311,3910,1300xe" filled="true" fillcolor="#231f20" stroked="false">
            <v:path arrowok="t"/>
            <v:fill type="solid"/>
            <w10:wrap type="none"/>
          </v:shape>
        </w:pict>
      </w:r>
      <w:r>
        <w:rPr/>
        <w:pict>
          <v:shape style="position:absolute;margin-left:246.057602pt;margin-top:65.024582pt;width:9.35pt;height:3.5pt;mso-position-horizontal-relative:page;mso-position-vertical-relative:paragraph;z-index:-25032192" id="docshape496" coordorigin="4921,1300" coordsize="187,70" path="m5045,1300l5040,1311,5084,1329,4921,1329,4921,1341,5084,1341,5040,1359,5045,1370,5108,1343,5108,1327,5045,1300xe" filled="true" fillcolor="#231f20" stroked="false">
            <v:path arrowok="t"/>
            <v:fill type="solid"/>
            <w10:wrap type="none"/>
          </v:shape>
        </w:pict>
      </w:r>
      <w:r>
        <w:rPr/>
        <w:pict>
          <v:shape style="position:absolute;margin-left:312.770203pt;margin-top:65.024582pt;width:9.35pt;height:3.5pt;mso-position-horizontal-relative:page;mso-position-vertical-relative:paragraph;z-index:-25031680" id="docshape497" coordorigin="6255,1300" coordsize="187,70" path="m6379,1300l6375,1311,6418,1329,6255,1329,6255,1341,6418,1341,6375,1359,6379,1370,6442,1343,6442,1327,6379,1300xe" filled="true" fillcolor="#231f20" stroked="false">
            <v:path arrowok="t"/>
            <v:fill type="solid"/>
            <w10:wrap type="none"/>
          </v:shape>
        </w:pict>
      </w:r>
      <w:r>
        <w:rPr>
          <w:color w:val="231F20"/>
          <w:w w:val="105"/>
        </w:rPr>
        <w:t>Iron</w:t>
      </w:r>
      <w:r>
        <w:rPr>
          <w:color w:val="231F20"/>
          <w:spacing w:val="6"/>
          <w:w w:val="105"/>
        </w:rPr>
        <w:t> </w:t>
      </w:r>
      <w:r>
        <w:rPr>
          <w:color w:val="231F20"/>
          <w:w w:val="105"/>
        </w:rPr>
        <w:t>Ore</w:t>
      </w:r>
      <w:r>
        <w:rPr>
          <w:color w:val="231F20"/>
          <w:spacing w:val="7"/>
          <w:w w:val="105"/>
        </w:rPr>
        <w:t> </w:t>
      </w:r>
      <w:r>
        <w:rPr>
          <w:color w:val="231F20"/>
          <w:spacing w:val="-2"/>
          <w:w w:val="105"/>
        </w:rPr>
        <w:t>Mining</w:t>
      </w:r>
    </w:p>
    <w:p>
      <w:pPr>
        <w:pStyle w:val="BodyText"/>
        <w:spacing w:before="9"/>
        <w:rPr>
          <w:sz w:val="6"/>
        </w:rPr>
      </w:pPr>
      <w:r>
        <w:rPr/>
        <w:pict>
          <v:shape style="position:absolute;margin-left:216.520813pt;margin-top:5.213751pt;width:3.45pt;height:9.35pt;mso-position-horizontal-relative:page;mso-position-vertical-relative:paragraph;z-index:-15534592;mso-wrap-distance-left:0;mso-wrap-distance-right:0" id="docshape498" coordorigin="4330,104" coordsize="69,187" path="m4373,104l4357,104,4330,167,4341,171,4359,128,4359,290,4371,290,4371,128,4388,171,4399,167,4373,104xe" filled="true" fillcolor="#231f20" stroked="false">
            <v:path arrowok="t"/>
            <v:fill type="solid"/>
            <w10:wrap type="topAndBottom"/>
          </v:shape>
        </w:pict>
      </w:r>
    </w:p>
    <w:p>
      <w:pPr>
        <w:spacing w:before="63"/>
        <w:ind w:left="469" w:right="219" w:firstLine="0"/>
        <w:jc w:val="center"/>
        <w:rPr>
          <w:i/>
          <w:sz w:val="21"/>
        </w:rPr>
      </w:pPr>
      <w:r>
        <w:rPr>
          <w:i/>
          <w:color w:val="231F20"/>
          <w:sz w:val="21"/>
        </w:rPr>
        <w:t>Vertical</w:t>
      </w:r>
      <w:r>
        <w:rPr>
          <w:i/>
          <w:color w:val="231F20"/>
          <w:spacing w:val="22"/>
          <w:sz w:val="21"/>
        </w:rPr>
        <w:t> </w:t>
      </w:r>
      <w:r>
        <w:rPr>
          <w:i/>
          <w:color w:val="231F20"/>
          <w:spacing w:val="-2"/>
          <w:sz w:val="21"/>
        </w:rPr>
        <w:t>Integration</w:t>
      </w:r>
    </w:p>
    <w:p>
      <w:pPr>
        <w:pStyle w:val="BodyText"/>
        <w:spacing w:before="10"/>
        <w:rPr>
          <w:i/>
          <w:sz w:val="6"/>
        </w:rPr>
      </w:pPr>
      <w:r>
        <w:rPr/>
        <w:pict>
          <v:shape style="position:absolute;margin-left:216.520813pt;margin-top:5.232975pt;width:3.45pt;height:9.35pt;mso-position-horizontal-relative:page;mso-position-vertical-relative:paragraph;z-index:-15534080;mso-wrap-distance-left:0;mso-wrap-distance-right:0" id="docshape499" coordorigin="4330,105" coordsize="69,187" path="m4373,105l4357,105,4330,167,4341,172,4359,128,4359,291,4371,291,4371,128,4388,172,4399,167,4373,105xe" filled="true" fillcolor="#231f20" stroked="false">
            <v:path arrowok="t"/>
            <v:fill type="solid"/>
            <w10:wrap type="topAndBottom"/>
          </v:shape>
        </w:pict>
      </w:r>
    </w:p>
    <w:p>
      <w:pPr>
        <w:pStyle w:val="BodyText"/>
        <w:spacing w:before="10"/>
        <w:rPr>
          <w:i/>
          <w:sz w:val="4"/>
        </w:rPr>
      </w:pPr>
    </w:p>
    <w:tbl>
      <w:tblPr>
        <w:tblW w:w="0" w:type="auto"/>
        <w:jc w:val="left"/>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0"/>
        <w:gridCol w:w="1346"/>
        <w:gridCol w:w="1067"/>
        <w:gridCol w:w="1347"/>
        <w:gridCol w:w="758"/>
      </w:tblGrid>
      <w:tr>
        <w:trPr>
          <w:trHeight w:val="277" w:hRule="atLeast"/>
        </w:trPr>
        <w:tc>
          <w:tcPr>
            <w:tcW w:w="990" w:type="dxa"/>
          </w:tcPr>
          <w:p>
            <w:pPr>
              <w:pStyle w:val="TableParagraph"/>
              <w:spacing w:before="6"/>
              <w:ind w:left="50"/>
              <w:jc w:val="left"/>
              <w:rPr>
                <w:sz w:val="21"/>
              </w:rPr>
            </w:pPr>
            <w:r>
              <w:rPr>
                <w:color w:val="231F20"/>
                <w:spacing w:val="-2"/>
                <w:sz w:val="21"/>
              </w:rPr>
              <w:t>Chrysler</w:t>
            </w:r>
          </w:p>
        </w:tc>
        <w:tc>
          <w:tcPr>
            <w:tcW w:w="1346" w:type="dxa"/>
          </w:tcPr>
          <w:p>
            <w:pPr>
              <w:pStyle w:val="TableParagraph"/>
              <w:spacing w:before="6"/>
              <w:ind w:left="169"/>
              <w:jc w:val="left"/>
              <w:rPr>
                <w:i/>
                <w:sz w:val="21"/>
              </w:rPr>
            </w:pPr>
            <w:r>
              <w:rPr>
                <w:i/>
                <w:color w:val="231F20"/>
                <w:spacing w:val="-2"/>
                <w:w w:val="105"/>
                <w:sz w:val="21"/>
              </w:rPr>
              <w:t>Horizontal</w:t>
            </w:r>
          </w:p>
        </w:tc>
        <w:tc>
          <w:tcPr>
            <w:tcW w:w="1067" w:type="dxa"/>
          </w:tcPr>
          <w:p>
            <w:pPr>
              <w:pStyle w:val="TableParagraph"/>
              <w:spacing w:before="6"/>
              <w:ind w:left="125" w:right="129"/>
              <w:rPr>
                <w:b/>
                <w:sz w:val="21"/>
              </w:rPr>
            </w:pPr>
            <w:r>
              <w:rPr>
                <w:b/>
                <w:color w:val="231F20"/>
                <w:spacing w:val="-2"/>
                <w:sz w:val="21"/>
              </w:rPr>
              <w:t>Daimler</w:t>
            </w:r>
          </w:p>
        </w:tc>
        <w:tc>
          <w:tcPr>
            <w:tcW w:w="1347" w:type="dxa"/>
          </w:tcPr>
          <w:p>
            <w:pPr>
              <w:pStyle w:val="TableParagraph"/>
              <w:spacing w:before="6"/>
              <w:ind w:left="164"/>
              <w:jc w:val="left"/>
              <w:rPr>
                <w:i/>
                <w:sz w:val="21"/>
              </w:rPr>
            </w:pPr>
            <w:r>
              <w:rPr>
                <w:i/>
                <w:color w:val="231F20"/>
                <w:spacing w:val="-2"/>
                <w:w w:val="105"/>
                <w:sz w:val="21"/>
              </w:rPr>
              <w:t>Horizontal</w:t>
            </w:r>
          </w:p>
        </w:tc>
        <w:tc>
          <w:tcPr>
            <w:tcW w:w="758" w:type="dxa"/>
          </w:tcPr>
          <w:p>
            <w:pPr>
              <w:pStyle w:val="TableParagraph"/>
              <w:spacing w:before="6"/>
              <w:ind w:left="151"/>
              <w:jc w:val="left"/>
              <w:rPr>
                <w:sz w:val="21"/>
              </w:rPr>
            </w:pPr>
            <w:r>
              <w:rPr>
                <w:color w:val="231F20"/>
                <w:spacing w:val="-5"/>
                <w:w w:val="110"/>
                <w:sz w:val="21"/>
              </w:rPr>
              <w:t>BMW</w:t>
            </w:r>
          </w:p>
        </w:tc>
      </w:tr>
      <w:tr>
        <w:trPr>
          <w:trHeight w:val="277" w:hRule="atLeast"/>
        </w:trPr>
        <w:tc>
          <w:tcPr>
            <w:tcW w:w="990" w:type="dxa"/>
          </w:tcPr>
          <w:p>
            <w:pPr>
              <w:pStyle w:val="TableParagraph"/>
              <w:spacing w:before="0"/>
              <w:jc w:val="left"/>
              <w:rPr>
                <w:rFonts w:ascii="Times New Roman"/>
                <w:sz w:val="20"/>
              </w:rPr>
            </w:pPr>
          </w:p>
        </w:tc>
        <w:tc>
          <w:tcPr>
            <w:tcW w:w="1346" w:type="dxa"/>
          </w:tcPr>
          <w:p>
            <w:pPr>
              <w:pStyle w:val="TableParagraph"/>
              <w:spacing w:line="228" w:lineRule="exact" w:before="29"/>
              <w:ind w:left="158"/>
              <w:jc w:val="left"/>
              <w:rPr>
                <w:i/>
                <w:sz w:val="21"/>
              </w:rPr>
            </w:pPr>
            <w:r>
              <w:rPr>
                <w:i/>
                <w:color w:val="231F20"/>
                <w:spacing w:val="-2"/>
                <w:sz w:val="21"/>
              </w:rPr>
              <w:t>Integration</w:t>
            </w:r>
          </w:p>
        </w:tc>
        <w:tc>
          <w:tcPr>
            <w:tcW w:w="1067" w:type="dxa"/>
          </w:tcPr>
          <w:p>
            <w:pPr>
              <w:pStyle w:val="TableParagraph"/>
              <w:spacing w:line="228" w:lineRule="exact" w:before="29"/>
              <w:ind w:left="100" w:right="129"/>
              <w:rPr>
                <w:b/>
                <w:sz w:val="21"/>
              </w:rPr>
            </w:pPr>
            <w:r>
              <w:rPr>
                <w:b/>
                <w:color w:val="231F20"/>
                <w:spacing w:val="-4"/>
                <w:sz w:val="21"/>
              </w:rPr>
              <w:t>Benz</w:t>
            </w:r>
          </w:p>
        </w:tc>
        <w:tc>
          <w:tcPr>
            <w:tcW w:w="1347" w:type="dxa"/>
          </w:tcPr>
          <w:p>
            <w:pPr>
              <w:pStyle w:val="TableParagraph"/>
              <w:spacing w:line="228" w:lineRule="exact" w:before="29"/>
              <w:ind w:left="165"/>
              <w:jc w:val="left"/>
              <w:rPr>
                <w:i/>
                <w:sz w:val="21"/>
              </w:rPr>
            </w:pPr>
            <w:r>
              <w:rPr>
                <w:i/>
                <w:color w:val="231F20"/>
                <w:spacing w:val="-2"/>
                <w:sz w:val="21"/>
              </w:rPr>
              <w:t>Integration</w:t>
            </w:r>
          </w:p>
        </w:tc>
        <w:tc>
          <w:tcPr>
            <w:tcW w:w="758" w:type="dxa"/>
          </w:tcPr>
          <w:p>
            <w:pPr>
              <w:pStyle w:val="TableParagraph"/>
              <w:spacing w:before="0"/>
              <w:jc w:val="left"/>
              <w:rPr>
                <w:rFonts w:ascii="Times New Roman"/>
                <w:sz w:val="20"/>
              </w:rPr>
            </w:pPr>
          </w:p>
        </w:tc>
      </w:tr>
    </w:tbl>
    <w:p>
      <w:pPr>
        <w:pStyle w:val="BodyText"/>
        <w:spacing w:before="8"/>
        <w:rPr>
          <w:i/>
          <w:sz w:val="6"/>
        </w:rPr>
      </w:pPr>
      <w:r>
        <w:rPr/>
        <w:pict>
          <v:shape style="position:absolute;margin-left:216.518845pt;margin-top:5.147523pt;width:3.45pt;height:9.35pt;mso-position-horizontal-relative:page;mso-position-vertical-relative:paragraph;z-index:-15533568;mso-wrap-distance-left:0;mso-wrap-distance-right:0" id="docshape500" coordorigin="4330,103" coordsize="69,187" path="m4371,103l4359,103,4359,266,4341,222,4330,227,4357,289,4373,289,4399,227,4388,222,4371,266,4371,103xe" filled="true" fillcolor="#231f20" stroked="false">
            <v:path arrowok="t"/>
            <v:fill type="solid"/>
            <w10:wrap type="topAndBottom"/>
          </v:shape>
        </w:pict>
      </w:r>
    </w:p>
    <w:p>
      <w:pPr>
        <w:spacing w:before="63"/>
        <w:ind w:left="469" w:right="219" w:firstLine="0"/>
        <w:jc w:val="center"/>
        <w:rPr>
          <w:i/>
          <w:sz w:val="21"/>
        </w:rPr>
      </w:pPr>
      <w:r>
        <w:rPr>
          <w:i/>
          <w:color w:val="231F20"/>
          <w:sz w:val="21"/>
        </w:rPr>
        <w:t>Vertical</w:t>
      </w:r>
      <w:r>
        <w:rPr>
          <w:i/>
          <w:color w:val="231F20"/>
          <w:spacing w:val="22"/>
          <w:sz w:val="21"/>
        </w:rPr>
        <w:t> </w:t>
      </w:r>
      <w:r>
        <w:rPr>
          <w:i/>
          <w:color w:val="231F20"/>
          <w:spacing w:val="-2"/>
          <w:sz w:val="21"/>
        </w:rPr>
        <w:t>Integration</w:t>
      </w:r>
    </w:p>
    <w:p>
      <w:pPr>
        <w:pStyle w:val="BodyText"/>
        <w:spacing w:before="10"/>
        <w:rPr>
          <w:i/>
          <w:sz w:val="6"/>
        </w:rPr>
      </w:pPr>
      <w:r>
        <w:rPr/>
        <w:pict>
          <v:shape style="position:absolute;margin-left:216.518845pt;margin-top:5.232975pt;width:3.45pt;height:9.35pt;mso-position-horizontal-relative:page;mso-position-vertical-relative:paragraph;z-index:-15533056;mso-wrap-distance-left:0;mso-wrap-distance-right:0" id="docshape501" coordorigin="4330,105" coordsize="69,187" path="m4371,105l4359,105,4359,268,4341,224,4330,229,4357,291,4373,291,4399,229,4388,224,4371,268,4371,105xe" filled="true" fillcolor="#231f20" stroked="false">
            <v:path arrowok="t"/>
            <v:fill type="solid"/>
            <w10:wrap type="topAndBottom"/>
          </v:shape>
        </w:pict>
      </w:r>
    </w:p>
    <w:p>
      <w:pPr>
        <w:pStyle w:val="BodyText"/>
        <w:spacing w:before="63"/>
        <w:ind w:left="469" w:right="219"/>
        <w:jc w:val="center"/>
      </w:pPr>
      <w:r>
        <w:rPr>
          <w:color w:val="231F20"/>
          <w:w w:val="105"/>
        </w:rPr>
        <w:t>Sale</w:t>
      </w:r>
      <w:r>
        <w:rPr>
          <w:color w:val="231F20"/>
          <w:spacing w:val="-4"/>
          <w:w w:val="105"/>
        </w:rPr>
        <w:t> </w:t>
      </w:r>
      <w:r>
        <w:rPr>
          <w:color w:val="231F20"/>
          <w:w w:val="105"/>
        </w:rPr>
        <w:t>of</w:t>
      </w:r>
      <w:r>
        <w:rPr>
          <w:color w:val="231F20"/>
          <w:spacing w:val="-3"/>
          <w:w w:val="105"/>
        </w:rPr>
        <w:t> </w:t>
      </w:r>
      <w:r>
        <w:rPr>
          <w:color w:val="231F20"/>
          <w:w w:val="105"/>
        </w:rPr>
        <w:t>Automobiles</w:t>
      </w:r>
      <w:r>
        <w:rPr>
          <w:color w:val="231F20"/>
          <w:spacing w:val="-3"/>
          <w:w w:val="105"/>
        </w:rPr>
        <w:t> </w:t>
      </w:r>
      <w:r>
        <w:rPr>
          <w:color w:val="231F20"/>
          <w:w w:val="105"/>
        </w:rPr>
        <w:t>to</w:t>
      </w:r>
      <w:r>
        <w:rPr>
          <w:color w:val="231F20"/>
          <w:spacing w:val="-3"/>
          <w:w w:val="105"/>
        </w:rPr>
        <w:t> </w:t>
      </w:r>
      <w:r>
        <w:rPr>
          <w:color w:val="231F20"/>
          <w:spacing w:val="-2"/>
          <w:w w:val="105"/>
        </w:rPr>
        <w:t>Consumers</w:t>
      </w:r>
    </w:p>
    <w:p>
      <w:pPr>
        <w:pStyle w:val="BodyText"/>
        <w:spacing w:before="2"/>
        <w:rPr>
          <w:sz w:val="30"/>
        </w:rPr>
      </w:pPr>
    </w:p>
    <w:p>
      <w:pPr>
        <w:pStyle w:val="BodyText"/>
        <w:spacing w:line="292" w:lineRule="auto"/>
        <w:ind w:left="919" w:right="666" w:firstLine="340"/>
        <w:jc w:val="both"/>
      </w:pPr>
      <w:r>
        <w:rPr>
          <w:color w:val="231F20"/>
        </w:rPr>
        <w:t>Strategic analysts review industries’ value chains to identify </w:t>
      </w:r>
      <w:r>
        <w:rPr>
          <w:color w:val="231F20"/>
        </w:rPr>
        <w:t>cur- rent and future sources of competition. When chemical companies sought higher profits, they forwardly integrated into higher “value added” products such as fibers for cloth and carpet. With the likes of Du Pont, the fiber link of the chain became more competitive. Simi- larly, The Limited integrated the manufacturing, distribution, and retailing links in the value chain, unleashing even more competitive activity in the already cutthroat apparel industry.</w:t>
      </w:r>
    </w:p>
    <w:p>
      <w:pPr>
        <w:pStyle w:val="BodyText"/>
        <w:spacing w:line="292" w:lineRule="auto"/>
        <w:ind w:left="919" w:right="664" w:firstLine="340"/>
        <w:jc w:val="both"/>
      </w:pPr>
      <w:r>
        <w:rPr>
          <w:color w:val="231F20"/>
        </w:rPr>
        <w:t>Integration strategies may result in obvious benefits such as </w:t>
      </w:r>
      <w:r>
        <w:rPr>
          <w:color w:val="231F20"/>
        </w:rPr>
        <w:t>se- cured inputs and lower costs, but the disadvantages include a higher exposure to the downturns in a single industry. All of the corpora- tion’s eggs are in one basket. In lean times, an ExxonMobil refinery can’t squeeze concessions from its oil suppliers if the supplier is ExxonMobil. In the same way, General Motors can’t dump excess engine inventories on its customers if the only user is the company </w:t>
      </w:r>
      <w:r>
        <w:rPr>
          <w:color w:val="231F20"/>
          <w:spacing w:val="-2"/>
        </w:rPr>
        <w:t>itself.</w:t>
      </w:r>
    </w:p>
    <w:p>
      <w:pPr>
        <w:spacing w:after="0" w:line="292" w:lineRule="auto"/>
        <w:jc w:val="both"/>
        <w:sectPr>
          <w:pgSz w:w="8640" w:h="12960"/>
          <w:pgMar w:header="734" w:footer="0" w:top="920" w:bottom="280" w:left="340" w:right="500"/>
        </w:sectPr>
      </w:pPr>
    </w:p>
    <w:p>
      <w:pPr>
        <w:pStyle w:val="BodyText"/>
        <w:rPr>
          <w:sz w:val="20"/>
        </w:rPr>
      </w:pPr>
    </w:p>
    <w:p>
      <w:pPr>
        <w:pStyle w:val="BodyText"/>
        <w:spacing w:before="11"/>
        <w:rPr>
          <w:sz w:val="20"/>
        </w:rPr>
      </w:pPr>
    </w:p>
    <w:p>
      <w:pPr>
        <w:pStyle w:val="Heading4"/>
        <w:spacing w:before="102"/>
        <w:ind w:left="300"/>
      </w:pPr>
      <w:r>
        <w:rPr>
          <w:color w:val="231F20"/>
          <w:w w:val="90"/>
        </w:rPr>
        <w:t>LEVELS</w:t>
      </w:r>
      <w:r>
        <w:rPr>
          <w:color w:val="231F20"/>
          <w:spacing w:val="22"/>
        </w:rPr>
        <w:t> </w:t>
      </w:r>
      <w:r>
        <w:rPr>
          <w:color w:val="231F20"/>
          <w:w w:val="90"/>
        </w:rPr>
        <w:t>OF</w:t>
      </w:r>
      <w:r>
        <w:rPr>
          <w:color w:val="231F20"/>
          <w:spacing w:val="22"/>
        </w:rPr>
        <w:t> </w:t>
      </w:r>
      <w:r>
        <w:rPr>
          <w:color w:val="231F20"/>
          <w:spacing w:val="7"/>
          <w:w w:val="90"/>
        </w:rPr>
        <w:t>STRATEGY</w:t>
      </w:r>
    </w:p>
    <w:p>
      <w:pPr>
        <w:pStyle w:val="BodyText"/>
        <w:spacing w:before="11"/>
        <w:rPr>
          <w:rFonts w:ascii="Trebuchet MS"/>
          <w:sz w:val="29"/>
        </w:rPr>
      </w:pPr>
    </w:p>
    <w:p>
      <w:pPr>
        <w:pStyle w:val="BodyText"/>
        <w:spacing w:line="292" w:lineRule="auto"/>
        <w:ind w:left="830" w:right="755"/>
        <w:jc w:val="both"/>
      </w:pPr>
      <w:r>
        <w:rPr>
          <w:i/>
          <w:color w:val="231F20"/>
        </w:rPr>
        <w:t>Strategy </w:t>
      </w:r>
      <w:r>
        <w:rPr>
          <w:color w:val="231F20"/>
        </w:rPr>
        <w:t>is a broad term. It commonly describes any thinking that looks</w:t>
      </w:r>
      <w:r>
        <w:rPr>
          <w:color w:val="231F20"/>
          <w:spacing w:val="40"/>
        </w:rPr>
        <w:t> </w:t>
      </w:r>
      <w:r>
        <w:rPr>
          <w:color w:val="231F20"/>
        </w:rPr>
        <w:t>at</w:t>
      </w:r>
      <w:r>
        <w:rPr>
          <w:color w:val="231F20"/>
          <w:spacing w:val="40"/>
        </w:rPr>
        <w:t> </w:t>
      </w:r>
      <w:r>
        <w:rPr>
          <w:color w:val="231F20"/>
        </w:rPr>
        <w:t>the</w:t>
      </w:r>
      <w:r>
        <w:rPr>
          <w:color w:val="231F20"/>
          <w:spacing w:val="40"/>
        </w:rPr>
        <w:t> </w:t>
      </w:r>
      <w:r>
        <w:rPr>
          <w:color w:val="231F20"/>
        </w:rPr>
        <w:t>“big</w:t>
      </w:r>
      <w:r>
        <w:rPr>
          <w:color w:val="231F20"/>
          <w:spacing w:val="40"/>
        </w:rPr>
        <w:t> </w:t>
      </w:r>
      <w:r>
        <w:rPr>
          <w:color w:val="231F20"/>
        </w:rPr>
        <w:t>picture.”</w:t>
      </w:r>
      <w:r>
        <w:rPr>
          <w:color w:val="231F20"/>
          <w:spacing w:val="40"/>
        </w:rPr>
        <w:t> </w:t>
      </w:r>
      <w:r>
        <w:rPr>
          <w:color w:val="231F20"/>
        </w:rPr>
        <w:t>In</w:t>
      </w:r>
      <w:r>
        <w:rPr>
          <w:color w:val="231F20"/>
          <w:spacing w:val="40"/>
        </w:rPr>
        <w:t> </w:t>
      </w:r>
      <w:r>
        <w:rPr>
          <w:color w:val="231F20"/>
        </w:rPr>
        <w:t>fact,</w:t>
      </w:r>
      <w:r>
        <w:rPr>
          <w:color w:val="231F20"/>
          <w:spacing w:val="40"/>
        </w:rPr>
        <w:t> </w:t>
      </w:r>
      <w:r>
        <w:rPr>
          <w:color w:val="231F20"/>
        </w:rPr>
        <w:t>it</w:t>
      </w:r>
      <w:r>
        <w:rPr>
          <w:color w:val="231F20"/>
          <w:spacing w:val="40"/>
        </w:rPr>
        <w:t> </w:t>
      </w:r>
      <w:r>
        <w:rPr>
          <w:color w:val="231F20"/>
        </w:rPr>
        <w:t>is</w:t>
      </w:r>
      <w:r>
        <w:rPr>
          <w:color w:val="231F20"/>
          <w:spacing w:val="40"/>
        </w:rPr>
        <w:t> </w:t>
      </w:r>
      <w:r>
        <w:rPr>
          <w:color w:val="231F20"/>
        </w:rPr>
        <w:t>more</w:t>
      </w:r>
      <w:r>
        <w:rPr>
          <w:color w:val="231F20"/>
          <w:spacing w:val="40"/>
        </w:rPr>
        <w:t> </w:t>
      </w:r>
      <w:r>
        <w:rPr>
          <w:color w:val="231F20"/>
        </w:rPr>
        <w:t>complex.</w:t>
      </w:r>
      <w:r>
        <w:rPr>
          <w:color w:val="231F20"/>
          <w:spacing w:val="40"/>
        </w:rPr>
        <w:t> </w:t>
      </w:r>
      <w:r>
        <w:rPr>
          <w:color w:val="231F20"/>
        </w:rPr>
        <w:t>There</w:t>
      </w:r>
      <w:r>
        <w:rPr>
          <w:color w:val="231F20"/>
          <w:spacing w:val="40"/>
        </w:rPr>
        <w:t> </w:t>
      </w:r>
      <w:r>
        <w:rPr>
          <w:color w:val="231F20"/>
        </w:rPr>
        <w:t>are three levels of strategy to be considered:</w:t>
      </w:r>
    </w:p>
    <w:p>
      <w:pPr>
        <w:pStyle w:val="BodyText"/>
        <w:spacing w:before="3"/>
        <w:rPr>
          <w:sz w:val="27"/>
        </w:rPr>
      </w:pPr>
    </w:p>
    <w:p>
      <w:pPr>
        <w:spacing w:line="328" w:lineRule="auto" w:before="1"/>
        <w:ind w:left="1169" w:right="1045" w:firstLine="0"/>
        <w:jc w:val="left"/>
        <w:rPr>
          <w:rFonts w:ascii="Arial" w:hAnsi="Arial"/>
          <w:sz w:val="19"/>
        </w:rPr>
      </w:pPr>
      <w:r>
        <w:rPr>
          <w:rFonts w:ascii="Arial" w:hAnsi="Arial"/>
          <w:i/>
          <w:color w:val="231F20"/>
          <w:w w:val="115"/>
          <w:sz w:val="19"/>
        </w:rPr>
        <w:t>Functional Strategy</w:t>
      </w:r>
      <w:r>
        <w:rPr>
          <w:rFonts w:ascii="Arial" w:hAnsi="Arial"/>
          <w:i/>
          <w:color w:val="231F20"/>
          <w:spacing w:val="-41"/>
          <w:w w:val="115"/>
          <w:sz w:val="19"/>
        </w:rPr>
        <w:t> </w:t>
      </w:r>
      <w:r>
        <w:rPr>
          <w:rFonts w:ascii="Arial" w:hAnsi="Arial"/>
          <w:color w:val="231F20"/>
          <w:w w:val="115"/>
          <w:sz w:val="19"/>
        </w:rPr>
        <w:t>—The value activities engaged in </w:t>
      </w:r>
      <w:r>
        <w:rPr>
          <w:rFonts w:ascii="Arial" w:hAnsi="Arial"/>
          <w:i/>
          <w:color w:val="231F20"/>
          <w:w w:val="115"/>
          <w:sz w:val="19"/>
        </w:rPr>
        <w:t>Business</w:t>
      </w:r>
      <w:r>
        <w:rPr>
          <w:rFonts w:ascii="Arial" w:hAnsi="Arial"/>
          <w:i/>
          <w:color w:val="231F20"/>
          <w:spacing w:val="-16"/>
          <w:w w:val="115"/>
          <w:sz w:val="19"/>
        </w:rPr>
        <w:t> </w:t>
      </w:r>
      <w:r>
        <w:rPr>
          <w:rFonts w:ascii="Arial" w:hAnsi="Arial"/>
          <w:i/>
          <w:color w:val="231F20"/>
          <w:w w:val="115"/>
          <w:sz w:val="19"/>
        </w:rPr>
        <w:t>Strategy</w:t>
      </w:r>
      <w:r>
        <w:rPr>
          <w:rFonts w:ascii="Arial" w:hAnsi="Arial"/>
          <w:i/>
          <w:color w:val="231F20"/>
          <w:spacing w:val="-42"/>
          <w:w w:val="115"/>
          <w:sz w:val="19"/>
        </w:rPr>
        <w:t> </w:t>
      </w:r>
      <w:r>
        <w:rPr>
          <w:rFonts w:ascii="Arial" w:hAnsi="Arial"/>
          <w:color w:val="231F20"/>
          <w:w w:val="115"/>
          <w:sz w:val="19"/>
        </w:rPr>
        <w:t>—</w:t>
      </w:r>
      <w:r>
        <w:rPr>
          <w:rFonts w:ascii="Arial" w:hAnsi="Arial"/>
          <w:color w:val="231F20"/>
          <w:spacing w:val="-42"/>
          <w:w w:val="115"/>
          <w:sz w:val="19"/>
        </w:rPr>
        <w:t> </w:t>
      </w:r>
      <w:r>
        <w:rPr>
          <w:rFonts w:ascii="Arial" w:hAnsi="Arial"/>
          <w:color w:val="231F20"/>
          <w:w w:val="115"/>
          <w:sz w:val="19"/>
        </w:rPr>
        <w:t>How</w:t>
      </w:r>
      <w:r>
        <w:rPr>
          <w:rFonts w:ascii="Arial" w:hAnsi="Arial"/>
          <w:color w:val="231F20"/>
          <w:spacing w:val="-15"/>
          <w:w w:val="115"/>
          <w:sz w:val="19"/>
        </w:rPr>
        <w:t> </w:t>
      </w:r>
      <w:r>
        <w:rPr>
          <w:rFonts w:ascii="Arial" w:hAnsi="Arial"/>
          <w:color w:val="231F20"/>
          <w:w w:val="115"/>
          <w:sz w:val="19"/>
        </w:rPr>
        <w:t>to</w:t>
      </w:r>
      <w:r>
        <w:rPr>
          <w:rFonts w:ascii="Arial" w:hAnsi="Arial"/>
          <w:color w:val="231F20"/>
          <w:spacing w:val="-15"/>
          <w:w w:val="115"/>
          <w:sz w:val="19"/>
        </w:rPr>
        <w:t> </w:t>
      </w:r>
      <w:r>
        <w:rPr>
          <w:rFonts w:ascii="Arial" w:hAnsi="Arial"/>
          <w:color w:val="231F20"/>
          <w:w w:val="115"/>
          <w:sz w:val="19"/>
        </w:rPr>
        <w:t>fight</w:t>
      </w:r>
      <w:r>
        <w:rPr>
          <w:rFonts w:ascii="Arial" w:hAnsi="Arial"/>
          <w:color w:val="231F20"/>
          <w:spacing w:val="-15"/>
          <w:w w:val="115"/>
          <w:sz w:val="19"/>
        </w:rPr>
        <w:t> </w:t>
      </w:r>
      <w:r>
        <w:rPr>
          <w:rFonts w:ascii="Arial" w:hAnsi="Arial"/>
          <w:color w:val="231F20"/>
          <w:w w:val="115"/>
          <w:sz w:val="19"/>
        </w:rPr>
        <w:t>the</w:t>
      </w:r>
      <w:r>
        <w:rPr>
          <w:rFonts w:ascii="Arial" w:hAnsi="Arial"/>
          <w:color w:val="231F20"/>
          <w:spacing w:val="-15"/>
          <w:w w:val="115"/>
          <w:sz w:val="19"/>
        </w:rPr>
        <w:t> </w:t>
      </w:r>
      <w:r>
        <w:rPr>
          <w:rFonts w:ascii="Arial" w:hAnsi="Arial"/>
          <w:color w:val="231F20"/>
          <w:w w:val="115"/>
          <w:sz w:val="19"/>
        </w:rPr>
        <w:t>competition,</w:t>
      </w:r>
      <w:r>
        <w:rPr>
          <w:rFonts w:ascii="Arial" w:hAnsi="Arial"/>
          <w:color w:val="231F20"/>
          <w:spacing w:val="-15"/>
          <w:w w:val="115"/>
          <w:sz w:val="19"/>
        </w:rPr>
        <w:t> </w:t>
      </w:r>
      <w:r>
        <w:rPr>
          <w:rFonts w:ascii="Arial" w:hAnsi="Arial"/>
          <w:color w:val="231F20"/>
          <w:w w:val="115"/>
          <w:sz w:val="19"/>
        </w:rPr>
        <w:t>tactics </w:t>
      </w:r>
      <w:r>
        <w:rPr>
          <w:rFonts w:ascii="Arial" w:hAnsi="Arial"/>
          <w:i/>
          <w:color w:val="231F20"/>
          <w:w w:val="115"/>
          <w:sz w:val="19"/>
        </w:rPr>
        <w:t>Corporate</w:t>
      </w:r>
      <w:r>
        <w:rPr>
          <w:rFonts w:ascii="Arial" w:hAnsi="Arial"/>
          <w:i/>
          <w:color w:val="231F20"/>
          <w:spacing w:val="-12"/>
          <w:w w:val="115"/>
          <w:sz w:val="19"/>
        </w:rPr>
        <w:t> </w:t>
      </w:r>
      <w:r>
        <w:rPr>
          <w:rFonts w:ascii="Arial" w:hAnsi="Arial"/>
          <w:i/>
          <w:color w:val="231F20"/>
          <w:w w:val="115"/>
          <w:sz w:val="19"/>
        </w:rPr>
        <w:t>Strategy</w:t>
      </w:r>
      <w:r>
        <w:rPr>
          <w:rFonts w:ascii="Arial" w:hAnsi="Arial"/>
          <w:i/>
          <w:color w:val="231F20"/>
          <w:spacing w:val="-42"/>
          <w:w w:val="115"/>
          <w:sz w:val="19"/>
        </w:rPr>
        <w:t> </w:t>
      </w:r>
      <w:r>
        <w:rPr>
          <w:rFonts w:ascii="Arial" w:hAnsi="Arial"/>
          <w:color w:val="231F20"/>
          <w:spacing w:val="12"/>
          <w:w w:val="115"/>
          <w:sz w:val="19"/>
        </w:rPr>
        <w:t>—</w:t>
      </w:r>
      <w:r>
        <w:rPr>
          <w:rFonts w:ascii="Arial" w:hAnsi="Arial"/>
          <w:color w:val="231F20"/>
          <w:w w:val="115"/>
          <w:sz w:val="19"/>
        </w:rPr>
        <w:t>What</w:t>
      </w:r>
      <w:r>
        <w:rPr>
          <w:rFonts w:ascii="Arial" w:hAnsi="Arial"/>
          <w:color w:val="231F20"/>
          <w:spacing w:val="-10"/>
          <w:w w:val="115"/>
          <w:sz w:val="19"/>
        </w:rPr>
        <w:t> </w:t>
      </w:r>
      <w:r>
        <w:rPr>
          <w:rFonts w:ascii="Arial" w:hAnsi="Arial"/>
          <w:color w:val="231F20"/>
          <w:w w:val="115"/>
          <w:sz w:val="19"/>
        </w:rPr>
        <w:t>businesses</w:t>
      </w:r>
      <w:r>
        <w:rPr>
          <w:rFonts w:ascii="Arial" w:hAnsi="Arial"/>
          <w:color w:val="231F20"/>
          <w:spacing w:val="-10"/>
          <w:w w:val="115"/>
          <w:sz w:val="19"/>
        </w:rPr>
        <w:t> </w:t>
      </w:r>
      <w:r>
        <w:rPr>
          <w:rFonts w:ascii="Arial" w:hAnsi="Arial"/>
          <w:color w:val="231F20"/>
          <w:w w:val="115"/>
          <w:sz w:val="19"/>
        </w:rPr>
        <w:t>should</w:t>
      </w:r>
      <w:r>
        <w:rPr>
          <w:rFonts w:ascii="Arial" w:hAnsi="Arial"/>
          <w:color w:val="231F20"/>
          <w:spacing w:val="-10"/>
          <w:w w:val="115"/>
          <w:sz w:val="19"/>
        </w:rPr>
        <w:t> </w:t>
      </w:r>
      <w:r>
        <w:rPr>
          <w:rFonts w:ascii="Arial" w:hAnsi="Arial"/>
          <w:color w:val="231F20"/>
          <w:w w:val="115"/>
          <w:sz w:val="19"/>
        </w:rPr>
        <w:t>I</w:t>
      </w:r>
      <w:r>
        <w:rPr>
          <w:rFonts w:ascii="Arial" w:hAnsi="Arial"/>
          <w:color w:val="231F20"/>
          <w:spacing w:val="-10"/>
          <w:w w:val="115"/>
          <w:sz w:val="19"/>
        </w:rPr>
        <w:t> </w:t>
      </w:r>
      <w:r>
        <w:rPr>
          <w:rFonts w:ascii="Arial" w:hAnsi="Arial"/>
          <w:color w:val="231F20"/>
          <w:w w:val="115"/>
          <w:sz w:val="19"/>
        </w:rPr>
        <w:t>be</w:t>
      </w:r>
      <w:r>
        <w:rPr>
          <w:rFonts w:ascii="Arial" w:hAnsi="Arial"/>
          <w:color w:val="231F20"/>
          <w:spacing w:val="-10"/>
          <w:w w:val="115"/>
          <w:sz w:val="19"/>
        </w:rPr>
        <w:t> </w:t>
      </w:r>
      <w:r>
        <w:rPr>
          <w:rFonts w:ascii="Arial" w:hAnsi="Arial"/>
          <w:color w:val="231F20"/>
          <w:w w:val="115"/>
          <w:sz w:val="19"/>
        </w:rPr>
        <w:t>in?</w:t>
      </w:r>
    </w:p>
    <w:p>
      <w:pPr>
        <w:pStyle w:val="BodyText"/>
        <w:spacing w:before="4"/>
        <w:rPr>
          <w:rFonts w:ascii="Arial"/>
          <w:sz w:val="24"/>
        </w:rPr>
      </w:pPr>
    </w:p>
    <w:p>
      <w:pPr>
        <w:pStyle w:val="BodyText"/>
        <w:spacing w:line="292" w:lineRule="auto"/>
        <w:ind w:left="830" w:right="756"/>
        <w:jc w:val="both"/>
      </w:pPr>
      <w:r>
        <w:rPr>
          <w:color w:val="231F20"/>
          <w:w w:val="105"/>
        </w:rPr>
        <w:t>When putting on the strategy hat, you must ask yourself, “At </w:t>
      </w:r>
      <w:r>
        <w:rPr>
          <w:color w:val="231F20"/>
          <w:w w:val="105"/>
        </w:rPr>
        <w:t>what level do I wish to think? Functional, business, or corporate?”</w:t>
      </w:r>
    </w:p>
    <w:p>
      <w:pPr>
        <w:pStyle w:val="BodyText"/>
        <w:rPr>
          <w:sz w:val="24"/>
        </w:rPr>
      </w:pPr>
    </w:p>
    <w:p>
      <w:pPr>
        <w:pStyle w:val="BodyText"/>
        <w:spacing w:before="1"/>
        <w:rPr>
          <w:sz w:val="27"/>
        </w:rPr>
      </w:pPr>
    </w:p>
    <w:p>
      <w:pPr>
        <w:pStyle w:val="Heading6"/>
        <w:spacing w:before="1"/>
        <w:ind w:left="299"/>
        <w:rPr>
          <w:i/>
        </w:rPr>
      </w:pPr>
      <w:r>
        <w:rPr>
          <w:i/>
          <w:color w:val="231F20"/>
          <w:w w:val="110"/>
        </w:rPr>
        <w:t>FUNCTIONAL</w:t>
      </w:r>
      <w:r>
        <w:rPr>
          <w:i/>
          <w:color w:val="231F20"/>
          <w:spacing w:val="42"/>
          <w:w w:val="110"/>
        </w:rPr>
        <w:t>  </w:t>
      </w:r>
      <w:r>
        <w:rPr>
          <w:i/>
          <w:color w:val="231F20"/>
          <w:spacing w:val="-2"/>
          <w:w w:val="110"/>
        </w:rPr>
        <w:t>STRATEGY</w:t>
      </w:r>
    </w:p>
    <w:p>
      <w:pPr>
        <w:pStyle w:val="BodyText"/>
        <w:spacing w:before="2"/>
        <w:rPr>
          <w:b/>
          <w:i/>
          <w:sz w:val="30"/>
        </w:rPr>
      </w:pPr>
    </w:p>
    <w:p>
      <w:pPr>
        <w:pStyle w:val="BodyText"/>
        <w:spacing w:line="292" w:lineRule="auto"/>
        <w:ind w:left="830" w:right="755"/>
        <w:jc w:val="both"/>
      </w:pPr>
      <w:r>
        <w:rPr>
          <w:i/>
          <w:color w:val="231F20"/>
        </w:rPr>
        <w:t>Functional </w:t>
      </w:r>
      <w:r>
        <w:rPr>
          <w:color w:val="231F20"/>
        </w:rPr>
        <w:t>strategies are those operational methods and “value- adding” activities that management chooses for its business. The functional strategy of Altria Group’s Philip Morris, for example, </w:t>
      </w:r>
      <w:r>
        <w:rPr>
          <w:color w:val="231F20"/>
        </w:rPr>
        <w:t>has been to lower costs by utilizing the most advanced processing tech- nologies. If Philip Morris felt vulnerable to a single supplier of to- bacco, a good functional strategy would dictate that it use multiple </w:t>
      </w:r>
      <w:r>
        <w:rPr>
          <w:color w:val="231F20"/>
          <w:spacing w:val="-2"/>
        </w:rPr>
        <w:t>suppliers.</w:t>
      </w:r>
    </w:p>
    <w:p>
      <w:pPr>
        <w:pStyle w:val="BodyText"/>
        <w:rPr>
          <w:sz w:val="24"/>
        </w:rPr>
      </w:pPr>
    </w:p>
    <w:p>
      <w:pPr>
        <w:pStyle w:val="BodyText"/>
        <w:spacing w:before="11"/>
        <w:rPr>
          <w:sz w:val="26"/>
        </w:rPr>
      </w:pPr>
    </w:p>
    <w:p>
      <w:pPr>
        <w:pStyle w:val="Heading6"/>
        <w:ind w:left="299"/>
        <w:rPr>
          <w:i/>
        </w:rPr>
      </w:pPr>
      <w:r>
        <w:rPr>
          <w:i/>
          <w:color w:val="231F20"/>
          <w:w w:val="110"/>
        </w:rPr>
        <w:t>BUSINESS</w:t>
      </w:r>
      <w:r>
        <w:rPr>
          <w:i/>
          <w:color w:val="231F20"/>
          <w:spacing w:val="40"/>
          <w:w w:val="110"/>
        </w:rPr>
        <w:t>  </w:t>
      </w:r>
      <w:r>
        <w:rPr>
          <w:i/>
          <w:color w:val="231F20"/>
          <w:spacing w:val="-2"/>
          <w:w w:val="110"/>
        </w:rPr>
        <w:t>STRATEGY</w:t>
      </w:r>
    </w:p>
    <w:p>
      <w:pPr>
        <w:pStyle w:val="BodyText"/>
        <w:spacing w:before="2"/>
        <w:rPr>
          <w:b/>
          <w:i/>
          <w:sz w:val="30"/>
        </w:rPr>
      </w:pPr>
    </w:p>
    <w:p>
      <w:pPr>
        <w:pStyle w:val="BodyText"/>
        <w:spacing w:line="292" w:lineRule="auto"/>
        <w:ind w:left="829" w:right="756"/>
        <w:jc w:val="both"/>
      </w:pPr>
      <w:r>
        <w:rPr>
          <w:color w:val="231F20"/>
        </w:rPr>
        <w:t>Business strategies are those battle plans used to fight the </w:t>
      </w:r>
      <w:r>
        <w:rPr>
          <w:color w:val="231F20"/>
        </w:rPr>
        <w:t>competi- tion in the industry that a company </w:t>
      </w:r>
      <w:r>
        <w:rPr>
          <w:i/>
          <w:color w:val="231F20"/>
        </w:rPr>
        <w:t>currently </w:t>
      </w:r>
      <w:r>
        <w:rPr>
          <w:color w:val="231F20"/>
        </w:rPr>
        <w:t>participates in. They</w:t>
      </w:r>
      <w:r>
        <w:rPr>
          <w:color w:val="231F20"/>
          <w:spacing w:val="80"/>
        </w:rPr>
        <w:t> </w:t>
      </w:r>
      <w:r>
        <w:rPr>
          <w:color w:val="231F20"/>
        </w:rPr>
        <w:t>are</w:t>
      </w:r>
      <w:r>
        <w:rPr>
          <w:color w:val="231F20"/>
          <w:spacing w:val="-1"/>
        </w:rPr>
        <w:t> </w:t>
      </w:r>
      <w:r>
        <w:rPr>
          <w:color w:val="231F20"/>
        </w:rPr>
        <w:t>on</w:t>
      </w:r>
      <w:r>
        <w:rPr>
          <w:color w:val="231F20"/>
          <w:spacing w:val="-1"/>
        </w:rPr>
        <w:t> </w:t>
      </w:r>
      <w:r>
        <w:rPr>
          <w:color w:val="231F20"/>
        </w:rPr>
        <w:t>a</w:t>
      </w:r>
      <w:r>
        <w:rPr>
          <w:color w:val="231F20"/>
          <w:spacing w:val="-1"/>
        </w:rPr>
        <w:t> </w:t>
      </w:r>
      <w:r>
        <w:rPr>
          <w:color w:val="231F20"/>
        </w:rPr>
        <w:t>higher</w:t>
      </w:r>
      <w:r>
        <w:rPr>
          <w:color w:val="231F20"/>
          <w:spacing w:val="-1"/>
        </w:rPr>
        <w:t> </w:t>
      </w:r>
      <w:r>
        <w:rPr>
          <w:color w:val="231F20"/>
        </w:rPr>
        <w:t>level</w:t>
      </w:r>
      <w:r>
        <w:rPr>
          <w:color w:val="231F20"/>
          <w:spacing w:val="-1"/>
        </w:rPr>
        <w:t> </w:t>
      </w:r>
      <w:r>
        <w:rPr>
          <w:color w:val="231F20"/>
        </w:rPr>
        <w:t>than</w:t>
      </w:r>
      <w:r>
        <w:rPr>
          <w:color w:val="231F20"/>
          <w:spacing w:val="-1"/>
        </w:rPr>
        <w:t> </w:t>
      </w:r>
      <w:r>
        <w:rPr>
          <w:color w:val="231F20"/>
        </w:rPr>
        <w:t>functional</w:t>
      </w:r>
      <w:r>
        <w:rPr>
          <w:color w:val="231F20"/>
          <w:spacing w:val="-1"/>
        </w:rPr>
        <w:t> </w:t>
      </w:r>
      <w:r>
        <w:rPr>
          <w:color w:val="231F20"/>
        </w:rPr>
        <w:t>strategies,</w:t>
      </w:r>
      <w:r>
        <w:rPr>
          <w:color w:val="231F20"/>
          <w:spacing w:val="-1"/>
        </w:rPr>
        <w:t> </w:t>
      </w:r>
      <w:r>
        <w:rPr>
          <w:color w:val="231F20"/>
        </w:rPr>
        <w:t>but</w:t>
      </w:r>
      <w:r>
        <w:rPr>
          <w:color w:val="231F20"/>
          <w:spacing w:val="-1"/>
        </w:rPr>
        <w:t> </w:t>
      </w:r>
      <w:r>
        <w:rPr>
          <w:color w:val="231F20"/>
        </w:rPr>
        <w:t>there</w:t>
      </w:r>
      <w:r>
        <w:rPr>
          <w:color w:val="231F20"/>
          <w:spacing w:val="-1"/>
        </w:rPr>
        <w:t> </w:t>
      </w:r>
      <w:r>
        <w:rPr>
          <w:color w:val="231F20"/>
        </w:rPr>
        <w:t>is</w:t>
      </w:r>
      <w:r>
        <w:rPr>
          <w:color w:val="231F20"/>
          <w:spacing w:val="-1"/>
        </w:rPr>
        <w:t> </w:t>
      </w:r>
      <w:r>
        <w:rPr>
          <w:color w:val="231F20"/>
        </w:rPr>
        <w:t>obviously an overlap between how a company operates and how it competes. Philip Morris’s </w:t>
      </w:r>
      <w:r>
        <w:rPr>
          <w:i/>
          <w:color w:val="231F20"/>
        </w:rPr>
        <w:t>business </w:t>
      </w:r>
      <w:r>
        <w:rPr>
          <w:color w:val="231F20"/>
        </w:rPr>
        <w:t>strategy has been to beat its competition by crowding store shelves with many different brands and by spending heavily</w:t>
      </w:r>
      <w:r>
        <w:rPr>
          <w:color w:val="231F20"/>
          <w:spacing w:val="14"/>
        </w:rPr>
        <w:t> </w:t>
      </w:r>
      <w:r>
        <w:rPr>
          <w:color w:val="231F20"/>
        </w:rPr>
        <w:t>on</w:t>
      </w:r>
      <w:r>
        <w:rPr>
          <w:color w:val="231F20"/>
          <w:spacing w:val="14"/>
        </w:rPr>
        <w:t> </w:t>
      </w:r>
      <w:r>
        <w:rPr>
          <w:color w:val="231F20"/>
        </w:rPr>
        <w:t>advertising</w:t>
      </w:r>
      <w:r>
        <w:rPr>
          <w:color w:val="231F20"/>
          <w:spacing w:val="14"/>
        </w:rPr>
        <w:t> </w:t>
      </w:r>
      <w:r>
        <w:rPr>
          <w:color w:val="231F20"/>
        </w:rPr>
        <w:t>to</w:t>
      </w:r>
      <w:r>
        <w:rPr>
          <w:color w:val="231F20"/>
          <w:spacing w:val="14"/>
        </w:rPr>
        <w:t> </w:t>
      </w:r>
      <w:r>
        <w:rPr>
          <w:color w:val="231F20"/>
        </w:rPr>
        <w:t>promote</w:t>
      </w:r>
      <w:r>
        <w:rPr>
          <w:color w:val="231F20"/>
          <w:spacing w:val="15"/>
        </w:rPr>
        <w:t> </w:t>
      </w:r>
      <w:r>
        <w:rPr>
          <w:color w:val="231F20"/>
        </w:rPr>
        <w:t>its</w:t>
      </w:r>
      <w:r>
        <w:rPr>
          <w:color w:val="231F20"/>
          <w:spacing w:val="14"/>
        </w:rPr>
        <w:t> </w:t>
      </w:r>
      <w:r>
        <w:rPr>
          <w:color w:val="231F20"/>
        </w:rPr>
        <w:t>brands.</w:t>
      </w:r>
      <w:r>
        <w:rPr>
          <w:color w:val="231F20"/>
          <w:spacing w:val="14"/>
        </w:rPr>
        <w:t> </w:t>
      </w:r>
      <w:r>
        <w:rPr>
          <w:color w:val="231F20"/>
        </w:rPr>
        <w:t>Using</w:t>
      </w:r>
      <w:r>
        <w:rPr>
          <w:color w:val="231F20"/>
          <w:spacing w:val="14"/>
        </w:rPr>
        <w:t> </w:t>
      </w:r>
      <w:r>
        <w:rPr>
          <w:color w:val="231F20"/>
        </w:rPr>
        <w:t>these</w:t>
      </w:r>
      <w:r>
        <w:rPr>
          <w:color w:val="231F20"/>
          <w:spacing w:val="14"/>
        </w:rPr>
        <w:t> </w:t>
      </w:r>
      <w:r>
        <w:rPr>
          <w:color w:val="231F20"/>
          <w:spacing w:val="-2"/>
        </w:rPr>
        <w:t>strategies,</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the</w:t>
      </w:r>
      <w:r>
        <w:rPr>
          <w:color w:val="231F20"/>
          <w:spacing w:val="-1"/>
        </w:rPr>
        <w:t> </w:t>
      </w:r>
      <w:r>
        <w:rPr>
          <w:color w:val="231F20"/>
        </w:rPr>
        <w:t>large</w:t>
      </w:r>
      <w:r>
        <w:rPr>
          <w:color w:val="231F20"/>
          <w:spacing w:val="-1"/>
        </w:rPr>
        <w:t> </w:t>
      </w:r>
      <w:r>
        <w:rPr>
          <w:color w:val="231F20"/>
        </w:rPr>
        <w:t>tobacco</w:t>
      </w:r>
      <w:r>
        <w:rPr>
          <w:color w:val="231F20"/>
          <w:spacing w:val="-1"/>
        </w:rPr>
        <w:t> </w:t>
      </w:r>
      <w:r>
        <w:rPr>
          <w:color w:val="231F20"/>
        </w:rPr>
        <w:t>companies</w:t>
      </w:r>
      <w:r>
        <w:rPr>
          <w:color w:val="231F20"/>
          <w:spacing w:val="-1"/>
        </w:rPr>
        <w:t> </w:t>
      </w:r>
      <w:r>
        <w:rPr>
          <w:color w:val="231F20"/>
        </w:rPr>
        <w:t>preserve</w:t>
      </w:r>
      <w:r>
        <w:rPr>
          <w:color w:val="231F20"/>
          <w:spacing w:val="-1"/>
        </w:rPr>
        <w:t> </w:t>
      </w:r>
      <w:r>
        <w:rPr>
          <w:color w:val="231F20"/>
        </w:rPr>
        <w:t>market</w:t>
      </w:r>
      <w:r>
        <w:rPr>
          <w:color w:val="231F20"/>
          <w:spacing w:val="-1"/>
        </w:rPr>
        <w:t> </w:t>
      </w:r>
      <w:r>
        <w:rPr>
          <w:color w:val="231F20"/>
        </w:rPr>
        <w:t>share</w:t>
      </w:r>
      <w:r>
        <w:rPr>
          <w:color w:val="231F20"/>
          <w:spacing w:val="-1"/>
        </w:rPr>
        <w:t> </w:t>
      </w:r>
      <w:r>
        <w:rPr>
          <w:color w:val="231F20"/>
        </w:rPr>
        <w:t>and</w:t>
      </w:r>
      <w:r>
        <w:rPr>
          <w:color w:val="231F20"/>
          <w:spacing w:val="-1"/>
        </w:rPr>
        <w:t> </w:t>
      </w:r>
      <w:r>
        <w:rPr>
          <w:color w:val="231F20"/>
        </w:rPr>
        <w:t>prevent</w:t>
      </w:r>
      <w:r>
        <w:rPr>
          <w:color w:val="231F20"/>
          <w:spacing w:val="-1"/>
        </w:rPr>
        <w:t> </w:t>
      </w:r>
      <w:r>
        <w:rPr>
          <w:color w:val="231F20"/>
        </w:rPr>
        <w:t>new competitors from gaining a foothold in their industry.</w:t>
      </w:r>
    </w:p>
    <w:p>
      <w:pPr>
        <w:pStyle w:val="BodyText"/>
        <w:rPr>
          <w:sz w:val="24"/>
        </w:rPr>
      </w:pPr>
    </w:p>
    <w:p>
      <w:pPr>
        <w:pStyle w:val="BodyText"/>
        <w:spacing w:before="1"/>
        <w:rPr>
          <w:sz w:val="27"/>
        </w:rPr>
      </w:pPr>
    </w:p>
    <w:p>
      <w:pPr>
        <w:pStyle w:val="Heading6"/>
        <w:rPr>
          <w:i/>
        </w:rPr>
      </w:pPr>
      <w:r>
        <w:rPr>
          <w:i/>
          <w:color w:val="231F20"/>
          <w:w w:val="105"/>
        </w:rPr>
        <w:t>CORPORATE</w:t>
      </w:r>
      <w:r>
        <w:rPr>
          <w:i/>
          <w:color w:val="231F20"/>
          <w:spacing w:val="35"/>
          <w:w w:val="110"/>
        </w:rPr>
        <w:t>  </w:t>
      </w:r>
      <w:r>
        <w:rPr>
          <w:i/>
          <w:color w:val="231F20"/>
          <w:spacing w:val="-2"/>
          <w:w w:val="110"/>
        </w:rPr>
        <w:t>STRATEGY</w:t>
      </w:r>
    </w:p>
    <w:p>
      <w:pPr>
        <w:pStyle w:val="BodyText"/>
        <w:spacing w:before="2"/>
        <w:rPr>
          <w:b/>
          <w:i/>
          <w:sz w:val="30"/>
        </w:rPr>
      </w:pPr>
    </w:p>
    <w:p>
      <w:pPr>
        <w:pStyle w:val="BodyText"/>
        <w:spacing w:line="292" w:lineRule="auto"/>
        <w:ind w:left="920" w:right="664"/>
        <w:jc w:val="both"/>
      </w:pPr>
      <w:r>
        <w:rPr>
          <w:color w:val="231F20"/>
        </w:rPr>
        <w:t>Corporate strategy looks at the whole gamut of business </w:t>
      </w:r>
      <w:r>
        <w:rPr>
          <w:color w:val="231F20"/>
        </w:rPr>
        <w:t>opportuni- ties. Philip Morris’s corporate name change to Altria makes it clear. Altria’s </w:t>
      </w:r>
      <w:r>
        <w:rPr>
          <w:i/>
          <w:color w:val="231F20"/>
        </w:rPr>
        <w:t>corporate </w:t>
      </w:r>
      <w:r>
        <w:rPr>
          <w:color w:val="231F20"/>
        </w:rPr>
        <w:t>strategy has led the company to diversify away from tobacco products and toward consumer goods. Altria’s execu- tives reviewed the tobacco industry’s growth potential, the legal en- vironment, and the increased health awareness among consumers and concluded that it was wise to be in more “healthful” businesses. Its purchases of General Foods, Kraft, Nabisco, and Miller Brewing were made with that corporate strategy in mind. In 2002, Altria changed their “healthy” opinion of Miller and sold it to SAB, which formed SAB Miller.</w:t>
      </w:r>
    </w:p>
    <w:p>
      <w:pPr>
        <w:pStyle w:val="BodyText"/>
        <w:rPr>
          <w:sz w:val="24"/>
        </w:rPr>
      </w:pPr>
    </w:p>
    <w:p>
      <w:pPr>
        <w:pStyle w:val="BodyText"/>
        <w:spacing w:before="7"/>
        <w:rPr>
          <w:sz w:val="24"/>
        </w:rPr>
      </w:pPr>
    </w:p>
    <w:p>
      <w:pPr>
        <w:pStyle w:val="Heading4"/>
      </w:pPr>
      <w:r>
        <w:rPr>
          <w:color w:val="231F20"/>
          <w:spacing w:val="9"/>
          <w:w w:val="85"/>
        </w:rPr>
        <w:t>EXPANSION</w:t>
      </w:r>
      <w:r>
        <w:rPr>
          <w:color w:val="231F20"/>
          <w:spacing w:val="16"/>
        </w:rPr>
        <w:t> </w:t>
      </w:r>
      <w:r>
        <w:rPr>
          <w:color w:val="231F20"/>
          <w:spacing w:val="7"/>
          <w:w w:val="95"/>
        </w:rPr>
        <w:t>STRATEGIES</w:t>
      </w:r>
    </w:p>
    <w:p>
      <w:pPr>
        <w:pStyle w:val="BodyText"/>
        <w:spacing w:before="11"/>
        <w:rPr>
          <w:rFonts w:ascii="Trebuchet MS"/>
          <w:sz w:val="29"/>
        </w:rPr>
      </w:pPr>
    </w:p>
    <w:p>
      <w:pPr>
        <w:pStyle w:val="BodyText"/>
        <w:spacing w:line="292" w:lineRule="auto"/>
        <w:ind w:left="919" w:right="666"/>
        <w:jc w:val="both"/>
      </w:pPr>
      <w:r>
        <w:rPr>
          <w:color w:val="231F20"/>
        </w:rPr>
        <w:t>Academics love to create diagrams to show off their theories and to make them easier to use. One of the simplest of the strategic dia- grams is the </w:t>
      </w:r>
      <w:r>
        <w:rPr>
          <w:i/>
          <w:color w:val="231F20"/>
        </w:rPr>
        <w:t>Ansoff matrix. </w:t>
      </w:r>
      <w:r>
        <w:rPr>
          <w:color w:val="231F20"/>
        </w:rPr>
        <w:t>H. I. Ansoff created it in 1957 as a clear way to classify routes for business expansion. What determines </w:t>
      </w:r>
      <w:r>
        <w:rPr>
          <w:color w:val="231F20"/>
        </w:rPr>
        <w:t>the strategy classification is the newness of the product to the company and the firm’s experience with the intended market. The “newness”</w:t>
      </w:r>
      <w:r>
        <w:rPr>
          <w:color w:val="231F20"/>
          <w:spacing w:val="40"/>
        </w:rPr>
        <w:t> </w:t>
      </w:r>
      <w:r>
        <w:rPr>
          <w:color w:val="231F20"/>
        </w:rPr>
        <w:t>of the product or market is determined by how “new” it is to the company contemplating the strategy, not by the age of the product</w:t>
      </w:r>
      <w:r>
        <w:rPr>
          <w:color w:val="231F20"/>
          <w:spacing w:val="80"/>
        </w:rPr>
        <w:t> </w:t>
      </w:r>
      <w:r>
        <w:rPr>
          <w:color w:val="231F20"/>
        </w:rPr>
        <w:t>or market itself.</w:t>
      </w:r>
    </w:p>
    <w:p>
      <w:pPr>
        <w:pStyle w:val="BodyText"/>
        <w:spacing w:line="292" w:lineRule="auto"/>
        <w:ind w:left="919" w:right="666" w:firstLine="340"/>
        <w:jc w:val="both"/>
      </w:pPr>
      <w:r>
        <w:rPr>
          <w:color w:val="231F20"/>
        </w:rPr>
        <w:t>The power of the matrix lies in that it can be used for any indus- try. Ansoff created a vocabulary to communicate a strategic direc- tion in a few words. If Hershey Foods Corporation wanted to sell more chocolate bars in the United States, that would be a </w:t>
      </w:r>
      <w:r>
        <w:rPr>
          <w:i/>
          <w:color w:val="231F20"/>
        </w:rPr>
        <w:t>penetra-</w:t>
      </w:r>
      <w:r>
        <w:rPr>
          <w:i/>
          <w:color w:val="231F20"/>
        </w:rPr>
        <w:t> tion</w:t>
      </w:r>
      <w:r>
        <w:rPr>
          <w:i/>
          <w:color w:val="231F20"/>
          <w:spacing w:val="16"/>
        </w:rPr>
        <w:t> </w:t>
      </w:r>
      <w:r>
        <w:rPr>
          <w:color w:val="231F20"/>
        </w:rPr>
        <w:t>strategy</w:t>
      </w:r>
      <w:r>
        <w:rPr>
          <w:color w:val="231F20"/>
          <w:spacing w:val="17"/>
        </w:rPr>
        <w:t> </w:t>
      </w:r>
      <w:r>
        <w:rPr>
          <w:color w:val="231F20"/>
        </w:rPr>
        <w:t>(existing</w:t>
      </w:r>
      <w:r>
        <w:rPr>
          <w:color w:val="231F20"/>
          <w:spacing w:val="17"/>
        </w:rPr>
        <w:t> </w:t>
      </w:r>
      <w:r>
        <w:rPr>
          <w:color w:val="231F20"/>
        </w:rPr>
        <w:t>product,</w:t>
      </w:r>
      <w:r>
        <w:rPr>
          <w:color w:val="231F20"/>
          <w:spacing w:val="17"/>
        </w:rPr>
        <w:t> </w:t>
      </w:r>
      <w:r>
        <w:rPr>
          <w:color w:val="231F20"/>
        </w:rPr>
        <w:t>existing</w:t>
      </w:r>
      <w:r>
        <w:rPr>
          <w:color w:val="231F20"/>
          <w:spacing w:val="17"/>
        </w:rPr>
        <w:t> </w:t>
      </w:r>
      <w:r>
        <w:rPr>
          <w:color w:val="231F20"/>
        </w:rPr>
        <w:t>market).</w:t>
      </w:r>
      <w:r>
        <w:rPr>
          <w:color w:val="231F20"/>
          <w:spacing w:val="17"/>
        </w:rPr>
        <w:t> </w:t>
      </w:r>
      <w:r>
        <w:rPr>
          <w:color w:val="231F20"/>
        </w:rPr>
        <w:t>If</w:t>
      </w:r>
      <w:r>
        <w:rPr>
          <w:color w:val="231F20"/>
          <w:spacing w:val="17"/>
        </w:rPr>
        <w:t> </w:t>
      </w:r>
      <w:r>
        <w:rPr>
          <w:color w:val="231F20"/>
        </w:rPr>
        <w:t>they</w:t>
      </w:r>
      <w:r>
        <w:rPr>
          <w:color w:val="231F20"/>
          <w:spacing w:val="17"/>
        </w:rPr>
        <w:t> </w:t>
      </w:r>
      <w:r>
        <w:rPr>
          <w:color w:val="231F20"/>
        </w:rPr>
        <w:t>intended</w:t>
      </w:r>
      <w:r>
        <w:rPr>
          <w:color w:val="231F20"/>
          <w:spacing w:val="17"/>
        </w:rPr>
        <w:t> </w:t>
      </w:r>
      <w:r>
        <w:rPr>
          <w:color w:val="231F20"/>
          <w:spacing w:val="-5"/>
        </w:rPr>
        <w:t>to</w:t>
      </w:r>
    </w:p>
    <w:p>
      <w:pPr>
        <w:spacing w:after="0" w:line="292" w:lineRule="auto"/>
        <w:jc w:val="both"/>
        <w:sectPr>
          <w:pgSz w:w="8640" w:h="12960"/>
          <w:pgMar w:header="734" w:footer="0" w:top="920" w:bottom="280" w:left="340" w:right="500"/>
        </w:sectPr>
      </w:pPr>
    </w:p>
    <w:p>
      <w:pPr>
        <w:pStyle w:val="BodyText"/>
        <w:spacing w:before="10"/>
        <w:rPr>
          <w:sz w:val="19"/>
        </w:rPr>
      </w:pPr>
    </w:p>
    <w:p>
      <w:pPr>
        <w:spacing w:before="96"/>
        <w:ind w:left="293" w:right="219" w:firstLine="0"/>
        <w:jc w:val="center"/>
        <w:rPr>
          <w:rFonts w:ascii="Arial"/>
          <w:sz w:val="14"/>
        </w:rPr>
      </w:pPr>
      <w:r>
        <w:rPr>
          <w:rFonts w:ascii="Arial"/>
          <w:color w:val="231F20"/>
          <w:w w:val="105"/>
          <w:sz w:val="14"/>
        </w:rPr>
        <w:t>THE</w:t>
      </w:r>
      <w:r>
        <w:rPr>
          <w:rFonts w:ascii="Arial"/>
          <w:color w:val="231F20"/>
          <w:spacing w:val="28"/>
          <w:w w:val="105"/>
          <w:sz w:val="14"/>
        </w:rPr>
        <w:t> </w:t>
      </w:r>
      <w:r>
        <w:rPr>
          <w:rFonts w:ascii="Arial"/>
          <w:color w:val="231F20"/>
          <w:w w:val="105"/>
          <w:sz w:val="14"/>
        </w:rPr>
        <w:t>ANSOFF</w:t>
      </w:r>
      <w:r>
        <w:rPr>
          <w:rFonts w:ascii="Arial"/>
          <w:color w:val="231F20"/>
          <w:spacing w:val="29"/>
          <w:w w:val="105"/>
          <w:sz w:val="14"/>
        </w:rPr>
        <w:t> </w:t>
      </w:r>
      <w:r>
        <w:rPr>
          <w:rFonts w:ascii="Arial"/>
          <w:color w:val="231F20"/>
          <w:spacing w:val="-2"/>
          <w:w w:val="105"/>
          <w:sz w:val="14"/>
        </w:rPr>
        <w:t>MATRIX</w:t>
      </w:r>
    </w:p>
    <w:p>
      <w:pPr>
        <w:pStyle w:val="BodyText"/>
        <w:rPr>
          <w:rFonts w:ascii="Arial"/>
          <w:sz w:val="9"/>
        </w:rPr>
      </w:pPr>
      <w:r>
        <w:rPr/>
        <w:drawing>
          <wp:anchor distT="0" distB="0" distL="0" distR="0" allowOverlap="1" layoutInCell="1" locked="0" behindDoc="0" simplePos="0" relativeHeight="387">
            <wp:simplePos x="0" y="0"/>
            <wp:positionH relativeFrom="page">
              <wp:posOffset>753670</wp:posOffset>
            </wp:positionH>
            <wp:positionV relativeFrom="paragraph">
              <wp:posOffset>81476</wp:posOffset>
            </wp:positionV>
            <wp:extent cx="4025859" cy="2401824"/>
            <wp:effectExtent l="0" t="0" r="0" b="0"/>
            <wp:wrapTopAndBottom/>
            <wp:docPr id="139" name="image80.png"/>
            <wp:cNvGraphicFramePr>
              <a:graphicFrameLocks noChangeAspect="1"/>
            </wp:cNvGraphicFramePr>
            <a:graphic>
              <a:graphicData uri="http://schemas.openxmlformats.org/drawingml/2006/picture">
                <pic:pic>
                  <pic:nvPicPr>
                    <pic:cNvPr id="140" name="image80.png"/>
                    <pic:cNvPicPr/>
                  </pic:nvPicPr>
                  <pic:blipFill>
                    <a:blip r:embed="rId121" cstate="print"/>
                    <a:stretch>
                      <a:fillRect/>
                    </a:stretch>
                  </pic:blipFill>
                  <pic:spPr>
                    <a:xfrm>
                      <a:off x="0" y="0"/>
                      <a:ext cx="4025859" cy="2401824"/>
                    </a:xfrm>
                    <a:prstGeom prst="rect">
                      <a:avLst/>
                    </a:prstGeom>
                  </pic:spPr>
                </pic:pic>
              </a:graphicData>
            </a:graphic>
          </wp:anchor>
        </w:drawing>
      </w:r>
    </w:p>
    <w:p>
      <w:pPr>
        <w:pStyle w:val="BodyText"/>
        <w:rPr>
          <w:rFonts w:ascii="Arial"/>
          <w:sz w:val="14"/>
        </w:rPr>
      </w:pPr>
    </w:p>
    <w:p>
      <w:pPr>
        <w:pStyle w:val="BodyText"/>
        <w:spacing w:before="9"/>
        <w:rPr>
          <w:rFonts w:ascii="Arial"/>
          <w:sz w:val="13"/>
        </w:rPr>
      </w:pPr>
    </w:p>
    <w:p>
      <w:pPr>
        <w:spacing w:line="244" w:lineRule="auto" w:before="1"/>
        <w:ind w:left="830" w:right="756" w:firstLine="0"/>
        <w:jc w:val="both"/>
        <w:rPr>
          <w:sz w:val="20"/>
        </w:rPr>
      </w:pPr>
      <w:r>
        <w:rPr>
          <w:color w:val="231F20"/>
          <w:sz w:val="20"/>
        </w:rPr>
        <w:t>Adapted with the permission of </w:t>
      </w:r>
      <w:r>
        <w:rPr>
          <w:i/>
          <w:color w:val="231F20"/>
          <w:sz w:val="20"/>
        </w:rPr>
        <w:t>Harvard Business Review. </w:t>
      </w:r>
      <w:r>
        <w:rPr>
          <w:color w:val="231F20"/>
          <w:sz w:val="20"/>
        </w:rPr>
        <w:t>An exhibit</w:t>
      </w:r>
      <w:r>
        <w:rPr>
          <w:color w:val="231F20"/>
          <w:spacing w:val="40"/>
          <w:sz w:val="20"/>
        </w:rPr>
        <w:t> </w:t>
      </w:r>
      <w:r>
        <w:rPr>
          <w:color w:val="231F20"/>
          <w:sz w:val="20"/>
        </w:rPr>
        <w:t>from</w:t>
      </w:r>
      <w:r>
        <w:rPr>
          <w:color w:val="231F20"/>
          <w:spacing w:val="28"/>
          <w:sz w:val="20"/>
        </w:rPr>
        <w:t> </w:t>
      </w:r>
      <w:r>
        <w:rPr>
          <w:color w:val="231F20"/>
          <w:sz w:val="20"/>
        </w:rPr>
        <w:t>“Strategies</w:t>
      </w:r>
      <w:r>
        <w:rPr>
          <w:color w:val="231F20"/>
          <w:spacing w:val="28"/>
          <w:sz w:val="20"/>
        </w:rPr>
        <w:t> </w:t>
      </w:r>
      <w:r>
        <w:rPr>
          <w:color w:val="231F20"/>
          <w:sz w:val="20"/>
        </w:rPr>
        <w:t>for</w:t>
      </w:r>
      <w:r>
        <w:rPr>
          <w:color w:val="231F20"/>
          <w:spacing w:val="28"/>
          <w:sz w:val="20"/>
        </w:rPr>
        <w:t> </w:t>
      </w:r>
      <w:r>
        <w:rPr>
          <w:color w:val="231F20"/>
          <w:sz w:val="20"/>
        </w:rPr>
        <w:t>Diversification”</w:t>
      </w:r>
      <w:r>
        <w:rPr>
          <w:color w:val="231F20"/>
          <w:spacing w:val="28"/>
          <w:sz w:val="20"/>
        </w:rPr>
        <w:t> </w:t>
      </w:r>
      <w:r>
        <w:rPr>
          <w:color w:val="231F20"/>
          <w:sz w:val="20"/>
        </w:rPr>
        <w:t>by</w:t>
      </w:r>
      <w:r>
        <w:rPr>
          <w:color w:val="231F20"/>
          <w:spacing w:val="28"/>
          <w:sz w:val="20"/>
        </w:rPr>
        <w:t> </w:t>
      </w:r>
      <w:r>
        <w:rPr>
          <w:color w:val="231F20"/>
          <w:sz w:val="20"/>
        </w:rPr>
        <w:t>H.</w:t>
      </w:r>
      <w:r>
        <w:rPr>
          <w:color w:val="231F20"/>
          <w:spacing w:val="28"/>
          <w:sz w:val="20"/>
        </w:rPr>
        <w:t> </w:t>
      </w:r>
      <w:r>
        <w:rPr>
          <w:color w:val="231F20"/>
          <w:sz w:val="20"/>
        </w:rPr>
        <w:t>Igor</w:t>
      </w:r>
      <w:r>
        <w:rPr>
          <w:color w:val="231F20"/>
          <w:spacing w:val="28"/>
          <w:sz w:val="20"/>
        </w:rPr>
        <w:t> </w:t>
      </w:r>
      <w:r>
        <w:rPr>
          <w:color w:val="231F20"/>
          <w:sz w:val="20"/>
        </w:rPr>
        <w:t>Ansoff,</w:t>
      </w:r>
      <w:r>
        <w:rPr>
          <w:color w:val="231F20"/>
          <w:spacing w:val="28"/>
          <w:sz w:val="20"/>
        </w:rPr>
        <w:t> </w:t>
      </w:r>
      <w:r>
        <w:rPr>
          <w:color w:val="231F20"/>
          <w:sz w:val="20"/>
        </w:rPr>
        <w:t>Volume</w:t>
      </w:r>
      <w:r>
        <w:rPr>
          <w:color w:val="231F20"/>
          <w:spacing w:val="28"/>
          <w:sz w:val="20"/>
        </w:rPr>
        <w:t> </w:t>
      </w:r>
      <w:r>
        <w:rPr>
          <w:color w:val="231F20"/>
          <w:sz w:val="20"/>
        </w:rPr>
        <w:t>35,</w:t>
      </w:r>
      <w:r>
        <w:rPr>
          <w:color w:val="231F20"/>
          <w:spacing w:val="28"/>
          <w:sz w:val="20"/>
        </w:rPr>
        <w:t> </w:t>
      </w:r>
      <w:r>
        <w:rPr>
          <w:color w:val="231F20"/>
          <w:sz w:val="20"/>
        </w:rPr>
        <w:t>No. 5 (September/October 1957). Copyright © 1957 by the President and Fellows of Harvard College; all rights reserved.</w:t>
      </w:r>
    </w:p>
    <w:p>
      <w:pPr>
        <w:pStyle w:val="BodyText"/>
        <w:rPr>
          <w:sz w:val="22"/>
        </w:rPr>
      </w:pPr>
    </w:p>
    <w:p>
      <w:pPr>
        <w:pStyle w:val="BodyText"/>
        <w:rPr>
          <w:sz w:val="32"/>
        </w:rPr>
      </w:pPr>
    </w:p>
    <w:p>
      <w:pPr>
        <w:pStyle w:val="BodyText"/>
        <w:spacing w:line="292" w:lineRule="auto"/>
        <w:ind w:left="829" w:right="756"/>
        <w:jc w:val="both"/>
      </w:pPr>
      <w:r>
        <w:rPr>
          <w:color w:val="231F20"/>
          <w:spacing w:val="-2"/>
          <w:w w:val="105"/>
        </w:rPr>
        <w:t>sell</w:t>
      </w:r>
      <w:r>
        <w:rPr>
          <w:color w:val="231F20"/>
          <w:spacing w:val="-6"/>
          <w:w w:val="105"/>
        </w:rPr>
        <w:t> </w:t>
      </w:r>
      <w:r>
        <w:rPr>
          <w:color w:val="231F20"/>
          <w:spacing w:val="-2"/>
          <w:w w:val="105"/>
        </w:rPr>
        <w:t>chocolate</w:t>
      </w:r>
      <w:r>
        <w:rPr>
          <w:color w:val="231F20"/>
          <w:spacing w:val="-6"/>
          <w:w w:val="105"/>
        </w:rPr>
        <w:t> </w:t>
      </w:r>
      <w:r>
        <w:rPr>
          <w:color w:val="231F20"/>
          <w:spacing w:val="-2"/>
          <w:w w:val="105"/>
        </w:rPr>
        <w:t>in</w:t>
      </w:r>
      <w:r>
        <w:rPr>
          <w:color w:val="231F20"/>
          <w:spacing w:val="-6"/>
          <w:w w:val="105"/>
        </w:rPr>
        <w:t> </w:t>
      </w:r>
      <w:r>
        <w:rPr>
          <w:color w:val="231F20"/>
          <w:spacing w:val="-2"/>
          <w:w w:val="105"/>
        </w:rPr>
        <w:t>Eastern</w:t>
      </w:r>
      <w:r>
        <w:rPr>
          <w:color w:val="231F20"/>
          <w:spacing w:val="-6"/>
          <w:w w:val="105"/>
        </w:rPr>
        <w:t> </w:t>
      </w:r>
      <w:r>
        <w:rPr>
          <w:color w:val="231F20"/>
          <w:spacing w:val="-2"/>
          <w:w w:val="105"/>
        </w:rPr>
        <w:t>Europe,</w:t>
      </w:r>
      <w:r>
        <w:rPr>
          <w:color w:val="231F20"/>
          <w:spacing w:val="-6"/>
          <w:w w:val="105"/>
        </w:rPr>
        <w:t> </w:t>
      </w:r>
      <w:r>
        <w:rPr>
          <w:color w:val="231F20"/>
          <w:spacing w:val="-2"/>
          <w:w w:val="105"/>
        </w:rPr>
        <w:t>that’s</w:t>
      </w:r>
      <w:r>
        <w:rPr>
          <w:color w:val="231F20"/>
          <w:spacing w:val="-6"/>
          <w:w w:val="105"/>
        </w:rPr>
        <w:t> </w:t>
      </w:r>
      <w:r>
        <w:rPr>
          <w:color w:val="231F20"/>
          <w:spacing w:val="-2"/>
          <w:w w:val="105"/>
        </w:rPr>
        <w:t>an</w:t>
      </w:r>
      <w:r>
        <w:rPr>
          <w:color w:val="231F20"/>
          <w:spacing w:val="-7"/>
          <w:w w:val="105"/>
        </w:rPr>
        <w:t> </w:t>
      </w:r>
      <w:r>
        <w:rPr>
          <w:i/>
          <w:color w:val="231F20"/>
          <w:spacing w:val="-2"/>
          <w:w w:val="105"/>
        </w:rPr>
        <w:t>expansion</w:t>
      </w:r>
      <w:r>
        <w:rPr>
          <w:i/>
          <w:color w:val="231F20"/>
          <w:spacing w:val="-6"/>
          <w:w w:val="105"/>
        </w:rPr>
        <w:t> </w:t>
      </w:r>
      <w:r>
        <w:rPr>
          <w:color w:val="231F20"/>
          <w:spacing w:val="-2"/>
          <w:w w:val="105"/>
        </w:rPr>
        <w:t>strategy</w:t>
      </w:r>
      <w:r>
        <w:rPr>
          <w:color w:val="231F20"/>
          <w:spacing w:val="-6"/>
          <w:w w:val="105"/>
        </w:rPr>
        <w:t> </w:t>
      </w:r>
      <w:r>
        <w:rPr>
          <w:color w:val="231F20"/>
          <w:spacing w:val="-2"/>
          <w:w w:val="105"/>
        </w:rPr>
        <w:t>(exist- </w:t>
      </w:r>
      <w:r>
        <w:rPr>
          <w:color w:val="231F20"/>
          <w:w w:val="105"/>
        </w:rPr>
        <w:t>ing</w:t>
      </w:r>
      <w:r>
        <w:rPr>
          <w:color w:val="231F20"/>
          <w:w w:val="105"/>
        </w:rPr>
        <w:t> product,</w:t>
      </w:r>
      <w:r>
        <w:rPr>
          <w:color w:val="231F20"/>
          <w:w w:val="105"/>
        </w:rPr>
        <w:t> new</w:t>
      </w:r>
      <w:r>
        <w:rPr>
          <w:color w:val="231F20"/>
          <w:w w:val="105"/>
        </w:rPr>
        <w:t> market).</w:t>
      </w:r>
      <w:r>
        <w:rPr>
          <w:color w:val="231F20"/>
          <w:w w:val="105"/>
        </w:rPr>
        <w:t> Using</w:t>
      </w:r>
      <w:r>
        <w:rPr>
          <w:color w:val="231F20"/>
          <w:w w:val="105"/>
        </w:rPr>
        <w:t> a</w:t>
      </w:r>
      <w:r>
        <w:rPr>
          <w:color w:val="231F20"/>
          <w:w w:val="105"/>
        </w:rPr>
        <w:t> </w:t>
      </w:r>
      <w:r>
        <w:rPr>
          <w:i/>
          <w:color w:val="231F20"/>
          <w:w w:val="105"/>
        </w:rPr>
        <w:t>related</w:t>
      </w:r>
      <w:r>
        <w:rPr>
          <w:i/>
          <w:color w:val="231F20"/>
          <w:w w:val="105"/>
        </w:rPr>
        <w:t> diversification</w:t>
      </w:r>
      <w:r>
        <w:rPr>
          <w:i/>
          <w:color w:val="231F20"/>
          <w:w w:val="105"/>
        </w:rPr>
        <w:t> </w:t>
      </w:r>
      <w:r>
        <w:rPr>
          <w:color w:val="231F20"/>
          <w:w w:val="105"/>
        </w:rPr>
        <w:t>strategy, Hershey</w:t>
      </w:r>
      <w:r>
        <w:rPr>
          <w:color w:val="231F20"/>
          <w:w w:val="105"/>
        </w:rPr>
        <w:t> could</w:t>
      </w:r>
      <w:r>
        <w:rPr>
          <w:color w:val="231F20"/>
          <w:w w:val="105"/>
        </w:rPr>
        <w:t> develop</w:t>
      </w:r>
      <w:r>
        <w:rPr>
          <w:color w:val="231F20"/>
          <w:w w:val="105"/>
        </w:rPr>
        <w:t> a</w:t>
      </w:r>
      <w:r>
        <w:rPr>
          <w:color w:val="231F20"/>
          <w:w w:val="105"/>
        </w:rPr>
        <w:t> new</w:t>
      </w:r>
      <w:r>
        <w:rPr>
          <w:color w:val="231F20"/>
          <w:w w:val="105"/>
        </w:rPr>
        <w:t> bubble</w:t>
      </w:r>
      <w:r>
        <w:rPr>
          <w:color w:val="231F20"/>
          <w:w w:val="105"/>
        </w:rPr>
        <w:t> gum</w:t>
      </w:r>
      <w:r>
        <w:rPr>
          <w:color w:val="231F20"/>
          <w:w w:val="105"/>
        </w:rPr>
        <w:t> and</w:t>
      </w:r>
      <w:r>
        <w:rPr>
          <w:color w:val="231F20"/>
          <w:w w:val="105"/>
        </w:rPr>
        <w:t> sell</w:t>
      </w:r>
      <w:r>
        <w:rPr>
          <w:color w:val="231F20"/>
          <w:w w:val="105"/>
        </w:rPr>
        <w:t> it</w:t>
      </w:r>
      <w:r>
        <w:rPr>
          <w:color w:val="231F20"/>
          <w:w w:val="105"/>
        </w:rPr>
        <w:t> in</w:t>
      </w:r>
      <w:r>
        <w:rPr>
          <w:color w:val="231F20"/>
          <w:w w:val="105"/>
        </w:rPr>
        <w:t> the</w:t>
      </w:r>
      <w:r>
        <w:rPr>
          <w:color w:val="231F20"/>
          <w:w w:val="105"/>
        </w:rPr>
        <w:t> United States</w:t>
      </w:r>
      <w:r>
        <w:rPr>
          <w:color w:val="231F20"/>
          <w:w w:val="105"/>
        </w:rPr>
        <w:t> (new</w:t>
      </w:r>
      <w:r>
        <w:rPr>
          <w:color w:val="231F20"/>
          <w:w w:val="105"/>
        </w:rPr>
        <w:t> product,</w:t>
      </w:r>
      <w:r>
        <w:rPr>
          <w:color w:val="231F20"/>
          <w:w w:val="105"/>
        </w:rPr>
        <w:t> existing</w:t>
      </w:r>
      <w:r>
        <w:rPr>
          <w:color w:val="231F20"/>
          <w:w w:val="105"/>
        </w:rPr>
        <w:t> market).</w:t>
      </w:r>
      <w:r>
        <w:rPr>
          <w:color w:val="231F20"/>
          <w:w w:val="105"/>
        </w:rPr>
        <w:t> If</w:t>
      </w:r>
      <w:r>
        <w:rPr>
          <w:color w:val="231F20"/>
          <w:w w:val="105"/>
        </w:rPr>
        <w:t> it</w:t>
      </w:r>
      <w:r>
        <w:rPr>
          <w:color w:val="231F20"/>
          <w:w w:val="105"/>
        </w:rPr>
        <w:t> wanted</w:t>
      </w:r>
      <w:r>
        <w:rPr>
          <w:color w:val="231F20"/>
          <w:w w:val="105"/>
        </w:rPr>
        <w:t> to</w:t>
      </w:r>
      <w:r>
        <w:rPr>
          <w:color w:val="231F20"/>
          <w:w w:val="105"/>
        </w:rPr>
        <w:t> sell</w:t>
      </w:r>
      <w:r>
        <w:rPr>
          <w:color w:val="231F20"/>
          <w:w w:val="105"/>
        </w:rPr>
        <w:t> automo- biles</w:t>
      </w:r>
      <w:r>
        <w:rPr>
          <w:color w:val="231F20"/>
          <w:spacing w:val="-7"/>
          <w:w w:val="105"/>
        </w:rPr>
        <w:t> </w:t>
      </w:r>
      <w:r>
        <w:rPr>
          <w:color w:val="231F20"/>
          <w:w w:val="105"/>
        </w:rPr>
        <w:t>in</w:t>
      </w:r>
      <w:r>
        <w:rPr>
          <w:color w:val="231F20"/>
          <w:spacing w:val="-7"/>
          <w:w w:val="105"/>
        </w:rPr>
        <w:t> </w:t>
      </w:r>
      <w:r>
        <w:rPr>
          <w:color w:val="231F20"/>
          <w:w w:val="105"/>
        </w:rPr>
        <w:t>Nepal</w:t>
      </w:r>
      <w:r>
        <w:rPr>
          <w:color w:val="231F20"/>
          <w:spacing w:val="-7"/>
          <w:w w:val="105"/>
        </w:rPr>
        <w:t> </w:t>
      </w:r>
      <w:r>
        <w:rPr>
          <w:color w:val="231F20"/>
          <w:w w:val="105"/>
        </w:rPr>
        <w:t>(new</w:t>
      </w:r>
      <w:r>
        <w:rPr>
          <w:color w:val="231F20"/>
          <w:spacing w:val="-7"/>
          <w:w w:val="105"/>
        </w:rPr>
        <w:t> </w:t>
      </w:r>
      <w:r>
        <w:rPr>
          <w:color w:val="231F20"/>
          <w:w w:val="105"/>
        </w:rPr>
        <w:t>product,</w:t>
      </w:r>
      <w:r>
        <w:rPr>
          <w:color w:val="231F20"/>
          <w:spacing w:val="-7"/>
          <w:w w:val="105"/>
        </w:rPr>
        <w:t> </w:t>
      </w:r>
      <w:r>
        <w:rPr>
          <w:color w:val="231F20"/>
          <w:w w:val="105"/>
        </w:rPr>
        <w:t>new</w:t>
      </w:r>
      <w:r>
        <w:rPr>
          <w:color w:val="231F20"/>
          <w:spacing w:val="-7"/>
          <w:w w:val="105"/>
        </w:rPr>
        <w:t> </w:t>
      </w:r>
      <w:r>
        <w:rPr>
          <w:color w:val="231F20"/>
          <w:w w:val="105"/>
        </w:rPr>
        <w:t>market),</w:t>
      </w:r>
      <w:r>
        <w:rPr>
          <w:color w:val="231F20"/>
          <w:spacing w:val="-7"/>
          <w:w w:val="105"/>
        </w:rPr>
        <w:t> </w:t>
      </w:r>
      <w:r>
        <w:rPr>
          <w:color w:val="231F20"/>
          <w:w w:val="105"/>
        </w:rPr>
        <w:t>that</w:t>
      </w:r>
      <w:r>
        <w:rPr>
          <w:color w:val="231F20"/>
          <w:spacing w:val="-7"/>
          <w:w w:val="105"/>
        </w:rPr>
        <w:t> </w:t>
      </w:r>
      <w:r>
        <w:rPr>
          <w:color w:val="231F20"/>
          <w:w w:val="105"/>
        </w:rPr>
        <w:t>would</w:t>
      </w:r>
      <w:r>
        <w:rPr>
          <w:color w:val="231F20"/>
          <w:spacing w:val="-7"/>
          <w:w w:val="105"/>
        </w:rPr>
        <w:t> </w:t>
      </w:r>
      <w:r>
        <w:rPr>
          <w:color w:val="231F20"/>
          <w:w w:val="105"/>
        </w:rPr>
        <w:t>be</w:t>
      </w:r>
      <w:r>
        <w:rPr>
          <w:color w:val="231F20"/>
          <w:spacing w:val="-8"/>
          <w:w w:val="105"/>
        </w:rPr>
        <w:t> </w:t>
      </w:r>
      <w:r>
        <w:rPr>
          <w:i/>
          <w:color w:val="231F20"/>
          <w:w w:val="105"/>
        </w:rPr>
        <w:t>unrelated</w:t>
      </w:r>
      <w:r>
        <w:rPr>
          <w:i/>
          <w:color w:val="231F20"/>
          <w:w w:val="105"/>
        </w:rPr>
        <w:t> </w:t>
      </w:r>
      <w:r>
        <w:rPr>
          <w:i/>
          <w:color w:val="231F20"/>
          <w:spacing w:val="-2"/>
          <w:w w:val="105"/>
        </w:rPr>
        <w:t>diversification.</w:t>
      </w:r>
      <w:r>
        <w:rPr>
          <w:i/>
          <w:color w:val="231F20"/>
          <w:spacing w:val="-3"/>
          <w:w w:val="105"/>
        </w:rPr>
        <w:t> </w:t>
      </w:r>
      <w:r>
        <w:rPr>
          <w:color w:val="231F20"/>
          <w:spacing w:val="-2"/>
          <w:w w:val="105"/>
        </w:rPr>
        <w:t>A</w:t>
      </w:r>
      <w:r>
        <w:rPr>
          <w:color w:val="231F20"/>
          <w:spacing w:val="-3"/>
          <w:w w:val="105"/>
        </w:rPr>
        <w:t> </w:t>
      </w:r>
      <w:r>
        <w:rPr>
          <w:color w:val="231F20"/>
          <w:spacing w:val="-2"/>
          <w:w w:val="105"/>
        </w:rPr>
        <w:t>company</w:t>
      </w:r>
      <w:r>
        <w:rPr>
          <w:color w:val="231F20"/>
          <w:spacing w:val="-3"/>
          <w:w w:val="105"/>
        </w:rPr>
        <w:t> </w:t>
      </w:r>
      <w:r>
        <w:rPr>
          <w:color w:val="231F20"/>
          <w:spacing w:val="-2"/>
          <w:w w:val="105"/>
        </w:rPr>
        <w:t>always</w:t>
      </w:r>
      <w:r>
        <w:rPr>
          <w:color w:val="231F20"/>
          <w:spacing w:val="-3"/>
          <w:w w:val="105"/>
        </w:rPr>
        <w:t> </w:t>
      </w:r>
      <w:r>
        <w:rPr>
          <w:color w:val="231F20"/>
          <w:spacing w:val="-2"/>
          <w:w w:val="105"/>
        </w:rPr>
        <w:t>has</w:t>
      </w:r>
      <w:r>
        <w:rPr>
          <w:color w:val="231F20"/>
          <w:spacing w:val="-3"/>
          <w:w w:val="105"/>
        </w:rPr>
        <w:t> </w:t>
      </w:r>
      <w:r>
        <w:rPr>
          <w:color w:val="231F20"/>
          <w:spacing w:val="-2"/>
          <w:w w:val="105"/>
        </w:rPr>
        <w:t>a</w:t>
      </w:r>
      <w:r>
        <w:rPr>
          <w:color w:val="231F20"/>
          <w:spacing w:val="-3"/>
          <w:w w:val="105"/>
        </w:rPr>
        <w:t> </w:t>
      </w:r>
      <w:r>
        <w:rPr>
          <w:color w:val="231F20"/>
          <w:spacing w:val="-2"/>
          <w:w w:val="105"/>
        </w:rPr>
        <w:t>menu</w:t>
      </w:r>
      <w:r>
        <w:rPr>
          <w:color w:val="231F20"/>
          <w:spacing w:val="-3"/>
          <w:w w:val="105"/>
        </w:rPr>
        <w:t> </w:t>
      </w:r>
      <w:r>
        <w:rPr>
          <w:color w:val="231F20"/>
          <w:spacing w:val="-2"/>
          <w:w w:val="105"/>
        </w:rPr>
        <w:t>of</w:t>
      </w:r>
      <w:r>
        <w:rPr>
          <w:color w:val="231F20"/>
          <w:spacing w:val="-3"/>
          <w:w w:val="105"/>
        </w:rPr>
        <w:t> </w:t>
      </w:r>
      <w:r>
        <w:rPr>
          <w:color w:val="231F20"/>
          <w:spacing w:val="-2"/>
          <w:w w:val="105"/>
        </w:rPr>
        <w:t>expansion</w:t>
      </w:r>
      <w:r>
        <w:rPr>
          <w:color w:val="231F20"/>
          <w:spacing w:val="-3"/>
          <w:w w:val="105"/>
        </w:rPr>
        <w:t> </w:t>
      </w:r>
      <w:r>
        <w:rPr>
          <w:color w:val="231F20"/>
          <w:spacing w:val="-2"/>
          <w:w w:val="105"/>
        </w:rPr>
        <w:t>options. </w:t>
      </w:r>
      <w:r>
        <w:rPr>
          <w:color w:val="231F20"/>
          <w:w w:val="105"/>
        </w:rPr>
        <w:t>The</w:t>
      </w:r>
      <w:r>
        <w:rPr>
          <w:color w:val="231F20"/>
          <w:w w:val="105"/>
        </w:rPr>
        <w:t> catch</w:t>
      </w:r>
      <w:r>
        <w:rPr>
          <w:color w:val="231F20"/>
          <w:w w:val="105"/>
        </w:rPr>
        <w:t> is</w:t>
      </w:r>
      <w:r>
        <w:rPr>
          <w:color w:val="231F20"/>
          <w:w w:val="105"/>
        </w:rPr>
        <w:t> that</w:t>
      </w:r>
      <w:r>
        <w:rPr>
          <w:color w:val="231F20"/>
          <w:w w:val="105"/>
        </w:rPr>
        <w:t> there</w:t>
      </w:r>
      <w:r>
        <w:rPr>
          <w:color w:val="231F20"/>
          <w:w w:val="105"/>
        </w:rPr>
        <w:t> has</w:t>
      </w:r>
      <w:r>
        <w:rPr>
          <w:color w:val="231F20"/>
          <w:w w:val="105"/>
        </w:rPr>
        <w:t> to</w:t>
      </w:r>
      <w:r>
        <w:rPr>
          <w:color w:val="231F20"/>
          <w:w w:val="105"/>
        </w:rPr>
        <w:t> be</w:t>
      </w:r>
      <w:r>
        <w:rPr>
          <w:color w:val="231F20"/>
          <w:w w:val="105"/>
        </w:rPr>
        <w:t> enough</w:t>
      </w:r>
      <w:r>
        <w:rPr>
          <w:color w:val="231F20"/>
          <w:w w:val="105"/>
        </w:rPr>
        <w:t> money</w:t>
      </w:r>
      <w:r>
        <w:rPr>
          <w:color w:val="231F20"/>
          <w:w w:val="105"/>
        </w:rPr>
        <w:t> and</w:t>
      </w:r>
      <w:r>
        <w:rPr>
          <w:color w:val="231F20"/>
          <w:w w:val="105"/>
        </w:rPr>
        <w:t> management </w:t>
      </w:r>
      <w:r>
        <w:rPr>
          <w:color w:val="231F20"/>
          <w:spacing w:val="-2"/>
          <w:w w:val="105"/>
        </w:rPr>
        <w:t>time</w:t>
      </w:r>
      <w:r>
        <w:rPr>
          <w:color w:val="231F20"/>
          <w:spacing w:val="-7"/>
          <w:w w:val="105"/>
        </w:rPr>
        <w:t> </w:t>
      </w:r>
      <w:r>
        <w:rPr>
          <w:color w:val="231F20"/>
          <w:spacing w:val="-2"/>
          <w:w w:val="105"/>
        </w:rPr>
        <w:t>to</w:t>
      </w:r>
      <w:r>
        <w:rPr>
          <w:color w:val="231F20"/>
          <w:spacing w:val="-7"/>
          <w:w w:val="105"/>
        </w:rPr>
        <w:t> </w:t>
      </w:r>
      <w:r>
        <w:rPr>
          <w:color w:val="231F20"/>
          <w:spacing w:val="-2"/>
          <w:w w:val="105"/>
        </w:rPr>
        <w:t>expand</w:t>
      </w:r>
      <w:r>
        <w:rPr>
          <w:color w:val="231F20"/>
          <w:spacing w:val="-7"/>
          <w:w w:val="105"/>
        </w:rPr>
        <w:t> </w:t>
      </w:r>
      <w:r>
        <w:rPr>
          <w:color w:val="231F20"/>
          <w:spacing w:val="-2"/>
          <w:w w:val="105"/>
        </w:rPr>
        <w:t>effectively.</w:t>
      </w:r>
      <w:r>
        <w:rPr>
          <w:color w:val="231F20"/>
          <w:spacing w:val="-7"/>
          <w:w w:val="105"/>
        </w:rPr>
        <w:t> </w:t>
      </w:r>
      <w:r>
        <w:rPr>
          <w:color w:val="231F20"/>
          <w:spacing w:val="-2"/>
          <w:w w:val="105"/>
        </w:rPr>
        <w:t>If</w:t>
      </w:r>
      <w:r>
        <w:rPr>
          <w:color w:val="231F20"/>
          <w:spacing w:val="-7"/>
          <w:w w:val="105"/>
        </w:rPr>
        <w:t> </w:t>
      </w:r>
      <w:r>
        <w:rPr>
          <w:color w:val="231F20"/>
          <w:spacing w:val="-2"/>
          <w:w w:val="105"/>
        </w:rPr>
        <w:t>Hershey’s</w:t>
      </w:r>
      <w:r>
        <w:rPr>
          <w:color w:val="231F20"/>
          <w:spacing w:val="-7"/>
          <w:w w:val="105"/>
        </w:rPr>
        <w:t> </w:t>
      </w:r>
      <w:r>
        <w:rPr>
          <w:color w:val="231F20"/>
          <w:spacing w:val="-2"/>
          <w:w w:val="105"/>
        </w:rPr>
        <w:t>management</w:t>
      </w:r>
      <w:r>
        <w:rPr>
          <w:color w:val="231F20"/>
          <w:spacing w:val="-7"/>
          <w:w w:val="105"/>
        </w:rPr>
        <w:t> </w:t>
      </w:r>
      <w:r>
        <w:rPr>
          <w:color w:val="231F20"/>
          <w:spacing w:val="-2"/>
          <w:w w:val="105"/>
        </w:rPr>
        <w:t>were</w:t>
      </w:r>
      <w:r>
        <w:rPr>
          <w:color w:val="231F20"/>
          <w:spacing w:val="-7"/>
          <w:w w:val="105"/>
        </w:rPr>
        <w:t> </w:t>
      </w:r>
      <w:r>
        <w:rPr>
          <w:color w:val="231F20"/>
          <w:spacing w:val="-2"/>
          <w:w w:val="105"/>
        </w:rPr>
        <w:t>to</w:t>
      </w:r>
      <w:r>
        <w:rPr>
          <w:color w:val="231F20"/>
          <w:spacing w:val="-7"/>
          <w:w w:val="105"/>
        </w:rPr>
        <w:t> </w:t>
      </w:r>
      <w:r>
        <w:rPr>
          <w:color w:val="231F20"/>
          <w:spacing w:val="-2"/>
          <w:w w:val="105"/>
        </w:rPr>
        <w:t>decide </w:t>
      </w:r>
      <w:r>
        <w:rPr>
          <w:color w:val="231F20"/>
          <w:w w:val="105"/>
        </w:rPr>
        <w:t>to</w:t>
      </w:r>
      <w:r>
        <w:rPr>
          <w:color w:val="231F20"/>
          <w:w w:val="105"/>
        </w:rPr>
        <w:t> expand</w:t>
      </w:r>
      <w:r>
        <w:rPr>
          <w:color w:val="231F20"/>
          <w:w w:val="105"/>
        </w:rPr>
        <w:t> in</w:t>
      </w:r>
      <w:r>
        <w:rPr>
          <w:color w:val="231F20"/>
          <w:w w:val="105"/>
        </w:rPr>
        <w:t> all</w:t>
      </w:r>
      <w:r>
        <w:rPr>
          <w:color w:val="231F20"/>
          <w:w w:val="105"/>
        </w:rPr>
        <w:t> four</w:t>
      </w:r>
      <w:r>
        <w:rPr>
          <w:color w:val="231F20"/>
          <w:w w:val="105"/>
        </w:rPr>
        <w:t> of</w:t>
      </w:r>
      <w:r>
        <w:rPr>
          <w:color w:val="231F20"/>
          <w:w w:val="105"/>
        </w:rPr>
        <w:t> the</w:t>
      </w:r>
      <w:r>
        <w:rPr>
          <w:color w:val="231F20"/>
          <w:w w:val="105"/>
        </w:rPr>
        <w:t> directions</w:t>
      </w:r>
      <w:r>
        <w:rPr>
          <w:color w:val="231F20"/>
          <w:w w:val="105"/>
        </w:rPr>
        <w:t> described</w:t>
      </w:r>
      <w:r>
        <w:rPr>
          <w:color w:val="231F20"/>
          <w:w w:val="105"/>
        </w:rPr>
        <w:t> above,</w:t>
      </w:r>
      <w:r>
        <w:rPr>
          <w:color w:val="231F20"/>
          <w:w w:val="105"/>
        </w:rPr>
        <w:t> they</w:t>
      </w:r>
      <w:r>
        <w:rPr>
          <w:color w:val="231F20"/>
          <w:w w:val="105"/>
        </w:rPr>
        <w:t> could </w:t>
      </w:r>
      <w:r>
        <w:rPr>
          <w:color w:val="231F20"/>
        </w:rPr>
        <w:t>end up with many businesses that are inadequately managed. There </w:t>
      </w:r>
      <w:r>
        <w:rPr>
          <w:color w:val="231F20"/>
          <w:w w:val="105"/>
        </w:rPr>
        <w:t>are</w:t>
      </w:r>
      <w:r>
        <w:rPr>
          <w:color w:val="231F20"/>
          <w:spacing w:val="-13"/>
          <w:w w:val="105"/>
        </w:rPr>
        <w:t> </w:t>
      </w:r>
      <w:r>
        <w:rPr>
          <w:color w:val="231F20"/>
          <w:w w:val="105"/>
        </w:rPr>
        <w:t>only</w:t>
      </w:r>
      <w:r>
        <w:rPr>
          <w:color w:val="231F20"/>
          <w:spacing w:val="-12"/>
          <w:w w:val="105"/>
        </w:rPr>
        <w:t> </w:t>
      </w:r>
      <w:r>
        <w:rPr>
          <w:color w:val="231F20"/>
          <w:w w:val="105"/>
        </w:rPr>
        <w:t>so</w:t>
      </w:r>
      <w:r>
        <w:rPr>
          <w:color w:val="231F20"/>
          <w:spacing w:val="-12"/>
          <w:w w:val="105"/>
        </w:rPr>
        <w:t> </w:t>
      </w:r>
      <w:r>
        <w:rPr>
          <w:color w:val="231F20"/>
          <w:w w:val="105"/>
        </w:rPr>
        <w:t>many</w:t>
      </w:r>
      <w:r>
        <w:rPr>
          <w:color w:val="231F20"/>
          <w:spacing w:val="-12"/>
          <w:w w:val="105"/>
        </w:rPr>
        <w:t> </w:t>
      </w:r>
      <w:r>
        <w:rPr>
          <w:color w:val="231F20"/>
          <w:w w:val="105"/>
        </w:rPr>
        <w:t>hours</w:t>
      </w:r>
      <w:r>
        <w:rPr>
          <w:color w:val="231F20"/>
          <w:spacing w:val="-12"/>
          <w:w w:val="105"/>
        </w:rPr>
        <w:t> </w:t>
      </w:r>
      <w:r>
        <w:rPr>
          <w:color w:val="231F20"/>
          <w:w w:val="105"/>
        </w:rPr>
        <w:t>in</w:t>
      </w:r>
      <w:r>
        <w:rPr>
          <w:color w:val="231F20"/>
          <w:spacing w:val="-12"/>
          <w:w w:val="105"/>
        </w:rPr>
        <w:t> </w:t>
      </w:r>
      <w:r>
        <w:rPr>
          <w:color w:val="231F20"/>
          <w:w w:val="105"/>
        </w:rPr>
        <w:t>an</w:t>
      </w:r>
      <w:r>
        <w:rPr>
          <w:color w:val="231F20"/>
          <w:spacing w:val="-12"/>
          <w:w w:val="105"/>
        </w:rPr>
        <w:t> </w:t>
      </w:r>
      <w:r>
        <w:rPr>
          <w:color w:val="231F20"/>
          <w:w w:val="105"/>
        </w:rPr>
        <w:t>executive</w:t>
      </w:r>
      <w:r>
        <w:rPr>
          <w:color w:val="231F20"/>
          <w:spacing w:val="-13"/>
          <w:w w:val="105"/>
        </w:rPr>
        <w:t> </w:t>
      </w:r>
      <w:r>
        <w:rPr>
          <w:color w:val="231F20"/>
          <w:w w:val="105"/>
        </w:rPr>
        <w:t>day.</w:t>
      </w:r>
      <w:r>
        <w:rPr>
          <w:color w:val="231F20"/>
          <w:spacing w:val="-12"/>
          <w:w w:val="105"/>
        </w:rPr>
        <w:t> </w:t>
      </w:r>
      <w:r>
        <w:rPr>
          <w:color w:val="231F20"/>
          <w:w w:val="105"/>
        </w:rPr>
        <w:t>Even</w:t>
      </w:r>
      <w:r>
        <w:rPr>
          <w:color w:val="231F20"/>
          <w:spacing w:val="-12"/>
          <w:w w:val="105"/>
        </w:rPr>
        <w:t> </w:t>
      </w:r>
      <w:r>
        <w:rPr>
          <w:color w:val="231F20"/>
          <w:w w:val="105"/>
        </w:rPr>
        <w:t>if</w:t>
      </w:r>
      <w:r>
        <w:rPr>
          <w:color w:val="231F20"/>
          <w:spacing w:val="-12"/>
          <w:w w:val="105"/>
        </w:rPr>
        <w:t> </w:t>
      </w:r>
      <w:r>
        <w:rPr>
          <w:color w:val="231F20"/>
          <w:w w:val="105"/>
        </w:rPr>
        <w:t>managers</w:t>
      </w:r>
      <w:r>
        <w:rPr>
          <w:color w:val="231F20"/>
          <w:spacing w:val="-12"/>
          <w:w w:val="105"/>
        </w:rPr>
        <w:t> </w:t>
      </w:r>
      <w:r>
        <w:rPr>
          <w:color w:val="231F20"/>
          <w:w w:val="105"/>
        </w:rPr>
        <w:t>could </w:t>
      </w:r>
      <w:r>
        <w:rPr>
          <w:color w:val="231F20"/>
        </w:rPr>
        <w:t>run the new ventures, the company might lack the cash to fund them </w:t>
      </w:r>
      <w:r>
        <w:rPr>
          <w:color w:val="231F20"/>
          <w:spacing w:val="-2"/>
          <w:w w:val="105"/>
        </w:rPr>
        <w:t>adequately.</w:t>
      </w:r>
    </w:p>
    <w:p>
      <w:pPr>
        <w:spacing w:after="0" w:line="292" w:lineRule="auto"/>
        <w:jc w:val="both"/>
        <w:sectPr>
          <w:pgSz w:w="8640" w:h="12960"/>
          <w:pgMar w:header="732" w:footer="0" w:top="920" w:bottom="280" w:left="340" w:right="500"/>
        </w:sectPr>
      </w:pPr>
    </w:p>
    <w:p>
      <w:pPr>
        <w:pStyle w:val="BodyText"/>
        <w:rPr>
          <w:sz w:val="20"/>
        </w:rPr>
      </w:pPr>
    </w:p>
    <w:p>
      <w:pPr>
        <w:pStyle w:val="BodyText"/>
        <w:spacing w:before="9"/>
        <w:rPr>
          <w:sz w:val="20"/>
        </w:rPr>
      </w:pPr>
    </w:p>
    <w:p>
      <w:pPr>
        <w:pStyle w:val="Heading4"/>
        <w:spacing w:before="102"/>
      </w:pPr>
      <w:r>
        <w:rPr>
          <w:color w:val="231F20"/>
          <w:w w:val="85"/>
        </w:rPr>
        <w:t>INDUSTRY</w:t>
      </w:r>
      <w:r>
        <w:rPr>
          <w:color w:val="231F20"/>
          <w:spacing w:val="54"/>
          <w:w w:val="150"/>
        </w:rPr>
        <w:t> </w:t>
      </w:r>
      <w:r>
        <w:rPr>
          <w:color w:val="231F20"/>
          <w:spacing w:val="7"/>
        </w:rPr>
        <w:t>ANALYSIS</w:t>
      </w:r>
    </w:p>
    <w:p>
      <w:pPr>
        <w:pStyle w:val="BodyText"/>
        <w:spacing w:before="11"/>
        <w:rPr>
          <w:rFonts w:ascii="Trebuchet MS"/>
          <w:sz w:val="29"/>
        </w:rPr>
      </w:pPr>
    </w:p>
    <w:p>
      <w:pPr>
        <w:pStyle w:val="BodyText"/>
        <w:spacing w:line="292" w:lineRule="auto"/>
        <w:ind w:left="919" w:right="663"/>
        <w:jc w:val="both"/>
      </w:pPr>
      <w:r>
        <w:rPr>
          <w:color w:val="231F20"/>
        </w:rPr>
        <w:t>Along with the language to discuss expansion (integration and di- versification), you also need tools to help develop a strategy to </w:t>
      </w:r>
      <w:r>
        <w:rPr>
          <w:color w:val="231F20"/>
        </w:rPr>
        <w:t>sur- vive.</w:t>
      </w:r>
      <w:r>
        <w:rPr>
          <w:color w:val="231F20"/>
          <w:spacing w:val="40"/>
        </w:rPr>
        <w:t> </w:t>
      </w:r>
      <w:r>
        <w:rPr>
          <w:color w:val="231F20"/>
        </w:rPr>
        <w:t>Michael</w:t>
      </w:r>
      <w:r>
        <w:rPr>
          <w:color w:val="231F20"/>
          <w:spacing w:val="40"/>
        </w:rPr>
        <w:t> </w:t>
      </w:r>
      <w:r>
        <w:rPr>
          <w:color w:val="231F20"/>
        </w:rPr>
        <w:t>Porter</w:t>
      </w:r>
      <w:r>
        <w:rPr>
          <w:color w:val="231F20"/>
          <w:spacing w:val="40"/>
        </w:rPr>
        <w:t> </w:t>
      </w:r>
      <w:r>
        <w:rPr>
          <w:color w:val="231F20"/>
        </w:rPr>
        <w:t>of</w:t>
      </w:r>
      <w:r>
        <w:rPr>
          <w:color w:val="231F20"/>
          <w:spacing w:val="40"/>
        </w:rPr>
        <w:t> </w:t>
      </w:r>
      <w:r>
        <w:rPr>
          <w:color w:val="231F20"/>
        </w:rPr>
        <w:t>Harvard</w:t>
      </w:r>
      <w:r>
        <w:rPr>
          <w:color w:val="231F20"/>
          <w:spacing w:val="40"/>
        </w:rPr>
        <w:t> </w:t>
      </w:r>
      <w:r>
        <w:rPr>
          <w:color w:val="231F20"/>
        </w:rPr>
        <w:t>has</w:t>
      </w:r>
      <w:r>
        <w:rPr>
          <w:color w:val="231F20"/>
          <w:spacing w:val="40"/>
        </w:rPr>
        <w:t> </w:t>
      </w:r>
      <w:r>
        <w:rPr>
          <w:color w:val="231F20"/>
        </w:rPr>
        <w:t>developed</w:t>
      </w:r>
      <w:r>
        <w:rPr>
          <w:color w:val="231F20"/>
          <w:spacing w:val="40"/>
        </w:rPr>
        <w:t> </w:t>
      </w:r>
      <w:r>
        <w:rPr>
          <w:color w:val="231F20"/>
        </w:rPr>
        <w:t>the</w:t>
      </w:r>
      <w:r>
        <w:rPr>
          <w:color w:val="231F20"/>
          <w:spacing w:val="40"/>
        </w:rPr>
        <w:t> </w:t>
      </w:r>
      <w:r>
        <w:rPr>
          <w:i/>
          <w:color w:val="231F20"/>
        </w:rPr>
        <w:t>Five</w:t>
      </w:r>
      <w:r>
        <w:rPr>
          <w:i/>
          <w:color w:val="231F20"/>
          <w:spacing w:val="40"/>
        </w:rPr>
        <w:t> </w:t>
      </w:r>
      <w:r>
        <w:rPr>
          <w:i/>
          <w:color w:val="231F20"/>
        </w:rPr>
        <w:t>Forces</w:t>
      </w:r>
      <w:r>
        <w:rPr>
          <w:i/>
          <w:color w:val="231F20"/>
        </w:rPr>
        <w:t> Theory of Industry Structure </w:t>
      </w:r>
      <w:r>
        <w:rPr>
          <w:color w:val="231F20"/>
        </w:rPr>
        <w:t>to help companies survive in a compet- itive</w:t>
      </w:r>
      <w:r>
        <w:rPr>
          <w:color w:val="231F20"/>
          <w:spacing w:val="40"/>
        </w:rPr>
        <w:t> </w:t>
      </w:r>
      <w:r>
        <w:rPr>
          <w:color w:val="231F20"/>
        </w:rPr>
        <w:t>environment.</w:t>
      </w:r>
      <w:r>
        <w:rPr>
          <w:color w:val="231F20"/>
          <w:spacing w:val="40"/>
        </w:rPr>
        <w:t> </w:t>
      </w:r>
      <w:r>
        <w:rPr>
          <w:color w:val="231F20"/>
        </w:rPr>
        <w:t>His</w:t>
      </w:r>
      <w:r>
        <w:rPr>
          <w:color w:val="231F20"/>
          <w:spacing w:val="40"/>
        </w:rPr>
        <w:t> </w:t>
      </w:r>
      <w:r>
        <w:rPr>
          <w:color w:val="231F20"/>
        </w:rPr>
        <w:t>books,</w:t>
      </w:r>
      <w:r>
        <w:rPr>
          <w:color w:val="231F20"/>
          <w:spacing w:val="40"/>
        </w:rPr>
        <w:t> </w:t>
      </w:r>
      <w:r>
        <w:rPr>
          <w:i/>
          <w:color w:val="231F20"/>
        </w:rPr>
        <w:t>Competitive</w:t>
      </w:r>
      <w:r>
        <w:rPr>
          <w:i/>
          <w:color w:val="231F20"/>
          <w:spacing w:val="40"/>
        </w:rPr>
        <w:t> </w:t>
      </w:r>
      <w:r>
        <w:rPr>
          <w:i/>
          <w:color w:val="231F20"/>
        </w:rPr>
        <w:t>Strategy</w:t>
      </w:r>
      <w:r>
        <w:rPr>
          <w:i/>
          <w:color w:val="231F20"/>
          <w:spacing w:val="40"/>
        </w:rPr>
        <w:t> </w:t>
      </w:r>
      <w:r>
        <w:rPr>
          <w:color w:val="231F20"/>
        </w:rPr>
        <w:t>and</w:t>
      </w:r>
      <w:r>
        <w:rPr>
          <w:color w:val="231F20"/>
          <w:spacing w:val="40"/>
        </w:rPr>
        <w:t> </w:t>
      </w:r>
      <w:r>
        <w:rPr>
          <w:i/>
          <w:color w:val="231F20"/>
        </w:rPr>
        <w:t>Competi-</w:t>
      </w:r>
      <w:r>
        <w:rPr>
          <w:i/>
          <w:color w:val="231F20"/>
        </w:rPr>
        <w:t> tive Advantage, </w:t>
      </w:r>
      <w:r>
        <w:rPr>
          <w:color w:val="231F20"/>
        </w:rPr>
        <w:t>are truly cornerstones of strategic thinking. If you must buy business books (other than </w:t>
      </w:r>
      <w:r>
        <w:rPr>
          <w:i/>
          <w:color w:val="231F20"/>
        </w:rPr>
        <w:t>this </w:t>
      </w:r>
      <w:r>
        <w:rPr>
          <w:color w:val="231F20"/>
        </w:rPr>
        <w:t>one), they are the ones to purchase. Porter’s theories can be used to formulate survival strate- gies for your current business, as well as to evaluate the “attractive- ness” of other industries for expansion. Porter offers tools for investigating the five forces that determine the level of competition and, consequently, the level of profit in an industry.</w:t>
      </w:r>
    </w:p>
    <w:p>
      <w:pPr>
        <w:pStyle w:val="BodyText"/>
        <w:spacing w:line="242" w:lineRule="exact"/>
        <w:ind w:left="1259"/>
        <w:jc w:val="both"/>
      </w:pPr>
      <w:r>
        <w:rPr>
          <w:color w:val="231F20"/>
        </w:rPr>
        <w:t>The</w:t>
      </w:r>
      <w:r>
        <w:rPr>
          <w:color w:val="231F20"/>
          <w:spacing w:val="5"/>
        </w:rPr>
        <w:t> </w:t>
      </w:r>
      <w:r>
        <w:rPr>
          <w:color w:val="231F20"/>
        </w:rPr>
        <w:t>five</w:t>
      </w:r>
      <w:r>
        <w:rPr>
          <w:color w:val="231F20"/>
          <w:spacing w:val="5"/>
        </w:rPr>
        <w:t> </w:t>
      </w:r>
      <w:r>
        <w:rPr>
          <w:color w:val="231F20"/>
        </w:rPr>
        <w:t>forces</w:t>
      </w:r>
      <w:r>
        <w:rPr>
          <w:color w:val="231F20"/>
          <w:spacing w:val="6"/>
        </w:rPr>
        <w:t> </w:t>
      </w:r>
      <w:r>
        <w:rPr>
          <w:color w:val="231F20"/>
        </w:rPr>
        <w:t>that</w:t>
      </w:r>
      <w:r>
        <w:rPr>
          <w:color w:val="231F20"/>
          <w:spacing w:val="5"/>
        </w:rPr>
        <w:t> </w:t>
      </w:r>
      <w:r>
        <w:rPr>
          <w:color w:val="231F20"/>
        </w:rPr>
        <w:t>drive</w:t>
      </w:r>
      <w:r>
        <w:rPr>
          <w:color w:val="231F20"/>
          <w:spacing w:val="6"/>
        </w:rPr>
        <w:t> </w:t>
      </w:r>
      <w:r>
        <w:rPr>
          <w:color w:val="231F20"/>
        </w:rPr>
        <w:t>industry</w:t>
      </w:r>
      <w:r>
        <w:rPr>
          <w:color w:val="231F20"/>
          <w:spacing w:val="5"/>
        </w:rPr>
        <w:t> </w:t>
      </w:r>
      <w:r>
        <w:rPr>
          <w:color w:val="231F20"/>
        </w:rPr>
        <w:t>competition</w:t>
      </w:r>
      <w:r>
        <w:rPr>
          <w:color w:val="231F20"/>
          <w:spacing w:val="6"/>
        </w:rPr>
        <w:t> </w:t>
      </w:r>
      <w:r>
        <w:rPr>
          <w:color w:val="231F20"/>
          <w:spacing w:val="-4"/>
        </w:rPr>
        <w:t>are:</w:t>
      </w:r>
    </w:p>
    <w:p>
      <w:pPr>
        <w:pStyle w:val="BodyText"/>
        <w:spacing w:before="11"/>
        <w:rPr>
          <w:sz w:val="31"/>
        </w:rPr>
      </w:pPr>
    </w:p>
    <w:p>
      <w:pPr>
        <w:pStyle w:val="ListParagraph"/>
        <w:numPr>
          <w:ilvl w:val="1"/>
          <w:numId w:val="45"/>
        </w:numPr>
        <w:tabs>
          <w:tab w:pos="1446" w:val="left" w:leader="none"/>
        </w:tabs>
        <w:spacing w:line="240" w:lineRule="auto" w:before="0" w:after="0"/>
        <w:ind w:left="1445" w:right="0" w:hanging="186"/>
        <w:jc w:val="left"/>
        <w:rPr>
          <w:sz w:val="19"/>
        </w:rPr>
      </w:pPr>
      <w:r>
        <w:rPr>
          <w:color w:val="231F20"/>
          <w:w w:val="115"/>
          <w:sz w:val="19"/>
        </w:rPr>
        <w:t>Threat</w:t>
      </w:r>
      <w:r>
        <w:rPr>
          <w:color w:val="231F20"/>
          <w:spacing w:val="-13"/>
          <w:w w:val="115"/>
          <w:sz w:val="19"/>
        </w:rPr>
        <w:t> </w:t>
      </w:r>
      <w:r>
        <w:rPr>
          <w:color w:val="231F20"/>
          <w:w w:val="115"/>
          <w:sz w:val="19"/>
        </w:rPr>
        <w:t>of</w:t>
      </w:r>
      <w:r>
        <w:rPr>
          <w:color w:val="231F20"/>
          <w:spacing w:val="-12"/>
          <w:w w:val="115"/>
          <w:sz w:val="19"/>
        </w:rPr>
        <w:t> </w:t>
      </w:r>
      <w:r>
        <w:rPr>
          <w:color w:val="231F20"/>
          <w:spacing w:val="-2"/>
          <w:w w:val="115"/>
          <w:sz w:val="19"/>
        </w:rPr>
        <w:t>Substitutes</w:t>
      </w:r>
    </w:p>
    <w:p>
      <w:pPr>
        <w:pStyle w:val="ListParagraph"/>
        <w:numPr>
          <w:ilvl w:val="1"/>
          <w:numId w:val="45"/>
        </w:numPr>
        <w:tabs>
          <w:tab w:pos="1446" w:val="left" w:leader="none"/>
        </w:tabs>
        <w:spacing w:line="240" w:lineRule="auto" w:before="82" w:after="0"/>
        <w:ind w:left="1445" w:right="0" w:hanging="186"/>
        <w:jc w:val="left"/>
        <w:rPr>
          <w:sz w:val="19"/>
        </w:rPr>
      </w:pPr>
      <w:r>
        <w:rPr>
          <w:color w:val="231F20"/>
          <w:spacing w:val="-2"/>
          <w:w w:val="115"/>
          <w:sz w:val="19"/>
        </w:rPr>
        <w:t>Threat</w:t>
      </w:r>
      <w:r>
        <w:rPr>
          <w:color w:val="231F20"/>
          <w:spacing w:val="-8"/>
          <w:w w:val="115"/>
          <w:sz w:val="19"/>
        </w:rPr>
        <w:t> </w:t>
      </w:r>
      <w:r>
        <w:rPr>
          <w:color w:val="231F20"/>
          <w:spacing w:val="-2"/>
          <w:w w:val="115"/>
          <w:sz w:val="19"/>
        </w:rPr>
        <w:t>of</w:t>
      </w:r>
      <w:r>
        <w:rPr>
          <w:color w:val="231F20"/>
          <w:spacing w:val="-8"/>
          <w:w w:val="115"/>
          <w:sz w:val="19"/>
        </w:rPr>
        <w:t> </w:t>
      </w:r>
      <w:r>
        <w:rPr>
          <w:color w:val="231F20"/>
          <w:spacing w:val="-2"/>
          <w:w w:val="115"/>
          <w:sz w:val="19"/>
        </w:rPr>
        <w:t>New</w:t>
      </w:r>
      <w:r>
        <w:rPr>
          <w:color w:val="231F20"/>
          <w:spacing w:val="-9"/>
          <w:w w:val="115"/>
          <w:sz w:val="19"/>
        </w:rPr>
        <w:t> </w:t>
      </w:r>
      <w:r>
        <w:rPr>
          <w:color w:val="231F20"/>
          <w:spacing w:val="-2"/>
          <w:w w:val="115"/>
          <w:sz w:val="19"/>
        </w:rPr>
        <w:t>Entrants</w:t>
      </w:r>
    </w:p>
    <w:p>
      <w:pPr>
        <w:pStyle w:val="ListParagraph"/>
        <w:numPr>
          <w:ilvl w:val="1"/>
          <w:numId w:val="45"/>
        </w:numPr>
        <w:tabs>
          <w:tab w:pos="1446" w:val="left" w:leader="none"/>
        </w:tabs>
        <w:spacing w:line="240" w:lineRule="auto" w:before="81" w:after="0"/>
        <w:ind w:left="1445" w:right="0" w:hanging="186"/>
        <w:jc w:val="left"/>
        <w:rPr>
          <w:sz w:val="19"/>
        </w:rPr>
      </w:pPr>
      <w:r>
        <w:rPr>
          <w:color w:val="231F20"/>
          <w:spacing w:val="-2"/>
          <w:w w:val="115"/>
          <w:sz w:val="19"/>
        </w:rPr>
        <w:t>Bargaining</w:t>
      </w:r>
      <w:r>
        <w:rPr>
          <w:color w:val="231F20"/>
          <w:spacing w:val="-9"/>
          <w:w w:val="115"/>
          <w:sz w:val="19"/>
        </w:rPr>
        <w:t> </w:t>
      </w:r>
      <w:r>
        <w:rPr>
          <w:color w:val="231F20"/>
          <w:spacing w:val="-2"/>
          <w:w w:val="115"/>
          <w:sz w:val="19"/>
        </w:rPr>
        <w:t>Power</w:t>
      </w:r>
      <w:r>
        <w:rPr>
          <w:color w:val="231F20"/>
          <w:spacing w:val="-9"/>
          <w:w w:val="115"/>
          <w:sz w:val="19"/>
        </w:rPr>
        <w:t> </w:t>
      </w:r>
      <w:r>
        <w:rPr>
          <w:color w:val="231F20"/>
          <w:spacing w:val="-2"/>
          <w:w w:val="115"/>
          <w:sz w:val="19"/>
        </w:rPr>
        <w:t>of</w:t>
      </w:r>
      <w:r>
        <w:rPr>
          <w:color w:val="231F20"/>
          <w:spacing w:val="-8"/>
          <w:w w:val="115"/>
          <w:sz w:val="19"/>
        </w:rPr>
        <w:t> </w:t>
      </w:r>
      <w:r>
        <w:rPr>
          <w:color w:val="231F20"/>
          <w:spacing w:val="-2"/>
          <w:w w:val="115"/>
          <w:sz w:val="19"/>
        </w:rPr>
        <w:t>Suppliers</w:t>
      </w:r>
    </w:p>
    <w:p>
      <w:pPr>
        <w:pStyle w:val="ListParagraph"/>
        <w:numPr>
          <w:ilvl w:val="1"/>
          <w:numId w:val="45"/>
        </w:numPr>
        <w:tabs>
          <w:tab w:pos="1446" w:val="left" w:leader="none"/>
        </w:tabs>
        <w:spacing w:line="240" w:lineRule="auto" w:before="82" w:after="0"/>
        <w:ind w:left="1445" w:right="0" w:hanging="186"/>
        <w:jc w:val="left"/>
        <w:rPr>
          <w:sz w:val="19"/>
        </w:rPr>
      </w:pPr>
      <w:r>
        <w:rPr>
          <w:color w:val="231F20"/>
          <w:spacing w:val="-2"/>
          <w:w w:val="115"/>
          <w:sz w:val="19"/>
        </w:rPr>
        <w:t>Bargaining</w:t>
      </w:r>
      <w:r>
        <w:rPr>
          <w:color w:val="231F20"/>
          <w:spacing w:val="-9"/>
          <w:w w:val="115"/>
          <w:sz w:val="19"/>
        </w:rPr>
        <w:t> </w:t>
      </w:r>
      <w:r>
        <w:rPr>
          <w:color w:val="231F20"/>
          <w:spacing w:val="-2"/>
          <w:w w:val="115"/>
          <w:sz w:val="19"/>
        </w:rPr>
        <w:t>Power</w:t>
      </w:r>
      <w:r>
        <w:rPr>
          <w:color w:val="231F20"/>
          <w:spacing w:val="-9"/>
          <w:w w:val="115"/>
          <w:sz w:val="19"/>
        </w:rPr>
        <w:t> </w:t>
      </w:r>
      <w:r>
        <w:rPr>
          <w:color w:val="231F20"/>
          <w:spacing w:val="-2"/>
          <w:w w:val="115"/>
          <w:sz w:val="19"/>
        </w:rPr>
        <w:t>of</w:t>
      </w:r>
      <w:r>
        <w:rPr>
          <w:color w:val="231F20"/>
          <w:spacing w:val="-8"/>
          <w:w w:val="115"/>
          <w:sz w:val="19"/>
        </w:rPr>
        <w:t> </w:t>
      </w:r>
      <w:r>
        <w:rPr>
          <w:color w:val="231F20"/>
          <w:spacing w:val="-2"/>
          <w:w w:val="115"/>
          <w:sz w:val="19"/>
        </w:rPr>
        <w:t>Buyers</w:t>
      </w:r>
    </w:p>
    <w:p>
      <w:pPr>
        <w:pStyle w:val="ListParagraph"/>
        <w:numPr>
          <w:ilvl w:val="1"/>
          <w:numId w:val="45"/>
        </w:numPr>
        <w:tabs>
          <w:tab w:pos="1446" w:val="left" w:leader="none"/>
        </w:tabs>
        <w:spacing w:line="240" w:lineRule="auto" w:before="81" w:after="0"/>
        <w:ind w:left="1445" w:right="0" w:hanging="186"/>
        <w:jc w:val="left"/>
        <w:rPr>
          <w:sz w:val="19"/>
        </w:rPr>
      </w:pPr>
      <w:r>
        <w:rPr>
          <w:color w:val="231F20"/>
          <w:w w:val="115"/>
          <w:sz w:val="19"/>
        </w:rPr>
        <w:t>Intensity</w:t>
      </w:r>
      <w:r>
        <w:rPr>
          <w:color w:val="231F20"/>
          <w:spacing w:val="-7"/>
          <w:w w:val="115"/>
          <w:sz w:val="19"/>
        </w:rPr>
        <w:t> </w:t>
      </w:r>
      <w:r>
        <w:rPr>
          <w:color w:val="231F20"/>
          <w:w w:val="115"/>
          <w:sz w:val="19"/>
        </w:rPr>
        <w:t>of</w:t>
      </w:r>
      <w:r>
        <w:rPr>
          <w:color w:val="231F20"/>
          <w:spacing w:val="-6"/>
          <w:w w:val="115"/>
          <w:sz w:val="19"/>
        </w:rPr>
        <w:t> </w:t>
      </w:r>
      <w:r>
        <w:rPr>
          <w:color w:val="231F20"/>
          <w:w w:val="115"/>
          <w:sz w:val="19"/>
        </w:rPr>
        <w:t>Rivalry</w:t>
      </w:r>
      <w:r>
        <w:rPr>
          <w:color w:val="231F20"/>
          <w:spacing w:val="-6"/>
          <w:w w:val="115"/>
          <w:sz w:val="19"/>
        </w:rPr>
        <w:t> </w:t>
      </w:r>
      <w:r>
        <w:rPr>
          <w:color w:val="231F20"/>
          <w:w w:val="115"/>
          <w:sz w:val="19"/>
        </w:rPr>
        <w:t>Among</w:t>
      </w:r>
      <w:r>
        <w:rPr>
          <w:color w:val="231F20"/>
          <w:spacing w:val="-6"/>
          <w:w w:val="115"/>
          <w:sz w:val="19"/>
        </w:rPr>
        <w:t> </w:t>
      </w:r>
      <w:r>
        <w:rPr>
          <w:color w:val="231F20"/>
          <w:spacing w:val="-2"/>
          <w:w w:val="115"/>
          <w:sz w:val="19"/>
        </w:rPr>
        <w:t>Competitors</w:t>
      </w:r>
    </w:p>
    <w:p>
      <w:pPr>
        <w:pStyle w:val="BodyText"/>
        <w:rPr>
          <w:rFonts w:ascii="Arial"/>
          <w:sz w:val="20"/>
        </w:rPr>
      </w:pPr>
    </w:p>
    <w:p>
      <w:pPr>
        <w:pStyle w:val="BodyText"/>
        <w:rPr>
          <w:rFonts w:ascii="Arial"/>
          <w:sz w:val="20"/>
        </w:rPr>
      </w:pPr>
    </w:p>
    <w:p>
      <w:pPr>
        <w:pStyle w:val="BodyText"/>
        <w:spacing w:before="5"/>
        <w:rPr>
          <w:rFonts w:ascii="Arial"/>
          <w:sz w:val="17"/>
        </w:rPr>
      </w:pPr>
    </w:p>
    <w:p>
      <w:pPr>
        <w:pStyle w:val="Heading6"/>
        <w:rPr>
          <w:i/>
        </w:rPr>
      </w:pPr>
      <w:r>
        <w:rPr>
          <w:i/>
          <w:color w:val="231F20"/>
          <w:w w:val="110"/>
        </w:rPr>
        <w:t>A</w:t>
      </w:r>
      <w:r>
        <w:rPr>
          <w:i/>
          <w:color w:val="231F20"/>
          <w:spacing w:val="52"/>
          <w:w w:val="110"/>
        </w:rPr>
        <w:t> </w:t>
      </w:r>
      <w:r>
        <w:rPr>
          <w:i/>
          <w:color w:val="231F20"/>
          <w:spacing w:val="10"/>
          <w:w w:val="110"/>
        </w:rPr>
        <w:t>FIVE-</w:t>
      </w:r>
      <w:r>
        <w:rPr>
          <w:i/>
          <w:color w:val="231F20"/>
          <w:w w:val="110"/>
        </w:rPr>
        <w:t>FORCES</w:t>
      </w:r>
      <w:r>
        <w:rPr>
          <w:i/>
          <w:color w:val="231F20"/>
          <w:spacing w:val="55"/>
          <w:w w:val="110"/>
        </w:rPr>
        <w:t> </w:t>
      </w:r>
      <w:r>
        <w:rPr>
          <w:i/>
          <w:color w:val="231F20"/>
          <w:spacing w:val="8"/>
          <w:w w:val="110"/>
        </w:rPr>
        <w:t>EXAMPLE</w:t>
      </w:r>
    </w:p>
    <w:p>
      <w:pPr>
        <w:pStyle w:val="BodyText"/>
        <w:spacing w:before="2"/>
        <w:rPr>
          <w:b/>
          <w:i/>
          <w:sz w:val="30"/>
        </w:rPr>
      </w:pPr>
    </w:p>
    <w:p>
      <w:pPr>
        <w:pStyle w:val="BodyText"/>
        <w:spacing w:line="292" w:lineRule="auto"/>
        <w:ind w:left="920" w:right="666"/>
        <w:jc w:val="both"/>
      </w:pPr>
      <w:r>
        <w:rPr>
          <w:color w:val="231F20"/>
        </w:rPr>
        <w:t>Let’s apply the model to the tin can industry, which would be viewed by Porter as extremely competitive because of the array of forces </w:t>
      </w:r>
      <w:r>
        <w:rPr>
          <w:color w:val="231F20"/>
        </w:rPr>
        <w:t>at play within the industry. The </w:t>
      </w:r>
      <w:r>
        <w:rPr>
          <w:i/>
          <w:color w:val="231F20"/>
        </w:rPr>
        <w:t>suppliers </w:t>
      </w:r>
      <w:r>
        <w:rPr>
          <w:color w:val="231F20"/>
        </w:rPr>
        <w:t>of steel have many other in- dustries to sell their steel to. Therefore, the canning industry does</w:t>
      </w:r>
      <w:r>
        <w:rPr>
          <w:color w:val="231F20"/>
          <w:spacing w:val="40"/>
        </w:rPr>
        <w:t> </w:t>
      </w:r>
      <w:r>
        <w:rPr>
          <w:color w:val="231F20"/>
        </w:rPr>
        <w:t>not have much leverage in the market. Porter focuses on power, the ability of one participant in the value chain to force its will on others in the chain.</w:t>
      </w:r>
    </w:p>
    <w:p>
      <w:pPr>
        <w:pStyle w:val="BodyText"/>
        <w:spacing w:line="292" w:lineRule="auto"/>
        <w:ind w:left="920" w:right="666" w:firstLine="339"/>
        <w:jc w:val="both"/>
      </w:pPr>
      <w:r>
        <w:rPr>
          <w:color w:val="231F20"/>
        </w:rPr>
        <w:t>The </w:t>
      </w:r>
      <w:r>
        <w:rPr>
          <w:i/>
          <w:color w:val="231F20"/>
        </w:rPr>
        <w:t>users </w:t>
      </w:r>
      <w:r>
        <w:rPr>
          <w:color w:val="231F20"/>
        </w:rPr>
        <w:t>of cans are primarily the small group of large food processors. Users can wield their power to force the can industry to reduce prices by playing one competitor against another.</w:t>
      </w:r>
    </w:p>
    <w:p>
      <w:pPr>
        <w:spacing w:after="0" w:line="292" w:lineRule="auto"/>
        <w:jc w:val="both"/>
        <w:sectPr>
          <w:pgSz w:w="8640" w:h="12960"/>
          <w:pgMar w:header="734" w:footer="0" w:top="920" w:bottom="280" w:left="340" w:right="500"/>
        </w:sectPr>
      </w:pPr>
    </w:p>
    <w:p>
      <w:pPr>
        <w:pStyle w:val="BodyText"/>
        <w:spacing w:before="10"/>
        <w:rPr>
          <w:sz w:val="19"/>
        </w:rPr>
      </w:pPr>
    </w:p>
    <w:p>
      <w:pPr>
        <w:spacing w:before="96"/>
        <w:ind w:left="293" w:right="219" w:firstLine="0"/>
        <w:jc w:val="center"/>
        <w:rPr>
          <w:rFonts w:ascii="Arial" w:hAnsi="Arial"/>
          <w:sz w:val="14"/>
        </w:rPr>
      </w:pPr>
      <w:r>
        <w:rPr>
          <w:rFonts w:ascii="Arial" w:hAnsi="Arial"/>
          <w:color w:val="231F20"/>
          <w:w w:val="105"/>
          <w:sz w:val="14"/>
        </w:rPr>
        <w:t>PORTER’S</w:t>
      </w:r>
      <w:r>
        <w:rPr>
          <w:rFonts w:ascii="Arial" w:hAnsi="Arial"/>
          <w:color w:val="231F20"/>
          <w:spacing w:val="18"/>
          <w:w w:val="105"/>
          <w:sz w:val="14"/>
        </w:rPr>
        <w:t> </w:t>
      </w:r>
      <w:r>
        <w:rPr>
          <w:rFonts w:ascii="Arial" w:hAnsi="Arial"/>
          <w:color w:val="231F20"/>
          <w:w w:val="105"/>
          <w:sz w:val="14"/>
        </w:rPr>
        <w:t>FIVE</w:t>
      </w:r>
      <w:r>
        <w:rPr>
          <w:rFonts w:ascii="Arial" w:hAnsi="Arial"/>
          <w:color w:val="231F20"/>
          <w:spacing w:val="18"/>
          <w:w w:val="105"/>
          <w:sz w:val="14"/>
        </w:rPr>
        <w:t> </w:t>
      </w:r>
      <w:r>
        <w:rPr>
          <w:rFonts w:ascii="Arial" w:hAnsi="Arial"/>
          <w:color w:val="231F20"/>
          <w:w w:val="105"/>
          <w:sz w:val="14"/>
        </w:rPr>
        <w:t>FORCES</w:t>
      </w:r>
      <w:r>
        <w:rPr>
          <w:rFonts w:ascii="Arial" w:hAnsi="Arial"/>
          <w:color w:val="231F20"/>
          <w:spacing w:val="19"/>
          <w:w w:val="105"/>
          <w:sz w:val="14"/>
        </w:rPr>
        <w:t> </w:t>
      </w:r>
      <w:r>
        <w:rPr>
          <w:rFonts w:ascii="Arial" w:hAnsi="Arial"/>
          <w:color w:val="231F20"/>
          <w:w w:val="105"/>
          <w:sz w:val="14"/>
        </w:rPr>
        <w:t>THEORY</w:t>
      </w:r>
      <w:r>
        <w:rPr>
          <w:rFonts w:ascii="Arial" w:hAnsi="Arial"/>
          <w:color w:val="231F20"/>
          <w:spacing w:val="18"/>
          <w:w w:val="105"/>
          <w:sz w:val="14"/>
        </w:rPr>
        <w:t> </w:t>
      </w:r>
      <w:r>
        <w:rPr>
          <w:rFonts w:ascii="Arial" w:hAnsi="Arial"/>
          <w:color w:val="231F20"/>
          <w:w w:val="105"/>
          <w:sz w:val="14"/>
        </w:rPr>
        <w:t>OF</w:t>
      </w:r>
      <w:r>
        <w:rPr>
          <w:rFonts w:ascii="Arial" w:hAnsi="Arial"/>
          <w:color w:val="231F20"/>
          <w:spacing w:val="19"/>
          <w:w w:val="105"/>
          <w:sz w:val="14"/>
        </w:rPr>
        <w:t> </w:t>
      </w:r>
      <w:r>
        <w:rPr>
          <w:rFonts w:ascii="Arial" w:hAnsi="Arial"/>
          <w:color w:val="231F20"/>
          <w:w w:val="105"/>
          <w:sz w:val="14"/>
        </w:rPr>
        <w:t>INDUSTRY</w:t>
      </w:r>
      <w:r>
        <w:rPr>
          <w:rFonts w:ascii="Arial" w:hAnsi="Arial"/>
          <w:color w:val="231F20"/>
          <w:spacing w:val="18"/>
          <w:w w:val="105"/>
          <w:sz w:val="14"/>
        </w:rPr>
        <w:t> </w:t>
      </w:r>
      <w:r>
        <w:rPr>
          <w:rFonts w:ascii="Arial" w:hAnsi="Arial"/>
          <w:color w:val="231F20"/>
          <w:spacing w:val="-2"/>
          <w:w w:val="105"/>
          <w:sz w:val="14"/>
        </w:rPr>
        <w:t>STRUCTURE</w:t>
      </w:r>
    </w:p>
    <w:p>
      <w:pPr>
        <w:pStyle w:val="BodyText"/>
        <w:rPr>
          <w:rFonts w:ascii="Arial"/>
          <w:sz w:val="16"/>
        </w:rPr>
      </w:pPr>
      <w:r>
        <w:rPr/>
        <w:pict>
          <v:shape style="position:absolute;margin-left:193.951019pt;margin-top:10.915452pt;width:39.85pt;height:21.25pt;mso-position-horizontal-relative:page;mso-position-vertical-relative:paragraph;z-index:-15529984;mso-wrap-distance-left:0;mso-wrap-distance-right:0" type="#_x0000_t202" id="docshape502" filled="false" stroked="true" strokeweight="1pt" strokecolor="#231f20">
            <v:textbox inset="0,0,0,0">
              <w:txbxContent>
                <w:p>
                  <w:pPr>
                    <w:spacing w:line="249" w:lineRule="auto" w:before="12"/>
                    <w:ind w:left="79" w:right="0" w:hanging="14"/>
                    <w:jc w:val="left"/>
                    <w:rPr>
                      <w:rFonts w:ascii="Arial"/>
                      <w:sz w:val="16"/>
                    </w:rPr>
                  </w:pPr>
                  <w:r>
                    <w:rPr>
                      <w:rFonts w:ascii="Arial"/>
                      <w:color w:val="231F20"/>
                      <w:spacing w:val="-2"/>
                      <w:sz w:val="16"/>
                    </w:rPr>
                    <w:t>Potential Entrants</w:t>
                  </w:r>
                </w:p>
              </w:txbxContent>
            </v:textbox>
            <v:stroke dashstyle="solid"/>
            <w10:wrap type="topAndBottom"/>
          </v:shape>
        </w:pict>
      </w:r>
    </w:p>
    <w:p>
      <w:pPr>
        <w:pStyle w:val="BodyText"/>
        <w:spacing w:before="11"/>
        <w:rPr>
          <w:rFonts w:ascii="Arial"/>
          <w:sz w:val="6"/>
        </w:rPr>
      </w:pPr>
    </w:p>
    <w:p>
      <w:pPr>
        <w:spacing w:line="249" w:lineRule="auto" w:before="112"/>
        <w:ind w:left="4015" w:right="2942" w:firstLine="0"/>
        <w:jc w:val="left"/>
        <w:rPr>
          <w:rFonts w:ascii="Arial"/>
          <w:sz w:val="14"/>
        </w:rPr>
      </w:pPr>
      <w:r>
        <w:rPr/>
        <w:pict>
          <v:group style="position:absolute;margin-left:211.354004pt;margin-top:-3.761941pt;width:5pt;height:33.2pt;mso-position-horizontal-relative:page;mso-position-vertical-relative:paragraph;z-index:15929856" id="docshapegroup503" coordorigin="4227,-75" coordsize="100,664">
            <v:shape style="position:absolute;left:4277;top:-76;width:2;height:592" id="docshape504" coordorigin="4277,-75" coordsize="0,592" path="m4277,-75l4277,517e" filled="true" fillcolor="#ffffff" stroked="false">
              <v:path arrowok="t"/>
              <v:fill type="solid"/>
            </v:shape>
            <v:line style="position:absolute" from="4277,-75" to="4277,517" stroked="true" strokeweight="1pt" strokecolor="#231f20">
              <v:stroke dashstyle="solid"/>
            </v:line>
            <v:shape style="position:absolute;left:4227;top:502;width:100;height:87" id="docshape505" coordorigin="4227,502" coordsize="100,87" path="m4327,502l4227,502,4277,588,4327,502xe" filled="true" fillcolor="#231f20" stroked="false">
              <v:path arrowok="t"/>
              <v:fill type="solid"/>
            </v:shape>
            <w10:wrap type="none"/>
          </v:group>
        </w:pict>
      </w:r>
      <w:r>
        <w:rPr/>
        <w:pict>
          <v:shape style="position:absolute;margin-left:303.161011pt;margin-top:51.498081pt;width:39.85pt;height:21.25pt;mso-position-horizontal-relative:page;mso-position-vertical-relative:paragraph;z-index:15930368" type="#_x0000_t202" id="docshape506" filled="false" stroked="true" strokeweight="1pt" strokecolor="#231f20">
            <v:textbox inset="0,0,0,0">
              <w:txbxContent>
                <w:p>
                  <w:pPr>
                    <w:spacing w:before="107"/>
                    <w:ind w:left="154" w:right="0" w:firstLine="0"/>
                    <w:jc w:val="left"/>
                    <w:rPr>
                      <w:rFonts w:ascii="Arial"/>
                      <w:sz w:val="16"/>
                    </w:rPr>
                  </w:pPr>
                  <w:r>
                    <w:rPr>
                      <w:rFonts w:ascii="Arial"/>
                      <w:color w:val="231F20"/>
                      <w:spacing w:val="-2"/>
                      <w:sz w:val="16"/>
                    </w:rPr>
                    <w:t>Buyers</w:t>
                  </w:r>
                </w:p>
              </w:txbxContent>
            </v:textbox>
            <v:stroke dashstyle="solid"/>
            <w10:wrap type="none"/>
          </v:shape>
        </w:pict>
      </w:r>
      <w:r>
        <w:rPr>
          <w:rFonts w:ascii="Arial"/>
          <w:color w:val="231F20"/>
          <w:sz w:val="14"/>
        </w:rPr>
        <w:t>Threat</w:t>
      </w:r>
      <w:r>
        <w:rPr>
          <w:rFonts w:ascii="Arial"/>
          <w:color w:val="231F20"/>
          <w:spacing w:val="-3"/>
          <w:sz w:val="14"/>
        </w:rPr>
        <w:t> </w:t>
      </w:r>
      <w:r>
        <w:rPr>
          <w:rFonts w:ascii="Arial"/>
          <w:color w:val="231F20"/>
          <w:sz w:val="14"/>
        </w:rPr>
        <w:t>of</w:t>
      </w:r>
      <w:r>
        <w:rPr>
          <w:rFonts w:ascii="Arial"/>
          <w:color w:val="231F20"/>
          <w:spacing w:val="40"/>
          <w:sz w:val="14"/>
        </w:rPr>
        <w:t> </w:t>
      </w:r>
      <w:r>
        <w:rPr>
          <w:rFonts w:ascii="Arial"/>
          <w:color w:val="231F20"/>
          <w:sz w:val="14"/>
        </w:rPr>
        <w:t>New</w:t>
      </w:r>
      <w:r>
        <w:rPr>
          <w:rFonts w:ascii="Arial"/>
          <w:color w:val="231F20"/>
          <w:spacing w:val="-10"/>
          <w:sz w:val="14"/>
        </w:rPr>
        <w:t> </w:t>
      </w:r>
      <w:r>
        <w:rPr>
          <w:rFonts w:ascii="Arial"/>
          <w:color w:val="231F20"/>
          <w:sz w:val="14"/>
        </w:rPr>
        <w:t>Entrants</w:t>
      </w:r>
    </w:p>
    <w:p>
      <w:pPr>
        <w:pStyle w:val="BodyText"/>
        <w:spacing w:before="8"/>
        <w:rPr>
          <w:rFonts w:ascii="Arial"/>
          <w:sz w:val="26"/>
        </w:rPr>
      </w:pPr>
    </w:p>
    <w:p>
      <w:pPr>
        <w:spacing w:after="0"/>
        <w:rPr>
          <w:rFonts w:ascii="Arial"/>
          <w:sz w:val="26"/>
        </w:rPr>
        <w:sectPr>
          <w:pgSz w:w="8640" w:h="12960"/>
          <w:pgMar w:header="732" w:footer="0" w:top="920" w:bottom="280" w:left="340" w:right="500"/>
        </w:sectPr>
      </w:pPr>
    </w:p>
    <w:p>
      <w:pPr>
        <w:spacing w:line="249" w:lineRule="auto" w:before="113"/>
        <w:ind w:left="2224" w:right="100" w:firstLine="0"/>
        <w:jc w:val="left"/>
        <w:rPr>
          <w:rFonts w:ascii="Arial"/>
          <w:sz w:val="14"/>
        </w:rPr>
      </w:pPr>
      <w:r>
        <w:rPr/>
        <w:pict>
          <v:group style="position:absolute;margin-left:185.594009pt;margin-top:-5.784177pt;width:54.45pt;height:59.7pt;mso-position-horizontal-relative:page;mso-position-vertical-relative:paragraph;z-index:15929344" id="docshapegroup507" coordorigin="3712,-116" coordsize="1089,1194">
            <v:shape style="position:absolute;left:3973;top:308;width:545;height:310" id="docshape508" coordorigin="3973,308" coordsize="545,310" path="m3973,308l3995,487,4032,579,4110,612,4256,617,4390,580,4470,503,4508,426,4518,392e" filled="false" stroked="true" strokeweight="1pt" strokecolor="#231f20">
              <v:path arrowok="t"/>
              <v:stroke dashstyle="solid"/>
            </v:shape>
            <v:shape style="position:absolute;left:4466;top:321;width:98;height:95" id="docshape509" coordorigin="4466,321" coordsize="98,95" path="m4532,321l4466,397,4564,416,4532,321xe" filled="true" fillcolor="#231f20" stroked="false">
              <v:path arrowok="t"/>
              <v:fill type="solid"/>
            </v:shape>
            <v:shape style="position:absolute;left:3721;top:-106;width:1069;height:1174" type="#_x0000_t202" id="docshape510" filled="false" stroked="true" strokeweight="1pt" strokecolor="#231f20">
              <v:textbox inset="0,0,0,0">
                <w:txbxContent>
                  <w:p>
                    <w:pPr>
                      <w:spacing w:line="249" w:lineRule="auto" w:before="2"/>
                      <w:ind w:left="25" w:right="2" w:firstLine="0"/>
                      <w:jc w:val="center"/>
                      <w:rPr>
                        <w:rFonts w:ascii="Arial"/>
                        <w:sz w:val="16"/>
                      </w:rPr>
                    </w:pPr>
                    <w:r>
                      <w:rPr>
                        <w:rFonts w:ascii="Arial"/>
                        <w:color w:val="231F20"/>
                        <w:spacing w:val="-2"/>
                        <w:sz w:val="16"/>
                      </w:rPr>
                      <w:t>Industry Competitors</w:t>
                    </w:r>
                  </w:p>
                  <w:p>
                    <w:pPr>
                      <w:spacing w:line="240" w:lineRule="auto" w:before="6"/>
                      <w:rPr>
                        <w:rFonts w:ascii="Arial"/>
                        <w:sz w:val="33"/>
                      </w:rPr>
                    </w:pPr>
                  </w:p>
                  <w:p>
                    <w:pPr>
                      <w:spacing w:line="249" w:lineRule="auto" w:before="0"/>
                      <w:ind w:left="25" w:right="43" w:firstLine="0"/>
                      <w:jc w:val="center"/>
                      <w:rPr>
                        <w:rFonts w:ascii="Arial"/>
                        <w:sz w:val="16"/>
                      </w:rPr>
                    </w:pPr>
                    <w:r>
                      <w:rPr>
                        <w:rFonts w:ascii="Arial"/>
                        <w:color w:val="231F20"/>
                        <w:spacing w:val="-2"/>
                        <w:w w:val="95"/>
                        <w:sz w:val="16"/>
                      </w:rPr>
                      <w:t>Rivalry</w:t>
                    </w:r>
                    <w:r>
                      <w:rPr>
                        <w:rFonts w:ascii="Arial"/>
                        <w:color w:val="231F20"/>
                        <w:spacing w:val="-7"/>
                        <w:w w:val="95"/>
                        <w:sz w:val="16"/>
                      </w:rPr>
                      <w:t> </w:t>
                    </w:r>
                    <w:r>
                      <w:rPr>
                        <w:rFonts w:ascii="Arial"/>
                        <w:color w:val="231F20"/>
                        <w:spacing w:val="-2"/>
                        <w:w w:val="95"/>
                        <w:sz w:val="16"/>
                      </w:rPr>
                      <w:t>Among </w:t>
                    </w:r>
                    <w:r>
                      <w:rPr>
                        <w:rFonts w:ascii="Arial"/>
                        <w:color w:val="231F20"/>
                        <w:w w:val="90"/>
                        <w:sz w:val="16"/>
                      </w:rPr>
                      <w:t>Existing</w:t>
                    </w:r>
                    <w:r>
                      <w:rPr>
                        <w:rFonts w:ascii="Arial"/>
                        <w:color w:val="231F20"/>
                        <w:spacing w:val="13"/>
                        <w:sz w:val="16"/>
                      </w:rPr>
                      <w:t> </w:t>
                    </w:r>
                    <w:r>
                      <w:rPr>
                        <w:rFonts w:ascii="Arial"/>
                        <w:color w:val="231F20"/>
                        <w:spacing w:val="-2"/>
                        <w:sz w:val="16"/>
                      </w:rPr>
                      <w:t>Firms</w:t>
                    </w:r>
                  </w:p>
                </w:txbxContent>
              </v:textbox>
              <v:stroke dashstyle="solid"/>
              <w10:wrap type="none"/>
            </v:shape>
            <w10:wrap type="none"/>
          </v:group>
        </w:pict>
      </w:r>
      <w:r>
        <w:rPr/>
        <w:pict>
          <v:shape style="position:absolute;margin-left:84pt;margin-top:13.834823pt;width:39.85pt;height:21.25pt;mso-position-horizontal-relative:page;mso-position-vertical-relative:paragraph;z-index:15930880" type="#_x0000_t202" id="docshape511" filled="false" stroked="true" strokeweight="1pt" strokecolor="#231f20">
            <v:textbox inset="0,0,0,0">
              <w:txbxContent>
                <w:p>
                  <w:pPr>
                    <w:spacing w:before="107"/>
                    <w:ind w:left="37" w:right="0" w:firstLine="0"/>
                    <w:jc w:val="left"/>
                    <w:rPr>
                      <w:rFonts w:ascii="Arial"/>
                      <w:sz w:val="16"/>
                    </w:rPr>
                  </w:pPr>
                  <w:r>
                    <w:rPr>
                      <w:rFonts w:ascii="Arial"/>
                      <w:color w:val="231F20"/>
                      <w:spacing w:val="-2"/>
                      <w:sz w:val="16"/>
                    </w:rPr>
                    <w:t>Suppliers</w:t>
                  </w:r>
                </w:p>
              </w:txbxContent>
            </v:textbox>
            <v:stroke dashstyle="solid"/>
            <w10:wrap type="none"/>
          </v:shape>
        </w:pict>
      </w:r>
      <w:r>
        <w:rPr>
          <w:rFonts w:ascii="Arial"/>
          <w:color w:val="231F20"/>
          <w:sz w:val="14"/>
        </w:rPr>
        <w:t>Bargaining</w:t>
      </w:r>
      <w:r>
        <w:rPr>
          <w:rFonts w:ascii="Arial"/>
          <w:color w:val="231F20"/>
          <w:spacing w:val="-10"/>
          <w:sz w:val="14"/>
        </w:rPr>
        <w:t> </w:t>
      </w:r>
      <w:r>
        <w:rPr>
          <w:rFonts w:ascii="Arial"/>
          <w:color w:val="231F20"/>
          <w:sz w:val="14"/>
        </w:rPr>
        <w:t>Power</w:t>
      </w:r>
      <w:r>
        <w:rPr>
          <w:rFonts w:ascii="Arial"/>
          <w:color w:val="231F20"/>
          <w:spacing w:val="40"/>
          <w:sz w:val="14"/>
        </w:rPr>
        <w:t> </w:t>
      </w:r>
      <w:r>
        <w:rPr>
          <w:rFonts w:ascii="Arial"/>
          <w:color w:val="231F20"/>
          <w:sz w:val="14"/>
        </w:rPr>
        <w:t>of</w:t>
      </w:r>
      <w:r>
        <w:rPr>
          <w:rFonts w:ascii="Arial"/>
          <w:color w:val="231F20"/>
          <w:spacing w:val="-2"/>
          <w:sz w:val="14"/>
        </w:rPr>
        <w:t> </w:t>
      </w:r>
      <w:r>
        <w:rPr>
          <w:rFonts w:ascii="Arial"/>
          <w:color w:val="231F20"/>
          <w:sz w:val="14"/>
        </w:rPr>
        <w:t>Suppliers</w:t>
      </w:r>
    </w:p>
    <w:p>
      <w:pPr>
        <w:pStyle w:val="BodyText"/>
        <w:spacing w:line="99" w:lineRule="exact"/>
        <w:ind w:left="2125"/>
        <w:rPr>
          <w:rFonts w:ascii="Arial"/>
          <w:sz w:val="9"/>
        </w:rPr>
      </w:pPr>
      <w:r>
        <w:rPr>
          <w:rFonts w:ascii="Arial"/>
          <w:position w:val="-1"/>
          <w:sz w:val="9"/>
        </w:rPr>
        <w:pict>
          <v:group style="width:59.4pt;height:5pt;mso-position-horizontal-relative:char;mso-position-vertical-relative:line" id="docshapegroup512" coordorigin="0,0" coordsize="1188,100">
            <v:line style="position:absolute" from="0,50" to="1116,50" stroked="true" strokeweight="1pt" strokecolor="#231f20">
              <v:stroke dashstyle="solid"/>
            </v:line>
            <v:shape style="position:absolute;left:1101;top:0;width:87;height:100" id="docshape513" coordorigin="1101,0" coordsize="87,100" path="m1101,0l1101,100,1187,50,1101,0xe" filled="true" fillcolor="#231f20" stroked="false">
              <v:path arrowok="t"/>
              <v:fill type="solid"/>
            </v:shape>
          </v:group>
        </w:pict>
      </w:r>
      <w:r>
        <w:rPr>
          <w:rFonts w:ascii="Arial"/>
          <w:position w:val="-1"/>
          <w:sz w:val="9"/>
        </w:rPr>
      </w:r>
    </w:p>
    <w:p>
      <w:pPr>
        <w:pStyle w:val="BodyText"/>
        <w:rPr>
          <w:rFonts w:ascii="Arial"/>
          <w:sz w:val="20"/>
        </w:rPr>
      </w:pPr>
    </w:p>
    <w:p>
      <w:pPr>
        <w:pStyle w:val="BodyText"/>
        <w:rPr>
          <w:rFonts w:ascii="Arial"/>
          <w:sz w:val="20"/>
        </w:rPr>
      </w:pPr>
    </w:p>
    <w:p>
      <w:pPr>
        <w:pStyle w:val="BodyText"/>
        <w:spacing w:before="6"/>
        <w:rPr>
          <w:rFonts w:ascii="Arial"/>
          <w:sz w:val="16"/>
        </w:rPr>
      </w:pPr>
    </w:p>
    <w:p>
      <w:pPr>
        <w:spacing w:line="249" w:lineRule="auto" w:before="0"/>
        <w:ind w:left="2638" w:right="-10" w:firstLine="0"/>
        <w:jc w:val="left"/>
        <w:rPr>
          <w:rFonts w:ascii="Arial"/>
          <w:sz w:val="14"/>
        </w:rPr>
      </w:pPr>
      <w:r>
        <w:rPr/>
        <w:pict>
          <v:shape style="position:absolute;margin-left:192.973007pt;margin-top:.614013pt;width:40.85pt;height:51.55pt;mso-position-horizontal-relative:page;mso-position-vertical-relative:paragraph;z-index:15931392" type="#_x0000_t202" id="docshape514"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402"/>
                    <w:gridCol w:w="393"/>
                  </w:tblGrid>
                  <w:tr>
                    <w:trPr>
                      <w:trHeight w:val="587" w:hRule="atLeast"/>
                    </w:trPr>
                    <w:tc>
                      <w:tcPr>
                        <w:tcW w:w="402" w:type="dxa"/>
                        <w:tcBorders>
                          <w:top w:val="nil"/>
                          <w:left w:val="nil"/>
                        </w:tcBorders>
                      </w:tcPr>
                      <w:p>
                        <w:pPr>
                          <w:pStyle w:val="TableParagraph"/>
                          <w:spacing w:before="145"/>
                          <w:ind w:left="-90"/>
                          <w:jc w:val="left"/>
                          <w:rPr>
                            <w:rFonts w:ascii="Arial"/>
                            <w:sz w:val="14"/>
                          </w:rPr>
                        </w:pPr>
                        <w:r>
                          <w:rPr>
                            <w:rFonts w:ascii="Arial"/>
                            <w:color w:val="231F20"/>
                            <w:spacing w:val="-2"/>
                            <w:sz w:val="14"/>
                          </w:rPr>
                          <w:t>oducts</w:t>
                        </w:r>
                      </w:p>
                    </w:tc>
                    <w:tc>
                      <w:tcPr>
                        <w:tcW w:w="393" w:type="dxa"/>
                        <w:tcBorders>
                          <w:top w:val="nil"/>
                          <w:right w:val="nil"/>
                        </w:tcBorders>
                      </w:tcPr>
                      <w:p>
                        <w:pPr>
                          <w:pStyle w:val="TableParagraph"/>
                          <w:spacing w:before="0"/>
                          <w:jc w:val="left"/>
                          <w:rPr>
                            <w:rFonts w:ascii="Times New Roman"/>
                            <w:sz w:val="18"/>
                          </w:rPr>
                        </w:pPr>
                      </w:p>
                    </w:tc>
                  </w:tr>
                  <w:tr>
                    <w:trPr>
                      <w:trHeight w:val="404" w:hRule="atLeast"/>
                    </w:trPr>
                    <w:tc>
                      <w:tcPr>
                        <w:tcW w:w="795" w:type="dxa"/>
                        <w:gridSpan w:val="2"/>
                      </w:tcPr>
                      <w:p>
                        <w:pPr>
                          <w:pStyle w:val="TableParagraph"/>
                          <w:spacing w:before="107"/>
                          <w:ind w:left="25"/>
                          <w:jc w:val="left"/>
                          <w:rPr>
                            <w:rFonts w:ascii="Arial"/>
                            <w:sz w:val="16"/>
                          </w:rPr>
                        </w:pPr>
                        <w:r>
                          <w:rPr>
                            <w:rFonts w:ascii="Arial"/>
                            <w:color w:val="231F20"/>
                            <w:spacing w:val="-2"/>
                            <w:w w:val="90"/>
                            <w:sz w:val="16"/>
                          </w:rPr>
                          <w:t>Substitutes</w:t>
                        </w:r>
                      </w:p>
                    </w:tc>
                  </w:tr>
                </w:tbl>
                <w:p>
                  <w:pPr>
                    <w:pStyle w:val="BodyText"/>
                  </w:pPr>
                </w:p>
              </w:txbxContent>
            </v:textbox>
            <w10:wrap type="none"/>
          </v:shape>
        </w:pict>
      </w:r>
      <w:r>
        <w:rPr>
          <w:rFonts w:ascii="Arial"/>
          <w:color w:val="231F20"/>
          <w:sz w:val="14"/>
        </w:rPr>
        <w:t>Threat</w:t>
      </w:r>
      <w:r>
        <w:rPr>
          <w:rFonts w:ascii="Arial"/>
          <w:color w:val="231F20"/>
          <w:spacing w:val="-3"/>
          <w:sz w:val="14"/>
        </w:rPr>
        <w:t> </w:t>
      </w:r>
      <w:r>
        <w:rPr>
          <w:rFonts w:ascii="Arial"/>
          <w:color w:val="231F20"/>
          <w:sz w:val="14"/>
        </w:rPr>
        <w:t>of</w:t>
      </w:r>
      <w:r>
        <w:rPr>
          <w:rFonts w:ascii="Arial"/>
          <w:color w:val="231F20"/>
          <w:spacing w:val="40"/>
          <w:sz w:val="14"/>
        </w:rPr>
        <w:t> </w:t>
      </w:r>
      <w:r>
        <w:rPr>
          <w:rFonts w:ascii="Arial"/>
          <w:color w:val="231F20"/>
          <w:sz w:val="14"/>
        </w:rPr>
        <w:t>Substitute</w:t>
      </w:r>
      <w:r>
        <w:rPr>
          <w:rFonts w:ascii="Arial"/>
          <w:color w:val="231F20"/>
          <w:spacing w:val="-10"/>
          <w:sz w:val="14"/>
        </w:rPr>
        <w:t> </w:t>
      </w:r>
      <w:r>
        <w:rPr>
          <w:rFonts w:ascii="Arial"/>
          <w:color w:val="231F20"/>
          <w:sz w:val="14"/>
        </w:rPr>
        <w:t>Pr</w:t>
      </w:r>
      <w:r>
        <w:rPr>
          <w:rFonts w:ascii="Arial"/>
          <w:color w:val="231F20"/>
          <w:spacing w:val="40"/>
          <w:sz w:val="14"/>
        </w:rPr>
        <w:t> </w:t>
      </w:r>
      <w:r>
        <w:rPr>
          <w:rFonts w:ascii="Arial"/>
          <w:color w:val="231F20"/>
          <w:sz w:val="14"/>
        </w:rPr>
        <w:t>or</w:t>
      </w:r>
      <w:r>
        <w:rPr>
          <w:rFonts w:ascii="Arial"/>
          <w:color w:val="231F20"/>
          <w:spacing w:val="-2"/>
          <w:sz w:val="14"/>
        </w:rPr>
        <w:t> </w:t>
      </w:r>
      <w:r>
        <w:rPr>
          <w:rFonts w:ascii="Arial"/>
          <w:color w:val="231F20"/>
          <w:sz w:val="14"/>
        </w:rPr>
        <w:t>Services</w:t>
      </w:r>
    </w:p>
    <w:p>
      <w:pPr>
        <w:spacing w:line="249" w:lineRule="auto" w:before="113"/>
        <w:ind w:left="1133" w:right="2071" w:firstLine="0"/>
        <w:jc w:val="left"/>
        <w:rPr>
          <w:rFonts w:ascii="Arial"/>
          <w:sz w:val="14"/>
        </w:rPr>
      </w:pPr>
      <w:r>
        <w:rPr/>
        <w:br w:type="column"/>
      </w:r>
      <w:r>
        <w:rPr>
          <w:rFonts w:ascii="Arial"/>
          <w:color w:val="231F20"/>
          <w:sz w:val="14"/>
        </w:rPr>
        <w:t>Bargaining</w:t>
      </w:r>
      <w:r>
        <w:rPr>
          <w:rFonts w:ascii="Arial"/>
          <w:color w:val="231F20"/>
          <w:spacing w:val="-10"/>
          <w:sz w:val="14"/>
        </w:rPr>
        <w:t> </w:t>
      </w:r>
      <w:r>
        <w:rPr>
          <w:rFonts w:ascii="Arial"/>
          <w:color w:val="231F20"/>
          <w:sz w:val="14"/>
        </w:rPr>
        <w:t>Power</w:t>
      </w:r>
      <w:r>
        <w:rPr>
          <w:rFonts w:ascii="Arial"/>
          <w:color w:val="231F20"/>
          <w:spacing w:val="40"/>
          <w:sz w:val="14"/>
        </w:rPr>
        <w:t> </w:t>
      </w:r>
      <w:r>
        <w:rPr>
          <w:rFonts w:ascii="Arial"/>
          <w:color w:val="231F20"/>
          <w:sz w:val="14"/>
        </w:rPr>
        <w:t>of</w:t>
      </w:r>
      <w:r>
        <w:rPr>
          <w:rFonts w:ascii="Arial"/>
          <w:color w:val="231F20"/>
          <w:spacing w:val="-2"/>
          <w:sz w:val="14"/>
        </w:rPr>
        <w:t> </w:t>
      </w:r>
      <w:r>
        <w:rPr>
          <w:rFonts w:ascii="Arial"/>
          <w:color w:val="231F20"/>
          <w:sz w:val="14"/>
        </w:rPr>
        <w:t>Buyers</w:t>
      </w:r>
    </w:p>
    <w:p>
      <w:pPr>
        <w:pStyle w:val="BodyText"/>
        <w:spacing w:line="99" w:lineRule="exact"/>
        <w:ind w:left="1035"/>
        <w:rPr>
          <w:rFonts w:ascii="Arial"/>
          <w:sz w:val="9"/>
        </w:rPr>
      </w:pPr>
      <w:r>
        <w:rPr>
          <w:rFonts w:ascii="Arial"/>
          <w:position w:val="-1"/>
          <w:sz w:val="9"/>
        </w:rPr>
        <w:pict>
          <v:group style="width:60.2pt;height:5pt;mso-position-horizontal-relative:char;mso-position-vertical-relative:line" id="docshapegroup515" coordorigin="0,0" coordsize="1204,100">
            <v:line style="position:absolute" from="1203,50" to="72,50" stroked="true" strokeweight="1pt" strokecolor="#231f20">
              <v:stroke dashstyle="solid"/>
            </v:line>
            <v:shape style="position:absolute;left:0;top:0;width:87;height:100" id="docshape516" coordorigin="0,0" coordsize="87,100" path="m86,0l0,50,86,100,86,0xe" filled="true" fillcolor="#231f20" stroked="false">
              <v:path arrowok="t"/>
              <v:fill type="solid"/>
            </v:shape>
          </v:group>
        </w:pict>
      </w:r>
      <w:r>
        <w:rPr>
          <w:rFonts w:ascii="Arial"/>
          <w:position w:val="-1"/>
          <w:sz w:val="9"/>
        </w:rPr>
      </w:r>
    </w:p>
    <w:p>
      <w:pPr>
        <w:pStyle w:val="BodyText"/>
        <w:rPr>
          <w:rFonts w:ascii="Arial"/>
          <w:sz w:val="20"/>
        </w:rPr>
      </w:pPr>
    </w:p>
    <w:p>
      <w:pPr>
        <w:pStyle w:val="BodyText"/>
        <w:rPr>
          <w:rFonts w:ascii="Arial"/>
          <w:sz w:val="20"/>
        </w:rPr>
      </w:pPr>
    </w:p>
    <w:p>
      <w:pPr>
        <w:pStyle w:val="BodyText"/>
        <w:spacing w:before="1"/>
        <w:rPr>
          <w:rFonts w:ascii="Arial"/>
          <w:sz w:val="10"/>
        </w:rPr>
      </w:pPr>
      <w:r>
        <w:rPr/>
        <w:pict>
          <v:shape style="position:absolute;margin-left:211.108017pt;margin-top:7.044379pt;width:5pt;height:4.350pt;mso-position-horizontal-relative:page;mso-position-vertical-relative:paragraph;z-index:-15528448;mso-wrap-distance-left:0;mso-wrap-distance-right:0" id="docshape517" coordorigin="4222,141" coordsize="100,87" path="m4272,141l4222,227,4322,227,4272,141xe" filled="true" fillcolor="#231f20" stroked="false">
            <v:path arrowok="t"/>
            <v:fill type="solid"/>
            <w10:wrap type="topAndBottom"/>
          </v:shape>
        </w:pict>
      </w:r>
    </w:p>
    <w:p>
      <w:pPr>
        <w:spacing w:after="0"/>
        <w:rPr>
          <w:rFonts w:ascii="Arial"/>
          <w:sz w:val="10"/>
        </w:rPr>
        <w:sectPr>
          <w:type w:val="continuous"/>
          <w:pgSz w:w="8640" w:h="12960"/>
          <w:pgMar w:header="734" w:footer="0" w:top="1220" w:bottom="280" w:left="340" w:right="500"/>
          <w:cols w:num="2" w:equalWidth="0">
            <w:col w:w="3440" w:space="40"/>
            <w:col w:w="4320"/>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23"/>
        </w:rPr>
      </w:pPr>
    </w:p>
    <w:p>
      <w:pPr>
        <w:spacing w:line="244" w:lineRule="auto" w:before="0"/>
        <w:ind w:left="830" w:right="755" w:firstLine="0"/>
        <w:jc w:val="both"/>
        <w:rPr>
          <w:sz w:val="20"/>
        </w:rPr>
      </w:pPr>
      <w:r>
        <w:rPr>
          <w:color w:val="231F20"/>
          <w:sz w:val="20"/>
        </w:rPr>
        <w:t>Reprinted with the permission of The Free Press, a division of Macmil- lan, Inc., from </w:t>
      </w:r>
      <w:r>
        <w:rPr>
          <w:i/>
          <w:color w:val="231F20"/>
          <w:sz w:val="20"/>
        </w:rPr>
        <w:t>Competitive Advantage: Creating and Sustaining </w:t>
      </w:r>
      <w:r>
        <w:rPr>
          <w:i/>
          <w:color w:val="231F20"/>
          <w:sz w:val="20"/>
        </w:rPr>
        <w:t>Superior</w:t>
      </w:r>
      <w:r>
        <w:rPr>
          <w:i/>
          <w:color w:val="231F20"/>
          <w:sz w:val="20"/>
        </w:rPr>
        <w:t> Performance </w:t>
      </w:r>
      <w:r>
        <w:rPr>
          <w:color w:val="231F20"/>
          <w:sz w:val="20"/>
        </w:rPr>
        <w:t>by Michael E. Porter. Copyright © 1985 by Michael E.</w:t>
      </w:r>
      <w:r>
        <w:rPr>
          <w:color w:val="231F20"/>
          <w:spacing w:val="40"/>
          <w:sz w:val="20"/>
        </w:rPr>
        <w:t> </w:t>
      </w:r>
      <w:r>
        <w:rPr>
          <w:color w:val="231F20"/>
          <w:spacing w:val="-2"/>
          <w:sz w:val="20"/>
        </w:rPr>
        <w:t>Porter.</w:t>
      </w:r>
    </w:p>
    <w:p>
      <w:pPr>
        <w:pStyle w:val="BodyText"/>
        <w:rPr>
          <w:sz w:val="22"/>
        </w:rPr>
      </w:pPr>
    </w:p>
    <w:p>
      <w:pPr>
        <w:pStyle w:val="BodyText"/>
        <w:rPr>
          <w:sz w:val="22"/>
        </w:rPr>
      </w:pPr>
    </w:p>
    <w:p>
      <w:pPr>
        <w:pStyle w:val="BodyText"/>
        <w:spacing w:before="8"/>
        <w:rPr>
          <w:sz w:val="17"/>
        </w:rPr>
      </w:pPr>
    </w:p>
    <w:p>
      <w:pPr>
        <w:pStyle w:val="BodyText"/>
        <w:spacing w:line="292" w:lineRule="auto" w:before="1"/>
        <w:ind w:left="830" w:right="755" w:firstLine="340"/>
        <w:jc w:val="both"/>
      </w:pPr>
      <w:r>
        <w:rPr>
          <w:color w:val="231F20"/>
        </w:rPr>
        <w:t>Processors the size of Del Monte can also threaten to </w:t>
      </w:r>
      <w:r>
        <w:rPr>
          <w:i/>
          <w:color w:val="231F20"/>
        </w:rPr>
        <w:t>substitute</w:t>
      </w:r>
      <w:r>
        <w:rPr>
          <w:i/>
          <w:color w:val="231F20"/>
        </w:rPr>
        <w:t> </w:t>
      </w:r>
      <w:r>
        <w:rPr>
          <w:color w:val="231F20"/>
        </w:rPr>
        <w:t>plastic packaging for cans. Many food processors have moved to plastic packaging. Consequently, competition intensifies as the de- mand for cans shrinks.</w:t>
      </w:r>
    </w:p>
    <w:p>
      <w:pPr>
        <w:pStyle w:val="BodyText"/>
        <w:spacing w:line="292" w:lineRule="auto"/>
        <w:ind w:left="830" w:right="756" w:firstLine="340"/>
        <w:jc w:val="both"/>
      </w:pPr>
      <w:r>
        <w:rPr>
          <w:color w:val="231F20"/>
        </w:rPr>
        <w:t>Making matters worse is that can-making machines can easily </w:t>
      </w:r>
      <w:r>
        <w:rPr>
          <w:color w:val="231F20"/>
        </w:rPr>
        <w:t>be purchased by </w:t>
      </w:r>
      <w:r>
        <w:rPr>
          <w:i/>
          <w:color w:val="231F20"/>
        </w:rPr>
        <w:t>new entrants. </w:t>
      </w:r>
      <w:r>
        <w:rPr>
          <w:color w:val="231F20"/>
        </w:rPr>
        <w:t>Efficient can production is accomplished at low cost and at relatively low volumes. This opens the industry up to new competitors if profit margins are at an attractive level. Del Monte,</w:t>
      </w:r>
      <w:r>
        <w:rPr>
          <w:color w:val="231F20"/>
          <w:spacing w:val="40"/>
        </w:rPr>
        <w:t> </w:t>
      </w:r>
      <w:r>
        <w:rPr>
          <w:color w:val="231F20"/>
        </w:rPr>
        <w:t>if</w:t>
      </w:r>
      <w:r>
        <w:rPr>
          <w:color w:val="231F20"/>
          <w:spacing w:val="40"/>
        </w:rPr>
        <w:t> </w:t>
      </w:r>
      <w:r>
        <w:rPr>
          <w:color w:val="231F20"/>
        </w:rPr>
        <w:t>it</w:t>
      </w:r>
      <w:r>
        <w:rPr>
          <w:color w:val="231F20"/>
          <w:spacing w:val="40"/>
        </w:rPr>
        <w:t> </w:t>
      </w:r>
      <w:r>
        <w:rPr>
          <w:color w:val="231F20"/>
        </w:rPr>
        <w:t>wished,</w:t>
      </w:r>
      <w:r>
        <w:rPr>
          <w:color w:val="231F20"/>
          <w:spacing w:val="40"/>
        </w:rPr>
        <w:t> </w:t>
      </w:r>
      <w:r>
        <w:rPr>
          <w:color w:val="231F20"/>
        </w:rPr>
        <w:t>could</w:t>
      </w:r>
      <w:r>
        <w:rPr>
          <w:color w:val="231F20"/>
          <w:spacing w:val="40"/>
        </w:rPr>
        <w:t> </w:t>
      </w:r>
      <w:r>
        <w:rPr>
          <w:color w:val="231F20"/>
        </w:rPr>
        <w:t>buy</w:t>
      </w:r>
      <w:r>
        <w:rPr>
          <w:color w:val="231F20"/>
          <w:spacing w:val="40"/>
        </w:rPr>
        <w:t> </w:t>
      </w:r>
      <w:r>
        <w:rPr>
          <w:color w:val="231F20"/>
        </w:rPr>
        <w:t>packaging</w:t>
      </w:r>
      <w:r>
        <w:rPr>
          <w:color w:val="231F20"/>
          <w:spacing w:val="40"/>
        </w:rPr>
        <w:t> </w:t>
      </w:r>
      <w:r>
        <w:rPr>
          <w:color w:val="231F20"/>
        </w:rPr>
        <w:t>equipment</w:t>
      </w:r>
      <w:r>
        <w:rPr>
          <w:color w:val="231F20"/>
          <w:spacing w:val="40"/>
        </w:rPr>
        <w:t> </w:t>
      </w:r>
      <w:r>
        <w:rPr>
          <w:color w:val="231F20"/>
        </w:rPr>
        <w:t>and</w:t>
      </w:r>
      <w:r>
        <w:rPr>
          <w:color w:val="231F20"/>
          <w:spacing w:val="40"/>
        </w:rPr>
        <w:t> </w:t>
      </w:r>
      <w:r>
        <w:rPr>
          <w:color w:val="231F20"/>
        </w:rPr>
        <w:t>produce for itself. Because the manufacturing technology is widely available and reasonably priced, the </w:t>
      </w:r>
      <w:r>
        <w:rPr>
          <w:i/>
          <w:color w:val="231F20"/>
        </w:rPr>
        <w:t>barriers to entry </w:t>
      </w:r>
      <w:r>
        <w:rPr>
          <w:color w:val="231F20"/>
        </w:rPr>
        <w:t>are low. Ease of entry in- creases the level of potential competition.</w:t>
      </w:r>
    </w:p>
    <w:p>
      <w:pPr>
        <w:pStyle w:val="BodyText"/>
        <w:spacing w:line="292" w:lineRule="auto"/>
        <w:ind w:left="830" w:right="756" w:firstLine="340"/>
        <w:jc w:val="both"/>
      </w:pPr>
      <w:r>
        <w:rPr>
          <w:color w:val="231F20"/>
        </w:rPr>
        <w:t>Because these four forces make the industry highly </w:t>
      </w:r>
      <w:r>
        <w:rPr>
          <w:color w:val="231F20"/>
        </w:rPr>
        <w:t>competitive, the fifth force, </w:t>
      </w:r>
      <w:r>
        <w:rPr>
          <w:i/>
          <w:color w:val="231F20"/>
        </w:rPr>
        <w:t>rivalry among existing firms, </w:t>
      </w:r>
      <w:r>
        <w:rPr>
          <w:color w:val="231F20"/>
        </w:rPr>
        <w:t>is equally intense. Sales- people know their competition well because they compete for orders from</w:t>
      </w:r>
      <w:r>
        <w:rPr>
          <w:color w:val="231F20"/>
          <w:spacing w:val="40"/>
        </w:rPr>
        <w:t> </w:t>
      </w:r>
      <w:r>
        <w:rPr>
          <w:color w:val="231F20"/>
        </w:rPr>
        <w:t>a</w:t>
      </w:r>
      <w:r>
        <w:rPr>
          <w:color w:val="231F20"/>
          <w:spacing w:val="40"/>
        </w:rPr>
        <w:t> </w:t>
      </w:r>
      <w:r>
        <w:rPr>
          <w:color w:val="231F20"/>
        </w:rPr>
        <w:t>shrinking</w:t>
      </w:r>
      <w:r>
        <w:rPr>
          <w:color w:val="231F20"/>
          <w:spacing w:val="40"/>
        </w:rPr>
        <w:t> </w:t>
      </w:r>
      <w:r>
        <w:rPr>
          <w:color w:val="231F20"/>
        </w:rPr>
        <w:t>group</w:t>
      </w:r>
      <w:r>
        <w:rPr>
          <w:color w:val="231F20"/>
          <w:spacing w:val="40"/>
        </w:rPr>
        <w:t> </w:t>
      </w:r>
      <w:r>
        <w:rPr>
          <w:color w:val="231F20"/>
        </w:rPr>
        <w:t>of</w:t>
      </w:r>
      <w:r>
        <w:rPr>
          <w:color w:val="231F20"/>
          <w:spacing w:val="40"/>
        </w:rPr>
        <w:t> </w:t>
      </w:r>
      <w:r>
        <w:rPr>
          <w:color w:val="231F20"/>
        </w:rPr>
        <w:t>customers.</w:t>
      </w:r>
      <w:r>
        <w:rPr>
          <w:color w:val="231F20"/>
          <w:spacing w:val="40"/>
        </w:rPr>
        <w:t> </w:t>
      </w:r>
      <w:r>
        <w:rPr>
          <w:color w:val="231F20"/>
        </w:rPr>
        <w:t>This</w:t>
      </w:r>
      <w:r>
        <w:rPr>
          <w:color w:val="231F20"/>
          <w:spacing w:val="40"/>
        </w:rPr>
        <w:t> </w:t>
      </w:r>
      <w:r>
        <w:rPr>
          <w:color w:val="231F20"/>
        </w:rPr>
        <w:t>competitive</w:t>
      </w:r>
      <w:r>
        <w:rPr>
          <w:color w:val="231F20"/>
          <w:spacing w:val="40"/>
        </w:rPr>
        <w:t> </w:t>
      </w:r>
      <w:r>
        <w:rPr>
          <w:color w:val="231F20"/>
        </w:rPr>
        <w:t>force</w:t>
      </w:r>
      <w:r>
        <w:rPr>
          <w:color w:val="231F20"/>
          <w:spacing w:val="40"/>
        </w:rPr>
        <w:t> </w:t>
      </w:r>
      <w:r>
        <w:rPr>
          <w:color w:val="231F20"/>
        </w:rPr>
        <w:t>in-</w:t>
      </w:r>
    </w:p>
    <w:p>
      <w:pPr>
        <w:spacing w:after="0" w:line="292" w:lineRule="auto"/>
        <w:jc w:val="both"/>
        <w:sectPr>
          <w:type w:val="continuous"/>
          <w:pgSz w:w="8640" w:h="12960"/>
          <w:pgMar w:header="734" w:footer="0" w:top="1220" w:bottom="280" w:left="340" w:right="500"/>
        </w:sectPr>
      </w:pPr>
    </w:p>
    <w:p>
      <w:pPr>
        <w:pStyle w:val="BodyText"/>
        <w:spacing w:before="8"/>
        <w:rPr>
          <w:sz w:val="19"/>
        </w:rPr>
      </w:pPr>
    </w:p>
    <w:p>
      <w:pPr>
        <w:spacing w:before="96"/>
        <w:ind w:left="473" w:right="219" w:firstLine="0"/>
        <w:jc w:val="center"/>
        <w:rPr>
          <w:rFonts w:ascii="Arial" w:hAnsi="Arial"/>
          <w:sz w:val="14"/>
        </w:rPr>
      </w:pPr>
      <w:r>
        <w:rPr>
          <w:rFonts w:ascii="Arial" w:hAnsi="Arial"/>
          <w:color w:val="231F20"/>
          <w:w w:val="105"/>
          <w:sz w:val="14"/>
        </w:rPr>
        <w:t>PORTER’S</w:t>
      </w:r>
      <w:r>
        <w:rPr>
          <w:rFonts w:ascii="Arial" w:hAnsi="Arial"/>
          <w:color w:val="231F20"/>
          <w:spacing w:val="18"/>
          <w:w w:val="105"/>
          <w:sz w:val="14"/>
        </w:rPr>
        <w:t> </w:t>
      </w:r>
      <w:r>
        <w:rPr>
          <w:rFonts w:ascii="Arial" w:hAnsi="Arial"/>
          <w:color w:val="231F20"/>
          <w:w w:val="105"/>
          <w:sz w:val="14"/>
        </w:rPr>
        <w:t>FIVE</w:t>
      </w:r>
      <w:r>
        <w:rPr>
          <w:rFonts w:ascii="Arial" w:hAnsi="Arial"/>
          <w:color w:val="231F20"/>
          <w:spacing w:val="18"/>
          <w:w w:val="105"/>
          <w:sz w:val="14"/>
        </w:rPr>
        <w:t> </w:t>
      </w:r>
      <w:r>
        <w:rPr>
          <w:rFonts w:ascii="Arial" w:hAnsi="Arial"/>
          <w:color w:val="231F20"/>
          <w:w w:val="105"/>
          <w:sz w:val="14"/>
        </w:rPr>
        <w:t>FORCES</w:t>
      </w:r>
      <w:r>
        <w:rPr>
          <w:rFonts w:ascii="Arial" w:hAnsi="Arial"/>
          <w:color w:val="231F20"/>
          <w:spacing w:val="19"/>
          <w:w w:val="105"/>
          <w:sz w:val="14"/>
        </w:rPr>
        <w:t> </w:t>
      </w:r>
      <w:r>
        <w:rPr>
          <w:rFonts w:ascii="Arial" w:hAnsi="Arial"/>
          <w:color w:val="231F20"/>
          <w:w w:val="105"/>
          <w:sz w:val="14"/>
        </w:rPr>
        <w:t>THEORY</w:t>
      </w:r>
      <w:r>
        <w:rPr>
          <w:rFonts w:ascii="Arial" w:hAnsi="Arial"/>
          <w:color w:val="231F20"/>
          <w:spacing w:val="18"/>
          <w:w w:val="105"/>
          <w:sz w:val="14"/>
        </w:rPr>
        <w:t> </w:t>
      </w:r>
      <w:r>
        <w:rPr>
          <w:rFonts w:ascii="Arial" w:hAnsi="Arial"/>
          <w:color w:val="231F20"/>
          <w:w w:val="105"/>
          <w:sz w:val="14"/>
        </w:rPr>
        <w:t>OF</w:t>
      </w:r>
      <w:r>
        <w:rPr>
          <w:rFonts w:ascii="Arial" w:hAnsi="Arial"/>
          <w:color w:val="231F20"/>
          <w:spacing w:val="19"/>
          <w:w w:val="105"/>
          <w:sz w:val="14"/>
        </w:rPr>
        <w:t> </w:t>
      </w:r>
      <w:r>
        <w:rPr>
          <w:rFonts w:ascii="Arial" w:hAnsi="Arial"/>
          <w:color w:val="231F20"/>
          <w:w w:val="105"/>
          <w:sz w:val="14"/>
        </w:rPr>
        <w:t>INDUSTRY</w:t>
      </w:r>
      <w:r>
        <w:rPr>
          <w:rFonts w:ascii="Arial" w:hAnsi="Arial"/>
          <w:color w:val="231F20"/>
          <w:spacing w:val="18"/>
          <w:w w:val="105"/>
          <w:sz w:val="14"/>
        </w:rPr>
        <w:t> </w:t>
      </w:r>
      <w:r>
        <w:rPr>
          <w:rFonts w:ascii="Arial" w:hAnsi="Arial"/>
          <w:color w:val="231F20"/>
          <w:spacing w:val="-2"/>
          <w:w w:val="105"/>
          <w:sz w:val="14"/>
        </w:rPr>
        <w:t>STRUCTURE</w:t>
      </w:r>
    </w:p>
    <w:p>
      <w:pPr>
        <w:spacing w:after="0"/>
        <w:jc w:val="center"/>
        <w:rPr>
          <w:rFonts w:ascii="Arial" w:hAnsi="Arial"/>
          <w:sz w:val="14"/>
        </w:rPr>
        <w:sectPr>
          <w:pgSz w:w="8640" w:h="12960"/>
          <w:pgMar w:header="734" w:footer="0" w:top="920" w:bottom="280" w:left="340" w:right="500"/>
        </w:sectPr>
      </w:pPr>
    </w:p>
    <w:p>
      <w:pPr>
        <w:pStyle w:val="BodyText"/>
        <w:spacing w:before="4"/>
        <w:rPr>
          <w:rFonts w:ascii="Arial"/>
          <w:sz w:val="16"/>
        </w:rPr>
      </w:pPr>
    </w:p>
    <w:p>
      <w:pPr>
        <w:spacing w:before="1"/>
        <w:ind w:left="931" w:right="0" w:firstLine="0"/>
        <w:jc w:val="left"/>
        <w:rPr>
          <w:rFonts w:ascii="Arial"/>
          <w:b/>
          <w:sz w:val="12"/>
        </w:rPr>
      </w:pPr>
      <w:r>
        <w:rPr>
          <w:rFonts w:ascii="Arial"/>
          <w:b/>
          <w:color w:val="231F20"/>
          <w:spacing w:val="-2"/>
          <w:sz w:val="12"/>
        </w:rPr>
        <w:t>Entry</w:t>
      </w:r>
      <w:r>
        <w:rPr>
          <w:rFonts w:ascii="Arial"/>
          <w:b/>
          <w:color w:val="231F20"/>
          <w:sz w:val="12"/>
        </w:rPr>
        <w:t> </w:t>
      </w:r>
      <w:r>
        <w:rPr>
          <w:rFonts w:ascii="Arial"/>
          <w:b/>
          <w:color w:val="231F20"/>
          <w:spacing w:val="-2"/>
          <w:sz w:val="12"/>
        </w:rPr>
        <w:t>Barriers</w:t>
      </w:r>
    </w:p>
    <w:p>
      <w:pPr>
        <w:spacing w:line="247" w:lineRule="auto" w:before="69"/>
        <w:ind w:left="931" w:right="353" w:firstLine="0"/>
        <w:jc w:val="left"/>
        <w:rPr>
          <w:rFonts w:ascii="Arial"/>
          <w:sz w:val="12"/>
        </w:rPr>
      </w:pPr>
      <w:r>
        <w:rPr>
          <w:rFonts w:ascii="Arial"/>
          <w:color w:val="231F20"/>
          <w:sz w:val="12"/>
        </w:rPr>
        <w:t>Economies of scale</w:t>
      </w:r>
      <w:r>
        <w:rPr>
          <w:rFonts w:ascii="Arial"/>
          <w:color w:val="231F20"/>
          <w:spacing w:val="40"/>
          <w:sz w:val="12"/>
        </w:rPr>
        <w:t> </w:t>
      </w:r>
      <w:r>
        <w:rPr>
          <w:rFonts w:ascii="Arial"/>
          <w:color w:val="231F20"/>
          <w:spacing w:val="-2"/>
          <w:sz w:val="12"/>
        </w:rPr>
        <w:t>Proprietary product differences</w:t>
      </w:r>
      <w:r>
        <w:rPr>
          <w:rFonts w:ascii="Arial"/>
          <w:color w:val="231F20"/>
          <w:spacing w:val="40"/>
          <w:sz w:val="12"/>
        </w:rPr>
        <w:t> </w:t>
      </w:r>
      <w:r>
        <w:rPr>
          <w:rFonts w:ascii="Arial"/>
          <w:color w:val="231F20"/>
          <w:sz w:val="12"/>
        </w:rPr>
        <w:t>Brand</w:t>
      </w:r>
      <w:r>
        <w:rPr>
          <w:rFonts w:ascii="Arial"/>
          <w:color w:val="231F20"/>
          <w:spacing w:val="-9"/>
          <w:sz w:val="12"/>
        </w:rPr>
        <w:t> </w:t>
      </w:r>
      <w:r>
        <w:rPr>
          <w:rFonts w:ascii="Arial"/>
          <w:color w:val="231F20"/>
          <w:sz w:val="12"/>
        </w:rPr>
        <w:t>identity</w:t>
      </w:r>
    </w:p>
    <w:p>
      <w:pPr>
        <w:spacing w:line="247" w:lineRule="auto" w:before="0"/>
        <w:ind w:left="931" w:right="800" w:firstLine="0"/>
        <w:jc w:val="left"/>
        <w:rPr>
          <w:rFonts w:ascii="Arial"/>
          <w:sz w:val="12"/>
        </w:rPr>
      </w:pPr>
      <w:r>
        <w:rPr>
          <w:rFonts w:ascii="Arial"/>
          <w:color w:val="231F20"/>
          <w:sz w:val="12"/>
        </w:rPr>
        <w:t>Switching</w:t>
      </w:r>
      <w:r>
        <w:rPr>
          <w:rFonts w:ascii="Arial"/>
          <w:color w:val="231F20"/>
          <w:spacing w:val="-9"/>
          <w:sz w:val="12"/>
        </w:rPr>
        <w:t> </w:t>
      </w:r>
      <w:r>
        <w:rPr>
          <w:rFonts w:ascii="Arial"/>
          <w:color w:val="231F20"/>
          <w:sz w:val="12"/>
        </w:rPr>
        <w:t>costs</w:t>
      </w:r>
      <w:r>
        <w:rPr>
          <w:rFonts w:ascii="Arial"/>
          <w:color w:val="231F20"/>
          <w:spacing w:val="40"/>
          <w:sz w:val="12"/>
        </w:rPr>
        <w:t> </w:t>
      </w:r>
      <w:r>
        <w:rPr>
          <w:rFonts w:ascii="Arial"/>
          <w:color w:val="231F20"/>
          <w:sz w:val="12"/>
        </w:rPr>
        <w:t>Capital</w:t>
      </w:r>
      <w:r>
        <w:rPr>
          <w:rFonts w:ascii="Arial"/>
          <w:color w:val="231F20"/>
          <w:spacing w:val="-9"/>
          <w:sz w:val="12"/>
        </w:rPr>
        <w:t> </w:t>
      </w:r>
      <w:r>
        <w:rPr>
          <w:rFonts w:ascii="Arial"/>
          <w:color w:val="231F20"/>
          <w:sz w:val="12"/>
        </w:rPr>
        <w:t>requirements</w:t>
      </w:r>
      <w:r>
        <w:rPr>
          <w:rFonts w:ascii="Arial"/>
          <w:color w:val="231F20"/>
          <w:spacing w:val="40"/>
          <w:sz w:val="12"/>
        </w:rPr>
        <w:t> </w:t>
      </w:r>
      <w:r>
        <w:rPr>
          <w:rFonts w:ascii="Arial"/>
          <w:color w:val="231F20"/>
          <w:spacing w:val="-2"/>
          <w:sz w:val="12"/>
        </w:rPr>
        <w:t>Access</w:t>
      </w:r>
      <w:r>
        <w:rPr>
          <w:rFonts w:ascii="Arial"/>
          <w:color w:val="231F20"/>
          <w:spacing w:val="-1"/>
          <w:sz w:val="12"/>
        </w:rPr>
        <w:t> </w:t>
      </w:r>
      <w:r>
        <w:rPr>
          <w:rFonts w:ascii="Arial"/>
          <w:color w:val="231F20"/>
          <w:spacing w:val="-2"/>
          <w:sz w:val="12"/>
        </w:rPr>
        <w:t>to</w:t>
      </w:r>
      <w:r>
        <w:rPr>
          <w:rFonts w:ascii="Arial"/>
          <w:color w:val="231F20"/>
          <w:spacing w:val="-1"/>
          <w:sz w:val="12"/>
        </w:rPr>
        <w:t> </w:t>
      </w:r>
      <w:r>
        <w:rPr>
          <w:rFonts w:ascii="Arial"/>
          <w:color w:val="231F20"/>
          <w:spacing w:val="-2"/>
          <w:sz w:val="12"/>
        </w:rPr>
        <w:t>distribution</w:t>
      </w:r>
    </w:p>
    <w:p>
      <w:pPr>
        <w:spacing w:line="247" w:lineRule="auto" w:before="0"/>
        <w:ind w:left="1044" w:right="412" w:hanging="113"/>
        <w:jc w:val="left"/>
        <w:rPr>
          <w:rFonts w:ascii="Arial"/>
          <w:sz w:val="12"/>
        </w:rPr>
      </w:pPr>
      <w:r>
        <w:rPr>
          <w:rFonts w:ascii="Arial"/>
          <w:color w:val="231F20"/>
          <w:sz w:val="12"/>
        </w:rPr>
        <w:t>Absolute cost advantages</w:t>
      </w:r>
      <w:r>
        <w:rPr>
          <w:rFonts w:ascii="Arial"/>
          <w:color w:val="231F20"/>
          <w:spacing w:val="40"/>
          <w:sz w:val="12"/>
        </w:rPr>
        <w:t> </w:t>
      </w:r>
      <w:r>
        <w:rPr>
          <w:rFonts w:ascii="Arial"/>
          <w:color w:val="231F20"/>
          <w:sz w:val="12"/>
        </w:rPr>
        <w:t>Proprietary learning curve</w:t>
      </w:r>
      <w:r>
        <w:rPr>
          <w:rFonts w:ascii="Arial"/>
          <w:color w:val="231F20"/>
          <w:spacing w:val="40"/>
          <w:sz w:val="12"/>
        </w:rPr>
        <w:t> </w:t>
      </w:r>
      <w:r>
        <w:rPr>
          <w:rFonts w:ascii="Arial"/>
          <w:color w:val="231F20"/>
          <w:sz w:val="12"/>
        </w:rPr>
        <w:t>Access</w:t>
      </w:r>
      <w:r>
        <w:rPr>
          <w:rFonts w:ascii="Arial"/>
          <w:color w:val="231F20"/>
          <w:spacing w:val="-11"/>
          <w:sz w:val="12"/>
        </w:rPr>
        <w:t> </w:t>
      </w:r>
      <w:r>
        <w:rPr>
          <w:rFonts w:ascii="Arial"/>
          <w:color w:val="231F20"/>
          <w:sz w:val="12"/>
        </w:rPr>
        <w:t>to</w:t>
      </w:r>
      <w:r>
        <w:rPr>
          <w:rFonts w:ascii="Arial"/>
          <w:color w:val="231F20"/>
          <w:spacing w:val="-8"/>
          <w:sz w:val="12"/>
        </w:rPr>
        <w:t> </w:t>
      </w:r>
      <w:r>
        <w:rPr>
          <w:rFonts w:ascii="Arial"/>
          <w:color w:val="231F20"/>
          <w:sz w:val="12"/>
        </w:rPr>
        <w:t>necessary</w:t>
      </w:r>
      <w:r>
        <w:rPr>
          <w:rFonts w:ascii="Arial"/>
          <w:color w:val="231F20"/>
          <w:spacing w:val="-8"/>
          <w:sz w:val="12"/>
        </w:rPr>
        <w:t> </w:t>
      </w:r>
      <w:r>
        <w:rPr>
          <w:rFonts w:ascii="Arial"/>
          <w:color w:val="231F20"/>
          <w:sz w:val="12"/>
        </w:rPr>
        <w:t>inputs</w:t>
      </w:r>
    </w:p>
    <w:p>
      <w:pPr>
        <w:spacing w:line="247" w:lineRule="auto" w:before="0"/>
        <w:ind w:left="931" w:right="0" w:firstLine="112"/>
        <w:jc w:val="left"/>
        <w:rPr>
          <w:rFonts w:ascii="Arial"/>
          <w:sz w:val="12"/>
        </w:rPr>
      </w:pPr>
      <w:r>
        <w:rPr>
          <w:rFonts w:ascii="Arial"/>
          <w:color w:val="231F20"/>
          <w:spacing w:val="-2"/>
          <w:sz w:val="12"/>
        </w:rPr>
        <w:t>Proprietary low-cost product design</w:t>
      </w:r>
      <w:r>
        <w:rPr>
          <w:rFonts w:ascii="Arial"/>
          <w:color w:val="231F20"/>
          <w:spacing w:val="40"/>
          <w:sz w:val="12"/>
        </w:rPr>
        <w:t> </w:t>
      </w:r>
      <w:r>
        <w:rPr>
          <w:rFonts w:ascii="Arial"/>
          <w:color w:val="231F20"/>
          <w:sz w:val="12"/>
        </w:rPr>
        <w:t>Government</w:t>
      </w:r>
      <w:r>
        <w:rPr>
          <w:rFonts w:ascii="Arial"/>
          <w:color w:val="231F20"/>
          <w:spacing w:val="-9"/>
          <w:sz w:val="12"/>
        </w:rPr>
        <w:t> </w:t>
      </w:r>
      <w:r>
        <w:rPr>
          <w:rFonts w:ascii="Arial"/>
          <w:color w:val="231F20"/>
          <w:sz w:val="12"/>
        </w:rPr>
        <w:t>policy</w:t>
      </w:r>
    </w:p>
    <w:p>
      <w:pPr>
        <w:spacing w:line="138" w:lineRule="exact" w:before="0"/>
        <w:ind w:left="931" w:right="0" w:firstLine="0"/>
        <w:jc w:val="left"/>
        <w:rPr>
          <w:rFonts w:ascii="Arial"/>
          <w:sz w:val="12"/>
        </w:rPr>
      </w:pPr>
      <w:r>
        <w:rPr>
          <w:rFonts w:ascii="Arial"/>
          <w:color w:val="231F20"/>
          <w:w w:val="95"/>
          <w:sz w:val="12"/>
        </w:rPr>
        <w:t>Expected</w:t>
      </w:r>
      <w:r>
        <w:rPr>
          <w:rFonts w:ascii="Arial"/>
          <w:color w:val="231F20"/>
          <w:spacing w:val="7"/>
          <w:sz w:val="12"/>
        </w:rPr>
        <w:t> </w:t>
      </w:r>
      <w:r>
        <w:rPr>
          <w:rFonts w:ascii="Arial"/>
          <w:color w:val="231F20"/>
          <w:spacing w:val="-2"/>
          <w:sz w:val="12"/>
        </w:rPr>
        <w:t>retaliation</w:t>
      </w:r>
    </w:p>
    <w:p>
      <w:pPr>
        <w:spacing w:line="240" w:lineRule="auto" w:before="0"/>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spacing w:line="247" w:lineRule="auto" w:before="104"/>
        <w:ind w:left="77" w:right="0" w:firstLine="0"/>
        <w:jc w:val="left"/>
        <w:rPr>
          <w:rFonts w:ascii="Arial"/>
          <w:sz w:val="12"/>
        </w:rPr>
      </w:pPr>
      <w:r>
        <w:rPr/>
        <w:pict>
          <v:group style="position:absolute;margin-left:182.968994pt;margin-top:24.980274pt;width:46.15pt;height:50.55pt;mso-position-horizontal-relative:page;mso-position-vertical-relative:paragraph;z-index:-25024512" id="docshapegroup518" coordorigin="3659,500" coordsize="923,1011">
            <v:shape style="position:absolute;left:3881;top:858;width:461;height:262" id="docshape519" coordorigin="3881,859" coordsize="461,262" path="m3881,859l3900,1010,3931,1087,3997,1116,4121,1120,4234,1088,4301,1023,4333,959,4342,930e" filled="false" stroked="true" strokeweight=".95pt" strokecolor="#231f20">
              <v:path arrowok="t"/>
              <v:stroke dashstyle="solid"/>
            </v:shape>
            <v:shape style="position:absolute;left:4298;top:870;width:83;height:80" id="docshape520" coordorigin="4298,870" coordsize="83,80" path="m4353,870l4298,934,4381,950,4353,870xe" filled="true" fillcolor="#231f20" stroked="false">
              <v:path arrowok="t"/>
              <v:fill type="solid"/>
            </v:shape>
            <v:shape style="position:absolute;left:3668;top:509;width:904;height:992" type="#_x0000_t202" id="docshape521" filled="false" stroked="true" strokeweight=".95pt" strokecolor="#231f20">
              <v:textbox inset="0,0,0,0">
                <w:txbxContent>
                  <w:p>
                    <w:pPr>
                      <w:spacing w:line="261" w:lineRule="auto" w:before="5"/>
                      <w:ind w:left="86" w:right="0" w:firstLine="123"/>
                      <w:jc w:val="left"/>
                      <w:rPr>
                        <w:rFonts w:ascii="Arial"/>
                        <w:sz w:val="13"/>
                      </w:rPr>
                    </w:pPr>
                    <w:r>
                      <w:rPr>
                        <w:rFonts w:ascii="Arial"/>
                        <w:color w:val="231F20"/>
                        <w:spacing w:val="-2"/>
                        <w:w w:val="105"/>
                        <w:sz w:val="13"/>
                      </w:rPr>
                      <w:t>Industry</w:t>
                    </w:r>
                    <w:r>
                      <w:rPr>
                        <w:rFonts w:ascii="Arial"/>
                        <w:color w:val="231F20"/>
                        <w:spacing w:val="40"/>
                        <w:w w:val="105"/>
                        <w:sz w:val="13"/>
                      </w:rPr>
                      <w:t> </w:t>
                    </w:r>
                    <w:r>
                      <w:rPr>
                        <w:rFonts w:ascii="Arial"/>
                        <w:color w:val="231F20"/>
                        <w:spacing w:val="-2"/>
                        <w:sz w:val="13"/>
                      </w:rPr>
                      <w:t>Competitors</w:t>
                    </w:r>
                  </w:p>
                  <w:p>
                    <w:pPr>
                      <w:spacing w:line="240" w:lineRule="auto" w:before="0"/>
                      <w:rPr>
                        <w:rFonts w:ascii="Arial"/>
                        <w:sz w:val="16"/>
                      </w:rPr>
                    </w:pPr>
                  </w:p>
                  <w:p>
                    <w:pPr>
                      <w:spacing w:line="261" w:lineRule="auto" w:before="137"/>
                      <w:ind w:left="169" w:right="173" w:firstLine="28"/>
                      <w:jc w:val="left"/>
                      <w:rPr>
                        <w:rFonts w:ascii="Arial"/>
                        <w:sz w:val="13"/>
                      </w:rPr>
                    </w:pPr>
                    <w:r>
                      <w:rPr>
                        <w:rFonts w:ascii="Arial"/>
                        <w:color w:val="231F20"/>
                        <w:spacing w:val="-2"/>
                        <w:sz w:val="13"/>
                      </w:rPr>
                      <w:t>Intensity</w:t>
                    </w:r>
                    <w:r>
                      <w:rPr>
                        <w:rFonts w:ascii="Arial"/>
                        <w:color w:val="231F20"/>
                        <w:spacing w:val="40"/>
                        <w:sz w:val="13"/>
                      </w:rPr>
                      <w:t> </w:t>
                    </w:r>
                    <w:r>
                      <w:rPr>
                        <w:rFonts w:ascii="Arial"/>
                        <w:color w:val="231F20"/>
                        <w:sz w:val="13"/>
                      </w:rPr>
                      <w:t>of</w:t>
                    </w:r>
                    <w:r>
                      <w:rPr>
                        <w:rFonts w:ascii="Arial"/>
                        <w:color w:val="231F20"/>
                        <w:spacing w:val="-5"/>
                        <w:sz w:val="13"/>
                      </w:rPr>
                      <w:t> </w:t>
                    </w:r>
                    <w:r>
                      <w:rPr>
                        <w:rFonts w:ascii="Arial"/>
                        <w:color w:val="231F20"/>
                        <w:spacing w:val="-2"/>
                        <w:sz w:val="13"/>
                      </w:rPr>
                      <w:t>Rivalry</w:t>
                    </w:r>
                  </w:p>
                </w:txbxContent>
              </v:textbox>
              <v:stroke dashstyle="solid"/>
              <w10:wrap type="none"/>
            </v:shape>
            <w10:wrap type="none"/>
          </v:group>
        </w:pict>
      </w:r>
      <w:r>
        <w:rPr/>
        <w:pict>
          <v:shape style="position:absolute;margin-left:282.39801pt;margin-top:41.615295pt;width:33.65pt;height:17.95pt;mso-position-horizontal-relative:page;mso-position-vertical-relative:paragraph;z-index:15934976" type="#_x0000_t202" id="docshape522" filled="false" stroked="true" strokeweight=".95pt" strokecolor="#231f20">
            <v:textbox inset="0,0,0,0">
              <w:txbxContent>
                <w:p>
                  <w:pPr>
                    <w:spacing w:before="94"/>
                    <w:ind w:left="129" w:right="0" w:firstLine="0"/>
                    <w:jc w:val="left"/>
                    <w:rPr>
                      <w:rFonts w:ascii="Arial"/>
                      <w:sz w:val="13"/>
                    </w:rPr>
                  </w:pPr>
                  <w:r>
                    <w:rPr>
                      <w:rFonts w:ascii="Arial"/>
                      <w:color w:val="231F20"/>
                      <w:spacing w:val="-2"/>
                      <w:w w:val="105"/>
                      <w:sz w:val="13"/>
                    </w:rPr>
                    <w:t>Buyers</w:t>
                  </w:r>
                </w:p>
              </w:txbxContent>
            </v:textbox>
            <v:stroke dashstyle="solid"/>
            <w10:wrap type="none"/>
          </v:shape>
        </w:pict>
      </w:r>
      <w:r>
        <w:rPr>
          <w:rFonts w:ascii="Arial"/>
          <w:color w:val="231F20"/>
          <w:sz w:val="12"/>
        </w:rPr>
        <w:t>Threat</w:t>
      </w:r>
      <w:r>
        <w:rPr>
          <w:rFonts w:ascii="Arial"/>
          <w:color w:val="231F20"/>
          <w:spacing w:val="-9"/>
          <w:sz w:val="12"/>
        </w:rPr>
        <w:t> </w:t>
      </w:r>
      <w:r>
        <w:rPr>
          <w:rFonts w:ascii="Arial"/>
          <w:color w:val="231F20"/>
          <w:sz w:val="12"/>
        </w:rPr>
        <w:t>of</w:t>
      </w:r>
      <w:r>
        <w:rPr>
          <w:rFonts w:ascii="Arial"/>
          <w:color w:val="231F20"/>
          <w:spacing w:val="40"/>
          <w:sz w:val="12"/>
        </w:rPr>
        <w:t> </w:t>
      </w:r>
      <w:r>
        <w:rPr>
          <w:rFonts w:ascii="Arial"/>
          <w:color w:val="231F20"/>
          <w:spacing w:val="-2"/>
          <w:sz w:val="12"/>
        </w:rPr>
        <w:t>New</w:t>
      </w:r>
      <w:r>
        <w:rPr>
          <w:rFonts w:ascii="Arial"/>
          <w:color w:val="231F20"/>
          <w:spacing w:val="-7"/>
          <w:sz w:val="12"/>
        </w:rPr>
        <w:t> </w:t>
      </w:r>
      <w:r>
        <w:rPr>
          <w:rFonts w:ascii="Arial"/>
          <w:color w:val="231F20"/>
          <w:spacing w:val="-2"/>
          <w:sz w:val="12"/>
        </w:rPr>
        <w:t>Entrants</w:t>
      </w:r>
    </w:p>
    <w:p>
      <w:pPr>
        <w:spacing w:line="240" w:lineRule="auto" w:before="9"/>
        <w:rPr>
          <w:rFonts w:ascii="Arial"/>
          <w:sz w:val="16"/>
        </w:rPr>
      </w:pPr>
      <w:r>
        <w:rPr/>
        <w:br w:type="column"/>
      </w:r>
      <w:r>
        <w:rPr>
          <w:rFonts w:ascii="Arial"/>
          <w:sz w:val="16"/>
        </w:rPr>
      </w:r>
    </w:p>
    <w:p>
      <w:pPr>
        <w:spacing w:before="0"/>
        <w:ind w:left="743" w:right="0" w:firstLine="0"/>
        <w:jc w:val="left"/>
        <w:rPr>
          <w:rFonts w:ascii="Arial"/>
          <w:b/>
          <w:sz w:val="12"/>
        </w:rPr>
      </w:pPr>
      <w:r>
        <w:rPr>
          <w:rFonts w:ascii="Arial"/>
          <w:b/>
          <w:color w:val="231F20"/>
          <w:w w:val="95"/>
          <w:sz w:val="12"/>
        </w:rPr>
        <w:t>Rivalry</w:t>
      </w:r>
      <w:r>
        <w:rPr>
          <w:rFonts w:ascii="Arial"/>
          <w:b/>
          <w:color w:val="231F20"/>
          <w:spacing w:val="5"/>
          <w:sz w:val="12"/>
        </w:rPr>
        <w:t> </w:t>
      </w:r>
      <w:r>
        <w:rPr>
          <w:rFonts w:ascii="Arial"/>
          <w:b/>
          <w:color w:val="231F20"/>
          <w:spacing w:val="-2"/>
          <w:w w:val="95"/>
          <w:sz w:val="12"/>
        </w:rPr>
        <w:t>Determinants</w:t>
      </w:r>
    </w:p>
    <w:p>
      <w:pPr>
        <w:spacing w:before="70"/>
        <w:ind w:left="743" w:right="0" w:firstLine="0"/>
        <w:jc w:val="left"/>
        <w:rPr>
          <w:rFonts w:ascii="Arial"/>
          <w:sz w:val="12"/>
        </w:rPr>
      </w:pPr>
      <w:r>
        <w:rPr>
          <w:rFonts w:ascii="Arial"/>
          <w:color w:val="231F20"/>
          <w:w w:val="95"/>
          <w:sz w:val="12"/>
        </w:rPr>
        <w:t>Industry</w:t>
      </w:r>
      <w:r>
        <w:rPr>
          <w:rFonts w:ascii="Arial"/>
          <w:color w:val="231F20"/>
          <w:spacing w:val="14"/>
          <w:sz w:val="12"/>
        </w:rPr>
        <w:t> </w:t>
      </w:r>
      <w:r>
        <w:rPr>
          <w:rFonts w:ascii="Arial"/>
          <w:color w:val="231F20"/>
          <w:spacing w:val="-2"/>
          <w:sz w:val="12"/>
        </w:rPr>
        <w:t>growth</w:t>
      </w:r>
    </w:p>
    <w:p>
      <w:pPr>
        <w:spacing w:line="247" w:lineRule="auto" w:before="4"/>
        <w:ind w:left="743" w:right="838" w:firstLine="0"/>
        <w:jc w:val="left"/>
        <w:rPr>
          <w:rFonts w:ascii="Arial"/>
          <w:sz w:val="12"/>
        </w:rPr>
      </w:pPr>
      <w:r>
        <w:rPr>
          <w:rFonts w:ascii="Arial"/>
          <w:color w:val="231F20"/>
          <w:spacing w:val="-2"/>
          <w:sz w:val="12"/>
        </w:rPr>
        <w:t>Fixed</w:t>
      </w:r>
      <w:r>
        <w:rPr>
          <w:rFonts w:ascii="Arial"/>
          <w:color w:val="231F20"/>
          <w:spacing w:val="-3"/>
          <w:sz w:val="12"/>
        </w:rPr>
        <w:t> </w:t>
      </w:r>
      <w:r>
        <w:rPr>
          <w:rFonts w:ascii="Arial"/>
          <w:color w:val="231F20"/>
          <w:spacing w:val="-2"/>
          <w:sz w:val="12"/>
        </w:rPr>
        <w:t>(or</w:t>
      </w:r>
      <w:r>
        <w:rPr>
          <w:rFonts w:ascii="Arial"/>
          <w:color w:val="231F20"/>
          <w:spacing w:val="-3"/>
          <w:sz w:val="12"/>
        </w:rPr>
        <w:t> </w:t>
      </w:r>
      <w:r>
        <w:rPr>
          <w:rFonts w:ascii="Arial"/>
          <w:color w:val="231F20"/>
          <w:spacing w:val="-2"/>
          <w:sz w:val="12"/>
        </w:rPr>
        <w:t>storage)</w:t>
      </w:r>
      <w:r>
        <w:rPr>
          <w:rFonts w:ascii="Arial"/>
          <w:color w:val="231F20"/>
          <w:spacing w:val="-3"/>
          <w:sz w:val="12"/>
        </w:rPr>
        <w:t> </w:t>
      </w:r>
      <w:r>
        <w:rPr>
          <w:rFonts w:ascii="Arial"/>
          <w:color w:val="231F20"/>
          <w:spacing w:val="-2"/>
          <w:sz w:val="12"/>
        </w:rPr>
        <w:t>costs/value</w:t>
      </w:r>
      <w:r>
        <w:rPr>
          <w:rFonts w:ascii="Arial"/>
          <w:color w:val="231F20"/>
          <w:spacing w:val="-3"/>
          <w:sz w:val="12"/>
        </w:rPr>
        <w:t> </w:t>
      </w:r>
      <w:r>
        <w:rPr>
          <w:rFonts w:ascii="Arial"/>
          <w:color w:val="231F20"/>
          <w:spacing w:val="-2"/>
          <w:sz w:val="12"/>
        </w:rPr>
        <w:t>added</w:t>
      </w:r>
      <w:r>
        <w:rPr>
          <w:rFonts w:ascii="Arial"/>
          <w:color w:val="231F20"/>
          <w:spacing w:val="40"/>
          <w:sz w:val="12"/>
        </w:rPr>
        <w:t> </w:t>
      </w:r>
      <w:r>
        <w:rPr>
          <w:rFonts w:ascii="Arial"/>
          <w:color w:val="231F20"/>
          <w:sz w:val="12"/>
        </w:rPr>
        <w:t>Intermittent</w:t>
      </w:r>
      <w:r>
        <w:rPr>
          <w:rFonts w:ascii="Arial"/>
          <w:color w:val="231F20"/>
          <w:spacing w:val="-9"/>
          <w:sz w:val="12"/>
        </w:rPr>
        <w:t> </w:t>
      </w:r>
      <w:r>
        <w:rPr>
          <w:rFonts w:ascii="Arial"/>
          <w:color w:val="231F20"/>
          <w:sz w:val="12"/>
        </w:rPr>
        <w:t>overcapacity</w:t>
      </w:r>
    </w:p>
    <w:p>
      <w:pPr>
        <w:spacing w:line="247" w:lineRule="auto" w:before="0"/>
        <w:ind w:left="743" w:right="2071" w:firstLine="0"/>
        <w:jc w:val="left"/>
        <w:rPr>
          <w:rFonts w:ascii="Arial"/>
          <w:sz w:val="12"/>
        </w:rPr>
      </w:pPr>
      <w:r>
        <w:rPr/>
        <w:pict>
          <v:shape style="position:absolute;margin-left:190.087006pt;margin-top:15.892576pt;width:33.65pt;height:17.95pt;mso-position-horizontal-relative:page;mso-position-vertical-relative:paragraph;z-index:15934464" type="#_x0000_t202" id="docshape523" filled="false" stroked="true" strokeweight=".95pt" strokecolor="#231f20">
            <v:textbox inset="0,0,0,0">
              <w:txbxContent>
                <w:p>
                  <w:pPr>
                    <w:spacing w:line="261" w:lineRule="auto" w:before="13"/>
                    <w:ind w:left="66" w:right="0" w:firstLine="116"/>
                    <w:jc w:val="left"/>
                    <w:rPr>
                      <w:rFonts w:ascii="Arial"/>
                      <w:sz w:val="13"/>
                    </w:rPr>
                  </w:pPr>
                  <w:r>
                    <w:rPr>
                      <w:rFonts w:ascii="Arial"/>
                      <w:color w:val="231F20"/>
                      <w:spacing w:val="-4"/>
                      <w:w w:val="105"/>
                      <w:sz w:val="13"/>
                    </w:rPr>
                    <w:t>New</w:t>
                  </w:r>
                  <w:r>
                    <w:rPr>
                      <w:rFonts w:ascii="Arial"/>
                      <w:color w:val="231F20"/>
                      <w:spacing w:val="40"/>
                      <w:w w:val="105"/>
                      <w:sz w:val="13"/>
                    </w:rPr>
                    <w:t> </w:t>
                  </w:r>
                  <w:r>
                    <w:rPr>
                      <w:rFonts w:ascii="Arial"/>
                      <w:color w:val="231F20"/>
                      <w:spacing w:val="-2"/>
                      <w:sz w:val="13"/>
                    </w:rPr>
                    <w:t>Entrants</w:t>
                  </w:r>
                </w:p>
              </w:txbxContent>
            </v:textbox>
            <v:stroke dashstyle="solid"/>
            <w10:wrap type="none"/>
          </v:shape>
        </w:pict>
      </w:r>
      <w:r>
        <w:rPr>
          <w:rFonts w:ascii="Arial"/>
          <w:color w:val="231F20"/>
          <w:spacing w:val="-2"/>
          <w:sz w:val="12"/>
        </w:rPr>
        <w:t>Product</w:t>
      </w:r>
      <w:r>
        <w:rPr>
          <w:rFonts w:ascii="Arial"/>
          <w:color w:val="231F20"/>
          <w:spacing w:val="-7"/>
          <w:sz w:val="12"/>
        </w:rPr>
        <w:t> </w:t>
      </w:r>
      <w:r>
        <w:rPr>
          <w:rFonts w:ascii="Arial"/>
          <w:color w:val="231F20"/>
          <w:spacing w:val="-2"/>
          <w:sz w:val="12"/>
        </w:rPr>
        <w:t>differences</w:t>
      </w:r>
      <w:r>
        <w:rPr>
          <w:rFonts w:ascii="Arial"/>
          <w:color w:val="231F20"/>
          <w:spacing w:val="40"/>
          <w:sz w:val="12"/>
        </w:rPr>
        <w:t> </w:t>
      </w:r>
      <w:r>
        <w:rPr>
          <w:rFonts w:ascii="Arial"/>
          <w:color w:val="231F20"/>
          <w:sz w:val="12"/>
        </w:rPr>
        <w:t>Brand</w:t>
      </w:r>
      <w:r>
        <w:rPr>
          <w:rFonts w:ascii="Arial"/>
          <w:color w:val="231F20"/>
          <w:spacing w:val="-9"/>
          <w:sz w:val="12"/>
        </w:rPr>
        <w:t> </w:t>
      </w:r>
      <w:r>
        <w:rPr>
          <w:rFonts w:ascii="Arial"/>
          <w:color w:val="231F20"/>
          <w:sz w:val="12"/>
        </w:rPr>
        <w:t>identity</w:t>
      </w:r>
      <w:r>
        <w:rPr>
          <w:rFonts w:ascii="Arial"/>
          <w:color w:val="231F20"/>
          <w:spacing w:val="40"/>
          <w:sz w:val="12"/>
        </w:rPr>
        <w:t> </w:t>
      </w:r>
      <w:r>
        <w:rPr>
          <w:rFonts w:ascii="Arial"/>
          <w:color w:val="231F20"/>
          <w:sz w:val="12"/>
        </w:rPr>
        <w:t>Switching</w:t>
      </w:r>
      <w:r>
        <w:rPr>
          <w:rFonts w:ascii="Arial"/>
          <w:color w:val="231F20"/>
          <w:spacing w:val="-9"/>
          <w:sz w:val="12"/>
        </w:rPr>
        <w:t> </w:t>
      </w:r>
      <w:r>
        <w:rPr>
          <w:rFonts w:ascii="Arial"/>
          <w:color w:val="231F20"/>
          <w:sz w:val="12"/>
        </w:rPr>
        <w:t>costs</w:t>
      </w:r>
    </w:p>
    <w:p>
      <w:pPr>
        <w:spacing w:line="247" w:lineRule="auto" w:before="0"/>
        <w:ind w:left="743" w:right="1565" w:firstLine="0"/>
        <w:jc w:val="left"/>
        <w:rPr>
          <w:rFonts w:ascii="Arial"/>
          <w:sz w:val="12"/>
        </w:rPr>
      </w:pPr>
      <w:r>
        <w:rPr/>
        <w:pict>
          <v:group style="position:absolute;margin-left:204.796005pt;margin-top:12.743835pt;width:4.25pt;height:28.05pt;mso-position-horizontal-relative:page;mso-position-vertical-relative:paragraph;z-index:15933952" id="docshapegroup524" coordorigin="4096,255" coordsize="85,561">
            <v:line style="position:absolute" from="4138,255" to="4138,755" stroked="true" strokeweight=".95pt" strokecolor="#231f20">
              <v:stroke dashstyle="solid"/>
            </v:line>
            <v:shape style="position:absolute;left:4095;top:742;width:85;height:73" id="docshape525" coordorigin="4096,743" coordsize="85,73" path="m4180,743l4096,743,4138,816,4180,743xe" filled="true" fillcolor="#231f20" stroked="false">
              <v:path arrowok="t"/>
              <v:fill type="solid"/>
            </v:shape>
            <w10:wrap type="none"/>
          </v:group>
        </w:pict>
      </w:r>
      <w:r>
        <w:rPr>
          <w:rFonts w:ascii="Arial"/>
          <w:color w:val="231F20"/>
          <w:spacing w:val="-2"/>
          <w:sz w:val="12"/>
        </w:rPr>
        <w:t>Concentration</w:t>
      </w:r>
      <w:r>
        <w:rPr>
          <w:rFonts w:ascii="Arial"/>
          <w:color w:val="231F20"/>
          <w:spacing w:val="-7"/>
          <w:sz w:val="12"/>
        </w:rPr>
        <w:t> </w:t>
      </w:r>
      <w:r>
        <w:rPr>
          <w:rFonts w:ascii="Arial"/>
          <w:color w:val="231F20"/>
          <w:spacing w:val="-2"/>
          <w:sz w:val="12"/>
        </w:rPr>
        <w:t>and</w:t>
      </w:r>
      <w:r>
        <w:rPr>
          <w:rFonts w:ascii="Arial"/>
          <w:color w:val="231F20"/>
          <w:spacing w:val="-6"/>
          <w:sz w:val="12"/>
        </w:rPr>
        <w:t> </w:t>
      </w:r>
      <w:r>
        <w:rPr>
          <w:rFonts w:ascii="Arial"/>
          <w:color w:val="231F20"/>
          <w:spacing w:val="-2"/>
          <w:sz w:val="12"/>
        </w:rPr>
        <w:t>balance</w:t>
      </w:r>
      <w:r>
        <w:rPr>
          <w:rFonts w:ascii="Arial"/>
          <w:color w:val="231F20"/>
          <w:spacing w:val="40"/>
          <w:sz w:val="12"/>
        </w:rPr>
        <w:t> </w:t>
      </w:r>
      <w:r>
        <w:rPr>
          <w:rFonts w:ascii="Arial"/>
          <w:color w:val="231F20"/>
          <w:sz w:val="12"/>
        </w:rPr>
        <w:t>Informational</w:t>
      </w:r>
      <w:r>
        <w:rPr>
          <w:rFonts w:ascii="Arial"/>
          <w:color w:val="231F20"/>
          <w:spacing w:val="-9"/>
          <w:sz w:val="12"/>
        </w:rPr>
        <w:t> </w:t>
      </w:r>
      <w:r>
        <w:rPr>
          <w:rFonts w:ascii="Arial"/>
          <w:color w:val="231F20"/>
          <w:sz w:val="12"/>
        </w:rPr>
        <w:t>complexity</w:t>
      </w:r>
      <w:r>
        <w:rPr>
          <w:rFonts w:ascii="Arial"/>
          <w:color w:val="231F20"/>
          <w:spacing w:val="40"/>
          <w:sz w:val="12"/>
        </w:rPr>
        <w:t> </w:t>
      </w:r>
      <w:r>
        <w:rPr>
          <w:rFonts w:ascii="Arial"/>
          <w:color w:val="231F20"/>
          <w:sz w:val="12"/>
        </w:rPr>
        <w:t>Diversity of competitors</w:t>
      </w:r>
      <w:r>
        <w:rPr>
          <w:rFonts w:ascii="Arial"/>
          <w:color w:val="231F20"/>
          <w:spacing w:val="40"/>
          <w:sz w:val="12"/>
        </w:rPr>
        <w:t> </w:t>
      </w:r>
      <w:r>
        <w:rPr>
          <w:rFonts w:ascii="Arial"/>
          <w:color w:val="231F20"/>
          <w:sz w:val="12"/>
        </w:rPr>
        <w:t>Corporate</w:t>
      </w:r>
      <w:r>
        <w:rPr>
          <w:rFonts w:ascii="Arial"/>
          <w:color w:val="231F20"/>
          <w:spacing w:val="-9"/>
          <w:sz w:val="12"/>
        </w:rPr>
        <w:t> </w:t>
      </w:r>
      <w:r>
        <w:rPr>
          <w:rFonts w:ascii="Arial"/>
          <w:color w:val="231F20"/>
          <w:sz w:val="12"/>
        </w:rPr>
        <w:t>stakes</w:t>
      </w:r>
    </w:p>
    <w:p>
      <w:pPr>
        <w:spacing w:line="137" w:lineRule="exact" w:before="0"/>
        <w:ind w:left="743" w:right="0" w:firstLine="0"/>
        <w:jc w:val="left"/>
        <w:rPr>
          <w:rFonts w:ascii="Arial"/>
          <w:sz w:val="12"/>
        </w:rPr>
      </w:pPr>
      <w:r>
        <w:rPr>
          <w:rFonts w:ascii="Arial"/>
          <w:color w:val="231F20"/>
          <w:sz w:val="12"/>
        </w:rPr>
        <w:t>Exit</w:t>
      </w:r>
      <w:r>
        <w:rPr>
          <w:rFonts w:ascii="Arial"/>
          <w:color w:val="231F20"/>
          <w:spacing w:val="-10"/>
          <w:sz w:val="12"/>
        </w:rPr>
        <w:t> </w:t>
      </w:r>
      <w:r>
        <w:rPr>
          <w:rFonts w:ascii="Arial"/>
          <w:color w:val="231F20"/>
          <w:spacing w:val="-2"/>
          <w:sz w:val="12"/>
        </w:rPr>
        <w:t>barriers</w:t>
      </w:r>
    </w:p>
    <w:p>
      <w:pPr>
        <w:spacing w:after="0" w:line="137" w:lineRule="exact"/>
        <w:jc w:val="left"/>
        <w:rPr>
          <w:rFonts w:ascii="Arial"/>
          <w:sz w:val="12"/>
        </w:rPr>
        <w:sectPr>
          <w:type w:val="continuous"/>
          <w:pgSz w:w="8640" w:h="12960"/>
          <w:pgMar w:header="732" w:footer="0" w:top="1220" w:bottom="280" w:left="340" w:right="500"/>
          <w:cols w:num="3" w:equalWidth="0">
            <w:col w:w="2903" w:space="40"/>
            <w:col w:w="785" w:space="39"/>
            <w:col w:w="4033"/>
          </w:cols>
        </w:sectPr>
      </w:pPr>
    </w:p>
    <w:p>
      <w:pPr>
        <w:pStyle w:val="BodyText"/>
        <w:spacing w:before="4"/>
        <w:rPr>
          <w:rFonts w:ascii="Arial"/>
          <w:sz w:val="9"/>
        </w:rPr>
      </w:pPr>
    </w:p>
    <w:p>
      <w:pPr>
        <w:spacing w:after="0"/>
        <w:rPr>
          <w:rFonts w:ascii="Arial"/>
          <w:sz w:val="9"/>
        </w:rPr>
        <w:sectPr>
          <w:type w:val="continuous"/>
          <w:pgSz w:w="8640" w:h="12960"/>
          <w:pgMar w:header="732" w:footer="0" w:top="1220" w:bottom="280" w:left="340" w:right="500"/>
        </w:sectPr>
      </w:pPr>
    </w:p>
    <w:p>
      <w:pPr>
        <w:spacing w:line="247" w:lineRule="auto" w:before="98"/>
        <w:ind w:left="2350" w:right="-5" w:firstLine="0"/>
        <w:jc w:val="left"/>
        <w:rPr>
          <w:rFonts w:ascii="Arial"/>
          <w:sz w:val="12"/>
        </w:rPr>
      </w:pPr>
      <w:r>
        <w:rPr/>
        <w:pict>
          <v:shape style="position:absolute;margin-left:97.147011pt;margin-top:11.898027pt;width:33.65pt;height:17.95pt;mso-position-horizontal-relative:page;mso-position-vertical-relative:paragraph;z-index:15935488" type="#_x0000_t202" id="docshape526" filled="false" stroked="true" strokeweight=".95pt" strokecolor="#231f20">
            <v:textbox inset="0,0,0,0">
              <w:txbxContent>
                <w:p>
                  <w:pPr>
                    <w:spacing w:before="94"/>
                    <w:ind w:left="31" w:right="0" w:firstLine="0"/>
                    <w:jc w:val="left"/>
                    <w:rPr>
                      <w:rFonts w:ascii="Arial"/>
                      <w:sz w:val="13"/>
                    </w:rPr>
                  </w:pPr>
                  <w:r>
                    <w:rPr>
                      <w:rFonts w:ascii="Arial"/>
                      <w:color w:val="231F20"/>
                      <w:spacing w:val="-2"/>
                      <w:w w:val="105"/>
                      <w:sz w:val="13"/>
                    </w:rPr>
                    <w:t>Suppliers</w:t>
                  </w:r>
                </w:p>
              </w:txbxContent>
            </v:textbox>
            <v:stroke dashstyle="solid"/>
            <w10:wrap type="none"/>
          </v:shape>
        </w:pict>
      </w:r>
      <w:r>
        <w:rPr>
          <w:rFonts w:ascii="Arial"/>
          <w:color w:val="231F20"/>
          <w:spacing w:val="-2"/>
          <w:sz w:val="12"/>
        </w:rPr>
        <w:t>Bargaining</w:t>
      </w:r>
      <w:r>
        <w:rPr>
          <w:rFonts w:ascii="Arial"/>
          <w:color w:val="231F20"/>
          <w:spacing w:val="-7"/>
          <w:sz w:val="12"/>
        </w:rPr>
        <w:t> </w:t>
      </w:r>
      <w:r>
        <w:rPr>
          <w:rFonts w:ascii="Arial"/>
          <w:color w:val="231F20"/>
          <w:spacing w:val="-2"/>
          <w:sz w:val="12"/>
        </w:rPr>
        <w:t>Power</w:t>
      </w:r>
      <w:r>
        <w:rPr>
          <w:rFonts w:ascii="Arial"/>
          <w:color w:val="231F20"/>
          <w:spacing w:val="40"/>
          <w:sz w:val="12"/>
        </w:rPr>
        <w:t> </w:t>
      </w:r>
      <w:r>
        <w:rPr>
          <w:rFonts w:ascii="Arial"/>
          <w:color w:val="231F20"/>
          <w:sz w:val="12"/>
        </w:rPr>
        <w:t>of</w:t>
      </w:r>
      <w:r>
        <w:rPr>
          <w:rFonts w:ascii="Arial"/>
          <w:color w:val="231F20"/>
          <w:spacing w:val="-9"/>
          <w:sz w:val="12"/>
        </w:rPr>
        <w:t> </w:t>
      </w:r>
      <w:r>
        <w:rPr>
          <w:rFonts w:ascii="Arial"/>
          <w:color w:val="231F20"/>
          <w:sz w:val="12"/>
        </w:rPr>
        <w:t>Suppliers</w:t>
      </w:r>
    </w:p>
    <w:p>
      <w:pPr>
        <w:spacing w:line="247" w:lineRule="auto" w:before="98"/>
        <w:ind w:left="1054" w:right="2499" w:firstLine="0"/>
        <w:jc w:val="left"/>
        <w:rPr>
          <w:rFonts w:ascii="Arial"/>
          <w:sz w:val="12"/>
        </w:rPr>
      </w:pPr>
      <w:r>
        <w:rPr/>
        <w:br w:type="column"/>
      </w:r>
      <w:r>
        <w:rPr>
          <w:rFonts w:ascii="Arial"/>
          <w:color w:val="231F20"/>
          <w:spacing w:val="-2"/>
          <w:sz w:val="12"/>
        </w:rPr>
        <w:t>Bargaining</w:t>
      </w:r>
      <w:r>
        <w:rPr>
          <w:rFonts w:ascii="Arial"/>
          <w:color w:val="231F20"/>
          <w:spacing w:val="-7"/>
          <w:sz w:val="12"/>
        </w:rPr>
        <w:t> </w:t>
      </w:r>
      <w:r>
        <w:rPr>
          <w:rFonts w:ascii="Arial"/>
          <w:color w:val="231F20"/>
          <w:spacing w:val="-2"/>
          <w:sz w:val="12"/>
        </w:rPr>
        <w:t>Power</w:t>
      </w:r>
      <w:r>
        <w:rPr>
          <w:rFonts w:ascii="Arial"/>
          <w:color w:val="231F20"/>
          <w:spacing w:val="40"/>
          <w:sz w:val="12"/>
        </w:rPr>
        <w:t> </w:t>
      </w:r>
      <w:r>
        <w:rPr>
          <w:rFonts w:ascii="Arial"/>
          <w:color w:val="231F20"/>
          <w:sz w:val="12"/>
        </w:rPr>
        <w:t>of</w:t>
      </w:r>
      <w:r>
        <w:rPr>
          <w:rFonts w:ascii="Arial"/>
          <w:color w:val="231F20"/>
          <w:spacing w:val="-9"/>
          <w:sz w:val="12"/>
        </w:rPr>
        <w:t> </w:t>
      </w:r>
      <w:r>
        <w:rPr>
          <w:rFonts w:ascii="Arial"/>
          <w:color w:val="231F20"/>
          <w:sz w:val="12"/>
        </w:rPr>
        <w:t>Buyers</w:t>
      </w:r>
    </w:p>
    <w:p>
      <w:pPr>
        <w:spacing w:after="0" w:line="247" w:lineRule="auto"/>
        <w:jc w:val="left"/>
        <w:rPr>
          <w:rFonts w:ascii="Arial"/>
          <w:sz w:val="12"/>
        </w:rPr>
        <w:sectPr>
          <w:type w:val="continuous"/>
          <w:pgSz w:w="8640" w:h="12960"/>
          <w:pgMar w:header="732" w:footer="0" w:top="1220" w:bottom="280" w:left="340" w:right="500"/>
          <w:cols w:num="2" w:equalWidth="0">
            <w:col w:w="3276" w:space="40"/>
            <w:col w:w="4484"/>
          </w:cols>
        </w:sectPr>
      </w:pPr>
    </w:p>
    <w:p>
      <w:pPr>
        <w:tabs>
          <w:tab w:pos="4286" w:val="left" w:leader="none"/>
        </w:tabs>
        <w:spacing w:line="84" w:lineRule="exact"/>
        <w:ind w:left="2265" w:right="0" w:firstLine="0"/>
        <w:rPr>
          <w:rFonts w:ascii="Arial"/>
          <w:sz w:val="8"/>
        </w:rPr>
      </w:pPr>
      <w:r>
        <w:rPr/>
        <w:pict>
          <v:shape style="position:absolute;margin-left:189.207993pt;margin-top:32.411018pt;width:34.6pt;height:43.6pt;mso-position-horizontal-relative:page;mso-position-vertical-relative:paragraph;z-index:15936000" type="#_x0000_t202" id="docshape527"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40"/>
                    <w:gridCol w:w="333"/>
                  </w:tblGrid>
                  <w:tr>
                    <w:trPr>
                      <w:trHeight w:val="494" w:hRule="atLeast"/>
                    </w:trPr>
                    <w:tc>
                      <w:tcPr>
                        <w:tcW w:w="340" w:type="dxa"/>
                        <w:tcBorders>
                          <w:top w:val="nil"/>
                          <w:left w:val="nil"/>
                        </w:tcBorders>
                      </w:tcPr>
                      <w:p>
                        <w:pPr>
                          <w:pStyle w:val="TableParagraph"/>
                          <w:spacing w:before="0"/>
                          <w:jc w:val="left"/>
                          <w:rPr>
                            <w:rFonts w:ascii="Times New Roman"/>
                            <w:sz w:val="14"/>
                          </w:rPr>
                        </w:pPr>
                      </w:p>
                    </w:tc>
                    <w:tc>
                      <w:tcPr>
                        <w:tcW w:w="333" w:type="dxa"/>
                        <w:tcBorders>
                          <w:top w:val="nil"/>
                          <w:right w:val="nil"/>
                        </w:tcBorders>
                      </w:tcPr>
                      <w:p>
                        <w:pPr>
                          <w:pStyle w:val="TableParagraph"/>
                          <w:spacing w:line="247" w:lineRule="auto" w:before="94"/>
                          <w:ind w:left="53" w:right="-87"/>
                          <w:jc w:val="left"/>
                          <w:rPr>
                            <w:rFonts w:ascii="Arial"/>
                            <w:sz w:val="12"/>
                          </w:rPr>
                        </w:pPr>
                        <w:r>
                          <w:rPr>
                            <w:rFonts w:ascii="Arial"/>
                            <w:color w:val="231F20"/>
                            <w:spacing w:val="-2"/>
                            <w:sz w:val="12"/>
                          </w:rPr>
                          <w:t>Threat</w:t>
                        </w:r>
                        <w:r>
                          <w:rPr>
                            <w:rFonts w:ascii="Arial"/>
                            <w:color w:val="231F20"/>
                            <w:spacing w:val="40"/>
                            <w:sz w:val="12"/>
                          </w:rPr>
                          <w:t> </w:t>
                        </w:r>
                        <w:r>
                          <w:rPr>
                            <w:rFonts w:ascii="Arial"/>
                            <w:color w:val="231F20"/>
                            <w:spacing w:val="-2"/>
                            <w:sz w:val="12"/>
                          </w:rPr>
                          <w:t>Substi</w:t>
                        </w:r>
                      </w:p>
                    </w:tc>
                  </w:tr>
                  <w:tr>
                    <w:trPr>
                      <w:trHeight w:val="338" w:hRule="atLeast"/>
                    </w:trPr>
                    <w:tc>
                      <w:tcPr>
                        <w:tcW w:w="673" w:type="dxa"/>
                        <w:gridSpan w:val="2"/>
                      </w:tcPr>
                      <w:p>
                        <w:pPr>
                          <w:pStyle w:val="TableParagraph"/>
                          <w:spacing w:before="93"/>
                          <w:ind w:left="20"/>
                          <w:jc w:val="left"/>
                          <w:rPr>
                            <w:rFonts w:ascii="Arial"/>
                            <w:sz w:val="13"/>
                          </w:rPr>
                        </w:pPr>
                        <w:r>
                          <w:rPr>
                            <w:rFonts w:ascii="Arial"/>
                            <w:color w:val="231F20"/>
                            <w:spacing w:val="-2"/>
                            <w:sz w:val="13"/>
                          </w:rPr>
                          <w:t>Substitutes</w:t>
                        </w:r>
                      </w:p>
                    </w:tc>
                  </w:tr>
                </w:tbl>
                <w:p>
                  <w:pPr>
                    <w:pStyle w:val="BodyText"/>
                  </w:pPr>
                </w:p>
              </w:txbxContent>
            </v:textbox>
            <w10:wrap type="none"/>
          </v:shape>
        </w:pict>
      </w:r>
      <w:r>
        <w:rPr>
          <w:rFonts w:ascii="Arial"/>
          <w:position w:val="-1"/>
          <w:sz w:val="8"/>
        </w:rPr>
        <w:pict>
          <v:group style="width:50.2pt;height:4.25pt;mso-position-horizontal-relative:char;mso-position-vertical-relative:line" id="docshapegroup528" coordorigin="0,0" coordsize="1004,85">
            <v:line style="position:absolute" from="0,42" to="943,42" stroked="true" strokeweight=".95pt" strokecolor="#231f20">
              <v:stroke dashstyle="solid"/>
            </v:line>
            <v:shape style="position:absolute;left:930;top:0;width:74;height:85" id="docshape529" coordorigin="931,0" coordsize="74,85" path="m931,0l931,84,1004,42,931,0xe" filled="true" fillcolor="#231f20" stroked="false">
              <v:path arrowok="t"/>
              <v:fill type="solid"/>
            </v:shape>
          </v:group>
        </w:pict>
      </w:r>
      <w:r>
        <w:rPr>
          <w:rFonts w:ascii="Arial"/>
          <w:position w:val="-1"/>
          <w:sz w:val="8"/>
        </w:rPr>
      </w:r>
      <w:r>
        <w:rPr>
          <w:rFonts w:ascii="Arial"/>
          <w:position w:val="-1"/>
          <w:sz w:val="8"/>
        </w:rPr>
        <w:tab/>
      </w:r>
      <w:r>
        <w:rPr>
          <w:rFonts w:ascii="Arial"/>
          <w:position w:val="-1"/>
          <w:sz w:val="8"/>
        </w:rPr>
        <w:pict>
          <v:group style="width:50.85pt;height:4.25pt;mso-position-horizontal-relative:char;mso-position-vertical-relative:line" id="docshapegroup530" coordorigin="0,0" coordsize="1017,85">
            <v:line style="position:absolute" from="1017,42" to="61,42" stroked="true" strokeweight=".95pt" strokecolor="#231f20">
              <v:stroke dashstyle="solid"/>
            </v:line>
            <v:shape style="position:absolute;left:0;top:0;width:73;height:85" id="docshape531" coordorigin="0,0" coordsize="73,85" path="m73,0l0,42,73,84,73,0xe" filled="true" fillcolor="#231f20" stroked="false">
              <v:path arrowok="t"/>
              <v:fill type="solid"/>
            </v:shape>
          </v:group>
        </w:pict>
      </w:r>
      <w:r>
        <w:rPr>
          <w:rFonts w:ascii="Arial"/>
          <w:position w:val="-1"/>
          <w:sz w:val="8"/>
        </w:rPr>
      </w:r>
    </w:p>
    <w:p>
      <w:pPr>
        <w:pStyle w:val="BodyText"/>
        <w:rPr>
          <w:rFonts w:ascii="Arial"/>
          <w:sz w:val="20"/>
        </w:rPr>
      </w:pPr>
    </w:p>
    <w:p>
      <w:pPr>
        <w:pStyle w:val="BodyText"/>
        <w:spacing w:before="7"/>
        <w:rPr>
          <w:rFonts w:ascii="Arial"/>
          <w:sz w:val="18"/>
        </w:rPr>
      </w:pPr>
    </w:p>
    <w:p>
      <w:pPr>
        <w:pStyle w:val="BodyText"/>
        <w:spacing w:before="5"/>
        <w:rPr>
          <w:rFonts w:ascii="Arial"/>
          <w:sz w:val="3"/>
        </w:rPr>
      </w:pPr>
      <w:r>
        <w:rPr/>
        <w:pict>
          <v:shape style="position:absolute;margin-left:204.588013pt;margin-top:3.174854pt;width:4.25pt;height:3.65pt;mso-position-horizontal-relative:page;mso-position-vertical-relative:paragraph;z-index:-15524352;mso-wrap-distance-left:0;mso-wrap-distance-right:0" id="docshape532" coordorigin="4092,63" coordsize="85,73" path="m4134,63l4092,136,4176,136,4134,63xe" filled="true" fillcolor="#231f20" stroked="false">
            <v:path arrowok="t"/>
            <v:fill type="solid"/>
            <w10:wrap type="topAndBottom"/>
          </v:shape>
        </w:pict>
      </w:r>
    </w:p>
    <w:p>
      <w:pPr>
        <w:tabs>
          <w:tab w:pos="4506" w:val="left" w:leader="none"/>
        </w:tabs>
        <w:spacing w:line="84" w:lineRule="exact" w:before="0"/>
        <w:ind w:left="930" w:right="0" w:firstLine="0"/>
        <w:jc w:val="left"/>
        <w:rPr>
          <w:rFonts w:ascii="Arial"/>
          <w:b/>
          <w:sz w:val="12"/>
        </w:rPr>
      </w:pPr>
      <w:r>
        <w:rPr>
          <w:rFonts w:ascii="Arial"/>
          <w:b/>
          <w:color w:val="231F20"/>
          <w:w w:val="95"/>
          <w:sz w:val="12"/>
        </w:rPr>
        <w:t>Determinants</w:t>
      </w:r>
      <w:r>
        <w:rPr>
          <w:rFonts w:ascii="Arial"/>
          <w:b/>
          <w:color w:val="231F20"/>
          <w:spacing w:val="6"/>
          <w:sz w:val="12"/>
        </w:rPr>
        <w:t> </w:t>
      </w:r>
      <w:r>
        <w:rPr>
          <w:rFonts w:ascii="Arial"/>
          <w:b/>
          <w:color w:val="231F20"/>
          <w:w w:val="95"/>
          <w:sz w:val="12"/>
        </w:rPr>
        <w:t>of</w:t>
      </w:r>
      <w:r>
        <w:rPr>
          <w:rFonts w:ascii="Arial"/>
          <w:b/>
          <w:color w:val="231F20"/>
          <w:spacing w:val="6"/>
          <w:sz w:val="12"/>
        </w:rPr>
        <w:t> </w:t>
      </w:r>
      <w:r>
        <w:rPr>
          <w:rFonts w:ascii="Arial"/>
          <w:b/>
          <w:color w:val="231F20"/>
          <w:w w:val="95"/>
          <w:sz w:val="12"/>
        </w:rPr>
        <w:t>Supplier</w:t>
      </w:r>
      <w:r>
        <w:rPr>
          <w:rFonts w:ascii="Arial"/>
          <w:b/>
          <w:color w:val="231F20"/>
          <w:spacing w:val="6"/>
          <w:sz w:val="12"/>
        </w:rPr>
        <w:t> </w:t>
      </w:r>
      <w:r>
        <w:rPr>
          <w:rFonts w:ascii="Arial"/>
          <w:b/>
          <w:color w:val="231F20"/>
          <w:spacing w:val="-2"/>
          <w:w w:val="95"/>
          <w:sz w:val="12"/>
        </w:rPr>
        <w:t>Power</w:t>
      </w:r>
      <w:r>
        <w:rPr>
          <w:rFonts w:ascii="Arial"/>
          <w:b/>
          <w:color w:val="231F20"/>
          <w:sz w:val="12"/>
        </w:rPr>
        <w:tab/>
      </w:r>
      <w:r>
        <w:rPr>
          <w:rFonts w:ascii="Arial"/>
          <w:b/>
          <w:color w:val="231F20"/>
          <w:w w:val="95"/>
          <w:sz w:val="12"/>
        </w:rPr>
        <w:t>Determinants</w:t>
      </w:r>
      <w:r>
        <w:rPr>
          <w:rFonts w:ascii="Arial"/>
          <w:b/>
          <w:color w:val="231F20"/>
          <w:spacing w:val="5"/>
          <w:sz w:val="12"/>
        </w:rPr>
        <w:t> </w:t>
      </w:r>
      <w:r>
        <w:rPr>
          <w:rFonts w:ascii="Arial"/>
          <w:b/>
          <w:color w:val="231F20"/>
          <w:w w:val="95"/>
          <w:sz w:val="12"/>
        </w:rPr>
        <w:t>of</w:t>
      </w:r>
      <w:r>
        <w:rPr>
          <w:rFonts w:ascii="Arial"/>
          <w:b/>
          <w:color w:val="231F20"/>
          <w:spacing w:val="6"/>
          <w:sz w:val="12"/>
        </w:rPr>
        <w:t> </w:t>
      </w:r>
      <w:r>
        <w:rPr>
          <w:rFonts w:ascii="Arial"/>
          <w:b/>
          <w:color w:val="231F20"/>
          <w:w w:val="95"/>
          <w:sz w:val="12"/>
        </w:rPr>
        <w:t>Buyer</w:t>
      </w:r>
      <w:r>
        <w:rPr>
          <w:rFonts w:ascii="Arial"/>
          <w:b/>
          <w:color w:val="231F20"/>
          <w:spacing w:val="5"/>
          <w:sz w:val="12"/>
        </w:rPr>
        <w:t> </w:t>
      </w:r>
      <w:r>
        <w:rPr>
          <w:rFonts w:ascii="Arial"/>
          <w:b/>
          <w:color w:val="231F20"/>
          <w:spacing w:val="-2"/>
          <w:w w:val="95"/>
          <w:sz w:val="12"/>
        </w:rPr>
        <w:t>Power</w:t>
      </w:r>
    </w:p>
    <w:p>
      <w:pPr>
        <w:spacing w:after="0" w:line="84" w:lineRule="exact"/>
        <w:jc w:val="left"/>
        <w:rPr>
          <w:rFonts w:ascii="Arial"/>
          <w:sz w:val="12"/>
        </w:rPr>
        <w:sectPr>
          <w:type w:val="continuous"/>
          <w:pgSz w:w="8640" w:h="12960"/>
          <w:pgMar w:header="732" w:footer="0" w:top="1220" w:bottom="280" w:left="340" w:right="500"/>
        </w:sectPr>
      </w:pPr>
    </w:p>
    <w:p>
      <w:pPr>
        <w:spacing w:before="88"/>
        <w:ind w:left="930" w:right="0" w:firstLine="0"/>
        <w:jc w:val="left"/>
        <w:rPr>
          <w:rFonts w:ascii="Arial"/>
          <w:sz w:val="12"/>
        </w:rPr>
      </w:pPr>
      <w:r>
        <w:rPr>
          <w:rFonts w:ascii="Arial"/>
          <w:color w:val="231F20"/>
          <w:w w:val="95"/>
          <w:sz w:val="12"/>
        </w:rPr>
        <w:t>Differentiation</w:t>
      </w:r>
      <w:r>
        <w:rPr>
          <w:rFonts w:ascii="Arial"/>
          <w:color w:val="231F20"/>
          <w:spacing w:val="2"/>
          <w:sz w:val="12"/>
        </w:rPr>
        <w:t> </w:t>
      </w:r>
      <w:r>
        <w:rPr>
          <w:rFonts w:ascii="Arial"/>
          <w:color w:val="231F20"/>
          <w:w w:val="95"/>
          <w:sz w:val="12"/>
        </w:rPr>
        <w:t>of</w:t>
      </w:r>
      <w:r>
        <w:rPr>
          <w:rFonts w:ascii="Arial"/>
          <w:color w:val="231F20"/>
          <w:spacing w:val="3"/>
          <w:sz w:val="12"/>
        </w:rPr>
        <w:t> </w:t>
      </w:r>
      <w:r>
        <w:rPr>
          <w:rFonts w:ascii="Arial"/>
          <w:color w:val="231F20"/>
          <w:spacing w:val="-2"/>
          <w:w w:val="95"/>
          <w:sz w:val="12"/>
        </w:rPr>
        <w:t>inputs</w:t>
      </w:r>
    </w:p>
    <w:p>
      <w:pPr>
        <w:spacing w:line="247" w:lineRule="auto" w:before="4"/>
        <w:ind w:left="1042" w:right="96" w:hanging="113"/>
        <w:jc w:val="left"/>
        <w:rPr>
          <w:rFonts w:ascii="Arial"/>
          <w:sz w:val="12"/>
        </w:rPr>
      </w:pPr>
      <w:r>
        <w:rPr>
          <w:rFonts w:ascii="Arial"/>
          <w:color w:val="231F20"/>
          <w:sz w:val="12"/>
        </w:rPr>
        <w:t>Switching</w:t>
      </w:r>
      <w:r>
        <w:rPr>
          <w:rFonts w:ascii="Arial"/>
          <w:color w:val="231F20"/>
          <w:spacing w:val="-9"/>
          <w:sz w:val="12"/>
        </w:rPr>
        <w:t> </w:t>
      </w:r>
      <w:r>
        <w:rPr>
          <w:rFonts w:ascii="Arial"/>
          <w:color w:val="231F20"/>
          <w:sz w:val="12"/>
        </w:rPr>
        <w:t>costs</w:t>
      </w:r>
      <w:r>
        <w:rPr>
          <w:rFonts w:ascii="Arial"/>
          <w:color w:val="231F20"/>
          <w:spacing w:val="-8"/>
          <w:sz w:val="12"/>
        </w:rPr>
        <w:t> </w:t>
      </w:r>
      <w:r>
        <w:rPr>
          <w:rFonts w:ascii="Arial"/>
          <w:color w:val="231F20"/>
          <w:sz w:val="12"/>
        </w:rPr>
        <w:t>of</w:t>
      </w:r>
      <w:r>
        <w:rPr>
          <w:rFonts w:ascii="Arial"/>
          <w:color w:val="231F20"/>
          <w:spacing w:val="-8"/>
          <w:sz w:val="12"/>
        </w:rPr>
        <w:t> </w:t>
      </w:r>
      <w:r>
        <w:rPr>
          <w:rFonts w:ascii="Arial"/>
          <w:color w:val="231F20"/>
          <w:sz w:val="12"/>
        </w:rPr>
        <w:t>suppliers</w:t>
      </w:r>
      <w:r>
        <w:rPr>
          <w:rFonts w:ascii="Arial"/>
          <w:color w:val="231F20"/>
          <w:spacing w:val="-9"/>
          <w:sz w:val="12"/>
        </w:rPr>
        <w:t> </w:t>
      </w:r>
      <w:r>
        <w:rPr>
          <w:rFonts w:ascii="Arial"/>
          <w:color w:val="231F20"/>
          <w:sz w:val="12"/>
        </w:rPr>
        <w:t>and</w:t>
      </w:r>
      <w:r>
        <w:rPr>
          <w:rFonts w:ascii="Arial"/>
          <w:color w:val="231F20"/>
          <w:spacing w:val="-8"/>
          <w:sz w:val="12"/>
        </w:rPr>
        <w:t> </w:t>
      </w:r>
      <w:r>
        <w:rPr>
          <w:rFonts w:ascii="Arial"/>
          <w:color w:val="231F20"/>
          <w:sz w:val="12"/>
        </w:rPr>
        <w:t>firms</w:t>
      </w:r>
      <w:r>
        <w:rPr>
          <w:rFonts w:ascii="Arial"/>
          <w:color w:val="231F20"/>
          <w:spacing w:val="40"/>
          <w:sz w:val="12"/>
        </w:rPr>
        <w:t> </w:t>
      </w:r>
      <w:r>
        <w:rPr>
          <w:rFonts w:ascii="Arial"/>
          <w:color w:val="231F20"/>
          <w:sz w:val="12"/>
        </w:rPr>
        <w:t>in the industry</w:t>
      </w:r>
    </w:p>
    <w:p>
      <w:pPr>
        <w:spacing w:line="247" w:lineRule="auto" w:before="0"/>
        <w:ind w:left="930" w:right="401" w:firstLine="0"/>
        <w:jc w:val="left"/>
        <w:rPr>
          <w:rFonts w:ascii="Arial"/>
          <w:sz w:val="12"/>
        </w:rPr>
      </w:pPr>
      <w:r>
        <w:rPr>
          <w:rFonts w:ascii="Arial"/>
          <w:color w:val="231F20"/>
          <w:sz w:val="12"/>
        </w:rPr>
        <w:t>Presence of substitute inputs</w:t>
      </w:r>
      <w:r>
        <w:rPr>
          <w:rFonts w:ascii="Arial"/>
          <w:color w:val="231F20"/>
          <w:spacing w:val="40"/>
          <w:sz w:val="12"/>
        </w:rPr>
        <w:t> </w:t>
      </w:r>
      <w:r>
        <w:rPr>
          <w:rFonts w:ascii="Arial"/>
          <w:color w:val="231F20"/>
          <w:sz w:val="12"/>
        </w:rPr>
        <w:t>Supplier</w:t>
      </w:r>
      <w:r>
        <w:rPr>
          <w:rFonts w:ascii="Arial"/>
          <w:color w:val="231F20"/>
          <w:spacing w:val="-9"/>
          <w:sz w:val="12"/>
        </w:rPr>
        <w:t> </w:t>
      </w:r>
      <w:r>
        <w:rPr>
          <w:rFonts w:ascii="Arial"/>
          <w:color w:val="231F20"/>
          <w:sz w:val="12"/>
        </w:rPr>
        <w:t>concentration</w:t>
      </w:r>
      <w:r>
        <w:rPr>
          <w:rFonts w:ascii="Arial"/>
          <w:color w:val="231F20"/>
          <w:spacing w:val="40"/>
          <w:sz w:val="12"/>
        </w:rPr>
        <w:t> </w:t>
      </w:r>
      <w:r>
        <w:rPr>
          <w:rFonts w:ascii="Arial"/>
          <w:color w:val="231F20"/>
          <w:sz w:val="12"/>
        </w:rPr>
        <w:t>Importance</w:t>
      </w:r>
      <w:r>
        <w:rPr>
          <w:rFonts w:ascii="Arial"/>
          <w:color w:val="231F20"/>
          <w:spacing w:val="-9"/>
          <w:sz w:val="12"/>
        </w:rPr>
        <w:t> </w:t>
      </w:r>
      <w:r>
        <w:rPr>
          <w:rFonts w:ascii="Arial"/>
          <w:color w:val="231F20"/>
          <w:sz w:val="12"/>
        </w:rPr>
        <w:t>of</w:t>
      </w:r>
      <w:r>
        <w:rPr>
          <w:rFonts w:ascii="Arial"/>
          <w:color w:val="231F20"/>
          <w:spacing w:val="-8"/>
          <w:sz w:val="12"/>
        </w:rPr>
        <w:t> </w:t>
      </w:r>
      <w:r>
        <w:rPr>
          <w:rFonts w:ascii="Arial"/>
          <w:color w:val="231F20"/>
          <w:sz w:val="12"/>
        </w:rPr>
        <w:t>volume</w:t>
      </w:r>
      <w:r>
        <w:rPr>
          <w:rFonts w:ascii="Arial"/>
          <w:color w:val="231F20"/>
          <w:spacing w:val="-8"/>
          <w:sz w:val="12"/>
        </w:rPr>
        <w:t> </w:t>
      </w:r>
      <w:r>
        <w:rPr>
          <w:rFonts w:ascii="Arial"/>
          <w:color w:val="231F20"/>
          <w:sz w:val="12"/>
        </w:rPr>
        <w:t>to</w:t>
      </w:r>
      <w:r>
        <w:rPr>
          <w:rFonts w:ascii="Arial"/>
          <w:color w:val="231F20"/>
          <w:spacing w:val="-9"/>
          <w:sz w:val="12"/>
        </w:rPr>
        <w:t> </w:t>
      </w:r>
      <w:r>
        <w:rPr>
          <w:rFonts w:ascii="Arial"/>
          <w:color w:val="231F20"/>
          <w:sz w:val="12"/>
        </w:rPr>
        <w:t>supplier</w:t>
      </w:r>
      <w:r>
        <w:rPr>
          <w:rFonts w:ascii="Arial"/>
          <w:color w:val="231F20"/>
          <w:spacing w:val="40"/>
          <w:sz w:val="12"/>
        </w:rPr>
        <w:t> </w:t>
      </w:r>
      <w:r>
        <w:rPr>
          <w:rFonts w:ascii="Arial"/>
          <w:color w:val="231F20"/>
          <w:sz w:val="12"/>
        </w:rPr>
        <w:t>Cost relative to total purchases</w:t>
      </w:r>
    </w:p>
    <w:p>
      <w:pPr>
        <w:spacing w:line="138" w:lineRule="exact" w:before="0"/>
        <w:ind w:left="1042" w:right="0" w:firstLine="0"/>
        <w:jc w:val="left"/>
        <w:rPr>
          <w:rFonts w:ascii="Arial"/>
          <w:sz w:val="12"/>
        </w:rPr>
      </w:pPr>
      <w:r>
        <w:rPr>
          <w:rFonts w:ascii="Arial"/>
          <w:color w:val="231F20"/>
          <w:sz w:val="12"/>
        </w:rPr>
        <w:t>in</w:t>
      </w:r>
      <w:r>
        <w:rPr>
          <w:rFonts w:ascii="Arial"/>
          <w:color w:val="231F20"/>
          <w:spacing w:val="-6"/>
          <w:sz w:val="12"/>
        </w:rPr>
        <w:t> </w:t>
      </w:r>
      <w:r>
        <w:rPr>
          <w:rFonts w:ascii="Arial"/>
          <w:color w:val="231F20"/>
          <w:sz w:val="12"/>
        </w:rPr>
        <w:t>the</w:t>
      </w:r>
      <w:r>
        <w:rPr>
          <w:rFonts w:ascii="Arial"/>
          <w:color w:val="231F20"/>
          <w:spacing w:val="-5"/>
          <w:sz w:val="12"/>
        </w:rPr>
        <w:t> </w:t>
      </w:r>
      <w:r>
        <w:rPr>
          <w:rFonts w:ascii="Arial"/>
          <w:color w:val="231F20"/>
          <w:spacing w:val="-2"/>
          <w:sz w:val="12"/>
        </w:rPr>
        <w:t>industry</w:t>
      </w:r>
    </w:p>
    <w:p>
      <w:pPr>
        <w:spacing w:line="247" w:lineRule="auto" w:before="3"/>
        <w:ind w:left="930" w:right="-2" w:firstLine="0"/>
        <w:jc w:val="left"/>
        <w:rPr>
          <w:rFonts w:ascii="Arial"/>
          <w:sz w:val="12"/>
        </w:rPr>
      </w:pPr>
      <w:r>
        <w:rPr>
          <w:rFonts w:ascii="Arial"/>
          <w:color w:val="231F20"/>
          <w:sz w:val="12"/>
        </w:rPr>
        <w:t>Impact</w:t>
      </w:r>
      <w:r>
        <w:rPr>
          <w:rFonts w:ascii="Arial"/>
          <w:color w:val="231F20"/>
          <w:spacing w:val="-11"/>
          <w:sz w:val="12"/>
        </w:rPr>
        <w:t> </w:t>
      </w:r>
      <w:r>
        <w:rPr>
          <w:rFonts w:ascii="Arial"/>
          <w:color w:val="231F20"/>
          <w:sz w:val="12"/>
        </w:rPr>
        <w:t>of</w:t>
      </w:r>
      <w:r>
        <w:rPr>
          <w:rFonts w:ascii="Arial"/>
          <w:color w:val="231F20"/>
          <w:spacing w:val="-8"/>
          <w:sz w:val="12"/>
        </w:rPr>
        <w:t> </w:t>
      </w:r>
      <w:r>
        <w:rPr>
          <w:rFonts w:ascii="Arial"/>
          <w:color w:val="231F20"/>
          <w:sz w:val="12"/>
        </w:rPr>
        <w:t>inputs</w:t>
      </w:r>
      <w:r>
        <w:rPr>
          <w:rFonts w:ascii="Arial"/>
          <w:color w:val="231F20"/>
          <w:spacing w:val="-8"/>
          <w:sz w:val="12"/>
        </w:rPr>
        <w:t> </w:t>
      </w:r>
      <w:r>
        <w:rPr>
          <w:rFonts w:ascii="Arial"/>
          <w:color w:val="231F20"/>
          <w:sz w:val="12"/>
        </w:rPr>
        <w:t>on</w:t>
      </w:r>
      <w:r>
        <w:rPr>
          <w:rFonts w:ascii="Arial"/>
          <w:color w:val="231F20"/>
          <w:spacing w:val="-9"/>
          <w:sz w:val="12"/>
        </w:rPr>
        <w:t> </w:t>
      </w:r>
      <w:r>
        <w:rPr>
          <w:rFonts w:ascii="Arial"/>
          <w:color w:val="231F20"/>
          <w:sz w:val="12"/>
        </w:rPr>
        <w:t>cost</w:t>
      </w:r>
      <w:r>
        <w:rPr>
          <w:rFonts w:ascii="Arial"/>
          <w:color w:val="231F20"/>
          <w:spacing w:val="-8"/>
          <w:sz w:val="12"/>
        </w:rPr>
        <w:t> </w:t>
      </w:r>
      <w:r>
        <w:rPr>
          <w:rFonts w:ascii="Arial"/>
          <w:color w:val="231F20"/>
          <w:sz w:val="12"/>
        </w:rPr>
        <w:t>or</w:t>
      </w:r>
      <w:r>
        <w:rPr>
          <w:rFonts w:ascii="Arial"/>
          <w:color w:val="231F20"/>
          <w:spacing w:val="-8"/>
          <w:sz w:val="12"/>
        </w:rPr>
        <w:t> </w:t>
      </w:r>
      <w:r>
        <w:rPr>
          <w:rFonts w:ascii="Arial"/>
          <w:color w:val="231F20"/>
          <w:sz w:val="12"/>
        </w:rPr>
        <w:t>differentiation</w:t>
      </w:r>
      <w:r>
        <w:rPr>
          <w:rFonts w:ascii="Arial"/>
          <w:color w:val="231F20"/>
          <w:spacing w:val="40"/>
          <w:sz w:val="12"/>
        </w:rPr>
        <w:t> </w:t>
      </w:r>
      <w:r>
        <w:rPr>
          <w:rFonts w:ascii="Arial"/>
          <w:color w:val="231F20"/>
          <w:sz w:val="12"/>
        </w:rPr>
        <w:t>Threat of forward integration relative</w:t>
      </w:r>
    </w:p>
    <w:p>
      <w:pPr>
        <w:spacing w:line="247" w:lineRule="auto" w:before="0"/>
        <w:ind w:left="1042" w:right="163" w:firstLine="0"/>
        <w:jc w:val="left"/>
        <w:rPr>
          <w:rFonts w:ascii="Arial"/>
          <w:sz w:val="12"/>
        </w:rPr>
      </w:pPr>
      <w:r>
        <w:rPr>
          <w:rFonts w:ascii="Arial"/>
          <w:color w:val="231F20"/>
          <w:sz w:val="12"/>
        </w:rPr>
        <w:t>to</w:t>
      </w:r>
      <w:r>
        <w:rPr>
          <w:rFonts w:ascii="Arial"/>
          <w:color w:val="231F20"/>
          <w:spacing w:val="-9"/>
          <w:sz w:val="12"/>
        </w:rPr>
        <w:t> </w:t>
      </w:r>
      <w:r>
        <w:rPr>
          <w:rFonts w:ascii="Arial"/>
          <w:color w:val="231F20"/>
          <w:sz w:val="12"/>
        </w:rPr>
        <w:t>threat</w:t>
      </w:r>
      <w:r>
        <w:rPr>
          <w:rFonts w:ascii="Arial"/>
          <w:color w:val="231F20"/>
          <w:spacing w:val="-8"/>
          <w:sz w:val="12"/>
        </w:rPr>
        <w:t> </w:t>
      </w:r>
      <w:r>
        <w:rPr>
          <w:rFonts w:ascii="Arial"/>
          <w:color w:val="231F20"/>
          <w:sz w:val="12"/>
        </w:rPr>
        <w:t>of</w:t>
      </w:r>
      <w:r>
        <w:rPr>
          <w:rFonts w:ascii="Arial"/>
          <w:color w:val="231F20"/>
          <w:spacing w:val="-8"/>
          <w:sz w:val="12"/>
        </w:rPr>
        <w:t> </w:t>
      </w:r>
      <w:r>
        <w:rPr>
          <w:rFonts w:ascii="Arial"/>
          <w:color w:val="231F20"/>
          <w:sz w:val="12"/>
        </w:rPr>
        <w:t>backward</w:t>
      </w:r>
      <w:r>
        <w:rPr>
          <w:rFonts w:ascii="Arial"/>
          <w:color w:val="231F20"/>
          <w:spacing w:val="-9"/>
          <w:sz w:val="12"/>
        </w:rPr>
        <w:t> </w:t>
      </w:r>
      <w:r>
        <w:rPr>
          <w:rFonts w:ascii="Arial"/>
          <w:color w:val="231F20"/>
          <w:sz w:val="12"/>
        </w:rPr>
        <w:t>integration</w:t>
      </w:r>
      <w:r>
        <w:rPr>
          <w:rFonts w:ascii="Arial"/>
          <w:color w:val="231F20"/>
          <w:spacing w:val="-8"/>
          <w:sz w:val="12"/>
        </w:rPr>
        <w:t> </w:t>
      </w:r>
      <w:r>
        <w:rPr>
          <w:rFonts w:ascii="Arial"/>
          <w:color w:val="231F20"/>
          <w:sz w:val="12"/>
        </w:rPr>
        <w:t>by</w:t>
      </w:r>
      <w:r>
        <w:rPr>
          <w:rFonts w:ascii="Arial"/>
          <w:color w:val="231F20"/>
          <w:spacing w:val="40"/>
          <w:sz w:val="12"/>
        </w:rPr>
        <w:t> </w:t>
      </w:r>
      <w:r>
        <w:rPr>
          <w:rFonts w:ascii="Arial"/>
          <w:color w:val="231F20"/>
          <w:sz w:val="12"/>
        </w:rPr>
        <w:t>firms in the industry</w:t>
      </w:r>
    </w:p>
    <w:p>
      <w:pPr>
        <w:spacing w:line="247" w:lineRule="auto" w:before="0"/>
        <w:ind w:left="1079" w:right="-6" w:firstLine="46"/>
        <w:jc w:val="left"/>
        <w:rPr>
          <w:rFonts w:ascii="Arial"/>
          <w:sz w:val="12"/>
        </w:rPr>
      </w:pPr>
      <w:r>
        <w:rPr/>
        <w:br w:type="column"/>
      </w:r>
      <w:r>
        <w:rPr>
          <w:rFonts w:ascii="Arial"/>
          <w:color w:val="231F20"/>
          <w:spacing w:val="-6"/>
          <w:sz w:val="12"/>
        </w:rPr>
        <w:t>of</w:t>
      </w:r>
      <w:r>
        <w:rPr>
          <w:rFonts w:ascii="Arial"/>
          <w:color w:val="231F20"/>
          <w:spacing w:val="40"/>
          <w:sz w:val="12"/>
        </w:rPr>
        <w:t> </w:t>
      </w:r>
      <w:r>
        <w:rPr>
          <w:rFonts w:ascii="Arial"/>
          <w:color w:val="231F20"/>
          <w:spacing w:val="-4"/>
          <w:sz w:val="12"/>
        </w:rPr>
        <w:t>tute</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spacing w:line="247" w:lineRule="auto" w:before="82"/>
        <w:ind w:left="84" w:right="0" w:firstLine="0"/>
        <w:jc w:val="left"/>
        <w:rPr>
          <w:rFonts w:ascii="Arial"/>
          <w:b/>
          <w:sz w:val="12"/>
        </w:rPr>
      </w:pPr>
      <w:r>
        <w:rPr>
          <w:rFonts w:ascii="Arial"/>
          <w:b/>
          <w:color w:val="231F20"/>
          <w:sz w:val="12"/>
        </w:rPr>
        <w:t>Determinants</w:t>
      </w:r>
      <w:r>
        <w:rPr>
          <w:rFonts w:ascii="Arial"/>
          <w:b/>
          <w:color w:val="231F20"/>
          <w:spacing w:val="-9"/>
          <w:sz w:val="12"/>
        </w:rPr>
        <w:t> </w:t>
      </w:r>
      <w:r>
        <w:rPr>
          <w:rFonts w:ascii="Arial"/>
          <w:b/>
          <w:color w:val="231F20"/>
          <w:sz w:val="12"/>
        </w:rPr>
        <w:t>of</w:t>
      </w:r>
      <w:r>
        <w:rPr>
          <w:rFonts w:ascii="Arial"/>
          <w:b/>
          <w:color w:val="231F20"/>
          <w:spacing w:val="40"/>
          <w:sz w:val="12"/>
        </w:rPr>
        <w:t> </w:t>
      </w:r>
      <w:r>
        <w:rPr>
          <w:rFonts w:ascii="Arial"/>
          <w:b/>
          <w:color w:val="231F20"/>
          <w:spacing w:val="-2"/>
          <w:sz w:val="12"/>
        </w:rPr>
        <w:t>Substitution</w:t>
      </w:r>
      <w:r>
        <w:rPr>
          <w:rFonts w:ascii="Arial"/>
          <w:b/>
          <w:color w:val="231F20"/>
          <w:spacing w:val="-7"/>
          <w:sz w:val="12"/>
        </w:rPr>
        <w:t> </w:t>
      </w:r>
      <w:r>
        <w:rPr>
          <w:rFonts w:ascii="Arial"/>
          <w:b/>
          <w:color w:val="231F20"/>
          <w:spacing w:val="-2"/>
          <w:sz w:val="12"/>
        </w:rPr>
        <w:t>Threat</w:t>
      </w:r>
    </w:p>
    <w:p>
      <w:pPr>
        <w:spacing w:line="247" w:lineRule="auto" w:before="66"/>
        <w:ind w:left="84" w:right="148" w:firstLine="0"/>
        <w:jc w:val="left"/>
        <w:rPr>
          <w:rFonts w:ascii="Arial"/>
          <w:sz w:val="12"/>
        </w:rPr>
      </w:pPr>
      <w:r>
        <w:rPr>
          <w:rFonts w:ascii="Arial"/>
          <w:color w:val="231F20"/>
          <w:sz w:val="12"/>
        </w:rPr>
        <w:t>Relative</w:t>
      </w:r>
      <w:r>
        <w:rPr>
          <w:rFonts w:ascii="Arial"/>
          <w:color w:val="231F20"/>
          <w:spacing w:val="-9"/>
          <w:sz w:val="12"/>
        </w:rPr>
        <w:t> </w:t>
      </w:r>
      <w:r>
        <w:rPr>
          <w:rFonts w:ascii="Arial"/>
          <w:color w:val="231F20"/>
          <w:sz w:val="12"/>
        </w:rPr>
        <w:t>price</w:t>
      </w:r>
      <w:r>
        <w:rPr>
          <w:rFonts w:ascii="Arial"/>
          <w:color w:val="231F20"/>
          <w:spacing w:val="40"/>
          <w:sz w:val="12"/>
        </w:rPr>
        <w:t> </w:t>
      </w:r>
      <w:r>
        <w:rPr>
          <w:rFonts w:ascii="Arial"/>
          <w:color w:val="231F20"/>
          <w:sz w:val="12"/>
        </w:rPr>
        <w:t>performance</w:t>
      </w:r>
      <w:r>
        <w:rPr>
          <w:rFonts w:ascii="Arial"/>
          <w:color w:val="231F20"/>
          <w:spacing w:val="-9"/>
          <w:sz w:val="12"/>
        </w:rPr>
        <w:t> </w:t>
      </w:r>
      <w:r>
        <w:rPr>
          <w:rFonts w:ascii="Arial"/>
          <w:color w:val="231F20"/>
          <w:sz w:val="12"/>
        </w:rPr>
        <w:t>of</w:t>
      </w:r>
      <w:r>
        <w:rPr>
          <w:rFonts w:ascii="Arial"/>
          <w:color w:val="231F20"/>
          <w:spacing w:val="40"/>
          <w:sz w:val="12"/>
        </w:rPr>
        <w:t> </w:t>
      </w:r>
      <w:r>
        <w:rPr>
          <w:rFonts w:ascii="Arial"/>
          <w:color w:val="231F20"/>
          <w:spacing w:val="-2"/>
          <w:sz w:val="12"/>
        </w:rPr>
        <w:t>substitutes</w:t>
      </w:r>
      <w:r>
        <w:rPr>
          <w:rFonts w:ascii="Arial"/>
          <w:color w:val="231F20"/>
          <w:spacing w:val="40"/>
          <w:sz w:val="12"/>
        </w:rPr>
        <w:t> </w:t>
      </w:r>
      <w:r>
        <w:rPr>
          <w:rFonts w:ascii="Arial"/>
          <w:color w:val="231F20"/>
          <w:sz w:val="12"/>
        </w:rPr>
        <w:t>Switching</w:t>
      </w:r>
      <w:r>
        <w:rPr>
          <w:rFonts w:ascii="Arial"/>
          <w:color w:val="231F20"/>
          <w:spacing w:val="-9"/>
          <w:sz w:val="12"/>
        </w:rPr>
        <w:t> </w:t>
      </w:r>
      <w:r>
        <w:rPr>
          <w:rFonts w:ascii="Arial"/>
          <w:color w:val="231F20"/>
          <w:sz w:val="12"/>
        </w:rPr>
        <w:t>costs</w:t>
      </w:r>
      <w:r>
        <w:rPr>
          <w:rFonts w:ascii="Arial"/>
          <w:color w:val="231F20"/>
          <w:spacing w:val="40"/>
          <w:sz w:val="12"/>
        </w:rPr>
        <w:t> </w:t>
      </w:r>
      <w:r>
        <w:rPr>
          <w:rFonts w:ascii="Arial"/>
          <w:color w:val="231F20"/>
          <w:spacing w:val="-2"/>
          <w:sz w:val="12"/>
        </w:rPr>
        <w:t>Buyer</w:t>
      </w:r>
      <w:r>
        <w:rPr>
          <w:rFonts w:ascii="Arial"/>
          <w:color w:val="231F20"/>
          <w:spacing w:val="-7"/>
          <w:sz w:val="12"/>
        </w:rPr>
        <w:t> </w:t>
      </w:r>
      <w:r>
        <w:rPr>
          <w:rFonts w:ascii="Arial"/>
          <w:color w:val="231F20"/>
          <w:spacing w:val="-2"/>
          <w:sz w:val="12"/>
        </w:rPr>
        <w:t>propensity</w:t>
      </w:r>
      <w:r>
        <w:rPr>
          <w:rFonts w:ascii="Arial"/>
          <w:color w:val="231F20"/>
          <w:spacing w:val="-6"/>
          <w:sz w:val="12"/>
        </w:rPr>
        <w:t> </w:t>
      </w:r>
      <w:r>
        <w:rPr>
          <w:rFonts w:ascii="Arial"/>
          <w:color w:val="231F20"/>
          <w:spacing w:val="-2"/>
          <w:sz w:val="12"/>
        </w:rPr>
        <w:t>to</w:t>
      </w:r>
      <w:r>
        <w:rPr>
          <w:rFonts w:ascii="Arial"/>
          <w:color w:val="231F20"/>
          <w:spacing w:val="40"/>
          <w:sz w:val="12"/>
        </w:rPr>
        <w:t> </w:t>
      </w:r>
      <w:r>
        <w:rPr>
          <w:rFonts w:ascii="Arial"/>
          <w:color w:val="231F20"/>
          <w:spacing w:val="-2"/>
          <w:sz w:val="12"/>
        </w:rPr>
        <w:t>substitute</w:t>
      </w:r>
    </w:p>
    <w:p>
      <w:pPr>
        <w:spacing w:line="247" w:lineRule="auto" w:before="95"/>
        <w:ind w:left="89" w:right="87" w:firstLine="0"/>
        <w:jc w:val="left"/>
        <w:rPr>
          <w:rFonts w:ascii="Arial"/>
          <w:sz w:val="12"/>
        </w:rPr>
      </w:pPr>
      <w:r>
        <w:rPr/>
        <w:br w:type="column"/>
      </w:r>
      <w:r>
        <w:rPr>
          <w:rFonts w:ascii="Arial"/>
          <w:color w:val="231F20"/>
          <w:spacing w:val="-2"/>
          <w:sz w:val="12"/>
        </w:rPr>
        <w:t>Bargaining</w:t>
      </w:r>
      <w:r>
        <w:rPr>
          <w:rFonts w:ascii="Arial"/>
          <w:color w:val="231F20"/>
          <w:spacing w:val="-7"/>
          <w:sz w:val="12"/>
        </w:rPr>
        <w:t> </w:t>
      </w:r>
      <w:r>
        <w:rPr>
          <w:rFonts w:ascii="Arial"/>
          <w:color w:val="231F20"/>
          <w:spacing w:val="-2"/>
          <w:sz w:val="12"/>
        </w:rPr>
        <w:t>Leverage</w:t>
      </w:r>
      <w:r>
        <w:rPr>
          <w:rFonts w:ascii="Arial"/>
          <w:color w:val="231F20"/>
          <w:spacing w:val="40"/>
          <w:sz w:val="12"/>
        </w:rPr>
        <w:t> </w:t>
      </w:r>
      <w:r>
        <w:rPr>
          <w:rFonts w:ascii="Arial"/>
          <w:color w:val="231F20"/>
          <w:spacing w:val="-2"/>
          <w:sz w:val="12"/>
        </w:rPr>
        <w:t>Buyer</w:t>
      </w:r>
      <w:r>
        <w:rPr>
          <w:rFonts w:ascii="Arial"/>
          <w:color w:val="231F20"/>
          <w:spacing w:val="-1"/>
          <w:sz w:val="12"/>
        </w:rPr>
        <w:t> </w:t>
      </w:r>
      <w:r>
        <w:rPr>
          <w:rFonts w:ascii="Arial"/>
          <w:color w:val="231F20"/>
          <w:spacing w:val="-2"/>
          <w:sz w:val="12"/>
        </w:rPr>
        <w:t>concentration</w:t>
      </w:r>
    </w:p>
    <w:p>
      <w:pPr>
        <w:spacing w:line="247" w:lineRule="auto" w:before="0"/>
        <w:ind w:left="89" w:right="0" w:firstLine="112"/>
        <w:jc w:val="left"/>
        <w:rPr>
          <w:rFonts w:ascii="Arial"/>
          <w:sz w:val="12"/>
        </w:rPr>
      </w:pPr>
      <w:r>
        <w:rPr>
          <w:rFonts w:ascii="Arial"/>
          <w:color w:val="231F20"/>
          <w:spacing w:val="-2"/>
          <w:sz w:val="12"/>
        </w:rPr>
        <w:t>versus</w:t>
      </w:r>
      <w:r>
        <w:rPr>
          <w:rFonts w:ascii="Arial"/>
          <w:color w:val="231F20"/>
          <w:spacing w:val="-6"/>
          <w:sz w:val="12"/>
        </w:rPr>
        <w:t> </w:t>
      </w:r>
      <w:r>
        <w:rPr>
          <w:rFonts w:ascii="Arial"/>
          <w:color w:val="231F20"/>
          <w:spacing w:val="-2"/>
          <w:sz w:val="12"/>
        </w:rPr>
        <w:t>firm</w:t>
      </w:r>
      <w:r>
        <w:rPr>
          <w:rFonts w:ascii="Arial"/>
          <w:color w:val="231F20"/>
          <w:spacing w:val="-6"/>
          <w:sz w:val="12"/>
        </w:rPr>
        <w:t> </w:t>
      </w:r>
      <w:r>
        <w:rPr>
          <w:rFonts w:ascii="Arial"/>
          <w:color w:val="231F20"/>
          <w:spacing w:val="-2"/>
          <w:sz w:val="12"/>
        </w:rPr>
        <w:t>concentration</w:t>
      </w:r>
      <w:r>
        <w:rPr>
          <w:rFonts w:ascii="Arial"/>
          <w:color w:val="231F20"/>
          <w:spacing w:val="40"/>
          <w:sz w:val="12"/>
        </w:rPr>
        <w:t> </w:t>
      </w:r>
      <w:r>
        <w:rPr>
          <w:rFonts w:ascii="Arial"/>
          <w:color w:val="231F20"/>
          <w:sz w:val="12"/>
        </w:rPr>
        <w:t>Buyer</w:t>
      </w:r>
      <w:r>
        <w:rPr>
          <w:rFonts w:ascii="Arial"/>
          <w:color w:val="231F20"/>
          <w:spacing w:val="-9"/>
          <w:sz w:val="12"/>
        </w:rPr>
        <w:t> </w:t>
      </w:r>
      <w:r>
        <w:rPr>
          <w:rFonts w:ascii="Arial"/>
          <w:color w:val="231F20"/>
          <w:sz w:val="12"/>
        </w:rPr>
        <w:t>volume</w:t>
      </w:r>
    </w:p>
    <w:p>
      <w:pPr>
        <w:spacing w:line="247" w:lineRule="auto" w:before="0"/>
        <w:ind w:left="202" w:right="94" w:hanging="113"/>
        <w:jc w:val="left"/>
        <w:rPr>
          <w:rFonts w:ascii="Arial"/>
          <w:sz w:val="12"/>
        </w:rPr>
      </w:pPr>
      <w:r>
        <w:rPr>
          <w:rFonts w:ascii="Arial"/>
          <w:color w:val="231F20"/>
          <w:spacing w:val="-2"/>
          <w:sz w:val="12"/>
        </w:rPr>
        <w:t>Buyer</w:t>
      </w:r>
      <w:r>
        <w:rPr>
          <w:rFonts w:ascii="Arial"/>
          <w:color w:val="231F20"/>
          <w:spacing w:val="-7"/>
          <w:sz w:val="12"/>
        </w:rPr>
        <w:t> </w:t>
      </w:r>
      <w:r>
        <w:rPr>
          <w:rFonts w:ascii="Arial"/>
          <w:color w:val="231F20"/>
          <w:spacing w:val="-2"/>
          <w:sz w:val="12"/>
        </w:rPr>
        <w:t>switching</w:t>
      </w:r>
      <w:r>
        <w:rPr>
          <w:rFonts w:ascii="Arial"/>
          <w:color w:val="231F20"/>
          <w:spacing w:val="-6"/>
          <w:sz w:val="12"/>
        </w:rPr>
        <w:t> </w:t>
      </w:r>
      <w:r>
        <w:rPr>
          <w:rFonts w:ascii="Arial"/>
          <w:color w:val="231F20"/>
          <w:spacing w:val="-2"/>
          <w:sz w:val="12"/>
        </w:rPr>
        <w:t>costs</w:t>
      </w:r>
      <w:r>
        <w:rPr>
          <w:rFonts w:ascii="Arial"/>
          <w:color w:val="231F20"/>
          <w:spacing w:val="40"/>
          <w:sz w:val="12"/>
        </w:rPr>
        <w:t> </w:t>
      </w:r>
      <w:r>
        <w:rPr>
          <w:rFonts w:ascii="Arial"/>
          <w:color w:val="231F20"/>
          <w:sz w:val="12"/>
        </w:rPr>
        <w:t>relative to firm</w:t>
      </w:r>
      <w:r>
        <w:rPr>
          <w:rFonts w:ascii="Arial"/>
          <w:color w:val="231F20"/>
          <w:spacing w:val="40"/>
          <w:sz w:val="12"/>
        </w:rPr>
        <w:t> </w:t>
      </w:r>
      <w:r>
        <w:rPr>
          <w:rFonts w:ascii="Arial"/>
          <w:color w:val="231F20"/>
          <w:sz w:val="12"/>
        </w:rPr>
        <w:t>switching</w:t>
      </w:r>
      <w:r>
        <w:rPr>
          <w:rFonts w:ascii="Arial"/>
          <w:color w:val="231F20"/>
          <w:spacing w:val="-9"/>
          <w:sz w:val="12"/>
        </w:rPr>
        <w:t> </w:t>
      </w:r>
      <w:r>
        <w:rPr>
          <w:rFonts w:ascii="Arial"/>
          <w:color w:val="231F20"/>
          <w:sz w:val="12"/>
        </w:rPr>
        <w:t>costs</w:t>
      </w:r>
    </w:p>
    <w:p>
      <w:pPr>
        <w:spacing w:line="247" w:lineRule="auto" w:before="0"/>
        <w:ind w:left="89" w:right="441" w:firstLine="0"/>
        <w:jc w:val="left"/>
        <w:rPr>
          <w:rFonts w:ascii="Arial"/>
          <w:sz w:val="12"/>
        </w:rPr>
      </w:pPr>
      <w:r>
        <w:rPr>
          <w:rFonts w:ascii="Arial"/>
          <w:color w:val="231F20"/>
          <w:sz w:val="12"/>
        </w:rPr>
        <w:t>Buyer</w:t>
      </w:r>
      <w:r>
        <w:rPr>
          <w:rFonts w:ascii="Arial"/>
          <w:color w:val="231F20"/>
          <w:spacing w:val="-9"/>
          <w:sz w:val="12"/>
        </w:rPr>
        <w:t> </w:t>
      </w:r>
      <w:r>
        <w:rPr>
          <w:rFonts w:ascii="Arial"/>
          <w:color w:val="231F20"/>
          <w:sz w:val="12"/>
        </w:rPr>
        <w:t>information</w:t>
      </w:r>
      <w:r>
        <w:rPr>
          <w:rFonts w:ascii="Arial"/>
          <w:color w:val="231F20"/>
          <w:spacing w:val="40"/>
          <w:sz w:val="12"/>
        </w:rPr>
        <w:t> </w:t>
      </w:r>
      <w:r>
        <w:rPr>
          <w:rFonts w:ascii="Arial"/>
          <w:color w:val="231F20"/>
          <w:sz w:val="12"/>
        </w:rPr>
        <w:t>Ability</w:t>
      </w:r>
      <w:r>
        <w:rPr>
          <w:rFonts w:ascii="Arial"/>
          <w:color w:val="231F20"/>
          <w:spacing w:val="-6"/>
          <w:sz w:val="12"/>
        </w:rPr>
        <w:t> </w:t>
      </w:r>
      <w:r>
        <w:rPr>
          <w:rFonts w:ascii="Arial"/>
          <w:color w:val="231F20"/>
          <w:sz w:val="12"/>
        </w:rPr>
        <w:t>to</w:t>
      </w:r>
      <w:r>
        <w:rPr>
          <w:rFonts w:ascii="Arial"/>
          <w:color w:val="231F20"/>
          <w:spacing w:val="-5"/>
          <w:sz w:val="12"/>
        </w:rPr>
        <w:t> </w:t>
      </w:r>
      <w:r>
        <w:rPr>
          <w:rFonts w:ascii="Arial"/>
          <w:color w:val="231F20"/>
          <w:spacing w:val="-2"/>
          <w:sz w:val="12"/>
        </w:rPr>
        <w:t>backward</w:t>
      </w:r>
    </w:p>
    <w:p>
      <w:pPr>
        <w:spacing w:line="247" w:lineRule="auto" w:before="0"/>
        <w:ind w:left="89" w:right="418" w:firstLine="112"/>
        <w:jc w:val="left"/>
        <w:rPr>
          <w:rFonts w:ascii="Arial"/>
          <w:sz w:val="12"/>
        </w:rPr>
      </w:pPr>
      <w:r>
        <w:rPr>
          <w:rFonts w:ascii="Arial"/>
          <w:color w:val="231F20"/>
          <w:spacing w:val="-2"/>
          <w:sz w:val="12"/>
        </w:rPr>
        <w:t>integrate</w:t>
      </w:r>
      <w:r>
        <w:rPr>
          <w:rFonts w:ascii="Arial"/>
          <w:color w:val="231F20"/>
          <w:spacing w:val="40"/>
          <w:sz w:val="12"/>
        </w:rPr>
        <w:t> </w:t>
      </w:r>
      <w:r>
        <w:rPr>
          <w:rFonts w:ascii="Arial"/>
          <w:color w:val="231F20"/>
          <w:spacing w:val="-2"/>
          <w:sz w:val="12"/>
        </w:rPr>
        <w:t>Substitute</w:t>
      </w:r>
      <w:r>
        <w:rPr>
          <w:rFonts w:ascii="Arial"/>
          <w:color w:val="231F20"/>
          <w:spacing w:val="-7"/>
          <w:sz w:val="12"/>
        </w:rPr>
        <w:t> </w:t>
      </w:r>
      <w:r>
        <w:rPr>
          <w:rFonts w:ascii="Arial"/>
          <w:color w:val="231F20"/>
          <w:spacing w:val="-2"/>
          <w:sz w:val="12"/>
        </w:rPr>
        <w:t>products</w:t>
      </w:r>
      <w:r>
        <w:rPr>
          <w:rFonts w:ascii="Arial"/>
          <w:color w:val="231F20"/>
          <w:spacing w:val="40"/>
          <w:sz w:val="12"/>
        </w:rPr>
        <w:t> </w:t>
      </w:r>
      <w:r>
        <w:rPr>
          <w:rFonts w:ascii="Arial"/>
          <w:color w:val="231F20"/>
          <w:spacing w:val="-2"/>
          <w:sz w:val="12"/>
        </w:rPr>
        <w:t>Pull-through</w:t>
      </w:r>
    </w:p>
    <w:p>
      <w:pPr>
        <w:spacing w:line="247" w:lineRule="auto" w:before="95"/>
        <w:ind w:left="80" w:right="637" w:firstLine="0"/>
        <w:jc w:val="left"/>
        <w:rPr>
          <w:rFonts w:ascii="Arial"/>
          <w:sz w:val="12"/>
        </w:rPr>
      </w:pPr>
      <w:r>
        <w:rPr/>
        <w:br w:type="column"/>
      </w:r>
      <w:r>
        <w:rPr>
          <w:rFonts w:ascii="Arial"/>
          <w:color w:val="231F20"/>
          <w:sz w:val="12"/>
        </w:rPr>
        <w:t>Price</w:t>
      </w:r>
      <w:r>
        <w:rPr>
          <w:rFonts w:ascii="Arial"/>
          <w:color w:val="231F20"/>
          <w:spacing w:val="-9"/>
          <w:sz w:val="12"/>
        </w:rPr>
        <w:t> </w:t>
      </w:r>
      <w:r>
        <w:rPr>
          <w:rFonts w:ascii="Arial"/>
          <w:color w:val="231F20"/>
          <w:sz w:val="12"/>
        </w:rPr>
        <w:t>Sensitivity</w:t>
      </w:r>
      <w:r>
        <w:rPr>
          <w:rFonts w:ascii="Arial"/>
          <w:color w:val="231F20"/>
          <w:spacing w:val="40"/>
          <w:sz w:val="12"/>
        </w:rPr>
        <w:t> </w:t>
      </w:r>
      <w:r>
        <w:rPr>
          <w:rFonts w:ascii="Arial"/>
          <w:color w:val="231F20"/>
          <w:spacing w:val="-2"/>
          <w:sz w:val="12"/>
        </w:rPr>
        <w:t>Price/total</w:t>
      </w:r>
      <w:r>
        <w:rPr>
          <w:rFonts w:ascii="Arial"/>
          <w:color w:val="231F20"/>
          <w:spacing w:val="-7"/>
          <w:sz w:val="12"/>
        </w:rPr>
        <w:t> </w:t>
      </w:r>
      <w:r>
        <w:rPr>
          <w:rFonts w:ascii="Arial"/>
          <w:color w:val="231F20"/>
          <w:spacing w:val="-2"/>
          <w:sz w:val="12"/>
        </w:rPr>
        <w:t>purchases</w:t>
      </w:r>
      <w:r>
        <w:rPr>
          <w:rFonts w:ascii="Arial"/>
          <w:color w:val="231F20"/>
          <w:spacing w:val="40"/>
          <w:sz w:val="12"/>
        </w:rPr>
        <w:t> </w:t>
      </w:r>
      <w:r>
        <w:rPr>
          <w:rFonts w:ascii="Arial"/>
          <w:color w:val="231F20"/>
          <w:sz w:val="12"/>
        </w:rPr>
        <w:t>Product</w:t>
      </w:r>
      <w:r>
        <w:rPr>
          <w:rFonts w:ascii="Arial"/>
          <w:color w:val="231F20"/>
          <w:spacing w:val="-9"/>
          <w:sz w:val="12"/>
        </w:rPr>
        <w:t> </w:t>
      </w:r>
      <w:r>
        <w:rPr>
          <w:rFonts w:ascii="Arial"/>
          <w:color w:val="231F20"/>
          <w:sz w:val="12"/>
        </w:rPr>
        <w:t>differences</w:t>
      </w:r>
      <w:r>
        <w:rPr>
          <w:rFonts w:ascii="Arial"/>
          <w:color w:val="231F20"/>
          <w:spacing w:val="40"/>
          <w:sz w:val="12"/>
        </w:rPr>
        <w:t> </w:t>
      </w:r>
      <w:r>
        <w:rPr>
          <w:rFonts w:ascii="Arial"/>
          <w:color w:val="231F20"/>
          <w:sz w:val="12"/>
        </w:rPr>
        <w:t>Brand</w:t>
      </w:r>
      <w:r>
        <w:rPr>
          <w:rFonts w:ascii="Arial"/>
          <w:color w:val="231F20"/>
          <w:spacing w:val="-9"/>
          <w:sz w:val="12"/>
        </w:rPr>
        <w:t> </w:t>
      </w:r>
      <w:r>
        <w:rPr>
          <w:rFonts w:ascii="Arial"/>
          <w:color w:val="231F20"/>
          <w:sz w:val="12"/>
        </w:rPr>
        <w:t>identity</w:t>
      </w:r>
      <w:r>
        <w:rPr>
          <w:rFonts w:ascii="Arial"/>
          <w:color w:val="231F20"/>
          <w:spacing w:val="40"/>
          <w:sz w:val="12"/>
        </w:rPr>
        <w:t> </w:t>
      </w:r>
      <w:r>
        <w:rPr>
          <w:rFonts w:ascii="Arial"/>
          <w:color w:val="231F20"/>
          <w:sz w:val="12"/>
        </w:rPr>
        <w:t>Impact on quality/</w:t>
      </w:r>
    </w:p>
    <w:p>
      <w:pPr>
        <w:spacing w:line="247" w:lineRule="auto" w:before="0"/>
        <w:ind w:left="80" w:right="684" w:firstLine="112"/>
        <w:jc w:val="left"/>
        <w:rPr>
          <w:rFonts w:ascii="Arial" w:hAnsi="Arial"/>
          <w:sz w:val="12"/>
        </w:rPr>
      </w:pPr>
      <w:r>
        <w:rPr>
          <w:rFonts w:ascii="Arial" w:hAnsi="Arial"/>
          <w:color w:val="231F20"/>
          <w:spacing w:val="-2"/>
          <w:sz w:val="12"/>
        </w:rPr>
        <w:t>performance</w:t>
      </w:r>
      <w:r>
        <w:rPr>
          <w:rFonts w:ascii="Arial" w:hAnsi="Arial"/>
          <w:color w:val="231F20"/>
          <w:spacing w:val="40"/>
          <w:sz w:val="12"/>
        </w:rPr>
        <w:t> </w:t>
      </w:r>
      <w:r>
        <w:rPr>
          <w:rFonts w:ascii="Arial" w:hAnsi="Arial"/>
          <w:color w:val="231F20"/>
          <w:sz w:val="12"/>
        </w:rPr>
        <w:t>Buyer</w:t>
      </w:r>
      <w:r>
        <w:rPr>
          <w:rFonts w:ascii="Arial" w:hAnsi="Arial"/>
          <w:color w:val="231F20"/>
          <w:spacing w:val="-9"/>
          <w:sz w:val="12"/>
        </w:rPr>
        <w:t> </w:t>
      </w:r>
      <w:r>
        <w:rPr>
          <w:rFonts w:ascii="Arial" w:hAnsi="Arial"/>
          <w:color w:val="231F20"/>
          <w:sz w:val="12"/>
        </w:rPr>
        <w:t>profits</w:t>
      </w:r>
      <w:r>
        <w:rPr>
          <w:rFonts w:ascii="Arial" w:hAnsi="Arial"/>
          <w:color w:val="231F20"/>
          <w:spacing w:val="40"/>
          <w:sz w:val="12"/>
        </w:rPr>
        <w:t> </w:t>
      </w:r>
      <w:r>
        <w:rPr>
          <w:rFonts w:ascii="Arial" w:hAnsi="Arial"/>
          <w:color w:val="231F20"/>
          <w:spacing w:val="-2"/>
          <w:sz w:val="12"/>
        </w:rPr>
        <w:t>Decision</w:t>
      </w:r>
      <w:r>
        <w:rPr>
          <w:rFonts w:ascii="Arial" w:hAnsi="Arial"/>
          <w:color w:val="231F20"/>
          <w:spacing w:val="-7"/>
          <w:sz w:val="12"/>
        </w:rPr>
        <w:t> </w:t>
      </w:r>
      <w:r>
        <w:rPr>
          <w:rFonts w:ascii="Arial" w:hAnsi="Arial"/>
          <w:color w:val="231F20"/>
          <w:spacing w:val="-2"/>
          <w:sz w:val="12"/>
        </w:rPr>
        <w:t>makers’</w:t>
      </w:r>
    </w:p>
    <w:p>
      <w:pPr>
        <w:spacing w:line="138" w:lineRule="exact" w:before="0"/>
        <w:ind w:left="193" w:right="0" w:firstLine="0"/>
        <w:jc w:val="left"/>
        <w:rPr>
          <w:rFonts w:ascii="Arial"/>
          <w:sz w:val="12"/>
        </w:rPr>
      </w:pPr>
      <w:r>
        <w:rPr>
          <w:rFonts w:ascii="Arial"/>
          <w:color w:val="231F20"/>
          <w:spacing w:val="-2"/>
          <w:sz w:val="12"/>
        </w:rPr>
        <w:t>incentives</w:t>
      </w:r>
    </w:p>
    <w:p>
      <w:pPr>
        <w:spacing w:after="0" w:line="138" w:lineRule="exact"/>
        <w:jc w:val="left"/>
        <w:rPr>
          <w:rFonts w:ascii="Arial"/>
          <w:sz w:val="12"/>
        </w:rPr>
        <w:sectPr>
          <w:type w:val="continuous"/>
          <w:pgSz w:w="8640" w:h="12960"/>
          <w:pgMar w:header="732" w:footer="0" w:top="1220" w:bottom="280" w:left="340" w:right="500"/>
          <w:cols w:num="4" w:equalWidth="0">
            <w:col w:w="3058" w:space="40"/>
            <w:col w:w="1278" w:space="39"/>
            <w:col w:w="1524" w:space="39"/>
            <w:col w:w="1822"/>
          </w:cols>
        </w:sectPr>
      </w:pPr>
    </w:p>
    <w:p>
      <w:pPr>
        <w:pStyle w:val="BodyText"/>
        <w:spacing w:before="8"/>
        <w:rPr>
          <w:rFonts w:ascii="Arial"/>
          <w:sz w:val="23"/>
        </w:rPr>
      </w:pPr>
    </w:p>
    <w:p>
      <w:pPr>
        <w:spacing w:line="244" w:lineRule="auto" w:before="99"/>
        <w:ind w:left="920" w:right="665" w:firstLine="0"/>
        <w:jc w:val="both"/>
        <w:rPr>
          <w:sz w:val="20"/>
        </w:rPr>
      </w:pPr>
      <w:r>
        <w:rPr>
          <w:color w:val="231F20"/>
          <w:sz w:val="20"/>
        </w:rPr>
        <w:t>Reprinted with the permission of The Free Press, a division of Macmil- lan, Inc., from </w:t>
      </w:r>
      <w:r>
        <w:rPr>
          <w:i/>
          <w:color w:val="231F20"/>
          <w:sz w:val="20"/>
        </w:rPr>
        <w:t>Competitive Advantage: Creating and Sustaining </w:t>
      </w:r>
      <w:r>
        <w:rPr>
          <w:i/>
          <w:color w:val="231F20"/>
          <w:sz w:val="20"/>
        </w:rPr>
        <w:t>Superior</w:t>
      </w:r>
      <w:r>
        <w:rPr>
          <w:i/>
          <w:color w:val="231F20"/>
          <w:sz w:val="20"/>
        </w:rPr>
        <w:t> Performance </w:t>
      </w:r>
      <w:r>
        <w:rPr>
          <w:color w:val="231F20"/>
          <w:sz w:val="20"/>
        </w:rPr>
        <w:t>by Michael E. Porter. Copyright © 1985 by Michael E.</w:t>
      </w:r>
      <w:r>
        <w:rPr>
          <w:color w:val="231F20"/>
          <w:spacing w:val="40"/>
          <w:sz w:val="20"/>
        </w:rPr>
        <w:t> </w:t>
      </w:r>
      <w:r>
        <w:rPr>
          <w:color w:val="231F20"/>
          <w:spacing w:val="-2"/>
          <w:sz w:val="20"/>
        </w:rPr>
        <w:t>Porter.</w:t>
      </w:r>
    </w:p>
    <w:p>
      <w:pPr>
        <w:pStyle w:val="BodyText"/>
        <w:rPr>
          <w:sz w:val="22"/>
        </w:rPr>
      </w:pPr>
    </w:p>
    <w:p>
      <w:pPr>
        <w:pStyle w:val="BodyText"/>
        <w:rPr>
          <w:sz w:val="22"/>
        </w:rPr>
      </w:pPr>
    </w:p>
    <w:p>
      <w:pPr>
        <w:pStyle w:val="BodyText"/>
        <w:spacing w:before="5"/>
        <w:rPr>
          <w:sz w:val="19"/>
        </w:rPr>
      </w:pPr>
    </w:p>
    <w:p>
      <w:pPr>
        <w:pStyle w:val="BodyText"/>
        <w:spacing w:line="292" w:lineRule="auto"/>
        <w:ind w:left="920" w:right="666"/>
        <w:jc w:val="both"/>
      </w:pPr>
      <w:r>
        <w:rPr>
          <w:color w:val="231F20"/>
        </w:rPr>
        <w:t>cludes the possibility of bitter price wars. Under certain circum- stances, competitors will adopt artificially low prices regardless of the impact on profit because they want to win the account at all cost. The</w:t>
      </w:r>
      <w:r>
        <w:rPr>
          <w:color w:val="231F20"/>
          <w:spacing w:val="-3"/>
        </w:rPr>
        <w:t> </w:t>
      </w:r>
      <w:r>
        <w:rPr>
          <w:color w:val="231F20"/>
        </w:rPr>
        <w:t>industry’s</w:t>
      </w:r>
      <w:r>
        <w:rPr>
          <w:color w:val="231F20"/>
          <w:spacing w:val="-3"/>
        </w:rPr>
        <w:t> </w:t>
      </w:r>
      <w:r>
        <w:rPr>
          <w:color w:val="231F20"/>
        </w:rPr>
        <w:t>competitive</w:t>
      </w:r>
      <w:r>
        <w:rPr>
          <w:color w:val="231F20"/>
          <w:spacing w:val="-3"/>
        </w:rPr>
        <w:t> </w:t>
      </w:r>
      <w:r>
        <w:rPr>
          <w:color w:val="231F20"/>
        </w:rPr>
        <w:t>intensity</w:t>
      </w:r>
      <w:r>
        <w:rPr>
          <w:color w:val="231F20"/>
          <w:spacing w:val="-3"/>
        </w:rPr>
        <w:t> </w:t>
      </w:r>
      <w:r>
        <w:rPr>
          <w:color w:val="231F20"/>
        </w:rPr>
        <w:t>results</w:t>
      </w:r>
      <w:r>
        <w:rPr>
          <w:color w:val="231F20"/>
          <w:spacing w:val="-3"/>
        </w:rPr>
        <w:t> </w:t>
      </w:r>
      <w:r>
        <w:rPr>
          <w:color w:val="231F20"/>
        </w:rPr>
        <w:t>from</w:t>
      </w:r>
      <w:r>
        <w:rPr>
          <w:color w:val="231F20"/>
          <w:spacing w:val="-3"/>
        </w:rPr>
        <w:t> </w:t>
      </w:r>
      <w:r>
        <w:rPr>
          <w:color w:val="231F20"/>
        </w:rPr>
        <w:t>all</w:t>
      </w:r>
      <w:r>
        <w:rPr>
          <w:color w:val="231F20"/>
          <w:spacing w:val="-3"/>
        </w:rPr>
        <w:t> </w:t>
      </w:r>
      <w:r>
        <w:rPr>
          <w:color w:val="231F20"/>
        </w:rPr>
        <w:t>five</w:t>
      </w:r>
      <w:r>
        <w:rPr>
          <w:color w:val="231F20"/>
          <w:spacing w:val="-3"/>
        </w:rPr>
        <w:t> </w:t>
      </w:r>
      <w:r>
        <w:rPr>
          <w:color w:val="231F20"/>
        </w:rPr>
        <w:t>forces</w:t>
      </w:r>
      <w:r>
        <w:rPr>
          <w:color w:val="231F20"/>
          <w:spacing w:val="-3"/>
        </w:rPr>
        <w:t> </w:t>
      </w:r>
      <w:r>
        <w:rPr>
          <w:color w:val="231F20"/>
        </w:rPr>
        <w:t>exert- ing their pressures on the industry as seen in Porter’s model.</w:t>
      </w:r>
    </w:p>
    <w:p>
      <w:pPr>
        <w:pStyle w:val="BodyText"/>
        <w:spacing w:line="292" w:lineRule="auto"/>
        <w:ind w:left="919" w:right="663" w:firstLine="340"/>
        <w:jc w:val="both"/>
      </w:pPr>
      <w:r>
        <w:rPr>
          <w:color w:val="231F20"/>
        </w:rPr>
        <w:t>What’s a company to do in this sort of competitive environment? Crown</w:t>
      </w:r>
      <w:r>
        <w:rPr>
          <w:color w:val="231F20"/>
          <w:spacing w:val="40"/>
        </w:rPr>
        <w:t> </w:t>
      </w:r>
      <w:r>
        <w:rPr>
          <w:color w:val="231F20"/>
        </w:rPr>
        <w:t>Cork</w:t>
      </w:r>
      <w:r>
        <w:rPr>
          <w:color w:val="231F20"/>
          <w:spacing w:val="40"/>
          <w:w w:val="110"/>
        </w:rPr>
        <w:t> </w:t>
      </w:r>
      <w:r>
        <w:rPr>
          <w:color w:val="231F20"/>
          <w:w w:val="110"/>
        </w:rPr>
        <w:t>&amp;</w:t>
      </w:r>
      <w:r>
        <w:rPr>
          <w:color w:val="231F20"/>
          <w:spacing w:val="40"/>
          <w:w w:val="110"/>
        </w:rPr>
        <w:t> </w:t>
      </w:r>
      <w:r>
        <w:rPr>
          <w:color w:val="231F20"/>
        </w:rPr>
        <w:t>Seal</w:t>
      </w:r>
      <w:r>
        <w:rPr>
          <w:color w:val="231F20"/>
          <w:spacing w:val="40"/>
        </w:rPr>
        <w:t> </w:t>
      </w:r>
      <w:r>
        <w:rPr>
          <w:color w:val="231F20"/>
        </w:rPr>
        <w:t>of</w:t>
      </w:r>
      <w:r>
        <w:rPr>
          <w:color w:val="231F20"/>
          <w:spacing w:val="40"/>
        </w:rPr>
        <w:t> </w:t>
      </w:r>
      <w:r>
        <w:rPr>
          <w:color w:val="231F20"/>
        </w:rPr>
        <w:t>Philadelphia</w:t>
      </w:r>
      <w:r>
        <w:rPr>
          <w:color w:val="231F20"/>
          <w:spacing w:val="40"/>
        </w:rPr>
        <w:t> </w:t>
      </w:r>
      <w:r>
        <w:rPr>
          <w:color w:val="231F20"/>
        </w:rPr>
        <w:t>has</w:t>
      </w:r>
      <w:r>
        <w:rPr>
          <w:color w:val="231F20"/>
          <w:spacing w:val="40"/>
        </w:rPr>
        <w:t> </w:t>
      </w:r>
      <w:r>
        <w:rPr>
          <w:color w:val="231F20"/>
        </w:rPr>
        <w:t>pursued</w:t>
      </w:r>
      <w:r>
        <w:rPr>
          <w:color w:val="231F20"/>
          <w:spacing w:val="40"/>
        </w:rPr>
        <w:t> </w:t>
      </w:r>
      <w:r>
        <w:rPr>
          <w:color w:val="231F20"/>
        </w:rPr>
        <w:t>a</w:t>
      </w:r>
      <w:r>
        <w:rPr>
          <w:color w:val="231F20"/>
          <w:spacing w:val="40"/>
        </w:rPr>
        <w:t> </w:t>
      </w:r>
      <w:r>
        <w:rPr>
          <w:color w:val="231F20"/>
        </w:rPr>
        <w:t>strategy</w:t>
      </w:r>
      <w:r>
        <w:rPr>
          <w:color w:val="231F20"/>
          <w:spacing w:val="40"/>
        </w:rPr>
        <w:t> </w:t>
      </w:r>
      <w:r>
        <w:rPr>
          <w:color w:val="231F20"/>
        </w:rPr>
        <w:t>of adding </w:t>
      </w:r>
      <w:r>
        <w:rPr>
          <w:i/>
          <w:color w:val="231F20"/>
        </w:rPr>
        <w:t>value </w:t>
      </w:r>
      <w:r>
        <w:rPr>
          <w:color w:val="231F20"/>
        </w:rPr>
        <w:t>to its product. It offers expert consulting services to solve clients’ packaging problems, quick delivery to lower clients’ </w:t>
      </w:r>
      <w:r>
        <w:rPr>
          <w:color w:val="231F20"/>
        </w:rPr>
        <w:t>in- ventory</w:t>
      </w:r>
      <w:r>
        <w:rPr>
          <w:color w:val="231F20"/>
          <w:spacing w:val="57"/>
        </w:rPr>
        <w:t> </w:t>
      </w:r>
      <w:r>
        <w:rPr>
          <w:color w:val="231F20"/>
        </w:rPr>
        <w:t>costs,</w:t>
      </w:r>
      <w:r>
        <w:rPr>
          <w:color w:val="231F20"/>
          <w:spacing w:val="58"/>
        </w:rPr>
        <w:t> </w:t>
      </w:r>
      <w:r>
        <w:rPr>
          <w:color w:val="231F20"/>
        </w:rPr>
        <w:t>and</w:t>
      </w:r>
      <w:r>
        <w:rPr>
          <w:color w:val="231F20"/>
          <w:spacing w:val="58"/>
        </w:rPr>
        <w:t> </w:t>
      </w:r>
      <w:r>
        <w:rPr>
          <w:color w:val="231F20"/>
        </w:rPr>
        <w:t>customized</w:t>
      </w:r>
      <w:r>
        <w:rPr>
          <w:color w:val="231F20"/>
          <w:spacing w:val="58"/>
        </w:rPr>
        <w:t> </w:t>
      </w:r>
      <w:r>
        <w:rPr>
          <w:color w:val="231F20"/>
        </w:rPr>
        <w:t>and</w:t>
      </w:r>
      <w:r>
        <w:rPr>
          <w:color w:val="231F20"/>
          <w:spacing w:val="58"/>
        </w:rPr>
        <w:t> </w:t>
      </w:r>
      <w:r>
        <w:rPr>
          <w:color w:val="231F20"/>
        </w:rPr>
        <w:t>innovative</w:t>
      </w:r>
      <w:r>
        <w:rPr>
          <w:color w:val="231F20"/>
          <w:spacing w:val="57"/>
        </w:rPr>
        <w:t> </w:t>
      </w:r>
      <w:r>
        <w:rPr>
          <w:color w:val="231F20"/>
        </w:rPr>
        <w:t>packaging</w:t>
      </w:r>
      <w:r>
        <w:rPr>
          <w:color w:val="231F20"/>
          <w:spacing w:val="58"/>
        </w:rPr>
        <w:t> </w:t>
      </w:r>
      <w:r>
        <w:rPr>
          <w:color w:val="231F20"/>
          <w:spacing w:val="-2"/>
        </w:rPr>
        <w:t>modifi-</w:t>
      </w:r>
    </w:p>
    <w:p>
      <w:pPr>
        <w:spacing w:after="0" w:line="292" w:lineRule="auto"/>
        <w:jc w:val="both"/>
        <w:sectPr>
          <w:type w:val="continuous"/>
          <w:pgSz w:w="8640" w:h="12960"/>
          <w:pgMar w:header="732" w:footer="0" w:top="1220" w:bottom="280" w:left="340" w:right="500"/>
        </w:sectPr>
      </w:pPr>
    </w:p>
    <w:p>
      <w:pPr>
        <w:pStyle w:val="BodyText"/>
        <w:spacing w:before="10"/>
        <w:rPr>
          <w:sz w:val="17"/>
        </w:rPr>
      </w:pPr>
    </w:p>
    <w:p>
      <w:pPr>
        <w:pStyle w:val="BodyText"/>
        <w:spacing w:line="292" w:lineRule="auto" w:before="102"/>
        <w:ind w:left="830" w:right="756"/>
        <w:jc w:val="both"/>
      </w:pPr>
      <w:r>
        <w:rPr>
          <w:color w:val="231F20"/>
          <w:w w:val="105"/>
        </w:rPr>
        <w:t>cations</w:t>
      </w:r>
      <w:r>
        <w:rPr>
          <w:color w:val="231F20"/>
          <w:spacing w:val="-13"/>
          <w:w w:val="105"/>
        </w:rPr>
        <w:t> </w:t>
      </w:r>
      <w:r>
        <w:rPr>
          <w:color w:val="231F20"/>
          <w:w w:val="105"/>
        </w:rPr>
        <w:t>to</w:t>
      </w:r>
      <w:r>
        <w:rPr>
          <w:color w:val="231F20"/>
          <w:spacing w:val="-12"/>
          <w:w w:val="105"/>
        </w:rPr>
        <w:t> </w:t>
      </w:r>
      <w:r>
        <w:rPr>
          <w:color w:val="231F20"/>
          <w:w w:val="105"/>
        </w:rPr>
        <w:t>meet</w:t>
      </w:r>
      <w:r>
        <w:rPr>
          <w:color w:val="231F20"/>
          <w:spacing w:val="-12"/>
          <w:w w:val="105"/>
        </w:rPr>
        <w:t> </w:t>
      </w:r>
      <w:r>
        <w:rPr>
          <w:color w:val="231F20"/>
          <w:w w:val="105"/>
        </w:rPr>
        <w:t>specific</w:t>
      </w:r>
      <w:r>
        <w:rPr>
          <w:color w:val="231F20"/>
          <w:spacing w:val="-12"/>
          <w:w w:val="105"/>
        </w:rPr>
        <w:t> </w:t>
      </w:r>
      <w:r>
        <w:rPr>
          <w:color w:val="231F20"/>
          <w:w w:val="105"/>
        </w:rPr>
        <w:t>clients’</w:t>
      </w:r>
      <w:r>
        <w:rPr>
          <w:color w:val="231F20"/>
          <w:spacing w:val="-12"/>
          <w:w w:val="105"/>
        </w:rPr>
        <w:t> </w:t>
      </w:r>
      <w:r>
        <w:rPr>
          <w:color w:val="231F20"/>
          <w:w w:val="105"/>
        </w:rPr>
        <w:t>needs.</w:t>
      </w:r>
      <w:r>
        <w:rPr>
          <w:color w:val="231F20"/>
          <w:spacing w:val="-12"/>
          <w:w w:val="105"/>
        </w:rPr>
        <w:t> </w:t>
      </w:r>
      <w:r>
        <w:rPr>
          <w:color w:val="231F20"/>
          <w:w w:val="105"/>
        </w:rPr>
        <w:t>On</w:t>
      </w:r>
      <w:r>
        <w:rPr>
          <w:color w:val="231F20"/>
          <w:spacing w:val="-12"/>
          <w:w w:val="105"/>
        </w:rPr>
        <w:t> </w:t>
      </w:r>
      <w:r>
        <w:rPr>
          <w:color w:val="231F20"/>
          <w:w w:val="105"/>
        </w:rPr>
        <w:t>the</w:t>
      </w:r>
      <w:r>
        <w:rPr>
          <w:color w:val="231F20"/>
          <w:spacing w:val="-13"/>
          <w:w w:val="105"/>
        </w:rPr>
        <w:t> </w:t>
      </w:r>
      <w:r>
        <w:rPr>
          <w:color w:val="231F20"/>
          <w:w w:val="105"/>
        </w:rPr>
        <w:t>cost</w:t>
      </w:r>
      <w:r>
        <w:rPr>
          <w:color w:val="231F20"/>
          <w:spacing w:val="-12"/>
          <w:w w:val="105"/>
        </w:rPr>
        <w:t> </w:t>
      </w:r>
      <w:r>
        <w:rPr>
          <w:color w:val="231F20"/>
          <w:w w:val="105"/>
        </w:rPr>
        <w:t>side,</w:t>
      </w:r>
      <w:r>
        <w:rPr>
          <w:color w:val="231F20"/>
          <w:spacing w:val="-12"/>
          <w:w w:val="105"/>
        </w:rPr>
        <w:t> </w:t>
      </w:r>
      <w:r>
        <w:rPr>
          <w:color w:val="231F20"/>
          <w:w w:val="105"/>
        </w:rPr>
        <w:t>Crown</w:t>
      </w:r>
      <w:r>
        <w:rPr>
          <w:color w:val="231F20"/>
          <w:spacing w:val="-12"/>
          <w:w w:val="105"/>
        </w:rPr>
        <w:t> </w:t>
      </w:r>
      <w:r>
        <w:rPr>
          <w:color w:val="231F20"/>
          <w:w w:val="105"/>
        </w:rPr>
        <w:t>Cork &amp;</w:t>
      </w:r>
      <w:r>
        <w:rPr>
          <w:color w:val="231F20"/>
          <w:spacing w:val="-7"/>
          <w:w w:val="105"/>
        </w:rPr>
        <w:t> </w:t>
      </w:r>
      <w:r>
        <w:rPr>
          <w:color w:val="231F20"/>
          <w:w w:val="105"/>
        </w:rPr>
        <w:t>Seal</w:t>
      </w:r>
      <w:r>
        <w:rPr>
          <w:color w:val="231F20"/>
          <w:spacing w:val="-7"/>
          <w:w w:val="105"/>
        </w:rPr>
        <w:t> </w:t>
      </w:r>
      <w:r>
        <w:rPr>
          <w:color w:val="231F20"/>
          <w:w w:val="105"/>
        </w:rPr>
        <w:t>has</w:t>
      </w:r>
      <w:r>
        <w:rPr>
          <w:color w:val="231F20"/>
          <w:spacing w:val="-7"/>
          <w:w w:val="105"/>
        </w:rPr>
        <w:t> </w:t>
      </w:r>
      <w:r>
        <w:rPr>
          <w:color w:val="231F20"/>
          <w:w w:val="105"/>
        </w:rPr>
        <w:t>focused</w:t>
      </w:r>
      <w:r>
        <w:rPr>
          <w:color w:val="231F20"/>
          <w:spacing w:val="-7"/>
          <w:w w:val="105"/>
        </w:rPr>
        <w:t> </w:t>
      </w:r>
      <w:r>
        <w:rPr>
          <w:color w:val="231F20"/>
          <w:w w:val="105"/>
        </w:rPr>
        <w:t>on</w:t>
      </w:r>
      <w:r>
        <w:rPr>
          <w:color w:val="231F20"/>
          <w:spacing w:val="-7"/>
          <w:w w:val="105"/>
        </w:rPr>
        <w:t> </w:t>
      </w:r>
      <w:r>
        <w:rPr>
          <w:color w:val="231F20"/>
          <w:w w:val="105"/>
        </w:rPr>
        <w:t>low-cost</w:t>
      </w:r>
      <w:r>
        <w:rPr>
          <w:color w:val="231F20"/>
          <w:spacing w:val="-7"/>
          <w:w w:val="105"/>
        </w:rPr>
        <w:t> </w:t>
      </w:r>
      <w:r>
        <w:rPr>
          <w:color w:val="231F20"/>
          <w:w w:val="105"/>
        </w:rPr>
        <w:t>production,</w:t>
      </w:r>
      <w:r>
        <w:rPr>
          <w:color w:val="231F20"/>
          <w:spacing w:val="-7"/>
          <w:w w:val="105"/>
        </w:rPr>
        <w:t> </w:t>
      </w:r>
      <w:r>
        <w:rPr>
          <w:color w:val="231F20"/>
          <w:w w:val="105"/>
        </w:rPr>
        <w:t>which</w:t>
      </w:r>
      <w:r>
        <w:rPr>
          <w:color w:val="231F20"/>
          <w:spacing w:val="-7"/>
          <w:w w:val="105"/>
        </w:rPr>
        <w:t> </w:t>
      </w:r>
      <w:r>
        <w:rPr>
          <w:color w:val="231F20"/>
          <w:w w:val="105"/>
        </w:rPr>
        <w:t>allows</w:t>
      </w:r>
      <w:r>
        <w:rPr>
          <w:color w:val="231F20"/>
          <w:spacing w:val="-7"/>
          <w:w w:val="105"/>
        </w:rPr>
        <w:t> </w:t>
      </w:r>
      <w:r>
        <w:rPr>
          <w:color w:val="231F20"/>
          <w:w w:val="105"/>
        </w:rPr>
        <w:t>it</w:t>
      </w:r>
      <w:r>
        <w:rPr>
          <w:color w:val="231F20"/>
          <w:spacing w:val="-7"/>
          <w:w w:val="105"/>
        </w:rPr>
        <w:t> </w:t>
      </w:r>
      <w:r>
        <w:rPr>
          <w:color w:val="231F20"/>
          <w:w w:val="105"/>
        </w:rPr>
        <w:t>to</w:t>
      </w:r>
      <w:r>
        <w:rPr>
          <w:color w:val="231F20"/>
          <w:spacing w:val="-7"/>
          <w:w w:val="105"/>
        </w:rPr>
        <w:t> </w:t>
      </w:r>
      <w:r>
        <w:rPr>
          <w:color w:val="231F20"/>
          <w:w w:val="105"/>
        </w:rPr>
        <w:t>price its</w:t>
      </w:r>
      <w:r>
        <w:rPr>
          <w:color w:val="231F20"/>
          <w:w w:val="105"/>
        </w:rPr>
        <w:t> products</w:t>
      </w:r>
      <w:r>
        <w:rPr>
          <w:color w:val="231F20"/>
          <w:w w:val="105"/>
        </w:rPr>
        <w:t> competitively.</w:t>
      </w:r>
      <w:r>
        <w:rPr>
          <w:color w:val="231F20"/>
          <w:w w:val="105"/>
        </w:rPr>
        <w:t> Not</w:t>
      </w:r>
      <w:r>
        <w:rPr>
          <w:color w:val="231F20"/>
          <w:w w:val="105"/>
        </w:rPr>
        <w:t> only</w:t>
      </w:r>
      <w:r>
        <w:rPr>
          <w:color w:val="231F20"/>
          <w:w w:val="105"/>
        </w:rPr>
        <w:t> has</w:t>
      </w:r>
      <w:r>
        <w:rPr>
          <w:color w:val="231F20"/>
          <w:w w:val="105"/>
        </w:rPr>
        <w:t> the</w:t>
      </w:r>
      <w:r>
        <w:rPr>
          <w:color w:val="231F20"/>
          <w:w w:val="105"/>
        </w:rPr>
        <w:t> company</w:t>
      </w:r>
      <w:r>
        <w:rPr>
          <w:color w:val="231F20"/>
          <w:w w:val="105"/>
        </w:rPr>
        <w:t> survived,</w:t>
      </w:r>
      <w:r>
        <w:rPr>
          <w:color w:val="231F20"/>
          <w:w w:val="105"/>
        </w:rPr>
        <w:t> it </w:t>
      </w:r>
      <w:r>
        <w:rPr>
          <w:color w:val="231F20"/>
          <w:w w:val="110"/>
        </w:rPr>
        <w:t>has prospered.</w:t>
      </w:r>
    </w:p>
    <w:p>
      <w:pPr>
        <w:pStyle w:val="BodyText"/>
        <w:spacing w:line="292" w:lineRule="auto"/>
        <w:ind w:left="829" w:right="753" w:firstLine="340"/>
        <w:jc w:val="both"/>
      </w:pPr>
      <w:r>
        <w:rPr>
          <w:color w:val="231F20"/>
        </w:rPr>
        <w:t>As</w:t>
      </w:r>
      <w:r>
        <w:rPr>
          <w:color w:val="231F20"/>
          <w:spacing w:val="80"/>
        </w:rPr>
        <w:t> </w:t>
      </w:r>
      <w:r>
        <w:rPr>
          <w:color w:val="231F20"/>
        </w:rPr>
        <w:t>a</w:t>
      </w:r>
      <w:r>
        <w:rPr>
          <w:color w:val="231F20"/>
          <w:spacing w:val="80"/>
        </w:rPr>
        <w:t> </w:t>
      </w:r>
      <w:r>
        <w:rPr>
          <w:color w:val="231F20"/>
        </w:rPr>
        <w:t>prospective</w:t>
      </w:r>
      <w:r>
        <w:rPr>
          <w:color w:val="231F20"/>
          <w:spacing w:val="80"/>
        </w:rPr>
        <w:t> </w:t>
      </w:r>
      <w:r>
        <w:rPr>
          <w:color w:val="231F20"/>
        </w:rPr>
        <w:t>entrant</w:t>
      </w:r>
      <w:r>
        <w:rPr>
          <w:color w:val="231F20"/>
          <w:spacing w:val="80"/>
        </w:rPr>
        <w:t> </w:t>
      </w:r>
      <w:r>
        <w:rPr>
          <w:color w:val="231F20"/>
        </w:rPr>
        <w:t>into</w:t>
      </w:r>
      <w:r>
        <w:rPr>
          <w:color w:val="231F20"/>
          <w:spacing w:val="80"/>
        </w:rPr>
        <w:t> </w:t>
      </w:r>
      <w:r>
        <w:rPr>
          <w:color w:val="231F20"/>
        </w:rPr>
        <w:t>the</w:t>
      </w:r>
      <w:r>
        <w:rPr>
          <w:color w:val="231F20"/>
          <w:spacing w:val="80"/>
        </w:rPr>
        <w:t> </w:t>
      </w:r>
      <w:r>
        <w:rPr>
          <w:color w:val="231F20"/>
        </w:rPr>
        <w:t>tin</w:t>
      </w:r>
      <w:r>
        <w:rPr>
          <w:color w:val="231F20"/>
          <w:spacing w:val="80"/>
        </w:rPr>
        <w:t> </w:t>
      </w:r>
      <w:r>
        <w:rPr>
          <w:color w:val="231F20"/>
        </w:rPr>
        <w:t>can</w:t>
      </w:r>
      <w:r>
        <w:rPr>
          <w:color w:val="231F20"/>
          <w:spacing w:val="80"/>
        </w:rPr>
        <w:t> </w:t>
      </w:r>
      <w:r>
        <w:rPr>
          <w:color w:val="231F20"/>
        </w:rPr>
        <w:t>industry,</w:t>
      </w:r>
      <w:r>
        <w:rPr>
          <w:color w:val="231F20"/>
          <w:spacing w:val="80"/>
        </w:rPr>
        <w:t> </w:t>
      </w:r>
      <w:r>
        <w:rPr>
          <w:color w:val="231F20"/>
        </w:rPr>
        <w:t>one should ask:</w:t>
      </w:r>
    </w:p>
    <w:p>
      <w:pPr>
        <w:pStyle w:val="BodyText"/>
        <w:spacing w:before="2"/>
        <w:rPr>
          <w:sz w:val="27"/>
        </w:rPr>
      </w:pPr>
    </w:p>
    <w:p>
      <w:pPr>
        <w:spacing w:line="328" w:lineRule="auto" w:before="0"/>
        <w:ind w:left="1170" w:right="2028" w:firstLine="0"/>
        <w:jc w:val="left"/>
        <w:rPr>
          <w:rFonts w:ascii="Arial"/>
          <w:sz w:val="19"/>
        </w:rPr>
      </w:pPr>
      <w:r>
        <w:rPr>
          <w:rFonts w:ascii="Arial"/>
          <w:color w:val="231F20"/>
          <w:w w:val="115"/>
          <w:sz w:val="19"/>
        </w:rPr>
        <w:t>Is this an attractive industry for me to be in? </w:t>
      </w:r>
      <w:r>
        <w:rPr>
          <w:rFonts w:ascii="Arial"/>
          <w:color w:val="231F20"/>
          <w:spacing w:val="-2"/>
          <w:w w:val="115"/>
          <w:sz w:val="19"/>
        </w:rPr>
        <w:t>Can</w:t>
      </w:r>
      <w:r>
        <w:rPr>
          <w:rFonts w:ascii="Arial"/>
          <w:color w:val="231F20"/>
          <w:spacing w:val="-14"/>
          <w:w w:val="115"/>
          <w:sz w:val="19"/>
        </w:rPr>
        <w:t> </w:t>
      </w:r>
      <w:r>
        <w:rPr>
          <w:rFonts w:ascii="Arial"/>
          <w:color w:val="231F20"/>
          <w:spacing w:val="-2"/>
          <w:w w:val="115"/>
          <w:sz w:val="19"/>
        </w:rPr>
        <w:t>I</w:t>
      </w:r>
      <w:r>
        <w:rPr>
          <w:rFonts w:ascii="Arial"/>
          <w:color w:val="231F20"/>
          <w:spacing w:val="-13"/>
          <w:w w:val="115"/>
          <w:sz w:val="19"/>
        </w:rPr>
        <w:t> </w:t>
      </w:r>
      <w:r>
        <w:rPr>
          <w:rFonts w:ascii="Arial"/>
          <w:color w:val="231F20"/>
          <w:spacing w:val="-2"/>
          <w:w w:val="115"/>
          <w:sz w:val="19"/>
        </w:rPr>
        <w:t>duplicate</w:t>
      </w:r>
      <w:r>
        <w:rPr>
          <w:rFonts w:ascii="Arial"/>
          <w:color w:val="231F20"/>
          <w:spacing w:val="-13"/>
          <w:w w:val="115"/>
          <w:sz w:val="19"/>
        </w:rPr>
        <w:t> </w:t>
      </w:r>
      <w:r>
        <w:rPr>
          <w:rFonts w:ascii="Arial"/>
          <w:color w:val="231F20"/>
          <w:spacing w:val="-2"/>
          <w:w w:val="115"/>
          <w:sz w:val="19"/>
        </w:rPr>
        <w:t>the</w:t>
      </w:r>
      <w:r>
        <w:rPr>
          <w:rFonts w:ascii="Arial"/>
          <w:color w:val="231F20"/>
          <w:spacing w:val="-13"/>
          <w:w w:val="115"/>
          <w:sz w:val="19"/>
        </w:rPr>
        <w:t> </w:t>
      </w:r>
      <w:r>
        <w:rPr>
          <w:rFonts w:ascii="Arial"/>
          <w:color w:val="231F20"/>
          <w:spacing w:val="-2"/>
          <w:w w:val="115"/>
          <w:sz w:val="19"/>
        </w:rPr>
        <w:t>Crown</w:t>
      </w:r>
      <w:r>
        <w:rPr>
          <w:rFonts w:ascii="Arial"/>
          <w:color w:val="231F20"/>
          <w:spacing w:val="-13"/>
          <w:w w:val="115"/>
          <w:sz w:val="19"/>
        </w:rPr>
        <w:t> </w:t>
      </w:r>
      <w:r>
        <w:rPr>
          <w:rFonts w:ascii="Arial"/>
          <w:color w:val="231F20"/>
          <w:spacing w:val="-2"/>
          <w:w w:val="115"/>
          <w:sz w:val="19"/>
        </w:rPr>
        <w:t>Cork</w:t>
      </w:r>
      <w:r>
        <w:rPr>
          <w:rFonts w:ascii="Arial"/>
          <w:color w:val="231F20"/>
          <w:spacing w:val="-14"/>
          <w:w w:val="115"/>
          <w:sz w:val="19"/>
        </w:rPr>
        <w:t> </w:t>
      </w:r>
      <w:r>
        <w:rPr>
          <w:rFonts w:ascii="Arial"/>
          <w:color w:val="231F20"/>
          <w:spacing w:val="-2"/>
          <w:w w:val="115"/>
          <w:sz w:val="19"/>
        </w:rPr>
        <w:t>&amp;</w:t>
      </w:r>
      <w:r>
        <w:rPr>
          <w:rFonts w:ascii="Arial"/>
          <w:color w:val="231F20"/>
          <w:spacing w:val="-13"/>
          <w:w w:val="115"/>
          <w:sz w:val="19"/>
        </w:rPr>
        <w:t> </w:t>
      </w:r>
      <w:r>
        <w:rPr>
          <w:rFonts w:ascii="Arial"/>
          <w:color w:val="231F20"/>
          <w:spacing w:val="-2"/>
          <w:w w:val="115"/>
          <w:sz w:val="19"/>
        </w:rPr>
        <w:t>Seal</w:t>
      </w:r>
      <w:r>
        <w:rPr>
          <w:rFonts w:ascii="Arial"/>
          <w:color w:val="231F20"/>
          <w:spacing w:val="-13"/>
          <w:w w:val="115"/>
          <w:sz w:val="19"/>
        </w:rPr>
        <w:t> </w:t>
      </w:r>
      <w:r>
        <w:rPr>
          <w:rFonts w:ascii="Arial"/>
          <w:color w:val="231F20"/>
          <w:spacing w:val="-2"/>
          <w:w w:val="115"/>
          <w:sz w:val="19"/>
        </w:rPr>
        <w:t>strategy? </w:t>
      </w:r>
      <w:r>
        <w:rPr>
          <w:rFonts w:ascii="Arial"/>
          <w:color w:val="231F20"/>
          <w:w w:val="115"/>
          <w:sz w:val="19"/>
        </w:rPr>
        <w:t>Can I win in a price battle if I choose to enter?</w:t>
      </w:r>
    </w:p>
    <w:p>
      <w:pPr>
        <w:spacing w:line="328" w:lineRule="auto" w:before="2"/>
        <w:ind w:left="1170" w:right="1262" w:firstLine="0"/>
        <w:jc w:val="left"/>
        <w:rPr>
          <w:rFonts w:ascii="Arial"/>
          <w:sz w:val="19"/>
        </w:rPr>
      </w:pPr>
      <w:r>
        <w:rPr>
          <w:rFonts w:ascii="Arial"/>
          <w:color w:val="231F20"/>
          <w:w w:val="115"/>
          <w:sz w:val="19"/>
        </w:rPr>
        <w:t>What</w:t>
      </w:r>
      <w:r>
        <w:rPr>
          <w:rFonts w:ascii="Arial"/>
          <w:color w:val="231F20"/>
          <w:spacing w:val="-4"/>
          <w:w w:val="115"/>
          <w:sz w:val="19"/>
        </w:rPr>
        <w:t> </w:t>
      </w:r>
      <w:r>
        <w:rPr>
          <w:rFonts w:ascii="Arial"/>
          <w:color w:val="231F20"/>
          <w:w w:val="115"/>
          <w:sz w:val="19"/>
        </w:rPr>
        <w:t>is</w:t>
      </w:r>
      <w:r>
        <w:rPr>
          <w:rFonts w:ascii="Arial"/>
          <w:color w:val="231F20"/>
          <w:spacing w:val="-4"/>
          <w:w w:val="115"/>
          <w:sz w:val="19"/>
        </w:rPr>
        <w:t> </w:t>
      </w:r>
      <w:r>
        <w:rPr>
          <w:rFonts w:ascii="Arial"/>
          <w:color w:val="231F20"/>
          <w:w w:val="115"/>
          <w:sz w:val="19"/>
        </w:rPr>
        <w:t>the</w:t>
      </w:r>
      <w:r>
        <w:rPr>
          <w:rFonts w:ascii="Arial"/>
          <w:color w:val="231F20"/>
          <w:spacing w:val="-4"/>
          <w:w w:val="115"/>
          <w:sz w:val="19"/>
        </w:rPr>
        <w:t> </w:t>
      </w:r>
      <w:r>
        <w:rPr>
          <w:rFonts w:ascii="Arial"/>
          <w:color w:val="231F20"/>
          <w:w w:val="115"/>
          <w:sz w:val="19"/>
        </w:rPr>
        <w:t>profit</w:t>
      </w:r>
      <w:r>
        <w:rPr>
          <w:rFonts w:ascii="Arial"/>
          <w:color w:val="231F20"/>
          <w:spacing w:val="-4"/>
          <w:w w:val="115"/>
          <w:sz w:val="19"/>
        </w:rPr>
        <w:t> </w:t>
      </w:r>
      <w:r>
        <w:rPr>
          <w:rFonts w:ascii="Arial"/>
          <w:color w:val="231F20"/>
          <w:w w:val="115"/>
          <w:sz w:val="19"/>
        </w:rPr>
        <w:t>potential</w:t>
      </w:r>
      <w:r>
        <w:rPr>
          <w:rFonts w:ascii="Arial"/>
          <w:color w:val="231F20"/>
          <w:spacing w:val="-4"/>
          <w:w w:val="115"/>
          <w:sz w:val="19"/>
        </w:rPr>
        <w:t> </w:t>
      </w:r>
      <w:r>
        <w:rPr>
          <w:rFonts w:ascii="Arial"/>
          <w:color w:val="231F20"/>
          <w:w w:val="115"/>
          <w:sz w:val="19"/>
        </w:rPr>
        <w:t>for</w:t>
      </w:r>
      <w:r>
        <w:rPr>
          <w:rFonts w:ascii="Arial"/>
          <w:color w:val="231F20"/>
          <w:spacing w:val="-4"/>
          <w:w w:val="115"/>
          <w:sz w:val="19"/>
        </w:rPr>
        <w:t> </w:t>
      </w:r>
      <w:r>
        <w:rPr>
          <w:rFonts w:ascii="Arial"/>
          <w:color w:val="231F20"/>
          <w:w w:val="115"/>
          <w:sz w:val="19"/>
        </w:rPr>
        <w:t>me</w:t>
      </w:r>
      <w:r>
        <w:rPr>
          <w:rFonts w:ascii="Arial"/>
          <w:color w:val="231F20"/>
          <w:spacing w:val="-4"/>
          <w:w w:val="115"/>
          <w:sz w:val="19"/>
        </w:rPr>
        <w:t> </w:t>
      </w:r>
      <w:r>
        <w:rPr>
          <w:rFonts w:ascii="Arial"/>
          <w:color w:val="231F20"/>
          <w:w w:val="115"/>
          <w:sz w:val="19"/>
        </w:rPr>
        <w:t>if</w:t>
      </w:r>
      <w:r>
        <w:rPr>
          <w:rFonts w:ascii="Arial"/>
          <w:color w:val="231F20"/>
          <w:spacing w:val="-4"/>
          <w:w w:val="115"/>
          <w:sz w:val="19"/>
        </w:rPr>
        <w:t> </w:t>
      </w:r>
      <w:r>
        <w:rPr>
          <w:rFonts w:ascii="Arial"/>
          <w:color w:val="231F20"/>
          <w:w w:val="115"/>
          <w:sz w:val="19"/>
        </w:rPr>
        <w:t>I</w:t>
      </w:r>
      <w:r>
        <w:rPr>
          <w:rFonts w:ascii="Arial"/>
          <w:color w:val="231F20"/>
          <w:spacing w:val="-4"/>
          <w:w w:val="115"/>
          <w:sz w:val="19"/>
        </w:rPr>
        <w:t> </w:t>
      </w:r>
      <w:r>
        <w:rPr>
          <w:rFonts w:ascii="Arial"/>
          <w:color w:val="231F20"/>
          <w:w w:val="115"/>
          <w:sz w:val="19"/>
        </w:rPr>
        <w:t>choose</w:t>
      </w:r>
      <w:r>
        <w:rPr>
          <w:rFonts w:ascii="Arial"/>
          <w:color w:val="231F20"/>
          <w:spacing w:val="-4"/>
          <w:w w:val="115"/>
          <w:sz w:val="19"/>
        </w:rPr>
        <w:t> </w:t>
      </w:r>
      <w:r>
        <w:rPr>
          <w:rFonts w:ascii="Arial"/>
          <w:color w:val="231F20"/>
          <w:w w:val="115"/>
          <w:sz w:val="19"/>
        </w:rPr>
        <w:t>to</w:t>
      </w:r>
      <w:r>
        <w:rPr>
          <w:rFonts w:ascii="Arial"/>
          <w:color w:val="231F20"/>
          <w:spacing w:val="-4"/>
          <w:w w:val="115"/>
          <w:sz w:val="19"/>
        </w:rPr>
        <w:t> </w:t>
      </w:r>
      <w:r>
        <w:rPr>
          <w:rFonts w:ascii="Arial"/>
          <w:color w:val="231F20"/>
          <w:w w:val="115"/>
          <w:sz w:val="19"/>
        </w:rPr>
        <w:t>enter? Could my money be better invested elsewhere?</w:t>
      </w:r>
    </w:p>
    <w:p>
      <w:pPr>
        <w:pStyle w:val="BodyText"/>
        <w:spacing w:before="4"/>
        <w:rPr>
          <w:rFonts w:ascii="Arial"/>
          <w:sz w:val="24"/>
        </w:rPr>
      </w:pPr>
    </w:p>
    <w:p>
      <w:pPr>
        <w:pStyle w:val="BodyText"/>
        <w:spacing w:line="292" w:lineRule="auto"/>
        <w:ind w:left="830" w:right="755" w:firstLine="340"/>
        <w:jc w:val="both"/>
      </w:pPr>
      <w:r>
        <w:rPr>
          <w:color w:val="231F20"/>
        </w:rPr>
        <w:t>Regardless of the industry, the same questions must be asked when a manager wishes to expand into a new field. Even if </w:t>
      </w:r>
      <w:r>
        <w:rPr>
          <w:color w:val="231F20"/>
        </w:rPr>
        <w:t>expan- sion is not contemplated, the Porter model offers insight on how to compete more effectively within one’s own industry. Please review the </w:t>
      </w:r>
      <w:r>
        <w:rPr>
          <w:i/>
          <w:color w:val="231F20"/>
        </w:rPr>
        <w:t>determinants </w:t>
      </w:r>
      <w:r>
        <w:rPr>
          <w:color w:val="231F20"/>
        </w:rPr>
        <w:t>of the Five Forces in the detailed Porter model </w:t>
      </w:r>
      <w:r>
        <w:rPr>
          <w:i/>
          <w:color w:val="231F20"/>
        </w:rPr>
        <w:t>very</w:t>
      </w:r>
      <w:r>
        <w:rPr>
          <w:i/>
          <w:color w:val="231F20"/>
        </w:rPr>
        <w:t> </w:t>
      </w:r>
      <w:r>
        <w:rPr>
          <w:color w:val="231F20"/>
        </w:rPr>
        <w:t>carefully. Those are the questions that MBAs ponder to gain com- petitive advantage.</w:t>
      </w:r>
    </w:p>
    <w:p>
      <w:pPr>
        <w:pStyle w:val="BodyText"/>
        <w:spacing w:line="292" w:lineRule="auto"/>
        <w:ind w:left="830" w:right="757" w:firstLine="340"/>
        <w:jc w:val="both"/>
      </w:pPr>
      <w:r>
        <w:rPr>
          <w:color w:val="231F20"/>
        </w:rPr>
        <w:t>The</w:t>
      </w:r>
      <w:r>
        <w:rPr>
          <w:color w:val="231F20"/>
          <w:spacing w:val="-12"/>
        </w:rPr>
        <w:t> </w:t>
      </w:r>
      <w:r>
        <w:rPr>
          <w:color w:val="231F20"/>
        </w:rPr>
        <w:t>forces</w:t>
      </w:r>
      <w:r>
        <w:rPr>
          <w:color w:val="231F20"/>
          <w:spacing w:val="-11"/>
        </w:rPr>
        <w:t> </w:t>
      </w:r>
      <w:r>
        <w:rPr>
          <w:color w:val="231F20"/>
        </w:rPr>
        <w:t>at</w:t>
      </w:r>
      <w:r>
        <w:rPr>
          <w:color w:val="231F20"/>
          <w:spacing w:val="-12"/>
        </w:rPr>
        <w:t> </w:t>
      </w:r>
      <w:r>
        <w:rPr>
          <w:color w:val="231F20"/>
        </w:rPr>
        <w:t>play</w:t>
      </w:r>
      <w:r>
        <w:rPr>
          <w:color w:val="231F20"/>
          <w:spacing w:val="-11"/>
        </w:rPr>
        <w:t> </w:t>
      </w:r>
      <w:r>
        <w:rPr>
          <w:color w:val="231F20"/>
        </w:rPr>
        <w:t>in</w:t>
      </w:r>
      <w:r>
        <w:rPr>
          <w:color w:val="231F20"/>
          <w:spacing w:val="-12"/>
        </w:rPr>
        <w:t> </w:t>
      </w:r>
      <w:r>
        <w:rPr>
          <w:color w:val="231F20"/>
        </w:rPr>
        <w:t>an</w:t>
      </w:r>
      <w:r>
        <w:rPr>
          <w:color w:val="231F20"/>
          <w:spacing w:val="-11"/>
        </w:rPr>
        <w:t> </w:t>
      </w:r>
      <w:r>
        <w:rPr>
          <w:color w:val="231F20"/>
        </w:rPr>
        <w:t>industry</w:t>
      </w:r>
      <w:r>
        <w:rPr>
          <w:color w:val="231F20"/>
          <w:spacing w:val="-12"/>
        </w:rPr>
        <w:t> </w:t>
      </w:r>
      <w:r>
        <w:rPr>
          <w:color w:val="231F20"/>
        </w:rPr>
        <w:t>are</w:t>
      </w:r>
      <w:r>
        <w:rPr>
          <w:color w:val="231F20"/>
          <w:spacing w:val="-11"/>
        </w:rPr>
        <w:t> </w:t>
      </w:r>
      <w:r>
        <w:rPr>
          <w:color w:val="231F20"/>
        </w:rPr>
        <w:t>dynamic.</w:t>
      </w:r>
      <w:r>
        <w:rPr>
          <w:color w:val="231F20"/>
          <w:spacing w:val="-12"/>
        </w:rPr>
        <w:t> </w:t>
      </w:r>
      <w:r>
        <w:rPr>
          <w:color w:val="231F20"/>
        </w:rPr>
        <w:t>The</w:t>
      </w:r>
      <w:r>
        <w:rPr>
          <w:color w:val="231F20"/>
          <w:spacing w:val="-11"/>
        </w:rPr>
        <w:t> </w:t>
      </w:r>
      <w:r>
        <w:rPr>
          <w:color w:val="231F20"/>
        </w:rPr>
        <w:t>essence</w:t>
      </w:r>
      <w:r>
        <w:rPr>
          <w:color w:val="231F20"/>
          <w:spacing w:val="-12"/>
        </w:rPr>
        <w:t> </w:t>
      </w:r>
      <w:r>
        <w:rPr>
          <w:color w:val="231F20"/>
        </w:rPr>
        <w:t>of</w:t>
      </w:r>
      <w:r>
        <w:rPr>
          <w:color w:val="231F20"/>
          <w:spacing w:val="-11"/>
        </w:rPr>
        <w:t> </w:t>
      </w:r>
      <w:r>
        <w:rPr>
          <w:color w:val="231F20"/>
        </w:rPr>
        <w:t>strat- egy</w:t>
      </w:r>
      <w:r>
        <w:rPr>
          <w:color w:val="231F20"/>
          <w:spacing w:val="-10"/>
        </w:rPr>
        <w:t> </w:t>
      </w:r>
      <w:r>
        <w:rPr>
          <w:color w:val="231F20"/>
        </w:rPr>
        <w:t>is</w:t>
      </w:r>
      <w:r>
        <w:rPr>
          <w:color w:val="231F20"/>
          <w:spacing w:val="-10"/>
        </w:rPr>
        <w:t> </w:t>
      </w:r>
      <w:r>
        <w:rPr>
          <w:color w:val="231F20"/>
        </w:rPr>
        <w:t>to</w:t>
      </w:r>
      <w:r>
        <w:rPr>
          <w:color w:val="231F20"/>
          <w:spacing w:val="-10"/>
        </w:rPr>
        <w:t> </w:t>
      </w:r>
      <w:r>
        <w:rPr>
          <w:color w:val="231F20"/>
        </w:rPr>
        <w:t>understand</w:t>
      </w:r>
      <w:r>
        <w:rPr>
          <w:color w:val="231F20"/>
          <w:spacing w:val="-10"/>
        </w:rPr>
        <w:t> </w:t>
      </w:r>
      <w:r>
        <w:rPr>
          <w:color w:val="231F20"/>
        </w:rPr>
        <w:t>the</w:t>
      </w:r>
      <w:r>
        <w:rPr>
          <w:color w:val="231F20"/>
          <w:spacing w:val="-10"/>
        </w:rPr>
        <w:t> </w:t>
      </w:r>
      <w:r>
        <w:rPr>
          <w:color w:val="231F20"/>
        </w:rPr>
        <w:t>current</w:t>
      </w:r>
      <w:r>
        <w:rPr>
          <w:color w:val="231F20"/>
          <w:spacing w:val="-10"/>
        </w:rPr>
        <w:t> </w:t>
      </w:r>
      <w:r>
        <w:rPr>
          <w:color w:val="231F20"/>
        </w:rPr>
        <w:t>forces</w:t>
      </w:r>
      <w:r>
        <w:rPr>
          <w:color w:val="231F20"/>
          <w:spacing w:val="-10"/>
        </w:rPr>
        <w:t> </w:t>
      </w:r>
      <w:r>
        <w:rPr>
          <w:color w:val="231F20"/>
        </w:rPr>
        <w:t>and</w:t>
      </w:r>
      <w:r>
        <w:rPr>
          <w:color w:val="231F20"/>
          <w:spacing w:val="-10"/>
        </w:rPr>
        <w:t> </w:t>
      </w:r>
      <w:r>
        <w:rPr>
          <w:color w:val="231F20"/>
        </w:rPr>
        <w:t>to</w:t>
      </w:r>
      <w:r>
        <w:rPr>
          <w:color w:val="231F20"/>
          <w:spacing w:val="-10"/>
        </w:rPr>
        <w:t> </w:t>
      </w:r>
      <w:r>
        <w:rPr>
          <w:color w:val="231F20"/>
        </w:rPr>
        <w:t>use</w:t>
      </w:r>
      <w:r>
        <w:rPr>
          <w:color w:val="231F20"/>
          <w:spacing w:val="-10"/>
        </w:rPr>
        <w:t> </w:t>
      </w:r>
      <w:r>
        <w:rPr>
          <w:color w:val="231F20"/>
        </w:rPr>
        <w:t>them</w:t>
      </w:r>
      <w:r>
        <w:rPr>
          <w:color w:val="231F20"/>
          <w:spacing w:val="-10"/>
        </w:rPr>
        <w:t> </w:t>
      </w:r>
      <w:r>
        <w:rPr>
          <w:color w:val="231F20"/>
        </w:rPr>
        <w:t>to</w:t>
      </w:r>
      <w:r>
        <w:rPr>
          <w:color w:val="231F20"/>
          <w:spacing w:val="-10"/>
        </w:rPr>
        <w:t> </w:t>
      </w:r>
      <w:r>
        <w:rPr>
          <w:color w:val="231F20"/>
        </w:rPr>
        <w:t>your</w:t>
      </w:r>
      <w:r>
        <w:rPr>
          <w:color w:val="231F20"/>
          <w:spacing w:val="-10"/>
        </w:rPr>
        <w:t> </w:t>
      </w:r>
      <w:r>
        <w:rPr>
          <w:color w:val="231F20"/>
        </w:rPr>
        <w:t>advan- tage. In waste disposal, Waste Management Inc. lobbies hard for enactment</w:t>
      </w:r>
      <w:r>
        <w:rPr>
          <w:color w:val="231F20"/>
          <w:spacing w:val="-12"/>
        </w:rPr>
        <w:t> </w:t>
      </w:r>
      <w:r>
        <w:rPr>
          <w:color w:val="231F20"/>
        </w:rPr>
        <w:t>of</w:t>
      </w:r>
      <w:r>
        <w:rPr>
          <w:color w:val="231F20"/>
          <w:spacing w:val="-12"/>
        </w:rPr>
        <w:t> </w:t>
      </w:r>
      <w:r>
        <w:rPr>
          <w:color w:val="231F20"/>
        </w:rPr>
        <w:t>stringent</w:t>
      </w:r>
      <w:r>
        <w:rPr>
          <w:color w:val="231F20"/>
          <w:spacing w:val="-11"/>
        </w:rPr>
        <w:t> </w:t>
      </w:r>
      <w:r>
        <w:rPr>
          <w:color w:val="231F20"/>
        </w:rPr>
        <w:t>environmental</w:t>
      </w:r>
      <w:r>
        <w:rPr>
          <w:color w:val="231F20"/>
          <w:spacing w:val="-12"/>
        </w:rPr>
        <w:t> </w:t>
      </w:r>
      <w:r>
        <w:rPr>
          <w:color w:val="231F20"/>
        </w:rPr>
        <w:t>regulations.</w:t>
      </w:r>
      <w:r>
        <w:rPr>
          <w:color w:val="231F20"/>
          <w:spacing w:val="-11"/>
        </w:rPr>
        <w:t> </w:t>
      </w:r>
      <w:r>
        <w:rPr>
          <w:color w:val="231F20"/>
        </w:rPr>
        <w:t>Why?</w:t>
      </w:r>
      <w:r>
        <w:rPr>
          <w:color w:val="231F20"/>
          <w:spacing w:val="-12"/>
        </w:rPr>
        <w:t> </w:t>
      </w:r>
      <w:r>
        <w:rPr>
          <w:color w:val="231F20"/>
        </w:rPr>
        <w:t>Because</w:t>
      </w:r>
      <w:r>
        <w:rPr>
          <w:color w:val="231F20"/>
          <w:spacing w:val="-11"/>
        </w:rPr>
        <w:t> </w:t>
      </w:r>
      <w:r>
        <w:rPr>
          <w:color w:val="231F20"/>
        </w:rPr>
        <w:t>only a</w:t>
      </w:r>
      <w:r>
        <w:rPr>
          <w:color w:val="231F20"/>
          <w:spacing w:val="-8"/>
        </w:rPr>
        <w:t> </w:t>
      </w:r>
      <w:r>
        <w:rPr>
          <w:color w:val="231F20"/>
        </w:rPr>
        <w:t>few</w:t>
      </w:r>
      <w:r>
        <w:rPr>
          <w:color w:val="231F20"/>
          <w:spacing w:val="-8"/>
        </w:rPr>
        <w:t> </w:t>
      </w:r>
      <w:r>
        <w:rPr>
          <w:color w:val="231F20"/>
        </w:rPr>
        <w:t>companies</w:t>
      </w:r>
      <w:r>
        <w:rPr>
          <w:color w:val="231F20"/>
          <w:spacing w:val="-8"/>
        </w:rPr>
        <w:t> </w:t>
      </w:r>
      <w:r>
        <w:rPr>
          <w:color w:val="231F20"/>
        </w:rPr>
        <w:t>are</w:t>
      </w:r>
      <w:r>
        <w:rPr>
          <w:color w:val="231F20"/>
          <w:spacing w:val="-8"/>
        </w:rPr>
        <w:t> </w:t>
      </w:r>
      <w:r>
        <w:rPr>
          <w:color w:val="231F20"/>
        </w:rPr>
        <w:t>able</w:t>
      </w:r>
      <w:r>
        <w:rPr>
          <w:color w:val="231F20"/>
          <w:spacing w:val="-8"/>
        </w:rPr>
        <w:t> </w:t>
      </w:r>
      <w:r>
        <w:rPr>
          <w:color w:val="231F20"/>
        </w:rPr>
        <w:t>to</w:t>
      </w:r>
      <w:r>
        <w:rPr>
          <w:color w:val="231F20"/>
          <w:spacing w:val="-8"/>
        </w:rPr>
        <w:t> </w:t>
      </w:r>
      <w:r>
        <w:rPr>
          <w:color w:val="231F20"/>
        </w:rPr>
        <w:t>comply</w:t>
      </w:r>
      <w:r>
        <w:rPr>
          <w:color w:val="231F20"/>
          <w:spacing w:val="-8"/>
        </w:rPr>
        <w:t> </w:t>
      </w:r>
      <w:r>
        <w:rPr>
          <w:color w:val="231F20"/>
        </w:rPr>
        <w:t>with</w:t>
      </w:r>
      <w:r>
        <w:rPr>
          <w:color w:val="231F20"/>
          <w:spacing w:val="-8"/>
        </w:rPr>
        <w:t> </w:t>
      </w:r>
      <w:r>
        <w:rPr>
          <w:color w:val="231F20"/>
        </w:rPr>
        <w:t>them.</w:t>
      </w:r>
      <w:r>
        <w:rPr>
          <w:color w:val="231F20"/>
          <w:spacing w:val="-8"/>
        </w:rPr>
        <w:t> </w:t>
      </w:r>
      <w:r>
        <w:rPr>
          <w:color w:val="231F20"/>
        </w:rPr>
        <w:t>In</w:t>
      </w:r>
      <w:r>
        <w:rPr>
          <w:color w:val="231F20"/>
          <w:spacing w:val="-8"/>
        </w:rPr>
        <w:t> </w:t>
      </w:r>
      <w:r>
        <w:rPr>
          <w:color w:val="231F20"/>
        </w:rPr>
        <w:t>that</w:t>
      </w:r>
      <w:r>
        <w:rPr>
          <w:color w:val="231F20"/>
          <w:spacing w:val="-8"/>
        </w:rPr>
        <w:t> </w:t>
      </w:r>
      <w:r>
        <w:rPr>
          <w:color w:val="231F20"/>
        </w:rPr>
        <w:t>way,</w:t>
      </w:r>
      <w:r>
        <w:rPr>
          <w:color w:val="231F20"/>
          <w:spacing w:val="-8"/>
        </w:rPr>
        <w:t> </w:t>
      </w:r>
      <w:r>
        <w:rPr>
          <w:color w:val="231F20"/>
        </w:rPr>
        <w:t>regulation simultaneously assists Waste Management and hinders its competi- tors. Stringent regulation creates </w:t>
      </w:r>
      <w:r>
        <w:rPr>
          <w:i/>
          <w:color w:val="231F20"/>
        </w:rPr>
        <w:t>barriers to entry </w:t>
      </w:r>
      <w:r>
        <w:rPr>
          <w:color w:val="231F20"/>
        </w:rPr>
        <w:t>for </w:t>
      </w:r>
      <w:r>
        <w:rPr>
          <w:i/>
          <w:color w:val="231F20"/>
        </w:rPr>
        <w:t>new entrants</w:t>
      </w:r>
      <w:r>
        <w:rPr>
          <w:i/>
          <w:color w:val="231F20"/>
        </w:rPr>
        <w:t> </w:t>
      </w:r>
      <w:r>
        <w:rPr>
          <w:color w:val="231F20"/>
        </w:rPr>
        <w:t>and,</w:t>
      </w:r>
      <w:r>
        <w:rPr>
          <w:color w:val="231F20"/>
          <w:spacing w:val="-5"/>
        </w:rPr>
        <w:t> </w:t>
      </w:r>
      <w:r>
        <w:rPr>
          <w:color w:val="231F20"/>
        </w:rPr>
        <w:t>most</w:t>
      </w:r>
      <w:r>
        <w:rPr>
          <w:color w:val="231F20"/>
          <w:spacing w:val="-5"/>
        </w:rPr>
        <w:t> </w:t>
      </w:r>
      <w:r>
        <w:rPr>
          <w:color w:val="231F20"/>
        </w:rPr>
        <w:t>important,</w:t>
      </w:r>
      <w:r>
        <w:rPr>
          <w:color w:val="231F20"/>
          <w:spacing w:val="-5"/>
        </w:rPr>
        <w:t> </w:t>
      </w:r>
      <w:r>
        <w:rPr>
          <w:color w:val="231F20"/>
        </w:rPr>
        <w:t>increases</w:t>
      </w:r>
      <w:r>
        <w:rPr>
          <w:color w:val="231F20"/>
          <w:spacing w:val="-5"/>
        </w:rPr>
        <w:t> </w:t>
      </w:r>
      <w:r>
        <w:rPr>
          <w:color w:val="231F20"/>
        </w:rPr>
        <w:t>the</w:t>
      </w:r>
      <w:r>
        <w:rPr>
          <w:color w:val="231F20"/>
          <w:spacing w:val="-5"/>
        </w:rPr>
        <w:t> </w:t>
      </w:r>
      <w:r>
        <w:rPr>
          <w:color w:val="231F20"/>
        </w:rPr>
        <w:t>profits</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remaining</w:t>
      </w:r>
      <w:r>
        <w:rPr>
          <w:color w:val="231F20"/>
          <w:spacing w:val="-5"/>
        </w:rPr>
        <w:t> </w:t>
      </w:r>
      <w:r>
        <w:rPr>
          <w:color w:val="231F20"/>
        </w:rPr>
        <w:t>waste</w:t>
      </w:r>
      <w:r>
        <w:rPr>
          <w:color w:val="231F20"/>
          <w:spacing w:val="-5"/>
        </w:rPr>
        <w:t> </w:t>
      </w:r>
      <w:r>
        <w:rPr>
          <w:color w:val="231F20"/>
        </w:rPr>
        <w:t>dis- posal players. Pharmaceutical companies press for the regulation of the</w:t>
      </w:r>
      <w:r>
        <w:rPr>
          <w:color w:val="231F20"/>
          <w:spacing w:val="-7"/>
        </w:rPr>
        <w:t> </w:t>
      </w:r>
      <w:r>
        <w:rPr>
          <w:color w:val="231F20"/>
        </w:rPr>
        <w:t>vitamin</w:t>
      </w:r>
      <w:r>
        <w:rPr>
          <w:color w:val="231F20"/>
          <w:spacing w:val="-7"/>
        </w:rPr>
        <w:t> </w:t>
      </w:r>
      <w:r>
        <w:rPr>
          <w:color w:val="231F20"/>
        </w:rPr>
        <w:t>and</w:t>
      </w:r>
      <w:r>
        <w:rPr>
          <w:color w:val="231F20"/>
          <w:spacing w:val="-7"/>
        </w:rPr>
        <w:t> </w:t>
      </w:r>
      <w:r>
        <w:rPr>
          <w:color w:val="231F20"/>
        </w:rPr>
        <w:t>nutritional-supplement</w:t>
      </w:r>
      <w:r>
        <w:rPr>
          <w:color w:val="231F20"/>
          <w:spacing w:val="-7"/>
        </w:rPr>
        <w:t> </w:t>
      </w:r>
      <w:r>
        <w:rPr>
          <w:color w:val="231F20"/>
        </w:rPr>
        <w:t>industry</w:t>
      </w:r>
      <w:r>
        <w:rPr>
          <w:color w:val="231F20"/>
          <w:spacing w:val="-7"/>
        </w:rPr>
        <w:t> </w:t>
      </w:r>
      <w:r>
        <w:rPr>
          <w:color w:val="231F20"/>
        </w:rPr>
        <w:t>for</w:t>
      </w:r>
      <w:r>
        <w:rPr>
          <w:color w:val="231F20"/>
          <w:spacing w:val="-7"/>
        </w:rPr>
        <w:t> </w:t>
      </w:r>
      <w:r>
        <w:rPr>
          <w:color w:val="231F20"/>
        </w:rPr>
        <w:t>the</w:t>
      </w:r>
      <w:r>
        <w:rPr>
          <w:color w:val="231F20"/>
          <w:spacing w:val="-7"/>
        </w:rPr>
        <w:t> </w:t>
      </w:r>
      <w:r>
        <w:rPr>
          <w:color w:val="231F20"/>
        </w:rPr>
        <w:t>same</w:t>
      </w:r>
      <w:r>
        <w:rPr>
          <w:color w:val="231F20"/>
          <w:spacing w:val="-7"/>
        </w:rPr>
        <w:t> </w:t>
      </w:r>
      <w:r>
        <w:rPr>
          <w:color w:val="231F20"/>
        </w:rPr>
        <w:t>reason.</w:t>
      </w:r>
    </w:p>
    <w:p>
      <w:pPr>
        <w:pStyle w:val="BodyText"/>
        <w:rPr>
          <w:sz w:val="24"/>
        </w:rPr>
      </w:pPr>
    </w:p>
    <w:p>
      <w:pPr>
        <w:pStyle w:val="BodyText"/>
        <w:spacing w:before="5"/>
        <w:rPr>
          <w:sz w:val="24"/>
        </w:rPr>
      </w:pPr>
    </w:p>
    <w:p>
      <w:pPr>
        <w:pStyle w:val="Heading4"/>
        <w:spacing w:before="1"/>
        <w:ind w:left="300"/>
      </w:pPr>
      <w:r>
        <w:rPr>
          <w:color w:val="231F20"/>
          <w:spacing w:val="9"/>
          <w:w w:val="85"/>
        </w:rPr>
        <w:t>GENERIC</w:t>
      </w:r>
      <w:r>
        <w:rPr>
          <w:color w:val="231F20"/>
          <w:spacing w:val="10"/>
        </w:rPr>
        <w:t> </w:t>
      </w:r>
      <w:r>
        <w:rPr>
          <w:color w:val="231F20"/>
          <w:spacing w:val="7"/>
          <w:w w:val="95"/>
        </w:rPr>
        <w:t>STRATEGIES</w:t>
      </w:r>
    </w:p>
    <w:p>
      <w:pPr>
        <w:pStyle w:val="BodyText"/>
        <w:spacing w:before="10"/>
        <w:rPr>
          <w:rFonts w:ascii="Trebuchet MS"/>
          <w:sz w:val="29"/>
        </w:rPr>
      </w:pPr>
    </w:p>
    <w:p>
      <w:pPr>
        <w:pStyle w:val="BodyText"/>
        <w:spacing w:line="292" w:lineRule="auto"/>
        <w:ind w:left="830" w:right="753"/>
        <w:jc w:val="both"/>
      </w:pPr>
      <w:r>
        <w:rPr>
          <w:color w:val="231F20"/>
        </w:rPr>
        <w:t>There are many ways for a company to analyze its competitive chal- lenges.</w:t>
      </w:r>
      <w:r>
        <w:rPr>
          <w:color w:val="231F20"/>
          <w:spacing w:val="55"/>
        </w:rPr>
        <w:t> </w:t>
      </w:r>
      <w:r>
        <w:rPr>
          <w:color w:val="231F20"/>
        </w:rPr>
        <w:t>One</w:t>
      </w:r>
      <w:r>
        <w:rPr>
          <w:color w:val="231F20"/>
          <w:spacing w:val="56"/>
        </w:rPr>
        <w:t> </w:t>
      </w:r>
      <w:r>
        <w:rPr>
          <w:color w:val="231F20"/>
        </w:rPr>
        <w:t>such</w:t>
      </w:r>
      <w:r>
        <w:rPr>
          <w:color w:val="231F20"/>
          <w:spacing w:val="56"/>
        </w:rPr>
        <w:t> </w:t>
      </w:r>
      <w:r>
        <w:rPr>
          <w:color w:val="231F20"/>
        </w:rPr>
        <w:t>way</w:t>
      </w:r>
      <w:r>
        <w:rPr>
          <w:color w:val="231F20"/>
          <w:spacing w:val="56"/>
        </w:rPr>
        <w:t> </w:t>
      </w:r>
      <w:r>
        <w:rPr>
          <w:color w:val="231F20"/>
        </w:rPr>
        <w:t>is</w:t>
      </w:r>
      <w:r>
        <w:rPr>
          <w:color w:val="231F20"/>
          <w:spacing w:val="56"/>
        </w:rPr>
        <w:t> </w:t>
      </w:r>
      <w:r>
        <w:rPr>
          <w:color w:val="231F20"/>
        </w:rPr>
        <w:t>the</w:t>
      </w:r>
      <w:r>
        <w:rPr>
          <w:color w:val="231F20"/>
          <w:spacing w:val="56"/>
        </w:rPr>
        <w:t> </w:t>
      </w:r>
      <w:r>
        <w:rPr>
          <w:color w:val="231F20"/>
        </w:rPr>
        <w:t>Five</w:t>
      </w:r>
      <w:r>
        <w:rPr>
          <w:color w:val="231F20"/>
          <w:spacing w:val="56"/>
        </w:rPr>
        <w:t> </w:t>
      </w:r>
      <w:r>
        <w:rPr>
          <w:color w:val="231F20"/>
        </w:rPr>
        <w:t>Forces</w:t>
      </w:r>
      <w:r>
        <w:rPr>
          <w:color w:val="231F20"/>
          <w:spacing w:val="56"/>
        </w:rPr>
        <w:t> </w:t>
      </w:r>
      <w:r>
        <w:rPr>
          <w:color w:val="231F20"/>
        </w:rPr>
        <w:t>framework</w:t>
      </w:r>
      <w:r>
        <w:rPr>
          <w:color w:val="231F20"/>
          <w:spacing w:val="56"/>
        </w:rPr>
        <w:t> </w:t>
      </w:r>
      <w:r>
        <w:rPr>
          <w:color w:val="231F20"/>
        </w:rPr>
        <w:t>outlined</w:t>
      </w:r>
      <w:r>
        <w:rPr>
          <w:color w:val="231F20"/>
          <w:spacing w:val="56"/>
        </w:rPr>
        <w:t> </w:t>
      </w:r>
      <w:r>
        <w:rPr>
          <w:color w:val="231F20"/>
          <w:spacing w:val="-5"/>
        </w:rPr>
        <w:t>by</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19" w:right="666"/>
        <w:jc w:val="both"/>
      </w:pPr>
      <w:r>
        <w:rPr>
          <w:color w:val="231F20"/>
        </w:rPr>
        <w:t>Porter that we have just discussed. But most options for action </w:t>
      </w:r>
      <w:r>
        <w:rPr>
          <w:color w:val="231F20"/>
        </w:rPr>
        <w:t>fall into what are called </w:t>
      </w:r>
      <w:r>
        <w:rPr>
          <w:i/>
          <w:color w:val="231F20"/>
        </w:rPr>
        <w:t>generic strategies. </w:t>
      </w:r>
      <w:r>
        <w:rPr>
          <w:color w:val="231F20"/>
        </w:rPr>
        <w:t>A generic strategy is one that can be used across many industries, from dish towels to computers. Porter has aptly captured the three major strategies in a matrix of functional and business strategic possibilities:</w:t>
      </w:r>
    </w:p>
    <w:p>
      <w:pPr>
        <w:pStyle w:val="BodyText"/>
        <w:spacing w:before="2"/>
        <w:rPr>
          <w:sz w:val="27"/>
        </w:rPr>
      </w:pPr>
    </w:p>
    <w:p>
      <w:pPr>
        <w:spacing w:line="328" w:lineRule="auto" w:before="0"/>
        <w:ind w:left="1260" w:right="4813" w:firstLine="0"/>
        <w:jc w:val="left"/>
        <w:rPr>
          <w:rFonts w:ascii="Arial"/>
          <w:sz w:val="19"/>
        </w:rPr>
      </w:pPr>
      <w:r>
        <w:rPr>
          <w:rFonts w:ascii="Arial"/>
          <w:color w:val="231F20"/>
          <w:spacing w:val="-4"/>
          <w:w w:val="115"/>
          <w:sz w:val="19"/>
        </w:rPr>
        <w:t>Cost</w:t>
      </w:r>
      <w:r>
        <w:rPr>
          <w:rFonts w:ascii="Arial"/>
          <w:color w:val="231F20"/>
          <w:spacing w:val="-12"/>
          <w:w w:val="115"/>
          <w:sz w:val="19"/>
        </w:rPr>
        <w:t> </w:t>
      </w:r>
      <w:r>
        <w:rPr>
          <w:rFonts w:ascii="Arial"/>
          <w:color w:val="231F20"/>
          <w:spacing w:val="-4"/>
          <w:w w:val="115"/>
          <w:sz w:val="19"/>
        </w:rPr>
        <w:t>Leadership </w:t>
      </w:r>
      <w:r>
        <w:rPr>
          <w:rFonts w:ascii="Arial"/>
          <w:color w:val="231F20"/>
          <w:spacing w:val="-2"/>
          <w:w w:val="115"/>
          <w:sz w:val="19"/>
        </w:rPr>
        <w:t>Differentiation Focus</w:t>
      </w:r>
    </w:p>
    <w:p>
      <w:pPr>
        <w:pStyle w:val="BodyText"/>
        <w:rPr>
          <w:rFonts w:ascii="Arial"/>
          <w:sz w:val="20"/>
        </w:rPr>
      </w:pPr>
    </w:p>
    <w:p>
      <w:pPr>
        <w:pStyle w:val="BodyText"/>
        <w:rPr>
          <w:rFonts w:ascii="Arial"/>
          <w:sz w:val="20"/>
        </w:rPr>
      </w:pPr>
    </w:p>
    <w:p>
      <w:pPr>
        <w:pStyle w:val="Heading6"/>
        <w:spacing w:before="121"/>
        <w:rPr>
          <w:i/>
        </w:rPr>
      </w:pPr>
      <w:r>
        <w:rPr>
          <w:i/>
          <w:color w:val="231F20"/>
          <w:w w:val="110"/>
        </w:rPr>
        <w:t>COST</w:t>
      </w:r>
      <w:r>
        <w:rPr>
          <w:i/>
          <w:color w:val="231F20"/>
          <w:spacing w:val="62"/>
          <w:w w:val="150"/>
        </w:rPr>
        <w:t> </w:t>
      </w:r>
      <w:r>
        <w:rPr>
          <w:i/>
          <w:color w:val="231F20"/>
          <w:w w:val="110"/>
        </w:rPr>
        <w:t>LEADERSHIP</w:t>
      </w:r>
      <w:r>
        <w:rPr>
          <w:i/>
          <w:color w:val="231F20"/>
          <w:spacing w:val="63"/>
          <w:w w:val="150"/>
        </w:rPr>
        <w:t> </w:t>
      </w:r>
      <w:r>
        <w:rPr>
          <w:i/>
          <w:color w:val="231F20"/>
          <w:w w:val="110"/>
        </w:rPr>
        <w:t>AND</w:t>
      </w:r>
      <w:r>
        <w:rPr>
          <w:i/>
          <w:color w:val="231F20"/>
          <w:spacing w:val="63"/>
          <w:w w:val="150"/>
        </w:rPr>
        <w:t> </w:t>
      </w:r>
      <w:r>
        <w:rPr>
          <w:i/>
          <w:color w:val="231F20"/>
          <w:w w:val="110"/>
        </w:rPr>
        <w:t>THE</w:t>
      </w:r>
      <w:r>
        <w:rPr>
          <w:i/>
          <w:color w:val="231F20"/>
          <w:spacing w:val="63"/>
          <w:w w:val="150"/>
        </w:rPr>
        <w:t> </w:t>
      </w:r>
      <w:r>
        <w:rPr>
          <w:i/>
          <w:color w:val="231F20"/>
          <w:w w:val="110"/>
        </w:rPr>
        <w:t>LEARNING</w:t>
      </w:r>
      <w:r>
        <w:rPr>
          <w:i/>
          <w:color w:val="231F20"/>
          <w:spacing w:val="62"/>
          <w:w w:val="150"/>
        </w:rPr>
        <w:t> </w:t>
      </w:r>
      <w:r>
        <w:rPr>
          <w:i/>
          <w:color w:val="231F20"/>
          <w:spacing w:val="7"/>
          <w:w w:val="110"/>
        </w:rPr>
        <w:t>CURVE</w:t>
      </w:r>
    </w:p>
    <w:p>
      <w:pPr>
        <w:pStyle w:val="BodyText"/>
        <w:spacing w:before="2"/>
        <w:rPr>
          <w:b/>
          <w:i/>
          <w:sz w:val="30"/>
        </w:rPr>
      </w:pPr>
    </w:p>
    <w:p>
      <w:pPr>
        <w:pStyle w:val="BodyText"/>
        <w:spacing w:line="292" w:lineRule="auto"/>
        <w:ind w:left="920" w:right="666"/>
        <w:jc w:val="both"/>
      </w:pPr>
      <w:r>
        <w:rPr>
          <w:color w:val="231F20"/>
        </w:rPr>
        <w:t>The simplest strategy is </w:t>
      </w:r>
      <w:r>
        <w:rPr>
          <w:i/>
          <w:color w:val="231F20"/>
        </w:rPr>
        <w:t>cost leadership. </w:t>
      </w:r>
      <w:r>
        <w:rPr>
          <w:color w:val="231F20"/>
        </w:rPr>
        <w:t>By achieving the lowest </w:t>
      </w:r>
      <w:r>
        <w:rPr>
          <w:color w:val="231F20"/>
        </w:rPr>
        <w:t>cost of</w:t>
      </w:r>
      <w:r>
        <w:rPr>
          <w:color w:val="231F20"/>
          <w:spacing w:val="13"/>
        </w:rPr>
        <w:t> </w:t>
      </w:r>
      <w:r>
        <w:rPr>
          <w:color w:val="231F20"/>
        </w:rPr>
        <w:t>production</w:t>
      </w:r>
      <w:r>
        <w:rPr>
          <w:color w:val="231F20"/>
          <w:spacing w:val="14"/>
        </w:rPr>
        <w:t> </w:t>
      </w:r>
      <w:r>
        <w:rPr>
          <w:color w:val="231F20"/>
        </w:rPr>
        <w:t>in</w:t>
      </w:r>
      <w:r>
        <w:rPr>
          <w:color w:val="231F20"/>
          <w:spacing w:val="13"/>
        </w:rPr>
        <w:t> </w:t>
      </w:r>
      <w:r>
        <w:rPr>
          <w:color w:val="231F20"/>
        </w:rPr>
        <w:t>an</w:t>
      </w:r>
      <w:r>
        <w:rPr>
          <w:color w:val="231F20"/>
          <w:spacing w:val="14"/>
        </w:rPr>
        <w:t> </w:t>
      </w:r>
      <w:r>
        <w:rPr>
          <w:color w:val="231F20"/>
        </w:rPr>
        <w:t>industry,</w:t>
      </w:r>
      <w:r>
        <w:rPr>
          <w:color w:val="231F20"/>
          <w:spacing w:val="13"/>
        </w:rPr>
        <w:t> </w:t>
      </w:r>
      <w:r>
        <w:rPr>
          <w:color w:val="231F20"/>
        </w:rPr>
        <w:t>a</w:t>
      </w:r>
      <w:r>
        <w:rPr>
          <w:color w:val="231F20"/>
          <w:spacing w:val="14"/>
        </w:rPr>
        <w:t> </w:t>
      </w:r>
      <w:r>
        <w:rPr>
          <w:color w:val="231F20"/>
        </w:rPr>
        <w:t>company</w:t>
      </w:r>
      <w:r>
        <w:rPr>
          <w:color w:val="231F20"/>
          <w:spacing w:val="14"/>
        </w:rPr>
        <w:t> </w:t>
      </w:r>
      <w:r>
        <w:rPr>
          <w:color w:val="231F20"/>
        </w:rPr>
        <w:t>can</w:t>
      </w:r>
      <w:r>
        <w:rPr>
          <w:color w:val="231F20"/>
          <w:spacing w:val="13"/>
        </w:rPr>
        <w:t> </w:t>
      </w:r>
      <w:r>
        <w:rPr>
          <w:color w:val="231F20"/>
        </w:rPr>
        <w:t>either</w:t>
      </w:r>
      <w:r>
        <w:rPr>
          <w:color w:val="231F20"/>
          <w:spacing w:val="14"/>
        </w:rPr>
        <w:t> </w:t>
      </w:r>
      <w:r>
        <w:rPr>
          <w:color w:val="231F20"/>
        </w:rPr>
        <w:t>reduce</w:t>
      </w:r>
      <w:r>
        <w:rPr>
          <w:color w:val="231F20"/>
          <w:spacing w:val="13"/>
        </w:rPr>
        <w:t> </w:t>
      </w:r>
      <w:r>
        <w:rPr>
          <w:color w:val="231F20"/>
        </w:rPr>
        <w:t>its</w:t>
      </w:r>
      <w:r>
        <w:rPr>
          <w:color w:val="231F20"/>
          <w:spacing w:val="14"/>
        </w:rPr>
        <w:t> </w:t>
      </w:r>
      <w:r>
        <w:rPr>
          <w:color w:val="231F20"/>
          <w:spacing w:val="-2"/>
        </w:rPr>
        <w:t>prices</w:t>
      </w:r>
    </w:p>
    <w:p>
      <w:pPr>
        <w:pStyle w:val="BodyText"/>
        <w:rPr>
          <w:sz w:val="24"/>
        </w:rPr>
      </w:pPr>
    </w:p>
    <w:p>
      <w:pPr>
        <w:pStyle w:val="BodyText"/>
        <w:spacing w:before="11"/>
        <w:rPr>
          <w:sz w:val="26"/>
        </w:rPr>
      </w:pPr>
    </w:p>
    <w:p>
      <w:pPr>
        <w:spacing w:before="0"/>
        <w:ind w:left="473" w:right="219" w:firstLine="0"/>
        <w:jc w:val="center"/>
        <w:rPr>
          <w:rFonts w:ascii="Arial"/>
          <w:sz w:val="14"/>
        </w:rPr>
      </w:pPr>
      <w:r>
        <w:rPr>
          <w:rFonts w:ascii="Arial"/>
          <w:color w:val="231F20"/>
          <w:sz w:val="14"/>
        </w:rPr>
        <w:t>THREE</w:t>
      </w:r>
      <w:r>
        <w:rPr>
          <w:rFonts w:ascii="Arial"/>
          <w:color w:val="231F20"/>
          <w:spacing w:val="42"/>
          <w:sz w:val="14"/>
        </w:rPr>
        <w:t> </w:t>
      </w:r>
      <w:r>
        <w:rPr>
          <w:rFonts w:ascii="Arial"/>
          <w:color w:val="231F20"/>
          <w:sz w:val="14"/>
        </w:rPr>
        <w:t>GENERIC</w:t>
      </w:r>
      <w:r>
        <w:rPr>
          <w:rFonts w:ascii="Arial"/>
          <w:color w:val="231F20"/>
          <w:spacing w:val="42"/>
          <w:sz w:val="14"/>
        </w:rPr>
        <w:t> </w:t>
      </w:r>
      <w:r>
        <w:rPr>
          <w:rFonts w:ascii="Arial"/>
          <w:color w:val="231F20"/>
          <w:spacing w:val="-2"/>
          <w:sz w:val="14"/>
        </w:rPr>
        <w:t>STRATEGIES</w:t>
      </w:r>
    </w:p>
    <w:p>
      <w:pPr>
        <w:pStyle w:val="BodyText"/>
        <w:rPr>
          <w:rFonts w:ascii="Arial"/>
          <w:sz w:val="9"/>
        </w:rPr>
      </w:pPr>
      <w:r>
        <w:rPr/>
        <w:drawing>
          <wp:anchor distT="0" distB="0" distL="0" distR="0" allowOverlap="1" layoutInCell="1" locked="0" behindDoc="0" simplePos="0" relativeHeight="406">
            <wp:simplePos x="0" y="0"/>
            <wp:positionH relativeFrom="page">
              <wp:posOffset>880086</wp:posOffset>
            </wp:positionH>
            <wp:positionV relativeFrom="paragraph">
              <wp:posOffset>81103</wp:posOffset>
            </wp:positionV>
            <wp:extent cx="3803414" cy="2548128"/>
            <wp:effectExtent l="0" t="0" r="0" b="0"/>
            <wp:wrapTopAndBottom/>
            <wp:docPr id="141" name="image81.png"/>
            <wp:cNvGraphicFramePr>
              <a:graphicFrameLocks noChangeAspect="1"/>
            </wp:cNvGraphicFramePr>
            <a:graphic>
              <a:graphicData uri="http://schemas.openxmlformats.org/drawingml/2006/picture">
                <pic:pic>
                  <pic:nvPicPr>
                    <pic:cNvPr id="142" name="image81.png"/>
                    <pic:cNvPicPr/>
                  </pic:nvPicPr>
                  <pic:blipFill>
                    <a:blip r:embed="rId122" cstate="print"/>
                    <a:stretch>
                      <a:fillRect/>
                    </a:stretch>
                  </pic:blipFill>
                  <pic:spPr>
                    <a:xfrm>
                      <a:off x="0" y="0"/>
                      <a:ext cx="3803414" cy="2548128"/>
                    </a:xfrm>
                    <a:prstGeom prst="rect">
                      <a:avLst/>
                    </a:prstGeom>
                  </pic:spPr>
                </pic:pic>
              </a:graphicData>
            </a:graphic>
          </wp:anchor>
        </w:drawing>
      </w:r>
    </w:p>
    <w:p>
      <w:pPr>
        <w:pStyle w:val="BodyText"/>
        <w:rPr>
          <w:rFonts w:ascii="Arial"/>
          <w:sz w:val="14"/>
        </w:rPr>
      </w:pPr>
    </w:p>
    <w:p>
      <w:pPr>
        <w:pStyle w:val="BodyText"/>
        <w:spacing w:before="11"/>
        <w:rPr>
          <w:rFonts w:ascii="Arial"/>
          <w:sz w:val="19"/>
        </w:rPr>
      </w:pPr>
    </w:p>
    <w:p>
      <w:pPr>
        <w:spacing w:line="244" w:lineRule="auto" w:before="0"/>
        <w:ind w:left="920" w:right="666" w:firstLine="0"/>
        <w:jc w:val="both"/>
        <w:rPr>
          <w:sz w:val="20"/>
        </w:rPr>
      </w:pPr>
      <w:r>
        <w:rPr>
          <w:color w:val="231F20"/>
          <w:w w:val="105"/>
          <w:sz w:val="20"/>
        </w:rPr>
        <w:t>Reprinted</w:t>
      </w:r>
      <w:r>
        <w:rPr>
          <w:color w:val="231F20"/>
          <w:spacing w:val="-11"/>
          <w:w w:val="105"/>
          <w:sz w:val="20"/>
        </w:rPr>
        <w:t> </w:t>
      </w:r>
      <w:r>
        <w:rPr>
          <w:color w:val="231F20"/>
          <w:w w:val="105"/>
          <w:sz w:val="20"/>
        </w:rPr>
        <w:t>with</w:t>
      </w:r>
      <w:r>
        <w:rPr>
          <w:color w:val="231F20"/>
          <w:spacing w:val="-11"/>
          <w:w w:val="105"/>
          <w:sz w:val="20"/>
        </w:rPr>
        <w:t> </w:t>
      </w:r>
      <w:r>
        <w:rPr>
          <w:color w:val="231F20"/>
          <w:w w:val="105"/>
          <w:sz w:val="20"/>
        </w:rPr>
        <w:t>the</w:t>
      </w:r>
      <w:r>
        <w:rPr>
          <w:color w:val="231F20"/>
          <w:spacing w:val="-11"/>
          <w:w w:val="105"/>
          <w:sz w:val="20"/>
        </w:rPr>
        <w:t> </w:t>
      </w:r>
      <w:r>
        <w:rPr>
          <w:color w:val="231F20"/>
          <w:w w:val="105"/>
          <w:sz w:val="20"/>
        </w:rPr>
        <w:t>permission</w:t>
      </w:r>
      <w:r>
        <w:rPr>
          <w:color w:val="231F20"/>
          <w:spacing w:val="-11"/>
          <w:w w:val="105"/>
          <w:sz w:val="20"/>
        </w:rPr>
        <w:t> </w:t>
      </w:r>
      <w:r>
        <w:rPr>
          <w:color w:val="231F20"/>
          <w:w w:val="105"/>
          <w:sz w:val="20"/>
        </w:rPr>
        <w:t>of</w:t>
      </w:r>
      <w:r>
        <w:rPr>
          <w:color w:val="231F20"/>
          <w:spacing w:val="-11"/>
          <w:w w:val="105"/>
          <w:sz w:val="20"/>
        </w:rPr>
        <w:t> </w:t>
      </w:r>
      <w:r>
        <w:rPr>
          <w:color w:val="231F20"/>
          <w:w w:val="105"/>
          <w:sz w:val="20"/>
        </w:rPr>
        <w:t>The</w:t>
      </w:r>
      <w:r>
        <w:rPr>
          <w:color w:val="231F20"/>
          <w:spacing w:val="-11"/>
          <w:w w:val="105"/>
          <w:sz w:val="20"/>
        </w:rPr>
        <w:t> </w:t>
      </w:r>
      <w:r>
        <w:rPr>
          <w:color w:val="231F20"/>
          <w:w w:val="105"/>
          <w:sz w:val="20"/>
        </w:rPr>
        <w:t>Free</w:t>
      </w:r>
      <w:r>
        <w:rPr>
          <w:color w:val="231F20"/>
          <w:spacing w:val="-11"/>
          <w:w w:val="105"/>
          <w:sz w:val="20"/>
        </w:rPr>
        <w:t> </w:t>
      </w:r>
      <w:r>
        <w:rPr>
          <w:color w:val="231F20"/>
          <w:w w:val="105"/>
          <w:sz w:val="20"/>
        </w:rPr>
        <w:t>Press,</w:t>
      </w:r>
      <w:r>
        <w:rPr>
          <w:color w:val="231F20"/>
          <w:spacing w:val="-11"/>
          <w:w w:val="105"/>
          <w:sz w:val="20"/>
        </w:rPr>
        <w:t> </w:t>
      </w:r>
      <w:r>
        <w:rPr>
          <w:color w:val="231F20"/>
          <w:w w:val="105"/>
          <w:sz w:val="20"/>
        </w:rPr>
        <w:t>a</w:t>
      </w:r>
      <w:r>
        <w:rPr>
          <w:color w:val="231F20"/>
          <w:spacing w:val="-11"/>
          <w:w w:val="105"/>
          <w:sz w:val="20"/>
        </w:rPr>
        <w:t> </w:t>
      </w:r>
      <w:r>
        <w:rPr>
          <w:color w:val="231F20"/>
          <w:w w:val="105"/>
          <w:sz w:val="20"/>
        </w:rPr>
        <w:t>division</w:t>
      </w:r>
      <w:r>
        <w:rPr>
          <w:color w:val="231F20"/>
          <w:spacing w:val="-11"/>
          <w:w w:val="105"/>
          <w:sz w:val="20"/>
        </w:rPr>
        <w:t> </w:t>
      </w:r>
      <w:r>
        <w:rPr>
          <w:color w:val="231F20"/>
          <w:w w:val="105"/>
          <w:sz w:val="20"/>
        </w:rPr>
        <w:t>of</w:t>
      </w:r>
      <w:r>
        <w:rPr>
          <w:color w:val="231F20"/>
          <w:spacing w:val="-11"/>
          <w:w w:val="105"/>
          <w:sz w:val="20"/>
        </w:rPr>
        <w:t> </w:t>
      </w:r>
      <w:r>
        <w:rPr>
          <w:color w:val="231F20"/>
          <w:w w:val="105"/>
          <w:sz w:val="20"/>
        </w:rPr>
        <w:t>Macmil- lian,</w:t>
      </w:r>
      <w:r>
        <w:rPr>
          <w:color w:val="231F20"/>
          <w:w w:val="105"/>
          <w:sz w:val="20"/>
        </w:rPr>
        <w:t> Inc.,</w:t>
      </w:r>
      <w:r>
        <w:rPr>
          <w:color w:val="231F20"/>
          <w:w w:val="105"/>
          <w:sz w:val="20"/>
        </w:rPr>
        <w:t> from</w:t>
      </w:r>
      <w:r>
        <w:rPr>
          <w:color w:val="231F20"/>
          <w:w w:val="105"/>
          <w:sz w:val="20"/>
        </w:rPr>
        <w:t> </w:t>
      </w:r>
      <w:r>
        <w:rPr>
          <w:i/>
          <w:color w:val="231F20"/>
          <w:w w:val="105"/>
          <w:sz w:val="20"/>
        </w:rPr>
        <w:t>Competitive</w:t>
      </w:r>
      <w:r>
        <w:rPr>
          <w:i/>
          <w:color w:val="231F20"/>
          <w:w w:val="105"/>
          <w:sz w:val="20"/>
        </w:rPr>
        <w:t> Strategy:</w:t>
      </w:r>
      <w:r>
        <w:rPr>
          <w:i/>
          <w:color w:val="231F20"/>
          <w:w w:val="105"/>
          <w:sz w:val="20"/>
        </w:rPr>
        <w:t> Techniques</w:t>
      </w:r>
      <w:r>
        <w:rPr>
          <w:i/>
          <w:color w:val="231F20"/>
          <w:w w:val="105"/>
          <w:sz w:val="20"/>
        </w:rPr>
        <w:t> for</w:t>
      </w:r>
      <w:r>
        <w:rPr>
          <w:i/>
          <w:color w:val="231F20"/>
          <w:w w:val="105"/>
          <w:sz w:val="20"/>
        </w:rPr>
        <w:t> Analyzing</w:t>
      </w:r>
      <w:r>
        <w:rPr>
          <w:i/>
          <w:color w:val="231F20"/>
          <w:w w:val="105"/>
          <w:sz w:val="20"/>
        </w:rPr>
        <w:t> Indus-</w:t>
      </w:r>
      <w:r>
        <w:rPr>
          <w:i/>
          <w:color w:val="231F20"/>
          <w:w w:val="105"/>
          <w:sz w:val="20"/>
        </w:rPr>
        <w:t> tries</w:t>
      </w:r>
      <w:r>
        <w:rPr>
          <w:i/>
          <w:color w:val="231F20"/>
          <w:w w:val="105"/>
          <w:sz w:val="20"/>
        </w:rPr>
        <w:t> and</w:t>
      </w:r>
      <w:r>
        <w:rPr>
          <w:i/>
          <w:color w:val="231F20"/>
          <w:w w:val="105"/>
          <w:sz w:val="20"/>
        </w:rPr>
        <w:t> Competitors</w:t>
      </w:r>
      <w:r>
        <w:rPr>
          <w:i/>
          <w:color w:val="231F20"/>
          <w:w w:val="105"/>
          <w:sz w:val="20"/>
        </w:rPr>
        <w:t> </w:t>
      </w:r>
      <w:r>
        <w:rPr>
          <w:color w:val="231F20"/>
          <w:w w:val="105"/>
          <w:sz w:val="20"/>
        </w:rPr>
        <w:t>by</w:t>
      </w:r>
      <w:r>
        <w:rPr>
          <w:color w:val="231F20"/>
          <w:w w:val="105"/>
          <w:sz w:val="20"/>
        </w:rPr>
        <w:t> Michael</w:t>
      </w:r>
      <w:r>
        <w:rPr>
          <w:color w:val="231F20"/>
          <w:w w:val="105"/>
          <w:sz w:val="20"/>
        </w:rPr>
        <w:t> E.</w:t>
      </w:r>
      <w:r>
        <w:rPr>
          <w:color w:val="231F20"/>
          <w:w w:val="105"/>
          <w:sz w:val="20"/>
        </w:rPr>
        <w:t> Porter.</w:t>
      </w:r>
      <w:r>
        <w:rPr>
          <w:color w:val="231F20"/>
          <w:w w:val="105"/>
          <w:sz w:val="20"/>
        </w:rPr>
        <w:t> Copyright</w:t>
      </w:r>
      <w:r>
        <w:rPr>
          <w:color w:val="231F20"/>
          <w:w w:val="105"/>
          <w:sz w:val="20"/>
        </w:rPr>
        <w:t> ©</w:t>
      </w:r>
      <w:r>
        <w:rPr>
          <w:color w:val="231F20"/>
          <w:w w:val="105"/>
          <w:sz w:val="20"/>
        </w:rPr>
        <w:t> 1980</w:t>
      </w:r>
      <w:r>
        <w:rPr>
          <w:color w:val="231F20"/>
          <w:w w:val="105"/>
          <w:sz w:val="20"/>
        </w:rPr>
        <w:t> by</w:t>
      </w:r>
      <w:r>
        <w:rPr>
          <w:color w:val="231F20"/>
          <w:w w:val="105"/>
          <w:sz w:val="20"/>
        </w:rPr>
        <w:t> The Free Press.</w:t>
      </w:r>
    </w:p>
    <w:p>
      <w:pPr>
        <w:spacing w:after="0" w:line="244" w:lineRule="auto"/>
        <w:jc w:val="both"/>
        <w:rPr>
          <w:sz w:val="20"/>
        </w:rPr>
        <w:sectPr>
          <w:pgSz w:w="8640" w:h="12960"/>
          <w:pgMar w:header="734" w:footer="0" w:top="920" w:bottom="280" w:left="340" w:right="500"/>
        </w:sectPr>
      </w:pPr>
    </w:p>
    <w:p>
      <w:pPr>
        <w:pStyle w:val="BodyText"/>
        <w:spacing w:before="10"/>
        <w:rPr>
          <w:sz w:val="17"/>
        </w:rPr>
      </w:pPr>
    </w:p>
    <w:p>
      <w:pPr>
        <w:pStyle w:val="BodyText"/>
        <w:spacing w:line="292" w:lineRule="auto" w:before="102"/>
        <w:ind w:left="829" w:right="756"/>
        <w:jc w:val="right"/>
      </w:pPr>
      <w:r>
        <w:rPr>
          <w:color w:val="231F20"/>
        </w:rPr>
        <w:t>or</w:t>
      </w:r>
      <w:r>
        <w:rPr>
          <w:color w:val="231F20"/>
          <w:spacing w:val="-6"/>
        </w:rPr>
        <w:t> </w:t>
      </w:r>
      <w:r>
        <w:rPr>
          <w:color w:val="231F20"/>
        </w:rPr>
        <w:t>keep</w:t>
      </w:r>
      <w:r>
        <w:rPr>
          <w:color w:val="231F20"/>
          <w:spacing w:val="-6"/>
        </w:rPr>
        <w:t> </w:t>
      </w:r>
      <w:r>
        <w:rPr>
          <w:color w:val="231F20"/>
        </w:rPr>
        <w:t>the</w:t>
      </w:r>
      <w:r>
        <w:rPr>
          <w:color w:val="231F20"/>
          <w:spacing w:val="-6"/>
        </w:rPr>
        <w:t> </w:t>
      </w:r>
      <w:r>
        <w:rPr>
          <w:color w:val="231F20"/>
        </w:rPr>
        <w:t>increased</w:t>
      </w:r>
      <w:r>
        <w:rPr>
          <w:color w:val="231F20"/>
          <w:spacing w:val="-6"/>
        </w:rPr>
        <w:t> </w:t>
      </w:r>
      <w:r>
        <w:rPr>
          <w:color w:val="231F20"/>
        </w:rPr>
        <w:t>profits</w:t>
      </w:r>
      <w:r>
        <w:rPr>
          <w:color w:val="231F20"/>
          <w:spacing w:val="-6"/>
        </w:rPr>
        <w:t> </w:t>
      </w:r>
      <w:r>
        <w:rPr>
          <w:color w:val="231F20"/>
        </w:rPr>
        <w:t>to</w:t>
      </w:r>
      <w:r>
        <w:rPr>
          <w:color w:val="231F20"/>
          <w:spacing w:val="-6"/>
        </w:rPr>
        <w:t> </w:t>
      </w:r>
      <w:r>
        <w:rPr>
          <w:color w:val="231F20"/>
        </w:rPr>
        <w:t>invest</w:t>
      </w:r>
      <w:r>
        <w:rPr>
          <w:color w:val="231F20"/>
          <w:spacing w:val="-6"/>
        </w:rPr>
        <w:t> </w:t>
      </w:r>
      <w:r>
        <w:rPr>
          <w:color w:val="231F20"/>
        </w:rPr>
        <w:t>in</w:t>
      </w:r>
      <w:r>
        <w:rPr>
          <w:color w:val="231F20"/>
          <w:spacing w:val="-6"/>
        </w:rPr>
        <w:t> </w:t>
      </w:r>
      <w:r>
        <w:rPr>
          <w:color w:val="231F20"/>
        </w:rPr>
        <w:t>research</w:t>
      </w:r>
      <w:r>
        <w:rPr>
          <w:color w:val="231F20"/>
          <w:spacing w:val="-6"/>
        </w:rPr>
        <w:t> </w:t>
      </w:r>
      <w:r>
        <w:rPr>
          <w:color w:val="231F20"/>
        </w:rPr>
        <w:t>to</w:t>
      </w:r>
      <w:r>
        <w:rPr>
          <w:color w:val="231F20"/>
          <w:spacing w:val="-6"/>
        </w:rPr>
        <w:t> </w:t>
      </w:r>
      <w:r>
        <w:rPr>
          <w:color w:val="231F20"/>
        </w:rPr>
        <w:t>develop</w:t>
      </w:r>
      <w:r>
        <w:rPr>
          <w:color w:val="231F20"/>
          <w:spacing w:val="-6"/>
        </w:rPr>
        <w:t> </w:t>
      </w:r>
      <w:r>
        <w:rPr>
          <w:color w:val="231F20"/>
        </w:rPr>
        <w:t>new</w:t>
      </w:r>
      <w:r>
        <w:rPr>
          <w:color w:val="231F20"/>
          <w:spacing w:val="-6"/>
        </w:rPr>
        <w:t> </w:t>
      </w:r>
      <w:r>
        <w:rPr>
          <w:color w:val="231F20"/>
        </w:rPr>
        <w:t>and better</w:t>
      </w:r>
      <w:r>
        <w:rPr>
          <w:color w:val="231F20"/>
          <w:spacing w:val="34"/>
        </w:rPr>
        <w:t> </w:t>
      </w:r>
      <w:r>
        <w:rPr>
          <w:color w:val="231F20"/>
        </w:rPr>
        <w:t>products.</w:t>
      </w:r>
      <w:r>
        <w:rPr>
          <w:color w:val="231F20"/>
          <w:spacing w:val="34"/>
        </w:rPr>
        <w:t> </w:t>
      </w:r>
      <w:r>
        <w:rPr>
          <w:i/>
          <w:color w:val="231F20"/>
        </w:rPr>
        <w:t>Low-cost</w:t>
      </w:r>
      <w:r>
        <w:rPr>
          <w:i/>
          <w:color w:val="231F20"/>
          <w:spacing w:val="34"/>
        </w:rPr>
        <w:t> </w:t>
      </w:r>
      <w:r>
        <w:rPr>
          <w:i/>
          <w:color w:val="231F20"/>
        </w:rPr>
        <w:t>producers</w:t>
      </w:r>
      <w:r>
        <w:rPr>
          <w:i/>
          <w:color w:val="231F20"/>
          <w:spacing w:val="34"/>
        </w:rPr>
        <w:t> </w:t>
      </w:r>
      <w:r>
        <w:rPr>
          <w:color w:val="231F20"/>
        </w:rPr>
        <w:t>(LCPs)</w:t>
      </w:r>
      <w:r>
        <w:rPr>
          <w:color w:val="231F20"/>
          <w:spacing w:val="34"/>
        </w:rPr>
        <w:t> </w:t>
      </w:r>
      <w:r>
        <w:rPr>
          <w:color w:val="231F20"/>
        </w:rPr>
        <w:t>can</w:t>
      </w:r>
      <w:r>
        <w:rPr>
          <w:color w:val="231F20"/>
          <w:spacing w:val="34"/>
        </w:rPr>
        <w:t> </w:t>
      </w:r>
      <w:r>
        <w:rPr>
          <w:color w:val="231F20"/>
        </w:rPr>
        <w:t>also</w:t>
      </w:r>
      <w:r>
        <w:rPr>
          <w:color w:val="231F20"/>
          <w:spacing w:val="34"/>
        </w:rPr>
        <w:t> </w:t>
      </w:r>
      <w:r>
        <w:rPr>
          <w:color w:val="231F20"/>
        </w:rPr>
        <w:t>choose</w:t>
      </w:r>
      <w:r>
        <w:rPr>
          <w:color w:val="231F20"/>
          <w:spacing w:val="34"/>
        </w:rPr>
        <w:t> </w:t>
      </w:r>
      <w:r>
        <w:rPr>
          <w:color w:val="231F20"/>
        </w:rPr>
        <w:t>to</w:t>
      </w:r>
      <w:r>
        <w:rPr>
          <w:color w:val="231F20"/>
          <w:spacing w:val="34"/>
        </w:rPr>
        <w:t> </w:t>
      </w:r>
      <w:r>
        <w:rPr>
          <w:color w:val="231F20"/>
        </w:rPr>
        <w:t>use their profits to advertise and market their products more vigorously. An operations concept related to cost leadership is </w:t>
      </w:r>
      <w:r>
        <w:rPr>
          <w:i/>
          <w:color w:val="231F20"/>
        </w:rPr>
        <w:t>economies of</w:t>
      </w:r>
      <w:r>
        <w:rPr>
          <w:i/>
          <w:color w:val="231F20"/>
          <w:spacing w:val="40"/>
        </w:rPr>
        <w:t> </w:t>
      </w:r>
      <w:r>
        <w:rPr>
          <w:i/>
          <w:color w:val="231F20"/>
        </w:rPr>
        <w:t>scale. </w:t>
      </w:r>
      <w:r>
        <w:rPr>
          <w:color w:val="231F20"/>
        </w:rPr>
        <w:t>This means that as one produces more, costs per unit fall. As</w:t>
      </w:r>
      <w:r>
        <w:rPr>
          <w:color w:val="231F20"/>
          <w:spacing w:val="80"/>
          <w:w w:val="150"/>
        </w:rPr>
        <w:t> </w:t>
      </w:r>
      <w:r>
        <w:rPr>
          <w:color w:val="231F20"/>
        </w:rPr>
        <w:t>factories</w:t>
      </w:r>
      <w:r>
        <w:rPr>
          <w:color w:val="231F20"/>
          <w:spacing w:val="5"/>
        </w:rPr>
        <w:t> </w:t>
      </w:r>
      <w:r>
        <w:rPr>
          <w:color w:val="231F20"/>
        </w:rPr>
        <w:t>produce</w:t>
      </w:r>
      <w:r>
        <w:rPr>
          <w:color w:val="231F20"/>
          <w:spacing w:val="5"/>
        </w:rPr>
        <w:t> </w:t>
      </w:r>
      <w:r>
        <w:rPr>
          <w:color w:val="231F20"/>
        </w:rPr>
        <w:t>more,</w:t>
      </w:r>
      <w:r>
        <w:rPr>
          <w:color w:val="231F20"/>
          <w:spacing w:val="4"/>
        </w:rPr>
        <w:t> </w:t>
      </w:r>
      <w:r>
        <w:rPr>
          <w:color w:val="231F20"/>
        </w:rPr>
        <w:t>they</w:t>
      </w:r>
      <w:r>
        <w:rPr>
          <w:color w:val="231F20"/>
          <w:spacing w:val="5"/>
        </w:rPr>
        <w:t> </w:t>
      </w:r>
      <w:r>
        <w:rPr>
          <w:color w:val="231F20"/>
        </w:rPr>
        <w:t>learn</w:t>
      </w:r>
      <w:r>
        <w:rPr>
          <w:color w:val="231F20"/>
          <w:spacing w:val="5"/>
        </w:rPr>
        <w:t> </w:t>
      </w:r>
      <w:r>
        <w:rPr>
          <w:color w:val="231F20"/>
        </w:rPr>
        <w:t>and</w:t>
      </w:r>
      <w:r>
        <w:rPr>
          <w:color w:val="231F20"/>
          <w:spacing w:val="5"/>
        </w:rPr>
        <w:t> </w:t>
      </w:r>
      <w:r>
        <w:rPr>
          <w:color w:val="231F20"/>
        </w:rPr>
        <w:t>become</w:t>
      </w:r>
      <w:r>
        <w:rPr>
          <w:color w:val="231F20"/>
          <w:spacing w:val="5"/>
        </w:rPr>
        <w:t> </w:t>
      </w:r>
      <w:r>
        <w:rPr>
          <w:color w:val="231F20"/>
        </w:rPr>
        <w:t>more</w:t>
      </w:r>
      <w:r>
        <w:rPr>
          <w:color w:val="231F20"/>
          <w:spacing w:val="5"/>
        </w:rPr>
        <w:t> </w:t>
      </w:r>
      <w:r>
        <w:rPr>
          <w:color w:val="231F20"/>
        </w:rPr>
        <w:t>efficient</w:t>
      </w:r>
      <w:r>
        <w:rPr>
          <w:color w:val="231F20"/>
          <w:spacing w:val="5"/>
        </w:rPr>
        <w:t> </w:t>
      </w:r>
      <w:r>
        <w:rPr>
          <w:color w:val="231F20"/>
        </w:rPr>
        <w:t>in</w:t>
      </w:r>
      <w:r>
        <w:rPr>
          <w:color w:val="231F20"/>
          <w:spacing w:val="5"/>
        </w:rPr>
        <w:t> </w:t>
      </w:r>
      <w:r>
        <w:rPr>
          <w:color w:val="231F20"/>
          <w:spacing w:val="-4"/>
        </w:rPr>
        <w:t>sev-</w:t>
      </w:r>
    </w:p>
    <w:p>
      <w:pPr>
        <w:pStyle w:val="BodyText"/>
        <w:spacing w:line="244" w:lineRule="exact"/>
        <w:ind w:left="69" w:right="5289"/>
        <w:jc w:val="center"/>
      </w:pPr>
      <w:r>
        <w:rPr>
          <w:color w:val="231F20"/>
        </w:rPr>
        <w:t>eral </w:t>
      </w:r>
      <w:r>
        <w:rPr>
          <w:color w:val="231F20"/>
          <w:spacing w:val="-2"/>
        </w:rPr>
        <w:t>ways.</w:t>
      </w:r>
    </w:p>
    <w:p>
      <w:pPr>
        <w:pStyle w:val="BodyText"/>
        <w:spacing w:before="53"/>
        <w:ind w:left="1169"/>
      </w:pPr>
      <w:r>
        <w:rPr>
          <w:color w:val="231F20"/>
        </w:rPr>
        <w:t>These</w:t>
      </w:r>
      <w:r>
        <w:rPr>
          <w:color w:val="231F20"/>
          <w:spacing w:val="15"/>
        </w:rPr>
        <w:t> </w:t>
      </w:r>
      <w:r>
        <w:rPr>
          <w:color w:val="231F20"/>
        </w:rPr>
        <w:t>“learning”</w:t>
      </w:r>
      <w:r>
        <w:rPr>
          <w:color w:val="231F20"/>
          <w:spacing w:val="16"/>
        </w:rPr>
        <w:t> </w:t>
      </w:r>
      <w:r>
        <w:rPr>
          <w:color w:val="231F20"/>
        </w:rPr>
        <w:t>efficiencies</w:t>
      </w:r>
      <w:r>
        <w:rPr>
          <w:color w:val="231F20"/>
          <w:spacing w:val="16"/>
        </w:rPr>
        <w:t> </w:t>
      </w:r>
      <w:r>
        <w:rPr>
          <w:color w:val="231F20"/>
        </w:rPr>
        <w:t>can</w:t>
      </w:r>
      <w:r>
        <w:rPr>
          <w:color w:val="231F20"/>
          <w:spacing w:val="16"/>
        </w:rPr>
        <w:t> </w:t>
      </w:r>
      <w:r>
        <w:rPr>
          <w:color w:val="231F20"/>
        </w:rPr>
        <w:t>come</w:t>
      </w:r>
      <w:r>
        <w:rPr>
          <w:color w:val="231F20"/>
          <w:spacing w:val="16"/>
        </w:rPr>
        <w:t> </w:t>
      </w:r>
      <w:r>
        <w:rPr>
          <w:color w:val="231F20"/>
        </w:rPr>
        <w:t>from</w:t>
      </w:r>
      <w:r>
        <w:rPr>
          <w:color w:val="231F20"/>
          <w:spacing w:val="15"/>
        </w:rPr>
        <w:t> </w:t>
      </w:r>
      <w:r>
        <w:rPr>
          <w:color w:val="231F20"/>
        </w:rPr>
        <w:t>six</w:t>
      </w:r>
      <w:r>
        <w:rPr>
          <w:color w:val="231F20"/>
          <w:spacing w:val="16"/>
        </w:rPr>
        <w:t> </w:t>
      </w:r>
      <w:r>
        <w:rPr>
          <w:color w:val="231F20"/>
          <w:spacing w:val="-2"/>
        </w:rPr>
        <w:t>sources:</w:t>
      </w:r>
    </w:p>
    <w:p>
      <w:pPr>
        <w:pStyle w:val="BodyText"/>
        <w:rPr>
          <w:sz w:val="32"/>
        </w:rPr>
      </w:pPr>
    </w:p>
    <w:p>
      <w:pPr>
        <w:spacing w:before="0"/>
        <w:ind w:left="1170" w:right="0" w:firstLine="0"/>
        <w:jc w:val="left"/>
        <w:rPr>
          <w:rFonts w:ascii="Arial" w:hAnsi="Arial"/>
          <w:sz w:val="19"/>
        </w:rPr>
      </w:pPr>
      <w:r>
        <w:rPr>
          <w:rFonts w:ascii="Arial" w:hAnsi="Arial"/>
          <w:i/>
          <w:color w:val="231F20"/>
          <w:spacing w:val="-2"/>
          <w:w w:val="115"/>
          <w:sz w:val="19"/>
        </w:rPr>
        <w:t>Labor</w:t>
      </w:r>
      <w:r>
        <w:rPr>
          <w:rFonts w:ascii="Arial" w:hAnsi="Arial"/>
          <w:i/>
          <w:color w:val="231F20"/>
          <w:w w:val="115"/>
          <w:sz w:val="19"/>
        </w:rPr>
        <w:t> </w:t>
      </w:r>
      <w:r>
        <w:rPr>
          <w:rFonts w:ascii="Arial" w:hAnsi="Arial"/>
          <w:i/>
          <w:color w:val="231F20"/>
          <w:spacing w:val="-2"/>
          <w:w w:val="115"/>
          <w:sz w:val="19"/>
        </w:rPr>
        <w:t>Efficiency</w:t>
      </w:r>
      <w:r>
        <w:rPr>
          <w:rFonts w:ascii="Arial" w:hAnsi="Arial"/>
          <w:i/>
          <w:color w:val="231F20"/>
          <w:spacing w:val="-41"/>
          <w:w w:val="115"/>
          <w:sz w:val="19"/>
        </w:rPr>
        <w:t> </w:t>
      </w:r>
      <w:r>
        <w:rPr>
          <w:rFonts w:ascii="Arial" w:hAnsi="Arial"/>
          <w:color w:val="231F20"/>
          <w:spacing w:val="-2"/>
          <w:w w:val="115"/>
          <w:sz w:val="19"/>
        </w:rPr>
        <w:t>—</w:t>
      </w:r>
      <w:r>
        <w:rPr>
          <w:rFonts w:ascii="Arial" w:hAnsi="Arial"/>
          <w:color w:val="231F20"/>
          <w:spacing w:val="-41"/>
          <w:w w:val="115"/>
          <w:sz w:val="19"/>
        </w:rPr>
        <w:t> </w:t>
      </w:r>
      <w:r>
        <w:rPr>
          <w:rFonts w:ascii="Arial" w:hAnsi="Arial"/>
          <w:color w:val="231F20"/>
          <w:spacing w:val="-2"/>
          <w:w w:val="115"/>
          <w:sz w:val="19"/>
        </w:rPr>
        <w:t>Learning</w:t>
      </w:r>
      <w:r>
        <w:rPr>
          <w:rFonts w:ascii="Arial" w:hAnsi="Arial"/>
          <w:color w:val="231F20"/>
          <w:spacing w:val="1"/>
          <w:w w:val="115"/>
          <w:sz w:val="19"/>
        </w:rPr>
        <w:t> </w:t>
      </w:r>
      <w:r>
        <w:rPr>
          <w:rFonts w:ascii="Arial" w:hAnsi="Arial"/>
          <w:color w:val="231F20"/>
          <w:spacing w:val="-2"/>
          <w:w w:val="115"/>
          <w:sz w:val="19"/>
        </w:rPr>
        <w:t>through</w:t>
      </w:r>
      <w:r>
        <w:rPr>
          <w:rFonts w:ascii="Arial" w:hAnsi="Arial"/>
          <w:color w:val="231F20"/>
          <w:w w:val="115"/>
          <w:sz w:val="19"/>
        </w:rPr>
        <w:t> </w:t>
      </w:r>
      <w:r>
        <w:rPr>
          <w:rFonts w:ascii="Arial" w:hAnsi="Arial"/>
          <w:color w:val="231F20"/>
          <w:spacing w:val="-2"/>
          <w:w w:val="115"/>
          <w:sz w:val="19"/>
        </w:rPr>
        <w:t>repetition</w:t>
      </w:r>
      <w:r>
        <w:rPr>
          <w:rFonts w:ascii="Arial" w:hAnsi="Arial"/>
          <w:color w:val="231F20"/>
          <w:spacing w:val="1"/>
          <w:w w:val="115"/>
          <w:sz w:val="19"/>
        </w:rPr>
        <w:t> </w:t>
      </w:r>
      <w:r>
        <w:rPr>
          <w:rFonts w:ascii="Arial" w:hAnsi="Arial"/>
          <w:color w:val="231F20"/>
          <w:spacing w:val="-2"/>
          <w:w w:val="115"/>
          <w:sz w:val="19"/>
        </w:rPr>
        <w:t>or</w:t>
      </w:r>
      <w:r>
        <w:rPr>
          <w:rFonts w:ascii="Arial" w:hAnsi="Arial"/>
          <w:color w:val="231F20"/>
          <w:w w:val="115"/>
          <w:sz w:val="19"/>
        </w:rPr>
        <w:t> </w:t>
      </w:r>
      <w:r>
        <w:rPr>
          <w:rFonts w:ascii="Arial" w:hAnsi="Arial"/>
          <w:color w:val="231F20"/>
          <w:spacing w:val="-2"/>
          <w:w w:val="115"/>
          <w:sz w:val="19"/>
        </w:rPr>
        <w:t>automation.</w:t>
      </w:r>
    </w:p>
    <w:p>
      <w:pPr>
        <w:spacing w:line="328" w:lineRule="auto" w:before="82"/>
        <w:ind w:left="1510" w:right="1262" w:firstLine="0"/>
        <w:jc w:val="left"/>
        <w:rPr>
          <w:rFonts w:ascii="Arial"/>
          <w:sz w:val="19"/>
        </w:rPr>
      </w:pPr>
      <w:r>
        <w:rPr>
          <w:rFonts w:ascii="Arial"/>
          <w:color w:val="231F20"/>
          <w:w w:val="115"/>
          <w:sz w:val="19"/>
        </w:rPr>
        <w:t>Tremendous</w:t>
      </w:r>
      <w:r>
        <w:rPr>
          <w:rFonts w:ascii="Arial"/>
          <w:color w:val="231F20"/>
          <w:spacing w:val="-11"/>
          <w:w w:val="115"/>
          <w:sz w:val="19"/>
        </w:rPr>
        <w:t> </w:t>
      </w:r>
      <w:r>
        <w:rPr>
          <w:rFonts w:ascii="Arial"/>
          <w:color w:val="231F20"/>
          <w:w w:val="115"/>
          <w:sz w:val="19"/>
        </w:rPr>
        <w:t>progress</w:t>
      </w:r>
      <w:r>
        <w:rPr>
          <w:rFonts w:ascii="Arial"/>
          <w:color w:val="231F20"/>
          <w:spacing w:val="-11"/>
          <w:w w:val="115"/>
          <w:sz w:val="19"/>
        </w:rPr>
        <w:t> </w:t>
      </w:r>
      <w:r>
        <w:rPr>
          <w:rFonts w:ascii="Arial"/>
          <w:color w:val="231F20"/>
          <w:w w:val="115"/>
          <w:sz w:val="19"/>
        </w:rPr>
        <w:t>has</w:t>
      </w:r>
      <w:r>
        <w:rPr>
          <w:rFonts w:ascii="Arial"/>
          <w:color w:val="231F20"/>
          <w:spacing w:val="-11"/>
          <w:w w:val="115"/>
          <w:sz w:val="19"/>
        </w:rPr>
        <w:t> </w:t>
      </w:r>
      <w:r>
        <w:rPr>
          <w:rFonts w:ascii="Arial"/>
          <w:color w:val="231F20"/>
          <w:w w:val="115"/>
          <w:sz w:val="19"/>
        </w:rPr>
        <w:t>been</w:t>
      </w:r>
      <w:r>
        <w:rPr>
          <w:rFonts w:ascii="Arial"/>
          <w:color w:val="231F20"/>
          <w:spacing w:val="-11"/>
          <w:w w:val="115"/>
          <w:sz w:val="19"/>
        </w:rPr>
        <w:t> </w:t>
      </w:r>
      <w:r>
        <w:rPr>
          <w:rFonts w:ascii="Arial"/>
          <w:color w:val="231F20"/>
          <w:w w:val="115"/>
          <w:sz w:val="19"/>
        </w:rPr>
        <w:t>made</w:t>
      </w:r>
      <w:r>
        <w:rPr>
          <w:rFonts w:ascii="Arial"/>
          <w:color w:val="231F20"/>
          <w:spacing w:val="-11"/>
          <w:w w:val="115"/>
          <w:sz w:val="19"/>
        </w:rPr>
        <w:t> </w:t>
      </w:r>
      <w:r>
        <w:rPr>
          <w:rFonts w:ascii="Arial"/>
          <w:color w:val="231F20"/>
          <w:w w:val="115"/>
          <w:sz w:val="19"/>
        </w:rPr>
        <w:t>in</w:t>
      </w:r>
      <w:r>
        <w:rPr>
          <w:rFonts w:ascii="Arial"/>
          <w:color w:val="231F20"/>
          <w:spacing w:val="-11"/>
          <w:w w:val="115"/>
          <w:sz w:val="19"/>
        </w:rPr>
        <w:t> </w:t>
      </w:r>
      <w:r>
        <w:rPr>
          <w:rFonts w:ascii="Arial"/>
          <w:color w:val="231F20"/>
          <w:w w:val="115"/>
          <w:sz w:val="19"/>
        </w:rPr>
        <w:t>factory automation</w:t>
      </w:r>
      <w:r>
        <w:rPr>
          <w:rFonts w:ascii="Arial"/>
          <w:color w:val="231F20"/>
          <w:spacing w:val="-8"/>
          <w:w w:val="115"/>
          <w:sz w:val="19"/>
        </w:rPr>
        <w:t> </w:t>
      </w:r>
      <w:r>
        <w:rPr>
          <w:rFonts w:ascii="Arial"/>
          <w:color w:val="231F20"/>
          <w:w w:val="115"/>
          <w:sz w:val="19"/>
        </w:rPr>
        <w:t>by</w:t>
      </w:r>
      <w:r>
        <w:rPr>
          <w:rFonts w:ascii="Arial"/>
          <w:color w:val="231F20"/>
          <w:spacing w:val="-8"/>
          <w:w w:val="115"/>
          <w:sz w:val="19"/>
        </w:rPr>
        <w:t> </w:t>
      </w:r>
      <w:r>
        <w:rPr>
          <w:rFonts w:ascii="Arial"/>
          <w:color w:val="231F20"/>
          <w:w w:val="115"/>
          <w:sz w:val="19"/>
        </w:rPr>
        <w:t>using</w:t>
      </w:r>
      <w:r>
        <w:rPr>
          <w:rFonts w:ascii="Arial"/>
          <w:color w:val="231F20"/>
          <w:spacing w:val="-8"/>
          <w:w w:val="115"/>
          <w:sz w:val="19"/>
        </w:rPr>
        <w:t> </w:t>
      </w:r>
      <w:r>
        <w:rPr>
          <w:rFonts w:ascii="Arial"/>
          <w:color w:val="231F20"/>
          <w:w w:val="115"/>
          <w:sz w:val="19"/>
        </w:rPr>
        <w:t>robots</w:t>
      </w:r>
      <w:r>
        <w:rPr>
          <w:rFonts w:ascii="Arial"/>
          <w:color w:val="231F20"/>
          <w:spacing w:val="-8"/>
          <w:w w:val="115"/>
          <w:sz w:val="19"/>
        </w:rPr>
        <w:t> </w:t>
      </w:r>
      <w:r>
        <w:rPr>
          <w:rFonts w:ascii="Arial"/>
          <w:color w:val="231F20"/>
          <w:w w:val="115"/>
          <w:sz w:val="19"/>
        </w:rPr>
        <w:t>and</w:t>
      </w:r>
      <w:r>
        <w:rPr>
          <w:rFonts w:ascii="Arial"/>
          <w:color w:val="231F20"/>
          <w:spacing w:val="-8"/>
          <w:w w:val="115"/>
          <w:sz w:val="19"/>
        </w:rPr>
        <w:t> </w:t>
      </w:r>
      <w:r>
        <w:rPr>
          <w:rFonts w:ascii="Arial"/>
          <w:color w:val="231F20"/>
          <w:w w:val="115"/>
          <w:sz w:val="19"/>
        </w:rPr>
        <w:t>computer-aided manufacturing (CAM).</w:t>
      </w:r>
    </w:p>
    <w:p>
      <w:pPr>
        <w:spacing w:line="328" w:lineRule="auto" w:before="2"/>
        <w:ind w:left="1509" w:right="728" w:hanging="340"/>
        <w:jc w:val="left"/>
        <w:rPr>
          <w:rFonts w:ascii="Arial" w:hAnsi="Arial"/>
          <w:sz w:val="19"/>
        </w:rPr>
      </w:pPr>
      <w:r>
        <w:rPr>
          <w:rFonts w:ascii="Arial" w:hAnsi="Arial"/>
          <w:i/>
          <w:color w:val="231F20"/>
          <w:w w:val="110"/>
          <w:sz w:val="19"/>
        </w:rPr>
        <w:t>New Processes and Improved Methods</w:t>
      </w:r>
      <w:r>
        <w:rPr>
          <w:rFonts w:ascii="Arial" w:hAnsi="Arial"/>
          <w:i/>
          <w:color w:val="231F20"/>
          <w:spacing w:val="-40"/>
          <w:w w:val="110"/>
          <w:sz w:val="19"/>
        </w:rPr>
        <w:t> </w:t>
      </w:r>
      <w:r>
        <w:rPr>
          <w:rFonts w:ascii="Arial" w:hAnsi="Arial"/>
          <w:color w:val="231F20"/>
          <w:w w:val="110"/>
          <w:sz w:val="19"/>
        </w:rPr>
        <w:t>—</w:t>
      </w:r>
      <w:r>
        <w:rPr>
          <w:rFonts w:ascii="Arial" w:hAnsi="Arial"/>
          <w:color w:val="231F20"/>
          <w:spacing w:val="-39"/>
          <w:w w:val="110"/>
          <w:sz w:val="19"/>
        </w:rPr>
        <w:t> </w:t>
      </w:r>
      <w:r>
        <w:rPr>
          <w:rFonts w:ascii="Arial" w:hAnsi="Arial"/>
          <w:color w:val="231F20"/>
          <w:w w:val="110"/>
          <w:sz w:val="19"/>
        </w:rPr>
        <w:t>Less costly ways to </w:t>
      </w:r>
      <w:r>
        <w:rPr>
          <w:rFonts w:ascii="Arial" w:hAnsi="Arial"/>
          <w:color w:val="231F20"/>
          <w:w w:val="115"/>
          <w:sz w:val="19"/>
        </w:rPr>
        <w:t>do the same task</w:t>
      </w:r>
    </w:p>
    <w:p>
      <w:pPr>
        <w:spacing w:line="328" w:lineRule="auto" w:before="1"/>
        <w:ind w:left="1509" w:right="667" w:hanging="340"/>
        <w:jc w:val="left"/>
        <w:rPr>
          <w:rFonts w:ascii="Arial" w:hAnsi="Arial"/>
          <w:sz w:val="19"/>
        </w:rPr>
      </w:pPr>
      <w:r>
        <w:rPr>
          <w:rFonts w:ascii="Arial" w:hAnsi="Arial"/>
          <w:i/>
          <w:color w:val="231F20"/>
          <w:w w:val="110"/>
          <w:sz w:val="19"/>
        </w:rPr>
        <w:t>Product Redesign</w:t>
      </w:r>
      <w:r>
        <w:rPr>
          <w:rFonts w:ascii="Arial" w:hAnsi="Arial"/>
          <w:i/>
          <w:color w:val="231F20"/>
          <w:spacing w:val="-37"/>
          <w:w w:val="110"/>
          <w:sz w:val="19"/>
        </w:rPr>
        <w:t> </w:t>
      </w:r>
      <w:r>
        <w:rPr>
          <w:rFonts w:ascii="Arial" w:hAnsi="Arial"/>
          <w:color w:val="231F20"/>
          <w:w w:val="110"/>
          <w:sz w:val="19"/>
        </w:rPr>
        <w:t>—</w:t>
      </w:r>
      <w:r>
        <w:rPr>
          <w:rFonts w:ascii="Arial" w:hAnsi="Arial"/>
          <w:color w:val="231F20"/>
          <w:spacing w:val="-37"/>
          <w:w w:val="110"/>
          <w:sz w:val="19"/>
        </w:rPr>
        <w:t> </w:t>
      </w:r>
      <w:r>
        <w:rPr>
          <w:rFonts w:ascii="Arial" w:hAnsi="Arial"/>
          <w:color w:val="231F20"/>
          <w:w w:val="110"/>
          <w:sz w:val="19"/>
        </w:rPr>
        <w:t>Redesign to lower costs of materials and </w:t>
      </w:r>
      <w:r>
        <w:rPr>
          <w:rFonts w:ascii="Arial" w:hAnsi="Arial"/>
          <w:color w:val="231F20"/>
          <w:w w:val="115"/>
          <w:sz w:val="19"/>
        </w:rPr>
        <w:t>labor. If a computer is used to design the product, it is called computer-aided design (CAD).</w:t>
      </w:r>
    </w:p>
    <w:p>
      <w:pPr>
        <w:spacing w:line="328" w:lineRule="auto" w:before="2"/>
        <w:ind w:left="1509" w:right="1262" w:hanging="340"/>
        <w:jc w:val="left"/>
        <w:rPr>
          <w:rFonts w:ascii="Arial" w:hAnsi="Arial"/>
          <w:sz w:val="19"/>
        </w:rPr>
      </w:pPr>
      <w:r>
        <w:rPr>
          <w:rFonts w:ascii="Arial" w:hAnsi="Arial"/>
          <w:i/>
          <w:color w:val="231F20"/>
          <w:spacing w:val="-2"/>
          <w:w w:val="115"/>
          <w:sz w:val="19"/>
        </w:rPr>
        <w:t>Product</w:t>
      </w:r>
      <w:r>
        <w:rPr>
          <w:rFonts w:ascii="Arial" w:hAnsi="Arial"/>
          <w:i/>
          <w:color w:val="231F20"/>
          <w:spacing w:val="-11"/>
          <w:w w:val="115"/>
          <w:sz w:val="19"/>
        </w:rPr>
        <w:t> </w:t>
      </w:r>
      <w:r>
        <w:rPr>
          <w:rFonts w:ascii="Arial" w:hAnsi="Arial"/>
          <w:i/>
          <w:color w:val="231F20"/>
          <w:spacing w:val="-2"/>
          <w:w w:val="115"/>
          <w:sz w:val="19"/>
        </w:rPr>
        <w:t>Standardization</w:t>
      </w:r>
      <w:r>
        <w:rPr>
          <w:rFonts w:ascii="Arial" w:hAnsi="Arial"/>
          <w:color w:val="231F20"/>
          <w:spacing w:val="-2"/>
          <w:w w:val="115"/>
          <w:sz w:val="19"/>
        </w:rPr>
        <w:t>—</w:t>
      </w:r>
      <w:r>
        <w:rPr>
          <w:rFonts w:ascii="Arial" w:hAnsi="Arial"/>
          <w:color w:val="231F20"/>
          <w:spacing w:val="-42"/>
          <w:w w:val="115"/>
          <w:sz w:val="19"/>
        </w:rPr>
        <w:t> </w:t>
      </w:r>
      <w:r>
        <w:rPr>
          <w:rFonts w:ascii="Arial" w:hAnsi="Arial"/>
          <w:color w:val="231F20"/>
          <w:spacing w:val="-2"/>
          <w:w w:val="115"/>
          <w:sz w:val="19"/>
        </w:rPr>
        <w:t>Decreasing</w:t>
      </w:r>
      <w:r>
        <w:rPr>
          <w:rFonts w:ascii="Arial" w:hAnsi="Arial"/>
          <w:color w:val="231F20"/>
          <w:spacing w:val="-9"/>
          <w:w w:val="115"/>
          <w:sz w:val="19"/>
        </w:rPr>
        <w:t> </w:t>
      </w:r>
      <w:r>
        <w:rPr>
          <w:rFonts w:ascii="Arial" w:hAnsi="Arial"/>
          <w:color w:val="231F20"/>
          <w:spacing w:val="-2"/>
          <w:w w:val="115"/>
          <w:sz w:val="19"/>
        </w:rPr>
        <w:t>the</w:t>
      </w:r>
      <w:r>
        <w:rPr>
          <w:rFonts w:ascii="Arial" w:hAnsi="Arial"/>
          <w:color w:val="231F20"/>
          <w:spacing w:val="-9"/>
          <w:w w:val="115"/>
          <w:sz w:val="19"/>
        </w:rPr>
        <w:t> </w:t>
      </w:r>
      <w:r>
        <w:rPr>
          <w:rFonts w:ascii="Arial" w:hAnsi="Arial"/>
          <w:color w:val="231F20"/>
          <w:spacing w:val="-2"/>
          <w:w w:val="115"/>
          <w:sz w:val="19"/>
        </w:rPr>
        <w:t>variations</w:t>
      </w:r>
      <w:r>
        <w:rPr>
          <w:rFonts w:ascii="Arial" w:hAnsi="Arial"/>
          <w:color w:val="231F20"/>
          <w:spacing w:val="-9"/>
          <w:w w:val="115"/>
          <w:sz w:val="19"/>
        </w:rPr>
        <w:t> </w:t>
      </w:r>
      <w:r>
        <w:rPr>
          <w:rFonts w:ascii="Arial" w:hAnsi="Arial"/>
          <w:color w:val="231F20"/>
          <w:spacing w:val="-2"/>
          <w:w w:val="115"/>
          <w:sz w:val="19"/>
        </w:rPr>
        <w:t>of</w:t>
      </w:r>
      <w:r>
        <w:rPr>
          <w:rFonts w:ascii="Arial" w:hAnsi="Arial"/>
          <w:color w:val="231F20"/>
          <w:spacing w:val="-9"/>
          <w:w w:val="115"/>
          <w:sz w:val="19"/>
        </w:rPr>
        <w:t> </w:t>
      </w:r>
      <w:r>
        <w:rPr>
          <w:rFonts w:ascii="Arial" w:hAnsi="Arial"/>
          <w:color w:val="231F20"/>
          <w:spacing w:val="-2"/>
          <w:w w:val="115"/>
          <w:sz w:val="19"/>
        </w:rPr>
        <w:t>a </w:t>
      </w:r>
      <w:r>
        <w:rPr>
          <w:rFonts w:ascii="Arial" w:hAnsi="Arial"/>
          <w:color w:val="231F20"/>
          <w:w w:val="115"/>
          <w:sz w:val="19"/>
        </w:rPr>
        <w:t>product’s components</w:t>
      </w:r>
    </w:p>
    <w:p>
      <w:pPr>
        <w:spacing w:line="328" w:lineRule="auto" w:before="2"/>
        <w:ind w:left="1509" w:right="907" w:hanging="340"/>
        <w:jc w:val="left"/>
        <w:rPr>
          <w:rFonts w:ascii="Arial" w:hAnsi="Arial"/>
          <w:sz w:val="19"/>
        </w:rPr>
      </w:pPr>
      <w:r>
        <w:rPr>
          <w:rFonts w:ascii="Arial" w:hAnsi="Arial"/>
          <w:i/>
          <w:color w:val="231F20"/>
          <w:w w:val="110"/>
          <w:sz w:val="19"/>
        </w:rPr>
        <w:t>Efficiencies of Scale</w:t>
      </w:r>
      <w:r>
        <w:rPr>
          <w:rFonts w:ascii="Arial" w:hAnsi="Arial"/>
          <w:i/>
          <w:color w:val="231F20"/>
          <w:spacing w:val="-25"/>
          <w:w w:val="110"/>
          <w:sz w:val="19"/>
        </w:rPr>
        <w:t> </w:t>
      </w:r>
      <w:r>
        <w:rPr>
          <w:rFonts w:ascii="Arial" w:hAnsi="Arial"/>
          <w:color w:val="231F20"/>
          <w:w w:val="110"/>
          <w:sz w:val="19"/>
        </w:rPr>
        <w:t>—</w:t>
      </w:r>
      <w:r>
        <w:rPr>
          <w:rFonts w:ascii="Arial" w:hAnsi="Arial"/>
          <w:color w:val="231F20"/>
          <w:spacing w:val="-25"/>
          <w:w w:val="110"/>
          <w:sz w:val="19"/>
        </w:rPr>
        <w:t> </w:t>
      </w:r>
      <w:r>
        <w:rPr>
          <w:rFonts w:ascii="Arial" w:hAnsi="Arial"/>
          <w:color w:val="231F20"/>
          <w:w w:val="110"/>
          <w:sz w:val="19"/>
        </w:rPr>
        <w:t>Doubling factory capacity does not</w:t>
      </w:r>
      <w:r>
        <w:rPr>
          <w:rFonts w:ascii="Arial" w:hAnsi="Arial"/>
          <w:color w:val="231F20"/>
          <w:spacing w:val="80"/>
          <w:w w:val="110"/>
          <w:sz w:val="19"/>
        </w:rPr>
        <w:t> </w:t>
      </w:r>
      <w:r>
        <w:rPr>
          <w:rFonts w:ascii="Arial" w:hAnsi="Arial"/>
          <w:color w:val="231F20"/>
          <w:w w:val="110"/>
          <w:sz w:val="19"/>
        </w:rPr>
        <w:t>cost twice as much. Adding machines or additional </w:t>
      </w:r>
      <w:r>
        <w:rPr>
          <w:rFonts w:ascii="Arial" w:hAnsi="Arial"/>
          <w:color w:val="231F20"/>
          <w:w w:val="110"/>
          <w:sz w:val="19"/>
        </w:rPr>
        <w:t>space is not as expensive as starting from scratch.</w:t>
      </w:r>
    </w:p>
    <w:p>
      <w:pPr>
        <w:spacing w:before="2"/>
        <w:ind w:left="1169" w:right="0" w:firstLine="0"/>
        <w:jc w:val="left"/>
        <w:rPr>
          <w:rFonts w:ascii="Arial" w:hAnsi="Arial"/>
          <w:sz w:val="19"/>
        </w:rPr>
      </w:pPr>
      <w:r>
        <w:rPr>
          <w:rFonts w:ascii="Arial" w:hAnsi="Arial"/>
          <w:i/>
          <w:color w:val="231F20"/>
          <w:w w:val="110"/>
          <w:sz w:val="19"/>
        </w:rPr>
        <w:t>Substitution</w:t>
      </w:r>
      <w:r>
        <w:rPr>
          <w:rFonts w:ascii="Arial" w:hAnsi="Arial"/>
          <w:color w:val="231F20"/>
          <w:w w:val="110"/>
          <w:sz w:val="19"/>
        </w:rPr>
        <w:t>—</w:t>
      </w:r>
      <w:r>
        <w:rPr>
          <w:rFonts w:ascii="Arial" w:hAnsi="Arial"/>
          <w:color w:val="231F20"/>
          <w:spacing w:val="-37"/>
          <w:w w:val="110"/>
          <w:sz w:val="19"/>
        </w:rPr>
        <w:t> </w:t>
      </w:r>
      <w:r>
        <w:rPr>
          <w:rFonts w:ascii="Arial" w:hAnsi="Arial"/>
          <w:color w:val="231F20"/>
          <w:w w:val="110"/>
          <w:sz w:val="19"/>
        </w:rPr>
        <w:t>Using</w:t>
      </w:r>
      <w:r>
        <w:rPr>
          <w:rFonts w:ascii="Arial" w:hAnsi="Arial"/>
          <w:color w:val="231F20"/>
          <w:spacing w:val="7"/>
          <w:w w:val="110"/>
          <w:sz w:val="19"/>
        </w:rPr>
        <w:t> </w:t>
      </w:r>
      <w:r>
        <w:rPr>
          <w:rFonts w:ascii="Arial" w:hAnsi="Arial"/>
          <w:color w:val="231F20"/>
          <w:w w:val="110"/>
          <w:sz w:val="19"/>
        </w:rPr>
        <w:t>less</w:t>
      </w:r>
      <w:r>
        <w:rPr>
          <w:rFonts w:ascii="Arial" w:hAnsi="Arial"/>
          <w:color w:val="231F20"/>
          <w:spacing w:val="8"/>
          <w:w w:val="110"/>
          <w:sz w:val="19"/>
        </w:rPr>
        <w:t> </w:t>
      </w:r>
      <w:r>
        <w:rPr>
          <w:rFonts w:ascii="Arial" w:hAnsi="Arial"/>
          <w:color w:val="231F20"/>
          <w:w w:val="110"/>
          <w:sz w:val="19"/>
        </w:rPr>
        <w:t>expensive</w:t>
      </w:r>
      <w:r>
        <w:rPr>
          <w:rFonts w:ascii="Arial" w:hAnsi="Arial"/>
          <w:color w:val="231F20"/>
          <w:spacing w:val="7"/>
          <w:w w:val="110"/>
          <w:sz w:val="19"/>
        </w:rPr>
        <w:t> </w:t>
      </w:r>
      <w:r>
        <w:rPr>
          <w:rFonts w:ascii="Arial" w:hAnsi="Arial"/>
          <w:color w:val="231F20"/>
          <w:w w:val="110"/>
          <w:sz w:val="19"/>
        </w:rPr>
        <w:t>but</w:t>
      </w:r>
      <w:r>
        <w:rPr>
          <w:rFonts w:ascii="Arial" w:hAnsi="Arial"/>
          <w:color w:val="231F20"/>
          <w:spacing w:val="8"/>
          <w:w w:val="110"/>
          <w:sz w:val="19"/>
        </w:rPr>
        <w:t> </w:t>
      </w:r>
      <w:r>
        <w:rPr>
          <w:rFonts w:ascii="Arial" w:hAnsi="Arial"/>
          <w:color w:val="231F20"/>
          <w:w w:val="110"/>
          <w:sz w:val="19"/>
        </w:rPr>
        <w:t>adequate</w:t>
      </w:r>
      <w:r>
        <w:rPr>
          <w:rFonts w:ascii="Arial" w:hAnsi="Arial"/>
          <w:color w:val="231F20"/>
          <w:spacing w:val="7"/>
          <w:w w:val="110"/>
          <w:sz w:val="19"/>
        </w:rPr>
        <w:t> </w:t>
      </w:r>
      <w:r>
        <w:rPr>
          <w:rFonts w:ascii="Arial" w:hAnsi="Arial"/>
          <w:color w:val="231F20"/>
          <w:spacing w:val="-2"/>
          <w:w w:val="110"/>
          <w:sz w:val="19"/>
        </w:rPr>
        <w:t>materials</w:t>
      </w:r>
    </w:p>
    <w:p>
      <w:pPr>
        <w:pStyle w:val="BodyText"/>
        <w:rPr>
          <w:rFonts w:ascii="Arial"/>
          <w:sz w:val="20"/>
        </w:rPr>
      </w:pPr>
    </w:p>
    <w:p>
      <w:pPr>
        <w:pStyle w:val="BodyText"/>
        <w:spacing w:line="292" w:lineRule="auto" w:before="130"/>
        <w:ind w:left="829" w:right="753" w:firstLine="340"/>
        <w:jc w:val="both"/>
      </w:pPr>
      <w:r>
        <w:rPr>
          <w:color w:val="231F20"/>
        </w:rPr>
        <w:t>To be useful, the learning concept must be quantifiable. The </w:t>
      </w:r>
      <w:r>
        <w:rPr>
          <w:i/>
          <w:color w:val="231F20"/>
        </w:rPr>
        <w:t>learning curve, </w:t>
      </w:r>
      <w:r>
        <w:rPr>
          <w:color w:val="231F20"/>
        </w:rPr>
        <w:t>sometimes called the </w:t>
      </w:r>
      <w:r>
        <w:rPr>
          <w:i/>
          <w:color w:val="231F20"/>
        </w:rPr>
        <w:t>experience curve, </w:t>
      </w:r>
      <w:r>
        <w:rPr>
          <w:color w:val="231F20"/>
        </w:rPr>
        <w:t>does just that. It</w:t>
      </w:r>
      <w:r>
        <w:rPr>
          <w:color w:val="231F20"/>
          <w:spacing w:val="40"/>
        </w:rPr>
        <w:t> </w:t>
      </w:r>
      <w:r>
        <w:rPr>
          <w:color w:val="231F20"/>
        </w:rPr>
        <w:t>was</w:t>
      </w:r>
      <w:r>
        <w:rPr>
          <w:color w:val="231F20"/>
          <w:spacing w:val="40"/>
        </w:rPr>
        <w:t> </w:t>
      </w:r>
      <w:r>
        <w:rPr>
          <w:color w:val="231F20"/>
        </w:rPr>
        <w:t>developed</w:t>
      </w:r>
      <w:r>
        <w:rPr>
          <w:color w:val="231F20"/>
          <w:spacing w:val="40"/>
        </w:rPr>
        <w:t> </w:t>
      </w:r>
      <w:r>
        <w:rPr>
          <w:color w:val="231F20"/>
        </w:rPr>
        <w:t>by</w:t>
      </w:r>
      <w:r>
        <w:rPr>
          <w:color w:val="231F20"/>
          <w:spacing w:val="40"/>
        </w:rPr>
        <w:t> </w:t>
      </w:r>
      <w:r>
        <w:rPr>
          <w:color w:val="231F20"/>
        </w:rPr>
        <w:t>the</w:t>
      </w:r>
      <w:r>
        <w:rPr>
          <w:color w:val="231F20"/>
          <w:spacing w:val="40"/>
        </w:rPr>
        <w:t> </w:t>
      </w:r>
      <w:r>
        <w:rPr>
          <w:color w:val="231F20"/>
        </w:rPr>
        <w:t>Boston</w:t>
      </w:r>
      <w:r>
        <w:rPr>
          <w:color w:val="231F20"/>
          <w:spacing w:val="40"/>
        </w:rPr>
        <w:t> </w:t>
      </w:r>
      <w:r>
        <w:rPr>
          <w:color w:val="231F20"/>
        </w:rPr>
        <w:t>Consulting</w:t>
      </w:r>
      <w:r>
        <w:rPr>
          <w:color w:val="231F20"/>
          <w:spacing w:val="40"/>
        </w:rPr>
        <w:t> </w:t>
      </w:r>
      <w:r>
        <w:rPr>
          <w:color w:val="231F20"/>
        </w:rPr>
        <w:t>Group</w:t>
      </w:r>
      <w:r>
        <w:rPr>
          <w:color w:val="231F20"/>
          <w:spacing w:val="40"/>
        </w:rPr>
        <w:t> </w:t>
      </w:r>
      <w:r>
        <w:rPr>
          <w:color w:val="231F20"/>
        </w:rPr>
        <w:t>(BCG)</w:t>
      </w:r>
      <w:r>
        <w:rPr>
          <w:color w:val="231F20"/>
          <w:spacing w:val="40"/>
        </w:rPr>
        <w:t> </w:t>
      </w:r>
      <w:r>
        <w:rPr>
          <w:color w:val="231F20"/>
        </w:rPr>
        <w:t>in</w:t>
      </w:r>
      <w:r>
        <w:rPr>
          <w:color w:val="231F20"/>
          <w:spacing w:val="40"/>
        </w:rPr>
        <w:t> </w:t>
      </w:r>
      <w:r>
        <w:rPr>
          <w:color w:val="231F20"/>
        </w:rPr>
        <w:t>the 1960s to attach numbers to economies-of-scale benefits believed to exist. They found that each time the “cumulative” volume of </w:t>
      </w:r>
      <w:r>
        <w:rPr>
          <w:color w:val="231F20"/>
        </w:rPr>
        <w:t>pro- duction doubled, the cost of manufacturing fell by a constant and predictable percentage.</w:t>
      </w:r>
    </w:p>
    <w:p>
      <w:pPr>
        <w:pStyle w:val="BodyText"/>
        <w:spacing w:line="292" w:lineRule="auto"/>
        <w:ind w:left="829" w:right="759" w:firstLine="340"/>
        <w:jc w:val="both"/>
      </w:pPr>
      <w:r>
        <w:rPr>
          <w:color w:val="231F20"/>
        </w:rPr>
        <w:t>For example, a consultant’s investigation of a manufacturing task could identify an “80 percent learning curve.” This means that for every doubling of accumulated production, the next unit produced would cost 80 percent of the first unit, or 20 percent less. Computer</w:t>
      </w:r>
    </w:p>
    <w:p>
      <w:pPr>
        <w:spacing w:after="0" w:line="292" w:lineRule="auto"/>
        <w:jc w:val="both"/>
        <w:sectPr>
          <w:pgSz w:w="8640" w:h="12960"/>
          <w:pgMar w:header="732" w:footer="0" w:top="920" w:bottom="280" w:left="340" w:right="500"/>
        </w:sectPr>
      </w:pPr>
    </w:p>
    <w:p>
      <w:pPr>
        <w:pStyle w:val="BodyText"/>
        <w:spacing w:before="8"/>
        <w:rPr>
          <w:sz w:val="19"/>
        </w:rPr>
      </w:pPr>
    </w:p>
    <w:p>
      <w:pPr>
        <w:spacing w:before="96"/>
        <w:ind w:left="473" w:right="219" w:firstLine="0"/>
        <w:jc w:val="center"/>
        <w:rPr>
          <w:rFonts w:ascii="Arial"/>
          <w:sz w:val="14"/>
        </w:rPr>
      </w:pPr>
      <w:r>
        <w:rPr>
          <w:rFonts w:ascii="Arial"/>
          <w:color w:val="231F20"/>
          <w:w w:val="105"/>
          <w:sz w:val="14"/>
        </w:rPr>
        <w:t>THE</w:t>
      </w:r>
      <w:r>
        <w:rPr>
          <w:rFonts w:ascii="Arial"/>
          <w:color w:val="231F20"/>
          <w:spacing w:val="23"/>
          <w:w w:val="105"/>
          <w:sz w:val="14"/>
        </w:rPr>
        <w:t> </w:t>
      </w:r>
      <w:r>
        <w:rPr>
          <w:rFonts w:ascii="Arial"/>
          <w:color w:val="231F20"/>
          <w:w w:val="105"/>
          <w:sz w:val="14"/>
        </w:rPr>
        <w:t>LEARNING</w:t>
      </w:r>
      <w:r>
        <w:rPr>
          <w:rFonts w:ascii="Arial"/>
          <w:color w:val="231F20"/>
          <w:spacing w:val="24"/>
          <w:w w:val="105"/>
          <w:sz w:val="14"/>
        </w:rPr>
        <w:t> </w:t>
      </w:r>
      <w:r>
        <w:rPr>
          <w:rFonts w:ascii="Arial"/>
          <w:color w:val="231F20"/>
          <w:w w:val="105"/>
          <w:sz w:val="14"/>
        </w:rPr>
        <w:t>CURVE</w:t>
      </w:r>
      <w:r>
        <w:rPr>
          <w:rFonts w:ascii="Arial"/>
          <w:color w:val="231F20"/>
          <w:spacing w:val="23"/>
          <w:w w:val="105"/>
          <w:sz w:val="14"/>
        </w:rPr>
        <w:t> </w:t>
      </w:r>
      <w:r>
        <w:rPr>
          <w:rFonts w:ascii="Arial"/>
          <w:color w:val="231F20"/>
          <w:spacing w:val="-2"/>
          <w:w w:val="105"/>
          <w:sz w:val="14"/>
        </w:rPr>
        <w:t>EFFECT</w:t>
      </w:r>
    </w:p>
    <w:p>
      <w:pPr>
        <w:spacing w:before="79"/>
        <w:ind w:left="472" w:right="219" w:firstLine="0"/>
        <w:jc w:val="center"/>
        <w:rPr>
          <w:rFonts w:ascii="Arial"/>
          <w:sz w:val="14"/>
        </w:rPr>
      </w:pPr>
      <w:r>
        <w:rPr>
          <w:rFonts w:ascii="Arial"/>
          <w:color w:val="231F20"/>
          <w:w w:val="105"/>
          <w:sz w:val="14"/>
        </w:rPr>
        <w:t>COST</w:t>
      </w:r>
      <w:r>
        <w:rPr>
          <w:rFonts w:ascii="Arial"/>
          <w:color w:val="231F20"/>
          <w:spacing w:val="24"/>
          <w:w w:val="105"/>
          <w:sz w:val="14"/>
        </w:rPr>
        <w:t> </w:t>
      </w:r>
      <w:r>
        <w:rPr>
          <w:rFonts w:ascii="Arial"/>
          <w:color w:val="231F20"/>
          <w:w w:val="105"/>
          <w:sz w:val="14"/>
        </w:rPr>
        <w:t>OF</w:t>
      </w:r>
      <w:r>
        <w:rPr>
          <w:rFonts w:ascii="Arial"/>
          <w:color w:val="231F20"/>
          <w:spacing w:val="24"/>
          <w:w w:val="105"/>
          <w:sz w:val="14"/>
        </w:rPr>
        <w:t> </w:t>
      </w:r>
      <w:r>
        <w:rPr>
          <w:rFonts w:ascii="Arial"/>
          <w:color w:val="231F20"/>
          <w:w w:val="105"/>
          <w:sz w:val="14"/>
        </w:rPr>
        <w:t>PRODUCTION</w:t>
      </w:r>
      <w:r>
        <w:rPr>
          <w:rFonts w:ascii="Arial"/>
          <w:color w:val="231F20"/>
          <w:spacing w:val="25"/>
          <w:w w:val="105"/>
          <w:sz w:val="14"/>
        </w:rPr>
        <w:t> </w:t>
      </w:r>
      <w:r>
        <w:rPr>
          <w:rFonts w:ascii="Arial"/>
          <w:color w:val="231F20"/>
          <w:w w:val="105"/>
          <w:sz w:val="14"/>
        </w:rPr>
        <w:t>OF</w:t>
      </w:r>
      <w:r>
        <w:rPr>
          <w:rFonts w:ascii="Arial"/>
          <w:color w:val="231F20"/>
          <w:spacing w:val="24"/>
          <w:w w:val="105"/>
          <w:sz w:val="14"/>
        </w:rPr>
        <w:t> </w:t>
      </w:r>
      <w:r>
        <w:rPr>
          <w:rFonts w:ascii="Arial"/>
          <w:color w:val="231F20"/>
          <w:w w:val="105"/>
          <w:sz w:val="14"/>
        </w:rPr>
        <w:t>RAZOR</w:t>
      </w:r>
      <w:r>
        <w:rPr>
          <w:rFonts w:ascii="Arial"/>
          <w:color w:val="231F20"/>
          <w:spacing w:val="24"/>
          <w:w w:val="105"/>
          <w:sz w:val="14"/>
        </w:rPr>
        <w:t> </w:t>
      </w:r>
      <w:r>
        <w:rPr>
          <w:rFonts w:ascii="Arial"/>
          <w:color w:val="231F20"/>
          <w:spacing w:val="-2"/>
          <w:w w:val="105"/>
          <w:sz w:val="14"/>
        </w:rPr>
        <w:t>BLADES</w:t>
      </w:r>
    </w:p>
    <w:p>
      <w:pPr>
        <w:pStyle w:val="BodyText"/>
        <w:spacing w:before="10"/>
        <w:rPr>
          <w:rFonts w:ascii="Arial"/>
          <w:sz w:val="19"/>
        </w:rPr>
      </w:pPr>
      <w:r>
        <w:rPr/>
        <w:drawing>
          <wp:anchor distT="0" distB="0" distL="0" distR="0" allowOverlap="1" layoutInCell="1" locked="0" behindDoc="0" simplePos="0" relativeHeight="407">
            <wp:simplePos x="0" y="0"/>
            <wp:positionH relativeFrom="page">
              <wp:posOffset>803145</wp:posOffset>
            </wp:positionH>
            <wp:positionV relativeFrom="paragraph">
              <wp:posOffset>160409</wp:posOffset>
            </wp:positionV>
            <wp:extent cx="3968921" cy="1030224"/>
            <wp:effectExtent l="0" t="0" r="0" b="0"/>
            <wp:wrapTopAndBottom/>
            <wp:docPr id="143" name="image82.png"/>
            <wp:cNvGraphicFramePr>
              <a:graphicFrameLocks noChangeAspect="1"/>
            </wp:cNvGraphicFramePr>
            <a:graphic>
              <a:graphicData uri="http://schemas.openxmlformats.org/drawingml/2006/picture">
                <pic:pic>
                  <pic:nvPicPr>
                    <pic:cNvPr id="144" name="image82.png"/>
                    <pic:cNvPicPr/>
                  </pic:nvPicPr>
                  <pic:blipFill>
                    <a:blip r:embed="rId123" cstate="print"/>
                    <a:stretch>
                      <a:fillRect/>
                    </a:stretch>
                  </pic:blipFill>
                  <pic:spPr>
                    <a:xfrm>
                      <a:off x="0" y="0"/>
                      <a:ext cx="3968921" cy="1030224"/>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6"/>
        <w:rPr>
          <w:rFonts w:ascii="Arial"/>
          <w:sz w:val="18"/>
        </w:rPr>
      </w:pPr>
    </w:p>
    <w:p>
      <w:pPr>
        <w:pStyle w:val="BodyText"/>
        <w:spacing w:line="292" w:lineRule="auto"/>
        <w:ind w:left="920" w:right="669"/>
        <w:jc w:val="both"/>
      </w:pPr>
      <w:r>
        <w:rPr>
          <w:color w:val="231F20"/>
        </w:rPr>
        <w:t>spreadsheet</w:t>
      </w:r>
      <w:r>
        <w:rPr>
          <w:color w:val="231F20"/>
          <w:spacing w:val="-5"/>
        </w:rPr>
        <w:t> </w:t>
      </w:r>
      <w:r>
        <w:rPr>
          <w:color w:val="231F20"/>
        </w:rPr>
        <w:t>models</w:t>
      </w:r>
      <w:r>
        <w:rPr>
          <w:color w:val="231F20"/>
          <w:spacing w:val="-5"/>
        </w:rPr>
        <w:t> </w:t>
      </w:r>
      <w:r>
        <w:rPr>
          <w:color w:val="231F20"/>
        </w:rPr>
        <w:t>exist</w:t>
      </w:r>
      <w:r>
        <w:rPr>
          <w:color w:val="231F20"/>
          <w:spacing w:val="-5"/>
        </w:rPr>
        <w:t> </w:t>
      </w:r>
      <w:r>
        <w:rPr>
          <w:color w:val="231F20"/>
        </w:rPr>
        <w:t>to</w:t>
      </w:r>
      <w:r>
        <w:rPr>
          <w:color w:val="231F20"/>
          <w:spacing w:val="-5"/>
        </w:rPr>
        <w:t> </w:t>
      </w:r>
      <w:r>
        <w:rPr>
          <w:color w:val="231F20"/>
        </w:rPr>
        <w:t>perform</w:t>
      </w:r>
      <w:r>
        <w:rPr>
          <w:color w:val="231F20"/>
          <w:spacing w:val="-5"/>
        </w:rPr>
        <w:t> </w:t>
      </w:r>
      <w:r>
        <w:rPr>
          <w:color w:val="231F20"/>
        </w:rPr>
        <w:t>the</w:t>
      </w:r>
      <w:r>
        <w:rPr>
          <w:color w:val="231F20"/>
          <w:spacing w:val="-5"/>
        </w:rPr>
        <w:t> </w:t>
      </w:r>
      <w:r>
        <w:rPr>
          <w:color w:val="231F20"/>
        </w:rPr>
        <w:t>mathematics.</w:t>
      </w:r>
      <w:r>
        <w:rPr>
          <w:color w:val="231F20"/>
          <w:spacing w:val="-5"/>
        </w:rPr>
        <w:t> </w:t>
      </w:r>
      <w:r>
        <w:rPr>
          <w:color w:val="231F20"/>
        </w:rPr>
        <w:t>The</w:t>
      </w:r>
      <w:r>
        <w:rPr>
          <w:color w:val="231F20"/>
          <w:spacing w:val="-5"/>
        </w:rPr>
        <w:t> </w:t>
      </w:r>
      <w:r>
        <w:rPr>
          <w:color w:val="231F20"/>
        </w:rPr>
        <w:t>important point to remember is that “accumulated production” starts with unit one, not the first produced that month or year, but the very first one off the assembly line using that manufacturing method.</w:t>
      </w:r>
    </w:p>
    <w:p>
      <w:pPr>
        <w:pStyle w:val="BodyText"/>
        <w:spacing w:line="292" w:lineRule="auto"/>
        <w:ind w:left="919" w:right="666" w:firstLine="340"/>
        <w:jc w:val="both"/>
      </w:pPr>
      <w:r>
        <w:rPr>
          <w:color w:val="231F20"/>
        </w:rPr>
        <w:t>To demonstrate the math involved, I have hypothesized what </w:t>
      </w:r>
      <w:r>
        <w:rPr>
          <w:color w:val="231F20"/>
        </w:rPr>
        <w:t>the effects of an 80 percent learning curve would have been on the cost</w:t>
      </w:r>
      <w:r>
        <w:rPr>
          <w:color w:val="231F20"/>
          <w:spacing w:val="40"/>
        </w:rPr>
        <w:t> </w:t>
      </w:r>
      <w:r>
        <w:rPr>
          <w:color w:val="231F20"/>
        </w:rPr>
        <w:t>of producing disposable razors for Gillette.</w:t>
      </w:r>
    </w:p>
    <w:p>
      <w:pPr>
        <w:pStyle w:val="BodyText"/>
        <w:spacing w:line="292" w:lineRule="auto"/>
        <w:ind w:left="919" w:right="666" w:firstLine="340"/>
        <w:jc w:val="both"/>
      </w:pPr>
      <w:r>
        <w:rPr>
          <w:color w:val="231F20"/>
        </w:rPr>
        <w:t>The math demonstrates that after the razor production </w:t>
      </w:r>
      <w:r>
        <w:rPr>
          <w:color w:val="231F20"/>
        </w:rPr>
        <w:t>doubles twenty-one times, the cost per unit decreases 20 percent each time from a cost of $10.00 to $.09. A simple learning curve can also be</w:t>
      </w:r>
      <w:r>
        <w:rPr>
          <w:color w:val="231F20"/>
          <w:spacing w:val="40"/>
        </w:rPr>
        <w:t> </w:t>
      </w:r>
      <w:r>
        <w:rPr>
          <w:color w:val="231F20"/>
        </w:rPr>
        <w:t>seen graphically as shown:</w:t>
      </w:r>
    </w:p>
    <w:p>
      <w:pPr>
        <w:pStyle w:val="BodyText"/>
        <w:rPr>
          <w:sz w:val="24"/>
        </w:rPr>
      </w:pPr>
    </w:p>
    <w:p>
      <w:pPr>
        <w:pStyle w:val="BodyText"/>
        <w:spacing w:before="7"/>
        <w:rPr>
          <w:sz w:val="32"/>
        </w:rPr>
      </w:pPr>
    </w:p>
    <w:p>
      <w:pPr>
        <w:spacing w:before="0"/>
        <w:ind w:left="472" w:right="219" w:firstLine="0"/>
        <w:jc w:val="center"/>
        <w:rPr>
          <w:rFonts w:ascii="Arial"/>
          <w:sz w:val="14"/>
        </w:rPr>
      </w:pPr>
      <w:r>
        <w:rPr>
          <w:rFonts w:ascii="Arial"/>
          <w:color w:val="231F20"/>
          <w:w w:val="105"/>
          <w:sz w:val="14"/>
        </w:rPr>
        <w:t>RAZOR</w:t>
      </w:r>
      <w:r>
        <w:rPr>
          <w:rFonts w:ascii="Arial"/>
          <w:color w:val="231F20"/>
          <w:spacing w:val="39"/>
          <w:w w:val="105"/>
          <w:sz w:val="14"/>
        </w:rPr>
        <w:t> </w:t>
      </w:r>
      <w:r>
        <w:rPr>
          <w:rFonts w:ascii="Arial"/>
          <w:color w:val="231F20"/>
          <w:w w:val="105"/>
          <w:sz w:val="14"/>
        </w:rPr>
        <w:t>BLADE</w:t>
      </w:r>
      <w:r>
        <w:rPr>
          <w:rFonts w:ascii="Arial"/>
          <w:color w:val="231F20"/>
          <w:spacing w:val="40"/>
          <w:w w:val="105"/>
          <w:sz w:val="14"/>
        </w:rPr>
        <w:t> </w:t>
      </w:r>
      <w:r>
        <w:rPr>
          <w:rFonts w:ascii="Arial"/>
          <w:color w:val="231F20"/>
          <w:w w:val="105"/>
          <w:sz w:val="14"/>
        </w:rPr>
        <w:t>LEARNING</w:t>
      </w:r>
      <w:r>
        <w:rPr>
          <w:rFonts w:ascii="Arial"/>
          <w:color w:val="231F20"/>
          <w:spacing w:val="39"/>
          <w:w w:val="105"/>
          <w:sz w:val="14"/>
        </w:rPr>
        <w:t> </w:t>
      </w:r>
      <w:r>
        <w:rPr>
          <w:rFonts w:ascii="Arial"/>
          <w:color w:val="231F20"/>
          <w:spacing w:val="-4"/>
          <w:w w:val="105"/>
          <w:sz w:val="14"/>
        </w:rPr>
        <w:t>CURVE</w:t>
      </w:r>
    </w:p>
    <w:p>
      <w:pPr>
        <w:pStyle w:val="BodyText"/>
        <w:spacing w:before="8"/>
        <w:rPr>
          <w:rFonts w:ascii="Arial"/>
          <w:sz w:val="15"/>
        </w:rPr>
      </w:pPr>
      <w:r>
        <w:rPr/>
        <w:drawing>
          <wp:anchor distT="0" distB="0" distL="0" distR="0" allowOverlap="1" layoutInCell="1" locked="0" behindDoc="0" simplePos="0" relativeHeight="408">
            <wp:simplePos x="0" y="0"/>
            <wp:positionH relativeFrom="page">
              <wp:posOffset>1138830</wp:posOffset>
            </wp:positionH>
            <wp:positionV relativeFrom="paragraph">
              <wp:posOffset>130295</wp:posOffset>
            </wp:positionV>
            <wp:extent cx="3230049" cy="2160269"/>
            <wp:effectExtent l="0" t="0" r="0" b="0"/>
            <wp:wrapTopAndBottom/>
            <wp:docPr id="145" name="image83.png"/>
            <wp:cNvGraphicFramePr>
              <a:graphicFrameLocks noChangeAspect="1"/>
            </wp:cNvGraphicFramePr>
            <a:graphic>
              <a:graphicData uri="http://schemas.openxmlformats.org/drawingml/2006/picture">
                <pic:pic>
                  <pic:nvPicPr>
                    <pic:cNvPr id="146" name="image83.png"/>
                    <pic:cNvPicPr/>
                  </pic:nvPicPr>
                  <pic:blipFill>
                    <a:blip r:embed="rId124" cstate="print"/>
                    <a:stretch>
                      <a:fillRect/>
                    </a:stretch>
                  </pic:blipFill>
                  <pic:spPr>
                    <a:xfrm>
                      <a:off x="0" y="0"/>
                      <a:ext cx="3230049" cy="2160269"/>
                    </a:xfrm>
                    <a:prstGeom prst="rect">
                      <a:avLst/>
                    </a:prstGeom>
                  </pic:spPr>
                </pic:pic>
              </a:graphicData>
            </a:graphic>
          </wp:anchor>
        </w:drawing>
      </w:r>
    </w:p>
    <w:p>
      <w:pPr>
        <w:spacing w:after="0"/>
        <w:rPr>
          <w:rFonts w:ascii="Arial"/>
          <w:sz w:val="15"/>
        </w:rPr>
        <w:sectPr>
          <w:pgSz w:w="8640" w:h="12960"/>
          <w:pgMar w:header="734" w:footer="0" w:top="920" w:bottom="280" w:left="340" w:right="500"/>
        </w:sectPr>
      </w:pPr>
    </w:p>
    <w:p>
      <w:pPr>
        <w:pStyle w:val="BodyText"/>
        <w:spacing w:before="2"/>
        <w:rPr>
          <w:rFonts w:ascii="Arial"/>
          <w:sz w:val="18"/>
        </w:rPr>
      </w:pPr>
    </w:p>
    <w:p>
      <w:pPr>
        <w:pStyle w:val="BodyText"/>
        <w:spacing w:line="292" w:lineRule="auto" w:before="102"/>
        <w:ind w:left="830" w:right="755" w:firstLine="340"/>
        <w:jc w:val="both"/>
      </w:pPr>
      <w:r>
        <w:rPr>
          <w:color w:val="231F20"/>
        </w:rPr>
        <w:t>The strategic implications of the learning curve lie in </w:t>
      </w:r>
      <w:r>
        <w:rPr>
          <w:i/>
          <w:color w:val="231F20"/>
        </w:rPr>
        <w:t>moving</w:t>
      </w:r>
      <w:r>
        <w:rPr>
          <w:i/>
          <w:color w:val="231F20"/>
        </w:rPr>
        <w:t> down the learning curve </w:t>
      </w:r>
      <w:r>
        <w:rPr>
          <w:color w:val="231F20"/>
        </w:rPr>
        <w:t>before competitors do. A firm wishing </w:t>
      </w:r>
      <w:r>
        <w:rPr>
          <w:color w:val="231F20"/>
        </w:rPr>
        <w:t>to maintain cost leadership will strive to produce more units than its competition. That way its production costs will be decreased more </w:t>
      </w:r>
      <w:r>
        <w:rPr>
          <w:color w:val="231F20"/>
          <w:spacing w:val="-2"/>
        </w:rPr>
        <w:t>quickly.</w:t>
      </w:r>
    </w:p>
    <w:p>
      <w:pPr>
        <w:pStyle w:val="BodyText"/>
        <w:spacing w:line="292" w:lineRule="auto"/>
        <w:ind w:left="830" w:right="753" w:firstLine="340"/>
        <w:jc w:val="both"/>
      </w:pPr>
      <w:r>
        <w:rPr>
          <w:color w:val="231F20"/>
        </w:rPr>
        <w:t>The concept of “dumping” products below cost is a tactic the Japanese have used in the electronics industry while pursuing a cost leadership strategy. These forward-thinking companies sold video recorders at low prices, expecting to realize profits as they </w:t>
      </w:r>
      <w:r>
        <w:rPr>
          <w:color w:val="231F20"/>
        </w:rPr>
        <w:t>increased production at a lower cost. Japanese manufacturers calculated their profits using a five-year rather than a one-year time horizon. There- fore, they planned losses for their first year, so that larger profits could be realized in years three and four. American competitors saw the industry as unattractive and plagued by irrational pricing, while the strategic-minded Japanese companies walked away with the market. As the older products matured, the Japanese used the profits from their sale to develop new products like DVDs, a technology passed over by RCA.</w:t>
      </w:r>
    </w:p>
    <w:p>
      <w:pPr>
        <w:pStyle w:val="BodyText"/>
        <w:spacing w:line="292" w:lineRule="auto"/>
        <w:ind w:left="830" w:right="753" w:firstLine="340"/>
        <w:jc w:val="both"/>
      </w:pPr>
      <w:r>
        <w:rPr>
          <w:color w:val="231F20"/>
        </w:rPr>
        <w:t>As</w:t>
      </w:r>
      <w:r>
        <w:rPr>
          <w:color w:val="231F20"/>
          <w:spacing w:val="40"/>
        </w:rPr>
        <w:t> </w:t>
      </w:r>
      <w:r>
        <w:rPr>
          <w:color w:val="231F20"/>
        </w:rPr>
        <w:t>a</w:t>
      </w:r>
      <w:r>
        <w:rPr>
          <w:color w:val="231F20"/>
          <w:spacing w:val="40"/>
        </w:rPr>
        <w:t> </w:t>
      </w:r>
      <w:r>
        <w:rPr>
          <w:color w:val="231F20"/>
        </w:rPr>
        <w:t>product</w:t>
      </w:r>
      <w:r>
        <w:rPr>
          <w:color w:val="231F20"/>
          <w:spacing w:val="40"/>
        </w:rPr>
        <w:t> </w:t>
      </w:r>
      <w:r>
        <w:rPr>
          <w:color w:val="231F20"/>
        </w:rPr>
        <w:t>matures</w:t>
      </w:r>
      <w:r>
        <w:rPr>
          <w:color w:val="231F20"/>
          <w:spacing w:val="40"/>
        </w:rPr>
        <w:t> </w:t>
      </w:r>
      <w:r>
        <w:rPr>
          <w:color w:val="231F20"/>
        </w:rPr>
        <w:t>in</w:t>
      </w:r>
      <w:r>
        <w:rPr>
          <w:color w:val="231F20"/>
          <w:spacing w:val="40"/>
        </w:rPr>
        <w:t> </w:t>
      </w:r>
      <w:r>
        <w:rPr>
          <w:color w:val="231F20"/>
        </w:rPr>
        <w:t>its</w:t>
      </w:r>
      <w:r>
        <w:rPr>
          <w:color w:val="231F20"/>
          <w:spacing w:val="40"/>
        </w:rPr>
        <w:t> </w:t>
      </w:r>
      <w:r>
        <w:rPr>
          <w:i/>
          <w:color w:val="231F20"/>
        </w:rPr>
        <w:t>product</w:t>
      </w:r>
      <w:r>
        <w:rPr>
          <w:i/>
          <w:color w:val="231F20"/>
          <w:spacing w:val="40"/>
        </w:rPr>
        <w:t> </w:t>
      </w:r>
      <w:r>
        <w:rPr>
          <w:i/>
          <w:color w:val="231F20"/>
        </w:rPr>
        <w:t>life</w:t>
      </w:r>
      <w:r>
        <w:rPr>
          <w:i/>
          <w:color w:val="231F20"/>
          <w:spacing w:val="40"/>
        </w:rPr>
        <w:t> </w:t>
      </w:r>
      <w:r>
        <w:rPr>
          <w:i/>
          <w:color w:val="231F20"/>
        </w:rPr>
        <w:t>cycle</w:t>
      </w:r>
      <w:r>
        <w:rPr>
          <w:i/>
          <w:color w:val="231F20"/>
          <w:spacing w:val="40"/>
        </w:rPr>
        <w:t> </w:t>
      </w:r>
      <w:r>
        <w:rPr>
          <w:color w:val="231F20"/>
        </w:rPr>
        <w:t>and</w:t>
      </w:r>
      <w:r>
        <w:rPr>
          <w:color w:val="231F20"/>
          <w:spacing w:val="40"/>
        </w:rPr>
        <w:t> </w:t>
      </w:r>
      <w:r>
        <w:rPr>
          <w:color w:val="231F20"/>
        </w:rPr>
        <w:t>becomes widely adopted, as described in the marketing chapter, the curve be- comes less useful. To double accumulated production would </w:t>
      </w:r>
      <w:r>
        <w:rPr>
          <w:color w:val="231F20"/>
        </w:rPr>
        <w:t>require tremendous increases in volume that are simply not realistic. Profits are also likely to be low. In this situation, the remaining competitors have the chance to catch up, if they haven’t given up.</w:t>
      </w:r>
    </w:p>
    <w:p>
      <w:pPr>
        <w:pStyle w:val="BodyText"/>
        <w:spacing w:line="292" w:lineRule="auto"/>
        <w:ind w:left="830" w:right="753" w:firstLine="340"/>
        <w:jc w:val="both"/>
      </w:pPr>
      <w:r>
        <w:rPr>
          <w:color w:val="231F20"/>
        </w:rPr>
        <w:t>Learning curves are not static. A new process or material may in- crease worker productivity and thus alter the curve. In the razor in- stance, a new curve may be at work at, say, “75 percent </w:t>
      </w:r>
      <w:r>
        <w:rPr>
          <w:color w:val="231F20"/>
        </w:rPr>
        <w:t>learning” because of a new assembling machine, instead of 80 percent as shown. That is called </w:t>
      </w:r>
      <w:r>
        <w:rPr>
          <w:i/>
          <w:color w:val="231F20"/>
        </w:rPr>
        <w:t>jumping to a new curve. </w:t>
      </w:r>
      <w:r>
        <w:rPr>
          <w:color w:val="231F20"/>
        </w:rPr>
        <w:t>In this situation, the running total of accumulated units produced is set to zero, and the new curve takes effect. When production doubles, the next unit pro- duced will cost 75 percent of the first one using the new process, or 25 percent less. With products that are continuously innovated, the learning curve is of little use. New curves are formed all the time,</w:t>
      </w:r>
      <w:r>
        <w:rPr>
          <w:color w:val="231F20"/>
          <w:spacing w:val="80"/>
        </w:rPr>
        <w:t> </w:t>
      </w:r>
      <w:r>
        <w:rPr>
          <w:color w:val="231F20"/>
        </w:rPr>
        <w:t>and</w:t>
      </w:r>
      <w:r>
        <w:rPr>
          <w:color w:val="231F20"/>
          <w:spacing w:val="33"/>
        </w:rPr>
        <w:t> </w:t>
      </w:r>
      <w:r>
        <w:rPr>
          <w:color w:val="231F20"/>
        </w:rPr>
        <w:t>there</w:t>
      </w:r>
      <w:r>
        <w:rPr>
          <w:color w:val="231F20"/>
          <w:spacing w:val="33"/>
        </w:rPr>
        <w:t> </w:t>
      </w:r>
      <w:r>
        <w:rPr>
          <w:color w:val="231F20"/>
        </w:rPr>
        <w:t>is</w:t>
      </w:r>
      <w:r>
        <w:rPr>
          <w:color w:val="231F20"/>
          <w:spacing w:val="33"/>
        </w:rPr>
        <w:t> </w:t>
      </w:r>
      <w:r>
        <w:rPr>
          <w:color w:val="231F20"/>
        </w:rPr>
        <w:t>not</w:t>
      </w:r>
      <w:r>
        <w:rPr>
          <w:color w:val="231F20"/>
          <w:spacing w:val="33"/>
        </w:rPr>
        <w:t> </w:t>
      </w:r>
      <w:r>
        <w:rPr>
          <w:color w:val="231F20"/>
        </w:rPr>
        <w:t>much</w:t>
      </w:r>
      <w:r>
        <w:rPr>
          <w:color w:val="231F20"/>
          <w:spacing w:val="33"/>
        </w:rPr>
        <w:t> </w:t>
      </w:r>
      <w:r>
        <w:rPr>
          <w:color w:val="231F20"/>
        </w:rPr>
        <w:t>time</w:t>
      </w:r>
      <w:r>
        <w:rPr>
          <w:color w:val="231F20"/>
          <w:spacing w:val="33"/>
        </w:rPr>
        <w:t> </w:t>
      </w:r>
      <w:r>
        <w:rPr>
          <w:color w:val="231F20"/>
        </w:rPr>
        <w:t>to</w:t>
      </w:r>
      <w:r>
        <w:rPr>
          <w:color w:val="231F20"/>
          <w:spacing w:val="33"/>
        </w:rPr>
        <w:t> </w:t>
      </w:r>
      <w:r>
        <w:rPr>
          <w:color w:val="231F20"/>
        </w:rPr>
        <w:t>“move</w:t>
      </w:r>
      <w:r>
        <w:rPr>
          <w:color w:val="231F20"/>
          <w:spacing w:val="33"/>
        </w:rPr>
        <w:t> </w:t>
      </w:r>
      <w:r>
        <w:rPr>
          <w:color w:val="231F20"/>
        </w:rPr>
        <w:t>down”</w:t>
      </w:r>
      <w:r>
        <w:rPr>
          <w:color w:val="231F20"/>
          <w:spacing w:val="33"/>
        </w:rPr>
        <w:t> </w:t>
      </w:r>
      <w:r>
        <w:rPr>
          <w:color w:val="231F20"/>
        </w:rPr>
        <w:t>any</w:t>
      </w:r>
      <w:r>
        <w:rPr>
          <w:color w:val="231F20"/>
          <w:spacing w:val="33"/>
        </w:rPr>
        <w:t> </w:t>
      </w:r>
      <w:r>
        <w:rPr>
          <w:color w:val="231F20"/>
        </w:rPr>
        <w:t>of</w:t>
      </w:r>
      <w:r>
        <w:rPr>
          <w:color w:val="231F20"/>
          <w:spacing w:val="33"/>
        </w:rPr>
        <w:t> </w:t>
      </w:r>
      <w:r>
        <w:rPr>
          <w:color w:val="231F20"/>
        </w:rPr>
        <w:t>them.</w:t>
      </w:r>
    </w:p>
    <w:p>
      <w:pPr>
        <w:spacing w:after="0" w:line="292" w:lineRule="auto"/>
        <w:jc w:val="both"/>
        <w:sectPr>
          <w:pgSz w:w="8640" w:h="12960"/>
          <w:pgMar w:header="732" w:footer="0" w:top="920" w:bottom="280" w:left="340" w:right="500"/>
        </w:sectPr>
      </w:pPr>
    </w:p>
    <w:p>
      <w:pPr>
        <w:pStyle w:val="BodyText"/>
        <w:spacing w:before="8"/>
        <w:rPr>
          <w:sz w:val="17"/>
        </w:rPr>
      </w:pPr>
    </w:p>
    <w:p>
      <w:pPr>
        <w:pStyle w:val="Heading6"/>
        <w:spacing w:before="99"/>
        <w:rPr>
          <w:i/>
        </w:rPr>
      </w:pPr>
      <w:r>
        <w:rPr>
          <w:i/>
          <w:color w:val="231F20"/>
          <w:spacing w:val="7"/>
          <w:w w:val="110"/>
        </w:rPr>
        <w:t>DIFFERENTIATION</w:t>
      </w:r>
    </w:p>
    <w:p>
      <w:pPr>
        <w:pStyle w:val="BodyText"/>
        <w:spacing w:before="2"/>
        <w:rPr>
          <w:b/>
          <w:i/>
          <w:sz w:val="30"/>
        </w:rPr>
      </w:pPr>
    </w:p>
    <w:p>
      <w:pPr>
        <w:pStyle w:val="BodyText"/>
        <w:spacing w:line="292" w:lineRule="auto"/>
        <w:ind w:left="920" w:right="663"/>
        <w:jc w:val="both"/>
      </w:pPr>
      <w:r>
        <w:rPr>
          <w:color w:val="231F20"/>
        </w:rPr>
        <w:t>As discussed earlier, </w:t>
      </w:r>
      <w:r>
        <w:rPr>
          <w:i/>
          <w:color w:val="231F20"/>
        </w:rPr>
        <w:t>differentiation </w:t>
      </w:r>
      <w:r>
        <w:rPr>
          <w:color w:val="231F20"/>
        </w:rPr>
        <w:t>is a prime marketing objective. </w:t>
      </w:r>
      <w:r>
        <w:rPr>
          <w:color w:val="231F20"/>
        </w:rPr>
        <w:t>It </w:t>
      </w:r>
      <w:r>
        <w:rPr>
          <w:color w:val="231F20"/>
          <w:w w:val="105"/>
        </w:rPr>
        <w:t>involves</w:t>
      </w:r>
      <w:r>
        <w:rPr>
          <w:color w:val="231F20"/>
          <w:w w:val="105"/>
        </w:rPr>
        <w:t> making</w:t>
      </w:r>
      <w:r>
        <w:rPr>
          <w:color w:val="231F20"/>
          <w:w w:val="105"/>
        </w:rPr>
        <w:t> your</w:t>
      </w:r>
      <w:r>
        <w:rPr>
          <w:color w:val="231F20"/>
          <w:w w:val="105"/>
        </w:rPr>
        <w:t> product</w:t>
      </w:r>
      <w:r>
        <w:rPr>
          <w:color w:val="231F20"/>
          <w:w w:val="105"/>
        </w:rPr>
        <w:t> or</w:t>
      </w:r>
      <w:r>
        <w:rPr>
          <w:color w:val="231F20"/>
          <w:w w:val="105"/>
        </w:rPr>
        <w:t> service</w:t>
      </w:r>
      <w:r>
        <w:rPr>
          <w:color w:val="231F20"/>
          <w:w w:val="105"/>
        </w:rPr>
        <w:t> appear</w:t>
      </w:r>
      <w:r>
        <w:rPr>
          <w:color w:val="231F20"/>
          <w:w w:val="105"/>
        </w:rPr>
        <w:t> different</w:t>
      </w:r>
      <w:r>
        <w:rPr>
          <w:color w:val="231F20"/>
          <w:w w:val="105"/>
        </w:rPr>
        <w:t> in</w:t>
      </w:r>
      <w:r>
        <w:rPr>
          <w:color w:val="231F20"/>
          <w:w w:val="105"/>
        </w:rPr>
        <w:t> the </w:t>
      </w:r>
      <w:r>
        <w:rPr>
          <w:color w:val="231F20"/>
        </w:rPr>
        <w:t>mind of the consumer. With products, this means offering better de- sign, reliability, service, and delivery. With services, a point of differ- </w:t>
      </w:r>
      <w:r>
        <w:rPr>
          <w:color w:val="231F20"/>
          <w:w w:val="105"/>
        </w:rPr>
        <w:t>entiation</w:t>
      </w:r>
      <w:r>
        <w:rPr>
          <w:color w:val="231F20"/>
          <w:w w:val="105"/>
        </w:rPr>
        <w:t> can</w:t>
      </w:r>
      <w:r>
        <w:rPr>
          <w:color w:val="231F20"/>
          <w:w w:val="105"/>
        </w:rPr>
        <w:t> be</w:t>
      </w:r>
      <w:r>
        <w:rPr>
          <w:color w:val="231F20"/>
          <w:w w:val="105"/>
        </w:rPr>
        <w:t> employee</w:t>
      </w:r>
      <w:r>
        <w:rPr>
          <w:color w:val="231F20"/>
          <w:w w:val="105"/>
        </w:rPr>
        <w:t> courtesy,</w:t>
      </w:r>
      <w:r>
        <w:rPr>
          <w:color w:val="231F20"/>
          <w:w w:val="105"/>
        </w:rPr>
        <w:t> availability,</w:t>
      </w:r>
      <w:r>
        <w:rPr>
          <w:color w:val="231F20"/>
          <w:w w:val="105"/>
        </w:rPr>
        <w:t> expertise,</w:t>
      </w:r>
      <w:r>
        <w:rPr>
          <w:color w:val="231F20"/>
          <w:w w:val="105"/>
        </w:rPr>
        <w:t> and </w:t>
      </w:r>
      <w:r>
        <w:rPr>
          <w:color w:val="231F20"/>
        </w:rPr>
        <w:t>location. Products and services can be differentiated via advertising, </w:t>
      </w:r>
      <w:r>
        <w:rPr>
          <w:color w:val="231F20"/>
          <w:w w:val="105"/>
        </w:rPr>
        <w:t>even</w:t>
      </w:r>
      <w:r>
        <w:rPr>
          <w:color w:val="231F20"/>
          <w:spacing w:val="-9"/>
          <w:w w:val="105"/>
        </w:rPr>
        <w:t> </w:t>
      </w:r>
      <w:r>
        <w:rPr>
          <w:color w:val="231F20"/>
          <w:w w:val="105"/>
        </w:rPr>
        <w:t>if</w:t>
      </w:r>
      <w:r>
        <w:rPr>
          <w:color w:val="231F20"/>
          <w:spacing w:val="-9"/>
          <w:w w:val="105"/>
        </w:rPr>
        <w:t> </w:t>
      </w:r>
      <w:r>
        <w:rPr>
          <w:color w:val="231F20"/>
          <w:w w:val="105"/>
        </w:rPr>
        <w:t>they</w:t>
      </w:r>
      <w:r>
        <w:rPr>
          <w:color w:val="231F20"/>
          <w:spacing w:val="-9"/>
          <w:w w:val="105"/>
        </w:rPr>
        <w:t> </w:t>
      </w:r>
      <w:r>
        <w:rPr>
          <w:color w:val="231F20"/>
          <w:w w:val="105"/>
        </w:rPr>
        <w:t>are</w:t>
      </w:r>
      <w:r>
        <w:rPr>
          <w:color w:val="231F20"/>
          <w:spacing w:val="-9"/>
          <w:w w:val="105"/>
        </w:rPr>
        <w:t> </w:t>
      </w:r>
      <w:r>
        <w:rPr>
          <w:color w:val="231F20"/>
          <w:w w:val="105"/>
        </w:rPr>
        <w:t>virtually</w:t>
      </w:r>
      <w:r>
        <w:rPr>
          <w:color w:val="231F20"/>
          <w:spacing w:val="-9"/>
          <w:w w:val="105"/>
        </w:rPr>
        <w:t> </w:t>
      </w:r>
      <w:r>
        <w:rPr>
          <w:color w:val="231F20"/>
          <w:w w:val="105"/>
        </w:rPr>
        <w:t>the</w:t>
      </w:r>
      <w:r>
        <w:rPr>
          <w:color w:val="231F20"/>
          <w:spacing w:val="-9"/>
          <w:w w:val="105"/>
        </w:rPr>
        <w:t> </w:t>
      </w:r>
      <w:r>
        <w:rPr>
          <w:color w:val="231F20"/>
          <w:w w:val="105"/>
        </w:rPr>
        <w:t>same.</w:t>
      </w:r>
      <w:r>
        <w:rPr>
          <w:color w:val="231F20"/>
          <w:spacing w:val="-9"/>
          <w:w w:val="105"/>
        </w:rPr>
        <w:t> </w:t>
      </w:r>
      <w:r>
        <w:rPr>
          <w:color w:val="231F20"/>
          <w:w w:val="105"/>
        </w:rPr>
        <w:t>A</w:t>
      </w:r>
      <w:r>
        <w:rPr>
          <w:color w:val="231F20"/>
          <w:spacing w:val="-9"/>
          <w:w w:val="105"/>
        </w:rPr>
        <w:t> </w:t>
      </w:r>
      <w:r>
        <w:rPr>
          <w:color w:val="231F20"/>
          <w:w w:val="105"/>
        </w:rPr>
        <w:t>media</w:t>
      </w:r>
      <w:r>
        <w:rPr>
          <w:color w:val="231F20"/>
          <w:spacing w:val="-9"/>
          <w:w w:val="105"/>
        </w:rPr>
        <w:t> </w:t>
      </w:r>
      <w:r>
        <w:rPr>
          <w:color w:val="231F20"/>
          <w:w w:val="105"/>
        </w:rPr>
        <w:t>campaign</w:t>
      </w:r>
      <w:r>
        <w:rPr>
          <w:color w:val="231F20"/>
          <w:spacing w:val="-9"/>
          <w:w w:val="105"/>
        </w:rPr>
        <w:t> </w:t>
      </w:r>
      <w:r>
        <w:rPr>
          <w:color w:val="231F20"/>
          <w:w w:val="105"/>
        </w:rPr>
        <w:t>can</w:t>
      </w:r>
      <w:r>
        <w:rPr>
          <w:color w:val="231F20"/>
          <w:spacing w:val="-9"/>
          <w:w w:val="105"/>
        </w:rPr>
        <w:t> </w:t>
      </w:r>
      <w:r>
        <w:rPr>
          <w:color w:val="231F20"/>
          <w:w w:val="105"/>
        </w:rPr>
        <w:t>convince the</w:t>
      </w:r>
      <w:r>
        <w:rPr>
          <w:color w:val="231F20"/>
          <w:w w:val="105"/>
        </w:rPr>
        <w:t> consumer</w:t>
      </w:r>
      <w:r>
        <w:rPr>
          <w:color w:val="231F20"/>
          <w:w w:val="105"/>
        </w:rPr>
        <w:t> that</w:t>
      </w:r>
      <w:r>
        <w:rPr>
          <w:color w:val="231F20"/>
          <w:w w:val="105"/>
        </w:rPr>
        <w:t> one</w:t>
      </w:r>
      <w:r>
        <w:rPr>
          <w:color w:val="231F20"/>
          <w:w w:val="105"/>
        </w:rPr>
        <w:t> is</w:t>
      </w:r>
      <w:r>
        <w:rPr>
          <w:color w:val="231F20"/>
          <w:w w:val="105"/>
        </w:rPr>
        <w:t> better.</w:t>
      </w:r>
      <w:r>
        <w:rPr>
          <w:color w:val="231F20"/>
          <w:w w:val="105"/>
        </w:rPr>
        <w:t> For</w:t>
      </w:r>
      <w:r>
        <w:rPr>
          <w:color w:val="231F20"/>
          <w:w w:val="105"/>
        </w:rPr>
        <w:t> instance,</w:t>
      </w:r>
      <w:r>
        <w:rPr>
          <w:color w:val="231F20"/>
          <w:w w:val="105"/>
        </w:rPr>
        <w:t> consumers</w:t>
      </w:r>
      <w:r>
        <w:rPr>
          <w:color w:val="231F20"/>
          <w:w w:val="105"/>
        </w:rPr>
        <w:t> could</w:t>
      </w:r>
      <w:r>
        <w:rPr>
          <w:color w:val="231F20"/>
          <w:w w:val="105"/>
        </w:rPr>
        <w:t> be persuaded</w:t>
      </w:r>
      <w:r>
        <w:rPr>
          <w:color w:val="231F20"/>
          <w:w w:val="105"/>
        </w:rPr>
        <w:t> that</w:t>
      </w:r>
      <w:r>
        <w:rPr>
          <w:color w:val="231F20"/>
          <w:w w:val="105"/>
        </w:rPr>
        <w:t> Nike</w:t>
      </w:r>
      <w:r>
        <w:rPr>
          <w:color w:val="231F20"/>
          <w:w w:val="105"/>
        </w:rPr>
        <w:t> shoes</w:t>
      </w:r>
      <w:r>
        <w:rPr>
          <w:color w:val="231F20"/>
          <w:w w:val="105"/>
        </w:rPr>
        <w:t> are</w:t>
      </w:r>
      <w:r>
        <w:rPr>
          <w:color w:val="231F20"/>
          <w:w w:val="105"/>
        </w:rPr>
        <w:t> better</w:t>
      </w:r>
      <w:r>
        <w:rPr>
          <w:color w:val="231F20"/>
          <w:w w:val="105"/>
        </w:rPr>
        <w:t> than</w:t>
      </w:r>
      <w:r>
        <w:rPr>
          <w:color w:val="231F20"/>
          <w:w w:val="105"/>
        </w:rPr>
        <w:t> Converse</w:t>
      </w:r>
      <w:r>
        <w:rPr>
          <w:color w:val="231F20"/>
          <w:w w:val="105"/>
        </w:rPr>
        <w:t> because</w:t>
      </w:r>
      <w:r>
        <w:rPr>
          <w:color w:val="231F20"/>
          <w:w w:val="105"/>
        </w:rPr>
        <w:t> of</w:t>
      </w:r>
      <w:r>
        <w:rPr>
          <w:color w:val="231F20"/>
          <w:w w:val="105"/>
        </w:rPr>
        <w:t> a celebrity endorsement.</w:t>
      </w:r>
    </w:p>
    <w:p>
      <w:pPr>
        <w:pStyle w:val="BodyText"/>
        <w:rPr>
          <w:sz w:val="24"/>
        </w:rPr>
      </w:pPr>
    </w:p>
    <w:p>
      <w:pPr>
        <w:pStyle w:val="BodyText"/>
        <w:spacing w:before="10"/>
        <w:rPr>
          <w:sz w:val="26"/>
        </w:rPr>
      </w:pPr>
    </w:p>
    <w:p>
      <w:pPr>
        <w:pStyle w:val="Heading6"/>
        <w:rPr>
          <w:i/>
        </w:rPr>
      </w:pPr>
      <w:r>
        <w:rPr>
          <w:i/>
          <w:color w:val="231F20"/>
          <w:spacing w:val="6"/>
          <w:w w:val="115"/>
        </w:rPr>
        <w:t>FOCUS</w:t>
      </w:r>
    </w:p>
    <w:p>
      <w:pPr>
        <w:pStyle w:val="BodyText"/>
        <w:spacing w:before="2"/>
        <w:rPr>
          <w:b/>
          <w:i/>
          <w:sz w:val="30"/>
        </w:rPr>
      </w:pPr>
    </w:p>
    <w:p>
      <w:pPr>
        <w:pStyle w:val="BodyText"/>
        <w:spacing w:line="292" w:lineRule="auto"/>
        <w:ind w:left="920" w:right="666"/>
        <w:jc w:val="both"/>
      </w:pPr>
      <w:r>
        <w:rPr>
          <w:color w:val="231F20"/>
        </w:rPr>
        <w:t>Using a </w:t>
      </w:r>
      <w:r>
        <w:rPr>
          <w:i/>
          <w:color w:val="231F20"/>
        </w:rPr>
        <w:t>focus </w:t>
      </w:r>
      <w:r>
        <w:rPr>
          <w:color w:val="231F20"/>
        </w:rPr>
        <w:t>strategy, a company concentrates on either a </w:t>
      </w:r>
      <w:r>
        <w:rPr>
          <w:color w:val="231F20"/>
        </w:rPr>
        <w:t>market area, a market segment, or a product. The strength of a focus strat- egy is derived from knowing the customer and the product category well. Companies establish a “franchise” in the marketplace. In the beer market, dominated by titans such as Anheuser-Busch, Coors,</w:t>
      </w:r>
      <w:r>
        <w:rPr>
          <w:color w:val="231F20"/>
          <w:spacing w:val="40"/>
        </w:rPr>
        <w:t> </w:t>
      </w:r>
      <w:r>
        <w:rPr>
          <w:color w:val="231F20"/>
        </w:rPr>
        <w:t>and</w:t>
      </w:r>
      <w:r>
        <w:rPr>
          <w:color w:val="231F20"/>
          <w:spacing w:val="40"/>
        </w:rPr>
        <w:t> </w:t>
      </w:r>
      <w:r>
        <w:rPr>
          <w:color w:val="231F20"/>
        </w:rPr>
        <w:t>Miller,</w:t>
      </w:r>
      <w:r>
        <w:rPr>
          <w:color w:val="231F20"/>
          <w:spacing w:val="40"/>
        </w:rPr>
        <w:t> </w:t>
      </w:r>
      <w:r>
        <w:rPr>
          <w:color w:val="231F20"/>
        </w:rPr>
        <w:t>little</w:t>
      </w:r>
      <w:r>
        <w:rPr>
          <w:color w:val="231F20"/>
          <w:spacing w:val="40"/>
        </w:rPr>
        <w:t> </w:t>
      </w:r>
      <w:r>
        <w:rPr>
          <w:color w:val="231F20"/>
        </w:rPr>
        <w:t>Hudepohl</w:t>
      </w:r>
      <w:r>
        <w:rPr>
          <w:color w:val="231F20"/>
          <w:spacing w:val="40"/>
        </w:rPr>
        <w:t> </w:t>
      </w:r>
      <w:r>
        <w:rPr>
          <w:color w:val="231F20"/>
        </w:rPr>
        <w:t>Beer</w:t>
      </w:r>
      <w:r>
        <w:rPr>
          <w:color w:val="231F20"/>
          <w:spacing w:val="40"/>
        </w:rPr>
        <w:t> </w:t>
      </w:r>
      <w:r>
        <w:rPr>
          <w:color w:val="231F20"/>
        </w:rPr>
        <w:t>(“Hudy”)</w:t>
      </w:r>
      <w:r>
        <w:rPr>
          <w:color w:val="231F20"/>
          <w:spacing w:val="40"/>
        </w:rPr>
        <w:t> </w:t>
      </w:r>
      <w:r>
        <w:rPr>
          <w:color w:val="231F20"/>
        </w:rPr>
        <w:t>holds</w:t>
      </w:r>
      <w:r>
        <w:rPr>
          <w:color w:val="231F20"/>
          <w:spacing w:val="40"/>
        </w:rPr>
        <w:t> </w:t>
      </w:r>
      <w:r>
        <w:rPr>
          <w:color w:val="231F20"/>
        </w:rPr>
        <w:t>its</w:t>
      </w:r>
      <w:r>
        <w:rPr>
          <w:color w:val="231F20"/>
          <w:spacing w:val="40"/>
        </w:rPr>
        <w:t> </w:t>
      </w:r>
      <w:r>
        <w:rPr>
          <w:color w:val="231F20"/>
        </w:rPr>
        <w:t>own</w:t>
      </w:r>
      <w:r>
        <w:rPr>
          <w:color w:val="231F20"/>
          <w:spacing w:val="40"/>
        </w:rPr>
        <w:t> </w:t>
      </w:r>
      <w:r>
        <w:rPr>
          <w:color w:val="231F20"/>
        </w:rPr>
        <w:t>in</w:t>
      </w:r>
      <w:r>
        <w:rPr>
          <w:color w:val="231F20"/>
          <w:spacing w:val="40"/>
        </w:rPr>
        <w:t> </w:t>
      </w:r>
      <w:r>
        <w:rPr>
          <w:color w:val="231F20"/>
        </w:rPr>
        <w:t>Ohio. The giants can boast lower costs and slick marketing, but they do</w:t>
      </w:r>
      <w:r>
        <w:rPr>
          <w:color w:val="231F20"/>
          <w:spacing w:val="80"/>
          <w:w w:val="150"/>
        </w:rPr>
        <w:t> </w:t>
      </w:r>
      <w:r>
        <w:rPr>
          <w:color w:val="231F20"/>
        </w:rPr>
        <w:t>not enjoy the local “cult” following. Hudy pursued a loyal following over the years through local exposure and community involvement. Hudy </w:t>
      </w:r>
      <w:r>
        <w:rPr>
          <w:i/>
          <w:color w:val="231F20"/>
        </w:rPr>
        <w:t>focuses </w:t>
      </w:r>
      <w:r>
        <w:rPr>
          <w:color w:val="231F20"/>
        </w:rPr>
        <w:t>on Ohio.</w:t>
      </w:r>
    </w:p>
    <w:p>
      <w:pPr>
        <w:pStyle w:val="BodyText"/>
        <w:rPr>
          <w:sz w:val="24"/>
        </w:rPr>
      </w:pPr>
    </w:p>
    <w:p>
      <w:pPr>
        <w:pStyle w:val="BodyText"/>
        <w:spacing w:before="8"/>
        <w:rPr>
          <w:sz w:val="24"/>
        </w:rPr>
      </w:pPr>
    </w:p>
    <w:p>
      <w:pPr>
        <w:pStyle w:val="Heading4"/>
      </w:pPr>
      <w:r>
        <w:rPr>
          <w:color w:val="231F20"/>
          <w:spacing w:val="10"/>
          <w:w w:val="85"/>
        </w:rPr>
        <w:t>COMPETITIVE</w:t>
      </w:r>
      <w:r>
        <w:rPr>
          <w:color w:val="231F20"/>
          <w:spacing w:val="38"/>
        </w:rPr>
        <w:t> </w:t>
      </w:r>
      <w:r>
        <w:rPr>
          <w:color w:val="231F20"/>
          <w:w w:val="85"/>
        </w:rPr>
        <w:t>TACTICS:</w:t>
      </w:r>
      <w:r>
        <w:rPr>
          <w:color w:val="231F20"/>
          <w:spacing w:val="39"/>
        </w:rPr>
        <w:t> </w:t>
      </w:r>
      <w:r>
        <w:rPr>
          <w:color w:val="231F20"/>
          <w:spacing w:val="9"/>
          <w:w w:val="85"/>
        </w:rPr>
        <w:t>SIGNALING</w:t>
      </w:r>
    </w:p>
    <w:p>
      <w:pPr>
        <w:pStyle w:val="BodyText"/>
        <w:spacing w:before="10"/>
        <w:rPr>
          <w:rFonts w:ascii="Trebuchet MS"/>
          <w:sz w:val="29"/>
        </w:rPr>
      </w:pPr>
    </w:p>
    <w:p>
      <w:pPr>
        <w:pStyle w:val="BodyText"/>
        <w:spacing w:line="292" w:lineRule="auto"/>
        <w:ind w:left="920" w:right="666"/>
        <w:jc w:val="both"/>
      </w:pPr>
      <w:r>
        <w:rPr>
          <w:color w:val="231F20"/>
        </w:rPr>
        <w:t>Signaling is a key strategic tool. It involves letting your </w:t>
      </w:r>
      <w:r>
        <w:rPr>
          <w:color w:val="231F20"/>
        </w:rPr>
        <w:t>competitors know what’s on your mind. Combatants signal what they plan to do or what steps they will take in response to a competitor’s move. Of course, a company can also bluff. Signaling is used to prevent disas- trous</w:t>
      </w:r>
      <w:r>
        <w:rPr>
          <w:color w:val="231F20"/>
          <w:spacing w:val="10"/>
        </w:rPr>
        <w:t> </w:t>
      </w:r>
      <w:r>
        <w:rPr>
          <w:color w:val="231F20"/>
        </w:rPr>
        <w:t>(and</w:t>
      </w:r>
      <w:r>
        <w:rPr>
          <w:color w:val="231F20"/>
          <w:spacing w:val="10"/>
        </w:rPr>
        <w:t> </w:t>
      </w:r>
      <w:r>
        <w:rPr>
          <w:color w:val="231F20"/>
        </w:rPr>
        <w:t>costly)</w:t>
      </w:r>
      <w:r>
        <w:rPr>
          <w:color w:val="231F20"/>
          <w:spacing w:val="11"/>
        </w:rPr>
        <w:t> </w:t>
      </w:r>
      <w:r>
        <w:rPr>
          <w:color w:val="231F20"/>
        </w:rPr>
        <w:t>price</w:t>
      </w:r>
      <w:r>
        <w:rPr>
          <w:color w:val="231F20"/>
          <w:spacing w:val="10"/>
        </w:rPr>
        <w:t> </w:t>
      </w:r>
      <w:r>
        <w:rPr>
          <w:color w:val="231F20"/>
        </w:rPr>
        <w:t>wars.</w:t>
      </w:r>
      <w:r>
        <w:rPr>
          <w:color w:val="231F20"/>
          <w:spacing w:val="11"/>
        </w:rPr>
        <w:t> </w:t>
      </w:r>
      <w:r>
        <w:rPr>
          <w:color w:val="231F20"/>
        </w:rPr>
        <w:t>Direct</w:t>
      </w:r>
      <w:r>
        <w:rPr>
          <w:color w:val="231F20"/>
          <w:spacing w:val="10"/>
        </w:rPr>
        <w:t> </w:t>
      </w:r>
      <w:r>
        <w:rPr>
          <w:color w:val="231F20"/>
        </w:rPr>
        <w:t>contact</w:t>
      </w:r>
      <w:r>
        <w:rPr>
          <w:color w:val="231F20"/>
          <w:spacing w:val="11"/>
        </w:rPr>
        <w:t> </w:t>
      </w:r>
      <w:r>
        <w:rPr>
          <w:color w:val="231F20"/>
        </w:rPr>
        <w:t>with</w:t>
      </w:r>
      <w:r>
        <w:rPr>
          <w:color w:val="231F20"/>
          <w:spacing w:val="10"/>
        </w:rPr>
        <w:t> </w:t>
      </w:r>
      <w:r>
        <w:rPr>
          <w:color w:val="231F20"/>
        </w:rPr>
        <w:t>the</w:t>
      </w:r>
      <w:r>
        <w:rPr>
          <w:color w:val="231F20"/>
          <w:spacing w:val="10"/>
        </w:rPr>
        <w:t> </w:t>
      </w:r>
      <w:r>
        <w:rPr>
          <w:color w:val="231F20"/>
        </w:rPr>
        <w:t>competition</w:t>
      </w:r>
      <w:r>
        <w:rPr>
          <w:color w:val="231F20"/>
          <w:spacing w:val="11"/>
        </w:rPr>
        <w:t> </w:t>
      </w:r>
      <w:r>
        <w:rPr>
          <w:color w:val="231F20"/>
          <w:spacing w:val="-5"/>
        </w:rPr>
        <w:t>to</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set prices or allocate markets is illegal! Antitrust laws forbid this </w:t>
      </w:r>
      <w:r>
        <w:rPr>
          <w:color w:val="231F20"/>
        </w:rPr>
        <w:t>be- havior. But by judiciously signaling, companies can achieve the de- sired outcome without time behind bars.</w:t>
      </w:r>
    </w:p>
    <w:p>
      <w:pPr>
        <w:pStyle w:val="BodyText"/>
        <w:spacing w:line="292" w:lineRule="auto"/>
        <w:ind w:left="829" w:right="755" w:firstLine="340"/>
        <w:jc w:val="both"/>
      </w:pPr>
      <w:r>
        <w:rPr>
          <w:color w:val="231F20"/>
        </w:rPr>
        <w:t>In the airline industry, signaling is commonplace. On </w:t>
      </w:r>
      <w:r>
        <w:rPr>
          <w:color w:val="231F20"/>
        </w:rPr>
        <w:t>reservation screens across the country, a daily cat-and-mouse game goes on. For example, Delta may briefly lower fares significantly on its prized routes from Atlanta to Los Angeles in response to American Air-</w:t>
      </w:r>
      <w:r>
        <w:rPr>
          <w:color w:val="231F20"/>
          <w:spacing w:val="40"/>
        </w:rPr>
        <w:t> </w:t>
      </w:r>
      <w:r>
        <w:rPr>
          <w:color w:val="231F20"/>
        </w:rPr>
        <w:t>lines’ price cuts along the same route. The Delta price move says, “American,</w:t>
      </w:r>
      <w:r>
        <w:rPr>
          <w:color w:val="231F20"/>
          <w:spacing w:val="20"/>
        </w:rPr>
        <w:t> </w:t>
      </w:r>
      <w:r>
        <w:rPr>
          <w:color w:val="231F20"/>
        </w:rPr>
        <w:t>if</w:t>
      </w:r>
      <w:r>
        <w:rPr>
          <w:color w:val="231F20"/>
          <w:spacing w:val="20"/>
        </w:rPr>
        <w:t> </w:t>
      </w:r>
      <w:r>
        <w:rPr>
          <w:color w:val="231F20"/>
        </w:rPr>
        <w:t>you</w:t>
      </w:r>
      <w:r>
        <w:rPr>
          <w:color w:val="231F20"/>
          <w:spacing w:val="20"/>
        </w:rPr>
        <w:t> </w:t>
      </w:r>
      <w:r>
        <w:rPr>
          <w:color w:val="231F20"/>
        </w:rPr>
        <w:t>want</w:t>
      </w:r>
      <w:r>
        <w:rPr>
          <w:color w:val="231F20"/>
          <w:spacing w:val="20"/>
        </w:rPr>
        <w:t> </w:t>
      </w:r>
      <w:r>
        <w:rPr>
          <w:color w:val="231F20"/>
        </w:rPr>
        <w:t>to</w:t>
      </w:r>
      <w:r>
        <w:rPr>
          <w:color w:val="231F20"/>
          <w:spacing w:val="20"/>
        </w:rPr>
        <w:t> </w:t>
      </w:r>
      <w:r>
        <w:rPr>
          <w:color w:val="231F20"/>
        </w:rPr>
        <w:t>play</w:t>
      </w:r>
      <w:r>
        <w:rPr>
          <w:color w:val="231F20"/>
          <w:spacing w:val="20"/>
        </w:rPr>
        <w:t> </w:t>
      </w:r>
      <w:r>
        <w:rPr>
          <w:color w:val="231F20"/>
        </w:rPr>
        <w:t>games</w:t>
      </w:r>
      <w:r>
        <w:rPr>
          <w:color w:val="231F20"/>
          <w:spacing w:val="20"/>
        </w:rPr>
        <w:t> </w:t>
      </w:r>
      <w:r>
        <w:rPr>
          <w:color w:val="231F20"/>
        </w:rPr>
        <w:t>on</w:t>
      </w:r>
      <w:r>
        <w:rPr>
          <w:color w:val="231F20"/>
          <w:spacing w:val="20"/>
        </w:rPr>
        <w:t> </w:t>
      </w:r>
      <w:r>
        <w:rPr>
          <w:color w:val="231F20"/>
        </w:rPr>
        <w:t>this</w:t>
      </w:r>
      <w:r>
        <w:rPr>
          <w:color w:val="231F20"/>
          <w:spacing w:val="20"/>
        </w:rPr>
        <w:t> </w:t>
      </w:r>
      <w:r>
        <w:rPr>
          <w:color w:val="231F20"/>
        </w:rPr>
        <w:t>route,</w:t>
      </w:r>
      <w:r>
        <w:rPr>
          <w:color w:val="231F20"/>
          <w:spacing w:val="20"/>
        </w:rPr>
        <w:t> </w:t>
      </w:r>
      <w:r>
        <w:rPr>
          <w:color w:val="231F20"/>
        </w:rPr>
        <w:t>it’ll</w:t>
      </w:r>
      <w:r>
        <w:rPr>
          <w:color w:val="231F20"/>
          <w:spacing w:val="20"/>
        </w:rPr>
        <w:t> </w:t>
      </w:r>
      <w:r>
        <w:rPr>
          <w:color w:val="231F20"/>
        </w:rPr>
        <w:t>be</w:t>
      </w:r>
      <w:r>
        <w:rPr>
          <w:color w:val="231F20"/>
          <w:spacing w:val="20"/>
        </w:rPr>
        <w:t> </w:t>
      </w:r>
      <w:r>
        <w:rPr>
          <w:color w:val="231F20"/>
        </w:rPr>
        <w:t>bloody.” If American responds by raising prices, in effect they are signaling, “Let’s call a truce.” If American keeps the low fare, it is signaling its intention to do battle. It’s just like poker.</w:t>
      </w:r>
    </w:p>
    <w:p>
      <w:pPr>
        <w:pStyle w:val="BodyText"/>
        <w:spacing w:line="243" w:lineRule="exact"/>
        <w:ind w:left="1169"/>
        <w:jc w:val="both"/>
      </w:pPr>
      <w:r>
        <w:rPr>
          <w:color w:val="231F20"/>
        </w:rPr>
        <w:t>Six</w:t>
      </w:r>
      <w:r>
        <w:rPr>
          <w:color w:val="231F20"/>
          <w:spacing w:val="10"/>
        </w:rPr>
        <w:t> </w:t>
      </w:r>
      <w:r>
        <w:rPr>
          <w:color w:val="231F20"/>
        </w:rPr>
        <w:t>common</w:t>
      </w:r>
      <w:r>
        <w:rPr>
          <w:color w:val="231F20"/>
          <w:spacing w:val="11"/>
        </w:rPr>
        <w:t> </w:t>
      </w:r>
      <w:r>
        <w:rPr>
          <w:color w:val="231F20"/>
        </w:rPr>
        <w:t>types</w:t>
      </w:r>
      <w:r>
        <w:rPr>
          <w:color w:val="231F20"/>
          <w:spacing w:val="11"/>
        </w:rPr>
        <w:t> </w:t>
      </w:r>
      <w:r>
        <w:rPr>
          <w:color w:val="231F20"/>
        </w:rPr>
        <w:t>of</w:t>
      </w:r>
      <w:r>
        <w:rPr>
          <w:color w:val="231F20"/>
          <w:spacing w:val="10"/>
        </w:rPr>
        <w:t> </w:t>
      </w:r>
      <w:r>
        <w:rPr>
          <w:i/>
          <w:color w:val="231F20"/>
        </w:rPr>
        <w:t>legal</w:t>
      </w:r>
      <w:r>
        <w:rPr>
          <w:i/>
          <w:color w:val="231F20"/>
          <w:spacing w:val="10"/>
        </w:rPr>
        <w:t> </w:t>
      </w:r>
      <w:r>
        <w:rPr>
          <w:color w:val="231F20"/>
        </w:rPr>
        <w:t>signals</w:t>
      </w:r>
      <w:r>
        <w:rPr>
          <w:color w:val="231F20"/>
          <w:spacing w:val="11"/>
        </w:rPr>
        <w:t> </w:t>
      </w:r>
      <w:r>
        <w:rPr>
          <w:color w:val="231F20"/>
          <w:spacing w:val="-4"/>
        </w:rPr>
        <w:t>are:</w:t>
      </w:r>
    </w:p>
    <w:p>
      <w:pPr>
        <w:pStyle w:val="BodyText"/>
        <w:spacing w:before="10"/>
        <w:rPr>
          <w:sz w:val="31"/>
        </w:rPr>
      </w:pPr>
    </w:p>
    <w:p>
      <w:pPr>
        <w:spacing w:line="328" w:lineRule="auto" w:before="0"/>
        <w:ind w:left="1510" w:right="1262" w:hanging="340"/>
        <w:jc w:val="left"/>
        <w:rPr>
          <w:rFonts w:ascii="Arial" w:hAnsi="Arial"/>
          <w:sz w:val="19"/>
        </w:rPr>
      </w:pPr>
      <w:r>
        <w:rPr>
          <w:rFonts w:ascii="Arial" w:hAnsi="Arial"/>
          <w:i/>
          <w:color w:val="231F20"/>
          <w:w w:val="110"/>
          <w:sz w:val="19"/>
        </w:rPr>
        <w:t>Price Movements</w:t>
      </w:r>
      <w:r>
        <w:rPr>
          <w:rFonts w:ascii="Arial" w:hAnsi="Arial"/>
          <w:i/>
          <w:color w:val="231F20"/>
          <w:spacing w:val="-38"/>
          <w:w w:val="110"/>
          <w:sz w:val="19"/>
        </w:rPr>
        <w:t> </w:t>
      </w:r>
      <w:r>
        <w:rPr>
          <w:rFonts w:ascii="Arial" w:hAnsi="Arial"/>
          <w:color w:val="231F20"/>
          <w:w w:val="110"/>
          <w:sz w:val="19"/>
        </w:rPr>
        <w:t>—</w:t>
      </w:r>
      <w:r>
        <w:rPr>
          <w:rFonts w:ascii="Arial" w:hAnsi="Arial"/>
          <w:color w:val="231F20"/>
          <w:spacing w:val="-38"/>
          <w:w w:val="110"/>
          <w:sz w:val="19"/>
        </w:rPr>
        <w:t> </w:t>
      </w:r>
      <w:r>
        <w:rPr>
          <w:rFonts w:ascii="Arial" w:hAnsi="Arial"/>
          <w:color w:val="231F20"/>
          <w:w w:val="110"/>
          <w:sz w:val="19"/>
        </w:rPr>
        <w:t>to signal intentions and to </w:t>
      </w:r>
      <w:r>
        <w:rPr>
          <w:rFonts w:ascii="Arial" w:hAnsi="Arial"/>
          <w:color w:val="231F20"/>
          <w:w w:val="110"/>
          <w:sz w:val="19"/>
        </w:rPr>
        <w:t>penalize </w:t>
      </w:r>
      <w:r>
        <w:rPr>
          <w:rFonts w:ascii="Arial" w:hAnsi="Arial"/>
          <w:color w:val="231F20"/>
          <w:w w:val="115"/>
          <w:sz w:val="19"/>
        </w:rPr>
        <w:t>unacceptable behavior</w:t>
      </w:r>
    </w:p>
    <w:p>
      <w:pPr>
        <w:spacing w:line="328" w:lineRule="auto" w:before="2"/>
        <w:ind w:left="1510" w:right="966" w:hanging="340"/>
        <w:jc w:val="left"/>
        <w:rPr>
          <w:rFonts w:ascii="Arial" w:hAnsi="Arial"/>
          <w:sz w:val="19"/>
        </w:rPr>
      </w:pPr>
      <w:r>
        <w:rPr>
          <w:rFonts w:ascii="Arial" w:hAnsi="Arial"/>
          <w:i/>
          <w:color w:val="231F20"/>
          <w:w w:val="110"/>
          <w:sz w:val="19"/>
        </w:rPr>
        <w:t>Prior Announcements</w:t>
      </w:r>
      <w:r>
        <w:rPr>
          <w:rFonts w:ascii="Arial" w:hAnsi="Arial"/>
          <w:i/>
          <w:color w:val="231F20"/>
          <w:spacing w:val="-23"/>
          <w:w w:val="110"/>
          <w:sz w:val="19"/>
        </w:rPr>
        <w:t> </w:t>
      </w:r>
      <w:r>
        <w:rPr>
          <w:rFonts w:ascii="Arial" w:hAnsi="Arial"/>
          <w:color w:val="231F20"/>
          <w:w w:val="110"/>
          <w:sz w:val="19"/>
        </w:rPr>
        <w:t>—</w:t>
      </w:r>
      <w:r>
        <w:rPr>
          <w:rFonts w:ascii="Arial" w:hAnsi="Arial"/>
          <w:color w:val="231F20"/>
          <w:spacing w:val="-23"/>
          <w:w w:val="110"/>
          <w:sz w:val="19"/>
        </w:rPr>
        <w:t> </w:t>
      </w:r>
      <w:r>
        <w:rPr>
          <w:rFonts w:ascii="Arial" w:hAnsi="Arial"/>
          <w:color w:val="231F20"/>
          <w:w w:val="110"/>
          <w:sz w:val="19"/>
        </w:rPr>
        <w:t>to threaten, to test competitors’ resolve, and to avoid surprises. In the retailing industry announcements that a strong company will “meet or beat any competitor’s price” sends a strong signal of a company’s resolve. A smaller and weaker competitor should probably not compete only on price.</w:t>
      </w:r>
    </w:p>
    <w:p>
      <w:pPr>
        <w:spacing w:line="328" w:lineRule="auto" w:before="4"/>
        <w:ind w:left="1509" w:right="759" w:hanging="340"/>
        <w:jc w:val="left"/>
        <w:rPr>
          <w:rFonts w:ascii="Arial" w:hAnsi="Arial"/>
          <w:sz w:val="19"/>
        </w:rPr>
      </w:pPr>
      <w:r>
        <w:rPr>
          <w:rFonts w:ascii="Arial" w:hAnsi="Arial"/>
          <w:i/>
          <w:color w:val="231F20"/>
          <w:w w:val="115"/>
          <w:sz w:val="19"/>
        </w:rPr>
        <w:t>Media</w:t>
      </w:r>
      <w:r>
        <w:rPr>
          <w:rFonts w:ascii="Arial" w:hAnsi="Arial"/>
          <w:i/>
          <w:color w:val="231F20"/>
          <w:spacing w:val="-2"/>
          <w:w w:val="115"/>
          <w:sz w:val="19"/>
        </w:rPr>
        <w:t> </w:t>
      </w:r>
      <w:r>
        <w:rPr>
          <w:rFonts w:ascii="Arial" w:hAnsi="Arial"/>
          <w:i/>
          <w:color w:val="231F20"/>
          <w:w w:val="115"/>
          <w:sz w:val="19"/>
        </w:rPr>
        <w:t>Discussions</w:t>
      </w:r>
      <w:r>
        <w:rPr>
          <w:rFonts w:ascii="Arial" w:hAnsi="Arial"/>
          <w:i/>
          <w:color w:val="231F20"/>
          <w:spacing w:val="-42"/>
          <w:w w:val="115"/>
          <w:sz w:val="19"/>
        </w:rPr>
        <w:t> </w:t>
      </w:r>
      <w:r>
        <w:rPr>
          <w:rFonts w:ascii="Arial" w:hAnsi="Arial"/>
          <w:color w:val="231F20"/>
          <w:w w:val="115"/>
          <w:sz w:val="19"/>
        </w:rPr>
        <w:t>—</w:t>
      </w:r>
      <w:r>
        <w:rPr>
          <w:rFonts w:ascii="Arial" w:hAnsi="Arial"/>
          <w:color w:val="231F20"/>
          <w:spacing w:val="-42"/>
          <w:w w:val="115"/>
          <w:sz w:val="19"/>
        </w:rPr>
        <w:t> </w:t>
      </w:r>
      <w:r>
        <w:rPr>
          <w:rFonts w:ascii="Arial" w:hAnsi="Arial"/>
          <w:color w:val="231F20"/>
          <w:w w:val="115"/>
          <w:sz w:val="19"/>
        </w:rPr>
        <w:t>to</w:t>
      </w:r>
      <w:r>
        <w:rPr>
          <w:rFonts w:ascii="Arial" w:hAnsi="Arial"/>
          <w:color w:val="231F20"/>
          <w:spacing w:val="-2"/>
          <w:w w:val="115"/>
          <w:sz w:val="19"/>
        </w:rPr>
        <w:t> </w:t>
      </w:r>
      <w:r>
        <w:rPr>
          <w:rFonts w:ascii="Arial" w:hAnsi="Arial"/>
          <w:color w:val="231F20"/>
          <w:w w:val="115"/>
          <w:sz w:val="19"/>
        </w:rPr>
        <w:t>communicate</w:t>
      </w:r>
      <w:r>
        <w:rPr>
          <w:rFonts w:ascii="Arial" w:hAnsi="Arial"/>
          <w:color w:val="231F20"/>
          <w:spacing w:val="-2"/>
          <w:w w:val="115"/>
          <w:sz w:val="19"/>
        </w:rPr>
        <w:t> </w:t>
      </w:r>
      <w:r>
        <w:rPr>
          <w:rFonts w:ascii="Arial" w:hAnsi="Arial"/>
          <w:color w:val="231F20"/>
          <w:w w:val="115"/>
          <w:sz w:val="19"/>
        </w:rPr>
        <w:t>your</w:t>
      </w:r>
      <w:r>
        <w:rPr>
          <w:rFonts w:ascii="Arial" w:hAnsi="Arial"/>
          <w:color w:val="231F20"/>
          <w:spacing w:val="-2"/>
          <w:w w:val="115"/>
          <w:sz w:val="19"/>
        </w:rPr>
        <w:t> </w:t>
      </w:r>
      <w:r>
        <w:rPr>
          <w:rFonts w:ascii="Arial" w:hAnsi="Arial"/>
          <w:color w:val="231F20"/>
          <w:w w:val="115"/>
          <w:sz w:val="19"/>
        </w:rPr>
        <w:t>rationale</w:t>
      </w:r>
      <w:r>
        <w:rPr>
          <w:rFonts w:ascii="Arial" w:hAnsi="Arial"/>
          <w:color w:val="231F20"/>
          <w:spacing w:val="-2"/>
          <w:w w:val="115"/>
          <w:sz w:val="19"/>
        </w:rPr>
        <w:t> </w:t>
      </w:r>
      <w:r>
        <w:rPr>
          <w:rFonts w:ascii="Arial" w:hAnsi="Arial"/>
          <w:color w:val="231F20"/>
          <w:w w:val="115"/>
          <w:sz w:val="19"/>
        </w:rPr>
        <w:t>for actions and to convey your thoughts to the competition. Because executives of competing companies are barred from communicating with each other directly, they do it indirectly via the media. An ExxonMobil executive, for example,</w:t>
      </w:r>
      <w:r>
        <w:rPr>
          <w:rFonts w:ascii="Arial" w:hAnsi="Arial"/>
          <w:color w:val="231F20"/>
          <w:spacing w:val="-3"/>
          <w:w w:val="115"/>
          <w:sz w:val="19"/>
        </w:rPr>
        <w:t> </w:t>
      </w:r>
      <w:r>
        <w:rPr>
          <w:rFonts w:ascii="Arial" w:hAnsi="Arial"/>
          <w:color w:val="231F20"/>
          <w:w w:val="115"/>
          <w:sz w:val="19"/>
        </w:rPr>
        <w:t>could</w:t>
      </w:r>
      <w:r>
        <w:rPr>
          <w:rFonts w:ascii="Arial" w:hAnsi="Arial"/>
          <w:color w:val="231F20"/>
          <w:spacing w:val="-3"/>
          <w:w w:val="115"/>
          <w:sz w:val="19"/>
        </w:rPr>
        <w:t> </w:t>
      </w:r>
      <w:r>
        <w:rPr>
          <w:rFonts w:ascii="Arial" w:hAnsi="Arial"/>
          <w:color w:val="231F20"/>
          <w:w w:val="115"/>
          <w:sz w:val="19"/>
        </w:rPr>
        <w:t>express</w:t>
      </w:r>
      <w:r>
        <w:rPr>
          <w:rFonts w:ascii="Arial" w:hAnsi="Arial"/>
          <w:color w:val="231F20"/>
          <w:spacing w:val="-3"/>
          <w:w w:val="115"/>
          <w:sz w:val="19"/>
        </w:rPr>
        <w:t> </w:t>
      </w:r>
      <w:r>
        <w:rPr>
          <w:rFonts w:ascii="Arial" w:hAnsi="Arial"/>
          <w:color w:val="231F20"/>
          <w:w w:val="115"/>
          <w:sz w:val="19"/>
        </w:rPr>
        <w:t>his</w:t>
      </w:r>
      <w:r>
        <w:rPr>
          <w:rFonts w:ascii="Arial" w:hAnsi="Arial"/>
          <w:color w:val="231F20"/>
          <w:spacing w:val="-3"/>
          <w:w w:val="115"/>
          <w:sz w:val="19"/>
        </w:rPr>
        <w:t> </w:t>
      </w:r>
      <w:r>
        <w:rPr>
          <w:rFonts w:ascii="Arial" w:hAnsi="Arial"/>
          <w:color w:val="231F20"/>
          <w:w w:val="115"/>
          <w:sz w:val="19"/>
        </w:rPr>
        <w:t>weariness</w:t>
      </w:r>
      <w:r>
        <w:rPr>
          <w:rFonts w:ascii="Arial" w:hAnsi="Arial"/>
          <w:color w:val="231F20"/>
          <w:spacing w:val="-3"/>
          <w:w w:val="115"/>
          <w:sz w:val="19"/>
        </w:rPr>
        <w:t> </w:t>
      </w:r>
      <w:r>
        <w:rPr>
          <w:rFonts w:ascii="Arial" w:hAnsi="Arial"/>
          <w:color w:val="231F20"/>
          <w:w w:val="115"/>
          <w:sz w:val="19"/>
        </w:rPr>
        <w:t>with</w:t>
      </w:r>
      <w:r>
        <w:rPr>
          <w:rFonts w:ascii="Arial" w:hAnsi="Arial"/>
          <w:color w:val="231F20"/>
          <w:spacing w:val="-3"/>
          <w:w w:val="115"/>
          <w:sz w:val="19"/>
        </w:rPr>
        <w:t> </w:t>
      </w:r>
      <w:r>
        <w:rPr>
          <w:rFonts w:ascii="Arial" w:hAnsi="Arial"/>
          <w:color w:val="231F20"/>
          <w:w w:val="115"/>
          <w:sz w:val="19"/>
        </w:rPr>
        <w:t>fruitless</w:t>
      </w:r>
      <w:r>
        <w:rPr>
          <w:rFonts w:ascii="Arial" w:hAnsi="Arial"/>
          <w:color w:val="231F20"/>
          <w:spacing w:val="-3"/>
          <w:w w:val="115"/>
          <w:sz w:val="19"/>
        </w:rPr>
        <w:t> </w:t>
      </w:r>
      <w:r>
        <w:rPr>
          <w:rFonts w:ascii="Arial" w:hAnsi="Arial"/>
          <w:color w:val="231F20"/>
          <w:w w:val="115"/>
          <w:sz w:val="19"/>
        </w:rPr>
        <w:t>price wars and his hope that “marketing messages” would constitute the basis of competition. In this way, ChevronTexaco</w:t>
      </w:r>
      <w:r>
        <w:rPr>
          <w:rFonts w:ascii="Arial" w:hAnsi="Arial"/>
          <w:color w:val="231F20"/>
          <w:spacing w:val="-16"/>
          <w:w w:val="115"/>
          <w:sz w:val="19"/>
        </w:rPr>
        <w:t> </w:t>
      </w:r>
      <w:r>
        <w:rPr>
          <w:rFonts w:ascii="Arial" w:hAnsi="Arial"/>
          <w:color w:val="231F20"/>
          <w:w w:val="115"/>
          <w:sz w:val="19"/>
        </w:rPr>
        <w:t>and</w:t>
      </w:r>
      <w:r>
        <w:rPr>
          <w:rFonts w:ascii="Arial" w:hAnsi="Arial"/>
          <w:color w:val="231F20"/>
          <w:spacing w:val="-15"/>
          <w:w w:val="115"/>
          <w:sz w:val="19"/>
        </w:rPr>
        <w:t> </w:t>
      </w:r>
      <w:r>
        <w:rPr>
          <w:rFonts w:ascii="Arial" w:hAnsi="Arial"/>
          <w:color w:val="231F20"/>
          <w:w w:val="115"/>
          <w:sz w:val="19"/>
        </w:rPr>
        <w:t>BP</w:t>
      </w:r>
      <w:r>
        <w:rPr>
          <w:rFonts w:ascii="Arial" w:hAnsi="Arial"/>
          <w:color w:val="231F20"/>
          <w:spacing w:val="-15"/>
          <w:w w:val="115"/>
          <w:sz w:val="19"/>
        </w:rPr>
        <w:t> </w:t>
      </w:r>
      <w:r>
        <w:rPr>
          <w:rFonts w:ascii="Arial" w:hAnsi="Arial"/>
          <w:color w:val="231F20"/>
          <w:w w:val="115"/>
          <w:sz w:val="19"/>
        </w:rPr>
        <w:t>would</w:t>
      </w:r>
      <w:r>
        <w:rPr>
          <w:rFonts w:ascii="Arial" w:hAnsi="Arial"/>
          <w:color w:val="231F20"/>
          <w:spacing w:val="-15"/>
          <w:w w:val="115"/>
          <w:sz w:val="19"/>
        </w:rPr>
        <w:t> </w:t>
      </w:r>
      <w:r>
        <w:rPr>
          <w:rFonts w:ascii="Arial" w:hAnsi="Arial"/>
          <w:color w:val="231F20"/>
          <w:w w:val="115"/>
          <w:sz w:val="19"/>
        </w:rPr>
        <w:t>be</w:t>
      </w:r>
      <w:r>
        <w:rPr>
          <w:rFonts w:ascii="Arial" w:hAnsi="Arial"/>
          <w:color w:val="231F20"/>
          <w:spacing w:val="-15"/>
          <w:w w:val="115"/>
          <w:sz w:val="19"/>
        </w:rPr>
        <w:t> </w:t>
      </w:r>
      <w:r>
        <w:rPr>
          <w:rFonts w:ascii="Arial" w:hAnsi="Arial"/>
          <w:color w:val="231F20"/>
          <w:w w:val="115"/>
          <w:sz w:val="19"/>
        </w:rPr>
        <w:t>put</w:t>
      </w:r>
      <w:r>
        <w:rPr>
          <w:rFonts w:ascii="Arial" w:hAnsi="Arial"/>
          <w:color w:val="231F20"/>
          <w:spacing w:val="-16"/>
          <w:w w:val="115"/>
          <w:sz w:val="19"/>
        </w:rPr>
        <w:t> </w:t>
      </w:r>
      <w:r>
        <w:rPr>
          <w:rFonts w:ascii="Arial" w:hAnsi="Arial"/>
          <w:color w:val="231F20"/>
          <w:w w:val="115"/>
          <w:sz w:val="19"/>
        </w:rPr>
        <w:t>on</w:t>
      </w:r>
      <w:r>
        <w:rPr>
          <w:rFonts w:ascii="Arial" w:hAnsi="Arial"/>
          <w:color w:val="231F20"/>
          <w:spacing w:val="-15"/>
          <w:w w:val="115"/>
          <w:sz w:val="19"/>
        </w:rPr>
        <w:t> </w:t>
      </w:r>
      <w:r>
        <w:rPr>
          <w:rFonts w:ascii="Arial" w:hAnsi="Arial"/>
          <w:color w:val="231F20"/>
          <w:w w:val="115"/>
          <w:sz w:val="19"/>
        </w:rPr>
        <w:t>notice</w:t>
      </w:r>
      <w:r>
        <w:rPr>
          <w:rFonts w:ascii="Arial" w:hAnsi="Arial"/>
          <w:color w:val="231F20"/>
          <w:spacing w:val="-15"/>
          <w:w w:val="115"/>
          <w:sz w:val="19"/>
        </w:rPr>
        <w:t> </w:t>
      </w:r>
      <w:r>
        <w:rPr>
          <w:rFonts w:ascii="Arial" w:hAnsi="Arial"/>
          <w:color w:val="231F20"/>
          <w:w w:val="115"/>
          <w:sz w:val="19"/>
        </w:rPr>
        <w:t>to</w:t>
      </w:r>
      <w:r>
        <w:rPr>
          <w:rFonts w:ascii="Arial" w:hAnsi="Arial"/>
          <w:color w:val="231F20"/>
          <w:spacing w:val="-15"/>
          <w:w w:val="115"/>
          <w:sz w:val="19"/>
        </w:rPr>
        <w:t> </w:t>
      </w:r>
      <w:r>
        <w:rPr>
          <w:rFonts w:ascii="Arial" w:hAnsi="Arial"/>
          <w:color w:val="231F20"/>
          <w:w w:val="115"/>
          <w:sz w:val="19"/>
        </w:rPr>
        <w:t>observe ExxonMobil’s price climb and act accordingly.</w:t>
      </w:r>
    </w:p>
    <w:p>
      <w:pPr>
        <w:spacing w:line="328" w:lineRule="auto" w:before="6"/>
        <w:ind w:left="1509" w:right="827" w:hanging="340"/>
        <w:jc w:val="left"/>
        <w:rPr>
          <w:rFonts w:ascii="Arial" w:hAnsi="Arial"/>
          <w:sz w:val="19"/>
        </w:rPr>
      </w:pPr>
      <w:r>
        <w:rPr>
          <w:rFonts w:ascii="Arial" w:hAnsi="Arial"/>
          <w:i/>
          <w:color w:val="231F20"/>
          <w:w w:val="115"/>
          <w:sz w:val="19"/>
        </w:rPr>
        <w:t>Counterattack</w:t>
      </w:r>
      <w:r>
        <w:rPr>
          <w:rFonts w:ascii="Arial" w:hAnsi="Arial"/>
          <w:color w:val="231F20"/>
          <w:w w:val="115"/>
          <w:sz w:val="19"/>
        </w:rPr>
        <w:t>—</w:t>
      </w:r>
      <w:r>
        <w:rPr>
          <w:rFonts w:ascii="Arial" w:hAnsi="Arial"/>
          <w:color w:val="231F20"/>
          <w:spacing w:val="-42"/>
          <w:w w:val="115"/>
          <w:sz w:val="19"/>
        </w:rPr>
        <w:t> </w:t>
      </w:r>
      <w:r>
        <w:rPr>
          <w:rFonts w:ascii="Arial" w:hAnsi="Arial"/>
          <w:color w:val="231F20"/>
          <w:w w:val="115"/>
          <w:sz w:val="19"/>
        </w:rPr>
        <w:t>to</w:t>
      </w:r>
      <w:r>
        <w:rPr>
          <w:rFonts w:ascii="Arial" w:hAnsi="Arial"/>
          <w:color w:val="231F20"/>
          <w:spacing w:val="-7"/>
          <w:w w:val="115"/>
          <w:sz w:val="19"/>
        </w:rPr>
        <w:t> </w:t>
      </w:r>
      <w:r>
        <w:rPr>
          <w:rFonts w:ascii="Arial" w:hAnsi="Arial"/>
          <w:color w:val="231F20"/>
          <w:w w:val="115"/>
          <w:sz w:val="19"/>
        </w:rPr>
        <w:t>hit</w:t>
      </w:r>
      <w:r>
        <w:rPr>
          <w:rFonts w:ascii="Arial" w:hAnsi="Arial"/>
          <w:color w:val="231F20"/>
          <w:spacing w:val="-6"/>
          <w:w w:val="115"/>
          <w:sz w:val="19"/>
        </w:rPr>
        <w:t> </w:t>
      </w:r>
      <w:r>
        <w:rPr>
          <w:rFonts w:ascii="Arial" w:hAnsi="Arial"/>
          <w:color w:val="231F20"/>
          <w:w w:val="115"/>
          <w:sz w:val="19"/>
        </w:rPr>
        <w:t>your</w:t>
      </w:r>
      <w:r>
        <w:rPr>
          <w:rFonts w:ascii="Arial" w:hAnsi="Arial"/>
          <w:color w:val="231F20"/>
          <w:spacing w:val="-6"/>
          <w:w w:val="115"/>
          <w:sz w:val="19"/>
        </w:rPr>
        <w:t> </w:t>
      </w:r>
      <w:r>
        <w:rPr>
          <w:rFonts w:ascii="Arial" w:hAnsi="Arial"/>
          <w:color w:val="231F20"/>
          <w:w w:val="115"/>
          <w:sz w:val="19"/>
        </w:rPr>
        <w:t>competitor’s</w:t>
      </w:r>
      <w:r>
        <w:rPr>
          <w:rFonts w:ascii="Arial" w:hAnsi="Arial"/>
          <w:color w:val="231F20"/>
          <w:spacing w:val="-6"/>
          <w:w w:val="115"/>
          <w:sz w:val="19"/>
        </w:rPr>
        <w:t> </w:t>
      </w:r>
      <w:r>
        <w:rPr>
          <w:rFonts w:ascii="Arial" w:hAnsi="Arial"/>
          <w:color w:val="231F20"/>
          <w:w w:val="115"/>
          <w:sz w:val="19"/>
        </w:rPr>
        <w:t>home</w:t>
      </w:r>
      <w:r>
        <w:rPr>
          <w:rFonts w:ascii="Arial" w:hAnsi="Arial"/>
          <w:color w:val="231F20"/>
          <w:spacing w:val="-6"/>
          <w:w w:val="115"/>
          <w:sz w:val="19"/>
        </w:rPr>
        <w:t> </w:t>
      </w:r>
      <w:r>
        <w:rPr>
          <w:rFonts w:ascii="Arial" w:hAnsi="Arial"/>
          <w:color w:val="231F20"/>
          <w:w w:val="115"/>
          <w:sz w:val="19"/>
        </w:rPr>
        <w:t>market</w:t>
      </w:r>
      <w:r>
        <w:rPr>
          <w:rFonts w:ascii="Arial" w:hAnsi="Arial"/>
          <w:color w:val="231F20"/>
          <w:spacing w:val="-6"/>
          <w:w w:val="115"/>
          <w:sz w:val="19"/>
        </w:rPr>
        <w:t> </w:t>
      </w:r>
      <w:r>
        <w:rPr>
          <w:rFonts w:ascii="Arial" w:hAnsi="Arial"/>
          <w:color w:val="231F20"/>
          <w:w w:val="115"/>
          <w:sz w:val="19"/>
        </w:rPr>
        <w:t>with</w:t>
      </w:r>
      <w:r>
        <w:rPr>
          <w:rFonts w:ascii="Arial" w:hAnsi="Arial"/>
          <w:color w:val="231F20"/>
          <w:spacing w:val="-6"/>
          <w:w w:val="115"/>
          <w:sz w:val="19"/>
        </w:rPr>
        <w:t> </w:t>
      </w:r>
      <w:r>
        <w:rPr>
          <w:rFonts w:ascii="Arial" w:hAnsi="Arial"/>
          <w:color w:val="231F20"/>
          <w:w w:val="115"/>
          <w:sz w:val="19"/>
        </w:rPr>
        <w:t>a price cut or promotion in retaliation for their encroachment on your turf. Say New York was Maxwell House coffee’s best market, and Folgers best was</w:t>
      </w:r>
    </w:p>
    <w:p>
      <w:pPr>
        <w:spacing w:after="0" w:line="328" w:lineRule="auto"/>
        <w:jc w:val="left"/>
        <w:rPr>
          <w:rFonts w:ascii="Arial" w:hAnsi="Arial"/>
          <w:sz w:val="19"/>
        </w:rPr>
        <w:sectPr>
          <w:pgSz w:w="8640" w:h="12960"/>
          <w:pgMar w:header="732" w:footer="0" w:top="920" w:bottom="280" w:left="340" w:right="500"/>
        </w:sectPr>
      </w:pPr>
    </w:p>
    <w:p>
      <w:pPr>
        <w:pStyle w:val="BodyText"/>
        <w:spacing w:before="8"/>
        <w:rPr>
          <w:rFonts w:ascii="Arial"/>
          <w:sz w:val="19"/>
        </w:rPr>
      </w:pPr>
    </w:p>
    <w:p>
      <w:pPr>
        <w:spacing w:line="328" w:lineRule="auto" w:before="95"/>
        <w:ind w:left="1600" w:right="828" w:firstLine="0"/>
        <w:jc w:val="left"/>
        <w:rPr>
          <w:rFonts w:ascii="Arial" w:hAnsi="Arial"/>
          <w:sz w:val="19"/>
        </w:rPr>
      </w:pPr>
      <w:r>
        <w:rPr>
          <w:rFonts w:ascii="Arial" w:hAnsi="Arial"/>
          <w:color w:val="231F20"/>
          <w:w w:val="110"/>
          <w:sz w:val="19"/>
        </w:rPr>
        <w:t>California. If the Maxwell House brand manager attacked Folgers turf with aggressive pricing and promotion, his counterpart at Folgers would be up in arms, to put it</w:t>
      </w:r>
      <w:r>
        <w:rPr>
          <w:rFonts w:ascii="Arial" w:hAnsi="Arial"/>
          <w:color w:val="231F20"/>
          <w:spacing w:val="40"/>
          <w:w w:val="110"/>
          <w:sz w:val="19"/>
        </w:rPr>
        <w:t> </w:t>
      </w:r>
      <w:r>
        <w:rPr>
          <w:rFonts w:ascii="Arial" w:hAnsi="Arial"/>
          <w:color w:val="231F20"/>
          <w:w w:val="110"/>
          <w:sz w:val="19"/>
        </w:rPr>
        <w:t>mildly. He would have two options: one, to defend California aggressively; or two, to take the offensive and attack Maxwell House’s New York market. If he chose </w:t>
      </w:r>
      <w:r>
        <w:rPr>
          <w:rFonts w:ascii="Arial" w:hAnsi="Arial"/>
          <w:color w:val="231F20"/>
          <w:w w:val="110"/>
          <w:sz w:val="19"/>
        </w:rPr>
        <w:t>the second option, he would be signaling his anger and suggesting</w:t>
      </w:r>
      <w:r>
        <w:rPr>
          <w:rFonts w:ascii="Arial" w:hAnsi="Arial"/>
          <w:color w:val="231F20"/>
          <w:spacing w:val="40"/>
          <w:w w:val="110"/>
          <w:sz w:val="19"/>
        </w:rPr>
        <w:t> </w:t>
      </w:r>
      <w:r>
        <w:rPr>
          <w:rFonts w:ascii="Arial" w:hAnsi="Arial"/>
          <w:color w:val="231F20"/>
          <w:w w:val="110"/>
          <w:sz w:val="19"/>
        </w:rPr>
        <w:t>that</w:t>
      </w:r>
      <w:r>
        <w:rPr>
          <w:rFonts w:ascii="Arial" w:hAnsi="Arial"/>
          <w:color w:val="231F20"/>
          <w:spacing w:val="40"/>
          <w:w w:val="110"/>
          <w:sz w:val="19"/>
        </w:rPr>
        <w:t> </w:t>
      </w:r>
      <w:r>
        <w:rPr>
          <w:rFonts w:ascii="Arial" w:hAnsi="Arial"/>
          <w:color w:val="231F20"/>
          <w:w w:val="110"/>
          <w:sz w:val="19"/>
        </w:rPr>
        <w:t>a</w:t>
      </w:r>
      <w:r>
        <w:rPr>
          <w:rFonts w:ascii="Arial" w:hAnsi="Arial"/>
          <w:color w:val="231F20"/>
          <w:spacing w:val="40"/>
          <w:w w:val="110"/>
          <w:sz w:val="19"/>
        </w:rPr>
        <w:t> </w:t>
      </w:r>
      <w:r>
        <w:rPr>
          <w:rFonts w:ascii="Arial" w:hAnsi="Arial"/>
          <w:color w:val="231F20"/>
          <w:w w:val="110"/>
          <w:sz w:val="19"/>
        </w:rPr>
        <w:t>truce</w:t>
      </w:r>
      <w:r>
        <w:rPr>
          <w:rFonts w:ascii="Arial" w:hAnsi="Arial"/>
          <w:color w:val="231F20"/>
          <w:spacing w:val="40"/>
          <w:w w:val="110"/>
          <w:sz w:val="19"/>
        </w:rPr>
        <w:t> </w:t>
      </w:r>
      <w:r>
        <w:rPr>
          <w:rFonts w:ascii="Arial" w:hAnsi="Arial"/>
          <w:color w:val="231F20"/>
          <w:w w:val="110"/>
          <w:sz w:val="19"/>
        </w:rPr>
        <w:t>might</w:t>
      </w:r>
      <w:r>
        <w:rPr>
          <w:rFonts w:ascii="Arial" w:hAnsi="Arial"/>
          <w:color w:val="231F20"/>
          <w:spacing w:val="40"/>
          <w:w w:val="110"/>
          <w:sz w:val="19"/>
        </w:rPr>
        <w:t> </w:t>
      </w:r>
      <w:r>
        <w:rPr>
          <w:rFonts w:ascii="Arial" w:hAnsi="Arial"/>
          <w:color w:val="231F20"/>
          <w:w w:val="110"/>
          <w:sz w:val="19"/>
        </w:rPr>
        <w:t>benefit</w:t>
      </w:r>
      <w:r>
        <w:rPr>
          <w:rFonts w:ascii="Arial" w:hAnsi="Arial"/>
          <w:color w:val="231F20"/>
          <w:spacing w:val="40"/>
          <w:w w:val="110"/>
          <w:sz w:val="19"/>
        </w:rPr>
        <w:t> </w:t>
      </w:r>
      <w:r>
        <w:rPr>
          <w:rFonts w:ascii="Arial" w:hAnsi="Arial"/>
          <w:color w:val="231F20"/>
          <w:w w:val="110"/>
          <w:sz w:val="19"/>
        </w:rPr>
        <w:t>them</w:t>
      </w:r>
      <w:r>
        <w:rPr>
          <w:rFonts w:ascii="Arial" w:hAnsi="Arial"/>
          <w:color w:val="231F20"/>
          <w:spacing w:val="40"/>
          <w:w w:val="110"/>
          <w:sz w:val="19"/>
        </w:rPr>
        <w:t> </w:t>
      </w:r>
      <w:r>
        <w:rPr>
          <w:rFonts w:ascii="Arial" w:hAnsi="Arial"/>
          <w:color w:val="231F20"/>
          <w:w w:val="110"/>
          <w:sz w:val="19"/>
        </w:rPr>
        <w:t>both.</w:t>
      </w:r>
    </w:p>
    <w:p>
      <w:pPr>
        <w:spacing w:line="328" w:lineRule="auto" w:before="6"/>
        <w:ind w:left="1599" w:right="752" w:hanging="340"/>
        <w:jc w:val="left"/>
        <w:rPr>
          <w:rFonts w:ascii="Arial" w:hAnsi="Arial"/>
          <w:sz w:val="19"/>
        </w:rPr>
      </w:pPr>
      <w:r>
        <w:rPr>
          <w:rFonts w:ascii="Arial" w:hAnsi="Arial"/>
          <w:i/>
          <w:color w:val="231F20"/>
          <w:w w:val="115"/>
          <w:sz w:val="19"/>
        </w:rPr>
        <w:t>Announce Results</w:t>
      </w:r>
      <w:r>
        <w:rPr>
          <w:rFonts w:ascii="Arial" w:hAnsi="Arial"/>
          <w:i/>
          <w:color w:val="231F20"/>
          <w:spacing w:val="-39"/>
          <w:w w:val="115"/>
          <w:sz w:val="19"/>
        </w:rPr>
        <w:t> </w:t>
      </w:r>
      <w:r>
        <w:rPr>
          <w:rFonts w:ascii="Arial" w:hAnsi="Arial"/>
          <w:color w:val="231F20"/>
          <w:w w:val="115"/>
          <w:sz w:val="19"/>
        </w:rPr>
        <w:t>—</w:t>
      </w:r>
      <w:r>
        <w:rPr>
          <w:rFonts w:ascii="Arial" w:hAnsi="Arial"/>
          <w:color w:val="231F20"/>
          <w:spacing w:val="-39"/>
          <w:w w:val="115"/>
          <w:sz w:val="19"/>
        </w:rPr>
        <w:t> </w:t>
      </w:r>
      <w:r>
        <w:rPr>
          <w:rFonts w:ascii="Arial" w:hAnsi="Arial"/>
          <w:color w:val="231F20"/>
          <w:w w:val="115"/>
          <w:sz w:val="19"/>
        </w:rPr>
        <w:t>to communicate clearly to the competition the results of an action to avoid a costly misunderstanding. In test-market situations a manufacturer</w:t>
      </w:r>
      <w:r>
        <w:rPr>
          <w:rFonts w:ascii="Arial" w:hAnsi="Arial"/>
          <w:color w:val="231F20"/>
          <w:spacing w:val="-16"/>
          <w:w w:val="115"/>
          <w:sz w:val="19"/>
        </w:rPr>
        <w:t> </w:t>
      </w:r>
      <w:r>
        <w:rPr>
          <w:rFonts w:ascii="Arial" w:hAnsi="Arial"/>
          <w:color w:val="231F20"/>
          <w:w w:val="115"/>
          <w:sz w:val="19"/>
        </w:rPr>
        <w:t>could</w:t>
      </w:r>
      <w:r>
        <w:rPr>
          <w:rFonts w:ascii="Arial" w:hAnsi="Arial"/>
          <w:color w:val="231F20"/>
          <w:spacing w:val="-15"/>
          <w:w w:val="115"/>
          <w:sz w:val="19"/>
        </w:rPr>
        <w:t> </w:t>
      </w:r>
      <w:r>
        <w:rPr>
          <w:rFonts w:ascii="Arial" w:hAnsi="Arial"/>
          <w:color w:val="231F20"/>
          <w:w w:val="115"/>
          <w:sz w:val="19"/>
        </w:rPr>
        <w:t>clearly</w:t>
      </w:r>
      <w:r>
        <w:rPr>
          <w:rFonts w:ascii="Arial" w:hAnsi="Arial"/>
          <w:color w:val="231F20"/>
          <w:spacing w:val="-15"/>
          <w:w w:val="115"/>
          <w:sz w:val="19"/>
        </w:rPr>
        <w:t> </w:t>
      </w:r>
      <w:r>
        <w:rPr>
          <w:rFonts w:ascii="Arial" w:hAnsi="Arial"/>
          <w:color w:val="231F20"/>
          <w:w w:val="115"/>
          <w:sz w:val="19"/>
        </w:rPr>
        <w:t>announce</w:t>
      </w:r>
      <w:r>
        <w:rPr>
          <w:rFonts w:ascii="Arial" w:hAnsi="Arial"/>
          <w:color w:val="231F20"/>
          <w:spacing w:val="-15"/>
          <w:w w:val="115"/>
          <w:sz w:val="19"/>
        </w:rPr>
        <w:t> </w:t>
      </w:r>
      <w:r>
        <w:rPr>
          <w:rFonts w:ascii="Arial" w:hAnsi="Arial"/>
          <w:color w:val="231F20"/>
          <w:w w:val="115"/>
          <w:sz w:val="19"/>
        </w:rPr>
        <w:t>a</w:t>
      </w:r>
      <w:r>
        <w:rPr>
          <w:rFonts w:ascii="Arial" w:hAnsi="Arial"/>
          <w:color w:val="231F20"/>
          <w:spacing w:val="-15"/>
          <w:w w:val="115"/>
          <w:sz w:val="19"/>
        </w:rPr>
        <w:t> </w:t>
      </w:r>
      <w:r>
        <w:rPr>
          <w:rFonts w:ascii="Arial" w:hAnsi="Arial"/>
          <w:color w:val="231F20"/>
          <w:w w:val="115"/>
          <w:sz w:val="19"/>
        </w:rPr>
        <w:t>failure</w:t>
      </w:r>
      <w:r>
        <w:rPr>
          <w:rFonts w:ascii="Arial" w:hAnsi="Arial"/>
          <w:color w:val="231F20"/>
          <w:spacing w:val="-16"/>
          <w:w w:val="115"/>
          <w:sz w:val="19"/>
        </w:rPr>
        <w:t> </w:t>
      </w:r>
      <w:r>
        <w:rPr>
          <w:rFonts w:ascii="Arial" w:hAnsi="Arial"/>
          <w:color w:val="231F20"/>
          <w:w w:val="115"/>
          <w:sz w:val="19"/>
        </w:rPr>
        <w:t>in</w:t>
      </w:r>
      <w:r>
        <w:rPr>
          <w:rFonts w:ascii="Arial" w:hAnsi="Arial"/>
          <w:color w:val="231F20"/>
          <w:spacing w:val="-15"/>
          <w:w w:val="115"/>
          <w:sz w:val="19"/>
        </w:rPr>
        <w:t> </w:t>
      </w:r>
      <w:r>
        <w:rPr>
          <w:rFonts w:ascii="Arial" w:hAnsi="Arial"/>
          <w:color w:val="231F20"/>
          <w:w w:val="115"/>
          <w:sz w:val="19"/>
        </w:rPr>
        <w:t>hopes</w:t>
      </w:r>
      <w:r>
        <w:rPr>
          <w:rFonts w:ascii="Arial" w:hAnsi="Arial"/>
          <w:color w:val="231F20"/>
          <w:spacing w:val="-15"/>
          <w:w w:val="115"/>
          <w:sz w:val="19"/>
        </w:rPr>
        <w:t> </w:t>
      </w:r>
      <w:r>
        <w:rPr>
          <w:rFonts w:ascii="Arial" w:hAnsi="Arial"/>
          <w:color w:val="231F20"/>
          <w:w w:val="115"/>
          <w:sz w:val="19"/>
        </w:rPr>
        <w:t>of dissuading a competitor from counterattacking other established products. In pricing battles, a competitor could announce that the price cut is for only a limited time, in an effort to avoid signaling a long-term intention to keep prices low.</w:t>
      </w:r>
    </w:p>
    <w:p>
      <w:pPr>
        <w:spacing w:line="328" w:lineRule="auto" w:before="6"/>
        <w:ind w:left="1599" w:right="705" w:hanging="340"/>
        <w:jc w:val="left"/>
        <w:rPr>
          <w:rFonts w:ascii="Arial" w:hAnsi="Arial"/>
          <w:sz w:val="19"/>
        </w:rPr>
      </w:pPr>
      <w:r>
        <w:rPr>
          <w:rFonts w:ascii="Arial" w:hAnsi="Arial"/>
          <w:i/>
          <w:color w:val="231F20"/>
          <w:w w:val="115"/>
          <w:sz w:val="19"/>
        </w:rPr>
        <w:t>Litigation</w:t>
      </w:r>
      <w:r>
        <w:rPr>
          <w:rFonts w:ascii="Arial" w:hAnsi="Arial"/>
          <w:color w:val="231F20"/>
          <w:w w:val="115"/>
          <w:sz w:val="19"/>
        </w:rPr>
        <w:t>—</w:t>
      </w:r>
      <w:r>
        <w:rPr>
          <w:rFonts w:ascii="Arial" w:hAnsi="Arial"/>
          <w:color w:val="231F20"/>
          <w:spacing w:val="-35"/>
          <w:w w:val="115"/>
          <w:sz w:val="19"/>
        </w:rPr>
        <w:t> </w:t>
      </w:r>
      <w:r>
        <w:rPr>
          <w:rFonts w:ascii="Arial" w:hAnsi="Arial"/>
          <w:color w:val="231F20"/>
          <w:w w:val="115"/>
          <w:sz w:val="19"/>
        </w:rPr>
        <w:t>to tie up a competitor in court. When Kodak entered</w:t>
      </w:r>
      <w:r>
        <w:rPr>
          <w:rFonts w:ascii="Arial" w:hAnsi="Arial"/>
          <w:color w:val="231F20"/>
          <w:spacing w:val="-16"/>
          <w:w w:val="115"/>
          <w:sz w:val="19"/>
        </w:rPr>
        <w:t> </w:t>
      </w:r>
      <w:r>
        <w:rPr>
          <w:rFonts w:ascii="Arial" w:hAnsi="Arial"/>
          <w:color w:val="231F20"/>
          <w:w w:val="115"/>
          <w:sz w:val="19"/>
        </w:rPr>
        <w:t>the</w:t>
      </w:r>
      <w:r>
        <w:rPr>
          <w:rFonts w:ascii="Arial" w:hAnsi="Arial"/>
          <w:color w:val="231F20"/>
          <w:spacing w:val="-15"/>
          <w:w w:val="115"/>
          <w:sz w:val="19"/>
        </w:rPr>
        <w:t> </w:t>
      </w:r>
      <w:r>
        <w:rPr>
          <w:rFonts w:ascii="Arial" w:hAnsi="Arial"/>
          <w:color w:val="231F20"/>
          <w:w w:val="115"/>
          <w:sz w:val="19"/>
        </w:rPr>
        <w:t>instant-photography</w:t>
      </w:r>
      <w:r>
        <w:rPr>
          <w:rFonts w:ascii="Arial" w:hAnsi="Arial"/>
          <w:color w:val="231F20"/>
          <w:spacing w:val="-15"/>
          <w:w w:val="115"/>
          <w:sz w:val="19"/>
        </w:rPr>
        <w:t> </w:t>
      </w:r>
      <w:r>
        <w:rPr>
          <w:rFonts w:ascii="Arial" w:hAnsi="Arial"/>
          <w:color w:val="231F20"/>
          <w:w w:val="115"/>
          <w:sz w:val="19"/>
        </w:rPr>
        <w:t>business,</w:t>
      </w:r>
      <w:r>
        <w:rPr>
          <w:rFonts w:ascii="Arial" w:hAnsi="Arial"/>
          <w:color w:val="231F20"/>
          <w:spacing w:val="-15"/>
          <w:w w:val="115"/>
          <w:sz w:val="19"/>
        </w:rPr>
        <w:t> </w:t>
      </w:r>
      <w:r>
        <w:rPr>
          <w:rFonts w:ascii="Arial" w:hAnsi="Arial"/>
          <w:color w:val="231F20"/>
          <w:w w:val="115"/>
          <w:sz w:val="19"/>
        </w:rPr>
        <w:t>Polaroid</w:t>
      </w:r>
      <w:r>
        <w:rPr>
          <w:rFonts w:ascii="Arial" w:hAnsi="Arial"/>
          <w:color w:val="231F20"/>
          <w:spacing w:val="-15"/>
          <w:w w:val="115"/>
          <w:sz w:val="19"/>
        </w:rPr>
        <w:t> </w:t>
      </w:r>
      <w:r>
        <w:rPr>
          <w:rFonts w:ascii="Arial" w:hAnsi="Arial"/>
          <w:color w:val="231F20"/>
          <w:w w:val="115"/>
          <w:sz w:val="19"/>
        </w:rPr>
        <w:t>made it clear through the courts that it considered Kodak’s camera and film a patent infringement. Polaroid also publicly</w:t>
      </w:r>
      <w:r>
        <w:rPr>
          <w:rFonts w:ascii="Arial" w:hAnsi="Arial"/>
          <w:color w:val="231F20"/>
          <w:spacing w:val="-8"/>
          <w:w w:val="115"/>
          <w:sz w:val="19"/>
        </w:rPr>
        <w:t> </w:t>
      </w:r>
      <w:r>
        <w:rPr>
          <w:rFonts w:ascii="Arial" w:hAnsi="Arial"/>
          <w:color w:val="231F20"/>
          <w:w w:val="115"/>
          <w:sz w:val="19"/>
        </w:rPr>
        <w:t>announced</w:t>
      </w:r>
      <w:r>
        <w:rPr>
          <w:rFonts w:ascii="Arial" w:hAnsi="Arial"/>
          <w:color w:val="231F20"/>
          <w:spacing w:val="-8"/>
          <w:w w:val="115"/>
          <w:sz w:val="19"/>
        </w:rPr>
        <w:t> </w:t>
      </w:r>
      <w:r>
        <w:rPr>
          <w:rFonts w:ascii="Arial" w:hAnsi="Arial"/>
          <w:color w:val="231F20"/>
          <w:w w:val="115"/>
          <w:sz w:val="19"/>
        </w:rPr>
        <w:t>that</w:t>
      </w:r>
      <w:r>
        <w:rPr>
          <w:rFonts w:ascii="Arial" w:hAnsi="Arial"/>
          <w:color w:val="231F20"/>
          <w:spacing w:val="-8"/>
          <w:w w:val="115"/>
          <w:sz w:val="19"/>
        </w:rPr>
        <w:t> </w:t>
      </w:r>
      <w:r>
        <w:rPr>
          <w:rFonts w:ascii="Arial" w:hAnsi="Arial"/>
          <w:color w:val="231F20"/>
          <w:w w:val="115"/>
          <w:sz w:val="19"/>
        </w:rPr>
        <w:t>it</w:t>
      </w:r>
      <w:r>
        <w:rPr>
          <w:rFonts w:ascii="Arial" w:hAnsi="Arial"/>
          <w:color w:val="231F20"/>
          <w:spacing w:val="-8"/>
          <w:w w:val="115"/>
          <w:sz w:val="19"/>
        </w:rPr>
        <w:t> </w:t>
      </w:r>
      <w:r>
        <w:rPr>
          <w:rFonts w:ascii="Arial" w:hAnsi="Arial"/>
          <w:color w:val="231F20"/>
          <w:w w:val="115"/>
          <w:sz w:val="19"/>
        </w:rPr>
        <w:t>would</w:t>
      </w:r>
      <w:r>
        <w:rPr>
          <w:rFonts w:ascii="Arial" w:hAnsi="Arial"/>
          <w:color w:val="231F20"/>
          <w:spacing w:val="-8"/>
          <w:w w:val="115"/>
          <w:sz w:val="19"/>
        </w:rPr>
        <w:t> </w:t>
      </w:r>
      <w:r>
        <w:rPr>
          <w:rFonts w:ascii="Arial" w:hAnsi="Arial"/>
          <w:color w:val="231F20"/>
          <w:w w:val="115"/>
          <w:sz w:val="19"/>
        </w:rPr>
        <w:t>pursue</w:t>
      </w:r>
      <w:r>
        <w:rPr>
          <w:rFonts w:ascii="Arial" w:hAnsi="Arial"/>
          <w:color w:val="231F20"/>
          <w:spacing w:val="-8"/>
          <w:w w:val="115"/>
          <w:sz w:val="19"/>
        </w:rPr>
        <w:t> </w:t>
      </w:r>
      <w:r>
        <w:rPr>
          <w:rFonts w:ascii="Arial" w:hAnsi="Arial"/>
          <w:color w:val="231F20"/>
          <w:w w:val="115"/>
          <w:sz w:val="19"/>
        </w:rPr>
        <w:t>its</w:t>
      </w:r>
      <w:r>
        <w:rPr>
          <w:rFonts w:ascii="Arial" w:hAnsi="Arial"/>
          <w:color w:val="231F20"/>
          <w:spacing w:val="-8"/>
          <w:w w:val="115"/>
          <w:sz w:val="19"/>
        </w:rPr>
        <w:t> </w:t>
      </w:r>
      <w:r>
        <w:rPr>
          <w:rFonts w:ascii="Arial" w:hAnsi="Arial"/>
          <w:color w:val="231F20"/>
          <w:w w:val="115"/>
          <w:sz w:val="19"/>
        </w:rPr>
        <w:t>claims</w:t>
      </w:r>
      <w:r>
        <w:rPr>
          <w:rFonts w:ascii="Arial" w:hAnsi="Arial"/>
          <w:color w:val="231F20"/>
          <w:spacing w:val="-8"/>
          <w:w w:val="115"/>
          <w:sz w:val="19"/>
        </w:rPr>
        <w:t> </w:t>
      </w:r>
      <w:r>
        <w:rPr>
          <w:rFonts w:ascii="Arial" w:hAnsi="Arial"/>
          <w:color w:val="231F20"/>
          <w:w w:val="115"/>
          <w:sz w:val="19"/>
        </w:rPr>
        <w:t>with</w:t>
      </w:r>
      <w:r>
        <w:rPr>
          <w:rFonts w:ascii="Arial" w:hAnsi="Arial"/>
          <w:color w:val="231F20"/>
          <w:spacing w:val="-8"/>
          <w:w w:val="115"/>
          <w:sz w:val="19"/>
        </w:rPr>
        <w:t> </w:t>
      </w:r>
      <w:r>
        <w:rPr>
          <w:rFonts w:ascii="Arial" w:hAnsi="Arial"/>
          <w:color w:val="231F20"/>
          <w:w w:val="115"/>
          <w:sz w:val="19"/>
        </w:rPr>
        <w:t>all the resources at its disposal. Eventually Kodak withdrew from</w:t>
      </w:r>
      <w:r>
        <w:rPr>
          <w:rFonts w:ascii="Arial" w:hAnsi="Arial"/>
          <w:color w:val="231F20"/>
          <w:spacing w:val="-6"/>
          <w:w w:val="115"/>
          <w:sz w:val="19"/>
        </w:rPr>
        <w:t> </w:t>
      </w:r>
      <w:r>
        <w:rPr>
          <w:rFonts w:ascii="Arial" w:hAnsi="Arial"/>
          <w:color w:val="231F20"/>
          <w:w w:val="115"/>
          <w:sz w:val="19"/>
        </w:rPr>
        <w:t>the</w:t>
      </w:r>
      <w:r>
        <w:rPr>
          <w:rFonts w:ascii="Arial" w:hAnsi="Arial"/>
          <w:color w:val="231F20"/>
          <w:spacing w:val="-6"/>
          <w:w w:val="115"/>
          <w:sz w:val="19"/>
        </w:rPr>
        <w:t> </w:t>
      </w:r>
      <w:r>
        <w:rPr>
          <w:rFonts w:ascii="Arial" w:hAnsi="Arial"/>
          <w:color w:val="231F20"/>
          <w:w w:val="115"/>
          <w:sz w:val="19"/>
        </w:rPr>
        <w:t>market,</w:t>
      </w:r>
      <w:r>
        <w:rPr>
          <w:rFonts w:ascii="Arial" w:hAnsi="Arial"/>
          <w:color w:val="231F20"/>
          <w:spacing w:val="-6"/>
          <w:w w:val="115"/>
          <w:sz w:val="19"/>
        </w:rPr>
        <w:t> </w:t>
      </w:r>
      <w:r>
        <w:rPr>
          <w:rFonts w:ascii="Arial" w:hAnsi="Arial"/>
          <w:color w:val="231F20"/>
          <w:w w:val="115"/>
          <w:sz w:val="19"/>
        </w:rPr>
        <w:t>and</w:t>
      </w:r>
      <w:r>
        <w:rPr>
          <w:rFonts w:ascii="Arial" w:hAnsi="Arial"/>
          <w:color w:val="231F20"/>
          <w:spacing w:val="-6"/>
          <w:w w:val="115"/>
          <w:sz w:val="19"/>
        </w:rPr>
        <w:t> </w:t>
      </w:r>
      <w:r>
        <w:rPr>
          <w:rFonts w:ascii="Arial" w:hAnsi="Arial"/>
          <w:color w:val="231F20"/>
          <w:w w:val="115"/>
          <w:sz w:val="19"/>
        </w:rPr>
        <w:t>in</w:t>
      </w:r>
      <w:r>
        <w:rPr>
          <w:rFonts w:ascii="Arial" w:hAnsi="Arial"/>
          <w:color w:val="231F20"/>
          <w:spacing w:val="-6"/>
          <w:w w:val="115"/>
          <w:sz w:val="19"/>
        </w:rPr>
        <w:t> </w:t>
      </w:r>
      <w:r>
        <w:rPr>
          <w:rFonts w:ascii="Arial" w:hAnsi="Arial"/>
          <w:color w:val="231F20"/>
          <w:w w:val="115"/>
          <w:sz w:val="19"/>
        </w:rPr>
        <w:t>1991</w:t>
      </w:r>
      <w:r>
        <w:rPr>
          <w:rFonts w:ascii="Arial" w:hAnsi="Arial"/>
          <w:color w:val="231F20"/>
          <w:spacing w:val="-6"/>
          <w:w w:val="115"/>
          <w:sz w:val="19"/>
        </w:rPr>
        <w:t> </w:t>
      </w:r>
      <w:r>
        <w:rPr>
          <w:rFonts w:ascii="Arial" w:hAnsi="Arial"/>
          <w:color w:val="231F20"/>
          <w:w w:val="115"/>
          <w:sz w:val="19"/>
        </w:rPr>
        <w:t>the</w:t>
      </w:r>
      <w:r>
        <w:rPr>
          <w:rFonts w:ascii="Arial" w:hAnsi="Arial"/>
          <w:color w:val="231F20"/>
          <w:spacing w:val="-6"/>
          <w:w w:val="115"/>
          <w:sz w:val="19"/>
        </w:rPr>
        <w:t> </w:t>
      </w:r>
      <w:r>
        <w:rPr>
          <w:rFonts w:ascii="Arial" w:hAnsi="Arial"/>
          <w:color w:val="231F20"/>
          <w:w w:val="115"/>
          <w:sz w:val="19"/>
        </w:rPr>
        <w:t>company</w:t>
      </w:r>
      <w:r>
        <w:rPr>
          <w:rFonts w:ascii="Arial" w:hAnsi="Arial"/>
          <w:color w:val="231F20"/>
          <w:spacing w:val="-6"/>
          <w:w w:val="115"/>
          <w:sz w:val="19"/>
        </w:rPr>
        <w:t> </w:t>
      </w:r>
      <w:r>
        <w:rPr>
          <w:rFonts w:ascii="Arial" w:hAnsi="Arial"/>
          <w:color w:val="231F20"/>
          <w:w w:val="115"/>
          <w:sz w:val="19"/>
        </w:rPr>
        <w:t>agreed</w:t>
      </w:r>
      <w:r>
        <w:rPr>
          <w:rFonts w:ascii="Arial" w:hAnsi="Arial"/>
          <w:color w:val="231F20"/>
          <w:spacing w:val="-6"/>
          <w:w w:val="115"/>
          <w:sz w:val="19"/>
        </w:rPr>
        <w:t> </w:t>
      </w:r>
      <w:r>
        <w:rPr>
          <w:rFonts w:ascii="Arial" w:hAnsi="Arial"/>
          <w:color w:val="231F20"/>
          <w:w w:val="115"/>
          <w:sz w:val="19"/>
        </w:rPr>
        <w:t>to</w:t>
      </w:r>
      <w:r>
        <w:rPr>
          <w:rFonts w:ascii="Arial" w:hAnsi="Arial"/>
          <w:color w:val="231F20"/>
          <w:spacing w:val="-6"/>
          <w:w w:val="115"/>
          <w:sz w:val="19"/>
        </w:rPr>
        <w:t> </w:t>
      </w:r>
      <w:r>
        <w:rPr>
          <w:rFonts w:ascii="Arial" w:hAnsi="Arial"/>
          <w:color w:val="231F20"/>
          <w:w w:val="115"/>
          <w:sz w:val="19"/>
        </w:rPr>
        <w:t>pay Polaroid a $1 billion settlement and abandon instant </w:t>
      </w:r>
      <w:r>
        <w:rPr>
          <w:rFonts w:ascii="Arial" w:hAnsi="Arial"/>
          <w:color w:val="231F20"/>
          <w:spacing w:val="-2"/>
          <w:w w:val="115"/>
          <w:sz w:val="19"/>
        </w:rPr>
        <w:t>photography.</w:t>
      </w:r>
    </w:p>
    <w:p>
      <w:pPr>
        <w:pStyle w:val="BodyText"/>
        <w:rPr>
          <w:rFonts w:ascii="Arial"/>
          <w:sz w:val="20"/>
        </w:rPr>
      </w:pPr>
    </w:p>
    <w:p>
      <w:pPr>
        <w:pStyle w:val="BodyText"/>
        <w:rPr>
          <w:rFonts w:ascii="Arial"/>
          <w:sz w:val="20"/>
        </w:rPr>
      </w:pPr>
    </w:p>
    <w:p>
      <w:pPr>
        <w:pStyle w:val="Heading6"/>
        <w:spacing w:line="292" w:lineRule="auto" w:before="135"/>
        <w:ind w:left="2944" w:right="1742" w:hanging="1153"/>
        <w:jc w:val="left"/>
      </w:pPr>
      <w:r>
        <w:rPr>
          <w:i/>
          <w:color w:val="231F20"/>
          <w:w w:val="110"/>
        </w:rPr>
        <w:t>SIGNALING,</w:t>
      </w:r>
      <w:r>
        <w:rPr>
          <w:i/>
          <w:color w:val="231F20"/>
          <w:spacing w:val="40"/>
          <w:w w:val="110"/>
        </w:rPr>
        <w:t> </w:t>
      </w:r>
      <w:r>
        <w:rPr>
          <w:i/>
          <w:color w:val="231F20"/>
          <w:w w:val="110"/>
        </w:rPr>
        <w:t>THE</w:t>
      </w:r>
      <w:r>
        <w:rPr>
          <w:i/>
          <w:color w:val="231F20"/>
          <w:spacing w:val="40"/>
          <w:w w:val="110"/>
        </w:rPr>
        <w:t> </w:t>
      </w:r>
      <w:r>
        <w:rPr>
          <w:i/>
          <w:color w:val="231F20"/>
          <w:w w:val="110"/>
        </w:rPr>
        <w:t>PRISONER’S</w:t>
      </w:r>
      <w:r>
        <w:rPr>
          <w:i/>
          <w:color w:val="231F20"/>
          <w:spacing w:val="10"/>
          <w:w w:val="110"/>
        </w:rPr>
        <w:t> DILEMMA,</w:t>
      </w:r>
      <w:r>
        <w:rPr>
          <w:color w:val="231F20"/>
          <w:spacing w:val="40"/>
          <w:w w:val="110"/>
        </w:rPr>
        <w:t> </w:t>
      </w:r>
      <w:r>
        <w:rPr>
          <w:color w:val="231F20"/>
          <w:w w:val="110"/>
        </w:rPr>
        <w:t>AND</w:t>
      </w:r>
      <w:r>
        <w:rPr>
          <w:color w:val="231F20"/>
          <w:w w:val="110"/>
        </w:rPr>
        <w:t> GAME</w:t>
      </w:r>
      <w:r>
        <w:rPr>
          <w:color w:val="231F20"/>
          <w:w w:val="110"/>
        </w:rPr>
        <w:t> THEORY</w:t>
      </w:r>
    </w:p>
    <w:p>
      <w:pPr>
        <w:pStyle w:val="BodyText"/>
        <w:spacing w:before="6"/>
        <w:rPr>
          <w:b/>
          <w:i/>
          <w:sz w:val="25"/>
        </w:rPr>
      </w:pPr>
    </w:p>
    <w:p>
      <w:pPr>
        <w:pStyle w:val="BodyText"/>
        <w:spacing w:line="292" w:lineRule="auto"/>
        <w:ind w:left="919" w:right="663"/>
        <w:jc w:val="both"/>
      </w:pPr>
      <w:r>
        <w:rPr>
          <w:color w:val="231F20"/>
        </w:rPr>
        <w:t>A related signaling concept is the </w:t>
      </w:r>
      <w:r>
        <w:rPr>
          <w:i/>
          <w:color w:val="231F20"/>
        </w:rPr>
        <w:t>prisoner’s dilemma, </w:t>
      </w:r>
      <w:r>
        <w:rPr>
          <w:color w:val="231F20"/>
        </w:rPr>
        <w:t>as it is fre- quently referred to in corporate battles. As the story goes, two </w:t>
      </w:r>
      <w:r>
        <w:rPr>
          <w:color w:val="231F20"/>
        </w:rPr>
        <w:t>peo- ple are arrested for a murder and separated so that they cannot communicate. The police do not have enough evidence to convict ei- ther</w:t>
      </w:r>
      <w:r>
        <w:rPr>
          <w:color w:val="231F20"/>
          <w:spacing w:val="16"/>
        </w:rPr>
        <w:t> </w:t>
      </w:r>
      <w:r>
        <w:rPr>
          <w:color w:val="231F20"/>
        </w:rPr>
        <w:t>man,</w:t>
      </w:r>
      <w:r>
        <w:rPr>
          <w:color w:val="231F20"/>
          <w:spacing w:val="17"/>
        </w:rPr>
        <w:t> </w:t>
      </w:r>
      <w:r>
        <w:rPr>
          <w:color w:val="231F20"/>
        </w:rPr>
        <w:t>but</w:t>
      </w:r>
      <w:r>
        <w:rPr>
          <w:color w:val="231F20"/>
          <w:spacing w:val="16"/>
        </w:rPr>
        <w:t> </w:t>
      </w:r>
      <w:r>
        <w:rPr>
          <w:color w:val="231F20"/>
        </w:rPr>
        <w:t>if</w:t>
      </w:r>
      <w:r>
        <w:rPr>
          <w:color w:val="231F20"/>
          <w:spacing w:val="17"/>
        </w:rPr>
        <w:t> </w:t>
      </w:r>
      <w:r>
        <w:rPr>
          <w:color w:val="231F20"/>
        </w:rPr>
        <w:t>they</w:t>
      </w:r>
      <w:r>
        <w:rPr>
          <w:color w:val="231F20"/>
          <w:spacing w:val="17"/>
        </w:rPr>
        <w:t> </w:t>
      </w:r>
      <w:r>
        <w:rPr>
          <w:color w:val="231F20"/>
        </w:rPr>
        <w:t>can</w:t>
      </w:r>
      <w:r>
        <w:rPr>
          <w:color w:val="231F20"/>
          <w:spacing w:val="16"/>
        </w:rPr>
        <w:t> </w:t>
      </w:r>
      <w:r>
        <w:rPr>
          <w:color w:val="231F20"/>
        </w:rPr>
        <w:t>convince</w:t>
      </w:r>
      <w:r>
        <w:rPr>
          <w:color w:val="231F20"/>
          <w:spacing w:val="17"/>
        </w:rPr>
        <w:t> </w:t>
      </w:r>
      <w:r>
        <w:rPr>
          <w:color w:val="231F20"/>
        </w:rPr>
        <w:t>either</w:t>
      </w:r>
      <w:r>
        <w:rPr>
          <w:color w:val="231F20"/>
          <w:spacing w:val="16"/>
        </w:rPr>
        <w:t> </w:t>
      </w:r>
      <w:r>
        <w:rPr>
          <w:color w:val="231F20"/>
        </w:rPr>
        <w:t>man</w:t>
      </w:r>
      <w:r>
        <w:rPr>
          <w:color w:val="231F20"/>
          <w:spacing w:val="17"/>
        </w:rPr>
        <w:t> </w:t>
      </w:r>
      <w:r>
        <w:rPr>
          <w:color w:val="231F20"/>
        </w:rPr>
        <w:t>to</w:t>
      </w:r>
      <w:r>
        <w:rPr>
          <w:color w:val="231F20"/>
          <w:spacing w:val="17"/>
        </w:rPr>
        <w:t> </w:t>
      </w:r>
      <w:r>
        <w:rPr>
          <w:color w:val="231F20"/>
        </w:rPr>
        <w:t>confess</w:t>
      </w:r>
      <w:r>
        <w:rPr>
          <w:color w:val="231F20"/>
          <w:spacing w:val="16"/>
        </w:rPr>
        <w:t> </w:t>
      </w:r>
      <w:r>
        <w:rPr>
          <w:color w:val="231F20"/>
        </w:rPr>
        <w:t>and</w:t>
      </w:r>
      <w:r>
        <w:rPr>
          <w:color w:val="231F20"/>
          <w:spacing w:val="17"/>
        </w:rPr>
        <w:t> </w:t>
      </w:r>
      <w:r>
        <w:rPr>
          <w:color w:val="231F20"/>
          <w:spacing w:val="-2"/>
        </w:rPr>
        <w:t>testify</w:t>
      </w:r>
    </w:p>
    <w:p>
      <w:pPr>
        <w:spacing w:after="0" w:line="292" w:lineRule="auto"/>
        <w:jc w:val="both"/>
        <w:sectPr>
          <w:pgSz w:w="8640" w:h="12960"/>
          <w:pgMar w:header="734" w:footer="0" w:top="920" w:bottom="280" w:left="340" w:right="500"/>
        </w:sectPr>
      </w:pPr>
    </w:p>
    <w:p>
      <w:pPr>
        <w:pStyle w:val="BodyText"/>
        <w:spacing w:before="10"/>
        <w:rPr>
          <w:sz w:val="19"/>
        </w:rPr>
      </w:pPr>
    </w:p>
    <w:p>
      <w:pPr>
        <w:spacing w:before="96"/>
        <w:ind w:left="293" w:right="219" w:firstLine="0"/>
        <w:jc w:val="center"/>
        <w:rPr>
          <w:rFonts w:ascii="Arial" w:hAnsi="Arial"/>
          <w:sz w:val="14"/>
        </w:rPr>
      </w:pPr>
      <w:r>
        <w:rPr>
          <w:rFonts w:ascii="Arial" w:hAnsi="Arial"/>
          <w:color w:val="231F20"/>
          <w:w w:val="105"/>
          <w:sz w:val="14"/>
        </w:rPr>
        <w:t>THE</w:t>
      </w:r>
      <w:r>
        <w:rPr>
          <w:rFonts w:ascii="Arial" w:hAnsi="Arial"/>
          <w:color w:val="231F20"/>
          <w:spacing w:val="15"/>
          <w:w w:val="105"/>
          <w:sz w:val="14"/>
        </w:rPr>
        <w:t> </w:t>
      </w:r>
      <w:r>
        <w:rPr>
          <w:rFonts w:ascii="Arial" w:hAnsi="Arial"/>
          <w:color w:val="231F20"/>
          <w:w w:val="105"/>
          <w:sz w:val="14"/>
        </w:rPr>
        <w:t>PRISONER’S</w:t>
      </w:r>
      <w:r>
        <w:rPr>
          <w:rFonts w:ascii="Arial" w:hAnsi="Arial"/>
          <w:color w:val="231F20"/>
          <w:spacing w:val="15"/>
          <w:w w:val="105"/>
          <w:sz w:val="14"/>
        </w:rPr>
        <w:t> </w:t>
      </w:r>
      <w:r>
        <w:rPr>
          <w:rFonts w:ascii="Arial" w:hAnsi="Arial"/>
          <w:color w:val="231F20"/>
          <w:spacing w:val="-2"/>
          <w:w w:val="105"/>
          <w:sz w:val="14"/>
        </w:rPr>
        <w:t>DILEMMA</w:t>
      </w:r>
    </w:p>
    <w:p>
      <w:pPr>
        <w:pStyle w:val="BodyText"/>
        <w:spacing w:before="2"/>
        <w:rPr>
          <w:rFonts w:ascii="Arial"/>
          <w:sz w:val="8"/>
        </w:rPr>
      </w:pPr>
      <w:r>
        <w:rPr/>
        <w:drawing>
          <wp:anchor distT="0" distB="0" distL="0" distR="0" allowOverlap="1" layoutInCell="1" locked="0" behindDoc="0" simplePos="0" relativeHeight="409">
            <wp:simplePos x="0" y="0"/>
            <wp:positionH relativeFrom="page">
              <wp:posOffset>717236</wp:posOffset>
            </wp:positionH>
            <wp:positionV relativeFrom="paragraph">
              <wp:posOffset>75126</wp:posOffset>
            </wp:positionV>
            <wp:extent cx="3979368" cy="1907952"/>
            <wp:effectExtent l="0" t="0" r="0" b="0"/>
            <wp:wrapTopAndBottom/>
            <wp:docPr id="147" name="image84.png"/>
            <wp:cNvGraphicFramePr>
              <a:graphicFrameLocks noChangeAspect="1"/>
            </wp:cNvGraphicFramePr>
            <a:graphic>
              <a:graphicData uri="http://schemas.openxmlformats.org/drawingml/2006/picture">
                <pic:pic>
                  <pic:nvPicPr>
                    <pic:cNvPr id="148" name="image84.png"/>
                    <pic:cNvPicPr/>
                  </pic:nvPicPr>
                  <pic:blipFill>
                    <a:blip r:embed="rId125" cstate="print"/>
                    <a:stretch>
                      <a:fillRect/>
                    </a:stretch>
                  </pic:blipFill>
                  <pic:spPr>
                    <a:xfrm>
                      <a:off x="0" y="0"/>
                      <a:ext cx="3979368" cy="1907952"/>
                    </a:xfrm>
                    <a:prstGeom prst="rect">
                      <a:avLst/>
                    </a:prstGeom>
                  </pic:spPr>
                </pic:pic>
              </a:graphicData>
            </a:graphic>
          </wp:anchor>
        </w:drawing>
      </w:r>
    </w:p>
    <w:p>
      <w:pPr>
        <w:pStyle w:val="BodyText"/>
        <w:rPr>
          <w:rFonts w:ascii="Arial"/>
          <w:sz w:val="14"/>
        </w:rPr>
      </w:pPr>
    </w:p>
    <w:p>
      <w:pPr>
        <w:pStyle w:val="BodyText"/>
        <w:rPr>
          <w:rFonts w:ascii="Arial"/>
          <w:sz w:val="14"/>
        </w:rPr>
      </w:pPr>
    </w:p>
    <w:p>
      <w:pPr>
        <w:pStyle w:val="BodyText"/>
        <w:rPr>
          <w:rFonts w:ascii="Arial"/>
          <w:sz w:val="14"/>
        </w:rPr>
      </w:pPr>
    </w:p>
    <w:p>
      <w:pPr>
        <w:pStyle w:val="BodyText"/>
        <w:spacing w:line="292" w:lineRule="auto" w:before="115"/>
        <w:ind w:left="830" w:right="756"/>
        <w:jc w:val="both"/>
      </w:pPr>
      <w:r>
        <w:rPr>
          <w:color w:val="231F20"/>
        </w:rPr>
        <w:t>against the other, they will then have a strong case against one of them. The police promise each a lighter sentence if he turns </w:t>
      </w:r>
      <w:r>
        <w:rPr>
          <w:color w:val="231F20"/>
        </w:rPr>
        <w:t>state’s evidence against the other. If they both refuse to confess and impli- cate each other, they will go free for lack of evidence. But what each prisoner does not know is how the other will act. Can one trust the other to keep quiet?</w:t>
      </w:r>
    </w:p>
    <w:p>
      <w:pPr>
        <w:pStyle w:val="BodyText"/>
        <w:spacing w:line="292" w:lineRule="auto"/>
        <w:ind w:left="829" w:right="756" w:firstLine="340"/>
        <w:jc w:val="both"/>
      </w:pPr>
      <w:r>
        <w:rPr>
          <w:color w:val="231F20"/>
        </w:rPr>
        <w:t>In competitive situations such as prevail in the airline industry, this scenario is similar to two companies that maintain high prices, each trusting the other to do the same. It is always tempting to break this silent pact, because a price war could result in the elimination of the</w:t>
      </w:r>
      <w:r>
        <w:rPr>
          <w:color w:val="231F20"/>
          <w:spacing w:val="-2"/>
        </w:rPr>
        <w:t> </w:t>
      </w:r>
      <w:r>
        <w:rPr>
          <w:color w:val="231F20"/>
        </w:rPr>
        <w:t>other</w:t>
      </w:r>
      <w:r>
        <w:rPr>
          <w:color w:val="231F20"/>
          <w:spacing w:val="-2"/>
        </w:rPr>
        <w:t> </w:t>
      </w:r>
      <w:r>
        <w:rPr>
          <w:color w:val="231F20"/>
        </w:rPr>
        <w:t>carrier.</w:t>
      </w:r>
      <w:r>
        <w:rPr>
          <w:color w:val="231F20"/>
          <w:spacing w:val="-2"/>
        </w:rPr>
        <w:t> </w:t>
      </w:r>
      <w:r>
        <w:rPr>
          <w:color w:val="231F20"/>
        </w:rPr>
        <w:t>If</w:t>
      </w:r>
      <w:r>
        <w:rPr>
          <w:color w:val="231F20"/>
          <w:spacing w:val="-2"/>
        </w:rPr>
        <w:t> </w:t>
      </w:r>
      <w:r>
        <w:rPr>
          <w:color w:val="231F20"/>
        </w:rPr>
        <w:t>they</w:t>
      </w:r>
      <w:r>
        <w:rPr>
          <w:color w:val="231F20"/>
          <w:spacing w:val="-2"/>
        </w:rPr>
        <w:t> </w:t>
      </w:r>
      <w:r>
        <w:rPr>
          <w:color w:val="231F20"/>
        </w:rPr>
        <w:t>decide</w:t>
      </w:r>
      <w:r>
        <w:rPr>
          <w:color w:val="231F20"/>
          <w:spacing w:val="-2"/>
        </w:rPr>
        <w:t> </w:t>
      </w:r>
      <w:r>
        <w:rPr>
          <w:color w:val="231F20"/>
        </w:rPr>
        <w:t>to</w:t>
      </w:r>
      <w:r>
        <w:rPr>
          <w:color w:val="231F20"/>
          <w:spacing w:val="-2"/>
        </w:rPr>
        <w:t> </w:t>
      </w:r>
      <w:r>
        <w:rPr>
          <w:color w:val="231F20"/>
        </w:rPr>
        <w:t>cooperate</w:t>
      </w:r>
      <w:r>
        <w:rPr>
          <w:color w:val="231F20"/>
          <w:spacing w:val="-2"/>
        </w:rPr>
        <w:t> </w:t>
      </w:r>
      <w:r>
        <w:rPr>
          <w:color w:val="231F20"/>
        </w:rPr>
        <w:t>in</w:t>
      </w:r>
      <w:r>
        <w:rPr>
          <w:color w:val="231F20"/>
          <w:spacing w:val="-2"/>
        </w:rPr>
        <w:t> </w:t>
      </w:r>
      <w:r>
        <w:rPr>
          <w:color w:val="231F20"/>
        </w:rPr>
        <w:t>this</w:t>
      </w:r>
      <w:r>
        <w:rPr>
          <w:color w:val="231F20"/>
          <w:spacing w:val="-2"/>
        </w:rPr>
        <w:t> </w:t>
      </w:r>
      <w:r>
        <w:rPr>
          <w:color w:val="231F20"/>
        </w:rPr>
        <w:t>unstable</w:t>
      </w:r>
      <w:r>
        <w:rPr>
          <w:color w:val="231F20"/>
          <w:spacing w:val="-2"/>
        </w:rPr>
        <w:t> </w:t>
      </w:r>
      <w:r>
        <w:rPr>
          <w:color w:val="231F20"/>
        </w:rPr>
        <w:t>arrange- ment, they are both caught in a prisoner’s dilemma.</w:t>
      </w:r>
    </w:p>
    <w:p>
      <w:pPr>
        <w:pStyle w:val="BodyText"/>
        <w:spacing w:line="292" w:lineRule="auto"/>
        <w:ind w:left="830" w:right="756" w:firstLine="340"/>
        <w:jc w:val="both"/>
      </w:pPr>
      <w:r>
        <w:rPr>
          <w:color w:val="231F20"/>
        </w:rPr>
        <w:t>All forms of signaling will be doomed if a competitor acts </w:t>
      </w:r>
      <w:r>
        <w:rPr>
          <w:color w:val="231F20"/>
        </w:rPr>
        <w:t>“irra- tionally.” In that case, any attempt to call a competitive truce would go unheeded because in an irrationally competitive mind, winning, rather than maximizing profits, is the goal.</w:t>
      </w:r>
    </w:p>
    <w:p>
      <w:pPr>
        <w:pStyle w:val="BodyText"/>
        <w:spacing w:line="292" w:lineRule="auto"/>
        <w:ind w:left="829" w:right="755" w:firstLine="340"/>
        <w:jc w:val="both"/>
      </w:pPr>
      <w:r>
        <w:rPr>
          <w:i/>
          <w:color w:val="231F20"/>
        </w:rPr>
        <w:t>Game theory </w:t>
      </w:r>
      <w:r>
        <w:rPr>
          <w:color w:val="231F20"/>
        </w:rPr>
        <w:t>is the formal study of competitive interactions. </w:t>
      </w:r>
      <w:r>
        <w:rPr>
          <w:color w:val="231F20"/>
        </w:rPr>
        <w:t>It analyzes possible outcomes in situations where people are trying to score points from each other, whether in bridge, politics, war, or business. You do this by trying to anticipate the reactions of your competitor to your next move and then factoring that reaction into your</w:t>
      </w:r>
      <w:r>
        <w:rPr>
          <w:color w:val="231F20"/>
          <w:spacing w:val="67"/>
        </w:rPr>
        <w:t> </w:t>
      </w:r>
      <w:r>
        <w:rPr>
          <w:color w:val="231F20"/>
        </w:rPr>
        <w:t>actual</w:t>
      </w:r>
      <w:r>
        <w:rPr>
          <w:color w:val="231F20"/>
          <w:spacing w:val="67"/>
        </w:rPr>
        <w:t> </w:t>
      </w:r>
      <w:r>
        <w:rPr>
          <w:color w:val="231F20"/>
        </w:rPr>
        <w:t>decision.</w:t>
      </w:r>
      <w:r>
        <w:rPr>
          <w:color w:val="231F20"/>
          <w:spacing w:val="67"/>
        </w:rPr>
        <w:t> </w:t>
      </w:r>
      <w:r>
        <w:rPr>
          <w:color w:val="231F20"/>
        </w:rPr>
        <w:t>Computers’</w:t>
      </w:r>
      <w:r>
        <w:rPr>
          <w:color w:val="231F20"/>
          <w:spacing w:val="67"/>
        </w:rPr>
        <w:t> </w:t>
      </w:r>
      <w:r>
        <w:rPr>
          <w:color w:val="231F20"/>
        </w:rPr>
        <w:t>powers</w:t>
      </w:r>
      <w:r>
        <w:rPr>
          <w:color w:val="231F20"/>
          <w:spacing w:val="67"/>
        </w:rPr>
        <w:t> </w:t>
      </w:r>
      <w:r>
        <w:rPr>
          <w:color w:val="231F20"/>
        </w:rPr>
        <w:t>of</w:t>
      </w:r>
      <w:r>
        <w:rPr>
          <w:color w:val="231F20"/>
          <w:spacing w:val="67"/>
        </w:rPr>
        <w:t> </w:t>
      </w:r>
      <w:r>
        <w:rPr>
          <w:color w:val="231F20"/>
        </w:rPr>
        <w:t>calculation</w:t>
      </w:r>
      <w:r>
        <w:rPr>
          <w:color w:val="231F20"/>
          <w:spacing w:val="67"/>
        </w:rPr>
        <w:t> </w:t>
      </w:r>
      <w:r>
        <w:rPr>
          <w:color w:val="231F20"/>
        </w:rPr>
        <w:t>have</w:t>
      </w:r>
      <w:r>
        <w:rPr>
          <w:color w:val="231F20"/>
          <w:spacing w:val="67"/>
        </w:rPr>
        <w:t> </w:t>
      </w:r>
      <w:r>
        <w:rPr>
          <w:color w:val="231F20"/>
        </w:rPr>
        <w:t>al-</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lowed game theory to become a practical business tool. In 1994 a Nobel Prize was awarded for the study of game theory.</w:t>
      </w:r>
    </w:p>
    <w:p>
      <w:pPr>
        <w:pStyle w:val="BodyText"/>
        <w:spacing w:line="292" w:lineRule="auto"/>
        <w:ind w:left="919" w:right="669" w:firstLine="340"/>
        <w:jc w:val="both"/>
      </w:pPr>
      <w:r>
        <w:rPr>
          <w:color w:val="231F20"/>
        </w:rPr>
        <w:t>That</w:t>
      </w:r>
      <w:r>
        <w:rPr>
          <w:color w:val="231F20"/>
          <w:spacing w:val="-12"/>
        </w:rPr>
        <w:t> </w:t>
      </w:r>
      <w:r>
        <w:rPr>
          <w:color w:val="231F20"/>
        </w:rPr>
        <w:t>same</w:t>
      </w:r>
      <w:r>
        <w:rPr>
          <w:color w:val="231F20"/>
          <w:spacing w:val="-12"/>
        </w:rPr>
        <w:t> </w:t>
      </w:r>
      <w:r>
        <w:rPr>
          <w:color w:val="231F20"/>
        </w:rPr>
        <w:t>year,</w:t>
      </w:r>
      <w:r>
        <w:rPr>
          <w:color w:val="231F20"/>
          <w:spacing w:val="-11"/>
        </w:rPr>
        <w:t> </w:t>
      </w:r>
      <w:r>
        <w:rPr>
          <w:color w:val="231F20"/>
        </w:rPr>
        <w:t>game</w:t>
      </w:r>
      <w:r>
        <w:rPr>
          <w:color w:val="231F20"/>
          <w:spacing w:val="-12"/>
        </w:rPr>
        <w:t> </w:t>
      </w:r>
      <w:r>
        <w:rPr>
          <w:color w:val="231F20"/>
        </w:rPr>
        <w:t>theory</w:t>
      </w:r>
      <w:r>
        <w:rPr>
          <w:color w:val="231F20"/>
          <w:spacing w:val="-11"/>
        </w:rPr>
        <w:t> </w:t>
      </w:r>
      <w:r>
        <w:rPr>
          <w:color w:val="231F20"/>
        </w:rPr>
        <w:t>gained</w:t>
      </w:r>
      <w:r>
        <w:rPr>
          <w:color w:val="231F20"/>
          <w:spacing w:val="-12"/>
        </w:rPr>
        <w:t> </w:t>
      </w:r>
      <w:r>
        <w:rPr>
          <w:color w:val="231F20"/>
        </w:rPr>
        <w:t>wider</w:t>
      </w:r>
      <w:r>
        <w:rPr>
          <w:color w:val="231F20"/>
          <w:spacing w:val="-11"/>
        </w:rPr>
        <w:t> </w:t>
      </w:r>
      <w:r>
        <w:rPr>
          <w:color w:val="231F20"/>
        </w:rPr>
        <w:t>acceptance</w:t>
      </w:r>
      <w:r>
        <w:rPr>
          <w:color w:val="231F20"/>
          <w:spacing w:val="-12"/>
        </w:rPr>
        <w:t> </w:t>
      </w:r>
      <w:r>
        <w:rPr>
          <w:color w:val="231F20"/>
        </w:rPr>
        <w:t>when</w:t>
      </w:r>
      <w:r>
        <w:rPr>
          <w:color w:val="231F20"/>
          <w:spacing w:val="-12"/>
        </w:rPr>
        <w:t> </w:t>
      </w:r>
      <w:r>
        <w:rPr>
          <w:color w:val="231F20"/>
        </w:rPr>
        <w:t>it</w:t>
      </w:r>
      <w:r>
        <w:rPr>
          <w:color w:val="231F20"/>
          <w:spacing w:val="-11"/>
        </w:rPr>
        <w:t> </w:t>
      </w:r>
      <w:r>
        <w:rPr>
          <w:color w:val="231F20"/>
        </w:rPr>
        <w:t>was </w:t>
      </w:r>
      <w:r>
        <w:rPr>
          <w:color w:val="231F20"/>
          <w:spacing w:val="-2"/>
        </w:rPr>
        <w:t>used</w:t>
      </w:r>
      <w:r>
        <w:rPr>
          <w:color w:val="231F20"/>
          <w:spacing w:val="-4"/>
        </w:rPr>
        <w:t> </w:t>
      </w:r>
      <w:r>
        <w:rPr>
          <w:color w:val="231F20"/>
          <w:spacing w:val="-2"/>
        </w:rPr>
        <w:t>extensively</w:t>
      </w:r>
      <w:r>
        <w:rPr>
          <w:color w:val="231F20"/>
          <w:spacing w:val="-4"/>
        </w:rPr>
        <w:t> </w:t>
      </w:r>
      <w:r>
        <w:rPr>
          <w:color w:val="231F20"/>
          <w:spacing w:val="-2"/>
        </w:rPr>
        <w:t>by</w:t>
      </w:r>
      <w:r>
        <w:rPr>
          <w:color w:val="231F20"/>
          <w:spacing w:val="-4"/>
        </w:rPr>
        <w:t> </w:t>
      </w:r>
      <w:r>
        <w:rPr>
          <w:color w:val="231F20"/>
          <w:spacing w:val="-2"/>
        </w:rPr>
        <w:t>bidders</w:t>
      </w:r>
      <w:r>
        <w:rPr>
          <w:color w:val="231F20"/>
          <w:spacing w:val="-4"/>
        </w:rPr>
        <w:t> </w:t>
      </w:r>
      <w:r>
        <w:rPr>
          <w:color w:val="231F20"/>
          <w:spacing w:val="-2"/>
        </w:rPr>
        <w:t>in</w:t>
      </w:r>
      <w:r>
        <w:rPr>
          <w:color w:val="231F20"/>
          <w:spacing w:val="-4"/>
        </w:rPr>
        <w:t> </w:t>
      </w:r>
      <w:r>
        <w:rPr>
          <w:color w:val="231F20"/>
          <w:spacing w:val="-2"/>
        </w:rPr>
        <w:t>the</w:t>
      </w:r>
      <w:r>
        <w:rPr>
          <w:color w:val="231F20"/>
          <w:spacing w:val="-4"/>
        </w:rPr>
        <w:t> </w:t>
      </w:r>
      <w:r>
        <w:rPr>
          <w:color w:val="231F20"/>
          <w:spacing w:val="-2"/>
        </w:rPr>
        <w:t>federal</w:t>
      </w:r>
      <w:r>
        <w:rPr>
          <w:color w:val="231F20"/>
          <w:spacing w:val="-4"/>
        </w:rPr>
        <w:t> </w:t>
      </w:r>
      <w:r>
        <w:rPr>
          <w:color w:val="231F20"/>
          <w:spacing w:val="-2"/>
        </w:rPr>
        <w:t>government’s</w:t>
      </w:r>
      <w:r>
        <w:rPr>
          <w:color w:val="231F20"/>
          <w:spacing w:val="-4"/>
        </w:rPr>
        <w:t> </w:t>
      </w:r>
      <w:r>
        <w:rPr>
          <w:color w:val="231F20"/>
          <w:spacing w:val="-2"/>
        </w:rPr>
        <w:t>auction</w:t>
      </w:r>
      <w:r>
        <w:rPr>
          <w:color w:val="231F20"/>
          <w:spacing w:val="-4"/>
        </w:rPr>
        <w:t> </w:t>
      </w:r>
      <w:r>
        <w:rPr>
          <w:color w:val="231F20"/>
          <w:spacing w:val="-2"/>
        </w:rPr>
        <w:t>of</w:t>
      </w:r>
      <w:r>
        <w:rPr>
          <w:color w:val="231F20"/>
          <w:spacing w:val="-4"/>
        </w:rPr>
        <w:t> </w:t>
      </w:r>
      <w:r>
        <w:rPr>
          <w:color w:val="231F20"/>
          <w:spacing w:val="-2"/>
        </w:rPr>
        <w:t>120 </w:t>
      </w:r>
      <w:r>
        <w:rPr>
          <w:color w:val="231F20"/>
        </w:rPr>
        <w:t>megahertz</w:t>
      </w:r>
      <w:r>
        <w:rPr>
          <w:color w:val="231F20"/>
          <w:spacing w:val="-10"/>
        </w:rPr>
        <w:t> </w:t>
      </w:r>
      <w:r>
        <w:rPr>
          <w:color w:val="231F20"/>
        </w:rPr>
        <w:t>of</w:t>
      </w:r>
      <w:r>
        <w:rPr>
          <w:color w:val="231F20"/>
          <w:spacing w:val="-10"/>
        </w:rPr>
        <w:t> </w:t>
      </w:r>
      <w:r>
        <w:rPr>
          <w:color w:val="231F20"/>
        </w:rPr>
        <w:t>air</w:t>
      </w:r>
      <w:r>
        <w:rPr>
          <w:color w:val="231F20"/>
          <w:spacing w:val="-10"/>
        </w:rPr>
        <w:t> </w:t>
      </w:r>
      <w:r>
        <w:rPr>
          <w:color w:val="231F20"/>
        </w:rPr>
        <w:t>frequency</w:t>
      </w:r>
      <w:r>
        <w:rPr>
          <w:color w:val="231F20"/>
          <w:spacing w:val="-10"/>
        </w:rPr>
        <w:t> </w:t>
      </w:r>
      <w:r>
        <w:rPr>
          <w:color w:val="231F20"/>
        </w:rPr>
        <w:t>for</w:t>
      </w:r>
      <w:r>
        <w:rPr>
          <w:color w:val="231F20"/>
          <w:spacing w:val="-10"/>
        </w:rPr>
        <w:t> </w:t>
      </w:r>
      <w:r>
        <w:rPr>
          <w:color w:val="231F20"/>
        </w:rPr>
        <w:t>PCS,</w:t>
      </w:r>
      <w:r>
        <w:rPr>
          <w:color w:val="231F20"/>
          <w:spacing w:val="-10"/>
        </w:rPr>
        <w:t> </w:t>
      </w:r>
      <w:r>
        <w:rPr>
          <w:color w:val="231F20"/>
        </w:rPr>
        <w:t>personal</w:t>
      </w:r>
      <w:r>
        <w:rPr>
          <w:color w:val="231F20"/>
          <w:spacing w:val="-10"/>
        </w:rPr>
        <w:t> </w:t>
      </w:r>
      <w:r>
        <w:rPr>
          <w:color w:val="231F20"/>
        </w:rPr>
        <w:t>communication</w:t>
      </w:r>
      <w:r>
        <w:rPr>
          <w:color w:val="231F20"/>
          <w:spacing w:val="-10"/>
        </w:rPr>
        <w:t> </w:t>
      </w:r>
      <w:r>
        <w:rPr>
          <w:color w:val="231F20"/>
        </w:rPr>
        <w:t>services. The FCC set up such a complicated bidding system that sophisticated decision-making tools were a necessity. With multiple bidders and fifty-one markets to auction off, bidders used applied-game-theory programs</w:t>
      </w:r>
      <w:r>
        <w:rPr>
          <w:color w:val="231F20"/>
          <w:spacing w:val="-4"/>
        </w:rPr>
        <w:t> </w:t>
      </w:r>
      <w:r>
        <w:rPr>
          <w:color w:val="231F20"/>
        </w:rPr>
        <w:t>to</w:t>
      </w:r>
      <w:r>
        <w:rPr>
          <w:color w:val="231F20"/>
          <w:spacing w:val="-4"/>
        </w:rPr>
        <w:t> </w:t>
      </w:r>
      <w:r>
        <w:rPr>
          <w:color w:val="231F20"/>
        </w:rPr>
        <w:t>analyze</w:t>
      </w:r>
      <w:r>
        <w:rPr>
          <w:color w:val="231F20"/>
          <w:spacing w:val="-4"/>
        </w:rPr>
        <w:t> </w:t>
      </w:r>
      <w:r>
        <w:rPr>
          <w:color w:val="231F20"/>
        </w:rPr>
        <w:t>their</w:t>
      </w:r>
      <w:r>
        <w:rPr>
          <w:color w:val="231F20"/>
          <w:spacing w:val="-4"/>
        </w:rPr>
        <w:t> </w:t>
      </w:r>
      <w:r>
        <w:rPr>
          <w:color w:val="231F20"/>
        </w:rPr>
        <w:t>competitors</w:t>
      </w:r>
      <w:r>
        <w:rPr>
          <w:color w:val="231F20"/>
          <w:spacing w:val="-4"/>
        </w:rPr>
        <w:t> </w:t>
      </w:r>
      <w:r>
        <w:rPr>
          <w:color w:val="231F20"/>
        </w:rPr>
        <w:t>and</w:t>
      </w:r>
      <w:r>
        <w:rPr>
          <w:color w:val="231F20"/>
          <w:spacing w:val="-4"/>
        </w:rPr>
        <w:t> </w:t>
      </w:r>
      <w:r>
        <w:rPr>
          <w:color w:val="231F20"/>
        </w:rPr>
        <w:t>make</w:t>
      </w:r>
      <w:r>
        <w:rPr>
          <w:color w:val="231F20"/>
          <w:spacing w:val="-4"/>
        </w:rPr>
        <w:t> </w:t>
      </w:r>
      <w:r>
        <w:rPr>
          <w:color w:val="231F20"/>
        </w:rPr>
        <w:t>their</w:t>
      </w:r>
      <w:r>
        <w:rPr>
          <w:color w:val="231F20"/>
          <w:spacing w:val="-4"/>
        </w:rPr>
        <w:t> </w:t>
      </w:r>
      <w:r>
        <w:rPr>
          <w:color w:val="231F20"/>
        </w:rPr>
        <w:t>bids.</w:t>
      </w:r>
      <w:r>
        <w:rPr>
          <w:color w:val="231F20"/>
          <w:spacing w:val="-4"/>
        </w:rPr>
        <w:t> </w:t>
      </w:r>
      <w:r>
        <w:rPr>
          <w:color w:val="231F20"/>
        </w:rPr>
        <w:t>After</w:t>
      </w:r>
      <w:r>
        <w:rPr>
          <w:color w:val="231F20"/>
          <w:spacing w:val="-4"/>
        </w:rPr>
        <w:t> </w:t>
      </w:r>
      <w:r>
        <w:rPr>
          <w:color w:val="231F20"/>
        </w:rPr>
        <w:t>112 rounds of bidding, the government raised $7.7 billion.</w:t>
      </w:r>
    </w:p>
    <w:p>
      <w:pPr>
        <w:pStyle w:val="BodyText"/>
        <w:rPr>
          <w:sz w:val="24"/>
        </w:rPr>
      </w:pPr>
    </w:p>
    <w:p>
      <w:pPr>
        <w:pStyle w:val="BodyText"/>
        <w:spacing w:before="7"/>
        <w:rPr>
          <w:sz w:val="24"/>
        </w:rPr>
      </w:pPr>
    </w:p>
    <w:p>
      <w:pPr>
        <w:pStyle w:val="Heading4"/>
      </w:pPr>
      <w:r>
        <w:rPr>
          <w:color w:val="231F20"/>
          <w:w w:val="85"/>
        </w:rPr>
        <w:t>PORTFOLIO</w:t>
      </w:r>
      <w:r>
        <w:rPr>
          <w:color w:val="231F20"/>
          <w:spacing w:val="68"/>
        </w:rPr>
        <w:t> </w:t>
      </w:r>
      <w:r>
        <w:rPr>
          <w:color w:val="231F20"/>
          <w:spacing w:val="7"/>
          <w:w w:val="95"/>
        </w:rPr>
        <w:t>STRATEGIES</w:t>
      </w:r>
    </w:p>
    <w:p>
      <w:pPr>
        <w:pStyle w:val="BodyText"/>
        <w:spacing w:before="11"/>
        <w:rPr>
          <w:rFonts w:ascii="Trebuchet MS"/>
          <w:sz w:val="29"/>
        </w:rPr>
      </w:pPr>
    </w:p>
    <w:p>
      <w:pPr>
        <w:pStyle w:val="BodyText"/>
        <w:spacing w:line="292" w:lineRule="auto"/>
        <w:ind w:left="920" w:right="663"/>
        <w:jc w:val="both"/>
      </w:pPr>
      <w:r>
        <w:rPr>
          <w:color w:val="231F20"/>
        </w:rPr>
        <w:t>If signaling sounds like fun, its enjoyment is eclipsed by the pleasure MBAs take in playing portfolio games. </w:t>
      </w:r>
      <w:r>
        <w:rPr>
          <w:i/>
          <w:color w:val="231F20"/>
        </w:rPr>
        <w:t>Portfolio strategy </w:t>
      </w:r>
      <w:r>
        <w:rPr>
          <w:color w:val="231F20"/>
        </w:rPr>
        <w:t>is consid- ered the highbrow area of </w:t>
      </w:r>
      <w:r>
        <w:rPr>
          <w:i/>
          <w:color w:val="231F20"/>
        </w:rPr>
        <w:t>corporate level </w:t>
      </w:r>
      <w:r>
        <w:rPr>
          <w:color w:val="231F20"/>
        </w:rPr>
        <w:t>strategic planning. It is the dominion of MBAs and of the elite management consulting firms headquartered in Boston and New York. In the 1960s, many aca- demics and executives believed that if a corporation could put together the right </w:t>
      </w:r>
      <w:r>
        <w:rPr>
          <w:i/>
          <w:color w:val="231F20"/>
        </w:rPr>
        <w:t>portfolio </w:t>
      </w:r>
      <w:r>
        <w:rPr>
          <w:color w:val="231F20"/>
        </w:rPr>
        <w:t>of unrelated and countercyclical busi- nesses, it would be immune to economic downturns. Accordingly,</w:t>
      </w:r>
      <w:r>
        <w:rPr>
          <w:color w:val="231F20"/>
          <w:spacing w:val="80"/>
        </w:rPr>
        <w:t> </w:t>
      </w:r>
      <w:r>
        <w:rPr>
          <w:color w:val="231F20"/>
        </w:rPr>
        <w:t>the concept of diversification became the craze of the decade. A</w:t>
      </w:r>
      <w:r>
        <w:rPr>
          <w:color w:val="231F20"/>
          <w:spacing w:val="40"/>
        </w:rPr>
        <w:t> </w:t>
      </w:r>
      <w:r>
        <w:rPr>
          <w:color w:val="231F20"/>
        </w:rPr>
        <w:t>prime example is General Electric, a company that was involved </w:t>
      </w:r>
      <w:r>
        <w:rPr>
          <w:color w:val="231F20"/>
        </w:rPr>
        <w:t>in 160 businesses during the sixties.</w:t>
      </w:r>
    </w:p>
    <w:p>
      <w:pPr>
        <w:pStyle w:val="BodyText"/>
        <w:spacing w:line="292" w:lineRule="auto"/>
        <w:ind w:left="919" w:right="665" w:firstLine="340"/>
        <w:jc w:val="both"/>
      </w:pPr>
      <w:r>
        <w:rPr>
          <w:color w:val="231F20"/>
          <w:w w:val="105"/>
        </w:rPr>
        <w:t>But</w:t>
      </w:r>
      <w:r>
        <w:rPr>
          <w:color w:val="231F20"/>
          <w:spacing w:val="-13"/>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1970s,</w:t>
      </w:r>
      <w:r>
        <w:rPr>
          <w:color w:val="231F20"/>
          <w:spacing w:val="-12"/>
          <w:w w:val="105"/>
        </w:rPr>
        <w:t> </w:t>
      </w:r>
      <w:r>
        <w:rPr>
          <w:color w:val="231F20"/>
          <w:w w:val="105"/>
        </w:rPr>
        <w:t>when</w:t>
      </w:r>
      <w:r>
        <w:rPr>
          <w:color w:val="231F20"/>
          <w:spacing w:val="-12"/>
          <w:w w:val="105"/>
        </w:rPr>
        <w:t> </w:t>
      </w:r>
      <w:r>
        <w:rPr>
          <w:color w:val="231F20"/>
          <w:w w:val="105"/>
        </w:rPr>
        <w:t>profits</w:t>
      </w:r>
      <w:r>
        <w:rPr>
          <w:color w:val="231F20"/>
          <w:spacing w:val="-12"/>
          <w:w w:val="105"/>
        </w:rPr>
        <w:t> </w:t>
      </w:r>
      <w:r>
        <w:rPr>
          <w:color w:val="231F20"/>
          <w:w w:val="105"/>
        </w:rPr>
        <w:t>declined</w:t>
      </w:r>
      <w:r>
        <w:rPr>
          <w:color w:val="231F20"/>
          <w:spacing w:val="-12"/>
          <w:w w:val="105"/>
        </w:rPr>
        <w:t> </w:t>
      </w:r>
      <w:r>
        <w:rPr>
          <w:color w:val="231F20"/>
          <w:w w:val="105"/>
        </w:rPr>
        <w:t>and</w:t>
      </w:r>
      <w:r>
        <w:rPr>
          <w:color w:val="231F20"/>
          <w:spacing w:val="-13"/>
          <w:w w:val="105"/>
        </w:rPr>
        <w:t> </w:t>
      </w:r>
      <w:r>
        <w:rPr>
          <w:color w:val="231F20"/>
          <w:w w:val="105"/>
        </w:rPr>
        <w:t>Wall</w:t>
      </w:r>
      <w:r>
        <w:rPr>
          <w:color w:val="231F20"/>
          <w:spacing w:val="-12"/>
          <w:w w:val="105"/>
        </w:rPr>
        <w:t> </w:t>
      </w:r>
      <w:r>
        <w:rPr>
          <w:color w:val="231F20"/>
          <w:w w:val="105"/>
        </w:rPr>
        <w:t>Street</w:t>
      </w:r>
      <w:r>
        <w:rPr>
          <w:color w:val="231F20"/>
          <w:spacing w:val="-12"/>
          <w:w w:val="105"/>
        </w:rPr>
        <w:t> </w:t>
      </w:r>
      <w:r>
        <w:rPr>
          <w:color w:val="231F20"/>
          <w:w w:val="105"/>
        </w:rPr>
        <w:t>became </w:t>
      </w:r>
      <w:r>
        <w:rPr>
          <w:color w:val="231F20"/>
        </w:rPr>
        <w:t>dissatisfied with </w:t>
      </w:r>
      <w:r>
        <w:rPr>
          <w:i/>
          <w:color w:val="231F20"/>
        </w:rPr>
        <w:t>unrelated diversification, </w:t>
      </w:r>
      <w:r>
        <w:rPr>
          <w:color w:val="231F20"/>
        </w:rPr>
        <w:t>boards of directors ran </w:t>
      </w:r>
      <w:r>
        <w:rPr>
          <w:color w:val="231F20"/>
        </w:rPr>
        <w:t>to </w:t>
      </w:r>
      <w:r>
        <w:rPr>
          <w:color w:val="231F20"/>
          <w:w w:val="105"/>
        </w:rPr>
        <w:t>consultants</w:t>
      </w:r>
      <w:r>
        <w:rPr>
          <w:color w:val="231F20"/>
          <w:w w:val="105"/>
        </w:rPr>
        <w:t> for</w:t>
      </w:r>
      <w:r>
        <w:rPr>
          <w:color w:val="231F20"/>
          <w:w w:val="105"/>
        </w:rPr>
        <w:t> help.</w:t>
      </w:r>
      <w:r>
        <w:rPr>
          <w:color w:val="231F20"/>
          <w:w w:val="105"/>
        </w:rPr>
        <w:t> They</w:t>
      </w:r>
      <w:r>
        <w:rPr>
          <w:color w:val="231F20"/>
          <w:w w:val="105"/>
        </w:rPr>
        <w:t> wanted</w:t>
      </w:r>
      <w:r>
        <w:rPr>
          <w:color w:val="231F20"/>
          <w:w w:val="105"/>
        </w:rPr>
        <w:t> to</w:t>
      </w:r>
      <w:r>
        <w:rPr>
          <w:color w:val="231F20"/>
          <w:w w:val="105"/>
        </w:rPr>
        <w:t> know</w:t>
      </w:r>
      <w:r>
        <w:rPr>
          <w:color w:val="231F20"/>
          <w:w w:val="105"/>
        </w:rPr>
        <w:t> what</w:t>
      </w:r>
      <w:r>
        <w:rPr>
          <w:color w:val="231F20"/>
          <w:w w:val="105"/>
        </w:rPr>
        <w:t> businesses</w:t>
      </w:r>
      <w:r>
        <w:rPr>
          <w:color w:val="231F20"/>
          <w:w w:val="105"/>
        </w:rPr>
        <w:t> they should</w:t>
      </w:r>
      <w:r>
        <w:rPr>
          <w:color w:val="231F20"/>
          <w:spacing w:val="-11"/>
          <w:w w:val="105"/>
        </w:rPr>
        <w:t> </w:t>
      </w:r>
      <w:r>
        <w:rPr>
          <w:color w:val="231F20"/>
          <w:w w:val="105"/>
        </w:rPr>
        <w:t>be</w:t>
      </w:r>
      <w:r>
        <w:rPr>
          <w:color w:val="231F20"/>
          <w:spacing w:val="-11"/>
          <w:w w:val="105"/>
        </w:rPr>
        <w:t> </w:t>
      </w:r>
      <w:r>
        <w:rPr>
          <w:color w:val="231F20"/>
          <w:w w:val="105"/>
        </w:rPr>
        <w:t>in,</w:t>
      </w:r>
      <w:r>
        <w:rPr>
          <w:color w:val="231F20"/>
          <w:spacing w:val="-11"/>
          <w:w w:val="105"/>
        </w:rPr>
        <w:t> </w:t>
      </w:r>
      <w:r>
        <w:rPr>
          <w:color w:val="231F20"/>
          <w:w w:val="105"/>
        </w:rPr>
        <w:t>which</w:t>
      </w:r>
      <w:r>
        <w:rPr>
          <w:color w:val="231F20"/>
          <w:spacing w:val="-11"/>
          <w:w w:val="105"/>
        </w:rPr>
        <w:t> </w:t>
      </w:r>
      <w:r>
        <w:rPr>
          <w:color w:val="231F20"/>
          <w:w w:val="105"/>
        </w:rPr>
        <w:t>they</w:t>
      </w:r>
      <w:r>
        <w:rPr>
          <w:color w:val="231F20"/>
          <w:spacing w:val="-11"/>
          <w:w w:val="105"/>
        </w:rPr>
        <w:t> </w:t>
      </w:r>
      <w:r>
        <w:rPr>
          <w:color w:val="231F20"/>
          <w:w w:val="105"/>
        </w:rPr>
        <w:t>should</w:t>
      </w:r>
      <w:r>
        <w:rPr>
          <w:color w:val="231F20"/>
          <w:spacing w:val="-11"/>
          <w:w w:val="105"/>
        </w:rPr>
        <w:t> </w:t>
      </w:r>
      <w:r>
        <w:rPr>
          <w:color w:val="231F20"/>
          <w:w w:val="105"/>
        </w:rPr>
        <w:t>continue</w:t>
      </w:r>
      <w:r>
        <w:rPr>
          <w:color w:val="231F20"/>
          <w:spacing w:val="-11"/>
          <w:w w:val="105"/>
        </w:rPr>
        <w:t> </w:t>
      </w:r>
      <w:r>
        <w:rPr>
          <w:color w:val="231F20"/>
          <w:w w:val="105"/>
        </w:rPr>
        <w:t>in,</w:t>
      </w:r>
      <w:r>
        <w:rPr>
          <w:color w:val="231F20"/>
          <w:spacing w:val="-11"/>
          <w:w w:val="105"/>
        </w:rPr>
        <w:t> </w:t>
      </w:r>
      <w:r>
        <w:rPr>
          <w:color w:val="231F20"/>
          <w:w w:val="105"/>
        </w:rPr>
        <w:t>and</w:t>
      </w:r>
      <w:r>
        <w:rPr>
          <w:color w:val="231F20"/>
          <w:spacing w:val="-11"/>
          <w:w w:val="105"/>
        </w:rPr>
        <w:t> </w:t>
      </w:r>
      <w:r>
        <w:rPr>
          <w:color w:val="231F20"/>
          <w:w w:val="105"/>
        </w:rPr>
        <w:t>which</w:t>
      </w:r>
      <w:r>
        <w:rPr>
          <w:color w:val="231F20"/>
          <w:spacing w:val="-11"/>
          <w:w w:val="105"/>
        </w:rPr>
        <w:t> </w:t>
      </w:r>
      <w:r>
        <w:rPr>
          <w:color w:val="231F20"/>
          <w:w w:val="105"/>
        </w:rPr>
        <w:t>they</w:t>
      </w:r>
      <w:r>
        <w:rPr>
          <w:color w:val="231F20"/>
          <w:spacing w:val="-11"/>
          <w:w w:val="105"/>
        </w:rPr>
        <w:t> </w:t>
      </w:r>
      <w:r>
        <w:rPr>
          <w:color w:val="231F20"/>
          <w:w w:val="105"/>
        </w:rPr>
        <w:t>should sell.</w:t>
      </w:r>
      <w:r>
        <w:rPr>
          <w:color w:val="231F20"/>
          <w:spacing w:val="-13"/>
          <w:w w:val="105"/>
        </w:rPr>
        <w:t> </w:t>
      </w:r>
      <w:r>
        <w:rPr>
          <w:color w:val="231F20"/>
          <w:w w:val="105"/>
        </w:rPr>
        <w:t>Cash</w:t>
      </w:r>
      <w:r>
        <w:rPr>
          <w:color w:val="231F20"/>
          <w:spacing w:val="-12"/>
          <w:w w:val="105"/>
        </w:rPr>
        <w:t> </w:t>
      </w:r>
      <w:r>
        <w:rPr>
          <w:color w:val="231F20"/>
          <w:w w:val="105"/>
        </w:rPr>
        <w:t>was</w:t>
      </w:r>
      <w:r>
        <w:rPr>
          <w:color w:val="231F20"/>
          <w:spacing w:val="-12"/>
          <w:w w:val="105"/>
        </w:rPr>
        <w:t> </w:t>
      </w:r>
      <w:r>
        <w:rPr>
          <w:color w:val="231F20"/>
          <w:w w:val="105"/>
        </w:rPr>
        <w:t>scarce</w:t>
      </w:r>
      <w:r>
        <w:rPr>
          <w:color w:val="231F20"/>
          <w:spacing w:val="-12"/>
          <w:w w:val="105"/>
        </w:rPr>
        <w:t> </w:t>
      </w:r>
      <w:r>
        <w:rPr>
          <w:color w:val="231F20"/>
          <w:w w:val="105"/>
        </w:rPr>
        <w:t>and</w:t>
      </w:r>
      <w:r>
        <w:rPr>
          <w:color w:val="231F20"/>
          <w:spacing w:val="-12"/>
          <w:w w:val="105"/>
        </w:rPr>
        <w:t> </w:t>
      </w:r>
      <w:r>
        <w:rPr>
          <w:color w:val="231F20"/>
          <w:w w:val="105"/>
        </w:rPr>
        <w:t>a</w:t>
      </w:r>
      <w:r>
        <w:rPr>
          <w:color w:val="231F20"/>
          <w:spacing w:val="-12"/>
          <w:w w:val="105"/>
        </w:rPr>
        <w:t> </w:t>
      </w:r>
      <w:r>
        <w:rPr>
          <w:color w:val="231F20"/>
          <w:w w:val="105"/>
        </w:rPr>
        <w:t>strategy</w:t>
      </w:r>
      <w:r>
        <w:rPr>
          <w:color w:val="231F20"/>
          <w:spacing w:val="-12"/>
          <w:w w:val="105"/>
        </w:rPr>
        <w:t> </w:t>
      </w:r>
      <w:r>
        <w:rPr>
          <w:color w:val="231F20"/>
          <w:w w:val="105"/>
        </w:rPr>
        <w:t>had</w:t>
      </w:r>
      <w:r>
        <w:rPr>
          <w:color w:val="231F20"/>
          <w:spacing w:val="-13"/>
          <w:w w:val="105"/>
        </w:rPr>
        <w:t> </w:t>
      </w:r>
      <w:r>
        <w:rPr>
          <w:color w:val="231F20"/>
          <w:w w:val="105"/>
        </w:rPr>
        <w:t>to</w:t>
      </w:r>
      <w:r>
        <w:rPr>
          <w:color w:val="231F20"/>
          <w:spacing w:val="-12"/>
          <w:w w:val="105"/>
        </w:rPr>
        <w:t> </w:t>
      </w:r>
      <w:r>
        <w:rPr>
          <w:color w:val="231F20"/>
          <w:w w:val="105"/>
        </w:rPr>
        <w:t>be</w:t>
      </w:r>
      <w:r>
        <w:rPr>
          <w:color w:val="231F20"/>
          <w:spacing w:val="-12"/>
          <w:w w:val="105"/>
        </w:rPr>
        <w:t> </w:t>
      </w:r>
      <w:r>
        <w:rPr>
          <w:color w:val="231F20"/>
          <w:w w:val="105"/>
        </w:rPr>
        <w:t>found</w:t>
      </w:r>
      <w:r>
        <w:rPr>
          <w:color w:val="231F20"/>
          <w:spacing w:val="-12"/>
          <w:w w:val="105"/>
        </w:rPr>
        <w:t> </w:t>
      </w:r>
      <w:r>
        <w:rPr>
          <w:color w:val="231F20"/>
          <w:w w:val="105"/>
        </w:rPr>
        <w:t>that</w:t>
      </w:r>
      <w:r>
        <w:rPr>
          <w:color w:val="231F20"/>
          <w:spacing w:val="-12"/>
          <w:w w:val="105"/>
        </w:rPr>
        <w:t> </w:t>
      </w:r>
      <w:r>
        <w:rPr>
          <w:color w:val="231F20"/>
          <w:w w:val="105"/>
        </w:rPr>
        <w:t>would</w:t>
      </w:r>
      <w:r>
        <w:rPr>
          <w:color w:val="231F20"/>
          <w:spacing w:val="-12"/>
          <w:w w:val="105"/>
        </w:rPr>
        <w:t> </w:t>
      </w:r>
      <w:r>
        <w:rPr>
          <w:color w:val="231F20"/>
          <w:w w:val="105"/>
        </w:rPr>
        <w:t>help funnel</w:t>
      </w:r>
      <w:r>
        <w:rPr>
          <w:color w:val="231F20"/>
          <w:spacing w:val="-1"/>
          <w:w w:val="105"/>
        </w:rPr>
        <w:t> </w:t>
      </w:r>
      <w:r>
        <w:rPr>
          <w:color w:val="231F20"/>
          <w:w w:val="105"/>
        </w:rPr>
        <w:t>their</w:t>
      </w:r>
      <w:r>
        <w:rPr>
          <w:color w:val="231F20"/>
          <w:spacing w:val="-1"/>
          <w:w w:val="105"/>
        </w:rPr>
        <w:t> </w:t>
      </w:r>
      <w:r>
        <w:rPr>
          <w:color w:val="231F20"/>
          <w:w w:val="105"/>
        </w:rPr>
        <w:t>limited</w:t>
      </w:r>
      <w:r>
        <w:rPr>
          <w:color w:val="231F20"/>
          <w:spacing w:val="-1"/>
          <w:w w:val="105"/>
        </w:rPr>
        <w:t> </w:t>
      </w:r>
      <w:r>
        <w:rPr>
          <w:color w:val="231F20"/>
          <w:w w:val="105"/>
        </w:rPr>
        <w:t>capital</w:t>
      </w:r>
      <w:r>
        <w:rPr>
          <w:color w:val="231F20"/>
          <w:spacing w:val="-1"/>
          <w:w w:val="105"/>
        </w:rPr>
        <w:t> </w:t>
      </w:r>
      <w:r>
        <w:rPr>
          <w:color w:val="231F20"/>
          <w:w w:val="105"/>
        </w:rPr>
        <w:t>to</w:t>
      </w:r>
      <w:r>
        <w:rPr>
          <w:color w:val="231F20"/>
          <w:spacing w:val="-1"/>
          <w:w w:val="105"/>
        </w:rPr>
        <w:t> </w:t>
      </w:r>
      <w:r>
        <w:rPr>
          <w:color w:val="231F20"/>
          <w:w w:val="105"/>
        </w:rPr>
        <w:t>the</w:t>
      </w:r>
      <w:r>
        <w:rPr>
          <w:color w:val="231F20"/>
          <w:spacing w:val="-1"/>
          <w:w w:val="105"/>
        </w:rPr>
        <w:t> </w:t>
      </w:r>
      <w:r>
        <w:rPr>
          <w:color w:val="231F20"/>
          <w:w w:val="105"/>
        </w:rPr>
        <w:t>best</w:t>
      </w:r>
      <w:r>
        <w:rPr>
          <w:color w:val="231F20"/>
          <w:spacing w:val="-1"/>
          <w:w w:val="105"/>
        </w:rPr>
        <w:t> </w:t>
      </w:r>
      <w:r>
        <w:rPr>
          <w:color w:val="231F20"/>
          <w:w w:val="105"/>
        </w:rPr>
        <w:t>prospects.</w:t>
      </w:r>
    </w:p>
    <w:p>
      <w:pPr>
        <w:pStyle w:val="BodyText"/>
        <w:spacing w:line="292" w:lineRule="auto"/>
        <w:ind w:left="920" w:right="665" w:firstLine="340"/>
        <w:jc w:val="both"/>
      </w:pPr>
      <w:r>
        <w:rPr>
          <w:color w:val="231F20"/>
        </w:rPr>
        <w:t>As you might expect, each consulting firm developed its own </w:t>
      </w:r>
      <w:r>
        <w:rPr>
          <w:color w:val="231F20"/>
        </w:rPr>
        <w:t>the- ory and matrix model to answer the portfolio management problem. Knowledgeable MBAs are familiar with the four major portfolio models, and you should be too.</w:t>
      </w:r>
    </w:p>
    <w:p>
      <w:pPr>
        <w:spacing w:after="0" w:line="292" w:lineRule="auto"/>
        <w:jc w:val="both"/>
        <w:sectPr>
          <w:pgSz w:w="8640" w:h="12960"/>
          <w:pgMar w:header="734" w:footer="0" w:top="920" w:bottom="280" w:left="340" w:right="500"/>
        </w:sectPr>
      </w:pPr>
    </w:p>
    <w:p>
      <w:pPr>
        <w:pStyle w:val="BodyText"/>
        <w:spacing w:before="10"/>
        <w:rPr>
          <w:sz w:val="17"/>
        </w:rPr>
      </w:pPr>
    </w:p>
    <w:p>
      <w:pPr>
        <w:pStyle w:val="Heading6"/>
        <w:spacing w:line="292" w:lineRule="auto" w:before="99"/>
        <w:ind w:left="1346" w:right="1263"/>
      </w:pPr>
      <w:r>
        <w:rPr>
          <w:i/>
          <w:color w:val="231F20"/>
          <w:w w:val="110"/>
        </w:rPr>
        <w:t>THE</w:t>
      </w:r>
      <w:r>
        <w:rPr>
          <w:i/>
          <w:color w:val="231F20"/>
          <w:w w:val="110"/>
        </w:rPr>
        <w:t> BOSTON</w:t>
      </w:r>
      <w:r>
        <w:rPr>
          <w:i/>
          <w:color w:val="231F20"/>
          <w:w w:val="110"/>
        </w:rPr>
        <w:t> CONSULTING</w:t>
      </w:r>
      <w:r>
        <w:rPr>
          <w:i/>
          <w:color w:val="231F20"/>
          <w:w w:val="110"/>
        </w:rPr>
        <w:t> </w:t>
      </w:r>
      <w:r>
        <w:rPr>
          <w:i/>
          <w:color w:val="231F20"/>
          <w:spacing w:val="10"/>
          <w:w w:val="110"/>
        </w:rPr>
        <w:t>GROUP’S</w:t>
      </w:r>
      <w:r>
        <w:rPr>
          <w:color w:val="231F20"/>
          <w:spacing w:val="80"/>
          <w:w w:val="110"/>
        </w:rPr>
        <w:t> </w:t>
      </w:r>
      <w:r>
        <w:rPr>
          <w:color w:val="231F20"/>
          <w:spacing w:val="9"/>
          <w:w w:val="110"/>
        </w:rPr>
        <w:t>GROWTH/SHARE</w:t>
      </w:r>
      <w:r>
        <w:rPr>
          <w:color w:val="231F20"/>
          <w:spacing w:val="9"/>
          <w:w w:val="110"/>
        </w:rPr>
        <w:t> </w:t>
      </w:r>
      <w:r>
        <w:rPr>
          <w:color w:val="231F20"/>
          <w:w w:val="110"/>
        </w:rPr>
        <w:t>MATRIX</w:t>
      </w:r>
    </w:p>
    <w:p>
      <w:pPr>
        <w:pStyle w:val="BodyText"/>
        <w:spacing w:before="6"/>
        <w:rPr>
          <w:b/>
          <w:i/>
          <w:sz w:val="25"/>
        </w:rPr>
      </w:pPr>
    </w:p>
    <w:p>
      <w:pPr>
        <w:pStyle w:val="BodyText"/>
        <w:spacing w:line="292" w:lineRule="auto"/>
        <w:ind w:left="830" w:right="753"/>
        <w:jc w:val="both"/>
      </w:pPr>
      <w:r>
        <w:rPr>
          <w:color w:val="231F20"/>
        </w:rPr>
        <w:t>The Boston Consulting Group’s (BCG) model uses market growth rates and relative market share to classify companies into four </w:t>
      </w:r>
      <w:r>
        <w:rPr>
          <w:color w:val="231F20"/>
        </w:rPr>
        <w:t>cate- gories. Their studies showed that high market share was highly cor- related with higher ROI (return on investment) and lower costs because of </w:t>
      </w:r>
      <w:r>
        <w:rPr>
          <w:i/>
          <w:color w:val="231F20"/>
        </w:rPr>
        <w:t>learning curve effects. </w:t>
      </w:r>
      <w:r>
        <w:rPr>
          <w:color w:val="231F20"/>
        </w:rPr>
        <w:t>Therefore, the theory suggests that it is best to have a stable, high market share in some businesses to fund the cash needs of other businesses. There are four classifica- tions that rest on that premise.</w:t>
      </w:r>
    </w:p>
    <w:p>
      <w:pPr>
        <w:pStyle w:val="BodyText"/>
        <w:spacing w:line="292" w:lineRule="auto"/>
        <w:ind w:left="830" w:right="754" w:firstLine="340"/>
        <w:jc w:val="both"/>
      </w:pPr>
      <w:r>
        <w:rPr>
          <w:color w:val="231F20"/>
        </w:rPr>
        <w:t>The </w:t>
      </w:r>
      <w:r>
        <w:rPr>
          <w:i/>
          <w:color w:val="231F20"/>
        </w:rPr>
        <w:t>Star </w:t>
      </w:r>
      <w:r>
        <w:rPr>
          <w:color w:val="231F20"/>
        </w:rPr>
        <w:t>is a high-market-share business in a high-growth </w:t>
      </w:r>
      <w:r>
        <w:rPr>
          <w:color w:val="231F20"/>
        </w:rPr>
        <w:t>indus- try. Stars grow and finance themselves. Google, the Internet search engine, is a good example of a self-financing growth company. Its profit margin of 23 percent on sales of $1.5 billion in 2003 was</w:t>
      </w:r>
      <w:r>
        <w:rPr>
          <w:color w:val="231F20"/>
          <w:spacing w:val="80"/>
        </w:rPr>
        <w:t> </w:t>
      </w:r>
      <w:r>
        <w:rPr>
          <w:color w:val="231F20"/>
        </w:rPr>
        <w:t>ample to meet its cash needs for new and existing projects. Charac- teristically, these types of companies exist in competitive markets and require vigilant managements to maintain their enviable posi- tions on the BCG matrix.</w:t>
      </w:r>
    </w:p>
    <w:p>
      <w:pPr>
        <w:pStyle w:val="BodyText"/>
        <w:spacing w:line="292" w:lineRule="auto"/>
        <w:ind w:left="829" w:right="756" w:firstLine="340"/>
        <w:jc w:val="both"/>
      </w:pPr>
      <w:r>
        <w:rPr>
          <w:i/>
          <w:color w:val="231F20"/>
        </w:rPr>
        <w:t>Cash cows </w:t>
      </w:r>
      <w:r>
        <w:rPr>
          <w:color w:val="231F20"/>
        </w:rPr>
        <w:t>are high-market-share businesses in low-growth in- dustries.</w:t>
      </w:r>
      <w:r>
        <w:rPr>
          <w:color w:val="231F20"/>
          <w:spacing w:val="6"/>
        </w:rPr>
        <w:t> </w:t>
      </w:r>
      <w:r>
        <w:rPr>
          <w:color w:val="231F20"/>
        </w:rPr>
        <w:t>These</w:t>
      </w:r>
      <w:r>
        <w:rPr>
          <w:color w:val="231F20"/>
          <w:spacing w:val="7"/>
        </w:rPr>
        <w:t> </w:t>
      </w:r>
      <w:r>
        <w:rPr>
          <w:color w:val="231F20"/>
        </w:rPr>
        <w:t>gems</w:t>
      </w:r>
      <w:r>
        <w:rPr>
          <w:color w:val="231F20"/>
          <w:spacing w:val="7"/>
        </w:rPr>
        <w:t> </w:t>
      </w:r>
      <w:r>
        <w:rPr>
          <w:color w:val="231F20"/>
        </w:rPr>
        <w:t>provide</w:t>
      </w:r>
      <w:r>
        <w:rPr>
          <w:color w:val="231F20"/>
          <w:spacing w:val="7"/>
        </w:rPr>
        <w:t> </w:t>
      </w:r>
      <w:r>
        <w:rPr>
          <w:color w:val="231F20"/>
        </w:rPr>
        <w:t>the</w:t>
      </w:r>
      <w:r>
        <w:rPr>
          <w:color w:val="231F20"/>
          <w:spacing w:val="7"/>
        </w:rPr>
        <w:t> </w:t>
      </w:r>
      <w:r>
        <w:rPr>
          <w:color w:val="231F20"/>
        </w:rPr>
        <w:t>cash</w:t>
      </w:r>
      <w:r>
        <w:rPr>
          <w:color w:val="231F20"/>
          <w:spacing w:val="7"/>
        </w:rPr>
        <w:t> </w:t>
      </w:r>
      <w:r>
        <w:rPr>
          <w:color w:val="231F20"/>
        </w:rPr>
        <w:t>to</w:t>
      </w:r>
      <w:r>
        <w:rPr>
          <w:color w:val="231F20"/>
          <w:spacing w:val="7"/>
        </w:rPr>
        <w:t> </w:t>
      </w:r>
      <w:r>
        <w:rPr>
          <w:color w:val="231F20"/>
        </w:rPr>
        <w:t>fund</w:t>
      </w:r>
      <w:r>
        <w:rPr>
          <w:color w:val="231F20"/>
          <w:spacing w:val="7"/>
        </w:rPr>
        <w:t> </w:t>
      </w:r>
      <w:r>
        <w:rPr>
          <w:color w:val="231F20"/>
        </w:rPr>
        <w:t>other</w:t>
      </w:r>
      <w:r>
        <w:rPr>
          <w:color w:val="231F20"/>
          <w:spacing w:val="7"/>
        </w:rPr>
        <w:t> </w:t>
      </w:r>
      <w:r>
        <w:rPr>
          <w:color w:val="231F20"/>
        </w:rPr>
        <w:t>businesses.</w:t>
      </w:r>
      <w:r>
        <w:rPr>
          <w:color w:val="231F20"/>
          <w:spacing w:val="7"/>
        </w:rPr>
        <w:t> </w:t>
      </w:r>
      <w:r>
        <w:rPr>
          <w:color w:val="231F20"/>
          <w:spacing w:val="-4"/>
        </w:rPr>
        <w:t>Yes-</w:t>
      </w:r>
    </w:p>
    <w:p>
      <w:pPr>
        <w:pStyle w:val="BodyText"/>
        <w:rPr>
          <w:sz w:val="24"/>
        </w:rPr>
      </w:pPr>
    </w:p>
    <w:p>
      <w:pPr>
        <w:pStyle w:val="BodyText"/>
        <w:rPr>
          <w:sz w:val="24"/>
        </w:rPr>
      </w:pPr>
    </w:p>
    <w:p>
      <w:pPr>
        <w:spacing w:before="191"/>
        <w:ind w:left="288" w:right="219" w:firstLine="0"/>
        <w:jc w:val="center"/>
        <w:rPr>
          <w:rFonts w:ascii="Arial"/>
          <w:sz w:val="14"/>
        </w:rPr>
      </w:pPr>
      <w:r>
        <w:rPr/>
        <w:drawing>
          <wp:anchor distT="0" distB="0" distL="0" distR="0" allowOverlap="1" layoutInCell="1" locked="0" behindDoc="0" simplePos="0" relativeHeight="410">
            <wp:simplePos x="0" y="0"/>
            <wp:positionH relativeFrom="page">
              <wp:posOffset>742950</wp:posOffset>
            </wp:positionH>
            <wp:positionV relativeFrom="paragraph">
              <wp:posOffset>251044</wp:posOffset>
            </wp:positionV>
            <wp:extent cx="3943350" cy="2286000"/>
            <wp:effectExtent l="0" t="0" r="0" b="0"/>
            <wp:wrapTopAndBottom/>
            <wp:docPr id="149" name="image85.png"/>
            <wp:cNvGraphicFramePr>
              <a:graphicFrameLocks noChangeAspect="1"/>
            </wp:cNvGraphicFramePr>
            <a:graphic>
              <a:graphicData uri="http://schemas.openxmlformats.org/drawingml/2006/picture">
                <pic:pic>
                  <pic:nvPicPr>
                    <pic:cNvPr id="150" name="image85.png"/>
                    <pic:cNvPicPr/>
                  </pic:nvPicPr>
                  <pic:blipFill>
                    <a:blip r:embed="rId126" cstate="print"/>
                    <a:stretch>
                      <a:fillRect/>
                    </a:stretch>
                  </pic:blipFill>
                  <pic:spPr>
                    <a:xfrm>
                      <a:off x="0" y="0"/>
                      <a:ext cx="3943350" cy="2286000"/>
                    </a:xfrm>
                    <a:prstGeom prst="rect">
                      <a:avLst/>
                    </a:prstGeom>
                  </pic:spPr>
                </pic:pic>
              </a:graphicData>
            </a:graphic>
          </wp:anchor>
        </w:drawing>
      </w:r>
      <w:r>
        <w:rPr>
          <w:rFonts w:ascii="Arial"/>
          <w:color w:val="231F20"/>
          <w:w w:val="105"/>
          <w:sz w:val="14"/>
        </w:rPr>
        <w:t>THE</w:t>
      </w:r>
      <w:r>
        <w:rPr>
          <w:rFonts w:ascii="Arial"/>
          <w:color w:val="231F20"/>
          <w:spacing w:val="18"/>
          <w:w w:val="105"/>
          <w:sz w:val="14"/>
        </w:rPr>
        <w:t> </w:t>
      </w:r>
      <w:r>
        <w:rPr>
          <w:rFonts w:ascii="Arial"/>
          <w:color w:val="231F20"/>
          <w:w w:val="105"/>
          <w:sz w:val="14"/>
        </w:rPr>
        <w:t>BCG</w:t>
      </w:r>
      <w:r>
        <w:rPr>
          <w:rFonts w:ascii="Arial"/>
          <w:color w:val="231F20"/>
          <w:spacing w:val="19"/>
          <w:w w:val="105"/>
          <w:sz w:val="14"/>
        </w:rPr>
        <w:t> </w:t>
      </w:r>
      <w:r>
        <w:rPr>
          <w:rFonts w:ascii="Arial"/>
          <w:color w:val="231F20"/>
          <w:w w:val="105"/>
          <w:sz w:val="14"/>
        </w:rPr>
        <w:t>BUSINESS</w:t>
      </w:r>
      <w:r>
        <w:rPr>
          <w:rFonts w:ascii="Arial"/>
          <w:color w:val="231F20"/>
          <w:spacing w:val="18"/>
          <w:w w:val="105"/>
          <w:sz w:val="14"/>
        </w:rPr>
        <w:t> </w:t>
      </w:r>
      <w:r>
        <w:rPr>
          <w:rFonts w:ascii="Arial"/>
          <w:color w:val="231F20"/>
          <w:w w:val="105"/>
          <w:sz w:val="14"/>
        </w:rPr>
        <w:t>PORTFOLIO</w:t>
      </w:r>
      <w:r>
        <w:rPr>
          <w:rFonts w:ascii="Arial"/>
          <w:color w:val="231F20"/>
          <w:spacing w:val="19"/>
          <w:w w:val="105"/>
          <w:sz w:val="14"/>
        </w:rPr>
        <w:t> </w:t>
      </w:r>
      <w:r>
        <w:rPr>
          <w:rFonts w:ascii="Arial"/>
          <w:color w:val="231F20"/>
          <w:spacing w:val="-2"/>
          <w:w w:val="105"/>
          <w:sz w:val="14"/>
        </w:rPr>
        <w:t>CHART</w:t>
      </w:r>
    </w:p>
    <w:p>
      <w:pPr>
        <w:spacing w:after="0"/>
        <w:jc w:val="center"/>
        <w:rPr>
          <w:rFonts w:ascii="Arial"/>
          <w:sz w:val="14"/>
        </w:rPr>
        <w:sectPr>
          <w:pgSz w:w="8640" w:h="12960"/>
          <w:pgMar w:header="732" w:footer="0" w:top="920" w:bottom="280" w:left="340" w:right="500"/>
        </w:sectPr>
      </w:pPr>
    </w:p>
    <w:p>
      <w:pPr>
        <w:pStyle w:val="BodyText"/>
        <w:rPr>
          <w:rFonts w:ascii="Arial"/>
          <w:sz w:val="18"/>
        </w:rPr>
      </w:pPr>
    </w:p>
    <w:p>
      <w:pPr>
        <w:pStyle w:val="BodyText"/>
        <w:spacing w:line="292" w:lineRule="auto" w:before="102"/>
        <w:ind w:left="920" w:right="666"/>
        <w:jc w:val="both"/>
      </w:pPr>
      <w:r>
        <w:rPr>
          <w:color w:val="231F20"/>
        </w:rPr>
        <w:t>terday’s stars, tobacco companies, are today’s cows. In Altria’s case, the money generated from Marlboro is used to buy food companies and pay dividends. Needless to say, Altria’s goal is to keep its domi- nant share in the low-growth tobacco industry in the United </w:t>
      </w:r>
      <w:r>
        <w:rPr>
          <w:color w:val="231F20"/>
        </w:rPr>
        <w:t>States and keep “milking the cow” if it can.</w:t>
      </w:r>
    </w:p>
    <w:p>
      <w:pPr>
        <w:pStyle w:val="BodyText"/>
        <w:spacing w:line="292" w:lineRule="auto"/>
        <w:ind w:left="919" w:right="663" w:firstLine="340"/>
        <w:jc w:val="right"/>
      </w:pPr>
      <w:r>
        <w:rPr>
          <w:i/>
          <w:color w:val="231F20"/>
        </w:rPr>
        <w:t>Dogs</w:t>
      </w:r>
      <w:r>
        <w:rPr>
          <w:i/>
          <w:color w:val="231F20"/>
          <w:spacing w:val="40"/>
        </w:rPr>
        <w:t> </w:t>
      </w:r>
      <w:r>
        <w:rPr>
          <w:color w:val="231F20"/>
        </w:rPr>
        <w:t>are</w:t>
      </w:r>
      <w:r>
        <w:rPr>
          <w:color w:val="231F20"/>
          <w:spacing w:val="40"/>
        </w:rPr>
        <w:t> </w:t>
      </w:r>
      <w:r>
        <w:rPr>
          <w:color w:val="231F20"/>
        </w:rPr>
        <w:t>small-market-share</w:t>
      </w:r>
      <w:r>
        <w:rPr>
          <w:color w:val="231F20"/>
          <w:spacing w:val="40"/>
        </w:rPr>
        <w:t> </w:t>
      </w:r>
      <w:r>
        <w:rPr>
          <w:color w:val="231F20"/>
        </w:rPr>
        <w:t>businesses</w:t>
      </w:r>
      <w:r>
        <w:rPr>
          <w:color w:val="231F20"/>
          <w:spacing w:val="40"/>
        </w:rPr>
        <w:t> </w:t>
      </w:r>
      <w:r>
        <w:rPr>
          <w:color w:val="231F20"/>
        </w:rPr>
        <w:t>in</w:t>
      </w:r>
      <w:r>
        <w:rPr>
          <w:color w:val="231F20"/>
          <w:spacing w:val="40"/>
        </w:rPr>
        <w:t> </w:t>
      </w:r>
      <w:r>
        <w:rPr>
          <w:color w:val="231F20"/>
        </w:rPr>
        <w:t>low-growth</w:t>
      </w:r>
      <w:r>
        <w:rPr>
          <w:color w:val="231F20"/>
          <w:spacing w:val="40"/>
        </w:rPr>
        <w:t> </w:t>
      </w:r>
      <w:r>
        <w:rPr>
          <w:color w:val="231F20"/>
        </w:rPr>
        <w:t>indus- tries.</w:t>
      </w:r>
      <w:r>
        <w:rPr>
          <w:color w:val="231F20"/>
          <w:spacing w:val="30"/>
        </w:rPr>
        <w:t> </w:t>
      </w:r>
      <w:r>
        <w:rPr>
          <w:color w:val="231F20"/>
        </w:rPr>
        <w:t>These</w:t>
      </w:r>
      <w:r>
        <w:rPr>
          <w:color w:val="231F20"/>
          <w:spacing w:val="30"/>
        </w:rPr>
        <w:t> </w:t>
      </w:r>
      <w:r>
        <w:rPr>
          <w:color w:val="231F20"/>
        </w:rPr>
        <w:t>businesses</w:t>
      </w:r>
      <w:r>
        <w:rPr>
          <w:color w:val="231F20"/>
          <w:spacing w:val="29"/>
        </w:rPr>
        <w:t> </w:t>
      </w:r>
      <w:r>
        <w:rPr>
          <w:color w:val="231F20"/>
        </w:rPr>
        <w:t>are</w:t>
      </w:r>
      <w:r>
        <w:rPr>
          <w:color w:val="231F20"/>
          <w:spacing w:val="30"/>
        </w:rPr>
        <w:t> </w:t>
      </w:r>
      <w:r>
        <w:rPr>
          <w:color w:val="231F20"/>
        </w:rPr>
        <w:t>going</w:t>
      </w:r>
      <w:r>
        <w:rPr>
          <w:color w:val="231F20"/>
          <w:spacing w:val="30"/>
        </w:rPr>
        <w:t> </w:t>
      </w:r>
      <w:r>
        <w:rPr>
          <w:color w:val="231F20"/>
        </w:rPr>
        <w:t>nowhere</w:t>
      </w:r>
      <w:r>
        <w:rPr>
          <w:color w:val="231F20"/>
          <w:spacing w:val="29"/>
        </w:rPr>
        <w:t> </w:t>
      </w:r>
      <w:r>
        <w:rPr>
          <w:color w:val="231F20"/>
        </w:rPr>
        <w:t>and</w:t>
      </w:r>
      <w:r>
        <w:rPr>
          <w:color w:val="231F20"/>
          <w:spacing w:val="30"/>
        </w:rPr>
        <w:t> </w:t>
      </w:r>
      <w:r>
        <w:rPr>
          <w:color w:val="231F20"/>
        </w:rPr>
        <w:t>consume</w:t>
      </w:r>
      <w:r>
        <w:rPr>
          <w:color w:val="231F20"/>
          <w:spacing w:val="30"/>
        </w:rPr>
        <w:t> </w:t>
      </w:r>
      <w:r>
        <w:rPr>
          <w:color w:val="231F20"/>
        </w:rPr>
        <w:t>corporate cash</w:t>
      </w:r>
      <w:r>
        <w:rPr>
          <w:color w:val="231F20"/>
          <w:spacing w:val="31"/>
        </w:rPr>
        <w:t> </w:t>
      </w:r>
      <w:r>
        <w:rPr>
          <w:color w:val="231F20"/>
        </w:rPr>
        <w:t>and</w:t>
      </w:r>
      <w:r>
        <w:rPr>
          <w:color w:val="231F20"/>
          <w:spacing w:val="31"/>
        </w:rPr>
        <w:t> </w:t>
      </w:r>
      <w:r>
        <w:rPr>
          <w:color w:val="231F20"/>
        </w:rPr>
        <w:t>management’s</w:t>
      </w:r>
      <w:r>
        <w:rPr>
          <w:color w:val="231F20"/>
          <w:spacing w:val="31"/>
        </w:rPr>
        <w:t> </w:t>
      </w:r>
      <w:r>
        <w:rPr>
          <w:color w:val="231F20"/>
        </w:rPr>
        <w:t>time</w:t>
      </w:r>
      <w:r>
        <w:rPr>
          <w:color w:val="231F20"/>
          <w:spacing w:val="31"/>
        </w:rPr>
        <w:t> </w:t>
      </w:r>
      <w:r>
        <w:rPr>
          <w:color w:val="231F20"/>
        </w:rPr>
        <w:t>in</w:t>
      </w:r>
      <w:r>
        <w:rPr>
          <w:color w:val="231F20"/>
          <w:spacing w:val="31"/>
        </w:rPr>
        <w:t> </w:t>
      </w:r>
      <w:r>
        <w:rPr>
          <w:color w:val="231F20"/>
        </w:rPr>
        <w:t>an</w:t>
      </w:r>
      <w:r>
        <w:rPr>
          <w:color w:val="231F20"/>
          <w:spacing w:val="31"/>
        </w:rPr>
        <w:t> </w:t>
      </w:r>
      <w:r>
        <w:rPr>
          <w:color w:val="231F20"/>
        </w:rPr>
        <w:t>attempt</w:t>
      </w:r>
      <w:r>
        <w:rPr>
          <w:color w:val="231F20"/>
          <w:spacing w:val="31"/>
        </w:rPr>
        <w:t> </w:t>
      </w:r>
      <w:r>
        <w:rPr>
          <w:color w:val="231F20"/>
        </w:rPr>
        <w:t>to</w:t>
      </w:r>
      <w:r>
        <w:rPr>
          <w:color w:val="231F20"/>
          <w:spacing w:val="31"/>
        </w:rPr>
        <w:t> </w:t>
      </w:r>
      <w:r>
        <w:rPr>
          <w:color w:val="231F20"/>
        </w:rPr>
        <w:t>stay</w:t>
      </w:r>
      <w:r>
        <w:rPr>
          <w:color w:val="231F20"/>
          <w:spacing w:val="31"/>
        </w:rPr>
        <w:t> </w:t>
      </w:r>
      <w:r>
        <w:rPr>
          <w:color w:val="231F20"/>
        </w:rPr>
        <w:t>competitive.</w:t>
      </w:r>
      <w:r>
        <w:rPr>
          <w:color w:val="231F20"/>
          <w:spacing w:val="31"/>
        </w:rPr>
        <w:t> </w:t>
      </w:r>
      <w:r>
        <w:rPr>
          <w:color w:val="231F20"/>
        </w:rPr>
        <w:t>In the steel industry many companies are dogs. Their plants and </w:t>
      </w:r>
      <w:r>
        <w:rPr>
          <w:color w:val="231F20"/>
        </w:rPr>
        <w:t>equip- ment</w:t>
      </w:r>
      <w:r>
        <w:rPr>
          <w:color w:val="231F20"/>
          <w:spacing w:val="40"/>
        </w:rPr>
        <w:t> </w:t>
      </w:r>
      <w:r>
        <w:rPr>
          <w:color w:val="231F20"/>
        </w:rPr>
        <w:t>need</w:t>
      </w:r>
      <w:r>
        <w:rPr>
          <w:color w:val="231F20"/>
          <w:spacing w:val="40"/>
        </w:rPr>
        <w:t> </w:t>
      </w:r>
      <w:r>
        <w:rPr>
          <w:color w:val="231F20"/>
        </w:rPr>
        <w:t>expensive</w:t>
      </w:r>
      <w:r>
        <w:rPr>
          <w:color w:val="231F20"/>
          <w:spacing w:val="40"/>
        </w:rPr>
        <w:t> </w:t>
      </w:r>
      <w:r>
        <w:rPr>
          <w:color w:val="231F20"/>
        </w:rPr>
        <w:t>modernization,</w:t>
      </w:r>
      <w:r>
        <w:rPr>
          <w:color w:val="231F20"/>
          <w:spacing w:val="40"/>
        </w:rPr>
        <w:t> </w:t>
      </w:r>
      <w:r>
        <w:rPr>
          <w:color w:val="231F20"/>
        </w:rPr>
        <w:t>but</w:t>
      </w:r>
      <w:r>
        <w:rPr>
          <w:color w:val="231F20"/>
          <w:spacing w:val="40"/>
        </w:rPr>
        <w:t> </w:t>
      </w:r>
      <w:r>
        <w:rPr>
          <w:color w:val="231F20"/>
        </w:rPr>
        <w:t>with</w:t>
      </w:r>
      <w:r>
        <w:rPr>
          <w:color w:val="231F20"/>
          <w:spacing w:val="40"/>
        </w:rPr>
        <w:t> </w:t>
      </w:r>
      <w:r>
        <w:rPr>
          <w:color w:val="231F20"/>
        </w:rPr>
        <w:t>softer</w:t>
      </w:r>
      <w:r>
        <w:rPr>
          <w:color w:val="231F20"/>
          <w:spacing w:val="40"/>
        </w:rPr>
        <w:t> </w:t>
      </w:r>
      <w:r>
        <w:rPr>
          <w:color w:val="231F20"/>
        </w:rPr>
        <w:t>demand</w:t>
      </w:r>
      <w:r>
        <w:rPr>
          <w:color w:val="231F20"/>
          <w:spacing w:val="40"/>
        </w:rPr>
        <w:t> </w:t>
      </w:r>
      <w:r>
        <w:rPr>
          <w:color w:val="231F20"/>
        </w:rPr>
        <w:t>and increased</w:t>
      </w:r>
      <w:r>
        <w:rPr>
          <w:color w:val="231F20"/>
          <w:spacing w:val="40"/>
        </w:rPr>
        <w:t> </w:t>
      </w:r>
      <w:r>
        <w:rPr>
          <w:color w:val="231F20"/>
        </w:rPr>
        <w:t>foreign</w:t>
      </w:r>
      <w:r>
        <w:rPr>
          <w:color w:val="231F20"/>
          <w:spacing w:val="40"/>
        </w:rPr>
        <w:t> </w:t>
      </w:r>
      <w:r>
        <w:rPr>
          <w:color w:val="231F20"/>
        </w:rPr>
        <w:t>competition,</w:t>
      </w:r>
      <w:r>
        <w:rPr>
          <w:color w:val="231F20"/>
          <w:spacing w:val="40"/>
        </w:rPr>
        <w:t> </w:t>
      </w:r>
      <w:r>
        <w:rPr>
          <w:color w:val="231F20"/>
        </w:rPr>
        <w:t>they</w:t>
      </w:r>
      <w:r>
        <w:rPr>
          <w:color w:val="231F20"/>
          <w:spacing w:val="40"/>
        </w:rPr>
        <w:t> </w:t>
      </w:r>
      <w:r>
        <w:rPr>
          <w:color w:val="231F20"/>
        </w:rPr>
        <w:t>do</w:t>
      </w:r>
      <w:r>
        <w:rPr>
          <w:color w:val="231F20"/>
          <w:spacing w:val="40"/>
        </w:rPr>
        <w:t> </w:t>
      </w:r>
      <w:r>
        <w:rPr>
          <w:color w:val="231F20"/>
        </w:rPr>
        <w:t>not</w:t>
      </w:r>
      <w:r>
        <w:rPr>
          <w:color w:val="231F20"/>
          <w:spacing w:val="40"/>
        </w:rPr>
        <w:t> </w:t>
      </w:r>
      <w:r>
        <w:rPr>
          <w:color w:val="231F20"/>
        </w:rPr>
        <w:t>warrant</w:t>
      </w:r>
      <w:r>
        <w:rPr>
          <w:color w:val="231F20"/>
          <w:spacing w:val="40"/>
        </w:rPr>
        <w:t> </w:t>
      </w:r>
      <w:r>
        <w:rPr>
          <w:color w:val="231F20"/>
        </w:rPr>
        <w:t>additional</w:t>
      </w:r>
      <w:r>
        <w:rPr>
          <w:color w:val="231F20"/>
          <w:spacing w:val="40"/>
        </w:rPr>
        <w:t> </w:t>
      </w:r>
      <w:r>
        <w:rPr>
          <w:color w:val="231F20"/>
        </w:rPr>
        <w:t>in- vestment by their parent companies. As a consequence, boards of di- rectors</w:t>
      </w:r>
      <w:r>
        <w:rPr>
          <w:color w:val="231F20"/>
          <w:spacing w:val="-8"/>
        </w:rPr>
        <w:t> </w:t>
      </w:r>
      <w:r>
        <w:rPr>
          <w:color w:val="231F20"/>
        </w:rPr>
        <w:t>that</w:t>
      </w:r>
      <w:r>
        <w:rPr>
          <w:color w:val="231F20"/>
          <w:spacing w:val="-8"/>
        </w:rPr>
        <w:t> </w:t>
      </w:r>
      <w:r>
        <w:rPr>
          <w:color w:val="231F20"/>
        </w:rPr>
        <w:t>agree</w:t>
      </w:r>
      <w:r>
        <w:rPr>
          <w:color w:val="231F20"/>
          <w:spacing w:val="-8"/>
        </w:rPr>
        <w:t> </w:t>
      </w:r>
      <w:r>
        <w:rPr>
          <w:color w:val="231F20"/>
        </w:rPr>
        <w:t>with</w:t>
      </w:r>
      <w:r>
        <w:rPr>
          <w:color w:val="231F20"/>
          <w:spacing w:val="-8"/>
        </w:rPr>
        <w:t> </w:t>
      </w:r>
      <w:r>
        <w:rPr>
          <w:color w:val="231F20"/>
        </w:rPr>
        <w:t>this</w:t>
      </w:r>
      <w:r>
        <w:rPr>
          <w:color w:val="231F20"/>
          <w:spacing w:val="-8"/>
        </w:rPr>
        <w:t> </w:t>
      </w:r>
      <w:r>
        <w:rPr>
          <w:color w:val="231F20"/>
        </w:rPr>
        <w:t>assessment</w:t>
      </w:r>
      <w:r>
        <w:rPr>
          <w:color w:val="231F20"/>
          <w:spacing w:val="-8"/>
        </w:rPr>
        <w:t> </w:t>
      </w:r>
      <w:r>
        <w:rPr>
          <w:color w:val="231F20"/>
        </w:rPr>
        <w:t>have</w:t>
      </w:r>
      <w:r>
        <w:rPr>
          <w:color w:val="231F20"/>
          <w:spacing w:val="-8"/>
        </w:rPr>
        <w:t> </w:t>
      </w:r>
      <w:r>
        <w:rPr>
          <w:color w:val="231F20"/>
        </w:rPr>
        <w:t>let</w:t>
      </w:r>
      <w:r>
        <w:rPr>
          <w:color w:val="231F20"/>
          <w:spacing w:val="-8"/>
        </w:rPr>
        <w:t> </w:t>
      </w:r>
      <w:r>
        <w:rPr>
          <w:color w:val="231F20"/>
        </w:rPr>
        <w:t>their</w:t>
      </w:r>
      <w:r>
        <w:rPr>
          <w:color w:val="231F20"/>
          <w:spacing w:val="-8"/>
        </w:rPr>
        <w:t> </w:t>
      </w:r>
      <w:r>
        <w:rPr>
          <w:color w:val="231F20"/>
        </w:rPr>
        <w:t>steel</w:t>
      </w:r>
      <w:r>
        <w:rPr>
          <w:color w:val="231F20"/>
          <w:spacing w:val="-8"/>
        </w:rPr>
        <w:t> </w:t>
      </w:r>
      <w:r>
        <w:rPr>
          <w:color w:val="231F20"/>
        </w:rPr>
        <w:t>plants</w:t>
      </w:r>
      <w:r>
        <w:rPr>
          <w:color w:val="231F20"/>
          <w:spacing w:val="-8"/>
        </w:rPr>
        <w:t> </w:t>
      </w:r>
      <w:r>
        <w:rPr>
          <w:color w:val="231F20"/>
        </w:rPr>
        <w:t>rust. </w:t>
      </w:r>
      <w:r>
        <w:rPr>
          <w:i/>
          <w:color w:val="231F20"/>
        </w:rPr>
        <w:t>Question</w:t>
      </w:r>
      <w:r>
        <w:rPr>
          <w:i/>
          <w:color w:val="231F20"/>
          <w:spacing w:val="80"/>
        </w:rPr>
        <w:t> </w:t>
      </w:r>
      <w:r>
        <w:rPr>
          <w:i/>
          <w:color w:val="231F20"/>
        </w:rPr>
        <w:t>marks</w:t>
      </w:r>
      <w:r>
        <w:rPr>
          <w:i/>
          <w:color w:val="231F20"/>
          <w:spacing w:val="80"/>
        </w:rPr>
        <w:t> </w:t>
      </w:r>
      <w:r>
        <w:rPr>
          <w:color w:val="231F20"/>
        </w:rPr>
        <w:t>are</w:t>
      </w:r>
      <w:r>
        <w:rPr>
          <w:color w:val="231F20"/>
          <w:spacing w:val="80"/>
        </w:rPr>
        <w:t> </w:t>
      </w:r>
      <w:r>
        <w:rPr>
          <w:color w:val="231F20"/>
        </w:rPr>
        <w:t>small-market-share</w:t>
      </w:r>
      <w:r>
        <w:rPr>
          <w:color w:val="231F20"/>
          <w:spacing w:val="80"/>
        </w:rPr>
        <w:t> </w:t>
      </w:r>
      <w:r>
        <w:rPr>
          <w:color w:val="231F20"/>
        </w:rPr>
        <w:t>businesses</w:t>
      </w:r>
      <w:r>
        <w:rPr>
          <w:color w:val="231F20"/>
          <w:spacing w:val="80"/>
        </w:rPr>
        <w:t> </w:t>
      </w:r>
      <w:r>
        <w:rPr>
          <w:color w:val="231F20"/>
        </w:rPr>
        <w:t>in</w:t>
      </w:r>
      <w:r>
        <w:rPr>
          <w:color w:val="231F20"/>
          <w:spacing w:val="80"/>
        </w:rPr>
        <w:t> </w:t>
      </w:r>
      <w:r>
        <w:rPr>
          <w:color w:val="231F20"/>
        </w:rPr>
        <w:t>high- growth</w:t>
      </w:r>
      <w:r>
        <w:rPr>
          <w:color w:val="231F20"/>
          <w:spacing w:val="40"/>
        </w:rPr>
        <w:t> </w:t>
      </w:r>
      <w:r>
        <w:rPr>
          <w:color w:val="231F20"/>
        </w:rPr>
        <w:t>industries.</w:t>
      </w:r>
      <w:r>
        <w:rPr>
          <w:color w:val="231F20"/>
          <w:spacing w:val="40"/>
        </w:rPr>
        <w:t> </w:t>
      </w:r>
      <w:r>
        <w:rPr>
          <w:color w:val="231F20"/>
        </w:rPr>
        <w:t>To</w:t>
      </w:r>
      <w:r>
        <w:rPr>
          <w:color w:val="231F20"/>
          <w:spacing w:val="40"/>
        </w:rPr>
        <w:t> </w:t>
      </w:r>
      <w:r>
        <w:rPr>
          <w:color w:val="231F20"/>
        </w:rPr>
        <w:t>grow</w:t>
      </w:r>
      <w:r>
        <w:rPr>
          <w:color w:val="231F20"/>
          <w:spacing w:val="40"/>
        </w:rPr>
        <w:t> </w:t>
      </w:r>
      <w:r>
        <w:rPr>
          <w:color w:val="231F20"/>
        </w:rPr>
        <w:t>they</w:t>
      </w:r>
      <w:r>
        <w:rPr>
          <w:color w:val="231F20"/>
          <w:spacing w:val="40"/>
        </w:rPr>
        <w:t> </w:t>
      </w:r>
      <w:r>
        <w:rPr>
          <w:color w:val="231F20"/>
        </w:rPr>
        <w:t>need</w:t>
      </w:r>
      <w:r>
        <w:rPr>
          <w:color w:val="231F20"/>
          <w:spacing w:val="40"/>
        </w:rPr>
        <w:t> </w:t>
      </w:r>
      <w:r>
        <w:rPr>
          <w:color w:val="231F20"/>
        </w:rPr>
        <w:t>cash.</w:t>
      </w:r>
      <w:r>
        <w:rPr>
          <w:color w:val="231F20"/>
          <w:spacing w:val="40"/>
        </w:rPr>
        <w:t> </w:t>
      </w:r>
      <w:r>
        <w:rPr>
          <w:color w:val="231F20"/>
        </w:rPr>
        <w:t>Some</w:t>
      </w:r>
      <w:r>
        <w:rPr>
          <w:color w:val="231F20"/>
          <w:spacing w:val="40"/>
        </w:rPr>
        <w:t> </w:t>
      </w:r>
      <w:r>
        <w:rPr>
          <w:color w:val="231F20"/>
        </w:rPr>
        <w:t>strategists</w:t>
      </w:r>
      <w:r>
        <w:rPr>
          <w:color w:val="231F20"/>
          <w:spacing w:val="40"/>
        </w:rPr>
        <w:t> </w:t>
      </w:r>
      <w:r>
        <w:rPr>
          <w:color w:val="231F20"/>
        </w:rPr>
        <w:t>call them</w:t>
      </w:r>
      <w:r>
        <w:rPr>
          <w:color w:val="231F20"/>
          <w:spacing w:val="40"/>
        </w:rPr>
        <w:t> </w:t>
      </w:r>
      <w:r>
        <w:rPr>
          <w:color w:val="231F20"/>
        </w:rPr>
        <w:t>“problem</w:t>
      </w:r>
      <w:r>
        <w:rPr>
          <w:color w:val="231F20"/>
          <w:spacing w:val="40"/>
        </w:rPr>
        <w:t> </w:t>
      </w:r>
      <w:r>
        <w:rPr>
          <w:color w:val="231F20"/>
        </w:rPr>
        <w:t>children.”</w:t>
      </w:r>
      <w:r>
        <w:rPr>
          <w:color w:val="231F20"/>
          <w:spacing w:val="40"/>
        </w:rPr>
        <w:t> </w:t>
      </w:r>
      <w:r>
        <w:rPr>
          <w:color w:val="231F20"/>
        </w:rPr>
        <w:t>If</w:t>
      </w:r>
      <w:r>
        <w:rPr>
          <w:color w:val="231F20"/>
          <w:spacing w:val="40"/>
        </w:rPr>
        <w:t> </w:t>
      </w:r>
      <w:r>
        <w:rPr>
          <w:color w:val="231F20"/>
        </w:rPr>
        <w:t>they</w:t>
      </w:r>
      <w:r>
        <w:rPr>
          <w:color w:val="231F20"/>
          <w:spacing w:val="40"/>
        </w:rPr>
        <w:t> </w:t>
      </w:r>
      <w:r>
        <w:rPr>
          <w:color w:val="231F20"/>
        </w:rPr>
        <w:t>become</w:t>
      </w:r>
      <w:r>
        <w:rPr>
          <w:color w:val="231F20"/>
          <w:spacing w:val="40"/>
        </w:rPr>
        <w:t> </w:t>
      </w:r>
      <w:r>
        <w:rPr>
          <w:color w:val="231F20"/>
        </w:rPr>
        <w:t>successful,</w:t>
      </w:r>
      <w:r>
        <w:rPr>
          <w:color w:val="231F20"/>
          <w:spacing w:val="40"/>
        </w:rPr>
        <w:t> </w:t>
      </w:r>
      <w:r>
        <w:rPr>
          <w:color w:val="231F20"/>
        </w:rPr>
        <w:t>they</w:t>
      </w:r>
      <w:r>
        <w:rPr>
          <w:color w:val="231F20"/>
          <w:spacing w:val="40"/>
        </w:rPr>
        <w:t> </w:t>
      </w:r>
      <w:r>
        <w:rPr>
          <w:color w:val="231F20"/>
        </w:rPr>
        <w:t>will</w:t>
      </w:r>
      <w:r>
        <w:rPr>
          <w:color w:val="231F20"/>
          <w:spacing w:val="40"/>
        </w:rPr>
        <w:t> </w:t>
      </w:r>
      <w:r>
        <w:rPr>
          <w:color w:val="231F20"/>
        </w:rPr>
        <w:t>be- come</w:t>
      </w:r>
      <w:r>
        <w:rPr>
          <w:color w:val="231F20"/>
          <w:spacing w:val="28"/>
        </w:rPr>
        <w:t> </w:t>
      </w:r>
      <w:r>
        <w:rPr>
          <w:color w:val="231F20"/>
        </w:rPr>
        <w:t>stars,</w:t>
      </w:r>
      <w:r>
        <w:rPr>
          <w:color w:val="231F20"/>
          <w:spacing w:val="28"/>
        </w:rPr>
        <w:t> </w:t>
      </w:r>
      <w:r>
        <w:rPr>
          <w:color w:val="231F20"/>
        </w:rPr>
        <w:t>and</w:t>
      </w:r>
      <w:r>
        <w:rPr>
          <w:color w:val="231F20"/>
          <w:spacing w:val="28"/>
        </w:rPr>
        <w:t> </w:t>
      </w:r>
      <w:r>
        <w:rPr>
          <w:color w:val="231F20"/>
        </w:rPr>
        <w:t>later,</w:t>
      </w:r>
      <w:r>
        <w:rPr>
          <w:color w:val="231F20"/>
          <w:spacing w:val="28"/>
        </w:rPr>
        <w:t> </w:t>
      </w:r>
      <w:r>
        <w:rPr>
          <w:color w:val="231F20"/>
        </w:rPr>
        <w:t>cash</w:t>
      </w:r>
      <w:r>
        <w:rPr>
          <w:color w:val="231F20"/>
          <w:spacing w:val="28"/>
        </w:rPr>
        <w:t> </w:t>
      </w:r>
      <w:r>
        <w:rPr>
          <w:color w:val="231F20"/>
        </w:rPr>
        <w:t>cows.</w:t>
      </w:r>
      <w:r>
        <w:rPr>
          <w:color w:val="231F20"/>
          <w:spacing w:val="28"/>
        </w:rPr>
        <w:t> </w:t>
      </w:r>
      <w:r>
        <w:rPr>
          <w:color w:val="231F20"/>
        </w:rPr>
        <w:t>If</w:t>
      </w:r>
      <w:r>
        <w:rPr>
          <w:color w:val="231F20"/>
          <w:spacing w:val="28"/>
        </w:rPr>
        <w:t> </w:t>
      </w:r>
      <w:r>
        <w:rPr>
          <w:color w:val="231F20"/>
        </w:rPr>
        <w:t>they</w:t>
      </w:r>
      <w:r>
        <w:rPr>
          <w:color w:val="231F20"/>
          <w:spacing w:val="28"/>
        </w:rPr>
        <w:t> </w:t>
      </w:r>
      <w:r>
        <w:rPr>
          <w:color w:val="231F20"/>
        </w:rPr>
        <w:t>fail,</w:t>
      </w:r>
      <w:r>
        <w:rPr>
          <w:color w:val="231F20"/>
          <w:spacing w:val="28"/>
        </w:rPr>
        <w:t> </w:t>
      </w:r>
      <w:r>
        <w:rPr>
          <w:color w:val="231F20"/>
        </w:rPr>
        <w:t>they</w:t>
      </w:r>
      <w:r>
        <w:rPr>
          <w:color w:val="231F20"/>
          <w:spacing w:val="28"/>
        </w:rPr>
        <w:t> </w:t>
      </w:r>
      <w:r>
        <w:rPr>
          <w:color w:val="231F20"/>
        </w:rPr>
        <w:t>either</w:t>
      </w:r>
      <w:r>
        <w:rPr>
          <w:color w:val="231F20"/>
          <w:spacing w:val="28"/>
        </w:rPr>
        <w:t> </w:t>
      </w:r>
      <w:r>
        <w:rPr>
          <w:color w:val="231F20"/>
        </w:rPr>
        <w:t>die</w:t>
      </w:r>
      <w:r>
        <w:rPr>
          <w:color w:val="231F20"/>
          <w:spacing w:val="28"/>
        </w:rPr>
        <w:t> </w:t>
      </w:r>
      <w:r>
        <w:rPr>
          <w:color w:val="231F20"/>
        </w:rPr>
        <w:t>or</w:t>
      </w:r>
      <w:r>
        <w:rPr>
          <w:color w:val="231F20"/>
          <w:spacing w:val="28"/>
        </w:rPr>
        <w:t> </w:t>
      </w:r>
      <w:r>
        <w:rPr>
          <w:color w:val="231F20"/>
        </w:rPr>
        <w:t>be- come</w:t>
      </w:r>
      <w:r>
        <w:rPr>
          <w:color w:val="231F20"/>
          <w:spacing w:val="40"/>
        </w:rPr>
        <w:t> </w:t>
      </w:r>
      <w:r>
        <w:rPr>
          <w:color w:val="231F20"/>
        </w:rPr>
        <w:t>dogs</w:t>
      </w:r>
      <w:r>
        <w:rPr>
          <w:color w:val="231F20"/>
          <w:spacing w:val="40"/>
        </w:rPr>
        <w:t> </w:t>
      </w:r>
      <w:r>
        <w:rPr>
          <w:color w:val="231F20"/>
        </w:rPr>
        <w:t>as</w:t>
      </w:r>
      <w:r>
        <w:rPr>
          <w:color w:val="231F20"/>
          <w:spacing w:val="40"/>
        </w:rPr>
        <w:t> </w:t>
      </w:r>
      <w:r>
        <w:rPr>
          <w:color w:val="231F20"/>
        </w:rPr>
        <w:t>their</w:t>
      </w:r>
      <w:r>
        <w:rPr>
          <w:color w:val="231F20"/>
          <w:spacing w:val="40"/>
        </w:rPr>
        <w:t> </w:t>
      </w:r>
      <w:r>
        <w:rPr>
          <w:color w:val="231F20"/>
        </w:rPr>
        <w:t>industries</w:t>
      </w:r>
      <w:r>
        <w:rPr>
          <w:color w:val="231F20"/>
          <w:spacing w:val="40"/>
        </w:rPr>
        <w:t> </w:t>
      </w:r>
      <w:r>
        <w:rPr>
          <w:color w:val="231F20"/>
        </w:rPr>
        <w:t>mature.</w:t>
      </w:r>
      <w:r>
        <w:rPr>
          <w:color w:val="231F20"/>
          <w:spacing w:val="40"/>
        </w:rPr>
        <w:t> </w:t>
      </w:r>
      <w:r>
        <w:rPr>
          <w:color w:val="231F20"/>
        </w:rPr>
        <w:t>Start-up</w:t>
      </w:r>
      <w:r>
        <w:rPr>
          <w:color w:val="231F20"/>
          <w:spacing w:val="40"/>
        </w:rPr>
        <w:t> </w:t>
      </w:r>
      <w:r>
        <w:rPr>
          <w:color w:val="231F20"/>
        </w:rPr>
        <w:t>biotechnology</w:t>
      </w:r>
      <w:r>
        <w:rPr>
          <w:color w:val="231F20"/>
          <w:spacing w:val="40"/>
        </w:rPr>
        <w:t> </w:t>
      </w:r>
      <w:r>
        <w:rPr>
          <w:color w:val="231F20"/>
        </w:rPr>
        <w:t>and nanotechnology</w:t>
      </w:r>
      <w:r>
        <w:rPr>
          <w:color w:val="231F20"/>
          <w:spacing w:val="80"/>
          <w:w w:val="150"/>
        </w:rPr>
        <w:t> </w:t>
      </w:r>
      <w:r>
        <w:rPr>
          <w:color w:val="231F20"/>
        </w:rPr>
        <w:t>firms</w:t>
      </w:r>
      <w:r>
        <w:rPr>
          <w:color w:val="231F20"/>
          <w:spacing w:val="80"/>
          <w:w w:val="150"/>
        </w:rPr>
        <w:t> </w:t>
      </w:r>
      <w:r>
        <w:rPr>
          <w:color w:val="231F20"/>
        </w:rPr>
        <w:t>such</w:t>
      </w:r>
      <w:r>
        <w:rPr>
          <w:color w:val="231F20"/>
          <w:spacing w:val="80"/>
          <w:w w:val="150"/>
        </w:rPr>
        <w:t> </w:t>
      </w:r>
      <w:r>
        <w:rPr>
          <w:color w:val="231F20"/>
        </w:rPr>
        <w:t>as</w:t>
      </w:r>
      <w:r>
        <w:rPr>
          <w:color w:val="231F20"/>
          <w:spacing w:val="80"/>
          <w:w w:val="150"/>
        </w:rPr>
        <w:t> </w:t>
      </w:r>
      <w:r>
        <w:rPr>
          <w:color w:val="231F20"/>
        </w:rPr>
        <w:t>Human</w:t>
      </w:r>
      <w:r>
        <w:rPr>
          <w:color w:val="231F20"/>
          <w:spacing w:val="80"/>
          <w:w w:val="150"/>
        </w:rPr>
        <w:t> </w:t>
      </w:r>
      <w:r>
        <w:rPr>
          <w:color w:val="231F20"/>
        </w:rPr>
        <w:t>Genome</w:t>
      </w:r>
      <w:r>
        <w:rPr>
          <w:color w:val="231F20"/>
          <w:spacing w:val="80"/>
          <w:w w:val="150"/>
        </w:rPr>
        <w:t> </w:t>
      </w:r>
      <w:r>
        <w:rPr>
          <w:color w:val="231F20"/>
        </w:rPr>
        <w:t>Sciences</w:t>
      </w:r>
      <w:r>
        <w:rPr>
          <w:color w:val="231F20"/>
          <w:spacing w:val="80"/>
          <w:w w:val="150"/>
        </w:rPr>
        <w:t> </w:t>
      </w:r>
      <w:r>
        <w:rPr>
          <w:color w:val="231F20"/>
        </w:rPr>
        <w:t>and Nanophase</w:t>
      </w:r>
      <w:r>
        <w:rPr>
          <w:color w:val="231F20"/>
          <w:spacing w:val="40"/>
        </w:rPr>
        <w:t> </w:t>
      </w:r>
      <w:r>
        <w:rPr>
          <w:color w:val="231F20"/>
        </w:rPr>
        <w:t>Technologies,</w:t>
      </w:r>
      <w:r>
        <w:rPr>
          <w:color w:val="231F20"/>
          <w:spacing w:val="40"/>
        </w:rPr>
        <w:t> </w:t>
      </w:r>
      <w:r>
        <w:rPr>
          <w:color w:val="231F20"/>
        </w:rPr>
        <w:t>respectively,</w:t>
      </w:r>
      <w:r>
        <w:rPr>
          <w:color w:val="231F20"/>
          <w:spacing w:val="40"/>
        </w:rPr>
        <w:t> </w:t>
      </w:r>
      <w:r>
        <w:rPr>
          <w:color w:val="231F20"/>
        </w:rPr>
        <w:t>fall</w:t>
      </w:r>
      <w:r>
        <w:rPr>
          <w:color w:val="231F20"/>
          <w:spacing w:val="40"/>
        </w:rPr>
        <w:t> </w:t>
      </w:r>
      <w:r>
        <w:rPr>
          <w:color w:val="231F20"/>
        </w:rPr>
        <w:t>into</w:t>
      </w:r>
      <w:r>
        <w:rPr>
          <w:color w:val="231F20"/>
          <w:spacing w:val="40"/>
        </w:rPr>
        <w:t> </w:t>
      </w:r>
      <w:r>
        <w:rPr>
          <w:color w:val="231F20"/>
        </w:rPr>
        <w:t>the</w:t>
      </w:r>
      <w:r>
        <w:rPr>
          <w:color w:val="231F20"/>
          <w:spacing w:val="40"/>
        </w:rPr>
        <w:t> </w:t>
      </w:r>
      <w:r>
        <w:rPr>
          <w:color w:val="231F20"/>
        </w:rPr>
        <w:t>question</w:t>
      </w:r>
      <w:r>
        <w:rPr>
          <w:color w:val="231F20"/>
          <w:spacing w:val="40"/>
        </w:rPr>
        <w:t> </w:t>
      </w:r>
      <w:r>
        <w:rPr>
          <w:color w:val="231F20"/>
        </w:rPr>
        <w:t>mark category. Expensive</w:t>
      </w:r>
      <w:r>
        <w:rPr>
          <w:color w:val="231F20"/>
          <w:spacing w:val="1"/>
        </w:rPr>
        <w:t> </w:t>
      </w:r>
      <w:r>
        <w:rPr>
          <w:color w:val="231F20"/>
        </w:rPr>
        <w:t>research has</w:t>
      </w:r>
      <w:r>
        <w:rPr>
          <w:color w:val="231F20"/>
          <w:spacing w:val="1"/>
        </w:rPr>
        <w:t> </w:t>
      </w:r>
      <w:r>
        <w:rPr>
          <w:color w:val="231F20"/>
        </w:rPr>
        <w:t>to</w:t>
      </w:r>
      <w:r>
        <w:rPr>
          <w:color w:val="231F20"/>
          <w:spacing w:val="1"/>
        </w:rPr>
        <w:t> </w:t>
      </w:r>
      <w:r>
        <w:rPr>
          <w:color w:val="231F20"/>
        </w:rPr>
        <w:t>be funded</w:t>
      </w:r>
      <w:r>
        <w:rPr>
          <w:color w:val="231F20"/>
          <w:spacing w:val="1"/>
        </w:rPr>
        <w:t> </w:t>
      </w:r>
      <w:r>
        <w:rPr>
          <w:color w:val="231F20"/>
        </w:rPr>
        <w:t>in the</w:t>
      </w:r>
      <w:r>
        <w:rPr>
          <w:color w:val="231F20"/>
          <w:spacing w:val="1"/>
        </w:rPr>
        <w:t> </w:t>
      </w:r>
      <w:r>
        <w:rPr>
          <w:color w:val="231F20"/>
        </w:rPr>
        <w:t>hope</w:t>
      </w:r>
      <w:r>
        <w:rPr>
          <w:color w:val="231F20"/>
          <w:spacing w:val="1"/>
        </w:rPr>
        <w:t> </w:t>
      </w:r>
      <w:r>
        <w:rPr>
          <w:color w:val="231F20"/>
        </w:rPr>
        <w:t>of </w:t>
      </w:r>
      <w:r>
        <w:rPr>
          <w:color w:val="231F20"/>
          <w:spacing w:val="-2"/>
        </w:rPr>
        <w:t>produc-</w:t>
      </w:r>
    </w:p>
    <w:p>
      <w:pPr>
        <w:pStyle w:val="BodyText"/>
        <w:spacing w:line="241" w:lineRule="exact"/>
        <w:ind w:left="919"/>
        <w:jc w:val="both"/>
      </w:pPr>
      <w:r>
        <w:rPr>
          <w:color w:val="231F20"/>
        </w:rPr>
        <w:t>ing</w:t>
      </w:r>
      <w:r>
        <w:rPr>
          <w:color w:val="231F20"/>
          <w:spacing w:val="6"/>
        </w:rPr>
        <w:t> </w:t>
      </w:r>
      <w:r>
        <w:rPr>
          <w:color w:val="231F20"/>
        </w:rPr>
        <w:t>a</w:t>
      </w:r>
      <w:r>
        <w:rPr>
          <w:color w:val="231F20"/>
          <w:spacing w:val="7"/>
        </w:rPr>
        <w:t> </w:t>
      </w:r>
      <w:r>
        <w:rPr>
          <w:color w:val="231F20"/>
        </w:rPr>
        <w:t>miracle</w:t>
      </w:r>
      <w:r>
        <w:rPr>
          <w:color w:val="231F20"/>
          <w:spacing w:val="7"/>
        </w:rPr>
        <w:t> </w:t>
      </w:r>
      <w:r>
        <w:rPr>
          <w:color w:val="231F20"/>
          <w:spacing w:val="-2"/>
        </w:rPr>
        <w:t>drug.</w:t>
      </w:r>
    </w:p>
    <w:p>
      <w:pPr>
        <w:pStyle w:val="BodyText"/>
        <w:rPr>
          <w:sz w:val="30"/>
        </w:rPr>
      </w:pPr>
    </w:p>
    <w:p>
      <w:pPr>
        <w:pStyle w:val="BodyText"/>
        <w:spacing w:line="292" w:lineRule="auto"/>
        <w:ind w:left="919" w:right="664"/>
        <w:jc w:val="both"/>
      </w:pPr>
      <w:r>
        <w:rPr>
          <w:color w:val="231F20"/>
        </w:rPr>
        <w:t>All this animal talk is fun until it is </w:t>
      </w:r>
      <w:r>
        <w:rPr>
          <w:i/>
          <w:color w:val="231F20"/>
        </w:rPr>
        <w:t>your </w:t>
      </w:r>
      <w:r>
        <w:rPr>
          <w:color w:val="231F20"/>
        </w:rPr>
        <w:t>business that the consul- tants label a dog. Dogs are not necessarily bad businesses. They just aren’t the type of businesses that large corporations want in their portfolio. Wall Street investors demand a level of sales growth and cash generation that dogs cannot provide. Many millionaires </w:t>
      </w:r>
      <w:r>
        <w:rPr>
          <w:color w:val="231F20"/>
        </w:rPr>
        <w:t>have been minted as the dogs’ management and buyout artists have taken these companies off larger corporations’ hands. My acquisitions course was taught by a number of visiting “professors” who had profited nicely from the housecleaning of large corporations’ trou- blesome critters.</w:t>
      </w:r>
    </w:p>
    <w:p>
      <w:pPr>
        <w:pStyle w:val="BodyText"/>
        <w:spacing w:line="292" w:lineRule="auto"/>
        <w:ind w:left="919" w:right="663" w:firstLine="340"/>
        <w:jc w:val="both"/>
      </w:pPr>
      <w:r>
        <w:rPr>
          <w:color w:val="231F20"/>
        </w:rPr>
        <w:t>Portfolio strategies have their drawbacks. They assume that businesses in a portfolio have no significant </w:t>
      </w:r>
      <w:r>
        <w:rPr>
          <w:i/>
          <w:color w:val="231F20"/>
        </w:rPr>
        <w:t>linkages, </w:t>
      </w:r>
      <w:r>
        <w:rPr>
          <w:color w:val="231F20"/>
        </w:rPr>
        <w:t>which is often not</w:t>
      </w:r>
      <w:r>
        <w:rPr>
          <w:color w:val="231F20"/>
          <w:spacing w:val="6"/>
        </w:rPr>
        <w:t> </w:t>
      </w:r>
      <w:r>
        <w:rPr>
          <w:color w:val="231F20"/>
        </w:rPr>
        <w:t>the</w:t>
      </w:r>
      <w:r>
        <w:rPr>
          <w:color w:val="231F20"/>
          <w:spacing w:val="7"/>
        </w:rPr>
        <w:t> </w:t>
      </w:r>
      <w:r>
        <w:rPr>
          <w:color w:val="231F20"/>
        </w:rPr>
        <w:t>case.</w:t>
      </w:r>
      <w:r>
        <w:rPr>
          <w:color w:val="231F20"/>
          <w:spacing w:val="7"/>
        </w:rPr>
        <w:t> </w:t>
      </w:r>
      <w:r>
        <w:rPr>
          <w:color w:val="231F20"/>
        </w:rPr>
        <w:t>Many</w:t>
      </w:r>
      <w:r>
        <w:rPr>
          <w:color w:val="231F20"/>
          <w:spacing w:val="7"/>
        </w:rPr>
        <w:t> </w:t>
      </w:r>
      <w:r>
        <w:rPr>
          <w:color w:val="231F20"/>
        </w:rPr>
        <w:t>collections</w:t>
      </w:r>
      <w:r>
        <w:rPr>
          <w:color w:val="231F20"/>
          <w:spacing w:val="7"/>
        </w:rPr>
        <w:t> </w:t>
      </w:r>
      <w:r>
        <w:rPr>
          <w:color w:val="231F20"/>
        </w:rPr>
        <w:t>of</w:t>
      </w:r>
      <w:r>
        <w:rPr>
          <w:color w:val="231F20"/>
          <w:spacing w:val="7"/>
        </w:rPr>
        <w:t> </w:t>
      </w:r>
      <w:r>
        <w:rPr>
          <w:color w:val="231F20"/>
        </w:rPr>
        <w:t>businesses</w:t>
      </w:r>
      <w:r>
        <w:rPr>
          <w:color w:val="231F20"/>
          <w:spacing w:val="7"/>
        </w:rPr>
        <w:t> </w:t>
      </w:r>
      <w:r>
        <w:rPr>
          <w:color w:val="231F20"/>
        </w:rPr>
        <w:t>share</w:t>
      </w:r>
      <w:r>
        <w:rPr>
          <w:color w:val="231F20"/>
          <w:spacing w:val="7"/>
        </w:rPr>
        <w:t> </w:t>
      </w:r>
      <w:r>
        <w:rPr>
          <w:color w:val="231F20"/>
        </w:rPr>
        <w:t>technical,</w:t>
      </w:r>
      <w:r>
        <w:rPr>
          <w:color w:val="231F20"/>
          <w:spacing w:val="7"/>
        </w:rPr>
        <w:t> </w:t>
      </w:r>
      <w:r>
        <w:rPr>
          <w:color w:val="231F20"/>
          <w:spacing w:val="-2"/>
        </w:rPr>
        <w:t>market-</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ing, and support functions. Using shared resources is difficult when using</w:t>
      </w:r>
      <w:r>
        <w:rPr>
          <w:color w:val="231F20"/>
          <w:spacing w:val="40"/>
        </w:rPr>
        <w:t> </w:t>
      </w:r>
      <w:r>
        <w:rPr>
          <w:color w:val="231F20"/>
        </w:rPr>
        <w:t>portfolio</w:t>
      </w:r>
      <w:r>
        <w:rPr>
          <w:color w:val="231F20"/>
          <w:spacing w:val="40"/>
        </w:rPr>
        <w:t> </w:t>
      </w:r>
      <w:r>
        <w:rPr>
          <w:color w:val="231F20"/>
        </w:rPr>
        <w:t>concepts</w:t>
      </w:r>
      <w:r>
        <w:rPr>
          <w:color w:val="231F20"/>
          <w:spacing w:val="40"/>
        </w:rPr>
        <w:t> </w:t>
      </w:r>
      <w:r>
        <w:rPr>
          <w:color w:val="231F20"/>
        </w:rPr>
        <w:t>because</w:t>
      </w:r>
      <w:r>
        <w:rPr>
          <w:color w:val="231F20"/>
          <w:spacing w:val="40"/>
        </w:rPr>
        <w:t> </w:t>
      </w:r>
      <w:r>
        <w:rPr>
          <w:color w:val="231F20"/>
        </w:rPr>
        <w:t>they</w:t>
      </w:r>
      <w:r>
        <w:rPr>
          <w:color w:val="231F20"/>
          <w:spacing w:val="40"/>
        </w:rPr>
        <w:t> </w:t>
      </w:r>
      <w:r>
        <w:rPr>
          <w:color w:val="231F20"/>
        </w:rPr>
        <w:t>dictate</w:t>
      </w:r>
      <w:r>
        <w:rPr>
          <w:color w:val="231F20"/>
          <w:spacing w:val="40"/>
        </w:rPr>
        <w:t> </w:t>
      </w:r>
      <w:r>
        <w:rPr>
          <w:color w:val="231F20"/>
        </w:rPr>
        <w:t>a</w:t>
      </w:r>
      <w:r>
        <w:rPr>
          <w:color w:val="231F20"/>
          <w:spacing w:val="40"/>
        </w:rPr>
        <w:t> </w:t>
      </w:r>
      <w:r>
        <w:rPr>
          <w:color w:val="231F20"/>
        </w:rPr>
        <w:t>continual</w:t>
      </w:r>
      <w:r>
        <w:rPr>
          <w:color w:val="231F20"/>
          <w:spacing w:val="40"/>
        </w:rPr>
        <w:t> </w:t>
      </w:r>
      <w:r>
        <w:rPr>
          <w:color w:val="231F20"/>
        </w:rPr>
        <w:t>juggling act of companies to maximize growth and cash. Historically, with</w:t>
      </w:r>
      <w:r>
        <w:rPr>
          <w:color w:val="231F20"/>
          <w:spacing w:val="80"/>
          <w:w w:val="150"/>
        </w:rPr>
        <w:t> </w:t>
      </w:r>
      <w:r>
        <w:rPr>
          <w:color w:val="231F20"/>
        </w:rPr>
        <w:t>few exceptions, only investment bankers and advising consultants have profited from the juggling transactions of trading the BCG </w:t>
      </w:r>
      <w:r>
        <w:rPr>
          <w:i/>
          <w:color w:val="231F20"/>
        </w:rPr>
        <w:t>ani-</w:t>
      </w:r>
      <w:r>
        <w:rPr>
          <w:i/>
          <w:color w:val="231F20"/>
        </w:rPr>
        <w:t> mals. </w:t>
      </w:r>
      <w:r>
        <w:rPr>
          <w:color w:val="231F20"/>
        </w:rPr>
        <w:t>The other beneficiaries of company juggling are the manage- ments of these portfolio companies. If a business is not working out, there is no need to fix it. Just sell it to them!</w:t>
      </w:r>
    </w:p>
    <w:p>
      <w:pPr>
        <w:pStyle w:val="BodyText"/>
        <w:rPr>
          <w:sz w:val="24"/>
        </w:rPr>
      </w:pPr>
    </w:p>
    <w:p>
      <w:pPr>
        <w:pStyle w:val="BodyText"/>
        <w:spacing w:before="10"/>
        <w:rPr>
          <w:sz w:val="26"/>
        </w:rPr>
      </w:pPr>
    </w:p>
    <w:p>
      <w:pPr>
        <w:pStyle w:val="Heading6"/>
        <w:spacing w:before="1"/>
        <w:ind w:left="299"/>
        <w:rPr>
          <w:i/>
        </w:rPr>
      </w:pPr>
      <w:r>
        <w:rPr>
          <w:i/>
          <w:color w:val="231F20"/>
          <w:w w:val="110"/>
        </w:rPr>
        <w:t>MCKINSEY</w:t>
      </w:r>
      <w:r>
        <w:rPr>
          <w:i/>
          <w:color w:val="231F20"/>
          <w:spacing w:val="64"/>
          <w:w w:val="150"/>
        </w:rPr>
        <w:t> </w:t>
      </w:r>
      <w:r>
        <w:rPr>
          <w:i/>
          <w:color w:val="231F20"/>
          <w:w w:val="110"/>
        </w:rPr>
        <w:t>&amp;</w:t>
      </w:r>
      <w:r>
        <w:rPr>
          <w:i/>
          <w:color w:val="231F20"/>
          <w:spacing w:val="65"/>
          <w:w w:val="150"/>
        </w:rPr>
        <w:t> </w:t>
      </w:r>
      <w:r>
        <w:rPr>
          <w:i/>
          <w:color w:val="231F20"/>
          <w:w w:val="110"/>
        </w:rPr>
        <w:t>COMPANY’S</w:t>
      </w:r>
      <w:r>
        <w:rPr>
          <w:i/>
          <w:color w:val="231F20"/>
          <w:spacing w:val="65"/>
          <w:w w:val="150"/>
        </w:rPr>
        <w:t> </w:t>
      </w:r>
      <w:r>
        <w:rPr>
          <w:i/>
          <w:color w:val="231F20"/>
          <w:w w:val="110"/>
        </w:rPr>
        <w:t>MULTIFACTOR</w:t>
      </w:r>
      <w:r>
        <w:rPr>
          <w:i/>
          <w:color w:val="231F20"/>
          <w:spacing w:val="65"/>
          <w:w w:val="150"/>
        </w:rPr>
        <w:t> </w:t>
      </w:r>
      <w:r>
        <w:rPr>
          <w:i/>
          <w:color w:val="231F20"/>
          <w:spacing w:val="-2"/>
          <w:w w:val="110"/>
        </w:rPr>
        <w:t>ANALYSIS</w:t>
      </w:r>
    </w:p>
    <w:p>
      <w:pPr>
        <w:pStyle w:val="BodyText"/>
        <w:spacing w:before="1"/>
        <w:rPr>
          <w:b/>
          <w:i/>
          <w:sz w:val="30"/>
        </w:rPr>
      </w:pPr>
    </w:p>
    <w:p>
      <w:pPr>
        <w:pStyle w:val="BodyText"/>
        <w:spacing w:line="292" w:lineRule="auto" w:before="1"/>
        <w:ind w:left="830" w:right="753"/>
        <w:jc w:val="both"/>
      </w:pPr>
      <w:r>
        <w:rPr>
          <w:color w:val="231F20"/>
        </w:rPr>
        <w:t>McKinsey </w:t>
      </w:r>
      <w:r>
        <w:rPr>
          <w:color w:val="231F20"/>
          <w:w w:val="110"/>
        </w:rPr>
        <w:t>&amp; </w:t>
      </w:r>
      <w:r>
        <w:rPr>
          <w:color w:val="231F20"/>
        </w:rPr>
        <w:t>Co. takes a different approach to portfolio juggling. </w:t>
      </w:r>
      <w:r>
        <w:rPr>
          <w:color w:val="231F20"/>
        </w:rPr>
        <w:t>In response to dissatisfaction at General Electric in 1970 with the</w:t>
      </w:r>
      <w:r>
        <w:rPr>
          <w:color w:val="231F20"/>
          <w:spacing w:val="80"/>
          <w:w w:val="150"/>
        </w:rPr>
        <w:t> </w:t>
      </w:r>
      <w:r>
        <w:rPr>
          <w:color w:val="231F20"/>
        </w:rPr>
        <w:t>BCG’s two-variable model, McKinsey developed its own. The guid- ance is the same from both models: sell, hold, or invest in a business in the portfolio. In McKinsey’s vocabulary, you </w:t>
      </w:r>
      <w:r>
        <w:rPr>
          <w:i/>
          <w:color w:val="231F20"/>
        </w:rPr>
        <w:t>harvest </w:t>
      </w:r>
      <w:r>
        <w:rPr>
          <w:color w:val="231F20"/>
        </w:rPr>
        <w:t>a cash cow</w:t>
      </w:r>
      <w:r>
        <w:rPr>
          <w:color w:val="231F20"/>
          <w:spacing w:val="40"/>
        </w:rPr>
        <w:t> </w:t>
      </w:r>
      <w:r>
        <w:rPr>
          <w:color w:val="231F20"/>
        </w:rPr>
        <w:t>and </w:t>
      </w:r>
      <w:r>
        <w:rPr>
          <w:i/>
          <w:color w:val="231F20"/>
        </w:rPr>
        <w:t>divest </w:t>
      </w:r>
      <w:r>
        <w:rPr>
          <w:color w:val="231F20"/>
        </w:rPr>
        <w:t>a dog.</w:t>
      </w:r>
    </w:p>
    <w:p>
      <w:pPr>
        <w:pStyle w:val="BodyText"/>
        <w:spacing w:line="292" w:lineRule="auto"/>
        <w:ind w:left="830" w:right="756" w:firstLine="340"/>
        <w:jc w:val="both"/>
      </w:pPr>
      <w:r>
        <w:rPr>
          <w:color w:val="231F20"/>
        </w:rPr>
        <w:t>The model has two general variables that govern a business eval- uation: </w:t>
      </w:r>
      <w:r>
        <w:rPr>
          <w:i/>
          <w:color w:val="231F20"/>
        </w:rPr>
        <w:t>industry attractiveness </w:t>
      </w:r>
      <w:r>
        <w:rPr>
          <w:color w:val="231F20"/>
        </w:rPr>
        <w:t>and </w:t>
      </w:r>
      <w:r>
        <w:rPr>
          <w:i/>
          <w:color w:val="231F20"/>
        </w:rPr>
        <w:t>business strength. </w:t>
      </w:r>
      <w:r>
        <w:rPr>
          <w:color w:val="231F20"/>
        </w:rPr>
        <w:t>McKinsey’s model is not simple. Each variable is determined by a number of in- dustry factors. In any given industry, some factors will be of </w:t>
      </w:r>
      <w:r>
        <w:rPr>
          <w:color w:val="231F20"/>
        </w:rPr>
        <w:t>greater importance than others.</w:t>
      </w:r>
    </w:p>
    <w:p>
      <w:pPr>
        <w:pStyle w:val="BodyText"/>
        <w:spacing w:line="292" w:lineRule="auto"/>
        <w:ind w:left="830" w:right="756" w:firstLine="340"/>
        <w:jc w:val="both"/>
      </w:pPr>
      <w:r>
        <w:rPr>
          <w:color w:val="231F20"/>
        </w:rPr>
        <w:t>The McKinsey model has nine quadrants versus BCG’s four. The six generic courses of action dictated by the model are:</w:t>
      </w:r>
    </w:p>
    <w:p>
      <w:pPr>
        <w:pStyle w:val="BodyText"/>
        <w:rPr>
          <w:sz w:val="27"/>
        </w:rPr>
      </w:pPr>
    </w:p>
    <w:p>
      <w:pPr>
        <w:pStyle w:val="ListParagraph"/>
        <w:numPr>
          <w:ilvl w:val="0"/>
          <w:numId w:val="45"/>
        </w:numPr>
        <w:tabs>
          <w:tab w:pos="1356" w:val="left" w:leader="none"/>
        </w:tabs>
        <w:spacing w:line="240" w:lineRule="auto" w:before="0" w:after="0"/>
        <w:ind w:left="1355" w:right="0" w:hanging="186"/>
        <w:jc w:val="left"/>
        <w:rPr>
          <w:sz w:val="19"/>
        </w:rPr>
      </w:pPr>
      <w:r>
        <w:rPr>
          <w:color w:val="231F20"/>
          <w:w w:val="110"/>
          <w:sz w:val="19"/>
        </w:rPr>
        <w:t>Invest</w:t>
      </w:r>
      <w:r>
        <w:rPr>
          <w:color w:val="231F20"/>
          <w:spacing w:val="-2"/>
          <w:w w:val="110"/>
          <w:sz w:val="19"/>
        </w:rPr>
        <w:t> </w:t>
      </w:r>
      <w:r>
        <w:rPr>
          <w:color w:val="231F20"/>
          <w:w w:val="110"/>
          <w:sz w:val="19"/>
        </w:rPr>
        <w:t>and</w:t>
      </w:r>
      <w:r>
        <w:rPr>
          <w:color w:val="231F20"/>
          <w:spacing w:val="1"/>
          <w:w w:val="110"/>
          <w:sz w:val="19"/>
        </w:rPr>
        <w:t> </w:t>
      </w:r>
      <w:r>
        <w:rPr>
          <w:color w:val="231F20"/>
          <w:spacing w:val="-4"/>
          <w:w w:val="110"/>
          <w:sz w:val="19"/>
        </w:rPr>
        <w:t>Hold</w:t>
      </w:r>
    </w:p>
    <w:p>
      <w:pPr>
        <w:pStyle w:val="ListParagraph"/>
        <w:numPr>
          <w:ilvl w:val="0"/>
          <w:numId w:val="45"/>
        </w:numPr>
        <w:tabs>
          <w:tab w:pos="1356" w:val="left" w:leader="none"/>
        </w:tabs>
        <w:spacing w:line="240" w:lineRule="auto" w:before="81" w:after="0"/>
        <w:ind w:left="1355" w:right="0" w:hanging="186"/>
        <w:jc w:val="left"/>
        <w:rPr>
          <w:sz w:val="19"/>
        </w:rPr>
      </w:pPr>
      <w:r>
        <w:rPr>
          <w:color w:val="231F20"/>
          <w:w w:val="115"/>
          <w:sz w:val="19"/>
        </w:rPr>
        <w:t>Invest</w:t>
      </w:r>
      <w:r>
        <w:rPr>
          <w:color w:val="231F20"/>
          <w:spacing w:val="-13"/>
          <w:w w:val="115"/>
          <w:sz w:val="19"/>
        </w:rPr>
        <w:t> </w:t>
      </w:r>
      <w:r>
        <w:rPr>
          <w:color w:val="231F20"/>
          <w:w w:val="115"/>
          <w:sz w:val="19"/>
        </w:rPr>
        <w:t>to</w:t>
      </w:r>
      <w:r>
        <w:rPr>
          <w:color w:val="231F20"/>
          <w:spacing w:val="-13"/>
          <w:w w:val="115"/>
          <w:sz w:val="19"/>
        </w:rPr>
        <w:t> </w:t>
      </w:r>
      <w:r>
        <w:rPr>
          <w:color w:val="231F20"/>
          <w:spacing w:val="-4"/>
          <w:w w:val="115"/>
          <w:sz w:val="19"/>
        </w:rPr>
        <w:t>Grow</w:t>
      </w:r>
    </w:p>
    <w:p>
      <w:pPr>
        <w:pStyle w:val="ListParagraph"/>
        <w:numPr>
          <w:ilvl w:val="0"/>
          <w:numId w:val="45"/>
        </w:numPr>
        <w:tabs>
          <w:tab w:pos="1356" w:val="left" w:leader="none"/>
        </w:tabs>
        <w:spacing w:line="240" w:lineRule="auto" w:before="82" w:after="0"/>
        <w:ind w:left="1355" w:right="0" w:hanging="186"/>
        <w:jc w:val="left"/>
        <w:rPr>
          <w:sz w:val="19"/>
        </w:rPr>
      </w:pPr>
      <w:r>
        <w:rPr>
          <w:color w:val="231F20"/>
          <w:w w:val="115"/>
          <w:sz w:val="19"/>
        </w:rPr>
        <w:t>Invest</w:t>
      </w:r>
      <w:r>
        <w:rPr>
          <w:color w:val="231F20"/>
          <w:spacing w:val="-12"/>
          <w:w w:val="115"/>
          <w:sz w:val="19"/>
        </w:rPr>
        <w:t> </w:t>
      </w:r>
      <w:r>
        <w:rPr>
          <w:color w:val="231F20"/>
          <w:w w:val="115"/>
          <w:sz w:val="19"/>
        </w:rPr>
        <w:t>to</w:t>
      </w:r>
      <w:r>
        <w:rPr>
          <w:color w:val="231F20"/>
          <w:spacing w:val="-12"/>
          <w:w w:val="115"/>
          <w:sz w:val="19"/>
        </w:rPr>
        <w:t> </w:t>
      </w:r>
      <w:r>
        <w:rPr>
          <w:color w:val="231F20"/>
          <w:spacing w:val="-2"/>
          <w:w w:val="115"/>
          <w:sz w:val="19"/>
        </w:rPr>
        <w:t>Rebuild</w:t>
      </w:r>
    </w:p>
    <w:p>
      <w:pPr>
        <w:pStyle w:val="ListParagraph"/>
        <w:numPr>
          <w:ilvl w:val="0"/>
          <w:numId w:val="45"/>
        </w:numPr>
        <w:tabs>
          <w:tab w:pos="1356" w:val="left" w:leader="none"/>
        </w:tabs>
        <w:spacing w:line="240" w:lineRule="auto" w:before="81" w:after="0"/>
        <w:ind w:left="1355" w:right="0" w:hanging="186"/>
        <w:jc w:val="left"/>
        <w:rPr>
          <w:sz w:val="19"/>
        </w:rPr>
      </w:pPr>
      <w:r>
        <w:rPr>
          <w:color w:val="231F20"/>
          <w:w w:val="110"/>
          <w:sz w:val="19"/>
        </w:rPr>
        <w:t>Selectively</w:t>
      </w:r>
      <w:r>
        <w:rPr>
          <w:color w:val="231F20"/>
          <w:spacing w:val="6"/>
          <w:w w:val="110"/>
          <w:sz w:val="19"/>
        </w:rPr>
        <w:t> </w:t>
      </w:r>
      <w:r>
        <w:rPr>
          <w:color w:val="231F20"/>
          <w:w w:val="110"/>
          <w:sz w:val="19"/>
        </w:rPr>
        <w:t>Invest</w:t>
      </w:r>
      <w:r>
        <w:rPr>
          <w:color w:val="231F20"/>
          <w:spacing w:val="7"/>
          <w:w w:val="110"/>
          <w:sz w:val="19"/>
        </w:rPr>
        <w:t> </w:t>
      </w:r>
      <w:r>
        <w:rPr>
          <w:color w:val="231F20"/>
          <w:w w:val="110"/>
          <w:sz w:val="19"/>
        </w:rPr>
        <w:t>in</w:t>
      </w:r>
      <w:r>
        <w:rPr>
          <w:color w:val="231F20"/>
          <w:spacing w:val="7"/>
          <w:w w:val="110"/>
          <w:sz w:val="19"/>
        </w:rPr>
        <w:t> </w:t>
      </w:r>
      <w:r>
        <w:rPr>
          <w:color w:val="231F20"/>
          <w:w w:val="110"/>
          <w:sz w:val="19"/>
        </w:rPr>
        <w:t>Promising</w:t>
      </w:r>
      <w:r>
        <w:rPr>
          <w:color w:val="231F20"/>
          <w:spacing w:val="6"/>
          <w:w w:val="110"/>
          <w:sz w:val="19"/>
        </w:rPr>
        <w:t> </w:t>
      </w:r>
      <w:r>
        <w:rPr>
          <w:color w:val="231F20"/>
          <w:w w:val="110"/>
          <w:sz w:val="19"/>
        </w:rPr>
        <w:t>Areas</w:t>
      </w:r>
      <w:r>
        <w:rPr>
          <w:color w:val="231F20"/>
          <w:spacing w:val="7"/>
          <w:w w:val="110"/>
          <w:sz w:val="19"/>
        </w:rPr>
        <w:t> </w:t>
      </w:r>
      <w:r>
        <w:rPr>
          <w:color w:val="231F20"/>
          <w:w w:val="110"/>
          <w:sz w:val="19"/>
        </w:rPr>
        <w:t>of</w:t>
      </w:r>
      <w:r>
        <w:rPr>
          <w:color w:val="231F20"/>
          <w:spacing w:val="7"/>
          <w:w w:val="110"/>
          <w:sz w:val="19"/>
        </w:rPr>
        <w:t> </w:t>
      </w:r>
      <w:r>
        <w:rPr>
          <w:color w:val="231F20"/>
          <w:w w:val="110"/>
          <w:sz w:val="19"/>
        </w:rPr>
        <w:t>the</w:t>
      </w:r>
      <w:r>
        <w:rPr>
          <w:color w:val="231F20"/>
          <w:spacing w:val="6"/>
          <w:w w:val="110"/>
          <w:sz w:val="19"/>
        </w:rPr>
        <w:t> </w:t>
      </w:r>
      <w:r>
        <w:rPr>
          <w:color w:val="231F20"/>
          <w:spacing w:val="-2"/>
          <w:w w:val="110"/>
          <w:sz w:val="19"/>
        </w:rPr>
        <w:t>Business</w:t>
      </w:r>
    </w:p>
    <w:p>
      <w:pPr>
        <w:pStyle w:val="ListParagraph"/>
        <w:numPr>
          <w:ilvl w:val="0"/>
          <w:numId w:val="45"/>
        </w:numPr>
        <w:tabs>
          <w:tab w:pos="1356" w:val="left" w:leader="none"/>
        </w:tabs>
        <w:spacing w:line="240" w:lineRule="auto" w:before="82" w:after="0"/>
        <w:ind w:left="1355" w:right="0" w:hanging="186"/>
        <w:jc w:val="left"/>
        <w:rPr>
          <w:sz w:val="19"/>
        </w:rPr>
      </w:pPr>
      <w:r>
        <w:rPr>
          <w:color w:val="231F20"/>
          <w:w w:val="110"/>
          <w:sz w:val="19"/>
        </w:rPr>
        <w:t>Harvest, Milk</w:t>
      </w:r>
      <w:r>
        <w:rPr>
          <w:color w:val="231F20"/>
          <w:spacing w:val="1"/>
          <w:w w:val="110"/>
          <w:sz w:val="19"/>
        </w:rPr>
        <w:t> </w:t>
      </w:r>
      <w:r>
        <w:rPr>
          <w:color w:val="231F20"/>
          <w:w w:val="110"/>
          <w:sz w:val="19"/>
        </w:rPr>
        <w:t>the</w:t>
      </w:r>
      <w:r>
        <w:rPr>
          <w:color w:val="231F20"/>
          <w:spacing w:val="1"/>
          <w:w w:val="110"/>
          <w:sz w:val="19"/>
        </w:rPr>
        <w:t> </w:t>
      </w:r>
      <w:r>
        <w:rPr>
          <w:color w:val="231F20"/>
          <w:spacing w:val="-5"/>
          <w:w w:val="110"/>
          <w:sz w:val="19"/>
        </w:rPr>
        <w:t>Cow</w:t>
      </w:r>
    </w:p>
    <w:p>
      <w:pPr>
        <w:pStyle w:val="ListParagraph"/>
        <w:numPr>
          <w:ilvl w:val="0"/>
          <w:numId w:val="45"/>
        </w:numPr>
        <w:tabs>
          <w:tab w:pos="1356" w:val="left" w:leader="none"/>
        </w:tabs>
        <w:spacing w:line="240" w:lineRule="auto" w:before="81" w:after="0"/>
        <w:ind w:left="1355" w:right="0" w:hanging="186"/>
        <w:jc w:val="left"/>
        <w:rPr>
          <w:sz w:val="19"/>
        </w:rPr>
      </w:pPr>
      <w:r>
        <w:rPr>
          <w:color w:val="231F20"/>
          <w:w w:val="110"/>
          <w:sz w:val="19"/>
        </w:rPr>
        <w:t>Divest,</w:t>
      </w:r>
      <w:r>
        <w:rPr>
          <w:color w:val="231F20"/>
          <w:spacing w:val="-4"/>
          <w:w w:val="110"/>
          <w:sz w:val="19"/>
        </w:rPr>
        <w:t> </w:t>
      </w:r>
      <w:r>
        <w:rPr>
          <w:color w:val="231F20"/>
          <w:w w:val="110"/>
          <w:sz w:val="19"/>
        </w:rPr>
        <w:t>Sell</w:t>
      </w:r>
      <w:r>
        <w:rPr>
          <w:color w:val="231F20"/>
          <w:spacing w:val="-3"/>
          <w:w w:val="110"/>
          <w:sz w:val="19"/>
        </w:rPr>
        <w:t> </w:t>
      </w:r>
      <w:r>
        <w:rPr>
          <w:color w:val="231F20"/>
          <w:w w:val="110"/>
          <w:sz w:val="19"/>
        </w:rPr>
        <w:t>the</w:t>
      </w:r>
      <w:r>
        <w:rPr>
          <w:color w:val="231F20"/>
          <w:spacing w:val="-4"/>
          <w:w w:val="110"/>
          <w:sz w:val="19"/>
        </w:rPr>
        <w:t> </w:t>
      </w:r>
      <w:r>
        <w:rPr>
          <w:color w:val="231F20"/>
          <w:spacing w:val="-5"/>
          <w:w w:val="110"/>
          <w:sz w:val="19"/>
        </w:rPr>
        <w:t>Dog</w:t>
      </w:r>
    </w:p>
    <w:p>
      <w:pPr>
        <w:pStyle w:val="BodyText"/>
        <w:rPr>
          <w:rFonts w:ascii="Arial"/>
          <w:sz w:val="20"/>
        </w:rPr>
      </w:pPr>
    </w:p>
    <w:p>
      <w:pPr>
        <w:pStyle w:val="BodyText"/>
        <w:spacing w:line="292" w:lineRule="auto" w:before="131"/>
        <w:ind w:left="830" w:right="756" w:firstLine="340"/>
        <w:jc w:val="both"/>
      </w:pPr>
      <w:r>
        <w:rPr>
          <w:color w:val="231F20"/>
        </w:rPr>
        <w:t>Although the McKinsey model is attractive because it takes </w:t>
      </w:r>
      <w:r>
        <w:rPr>
          <w:color w:val="231F20"/>
        </w:rPr>
        <w:t>into account</w:t>
      </w:r>
      <w:r>
        <w:rPr>
          <w:color w:val="231F20"/>
          <w:spacing w:val="38"/>
        </w:rPr>
        <w:t> </w:t>
      </w:r>
      <w:r>
        <w:rPr>
          <w:color w:val="231F20"/>
        </w:rPr>
        <w:t>many</w:t>
      </w:r>
      <w:r>
        <w:rPr>
          <w:color w:val="231F20"/>
          <w:spacing w:val="38"/>
        </w:rPr>
        <w:t> </w:t>
      </w:r>
      <w:r>
        <w:rPr>
          <w:color w:val="231F20"/>
        </w:rPr>
        <w:t>factors,</w:t>
      </w:r>
      <w:r>
        <w:rPr>
          <w:color w:val="231F20"/>
          <w:spacing w:val="38"/>
        </w:rPr>
        <w:t> </w:t>
      </w:r>
      <w:r>
        <w:rPr>
          <w:color w:val="231F20"/>
        </w:rPr>
        <w:t>nonetheless</w:t>
      </w:r>
      <w:r>
        <w:rPr>
          <w:color w:val="231F20"/>
          <w:spacing w:val="38"/>
        </w:rPr>
        <w:t> </w:t>
      </w:r>
      <w:r>
        <w:rPr>
          <w:color w:val="231F20"/>
        </w:rPr>
        <w:t>the</w:t>
      </w:r>
      <w:r>
        <w:rPr>
          <w:color w:val="231F20"/>
          <w:spacing w:val="38"/>
        </w:rPr>
        <w:t> </w:t>
      </w:r>
      <w:r>
        <w:rPr>
          <w:color w:val="231F20"/>
        </w:rPr>
        <w:t>evaluation</w:t>
      </w:r>
      <w:r>
        <w:rPr>
          <w:color w:val="231F20"/>
          <w:spacing w:val="38"/>
        </w:rPr>
        <w:t> </w:t>
      </w:r>
      <w:r>
        <w:rPr>
          <w:color w:val="231F20"/>
        </w:rPr>
        <w:t>is</w:t>
      </w:r>
      <w:r>
        <w:rPr>
          <w:color w:val="231F20"/>
          <w:spacing w:val="38"/>
        </w:rPr>
        <w:t> </w:t>
      </w:r>
      <w:r>
        <w:rPr>
          <w:color w:val="231F20"/>
        </w:rPr>
        <w:t>subjective.</w:t>
      </w:r>
      <w:r>
        <w:rPr>
          <w:color w:val="231F20"/>
          <w:spacing w:val="38"/>
        </w:rPr>
        <w:t> </w:t>
      </w:r>
      <w:r>
        <w:rPr>
          <w:color w:val="231F20"/>
        </w:rPr>
        <w:t>As</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4"/>
        <w:jc w:val="both"/>
      </w:pPr>
      <w:r>
        <w:rPr>
          <w:color w:val="231F20"/>
        </w:rPr>
        <w:t>shown by the matrix, the individual factors culminate in a </w:t>
      </w:r>
      <w:r>
        <w:rPr>
          <w:color w:val="231F20"/>
        </w:rPr>
        <w:t>“high,” “medium,” or “low” assessment. For example, Wal-Mart’s sales growth is accessible through its published annual report, but how</w:t>
      </w:r>
      <w:r>
        <w:rPr>
          <w:color w:val="231F20"/>
          <w:spacing w:val="40"/>
        </w:rPr>
        <w:t> </w:t>
      </w:r>
      <w:r>
        <w:rPr>
          <w:color w:val="231F20"/>
        </w:rPr>
        <w:t>can one objectively quantify Wal-Mart’s “image”? It is a component that McKinsey uses in evaluating a business’s position in its matrix. It’s all subjective.</w:t>
      </w:r>
    </w:p>
    <w:p>
      <w:pPr>
        <w:pStyle w:val="BodyText"/>
        <w:rPr>
          <w:sz w:val="24"/>
        </w:rPr>
      </w:pPr>
    </w:p>
    <w:p>
      <w:pPr>
        <w:pStyle w:val="BodyText"/>
        <w:spacing w:before="7"/>
      </w:pPr>
    </w:p>
    <w:p>
      <w:pPr>
        <w:spacing w:line="357" w:lineRule="auto" w:before="0"/>
        <w:ind w:left="1780" w:right="1529" w:firstLine="0"/>
        <w:jc w:val="center"/>
        <w:rPr>
          <w:rFonts w:ascii="Arial"/>
          <w:sz w:val="14"/>
        </w:rPr>
      </w:pPr>
      <w:r>
        <w:rPr/>
        <w:drawing>
          <wp:anchor distT="0" distB="0" distL="0" distR="0" allowOverlap="1" layoutInCell="1" locked="0" behindDoc="0" simplePos="0" relativeHeight="411">
            <wp:simplePos x="0" y="0"/>
            <wp:positionH relativeFrom="page">
              <wp:posOffset>841012</wp:posOffset>
            </wp:positionH>
            <wp:positionV relativeFrom="paragraph">
              <wp:posOffset>323358</wp:posOffset>
            </wp:positionV>
            <wp:extent cx="3898910" cy="2766060"/>
            <wp:effectExtent l="0" t="0" r="0" b="0"/>
            <wp:wrapTopAndBottom/>
            <wp:docPr id="151" name="image86.png"/>
            <wp:cNvGraphicFramePr>
              <a:graphicFrameLocks noChangeAspect="1"/>
            </wp:cNvGraphicFramePr>
            <a:graphic>
              <a:graphicData uri="http://schemas.openxmlformats.org/drawingml/2006/picture">
                <pic:pic>
                  <pic:nvPicPr>
                    <pic:cNvPr id="152" name="image86.png"/>
                    <pic:cNvPicPr/>
                  </pic:nvPicPr>
                  <pic:blipFill>
                    <a:blip r:embed="rId127" cstate="print"/>
                    <a:stretch>
                      <a:fillRect/>
                    </a:stretch>
                  </pic:blipFill>
                  <pic:spPr>
                    <a:xfrm>
                      <a:off x="0" y="0"/>
                      <a:ext cx="3898910" cy="2766060"/>
                    </a:xfrm>
                    <a:prstGeom prst="rect">
                      <a:avLst/>
                    </a:prstGeom>
                  </pic:spPr>
                </pic:pic>
              </a:graphicData>
            </a:graphic>
          </wp:anchor>
        </w:drawing>
      </w:r>
      <w:r>
        <w:rPr>
          <w:rFonts w:ascii="Arial"/>
          <w:color w:val="231F20"/>
          <w:w w:val="105"/>
          <w:sz w:val="14"/>
        </w:rPr>
        <w:t>THE MCKINSEY COMPANY POSITION / INDUSTRY</w:t>
      </w:r>
      <w:r>
        <w:rPr>
          <w:rFonts w:ascii="Arial"/>
          <w:color w:val="231F20"/>
          <w:spacing w:val="40"/>
          <w:w w:val="110"/>
          <w:sz w:val="14"/>
        </w:rPr>
        <w:t> </w:t>
      </w:r>
      <w:r>
        <w:rPr>
          <w:rFonts w:ascii="Arial"/>
          <w:color w:val="231F20"/>
          <w:w w:val="110"/>
          <w:sz w:val="14"/>
        </w:rPr>
        <w:t>ATTRACTIVENESS SCREEN</w:t>
      </w:r>
    </w:p>
    <w:p>
      <w:pPr>
        <w:pStyle w:val="BodyText"/>
        <w:rPr>
          <w:rFonts w:ascii="Arial"/>
          <w:sz w:val="14"/>
        </w:rPr>
      </w:pPr>
    </w:p>
    <w:p>
      <w:pPr>
        <w:pStyle w:val="BodyText"/>
        <w:rPr>
          <w:rFonts w:ascii="Arial"/>
          <w:sz w:val="14"/>
        </w:rPr>
      </w:pPr>
    </w:p>
    <w:p>
      <w:pPr>
        <w:pStyle w:val="BodyText"/>
        <w:rPr>
          <w:rFonts w:ascii="Arial"/>
          <w:sz w:val="14"/>
        </w:rPr>
      </w:pPr>
    </w:p>
    <w:p>
      <w:pPr>
        <w:pStyle w:val="Heading6"/>
        <w:spacing w:before="111"/>
        <w:rPr>
          <w:i/>
        </w:rPr>
      </w:pPr>
      <w:r>
        <w:rPr>
          <w:i/>
          <w:color w:val="231F20"/>
          <w:w w:val="110"/>
        </w:rPr>
        <w:t>ARTHUR</w:t>
      </w:r>
      <w:r>
        <w:rPr>
          <w:i/>
          <w:color w:val="231F20"/>
          <w:spacing w:val="66"/>
          <w:w w:val="110"/>
        </w:rPr>
        <w:t> </w:t>
      </w:r>
      <w:r>
        <w:rPr>
          <w:i/>
          <w:color w:val="231F20"/>
          <w:w w:val="110"/>
        </w:rPr>
        <w:t>D.</w:t>
      </w:r>
      <w:r>
        <w:rPr>
          <w:i/>
          <w:color w:val="231F20"/>
          <w:spacing w:val="67"/>
          <w:w w:val="110"/>
        </w:rPr>
        <w:t> </w:t>
      </w:r>
      <w:r>
        <w:rPr>
          <w:i/>
          <w:color w:val="231F20"/>
          <w:w w:val="110"/>
        </w:rPr>
        <w:t>LITTLE’S</w:t>
      </w:r>
      <w:r>
        <w:rPr>
          <w:i/>
          <w:color w:val="231F20"/>
          <w:spacing w:val="66"/>
          <w:w w:val="110"/>
        </w:rPr>
        <w:t> </w:t>
      </w:r>
      <w:r>
        <w:rPr>
          <w:i/>
          <w:color w:val="231F20"/>
          <w:w w:val="110"/>
        </w:rPr>
        <w:t>SBU</w:t>
      </w:r>
      <w:r>
        <w:rPr>
          <w:i/>
          <w:color w:val="231F20"/>
          <w:spacing w:val="67"/>
          <w:w w:val="110"/>
        </w:rPr>
        <w:t> </w:t>
      </w:r>
      <w:r>
        <w:rPr>
          <w:i/>
          <w:color w:val="231F20"/>
          <w:spacing w:val="8"/>
          <w:w w:val="110"/>
        </w:rPr>
        <w:t>SYSTEM</w:t>
      </w:r>
    </w:p>
    <w:p>
      <w:pPr>
        <w:pStyle w:val="BodyText"/>
        <w:spacing w:before="2"/>
        <w:rPr>
          <w:b/>
          <w:i/>
          <w:sz w:val="30"/>
        </w:rPr>
      </w:pPr>
    </w:p>
    <w:p>
      <w:pPr>
        <w:pStyle w:val="BodyText"/>
        <w:spacing w:line="292" w:lineRule="auto"/>
        <w:ind w:left="920" w:right="664"/>
        <w:jc w:val="both"/>
      </w:pPr>
      <w:r>
        <w:rPr>
          <w:color w:val="231F20"/>
          <w:w w:val="105"/>
        </w:rPr>
        <w:t>Arthur</w:t>
      </w:r>
      <w:r>
        <w:rPr>
          <w:color w:val="231F20"/>
          <w:spacing w:val="-2"/>
          <w:w w:val="105"/>
        </w:rPr>
        <w:t> </w:t>
      </w:r>
      <w:r>
        <w:rPr>
          <w:color w:val="231F20"/>
          <w:w w:val="105"/>
        </w:rPr>
        <w:t>D.</w:t>
      </w:r>
      <w:r>
        <w:rPr>
          <w:color w:val="231F20"/>
          <w:spacing w:val="-2"/>
          <w:w w:val="105"/>
        </w:rPr>
        <w:t> </w:t>
      </w:r>
      <w:r>
        <w:rPr>
          <w:color w:val="231F20"/>
          <w:w w:val="105"/>
        </w:rPr>
        <w:t>Little</w:t>
      </w:r>
      <w:r>
        <w:rPr>
          <w:color w:val="231F20"/>
          <w:spacing w:val="-2"/>
          <w:w w:val="105"/>
        </w:rPr>
        <w:t> </w:t>
      </w:r>
      <w:r>
        <w:rPr>
          <w:color w:val="231F20"/>
          <w:w w:val="105"/>
        </w:rPr>
        <w:t>(ADL)</w:t>
      </w:r>
      <w:r>
        <w:rPr>
          <w:color w:val="231F20"/>
          <w:spacing w:val="-2"/>
          <w:w w:val="105"/>
        </w:rPr>
        <w:t> </w:t>
      </w:r>
      <w:r>
        <w:rPr>
          <w:color w:val="231F20"/>
          <w:w w:val="105"/>
        </w:rPr>
        <w:t>is</w:t>
      </w:r>
      <w:r>
        <w:rPr>
          <w:color w:val="231F20"/>
          <w:spacing w:val="-2"/>
          <w:w w:val="105"/>
        </w:rPr>
        <w:t> </w:t>
      </w:r>
      <w:r>
        <w:rPr>
          <w:color w:val="231F20"/>
          <w:w w:val="105"/>
        </w:rPr>
        <w:t>another</w:t>
      </w:r>
      <w:r>
        <w:rPr>
          <w:color w:val="231F20"/>
          <w:spacing w:val="-2"/>
          <w:w w:val="105"/>
        </w:rPr>
        <w:t> </w:t>
      </w:r>
      <w:r>
        <w:rPr>
          <w:color w:val="231F20"/>
          <w:w w:val="105"/>
        </w:rPr>
        <w:t>bastion</w:t>
      </w:r>
      <w:r>
        <w:rPr>
          <w:color w:val="231F20"/>
          <w:spacing w:val="-2"/>
          <w:w w:val="105"/>
        </w:rPr>
        <w:t> </w:t>
      </w:r>
      <w:r>
        <w:rPr>
          <w:color w:val="231F20"/>
          <w:w w:val="105"/>
        </w:rPr>
        <w:t>of</w:t>
      </w:r>
      <w:r>
        <w:rPr>
          <w:color w:val="231F20"/>
          <w:spacing w:val="-2"/>
          <w:w w:val="105"/>
        </w:rPr>
        <w:t> </w:t>
      </w:r>
      <w:r>
        <w:rPr>
          <w:color w:val="231F20"/>
          <w:w w:val="105"/>
        </w:rPr>
        <w:t>MBA</w:t>
      </w:r>
      <w:r>
        <w:rPr>
          <w:color w:val="231F20"/>
          <w:spacing w:val="-2"/>
          <w:w w:val="105"/>
        </w:rPr>
        <w:t> </w:t>
      </w:r>
      <w:r>
        <w:rPr>
          <w:color w:val="231F20"/>
          <w:w w:val="105"/>
        </w:rPr>
        <w:t>portfolio</w:t>
      </w:r>
      <w:r>
        <w:rPr>
          <w:color w:val="231F20"/>
          <w:spacing w:val="-2"/>
          <w:w w:val="105"/>
        </w:rPr>
        <w:t> </w:t>
      </w:r>
      <w:r>
        <w:rPr>
          <w:color w:val="231F20"/>
          <w:w w:val="105"/>
        </w:rPr>
        <w:t>experts. ADL</w:t>
      </w:r>
      <w:r>
        <w:rPr>
          <w:color w:val="231F20"/>
          <w:w w:val="105"/>
        </w:rPr>
        <w:t> has</w:t>
      </w:r>
      <w:r>
        <w:rPr>
          <w:color w:val="231F20"/>
          <w:w w:val="105"/>
        </w:rPr>
        <w:t> cooked</w:t>
      </w:r>
      <w:r>
        <w:rPr>
          <w:color w:val="231F20"/>
          <w:w w:val="105"/>
        </w:rPr>
        <w:t> up</w:t>
      </w:r>
      <w:r>
        <w:rPr>
          <w:color w:val="231F20"/>
          <w:w w:val="105"/>
        </w:rPr>
        <w:t> a</w:t>
      </w:r>
      <w:r>
        <w:rPr>
          <w:color w:val="231F20"/>
          <w:w w:val="105"/>
        </w:rPr>
        <w:t> system</w:t>
      </w:r>
      <w:r>
        <w:rPr>
          <w:color w:val="231F20"/>
          <w:w w:val="105"/>
        </w:rPr>
        <w:t> that</w:t>
      </w:r>
      <w:r>
        <w:rPr>
          <w:color w:val="231F20"/>
          <w:w w:val="105"/>
        </w:rPr>
        <w:t> revolves</w:t>
      </w:r>
      <w:r>
        <w:rPr>
          <w:color w:val="231F20"/>
          <w:w w:val="105"/>
        </w:rPr>
        <w:t> around</w:t>
      </w:r>
      <w:r>
        <w:rPr>
          <w:color w:val="231F20"/>
          <w:w w:val="105"/>
        </w:rPr>
        <w:t> the</w:t>
      </w:r>
      <w:r>
        <w:rPr>
          <w:color w:val="231F20"/>
          <w:w w:val="105"/>
        </w:rPr>
        <w:t> SBU,</w:t>
      </w:r>
      <w:r>
        <w:rPr>
          <w:color w:val="231F20"/>
          <w:w w:val="105"/>
        </w:rPr>
        <w:t> </w:t>
      </w:r>
      <w:r>
        <w:rPr>
          <w:color w:val="231F20"/>
          <w:w w:val="105"/>
        </w:rPr>
        <w:t>the </w:t>
      </w:r>
      <w:r>
        <w:rPr>
          <w:i/>
          <w:color w:val="231F20"/>
        </w:rPr>
        <w:t>strategic business unit. </w:t>
      </w:r>
      <w:r>
        <w:rPr>
          <w:color w:val="231F20"/>
        </w:rPr>
        <w:t>When similar businesses of a corporation are grouped into SBUs, portfolio strategies become less complicated be- </w:t>
      </w:r>
      <w:r>
        <w:rPr>
          <w:color w:val="231F20"/>
          <w:w w:val="105"/>
        </w:rPr>
        <w:t>cause</w:t>
      </w:r>
      <w:r>
        <w:rPr>
          <w:color w:val="231F20"/>
          <w:spacing w:val="-7"/>
          <w:w w:val="105"/>
        </w:rPr>
        <w:t> </w:t>
      </w:r>
      <w:r>
        <w:rPr>
          <w:color w:val="231F20"/>
          <w:w w:val="105"/>
        </w:rPr>
        <w:t>there</w:t>
      </w:r>
      <w:r>
        <w:rPr>
          <w:color w:val="231F20"/>
          <w:spacing w:val="-7"/>
          <w:w w:val="105"/>
        </w:rPr>
        <w:t> </w:t>
      </w:r>
      <w:r>
        <w:rPr>
          <w:color w:val="231F20"/>
          <w:w w:val="105"/>
        </w:rPr>
        <w:t>are</w:t>
      </w:r>
      <w:r>
        <w:rPr>
          <w:color w:val="231F20"/>
          <w:spacing w:val="-7"/>
          <w:w w:val="105"/>
        </w:rPr>
        <w:t> </w:t>
      </w:r>
      <w:r>
        <w:rPr>
          <w:color w:val="231F20"/>
          <w:w w:val="105"/>
        </w:rPr>
        <w:t>fewer</w:t>
      </w:r>
      <w:r>
        <w:rPr>
          <w:color w:val="231F20"/>
          <w:spacing w:val="-7"/>
          <w:w w:val="105"/>
        </w:rPr>
        <w:t> </w:t>
      </w:r>
      <w:r>
        <w:rPr>
          <w:color w:val="231F20"/>
          <w:w w:val="105"/>
        </w:rPr>
        <w:t>units</w:t>
      </w:r>
      <w:r>
        <w:rPr>
          <w:color w:val="231F20"/>
          <w:spacing w:val="-7"/>
          <w:w w:val="105"/>
        </w:rPr>
        <w:t> </w:t>
      </w:r>
      <w:r>
        <w:rPr>
          <w:color w:val="231F20"/>
          <w:w w:val="105"/>
        </w:rPr>
        <w:t>to</w:t>
      </w:r>
      <w:r>
        <w:rPr>
          <w:color w:val="231F20"/>
          <w:spacing w:val="-7"/>
          <w:w w:val="105"/>
        </w:rPr>
        <w:t> </w:t>
      </w:r>
      <w:r>
        <w:rPr>
          <w:color w:val="231F20"/>
          <w:w w:val="105"/>
        </w:rPr>
        <w:t>worry</w:t>
      </w:r>
      <w:r>
        <w:rPr>
          <w:color w:val="231F20"/>
          <w:spacing w:val="-7"/>
          <w:w w:val="105"/>
        </w:rPr>
        <w:t> </w:t>
      </w:r>
      <w:r>
        <w:rPr>
          <w:color w:val="231F20"/>
          <w:w w:val="105"/>
        </w:rPr>
        <w:t>about.</w:t>
      </w:r>
      <w:r>
        <w:rPr>
          <w:color w:val="231F20"/>
          <w:spacing w:val="-7"/>
          <w:w w:val="105"/>
        </w:rPr>
        <w:t> </w:t>
      </w:r>
      <w:r>
        <w:rPr>
          <w:color w:val="231F20"/>
          <w:w w:val="105"/>
        </w:rPr>
        <w:t>Businesses</w:t>
      </w:r>
      <w:r>
        <w:rPr>
          <w:color w:val="231F20"/>
          <w:spacing w:val="-7"/>
          <w:w w:val="105"/>
        </w:rPr>
        <w:t> </w:t>
      </w:r>
      <w:r>
        <w:rPr>
          <w:color w:val="231F20"/>
          <w:w w:val="105"/>
        </w:rPr>
        <w:t>in</w:t>
      </w:r>
      <w:r>
        <w:rPr>
          <w:color w:val="231F20"/>
          <w:spacing w:val="-7"/>
          <w:w w:val="105"/>
        </w:rPr>
        <w:t> </w:t>
      </w:r>
      <w:r>
        <w:rPr>
          <w:color w:val="231F20"/>
          <w:w w:val="105"/>
        </w:rPr>
        <w:t>different SBUs</w:t>
      </w:r>
      <w:r>
        <w:rPr>
          <w:color w:val="231F20"/>
          <w:spacing w:val="-6"/>
          <w:w w:val="105"/>
        </w:rPr>
        <w:t> </w:t>
      </w:r>
      <w:r>
        <w:rPr>
          <w:color w:val="231F20"/>
          <w:w w:val="105"/>
        </w:rPr>
        <w:t>have</w:t>
      </w:r>
      <w:r>
        <w:rPr>
          <w:color w:val="231F20"/>
          <w:spacing w:val="-6"/>
          <w:w w:val="105"/>
        </w:rPr>
        <w:t> </w:t>
      </w:r>
      <w:r>
        <w:rPr>
          <w:color w:val="231F20"/>
          <w:w w:val="105"/>
        </w:rPr>
        <w:t>little</w:t>
      </w:r>
      <w:r>
        <w:rPr>
          <w:color w:val="231F20"/>
          <w:spacing w:val="-6"/>
          <w:w w:val="105"/>
        </w:rPr>
        <w:t> </w:t>
      </w:r>
      <w:r>
        <w:rPr>
          <w:color w:val="231F20"/>
          <w:w w:val="105"/>
        </w:rPr>
        <w:t>association</w:t>
      </w:r>
      <w:r>
        <w:rPr>
          <w:color w:val="231F20"/>
          <w:spacing w:val="-6"/>
          <w:w w:val="105"/>
        </w:rPr>
        <w:t> </w:t>
      </w:r>
      <w:r>
        <w:rPr>
          <w:color w:val="231F20"/>
          <w:w w:val="105"/>
        </w:rPr>
        <w:t>with</w:t>
      </w:r>
      <w:r>
        <w:rPr>
          <w:color w:val="231F20"/>
          <w:spacing w:val="-6"/>
          <w:w w:val="105"/>
        </w:rPr>
        <w:t> </w:t>
      </w:r>
      <w:r>
        <w:rPr>
          <w:color w:val="231F20"/>
          <w:w w:val="105"/>
        </w:rPr>
        <w:t>one</w:t>
      </w:r>
      <w:r>
        <w:rPr>
          <w:color w:val="231F20"/>
          <w:spacing w:val="-6"/>
          <w:w w:val="105"/>
        </w:rPr>
        <w:t> </w:t>
      </w:r>
      <w:r>
        <w:rPr>
          <w:color w:val="231F20"/>
          <w:w w:val="105"/>
        </w:rPr>
        <w:t>another</w:t>
      </w:r>
      <w:r>
        <w:rPr>
          <w:color w:val="231F20"/>
          <w:spacing w:val="-6"/>
          <w:w w:val="105"/>
        </w:rPr>
        <w:t> </w:t>
      </w:r>
      <w:r>
        <w:rPr>
          <w:color w:val="231F20"/>
          <w:w w:val="105"/>
        </w:rPr>
        <w:t>other</w:t>
      </w:r>
      <w:r>
        <w:rPr>
          <w:color w:val="231F20"/>
          <w:spacing w:val="-6"/>
          <w:w w:val="105"/>
        </w:rPr>
        <w:t> </w:t>
      </w:r>
      <w:r>
        <w:rPr>
          <w:color w:val="231F20"/>
          <w:w w:val="105"/>
        </w:rPr>
        <w:t>than</w:t>
      </w:r>
      <w:r>
        <w:rPr>
          <w:color w:val="231F20"/>
          <w:spacing w:val="-6"/>
          <w:w w:val="105"/>
        </w:rPr>
        <w:t> </w:t>
      </w:r>
      <w:r>
        <w:rPr>
          <w:color w:val="231F20"/>
          <w:w w:val="105"/>
        </w:rPr>
        <w:t>the</w:t>
      </w:r>
      <w:r>
        <w:rPr>
          <w:color w:val="231F20"/>
          <w:spacing w:val="-6"/>
          <w:w w:val="105"/>
        </w:rPr>
        <w:t> </w:t>
      </w:r>
      <w:r>
        <w:rPr>
          <w:color w:val="231F20"/>
          <w:w w:val="105"/>
        </w:rPr>
        <w:t>finan- cial ties imposed on them by the parent corporation.</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before="102"/>
        <w:ind w:left="1170"/>
      </w:pPr>
      <w:r>
        <w:rPr>
          <w:color w:val="231F20"/>
          <w:w w:val="105"/>
        </w:rPr>
        <w:t>The</w:t>
      </w:r>
      <w:r>
        <w:rPr>
          <w:color w:val="231F20"/>
          <w:spacing w:val="-5"/>
          <w:w w:val="105"/>
        </w:rPr>
        <w:t> </w:t>
      </w:r>
      <w:r>
        <w:rPr>
          <w:color w:val="231F20"/>
          <w:w w:val="105"/>
        </w:rPr>
        <w:t>ADL</w:t>
      </w:r>
      <w:r>
        <w:rPr>
          <w:color w:val="231F20"/>
          <w:spacing w:val="-5"/>
          <w:w w:val="105"/>
        </w:rPr>
        <w:t> </w:t>
      </w:r>
      <w:r>
        <w:rPr>
          <w:color w:val="231F20"/>
          <w:w w:val="105"/>
        </w:rPr>
        <w:t>portfolio</w:t>
      </w:r>
      <w:r>
        <w:rPr>
          <w:color w:val="231F20"/>
          <w:spacing w:val="-5"/>
          <w:w w:val="105"/>
        </w:rPr>
        <w:t> </w:t>
      </w:r>
      <w:r>
        <w:rPr>
          <w:color w:val="231F20"/>
          <w:w w:val="105"/>
        </w:rPr>
        <w:t>process</w:t>
      </w:r>
      <w:r>
        <w:rPr>
          <w:color w:val="231F20"/>
          <w:spacing w:val="-5"/>
          <w:w w:val="105"/>
        </w:rPr>
        <w:t> </w:t>
      </w:r>
      <w:r>
        <w:rPr>
          <w:color w:val="231F20"/>
          <w:w w:val="105"/>
        </w:rPr>
        <w:t>has</w:t>
      </w:r>
      <w:r>
        <w:rPr>
          <w:color w:val="231F20"/>
          <w:spacing w:val="-5"/>
          <w:w w:val="105"/>
        </w:rPr>
        <w:t> </w:t>
      </w:r>
      <w:r>
        <w:rPr>
          <w:color w:val="231F20"/>
          <w:w w:val="105"/>
        </w:rPr>
        <w:t>four</w:t>
      </w:r>
      <w:r>
        <w:rPr>
          <w:color w:val="231F20"/>
          <w:spacing w:val="-5"/>
          <w:w w:val="105"/>
        </w:rPr>
        <w:t> </w:t>
      </w:r>
      <w:r>
        <w:rPr>
          <w:color w:val="231F20"/>
          <w:spacing w:val="-2"/>
          <w:w w:val="105"/>
        </w:rPr>
        <w:t>steps:</w:t>
      </w:r>
    </w:p>
    <w:p>
      <w:pPr>
        <w:pStyle w:val="BodyText"/>
        <w:spacing w:before="11"/>
        <w:rPr>
          <w:sz w:val="31"/>
        </w:rPr>
      </w:pPr>
    </w:p>
    <w:p>
      <w:pPr>
        <w:pStyle w:val="ListParagraph"/>
        <w:numPr>
          <w:ilvl w:val="1"/>
          <w:numId w:val="43"/>
        </w:numPr>
        <w:tabs>
          <w:tab w:pos="1520" w:val="left" w:leader="none"/>
        </w:tabs>
        <w:spacing w:line="240" w:lineRule="auto" w:before="0" w:after="0"/>
        <w:ind w:left="1519" w:right="0" w:hanging="170"/>
        <w:jc w:val="left"/>
        <w:rPr>
          <w:sz w:val="19"/>
        </w:rPr>
      </w:pPr>
      <w:r>
        <w:rPr>
          <w:color w:val="231F20"/>
          <w:w w:val="110"/>
          <w:sz w:val="19"/>
        </w:rPr>
        <w:t>Classify</w:t>
      </w:r>
      <w:r>
        <w:rPr>
          <w:color w:val="231F20"/>
          <w:spacing w:val="-2"/>
          <w:w w:val="110"/>
          <w:sz w:val="19"/>
        </w:rPr>
        <w:t> </w:t>
      </w:r>
      <w:r>
        <w:rPr>
          <w:color w:val="231F20"/>
          <w:w w:val="110"/>
          <w:sz w:val="19"/>
        </w:rPr>
        <w:t>all</w:t>
      </w:r>
      <w:r>
        <w:rPr>
          <w:color w:val="231F20"/>
          <w:spacing w:val="-2"/>
          <w:w w:val="110"/>
          <w:sz w:val="19"/>
        </w:rPr>
        <w:t> </w:t>
      </w:r>
      <w:r>
        <w:rPr>
          <w:color w:val="231F20"/>
          <w:w w:val="110"/>
          <w:sz w:val="19"/>
        </w:rPr>
        <w:t>the</w:t>
      </w:r>
      <w:r>
        <w:rPr>
          <w:color w:val="231F20"/>
          <w:spacing w:val="-2"/>
          <w:w w:val="110"/>
          <w:sz w:val="19"/>
        </w:rPr>
        <w:t> </w:t>
      </w:r>
      <w:r>
        <w:rPr>
          <w:color w:val="231F20"/>
          <w:w w:val="110"/>
          <w:sz w:val="19"/>
        </w:rPr>
        <w:t>businesses</w:t>
      </w:r>
      <w:r>
        <w:rPr>
          <w:color w:val="231F20"/>
          <w:spacing w:val="-1"/>
          <w:w w:val="110"/>
          <w:sz w:val="19"/>
        </w:rPr>
        <w:t> </w:t>
      </w:r>
      <w:r>
        <w:rPr>
          <w:color w:val="231F20"/>
          <w:w w:val="110"/>
          <w:sz w:val="19"/>
        </w:rPr>
        <w:t>of</w:t>
      </w:r>
      <w:r>
        <w:rPr>
          <w:color w:val="231F20"/>
          <w:spacing w:val="-2"/>
          <w:w w:val="110"/>
          <w:sz w:val="19"/>
        </w:rPr>
        <w:t> </w:t>
      </w:r>
      <w:r>
        <w:rPr>
          <w:color w:val="231F20"/>
          <w:w w:val="110"/>
          <w:sz w:val="19"/>
        </w:rPr>
        <w:t>a</w:t>
      </w:r>
      <w:r>
        <w:rPr>
          <w:color w:val="231F20"/>
          <w:spacing w:val="-2"/>
          <w:w w:val="110"/>
          <w:sz w:val="19"/>
        </w:rPr>
        <w:t> </w:t>
      </w:r>
      <w:r>
        <w:rPr>
          <w:color w:val="231F20"/>
          <w:w w:val="110"/>
          <w:sz w:val="19"/>
        </w:rPr>
        <w:t>corporation</w:t>
      </w:r>
      <w:r>
        <w:rPr>
          <w:color w:val="231F20"/>
          <w:spacing w:val="-1"/>
          <w:w w:val="110"/>
          <w:sz w:val="19"/>
        </w:rPr>
        <w:t> </w:t>
      </w:r>
      <w:r>
        <w:rPr>
          <w:color w:val="231F20"/>
          <w:w w:val="110"/>
          <w:sz w:val="19"/>
        </w:rPr>
        <w:t>into</w:t>
      </w:r>
      <w:r>
        <w:rPr>
          <w:color w:val="231F20"/>
          <w:spacing w:val="-2"/>
          <w:w w:val="110"/>
          <w:sz w:val="19"/>
        </w:rPr>
        <w:t> SBUs.</w:t>
      </w:r>
    </w:p>
    <w:p>
      <w:pPr>
        <w:pStyle w:val="ListParagraph"/>
        <w:numPr>
          <w:ilvl w:val="1"/>
          <w:numId w:val="43"/>
        </w:numPr>
        <w:tabs>
          <w:tab w:pos="1520" w:val="left" w:leader="none"/>
        </w:tabs>
        <w:spacing w:line="240" w:lineRule="auto" w:before="82" w:after="0"/>
        <w:ind w:left="1519" w:right="0" w:hanging="219"/>
        <w:jc w:val="left"/>
        <w:rPr>
          <w:sz w:val="19"/>
        </w:rPr>
      </w:pPr>
      <w:r>
        <w:rPr>
          <w:color w:val="231F20"/>
          <w:w w:val="110"/>
          <w:sz w:val="19"/>
        </w:rPr>
        <w:t>Place</w:t>
      </w:r>
      <w:r>
        <w:rPr>
          <w:color w:val="231F20"/>
          <w:spacing w:val="-11"/>
          <w:w w:val="110"/>
          <w:sz w:val="19"/>
        </w:rPr>
        <w:t> </w:t>
      </w:r>
      <w:r>
        <w:rPr>
          <w:color w:val="231F20"/>
          <w:w w:val="110"/>
          <w:sz w:val="19"/>
        </w:rPr>
        <w:t>the</w:t>
      </w:r>
      <w:r>
        <w:rPr>
          <w:color w:val="231F20"/>
          <w:spacing w:val="-11"/>
          <w:w w:val="110"/>
          <w:sz w:val="19"/>
        </w:rPr>
        <w:t> </w:t>
      </w:r>
      <w:r>
        <w:rPr>
          <w:color w:val="231F20"/>
          <w:w w:val="110"/>
          <w:sz w:val="19"/>
        </w:rPr>
        <w:t>SBUs</w:t>
      </w:r>
      <w:r>
        <w:rPr>
          <w:color w:val="231F20"/>
          <w:spacing w:val="-11"/>
          <w:w w:val="110"/>
          <w:sz w:val="19"/>
        </w:rPr>
        <w:t> </w:t>
      </w:r>
      <w:r>
        <w:rPr>
          <w:color w:val="231F20"/>
          <w:w w:val="110"/>
          <w:sz w:val="19"/>
        </w:rPr>
        <w:t>into</w:t>
      </w:r>
      <w:r>
        <w:rPr>
          <w:color w:val="231F20"/>
          <w:spacing w:val="-11"/>
          <w:w w:val="110"/>
          <w:sz w:val="19"/>
        </w:rPr>
        <w:t> </w:t>
      </w:r>
      <w:r>
        <w:rPr>
          <w:color w:val="231F20"/>
          <w:w w:val="110"/>
          <w:sz w:val="19"/>
        </w:rPr>
        <w:t>a</w:t>
      </w:r>
      <w:r>
        <w:rPr>
          <w:color w:val="231F20"/>
          <w:spacing w:val="-10"/>
          <w:w w:val="110"/>
          <w:sz w:val="19"/>
        </w:rPr>
        <w:t> </w:t>
      </w:r>
      <w:r>
        <w:rPr>
          <w:color w:val="231F20"/>
          <w:spacing w:val="-2"/>
          <w:w w:val="110"/>
          <w:sz w:val="19"/>
        </w:rPr>
        <w:t>matrix.</w:t>
      </w:r>
    </w:p>
    <w:p>
      <w:pPr>
        <w:pStyle w:val="ListParagraph"/>
        <w:numPr>
          <w:ilvl w:val="1"/>
          <w:numId w:val="43"/>
        </w:numPr>
        <w:tabs>
          <w:tab w:pos="1521" w:val="left" w:leader="none"/>
        </w:tabs>
        <w:spacing w:line="328" w:lineRule="auto" w:before="81" w:after="0"/>
        <w:ind w:left="1519" w:right="754" w:hanging="223"/>
        <w:jc w:val="left"/>
        <w:rPr>
          <w:sz w:val="19"/>
        </w:rPr>
      </w:pPr>
      <w:r>
        <w:rPr>
          <w:color w:val="231F20"/>
          <w:w w:val="110"/>
          <w:sz w:val="19"/>
        </w:rPr>
        <w:t>Evaluate</w:t>
      </w:r>
      <w:r>
        <w:rPr>
          <w:color w:val="231F20"/>
          <w:spacing w:val="40"/>
          <w:w w:val="110"/>
          <w:sz w:val="19"/>
        </w:rPr>
        <w:t> </w:t>
      </w:r>
      <w:r>
        <w:rPr>
          <w:color w:val="231F20"/>
          <w:w w:val="110"/>
          <w:sz w:val="19"/>
        </w:rPr>
        <w:t>the</w:t>
      </w:r>
      <w:r>
        <w:rPr>
          <w:color w:val="231F20"/>
          <w:spacing w:val="40"/>
          <w:w w:val="110"/>
          <w:sz w:val="19"/>
        </w:rPr>
        <w:t> </w:t>
      </w:r>
      <w:r>
        <w:rPr>
          <w:color w:val="231F20"/>
          <w:w w:val="110"/>
          <w:sz w:val="19"/>
        </w:rPr>
        <w:t>conditions</w:t>
      </w:r>
      <w:r>
        <w:rPr>
          <w:color w:val="231F20"/>
          <w:spacing w:val="40"/>
          <w:w w:val="110"/>
          <w:sz w:val="19"/>
        </w:rPr>
        <w:t> </w:t>
      </w:r>
      <w:r>
        <w:rPr>
          <w:color w:val="231F20"/>
          <w:w w:val="110"/>
          <w:sz w:val="19"/>
        </w:rPr>
        <w:t>of</w:t>
      </w:r>
      <w:r>
        <w:rPr>
          <w:color w:val="231F20"/>
          <w:spacing w:val="40"/>
          <w:w w:val="110"/>
          <w:sz w:val="19"/>
        </w:rPr>
        <w:t> </w:t>
      </w:r>
      <w:r>
        <w:rPr>
          <w:color w:val="231F20"/>
          <w:w w:val="110"/>
          <w:sz w:val="19"/>
        </w:rPr>
        <w:t>the</w:t>
      </w:r>
      <w:r>
        <w:rPr>
          <w:color w:val="231F20"/>
          <w:spacing w:val="40"/>
          <w:w w:val="110"/>
          <w:sz w:val="19"/>
        </w:rPr>
        <w:t> </w:t>
      </w:r>
      <w:r>
        <w:rPr>
          <w:color w:val="231F20"/>
          <w:w w:val="110"/>
          <w:sz w:val="19"/>
        </w:rPr>
        <w:t>industries</w:t>
      </w:r>
      <w:r>
        <w:rPr>
          <w:color w:val="231F20"/>
          <w:spacing w:val="40"/>
          <w:w w:val="110"/>
          <w:sz w:val="19"/>
        </w:rPr>
        <w:t> </w:t>
      </w:r>
      <w:r>
        <w:rPr>
          <w:color w:val="231F20"/>
          <w:w w:val="110"/>
          <w:sz w:val="19"/>
        </w:rPr>
        <w:t>in</w:t>
      </w:r>
      <w:r>
        <w:rPr>
          <w:color w:val="231F20"/>
          <w:spacing w:val="40"/>
          <w:w w:val="110"/>
          <w:sz w:val="19"/>
        </w:rPr>
        <w:t> </w:t>
      </w:r>
      <w:r>
        <w:rPr>
          <w:color w:val="231F20"/>
          <w:w w:val="110"/>
          <w:sz w:val="19"/>
        </w:rPr>
        <w:t>which</w:t>
      </w:r>
      <w:r>
        <w:rPr>
          <w:color w:val="231F20"/>
          <w:spacing w:val="40"/>
          <w:w w:val="110"/>
          <w:sz w:val="19"/>
        </w:rPr>
        <w:t> </w:t>
      </w:r>
      <w:r>
        <w:rPr>
          <w:color w:val="231F20"/>
          <w:w w:val="110"/>
          <w:sz w:val="19"/>
        </w:rPr>
        <w:t>each SBU operates.</w:t>
      </w:r>
    </w:p>
    <w:p>
      <w:pPr>
        <w:pStyle w:val="ListParagraph"/>
        <w:numPr>
          <w:ilvl w:val="1"/>
          <w:numId w:val="43"/>
        </w:numPr>
        <w:tabs>
          <w:tab w:pos="1521" w:val="left" w:leader="none"/>
        </w:tabs>
        <w:spacing w:line="240" w:lineRule="auto" w:before="2" w:after="0"/>
        <w:ind w:left="1520" w:right="0" w:hanging="234"/>
        <w:jc w:val="left"/>
        <w:rPr>
          <w:sz w:val="19"/>
        </w:rPr>
      </w:pPr>
      <w:r>
        <w:rPr>
          <w:color w:val="231F20"/>
          <w:spacing w:val="-2"/>
          <w:w w:val="105"/>
          <w:sz w:val="19"/>
        </w:rPr>
        <w:t>Decide.</w:t>
      </w:r>
    </w:p>
    <w:p>
      <w:pPr>
        <w:pStyle w:val="BodyText"/>
        <w:rPr>
          <w:rFonts w:ascii="Arial"/>
          <w:sz w:val="20"/>
        </w:rPr>
      </w:pPr>
    </w:p>
    <w:p>
      <w:pPr>
        <w:pStyle w:val="BodyText"/>
        <w:spacing w:line="292" w:lineRule="auto" w:before="130"/>
        <w:ind w:left="830" w:right="756" w:firstLine="340"/>
        <w:jc w:val="both"/>
      </w:pPr>
      <w:r>
        <w:rPr>
          <w:color w:val="231F20"/>
          <w:w w:val="105"/>
        </w:rPr>
        <w:t>ADL’s</w:t>
      </w:r>
      <w:r>
        <w:rPr>
          <w:color w:val="231F20"/>
          <w:w w:val="105"/>
        </w:rPr>
        <w:t> matrix</w:t>
      </w:r>
      <w:r>
        <w:rPr>
          <w:color w:val="231F20"/>
          <w:w w:val="105"/>
        </w:rPr>
        <w:t> has</w:t>
      </w:r>
      <w:r>
        <w:rPr>
          <w:color w:val="231F20"/>
          <w:w w:val="105"/>
        </w:rPr>
        <w:t> twenty-four</w:t>
      </w:r>
      <w:r>
        <w:rPr>
          <w:color w:val="231F20"/>
          <w:w w:val="105"/>
        </w:rPr>
        <w:t> quadrants</w:t>
      </w:r>
      <w:r>
        <w:rPr>
          <w:color w:val="231F20"/>
          <w:w w:val="105"/>
        </w:rPr>
        <w:t> compared</w:t>
      </w:r>
      <w:r>
        <w:rPr>
          <w:color w:val="231F20"/>
          <w:w w:val="105"/>
        </w:rPr>
        <w:t> to</w:t>
      </w:r>
      <w:r>
        <w:rPr>
          <w:color w:val="231F20"/>
          <w:w w:val="105"/>
        </w:rPr>
        <w:t> McKin- sey’s</w:t>
      </w:r>
      <w:r>
        <w:rPr>
          <w:color w:val="231F20"/>
          <w:spacing w:val="-7"/>
          <w:w w:val="105"/>
        </w:rPr>
        <w:t> </w:t>
      </w:r>
      <w:r>
        <w:rPr>
          <w:color w:val="231F20"/>
          <w:w w:val="105"/>
        </w:rPr>
        <w:t>nine.</w:t>
      </w:r>
      <w:r>
        <w:rPr>
          <w:color w:val="231F20"/>
          <w:spacing w:val="-7"/>
          <w:w w:val="105"/>
        </w:rPr>
        <w:t> </w:t>
      </w:r>
      <w:r>
        <w:rPr>
          <w:color w:val="231F20"/>
          <w:w w:val="105"/>
        </w:rPr>
        <w:t>The</w:t>
      </w:r>
      <w:r>
        <w:rPr>
          <w:color w:val="231F20"/>
          <w:spacing w:val="-7"/>
          <w:w w:val="105"/>
        </w:rPr>
        <w:t> </w:t>
      </w:r>
      <w:r>
        <w:rPr>
          <w:color w:val="231F20"/>
          <w:w w:val="105"/>
        </w:rPr>
        <w:t>two</w:t>
      </w:r>
      <w:r>
        <w:rPr>
          <w:color w:val="231F20"/>
          <w:spacing w:val="-7"/>
          <w:w w:val="105"/>
        </w:rPr>
        <w:t> </w:t>
      </w:r>
      <w:r>
        <w:rPr>
          <w:color w:val="231F20"/>
          <w:w w:val="105"/>
        </w:rPr>
        <w:t>variables</w:t>
      </w:r>
      <w:r>
        <w:rPr>
          <w:color w:val="231F20"/>
          <w:spacing w:val="-7"/>
          <w:w w:val="105"/>
        </w:rPr>
        <w:t> </w:t>
      </w:r>
      <w:r>
        <w:rPr>
          <w:color w:val="231F20"/>
          <w:w w:val="105"/>
        </w:rPr>
        <w:t>that</w:t>
      </w:r>
      <w:r>
        <w:rPr>
          <w:color w:val="231F20"/>
          <w:spacing w:val="-7"/>
          <w:w w:val="105"/>
        </w:rPr>
        <w:t> </w:t>
      </w:r>
      <w:r>
        <w:rPr>
          <w:color w:val="231F20"/>
          <w:w w:val="105"/>
        </w:rPr>
        <w:t>are</w:t>
      </w:r>
      <w:r>
        <w:rPr>
          <w:color w:val="231F20"/>
          <w:spacing w:val="-7"/>
          <w:w w:val="105"/>
        </w:rPr>
        <w:t> </w:t>
      </w:r>
      <w:r>
        <w:rPr>
          <w:color w:val="231F20"/>
          <w:w w:val="105"/>
        </w:rPr>
        <w:t>operative</w:t>
      </w:r>
      <w:r>
        <w:rPr>
          <w:color w:val="231F20"/>
          <w:spacing w:val="-7"/>
          <w:w w:val="105"/>
        </w:rPr>
        <w:t> </w:t>
      </w:r>
      <w:r>
        <w:rPr>
          <w:color w:val="231F20"/>
          <w:w w:val="105"/>
        </w:rPr>
        <w:t>in</w:t>
      </w:r>
      <w:r>
        <w:rPr>
          <w:color w:val="231F20"/>
          <w:spacing w:val="-7"/>
          <w:w w:val="105"/>
        </w:rPr>
        <w:t> </w:t>
      </w:r>
      <w:r>
        <w:rPr>
          <w:color w:val="231F20"/>
          <w:w w:val="105"/>
        </w:rPr>
        <w:t>ADL’s</w:t>
      </w:r>
      <w:r>
        <w:rPr>
          <w:color w:val="231F20"/>
          <w:spacing w:val="-7"/>
          <w:w w:val="105"/>
        </w:rPr>
        <w:t> </w:t>
      </w:r>
      <w:r>
        <w:rPr>
          <w:color w:val="231F20"/>
          <w:w w:val="105"/>
        </w:rPr>
        <w:t>model</w:t>
      </w:r>
      <w:r>
        <w:rPr>
          <w:color w:val="231F20"/>
          <w:spacing w:val="-7"/>
          <w:w w:val="105"/>
        </w:rPr>
        <w:t> </w:t>
      </w:r>
      <w:r>
        <w:rPr>
          <w:color w:val="231F20"/>
          <w:w w:val="105"/>
        </w:rPr>
        <w:t>are </w:t>
      </w:r>
      <w:r>
        <w:rPr>
          <w:i/>
          <w:color w:val="231F20"/>
          <w:w w:val="105"/>
        </w:rPr>
        <w:t>industry</w:t>
      </w:r>
      <w:r>
        <w:rPr>
          <w:i/>
          <w:color w:val="231F20"/>
          <w:w w:val="105"/>
        </w:rPr>
        <w:t> maturity</w:t>
      </w:r>
      <w:r>
        <w:rPr>
          <w:i/>
          <w:color w:val="231F20"/>
          <w:w w:val="105"/>
        </w:rPr>
        <w:t> level</w:t>
      </w:r>
      <w:r>
        <w:rPr>
          <w:i/>
          <w:color w:val="231F20"/>
          <w:w w:val="105"/>
        </w:rPr>
        <w:t> </w:t>
      </w:r>
      <w:r>
        <w:rPr>
          <w:color w:val="231F20"/>
          <w:w w:val="105"/>
        </w:rPr>
        <w:t>and</w:t>
      </w:r>
      <w:r>
        <w:rPr>
          <w:color w:val="231F20"/>
          <w:w w:val="105"/>
        </w:rPr>
        <w:t> </w:t>
      </w:r>
      <w:r>
        <w:rPr>
          <w:i/>
          <w:color w:val="231F20"/>
          <w:w w:val="105"/>
        </w:rPr>
        <w:t>competitive</w:t>
      </w:r>
      <w:r>
        <w:rPr>
          <w:i/>
          <w:color w:val="231F20"/>
          <w:w w:val="105"/>
        </w:rPr>
        <w:t> position.</w:t>
      </w:r>
      <w:r>
        <w:rPr>
          <w:i/>
          <w:color w:val="231F20"/>
          <w:w w:val="105"/>
        </w:rPr>
        <w:t> </w:t>
      </w:r>
      <w:r>
        <w:rPr>
          <w:color w:val="231F20"/>
          <w:w w:val="105"/>
        </w:rPr>
        <w:t>Needless</w:t>
      </w:r>
      <w:r>
        <w:rPr>
          <w:color w:val="231F20"/>
          <w:w w:val="105"/>
        </w:rPr>
        <w:t> to</w:t>
      </w:r>
      <w:r>
        <w:rPr>
          <w:color w:val="231F20"/>
          <w:w w:val="105"/>
        </w:rPr>
        <w:t> say, these are similar to McKinsey’s and BCG’s. However, ADL vocabu- </w:t>
      </w:r>
      <w:r>
        <w:rPr>
          <w:color w:val="231F20"/>
        </w:rPr>
        <w:t>lary derives its inspiration from traffic signals rather than the animal world. SBUs either with high market share or in an attractive market </w:t>
      </w:r>
      <w:r>
        <w:rPr>
          <w:color w:val="231F20"/>
          <w:w w:val="105"/>
        </w:rPr>
        <w:t>are</w:t>
      </w:r>
      <w:r>
        <w:rPr>
          <w:color w:val="231F20"/>
          <w:w w:val="105"/>
        </w:rPr>
        <w:t> classified</w:t>
      </w:r>
      <w:r>
        <w:rPr>
          <w:color w:val="231F20"/>
          <w:w w:val="105"/>
        </w:rPr>
        <w:t> as</w:t>
      </w:r>
      <w:r>
        <w:rPr>
          <w:color w:val="231F20"/>
          <w:w w:val="105"/>
        </w:rPr>
        <w:t> </w:t>
      </w:r>
      <w:r>
        <w:rPr>
          <w:i/>
          <w:color w:val="231F20"/>
          <w:w w:val="105"/>
        </w:rPr>
        <w:t>green.</w:t>
      </w:r>
      <w:r>
        <w:rPr>
          <w:i/>
          <w:color w:val="231F20"/>
          <w:w w:val="105"/>
        </w:rPr>
        <w:t> </w:t>
      </w:r>
      <w:r>
        <w:rPr>
          <w:color w:val="231F20"/>
          <w:w w:val="105"/>
        </w:rPr>
        <w:t>Those</w:t>
      </w:r>
      <w:r>
        <w:rPr>
          <w:color w:val="231F20"/>
          <w:w w:val="105"/>
        </w:rPr>
        <w:t> caught</w:t>
      </w:r>
      <w:r>
        <w:rPr>
          <w:color w:val="231F20"/>
          <w:w w:val="105"/>
        </w:rPr>
        <w:t> in</w:t>
      </w:r>
      <w:r>
        <w:rPr>
          <w:color w:val="231F20"/>
          <w:w w:val="105"/>
        </w:rPr>
        <w:t> the</w:t>
      </w:r>
      <w:r>
        <w:rPr>
          <w:color w:val="231F20"/>
          <w:w w:val="105"/>
        </w:rPr>
        <w:t> middle</w:t>
      </w:r>
      <w:r>
        <w:rPr>
          <w:color w:val="231F20"/>
          <w:w w:val="105"/>
        </w:rPr>
        <w:t> are</w:t>
      </w:r>
      <w:r>
        <w:rPr>
          <w:color w:val="231F20"/>
          <w:w w:val="105"/>
        </w:rPr>
        <w:t> </w:t>
      </w:r>
      <w:r>
        <w:rPr>
          <w:i/>
          <w:color w:val="231F20"/>
          <w:w w:val="105"/>
        </w:rPr>
        <w:t>yellow.</w:t>
      </w:r>
      <w:r>
        <w:rPr>
          <w:i/>
          <w:color w:val="231F20"/>
          <w:w w:val="105"/>
        </w:rPr>
        <w:t> </w:t>
      </w:r>
      <w:r>
        <w:rPr>
          <w:color w:val="231F20"/>
          <w:w w:val="105"/>
        </w:rPr>
        <w:t>And </w:t>
      </w:r>
      <w:r>
        <w:rPr>
          <w:color w:val="231F20"/>
        </w:rPr>
        <w:t>the poor prospects with low market shares or in mature markets are </w:t>
      </w:r>
      <w:r>
        <w:rPr>
          <w:color w:val="231F20"/>
          <w:w w:val="105"/>
        </w:rPr>
        <w:t>branded </w:t>
      </w:r>
      <w:r>
        <w:rPr>
          <w:i/>
          <w:color w:val="231F20"/>
          <w:w w:val="105"/>
        </w:rPr>
        <w:t>red, </w:t>
      </w:r>
      <w:r>
        <w:rPr>
          <w:color w:val="231F20"/>
          <w:w w:val="105"/>
        </w:rPr>
        <w:t>as shown:</w:t>
      </w:r>
    </w:p>
    <w:p>
      <w:pPr>
        <w:pStyle w:val="BodyText"/>
        <w:spacing w:line="292" w:lineRule="auto"/>
        <w:ind w:left="830" w:right="756" w:firstLine="340"/>
        <w:jc w:val="both"/>
        <w:rPr>
          <w:i/>
        </w:rPr>
      </w:pPr>
      <w:r>
        <w:rPr>
          <w:color w:val="231F20"/>
        </w:rPr>
        <w:t>Based on their traffic light classification, the consultants </w:t>
      </w:r>
      <w:r>
        <w:rPr>
          <w:color w:val="231F20"/>
        </w:rPr>
        <w:t>devise appropriate</w:t>
      </w:r>
      <w:r>
        <w:rPr>
          <w:color w:val="231F20"/>
          <w:spacing w:val="10"/>
        </w:rPr>
        <w:t> </w:t>
      </w:r>
      <w:r>
        <w:rPr>
          <w:color w:val="231F20"/>
        </w:rPr>
        <w:t>strategies</w:t>
      </w:r>
      <w:r>
        <w:rPr>
          <w:color w:val="231F20"/>
          <w:spacing w:val="11"/>
        </w:rPr>
        <w:t> </w:t>
      </w:r>
      <w:r>
        <w:rPr>
          <w:color w:val="231F20"/>
        </w:rPr>
        <w:t>for</w:t>
      </w:r>
      <w:r>
        <w:rPr>
          <w:color w:val="231F20"/>
          <w:spacing w:val="10"/>
        </w:rPr>
        <w:t> </w:t>
      </w:r>
      <w:r>
        <w:rPr>
          <w:color w:val="231F20"/>
        </w:rPr>
        <w:t>each</w:t>
      </w:r>
      <w:r>
        <w:rPr>
          <w:color w:val="231F20"/>
          <w:spacing w:val="11"/>
        </w:rPr>
        <w:t> </w:t>
      </w:r>
      <w:r>
        <w:rPr>
          <w:color w:val="231F20"/>
        </w:rPr>
        <w:t>SBU</w:t>
      </w:r>
      <w:r>
        <w:rPr>
          <w:color w:val="231F20"/>
          <w:spacing w:val="11"/>
        </w:rPr>
        <w:t> </w:t>
      </w:r>
      <w:r>
        <w:rPr>
          <w:color w:val="231F20"/>
        </w:rPr>
        <w:t>owned:</w:t>
      </w:r>
      <w:r>
        <w:rPr>
          <w:color w:val="231F20"/>
          <w:spacing w:val="9"/>
        </w:rPr>
        <w:t> </w:t>
      </w:r>
      <w:r>
        <w:rPr>
          <w:i/>
          <w:color w:val="231F20"/>
        </w:rPr>
        <w:t>build,</w:t>
      </w:r>
      <w:r>
        <w:rPr>
          <w:i/>
          <w:color w:val="231F20"/>
          <w:spacing w:val="11"/>
        </w:rPr>
        <w:t> </w:t>
      </w:r>
      <w:r>
        <w:rPr>
          <w:i/>
          <w:color w:val="231F20"/>
        </w:rPr>
        <w:t>maintain,</w:t>
      </w:r>
      <w:r>
        <w:rPr>
          <w:i/>
          <w:color w:val="231F20"/>
          <w:spacing w:val="9"/>
        </w:rPr>
        <w:t> </w:t>
      </w:r>
      <w:r>
        <w:rPr>
          <w:color w:val="231F20"/>
        </w:rPr>
        <w:t>or</w:t>
      </w:r>
      <w:r>
        <w:rPr>
          <w:color w:val="231F20"/>
          <w:spacing w:val="11"/>
        </w:rPr>
        <w:t> </w:t>
      </w:r>
      <w:r>
        <w:rPr>
          <w:i/>
          <w:color w:val="231F20"/>
          <w:spacing w:val="-2"/>
        </w:rPr>
        <w:t>liqui-</w:t>
      </w:r>
    </w:p>
    <w:p>
      <w:pPr>
        <w:pStyle w:val="BodyText"/>
        <w:rPr>
          <w:i/>
          <w:sz w:val="24"/>
        </w:rPr>
      </w:pPr>
    </w:p>
    <w:p>
      <w:pPr>
        <w:pStyle w:val="BodyText"/>
        <w:rPr>
          <w:i/>
          <w:sz w:val="24"/>
        </w:rPr>
      </w:pPr>
    </w:p>
    <w:p>
      <w:pPr>
        <w:spacing w:before="141"/>
        <w:ind w:left="293" w:right="219" w:firstLine="0"/>
        <w:jc w:val="center"/>
        <w:rPr>
          <w:rFonts w:ascii="Arial"/>
          <w:sz w:val="14"/>
        </w:rPr>
      </w:pPr>
      <w:r>
        <w:rPr>
          <w:rFonts w:ascii="Arial"/>
          <w:color w:val="231F20"/>
          <w:w w:val="105"/>
          <w:sz w:val="14"/>
        </w:rPr>
        <w:t>THE</w:t>
      </w:r>
      <w:r>
        <w:rPr>
          <w:rFonts w:ascii="Arial"/>
          <w:color w:val="231F20"/>
          <w:spacing w:val="18"/>
          <w:w w:val="105"/>
          <w:sz w:val="14"/>
        </w:rPr>
        <w:t> </w:t>
      </w:r>
      <w:r>
        <w:rPr>
          <w:rFonts w:ascii="Arial"/>
          <w:color w:val="231F20"/>
          <w:w w:val="105"/>
          <w:sz w:val="14"/>
        </w:rPr>
        <w:t>ADL</w:t>
      </w:r>
      <w:r>
        <w:rPr>
          <w:rFonts w:ascii="Arial"/>
          <w:color w:val="231F20"/>
          <w:spacing w:val="18"/>
          <w:w w:val="105"/>
          <w:sz w:val="14"/>
        </w:rPr>
        <w:t> </w:t>
      </w:r>
      <w:r>
        <w:rPr>
          <w:rFonts w:ascii="Arial"/>
          <w:color w:val="231F20"/>
          <w:w w:val="105"/>
          <w:sz w:val="14"/>
        </w:rPr>
        <w:t>STRATEGIC</w:t>
      </w:r>
      <w:r>
        <w:rPr>
          <w:rFonts w:ascii="Arial"/>
          <w:color w:val="231F20"/>
          <w:spacing w:val="18"/>
          <w:w w:val="105"/>
          <w:sz w:val="14"/>
        </w:rPr>
        <w:t> </w:t>
      </w:r>
      <w:r>
        <w:rPr>
          <w:rFonts w:ascii="Arial"/>
          <w:color w:val="231F20"/>
          <w:w w:val="105"/>
          <w:sz w:val="14"/>
        </w:rPr>
        <w:t>BUSINESS</w:t>
      </w:r>
      <w:r>
        <w:rPr>
          <w:rFonts w:ascii="Arial"/>
          <w:color w:val="231F20"/>
          <w:spacing w:val="19"/>
          <w:w w:val="105"/>
          <w:sz w:val="14"/>
        </w:rPr>
        <w:t> </w:t>
      </w:r>
      <w:r>
        <w:rPr>
          <w:rFonts w:ascii="Arial"/>
          <w:color w:val="231F20"/>
          <w:w w:val="105"/>
          <w:sz w:val="14"/>
        </w:rPr>
        <w:t>UNIT</w:t>
      </w:r>
      <w:r>
        <w:rPr>
          <w:rFonts w:ascii="Arial"/>
          <w:color w:val="231F20"/>
          <w:spacing w:val="18"/>
          <w:w w:val="105"/>
          <w:sz w:val="14"/>
        </w:rPr>
        <w:t> </w:t>
      </w:r>
      <w:r>
        <w:rPr>
          <w:rFonts w:ascii="Arial"/>
          <w:color w:val="231F20"/>
          <w:spacing w:val="-2"/>
          <w:w w:val="105"/>
          <w:sz w:val="14"/>
        </w:rPr>
        <w:t>MODEL</w:t>
      </w:r>
    </w:p>
    <w:p>
      <w:pPr>
        <w:pStyle w:val="BodyText"/>
        <w:spacing w:before="6"/>
        <w:rPr>
          <w:rFonts w:ascii="Arial"/>
          <w:sz w:val="15"/>
        </w:rPr>
      </w:pPr>
      <w:r>
        <w:rPr/>
        <w:drawing>
          <wp:anchor distT="0" distB="0" distL="0" distR="0" allowOverlap="1" layoutInCell="1" locked="0" behindDoc="0" simplePos="0" relativeHeight="412">
            <wp:simplePos x="0" y="0"/>
            <wp:positionH relativeFrom="page">
              <wp:posOffset>733806</wp:posOffset>
            </wp:positionH>
            <wp:positionV relativeFrom="paragraph">
              <wp:posOffset>128907</wp:posOffset>
            </wp:positionV>
            <wp:extent cx="3911880" cy="2280285"/>
            <wp:effectExtent l="0" t="0" r="0" b="0"/>
            <wp:wrapTopAndBottom/>
            <wp:docPr id="153" name="image87.png"/>
            <wp:cNvGraphicFramePr>
              <a:graphicFrameLocks noChangeAspect="1"/>
            </wp:cNvGraphicFramePr>
            <a:graphic>
              <a:graphicData uri="http://schemas.openxmlformats.org/drawingml/2006/picture">
                <pic:pic>
                  <pic:nvPicPr>
                    <pic:cNvPr id="154" name="image87.png"/>
                    <pic:cNvPicPr/>
                  </pic:nvPicPr>
                  <pic:blipFill>
                    <a:blip r:embed="rId128" cstate="print"/>
                    <a:stretch>
                      <a:fillRect/>
                    </a:stretch>
                  </pic:blipFill>
                  <pic:spPr>
                    <a:xfrm>
                      <a:off x="0" y="0"/>
                      <a:ext cx="3911880" cy="2280285"/>
                    </a:xfrm>
                    <a:prstGeom prst="rect">
                      <a:avLst/>
                    </a:prstGeom>
                  </pic:spPr>
                </pic:pic>
              </a:graphicData>
            </a:graphic>
          </wp:anchor>
        </w:drawing>
      </w:r>
    </w:p>
    <w:p>
      <w:pPr>
        <w:spacing w:after="0"/>
        <w:rPr>
          <w:rFonts w:ascii="Arial"/>
          <w:sz w:val="15"/>
        </w:rPr>
        <w:sectPr>
          <w:pgSz w:w="8640" w:h="12960"/>
          <w:pgMar w:header="732" w:footer="0" w:top="920" w:bottom="280" w:left="340" w:right="500"/>
        </w:sectPr>
      </w:pPr>
    </w:p>
    <w:p>
      <w:pPr>
        <w:pStyle w:val="BodyText"/>
        <w:rPr>
          <w:rFonts w:ascii="Arial"/>
          <w:sz w:val="18"/>
        </w:rPr>
      </w:pPr>
    </w:p>
    <w:p>
      <w:pPr>
        <w:pStyle w:val="BodyText"/>
        <w:spacing w:line="292" w:lineRule="auto" w:before="102"/>
        <w:ind w:left="920" w:right="663"/>
        <w:jc w:val="both"/>
      </w:pPr>
      <w:r>
        <w:rPr>
          <w:i/>
          <w:color w:val="231F20"/>
        </w:rPr>
        <w:t>date. </w:t>
      </w:r>
      <w:r>
        <w:rPr>
          <w:color w:val="231F20"/>
        </w:rPr>
        <w:t>For green SBUs there are many different strategies available. For the red ones, the options available are constrained by the </w:t>
      </w:r>
      <w:r>
        <w:rPr>
          <w:color w:val="231F20"/>
        </w:rPr>
        <w:t>poor “conditions” in which they find themselves. Once the SBU is</w:t>
      </w:r>
      <w:r>
        <w:rPr>
          <w:color w:val="231F20"/>
          <w:spacing w:val="40"/>
        </w:rPr>
        <w:t> </w:t>
      </w:r>
      <w:r>
        <w:rPr>
          <w:color w:val="231F20"/>
        </w:rPr>
        <w:t>classified, the consultants turn to their palette of generic strategies such as </w:t>
      </w:r>
      <w:r>
        <w:rPr>
          <w:i/>
          <w:color w:val="231F20"/>
        </w:rPr>
        <w:t>focus, penetration, </w:t>
      </w:r>
      <w:r>
        <w:rPr>
          <w:color w:val="231F20"/>
        </w:rPr>
        <w:t>or </w:t>
      </w:r>
      <w:r>
        <w:rPr>
          <w:i/>
          <w:color w:val="231F20"/>
        </w:rPr>
        <w:t>diversification </w:t>
      </w:r>
      <w:r>
        <w:rPr>
          <w:color w:val="231F20"/>
        </w:rPr>
        <w:t>to construct appropri-</w:t>
      </w:r>
      <w:r>
        <w:rPr>
          <w:color w:val="231F20"/>
          <w:spacing w:val="80"/>
        </w:rPr>
        <w:t> </w:t>
      </w:r>
      <w:r>
        <w:rPr>
          <w:color w:val="231F20"/>
        </w:rPr>
        <w:t>ate tactical plans.</w:t>
      </w:r>
    </w:p>
    <w:p>
      <w:pPr>
        <w:pStyle w:val="BodyText"/>
        <w:rPr>
          <w:sz w:val="24"/>
        </w:rPr>
      </w:pPr>
    </w:p>
    <w:p>
      <w:pPr>
        <w:pStyle w:val="BodyText"/>
        <w:spacing w:before="9"/>
        <w:rPr>
          <w:sz w:val="24"/>
        </w:rPr>
      </w:pPr>
    </w:p>
    <w:p>
      <w:pPr>
        <w:pStyle w:val="Heading4"/>
      </w:pPr>
      <w:r>
        <w:rPr>
          <w:color w:val="231F20"/>
          <w:w w:val="85"/>
        </w:rPr>
        <w:t>OTHER</w:t>
      </w:r>
      <w:r>
        <w:rPr>
          <w:color w:val="231F20"/>
          <w:spacing w:val="46"/>
        </w:rPr>
        <w:t> </w:t>
      </w:r>
      <w:r>
        <w:rPr>
          <w:color w:val="231F20"/>
          <w:w w:val="85"/>
        </w:rPr>
        <w:t>STRATEGIC</w:t>
      </w:r>
      <w:r>
        <w:rPr>
          <w:color w:val="231F20"/>
          <w:spacing w:val="47"/>
        </w:rPr>
        <w:t> </w:t>
      </w:r>
      <w:r>
        <w:rPr>
          <w:color w:val="231F20"/>
          <w:w w:val="85"/>
        </w:rPr>
        <w:t>CONSULTING</w:t>
      </w:r>
      <w:r>
        <w:rPr>
          <w:color w:val="231F20"/>
          <w:spacing w:val="47"/>
        </w:rPr>
        <w:t> </w:t>
      </w:r>
      <w:r>
        <w:rPr>
          <w:color w:val="231F20"/>
          <w:w w:val="85"/>
        </w:rPr>
        <w:t>FADS</w:t>
      </w:r>
      <w:r>
        <w:rPr>
          <w:color w:val="231F20"/>
          <w:spacing w:val="46"/>
        </w:rPr>
        <w:t> </w:t>
      </w:r>
      <w:r>
        <w:rPr>
          <w:color w:val="231F20"/>
          <w:w w:val="85"/>
        </w:rPr>
        <w:t>TO</w:t>
      </w:r>
      <w:r>
        <w:rPr>
          <w:color w:val="231F20"/>
          <w:spacing w:val="47"/>
        </w:rPr>
        <w:t> </w:t>
      </w:r>
      <w:r>
        <w:rPr>
          <w:color w:val="231F20"/>
          <w:w w:val="85"/>
        </w:rPr>
        <w:t>KNOW</w:t>
      </w:r>
      <w:r>
        <w:rPr>
          <w:color w:val="231F20"/>
          <w:spacing w:val="47"/>
        </w:rPr>
        <w:t> </w:t>
      </w:r>
      <w:r>
        <w:rPr>
          <w:color w:val="231F20"/>
          <w:spacing w:val="9"/>
          <w:w w:val="85"/>
        </w:rPr>
        <w:t>ABOUT</w:t>
      </w:r>
    </w:p>
    <w:p>
      <w:pPr>
        <w:pStyle w:val="BodyText"/>
        <w:spacing w:before="10"/>
        <w:rPr>
          <w:rFonts w:ascii="Trebuchet MS"/>
          <w:sz w:val="29"/>
        </w:rPr>
      </w:pPr>
    </w:p>
    <w:p>
      <w:pPr>
        <w:pStyle w:val="BodyText"/>
        <w:spacing w:line="292" w:lineRule="auto" w:before="1"/>
        <w:ind w:left="920" w:right="664"/>
        <w:jc w:val="both"/>
      </w:pPr>
      <w:r>
        <w:rPr>
          <w:color w:val="231F20"/>
        </w:rPr>
        <w:t>In any strategic marketing analysis, as mentioned in the marketing chapter, you should evaluate your own company’s </w:t>
      </w:r>
      <w:r>
        <w:rPr>
          <w:i/>
          <w:color w:val="231F20"/>
        </w:rPr>
        <w:t>core competen-</w:t>
      </w:r>
      <w:r>
        <w:rPr>
          <w:i/>
          <w:color w:val="231F20"/>
          <w:spacing w:val="40"/>
        </w:rPr>
        <w:t> </w:t>
      </w:r>
      <w:r>
        <w:rPr>
          <w:i/>
          <w:color w:val="231F20"/>
        </w:rPr>
        <w:t>cies </w:t>
      </w:r>
      <w:r>
        <w:rPr>
          <w:color w:val="231F20"/>
        </w:rPr>
        <w:t>in the context of evaluating your competition. Beginning in</w:t>
      </w:r>
      <w:r>
        <w:rPr>
          <w:color w:val="231F20"/>
          <w:spacing w:val="80"/>
          <w:w w:val="150"/>
        </w:rPr>
        <w:t> </w:t>
      </w:r>
      <w:r>
        <w:rPr>
          <w:color w:val="231F20"/>
        </w:rPr>
        <w:t>1990, consulting firms made an entire assignment out of investigat- ing what your company does well. For example, at Frito-Lay, the distribution system is key.</w:t>
      </w:r>
    </w:p>
    <w:p>
      <w:pPr>
        <w:pStyle w:val="BodyText"/>
        <w:spacing w:line="292" w:lineRule="auto"/>
        <w:ind w:left="919" w:right="663" w:firstLine="340"/>
        <w:jc w:val="both"/>
      </w:pPr>
      <w:r>
        <w:rPr>
          <w:color w:val="231F20"/>
        </w:rPr>
        <w:t>Another popular assignment in 1990 was to focus on </w:t>
      </w:r>
      <w:r>
        <w:rPr>
          <w:i/>
          <w:color w:val="231F20"/>
        </w:rPr>
        <w:t>customer</w:t>
      </w:r>
      <w:r>
        <w:rPr>
          <w:i/>
          <w:color w:val="231F20"/>
        </w:rPr>
        <w:t> retention. </w:t>
      </w:r>
      <w:r>
        <w:rPr>
          <w:color w:val="231F20"/>
        </w:rPr>
        <w:t>Bain </w:t>
      </w:r>
      <w:r>
        <w:rPr>
          <w:color w:val="231F20"/>
          <w:w w:val="110"/>
        </w:rPr>
        <w:t>&amp; </w:t>
      </w:r>
      <w:r>
        <w:rPr>
          <w:color w:val="231F20"/>
        </w:rPr>
        <w:t>Co., the theory’s leading exponent, created an en- tire practice out of it. The goal of such an assignment is to figure out how to create loyal customers and retain them. To accomplish that, companies and consultants perform extensive consumer research to understand customer buying habits and satisfaction. Consultants examine the customer base to discover who the best customers are</w:t>
      </w:r>
      <w:r>
        <w:rPr>
          <w:color w:val="231F20"/>
          <w:spacing w:val="40"/>
        </w:rPr>
        <w:t> </w:t>
      </w:r>
      <w:r>
        <w:rPr>
          <w:color w:val="231F20"/>
        </w:rPr>
        <w:t>so</w:t>
      </w:r>
      <w:r>
        <w:rPr>
          <w:color w:val="231F20"/>
          <w:spacing w:val="40"/>
        </w:rPr>
        <w:t> </w:t>
      </w:r>
      <w:r>
        <w:rPr>
          <w:color w:val="231F20"/>
        </w:rPr>
        <w:t>that</w:t>
      </w:r>
      <w:r>
        <w:rPr>
          <w:color w:val="231F20"/>
          <w:spacing w:val="40"/>
        </w:rPr>
        <w:t> </w:t>
      </w:r>
      <w:r>
        <w:rPr>
          <w:color w:val="231F20"/>
        </w:rPr>
        <w:t>they</w:t>
      </w:r>
      <w:r>
        <w:rPr>
          <w:color w:val="231F20"/>
          <w:spacing w:val="40"/>
        </w:rPr>
        <w:t> </w:t>
      </w:r>
      <w:r>
        <w:rPr>
          <w:color w:val="231F20"/>
        </w:rPr>
        <w:t>can</w:t>
      </w:r>
      <w:r>
        <w:rPr>
          <w:color w:val="231F20"/>
          <w:spacing w:val="40"/>
        </w:rPr>
        <w:t> </w:t>
      </w:r>
      <w:r>
        <w:rPr>
          <w:color w:val="231F20"/>
        </w:rPr>
        <w:t>be</w:t>
      </w:r>
      <w:r>
        <w:rPr>
          <w:color w:val="231F20"/>
          <w:spacing w:val="40"/>
        </w:rPr>
        <w:t> </w:t>
      </w:r>
      <w:r>
        <w:rPr>
          <w:color w:val="231F20"/>
        </w:rPr>
        <w:t>singled</w:t>
      </w:r>
      <w:r>
        <w:rPr>
          <w:color w:val="231F20"/>
          <w:spacing w:val="40"/>
        </w:rPr>
        <w:t> </w:t>
      </w:r>
      <w:r>
        <w:rPr>
          <w:color w:val="231F20"/>
        </w:rPr>
        <w:t>out</w:t>
      </w:r>
      <w:r>
        <w:rPr>
          <w:color w:val="231F20"/>
          <w:spacing w:val="40"/>
        </w:rPr>
        <w:t> </w:t>
      </w:r>
      <w:r>
        <w:rPr>
          <w:color w:val="231F20"/>
        </w:rPr>
        <w:t>for</w:t>
      </w:r>
      <w:r>
        <w:rPr>
          <w:color w:val="231F20"/>
          <w:spacing w:val="40"/>
        </w:rPr>
        <w:t> </w:t>
      </w:r>
      <w:r>
        <w:rPr>
          <w:color w:val="231F20"/>
        </w:rPr>
        <w:t>special</w:t>
      </w:r>
      <w:r>
        <w:rPr>
          <w:color w:val="231F20"/>
          <w:spacing w:val="40"/>
        </w:rPr>
        <w:t> </w:t>
      </w:r>
      <w:r>
        <w:rPr>
          <w:color w:val="231F20"/>
        </w:rPr>
        <w:t>treatment.</w:t>
      </w:r>
      <w:r>
        <w:rPr>
          <w:color w:val="231F20"/>
          <w:spacing w:val="40"/>
        </w:rPr>
        <w:t> </w:t>
      </w:r>
      <w:r>
        <w:rPr>
          <w:color w:val="231F20"/>
        </w:rPr>
        <w:t>Often</w:t>
      </w:r>
      <w:r>
        <w:rPr>
          <w:color w:val="231F20"/>
          <w:spacing w:val="40"/>
        </w:rPr>
        <w:t> </w:t>
      </w:r>
      <w:r>
        <w:rPr>
          <w:color w:val="231F20"/>
        </w:rPr>
        <w:t>the “best” customers generating the most sales are not the same as those generating the most profits. In addition, systems are set up to gather and store customer data so that marketers can easily and effectively contact the customer. It is more effective to retain good customers than to constantly churn new ones.</w:t>
      </w:r>
    </w:p>
    <w:p>
      <w:pPr>
        <w:pStyle w:val="BodyText"/>
        <w:spacing w:line="292" w:lineRule="auto"/>
        <w:ind w:left="919" w:right="666" w:firstLine="340"/>
        <w:jc w:val="both"/>
      </w:pPr>
      <w:r>
        <w:rPr>
          <w:color w:val="231F20"/>
          <w:w w:val="105"/>
        </w:rPr>
        <w:t>In</w:t>
      </w:r>
      <w:r>
        <w:rPr>
          <w:color w:val="231F20"/>
          <w:w w:val="105"/>
        </w:rPr>
        <w:t> 1993,</w:t>
      </w:r>
      <w:r>
        <w:rPr>
          <w:color w:val="231F20"/>
          <w:w w:val="105"/>
        </w:rPr>
        <w:t> James</w:t>
      </w:r>
      <w:r>
        <w:rPr>
          <w:color w:val="231F20"/>
          <w:w w:val="105"/>
        </w:rPr>
        <w:t> Champy</w:t>
      </w:r>
      <w:r>
        <w:rPr>
          <w:color w:val="231F20"/>
          <w:w w:val="105"/>
        </w:rPr>
        <w:t> and</w:t>
      </w:r>
      <w:r>
        <w:rPr>
          <w:color w:val="231F20"/>
          <w:w w:val="105"/>
        </w:rPr>
        <w:t> Michael</w:t>
      </w:r>
      <w:r>
        <w:rPr>
          <w:color w:val="231F20"/>
          <w:w w:val="105"/>
        </w:rPr>
        <w:t> Hammer’s</w:t>
      </w:r>
      <w:r>
        <w:rPr>
          <w:color w:val="231F20"/>
          <w:w w:val="105"/>
        </w:rPr>
        <w:t> book</w:t>
      </w:r>
      <w:r>
        <w:rPr>
          <w:color w:val="231F20"/>
          <w:w w:val="105"/>
        </w:rPr>
        <w:t> </w:t>
      </w:r>
      <w:r>
        <w:rPr>
          <w:i/>
          <w:color w:val="231F20"/>
          <w:w w:val="105"/>
        </w:rPr>
        <w:t>Reengi-</w:t>
      </w:r>
      <w:r>
        <w:rPr>
          <w:i/>
          <w:color w:val="231F20"/>
          <w:w w:val="105"/>
        </w:rPr>
        <w:t> neering</w:t>
      </w:r>
      <w:r>
        <w:rPr>
          <w:i/>
          <w:color w:val="231F20"/>
          <w:w w:val="105"/>
        </w:rPr>
        <w:t> the</w:t>
      </w:r>
      <w:r>
        <w:rPr>
          <w:i/>
          <w:color w:val="231F20"/>
          <w:w w:val="105"/>
        </w:rPr>
        <w:t> Corporation</w:t>
      </w:r>
      <w:r>
        <w:rPr>
          <w:i/>
          <w:color w:val="231F20"/>
          <w:w w:val="105"/>
        </w:rPr>
        <w:t> </w:t>
      </w:r>
      <w:r>
        <w:rPr>
          <w:color w:val="231F20"/>
          <w:w w:val="105"/>
        </w:rPr>
        <w:t>set</w:t>
      </w:r>
      <w:r>
        <w:rPr>
          <w:color w:val="231F20"/>
          <w:w w:val="105"/>
        </w:rPr>
        <w:t> a</w:t>
      </w:r>
      <w:r>
        <w:rPr>
          <w:color w:val="231F20"/>
          <w:w w:val="105"/>
        </w:rPr>
        <w:t> new</w:t>
      </w:r>
      <w:r>
        <w:rPr>
          <w:color w:val="231F20"/>
          <w:w w:val="105"/>
        </w:rPr>
        <w:t> consulting</w:t>
      </w:r>
      <w:r>
        <w:rPr>
          <w:color w:val="231F20"/>
          <w:w w:val="105"/>
        </w:rPr>
        <w:t> fad</w:t>
      </w:r>
      <w:r>
        <w:rPr>
          <w:color w:val="231F20"/>
          <w:w w:val="105"/>
        </w:rPr>
        <w:t> in</w:t>
      </w:r>
      <w:r>
        <w:rPr>
          <w:color w:val="231F20"/>
          <w:w w:val="105"/>
        </w:rPr>
        <w:t> motion.</w:t>
      </w:r>
      <w:r>
        <w:rPr>
          <w:color w:val="231F20"/>
          <w:w w:val="105"/>
        </w:rPr>
        <w:t> Their </w:t>
      </w:r>
      <w:r>
        <w:rPr>
          <w:color w:val="231F20"/>
          <w:spacing w:val="-2"/>
          <w:w w:val="105"/>
        </w:rPr>
        <w:t>“reengineering” consultancy CSC-Index drafted on their book’s </w:t>
      </w:r>
      <w:r>
        <w:rPr>
          <w:color w:val="231F20"/>
          <w:spacing w:val="-2"/>
          <w:w w:val="105"/>
        </w:rPr>
        <w:t>suc- </w:t>
      </w:r>
      <w:r>
        <w:rPr>
          <w:color w:val="231F20"/>
          <w:w w:val="105"/>
        </w:rPr>
        <w:t>cess</w:t>
      </w:r>
      <w:r>
        <w:rPr>
          <w:color w:val="231F20"/>
          <w:spacing w:val="-13"/>
          <w:w w:val="105"/>
        </w:rPr>
        <w:t> </w:t>
      </w:r>
      <w:r>
        <w:rPr>
          <w:color w:val="231F20"/>
          <w:w w:val="105"/>
        </w:rPr>
        <w:t>and</w:t>
      </w:r>
      <w:r>
        <w:rPr>
          <w:color w:val="231F20"/>
          <w:spacing w:val="-12"/>
          <w:w w:val="105"/>
        </w:rPr>
        <w:t> </w:t>
      </w:r>
      <w:r>
        <w:rPr>
          <w:color w:val="231F20"/>
          <w:w w:val="105"/>
        </w:rPr>
        <w:t>provided</w:t>
      </w:r>
      <w:r>
        <w:rPr>
          <w:color w:val="231F20"/>
          <w:spacing w:val="-12"/>
          <w:w w:val="105"/>
        </w:rPr>
        <w:t> </w:t>
      </w:r>
      <w:r>
        <w:rPr>
          <w:color w:val="231F20"/>
          <w:w w:val="105"/>
        </w:rPr>
        <w:t>expert</w:t>
      </w:r>
      <w:r>
        <w:rPr>
          <w:color w:val="231F20"/>
          <w:spacing w:val="-12"/>
          <w:w w:val="105"/>
        </w:rPr>
        <w:t> </w:t>
      </w:r>
      <w:r>
        <w:rPr>
          <w:color w:val="231F20"/>
          <w:w w:val="105"/>
        </w:rPr>
        <w:t>advice</w:t>
      </w:r>
      <w:r>
        <w:rPr>
          <w:color w:val="231F20"/>
          <w:spacing w:val="-12"/>
          <w:w w:val="105"/>
        </w:rPr>
        <w:t> </w:t>
      </w:r>
      <w:r>
        <w:rPr>
          <w:color w:val="231F20"/>
          <w:w w:val="105"/>
        </w:rPr>
        <w:t>on</w:t>
      </w:r>
      <w:r>
        <w:rPr>
          <w:color w:val="231F20"/>
          <w:spacing w:val="-12"/>
          <w:w w:val="105"/>
        </w:rPr>
        <w:t> </w:t>
      </w:r>
      <w:r>
        <w:rPr>
          <w:color w:val="231F20"/>
          <w:w w:val="105"/>
        </w:rPr>
        <w:t>how</w:t>
      </w:r>
      <w:r>
        <w:rPr>
          <w:color w:val="231F20"/>
          <w:spacing w:val="-12"/>
          <w:w w:val="105"/>
        </w:rPr>
        <w:t> </w:t>
      </w:r>
      <w:r>
        <w:rPr>
          <w:color w:val="231F20"/>
          <w:w w:val="105"/>
        </w:rPr>
        <w:t>to</w:t>
      </w:r>
      <w:r>
        <w:rPr>
          <w:color w:val="231F20"/>
          <w:spacing w:val="-13"/>
          <w:w w:val="105"/>
        </w:rPr>
        <w:t> </w:t>
      </w:r>
      <w:r>
        <w:rPr>
          <w:color w:val="231F20"/>
          <w:w w:val="105"/>
        </w:rPr>
        <w:t>rethink</w:t>
      </w:r>
      <w:r>
        <w:rPr>
          <w:color w:val="231F20"/>
          <w:spacing w:val="-12"/>
          <w:w w:val="105"/>
        </w:rPr>
        <w:t> </w:t>
      </w:r>
      <w:r>
        <w:rPr>
          <w:color w:val="231F20"/>
          <w:w w:val="105"/>
        </w:rPr>
        <w:t>everything</w:t>
      </w:r>
      <w:r>
        <w:rPr>
          <w:color w:val="231F20"/>
          <w:spacing w:val="-12"/>
          <w:w w:val="105"/>
        </w:rPr>
        <w:t> </w:t>
      </w:r>
      <w:r>
        <w:rPr>
          <w:color w:val="231F20"/>
          <w:w w:val="105"/>
        </w:rPr>
        <w:t>your corporation</w:t>
      </w:r>
      <w:r>
        <w:rPr>
          <w:color w:val="231F20"/>
          <w:spacing w:val="-6"/>
          <w:w w:val="105"/>
        </w:rPr>
        <w:t> </w:t>
      </w:r>
      <w:r>
        <w:rPr>
          <w:color w:val="231F20"/>
          <w:w w:val="105"/>
        </w:rPr>
        <w:t>may</w:t>
      </w:r>
      <w:r>
        <w:rPr>
          <w:color w:val="231F20"/>
          <w:spacing w:val="-6"/>
          <w:w w:val="105"/>
        </w:rPr>
        <w:t> </w:t>
      </w:r>
      <w:r>
        <w:rPr>
          <w:color w:val="231F20"/>
          <w:w w:val="105"/>
        </w:rPr>
        <w:t>do.</w:t>
      </w:r>
      <w:r>
        <w:rPr>
          <w:color w:val="231F20"/>
          <w:spacing w:val="-6"/>
          <w:w w:val="105"/>
        </w:rPr>
        <w:t> </w:t>
      </w:r>
      <w:r>
        <w:rPr>
          <w:color w:val="231F20"/>
          <w:w w:val="105"/>
        </w:rPr>
        <w:t>As</w:t>
      </w:r>
      <w:r>
        <w:rPr>
          <w:color w:val="231F20"/>
          <w:spacing w:val="-6"/>
          <w:w w:val="105"/>
        </w:rPr>
        <w:t> </w:t>
      </w:r>
      <w:r>
        <w:rPr>
          <w:color w:val="231F20"/>
          <w:w w:val="105"/>
        </w:rPr>
        <w:t>reported</w:t>
      </w:r>
      <w:r>
        <w:rPr>
          <w:color w:val="231F20"/>
          <w:spacing w:val="-6"/>
          <w:w w:val="105"/>
        </w:rPr>
        <w:t> </w:t>
      </w:r>
      <w:r>
        <w:rPr>
          <w:color w:val="231F20"/>
          <w:w w:val="105"/>
        </w:rPr>
        <w:t>in</w:t>
      </w:r>
      <w:r>
        <w:rPr>
          <w:color w:val="231F20"/>
          <w:spacing w:val="-6"/>
          <w:w w:val="105"/>
        </w:rPr>
        <w:t> </w:t>
      </w:r>
      <w:r>
        <w:rPr>
          <w:color w:val="231F20"/>
          <w:w w:val="105"/>
        </w:rPr>
        <w:t>the</w:t>
      </w:r>
      <w:r>
        <w:rPr>
          <w:color w:val="231F20"/>
          <w:spacing w:val="-7"/>
          <w:w w:val="105"/>
        </w:rPr>
        <w:t> </w:t>
      </w:r>
      <w:r>
        <w:rPr>
          <w:i/>
          <w:color w:val="231F20"/>
          <w:w w:val="105"/>
        </w:rPr>
        <w:t>Boston</w:t>
      </w:r>
      <w:r>
        <w:rPr>
          <w:i/>
          <w:color w:val="231F20"/>
          <w:spacing w:val="-6"/>
          <w:w w:val="105"/>
        </w:rPr>
        <w:t> </w:t>
      </w:r>
      <w:r>
        <w:rPr>
          <w:i/>
          <w:color w:val="231F20"/>
          <w:w w:val="105"/>
        </w:rPr>
        <w:t>Globe</w:t>
      </w:r>
      <w:r>
        <w:rPr>
          <w:i/>
          <w:color w:val="231F20"/>
          <w:spacing w:val="-7"/>
          <w:w w:val="105"/>
        </w:rPr>
        <w:t> </w:t>
      </w:r>
      <w:r>
        <w:rPr>
          <w:color w:val="231F20"/>
          <w:w w:val="105"/>
        </w:rPr>
        <w:t>in</w:t>
      </w:r>
      <w:r>
        <w:rPr>
          <w:color w:val="231F20"/>
          <w:spacing w:val="-6"/>
          <w:w w:val="105"/>
        </w:rPr>
        <w:t> </w:t>
      </w:r>
      <w:r>
        <w:rPr>
          <w:color w:val="231F20"/>
          <w:w w:val="105"/>
        </w:rPr>
        <w:t>April</w:t>
      </w:r>
      <w:r>
        <w:rPr>
          <w:color w:val="231F20"/>
          <w:spacing w:val="-6"/>
          <w:w w:val="105"/>
        </w:rPr>
        <w:t> </w:t>
      </w:r>
      <w:r>
        <w:rPr>
          <w:color w:val="231F20"/>
          <w:w w:val="105"/>
        </w:rPr>
        <w:t>1995, “Managers</w:t>
      </w:r>
      <w:r>
        <w:rPr>
          <w:color w:val="231F20"/>
          <w:spacing w:val="20"/>
          <w:w w:val="105"/>
        </w:rPr>
        <w:t> </w:t>
      </w:r>
      <w:r>
        <w:rPr>
          <w:color w:val="231F20"/>
          <w:w w:val="105"/>
        </w:rPr>
        <w:t>should</w:t>
      </w:r>
      <w:r>
        <w:rPr>
          <w:color w:val="231F20"/>
          <w:spacing w:val="20"/>
          <w:w w:val="105"/>
        </w:rPr>
        <w:t> </w:t>
      </w:r>
      <w:r>
        <w:rPr>
          <w:color w:val="231F20"/>
          <w:w w:val="105"/>
        </w:rPr>
        <w:t>abandon</w:t>
      </w:r>
      <w:r>
        <w:rPr>
          <w:color w:val="231F20"/>
          <w:spacing w:val="21"/>
          <w:w w:val="105"/>
        </w:rPr>
        <w:t> </w:t>
      </w:r>
      <w:r>
        <w:rPr>
          <w:color w:val="231F20"/>
          <w:w w:val="105"/>
        </w:rPr>
        <w:t>hierarchal</w:t>
      </w:r>
      <w:r>
        <w:rPr>
          <w:color w:val="231F20"/>
          <w:spacing w:val="20"/>
          <w:w w:val="105"/>
        </w:rPr>
        <w:t> </w:t>
      </w:r>
      <w:r>
        <w:rPr>
          <w:color w:val="231F20"/>
          <w:w w:val="105"/>
        </w:rPr>
        <w:t>structures</w:t>
      </w:r>
      <w:r>
        <w:rPr>
          <w:color w:val="231F20"/>
          <w:spacing w:val="21"/>
          <w:w w:val="105"/>
        </w:rPr>
        <w:t> </w:t>
      </w:r>
      <w:r>
        <w:rPr>
          <w:color w:val="231F20"/>
          <w:w w:val="105"/>
        </w:rPr>
        <w:t>in</w:t>
      </w:r>
      <w:r>
        <w:rPr>
          <w:color w:val="231F20"/>
          <w:spacing w:val="20"/>
          <w:w w:val="105"/>
        </w:rPr>
        <w:t> </w:t>
      </w:r>
      <w:r>
        <w:rPr>
          <w:color w:val="231F20"/>
          <w:w w:val="105"/>
        </w:rPr>
        <w:t>favor</w:t>
      </w:r>
      <w:r>
        <w:rPr>
          <w:color w:val="231F20"/>
          <w:spacing w:val="21"/>
          <w:w w:val="105"/>
        </w:rPr>
        <w:t> </w:t>
      </w:r>
      <w:r>
        <w:rPr>
          <w:color w:val="231F20"/>
          <w:w w:val="105"/>
        </w:rPr>
        <w:t>of</w:t>
      </w:r>
      <w:r>
        <w:rPr>
          <w:color w:val="231F20"/>
          <w:spacing w:val="20"/>
          <w:w w:val="105"/>
        </w:rPr>
        <w:t> </w:t>
      </w:r>
      <w:r>
        <w:rPr>
          <w:color w:val="231F20"/>
          <w:spacing w:val="-5"/>
          <w:w w:val="105"/>
        </w:rPr>
        <w:t>em-</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4"/>
        <w:jc w:val="both"/>
      </w:pPr>
      <w:r>
        <w:rPr>
          <w:color w:val="231F20"/>
        </w:rPr>
        <w:t>ployee teams, to develop systems that cut across traditional fiefdoms such as sales and marketing, and to use computer technology to eliminate a lot of paper-pushing and paper-pushers.”</w:t>
      </w:r>
    </w:p>
    <w:p>
      <w:pPr>
        <w:pStyle w:val="BodyText"/>
        <w:spacing w:line="292" w:lineRule="auto"/>
        <w:ind w:left="829" w:right="756" w:firstLine="340"/>
        <w:jc w:val="both"/>
      </w:pPr>
      <w:r>
        <w:rPr>
          <w:color w:val="231F20"/>
        </w:rPr>
        <w:t>Stern Stewart </w:t>
      </w:r>
      <w:r>
        <w:rPr>
          <w:color w:val="231F20"/>
          <w:w w:val="110"/>
        </w:rPr>
        <w:t>&amp; </w:t>
      </w:r>
      <w:r>
        <w:rPr>
          <w:color w:val="231F20"/>
        </w:rPr>
        <w:t>Co. innovated in the financial area by creating </w:t>
      </w:r>
      <w:r>
        <w:rPr>
          <w:color w:val="231F20"/>
        </w:rPr>
        <w:t>a method of restating a company’s income so that management could concentrate on improving its stock performance. </w:t>
      </w:r>
      <w:r>
        <w:rPr>
          <w:i/>
          <w:color w:val="231F20"/>
        </w:rPr>
        <w:t>Economic value</w:t>
      </w:r>
      <w:r>
        <w:rPr>
          <w:i/>
          <w:color w:val="231F20"/>
        </w:rPr>
        <w:t> added </w:t>
      </w:r>
      <w:r>
        <w:rPr>
          <w:color w:val="231F20"/>
        </w:rPr>
        <w:t>(EVA) or </w:t>
      </w:r>
      <w:r>
        <w:rPr>
          <w:i/>
          <w:color w:val="231F20"/>
        </w:rPr>
        <w:t>market value added </w:t>
      </w:r>
      <w:r>
        <w:rPr>
          <w:color w:val="231F20"/>
        </w:rPr>
        <w:t>(MVA) was a new strategic con- sulting concept that gained importance in 1993. EVA is the differ- ence between a company’s net operating income after taxes and its cost of capital. Accountants have called the measure “residual in- come” for years, but Stern Stewart modified it and coined the EVA </w:t>
      </w:r>
      <w:r>
        <w:rPr>
          <w:color w:val="231F20"/>
          <w:spacing w:val="-2"/>
        </w:rPr>
        <w:t>term.</w:t>
      </w:r>
    </w:p>
    <w:p>
      <w:pPr>
        <w:pStyle w:val="BodyText"/>
        <w:spacing w:before="2"/>
        <w:rPr>
          <w:sz w:val="24"/>
        </w:rPr>
      </w:pPr>
    </w:p>
    <w:p>
      <w:pPr>
        <w:pStyle w:val="BodyText"/>
        <w:tabs>
          <w:tab w:pos="2412" w:val="left" w:leader="none"/>
          <w:tab w:pos="3150" w:val="left" w:leader="none"/>
        </w:tabs>
        <w:spacing w:line="290" w:lineRule="auto"/>
        <w:ind w:left="1610" w:right="1328" w:hanging="241"/>
      </w:pPr>
      <w:r>
        <w:rPr/>
        <w:pict>
          <v:rect style="position:absolute;margin-left:166.181335pt;margin-top:7.680893pt;width:4.930940pt;height:.7242pt;mso-position-horizontal-relative:page;mso-position-vertical-relative:paragraph;z-index:-25017856" id="docshape533" filled="true" fillcolor="#231f20" stroked="false">
            <v:fill type="solid"/>
            <w10:wrap type="none"/>
          </v:rect>
        </w:pict>
      </w:r>
      <w:r>
        <w:rPr/>
        <w:pict>
          <v:rect style="position:absolute;margin-left:129.292007pt;margin-top:22.681303pt;width:4.930940pt;height:.7242pt;mso-position-horizontal-relative:page;mso-position-vertical-relative:paragraph;z-index:-25017344" id="docshape534" filled="true" fillcolor="#231f20" stroked="false">
            <v:fill type="solid"/>
            <w10:wrap type="none"/>
          </v:rect>
        </w:pict>
      </w:r>
      <w:r>
        <w:rPr>
          <w:color w:val="231F20"/>
          <w:w w:val="105"/>
        </w:rPr>
        <w:t>EVA </w:t>
      </w:r>
      <w:r>
        <w:rPr>
          <w:rFonts w:ascii="Symbol" w:hAnsi="Symbol"/>
          <w:color w:val="231F20"/>
          <w:w w:val="105"/>
        </w:rPr>
        <w:t></w:t>
      </w:r>
      <w:r>
        <w:rPr>
          <w:rFonts w:ascii="Times New Roman" w:hAnsi="Times New Roman"/>
          <w:color w:val="231F20"/>
          <w:w w:val="105"/>
        </w:rPr>
        <w:t> </w:t>
      </w:r>
      <w:r>
        <w:rPr>
          <w:color w:val="231F20"/>
          <w:w w:val="105"/>
        </w:rPr>
        <w:t>ANOPAT</w:t>
      </w:r>
      <w:r>
        <w:rPr>
          <w:color w:val="231F20"/>
        </w:rPr>
        <w:tab/>
      </w:r>
      <w:r>
        <w:rPr>
          <w:color w:val="231F20"/>
          <w:w w:val="105"/>
        </w:rPr>
        <w:t>Cost of Capital % </w:t>
      </w:r>
      <w:r>
        <w:rPr>
          <w:rFonts w:ascii="Symbol" w:hAnsi="Symbol"/>
          <w:color w:val="231F20"/>
          <w:w w:val="105"/>
        </w:rPr>
        <w:t></w:t>
      </w:r>
      <w:r>
        <w:rPr>
          <w:rFonts w:ascii="Times New Roman" w:hAnsi="Times New Roman"/>
          <w:color w:val="231F20"/>
          <w:spacing w:val="-2"/>
          <w:w w:val="105"/>
        </w:rPr>
        <w:t> </w:t>
      </w:r>
      <w:r>
        <w:rPr>
          <w:color w:val="231F20"/>
          <w:w w:val="105"/>
        </w:rPr>
        <w:t>(Adjusted </w:t>
      </w:r>
      <w:r>
        <w:rPr>
          <w:color w:val="231F20"/>
          <w:w w:val="105"/>
        </w:rPr>
        <w:t>Total </w:t>
      </w:r>
      <w:r>
        <w:rPr>
          <w:color w:val="231F20"/>
          <w:spacing w:val="-2"/>
          <w:w w:val="105"/>
        </w:rPr>
        <w:t>Assets</w:t>
      </w:r>
      <w:r>
        <w:rPr>
          <w:color w:val="231F20"/>
        </w:rPr>
        <w:tab/>
      </w:r>
      <w:r>
        <w:rPr>
          <w:color w:val="231F20"/>
          <w:w w:val="105"/>
        </w:rPr>
        <w:t>Current Liabilities)</w:t>
      </w:r>
    </w:p>
    <w:p>
      <w:pPr>
        <w:pStyle w:val="BodyText"/>
        <w:spacing w:line="292" w:lineRule="auto" w:before="2"/>
        <w:ind w:left="1610" w:right="1416" w:hanging="240"/>
      </w:pPr>
      <w:r>
        <w:rPr>
          <w:color w:val="231F20"/>
          <w:w w:val="105"/>
        </w:rPr>
        <w:t>ANOPAT</w:t>
      </w:r>
      <w:r>
        <w:rPr>
          <w:color w:val="231F20"/>
          <w:spacing w:val="-2"/>
          <w:w w:val="105"/>
        </w:rPr>
        <w:t> </w:t>
      </w:r>
      <w:r>
        <w:rPr>
          <w:color w:val="231F20"/>
          <w:w w:val="105"/>
        </w:rPr>
        <w:t>means</w:t>
      </w:r>
      <w:r>
        <w:rPr>
          <w:color w:val="231F20"/>
          <w:spacing w:val="-2"/>
          <w:w w:val="105"/>
        </w:rPr>
        <w:t> </w:t>
      </w:r>
      <w:r>
        <w:rPr>
          <w:color w:val="231F20"/>
          <w:w w:val="105"/>
        </w:rPr>
        <w:t>the</w:t>
      </w:r>
      <w:r>
        <w:rPr>
          <w:color w:val="231F20"/>
          <w:spacing w:val="-2"/>
          <w:w w:val="105"/>
        </w:rPr>
        <w:t> </w:t>
      </w:r>
      <w:r>
        <w:rPr>
          <w:color w:val="231F20"/>
          <w:w w:val="105"/>
        </w:rPr>
        <w:t>Adjusted</w:t>
      </w:r>
      <w:r>
        <w:rPr>
          <w:color w:val="231F20"/>
          <w:spacing w:val="-2"/>
          <w:w w:val="105"/>
        </w:rPr>
        <w:t> </w:t>
      </w:r>
      <w:r>
        <w:rPr>
          <w:color w:val="231F20"/>
          <w:w w:val="105"/>
        </w:rPr>
        <w:t>Net</w:t>
      </w:r>
      <w:r>
        <w:rPr>
          <w:color w:val="231F20"/>
          <w:spacing w:val="-2"/>
          <w:w w:val="105"/>
        </w:rPr>
        <w:t> </w:t>
      </w:r>
      <w:r>
        <w:rPr>
          <w:color w:val="231F20"/>
          <w:w w:val="105"/>
        </w:rPr>
        <w:t>Operating</w:t>
      </w:r>
      <w:r>
        <w:rPr>
          <w:color w:val="231F20"/>
          <w:spacing w:val="-2"/>
          <w:w w:val="105"/>
        </w:rPr>
        <w:t> </w:t>
      </w:r>
      <w:r>
        <w:rPr>
          <w:color w:val="231F20"/>
          <w:w w:val="105"/>
        </w:rPr>
        <w:t>Profit After Taxes</w:t>
      </w:r>
    </w:p>
    <w:p>
      <w:pPr>
        <w:pStyle w:val="BodyText"/>
        <w:spacing w:before="6"/>
        <w:rPr>
          <w:sz w:val="25"/>
        </w:rPr>
      </w:pPr>
    </w:p>
    <w:p>
      <w:pPr>
        <w:pStyle w:val="BodyText"/>
        <w:spacing w:line="292" w:lineRule="auto" w:before="1"/>
        <w:ind w:left="830" w:right="753" w:firstLine="340"/>
        <w:jc w:val="both"/>
      </w:pPr>
      <w:r>
        <w:rPr>
          <w:color w:val="231F20"/>
        </w:rPr>
        <w:t>The idea is that a company’s financial performance should be judged by the return generated after deducting the cost of capital provided by shareholders. The GAAP accounting measure of “net income” used on financial statements does not do that. During a consulting assignment the client company would learn the new methodology, and its management would be guided toward strate- gies</w:t>
      </w:r>
      <w:r>
        <w:rPr>
          <w:color w:val="231F20"/>
          <w:spacing w:val="9"/>
        </w:rPr>
        <w:t> </w:t>
      </w:r>
      <w:r>
        <w:rPr>
          <w:color w:val="231F20"/>
        </w:rPr>
        <w:t>focusing</w:t>
      </w:r>
      <w:r>
        <w:rPr>
          <w:color w:val="231F20"/>
          <w:spacing w:val="10"/>
        </w:rPr>
        <w:t> </w:t>
      </w:r>
      <w:r>
        <w:rPr>
          <w:color w:val="231F20"/>
        </w:rPr>
        <w:t>on</w:t>
      </w:r>
      <w:r>
        <w:rPr>
          <w:color w:val="231F20"/>
          <w:spacing w:val="10"/>
        </w:rPr>
        <w:t> </w:t>
      </w:r>
      <w:r>
        <w:rPr>
          <w:color w:val="231F20"/>
        </w:rPr>
        <w:t>the</w:t>
      </w:r>
      <w:r>
        <w:rPr>
          <w:color w:val="231F20"/>
          <w:spacing w:val="10"/>
        </w:rPr>
        <w:t> </w:t>
      </w:r>
      <w:r>
        <w:rPr>
          <w:color w:val="231F20"/>
        </w:rPr>
        <w:t>factors</w:t>
      </w:r>
      <w:r>
        <w:rPr>
          <w:color w:val="231F20"/>
          <w:spacing w:val="10"/>
        </w:rPr>
        <w:t> </w:t>
      </w:r>
      <w:r>
        <w:rPr>
          <w:color w:val="231F20"/>
        </w:rPr>
        <w:t>that</w:t>
      </w:r>
      <w:r>
        <w:rPr>
          <w:color w:val="231F20"/>
          <w:spacing w:val="10"/>
        </w:rPr>
        <w:t> </w:t>
      </w:r>
      <w:r>
        <w:rPr>
          <w:color w:val="231F20"/>
        </w:rPr>
        <w:t>could</w:t>
      </w:r>
      <w:r>
        <w:rPr>
          <w:color w:val="231F20"/>
          <w:spacing w:val="10"/>
        </w:rPr>
        <w:t> </w:t>
      </w:r>
      <w:r>
        <w:rPr>
          <w:color w:val="231F20"/>
        </w:rPr>
        <w:t>possibly</w:t>
      </w:r>
      <w:r>
        <w:rPr>
          <w:color w:val="231F20"/>
          <w:spacing w:val="10"/>
        </w:rPr>
        <w:t> </w:t>
      </w:r>
      <w:r>
        <w:rPr>
          <w:color w:val="231F20"/>
        </w:rPr>
        <w:t>boost</w:t>
      </w:r>
      <w:r>
        <w:rPr>
          <w:color w:val="231F20"/>
          <w:spacing w:val="10"/>
        </w:rPr>
        <w:t> </w:t>
      </w:r>
      <w:r>
        <w:rPr>
          <w:color w:val="231F20"/>
        </w:rPr>
        <w:t>its</w:t>
      </w:r>
      <w:r>
        <w:rPr>
          <w:color w:val="231F20"/>
          <w:spacing w:val="10"/>
        </w:rPr>
        <w:t> </w:t>
      </w:r>
      <w:r>
        <w:rPr>
          <w:color w:val="231F20"/>
        </w:rPr>
        <w:t>stock</w:t>
      </w:r>
      <w:r>
        <w:rPr>
          <w:color w:val="231F20"/>
          <w:spacing w:val="10"/>
        </w:rPr>
        <w:t> </w:t>
      </w:r>
      <w:r>
        <w:rPr>
          <w:color w:val="231F20"/>
          <w:spacing w:val="-2"/>
        </w:rPr>
        <w:t>price.</w:t>
      </w:r>
    </w:p>
    <w:p>
      <w:pPr>
        <w:pStyle w:val="BodyText"/>
        <w:rPr>
          <w:sz w:val="24"/>
        </w:rPr>
      </w:pPr>
    </w:p>
    <w:p>
      <w:pPr>
        <w:pStyle w:val="BodyText"/>
        <w:spacing w:before="8"/>
        <w:rPr>
          <w:sz w:val="24"/>
        </w:rPr>
      </w:pPr>
    </w:p>
    <w:p>
      <w:pPr>
        <w:pStyle w:val="Heading4"/>
        <w:ind w:left="300"/>
      </w:pPr>
      <w:r>
        <w:rPr>
          <w:color w:val="231F20"/>
          <w:w w:val="85"/>
        </w:rPr>
        <w:t>GLOBALIZATION</w:t>
      </w:r>
      <w:r>
        <w:rPr>
          <w:color w:val="231F20"/>
          <w:spacing w:val="53"/>
        </w:rPr>
        <w:t> </w:t>
      </w:r>
      <w:r>
        <w:rPr>
          <w:color w:val="231F20"/>
          <w:w w:val="85"/>
        </w:rPr>
        <w:t>AND</w:t>
      </w:r>
      <w:r>
        <w:rPr>
          <w:color w:val="231F20"/>
          <w:spacing w:val="54"/>
        </w:rPr>
        <w:t> </w:t>
      </w:r>
      <w:r>
        <w:rPr>
          <w:color w:val="231F20"/>
          <w:spacing w:val="7"/>
          <w:w w:val="85"/>
        </w:rPr>
        <w:t>STRATEGY</w:t>
      </w:r>
    </w:p>
    <w:p>
      <w:pPr>
        <w:pStyle w:val="BodyText"/>
        <w:spacing w:before="11"/>
        <w:rPr>
          <w:rFonts w:ascii="Trebuchet MS"/>
          <w:sz w:val="29"/>
        </w:rPr>
      </w:pPr>
    </w:p>
    <w:p>
      <w:pPr>
        <w:pStyle w:val="BodyText"/>
        <w:spacing w:line="292" w:lineRule="auto"/>
        <w:ind w:left="830" w:right="753"/>
        <w:jc w:val="both"/>
      </w:pPr>
      <w:r>
        <w:rPr>
          <w:color w:val="231F20"/>
        </w:rPr>
        <w:t>The world is becoming increasingly economically interdependent. The West is still trying to integrate the former Soviet empire, and Eu- rope is attempting unification with the European Union. Thus strategic planning on a global scale has become a timely concern.</w:t>
      </w:r>
      <w:r>
        <w:rPr>
          <w:color w:val="231F20"/>
          <w:spacing w:val="80"/>
        </w:rPr>
        <w:t> </w:t>
      </w:r>
      <w:r>
        <w:rPr>
          <w:color w:val="231F20"/>
        </w:rPr>
        <w:t>The</w:t>
      </w:r>
      <w:r>
        <w:rPr>
          <w:color w:val="231F20"/>
          <w:spacing w:val="40"/>
        </w:rPr>
        <w:t> </w:t>
      </w:r>
      <w:r>
        <w:rPr>
          <w:color w:val="231F20"/>
        </w:rPr>
        <w:t>MBA</w:t>
      </w:r>
      <w:r>
        <w:rPr>
          <w:color w:val="231F20"/>
          <w:spacing w:val="40"/>
        </w:rPr>
        <w:t> </w:t>
      </w:r>
      <w:r>
        <w:rPr>
          <w:color w:val="231F20"/>
        </w:rPr>
        <w:t>buzzword</w:t>
      </w:r>
      <w:r>
        <w:rPr>
          <w:color w:val="231F20"/>
          <w:spacing w:val="40"/>
        </w:rPr>
        <w:t> </w:t>
      </w:r>
      <w:r>
        <w:rPr>
          <w:color w:val="231F20"/>
        </w:rPr>
        <w:t>is</w:t>
      </w:r>
      <w:r>
        <w:rPr>
          <w:color w:val="231F20"/>
          <w:spacing w:val="40"/>
        </w:rPr>
        <w:t> </w:t>
      </w:r>
      <w:r>
        <w:rPr>
          <w:i/>
          <w:color w:val="231F20"/>
        </w:rPr>
        <w:t>globalization.</w:t>
      </w:r>
      <w:r>
        <w:rPr>
          <w:i/>
          <w:color w:val="231F20"/>
          <w:spacing w:val="40"/>
        </w:rPr>
        <w:t> </w:t>
      </w:r>
      <w:r>
        <w:rPr>
          <w:color w:val="231F20"/>
        </w:rPr>
        <w:t>It</w:t>
      </w:r>
      <w:r>
        <w:rPr>
          <w:color w:val="231F20"/>
          <w:spacing w:val="40"/>
        </w:rPr>
        <w:t> </w:t>
      </w:r>
      <w:r>
        <w:rPr>
          <w:color w:val="231F20"/>
        </w:rPr>
        <w:t>is</w:t>
      </w:r>
      <w:r>
        <w:rPr>
          <w:color w:val="231F20"/>
          <w:spacing w:val="40"/>
        </w:rPr>
        <w:t> </w:t>
      </w:r>
      <w:r>
        <w:rPr>
          <w:color w:val="231F20"/>
        </w:rPr>
        <w:t>a</w:t>
      </w:r>
      <w:r>
        <w:rPr>
          <w:color w:val="231F20"/>
          <w:spacing w:val="40"/>
        </w:rPr>
        <w:t> </w:t>
      </w:r>
      <w:r>
        <w:rPr>
          <w:color w:val="231F20"/>
        </w:rPr>
        <w:t>rather</w:t>
      </w:r>
      <w:r>
        <w:rPr>
          <w:color w:val="231F20"/>
          <w:spacing w:val="40"/>
        </w:rPr>
        <w:t> </w:t>
      </w:r>
      <w:r>
        <w:rPr>
          <w:color w:val="231F20"/>
        </w:rPr>
        <w:t>nebulous</w:t>
      </w:r>
      <w:r>
        <w:rPr>
          <w:color w:val="231F20"/>
          <w:spacing w:val="40"/>
        </w:rPr>
        <w:t> </w:t>
      </w:r>
      <w:r>
        <w:rPr>
          <w:color w:val="231F20"/>
        </w:rPr>
        <w:t>term, but it is a “hot” topic and efforts are made to interject the word</w:t>
      </w:r>
      <w:r>
        <w:rPr>
          <w:color w:val="231F20"/>
          <w:spacing w:val="80"/>
        </w:rPr>
        <w:t> </w:t>
      </w:r>
      <w:r>
        <w:rPr>
          <w:i/>
          <w:color w:val="231F20"/>
        </w:rPr>
        <w:t>global </w:t>
      </w:r>
      <w:r>
        <w:rPr>
          <w:color w:val="231F20"/>
        </w:rPr>
        <w:t>into all MBA courses and writings.</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5" w:firstLine="340"/>
        <w:jc w:val="both"/>
      </w:pPr>
      <w:r>
        <w:rPr>
          <w:color w:val="231F20"/>
        </w:rPr>
        <w:t>The possibility of globalization depends on the classification </w:t>
      </w:r>
      <w:r>
        <w:rPr>
          <w:color w:val="231F20"/>
        </w:rPr>
        <w:t>of the industry in which a business operates. If an industry is </w:t>
      </w:r>
      <w:r>
        <w:rPr>
          <w:i/>
          <w:color w:val="231F20"/>
        </w:rPr>
        <w:t>national</w:t>
      </w:r>
      <w:r>
        <w:rPr>
          <w:i/>
          <w:color w:val="231F20"/>
          <w:spacing w:val="80"/>
        </w:rPr>
        <w:t> </w:t>
      </w:r>
      <w:r>
        <w:rPr>
          <w:color w:val="231F20"/>
        </w:rPr>
        <w:t>in nature, it can successfully operate without being threatened by large </w:t>
      </w:r>
      <w:r>
        <w:rPr>
          <w:i/>
          <w:color w:val="231F20"/>
        </w:rPr>
        <w:t>multinational corporations </w:t>
      </w:r>
      <w:r>
        <w:rPr>
          <w:color w:val="231F20"/>
        </w:rPr>
        <w:t>(MNCs) swooping in and either trying a hostile takeover or competing in some sense. Baking and trucking are two examples of national industries. Automobiles and computers,</w:t>
      </w:r>
      <w:r>
        <w:rPr>
          <w:color w:val="231F20"/>
          <w:spacing w:val="40"/>
        </w:rPr>
        <w:t> </w:t>
      </w:r>
      <w:r>
        <w:rPr>
          <w:color w:val="231F20"/>
        </w:rPr>
        <w:t>on</w:t>
      </w:r>
      <w:r>
        <w:rPr>
          <w:color w:val="231F20"/>
          <w:spacing w:val="40"/>
        </w:rPr>
        <w:t> </w:t>
      </w:r>
      <w:r>
        <w:rPr>
          <w:color w:val="231F20"/>
        </w:rPr>
        <w:t>the</w:t>
      </w:r>
      <w:r>
        <w:rPr>
          <w:color w:val="231F20"/>
          <w:spacing w:val="40"/>
        </w:rPr>
        <w:t> </w:t>
      </w:r>
      <w:r>
        <w:rPr>
          <w:color w:val="231F20"/>
        </w:rPr>
        <w:t>other</w:t>
      </w:r>
      <w:r>
        <w:rPr>
          <w:color w:val="231F20"/>
          <w:spacing w:val="40"/>
        </w:rPr>
        <w:t> </w:t>
      </w:r>
      <w:r>
        <w:rPr>
          <w:color w:val="231F20"/>
        </w:rPr>
        <w:t>hand,</w:t>
      </w:r>
      <w:r>
        <w:rPr>
          <w:color w:val="231F20"/>
          <w:spacing w:val="40"/>
        </w:rPr>
        <w:t> </w:t>
      </w:r>
      <w:r>
        <w:rPr>
          <w:color w:val="231F20"/>
        </w:rPr>
        <w:t>are</w:t>
      </w:r>
      <w:r>
        <w:rPr>
          <w:color w:val="231F20"/>
          <w:spacing w:val="40"/>
        </w:rPr>
        <w:t> </w:t>
      </w:r>
      <w:r>
        <w:rPr>
          <w:color w:val="231F20"/>
        </w:rPr>
        <w:t>examples</w:t>
      </w:r>
      <w:r>
        <w:rPr>
          <w:color w:val="231F20"/>
          <w:spacing w:val="40"/>
        </w:rPr>
        <w:t> </w:t>
      </w:r>
      <w:r>
        <w:rPr>
          <w:color w:val="231F20"/>
        </w:rPr>
        <w:t>of</w:t>
      </w:r>
      <w:r>
        <w:rPr>
          <w:color w:val="231F20"/>
          <w:spacing w:val="40"/>
        </w:rPr>
        <w:t> </w:t>
      </w:r>
      <w:r>
        <w:rPr>
          <w:color w:val="231F20"/>
        </w:rPr>
        <w:t>global</w:t>
      </w:r>
      <w:r>
        <w:rPr>
          <w:color w:val="231F20"/>
          <w:spacing w:val="40"/>
        </w:rPr>
        <w:t> </w:t>
      </w:r>
      <w:r>
        <w:rPr>
          <w:color w:val="231F20"/>
        </w:rPr>
        <w:t>industries. The necessity of heavy research spending and significant learning curve</w:t>
      </w:r>
      <w:r>
        <w:rPr>
          <w:color w:val="231F20"/>
          <w:spacing w:val="40"/>
        </w:rPr>
        <w:t> </w:t>
      </w:r>
      <w:r>
        <w:rPr>
          <w:color w:val="231F20"/>
        </w:rPr>
        <w:t>effects</w:t>
      </w:r>
      <w:r>
        <w:rPr>
          <w:color w:val="231F20"/>
          <w:spacing w:val="40"/>
        </w:rPr>
        <w:t> </w:t>
      </w:r>
      <w:r>
        <w:rPr>
          <w:color w:val="231F20"/>
        </w:rPr>
        <w:t>tend</w:t>
      </w:r>
      <w:r>
        <w:rPr>
          <w:color w:val="231F20"/>
          <w:spacing w:val="40"/>
        </w:rPr>
        <w:t> </w:t>
      </w:r>
      <w:r>
        <w:rPr>
          <w:color w:val="231F20"/>
        </w:rPr>
        <w:t>to</w:t>
      </w:r>
      <w:r>
        <w:rPr>
          <w:color w:val="231F20"/>
          <w:spacing w:val="40"/>
        </w:rPr>
        <w:t> </w:t>
      </w:r>
      <w:r>
        <w:rPr>
          <w:color w:val="231F20"/>
        </w:rPr>
        <w:t>favor</w:t>
      </w:r>
      <w:r>
        <w:rPr>
          <w:color w:val="231F20"/>
          <w:spacing w:val="40"/>
        </w:rPr>
        <w:t> </w:t>
      </w:r>
      <w:r>
        <w:rPr>
          <w:color w:val="231F20"/>
        </w:rPr>
        <w:t>large</w:t>
      </w:r>
      <w:r>
        <w:rPr>
          <w:color w:val="231F20"/>
          <w:spacing w:val="40"/>
        </w:rPr>
        <w:t> </w:t>
      </w:r>
      <w:r>
        <w:rPr>
          <w:color w:val="231F20"/>
        </w:rPr>
        <w:t>MNCs.</w:t>
      </w:r>
      <w:r>
        <w:rPr>
          <w:color w:val="231F20"/>
          <w:spacing w:val="40"/>
        </w:rPr>
        <w:t> </w:t>
      </w:r>
      <w:r>
        <w:rPr>
          <w:color w:val="231F20"/>
        </w:rPr>
        <w:t>Whatever</w:t>
      </w:r>
      <w:r>
        <w:rPr>
          <w:color w:val="231F20"/>
          <w:spacing w:val="40"/>
        </w:rPr>
        <w:t> </w:t>
      </w:r>
      <w:r>
        <w:rPr>
          <w:color w:val="231F20"/>
        </w:rPr>
        <w:t>the</w:t>
      </w:r>
      <w:r>
        <w:rPr>
          <w:color w:val="231F20"/>
          <w:spacing w:val="40"/>
        </w:rPr>
        <w:t> </w:t>
      </w:r>
      <w:r>
        <w:rPr>
          <w:color w:val="231F20"/>
        </w:rPr>
        <w:t>industry, forces are at work that either facilitate or impede globalization.</w:t>
      </w:r>
    </w:p>
    <w:p>
      <w:pPr>
        <w:pStyle w:val="BodyText"/>
        <w:spacing w:line="243" w:lineRule="exact"/>
        <w:ind w:left="1260"/>
        <w:jc w:val="both"/>
      </w:pPr>
      <w:r>
        <w:rPr>
          <w:color w:val="231F20"/>
        </w:rPr>
        <w:t>Forces</w:t>
      </w:r>
      <w:r>
        <w:rPr>
          <w:color w:val="231F20"/>
          <w:spacing w:val="9"/>
        </w:rPr>
        <w:t> </w:t>
      </w:r>
      <w:r>
        <w:rPr>
          <w:color w:val="231F20"/>
        </w:rPr>
        <w:t>encouraging</w:t>
      </w:r>
      <w:r>
        <w:rPr>
          <w:color w:val="231F20"/>
          <w:spacing w:val="10"/>
        </w:rPr>
        <w:t> </w:t>
      </w:r>
      <w:r>
        <w:rPr>
          <w:color w:val="231F20"/>
          <w:spacing w:val="-2"/>
        </w:rPr>
        <w:t>globalization:</w:t>
      </w:r>
    </w:p>
    <w:p>
      <w:pPr>
        <w:pStyle w:val="BodyText"/>
        <w:spacing w:before="11"/>
        <w:rPr>
          <w:sz w:val="31"/>
        </w:rPr>
      </w:pPr>
    </w:p>
    <w:p>
      <w:pPr>
        <w:spacing w:line="328" w:lineRule="auto" w:before="0"/>
        <w:ind w:left="1600" w:right="667" w:hanging="340"/>
        <w:jc w:val="left"/>
        <w:rPr>
          <w:rFonts w:ascii="Arial" w:hAnsi="Arial"/>
          <w:sz w:val="19"/>
        </w:rPr>
      </w:pPr>
      <w:r>
        <w:rPr>
          <w:rFonts w:ascii="Arial" w:hAnsi="Arial"/>
          <w:i/>
          <w:color w:val="231F20"/>
          <w:w w:val="110"/>
          <w:sz w:val="19"/>
        </w:rPr>
        <w:t>Improved Communications and Transportation</w:t>
      </w:r>
      <w:r>
        <w:rPr>
          <w:rFonts w:ascii="Arial" w:hAnsi="Arial"/>
          <w:color w:val="231F20"/>
          <w:w w:val="110"/>
          <w:sz w:val="19"/>
        </w:rPr>
        <w:t>—</w:t>
      </w:r>
      <w:r>
        <w:rPr>
          <w:rFonts w:ascii="Arial" w:hAnsi="Arial"/>
          <w:color w:val="231F20"/>
          <w:spacing w:val="-36"/>
          <w:w w:val="110"/>
          <w:sz w:val="19"/>
        </w:rPr>
        <w:t> </w:t>
      </w:r>
      <w:r>
        <w:rPr>
          <w:rFonts w:ascii="Arial" w:hAnsi="Arial"/>
          <w:color w:val="231F20"/>
          <w:w w:val="110"/>
          <w:sz w:val="19"/>
        </w:rPr>
        <w:t>Fax, </w:t>
      </w:r>
      <w:r>
        <w:rPr>
          <w:rFonts w:ascii="Arial" w:hAnsi="Arial"/>
          <w:color w:val="231F20"/>
          <w:w w:val="110"/>
          <w:sz w:val="19"/>
        </w:rPr>
        <w:t>cable, satellite, supersonics</w:t>
      </w:r>
    </w:p>
    <w:p>
      <w:pPr>
        <w:spacing w:line="328" w:lineRule="auto" w:before="1"/>
        <w:ind w:left="1600" w:right="1262" w:hanging="340"/>
        <w:jc w:val="left"/>
        <w:rPr>
          <w:rFonts w:ascii="Arial" w:hAnsi="Arial"/>
          <w:sz w:val="19"/>
        </w:rPr>
      </w:pPr>
      <w:r>
        <w:rPr>
          <w:rFonts w:ascii="Arial" w:hAnsi="Arial"/>
          <w:i/>
          <w:color w:val="231F20"/>
          <w:w w:val="110"/>
          <w:sz w:val="19"/>
        </w:rPr>
        <w:t>Fewer Trade Restrictions</w:t>
      </w:r>
      <w:r>
        <w:rPr>
          <w:rFonts w:ascii="Arial" w:hAnsi="Arial"/>
          <w:color w:val="231F20"/>
          <w:w w:val="110"/>
          <w:sz w:val="19"/>
        </w:rPr>
        <w:t>—</w:t>
      </w:r>
      <w:r>
        <w:rPr>
          <w:rFonts w:ascii="Arial" w:hAnsi="Arial"/>
          <w:color w:val="231F20"/>
          <w:spacing w:val="-36"/>
          <w:w w:val="110"/>
          <w:sz w:val="19"/>
        </w:rPr>
        <w:t> </w:t>
      </w:r>
      <w:r>
        <w:rPr>
          <w:rFonts w:ascii="Arial" w:hAnsi="Arial"/>
          <w:color w:val="231F20"/>
          <w:w w:val="110"/>
          <w:sz w:val="19"/>
        </w:rPr>
        <w:t>Lower tariffs, duties, </w:t>
      </w:r>
      <w:r>
        <w:rPr>
          <w:rFonts w:ascii="Arial" w:hAnsi="Arial"/>
          <w:color w:val="231F20"/>
          <w:w w:val="110"/>
          <w:sz w:val="19"/>
        </w:rPr>
        <w:t>uniform </w:t>
      </w:r>
      <w:r>
        <w:rPr>
          <w:rFonts w:ascii="Arial" w:hAnsi="Arial"/>
          <w:color w:val="231F20"/>
          <w:spacing w:val="-2"/>
          <w:w w:val="115"/>
          <w:sz w:val="19"/>
        </w:rPr>
        <w:t>regulations</w:t>
      </w:r>
    </w:p>
    <w:p>
      <w:pPr>
        <w:spacing w:line="328" w:lineRule="auto" w:before="2"/>
        <w:ind w:left="1599" w:right="667" w:hanging="340"/>
        <w:jc w:val="left"/>
        <w:rPr>
          <w:rFonts w:ascii="Arial" w:hAnsi="Arial"/>
          <w:sz w:val="19"/>
        </w:rPr>
      </w:pPr>
      <w:r>
        <w:rPr>
          <w:rFonts w:ascii="Arial" w:hAnsi="Arial"/>
          <w:i/>
          <w:color w:val="231F20"/>
          <w:w w:val="110"/>
          <w:sz w:val="19"/>
        </w:rPr>
        <w:t>Convergence</w:t>
      </w:r>
      <w:r>
        <w:rPr>
          <w:rFonts w:ascii="Arial" w:hAnsi="Arial"/>
          <w:i/>
          <w:color w:val="231F20"/>
          <w:spacing w:val="-9"/>
          <w:w w:val="110"/>
          <w:sz w:val="19"/>
        </w:rPr>
        <w:t> </w:t>
      </w:r>
      <w:r>
        <w:rPr>
          <w:rFonts w:ascii="Arial" w:hAnsi="Arial"/>
          <w:i/>
          <w:color w:val="231F20"/>
          <w:w w:val="110"/>
          <w:sz w:val="19"/>
        </w:rPr>
        <w:t>of</w:t>
      </w:r>
      <w:r>
        <w:rPr>
          <w:rFonts w:ascii="Arial" w:hAnsi="Arial"/>
          <w:i/>
          <w:color w:val="231F20"/>
          <w:spacing w:val="-5"/>
          <w:w w:val="110"/>
          <w:sz w:val="19"/>
        </w:rPr>
        <w:t> </w:t>
      </w:r>
      <w:r>
        <w:rPr>
          <w:rFonts w:ascii="Arial" w:hAnsi="Arial"/>
          <w:i/>
          <w:color w:val="231F20"/>
          <w:w w:val="110"/>
          <w:sz w:val="19"/>
        </w:rPr>
        <w:t>Consumer</w:t>
      </w:r>
      <w:r>
        <w:rPr>
          <w:rFonts w:ascii="Arial" w:hAnsi="Arial"/>
          <w:i/>
          <w:color w:val="231F20"/>
          <w:spacing w:val="-5"/>
          <w:w w:val="110"/>
          <w:sz w:val="19"/>
        </w:rPr>
        <w:t> </w:t>
      </w:r>
      <w:r>
        <w:rPr>
          <w:rFonts w:ascii="Arial" w:hAnsi="Arial"/>
          <w:i/>
          <w:color w:val="231F20"/>
          <w:w w:val="110"/>
          <w:sz w:val="19"/>
        </w:rPr>
        <w:t>Needs</w:t>
      </w:r>
      <w:r>
        <w:rPr>
          <w:rFonts w:ascii="Arial" w:hAnsi="Arial"/>
          <w:i/>
          <w:color w:val="231F20"/>
          <w:spacing w:val="-40"/>
          <w:w w:val="110"/>
          <w:sz w:val="19"/>
        </w:rPr>
        <w:t> </w:t>
      </w:r>
      <w:r>
        <w:rPr>
          <w:rFonts w:ascii="Arial" w:hAnsi="Arial"/>
          <w:color w:val="231F20"/>
          <w:w w:val="110"/>
          <w:sz w:val="19"/>
        </w:rPr>
        <w:t>—</w:t>
      </w:r>
      <w:r>
        <w:rPr>
          <w:rFonts w:ascii="Arial" w:hAnsi="Arial"/>
          <w:color w:val="231F20"/>
          <w:spacing w:val="-39"/>
          <w:w w:val="110"/>
          <w:sz w:val="19"/>
        </w:rPr>
        <w:t> </w:t>
      </w:r>
      <w:r>
        <w:rPr>
          <w:rFonts w:ascii="Arial" w:hAnsi="Arial"/>
          <w:color w:val="231F20"/>
          <w:w w:val="110"/>
          <w:sz w:val="19"/>
        </w:rPr>
        <w:t>People</w:t>
      </w:r>
      <w:r>
        <w:rPr>
          <w:rFonts w:ascii="Arial" w:hAnsi="Arial"/>
          <w:color w:val="231F20"/>
          <w:spacing w:val="-5"/>
          <w:w w:val="110"/>
          <w:sz w:val="19"/>
        </w:rPr>
        <w:t> </w:t>
      </w:r>
      <w:r>
        <w:rPr>
          <w:rFonts w:ascii="Arial" w:hAnsi="Arial"/>
          <w:color w:val="231F20"/>
          <w:w w:val="110"/>
          <w:sz w:val="19"/>
        </w:rPr>
        <w:t>everywhere</w:t>
      </w:r>
      <w:r>
        <w:rPr>
          <w:rFonts w:ascii="Arial" w:hAnsi="Arial"/>
          <w:color w:val="231F20"/>
          <w:spacing w:val="-5"/>
          <w:w w:val="110"/>
          <w:sz w:val="19"/>
        </w:rPr>
        <w:t> </w:t>
      </w:r>
      <w:r>
        <w:rPr>
          <w:rFonts w:ascii="Arial" w:hAnsi="Arial"/>
          <w:color w:val="231F20"/>
          <w:w w:val="110"/>
          <w:sz w:val="19"/>
        </w:rPr>
        <w:t>are beginning to have the same tastes.</w:t>
      </w:r>
    </w:p>
    <w:p>
      <w:pPr>
        <w:spacing w:line="328" w:lineRule="auto" w:before="1"/>
        <w:ind w:left="1599" w:right="667" w:hanging="340"/>
        <w:jc w:val="left"/>
        <w:rPr>
          <w:rFonts w:ascii="Arial" w:hAnsi="Arial"/>
          <w:sz w:val="19"/>
        </w:rPr>
      </w:pPr>
      <w:r>
        <w:rPr>
          <w:rFonts w:ascii="Arial" w:hAnsi="Arial"/>
          <w:i/>
          <w:color w:val="231F20"/>
          <w:w w:val="110"/>
          <w:sz w:val="19"/>
        </w:rPr>
        <w:t>Technological Complexity and Change</w:t>
      </w:r>
      <w:r>
        <w:rPr>
          <w:rFonts w:ascii="Arial" w:hAnsi="Arial"/>
          <w:i/>
          <w:color w:val="231F20"/>
          <w:spacing w:val="-36"/>
          <w:w w:val="110"/>
          <w:sz w:val="19"/>
        </w:rPr>
        <w:t> </w:t>
      </w:r>
      <w:r>
        <w:rPr>
          <w:rFonts w:ascii="Arial" w:hAnsi="Arial"/>
          <w:color w:val="231F20"/>
          <w:w w:val="110"/>
          <w:sz w:val="19"/>
        </w:rPr>
        <w:t>—</w:t>
      </w:r>
      <w:r>
        <w:rPr>
          <w:rFonts w:ascii="Arial" w:hAnsi="Arial"/>
          <w:color w:val="231F20"/>
          <w:spacing w:val="-35"/>
          <w:w w:val="110"/>
          <w:sz w:val="19"/>
        </w:rPr>
        <w:t> </w:t>
      </w:r>
      <w:r>
        <w:rPr>
          <w:rFonts w:ascii="Arial" w:hAnsi="Arial"/>
          <w:color w:val="231F20"/>
          <w:w w:val="110"/>
          <w:sz w:val="19"/>
        </w:rPr>
        <w:t>Emerging </w:t>
      </w:r>
      <w:r>
        <w:rPr>
          <w:rFonts w:ascii="Arial" w:hAnsi="Arial"/>
          <w:color w:val="231F20"/>
          <w:w w:val="110"/>
          <w:sz w:val="19"/>
        </w:rPr>
        <w:t>high-tech </w:t>
      </w:r>
      <w:r>
        <w:rPr>
          <w:rFonts w:ascii="Arial" w:hAnsi="Arial"/>
          <w:color w:val="231F20"/>
          <w:w w:val="115"/>
          <w:sz w:val="19"/>
        </w:rPr>
        <w:t>industries require larger investments and worldwide efforts to keep pace with rapid change.</w:t>
      </w:r>
    </w:p>
    <w:p>
      <w:pPr>
        <w:spacing w:line="328" w:lineRule="auto" w:before="2"/>
        <w:ind w:left="1599" w:right="1045" w:hanging="340"/>
        <w:jc w:val="left"/>
        <w:rPr>
          <w:rFonts w:ascii="Arial" w:hAnsi="Arial"/>
          <w:sz w:val="19"/>
        </w:rPr>
      </w:pPr>
      <w:r>
        <w:rPr>
          <w:rFonts w:ascii="Arial" w:hAnsi="Arial"/>
          <w:i/>
          <w:color w:val="231F20"/>
          <w:w w:val="110"/>
          <w:sz w:val="19"/>
        </w:rPr>
        <w:t>MNC Rivalries</w:t>
      </w:r>
      <w:r>
        <w:rPr>
          <w:rFonts w:ascii="Arial" w:hAnsi="Arial"/>
          <w:i/>
          <w:color w:val="231F20"/>
          <w:spacing w:val="-36"/>
          <w:w w:val="110"/>
          <w:sz w:val="19"/>
        </w:rPr>
        <w:t> </w:t>
      </w:r>
      <w:r>
        <w:rPr>
          <w:rFonts w:ascii="Arial" w:hAnsi="Arial"/>
          <w:color w:val="231F20"/>
          <w:w w:val="110"/>
          <w:sz w:val="19"/>
        </w:rPr>
        <w:t>—</w:t>
      </w:r>
      <w:r>
        <w:rPr>
          <w:rFonts w:ascii="Arial" w:hAnsi="Arial"/>
          <w:color w:val="231F20"/>
          <w:spacing w:val="-36"/>
          <w:w w:val="110"/>
          <w:sz w:val="19"/>
        </w:rPr>
        <w:t> </w:t>
      </w:r>
      <w:r>
        <w:rPr>
          <w:rFonts w:ascii="Arial" w:hAnsi="Arial"/>
          <w:color w:val="231F20"/>
          <w:w w:val="110"/>
          <w:sz w:val="19"/>
        </w:rPr>
        <w:t>MNCs fight for world domination of their particular industries.</w:t>
      </w:r>
    </w:p>
    <w:p>
      <w:pPr>
        <w:pStyle w:val="BodyText"/>
        <w:spacing w:before="4"/>
        <w:rPr>
          <w:rFonts w:ascii="Arial"/>
          <w:sz w:val="24"/>
        </w:rPr>
      </w:pPr>
    </w:p>
    <w:p>
      <w:pPr>
        <w:pStyle w:val="BodyText"/>
        <w:spacing w:line="292" w:lineRule="auto"/>
        <w:ind w:left="920" w:right="666" w:firstLine="340"/>
        <w:jc w:val="both"/>
      </w:pPr>
      <w:r>
        <w:rPr>
          <w:color w:val="231F20"/>
        </w:rPr>
        <w:t>Sony and Matsushita have been battling for world dominance </w:t>
      </w:r>
      <w:r>
        <w:rPr>
          <w:color w:val="231F20"/>
        </w:rPr>
        <w:t>in the electronics industry. The rivalry is said to be personal between the</w:t>
      </w:r>
      <w:r>
        <w:rPr>
          <w:color w:val="231F20"/>
          <w:spacing w:val="40"/>
        </w:rPr>
        <w:t> </w:t>
      </w:r>
      <w:r>
        <w:rPr>
          <w:color w:val="231F20"/>
        </w:rPr>
        <w:t>two</w:t>
      </w:r>
      <w:r>
        <w:rPr>
          <w:color w:val="231F20"/>
          <w:spacing w:val="40"/>
        </w:rPr>
        <w:t> </w:t>
      </w:r>
      <w:r>
        <w:rPr>
          <w:color w:val="231F20"/>
        </w:rPr>
        <w:t>chairmen,</w:t>
      </w:r>
      <w:r>
        <w:rPr>
          <w:color w:val="231F20"/>
          <w:spacing w:val="40"/>
        </w:rPr>
        <w:t> </w:t>
      </w:r>
      <w:r>
        <w:rPr>
          <w:color w:val="231F20"/>
        </w:rPr>
        <w:t>Akio</w:t>
      </w:r>
      <w:r>
        <w:rPr>
          <w:color w:val="231F20"/>
          <w:spacing w:val="40"/>
        </w:rPr>
        <w:t> </w:t>
      </w:r>
      <w:r>
        <w:rPr>
          <w:color w:val="231F20"/>
        </w:rPr>
        <w:t>Morita</w:t>
      </w:r>
      <w:r>
        <w:rPr>
          <w:color w:val="231F20"/>
          <w:spacing w:val="40"/>
        </w:rPr>
        <w:t> </w:t>
      </w:r>
      <w:r>
        <w:rPr>
          <w:color w:val="231F20"/>
        </w:rPr>
        <w:t>of</w:t>
      </w:r>
      <w:r>
        <w:rPr>
          <w:color w:val="231F20"/>
          <w:spacing w:val="40"/>
        </w:rPr>
        <w:t> </w:t>
      </w:r>
      <w:r>
        <w:rPr>
          <w:color w:val="231F20"/>
        </w:rPr>
        <w:t>Sony</w:t>
      </w:r>
      <w:r>
        <w:rPr>
          <w:color w:val="231F20"/>
          <w:spacing w:val="40"/>
        </w:rPr>
        <w:t> </w:t>
      </w:r>
      <w:r>
        <w:rPr>
          <w:color w:val="231F20"/>
        </w:rPr>
        <w:t>and</w:t>
      </w:r>
      <w:r>
        <w:rPr>
          <w:color w:val="231F20"/>
          <w:spacing w:val="40"/>
        </w:rPr>
        <w:t> </w:t>
      </w:r>
      <w:r>
        <w:rPr>
          <w:color w:val="231F20"/>
        </w:rPr>
        <w:t>Masaharu</w:t>
      </w:r>
      <w:r>
        <w:rPr>
          <w:color w:val="231F20"/>
          <w:spacing w:val="40"/>
        </w:rPr>
        <w:t> </w:t>
      </w:r>
      <w:r>
        <w:rPr>
          <w:color w:val="231F20"/>
        </w:rPr>
        <w:t>Matsushita of</w:t>
      </w:r>
      <w:r>
        <w:rPr>
          <w:color w:val="231F20"/>
          <w:spacing w:val="56"/>
        </w:rPr>
        <w:t> </w:t>
      </w:r>
      <w:r>
        <w:rPr>
          <w:color w:val="231F20"/>
        </w:rPr>
        <w:t>Matsushita.</w:t>
      </w:r>
      <w:r>
        <w:rPr>
          <w:color w:val="231F20"/>
          <w:spacing w:val="56"/>
        </w:rPr>
        <w:t> </w:t>
      </w:r>
      <w:r>
        <w:rPr>
          <w:color w:val="231F20"/>
        </w:rPr>
        <w:t>After</w:t>
      </w:r>
      <w:r>
        <w:rPr>
          <w:color w:val="231F20"/>
          <w:spacing w:val="56"/>
        </w:rPr>
        <w:t> </w:t>
      </w:r>
      <w:r>
        <w:rPr>
          <w:color w:val="231F20"/>
        </w:rPr>
        <w:t>Sony</w:t>
      </w:r>
      <w:r>
        <w:rPr>
          <w:color w:val="231F20"/>
          <w:spacing w:val="56"/>
        </w:rPr>
        <w:t> </w:t>
      </w:r>
      <w:r>
        <w:rPr>
          <w:color w:val="231F20"/>
        </w:rPr>
        <w:t>bought</w:t>
      </w:r>
      <w:r>
        <w:rPr>
          <w:color w:val="231F20"/>
          <w:spacing w:val="57"/>
        </w:rPr>
        <w:t> </w:t>
      </w:r>
      <w:r>
        <w:rPr>
          <w:color w:val="231F20"/>
        </w:rPr>
        <w:t>Columbia</w:t>
      </w:r>
      <w:r>
        <w:rPr>
          <w:color w:val="231F20"/>
          <w:spacing w:val="56"/>
        </w:rPr>
        <w:t> </w:t>
      </w:r>
      <w:r>
        <w:rPr>
          <w:color w:val="231F20"/>
        </w:rPr>
        <w:t>Pictures</w:t>
      </w:r>
      <w:r>
        <w:rPr>
          <w:color w:val="231F20"/>
          <w:spacing w:val="56"/>
        </w:rPr>
        <w:t> </w:t>
      </w:r>
      <w:r>
        <w:rPr>
          <w:color w:val="231F20"/>
        </w:rPr>
        <w:t>in</w:t>
      </w:r>
      <w:r>
        <w:rPr>
          <w:color w:val="231F20"/>
          <w:spacing w:val="56"/>
        </w:rPr>
        <w:t> </w:t>
      </w:r>
      <w:r>
        <w:rPr>
          <w:color w:val="231F20"/>
        </w:rPr>
        <w:t>1989</w:t>
      </w:r>
      <w:r>
        <w:rPr>
          <w:color w:val="231F20"/>
          <w:spacing w:val="57"/>
        </w:rPr>
        <w:t> </w:t>
      </w:r>
      <w:r>
        <w:rPr>
          <w:color w:val="231F20"/>
          <w:spacing w:val="-5"/>
        </w:rPr>
        <w:t>for</w:t>
      </w:r>
    </w:p>
    <w:p>
      <w:pPr>
        <w:pStyle w:val="BodyText"/>
        <w:spacing w:line="292" w:lineRule="auto"/>
        <w:ind w:left="920" w:right="666"/>
        <w:jc w:val="both"/>
      </w:pPr>
      <w:r>
        <w:rPr>
          <w:color w:val="231F20"/>
          <w:w w:val="105"/>
        </w:rPr>
        <w:t>$3.4 billion, Matsushita bought MCA, Inc., in 1990 for $6.1 </w:t>
      </w:r>
      <w:r>
        <w:rPr>
          <w:color w:val="231F20"/>
          <w:w w:val="105"/>
        </w:rPr>
        <w:t>billion. One man could not be outshone by the other.</w:t>
      </w:r>
    </w:p>
    <w:p>
      <w:pPr>
        <w:pStyle w:val="BodyText"/>
        <w:spacing w:before="5"/>
        <w:rPr>
          <w:sz w:val="25"/>
        </w:rPr>
      </w:pPr>
    </w:p>
    <w:p>
      <w:pPr>
        <w:pStyle w:val="BodyText"/>
        <w:ind w:left="920"/>
        <w:jc w:val="both"/>
      </w:pPr>
      <w:r>
        <w:rPr>
          <w:color w:val="231F20"/>
        </w:rPr>
        <w:t>Forces</w:t>
      </w:r>
      <w:r>
        <w:rPr>
          <w:color w:val="231F20"/>
          <w:spacing w:val="-1"/>
        </w:rPr>
        <w:t> </w:t>
      </w:r>
      <w:r>
        <w:rPr>
          <w:color w:val="231F20"/>
        </w:rPr>
        <w:t>hindering </w:t>
      </w:r>
      <w:r>
        <w:rPr>
          <w:color w:val="231F20"/>
          <w:spacing w:val="-2"/>
        </w:rPr>
        <w:t>globalization:</w:t>
      </w:r>
    </w:p>
    <w:p>
      <w:pPr>
        <w:pStyle w:val="BodyText"/>
        <w:rPr>
          <w:sz w:val="32"/>
        </w:rPr>
      </w:pPr>
    </w:p>
    <w:p>
      <w:pPr>
        <w:spacing w:before="0"/>
        <w:ind w:left="1260" w:right="0" w:firstLine="0"/>
        <w:jc w:val="left"/>
        <w:rPr>
          <w:rFonts w:ascii="Arial" w:hAnsi="Arial"/>
          <w:sz w:val="19"/>
        </w:rPr>
      </w:pPr>
      <w:r>
        <w:rPr>
          <w:rFonts w:ascii="Arial" w:hAnsi="Arial"/>
          <w:i/>
          <w:color w:val="231F20"/>
          <w:w w:val="110"/>
          <w:sz w:val="19"/>
        </w:rPr>
        <w:t>Cost</w:t>
      </w:r>
      <w:r>
        <w:rPr>
          <w:rFonts w:ascii="Arial" w:hAnsi="Arial"/>
          <w:i/>
          <w:color w:val="231F20"/>
          <w:spacing w:val="13"/>
          <w:w w:val="110"/>
          <w:sz w:val="19"/>
        </w:rPr>
        <w:t> </w:t>
      </w:r>
      <w:r>
        <w:rPr>
          <w:rFonts w:ascii="Arial" w:hAnsi="Arial"/>
          <w:i/>
          <w:color w:val="231F20"/>
          <w:w w:val="110"/>
          <w:sz w:val="19"/>
        </w:rPr>
        <w:t>of</w:t>
      </w:r>
      <w:r>
        <w:rPr>
          <w:rFonts w:ascii="Arial" w:hAnsi="Arial"/>
          <w:i/>
          <w:color w:val="231F20"/>
          <w:spacing w:val="12"/>
          <w:w w:val="110"/>
          <w:sz w:val="19"/>
        </w:rPr>
        <w:t> </w:t>
      </w:r>
      <w:r>
        <w:rPr>
          <w:rFonts w:ascii="Arial" w:hAnsi="Arial"/>
          <w:i/>
          <w:color w:val="231F20"/>
          <w:w w:val="110"/>
          <w:sz w:val="19"/>
        </w:rPr>
        <w:t>Coordination</w:t>
      </w:r>
      <w:r>
        <w:rPr>
          <w:rFonts w:ascii="Arial" w:hAnsi="Arial"/>
          <w:color w:val="231F20"/>
          <w:w w:val="110"/>
          <w:sz w:val="19"/>
        </w:rPr>
        <w:t>—</w:t>
      </w:r>
      <w:r>
        <w:rPr>
          <w:rFonts w:ascii="Arial" w:hAnsi="Arial"/>
          <w:color w:val="231F20"/>
          <w:spacing w:val="-35"/>
          <w:w w:val="110"/>
          <w:sz w:val="19"/>
        </w:rPr>
        <w:t> </w:t>
      </w:r>
      <w:r>
        <w:rPr>
          <w:rFonts w:ascii="Arial" w:hAnsi="Arial"/>
          <w:color w:val="231F20"/>
          <w:w w:val="110"/>
          <w:sz w:val="19"/>
        </w:rPr>
        <w:t>More</w:t>
      </w:r>
      <w:r>
        <w:rPr>
          <w:rFonts w:ascii="Arial" w:hAnsi="Arial"/>
          <w:color w:val="231F20"/>
          <w:spacing w:val="14"/>
          <w:w w:val="110"/>
          <w:sz w:val="19"/>
        </w:rPr>
        <w:t> </w:t>
      </w:r>
      <w:r>
        <w:rPr>
          <w:rFonts w:ascii="Arial" w:hAnsi="Arial"/>
          <w:color w:val="231F20"/>
          <w:w w:val="110"/>
          <w:sz w:val="19"/>
        </w:rPr>
        <w:t>managers,</w:t>
      </w:r>
      <w:r>
        <w:rPr>
          <w:rFonts w:ascii="Arial" w:hAnsi="Arial"/>
          <w:color w:val="231F20"/>
          <w:spacing w:val="13"/>
          <w:w w:val="110"/>
          <w:sz w:val="19"/>
        </w:rPr>
        <w:t> </w:t>
      </w:r>
      <w:r>
        <w:rPr>
          <w:rFonts w:ascii="Arial" w:hAnsi="Arial"/>
          <w:color w:val="231F20"/>
          <w:w w:val="110"/>
          <w:sz w:val="19"/>
        </w:rPr>
        <w:t>communication</w:t>
      </w:r>
      <w:r>
        <w:rPr>
          <w:rFonts w:ascii="Arial" w:hAnsi="Arial"/>
          <w:color w:val="231F20"/>
          <w:spacing w:val="13"/>
          <w:w w:val="110"/>
          <w:sz w:val="19"/>
        </w:rPr>
        <w:t> </w:t>
      </w:r>
      <w:r>
        <w:rPr>
          <w:rFonts w:ascii="Arial" w:hAnsi="Arial"/>
          <w:color w:val="231F20"/>
          <w:spacing w:val="-2"/>
          <w:w w:val="110"/>
          <w:sz w:val="19"/>
        </w:rPr>
        <w:t>costs</w:t>
      </w:r>
    </w:p>
    <w:p>
      <w:pPr>
        <w:spacing w:line="328" w:lineRule="auto" w:before="82"/>
        <w:ind w:left="1600" w:right="1262" w:hanging="340"/>
        <w:jc w:val="left"/>
        <w:rPr>
          <w:rFonts w:ascii="Arial" w:hAnsi="Arial"/>
          <w:sz w:val="19"/>
        </w:rPr>
      </w:pPr>
      <w:r>
        <w:rPr>
          <w:rFonts w:ascii="Arial" w:hAnsi="Arial"/>
          <w:i/>
          <w:color w:val="231F20"/>
          <w:w w:val="110"/>
          <w:sz w:val="19"/>
        </w:rPr>
        <w:t>Geographic Restraints</w:t>
      </w:r>
      <w:r>
        <w:rPr>
          <w:rFonts w:ascii="Arial" w:hAnsi="Arial"/>
          <w:i/>
          <w:color w:val="231F20"/>
          <w:spacing w:val="-36"/>
          <w:w w:val="110"/>
          <w:sz w:val="19"/>
        </w:rPr>
        <w:t> </w:t>
      </w:r>
      <w:r>
        <w:rPr>
          <w:rFonts w:ascii="Arial" w:hAnsi="Arial"/>
          <w:color w:val="231F20"/>
          <w:w w:val="110"/>
          <w:sz w:val="19"/>
        </w:rPr>
        <w:t>—Transportation constraints and </w:t>
      </w:r>
      <w:r>
        <w:rPr>
          <w:rFonts w:ascii="Arial" w:hAnsi="Arial"/>
          <w:color w:val="231F20"/>
          <w:w w:val="115"/>
          <w:sz w:val="19"/>
        </w:rPr>
        <w:t>logistical barriers of operating over wider areas</w:t>
      </w:r>
    </w:p>
    <w:p>
      <w:pPr>
        <w:spacing w:after="0" w:line="328" w:lineRule="auto"/>
        <w:jc w:val="left"/>
        <w:rPr>
          <w:rFonts w:ascii="Arial" w:hAnsi="Arial"/>
          <w:sz w:val="19"/>
        </w:rPr>
        <w:sectPr>
          <w:pgSz w:w="8640" w:h="12960"/>
          <w:pgMar w:header="734" w:footer="0" w:top="920" w:bottom="280" w:left="340" w:right="500"/>
        </w:sectPr>
      </w:pPr>
    </w:p>
    <w:p>
      <w:pPr>
        <w:pStyle w:val="BodyText"/>
        <w:spacing w:before="8"/>
        <w:rPr>
          <w:rFonts w:ascii="Arial"/>
          <w:sz w:val="19"/>
        </w:rPr>
      </w:pPr>
    </w:p>
    <w:p>
      <w:pPr>
        <w:spacing w:line="328" w:lineRule="auto" w:before="97"/>
        <w:ind w:left="1509" w:right="1262" w:hanging="340"/>
        <w:jc w:val="left"/>
        <w:rPr>
          <w:rFonts w:ascii="Arial" w:hAnsi="Arial"/>
          <w:sz w:val="19"/>
        </w:rPr>
      </w:pPr>
      <w:r>
        <w:rPr>
          <w:rFonts w:ascii="Arial" w:hAnsi="Arial"/>
          <w:i/>
          <w:color w:val="231F20"/>
          <w:w w:val="110"/>
          <w:sz w:val="19"/>
        </w:rPr>
        <w:t>National</w:t>
      </w:r>
      <w:r>
        <w:rPr>
          <w:rFonts w:ascii="Arial" w:hAnsi="Arial"/>
          <w:i/>
          <w:color w:val="231F20"/>
          <w:spacing w:val="-15"/>
          <w:w w:val="110"/>
          <w:sz w:val="19"/>
        </w:rPr>
        <w:t> </w:t>
      </w:r>
      <w:r>
        <w:rPr>
          <w:rFonts w:ascii="Arial" w:hAnsi="Arial"/>
          <w:i/>
          <w:color w:val="231F20"/>
          <w:w w:val="110"/>
          <w:sz w:val="19"/>
        </w:rPr>
        <w:t>Differences</w:t>
      </w:r>
      <w:r>
        <w:rPr>
          <w:rFonts w:ascii="Arial" w:hAnsi="Arial"/>
          <w:i/>
          <w:color w:val="231F20"/>
          <w:spacing w:val="-39"/>
          <w:w w:val="110"/>
          <w:sz w:val="19"/>
        </w:rPr>
        <w:t> </w:t>
      </w:r>
      <w:r>
        <w:rPr>
          <w:rFonts w:ascii="Arial" w:hAnsi="Arial"/>
          <w:color w:val="231F20"/>
          <w:w w:val="110"/>
          <w:sz w:val="19"/>
        </w:rPr>
        <w:t>—Taste</w:t>
      </w:r>
      <w:r>
        <w:rPr>
          <w:rFonts w:ascii="Arial" w:hAnsi="Arial"/>
          <w:color w:val="231F20"/>
          <w:spacing w:val="-15"/>
          <w:w w:val="110"/>
          <w:sz w:val="19"/>
        </w:rPr>
        <w:t> </w:t>
      </w:r>
      <w:r>
        <w:rPr>
          <w:rFonts w:ascii="Arial" w:hAnsi="Arial"/>
          <w:color w:val="231F20"/>
          <w:w w:val="110"/>
          <w:sz w:val="19"/>
        </w:rPr>
        <w:t>preferences,</w:t>
      </w:r>
      <w:r>
        <w:rPr>
          <w:rFonts w:ascii="Arial" w:hAnsi="Arial"/>
          <w:color w:val="231F20"/>
          <w:spacing w:val="-14"/>
          <w:w w:val="110"/>
          <w:sz w:val="19"/>
        </w:rPr>
        <w:t> </w:t>
      </w:r>
      <w:r>
        <w:rPr>
          <w:rFonts w:ascii="Arial" w:hAnsi="Arial"/>
          <w:color w:val="231F20"/>
          <w:w w:val="110"/>
          <w:sz w:val="19"/>
        </w:rPr>
        <w:t>usage,</w:t>
      </w:r>
      <w:r>
        <w:rPr>
          <w:rFonts w:ascii="Arial" w:hAnsi="Arial"/>
          <w:color w:val="231F20"/>
          <w:spacing w:val="-15"/>
          <w:w w:val="110"/>
          <w:sz w:val="19"/>
        </w:rPr>
        <w:t> </w:t>
      </w:r>
      <w:r>
        <w:rPr>
          <w:rFonts w:ascii="Arial" w:hAnsi="Arial"/>
          <w:color w:val="231F20"/>
          <w:w w:val="110"/>
          <w:sz w:val="19"/>
        </w:rPr>
        <w:t>media, language, distribution channel differences</w:t>
      </w:r>
    </w:p>
    <w:p>
      <w:pPr>
        <w:spacing w:line="328" w:lineRule="auto" w:before="2"/>
        <w:ind w:left="1509" w:right="1262" w:hanging="340"/>
        <w:jc w:val="left"/>
        <w:rPr>
          <w:rFonts w:ascii="Arial" w:hAnsi="Arial"/>
          <w:sz w:val="19"/>
        </w:rPr>
      </w:pPr>
      <w:r>
        <w:rPr>
          <w:rFonts w:ascii="Arial" w:hAnsi="Arial"/>
          <w:i/>
          <w:color w:val="231F20"/>
          <w:w w:val="110"/>
          <w:sz w:val="19"/>
        </w:rPr>
        <w:t>Protectionism</w:t>
      </w:r>
      <w:r>
        <w:rPr>
          <w:rFonts w:ascii="Arial" w:hAnsi="Arial"/>
          <w:i/>
          <w:color w:val="231F20"/>
          <w:spacing w:val="-35"/>
          <w:w w:val="110"/>
          <w:sz w:val="19"/>
        </w:rPr>
        <w:t> </w:t>
      </w:r>
      <w:r>
        <w:rPr>
          <w:rFonts w:ascii="Arial" w:hAnsi="Arial"/>
          <w:color w:val="231F20"/>
          <w:w w:val="110"/>
          <w:sz w:val="19"/>
        </w:rPr>
        <w:t>—Tariffs, government subsidies, regulatory </w:t>
      </w:r>
      <w:r>
        <w:rPr>
          <w:rFonts w:ascii="Arial" w:hAnsi="Arial"/>
          <w:color w:val="231F20"/>
          <w:spacing w:val="-2"/>
          <w:w w:val="110"/>
          <w:sz w:val="19"/>
        </w:rPr>
        <w:t>approvals</w:t>
      </w:r>
    </w:p>
    <w:p>
      <w:pPr>
        <w:pStyle w:val="BodyText"/>
        <w:spacing w:before="2"/>
        <w:rPr>
          <w:rFonts w:ascii="Arial"/>
          <w:sz w:val="25"/>
        </w:rPr>
      </w:pPr>
    </w:p>
    <w:p>
      <w:pPr>
        <w:pStyle w:val="BodyText"/>
        <w:spacing w:line="292" w:lineRule="auto"/>
        <w:ind w:left="830" w:right="753" w:firstLine="340"/>
        <w:jc w:val="both"/>
      </w:pPr>
      <w:r>
        <w:rPr>
          <w:color w:val="231F20"/>
        </w:rPr>
        <w:t>The debate over which classification, global or national, an </w:t>
      </w:r>
      <w:r>
        <w:rPr>
          <w:color w:val="231F20"/>
        </w:rPr>
        <w:t>in- dustry belongs to is not as important as investigating the forces that do</w:t>
      </w:r>
      <w:r>
        <w:rPr>
          <w:color w:val="231F20"/>
          <w:spacing w:val="40"/>
        </w:rPr>
        <w:t> </w:t>
      </w:r>
      <w:r>
        <w:rPr>
          <w:color w:val="231F20"/>
        </w:rPr>
        <w:t>or</w:t>
      </w:r>
      <w:r>
        <w:rPr>
          <w:color w:val="231F20"/>
          <w:spacing w:val="40"/>
        </w:rPr>
        <w:t> </w:t>
      </w:r>
      <w:r>
        <w:rPr>
          <w:color w:val="231F20"/>
        </w:rPr>
        <w:t>don’t</w:t>
      </w:r>
      <w:r>
        <w:rPr>
          <w:color w:val="231F20"/>
          <w:spacing w:val="40"/>
        </w:rPr>
        <w:t> </w:t>
      </w:r>
      <w:r>
        <w:rPr>
          <w:color w:val="231F20"/>
        </w:rPr>
        <w:t>make</w:t>
      </w:r>
      <w:r>
        <w:rPr>
          <w:color w:val="231F20"/>
          <w:spacing w:val="40"/>
        </w:rPr>
        <w:t> </w:t>
      </w:r>
      <w:r>
        <w:rPr>
          <w:color w:val="231F20"/>
        </w:rPr>
        <w:t>it</w:t>
      </w:r>
      <w:r>
        <w:rPr>
          <w:color w:val="231F20"/>
          <w:spacing w:val="40"/>
        </w:rPr>
        <w:t> </w:t>
      </w:r>
      <w:r>
        <w:rPr>
          <w:color w:val="231F20"/>
        </w:rPr>
        <w:t>so.</w:t>
      </w:r>
      <w:r>
        <w:rPr>
          <w:color w:val="231F20"/>
          <w:spacing w:val="40"/>
        </w:rPr>
        <w:t> </w:t>
      </w:r>
      <w:r>
        <w:rPr>
          <w:color w:val="231F20"/>
        </w:rPr>
        <w:t>If</w:t>
      </w:r>
      <w:r>
        <w:rPr>
          <w:color w:val="231F20"/>
          <w:spacing w:val="40"/>
        </w:rPr>
        <w:t> </w:t>
      </w:r>
      <w:r>
        <w:rPr>
          <w:color w:val="231F20"/>
        </w:rPr>
        <w:t>a</w:t>
      </w:r>
      <w:r>
        <w:rPr>
          <w:color w:val="231F20"/>
          <w:spacing w:val="40"/>
        </w:rPr>
        <w:t> </w:t>
      </w:r>
      <w:r>
        <w:rPr>
          <w:color w:val="231F20"/>
        </w:rPr>
        <w:t>company</w:t>
      </w:r>
      <w:r>
        <w:rPr>
          <w:color w:val="231F20"/>
          <w:spacing w:val="40"/>
        </w:rPr>
        <w:t> </w:t>
      </w:r>
      <w:r>
        <w:rPr>
          <w:color w:val="231F20"/>
        </w:rPr>
        <w:t>finds</w:t>
      </w:r>
      <w:r>
        <w:rPr>
          <w:color w:val="231F20"/>
          <w:spacing w:val="40"/>
        </w:rPr>
        <w:t> </w:t>
      </w:r>
      <w:r>
        <w:rPr>
          <w:color w:val="231F20"/>
        </w:rPr>
        <w:t>itself</w:t>
      </w:r>
      <w:r>
        <w:rPr>
          <w:color w:val="231F20"/>
          <w:spacing w:val="40"/>
        </w:rPr>
        <w:t> </w:t>
      </w:r>
      <w:r>
        <w:rPr>
          <w:color w:val="231F20"/>
        </w:rPr>
        <w:t>in</w:t>
      </w:r>
      <w:r>
        <w:rPr>
          <w:color w:val="231F20"/>
          <w:spacing w:val="40"/>
        </w:rPr>
        <w:t> </w:t>
      </w:r>
      <w:r>
        <w:rPr>
          <w:color w:val="231F20"/>
        </w:rPr>
        <w:t>an</w:t>
      </w:r>
      <w:r>
        <w:rPr>
          <w:color w:val="231F20"/>
          <w:spacing w:val="40"/>
        </w:rPr>
        <w:t> </w:t>
      </w:r>
      <w:r>
        <w:rPr>
          <w:color w:val="231F20"/>
        </w:rPr>
        <w:t>emerging global industry, it must take action or it will be overtaken by others. Because the classification lies on a spectrum that ranges from national to global, the courses of action available are also in that range. A threatened automaker could lobby the government to close its market to foreigners to make an industry national. On the other hand, in the same situation the automaker may choose to pursue an aggressive expansion strategy, as Ford Motor Company and General Motors have done.</w:t>
      </w:r>
    </w:p>
    <w:p>
      <w:pPr>
        <w:pStyle w:val="BodyText"/>
        <w:rPr>
          <w:sz w:val="24"/>
        </w:rPr>
      </w:pPr>
    </w:p>
    <w:p>
      <w:pPr>
        <w:pStyle w:val="BodyText"/>
        <w:spacing w:before="8"/>
        <w:rPr>
          <w:sz w:val="24"/>
        </w:rPr>
      </w:pPr>
    </w:p>
    <w:p>
      <w:pPr>
        <w:pStyle w:val="Heading4"/>
        <w:ind w:left="300"/>
      </w:pPr>
      <w:r>
        <w:rPr>
          <w:color w:val="231F20"/>
          <w:w w:val="85"/>
        </w:rPr>
        <w:t>SYNERGY</w:t>
      </w:r>
      <w:r>
        <w:rPr>
          <w:color w:val="231F20"/>
          <w:spacing w:val="38"/>
        </w:rPr>
        <w:t> </w:t>
      </w:r>
      <w:r>
        <w:rPr>
          <w:color w:val="231F20"/>
          <w:w w:val="85"/>
        </w:rPr>
        <w:t>AND</w:t>
      </w:r>
      <w:r>
        <w:rPr>
          <w:color w:val="231F20"/>
          <w:spacing w:val="40"/>
        </w:rPr>
        <w:t> </w:t>
      </w:r>
      <w:r>
        <w:rPr>
          <w:color w:val="231F20"/>
          <w:spacing w:val="7"/>
          <w:w w:val="85"/>
        </w:rPr>
        <w:t>STRATEGY</w:t>
      </w:r>
    </w:p>
    <w:p>
      <w:pPr>
        <w:pStyle w:val="BodyText"/>
        <w:spacing w:before="10"/>
        <w:rPr>
          <w:rFonts w:ascii="Trebuchet MS"/>
          <w:sz w:val="29"/>
        </w:rPr>
      </w:pPr>
    </w:p>
    <w:p>
      <w:pPr>
        <w:pStyle w:val="BodyText"/>
        <w:spacing w:line="292" w:lineRule="auto"/>
        <w:ind w:left="829" w:right="756"/>
        <w:jc w:val="both"/>
      </w:pPr>
      <w:r>
        <w:rPr>
          <w:i/>
          <w:color w:val="231F20"/>
        </w:rPr>
        <w:t>Synergy </w:t>
      </w:r>
      <w:r>
        <w:rPr>
          <w:color w:val="231F20"/>
        </w:rPr>
        <w:t>is the benefit derived from combining two or more busi- nesses so that the performance of the combination is higher than </w:t>
      </w:r>
      <w:r>
        <w:rPr>
          <w:color w:val="231F20"/>
        </w:rPr>
        <w:t>the sum of the individual businesses. When you are making portfolio ac- quisitions and divestitures, synergy becomes a key issue. Mistakes are often made when the synergistic effects of combining businesses are not explicitly defined and quantified. There may be possibilities for shared production, distribution, and markets, but these </w:t>
      </w:r>
      <w:r>
        <w:rPr>
          <w:i/>
          <w:color w:val="231F20"/>
        </w:rPr>
        <w:t>linkages</w:t>
      </w:r>
      <w:r>
        <w:rPr>
          <w:i/>
          <w:color w:val="231F20"/>
        </w:rPr>
        <w:t> </w:t>
      </w:r>
      <w:r>
        <w:rPr>
          <w:color w:val="231F20"/>
        </w:rPr>
        <w:t>or </w:t>
      </w:r>
      <w:r>
        <w:rPr>
          <w:i/>
          <w:color w:val="231F20"/>
        </w:rPr>
        <w:t>interrelationships </w:t>
      </w:r>
      <w:r>
        <w:rPr>
          <w:color w:val="231F20"/>
        </w:rPr>
        <w:t>must be scrutinized before including them in</w:t>
      </w:r>
      <w:r>
        <w:rPr>
          <w:color w:val="231F20"/>
          <w:spacing w:val="80"/>
        </w:rPr>
        <w:t> </w:t>
      </w:r>
      <w:r>
        <w:rPr>
          <w:color w:val="231F20"/>
        </w:rPr>
        <w:t>the price of an acquisition or merger target. In a merger, the target company has to be valued so that the appropriate number of shares of the parent’s stock is exchanged for the target’s.</w:t>
      </w:r>
    </w:p>
    <w:p>
      <w:pPr>
        <w:pStyle w:val="BodyText"/>
        <w:spacing w:line="242" w:lineRule="exact"/>
        <w:ind w:left="1169"/>
        <w:jc w:val="both"/>
      </w:pPr>
      <w:r>
        <w:rPr>
          <w:color w:val="231F20"/>
        </w:rPr>
        <w:t>The</w:t>
      </w:r>
      <w:r>
        <w:rPr>
          <w:color w:val="231F20"/>
          <w:spacing w:val="6"/>
        </w:rPr>
        <w:t> </w:t>
      </w:r>
      <w:r>
        <w:rPr>
          <w:color w:val="231F20"/>
        </w:rPr>
        <w:t>four</w:t>
      </w:r>
      <w:r>
        <w:rPr>
          <w:color w:val="231F20"/>
          <w:spacing w:val="7"/>
        </w:rPr>
        <w:t> </w:t>
      </w:r>
      <w:r>
        <w:rPr>
          <w:color w:val="231F20"/>
        </w:rPr>
        <w:t>types</w:t>
      </w:r>
      <w:r>
        <w:rPr>
          <w:color w:val="231F20"/>
          <w:spacing w:val="6"/>
        </w:rPr>
        <w:t> </w:t>
      </w:r>
      <w:r>
        <w:rPr>
          <w:color w:val="231F20"/>
        </w:rPr>
        <w:t>of</w:t>
      </w:r>
      <w:r>
        <w:rPr>
          <w:color w:val="231F20"/>
          <w:spacing w:val="7"/>
        </w:rPr>
        <w:t> </w:t>
      </w:r>
      <w:r>
        <w:rPr>
          <w:color w:val="231F20"/>
        </w:rPr>
        <w:t>business</w:t>
      </w:r>
      <w:r>
        <w:rPr>
          <w:color w:val="231F20"/>
          <w:spacing w:val="7"/>
        </w:rPr>
        <w:t> </w:t>
      </w:r>
      <w:r>
        <w:rPr>
          <w:color w:val="231F20"/>
        </w:rPr>
        <w:t>linkages</w:t>
      </w:r>
      <w:r>
        <w:rPr>
          <w:color w:val="231F20"/>
          <w:spacing w:val="6"/>
        </w:rPr>
        <w:t> </w:t>
      </w:r>
      <w:r>
        <w:rPr>
          <w:color w:val="231F20"/>
          <w:spacing w:val="-4"/>
        </w:rPr>
        <w:t>are:</w:t>
      </w:r>
    </w:p>
    <w:p>
      <w:pPr>
        <w:pStyle w:val="BodyText"/>
        <w:rPr>
          <w:sz w:val="32"/>
        </w:rPr>
      </w:pPr>
    </w:p>
    <w:p>
      <w:pPr>
        <w:spacing w:before="0"/>
        <w:ind w:left="1170" w:right="0" w:firstLine="0"/>
        <w:jc w:val="left"/>
        <w:rPr>
          <w:rFonts w:ascii="Arial"/>
          <w:i/>
          <w:sz w:val="19"/>
        </w:rPr>
      </w:pPr>
      <w:r>
        <w:rPr>
          <w:rFonts w:ascii="Arial"/>
          <w:i/>
          <w:color w:val="231F20"/>
          <w:w w:val="110"/>
          <w:sz w:val="19"/>
        </w:rPr>
        <w:t>Market</w:t>
      </w:r>
      <w:r>
        <w:rPr>
          <w:rFonts w:ascii="Arial"/>
          <w:i/>
          <w:color w:val="231F20"/>
          <w:spacing w:val="9"/>
          <w:w w:val="110"/>
          <w:sz w:val="19"/>
        </w:rPr>
        <w:t> </w:t>
      </w:r>
      <w:r>
        <w:rPr>
          <w:rFonts w:ascii="Arial"/>
          <w:i/>
          <w:color w:val="231F20"/>
          <w:spacing w:val="-2"/>
          <w:w w:val="110"/>
          <w:sz w:val="19"/>
        </w:rPr>
        <w:t>Linkages</w:t>
      </w:r>
    </w:p>
    <w:p>
      <w:pPr>
        <w:spacing w:before="82"/>
        <w:ind w:left="1170" w:right="0" w:firstLine="0"/>
        <w:jc w:val="left"/>
        <w:rPr>
          <w:rFonts w:ascii="Arial" w:hAnsi="Arial"/>
          <w:sz w:val="19"/>
        </w:rPr>
      </w:pPr>
      <w:r>
        <w:rPr>
          <w:rFonts w:ascii="Arial" w:hAnsi="Arial"/>
          <w:color w:val="231F20"/>
          <w:w w:val="105"/>
          <w:sz w:val="19"/>
        </w:rPr>
        <w:t>Customer</w:t>
      </w:r>
      <w:r>
        <w:rPr>
          <w:rFonts w:ascii="Arial" w:hAnsi="Arial"/>
          <w:color w:val="231F20"/>
          <w:spacing w:val="29"/>
          <w:w w:val="105"/>
          <w:sz w:val="19"/>
        </w:rPr>
        <w:t> </w:t>
      </w:r>
      <w:r>
        <w:rPr>
          <w:rFonts w:ascii="Arial" w:hAnsi="Arial"/>
          <w:color w:val="231F20"/>
          <w:w w:val="105"/>
          <w:sz w:val="19"/>
        </w:rPr>
        <w:t>Bases—</w:t>
      </w:r>
      <w:r>
        <w:rPr>
          <w:rFonts w:ascii="Arial" w:hAnsi="Arial"/>
          <w:color w:val="231F20"/>
          <w:spacing w:val="-28"/>
          <w:w w:val="105"/>
          <w:sz w:val="19"/>
        </w:rPr>
        <w:t> </w:t>
      </w:r>
      <w:r>
        <w:rPr>
          <w:rFonts w:ascii="Arial" w:hAnsi="Arial"/>
          <w:color w:val="231F20"/>
          <w:w w:val="105"/>
          <w:sz w:val="19"/>
        </w:rPr>
        <w:t>same</w:t>
      </w:r>
      <w:r>
        <w:rPr>
          <w:rFonts w:ascii="Arial" w:hAnsi="Arial"/>
          <w:color w:val="231F20"/>
          <w:spacing w:val="29"/>
          <w:w w:val="105"/>
          <w:sz w:val="19"/>
        </w:rPr>
        <w:t> </w:t>
      </w:r>
      <w:r>
        <w:rPr>
          <w:rFonts w:ascii="Arial" w:hAnsi="Arial"/>
          <w:color w:val="231F20"/>
          <w:spacing w:val="-2"/>
          <w:w w:val="105"/>
          <w:sz w:val="19"/>
        </w:rPr>
        <w:t>buyers</w:t>
      </w:r>
    </w:p>
    <w:p>
      <w:pPr>
        <w:spacing w:before="81"/>
        <w:ind w:left="1170" w:right="0" w:firstLine="0"/>
        <w:jc w:val="left"/>
        <w:rPr>
          <w:rFonts w:ascii="Arial" w:hAnsi="Arial"/>
          <w:sz w:val="19"/>
        </w:rPr>
      </w:pPr>
      <w:r>
        <w:rPr>
          <w:rFonts w:ascii="Arial" w:hAnsi="Arial"/>
          <w:color w:val="231F20"/>
          <w:w w:val="110"/>
          <w:sz w:val="19"/>
        </w:rPr>
        <w:t>Distribution</w:t>
      </w:r>
      <w:r>
        <w:rPr>
          <w:rFonts w:ascii="Arial" w:hAnsi="Arial"/>
          <w:color w:val="231F20"/>
          <w:spacing w:val="4"/>
          <w:w w:val="110"/>
          <w:sz w:val="19"/>
        </w:rPr>
        <w:t> </w:t>
      </w:r>
      <w:r>
        <w:rPr>
          <w:rFonts w:ascii="Arial" w:hAnsi="Arial"/>
          <w:color w:val="231F20"/>
          <w:w w:val="110"/>
          <w:sz w:val="19"/>
        </w:rPr>
        <w:t>Channels</w:t>
      </w:r>
      <w:r>
        <w:rPr>
          <w:rFonts w:ascii="Arial" w:hAnsi="Arial"/>
          <w:color w:val="231F20"/>
          <w:spacing w:val="-38"/>
          <w:w w:val="110"/>
          <w:sz w:val="19"/>
        </w:rPr>
        <w:t> </w:t>
      </w:r>
      <w:r>
        <w:rPr>
          <w:rFonts w:ascii="Arial" w:hAnsi="Arial"/>
          <w:color w:val="231F20"/>
          <w:w w:val="110"/>
          <w:sz w:val="19"/>
        </w:rPr>
        <w:t>—</w:t>
      </w:r>
      <w:r>
        <w:rPr>
          <w:rFonts w:ascii="Arial" w:hAnsi="Arial"/>
          <w:color w:val="231F20"/>
          <w:spacing w:val="-37"/>
          <w:w w:val="110"/>
          <w:sz w:val="19"/>
        </w:rPr>
        <w:t> </w:t>
      </w:r>
      <w:r>
        <w:rPr>
          <w:rFonts w:ascii="Arial" w:hAnsi="Arial"/>
          <w:color w:val="231F20"/>
          <w:w w:val="110"/>
          <w:sz w:val="19"/>
        </w:rPr>
        <w:t>same</w:t>
      </w:r>
      <w:r>
        <w:rPr>
          <w:rFonts w:ascii="Arial" w:hAnsi="Arial"/>
          <w:color w:val="231F20"/>
          <w:spacing w:val="4"/>
          <w:w w:val="110"/>
          <w:sz w:val="19"/>
        </w:rPr>
        <w:t> </w:t>
      </w:r>
      <w:r>
        <w:rPr>
          <w:rFonts w:ascii="Arial" w:hAnsi="Arial"/>
          <w:color w:val="231F20"/>
          <w:w w:val="110"/>
          <w:sz w:val="19"/>
        </w:rPr>
        <w:t>path</w:t>
      </w:r>
      <w:r>
        <w:rPr>
          <w:rFonts w:ascii="Arial" w:hAnsi="Arial"/>
          <w:color w:val="231F20"/>
          <w:spacing w:val="5"/>
          <w:w w:val="110"/>
          <w:sz w:val="19"/>
        </w:rPr>
        <w:t> </w:t>
      </w:r>
      <w:r>
        <w:rPr>
          <w:rFonts w:ascii="Arial" w:hAnsi="Arial"/>
          <w:color w:val="231F20"/>
          <w:w w:val="110"/>
          <w:sz w:val="19"/>
        </w:rPr>
        <w:t>to</w:t>
      </w:r>
      <w:r>
        <w:rPr>
          <w:rFonts w:ascii="Arial" w:hAnsi="Arial"/>
          <w:color w:val="231F20"/>
          <w:spacing w:val="4"/>
          <w:w w:val="110"/>
          <w:sz w:val="19"/>
        </w:rPr>
        <w:t> </w:t>
      </w:r>
      <w:r>
        <w:rPr>
          <w:rFonts w:ascii="Arial" w:hAnsi="Arial"/>
          <w:color w:val="231F20"/>
          <w:w w:val="110"/>
          <w:sz w:val="19"/>
        </w:rPr>
        <w:t>the</w:t>
      </w:r>
      <w:r>
        <w:rPr>
          <w:rFonts w:ascii="Arial" w:hAnsi="Arial"/>
          <w:color w:val="231F20"/>
          <w:spacing w:val="5"/>
          <w:w w:val="110"/>
          <w:sz w:val="19"/>
        </w:rPr>
        <w:t> </w:t>
      </w:r>
      <w:r>
        <w:rPr>
          <w:rFonts w:ascii="Arial" w:hAnsi="Arial"/>
          <w:color w:val="231F20"/>
          <w:spacing w:val="-2"/>
          <w:w w:val="110"/>
          <w:sz w:val="19"/>
        </w:rPr>
        <w:t>consumer</w:t>
      </w:r>
    </w:p>
    <w:p>
      <w:pPr>
        <w:spacing w:after="0"/>
        <w:jc w:val="left"/>
        <w:rPr>
          <w:rFonts w:ascii="Arial" w:hAnsi="Arial"/>
          <w:sz w:val="19"/>
        </w:rPr>
        <w:sectPr>
          <w:pgSz w:w="8640" w:h="12960"/>
          <w:pgMar w:header="732" w:footer="0" w:top="920" w:bottom="280" w:left="340" w:right="500"/>
        </w:sectPr>
      </w:pPr>
    </w:p>
    <w:p>
      <w:pPr>
        <w:pStyle w:val="BodyText"/>
        <w:spacing w:before="8"/>
        <w:rPr>
          <w:rFonts w:ascii="Arial"/>
          <w:sz w:val="19"/>
        </w:rPr>
      </w:pPr>
    </w:p>
    <w:p>
      <w:pPr>
        <w:spacing w:line="328" w:lineRule="auto" w:before="95"/>
        <w:ind w:left="1600" w:right="1045" w:hanging="340"/>
        <w:jc w:val="left"/>
        <w:rPr>
          <w:rFonts w:ascii="Arial" w:hAnsi="Arial"/>
          <w:sz w:val="19"/>
        </w:rPr>
      </w:pPr>
      <w:r>
        <w:rPr>
          <w:rFonts w:ascii="Arial" w:hAnsi="Arial"/>
          <w:color w:val="231F20"/>
          <w:w w:val="110"/>
          <w:sz w:val="19"/>
        </w:rPr>
        <w:t>Brand Identifications—</w:t>
      </w:r>
      <w:r>
        <w:rPr>
          <w:rFonts w:ascii="Arial" w:hAnsi="Arial"/>
          <w:color w:val="231F20"/>
          <w:spacing w:val="-36"/>
          <w:w w:val="110"/>
          <w:sz w:val="19"/>
        </w:rPr>
        <w:t> </w:t>
      </w:r>
      <w:r>
        <w:rPr>
          <w:rFonts w:ascii="Arial" w:hAnsi="Arial"/>
          <w:color w:val="231F20"/>
          <w:w w:val="110"/>
          <w:sz w:val="19"/>
        </w:rPr>
        <w:t>transference of a brand’s name </w:t>
      </w:r>
      <w:r>
        <w:rPr>
          <w:rFonts w:ascii="Arial" w:hAnsi="Arial"/>
          <w:color w:val="231F20"/>
          <w:w w:val="110"/>
          <w:sz w:val="19"/>
        </w:rPr>
        <w:t>and </w:t>
      </w:r>
      <w:r>
        <w:rPr>
          <w:rFonts w:ascii="Arial" w:hAnsi="Arial"/>
          <w:color w:val="231F20"/>
          <w:w w:val="115"/>
          <w:sz w:val="19"/>
        </w:rPr>
        <w:t>equity to other products</w:t>
      </w:r>
    </w:p>
    <w:p>
      <w:pPr>
        <w:spacing w:before="2"/>
        <w:ind w:left="1260" w:right="0" w:firstLine="0"/>
        <w:jc w:val="left"/>
        <w:rPr>
          <w:rFonts w:ascii="Arial"/>
          <w:i/>
          <w:sz w:val="19"/>
        </w:rPr>
      </w:pPr>
      <w:r>
        <w:rPr>
          <w:rFonts w:ascii="Arial"/>
          <w:i/>
          <w:color w:val="231F20"/>
          <w:w w:val="110"/>
          <w:sz w:val="19"/>
        </w:rPr>
        <w:t>Technological</w:t>
      </w:r>
      <w:r>
        <w:rPr>
          <w:rFonts w:ascii="Arial"/>
          <w:i/>
          <w:color w:val="231F20"/>
          <w:spacing w:val="12"/>
          <w:w w:val="110"/>
          <w:sz w:val="19"/>
        </w:rPr>
        <w:t> </w:t>
      </w:r>
      <w:r>
        <w:rPr>
          <w:rFonts w:ascii="Arial"/>
          <w:i/>
          <w:color w:val="231F20"/>
          <w:spacing w:val="-2"/>
          <w:w w:val="110"/>
          <w:sz w:val="19"/>
        </w:rPr>
        <w:t>Linkages</w:t>
      </w:r>
    </w:p>
    <w:p>
      <w:pPr>
        <w:spacing w:line="328" w:lineRule="auto" w:before="81"/>
        <w:ind w:left="1260" w:right="1948" w:firstLine="0"/>
        <w:jc w:val="left"/>
        <w:rPr>
          <w:rFonts w:ascii="Arial" w:hAnsi="Arial"/>
          <w:sz w:val="19"/>
        </w:rPr>
      </w:pPr>
      <w:r>
        <w:rPr>
          <w:rFonts w:ascii="Arial" w:hAnsi="Arial"/>
          <w:color w:val="231F20"/>
          <w:w w:val="110"/>
          <w:sz w:val="19"/>
        </w:rPr>
        <w:t>Operations</w:t>
      </w:r>
      <w:r>
        <w:rPr>
          <w:rFonts w:ascii="Arial" w:hAnsi="Arial"/>
          <w:color w:val="231F20"/>
          <w:spacing w:val="-9"/>
          <w:w w:val="110"/>
          <w:sz w:val="19"/>
        </w:rPr>
        <w:t> </w:t>
      </w:r>
      <w:r>
        <w:rPr>
          <w:rFonts w:ascii="Arial" w:hAnsi="Arial"/>
          <w:color w:val="231F20"/>
          <w:w w:val="110"/>
          <w:sz w:val="19"/>
        </w:rPr>
        <w:t>Technologies</w:t>
      </w:r>
      <w:r>
        <w:rPr>
          <w:rFonts w:ascii="Arial" w:hAnsi="Arial"/>
          <w:color w:val="231F20"/>
          <w:spacing w:val="-40"/>
          <w:w w:val="110"/>
          <w:sz w:val="19"/>
        </w:rPr>
        <w:t> </w:t>
      </w:r>
      <w:r>
        <w:rPr>
          <w:rFonts w:ascii="Arial" w:hAnsi="Arial"/>
          <w:color w:val="231F20"/>
          <w:w w:val="110"/>
          <w:sz w:val="19"/>
        </w:rPr>
        <w:t>—</w:t>
      </w:r>
      <w:r>
        <w:rPr>
          <w:rFonts w:ascii="Arial" w:hAnsi="Arial"/>
          <w:color w:val="231F20"/>
          <w:spacing w:val="-39"/>
          <w:w w:val="110"/>
          <w:sz w:val="19"/>
        </w:rPr>
        <w:t> </w:t>
      </w:r>
      <w:r>
        <w:rPr>
          <w:rFonts w:ascii="Arial" w:hAnsi="Arial"/>
          <w:color w:val="231F20"/>
          <w:w w:val="110"/>
          <w:sz w:val="19"/>
        </w:rPr>
        <w:t>factory</w:t>
      </w:r>
      <w:r>
        <w:rPr>
          <w:rFonts w:ascii="Arial" w:hAnsi="Arial"/>
          <w:color w:val="231F20"/>
          <w:spacing w:val="-5"/>
          <w:w w:val="110"/>
          <w:sz w:val="19"/>
        </w:rPr>
        <w:t> </w:t>
      </w:r>
      <w:r>
        <w:rPr>
          <w:rFonts w:ascii="Arial" w:hAnsi="Arial"/>
          <w:color w:val="231F20"/>
          <w:w w:val="110"/>
          <w:sz w:val="19"/>
        </w:rPr>
        <w:t>processes New Product Technologies</w:t>
      </w:r>
      <w:r>
        <w:rPr>
          <w:rFonts w:ascii="Arial" w:hAnsi="Arial"/>
          <w:color w:val="231F20"/>
          <w:spacing w:val="-26"/>
          <w:w w:val="110"/>
          <w:sz w:val="19"/>
        </w:rPr>
        <w:t> </w:t>
      </w:r>
      <w:r>
        <w:rPr>
          <w:rFonts w:ascii="Arial" w:hAnsi="Arial"/>
          <w:color w:val="231F20"/>
          <w:w w:val="110"/>
          <w:sz w:val="19"/>
        </w:rPr>
        <w:t>—</w:t>
      </w:r>
      <w:r>
        <w:rPr>
          <w:rFonts w:ascii="Arial" w:hAnsi="Arial"/>
          <w:color w:val="231F20"/>
          <w:spacing w:val="-26"/>
          <w:w w:val="110"/>
          <w:sz w:val="19"/>
        </w:rPr>
        <w:t> </w:t>
      </w:r>
      <w:r>
        <w:rPr>
          <w:rFonts w:ascii="Arial" w:hAnsi="Arial"/>
          <w:color w:val="231F20"/>
          <w:w w:val="110"/>
          <w:sz w:val="19"/>
        </w:rPr>
        <w:t>research</w:t>
      </w:r>
    </w:p>
    <w:p>
      <w:pPr>
        <w:spacing w:before="2"/>
        <w:ind w:left="1260" w:right="0" w:firstLine="0"/>
        <w:jc w:val="left"/>
        <w:rPr>
          <w:rFonts w:ascii="Arial" w:hAnsi="Arial"/>
          <w:sz w:val="19"/>
        </w:rPr>
      </w:pPr>
      <w:r>
        <w:rPr>
          <w:rFonts w:ascii="Arial" w:hAnsi="Arial"/>
          <w:color w:val="231F20"/>
          <w:w w:val="110"/>
          <w:sz w:val="19"/>
        </w:rPr>
        <w:t>Information</w:t>
      </w:r>
      <w:r>
        <w:rPr>
          <w:rFonts w:ascii="Arial" w:hAnsi="Arial"/>
          <w:color w:val="231F20"/>
          <w:spacing w:val="4"/>
          <w:w w:val="110"/>
          <w:sz w:val="19"/>
        </w:rPr>
        <w:t> </w:t>
      </w:r>
      <w:r>
        <w:rPr>
          <w:rFonts w:ascii="Arial" w:hAnsi="Arial"/>
          <w:color w:val="231F20"/>
          <w:w w:val="110"/>
          <w:sz w:val="19"/>
        </w:rPr>
        <w:t>Technologies</w:t>
      </w:r>
      <w:r>
        <w:rPr>
          <w:rFonts w:ascii="Arial" w:hAnsi="Arial"/>
          <w:color w:val="231F20"/>
          <w:spacing w:val="-37"/>
          <w:w w:val="110"/>
          <w:sz w:val="19"/>
        </w:rPr>
        <w:t> </w:t>
      </w:r>
      <w:r>
        <w:rPr>
          <w:rFonts w:ascii="Arial" w:hAnsi="Arial"/>
          <w:color w:val="231F20"/>
          <w:w w:val="110"/>
          <w:sz w:val="19"/>
        </w:rPr>
        <w:t>—</w:t>
      </w:r>
      <w:r>
        <w:rPr>
          <w:rFonts w:ascii="Arial" w:hAnsi="Arial"/>
          <w:color w:val="231F20"/>
          <w:spacing w:val="-38"/>
          <w:w w:val="110"/>
          <w:sz w:val="19"/>
        </w:rPr>
        <w:t> </w:t>
      </w:r>
      <w:r>
        <w:rPr>
          <w:rFonts w:ascii="Arial" w:hAnsi="Arial"/>
          <w:color w:val="231F20"/>
          <w:w w:val="110"/>
          <w:sz w:val="19"/>
        </w:rPr>
        <w:t>data</w:t>
      </w:r>
      <w:r>
        <w:rPr>
          <w:rFonts w:ascii="Arial" w:hAnsi="Arial"/>
          <w:color w:val="231F20"/>
          <w:spacing w:val="5"/>
          <w:w w:val="110"/>
          <w:sz w:val="19"/>
        </w:rPr>
        <w:t> </w:t>
      </w:r>
      <w:r>
        <w:rPr>
          <w:rFonts w:ascii="Arial" w:hAnsi="Arial"/>
          <w:color w:val="231F20"/>
          <w:w w:val="110"/>
          <w:sz w:val="19"/>
        </w:rPr>
        <w:t>collection,</w:t>
      </w:r>
      <w:r>
        <w:rPr>
          <w:rFonts w:ascii="Arial" w:hAnsi="Arial"/>
          <w:color w:val="231F20"/>
          <w:spacing w:val="4"/>
          <w:w w:val="110"/>
          <w:sz w:val="19"/>
        </w:rPr>
        <w:t> </w:t>
      </w:r>
      <w:r>
        <w:rPr>
          <w:rFonts w:ascii="Arial" w:hAnsi="Arial"/>
          <w:color w:val="231F20"/>
          <w:spacing w:val="-2"/>
          <w:w w:val="110"/>
          <w:sz w:val="19"/>
        </w:rPr>
        <w:t>databases</w:t>
      </w:r>
    </w:p>
    <w:p>
      <w:pPr>
        <w:spacing w:before="81"/>
        <w:ind w:left="1260" w:right="0" w:firstLine="0"/>
        <w:jc w:val="left"/>
        <w:rPr>
          <w:rFonts w:ascii="Arial"/>
          <w:i/>
          <w:sz w:val="19"/>
        </w:rPr>
      </w:pPr>
      <w:r>
        <w:rPr>
          <w:rFonts w:ascii="Arial"/>
          <w:i/>
          <w:color w:val="231F20"/>
          <w:w w:val="115"/>
          <w:sz w:val="19"/>
        </w:rPr>
        <w:t>Product</w:t>
      </w:r>
      <w:r>
        <w:rPr>
          <w:rFonts w:ascii="Arial"/>
          <w:i/>
          <w:color w:val="231F20"/>
          <w:spacing w:val="-3"/>
          <w:w w:val="115"/>
          <w:sz w:val="19"/>
        </w:rPr>
        <w:t> </w:t>
      </w:r>
      <w:r>
        <w:rPr>
          <w:rFonts w:ascii="Arial"/>
          <w:i/>
          <w:color w:val="231F20"/>
          <w:spacing w:val="-2"/>
          <w:w w:val="115"/>
          <w:sz w:val="19"/>
        </w:rPr>
        <w:t>Linkages</w:t>
      </w:r>
    </w:p>
    <w:p>
      <w:pPr>
        <w:spacing w:before="82"/>
        <w:ind w:left="1260" w:right="0" w:firstLine="0"/>
        <w:jc w:val="left"/>
        <w:rPr>
          <w:rFonts w:ascii="Arial"/>
          <w:sz w:val="19"/>
        </w:rPr>
      </w:pPr>
      <w:r>
        <w:rPr>
          <w:rFonts w:ascii="Arial"/>
          <w:color w:val="231F20"/>
          <w:w w:val="110"/>
          <w:sz w:val="19"/>
        </w:rPr>
        <w:t>Product</w:t>
      </w:r>
      <w:r>
        <w:rPr>
          <w:rFonts w:ascii="Arial"/>
          <w:color w:val="231F20"/>
          <w:spacing w:val="9"/>
          <w:w w:val="110"/>
          <w:sz w:val="19"/>
        </w:rPr>
        <w:t> </w:t>
      </w:r>
      <w:r>
        <w:rPr>
          <w:rFonts w:ascii="Arial"/>
          <w:color w:val="231F20"/>
          <w:w w:val="110"/>
          <w:sz w:val="19"/>
        </w:rPr>
        <w:t>Line</w:t>
      </w:r>
      <w:r>
        <w:rPr>
          <w:rFonts w:ascii="Arial"/>
          <w:color w:val="231F20"/>
          <w:spacing w:val="9"/>
          <w:w w:val="110"/>
          <w:sz w:val="19"/>
        </w:rPr>
        <w:t> </w:t>
      </w:r>
      <w:r>
        <w:rPr>
          <w:rFonts w:ascii="Arial"/>
          <w:color w:val="231F20"/>
          <w:w w:val="110"/>
          <w:sz w:val="19"/>
        </w:rPr>
        <w:t>Extension</w:t>
      </w:r>
      <w:r>
        <w:rPr>
          <w:rFonts w:ascii="Arial"/>
          <w:color w:val="231F20"/>
          <w:spacing w:val="9"/>
          <w:w w:val="110"/>
          <w:sz w:val="19"/>
        </w:rPr>
        <w:t> </w:t>
      </w:r>
      <w:r>
        <w:rPr>
          <w:rFonts w:ascii="Arial"/>
          <w:color w:val="231F20"/>
          <w:spacing w:val="-2"/>
          <w:w w:val="110"/>
          <w:sz w:val="19"/>
        </w:rPr>
        <w:t>Possibilities</w:t>
      </w:r>
    </w:p>
    <w:p>
      <w:pPr>
        <w:spacing w:line="328" w:lineRule="auto" w:before="81"/>
        <w:ind w:left="1260" w:right="667" w:firstLine="0"/>
        <w:jc w:val="left"/>
        <w:rPr>
          <w:rFonts w:ascii="Arial" w:hAnsi="Arial"/>
          <w:sz w:val="19"/>
        </w:rPr>
      </w:pPr>
      <w:r>
        <w:rPr>
          <w:rFonts w:ascii="Arial" w:hAnsi="Arial"/>
          <w:color w:val="231F20"/>
          <w:w w:val="110"/>
          <w:sz w:val="19"/>
        </w:rPr>
        <w:t>Excess Production Capacity—</w:t>
      </w:r>
      <w:r>
        <w:rPr>
          <w:rFonts w:ascii="Arial" w:hAnsi="Arial"/>
          <w:color w:val="231F20"/>
          <w:spacing w:val="-34"/>
          <w:w w:val="110"/>
          <w:sz w:val="19"/>
        </w:rPr>
        <w:t> </w:t>
      </w:r>
      <w:r>
        <w:rPr>
          <w:rFonts w:ascii="Arial" w:hAnsi="Arial"/>
          <w:color w:val="231F20"/>
          <w:w w:val="110"/>
          <w:sz w:val="19"/>
        </w:rPr>
        <w:t>to be used for other </w:t>
      </w:r>
      <w:r>
        <w:rPr>
          <w:rFonts w:ascii="Arial" w:hAnsi="Arial"/>
          <w:color w:val="231F20"/>
          <w:w w:val="110"/>
          <w:sz w:val="19"/>
        </w:rPr>
        <w:t>products Materials Procurement—</w:t>
      </w:r>
      <w:r>
        <w:rPr>
          <w:rFonts w:ascii="Arial" w:hAnsi="Arial"/>
          <w:color w:val="231F20"/>
          <w:spacing w:val="-24"/>
          <w:w w:val="110"/>
          <w:sz w:val="19"/>
        </w:rPr>
        <w:t> </w:t>
      </w:r>
      <w:r>
        <w:rPr>
          <w:rFonts w:ascii="Arial" w:hAnsi="Arial"/>
          <w:color w:val="231F20"/>
          <w:w w:val="110"/>
          <w:sz w:val="19"/>
        </w:rPr>
        <w:t>buyer power with suppliers</w:t>
      </w:r>
    </w:p>
    <w:p>
      <w:pPr>
        <w:spacing w:before="1"/>
        <w:ind w:left="1600" w:right="0" w:firstLine="0"/>
        <w:jc w:val="left"/>
        <w:rPr>
          <w:rFonts w:ascii="Arial"/>
          <w:sz w:val="19"/>
        </w:rPr>
      </w:pPr>
      <w:r>
        <w:rPr>
          <w:rFonts w:ascii="Arial"/>
          <w:color w:val="231F20"/>
          <w:spacing w:val="-2"/>
          <w:w w:val="110"/>
          <w:sz w:val="19"/>
        </w:rPr>
        <w:t>enhanced</w:t>
      </w:r>
    </w:p>
    <w:p>
      <w:pPr>
        <w:spacing w:line="328" w:lineRule="auto" w:before="82"/>
        <w:ind w:left="1600" w:right="667" w:hanging="340"/>
        <w:jc w:val="left"/>
        <w:rPr>
          <w:rFonts w:ascii="Arial" w:hAnsi="Arial"/>
          <w:sz w:val="19"/>
        </w:rPr>
      </w:pPr>
      <w:r>
        <w:rPr>
          <w:rFonts w:ascii="Arial" w:hAnsi="Arial"/>
          <w:color w:val="231F20"/>
          <w:w w:val="110"/>
          <w:sz w:val="19"/>
        </w:rPr>
        <w:t>Staff Functions—The same accountants and personnel </w:t>
      </w:r>
      <w:r>
        <w:rPr>
          <w:rFonts w:ascii="Arial" w:hAnsi="Arial"/>
          <w:color w:val="231F20"/>
          <w:w w:val="110"/>
          <w:sz w:val="19"/>
        </w:rPr>
        <w:t>staff </w:t>
      </w:r>
      <w:r>
        <w:rPr>
          <w:rFonts w:ascii="Arial" w:hAnsi="Arial"/>
          <w:color w:val="231F20"/>
          <w:w w:val="115"/>
          <w:sz w:val="19"/>
        </w:rPr>
        <w:t>can provide services across product categories.</w:t>
      </w:r>
    </w:p>
    <w:p>
      <w:pPr>
        <w:spacing w:before="1"/>
        <w:ind w:left="1260" w:right="0" w:firstLine="0"/>
        <w:jc w:val="left"/>
        <w:rPr>
          <w:rFonts w:ascii="Arial"/>
          <w:i/>
          <w:sz w:val="19"/>
        </w:rPr>
      </w:pPr>
      <w:r>
        <w:rPr>
          <w:rFonts w:ascii="Arial"/>
          <w:i/>
          <w:color w:val="231F20"/>
          <w:w w:val="115"/>
          <w:sz w:val="19"/>
        </w:rPr>
        <w:t>Intangible</w:t>
      </w:r>
      <w:r>
        <w:rPr>
          <w:rFonts w:ascii="Arial"/>
          <w:i/>
          <w:color w:val="231F20"/>
          <w:spacing w:val="-3"/>
          <w:w w:val="115"/>
          <w:sz w:val="19"/>
        </w:rPr>
        <w:t> </w:t>
      </w:r>
      <w:r>
        <w:rPr>
          <w:rFonts w:ascii="Arial"/>
          <w:i/>
          <w:color w:val="231F20"/>
          <w:spacing w:val="-2"/>
          <w:w w:val="115"/>
          <w:sz w:val="19"/>
        </w:rPr>
        <w:t>Linkages</w:t>
      </w:r>
    </w:p>
    <w:p>
      <w:pPr>
        <w:spacing w:line="328" w:lineRule="auto" w:before="82"/>
        <w:ind w:left="1600" w:right="667" w:hanging="340"/>
        <w:jc w:val="left"/>
        <w:rPr>
          <w:rFonts w:ascii="Arial"/>
          <w:sz w:val="19"/>
        </w:rPr>
      </w:pPr>
      <w:r>
        <w:rPr>
          <w:rFonts w:ascii="Arial"/>
          <w:color w:val="231F20"/>
          <w:w w:val="110"/>
          <w:sz w:val="19"/>
        </w:rPr>
        <w:t>Shared Managerial Know-How: Experience with same type </w:t>
      </w:r>
      <w:r>
        <w:rPr>
          <w:rFonts w:ascii="Arial"/>
          <w:color w:val="231F20"/>
          <w:w w:val="110"/>
          <w:sz w:val="19"/>
        </w:rPr>
        <w:t>of </w:t>
      </w:r>
      <w:r>
        <w:rPr>
          <w:rFonts w:ascii="Arial"/>
          <w:color w:val="231F20"/>
          <w:spacing w:val="-2"/>
          <w:w w:val="110"/>
          <w:sz w:val="19"/>
        </w:rPr>
        <w:t>buyer</w:t>
      </w:r>
    </w:p>
    <w:p>
      <w:pPr>
        <w:spacing w:line="328" w:lineRule="auto" w:before="1"/>
        <w:ind w:left="1260" w:right="2842" w:firstLine="0"/>
        <w:jc w:val="left"/>
        <w:rPr>
          <w:rFonts w:ascii="Arial"/>
          <w:sz w:val="19"/>
        </w:rPr>
      </w:pPr>
      <w:r>
        <w:rPr>
          <w:rFonts w:ascii="Arial"/>
          <w:color w:val="231F20"/>
          <w:w w:val="115"/>
          <w:sz w:val="19"/>
        </w:rPr>
        <w:t>Similar</w:t>
      </w:r>
      <w:r>
        <w:rPr>
          <w:rFonts w:ascii="Arial"/>
          <w:color w:val="231F20"/>
          <w:spacing w:val="-16"/>
          <w:w w:val="115"/>
          <w:sz w:val="19"/>
        </w:rPr>
        <w:t> </w:t>
      </w:r>
      <w:r>
        <w:rPr>
          <w:rFonts w:ascii="Arial"/>
          <w:color w:val="231F20"/>
          <w:w w:val="115"/>
          <w:sz w:val="19"/>
        </w:rPr>
        <w:t>configuration</w:t>
      </w:r>
      <w:r>
        <w:rPr>
          <w:rFonts w:ascii="Arial"/>
          <w:color w:val="231F20"/>
          <w:spacing w:val="-15"/>
          <w:w w:val="115"/>
          <w:sz w:val="19"/>
        </w:rPr>
        <w:t> </w:t>
      </w:r>
      <w:r>
        <w:rPr>
          <w:rFonts w:ascii="Arial"/>
          <w:color w:val="231F20"/>
          <w:w w:val="115"/>
          <w:sz w:val="19"/>
        </w:rPr>
        <w:t>of</w:t>
      </w:r>
      <w:r>
        <w:rPr>
          <w:rFonts w:ascii="Arial"/>
          <w:color w:val="231F20"/>
          <w:spacing w:val="-15"/>
          <w:w w:val="115"/>
          <w:sz w:val="19"/>
        </w:rPr>
        <w:t> </w:t>
      </w:r>
      <w:r>
        <w:rPr>
          <w:rFonts w:ascii="Arial"/>
          <w:color w:val="231F20"/>
          <w:w w:val="115"/>
          <w:sz w:val="19"/>
        </w:rPr>
        <w:t>the</w:t>
      </w:r>
      <w:r>
        <w:rPr>
          <w:rFonts w:ascii="Arial"/>
          <w:color w:val="231F20"/>
          <w:spacing w:val="-15"/>
          <w:w w:val="115"/>
          <w:sz w:val="19"/>
        </w:rPr>
        <w:t> </w:t>
      </w:r>
      <w:r>
        <w:rPr>
          <w:rFonts w:ascii="Arial"/>
          <w:color w:val="231F20"/>
          <w:w w:val="115"/>
          <w:sz w:val="19"/>
        </w:rPr>
        <w:t>value</w:t>
      </w:r>
      <w:r>
        <w:rPr>
          <w:rFonts w:ascii="Arial"/>
          <w:color w:val="231F20"/>
          <w:spacing w:val="-15"/>
          <w:w w:val="115"/>
          <w:sz w:val="19"/>
        </w:rPr>
        <w:t> </w:t>
      </w:r>
      <w:r>
        <w:rPr>
          <w:rFonts w:ascii="Arial"/>
          <w:color w:val="231F20"/>
          <w:w w:val="115"/>
          <w:sz w:val="19"/>
        </w:rPr>
        <w:t>chain Similar generic strategies used</w:t>
      </w:r>
    </w:p>
    <w:p>
      <w:pPr>
        <w:pStyle w:val="BodyText"/>
        <w:spacing w:before="3"/>
        <w:rPr>
          <w:rFonts w:ascii="Arial"/>
          <w:sz w:val="25"/>
        </w:rPr>
      </w:pPr>
    </w:p>
    <w:p>
      <w:pPr>
        <w:pStyle w:val="BodyText"/>
        <w:spacing w:line="292" w:lineRule="auto"/>
        <w:ind w:left="920" w:right="663" w:firstLine="340"/>
        <w:jc w:val="both"/>
      </w:pPr>
      <w:r>
        <w:rPr>
          <w:color w:val="231F20"/>
          <w:w w:val="105"/>
        </w:rPr>
        <w:t>In</w:t>
      </w:r>
      <w:r>
        <w:rPr>
          <w:color w:val="231F20"/>
          <w:w w:val="105"/>
        </w:rPr>
        <w:t> November</w:t>
      </w:r>
      <w:r>
        <w:rPr>
          <w:color w:val="231F20"/>
          <w:w w:val="105"/>
        </w:rPr>
        <w:t> 1994,</w:t>
      </w:r>
      <w:r>
        <w:rPr>
          <w:color w:val="231F20"/>
          <w:w w:val="105"/>
        </w:rPr>
        <w:t> Quaker</w:t>
      </w:r>
      <w:r>
        <w:rPr>
          <w:color w:val="231F20"/>
          <w:w w:val="105"/>
        </w:rPr>
        <w:t> Oats</w:t>
      </w:r>
      <w:r>
        <w:rPr>
          <w:color w:val="231F20"/>
          <w:w w:val="105"/>
        </w:rPr>
        <w:t> thought</w:t>
      </w:r>
      <w:r>
        <w:rPr>
          <w:color w:val="231F20"/>
          <w:w w:val="105"/>
        </w:rPr>
        <w:t> it</w:t>
      </w:r>
      <w:r>
        <w:rPr>
          <w:color w:val="231F20"/>
          <w:w w:val="105"/>
        </w:rPr>
        <w:t> had</w:t>
      </w:r>
      <w:r>
        <w:rPr>
          <w:color w:val="231F20"/>
          <w:w w:val="105"/>
        </w:rPr>
        <w:t> the</w:t>
      </w:r>
      <w:r>
        <w:rPr>
          <w:color w:val="231F20"/>
          <w:w w:val="105"/>
        </w:rPr>
        <w:t> perfect match</w:t>
      </w:r>
      <w:r>
        <w:rPr>
          <w:color w:val="231F20"/>
          <w:w w:val="105"/>
        </w:rPr>
        <w:t> for</w:t>
      </w:r>
      <w:r>
        <w:rPr>
          <w:color w:val="231F20"/>
          <w:w w:val="105"/>
        </w:rPr>
        <w:t> its</w:t>
      </w:r>
      <w:r>
        <w:rPr>
          <w:color w:val="231F20"/>
          <w:w w:val="105"/>
        </w:rPr>
        <w:t> Gatorade</w:t>
      </w:r>
      <w:r>
        <w:rPr>
          <w:color w:val="231F20"/>
          <w:w w:val="105"/>
        </w:rPr>
        <w:t> sports</w:t>
      </w:r>
      <w:r>
        <w:rPr>
          <w:color w:val="231F20"/>
          <w:w w:val="105"/>
        </w:rPr>
        <w:t> drink:</w:t>
      </w:r>
      <w:r>
        <w:rPr>
          <w:color w:val="231F20"/>
          <w:w w:val="105"/>
        </w:rPr>
        <w:t> Snapple</w:t>
      </w:r>
      <w:r>
        <w:rPr>
          <w:color w:val="231F20"/>
          <w:w w:val="105"/>
        </w:rPr>
        <w:t> fruit</w:t>
      </w:r>
      <w:r>
        <w:rPr>
          <w:color w:val="231F20"/>
          <w:w w:val="105"/>
        </w:rPr>
        <w:t> juices</w:t>
      </w:r>
      <w:r>
        <w:rPr>
          <w:color w:val="231F20"/>
          <w:w w:val="105"/>
        </w:rPr>
        <w:t> and</w:t>
      </w:r>
      <w:r>
        <w:rPr>
          <w:color w:val="231F20"/>
          <w:w w:val="105"/>
        </w:rPr>
        <w:t> iced teas.</w:t>
      </w:r>
      <w:r>
        <w:rPr>
          <w:color w:val="231F20"/>
          <w:w w:val="105"/>
        </w:rPr>
        <w:t> The</w:t>
      </w:r>
      <w:r>
        <w:rPr>
          <w:color w:val="231F20"/>
          <w:w w:val="105"/>
        </w:rPr>
        <w:t> acquisition</w:t>
      </w:r>
      <w:r>
        <w:rPr>
          <w:color w:val="231F20"/>
          <w:w w:val="105"/>
        </w:rPr>
        <w:t> cost</w:t>
      </w:r>
      <w:r>
        <w:rPr>
          <w:color w:val="231F20"/>
          <w:w w:val="105"/>
        </w:rPr>
        <w:t> $1.7</w:t>
      </w:r>
      <w:r>
        <w:rPr>
          <w:color w:val="231F20"/>
          <w:w w:val="105"/>
        </w:rPr>
        <w:t> billion.</w:t>
      </w:r>
      <w:r>
        <w:rPr>
          <w:color w:val="231F20"/>
          <w:w w:val="105"/>
        </w:rPr>
        <w:t> Already</w:t>
      </w:r>
      <w:r>
        <w:rPr>
          <w:color w:val="231F20"/>
          <w:w w:val="105"/>
        </w:rPr>
        <w:t> a</w:t>
      </w:r>
      <w:r>
        <w:rPr>
          <w:color w:val="231F20"/>
          <w:w w:val="105"/>
        </w:rPr>
        <w:t> leader</w:t>
      </w:r>
      <w:r>
        <w:rPr>
          <w:color w:val="231F20"/>
          <w:w w:val="105"/>
        </w:rPr>
        <w:t> in</w:t>
      </w:r>
      <w:r>
        <w:rPr>
          <w:color w:val="231F20"/>
          <w:w w:val="105"/>
        </w:rPr>
        <w:t> noncar- bonated</w:t>
      </w:r>
      <w:r>
        <w:rPr>
          <w:color w:val="231F20"/>
          <w:spacing w:val="-10"/>
          <w:w w:val="105"/>
        </w:rPr>
        <w:t> </w:t>
      </w:r>
      <w:r>
        <w:rPr>
          <w:color w:val="231F20"/>
          <w:w w:val="105"/>
        </w:rPr>
        <w:t>beverages</w:t>
      </w:r>
      <w:r>
        <w:rPr>
          <w:color w:val="231F20"/>
          <w:spacing w:val="-10"/>
          <w:w w:val="105"/>
        </w:rPr>
        <w:t> </w:t>
      </w:r>
      <w:r>
        <w:rPr>
          <w:color w:val="231F20"/>
          <w:w w:val="105"/>
        </w:rPr>
        <w:t>with</w:t>
      </w:r>
      <w:r>
        <w:rPr>
          <w:color w:val="231F20"/>
          <w:spacing w:val="-10"/>
          <w:w w:val="105"/>
        </w:rPr>
        <w:t> </w:t>
      </w:r>
      <w:r>
        <w:rPr>
          <w:color w:val="231F20"/>
          <w:w w:val="105"/>
        </w:rPr>
        <w:t>the</w:t>
      </w:r>
      <w:r>
        <w:rPr>
          <w:color w:val="231F20"/>
          <w:spacing w:val="-10"/>
          <w:w w:val="105"/>
        </w:rPr>
        <w:t> </w:t>
      </w:r>
      <w:r>
        <w:rPr>
          <w:color w:val="231F20"/>
          <w:w w:val="105"/>
        </w:rPr>
        <w:t>Gatorade</w:t>
      </w:r>
      <w:r>
        <w:rPr>
          <w:color w:val="231F20"/>
          <w:spacing w:val="-10"/>
          <w:w w:val="105"/>
        </w:rPr>
        <w:t> </w:t>
      </w:r>
      <w:r>
        <w:rPr>
          <w:color w:val="231F20"/>
          <w:w w:val="105"/>
        </w:rPr>
        <w:t>brand,</w:t>
      </w:r>
      <w:r>
        <w:rPr>
          <w:color w:val="231F20"/>
          <w:spacing w:val="-10"/>
          <w:w w:val="105"/>
        </w:rPr>
        <w:t> </w:t>
      </w:r>
      <w:r>
        <w:rPr>
          <w:color w:val="231F20"/>
          <w:w w:val="105"/>
        </w:rPr>
        <w:t>Quaker</w:t>
      </w:r>
      <w:r>
        <w:rPr>
          <w:color w:val="231F20"/>
          <w:spacing w:val="-10"/>
          <w:w w:val="105"/>
        </w:rPr>
        <w:t> </w:t>
      </w:r>
      <w:r>
        <w:rPr>
          <w:color w:val="231F20"/>
          <w:w w:val="105"/>
        </w:rPr>
        <w:t>vaulted</w:t>
      </w:r>
      <w:r>
        <w:rPr>
          <w:color w:val="231F20"/>
          <w:spacing w:val="-10"/>
          <w:w w:val="105"/>
        </w:rPr>
        <w:t> </w:t>
      </w:r>
      <w:r>
        <w:rPr>
          <w:color w:val="231F20"/>
          <w:w w:val="105"/>
        </w:rPr>
        <w:t>to</w:t>
      </w:r>
      <w:r>
        <w:rPr>
          <w:color w:val="231F20"/>
          <w:spacing w:val="-10"/>
          <w:w w:val="105"/>
        </w:rPr>
        <w:t> </w:t>
      </w:r>
      <w:r>
        <w:rPr>
          <w:color w:val="231F20"/>
          <w:w w:val="105"/>
        </w:rPr>
        <w:t>the position</w:t>
      </w:r>
      <w:r>
        <w:rPr>
          <w:color w:val="231F20"/>
          <w:spacing w:val="-4"/>
          <w:w w:val="105"/>
        </w:rPr>
        <w:t> </w:t>
      </w:r>
      <w:r>
        <w:rPr>
          <w:color w:val="231F20"/>
          <w:w w:val="105"/>
        </w:rPr>
        <w:t>of</w:t>
      </w:r>
      <w:r>
        <w:rPr>
          <w:color w:val="231F20"/>
          <w:spacing w:val="-4"/>
          <w:w w:val="105"/>
        </w:rPr>
        <w:t> </w:t>
      </w:r>
      <w:r>
        <w:rPr>
          <w:color w:val="231F20"/>
          <w:w w:val="105"/>
        </w:rPr>
        <w:t>being</w:t>
      </w:r>
      <w:r>
        <w:rPr>
          <w:color w:val="231F20"/>
          <w:spacing w:val="-4"/>
          <w:w w:val="105"/>
        </w:rPr>
        <w:t> </w:t>
      </w:r>
      <w:r>
        <w:rPr>
          <w:color w:val="231F20"/>
          <w:w w:val="105"/>
        </w:rPr>
        <w:t>the</w:t>
      </w:r>
      <w:r>
        <w:rPr>
          <w:color w:val="231F20"/>
          <w:spacing w:val="-4"/>
          <w:w w:val="105"/>
        </w:rPr>
        <w:t> </w:t>
      </w:r>
      <w:r>
        <w:rPr>
          <w:color w:val="231F20"/>
          <w:w w:val="105"/>
        </w:rPr>
        <w:t>third-largest</w:t>
      </w:r>
      <w:r>
        <w:rPr>
          <w:color w:val="231F20"/>
          <w:spacing w:val="-4"/>
          <w:w w:val="105"/>
        </w:rPr>
        <w:t> </w:t>
      </w:r>
      <w:r>
        <w:rPr>
          <w:color w:val="231F20"/>
          <w:w w:val="105"/>
        </w:rPr>
        <w:t>beverage</w:t>
      </w:r>
      <w:r>
        <w:rPr>
          <w:color w:val="231F20"/>
          <w:spacing w:val="-4"/>
          <w:w w:val="105"/>
        </w:rPr>
        <w:t> </w:t>
      </w:r>
      <w:r>
        <w:rPr>
          <w:color w:val="231F20"/>
          <w:w w:val="105"/>
        </w:rPr>
        <w:t>company</w:t>
      </w:r>
      <w:r>
        <w:rPr>
          <w:color w:val="231F20"/>
          <w:spacing w:val="-4"/>
          <w:w w:val="105"/>
        </w:rPr>
        <w:t> </w:t>
      </w:r>
      <w:r>
        <w:rPr>
          <w:color w:val="231F20"/>
          <w:w w:val="105"/>
        </w:rPr>
        <w:t>behind</w:t>
      </w:r>
      <w:r>
        <w:rPr>
          <w:color w:val="231F20"/>
          <w:spacing w:val="-4"/>
          <w:w w:val="105"/>
        </w:rPr>
        <w:t> </w:t>
      </w:r>
      <w:r>
        <w:rPr>
          <w:color w:val="231F20"/>
          <w:w w:val="105"/>
        </w:rPr>
        <w:t>Coke and</w:t>
      </w:r>
      <w:r>
        <w:rPr>
          <w:color w:val="231F20"/>
          <w:spacing w:val="-8"/>
          <w:w w:val="105"/>
        </w:rPr>
        <w:t> </w:t>
      </w:r>
      <w:r>
        <w:rPr>
          <w:color w:val="231F20"/>
          <w:w w:val="105"/>
        </w:rPr>
        <w:t>Pepsi.</w:t>
      </w:r>
      <w:r>
        <w:rPr>
          <w:color w:val="231F20"/>
          <w:spacing w:val="-8"/>
          <w:w w:val="105"/>
        </w:rPr>
        <w:t> </w:t>
      </w:r>
      <w:r>
        <w:rPr>
          <w:color w:val="231F20"/>
          <w:w w:val="105"/>
        </w:rPr>
        <w:t>Quaker’s</w:t>
      </w:r>
      <w:r>
        <w:rPr>
          <w:color w:val="231F20"/>
          <w:spacing w:val="-8"/>
          <w:w w:val="105"/>
        </w:rPr>
        <w:t> </w:t>
      </w:r>
      <w:r>
        <w:rPr>
          <w:color w:val="231F20"/>
          <w:w w:val="105"/>
        </w:rPr>
        <w:t>analysts</w:t>
      </w:r>
      <w:r>
        <w:rPr>
          <w:color w:val="231F20"/>
          <w:spacing w:val="-8"/>
          <w:w w:val="105"/>
        </w:rPr>
        <w:t> </w:t>
      </w:r>
      <w:r>
        <w:rPr>
          <w:color w:val="231F20"/>
          <w:w w:val="105"/>
        </w:rPr>
        <w:t>thought</w:t>
      </w:r>
      <w:r>
        <w:rPr>
          <w:color w:val="231F20"/>
          <w:spacing w:val="-8"/>
          <w:w w:val="105"/>
        </w:rPr>
        <w:t> </w:t>
      </w:r>
      <w:r>
        <w:rPr>
          <w:color w:val="231F20"/>
          <w:w w:val="105"/>
        </w:rPr>
        <w:t>that</w:t>
      </w:r>
      <w:r>
        <w:rPr>
          <w:color w:val="231F20"/>
          <w:spacing w:val="-8"/>
          <w:w w:val="105"/>
        </w:rPr>
        <w:t> </w:t>
      </w:r>
      <w:r>
        <w:rPr>
          <w:color w:val="231F20"/>
          <w:w w:val="105"/>
        </w:rPr>
        <w:t>its</w:t>
      </w:r>
      <w:r>
        <w:rPr>
          <w:color w:val="231F20"/>
          <w:spacing w:val="-8"/>
          <w:w w:val="105"/>
        </w:rPr>
        <w:t> </w:t>
      </w:r>
      <w:r>
        <w:rPr>
          <w:color w:val="231F20"/>
          <w:w w:val="105"/>
        </w:rPr>
        <w:t>powerful</w:t>
      </w:r>
      <w:r>
        <w:rPr>
          <w:color w:val="231F20"/>
          <w:spacing w:val="-8"/>
          <w:w w:val="105"/>
        </w:rPr>
        <w:t> </w:t>
      </w:r>
      <w:r>
        <w:rPr>
          <w:color w:val="231F20"/>
          <w:w w:val="105"/>
        </w:rPr>
        <w:t>distribution system,</w:t>
      </w:r>
      <w:r>
        <w:rPr>
          <w:color w:val="231F20"/>
          <w:spacing w:val="-1"/>
          <w:w w:val="105"/>
        </w:rPr>
        <w:t> </w:t>
      </w:r>
      <w:r>
        <w:rPr>
          <w:color w:val="231F20"/>
          <w:w w:val="105"/>
        </w:rPr>
        <w:t>shared</w:t>
      </w:r>
      <w:r>
        <w:rPr>
          <w:color w:val="231F20"/>
          <w:spacing w:val="-1"/>
          <w:w w:val="105"/>
        </w:rPr>
        <w:t> </w:t>
      </w:r>
      <w:r>
        <w:rPr>
          <w:color w:val="231F20"/>
          <w:w w:val="105"/>
        </w:rPr>
        <w:t>manufacturing,</w:t>
      </w:r>
      <w:r>
        <w:rPr>
          <w:color w:val="231F20"/>
          <w:spacing w:val="-1"/>
          <w:w w:val="105"/>
        </w:rPr>
        <w:t> </w:t>
      </w:r>
      <w:r>
        <w:rPr>
          <w:color w:val="231F20"/>
          <w:w w:val="105"/>
        </w:rPr>
        <w:t>and</w:t>
      </w:r>
      <w:r>
        <w:rPr>
          <w:color w:val="231F20"/>
          <w:spacing w:val="-1"/>
          <w:w w:val="105"/>
        </w:rPr>
        <w:t> </w:t>
      </w:r>
      <w:r>
        <w:rPr>
          <w:color w:val="231F20"/>
          <w:w w:val="105"/>
        </w:rPr>
        <w:t>economies</w:t>
      </w:r>
      <w:r>
        <w:rPr>
          <w:color w:val="231F20"/>
          <w:spacing w:val="-1"/>
          <w:w w:val="105"/>
        </w:rPr>
        <w:t> </w:t>
      </w:r>
      <w:r>
        <w:rPr>
          <w:color w:val="231F20"/>
          <w:w w:val="105"/>
        </w:rPr>
        <w:t>of</w:t>
      </w:r>
      <w:r>
        <w:rPr>
          <w:color w:val="231F20"/>
          <w:spacing w:val="-1"/>
          <w:w w:val="105"/>
        </w:rPr>
        <w:t> </w:t>
      </w:r>
      <w:r>
        <w:rPr>
          <w:color w:val="231F20"/>
          <w:w w:val="105"/>
        </w:rPr>
        <w:t>scale</w:t>
      </w:r>
      <w:r>
        <w:rPr>
          <w:color w:val="231F20"/>
          <w:spacing w:val="-1"/>
          <w:w w:val="105"/>
        </w:rPr>
        <w:t> </w:t>
      </w:r>
      <w:r>
        <w:rPr>
          <w:color w:val="231F20"/>
          <w:w w:val="105"/>
        </w:rPr>
        <w:t>could</w:t>
      </w:r>
      <w:r>
        <w:rPr>
          <w:color w:val="231F20"/>
          <w:spacing w:val="-1"/>
          <w:w w:val="105"/>
        </w:rPr>
        <w:t> </w:t>
      </w:r>
      <w:r>
        <w:rPr>
          <w:color w:val="231F20"/>
          <w:w w:val="105"/>
        </w:rPr>
        <w:t>vault this</w:t>
      </w:r>
      <w:r>
        <w:rPr>
          <w:color w:val="231F20"/>
          <w:w w:val="105"/>
        </w:rPr>
        <w:t> New</w:t>
      </w:r>
      <w:r>
        <w:rPr>
          <w:color w:val="231F20"/>
          <w:w w:val="105"/>
        </w:rPr>
        <w:t> Age</w:t>
      </w:r>
      <w:r>
        <w:rPr>
          <w:color w:val="231F20"/>
          <w:w w:val="105"/>
        </w:rPr>
        <w:t> beverage</w:t>
      </w:r>
      <w:r>
        <w:rPr>
          <w:color w:val="231F20"/>
          <w:w w:val="105"/>
        </w:rPr>
        <w:t> to</w:t>
      </w:r>
      <w:r>
        <w:rPr>
          <w:color w:val="231F20"/>
          <w:w w:val="105"/>
        </w:rPr>
        <w:t> new</w:t>
      </w:r>
      <w:r>
        <w:rPr>
          <w:color w:val="231F20"/>
          <w:w w:val="105"/>
        </w:rPr>
        <w:t> heights</w:t>
      </w:r>
      <w:r>
        <w:rPr>
          <w:color w:val="231F20"/>
          <w:w w:val="105"/>
        </w:rPr>
        <w:t> of</w:t>
      </w:r>
      <w:r>
        <w:rPr>
          <w:color w:val="231F20"/>
          <w:w w:val="105"/>
        </w:rPr>
        <w:t> sales</w:t>
      </w:r>
      <w:r>
        <w:rPr>
          <w:color w:val="231F20"/>
          <w:w w:val="105"/>
        </w:rPr>
        <w:t> and</w:t>
      </w:r>
      <w:r>
        <w:rPr>
          <w:color w:val="231F20"/>
          <w:w w:val="105"/>
        </w:rPr>
        <w:t> profitability.</w:t>
      </w:r>
      <w:r>
        <w:rPr>
          <w:color w:val="231F20"/>
          <w:w w:val="105"/>
        </w:rPr>
        <w:t> It had many linkages going for it. However, Coke and Pepsi both ag- </w:t>
      </w:r>
      <w:r>
        <w:rPr>
          <w:color w:val="231F20"/>
          <w:spacing w:val="-2"/>
          <w:w w:val="105"/>
        </w:rPr>
        <w:t>gressively</w:t>
      </w:r>
      <w:r>
        <w:rPr>
          <w:color w:val="231F20"/>
          <w:spacing w:val="-4"/>
          <w:w w:val="105"/>
        </w:rPr>
        <w:t> </w:t>
      </w:r>
      <w:r>
        <w:rPr>
          <w:color w:val="231F20"/>
          <w:spacing w:val="-2"/>
          <w:w w:val="105"/>
        </w:rPr>
        <w:t>entered</w:t>
      </w:r>
      <w:r>
        <w:rPr>
          <w:color w:val="231F20"/>
          <w:spacing w:val="-4"/>
          <w:w w:val="105"/>
        </w:rPr>
        <w:t> </w:t>
      </w:r>
      <w:r>
        <w:rPr>
          <w:color w:val="231F20"/>
          <w:spacing w:val="-2"/>
          <w:w w:val="105"/>
        </w:rPr>
        <w:t>the</w:t>
      </w:r>
      <w:r>
        <w:rPr>
          <w:color w:val="231F20"/>
          <w:spacing w:val="-4"/>
          <w:w w:val="105"/>
        </w:rPr>
        <w:t> </w:t>
      </w:r>
      <w:r>
        <w:rPr>
          <w:color w:val="231F20"/>
          <w:spacing w:val="-2"/>
          <w:w w:val="105"/>
        </w:rPr>
        <w:t>market</w:t>
      </w:r>
      <w:r>
        <w:rPr>
          <w:color w:val="231F20"/>
          <w:spacing w:val="-4"/>
          <w:w w:val="105"/>
        </w:rPr>
        <w:t> </w:t>
      </w:r>
      <w:r>
        <w:rPr>
          <w:color w:val="231F20"/>
          <w:spacing w:val="-2"/>
          <w:w w:val="105"/>
        </w:rPr>
        <w:t>with</w:t>
      </w:r>
      <w:r>
        <w:rPr>
          <w:color w:val="231F20"/>
          <w:spacing w:val="-4"/>
          <w:w w:val="105"/>
        </w:rPr>
        <w:t> </w:t>
      </w:r>
      <w:r>
        <w:rPr>
          <w:color w:val="231F20"/>
          <w:spacing w:val="-2"/>
          <w:w w:val="105"/>
        </w:rPr>
        <w:t>lower-priced</w:t>
      </w:r>
      <w:r>
        <w:rPr>
          <w:color w:val="231F20"/>
          <w:spacing w:val="-4"/>
          <w:w w:val="105"/>
        </w:rPr>
        <w:t> </w:t>
      </w:r>
      <w:r>
        <w:rPr>
          <w:color w:val="231F20"/>
          <w:spacing w:val="-2"/>
          <w:w w:val="105"/>
        </w:rPr>
        <w:t>Lipton</w:t>
      </w:r>
      <w:r>
        <w:rPr>
          <w:color w:val="231F20"/>
          <w:spacing w:val="-4"/>
          <w:w w:val="105"/>
        </w:rPr>
        <w:t> </w:t>
      </w:r>
      <w:r>
        <w:rPr>
          <w:color w:val="231F20"/>
          <w:spacing w:val="-2"/>
          <w:w w:val="105"/>
        </w:rPr>
        <w:t>and</w:t>
      </w:r>
      <w:r>
        <w:rPr>
          <w:color w:val="231F20"/>
          <w:spacing w:val="-4"/>
          <w:w w:val="105"/>
        </w:rPr>
        <w:t> </w:t>
      </w:r>
      <w:r>
        <w:rPr>
          <w:color w:val="231F20"/>
          <w:spacing w:val="-2"/>
          <w:w w:val="105"/>
        </w:rPr>
        <w:t>Nestea </w:t>
      </w:r>
      <w:r>
        <w:rPr>
          <w:color w:val="231F20"/>
          <w:w w:val="105"/>
        </w:rPr>
        <w:t>tea</w:t>
      </w:r>
      <w:r>
        <w:rPr>
          <w:color w:val="231F20"/>
          <w:spacing w:val="-12"/>
          <w:w w:val="105"/>
        </w:rPr>
        <w:t> </w:t>
      </w:r>
      <w:r>
        <w:rPr>
          <w:color w:val="231F20"/>
          <w:w w:val="105"/>
        </w:rPr>
        <w:t>drinks.</w:t>
      </w:r>
      <w:r>
        <w:rPr>
          <w:color w:val="231F20"/>
          <w:spacing w:val="-12"/>
          <w:w w:val="105"/>
        </w:rPr>
        <w:t> </w:t>
      </w:r>
      <w:r>
        <w:rPr>
          <w:color w:val="231F20"/>
          <w:w w:val="105"/>
        </w:rPr>
        <w:t>Coke’s</w:t>
      </w:r>
      <w:r>
        <w:rPr>
          <w:color w:val="231F20"/>
          <w:spacing w:val="-12"/>
          <w:w w:val="105"/>
        </w:rPr>
        <w:t> </w:t>
      </w:r>
      <w:r>
        <w:rPr>
          <w:color w:val="231F20"/>
          <w:w w:val="105"/>
        </w:rPr>
        <w:t>Fruitopia</w:t>
      </w:r>
      <w:r>
        <w:rPr>
          <w:color w:val="231F20"/>
          <w:spacing w:val="-12"/>
          <w:w w:val="105"/>
        </w:rPr>
        <w:t> </w:t>
      </w:r>
      <w:r>
        <w:rPr>
          <w:color w:val="231F20"/>
          <w:w w:val="105"/>
        </w:rPr>
        <w:t>brand</w:t>
      </w:r>
      <w:r>
        <w:rPr>
          <w:color w:val="231F20"/>
          <w:spacing w:val="-12"/>
          <w:w w:val="105"/>
        </w:rPr>
        <w:t> </w:t>
      </w:r>
      <w:r>
        <w:rPr>
          <w:color w:val="231F20"/>
          <w:w w:val="105"/>
        </w:rPr>
        <w:t>attacked</w:t>
      </w:r>
      <w:r>
        <w:rPr>
          <w:color w:val="231F20"/>
          <w:spacing w:val="-12"/>
          <w:w w:val="105"/>
        </w:rPr>
        <w:t> </w:t>
      </w:r>
      <w:r>
        <w:rPr>
          <w:color w:val="231F20"/>
          <w:w w:val="105"/>
        </w:rPr>
        <w:t>Snapple</w:t>
      </w:r>
      <w:r>
        <w:rPr>
          <w:color w:val="231F20"/>
          <w:spacing w:val="-12"/>
          <w:w w:val="105"/>
        </w:rPr>
        <w:t> </w:t>
      </w:r>
      <w:r>
        <w:rPr>
          <w:color w:val="231F20"/>
          <w:w w:val="105"/>
        </w:rPr>
        <w:t>at</w:t>
      </w:r>
      <w:r>
        <w:rPr>
          <w:color w:val="231F20"/>
          <w:spacing w:val="-12"/>
          <w:w w:val="105"/>
        </w:rPr>
        <w:t> </w:t>
      </w:r>
      <w:r>
        <w:rPr>
          <w:color w:val="231F20"/>
          <w:w w:val="105"/>
        </w:rPr>
        <w:t>the</w:t>
      </w:r>
      <w:r>
        <w:rPr>
          <w:color w:val="231F20"/>
          <w:spacing w:val="-12"/>
          <w:w w:val="105"/>
        </w:rPr>
        <w:t> </w:t>
      </w:r>
      <w:r>
        <w:rPr>
          <w:color w:val="231F20"/>
          <w:w w:val="105"/>
        </w:rPr>
        <w:t>high</w:t>
      </w:r>
      <w:r>
        <w:rPr>
          <w:color w:val="231F20"/>
          <w:spacing w:val="-12"/>
          <w:w w:val="105"/>
        </w:rPr>
        <w:t> </w:t>
      </w:r>
      <w:r>
        <w:rPr>
          <w:color w:val="231F20"/>
          <w:w w:val="105"/>
        </w:rPr>
        <w:t>end as</w:t>
      </w:r>
      <w:r>
        <w:rPr>
          <w:color w:val="231F20"/>
          <w:w w:val="105"/>
        </w:rPr>
        <w:t> well.</w:t>
      </w:r>
      <w:r>
        <w:rPr>
          <w:color w:val="231F20"/>
          <w:w w:val="105"/>
        </w:rPr>
        <w:t> In</w:t>
      </w:r>
      <w:r>
        <w:rPr>
          <w:color w:val="231F20"/>
          <w:w w:val="105"/>
        </w:rPr>
        <w:t> the</w:t>
      </w:r>
      <w:r>
        <w:rPr>
          <w:color w:val="231F20"/>
          <w:w w:val="105"/>
        </w:rPr>
        <w:t> end,</w:t>
      </w:r>
      <w:r>
        <w:rPr>
          <w:color w:val="231F20"/>
          <w:w w:val="105"/>
        </w:rPr>
        <w:t> New</w:t>
      </w:r>
      <w:r>
        <w:rPr>
          <w:color w:val="231F20"/>
          <w:w w:val="105"/>
        </w:rPr>
        <w:t> Age</w:t>
      </w:r>
      <w:r>
        <w:rPr>
          <w:color w:val="231F20"/>
          <w:w w:val="105"/>
        </w:rPr>
        <w:t> became</w:t>
      </w:r>
      <w:r>
        <w:rPr>
          <w:color w:val="231F20"/>
          <w:w w:val="105"/>
        </w:rPr>
        <w:t> “old</w:t>
      </w:r>
      <w:r>
        <w:rPr>
          <w:color w:val="231F20"/>
          <w:w w:val="105"/>
        </w:rPr>
        <w:t> hat”</w:t>
      </w:r>
      <w:r>
        <w:rPr>
          <w:color w:val="231F20"/>
          <w:w w:val="105"/>
        </w:rPr>
        <w:t> by</w:t>
      </w:r>
      <w:r>
        <w:rPr>
          <w:color w:val="231F20"/>
          <w:w w:val="105"/>
        </w:rPr>
        <w:t> 1997</w:t>
      </w:r>
      <w:r>
        <w:rPr>
          <w:color w:val="231F20"/>
          <w:w w:val="105"/>
        </w:rPr>
        <w:t> and </w:t>
      </w:r>
      <w:r>
        <w:rPr>
          <w:color w:val="231F20"/>
          <w:spacing w:val="-2"/>
          <w:w w:val="105"/>
        </w:rPr>
        <w:t>Snapple’s</w:t>
      </w:r>
      <w:r>
        <w:rPr>
          <w:color w:val="231F20"/>
          <w:spacing w:val="-4"/>
          <w:w w:val="105"/>
        </w:rPr>
        <w:t> </w:t>
      </w:r>
      <w:r>
        <w:rPr>
          <w:color w:val="231F20"/>
          <w:spacing w:val="-2"/>
          <w:w w:val="105"/>
        </w:rPr>
        <w:t>sales</w:t>
      </w:r>
      <w:r>
        <w:rPr>
          <w:color w:val="231F20"/>
          <w:spacing w:val="-4"/>
          <w:w w:val="105"/>
        </w:rPr>
        <w:t> </w:t>
      </w:r>
      <w:r>
        <w:rPr>
          <w:color w:val="231F20"/>
          <w:spacing w:val="-2"/>
          <w:w w:val="105"/>
        </w:rPr>
        <w:t>collapsed.</w:t>
      </w:r>
      <w:r>
        <w:rPr>
          <w:color w:val="231F20"/>
          <w:spacing w:val="-4"/>
          <w:w w:val="105"/>
        </w:rPr>
        <w:t> </w:t>
      </w:r>
      <w:r>
        <w:rPr>
          <w:color w:val="231F20"/>
          <w:spacing w:val="-2"/>
          <w:w w:val="105"/>
        </w:rPr>
        <w:t>Taking</w:t>
      </w:r>
      <w:r>
        <w:rPr>
          <w:color w:val="231F20"/>
          <w:spacing w:val="-4"/>
          <w:w w:val="105"/>
        </w:rPr>
        <w:t> </w:t>
      </w:r>
      <w:r>
        <w:rPr>
          <w:color w:val="231F20"/>
          <w:spacing w:val="-2"/>
          <w:w w:val="105"/>
        </w:rPr>
        <w:t>a</w:t>
      </w:r>
      <w:r>
        <w:rPr>
          <w:color w:val="231F20"/>
          <w:spacing w:val="-4"/>
          <w:w w:val="105"/>
        </w:rPr>
        <w:t> </w:t>
      </w:r>
      <w:r>
        <w:rPr>
          <w:color w:val="231F20"/>
          <w:spacing w:val="-2"/>
          <w:w w:val="105"/>
        </w:rPr>
        <w:t>$1.4</w:t>
      </w:r>
      <w:r>
        <w:rPr>
          <w:color w:val="231F20"/>
          <w:spacing w:val="-4"/>
          <w:w w:val="105"/>
        </w:rPr>
        <w:t> </w:t>
      </w:r>
      <w:r>
        <w:rPr>
          <w:color w:val="231F20"/>
          <w:spacing w:val="-2"/>
          <w:w w:val="105"/>
        </w:rPr>
        <w:t>billion</w:t>
      </w:r>
      <w:r>
        <w:rPr>
          <w:color w:val="231F20"/>
          <w:spacing w:val="-4"/>
          <w:w w:val="105"/>
        </w:rPr>
        <w:t> </w:t>
      </w:r>
      <w:r>
        <w:rPr>
          <w:color w:val="231F20"/>
          <w:spacing w:val="-2"/>
          <w:w w:val="105"/>
        </w:rPr>
        <w:t>loss,</w:t>
      </w:r>
      <w:r>
        <w:rPr>
          <w:color w:val="231F20"/>
          <w:spacing w:val="-4"/>
          <w:w w:val="105"/>
        </w:rPr>
        <w:t> </w:t>
      </w:r>
      <w:r>
        <w:rPr>
          <w:color w:val="231F20"/>
          <w:spacing w:val="-2"/>
          <w:w w:val="105"/>
        </w:rPr>
        <w:t>Quaker</w:t>
      </w:r>
      <w:r>
        <w:rPr>
          <w:color w:val="231F20"/>
          <w:spacing w:val="-4"/>
          <w:w w:val="105"/>
        </w:rPr>
        <w:t> </w:t>
      </w:r>
      <w:r>
        <w:rPr>
          <w:color w:val="231F20"/>
          <w:spacing w:val="-2"/>
          <w:w w:val="105"/>
        </w:rPr>
        <w:t>sold</w:t>
      </w:r>
      <w:r>
        <w:rPr>
          <w:color w:val="231F20"/>
          <w:spacing w:val="-4"/>
          <w:w w:val="105"/>
        </w:rPr>
        <w:t> </w:t>
      </w:r>
      <w:r>
        <w:rPr>
          <w:color w:val="231F20"/>
          <w:spacing w:val="-2"/>
          <w:w w:val="105"/>
        </w:rPr>
        <w:t>the </w:t>
      </w:r>
      <w:r>
        <w:rPr>
          <w:color w:val="231F20"/>
          <w:w w:val="105"/>
        </w:rPr>
        <w:t>company</w:t>
      </w:r>
      <w:r>
        <w:rPr>
          <w:color w:val="231F20"/>
          <w:w w:val="105"/>
        </w:rPr>
        <w:t> for</w:t>
      </w:r>
      <w:r>
        <w:rPr>
          <w:color w:val="231F20"/>
          <w:w w:val="105"/>
        </w:rPr>
        <w:t> $300</w:t>
      </w:r>
      <w:r>
        <w:rPr>
          <w:color w:val="231F20"/>
          <w:w w:val="105"/>
        </w:rPr>
        <w:t> million</w:t>
      </w:r>
      <w:r>
        <w:rPr>
          <w:color w:val="231F20"/>
          <w:w w:val="105"/>
        </w:rPr>
        <w:t> to</w:t>
      </w:r>
      <w:r>
        <w:rPr>
          <w:color w:val="231F20"/>
          <w:w w:val="105"/>
        </w:rPr>
        <w:t> Triarc</w:t>
      </w:r>
      <w:r>
        <w:rPr>
          <w:color w:val="231F20"/>
          <w:w w:val="105"/>
        </w:rPr>
        <w:t> Companies,</w:t>
      </w:r>
      <w:r>
        <w:rPr>
          <w:color w:val="231F20"/>
          <w:w w:val="105"/>
        </w:rPr>
        <w:t> the</w:t>
      </w:r>
      <w:r>
        <w:rPr>
          <w:color w:val="231F20"/>
          <w:w w:val="105"/>
        </w:rPr>
        <w:t> maker</w:t>
      </w:r>
      <w:r>
        <w:rPr>
          <w:color w:val="231F20"/>
          <w:w w:val="105"/>
        </w:rPr>
        <w:t> of</w:t>
      </w:r>
      <w:r>
        <w:rPr>
          <w:color w:val="231F20"/>
          <w:w w:val="105"/>
        </w:rPr>
        <w:t> RC Cola</w:t>
      </w:r>
      <w:r>
        <w:rPr>
          <w:color w:val="231F20"/>
          <w:spacing w:val="-5"/>
          <w:w w:val="105"/>
        </w:rPr>
        <w:t> </w:t>
      </w:r>
      <w:r>
        <w:rPr>
          <w:color w:val="231F20"/>
          <w:w w:val="105"/>
        </w:rPr>
        <w:t>and</w:t>
      </w:r>
      <w:r>
        <w:rPr>
          <w:color w:val="231F20"/>
          <w:spacing w:val="-5"/>
          <w:w w:val="105"/>
        </w:rPr>
        <w:t> </w:t>
      </w:r>
      <w:r>
        <w:rPr>
          <w:color w:val="231F20"/>
          <w:w w:val="105"/>
        </w:rPr>
        <w:t>Mistic</w:t>
      </w:r>
      <w:r>
        <w:rPr>
          <w:color w:val="231F20"/>
          <w:spacing w:val="-5"/>
          <w:w w:val="105"/>
        </w:rPr>
        <w:t> </w:t>
      </w:r>
      <w:r>
        <w:rPr>
          <w:color w:val="231F20"/>
          <w:w w:val="105"/>
        </w:rPr>
        <w:t>fruit</w:t>
      </w:r>
      <w:r>
        <w:rPr>
          <w:color w:val="231F20"/>
          <w:spacing w:val="-5"/>
          <w:w w:val="105"/>
        </w:rPr>
        <w:t> </w:t>
      </w:r>
      <w:r>
        <w:rPr>
          <w:color w:val="231F20"/>
          <w:w w:val="105"/>
        </w:rPr>
        <w:t>juices.</w:t>
      </w:r>
      <w:r>
        <w:rPr>
          <w:color w:val="231F20"/>
          <w:spacing w:val="-5"/>
          <w:w w:val="105"/>
        </w:rPr>
        <w:t> </w:t>
      </w:r>
      <w:r>
        <w:rPr>
          <w:color w:val="231F20"/>
          <w:w w:val="105"/>
        </w:rPr>
        <w:t>Despite</w:t>
      </w:r>
      <w:r>
        <w:rPr>
          <w:color w:val="231F20"/>
          <w:spacing w:val="-5"/>
          <w:w w:val="105"/>
        </w:rPr>
        <w:t> </w:t>
      </w:r>
      <w:r>
        <w:rPr>
          <w:color w:val="231F20"/>
          <w:w w:val="105"/>
        </w:rPr>
        <w:t>the</w:t>
      </w:r>
      <w:r>
        <w:rPr>
          <w:color w:val="231F20"/>
          <w:spacing w:val="-5"/>
          <w:w w:val="105"/>
        </w:rPr>
        <w:t> </w:t>
      </w:r>
      <w:r>
        <w:rPr>
          <w:color w:val="231F20"/>
          <w:w w:val="105"/>
        </w:rPr>
        <w:t>linkages,</w:t>
      </w:r>
      <w:r>
        <w:rPr>
          <w:color w:val="231F20"/>
          <w:spacing w:val="-5"/>
          <w:w w:val="105"/>
        </w:rPr>
        <w:t> </w:t>
      </w:r>
      <w:r>
        <w:rPr>
          <w:color w:val="231F20"/>
          <w:w w:val="105"/>
        </w:rPr>
        <w:t>the</w:t>
      </w:r>
      <w:r>
        <w:rPr>
          <w:color w:val="231F20"/>
          <w:spacing w:val="-5"/>
          <w:w w:val="105"/>
        </w:rPr>
        <w:t> </w:t>
      </w:r>
      <w:r>
        <w:rPr>
          <w:color w:val="231F20"/>
          <w:w w:val="105"/>
        </w:rPr>
        <w:t>trendy</w:t>
      </w:r>
      <w:r>
        <w:rPr>
          <w:color w:val="231F20"/>
          <w:spacing w:val="-5"/>
          <w:w w:val="105"/>
        </w:rPr>
        <w:t> </w:t>
      </w:r>
      <w:r>
        <w:rPr>
          <w:color w:val="231F20"/>
          <w:w w:val="105"/>
        </w:rPr>
        <w:t>nature of</w:t>
      </w:r>
      <w:r>
        <w:rPr>
          <w:color w:val="231F20"/>
          <w:spacing w:val="-7"/>
          <w:w w:val="105"/>
        </w:rPr>
        <w:t> </w:t>
      </w:r>
      <w:r>
        <w:rPr>
          <w:color w:val="231F20"/>
          <w:w w:val="105"/>
        </w:rPr>
        <w:t>the</w:t>
      </w:r>
      <w:r>
        <w:rPr>
          <w:color w:val="231F20"/>
          <w:spacing w:val="-7"/>
          <w:w w:val="105"/>
        </w:rPr>
        <w:t> </w:t>
      </w:r>
      <w:r>
        <w:rPr>
          <w:color w:val="231F20"/>
          <w:w w:val="105"/>
        </w:rPr>
        <w:t>product</w:t>
      </w:r>
      <w:r>
        <w:rPr>
          <w:color w:val="231F20"/>
          <w:spacing w:val="-7"/>
          <w:w w:val="105"/>
        </w:rPr>
        <w:t> </w:t>
      </w:r>
      <w:r>
        <w:rPr>
          <w:color w:val="231F20"/>
          <w:w w:val="105"/>
        </w:rPr>
        <w:t>itself</w:t>
      </w:r>
      <w:r>
        <w:rPr>
          <w:color w:val="231F20"/>
          <w:spacing w:val="-7"/>
          <w:w w:val="105"/>
        </w:rPr>
        <w:t> </w:t>
      </w:r>
      <w:r>
        <w:rPr>
          <w:color w:val="231F20"/>
          <w:w w:val="105"/>
        </w:rPr>
        <w:t>overwhelmed</w:t>
      </w:r>
      <w:r>
        <w:rPr>
          <w:color w:val="231F20"/>
          <w:spacing w:val="-7"/>
          <w:w w:val="105"/>
        </w:rPr>
        <w:t> </w:t>
      </w:r>
      <w:r>
        <w:rPr>
          <w:color w:val="231F20"/>
          <w:w w:val="105"/>
        </w:rPr>
        <w:t>any</w:t>
      </w:r>
      <w:r>
        <w:rPr>
          <w:color w:val="231F20"/>
          <w:spacing w:val="-7"/>
          <w:w w:val="105"/>
        </w:rPr>
        <w:t> </w:t>
      </w:r>
      <w:r>
        <w:rPr>
          <w:color w:val="231F20"/>
          <w:w w:val="105"/>
        </w:rPr>
        <w:t>synergies</w:t>
      </w:r>
      <w:r>
        <w:rPr>
          <w:color w:val="231F20"/>
          <w:spacing w:val="-7"/>
          <w:w w:val="105"/>
        </w:rPr>
        <w:t> </w:t>
      </w:r>
      <w:r>
        <w:rPr>
          <w:color w:val="231F20"/>
          <w:w w:val="105"/>
        </w:rPr>
        <w:t>that</w:t>
      </w:r>
      <w:r>
        <w:rPr>
          <w:color w:val="231F20"/>
          <w:spacing w:val="-7"/>
          <w:w w:val="105"/>
        </w:rPr>
        <w:t> </w:t>
      </w:r>
      <w:r>
        <w:rPr>
          <w:color w:val="231F20"/>
          <w:w w:val="105"/>
        </w:rPr>
        <w:t>may</w:t>
      </w:r>
      <w:r>
        <w:rPr>
          <w:color w:val="231F20"/>
          <w:spacing w:val="-7"/>
          <w:w w:val="105"/>
        </w:rPr>
        <w:t> </w:t>
      </w:r>
      <w:r>
        <w:rPr>
          <w:color w:val="231F20"/>
          <w:w w:val="105"/>
        </w:rPr>
        <w:t>have</w:t>
      </w:r>
      <w:r>
        <w:rPr>
          <w:color w:val="231F20"/>
          <w:spacing w:val="-7"/>
          <w:w w:val="105"/>
        </w:rPr>
        <w:t> </w:t>
      </w:r>
      <w:r>
        <w:rPr>
          <w:color w:val="231F20"/>
          <w:w w:val="105"/>
        </w:rPr>
        <w:t>ex- isted for</w:t>
      </w:r>
      <w:r>
        <w:rPr>
          <w:color w:val="231F20"/>
          <w:spacing w:val="1"/>
          <w:w w:val="105"/>
        </w:rPr>
        <w:t> </w:t>
      </w:r>
      <w:r>
        <w:rPr>
          <w:color w:val="231F20"/>
          <w:w w:val="105"/>
        </w:rPr>
        <w:t>the</w:t>
      </w:r>
      <w:r>
        <w:rPr>
          <w:color w:val="231F20"/>
          <w:spacing w:val="1"/>
          <w:w w:val="105"/>
        </w:rPr>
        <w:t> </w:t>
      </w:r>
      <w:r>
        <w:rPr>
          <w:color w:val="231F20"/>
          <w:w w:val="105"/>
        </w:rPr>
        <w:t>transaction.</w:t>
      </w:r>
      <w:r>
        <w:rPr>
          <w:color w:val="231F20"/>
          <w:spacing w:val="1"/>
          <w:w w:val="105"/>
        </w:rPr>
        <w:t> </w:t>
      </w:r>
      <w:r>
        <w:rPr>
          <w:color w:val="231F20"/>
          <w:w w:val="105"/>
        </w:rPr>
        <w:t>Triarc,</w:t>
      </w:r>
      <w:r>
        <w:rPr>
          <w:color w:val="231F20"/>
          <w:spacing w:val="1"/>
          <w:w w:val="105"/>
        </w:rPr>
        <w:t> </w:t>
      </w:r>
      <w:r>
        <w:rPr>
          <w:color w:val="231F20"/>
          <w:w w:val="105"/>
        </w:rPr>
        <w:t>on</w:t>
      </w:r>
      <w:r>
        <w:rPr>
          <w:color w:val="231F20"/>
          <w:spacing w:val="1"/>
          <w:w w:val="105"/>
        </w:rPr>
        <w:t> </w:t>
      </w:r>
      <w:r>
        <w:rPr>
          <w:color w:val="231F20"/>
          <w:w w:val="105"/>
        </w:rPr>
        <w:t>the</w:t>
      </w:r>
      <w:r>
        <w:rPr>
          <w:color w:val="231F20"/>
          <w:spacing w:val="1"/>
          <w:w w:val="105"/>
        </w:rPr>
        <w:t> </w:t>
      </w:r>
      <w:r>
        <w:rPr>
          <w:color w:val="231F20"/>
          <w:w w:val="105"/>
        </w:rPr>
        <w:t>other</w:t>
      </w:r>
      <w:r>
        <w:rPr>
          <w:color w:val="231F20"/>
          <w:spacing w:val="1"/>
          <w:w w:val="105"/>
        </w:rPr>
        <w:t> </w:t>
      </w:r>
      <w:r>
        <w:rPr>
          <w:color w:val="231F20"/>
          <w:w w:val="105"/>
        </w:rPr>
        <w:t>hand,</w:t>
      </w:r>
      <w:r>
        <w:rPr>
          <w:color w:val="231F20"/>
          <w:spacing w:val="1"/>
          <w:w w:val="105"/>
        </w:rPr>
        <w:t> </w:t>
      </w:r>
      <w:r>
        <w:rPr>
          <w:color w:val="231F20"/>
          <w:w w:val="105"/>
        </w:rPr>
        <w:t>found value</w:t>
      </w:r>
      <w:r>
        <w:rPr>
          <w:color w:val="231F20"/>
          <w:spacing w:val="1"/>
          <w:w w:val="105"/>
        </w:rPr>
        <w:t> </w:t>
      </w:r>
      <w:r>
        <w:rPr>
          <w:color w:val="231F20"/>
          <w:spacing w:val="-5"/>
          <w:w w:val="105"/>
        </w:rPr>
        <w:t>by</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jc w:val="both"/>
      </w:pPr>
      <w:r>
        <w:rPr>
          <w:color w:val="231F20"/>
        </w:rPr>
        <w:t>returning to the strategies that had built the brand and in 2000 sold Snapple for $1.5 billion to soda maker Cadbury Schweppes.</w:t>
      </w:r>
    </w:p>
    <w:p>
      <w:pPr>
        <w:pStyle w:val="BodyText"/>
        <w:spacing w:line="292" w:lineRule="auto"/>
        <w:ind w:left="829" w:right="756" w:firstLine="340"/>
        <w:jc w:val="both"/>
      </w:pPr>
      <w:r>
        <w:rPr>
          <w:color w:val="231F20"/>
        </w:rPr>
        <w:t>Even when synergy does exist, there are often significant costs associated with making two organizations work together. Decision making may be hampered by lengthier processes of approval. In- creased organizational inflexibility may be the by-product of a </w:t>
      </w:r>
      <w:r>
        <w:rPr>
          <w:color w:val="231F20"/>
        </w:rPr>
        <w:t>larger organization. In rapidly changing markets, this inflexibility could be</w:t>
      </w:r>
      <w:r>
        <w:rPr>
          <w:color w:val="231F20"/>
          <w:spacing w:val="80"/>
        </w:rPr>
        <w:t> </w:t>
      </w:r>
      <w:r>
        <w:rPr>
          <w:color w:val="231F20"/>
        </w:rPr>
        <w:t>a strategic disadvantage.</w:t>
      </w:r>
    </w:p>
    <w:p>
      <w:pPr>
        <w:pStyle w:val="BodyText"/>
        <w:rPr>
          <w:sz w:val="24"/>
        </w:rPr>
      </w:pPr>
    </w:p>
    <w:p>
      <w:pPr>
        <w:pStyle w:val="BodyText"/>
        <w:spacing w:before="8"/>
        <w:rPr>
          <w:sz w:val="24"/>
        </w:rPr>
      </w:pPr>
    </w:p>
    <w:p>
      <w:pPr>
        <w:pStyle w:val="Heading4"/>
        <w:ind w:left="300"/>
      </w:pPr>
      <w:r>
        <w:rPr>
          <w:color w:val="231F20"/>
          <w:w w:val="85"/>
        </w:rPr>
        <w:t>STRATEGIC</w:t>
      </w:r>
      <w:r>
        <w:rPr>
          <w:color w:val="231F20"/>
          <w:spacing w:val="52"/>
          <w:w w:val="150"/>
        </w:rPr>
        <w:t> </w:t>
      </w:r>
      <w:r>
        <w:rPr>
          <w:color w:val="231F20"/>
          <w:spacing w:val="9"/>
          <w:w w:val="95"/>
        </w:rPr>
        <w:t>SKEPTICISM</w:t>
      </w:r>
    </w:p>
    <w:p>
      <w:pPr>
        <w:pStyle w:val="BodyText"/>
        <w:spacing w:before="10"/>
        <w:rPr>
          <w:rFonts w:ascii="Trebuchet MS"/>
          <w:sz w:val="29"/>
        </w:rPr>
      </w:pPr>
    </w:p>
    <w:p>
      <w:pPr>
        <w:pStyle w:val="BodyText"/>
        <w:spacing w:line="292" w:lineRule="auto" w:before="1"/>
        <w:ind w:left="830" w:right="756"/>
        <w:jc w:val="both"/>
      </w:pPr>
      <w:r>
        <w:rPr>
          <w:color w:val="231F20"/>
        </w:rPr>
        <w:t>The preceding discussion may have given the impression that </w:t>
      </w:r>
      <w:r>
        <w:rPr>
          <w:color w:val="231F20"/>
        </w:rPr>
        <w:t>corpo- rations are successful as a result of expert strategic planning. In the area</w:t>
      </w:r>
      <w:r>
        <w:rPr>
          <w:color w:val="231F20"/>
          <w:spacing w:val="36"/>
        </w:rPr>
        <w:t> </w:t>
      </w:r>
      <w:r>
        <w:rPr>
          <w:color w:val="231F20"/>
        </w:rPr>
        <w:t>that</w:t>
      </w:r>
      <w:r>
        <w:rPr>
          <w:color w:val="231F20"/>
          <w:spacing w:val="36"/>
        </w:rPr>
        <w:t> </w:t>
      </w:r>
      <w:r>
        <w:rPr>
          <w:color w:val="231F20"/>
        </w:rPr>
        <w:t>I</w:t>
      </w:r>
      <w:r>
        <w:rPr>
          <w:color w:val="231F20"/>
          <w:spacing w:val="36"/>
        </w:rPr>
        <w:t> </w:t>
      </w:r>
      <w:r>
        <w:rPr>
          <w:color w:val="231F20"/>
        </w:rPr>
        <w:t>call</w:t>
      </w:r>
      <w:r>
        <w:rPr>
          <w:color w:val="231F20"/>
          <w:spacing w:val="36"/>
        </w:rPr>
        <w:t> </w:t>
      </w:r>
      <w:r>
        <w:rPr>
          <w:i/>
          <w:color w:val="231F20"/>
        </w:rPr>
        <w:t>strategic</w:t>
      </w:r>
      <w:r>
        <w:rPr>
          <w:i/>
          <w:color w:val="231F20"/>
          <w:spacing w:val="36"/>
        </w:rPr>
        <w:t> </w:t>
      </w:r>
      <w:r>
        <w:rPr>
          <w:i/>
          <w:color w:val="231F20"/>
        </w:rPr>
        <w:t>skepticism,</w:t>
      </w:r>
      <w:r>
        <w:rPr>
          <w:i/>
          <w:color w:val="231F20"/>
          <w:spacing w:val="36"/>
        </w:rPr>
        <w:t> </w:t>
      </w:r>
      <w:r>
        <w:rPr>
          <w:color w:val="231F20"/>
        </w:rPr>
        <w:t>strategic</w:t>
      </w:r>
      <w:r>
        <w:rPr>
          <w:color w:val="231F20"/>
          <w:spacing w:val="36"/>
        </w:rPr>
        <w:t> </w:t>
      </w:r>
      <w:r>
        <w:rPr>
          <w:color w:val="231F20"/>
        </w:rPr>
        <w:t>planning</w:t>
      </w:r>
      <w:r>
        <w:rPr>
          <w:color w:val="231F20"/>
          <w:spacing w:val="36"/>
        </w:rPr>
        <w:t> </w:t>
      </w:r>
      <w:r>
        <w:rPr>
          <w:color w:val="231F20"/>
        </w:rPr>
        <w:t>is</w:t>
      </w:r>
      <w:r>
        <w:rPr>
          <w:color w:val="231F20"/>
          <w:spacing w:val="36"/>
        </w:rPr>
        <w:t> </w:t>
      </w:r>
      <w:r>
        <w:rPr>
          <w:color w:val="231F20"/>
        </w:rPr>
        <w:t>not</w:t>
      </w:r>
      <w:r>
        <w:rPr>
          <w:color w:val="231F20"/>
          <w:spacing w:val="36"/>
        </w:rPr>
        <w:t> </w:t>
      </w:r>
      <w:r>
        <w:rPr>
          <w:color w:val="231F20"/>
        </w:rPr>
        <w:t>quite the analytical process preached by academics.</w:t>
      </w:r>
    </w:p>
    <w:p>
      <w:pPr>
        <w:pStyle w:val="BodyText"/>
        <w:spacing w:line="292" w:lineRule="auto"/>
        <w:ind w:left="829" w:right="756" w:firstLine="340"/>
        <w:jc w:val="both"/>
        <w:rPr>
          <w:i/>
        </w:rPr>
      </w:pPr>
      <w:r>
        <w:rPr>
          <w:color w:val="231F20"/>
        </w:rPr>
        <w:t>According</w:t>
      </w:r>
      <w:r>
        <w:rPr>
          <w:color w:val="231F20"/>
          <w:spacing w:val="23"/>
        </w:rPr>
        <w:t> </w:t>
      </w:r>
      <w:r>
        <w:rPr>
          <w:color w:val="231F20"/>
        </w:rPr>
        <w:t>to</w:t>
      </w:r>
      <w:r>
        <w:rPr>
          <w:color w:val="231F20"/>
          <w:spacing w:val="23"/>
        </w:rPr>
        <w:t> </w:t>
      </w:r>
      <w:r>
        <w:rPr>
          <w:color w:val="231F20"/>
        </w:rPr>
        <w:t>James</w:t>
      </w:r>
      <w:r>
        <w:rPr>
          <w:color w:val="231F20"/>
          <w:spacing w:val="23"/>
        </w:rPr>
        <w:t> </w:t>
      </w:r>
      <w:r>
        <w:rPr>
          <w:color w:val="231F20"/>
        </w:rPr>
        <w:t>Brian</w:t>
      </w:r>
      <w:r>
        <w:rPr>
          <w:color w:val="231F20"/>
          <w:spacing w:val="23"/>
        </w:rPr>
        <w:t> </w:t>
      </w:r>
      <w:r>
        <w:rPr>
          <w:color w:val="231F20"/>
        </w:rPr>
        <w:t>Quinn</w:t>
      </w:r>
      <w:r>
        <w:rPr>
          <w:color w:val="231F20"/>
          <w:spacing w:val="23"/>
        </w:rPr>
        <w:t> </w:t>
      </w:r>
      <w:r>
        <w:rPr>
          <w:color w:val="231F20"/>
        </w:rPr>
        <w:t>of</w:t>
      </w:r>
      <w:r>
        <w:rPr>
          <w:color w:val="231F20"/>
          <w:spacing w:val="23"/>
        </w:rPr>
        <w:t> </w:t>
      </w:r>
      <w:r>
        <w:rPr>
          <w:color w:val="231F20"/>
        </w:rPr>
        <w:t>MIT’s</w:t>
      </w:r>
      <w:r>
        <w:rPr>
          <w:color w:val="231F20"/>
          <w:spacing w:val="23"/>
        </w:rPr>
        <w:t> </w:t>
      </w:r>
      <w:r>
        <w:rPr>
          <w:color w:val="231F20"/>
        </w:rPr>
        <w:t>Sloan</w:t>
      </w:r>
      <w:r>
        <w:rPr>
          <w:color w:val="231F20"/>
          <w:spacing w:val="23"/>
        </w:rPr>
        <w:t> </w:t>
      </w:r>
      <w:r>
        <w:rPr>
          <w:color w:val="231F20"/>
        </w:rPr>
        <w:t>School,</w:t>
      </w:r>
      <w:r>
        <w:rPr>
          <w:color w:val="231F20"/>
          <w:spacing w:val="23"/>
        </w:rPr>
        <w:t> </w:t>
      </w:r>
      <w:r>
        <w:rPr>
          <w:color w:val="231F20"/>
        </w:rPr>
        <w:t>strategy is considered to be a process of </w:t>
      </w:r>
      <w:r>
        <w:rPr>
          <w:i/>
          <w:color w:val="231F20"/>
        </w:rPr>
        <w:t>logical incrementalism. </w:t>
      </w:r>
      <w:r>
        <w:rPr>
          <w:color w:val="231F20"/>
        </w:rPr>
        <w:t>In his view, strategy is the result of many smaller decisions taken over a long time. Other theorists also hold that strategy is not as formal a</w:t>
      </w:r>
      <w:r>
        <w:rPr>
          <w:color w:val="231F20"/>
          <w:spacing w:val="80"/>
        </w:rPr>
        <w:t> </w:t>
      </w:r>
      <w:r>
        <w:rPr>
          <w:color w:val="231F20"/>
        </w:rPr>
        <w:t>process as that presented in the preceding pages. Strategy can take five forms, all starting with </w:t>
      </w:r>
      <w:r>
        <w:rPr>
          <w:i/>
          <w:color w:val="231F20"/>
        </w:rPr>
        <w:t>P:</w:t>
      </w:r>
    </w:p>
    <w:p>
      <w:pPr>
        <w:pStyle w:val="BodyText"/>
        <w:spacing w:before="1"/>
        <w:rPr>
          <w:i/>
          <w:sz w:val="27"/>
        </w:rPr>
      </w:pPr>
    </w:p>
    <w:p>
      <w:pPr>
        <w:pStyle w:val="ListParagraph"/>
        <w:numPr>
          <w:ilvl w:val="0"/>
          <w:numId w:val="45"/>
        </w:numPr>
        <w:tabs>
          <w:tab w:pos="1356" w:val="left" w:leader="none"/>
        </w:tabs>
        <w:spacing w:line="240" w:lineRule="auto" w:before="0" w:after="0"/>
        <w:ind w:left="1355" w:right="0" w:hanging="186"/>
        <w:jc w:val="left"/>
        <w:rPr>
          <w:sz w:val="19"/>
        </w:rPr>
      </w:pPr>
      <w:r>
        <w:rPr>
          <w:color w:val="231F20"/>
          <w:spacing w:val="-4"/>
          <w:w w:val="105"/>
          <w:sz w:val="19"/>
        </w:rPr>
        <w:t>Plan</w:t>
      </w:r>
    </w:p>
    <w:p>
      <w:pPr>
        <w:pStyle w:val="ListParagraph"/>
        <w:numPr>
          <w:ilvl w:val="0"/>
          <w:numId w:val="45"/>
        </w:numPr>
        <w:tabs>
          <w:tab w:pos="1356" w:val="left" w:leader="none"/>
        </w:tabs>
        <w:spacing w:line="240" w:lineRule="auto" w:before="81" w:after="0"/>
        <w:ind w:left="1355" w:right="0" w:hanging="186"/>
        <w:jc w:val="left"/>
        <w:rPr>
          <w:sz w:val="19"/>
        </w:rPr>
      </w:pPr>
      <w:r>
        <w:rPr>
          <w:color w:val="231F20"/>
          <w:spacing w:val="-4"/>
          <w:w w:val="115"/>
          <w:sz w:val="19"/>
        </w:rPr>
        <w:t>Ploy</w:t>
      </w:r>
    </w:p>
    <w:p>
      <w:pPr>
        <w:pStyle w:val="ListParagraph"/>
        <w:numPr>
          <w:ilvl w:val="0"/>
          <w:numId w:val="45"/>
        </w:numPr>
        <w:tabs>
          <w:tab w:pos="1356" w:val="left" w:leader="none"/>
        </w:tabs>
        <w:spacing w:line="240" w:lineRule="auto" w:before="82" w:after="0"/>
        <w:ind w:left="1355" w:right="0" w:hanging="186"/>
        <w:jc w:val="left"/>
        <w:rPr>
          <w:sz w:val="19"/>
        </w:rPr>
      </w:pPr>
      <w:r>
        <w:rPr>
          <w:color w:val="231F20"/>
          <w:spacing w:val="-2"/>
          <w:w w:val="120"/>
          <w:sz w:val="19"/>
        </w:rPr>
        <w:t>Pattern</w:t>
      </w:r>
    </w:p>
    <w:p>
      <w:pPr>
        <w:pStyle w:val="ListParagraph"/>
        <w:numPr>
          <w:ilvl w:val="0"/>
          <w:numId w:val="45"/>
        </w:numPr>
        <w:tabs>
          <w:tab w:pos="1356" w:val="left" w:leader="none"/>
        </w:tabs>
        <w:spacing w:line="240" w:lineRule="auto" w:before="81" w:after="0"/>
        <w:ind w:left="1355" w:right="0" w:hanging="186"/>
        <w:jc w:val="left"/>
        <w:rPr>
          <w:sz w:val="19"/>
        </w:rPr>
      </w:pPr>
      <w:r>
        <w:rPr>
          <w:color w:val="231F20"/>
          <w:spacing w:val="-2"/>
          <w:w w:val="110"/>
          <w:sz w:val="19"/>
        </w:rPr>
        <w:t>Process</w:t>
      </w:r>
    </w:p>
    <w:p>
      <w:pPr>
        <w:pStyle w:val="ListParagraph"/>
        <w:numPr>
          <w:ilvl w:val="0"/>
          <w:numId w:val="45"/>
        </w:numPr>
        <w:tabs>
          <w:tab w:pos="1356" w:val="left" w:leader="none"/>
        </w:tabs>
        <w:spacing w:line="240" w:lineRule="auto" w:before="82" w:after="0"/>
        <w:ind w:left="1355" w:right="0" w:hanging="186"/>
        <w:jc w:val="left"/>
        <w:rPr>
          <w:sz w:val="19"/>
        </w:rPr>
      </w:pPr>
      <w:r>
        <w:rPr>
          <w:color w:val="231F20"/>
          <w:spacing w:val="-2"/>
          <w:w w:val="115"/>
          <w:sz w:val="19"/>
        </w:rPr>
        <w:t>Perspective</w:t>
      </w:r>
    </w:p>
    <w:p>
      <w:pPr>
        <w:pStyle w:val="BodyText"/>
        <w:rPr>
          <w:rFonts w:ascii="Arial"/>
          <w:sz w:val="20"/>
        </w:rPr>
      </w:pPr>
    </w:p>
    <w:p>
      <w:pPr>
        <w:pStyle w:val="BodyText"/>
        <w:spacing w:line="292" w:lineRule="auto" w:before="130"/>
        <w:ind w:left="830" w:right="756" w:firstLine="339"/>
        <w:jc w:val="both"/>
      </w:pPr>
      <w:r>
        <w:rPr>
          <w:color w:val="231F20"/>
        </w:rPr>
        <w:t>In one company, strategy is the result of a formal </w:t>
      </w:r>
      <w:r>
        <w:rPr>
          <w:i/>
          <w:color w:val="231F20"/>
        </w:rPr>
        <w:t>plan. </w:t>
      </w:r>
      <w:r>
        <w:rPr>
          <w:color w:val="231F20"/>
        </w:rPr>
        <w:t>General Electric buys and sells its divisions using McKinsey’s portfolio tech- niques. In another, strategy is the execution of a successful tactical </w:t>
      </w:r>
      <w:r>
        <w:rPr>
          <w:i/>
          <w:color w:val="231F20"/>
        </w:rPr>
        <w:t>ploy. </w:t>
      </w:r>
      <w:r>
        <w:rPr>
          <w:color w:val="231F20"/>
        </w:rPr>
        <w:t>Instead of marketing coffee only in grocery stores, Kraft Foods uses mail order to sell its Gevalia brand.</w:t>
      </w:r>
    </w:p>
    <w:p>
      <w:pPr>
        <w:spacing w:line="292" w:lineRule="auto" w:before="0"/>
        <w:ind w:left="830" w:right="756" w:firstLine="340"/>
        <w:jc w:val="both"/>
        <w:rPr>
          <w:sz w:val="21"/>
        </w:rPr>
      </w:pPr>
      <w:r>
        <w:rPr>
          <w:color w:val="231F20"/>
          <w:sz w:val="21"/>
        </w:rPr>
        <w:t>Strategy can also be just a </w:t>
      </w:r>
      <w:r>
        <w:rPr>
          <w:i/>
          <w:color w:val="231F20"/>
          <w:sz w:val="21"/>
        </w:rPr>
        <w:t>pattern, </w:t>
      </w:r>
      <w:r>
        <w:rPr>
          <w:color w:val="231F20"/>
          <w:sz w:val="21"/>
        </w:rPr>
        <w:t>a </w:t>
      </w:r>
      <w:r>
        <w:rPr>
          <w:i/>
          <w:color w:val="231F20"/>
          <w:sz w:val="21"/>
        </w:rPr>
        <w:t>process, </w:t>
      </w:r>
      <w:r>
        <w:rPr>
          <w:color w:val="231F20"/>
          <w:sz w:val="21"/>
        </w:rPr>
        <w:t>or </w:t>
      </w:r>
      <w:r>
        <w:rPr>
          <w:i/>
          <w:color w:val="231F20"/>
          <w:sz w:val="21"/>
        </w:rPr>
        <w:t>perspective </w:t>
      </w:r>
      <w:r>
        <w:rPr>
          <w:color w:val="231F20"/>
          <w:sz w:val="21"/>
        </w:rPr>
        <w:t>of conducting</w:t>
      </w:r>
      <w:r>
        <w:rPr>
          <w:color w:val="231F20"/>
          <w:spacing w:val="9"/>
          <w:sz w:val="21"/>
        </w:rPr>
        <w:t> </w:t>
      </w:r>
      <w:r>
        <w:rPr>
          <w:color w:val="231F20"/>
          <w:sz w:val="21"/>
        </w:rPr>
        <w:t>business</w:t>
      </w:r>
      <w:r>
        <w:rPr>
          <w:color w:val="231F20"/>
          <w:spacing w:val="9"/>
          <w:sz w:val="21"/>
        </w:rPr>
        <w:t> </w:t>
      </w:r>
      <w:r>
        <w:rPr>
          <w:color w:val="231F20"/>
          <w:sz w:val="21"/>
        </w:rPr>
        <w:t>and</w:t>
      </w:r>
      <w:r>
        <w:rPr>
          <w:color w:val="231F20"/>
          <w:spacing w:val="9"/>
          <w:sz w:val="21"/>
        </w:rPr>
        <w:t> </w:t>
      </w:r>
      <w:r>
        <w:rPr>
          <w:color w:val="231F20"/>
          <w:sz w:val="21"/>
        </w:rPr>
        <w:t>making</w:t>
      </w:r>
      <w:r>
        <w:rPr>
          <w:color w:val="231F20"/>
          <w:spacing w:val="10"/>
          <w:sz w:val="21"/>
        </w:rPr>
        <w:t> </w:t>
      </w:r>
      <w:r>
        <w:rPr>
          <w:color w:val="231F20"/>
          <w:sz w:val="21"/>
        </w:rPr>
        <w:t>decisions.</w:t>
      </w:r>
      <w:r>
        <w:rPr>
          <w:color w:val="231F20"/>
          <w:spacing w:val="9"/>
          <w:sz w:val="21"/>
        </w:rPr>
        <w:t> </w:t>
      </w:r>
      <w:r>
        <w:rPr>
          <w:color w:val="231F20"/>
          <w:sz w:val="21"/>
        </w:rPr>
        <w:t>In</w:t>
      </w:r>
      <w:r>
        <w:rPr>
          <w:color w:val="231F20"/>
          <w:spacing w:val="9"/>
          <w:sz w:val="21"/>
        </w:rPr>
        <w:t> </w:t>
      </w:r>
      <w:r>
        <w:rPr>
          <w:color w:val="231F20"/>
          <w:sz w:val="21"/>
        </w:rPr>
        <w:t>my</w:t>
      </w:r>
      <w:r>
        <w:rPr>
          <w:color w:val="231F20"/>
          <w:spacing w:val="9"/>
          <w:sz w:val="21"/>
        </w:rPr>
        <w:t> </w:t>
      </w:r>
      <w:r>
        <w:rPr>
          <w:color w:val="231F20"/>
          <w:sz w:val="21"/>
        </w:rPr>
        <w:t>own</w:t>
      </w:r>
      <w:r>
        <w:rPr>
          <w:color w:val="231F20"/>
          <w:spacing w:val="10"/>
          <w:sz w:val="21"/>
        </w:rPr>
        <w:t> </w:t>
      </w:r>
      <w:r>
        <w:rPr>
          <w:color w:val="231F20"/>
          <w:sz w:val="21"/>
        </w:rPr>
        <w:t>experience</w:t>
      </w:r>
      <w:r>
        <w:rPr>
          <w:color w:val="231F20"/>
          <w:spacing w:val="9"/>
          <w:sz w:val="21"/>
        </w:rPr>
        <w:t> </w:t>
      </w:r>
      <w:r>
        <w:rPr>
          <w:color w:val="231F20"/>
          <w:spacing w:val="-5"/>
          <w:sz w:val="21"/>
        </w:rPr>
        <w:t>in</w:t>
      </w:r>
    </w:p>
    <w:p>
      <w:pPr>
        <w:spacing w:after="0" w:line="292" w:lineRule="auto"/>
        <w:jc w:val="both"/>
        <w:rPr>
          <w:sz w:val="21"/>
        </w:rPr>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rPr>
          <w:i/>
        </w:rPr>
      </w:pPr>
      <w:r>
        <w:rPr>
          <w:color w:val="231F20"/>
        </w:rPr>
        <w:t>a small jewelry business, we followed a simple philosophy. We treated</w:t>
      </w:r>
      <w:r>
        <w:rPr>
          <w:color w:val="231F20"/>
          <w:spacing w:val="-4"/>
        </w:rPr>
        <w:t> </w:t>
      </w:r>
      <w:r>
        <w:rPr>
          <w:color w:val="231F20"/>
        </w:rPr>
        <w:t>our</w:t>
      </w:r>
      <w:r>
        <w:rPr>
          <w:color w:val="231F20"/>
          <w:spacing w:val="-4"/>
        </w:rPr>
        <w:t> </w:t>
      </w:r>
      <w:r>
        <w:rPr>
          <w:color w:val="231F20"/>
        </w:rPr>
        <w:t>customers</w:t>
      </w:r>
      <w:r>
        <w:rPr>
          <w:color w:val="231F20"/>
          <w:spacing w:val="-4"/>
        </w:rPr>
        <w:t> </w:t>
      </w:r>
      <w:r>
        <w:rPr>
          <w:color w:val="231F20"/>
        </w:rPr>
        <w:t>well,</w:t>
      </w:r>
      <w:r>
        <w:rPr>
          <w:color w:val="231F20"/>
          <w:spacing w:val="-4"/>
        </w:rPr>
        <w:t> </w:t>
      </w:r>
      <w:r>
        <w:rPr>
          <w:color w:val="231F20"/>
        </w:rPr>
        <w:t>gave</w:t>
      </w:r>
      <w:r>
        <w:rPr>
          <w:color w:val="231F20"/>
          <w:spacing w:val="-4"/>
        </w:rPr>
        <w:t> </w:t>
      </w:r>
      <w:r>
        <w:rPr>
          <w:color w:val="231F20"/>
        </w:rPr>
        <w:t>them</w:t>
      </w:r>
      <w:r>
        <w:rPr>
          <w:color w:val="231F20"/>
          <w:spacing w:val="-4"/>
        </w:rPr>
        <w:t> </w:t>
      </w:r>
      <w:r>
        <w:rPr>
          <w:color w:val="231F20"/>
        </w:rPr>
        <w:t>the</w:t>
      </w:r>
      <w:r>
        <w:rPr>
          <w:color w:val="231F20"/>
          <w:spacing w:val="-4"/>
        </w:rPr>
        <w:t> </w:t>
      </w:r>
      <w:r>
        <w:rPr>
          <w:color w:val="231F20"/>
        </w:rPr>
        <w:t>best</w:t>
      </w:r>
      <w:r>
        <w:rPr>
          <w:color w:val="231F20"/>
          <w:spacing w:val="-4"/>
        </w:rPr>
        <w:t> </w:t>
      </w:r>
      <w:r>
        <w:rPr>
          <w:color w:val="231F20"/>
        </w:rPr>
        <w:t>prices,</w:t>
      </w:r>
      <w:r>
        <w:rPr>
          <w:color w:val="231F20"/>
          <w:spacing w:val="-4"/>
        </w:rPr>
        <w:t> </w:t>
      </w:r>
      <w:r>
        <w:rPr>
          <w:color w:val="231F20"/>
        </w:rPr>
        <w:t>and</w:t>
      </w:r>
      <w:r>
        <w:rPr>
          <w:color w:val="231F20"/>
          <w:spacing w:val="-4"/>
        </w:rPr>
        <w:t> </w:t>
      </w:r>
      <w:r>
        <w:rPr>
          <w:color w:val="231F20"/>
        </w:rPr>
        <w:t>were</w:t>
      </w:r>
      <w:r>
        <w:rPr>
          <w:color w:val="231F20"/>
          <w:spacing w:val="-4"/>
        </w:rPr>
        <w:t> </w:t>
      </w:r>
      <w:r>
        <w:rPr>
          <w:color w:val="231F20"/>
        </w:rPr>
        <w:t>com- pletely honest about the merchandise. This consciously chosen way</w:t>
      </w:r>
      <w:r>
        <w:rPr>
          <w:color w:val="231F20"/>
          <w:spacing w:val="40"/>
        </w:rPr>
        <w:t> </w:t>
      </w:r>
      <w:r>
        <w:rPr>
          <w:color w:val="231F20"/>
        </w:rPr>
        <w:t>of conducting business was a successful </w:t>
      </w:r>
      <w:r>
        <w:rPr>
          <w:i/>
          <w:color w:val="231F20"/>
        </w:rPr>
        <w:t>strategy.</w:t>
      </w:r>
    </w:p>
    <w:p>
      <w:pPr>
        <w:pStyle w:val="BodyText"/>
        <w:spacing w:line="292" w:lineRule="auto"/>
        <w:ind w:left="920" w:right="666" w:firstLine="340"/>
        <w:jc w:val="both"/>
      </w:pPr>
      <w:r>
        <w:rPr>
          <w:color w:val="231F20"/>
        </w:rPr>
        <w:t>Strategy can be the product of an entrepreneur’s insight as a re- sult of being hit with the boom of his or her sailboat, or it can be </w:t>
      </w:r>
      <w:r>
        <w:rPr>
          <w:color w:val="231F20"/>
        </w:rPr>
        <w:t>a series of ad hoc plans that develop over time. Either way, the formal planning processes sold by consultants are not always the answer.</w:t>
      </w:r>
    </w:p>
    <w:p>
      <w:pPr>
        <w:pStyle w:val="BodyText"/>
        <w:spacing w:line="292" w:lineRule="auto"/>
        <w:ind w:left="920" w:right="665" w:firstLine="340"/>
        <w:jc w:val="both"/>
      </w:pPr>
      <w:r>
        <w:rPr>
          <w:color w:val="231F20"/>
          <w:w w:val="105"/>
        </w:rPr>
        <w:t>History</w:t>
      </w:r>
      <w:r>
        <w:rPr>
          <w:color w:val="231F20"/>
          <w:spacing w:val="-2"/>
          <w:w w:val="105"/>
        </w:rPr>
        <w:t> </w:t>
      </w:r>
      <w:r>
        <w:rPr>
          <w:color w:val="231F20"/>
          <w:w w:val="105"/>
        </w:rPr>
        <w:t>is</w:t>
      </w:r>
      <w:r>
        <w:rPr>
          <w:color w:val="231F20"/>
          <w:spacing w:val="-2"/>
          <w:w w:val="105"/>
        </w:rPr>
        <w:t> </w:t>
      </w:r>
      <w:r>
        <w:rPr>
          <w:color w:val="231F20"/>
          <w:w w:val="105"/>
        </w:rPr>
        <w:t>often</w:t>
      </w:r>
      <w:r>
        <w:rPr>
          <w:color w:val="231F20"/>
          <w:spacing w:val="-2"/>
          <w:w w:val="105"/>
        </w:rPr>
        <w:t> </w:t>
      </w:r>
      <w:r>
        <w:rPr>
          <w:color w:val="231F20"/>
          <w:w w:val="105"/>
        </w:rPr>
        <w:t>rewritten</w:t>
      </w:r>
      <w:r>
        <w:rPr>
          <w:color w:val="231F20"/>
          <w:spacing w:val="-2"/>
          <w:w w:val="105"/>
        </w:rPr>
        <w:t> </w:t>
      </w:r>
      <w:r>
        <w:rPr>
          <w:color w:val="231F20"/>
          <w:w w:val="105"/>
        </w:rPr>
        <w:t>to</w:t>
      </w:r>
      <w:r>
        <w:rPr>
          <w:color w:val="231F20"/>
          <w:spacing w:val="-2"/>
          <w:w w:val="105"/>
        </w:rPr>
        <w:t> </w:t>
      </w:r>
      <w:r>
        <w:rPr>
          <w:color w:val="231F20"/>
          <w:w w:val="105"/>
        </w:rPr>
        <w:t>suit</w:t>
      </w:r>
      <w:r>
        <w:rPr>
          <w:color w:val="231F20"/>
          <w:spacing w:val="-2"/>
          <w:w w:val="105"/>
        </w:rPr>
        <w:t> </w:t>
      </w:r>
      <w:r>
        <w:rPr>
          <w:color w:val="231F20"/>
          <w:w w:val="105"/>
        </w:rPr>
        <w:t>the</w:t>
      </w:r>
      <w:r>
        <w:rPr>
          <w:color w:val="231F20"/>
          <w:spacing w:val="-2"/>
          <w:w w:val="105"/>
        </w:rPr>
        <w:t> </w:t>
      </w:r>
      <w:r>
        <w:rPr>
          <w:color w:val="231F20"/>
          <w:w w:val="105"/>
        </w:rPr>
        <w:t>theories</w:t>
      </w:r>
      <w:r>
        <w:rPr>
          <w:color w:val="231F20"/>
          <w:spacing w:val="-2"/>
          <w:w w:val="105"/>
        </w:rPr>
        <w:t> </w:t>
      </w:r>
      <w:r>
        <w:rPr>
          <w:color w:val="231F20"/>
          <w:w w:val="105"/>
        </w:rPr>
        <w:t>of</w:t>
      </w:r>
      <w:r>
        <w:rPr>
          <w:color w:val="231F20"/>
          <w:spacing w:val="-2"/>
          <w:w w:val="105"/>
        </w:rPr>
        <w:t> </w:t>
      </w:r>
      <w:r>
        <w:rPr>
          <w:color w:val="231F20"/>
          <w:w w:val="105"/>
        </w:rPr>
        <w:t>strategic</w:t>
      </w:r>
      <w:r>
        <w:rPr>
          <w:color w:val="231F20"/>
          <w:spacing w:val="-2"/>
          <w:w w:val="105"/>
        </w:rPr>
        <w:t> </w:t>
      </w:r>
      <w:r>
        <w:rPr>
          <w:color w:val="231F20"/>
          <w:w w:val="105"/>
        </w:rPr>
        <w:t>plan- ners.</w:t>
      </w:r>
      <w:r>
        <w:rPr>
          <w:color w:val="231F20"/>
          <w:w w:val="105"/>
        </w:rPr>
        <w:t> One</w:t>
      </w:r>
      <w:r>
        <w:rPr>
          <w:color w:val="231F20"/>
          <w:w w:val="105"/>
        </w:rPr>
        <w:t> version</w:t>
      </w:r>
      <w:r>
        <w:rPr>
          <w:color w:val="231F20"/>
          <w:w w:val="105"/>
        </w:rPr>
        <w:t> of</w:t>
      </w:r>
      <w:r>
        <w:rPr>
          <w:color w:val="231F20"/>
          <w:w w:val="105"/>
        </w:rPr>
        <w:t> the</w:t>
      </w:r>
      <w:r>
        <w:rPr>
          <w:color w:val="231F20"/>
          <w:w w:val="105"/>
        </w:rPr>
        <w:t> success</w:t>
      </w:r>
      <w:r>
        <w:rPr>
          <w:color w:val="231F20"/>
          <w:w w:val="105"/>
        </w:rPr>
        <w:t> of</w:t>
      </w:r>
      <w:r>
        <w:rPr>
          <w:color w:val="231F20"/>
          <w:w w:val="105"/>
        </w:rPr>
        <w:t> Honda</w:t>
      </w:r>
      <w:r>
        <w:rPr>
          <w:color w:val="231F20"/>
          <w:w w:val="105"/>
        </w:rPr>
        <w:t> motorcycles</w:t>
      </w:r>
      <w:r>
        <w:rPr>
          <w:color w:val="231F20"/>
          <w:w w:val="105"/>
        </w:rPr>
        <w:t> described Sochiro</w:t>
      </w:r>
      <w:r>
        <w:rPr>
          <w:color w:val="231F20"/>
          <w:spacing w:val="-13"/>
          <w:w w:val="105"/>
        </w:rPr>
        <w:t> </w:t>
      </w:r>
      <w:r>
        <w:rPr>
          <w:color w:val="231F20"/>
          <w:w w:val="105"/>
        </w:rPr>
        <w:t>Honda</w:t>
      </w:r>
      <w:r>
        <w:rPr>
          <w:color w:val="231F20"/>
          <w:spacing w:val="-12"/>
          <w:w w:val="105"/>
        </w:rPr>
        <w:t> </w:t>
      </w:r>
      <w:r>
        <w:rPr>
          <w:color w:val="231F20"/>
          <w:w w:val="105"/>
        </w:rPr>
        <w:t>as</w:t>
      </w:r>
      <w:r>
        <w:rPr>
          <w:color w:val="231F20"/>
          <w:spacing w:val="-12"/>
          <w:w w:val="105"/>
        </w:rPr>
        <w:t> </w:t>
      </w:r>
      <w:r>
        <w:rPr>
          <w:color w:val="231F20"/>
          <w:w w:val="105"/>
        </w:rPr>
        <w:t>a</w:t>
      </w:r>
      <w:r>
        <w:rPr>
          <w:color w:val="231F20"/>
          <w:spacing w:val="-12"/>
          <w:w w:val="105"/>
        </w:rPr>
        <w:t> </w:t>
      </w:r>
      <w:r>
        <w:rPr>
          <w:color w:val="231F20"/>
          <w:w w:val="105"/>
        </w:rPr>
        <w:t>free</w:t>
      </w:r>
      <w:r>
        <w:rPr>
          <w:color w:val="231F20"/>
          <w:spacing w:val="-12"/>
          <w:w w:val="105"/>
        </w:rPr>
        <w:t> </w:t>
      </w:r>
      <w:r>
        <w:rPr>
          <w:color w:val="231F20"/>
          <w:w w:val="105"/>
        </w:rPr>
        <w:t>spirit</w:t>
      </w:r>
      <w:r>
        <w:rPr>
          <w:color w:val="231F20"/>
          <w:spacing w:val="-12"/>
          <w:w w:val="105"/>
        </w:rPr>
        <w:t> </w:t>
      </w:r>
      <w:r>
        <w:rPr>
          <w:color w:val="231F20"/>
          <w:w w:val="105"/>
        </w:rPr>
        <w:t>driven</w:t>
      </w:r>
      <w:r>
        <w:rPr>
          <w:color w:val="231F20"/>
          <w:spacing w:val="-12"/>
          <w:w w:val="105"/>
        </w:rPr>
        <w:t> </w:t>
      </w:r>
      <w:r>
        <w:rPr>
          <w:color w:val="231F20"/>
          <w:w w:val="105"/>
        </w:rPr>
        <w:t>by</w:t>
      </w:r>
      <w:r>
        <w:rPr>
          <w:color w:val="231F20"/>
          <w:spacing w:val="-13"/>
          <w:w w:val="105"/>
        </w:rPr>
        <w:t> </w:t>
      </w:r>
      <w:r>
        <w:rPr>
          <w:color w:val="231F20"/>
          <w:w w:val="105"/>
        </w:rPr>
        <w:t>will</w:t>
      </w:r>
      <w:r>
        <w:rPr>
          <w:color w:val="231F20"/>
          <w:spacing w:val="-12"/>
          <w:w w:val="105"/>
        </w:rPr>
        <w:t> </w:t>
      </w:r>
      <w:r>
        <w:rPr>
          <w:color w:val="231F20"/>
          <w:w w:val="105"/>
        </w:rPr>
        <w:t>and</w:t>
      </w:r>
      <w:r>
        <w:rPr>
          <w:color w:val="231F20"/>
          <w:spacing w:val="-12"/>
          <w:w w:val="105"/>
        </w:rPr>
        <w:t> </w:t>
      </w:r>
      <w:r>
        <w:rPr>
          <w:color w:val="231F20"/>
          <w:w w:val="105"/>
        </w:rPr>
        <w:t>a</w:t>
      </w:r>
      <w:r>
        <w:rPr>
          <w:color w:val="231F20"/>
          <w:spacing w:val="-12"/>
          <w:w w:val="105"/>
        </w:rPr>
        <w:t> </w:t>
      </w:r>
      <w:r>
        <w:rPr>
          <w:color w:val="231F20"/>
          <w:w w:val="105"/>
        </w:rPr>
        <w:t>dream.</w:t>
      </w:r>
      <w:r>
        <w:rPr>
          <w:color w:val="231F20"/>
          <w:spacing w:val="-12"/>
          <w:w w:val="105"/>
        </w:rPr>
        <w:t> </w:t>
      </w:r>
      <w:r>
        <w:rPr>
          <w:color w:val="231F20"/>
          <w:w w:val="105"/>
        </w:rPr>
        <w:t>He</w:t>
      </w:r>
      <w:r>
        <w:rPr>
          <w:color w:val="231F20"/>
          <w:spacing w:val="-12"/>
          <w:w w:val="105"/>
        </w:rPr>
        <w:t> </w:t>
      </w:r>
      <w:r>
        <w:rPr>
          <w:color w:val="231F20"/>
          <w:w w:val="105"/>
        </w:rPr>
        <w:t>had</w:t>
      </w:r>
      <w:r>
        <w:rPr>
          <w:color w:val="231F20"/>
          <w:spacing w:val="-12"/>
          <w:w w:val="105"/>
        </w:rPr>
        <w:t> </w:t>
      </w:r>
      <w:r>
        <w:rPr>
          <w:color w:val="231F20"/>
          <w:w w:val="105"/>
        </w:rPr>
        <w:t>no </w:t>
      </w:r>
      <w:r>
        <w:rPr>
          <w:color w:val="231F20"/>
        </w:rPr>
        <w:t>grand plan. The success of the company was the product of his burn- </w:t>
      </w:r>
      <w:r>
        <w:rPr>
          <w:color w:val="231F20"/>
          <w:w w:val="105"/>
        </w:rPr>
        <w:t>ing</w:t>
      </w:r>
      <w:r>
        <w:rPr>
          <w:color w:val="231F20"/>
          <w:spacing w:val="-3"/>
          <w:w w:val="105"/>
        </w:rPr>
        <w:t> </w:t>
      </w:r>
      <w:r>
        <w:rPr>
          <w:color w:val="231F20"/>
          <w:w w:val="105"/>
        </w:rPr>
        <w:t>desire</w:t>
      </w:r>
      <w:r>
        <w:rPr>
          <w:color w:val="231F20"/>
          <w:spacing w:val="-3"/>
          <w:w w:val="105"/>
        </w:rPr>
        <w:t> </w:t>
      </w:r>
      <w:r>
        <w:rPr>
          <w:color w:val="231F20"/>
          <w:w w:val="105"/>
        </w:rPr>
        <w:t>to</w:t>
      </w:r>
      <w:r>
        <w:rPr>
          <w:color w:val="231F20"/>
          <w:spacing w:val="-3"/>
          <w:w w:val="105"/>
        </w:rPr>
        <w:t> </w:t>
      </w:r>
      <w:r>
        <w:rPr>
          <w:color w:val="231F20"/>
          <w:w w:val="105"/>
        </w:rPr>
        <w:t>build</w:t>
      </w:r>
      <w:r>
        <w:rPr>
          <w:color w:val="231F20"/>
          <w:spacing w:val="-3"/>
          <w:w w:val="105"/>
        </w:rPr>
        <w:t> </w:t>
      </w:r>
      <w:r>
        <w:rPr>
          <w:color w:val="231F20"/>
          <w:w w:val="105"/>
        </w:rPr>
        <w:t>a</w:t>
      </w:r>
      <w:r>
        <w:rPr>
          <w:color w:val="231F20"/>
          <w:spacing w:val="-3"/>
          <w:w w:val="105"/>
        </w:rPr>
        <w:t> </w:t>
      </w:r>
      <w:r>
        <w:rPr>
          <w:color w:val="231F20"/>
          <w:w w:val="105"/>
        </w:rPr>
        <w:t>winning</w:t>
      </w:r>
      <w:r>
        <w:rPr>
          <w:color w:val="231F20"/>
          <w:spacing w:val="-3"/>
          <w:w w:val="105"/>
        </w:rPr>
        <w:t> </w:t>
      </w:r>
      <w:r>
        <w:rPr>
          <w:color w:val="231F20"/>
          <w:w w:val="105"/>
        </w:rPr>
        <w:t>racing</w:t>
      </w:r>
      <w:r>
        <w:rPr>
          <w:color w:val="231F20"/>
          <w:spacing w:val="-3"/>
          <w:w w:val="105"/>
        </w:rPr>
        <w:t> </w:t>
      </w:r>
      <w:r>
        <w:rPr>
          <w:color w:val="231F20"/>
          <w:w w:val="105"/>
        </w:rPr>
        <w:t>motorcycle</w:t>
      </w:r>
      <w:r>
        <w:rPr>
          <w:color w:val="231F20"/>
          <w:spacing w:val="-3"/>
          <w:w w:val="105"/>
        </w:rPr>
        <w:t> </w:t>
      </w:r>
      <w:r>
        <w:rPr>
          <w:color w:val="231F20"/>
          <w:w w:val="105"/>
        </w:rPr>
        <w:t>and</w:t>
      </w:r>
      <w:r>
        <w:rPr>
          <w:color w:val="231F20"/>
          <w:spacing w:val="-3"/>
          <w:w w:val="105"/>
        </w:rPr>
        <w:t> </w:t>
      </w:r>
      <w:r>
        <w:rPr>
          <w:color w:val="231F20"/>
          <w:w w:val="105"/>
        </w:rPr>
        <w:t>his</w:t>
      </w:r>
      <w:r>
        <w:rPr>
          <w:color w:val="231F20"/>
          <w:spacing w:val="-3"/>
          <w:w w:val="105"/>
        </w:rPr>
        <w:t> </w:t>
      </w:r>
      <w:r>
        <w:rPr>
          <w:color w:val="231F20"/>
          <w:w w:val="105"/>
        </w:rPr>
        <w:t>slow,</w:t>
      </w:r>
      <w:r>
        <w:rPr>
          <w:color w:val="231F20"/>
          <w:spacing w:val="-3"/>
          <w:w w:val="105"/>
        </w:rPr>
        <w:t> </w:t>
      </w:r>
      <w:r>
        <w:rPr>
          <w:color w:val="231F20"/>
          <w:w w:val="105"/>
        </w:rPr>
        <w:t>step- by-step</w:t>
      </w:r>
      <w:r>
        <w:rPr>
          <w:color w:val="231F20"/>
          <w:spacing w:val="-13"/>
          <w:w w:val="105"/>
        </w:rPr>
        <w:t> </w:t>
      </w:r>
      <w:r>
        <w:rPr>
          <w:color w:val="231F20"/>
          <w:w w:val="105"/>
        </w:rPr>
        <w:t>introduction</w:t>
      </w:r>
      <w:r>
        <w:rPr>
          <w:color w:val="231F20"/>
          <w:spacing w:val="-12"/>
          <w:w w:val="105"/>
        </w:rPr>
        <w:t> </w:t>
      </w:r>
      <w:r>
        <w:rPr>
          <w:color w:val="231F20"/>
          <w:w w:val="105"/>
        </w:rPr>
        <w:t>of</w:t>
      </w:r>
      <w:r>
        <w:rPr>
          <w:color w:val="231F20"/>
          <w:spacing w:val="-12"/>
          <w:w w:val="105"/>
        </w:rPr>
        <w:t> </w:t>
      </w:r>
      <w:r>
        <w:rPr>
          <w:color w:val="231F20"/>
          <w:w w:val="105"/>
        </w:rPr>
        <w:t>his</w:t>
      </w:r>
      <w:r>
        <w:rPr>
          <w:color w:val="231F20"/>
          <w:spacing w:val="-12"/>
          <w:w w:val="105"/>
        </w:rPr>
        <w:t> </w:t>
      </w:r>
      <w:r>
        <w:rPr>
          <w:color w:val="231F20"/>
          <w:w w:val="105"/>
        </w:rPr>
        <w:t>motorcycle</w:t>
      </w:r>
      <w:r>
        <w:rPr>
          <w:color w:val="231F20"/>
          <w:spacing w:val="-12"/>
          <w:w w:val="105"/>
        </w:rPr>
        <w:t> </w:t>
      </w:r>
      <w:r>
        <w:rPr>
          <w:color w:val="231F20"/>
          <w:w w:val="105"/>
        </w:rPr>
        <w:t>into</w:t>
      </w:r>
      <w:r>
        <w:rPr>
          <w:color w:val="231F20"/>
          <w:spacing w:val="-12"/>
          <w:w w:val="105"/>
        </w:rPr>
        <w:t> </w:t>
      </w:r>
      <w:r>
        <w:rPr>
          <w:color w:val="231F20"/>
          <w:w w:val="105"/>
        </w:rPr>
        <w:t>the</w:t>
      </w:r>
      <w:r>
        <w:rPr>
          <w:color w:val="231F20"/>
          <w:spacing w:val="-12"/>
          <w:w w:val="105"/>
        </w:rPr>
        <w:t> </w:t>
      </w:r>
      <w:r>
        <w:rPr>
          <w:color w:val="231F20"/>
          <w:w w:val="105"/>
        </w:rPr>
        <w:t>U.S.</w:t>
      </w:r>
      <w:r>
        <w:rPr>
          <w:color w:val="231F20"/>
          <w:spacing w:val="-13"/>
          <w:w w:val="105"/>
        </w:rPr>
        <w:t> </w:t>
      </w:r>
      <w:r>
        <w:rPr>
          <w:color w:val="231F20"/>
          <w:w w:val="105"/>
        </w:rPr>
        <w:t>market</w:t>
      </w:r>
      <w:r>
        <w:rPr>
          <w:color w:val="231F20"/>
          <w:spacing w:val="-12"/>
          <w:w w:val="105"/>
        </w:rPr>
        <w:t> </w:t>
      </w:r>
      <w:r>
        <w:rPr>
          <w:color w:val="231F20"/>
          <w:w w:val="105"/>
        </w:rPr>
        <w:t>in</w:t>
      </w:r>
      <w:r>
        <w:rPr>
          <w:color w:val="231F20"/>
          <w:spacing w:val="-12"/>
          <w:w w:val="105"/>
        </w:rPr>
        <w:t> </w:t>
      </w:r>
      <w:r>
        <w:rPr>
          <w:color w:val="231F20"/>
          <w:w w:val="105"/>
        </w:rPr>
        <w:t>1958. Luckily</w:t>
      </w:r>
      <w:r>
        <w:rPr>
          <w:color w:val="231F20"/>
          <w:spacing w:val="-11"/>
          <w:w w:val="105"/>
        </w:rPr>
        <w:t> </w:t>
      </w:r>
      <w:r>
        <w:rPr>
          <w:color w:val="231F20"/>
          <w:w w:val="105"/>
        </w:rPr>
        <w:t>for</w:t>
      </w:r>
      <w:r>
        <w:rPr>
          <w:color w:val="231F20"/>
          <w:spacing w:val="-11"/>
          <w:w w:val="105"/>
        </w:rPr>
        <w:t> </w:t>
      </w:r>
      <w:r>
        <w:rPr>
          <w:color w:val="231F20"/>
          <w:w w:val="105"/>
        </w:rPr>
        <w:t>Sochiro,</w:t>
      </w:r>
      <w:r>
        <w:rPr>
          <w:color w:val="231F20"/>
          <w:spacing w:val="-11"/>
          <w:w w:val="105"/>
        </w:rPr>
        <w:t> </w:t>
      </w:r>
      <w:r>
        <w:rPr>
          <w:color w:val="231F20"/>
          <w:w w:val="105"/>
        </w:rPr>
        <w:t>the</w:t>
      </w:r>
      <w:r>
        <w:rPr>
          <w:color w:val="231F20"/>
          <w:spacing w:val="-11"/>
          <w:w w:val="105"/>
        </w:rPr>
        <w:t> </w:t>
      </w:r>
      <w:r>
        <w:rPr>
          <w:color w:val="231F20"/>
          <w:w w:val="105"/>
        </w:rPr>
        <w:t>United</w:t>
      </w:r>
      <w:r>
        <w:rPr>
          <w:color w:val="231F20"/>
          <w:spacing w:val="-11"/>
          <w:w w:val="105"/>
        </w:rPr>
        <w:t> </w:t>
      </w:r>
      <w:r>
        <w:rPr>
          <w:color w:val="231F20"/>
          <w:w w:val="105"/>
        </w:rPr>
        <w:t>States</w:t>
      </w:r>
      <w:r>
        <w:rPr>
          <w:color w:val="231F20"/>
          <w:spacing w:val="-11"/>
          <w:w w:val="105"/>
        </w:rPr>
        <w:t> </w:t>
      </w:r>
      <w:r>
        <w:rPr>
          <w:color w:val="231F20"/>
          <w:w w:val="105"/>
        </w:rPr>
        <w:t>placed</w:t>
      </w:r>
      <w:r>
        <w:rPr>
          <w:color w:val="231F20"/>
          <w:spacing w:val="-11"/>
          <w:w w:val="105"/>
        </w:rPr>
        <w:t> </w:t>
      </w:r>
      <w:r>
        <w:rPr>
          <w:color w:val="231F20"/>
          <w:w w:val="105"/>
        </w:rPr>
        <w:t>few</w:t>
      </w:r>
      <w:r>
        <w:rPr>
          <w:color w:val="231F20"/>
          <w:spacing w:val="-11"/>
          <w:w w:val="105"/>
        </w:rPr>
        <w:t> </w:t>
      </w:r>
      <w:r>
        <w:rPr>
          <w:color w:val="231F20"/>
          <w:w w:val="105"/>
        </w:rPr>
        <w:t>restrictions</w:t>
      </w:r>
      <w:r>
        <w:rPr>
          <w:color w:val="231F20"/>
          <w:spacing w:val="-11"/>
          <w:w w:val="105"/>
        </w:rPr>
        <w:t> </w:t>
      </w:r>
      <w:r>
        <w:rPr>
          <w:color w:val="231F20"/>
          <w:w w:val="105"/>
        </w:rPr>
        <w:t>on</w:t>
      </w:r>
      <w:r>
        <w:rPr>
          <w:color w:val="231F20"/>
          <w:spacing w:val="-11"/>
          <w:w w:val="105"/>
        </w:rPr>
        <w:t> </w:t>
      </w:r>
      <w:r>
        <w:rPr>
          <w:color w:val="231F20"/>
          <w:w w:val="105"/>
        </w:rPr>
        <w:t>his “inconsequential” Japanese import.</w:t>
      </w:r>
    </w:p>
    <w:p>
      <w:pPr>
        <w:pStyle w:val="BodyText"/>
        <w:spacing w:line="292" w:lineRule="auto"/>
        <w:ind w:left="920" w:right="665" w:firstLine="340"/>
        <w:jc w:val="both"/>
      </w:pPr>
      <w:r>
        <w:rPr>
          <w:color w:val="231F20"/>
        </w:rPr>
        <w:t>Consultants at BCG told a much different story about Honda </w:t>
      </w:r>
      <w:r>
        <w:rPr>
          <w:color w:val="231F20"/>
        </w:rPr>
        <w:t>to their British motorcycle industry clients. In their view, Honda had calculated to </w:t>
      </w:r>
      <w:r>
        <w:rPr>
          <w:i/>
          <w:color w:val="231F20"/>
        </w:rPr>
        <w:t>go down the learning curve </w:t>
      </w:r>
      <w:r>
        <w:rPr>
          <w:color w:val="231F20"/>
        </w:rPr>
        <w:t>to achieve lower costs and build world market share through low pricing. The company’s dom- inant</w:t>
      </w:r>
      <w:r>
        <w:rPr>
          <w:color w:val="231F20"/>
          <w:spacing w:val="-1"/>
        </w:rPr>
        <w:t> </w:t>
      </w:r>
      <w:r>
        <w:rPr>
          <w:color w:val="231F20"/>
        </w:rPr>
        <w:t>market</w:t>
      </w:r>
      <w:r>
        <w:rPr>
          <w:color w:val="231F20"/>
          <w:spacing w:val="-1"/>
        </w:rPr>
        <w:t> </w:t>
      </w:r>
      <w:r>
        <w:rPr>
          <w:color w:val="231F20"/>
        </w:rPr>
        <w:t>share</w:t>
      </w:r>
      <w:r>
        <w:rPr>
          <w:color w:val="231F20"/>
          <w:spacing w:val="-1"/>
        </w:rPr>
        <w:t> </w:t>
      </w:r>
      <w:r>
        <w:rPr>
          <w:color w:val="231F20"/>
        </w:rPr>
        <w:t>allowed</w:t>
      </w:r>
      <w:r>
        <w:rPr>
          <w:color w:val="231F20"/>
          <w:spacing w:val="-1"/>
        </w:rPr>
        <w:t> </w:t>
      </w:r>
      <w:r>
        <w:rPr>
          <w:color w:val="231F20"/>
        </w:rPr>
        <w:t>for</w:t>
      </w:r>
      <w:r>
        <w:rPr>
          <w:color w:val="231F20"/>
          <w:spacing w:val="-1"/>
        </w:rPr>
        <w:t> </w:t>
      </w:r>
      <w:r>
        <w:rPr>
          <w:color w:val="231F20"/>
        </w:rPr>
        <w:t>large</w:t>
      </w:r>
      <w:r>
        <w:rPr>
          <w:color w:val="231F20"/>
          <w:spacing w:val="-1"/>
        </w:rPr>
        <w:t> </w:t>
      </w:r>
      <w:r>
        <w:rPr>
          <w:color w:val="231F20"/>
        </w:rPr>
        <w:t>investments</w:t>
      </w:r>
      <w:r>
        <w:rPr>
          <w:color w:val="231F20"/>
          <w:spacing w:val="-1"/>
        </w:rPr>
        <w:t> </w:t>
      </w:r>
      <w:r>
        <w:rPr>
          <w:color w:val="231F20"/>
        </w:rPr>
        <w:t>in</w:t>
      </w:r>
      <w:r>
        <w:rPr>
          <w:color w:val="231F20"/>
          <w:spacing w:val="-1"/>
        </w:rPr>
        <w:t> </w:t>
      </w:r>
      <w:r>
        <w:rPr>
          <w:color w:val="231F20"/>
        </w:rPr>
        <w:t>research</w:t>
      </w:r>
      <w:r>
        <w:rPr>
          <w:color w:val="231F20"/>
          <w:spacing w:val="-1"/>
        </w:rPr>
        <w:t> </w:t>
      </w:r>
      <w:r>
        <w:rPr>
          <w:color w:val="231F20"/>
        </w:rPr>
        <w:t>and</w:t>
      </w:r>
      <w:r>
        <w:rPr>
          <w:color w:val="231F20"/>
          <w:spacing w:val="-1"/>
        </w:rPr>
        <w:t> </w:t>
      </w:r>
      <w:r>
        <w:rPr>
          <w:color w:val="231F20"/>
        </w:rPr>
        <w:t>ad- vanced manufacturing techniques. BCG reported that Honda’s</w:t>
      </w:r>
      <w:r>
        <w:rPr>
          <w:color w:val="231F20"/>
          <w:spacing w:val="80"/>
        </w:rPr>
        <w:t> </w:t>
      </w:r>
      <w:r>
        <w:rPr>
          <w:color w:val="231F20"/>
        </w:rPr>
        <w:t>market leadership also allowed the company to advertise and pro- mote Honda at lower costs per bike. Which version of history is</w:t>
      </w:r>
      <w:r>
        <w:rPr>
          <w:color w:val="231F20"/>
          <w:spacing w:val="80"/>
          <w:w w:val="150"/>
        </w:rPr>
        <w:t> </w:t>
      </w:r>
      <w:r>
        <w:rPr>
          <w:color w:val="231F20"/>
        </w:rPr>
        <w:t>true? Personally, I gravitate toward the more colorful story, but the cost leadership principle obviously played a large role in Honda’s success, planned or not. In fact, if theory is used in conjunction with</w:t>
      </w:r>
      <w:r>
        <w:rPr>
          <w:color w:val="231F20"/>
          <w:spacing w:val="80"/>
        </w:rPr>
        <w:t> </w:t>
      </w:r>
      <w:r>
        <w:rPr>
          <w:color w:val="231F20"/>
        </w:rPr>
        <w:t>a manager’s own good judgment and common sense, strategy can be a winning mix of art and science.</w:t>
      </w:r>
    </w:p>
    <w:p>
      <w:pPr>
        <w:pStyle w:val="BodyText"/>
        <w:rPr>
          <w:sz w:val="24"/>
        </w:rPr>
      </w:pPr>
    </w:p>
    <w:p>
      <w:pPr>
        <w:pStyle w:val="BodyText"/>
        <w:rPr>
          <w:sz w:val="24"/>
        </w:rPr>
      </w:pPr>
    </w:p>
    <w:p>
      <w:pPr>
        <w:pStyle w:val="Heading4"/>
        <w:spacing w:before="1"/>
        <w:ind w:left="481"/>
      </w:pPr>
      <w:r>
        <w:rPr>
          <w:color w:val="231F20"/>
          <w:w w:val="85"/>
        </w:rPr>
        <w:t>STRATEGY</w:t>
      </w:r>
      <w:r>
        <w:rPr>
          <w:color w:val="231F20"/>
          <w:spacing w:val="35"/>
        </w:rPr>
        <w:t> </w:t>
      </w:r>
      <w:r>
        <w:rPr>
          <w:color w:val="231F20"/>
          <w:w w:val="85"/>
        </w:rPr>
        <w:t>AND</w:t>
      </w:r>
      <w:r>
        <w:rPr>
          <w:color w:val="231F20"/>
          <w:spacing w:val="36"/>
        </w:rPr>
        <w:t> </w:t>
      </w:r>
      <w:r>
        <w:rPr>
          <w:color w:val="231F20"/>
          <w:spacing w:val="9"/>
          <w:w w:val="85"/>
        </w:rPr>
        <w:t>CHINESE</w:t>
      </w:r>
      <w:r>
        <w:rPr>
          <w:color w:val="231F20"/>
          <w:spacing w:val="36"/>
        </w:rPr>
        <w:t> </w:t>
      </w:r>
      <w:r>
        <w:rPr>
          <w:color w:val="231F20"/>
          <w:spacing w:val="7"/>
          <w:w w:val="85"/>
        </w:rPr>
        <w:t>WARFARE</w:t>
      </w:r>
    </w:p>
    <w:p>
      <w:pPr>
        <w:pStyle w:val="BodyText"/>
        <w:spacing w:before="10"/>
        <w:rPr>
          <w:rFonts w:ascii="Trebuchet MS"/>
          <w:sz w:val="29"/>
        </w:rPr>
      </w:pPr>
    </w:p>
    <w:p>
      <w:pPr>
        <w:pStyle w:val="BodyText"/>
        <w:spacing w:line="292" w:lineRule="auto"/>
        <w:ind w:left="920" w:right="653"/>
        <w:jc w:val="both"/>
      </w:pPr>
      <w:r>
        <w:rPr>
          <w:color w:val="231F20"/>
        </w:rPr>
        <w:t>No</w:t>
      </w:r>
      <w:r>
        <w:rPr>
          <w:color w:val="231F20"/>
          <w:spacing w:val="40"/>
        </w:rPr>
        <w:t> </w:t>
      </w:r>
      <w:r>
        <w:rPr>
          <w:color w:val="231F20"/>
        </w:rPr>
        <w:t>lesson</w:t>
      </w:r>
      <w:r>
        <w:rPr>
          <w:color w:val="231F20"/>
          <w:spacing w:val="40"/>
        </w:rPr>
        <w:t> </w:t>
      </w:r>
      <w:r>
        <w:rPr>
          <w:color w:val="231F20"/>
        </w:rPr>
        <w:t>on</w:t>
      </w:r>
      <w:r>
        <w:rPr>
          <w:color w:val="231F20"/>
          <w:spacing w:val="40"/>
        </w:rPr>
        <w:t> </w:t>
      </w:r>
      <w:r>
        <w:rPr>
          <w:color w:val="231F20"/>
        </w:rPr>
        <w:t>strategy</w:t>
      </w:r>
      <w:r>
        <w:rPr>
          <w:color w:val="231F20"/>
          <w:spacing w:val="40"/>
        </w:rPr>
        <w:t> </w:t>
      </w:r>
      <w:r>
        <w:rPr>
          <w:color w:val="231F20"/>
        </w:rPr>
        <w:t>would</w:t>
      </w:r>
      <w:r>
        <w:rPr>
          <w:color w:val="231F20"/>
          <w:spacing w:val="40"/>
        </w:rPr>
        <w:t> </w:t>
      </w:r>
      <w:r>
        <w:rPr>
          <w:color w:val="231F20"/>
        </w:rPr>
        <w:t>be</w:t>
      </w:r>
      <w:r>
        <w:rPr>
          <w:color w:val="231F20"/>
          <w:spacing w:val="40"/>
        </w:rPr>
        <w:t> </w:t>
      </w:r>
      <w:r>
        <w:rPr>
          <w:color w:val="231F20"/>
        </w:rPr>
        <w:t>complete</w:t>
      </w:r>
      <w:r>
        <w:rPr>
          <w:color w:val="231F20"/>
          <w:spacing w:val="40"/>
        </w:rPr>
        <w:t> </w:t>
      </w:r>
      <w:r>
        <w:rPr>
          <w:color w:val="231F20"/>
        </w:rPr>
        <w:t>without</w:t>
      </w:r>
      <w:r>
        <w:rPr>
          <w:color w:val="231F20"/>
          <w:spacing w:val="40"/>
        </w:rPr>
        <w:t> </w:t>
      </w:r>
      <w:r>
        <w:rPr>
          <w:color w:val="231F20"/>
        </w:rPr>
        <w:t>mentioning Sun-tzu, a Chinese military strategist of the fourth century </w:t>
      </w:r>
      <w:r>
        <w:rPr>
          <w:smallCaps/>
          <w:color w:val="231F20"/>
          <w:spacing w:val="14"/>
        </w:rPr>
        <w:t>b</w:t>
      </w:r>
      <w:r>
        <w:rPr>
          <w:smallCaps w:val="0"/>
          <w:color w:val="231F20"/>
          <w:spacing w:val="14"/>
        </w:rPr>
        <w:t>.</w:t>
      </w:r>
      <w:r>
        <w:rPr>
          <w:smallCaps/>
          <w:color w:val="231F20"/>
          <w:spacing w:val="14"/>
        </w:rPr>
        <w:t>c</w:t>
      </w:r>
      <w:r>
        <w:rPr>
          <w:smallCaps w:val="0"/>
          <w:color w:val="231F20"/>
          <w:spacing w:val="14"/>
        </w:rPr>
        <w:t>. </w:t>
      </w:r>
      <w:r>
        <w:rPr>
          <w:smallCaps w:val="0"/>
          <w:color w:val="231F20"/>
        </w:rPr>
        <w:t>Somehow</w:t>
      </w:r>
      <w:r>
        <w:rPr>
          <w:smallCaps w:val="0"/>
          <w:color w:val="231F20"/>
          <w:spacing w:val="11"/>
        </w:rPr>
        <w:t> </w:t>
      </w:r>
      <w:r>
        <w:rPr>
          <w:smallCaps w:val="0"/>
          <w:color w:val="231F20"/>
        </w:rPr>
        <w:t>his</w:t>
      </w:r>
      <w:r>
        <w:rPr>
          <w:smallCaps w:val="0"/>
          <w:color w:val="231F20"/>
          <w:spacing w:val="11"/>
        </w:rPr>
        <w:t> </w:t>
      </w:r>
      <w:r>
        <w:rPr>
          <w:smallCaps w:val="0"/>
          <w:color w:val="231F20"/>
        </w:rPr>
        <w:t>maxims</w:t>
      </w:r>
      <w:r>
        <w:rPr>
          <w:smallCaps w:val="0"/>
          <w:color w:val="231F20"/>
          <w:spacing w:val="12"/>
        </w:rPr>
        <w:t> </w:t>
      </w:r>
      <w:r>
        <w:rPr>
          <w:smallCaps w:val="0"/>
          <w:color w:val="231F20"/>
        </w:rPr>
        <w:t>have</w:t>
      </w:r>
      <w:r>
        <w:rPr>
          <w:smallCaps w:val="0"/>
          <w:color w:val="231F20"/>
          <w:spacing w:val="11"/>
        </w:rPr>
        <w:t> </w:t>
      </w:r>
      <w:r>
        <w:rPr>
          <w:smallCaps w:val="0"/>
          <w:color w:val="231F20"/>
        </w:rPr>
        <w:t>entered</w:t>
      </w:r>
      <w:r>
        <w:rPr>
          <w:smallCaps w:val="0"/>
          <w:color w:val="231F20"/>
          <w:spacing w:val="11"/>
        </w:rPr>
        <w:t> </w:t>
      </w:r>
      <w:r>
        <w:rPr>
          <w:smallCaps w:val="0"/>
          <w:color w:val="231F20"/>
        </w:rPr>
        <w:t>into</w:t>
      </w:r>
      <w:r>
        <w:rPr>
          <w:smallCaps w:val="0"/>
          <w:color w:val="231F20"/>
          <w:spacing w:val="12"/>
        </w:rPr>
        <w:t> </w:t>
      </w:r>
      <w:r>
        <w:rPr>
          <w:smallCaps w:val="0"/>
          <w:color w:val="231F20"/>
        </w:rPr>
        <w:t>many</w:t>
      </w:r>
      <w:r>
        <w:rPr>
          <w:smallCaps w:val="0"/>
          <w:color w:val="231F20"/>
          <w:spacing w:val="11"/>
        </w:rPr>
        <w:t> </w:t>
      </w:r>
      <w:r>
        <w:rPr>
          <w:smallCaps w:val="0"/>
          <w:color w:val="231F20"/>
        </w:rPr>
        <w:t>an</w:t>
      </w:r>
      <w:r>
        <w:rPr>
          <w:smallCaps w:val="0"/>
          <w:color w:val="231F20"/>
          <w:spacing w:val="12"/>
        </w:rPr>
        <w:t> </w:t>
      </w:r>
      <w:r>
        <w:rPr>
          <w:smallCaps w:val="0"/>
          <w:color w:val="231F20"/>
        </w:rPr>
        <w:t>MBA</w:t>
      </w:r>
      <w:r>
        <w:rPr>
          <w:smallCaps w:val="0"/>
          <w:color w:val="231F20"/>
          <w:spacing w:val="11"/>
        </w:rPr>
        <w:t> </w:t>
      </w:r>
      <w:r>
        <w:rPr>
          <w:smallCaps w:val="0"/>
          <w:color w:val="231F20"/>
          <w:spacing w:val="-2"/>
        </w:rPr>
        <w:t>conversation</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29" w:right="754"/>
        <w:jc w:val="both"/>
      </w:pPr>
      <w:r>
        <w:rPr>
          <w:color w:val="231F20"/>
        </w:rPr>
        <w:t>about strategy. I imagine the irascible Mr. Honda quoting him </w:t>
      </w:r>
      <w:r>
        <w:rPr>
          <w:color w:val="231F20"/>
        </w:rPr>
        <w:t>quite often. Sun-tzu’s book, </w:t>
      </w:r>
      <w:r>
        <w:rPr>
          <w:i/>
          <w:color w:val="231F20"/>
        </w:rPr>
        <w:t>The Art of War, </w:t>
      </w:r>
      <w:r>
        <w:rPr>
          <w:color w:val="231F20"/>
        </w:rPr>
        <w:t>even sat on my former boss’s desk. Quoting Sun-tzu is sure to make you either sound terribly</w:t>
      </w:r>
      <w:r>
        <w:rPr>
          <w:color w:val="231F20"/>
          <w:spacing w:val="40"/>
        </w:rPr>
        <w:t> </w:t>
      </w:r>
      <w:r>
        <w:rPr>
          <w:color w:val="231F20"/>
        </w:rPr>
        <w:t>smart or appear like the ruthless insider trader Gordon Gekko in the movie </w:t>
      </w:r>
      <w:r>
        <w:rPr>
          <w:i/>
          <w:color w:val="231F20"/>
        </w:rPr>
        <w:t>Wall Street. </w:t>
      </w:r>
      <w:r>
        <w:rPr>
          <w:color w:val="231F20"/>
        </w:rPr>
        <w:t>Here are a few choice quotes for your next busi- ness meeting, if you dare use them:</w:t>
      </w:r>
    </w:p>
    <w:p>
      <w:pPr>
        <w:pStyle w:val="BodyText"/>
        <w:spacing w:before="2"/>
        <w:rPr>
          <w:sz w:val="27"/>
        </w:rPr>
      </w:pPr>
    </w:p>
    <w:p>
      <w:pPr>
        <w:spacing w:before="0"/>
        <w:ind w:left="1170" w:right="0" w:firstLine="0"/>
        <w:jc w:val="left"/>
        <w:rPr>
          <w:rFonts w:ascii="Arial"/>
          <w:sz w:val="19"/>
        </w:rPr>
      </w:pPr>
      <w:r>
        <w:rPr>
          <w:rFonts w:ascii="Arial"/>
          <w:color w:val="231F20"/>
          <w:w w:val="115"/>
          <w:sz w:val="19"/>
        </w:rPr>
        <w:t>All</w:t>
      </w:r>
      <w:r>
        <w:rPr>
          <w:rFonts w:ascii="Arial"/>
          <w:color w:val="231F20"/>
          <w:spacing w:val="-15"/>
          <w:w w:val="115"/>
          <w:sz w:val="19"/>
        </w:rPr>
        <w:t> </w:t>
      </w:r>
      <w:r>
        <w:rPr>
          <w:rFonts w:ascii="Arial"/>
          <w:color w:val="231F20"/>
          <w:w w:val="115"/>
          <w:sz w:val="19"/>
        </w:rPr>
        <w:t>warfare</w:t>
      </w:r>
      <w:r>
        <w:rPr>
          <w:rFonts w:ascii="Arial"/>
          <w:color w:val="231F20"/>
          <w:spacing w:val="-14"/>
          <w:w w:val="115"/>
          <w:sz w:val="19"/>
        </w:rPr>
        <w:t> </w:t>
      </w:r>
      <w:r>
        <w:rPr>
          <w:rFonts w:ascii="Arial"/>
          <w:color w:val="231F20"/>
          <w:w w:val="115"/>
          <w:sz w:val="19"/>
        </w:rPr>
        <w:t>is</w:t>
      </w:r>
      <w:r>
        <w:rPr>
          <w:rFonts w:ascii="Arial"/>
          <w:color w:val="231F20"/>
          <w:spacing w:val="-14"/>
          <w:w w:val="115"/>
          <w:sz w:val="19"/>
        </w:rPr>
        <w:t> </w:t>
      </w:r>
      <w:r>
        <w:rPr>
          <w:rFonts w:ascii="Arial"/>
          <w:color w:val="231F20"/>
          <w:w w:val="115"/>
          <w:sz w:val="19"/>
        </w:rPr>
        <w:t>based</w:t>
      </w:r>
      <w:r>
        <w:rPr>
          <w:rFonts w:ascii="Arial"/>
          <w:color w:val="231F20"/>
          <w:spacing w:val="-15"/>
          <w:w w:val="115"/>
          <w:sz w:val="19"/>
        </w:rPr>
        <w:t> </w:t>
      </w:r>
      <w:r>
        <w:rPr>
          <w:rFonts w:ascii="Arial"/>
          <w:color w:val="231F20"/>
          <w:w w:val="115"/>
          <w:sz w:val="19"/>
        </w:rPr>
        <w:t>on</w:t>
      </w:r>
      <w:r>
        <w:rPr>
          <w:rFonts w:ascii="Arial"/>
          <w:color w:val="231F20"/>
          <w:spacing w:val="-14"/>
          <w:w w:val="115"/>
          <w:sz w:val="19"/>
        </w:rPr>
        <w:t> </w:t>
      </w:r>
      <w:r>
        <w:rPr>
          <w:rFonts w:ascii="Arial"/>
          <w:color w:val="231F20"/>
          <w:spacing w:val="-2"/>
          <w:w w:val="115"/>
          <w:sz w:val="19"/>
        </w:rPr>
        <w:t>deception.</w:t>
      </w:r>
    </w:p>
    <w:p>
      <w:pPr>
        <w:spacing w:line="328" w:lineRule="auto" w:before="82"/>
        <w:ind w:left="1510" w:right="1262" w:hanging="340"/>
        <w:jc w:val="left"/>
        <w:rPr>
          <w:rFonts w:ascii="Arial"/>
          <w:sz w:val="19"/>
        </w:rPr>
      </w:pPr>
      <w:r>
        <w:rPr>
          <w:rFonts w:ascii="Arial"/>
          <w:color w:val="231F20"/>
          <w:w w:val="115"/>
          <w:sz w:val="19"/>
        </w:rPr>
        <w:t>Offer</w:t>
      </w:r>
      <w:r>
        <w:rPr>
          <w:rFonts w:ascii="Arial"/>
          <w:color w:val="231F20"/>
          <w:spacing w:val="-10"/>
          <w:w w:val="115"/>
          <w:sz w:val="19"/>
        </w:rPr>
        <w:t> </w:t>
      </w:r>
      <w:r>
        <w:rPr>
          <w:rFonts w:ascii="Arial"/>
          <w:color w:val="231F20"/>
          <w:w w:val="115"/>
          <w:sz w:val="19"/>
        </w:rPr>
        <w:t>the</w:t>
      </w:r>
      <w:r>
        <w:rPr>
          <w:rFonts w:ascii="Arial"/>
          <w:color w:val="231F20"/>
          <w:spacing w:val="-10"/>
          <w:w w:val="115"/>
          <w:sz w:val="19"/>
        </w:rPr>
        <w:t> </w:t>
      </w:r>
      <w:r>
        <w:rPr>
          <w:rFonts w:ascii="Arial"/>
          <w:color w:val="231F20"/>
          <w:w w:val="115"/>
          <w:sz w:val="19"/>
        </w:rPr>
        <w:t>enemy</w:t>
      </w:r>
      <w:r>
        <w:rPr>
          <w:rFonts w:ascii="Arial"/>
          <w:color w:val="231F20"/>
          <w:spacing w:val="-10"/>
          <w:w w:val="115"/>
          <w:sz w:val="19"/>
        </w:rPr>
        <w:t> </w:t>
      </w:r>
      <w:r>
        <w:rPr>
          <w:rFonts w:ascii="Arial"/>
          <w:color w:val="231F20"/>
          <w:w w:val="115"/>
          <w:sz w:val="19"/>
        </w:rPr>
        <w:t>a</w:t>
      </w:r>
      <w:r>
        <w:rPr>
          <w:rFonts w:ascii="Arial"/>
          <w:color w:val="231F20"/>
          <w:spacing w:val="-10"/>
          <w:w w:val="115"/>
          <w:sz w:val="19"/>
        </w:rPr>
        <w:t> </w:t>
      </w:r>
      <w:r>
        <w:rPr>
          <w:rFonts w:ascii="Arial"/>
          <w:color w:val="231F20"/>
          <w:w w:val="115"/>
          <w:sz w:val="19"/>
        </w:rPr>
        <w:t>bait</w:t>
      </w:r>
      <w:r>
        <w:rPr>
          <w:rFonts w:ascii="Arial"/>
          <w:color w:val="231F20"/>
          <w:spacing w:val="-10"/>
          <w:w w:val="115"/>
          <w:sz w:val="19"/>
        </w:rPr>
        <w:t> </w:t>
      </w:r>
      <w:r>
        <w:rPr>
          <w:rFonts w:ascii="Arial"/>
          <w:color w:val="231F20"/>
          <w:w w:val="115"/>
          <w:sz w:val="19"/>
        </w:rPr>
        <w:t>to</w:t>
      </w:r>
      <w:r>
        <w:rPr>
          <w:rFonts w:ascii="Arial"/>
          <w:color w:val="231F20"/>
          <w:spacing w:val="-10"/>
          <w:w w:val="115"/>
          <w:sz w:val="19"/>
        </w:rPr>
        <w:t> </w:t>
      </w:r>
      <w:r>
        <w:rPr>
          <w:rFonts w:ascii="Arial"/>
          <w:color w:val="231F20"/>
          <w:w w:val="115"/>
          <w:sz w:val="19"/>
        </w:rPr>
        <w:t>lure</w:t>
      </w:r>
      <w:r>
        <w:rPr>
          <w:rFonts w:ascii="Arial"/>
          <w:color w:val="231F20"/>
          <w:spacing w:val="-10"/>
          <w:w w:val="115"/>
          <w:sz w:val="19"/>
        </w:rPr>
        <w:t> </w:t>
      </w:r>
      <w:r>
        <w:rPr>
          <w:rFonts w:ascii="Arial"/>
          <w:color w:val="231F20"/>
          <w:w w:val="115"/>
          <w:sz w:val="19"/>
        </w:rPr>
        <w:t>him;</w:t>
      </w:r>
      <w:r>
        <w:rPr>
          <w:rFonts w:ascii="Arial"/>
          <w:color w:val="231F20"/>
          <w:spacing w:val="-10"/>
          <w:w w:val="115"/>
          <w:sz w:val="19"/>
        </w:rPr>
        <w:t> </w:t>
      </w:r>
      <w:r>
        <w:rPr>
          <w:rFonts w:ascii="Arial"/>
          <w:color w:val="231F20"/>
          <w:w w:val="115"/>
          <w:sz w:val="19"/>
        </w:rPr>
        <w:t>feign</w:t>
      </w:r>
      <w:r>
        <w:rPr>
          <w:rFonts w:ascii="Arial"/>
          <w:color w:val="231F20"/>
          <w:spacing w:val="-10"/>
          <w:w w:val="115"/>
          <w:sz w:val="19"/>
        </w:rPr>
        <w:t> </w:t>
      </w:r>
      <w:r>
        <w:rPr>
          <w:rFonts w:ascii="Arial"/>
          <w:color w:val="231F20"/>
          <w:w w:val="115"/>
          <w:sz w:val="19"/>
        </w:rPr>
        <w:t>disorder</w:t>
      </w:r>
      <w:r>
        <w:rPr>
          <w:rFonts w:ascii="Arial"/>
          <w:color w:val="231F20"/>
          <w:spacing w:val="-10"/>
          <w:w w:val="115"/>
          <w:sz w:val="19"/>
        </w:rPr>
        <w:t> </w:t>
      </w:r>
      <w:r>
        <w:rPr>
          <w:rFonts w:ascii="Arial"/>
          <w:color w:val="231F20"/>
          <w:w w:val="115"/>
          <w:sz w:val="19"/>
        </w:rPr>
        <w:t>and strike him.</w:t>
      </w:r>
    </w:p>
    <w:p>
      <w:pPr>
        <w:spacing w:line="328" w:lineRule="auto" w:before="1"/>
        <w:ind w:left="1510" w:right="667" w:hanging="340"/>
        <w:jc w:val="left"/>
        <w:rPr>
          <w:rFonts w:ascii="Arial"/>
          <w:sz w:val="19"/>
        </w:rPr>
      </w:pPr>
      <w:r>
        <w:rPr>
          <w:rFonts w:ascii="Arial"/>
          <w:color w:val="231F20"/>
          <w:w w:val="115"/>
          <w:sz w:val="19"/>
        </w:rPr>
        <w:t>For</w:t>
      </w:r>
      <w:r>
        <w:rPr>
          <w:rFonts w:ascii="Arial"/>
          <w:color w:val="231F20"/>
          <w:spacing w:val="-8"/>
          <w:w w:val="115"/>
          <w:sz w:val="19"/>
        </w:rPr>
        <w:t> </w:t>
      </w:r>
      <w:r>
        <w:rPr>
          <w:rFonts w:ascii="Arial"/>
          <w:color w:val="231F20"/>
          <w:w w:val="115"/>
          <w:sz w:val="19"/>
        </w:rPr>
        <w:t>to</w:t>
      </w:r>
      <w:r>
        <w:rPr>
          <w:rFonts w:ascii="Arial"/>
          <w:color w:val="231F20"/>
          <w:spacing w:val="-8"/>
          <w:w w:val="115"/>
          <w:sz w:val="19"/>
        </w:rPr>
        <w:t> </w:t>
      </w:r>
      <w:r>
        <w:rPr>
          <w:rFonts w:ascii="Arial"/>
          <w:color w:val="231F20"/>
          <w:w w:val="115"/>
          <w:sz w:val="19"/>
        </w:rPr>
        <w:t>win</w:t>
      </w:r>
      <w:r>
        <w:rPr>
          <w:rFonts w:ascii="Arial"/>
          <w:color w:val="231F20"/>
          <w:spacing w:val="-8"/>
          <w:w w:val="115"/>
          <w:sz w:val="19"/>
        </w:rPr>
        <w:t> </w:t>
      </w:r>
      <w:r>
        <w:rPr>
          <w:rFonts w:ascii="Arial"/>
          <w:color w:val="231F20"/>
          <w:w w:val="115"/>
          <w:sz w:val="19"/>
        </w:rPr>
        <w:t>one</w:t>
      </w:r>
      <w:r>
        <w:rPr>
          <w:rFonts w:ascii="Arial"/>
          <w:color w:val="231F20"/>
          <w:spacing w:val="-8"/>
          <w:w w:val="115"/>
          <w:sz w:val="19"/>
        </w:rPr>
        <w:t> </w:t>
      </w:r>
      <w:r>
        <w:rPr>
          <w:rFonts w:ascii="Arial"/>
          <w:color w:val="231F20"/>
          <w:w w:val="115"/>
          <w:sz w:val="19"/>
        </w:rPr>
        <w:t>hundred</w:t>
      </w:r>
      <w:r>
        <w:rPr>
          <w:rFonts w:ascii="Arial"/>
          <w:color w:val="231F20"/>
          <w:spacing w:val="-8"/>
          <w:w w:val="115"/>
          <w:sz w:val="19"/>
        </w:rPr>
        <w:t> </w:t>
      </w:r>
      <w:r>
        <w:rPr>
          <w:rFonts w:ascii="Arial"/>
          <w:color w:val="231F20"/>
          <w:w w:val="115"/>
          <w:sz w:val="19"/>
        </w:rPr>
        <w:t>victories</w:t>
      </w:r>
      <w:r>
        <w:rPr>
          <w:rFonts w:ascii="Arial"/>
          <w:color w:val="231F20"/>
          <w:spacing w:val="-8"/>
          <w:w w:val="115"/>
          <w:sz w:val="19"/>
        </w:rPr>
        <w:t> </w:t>
      </w:r>
      <w:r>
        <w:rPr>
          <w:rFonts w:ascii="Arial"/>
          <w:color w:val="231F20"/>
          <w:w w:val="115"/>
          <w:sz w:val="19"/>
        </w:rPr>
        <w:t>in</w:t>
      </w:r>
      <w:r>
        <w:rPr>
          <w:rFonts w:ascii="Arial"/>
          <w:color w:val="231F20"/>
          <w:spacing w:val="-8"/>
          <w:w w:val="115"/>
          <w:sz w:val="19"/>
        </w:rPr>
        <w:t> </w:t>
      </w:r>
      <w:r>
        <w:rPr>
          <w:rFonts w:ascii="Arial"/>
          <w:color w:val="231F20"/>
          <w:w w:val="115"/>
          <w:sz w:val="19"/>
        </w:rPr>
        <w:t>one</w:t>
      </w:r>
      <w:r>
        <w:rPr>
          <w:rFonts w:ascii="Arial"/>
          <w:color w:val="231F20"/>
          <w:spacing w:val="-8"/>
          <w:w w:val="115"/>
          <w:sz w:val="19"/>
        </w:rPr>
        <w:t> </w:t>
      </w:r>
      <w:r>
        <w:rPr>
          <w:rFonts w:ascii="Arial"/>
          <w:color w:val="231F20"/>
          <w:w w:val="115"/>
          <w:sz w:val="19"/>
        </w:rPr>
        <w:t>hundred</w:t>
      </w:r>
      <w:r>
        <w:rPr>
          <w:rFonts w:ascii="Arial"/>
          <w:color w:val="231F20"/>
          <w:spacing w:val="-8"/>
          <w:w w:val="115"/>
          <w:sz w:val="19"/>
        </w:rPr>
        <w:t> </w:t>
      </w:r>
      <w:r>
        <w:rPr>
          <w:rFonts w:ascii="Arial"/>
          <w:color w:val="231F20"/>
          <w:w w:val="115"/>
          <w:sz w:val="19"/>
        </w:rPr>
        <w:t>battles</w:t>
      </w:r>
      <w:r>
        <w:rPr>
          <w:rFonts w:ascii="Arial"/>
          <w:color w:val="231F20"/>
          <w:spacing w:val="-8"/>
          <w:w w:val="115"/>
          <w:sz w:val="19"/>
        </w:rPr>
        <w:t> </w:t>
      </w:r>
      <w:r>
        <w:rPr>
          <w:rFonts w:ascii="Arial"/>
          <w:color w:val="231F20"/>
          <w:w w:val="115"/>
          <w:sz w:val="19"/>
        </w:rPr>
        <w:t>is</w:t>
      </w:r>
      <w:r>
        <w:rPr>
          <w:rFonts w:ascii="Arial"/>
          <w:color w:val="231F20"/>
          <w:spacing w:val="-8"/>
          <w:w w:val="115"/>
          <w:sz w:val="19"/>
        </w:rPr>
        <w:t> </w:t>
      </w:r>
      <w:r>
        <w:rPr>
          <w:rFonts w:ascii="Arial"/>
          <w:color w:val="231F20"/>
          <w:w w:val="115"/>
          <w:sz w:val="19"/>
        </w:rPr>
        <w:t>not the</w:t>
      </w:r>
      <w:r>
        <w:rPr>
          <w:rFonts w:ascii="Arial"/>
          <w:color w:val="231F20"/>
          <w:spacing w:val="-5"/>
          <w:w w:val="115"/>
          <w:sz w:val="19"/>
        </w:rPr>
        <w:t> </w:t>
      </w:r>
      <w:r>
        <w:rPr>
          <w:rFonts w:ascii="Arial"/>
          <w:color w:val="231F20"/>
          <w:w w:val="115"/>
          <w:sz w:val="19"/>
        </w:rPr>
        <w:t>acme</w:t>
      </w:r>
      <w:r>
        <w:rPr>
          <w:rFonts w:ascii="Arial"/>
          <w:color w:val="231F20"/>
          <w:spacing w:val="-5"/>
          <w:w w:val="115"/>
          <w:sz w:val="19"/>
        </w:rPr>
        <w:t> </w:t>
      </w:r>
      <w:r>
        <w:rPr>
          <w:rFonts w:ascii="Arial"/>
          <w:color w:val="231F20"/>
          <w:w w:val="115"/>
          <w:sz w:val="19"/>
        </w:rPr>
        <w:t>of</w:t>
      </w:r>
      <w:r>
        <w:rPr>
          <w:rFonts w:ascii="Arial"/>
          <w:color w:val="231F20"/>
          <w:spacing w:val="-5"/>
          <w:w w:val="115"/>
          <w:sz w:val="19"/>
        </w:rPr>
        <w:t> </w:t>
      </w:r>
      <w:r>
        <w:rPr>
          <w:rFonts w:ascii="Arial"/>
          <w:color w:val="231F20"/>
          <w:w w:val="115"/>
          <w:sz w:val="19"/>
        </w:rPr>
        <w:t>skill.</w:t>
      </w:r>
      <w:r>
        <w:rPr>
          <w:rFonts w:ascii="Arial"/>
          <w:color w:val="231F20"/>
          <w:spacing w:val="-5"/>
          <w:w w:val="115"/>
          <w:sz w:val="19"/>
        </w:rPr>
        <w:t> </w:t>
      </w:r>
      <w:r>
        <w:rPr>
          <w:rFonts w:ascii="Arial"/>
          <w:color w:val="231F20"/>
          <w:w w:val="115"/>
          <w:sz w:val="19"/>
        </w:rPr>
        <w:t>To</w:t>
      </w:r>
      <w:r>
        <w:rPr>
          <w:rFonts w:ascii="Arial"/>
          <w:color w:val="231F20"/>
          <w:spacing w:val="-5"/>
          <w:w w:val="115"/>
          <w:sz w:val="19"/>
        </w:rPr>
        <w:t> </w:t>
      </w:r>
      <w:r>
        <w:rPr>
          <w:rFonts w:ascii="Arial"/>
          <w:color w:val="231F20"/>
          <w:w w:val="115"/>
          <w:sz w:val="19"/>
        </w:rPr>
        <w:t>subdue</w:t>
      </w:r>
      <w:r>
        <w:rPr>
          <w:rFonts w:ascii="Arial"/>
          <w:color w:val="231F20"/>
          <w:spacing w:val="-5"/>
          <w:w w:val="115"/>
          <w:sz w:val="19"/>
        </w:rPr>
        <w:t> </w:t>
      </w:r>
      <w:r>
        <w:rPr>
          <w:rFonts w:ascii="Arial"/>
          <w:color w:val="231F20"/>
          <w:w w:val="115"/>
          <w:sz w:val="19"/>
        </w:rPr>
        <w:t>the</w:t>
      </w:r>
      <w:r>
        <w:rPr>
          <w:rFonts w:ascii="Arial"/>
          <w:color w:val="231F20"/>
          <w:spacing w:val="-5"/>
          <w:w w:val="115"/>
          <w:sz w:val="19"/>
        </w:rPr>
        <w:t> </w:t>
      </w:r>
      <w:r>
        <w:rPr>
          <w:rFonts w:ascii="Arial"/>
          <w:color w:val="231F20"/>
          <w:w w:val="115"/>
          <w:sz w:val="19"/>
        </w:rPr>
        <w:t>enemy</w:t>
      </w:r>
      <w:r>
        <w:rPr>
          <w:rFonts w:ascii="Arial"/>
          <w:color w:val="231F20"/>
          <w:spacing w:val="-5"/>
          <w:w w:val="115"/>
          <w:sz w:val="19"/>
        </w:rPr>
        <w:t> </w:t>
      </w:r>
      <w:r>
        <w:rPr>
          <w:rFonts w:ascii="Arial"/>
          <w:color w:val="231F20"/>
          <w:w w:val="115"/>
          <w:sz w:val="19"/>
        </w:rPr>
        <w:t>without</w:t>
      </w:r>
      <w:r>
        <w:rPr>
          <w:rFonts w:ascii="Arial"/>
          <w:color w:val="231F20"/>
          <w:spacing w:val="-5"/>
          <w:w w:val="115"/>
          <w:sz w:val="19"/>
        </w:rPr>
        <w:t> </w:t>
      </w:r>
      <w:r>
        <w:rPr>
          <w:rFonts w:ascii="Arial"/>
          <w:color w:val="231F20"/>
          <w:w w:val="115"/>
          <w:sz w:val="19"/>
        </w:rPr>
        <w:t>fighting</w:t>
      </w:r>
      <w:r>
        <w:rPr>
          <w:rFonts w:ascii="Arial"/>
          <w:color w:val="231F20"/>
          <w:spacing w:val="-5"/>
          <w:w w:val="115"/>
          <w:sz w:val="19"/>
        </w:rPr>
        <w:t> </w:t>
      </w:r>
      <w:r>
        <w:rPr>
          <w:rFonts w:ascii="Arial"/>
          <w:color w:val="231F20"/>
          <w:w w:val="115"/>
          <w:sz w:val="19"/>
        </w:rPr>
        <w:t>is the acme of skill.</w:t>
      </w:r>
    </w:p>
    <w:p>
      <w:pPr>
        <w:spacing w:line="328" w:lineRule="auto" w:before="2"/>
        <w:ind w:left="1510" w:right="667" w:hanging="340"/>
        <w:jc w:val="left"/>
        <w:rPr>
          <w:rFonts w:ascii="Arial"/>
          <w:sz w:val="19"/>
        </w:rPr>
      </w:pPr>
      <w:r>
        <w:rPr>
          <w:rFonts w:ascii="Arial"/>
          <w:color w:val="231F20"/>
          <w:w w:val="110"/>
          <w:sz w:val="19"/>
        </w:rPr>
        <w:t>In war, numbers alone confer no advantage. Do not </w:t>
      </w:r>
      <w:r>
        <w:rPr>
          <w:rFonts w:ascii="Arial"/>
          <w:color w:val="231F20"/>
          <w:w w:val="110"/>
          <w:sz w:val="19"/>
        </w:rPr>
        <w:t>advance relying on sheer military power.</w:t>
      </w:r>
    </w:p>
    <w:p>
      <w:pPr>
        <w:spacing w:line="328" w:lineRule="auto" w:before="2"/>
        <w:ind w:left="1510" w:right="667" w:hanging="340"/>
        <w:jc w:val="left"/>
        <w:rPr>
          <w:rFonts w:ascii="Arial" w:hAnsi="Arial"/>
          <w:sz w:val="19"/>
        </w:rPr>
      </w:pPr>
      <w:r>
        <w:rPr>
          <w:rFonts w:ascii="Arial" w:hAnsi="Arial"/>
          <w:color w:val="231F20"/>
          <w:w w:val="115"/>
          <w:sz w:val="19"/>
        </w:rPr>
        <w:t>Thus,</w:t>
      </w:r>
      <w:r>
        <w:rPr>
          <w:rFonts w:ascii="Arial" w:hAnsi="Arial"/>
          <w:color w:val="231F20"/>
          <w:spacing w:val="-12"/>
          <w:w w:val="115"/>
          <w:sz w:val="19"/>
        </w:rPr>
        <w:t> </w:t>
      </w:r>
      <w:r>
        <w:rPr>
          <w:rFonts w:ascii="Arial" w:hAnsi="Arial"/>
          <w:color w:val="231F20"/>
          <w:w w:val="115"/>
          <w:sz w:val="19"/>
        </w:rPr>
        <w:t>what</w:t>
      </w:r>
      <w:r>
        <w:rPr>
          <w:rFonts w:ascii="Arial" w:hAnsi="Arial"/>
          <w:color w:val="231F20"/>
          <w:spacing w:val="-12"/>
          <w:w w:val="115"/>
          <w:sz w:val="19"/>
        </w:rPr>
        <w:t> </w:t>
      </w:r>
      <w:r>
        <w:rPr>
          <w:rFonts w:ascii="Arial" w:hAnsi="Arial"/>
          <w:color w:val="231F20"/>
          <w:w w:val="115"/>
          <w:sz w:val="19"/>
        </w:rPr>
        <w:t>is</w:t>
      </w:r>
      <w:r>
        <w:rPr>
          <w:rFonts w:ascii="Arial" w:hAnsi="Arial"/>
          <w:color w:val="231F20"/>
          <w:spacing w:val="-12"/>
          <w:w w:val="115"/>
          <w:sz w:val="19"/>
        </w:rPr>
        <w:t> </w:t>
      </w:r>
      <w:r>
        <w:rPr>
          <w:rFonts w:ascii="Arial" w:hAnsi="Arial"/>
          <w:color w:val="231F20"/>
          <w:w w:val="115"/>
          <w:sz w:val="19"/>
        </w:rPr>
        <w:t>of</w:t>
      </w:r>
      <w:r>
        <w:rPr>
          <w:rFonts w:ascii="Arial" w:hAnsi="Arial"/>
          <w:color w:val="231F20"/>
          <w:spacing w:val="-12"/>
          <w:w w:val="115"/>
          <w:sz w:val="19"/>
        </w:rPr>
        <w:t> </w:t>
      </w:r>
      <w:r>
        <w:rPr>
          <w:rFonts w:ascii="Arial" w:hAnsi="Arial"/>
          <w:color w:val="231F20"/>
          <w:w w:val="115"/>
          <w:sz w:val="19"/>
        </w:rPr>
        <w:t>supreme</w:t>
      </w:r>
      <w:r>
        <w:rPr>
          <w:rFonts w:ascii="Arial" w:hAnsi="Arial"/>
          <w:color w:val="231F20"/>
          <w:spacing w:val="-12"/>
          <w:w w:val="115"/>
          <w:sz w:val="19"/>
        </w:rPr>
        <w:t> </w:t>
      </w:r>
      <w:r>
        <w:rPr>
          <w:rFonts w:ascii="Arial" w:hAnsi="Arial"/>
          <w:color w:val="231F20"/>
          <w:w w:val="115"/>
          <w:sz w:val="19"/>
        </w:rPr>
        <w:t>importance</w:t>
      </w:r>
      <w:r>
        <w:rPr>
          <w:rFonts w:ascii="Arial" w:hAnsi="Arial"/>
          <w:color w:val="231F20"/>
          <w:spacing w:val="-12"/>
          <w:w w:val="115"/>
          <w:sz w:val="19"/>
        </w:rPr>
        <w:t> </w:t>
      </w:r>
      <w:r>
        <w:rPr>
          <w:rFonts w:ascii="Arial" w:hAnsi="Arial"/>
          <w:color w:val="231F20"/>
          <w:w w:val="115"/>
          <w:sz w:val="19"/>
        </w:rPr>
        <w:t>in</w:t>
      </w:r>
      <w:r>
        <w:rPr>
          <w:rFonts w:ascii="Arial" w:hAnsi="Arial"/>
          <w:color w:val="231F20"/>
          <w:spacing w:val="-12"/>
          <w:w w:val="115"/>
          <w:sz w:val="19"/>
        </w:rPr>
        <w:t> </w:t>
      </w:r>
      <w:r>
        <w:rPr>
          <w:rFonts w:ascii="Arial" w:hAnsi="Arial"/>
          <w:color w:val="231F20"/>
          <w:w w:val="115"/>
          <w:sz w:val="19"/>
        </w:rPr>
        <w:t>war</w:t>
      </w:r>
      <w:r>
        <w:rPr>
          <w:rFonts w:ascii="Arial" w:hAnsi="Arial"/>
          <w:color w:val="231F20"/>
          <w:spacing w:val="-12"/>
          <w:w w:val="115"/>
          <w:sz w:val="19"/>
        </w:rPr>
        <w:t> </w:t>
      </w:r>
      <w:r>
        <w:rPr>
          <w:rFonts w:ascii="Arial" w:hAnsi="Arial"/>
          <w:color w:val="231F20"/>
          <w:w w:val="115"/>
          <w:sz w:val="19"/>
        </w:rPr>
        <w:t>is</w:t>
      </w:r>
      <w:r>
        <w:rPr>
          <w:rFonts w:ascii="Arial" w:hAnsi="Arial"/>
          <w:color w:val="231F20"/>
          <w:spacing w:val="-12"/>
          <w:w w:val="115"/>
          <w:sz w:val="19"/>
        </w:rPr>
        <w:t> </w:t>
      </w:r>
      <w:r>
        <w:rPr>
          <w:rFonts w:ascii="Arial" w:hAnsi="Arial"/>
          <w:color w:val="231F20"/>
          <w:w w:val="115"/>
          <w:sz w:val="19"/>
        </w:rPr>
        <w:t>to</w:t>
      </w:r>
      <w:r>
        <w:rPr>
          <w:rFonts w:ascii="Arial" w:hAnsi="Arial"/>
          <w:color w:val="231F20"/>
          <w:spacing w:val="-12"/>
          <w:w w:val="115"/>
          <w:sz w:val="19"/>
        </w:rPr>
        <w:t> </w:t>
      </w:r>
      <w:r>
        <w:rPr>
          <w:rFonts w:ascii="Arial" w:hAnsi="Arial"/>
          <w:color w:val="231F20"/>
          <w:w w:val="115"/>
          <w:sz w:val="19"/>
        </w:rPr>
        <w:t>attack</w:t>
      </w:r>
      <w:r>
        <w:rPr>
          <w:rFonts w:ascii="Arial" w:hAnsi="Arial"/>
          <w:color w:val="231F20"/>
          <w:spacing w:val="-12"/>
          <w:w w:val="115"/>
          <w:sz w:val="19"/>
        </w:rPr>
        <w:t> </w:t>
      </w:r>
      <w:r>
        <w:rPr>
          <w:rFonts w:ascii="Arial" w:hAnsi="Arial"/>
          <w:color w:val="231F20"/>
          <w:w w:val="115"/>
          <w:sz w:val="19"/>
        </w:rPr>
        <w:t>the enemy’s strategy.</w:t>
      </w:r>
    </w:p>
    <w:p>
      <w:pPr>
        <w:pStyle w:val="BodyText"/>
        <w:rPr>
          <w:rFonts w:ascii="Arial"/>
          <w:sz w:val="20"/>
        </w:rPr>
      </w:pPr>
    </w:p>
    <w:p>
      <w:pPr>
        <w:pStyle w:val="BodyText"/>
        <w:spacing w:before="2"/>
        <w:rPr>
          <w:rFonts w:ascii="Arial"/>
          <w:sz w:val="28"/>
        </w:rPr>
      </w:pPr>
    </w:p>
    <w:p>
      <w:pPr>
        <w:pStyle w:val="Heading4"/>
        <w:ind w:left="301"/>
      </w:pPr>
      <w:r>
        <w:rPr>
          <w:color w:val="231F20"/>
          <w:w w:val="85"/>
        </w:rPr>
        <w:t>STRATEGIC</w:t>
      </w:r>
      <w:r>
        <w:rPr>
          <w:color w:val="231F20"/>
          <w:spacing w:val="52"/>
          <w:w w:val="150"/>
        </w:rPr>
        <w:t> </w:t>
      </w:r>
      <w:r>
        <w:rPr>
          <w:color w:val="231F20"/>
          <w:spacing w:val="7"/>
          <w:w w:val="95"/>
        </w:rPr>
        <w:t>IMPLEMENTATION</w:t>
      </w:r>
    </w:p>
    <w:p>
      <w:pPr>
        <w:pStyle w:val="BodyText"/>
        <w:spacing w:before="10"/>
        <w:rPr>
          <w:rFonts w:ascii="Trebuchet MS"/>
          <w:sz w:val="29"/>
        </w:rPr>
      </w:pPr>
    </w:p>
    <w:p>
      <w:pPr>
        <w:pStyle w:val="BodyText"/>
        <w:spacing w:line="292" w:lineRule="auto"/>
        <w:ind w:left="830" w:right="753"/>
        <w:jc w:val="both"/>
      </w:pPr>
      <w:r>
        <w:rPr>
          <w:color w:val="231F20"/>
        </w:rPr>
        <w:t>As I indicated at the beginning of this chapter, strategy development without an eye toward implementation is a waste of time. Strategic changes</w:t>
      </w:r>
      <w:r>
        <w:rPr>
          <w:color w:val="231F20"/>
          <w:spacing w:val="25"/>
        </w:rPr>
        <w:t> </w:t>
      </w:r>
      <w:r>
        <w:rPr>
          <w:color w:val="231F20"/>
        </w:rPr>
        <w:t>are</w:t>
      </w:r>
      <w:r>
        <w:rPr>
          <w:color w:val="231F20"/>
          <w:spacing w:val="25"/>
        </w:rPr>
        <w:t> </w:t>
      </w:r>
      <w:r>
        <w:rPr>
          <w:color w:val="231F20"/>
        </w:rPr>
        <w:t>an</w:t>
      </w:r>
      <w:r>
        <w:rPr>
          <w:color w:val="231F20"/>
          <w:spacing w:val="25"/>
        </w:rPr>
        <w:t> </w:t>
      </w:r>
      <w:r>
        <w:rPr>
          <w:color w:val="231F20"/>
        </w:rPr>
        <w:t>easy</w:t>
      </w:r>
      <w:r>
        <w:rPr>
          <w:color w:val="231F20"/>
          <w:spacing w:val="25"/>
        </w:rPr>
        <w:t> </w:t>
      </w:r>
      <w:r>
        <w:rPr>
          <w:color w:val="231F20"/>
        </w:rPr>
        <w:t>topic</w:t>
      </w:r>
      <w:r>
        <w:rPr>
          <w:color w:val="231F20"/>
          <w:spacing w:val="25"/>
        </w:rPr>
        <w:t> </w:t>
      </w:r>
      <w:r>
        <w:rPr>
          <w:color w:val="231F20"/>
        </w:rPr>
        <w:t>for</w:t>
      </w:r>
      <w:r>
        <w:rPr>
          <w:color w:val="231F20"/>
          <w:spacing w:val="25"/>
        </w:rPr>
        <w:t> </w:t>
      </w:r>
      <w:r>
        <w:rPr>
          <w:color w:val="231F20"/>
        </w:rPr>
        <w:t>MBAs</w:t>
      </w:r>
      <w:r>
        <w:rPr>
          <w:color w:val="231F20"/>
          <w:spacing w:val="25"/>
        </w:rPr>
        <w:t> </w:t>
      </w:r>
      <w:r>
        <w:rPr>
          <w:color w:val="231F20"/>
        </w:rPr>
        <w:t>to</w:t>
      </w:r>
      <w:r>
        <w:rPr>
          <w:color w:val="231F20"/>
          <w:spacing w:val="25"/>
        </w:rPr>
        <w:t> </w:t>
      </w:r>
      <w:r>
        <w:rPr>
          <w:color w:val="231F20"/>
        </w:rPr>
        <w:t>talk</w:t>
      </w:r>
      <w:r>
        <w:rPr>
          <w:color w:val="231F20"/>
          <w:spacing w:val="25"/>
        </w:rPr>
        <w:t> </w:t>
      </w:r>
      <w:r>
        <w:rPr>
          <w:color w:val="231F20"/>
        </w:rPr>
        <w:t>about,</w:t>
      </w:r>
      <w:r>
        <w:rPr>
          <w:color w:val="231F20"/>
          <w:spacing w:val="25"/>
        </w:rPr>
        <w:t> </w:t>
      </w:r>
      <w:r>
        <w:rPr>
          <w:color w:val="231F20"/>
        </w:rPr>
        <w:t>but</w:t>
      </w:r>
      <w:r>
        <w:rPr>
          <w:color w:val="231F20"/>
          <w:spacing w:val="25"/>
        </w:rPr>
        <w:t> </w:t>
      </w:r>
      <w:r>
        <w:rPr>
          <w:color w:val="231F20"/>
        </w:rPr>
        <w:t>are</w:t>
      </w:r>
      <w:r>
        <w:rPr>
          <w:color w:val="231F20"/>
          <w:spacing w:val="25"/>
        </w:rPr>
        <w:t> </w:t>
      </w:r>
      <w:r>
        <w:rPr>
          <w:color w:val="231F20"/>
        </w:rPr>
        <w:t>not</w:t>
      </w:r>
      <w:r>
        <w:rPr>
          <w:color w:val="231F20"/>
          <w:spacing w:val="25"/>
        </w:rPr>
        <w:t> </w:t>
      </w:r>
      <w:r>
        <w:rPr>
          <w:color w:val="231F20"/>
        </w:rPr>
        <w:t>easy to accomplish. A clever quote won’t cut it. I cannot possibly tell you how to turn around a failing business in a chapter, but I can put strategic thinking into perspective. Contrary to what some academ- ics would lead you to believe, no one tactic or trick constitutes strat- egy; rather, strategy is how the “totality” of a company works together to achieve goals.</w:t>
      </w:r>
    </w:p>
    <w:p>
      <w:pPr>
        <w:pStyle w:val="BodyText"/>
        <w:spacing w:line="243" w:lineRule="exact"/>
        <w:ind w:left="1169"/>
        <w:jc w:val="both"/>
      </w:pPr>
      <w:r>
        <w:rPr>
          <w:color w:val="231F20"/>
        </w:rPr>
        <w:t>Executives</w:t>
      </w:r>
      <w:r>
        <w:rPr>
          <w:color w:val="231F20"/>
          <w:spacing w:val="7"/>
        </w:rPr>
        <w:t> </w:t>
      </w:r>
      <w:r>
        <w:rPr>
          <w:color w:val="231F20"/>
        </w:rPr>
        <w:t>do</w:t>
      </w:r>
      <w:r>
        <w:rPr>
          <w:color w:val="231F20"/>
          <w:spacing w:val="7"/>
        </w:rPr>
        <w:t> </w:t>
      </w:r>
      <w:r>
        <w:rPr>
          <w:color w:val="231F20"/>
        </w:rPr>
        <w:t>not</w:t>
      </w:r>
      <w:r>
        <w:rPr>
          <w:color w:val="231F20"/>
          <w:spacing w:val="8"/>
        </w:rPr>
        <w:t> </w:t>
      </w:r>
      <w:r>
        <w:rPr>
          <w:color w:val="231F20"/>
        </w:rPr>
        <w:t>think</w:t>
      </w:r>
      <w:r>
        <w:rPr>
          <w:color w:val="231F20"/>
          <w:spacing w:val="7"/>
        </w:rPr>
        <w:t> </w:t>
      </w:r>
      <w:r>
        <w:rPr>
          <w:color w:val="231F20"/>
        </w:rPr>
        <w:t>up</w:t>
      </w:r>
      <w:r>
        <w:rPr>
          <w:color w:val="231F20"/>
          <w:spacing w:val="7"/>
        </w:rPr>
        <w:t> </w:t>
      </w:r>
      <w:r>
        <w:rPr>
          <w:color w:val="231F20"/>
        </w:rPr>
        <w:t>or</w:t>
      </w:r>
      <w:r>
        <w:rPr>
          <w:color w:val="231F20"/>
          <w:spacing w:val="8"/>
        </w:rPr>
        <w:t> </w:t>
      </w:r>
      <w:r>
        <w:rPr>
          <w:color w:val="231F20"/>
        </w:rPr>
        <w:t>implement</w:t>
      </w:r>
      <w:r>
        <w:rPr>
          <w:color w:val="231F20"/>
          <w:spacing w:val="7"/>
        </w:rPr>
        <w:t> </w:t>
      </w:r>
      <w:r>
        <w:rPr>
          <w:color w:val="231F20"/>
        </w:rPr>
        <w:t>strategy</w:t>
      </w:r>
      <w:r>
        <w:rPr>
          <w:color w:val="231F20"/>
          <w:spacing w:val="8"/>
        </w:rPr>
        <w:t> </w:t>
      </w:r>
      <w:r>
        <w:rPr>
          <w:color w:val="231F20"/>
        </w:rPr>
        <w:t>in</w:t>
      </w:r>
      <w:r>
        <w:rPr>
          <w:color w:val="231F20"/>
          <w:spacing w:val="7"/>
        </w:rPr>
        <w:t> </w:t>
      </w:r>
      <w:r>
        <w:rPr>
          <w:color w:val="231F20"/>
        </w:rPr>
        <w:t>one</w:t>
      </w:r>
      <w:r>
        <w:rPr>
          <w:color w:val="231F20"/>
          <w:spacing w:val="7"/>
        </w:rPr>
        <w:t> </w:t>
      </w:r>
      <w:r>
        <w:rPr>
          <w:color w:val="231F20"/>
          <w:spacing w:val="-4"/>
        </w:rPr>
        <w:t>day.</w:t>
      </w:r>
    </w:p>
    <w:p>
      <w:pPr>
        <w:pStyle w:val="BodyText"/>
        <w:spacing w:line="292" w:lineRule="auto" w:before="54"/>
        <w:ind w:left="829" w:right="754" w:firstLine="340"/>
        <w:jc w:val="both"/>
      </w:pPr>
      <w:r>
        <w:rPr>
          <w:color w:val="231F20"/>
        </w:rPr>
        <w:t>Leaders have to discern which factors are within their control</w:t>
      </w:r>
      <w:r>
        <w:rPr>
          <w:color w:val="231F20"/>
          <w:spacing w:val="40"/>
        </w:rPr>
        <w:t> </w:t>
      </w:r>
      <w:r>
        <w:rPr>
          <w:color w:val="231F20"/>
        </w:rPr>
        <w:t>and which are not. MBAs call those factors within their control </w:t>
      </w:r>
      <w:r>
        <w:rPr>
          <w:color w:val="231F20"/>
        </w:rPr>
        <w:t>the </w:t>
      </w:r>
      <w:r>
        <w:rPr>
          <w:i/>
          <w:color w:val="231F20"/>
        </w:rPr>
        <w:t>action levers. </w:t>
      </w:r>
      <w:r>
        <w:rPr>
          <w:color w:val="231F20"/>
        </w:rPr>
        <w:t>Strategists must also deal with the reality of human re- sistance to change. They must set tangible goals, formulate their action</w:t>
      </w:r>
      <w:r>
        <w:rPr>
          <w:color w:val="231F20"/>
          <w:spacing w:val="11"/>
        </w:rPr>
        <w:t> </w:t>
      </w:r>
      <w:r>
        <w:rPr>
          <w:color w:val="231F20"/>
        </w:rPr>
        <w:t>plan,</w:t>
      </w:r>
      <w:r>
        <w:rPr>
          <w:color w:val="231F20"/>
          <w:spacing w:val="11"/>
        </w:rPr>
        <w:t> </w:t>
      </w:r>
      <w:r>
        <w:rPr>
          <w:color w:val="231F20"/>
        </w:rPr>
        <w:t>and</w:t>
      </w:r>
      <w:r>
        <w:rPr>
          <w:color w:val="231F20"/>
          <w:spacing w:val="11"/>
        </w:rPr>
        <w:t> </w:t>
      </w:r>
      <w:r>
        <w:rPr>
          <w:color w:val="231F20"/>
        </w:rPr>
        <w:t>develop</w:t>
      </w:r>
      <w:r>
        <w:rPr>
          <w:color w:val="231F20"/>
          <w:spacing w:val="12"/>
        </w:rPr>
        <w:t> </w:t>
      </w:r>
      <w:r>
        <w:rPr>
          <w:color w:val="231F20"/>
        </w:rPr>
        <w:t>contingency</w:t>
      </w:r>
      <w:r>
        <w:rPr>
          <w:color w:val="231F20"/>
          <w:spacing w:val="11"/>
        </w:rPr>
        <w:t> </w:t>
      </w:r>
      <w:r>
        <w:rPr>
          <w:color w:val="231F20"/>
        </w:rPr>
        <w:t>plans</w:t>
      </w:r>
      <w:r>
        <w:rPr>
          <w:color w:val="231F20"/>
          <w:spacing w:val="11"/>
        </w:rPr>
        <w:t> </w:t>
      </w:r>
      <w:r>
        <w:rPr>
          <w:color w:val="231F20"/>
        </w:rPr>
        <w:t>if</w:t>
      </w:r>
      <w:r>
        <w:rPr>
          <w:color w:val="231F20"/>
          <w:spacing w:val="12"/>
        </w:rPr>
        <w:t> </w:t>
      </w:r>
      <w:r>
        <w:rPr>
          <w:color w:val="231F20"/>
        </w:rPr>
        <w:t>things</w:t>
      </w:r>
      <w:r>
        <w:rPr>
          <w:color w:val="231F20"/>
          <w:spacing w:val="11"/>
        </w:rPr>
        <w:t> </w:t>
      </w:r>
      <w:r>
        <w:rPr>
          <w:color w:val="231F20"/>
        </w:rPr>
        <w:t>do</w:t>
      </w:r>
      <w:r>
        <w:rPr>
          <w:color w:val="231F20"/>
          <w:spacing w:val="11"/>
        </w:rPr>
        <w:t> </w:t>
      </w:r>
      <w:r>
        <w:rPr>
          <w:color w:val="231F20"/>
        </w:rPr>
        <w:t>not</w:t>
      </w:r>
      <w:r>
        <w:rPr>
          <w:color w:val="231F20"/>
          <w:spacing w:val="12"/>
        </w:rPr>
        <w:t> </w:t>
      </w:r>
      <w:r>
        <w:rPr>
          <w:color w:val="231F20"/>
        </w:rPr>
        <w:t>go</w:t>
      </w:r>
      <w:r>
        <w:rPr>
          <w:color w:val="231F20"/>
          <w:spacing w:val="11"/>
        </w:rPr>
        <w:t> </w:t>
      </w:r>
      <w:r>
        <w:rPr>
          <w:color w:val="231F20"/>
        </w:rPr>
        <w:t>as</w:t>
      </w:r>
      <w:r>
        <w:rPr>
          <w:color w:val="231F20"/>
          <w:spacing w:val="11"/>
        </w:rPr>
        <w:t> </w:t>
      </w:r>
      <w:r>
        <w:rPr>
          <w:color w:val="231F20"/>
          <w:spacing w:val="-5"/>
        </w:rPr>
        <w:t>in-</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tended. This is the same action-planning sequence outlined in the organizational behavior chapter.</w:t>
      </w:r>
    </w:p>
    <w:p>
      <w:pPr>
        <w:spacing w:line="292" w:lineRule="auto" w:before="0"/>
        <w:ind w:left="920" w:right="663" w:firstLine="340"/>
        <w:jc w:val="both"/>
        <w:rPr>
          <w:i/>
          <w:sz w:val="21"/>
        </w:rPr>
      </w:pPr>
      <w:r>
        <w:rPr>
          <w:color w:val="231F20"/>
          <w:w w:val="105"/>
          <w:sz w:val="21"/>
        </w:rPr>
        <w:t>Strategy</w:t>
      </w:r>
      <w:r>
        <w:rPr>
          <w:color w:val="231F20"/>
          <w:spacing w:val="-13"/>
          <w:w w:val="105"/>
          <w:sz w:val="21"/>
        </w:rPr>
        <w:t> </w:t>
      </w:r>
      <w:r>
        <w:rPr>
          <w:color w:val="231F20"/>
          <w:w w:val="105"/>
          <w:sz w:val="21"/>
        </w:rPr>
        <w:t>is</w:t>
      </w:r>
      <w:r>
        <w:rPr>
          <w:color w:val="231F20"/>
          <w:spacing w:val="-12"/>
          <w:w w:val="105"/>
          <w:sz w:val="21"/>
        </w:rPr>
        <w:t> </w:t>
      </w:r>
      <w:r>
        <w:rPr>
          <w:color w:val="231F20"/>
          <w:w w:val="105"/>
          <w:sz w:val="21"/>
        </w:rPr>
        <w:t>dynamic.</w:t>
      </w:r>
      <w:r>
        <w:rPr>
          <w:color w:val="231F20"/>
          <w:spacing w:val="-12"/>
          <w:w w:val="105"/>
          <w:sz w:val="21"/>
        </w:rPr>
        <w:t> </w:t>
      </w:r>
      <w:r>
        <w:rPr>
          <w:color w:val="231F20"/>
          <w:w w:val="105"/>
          <w:sz w:val="21"/>
        </w:rPr>
        <w:t>Executives</w:t>
      </w:r>
      <w:r>
        <w:rPr>
          <w:color w:val="231F20"/>
          <w:spacing w:val="-12"/>
          <w:w w:val="105"/>
          <w:sz w:val="21"/>
        </w:rPr>
        <w:t> </w:t>
      </w:r>
      <w:r>
        <w:rPr>
          <w:color w:val="231F20"/>
          <w:w w:val="105"/>
          <w:sz w:val="21"/>
        </w:rPr>
        <w:t>must</w:t>
      </w:r>
      <w:r>
        <w:rPr>
          <w:color w:val="231F20"/>
          <w:spacing w:val="-12"/>
          <w:w w:val="105"/>
          <w:sz w:val="21"/>
        </w:rPr>
        <w:t> </w:t>
      </w:r>
      <w:r>
        <w:rPr>
          <w:color w:val="231F20"/>
          <w:w w:val="105"/>
          <w:sz w:val="21"/>
        </w:rPr>
        <w:t>review</w:t>
      </w:r>
      <w:r>
        <w:rPr>
          <w:color w:val="231F20"/>
          <w:spacing w:val="-12"/>
          <w:w w:val="105"/>
          <w:sz w:val="21"/>
        </w:rPr>
        <w:t> </w:t>
      </w:r>
      <w:r>
        <w:rPr>
          <w:color w:val="231F20"/>
          <w:w w:val="105"/>
          <w:sz w:val="21"/>
        </w:rPr>
        <w:t>their</w:t>
      </w:r>
      <w:r>
        <w:rPr>
          <w:color w:val="231F20"/>
          <w:spacing w:val="-12"/>
          <w:w w:val="105"/>
          <w:sz w:val="21"/>
        </w:rPr>
        <w:t> </w:t>
      </w:r>
      <w:r>
        <w:rPr>
          <w:color w:val="231F20"/>
          <w:w w:val="105"/>
          <w:sz w:val="21"/>
        </w:rPr>
        <w:t>strategy</w:t>
      </w:r>
      <w:r>
        <w:rPr>
          <w:color w:val="231F20"/>
          <w:spacing w:val="-13"/>
          <w:w w:val="105"/>
          <w:sz w:val="21"/>
        </w:rPr>
        <w:t> </w:t>
      </w:r>
      <w:r>
        <w:rPr>
          <w:color w:val="231F20"/>
          <w:w w:val="105"/>
          <w:sz w:val="21"/>
        </w:rPr>
        <w:t>con- tinuously</w:t>
      </w:r>
      <w:r>
        <w:rPr>
          <w:color w:val="231F20"/>
          <w:spacing w:val="-13"/>
          <w:w w:val="105"/>
          <w:sz w:val="21"/>
        </w:rPr>
        <w:t> </w:t>
      </w:r>
      <w:r>
        <w:rPr>
          <w:color w:val="231F20"/>
          <w:w w:val="105"/>
          <w:sz w:val="21"/>
        </w:rPr>
        <w:t>to</w:t>
      </w:r>
      <w:r>
        <w:rPr>
          <w:color w:val="231F20"/>
          <w:spacing w:val="-12"/>
          <w:w w:val="105"/>
          <w:sz w:val="21"/>
        </w:rPr>
        <w:t> </w:t>
      </w:r>
      <w:r>
        <w:rPr>
          <w:color w:val="231F20"/>
          <w:w w:val="105"/>
          <w:sz w:val="21"/>
        </w:rPr>
        <w:t>ensure</w:t>
      </w:r>
      <w:r>
        <w:rPr>
          <w:color w:val="231F20"/>
          <w:spacing w:val="-12"/>
          <w:w w:val="105"/>
          <w:sz w:val="21"/>
        </w:rPr>
        <w:t> </w:t>
      </w:r>
      <w:r>
        <w:rPr>
          <w:color w:val="231F20"/>
          <w:w w:val="105"/>
          <w:sz w:val="21"/>
        </w:rPr>
        <w:t>that</w:t>
      </w:r>
      <w:r>
        <w:rPr>
          <w:color w:val="231F20"/>
          <w:spacing w:val="-12"/>
          <w:w w:val="105"/>
          <w:sz w:val="21"/>
        </w:rPr>
        <w:t> </w:t>
      </w:r>
      <w:r>
        <w:rPr>
          <w:color w:val="231F20"/>
          <w:w w:val="105"/>
          <w:sz w:val="21"/>
        </w:rPr>
        <w:t>it</w:t>
      </w:r>
      <w:r>
        <w:rPr>
          <w:color w:val="231F20"/>
          <w:spacing w:val="-12"/>
          <w:w w:val="105"/>
          <w:sz w:val="21"/>
        </w:rPr>
        <w:t> </w:t>
      </w:r>
      <w:r>
        <w:rPr>
          <w:color w:val="231F20"/>
          <w:w w:val="105"/>
          <w:sz w:val="21"/>
        </w:rPr>
        <w:t>reflects</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changes</w:t>
      </w:r>
      <w:r>
        <w:rPr>
          <w:color w:val="231F20"/>
          <w:spacing w:val="-13"/>
          <w:w w:val="105"/>
          <w:sz w:val="21"/>
        </w:rPr>
        <w:t> </w:t>
      </w:r>
      <w:r>
        <w:rPr>
          <w:color w:val="231F20"/>
          <w:w w:val="105"/>
          <w:sz w:val="21"/>
        </w:rPr>
        <w:t>in</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business</w:t>
      </w:r>
      <w:r>
        <w:rPr>
          <w:color w:val="231F20"/>
          <w:spacing w:val="-12"/>
          <w:w w:val="105"/>
          <w:sz w:val="21"/>
        </w:rPr>
        <w:t> </w:t>
      </w:r>
      <w:r>
        <w:rPr>
          <w:color w:val="231F20"/>
          <w:w w:val="105"/>
          <w:sz w:val="21"/>
        </w:rPr>
        <w:t>envi- ronment,</w:t>
      </w:r>
      <w:r>
        <w:rPr>
          <w:color w:val="231F20"/>
          <w:w w:val="105"/>
          <w:sz w:val="21"/>
        </w:rPr>
        <w:t> the</w:t>
      </w:r>
      <w:r>
        <w:rPr>
          <w:color w:val="231F20"/>
          <w:w w:val="105"/>
          <w:sz w:val="21"/>
        </w:rPr>
        <w:t> company,</w:t>
      </w:r>
      <w:r>
        <w:rPr>
          <w:color w:val="231F20"/>
          <w:w w:val="105"/>
          <w:sz w:val="21"/>
        </w:rPr>
        <w:t> and</w:t>
      </w:r>
      <w:r>
        <w:rPr>
          <w:color w:val="231F20"/>
          <w:w w:val="105"/>
          <w:sz w:val="21"/>
        </w:rPr>
        <w:t> its</w:t>
      </w:r>
      <w:r>
        <w:rPr>
          <w:color w:val="231F20"/>
          <w:w w:val="105"/>
          <w:sz w:val="21"/>
        </w:rPr>
        <w:t> goals.</w:t>
      </w:r>
      <w:r>
        <w:rPr>
          <w:color w:val="231F20"/>
          <w:w w:val="105"/>
          <w:sz w:val="21"/>
        </w:rPr>
        <w:t> </w:t>
      </w:r>
      <w:r>
        <w:rPr>
          <w:i/>
          <w:color w:val="231F20"/>
          <w:w w:val="105"/>
          <w:sz w:val="21"/>
        </w:rPr>
        <w:t>The</w:t>
      </w:r>
      <w:r>
        <w:rPr>
          <w:i/>
          <w:color w:val="231F20"/>
          <w:w w:val="105"/>
          <w:sz w:val="21"/>
        </w:rPr>
        <w:t> source</w:t>
      </w:r>
      <w:r>
        <w:rPr>
          <w:i/>
          <w:color w:val="231F20"/>
          <w:w w:val="105"/>
          <w:sz w:val="21"/>
        </w:rPr>
        <w:t> of</w:t>
      </w:r>
      <w:r>
        <w:rPr>
          <w:i/>
          <w:color w:val="231F20"/>
          <w:w w:val="105"/>
          <w:sz w:val="21"/>
        </w:rPr>
        <w:t> competitive</w:t>
      </w:r>
      <w:r>
        <w:rPr>
          <w:i/>
          <w:color w:val="231F20"/>
          <w:w w:val="105"/>
          <w:sz w:val="21"/>
        </w:rPr>
        <w:t> advantage</w:t>
      </w:r>
      <w:r>
        <w:rPr>
          <w:i/>
          <w:color w:val="231F20"/>
          <w:spacing w:val="-12"/>
          <w:w w:val="105"/>
          <w:sz w:val="21"/>
        </w:rPr>
        <w:t> </w:t>
      </w:r>
      <w:r>
        <w:rPr>
          <w:i/>
          <w:color w:val="231F20"/>
          <w:w w:val="105"/>
          <w:sz w:val="21"/>
        </w:rPr>
        <w:t>is</w:t>
      </w:r>
      <w:r>
        <w:rPr>
          <w:i/>
          <w:color w:val="231F20"/>
          <w:spacing w:val="-12"/>
          <w:w w:val="105"/>
          <w:sz w:val="21"/>
        </w:rPr>
        <w:t> </w:t>
      </w:r>
      <w:r>
        <w:rPr>
          <w:i/>
          <w:color w:val="231F20"/>
          <w:w w:val="105"/>
          <w:sz w:val="21"/>
        </w:rPr>
        <w:t>the</w:t>
      </w:r>
      <w:r>
        <w:rPr>
          <w:i/>
          <w:color w:val="231F20"/>
          <w:spacing w:val="-12"/>
          <w:w w:val="105"/>
          <w:sz w:val="21"/>
        </w:rPr>
        <w:t> </w:t>
      </w:r>
      <w:r>
        <w:rPr>
          <w:i/>
          <w:color w:val="231F20"/>
          <w:w w:val="105"/>
          <w:sz w:val="21"/>
        </w:rPr>
        <w:t>pursuit</w:t>
      </w:r>
      <w:r>
        <w:rPr>
          <w:i/>
          <w:color w:val="231F20"/>
          <w:spacing w:val="-12"/>
          <w:w w:val="105"/>
          <w:sz w:val="21"/>
        </w:rPr>
        <w:t> </w:t>
      </w:r>
      <w:r>
        <w:rPr>
          <w:i/>
          <w:color w:val="231F20"/>
          <w:w w:val="105"/>
          <w:sz w:val="21"/>
        </w:rPr>
        <w:t>of</w:t>
      </w:r>
      <w:r>
        <w:rPr>
          <w:i/>
          <w:color w:val="231F20"/>
          <w:spacing w:val="-12"/>
          <w:w w:val="105"/>
          <w:sz w:val="21"/>
        </w:rPr>
        <w:t> </w:t>
      </w:r>
      <w:r>
        <w:rPr>
          <w:i/>
          <w:color w:val="231F20"/>
          <w:w w:val="105"/>
          <w:sz w:val="21"/>
        </w:rPr>
        <w:t>an</w:t>
      </w:r>
      <w:r>
        <w:rPr>
          <w:i/>
          <w:color w:val="231F20"/>
          <w:spacing w:val="-12"/>
          <w:w w:val="105"/>
          <w:sz w:val="21"/>
        </w:rPr>
        <w:t> </w:t>
      </w:r>
      <w:r>
        <w:rPr>
          <w:i/>
          <w:color w:val="231F20"/>
          <w:w w:val="105"/>
          <w:sz w:val="21"/>
        </w:rPr>
        <w:t>evolving</w:t>
      </w:r>
      <w:r>
        <w:rPr>
          <w:i/>
          <w:color w:val="231F20"/>
          <w:spacing w:val="-12"/>
          <w:w w:val="105"/>
          <w:sz w:val="21"/>
        </w:rPr>
        <w:t> </w:t>
      </w:r>
      <w:r>
        <w:rPr>
          <w:i/>
          <w:color w:val="231F20"/>
          <w:w w:val="105"/>
          <w:sz w:val="21"/>
        </w:rPr>
        <w:t>strategy</w:t>
      </w:r>
      <w:r>
        <w:rPr>
          <w:i/>
          <w:color w:val="231F20"/>
          <w:spacing w:val="-12"/>
          <w:w w:val="105"/>
          <w:sz w:val="21"/>
        </w:rPr>
        <w:t> </w:t>
      </w:r>
      <w:r>
        <w:rPr>
          <w:i/>
          <w:color w:val="231F20"/>
          <w:w w:val="105"/>
          <w:sz w:val="21"/>
        </w:rPr>
        <w:t>that</w:t>
      </w:r>
      <w:r>
        <w:rPr>
          <w:i/>
          <w:color w:val="231F20"/>
          <w:spacing w:val="-12"/>
          <w:w w:val="105"/>
          <w:sz w:val="21"/>
        </w:rPr>
        <w:t> </w:t>
      </w:r>
      <w:r>
        <w:rPr>
          <w:i/>
          <w:color w:val="231F20"/>
          <w:w w:val="105"/>
          <w:sz w:val="21"/>
        </w:rPr>
        <w:t>cannot</w:t>
      </w:r>
      <w:r>
        <w:rPr>
          <w:i/>
          <w:color w:val="231F20"/>
          <w:spacing w:val="-12"/>
          <w:w w:val="105"/>
          <w:sz w:val="21"/>
        </w:rPr>
        <w:t> </w:t>
      </w:r>
      <w:r>
        <w:rPr>
          <w:i/>
          <w:color w:val="231F20"/>
          <w:w w:val="105"/>
          <w:sz w:val="21"/>
        </w:rPr>
        <w:t>easily</w:t>
      </w:r>
      <w:r>
        <w:rPr>
          <w:i/>
          <w:color w:val="231F20"/>
          <w:spacing w:val="-12"/>
          <w:w w:val="105"/>
          <w:sz w:val="21"/>
        </w:rPr>
        <w:t> </w:t>
      </w:r>
      <w:r>
        <w:rPr>
          <w:i/>
          <w:color w:val="231F20"/>
          <w:w w:val="105"/>
          <w:sz w:val="21"/>
        </w:rPr>
        <w:t>be duplicated by competitors.</w:t>
      </w:r>
    </w:p>
    <w:p>
      <w:pPr>
        <w:pStyle w:val="BodyText"/>
        <w:rPr>
          <w:i/>
          <w:sz w:val="24"/>
        </w:rPr>
      </w:pPr>
    </w:p>
    <w:p>
      <w:pPr>
        <w:pStyle w:val="BodyText"/>
        <w:spacing w:before="8"/>
        <w:rPr>
          <w:i/>
          <w:sz w:val="24"/>
        </w:rPr>
      </w:pPr>
    </w:p>
    <w:p>
      <w:pPr>
        <w:pStyle w:val="Heading4"/>
      </w:pPr>
      <w:r>
        <w:rPr>
          <w:color w:val="231F20"/>
          <w:w w:val="85"/>
        </w:rPr>
        <w:t>KEY</w:t>
      </w:r>
      <w:r>
        <w:rPr>
          <w:color w:val="231F20"/>
          <w:spacing w:val="43"/>
        </w:rPr>
        <w:t> </w:t>
      </w:r>
      <w:r>
        <w:rPr>
          <w:color w:val="231F20"/>
          <w:w w:val="85"/>
        </w:rPr>
        <w:t>STRATEGY</w:t>
      </w:r>
      <w:r>
        <w:rPr>
          <w:color w:val="231F20"/>
          <w:spacing w:val="43"/>
        </w:rPr>
        <w:t> </w:t>
      </w:r>
      <w:r>
        <w:rPr>
          <w:color w:val="231F20"/>
          <w:spacing w:val="-2"/>
          <w:w w:val="85"/>
        </w:rPr>
        <w:t>TAKEAWAYS</w:t>
      </w:r>
    </w:p>
    <w:p>
      <w:pPr>
        <w:pStyle w:val="BodyText"/>
        <w:spacing w:before="9"/>
        <w:rPr>
          <w:rFonts w:ascii="Trebuchet MS"/>
          <w:sz w:val="31"/>
        </w:rPr>
      </w:pPr>
    </w:p>
    <w:p>
      <w:pPr>
        <w:spacing w:line="328" w:lineRule="auto" w:before="0"/>
        <w:ind w:left="1600" w:right="667" w:hanging="340"/>
        <w:jc w:val="left"/>
        <w:rPr>
          <w:rFonts w:ascii="Arial" w:hAnsi="Arial"/>
          <w:sz w:val="19"/>
        </w:rPr>
      </w:pPr>
      <w:r>
        <w:rPr>
          <w:rFonts w:ascii="Arial" w:hAnsi="Arial"/>
          <w:i/>
          <w:color w:val="231F20"/>
          <w:w w:val="110"/>
          <w:sz w:val="19"/>
        </w:rPr>
        <w:t>The</w:t>
      </w:r>
      <w:r>
        <w:rPr>
          <w:rFonts w:ascii="Arial" w:hAnsi="Arial"/>
          <w:i/>
          <w:color w:val="231F20"/>
          <w:spacing w:val="-9"/>
          <w:w w:val="110"/>
          <w:sz w:val="19"/>
        </w:rPr>
        <w:t> </w:t>
      </w:r>
      <w:r>
        <w:rPr>
          <w:rFonts w:ascii="Arial" w:hAnsi="Arial"/>
          <w:i/>
          <w:color w:val="231F20"/>
          <w:w w:val="110"/>
          <w:sz w:val="19"/>
        </w:rPr>
        <w:t>Seven</w:t>
      </w:r>
      <w:r>
        <w:rPr>
          <w:rFonts w:ascii="Arial" w:hAnsi="Arial"/>
          <w:i/>
          <w:color w:val="231F20"/>
          <w:spacing w:val="-6"/>
          <w:w w:val="110"/>
          <w:sz w:val="19"/>
        </w:rPr>
        <w:t> </w:t>
      </w:r>
      <w:r>
        <w:rPr>
          <w:rFonts w:ascii="Arial" w:hAnsi="Arial"/>
          <w:i/>
          <w:color w:val="231F20"/>
          <w:w w:val="110"/>
          <w:sz w:val="19"/>
        </w:rPr>
        <w:t>S</w:t>
      </w:r>
      <w:r>
        <w:rPr>
          <w:rFonts w:ascii="Arial" w:hAnsi="Arial"/>
          <w:i/>
          <w:color w:val="231F20"/>
          <w:spacing w:val="-6"/>
          <w:w w:val="110"/>
          <w:sz w:val="19"/>
        </w:rPr>
        <w:t> </w:t>
      </w:r>
      <w:r>
        <w:rPr>
          <w:rFonts w:ascii="Arial" w:hAnsi="Arial"/>
          <w:i/>
          <w:color w:val="231F20"/>
          <w:w w:val="110"/>
          <w:sz w:val="19"/>
        </w:rPr>
        <w:t>model</w:t>
      </w:r>
      <w:r>
        <w:rPr>
          <w:rFonts w:ascii="Arial" w:hAnsi="Arial"/>
          <w:i/>
          <w:color w:val="231F20"/>
          <w:spacing w:val="-40"/>
          <w:w w:val="110"/>
          <w:sz w:val="19"/>
        </w:rPr>
        <w:t> </w:t>
      </w:r>
      <w:r>
        <w:rPr>
          <w:rFonts w:ascii="Arial" w:hAnsi="Arial"/>
          <w:color w:val="231F20"/>
          <w:w w:val="110"/>
          <w:sz w:val="19"/>
        </w:rPr>
        <w:t>—</w:t>
      </w:r>
      <w:r>
        <w:rPr>
          <w:rFonts w:ascii="Arial" w:hAnsi="Arial"/>
          <w:color w:val="231F20"/>
          <w:spacing w:val="-39"/>
          <w:w w:val="110"/>
          <w:sz w:val="19"/>
        </w:rPr>
        <w:t> </w:t>
      </w:r>
      <w:r>
        <w:rPr>
          <w:rFonts w:ascii="Arial" w:hAnsi="Arial"/>
          <w:color w:val="231F20"/>
          <w:w w:val="110"/>
          <w:sz w:val="19"/>
        </w:rPr>
        <w:t>Strategy</w:t>
      </w:r>
      <w:r>
        <w:rPr>
          <w:rFonts w:ascii="Arial" w:hAnsi="Arial"/>
          <w:color w:val="231F20"/>
          <w:spacing w:val="-5"/>
          <w:w w:val="110"/>
          <w:sz w:val="19"/>
        </w:rPr>
        <w:t> </w:t>
      </w:r>
      <w:r>
        <w:rPr>
          <w:rFonts w:ascii="Arial" w:hAnsi="Arial"/>
          <w:color w:val="231F20"/>
          <w:w w:val="110"/>
          <w:sz w:val="19"/>
        </w:rPr>
        <w:t>is</w:t>
      </w:r>
      <w:r>
        <w:rPr>
          <w:rFonts w:ascii="Arial" w:hAnsi="Arial"/>
          <w:color w:val="231F20"/>
          <w:spacing w:val="-6"/>
          <w:w w:val="110"/>
          <w:sz w:val="19"/>
        </w:rPr>
        <w:t> </w:t>
      </w:r>
      <w:r>
        <w:rPr>
          <w:rFonts w:ascii="Arial" w:hAnsi="Arial"/>
          <w:color w:val="231F20"/>
          <w:w w:val="110"/>
          <w:sz w:val="19"/>
        </w:rPr>
        <w:t>how</w:t>
      </w:r>
      <w:r>
        <w:rPr>
          <w:rFonts w:ascii="Arial" w:hAnsi="Arial"/>
          <w:color w:val="231F20"/>
          <w:spacing w:val="-6"/>
          <w:w w:val="110"/>
          <w:sz w:val="19"/>
        </w:rPr>
        <w:t> </w:t>
      </w:r>
      <w:r>
        <w:rPr>
          <w:rFonts w:ascii="Arial" w:hAnsi="Arial"/>
          <w:color w:val="231F20"/>
          <w:w w:val="110"/>
          <w:sz w:val="19"/>
        </w:rPr>
        <w:t>all</w:t>
      </w:r>
      <w:r>
        <w:rPr>
          <w:rFonts w:ascii="Arial" w:hAnsi="Arial"/>
          <w:color w:val="231F20"/>
          <w:spacing w:val="-6"/>
          <w:w w:val="110"/>
          <w:sz w:val="19"/>
        </w:rPr>
        <w:t> </w:t>
      </w:r>
      <w:r>
        <w:rPr>
          <w:rFonts w:ascii="Arial" w:hAnsi="Arial"/>
          <w:color w:val="231F20"/>
          <w:w w:val="110"/>
          <w:sz w:val="19"/>
        </w:rPr>
        <w:t>of</w:t>
      </w:r>
      <w:r>
        <w:rPr>
          <w:rFonts w:ascii="Arial" w:hAnsi="Arial"/>
          <w:color w:val="231F20"/>
          <w:spacing w:val="-6"/>
          <w:w w:val="110"/>
          <w:sz w:val="19"/>
        </w:rPr>
        <w:t> </w:t>
      </w:r>
      <w:r>
        <w:rPr>
          <w:rFonts w:ascii="Arial" w:hAnsi="Arial"/>
          <w:color w:val="231F20"/>
          <w:w w:val="110"/>
          <w:sz w:val="19"/>
        </w:rPr>
        <w:t>a</w:t>
      </w:r>
      <w:r>
        <w:rPr>
          <w:rFonts w:ascii="Arial" w:hAnsi="Arial"/>
          <w:color w:val="231F20"/>
          <w:spacing w:val="-6"/>
          <w:w w:val="110"/>
          <w:sz w:val="19"/>
        </w:rPr>
        <w:t> </w:t>
      </w:r>
      <w:r>
        <w:rPr>
          <w:rFonts w:ascii="Arial" w:hAnsi="Arial"/>
          <w:color w:val="231F20"/>
          <w:w w:val="110"/>
          <w:sz w:val="19"/>
        </w:rPr>
        <w:t>company’s</w:t>
      </w:r>
      <w:r>
        <w:rPr>
          <w:rFonts w:ascii="Arial" w:hAnsi="Arial"/>
          <w:color w:val="231F20"/>
          <w:spacing w:val="-6"/>
          <w:w w:val="110"/>
          <w:sz w:val="19"/>
        </w:rPr>
        <w:t> </w:t>
      </w:r>
      <w:r>
        <w:rPr>
          <w:rFonts w:ascii="Arial" w:hAnsi="Arial"/>
          <w:color w:val="231F20"/>
          <w:w w:val="110"/>
          <w:sz w:val="19"/>
        </w:rPr>
        <w:t>S’s work together.</w:t>
      </w:r>
    </w:p>
    <w:p>
      <w:pPr>
        <w:spacing w:line="328" w:lineRule="auto" w:before="1"/>
        <w:ind w:left="1599" w:right="667" w:hanging="340"/>
        <w:jc w:val="left"/>
        <w:rPr>
          <w:rFonts w:ascii="Arial" w:hAnsi="Arial"/>
          <w:sz w:val="19"/>
        </w:rPr>
      </w:pPr>
      <w:r>
        <w:rPr>
          <w:rFonts w:ascii="Arial" w:hAnsi="Arial"/>
          <w:i/>
          <w:color w:val="231F20"/>
          <w:w w:val="110"/>
          <w:sz w:val="19"/>
        </w:rPr>
        <w:t>The Value Chain</w:t>
      </w:r>
      <w:r>
        <w:rPr>
          <w:rFonts w:ascii="Arial" w:hAnsi="Arial"/>
          <w:i/>
          <w:color w:val="231F20"/>
          <w:spacing w:val="-39"/>
          <w:w w:val="110"/>
          <w:sz w:val="19"/>
        </w:rPr>
        <w:t> </w:t>
      </w:r>
      <w:r>
        <w:rPr>
          <w:rFonts w:ascii="Arial" w:hAnsi="Arial"/>
          <w:color w:val="231F20"/>
          <w:w w:val="110"/>
          <w:sz w:val="19"/>
        </w:rPr>
        <w:t>—The process of producing and </w:t>
      </w:r>
      <w:r>
        <w:rPr>
          <w:rFonts w:ascii="Arial" w:hAnsi="Arial"/>
          <w:color w:val="231F20"/>
          <w:w w:val="110"/>
          <w:sz w:val="19"/>
        </w:rPr>
        <w:t>delivering goods and services</w:t>
      </w:r>
    </w:p>
    <w:p>
      <w:pPr>
        <w:spacing w:line="328" w:lineRule="auto" w:before="2"/>
        <w:ind w:left="1599" w:right="667" w:hanging="340"/>
        <w:jc w:val="left"/>
        <w:rPr>
          <w:rFonts w:ascii="Arial" w:hAnsi="Arial"/>
          <w:sz w:val="19"/>
        </w:rPr>
      </w:pPr>
      <w:r>
        <w:rPr>
          <w:rFonts w:ascii="Arial" w:hAnsi="Arial"/>
          <w:i/>
          <w:color w:val="231F20"/>
          <w:w w:val="110"/>
          <w:sz w:val="19"/>
        </w:rPr>
        <w:t>Integration</w:t>
      </w:r>
      <w:r>
        <w:rPr>
          <w:rFonts w:ascii="Arial" w:hAnsi="Arial"/>
          <w:color w:val="231F20"/>
          <w:w w:val="110"/>
          <w:sz w:val="19"/>
        </w:rPr>
        <w:t>—Ways to expand a business: backward, </w:t>
      </w:r>
      <w:r>
        <w:rPr>
          <w:rFonts w:ascii="Arial" w:hAnsi="Arial"/>
          <w:color w:val="231F20"/>
          <w:w w:val="110"/>
          <w:sz w:val="19"/>
        </w:rPr>
        <w:t>forward, </w:t>
      </w:r>
      <w:r>
        <w:rPr>
          <w:rFonts w:ascii="Arial" w:hAnsi="Arial"/>
          <w:color w:val="231F20"/>
          <w:w w:val="115"/>
          <w:sz w:val="19"/>
        </w:rPr>
        <w:t>vertically, horizontally</w:t>
      </w:r>
    </w:p>
    <w:p>
      <w:pPr>
        <w:spacing w:before="1"/>
        <w:ind w:left="1259" w:right="0" w:firstLine="0"/>
        <w:jc w:val="left"/>
        <w:rPr>
          <w:rFonts w:ascii="Arial" w:hAnsi="Arial"/>
          <w:sz w:val="19"/>
        </w:rPr>
      </w:pPr>
      <w:r>
        <w:rPr>
          <w:rFonts w:ascii="Arial" w:hAnsi="Arial"/>
          <w:i/>
          <w:color w:val="231F20"/>
          <w:w w:val="110"/>
          <w:sz w:val="19"/>
        </w:rPr>
        <w:t>Ansoff</w:t>
      </w:r>
      <w:r>
        <w:rPr>
          <w:rFonts w:ascii="Arial" w:hAnsi="Arial"/>
          <w:i/>
          <w:color w:val="231F20"/>
          <w:spacing w:val="10"/>
          <w:w w:val="110"/>
          <w:sz w:val="19"/>
        </w:rPr>
        <w:t> </w:t>
      </w:r>
      <w:r>
        <w:rPr>
          <w:rFonts w:ascii="Arial" w:hAnsi="Arial"/>
          <w:i/>
          <w:color w:val="231F20"/>
          <w:w w:val="110"/>
          <w:sz w:val="19"/>
        </w:rPr>
        <w:t>Matrix</w:t>
      </w:r>
      <w:r>
        <w:rPr>
          <w:rFonts w:ascii="Arial" w:hAnsi="Arial"/>
          <w:color w:val="231F20"/>
          <w:w w:val="110"/>
          <w:sz w:val="19"/>
        </w:rPr>
        <w:t>—</w:t>
      </w:r>
      <w:r>
        <w:rPr>
          <w:rFonts w:ascii="Arial" w:hAnsi="Arial"/>
          <w:color w:val="231F20"/>
          <w:spacing w:val="-36"/>
          <w:w w:val="110"/>
          <w:sz w:val="19"/>
        </w:rPr>
        <w:t> </w:t>
      </w:r>
      <w:r>
        <w:rPr>
          <w:rFonts w:ascii="Arial" w:hAnsi="Arial"/>
          <w:color w:val="231F20"/>
          <w:w w:val="110"/>
          <w:sz w:val="19"/>
        </w:rPr>
        <w:t>Four</w:t>
      </w:r>
      <w:r>
        <w:rPr>
          <w:rFonts w:ascii="Arial" w:hAnsi="Arial"/>
          <w:color w:val="231F20"/>
          <w:spacing w:val="11"/>
          <w:w w:val="110"/>
          <w:sz w:val="19"/>
        </w:rPr>
        <w:t> </w:t>
      </w:r>
      <w:r>
        <w:rPr>
          <w:rFonts w:ascii="Arial" w:hAnsi="Arial"/>
          <w:color w:val="231F20"/>
          <w:w w:val="110"/>
          <w:sz w:val="19"/>
        </w:rPr>
        <w:t>strategies</w:t>
      </w:r>
      <w:r>
        <w:rPr>
          <w:rFonts w:ascii="Arial" w:hAnsi="Arial"/>
          <w:color w:val="231F20"/>
          <w:spacing w:val="11"/>
          <w:w w:val="110"/>
          <w:sz w:val="19"/>
        </w:rPr>
        <w:t> </w:t>
      </w:r>
      <w:r>
        <w:rPr>
          <w:rFonts w:ascii="Arial" w:hAnsi="Arial"/>
          <w:color w:val="231F20"/>
          <w:w w:val="110"/>
          <w:sz w:val="19"/>
        </w:rPr>
        <w:t>for</w:t>
      </w:r>
      <w:r>
        <w:rPr>
          <w:rFonts w:ascii="Arial" w:hAnsi="Arial"/>
          <w:color w:val="231F20"/>
          <w:spacing w:val="10"/>
          <w:w w:val="110"/>
          <w:sz w:val="19"/>
        </w:rPr>
        <w:t> </w:t>
      </w:r>
      <w:r>
        <w:rPr>
          <w:rFonts w:ascii="Arial" w:hAnsi="Arial"/>
          <w:color w:val="231F20"/>
          <w:w w:val="110"/>
          <w:sz w:val="19"/>
        </w:rPr>
        <w:t>business</w:t>
      </w:r>
      <w:r>
        <w:rPr>
          <w:rFonts w:ascii="Arial" w:hAnsi="Arial"/>
          <w:color w:val="231F20"/>
          <w:spacing w:val="11"/>
          <w:w w:val="110"/>
          <w:sz w:val="19"/>
        </w:rPr>
        <w:t> </w:t>
      </w:r>
      <w:r>
        <w:rPr>
          <w:rFonts w:ascii="Arial" w:hAnsi="Arial"/>
          <w:color w:val="231F20"/>
          <w:spacing w:val="-2"/>
          <w:w w:val="110"/>
          <w:sz w:val="19"/>
        </w:rPr>
        <w:t>expansion</w:t>
      </w:r>
    </w:p>
    <w:p>
      <w:pPr>
        <w:spacing w:line="328" w:lineRule="auto" w:before="82"/>
        <w:ind w:left="1599" w:right="0" w:hanging="340"/>
        <w:jc w:val="left"/>
        <w:rPr>
          <w:rFonts w:ascii="Arial" w:hAnsi="Arial"/>
          <w:sz w:val="19"/>
        </w:rPr>
      </w:pPr>
      <w:r>
        <w:rPr>
          <w:rFonts w:ascii="Arial" w:hAnsi="Arial"/>
          <w:i/>
          <w:color w:val="231F20"/>
          <w:spacing w:val="-2"/>
          <w:w w:val="115"/>
          <w:sz w:val="19"/>
        </w:rPr>
        <w:t>Porter’s</w:t>
      </w:r>
      <w:r>
        <w:rPr>
          <w:rFonts w:ascii="Arial" w:hAnsi="Arial"/>
          <w:i/>
          <w:color w:val="231F20"/>
          <w:spacing w:val="-14"/>
          <w:w w:val="115"/>
          <w:sz w:val="19"/>
        </w:rPr>
        <w:t> </w:t>
      </w:r>
      <w:r>
        <w:rPr>
          <w:rFonts w:ascii="Arial" w:hAnsi="Arial"/>
          <w:i/>
          <w:color w:val="231F20"/>
          <w:spacing w:val="-2"/>
          <w:w w:val="115"/>
          <w:sz w:val="19"/>
        </w:rPr>
        <w:t>Five</w:t>
      </w:r>
      <w:r>
        <w:rPr>
          <w:rFonts w:ascii="Arial" w:hAnsi="Arial"/>
          <w:i/>
          <w:color w:val="231F20"/>
          <w:spacing w:val="-13"/>
          <w:w w:val="115"/>
          <w:sz w:val="19"/>
        </w:rPr>
        <w:t> </w:t>
      </w:r>
      <w:r>
        <w:rPr>
          <w:rFonts w:ascii="Arial" w:hAnsi="Arial"/>
          <w:i/>
          <w:color w:val="231F20"/>
          <w:spacing w:val="-2"/>
          <w:w w:val="115"/>
          <w:sz w:val="19"/>
        </w:rPr>
        <w:t>Forces</w:t>
      </w:r>
      <w:r>
        <w:rPr>
          <w:rFonts w:ascii="Arial" w:hAnsi="Arial"/>
          <w:i/>
          <w:color w:val="231F20"/>
          <w:spacing w:val="-13"/>
          <w:w w:val="115"/>
          <w:sz w:val="19"/>
        </w:rPr>
        <w:t> </w:t>
      </w:r>
      <w:r>
        <w:rPr>
          <w:rFonts w:ascii="Arial" w:hAnsi="Arial"/>
          <w:i/>
          <w:color w:val="231F20"/>
          <w:spacing w:val="-2"/>
          <w:w w:val="115"/>
          <w:sz w:val="19"/>
        </w:rPr>
        <w:t>Theory</w:t>
      </w:r>
      <w:r>
        <w:rPr>
          <w:rFonts w:ascii="Arial" w:hAnsi="Arial"/>
          <w:i/>
          <w:color w:val="231F20"/>
          <w:spacing w:val="-42"/>
          <w:w w:val="115"/>
          <w:sz w:val="19"/>
        </w:rPr>
        <w:t> </w:t>
      </w:r>
      <w:r>
        <w:rPr>
          <w:rFonts w:ascii="Arial" w:hAnsi="Arial"/>
          <w:color w:val="231F20"/>
          <w:spacing w:val="-2"/>
          <w:w w:val="115"/>
          <w:sz w:val="19"/>
        </w:rPr>
        <w:t>—</w:t>
      </w:r>
      <w:r>
        <w:rPr>
          <w:rFonts w:ascii="Arial" w:hAnsi="Arial"/>
          <w:color w:val="231F20"/>
          <w:spacing w:val="-42"/>
          <w:w w:val="115"/>
          <w:sz w:val="19"/>
        </w:rPr>
        <w:t> </w:t>
      </w:r>
      <w:r>
        <w:rPr>
          <w:rFonts w:ascii="Arial" w:hAnsi="Arial"/>
          <w:color w:val="231F20"/>
          <w:spacing w:val="-2"/>
          <w:w w:val="115"/>
          <w:sz w:val="19"/>
        </w:rPr>
        <w:t>Five</w:t>
      </w:r>
      <w:r>
        <w:rPr>
          <w:rFonts w:ascii="Arial" w:hAnsi="Arial"/>
          <w:color w:val="231F20"/>
          <w:spacing w:val="-13"/>
          <w:w w:val="115"/>
          <w:sz w:val="19"/>
        </w:rPr>
        <w:t> </w:t>
      </w:r>
      <w:r>
        <w:rPr>
          <w:rFonts w:ascii="Arial" w:hAnsi="Arial"/>
          <w:color w:val="231F20"/>
          <w:spacing w:val="-2"/>
          <w:w w:val="115"/>
          <w:sz w:val="19"/>
        </w:rPr>
        <w:t>forces</w:t>
      </w:r>
      <w:r>
        <w:rPr>
          <w:rFonts w:ascii="Arial" w:hAnsi="Arial"/>
          <w:color w:val="231F20"/>
          <w:spacing w:val="-13"/>
          <w:w w:val="115"/>
          <w:sz w:val="19"/>
        </w:rPr>
        <w:t> </w:t>
      </w:r>
      <w:r>
        <w:rPr>
          <w:rFonts w:ascii="Arial" w:hAnsi="Arial"/>
          <w:color w:val="231F20"/>
          <w:spacing w:val="-2"/>
          <w:w w:val="115"/>
          <w:sz w:val="19"/>
        </w:rPr>
        <w:t>that</w:t>
      </w:r>
      <w:r>
        <w:rPr>
          <w:rFonts w:ascii="Arial" w:hAnsi="Arial"/>
          <w:color w:val="231F20"/>
          <w:spacing w:val="-13"/>
          <w:w w:val="115"/>
          <w:sz w:val="19"/>
        </w:rPr>
        <w:t> </w:t>
      </w:r>
      <w:r>
        <w:rPr>
          <w:rFonts w:ascii="Arial" w:hAnsi="Arial"/>
          <w:color w:val="231F20"/>
          <w:spacing w:val="-2"/>
          <w:w w:val="115"/>
          <w:sz w:val="19"/>
        </w:rPr>
        <w:t>determine</w:t>
      </w:r>
      <w:r>
        <w:rPr>
          <w:rFonts w:ascii="Arial" w:hAnsi="Arial"/>
          <w:color w:val="231F20"/>
          <w:spacing w:val="-14"/>
          <w:w w:val="115"/>
          <w:sz w:val="19"/>
        </w:rPr>
        <w:t> </w:t>
      </w:r>
      <w:r>
        <w:rPr>
          <w:rFonts w:ascii="Arial" w:hAnsi="Arial"/>
          <w:color w:val="231F20"/>
          <w:spacing w:val="-2"/>
          <w:w w:val="115"/>
          <w:sz w:val="19"/>
        </w:rPr>
        <w:t>the </w:t>
      </w:r>
      <w:r>
        <w:rPr>
          <w:rFonts w:ascii="Arial" w:hAnsi="Arial"/>
          <w:color w:val="231F20"/>
          <w:w w:val="115"/>
          <w:sz w:val="19"/>
        </w:rPr>
        <w:t>competitive intensity of an industry</w:t>
      </w:r>
    </w:p>
    <w:p>
      <w:pPr>
        <w:spacing w:line="328" w:lineRule="auto" w:before="1"/>
        <w:ind w:left="1599" w:right="667" w:hanging="340"/>
        <w:jc w:val="left"/>
        <w:rPr>
          <w:rFonts w:ascii="Arial" w:hAnsi="Arial"/>
          <w:sz w:val="19"/>
        </w:rPr>
      </w:pPr>
      <w:r>
        <w:rPr>
          <w:rFonts w:ascii="Arial" w:hAnsi="Arial"/>
          <w:i/>
          <w:color w:val="231F20"/>
          <w:w w:val="110"/>
          <w:sz w:val="19"/>
        </w:rPr>
        <w:t>The Learning Curve</w:t>
      </w:r>
      <w:r>
        <w:rPr>
          <w:rFonts w:ascii="Arial" w:hAnsi="Arial"/>
          <w:i/>
          <w:color w:val="231F20"/>
          <w:spacing w:val="-38"/>
          <w:w w:val="110"/>
          <w:sz w:val="19"/>
        </w:rPr>
        <w:t> </w:t>
      </w:r>
      <w:r>
        <w:rPr>
          <w:rFonts w:ascii="Arial" w:hAnsi="Arial"/>
          <w:color w:val="231F20"/>
          <w:w w:val="110"/>
          <w:sz w:val="19"/>
        </w:rPr>
        <w:t>—The more units produced, the lower </w:t>
      </w:r>
      <w:r>
        <w:rPr>
          <w:rFonts w:ascii="Arial" w:hAnsi="Arial"/>
          <w:color w:val="231F20"/>
          <w:w w:val="110"/>
          <w:sz w:val="19"/>
        </w:rPr>
        <w:t>the cost per unit falls due to production efficiencies.</w:t>
      </w:r>
    </w:p>
    <w:p>
      <w:pPr>
        <w:spacing w:before="1"/>
        <w:ind w:left="1259" w:right="0" w:firstLine="0"/>
        <w:jc w:val="left"/>
        <w:rPr>
          <w:rFonts w:ascii="Arial" w:hAnsi="Arial"/>
          <w:sz w:val="19"/>
        </w:rPr>
      </w:pPr>
      <w:r>
        <w:rPr>
          <w:rFonts w:ascii="Arial" w:hAnsi="Arial"/>
          <w:i/>
          <w:color w:val="231F20"/>
          <w:w w:val="110"/>
          <w:sz w:val="19"/>
        </w:rPr>
        <w:t>Signaling</w:t>
      </w:r>
      <w:r>
        <w:rPr>
          <w:rFonts w:ascii="Arial" w:hAnsi="Arial"/>
          <w:i/>
          <w:color w:val="231F20"/>
          <w:spacing w:val="-31"/>
          <w:w w:val="110"/>
          <w:sz w:val="19"/>
        </w:rPr>
        <w:t> </w:t>
      </w:r>
      <w:r>
        <w:rPr>
          <w:rFonts w:ascii="Arial" w:hAnsi="Arial"/>
          <w:color w:val="231F20"/>
          <w:w w:val="110"/>
          <w:sz w:val="19"/>
        </w:rPr>
        <w:t>—</w:t>
      </w:r>
      <w:r>
        <w:rPr>
          <w:rFonts w:ascii="Arial" w:hAnsi="Arial"/>
          <w:color w:val="231F20"/>
          <w:spacing w:val="-31"/>
          <w:w w:val="110"/>
          <w:sz w:val="19"/>
        </w:rPr>
        <w:t> </w:t>
      </w:r>
      <w:r>
        <w:rPr>
          <w:rFonts w:ascii="Arial" w:hAnsi="Arial"/>
          <w:color w:val="231F20"/>
          <w:w w:val="110"/>
          <w:sz w:val="19"/>
        </w:rPr>
        <w:t>Indirectly</w:t>
      </w:r>
      <w:r>
        <w:rPr>
          <w:rFonts w:ascii="Arial" w:hAnsi="Arial"/>
          <w:color w:val="231F20"/>
          <w:spacing w:val="27"/>
          <w:w w:val="110"/>
          <w:sz w:val="19"/>
        </w:rPr>
        <w:t> </w:t>
      </w:r>
      <w:r>
        <w:rPr>
          <w:rFonts w:ascii="Arial" w:hAnsi="Arial"/>
          <w:color w:val="231F20"/>
          <w:w w:val="110"/>
          <w:sz w:val="19"/>
        </w:rPr>
        <w:t>communicating</w:t>
      </w:r>
      <w:r>
        <w:rPr>
          <w:rFonts w:ascii="Arial" w:hAnsi="Arial"/>
          <w:color w:val="231F20"/>
          <w:spacing w:val="26"/>
          <w:w w:val="110"/>
          <w:sz w:val="19"/>
        </w:rPr>
        <w:t> </w:t>
      </w:r>
      <w:r>
        <w:rPr>
          <w:rFonts w:ascii="Arial" w:hAnsi="Arial"/>
          <w:color w:val="231F20"/>
          <w:w w:val="110"/>
          <w:sz w:val="19"/>
        </w:rPr>
        <w:t>with</w:t>
      </w:r>
      <w:r>
        <w:rPr>
          <w:rFonts w:ascii="Arial" w:hAnsi="Arial"/>
          <w:color w:val="231F20"/>
          <w:spacing w:val="27"/>
          <w:w w:val="110"/>
          <w:sz w:val="19"/>
        </w:rPr>
        <w:t> </w:t>
      </w:r>
      <w:r>
        <w:rPr>
          <w:rFonts w:ascii="Arial" w:hAnsi="Arial"/>
          <w:color w:val="231F20"/>
          <w:spacing w:val="-2"/>
          <w:w w:val="110"/>
          <w:sz w:val="19"/>
        </w:rPr>
        <w:t>competitors</w:t>
      </w:r>
    </w:p>
    <w:p>
      <w:pPr>
        <w:spacing w:line="328" w:lineRule="auto" w:before="82"/>
        <w:ind w:left="1599" w:right="0" w:hanging="340"/>
        <w:jc w:val="left"/>
        <w:rPr>
          <w:rFonts w:ascii="Arial" w:hAnsi="Arial"/>
          <w:sz w:val="19"/>
        </w:rPr>
      </w:pPr>
      <w:r>
        <w:rPr>
          <w:rFonts w:ascii="Arial" w:hAnsi="Arial"/>
          <w:i/>
          <w:color w:val="231F20"/>
          <w:w w:val="110"/>
          <w:sz w:val="19"/>
        </w:rPr>
        <w:t>The Prisoner’s Dilemma</w:t>
      </w:r>
      <w:r>
        <w:rPr>
          <w:rFonts w:ascii="Arial" w:hAnsi="Arial"/>
          <w:i/>
          <w:color w:val="231F20"/>
          <w:spacing w:val="-36"/>
          <w:w w:val="110"/>
          <w:sz w:val="19"/>
        </w:rPr>
        <w:t> </w:t>
      </w:r>
      <w:r>
        <w:rPr>
          <w:rFonts w:ascii="Arial" w:hAnsi="Arial"/>
          <w:color w:val="231F20"/>
          <w:w w:val="110"/>
          <w:sz w:val="19"/>
        </w:rPr>
        <w:t>—The captive nature of competitive </w:t>
      </w:r>
      <w:r>
        <w:rPr>
          <w:rFonts w:ascii="Arial" w:hAnsi="Arial"/>
          <w:color w:val="231F20"/>
          <w:w w:val="115"/>
          <w:sz w:val="19"/>
        </w:rPr>
        <w:t>relationships within an industry</w:t>
      </w:r>
    </w:p>
    <w:p>
      <w:pPr>
        <w:spacing w:line="328" w:lineRule="auto" w:before="1"/>
        <w:ind w:left="1599" w:right="667" w:hanging="340"/>
        <w:jc w:val="left"/>
        <w:rPr>
          <w:rFonts w:ascii="Arial" w:hAnsi="Arial"/>
          <w:sz w:val="19"/>
        </w:rPr>
      </w:pPr>
      <w:r>
        <w:rPr>
          <w:rFonts w:ascii="Arial" w:hAnsi="Arial"/>
          <w:i/>
          <w:color w:val="231F20"/>
          <w:w w:val="110"/>
          <w:sz w:val="19"/>
        </w:rPr>
        <w:t>Portfolio Strategies</w:t>
      </w:r>
      <w:r>
        <w:rPr>
          <w:rFonts w:ascii="Arial" w:hAnsi="Arial"/>
          <w:i/>
          <w:color w:val="231F20"/>
          <w:spacing w:val="-26"/>
          <w:w w:val="110"/>
          <w:sz w:val="19"/>
        </w:rPr>
        <w:t> </w:t>
      </w:r>
      <w:r>
        <w:rPr>
          <w:rFonts w:ascii="Arial" w:hAnsi="Arial"/>
          <w:color w:val="231F20"/>
          <w:w w:val="110"/>
          <w:sz w:val="19"/>
        </w:rPr>
        <w:t>—The theories large multibusiness corporations use to decide which companies they should buy, sell, or hold</w:t>
      </w:r>
    </w:p>
    <w:p>
      <w:pPr>
        <w:spacing w:line="328" w:lineRule="auto" w:before="2"/>
        <w:ind w:left="1599" w:right="0" w:hanging="340"/>
        <w:jc w:val="left"/>
        <w:rPr>
          <w:rFonts w:ascii="Arial" w:hAnsi="Arial"/>
          <w:sz w:val="19"/>
        </w:rPr>
      </w:pPr>
      <w:r>
        <w:rPr>
          <w:rFonts w:ascii="Arial" w:hAnsi="Arial"/>
          <w:i/>
          <w:color w:val="231F20"/>
          <w:w w:val="115"/>
          <w:sz w:val="19"/>
        </w:rPr>
        <w:t>Globalization</w:t>
      </w:r>
      <w:r>
        <w:rPr>
          <w:rFonts w:ascii="Arial" w:hAnsi="Arial"/>
          <w:color w:val="231F20"/>
          <w:w w:val="115"/>
          <w:sz w:val="19"/>
        </w:rPr>
        <w:t>—The</w:t>
      </w:r>
      <w:r>
        <w:rPr>
          <w:rFonts w:ascii="Arial" w:hAnsi="Arial"/>
          <w:color w:val="231F20"/>
          <w:spacing w:val="-16"/>
          <w:w w:val="115"/>
          <w:sz w:val="19"/>
        </w:rPr>
        <w:t> </w:t>
      </w:r>
      <w:r>
        <w:rPr>
          <w:rFonts w:ascii="Arial" w:hAnsi="Arial"/>
          <w:color w:val="231F20"/>
          <w:w w:val="115"/>
          <w:sz w:val="19"/>
        </w:rPr>
        <w:t>worldwide</w:t>
      </w:r>
      <w:r>
        <w:rPr>
          <w:rFonts w:ascii="Arial" w:hAnsi="Arial"/>
          <w:color w:val="231F20"/>
          <w:spacing w:val="-15"/>
          <w:w w:val="115"/>
          <w:sz w:val="19"/>
        </w:rPr>
        <w:t> </w:t>
      </w:r>
      <w:r>
        <w:rPr>
          <w:rFonts w:ascii="Arial" w:hAnsi="Arial"/>
          <w:color w:val="231F20"/>
          <w:w w:val="115"/>
          <w:sz w:val="19"/>
        </w:rPr>
        <w:t>competition</w:t>
      </w:r>
      <w:r>
        <w:rPr>
          <w:rFonts w:ascii="Arial" w:hAnsi="Arial"/>
          <w:color w:val="231F20"/>
          <w:spacing w:val="-15"/>
          <w:w w:val="115"/>
          <w:sz w:val="19"/>
        </w:rPr>
        <w:t> </w:t>
      </w:r>
      <w:r>
        <w:rPr>
          <w:rFonts w:ascii="Arial" w:hAnsi="Arial"/>
          <w:color w:val="231F20"/>
          <w:w w:val="115"/>
          <w:sz w:val="19"/>
        </w:rPr>
        <w:t>inherent</w:t>
      </w:r>
      <w:r>
        <w:rPr>
          <w:rFonts w:ascii="Arial" w:hAnsi="Arial"/>
          <w:color w:val="231F20"/>
          <w:spacing w:val="-15"/>
          <w:w w:val="115"/>
          <w:sz w:val="19"/>
        </w:rPr>
        <w:t> </w:t>
      </w:r>
      <w:r>
        <w:rPr>
          <w:rFonts w:ascii="Arial" w:hAnsi="Arial"/>
          <w:color w:val="231F20"/>
          <w:w w:val="115"/>
          <w:sz w:val="19"/>
        </w:rPr>
        <w:t>in</w:t>
      </w:r>
      <w:r>
        <w:rPr>
          <w:rFonts w:ascii="Arial" w:hAnsi="Arial"/>
          <w:color w:val="231F20"/>
          <w:spacing w:val="-15"/>
          <w:w w:val="115"/>
          <w:sz w:val="19"/>
        </w:rPr>
        <w:t> </w:t>
      </w:r>
      <w:r>
        <w:rPr>
          <w:rFonts w:ascii="Arial" w:hAnsi="Arial"/>
          <w:color w:val="231F20"/>
          <w:w w:val="115"/>
          <w:sz w:val="19"/>
        </w:rPr>
        <w:t>certain industries due to a variety of globalizing factors</w:t>
      </w:r>
    </w:p>
    <w:p>
      <w:pPr>
        <w:spacing w:line="328" w:lineRule="auto" w:before="2"/>
        <w:ind w:left="1599" w:right="1262" w:hanging="340"/>
        <w:jc w:val="left"/>
        <w:rPr>
          <w:rFonts w:ascii="Arial" w:hAnsi="Arial"/>
          <w:sz w:val="19"/>
        </w:rPr>
      </w:pPr>
      <w:r>
        <w:rPr>
          <w:rFonts w:ascii="Arial" w:hAnsi="Arial"/>
          <w:i/>
          <w:color w:val="231F20"/>
          <w:w w:val="115"/>
          <w:sz w:val="19"/>
        </w:rPr>
        <w:t>Synergy</w:t>
      </w:r>
      <w:r>
        <w:rPr>
          <w:rFonts w:ascii="Arial" w:hAnsi="Arial"/>
          <w:i/>
          <w:color w:val="231F20"/>
          <w:spacing w:val="-40"/>
          <w:w w:val="115"/>
          <w:sz w:val="19"/>
        </w:rPr>
        <w:t> </w:t>
      </w:r>
      <w:r>
        <w:rPr>
          <w:rFonts w:ascii="Arial" w:hAnsi="Arial"/>
          <w:color w:val="231F20"/>
          <w:w w:val="115"/>
          <w:sz w:val="19"/>
        </w:rPr>
        <w:t>—The incremental profits generated by the combination</w:t>
      </w:r>
      <w:r>
        <w:rPr>
          <w:rFonts w:ascii="Arial" w:hAnsi="Arial"/>
          <w:color w:val="231F20"/>
          <w:spacing w:val="-16"/>
          <w:w w:val="115"/>
          <w:sz w:val="19"/>
        </w:rPr>
        <w:t> </w:t>
      </w:r>
      <w:r>
        <w:rPr>
          <w:rFonts w:ascii="Arial" w:hAnsi="Arial"/>
          <w:color w:val="231F20"/>
          <w:w w:val="115"/>
          <w:sz w:val="19"/>
        </w:rPr>
        <w:t>of</w:t>
      </w:r>
      <w:r>
        <w:rPr>
          <w:rFonts w:ascii="Arial" w:hAnsi="Arial"/>
          <w:color w:val="231F20"/>
          <w:spacing w:val="-15"/>
          <w:w w:val="115"/>
          <w:sz w:val="19"/>
        </w:rPr>
        <w:t> </w:t>
      </w:r>
      <w:r>
        <w:rPr>
          <w:rFonts w:ascii="Arial" w:hAnsi="Arial"/>
          <w:color w:val="231F20"/>
          <w:w w:val="115"/>
          <w:sz w:val="19"/>
        </w:rPr>
        <w:t>two</w:t>
      </w:r>
      <w:r>
        <w:rPr>
          <w:rFonts w:ascii="Arial" w:hAnsi="Arial"/>
          <w:color w:val="231F20"/>
          <w:spacing w:val="-15"/>
          <w:w w:val="115"/>
          <w:sz w:val="19"/>
        </w:rPr>
        <w:t> </w:t>
      </w:r>
      <w:r>
        <w:rPr>
          <w:rFonts w:ascii="Arial" w:hAnsi="Arial"/>
          <w:color w:val="231F20"/>
          <w:w w:val="115"/>
          <w:sz w:val="19"/>
        </w:rPr>
        <w:t>companies</w:t>
      </w:r>
      <w:r>
        <w:rPr>
          <w:rFonts w:ascii="Arial" w:hAnsi="Arial"/>
          <w:color w:val="231F20"/>
          <w:spacing w:val="-15"/>
          <w:w w:val="115"/>
          <w:sz w:val="19"/>
        </w:rPr>
        <w:t> </w:t>
      </w:r>
      <w:r>
        <w:rPr>
          <w:rFonts w:ascii="Arial" w:hAnsi="Arial"/>
          <w:color w:val="231F20"/>
          <w:w w:val="115"/>
          <w:sz w:val="19"/>
        </w:rPr>
        <w:t>that</w:t>
      </w:r>
      <w:r>
        <w:rPr>
          <w:rFonts w:ascii="Arial" w:hAnsi="Arial"/>
          <w:color w:val="231F20"/>
          <w:spacing w:val="-15"/>
          <w:w w:val="115"/>
          <w:sz w:val="19"/>
        </w:rPr>
        <w:t> </w:t>
      </w:r>
      <w:r>
        <w:rPr>
          <w:rFonts w:ascii="Arial" w:hAnsi="Arial"/>
          <w:color w:val="231F20"/>
          <w:w w:val="115"/>
          <w:sz w:val="19"/>
        </w:rPr>
        <w:t>share</w:t>
      </w:r>
      <w:r>
        <w:rPr>
          <w:rFonts w:ascii="Arial" w:hAnsi="Arial"/>
          <w:color w:val="231F20"/>
          <w:spacing w:val="-16"/>
          <w:w w:val="115"/>
          <w:sz w:val="19"/>
        </w:rPr>
        <w:t> </w:t>
      </w:r>
      <w:r>
        <w:rPr>
          <w:rFonts w:ascii="Arial" w:hAnsi="Arial"/>
          <w:color w:val="231F20"/>
          <w:w w:val="115"/>
          <w:sz w:val="19"/>
        </w:rPr>
        <w:t>resources</w:t>
      </w:r>
    </w:p>
    <w:p>
      <w:pPr>
        <w:spacing w:line="328" w:lineRule="auto" w:before="1"/>
        <w:ind w:left="1599" w:right="1045" w:hanging="340"/>
        <w:jc w:val="left"/>
        <w:rPr>
          <w:rFonts w:ascii="Arial" w:hAnsi="Arial"/>
          <w:sz w:val="19"/>
        </w:rPr>
      </w:pPr>
      <w:r>
        <w:rPr>
          <w:rFonts w:ascii="Arial" w:hAnsi="Arial"/>
          <w:i/>
          <w:color w:val="231F20"/>
          <w:w w:val="110"/>
          <w:sz w:val="19"/>
        </w:rPr>
        <w:t>Incrementalism</w:t>
      </w:r>
      <w:r>
        <w:rPr>
          <w:rFonts w:ascii="Arial" w:hAnsi="Arial"/>
          <w:i/>
          <w:color w:val="231F20"/>
          <w:spacing w:val="-35"/>
          <w:w w:val="110"/>
          <w:sz w:val="19"/>
        </w:rPr>
        <w:t> </w:t>
      </w:r>
      <w:r>
        <w:rPr>
          <w:rFonts w:ascii="Arial" w:hAnsi="Arial"/>
          <w:color w:val="231F20"/>
          <w:w w:val="110"/>
          <w:sz w:val="19"/>
        </w:rPr>
        <w:t>—The concept that strategy is not a grand scheme but is developed over time, step-by-step</w:t>
      </w:r>
    </w:p>
    <w:p>
      <w:pPr>
        <w:spacing w:after="0" w:line="328" w:lineRule="auto"/>
        <w:jc w:val="left"/>
        <w:rPr>
          <w:rFonts w:ascii="Arial" w:hAnsi="Arial"/>
          <w:sz w:val="19"/>
        </w:rPr>
        <w:sectPr>
          <w:pgSz w:w="8640" w:h="12960"/>
          <w:pgMar w:header="734" w:footer="0" w:top="920" w:bottom="280" w:left="340" w:right="50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9"/>
        </w:rPr>
      </w:pPr>
    </w:p>
    <w:p>
      <w:pPr>
        <w:spacing w:before="86"/>
        <w:ind w:left="308" w:right="219" w:firstLine="0"/>
        <w:jc w:val="center"/>
        <w:rPr>
          <w:b/>
          <w:i/>
          <w:sz w:val="40"/>
        </w:rPr>
      </w:pPr>
      <w:bookmarkStart w:name="Day 10" w:id="27"/>
      <w:bookmarkEnd w:id="27"/>
      <w:r>
        <w:rPr/>
      </w:r>
      <w:bookmarkStart w:name="Research and Competitive Intelligence Ga" w:id="28"/>
      <w:bookmarkEnd w:id="28"/>
      <w:r>
        <w:rPr/>
      </w:r>
      <w:bookmarkStart w:name="_bookmark13" w:id="29"/>
      <w:bookmarkEnd w:id="29"/>
      <w:r>
        <w:rPr/>
      </w:r>
      <w:hyperlink w:history="true" w:anchor="_bookmark1">
        <w:r>
          <w:rPr>
            <w:b/>
            <w:i/>
            <w:color w:val="0000FF"/>
            <w:spacing w:val="12"/>
            <w:sz w:val="40"/>
          </w:rPr>
          <w:t>Day</w:t>
        </w:r>
        <w:r>
          <w:rPr>
            <w:b/>
            <w:i/>
            <w:color w:val="0000FF"/>
            <w:spacing w:val="68"/>
            <w:sz w:val="40"/>
          </w:rPr>
          <w:t> </w:t>
        </w:r>
        <w:r>
          <w:rPr>
            <w:b/>
            <w:i/>
            <w:color w:val="0000FF"/>
            <w:spacing w:val="14"/>
            <w:sz w:val="40"/>
          </w:rPr>
          <w:t>10</w:t>
        </w:r>
      </w:hyperlink>
    </w:p>
    <w:p>
      <w:pPr>
        <w:pStyle w:val="BodyText"/>
        <w:spacing w:before="10"/>
        <w:rPr>
          <w:b/>
          <w:i/>
          <w:sz w:val="10"/>
        </w:rPr>
      </w:pPr>
      <w:r>
        <w:rPr/>
        <w:pict>
          <v:shape style="position:absolute;margin-left:175.75pt;margin-top:7.583056pt;width:76pt;height:.1pt;mso-position-horizontal-relative:page;mso-position-vertical-relative:paragraph;z-index:-15516160;mso-wrap-distance-left:0;mso-wrap-distance-right:0" id="docshape535" coordorigin="3515,152" coordsize="1520,0" path="m3515,152l5035,152e" filled="false" stroked="true" strokeweight="6pt" strokecolor="#d1d3d4">
            <v:path arrowok="t"/>
            <v:stroke dashstyle="solid"/>
            <w10:wrap type="topAndBottom"/>
          </v:shape>
        </w:pict>
      </w:r>
    </w:p>
    <w:p>
      <w:pPr>
        <w:pStyle w:val="Heading1"/>
      </w:pPr>
      <w:r>
        <w:rPr>
          <w:color w:val="231F20"/>
          <w:spacing w:val="27"/>
          <w:w w:val="90"/>
        </w:rPr>
        <w:t>MBA</w:t>
      </w:r>
      <w:r>
        <w:rPr>
          <w:color w:val="231F20"/>
          <w:spacing w:val="30"/>
          <w:w w:val="95"/>
        </w:rPr>
        <w:t> </w:t>
      </w:r>
      <w:r>
        <w:rPr>
          <w:color w:val="231F20"/>
          <w:spacing w:val="39"/>
          <w:w w:val="95"/>
        </w:rPr>
        <w:t>MINICOURSES</w:t>
      </w:r>
    </w:p>
    <w:p>
      <w:pPr>
        <w:pStyle w:val="BodyText"/>
        <w:spacing w:before="9"/>
        <w:rPr>
          <w:rFonts w:ascii="Trebuchet MS"/>
          <w:sz w:val="81"/>
        </w:rPr>
      </w:pPr>
    </w:p>
    <w:p>
      <w:pPr>
        <w:spacing w:line="324" w:lineRule="auto" w:before="0"/>
        <w:ind w:left="829" w:right="756" w:firstLine="0"/>
        <w:jc w:val="center"/>
        <w:rPr>
          <w:b/>
          <w:sz w:val="19"/>
        </w:rPr>
      </w:pPr>
      <w:r>
        <w:rPr>
          <w:b/>
          <w:color w:val="808285"/>
          <w:spacing w:val="-2"/>
          <w:w w:val="120"/>
          <w:sz w:val="19"/>
        </w:rPr>
        <w:t>RESEARCH</w:t>
      </w:r>
      <w:r>
        <w:rPr>
          <w:b/>
          <w:color w:val="808285"/>
          <w:spacing w:val="-3"/>
          <w:w w:val="120"/>
          <w:sz w:val="19"/>
        </w:rPr>
        <w:t> </w:t>
      </w:r>
      <w:r>
        <w:rPr>
          <w:b/>
          <w:color w:val="808285"/>
          <w:spacing w:val="-2"/>
          <w:w w:val="120"/>
          <w:sz w:val="19"/>
        </w:rPr>
        <w:t>AND</w:t>
      </w:r>
      <w:r>
        <w:rPr>
          <w:b/>
          <w:color w:val="808285"/>
          <w:spacing w:val="-3"/>
          <w:w w:val="120"/>
          <w:sz w:val="19"/>
        </w:rPr>
        <w:t> </w:t>
      </w:r>
      <w:r>
        <w:rPr>
          <w:b/>
          <w:color w:val="808285"/>
          <w:spacing w:val="-2"/>
          <w:w w:val="120"/>
          <w:sz w:val="19"/>
        </w:rPr>
        <w:t>COMPETITIVE</w:t>
      </w:r>
      <w:r>
        <w:rPr>
          <w:b/>
          <w:color w:val="808285"/>
          <w:spacing w:val="-3"/>
          <w:w w:val="120"/>
          <w:sz w:val="19"/>
        </w:rPr>
        <w:t> </w:t>
      </w:r>
      <w:r>
        <w:rPr>
          <w:b/>
          <w:color w:val="808285"/>
          <w:spacing w:val="-2"/>
          <w:w w:val="120"/>
          <w:sz w:val="19"/>
        </w:rPr>
        <w:t>INTELLIGENCE</w:t>
      </w:r>
      <w:r>
        <w:rPr>
          <w:b/>
          <w:color w:val="808285"/>
          <w:spacing w:val="-3"/>
          <w:w w:val="120"/>
          <w:sz w:val="19"/>
        </w:rPr>
        <w:t> </w:t>
      </w:r>
      <w:r>
        <w:rPr>
          <w:b/>
          <w:color w:val="808285"/>
          <w:spacing w:val="-2"/>
          <w:w w:val="120"/>
          <w:sz w:val="19"/>
        </w:rPr>
        <w:t>GATHERING </w:t>
      </w:r>
      <w:r>
        <w:rPr>
          <w:b/>
          <w:color w:val="808285"/>
          <w:w w:val="120"/>
          <w:sz w:val="19"/>
        </w:rPr>
        <w:t>PUBLIC SPEAKING</w:t>
      </w:r>
    </w:p>
    <w:p>
      <w:pPr>
        <w:spacing w:line="324" w:lineRule="auto" w:before="0"/>
        <w:ind w:left="2543" w:right="2470" w:hanging="1"/>
        <w:jc w:val="center"/>
        <w:rPr>
          <w:b/>
          <w:sz w:val="19"/>
        </w:rPr>
      </w:pPr>
      <w:r>
        <w:rPr>
          <w:b/>
          <w:color w:val="808285"/>
          <w:spacing w:val="-2"/>
          <w:w w:val="115"/>
          <w:sz w:val="19"/>
        </w:rPr>
        <w:t>NEGOTIATING </w:t>
      </w:r>
      <w:r>
        <w:rPr>
          <w:b/>
          <w:color w:val="808285"/>
          <w:w w:val="115"/>
          <w:sz w:val="19"/>
        </w:rPr>
        <w:t>INTERNATIONAL </w:t>
      </w:r>
      <w:r>
        <w:rPr>
          <w:b/>
          <w:color w:val="808285"/>
          <w:w w:val="115"/>
          <w:sz w:val="19"/>
        </w:rPr>
        <w:t>BUSINESS BUSINESS LAW</w:t>
      </w:r>
    </w:p>
    <w:p>
      <w:pPr>
        <w:spacing w:line="324" w:lineRule="auto" w:before="0"/>
        <w:ind w:left="2662" w:right="2589" w:hanging="1"/>
        <w:jc w:val="center"/>
        <w:rPr>
          <w:b/>
          <w:sz w:val="19"/>
        </w:rPr>
      </w:pPr>
      <w:r>
        <w:rPr>
          <w:b/>
          <w:color w:val="808285"/>
          <w:w w:val="120"/>
          <w:sz w:val="19"/>
        </w:rPr>
        <w:t>BUSINESS WRITING </w:t>
      </w:r>
      <w:r>
        <w:rPr>
          <w:b/>
          <w:color w:val="808285"/>
          <w:w w:val="115"/>
          <w:sz w:val="19"/>
        </w:rPr>
        <w:t>REAL</w:t>
      </w:r>
      <w:r>
        <w:rPr>
          <w:b/>
          <w:color w:val="808285"/>
          <w:spacing w:val="-8"/>
          <w:w w:val="115"/>
          <w:sz w:val="19"/>
        </w:rPr>
        <w:t> </w:t>
      </w:r>
      <w:r>
        <w:rPr>
          <w:b/>
          <w:color w:val="808285"/>
          <w:w w:val="115"/>
          <w:sz w:val="19"/>
        </w:rPr>
        <w:t>ESTATE</w:t>
      </w:r>
      <w:r>
        <w:rPr>
          <w:b/>
          <w:color w:val="808285"/>
          <w:spacing w:val="-8"/>
          <w:w w:val="115"/>
          <w:sz w:val="19"/>
        </w:rPr>
        <w:t> </w:t>
      </w:r>
      <w:r>
        <w:rPr>
          <w:b/>
          <w:color w:val="808285"/>
          <w:w w:val="115"/>
          <w:sz w:val="19"/>
        </w:rPr>
        <w:t>INVESTING </w:t>
      </w:r>
      <w:r>
        <w:rPr>
          <w:b/>
          <w:color w:val="808285"/>
          <w:w w:val="120"/>
          <w:sz w:val="19"/>
        </w:rPr>
        <w:t>LEADERSHIP COACH FINANCIAL PLANNER</w:t>
      </w:r>
    </w:p>
    <w:p>
      <w:pPr>
        <w:pStyle w:val="BodyText"/>
        <w:rPr>
          <w:b/>
          <w:sz w:val="22"/>
        </w:rPr>
      </w:pPr>
    </w:p>
    <w:p>
      <w:pPr>
        <w:pStyle w:val="BodyText"/>
        <w:spacing w:before="10"/>
        <w:rPr>
          <w:b/>
          <w:sz w:val="24"/>
        </w:rPr>
      </w:pPr>
    </w:p>
    <w:p>
      <w:pPr>
        <w:pStyle w:val="Heading4"/>
        <w:spacing w:line="259" w:lineRule="auto"/>
        <w:ind w:left="1041" w:right="958"/>
      </w:pPr>
      <w:hyperlink w:history="true" w:anchor="_bookmark1">
        <w:r>
          <w:rPr>
            <w:color w:val="0000FF"/>
            <w:w w:val="85"/>
          </w:rPr>
          <w:t>THE </w:t>
        </w:r>
        <w:r>
          <w:rPr>
            <w:color w:val="0000FF"/>
            <w:spacing w:val="11"/>
            <w:w w:val="85"/>
          </w:rPr>
          <w:t>TEN-</w:t>
        </w:r>
        <w:r>
          <w:rPr>
            <w:color w:val="0000FF"/>
            <w:spacing w:val="9"/>
            <w:w w:val="85"/>
          </w:rPr>
          <w:t>MINUTE MINICOURSE </w:t>
        </w:r>
        <w:r>
          <w:rPr>
            <w:color w:val="0000FF"/>
            <w:w w:val="85"/>
          </w:rPr>
          <w:t>ON </w:t>
        </w:r>
        <w:r>
          <w:rPr>
            <w:color w:val="0000FF"/>
            <w:spacing w:val="9"/>
            <w:w w:val="85"/>
          </w:rPr>
          <w:t>RESEARCH </w:t>
        </w:r>
        <w:r>
          <w:rPr>
            <w:color w:val="0000FF"/>
            <w:spacing w:val="11"/>
            <w:w w:val="85"/>
          </w:rPr>
          <w:t>AND </w:t>
        </w:r>
        <w:r>
          <w:rPr>
            <w:color w:val="0000FF"/>
            <w:spacing w:val="10"/>
            <w:w w:val="90"/>
          </w:rPr>
          <w:t>COMPETITIVE</w:t>
        </w:r>
        <w:r>
          <w:rPr>
            <w:color w:val="0000FF"/>
            <w:spacing w:val="-11"/>
            <w:w w:val="90"/>
          </w:rPr>
          <w:t> </w:t>
        </w:r>
        <w:r>
          <w:rPr>
            <w:color w:val="0000FF"/>
            <w:spacing w:val="10"/>
            <w:w w:val="90"/>
          </w:rPr>
          <w:t>INTELLIGENCE</w:t>
        </w:r>
        <w:r>
          <w:rPr>
            <w:color w:val="0000FF"/>
            <w:spacing w:val="-11"/>
            <w:w w:val="90"/>
          </w:rPr>
          <w:t> </w:t>
        </w:r>
        <w:r>
          <w:rPr>
            <w:color w:val="0000FF"/>
            <w:spacing w:val="9"/>
            <w:w w:val="90"/>
          </w:rPr>
          <w:t>GATHERING</w:t>
        </w:r>
      </w:hyperlink>
    </w:p>
    <w:p>
      <w:pPr>
        <w:pStyle w:val="BodyText"/>
        <w:spacing w:before="10"/>
        <w:rPr>
          <w:rFonts w:ascii="Trebuchet MS"/>
          <w:sz w:val="27"/>
        </w:rPr>
      </w:pPr>
    </w:p>
    <w:p>
      <w:pPr>
        <w:pStyle w:val="BodyText"/>
        <w:spacing w:line="292" w:lineRule="auto"/>
        <w:ind w:left="830" w:right="756"/>
        <w:jc w:val="both"/>
      </w:pPr>
      <w:r>
        <w:rPr>
          <w:color w:val="231F20"/>
          <w:w w:val="105"/>
        </w:rPr>
        <w:t>It</w:t>
      </w:r>
      <w:r>
        <w:rPr>
          <w:color w:val="231F20"/>
          <w:spacing w:val="-6"/>
          <w:w w:val="105"/>
        </w:rPr>
        <w:t> </w:t>
      </w:r>
      <w:r>
        <w:rPr>
          <w:color w:val="231F20"/>
          <w:w w:val="105"/>
        </w:rPr>
        <w:t>is</w:t>
      </w:r>
      <w:r>
        <w:rPr>
          <w:color w:val="231F20"/>
          <w:spacing w:val="-6"/>
          <w:w w:val="105"/>
        </w:rPr>
        <w:t> </w:t>
      </w:r>
      <w:r>
        <w:rPr>
          <w:color w:val="231F20"/>
          <w:w w:val="105"/>
        </w:rPr>
        <w:t>said</w:t>
      </w:r>
      <w:r>
        <w:rPr>
          <w:color w:val="231F20"/>
          <w:spacing w:val="-6"/>
          <w:w w:val="105"/>
        </w:rPr>
        <w:t> </w:t>
      </w:r>
      <w:r>
        <w:rPr>
          <w:color w:val="231F20"/>
          <w:w w:val="105"/>
        </w:rPr>
        <w:t>that</w:t>
      </w:r>
      <w:r>
        <w:rPr>
          <w:color w:val="231F20"/>
          <w:spacing w:val="-6"/>
          <w:w w:val="105"/>
        </w:rPr>
        <w:t> </w:t>
      </w:r>
      <w:r>
        <w:rPr>
          <w:color w:val="231F20"/>
          <w:w w:val="105"/>
        </w:rPr>
        <w:t>information</w:t>
      </w:r>
      <w:r>
        <w:rPr>
          <w:color w:val="231F20"/>
          <w:spacing w:val="-6"/>
          <w:w w:val="105"/>
        </w:rPr>
        <w:t> </w:t>
      </w:r>
      <w:r>
        <w:rPr>
          <w:color w:val="231F20"/>
          <w:w w:val="105"/>
        </w:rPr>
        <w:t>is</w:t>
      </w:r>
      <w:r>
        <w:rPr>
          <w:color w:val="231F20"/>
          <w:spacing w:val="-6"/>
          <w:w w:val="105"/>
        </w:rPr>
        <w:t> </w:t>
      </w:r>
      <w:r>
        <w:rPr>
          <w:color w:val="231F20"/>
          <w:w w:val="105"/>
        </w:rPr>
        <w:t>power.</w:t>
      </w:r>
      <w:r>
        <w:rPr>
          <w:color w:val="231F20"/>
          <w:spacing w:val="-6"/>
          <w:w w:val="105"/>
        </w:rPr>
        <w:t> </w:t>
      </w:r>
      <w:r>
        <w:rPr>
          <w:color w:val="231F20"/>
          <w:w w:val="105"/>
        </w:rPr>
        <w:t>That</w:t>
      </w:r>
      <w:r>
        <w:rPr>
          <w:color w:val="231F20"/>
          <w:spacing w:val="-6"/>
          <w:w w:val="105"/>
        </w:rPr>
        <w:t> </w:t>
      </w:r>
      <w:r>
        <w:rPr>
          <w:color w:val="231F20"/>
          <w:w w:val="105"/>
        </w:rPr>
        <w:t>is</w:t>
      </w:r>
      <w:r>
        <w:rPr>
          <w:color w:val="231F20"/>
          <w:spacing w:val="-6"/>
          <w:w w:val="105"/>
        </w:rPr>
        <w:t> </w:t>
      </w:r>
      <w:r>
        <w:rPr>
          <w:color w:val="231F20"/>
          <w:w w:val="105"/>
        </w:rPr>
        <w:t>why</w:t>
      </w:r>
      <w:r>
        <w:rPr>
          <w:color w:val="231F20"/>
          <w:spacing w:val="-6"/>
          <w:w w:val="105"/>
        </w:rPr>
        <w:t> </w:t>
      </w:r>
      <w:r>
        <w:rPr>
          <w:color w:val="231F20"/>
          <w:w w:val="105"/>
        </w:rPr>
        <w:t>MBA</w:t>
      </w:r>
      <w:r>
        <w:rPr>
          <w:color w:val="231F20"/>
          <w:spacing w:val="-6"/>
          <w:w w:val="105"/>
        </w:rPr>
        <w:t> </w:t>
      </w:r>
      <w:r>
        <w:rPr>
          <w:color w:val="231F20"/>
          <w:w w:val="105"/>
        </w:rPr>
        <w:t>schools</w:t>
      </w:r>
      <w:r>
        <w:rPr>
          <w:color w:val="231F20"/>
          <w:spacing w:val="-6"/>
          <w:w w:val="105"/>
        </w:rPr>
        <w:t> </w:t>
      </w:r>
      <w:r>
        <w:rPr>
          <w:color w:val="231F20"/>
          <w:w w:val="105"/>
        </w:rPr>
        <w:t>teach </w:t>
      </w:r>
      <w:r>
        <w:rPr>
          <w:color w:val="231F20"/>
        </w:rPr>
        <w:t>students research skills. The key to efficient and productive </w:t>
      </w:r>
      <w:r>
        <w:rPr>
          <w:color w:val="231F20"/>
        </w:rPr>
        <w:t>research </w:t>
      </w:r>
      <w:r>
        <w:rPr>
          <w:color w:val="231F20"/>
          <w:w w:val="105"/>
        </w:rPr>
        <w:t>is</w:t>
      </w:r>
      <w:r>
        <w:rPr>
          <w:color w:val="231F20"/>
          <w:w w:val="105"/>
        </w:rPr>
        <w:t> to</w:t>
      </w:r>
      <w:r>
        <w:rPr>
          <w:color w:val="231F20"/>
          <w:w w:val="105"/>
        </w:rPr>
        <w:t> know</w:t>
      </w:r>
      <w:r>
        <w:rPr>
          <w:color w:val="231F20"/>
          <w:w w:val="105"/>
        </w:rPr>
        <w:t> where</w:t>
      </w:r>
      <w:r>
        <w:rPr>
          <w:color w:val="231F20"/>
          <w:w w:val="105"/>
        </w:rPr>
        <w:t> to</w:t>
      </w:r>
      <w:r>
        <w:rPr>
          <w:color w:val="231F20"/>
          <w:w w:val="105"/>
        </w:rPr>
        <w:t> seek</w:t>
      </w:r>
      <w:r>
        <w:rPr>
          <w:color w:val="231F20"/>
          <w:w w:val="105"/>
        </w:rPr>
        <w:t> information.</w:t>
      </w:r>
      <w:r>
        <w:rPr>
          <w:color w:val="231F20"/>
          <w:w w:val="105"/>
        </w:rPr>
        <w:t> By</w:t>
      </w:r>
      <w:r>
        <w:rPr>
          <w:color w:val="231F20"/>
          <w:w w:val="105"/>
        </w:rPr>
        <w:t> putting</w:t>
      </w:r>
      <w:r>
        <w:rPr>
          <w:color w:val="231F20"/>
          <w:w w:val="105"/>
        </w:rPr>
        <w:t> a</w:t>
      </w:r>
      <w:r>
        <w:rPr>
          <w:color w:val="231F20"/>
          <w:w w:val="105"/>
        </w:rPr>
        <w:t> little</w:t>
      </w:r>
      <w:r>
        <w:rPr>
          <w:color w:val="231F20"/>
          <w:w w:val="105"/>
        </w:rPr>
        <w:t> more</w:t>
      </w:r>
      <w:r>
        <w:rPr>
          <w:color w:val="231F20"/>
          <w:w w:val="105"/>
        </w:rPr>
        <w:t> ef- fort into your job, you as a Ten-Day MBA may get that brilliant in- sight</w:t>
      </w:r>
      <w:r>
        <w:rPr>
          <w:color w:val="231F20"/>
          <w:spacing w:val="-3"/>
          <w:w w:val="105"/>
        </w:rPr>
        <w:t> </w:t>
      </w:r>
      <w:r>
        <w:rPr>
          <w:color w:val="231F20"/>
          <w:w w:val="105"/>
        </w:rPr>
        <w:t>or</w:t>
      </w:r>
      <w:r>
        <w:rPr>
          <w:color w:val="231F20"/>
          <w:spacing w:val="-3"/>
          <w:w w:val="105"/>
        </w:rPr>
        <w:t> </w:t>
      </w:r>
      <w:r>
        <w:rPr>
          <w:color w:val="231F20"/>
          <w:w w:val="105"/>
        </w:rPr>
        <w:t>fact</w:t>
      </w:r>
      <w:r>
        <w:rPr>
          <w:color w:val="231F20"/>
          <w:spacing w:val="-3"/>
          <w:w w:val="105"/>
        </w:rPr>
        <w:t> </w:t>
      </w:r>
      <w:r>
        <w:rPr>
          <w:color w:val="231F20"/>
          <w:w w:val="105"/>
        </w:rPr>
        <w:t>that</w:t>
      </w:r>
      <w:r>
        <w:rPr>
          <w:color w:val="231F20"/>
          <w:spacing w:val="-3"/>
          <w:w w:val="105"/>
        </w:rPr>
        <w:t> </w:t>
      </w:r>
      <w:r>
        <w:rPr>
          <w:color w:val="231F20"/>
          <w:w w:val="105"/>
        </w:rPr>
        <w:t>may</w:t>
      </w:r>
      <w:r>
        <w:rPr>
          <w:color w:val="231F20"/>
          <w:spacing w:val="-3"/>
          <w:w w:val="105"/>
        </w:rPr>
        <w:t> </w:t>
      </w:r>
      <w:r>
        <w:rPr>
          <w:color w:val="231F20"/>
          <w:w w:val="105"/>
        </w:rPr>
        <w:t>elude</w:t>
      </w:r>
      <w:r>
        <w:rPr>
          <w:color w:val="231F20"/>
          <w:spacing w:val="-3"/>
          <w:w w:val="105"/>
        </w:rPr>
        <w:t> </w:t>
      </w:r>
      <w:r>
        <w:rPr>
          <w:color w:val="231F20"/>
          <w:w w:val="105"/>
        </w:rPr>
        <w:t>your</w:t>
      </w:r>
      <w:r>
        <w:rPr>
          <w:color w:val="231F20"/>
          <w:spacing w:val="-3"/>
          <w:w w:val="105"/>
        </w:rPr>
        <w:t> </w:t>
      </w:r>
      <w:r>
        <w:rPr>
          <w:color w:val="231F20"/>
          <w:w w:val="105"/>
        </w:rPr>
        <w:t>less</w:t>
      </w:r>
      <w:r>
        <w:rPr>
          <w:color w:val="231F20"/>
          <w:spacing w:val="-3"/>
          <w:w w:val="105"/>
        </w:rPr>
        <w:t> </w:t>
      </w:r>
      <w:r>
        <w:rPr>
          <w:color w:val="231F20"/>
          <w:w w:val="105"/>
        </w:rPr>
        <w:t>industrious</w:t>
      </w:r>
      <w:r>
        <w:rPr>
          <w:color w:val="231F20"/>
          <w:spacing w:val="-3"/>
          <w:w w:val="105"/>
        </w:rPr>
        <w:t> </w:t>
      </w:r>
      <w:r>
        <w:rPr>
          <w:color w:val="231F20"/>
          <w:w w:val="105"/>
        </w:rPr>
        <w:t>colleagues.</w:t>
      </w:r>
      <w:r>
        <w:rPr>
          <w:color w:val="231F20"/>
          <w:spacing w:val="-3"/>
          <w:w w:val="105"/>
        </w:rPr>
        <w:t> </w:t>
      </w:r>
      <w:r>
        <w:rPr>
          <w:color w:val="231F20"/>
          <w:w w:val="105"/>
        </w:rPr>
        <w:t>Of</w:t>
      </w:r>
      <w:r>
        <w:rPr>
          <w:color w:val="231F20"/>
          <w:spacing w:val="-3"/>
          <w:w w:val="105"/>
        </w:rPr>
        <w:t> </w:t>
      </w:r>
      <w:r>
        <w:rPr>
          <w:color w:val="231F20"/>
          <w:w w:val="105"/>
        </w:rPr>
        <w:t>all the</w:t>
      </w:r>
      <w:r>
        <w:rPr>
          <w:color w:val="231F20"/>
          <w:spacing w:val="-6"/>
          <w:w w:val="105"/>
        </w:rPr>
        <w:t> </w:t>
      </w:r>
      <w:r>
        <w:rPr>
          <w:color w:val="231F20"/>
          <w:w w:val="105"/>
        </w:rPr>
        <w:t>sections</w:t>
      </w:r>
      <w:r>
        <w:rPr>
          <w:color w:val="231F20"/>
          <w:spacing w:val="-6"/>
          <w:w w:val="105"/>
        </w:rPr>
        <w:t> </w:t>
      </w:r>
      <w:r>
        <w:rPr>
          <w:color w:val="231F20"/>
          <w:w w:val="105"/>
        </w:rPr>
        <w:t>in</w:t>
      </w:r>
      <w:r>
        <w:rPr>
          <w:color w:val="231F20"/>
          <w:spacing w:val="-6"/>
          <w:w w:val="105"/>
        </w:rPr>
        <w:t> </w:t>
      </w:r>
      <w:r>
        <w:rPr>
          <w:color w:val="231F20"/>
          <w:w w:val="105"/>
        </w:rPr>
        <w:t>this</w:t>
      </w:r>
      <w:r>
        <w:rPr>
          <w:color w:val="231F20"/>
          <w:spacing w:val="-6"/>
          <w:w w:val="105"/>
        </w:rPr>
        <w:t> </w:t>
      </w:r>
      <w:r>
        <w:rPr>
          <w:color w:val="231F20"/>
          <w:w w:val="105"/>
        </w:rPr>
        <w:t>book,</w:t>
      </w:r>
      <w:r>
        <w:rPr>
          <w:color w:val="231F20"/>
          <w:spacing w:val="-6"/>
          <w:w w:val="105"/>
        </w:rPr>
        <w:t> </w:t>
      </w:r>
      <w:r>
        <w:rPr>
          <w:color w:val="231F20"/>
          <w:w w:val="105"/>
        </w:rPr>
        <w:t>this</w:t>
      </w:r>
      <w:r>
        <w:rPr>
          <w:color w:val="231F20"/>
          <w:spacing w:val="-6"/>
          <w:w w:val="105"/>
        </w:rPr>
        <w:t> </w:t>
      </w:r>
      <w:r>
        <w:rPr>
          <w:color w:val="231F20"/>
          <w:w w:val="105"/>
        </w:rPr>
        <w:t>one</w:t>
      </w:r>
      <w:r>
        <w:rPr>
          <w:color w:val="231F20"/>
          <w:spacing w:val="-6"/>
          <w:w w:val="105"/>
        </w:rPr>
        <w:t> </w:t>
      </w:r>
      <w:r>
        <w:rPr>
          <w:color w:val="231F20"/>
          <w:w w:val="105"/>
        </w:rPr>
        <w:t>may</w:t>
      </w:r>
      <w:r>
        <w:rPr>
          <w:color w:val="231F20"/>
          <w:spacing w:val="-6"/>
          <w:w w:val="105"/>
        </w:rPr>
        <w:t> </w:t>
      </w:r>
      <w:r>
        <w:rPr>
          <w:color w:val="231F20"/>
          <w:w w:val="105"/>
        </w:rPr>
        <w:t>be</w:t>
      </w:r>
      <w:r>
        <w:rPr>
          <w:color w:val="231F20"/>
          <w:spacing w:val="-6"/>
          <w:w w:val="105"/>
        </w:rPr>
        <w:t> </w:t>
      </w:r>
      <w:r>
        <w:rPr>
          <w:color w:val="231F20"/>
          <w:w w:val="105"/>
        </w:rPr>
        <w:t>the</w:t>
      </w:r>
      <w:r>
        <w:rPr>
          <w:color w:val="231F20"/>
          <w:spacing w:val="-6"/>
          <w:w w:val="105"/>
        </w:rPr>
        <w:t> </w:t>
      </w:r>
      <w:r>
        <w:rPr>
          <w:color w:val="231F20"/>
          <w:w w:val="105"/>
        </w:rPr>
        <w:t>most</w:t>
      </w:r>
      <w:r>
        <w:rPr>
          <w:color w:val="231F20"/>
          <w:spacing w:val="-6"/>
          <w:w w:val="105"/>
        </w:rPr>
        <w:t> </w:t>
      </w:r>
      <w:r>
        <w:rPr>
          <w:color w:val="231F20"/>
          <w:w w:val="105"/>
        </w:rPr>
        <w:t>valuable</w:t>
      </w:r>
      <w:r>
        <w:rPr>
          <w:color w:val="231F20"/>
          <w:spacing w:val="-6"/>
          <w:w w:val="105"/>
        </w:rPr>
        <w:t> </w:t>
      </w:r>
      <w:r>
        <w:rPr>
          <w:color w:val="231F20"/>
          <w:w w:val="105"/>
        </w:rPr>
        <w:t>to</w:t>
      </w:r>
      <w:r>
        <w:rPr>
          <w:color w:val="231F20"/>
          <w:spacing w:val="-6"/>
          <w:w w:val="105"/>
        </w:rPr>
        <w:t> </w:t>
      </w:r>
      <w:r>
        <w:rPr>
          <w:color w:val="231F20"/>
          <w:w w:val="105"/>
        </w:rPr>
        <w:t>you, so</w:t>
      </w:r>
      <w:r>
        <w:rPr>
          <w:color w:val="231F20"/>
          <w:spacing w:val="-13"/>
          <w:w w:val="105"/>
        </w:rPr>
        <w:t> </w:t>
      </w:r>
      <w:r>
        <w:rPr>
          <w:color w:val="231F20"/>
          <w:w w:val="105"/>
        </w:rPr>
        <w:t>I</w:t>
      </w:r>
      <w:r>
        <w:rPr>
          <w:color w:val="231F20"/>
          <w:spacing w:val="-12"/>
          <w:w w:val="105"/>
        </w:rPr>
        <w:t> </w:t>
      </w:r>
      <w:r>
        <w:rPr>
          <w:color w:val="231F20"/>
          <w:w w:val="105"/>
        </w:rPr>
        <w:t>finish</w:t>
      </w:r>
      <w:r>
        <w:rPr>
          <w:color w:val="231F20"/>
          <w:spacing w:val="-12"/>
          <w:w w:val="105"/>
        </w:rPr>
        <w:t> </w:t>
      </w:r>
      <w:r>
        <w:rPr>
          <w:color w:val="231F20"/>
          <w:w w:val="105"/>
        </w:rPr>
        <w:t>with</w:t>
      </w:r>
      <w:r>
        <w:rPr>
          <w:color w:val="231F20"/>
          <w:spacing w:val="-12"/>
          <w:w w:val="105"/>
        </w:rPr>
        <w:t> </w:t>
      </w:r>
      <w:r>
        <w:rPr>
          <w:color w:val="231F20"/>
          <w:w w:val="105"/>
        </w:rPr>
        <w:t>it.</w:t>
      </w:r>
      <w:r>
        <w:rPr>
          <w:color w:val="231F20"/>
          <w:spacing w:val="-12"/>
          <w:w w:val="105"/>
        </w:rPr>
        <w:t> </w:t>
      </w:r>
      <w:r>
        <w:rPr>
          <w:color w:val="231F20"/>
          <w:w w:val="105"/>
        </w:rPr>
        <w:t>Suppose</w:t>
      </w:r>
      <w:r>
        <w:rPr>
          <w:color w:val="231F20"/>
          <w:spacing w:val="-12"/>
          <w:w w:val="105"/>
        </w:rPr>
        <w:t> </w:t>
      </w:r>
      <w:r>
        <w:rPr>
          <w:color w:val="231F20"/>
          <w:w w:val="105"/>
        </w:rPr>
        <w:t>you</w:t>
      </w:r>
      <w:r>
        <w:rPr>
          <w:color w:val="231F20"/>
          <w:spacing w:val="-12"/>
          <w:w w:val="105"/>
        </w:rPr>
        <w:t> </w:t>
      </w:r>
      <w:r>
        <w:rPr>
          <w:color w:val="231F20"/>
          <w:w w:val="105"/>
        </w:rPr>
        <w:t>need</w:t>
      </w:r>
      <w:r>
        <w:rPr>
          <w:color w:val="231F20"/>
          <w:spacing w:val="-13"/>
          <w:w w:val="105"/>
        </w:rPr>
        <w:t> </w:t>
      </w:r>
      <w:r>
        <w:rPr>
          <w:color w:val="231F20"/>
          <w:w w:val="105"/>
        </w:rPr>
        <w:t>facts</w:t>
      </w:r>
      <w:r>
        <w:rPr>
          <w:color w:val="231F20"/>
          <w:spacing w:val="-12"/>
          <w:w w:val="105"/>
        </w:rPr>
        <w:t> </w:t>
      </w:r>
      <w:r>
        <w:rPr>
          <w:color w:val="231F20"/>
          <w:w w:val="105"/>
        </w:rPr>
        <w:t>about</w:t>
      </w:r>
      <w:r>
        <w:rPr>
          <w:color w:val="231F20"/>
          <w:spacing w:val="-12"/>
          <w:w w:val="105"/>
        </w:rPr>
        <w:t> </w:t>
      </w:r>
      <w:r>
        <w:rPr>
          <w:color w:val="231F20"/>
          <w:w w:val="105"/>
        </w:rPr>
        <w:t>a</w:t>
      </w:r>
      <w:r>
        <w:rPr>
          <w:color w:val="231F20"/>
          <w:spacing w:val="-12"/>
          <w:w w:val="105"/>
        </w:rPr>
        <w:t> </w:t>
      </w:r>
      <w:r>
        <w:rPr>
          <w:color w:val="231F20"/>
          <w:w w:val="105"/>
        </w:rPr>
        <w:t>competitor,</w:t>
      </w:r>
      <w:r>
        <w:rPr>
          <w:color w:val="231F20"/>
          <w:spacing w:val="-12"/>
          <w:w w:val="105"/>
        </w:rPr>
        <w:t> </w:t>
      </w:r>
      <w:r>
        <w:rPr>
          <w:color w:val="231F20"/>
          <w:w w:val="105"/>
        </w:rPr>
        <w:t>a</w:t>
      </w:r>
      <w:r>
        <w:rPr>
          <w:color w:val="231F20"/>
          <w:spacing w:val="-12"/>
          <w:w w:val="105"/>
        </w:rPr>
        <w:t> </w:t>
      </w:r>
      <w:r>
        <w:rPr>
          <w:color w:val="231F20"/>
          <w:w w:val="105"/>
        </w:rPr>
        <w:t>per- son,</w:t>
      </w:r>
      <w:r>
        <w:rPr>
          <w:color w:val="231F20"/>
          <w:w w:val="105"/>
        </w:rPr>
        <w:t> or</w:t>
      </w:r>
      <w:r>
        <w:rPr>
          <w:color w:val="231F20"/>
          <w:w w:val="105"/>
        </w:rPr>
        <w:t> an</w:t>
      </w:r>
      <w:r>
        <w:rPr>
          <w:color w:val="231F20"/>
          <w:w w:val="105"/>
        </w:rPr>
        <w:t> industry;</w:t>
      </w:r>
      <w:r>
        <w:rPr>
          <w:color w:val="231F20"/>
          <w:w w:val="105"/>
        </w:rPr>
        <w:t> the</w:t>
      </w:r>
      <w:r>
        <w:rPr>
          <w:color w:val="231F20"/>
          <w:w w:val="105"/>
        </w:rPr>
        <w:t> following</w:t>
      </w:r>
      <w:r>
        <w:rPr>
          <w:color w:val="231F20"/>
          <w:w w:val="105"/>
        </w:rPr>
        <w:t> are</w:t>
      </w:r>
      <w:r>
        <w:rPr>
          <w:color w:val="231F20"/>
          <w:w w:val="105"/>
        </w:rPr>
        <w:t> some</w:t>
      </w:r>
      <w:r>
        <w:rPr>
          <w:color w:val="231F20"/>
          <w:w w:val="105"/>
        </w:rPr>
        <w:t> of</w:t>
      </w:r>
      <w:r>
        <w:rPr>
          <w:color w:val="231F20"/>
          <w:w w:val="105"/>
        </w:rPr>
        <w:t> the</w:t>
      </w:r>
      <w:r>
        <w:rPr>
          <w:color w:val="231F20"/>
          <w:w w:val="105"/>
        </w:rPr>
        <w:t> </w:t>
      </w:r>
      <w:r>
        <w:rPr>
          <w:i/>
          <w:color w:val="231F20"/>
          <w:w w:val="105"/>
        </w:rPr>
        <w:t>right</w:t>
      </w:r>
      <w:r>
        <w:rPr>
          <w:i/>
          <w:color w:val="231F20"/>
          <w:w w:val="105"/>
        </w:rPr>
        <w:t> </w:t>
      </w:r>
      <w:r>
        <w:rPr>
          <w:color w:val="231F20"/>
          <w:w w:val="105"/>
        </w:rPr>
        <w:t>places</w:t>
      </w:r>
      <w:r>
        <w:rPr>
          <w:color w:val="231F20"/>
          <w:w w:val="105"/>
        </w:rPr>
        <w:t> to </w:t>
      </w:r>
      <w:r>
        <w:rPr>
          <w:color w:val="231F20"/>
          <w:spacing w:val="-4"/>
          <w:w w:val="105"/>
        </w:rPr>
        <w:t>look.</w:t>
      </w:r>
    </w:p>
    <w:p>
      <w:pPr>
        <w:spacing w:after="0" w:line="292" w:lineRule="auto"/>
        <w:jc w:val="both"/>
        <w:sectPr>
          <w:headerReference w:type="even" r:id="rId129"/>
          <w:pgSz w:w="8640" w:h="12960"/>
          <w:pgMar w:header="0" w:footer="0" w:top="1220" w:bottom="280" w:left="340" w:right="500"/>
        </w:sectPr>
      </w:pPr>
    </w:p>
    <w:p>
      <w:pPr>
        <w:pStyle w:val="BodyText"/>
        <w:spacing w:before="8"/>
        <w:rPr>
          <w:sz w:val="17"/>
        </w:rPr>
      </w:pPr>
    </w:p>
    <w:p>
      <w:pPr>
        <w:pStyle w:val="Heading6"/>
        <w:spacing w:before="99"/>
        <w:rPr>
          <w:i/>
        </w:rPr>
      </w:pPr>
      <w:r>
        <w:rPr>
          <w:i/>
          <w:color w:val="231F20"/>
          <w:w w:val="115"/>
        </w:rPr>
        <w:t>THE</w:t>
      </w:r>
      <w:r>
        <w:rPr>
          <w:i/>
          <w:color w:val="231F20"/>
          <w:spacing w:val="34"/>
          <w:w w:val="115"/>
        </w:rPr>
        <w:t> </w:t>
      </w:r>
      <w:r>
        <w:rPr>
          <w:i/>
          <w:color w:val="231F20"/>
          <w:spacing w:val="8"/>
          <w:w w:val="115"/>
        </w:rPr>
        <w:t>INTERNET</w:t>
      </w:r>
    </w:p>
    <w:p>
      <w:pPr>
        <w:pStyle w:val="BodyText"/>
        <w:spacing w:before="2"/>
        <w:rPr>
          <w:b/>
          <w:i/>
          <w:sz w:val="30"/>
        </w:rPr>
      </w:pPr>
    </w:p>
    <w:p>
      <w:pPr>
        <w:pStyle w:val="BodyText"/>
        <w:spacing w:line="292" w:lineRule="auto"/>
        <w:ind w:left="920" w:right="665"/>
        <w:jc w:val="both"/>
      </w:pPr>
      <w:r>
        <w:rPr>
          <w:color w:val="231F20"/>
        </w:rPr>
        <w:t>What used to be available only at a university library is now avail- able to anyone who can access the Internet. The sheer volume of product, business, and industry information that can be tapped is enormous. Searching the Internet does require patience because it </w:t>
      </w:r>
      <w:r>
        <w:rPr>
          <w:color w:val="231F20"/>
        </w:rPr>
        <w:t>is not neatly organized to answer your questions, and the speed of the Internet still has a long way to go. You should visit several sites to perform a good search. Here are several:</w:t>
      </w:r>
    </w:p>
    <w:p>
      <w:pPr>
        <w:pStyle w:val="BodyText"/>
        <w:spacing w:before="2"/>
        <w:rPr>
          <w:sz w:val="27"/>
        </w:rPr>
      </w:pPr>
    </w:p>
    <w:p>
      <w:pPr>
        <w:spacing w:line="328" w:lineRule="auto" w:before="0"/>
        <w:ind w:left="1260" w:right="4860" w:firstLine="0"/>
        <w:jc w:val="left"/>
        <w:rPr>
          <w:rFonts w:ascii="Arial"/>
          <w:sz w:val="19"/>
        </w:rPr>
      </w:pPr>
      <w:r>
        <w:rPr>
          <w:rFonts w:ascii="Arial"/>
          <w:color w:val="231F20"/>
          <w:spacing w:val="-2"/>
          <w:w w:val="110"/>
          <w:sz w:val="19"/>
        </w:rPr>
        <w:t>Google.com Yahoo.com MSN.com AlltheWeb.com Altavista.com Dogpile.com Clusty.com A9.com</w:t>
      </w:r>
    </w:p>
    <w:p>
      <w:pPr>
        <w:pStyle w:val="BodyText"/>
        <w:spacing w:before="8"/>
        <w:rPr>
          <w:rFonts w:ascii="Arial"/>
          <w:sz w:val="24"/>
        </w:rPr>
      </w:pPr>
    </w:p>
    <w:p>
      <w:pPr>
        <w:pStyle w:val="BodyText"/>
        <w:spacing w:line="292" w:lineRule="auto"/>
        <w:ind w:left="920" w:right="665"/>
        <w:jc w:val="both"/>
      </w:pPr>
      <w:r>
        <w:rPr>
          <w:color w:val="231F20"/>
        </w:rPr>
        <w:t>When you log on to each of these sites, review the directions for searches so that you can keep searches with a thousand responses </w:t>
      </w:r>
      <w:r>
        <w:rPr>
          <w:color w:val="231F20"/>
        </w:rPr>
        <w:t>to a minimum. By limiting your search terms with the correct syntax, you will save a great deal of time.</w:t>
      </w:r>
    </w:p>
    <w:p>
      <w:pPr>
        <w:pStyle w:val="BodyText"/>
        <w:spacing w:line="292" w:lineRule="auto"/>
        <w:ind w:left="919" w:right="663" w:firstLine="340"/>
        <w:jc w:val="both"/>
      </w:pPr>
      <w:r>
        <w:rPr>
          <w:color w:val="231F20"/>
        </w:rPr>
        <w:t>The other avenue for gathering information electronically is special-interest-group forums on commercial online services or on </w:t>
      </w:r>
      <w:r>
        <w:rPr>
          <w:i/>
          <w:color w:val="231F20"/>
        </w:rPr>
        <w:t>Usenet newsgroups. </w:t>
      </w:r>
      <w:r>
        <w:rPr>
          <w:color w:val="231F20"/>
        </w:rPr>
        <w:t>There, you can easily ask questions of others</w:t>
      </w:r>
      <w:r>
        <w:rPr>
          <w:color w:val="231F20"/>
          <w:spacing w:val="80"/>
        </w:rPr>
        <w:t> </w:t>
      </w:r>
      <w:r>
        <w:rPr>
          <w:color w:val="231F20"/>
        </w:rPr>
        <w:t>who are interested in the subject you are researching, or you can</w:t>
      </w:r>
      <w:r>
        <w:rPr>
          <w:color w:val="231F20"/>
          <w:spacing w:val="40"/>
        </w:rPr>
        <w:t> </w:t>
      </w:r>
      <w:r>
        <w:rPr>
          <w:color w:val="231F20"/>
        </w:rPr>
        <w:t>read messages members have posted. Amazon has a “search inside this book” feature that is helpful and free.</w:t>
      </w:r>
    </w:p>
    <w:p>
      <w:pPr>
        <w:pStyle w:val="BodyText"/>
        <w:spacing w:line="292" w:lineRule="auto"/>
        <w:ind w:left="919" w:right="663" w:firstLine="340"/>
        <w:jc w:val="both"/>
      </w:pPr>
      <w:r>
        <w:rPr>
          <w:color w:val="231F20"/>
        </w:rPr>
        <w:t>A great affordable service for researching business subjects is Factiva.com.</w:t>
      </w:r>
      <w:r>
        <w:rPr>
          <w:color w:val="231F20"/>
          <w:spacing w:val="40"/>
        </w:rPr>
        <w:t> </w:t>
      </w:r>
      <w:r>
        <w:rPr>
          <w:color w:val="231F20"/>
        </w:rPr>
        <w:t>The</w:t>
      </w:r>
      <w:r>
        <w:rPr>
          <w:color w:val="231F20"/>
          <w:spacing w:val="40"/>
        </w:rPr>
        <w:t> </w:t>
      </w:r>
      <w:r>
        <w:rPr>
          <w:color w:val="231F20"/>
        </w:rPr>
        <w:t>database</w:t>
      </w:r>
      <w:r>
        <w:rPr>
          <w:color w:val="231F20"/>
          <w:spacing w:val="40"/>
        </w:rPr>
        <w:t> </w:t>
      </w:r>
      <w:r>
        <w:rPr>
          <w:color w:val="231F20"/>
        </w:rPr>
        <w:t>includes</w:t>
      </w:r>
      <w:r>
        <w:rPr>
          <w:color w:val="231F20"/>
          <w:spacing w:val="40"/>
        </w:rPr>
        <w:t> </w:t>
      </w:r>
      <w:r>
        <w:rPr>
          <w:color w:val="231F20"/>
        </w:rPr>
        <w:t>over</w:t>
      </w:r>
      <w:r>
        <w:rPr>
          <w:color w:val="231F20"/>
          <w:spacing w:val="40"/>
        </w:rPr>
        <w:t> </w:t>
      </w:r>
      <w:r>
        <w:rPr>
          <w:color w:val="231F20"/>
        </w:rPr>
        <w:t>nine</w:t>
      </w:r>
      <w:r>
        <w:rPr>
          <w:color w:val="231F20"/>
          <w:spacing w:val="40"/>
        </w:rPr>
        <w:t> </w:t>
      </w:r>
      <w:r>
        <w:rPr>
          <w:color w:val="231F20"/>
        </w:rPr>
        <w:t>thousand</w:t>
      </w:r>
      <w:r>
        <w:rPr>
          <w:color w:val="231F20"/>
          <w:spacing w:val="40"/>
        </w:rPr>
        <w:t> </w:t>
      </w:r>
      <w:r>
        <w:rPr>
          <w:color w:val="231F20"/>
        </w:rPr>
        <w:t>sources from the Dow Jones and Reuters databases that are mostly not available on the free Web. You can also track particular subjects </w:t>
      </w:r>
      <w:r>
        <w:rPr>
          <w:color w:val="231F20"/>
        </w:rPr>
        <w:t>and get a daily update of all the articles written about your intended </w:t>
      </w:r>
      <w:r>
        <w:rPr>
          <w:color w:val="231F20"/>
          <w:spacing w:val="-2"/>
        </w:rPr>
        <w:t>subject.</w:t>
      </w:r>
    </w:p>
    <w:p>
      <w:pPr>
        <w:pStyle w:val="BodyText"/>
        <w:spacing w:line="244" w:lineRule="exact"/>
        <w:ind w:left="1259"/>
        <w:jc w:val="both"/>
      </w:pPr>
      <w:r>
        <w:rPr>
          <w:color w:val="231F20"/>
        </w:rPr>
        <w:t>You</w:t>
      </w:r>
      <w:r>
        <w:rPr>
          <w:color w:val="231F20"/>
          <w:spacing w:val="39"/>
        </w:rPr>
        <w:t> </w:t>
      </w:r>
      <w:r>
        <w:rPr>
          <w:color w:val="231F20"/>
        </w:rPr>
        <w:t>can</w:t>
      </w:r>
      <w:r>
        <w:rPr>
          <w:color w:val="231F20"/>
          <w:spacing w:val="39"/>
        </w:rPr>
        <w:t> </w:t>
      </w:r>
      <w:r>
        <w:rPr>
          <w:color w:val="231F20"/>
        </w:rPr>
        <w:t>search</w:t>
      </w:r>
      <w:r>
        <w:rPr>
          <w:color w:val="231F20"/>
          <w:spacing w:val="39"/>
        </w:rPr>
        <w:t> </w:t>
      </w:r>
      <w:r>
        <w:rPr>
          <w:color w:val="231F20"/>
        </w:rPr>
        <w:t>existing</w:t>
      </w:r>
      <w:r>
        <w:rPr>
          <w:color w:val="231F20"/>
          <w:spacing w:val="39"/>
        </w:rPr>
        <w:t> </w:t>
      </w:r>
      <w:r>
        <w:rPr>
          <w:color w:val="231F20"/>
        </w:rPr>
        <w:t>copyrights</w:t>
      </w:r>
      <w:r>
        <w:rPr>
          <w:color w:val="231F20"/>
          <w:spacing w:val="39"/>
        </w:rPr>
        <w:t> </w:t>
      </w:r>
      <w:r>
        <w:rPr>
          <w:color w:val="231F20"/>
        </w:rPr>
        <w:t>and</w:t>
      </w:r>
      <w:r>
        <w:rPr>
          <w:color w:val="231F20"/>
          <w:spacing w:val="39"/>
        </w:rPr>
        <w:t> </w:t>
      </w:r>
      <w:r>
        <w:rPr>
          <w:color w:val="231F20"/>
        </w:rPr>
        <w:t>patents</w:t>
      </w:r>
      <w:r>
        <w:rPr>
          <w:color w:val="231F20"/>
          <w:spacing w:val="39"/>
        </w:rPr>
        <w:t> </w:t>
      </w:r>
      <w:r>
        <w:rPr>
          <w:color w:val="231F20"/>
        </w:rPr>
        <w:t>at</w:t>
      </w:r>
      <w:r>
        <w:rPr>
          <w:color w:val="231F20"/>
          <w:spacing w:val="39"/>
        </w:rPr>
        <w:t> </w:t>
      </w:r>
      <w:r>
        <w:rPr>
          <w:color w:val="231F20"/>
          <w:spacing w:val="-2"/>
        </w:rPr>
        <w:t>www.uspto</w:t>
      </w:r>
    </w:p>
    <w:p>
      <w:pPr>
        <w:spacing w:after="0" w:line="244" w:lineRule="exact"/>
        <w:jc w:val="both"/>
        <w:sectPr>
          <w:headerReference w:type="default" r:id="rId130"/>
          <w:headerReference w:type="even" r:id="rId131"/>
          <w:pgSz w:w="8640" w:h="12960"/>
          <w:pgMar w:header="734" w:footer="0" w:top="920" w:bottom="280" w:left="340" w:right="500"/>
          <w:pgNumType w:start="361"/>
        </w:sectPr>
      </w:pPr>
    </w:p>
    <w:p>
      <w:pPr>
        <w:pStyle w:val="BodyText"/>
        <w:spacing w:before="10"/>
        <w:rPr>
          <w:sz w:val="17"/>
        </w:rPr>
      </w:pPr>
    </w:p>
    <w:p>
      <w:pPr>
        <w:pStyle w:val="BodyText"/>
        <w:spacing w:line="292" w:lineRule="auto" w:before="102"/>
        <w:ind w:left="830" w:right="827"/>
      </w:pPr>
      <w:r>
        <w:rPr>
          <w:color w:val="231F20"/>
        </w:rPr>
        <w:t>.gov. It is a great source of competitive information and can aid </w:t>
      </w:r>
      <w:r>
        <w:rPr>
          <w:color w:val="231F20"/>
        </w:rPr>
        <w:t>you</w:t>
      </w:r>
      <w:r>
        <w:rPr>
          <w:color w:val="231F20"/>
          <w:spacing w:val="80"/>
        </w:rPr>
        <w:t> </w:t>
      </w:r>
      <w:r>
        <w:rPr>
          <w:color w:val="231F20"/>
        </w:rPr>
        <w:t>in your product-naming and development activities.</w:t>
      </w:r>
    </w:p>
    <w:p>
      <w:pPr>
        <w:pStyle w:val="BodyText"/>
        <w:rPr>
          <w:sz w:val="24"/>
        </w:rPr>
      </w:pPr>
    </w:p>
    <w:p>
      <w:pPr>
        <w:pStyle w:val="BodyText"/>
        <w:spacing w:before="1"/>
        <w:rPr>
          <w:sz w:val="27"/>
        </w:rPr>
      </w:pPr>
    </w:p>
    <w:p>
      <w:pPr>
        <w:pStyle w:val="Heading6"/>
        <w:ind w:left="299"/>
        <w:rPr>
          <w:i/>
        </w:rPr>
      </w:pPr>
      <w:r>
        <w:rPr>
          <w:i/>
          <w:color w:val="231F20"/>
          <w:spacing w:val="8"/>
          <w:w w:val="110"/>
        </w:rPr>
        <w:t>BOOKS</w:t>
      </w:r>
    </w:p>
    <w:p>
      <w:pPr>
        <w:pStyle w:val="BodyText"/>
        <w:rPr>
          <w:b/>
          <w:i/>
          <w:sz w:val="32"/>
        </w:rPr>
      </w:pPr>
    </w:p>
    <w:p>
      <w:pPr>
        <w:spacing w:line="328" w:lineRule="auto" w:before="0"/>
        <w:ind w:left="1509" w:right="1129" w:hanging="340"/>
        <w:jc w:val="both"/>
        <w:rPr>
          <w:rFonts w:ascii="Arial" w:hAnsi="Arial"/>
          <w:sz w:val="19"/>
        </w:rPr>
      </w:pPr>
      <w:r>
        <w:rPr>
          <w:rFonts w:ascii="Arial" w:hAnsi="Arial"/>
          <w:i/>
          <w:color w:val="231F20"/>
          <w:w w:val="110"/>
          <w:sz w:val="19"/>
        </w:rPr>
        <w:t>Standard</w:t>
      </w:r>
      <w:r>
        <w:rPr>
          <w:rFonts w:ascii="Arial" w:hAnsi="Arial"/>
          <w:i/>
          <w:color w:val="231F20"/>
          <w:spacing w:val="-15"/>
          <w:w w:val="110"/>
          <w:sz w:val="19"/>
        </w:rPr>
        <w:t> </w:t>
      </w:r>
      <w:r>
        <w:rPr>
          <w:rFonts w:ascii="Arial" w:hAnsi="Arial"/>
          <w:i/>
          <w:color w:val="231F20"/>
          <w:w w:val="110"/>
          <w:sz w:val="19"/>
        </w:rPr>
        <w:t>&amp;</w:t>
      </w:r>
      <w:r>
        <w:rPr>
          <w:rFonts w:ascii="Arial" w:hAnsi="Arial"/>
          <w:i/>
          <w:color w:val="231F20"/>
          <w:spacing w:val="-4"/>
          <w:w w:val="110"/>
          <w:sz w:val="19"/>
        </w:rPr>
        <w:t> </w:t>
      </w:r>
      <w:r>
        <w:rPr>
          <w:rFonts w:ascii="Arial" w:hAnsi="Arial"/>
          <w:i/>
          <w:color w:val="231F20"/>
          <w:w w:val="110"/>
          <w:sz w:val="19"/>
        </w:rPr>
        <w:t>Poor’s Industry Surveys</w:t>
      </w:r>
      <w:r>
        <w:rPr>
          <w:rFonts w:ascii="Arial" w:hAnsi="Arial"/>
          <w:i/>
          <w:color w:val="231F20"/>
          <w:spacing w:val="-15"/>
          <w:w w:val="110"/>
          <w:sz w:val="19"/>
        </w:rPr>
        <w:t> </w:t>
      </w:r>
      <w:r>
        <w:rPr>
          <w:rFonts w:ascii="Arial" w:hAnsi="Arial"/>
          <w:color w:val="231F20"/>
          <w:w w:val="110"/>
          <w:sz w:val="19"/>
        </w:rPr>
        <w:t>—This multivolume set provides excellent, timely, in-depth research of twenty major industries.</w:t>
      </w:r>
    </w:p>
    <w:p>
      <w:pPr>
        <w:spacing w:line="328" w:lineRule="auto" w:before="2"/>
        <w:ind w:left="1509" w:right="849" w:hanging="340"/>
        <w:jc w:val="left"/>
        <w:rPr>
          <w:rFonts w:ascii="Arial" w:hAnsi="Arial"/>
          <w:sz w:val="19"/>
        </w:rPr>
      </w:pPr>
      <w:r>
        <w:rPr>
          <w:rFonts w:ascii="Arial" w:hAnsi="Arial"/>
          <w:i/>
          <w:color w:val="231F20"/>
          <w:w w:val="115"/>
          <w:sz w:val="19"/>
        </w:rPr>
        <w:t>Value</w:t>
      </w:r>
      <w:r>
        <w:rPr>
          <w:rFonts w:ascii="Arial" w:hAnsi="Arial"/>
          <w:i/>
          <w:color w:val="231F20"/>
          <w:spacing w:val="-16"/>
          <w:w w:val="115"/>
          <w:sz w:val="19"/>
        </w:rPr>
        <w:t> </w:t>
      </w:r>
      <w:r>
        <w:rPr>
          <w:rFonts w:ascii="Arial" w:hAnsi="Arial"/>
          <w:i/>
          <w:color w:val="231F20"/>
          <w:w w:val="115"/>
          <w:sz w:val="19"/>
        </w:rPr>
        <w:t>Line</w:t>
      </w:r>
      <w:r>
        <w:rPr>
          <w:rFonts w:ascii="Arial" w:hAnsi="Arial"/>
          <w:i/>
          <w:color w:val="231F20"/>
          <w:spacing w:val="-15"/>
          <w:w w:val="115"/>
          <w:sz w:val="19"/>
        </w:rPr>
        <w:t> </w:t>
      </w:r>
      <w:r>
        <w:rPr>
          <w:rFonts w:ascii="Arial" w:hAnsi="Arial"/>
          <w:i/>
          <w:color w:val="231F20"/>
          <w:w w:val="115"/>
          <w:sz w:val="19"/>
        </w:rPr>
        <w:t>Investment</w:t>
      </w:r>
      <w:r>
        <w:rPr>
          <w:rFonts w:ascii="Arial" w:hAnsi="Arial"/>
          <w:i/>
          <w:color w:val="231F20"/>
          <w:spacing w:val="-15"/>
          <w:w w:val="115"/>
          <w:sz w:val="19"/>
        </w:rPr>
        <w:t> </w:t>
      </w:r>
      <w:r>
        <w:rPr>
          <w:rFonts w:ascii="Arial" w:hAnsi="Arial"/>
          <w:i/>
          <w:color w:val="231F20"/>
          <w:w w:val="115"/>
          <w:sz w:val="19"/>
        </w:rPr>
        <w:t>Surveys</w:t>
      </w:r>
      <w:r>
        <w:rPr>
          <w:rFonts w:ascii="Arial" w:hAnsi="Arial"/>
          <w:i/>
          <w:color w:val="231F20"/>
          <w:spacing w:val="-43"/>
          <w:w w:val="115"/>
          <w:sz w:val="19"/>
        </w:rPr>
        <w:t> </w:t>
      </w:r>
      <w:r>
        <w:rPr>
          <w:rFonts w:ascii="Arial" w:hAnsi="Arial"/>
          <w:color w:val="231F20"/>
          <w:w w:val="115"/>
          <w:sz w:val="19"/>
        </w:rPr>
        <w:t>—This</w:t>
      </w:r>
      <w:r>
        <w:rPr>
          <w:rFonts w:ascii="Arial" w:hAnsi="Arial"/>
          <w:color w:val="231F20"/>
          <w:spacing w:val="-15"/>
          <w:w w:val="115"/>
          <w:sz w:val="19"/>
        </w:rPr>
        <w:t> </w:t>
      </w:r>
      <w:r>
        <w:rPr>
          <w:rFonts w:ascii="Arial" w:hAnsi="Arial"/>
          <w:color w:val="231F20"/>
          <w:w w:val="115"/>
          <w:sz w:val="19"/>
        </w:rPr>
        <w:t>source</w:t>
      </w:r>
      <w:r>
        <w:rPr>
          <w:rFonts w:ascii="Arial" w:hAnsi="Arial"/>
          <w:color w:val="231F20"/>
          <w:spacing w:val="-15"/>
          <w:w w:val="115"/>
          <w:sz w:val="19"/>
        </w:rPr>
        <w:t> </w:t>
      </w:r>
      <w:r>
        <w:rPr>
          <w:rFonts w:ascii="Arial" w:hAnsi="Arial"/>
          <w:color w:val="231F20"/>
          <w:w w:val="115"/>
          <w:sz w:val="19"/>
        </w:rPr>
        <w:t>provides detailed,</w:t>
      </w:r>
      <w:r>
        <w:rPr>
          <w:rFonts w:ascii="Arial" w:hAnsi="Arial"/>
          <w:color w:val="231F20"/>
          <w:spacing w:val="-9"/>
          <w:w w:val="115"/>
          <w:sz w:val="19"/>
        </w:rPr>
        <w:t> </w:t>
      </w:r>
      <w:r>
        <w:rPr>
          <w:rFonts w:ascii="Arial" w:hAnsi="Arial"/>
          <w:color w:val="231F20"/>
          <w:w w:val="115"/>
          <w:sz w:val="19"/>
        </w:rPr>
        <w:t>up-to-date</w:t>
      </w:r>
      <w:r>
        <w:rPr>
          <w:rFonts w:ascii="Arial" w:hAnsi="Arial"/>
          <w:color w:val="231F20"/>
          <w:spacing w:val="-9"/>
          <w:w w:val="115"/>
          <w:sz w:val="19"/>
        </w:rPr>
        <w:t> </w:t>
      </w:r>
      <w:r>
        <w:rPr>
          <w:rFonts w:ascii="Arial" w:hAnsi="Arial"/>
          <w:color w:val="231F20"/>
          <w:w w:val="115"/>
          <w:sz w:val="19"/>
        </w:rPr>
        <w:t>company</w:t>
      </w:r>
      <w:r>
        <w:rPr>
          <w:rFonts w:ascii="Arial" w:hAnsi="Arial"/>
          <w:color w:val="231F20"/>
          <w:spacing w:val="-9"/>
          <w:w w:val="115"/>
          <w:sz w:val="19"/>
        </w:rPr>
        <w:t> </w:t>
      </w:r>
      <w:r>
        <w:rPr>
          <w:rFonts w:ascii="Arial" w:hAnsi="Arial"/>
          <w:color w:val="231F20"/>
          <w:w w:val="115"/>
          <w:sz w:val="19"/>
        </w:rPr>
        <w:t>information</w:t>
      </w:r>
      <w:r>
        <w:rPr>
          <w:rFonts w:ascii="Arial" w:hAnsi="Arial"/>
          <w:color w:val="231F20"/>
          <w:spacing w:val="-9"/>
          <w:w w:val="115"/>
          <w:sz w:val="19"/>
        </w:rPr>
        <w:t> </w:t>
      </w:r>
      <w:r>
        <w:rPr>
          <w:rFonts w:ascii="Arial" w:hAnsi="Arial"/>
          <w:color w:val="231F20"/>
          <w:w w:val="115"/>
          <w:sz w:val="19"/>
        </w:rPr>
        <w:t>for</w:t>
      </w:r>
      <w:r>
        <w:rPr>
          <w:rFonts w:ascii="Arial" w:hAnsi="Arial"/>
          <w:color w:val="231F20"/>
          <w:spacing w:val="-9"/>
          <w:w w:val="115"/>
          <w:sz w:val="19"/>
        </w:rPr>
        <w:t> </w:t>
      </w:r>
      <w:r>
        <w:rPr>
          <w:rFonts w:ascii="Arial" w:hAnsi="Arial"/>
          <w:color w:val="231F20"/>
          <w:w w:val="115"/>
          <w:sz w:val="19"/>
        </w:rPr>
        <w:t>investors</w:t>
      </w:r>
      <w:r>
        <w:rPr>
          <w:rFonts w:ascii="Arial" w:hAnsi="Arial"/>
          <w:color w:val="231F20"/>
          <w:spacing w:val="-9"/>
          <w:w w:val="115"/>
          <w:sz w:val="19"/>
        </w:rPr>
        <w:t> </w:t>
      </w:r>
      <w:r>
        <w:rPr>
          <w:rFonts w:ascii="Arial" w:hAnsi="Arial"/>
          <w:color w:val="231F20"/>
          <w:w w:val="115"/>
          <w:sz w:val="19"/>
        </w:rPr>
        <w:t>in seventy-six industries.</w:t>
      </w:r>
    </w:p>
    <w:p>
      <w:pPr>
        <w:spacing w:line="328" w:lineRule="auto" w:before="2"/>
        <w:ind w:left="1509" w:right="1262" w:hanging="340"/>
        <w:jc w:val="left"/>
        <w:rPr>
          <w:rFonts w:ascii="Arial" w:hAnsi="Arial"/>
          <w:sz w:val="19"/>
        </w:rPr>
      </w:pPr>
      <w:r>
        <w:rPr>
          <w:rFonts w:ascii="Arial" w:hAnsi="Arial"/>
          <w:color w:val="231F20"/>
          <w:w w:val="110"/>
          <w:sz w:val="19"/>
        </w:rPr>
        <w:t>Plunkett’s Industry Almanacs—This multivolume </w:t>
      </w:r>
      <w:r>
        <w:rPr>
          <w:rFonts w:ascii="Arial" w:hAnsi="Arial"/>
          <w:color w:val="231F20"/>
          <w:w w:val="110"/>
          <w:sz w:val="19"/>
        </w:rPr>
        <w:t>set </w:t>
      </w:r>
      <w:r>
        <w:rPr>
          <w:rFonts w:ascii="Arial" w:hAnsi="Arial"/>
          <w:color w:val="231F20"/>
          <w:w w:val="115"/>
          <w:sz w:val="19"/>
        </w:rPr>
        <w:t>describes industries and companies </w:t>
      </w:r>
      <w:r>
        <w:rPr>
          <w:rFonts w:ascii="Arial" w:hAnsi="Arial"/>
          <w:color w:val="231F20"/>
          <w:spacing w:val="-2"/>
          <w:w w:val="115"/>
          <w:sz w:val="19"/>
        </w:rPr>
        <w:t>(www.plunketresearch.com)</w:t>
      </w:r>
    </w:p>
    <w:p>
      <w:pPr>
        <w:spacing w:line="328" w:lineRule="auto" w:before="2"/>
        <w:ind w:left="1509" w:right="728" w:hanging="340"/>
        <w:jc w:val="left"/>
        <w:rPr>
          <w:rFonts w:ascii="Arial" w:hAnsi="Arial"/>
          <w:sz w:val="19"/>
        </w:rPr>
      </w:pPr>
      <w:r>
        <w:rPr>
          <w:rFonts w:ascii="Arial" w:hAnsi="Arial"/>
          <w:i/>
          <w:color w:val="231F20"/>
          <w:w w:val="115"/>
          <w:sz w:val="19"/>
        </w:rPr>
        <w:t>U.S. Industrial Outlook</w:t>
      </w:r>
      <w:r>
        <w:rPr>
          <w:rFonts w:ascii="Arial" w:hAnsi="Arial"/>
          <w:color w:val="231F20"/>
          <w:w w:val="115"/>
          <w:sz w:val="19"/>
        </w:rPr>
        <w:t>—This government publication provides</w:t>
      </w:r>
      <w:r>
        <w:rPr>
          <w:rFonts w:ascii="Arial" w:hAnsi="Arial"/>
          <w:color w:val="231F20"/>
          <w:spacing w:val="-16"/>
          <w:w w:val="115"/>
          <w:sz w:val="19"/>
        </w:rPr>
        <w:t> </w:t>
      </w:r>
      <w:r>
        <w:rPr>
          <w:rFonts w:ascii="Arial" w:hAnsi="Arial"/>
          <w:color w:val="231F20"/>
          <w:w w:val="115"/>
          <w:sz w:val="19"/>
        </w:rPr>
        <w:t>industry</w:t>
      </w:r>
      <w:r>
        <w:rPr>
          <w:rFonts w:ascii="Arial" w:hAnsi="Arial"/>
          <w:color w:val="231F20"/>
          <w:spacing w:val="-15"/>
          <w:w w:val="115"/>
          <w:sz w:val="19"/>
        </w:rPr>
        <w:t> </w:t>
      </w:r>
      <w:r>
        <w:rPr>
          <w:rFonts w:ascii="Arial" w:hAnsi="Arial"/>
          <w:color w:val="231F20"/>
          <w:w w:val="115"/>
          <w:sz w:val="19"/>
        </w:rPr>
        <w:t>profiles</w:t>
      </w:r>
      <w:r>
        <w:rPr>
          <w:rFonts w:ascii="Arial" w:hAnsi="Arial"/>
          <w:color w:val="231F20"/>
          <w:spacing w:val="-15"/>
          <w:w w:val="115"/>
          <w:sz w:val="19"/>
        </w:rPr>
        <w:t> </w:t>
      </w:r>
      <w:r>
        <w:rPr>
          <w:rFonts w:ascii="Arial" w:hAnsi="Arial"/>
          <w:color w:val="231F20"/>
          <w:w w:val="115"/>
          <w:sz w:val="19"/>
        </w:rPr>
        <w:t>and</w:t>
      </w:r>
      <w:r>
        <w:rPr>
          <w:rFonts w:ascii="Arial" w:hAnsi="Arial"/>
          <w:color w:val="231F20"/>
          <w:spacing w:val="-15"/>
          <w:w w:val="115"/>
          <w:sz w:val="19"/>
        </w:rPr>
        <w:t> </w:t>
      </w:r>
      <w:r>
        <w:rPr>
          <w:rFonts w:ascii="Arial" w:hAnsi="Arial"/>
          <w:color w:val="231F20"/>
          <w:w w:val="115"/>
          <w:sz w:val="19"/>
        </w:rPr>
        <w:t>forecasts</w:t>
      </w:r>
      <w:r>
        <w:rPr>
          <w:rFonts w:ascii="Arial" w:hAnsi="Arial"/>
          <w:color w:val="231F20"/>
          <w:spacing w:val="-15"/>
          <w:w w:val="115"/>
          <w:sz w:val="19"/>
        </w:rPr>
        <w:t> </w:t>
      </w:r>
      <w:r>
        <w:rPr>
          <w:rFonts w:ascii="Arial" w:hAnsi="Arial"/>
          <w:color w:val="231F20"/>
          <w:w w:val="115"/>
          <w:sz w:val="19"/>
        </w:rPr>
        <w:t>of</w:t>
      </w:r>
      <w:r>
        <w:rPr>
          <w:rFonts w:ascii="Arial" w:hAnsi="Arial"/>
          <w:color w:val="231F20"/>
          <w:spacing w:val="-16"/>
          <w:w w:val="115"/>
          <w:sz w:val="19"/>
        </w:rPr>
        <w:t> </w:t>
      </w:r>
      <w:r>
        <w:rPr>
          <w:rFonts w:ascii="Arial" w:hAnsi="Arial"/>
          <w:color w:val="231F20"/>
          <w:w w:val="115"/>
          <w:sz w:val="19"/>
        </w:rPr>
        <w:t>350</w:t>
      </w:r>
      <w:r>
        <w:rPr>
          <w:rFonts w:ascii="Arial" w:hAnsi="Arial"/>
          <w:color w:val="231F20"/>
          <w:spacing w:val="-15"/>
          <w:w w:val="115"/>
          <w:sz w:val="19"/>
        </w:rPr>
        <w:t> </w:t>
      </w:r>
      <w:r>
        <w:rPr>
          <w:rFonts w:ascii="Arial" w:hAnsi="Arial"/>
          <w:color w:val="231F20"/>
          <w:w w:val="115"/>
          <w:sz w:val="19"/>
        </w:rPr>
        <w:t>industries.</w:t>
      </w:r>
    </w:p>
    <w:p>
      <w:pPr>
        <w:spacing w:line="328" w:lineRule="auto" w:before="1"/>
        <w:ind w:left="1509" w:right="1045" w:hanging="340"/>
        <w:jc w:val="left"/>
        <w:rPr>
          <w:rFonts w:ascii="Arial" w:hAnsi="Arial"/>
          <w:sz w:val="19"/>
        </w:rPr>
      </w:pPr>
      <w:r>
        <w:rPr>
          <w:rFonts w:ascii="Arial" w:hAnsi="Arial"/>
          <w:i/>
          <w:color w:val="231F20"/>
          <w:w w:val="110"/>
          <w:sz w:val="19"/>
        </w:rPr>
        <w:t>Gale</w:t>
      </w:r>
      <w:r>
        <w:rPr>
          <w:rFonts w:ascii="Arial" w:hAnsi="Arial"/>
          <w:i/>
          <w:color w:val="231F20"/>
          <w:spacing w:val="-15"/>
          <w:w w:val="110"/>
          <w:sz w:val="19"/>
        </w:rPr>
        <w:t> </w:t>
      </w:r>
      <w:r>
        <w:rPr>
          <w:rFonts w:ascii="Arial" w:hAnsi="Arial"/>
          <w:i/>
          <w:color w:val="231F20"/>
          <w:w w:val="110"/>
          <w:sz w:val="19"/>
        </w:rPr>
        <w:t>Research</w:t>
      </w:r>
      <w:r>
        <w:rPr>
          <w:rFonts w:ascii="Arial" w:hAnsi="Arial"/>
          <w:i/>
          <w:color w:val="231F20"/>
          <w:spacing w:val="-39"/>
          <w:w w:val="110"/>
          <w:sz w:val="19"/>
        </w:rPr>
        <w:t> </w:t>
      </w:r>
      <w:r>
        <w:rPr>
          <w:rFonts w:ascii="Arial" w:hAnsi="Arial"/>
          <w:color w:val="231F20"/>
          <w:w w:val="110"/>
          <w:sz w:val="19"/>
        </w:rPr>
        <w:t>—</w:t>
      </w:r>
      <w:r>
        <w:rPr>
          <w:rFonts w:ascii="Arial" w:hAnsi="Arial"/>
          <w:color w:val="231F20"/>
          <w:spacing w:val="-40"/>
          <w:w w:val="110"/>
          <w:sz w:val="19"/>
        </w:rPr>
        <w:t> </w:t>
      </w:r>
      <w:r>
        <w:rPr>
          <w:rFonts w:ascii="Arial" w:hAnsi="Arial"/>
          <w:color w:val="231F20"/>
          <w:w w:val="110"/>
          <w:sz w:val="19"/>
        </w:rPr>
        <w:t>Gale</w:t>
      </w:r>
      <w:r>
        <w:rPr>
          <w:rFonts w:ascii="Arial" w:hAnsi="Arial"/>
          <w:color w:val="231F20"/>
          <w:spacing w:val="-14"/>
          <w:w w:val="110"/>
          <w:sz w:val="19"/>
        </w:rPr>
        <w:t> </w:t>
      </w:r>
      <w:r>
        <w:rPr>
          <w:rFonts w:ascii="Arial" w:hAnsi="Arial"/>
          <w:color w:val="231F20"/>
          <w:w w:val="110"/>
          <w:sz w:val="19"/>
        </w:rPr>
        <w:t>Research</w:t>
      </w:r>
      <w:r>
        <w:rPr>
          <w:rFonts w:ascii="Arial" w:hAnsi="Arial"/>
          <w:color w:val="231F20"/>
          <w:spacing w:val="-15"/>
          <w:w w:val="110"/>
          <w:sz w:val="19"/>
        </w:rPr>
        <w:t> </w:t>
      </w:r>
      <w:r>
        <w:rPr>
          <w:rFonts w:ascii="Arial" w:hAnsi="Arial"/>
          <w:color w:val="231F20"/>
          <w:w w:val="110"/>
          <w:sz w:val="19"/>
        </w:rPr>
        <w:t>publishes</w:t>
      </w:r>
      <w:r>
        <w:rPr>
          <w:rFonts w:ascii="Arial" w:hAnsi="Arial"/>
          <w:color w:val="231F20"/>
          <w:spacing w:val="-14"/>
          <w:w w:val="110"/>
          <w:sz w:val="19"/>
        </w:rPr>
        <w:t> </w:t>
      </w:r>
      <w:r>
        <w:rPr>
          <w:rFonts w:ascii="Arial" w:hAnsi="Arial"/>
          <w:color w:val="231F20"/>
          <w:w w:val="110"/>
          <w:sz w:val="19"/>
        </w:rPr>
        <w:t>a</w:t>
      </w:r>
      <w:r>
        <w:rPr>
          <w:rFonts w:ascii="Arial" w:hAnsi="Arial"/>
          <w:color w:val="231F20"/>
          <w:spacing w:val="-15"/>
          <w:w w:val="110"/>
          <w:sz w:val="19"/>
        </w:rPr>
        <w:t> </w:t>
      </w:r>
      <w:r>
        <w:rPr>
          <w:rFonts w:ascii="Arial" w:hAnsi="Arial"/>
          <w:color w:val="231F20"/>
          <w:w w:val="110"/>
          <w:sz w:val="19"/>
        </w:rPr>
        <w:t>series</w:t>
      </w:r>
      <w:r>
        <w:rPr>
          <w:rFonts w:ascii="Arial" w:hAnsi="Arial"/>
          <w:color w:val="231F20"/>
          <w:spacing w:val="-14"/>
          <w:w w:val="110"/>
          <w:sz w:val="19"/>
        </w:rPr>
        <w:t> </w:t>
      </w:r>
      <w:r>
        <w:rPr>
          <w:rFonts w:ascii="Arial" w:hAnsi="Arial"/>
          <w:color w:val="231F20"/>
          <w:w w:val="110"/>
          <w:sz w:val="19"/>
        </w:rPr>
        <w:t>of</w:t>
      </w:r>
      <w:r>
        <w:rPr>
          <w:rFonts w:ascii="Arial" w:hAnsi="Arial"/>
          <w:color w:val="231F20"/>
          <w:spacing w:val="-15"/>
          <w:w w:val="110"/>
          <w:sz w:val="19"/>
        </w:rPr>
        <w:t> </w:t>
      </w:r>
      <w:r>
        <w:rPr>
          <w:rFonts w:ascii="Arial" w:hAnsi="Arial"/>
          <w:color w:val="231F20"/>
          <w:w w:val="110"/>
          <w:sz w:val="19"/>
        </w:rPr>
        <w:t>books that</w:t>
      </w:r>
      <w:r>
        <w:rPr>
          <w:rFonts w:ascii="Arial" w:hAnsi="Arial"/>
          <w:color w:val="231F20"/>
          <w:spacing w:val="8"/>
          <w:w w:val="110"/>
          <w:sz w:val="19"/>
        </w:rPr>
        <w:t> </w:t>
      </w:r>
      <w:r>
        <w:rPr>
          <w:rFonts w:ascii="Arial" w:hAnsi="Arial"/>
          <w:color w:val="231F20"/>
          <w:w w:val="110"/>
          <w:sz w:val="19"/>
        </w:rPr>
        <w:t>are</w:t>
      </w:r>
      <w:r>
        <w:rPr>
          <w:rFonts w:ascii="Arial" w:hAnsi="Arial"/>
          <w:color w:val="231F20"/>
          <w:spacing w:val="9"/>
          <w:w w:val="110"/>
          <w:sz w:val="19"/>
        </w:rPr>
        <w:t> </w:t>
      </w:r>
      <w:r>
        <w:rPr>
          <w:rFonts w:ascii="Arial" w:hAnsi="Arial"/>
          <w:color w:val="231F20"/>
          <w:w w:val="110"/>
          <w:sz w:val="19"/>
        </w:rPr>
        <w:t>the</w:t>
      </w:r>
      <w:r>
        <w:rPr>
          <w:rFonts w:ascii="Arial" w:hAnsi="Arial"/>
          <w:color w:val="231F20"/>
          <w:spacing w:val="8"/>
          <w:w w:val="110"/>
          <w:sz w:val="19"/>
        </w:rPr>
        <w:t> </w:t>
      </w:r>
      <w:r>
        <w:rPr>
          <w:rFonts w:ascii="Arial" w:hAnsi="Arial"/>
          <w:color w:val="231F20"/>
          <w:w w:val="110"/>
          <w:sz w:val="19"/>
        </w:rPr>
        <w:t>cornerstones</w:t>
      </w:r>
      <w:r>
        <w:rPr>
          <w:rFonts w:ascii="Arial" w:hAnsi="Arial"/>
          <w:color w:val="231F20"/>
          <w:spacing w:val="9"/>
          <w:w w:val="110"/>
          <w:sz w:val="19"/>
        </w:rPr>
        <w:t> </w:t>
      </w:r>
      <w:r>
        <w:rPr>
          <w:rFonts w:ascii="Arial" w:hAnsi="Arial"/>
          <w:color w:val="231F20"/>
          <w:w w:val="110"/>
          <w:sz w:val="19"/>
        </w:rPr>
        <w:t>of</w:t>
      </w:r>
      <w:r>
        <w:rPr>
          <w:rFonts w:ascii="Arial" w:hAnsi="Arial"/>
          <w:color w:val="231F20"/>
          <w:spacing w:val="9"/>
          <w:w w:val="110"/>
          <w:sz w:val="19"/>
        </w:rPr>
        <w:t> </w:t>
      </w:r>
      <w:r>
        <w:rPr>
          <w:rFonts w:ascii="Arial" w:hAnsi="Arial"/>
          <w:color w:val="231F20"/>
          <w:w w:val="110"/>
          <w:sz w:val="19"/>
        </w:rPr>
        <w:t>all</w:t>
      </w:r>
      <w:r>
        <w:rPr>
          <w:rFonts w:ascii="Arial" w:hAnsi="Arial"/>
          <w:color w:val="231F20"/>
          <w:spacing w:val="8"/>
          <w:w w:val="110"/>
          <w:sz w:val="19"/>
        </w:rPr>
        <w:t> </w:t>
      </w:r>
      <w:r>
        <w:rPr>
          <w:rFonts w:ascii="Arial" w:hAnsi="Arial"/>
          <w:color w:val="231F20"/>
          <w:w w:val="110"/>
          <w:sz w:val="19"/>
        </w:rPr>
        <w:t>good</w:t>
      </w:r>
      <w:r>
        <w:rPr>
          <w:rFonts w:ascii="Arial" w:hAnsi="Arial"/>
          <w:color w:val="231F20"/>
          <w:spacing w:val="9"/>
          <w:w w:val="110"/>
          <w:sz w:val="19"/>
        </w:rPr>
        <w:t> </w:t>
      </w:r>
      <w:r>
        <w:rPr>
          <w:rFonts w:ascii="Arial" w:hAnsi="Arial"/>
          <w:color w:val="231F20"/>
          <w:w w:val="110"/>
          <w:sz w:val="19"/>
        </w:rPr>
        <w:t>business</w:t>
      </w:r>
      <w:r>
        <w:rPr>
          <w:rFonts w:ascii="Arial" w:hAnsi="Arial"/>
          <w:color w:val="231F20"/>
          <w:spacing w:val="9"/>
          <w:w w:val="110"/>
          <w:sz w:val="19"/>
        </w:rPr>
        <w:t> </w:t>
      </w:r>
      <w:r>
        <w:rPr>
          <w:rFonts w:ascii="Arial" w:hAnsi="Arial"/>
          <w:color w:val="231F20"/>
          <w:spacing w:val="-2"/>
          <w:w w:val="110"/>
          <w:sz w:val="19"/>
        </w:rPr>
        <w:t>libraries:</w:t>
      </w:r>
    </w:p>
    <w:p>
      <w:pPr>
        <w:pStyle w:val="ListParagraph"/>
        <w:numPr>
          <w:ilvl w:val="0"/>
          <w:numId w:val="45"/>
        </w:numPr>
        <w:tabs>
          <w:tab w:pos="1355" w:val="left" w:leader="none"/>
        </w:tabs>
        <w:spacing w:line="328" w:lineRule="auto" w:before="2" w:after="0"/>
        <w:ind w:left="1354" w:right="758" w:hanging="186"/>
        <w:jc w:val="both"/>
        <w:rPr>
          <w:sz w:val="19"/>
        </w:rPr>
      </w:pPr>
      <w:r>
        <w:rPr>
          <w:i/>
          <w:color w:val="231F20"/>
          <w:w w:val="110"/>
          <w:sz w:val="19"/>
        </w:rPr>
        <w:t>Market Share Reporter</w:t>
      </w:r>
      <w:r>
        <w:rPr>
          <w:i/>
          <w:color w:val="231F20"/>
          <w:spacing w:val="-15"/>
          <w:w w:val="110"/>
          <w:sz w:val="19"/>
        </w:rPr>
        <w:t> </w:t>
      </w:r>
      <w:r>
        <w:rPr>
          <w:color w:val="231F20"/>
          <w:w w:val="110"/>
          <w:sz w:val="19"/>
        </w:rPr>
        <w:t>—This book presents market share data that appear in public sources. It’s a timesaver!</w:t>
      </w:r>
    </w:p>
    <w:p>
      <w:pPr>
        <w:pStyle w:val="ListParagraph"/>
        <w:numPr>
          <w:ilvl w:val="0"/>
          <w:numId w:val="45"/>
        </w:numPr>
        <w:tabs>
          <w:tab w:pos="1355" w:val="left" w:leader="none"/>
        </w:tabs>
        <w:spacing w:line="328" w:lineRule="auto" w:before="1" w:after="0"/>
        <w:ind w:left="1354" w:right="758" w:hanging="186"/>
        <w:jc w:val="both"/>
        <w:rPr>
          <w:sz w:val="19"/>
        </w:rPr>
      </w:pPr>
      <w:r>
        <w:rPr>
          <w:i/>
          <w:color w:val="231F20"/>
          <w:w w:val="110"/>
          <w:sz w:val="19"/>
        </w:rPr>
        <w:t>Business</w:t>
      </w:r>
      <w:r>
        <w:rPr>
          <w:i/>
          <w:color w:val="231F20"/>
          <w:spacing w:val="-15"/>
          <w:w w:val="110"/>
          <w:sz w:val="19"/>
        </w:rPr>
        <w:t> </w:t>
      </w:r>
      <w:r>
        <w:rPr>
          <w:i/>
          <w:color w:val="231F20"/>
          <w:w w:val="110"/>
          <w:sz w:val="19"/>
        </w:rPr>
        <w:t>Rankings Annual</w:t>
      </w:r>
      <w:r>
        <w:rPr>
          <w:i/>
          <w:color w:val="231F20"/>
          <w:spacing w:val="-15"/>
          <w:w w:val="110"/>
          <w:sz w:val="19"/>
        </w:rPr>
        <w:t> </w:t>
      </w:r>
      <w:r>
        <w:rPr>
          <w:color w:val="231F20"/>
          <w:w w:val="110"/>
          <w:sz w:val="19"/>
        </w:rPr>
        <w:t>—This book gives business rank- ing data that appear in public sources. It is a good industry </w:t>
      </w:r>
      <w:r>
        <w:rPr>
          <w:color w:val="231F20"/>
          <w:spacing w:val="-2"/>
          <w:w w:val="110"/>
          <w:sz w:val="19"/>
        </w:rPr>
        <w:t>source.</w:t>
      </w:r>
    </w:p>
    <w:p>
      <w:pPr>
        <w:pStyle w:val="ListParagraph"/>
        <w:numPr>
          <w:ilvl w:val="0"/>
          <w:numId w:val="45"/>
        </w:numPr>
        <w:tabs>
          <w:tab w:pos="1355" w:val="left" w:leader="none"/>
        </w:tabs>
        <w:spacing w:line="328" w:lineRule="auto" w:before="2" w:after="0"/>
        <w:ind w:left="1354" w:right="755" w:hanging="186"/>
        <w:jc w:val="both"/>
        <w:rPr>
          <w:sz w:val="19"/>
        </w:rPr>
      </w:pPr>
      <w:r>
        <w:rPr>
          <w:i/>
          <w:color w:val="231F20"/>
          <w:w w:val="110"/>
          <w:sz w:val="19"/>
        </w:rPr>
        <w:t>Encyclopedia of Associations</w:t>
      </w:r>
      <w:r>
        <w:rPr>
          <w:i/>
          <w:color w:val="231F20"/>
          <w:spacing w:val="-15"/>
          <w:w w:val="110"/>
          <w:sz w:val="19"/>
        </w:rPr>
        <w:t> </w:t>
      </w:r>
      <w:r>
        <w:rPr>
          <w:color w:val="231F20"/>
          <w:w w:val="110"/>
          <w:sz w:val="19"/>
        </w:rPr>
        <w:t>—</w:t>
      </w:r>
      <w:r>
        <w:rPr>
          <w:color w:val="231F20"/>
          <w:spacing w:val="-15"/>
          <w:w w:val="110"/>
          <w:sz w:val="19"/>
        </w:rPr>
        <w:t> </w:t>
      </w:r>
      <w:r>
        <w:rPr>
          <w:color w:val="231F20"/>
          <w:w w:val="110"/>
          <w:sz w:val="19"/>
        </w:rPr>
        <w:t>Most industries and prod- ucts have associations, trade groups, and clubs. These or- ganizations are happy to assist people to learn about </w:t>
      </w:r>
      <w:r>
        <w:rPr>
          <w:color w:val="231F20"/>
          <w:w w:val="110"/>
          <w:sz w:val="19"/>
        </w:rPr>
        <w:t>them,</w:t>
      </w:r>
      <w:r>
        <w:rPr>
          <w:color w:val="231F20"/>
          <w:w w:val="110"/>
          <w:sz w:val="19"/>
        </w:rPr>
        <w:t> their membership, or their interests. Many publish research studies, membership directories, and newsletters. Their </w:t>
      </w:r>
      <w:r>
        <w:rPr>
          <w:color w:val="231F20"/>
          <w:w w:val="110"/>
          <w:sz w:val="19"/>
        </w:rPr>
        <w:t>peo-</w:t>
      </w:r>
      <w:r>
        <w:rPr>
          <w:color w:val="231F20"/>
          <w:w w:val="110"/>
          <w:sz w:val="19"/>
        </w:rPr>
        <w:t> ple can also lead you to other sources of information. Do </w:t>
      </w:r>
      <w:r>
        <w:rPr>
          <w:color w:val="231F20"/>
          <w:w w:val="110"/>
          <w:sz w:val="19"/>
        </w:rPr>
        <w:t>not</w:t>
      </w:r>
      <w:r>
        <w:rPr>
          <w:color w:val="231F20"/>
          <w:w w:val="110"/>
          <w:sz w:val="19"/>
        </w:rPr>
        <w:t> overlook the </w:t>
      </w:r>
      <w:r>
        <w:rPr>
          <w:i/>
          <w:color w:val="231F20"/>
          <w:w w:val="110"/>
          <w:sz w:val="19"/>
        </w:rPr>
        <w:t>Encyclopedia of Associations. </w:t>
      </w:r>
      <w:r>
        <w:rPr>
          <w:color w:val="231F20"/>
          <w:w w:val="110"/>
          <w:sz w:val="19"/>
        </w:rPr>
        <w:t>I own a set my- self. (800-877-GALE)</w:t>
      </w:r>
    </w:p>
    <w:p>
      <w:pPr>
        <w:spacing w:line="328" w:lineRule="auto" w:before="6"/>
        <w:ind w:left="1509" w:right="1045" w:hanging="340"/>
        <w:jc w:val="left"/>
        <w:rPr>
          <w:rFonts w:ascii="Arial" w:hAnsi="Arial"/>
          <w:i/>
          <w:sz w:val="19"/>
        </w:rPr>
      </w:pPr>
      <w:r>
        <w:rPr>
          <w:rFonts w:ascii="Arial" w:hAnsi="Arial"/>
          <w:i/>
          <w:color w:val="231F20"/>
          <w:w w:val="110"/>
          <w:sz w:val="19"/>
        </w:rPr>
        <w:t>Encyclopedias</w:t>
      </w:r>
      <w:r>
        <w:rPr>
          <w:rFonts w:ascii="Arial" w:hAnsi="Arial"/>
          <w:i/>
          <w:color w:val="231F20"/>
          <w:spacing w:val="-29"/>
          <w:w w:val="110"/>
          <w:sz w:val="19"/>
        </w:rPr>
        <w:t> </w:t>
      </w:r>
      <w:r>
        <w:rPr>
          <w:rFonts w:ascii="Arial" w:hAnsi="Arial"/>
          <w:color w:val="231F20"/>
          <w:w w:val="110"/>
          <w:sz w:val="19"/>
        </w:rPr>
        <w:t>—</w:t>
      </w:r>
      <w:r>
        <w:rPr>
          <w:rFonts w:ascii="Arial" w:hAnsi="Arial"/>
          <w:color w:val="231F20"/>
          <w:spacing w:val="-29"/>
          <w:w w:val="110"/>
          <w:sz w:val="19"/>
        </w:rPr>
        <w:t> </w:t>
      </w:r>
      <w:r>
        <w:rPr>
          <w:rFonts w:ascii="Arial" w:hAnsi="Arial"/>
          <w:color w:val="231F20"/>
          <w:w w:val="110"/>
          <w:sz w:val="19"/>
        </w:rPr>
        <w:t>Probably the most overlooked source of quick, predigested information. You’re never too old to look at Encarta or the </w:t>
      </w:r>
      <w:r>
        <w:rPr>
          <w:rFonts w:ascii="Arial" w:hAnsi="Arial"/>
          <w:i/>
          <w:color w:val="231F20"/>
          <w:w w:val="110"/>
          <w:sz w:val="19"/>
        </w:rPr>
        <w:t>Encyclopedia Britannica.</w:t>
      </w:r>
    </w:p>
    <w:p>
      <w:pPr>
        <w:spacing w:after="0" w:line="328" w:lineRule="auto"/>
        <w:jc w:val="left"/>
        <w:rPr>
          <w:rFonts w:ascii="Arial" w:hAnsi="Arial"/>
          <w:sz w:val="19"/>
        </w:rPr>
        <w:sectPr>
          <w:pgSz w:w="8640" w:h="12960"/>
          <w:pgMar w:header="732" w:footer="0" w:top="920" w:bottom="280" w:left="340" w:right="500"/>
        </w:sectPr>
      </w:pPr>
    </w:p>
    <w:p>
      <w:pPr>
        <w:pStyle w:val="BodyText"/>
        <w:spacing w:before="6"/>
        <w:rPr>
          <w:rFonts w:ascii="Arial"/>
          <w:i/>
          <w:sz w:val="19"/>
        </w:rPr>
      </w:pPr>
    </w:p>
    <w:p>
      <w:pPr>
        <w:spacing w:line="328" w:lineRule="auto" w:before="97"/>
        <w:ind w:left="1599" w:right="667" w:hanging="340"/>
        <w:jc w:val="left"/>
        <w:rPr>
          <w:rFonts w:ascii="Arial" w:hAnsi="Arial"/>
          <w:sz w:val="19"/>
        </w:rPr>
      </w:pPr>
      <w:r>
        <w:rPr>
          <w:rFonts w:ascii="Arial" w:hAnsi="Arial"/>
          <w:i/>
          <w:color w:val="231F20"/>
          <w:w w:val="110"/>
          <w:sz w:val="19"/>
        </w:rPr>
        <w:t>The Lifestyle Market Analyst</w:t>
      </w:r>
      <w:r>
        <w:rPr>
          <w:rFonts w:ascii="Arial" w:hAnsi="Arial"/>
          <w:color w:val="231F20"/>
          <w:w w:val="110"/>
          <w:sz w:val="19"/>
        </w:rPr>
        <w:t>—This annual study published </w:t>
      </w:r>
      <w:r>
        <w:rPr>
          <w:rFonts w:ascii="Arial" w:hAnsi="Arial"/>
          <w:color w:val="231F20"/>
          <w:w w:val="110"/>
          <w:sz w:val="19"/>
        </w:rPr>
        <w:t>by National Demographics and Lifestyles is one of the best sources of marketing information. It combines demographics, lifestyles, and media habits. They also publish the </w:t>
      </w:r>
      <w:r>
        <w:rPr>
          <w:rFonts w:ascii="Arial" w:hAnsi="Arial"/>
          <w:i/>
          <w:color w:val="231F20"/>
          <w:w w:val="110"/>
          <w:sz w:val="19"/>
        </w:rPr>
        <w:t>Zip Code Analyst. </w:t>
      </w:r>
      <w:r>
        <w:rPr>
          <w:rFonts w:ascii="Arial" w:hAnsi="Arial"/>
          <w:color w:val="231F20"/>
          <w:w w:val="110"/>
          <w:sz w:val="19"/>
        </w:rPr>
        <w:t>(800-851-SRDS)</w:t>
      </w:r>
    </w:p>
    <w:p>
      <w:pPr>
        <w:spacing w:line="328" w:lineRule="auto" w:before="4"/>
        <w:ind w:left="1600" w:right="667" w:hanging="340"/>
        <w:jc w:val="left"/>
        <w:rPr>
          <w:rFonts w:ascii="Arial" w:hAnsi="Arial"/>
          <w:sz w:val="19"/>
        </w:rPr>
      </w:pPr>
      <w:r>
        <w:rPr>
          <w:rFonts w:ascii="Arial" w:hAnsi="Arial"/>
          <w:i/>
          <w:color w:val="231F20"/>
          <w:w w:val="115"/>
          <w:sz w:val="19"/>
        </w:rPr>
        <w:t>Congressional Quarterly’s Washington Information</w:t>
      </w:r>
      <w:r>
        <w:rPr>
          <w:rFonts w:ascii="Arial" w:hAnsi="Arial"/>
          <w:i/>
          <w:color w:val="231F20"/>
          <w:w w:val="115"/>
          <w:sz w:val="19"/>
        </w:rPr>
        <w:t> Directory</w:t>
      </w:r>
      <w:r>
        <w:rPr>
          <w:rFonts w:ascii="Arial" w:hAnsi="Arial"/>
          <w:color w:val="231F20"/>
          <w:w w:val="115"/>
          <w:sz w:val="19"/>
        </w:rPr>
        <w:t>—This book puts all the resources of the </w:t>
      </w:r>
      <w:r>
        <w:rPr>
          <w:rFonts w:ascii="Arial" w:hAnsi="Arial"/>
          <w:color w:val="231F20"/>
          <w:spacing w:val="-2"/>
          <w:w w:val="115"/>
          <w:sz w:val="19"/>
        </w:rPr>
        <w:t>Washington</w:t>
      </w:r>
      <w:r>
        <w:rPr>
          <w:rFonts w:ascii="Arial" w:hAnsi="Arial"/>
          <w:color w:val="231F20"/>
          <w:spacing w:val="-7"/>
          <w:w w:val="115"/>
          <w:sz w:val="19"/>
        </w:rPr>
        <w:t> </w:t>
      </w:r>
      <w:r>
        <w:rPr>
          <w:rFonts w:ascii="Arial" w:hAnsi="Arial"/>
          <w:color w:val="231F20"/>
          <w:spacing w:val="-2"/>
          <w:w w:val="115"/>
          <w:sz w:val="19"/>
        </w:rPr>
        <w:t>bureaucracy</w:t>
      </w:r>
      <w:r>
        <w:rPr>
          <w:rFonts w:ascii="Arial" w:hAnsi="Arial"/>
          <w:color w:val="231F20"/>
          <w:spacing w:val="-7"/>
          <w:w w:val="115"/>
          <w:sz w:val="19"/>
        </w:rPr>
        <w:t> </w:t>
      </w:r>
      <w:r>
        <w:rPr>
          <w:rFonts w:ascii="Arial" w:hAnsi="Arial"/>
          <w:color w:val="231F20"/>
          <w:spacing w:val="-2"/>
          <w:w w:val="115"/>
          <w:sz w:val="19"/>
        </w:rPr>
        <w:t>at</w:t>
      </w:r>
      <w:r>
        <w:rPr>
          <w:rFonts w:ascii="Arial" w:hAnsi="Arial"/>
          <w:color w:val="231F20"/>
          <w:spacing w:val="-7"/>
          <w:w w:val="115"/>
          <w:sz w:val="19"/>
        </w:rPr>
        <w:t> </w:t>
      </w:r>
      <w:r>
        <w:rPr>
          <w:rFonts w:ascii="Arial" w:hAnsi="Arial"/>
          <w:color w:val="231F20"/>
          <w:spacing w:val="-2"/>
          <w:w w:val="115"/>
          <w:sz w:val="19"/>
        </w:rPr>
        <w:t>your</w:t>
      </w:r>
      <w:r>
        <w:rPr>
          <w:rFonts w:ascii="Arial" w:hAnsi="Arial"/>
          <w:color w:val="231F20"/>
          <w:spacing w:val="-7"/>
          <w:w w:val="115"/>
          <w:sz w:val="19"/>
        </w:rPr>
        <w:t> </w:t>
      </w:r>
      <w:r>
        <w:rPr>
          <w:rFonts w:ascii="Arial" w:hAnsi="Arial"/>
          <w:color w:val="231F20"/>
          <w:spacing w:val="-2"/>
          <w:w w:val="115"/>
          <w:sz w:val="19"/>
        </w:rPr>
        <w:t>fingertips.</w:t>
      </w:r>
      <w:r>
        <w:rPr>
          <w:rFonts w:ascii="Arial" w:hAnsi="Arial"/>
          <w:color w:val="231F20"/>
          <w:spacing w:val="-7"/>
          <w:w w:val="115"/>
          <w:sz w:val="19"/>
        </w:rPr>
        <w:t> </w:t>
      </w:r>
      <w:r>
        <w:rPr>
          <w:rFonts w:ascii="Arial" w:hAnsi="Arial"/>
          <w:color w:val="231F20"/>
          <w:spacing w:val="-2"/>
          <w:w w:val="115"/>
          <w:sz w:val="19"/>
        </w:rPr>
        <w:t>The</w:t>
      </w:r>
      <w:r>
        <w:rPr>
          <w:rFonts w:ascii="Arial" w:hAnsi="Arial"/>
          <w:color w:val="231F20"/>
          <w:spacing w:val="-7"/>
          <w:w w:val="115"/>
          <w:sz w:val="19"/>
        </w:rPr>
        <w:t> </w:t>
      </w:r>
      <w:r>
        <w:rPr>
          <w:rFonts w:ascii="Arial" w:hAnsi="Arial"/>
          <w:color w:val="231F20"/>
          <w:spacing w:val="-2"/>
          <w:w w:val="115"/>
          <w:sz w:val="19"/>
        </w:rPr>
        <w:t>entries </w:t>
      </w:r>
      <w:r>
        <w:rPr>
          <w:rFonts w:ascii="Arial" w:hAnsi="Arial"/>
          <w:color w:val="231F20"/>
          <w:w w:val="115"/>
          <w:sz w:val="19"/>
        </w:rPr>
        <w:t>about the Commerce Department are helpful for</w:t>
      </w:r>
    </w:p>
    <w:p>
      <w:pPr>
        <w:spacing w:line="328" w:lineRule="auto" w:before="2"/>
        <w:ind w:left="1600" w:right="667" w:firstLine="0"/>
        <w:jc w:val="left"/>
        <w:rPr>
          <w:rFonts w:ascii="Arial"/>
          <w:sz w:val="19"/>
        </w:rPr>
      </w:pPr>
      <w:r>
        <w:rPr>
          <w:rFonts w:ascii="Arial"/>
          <w:color w:val="231F20"/>
          <w:spacing w:val="-2"/>
          <w:w w:val="115"/>
          <w:sz w:val="19"/>
        </w:rPr>
        <w:t>international</w:t>
      </w:r>
      <w:r>
        <w:rPr>
          <w:rFonts w:ascii="Arial"/>
          <w:color w:val="231F20"/>
          <w:spacing w:val="-9"/>
          <w:w w:val="115"/>
          <w:sz w:val="19"/>
        </w:rPr>
        <w:t> </w:t>
      </w:r>
      <w:r>
        <w:rPr>
          <w:rFonts w:ascii="Arial"/>
          <w:color w:val="231F20"/>
          <w:spacing w:val="-2"/>
          <w:w w:val="115"/>
          <w:sz w:val="19"/>
        </w:rPr>
        <w:t>trade.</w:t>
      </w:r>
      <w:r>
        <w:rPr>
          <w:rFonts w:ascii="Arial"/>
          <w:color w:val="231F20"/>
          <w:spacing w:val="-9"/>
          <w:w w:val="115"/>
          <w:sz w:val="19"/>
        </w:rPr>
        <w:t> </w:t>
      </w:r>
      <w:r>
        <w:rPr>
          <w:rFonts w:ascii="Arial"/>
          <w:color w:val="231F20"/>
          <w:spacing w:val="-2"/>
          <w:w w:val="115"/>
          <w:sz w:val="19"/>
        </w:rPr>
        <w:t>If</w:t>
      </w:r>
      <w:r>
        <w:rPr>
          <w:rFonts w:ascii="Arial"/>
          <w:color w:val="231F20"/>
          <w:spacing w:val="-9"/>
          <w:w w:val="115"/>
          <w:sz w:val="19"/>
        </w:rPr>
        <w:t> </w:t>
      </w:r>
      <w:r>
        <w:rPr>
          <w:rFonts w:ascii="Arial"/>
          <w:color w:val="231F20"/>
          <w:spacing w:val="-2"/>
          <w:w w:val="115"/>
          <w:sz w:val="19"/>
        </w:rPr>
        <w:t>you</w:t>
      </w:r>
      <w:r>
        <w:rPr>
          <w:rFonts w:ascii="Arial"/>
          <w:color w:val="231F20"/>
          <w:spacing w:val="-9"/>
          <w:w w:val="115"/>
          <w:sz w:val="19"/>
        </w:rPr>
        <w:t> </w:t>
      </w:r>
      <w:r>
        <w:rPr>
          <w:rFonts w:ascii="Arial"/>
          <w:color w:val="231F20"/>
          <w:spacing w:val="-2"/>
          <w:w w:val="115"/>
          <w:sz w:val="19"/>
        </w:rPr>
        <w:t>pay</w:t>
      </w:r>
      <w:r>
        <w:rPr>
          <w:rFonts w:ascii="Arial"/>
          <w:color w:val="231F20"/>
          <w:spacing w:val="-9"/>
          <w:w w:val="115"/>
          <w:sz w:val="19"/>
        </w:rPr>
        <w:t> </w:t>
      </w:r>
      <w:r>
        <w:rPr>
          <w:rFonts w:ascii="Arial"/>
          <w:color w:val="231F20"/>
          <w:spacing w:val="-2"/>
          <w:w w:val="115"/>
          <w:sz w:val="19"/>
        </w:rPr>
        <w:t>your</w:t>
      </w:r>
      <w:r>
        <w:rPr>
          <w:rFonts w:ascii="Arial"/>
          <w:color w:val="231F20"/>
          <w:spacing w:val="-9"/>
          <w:w w:val="115"/>
          <w:sz w:val="19"/>
        </w:rPr>
        <w:t> </w:t>
      </w:r>
      <w:r>
        <w:rPr>
          <w:rFonts w:ascii="Arial"/>
          <w:color w:val="231F20"/>
          <w:spacing w:val="-2"/>
          <w:w w:val="115"/>
          <w:sz w:val="19"/>
        </w:rPr>
        <w:t>income</w:t>
      </w:r>
      <w:r>
        <w:rPr>
          <w:rFonts w:ascii="Arial"/>
          <w:color w:val="231F20"/>
          <w:spacing w:val="-9"/>
          <w:w w:val="115"/>
          <w:sz w:val="19"/>
        </w:rPr>
        <w:t> </w:t>
      </w:r>
      <w:r>
        <w:rPr>
          <w:rFonts w:ascii="Arial"/>
          <w:color w:val="231F20"/>
          <w:spacing w:val="-2"/>
          <w:w w:val="115"/>
          <w:sz w:val="19"/>
        </w:rPr>
        <w:t>taxes,</w:t>
      </w:r>
      <w:r>
        <w:rPr>
          <w:rFonts w:ascii="Arial"/>
          <w:color w:val="231F20"/>
          <w:spacing w:val="-9"/>
          <w:w w:val="115"/>
          <w:sz w:val="19"/>
        </w:rPr>
        <w:t> </w:t>
      </w:r>
      <w:r>
        <w:rPr>
          <w:rFonts w:ascii="Arial"/>
          <w:color w:val="231F20"/>
          <w:spacing w:val="-2"/>
          <w:w w:val="115"/>
          <w:sz w:val="19"/>
        </w:rPr>
        <w:t>you</w:t>
      </w:r>
      <w:r>
        <w:rPr>
          <w:rFonts w:ascii="Arial"/>
          <w:color w:val="231F20"/>
          <w:spacing w:val="-9"/>
          <w:w w:val="115"/>
          <w:sz w:val="19"/>
        </w:rPr>
        <w:t> </w:t>
      </w:r>
      <w:r>
        <w:rPr>
          <w:rFonts w:ascii="Arial"/>
          <w:color w:val="231F20"/>
          <w:spacing w:val="-2"/>
          <w:w w:val="115"/>
          <w:sz w:val="19"/>
        </w:rPr>
        <w:t>have </w:t>
      </w:r>
      <w:r>
        <w:rPr>
          <w:rFonts w:ascii="Arial"/>
          <w:color w:val="231F20"/>
          <w:w w:val="115"/>
          <w:sz w:val="19"/>
        </w:rPr>
        <w:t>paid for this service. Why not use it?</w:t>
      </w:r>
    </w:p>
    <w:p>
      <w:pPr>
        <w:pStyle w:val="BodyText"/>
        <w:rPr>
          <w:rFonts w:ascii="Arial"/>
          <w:sz w:val="20"/>
        </w:rPr>
      </w:pPr>
    </w:p>
    <w:p>
      <w:pPr>
        <w:pStyle w:val="BodyText"/>
        <w:rPr>
          <w:rFonts w:ascii="Arial"/>
          <w:sz w:val="20"/>
        </w:rPr>
      </w:pPr>
    </w:p>
    <w:p>
      <w:pPr>
        <w:pStyle w:val="Heading6"/>
        <w:spacing w:before="131"/>
        <w:rPr>
          <w:i/>
        </w:rPr>
      </w:pPr>
      <w:r>
        <w:rPr>
          <w:i/>
          <w:color w:val="231F20"/>
          <w:w w:val="110"/>
        </w:rPr>
        <w:t>INTERNATIONAL</w:t>
      </w:r>
      <w:r>
        <w:rPr>
          <w:i/>
          <w:color w:val="231F20"/>
          <w:spacing w:val="45"/>
          <w:w w:val="110"/>
        </w:rPr>
        <w:t>  </w:t>
      </w:r>
      <w:r>
        <w:rPr>
          <w:i/>
          <w:color w:val="231F20"/>
          <w:spacing w:val="8"/>
          <w:w w:val="110"/>
        </w:rPr>
        <w:t>BUSINESS</w:t>
      </w:r>
    </w:p>
    <w:p>
      <w:pPr>
        <w:pStyle w:val="BodyText"/>
        <w:spacing w:before="11"/>
        <w:rPr>
          <w:b/>
          <w:i/>
          <w:sz w:val="31"/>
        </w:rPr>
      </w:pPr>
    </w:p>
    <w:p>
      <w:pPr>
        <w:spacing w:line="328" w:lineRule="auto" w:before="0"/>
        <w:ind w:left="1599" w:right="751" w:hanging="340"/>
        <w:jc w:val="left"/>
        <w:rPr>
          <w:rFonts w:ascii="Arial"/>
          <w:sz w:val="19"/>
        </w:rPr>
      </w:pPr>
      <w:r>
        <w:rPr>
          <w:rFonts w:ascii="Arial"/>
          <w:i/>
          <w:color w:val="231F20"/>
          <w:w w:val="110"/>
          <w:sz w:val="19"/>
        </w:rPr>
        <w:t>Doing Business in . . . </w:t>
      </w:r>
      <w:r>
        <w:rPr>
          <w:rFonts w:ascii="Arial"/>
          <w:color w:val="231F20"/>
          <w:w w:val="110"/>
          <w:sz w:val="19"/>
        </w:rPr>
        <w:t>This series published by PricewaterhouseCoopers and Ernst &amp; Young is an excellent source of information for the international businessperson. It discusses the customs and a variety </w:t>
      </w:r>
      <w:r>
        <w:rPr>
          <w:rFonts w:ascii="Arial"/>
          <w:color w:val="231F20"/>
          <w:w w:val="110"/>
          <w:sz w:val="19"/>
        </w:rPr>
        <w:t>of the finer points of international business.</w:t>
      </w:r>
    </w:p>
    <w:p>
      <w:pPr>
        <w:pStyle w:val="BodyText"/>
        <w:rPr>
          <w:rFonts w:ascii="Arial"/>
          <w:sz w:val="20"/>
        </w:rPr>
      </w:pPr>
    </w:p>
    <w:p>
      <w:pPr>
        <w:pStyle w:val="BodyText"/>
        <w:rPr>
          <w:rFonts w:ascii="Arial"/>
          <w:sz w:val="20"/>
        </w:rPr>
      </w:pPr>
    </w:p>
    <w:p>
      <w:pPr>
        <w:pStyle w:val="Heading6"/>
        <w:spacing w:before="122"/>
        <w:rPr>
          <w:i/>
        </w:rPr>
      </w:pPr>
      <w:r>
        <w:rPr>
          <w:i/>
          <w:color w:val="231F20"/>
          <w:w w:val="110"/>
        </w:rPr>
        <w:t>EXPENSIVE</w:t>
      </w:r>
      <w:r>
        <w:rPr>
          <w:i/>
          <w:color w:val="231F20"/>
          <w:spacing w:val="42"/>
          <w:w w:val="110"/>
        </w:rPr>
        <w:t>  </w:t>
      </w:r>
      <w:r>
        <w:rPr>
          <w:i/>
          <w:color w:val="231F20"/>
          <w:spacing w:val="8"/>
          <w:w w:val="110"/>
        </w:rPr>
        <w:t>RESEARCH</w:t>
      </w:r>
    </w:p>
    <w:p>
      <w:pPr>
        <w:pStyle w:val="BodyText"/>
        <w:rPr>
          <w:b/>
          <w:i/>
          <w:sz w:val="32"/>
        </w:rPr>
      </w:pPr>
    </w:p>
    <w:p>
      <w:pPr>
        <w:spacing w:line="328" w:lineRule="auto" w:before="0"/>
        <w:ind w:left="1599" w:right="667" w:hanging="340"/>
        <w:jc w:val="left"/>
        <w:rPr>
          <w:rFonts w:ascii="Arial" w:hAnsi="Arial"/>
          <w:sz w:val="19"/>
        </w:rPr>
      </w:pPr>
      <w:r>
        <w:rPr>
          <w:rFonts w:ascii="Arial" w:hAnsi="Arial"/>
          <w:i/>
          <w:color w:val="231F20"/>
          <w:w w:val="110"/>
          <w:sz w:val="19"/>
        </w:rPr>
        <w:t>The Nexis Research Database</w:t>
      </w:r>
      <w:r>
        <w:rPr>
          <w:rFonts w:ascii="Arial" w:hAnsi="Arial"/>
          <w:i/>
          <w:color w:val="231F20"/>
          <w:spacing w:val="-36"/>
          <w:w w:val="110"/>
          <w:sz w:val="19"/>
        </w:rPr>
        <w:t> </w:t>
      </w:r>
      <w:r>
        <w:rPr>
          <w:rFonts w:ascii="Arial" w:hAnsi="Arial"/>
          <w:color w:val="231F20"/>
          <w:w w:val="110"/>
          <w:sz w:val="19"/>
        </w:rPr>
        <w:t>—This expensive online </w:t>
      </w:r>
      <w:r>
        <w:rPr>
          <w:rFonts w:ascii="Arial" w:hAnsi="Arial"/>
          <w:color w:val="231F20"/>
          <w:w w:val="115"/>
          <w:sz w:val="19"/>
        </w:rPr>
        <w:t>computer service is available at some libraries and </w:t>
      </w:r>
      <w:r>
        <w:rPr>
          <w:rFonts w:ascii="Arial" w:hAnsi="Arial"/>
          <w:color w:val="231F20"/>
          <w:spacing w:val="-2"/>
          <w:w w:val="115"/>
          <w:sz w:val="19"/>
        </w:rPr>
        <w:t>businesses.</w:t>
      </w:r>
      <w:r>
        <w:rPr>
          <w:rFonts w:ascii="Arial" w:hAnsi="Arial"/>
          <w:color w:val="231F20"/>
          <w:spacing w:val="-9"/>
          <w:w w:val="115"/>
          <w:sz w:val="19"/>
        </w:rPr>
        <w:t> </w:t>
      </w:r>
      <w:r>
        <w:rPr>
          <w:rFonts w:ascii="Arial" w:hAnsi="Arial"/>
          <w:color w:val="231F20"/>
          <w:spacing w:val="-2"/>
          <w:w w:val="115"/>
          <w:sz w:val="19"/>
        </w:rPr>
        <w:t>It</w:t>
      </w:r>
      <w:r>
        <w:rPr>
          <w:rFonts w:ascii="Arial" w:hAnsi="Arial"/>
          <w:color w:val="231F20"/>
          <w:spacing w:val="-9"/>
          <w:w w:val="115"/>
          <w:sz w:val="19"/>
        </w:rPr>
        <w:t> </w:t>
      </w:r>
      <w:r>
        <w:rPr>
          <w:rFonts w:ascii="Arial" w:hAnsi="Arial"/>
          <w:color w:val="231F20"/>
          <w:spacing w:val="-2"/>
          <w:w w:val="115"/>
          <w:sz w:val="19"/>
        </w:rPr>
        <w:t>allows</w:t>
      </w:r>
      <w:r>
        <w:rPr>
          <w:rFonts w:ascii="Arial" w:hAnsi="Arial"/>
          <w:color w:val="231F20"/>
          <w:spacing w:val="-9"/>
          <w:w w:val="115"/>
          <w:sz w:val="19"/>
        </w:rPr>
        <w:t> </w:t>
      </w:r>
      <w:r>
        <w:rPr>
          <w:rFonts w:ascii="Arial" w:hAnsi="Arial"/>
          <w:color w:val="231F20"/>
          <w:spacing w:val="-2"/>
          <w:w w:val="115"/>
          <w:sz w:val="19"/>
        </w:rPr>
        <w:t>access</w:t>
      </w:r>
      <w:r>
        <w:rPr>
          <w:rFonts w:ascii="Arial" w:hAnsi="Arial"/>
          <w:color w:val="231F20"/>
          <w:spacing w:val="-9"/>
          <w:w w:val="115"/>
          <w:sz w:val="19"/>
        </w:rPr>
        <w:t> </w:t>
      </w:r>
      <w:r>
        <w:rPr>
          <w:rFonts w:ascii="Arial" w:hAnsi="Arial"/>
          <w:color w:val="231F20"/>
          <w:spacing w:val="-2"/>
          <w:w w:val="115"/>
          <w:sz w:val="19"/>
        </w:rPr>
        <w:t>to</w:t>
      </w:r>
      <w:r>
        <w:rPr>
          <w:rFonts w:ascii="Arial" w:hAnsi="Arial"/>
          <w:color w:val="231F20"/>
          <w:spacing w:val="-9"/>
          <w:w w:val="115"/>
          <w:sz w:val="19"/>
        </w:rPr>
        <w:t> </w:t>
      </w:r>
      <w:r>
        <w:rPr>
          <w:rFonts w:ascii="Arial" w:hAnsi="Arial"/>
          <w:color w:val="231F20"/>
          <w:spacing w:val="-2"/>
          <w:w w:val="115"/>
          <w:sz w:val="19"/>
        </w:rPr>
        <w:t>whole</w:t>
      </w:r>
      <w:r>
        <w:rPr>
          <w:rFonts w:ascii="Arial" w:hAnsi="Arial"/>
          <w:color w:val="231F20"/>
          <w:spacing w:val="-9"/>
          <w:w w:val="115"/>
          <w:sz w:val="19"/>
        </w:rPr>
        <w:t> </w:t>
      </w:r>
      <w:r>
        <w:rPr>
          <w:rFonts w:ascii="Arial" w:hAnsi="Arial"/>
          <w:color w:val="231F20"/>
          <w:spacing w:val="-2"/>
          <w:w w:val="115"/>
          <w:sz w:val="19"/>
        </w:rPr>
        <w:t>libraries</w:t>
      </w:r>
      <w:r>
        <w:rPr>
          <w:rFonts w:ascii="Arial" w:hAnsi="Arial"/>
          <w:color w:val="231F20"/>
          <w:spacing w:val="-9"/>
          <w:w w:val="115"/>
          <w:sz w:val="19"/>
        </w:rPr>
        <w:t> </w:t>
      </w:r>
      <w:r>
        <w:rPr>
          <w:rFonts w:ascii="Arial" w:hAnsi="Arial"/>
          <w:color w:val="231F20"/>
          <w:spacing w:val="-2"/>
          <w:w w:val="115"/>
          <w:sz w:val="19"/>
        </w:rPr>
        <w:t>of</w:t>
      </w:r>
      <w:r>
        <w:rPr>
          <w:rFonts w:ascii="Arial" w:hAnsi="Arial"/>
          <w:color w:val="231F20"/>
          <w:spacing w:val="-9"/>
          <w:w w:val="115"/>
          <w:sz w:val="19"/>
        </w:rPr>
        <w:t> </w:t>
      </w:r>
      <w:r>
        <w:rPr>
          <w:rFonts w:ascii="Arial" w:hAnsi="Arial"/>
          <w:color w:val="231F20"/>
          <w:spacing w:val="-2"/>
          <w:w w:val="115"/>
          <w:sz w:val="19"/>
        </w:rPr>
        <w:t>news, </w:t>
      </w:r>
      <w:r>
        <w:rPr>
          <w:rFonts w:ascii="Arial" w:hAnsi="Arial"/>
          <w:color w:val="231F20"/>
          <w:w w:val="115"/>
          <w:sz w:val="19"/>
        </w:rPr>
        <w:t>financial,</w:t>
      </w:r>
      <w:r>
        <w:rPr>
          <w:rFonts w:ascii="Arial" w:hAnsi="Arial"/>
          <w:color w:val="231F20"/>
          <w:spacing w:val="-15"/>
          <w:w w:val="115"/>
          <w:sz w:val="19"/>
        </w:rPr>
        <w:t> </w:t>
      </w:r>
      <w:r>
        <w:rPr>
          <w:rFonts w:ascii="Arial" w:hAnsi="Arial"/>
          <w:color w:val="231F20"/>
          <w:w w:val="115"/>
          <w:sz w:val="19"/>
        </w:rPr>
        <w:t>and</w:t>
      </w:r>
      <w:r>
        <w:rPr>
          <w:rFonts w:ascii="Arial" w:hAnsi="Arial"/>
          <w:color w:val="231F20"/>
          <w:spacing w:val="-15"/>
          <w:w w:val="115"/>
          <w:sz w:val="19"/>
        </w:rPr>
        <w:t> </w:t>
      </w:r>
      <w:r>
        <w:rPr>
          <w:rFonts w:ascii="Arial" w:hAnsi="Arial"/>
          <w:color w:val="231F20"/>
          <w:w w:val="115"/>
          <w:sz w:val="19"/>
        </w:rPr>
        <w:t>marketing</w:t>
      </w:r>
      <w:r>
        <w:rPr>
          <w:rFonts w:ascii="Arial" w:hAnsi="Arial"/>
          <w:color w:val="231F20"/>
          <w:spacing w:val="-15"/>
          <w:w w:val="115"/>
          <w:sz w:val="19"/>
        </w:rPr>
        <w:t> </w:t>
      </w:r>
      <w:r>
        <w:rPr>
          <w:rFonts w:ascii="Arial" w:hAnsi="Arial"/>
          <w:color w:val="231F20"/>
          <w:w w:val="115"/>
          <w:sz w:val="19"/>
        </w:rPr>
        <w:t>data.</w:t>
      </w:r>
      <w:r>
        <w:rPr>
          <w:rFonts w:ascii="Arial" w:hAnsi="Arial"/>
          <w:color w:val="231F20"/>
          <w:spacing w:val="-15"/>
          <w:w w:val="115"/>
          <w:sz w:val="19"/>
        </w:rPr>
        <w:t> </w:t>
      </w:r>
      <w:r>
        <w:rPr>
          <w:rFonts w:ascii="Arial" w:hAnsi="Arial"/>
          <w:color w:val="231F20"/>
          <w:w w:val="115"/>
          <w:sz w:val="19"/>
        </w:rPr>
        <w:t>Keyword</w:t>
      </w:r>
      <w:r>
        <w:rPr>
          <w:rFonts w:ascii="Arial" w:hAnsi="Arial"/>
          <w:color w:val="231F20"/>
          <w:spacing w:val="-15"/>
          <w:w w:val="115"/>
          <w:sz w:val="19"/>
        </w:rPr>
        <w:t> </w:t>
      </w:r>
      <w:r>
        <w:rPr>
          <w:rFonts w:ascii="Arial" w:hAnsi="Arial"/>
          <w:color w:val="231F20"/>
          <w:w w:val="115"/>
          <w:sz w:val="19"/>
        </w:rPr>
        <w:t>searches</w:t>
      </w:r>
      <w:r>
        <w:rPr>
          <w:rFonts w:ascii="Arial" w:hAnsi="Arial"/>
          <w:color w:val="231F20"/>
          <w:spacing w:val="-15"/>
          <w:w w:val="115"/>
          <w:sz w:val="19"/>
        </w:rPr>
        <w:t> </w:t>
      </w:r>
      <w:r>
        <w:rPr>
          <w:rFonts w:ascii="Arial" w:hAnsi="Arial"/>
          <w:color w:val="231F20"/>
          <w:w w:val="115"/>
          <w:sz w:val="19"/>
        </w:rPr>
        <w:t>must </w:t>
      </w:r>
      <w:r>
        <w:rPr>
          <w:rFonts w:ascii="Arial" w:hAnsi="Arial"/>
          <w:color w:val="231F20"/>
          <w:w w:val="110"/>
          <w:sz w:val="19"/>
        </w:rPr>
        <w:t>carefully be defined because so much data is </w:t>
      </w:r>
      <w:r>
        <w:rPr>
          <w:rFonts w:ascii="Arial" w:hAnsi="Arial"/>
          <w:color w:val="231F20"/>
          <w:w w:val="110"/>
          <w:sz w:val="19"/>
        </w:rPr>
        <w:t>available. </w:t>
      </w:r>
      <w:r>
        <w:rPr>
          <w:rFonts w:ascii="Arial" w:hAnsi="Arial"/>
          <w:color w:val="231F20"/>
          <w:w w:val="115"/>
          <w:sz w:val="19"/>
        </w:rPr>
        <w:t>Seek free sources of information first if you are cost- conscious. If not, this is one of the most powerful databases that exists. It will save you a lot of time.</w:t>
      </w:r>
    </w:p>
    <w:p>
      <w:pPr>
        <w:spacing w:line="328" w:lineRule="auto" w:before="6"/>
        <w:ind w:left="1599" w:right="667" w:hanging="340"/>
        <w:jc w:val="left"/>
        <w:rPr>
          <w:rFonts w:ascii="Arial" w:hAnsi="Arial"/>
          <w:sz w:val="19"/>
        </w:rPr>
      </w:pPr>
      <w:r>
        <w:rPr>
          <w:rFonts w:ascii="Arial" w:hAnsi="Arial"/>
          <w:i/>
          <w:color w:val="231F20"/>
          <w:w w:val="115"/>
          <w:sz w:val="19"/>
        </w:rPr>
        <w:t>Find/SVP</w:t>
      </w:r>
      <w:r>
        <w:rPr>
          <w:rFonts w:ascii="Arial" w:hAnsi="Arial"/>
          <w:i/>
          <w:color w:val="231F20"/>
          <w:spacing w:val="-36"/>
          <w:w w:val="115"/>
          <w:sz w:val="19"/>
        </w:rPr>
        <w:t> </w:t>
      </w:r>
      <w:r>
        <w:rPr>
          <w:rFonts w:ascii="Arial" w:hAnsi="Arial"/>
          <w:color w:val="231F20"/>
          <w:w w:val="115"/>
          <w:sz w:val="19"/>
        </w:rPr>
        <w:t>—</w:t>
      </w:r>
      <w:r>
        <w:rPr>
          <w:rFonts w:ascii="Arial" w:hAnsi="Arial"/>
          <w:color w:val="231F20"/>
          <w:spacing w:val="-36"/>
          <w:w w:val="115"/>
          <w:sz w:val="19"/>
        </w:rPr>
        <w:t> </w:t>
      </w:r>
      <w:r>
        <w:rPr>
          <w:rFonts w:ascii="Arial" w:hAnsi="Arial"/>
          <w:color w:val="231F20"/>
          <w:w w:val="115"/>
          <w:sz w:val="19"/>
        </w:rPr>
        <w:t>Provides off-the-shelf studies of most product categories.</w:t>
      </w:r>
      <w:r>
        <w:rPr>
          <w:rFonts w:ascii="Arial" w:hAnsi="Arial"/>
          <w:color w:val="231F20"/>
          <w:spacing w:val="-13"/>
          <w:w w:val="115"/>
          <w:sz w:val="19"/>
        </w:rPr>
        <w:t> </w:t>
      </w:r>
      <w:r>
        <w:rPr>
          <w:rFonts w:ascii="Arial" w:hAnsi="Arial"/>
          <w:color w:val="231F20"/>
          <w:w w:val="115"/>
          <w:sz w:val="19"/>
        </w:rPr>
        <w:t>Their</w:t>
      </w:r>
      <w:r>
        <w:rPr>
          <w:rFonts w:ascii="Arial" w:hAnsi="Arial"/>
          <w:color w:val="231F20"/>
          <w:spacing w:val="-13"/>
          <w:w w:val="115"/>
          <w:sz w:val="19"/>
        </w:rPr>
        <w:t> </w:t>
      </w:r>
      <w:r>
        <w:rPr>
          <w:rFonts w:ascii="Arial" w:hAnsi="Arial"/>
          <w:color w:val="231F20"/>
          <w:w w:val="115"/>
          <w:sz w:val="19"/>
        </w:rPr>
        <w:t>well-written</w:t>
      </w:r>
      <w:r>
        <w:rPr>
          <w:rFonts w:ascii="Arial" w:hAnsi="Arial"/>
          <w:color w:val="231F20"/>
          <w:spacing w:val="-13"/>
          <w:w w:val="115"/>
          <w:sz w:val="19"/>
        </w:rPr>
        <w:t> </w:t>
      </w:r>
      <w:r>
        <w:rPr>
          <w:rFonts w:ascii="Arial" w:hAnsi="Arial"/>
          <w:color w:val="231F20"/>
          <w:w w:val="115"/>
          <w:sz w:val="19"/>
        </w:rPr>
        <w:t>reports</w:t>
      </w:r>
      <w:r>
        <w:rPr>
          <w:rFonts w:ascii="Arial" w:hAnsi="Arial"/>
          <w:color w:val="231F20"/>
          <w:spacing w:val="-13"/>
          <w:w w:val="115"/>
          <w:sz w:val="19"/>
        </w:rPr>
        <w:t> </w:t>
      </w:r>
      <w:r>
        <w:rPr>
          <w:rFonts w:ascii="Arial" w:hAnsi="Arial"/>
          <w:color w:val="231F20"/>
          <w:w w:val="115"/>
          <w:sz w:val="19"/>
        </w:rPr>
        <w:t>range</w:t>
      </w:r>
      <w:r>
        <w:rPr>
          <w:rFonts w:ascii="Arial" w:hAnsi="Arial"/>
          <w:color w:val="231F20"/>
          <w:spacing w:val="-13"/>
          <w:w w:val="115"/>
          <w:sz w:val="19"/>
        </w:rPr>
        <w:t> </w:t>
      </w:r>
      <w:r>
        <w:rPr>
          <w:rFonts w:ascii="Arial" w:hAnsi="Arial"/>
          <w:color w:val="231F20"/>
          <w:w w:val="115"/>
          <w:sz w:val="19"/>
        </w:rPr>
        <w:t>in</w:t>
      </w:r>
      <w:r>
        <w:rPr>
          <w:rFonts w:ascii="Arial" w:hAnsi="Arial"/>
          <w:color w:val="231F20"/>
          <w:spacing w:val="-13"/>
          <w:w w:val="115"/>
          <w:sz w:val="19"/>
        </w:rPr>
        <w:t> </w:t>
      </w:r>
      <w:r>
        <w:rPr>
          <w:rFonts w:ascii="Arial" w:hAnsi="Arial"/>
          <w:color w:val="231F20"/>
          <w:w w:val="115"/>
          <w:sz w:val="19"/>
        </w:rPr>
        <w:t>price</w:t>
      </w:r>
      <w:r>
        <w:rPr>
          <w:rFonts w:ascii="Arial" w:hAnsi="Arial"/>
          <w:color w:val="231F20"/>
          <w:spacing w:val="-13"/>
          <w:w w:val="115"/>
          <w:sz w:val="19"/>
        </w:rPr>
        <w:t> </w:t>
      </w:r>
      <w:r>
        <w:rPr>
          <w:rFonts w:ascii="Arial" w:hAnsi="Arial"/>
          <w:color w:val="231F20"/>
          <w:w w:val="115"/>
          <w:sz w:val="19"/>
        </w:rPr>
        <w:t>from</w:t>
      </w:r>
      <w:r>
        <w:rPr>
          <w:rFonts w:ascii="Arial" w:hAnsi="Arial"/>
          <w:color w:val="231F20"/>
          <w:spacing w:val="-13"/>
          <w:w w:val="115"/>
          <w:sz w:val="19"/>
        </w:rPr>
        <w:t> </w:t>
      </w:r>
      <w:r>
        <w:rPr>
          <w:rFonts w:ascii="Arial" w:hAnsi="Arial"/>
          <w:color w:val="231F20"/>
          <w:w w:val="115"/>
          <w:sz w:val="19"/>
        </w:rPr>
        <w:t>a few hundred to several thousand dollars. Their studies</w:t>
      </w:r>
    </w:p>
    <w:p>
      <w:pPr>
        <w:spacing w:after="0" w:line="328" w:lineRule="auto"/>
        <w:jc w:val="left"/>
        <w:rPr>
          <w:rFonts w:ascii="Arial" w:hAnsi="Arial"/>
          <w:sz w:val="19"/>
        </w:rPr>
        <w:sectPr>
          <w:pgSz w:w="8640" w:h="12960"/>
          <w:pgMar w:header="734" w:footer="0" w:top="920" w:bottom="280" w:left="340" w:right="500"/>
        </w:sectPr>
      </w:pPr>
    </w:p>
    <w:p>
      <w:pPr>
        <w:pStyle w:val="BodyText"/>
        <w:spacing w:before="10"/>
        <w:rPr>
          <w:rFonts w:ascii="Arial"/>
          <w:sz w:val="19"/>
        </w:rPr>
      </w:pPr>
    </w:p>
    <w:p>
      <w:pPr>
        <w:spacing w:line="328" w:lineRule="auto" w:before="95"/>
        <w:ind w:left="1510" w:right="667" w:firstLine="0"/>
        <w:jc w:val="left"/>
        <w:rPr>
          <w:rFonts w:ascii="Arial"/>
          <w:sz w:val="19"/>
        </w:rPr>
      </w:pPr>
      <w:r>
        <w:rPr>
          <w:rFonts w:ascii="Arial"/>
          <w:color w:val="231F20"/>
          <w:w w:val="115"/>
          <w:sz w:val="19"/>
        </w:rPr>
        <w:t>contain much of the information that is available for free </w:t>
      </w:r>
      <w:r>
        <w:rPr>
          <w:rFonts w:ascii="Arial"/>
          <w:color w:val="231F20"/>
          <w:spacing w:val="-2"/>
          <w:w w:val="115"/>
          <w:sz w:val="19"/>
        </w:rPr>
        <w:t>from</w:t>
      </w:r>
      <w:r>
        <w:rPr>
          <w:rFonts w:ascii="Arial"/>
          <w:color w:val="231F20"/>
          <w:spacing w:val="-14"/>
          <w:w w:val="115"/>
          <w:sz w:val="19"/>
        </w:rPr>
        <w:t> </w:t>
      </w:r>
      <w:r>
        <w:rPr>
          <w:rFonts w:ascii="Arial"/>
          <w:color w:val="231F20"/>
          <w:spacing w:val="-2"/>
          <w:w w:val="115"/>
          <w:sz w:val="19"/>
        </w:rPr>
        <w:t>other</w:t>
      </w:r>
      <w:r>
        <w:rPr>
          <w:rFonts w:ascii="Arial"/>
          <w:color w:val="231F20"/>
          <w:spacing w:val="-13"/>
          <w:w w:val="115"/>
          <w:sz w:val="19"/>
        </w:rPr>
        <w:t> </w:t>
      </w:r>
      <w:r>
        <w:rPr>
          <w:rFonts w:ascii="Arial"/>
          <w:color w:val="231F20"/>
          <w:spacing w:val="-2"/>
          <w:w w:val="115"/>
          <w:sz w:val="19"/>
        </w:rPr>
        <w:t>sources,</w:t>
      </w:r>
      <w:r>
        <w:rPr>
          <w:rFonts w:ascii="Arial"/>
          <w:color w:val="231F20"/>
          <w:spacing w:val="-13"/>
          <w:w w:val="115"/>
          <w:sz w:val="19"/>
        </w:rPr>
        <w:t> </w:t>
      </w:r>
      <w:r>
        <w:rPr>
          <w:rFonts w:ascii="Arial"/>
          <w:color w:val="231F20"/>
          <w:spacing w:val="-2"/>
          <w:w w:val="115"/>
          <w:sz w:val="19"/>
        </w:rPr>
        <w:t>as</w:t>
      </w:r>
      <w:r>
        <w:rPr>
          <w:rFonts w:ascii="Arial"/>
          <w:color w:val="231F20"/>
          <w:spacing w:val="-13"/>
          <w:w w:val="115"/>
          <w:sz w:val="19"/>
        </w:rPr>
        <w:t> </w:t>
      </w:r>
      <w:r>
        <w:rPr>
          <w:rFonts w:ascii="Arial"/>
          <w:color w:val="231F20"/>
          <w:spacing w:val="-2"/>
          <w:w w:val="115"/>
          <w:sz w:val="19"/>
        </w:rPr>
        <w:t>well</w:t>
      </w:r>
      <w:r>
        <w:rPr>
          <w:rFonts w:ascii="Arial"/>
          <w:color w:val="231F20"/>
          <w:spacing w:val="-13"/>
          <w:w w:val="115"/>
          <w:sz w:val="19"/>
        </w:rPr>
        <w:t> </w:t>
      </w:r>
      <w:r>
        <w:rPr>
          <w:rFonts w:ascii="Arial"/>
          <w:color w:val="231F20"/>
          <w:spacing w:val="-2"/>
          <w:w w:val="115"/>
          <w:sz w:val="19"/>
        </w:rPr>
        <w:t>as</w:t>
      </w:r>
      <w:r>
        <w:rPr>
          <w:rFonts w:ascii="Arial"/>
          <w:color w:val="231F20"/>
          <w:spacing w:val="-14"/>
          <w:w w:val="115"/>
          <w:sz w:val="19"/>
        </w:rPr>
        <w:t> </w:t>
      </w:r>
      <w:r>
        <w:rPr>
          <w:rFonts w:ascii="Arial"/>
          <w:color w:val="231F20"/>
          <w:spacing w:val="-2"/>
          <w:w w:val="115"/>
          <w:sz w:val="19"/>
        </w:rPr>
        <w:t>some</w:t>
      </w:r>
      <w:r>
        <w:rPr>
          <w:rFonts w:ascii="Arial"/>
          <w:color w:val="231F20"/>
          <w:spacing w:val="-13"/>
          <w:w w:val="115"/>
          <w:sz w:val="19"/>
        </w:rPr>
        <w:t> </w:t>
      </w:r>
      <w:r>
        <w:rPr>
          <w:rFonts w:ascii="Arial"/>
          <w:color w:val="231F20"/>
          <w:spacing w:val="-2"/>
          <w:w w:val="115"/>
          <w:sz w:val="19"/>
        </w:rPr>
        <w:t>proprietary</w:t>
      </w:r>
      <w:r>
        <w:rPr>
          <w:rFonts w:ascii="Arial"/>
          <w:color w:val="231F20"/>
          <w:spacing w:val="-13"/>
          <w:w w:val="115"/>
          <w:sz w:val="19"/>
        </w:rPr>
        <w:t> </w:t>
      </w:r>
      <w:r>
        <w:rPr>
          <w:rFonts w:ascii="Arial"/>
          <w:color w:val="231F20"/>
          <w:spacing w:val="-2"/>
          <w:w w:val="115"/>
          <w:sz w:val="19"/>
        </w:rPr>
        <w:t>research. </w:t>
      </w:r>
      <w:r>
        <w:rPr>
          <w:rFonts w:ascii="Arial"/>
          <w:color w:val="231F20"/>
          <w:w w:val="115"/>
          <w:sz w:val="19"/>
        </w:rPr>
        <w:t>(Catalog, 800-346-3787)</w:t>
      </w:r>
    </w:p>
    <w:p>
      <w:pPr>
        <w:pStyle w:val="BodyText"/>
        <w:rPr>
          <w:rFonts w:ascii="Arial"/>
          <w:sz w:val="20"/>
        </w:rPr>
      </w:pPr>
    </w:p>
    <w:p>
      <w:pPr>
        <w:pStyle w:val="BodyText"/>
        <w:spacing w:before="8"/>
        <w:rPr>
          <w:rFonts w:ascii="Arial"/>
          <w:sz w:val="22"/>
        </w:rPr>
      </w:pPr>
    </w:p>
    <w:p>
      <w:pPr>
        <w:pStyle w:val="Heading6"/>
        <w:ind w:left="299"/>
        <w:rPr>
          <w:i/>
        </w:rPr>
      </w:pPr>
      <w:r>
        <w:rPr>
          <w:i/>
          <w:color w:val="231F20"/>
          <w:spacing w:val="7"/>
          <w:w w:val="110"/>
        </w:rPr>
        <w:t>INTERVIEWS</w:t>
      </w:r>
    </w:p>
    <w:p>
      <w:pPr>
        <w:pStyle w:val="BodyText"/>
        <w:spacing w:before="2"/>
        <w:rPr>
          <w:b/>
          <w:i/>
          <w:sz w:val="30"/>
        </w:rPr>
      </w:pPr>
    </w:p>
    <w:p>
      <w:pPr>
        <w:pStyle w:val="BodyText"/>
        <w:spacing w:line="292" w:lineRule="auto"/>
        <w:ind w:left="830" w:right="753"/>
        <w:jc w:val="both"/>
      </w:pPr>
      <w:r>
        <w:rPr>
          <w:color w:val="231F20"/>
        </w:rPr>
        <w:t>Information</w:t>
      </w:r>
      <w:r>
        <w:rPr>
          <w:color w:val="231F20"/>
          <w:spacing w:val="40"/>
        </w:rPr>
        <w:t> </w:t>
      </w:r>
      <w:r>
        <w:rPr>
          <w:color w:val="231F20"/>
        </w:rPr>
        <w:t>can</w:t>
      </w:r>
      <w:r>
        <w:rPr>
          <w:color w:val="231F20"/>
          <w:spacing w:val="40"/>
        </w:rPr>
        <w:t> </w:t>
      </w:r>
      <w:r>
        <w:rPr>
          <w:color w:val="231F20"/>
        </w:rPr>
        <w:t>always</w:t>
      </w:r>
      <w:r>
        <w:rPr>
          <w:color w:val="231F20"/>
          <w:spacing w:val="40"/>
        </w:rPr>
        <w:t> </w:t>
      </w:r>
      <w:r>
        <w:rPr>
          <w:color w:val="231F20"/>
        </w:rPr>
        <w:t>be</w:t>
      </w:r>
      <w:r>
        <w:rPr>
          <w:color w:val="231F20"/>
          <w:spacing w:val="40"/>
        </w:rPr>
        <w:t> </w:t>
      </w:r>
      <w:r>
        <w:rPr>
          <w:color w:val="231F20"/>
        </w:rPr>
        <w:t>gathered</w:t>
      </w:r>
      <w:r>
        <w:rPr>
          <w:color w:val="231F20"/>
          <w:spacing w:val="40"/>
        </w:rPr>
        <w:t> </w:t>
      </w:r>
      <w:r>
        <w:rPr>
          <w:color w:val="231F20"/>
        </w:rPr>
        <w:t>by</w:t>
      </w:r>
      <w:r>
        <w:rPr>
          <w:color w:val="231F20"/>
          <w:spacing w:val="40"/>
        </w:rPr>
        <w:t> </w:t>
      </w:r>
      <w:r>
        <w:rPr>
          <w:color w:val="231F20"/>
        </w:rPr>
        <w:t>talking</w:t>
      </w:r>
      <w:r>
        <w:rPr>
          <w:color w:val="231F20"/>
          <w:spacing w:val="40"/>
        </w:rPr>
        <w:t> </w:t>
      </w:r>
      <w:r>
        <w:rPr>
          <w:color w:val="231F20"/>
        </w:rPr>
        <w:t>to</w:t>
      </w:r>
      <w:r>
        <w:rPr>
          <w:color w:val="231F20"/>
          <w:spacing w:val="40"/>
        </w:rPr>
        <w:t> </w:t>
      </w:r>
      <w:r>
        <w:rPr>
          <w:color w:val="231F20"/>
        </w:rPr>
        <w:t>people.</w:t>
      </w:r>
      <w:r>
        <w:rPr>
          <w:color w:val="231F20"/>
          <w:spacing w:val="40"/>
        </w:rPr>
        <w:t> </w:t>
      </w:r>
      <w:r>
        <w:rPr>
          <w:color w:val="231F20"/>
        </w:rPr>
        <w:t>The biggest mistake is to finish an interview and neglect to ask for refer- rals to other sources. After networking with several company or </w:t>
      </w:r>
      <w:r>
        <w:rPr>
          <w:color w:val="231F20"/>
        </w:rPr>
        <w:t>in- dustry insiders, you can name-drop your way to other people. By mentioning the name of someone they already know, you make in- terviewees feel more at ease, and they become more generous with their information.</w:t>
      </w:r>
    </w:p>
    <w:p>
      <w:pPr>
        <w:pStyle w:val="BodyText"/>
        <w:rPr>
          <w:sz w:val="24"/>
        </w:rPr>
      </w:pPr>
    </w:p>
    <w:p>
      <w:pPr>
        <w:pStyle w:val="BodyText"/>
        <w:spacing w:before="5"/>
        <w:rPr>
          <w:sz w:val="18"/>
        </w:rPr>
      </w:pPr>
    </w:p>
    <w:p>
      <w:pPr>
        <w:pStyle w:val="Heading6"/>
        <w:ind w:left="299"/>
        <w:rPr>
          <w:i/>
        </w:rPr>
      </w:pPr>
      <w:r>
        <w:rPr>
          <w:i/>
          <w:color w:val="231F20"/>
          <w:w w:val="110"/>
        </w:rPr>
        <w:t>TRADE</w:t>
      </w:r>
      <w:r>
        <w:rPr>
          <w:i/>
          <w:color w:val="231F20"/>
          <w:spacing w:val="51"/>
          <w:w w:val="110"/>
        </w:rPr>
        <w:t> </w:t>
      </w:r>
      <w:r>
        <w:rPr>
          <w:i/>
          <w:color w:val="231F20"/>
          <w:spacing w:val="8"/>
          <w:w w:val="110"/>
        </w:rPr>
        <w:t>SHOWS</w:t>
      </w:r>
    </w:p>
    <w:p>
      <w:pPr>
        <w:pStyle w:val="BodyText"/>
        <w:spacing w:before="2"/>
        <w:rPr>
          <w:b/>
          <w:i/>
          <w:sz w:val="30"/>
        </w:rPr>
      </w:pPr>
    </w:p>
    <w:p>
      <w:pPr>
        <w:pStyle w:val="BodyText"/>
        <w:spacing w:line="292" w:lineRule="auto"/>
        <w:ind w:left="830" w:right="755"/>
        <w:jc w:val="both"/>
      </w:pPr>
      <w:r>
        <w:rPr>
          <w:color w:val="231F20"/>
        </w:rPr>
        <w:t>If you really want to know about an industry, attend its annual trade show. In one location you will get to see all the major players and</w:t>
      </w:r>
      <w:r>
        <w:rPr>
          <w:color w:val="231F20"/>
          <w:spacing w:val="40"/>
        </w:rPr>
        <w:t> </w:t>
      </w:r>
      <w:r>
        <w:rPr>
          <w:color w:val="231F20"/>
        </w:rPr>
        <w:t>new products. Cahner’s </w:t>
      </w:r>
      <w:r>
        <w:rPr>
          <w:i/>
          <w:color w:val="231F20"/>
        </w:rPr>
        <w:t>Trade Show Week Databook </w:t>
      </w:r>
      <w:r>
        <w:rPr>
          <w:color w:val="231F20"/>
        </w:rPr>
        <w:t>is a </w:t>
      </w:r>
      <w:r>
        <w:rPr>
          <w:color w:val="231F20"/>
        </w:rPr>
        <w:t>complete book of trade shows of all kinds in the United States. (800-375-</w:t>
      </w:r>
      <w:r>
        <w:rPr>
          <w:color w:val="231F20"/>
          <w:spacing w:val="40"/>
        </w:rPr>
        <w:t> </w:t>
      </w:r>
      <w:r>
        <w:rPr>
          <w:color w:val="231F20"/>
        </w:rPr>
        <w:t>4212) For international shows see </w:t>
      </w:r>
      <w:r>
        <w:rPr>
          <w:i/>
          <w:color w:val="231F20"/>
        </w:rPr>
        <w:t>Trade Shows Worldwide. </w:t>
      </w:r>
      <w:r>
        <w:rPr>
          <w:color w:val="231F20"/>
        </w:rPr>
        <w:t>(800- </w:t>
      </w:r>
      <w:r>
        <w:rPr>
          <w:color w:val="231F20"/>
          <w:spacing w:val="-2"/>
        </w:rPr>
        <w:t>877-GALE)</w:t>
      </w:r>
    </w:p>
    <w:p>
      <w:pPr>
        <w:pStyle w:val="BodyText"/>
        <w:rPr>
          <w:sz w:val="24"/>
        </w:rPr>
      </w:pPr>
    </w:p>
    <w:p>
      <w:pPr>
        <w:pStyle w:val="BodyText"/>
        <w:spacing w:before="6"/>
        <w:rPr>
          <w:sz w:val="18"/>
        </w:rPr>
      </w:pPr>
    </w:p>
    <w:p>
      <w:pPr>
        <w:pStyle w:val="Heading6"/>
        <w:ind w:left="299"/>
        <w:rPr>
          <w:i/>
        </w:rPr>
      </w:pPr>
      <w:r>
        <w:rPr>
          <w:i/>
          <w:color w:val="231F20"/>
          <w:w w:val="115"/>
        </w:rPr>
        <w:t>KEEPING</w:t>
      </w:r>
      <w:r>
        <w:rPr>
          <w:i/>
          <w:color w:val="231F20"/>
          <w:spacing w:val="73"/>
          <w:w w:val="115"/>
        </w:rPr>
        <w:t> </w:t>
      </w:r>
      <w:r>
        <w:rPr>
          <w:i/>
          <w:color w:val="231F20"/>
          <w:spacing w:val="8"/>
          <w:w w:val="115"/>
        </w:rPr>
        <w:t>CURRENT</w:t>
      </w:r>
    </w:p>
    <w:p>
      <w:pPr>
        <w:pStyle w:val="BodyText"/>
        <w:spacing w:before="2"/>
        <w:rPr>
          <w:b/>
          <w:i/>
          <w:sz w:val="30"/>
        </w:rPr>
      </w:pPr>
    </w:p>
    <w:p>
      <w:pPr>
        <w:pStyle w:val="BodyText"/>
        <w:spacing w:line="292" w:lineRule="auto"/>
        <w:ind w:left="830" w:right="756"/>
        <w:jc w:val="both"/>
      </w:pPr>
      <w:r>
        <w:rPr>
          <w:color w:val="231F20"/>
        </w:rPr>
        <w:t>There are a few newspapers and magazines that MBAs must </w:t>
      </w:r>
      <w:r>
        <w:rPr>
          <w:color w:val="231F20"/>
        </w:rPr>
        <w:t>make time for. MBAs must be informed, and these publications give them the information edge. How can they expect to talk and think intelli- gently if they do not know what is going on in the world? To suc- ceed, you must read.</w:t>
      </w:r>
    </w:p>
    <w:p>
      <w:pPr>
        <w:pStyle w:val="BodyText"/>
        <w:spacing w:before="3"/>
        <w:rPr>
          <w:sz w:val="27"/>
        </w:rPr>
      </w:pPr>
    </w:p>
    <w:p>
      <w:pPr>
        <w:spacing w:line="328" w:lineRule="auto" w:before="0"/>
        <w:ind w:left="1509" w:right="667" w:hanging="340"/>
        <w:jc w:val="left"/>
        <w:rPr>
          <w:rFonts w:ascii="Arial" w:hAnsi="Arial"/>
          <w:sz w:val="19"/>
        </w:rPr>
      </w:pPr>
      <w:r>
        <w:rPr>
          <w:rFonts w:ascii="Arial" w:hAnsi="Arial"/>
          <w:i/>
          <w:color w:val="231F20"/>
          <w:spacing w:val="-2"/>
          <w:w w:val="115"/>
          <w:sz w:val="19"/>
        </w:rPr>
        <w:t>The</w:t>
      </w:r>
      <w:r>
        <w:rPr>
          <w:rFonts w:ascii="Arial" w:hAnsi="Arial"/>
          <w:i/>
          <w:color w:val="231F20"/>
          <w:spacing w:val="-13"/>
          <w:w w:val="115"/>
          <w:sz w:val="19"/>
        </w:rPr>
        <w:t> </w:t>
      </w:r>
      <w:r>
        <w:rPr>
          <w:rFonts w:ascii="Arial" w:hAnsi="Arial"/>
          <w:i/>
          <w:color w:val="231F20"/>
          <w:spacing w:val="-2"/>
          <w:w w:val="115"/>
          <w:sz w:val="19"/>
        </w:rPr>
        <w:t>Wall</w:t>
      </w:r>
      <w:r>
        <w:rPr>
          <w:rFonts w:ascii="Arial" w:hAnsi="Arial"/>
          <w:i/>
          <w:color w:val="231F20"/>
          <w:spacing w:val="-10"/>
          <w:w w:val="115"/>
          <w:sz w:val="19"/>
        </w:rPr>
        <w:t> </w:t>
      </w:r>
      <w:r>
        <w:rPr>
          <w:rFonts w:ascii="Arial" w:hAnsi="Arial"/>
          <w:i/>
          <w:color w:val="231F20"/>
          <w:spacing w:val="-2"/>
          <w:w w:val="115"/>
          <w:sz w:val="19"/>
        </w:rPr>
        <w:t>Street</w:t>
      </w:r>
      <w:r>
        <w:rPr>
          <w:rFonts w:ascii="Arial" w:hAnsi="Arial"/>
          <w:i/>
          <w:color w:val="231F20"/>
          <w:spacing w:val="-10"/>
          <w:w w:val="115"/>
          <w:sz w:val="19"/>
        </w:rPr>
        <w:t> </w:t>
      </w:r>
      <w:r>
        <w:rPr>
          <w:rFonts w:ascii="Arial" w:hAnsi="Arial"/>
          <w:i/>
          <w:color w:val="231F20"/>
          <w:spacing w:val="-2"/>
          <w:w w:val="115"/>
          <w:sz w:val="19"/>
        </w:rPr>
        <w:t>Journal</w:t>
      </w:r>
      <w:r>
        <w:rPr>
          <w:rFonts w:ascii="Arial" w:hAnsi="Arial"/>
          <w:i/>
          <w:color w:val="231F20"/>
          <w:spacing w:val="-42"/>
          <w:w w:val="115"/>
          <w:sz w:val="19"/>
        </w:rPr>
        <w:t> </w:t>
      </w:r>
      <w:r>
        <w:rPr>
          <w:rFonts w:ascii="Arial" w:hAnsi="Arial"/>
          <w:color w:val="231F20"/>
          <w:spacing w:val="-2"/>
          <w:w w:val="115"/>
          <w:sz w:val="19"/>
        </w:rPr>
        <w:t>—</w:t>
      </w:r>
      <w:r>
        <w:rPr>
          <w:rFonts w:ascii="Arial" w:hAnsi="Arial"/>
          <w:color w:val="231F20"/>
          <w:spacing w:val="-42"/>
          <w:w w:val="115"/>
          <w:sz w:val="19"/>
        </w:rPr>
        <w:t> </w:t>
      </w:r>
      <w:r>
        <w:rPr>
          <w:rFonts w:ascii="Arial" w:hAnsi="Arial"/>
          <w:color w:val="231F20"/>
          <w:spacing w:val="-2"/>
          <w:w w:val="115"/>
          <w:sz w:val="19"/>
        </w:rPr>
        <w:t>If</w:t>
      </w:r>
      <w:r>
        <w:rPr>
          <w:rFonts w:ascii="Arial" w:hAnsi="Arial"/>
          <w:color w:val="231F20"/>
          <w:spacing w:val="-9"/>
          <w:w w:val="115"/>
          <w:sz w:val="19"/>
        </w:rPr>
        <w:t> </w:t>
      </w:r>
      <w:r>
        <w:rPr>
          <w:rFonts w:ascii="Arial" w:hAnsi="Arial"/>
          <w:color w:val="231F20"/>
          <w:spacing w:val="-2"/>
          <w:w w:val="115"/>
          <w:sz w:val="19"/>
        </w:rPr>
        <w:t>you</w:t>
      </w:r>
      <w:r>
        <w:rPr>
          <w:rFonts w:ascii="Arial" w:hAnsi="Arial"/>
          <w:color w:val="231F20"/>
          <w:spacing w:val="-9"/>
          <w:w w:val="115"/>
          <w:sz w:val="19"/>
        </w:rPr>
        <w:t> </w:t>
      </w:r>
      <w:r>
        <w:rPr>
          <w:rFonts w:ascii="Arial" w:hAnsi="Arial"/>
          <w:color w:val="231F20"/>
          <w:spacing w:val="-2"/>
          <w:w w:val="115"/>
          <w:sz w:val="19"/>
        </w:rPr>
        <w:t>don’t</w:t>
      </w:r>
      <w:r>
        <w:rPr>
          <w:rFonts w:ascii="Arial" w:hAnsi="Arial"/>
          <w:color w:val="231F20"/>
          <w:spacing w:val="-9"/>
          <w:w w:val="115"/>
          <w:sz w:val="19"/>
        </w:rPr>
        <w:t> </w:t>
      </w:r>
      <w:r>
        <w:rPr>
          <w:rFonts w:ascii="Arial" w:hAnsi="Arial"/>
          <w:color w:val="231F20"/>
          <w:spacing w:val="-2"/>
          <w:w w:val="115"/>
          <w:sz w:val="19"/>
        </w:rPr>
        <w:t>have</w:t>
      </w:r>
      <w:r>
        <w:rPr>
          <w:rFonts w:ascii="Arial" w:hAnsi="Arial"/>
          <w:color w:val="231F20"/>
          <w:spacing w:val="-9"/>
          <w:w w:val="115"/>
          <w:sz w:val="19"/>
        </w:rPr>
        <w:t> </w:t>
      </w:r>
      <w:r>
        <w:rPr>
          <w:rFonts w:ascii="Arial" w:hAnsi="Arial"/>
          <w:color w:val="231F20"/>
          <w:spacing w:val="-2"/>
          <w:w w:val="115"/>
          <w:sz w:val="19"/>
        </w:rPr>
        <w:t>time</w:t>
      </w:r>
      <w:r>
        <w:rPr>
          <w:rFonts w:ascii="Arial" w:hAnsi="Arial"/>
          <w:color w:val="231F20"/>
          <w:spacing w:val="-9"/>
          <w:w w:val="115"/>
          <w:sz w:val="19"/>
        </w:rPr>
        <w:t> </w:t>
      </w:r>
      <w:r>
        <w:rPr>
          <w:rFonts w:ascii="Arial" w:hAnsi="Arial"/>
          <w:color w:val="231F20"/>
          <w:spacing w:val="-2"/>
          <w:w w:val="115"/>
          <w:sz w:val="19"/>
        </w:rPr>
        <w:t>to</w:t>
      </w:r>
      <w:r>
        <w:rPr>
          <w:rFonts w:ascii="Arial" w:hAnsi="Arial"/>
          <w:color w:val="231F20"/>
          <w:spacing w:val="-9"/>
          <w:w w:val="115"/>
          <w:sz w:val="19"/>
        </w:rPr>
        <w:t> </w:t>
      </w:r>
      <w:r>
        <w:rPr>
          <w:rFonts w:ascii="Arial" w:hAnsi="Arial"/>
          <w:color w:val="231F20"/>
          <w:spacing w:val="-2"/>
          <w:w w:val="115"/>
          <w:sz w:val="19"/>
        </w:rPr>
        <w:t>read</w:t>
      </w:r>
      <w:r>
        <w:rPr>
          <w:rFonts w:ascii="Arial" w:hAnsi="Arial"/>
          <w:color w:val="231F20"/>
          <w:spacing w:val="-9"/>
          <w:w w:val="115"/>
          <w:sz w:val="19"/>
        </w:rPr>
        <w:t> </w:t>
      </w:r>
      <w:r>
        <w:rPr>
          <w:rFonts w:ascii="Arial" w:hAnsi="Arial"/>
          <w:color w:val="231F20"/>
          <w:spacing w:val="-2"/>
          <w:w w:val="115"/>
          <w:sz w:val="19"/>
        </w:rPr>
        <w:t>more, </w:t>
      </w:r>
      <w:r>
        <w:rPr>
          <w:rFonts w:ascii="Arial" w:hAnsi="Arial"/>
          <w:color w:val="231F20"/>
          <w:w w:val="115"/>
          <w:sz w:val="19"/>
        </w:rPr>
        <w:t>just read the front page. It gives you the business news that you need to know.</w:t>
      </w:r>
    </w:p>
    <w:p>
      <w:pPr>
        <w:spacing w:after="0" w:line="328" w:lineRule="auto"/>
        <w:jc w:val="left"/>
        <w:rPr>
          <w:rFonts w:ascii="Arial" w:hAnsi="Arial"/>
          <w:sz w:val="19"/>
        </w:rPr>
        <w:sectPr>
          <w:pgSz w:w="8640" w:h="12960"/>
          <w:pgMar w:header="732" w:footer="0" w:top="920" w:bottom="280" w:left="340" w:right="500"/>
        </w:sectPr>
      </w:pPr>
    </w:p>
    <w:p>
      <w:pPr>
        <w:pStyle w:val="BodyText"/>
        <w:spacing w:before="6"/>
        <w:rPr>
          <w:rFonts w:ascii="Arial"/>
          <w:sz w:val="19"/>
        </w:rPr>
      </w:pPr>
    </w:p>
    <w:p>
      <w:pPr>
        <w:spacing w:line="328" w:lineRule="auto" w:before="97"/>
        <w:ind w:left="1599" w:right="667" w:hanging="340"/>
        <w:jc w:val="left"/>
        <w:rPr>
          <w:rFonts w:ascii="Arial" w:hAnsi="Arial"/>
          <w:sz w:val="19"/>
        </w:rPr>
      </w:pPr>
      <w:bookmarkStart w:name="Public Speaking" w:id="30"/>
      <w:bookmarkEnd w:id="30"/>
      <w:r>
        <w:rPr/>
      </w:r>
      <w:bookmarkStart w:name="Negotiating" w:id="31"/>
      <w:bookmarkEnd w:id="31"/>
      <w:r>
        <w:rPr/>
      </w:r>
      <w:bookmarkStart w:name="_bookmark14" w:id="32"/>
      <w:bookmarkEnd w:id="32"/>
      <w:r>
        <w:rPr/>
      </w:r>
      <w:r>
        <w:rPr>
          <w:rFonts w:ascii="Arial" w:hAnsi="Arial"/>
          <w:i/>
          <w:color w:val="231F20"/>
          <w:spacing w:val="-2"/>
          <w:w w:val="115"/>
          <w:sz w:val="19"/>
        </w:rPr>
        <w:t>Forbes,</w:t>
      </w:r>
      <w:r>
        <w:rPr>
          <w:rFonts w:ascii="Arial" w:hAnsi="Arial"/>
          <w:i/>
          <w:color w:val="231F20"/>
          <w:spacing w:val="-13"/>
          <w:w w:val="115"/>
          <w:sz w:val="19"/>
        </w:rPr>
        <w:t> </w:t>
      </w:r>
      <w:r>
        <w:rPr>
          <w:rFonts w:ascii="Arial" w:hAnsi="Arial"/>
          <w:i/>
          <w:color w:val="231F20"/>
          <w:spacing w:val="-2"/>
          <w:w w:val="115"/>
          <w:sz w:val="19"/>
        </w:rPr>
        <w:t>Business</w:t>
      </w:r>
      <w:r>
        <w:rPr>
          <w:rFonts w:ascii="Arial" w:hAnsi="Arial"/>
          <w:i/>
          <w:color w:val="231F20"/>
          <w:spacing w:val="-11"/>
          <w:w w:val="115"/>
          <w:sz w:val="19"/>
        </w:rPr>
        <w:t> </w:t>
      </w:r>
      <w:r>
        <w:rPr>
          <w:rFonts w:ascii="Arial" w:hAnsi="Arial"/>
          <w:i/>
          <w:color w:val="231F20"/>
          <w:spacing w:val="-2"/>
          <w:w w:val="115"/>
          <w:sz w:val="19"/>
        </w:rPr>
        <w:t>Week,</w:t>
      </w:r>
      <w:r>
        <w:rPr>
          <w:rFonts w:ascii="Arial" w:hAnsi="Arial"/>
          <w:i/>
          <w:color w:val="231F20"/>
          <w:spacing w:val="-12"/>
          <w:w w:val="115"/>
          <w:sz w:val="19"/>
        </w:rPr>
        <w:t> </w:t>
      </w:r>
      <w:r>
        <w:rPr>
          <w:rFonts w:ascii="Arial" w:hAnsi="Arial"/>
          <w:color w:val="231F20"/>
          <w:spacing w:val="-2"/>
          <w:w w:val="115"/>
          <w:sz w:val="19"/>
        </w:rPr>
        <w:t>and</w:t>
      </w:r>
      <w:r>
        <w:rPr>
          <w:rFonts w:ascii="Arial" w:hAnsi="Arial"/>
          <w:color w:val="231F20"/>
          <w:spacing w:val="-11"/>
          <w:w w:val="115"/>
          <w:sz w:val="19"/>
        </w:rPr>
        <w:t> </w:t>
      </w:r>
      <w:r>
        <w:rPr>
          <w:rFonts w:ascii="Arial" w:hAnsi="Arial"/>
          <w:i/>
          <w:color w:val="231F20"/>
          <w:spacing w:val="-2"/>
          <w:w w:val="115"/>
          <w:sz w:val="19"/>
        </w:rPr>
        <w:t>Fortune</w:t>
      </w:r>
      <w:r>
        <w:rPr>
          <w:rFonts w:ascii="Arial" w:hAnsi="Arial"/>
          <w:i/>
          <w:color w:val="231F20"/>
          <w:spacing w:val="-42"/>
          <w:w w:val="115"/>
          <w:sz w:val="19"/>
        </w:rPr>
        <w:t> </w:t>
      </w:r>
      <w:r>
        <w:rPr>
          <w:rFonts w:ascii="Arial" w:hAnsi="Arial"/>
          <w:color w:val="231F20"/>
          <w:spacing w:val="-2"/>
          <w:w w:val="115"/>
          <w:sz w:val="19"/>
        </w:rPr>
        <w:t>—These</w:t>
      </w:r>
      <w:r>
        <w:rPr>
          <w:rFonts w:ascii="Arial" w:hAnsi="Arial"/>
          <w:color w:val="231F20"/>
          <w:spacing w:val="-11"/>
          <w:w w:val="115"/>
          <w:sz w:val="19"/>
        </w:rPr>
        <w:t> </w:t>
      </w:r>
      <w:r>
        <w:rPr>
          <w:rFonts w:ascii="Arial" w:hAnsi="Arial"/>
          <w:color w:val="231F20"/>
          <w:spacing w:val="-2"/>
          <w:w w:val="115"/>
          <w:sz w:val="19"/>
        </w:rPr>
        <w:t>are</w:t>
      </w:r>
      <w:r>
        <w:rPr>
          <w:rFonts w:ascii="Arial" w:hAnsi="Arial"/>
          <w:color w:val="231F20"/>
          <w:spacing w:val="-11"/>
          <w:w w:val="115"/>
          <w:sz w:val="19"/>
        </w:rPr>
        <w:t> </w:t>
      </w:r>
      <w:r>
        <w:rPr>
          <w:rFonts w:ascii="Arial" w:hAnsi="Arial"/>
          <w:color w:val="231F20"/>
          <w:spacing w:val="-2"/>
          <w:w w:val="115"/>
          <w:sz w:val="19"/>
        </w:rPr>
        <w:t>the</w:t>
      </w:r>
      <w:r>
        <w:rPr>
          <w:rFonts w:ascii="Arial" w:hAnsi="Arial"/>
          <w:color w:val="231F20"/>
          <w:spacing w:val="-11"/>
          <w:w w:val="115"/>
          <w:sz w:val="19"/>
        </w:rPr>
        <w:t> </w:t>
      </w:r>
      <w:r>
        <w:rPr>
          <w:rFonts w:ascii="Arial" w:hAnsi="Arial"/>
          <w:color w:val="231F20"/>
          <w:spacing w:val="-2"/>
          <w:w w:val="115"/>
          <w:sz w:val="19"/>
        </w:rPr>
        <w:t>best </w:t>
      </w:r>
      <w:r>
        <w:rPr>
          <w:rFonts w:ascii="Arial" w:hAnsi="Arial"/>
          <w:color w:val="231F20"/>
          <w:w w:val="110"/>
          <w:sz w:val="19"/>
        </w:rPr>
        <w:t>business</w:t>
      </w:r>
      <w:r>
        <w:rPr>
          <w:rFonts w:ascii="Arial" w:hAnsi="Arial"/>
          <w:color w:val="231F20"/>
          <w:spacing w:val="-2"/>
          <w:w w:val="110"/>
          <w:sz w:val="19"/>
        </w:rPr>
        <w:t> </w:t>
      </w:r>
      <w:r>
        <w:rPr>
          <w:rFonts w:ascii="Arial" w:hAnsi="Arial"/>
          <w:color w:val="231F20"/>
          <w:w w:val="110"/>
          <w:sz w:val="19"/>
        </w:rPr>
        <w:t>magazines.</w:t>
      </w:r>
      <w:r>
        <w:rPr>
          <w:rFonts w:ascii="Arial" w:hAnsi="Arial"/>
          <w:color w:val="231F20"/>
          <w:spacing w:val="-2"/>
          <w:w w:val="110"/>
          <w:sz w:val="19"/>
        </w:rPr>
        <w:t> </w:t>
      </w:r>
      <w:r>
        <w:rPr>
          <w:rFonts w:ascii="Arial" w:hAnsi="Arial"/>
          <w:color w:val="231F20"/>
          <w:w w:val="110"/>
          <w:sz w:val="19"/>
        </w:rPr>
        <w:t>For</w:t>
      </w:r>
      <w:r>
        <w:rPr>
          <w:rFonts w:ascii="Arial" w:hAnsi="Arial"/>
          <w:color w:val="231F20"/>
          <w:spacing w:val="-2"/>
          <w:w w:val="110"/>
          <w:sz w:val="19"/>
        </w:rPr>
        <w:t> </w:t>
      </w:r>
      <w:r>
        <w:rPr>
          <w:rFonts w:ascii="Arial" w:hAnsi="Arial"/>
          <w:color w:val="231F20"/>
          <w:w w:val="110"/>
          <w:sz w:val="19"/>
        </w:rPr>
        <w:t>news,</w:t>
      </w:r>
      <w:r>
        <w:rPr>
          <w:rFonts w:ascii="Arial" w:hAnsi="Arial"/>
          <w:color w:val="231F20"/>
          <w:spacing w:val="-2"/>
          <w:w w:val="110"/>
          <w:sz w:val="19"/>
        </w:rPr>
        <w:t> </w:t>
      </w:r>
      <w:r>
        <w:rPr>
          <w:rFonts w:ascii="Arial" w:hAnsi="Arial"/>
          <w:color w:val="231F20"/>
          <w:w w:val="110"/>
          <w:sz w:val="19"/>
        </w:rPr>
        <w:t>there</w:t>
      </w:r>
      <w:r>
        <w:rPr>
          <w:rFonts w:ascii="Arial" w:hAnsi="Arial"/>
          <w:color w:val="231F20"/>
          <w:spacing w:val="-2"/>
          <w:w w:val="110"/>
          <w:sz w:val="19"/>
        </w:rPr>
        <w:t> </w:t>
      </w:r>
      <w:r>
        <w:rPr>
          <w:rFonts w:ascii="Arial" w:hAnsi="Arial"/>
          <w:color w:val="231F20"/>
          <w:w w:val="110"/>
          <w:sz w:val="19"/>
        </w:rPr>
        <w:t>is</w:t>
      </w:r>
      <w:r>
        <w:rPr>
          <w:rFonts w:ascii="Arial" w:hAnsi="Arial"/>
          <w:color w:val="231F20"/>
          <w:spacing w:val="-2"/>
          <w:w w:val="110"/>
          <w:sz w:val="19"/>
        </w:rPr>
        <w:t> </w:t>
      </w:r>
      <w:r>
        <w:rPr>
          <w:rFonts w:ascii="Arial" w:hAnsi="Arial"/>
          <w:color w:val="231F20"/>
          <w:w w:val="110"/>
          <w:sz w:val="19"/>
        </w:rPr>
        <w:t>the</w:t>
      </w:r>
      <w:r>
        <w:rPr>
          <w:rFonts w:ascii="Arial" w:hAnsi="Arial"/>
          <w:color w:val="231F20"/>
          <w:spacing w:val="-3"/>
          <w:w w:val="110"/>
          <w:sz w:val="19"/>
        </w:rPr>
        <w:t> </w:t>
      </w:r>
      <w:r>
        <w:rPr>
          <w:rFonts w:ascii="Arial" w:hAnsi="Arial"/>
          <w:i/>
          <w:color w:val="231F20"/>
          <w:w w:val="110"/>
          <w:sz w:val="19"/>
        </w:rPr>
        <w:t>Journal,</w:t>
      </w:r>
      <w:r>
        <w:rPr>
          <w:rFonts w:ascii="Arial" w:hAnsi="Arial"/>
          <w:i/>
          <w:color w:val="231F20"/>
          <w:spacing w:val="-3"/>
          <w:w w:val="110"/>
          <w:sz w:val="19"/>
        </w:rPr>
        <w:t> </w:t>
      </w:r>
      <w:r>
        <w:rPr>
          <w:rFonts w:ascii="Arial" w:hAnsi="Arial"/>
          <w:color w:val="231F20"/>
          <w:w w:val="110"/>
          <w:sz w:val="19"/>
        </w:rPr>
        <w:t>but </w:t>
      </w:r>
      <w:r>
        <w:rPr>
          <w:rFonts w:ascii="Arial" w:hAnsi="Arial"/>
          <w:color w:val="231F20"/>
          <w:w w:val="115"/>
          <w:sz w:val="19"/>
        </w:rPr>
        <w:t>these</w:t>
      </w:r>
      <w:r>
        <w:rPr>
          <w:rFonts w:ascii="Arial" w:hAnsi="Arial"/>
          <w:color w:val="231F20"/>
          <w:spacing w:val="-2"/>
          <w:w w:val="115"/>
          <w:sz w:val="19"/>
        </w:rPr>
        <w:t> </w:t>
      </w:r>
      <w:r>
        <w:rPr>
          <w:rFonts w:ascii="Arial" w:hAnsi="Arial"/>
          <w:color w:val="231F20"/>
          <w:w w:val="115"/>
          <w:sz w:val="19"/>
        </w:rPr>
        <w:t>magazines</w:t>
      </w:r>
      <w:r>
        <w:rPr>
          <w:rFonts w:ascii="Arial" w:hAnsi="Arial"/>
          <w:color w:val="231F20"/>
          <w:spacing w:val="-2"/>
          <w:w w:val="115"/>
          <w:sz w:val="19"/>
        </w:rPr>
        <w:t> </w:t>
      </w:r>
      <w:r>
        <w:rPr>
          <w:rFonts w:ascii="Arial" w:hAnsi="Arial"/>
          <w:color w:val="231F20"/>
          <w:w w:val="115"/>
          <w:sz w:val="19"/>
        </w:rPr>
        <w:t>give</w:t>
      </w:r>
      <w:r>
        <w:rPr>
          <w:rFonts w:ascii="Arial" w:hAnsi="Arial"/>
          <w:color w:val="231F20"/>
          <w:spacing w:val="-2"/>
          <w:w w:val="115"/>
          <w:sz w:val="19"/>
        </w:rPr>
        <w:t> </w:t>
      </w:r>
      <w:r>
        <w:rPr>
          <w:rFonts w:ascii="Arial" w:hAnsi="Arial"/>
          <w:color w:val="231F20"/>
          <w:w w:val="115"/>
          <w:sz w:val="19"/>
        </w:rPr>
        <w:t>you</w:t>
      </w:r>
      <w:r>
        <w:rPr>
          <w:rFonts w:ascii="Arial" w:hAnsi="Arial"/>
          <w:color w:val="231F20"/>
          <w:spacing w:val="-2"/>
          <w:w w:val="115"/>
          <w:sz w:val="19"/>
        </w:rPr>
        <w:t> </w:t>
      </w:r>
      <w:r>
        <w:rPr>
          <w:rFonts w:ascii="Arial" w:hAnsi="Arial"/>
          <w:color w:val="231F20"/>
          <w:w w:val="115"/>
          <w:sz w:val="19"/>
        </w:rPr>
        <w:t>the</w:t>
      </w:r>
      <w:r>
        <w:rPr>
          <w:rFonts w:ascii="Arial" w:hAnsi="Arial"/>
          <w:color w:val="231F20"/>
          <w:spacing w:val="-2"/>
          <w:w w:val="115"/>
          <w:sz w:val="19"/>
        </w:rPr>
        <w:t> </w:t>
      </w:r>
      <w:r>
        <w:rPr>
          <w:rFonts w:ascii="Arial" w:hAnsi="Arial"/>
          <w:color w:val="231F20"/>
          <w:w w:val="115"/>
          <w:sz w:val="19"/>
        </w:rPr>
        <w:t>trends</w:t>
      </w:r>
      <w:r>
        <w:rPr>
          <w:rFonts w:ascii="Arial" w:hAnsi="Arial"/>
          <w:color w:val="231F20"/>
          <w:spacing w:val="-2"/>
          <w:w w:val="115"/>
          <w:sz w:val="19"/>
        </w:rPr>
        <w:t> </w:t>
      </w:r>
      <w:r>
        <w:rPr>
          <w:rFonts w:ascii="Arial" w:hAnsi="Arial"/>
          <w:color w:val="231F20"/>
          <w:w w:val="115"/>
          <w:sz w:val="19"/>
        </w:rPr>
        <w:t>and</w:t>
      </w:r>
      <w:r>
        <w:rPr>
          <w:rFonts w:ascii="Arial" w:hAnsi="Arial"/>
          <w:color w:val="231F20"/>
          <w:spacing w:val="-2"/>
          <w:w w:val="115"/>
          <w:sz w:val="19"/>
        </w:rPr>
        <w:t> </w:t>
      </w:r>
      <w:r>
        <w:rPr>
          <w:rFonts w:ascii="Arial" w:hAnsi="Arial"/>
          <w:color w:val="231F20"/>
          <w:w w:val="115"/>
          <w:sz w:val="19"/>
        </w:rPr>
        <w:t>the</w:t>
      </w:r>
      <w:r>
        <w:rPr>
          <w:rFonts w:ascii="Arial" w:hAnsi="Arial"/>
          <w:color w:val="231F20"/>
          <w:spacing w:val="-2"/>
          <w:w w:val="115"/>
          <w:sz w:val="19"/>
        </w:rPr>
        <w:t> </w:t>
      </w:r>
      <w:r>
        <w:rPr>
          <w:rFonts w:ascii="Arial" w:hAnsi="Arial"/>
          <w:color w:val="231F20"/>
          <w:w w:val="115"/>
          <w:sz w:val="19"/>
        </w:rPr>
        <w:t>types</w:t>
      </w:r>
      <w:r>
        <w:rPr>
          <w:rFonts w:ascii="Arial" w:hAnsi="Arial"/>
          <w:color w:val="231F20"/>
          <w:spacing w:val="-2"/>
          <w:w w:val="115"/>
          <w:sz w:val="19"/>
        </w:rPr>
        <w:t> </w:t>
      </w:r>
      <w:r>
        <w:rPr>
          <w:rFonts w:ascii="Arial" w:hAnsi="Arial"/>
          <w:color w:val="231F20"/>
          <w:w w:val="115"/>
          <w:sz w:val="19"/>
        </w:rPr>
        <w:t>of stories</w:t>
      </w:r>
      <w:r>
        <w:rPr>
          <w:rFonts w:ascii="Arial" w:hAnsi="Arial"/>
          <w:color w:val="231F20"/>
          <w:spacing w:val="-1"/>
          <w:w w:val="115"/>
          <w:sz w:val="19"/>
        </w:rPr>
        <w:t> </w:t>
      </w:r>
      <w:r>
        <w:rPr>
          <w:rFonts w:ascii="Arial" w:hAnsi="Arial"/>
          <w:color w:val="231F20"/>
          <w:w w:val="115"/>
          <w:sz w:val="19"/>
        </w:rPr>
        <w:t>and</w:t>
      </w:r>
      <w:r>
        <w:rPr>
          <w:rFonts w:ascii="Arial" w:hAnsi="Arial"/>
          <w:color w:val="231F20"/>
          <w:spacing w:val="-1"/>
          <w:w w:val="115"/>
          <w:sz w:val="19"/>
        </w:rPr>
        <w:t> </w:t>
      </w:r>
      <w:r>
        <w:rPr>
          <w:rFonts w:ascii="Arial" w:hAnsi="Arial"/>
          <w:color w:val="231F20"/>
          <w:w w:val="115"/>
          <w:sz w:val="19"/>
        </w:rPr>
        <w:t>analyses</w:t>
      </w:r>
      <w:r>
        <w:rPr>
          <w:rFonts w:ascii="Arial" w:hAnsi="Arial"/>
          <w:color w:val="231F20"/>
          <w:spacing w:val="-1"/>
          <w:w w:val="115"/>
          <w:sz w:val="19"/>
        </w:rPr>
        <w:t> </w:t>
      </w:r>
      <w:r>
        <w:rPr>
          <w:rFonts w:ascii="Arial" w:hAnsi="Arial"/>
          <w:color w:val="231F20"/>
          <w:w w:val="115"/>
          <w:sz w:val="19"/>
        </w:rPr>
        <w:t>that</w:t>
      </w:r>
      <w:r>
        <w:rPr>
          <w:rFonts w:ascii="Arial" w:hAnsi="Arial"/>
          <w:color w:val="231F20"/>
          <w:spacing w:val="-1"/>
          <w:w w:val="115"/>
          <w:sz w:val="19"/>
        </w:rPr>
        <w:t> </w:t>
      </w:r>
      <w:r>
        <w:rPr>
          <w:rFonts w:ascii="Arial" w:hAnsi="Arial"/>
          <w:color w:val="231F20"/>
          <w:w w:val="115"/>
          <w:sz w:val="19"/>
        </w:rPr>
        <w:t>are</w:t>
      </w:r>
      <w:r>
        <w:rPr>
          <w:rFonts w:ascii="Arial" w:hAnsi="Arial"/>
          <w:color w:val="231F20"/>
          <w:spacing w:val="-1"/>
          <w:w w:val="115"/>
          <w:sz w:val="19"/>
        </w:rPr>
        <w:t> </w:t>
      </w:r>
      <w:r>
        <w:rPr>
          <w:rFonts w:ascii="Arial" w:hAnsi="Arial"/>
          <w:color w:val="231F20"/>
          <w:w w:val="115"/>
          <w:sz w:val="19"/>
        </w:rPr>
        <w:t>written</w:t>
      </w:r>
      <w:r>
        <w:rPr>
          <w:rFonts w:ascii="Arial" w:hAnsi="Arial"/>
          <w:color w:val="231F20"/>
          <w:spacing w:val="-1"/>
          <w:w w:val="115"/>
          <w:sz w:val="19"/>
        </w:rPr>
        <w:t> </w:t>
      </w:r>
      <w:r>
        <w:rPr>
          <w:rFonts w:ascii="Arial" w:hAnsi="Arial"/>
          <w:color w:val="231F20"/>
          <w:w w:val="115"/>
          <w:sz w:val="19"/>
        </w:rPr>
        <w:t>for</w:t>
      </w:r>
      <w:r>
        <w:rPr>
          <w:rFonts w:ascii="Arial" w:hAnsi="Arial"/>
          <w:color w:val="231F20"/>
          <w:spacing w:val="-1"/>
          <w:w w:val="115"/>
          <w:sz w:val="19"/>
        </w:rPr>
        <w:t> </w:t>
      </w:r>
      <w:r>
        <w:rPr>
          <w:rFonts w:ascii="Arial" w:hAnsi="Arial"/>
          <w:color w:val="231F20"/>
          <w:w w:val="115"/>
          <w:sz w:val="19"/>
        </w:rPr>
        <w:t>the</w:t>
      </w:r>
      <w:r>
        <w:rPr>
          <w:rFonts w:ascii="Arial" w:hAnsi="Arial"/>
          <w:color w:val="231F20"/>
          <w:spacing w:val="-1"/>
          <w:w w:val="115"/>
          <w:sz w:val="19"/>
        </w:rPr>
        <w:t> </w:t>
      </w:r>
      <w:r>
        <w:rPr>
          <w:rFonts w:ascii="Arial" w:hAnsi="Arial"/>
          <w:color w:val="231F20"/>
          <w:w w:val="115"/>
          <w:sz w:val="19"/>
        </w:rPr>
        <w:t>intelligent business reader.</w:t>
      </w:r>
    </w:p>
    <w:p>
      <w:pPr>
        <w:spacing w:line="328" w:lineRule="auto" w:before="4"/>
        <w:ind w:left="1599" w:right="751" w:hanging="340"/>
        <w:jc w:val="left"/>
        <w:rPr>
          <w:rFonts w:ascii="Arial" w:hAnsi="Arial"/>
          <w:sz w:val="19"/>
        </w:rPr>
      </w:pPr>
      <w:r>
        <w:rPr>
          <w:rFonts w:ascii="Arial" w:hAnsi="Arial"/>
          <w:i/>
          <w:color w:val="231F20"/>
          <w:w w:val="110"/>
          <w:sz w:val="19"/>
        </w:rPr>
        <w:t>Advertising Age</w:t>
      </w:r>
      <w:r>
        <w:rPr>
          <w:rFonts w:ascii="Arial" w:hAnsi="Arial"/>
          <w:i/>
          <w:color w:val="231F20"/>
          <w:spacing w:val="-32"/>
          <w:w w:val="110"/>
          <w:sz w:val="19"/>
        </w:rPr>
        <w:t> </w:t>
      </w:r>
      <w:r>
        <w:rPr>
          <w:rFonts w:ascii="Arial" w:hAnsi="Arial"/>
          <w:color w:val="231F20"/>
          <w:w w:val="110"/>
          <w:sz w:val="19"/>
        </w:rPr>
        <w:t>—</w:t>
      </w:r>
      <w:r>
        <w:rPr>
          <w:rFonts w:ascii="Arial" w:hAnsi="Arial"/>
          <w:color w:val="231F20"/>
          <w:spacing w:val="-32"/>
          <w:w w:val="110"/>
          <w:sz w:val="19"/>
        </w:rPr>
        <w:t> </w:t>
      </w:r>
      <w:r>
        <w:rPr>
          <w:rFonts w:ascii="Arial" w:hAnsi="Arial"/>
          <w:color w:val="231F20"/>
          <w:w w:val="110"/>
          <w:sz w:val="19"/>
        </w:rPr>
        <w:t>Most business magazines have a financial bent, but </w:t>
      </w:r>
      <w:r>
        <w:rPr>
          <w:rFonts w:ascii="Arial" w:hAnsi="Arial"/>
          <w:i/>
          <w:color w:val="231F20"/>
          <w:w w:val="110"/>
          <w:sz w:val="19"/>
        </w:rPr>
        <w:t>Advertising Age </w:t>
      </w:r>
      <w:r>
        <w:rPr>
          <w:rFonts w:ascii="Arial" w:hAnsi="Arial"/>
          <w:color w:val="231F20"/>
          <w:w w:val="110"/>
          <w:sz w:val="19"/>
        </w:rPr>
        <w:t>comes at business from a pure marketing perspective. It is the trade magazine of the advertising world. It gives a person a well-rounded</w:t>
      </w:r>
      <w:r>
        <w:rPr>
          <w:rFonts w:ascii="Arial" w:hAnsi="Arial"/>
          <w:color w:val="231F20"/>
          <w:spacing w:val="40"/>
          <w:w w:val="110"/>
          <w:sz w:val="19"/>
        </w:rPr>
        <w:t> </w:t>
      </w:r>
      <w:r>
        <w:rPr>
          <w:rFonts w:ascii="Arial" w:hAnsi="Arial"/>
          <w:color w:val="231F20"/>
          <w:w w:val="110"/>
          <w:sz w:val="19"/>
        </w:rPr>
        <w:t>business outlook. Since most products are advertised, it </w:t>
      </w:r>
      <w:r>
        <w:rPr>
          <w:rFonts w:ascii="Arial" w:hAnsi="Arial"/>
          <w:color w:val="231F20"/>
          <w:w w:val="110"/>
          <w:sz w:val="19"/>
        </w:rPr>
        <w:t>is a good source of competitive information.</w:t>
      </w:r>
    </w:p>
    <w:p>
      <w:pPr>
        <w:spacing w:line="328" w:lineRule="auto" w:before="4"/>
        <w:ind w:left="1599" w:right="667" w:hanging="340"/>
        <w:jc w:val="left"/>
        <w:rPr>
          <w:rFonts w:ascii="Arial" w:hAnsi="Arial"/>
          <w:sz w:val="19"/>
        </w:rPr>
      </w:pPr>
      <w:r>
        <w:rPr>
          <w:rFonts w:ascii="Arial" w:hAnsi="Arial"/>
          <w:color w:val="231F20"/>
          <w:spacing w:val="-2"/>
          <w:w w:val="115"/>
          <w:sz w:val="19"/>
        </w:rPr>
        <w:t>Local</w:t>
      </w:r>
      <w:r>
        <w:rPr>
          <w:rFonts w:ascii="Arial" w:hAnsi="Arial"/>
          <w:color w:val="231F20"/>
          <w:spacing w:val="-10"/>
          <w:w w:val="115"/>
          <w:sz w:val="19"/>
        </w:rPr>
        <w:t> </w:t>
      </w:r>
      <w:r>
        <w:rPr>
          <w:rFonts w:ascii="Arial" w:hAnsi="Arial"/>
          <w:color w:val="231F20"/>
          <w:spacing w:val="-2"/>
          <w:w w:val="115"/>
          <w:sz w:val="19"/>
        </w:rPr>
        <w:t>Paper/Local</w:t>
      </w:r>
      <w:r>
        <w:rPr>
          <w:rFonts w:ascii="Arial" w:hAnsi="Arial"/>
          <w:color w:val="231F20"/>
          <w:spacing w:val="-8"/>
          <w:w w:val="115"/>
          <w:sz w:val="19"/>
        </w:rPr>
        <w:t> </w:t>
      </w:r>
      <w:r>
        <w:rPr>
          <w:rFonts w:ascii="Arial" w:hAnsi="Arial"/>
          <w:color w:val="231F20"/>
          <w:spacing w:val="-2"/>
          <w:w w:val="115"/>
          <w:sz w:val="19"/>
        </w:rPr>
        <w:t>Business</w:t>
      </w:r>
      <w:r>
        <w:rPr>
          <w:rFonts w:ascii="Arial" w:hAnsi="Arial"/>
          <w:color w:val="231F20"/>
          <w:spacing w:val="-8"/>
          <w:w w:val="115"/>
          <w:sz w:val="19"/>
        </w:rPr>
        <w:t> </w:t>
      </w:r>
      <w:r>
        <w:rPr>
          <w:rFonts w:ascii="Arial" w:hAnsi="Arial"/>
          <w:color w:val="231F20"/>
          <w:spacing w:val="-2"/>
          <w:w w:val="115"/>
          <w:sz w:val="19"/>
        </w:rPr>
        <w:t>Journals—</w:t>
      </w:r>
      <w:r>
        <w:rPr>
          <w:rFonts w:ascii="Arial" w:hAnsi="Arial"/>
          <w:color w:val="231F20"/>
          <w:spacing w:val="-42"/>
          <w:w w:val="115"/>
          <w:sz w:val="19"/>
        </w:rPr>
        <w:t> </w:t>
      </w:r>
      <w:r>
        <w:rPr>
          <w:rFonts w:ascii="Arial" w:hAnsi="Arial"/>
          <w:color w:val="231F20"/>
          <w:spacing w:val="-2"/>
          <w:w w:val="115"/>
          <w:sz w:val="19"/>
        </w:rPr>
        <w:t>If</w:t>
      </w:r>
      <w:r>
        <w:rPr>
          <w:rFonts w:ascii="Arial" w:hAnsi="Arial"/>
          <w:color w:val="231F20"/>
          <w:spacing w:val="-8"/>
          <w:w w:val="115"/>
          <w:sz w:val="19"/>
        </w:rPr>
        <w:t> </w:t>
      </w:r>
      <w:r>
        <w:rPr>
          <w:rFonts w:ascii="Arial" w:hAnsi="Arial"/>
          <w:color w:val="231F20"/>
          <w:spacing w:val="-2"/>
          <w:w w:val="115"/>
          <w:sz w:val="19"/>
        </w:rPr>
        <w:t>you</w:t>
      </w:r>
      <w:r>
        <w:rPr>
          <w:rFonts w:ascii="Arial" w:hAnsi="Arial"/>
          <w:color w:val="231F20"/>
          <w:spacing w:val="-8"/>
          <w:w w:val="115"/>
          <w:sz w:val="19"/>
        </w:rPr>
        <w:t> </w:t>
      </w:r>
      <w:r>
        <w:rPr>
          <w:rFonts w:ascii="Arial" w:hAnsi="Arial"/>
          <w:color w:val="231F20"/>
          <w:spacing w:val="-2"/>
          <w:w w:val="115"/>
          <w:sz w:val="19"/>
        </w:rPr>
        <w:t>don’t</w:t>
      </w:r>
      <w:r>
        <w:rPr>
          <w:rFonts w:ascii="Arial" w:hAnsi="Arial"/>
          <w:color w:val="231F20"/>
          <w:spacing w:val="-8"/>
          <w:w w:val="115"/>
          <w:sz w:val="19"/>
        </w:rPr>
        <w:t> </w:t>
      </w:r>
      <w:r>
        <w:rPr>
          <w:rFonts w:ascii="Arial" w:hAnsi="Arial"/>
          <w:color w:val="231F20"/>
          <w:spacing w:val="-2"/>
          <w:w w:val="115"/>
          <w:sz w:val="19"/>
        </w:rPr>
        <w:t>know</w:t>
      </w:r>
      <w:r>
        <w:rPr>
          <w:rFonts w:ascii="Arial" w:hAnsi="Arial"/>
          <w:color w:val="231F20"/>
          <w:spacing w:val="-8"/>
          <w:w w:val="115"/>
          <w:sz w:val="19"/>
        </w:rPr>
        <w:t> </w:t>
      </w:r>
      <w:r>
        <w:rPr>
          <w:rFonts w:ascii="Arial" w:hAnsi="Arial"/>
          <w:color w:val="231F20"/>
          <w:spacing w:val="-2"/>
          <w:w w:val="115"/>
          <w:sz w:val="19"/>
        </w:rPr>
        <w:t>the </w:t>
      </w:r>
      <w:r>
        <w:rPr>
          <w:rFonts w:ascii="Arial" w:hAnsi="Arial"/>
          <w:color w:val="231F20"/>
          <w:w w:val="115"/>
          <w:sz w:val="19"/>
        </w:rPr>
        <w:t>business players in your community, they will probably never know you.</w:t>
      </w:r>
    </w:p>
    <w:p>
      <w:pPr>
        <w:pStyle w:val="BodyText"/>
        <w:rPr>
          <w:rFonts w:ascii="Arial"/>
          <w:sz w:val="20"/>
        </w:rPr>
      </w:pPr>
    </w:p>
    <w:p>
      <w:pPr>
        <w:pStyle w:val="BodyText"/>
        <w:spacing w:before="7"/>
        <w:rPr>
          <w:rFonts w:ascii="Arial"/>
          <w:sz w:val="22"/>
        </w:rPr>
      </w:pPr>
    </w:p>
    <w:p>
      <w:pPr>
        <w:pStyle w:val="Heading4"/>
      </w:pPr>
      <w:hyperlink w:history="true" w:anchor="_bookmark1">
        <w:r>
          <w:rPr>
            <w:color w:val="0000FF"/>
            <w:w w:val="85"/>
          </w:rPr>
          <w:t>THE</w:t>
        </w:r>
        <w:r>
          <w:rPr>
            <w:color w:val="0000FF"/>
            <w:spacing w:val="17"/>
          </w:rPr>
          <w:t> </w:t>
        </w:r>
        <w:r>
          <w:rPr>
            <w:color w:val="0000FF"/>
            <w:spacing w:val="11"/>
            <w:w w:val="85"/>
          </w:rPr>
          <w:t>TEN-</w:t>
        </w:r>
        <w:r>
          <w:rPr>
            <w:color w:val="0000FF"/>
            <w:spacing w:val="9"/>
            <w:w w:val="85"/>
          </w:rPr>
          <w:t>SECOND</w:t>
        </w:r>
        <w:r>
          <w:rPr>
            <w:color w:val="0000FF"/>
            <w:spacing w:val="18"/>
          </w:rPr>
          <w:t> </w:t>
        </w:r>
        <w:r>
          <w:rPr>
            <w:color w:val="0000FF"/>
            <w:spacing w:val="9"/>
            <w:w w:val="85"/>
          </w:rPr>
          <w:t>MINICOURSE</w:t>
        </w:r>
        <w:r>
          <w:rPr>
            <w:color w:val="0000FF"/>
            <w:spacing w:val="17"/>
          </w:rPr>
          <w:t> </w:t>
        </w:r>
        <w:r>
          <w:rPr>
            <w:color w:val="0000FF"/>
            <w:w w:val="85"/>
          </w:rPr>
          <w:t>ON</w:t>
        </w:r>
        <w:r>
          <w:rPr>
            <w:color w:val="0000FF"/>
            <w:spacing w:val="18"/>
          </w:rPr>
          <w:t> </w:t>
        </w:r>
        <w:r>
          <w:rPr>
            <w:color w:val="0000FF"/>
            <w:spacing w:val="9"/>
            <w:w w:val="85"/>
          </w:rPr>
          <w:t>PUBLIC</w:t>
        </w:r>
        <w:r>
          <w:rPr>
            <w:color w:val="0000FF"/>
            <w:spacing w:val="17"/>
          </w:rPr>
          <w:t> </w:t>
        </w:r>
        <w:r>
          <w:rPr>
            <w:color w:val="0000FF"/>
            <w:spacing w:val="9"/>
            <w:w w:val="85"/>
          </w:rPr>
          <w:t>SPEAKING</w:t>
        </w:r>
      </w:hyperlink>
    </w:p>
    <w:p>
      <w:pPr>
        <w:pStyle w:val="BodyText"/>
        <w:spacing w:before="8"/>
        <w:rPr>
          <w:rFonts w:ascii="Trebuchet MS"/>
          <w:sz w:val="31"/>
        </w:rPr>
      </w:pPr>
    </w:p>
    <w:p>
      <w:pPr>
        <w:pStyle w:val="ListParagraph"/>
        <w:numPr>
          <w:ilvl w:val="0"/>
          <w:numId w:val="46"/>
        </w:numPr>
        <w:tabs>
          <w:tab w:pos="1611" w:val="left" w:leader="none"/>
        </w:tabs>
        <w:spacing w:line="240" w:lineRule="auto" w:before="0" w:after="0"/>
        <w:ind w:left="1610" w:right="0" w:hanging="171"/>
        <w:jc w:val="left"/>
        <w:rPr>
          <w:sz w:val="19"/>
        </w:rPr>
      </w:pPr>
      <w:r>
        <w:rPr>
          <w:color w:val="231F20"/>
          <w:w w:val="110"/>
          <w:sz w:val="19"/>
        </w:rPr>
        <w:t>Know</w:t>
      </w:r>
      <w:r>
        <w:rPr>
          <w:color w:val="231F20"/>
          <w:spacing w:val="11"/>
          <w:w w:val="110"/>
          <w:sz w:val="19"/>
        </w:rPr>
        <w:t> </w:t>
      </w:r>
      <w:r>
        <w:rPr>
          <w:color w:val="231F20"/>
          <w:w w:val="110"/>
          <w:sz w:val="19"/>
        </w:rPr>
        <w:t>your</w:t>
      </w:r>
      <w:r>
        <w:rPr>
          <w:color w:val="231F20"/>
          <w:spacing w:val="12"/>
          <w:w w:val="110"/>
          <w:sz w:val="19"/>
        </w:rPr>
        <w:t> </w:t>
      </w:r>
      <w:r>
        <w:rPr>
          <w:color w:val="231F20"/>
          <w:spacing w:val="-2"/>
          <w:w w:val="110"/>
          <w:sz w:val="19"/>
        </w:rPr>
        <w:t>audience.</w:t>
      </w:r>
    </w:p>
    <w:p>
      <w:pPr>
        <w:spacing w:before="82"/>
        <w:ind w:left="1889" w:right="0" w:firstLine="0"/>
        <w:jc w:val="left"/>
        <w:rPr>
          <w:rFonts w:ascii="Arial"/>
          <w:sz w:val="19"/>
        </w:rPr>
      </w:pPr>
      <w:r>
        <w:rPr>
          <w:rFonts w:ascii="Arial"/>
          <w:color w:val="231F20"/>
          <w:w w:val="110"/>
          <w:sz w:val="19"/>
        </w:rPr>
        <w:t>Their</w:t>
      </w:r>
      <w:r>
        <w:rPr>
          <w:rFonts w:ascii="Arial"/>
          <w:color w:val="231F20"/>
          <w:spacing w:val="5"/>
          <w:w w:val="110"/>
          <w:sz w:val="19"/>
        </w:rPr>
        <w:t> </w:t>
      </w:r>
      <w:r>
        <w:rPr>
          <w:rFonts w:ascii="Arial"/>
          <w:color w:val="231F20"/>
          <w:w w:val="110"/>
          <w:sz w:val="19"/>
        </w:rPr>
        <w:t>interests,</w:t>
      </w:r>
      <w:r>
        <w:rPr>
          <w:rFonts w:ascii="Arial"/>
          <w:color w:val="231F20"/>
          <w:spacing w:val="5"/>
          <w:w w:val="110"/>
          <w:sz w:val="19"/>
        </w:rPr>
        <w:t> </w:t>
      </w:r>
      <w:r>
        <w:rPr>
          <w:rFonts w:ascii="Arial"/>
          <w:color w:val="231F20"/>
          <w:w w:val="110"/>
          <w:sz w:val="19"/>
        </w:rPr>
        <w:t>attention</w:t>
      </w:r>
      <w:r>
        <w:rPr>
          <w:rFonts w:ascii="Arial"/>
          <w:color w:val="231F20"/>
          <w:spacing w:val="5"/>
          <w:w w:val="110"/>
          <w:sz w:val="19"/>
        </w:rPr>
        <w:t> </w:t>
      </w:r>
      <w:r>
        <w:rPr>
          <w:rFonts w:ascii="Arial"/>
          <w:color w:val="231F20"/>
          <w:spacing w:val="-4"/>
          <w:w w:val="110"/>
          <w:sz w:val="19"/>
        </w:rPr>
        <w:t>span</w:t>
      </w:r>
    </w:p>
    <w:p>
      <w:pPr>
        <w:pStyle w:val="ListParagraph"/>
        <w:numPr>
          <w:ilvl w:val="0"/>
          <w:numId w:val="46"/>
        </w:numPr>
        <w:tabs>
          <w:tab w:pos="1611" w:val="left" w:leader="none"/>
        </w:tabs>
        <w:spacing w:line="328" w:lineRule="auto" w:before="81" w:after="0"/>
        <w:ind w:left="1890" w:right="3551" w:hanging="499"/>
        <w:jc w:val="left"/>
        <w:rPr>
          <w:sz w:val="19"/>
        </w:rPr>
      </w:pPr>
      <w:r>
        <w:rPr>
          <w:color w:val="231F20"/>
          <w:w w:val="110"/>
          <w:sz w:val="19"/>
        </w:rPr>
        <w:t>Know your own </w:t>
      </w:r>
      <w:r>
        <w:rPr>
          <w:color w:val="231F20"/>
          <w:w w:val="110"/>
          <w:sz w:val="19"/>
        </w:rPr>
        <w:t>capabilities.</w:t>
      </w:r>
      <w:r>
        <w:rPr>
          <w:color w:val="231F20"/>
          <w:w w:val="110"/>
          <w:sz w:val="19"/>
        </w:rPr>
        <w:t> Can you deliver a joke?</w:t>
      </w:r>
    </w:p>
    <w:p>
      <w:pPr>
        <w:pStyle w:val="ListParagraph"/>
        <w:numPr>
          <w:ilvl w:val="0"/>
          <w:numId w:val="46"/>
        </w:numPr>
        <w:tabs>
          <w:tab w:pos="1611" w:val="left" w:leader="none"/>
        </w:tabs>
        <w:spacing w:line="240" w:lineRule="auto" w:before="2" w:after="0"/>
        <w:ind w:left="1610" w:right="0" w:hanging="224"/>
        <w:jc w:val="left"/>
        <w:rPr>
          <w:sz w:val="19"/>
        </w:rPr>
      </w:pPr>
      <w:r>
        <w:rPr>
          <w:color w:val="231F20"/>
          <w:w w:val="115"/>
          <w:sz w:val="19"/>
        </w:rPr>
        <w:t>Keep</w:t>
      </w:r>
      <w:r>
        <w:rPr>
          <w:color w:val="231F20"/>
          <w:spacing w:val="-16"/>
          <w:w w:val="115"/>
          <w:sz w:val="19"/>
        </w:rPr>
        <w:t> </w:t>
      </w:r>
      <w:r>
        <w:rPr>
          <w:color w:val="231F20"/>
          <w:w w:val="115"/>
          <w:sz w:val="19"/>
        </w:rPr>
        <w:t>it</w:t>
      </w:r>
      <w:r>
        <w:rPr>
          <w:color w:val="231F20"/>
          <w:spacing w:val="-15"/>
          <w:w w:val="115"/>
          <w:sz w:val="19"/>
        </w:rPr>
        <w:t> </w:t>
      </w:r>
      <w:r>
        <w:rPr>
          <w:color w:val="231F20"/>
          <w:spacing w:val="-2"/>
          <w:w w:val="115"/>
          <w:sz w:val="19"/>
        </w:rPr>
        <w:t>simple.</w:t>
      </w:r>
    </w:p>
    <w:p>
      <w:pPr>
        <w:spacing w:line="328" w:lineRule="auto" w:before="81"/>
        <w:ind w:left="1890" w:right="1262" w:firstLine="0"/>
        <w:jc w:val="left"/>
        <w:rPr>
          <w:rFonts w:ascii="Arial"/>
          <w:sz w:val="19"/>
        </w:rPr>
      </w:pPr>
      <w:r>
        <w:rPr>
          <w:rFonts w:ascii="Arial"/>
          <w:color w:val="231F20"/>
          <w:w w:val="115"/>
          <w:sz w:val="19"/>
        </w:rPr>
        <w:t>Detailed information is best delivered in print. </w:t>
      </w:r>
      <w:r>
        <w:rPr>
          <w:rFonts w:ascii="Arial"/>
          <w:color w:val="231F20"/>
          <w:w w:val="110"/>
          <w:sz w:val="19"/>
        </w:rPr>
        <w:t>Speeches should deliver a concept and motivate.</w:t>
      </w:r>
    </w:p>
    <w:p>
      <w:pPr>
        <w:spacing w:before="152"/>
        <w:ind w:left="1889" w:right="0" w:firstLine="0"/>
        <w:jc w:val="left"/>
        <w:rPr>
          <w:rFonts w:ascii="Arial" w:hAnsi="Arial"/>
          <w:sz w:val="19"/>
        </w:rPr>
      </w:pPr>
      <w:r>
        <w:rPr>
          <w:rFonts w:ascii="Arial" w:hAnsi="Arial"/>
          <w:i/>
          <w:color w:val="231F20"/>
          <w:w w:val="105"/>
          <w:sz w:val="19"/>
        </w:rPr>
        <w:t>KISS</w:t>
      </w:r>
      <w:r>
        <w:rPr>
          <w:rFonts w:ascii="Arial" w:hAnsi="Arial"/>
          <w:i/>
          <w:color w:val="231F20"/>
          <w:spacing w:val="-33"/>
          <w:w w:val="105"/>
          <w:sz w:val="19"/>
        </w:rPr>
        <w:t> </w:t>
      </w:r>
      <w:r>
        <w:rPr>
          <w:rFonts w:ascii="Arial" w:hAnsi="Arial"/>
          <w:color w:val="231F20"/>
          <w:w w:val="105"/>
          <w:sz w:val="19"/>
        </w:rPr>
        <w:t>—</w:t>
      </w:r>
      <w:r>
        <w:rPr>
          <w:rFonts w:ascii="Arial" w:hAnsi="Arial"/>
          <w:color w:val="231F20"/>
          <w:spacing w:val="-33"/>
          <w:w w:val="105"/>
          <w:sz w:val="19"/>
        </w:rPr>
        <w:t> </w:t>
      </w:r>
      <w:r>
        <w:rPr>
          <w:rFonts w:ascii="Arial" w:hAnsi="Arial"/>
          <w:color w:val="231F20"/>
          <w:w w:val="105"/>
          <w:sz w:val="19"/>
        </w:rPr>
        <w:t>Keep</w:t>
      </w:r>
      <w:r>
        <w:rPr>
          <w:rFonts w:ascii="Arial" w:hAnsi="Arial"/>
          <w:color w:val="231F20"/>
          <w:spacing w:val="7"/>
          <w:w w:val="105"/>
          <w:sz w:val="19"/>
        </w:rPr>
        <w:t> </w:t>
      </w:r>
      <w:r>
        <w:rPr>
          <w:rFonts w:ascii="Arial" w:hAnsi="Arial"/>
          <w:color w:val="231F20"/>
          <w:w w:val="105"/>
          <w:sz w:val="19"/>
        </w:rPr>
        <w:t>It</w:t>
      </w:r>
      <w:r>
        <w:rPr>
          <w:rFonts w:ascii="Arial" w:hAnsi="Arial"/>
          <w:color w:val="231F20"/>
          <w:spacing w:val="7"/>
          <w:w w:val="105"/>
          <w:sz w:val="19"/>
        </w:rPr>
        <w:t> </w:t>
      </w:r>
      <w:r>
        <w:rPr>
          <w:rFonts w:ascii="Arial" w:hAnsi="Arial"/>
          <w:color w:val="231F20"/>
          <w:w w:val="105"/>
          <w:sz w:val="19"/>
        </w:rPr>
        <w:t>Short</w:t>
      </w:r>
      <w:r>
        <w:rPr>
          <w:rFonts w:ascii="Arial" w:hAnsi="Arial"/>
          <w:color w:val="231F20"/>
          <w:spacing w:val="7"/>
          <w:w w:val="105"/>
          <w:sz w:val="19"/>
        </w:rPr>
        <w:t> </w:t>
      </w:r>
      <w:r>
        <w:rPr>
          <w:rFonts w:ascii="Arial" w:hAnsi="Arial"/>
          <w:color w:val="231F20"/>
          <w:w w:val="105"/>
          <w:sz w:val="19"/>
        </w:rPr>
        <w:t>and</w:t>
      </w:r>
      <w:r>
        <w:rPr>
          <w:rFonts w:ascii="Arial" w:hAnsi="Arial"/>
          <w:color w:val="231F20"/>
          <w:spacing w:val="8"/>
          <w:w w:val="105"/>
          <w:sz w:val="19"/>
        </w:rPr>
        <w:t> </w:t>
      </w:r>
      <w:r>
        <w:rPr>
          <w:rFonts w:ascii="Arial" w:hAnsi="Arial"/>
          <w:color w:val="231F20"/>
          <w:spacing w:val="-2"/>
          <w:w w:val="105"/>
          <w:sz w:val="19"/>
        </w:rPr>
        <w:t>Simple.</w:t>
      </w:r>
    </w:p>
    <w:p>
      <w:pPr>
        <w:pStyle w:val="BodyText"/>
        <w:rPr>
          <w:rFonts w:ascii="Arial"/>
          <w:sz w:val="20"/>
        </w:rPr>
      </w:pPr>
    </w:p>
    <w:p>
      <w:pPr>
        <w:pStyle w:val="BodyText"/>
        <w:spacing w:before="7"/>
        <w:rPr>
          <w:rFonts w:ascii="Arial"/>
          <w:sz w:val="28"/>
        </w:rPr>
      </w:pPr>
    </w:p>
    <w:p>
      <w:pPr>
        <w:pStyle w:val="Heading4"/>
      </w:pPr>
      <w:hyperlink w:history="true" w:anchor="_bookmark1">
        <w:r>
          <w:rPr>
            <w:color w:val="0000FF"/>
            <w:w w:val="85"/>
          </w:rPr>
          <w:t>THE</w:t>
        </w:r>
        <w:r>
          <w:rPr>
            <w:color w:val="0000FF"/>
            <w:spacing w:val="10"/>
          </w:rPr>
          <w:t> </w:t>
        </w:r>
        <w:r>
          <w:rPr>
            <w:color w:val="0000FF"/>
            <w:spacing w:val="11"/>
            <w:w w:val="85"/>
          </w:rPr>
          <w:t>ONE-</w:t>
        </w:r>
        <w:r>
          <w:rPr>
            <w:color w:val="0000FF"/>
            <w:spacing w:val="9"/>
            <w:w w:val="85"/>
          </w:rPr>
          <w:t>MINUTE</w:t>
        </w:r>
        <w:r>
          <w:rPr>
            <w:color w:val="0000FF"/>
            <w:spacing w:val="10"/>
          </w:rPr>
          <w:t> </w:t>
        </w:r>
        <w:r>
          <w:rPr>
            <w:color w:val="0000FF"/>
            <w:spacing w:val="9"/>
            <w:w w:val="85"/>
          </w:rPr>
          <w:t>MINICOURSE</w:t>
        </w:r>
        <w:r>
          <w:rPr>
            <w:color w:val="0000FF"/>
            <w:spacing w:val="11"/>
          </w:rPr>
          <w:t> </w:t>
        </w:r>
        <w:r>
          <w:rPr>
            <w:color w:val="0000FF"/>
            <w:w w:val="85"/>
          </w:rPr>
          <w:t>ON</w:t>
        </w:r>
        <w:r>
          <w:rPr>
            <w:color w:val="0000FF"/>
            <w:spacing w:val="10"/>
          </w:rPr>
          <w:t> </w:t>
        </w:r>
        <w:r>
          <w:rPr>
            <w:color w:val="0000FF"/>
            <w:spacing w:val="7"/>
            <w:w w:val="85"/>
          </w:rPr>
          <w:t>NEGOTIATING</w:t>
        </w:r>
      </w:hyperlink>
    </w:p>
    <w:p>
      <w:pPr>
        <w:pStyle w:val="BodyText"/>
        <w:spacing w:before="8"/>
        <w:rPr>
          <w:rFonts w:ascii="Trebuchet MS"/>
          <w:sz w:val="31"/>
        </w:rPr>
      </w:pPr>
    </w:p>
    <w:p>
      <w:pPr>
        <w:pStyle w:val="ListParagraph"/>
        <w:numPr>
          <w:ilvl w:val="0"/>
          <w:numId w:val="47"/>
        </w:numPr>
        <w:tabs>
          <w:tab w:pos="1611" w:val="left" w:leader="none"/>
        </w:tabs>
        <w:spacing w:line="240" w:lineRule="auto" w:before="0" w:after="0"/>
        <w:ind w:left="1610" w:right="0" w:hanging="171"/>
        <w:jc w:val="left"/>
        <w:rPr>
          <w:sz w:val="19"/>
        </w:rPr>
      </w:pPr>
      <w:r>
        <w:rPr>
          <w:color w:val="231F20"/>
          <w:w w:val="115"/>
          <w:sz w:val="19"/>
        </w:rPr>
        <w:t>Know</w:t>
      </w:r>
      <w:r>
        <w:rPr>
          <w:color w:val="231F20"/>
          <w:spacing w:val="-13"/>
          <w:w w:val="115"/>
          <w:sz w:val="19"/>
        </w:rPr>
        <w:t> </w:t>
      </w:r>
      <w:r>
        <w:rPr>
          <w:color w:val="231F20"/>
          <w:w w:val="115"/>
          <w:sz w:val="19"/>
        </w:rPr>
        <w:t>your</w:t>
      </w:r>
      <w:r>
        <w:rPr>
          <w:color w:val="231F20"/>
          <w:spacing w:val="-12"/>
          <w:w w:val="115"/>
          <w:sz w:val="19"/>
        </w:rPr>
        <w:t> </w:t>
      </w:r>
      <w:r>
        <w:rPr>
          <w:color w:val="231F20"/>
          <w:spacing w:val="-2"/>
          <w:w w:val="115"/>
          <w:sz w:val="19"/>
        </w:rPr>
        <w:t>opponent.</w:t>
      </w:r>
    </w:p>
    <w:p>
      <w:pPr>
        <w:spacing w:before="82"/>
        <w:ind w:left="1889" w:right="0" w:firstLine="0"/>
        <w:jc w:val="left"/>
        <w:rPr>
          <w:rFonts w:ascii="Arial"/>
          <w:sz w:val="19"/>
        </w:rPr>
      </w:pPr>
      <w:r>
        <w:rPr>
          <w:rFonts w:ascii="Arial"/>
          <w:color w:val="231F20"/>
          <w:w w:val="110"/>
          <w:sz w:val="19"/>
        </w:rPr>
        <w:t>Temperament,</w:t>
      </w:r>
      <w:r>
        <w:rPr>
          <w:rFonts w:ascii="Arial"/>
          <w:color w:val="231F20"/>
          <w:spacing w:val="-8"/>
          <w:w w:val="110"/>
          <w:sz w:val="19"/>
        </w:rPr>
        <w:t> </w:t>
      </w:r>
      <w:r>
        <w:rPr>
          <w:rFonts w:ascii="Arial"/>
          <w:color w:val="231F20"/>
          <w:w w:val="110"/>
          <w:sz w:val="19"/>
        </w:rPr>
        <w:t>history,</w:t>
      </w:r>
      <w:r>
        <w:rPr>
          <w:rFonts w:ascii="Arial"/>
          <w:color w:val="231F20"/>
          <w:spacing w:val="-8"/>
          <w:w w:val="110"/>
          <w:sz w:val="19"/>
        </w:rPr>
        <w:t> </w:t>
      </w:r>
      <w:r>
        <w:rPr>
          <w:rFonts w:ascii="Arial"/>
          <w:color w:val="231F20"/>
          <w:w w:val="110"/>
          <w:sz w:val="19"/>
        </w:rPr>
        <w:t>capabilities,</w:t>
      </w:r>
      <w:r>
        <w:rPr>
          <w:rFonts w:ascii="Arial"/>
          <w:color w:val="231F20"/>
          <w:spacing w:val="-7"/>
          <w:w w:val="110"/>
          <w:sz w:val="19"/>
        </w:rPr>
        <w:t> </w:t>
      </w:r>
      <w:r>
        <w:rPr>
          <w:rFonts w:ascii="Arial"/>
          <w:color w:val="231F20"/>
          <w:spacing w:val="-2"/>
          <w:w w:val="110"/>
          <w:sz w:val="19"/>
        </w:rPr>
        <w:t>resources</w:t>
      </w:r>
    </w:p>
    <w:p>
      <w:pPr>
        <w:pStyle w:val="ListParagraph"/>
        <w:numPr>
          <w:ilvl w:val="0"/>
          <w:numId w:val="47"/>
        </w:numPr>
        <w:tabs>
          <w:tab w:pos="1611" w:val="left" w:leader="none"/>
        </w:tabs>
        <w:spacing w:line="240" w:lineRule="auto" w:before="81" w:after="0"/>
        <w:ind w:left="1610" w:right="0" w:hanging="220"/>
        <w:jc w:val="left"/>
        <w:rPr>
          <w:sz w:val="19"/>
        </w:rPr>
      </w:pPr>
      <w:r>
        <w:rPr>
          <w:color w:val="231F20"/>
          <w:w w:val="110"/>
          <w:sz w:val="19"/>
        </w:rPr>
        <w:t>Know</w:t>
      </w:r>
      <w:r>
        <w:rPr>
          <w:color w:val="231F20"/>
          <w:spacing w:val="10"/>
          <w:w w:val="110"/>
          <w:sz w:val="19"/>
        </w:rPr>
        <w:t> </w:t>
      </w:r>
      <w:r>
        <w:rPr>
          <w:color w:val="231F20"/>
          <w:spacing w:val="-2"/>
          <w:w w:val="110"/>
          <w:sz w:val="19"/>
        </w:rPr>
        <w:t>yourself.</w:t>
      </w:r>
    </w:p>
    <w:p>
      <w:pPr>
        <w:spacing w:before="82"/>
        <w:ind w:left="1890" w:right="0" w:firstLine="0"/>
        <w:jc w:val="left"/>
        <w:rPr>
          <w:rFonts w:ascii="Arial"/>
          <w:sz w:val="19"/>
        </w:rPr>
      </w:pPr>
      <w:r>
        <w:rPr>
          <w:rFonts w:ascii="Arial"/>
          <w:color w:val="231F20"/>
          <w:w w:val="110"/>
          <w:sz w:val="19"/>
        </w:rPr>
        <w:t>Temperament,</w:t>
      </w:r>
      <w:r>
        <w:rPr>
          <w:rFonts w:ascii="Arial"/>
          <w:color w:val="231F20"/>
          <w:spacing w:val="-8"/>
          <w:w w:val="110"/>
          <w:sz w:val="19"/>
        </w:rPr>
        <w:t> </w:t>
      </w:r>
      <w:r>
        <w:rPr>
          <w:rFonts w:ascii="Arial"/>
          <w:color w:val="231F20"/>
          <w:w w:val="110"/>
          <w:sz w:val="19"/>
        </w:rPr>
        <w:t>history,</w:t>
      </w:r>
      <w:r>
        <w:rPr>
          <w:rFonts w:ascii="Arial"/>
          <w:color w:val="231F20"/>
          <w:spacing w:val="-8"/>
          <w:w w:val="110"/>
          <w:sz w:val="19"/>
        </w:rPr>
        <w:t> </w:t>
      </w:r>
      <w:r>
        <w:rPr>
          <w:rFonts w:ascii="Arial"/>
          <w:color w:val="231F20"/>
          <w:w w:val="110"/>
          <w:sz w:val="19"/>
        </w:rPr>
        <w:t>capabilities,</w:t>
      </w:r>
      <w:r>
        <w:rPr>
          <w:rFonts w:ascii="Arial"/>
          <w:color w:val="231F20"/>
          <w:spacing w:val="-7"/>
          <w:w w:val="110"/>
          <w:sz w:val="19"/>
        </w:rPr>
        <w:t> </w:t>
      </w:r>
      <w:r>
        <w:rPr>
          <w:rFonts w:ascii="Arial"/>
          <w:color w:val="231F20"/>
          <w:spacing w:val="-2"/>
          <w:w w:val="110"/>
          <w:sz w:val="19"/>
        </w:rPr>
        <w:t>resources</w:t>
      </w:r>
    </w:p>
    <w:p>
      <w:pPr>
        <w:spacing w:line="328" w:lineRule="auto" w:before="82"/>
        <w:ind w:left="1889" w:right="667" w:firstLine="0"/>
        <w:jc w:val="left"/>
        <w:rPr>
          <w:rFonts w:ascii="Arial" w:hAnsi="Arial"/>
          <w:sz w:val="19"/>
        </w:rPr>
      </w:pPr>
      <w:r>
        <w:rPr>
          <w:rFonts w:ascii="Arial" w:hAnsi="Arial"/>
          <w:color w:val="231F20"/>
          <w:w w:val="110"/>
          <w:sz w:val="19"/>
        </w:rPr>
        <w:t>When</w:t>
      </w:r>
      <w:r>
        <w:rPr>
          <w:rFonts w:ascii="Arial" w:hAnsi="Arial"/>
          <w:color w:val="231F20"/>
          <w:spacing w:val="-2"/>
          <w:w w:val="110"/>
          <w:sz w:val="19"/>
        </w:rPr>
        <w:t> </w:t>
      </w:r>
      <w:r>
        <w:rPr>
          <w:rFonts w:ascii="Arial" w:hAnsi="Arial"/>
          <w:color w:val="231F20"/>
          <w:w w:val="110"/>
          <w:sz w:val="19"/>
        </w:rPr>
        <w:t>the</w:t>
      </w:r>
      <w:r>
        <w:rPr>
          <w:rFonts w:ascii="Arial" w:hAnsi="Arial"/>
          <w:color w:val="231F20"/>
          <w:spacing w:val="-2"/>
          <w:w w:val="110"/>
          <w:sz w:val="19"/>
        </w:rPr>
        <w:t> </w:t>
      </w:r>
      <w:r>
        <w:rPr>
          <w:rFonts w:ascii="Arial" w:hAnsi="Arial"/>
          <w:color w:val="231F20"/>
          <w:w w:val="110"/>
          <w:sz w:val="19"/>
        </w:rPr>
        <w:t>desires</w:t>
      </w:r>
      <w:r>
        <w:rPr>
          <w:rFonts w:ascii="Arial" w:hAnsi="Arial"/>
          <w:color w:val="231F20"/>
          <w:spacing w:val="-2"/>
          <w:w w:val="110"/>
          <w:sz w:val="19"/>
        </w:rPr>
        <w:t> </w:t>
      </w:r>
      <w:r>
        <w:rPr>
          <w:rFonts w:ascii="Arial" w:hAnsi="Arial"/>
          <w:color w:val="231F20"/>
          <w:w w:val="110"/>
          <w:sz w:val="19"/>
        </w:rPr>
        <w:t>of</w:t>
      </w:r>
      <w:r>
        <w:rPr>
          <w:rFonts w:ascii="Arial" w:hAnsi="Arial"/>
          <w:color w:val="231F20"/>
          <w:spacing w:val="-2"/>
          <w:w w:val="110"/>
          <w:sz w:val="19"/>
        </w:rPr>
        <w:t> </w:t>
      </w:r>
      <w:r>
        <w:rPr>
          <w:rFonts w:ascii="Arial" w:hAnsi="Arial"/>
          <w:color w:val="231F20"/>
          <w:w w:val="110"/>
          <w:sz w:val="19"/>
        </w:rPr>
        <w:t>two</w:t>
      </w:r>
      <w:r>
        <w:rPr>
          <w:rFonts w:ascii="Arial" w:hAnsi="Arial"/>
          <w:color w:val="231F20"/>
          <w:spacing w:val="-2"/>
          <w:w w:val="110"/>
          <w:sz w:val="19"/>
        </w:rPr>
        <w:t> </w:t>
      </w:r>
      <w:r>
        <w:rPr>
          <w:rFonts w:ascii="Arial" w:hAnsi="Arial"/>
          <w:color w:val="231F20"/>
          <w:w w:val="110"/>
          <w:sz w:val="19"/>
        </w:rPr>
        <w:t>individuals</w:t>
      </w:r>
      <w:r>
        <w:rPr>
          <w:rFonts w:ascii="Arial" w:hAnsi="Arial"/>
          <w:color w:val="231F20"/>
          <w:spacing w:val="-2"/>
          <w:w w:val="110"/>
          <w:sz w:val="19"/>
        </w:rPr>
        <w:t> </w:t>
      </w:r>
      <w:r>
        <w:rPr>
          <w:rFonts w:ascii="Arial" w:hAnsi="Arial"/>
          <w:color w:val="231F20"/>
          <w:w w:val="110"/>
          <w:sz w:val="19"/>
        </w:rPr>
        <w:t>clash,</w:t>
      </w:r>
      <w:r>
        <w:rPr>
          <w:rFonts w:ascii="Arial" w:hAnsi="Arial"/>
          <w:color w:val="231F20"/>
          <w:spacing w:val="-2"/>
          <w:w w:val="110"/>
          <w:sz w:val="19"/>
        </w:rPr>
        <w:t> </w:t>
      </w:r>
      <w:r>
        <w:rPr>
          <w:rFonts w:ascii="Arial" w:hAnsi="Arial"/>
          <w:color w:val="231F20"/>
          <w:w w:val="110"/>
          <w:sz w:val="19"/>
        </w:rPr>
        <w:t>there</w:t>
      </w:r>
      <w:r>
        <w:rPr>
          <w:rFonts w:ascii="Arial" w:hAnsi="Arial"/>
          <w:color w:val="231F20"/>
          <w:spacing w:val="-2"/>
          <w:w w:val="110"/>
          <w:sz w:val="19"/>
        </w:rPr>
        <w:t> </w:t>
      </w:r>
      <w:r>
        <w:rPr>
          <w:rFonts w:ascii="Arial" w:hAnsi="Arial"/>
          <w:color w:val="231F20"/>
          <w:w w:val="110"/>
          <w:sz w:val="19"/>
        </w:rPr>
        <w:t>is</w:t>
      </w:r>
      <w:r>
        <w:rPr>
          <w:rFonts w:ascii="Arial" w:hAnsi="Arial"/>
          <w:color w:val="231F20"/>
          <w:spacing w:val="-2"/>
          <w:w w:val="110"/>
          <w:sz w:val="19"/>
        </w:rPr>
        <w:t> </w:t>
      </w:r>
      <w:r>
        <w:rPr>
          <w:rFonts w:ascii="Arial" w:hAnsi="Arial"/>
          <w:color w:val="231F20"/>
          <w:w w:val="110"/>
          <w:sz w:val="19"/>
        </w:rPr>
        <w:t>a</w:t>
      </w:r>
      <w:r>
        <w:rPr>
          <w:rFonts w:ascii="Arial" w:hAnsi="Arial"/>
          <w:color w:val="231F20"/>
          <w:spacing w:val="-2"/>
          <w:w w:val="110"/>
          <w:sz w:val="19"/>
        </w:rPr>
        <w:t> </w:t>
      </w:r>
      <w:r>
        <w:rPr>
          <w:rFonts w:ascii="Arial" w:hAnsi="Arial"/>
          <w:color w:val="231F20"/>
          <w:w w:val="110"/>
          <w:sz w:val="19"/>
        </w:rPr>
        <w:t>ten- </w:t>
      </w:r>
      <w:r>
        <w:rPr>
          <w:rFonts w:ascii="Arial" w:hAnsi="Arial"/>
          <w:color w:val="231F20"/>
          <w:w w:val="115"/>
          <w:sz w:val="19"/>
        </w:rPr>
        <w:t>sion</w:t>
      </w:r>
      <w:r>
        <w:rPr>
          <w:rFonts w:ascii="Arial" w:hAnsi="Arial"/>
          <w:color w:val="231F20"/>
          <w:spacing w:val="22"/>
          <w:w w:val="115"/>
          <w:sz w:val="19"/>
        </w:rPr>
        <w:t> </w:t>
      </w:r>
      <w:r>
        <w:rPr>
          <w:rFonts w:ascii="Arial" w:hAnsi="Arial"/>
          <w:color w:val="231F20"/>
          <w:w w:val="115"/>
          <w:sz w:val="19"/>
        </w:rPr>
        <w:t>that</w:t>
      </w:r>
      <w:r>
        <w:rPr>
          <w:rFonts w:ascii="Arial" w:hAnsi="Arial"/>
          <w:color w:val="231F20"/>
          <w:spacing w:val="22"/>
          <w:w w:val="115"/>
          <w:sz w:val="19"/>
        </w:rPr>
        <w:t> </w:t>
      </w:r>
      <w:r>
        <w:rPr>
          <w:rFonts w:ascii="Arial" w:hAnsi="Arial"/>
          <w:color w:val="231F20"/>
          <w:w w:val="115"/>
          <w:sz w:val="19"/>
        </w:rPr>
        <w:t>some</w:t>
      </w:r>
      <w:r>
        <w:rPr>
          <w:rFonts w:ascii="Arial" w:hAnsi="Arial"/>
          <w:color w:val="231F20"/>
          <w:spacing w:val="23"/>
          <w:w w:val="115"/>
          <w:sz w:val="19"/>
        </w:rPr>
        <w:t> </w:t>
      </w:r>
      <w:r>
        <w:rPr>
          <w:rFonts w:ascii="Arial" w:hAnsi="Arial"/>
          <w:color w:val="231F20"/>
          <w:w w:val="115"/>
          <w:sz w:val="19"/>
        </w:rPr>
        <w:t>people</w:t>
      </w:r>
      <w:r>
        <w:rPr>
          <w:rFonts w:ascii="Arial" w:hAnsi="Arial"/>
          <w:color w:val="231F20"/>
          <w:spacing w:val="22"/>
          <w:w w:val="115"/>
          <w:sz w:val="19"/>
        </w:rPr>
        <w:t> </w:t>
      </w:r>
      <w:r>
        <w:rPr>
          <w:rFonts w:ascii="Arial" w:hAnsi="Arial"/>
          <w:color w:val="231F20"/>
          <w:w w:val="115"/>
          <w:sz w:val="19"/>
        </w:rPr>
        <w:t>handle</w:t>
      </w:r>
      <w:r>
        <w:rPr>
          <w:rFonts w:ascii="Arial" w:hAnsi="Arial"/>
          <w:color w:val="231F20"/>
          <w:spacing w:val="22"/>
          <w:w w:val="115"/>
          <w:sz w:val="19"/>
        </w:rPr>
        <w:t> </w:t>
      </w:r>
      <w:r>
        <w:rPr>
          <w:rFonts w:ascii="Arial" w:hAnsi="Arial"/>
          <w:color w:val="231F20"/>
          <w:w w:val="115"/>
          <w:sz w:val="19"/>
        </w:rPr>
        <w:t>better</w:t>
      </w:r>
      <w:r>
        <w:rPr>
          <w:rFonts w:ascii="Arial" w:hAnsi="Arial"/>
          <w:color w:val="231F20"/>
          <w:spacing w:val="23"/>
          <w:w w:val="115"/>
          <w:sz w:val="19"/>
        </w:rPr>
        <w:t> </w:t>
      </w:r>
      <w:r>
        <w:rPr>
          <w:rFonts w:ascii="Arial" w:hAnsi="Arial"/>
          <w:color w:val="231F20"/>
          <w:w w:val="115"/>
          <w:sz w:val="19"/>
        </w:rPr>
        <w:t>than</w:t>
      </w:r>
      <w:r>
        <w:rPr>
          <w:rFonts w:ascii="Arial" w:hAnsi="Arial"/>
          <w:color w:val="231F20"/>
          <w:spacing w:val="22"/>
          <w:w w:val="115"/>
          <w:sz w:val="19"/>
        </w:rPr>
        <w:t> </w:t>
      </w:r>
      <w:r>
        <w:rPr>
          <w:rFonts w:ascii="Arial" w:hAnsi="Arial"/>
          <w:color w:val="231F20"/>
          <w:w w:val="115"/>
          <w:sz w:val="19"/>
        </w:rPr>
        <w:t>others.</w:t>
      </w:r>
      <w:r>
        <w:rPr>
          <w:rFonts w:ascii="Arial" w:hAnsi="Arial"/>
          <w:color w:val="231F20"/>
          <w:spacing w:val="23"/>
          <w:w w:val="115"/>
          <w:sz w:val="19"/>
        </w:rPr>
        <w:t> </w:t>
      </w:r>
      <w:r>
        <w:rPr>
          <w:rFonts w:ascii="Arial" w:hAnsi="Arial"/>
          <w:color w:val="231F20"/>
          <w:spacing w:val="-4"/>
          <w:w w:val="115"/>
          <w:sz w:val="19"/>
        </w:rPr>
        <w:t>It’s</w:t>
      </w:r>
    </w:p>
    <w:p>
      <w:pPr>
        <w:spacing w:after="0" w:line="328" w:lineRule="auto"/>
        <w:jc w:val="left"/>
        <w:rPr>
          <w:rFonts w:ascii="Arial" w:hAnsi="Arial"/>
          <w:sz w:val="19"/>
        </w:rPr>
        <w:sectPr>
          <w:pgSz w:w="8640" w:h="12960"/>
          <w:pgMar w:header="734" w:footer="0" w:top="920" w:bottom="280" w:left="340" w:right="500"/>
        </w:sectPr>
      </w:pPr>
    </w:p>
    <w:p>
      <w:pPr>
        <w:pStyle w:val="BodyText"/>
        <w:spacing w:before="10"/>
        <w:rPr>
          <w:rFonts w:ascii="Arial"/>
          <w:sz w:val="19"/>
        </w:rPr>
      </w:pPr>
    </w:p>
    <w:p>
      <w:pPr>
        <w:spacing w:line="328" w:lineRule="auto" w:before="95"/>
        <w:ind w:left="1800" w:right="754" w:firstLine="0"/>
        <w:jc w:val="both"/>
        <w:rPr>
          <w:rFonts w:ascii="Arial"/>
          <w:sz w:val="19"/>
        </w:rPr>
      </w:pPr>
      <w:bookmarkStart w:name="International Business" w:id="33"/>
      <w:bookmarkEnd w:id="33"/>
      <w:r>
        <w:rPr/>
      </w:r>
      <w:bookmarkStart w:name="_bookmark15" w:id="34"/>
      <w:bookmarkEnd w:id="34"/>
      <w:r>
        <w:rPr/>
      </w:r>
      <w:r>
        <w:rPr>
          <w:rFonts w:ascii="Arial"/>
          <w:color w:val="231F20"/>
          <w:w w:val="115"/>
          <w:sz w:val="19"/>
        </w:rPr>
        <w:t>best</w:t>
      </w:r>
      <w:r>
        <w:rPr>
          <w:rFonts w:ascii="Arial"/>
          <w:color w:val="231F20"/>
          <w:spacing w:val="-3"/>
          <w:w w:val="115"/>
          <w:sz w:val="19"/>
        </w:rPr>
        <w:t> </w:t>
      </w:r>
      <w:r>
        <w:rPr>
          <w:rFonts w:ascii="Arial"/>
          <w:color w:val="231F20"/>
          <w:w w:val="115"/>
          <w:sz w:val="19"/>
        </w:rPr>
        <w:t>not</w:t>
      </w:r>
      <w:r>
        <w:rPr>
          <w:rFonts w:ascii="Arial"/>
          <w:color w:val="231F20"/>
          <w:spacing w:val="-3"/>
          <w:w w:val="115"/>
          <w:sz w:val="19"/>
        </w:rPr>
        <w:t> </w:t>
      </w:r>
      <w:r>
        <w:rPr>
          <w:rFonts w:ascii="Arial"/>
          <w:color w:val="231F20"/>
          <w:w w:val="115"/>
          <w:sz w:val="19"/>
        </w:rPr>
        <w:t>to</w:t>
      </w:r>
      <w:r>
        <w:rPr>
          <w:rFonts w:ascii="Arial"/>
          <w:color w:val="231F20"/>
          <w:spacing w:val="-3"/>
          <w:w w:val="115"/>
          <w:sz w:val="19"/>
        </w:rPr>
        <w:t> </w:t>
      </w:r>
      <w:r>
        <w:rPr>
          <w:rFonts w:ascii="Arial"/>
          <w:color w:val="231F20"/>
          <w:w w:val="115"/>
          <w:sz w:val="19"/>
        </w:rPr>
        <w:t>fool</w:t>
      </w:r>
      <w:r>
        <w:rPr>
          <w:rFonts w:ascii="Arial"/>
          <w:color w:val="231F20"/>
          <w:spacing w:val="-3"/>
          <w:w w:val="115"/>
          <w:sz w:val="19"/>
        </w:rPr>
        <w:t> </w:t>
      </w:r>
      <w:r>
        <w:rPr>
          <w:rFonts w:ascii="Arial"/>
          <w:color w:val="231F20"/>
          <w:w w:val="115"/>
          <w:sz w:val="19"/>
        </w:rPr>
        <w:t>yourself</w:t>
      </w:r>
      <w:r>
        <w:rPr>
          <w:rFonts w:ascii="Arial"/>
          <w:color w:val="231F20"/>
          <w:spacing w:val="-3"/>
          <w:w w:val="115"/>
          <w:sz w:val="19"/>
        </w:rPr>
        <w:t> </w:t>
      </w:r>
      <w:r>
        <w:rPr>
          <w:rFonts w:ascii="Arial"/>
          <w:color w:val="231F20"/>
          <w:w w:val="115"/>
          <w:sz w:val="19"/>
        </w:rPr>
        <w:t>about</w:t>
      </w:r>
      <w:r>
        <w:rPr>
          <w:rFonts w:ascii="Arial"/>
          <w:color w:val="231F20"/>
          <w:spacing w:val="-3"/>
          <w:w w:val="115"/>
          <w:sz w:val="19"/>
        </w:rPr>
        <w:t> </w:t>
      </w:r>
      <w:r>
        <w:rPr>
          <w:rFonts w:ascii="Arial"/>
          <w:color w:val="231F20"/>
          <w:w w:val="115"/>
          <w:sz w:val="19"/>
        </w:rPr>
        <w:t>your</w:t>
      </w:r>
      <w:r>
        <w:rPr>
          <w:rFonts w:ascii="Arial"/>
          <w:color w:val="231F20"/>
          <w:spacing w:val="-3"/>
          <w:w w:val="115"/>
          <w:sz w:val="19"/>
        </w:rPr>
        <w:t> </w:t>
      </w:r>
      <w:r>
        <w:rPr>
          <w:rFonts w:ascii="Arial"/>
          <w:color w:val="231F20"/>
          <w:w w:val="115"/>
          <w:sz w:val="19"/>
        </w:rPr>
        <w:t>own</w:t>
      </w:r>
      <w:r>
        <w:rPr>
          <w:rFonts w:ascii="Arial"/>
          <w:color w:val="231F20"/>
          <w:spacing w:val="-3"/>
          <w:w w:val="115"/>
          <w:sz w:val="19"/>
        </w:rPr>
        <w:t> </w:t>
      </w:r>
      <w:r>
        <w:rPr>
          <w:rFonts w:ascii="Arial"/>
          <w:color w:val="231F20"/>
          <w:w w:val="115"/>
          <w:sz w:val="19"/>
        </w:rPr>
        <w:t>temperament. Try</w:t>
      </w:r>
      <w:r>
        <w:rPr>
          <w:rFonts w:ascii="Arial"/>
          <w:color w:val="231F20"/>
          <w:w w:val="115"/>
          <w:sz w:val="19"/>
        </w:rPr>
        <w:t> to</w:t>
      </w:r>
      <w:r>
        <w:rPr>
          <w:rFonts w:ascii="Arial"/>
          <w:color w:val="231F20"/>
          <w:w w:val="115"/>
          <w:sz w:val="19"/>
        </w:rPr>
        <w:t> work</w:t>
      </w:r>
      <w:r>
        <w:rPr>
          <w:rFonts w:ascii="Arial"/>
          <w:color w:val="231F20"/>
          <w:w w:val="115"/>
          <w:sz w:val="19"/>
        </w:rPr>
        <w:t> either</w:t>
      </w:r>
      <w:r>
        <w:rPr>
          <w:rFonts w:ascii="Arial"/>
          <w:color w:val="231F20"/>
          <w:w w:val="115"/>
          <w:sz w:val="19"/>
        </w:rPr>
        <w:t> to</w:t>
      </w:r>
      <w:r>
        <w:rPr>
          <w:rFonts w:ascii="Arial"/>
          <w:color w:val="231F20"/>
          <w:w w:val="115"/>
          <w:sz w:val="19"/>
        </w:rPr>
        <w:t> improve</w:t>
      </w:r>
      <w:r>
        <w:rPr>
          <w:rFonts w:ascii="Arial"/>
          <w:color w:val="231F20"/>
          <w:w w:val="115"/>
          <w:sz w:val="19"/>
        </w:rPr>
        <w:t> your</w:t>
      </w:r>
      <w:r>
        <w:rPr>
          <w:rFonts w:ascii="Arial"/>
          <w:color w:val="231F20"/>
          <w:w w:val="115"/>
          <w:sz w:val="19"/>
        </w:rPr>
        <w:t> ability</w:t>
      </w:r>
      <w:r>
        <w:rPr>
          <w:rFonts w:ascii="Arial"/>
          <w:color w:val="231F20"/>
          <w:w w:val="115"/>
          <w:sz w:val="19"/>
        </w:rPr>
        <w:t> to</w:t>
      </w:r>
      <w:r>
        <w:rPr>
          <w:rFonts w:ascii="Arial"/>
          <w:color w:val="231F20"/>
          <w:w w:val="115"/>
          <w:sz w:val="19"/>
        </w:rPr>
        <w:t> handle conflict, or to learn to compensate for it.</w:t>
      </w:r>
    </w:p>
    <w:p>
      <w:pPr>
        <w:pStyle w:val="ListParagraph"/>
        <w:numPr>
          <w:ilvl w:val="0"/>
          <w:numId w:val="47"/>
        </w:numPr>
        <w:tabs>
          <w:tab w:pos="1521" w:val="left" w:leader="none"/>
        </w:tabs>
        <w:spacing w:line="240" w:lineRule="auto" w:before="2" w:after="0"/>
        <w:ind w:left="1520" w:right="0" w:hanging="224"/>
        <w:jc w:val="both"/>
        <w:rPr>
          <w:sz w:val="19"/>
        </w:rPr>
      </w:pPr>
      <w:r>
        <w:rPr>
          <w:color w:val="231F20"/>
          <w:w w:val="115"/>
          <w:sz w:val="19"/>
        </w:rPr>
        <w:t>Do</w:t>
      </w:r>
      <w:r>
        <w:rPr>
          <w:color w:val="231F20"/>
          <w:spacing w:val="-13"/>
          <w:w w:val="115"/>
          <w:sz w:val="19"/>
        </w:rPr>
        <w:t> </w:t>
      </w:r>
      <w:r>
        <w:rPr>
          <w:color w:val="231F20"/>
          <w:w w:val="115"/>
          <w:sz w:val="19"/>
        </w:rPr>
        <w:t>your</w:t>
      </w:r>
      <w:r>
        <w:rPr>
          <w:color w:val="231F20"/>
          <w:spacing w:val="-12"/>
          <w:w w:val="115"/>
          <w:sz w:val="19"/>
        </w:rPr>
        <w:t> </w:t>
      </w:r>
      <w:r>
        <w:rPr>
          <w:color w:val="231F20"/>
          <w:spacing w:val="-2"/>
          <w:w w:val="115"/>
          <w:sz w:val="19"/>
        </w:rPr>
        <w:t>homework.</w:t>
      </w:r>
    </w:p>
    <w:p>
      <w:pPr>
        <w:spacing w:before="82"/>
        <w:ind w:left="1800" w:right="0" w:firstLine="0"/>
        <w:jc w:val="both"/>
        <w:rPr>
          <w:rFonts w:ascii="Arial"/>
          <w:sz w:val="19"/>
        </w:rPr>
      </w:pPr>
      <w:r>
        <w:rPr>
          <w:rFonts w:ascii="Arial"/>
          <w:color w:val="231F20"/>
          <w:spacing w:val="-2"/>
          <w:w w:val="115"/>
          <w:sz w:val="19"/>
        </w:rPr>
        <w:t>Understand</w:t>
      </w:r>
      <w:r>
        <w:rPr>
          <w:rFonts w:ascii="Arial"/>
          <w:color w:val="231F20"/>
          <w:spacing w:val="-11"/>
          <w:w w:val="115"/>
          <w:sz w:val="19"/>
        </w:rPr>
        <w:t> </w:t>
      </w:r>
      <w:r>
        <w:rPr>
          <w:rFonts w:ascii="Arial"/>
          <w:color w:val="231F20"/>
          <w:spacing w:val="-2"/>
          <w:w w:val="115"/>
          <w:sz w:val="19"/>
        </w:rPr>
        <w:t>the</w:t>
      </w:r>
      <w:r>
        <w:rPr>
          <w:rFonts w:ascii="Arial"/>
          <w:color w:val="231F20"/>
          <w:spacing w:val="-11"/>
          <w:w w:val="115"/>
          <w:sz w:val="19"/>
        </w:rPr>
        <w:t> </w:t>
      </w:r>
      <w:r>
        <w:rPr>
          <w:rFonts w:ascii="Arial"/>
          <w:color w:val="231F20"/>
          <w:spacing w:val="-2"/>
          <w:w w:val="115"/>
          <w:sz w:val="19"/>
        </w:rPr>
        <w:t>impact</w:t>
      </w:r>
      <w:r>
        <w:rPr>
          <w:rFonts w:ascii="Arial"/>
          <w:color w:val="231F20"/>
          <w:spacing w:val="-10"/>
          <w:w w:val="115"/>
          <w:sz w:val="19"/>
        </w:rPr>
        <w:t> </w:t>
      </w:r>
      <w:r>
        <w:rPr>
          <w:rFonts w:ascii="Arial"/>
          <w:color w:val="231F20"/>
          <w:spacing w:val="-2"/>
          <w:w w:val="115"/>
          <w:sz w:val="19"/>
        </w:rPr>
        <w:t>of</w:t>
      </w:r>
      <w:r>
        <w:rPr>
          <w:rFonts w:ascii="Arial"/>
          <w:color w:val="231F20"/>
          <w:spacing w:val="-11"/>
          <w:w w:val="115"/>
          <w:sz w:val="19"/>
        </w:rPr>
        <w:t> </w:t>
      </w:r>
      <w:r>
        <w:rPr>
          <w:rFonts w:ascii="Arial"/>
          <w:color w:val="231F20"/>
          <w:spacing w:val="-2"/>
          <w:w w:val="115"/>
          <w:sz w:val="19"/>
        </w:rPr>
        <w:t>possible</w:t>
      </w:r>
      <w:r>
        <w:rPr>
          <w:rFonts w:ascii="Arial"/>
          <w:color w:val="231F20"/>
          <w:spacing w:val="-10"/>
          <w:w w:val="115"/>
          <w:sz w:val="19"/>
        </w:rPr>
        <w:t> </w:t>
      </w:r>
      <w:r>
        <w:rPr>
          <w:rFonts w:ascii="Arial"/>
          <w:color w:val="231F20"/>
          <w:spacing w:val="-2"/>
          <w:w w:val="115"/>
          <w:sz w:val="19"/>
        </w:rPr>
        <w:t>settlement</w:t>
      </w:r>
      <w:r>
        <w:rPr>
          <w:rFonts w:ascii="Arial"/>
          <w:color w:val="231F20"/>
          <w:spacing w:val="-11"/>
          <w:w w:val="115"/>
          <w:sz w:val="19"/>
        </w:rPr>
        <w:t> </w:t>
      </w:r>
      <w:r>
        <w:rPr>
          <w:rFonts w:ascii="Arial"/>
          <w:color w:val="231F20"/>
          <w:spacing w:val="-2"/>
          <w:w w:val="115"/>
          <w:sz w:val="19"/>
        </w:rPr>
        <w:t>scenarios.</w:t>
      </w:r>
    </w:p>
    <w:p>
      <w:pPr>
        <w:pStyle w:val="ListParagraph"/>
        <w:numPr>
          <w:ilvl w:val="0"/>
          <w:numId w:val="47"/>
        </w:numPr>
        <w:tabs>
          <w:tab w:pos="1521" w:val="left" w:leader="none"/>
        </w:tabs>
        <w:spacing w:line="240" w:lineRule="auto" w:before="81" w:after="0"/>
        <w:ind w:left="1520" w:right="0" w:hanging="234"/>
        <w:jc w:val="both"/>
        <w:rPr>
          <w:sz w:val="19"/>
        </w:rPr>
      </w:pPr>
      <w:r>
        <w:rPr>
          <w:color w:val="231F20"/>
          <w:spacing w:val="-2"/>
          <w:w w:val="115"/>
          <w:sz w:val="19"/>
        </w:rPr>
        <w:t>Determine</w:t>
      </w:r>
      <w:r>
        <w:rPr>
          <w:color w:val="231F20"/>
          <w:spacing w:val="-6"/>
          <w:w w:val="115"/>
          <w:sz w:val="19"/>
        </w:rPr>
        <w:t> </w:t>
      </w:r>
      <w:r>
        <w:rPr>
          <w:color w:val="231F20"/>
          <w:spacing w:val="-2"/>
          <w:w w:val="115"/>
          <w:sz w:val="19"/>
        </w:rPr>
        <w:t>your</w:t>
      </w:r>
      <w:r>
        <w:rPr>
          <w:color w:val="231F20"/>
          <w:spacing w:val="-5"/>
          <w:w w:val="115"/>
          <w:sz w:val="19"/>
        </w:rPr>
        <w:t> </w:t>
      </w:r>
      <w:r>
        <w:rPr>
          <w:color w:val="231F20"/>
          <w:spacing w:val="-2"/>
          <w:w w:val="115"/>
          <w:sz w:val="19"/>
        </w:rPr>
        <w:t>strategy</w:t>
      </w:r>
      <w:r>
        <w:rPr>
          <w:color w:val="231F20"/>
          <w:spacing w:val="-6"/>
          <w:w w:val="115"/>
          <w:sz w:val="19"/>
        </w:rPr>
        <w:t> </w:t>
      </w:r>
      <w:r>
        <w:rPr>
          <w:color w:val="231F20"/>
          <w:spacing w:val="-2"/>
          <w:w w:val="115"/>
          <w:sz w:val="19"/>
        </w:rPr>
        <w:t>and</w:t>
      </w:r>
      <w:r>
        <w:rPr>
          <w:color w:val="231F20"/>
          <w:spacing w:val="-5"/>
          <w:w w:val="115"/>
          <w:sz w:val="19"/>
        </w:rPr>
        <w:t> </w:t>
      </w:r>
      <w:r>
        <w:rPr>
          <w:color w:val="231F20"/>
          <w:spacing w:val="-2"/>
          <w:w w:val="115"/>
          <w:sz w:val="19"/>
        </w:rPr>
        <w:t>limits</w:t>
      </w:r>
      <w:r>
        <w:rPr>
          <w:color w:val="231F20"/>
          <w:spacing w:val="-6"/>
          <w:w w:val="115"/>
          <w:sz w:val="19"/>
        </w:rPr>
        <w:t> </w:t>
      </w:r>
      <w:r>
        <w:rPr>
          <w:color w:val="231F20"/>
          <w:spacing w:val="-2"/>
          <w:w w:val="115"/>
          <w:sz w:val="19"/>
        </w:rPr>
        <w:t>ahead</w:t>
      </w:r>
      <w:r>
        <w:rPr>
          <w:color w:val="231F20"/>
          <w:spacing w:val="-5"/>
          <w:w w:val="115"/>
          <w:sz w:val="19"/>
        </w:rPr>
        <w:t> </w:t>
      </w:r>
      <w:r>
        <w:rPr>
          <w:color w:val="231F20"/>
          <w:spacing w:val="-2"/>
          <w:w w:val="115"/>
          <w:sz w:val="19"/>
        </w:rPr>
        <w:t>of</w:t>
      </w:r>
      <w:r>
        <w:rPr>
          <w:color w:val="231F20"/>
          <w:spacing w:val="-6"/>
          <w:w w:val="115"/>
          <w:sz w:val="19"/>
        </w:rPr>
        <w:t> </w:t>
      </w:r>
      <w:r>
        <w:rPr>
          <w:color w:val="231F20"/>
          <w:spacing w:val="-2"/>
          <w:w w:val="115"/>
          <w:sz w:val="19"/>
        </w:rPr>
        <w:t>time.</w:t>
      </w:r>
    </w:p>
    <w:p>
      <w:pPr>
        <w:spacing w:before="82"/>
        <w:ind w:left="1800" w:right="0" w:firstLine="0"/>
        <w:jc w:val="both"/>
        <w:rPr>
          <w:rFonts w:ascii="Arial" w:hAnsi="Arial"/>
          <w:sz w:val="19"/>
        </w:rPr>
      </w:pPr>
      <w:r>
        <w:rPr>
          <w:rFonts w:ascii="Arial" w:hAnsi="Arial"/>
          <w:color w:val="231F20"/>
          <w:w w:val="115"/>
          <w:sz w:val="19"/>
        </w:rPr>
        <w:t>Do</w:t>
      </w:r>
      <w:r>
        <w:rPr>
          <w:rFonts w:ascii="Arial" w:hAnsi="Arial"/>
          <w:color w:val="231F20"/>
          <w:spacing w:val="-7"/>
          <w:w w:val="115"/>
          <w:sz w:val="19"/>
        </w:rPr>
        <w:t> </w:t>
      </w:r>
      <w:r>
        <w:rPr>
          <w:rFonts w:ascii="Arial" w:hAnsi="Arial"/>
          <w:color w:val="231F20"/>
          <w:w w:val="115"/>
          <w:sz w:val="19"/>
        </w:rPr>
        <w:t>not</w:t>
      </w:r>
      <w:r>
        <w:rPr>
          <w:rFonts w:ascii="Arial" w:hAnsi="Arial"/>
          <w:color w:val="231F20"/>
          <w:spacing w:val="-6"/>
          <w:w w:val="115"/>
          <w:sz w:val="19"/>
        </w:rPr>
        <w:t> </w:t>
      </w:r>
      <w:r>
        <w:rPr>
          <w:rFonts w:ascii="Arial" w:hAnsi="Arial"/>
          <w:color w:val="231F20"/>
          <w:w w:val="115"/>
          <w:sz w:val="19"/>
        </w:rPr>
        <w:t>get</w:t>
      </w:r>
      <w:r>
        <w:rPr>
          <w:rFonts w:ascii="Arial" w:hAnsi="Arial"/>
          <w:color w:val="231F20"/>
          <w:spacing w:val="-6"/>
          <w:w w:val="115"/>
          <w:sz w:val="19"/>
        </w:rPr>
        <w:t> </w:t>
      </w:r>
      <w:r>
        <w:rPr>
          <w:rFonts w:ascii="Arial" w:hAnsi="Arial"/>
          <w:color w:val="231F20"/>
          <w:w w:val="115"/>
          <w:sz w:val="19"/>
        </w:rPr>
        <w:t>caught</w:t>
      </w:r>
      <w:r>
        <w:rPr>
          <w:rFonts w:ascii="Arial" w:hAnsi="Arial"/>
          <w:color w:val="231F20"/>
          <w:spacing w:val="-7"/>
          <w:w w:val="115"/>
          <w:sz w:val="19"/>
        </w:rPr>
        <w:t> </w:t>
      </w:r>
      <w:r>
        <w:rPr>
          <w:rFonts w:ascii="Arial" w:hAnsi="Arial"/>
          <w:color w:val="231F20"/>
          <w:w w:val="115"/>
          <w:sz w:val="19"/>
        </w:rPr>
        <w:t>up</w:t>
      </w:r>
      <w:r>
        <w:rPr>
          <w:rFonts w:ascii="Arial" w:hAnsi="Arial"/>
          <w:color w:val="231F20"/>
          <w:spacing w:val="-6"/>
          <w:w w:val="115"/>
          <w:sz w:val="19"/>
        </w:rPr>
        <w:t> </w:t>
      </w:r>
      <w:r>
        <w:rPr>
          <w:rFonts w:ascii="Arial" w:hAnsi="Arial"/>
          <w:color w:val="231F20"/>
          <w:w w:val="115"/>
          <w:sz w:val="19"/>
        </w:rPr>
        <w:t>in</w:t>
      </w:r>
      <w:r>
        <w:rPr>
          <w:rFonts w:ascii="Arial" w:hAnsi="Arial"/>
          <w:color w:val="231F20"/>
          <w:spacing w:val="-6"/>
          <w:w w:val="115"/>
          <w:sz w:val="19"/>
        </w:rPr>
        <w:t> </w:t>
      </w:r>
      <w:r>
        <w:rPr>
          <w:rFonts w:ascii="Arial" w:hAnsi="Arial"/>
          <w:color w:val="231F20"/>
          <w:w w:val="115"/>
          <w:sz w:val="19"/>
        </w:rPr>
        <w:t>the</w:t>
      </w:r>
      <w:r>
        <w:rPr>
          <w:rFonts w:ascii="Arial" w:hAnsi="Arial"/>
          <w:color w:val="231F20"/>
          <w:spacing w:val="-6"/>
          <w:w w:val="115"/>
          <w:sz w:val="19"/>
        </w:rPr>
        <w:t> </w:t>
      </w:r>
      <w:r>
        <w:rPr>
          <w:rFonts w:ascii="Arial" w:hAnsi="Arial"/>
          <w:color w:val="231F20"/>
          <w:w w:val="115"/>
          <w:sz w:val="19"/>
        </w:rPr>
        <w:t>“need</w:t>
      </w:r>
      <w:r>
        <w:rPr>
          <w:rFonts w:ascii="Arial" w:hAnsi="Arial"/>
          <w:color w:val="231F20"/>
          <w:spacing w:val="-7"/>
          <w:w w:val="115"/>
          <w:sz w:val="19"/>
        </w:rPr>
        <w:t> </w:t>
      </w:r>
      <w:r>
        <w:rPr>
          <w:rFonts w:ascii="Arial" w:hAnsi="Arial"/>
          <w:color w:val="231F20"/>
          <w:w w:val="115"/>
          <w:sz w:val="19"/>
        </w:rPr>
        <w:t>to</w:t>
      </w:r>
      <w:r>
        <w:rPr>
          <w:rFonts w:ascii="Arial" w:hAnsi="Arial"/>
          <w:color w:val="231F20"/>
          <w:spacing w:val="-6"/>
          <w:w w:val="115"/>
          <w:sz w:val="19"/>
        </w:rPr>
        <w:t> </w:t>
      </w:r>
      <w:r>
        <w:rPr>
          <w:rFonts w:ascii="Arial" w:hAnsi="Arial"/>
          <w:color w:val="231F20"/>
          <w:w w:val="115"/>
          <w:sz w:val="19"/>
        </w:rPr>
        <w:t>win”</w:t>
      </w:r>
      <w:r>
        <w:rPr>
          <w:rFonts w:ascii="Arial" w:hAnsi="Arial"/>
          <w:color w:val="231F20"/>
          <w:spacing w:val="-6"/>
          <w:w w:val="115"/>
          <w:sz w:val="19"/>
        </w:rPr>
        <w:t> </w:t>
      </w:r>
      <w:r>
        <w:rPr>
          <w:rFonts w:ascii="Arial" w:hAnsi="Arial"/>
          <w:color w:val="231F20"/>
          <w:w w:val="115"/>
          <w:sz w:val="19"/>
        </w:rPr>
        <w:t>at</w:t>
      </w:r>
      <w:r>
        <w:rPr>
          <w:rFonts w:ascii="Arial" w:hAnsi="Arial"/>
          <w:color w:val="231F20"/>
          <w:spacing w:val="-6"/>
          <w:w w:val="115"/>
          <w:sz w:val="19"/>
        </w:rPr>
        <w:t> </w:t>
      </w:r>
      <w:r>
        <w:rPr>
          <w:rFonts w:ascii="Arial" w:hAnsi="Arial"/>
          <w:color w:val="231F20"/>
          <w:w w:val="115"/>
          <w:sz w:val="19"/>
        </w:rPr>
        <w:t>all</w:t>
      </w:r>
      <w:r>
        <w:rPr>
          <w:rFonts w:ascii="Arial" w:hAnsi="Arial"/>
          <w:color w:val="231F20"/>
          <w:spacing w:val="-7"/>
          <w:w w:val="115"/>
          <w:sz w:val="19"/>
        </w:rPr>
        <w:t> </w:t>
      </w:r>
      <w:r>
        <w:rPr>
          <w:rFonts w:ascii="Arial" w:hAnsi="Arial"/>
          <w:color w:val="231F20"/>
          <w:spacing w:val="-2"/>
          <w:w w:val="115"/>
          <w:sz w:val="19"/>
        </w:rPr>
        <w:t>costs.</w:t>
      </w:r>
    </w:p>
    <w:p>
      <w:pPr>
        <w:pStyle w:val="ListParagraph"/>
        <w:numPr>
          <w:ilvl w:val="0"/>
          <w:numId w:val="47"/>
        </w:numPr>
        <w:tabs>
          <w:tab w:pos="1521" w:val="left" w:leader="none"/>
        </w:tabs>
        <w:spacing w:line="328" w:lineRule="auto" w:before="82" w:after="0"/>
        <w:ind w:left="1519" w:right="756" w:hanging="222"/>
        <w:jc w:val="both"/>
        <w:rPr>
          <w:sz w:val="19"/>
        </w:rPr>
      </w:pPr>
      <w:r>
        <w:rPr>
          <w:color w:val="231F20"/>
          <w:w w:val="115"/>
          <w:sz w:val="19"/>
        </w:rPr>
        <w:t>Review</w:t>
      </w:r>
      <w:r>
        <w:rPr>
          <w:color w:val="231F20"/>
          <w:spacing w:val="-1"/>
          <w:w w:val="115"/>
          <w:sz w:val="19"/>
        </w:rPr>
        <w:t> </w:t>
      </w:r>
      <w:r>
        <w:rPr>
          <w:color w:val="231F20"/>
          <w:w w:val="115"/>
          <w:sz w:val="19"/>
        </w:rPr>
        <w:t>each</w:t>
      </w:r>
      <w:r>
        <w:rPr>
          <w:color w:val="231F20"/>
          <w:spacing w:val="-1"/>
          <w:w w:val="115"/>
          <w:sz w:val="19"/>
        </w:rPr>
        <w:t> </w:t>
      </w:r>
      <w:r>
        <w:rPr>
          <w:color w:val="231F20"/>
          <w:w w:val="115"/>
          <w:sz w:val="19"/>
        </w:rPr>
        <w:t>negotiation</w:t>
      </w:r>
      <w:r>
        <w:rPr>
          <w:color w:val="231F20"/>
          <w:spacing w:val="-1"/>
          <w:w w:val="115"/>
          <w:sz w:val="19"/>
        </w:rPr>
        <w:t> </w:t>
      </w:r>
      <w:r>
        <w:rPr>
          <w:color w:val="231F20"/>
          <w:w w:val="115"/>
          <w:sz w:val="19"/>
        </w:rPr>
        <w:t>afterward</w:t>
      </w:r>
      <w:r>
        <w:rPr>
          <w:color w:val="231F20"/>
          <w:spacing w:val="-1"/>
          <w:w w:val="115"/>
          <w:sz w:val="19"/>
        </w:rPr>
        <w:t> </w:t>
      </w:r>
      <w:r>
        <w:rPr>
          <w:color w:val="231F20"/>
          <w:w w:val="115"/>
          <w:sz w:val="19"/>
        </w:rPr>
        <w:t>to</w:t>
      </w:r>
      <w:r>
        <w:rPr>
          <w:color w:val="231F20"/>
          <w:spacing w:val="-1"/>
          <w:w w:val="115"/>
          <w:sz w:val="19"/>
        </w:rPr>
        <w:t> </w:t>
      </w:r>
      <w:r>
        <w:rPr>
          <w:color w:val="231F20"/>
          <w:w w:val="115"/>
          <w:sz w:val="19"/>
        </w:rPr>
        <w:t>gain</w:t>
      </w:r>
      <w:r>
        <w:rPr>
          <w:color w:val="231F20"/>
          <w:spacing w:val="-1"/>
          <w:w w:val="115"/>
          <w:sz w:val="19"/>
        </w:rPr>
        <w:t> </w:t>
      </w:r>
      <w:r>
        <w:rPr>
          <w:color w:val="231F20"/>
          <w:w w:val="115"/>
          <w:sz w:val="19"/>
        </w:rPr>
        <w:t>knowledge</w:t>
      </w:r>
      <w:r>
        <w:rPr>
          <w:color w:val="231F20"/>
          <w:spacing w:val="-1"/>
          <w:w w:val="115"/>
          <w:sz w:val="19"/>
        </w:rPr>
        <w:t> </w:t>
      </w:r>
      <w:r>
        <w:rPr>
          <w:color w:val="231F20"/>
          <w:w w:val="115"/>
          <w:sz w:val="19"/>
        </w:rPr>
        <w:t>for</w:t>
      </w:r>
      <w:r>
        <w:rPr>
          <w:color w:val="231F20"/>
          <w:w w:val="115"/>
          <w:sz w:val="19"/>
        </w:rPr>
        <w:t> the next negotiation.</w:t>
      </w:r>
    </w:p>
    <w:p>
      <w:pPr>
        <w:spacing w:line="328" w:lineRule="auto" w:before="1"/>
        <w:ind w:left="1800" w:right="758" w:firstLine="0"/>
        <w:jc w:val="both"/>
        <w:rPr>
          <w:rFonts w:ascii="Arial"/>
          <w:sz w:val="19"/>
        </w:rPr>
      </w:pPr>
      <w:r>
        <w:rPr>
          <w:rFonts w:ascii="Arial"/>
          <w:color w:val="231F20"/>
          <w:w w:val="115"/>
          <w:sz w:val="19"/>
        </w:rPr>
        <w:t>What</w:t>
      </w:r>
      <w:r>
        <w:rPr>
          <w:rFonts w:ascii="Arial"/>
          <w:color w:val="231F20"/>
          <w:w w:val="115"/>
          <w:sz w:val="19"/>
        </w:rPr>
        <w:t> can</w:t>
      </w:r>
      <w:r>
        <w:rPr>
          <w:rFonts w:ascii="Arial"/>
          <w:color w:val="231F20"/>
          <w:w w:val="115"/>
          <w:sz w:val="19"/>
        </w:rPr>
        <w:t> I</w:t>
      </w:r>
      <w:r>
        <w:rPr>
          <w:rFonts w:ascii="Arial"/>
          <w:color w:val="231F20"/>
          <w:w w:val="115"/>
          <w:sz w:val="19"/>
        </w:rPr>
        <w:t> improve</w:t>
      </w:r>
      <w:r>
        <w:rPr>
          <w:rFonts w:ascii="Arial"/>
          <w:color w:val="231F20"/>
          <w:w w:val="115"/>
          <w:sz w:val="19"/>
        </w:rPr>
        <w:t> on?</w:t>
      </w:r>
      <w:r>
        <w:rPr>
          <w:rFonts w:ascii="Arial"/>
          <w:color w:val="231F20"/>
          <w:w w:val="115"/>
          <w:sz w:val="19"/>
        </w:rPr>
        <w:t> What</w:t>
      </w:r>
      <w:r>
        <w:rPr>
          <w:rFonts w:ascii="Arial"/>
          <w:color w:val="231F20"/>
          <w:w w:val="115"/>
          <w:sz w:val="19"/>
        </w:rPr>
        <w:t> can</w:t>
      </w:r>
      <w:r>
        <w:rPr>
          <w:rFonts w:ascii="Arial"/>
          <w:color w:val="231F20"/>
          <w:w w:val="115"/>
          <w:sz w:val="19"/>
        </w:rPr>
        <w:t> I</w:t>
      </w:r>
      <w:r>
        <w:rPr>
          <w:rFonts w:ascii="Arial"/>
          <w:color w:val="231F20"/>
          <w:w w:val="115"/>
          <w:sz w:val="19"/>
        </w:rPr>
        <w:t> learn</w:t>
      </w:r>
      <w:r>
        <w:rPr>
          <w:rFonts w:ascii="Arial"/>
          <w:color w:val="231F20"/>
          <w:w w:val="115"/>
          <w:sz w:val="19"/>
        </w:rPr>
        <w:t> from</w:t>
      </w:r>
      <w:r>
        <w:rPr>
          <w:rFonts w:ascii="Arial"/>
          <w:color w:val="231F20"/>
          <w:w w:val="115"/>
          <w:sz w:val="19"/>
        </w:rPr>
        <w:t> my </w:t>
      </w:r>
      <w:r>
        <w:rPr>
          <w:rFonts w:ascii="Arial"/>
          <w:color w:val="231F20"/>
          <w:spacing w:val="-2"/>
          <w:w w:val="115"/>
          <w:sz w:val="19"/>
        </w:rPr>
        <w:t>opponent?</w:t>
      </w:r>
    </w:p>
    <w:p>
      <w:pPr>
        <w:pStyle w:val="BodyText"/>
        <w:rPr>
          <w:rFonts w:ascii="Arial"/>
          <w:sz w:val="20"/>
        </w:rPr>
      </w:pPr>
    </w:p>
    <w:p>
      <w:pPr>
        <w:pStyle w:val="BodyText"/>
        <w:rPr>
          <w:rFonts w:ascii="Arial"/>
          <w:sz w:val="29"/>
        </w:rPr>
      </w:pPr>
    </w:p>
    <w:p>
      <w:pPr>
        <w:pStyle w:val="Heading4"/>
        <w:spacing w:before="1"/>
        <w:ind w:left="300"/>
      </w:pPr>
      <w:hyperlink w:history="true" w:anchor="_bookmark1">
        <w:r>
          <w:rPr>
            <w:color w:val="0000FF"/>
            <w:w w:val="85"/>
          </w:rPr>
          <w:t>THE</w:t>
        </w:r>
        <w:r>
          <w:rPr>
            <w:color w:val="0000FF"/>
            <w:spacing w:val="10"/>
          </w:rPr>
          <w:t> </w:t>
        </w:r>
        <w:r>
          <w:rPr>
            <w:color w:val="0000FF"/>
            <w:spacing w:val="11"/>
            <w:w w:val="85"/>
          </w:rPr>
          <w:t>ONE-</w:t>
        </w:r>
        <w:r>
          <w:rPr>
            <w:color w:val="0000FF"/>
            <w:spacing w:val="9"/>
            <w:w w:val="85"/>
          </w:rPr>
          <w:t>MINUTE</w:t>
        </w:r>
        <w:r>
          <w:rPr>
            <w:color w:val="0000FF"/>
            <w:spacing w:val="10"/>
          </w:rPr>
          <w:t> </w:t>
        </w:r>
        <w:r>
          <w:rPr>
            <w:color w:val="0000FF"/>
            <w:spacing w:val="9"/>
            <w:w w:val="85"/>
          </w:rPr>
          <w:t>MINICOURSE</w:t>
        </w:r>
        <w:r>
          <w:rPr>
            <w:color w:val="0000FF"/>
            <w:spacing w:val="11"/>
          </w:rPr>
          <w:t> </w:t>
        </w:r>
        <w:r>
          <w:rPr>
            <w:color w:val="0000FF"/>
            <w:w w:val="85"/>
          </w:rPr>
          <w:t>ON</w:t>
        </w:r>
        <w:r>
          <w:rPr>
            <w:color w:val="0000FF"/>
            <w:spacing w:val="10"/>
          </w:rPr>
          <w:t> </w:t>
        </w:r>
        <w:r>
          <w:rPr>
            <w:color w:val="0000FF"/>
            <w:spacing w:val="8"/>
            <w:w w:val="85"/>
          </w:rPr>
          <w:t>CONDUCTING</w:t>
        </w:r>
      </w:hyperlink>
    </w:p>
    <w:p>
      <w:pPr>
        <w:spacing w:before="21"/>
        <w:ind w:left="300" w:right="219" w:firstLine="0"/>
        <w:jc w:val="center"/>
        <w:rPr>
          <w:rFonts w:ascii="Trebuchet MS"/>
          <w:sz w:val="24"/>
        </w:rPr>
      </w:pPr>
      <w:hyperlink w:history="true" w:anchor="_bookmark1">
        <w:r>
          <w:rPr>
            <w:rFonts w:ascii="Trebuchet MS"/>
            <w:color w:val="0000FF"/>
            <w:spacing w:val="9"/>
            <w:w w:val="85"/>
            <w:sz w:val="24"/>
          </w:rPr>
          <w:t>INTERNATIONAL</w:t>
        </w:r>
        <w:r>
          <w:rPr>
            <w:rFonts w:ascii="Trebuchet MS"/>
            <w:color w:val="0000FF"/>
            <w:spacing w:val="34"/>
            <w:sz w:val="24"/>
          </w:rPr>
          <w:t> </w:t>
        </w:r>
        <w:r>
          <w:rPr>
            <w:rFonts w:ascii="Trebuchet MS"/>
            <w:color w:val="0000FF"/>
            <w:spacing w:val="9"/>
            <w:w w:val="85"/>
            <w:sz w:val="24"/>
          </w:rPr>
          <w:t>BUSINESS*</w:t>
        </w:r>
        <w:r>
          <w:rPr>
            <w:rFonts w:ascii="Trebuchet MS"/>
            <w:color w:val="0000FF"/>
            <w:spacing w:val="35"/>
            <w:sz w:val="24"/>
          </w:rPr>
          <w:t> </w:t>
        </w:r>
        <w:r>
          <w:rPr>
            <w:rFonts w:ascii="Trebuchet MS"/>
            <w:color w:val="0000FF"/>
            <w:w w:val="85"/>
            <w:sz w:val="24"/>
          </w:rPr>
          <w:t>(AND</w:t>
        </w:r>
        <w:r>
          <w:rPr>
            <w:rFonts w:ascii="Trebuchet MS"/>
            <w:color w:val="0000FF"/>
            <w:spacing w:val="34"/>
            <w:sz w:val="24"/>
          </w:rPr>
          <w:t> </w:t>
        </w:r>
        <w:r>
          <w:rPr>
            <w:rFonts w:ascii="Trebuchet MS"/>
            <w:color w:val="0000FF"/>
            <w:spacing w:val="9"/>
            <w:w w:val="85"/>
            <w:sz w:val="24"/>
          </w:rPr>
          <w:t>FOREIGN</w:t>
        </w:r>
        <w:r>
          <w:rPr>
            <w:rFonts w:ascii="Trebuchet MS"/>
            <w:color w:val="0000FF"/>
            <w:spacing w:val="35"/>
            <w:sz w:val="24"/>
          </w:rPr>
          <w:t> </w:t>
        </w:r>
        <w:r>
          <w:rPr>
            <w:rFonts w:ascii="Trebuchet MS"/>
            <w:color w:val="0000FF"/>
            <w:spacing w:val="8"/>
            <w:w w:val="85"/>
            <w:sz w:val="24"/>
          </w:rPr>
          <w:t>POLICY)</w:t>
        </w:r>
      </w:hyperlink>
    </w:p>
    <w:p>
      <w:pPr>
        <w:pStyle w:val="BodyText"/>
        <w:spacing w:before="8"/>
        <w:rPr>
          <w:rFonts w:ascii="Trebuchet MS"/>
          <w:sz w:val="31"/>
        </w:rPr>
      </w:pPr>
    </w:p>
    <w:p>
      <w:pPr>
        <w:pStyle w:val="ListParagraph"/>
        <w:numPr>
          <w:ilvl w:val="0"/>
          <w:numId w:val="48"/>
        </w:numPr>
        <w:tabs>
          <w:tab w:pos="1521" w:val="left" w:leader="none"/>
        </w:tabs>
        <w:spacing w:line="328" w:lineRule="auto" w:before="0" w:after="0"/>
        <w:ind w:left="1519" w:right="756" w:hanging="170"/>
        <w:jc w:val="both"/>
        <w:rPr>
          <w:sz w:val="19"/>
        </w:rPr>
      </w:pPr>
      <w:r>
        <w:rPr>
          <w:color w:val="231F20"/>
          <w:w w:val="110"/>
          <w:sz w:val="19"/>
        </w:rPr>
        <w:t>Understand</w:t>
      </w:r>
      <w:r>
        <w:rPr>
          <w:color w:val="231F20"/>
          <w:spacing w:val="-5"/>
          <w:w w:val="110"/>
          <w:sz w:val="19"/>
        </w:rPr>
        <w:t> </w:t>
      </w:r>
      <w:r>
        <w:rPr>
          <w:color w:val="231F20"/>
          <w:w w:val="110"/>
          <w:sz w:val="19"/>
        </w:rPr>
        <w:t>the</w:t>
      </w:r>
      <w:r>
        <w:rPr>
          <w:color w:val="231F20"/>
          <w:spacing w:val="-5"/>
          <w:w w:val="110"/>
          <w:sz w:val="19"/>
        </w:rPr>
        <w:t> </w:t>
      </w:r>
      <w:r>
        <w:rPr>
          <w:color w:val="231F20"/>
          <w:w w:val="110"/>
          <w:sz w:val="19"/>
        </w:rPr>
        <w:t>host’s</w:t>
      </w:r>
      <w:r>
        <w:rPr>
          <w:color w:val="231F20"/>
          <w:spacing w:val="-5"/>
          <w:w w:val="110"/>
          <w:sz w:val="19"/>
        </w:rPr>
        <w:t> </w:t>
      </w:r>
      <w:r>
        <w:rPr>
          <w:color w:val="231F20"/>
          <w:w w:val="110"/>
          <w:sz w:val="19"/>
        </w:rPr>
        <w:t>culture,</w:t>
      </w:r>
      <w:r>
        <w:rPr>
          <w:color w:val="231F20"/>
          <w:spacing w:val="-5"/>
          <w:w w:val="110"/>
          <w:sz w:val="19"/>
        </w:rPr>
        <w:t> </w:t>
      </w:r>
      <w:r>
        <w:rPr>
          <w:color w:val="231F20"/>
          <w:w w:val="110"/>
          <w:sz w:val="19"/>
        </w:rPr>
        <w:t>values,</w:t>
      </w:r>
      <w:r>
        <w:rPr>
          <w:color w:val="231F20"/>
          <w:spacing w:val="-5"/>
          <w:w w:val="110"/>
          <w:sz w:val="19"/>
        </w:rPr>
        <w:t> </w:t>
      </w:r>
      <w:r>
        <w:rPr>
          <w:color w:val="231F20"/>
          <w:w w:val="110"/>
          <w:sz w:val="19"/>
        </w:rPr>
        <w:t>customs,</w:t>
      </w:r>
      <w:r>
        <w:rPr>
          <w:color w:val="231F20"/>
          <w:spacing w:val="-5"/>
          <w:w w:val="110"/>
          <w:sz w:val="19"/>
        </w:rPr>
        <w:t> </w:t>
      </w:r>
      <w:r>
        <w:rPr>
          <w:color w:val="231F20"/>
          <w:w w:val="110"/>
          <w:sz w:val="19"/>
        </w:rPr>
        <w:t>and</w:t>
      </w:r>
      <w:r>
        <w:rPr>
          <w:color w:val="231F20"/>
          <w:spacing w:val="-5"/>
          <w:w w:val="110"/>
          <w:sz w:val="19"/>
        </w:rPr>
        <w:t> </w:t>
      </w:r>
      <w:r>
        <w:rPr>
          <w:color w:val="231F20"/>
          <w:w w:val="110"/>
          <w:sz w:val="19"/>
        </w:rPr>
        <w:t>beliefs.</w:t>
      </w:r>
      <w:r>
        <w:rPr>
          <w:color w:val="231F20"/>
          <w:w w:val="110"/>
          <w:sz w:val="19"/>
        </w:rPr>
        <w:t> Don’t assume that your values are shared.</w:t>
      </w:r>
    </w:p>
    <w:p>
      <w:pPr>
        <w:pStyle w:val="ListParagraph"/>
        <w:numPr>
          <w:ilvl w:val="0"/>
          <w:numId w:val="48"/>
        </w:numPr>
        <w:tabs>
          <w:tab w:pos="1521" w:val="left" w:leader="none"/>
        </w:tabs>
        <w:spacing w:line="328" w:lineRule="auto" w:before="2" w:after="0"/>
        <w:ind w:left="1519" w:right="757" w:hanging="219"/>
        <w:jc w:val="both"/>
        <w:rPr>
          <w:sz w:val="19"/>
        </w:rPr>
      </w:pPr>
      <w:r>
        <w:rPr>
          <w:color w:val="231F20"/>
          <w:w w:val="115"/>
          <w:sz w:val="19"/>
        </w:rPr>
        <w:t>When</w:t>
      </w:r>
      <w:r>
        <w:rPr>
          <w:color w:val="231F20"/>
          <w:spacing w:val="-3"/>
          <w:w w:val="115"/>
          <w:sz w:val="19"/>
        </w:rPr>
        <w:t> </w:t>
      </w:r>
      <w:r>
        <w:rPr>
          <w:color w:val="231F20"/>
          <w:w w:val="115"/>
          <w:sz w:val="19"/>
        </w:rPr>
        <w:t>you</w:t>
      </w:r>
      <w:r>
        <w:rPr>
          <w:color w:val="231F20"/>
          <w:spacing w:val="-3"/>
          <w:w w:val="115"/>
          <w:sz w:val="19"/>
        </w:rPr>
        <w:t> </w:t>
      </w:r>
      <w:r>
        <w:rPr>
          <w:color w:val="231F20"/>
          <w:w w:val="115"/>
          <w:sz w:val="19"/>
        </w:rPr>
        <w:t>are</w:t>
      </w:r>
      <w:r>
        <w:rPr>
          <w:color w:val="231F20"/>
          <w:spacing w:val="-3"/>
          <w:w w:val="115"/>
          <w:sz w:val="19"/>
        </w:rPr>
        <w:t> </w:t>
      </w:r>
      <w:r>
        <w:rPr>
          <w:color w:val="231F20"/>
          <w:w w:val="115"/>
          <w:sz w:val="19"/>
        </w:rPr>
        <w:t>in</w:t>
      </w:r>
      <w:r>
        <w:rPr>
          <w:color w:val="231F20"/>
          <w:spacing w:val="-3"/>
          <w:w w:val="115"/>
          <w:sz w:val="19"/>
        </w:rPr>
        <w:t> </w:t>
      </w:r>
      <w:r>
        <w:rPr>
          <w:color w:val="231F20"/>
          <w:w w:val="115"/>
          <w:sz w:val="19"/>
        </w:rPr>
        <w:t>a</w:t>
      </w:r>
      <w:r>
        <w:rPr>
          <w:color w:val="231F20"/>
          <w:spacing w:val="-3"/>
          <w:w w:val="115"/>
          <w:sz w:val="19"/>
        </w:rPr>
        <w:t> </w:t>
      </w:r>
      <w:r>
        <w:rPr>
          <w:color w:val="231F20"/>
          <w:w w:val="115"/>
          <w:sz w:val="19"/>
        </w:rPr>
        <w:t>foreign</w:t>
      </w:r>
      <w:r>
        <w:rPr>
          <w:color w:val="231F20"/>
          <w:spacing w:val="-3"/>
          <w:w w:val="115"/>
          <w:sz w:val="19"/>
        </w:rPr>
        <w:t> </w:t>
      </w:r>
      <w:r>
        <w:rPr>
          <w:color w:val="231F20"/>
          <w:w w:val="115"/>
          <w:sz w:val="19"/>
        </w:rPr>
        <w:t>country,</w:t>
      </w:r>
      <w:r>
        <w:rPr>
          <w:color w:val="231F20"/>
          <w:spacing w:val="-3"/>
          <w:w w:val="115"/>
          <w:sz w:val="19"/>
        </w:rPr>
        <w:t> </w:t>
      </w:r>
      <w:r>
        <w:rPr>
          <w:color w:val="231F20"/>
          <w:w w:val="115"/>
          <w:sz w:val="19"/>
        </w:rPr>
        <w:t>you</w:t>
      </w:r>
      <w:r>
        <w:rPr>
          <w:color w:val="231F20"/>
          <w:spacing w:val="-3"/>
          <w:w w:val="115"/>
          <w:sz w:val="19"/>
        </w:rPr>
        <w:t> </w:t>
      </w:r>
      <w:r>
        <w:rPr>
          <w:color w:val="231F20"/>
          <w:w w:val="115"/>
          <w:sz w:val="19"/>
        </w:rPr>
        <w:t>are</w:t>
      </w:r>
      <w:r>
        <w:rPr>
          <w:color w:val="231F20"/>
          <w:spacing w:val="-3"/>
          <w:w w:val="115"/>
          <w:sz w:val="19"/>
        </w:rPr>
        <w:t> </w:t>
      </w:r>
      <w:r>
        <w:rPr>
          <w:color w:val="231F20"/>
          <w:w w:val="115"/>
          <w:sz w:val="19"/>
        </w:rPr>
        <w:t>a</w:t>
      </w:r>
      <w:r>
        <w:rPr>
          <w:color w:val="231F20"/>
          <w:spacing w:val="-3"/>
          <w:w w:val="115"/>
          <w:sz w:val="19"/>
        </w:rPr>
        <w:t> </w:t>
      </w:r>
      <w:r>
        <w:rPr>
          <w:color w:val="231F20"/>
          <w:w w:val="115"/>
          <w:sz w:val="19"/>
        </w:rPr>
        <w:t>guest.</w:t>
      </w:r>
      <w:r>
        <w:rPr>
          <w:color w:val="231F20"/>
          <w:spacing w:val="-3"/>
          <w:w w:val="115"/>
          <w:sz w:val="19"/>
        </w:rPr>
        <w:t> </w:t>
      </w:r>
      <w:r>
        <w:rPr>
          <w:color w:val="231F20"/>
          <w:w w:val="115"/>
          <w:sz w:val="19"/>
        </w:rPr>
        <w:t>They</w:t>
      </w:r>
      <w:r>
        <w:rPr>
          <w:color w:val="231F20"/>
          <w:w w:val="115"/>
          <w:sz w:val="19"/>
        </w:rPr>
        <w:t> are the host and they have the power.</w:t>
      </w:r>
    </w:p>
    <w:p>
      <w:pPr>
        <w:pStyle w:val="ListParagraph"/>
        <w:numPr>
          <w:ilvl w:val="0"/>
          <w:numId w:val="48"/>
        </w:numPr>
        <w:tabs>
          <w:tab w:pos="1521" w:val="left" w:leader="none"/>
        </w:tabs>
        <w:spacing w:line="328" w:lineRule="auto" w:before="1" w:after="0"/>
        <w:ind w:left="1519" w:right="755" w:hanging="223"/>
        <w:jc w:val="both"/>
        <w:rPr>
          <w:sz w:val="19"/>
        </w:rPr>
      </w:pPr>
      <w:r>
        <w:rPr>
          <w:color w:val="231F20"/>
          <w:w w:val="115"/>
          <w:sz w:val="19"/>
        </w:rPr>
        <w:t>You are a foreigner and you will never </w:t>
      </w:r>
      <w:r>
        <w:rPr>
          <w:i/>
          <w:color w:val="231F20"/>
          <w:w w:val="115"/>
          <w:sz w:val="19"/>
        </w:rPr>
        <w:t>really </w:t>
      </w:r>
      <w:r>
        <w:rPr>
          <w:color w:val="231F20"/>
          <w:w w:val="115"/>
          <w:sz w:val="19"/>
        </w:rPr>
        <w:t>understand </w:t>
      </w:r>
      <w:r>
        <w:rPr>
          <w:color w:val="231F20"/>
          <w:spacing w:val="-4"/>
          <w:w w:val="115"/>
          <w:sz w:val="19"/>
        </w:rPr>
        <w:t>them.</w:t>
      </w:r>
    </w:p>
    <w:p>
      <w:pPr>
        <w:pStyle w:val="ListParagraph"/>
        <w:numPr>
          <w:ilvl w:val="0"/>
          <w:numId w:val="48"/>
        </w:numPr>
        <w:tabs>
          <w:tab w:pos="1521" w:val="left" w:leader="none"/>
        </w:tabs>
        <w:spacing w:line="328" w:lineRule="auto" w:before="2" w:after="0"/>
        <w:ind w:left="1519" w:right="757" w:hanging="233"/>
        <w:jc w:val="both"/>
        <w:rPr>
          <w:sz w:val="19"/>
        </w:rPr>
      </w:pPr>
      <w:r>
        <w:rPr>
          <w:color w:val="231F20"/>
          <w:w w:val="115"/>
          <w:sz w:val="19"/>
        </w:rPr>
        <w:t>Multinational</w:t>
      </w:r>
      <w:r>
        <w:rPr>
          <w:color w:val="231F20"/>
          <w:w w:val="115"/>
          <w:sz w:val="19"/>
        </w:rPr>
        <w:t> corporations</w:t>
      </w:r>
      <w:r>
        <w:rPr>
          <w:color w:val="231F20"/>
          <w:w w:val="115"/>
          <w:sz w:val="19"/>
        </w:rPr>
        <w:t> get</w:t>
      </w:r>
      <w:r>
        <w:rPr>
          <w:color w:val="231F20"/>
          <w:w w:val="115"/>
          <w:sz w:val="19"/>
        </w:rPr>
        <w:t> their</w:t>
      </w:r>
      <w:r>
        <w:rPr>
          <w:color w:val="231F20"/>
          <w:w w:val="115"/>
          <w:sz w:val="19"/>
        </w:rPr>
        <w:t> competitive</w:t>
      </w:r>
      <w:r>
        <w:rPr>
          <w:color w:val="231F20"/>
          <w:w w:val="115"/>
          <w:sz w:val="19"/>
        </w:rPr>
        <w:t> advan- tage from their ability to transfer their experience across borders and avoid mistakes.</w:t>
      </w:r>
    </w:p>
    <w:p>
      <w:pPr>
        <w:pStyle w:val="ListParagraph"/>
        <w:numPr>
          <w:ilvl w:val="0"/>
          <w:numId w:val="48"/>
        </w:numPr>
        <w:tabs>
          <w:tab w:pos="1521" w:val="left" w:leader="none"/>
        </w:tabs>
        <w:spacing w:line="328" w:lineRule="auto" w:before="2" w:after="0"/>
        <w:ind w:left="1519" w:right="753" w:hanging="222"/>
        <w:jc w:val="both"/>
        <w:rPr>
          <w:sz w:val="19"/>
        </w:rPr>
      </w:pPr>
      <w:r>
        <w:rPr>
          <w:color w:val="231F20"/>
          <w:w w:val="115"/>
          <w:sz w:val="19"/>
        </w:rPr>
        <w:t>International</w:t>
      </w:r>
      <w:r>
        <w:rPr>
          <w:color w:val="231F20"/>
          <w:w w:val="115"/>
          <w:sz w:val="19"/>
        </w:rPr>
        <w:t> investment</w:t>
      </w:r>
      <w:r>
        <w:rPr>
          <w:color w:val="231F20"/>
          <w:w w:val="115"/>
          <w:sz w:val="19"/>
        </w:rPr>
        <w:t> is</w:t>
      </w:r>
      <w:r>
        <w:rPr>
          <w:color w:val="231F20"/>
          <w:w w:val="115"/>
          <w:sz w:val="19"/>
        </w:rPr>
        <w:t> a</w:t>
      </w:r>
      <w:r>
        <w:rPr>
          <w:color w:val="231F20"/>
          <w:w w:val="115"/>
          <w:sz w:val="19"/>
        </w:rPr>
        <w:t> long-term</w:t>
      </w:r>
      <w:r>
        <w:rPr>
          <w:color w:val="231F20"/>
          <w:w w:val="115"/>
          <w:sz w:val="19"/>
        </w:rPr>
        <w:t> investment.</w:t>
      </w:r>
      <w:r>
        <w:rPr>
          <w:color w:val="231F20"/>
          <w:w w:val="115"/>
          <w:sz w:val="19"/>
        </w:rPr>
        <w:t> The measure</w:t>
      </w:r>
      <w:r>
        <w:rPr>
          <w:color w:val="231F20"/>
          <w:spacing w:val="-1"/>
          <w:w w:val="115"/>
          <w:sz w:val="19"/>
        </w:rPr>
        <w:t> </w:t>
      </w:r>
      <w:r>
        <w:rPr>
          <w:color w:val="231F20"/>
          <w:w w:val="115"/>
          <w:sz w:val="19"/>
        </w:rPr>
        <w:t>of</w:t>
      </w:r>
      <w:r>
        <w:rPr>
          <w:color w:val="231F20"/>
          <w:spacing w:val="-1"/>
          <w:w w:val="115"/>
          <w:sz w:val="19"/>
        </w:rPr>
        <w:t> </w:t>
      </w:r>
      <w:r>
        <w:rPr>
          <w:color w:val="231F20"/>
          <w:w w:val="115"/>
          <w:sz w:val="19"/>
        </w:rPr>
        <w:t>its</w:t>
      </w:r>
      <w:r>
        <w:rPr>
          <w:color w:val="231F20"/>
          <w:spacing w:val="-1"/>
          <w:w w:val="115"/>
          <w:sz w:val="19"/>
        </w:rPr>
        <w:t> </w:t>
      </w:r>
      <w:r>
        <w:rPr>
          <w:color w:val="231F20"/>
          <w:w w:val="115"/>
          <w:sz w:val="19"/>
        </w:rPr>
        <w:t>return</w:t>
      </w:r>
      <w:r>
        <w:rPr>
          <w:color w:val="231F20"/>
          <w:spacing w:val="-1"/>
          <w:w w:val="115"/>
          <w:sz w:val="19"/>
        </w:rPr>
        <w:t> </w:t>
      </w:r>
      <w:r>
        <w:rPr>
          <w:color w:val="231F20"/>
          <w:w w:val="115"/>
          <w:sz w:val="19"/>
        </w:rPr>
        <w:t>should</w:t>
      </w:r>
      <w:r>
        <w:rPr>
          <w:color w:val="231F20"/>
          <w:spacing w:val="-1"/>
          <w:w w:val="115"/>
          <w:sz w:val="19"/>
        </w:rPr>
        <w:t> </w:t>
      </w:r>
      <w:r>
        <w:rPr>
          <w:color w:val="231F20"/>
          <w:w w:val="115"/>
          <w:sz w:val="19"/>
        </w:rPr>
        <w:t>also</w:t>
      </w:r>
      <w:r>
        <w:rPr>
          <w:color w:val="231F20"/>
          <w:spacing w:val="-1"/>
          <w:w w:val="115"/>
          <w:sz w:val="19"/>
        </w:rPr>
        <w:t> </w:t>
      </w:r>
      <w:r>
        <w:rPr>
          <w:color w:val="231F20"/>
          <w:w w:val="115"/>
          <w:sz w:val="19"/>
        </w:rPr>
        <w:t>be</w:t>
      </w:r>
      <w:r>
        <w:rPr>
          <w:color w:val="231F20"/>
          <w:spacing w:val="-1"/>
          <w:w w:val="115"/>
          <w:sz w:val="19"/>
        </w:rPr>
        <w:t> </w:t>
      </w:r>
      <w:r>
        <w:rPr>
          <w:color w:val="231F20"/>
          <w:w w:val="115"/>
          <w:sz w:val="19"/>
        </w:rPr>
        <w:t>a</w:t>
      </w:r>
      <w:r>
        <w:rPr>
          <w:color w:val="231F20"/>
          <w:spacing w:val="-1"/>
          <w:w w:val="115"/>
          <w:sz w:val="19"/>
        </w:rPr>
        <w:t> </w:t>
      </w:r>
      <w:r>
        <w:rPr>
          <w:color w:val="231F20"/>
          <w:w w:val="115"/>
          <w:sz w:val="19"/>
        </w:rPr>
        <w:t>long-term</w:t>
      </w:r>
      <w:r>
        <w:rPr>
          <w:color w:val="231F20"/>
          <w:spacing w:val="-1"/>
          <w:w w:val="115"/>
          <w:sz w:val="19"/>
        </w:rPr>
        <w:t> </w:t>
      </w:r>
      <w:r>
        <w:rPr>
          <w:color w:val="231F20"/>
          <w:w w:val="115"/>
          <w:sz w:val="19"/>
        </w:rPr>
        <w:t>one.</w:t>
      </w:r>
    </w:p>
    <w:p>
      <w:pPr>
        <w:pStyle w:val="ListParagraph"/>
        <w:numPr>
          <w:ilvl w:val="0"/>
          <w:numId w:val="48"/>
        </w:numPr>
        <w:tabs>
          <w:tab w:pos="1521" w:val="left" w:leader="none"/>
        </w:tabs>
        <w:spacing w:line="328" w:lineRule="auto" w:before="1" w:after="0"/>
        <w:ind w:left="1519" w:right="754" w:hanging="229"/>
        <w:jc w:val="both"/>
        <w:rPr>
          <w:sz w:val="19"/>
        </w:rPr>
      </w:pPr>
      <w:r>
        <w:rPr>
          <w:color w:val="231F20"/>
          <w:w w:val="115"/>
          <w:sz w:val="19"/>
        </w:rPr>
        <w:t>You</w:t>
      </w:r>
      <w:r>
        <w:rPr>
          <w:color w:val="231F20"/>
          <w:w w:val="115"/>
          <w:sz w:val="19"/>
        </w:rPr>
        <w:t> will</w:t>
      </w:r>
      <w:r>
        <w:rPr>
          <w:color w:val="231F20"/>
          <w:w w:val="115"/>
          <w:sz w:val="19"/>
        </w:rPr>
        <w:t> have</w:t>
      </w:r>
      <w:r>
        <w:rPr>
          <w:color w:val="231F20"/>
          <w:w w:val="115"/>
          <w:sz w:val="19"/>
        </w:rPr>
        <w:t> little</w:t>
      </w:r>
      <w:r>
        <w:rPr>
          <w:color w:val="231F20"/>
          <w:w w:val="115"/>
          <w:sz w:val="19"/>
        </w:rPr>
        <w:t> success</w:t>
      </w:r>
      <w:r>
        <w:rPr>
          <w:color w:val="231F20"/>
          <w:w w:val="115"/>
          <w:sz w:val="19"/>
        </w:rPr>
        <w:t> without</w:t>
      </w:r>
      <w:r>
        <w:rPr>
          <w:color w:val="231F20"/>
          <w:w w:val="115"/>
          <w:sz w:val="19"/>
        </w:rPr>
        <w:t> true</w:t>
      </w:r>
      <w:r>
        <w:rPr>
          <w:color w:val="231F20"/>
          <w:w w:val="115"/>
          <w:sz w:val="19"/>
        </w:rPr>
        <w:t> respect</w:t>
      </w:r>
      <w:r>
        <w:rPr>
          <w:color w:val="231F20"/>
          <w:w w:val="115"/>
          <w:sz w:val="19"/>
        </w:rPr>
        <w:t> for</w:t>
      </w:r>
      <w:r>
        <w:rPr>
          <w:color w:val="231F20"/>
          <w:w w:val="115"/>
          <w:sz w:val="19"/>
        </w:rPr>
        <w:t> the host country and its people. If you do not respect them, they’ll know it.</w:t>
      </w:r>
    </w:p>
    <w:p>
      <w:pPr>
        <w:pStyle w:val="ListParagraph"/>
        <w:numPr>
          <w:ilvl w:val="0"/>
          <w:numId w:val="48"/>
        </w:numPr>
        <w:tabs>
          <w:tab w:pos="1521" w:val="left" w:leader="none"/>
        </w:tabs>
        <w:spacing w:line="328" w:lineRule="auto" w:before="2" w:after="0"/>
        <w:ind w:left="1519" w:right="757" w:hanging="199"/>
        <w:jc w:val="both"/>
        <w:rPr>
          <w:sz w:val="19"/>
        </w:rPr>
      </w:pPr>
      <w:r>
        <w:rPr>
          <w:color w:val="231F20"/>
          <w:w w:val="115"/>
          <w:sz w:val="19"/>
        </w:rPr>
        <w:t>In international business there is a lot of room for ethical decision making. Act as your own policeman.</w:t>
      </w:r>
    </w:p>
    <w:p>
      <w:pPr>
        <w:pStyle w:val="BodyText"/>
        <w:rPr>
          <w:rFonts w:ascii="Arial"/>
          <w:sz w:val="20"/>
        </w:rPr>
      </w:pPr>
    </w:p>
    <w:p>
      <w:pPr>
        <w:pStyle w:val="BodyText"/>
        <w:rPr>
          <w:rFonts w:ascii="Arial"/>
          <w:sz w:val="16"/>
        </w:rPr>
      </w:pPr>
    </w:p>
    <w:p>
      <w:pPr>
        <w:spacing w:line="259" w:lineRule="auto" w:before="0"/>
        <w:ind w:left="830" w:right="756" w:firstLine="0"/>
        <w:jc w:val="both"/>
        <w:rPr>
          <w:sz w:val="19"/>
        </w:rPr>
      </w:pPr>
      <w:r>
        <w:rPr>
          <w:color w:val="231F20"/>
          <w:w w:val="105"/>
          <w:sz w:val="19"/>
        </w:rPr>
        <w:t>*</w:t>
      </w:r>
      <w:r>
        <w:rPr>
          <w:color w:val="231F20"/>
          <w:spacing w:val="-11"/>
          <w:w w:val="105"/>
          <w:sz w:val="19"/>
        </w:rPr>
        <w:t> </w:t>
      </w:r>
      <w:r>
        <w:rPr>
          <w:color w:val="231F20"/>
          <w:w w:val="105"/>
          <w:sz w:val="19"/>
        </w:rPr>
        <w:t>These</w:t>
      </w:r>
      <w:r>
        <w:rPr>
          <w:color w:val="231F20"/>
          <w:spacing w:val="-5"/>
          <w:w w:val="105"/>
          <w:sz w:val="19"/>
        </w:rPr>
        <w:t> </w:t>
      </w:r>
      <w:r>
        <w:rPr>
          <w:color w:val="231F20"/>
          <w:w w:val="105"/>
          <w:sz w:val="19"/>
        </w:rPr>
        <w:t>notes</w:t>
      </w:r>
      <w:r>
        <w:rPr>
          <w:color w:val="231F20"/>
          <w:spacing w:val="-3"/>
          <w:w w:val="105"/>
          <w:sz w:val="19"/>
        </w:rPr>
        <w:t> </w:t>
      </w:r>
      <w:r>
        <w:rPr>
          <w:color w:val="231F20"/>
          <w:w w:val="105"/>
          <w:sz w:val="19"/>
        </w:rPr>
        <w:t>on</w:t>
      </w:r>
      <w:r>
        <w:rPr>
          <w:color w:val="231F20"/>
          <w:spacing w:val="-4"/>
          <w:w w:val="105"/>
          <w:sz w:val="19"/>
        </w:rPr>
        <w:t> </w:t>
      </w:r>
      <w:r>
        <w:rPr>
          <w:color w:val="231F20"/>
          <w:w w:val="105"/>
          <w:sz w:val="19"/>
        </w:rPr>
        <w:t>international</w:t>
      </w:r>
      <w:r>
        <w:rPr>
          <w:color w:val="231F20"/>
          <w:spacing w:val="-3"/>
          <w:w w:val="105"/>
          <w:sz w:val="19"/>
        </w:rPr>
        <w:t> </w:t>
      </w:r>
      <w:r>
        <w:rPr>
          <w:color w:val="231F20"/>
          <w:w w:val="105"/>
          <w:sz w:val="19"/>
        </w:rPr>
        <w:t>business</w:t>
      </w:r>
      <w:r>
        <w:rPr>
          <w:color w:val="231F20"/>
          <w:spacing w:val="-4"/>
          <w:w w:val="105"/>
          <w:sz w:val="19"/>
        </w:rPr>
        <w:t> </w:t>
      </w:r>
      <w:r>
        <w:rPr>
          <w:color w:val="231F20"/>
          <w:w w:val="105"/>
          <w:sz w:val="19"/>
        </w:rPr>
        <w:t>were</w:t>
      </w:r>
      <w:r>
        <w:rPr>
          <w:color w:val="231F20"/>
          <w:spacing w:val="-3"/>
          <w:w w:val="105"/>
          <w:sz w:val="19"/>
        </w:rPr>
        <w:t> </w:t>
      </w:r>
      <w:r>
        <w:rPr>
          <w:color w:val="231F20"/>
          <w:w w:val="105"/>
          <w:sz w:val="19"/>
        </w:rPr>
        <w:t>taken</w:t>
      </w:r>
      <w:r>
        <w:rPr>
          <w:color w:val="231F20"/>
          <w:spacing w:val="-4"/>
          <w:w w:val="105"/>
          <w:sz w:val="19"/>
        </w:rPr>
        <w:t> </w:t>
      </w:r>
      <w:r>
        <w:rPr>
          <w:color w:val="231F20"/>
          <w:w w:val="105"/>
          <w:sz w:val="19"/>
        </w:rPr>
        <w:t>from</w:t>
      </w:r>
      <w:r>
        <w:rPr>
          <w:color w:val="231F20"/>
          <w:spacing w:val="-3"/>
          <w:w w:val="105"/>
          <w:sz w:val="19"/>
        </w:rPr>
        <w:t> </w:t>
      </w:r>
      <w:r>
        <w:rPr>
          <w:color w:val="231F20"/>
          <w:w w:val="105"/>
          <w:sz w:val="19"/>
        </w:rPr>
        <w:t>a</w:t>
      </w:r>
      <w:r>
        <w:rPr>
          <w:color w:val="231F20"/>
          <w:spacing w:val="-4"/>
          <w:w w:val="105"/>
          <w:sz w:val="19"/>
        </w:rPr>
        <w:t> </w:t>
      </w:r>
      <w:r>
        <w:rPr>
          <w:color w:val="231F20"/>
          <w:w w:val="105"/>
          <w:sz w:val="19"/>
        </w:rPr>
        <w:t>case</w:t>
      </w:r>
      <w:r>
        <w:rPr>
          <w:color w:val="231F20"/>
          <w:spacing w:val="-3"/>
          <w:w w:val="105"/>
          <w:sz w:val="19"/>
        </w:rPr>
        <w:t> </w:t>
      </w:r>
      <w:r>
        <w:rPr>
          <w:color w:val="231F20"/>
          <w:w w:val="105"/>
          <w:sz w:val="19"/>
        </w:rPr>
        <w:t>discusion led</w:t>
      </w:r>
      <w:r>
        <w:rPr>
          <w:color w:val="231F20"/>
          <w:spacing w:val="-4"/>
          <w:w w:val="105"/>
          <w:sz w:val="19"/>
        </w:rPr>
        <w:t> </w:t>
      </w:r>
      <w:r>
        <w:rPr>
          <w:color w:val="231F20"/>
          <w:w w:val="105"/>
          <w:sz w:val="19"/>
        </w:rPr>
        <w:t>by</w:t>
      </w:r>
      <w:r>
        <w:rPr>
          <w:color w:val="231F20"/>
          <w:spacing w:val="-4"/>
          <w:w w:val="105"/>
          <w:sz w:val="19"/>
        </w:rPr>
        <w:t> </w:t>
      </w:r>
      <w:r>
        <w:rPr>
          <w:color w:val="231F20"/>
          <w:w w:val="105"/>
          <w:sz w:val="19"/>
        </w:rPr>
        <w:t>Professor</w:t>
      </w:r>
      <w:r>
        <w:rPr>
          <w:color w:val="231F20"/>
          <w:spacing w:val="-4"/>
          <w:w w:val="105"/>
          <w:sz w:val="19"/>
        </w:rPr>
        <w:t> </w:t>
      </w:r>
      <w:r>
        <w:rPr>
          <w:color w:val="231F20"/>
          <w:w w:val="105"/>
          <w:sz w:val="19"/>
        </w:rPr>
        <w:t>Neil</w:t>
      </w:r>
      <w:r>
        <w:rPr>
          <w:color w:val="231F20"/>
          <w:spacing w:val="-4"/>
          <w:w w:val="105"/>
          <w:sz w:val="19"/>
        </w:rPr>
        <w:t> </w:t>
      </w:r>
      <w:r>
        <w:rPr>
          <w:color w:val="231F20"/>
          <w:w w:val="105"/>
          <w:sz w:val="19"/>
        </w:rPr>
        <w:t>H.</w:t>
      </w:r>
      <w:r>
        <w:rPr>
          <w:color w:val="231F20"/>
          <w:spacing w:val="-4"/>
          <w:w w:val="105"/>
          <w:sz w:val="19"/>
        </w:rPr>
        <w:t> </w:t>
      </w:r>
      <w:r>
        <w:rPr>
          <w:color w:val="231F20"/>
          <w:w w:val="105"/>
          <w:sz w:val="19"/>
        </w:rPr>
        <w:t>Broden</w:t>
      </w:r>
      <w:r>
        <w:rPr>
          <w:color w:val="231F20"/>
          <w:spacing w:val="-4"/>
          <w:w w:val="105"/>
          <w:sz w:val="19"/>
        </w:rPr>
        <w:t> </w:t>
      </w:r>
      <w:r>
        <w:rPr>
          <w:color w:val="231F20"/>
          <w:w w:val="105"/>
          <w:sz w:val="19"/>
        </w:rPr>
        <w:t>Jr.</w:t>
      </w:r>
      <w:r>
        <w:rPr>
          <w:color w:val="231F20"/>
          <w:spacing w:val="-4"/>
          <w:w w:val="105"/>
          <w:sz w:val="19"/>
        </w:rPr>
        <w:t> </w:t>
      </w:r>
      <w:r>
        <w:rPr>
          <w:color w:val="231F20"/>
          <w:w w:val="105"/>
          <w:sz w:val="19"/>
        </w:rPr>
        <w:t>at</w:t>
      </w:r>
      <w:r>
        <w:rPr>
          <w:color w:val="231F20"/>
          <w:spacing w:val="-4"/>
          <w:w w:val="105"/>
          <w:sz w:val="19"/>
        </w:rPr>
        <w:t> </w:t>
      </w:r>
      <w:r>
        <w:rPr>
          <w:color w:val="231F20"/>
          <w:w w:val="105"/>
          <w:sz w:val="19"/>
        </w:rPr>
        <w:t>the</w:t>
      </w:r>
      <w:r>
        <w:rPr>
          <w:color w:val="231F20"/>
          <w:spacing w:val="-4"/>
          <w:w w:val="105"/>
          <w:sz w:val="19"/>
        </w:rPr>
        <w:t> </w:t>
      </w:r>
      <w:r>
        <w:rPr>
          <w:color w:val="231F20"/>
          <w:w w:val="105"/>
          <w:sz w:val="19"/>
        </w:rPr>
        <w:t>Darden</w:t>
      </w:r>
      <w:r>
        <w:rPr>
          <w:color w:val="231F20"/>
          <w:spacing w:val="-4"/>
          <w:w w:val="105"/>
          <w:sz w:val="19"/>
        </w:rPr>
        <w:t> </w:t>
      </w:r>
      <w:r>
        <w:rPr>
          <w:color w:val="231F20"/>
          <w:w w:val="105"/>
          <w:sz w:val="19"/>
        </w:rPr>
        <w:t>Graduate</w:t>
      </w:r>
      <w:r>
        <w:rPr>
          <w:color w:val="231F20"/>
          <w:spacing w:val="-4"/>
          <w:w w:val="105"/>
          <w:sz w:val="19"/>
        </w:rPr>
        <w:t> </w:t>
      </w:r>
      <w:r>
        <w:rPr>
          <w:color w:val="231F20"/>
          <w:w w:val="105"/>
          <w:sz w:val="19"/>
        </w:rPr>
        <w:t>School</w:t>
      </w:r>
      <w:r>
        <w:rPr>
          <w:color w:val="231F20"/>
          <w:spacing w:val="-4"/>
          <w:w w:val="105"/>
          <w:sz w:val="19"/>
        </w:rPr>
        <w:t> </w:t>
      </w:r>
      <w:r>
        <w:rPr>
          <w:color w:val="231F20"/>
          <w:w w:val="105"/>
          <w:sz w:val="19"/>
        </w:rPr>
        <w:t>of</w:t>
      </w:r>
      <w:r>
        <w:rPr>
          <w:color w:val="231F20"/>
          <w:spacing w:val="-4"/>
          <w:w w:val="105"/>
          <w:sz w:val="19"/>
        </w:rPr>
        <w:t> </w:t>
      </w:r>
      <w:r>
        <w:rPr>
          <w:color w:val="231F20"/>
          <w:w w:val="105"/>
          <w:sz w:val="19"/>
        </w:rPr>
        <w:t>Busi-</w:t>
      </w:r>
      <w:r>
        <w:rPr>
          <w:color w:val="231F20"/>
          <w:w w:val="105"/>
          <w:sz w:val="19"/>
        </w:rPr>
        <w:t> ness at the University of Virginia, used with permission.</w:t>
      </w:r>
    </w:p>
    <w:p>
      <w:pPr>
        <w:spacing w:after="0" w:line="259" w:lineRule="auto"/>
        <w:jc w:val="both"/>
        <w:rPr>
          <w:sz w:val="19"/>
        </w:rPr>
        <w:sectPr>
          <w:pgSz w:w="8640" w:h="12960"/>
          <w:pgMar w:header="732" w:footer="0" w:top="920" w:bottom="280" w:left="340" w:right="500"/>
        </w:sectPr>
      </w:pPr>
    </w:p>
    <w:p>
      <w:pPr>
        <w:pStyle w:val="BodyText"/>
        <w:rPr>
          <w:sz w:val="20"/>
        </w:rPr>
      </w:pPr>
    </w:p>
    <w:p>
      <w:pPr>
        <w:pStyle w:val="BodyText"/>
        <w:spacing w:before="9"/>
        <w:rPr>
          <w:sz w:val="20"/>
        </w:rPr>
      </w:pPr>
    </w:p>
    <w:p>
      <w:pPr>
        <w:pStyle w:val="Heading4"/>
        <w:spacing w:line="259" w:lineRule="auto" w:before="102"/>
        <w:ind w:left="1350" w:right="1098"/>
      </w:pPr>
      <w:bookmarkStart w:name="Business Law" w:id="35"/>
      <w:bookmarkEnd w:id="35"/>
      <w:r>
        <w:rPr/>
      </w:r>
      <w:bookmarkStart w:name="_bookmark16" w:id="36"/>
      <w:bookmarkEnd w:id="36"/>
      <w:r>
        <w:rPr/>
      </w:r>
      <w:hyperlink w:history="true" w:anchor="_bookmark1">
        <w:r>
          <w:rPr>
            <w:color w:val="0000FF"/>
            <w:w w:val="85"/>
          </w:rPr>
          <w:t>THE </w:t>
        </w:r>
        <w:r>
          <w:rPr>
            <w:color w:val="0000FF"/>
            <w:spacing w:val="9"/>
            <w:w w:val="85"/>
          </w:rPr>
          <w:t>TWENTY-MINUTE MINICOURSE </w:t>
        </w:r>
        <w:r>
          <w:rPr>
            <w:color w:val="0000FF"/>
            <w:w w:val="85"/>
          </w:rPr>
          <w:t>ON </w:t>
        </w:r>
        <w:r>
          <w:rPr>
            <w:color w:val="0000FF"/>
            <w:spacing w:val="9"/>
            <w:w w:val="85"/>
          </w:rPr>
          <w:t>BUSINESS </w:t>
        </w:r>
        <w:r>
          <w:rPr>
            <w:color w:val="0000FF"/>
            <w:w w:val="85"/>
          </w:rPr>
          <w:t>LAW </w:t>
        </w:r>
        <w:r>
          <w:rPr>
            <w:color w:val="0000FF"/>
            <w:w w:val="90"/>
          </w:rPr>
          <w:t>(THE</w:t>
        </w:r>
        <w:r>
          <w:rPr>
            <w:color w:val="0000FF"/>
            <w:spacing w:val="-2"/>
            <w:w w:val="90"/>
          </w:rPr>
          <w:t> </w:t>
        </w:r>
        <w:r>
          <w:rPr>
            <w:color w:val="0000FF"/>
            <w:spacing w:val="9"/>
            <w:w w:val="90"/>
          </w:rPr>
          <w:t>TWENTY-MINUTE</w:t>
        </w:r>
        <w:r>
          <w:rPr>
            <w:color w:val="0000FF"/>
            <w:spacing w:val="-2"/>
            <w:w w:val="90"/>
          </w:rPr>
          <w:t> </w:t>
        </w:r>
        <w:r>
          <w:rPr>
            <w:color w:val="0000FF"/>
            <w:spacing w:val="9"/>
            <w:w w:val="90"/>
          </w:rPr>
          <w:t>LAWYER)</w:t>
        </w:r>
      </w:hyperlink>
    </w:p>
    <w:p>
      <w:pPr>
        <w:pStyle w:val="BodyText"/>
        <w:spacing w:before="11"/>
        <w:rPr>
          <w:rFonts w:ascii="Trebuchet MS"/>
          <w:sz w:val="27"/>
        </w:rPr>
      </w:pPr>
    </w:p>
    <w:p>
      <w:pPr>
        <w:pStyle w:val="BodyText"/>
        <w:spacing w:line="292" w:lineRule="auto"/>
        <w:ind w:left="920" w:right="664"/>
        <w:jc w:val="both"/>
      </w:pPr>
      <w:r>
        <w:rPr>
          <w:color w:val="231F20"/>
        </w:rPr>
        <w:t>You could call it “The Twenty-Minute Lawyer,” but this section is really a review of the most basic concepts of business law. No di- vorce law here. As the law is open to many interpretations, a strict interpretation of any of these concepts or related wording could fill </w:t>
      </w:r>
      <w:r>
        <w:rPr>
          <w:color w:val="231F20"/>
        </w:rPr>
        <w:t>a book and could be debated by legal scholars, but in the spirit of </w:t>
      </w:r>
      <w:r>
        <w:rPr>
          <w:i/>
          <w:color w:val="231F20"/>
        </w:rPr>
        <w:t>The</w:t>
      </w:r>
      <w:r>
        <w:rPr>
          <w:i/>
          <w:color w:val="231F20"/>
        </w:rPr>
        <w:t> Ten-Day MBA, </w:t>
      </w:r>
      <w:r>
        <w:rPr>
          <w:color w:val="231F20"/>
        </w:rPr>
        <w:t>they are outlined here in quick order. Discussions about business structures such as partnerships and corporations have already been discussed in the finance chapter.</w:t>
      </w:r>
    </w:p>
    <w:p>
      <w:pPr>
        <w:pStyle w:val="BodyText"/>
        <w:rPr>
          <w:sz w:val="24"/>
        </w:rPr>
      </w:pPr>
    </w:p>
    <w:p>
      <w:pPr>
        <w:pStyle w:val="BodyText"/>
        <w:spacing w:before="10"/>
        <w:rPr>
          <w:sz w:val="26"/>
        </w:rPr>
      </w:pPr>
    </w:p>
    <w:p>
      <w:pPr>
        <w:pStyle w:val="Heading6"/>
        <w:spacing w:before="1"/>
        <w:ind w:left="469"/>
        <w:rPr>
          <w:i/>
        </w:rPr>
      </w:pPr>
      <w:r>
        <w:rPr>
          <w:i/>
          <w:color w:val="231F20"/>
          <w:w w:val="105"/>
        </w:rPr>
        <w:t>COMMON</w:t>
      </w:r>
      <w:r>
        <w:rPr>
          <w:i/>
          <w:color w:val="231F20"/>
          <w:spacing w:val="73"/>
          <w:w w:val="150"/>
        </w:rPr>
        <w:t> </w:t>
      </w:r>
      <w:r>
        <w:rPr>
          <w:i/>
          <w:color w:val="231F20"/>
          <w:spacing w:val="-5"/>
          <w:w w:val="105"/>
        </w:rPr>
        <w:t>LAW</w:t>
      </w:r>
    </w:p>
    <w:p>
      <w:pPr>
        <w:pStyle w:val="BodyText"/>
        <w:spacing w:before="2"/>
        <w:rPr>
          <w:b/>
          <w:i/>
          <w:sz w:val="30"/>
        </w:rPr>
      </w:pPr>
    </w:p>
    <w:p>
      <w:pPr>
        <w:pStyle w:val="BodyText"/>
        <w:spacing w:line="292" w:lineRule="auto"/>
        <w:ind w:left="920" w:right="663"/>
        <w:jc w:val="both"/>
      </w:pPr>
      <w:r>
        <w:rPr>
          <w:i/>
          <w:color w:val="231F20"/>
        </w:rPr>
        <w:t>Common</w:t>
      </w:r>
      <w:r>
        <w:rPr>
          <w:i/>
          <w:color w:val="231F20"/>
          <w:spacing w:val="40"/>
        </w:rPr>
        <w:t> </w:t>
      </w:r>
      <w:r>
        <w:rPr>
          <w:i/>
          <w:color w:val="231F20"/>
        </w:rPr>
        <w:t>law</w:t>
      </w:r>
      <w:r>
        <w:rPr>
          <w:i/>
          <w:color w:val="231F20"/>
          <w:spacing w:val="40"/>
        </w:rPr>
        <w:t> </w:t>
      </w:r>
      <w:r>
        <w:rPr>
          <w:color w:val="231F20"/>
        </w:rPr>
        <w:t>is</w:t>
      </w:r>
      <w:r>
        <w:rPr>
          <w:color w:val="231F20"/>
          <w:spacing w:val="40"/>
        </w:rPr>
        <w:t> </w:t>
      </w:r>
      <w:r>
        <w:rPr>
          <w:color w:val="231F20"/>
        </w:rPr>
        <w:t>the</w:t>
      </w:r>
      <w:r>
        <w:rPr>
          <w:color w:val="231F20"/>
          <w:spacing w:val="40"/>
        </w:rPr>
        <w:t> </w:t>
      </w:r>
      <w:r>
        <w:rPr>
          <w:color w:val="231F20"/>
        </w:rPr>
        <w:t>basis</w:t>
      </w:r>
      <w:r>
        <w:rPr>
          <w:color w:val="231F20"/>
          <w:spacing w:val="40"/>
        </w:rPr>
        <w:t> </w:t>
      </w:r>
      <w:r>
        <w:rPr>
          <w:color w:val="231F20"/>
        </w:rPr>
        <w:t>of</w:t>
      </w:r>
      <w:r>
        <w:rPr>
          <w:color w:val="231F20"/>
          <w:spacing w:val="40"/>
        </w:rPr>
        <w:t> </w:t>
      </w:r>
      <w:r>
        <w:rPr>
          <w:color w:val="231F20"/>
        </w:rPr>
        <w:t>law</w:t>
      </w:r>
      <w:r>
        <w:rPr>
          <w:color w:val="231F20"/>
          <w:spacing w:val="40"/>
        </w:rPr>
        <w:t> </w:t>
      </w:r>
      <w:r>
        <w:rPr>
          <w:color w:val="231F20"/>
        </w:rPr>
        <w:t>in</w:t>
      </w:r>
      <w:r>
        <w:rPr>
          <w:color w:val="231F20"/>
          <w:spacing w:val="40"/>
        </w:rPr>
        <w:t> </w:t>
      </w:r>
      <w:r>
        <w:rPr>
          <w:color w:val="231F20"/>
        </w:rPr>
        <w:t>the</w:t>
      </w:r>
      <w:r>
        <w:rPr>
          <w:color w:val="231F20"/>
          <w:spacing w:val="40"/>
        </w:rPr>
        <w:t> </w:t>
      </w:r>
      <w:r>
        <w:rPr>
          <w:color w:val="231F20"/>
        </w:rPr>
        <w:t>United</w:t>
      </w:r>
      <w:r>
        <w:rPr>
          <w:color w:val="231F20"/>
          <w:spacing w:val="40"/>
        </w:rPr>
        <w:t> </w:t>
      </w:r>
      <w:r>
        <w:rPr>
          <w:color w:val="231F20"/>
        </w:rPr>
        <w:t>States.</w:t>
      </w:r>
      <w:r>
        <w:rPr>
          <w:color w:val="231F20"/>
          <w:spacing w:val="40"/>
        </w:rPr>
        <w:t> </w:t>
      </w:r>
      <w:r>
        <w:rPr>
          <w:color w:val="231F20"/>
        </w:rPr>
        <w:t>Often</w:t>
      </w:r>
      <w:r>
        <w:rPr>
          <w:color w:val="231F20"/>
          <w:spacing w:val="40"/>
        </w:rPr>
        <w:t> </w:t>
      </w:r>
      <w:r>
        <w:rPr>
          <w:color w:val="231F20"/>
        </w:rPr>
        <w:t>it</w:t>
      </w:r>
      <w:r>
        <w:rPr>
          <w:color w:val="231F20"/>
          <w:spacing w:val="40"/>
        </w:rPr>
        <w:t> </w:t>
      </w:r>
      <w:r>
        <w:rPr>
          <w:color w:val="231F20"/>
        </w:rPr>
        <w:t>is called </w:t>
      </w:r>
      <w:r>
        <w:rPr>
          <w:i/>
          <w:color w:val="231F20"/>
        </w:rPr>
        <w:t>case law. </w:t>
      </w:r>
      <w:r>
        <w:rPr>
          <w:color w:val="231F20"/>
        </w:rPr>
        <w:t>Common law is the framework of laws and </w:t>
      </w:r>
      <w:r>
        <w:rPr>
          <w:color w:val="231F20"/>
        </w:rPr>
        <w:t>guide- lines that has been developed based on prior case decisions and opinions. A court’s decision is called a </w:t>
      </w:r>
      <w:r>
        <w:rPr>
          <w:i/>
          <w:color w:val="231F20"/>
        </w:rPr>
        <w:t>holding. Stare decisis </w:t>
      </w:r>
      <w:r>
        <w:rPr>
          <w:color w:val="231F20"/>
        </w:rPr>
        <w:t>means that the court should follow the direction of prior court decisions, especially superior court rulings. The requisites of the American</w:t>
      </w:r>
      <w:r>
        <w:rPr>
          <w:color w:val="231F20"/>
          <w:spacing w:val="80"/>
        </w:rPr>
        <w:t> </w:t>
      </w:r>
      <w:r>
        <w:rPr>
          <w:color w:val="231F20"/>
        </w:rPr>
        <w:t>legal system are that it is predictable, flexible, understandable, and reasonable. Two types of law based on the platform of common law play key roles in the system.</w:t>
      </w:r>
    </w:p>
    <w:p>
      <w:pPr>
        <w:pStyle w:val="BodyText"/>
        <w:rPr>
          <w:sz w:val="24"/>
        </w:rPr>
      </w:pPr>
    </w:p>
    <w:p>
      <w:pPr>
        <w:pStyle w:val="BodyText"/>
        <w:spacing w:before="10"/>
        <w:rPr>
          <w:sz w:val="26"/>
        </w:rPr>
      </w:pPr>
    </w:p>
    <w:p>
      <w:pPr>
        <w:pStyle w:val="Heading6"/>
        <w:rPr>
          <w:i/>
        </w:rPr>
      </w:pPr>
      <w:r>
        <w:rPr>
          <w:i/>
          <w:color w:val="231F20"/>
          <w:w w:val="110"/>
        </w:rPr>
        <w:t>SUBSTANTIVE</w:t>
      </w:r>
      <w:r>
        <w:rPr>
          <w:i/>
          <w:color w:val="231F20"/>
          <w:spacing w:val="68"/>
          <w:w w:val="150"/>
        </w:rPr>
        <w:t> </w:t>
      </w:r>
      <w:r>
        <w:rPr>
          <w:i/>
          <w:color w:val="231F20"/>
          <w:w w:val="110"/>
        </w:rPr>
        <w:t>AND</w:t>
      </w:r>
      <w:r>
        <w:rPr>
          <w:i/>
          <w:color w:val="231F20"/>
          <w:spacing w:val="69"/>
          <w:w w:val="150"/>
        </w:rPr>
        <w:t> </w:t>
      </w:r>
      <w:r>
        <w:rPr>
          <w:i/>
          <w:color w:val="231F20"/>
          <w:w w:val="110"/>
        </w:rPr>
        <w:t>PROCEDURAL</w:t>
      </w:r>
      <w:r>
        <w:rPr>
          <w:i/>
          <w:color w:val="231F20"/>
          <w:spacing w:val="69"/>
          <w:w w:val="150"/>
        </w:rPr>
        <w:t> </w:t>
      </w:r>
      <w:r>
        <w:rPr>
          <w:i/>
          <w:color w:val="231F20"/>
          <w:spacing w:val="-4"/>
          <w:w w:val="110"/>
        </w:rPr>
        <w:t>LAWS</w:t>
      </w:r>
    </w:p>
    <w:p>
      <w:pPr>
        <w:pStyle w:val="BodyText"/>
        <w:spacing w:before="2"/>
        <w:rPr>
          <w:b/>
          <w:i/>
          <w:sz w:val="30"/>
        </w:rPr>
      </w:pPr>
    </w:p>
    <w:p>
      <w:pPr>
        <w:pStyle w:val="BodyText"/>
        <w:spacing w:line="292" w:lineRule="auto"/>
        <w:ind w:left="919" w:right="666"/>
        <w:jc w:val="right"/>
      </w:pPr>
      <w:r>
        <w:rPr>
          <w:i/>
          <w:color w:val="231F20"/>
        </w:rPr>
        <w:t>Substantive laws </w:t>
      </w:r>
      <w:r>
        <w:rPr>
          <w:color w:val="231F20"/>
        </w:rPr>
        <w:t>are the actual rules and regulations that define </w:t>
      </w:r>
      <w:r>
        <w:rPr>
          <w:color w:val="231F20"/>
        </w:rPr>
        <w:t>legal behavior. These include the rights and obligations that people have</w:t>
      </w:r>
      <w:r>
        <w:rPr>
          <w:color w:val="231F20"/>
          <w:spacing w:val="40"/>
        </w:rPr>
        <w:t> </w:t>
      </w:r>
      <w:r>
        <w:rPr>
          <w:color w:val="231F20"/>
        </w:rPr>
        <w:t>in</w:t>
      </w:r>
      <w:r>
        <w:rPr>
          <w:color w:val="231F20"/>
          <w:spacing w:val="28"/>
        </w:rPr>
        <w:t> </w:t>
      </w:r>
      <w:r>
        <w:rPr>
          <w:color w:val="231F20"/>
        </w:rPr>
        <w:t>society.</w:t>
      </w:r>
      <w:r>
        <w:rPr>
          <w:color w:val="231F20"/>
          <w:spacing w:val="28"/>
        </w:rPr>
        <w:t> </w:t>
      </w:r>
      <w:r>
        <w:rPr>
          <w:i/>
          <w:color w:val="231F20"/>
        </w:rPr>
        <w:t>Procedural</w:t>
      </w:r>
      <w:r>
        <w:rPr>
          <w:i/>
          <w:color w:val="231F20"/>
          <w:spacing w:val="28"/>
        </w:rPr>
        <w:t> </w:t>
      </w:r>
      <w:r>
        <w:rPr>
          <w:i/>
          <w:color w:val="231F20"/>
        </w:rPr>
        <w:t>laws</w:t>
      </w:r>
      <w:r>
        <w:rPr>
          <w:i/>
          <w:color w:val="231F20"/>
          <w:spacing w:val="28"/>
        </w:rPr>
        <w:t> </w:t>
      </w:r>
      <w:r>
        <w:rPr>
          <w:color w:val="231F20"/>
        </w:rPr>
        <w:t>govern</w:t>
      </w:r>
      <w:r>
        <w:rPr>
          <w:color w:val="231F20"/>
          <w:spacing w:val="28"/>
        </w:rPr>
        <w:t> </w:t>
      </w:r>
      <w:r>
        <w:rPr>
          <w:color w:val="231F20"/>
        </w:rPr>
        <w:t>the</w:t>
      </w:r>
      <w:r>
        <w:rPr>
          <w:color w:val="231F20"/>
          <w:spacing w:val="28"/>
        </w:rPr>
        <w:t> </w:t>
      </w:r>
      <w:r>
        <w:rPr>
          <w:color w:val="231F20"/>
        </w:rPr>
        <w:t>way</w:t>
      </w:r>
      <w:r>
        <w:rPr>
          <w:color w:val="231F20"/>
          <w:spacing w:val="28"/>
        </w:rPr>
        <w:t> </w:t>
      </w:r>
      <w:r>
        <w:rPr>
          <w:color w:val="231F20"/>
        </w:rPr>
        <w:t>those</w:t>
      </w:r>
      <w:r>
        <w:rPr>
          <w:color w:val="231F20"/>
          <w:spacing w:val="28"/>
        </w:rPr>
        <w:t> </w:t>
      </w:r>
      <w:r>
        <w:rPr>
          <w:color w:val="231F20"/>
        </w:rPr>
        <w:t>rules</w:t>
      </w:r>
      <w:r>
        <w:rPr>
          <w:color w:val="231F20"/>
          <w:spacing w:val="28"/>
        </w:rPr>
        <w:t> </w:t>
      </w:r>
      <w:r>
        <w:rPr>
          <w:color w:val="231F20"/>
        </w:rPr>
        <w:t>and</w:t>
      </w:r>
      <w:r>
        <w:rPr>
          <w:color w:val="231F20"/>
          <w:spacing w:val="28"/>
        </w:rPr>
        <w:t> </w:t>
      </w:r>
      <w:r>
        <w:rPr>
          <w:color w:val="231F20"/>
        </w:rPr>
        <w:t>regula- tions are implemented or accessed within the system of justice, in an attempt</w:t>
      </w:r>
      <w:r>
        <w:rPr>
          <w:color w:val="231F20"/>
          <w:spacing w:val="-2"/>
        </w:rPr>
        <w:t> </w:t>
      </w:r>
      <w:r>
        <w:rPr>
          <w:color w:val="231F20"/>
        </w:rPr>
        <w:t>to</w:t>
      </w:r>
      <w:r>
        <w:rPr>
          <w:color w:val="231F20"/>
          <w:spacing w:val="-2"/>
        </w:rPr>
        <w:t> </w:t>
      </w:r>
      <w:r>
        <w:rPr>
          <w:color w:val="231F20"/>
        </w:rPr>
        <w:t>impose</w:t>
      </w:r>
      <w:r>
        <w:rPr>
          <w:color w:val="231F20"/>
          <w:spacing w:val="-2"/>
        </w:rPr>
        <w:t> </w:t>
      </w:r>
      <w:r>
        <w:rPr>
          <w:color w:val="231F20"/>
        </w:rPr>
        <w:t>an</w:t>
      </w:r>
      <w:r>
        <w:rPr>
          <w:color w:val="231F20"/>
          <w:spacing w:val="-2"/>
        </w:rPr>
        <w:t> </w:t>
      </w:r>
      <w:r>
        <w:rPr>
          <w:color w:val="231F20"/>
        </w:rPr>
        <w:t>order</w:t>
      </w:r>
      <w:r>
        <w:rPr>
          <w:color w:val="231F20"/>
          <w:spacing w:val="-2"/>
        </w:rPr>
        <w:t> </w:t>
      </w:r>
      <w:r>
        <w:rPr>
          <w:color w:val="231F20"/>
        </w:rPr>
        <w:t>for</w:t>
      </w:r>
      <w:r>
        <w:rPr>
          <w:color w:val="231F20"/>
          <w:spacing w:val="-2"/>
        </w:rPr>
        <w:t> </w:t>
      </w:r>
      <w:r>
        <w:rPr>
          <w:color w:val="231F20"/>
        </w:rPr>
        <w:t>using</w:t>
      </w:r>
      <w:r>
        <w:rPr>
          <w:color w:val="231F20"/>
          <w:spacing w:val="-2"/>
        </w:rPr>
        <w:t> </w:t>
      </w:r>
      <w:r>
        <w:rPr>
          <w:color w:val="231F20"/>
        </w:rPr>
        <w:t>the</w:t>
      </w:r>
      <w:r>
        <w:rPr>
          <w:color w:val="231F20"/>
          <w:spacing w:val="-2"/>
        </w:rPr>
        <w:t> </w:t>
      </w:r>
      <w:r>
        <w:rPr>
          <w:color w:val="231F20"/>
        </w:rPr>
        <w:t>system</w:t>
      </w:r>
      <w:r>
        <w:rPr>
          <w:color w:val="231F20"/>
          <w:spacing w:val="-2"/>
        </w:rPr>
        <w:t> </w:t>
      </w:r>
      <w:r>
        <w:rPr>
          <w:color w:val="231F20"/>
        </w:rPr>
        <w:t>fairly</w:t>
      </w:r>
      <w:r>
        <w:rPr>
          <w:color w:val="231F20"/>
          <w:spacing w:val="-2"/>
        </w:rPr>
        <w:t> </w:t>
      </w:r>
      <w:r>
        <w:rPr>
          <w:color w:val="231F20"/>
        </w:rPr>
        <w:t>and</w:t>
      </w:r>
      <w:r>
        <w:rPr>
          <w:color w:val="231F20"/>
          <w:spacing w:val="-2"/>
        </w:rPr>
        <w:t> </w:t>
      </w:r>
      <w:r>
        <w:rPr>
          <w:color w:val="231F20"/>
        </w:rPr>
        <w:t>efficiently. When lawyers actually apply the law, they refer to the state and federal</w:t>
      </w:r>
      <w:r>
        <w:rPr>
          <w:color w:val="231F20"/>
          <w:spacing w:val="25"/>
        </w:rPr>
        <w:t> </w:t>
      </w:r>
      <w:r>
        <w:rPr>
          <w:color w:val="231F20"/>
        </w:rPr>
        <w:t>codes</w:t>
      </w:r>
      <w:r>
        <w:rPr>
          <w:color w:val="231F20"/>
          <w:spacing w:val="25"/>
        </w:rPr>
        <w:t> </w:t>
      </w:r>
      <w:r>
        <w:rPr>
          <w:color w:val="231F20"/>
        </w:rPr>
        <w:t>called</w:t>
      </w:r>
      <w:r>
        <w:rPr>
          <w:color w:val="231F20"/>
          <w:spacing w:val="25"/>
        </w:rPr>
        <w:t> </w:t>
      </w:r>
      <w:r>
        <w:rPr>
          <w:i/>
          <w:color w:val="231F20"/>
        </w:rPr>
        <w:t>statutes.</w:t>
      </w:r>
      <w:r>
        <w:rPr>
          <w:i/>
          <w:color w:val="231F20"/>
          <w:spacing w:val="26"/>
        </w:rPr>
        <w:t> </w:t>
      </w:r>
      <w:r>
        <w:rPr>
          <w:color w:val="231F20"/>
        </w:rPr>
        <w:t>Statutory</w:t>
      </w:r>
      <w:r>
        <w:rPr>
          <w:color w:val="231F20"/>
          <w:spacing w:val="25"/>
        </w:rPr>
        <w:t> </w:t>
      </w:r>
      <w:r>
        <w:rPr>
          <w:color w:val="231F20"/>
        </w:rPr>
        <w:t>laws</w:t>
      </w:r>
      <w:r>
        <w:rPr>
          <w:color w:val="231F20"/>
          <w:spacing w:val="25"/>
        </w:rPr>
        <w:t> </w:t>
      </w:r>
      <w:r>
        <w:rPr>
          <w:color w:val="231F20"/>
        </w:rPr>
        <w:t>are</w:t>
      </w:r>
      <w:r>
        <w:rPr>
          <w:color w:val="231F20"/>
          <w:spacing w:val="25"/>
        </w:rPr>
        <w:t> </w:t>
      </w:r>
      <w:r>
        <w:rPr>
          <w:color w:val="231F20"/>
        </w:rPr>
        <w:t>the</w:t>
      </w:r>
      <w:r>
        <w:rPr>
          <w:color w:val="231F20"/>
          <w:spacing w:val="26"/>
        </w:rPr>
        <w:t> </w:t>
      </w:r>
      <w:r>
        <w:rPr>
          <w:color w:val="231F20"/>
        </w:rPr>
        <w:t>word-for-</w:t>
      </w:r>
      <w:r>
        <w:rPr>
          <w:color w:val="231F20"/>
          <w:spacing w:val="-4"/>
        </w:rPr>
        <w:t>word</w:t>
      </w:r>
    </w:p>
    <w:p>
      <w:pPr>
        <w:spacing w:after="0" w:line="292" w:lineRule="auto"/>
        <w:jc w:val="right"/>
        <w:sectPr>
          <w:headerReference w:type="default" r:id="rId132"/>
          <w:headerReference w:type="even" r:id="rId133"/>
          <w:pgSz w:w="8640" w:h="12960"/>
          <w:pgMar w:header="734" w:footer="0" w:top="920" w:bottom="280" w:left="340" w:right="500"/>
          <w:pgNumType w:start="367"/>
        </w:sectPr>
      </w:pPr>
    </w:p>
    <w:p>
      <w:pPr>
        <w:pStyle w:val="BodyText"/>
        <w:spacing w:before="10"/>
        <w:rPr>
          <w:sz w:val="17"/>
        </w:rPr>
      </w:pPr>
    </w:p>
    <w:p>
      <w:pPr>
        <w:pStyle w:val="BodyText"/>
        <w:spacing w:line="292" w:lineRule="auto" w:before="102"/>
        <w:ind w:left="830" w:right="755"/>
        <w:jc w:val="both"/>
      </w:pPr>
      <w:r>
        <w:rPr>
          <w:color w:val="231F20"/>
        </w:rPr>
        <w:t>substantive</w:t>
      </w:r>
      <w:r>
        <w:rPr>
          <w:color w:val="231F20"/>
          <w:spacing w:val="-3"/>
        </w:rPr>
        <w:t> </w:t>
      </w:r>
      <w:r>
        <w:rPr>
          <w:color w:val="231F20"/>
        </w:rPr>
        <w:t>rules</w:t>
      </w:r>
      <w:r>
        <w:rPr>
          <w:color w:val="231F20"/>
          <w:spacing w:val="-3"/>
        </w:rPr>
        <w:t> </w:t>
      </w:r>
      <w:r>
        <w:rPr>
          <w:color w:val="231F20"/>
        </w:rPr>
        <w:t>enacted</w:t>
      </w:r>
      <w:r>
        <w:rPr>
          <w:color w:val="231F20"/>
          <w:spacing w:val="-3"/>
        </w:rPr>
        <w:t> </w:t>
      </w:r>
      <w:r>
        <w:rPr>
          <w:color w:val="231F20"/>
        </w:rPr>
        <w:t>by</w:t>
      </w:r>
      <w:r>
        <w:rPr>
          <w:color w:val="231F20"/>
          <w:spacing w:val="-3"/>
        </w:rPr>
        <w:t> </w:t>
      </w:r>
      <w:r>
        <w:rPr>
          <w:color w:val="231F20"/>
        </w:rPr>
        <w:t>the</w:t>
      </w:r>
      <w:r>
        <w:rPr>
          <w:color w:val="231F20"/>
          <w:spacing w:val="-3"/>
        </w:rPr>
        <w:t> </w:t>
      </w:r>
      <w:r>
        <w:rPr>
          <w:color w:val="231F20"/>
        </w:rPr>
        <w:t>state</w:t>
      </w:r>
      <w:r>
        <w:rPr>
          <w:color w:val="231F20"/>
          <w:spacing w:val="-3"/>
        </w:rPr>
        <w:t> </w:t>
      </w:r>
      <w:r>
        <w:rPr>
          <w:color w:val="231F20"/>
        </w:rPr>
        <w:t>and</w:t>
      </w:r>
      <w:r>
        <w:rPr>
          <w:color w:val="231F20"/>
          <w:spacing w:val="-3"/>
        </w:rPr>
        <w:t> </w:t>
      </w:r>
      <w:r>
        <w:rPr>
          <w:color w:val="231F20"/>
        </w:rPr>
        <w:t>federal</w:t>
      </w:r>
      <w:r>
        <w:rPr>
          <w:color w:val="231F20"/>
          <w:spacing w:val="-3"/>
        </w:rPr>
        <w:t> </w:t>
      </w:r>
      <w:r>
        <w:rPr>
          <w:color w:val="231F20"/>
        </w:rPr>
        <w:t>legislatures</w:t>
      </w:r>
      <w:r>
        <w:rPr>
          <w:color w:val="231F20"/>
          <w:spacing w:val="-3"/>
        </w:rPr>
        <w:t> </w:t>
      </w:r>
      <w:r>
        <w:rPr>
          <w:color w:val="231F20"/>
        </w:rPr>
        <w:t>or</w:t>
      </w:r>
      <w:r>
        <w:rPr>
          <w:color w:val="231F20"/>
          <w:spacing w:val="-3"/>
        </w:rPr>
        <w:t> </w:t>
      </w:r>
      <w:r>
        <w:rPr>
          <w:color w:val="231F20"/>
        </w:rPr>
        <w:t>gov- ernmental agencies. These laws include criminal law, tax law, and governmental regulations. To investigate how those statutes were applied in actual case situations, a lawyer refers to the body of rul- ings or </w:t>
      </w:r>
      <w:r>
        <w:rPr>
          <w:i/>
          <w:color w:val="231F20"/>
        </w:rPr>
        <w:t>opinions </w:t>
      </w:r>
      <w:r>
        <w:rPr>
          <w:color w:val="231F20"/>
        </w:rPr>
        <w:t>called case law. By combining statutes and opin-</w:t>
      </w:r>
      <w:r>
        <w:rPr>
          <w:color w:val="231F20"/>
          <w:spacing w:val="40"/>
        </w:rPr>
        <w:t> </w:t>
      </w:r>
      <w:r>
        <w:rPr>
          <w:color w:val="231F20"/>
        </w:rPr>
        <w:t>ions, a lawyer can make a case for his or her client in court following procedural rules of the court.</w:t>
      </w:r>
    </w:p>
    <w:p>
      <w:pPr>
        <w:pStyle w:val="BodyText"/>
        <w:spacing w:line="292" w:lineRule="auto"/>
        <w:ind w:left="829" w:right="756" w:firstLine="340"/>
        <w:jc w:val="both"/>
      </w:pPr>
      <w:r>
        <w:rPr>
          <w:color w:val="231F20"/>
        </w:rPr>
        <w:t>For the MBA, business transactions are important, thus you </w:t>
      </w:r>
      <w:r>
        <w:rPr>
          <w:color w:val="231F20"/>
        </w:rPr>
        <w:t>hear</w:t>
      </w:r>
      <w:r>
        <w:rPr>
          <w:color w:val="231F20"/>
          <w:spacing w:val="40"/>
        </w:rPr>
        <w:t> </w:t>
      </w:r>
      <w:r>
        <w:rPr>
          <w:color w:val="231F20"/>
        </w:rPr>
        <w:t>a great deal about the </w:t>
      </w:r>
      <w:r>
        <w:rPr>
          <w:i/>
          <w:color w:val="231F20"/>
        </w:rPr>
        <w:t>Uniform Commercial Code </w:t>
      </w:r>
      <w:r>
        <w:rPr>
          <w:color w:val="231F20"/>
        </w:rPr>
        <w:t>(UCC). This is a special body of law that combines both the statutory and the case</w:t>
      </w:r>
      <w:r>
        <w:rPr>
          <w:color w:val="231F20"/>
          <w:spacing w:val="80"/>
        </w:rPr>
        <w:t> </w:t>
      </w:r>
      <w:r>
        <w:rPr>
          <w:color w:val="231F20"/>
        </w:rPr>
        <w:t>law for business purposes. It is a comprehensive statute adopted by each state that covers the major areas of business transactions, in- cluding sales contracts and commercial paper. Its “uniformity” pro- vides a stable set of rules for interstate commerce. Without the UCC, doing</w:t>
      </w:r>
      <w:r>
        <w:rPr>
          <w:color w:val="231F20"/>
          <w:spacing w:val="-1"/>
        </w:rPr>
        <w:t> </w:t>
      </w:r>
      <w:r>
        <w:rPr>
          <w:color w:val="231F20"/>
        </w:rPr>
        <w:t>business</w:t>
      </w:r>
      <w:r>
        <w:rPr>
          <w:color w:val="231F20"/>
          <w:spacing w:val="-1"/>
        </w:rPr>
        <w:t> </w:t>
      </w:r>
      <w:r>
        <w:rPr>
          <w:color w:val="231F20"/>
        </w:rPr>
        <w:t>in</w:t>
      </w:r>
      <w:r>
        <w:rPr>
          <w:color w:val="231F20"/>
          <w:spacing w:val="-1"/>
        </w:rPr>
        <w:t> </w:t>
      </w:r>
      <w:r>
        <w:rPr>
          <w:color w:val="231F20"/>
        </w:rPr>
        <w:t>each</w:t>
      </w:r>
      <w:r>
        <w:rPr>
          <w:color w:val="231F20"/>
          <w:spacing w:val="-1"/>
        </w:rPr>
        <w:t> </w:t>
      </w:r>
      <w:r>
        <w:rPr>
          <w:color w:val="231F20"/>
        </w:rPr>
        <w:t>state</w:t>
      </w:r>
      <w:r>
        <w:rPr>
          <w:color w:val="231F20"/>
          <w:spacing w:val="-1"/>
        </w:rPr>
        <w:t> </w:t>
      </w:r>
      <w:r>
        <w:rPr>
          <w:color w:val="231F20"/>
        </w:rPr>
        <w:t>would</w:t>
      </w:r>
      <w:r>
        <w:rPr>
          <w:color w:val="231F20"/>
          <w:spacing w:val="-1"/>
        </w:rPr>
        <w:t> </w:t>
      </w:r>
      <w:r>
        <w:rPr>
          <w:color w:val="231F20"/>
        </w:rPr>
        <w:t>be</w:t>
      </w:r>
      <w:r>
        <w:rPr>
          <w:color w:val="231F20"/>
          <w:spacing w:val="-1"/>
        </w:rPr>
        <w:t> </w:t>
      </w:r>
      <w:r>
        <w:rPr>
          <w:color w:val="231F20"/>
        </w:rPr>
        <w:t>like</w:t>
      </w:r>
      <w:r>
        <w:rPr>
          <w:color w:val="231F20"/>
          <w:spacing w:val="-1"/>
        </w:rPr>
        <w:t> </w:t>
      </w:r>
      <w:r>
        <w:rPr>
          <w:color w:val="231F20"/>
        </w:rPr>
        <w:t>doing</w:t>
      </w:r>
      <w:r>
        <w:rPr>
          <w:color w:val="231F20"/>
          <w:spacing w:val="-1"/>
        </w:rPr>
        <w:t> </w:t>
      </w:r>
      <w:r>
        <w:rPr>
          <w:color w:val="231F20"/>
        </w:rPr>
        <w:t>business</w:t>
      </w:r>
      <w:r>
        <w:rPr>
          <w:color w:val="231F20"/>
          <w:spacing w:val="-1"/>
        </w:rPr>
        <w:t> </w:t>
      </w:r>
      <w:r>
        <w:rPr>
          <w:color w:val="231F20"/>
        </w:rPr>
        <w:t>in</w:t>
      </w:r>
      <w:r>
        <w:rPr>
          <w:color w:val="231F20"/>
          <w:spacing w:val="-1"/>
        </w:rPr>
        <w:t> </w:t>
      </w:r>
      <w:r>
        <w:rPr>
          <w:color w:val="231F20"/>
        </w:rPr>
        <w:t>a</w:t>
      </w:r>
      <w:r>
        <w:rPr>
          <w:color w:val="231F20"/>
          <w:spacing w:val="-1"/>
        </w:rPr>
        <w:t> </w:t>
      </w:r>
      <w:r>
        <w:rPr>
          <w:color w:val="231F20"/>
        </w:rPr>
        <w:t>foreign </w:t>
      </w:r>
      <w:r>
        <w:rPr>
          <w:color w:val="231F20"/>
          <w:spacing w:val="-2"/>
        </w:rPr>
        <w:t>country.</w:t>
      </w:r>
    </w:p>
    <w:p>
      <w:pPr>
        <w:pStyle w:val="BodyText"/>
        <w:rPr>
          <w:sz w:val="24"/>
        </w:rPr>
      </w:pPr>
    </w:p>
    <w:p>
      <w:pPr>
        <w:pStyle w:val="BodyText"/>
        <w:spacing w:before="7"/>
        <w:rPr>
          <w:sz w:val="26"/>
        </w:rPr>
      </w:pPr>
    </w:p>
    <w:p>
      <w:pPr>
        <w:pStyle w:val="Heading6"/>
        <w:spacing w:before="1"/>
        <w:ind w:left="299"/>
        <w:rPr>
          <w:i/>
        </w:rPr>
      </w:pPr>
      <w:r>
        <w:rPr>
          <w:i/>
          <w:color w:val="231F20"/>
          <w:w w:val="110"/>
        </w:rPr>
        <w:t>THE</w:t>
      </w:r>
      <w:r>
        <w:rPr>
          <w:i/>
          <w:color w:val="231F20"/>
          <w:spacing w:val="69"/>
          <w:w w:val="110"/>
        </w:rPr>
        <w:t> </w:t>
      </w:r>
      <w:r>
        <w:rPr>
          <w:i/>
          <w:color w:val="231F20"/>
          <w:w w:val="110"/>
        </w:rPr>
        <w:t>LEGAL</w:t>
      </w:r>
      <w:r>
        <w:rPr>
          <w:i/>
          <w:color w:val="231F20"/>
          <w:spacing w:val="69"/>
          <w:w w:val="110"/>
        </w:rPr>
        <w:t> </w:t>
      </w:r>
      <w:r>
        <w:rPr>
          <w:i/>
          <w:color w:val="231F20"/>
          <w:spacing w:val="8"/>
          <w:w w:val="110"/>
        </w:rPr>
        <w:t>PROCESS</w:t>
      </w:r>
    </w:p>
    <w:p>
      <w:pPr>
        <w:pStyle w:val="BodyText"/>
        <w:spacing w:before="2"/>
        <w:rPr>
          <w:b/>
          <w:i/>
          <w:sz w:val="30"/>
        </w:rPr>
      </w:pPr>
    </w:p>
    <w:p>
      <w:pPr>
        <w:pStyle w:val="BodyText"/>
        <w:ind w:left="830"/>
        <w:jc w:val="both"/>
      </w:pPr>
      <w:r>
        <w:rPr>
          <w:color w:val="231F20"/>
        </w:rPr>
        <w:t>A</w:t>
      </w:r>
      <w:r>
        <w:rPr>
          <w:color w:val="231F20"/>
          <w:spacing w:val="10"/>
        </w:rPr>
        <w:t> </w:t>
      </w:r>
      <w:r>
        <w:rPr>
          <w:color w:val="231F20"/>
        </w:rPr>
        <w:t>standard</w:t>
      </w:r>
      <w:r>
        <w:rPr>
          <w:color w:val="231F20"/>
          <w:spacing w:val="11"/>
        </w:rPr>
        <w:t> </w:t>
      </w:r>
      <w:r>
        <w:rPr>
          <w:color w:val="231F20"/>
        </w:rPr>
        <w:t>legal</w:t>
      </w:r>
      <w:r>
        <w:rPr>
          <w:color w:val="231F20"/>
          <w:spacing w:val="11"/>
        </w:rPr>
        <w:t> </w:t>
      </w:r>
      <w:r>
        <w:rPr>
          <w:color w:val="231F20"/>
        </w:rPr>
        <w:t>action</w:t>
      </w:r>
      <w:r>
        <w:rPr>
          <w:color w:val="231F20"/>
          <w:spacing w:val="10"/>
        </w:rPr>
        <w:t> </w:t>
      </w:r>
      <w:r>
        <w:rPr>
          <w:color w:val="231F20"/>
        </w:rPr>
        <w:t>has</w:t>
      </w:r>
      <w:r>
        <w:rPr>
          <w:color w:val="231F20"/>
          <w:spacing w:val="11"/>
        </w:rPr>
        <w:t> </w:t>
      </w:r>
      <w:r>
        <w:rPr>
          <w:color w:val="231F20"/>
        </w:rPr>
        <w:t>nine</w:t>
      </w:r>
      <w:r>
        <w:rPr>
          <w:color w:val="231F20"/>
          <w:spacing w:val="11"/>
        </w:rPr>
        <w:t> </w:t>
      </w:r>
      <w:r>
        <w:rPr>
          <w:color w:val="231F20"/>
          <w:spacing w:val="-2"/>
        </w:rPr>
        <w:t>steps:</w:t>
      </w:r>
    </w:p>
    <w:p>
      <w:pPr>
        <w:pStyle w:val="BodyText"/>
        <w:rPr>
          <w:sz w:val="32"/>
        </w:rPr>
      </w:pPr>
    </w:p>
    <w:p>
      <w:pPr>
        <w:pStyle w:val="ListParagraph"/>
        <w:numPr>
          <w:ilvl w:val="0"/>
          <w:numId w:val="49"/>
        </w:numPr>
        <w:tabs>
          <w:tab w:pos="1520" w:val="left" w:leader="none"/>
        </w:tabs>
        <w:spacing w:line="328" w:lineRule="auto" w:before="0" w:after="0"/>
        <w:ind w:left="1519" w:right="756" w:hanging="170"/>
        <w:jc w:val="both"/>
        <w:rPr>
          <w:sz w:val="19"/>
        </w:rPr>
      </w:pPr>
      <w:r>
        <w:rPr>
          <w:i/>
          <w:color w:val="231F20"/>
          <w:w w:val="110"/>
          <w:sz w:val="19"/>
        </w:rPr>
        <w:t>Jurisdiction</w:t>
      </w:r>
      <w:r>
        <w:rPr>
          <w:i/>
          <w:color w:val="231F20"/>
          <w:spacing w:val="-15"/>
          <w:w w:val="110"/>
          <w:sz w:val="19"/>
        </w:rPr>
        <w:t> </w:t>
      </w:r>
      <w:r>
        <w:rPr>
          <w:color w:val="231F20"/>
          <w:w w:val="110"/>
          <w:sz w:val="19"/>
        </w:rPr>
        <w:t>—</w:t>
      </w:r>
      <w:r>
        <w:rPr>
          <w:color w:val="231F20"/>
          <w:spacing w:val="-15"/>
          <w:w w:val="110"/>
          <w:sz w:val="19"/>
        </w:rPr>
        <w:t> </w:t>
      </w:r>
      <w:r>
        <w:rPr>
          <w:color w:val="231F20"/>
          <w:w w:val="110"/>
          <w:sz w:val="19"/>
        </w:rPr>
        <w:t>For</w:t>
      </w:r>
      <w:r>
        <w:rPr>
          <w:color w:val="231F20"/>
          <w:spacing w:val="-14"/>
          <w:w w:val="110"/>
          <w:sz w:val="19"/>
        </w:rPr>
        <w:t> </w:t>
      </w:r>
      <w:r>
        <w:rPr>
          <w:color w:val="231F20"/>
          <w:w w:val="110"/>
          <w:sz w:val="19"/>
        </w:rPr>
        <w:t>a</w:t>
      </w:r>
      <w:r>
        <w:rPr>
          <w:color w:val="231F20"/>
          <w:spacing w:val="-15"/>
          <w:w w:val="110"/>
          <w:sz w:val="19"/>
        </w:rPr>
        <w:t> </w:t>
      </w:r>
      <w:r>
        <w:rPr>
          <w:color w:val="231F20"/>
          <w:w w:val="110"/>
          <w:sz w:val="19"/>
        </w:rPr>
        <w:t>court</w:t>
      </w:r>
      <w:r>
        <w:rPr>
          <w:color w:val="231F20"/>
          <w:spacing w:val="-3"/>
          <w:w w:val="110"/>
          <w:sz w:val="19"/>
        </w:rPr>
        <w:t> </w:t>
      </w:r>
      <w:r>
        <w:rPr>
          <w:color w:val="231F20"/>
          <w:w w:val="110"/>
          <w:sz w:val="19"/>
        </w:rPr>
        <w:t>to hear a case, it must have </w:t>
      </w:r>
      <w:r>
        <w:rPr>
          <w:i/>
          <w:color w:val="231F20"/>
          <w:w w:val="110"/>
          <w:sz w:val="19"/>
        </w:rPr>
        <w:t>juris-</w:t>
      </w:r>
      <w:r>
        <w:rPr>
          <w:i/>
          <w:color w:val="231F20"/>
          <w:w w:val="110"/>
          <w:sz w:val="19"/>
        </w:rPr>
        <w:t> </w:t>
      </w:r>
      <w:r>
        <w:rPr>
          <w:i/>
          <w:color w:val="231F20"/>
          <w:w w:val="115"/>
          <w:sz w:val="19"/>
        </w:rPr>
        <w:t>diction </w:t>
      </w:r>
      <w:r>
        <w:rPr>
          <w:color w:val="231F20"/>
          <w:w w:val="115"/>
          <w:sz w:val="19"/>
        </w:rPr>
        <w:t>to hear the subject matter and the power to </w:t>
      </w:r>
      <w:r>
        <w:rPr>
          <w:color w:val="231F20"/>
          <w:w w:val="115"/>
          <w:sz w:val="19"/>
        </w:rPr>
        <w:t>bind</w:t>
      </w:r>
      <w:r>
        <w:rPr>
          <w:color w:val="231F20"/>
          <w:w w:val="115"/>
          <w:sz w:val="19"/>
        </w:rPr>
        <w:t> the parties.</w:t>
      </w:r>
    </w:p>
    <w:p>
      <w:pPr>
        <w:pStyle w:val="ListParagraph"/>
        <w:numPr>
          <w:ilvl w:val="0"/>
          <w:numId w:val="49"/>
        </w:numPr>
        <w:tabs>
          <w:tab w:pos="1520" w:val="left" w:leader="none"/>
        </w:tabs>
        <w:spacing w:line="328" w:lineRule="auto" w:before="2" w:after="0"/>
        <w:ind w:left="1519" w:right="759" w:hanging="217"/>
        <w:jc w:val="both"/>
        <w:rPr>
          <w:sz w:val="19"/>
        </w:rPr>
      </w:pPr>
      <w:r>
        <w:rPr/>
        <w:pict>
          <v:shape style="position:absolute;margin-left:97.215958pt;margin-top:79.455818pt;width:4.95pt;height:4.7pt;mso-position-horizontal-relative:page;mso-position-vertical-relative:paragraph;z-index:-25016320" id="docshape541" coordorigin="1944,1589" coordsize="99,94" path="m2043,1589l2038,1589,2038,1591,2037,1593,2033,1594,2030,1595,2017,1595,1976,1594,1965,1594,1957,1595,1949,1602,1946,1608,1946,1617,1950,1617,1951,1614,1953,1611,1955,1610,1958,1608,1962,1607,1971,1607,1961,1666,1954,1666,1952,1666,1950,1662,1949,1660,1949,1656,1944,1656,1944,1667,1945,1673,1950,1680,1953,1682,1965,1682,1978,1607,1983,1607,2000,1607,2002,1608,2001,1636,2001,1659,2003,1669,2009,1680,2014,1682,2028,1682,2033,1680,2040,1670,2042,1662,2042,1651,2037,1651,2037,1659,2036,1665,2032,1672,2029,1674,2023,1674,2021,1672,2019,1667,2018,1660,2018,1636,2019,1613,2019,1608,2021,1608,2030,1608,2035,1607,2041,1601,2043,1596,2043,1589xe" filled="true" fillcolor="#231f20" stroked="false">
            <v:path arrowok="t"/>
            <v:fill type="solid"/>
            <w10:wrap type="none"/>
          </v:shape>
        </w:pict>
      </w:r>
      <w:r>
        <w:rPr/>
        <w:drawing>
          <wp:anchor distT="0" distB="0" distL="0" distR="0" allowOverlap="1" layoutInCell="1" locked="0" behindDoc="1" simplePos="0" relativeHeight="478300672">
            <wp:simplePos x="0" y="0"/>
            <wp:positionH relativeFrom="page">
              <wp:posOffset>3785438</wp:posOffset>
            </wp:positionH>
            <wp:positionV relativeFrom="paragraph">
              <wp:posOffset>984577</wp:posOffset>
            </wp:positionV>
            <wp:extent cx="70346" cy="82356"/>
            <wp:effectExtent l="0" t="0" r="0" b="0"/>
            <wp:wrapNone/>
            <wp:docPr id="155" name="image88.png"/>
            <wp:cNvGraphicFramePr>
              <a:graphicFrameLocks noChangeAspect="1"/>
            </wp:cNvGraphicFramePr>
            <a:graphic>
              <a:graphicData uri="http://schemas.openxmlformats.org/drawingml/2006/picture">
                <pic:pic>
                  <pic:nvPicPr>
                    <pic:cNvPr id="156" name="image88.png"/>
                    <pic:cNvPicPr/>
                  </pic:nvPicPr>
                  <pic:blipFill>
                    <a:blip r:embed="rId134" cstate="print"/>
                    <a:stretch>
                      <a:fillRect/>
                    </a:stretch>
                  </pic:blipFill>
                  <pic:spPr>
                    <a:xfrm>
                      <a:off x="0" y="0"/>
                      <a:ext cx="70346" cy="82356"/>
                    </a:xfrm>
                    <a:prstGeom prst="rect">
                      <a:avLst/>
                    </a:prstGeom>
                  </pic:spPr>
                </pic:pic>
              </a:graphicData>
            </a:graphic>
          </wp:anchor>
        </w:drawing>
      </w:r>
      <w:r>
        <w:rPr>
          <w:i/>
          <w:color w:val="231F20"/>
          <w:spacing w:val="-2"/>
          <w:w w:val="110"/>
          <w:sz w:val="19"/>
        </w:rPr>
        <w:t>Pleadings</w:t>
      </w:r>
      <w:r>
        <w:rPr>
          <w:color w:val="231F20"/>
          <w:spacing w:val="-2"/>
          <w:w w:val="110"/>
          <w:sz w:val="19"/>
        </w:rPr>
        <w:t>—</w:t>
      </w:r>
      <w:r>
        <w:rPr>
          <w:color w:val="231F20"/>
          <w:spacing w:val="-13"/>
          <w:w w:val="110"/>
          <w:sz w:val="19"/>
        </w:rPr>
        <w:t> </w:t>
      </w:r>
      <w:r>
        <w:rPr>
          <w:i/>
          <w:color w:val="231F20"/>
          <w:spacing w:val="-2"/>
          <w:w w:val="110"/>
          <w:sz w:val="19"/>
        </w:rPr>
        <w:t>Pleadings</w:t>
      </w:r>
      <w:r>
        <w:rPr>
          <w:i/>
          <w:color w:val="231F20"/>
          <w:spacing w:val="-13"/>
          <w:w w:val="110"/>
          <w:sz w:val="19"/>
        </w:rPr>
        <w:t> </w:t>
      </w:r>
      <w:r>
        <w:rPr>
          <w:color w:val="231F20"/>
          <w:spacing w:val="-2"/>
          <w:w w:val="110"/>
          <w:sz w:val="19"/>
        </w:rPr>
        <w:t>are</w:t>
      </w:r>
      <w:r>
        <w:rPr>
          <w:color w:val="231F20"/>
          <w:spacing w:val="-12"/>
          <w:w w:val="110"/>
          <w:sz w:val="19"/>
        </w:rPr>
        <w:t> </w:t>
      </w:r>
      <w:r>
        <w:rPr>
          <w:color w:val="231F20"/>
          <w:spacing w:val="-2"/>
          <w:w w:val="110"/>
          <w:sz w:val="19"/>
        </w:rPr>
        <w:t>the</w:t>
      </w:r>
      <w:r>
        <w:rPr>
          <w:color w:val="231F20"/>
          <w:spacing w:val="-13"/>
          <w:w w:val="110"/>
          <w:sz w:val="19"/>
        </w:rPr>
        <w:t> </w:t>
      </w:r>
      <w:r>
        <w:rPr>
          <w:color w:val="231F20"/>
          <w:spacing w:val="-2"/>
          <w:w w:val="110"/>
          <w:sz w:val="19"/>
        </w:rPr>
        <w:t>necessary</w:t>
      </w:r>
      <w:r>
        <w:rPr>
          <w:color w:val="231F20"/>
          <w:spacing w:val="-12"/>
          <w:w w:val="110"/>
          <w:sz w:val="19"/>
        </w:rPr>
        <w:t> </w:t>
      </w:r>
      <w:r>
        <w:rPr>
          <w:color w:val="231F20"/>
          <w:spacing w:val="-2"/>
          <w:w w:val="110"/>
          <w:sz w:val="19"/>
        </w:rPr>
        <w:t>paperwork</w:t>
      </w:r>
      <w:r>
        <w:rPr>
          <w:color w:val="231F20"/>
          <w:spacing w:val="-7"/>
          <w:w w:val="110"/>
          <w:sz w:val="19"/>
        </w:rPr>
        <w:t> </w:t>
      </w:r>
      <w:r>
        <w:rPr>
          <w:color w:val="231F20"/>
          <w:spacing w:val="-2"/>
          <w:w w:val="110"/>
          <w:sz w:val="19"/>
        </w:rPr>
        <w:t>to</w:t>
      </w:r>
      <w:r>
        <w:rPr>
          <w:color w:val="231F20"/>
          <w:spacing w:val="-7"/>
          <w:w w:val="110"/>
          <w:sz w:val="19"/>
        </w:rPr>
        <w:t> </w:t>
      </w:r>
      <w:r>
        <w:rPr>
          <w:color w:val="231F20"/>
          <w:spacing w:val="-2"/>
          <w:w w:val="110"/>
          <w:sz w:val="19"/>
        </w:rPr>
        <w:t>begin</w:t>
      </w:r>
      <w:r>
        <w:rPr>
          <w:color w:val="231F20"/>
          <w:spacing w:val="-2"/>
          <w:w w:val="110"/>
          <w:sz w:val="19"/>
        </w:rPr>
        <w:t> </w:t>
      </w:r>
      <w:r>
        <w:rPr>
          <w:color w:val="231F20"/>
          <w:w w:val="115"/>
          <w:sz w:val="19"/>
        </w:rPr>
        <w:t>the</w:t>
      </w:r>
      <w:r>
        <w:rPr>
          <w:color w:val="231F20"/>
          <w:w w:val="115"/>
          <w:sz w:val="19"/>
        </w:rPr>
        <w:t> trial</w:t>
      </w:r>
      <w:r>
        <w:rPr>
          <w:color w:val="231F20"/>
          <w:w w:val="115"/>
          <w:sz w:val="19"/>
        </w:rPr>
        <w:t> process.</w:t>
      </w:r>
      <w:r>
        <w:rPr>
          <w:color w:val="231F20"/>
          <w:w w:val="115"/>
          <w:sz w:val="19"/>
        </w:rPr>
        <w:t> The</w:t>
      </w:r>
      <w:r>
        <w:rPr>
          <w:color w:val="231F20"/>
          <w:w w:val="115"/>
          <w:sz w:val="19"/>
        </w:rPr>
        <w:t> </w:t>
      </w:r>
      <w:r>
        <w:rPr>
          <w:i/>
          <w:color w:val="231F20"/>
          <w:w w:val="115"/>
          <w:sz w:val="19"/>
        </w:rPr>
        <w:t>plaintiff</w:t>
      </w:r>
      <w:r>
        <w:rPr>
          <w:i/>
          <w:color w:val="231F20"/>
          <w:w w:val="115"/>
          <w:sz w:val="19"/>
        </w:rPr>
        <w:t> </w:t>
      </w:r>
      <w:r>
        <w:rPr>
          <w:color w:val="231F20"/>
          <w:w w:val="115"/>
          <w:sz w:val="19"/>
        </w:rPr>
        <w:t>files</w:t>
      </w:r>
      <w:r>
        <w:rPr>
          <w:color w:val="231F20"/>
          <w:w w:val="115"/>
          <w:sz w:val="19"/>
        </w:rPr>
        <w:t> the</w:t>
      </w:r>
      <w:r>
        <w:rPr>
          <w:color w:val="231F20"/>
          <w:w w:val="115"/>
          <w:sz w:val="19"/>
        </w:rPr>
        <w:t> initial</w:t>
      </w:r>
      <w:r>
        <w:rPr>
          <w:color w:val="231F20"/>
          <w:w w:val="115"/>
          <w:sz w:val="19"/>
        </w:rPr>
        <w:t> </w:t>
      </w:r>
      <w:r>
        <w:rPr>
          <w:color w:val="231F20"/>
          <w:w w:val="115"/>
          <w:sz w:val="19"/>
        </w:rPr>
        <w:t>paperwork,</w:t>
      </w:r>
      <w:r>
        <w:rPr>
          <w:color w:val="231F20"/>
          <w:w w:val="115"/>
          <w:sz w:val="19"/>
        </w:rPr>
        <w:t> called</w:t>
      </w:r>
      <w:r>
        <w:rPr>
          <w:color w:val="231F20"/>
          <w:spacing w:val="-11"/>
          <w:w w:val="115"/>
          <w:sz w:val="19"/>
        </w:rPr>
        <w:t> </w:t>
      </w:r>
      <w:r>
        <w:rPr>
          <w:color w:val="231F20"/>
          <w:w w:val="115"/>
          <w:sz w:val="19"/>
        </w:rPr>
        <w:t>a</w:t>
      </w:r>
      <w:r>
        <w:rPr>
          <w:color w:val="231F20"/>
          <w:spacing w:val="-11"/>
          <w:w w:val="115"/>
          <w:sz w:val="19"/>
        </w:rPr>
        <w:t> </w:t>
      </w:r>
      <w:r>
        <w:rPr>
          <w:i/>
          <w:color w:val="231F20"/>
          <w:w w:val="115"/>
          <w:sz w:val="19"/>
        </w:rPr>
        <w:t>complaint</w:t>
      </w:r>
      <w:r>
        <w:rPr>
          <w:i/>
          <w:color w:val="231F20"/>
          <w:spacing w:val="-11"/>
          <w:w w:val="115"/>
          <w:sz w:val="19"/>
        </w:rPr>
        <w:t> </w:t>
      </w:r>
      <w:r>
        <w:rPr>
          <w:color w:val="231F20"/>
          <w:w w:val="115"/>
          <w:sz w:val="19"/>
        </w:rPr>
        <w:t>or</w:t>
      </w:r>
      <w:r>
        <w:rPr>
          <w:color w:val="231F20"/>
          <w:spacing w:val="-11"/>
          <w:w w:val="115"/>
          <w:sz w:val="19"/>
        </w:rPr>
        <w:t> </w:t>
      </w:r>
      <w:r>
        <w:rPr>
          <w:i/>
          <w:color w:val="231F20"/>
          <w:w w:val="115"/>
          <w:sz w:val="19"/>
        </w:rPr>
        <w:t>petition.</w:t>
      </w:r>
      <w:r>
        <w:rPr>
          <w:i/>
          <w:color w:val="231F20"/>
          <w:spacing w:val="-11"/>
          <w:w w:val="115"/>
          <w:sz w:val="19"/>
        </w:rPr>
        <w:t> </w:t>
      </w:r>
      <w:r>
        <w:rPr>
          <w:color w:val="231F20"/>
          <w:w w:val="115"/>
          <w:sz w:val="19"/>
        </w:rPr>
        <w:t>The</w:t>
      </w:r>
      <w:r>
        <w:rPr>
          <w:color w:val="231F20"/>
          <w:spacing w:val="-11"/>
          <w:w w:val="115"/>
          <w:sz w:val="19"/>
        </w:rPr>
        <w:t> </w:t>
      </w:r>
      <w:r>
        <w:rPr>
          <w:color w:val="231F20"/>
          <w:w w:val="115"/>
          <w:sz w:val="19"/>
        </w:rPr>
        <w:t>plaintiff</w:t>
      </w:r>
      <w:r>
        <w:rPr>
          <w:color w:val="231F20"/>
          <w:spacing w:val="-11"/>
          <w:w w:val="115"/>
          <w:sz w:val="19"/>
        </w:rPr>
        <w:t> </w:t>
      </w:r>
      <w:r>
        <w:rPr>
          <w:color w:val="231F20"/>
          <w:w w:val="115"/>
          <w:sz w:val="19"/>
        </w:rPr>
        <w:t>asserts</w:t>
      </w:r>
      <w:r>
        <w:rPr>
          <w:color w:val="231F20"/>
          <w:spacing w:val="-11"/>
          <w:w w:val="115"/>
          <w:sz w:val="19"/>
        </w:rPr>
        <w:t> </w:t>
      </w:r>
      <w:r>
        <w:rPr>
          <w:color w:val="231F20"/>
          <w:w w:val="115"/>
          <w:sz w:val="19"/>
        </w:rPr>
        <w:t>that</w:t>
      </w:r>
      <w:r>
        <w:rPr>
          <w:color w:val="231F20"/>
          <w:spacing w:val="-11"/>
          <w:w w:val="115"/>
          <w:sz w:val="19"/>
        </w:rPr>
        <w:t> </w:t>
      </w:r>
      <w:r>
        <w:rPr>
          <w:color w:val="231F20"/>
          <w:w w:val="115"/>
          <w:sz w:val="19"/>
        </w:rPr>
        <w:t>the </w:t>
      </w:r>
      <w:r>
        <w:rPr>
          <w:i/>
          <w:color w:val="231F20"/>
          <w:spacing w:val="-2"/>
          <w:w w:val="115"/>
          <w:sz w:val="19"/>
        </w:rPr>
        <w:t>defendant</w:t>
      </w:r>
      <w:r>
        <w:rPr>
          <w:i/>
          <w:color w:val="231F20"/>
          <w:spacing w:val="-14"/>
          <w:w w:val="115"/>
          <w:sz w:val="19"/>
        </w:rPr>
        <w:t> </w:t>
      </w:r>
      <w:r>
        <w:rPr>
          <w:color w:val="231F20"/>
          <w:spacing w:val="-2"/>
          <w:w w:val="115"/>
          <w:sz w:val="19"/>
        </w:rPr>
        <w:t>has</w:t>
      </w:r>
      <w:r>
        <w:rPr>
          <w:color w:val="231F20"/>
          <w:spacing w:val="-13"/>
          <w:w w:val="115"/>
          <w:sz w:val="19"/>
        </w:rPr>
        <w:t> </w:t>
      </w:r>
      <w:r>
        <w:rPr>
          <w:color w:val="231F20"/>
          <w:spacing w:val="-2"/>
          <w:w w:val="115"/>
          <w:sz w:val="19"/>
        </w:rPr>
        <w:t>done</w:t>
      </w:r>
      <w:r>
        <w:rPr>
          <w:color w:val="231F20"/>
          <w:spacing w:val="-13"/>
          <w:w w:val="115"/>
          <w:sz w:val="19"/>
        </w:rPr>
        <w:t> </w:t>
      </w:r>
      <w:r>
        <w:rPr>
          <w:color w:val="231F20"/>
          <w:spacing w:val="-2"/>
          <w:w w:val="115"/>
          <w:sz w:val="19"/>
        </w:rPr>
        <w:t>a</w:t>
      </w:r>
      <w:r>
        <w:rPr>
          <w:color w:val="231F20"/>
          <w:spacing w:val="-13"/>
          <w:w w:val="115"/>
          <w:sz w:val="19"/>
        </w:rPr>
        <w:t> </w:t>
      </w:r>
      <w:r>
        <w:rPr>
          <w:color w:val="231F20"/>
          <w:spacing w:val="-2"/>
          <w:w w:val="115"/>
          <w:sz w:val="19"/>
        </w:rPr>
        <w:t>wrong</w:t>
      </w:r>
      <w:r>
        <w:rPr>
          <w:color w:val="231F20"/>
          <w:spacing w:val="-13"/>
          <w:w w:val="115"/>
          <w:sz w:val="19"/>
        </w:rPr>
        <w:t> </w:t>
      </w:r>
      <w:r>
        <w:rPr>
          <w:color w:val="231F20"/>
          <w:spacing w:val="-2"/>
          <w:w w:val="115"/>
          <w:sz w:val="19"/>
        </w:rPr>
        <w:t>and</w:t>
      </w:r>
      <w:r>
        <w:rPr>
          <w:color w:val="231F20"/>
          <w:spacing w:val="-14"/>
          <w:w w:val="115"/>
          <w:sz w:val="19"/>
        </w:rPr>
        <w:t> </w:t>
      </w:r>
      <w:r>
        <w:rPr>
          <w:color w:val="231F20"/>
          <w:spacing w:val="-2"/>
          <w:w w:val="115"/>
          <w:sz w:val="19"/>
        </w:rPr>
        <w:t>requests</w:t>
      </w:r>
      <w:r>
        <w:rPr>
          <w:color w:val="231F20"/>
          <w:spacing w:val="-13"/>
          <w:w w:val="115"/>
          <w:sz w:val="19"/>
        </w:rPr>
        <w:t> </w:t>
      </w:r>
      <w:r>
        <w:rPr>
          <w:color w:val="231F20"/>
          <w:spacing w:val="-2"/>
          <w:w w:val="115"/>
          <w:sz w:val="19"/>
        </w:rPr>
        <w:t>a</w:t>
      </w:r>
      <w:r>
        <w:rPr>
          <w:color w:val="231F20"/>
          <w:spacing w:val="-13"/>
          <w:w w:val="115"/>
          <w:sz w:val="19"/>
        </w:rPr>
        <w:t> </w:t>
      </w:r>
      <w:r>
        <w:rPr>
          <w:color w:val="231F20"/>
          <w:spacing w:val="-2"/>
          <w:w w:val="115"/>
          <w:sz w:val="19"/>
        </w:rPr>
        <w:t>punishment</w:t>
      </w:r>
      <w:r>
        <w:rPr>
          <w:color w:val="231F20"/>
          <w:spacing w:val="-13"/>
          <w:w w:val="115"/>
          <w:sz w:val="19"/>
        </w:rPr>
        <w:t> </w:t>
      </w:r>
      <w:r>
        <w:rPr>
          <w:color w:val="231F20"/>
          <w:spacing w:val="-2"/>
          <w:w w:val="115"/>
          <w:sz w:val="19"/>
        </w:rPr>
        <w:t>or </w:t>
      </w:r>
      <w:r>
        <w:rPr>
          <w:color w:val="231F20"/>
          <w:w w:val="110"/>
          <w:sz w:val="19"/>
        </w:rPr>
        <w:t>remedy.</w:t>
      </w:r>
      <w:r>
        <w:rPr>
          <w:color w:val="231F20"/>
          <w:spacing w:val="-10"/>
          <w:w w:val="110"/>
          <w:sz w:val="19"/>
        </w:rPr>
        <w:t> </w:t>
      </w:r>
      <w:r>
        <w:rPr>
          <w:color w:val="231F20"/>
          <w:w w:val="110"/>
          <w:sz w:val="19"/>
        </w:rPr>
        <w:t>In</w:t>
      </w:r>
      <w:r>
        <w:rPr>
          <w:color w:val="231F20"/>
          <w:spacing w:val="-10"/>
          <w:w w:val="110"/>
          <w:sz w:val="19"/>
        </w:rPr>
        <w:t> </w:t>
      </w:r>
      <w:r>
        <w:rPr>
          <w:color w:val="231F20"/>
          <w:w w:val="110"/>
          <w:sz w:val="19"/>
        </w:rPr>
        <w:t>law</w:t>
      </w:r>
      <w:r>
        <w:rPr>
          <w:color w:val="231F20"/>
          <w:spacing w:val="-10"/>
          <w:w w:val="110"/>
          <w:sz w:val="19"/>
        </w:rPr>
        <w:t> </w:t>
      </w:r>
      <w:r>
        <w:rPr>
          <w:color w:val="231F20"/>
          <w:w w:val="110"/>
          <w:sz w:val="19"/>
        </w:rPr>
        <w:t>notes,</w:t>
      </w:r>
      <w:r>
        <w:rPr>
          <w:color w:val="231F20"/>
          <w:spacing w:val="-10"/>
          <w:w w:val="110"/>
          <w:sz w:val="19"/>
        </w:rPr>
        <w:t> </w:t>
      </w:r>
      <w:r>
        <w:rPr>
          <w:i/>
          <w:color w:val="231F20"/>
          <w:w w:val="110"/>
          <w:sz w:val="19"/>
        </w:rPr>
        <w:t>plaintiff</w:t>
      </w:r>
      <w:r>
        <w:rPr>
          <w:i/>
          <w:color w:val="231F20"/>
          <w:spacing w:val="-10"/>
          <w:w w:val="110"/>
          <w:sz w:val="19"/>
        </w:rPr>
        <w:t> </w:t>
      </w:r>
      <w:r>
        <w:rPr>
          <w:color w:val="231F20"/>
          <w:w w:val="110"/>
          <w:sz w:val="19"/>
        </w:rPr>
        <w:t>is</w:t>
      </w:r>
      <w:r>
        <w:rPr>
          <w:color w:val="231F20"/>
          <w:spacing w:val="-10"/>
          <w:w w:val="110"/>
          <w:sz w:val="19"/>
        </w:rPr>
        <w:t> </w:t>
      </w:r>
      <w:r>
        <w:rPr>
          <w:color w:val="231F20"/>
          <w:w w:val="110"/>
          <w:sz w:val="19"/>
        </w:rPr>
        <w:t>written</w:t>
      </w:r>
      <w:r>
        <w:rPr>
          <w:color w:val="231F20"/>
          <w:spacing w:val="-10"/>
          <w:w w:val="110"/>
          <w:sz w:val="19"/>
        </w:rPr>
        <w:t> </w:t>
      </w:r>
      <w:r>
        <w:rPr>
          <w:color w:val="231F20"/>
          <w:w w:val="110"/>
          <w:sz w:val="19"/>
        </w:rPr>
        <w:t>as</w:t>
      </w:r>
      <w:r>
        <w:rPr>
          <w:color w:val="231F20"/>
          <w:spacing w:val="-10"/>
          <w:w w:val="110"/>
          <w:sz w:val="19"/>
        </w:rPr>
        <w:t> </w:t>
      </w:r>
      <w:r>
        <w:rPr>
          <w:color w:val="231F20"/>
          <w:w w:val="110"/>
          <w:sz w:val="19"/>
        </w:rPr>
        <w:t>the</w:t>
      </w:r>
      <w:r>
        <w:rPr>
          <w:color w:val="231F20"/>
          <w:spacing w:val="-10"/>
          <w:w w:val="110"/>
          <w:sz w:val="19"/>
        </w:rPr>
        <w:t> </w:t>
      </w:r>
      <w:r>
        <w:rPr>
          <w:color w:val="231F20"/>
          <w:w w:val="110"/>
          <w:sz w:val="19"/>
        </w:rPr>
        <w:t>Greek</w:t>
      </w:r>
      <w:r>
        <w:rPr>
          <w:color w:val="231F20"/>
          <w:spacing w:val="-10"/>
          <w:w w:val="110"/>
          <w:sz w:val="19"/>
        </w:rPr>
        <w:t> </w:t>
      </w:r>
      <w:r>
        <w:rPr>
          <w:color w:val="231F20"/>
          <w:w w:val="110"/>
          <w:sz w:val="19"/>
        </w:rPr>
        <w:t>letter</w:t>
      </w:r>
      <w:r>
        <w:rPr>
          <w:color w:val="231F20"/>
          <w:spacing w:val="-10"/>
          <w:w w:val="110"/>
          <w:sz w:val="19"/>
        </w:rPr>
        <w:t> </w:t>
      </w:r>
      <w:r>
        <w:rPr>
          <w:color w:val="231F20"/>
          <w:w w:val="110"/>
          <w:sz w:val="19"/>
        </w:rPr>
        <w:t>pi </w:t>
      </w:r>
      <w:r>
        <w:rPr>
          <w:color w:val="231F20"/>
          <w:w w:val="115"/>
          <w:sz w:val="19"/>
        </w:rPr>
        <w:t>(</w:t>
      </w:r>
      <w:r>
        <w:rPr>
          <w:color w:val="231F20"/>
          <w:spacing w:val="40"/>
          <w:w w:val="115"/>
          <w:sz w:val="19"/>
        </w:rPr>
        <w:t> </w:t>
      </w:r>
      <w:r>
        <w:rPr>
          <w:color w:val="231F20"/>
          <w:w w:val="115"/>
          <w:sz w:val="19"/>
        </w:rPr>
        <w:t>)</w:t>
      </w:r>
      <w:r>
        <w:rPr>
          <w:color w:val="231F20"/>
          <w:spacing w:val="-2"/>
          <w:w w:val="115"/>
          <w:sz w:val="19"/>
        </w:rPr>
        <w:t> </w:t>
      </w:r>
      <w:r>
        <w:rPr>
          <w:color w:val="231F20"/>
          <w:w w:val="115"/>
          <w:sz w:val="19"/>
        </w:rPr>
        <w:t>and</w:t>
      </w:r>
      <w:r>
        <w:rPr>
          <w:color w:val="231F20"/>
          <w:spacing w:val="-2"/>
          <w:w w:val="115"/>
          <w:sz w:val="19"/>
        </w:rPr>
        <w:t> </w:t>
      </w:r>
      <w:r>
        <w:rPr>
          <w:i/>
          <w:color w:val="231F20"/>
          <w:w w:val="115"/>
          <w:sz w:val="19"/>
        </w:rPr>
        <w:t>defendant</w:t>
      </w:r>
      <w:r>
        <w:rPr>
          <w:i/>
          <w:color w:val="231F20"/>
          <w:spacing w:val="-2"/>
          <w:w w:val="115"/>
          <w:sz w:val="19"/>
        </w:rPr>
        <w:t> </w:t>
      </w:r>
      <w:r>
        <w:rPr>
          <w:color w:val="231F20"/>
          <w:w w:val="115"/>
          <w:sz w:val="19"/>
        </w:rPr>
        <w:t>as</w:t>
      </w:r>
      <w:r>
        <w:rPr>
          <w:color w:val="231F20"/>
          <w:spacing w:val="-2"/>
          <w:w w:val="115"/>
          <w:sz w:val="19"/>
        </w:rPr>
        <w:t> </w:t>
      </w:r>
      <w:r>
        <w:rPr>
          <w:color w:val="231F20"/>
          <w:w w:val="115"/>
          <w:sz w:val="19"/>
        </w:rPr>
        <w:t>the</w:t>
      </w:r>
      <w:r>
        <w:rPr>
          <w:color w:val="231F20"/>
          <w:spacing w:val="-2"/>
          <w:w w:val="115"/>
          <w:sz w:val="19"/>
        </w:rPr>
        <w:t> </w:t>
      </w:r>
      <w:r>
        <w:rPr>
          <w:color w:val="231F20"/>
          <w:w w:val="115"/>
          <w:sz w:val="19"/>
        </w:rPr>
        <w:t>Greek</w:t>
      </w:r>
      <w:r>
        <w:rPr>
          <w:color w:val="231F20"/>
          <w:spacing w:val="-2"/>
          <w:w w:val="115"/>
          <w:sz w:val="19"/>
        </w:rPr>
        <w:t> </w:t>
      </w:r>
      <w:r>
        <w:rPr>
          <w:color w:val="231F20"/>
          <w:w w:val="115"/>
          <w:sz w:val="19"/>
        </w:rPr>
        <w:t>letter</w:t>
      </w:r>
      <w:r>
        <w:rPr>
          <w:color w:val="231F20"/>
          <w:spacing w:val="-2"/>
          <w:w w:val="115"/>
          <w:sz w:val="19"/>
        </w:rPr>
        <w:t> </w:t>
      </w:r>
      <w:r>
        <w:rPr>
          <w:color w:val="231F20"/>
          <w:w w:val="115"/>
          <w:sz w:val="19"/>
        </w:rPr>
        <w:t>delta</w:t>
      </w:r>
      <w:r>
        <w:rPr>
          <w:color w:val="231F20"/>
          <w:spacing w:val="-2"/>
          <w:w w:val="115"/>
          <w:sz w:val="19"/>
        </w:rPr>
        <w:t> </w:t>
      </w:r>
      <w:r>
        <w:rPr>
          <w:color w:val="231F20"/>
          <w:w w:val="115"/>
          <w:sz w:val="19"/>
        </w:rPr>
        <w:t>(</w:t>
      </w:r>
      <w:r>
        <w:rPr>
          <w:color w:val="231F20"/>
          <w:spacing w:val="40"/>
          <w:w w:val="115"/>
          <w:sz w:val="19"/>
        </w:rPr>
        <w:t> </w:t>
      </w:r>
      <w:r>
        <w:rPr>
          <w:color w:val="231F20"/>
          <w:w w:val="115"/>
          <w:sz w:val="19"/>
        </w:rPr>
        <w:t>).</w:t>
      </w:r>
    </w:p>
    <w:p>
      <w:pPr>
        <w:pStyle w:val="ListParagraph"/>
        <w:numPr>
          <w:ilvl w:val="0"/>
          <w:numId w:val="49"/>
        </w:numPr>
        <w:tabs>
          <w:tab w:pos="1520" w:val="left" w:leader="none"/>
        </w:tabs>
        <w:spacing w:line="328" w:lineRule="auto" w:before="4" w:after="0"/>
        <w:ind w:left="1519" w:right="756" w:hanging="223"/>
        <w:jc w:val="both"/>
        <w:rPr>
          <w:sz w:val="19"/>
        </w:rPr>
      </w:pPr>
      <w:r>
        <w:rPr>
          <w:i/>
          <w:color w:val="231F20"/>
          <w:w w:val="115"/>
          <w:sz w:val="19"/>
        </w:rPr>
        <w:t>Discovery</w:t>
      </w:r>
      <w:r>
        <w:rPr>
          <w:i/>
          <w:color w:val="231F20"/>
          <w:spacing w:val="-16"/>
          <w:w w:val="115"/>
          <w:sz w:val="19"/>
        </w:rPr>
        <w:t> </w:t>
      </w:r>
      <w:r>
        <w:rPr>
          <w:color w:val="231F20"/>
          <w:w w:val="115"/>
          <w:sz w:val="19"/>
        </w:rPr>
        <w:t>—</w:t>
      </w:r>
      <w:r>
        <w:rPr>
          <w:color w:val="231F20"/>
          <w:spacing w:val="-15"/>
          <w:w w:val="115"/>
          <w:sz w:val="19"/>
        </w:rPr>
        <w:t> </w:t>
      </w:r>
      <w:r>
        <w:rPr>
          <w:color w:val="231F20"/>
          <w:w w:val="115"/>
          <w:sz w:val="19"/>
        </w:rPr>
        <w:t>Lawyers</w:t>
      </w:r>
      <w:r>
        <w:rPr>
          <w:color w:val="231F20"/>
          <w:spacing w:val="-15"/>
          <w:w w:val="115"/>
          <w:sz w:val="19"/>
        </w:rPr>
        <w:t> </w:t>
      </w:r>
      <w:r>
        <w:rPr>
          <w:color w:val="231F20"/>
          <w:w w:val="115"/>
          <w:sz w:val="19"/>
        </w:rPr>
        <w:t>gather</w:t>
      </w:r>
      <w:r>
        <w:rPr>
          <w:color w:val="231F20"/>
          <w:spacing w:val="-15"/>
          <w:w w:val="115"/>
          <w:sz w:val="19"/>
        </w:rPr>
        <w:t> </w:t>
      </w:r>
      <w:r>
        <w:rPr>
          <w:color w:val="231F20"/>
          <w:w w:val="115"/>
          <w:sz w:val="19"/>
        </w:rPr>
        <w:t>the</w:t>
      </w:r>
      <w:r>
        <w:rPr>
          <w:color w:val="231F20"/>
          <w:spacing w:val="-15"/>
          <w:w w:val="115"/>
          <w:sz w:val="19"/>
        </w:rPr>
        <w:t> </w:t>
      </w:r>
      <w:r>
        <w:rPr>
          <w:color w:val="231F20"/>
          <w:w w:val="115"/>
          <w:sz w:val="19"/>
        </w:rPr>
        <w:t>required</w:t>
      </w:r>
      <w:r>
        <w:rPr>
          <w:color w:val="231F20"/>
          <w:spacing w:val="-16"/>
          <w:w w:val="115"/>
          <w:sz w:val="19"/>
        </w:rPr>
        <w:t> </w:t>
      </w:r>
      <w:r>
        <w:rPr>
          <w:color w:val="231F20"/>
          <w:w w:val="115"/>
          <w:sz w:val="19"/>
        </w:rPr>
        <w:t>information</w:t>
      </w:r>
      <w:r>
        <w:rPr>
          <w:color w:val="231F20"/>
          <w:spacing w:val="-10"/>
          <w:w w:val="115"/>
          <w:sz w:val="19"/>
        </w:rPr>
        <w:t> </w:t>
      </w:r>
      <w:r>
        <w:rPr>
          <w:color w:val="231F20"/>
          <w:w w:val="115"/>
          <w:sz w:val="19"/>
        </w:rPr>
        <w:t>and witnesses</w:t>
      </w:r>
      <w:r>
        <w:rPr>
          <w:color w:val="231F20"/>
          <w:spacing w:val="-1"/>
          <w:w w:val="115"/>
          <w:sz w:val="19"/>
        </w:rPr>
        <w:t> </w:t>
      </w:r>
      <w:r>
        <w:rPr>
          <w:color w:val="231F20"/>
          <w:w w:val="115"/>
          <w:sz w:val="19"/>
        </w:rPr>
        <w:t>before</w:t>
      </w:r>
      <w:r>
        <w:rPr>
          <w:color w:val="231F20"/>
          <w:spacing w:val="-1"/>
          <w:w w:val="115"/>
          <w:sz w:val="19"/>
        </w:rPr>
        <w:t> </w:t>
      </w:r>
      <w:r>
        <w:rPr>
          <w:color w:val="231F20"/>
          <w:w w:val="115"/>
          <w:sz w:val="19"/>
        </w:rPr>
        <w:t>a</w:t>
      </w:r>
      <w:r>
        <w:rPr>
          <w:color w:val="231F20"/>
          <w:spacing w:val="-1"/>
          <w:w w:val="115"/>
          <w:sz w:val="19"/>
        </w:rPr>
        <w:t> </w:t>
      </w:r>
      <w:r>
        <w:rPr>
          <w:color w:val="231F20"/>
          <w:w w:val="115"/>
          <w:sz w:val="19"/>
        </w:rPr>
        <w:t>trial</w:t>
      </w:r>
      <w:r>
        <w:rPr>
          <w:color w:val="231F20"/>
          <w:spacing w:val="-1"/>
          <w:w w:val="115"/>
          <w:sz w:val="19"/>
        </w:rPr>
        <w:t> </w:t>
      </w:r>
      <w:r>
        <w:rPr>
          <w:color w:val="231F20"/>
          <w:w w:val="115"/>
          <w:sz w:val="19"/>
        </w:rPr>
        <w:t>during</w:t>
      </w:r>
      <w:r>
        <w:rPr>
          <w:color w:val="231F20"/>
          <w:spacing w:val="-1"/>
          <w:w w:val="115"/>
          <w:sz w:val="19"/>
        </w:rPr>
        <w:t> </w:t>
      </w:r>
      <w:r>
        <w:rPr>
          <w:i/>
          <w:color w:val="231F20"/>
          <w:w w:val="115"/>
          <w:sz w:val="19"/>
        </w:rPr>
        <w:t>discovery.</w:t>
      </w:r>
      <w:r>
        <w:rPr>
          <w:i/>
          <w:color w:val="231F20"/>
          <w:spacing w:val="-1"/>
          <w:w w:val="115"/>
          <w:sz w:val="19"/>
        </w:rPr>
        <w:t> </w:t>
      </w:r>
      <w:r>
        <w:rPr>
          <w:color w:val="231F20"/>
          <w:w w:val="115"/>
          <w:sz w:val="19"/>
        </w:rPr>
        <w:t>Each</w:t>
      </w:r>
      <w:r>
        <w:rPr>
          <w:color w:val="231F20"/>
          <w:spacing w:val="-1"/>
          <w:w w:val="115"/>
          <w:sz w:val="19"/>
        </w:rPr>
        <w:t> </w:t>
      </w:r>
      <w:r>
        <w:rPr>
          <w:color w:val="231F20"/>
          <w:w w:val="115"/>
          <w:sz w:val="19"/>
        </w:rPr>
        <w:t>side</w:t>
      </w:r>
      <w:r>
        <w:rPr>
          <w:color w:val="231F20"/>
          <w:spacing w:val="-1"/>
          <w:w w:val="115"/>
          <w:sz w:val="19"/>
        </w:rPr>
        <w:t> </w:t>
      </w:r>
      <w:r>
        <w:rPr>
          <w:color w:val="231F20"/>
          <w:w w:val="115"/>
          <w:sz w:val="19"/>
        </w:rPr>
        <w:t>is</w:t>
      </w:r>
      <w:r>
        <w:rPr>
          <w:color w:val="231F20"/>
          <w:spacing w:val="-1"/>
          <w:w w:val="115"/>
          <w:sz w:val="19"/>
        </w:rPr>
        <w:t> </w:t>
      </w:r>
      <w:r>
        <w:rPr>
          <w:color w:val="231F20"/>
          <w:w w:val="115"/>
          <w:sz w:val="19"/>
        </w:rPr>
        <w:t>al- lowed to see the evidence held by the other side. Unlike </w:t>
      </w:r>
      <w:r>
        <w:rPr>
          <w:color w:val="231F20"/>
          <w:spacing w:val="-2"/>
          <w:w w:val="115"/>
          <w:sz w:val="19"/>
        </w:rPr>
        <w:t>what</w:t>
      </w:r>
      <w:r>
        <w:rPr>
          <w:color w:val="231F20"/>
          <w:spacing w:val="-12"/>
          <w:w w:val="115"/>
          <w:sz w:val="19"/>
        </w:rPr>
        <w:t> </w:t>
      </w:r>
      <w:r>
        <w:rPr>
          <w:color w:val="231F20"/>
          <w:spacing w:val="-2"/>
          <w:w w:val="115"/>
          <w:sz w:val="19"/>
        </w:rPr>
        <w:t>you</w:t>
      </w:r>
      <w:r>
        <w:rPr>
          <w:color w:val="231F20"/>
          <w:spacing w:val="-12"/>
          <w:w w:val="115"/>
          <w:sz w:val="19"/>
        </w:rPr>
        <w:t> </w:t>
      </w:r>
      <w:r>
        <w:rPr>
          <w:color w:val="231F20"/>
          <w:spacing w:val="-2"/>
          <w:w w:val="115"/>
          <w:sz w:val="19"/>
        </w:rPr>
        <w:t>may</w:t>
      </w:r>
      <w:r>
        <w:rPr>
          <w:color w:val="231F20"/>
          <w:spacing w:val="-12"/>
          <w:w w:val="115"/>
          <w:sz w:val="19"/>
        </w:rPr>
        <w:t> </w:t>
      </w:r>
      <w:r>
        <w:rPr>
          <w:color w:val="231F20"/>
          <w:spacing w:val="-2"/>
          <w:w w:val="115"/>
          <w:sz w:val="19"/>
        </w:rPr>
        <w:t>have</w:t>
      </w:r>
      <w:r>
        <w:rPr>
          <w:color w:val="231F20"/>
          <w:spacing w:val="-12"/>
          <w:w w:val="115"/>
          <w:sz w:val="19"/>
        </w:rPr>
        <w:t> </w:t>
      </w:r>
      <w:r>
        <w:rPr>
          <w:color w:val="231F20"/>
          <w:spacing w:val="-2"/>
          <w:w w:val="115"/>
          <w:sz w:val="19"/>
        </w:rPr>
        <w:t>seen</w:t>
      </w:r>
      <w:r>
        <w:rPr>
          <w:color w:val="231F20"/>
          <w:spacing w:val="-12"/>
          <w:w w:val="115"/>
          <w:sz w:val="19"/>
        </w:rPr>
        <w:t> </w:t>
      </w:r>
      <w:r>
        <w:rPr>
          <w:color w:val="231F20"/>
          <w:spacing w:val="-2"/>
          <w:w w:val="115"/>
          <w:sz w:val="19"/>
        </w:rPr>
        <w:t>in</w:t>
      </w:r>
      <w:r>
        <w:rPr>
          <w:color w:val="231F20"/>
          <w:spacing w:val="-12"/>
          <w:w w:val="115"/>
          <w:sz w:val="19"/>
        </w:rPr>
        <w:t> </w:t>
      </w:r>
      <w:r>
        <w:rPr>
          <w:color w:val="231F20"/>
          <w:spacing w:val="-2"/>
          <w:w w:val="115"/>
          <w:sz w:val="19"/>
        </w:rPr>
        <w:t>the</w:t>
      </w:r>
      <w:r>
        <w:rPr>
          <w:color w:val="231F20"/>
          <w:spacing w:val="-12"/>
          <w:w w:val="115"/>
          <w:sz w:val="19"/>
        </w:rPr>
        <w:t> </w:t>
      </w:r>
      <w:r>
        <w:rPr>
          <w:color w:val="231F20"/>
          <w:spacing w:val="-2"/>
          <w:w w:val="115"/>
          <w:sz w:val="19"/>
        </w:rPr>
        <w:t>movies,</w:t>
      </w:r>
      <w:r>
        <w:rPr>
          <w:color w:val="231F20"/>
          <w:spacing w:val="-12"/>
          <w:w w:val="115"/>
          <w:sz w:val="19"/>
        </w:rPr>
        <w:t> </w:t>
      </w:r>
      <w:r>
        <w:rPr>
          <w:color w:val="231F20"/>
          <w:spacing w:val="-2"/>
          <w:w w:val="115"/>
          <w:sz w:val="19"/>
        </w:rPr>
        <w:t>there</w:t>
      </w:r>
      <w:r>
        <w:rPr>
          <w:color w:val="231F20"/>
          <w:spacing w:val="-12"/>
          <w:w w:val="115"/>
          <w:sz w:val="19"/>
        </w:rPr>
        <w:t> </w:t>
      </w:r>
      <w:r>
        <w:rPr>
          <w:color w:val="231F20"/>
          <w:spacing w:val="-2"/>
          <w:w w:val="115"/>
          <w:sz w:val="19"/>
        </w:rPr>
        <w:t>should</w:t>
      </w:r>
      <w:r>
        <w:rPr>
          <w:color w:val="231F20"/>
          <w:spacing w:val="-12"/>
          <w:w w:val="115"/>
          <w:sz w:val="19"/>
        </w:rPr>
        <w:t> </w:t>
      </w:r>
      <w:r>
        <w:rPr>
          <w:color w:val="231F20"/>
          <w:spacing w:val="-2"/>
          <w:w w:val="115"/>
          <w:sz w:val="19"/>
        </w:rPr>
        <w:t>be</w:t>
      </w:r>
      <w:r>
        <w:rPr>
          <w:color w:val="231F20"/>
          <w:spacing w:val="-12"/>
          <w:w w:val="115"/>
          <w:sz w:val="19"/>
        </w:rPr>
        <w:t> </w:t>
      </w:r>
      <w:r>
        <w:rPr>
          <w:color w:val="231F20"/>
          <w:spacing w:val="-2"/>
          <w:w w:val="115"/>
          <w:sz w:val="19"/>
        </w:rPr>
        <w:t>no</w:t>
      </w:r>
      <w:r>
        <w:rPr>
          <w:color w:val="231F20"/>
          <w:spacing w:val="-2"/>
          <w:w w:val="115"/>
          <w:sz w:val="19"/>
        </w:rPr>
        <w:t> surprises.</w:t>
      </w:r>
    </w:p>
    <w:p>
      <w:pPr>
        <w:spacing w:after="0" w:line="328" w:lineRule="auto"/>
        <w:jc w:val="both"/>
        <w:rPr>
          <w:sz w:val="19"/>
        </w:rPr>
        <w:sectPr>
          <w:pgSz w:w="8640" w:h="12960"/>
          <w:pgMar w:header="732" w:footer="0" w:top="920" w:bottom="280" w:left="340" w:right="500"/>
        </w:sectPr>
      </w:pPr>
    </w:p>
    <w:p>
      <w:pPr>
        <w:pStyle w:val="BodyText"/>
        <w:spacing w:before="6"/>
        <w:rPr>
          <w:rFonts w:ascii="Arial"/>
          <w:sz w:val="19"/>
        </w:rPr>
      </w:pPr>
    </w:p>
    <w:p>
      <w:pPr>
        <w:pStyle w:val="ListParagraph"/>
        <w:numPr>
          <w:ilvl w:val="0"/>
          <w:numId w:val="49"/>
        </w:numPr>
        <w:tabs>
          <w:tab w:pos="1610" w:val="left" w:leader="none"/>
        </w:tabs>
        <w:spacing w:line="328" w:lineRule="auto" w:before="97" w:after="0"/>
        <w:ind w:left="1610" w:right="666" w:hanging="233"/>
        <w:jc w:val="both"/>
        <w:rPr>
          <w:sz w:val="19"/>
        </w:rPr>
      </w:pPr>
      <w:r>
        <w:rPr>
          <w:i/>
          <w:color w:val="231F20"/>
          <w:w w:val="115"/>
          <w:sz w:val="19"/>
        </w:rPr>
        <w:t>Pretrial</w:t>
      </w:r>
      <w:r>
        <w:rPr>
          <w:i/>
          <w:color w:val="231F20"/>
          <w:spacing w:val="-16"/>
          <w:w w:val="115"/>
          <w:sz w:val="19"/>
        </w:rPr>
        <w:t> </w:t>
      </w:r>
      <w:r>
        <w:rPr>
          <w:i/>
          <w:color w:val="231F20"/>
          <w:w w:val="115"/>
          <w:sz w:val="19"/>
        </w:rPr>
        <w:t>Conference</w:t>
      </w:r>
      <w:r>
        <w:rPr>
          <w:i/>
          <w:color w:val="231F20"/>
          <w:spacing w:val="-15"/>
          <w:w w:val="115"/>
          <w:sz w:val="19"/>
        </w:rPr>
        <w:t> </w:t>
      </w:r>
      <w:r>
        <w:rPr>
          <w:color w:val="231F20"/>
          <w:w w:val="115"/>
          <w:sz w:val="19"/>
        </w:rPr>
        <w:t>—</w:t>
      </w:r>
      <w:r>
        <w:rPr>
          <w:color w:val="231F20"/>
          <w:spacing w:val="-15"/>
          <w:w w:val="115"/>
          <w:sz w:val="19"/>
        </w:rPr>
        <w:t> </w:t>
      </w:r>
      <w:r>
        <w:rPr>
          <w:color w:val="231F20"/>
          <w:w w:val="115"/>
          <w:sz w:val="19"/>
        </w:rPr>
        <w:t>Often</w:t>
      </w:r>
      <w:r>
        <w:rPr>
          <w:color w:val="231F20"/>
          <w:spacing w:val="-15"/>
          <w:w w:val="115"/>
          <w:sz w:val="19"/>
        </w:rPr>
        <w:t> </w:t>
      </w:r>
      <w:r>
        <w:rPr>
          <w:color w:val="231F20"/>
          <w:w w:val="115"/>
          <w:sz w:val="19"/>
        </w:rPr>
        <w:t>held</w:t>
      </w:r>
      <w:r>
        <w:rPr>
          <w:color w:val="231F20"/>
          <w:spacing w:val="-15"/>
          <w:w w:val="115"/>
          <w:sz w:val="19"/>
        </w:rPr>
        <w:t> </w:t>
      </w:r>
      <w:r>
        <w:rPr>
          <w:color w:val="231F20"/>
          <w:w w:val="115"/>
          <w:sz w:val="19"/>
        </w:rPr>
        <w:t>for</w:t>
      </w:r>
      <w:r>
        <w:rPr>
          <w:color w:val="231F20"/>
          <w:spacing w:val="-16"/>
          <w:w w:val="115"/>
          <w:sz w:val="19"/>
        </w:rPr>
        <w:t> </w:t>
      </w:r>
      <w:r>
        <w:rPr>
          <w:color w:val="231F20"/>
          <w:w w:val="115"/>
          <w:sz w:val="19"/>
        </w:rPr>
        <w:t>federal</w:t>
      </w:r>
      <w:r>
        <w:rPr>
          <w:color w:val="231F20"/>
          <w:spacing w:val="-15"/>
          <w:w w:val="115"/>
          <w:sz w:val="19"/>
        </w:rPr>
        <w:t> </w:t>
      </w:r>
      <w:r>
        <w:rPr>
          <w:color w:val="231F20"/>
          <w:w w:val="115"/>
          <w:sz w:val="19"/>
        </w:rPr>
        <w:t>civil</w:t>
      </w:r>
      <w:r>
        <w:rPr>
          <w:color w:val="231F20"/>
          <w:spacing w:val="-15"/>
          <w:w w:val="115"/>
          <w:sz w:val="19"/>
        </w:rPr>
        <w:t> </w:t>
      </w:r>
      <w:r>
        <w:rPr>
          <w:color w:val="231F20"/>
          <w:w w:val="115"/>
          <w:sz w:val="19"/>
        </w:rPr>
        <w:t>cases,</w:t>
      </w:r>
      <w:r>
        <w:rPr>
          <w:color w:val="231F20"/>
          <w:spacing w:val="-15"/>
          <w:w w:val="115"/>
          <w:sz w:val="19"/>
        </w:rPr>
        <w:t> </w:t>
      </w:r>
      <w:r>
        <w:rPr>
          <w:color w:val="231F20"/>
          <w:w w:val="115"/>
          <w:sz w:val="19"/>
        </w:rPr>
        <w:t>at </w:t>
      </w:r>
      <w:r>
        <w:rPr>
          <w:color w:val="231F20"/>
          <w:spacing w:val="-2"/>
          <w:w w:val="115"/>
          <w:sz w:val="19"/>
        </w:rPr>
        <w:t>this</w:t>
      </w:r>
      <w:r>
        <w:rPr>
          <w:color w:val="231F20"/>
          <w:spacing w:val="-11"/>
          <w:w w:val="115"/>
          <w:sz w:val="19"/>
        </w:rPr>
        <w:t> </w:t>
      </w:r>
      <w:r>
        <w:rPr>
          <w:color w:val="231F20"/>
          <w:spacing w:val="-2"/>
          <w:w w:val="115"/>
          <w:sz w:val="19"/>
        </w:rPr>
        <w:t>meeting</w:t>
      </w:r>
      <w:r>
        <w:rPr>
          <w:color w:val="231F20"/>
          <w:spacing w:val="-11"/>
          <w:w w:val="115"/>
          <w:sz w:val="19"/>
        </w:rPr>
        <w:t> </w:t>
      </w:r>
      <w:r>
        <w:rPr>
          <w:color w:val="231F20"/>
          <w:spacing w:val="-2"/>
          <w:w w:val="115"/>
          <w:sz w:val="19"/>
        </w:rPr>
        <w:t>lawyers</w:t>
      </w:r>
      <w:r>
        <w:rPr>
          <w:color w:val="231F20"/>
          <w:spacing w:val="-11"/>
          <w:w w:val="115"/>
          <w:sz w:val="19"/>
        </w:rPr>
        <w:t> </w:t>
      </w:r>
      <w:r>
        <w:rPr>
          <w:color w:val="231F20"/>
          <w:spacing w:val="-2"/>
          <w:w w:val="115"/>
          <w:sz w:val="19"/>
        </w:rPr>
        <w:t>and</w:t>
      </w:r>
      <w:r>
        <w:rPr>
          <w:color w:val="231F20"/>
          <w:spacing w:val="-11"/>
          <w:w w:val="115"/>
          <w:sz w:val="19"/>
        </w:rPr>
        <w:t> </w:t>
      </w:r>
      <w:r>
        <w:rPr>
          <w:color w:val="231F20"/>
          <w:spacing w:val="-2"/>
          <w:w w:val="115"/>
          <w:sz w:val="19"/>
        </w:rPr>
        <w:t>the</w:t>
      </w:r>
      <w:r>
        <w:rPr>
          <w:color w:val="231F20"/>
          <w:spacing w:val="-11"/>
          <w:w w:val="115"/>
          <w:sz w:val="19"/>
        </w:rPr>
        <w:t> </w:t>
      </w:r>
      <w:r>
        <w:rPr>
          <w:color w:val="231F20"/>
          <w:spacing w:val="-2"/>
          <w:w w:val="115"/>
          <w:sz w:val="19"/>
        </w:rPr>
        <w:t>judge</w:t>
      </w:r>
      <w:r>
        <w:rPr>
          <w:color w:val="231F20"/>
          <w:spacing w:val="-11"/>
          <w:w w:val="115"/>
          <w:sz w:val="19"/>
        </w:rPr>
        <w:t> </w:t>
      </w:r>
      <w:r>
        <w:rPr>
          <w:color w:val="231F20"/>
          <w:spacing w:val="-2"/>
          <w:w w:val="115"/>
          <w:sz w:val="19"/>
        </w:rPr>
        <w:t>try</w:t>
      </w:r>
      <w:r>
        <w:rPr>
          <w:color w:val="231F20"/>
          <w:spacing w:val="-11"/>
          <w:w w:val="115"/>
          <w:sz w:val="19"/>
        </w:rPr>
        <w:t> </w:t>
      </w:r>
      <w:r>
        <w:rPr>
          <w:color w:val="231F20"/>
          <w:spacing w:val="-2"/>
          <w:w w:val="115"/>
          <w:sz w:val="19"/>
        </w:rPr>
        <w:t>to</w:t>
      </w:r>
      <w:r>
        <w:rPr>
          <w:color w:val="231F20"/>
          <w:spacing w:val="-11"/>
          <w:w w:val="115"/>
          <w:sz w:val="19"/>
        </w:rPr>
        <w:t> </w:t>
      </w:r>
      <w:r>
        <w:rPr>
          <w:color w:val="231F20"/>
          <w:spacing w:val="-2"/>
          <w:w w:val="115"/>
          <w:sz w:val="19"/>
        </w:rPr>
        <w:t>organize</w:t>
      </w:r>
      <w:r>
        <w:rPr>
          <w:color w:val="231F20"/>
          <w:spacing w:val="-11"/>
          <w:w w:val="115"/>
          <w:sz w:val="19"/>
        </w:rPr>
        <w:t> </w:t>
      </w:r>
      <w:r>
        <w:rPr>
          <w:color w:val="231F20"/>
          <w:spacing w:val="-2"/>
          <w:w w:val="115"/>
          <w:sz w:val="19"/>
        </w:rPr>
        <w:t>and</w:t>
      </w:r>
      <w:r>
        <w:rPr>
          <w:color w:val="231F20"/>
          <w:spacing w:val="-11"/>
          <w:w w:val="115"/>
          <w:sz w:val="19"/>
        </w:rPr>
        <w:t> </w:t>
      </w:r>
      <w:r>
        <w:rPr>
          <w:color w:val="231F20"/>
          <w:spacing w:val="-2"/>
          <w:w w:val="115"/>
          <w:sz w:val="19"/>
        </w:rPr>
        <w:t>nar- </w:t>
      </w:r>
      <w:r>
        <w:rPr>
          <w:color w:val="231F20"/>
          <w:w w:val="115"/>
          <w:sz w:val="19"/>
        </w:rPr>
        <w:t>row the issues of the case to the most important ones </w:t>
      </w:r>
      <w:r>
        <w:rPr>
          <w:color w:val="231F20"/>
          <w:w w:val="115"/>
          <w:sz w:val="19"/>
        </w:rPr>
        <w:t>to</w:t>
      </w:r>
      <w:r>
        <w:rPr>
          <w:color w:val="231F20"/>
          <w:w w:val="115"/>
          <w:sz w:val="19"/>
        </w:rPr>
        <w:t> make</w:t>
      </w:r>
      <w:r>
        <w:rPr>
          <w:color w:val="231F20"/>
          <w:w w:val="115"/>
          <w:sz w:val="19"/>
        </w:rPr>
        <w:t> the</w:t>
      </w:r>
      <w:r>
        <w:rPr>
          <w:color w:val="231F20"/>
          <w:w w:val="115"/>
          <w:sz w:val="19"/>
        </w:rPr>
        <w:t> trial</w:t>
      </w:r>
      <w:r>
        <w:rPr>
          <w:color w:val="231F20"/>
          <w:w w:val="115"/>
          <w:sz w:val="19"/>
        </w:rPr>
        <w:t> more</w:t>
      </w:r>
      <w:r>
        <w:rPr>
          <w:color w:val="231F20"/>
          <w:w w:val="115"/>
          <w:sz w:val="19"/>
        </w:rPr>
        <w:t> efficient.</w:t>
      </w:r>
      <w:r>
        <w:rPr>
          <w:color w:val="231F20"/>
          <w:w w:val="115"/>
          <w:sz w:val="19"/>
        </w:rPr>
        <w:t> Often</w:t>
      </w:r>
      <w:r>
        <w:rPr>
          <w:color w:val="231F20"/>
          <w:w w:val="115"/>
          <w:sz w:val="19"/>
        </w:rPr>
        <w:t> out-of-court</w:t>
      </w:r>
      <w:r>
        <w:rPr>
          <w:color w:val="231F20"/>
          <w:w w:val="115"/>
          <w:sz w:val="19"/>
        </w:rPr>
        <w:t> settle- ments occur at this point.</w:t>
      </w:r>
    </w:p>
    <w:p>
      <w:pPr>
        <w:pStyle w:val="ListParagraph"/>
        <w:numPr>
          <w:ilvl w:val="0"/>
          <w:numId w:val="49"/>
        </w:numPr>
        <w:tabs>
          <w:tab w:pos="1610" w:val="left" w:leader="none"/>
        </w:tabs>
        <w:spacing w:line="328" w:lineRule="auto" w:before="4" w:after="0"/>
        <w:ind w:left="1610" w:right="667" w:hanging="222"/>
        <w:jc w:val="both"/>
        <w:rPr>
          <w:sz w:val="19"/>
        </w:rPr>
      </w:pPr>
      <w:r>
        <w:rPr>
          <w:i/>
          <w:color w:val="231F20"/>
          <w:w w:val="115"/>
          <w:sz w:val="19"/>
        </w:rPr>
        <w:t>Trial</w:t>
      </w:r>
      <w:r>
        <w:rPr>
          <w:i/>
          <w:color w:val="231F20"/>
          <w:spacing w:val="-16"/>
          <w:w w:val="115"/>
          <w:sz w:val="19"/>
        </w:rPr>
        <w:t> </w:t>
      </w:r>
      <w:r>
        <w:rPr>
          <w:color w:val="231F20"/>
          <w:w w:val="115"/>
          <w:sz w:val="19"/>
        </w:rPr>
        <w:t>—The</w:t>
      </w:r>
      <w:r>
        <w:rPr>
          <w:color w:val="231F20"/>
          <w:spacing w:val="-15"/>
          <w:w w:val="115"/>
          <w:sz w:val="19"/>
        </w:rPr>
        <w:t> </w:t>
      </w:r>
      <w:r>
        <w:rPr>
          <w:color w:val="231F20"/>
          <w:w w:val="115"/>
          <w:sz w:val="19"/>
        </w:rPr>
        <w:t>trial</w:t>
      </w:r>
      <w:r>
        <w:rPr>
          <w:color w:val="231F20"/>
          <w:spacing w:val="-15"/>
          <w:w w:val="115"/>
          <w:sz w:val="19"/>
        </w:rPr>
        <w:t> </w:t>
      </w:r>
      <w:r>
        <w:rPr>
          <w:color w:val="231F20"/>
          <w:w w:val="115"/>
          <w:sz w:val="19"/>
        </w:rPr>
        <w:t>is</w:t>
      </w:r>
      <w:r>
        <w:rPr>
          <w:color w:val="231F20"/>
          <w:spacing w:val="-15"/>
          <w:w w:val="115"/>
          <w:sz w:val="19"/>
        </w:rPr>
        <w:t> </w:t>
      </w:r>
      <w:r>
        <w:rPr>
          <w:color w:val="231F20"/>
          <w:w w:val="115"/>
          <w:sz w:val="19"/>
        </w:rPr>
        <w:t>proceedings</w:t>
      </w:r>
      <w:r>
        <w:rPr>
          <w:color w:val="231F20"/>
          <w:spacing w:val="-15"/>
          <w:w w:val="115"/>
          <w:sz w:val="19"/>
        </w:rPr>
        <w:t> </w:t>
      </w:r>
      <w:r>
        <w:rPr>
          <w:color w:val="231F20"/>
          <w:w w:val="115"/>
          <w:sz w:val="19"/>
        </w:rPr>
        <w:t>before</w:t>
      </w:r>
      <w:r>
        <w:rPr>
          <w:color w:val="231F20"/>
          <w:spacing w:val="-12"/>
          <w:w w:val="115"/>
          <w:sz w:val="19"/>
        </w:rPr>
        <w:t> </w:t>
      </w:r>
      <w:r>
        <w:rPr>
          <w:color w:val="231F20"/>
          <w:w w:val="115"/>
          <w:sz w:val="19"/>
        </w:rPr>
        <w:t>the</w:t>
      </w:r>
      <w:r>
        <w:rPr>
          <w:color w:val="231F20"/>
          <w:spacing w:val="-8"/>
          <w:w w:val="115"/>
          <w:sz w:val="19"/>
        </w:rPr>
        <w:t> </w:t>
      </w:r>
      <w:r>
        <w:rPr>
          <w:color w:val="231F20"/>
          <w:w w:val="115"/>
          <w:sz w:val="19"/>
        </w:rPr>
        <w:t>court.</w:t>
      </w:r>
      <w:r>
        <w:rPr>
          <w:color w:val="231F20"/>
          <w:spacing w:val="-9"/>
          <w:w w:val="115"/>
          <w:sz w:val="19"/>
        </w:rPr>
        <w:t> </w:t>
      </w:r>
      <w:r>
        <w:rPr>
          <w:color w:val="231F20"/>
          <w:w w:val="115"/>
          <w:sz w:val="19"/>
        </w:rPr>
        <w:t>If</w:t>
      </w:r>
      <w:r>
        <w:rPr>
          <w:color w:val="231F20"/>
          <w:spacing w:val="-9"/>
          <w:w w:val="115"/>
          <w:sz w:val="19"/>
        </w:rPr>
        <w:t> </w:t>
      </w:r>
      <w:r>
        <w:rPr>
          <w:color w:val="231F20"/>
          <w:w w:val="115"/>
          <w:sz w:val="19"/>
        </w:rPr>
        <w:t>a</w:t>
      </w:r>
      <w:r>
        <w:rPr>
          <w:color w:val="231F20"/>
          <w:spacing w:val="-9"/>
          <w:w w:val="115"/>
          <w:sz w:val="19"/>
        </w:rPr>
        <w:t> </w:t>
      </w:r>
      <w:r>
        <w:rPr>
          <w:color w:val="231F20"/>
          <w:w w:val="115"/>
          <w:sz w:val="19"/>
        </w:rPr>
        <w:t>jury</w:t>
      </w:r>
      <w:r>
        <w:rPr>
          <w:color w:val="231F20"/>
          <w:spacing w:val="-9"/>
          <w:w w:val="115"/>
          <w:sz w:val="19"/>
        </w:rPr>
        <w:t> </w:t>
      </w:r>
      <w:r>
        <w:rPr>
          <w:color w:val="231F20"/>
          <w:w w:val="115"/>
          <w:sz w:val="19"/>
        </w:rPr>
        <w:t>is </w:t>
      </w:r>
      <w:r>
        <w:rPr>
          <w:color w:val="231F20"/>
          <w:w w:val="110"/>
          <w:sz w:val="19"/>
        </w:rPr>
        <w:t>selected, the process of selection is called </w:t>
      </w:r>
      <w:r>
        <w:rPr>
          <w:i/>
          <w:color w:val="231F20"/>
          <w:w w:val="110"/>
          <w:sz w:val="19"/>
        </w:rPr>
        <w:t>voir dire. </w:t>
      </w:r>
      <w:r>
        <w:rPr>
          <w:color w:val="231F20"/>
          <w:w w:val="110"/>
          <w:sz w:val="19"/>
        </w:rPr>
        <w:t>The lo- </w:t>
      </w:r>
      <w:r>
        <w:rPr>
          <w:color w:val="231F20"/>
          <w:w w:val="115"/>
          <w:sz w:val="19"/>
        </w:rPr>
        <w:t>cation</w:t>
      </w:r>
      <w:r>
        <w:rPr>
          <w:color w:val="231F20"/>
          <w:spacing w:val="-8"/>
          <w:w w:val="115"/>
          <w:sz w:val="19"/>
        </w:rPr>
        <w:t> </w:t>
      </w:r>
      <w:r>
        <w:rPr>
          <w:color w:val="231F20"/>
          <w:w w:val="115"/>
          <w:sz w:val="19"/>
        </w:rPr>
        <w:t>of</w:t>
      </w:r>
      <w:r>
        <w:rPr>
          <w:color w:val="231F20"/>
          <w:spacing w:val="-8"/>
          <w:w w:val="115"/>
          <w:sz w:val="19"/>
        </w:rPr>
        <w:t> </w:t>
      </w:r>
      <w:r>
        <w:rPr>
          <w:color w:val="231F20"/>
          <w:w w:val="115"/>
          <w:sz w:val="19"/>
        </w:rPr>
        <w:t>the</w:t>
      </w:r>
      <w:r>
        <w:rPr>
          <w:color w:val="231F20"/>
          <w:spacing w:val="-8"/>
          <w:w w:val="115"/>
          <w:sz w:val="19"/>
        </w:rPr>
        <w:t> </w:t>
      </w:r>
      <w:r>
        <w:rPr>
          <w:color w:val="231F20"/>
          <w:w w:val="115"/>
          <w:sz w:val="19"/>
        </w:rPr>
        <w:t>trial</w:t>
      </w:r>
      <w:r>
        <w:rPr>
          <w:color w:val="231F20"/>
          <w:spacing w:val="-8"/>
          <w:w w:val="115"/>
          <w:sz w:val="19"/>
        </w:rPr>
        <w:t> </w:t>
      </w:r>
      <w:r>
        <w:rPr>
          <w:color w:val="231F20"/>
          <w:w w:val="115"/>
          <w:sz w:val="19"/>
        </w:rPr>
        <w:t>is</w:t>
      </w:r>
      <w:r>
        <w:rPr>
          <w:color w:val="231F20"/>
          <w:spacing w:val="-8"/>
          <w:w w:val="115"/>
          <w:sz w:val="19"/>
        </w:rPr>
        <w:t> </w:t>
      </w:r>
      <w:r>
        <w:rPr>
          <w:color w:val="231F20"/>
          <w:w w:val="115"/>
          <w:sz w:val="19"/>
        </w:rPr>
        <w:t>called</w:t>
      </w:r>
      <w:r>
        <w:rPr>
          <w:color w:val="231F20"/>
          <w:spacing w:val="-8"/>
          <w:w w:val="115"/>
          <w:sz w:val="19"/>
        </w:rPr>
        <w:t> </w:t>
      </w:r>
      <w:r>
        <w:rPr>
          <w:color w:val="231F20"/>
          <w:w w:val="115"/>
          <w:sz w:val="19"/>
        </w:rPr>
        <w:t>the</w:t>
      </w:r>
      <w:r>
        <w:rPr>
          <w:color w:val="231F20"/>
          <w:spacing w:val="-9"/>
          <w:w w:val="115"/>
          <w:sz w:val="19"/>
        </w:rPr>
        <w:t> </w:t>
      </w:r>
      <w:r>
        <w:rPr>
          <w:i/>
          <w:color w:val="231F20"/>
          <w:w w:val="115"/>
          <w:sz w:val="19"/>
        </w:rPr>
        <w:t>venue.</w:t>
      </w:r>
      <w:r>
        <w:rPr>
          <w:i/>
          <w:color w:val="231F20"/>
          <w:spacing w:val="-8"/>
          <w:w w:val="115"/>
          <w:sz w:val="19"/>
        </w:rPr>
        <w:t> </w:t>
      </w:r>
      <w:r>
        <w:rPr>
          <w:color w:val="231F20"/>
          <w:w w:val="115"/>
          <w:sz w:val="19"/>
        </w:rPr>
        <w:t>The</w:t>
      </w:r>
      <w:r>
        <w:rPr>
          <w:color w:val="231F20"/>
          <w:spacing w:val="-8"/>
          <w:w w:val="115"/>
          <w:sz w:val="19"/>
        </w:rPr>
        <w:t> </w:t>
      </w:r>
      <w:r>
        <w:rPr>
          <w:color w:val="231F20"/>
          <w:w w:val="115"/>
          <w:sz w:val="19"/>
        </w:rPr>
        <w:t>jury</w:t>
      </w:r>
      <w:r>
        <w:rPr>
          <w:color w:val="231F20"/>
          <w:spacing w:val="-8"/>
          <w:w w:val="115"/>
          <w:sz w:val="19"/>
        </w:rPr>
        <w:t> </w:t>
      </w:r>
      <w:r>
        <w:rPr>
          <w:color w:val="231F20"/>
          <w:w w:val="115"/>
          <w:sz w:val="19"/>
        </w:rPr>
        <w:t>decides</w:t>
      </w:r>
      <w:r>
        <w:rPr>
          <w:color w:val="231F20"/>
          <w:spacing w:val="-8"/>
          <w:w w:val="115"/>
          <w:sz w:val="19"/>
        </w:rPr>
        <w:t> </w:t>
      </w:r>
      <w:r>
        <w:rPr>
          <w:color w:val="231F20"/>
          <w:w w:val="115"/>
          <w:sz w:val="19"/>
        </w:rPr>
        <w:t>the factual disputes, and the judge interprets the law and in- structs</w:t>
      </w:r>
      <w:r>
        <w:rPr>
          <w:color w:val="231F20"/>
          <w:spacing w:val="-3"/>
          <w:w w:val="115"/>
          <w:sz w:val="19"/>
        </w:rPr>
        <w:t> </w:t>
      </w:r>
      <w:r>
        <w:rPr>
          <w:color w:val="231F20"/>
          <w:w w:val="115"/>
          <w:sz w:val="19"/>
        </w:rPr>
        <w:t>the</w:t>
      </w:r>
      <w:r>
        <w:rPr>
          <w:color w:val="231F20"/>
          <w:spacing w:val="-3"/>
          <w:w w:val="115"/>
          <w:sz w:val="19"/>
        </w:rPr>
        <w:t> </w:t>
      </w:r>
      <w:r>
        <w:rPr>
          <w:color w:val="231F20"/>
          <w:w w:val="115"/>
          <w:sz w:val="19"/>
        </w:rPr>
        <w:t>jury.</w:t>
      </w:r>
      <w:r>
        <w:rPr>
          <w:color w:val="231F20"/>
          <w:spacing w:val="-3"/>
          <w:w w:val="115"/>
          <w:sz w:val="19"/>
        </w:rPr>
        <w:t> </w:t>
      </w:r>
      <w:r>
        <w:rPr>
          <w:color w:val="231F20"/>
          <w:w w:val="115"/>
          <w:sz w:val="19"/>
        </w:rPr>
        <w:t>If</w:t>
      </w:r>
      <w:r>
        <w:rPr>
          <w:color w:val="231F20"/>
          <w:spacing w:val="-3"/>
          <w:w w:val="115"/>
          <w:sz w:val="19"/>
        </w:rPr>
        <w:t> </w:t>
      </w:r>
      <w:r>
        <w:rPr>
          <w:color w:val="231F20"/>
          <w:w w:val="115"/>
          <w:sz w:val="19"/>
        </w:rPr>
        <w:t>the</w:t>
      </w:r>
      <w:r>
        <w:rPr>
          <w:color w:val="231F20"/>
          <w:spacing w:val="-3"/>
          <w:w w:val="115"/>
          <w:sz w:val="19"/>
        </w:rPr>
        <w:t> </w:t>
      </w:r>
      <w:r>
        <w:rPr>
          <w:color w:val="231F20"/>
          <w:w w:val="115"/>
          <w:sz w:val="19"/>
        </w:rPr>
        <w:t>plaintiff’s</w:t>
      </w:r>
      <w:r>
        <w:rPr>
          <w:color w:val="231F20"/>
          <w:spacing w:val="-3"/>
          <w:w w:val="115"/>
          <w:sz w:val="19"/>
        </w:rPr>
        <w:t> </w:t>
      </w:r>
      <w:r>
        <w:rPr>
          <w:color w:val="231F20"/>
          <w:w w:val="115"/>
          <w:sz w:val="19"/>
        </w:rPr>
        <w:t>case</w:t>
      </w:r>
      <w:r>
        <w:rPr>
          <w:color w:val="231F20"/>
          <w:spacing w:val="-3"/>
          <w:w w:val="115"/>
          <w:sz w:val="19"/>
        </w:rPr>
        <w:t> </w:t>
      </w:r>
      <w:r>
        <w:rPr>
          <w:color w:val="231F20"/>
          <w:w w:val="115"/>
          <w:sz w:val="19"/>
        </w:rPr>
        <w:t>has</w:t>
      </w:r>
      <w:r>
        <w:rPr>
          <w:color w:val="231F20"/>
          <w:spacing w:val="-3"/>
          <w:w w:val="115"/>
          <w:sz w:val="19"/>
        </w:rPr>
        <w:t> </w:t>
      </w:r>
      <w:r>
        <w:rPr>
          <w:color w:val="231F20"/>
          <w:w w:val="115"/>
          <w:sz w:val="19"/>
        </w:rPr>
        <w:t>no</w:t>
      </w:r>
      <w:r>
        <w:rPr>
          <w:color w:val="231F20"/>
          <w:spacing w:val="-3"/>
          <w:w w:val="115"/>
          <w:sz w:val="19"/>
        </w:rPr>
        <w:t> </w:t>
      </w:r>
      <w:r>
        <w:rPr>
          <w:color w:val="231F20"/>
          <w:w w:val="115"/>
          <w:sz w:val="19"/>
        </w:rPr>
        <w:t>merit,</w:t>
      </w:r>
      <w:r>
        <w:rPr>
          <w:color w:val="231F20"/>
          <w:spacing w:val="-3"/>
          <w:w w:val="115"/>
          <w:sz w:val="19"/>
        </w:rPr>
        <w:t> </w:t>
      </w:r>
      <w:r>
        <w:rPr>
          <w:color w:val="231F20"/>
          <w:w w:val="115"/>
          <w:sz w:val="19"/>
        </w:rPr>
        <w:t>a</w:t>
      </w:r>
      <w:r>
        <w:rPr>
          <w:color w:val="231F20"/>
          <w:spacing w:val="-4"/>
          <w:w w:val="115"/>
          <w:sz w:val="19"/>
        </w:rPr>
        <w:t> </w:t>
      </w:r>
      <w:r>
        <w:rPr>
          <w:i/>
          <w:color w:val="231F20"/>
          <w:w w:val="115"/>
          <w:sz w:val="19"/>
        </w:rPr>
        <w:t>sum-</w:t>
      </w:r>
      <w:r>
        <w:rPr>
          <w:i/>
          <w:color w:val="231F20"/>
          <w:w w:val="115"/>
          <w:sz w:val="19"/>
        </w:rPr>
        <w:t> </w:t>
      </w:r>
      <w:r>
        <w:rPr>
          <w:i/>
          <w:color w:val="231F20"/>
          <w:spacing w:val="-2"/>
          <w:w w:val="115"/>
          <w:sz w:val="19"/>
        </w:rPr>
        <w:t>mary</w:t>
      </w:r>
      <w:r>
        <w:rPr>
          <w:i/>
          <w:color w:val="231F20"/>
          <w:spacing w:val="-12"/>
          <w:w w:val="115"/>
          <w:sz w:val="19"/>
        </w:rPr>
        <w:t> </w:t>
      </w:r>
      <w:r>
        <w:rPr>
          <w:i/>
          <w:color w:val="231F20"/>
          <w:spacing w:val="-2"/>
          <w:w w:val="115"/>
          <w:sz w:val="19"/>
        </w:rPr>
        <w:t>judgment</w:t>
      </w:r>
      <w:r>
        <w:rPr>
          <w:i/>
          <w:color w:val="231F20"/>
          <w:spacing w:val="-13"/>
          <w:w w:val="115"/>
          <w:sz w:val="19"/>
        </w:rPr>
        <w:t> </w:t>
      </w:r>
      <w:r>
        <w:rPr>
          <w:color w:val="231F20"/>
          <w:spacing w:val="-2"/>
          <w:w w:val="115"/>
          <w:sz w:val="19"/>
        </w:rPr>
        <w:t>can</w:t>
      </w:r>
      <w:r>
        <w:rPr>
          <w:color w:val="231F20"/>
          <w:spacing w:val="-12"/>
          <w:w w:val="115"/>
          <w:sz w:val="19"/>
        </w:rPr>
        <w:t> </w:t>
      </w:r>
      <w:r>
        <w:rPr>
          <w:color w:val="231F20"/>
          <w:spacing w:val="-2"/>
          <w:w w:val="115"/>
          <w:sz w:val="19"/>
        </w:rPr>
        <w:t>be</w:t>
      </w:r>
      <w:r>
        <w:rPr>
          <w:color w:val="231F20"/>
          <w:spacing w:val="-12"/>
          <w:w w:val="115"/>
          <w:sz w:val="19"/>
        </w:rPr>
        <w:t> </w:t>
      </w:r>
      <w:r>
        <w:rPr>
          <w:color w:val="231F20"/>
          <w:spacing w:val="-2"/>
          <w:w w:val="115"/>
          <w:sz w:val="19"/>
        </w:rPr>
        <w:t>made</w:t>
      </w:r>
      <w:r>
        <w:rPr>
          <w:color w:val="231F20"/>
          <w:spacing w:val="-12"/>
          <w:w w:val="115"/>
          <w:sz w:val="19"/>
        </w:rPr>
        <w:t> </w:t>
      </w:r>
      <w:r>
        <w:rPr>
          <w:color w:val="231F20"/>
          <w:spacing w:val="-2"/>
          <w:w w:val="115"/>
          <w:sz w:val="19"/>
        </w:rPr>
        <w:t>by</w:t>
      </w:r>
      <w:r>
        <w:rPr>
          <w:color w:val="231F20"/>
          <w:spacing w:val="-12"/>
          <w:w w:val="115"/>
          <w:sz w:val="19"/>
        </w:rPr>
        <w:t> </w:t>
      </w:r>
      <w:r>
        <w:rPr>
          <w:color w:val="231F20"/>
          <w:spacing w:val="-2"/>
          <w:w w:val="115"/>
          <w:sz w:val="19"/>
        </w:rPr>
        <w:t>the</w:t>
      </w:r>
      <w:r>
        <w:rPr>
          <w:color w:val="231F20"/>
          <w:spacing w:val="-12"/>
          <w:w w:val="115"/>
          <w:sz w:val="19"/>
        </w:rPr>
        <w:t> </w:t>
      </w:r>
      <w:r>
        <w:rPr>
          <w:color w:val="231F20"/>
          <w:spacing w:val="-2"/>
          <w:w w:val="115"/>
          <w:sz w:val="19"/>
        </w:rPr>
        <w:t>judge,</w:t>
      </w:r>
      <w:r>
        <w:rPr>
          <w:color w:val="231F20"/>
          <w:spacing w:val="-12"/>
          <w:w w:val="115"/>
          <w:sz w:val="19"/>
        </w:rPr>
        <w:t> </w:t>
      </w:r>
      <w:r>
        <w:rPr>
          <w:color w:val="231F20"/>
          <w:spacing w:val="-2"/>
          <w:w w:val="115"/>
          <w:sz w:val="19"/>
        </w:rPr>
        <w:t>ending</w:t>
      </w:r>
      <w:r>
        <w:rPr>
          <w:color w:val="231F20"/>
          <w:spacing w:val="-12"/>
          <w:w w:val="115"/>
          <w:sz w:val="19"/>
        </w:rPr>
        <w:t> </w:t>
      </w:r>
      <w:r>
        <w:rPr>
          <w:color w:val="231F20"/>
          <w:spacing w:val="-2"/>
          <w:w w:val="115"/>
          <w:sz w:val="19"/>
        </w:rPr>
        <w:t>the</w:t>
      </w:r>
      <w:r>
        <w:rPr>
          <w:color w:val="231F20"/>
          <w:spacing w:val="-12"/>
          <w:w w:val="115"/>
          <w:sz w:val="19"/>
        </w:rPr>
        <w:t> </w:t>
      </w:r>
      <w:r>
        <w:rPr>
          <w:color w:val="231F20"/>
          <w:spacing w:val="-2"/>
          <w:w w:val="115"/>
          <w:sz w:val="19"/>
        </w:rPr>
        <w:t>case</w:t>
      </w:r>
      <w:r>
        <w:rPr>
          <w:color w:val="231F20"/>
          <w:spacing w:val="-2"/>
          <w:w w:val="115"/>
          <w:sz w:val="19"/>
        </w:rPr>
        <w:t> </w:t>
      </w:r>
      <w:r>
        <w:rPr>
          <w:color w:val="231F20"/>
          <w:w w:val="115"/>
          <w:sz w:val="19"/>
        </w:rPr>
        <w:t>without further trial.</w:t>
      </w:r>
    </w:p>
    <w:p>
      <w:pPr>
        <w:pStyle w:val="ListParagraph"/>
        <w:numPr>
          <w:ilvl w:val="0"/>
          <w:numId w:val="49"/>
        </w:numPr>
        <w:tabs>
          <w:tab w:pos="1610" w:val="left" w:leader="none"/>
        </w:tabs>
        <w:spacing w:line="328" w:lineRule="auto" w:before="4" w:after="0"/>
        <w:ind w:left="1610" w:right="665" w:hanging="229"/>
        <w:jc w:val="both"/>
        <w:rPr>
          <w:sz w:val="19"/>
        </w:rPr>
      </w:pPr>
      <w:r>
        <w:rPr>
          <w:i/>
          <w:color w:val="231F20"/>
          <w:w w:val="115"/>
          <w:sz w:val="19"/>
        </w:rPr>
        <w:t>Jury</w:t>
      </w:r>
      <w:r>
        <w:rPr>
          <w:i/>
          <w:color w:val="231F20"/>
          <w:spacing w:val="-16"/>
          <w:w w:val="115"/>
          <w:sz w:val="19"/>
        </w:rPr>
        <w:t> </w:t>
      </w:r>
      <w:r>
        <w:rPr>
          <w:i/>
          <w:color w:val="231F20"/>
          <w:w w:val="115"/>
          <w:sz w:val="19"/>
        </w:rPr>
        <w:t>Instruction</w:t>
      </w:r>
      <w:r>
        <w:rPr>
          <w:i/>
          <w:color w:val="231F20"/>
          <w:spacing w:val="-15"/>
          <w:w w:val="115"/>
          <w:sz w:val="19"/>
        </w:rPr>
        <w:t> </w:t>
      </w:r>
      <w:r>
        <w:rPr>
          <w:i/>
          <w:color w:val="231F20"/>
          <w:w w:val="115"/>
          <w:sz w:val="19"/>
        </w:rPr>
        <w:t>by</w:t>
      </w:r>
      <w:r>
        <w:rPr>
          <w:i/>
          <w:color w:val="231F20"/>
          <w:spacing w:val="-15"/>
          <w:w w:val="115"/>
          <w:sz w:val="19"/>
        </w:rPr>
        <w:t> </w:t>
      </w:r>
      <w:r>
        <w:rPr>
          <w:i/>
          <w:color w:val="231F20"/>
          <w:w w:val="115"/>
          <w:sz w:val="19"/>
        </w:rPr>
        <w:t>the</w:t>
      </w:r>
      <w:r>
        <w:rPr>
          <w:i/>
          <w:color w:val="231F20"/>
          <w:spacing w:val="-7"/>
          <w:w w:val="115"/>
          <w:sz w:val="19"/>
        </w:rPr>
        <w:t> </w:t>
      </w:r>
      <w:r>
        <w:rPr>
          <w:i/>
          <w:color w:val="231F20"/>
          <w:w w:val="115"/>
          <w:sz w:val="19"/>
        </w:rPr>
        <w:t>Judge</w:t>
      </w:r>
      <w:r>
        <w:rPr>
          <w:i/>
          <w:color w:val="231F20"/>
          <w:spacing w:val="-6"/>
          <w:w w:val="115"/>
          <w:sz w:val="19"/>
        </w:rPr>
        <w:t> </w:t>
      </w:r>
      <w:r>
        <w:rPr>
          <w:i/>
          <w:color w:val="231F20"/>
          <w:w w:val="115"/>
          <w:sz w:val="19"/>
        </w:rPr>
        <w:t>and</w:t>
      </w:r>
      <w:r>
        <w:rPr>
          <w:i/>
          <w:color w:val="231F20"/>
          <w:spacing w:val="-6"/>
          <w:w w:val="115"/>
          <w:sz w:val="19"/>
        </w:rPr>
        <w:t> </w:t>
      </w:r>
      <w:r>
        <w:rPr>
          <w:i/>
          <w:color w:val="231F20"/>
          <w:w w:val="115"/>
          <w:sz w:val="19"/>
        </w:rPr>
        <w:t>the</w:t>
      </w:r>
      <w:r>
        <w:rPr>
          <w:i/>
          <w:color w:val="231F20"/>
          <w:spacing w:val="-6"/>
          <w:w w:val="115"/>
          <w:sz w:val="19"/>
        </w:rPr>
        <w:t> </w:t>
      </w:r>
      <w:r>
        <w:rPr>
          <w:i/>
          <w:color w:val="231F20"/>
          <w:w w:val="115"/>
          <w:sz w:val="19"/>
        </w:rPr>
        <w:t>Verdict</w:t>
      </w:r>
      <w:r>
        <w:rPr>
          <w:i/>
          <w:color w:val="231F20"/>
          <w:spacing w:val="-16"/>
          <w:w w:val="115"/>
          <w:sz w:val="19"/>
        </w:rPr>
        <w:t> </w:t>
      </w:r>
      <w:r>
        <w:rPr>
          <w:color w:val="231F20"/>
          <w:w w:val="115"/>
          <w:sz w:val="19"/>
        </w:rPr>
        <w:t>—The</w:t>
      </w:r>
      <w:r>
        <w:rPr>
          <w:color w:val="231F20"/>
          <w:spacing w:val="-5"/>
          <w:w w:val="115"/>
          <w:sz w:val="19"/>
        </w:rPr>
        <w:t> </w:t>
      </w:r>
      <w:r>
        <w:rPr>
          <w:color w:val="231F20"/>
          <w:w w:val="115"/>
          <w:sz w:val="19"/>
        </w:rPr>
        <w:t>judge instructs</w:t>
      </w:r>
      <w:r>
        <w:rPr>
          <w:color w:val="231F20"/>
          <w:spacing w:val="-13"/>
          <w:w w:val="115"/>
          <w:sz w:val="19"/>
        </w:rPr>
        <w:t> </w:t>
      </w:r>
      <w:r>
        <w:rPr>
          <w:color w:val="231F20"/>
          <w:w w:val="115"/>
          <w:sz w:val="19"/>
        </w:rPr>
        <w:t>the</w:t>
      </w:r>
      <w:r>
        <w:rPr>
          <w:color w:val="231F20"/>
          <w:spacing w:val="-13"/>
          <w:w w:val="115"/>
          <w:sz w:val="19"/>
        </w:rPr>
        <w:t> </w:t>
      </w:r>
      <w:r>
        <w:rPr>
          <w:color w:val="231F20"/>
          <w:w w:val="115"/>
          <w:sz w:val="19"/>
        </w:rPr>
        <w:t>jury</w:t>
      </w:r>
      <w:r>
        <w:rPr>
          <w:color w:val="231F20"/>
          <w:spacing w:val="-13"/>
          <w:w w:val="115"/>
          <w:sz w:val="19"/>
        </w:rPr>
        <w:t> </w:t>
      </w:r>
      <w:r>
        <w:rPr>
          <w:color w:val="231F20"/>
          <w:w w:val="115"/>
          <w:sz w:val="19"/>
        </w:rPr>
        <w:t>about</w:t>
      </w:r>
      <w:r>
        <w:rPr>
          <w:color w:val="231F20"/>
          <w:spacing w:val="-13"/>
          <w:w w:val="115"/>
          <w:sz w:val="19"/>
        </w:rPr>
        <w:t> </w:t>
      </w:r>
      <w:r>
        <w:rPr>
          <w:color w:val="231F20"/>
          <w:w w:val="115"/>
          <w:sz w:val="19"/>
        </w:rPr>
        <w:t>the</w:t>
      </w:r>
      <w:r>
        <w:rPr>
          <w:color w:val="231F20"/>
          <w:spacing w:val="-13"/>
          <w:w w:val="115"/>
          <w:sz w:val="19"/>
        </w:rPr>
        <w:t> </w:t>
      </w:r>
      <w:r>
        <w:rPr>
          <w:color w:val="231F20"/>
          <w:w w:val="115"/>
          <w:sz w:val="19"/>
        </w:rPr>
        <w:t>issues</w:t>
      </w:r>
      <w:r>
        <w:rPr>
          <w:color w:val="231F20"/>
          <w:spacing w:val="-13"/>
          <w:w w:val="115"/>
          <w:sz w:val="19"/>
        </w:rPr>
        <w:t> </w:t>
      </w:r>
      <w:r>
        <w:rPr>
          <w:color w:val="231F20"/>
          <w:w w:val="115"/>
          <w:sz w:val="19"/>
        </w:rPr>
        <w:t>of</w:t>
      </w:r>
      <w:r>
        <w:rPr>
          <w:color w:val="231F20"/>
          <w:spacing w:val="-13"/>
          <w:w w:val="115"/>
          <w:sz w:val="19"/>
        </w:rPr>
        <w:t> </w:t>
      </w:r>
      <w:r>
        <w:rPr>
          <w:color w:val="231F20"/>
          <w:w w:val="115"/>
          <w:sz w:val="19"/>
        </w:rPr>
        <w:t>law</w:t>
      </w:r>
      <w:r>
        <w:rPr>
          <w:color w:val="231F20"/>
          <w:spacing w:val="-13"/>
          <w:w w:val="115"/>
          <w:sz w:val="19"/>
        </w:rPr>
        <w:t> </w:t>
      </w:r>
      <w:r>
        <w:rPr>
          <w:color w:val="231F20"/>
          <w:w w:val="115"/>
          <w:sz w:val="19"/>
        </w:rPr>
        <w:t>involved</w:t>
      </w:r>
      <w:r>
        <w:rPr>
          <w:color w:val="231F20"/>
          <w:spacing w:val="-13"/>
          <w:w w:val="115"/>
          <w:sz w:val="19"/>
        </w:rPr>
        <w:t> </w:t>
      </w:r>
      <w:r>
        <w:rPr>
          <w:color w:val="231F20"/>
          <w:w w:val="115"/>
          <w:sz w:val="19"/>
        </w:rPr>
        <w:t>in</w:t>
      </w:r>
      <w:r>
        <w:rPr>
          <w:color w:val="231F20"/>
          <w:spacing w:val="-13"/>
          <w:w w:val="115"/>
          <w:sz w:val="19"/>
        </w:rPr>
        <w:t> </w:t>
      </w:r>
      <w:r>
        <w:rPr>
          <w:color w:val="231F20"/>
          <w:w w:val="115"/>
          <w:sz w:val="19"/>
        </w:rPr>
        <w:t>its</w:t>
      </w:r>
      <w:r>
        <w:rPr>
          <w:color w:val="231F20"/>
          <w:spacing w:val="-13"/>
          <w:w w:val="115"/>
          <w:sz w:val="19"/>
        </w:rPr>
        <w:t> </w:t>
      </w:r>
      <w:r>
        <w:rPr>
          <w:color w:val="231F20"/>
          <w:w w:val="115"/>
          <w:sz w:val="19"/>
        </w:rPr>
        <w:t>de- cision. The jury makes its determination about the facts and penalty within its authority.</w:t>
      </w:r>
    </w:p>
    <w:p>
      <w:pPr>
        <w:pStyle w:val="ListParagraph"/>
        <w:numPr>
          <w:ilvl w:val="0"/>
          <w:numId w:val="49"/>
        </w:numPr>
        <w:tabs>
          <w:tab w:pos="1610" w:val="left" w:leader="none"/>
        </w:tabs>
        <w:spacing w:line="328" w:lineRule="auto" w:before="3" w:after="0"/>
        <w:ind w:left="1610" w:right="665" w:hanging="199"/>
        <w:jc w:val="both"/>
        <w:rPr>
          <w:sz w:val="19"/>
        </w:rPr>
      </w:pPr>
      <w:r>
        <w:rPr>
          <w:i/>
          <w:color w:val="231F20"/>
          <w:w w:val="115"/>
          <w:sz w:val="19"/>
        </w:rPr>
        <w:t>Posttrial</w:t>
      </w:r>
      <w:r>
        <w:rPr>
          <w:i/>
          <w:color w:val="231F20"/>
          <w:spacing w:val="-16"/>
          <w:w w:val="115"/>
          <w:sz w:val="19"/>
        </w:rPr>
        <w:t> </w:t>
      </w:r>
      <w:r>
        <w:rPr>
          <w:i/>
          <w:color w:val="231F20"/>
          <w:w w:val="115"/>
          <w:sz w:val="19"/>
        </w:rPr>
        <w:t>Motions</w:t>
      </w:r>
      <w:r>
        <w:rPr>
          <w:i/>
          <w:color w:val="231F20"/>
          <w:spacing w:val="-15"/>
          <w:w w:val="115"/>
          <w:sz w:val="19"/>
        </w:rPr>
        <w:t> </w:t>
      </w:r>
      <w:r>
        <w:rPr>
          <w:color w:val="231F20"/>
          <w:w w:val="115"/>
          <w:sz w:val="19"/>
        </w:rPr>
        <w:t>—This</w:t>
      </w:r>
      <w:r>
        <w:rPr>
          <w:color w:val="231F20"/>
          <w:spacing w:val="-15"/>
          <w:w w:val="115"/>
          <w:sz w:val="19"/>
        </w:rPr>
        <w:t> </w:t>
      </w:r>
      <w:r>
        <w:rPr>
          <w:color w:val="231F20"/>
          <w:w w:val="115"/>
          <w:sz w:val="19"/>
        </w:rPr>
        <w:t>step</w:t>
      </w:r>
      <w:r>
        <w:rPr>
          <w:color w:val="231F20"/>
          <w:spacing w:val="-15"/>
          <w:w w:val="115"/>
          <w:sz w:val="19"/>
        </w:rPr>
        <w:t> </w:t>
      </w:r>
      <w:r>
        <w:rPr>
          <w:color w:val="231F20"/>
          <w:w w:val="115"/>
          <w:sz w:val="19"/>
        </w:rPr>
        <w:t>includes</w:t>
      </w:r>
      <w:r>
        <w:rPr>
          <w:color w:val="231F20"/>
          <w:spacing w:val="-15"/>
          <w:w w:val="115"/>
          <w:sz w:val="19"/>
        </w:rPr>
        <w:t> </w:t>
      </w:r>
      <w:r>
        <w:rPr>
          <w:color w:val="231F20"/>
          <w:w w:val="115"/>
          <w:sz w:val="19"/>
        </w:rPr>
        <w:t>asking</w:t>
      </w:r>
      <w:r>
        <w:rPr>
          <w:color w:val="231F20"/>
          <w:spacing w:val="-16"/>
          <w:w w:val="115"/>
          <w:sz w:val="19"/>
        </w:rPr>
        <w:t> </w:t>
      </w:r>
      <w:r>
        <w:rPr>
          <w:color w:val="231F20"/>
          <w:w w:val="115"/>
          <w:sz w:val="19"/>
        </w:rPr>
        <w:t>the</w:t>
      </w:r>
      <w:r>
        <w:rPr>
          <w:color w:val="231F20"/>
          <w:spacing w:val="-15"/>
          <w:w w:val="115"/>
          <w:sz w:val="19"/>
        </w:rPr>
        <w:t> </w:t>
      </w:r>
      <w:r>
        <w:rPr>
          <w:color w:val="231F20"/>
          <w:w w:val="115"/>
          <w:sz w:val="19"/>
        </w:rPr>
        <w:t>court,</w:t>
      </w:r>
      <w:r>
        <w:rPr>
          <w:color w:val="231F20"/>
          <w:spacing w:val="-15"/>
          <w:w w:val="115"/>
          <w:sz w:val="19"/>
        </w:rPr>
        <w:t> </w:t>
      </w:r>
      <w:r>
        <w:rPr>
          <w:color w:val="231F20"/>
          <w:w w:val="115"/>
          <w:sz w:val="19"/>
        </w:rPr>
        <w:t>for various</w:t>
      </w:r>
      <w:r>
        <w:rPr>
          <w:color w:val="231F20"/>
          <w:spacing w:val="-14"/>
          <w:w w:val="115"/>
          <w:sz w:val="19"/>
        </w:rPr>
        <w:t> </w:t>
      </w:r>
      <w:r>
        <w:rPr>
          <w:color w:val="231F20"/>
          <w:w w:val="115"/>
          <w:sz w:val="19"/>
        </w:rPr>
        <w:t>reasons,</w:t>
      </w:r>
      <w:r>
        <w:rPr>
          <w:color w:val="231F20"/>
          <w:spacing w:val="-14"/>
          <w:w w:val="115"/>
          <w:sz w:val="19"/>
        </w:rPr>
        <w:t> </w:t>
      </w:r>
      <w:r>
        <w:rPr>
          <w:color w:val="231F20"/>
          <w:w w:val="115"/>
          <w:sz w:val="19"/>
        </w:rPr>
        <w:t>for</w:t>
      </w:r>
      <w:r>
        <w:rPr>
          <w:color w:val="231F20"/>
          <w:spacing w:val="-14"/>
          <w:w w:val="115"/>
          <w:sz w:val="19"/>
        </w:rPr>
        <w:t> </w:t>
      </w:r>
      <w:r>
        <w:rPr>
          <w:color w:val="231F20"/>
          <w:w w:val="115"/>
          <w:sz w:val="19"/>
        </w:rPr>
        <w:t>a</w:t>
      </w:r>
      <w:r>
        <w:rPr>
          <w:color w:val="231F20"/>
          <w:spacing w:val="-14"/>
          <w:w w:val="115"/>
          <w:sz w:val="19"/>
        </w:rPr>
        <w:t> </w:t>
      </w:r>
      <w:r>
        <w:rPr>
          <w:color w:val="231F20"/>
          <w:w w:val="115"/>
          <w:sz w:val="19"/>
        </w:rPr>
        <w:t>retrial</w:t>
      </w:r>
      <w:r>
        <w:rPr>
          <w:color w:val="231F20"/>
          <w:spacing w:val="-14"/>
          <w:w w:val="115"/>
          <w:sz w:val="19"/>
        </w:rPr>
        <w:t> </w:t>
      </w:r>
      <w:r>
        <w:rPr>
          <w:color w:val="231F20"/>
          <w:w w:val="115"/>
          <w:sz w:val="19"/>
        </w:rPr>
        <w:t>and</w:t>
      </w:r>
      <w:r>
        <w:rPr>
          <w:color w:val="231F20"/>
          <w:spacing w:val="-14"/>
          <w:w w:val="115"/>
          <w:sz w:val="19"/>
        </w:rPr>
        <w:t> </w:t>
      </w:r>
      <w:r>
        <w:rPr>
          <w:color w:val="231F20"/>
          <w:w w:val="115"/>
          <w:sz w:val="19"/>
        </w:rPr>
        <w:t>indicating</w:t>
      </w:r>
      <w:r>
        <w:rPr>
          <w:color w:val="231F20"/>
          <w:spacing w:val="-14"/>
          <w:w w:val="115"/>
          <w:sz w:val="19"/>
        </w:rPr>
        <w:t> </w:t>
      </w:r>
      <w:r>
        <w:rPr>
          <w:color w:val="231F20"/>
          <w:w w:val="115"/>
          <w:sz w:val="19"/>
        </w:rPr>
        <w:t>why</w:t>
      </w:r>
      <w:r>
        <w:rPr>
          <w:color w:val="231F20"/>
          <w:spacing w:val="-14"/>
          <w:w w:val="115"/>
          <w:sz w:val="19"/>
        </w:rPr>
        <w:t> </w:t>
      </w:r>
      <w:r>
        <w:rPr>
          <w:color w:val="231F20"/>
          <w:w w:val="115"/>
          <w:sz w:val="19"/>
        </w:rPr>
        <w:t>a</w:t>
      </w:r>
      <w:r>
        <w:rPr>
          <w:color w:val="231F20"/>
          <w:spacing w:val="-14"/>
          <w:w w:val="115"/>
          <w:sz w:val="19"/>
        </w:rPr>
        <w:t> </w:t>
      </w:r>
      <w:r>
        <w:rPr>
          <w:color w:val="231F20"/>
          <w:w w:val="115"/>
          <w:sz w:val="19"/>
        </w:rPr>
        <w:t>new</w:t>
      </w:r>
      <w:r>
        <w:rPr>
          <w:color w:val="231F20"/>
          <w:spacing w:val="-14"/>
          <w:w w:val="115"/>
          <w:sz w:val="19"/>
        </w:rPr>
        <w:t> </w:t>
      </w:r>
      <w:r>
        <w:rPr>
          <w:color w:val="231F20"/>
          <w:w w:val="115"/>
          <w:sz w:val="19"/>
        </w:rPr>
        <w:t>trial</w:t>
      </w:r>
      <w:r>
        <w:rPr>
          <w:color w:val="231F20"/>
          <w:w w:val="115"/>
          <w:sz w:val="19"/>
        </w:rPr>
        <w:t> </w:t>
      </w:r>
      <w:r>
        <w:rPr>
          <w:color w:val="231F20"/>
          <w:w w:val="110"/>
          <w:sz w:val="19"/>
        </w:rPr>
        <w:t>is warranted. Errors of law and procedure, jury </w:t>
      </w:r>
      <w:r>
        <w:rPr>
          <w:color w:val="231F20"/>
          <w:w w:val="110"/>
          <w:sz w:val="19"/>
        </w:rPr>
        <w:t>misconduct,</w:t>
      </w:r>
      <w:r>
        <w:rPr>
          <w:color w:val="231F20"/>
          <w:w w:val="110"/>
          <w:sz w:val="19"/>
        </w:rPr>
        <w:t> </w:t>
      </w:r>
      <w:r>
        <w:rPr>
          <w:color w:val="231F20"/>
          <w:spacing w:val="-2"/>
          <w:w w:val="115"/>
          <w:sz w:val="19"/>
        </w:rPr>
        <w:t>or</w:t>
      </w:r>
      <w:r>
        <w:rPr>
          <w:color w:val="231F20"/>
          <w:spacing w:val="-11"/>
          <w:w w:val="115"/>
          <w:sz w:val="19"/>
        </w:rPr>
        <w:t> </w:t>
      </w:r>
      <w:r>
        <w:rPr>
          <w:color w:val="231F20"/>
          <w:spacing w:val="-2"/>
          <w:w w:val="115"/>
          <w:sz w:val="19"/>
        </w:rPr>
        <w:t>unusual</w:t>
      </w:r>
      <w:r>
        <w:rPr>
          <w:color w:val="231F20"/>
          <w:spacing w:val="-11"/>
          <w:w w:val="115"/>
          <w:sz w:val="19"/>
        </w:rPr>
        <w:t> </w:t>
      </w:r>
      <w:r>
        <w:rPr>
          <w:color w:val="231F20"/>
          <w:spacing w:val="-2"/>
          <w:w w:val="115"/>
          <w:sz w:val="19"/>
        </w:rPr>
        <w:t>damage</w:t>
      </w:r>
      <w:r>
        <w:rPr>
          <w:color w:val="231F20"/>
          <w:spacing w:val="-11"/>
          <w:w w:val="115"/>
          <w:sz w:val="19"/>
        </w:rPr>
        <w:t> </w:t>
      </w:r>
      <w:r>
        <w:rPr>
          <w:color w:val="231F20"/>
          <w:spacing w:val="-2"/>
          <w:w w:val="115"/>
          <w:sz w:val="19"/>
        </w:rPr>
        <w:t>awards</w:t>
      </w:r>
      <w:r>
        <w:rPr>
          <w:color w:val="231F20"/>
          <w:spacing w:val="-11"/>
          <w:w w:val="115"/>
          <w:sz w:val="19"/>
        </w:rPr>
        <w:t> </w:t>
      </w:r>
      <w:r>
        <w:rPr>
          <w:color w:val="231F20"/>
          <w:spacing w:val="-2"/>
          <w:w w:val="115"/>
          <w:sz w:val="19"/>
        </w:rPr>
        <w:t>can</w:t>
      </w:r>
      <w:r>
        <w:rPr>
          <w:color w:val="231F20"/>
          <w:spacing w:val="-11"/>
          <w:w w:val="115"/>
          <w:sz w:val="19"/>
        </w:rPr>
        <w:t> </w:t>
      </w:r>
      <w:r>
        <w:rPr>
          <w:color w:val="231F20"/>
          <w:spacing w:val="-2"/>
          <w:w w:val="115"/>
          <w:sz w:val="19"/>
        </w:rPr>
        <w:t>be</w:t>
      </w:r>
      <w:r>
        <w:rPr>
          <w:color w:val="231F20"/>
          <w:spacing w:val="-11"/>
          <w:w w:val="115"/>
          <w:sz w:val="19"/>
        </w:rPr>
        <w:t> </w:t>
      </w:r>
      <w:r>
        <w:rPr>
          <w:color w:val="231F20"/>
          <w:spacing w:val="-2"/>
          <w:w w:val="115"/>
          <w:sz w:val="19"/>
        </w:rPr>
        <w:t>the</w:t>
      </w:r>
      <w:r>
        <w:rPr>
          <w:color w:val="231F20"/>
          <w:spacing w:val="-11"/>
          <w:w w:val="115"/>
          <w:sz w:val="19"/>
        </w:rPr>
        <w:t> </w:t>
      </w:r>
      <w:r>
        <w:rPr>
          <w:color w:val="231F20"/>
          <w:spacing w:val="-2"/>
          <w:w w:val="115"/>
          <w:sz w:val="19"/>
        </w:rPr>
        <w:t>basis</w:t>
      </w:r>
      <w:r>
        <w:rPr>
          <w:color w:val="231F20"/>
          <w:spacing w:val="-11"/>
          <w:w w:val="115"/>
          <w:sz w:val="19"/>
        </w:rPr>
        <w:t> </w:t>
      </w:r>
      <w:r>
        <w:rPr>
          <w:color w:val="231F20"/>
          <w:spacing w:val="-2"/>
          <w:w w:val="115"/>
          <w:sz w:val="19"/>
        </w:rPr>
        <w:t>for</w:t>
      </w:r>
      <w:r>
        <w:rPr>
          <w:color w:val="231F20"/>
          <w:spacing w:val="-11"/>
          <w:w w:val="115"/>
          <w:sz w:val="19"/>
        </w:rPr>
        <w:t> </w:t>
      </w:r>
      <w:r>
        <w:rPr>
          <w:color w:val="231F20"/>
          <w:spacing w:val="-2"/>
          <w:w w:val="115"/>
          <w:sz w:val="19"/>
        </w:rPr>
        <w:t>an</w:t>
      </w:r>
      <w:r>
        <w:rPr>
          <w:color w:val="231F20"/>
          <w:spacing w:val="-11"/>
          <w:w w:val="115"/>
          <w:sz w:val="19"/>
        </w:rPr>
        <w:t> </w:t>
      </w:r>
      <w:r>
        <w:rPr>
          <w:color w:val="231F20"/>
          <w:spacing w:val="-2"/>
          <w:w w:val="115"/>
          <w:sz w:val="19"/>
        </w:rPr>
        <w:t>appeal.</w:t>
      </w:r>
      <w:r>
        <w:rPr>
          <w:color w:val="231F20"/>
          <w:spacing w:val="-2"/>
          <w:w w:val="115"/>
          <w:sz w:val="19"/>
        </w:rPr>
        <w:t> </w:t>
      </w:r>
      <w:r>
        <w:rPr>
          <w:color w:val="231F20"/>
          <w:w w:val="115"/>
          <w:sz w:val="19"/>
        </w:rPr>
        <w:t>Rarely</w:t>
      </w:r>
      <w:r>
        <w:rPr>
          <w:color w:val="231F20"/>
          <w:spacing w:val="-14"/>
          <w:w w:val="115"/>
          <w:sz w:val="19"/>
        </w:rPr>
        <w:t> </w:t>
      </w:r>
      <w:r>
        <w:rPr>
          <w:color w:val="231F20"/>
          <w:w w:val="115"/>
          <w:sz w:val="19"/>
        </w:rPr>
        <w:t>is</w:t>
      </w:r>
      <w:r>
        <w:rPr>
          <w:color w:val="231F20"/>
          <w:spacing w:val="-14"/>
          <w:w w:val="115"/>
          <w:sz w:val="19"/>
        </w:rPr>
        <w:t> </w:t>
      </w:r>
      <w:r>
        <w:rPr>
          <w:color w:val="231F20"/>
          <w:w w:val="115"/>
          <w:sz w:val="19"/>
        </w:rPr>
        <w:t>new</w:t>
      </w:r>
      <w:r>
        <w:rPr>
          <w:color w:val="231F20"/>
          <w:spacing w:val="-14"/>
          <w:w w:val="115"/>
          <w:sz w:val="19"/>
        </w:rPr>
        <w:t> </w:t>
      </w:r>
      <w:r>
        <w:rPr>
          <w:color w:val="231F20"/>
          <w:w w:val="115"/>
          <w:sz w:val="19"/>
        </w:rPr>
        <w:t>evidence</w:t>
      </w:r>
      <w:r>
        <w:rPr>
          <w:color w:val="231F20"/>
          <w:spacing w:val="-14"/>
          <w:w w:val="115"/>
          <w:sz w:val="19"/>
        </w:rPr>
        <w:t> </w:t>
      </w:r>
      <w:r>
        <w:rPr>
          <w:color w:val="231F20"/>
          <w:w w:val="115"/>
          <w:sz w:val="19"/>
        </w:rPr>
        <w:t>the</w:t>
      </w:r>
      <w:r>
        <w:rPr>
          <w:color w:val="231F20"/>
          <w:spacing w:val="-14"/>
          <w:w w:val="115"/>
          <w:sz w:val="19"/>
        </w:rPr>
        <w:t> </w:t>
      </w:r>
      <w:r>
        <w:rPr>
          <w:color w:val="231F20"/>
          <w:w w:val="115"/>
          <w:sz w:val="19"/>
        </w:rPr>
        <w:t>basis</w:t>
      </w:r>
      <w:r>
        <w:rPr>
          <w:color w:val="231F20"/>
          <w:spacing w:val="-14"/>
          <w:w w:val="115"/>
          <w:sz w:val="19"/>
        </w:rPr>
        <w:t> </w:t>
      </w:r>
      <w:r>
        <w:rPr>
          <w:color w:val="231F20"/>
          <w:w w:val="115"/>
          <w:sz w:val="19"/>
        </w:rPr>
        <w:t>for</w:t>
      </w:r>
      <w:r>
        <w:rPr>
          <w:color w:val="231F20"/>
          <w:spacing w:val="-14"/>
          <w:w w:val="115"/>
          <w:sz w:val="19"/>
        </w:rPr>
        <w:t> </w:t>
      </w:r>
      <w:r>
        <w:rPr>
          <w:color w:val="231F20"/>
          <w:w w:val="115"/>
          <w:sz w:val="19"/>
        </w:rPr>
        <w:t>a</w:t>
      </w:r>
      <w:r>
        <w:rPr>
          <w:color w:val="231F20"/>
          <w:spacing w:val="-14"/>
          <w:w w:val="115"/>
          <w:sz w:val="19"/>
        </w:rPr>
        <w:t> </w:t>
      </w:r>
      <w:r>
        <w:rPr>
          <w:color w:val="231F20"/>
          <w:w w:val="115"/>
          <w:sz w:val="19"/>
        </w:rPr>
        <w:t>successful</w:t>
      </w:r>
      <w:r>
        <w:rPr>
          <w:color w:val="231F20"/>
          <w:spacing w:val="-14"/>
          <w:w w:val="115"/>
          <w:sz w:val="19"/>
        </w:rPr>
        <w:t> </w:t>
      </w:r>
      <w:r>
        <w:rPr>
          <w:color w:val="231F20"/>
          <w:w w:val="115"/>
          <w:sz w:val="19"/>
        </w:rPr>
        <w:t>appeal.</w:t>
      </w:r>
    </w:p>
    <w:p>
      <w:pPr>
        <w:pStyle w:val="ListParagraph"/>
        <w:numPr>
          <w:ilvl w:val="0"/>
          <w:numId w:val="49"/>
        </w:numPr>
        <w:tabs>
          <w:tab w:pos="1610" w:val="left" w:leader="none"/>
        </w:tabs>
        <w:spacing w:line="328" w:lineRule="auto" w:before="4" w:after="0"/>
        <w:ind w:left="1610" w:right="665" w:hanging="226"/>
        <w:jc w:val="both"/>
        <w:rPr>
          <w:sz w:val="19"/>
        </w:rPr>
      </w:pPr>
      <w:r>
        <w:rPr>
          <w:i/>
          <w:color w:val="231F20"/>
          <w:w w:val="115"/>
          <w:sz w:val="19"/>
        </w:rPr>
        <w:t>Appeal</w:t>
      </w:r>
      <w:r>
        <w:rPr>
          <w:i/>
          <w:color w:val="231F20"/>
          <w:spacing w:val="-16"/>
          <w:w w:val="115"/>
          <w:sz w:val="19"/>
        </w:rPr>
        <w:t> </w:t>
      </w:r>
      <w:r>
        <w:rPr>
          <w:color w:val="231F20"/>
          <w:w w:val="115"/>
          <w:sz w:val="19"/>
        </w:rPr>
        <w:t>—</w:t>
      </w:r>
      <w:r>
        <w:rPr>
          <w:color w:val="231F20"/>
          <w:spacing w:val="-15"/>
          <w:w w:val="115"/>
          <w:sz w:val="19"/>
        </w:rPr>
        <w:t> </w:t>
      </w:r>
      <w:r>
        <w:rPr>
          <w:color w:val="231F20"/>
          <w:w w:val="115"/>
          <w:sz w:val="19"/>
        </w:rPr>
        <w:t>Generally</w:t>
      </w:r>
      <w:r>
        <w:rPr>
          <w:color w:val="231F20"/>
          <w:spacing w:val="-15"/>
          <w:w w:val="115"/>
          <w:sz w:val="19"/>
        </w:rPr>
        <w:t> </w:t>
      </w:r>
      <w:r>
        <w:rPr>
          <w:color w:val="231F20"/>
          <w:w w:val="115"/>
          <w:sz w:val="19"/>
        </w:rPr>
        <w:t>each party of a lawsuit is entitled to one</w:t>
      </w:r>
      <w:r>
        <w:rPr>
          <w:color w:val="231F20"/>
          <w:spacing w:val="-12"/>
          <w:w w:val="115"/>
          <w:sz w:val="19"/>
        </w:rPr>
        <w:t> </w:t>
      </w:r>
      <w:r>
        <w:rPr>
          <w:color w:val="231F20"/>
          <w:w w:val="115"/>
          <w:sz w:val="19"/>
        </w:rPr>
        <w:t>appeal</w:t>
      </w:r>
      <w:r>
        <w:rPr>
          <w:color w:val="231F20"/>
          <w:spacing w:val="-12"/>
          <w:w w:val="115"/>
          <w:sz w:val="19"/>
        </w:rPr>
        <w:t> </w:t>
      </w:r>
      <w:r>
        <w:rPr>
          <w:color w:val="231F20"/>
          <w:w w:val="115"/>
          <w:sz w:val="19"/>
        </w:rPr>
        <w:t>at</w:t>
      </w:r>
      <w:r>
        <w:rPr>
          <w:color w:val="231F20"/>
          <w:spacing w:val="-12"/>
          <w:w w:val="115"/>
          <w:sz w:val="19"/>
        </w:rPr>
        <w:t> </w:t>
      </w:r>
      <w:r>
        <w:rPr>
          <w:color w:val="231F20"/>
          <w:w w:val="115"/>
          <w:sz w:val="19"/>
        </w:rPr>
        <w:t>an</w:t>
      </w:r>
      <w:r>
        <w:rPr>
          <w:color w:val="231F20"/>
          <w:spacing w:val="-12"/>
          <w:w w:val="115"/>
          <w:sz w:val="19"/>
        </w:rPr>
        <w:t> </w:t>
      </w:r>
      <w:r>
        <w:rPr>
          <w:i/>
          <w:color w:val="231F20"/>
          <w:w w:val="115"/>
          <w:sz w:val="19"/>
        </w:rPr>
        <w:t>appellate</w:t>
      </w:r>
      <w:r>
        <w:rPr>
          <w:i/>
          <w:color w:val="231F20"/>
          <w:spacing w:val="-12"/>
          <w:w w:val="115"/>
          <w:sz w:val="19"/>
        </w:rPr>
        <w:t> </w:t>
      </w:r>
      <w:r>
        <w:rPr>
          <w:color w:val="231F20"/>
          <w:w w:val="115"/>
          <w:sz w:val="19"/>
        </w:rPr>
        <w:t>court.</w:t>
      </w:r>
      <w:r>
        <w:rPr>
          <w:color w:val="231F20"/>
          <w:spacing w:val="-12"/>
          <w:w w:val="115"/>
          <w:sz w:val="19"/>
        </w:rPr>
        <w:t> </w:t>
      </w:r>
      <w:r>
        <w:rPr>
          <w:color w:val="231F20"/>
          <w:w w:val="115"/>
          <w:sz w:val="19"/>
        </w:rPr>
        <w:t>The</w:t>
      </w:r>
      <w:r>
        <w:rPr>
          <w:color w:val="231F20"/>
          <w:spacing w:val="-12"/>
          <w:w w:val="115"/>
          <w:sz w:val="19"/>
        </w:rPr>
        <w:t> </w:t>
      </w:r>
      <w:r>
        <w:rPr>
          <w:color w:val="231F20"/>
          <w:w w:val="115"/>
          <w:sz w:val="19"/>
        </w:rPr>
        <w:t>paperwork</w:t>
      </w:r>
      <w:r>
        <w:rPr>
          <w:color w:val="231F20"/>
          <w:spacing w:val="-12"/>
          <w:w w:val="115"/>
          <w:sz w:val="19"/>
        </w:rPr>
        <w:t> </w:t>
      </w:r>
      <w:r>
        <w:rPr>
          <w:color w:val="231F20"/>
          <w:w w:val="115"/>
          <w:sz w:val="19"/>
        </w:rPr>
        <w:t>outlining the</w:t>
      </w:r>
      <w:r>
        <w:rPr>
          <w:color w:val="231F20"/>
          <w:spacing w:val="-7"/>
          <w:w w:val="115"/>
          <w:sz w:val="19"/>
        </w:rPr>
        <w:t> </w:t>
      </w:r>
      <w:r>
        <w:rPr>
          <w:color w:val="231F20"/>
          <w:w w:val="115"/>
          <w:sz w:val="19"/>
        </w:rPr>
        <w:t>basis</w:t>
      </w:r>
      <w:r>
        <w:rPr>
          <w:color w:val="231F20"/>
          <w:spacing w:val="-7"/>
          <w:w w:val="115"/>
          <w:sz w:val="19"/>
        </w:rPr>
        <w:t> </w:t>
      </w:r>
      <w:r>
        <w:rPr>
          <w:color w:val="231F20"/>
          <w:w w:val="115"/>
          <w:sz w:val="19"/>
        </w:rPr>
        <w:t>for</w:t>
      </w:r>
      <w:r>
        <w:rPr>
          <w:color w:val="231F20"/>
          <w:spacing w:val="-7"/>
          <w:w w:val="115"/>
          <w:sz w:val="19"/>
        </w:rPr>
        <w:t> </w:t>
      </w:r>
      <w:r>
        <w:rPr>
          <w:color w:val="231F20"/>
          <w:w w:val="115"/>
          <w:sz w:val="19"/>
        </w:rPr>
        <w:t>the</w:t>
      </w:r>
      <w:r>
        <w:rPr>
          <w:color w:val="231F20"/>
          <w:spacing w:val="-7"/>
          <w:w w:val="115"/>
          <w:sz w:val="19"/>
        </w:rPr>
        <w:t> </w:t>
      </w:r>
      <w:r>
        <w:rPr>
          <w:color w:val="231F20"/>
          <w:w w:val="115"/>
          <w:sz w:val="19"/>
        </w:rPr>
        <w:t>appeal</w:t>
      </w:r>
      <w:r>
        <w:rPr>
          <w:color w:val="231F20"/>
          <w:spacing w:val="-7"/>
          <w:w w:val="115"/>
          <w:sz w:val="19"/>
        </w:rPr>
        <w:t> </w:t>
      </w:r>
      <w:r>
        <w:rPr>
          <w:color w:val="231F20"/>
          <w:w w:val="115"/>
          <w:sz w:val="19"/>
        </w:rPr>
        <w:t>is</w:t>
      </w:r>
      <w:r>
        <w:rPr>
          <w:color w:val="231F20"/>
          <w:spacing w:val="-7"/>
          <w:w w:val="115"/>
          <w:sz w:val="19"/>
        </w:rPr>
        <w:t> </w:t>
      </w:r>
      <w:r>
        <w:rPr>
          <w:color w:val="231F20"/>
          <w:w w:val="115"/>
          <w:sz w:val="19"/>
        </w:rPr>
        <w:t>called</w:t>
      </w:r>
      <w:r>
        <w:rPr>
          <w:color w:val="231F20"/>
          <w:spacing w:val="-7"/>
          <w:w w:val="115"/>
          <w:sz w:val="19"/>
        </w:rPr>
        <w:t> </w:t>
      </w:r>
      <w:r>
        <w:rPr>
          <w:color w:val="231F20"/>
          <w:w w:val="115"/>
          <w:sz w:val="19"/>
        </w:rPr>
        <w:t>a</w:t>
      </w:r>
      <w:r>
        <w:rPr>
          <w:color w:val="231F20"/>
          <w:spacing w:val="-8"/>
          <w:w w:val="115"/>
          <w:sz w:val="19"/>
        </w:rPr>
        <w:t> </w:t>
      </w:r>
      <w:r>
        <w:rPr>
          <w:i/>
          <w:color w:val="231F20"/>
          <w:w w:val="115"/>
          <w:sz w:val="19"/>
        </w:rPr>
        <w:t>brief.</w:t>
      </w:r>
      <w:r>
        <w:rPr>
          <w:i/>
          <w:color w:val="231F20"/>
          <w:spacing w:val="-7"/>
          <w:w w:val="115"/>
          <w:sz w:val="19"/>
        </w:rPr>
        <w:t> </w:t>
      </w:r>
      <w:r>
        <w:rPr>
          <w:color w:val="231F20"/>
          <w:w w:val="115"/>
          <w:sz w:val="19"/>
        </w:rPr>
        <w:t>It</w:t>
      </w:r>
      <w:r>
        <w:rPr>
          <w:color w:val="231F20"/>
          <w:spacing w:val="-7"/>
          <w:w w:val="115"/>
          <w:sz w:val="19"/>
        </w:rPr>
        <w:t> </w:t>
      </w:r>
      <w:r>
        <w:rPr>
          <w:color w:val="231F20"/>
          <w:w w:val="115"/>
          <w:sz w:val="19"/>
        </w:rPr>
        <w:t>is</w:t>
      </w:r>
      <w:r>
        <w:rPr>
          <w:color w:val="231F20"/>
          <w:spacing w:val="-7"/>
          <w:w w:val="115"/>
          <w:sz w:val="19"/>
        </w:rPr>
        <w:t> </w:t>
      </w:r>
      <w:r>
        <w:rPr>
          <w:color w:val="231F20"/>
          <w:w w:val="115"/>
          <w:sz w:val="19"/>
        </w:rPr>
        <w:t>filled</w:t>
      </w:r>
      <w:r>
        <w:rPr>
          <w:color w:val="231F20"/>
          <w:spacing w:val="-7"/>
          <w:w w:val="115"/>
          <w:sz w:val="19"/>
        </w:rPr>
        <w:t> </w:t>
      </w:r>
      <w:r>
        <w:rPr>
          <w:color w:val="231F20"/>
          <w:w w:val="115"/>
          <w:sz w:val="19"/>
        </w:rPr>
        <w:t>with</w:t>
      </w:r>
      <w:r>
        <w:rPr>
          <w:color w:val="231F20"/>
          <w:spacing w:val="-7"/>
          <w:w w:val="115"/>
          <w:sz w:val="19"/>
        </w:rPr>
        <w:t> </w:t>
      </w:r>
      <w:r>
        <w:rPr>
          <w:color w:val="231F20"/>
          <w:w w:val="115"/>
          <w:sz w:val="19"/>
        </w:rPr>
        <w:t>the</w:t>
      </w:r>
      <w:r>
        <w:rPr>
          <w:color w:val="231F20"/>
          <w:w w:val="115"/>
          <w:sz w:val="19"/>
        </w:rPr>
        <w:t> rather lengthy arguments and with citations of prior </w:t>
      </w:r>
      <w:r>
        <w:rPr>
          <w:color w:val="231F20"/>
          <w:w w:val="115"/>
          <w:sz w:val="19"/>
        </w:rPr>
        <w:t>court</w:t>
      </w:r>
      <w:r>
        <w:rPr>
          <w:color w:val="231F20"/>
          <w:w w:val="115"/>
          <w:sz w:val="19"/>
        </w:rPr>
        <w:t> decisions and applicable statutes to make the case for a new trial.</w:t>
      </w:r>
    </w:p>
    <w:p>
      <w:pPr>
        <w:pStyle w:val="ListParagraph"/>
        <w:numPr>
          <w:ilvl w:val="0"/>
          <w:numId w:val="49"/>
        </w:numPr>
        <w:tabs>
          <w:tab w:pos="1610" w:val="left" w:leader="none"/>
        </w:tabs>
        <w:spacing w:line="328" w:lineRule="auto" w:before="4" w:after="0"/>
        <w:ind w:left="1610" w:right="667" w:hanging="227"/>
        <w:jc w:val="both"/>
        <w:rPr>
          <w:sz w:val="19"/>
        </w:rPr>
      </w:pPr>
      <w:r>
        <w:rPr>
          <w:i/>
          <w:color w:val="231F20"/>
          <w:w w:val="115"/>
          <w:sz w:val="19"/>
        </w:rPr>
        <w:t>Secure</w:t>
      </w:r>
      <w:r>
        <w:rPr>
          <w:i/>
          <w:color w:val="231F20"/>
          <w:spacing w:val="-16"/>
          <w:w w:val="115"/>
          <w:sz w:val="19"/>
        </w:rPr>
        <w:t> </w:t>
      </w:r>
      <w:r>
        <w:rPr>
          <w:i/>
          <w:color w:val="231F20"/>
          <w:w w:val="115"/>
          <w:sz w:val="19"/>
        </w:rPr>
        <w:t>or</w:t>
      </w:r>
      <w:r>
        <w:rPr>
          <w:i/>
          <w:color w:val="231F20"/>
          <w:spacing w:val="-15"/>
          <w:w w:val="115"/>
          <w:sz w:val="19"/>
        </w:rPr>
        <w:t> </w:t>
      </w:r>
      <w:r>
        <w:rPr>
          <w:i/>
          <w:color w:val="231F20"/>
          <w:w w:val="115"/>
          <w:sz w:val="19"/>
        </w:rPr>
        <w:t>Enforce</w:t>
      </w:r>
      <w:r>
        <w:rPr>
          <w:i/>
          <w:color w:val="231F20"/>
          <w:spacing w:val="-15"/>
          <w:w w:val="115"/>
          <w:sz w:val="19"/>
        </w:rPr>
        <w:t> </w:t>
      </w:r>
      <w:r>
        <w:rPr>
          <w:i/>
          <w:color w:val="231F20"/>
          <w:w w:val="115"/>
          <w:sz w:val="19"/>
        </w:rPr>
        <w:t>the</w:t>
      </w:r>
      <w:r>
        <w:rPr>
          <w:i/>
          <w:color w:val="231F20"/>
          <w:spacing w:val="-15"/>
          <w:w w:val="115"/>
          <w:sz w:val="19"/>
        </w:rPr>
        <w:t> </w:t>
      </w:r>
      <w:r>
        <w:rPr>
          <w:i/>
          <w:color w:val="231F20"/>
          <w:w w:val="115"/>
          <w:sz w:val="19"/>
        </w:rPr>
        <w:t>Judgment</w:t>
      </w:r>
      <w:r>
        <w:rPr>
          <w:i/>
          <w:color w:val="231F20"/>
          <w:spacing w:val="-15"/>
          <w:w w:val="115"/>
          <w:sz w:val="19"/>
        </w:rPr>
        <w:t> </w:t>
      </w:r>
      <w:r>
        <w:rPr>
          <w:color w:val="231F20"/>
          <w:w w:val="115"/>
          <w:sz w:val="19"/>
        </w:rPr>
        <w:t>—</w:t>
      </w:r>
      <w:r>
        <w:rPr>
          <w:color w:val="231F20"/>
          <w:spacing w:val="-16"/>
          <w:w w:val="115"/>
          <w:sz w:val="19"/>
        </w:rPr>
        <w:t> </w:t>
      </w:r>
      <w:r>
        <w:rPr>
          <w:color w:val="231F20"/>
          <w:w w:val="115"/>
          <w:sz w:val="19"/>
        </w:rPr>
        <w:t>Send</w:t>
      </w:r>
      <w:r>
        <w:rPr>
          <w:color w:val="231F20"/>
          <w:spacing w:val="-15"/>
          <w:w w:val="115"/>
          <w:sz w:val="19"/>
        </w:rPr>
        <w:t> </w:t>
      </w:r>
      <w:r>
        <w:rPr>
          <w:color w:val="231F20"/>
          <w:w w:val="115"/>
          <w:sz w:val="19"/>
        </w:rPr>
        <w:t>the</w:t>
      </w:r>
      <w:r>
        <w:rPr>
          <w:color w:val="231F20"/>
          <w:spacing w:val="-15"/>
          <w:w w:val="115"/>
          <w:sz w:val="19"/>
        </w:rPr>
        <w:t> </w:t>
      </w:r>
      <w:r>
        <w:rPr>
          <w:color w:val="231F20"/>
          <w:w w:val="115"/>
          <w:sz w:val="19"/>
        </w:rPr>
        <w:t>person</w:t>
      </w:r>
      <w:r>
        <w:rPr>
          <w:color w:val="231F20"/>
          <w:spacing w:val="-15"/>
          <w:w w:val="115"/>
          <w:sz w:val="19"/>
        </w:rPr>
        <w:t> </w:t>
      </w:r>
      <w:r>
        <w:rPr>
          <w:color w:val="231F20"/>
          <w:w w:val="115"/>
          <w:sz w:val="19"/>
        </w:rPr>
        <w:t>to</w:t>
      </w:r>
      <w:r>
        <w:rPr>
          <w:color w:val="231F20"/>
          <w:spacing w:val="-15"/>
          <w:w w:val="115"/>
          <w:sz w:val="19"/>
        </w:rPr>
        <w:t> </w:t>
      </w:r>
      <w:r>
        <w:rPr>
          <w:color w:val="231F20"/>
          <w:w w:val="115"/>
          <w:sz w:val="19"/>
        </w:rPr>
        <w:t>jail or collect the money.</w:t>
      </w:r>
    </w:p>
    <w:p>
      <w:pPr>
        <w:pStyle w:val="BodyText"/>
        <w:rPr>
          <w:rFonts w:ascii="Arial"/>
          <w:sz w:val="20"/>
        </w:rPr>
      </w:pPr>
    </w:p>
    <w:p>
      <w:pPr>
        <w:pStyle w:val="BodyText"/>
        <w:rPr>
          <w:rFonts w:ascii="Arial"/>
          <w:sz w:val="20"/>
        </w:rPr>
      </w:pPr>
    </w:p>
    <w:p>
      <w:pPr>
        <w:pStyle w:val="Heading6"/>
        <w:spacing w:line="292" w:lineRule="auto" w:before="130"/>
        <w:ind w:left="2717" w:right="1262" w:hanging="499"/>
        <w:jc w:val="left"/>
      </w:pPr>
      <w:r>
        <w:rPr>
          <w:i/>
          <w:color w:val="231F20"/>
          <w:w w:val="110"/>
        </w:rPr>
        <w:t>SETTLING</w:t>
      </w:r>
      <w:r>
        <w:rPr>
          <w:i/>
          <w:color w:val="231F20"/>
          <w:spacing w:val="40"/>
          <w:w w:val="110"/>
        </w:rPr>
        <w:t> </w:t>
      </w:r>
      <w:r>
        <w:rPr>
          <w:i/>
          <w:color w:val="231F20"/>
          <w:w w:val="110"/>
        </w:rPr>
        <w:t>A</w:t>
      </w:r>
      <w:r>
        <w:rPr>
          <w:i/>
          <w:color w:val="231F20"/>
          <w:spacing w:val="40"/>
          <w:w w:val="110"/>
        </w:rPr>
        <w:t> </w:t>
      </w:r>
      <w:r>
        <w:rPr>
          <w:i/>
          <w:color w:val="231F20"/>
          <w:w w:val="110"/>
        </w:rPr>
        <w:t>BUSINESS</w:t>
      </w:r>
      <w:r>
        <w:rPr>
          <w:i/>
          <w:color w:val="231F20"/>
          <w:spacing w:val="10"/>
          <w:w w:val="110"/>
        </w:rPr>
        <w:t> DISPUTE</w:t>
      </w:r>
      <w:r>
        <w:rPr>
          <w:color w:val="231F20"/>
          <w:spacing w:val="10"/>
          <w:w w:val="110"/>
        </w:rPr>
        <w:t> </w:t>
      </w:r>
      <w:r>
        <w:rPr>
          <w:color w:val="231F20"/>
          <w:w w:val="110"/>
        </w:rPr>
        <w:t>WITHOUT</w:t>
      </w:r>
      <w:r>
        <w:rPr>
          <w:color w:val="231F20"/>
          <w:w w:val="110"/>
        </w:rPr>
        <w:t> THE</w:t>
      </w:r>
      <w:r>
        <w:rPr>
          <w:color w:val="231F20"/>
          <w:w w:val="110"/>
        </w:rPr>
        <w:t> </w:t>
      </w:r>
      <w:r>
        <w:rPr>
          <w:color w:val="231F20"/>
          <w:spacing w:val="9"/>
          <w:w w:val="110"/>
        </w:rPr>
        <w:t>COURTS</w:t>
      </w:r>
    </w:p>
    <w:p>
      <w:pPr>
        <w:pStyle w:val="BodyText"/>
        <w:spacing w:before="6"/>
        <w:rPr>
          <w:b/>
          <w:i/>
          <w:sz w:val="25"/>
        </w:rPr>
      </w:pPr>
    </w:p>
    <w:p>
      <w:pPr>
        <w:pStyle w:val="BodyText"/>
        <w:spacing w:line="292" w:lineRule="auto"/>
        <w:ind w:left="920" w:right="667"/>
      </w:pPr>
      <w:r>
        <w:rPr>
          <w:color w:val="231F20"/>
        </w:rPr>
        <w:t>If</w:t>
      </w:r>
      <w:r>
        <w:rPr>
          <w:color w:val="231F20"/>
          <w:spacing w:val="25"/>
        </w:rPr>
        <w:t> </w:t>
      </w:r>
      <w:r>
        <w:rPr>
          <w:color w:val="231F20"/>
        </w:rPr>
        <w:t>they</w:t>
      </w:r>
      <w:r>
        <w:rPr>
          <w:color w:val="231F20"/>
          <w:spacing w:val="25"/>
        </w:rPr>
        <w:t> </w:t>
      </w:r>
      <w:r>
        <w:rPr>
          <w:color w:val="231F20"/>
        </w:rPr>
        <w:t>want</w:t>
      </w:r>
      <w:r>
        <w:rPr>
          <w:color w:val="231F20"/>
          <w:spacing w:val="25"/>
        </w:rPr>
        <w:t> </w:t>
      </w:r>
      <w:r>
        <w:rPr>
          <w:color w:val="231F20"/>
        </w:rPr>
        <w:t>to</w:t>
      </w:r>
      <w:r>
        <w:rPr>
          <w:color w:val="231F20"/>
          <w:spacing w:val="25"/>
        </w:rPr>
        <w:t> </w:t>
      </w:r>
      <w:r>
        <w:rPr>
          <w:color w:val="231F20"/>
        </w:rPr>
        <w:t>avoid</w:t>
      </w:r>
      <w:r>
        <w:rPr>
          <w:color w:val="231F20"/>
          <w:spacing w:val="25"/>
        </w:rPr>
        <w:t> </w:t>
      </w:r>
      <w:r>
        <w:rPr>
          <w:color w:val="231F20"/>
        </w:rPr>
        <w:t>the</w:t>
      </w:r>
      <w:r>
        <w:rPr>
          <w:color w:val="231F20"/>
          <w:spacing w:val="25"/>
        </w:rPr>
        <w:t> </w:t>
      </w:r>
      <w:r>
        <w:rPr>
          <w:color w:val="231F20"/>
        </w:rPr>
        <w:t>courts</w:t>
      </w:r>
      <w:r>
        <w:rPr>
          <w:color w:val="231F20"/>
          <w:spacing w:val="25"/>
        </w:rPr>
        <w:t> </w:t>
      </w:r>
      <w:r>
        <w:rPr>
          <w:color w:val="231F20"/>
        </w:rPr>
        <w:t>to</w:t>
      </w:r>
      <w:r>
        <w:rPr>
          <w:color w:val="231F20"/>
          <w:spacing w:val="25"/>
        </w:rPr>
        <w:t> </w:t>
      </w:r>
      <w:r>
        <w:rPr>
          <w:color w:val="231F20"/>
        </w:rPr>
        <w:t>settle</w:t>
      </w:r>
      <w:r>
        <w:rPr>
          <w:color w:val="231F20"/>
          <w:spacing w:val="25"/>
        </w:rPr>
        <w:t> </w:t>
      </w:r>
      <w:r>
        <w:rPr>
          <w:color w:val="231F20"/>
        </w:rPr>
        <w:t>a</w:t>
      </w:r>
      <w:r>
        <w:rPr>
          <w:color w:val="231F20"/>
          <w:spacing w:val="25"/>
        </w:rPr>
        <w:t> </w:t>
      </w:r>
      <w:r>
        <w:rPr>
          <w:color w:val="231F20"/>
        </w:rPr>
        <w:t>dispute,</w:t>
      </w:r>
      <w:r>
        <w:rPr>
          <w:color w:val="231F20"/>
          <w:spacing w:val="25"/>
        </w:rPr>
        <w:t> </w:t>
      </w:r>
      <w:r>
        <w:rPr>
          <w:color w:val="231F20"/>
        </w:rPr>
        <w:t>the</w:t>
      </w:r>
      <w:r>
        <w:rPr>
          <w:color w:val="231F20"/>
          <w:spacing w:val="25"/>
        </w:rPr>
        <w:t> </w:t>
      </w:r>
      <w:r>
        <w:rPr>
          <w:color w:val="231F20"/>
        </w:rPr>
        <w:t>parties</w:t>
      </w:r>
      <w:r>
        <w:rPr>
          <w:color w:val="231F20"/>
          <w:spacing w:val="25"/>
        </w:rPr>
        <w:t> </w:t>
      </w:r>
      <w:r>
        <w:rPr>
          <w:color w:val="231F20"/>
        </w:rPr>
        <w:t>can bring in a neutral peacemaker.</w:t>
      </w:r>
    </w:p>
    <w:p>
      <w:pPr>
        <w:spacing w:after="0" w:line="292" w:lineRule="auto"/>
        <w:sectPr>
          <w:headerReference w:type="default" r:id="rId135"/>
          <w:headerReference w:type="even" r:id="rId136"/>
          <w:pgSz w:w="8640" w:h="12960"/>
          <w:pgMar w:header="734" w:footer="0" w:top="920" w:bottom="280" w:left="340" w:right="500"/>
          <w:pgNumType w:start="369"/>
        </w:sectPr>
      </w:pPr>
    </w:p>
    <w:p>
      <w:pPr>
        <w:pStyle w:val="BodyText"/>
        <w:spacing w:before="4"/>
        <w:rPr>
          <w:sz w:val="19"/>
        </w:rPr>
      </w:pPr>
    </w:p>
    <w:p>
      <w:pPr>
        <w:spacing w:line="328" w:lineRule="auto" w:before="97"/>
        <w:ind w:left="1509" w:right="955" w:hanging="340"/>
        <w:jc w:val="both"/>
        <w:rPr>
          <w:rFonts w:ascii="Arial" w:hAnsi="Arial"/>
          <w:sz w:val="19"/>
        </w:rPr>
      </w:pPr>
      <w:r>
        <w:rPr>
          <w:rFonts w:ascii="Arial" w:hAnsi="Arial"/>
          <w:i/>
          <w:color w:val="231F20"/>
          <w:w w:val="115"/>
          <w:sz w:val="19"/>
        </w:rPr>
        <w:t>Mediation</w:t>
      </w:r>
      <w:r>
        <w:rPr>
          <w:rFonts w:ascii="Arial" w:hAnsi="Arial"/>
          <w:color w:val="231F20"/>
          <w:w w:val="115"/>
          <w:sz w:val="19"/>
        </w:rPr>
        <w:t>—A</w:t>
      </w:r>
      <w:r>
        <w:rPr>
          <w:rFonts w:ascii="Arial" w:hAnsi="Arial"/>
          <w:color w:val="231F20"/>
          <w:spacing w:val="-7"/>
          <w:w w:val="115"/>
          <w:sz w:val="19"/>
        </w:rPr>
        <w:t> </w:t>
      </w:r>
      <w:r>
        <w:rPr>
          <w:rFonts w:ascii="Arial" w:hAnsi="Arial"/>
          <w:i/>
          <w:color w:val="231F20"/>
          <w:w w:val="115"/>
          <w:sz w:val="19"/>
        </w:rPr>
        <w:t>mediator</w:t>
      </w:r>
      <w:r>
        <w:rPr>
          <w:rFonts w:ascii="Arial" w:hAnsi="Arial"/>
          <w:i/>
          <w:color w:val="231F20"/>
          <w:spacing w:val="-8"/>
          <w:w w:val="115"/>
          <w:sz w:val="19"/>
        </w:rPr>
        <w:t> </w:t>
      </w:r>
      <w:r>
        <w:rPr>
          <w:rFonts w:ascii="Arial" w:hAnsi="Arial"/>
          <w:color w:val="231F20"/>
          <w:w w:val="115"/>
          <w:sz w:val="19"/>
        </w:rPr>
        <w:t>has</w:t>
      </w:r>
      <w:r>
        <w:rPr>
          <w:rFonts w:ascii="Arial" w:hAnsi="Arial"/>
          <w:color w:val="231F20"/>
          <w:spacing w:val="-7"/>
          <w:w w:val="115"/>
          <w:sz w:val="19"/>
        </w:rPr>
        <w:t> </w:t>
      </w:r>
      <w:r>
        <w:rPr>
          <w:rFonts w:ascii="Arial" w:hAnsi="Arial"/>
          <w:color w:val="231F20"/>
          <w:w w:val="115"/>
          <w:sz w:val="19"/>
        </w:rPr>
        <w:t>a</w:t>
      </w:r>
      <w:r>
        <w:rPr>
          <w:rFonts w:ascii="Arial" w:hAnsi="Arial"/>
          <w:color w:val="231F20"/>
          <w:spacing w:val="-7"/>
          <w:w w:val="115"/>
          <w:sz w:val="19"/>
        </w:rPr>
        <w:t> </w:t>
      </w:r>
      <w:r>
        <w:rPr>
          <w:rFonts w:ascii="Arial" w:hAnsi="Arial"/>
          <w:color w:val="231F20"/>
          <w:w w:val="115"/>
          <w:sz w:val="19"/>
        </w:rPr>
        <w:t>nonbinding</w:t>
      </w:r>
      <w:r>
        <w:rPr>
          <w:rFonts w:ascii="Arial" w:hAnsi="Arial"/>
          <w:color w:val="231F20"/>
          <w:spacing w:val="-7"/>
          <w:w w:val="115"/>
          <w:sz w:val="19"/>
        </w:rPr>
        <w:t> </w:t>
      </w:r>
      <w:r>
        <w:rPr>
          <w:rFonts w:ascii="Arial" w:hAnsi="Arial"/>
          <w:color w:val="231F20"/>
          <w:w w:val="115"/>
          <w:sz w:val="19"/>
        </w:rPr>
        <w:t>authority</w:t>
      </w:r>
      <w:r>
        <w:rPr>
          <w:rFonts w:ascii="Arial" w:hAnsi="Arial"/>
          <w:color w:val="231F20"/>
          <w:spacing w:val="-7"/>
          <w:w w:val="115"/>
          <w:sz w:val="19"/>
        </w:rPr>
        <w:t> </w:t>
      </w:r>
      <w:r>
        <w:rPr>
          <w:rFonts w:ascii="Arial" w:hAnsi="Arial"/>
          <w:color w:val="231F20"/>
          <w:w w:val="115"/>
          <w:sz w:val="19"/>
        </w:rPr>
        <w:t>to</w:t>
      </w:r>
      <w:r>
        <w:rPr>
          <w:rFonts w:ascii="Arial" w:hAnsi="Arial"/>
          <w:color w:val="231F20"/>
          <w:spacing w:val="-7"/>
          <w:w w:val="115"/>
          <w:sz w:val="19"/>
        </w:rPr>
        <w:t> </w:t>
      </w:r>
      <w:r>
        <w:rPr>
          <w:rFonts w:ascii="Arial" w:hAnsi="Arial"/>
          <w:color w:val="231F20"/>
          <w:w w:val="115"/>
          <w:sz w:val="19"/>
        </w:rPr>
        <w:t>direct the</w:t>
      </w:r>
      <w:r>
        <w:rPr>
          <w:rFonts w:ascii="Arial" w:hAnsi="Arial"/>
          <w:color w:val="231F20"/>
          <w:spacing w:val="-14"/>
          <w:w w:val="115"/>
          <w:sz w:val="19"/>
        </w:rPr>
        <w:t> </w:t>
      </w:r>
      <w:r>
        <w:rPr>
          <w:rFonts w:ascii="Arial" w:hAnsi="Arial"/>
          <w:color w:val="231F20"/>
          <w:w w:val="115"/>
          <w:sz w:val="19"/>
        </w:rPr>
        <w:t>parties</w:t>
      </w:r>
      <w:r>
        <w:rPr>
          <w:rFonts w:ascii="Arial" w:hAnsi="Arial"/>
          <w:color w:val="231F20"/>
          <w:spacing w:val="-14"/>
          <w:w w:val="115"/>
          <w:sz w:val="19"/>
        </w:rPr>
        <w:t> </w:t>
      </w:r>
      <w:r>
        <w:rPr>
          <w:rFonts w:ascii="Arial" w:hAnsi="Arial"/>
          <w:color w:val="231F20"/>
          <w:w w:val="115"/>
          <w:sz w:val="19"/>
        </w:rPr>
        <w:t>to</w:t>
      </w:r>
      <w:r>
        <w:rPr>
          <w:rFonts w:ascii="Arial" w:hAnsi="Arial"/>
          <w:color w:val="231F20"/>
          <w:spacing w:val="-14"/>
          <w:w w:val="115"/>
          <w:sz w:val="19"/>
        </w:rPr>
        <w:t> </w:t>
      </w:r>
      <w:r>
        <w:rPr>
          <w:rFonts w:ascii="Arial" w:hAnsi="Arial"/>
          <w:color w:val="231F20"/>
          <w:w w:val="115"/>
          <w:sz w:val="19"/>
        </w:rPr>
        <w:t>a</w:t>
      </w:r>
      <w:r>
        <w:rPr>
          <w:rFonts w:ascii="Arial" w:hAnsi="Arial"/>
          <w:color w:val="231F20"/>
          <w:spacing w:val="-14"/>
          <w:w w:val="115"/>
          <w:sz w:val="19"/>
        </w:rPr>
        <w:t> </w:t>
      </w:r>
      <w:r>
        <w:rPr>
          <w:rFonts w:ascii="Arial" w:hAnsi="Arial"/>
          <w:color w:val="231F20"/>
          <w:w w:val="115"/>
          <w:sz w:val="19"/>
        </w:rPr>
        <w:t>fair</w:t>
      </w:r>
      <w:r>
        <w:rPr>
          <w:rFonts w:ascii="Arial" w:hAnsi="Arial"/>
          <w:color w:val="231F20"/>
          <w:spacing w:val="-14"/>
          <w:w w:val="115"/>
          <w:sz w:val="19"/>
        </w:rPr>
        <w:t> </w:t>
      </w:r>
      <w:r>
        <w:rPr>
          <w:rFonts w:ascii="Arial" w:hAnsi="Arial"/>
          <w:color w:val="231F20"/>
          <w:w w:val="115"/>
          <w:sz w:val="19"/>
        </w:rPr>
        <w:t>settlement.</w:t>
      </w:r>
      <w:r>
        <w:rPr>
          <w:rFonts w:ascii="Arial" w:hAnsi="Arial"/>
          <w:color w:val="231F20"/>
          <w:spacing w:val="-14"/>
          <w:w w:val="115"/>
          <w:sz w:val="19"/>
        </w:rPr>
        <w:t> </w:t>
      </w:r>
      <w:r>
        <w:rPr>
          <w:rFonts w:ascii="Arial" w:hAnsi="Arial"/>
          <w:color w:val="231F20"/>
          <w:w w:val="115"/>
          <w:sz w:val="19"/>
        </w:rPr>
        <w:t>However,</w:t>
      </w:r>
      <w:r>
        <w:rPr>
          <w:rFonts w:ascii="Arial" w:hAnsi="Arial"/>
          <w:color w:val="231F20"/>
          <w:spacing w:val="-14"/>
          <w:w w:val="115"/>
          <w:sz w:val="19"/>
        </w:rPr>
        <w:t> </w:t>
      </w:r>
      <w:r>
        <w:rPr>
          <w:rFonts w:ascii="Arial" w:hAnsi="Arial"/>
          <w:color w:val="231F20"/>
          <w:w w:val="115"/>
          <w:sz w:val="19"/>
        </w:rPr>
        <w:t>the</w:t>
      </w:r>
      <w:r>
        <w:rPr>
          <w:rFonts w:ascii="Arial" w:hAnsi="Arial"/>
          <w:color w:val="231F20"/>
          <w:spacing w:val="-14"/>
          <w:w w:val="115"/>
          <w:sz w:val="19"/>
        </w:rPr>
        <w:t> </w:t>
      </w:r>
      <w:r>
        <w:rPr>
          <w:rFonts w:ascii="Arial" w:hAnsi="Arial"/>
          <w:color w:val="231F20"/>
          <w:w w:val="115"/>
          <w:sz w:val="19"/>
        </w:rPr>
        <w:t>parties</w:t>
      </w:r>
      <w:r>
        <w:rPr>
          <w:rFonts w:ascii="Arial" w:hAnsi="Arial"/>
          <w:color w:val="231F20"/>
          <w:spacing w:val="-14"/>
          <w:w w:val="115"/>
          <w:sz w:val="19"/>
        </w:rPr>
        <w:t> </w:t>
      </w:r>
      <w:r>
        <w:rPr>
          <w:rFonts w:ascii="Arial" w:hAnsi="Arial"/>
          <w:color w:val="231F20"/>
          <w:w w:val="115"/>
          <w:sz w:val="19"/>
        </w:rPr>
        <w:t>can back out if they do not like the decision.</w:t>
      </w:r>
    </w:p>
    <w:p>
      <w:pPr>
        <w:spacing w:line="328" w:lineRule="auto" w:before="2"/>
        <w:ind w:left="1509" w:right="771" w:hanging="340"/>
        <w:jc w:val="left"/>
        <w:rPr>
          <w:rFonts w:ascii="Arial" w:hAnsi="Arial"/>
          <w:sz w:val="19"/>
        </w:rPr>
      </w:pPr>
      <w:r>
        <w:rPr>
          <w:rFonts w:ascii="Arial" w:hAnsi="Arial"/>
          <w:i/>
          <w:color w:val="231F20"/>
          <w:w w:val="110"/>
          <w:sz w:val="19"/>
        </w:rPr>
        <w:t>Arbitration</w:t>
      </w:r>
      <w:r>
        <w:rPr>
          <w:rFonts w:ascii="Arial" w:hAnsi="Arial"/>
          <w:color w:val="231F20"/>
          <w:w w:val="110"/>
          <w:sz w:val="19"/>
        </w:rPr>
        <w:t>—An</w:t>
      </w:r>
      <w:r>
        <w:rPr>
          <w:rFonts w:ascii="Arial" w:hAnsi="Arial"/>
          <w:color w:val="231F20"/>
          <w:spacing w:val="40"/>
          <w:w w:val="110"/>
          <w:sz w:val="19"/>
        </w:rPr>
        <w:t> </w:t>
      </w:r>
      <w:r>
        <w:rPr>
          <w:rFonts w:ascii="Arial" w:hAnsi="Arial"/>
          <w:i/>
          <w:color w:val="231F20"/>
          <w:w w:val="110"/>
          <w:sz w:val="19"/>
        </w:rPr>
        <w:t>arbitrator</w:t>
      </w:r>
      <w:r>
        <w:rPr>
          <w:rFonts w:ascii="Arial" w:hAnsi="Arial"/>
          <w:i/>
          <w:color w:val="231F20"/>
          <w:spacing w:val="40"/>
          <w:w w:val="110"/>
          <w:sz w:val="19"/>
        </w:rPr>
        <w:t> </w:t>
      </w:r>
      <w:r>
        <w:rPr>
          <w:rFonts w:ascii="Arial" w:hAnsi="Arial"/>
          <w:color w:val="231F20"/>
          <w:w w:val="110"/>
          <w:sz w:val="19"/>
        </w:rPr>
        <w:t>has</w:t>
      </w:r>
      <w:r>
        <w:rPr>
          <w:rFonts w:ascii="Arial" w:hAnsi="Arial"/>
          <w:color w:val="231F20"/>
          <w:spacing w:val="40"/>
          <w:w w:val="110"/>
          <w:sz w:val="19"/>
        </w:rPr>
        <w:t> </w:t>
      </w:r>
      <w:r>
        <w:rPr>
          <w:rFonts w:ascii="Arial" w:hAnsi="Arial"/>
          <w:color w:val="231F20"/>
          <w:w w:val="110"/>
          <w:sz w:val="19"/>
        </w:rPr>
        <w:t>the</w:t>
      </w:r>
      <w:r>
        <w:rPr>
          <w:rFonts w:ascii="Arial" w:hAnsi="Arial"/>
          <w:color w:val="231F20"/>
          <w:spacing w:val="40"/>
          <w:w w:val="110"/>
          <w:sz w:val="19"/>
        </w:rPr>
        <w:t> </w:t>
      </w:r>
      <w:r>
        <w:rPr>
          <w:rFonts w:ascii="Arial" w:hAnsi="Arial"/>
          <w:color w:val="231F20"/>
          <w:w w:val="110"/>
          <w:sz w:val="19"/>
        </w:rPr>
        <w:t>power</w:t>
      </w:r>
      <w:r>
        <w:rPr>
          <w:rFonts w:ascii="Arial" w:hAnsi="Arial"/>
          <w:color w:val="231F20"/>
          <w:spacing w:val="40"/>
          <w:w w:val="110"/>
          <w:sz w:val="19"/>
        </w:rPr>
        <w:t> </w:t>
      </w:r>
      <w:r>
        <w:rPr>
          <w:rFonts w:ascii="Arial" w:hAnsi="Arial"/>
          <w:color w:val="231F20"/>
          <w:w w:val="110"/>
          <w:sz w:val="19"/>
        </w:rPr>
        <w:t>to</w:t>
      </w:r>
      <w:r>
        <w:rPr>
          <w:rFonts w:ascii="Arial" w:hAnsi="Arial"/>
          <w:color w:val="231F20"/>
          <w:spacing w:val="40"/>
          <w:w w:val="110"/>
          <w:sz w:val="19"/>
        </w:rPr>
        <w:t> </w:t>
      </w:r>
      <w:r>
        <w:rPr>
          <w:rFonts w:ascii="Arial" w:hAnsi="Arial"/>
          <w:color w:val="231F20"/>
          <w:w w:val="110"/>
          <w:sz w:val="19"/>
        </w:rPr>
        <w:t>bind</w:t>
      </w:r>
      <w:r>
        <w:rPr>
          <w:rFonts w:ascii="Arial" w:hAnsi="Arial"/>
          <w:color w:val="231F20"/>
          <w:spacing w:val="40"/>
          <w:w w:val="110"/>
          <w:sz w:val="19"/>
        </w:rPr>
        <w:t> </w:t>
      </w:r>
      <w:r>
        <w:rPr>
          <w:rFonts w:ascii="Arial" w:hAnsi="Arial"/>
          <w:color w:val="231F20"/>
          <w:w w:val="110"/>
          <w:sz w:val="19"/>
        </w:rPr>
        <w:t>the</w:t>
      </w:r>
      <w:r>
        <w:rPr>
          <w:rFonts w:ascii="Arial" w:hAnsi="Arial"/>
          <w:color w:val="231F20"/>
          <w:spacing w:val="40"/>
          <w:w w:val="110"/>
          <w:sz w:val="19"/>
        </w:rPr>
        <w:t> </w:t>
      </w:r>
      <w:r>
        <w:rPr>
          <w:rFonts w:ascii="Arial" w:hAnsi="Arial"/>
          <w:color w:val="231F20"/>
          <w:w w:val="110"/>
          <w:sz w:val="19"/>
        </w:rPr>
        <w:t>parties of a dispute. The decision is final and there are no </w:t>
      </w:r>
      <w:r>
        <w:rPr>
          <w:rFonts w:ascii="Arial" w:hAnsi="Arial"/>
          <w:color w:val="231F20"/>
          <w:w w:val="110"/>
          <w:sz w:val="19"/>
        </w:rPr>
        <w:t>appeals. These arbitrators are registered, trained professionals.</w:t>
      </w:r>
    </w:p>
    <w:p>
      <w:pPr>
        <w:pStyle w:val="BodyText"/>
        <w:rPr>
          <w:rFonts w:ascii="Arial"/>
          <w:sz w:val="20"/>
        </w:rPr>
      </w:pPr>
    </w:p>
    <w:p>
      <w:pPr>
        <w:pStyle w:val="BodyText"/>
        <w:rPr>
          <w:rFonts w:ascii="Arial"/>
          <w:sz w:val="20"/>
        </w:rPr>
      </w:pPr>
    </w:p>
    <w:p>
      <w:pPr>
        <w:pStyle w:val="Heading6"/>
        <w:spacing w:before="131"/>
        <w:ind w:left="299"/>
        <w:rPr>
          <w:i/>
        </w:rPr>
      </w:pPr>
      <w:r>
        <w:rPr>
          <w:i/>
          <w:color w:val="231F20"/>
          <w:w w:val="110"/>
        </w:rPr>
        <w:t>CRIMES</w:t>
      </w:r>
      <w:r>
        <w:rPr>
          <w:i/>
          <w:color w:val="231F20"/>
          <w:spacing w:val="58"/>
          <w:w w:val="110"/>
        </w:rPr>
        <w:t> </w:t>
      </w:r>
      <w:r>
        <w:rPr>
          <w:i/>
          <w:color w:val="231F20"/>
          <w:w w:val="110"/>
        </w:rPr>
        <w:t>AND</w:t>
      </w:r>
      <w:r>
        <w:rPr>
          <w:i/>
          <w:color w:val="231F20"/>
          <w:spacing w:val="59"/>
          <w:w w:val="110"/>
        </w:rPr>
        <w:t> </w:t>
      </w:r>
      <w:r>
        <w:rPr>
          <w:i/>
          <w:color w:val="231F20"/>
          <w:spacing w:val="7"/>
          <w:w w:val="110"/>
        </w:rPr>
        <w:t>TORTS</w:t>
      </w:r>
    </w:p>
    <w:p>
      <w:pPr>
        <w:pStyle w:val="BodyText"/>
        <w:spacing w:before="2"/>
        <w:rPr>
          <w:b/>
          <w:i/>
          <w:sz w:val="30"/>
        </w:rPr>
      </w:pPr>
    </w:p>
    <w:p>
      <w:pPr>
        <w:pStyle w:val="BodyText"/>
        <w:spacing w:line="292" w:lineRule="auto"/>
        <w:ind w:left="830" w:right="667"/>
      </w:pPr>
      <w:r>
        <w:rPr>
          <w:color w:val="231F20"/>
        </w:rPr>
        <w:t>The law revolves around one person doing something wrong to </w:t>
      </w:r>
      <w:r>
        <w:rPr>
          <w:color w:val="231F20"/>
        </w:rPr>
        <w:t>an- other. A wrong can be classified either as a crime or a tort.</w:t>
      </w:r>
    </w:p>
    <w:p>
      <w:pPr>
        <w:pStyle w:val="BodyText"/>
        <w:spacing w:before="4"/>
        <w:rPr>
          <w:sz w:val="27"/>
        </w:rPr>
      </w:pPr>
    </w:p>
    <w:p>
      <w:pPr>
        <w:spacing w:line="328" w:lineRule="auto" w:before="0"/>
        <w:ind w:left="1510" w:right="667" w:hanging="341"/>
        <w:jc w:val="left"/>
        <w:rPr>
          <w:rFonts w:ascii="Arial" w:hAnsi="Arial"/>
          <w:sz w:val="19"/>
        </w:rPr>
      </w:pPr>
      <w:r>
        <w:rPr>
          <w:rFonts w:ascii="Arial" w:hAnsi="Arial"/>
          <w:i/>
          <w:color w:val="231F20"/>
          <w:w w:val="110"/>
          <w:sz w:val="19"/>
        </w:rPr>
        <w:t>Crime</w:t>
      </w:r>
      <w:r>
        <w:rPr>
          <w:rFonts w:ascii="Arial" w:hAnsi="Arial"/>
          <w:i/>
          <w:color w:val="231F20"/>
          <w:spacing w:val="-38"/>
          <w:w w:val="110"/>
          <w:sz w:val="19"/>
        </w:rPr>
        <w:t> </w:t>
      </w:r>
      <w:r>
        <w:rPr>
          <w:rFonts w:ascii="Arial" w:hAnsi="Arial"/>
          <w:color w:val="231F20"/>
          <w:spacing w:val="11"/>
          <w:w w:val="110"/>
          <w:sz w:val="19"/>
        </w:rPr>
        <w:t>—</w:t>
      </w:r>
      <w:r>
        <w:rPr>
          <w:rFonts w:ascii="Arial" w:hAnsi="Arial"/>
          <w:color w:val="231F20"/>
          <w:w w:val="110"/>
          <w:sz w:val="19"/>
        </w:rPr>
        <w:t>A </w:t>
      </w:r>
      <w:r>
        <w:rPr>
          <w:rFonts w:ascii="Arial" w:hAnsi="Arial"/>
          <w:i/>
          <w:color w:val="231F20"/>
          <w:w w:val="110"/>
          <w:sz w:val="19"/>
        </w:rPr>
        <w:t>crime </w:t>
      </w:r>
      <w:r>
        <w:rPr>
          <w:rFonts w:ascii="Arial" w:hAnsi="Arial"/>
          <w:color w:val="231F20"/>
          <w:w w:val="110"/>
          <w:sz w:val="19"/>
        </w:rPr>
        <w:t>is a wrong against society. It can be </w:t>
      </w:r>
      <w:r>
        <w:rPr>
          <w:rFonts w:ascii="Arial" w:hAnsi="Arial"/>
          <w:color w:val="231F20"/>
          <w:w w:val="110"/>
          <w:sz w:val="19"/>
        </w:rPr>
        <w:t>punished by jail, probation, and fines based on statutory law.</w:t>
      </w:r>
    </w:p>
    <w:p>
      <w:pPr>
        <w:spacing w:before="1"/>
        <w:ind w:left="1510" w:right="0" w:firstLine="0"/>
        <w:jc w:val="left"/>
        <w:rPr>
          <w:rFonts w:ascii="Arial"/>
          <w:sz w:val="19"/>
        </w:rPr>
      </w:pPr>
      <w:r>
        <w:rPr>
          <w:rFonts w:ascii="Arial"/>
          <w:color w:val="231F20"/>
          <w:w w:val="110"/>
          <w:sz w:val="19"/>
        </w:rPr>
        <w:t>Punishable</w:t>
      </w:r>
      <w:r>
        <w:rPr>
          <w:rFonts w:ascii="Arial"/>
          <w:color w:val="231F20"/>
          <w:spacing w:val="20"/>
          <w:w w:val="110"/>
          <w:sz w:val="19"/>
        </w:rPr>
        <w:t> </w:t>
      </w:r>
      <w:r>
        <w:rPr>
          <w:rFonts w:ascii="Arial"/>
          <w:color w:val="231F20"/>
          <w:w w:val="110"/>
          <w:sz w:val="19"/>
        </w:rPr>
        <w:t>crimes</w:t>
      </w:r>
      <w:r>
        <w:rPr>
          <w:rFonts w:ascii="Arial"/>
          <w:color w:val="231F20"/>
          <w:spacing w:val="20"/>
          <w:w w:val="110"/>
          <w:sz w:val="19"/>
        </w:rPr>
        <w:t> </w:t>
      </w:r>
      <w:r>
        <w:rPr>
          <w:rFonts w:ascii="Arial"/>
          <w:color w:val="231F20"/>
          <w:w w:val="110"/>
          <w:sz w:val="19"/>
        </w:rPr>
        <w:t>are</w:t>
      </w:r>
      <w:r>
        <w:rPr>
          <w:rFonts w:ascii="Arial"/>
          <w:color w:val="231F20"/>
          <w:spacing w:val="20"/>
          <w:w w:val="110"/>
          <w:sz w:val="19"/>
        </w:rPr>
        <w:t> </w:t>
      </w:r>
      <w:r>
        <w:rPr>
          <w:rFonts w:ascii="Arial"/>
          <w:color w:val="231F20"/>
          <w:w w:val="110"/>
          <w:sz w:val="19"/>
        </w:rPr>
        <w:t>committed</w:t>
      </w:r>
      <w:r>
        <w:rPr>
          <w:rFonts w:ascii="Arial"/>
          <w:color w:val="231F20"/>
          <w:spacing w:val="20"/>
          <w:w w:val="110"/>
          <w:sz w:val="19"/>
        </w:rPr>
        <w:t> </w:t>
      </w:r>
      <w:r>
        <w:rPr>
          <w:rFonts w:ascii="Arial"/>
          <w:color w:val="231F20"/>
          <w:w w:val="110"/>
          <w:sz w:val="19"/>
        </w:rPr>
        <w:t>with</w:t>
      </w:r>
      <w:r>
        <w:rPr>
          <w:rFonts w:ascii="Arial"/>
          <w:color w:val="231F20"/>
          <w:spacing w:val="20"/>
          <w:w w:val="110"/>
          <w:sz w:val="19"/>
        </w:rPr>
        <w:t> </w:t>
      </w:r>
      <w:r>
        <w:rPr>
          <w:rFonts w:ascii="Arial"/>
          <w:color w:val="231F20"/>
          <w:w w:val="110"/>
          <w:sz w:val="19"/>
        </w:rPr>
        <w:t>intent,</w:t>
      </w:r>
      <w:r>
        <w:rPr>
          <w:rFonts w:ascii="Arial"/>
          <w:color w:val="231F20"/>
          <w:spacing w:val="20"/>
          <w:w w:val="110"/>
          <w:sz w:val="19"/>
        </w:rPr>
        <w:t> </w:t>
      </w:r>
      <w:r>
        <w:rPr>
          <w:rFonts w:ascii="Arial"/>
          <w:color w:val="231F20"/>
          <w:spacing w:val="-2"/>
          <w:w w:val="110"/>
          <w:sz w:val="19"/>
        </w:rPr>
        <w:t>called</w:t>
      </w:r>
    </w:p>
    <w:p>
      <w:pPr>
        <w:spacing w:line="328" w:lineRule="auto" w:before="82"/>
        <w:ind w:left="1510" w:right="0" w:firstLine="0"/>
        <w:jc w:val="left"/>
        <w:rPr>
          <w:rFonts w:ascii="Arial"/>
          <w:sz w:val="19"/>
        </w:rPr>
      </w:pPr>
      <w:r>
        <w:rPr>
          <w:rFonts w:ascii="Arial"/>
          <w:i/>
          <w:color w:val="231F20"/>
          <w:w w:val="110"/>
          <w:sz w:val="19"/>
        </w:rPr>
        <w:t>mens</w:t>
      </w:r>
      <w:r>
        <w:rPr>
          <w:rFonts w:ascii="Arial"/>
          <w:i/>
          <w:color w:val="231F20"/>
          <w:spacing w:val="-4"/>
          <w:w w:val="110"/>
          <w:sz w:val="19"/>
        </w:rPr>
        <w:t> </w:t>
      </w:r>
      <w:r>
        <w:rPr>
          <w:rFonts w:ascii="Arial"/>
          <w:i/>
          <w:color w:val="231F20"/>
          <w:w w:val="110"/>
          <w:sz w:val="19"/>
        </w:rPr>
        <w:t>rea,</w:t>
      </w:r>
      <w:r>
        <w:rPr>
          <w:rFonts w:ascii="Arial"/>
          <w:i/>
          <w:color w:val="231F20"/>
          <w:spacing w:val="-4"/>
          <w:w w:val="110"/>
          <w:sz w:val="19"/>
        </w:rPr>
        <w:t> </w:t>
      </w:r>
      <w:r>
        <w:rPr>
          <w:rFonts w:ascii="Arial"/>
          <w:color w:val="231F20"/>
          <w:w w:val="110"/>
          <w:sz w:val="19"/>
        </w:rPr>
        <w:t>or</w:t>
      </w:r>
      <w:r>
        <w:rPr>
          <w:rFonts w:ascii="Arial"/>
          <w:color w:val="231F20"/>
          <w:spacing w:val="-3"/>
          <w:w w:val="110"/>
          <w:sz w:val="19"/>
        </w:rPr>
        <w:t> </w:t>
      </w:r>
      <w:r>
        <w:rPr>
          <w:rFonts w:ascii="Arial"/>
          <w:color w:val="231F20"/>
          <w:w w:val="110"/>
          <w:sz w:val="19"/>
        </w:rPr>
        <w:t>by</w:t>
      </w:r>
      <w:r>
        <w:rPr>
          <w:rFonts w:ascii="Arial"/>
          <w:color w:val="231F20"/>
          <w:spacing w:val="-3"/>
          <w:w w:val="110"/>
          <w:sz w:val="19"/>
        </w:rPr>
        <w:t> </w:t>
      </w:r>
      <w:r>
        <w:rPr>
          <w:rFonts w:ascii="Arial"/>
          <w:color w:val="231F20"/>
          <w:w w:val="110"/>
          <w:sz w:val="19"/>
        </w:rPr>
        <w:t>negligence.</w:t>
      </w:r>
      <w:r>
        <w:rPr>
          <w:rFonts w:ascii="Arial"/>
          <w:color w:val="231F20"/>
          <w:spacing w:val="-3"/>
          <w:w w:val="110"/>
          <w:sz w:val="19"/>
        </w:rPr>
        <w:t> </w:t>
      </w:r>
      <w:r>
        <w:rPr>
          <w:rFonts w:ascii="Arial"/>
          <w:color w:val="231F20"/>
          <w:w w:val="110"/>
          <w:sz w:val="19"/>
        </w:rPr>
        <w:t>Defenses</w:t>
      </w:r>
      <w:r>
        <w:rPr>
          <w:rFonts w:ascii="Arial"/>
          <w:color w:val="231F20"/>
          <w:spacing w:val="-3"/>
          <w:w w:val="110"/>
          <w:sz w:val="19"/>
        </w:rPr>
        <w:t> </w:t>
      </w:r>
      <w:r>
        <w:rPr>
          <w:rFonts w:ascii="Arial"/>
          <w:color w:val="231F20"/>
          <w:w w:val="110"/>
          <w:sz w:val="19"/>
        </w:rPr>
        <w:t>include</w:t>
      </w:r>
      <w:r>
        <w:rPr>
          <w:rFonts w:ascii="Arial"/>
          <w:color w:val="231F20"/>
          <w:spacing w:val="-3"/>
          <w:w w:val="110"/>
          <w:sz w:val="19"/>
        </w:rPr>
        <w:t> </w:t>
      </w:r>
      <w:r>
        <w:rPr>
          <w:rFonts w:ascii="Arial"/>
          <w:color w:val="231F20"/>
          <w:w w:val="110"/>
          <w:sz w:val="19"/>
        </w:rPr>
        <w:t>self-defense, necessity, and insanity.</w:t>
      </w:r>
    </w:p>
    <w:p>
      <w:pPr>
        <w:spacing w:before="1"/>
        <w:ind w:left="1170" w:right="0" w:firstLine="0"/>
        <w:jc w:val="left"/>
        <w:rPr>
          <w:rFonts w:ascii="Arial" w:hAnsi="Arial"/>
          <w:sz w:val="19"/>
        </w:rPr>
      </w:pPr>
      <w:r>
        <w:rPr>
          <w:rFonts w:ascii="Arial" w:hAnsi="Arial"/>
          <w:i/>
          <w:color w:val="231F20"/>
          <w:w w:val="115"/>
          <w:sz w:val="19"/>
        </w:rPr>
        <w:t>Tort</w:t>
      </w:r>
      <w:r>
        <w:rPr>
          <w:rFonts w:ascii="Arial" w:hAnsi="Arial"/>
          <w:color w:val="231F20"/>
          <w:w w:val="115"/>
          <w:sz w:val="19"/>
        </w:rPr>
        <w:t>—A</w:t>
      </w:r>
      <w:r>
        <w:rPr>
          <w:rFonts w:ascii="Arial" w:hAnsi="Arial"/>
          <w:color w:val="231F20"/>
          <w:spacing w:val="-10"/>
          <w:w w:val="115"/>
          <w:sz w:val="19"/>
        </w:rPr>
        <w:t> </w:t>
      </w:r>
      <w:r>
        <w:rPr>
          <w:rFonts w:ascii="Arial" w:hAnsi="Arial"/>
          <w:i/>
          <w:color w:val="231F20"/>
          <w:w w:val="115"/>
          <w:sz w:val="19"/>
        </w:rPr>
        <w:t>tort</w:t>
      </w:r>
      <w:r>
        <w:rPr>
          <w:rFonts w:ascii="Arial" w:hAnsi="Arial"/>
          <w:i/>
          <w:color w:val="231F20"/>
          <w:spacing w:val="-10"/>
          <w:w w:val="115"/>
          <w:sz w:val="19"/>
        </w:rPr>
        <w:t> </w:t>
      </w:r>
      <w:r>
        <w:rPr>
          <w:rFonts w:ascii="Arial" w:hAnsi="Arial"/>
          <w:color w:val="231F20"/>
          <w:w w:val="115"/>
          <w:sz w:val="19"/>
        </w:rPr>
        <w:t>is</w:t>
      </w:r>
      <w:r>
        <w:rPr>
          <w:rFonts w:ascii="Arial" w:hAnsi="Arial"/>
          <w:color w:val="231F20"/>
          <w:spacing w:val="-10"/>
          <w:w w:val="115"/>
          <w:sz w:val="19"/>
        </w:rPr>
        <w:t> </w:t>
      </w:r>
      <w:r>
        <w:rPr>
          <w:rFonts w:ascii="Arial" w:hAnsi="Arial"/>
          <w:color w:val="231F20"/>
          <w:w w:val="115"/>
          <w:sz w:val="19"/>
        </w:rPr>
        <w:t>a</w:t>
      </w:r>
      <w:r>
        <w:rPr>
          <w:rFonts w:ascii="Arial" w:hAnsi="Arial"/>
          <w:color w:val="231F20"/>
          <w:spacing w:val="-10"/>
          <w:w w:val="115"/>
          <w:sz w:val="19"/>
        </w:rPr>
        <w:t> </w:t>
      </w:r>
      <w:r>
        <w:rPr>
          <w:rFonts w:ascii="Arial" w:hAnsi="Arial"/>
          <w:color w:val="231F20"/>
          <w:w w:val="115"/>
          <w:sz w:val="19"/>
        </w:rPr>
        <w:t>private</w:t>
      </w:r>
      <w:r>
        <w:rPr>
          <w:rFonts w:ascii="Arial" w:hAnsi="Arial"/>
          <w:color w:val="231F20"/>
          <w:spacing w:val="-10"/>
          <w:w w:val="115"/>
          <w:sz w:val="19"/>
        </w:rPr>
        <w:t> </w:t>
      </w:r>
      <w:r>
        <w:rPr>
          <w:rFonts w:ascii="Arial" w:hAnsi="Arial"/>
          <w:color w:val="231F20"/>
          <w:w w:val="115"/>
          <w:sz w:val="19"/>
        </w:rPr>
        <w:t>wrong</w:t>
      </w:r>
      <w:r>
        <w:rPr>
          <w:rFonts w:ascii="Arial" w:hAnsi="Arial"/>
          <w:color w:val="231F20"/>
          <w:spacing w:val="-10"/>
          <w:w w:val="115"/>
          <w:sz w:val="19"/>
        </w:rPr>
        <w:t> </w:t>
      </w:r>
      <w:r>
        <w:rPr>
          <w:rFonts w:ascii="Arial" w:hAnsi="Arial"/>
          <w:color w:val="231F20"/>
          <w:w w:val="115"/>
          <w:sz w:val="19"/>
        </w:rPr>
        <w:t>against</w:t>
      </w:r>
      <w:r>
        <w:rPr>
          <w:rFonts w:ascii="Arial" w:hAnsi="Arial"/>
          <w:color w:val="231F20"/>
          <w:spacing w:val="-10"/>
          <w:w w:val="115"/>
          <w:sz w:val="19"/>
        </w:rPr>
        <w:t> </w:t>
      </w:r>
      <w:r>
        <w:rPr>
          <w:rFonts w:ascii="Arial" w:hAnsi="Arial"/>
          <w:color w:val="231F20"/>
          <w:w w:val="115"/>
          <w:sz w:val="19"/>
        </w:rPr>
        <w:t>a</w:t>
      </w:r>
      <w:r>
        <w:rPr>
          <w:rFonts w:ascii="Arial" w:hAnsi="Arial"/>
          <w:color w:val="231F20"/>
          <w:spacing w:val="-10"/>
          <w:w w:val="115"/>
          <w:sz w:val="19"/>
        </w:rPr>
        <w:t> </w:t>
      </w:r>
      <w:r>
        <w:rPr>
          <w:rFonts w:ascii="Arial" w:hAnsi="Arial"/>
          <w:color w:val="231F20"/>
          <w:w w:val="115"/>
          <w:sz w:val="19"/>
        </w:rPr>
        <w:t>person</w:t>
      </w:r>
      <w:r>
        <w:rPr>
          <w:rFonts w:ascii="Arial" w:hAnsi="Arial"/>
          <w:color w:val="231F20"/>
          <w:spacing w:val="-10"/>
          <w:w w:val="115"/>
          <w:sz w:val="19"/>
        </w:rPr>
        <w:t> </w:t>
      </w:r>
      <w:r>
        <w:rPr>
          <w:rFonts w:ascii="Arial" w:hAnsi="Arial"/>
          <w:color w:val="231F20"/>
          <w:w w:val="115"/>
          <w:sz w:val="19"/>
        </w:rPr>
        <w:t>or</w:t>
      </w:r>
      <w:r>
        <w:rPr>
          <w:rFonts w:ascii="Arial" w:hAnsi="Arial"/>
          <w:color w:val="231F20"/>
          <w:spacing w:val="-10"/>
          <w:w w:val="115"/>
          <w:sz w:val="19"/>
        </w:rPr>
        <w:t> </w:t>
      </w:r>
      <w:r>
        <w:rPr>
          <w:rFonts w:ascii="Arial" w:hAnsi="Arial"/>
          <w:color w:val="231F20"/>
          <w:spacing w:val="-2"/>
          <w:w w:val="115"/>
          <w:sz w:val="19"/>
        </w:rPr>
        <w:t>property.</w:t>
      </w:r>
    </w:p>
    <w:p>
      <w:pPr>
        <w:spacing w:line="328" w:lineRule="auto" w:before="82"/>
        <w:ind w:left="1510" w:right="827" w:firstLine="0"/>
        <w:jc w:val="left"/>
        <w:rPr>
          <w:rFonts w:ascii="Arial"/>
          <w:sz w:val="19"/>
        </w:rPr>
      </w:pPr>
      <w:r>
        <w:rPr>
          <w:rFonts w:ascii="Arial"/>
          <w:color w:val="231F20"/>
          <w:w w:val="115"/>
          <w:sz w:val="19"/>
        </w:rPr>
        <w:t>It includes acts such as strict product liability, fraud, </w:t>
      </w:r>
      <w:r>
        <w:rPr>
          <w:rFonts w:ascii="Arial"/>
          <w:color w:val="231F20"/>
          <w:w w:val="110"/>
          <w:sz w:val="19"/>
        </w:rPr>
        <w:t>assault, and theft, also called </w:t>
      </w:r>
      <w:r>
        <w:rPr>
          <w:rFonts w:ascii="Arial"/>
          <w:i/>
          <w:color w:val="231F20"/>
          <w:w w:val="110"/>
          <w:sz w:val="19"/>
        </w:rPr>
        <w:t>conversion. </w:t>
      </w:r>
      <w:r>
        <w:rPr>
          <w:rFonts w:ascii="Arial"/>
          <w:color w:val="231F20"/>
          <w:w w:val="110"/>
          <w:sz w:val="19"/>
        </w:rPr>
        <w:t>Torts result from </w:t>
      </w:r>
      <w:r>
        <w:rPr>
          <w:rFonts w:ascii="Arial"/>
          <w:color w:val="231F20"/>
          <w:w w:val="115"/>
          <w:sz w:val="19"/>
        </w:rPr>
        <w:t>intentional wrongful acts or negligent acts. Torts are punishable</w:t>
      </w:r>
      <w:r>
        <w:rPr>
          <w:rFonts w:ascii="Arial"/>
          <w:color w:val="231F20"/>
          <w:spacing w:val="-3"/>
          <w:w w:val="115"/>
          <w:sz w:val="19"/>
        </w:rPr>
        <w:t> </w:t>
      </w:r>
      <w:r>
        <w:rPr>
          <w:rFonts w:ascii="Arial"/>
          <w:color w:val="231F20"/>
          <w:w w:val="115"/>
          <w:sz w:val="19"/>
        </w:rPr>
        <w:t>by</w:t>
      </w:r>
      <w:r>
        <w:rPr>
          <w:rFonts w:ascii="Arial"/>
          <w:color w:val="231F20"/>
          <w:spacing w:val="-3"/>
          <w:w w:val="115"/>
          <w:sz w:val="19"/>
        </w:rPr>
        <w:t> </w:t>
      </w:r>
      <w:r>
        <w:rPr>
          <w:rFonts w:ascii="Arial"/>
          <w:color w:val="231F20"/>
          <w:w w:val="115"/>
          <w:sz w:val="19"/>
        </w:rPr>
        <w:t>monetary</w:t>
      </w:r>
      <w:r>
        <w:rPr>
          <w:rFonts w:ascii="Arial"/>
          <w:color w:val="231F20"/>
          <w:spacing w:val="-3"/>
          <w:w w:val="115"/>
          <w:sz w:val="19"/>
        </w:rPr>
        <w:t> </w:t>
      </w:r>
      <w:r>
        <w:rPr>
          <w:rFonts w:ascii="Arial"/>
          <w:color w:val="231F20"/>
          <w:w w:val="115"/>
          <w:sz w:val="19"/>
        </w:rPr>
        <w:t>awards</w:t>
      </w:r>
      <w:r>
        <w:rPr>
          <w:rFonts w:ascii="Arial"/>
          <w:color w:val="231F20"/>
          <w:spacing w:val="-3"/>
          <w:w w:val="115"/>
          <w:sz w:val="19"/>
        </w:rPr>
        <w:t> </w:t>
      </w:r>
      <w:r>
        <w:rPr>
          <w:rFonts w:ascii="Arial"/>
          <w:color w:val="231F20"/>
          <w:w w:val="115"/>
          <w:sz w:val="19"/>
        </w:rPr>
        <w:t>based</w:t>
      </w:r>
      <w:r>
        <w:rPr>
          <w:rFonts w:ascii="Arial"/>
          <w:color w:val="231F20"/>
          <w:spacing w:val="-3"/>
          <w:w w:val="115"/>
          <w:sz w:val="19"/>
        </w:rPr>
        <w:t> </w:t>
      </w:r>
      <w:r>
        <w:rPr>
          <w:rFonts w:ascii="Arial"/>
          <w:color w:val="231F20"/>
          <w:w w:val="115"/>
          <w:sz w:val="19"/>
        </w:rPr>
        <w:t>on</w:t>
      </w:r>
      <w:r>
        <w:rPr>
          <w:rFonts w:ascii="Arial"/>
          <w:color w:val="231F20"/>
          <w:spacing w:val="-3"/>
          <w:w w:val="115"/>
          <w:sz w:val="19"/>
        </w:rPr>
        <w:t> </w:t>
      </w:r>
      <w:r>
        <w:rPr>
          <w:rFonts w:ascii="Arial"/>
          <w:color w:val="231F20"/>
          <w:w w:val="115"/>
          <w:sz w:val="19"/>
        </w:rPr>
        <w:t>civil</w:t>
      </w:r>
      <w:r>
        <w:rPr>
          <w:rFonts w:ascii="Arial"/>
          <w:color w:val="231F20"/>
          <w:spacing w:val="-3"/>
          <w:w w:val="115"/>
          <w:sz w:val="19"/>
        </w:rPr>
        <w:t> </w:t>
      </w:r>
      <w:r>
        <w:rPr>
          <w:rFonts w:ascii="Arial"/>
          <w:color w:val="231F20"/>
          <w:w w:val="115"/>
          <w:sz w:val="19"/>
        </w:rPr>
        <w:t>case</w:t>
      </w:r>
      <w:r>
        <w:rPr>
          <w:rFonts w:ascii="Arial"/>
          <w:color w:val="231F20"/>
          <w:spacing w:val="-3"/>
          <w:w w:val="115"/>
          <w:sz w:val="19"/>
        </w:rPr>
        <w:t> </w:t>
      </w:r>
      <w:r>
        <w:rPr>
          <w:rFonts w:ascii="Arial"/>
          <w:color w:val="231F20"/>
          <w:w w:val="115"/>
          <w:sz w:val="19"/>
        </w:rPr>
        <w:t>law. To</w:t>
      </w:r>
      <w:r>
        <w:rPr>
          <w:rFonts w:ascii="Arial"/>
          <w:color w:val="231F20"/>
          <w:spacing w:val="-3"/>
          <w:w w:val="115"/>
          <w:sz w:val="19"/>
        </w:rPr>
        <w:t> </w:t>
      </w:r>
      <w:r>
        <w:rPr>
          <w:rFonts w:ascii="Arial"/>
          <w:color w:val="231F20"/>
          <w:w w:val="115"/>
          <w:sz w:val="19"/>
        </w:rPr>
        <w:t>be</w:t>
      </w:r>
      <w:r>
        <w:rPr>
          <w:rFonts w:ascii="Arial"/>
          <w:color w:val="231F20"/>
          <w:spacing w:val="-3"/>
          <w:w w:val="115"/>
          <w:sz w:val="19"/>
        </w:rPr>
        <w:t> </w:t>
      </w:r>
      <w:r>
        <w:rPr>
          <w:rFonts w:ascii="Arial"/>
          <w:color w:val="231F20"/>
          <w:w w:val="115"/>
          <w:sz w:val="19"/>
        </w:rPr>
        <w:t>found</w:t>
      </w:r>
      <w:r>
        <w:rPr>
          <w:rFonts w:ascii="Arial"/>
          <w:color w:val="231F20"/>
          <w:spacing w:val="-3"/>
          <w:w w:val="115"/>
          <w:sz w:val="19"/>
        </w:rPr>
        <w:t> </w:t>
      </w:r>
      <w:r>
        <w:rPr>
          <w:rFonts w:ascii="Arial"/>
          <w:color w:val="231F20"/>
          <w:w w:val="115"/>
          <w:sz w:val="19"/>
        </w:rPr>
        <w:t>negligent,</w:t>
      </w:r>
      <w:r>
        <w:rPr>
          <w:rFonts w:ascii="Arial"/>
          <w:color w:val="231F20"/>
          <w:spacing w:val="-3"/>
          <w:w w:val="115"/>
          <w:sz w:val="19"/>
        </w:rPr>
        <w:t> </w:t>
      </w:r>
      <w:r>
        <w:rPr>
          <w:rFonts w:ascii="Arial"/>
          <w:color w:val="231F20"/>
          <w:w w:val="115"/>
          <w:sz w:val="19"/>
        </w:rPr>
        <w:t>the</w:t>
      </w:r>
      <w:r>
        <w:rPr>
          <w:rFonts w:ascii="Arial"/>
          <w:color w:val="231F20"/>
          <w:spacing w:val="-3"/>
          <w:w w:val="115"/>
          <w:sz w:val="19"/>
        </w:rPr>
        <w:t> </w:t>
      </w:r>
      <w:r>
        <w:rPr>
          <w:rFonts w:ascii="Arial"/>
          <w:color w:val="231F20"/>
          <w:w w:val="115"/>
          <w:sz w:val="19"/>
        </w:rPr>
        <w:t>offender</w:t>
      </w:r>
      <w:r>
        <w:rPr>
          <w:rFonts w:ascii="Arial"/>
          <w:color w:val="231F20"/>
          <w:spacing w:val="-3"/>
          <w:w w:val="115"/>
          <w:sz w:val="19"/>
        </w:rPr>
        <w:t> </w:t>
      </w:r>
      <w:r>
        <w:rPr>
          <w:rFonts w:ascii="Arial"/>
          <w:color w:val="231F20"/>
          <w:w w:val="115"/>
          <w:sz w:val="19"/>
        </w:rPr>
        <w:t>must</w:t>
      </w:r>
      <w:r>
        <w:rPr>
          <w:rFonts w:ascii="Arial"/>
          <w:color w:val="231F20"/>
          <w:spacing w:val="-3"/>
          <w:w w:val="115"/>
          <w:sz w:val="19"/>
        </w:rPr>
        <w:t> </w:t>
      </w:r>
      <w:r>
        <w:rPr>
          <w:rFonts w:ascii="Arial"/>
          <w:color w:val="231F20"/>
          <w:w w:val="115"/>
          <w:sz w:val="19"/>
        </w:rPr>
        <w:t>have</w:t>
      </w:r>
      <w:r>
        <w:rPr>
          <w:rFonts w:ascii="Arial"/>
          <w:color w:val="231F20"/>
          <w:spacing w:val="-3"/>
          <w:w w:val="115"/>
          <w:sz w:val="19"/>
        </w:rPr>
        <w:t> </w:t>
      </w:r>
      <w:r>
        <w:rPr>
          <w:rFonts w:ascii="Arial"/>
          <w:color w:val="231F20"/>
          <w:w w:val="115"/>
          <w:sz w:val="19"/>
        </w:rPr>
        <w:t>breached a duty to the plaintiff or </w:t>
      </w:r>
      <w:r>
        <w:rPr>
          <w:rFonts w:ascii="Arial"/>
          <w:i/>
          <w:color w:val="231F20"/>
          <w:w w:val="115"/>
          <w:sz w:val="19"/>
        </w:rPr>
        <w:t>standard of care </w:t>
      </w:r>
      <w:r>
        <w:rPr>
          <w:rFonts w:ascii="Arial"/>
          <w:color w:val="231F20"/>
          <w:w w:val="115"/>
          <w:sz w:val="19"/>
        </w:rPr>
        <w:t>to act as a prudent person of ordinary skill. If a person is hired for</w:t>
      </w:r>
    </w:p>
    <w:p>
      <w:pPr>
        <w:spacing w:line="328" w:lineRule="auto" w:before="5"/>
        <w:ind w:left="1510" w:right="667" w:firstLine="0"/>
        <w:jc w:val="left"/>
        <w:rPr>
          <w:rFonts w:ascii="Arial"/>
          <w:i/>
          <w:sz w:val="19"/>
        </w:rPr>
      </w:pPr>
      <w:r>
        <w:rPr>
          <w:rFonts w:ascii="Arial"/>
          <w:color w:val="231F20"/>
          <w:w w:val="115"/>
          <w:sz w:val="19"/>
        </w:rPr>
        <w:t>a specialized skill, the standard would be that of the profession</w:t>
      </w:r>
      <w:r>
        <w:rPr>
          <w:rFonts w:ascii="Arial"/>
          <w:color w:val="231F20"/>
          <w:spacing w:val="-13"/>
          <w:w w:val="115"/>
          <w:sz w:val="19"/>
        </w:rPr>
        <w:t> </w:t>
      </w:r>
      <w:r>
        <w:rPr>
          <w:rFonts w:ascii="Arial"/>
          <w:color w:val="231F20"/>
          <w:w w:val="115"/>
          <w:sz w:val="19"/>
        </w:rPr>
        <w:t>or</w:t>
      </w:r>
      <w:r>
        <w:rPr>
          <w:rFonts w:ascii="Arial"/>
          <w:color w:val="231F20"/>
          <w:spacing w:val="-13"/>
          <w:w w:val="115"/>
          <w:sz w:val="19"/>
        </w:rPr>
        <w:t> </w:t>
      </w:r>
      <w:r>
        <w:rPr>
          <w:rFonts w:ascii="Arial"/>
          <w:color w:val="231F20"/>
          <w:w w:val="115"/>
          <w:sz w:val="19"/>
        </w:rPr>
        <w:t>trade.</w:t>
      </w:r>
      <w:r>
        <w:rPr>
          <w:rFonts w:ascii="Arial"/>
          <w:color w:val="231F20"/>
          <w:spacing w:val="-13"/>
          <w:w w:val="115"/>
          <w:sz w:val="19"/>
        </w:rPr>
        <w:t> </w:t>
      </w:r>
      <w:r>
        <w:rPr>
          <w:rFonts w:ascii="Arial"/>
          <w:color w:val="231F20"/>
          <w:w w:val="115"/>
          <w:sz w:val="19"/>
        </w:rPr>
        <w:t>In</w:t>
      </w:r>
      <w:r>
        <w:rPr>
          <w:rFonts w:ascii="Arial"/>
          <w:color w:val="231F20"/>
          <w:spacing w:val="-13"/>
          <w:w w:val="115"/>
          <w:sz w:val="19"/>
        </w:rPr>
        <w:t> </w:t>
      </w:r>
      <w:r>
        <w:rPr>
          <w:rFonts w:ascii="Arial"/>
          <w:color w:val="231F20"/>
          <w:w w:val="115"/>
          <w:sz w:val="19"/>
        </w:rPr>
        <w:t>addition,</w:t>
      </w:r>
      <w:r>
        <w:rPr>
          <w:rFonts w:ascii="Arial"/>
          <w:color w:val="231F20"/>
          <w:spacing w:val="-13"/>
          <w:w w:val="115"/>
          <w:sz w:val="19"/>
        </w:rPr>
        <w:t> </w:t>
      </w:r>
      <w:r>
        <w:rPr>
          <w:rFonts w:ascii="Arial"/>
          <w:color w:val="231F20"/>
          <w:w w:val="115"/>
          <w:sz w:val="19"/>
        </w:rPr>
        <w:t>the</w:t>
      </w:r>
      <w:r>
        <w:rPr>
          <w:rFonts w:ascii="Arial"/>
          <w:color w:val="231F20"/>
          <w:spacing w:val="-13"/>
          <w:w w:val="115"/>
          <w:sz w:val="19"/>
        </w:rPr>
        <w:t> </w:t>
      </w:r>
      <w:r>
        <w:rPr>
          <w:rFonts w:ascii="Arial"/>
          <w:color w:val="231F20"/>
          <w:w w:val="115"/>
          <w:sz w:val="19"/>
        </w:rPr>
        <w:t>accused</w:t>
      </w:r>
      <w:r>
        <w:rPr>
          <w:rFonts w:ascii="Arial"/>
          <w:color w:val="231F20"/>
          <w:spacing w:val="-13"/>
          <w:w w:val="115"/>
          <w:sz w:val="19"/>
        </w:rPr>
        <w:t> </w:t>
      </w:r>
      <w:r>
        <w:rPr>
          <w:rFonts w:ascii="Arial"/>
          <w:color w:val="231F20"/>
          <w:w w:val="115"/>
          <w:sz w:val="19"/>
        </w:rPr>
        <w:t>person</w:t>
      </w:r>
      <w:r>
        <w:rPr>
          <w:rFonts w:ascii="Arial"/>
          <w:color w:val="231F20"/>
          <w:spacing w:val="-13"/>
          <w:w w:val="115"/>
          <w:sz w:val="19"/>
        </w:rPr>
        <w:t> </w:t>
      </w:r>
      <w:r>
        <w:rPr>
          <w:rFonts w:ascii="Arial"/>
          <w:color w:val="231F20"/>
          <w:w w:val="115"/>
          <w:sz w:val="19"/>
        </w:rPr>
        <w:t>must have</w:t>
      </w:r>
      <w:r>
        <w:rPr>
          <w:rFonts w:ascii="Arial"/>
          <w:color w:val="231F20"/>
          <w:spacing w:val="-16"/>
          <w:w w:val="115"/>
          <w:sz w:val="19"/>
        </w:rPr>
        <w:t> </w:t>
      </w:r>
      <w:r>
        <w:rPr>
          <w:rFonts w:ascii="Arial"/>
          <w:color w:val="231F20"/>
          <w:w w:val="115"/>
          <w:sz w:val="19"/>
        </w:rPr>
        <w:t>caused</w:t>
      </w:r>
      <w:r>
        <w:rPr>
          <w:rFonts w:ascii="Arial"/>
          <w:color w:val="231F20"/>
          <w:spacing w:val="-15"/>
          <w:w w:val="115"/>
          <w:sz w:val="19"/>
        </w:rPr>
        <w:t> </w:t>
      </w:r>
      <w:r>
        <w:rPr>
          <w:rFonts w:ascii="Arial"/>
          <w:color w:val="231F20"/>
          <w:w w:val="115"/>
          <w:sz w:val="19"/>
        </w:rPr>
        <w:t>the</w:t>
      </w:r>
      <w:r>
        <w:rPr>
          <w:rFonts w:ascii="Arial"/>
          <w:color w:val="231F20"/>
          <w:spacing w:val="-15"/>
          <w:w w:val="115"/>
          <w:sz w:val="19"/>
        </w:rPr>
        <w:t> </w:t>
      </w:r>
      <w:r>
        <w:rPr>
          <w:rFonts w:ascii="Arial"/>
          <w:color w:val="231F20"/>
          <w:w w:val="115"/>
          <w:sz w:val="19"/>
        </w:rPr>
        <w:t>act</w:t>
      </w:r>
      <w:r>
        <w:rPr>
          <w:rFonts w:ascii="Arial"/>
          <w:color w:val="231F20"/>
          <w:spacing w:val="-15"/>
          <w:w w:val="115"/>
          <w:sz w:val="19"/>
        </w:rPr>
        <w:t> </w:t>
      </w:r>
      <w:r>
        <w:rPr>
          <w:rFonts w:ascii="Arial"/>
          <w:color w:val="231F20"/>
          <w:w w:val="115"/>
          <w:sz w:val="19"/>
        </w:rPr>
        <w:t>for</w:t>
      </w:r>
      <w:r>
        <w:rPr>
          <w:rFonts w:ascii="Arial"/>
          <w:color w:val="231F20"/>
          <w:spacing w:val="-15"/>
          <w:w w:val="115"/>
          <w:sz w:val="19"/>
        </w:rPr>
        <w:t> </w:t>
      </w:r>
      <w:r>
        <w:rPr>
          <w:rFonts w:ascii="Arial"/>
          <w:color w:val="231F20"/>
          <w:w w:val="115"/>
          <w:sz w:val="19"/>
        </w:rPr>
        <w:t>which</w:t>
      </w:r>
      <w:r>
        <w:rPr>
          <w:rFonts w:ascii="Arial"/>
          <w:color w:val="231F20"/>
          <w:spacing w:val="-16"/>
          <w:w w:val="115"/>
          <w:sz w:val="19"/>
        </w:rPr>
        <w:t> </w:t>
      </w:r>
      <w:r>
        <w:rPr>
          <w:rFonts w:ascii="Arial"/>
          <w:color w:val="231F20"/>
          <w:w w:val="115"/>
          <w:sz w:val="19"/>
        </w:rPr>
        <w:t>he</w:t>
      </w:r>
      <w:r>
        <w:rPr>
          <w:rFonts w:ascii="Arial"/>
          <w:color w:val="231F20"/>
          <w:spacing w:val="-15"/>
          <w:w w:val="115"/>
          <w:sz w:val="19"/>
        </w:rPr>
        <w:t> </w:t>
      </w:r>
      <w:r>
        <w:rPr>
          <w:rFonts w:ascii="Arial"/>
          <w:color w:val="231F20"/>
          <w:w w:val="115"/>
          <w:sz w:val="19"/>
        </w:rPr>
        <w:t>or</w:t>
      </w:r>
      <w:r>
        <w:rPr>
          <w:rFonts w:ascii="Arial"/>
          <w:color w:val="231F20"/>
          <w:spacing w:val="-15"/>
          <w:w w:val="115"/>
          <w:sz w:val="19"/>
        </w:rPr>
        <w:t> </w:t>
      </w:r>
      <w:r>
        <w:rPr>
          <w:rFonts w:ascii="Arial"/>
          <w:color w:val="231F20"/>
          <w:w w:val="115"/>
          <w:sz w:val="19"/>
        </w:rPr>
        <w:t>she</w:t>
      </w:r>
      <w:r>
        <w:rPr>
          <w:rFonts w:ascii="Arial"/>
          <w:color w:val="231F20"/>
          <w:spacing w:val="-15"/>
          <w:w w:val="115"/>
          <w:sz w:val="19"/>
        </w:rPr>
        <w:t> </w:t>
      </w:r>
      <w:r>
        <w:rPr>
          <w:rFonts w:ascii="Arial"/>
          <w:color w:val="231F20"/>
          <w:w w:val="115"/>
          <w:sz w:val="19"/>
        </w:rPr>
        <w:t>is</w:t>
      </w:r>
      <w:r>
        <w:rPr>
          <w:rFonts w:ascii="Arial"/>
          <w:color w:val="231F20"/>
          <w:spacing w:val="-15"/>
          <w:w w:val="115"/>
          <w:sz w:val="19"/>
        </w:rPr>
        <w:t> </w:t>
      </w:r>
      <w:r>
        <w:rPr>
          <w:rFonts w:ascii="Arial"/>
          <w:color w:val="231F20"/>
          <w:w w:val="115"/>
          <w:sz w:val="19"/>
        </w:rPr>
        <w:t>being</w:t>
      </w:r>
      <w:r>
        <w:rPr>
          <w:rFonts w:ascii="Arial"/>
          <w:color w:val="231F20"/>
          <w:spacing w:val="-15"/>
          <w:w w:val="115"/>
          <w:sz w:val="19"/>
        </w:rPr>
        <w:t> </w:t>
      </w:r>
      <w:r>
        <w:rPr>
          <w:rFonts w:ascii="Arial"/>
          <w:color w:val="231F20"/>
          <w:w w:val="115"/>
          <w:sz w:val="19"/>
        </w:rPr>
        <w:t>charged, either directly or proximately. In the case of employers, they may be held responsible for the acts of their employees acting within the scope of their duties. This liability of employers is called </w:t>
      </w:r>
      <w:r>
        <w:rPr>
          <w:rFonts w:ascii="Arial"/>
          <w:i/>
          <w:color w:val="231F20"/>
          <w:w w:val="115"/>
          <w:sz w:val="19"/>
        </w:rPr>
        <w:t>respondent superior.</w:t>
      </w:r>
    </w:p>
    <w:p>
      <w:pPr>
        <w:spacing w:line="328" w:lineRule="auto" w:before="4"/>
        <w:ind w:left="1510" w:right="1045" w:hanging="340"/>
        <w:jc w:val="left"/>
        <w:rPr>
          <w:rFonts w:ascii="Arial" w:hAnsi="Arial"/>
          <w:sz w:val="19"/>
        </w:rPr>
      </w:pPr>
      <w:r>
        <w:rPr>
          <w:rFonts w:ascii="Arial" w:hAnsi="Arial"/>
          <w:i/>
          <w:color w:val="231F20"/>
          <w:w w:val="115"/>
          <w:sz w:val="19"/>
        </w:rPr>
        <w:t>Burden</w:t>
      </w:r>
      <w:r>
        <w:rPr>
          <w:rFonts w:ascii="Arial" w:hAnsi="Arial"/>
          <w:i/>
          <w:color w:val="231F20"/>
          <w:spacing w:val="-16"/>
          <w:w w:val="115"/>
          <w:sz w:val="19"/>
        </w:rPr>
        <w:t> </w:t>
      </w:r>
      <w:r>
        <w:rPr>
          <w:rFonts w:ascii="Arial" w:hAnsi="Arial"/>
          <w:i/>
          <w:color w:val="231F20"/>
          <w:w w:val="115"/>
          <w:sz w:val="19"/>
        </w:rPr>
        <w:t>of</w:t>
      </w:r>
      <w:r>
        <w:rPr>
          <w:rFonts w:ascii="Arial" w:hAnsi="Arial"/>
          <w:i/>
          <w:color w:val="231F20"/>
          <w:spacing w:val="-15"/>
          <w:w w:val="115"/>
          <w:sz w:val="19"/>
        </w:rPr>
        <w:t> </w:t>
      </w:r>
      <w:r>
        <w:rPr>
          <w:rFonts w:ascii="Arial" w:hAnsi="Arial"/>
          <w:i/>
          <w:color w:val="231F20"/>
          <w:w w:val="115"/>
          <w:sz w:val="19"/>
        </w:rPr>
        <w:t>Proof</w:t>
      </w:r>
      <w:r>
        <w:rPr>
          <w:rFonts w:ascii="Arial" w:hAnsi="Arial"/>
          <w:i/>
          <w:color w:val="231F20"/>
          <w:spacing w:val="-42"/>
          <w:w w:val="115"/>
          <w:sz w:val="19"/>
        </w:rPr>
        <w:t> </w:t>
      </w:r>
      <w:r>
        <w:rPr>
          <w:rFonts w:ascii="Arial" w:hAnsi="Arial"/>
          <w:color w:val="231F20"/>
          <w:w w:val="115"/>
          <w:sz w:val="19"/>
        </w:rPr>
        <w:t>—</w:t>
      </w:r>
      <w:r>
        <w:rPr>
          <w:rFonts w:ascii="Arial" w:hAnsi="Arial"/>
          <w:color w:val="231F20"/>
          <w:spacing w:val="-42"/>
          <w:w w:val="115"/>
          <w:sz w:val="19"/>
        </w:rPr>
        <w:t> </w:t>
      </w:r>
      <w:r>
        <w:rPr>
          <w:rFonts w:ascii="Arial" w:hAnsi="Arial"/>
          <w:color w:val="231F20"/>
          <w:w w:val="115"/>
          <w:sz w:val="19"/>
        </w:rPr>
        <w:t>In</w:t>
      </w:r>
      <w:r>
        <w:rPr>
          <w:rFonts w:ascii="Arial" w:hAnsi="Arial"/>
          <w:color w:val="231F20"/>
          <w:spacing w:val="-15"/>
          <w:w w:val="115"/>
          <w:sz w:val="19"/>
        </w:rPr>
        <w:t> </w:t>
      </w:r>
      <w:r>
        <w:rPr>
          <w:rFonts w:ascii="Arial" w:hAnsi="Arial"/>
          <w:color w:val="231F20"/>
          <w:w w:val="115"/>
          <w:sz w:val="19"/>
        </w:rPr>
        <w:t>criminal</w:t>
      </w:r>
      <w:r>
        <w:rPr>
          <w:rFonts w:ascii="Arial" w:hAnsi="Arial"/>
          <w:color w:val="231F20"/>
          <w:spacing w:val="-15"/>
          <w:w w:val="115"/>
          <w:sz w:val="19"/>
        </w:rPr>
        <w:t> </w:t>
      </w:r>
      <w:r>
        <w:rPr>
          <w:rFonts w:ascii="Arial" w:hAnsi="Arial"/>
          <w:color w:val="231F20"/>
          <w:w w:val="115"/>
          <w:sz w:val="19"/>
        </w:rPr>
        <w:t>actions,</w:t>
      </w:r>
      <w:r>
        <w:rPr>
          <w:rFonts w:ascii="Arial" w:hAnsi="Arial"/>
          <w:color w:val="231F20"/>
          <w:spacing w:val="-15"/>
          <w:w w:val="115"/>
          <w:sz w:val="19"/>
        </w:rPr>
        <w:t> </w:t>
      </w:r>
      <w:r>
        <w:rPr>
          <w:rFonts w:ascii="Arial" w:hAnsi="Arial"/>
          <w:color w:val="231F20"/>
          <w:w w:val="115"/>
          <w:sz w:val="19"/>
        </w:rPr>
        <w:t>guilt</w:t>
      </w:r>
      <w:r>
        <w:rPr>
          <w:rFonts w:ascii="Arial" w:hAnsi="Arial"/>
          <w:color w:val="231F20"/>
          <w:spacing w:val="-15"/>
          <w:w w:val="115"/>
          <w:sz w:val="19"/>
        </w:rPr>
        <w:t> </w:t>
      </w:r>
      <w:r>
        <w:rPr>
          <w:rFonts w:ascii="Arial" w:hAnsi="Arial"/>
          <w:color w:val="231F20"/>
          <w:w w:val="115"/>
          <w:sz w:val="19"/>
        </w:rPr>
        <w:t>must</w:t>
      </w:r>
      <w:r>
        <w:rPr>
          <w:rFonts w:ascii="Arial" w:hAnsi="Arial"/>
          <w:color w:val="231F20"/>
          <w:spacing w:val="-16"/>
          <w:w w:val="115"/>
          <w:sz w:val="19"/>
        </w:rPr>
        <w:t> </w:t>
      </w:r>
      <w:r>
        <w:rPr>
          <w:rFonts w:ascii="Arial" w:hAnsi="Arial"/>
          <w:color w:val="231F20"/>
          <w:w w:val="115"/>
          <w:sz w:val="19"/>
        </w:rPr>
        <w:t>be</w:t>
      </w:r>
      <w:r>
        <w:rPr>
          <w:rFonts w:ascii="Arial" w:hAnsi="Arial"/>
          <w:color w:val="231F20"/>
          <w:spacing w:val="-15"/>
          <w:w w:val="115"/>
          <w:sz w:val="19"/>
        </w:rPr>
        <w:t> </w:t>
      </w:r>
      <w:r>
        <w:rPr>
          <w:rFonts w:ascii="Arial" w:hAnsi="Arial"/>
          <w:color w:val="231F20"/>
          <w:w w:val="115"/>
          <w:sz w:val="19"/>
        </w:rPr>
        <w:t>found “beyond</w:t>
      </w:r>
      <w:r>
        <w:rPr>
          <w:rFonts w:ascii="Arial" w:hAnsi="Arial"/>
          <w:color w:val="231F20"/>
          <w:spacing w:val="-5"/>
          <w:w w:val="115"/>
          <w:sz w:val="19"/>
        </w:rPr>
        <w:t> </w:t>
      </w:r>
      <w:r>
        <w:rPr>
          <w:rFonts w:ascii="Arial" w:hAnsi="Arial"/>
          <w:color w:val="231F20"/>
          <w:w w:val="115"/>
          <w:sz w:val="19"/>
        </w:rPr>
        <w:t>a</w:t>
      </w:r>
      <w:r>
        <w:rPr>
          <w:rFonts w:ascii="Arial" w:hAnsi="Arial"/>
          <w:color w:val="231F20"/>
          <w:spacing w:val="-5"/>
          <w:w w:val="115"/>
          <w:sz w:val="19"/>
        </w:rPr>
        <w:t> </w:t>
      </w:r>
      <w:r>
        <w:rPr>
          <w:rFonts w:ascii="Arial" w:hAnsi="Arial"/>
          <w:color w:val="231F20"/>
          <w:w w:val="115"/>
          <w:sz w:val="19"/>
        </w:rPr>
        <w:t>reasonable</w:t>
      </w:r>
      <w:r>
        <w:rPr>
          <w:rFonts w:ascii="Arial" w:hAnsi="Arial"/>
          <w:color w:val="231F20"/>
          <w:spacing w:val="-5"/>
          <w:w w:val="115"/>
          <w:sz w:val="19"/>
        </w:rPr>
        <w:t> </w:t>
      </w:r>
      <w:r>
        <w:rPr>
          <w:rFonts w:ascii="Arial" w:hAnsi="Arial"/>
          <w:color w:val="231F20"/>
          <w:w w:val="115"/>
          <w:sz w:val="19"/>
        </w:rPr>
        <w:t>doubt.”</w:t>
      </w:r>
      <w:r>
        <w:rPr>
          <w:rFonts w:ascii="Arial" w:hAnsi="Arial"/>
          <w:color w:val="231F20"/>
          <w:spacing w:val="-5"/>
          <w:w w:val="115"/>
          <w:sz w:val="19"/>
        </w:rPr>
        <w:t> </w:t>
      </w:r>
      <w:r>
        <w:rPr>
          <w:rFonts w:ascii="Arial" w:hAnsi="Arial"/>
          <w:color w:val="231F20"/>
          <w:w w:val="115"/>
          <w:sz w:val="19"/>
        </w:rPr>
        <w:t>In</w:t>
      </w:r>
      <w:r>
        <w:rPr>
          <w:rFonts w:ascii="Arial" w:hAnsi="Arial"/>
          <w:color w:val="231F20"/>
          <w:spacing w:val="-5"/>
          <w:w w:val="115"/>
          <w:sz w:val="19"/>
        </w:rPr>
        <w:t> </w:t>
      </w:r>
      <w:r>
        <w:rPr>
          <w:rFonts w:ascii="Arial" w:hAnsi="Arial"/>
          <w:color w:val="231F20"/>
          <w:w w:val="115"/>
          <w:sz w:val="19"/>
        </w:rPr>
        <w:t>civil</w:t>
      </w:r>
      <w:r>
        <w:rPr>
          <w:rFonts w:ascii="Arial" w:hAnsi="Arial"/>
          <w:color w:val="231F20"/>
          <w:spacing w:val="-5"/>
          <w:w w:val="115"/>
          <w:sz w:val="19"/>
        </w:rPr>
        <w:t> </w:t>
      </w:r>
      <w:r>
        <w:rPr>
          <w:rFonts w:ascii="Arial" w:hAnsi="Arial"/>
          <w:color w:val="231F20"/>
          <w:w w:val="115"/>
          <w:sz w:val="19"/>
        </w:rPr>
        <w:t>verdicts,</w:t>
      </w:r>
      <w:r>
        <w:rPr>
          <w:rFonts w:ascii="Arial" w:hAnsi="Arial"/>
          <w:color w:val="231F20"/>
          <w:spacing w:val="-5"/>
          <w:w w:val="115"/>
          <w:sz w:val="19"/>
        </w:rPr>
        <w:t> </w:t>
      </w:r>
      <w:r>
        <w:rPr>
          <w:rFonts w:ascii="Arial" w:hAnsi="Arial"/>
          <w:color w:val="231F20"/>
          <w:w w:val="115"/>
          <w:sz w:val="19"/>
        </w:rPr>
        <w:t>guilt</w:t>
      </w:r>
      <w:r>
        <w:rPr>
          <w:rFonts w:ascii="Arial" w:hAnsi="Arial"/>
          <w:color w:val="231F20"/>
          <w:spacing w:val="-5"/>
          <w:w w:val="115"/>
          <w:sz w:val="19"/>
        </w:rPr>
        <w:t> </w:t>
      </w:r>
      <w:r>
        <w:rPr>
          <w:rFonts w:ascii="Arial" w:hAnsi="Arial"/>
          <w:color w:val="231F20"/>
          <w:w w:val="115"/>
          <w:sz w:val="19"/>
        </w:rPr>
        <w:t>is based on a “preponderance of the evidence.”</w:t>
      </w:r>
    </w:p>
    <w:p>
      <w:pPr>
        <w:spacing w:after="0" w:line="328" w:lineRule="auto"/>
        <w:jc w:val="left"/>
        <w:rPr>
          <w:rFonts w:ascii="Arial" w:hAnsi="Arial"/>
          <w:sz w:val="19"/>
        </w:rPr>
        <w:sectPr>
          <w:pgSz w:w="8640" w:h="12960"/>
          <w:pgMar w:header="732" w:footer="0" w:top="920" w:bottom="280" w:left="340" w:right="500"/>
        </w:sectPr>
      </w:pPr>
    </w:p>
    <w:p>
      <w:pPr>
        <w:pStyle w:val="BodyText"/>
        <w:rPr>
          <w:rFonts w:ascii="Arial"/>
          <w:sz w:val="18"/>
        </w:rPr>
      </w:pPr>
    </w:p>
    <w:p>
      <w:pPr>
        <w:pStyle w:val="BodyText"/>
        <w:spacing w:line="292" w:lineRule="auto" w:before="102"/>
        <w:ind w:left="920" w:right="666" w:firstLine="340"/>
        <w:jc w:val="both"/>
      </w:pPr>
      <w:r>
        <w:rPr>
          <w:color w:val="231F20"/>
        </w:rPr>
        <w:t>Often cases have both a criminal and a civil component. For </w:t>
      </w:r>
      <w:r>
        <w:rPr>
          <w:color w:val="231F20"/>
        </w:rPr>
        <w:t>in- stance,</w:t>
      </w:r>
      <w:r>
        <w:rPr>
          <w:color w:val="231F20"/>
          <w:spacing w:val="-2"/>
        </w:rPr>
        <w:t> </w:t>
      </w:r>
      <w:r>
        <w:rPr>
          <w:color w:val="231F20"/>
        </w:rPr>
        <w:t>in</w:t>
      </w:r>
      <w:r>
        <w:rPr>
          <w:color w:val="231F20"/>
          <w:spacing w:val="-2"/>
        </w:rPr>
        <w:t> </w:t>
      </w:r>
      <w:r>
        <w:rPr>
          <w:color w:val="231F20"/>
        </w:rPr>
        <w:t>a</w:t>
      </w:r>
      <w:r>
        <w:rPr>
          <w:color w:val="231F20"/>
          <w:spacing w:val="-2"/>
        </w:rPr>
        <w:t> </w:t>
      </w:r>
      <w:r>
        <w:rPr>
          <w:color w:val="231F20"/>
        </w:rPr>
        <w:t>criminal</w:t>
      </w:r>
      <w:r>
        <w:rPr>
          <w:color w:val="231F20"/>
          <w:spacing w:val="-2"/>
        </w:rPr>
        <w:t> </w:t>
      </w:r>
      <w:r>
        <w:rPr>
          <w:color w:val="231F20"/>
        </w:rPr>
        <w:t>embezzlement</w:t>
      </w:r>
      <w:r>
        <w:rPr>
          <w:color w:val="231F20"/>
          <w:spacing w:val="-2"/>
        </w:rPr>
        <w:t> </w:t>
      </w:r>
      <w:r>
        <w:rPr>
          <w:color w:val="231F20"/>
        </w:rPr>
        <w:t>case,</w:t>
      </w:r>
      <w:r>
        <w:rPr>
          <w:color w:val="231F20"/>
          <w:spacing w:val="-2"/>
        </w:rPr>
        <w:t> </w:t>
      </w:r>
      <w:r>
        <w:rPr>
          <w:color w:val="231F20"/>
        </w:rPr>
        <w:t>the</w:t>
      </w:r>
      <w:r>
        <w:rPr>
          <w:color w:val="231F20"/>
          <w:spacing w:val="-2"/>
        </w:rPr>
        <w:t> </w:t>
      </w:r>
      <w:r>
        <w:rPr>
          <w:color w:val="231F20"/>
        </w:rPr>
        <w:t>defendant</w:t>
      </w:r>
      <w:r>
        <w:rPr>
          <w:color w:val="231F20"/>
          <w:spacing w:val="-2"/>
        </w:rPr>
        <w:t> </w:t>
      </w:r>
      <w:r>
        <w:rPr>
          <w:color w:val="231F20"/>
        </w:rPr>
        <w:t>can</w:t>
      </w:r>
      <w:r>
        <w:rPr>
          <w:color w:val="231F20"/>
          <w:spacing w:val="-2"/>
        </w:rPr>
        <w:t> </w:t>
      </w:r>
      <w:r>
        <w:rPr>
          <w:color w:val="231F20"/>
        </w:rPr>
        <w:t>be</w:t>
      </w:r>
      <w:r>
        <w:rPr>
          <w:color w:val="231F20"/>
          <w:spacing w:val="-2"/>
        </w:rPr>
        <w:t> </w:t>
      </w:r>
      <w:r>
        <w:rPr>
          <w:color w:val="231F20"/>
        </w:rPr>
        <w:t>sent</w:t>
      </w:r>
      <w:r>
        <w:rPr>
          <w:color w:val="231F20"/>
          <w:spacing w:val="-2"/>
        </w:rPr>
        <w:t> </w:t>
      </w:r>
      <w:r>
        <w:rPr>
          <w:color w:val="231F20"/>
        </w:rPr>
        <w:t>to jail for stealing. In a civil proceeding, the plaintiff can try to recover the money and be awarded monetary damages by the court. De- fenses to tort actions include the truth (refuting the allegation), con- sent (“done with my consent”), and insanity.</w:t>
      </w:r>
    </w:p>
    <w:p>
      <w:pPr>
        <w:pStyle w:val="BodyText"/>
        <w:rPr>
          <w:sz w:val="24"/>
        </w:rPr>
      </w:pPr>
    </w:p>
    <w:p>
      <w:pPr>
        <w:pStyle w:val="BodyText"/>
        <w:rPr>
          <w:sz w:val="27"/>
        </w:rPr>
      </w:pPr>
    </w:p>
    <w:p>
      <w:pPr>
        <w:pStyle w:val="Heading6"/>
        <w:ind w:left="468"/>
        <w:rPr>
          <w:i/>
        </w:rPr>
      </w:pPr>
      <w:r>
        <w:rPr>
          <w:i/>
          <w:color w:val="231F20"/>
          <w:w w:val="110"/>
        </w:rPr>
        <w:t>CONTRACTS</w:t>
      </w:r>
      <w:r>
        <w:rPr>
          <w:i/>
          <w:color w:val="231F20"/>
          <w:spacing w:val="73"/>
          <w:w w:val="110"/>
        </w:rPr>
        <w:t> </w:t>
      </w:r>
      <w:r>
        <w:rPr>
          <w:i/>
          <w:color w:val="231F20"/>
          <w:w w:val="110"/>
        </w:rPr>
        <w:t>AND</w:t>
      </w:r>
      <w:r>
        <w:rPr>
          <w:i/>
          <w:color w:val="231F20"/>
          <w:spacing w:val="74"/>
          <w:w w:val="110"/>
        </w:rPr>
        <w:t> </w:t>
      </w:r>
      <w:r>
        <w:rPr>
          <w:i/>
          <w:color w:val="231F20"/>
          <w:w w:val="110"/>
        </w:rPr>
        <w:t>PROPERTY</w:t>
      </w:r>
      <w:r>
        <w:rPr>
          <w:i/>
          <w:color w:val="231F20"/>
          <w:spacing w:val="74"/>
          <w:w w:val="110"/>
        </w:rPr>
        <w:t> </w:t>
      </w:r>
      <w:r>
        <w:rPr>
          <w:i/>
          <w:color w:val="231F20"/>
          <w:spacing w:val="-5"/>
          <w:w w:val="110"/>
        </w:rPr>
        <w:t>LAW</w:t>
      </w:r>
    </w:p>
    <w:p>
      <w:pPr>
        <w:pStyle w:val="BodyText"/>
        <w:spacing w:before="2"/>
        <w:rPr>
          <w:b/>
          <w:i/>
          <w:sz w:val="30"/>
        </w:rPr>
      </w:pPr>
    </w:p>
    <w:p>
      <w:pPr>
        <w:pStyle w:val="BodyText"/>
        <w:spacing w:line="292" w:lineRule="auto"/>
        <w:ind w:left="920" w:right="666"/>
        <w:jc w:val="both"/>
        <w:rPr>
          <w:i/>
        </w:rPr>
      </w:pPr>
      <w:r>
        <w:rPr>
          <w:color w:val="231F20"/>
        </w:rPr>
        <w:t>In most business relationships people enter into contracts with </w:t>
      </w:r>
      <w:r>
        <w:rPr>
          <w:color w:val="231F20"/>
        </w:rPr>
        <w:t>one another for a benefit. Although the word </w:t>
      </w:r>
      <w:r>
        <w:rPr>
          <w:i/>
          <w:color w:val="231F20"/>
        </w:rPr>
        <w:t>contract </w:t>
      </w:r>
      <w:r>
        <w:rPr>
          <w:color w:val="231F20"/>
        </w:rPr>
        <w:t>is frequently used in conversation, a contract has a specific legal definition. In legal notes a contract is written as a </w:t>
      </w:r>
      <w:r>
        <w:rPr>
          <w:i/>
          <w:color w:val="231F20"/>
        </w:rPr>
        <w:t>K.</w:t>
      </w:r>
    </w:p>
    <w:p>
      <w:pPr>
        <w:pStyle w:val="BodyText"/>
        <w:spacing w:before="3"/>
        <w:rPr>
          <w:i/>
          <w:sz w:val="27"/>
        </w:rPr>
      </w:pPr>
    </w:p>
    <w:p>
      <w:pPr>
        <w:spacing w:line="328" w:lineRule="auto" w:before="0"/>
        <w:ind w:left="1600" w:right="667" w:hanging="340"/>
        <w:jc w:val="left"/>
        <w:rPr>
          <w:rFonts w:ascii="Arial" w:hAnsi="Arial"/>
          <w:sz w:val="19"/>
        </w:rPr>
      </w:pPr>
      <w:r>
        <w:rPr>
          <w:rFonts w:ascii="Arial" w:hAnsi="Arial"/>
          <w:i/>
          <w:color w:val="231F20"/>
          <w:w w:val="115"/>
          <w:sz w:val="19"/>
        </w:rPr>
        <w:t>Contracts</w:t>
      </w:r>
      <w:r>
        <w:rPr>
          <w:rFonts w:ascii="Arial" w:hAnsi="Arial"/>
          <w:i/>
          <w:color w:val="231F20"/>
          <w:spacing w:val="-42"/>
          <w:w w:val="115"/>
          <w:sz w:val="19"/>
        </w:rPr>
        <w:t> </w:t>
      </w:r>
      <w:r>
        <w:rPr>
          <w:rFonts w:ascii="Arial" w:hAnsi="Arial"/>
          <w:color w:val="231F20"/>
          <w:spacing w:val="11"/>
          <w:w w:val="115"/>
          <w:sz w:val="19"/>
        </w:rPr>
        <w:t>—</w:t>
      </w:r>
      <w:r>
        <w:rPr>
          <w:rFonts w:ascii="Arial" w:hAnsi="Arial"/>
          <w:color w:val="231F20"/>
          <w:w w:val="115"/>
          <w:sz w:val="19"/>
        </w:rPr>
        <w:t>A</w:t>
      </w:r>
      <w:r>
        <w:rPr>
          <w:rFonts w:ascii="Arial" w:hAnsi="Arial"/>
          <w:color w:val="231F20"/>
          <w:spacing w:val="-15"/>
          <w:w w:val="115"/>
          <w:sz w:val="19"/>
        </w:rPr>
        <w:t> </w:t>
      </w:r>
      <w:r>
        <w:rPr>
          <w:rFonts w:ascii="Arial" w:hAnsi="Arial"/>
          <w:i/>
          <w:color w:val="231F20"/>
          <w:w w:val="115"/>
          <w:sz w:val="19"/>
        </w:rPr>
        <w:t>contract</w:t>
      </w:r>
      <w:r>
        <w:rPr>
          <w:rFonts w:ascii="Arial" w:hAnsi="Arial"/>
          <w:i/>
          <w:color w:val="231F20"/>
          <w:spacing w:val="-12"/>
          <w:w w:val="115"/>
          <w:sz w:val="19"/>
        </w:rPr>
        <w:t> </w:t>
      </w:r>
      <w:r>
        <w:rPr>
          <w:rFonts w:ascii="Arial" w:hAnsi="Arial"/>
          <w:color w:val="231F20"/>
          <w:w w:val="115"/>
          <w:sz w:val="19"/>
        </w:rPr>
        <w:t>is</w:t>
      </w:r>
      <w:r>
        <w:rPr>
          <w:rFonts w:ascii="Arial" w:hAnsi="Arial"/>
          <w:color w:val="231F20"/>
          <w:spacing w:val="-12"/>
          <w:w w:val="115"/>
          <w:sz w:val="19"/>
        </w:rPr>
        <w:t> </w:t>
      </w:r>
      <w:r>
        <w:rPr>
          <w:rFonts w:ascii="Arial" w:hAnsi="Arial"/>
          <w:color w:val="231F20"/>
          <w:w w:val="115"/>
          <w:sz w:val="19"/>
        </w:rPr>
        <w:t>a</w:t>
      </w:r>
      <w:r>
        <w:rPr>
          <w:rFonts w:ascii="Arial" w:hAnsi="Arial"/>
          <w:color w:val="231F20"/>
          <w:spacing w:val="-12"/>
          <w:w w:val="115"/>
          <w:sz w:val="19"/>
        </w:rPr>
        <w:t> </w:t>
      </w:r>
      <w:r>
        <w:rPr>
          <w:rFonts w:ascii="Arial" w:hAnsi="Arial"/>
          <w:color w:val="231F20"/>
          <w:w w:val="115"/>
          <w:sz w:val="19"/>
        </w:rPr>
        <w:t>legally</w:t>
      </w:r>
      <w:r>
        <w:rPr>
          <w:rFonts w:ascii="Arial" w:hAnsi="Arial"/>
          <w:color w:val="231F20"/>
          <w:spacing w:val="-12"/>
          <w:w w:val="115"/>
          <w:sz w:val="19"/>
        </w:rPr>
        <w:t> </w:t>
      </w:r>
      <w:r>
        <w:rPr>
          <w:rFonts w:ascii="Arial" w:hAnsi="Arial"/>
          <w:color w:val="231F20"/>
          <w:w w:val="115"/>
          <w:sz w:val="19"/>
        </w:rPr>
        <w:t>enforceable</w:t>
      </w:r>
      <w:r>
        <w:rPr>
          <w:rFonts w:ascii="Arial" w:hAnsi="Arial"/>
          <w:color w:val="231F20"/>
          <w:spacing w:val="-12"/>
          <w:w w:val="115"/>
          <w:sz w:val="19"/>
        </w:rPr>
        <w:t> </w:t>
      </w:r>
      <w:r>
        <w:rPr>
          <w:rFonts w:ascii="Arial" w:hAnsi="Arial"/>
          <w:color w:val="231F20"/>
          <w:w w:val="115"/>
          <w:sz w:val="19"/>
        </w:rPr>
        <w:t>agreement, either</w:t>
      </w:r>
      <w:r>
        <w:rPr>
          <w:rFonts w:ascii="Arial" w:hAnsi="Arial"/>
          <w:color w:val="231F20"/>
          <w:spacing w:val="-15"/>
          <w:w w:val="115"/>
          <w:sz w:val="19"/>
        </w:rPr>
        <w:t> </w:t>
      </w:r>
      <w:r>
        <w:rPr>
          <w:rFonts w:ascii="Arial" w:hAnsi="Arial"/>
          <w:color w:val="231F20"/>
          <w:w w:val="115"/>
          <w:sz w:val="19"/>
        </w:rPr>
        <w:t>express</w:t>
      </w:r>
      <w:r>
        <w:rPr>
          <w:rFonts w:ascii="Arial" w:hAnsi="Arial"/>
          <w:color w:val="231F20"/>
          <w:spacing w:val="-15"/>
          <w:w w:val="115"/>
          <w:sz w:val="19"/>
        </w:rPr>
        <w:t> </w:t>
      </w:r>
      <w:r>
        <w:rPr>
          <w:rFonts w:ascii="Arial" w:hAnsi="Arial"/>
          <w:color w:val="231F20"/>
          <w:w w:val="115"/>
          <w:sz w:val="19"/>
        </w:rPr>
        <w:t>or</w:t>
      </w:r>
      <w:r>
        <w:rPr>
          <w:rFonts w:ascii="Arial" w:hAnsi="Arial"/>
          <w:color w:val="231F20"/>
          <w:spacing w:val="-15"/>
          <w:w w:val="115"/>
          <w:sz w:val="19"/>
        </w:rPr>
        <w:t> </w:t>
      </w:r>
      <w:r>
        <w:rPr>
          <w:rFonts w:ascii="Arial" w:hAnsi="Arial"/>
          <w:color w:val="231F20"/>
          <w:w w:val="115"/>
          <w:sz w:val="19"/>
        </w:rPr>
        <w:t>implied,</w:t>
      </w:r>
      <w:r>
        <w:rPr>
          <w:rFonts w:ascii="Arial" w:hAnsi="Arial"/>
          <w:color w:val="231F20"/>
          <w:spacing w:val="-15"/>
          <w:w w:val="115"/>
          <w:sz w:val="19"/>
        </w:rPr>
        <w:t> </w:t>
      </w:r>
      <w:r>
        <w:rPr>
          <w:rFonts w:ascii="Arial" w:hAnsi="Arial"/>
          <w:color w:val="231F20"/>
          <w:w w:val="115"/>
          <w:sz w:val="19"/>
        </w:rPr>
        <w:t>between</w:t>
      </w:r>
      <w:r>
        <w:rPr>
          <w:rFonts w:ascii="Arial" w:hAnsi="Arial"/>
          <w:color w:val="231F20"/>
          <w:spacing w:val="-15"/>
          <w:w w:val="115"/>
          <w:sz w:val="19"/>
        </w:rPr>
        <w:t> </w:t>
      </w:r>
      <w:r>
        <w:rPr>
          <w:rFonts w:ascii="Arial" w:hAnsi="Arial"/>
          <w:color w:val="231F20"/>
          <w:w w:val="115"/>
          <w:sz w:val="19"/>
        </w:rPr>
        <w:t>two</w:t>
      </w:r>
      <w:r>
        <w:rPr>
          <w:rFonts w:ascii="Arial" w:hAnsi="Arial"/>
          <w:color w:val="231F20"/>
          <w:spacing w:val="-15"/>
          <w:w w:val="115"/>
          <w:sz w:val="19"/>
        </w:rPr>
        <w:t> </w:t>
      </w:r>
      <w:r>
        <w:rPr>
          <w:rFonts w:ascii="Arial" w:hAnsi="Arial"/>
          <w:color w:val="231F20"/>
          <w:w w:val="115"/>
          <w:sz w:val="19"/>
        </w:rPr>
        <w:t>or</w:t>
      </w:r>
      <w:r>
        <w:rPr>
          <w:rFonts w:ascii="Arial" w:hAnsi="Arial"/>
          <w:color w:val="231F20"/>
          <w:spacing w:val="-15"/>
          <w:w w:val="115"/>
          <w:sz w:val="19"/>
        </w:rPr>
        <w:t> </w:t>
      </w:r>
      <w:r>
        <w:rPr>
          <w:rFonts w:ascii="Arial" w:hAnsi="Arial"/>
          <w:color w:val="231F20"/>
          <w:w w:val="115"/>
          <w:sz w:val="19"/>
        </w:rPr>
        <w:t>more</w:t>
      </w:r>
      <w:r>
        <w:rPr>
          <w:rFonts w:ascii="Arial" w:hAnsi="Arial"/>
          <w:color w:val="231F20"/>
          <w:spacing w:val="-15"/>
          <w:w w:val="115"/>
          <w:sz w:val="19"/>
        </w:rPr>
        <w:t> </w:t>
      </w:r>
      <w:r>
        <w:rPr>
          <w:rFonts w:ascii="Arial" w:hAnsi="Arial"/>
          <w:color w:val="231F20"/>
          <w:w w:val="115"/>
          <w:sz w:val="19"/>
        </w:rPr>
        <w:t>parties. Four</w:t>
      </w:r>
      <w:r>
        <w:rPr>
          <w:rFonts w:ascii="Arial" w:hAnsi="Arial"/>
          <w:color w:val="231F20"/>
          <w:spacing w:val="-2"/>
          <w:w w:val="115"/>
          <w:sz w:val="19"/>
        </w:rPr>
        <w:t> </w:t>
      </w:r>
      <w:r>
        <w:rPr>
          <w:rFonts w:ascii="Arial" w:hAnsi="Arial"/>
          <w:color w:val="231F20"/>
          <w:w w:val="115"/>
          <w:sz w:val="19"/>
        </w:rPr>
        <w:t>conditions</w:t>
      </w:r>
      <w:r>
        <w:rPr>
          <w:rFonts w:ascii="Arial" w:hAnsi="Arial"/>
          <w:color w:val="231F20"/>
          <w:spacing w:val="-1"/>
          <w:w w:val="115"/>
          <w:sz w:val="19"/>
        </w:rPr>
        <w:t> </w:t>
      </w:r>
      <w:r>
        <w:rPr>
          <w:rFonts w:ascii="Arial" w:hAnsi="Arial"/>
          <w:color w:val="231F20"/>
          <w:w w:val="115"/>
          <w:sz w:val="19"/>
        </w:rPr>
        <w:t>must</w:t>
      </w:r>
      <w:r>
        <w:rPr>
          <w:rFonts w:ascii="Arial" w:hAnsi="Arial"/>
          <w:color w:val="231F20"/>
          <w:spacing w:val="-1"/>
          <w:w w:val="115"/>
          <w:sz w:val="19"/>
        </w:rPr>
        <w:t> </w:t>
      </w:r>
      <w:r>
        <w:rPr>
          <w:rFonts w:ascii="Arial" w:hAnsi="Arial"/>
          <w:color w:val="231F20"/>
          <w:w w:val="115"/>
          <w:sz w:val="19"/>
        </w:rPr>
        <w:t>be</w:t>
      </w:r>
      <w:r>
        <w:rPr>
          <w:rFonts w:ascii="Arial" w:hAnsi="Arial"/>
          <w:color w:val="231F20"/>
          <w:spacing w:val="-1"/>
          <w:w w:val="115"/>
          <w:sz w:val="19"/>
        </w:rPr>
        <w:t> </w:t>
      </w:r>
      <w:r>
        <w:rPr>
          <w:rFonts w:ascii="Arial" w:hAnsi="Arial"/>
          <w:color w:val="231F20"/>
          <w:w w:val="115"/>
          <w:sz w:val="19"/>
        </w:rPr>
        <w:t>met</w:t>
      </w:r>
      <w:r>
        <w:rPr>
          <w:rFonts w:ascii="Arial" w:hAnsi="Arial"/>
          <w:color w:val="231F20"/>
          <w:spacing w:val="-1"/>
          <w:w w:val="115"/>
          <w:sz w:val="19"/>
        </w:rPr>
        <w:t> </w:t>
      </w:r>
      <w:r>
        <w:rPr>
          <w:rFonts w:ascii="Arial" w:hAnsi="Arial"/>
          <w:color w:val="231F20"/>
          <w:w w:val="115"/>
          <w:sz w:val="19"/>
        </w:rPr>
        <w:t>for</w:t>
      </w:r>
      <w:r>
        <w:rPr>
          <w:rFonts w:ascii="Arial" w:hAnsi="Arial"/>
          <w:color w:val="231F20"/>
          <w:spacing w:val="-1"/>
          <w:w w:val="115"/>
          <w:sz w:val="19"/>
        </w:rPr>
        <w:t> </w:t>
      </w:r>
      <w:r>
        <w:rPr>
          <w:rFonts w:ascii="Arial" w:hAnsi="Arial"/>
          <w:color w:val="231F20"/>
          <w:w w:val="115"/>
          <w:sz w:val="19"/>
        </w:rPr>
        <w:t>a</w:t>
      </w:r>
      <w:r>
        <w:rPr>
          <w:rFonts w:ascii="Arial" w:hAnsi="Arial"/>
          <w:color w:val="231F20"/>
          <w:spacing w:val="-2"/>
          <w:w w:val="115"/>
          <w:sz w:val="19"/>
        </w:rPr>
        <w:t> </w:t>
      </w:r>
      <w:r>
        <w:rPr>
          <w:rFonts w:ascii="Arial" w:hAnsi="Arial"/>
          <w:color w:val="231F20"/>
          <w:w w:val="115"/>
          <w:sz w:val="19"/>
        </w:rPr>
        <w:t>contract</w:t>
      </w:r>
      <w:r>
        <w:rPr>
          <w:rFonts w:ascii="Arial" w:hAnsi="Arial"/>
          <w:color w:val="231F20"/>
          <w:spacing w:val="-1"/>
          <w:w w:val="115"/>
          <w:sz w:val="19"/>
        </w:rPr>
        <w:t> </w:t>
      </w:r>
      <w:r>
        <w:rPr>
          <w:rFonts w:ascii="Arial" w:hAnsi="Arial"/>
          <w:color w:val="231F20"/>
          <w:w w:val="115"/>
          <w:sz w:val="19"/>
        </w:rPr>
        <w:t>to</w:t>
      </w:r>
      <w:r>
        <w:rPr>
          <w:rFonts w:ascii="Arial" w:hAnsi="Arial"/>
          <w:color w:val="231F20"/>
          <w:spacing w:val="-1"/>
          <w:w w:val="115"/>
          <w:sz w:val="19"/>
        </w:rPr>
        <w:t> </w:t>
      </w:r>
      <w:r>
        <w:rPr>
          <w:rFonts w:ascii="Arial" w:hAnsi="Arial"/>
          <w:color w:val="231F20"/>
          <w:w w:val="115"/>
          <w:sz w:val="19"/>
        </w:rPr>
        <w:t>be</w:t>
      </w:r>
      <w:r>
        <w:rPr>
          <w:rFonts w:ascii="Arial" w:hAnsi="Arial"/>
          <w:color w:val="231F20"/>
          <w:spacing w:val="-1"/>
          <w:w w:val="115"/>
          <w:sz w:val="19"/>
        </w:rPr>
        <w:t> </w:t>
      </w:r>
      <w:r>
        <w:rPr>
          <w:rFonts w:ascii="Arial" w:hAnsi="Arial"/>
          <w:color w:val="231F20"/>
          <w:spacing w:val="-2"/>
          <w:w w:val="115"/>
          <w:sz w:val="19"/>
        </w:rPr>
        <w:t>valid:</w:t>
      </w:r>
    </w:p>
    <w:p>
      <w:pPr>
        <w:pStyle w:val="BodyText"/>
        <w:spacing w:before="3"/>
        <w:rPr>
          <w:rFonts w:ascii="Arial"/>
          <w:sz w:val="26"/>
        </w:rPr>
      </w:pPr>
    </w:p>
    <w:p>
      <w:pPr>
        <w:pStyle w:val="ListParagraph"/>
        <w:numPr>
          <w:ilvl w:val="0"/>
          <w:numId w:val="50"/>
        </w:numPr>
        <w:tabs>
          <w:tab w:pos="1611" w:val="left" w:leader="none"/>
        </w:tabs>
        <w:spacing w:line="328" w:lineRule="auto" w:before="0" w:after="0"/>
        <w:ind w:left="1610" w:right="664" w:hanging="170"/>
        <w:jc w:val="both"/>
        <w:rPr>
          <w:sz w:val="19"/>
        </w:rPr>
      </w:pPr>
      <w:r>
        <w:rPr>
          <w:color w:val="231F20"/>
          <w:w w:val="110"/>
          <w:sz w:val="19"/>
        </w:rPr>
        <w:t>Capacity of Parties—The parties must have legal authority and mental capacity to enter into the agreement. Minors</w:t>
      </w:r>
      <w:r>
        <w:rPr>
          <w:color w:val="231F20"/>
          <w:spacing w:val="40"/>
          <w:w w:val="110"/>
          <w:sz w:val="19"/>
        </w:rPr>
        <w:t> </w:t>
      </w:r>
      <w:r>
        <w:rPr>
          <w:color w:val="231F20"/>
          <w:w w:val="110"/>
          <w:sz w:val="19"/>
        </w:rPr>
        <w:t>can disaffirm their contracts, but adults cannot disaffirm </w:t>
      </w:r>
      <w:r>
        <w:rPr>
          <w:color w:val="231F20"/>
          <w:w w:val="110"/>
          <w:sz w:val="19"/>
        </w:rPr>
        <w:t>a</w:t>
      </w:r>
      <w:r>
        <w:rPr>
          <w:color w:val="231F20"/>
          <w:w w:val="110"/>
          <w:sz w:val="19"/>
        </w:rPr>
        <w:t> contract</w:t>
      </w:r>
      <w:r>
        <w:rPr>
          <w:color w:val="231F20"/>
          <w:spacing w:val="40"/>
          <w:w w:val="110"/>
          <w:sz w:val="19"/>
        </w:rPr>
        <w:t> </w:t>
      </w:r>
      <w:r>
        <w:rPr>
          <w:color w:val="231F20"/>
          <w:w w:val="110"/>
          <w:sz w:val="19"/>
        </w:rPr>
        <w:t>with</w:t>
      </w:r>
      <w:r>
        <w:rPr>
          <w:color w:val="231F20"/>
          <w:spacing w:val="40"/>
          <w:w w:val="110"/>
          <w:sz w:val="19"/>
        </w:rPr>
        <w:t> </w:t>
      </w:r>
      <w:r>
        <w:rPr>
          <w:color w:val="231F20"/>
          <w:w w:val="110"/>
          <w:sz w:val="19"/>
        </w:rPr>
        <w:t>a</w:t>
      </w:r>
      <w:r>
        <w:rPr>
          <w:color w:val="231F20"/>
          <w:spacing w:val="40"/>
          <w:w w:val="110"/>
          <w:sz w:val="19"/>
        </w:rPr>
        <w:t> </w:t>
      </w:r>
      <w:r>
        <w:rPr>
          <w:color w:val="231F20"/>
          <w:w w:val="110"/>
          <w:sz w:val="19"/>
        </w:rPr>
        <w:t>minor.</w:t>
      </w:r>
      <w:r>
        <w:rPr>
          <w:color w:val="231F20"/>
          <w:spacing w:val="40"/>
          <w:w w:val="110"/>
          <w:sz w:val="19"/>
        </w:rPr>
        <w:t> </w:t>
      </w:r>
      <w:r>
        <w:rPr>
          <w:color w:val="231F20"/>
          <w:w w:val="110"/>
          <w:sz w:val="19"/>
        </w:rPr>
        <w:t>The</w:t>
      </w:r>
      <w:r>
        <w:rPr>
          <w:color w:val="231F20"/>
          <w:spacing w:val="40"/>
          <w:w w:val="110"/>
          <w:sz w:val="19"/>
        </w:rPr>
        <w:t> </w:t>
      </w:r>
      <w:r>
        <w:rPr>
          <w:color w:val="231F20"/>
          <w:w w:val="110"/>
          <w:sz w:val="19"/>
        </w:rPr>
        <w:t>only</w:t>
      </w:r>
      <w:r>
        <w:rPr>
          <w:color w:val="231F20"/>
          <w:spacing w:val="40"/>
          <w:w w:val="110"/>
          <w:sz w:val="19"/>
        </w:rPr>
        <w:t> </w:t>
      </w:r>
      <w:r>
        <w:rPr>
          <w:color w:val="231F20"/>
          <w:w w:val="110"/>
          <w:sz w:val="19"/>
        </w:rPr>
        <w:t>exception</w:t>
      </w:r>
      <w:r>
        <w:rPr>
          <w:color w:val="231F20"/>
          <w:spacing w:val="40"/>
          <w:w w:val="110"/>
          <w:sz w:val="19"/>
        </w:rPr>
        <w:t> </w:t>
      </w:r>
      <w:r>
        <w:rPr>
          <w:color w:val="231F20"/>
          <w:w w:val="110"/>
          <w:sz w:val="19"/>
        </w:rPr>
        <w:t>is</w:t>
      </w:r>
      <w:r>
        <w:rPr>
          <w:color w:val="231F20"/>
          <w:spacing w:val="40"/>
          <w:w w:val="110"/>
          <w:sz w:val="19"/>
        </w:rPr>
        <w:t> </w:t>
      </w:r>
      <w:r>
        <w:rPr>
          <w:color w:val="231F20"/>
          <w:w w:val="110"/>
          <w:sz w:val="19"/>
        </w:rPr>
        <w:t>for</w:t>
      </w:r>
      <w:r>
        <w:rPr>
          <w:color w:val="231F20"/>
          <w:spacing w:val="40"/>
          <w:w w:val="110"/>
          <w:sz w:val="19"/>
        </w:rPr>
        <w:t> </w:t>
      </w:r>
      <w:r>
        <w:rPr>
          <w:color w:val="231F20"/>
          <w:w w:val="110"/>
          <w:sz w:val="19"/>
        </w:rPr>
        <w:t>items called necessaries such as food and shelter.</w:t>
      </w:r>
    </w:p>
    <w:p>
      <w:pPr>
        <w:pStyle w:val="ListParagraph"/>
        <w:numPr>
          <w:ilvl w:val="0"/>
          <w:numId w:val="50"/>
        </w:numPr>
        <w:tabs>
          <w:tab w:pos="1611" w:val="left" w:leader="none"/>
        </w:tabs>
        <w:spacing w:line="328" w:lineRule="auto" w:before="4" w:after="0"/>
        <w:ind w:left="1610" w:right="664" w:hanging="219"/>
        <w:jc w:val="both"/>
        <w:rPr>
          <w:sz w:val="19"/>
        </w:rPr>
      </w:pPr>
      <w:r>
        <w:rPr>
          <w:color w:val="231F20"/>
          <w:w w:val="115"/>
          <w:sz w:val="19"/>
        </w:rPr>
        <w:t>Mutual</w:t>
      </w:r>
      <w:r>
        <w:rPr>
          <w:color w:val="231F20"/>
          <w:w w:val="115"/>
          <w:sz w:val="19"/>
        </w:rPr>
        <w:t> Agreement</w:t>
      </w:r>
      <w:r>
        <w:rPr>
          <w:color w:val="231F20"/>
          <w:w w:val="115"/>
          <w:sz w:val="19"/>
        </w:rPr>
        <w:t> </w:t>
      </w:r>
      <w:r>
        <w:rPr>
          <w:i/>
          <w:color w:val="231F20"/>
          <w:w w:val="115"/>
          <w:sz w:val="19"/>
        </w:rPr>
        <w:t>(Assent)</w:t>
      </w:r>
      <w:r>
        <w:rPr>
          <w:i/>
          <w:color w:val="231F20"/>
          <w:w w:val="115"/>
          <w:sz w:val="19"/>
        </w:rPr>
        <w:t> </w:t>
      </w:r>
      <w:r>
        <w:rPr>
          <w:color w:val="231F20"/>
          <w:w w:val="115"/>
          <w:sz w:val="19"/>
        </w:rPr>
        <w:t>or</w:t>
      </w:r>
      <w:r>
        <w:rPr>
          <w:color w:val="231F20"/>
          <w:w w:val="115"/>
          <w:sz w:val="19"/>
        </w:rPr>
        <w:t> Meeting</w:t>
      </w:r>
      <w:r>
        <w:rPr>
          <w:color w:val="231F20"/>
          <w:w w:val="115"/>
          <w:sz w:val="19"/>
        </w:rPr>
        <w:t> of</w:t>
      </w:r>
      <w:r>
        <w:rPr>
          <w:color w:val="231F20"/>
          <w:w w:val="115"/>
          <w:sz w:val="19"/>
        </w:rPr>
        <w:t> the</w:t>
      </w:r>
      <w:r>
        <w:rPr>
          <w:color w:val="231F20"/>
          <w:w w:val="115"/>
          <w:sz w:val="19"/>
        </w:rPr>
        <w:t> Minds— There</w:t>
      </w:r>
      <w:r>
        <w:rPr>
          <w:color w:val="231F20"/>
          <w:spacing w:val="-2"/>
          <w:w w:val="115"/>
          <w:sz w:val="19"/>
        </w:rPr>
        <w:t> </w:t>
      </w:r>
      <w:r>
        <w:rPr>
          <w:color w:val="231F20"/>
          <w:w w:val="115"/>
          <w:sz w:val="19"/>
        </w:rPr>
        <w:t>must</w:t>
      </w:r>
      <w:r>
        <w:rPr>
          <w:color w:val="231F20"/>
          <w:spacing w:val="-2"/>
          <w:w w:val="115"/>
          <w:sz w:val="19"/>
        </w:rPr>
        <w:t> </w:t>
      </w:r>
      <w:r>
        <w:rPr>
          <w:color w:val="231F20"/>
          <w:w w:val="115"/>
          <w:sz w:val="19"/>
        </w:rPr>
        <w:t>be</w:t>
      </w:r>
      <w:r>
        <w:rPr>
          <w:color w:val="231F20"/>
          <w:spacing w:val="-2"/>
          <w:w w:val="115"/>
          <w:sz w:val="19"/>
        </w:rPr>
        <w:t> </w:t>
      </w:r>
      <w:r>
        <w:rPr>
          <w:color w:val="231F20"/>
          <w:w w:val="115"/>
          <w:sz w:val="19"/>
        </w:rPr>
        <w:t>a</w:t>
      </w:r>
      <w:r>
        <w:rPr>
          <w:color w:val="231F20"/>
          <w:spacing w:val="-2"/>
          <w:w w:val="115"/>
          <w:sz w:val="19"/>
        </w:rPr>
        <w:t> </w:t>
      </w:r>
      <w:r>
        <w:rPr>
          <w:color w:val="231F20"/>
          <w:w w:val="115"/>
          <w:sz w:val="19"/>
        </w:rPr>
        <w:t>valid</w:t>
      </w:r>
      <w:r>
        <w:rPr>
          <w:color w:val="231F20"/>
          <w:spacing w:val="-2"/>
          <w:w w:val="115"/>
          <w:sz w:val="19"/>
        </w:rPr>
        <w:t> </w:t>
      </w:r>
      <w:r>
        <w:rPr>
          <w:i/>
          <w:color w:val="231F20"/>
          <w:w w:val="115"/>
          <w:sz w:val="19"/>
        </w:rPr>
        <w:t>offer</w:t>
      </w:r>
      <w:r>
        <w:rPr>
          <w:i/>
          <w:color w:val="231F20"/>
          <w:spacing w:val="-2"/>
          <w:w w:val="115"/>
          <w:sz w:val="19"/>
        </w:rPr>
        <w:t> </w:t>
      </w:r>
      <w:r>
        <w:rPr>
          <w:color w:val="231F20"/>
          <w:w w:val="115"/>
          <w:sz w:val="19"/>
        </w:rPr>
        <w:t>and</w:t>
      </w:r>
      <w:r>
        <w:rPr>
          <w:color w:val="231F20"/>
          <w:spacing w:val="-2"/>
          <w:w w:val="115"/>
          <w:sz w:val="19"/>
        </w:rPr>
        <w:t> </w:t>
      </w:r>
      <w:r>
        <w:rPr>
          <w:color w:val="231F20"/>
          <w:w w:val="115"/>
          <w:sz w:val="19"/>
        </w:rPr>
        <w:t>an</w:t>
      </w:r>
      <w:r>
        <w:rPr>
          <w:color w:val="231F20"/>
          <w:spacing w:val="-2"/>
          <w:w w:val="115"/>
          <w:sz w:val="19"/>
        </w:rPr>
        <w:t> </w:t>
      </w:r>
      <w:r>
        <w:rPr>
          <w:i/>
          <w:color w:val="231F20"/>
          <w:w w:val="115"/>
          <w:sz w:val="19"/>
        </w:rPr>
        <w:t>acceptance.</w:t>
      </w:r>
      <w:r>
        <w:rPr>
          <w:i/>
          <w:color w:val="231F20"/>
          <w:spacing w:val="-2"/>
          <w:w w:val="115"/>
          <w:sz w:val="19"/>
        </w:rPr>
        <w:t> </w:t>
      </w:r>
      <w:r>
        <w:rPr>
          <w:color w:val="231F20"/>
          <w:w w:val="115"/>
          <w:sz w:val="19"/>
        </w:rPr>
        <w:t>The</w:t>
      </w:r>
      <w:r>
        <w:rPr>
          <w:color w:val="231F20"/>
          <w:spacing w:val="-2"/>
          <w:w w:val="115"/>
          <w:sz w:val="19"/>
        </w:rPr>
        <w:t> </w:t>
      </w:r>
      <w:r>
        <w:rPr>
          <w:color w:val="231F20"/>
          <w:w w:val="115"/>
          <w:sz w:val="19"/>
        </w:rPr>
        <w:t>offer must</w:t>
      </w:r>
      <w:r>
        <w:rPr>
          <w:color w:val="231F20"/>
          <w:w w:val="115"/>
          <w:sz w:val="19"/>
        </w:rPr>
        <w:t> clearly</w:t>
      </w:r>
      <w:r>
        <w:rPr>
          <w:color w:val="231F20"/>
          <w:w w:val="115"/>
          <w:sz w:val="19"/>
        </w:rPr>
        <w:t> indicate</w:t>
      </w:r>
      <w:r>
        <w:rPr>
          <w:color w:val="231F20"/>
          <w:w w:val="115"/>
          <w:sz w:val="19"/>
        </w:rPr>
        <w:t> an</w:t>
      </w:r>
      <w:r>
        <w:rPr>
          <w:color w:val="231F20"/>
          <w:w w:val="115"/>
          <w:sz w:val="19"/>
        </w:rPr>
        <w:t> intent</w:t>
      </w:r>
      <w:r>
        <w:rPr>
          <w:color w:val="231F20"/>
          <w:w w:val="115"/>
          <w:sz w:val="19"/>
        </w:rPr>
        <w:t> to</w:t>
      </w:r>
      <w:r>
        <w:rPr>
          <w:color w:val="231F20"/>
          <w:w w:val="115"/>
          <w:sz w:val="19"/>
        </w:rPr>
        <w:t> make</w:t>
      </w:r>
      <w:r>
        <w:rPr>
          <w:color w:val="231F20"/>
          <w:w w:val="115"/>
          <w:sz w:val="19"/>
        </w:rPr>
        <w:t> a</w:t>
      </w:r>
      <w:r>
        <w:rPr>
          <w:color w:val="231F20"/>
          <w:w w:val="115"/>
          <w:sz w:val="19"/>
        </w:rPr>
        <w:t> contract,</w:t>
      </w:r>
      <w:r>
        <w:rPr>
          <w:color w:val="231F20"/>
          <w:w w:val="115"/>
          <w:sz w:val="19"/>
        </w:rPr>
        <w:t> be definite</w:t>
      </w:r>
      <w:r>
        <w:rPr>
          <w:color w:val="231F20"/>
          <w:spacing w:val="-8"/>
          <w:w w:val="115"/>
          <w:sz w:val="19"/>
        </w:rPr>
        <w:t> </w:t>
      </w:r>
      <w:r>
        <w:rPr>
          <w:color w:val="231F20"/>
          <w:w w:val="115"/>
          <w:sz w:val="19"/>
        </w:rPr>
        <w:t>as</w:t>
      </w:r>
      <w:r>
        <w:rPr>
          <w:color w:val="231F20"/>
          <w:spacing w:val="-8"/>
          <w:w w:val="115"/>
          <w:sz w:val="19"/>
        </w:rPr>
        <w:t> </w:t>
      </w:r>
      <w:r>
        <w:rPr>
          <w:color w:val="231F20"/>
          <w:w w:val="115"/>
          <w:sz w:val="19"/>
        </w:rPr>
        <w:t>to</w:t>
      </w:r>
      <w:r>
        <w:rPr>
          <w:color w:val="231F20"/>
          <w:spacing w:val="-8"/>
          <w:w w:val="115"/>
          <w:sz w:val="19"/>
        </w:rPr>
        <w:t> </w:t>
      </w:r>
      <w:r>
        <w:rPr>
          <w:color w:val="231F20"/>
          <w:w w:val="115"/>
          <w:sz w:val="19"/>
        </w:rPr>
        <w:t>its</w:t>
      </w:r>
      <w:r>
        <w:rPr>
          <w:color w:val="231F20"/>
          <w:spacing w:val="-8"/>
          <w:w w:val="115"/>
          <w:sz w:val="19"/>
        </w:rPr>
        <w:t> </w:t>
      </w:r>
      <w:r>
        <w:rPr>
          <w:color w:val="231F20"/>
          <w:w w:val="115"/>
          <w:sz w:val="19"/>
        </w:rPr>
        <w:t>terms,</w:t>
      </w:r>
      <w:r>
        <w:rPr>
          <w:color w:val="231F20"/>
          <w:spacing w:val="-8"/>
          <w:w w:val="115"/>
          <w:sz w:val="19"/>
        </w:rPr>
        <w:t> </w:t>
      </w:r>
      <w:r>
        <w:rPr>
          <w:color w:val="231F20"/>
          <w:w w:val="115"/>
          <w:sz w:val="19"/>
        </w:rPr>
        <w:t>and</w:t>
      </w:r>
      <w:r>
        <w:rPr>
          <w:color w:val="231F20"/>
          <w:spacing w:val="-8"/>
          <w:w w:val="115"/>
          <w:sz w:val="19"/>
        </w:rPr>
        <w:t> </w:t>
      </w:r>
      <w:r>
        <w:rPr>
          <w:color w:val="231F20"/>
          <w:w w:val="115"/>
          <w:sz w:val="19"/>
        </w:rPr>
        <w:t>be</w:t>
      </w:r>
      <w:r>
        <w:rPr>
          <w:color w:val="231F20"/>
          <w:spacing w:val="-8"/>
          <w:w w:val="115"/>
          <w:sz w:val="19"/>
        </w:rPr>
        <w:t> </w:t>
      </w:r>
      <w:r>
        <w:rPr>
          <w:color w:val="231F20"/>
          <w:w w:val="115"/>
          <w:sz w:val="19"/>
        </w:rPr>
        <w:t>communicated</w:t>
      </w:r>
      <w:r>
        <w:rPr>
          <w:color w:val="231F20"/>
          <w:spacing w:val="-8"/>
          <w:w w:val="115"/>
          <w:sz w:val="19"/>
        </w:rPr>
        <w:t> </w:t>
      </w:r>
      <w:r>
        <w:rPr>
          <w:color w:val="231F20"/>
          <w:w w:val="115"/>
          <w:sz w:val="19"/>
        </w:rPr>
        <w:t>to</w:t>
      </w:r>
      <w:r>
        <w:rPr>
          <w:color w:val="231F20"/>
          <w:spacing w:val="-8"/>
          <w:w w:val="115"/>
          <w:sz w:val="19"/>
        </w:rPr>
        <w:t> </w:t>
      </w:r>
      <w:r>
        <w:rPr>
          <w:color w:val="231F20"/>
          <w:w w:val="115"/>
          <w:sz w:val="19"/>
        </w:rPr>
        <w:t>the</w:t>
      </w:r>
      <w:r>
        <w:rPr>
          <w:color w:val="231F20"/>
          <w:spacing w:val="-8"/>
          <w:w w:val="115"/>
          <w:sz w:val="19"/>
        </w:rPr>
        <w:t> </w:t>
      </w:r>
      <w:r>
        <w:rPr>
          <w:color w:val="231F20"/>
          <w:w w:val="115"/>
          <w:sz w:val="19"/>
        </w:rPr>
        <w:t>other </w:t>
      </w:r>
      <w:r>
        <w:rPr>
          <w:color w:val="231F20"/>
          <w:spacing w:val="-2"/>
          <w:w w:val="115"/>
          <w:sz w:val="19"/>
        </w:rPr>
        <w:t>party.</w:t>
      </w:r>
      <w:r>
        <w:rPr>
          <w:color w:val="231F20"/>
          <w:spacing w:val="-7"/>
          <w:w w:val="115"/>
          <w:sz w:val="19"/>
        </w:rPr>
        <w:t> </w:t>
      </w:r>
      <w:r>
        <w:rPr>
          <w:color w:val="231F20"/>
          <w:spacing w:val="-2"/>
          <w:w w:val="115"/>
          <w:sz w:val="19"/>
        </w:rPr>
        <w:t>Generally</w:t>
      </w:r>
      <w:r>
        <w:rPr>
          <w:color w:val="231F20"/>
          <w:spacing w:val="-7"/>
          <w:w w:val="115"/>
          <w:sz w:val="19"/>
        </w:rPr>
        <w:t> </w:t>
      </w:r>
      <w:r>
        <w:rPr>
          <w:color w:val="231F20"/>
          <w:spacing w:val="-2"/>
          <w:w w:val="115"/>
          <w:sz w:val="19"/>
        </w:rPr>
        <w:t>advertisements</w:t>
      </w:r>
      <w:r>
        <w:rPr>
          <w:color w:val="231F20"/>
          <w:spacing w:val="-7"/>
          <w:w w:val="115"/>
          <w:sz w:val="19"/>
        </w:rPr>
        <w:t> </w:t>
      </w:r>
      <w:r>
        <w:rPr>
          <w:color w:val="231F20"/>
          <w:spacing w:val="-2"/>
          <w:w w:val="115"/>
          <w:sz w:val="19"/>
        </w:rPr>
        <w:t>are</w:t>
      </w:r>
      <w:r>
        <w:rPr>
          <w:color w:val="231F20"/>
          <w:spacing w:val="-7"/>
          <w:w w:val="115"/>
          <w:sz w:val="19"/>
        </w:rPr>
        <w:t> </w:t>
      </w:r>
      <w:r>
        <w:rPr>
          <w:color w:val="231F20"/>
          <w:spacing w:val="-2"/>
          <w:w w:val="115"/>
          <w:sz w:val="19"/>
        </w:rPr>
        <w:t>not</w:t>
      </w:r>
      <w:r>
        <w:rPr>
          <w:color w:val="231F20"/>
          <w:spacing w:val="-7"/>
          <w:w w:val="115"/>
          <w:sz w:val="19"/>
        </w:rPr>
        <w:t> </w:t>
      </w:r>
      <w:r>
        <w:rPr>
          <w:color w:val="231F20"/>
          <w:spacing w:val="-2"/>
          <w:w w:val="115"/>
          <w:sz w:val="19"/>
        </w:rPr>
        <w:t>valid</w:t>
      </w:r>
      <w:r>
        <w:rPr>
          <w:color w:val="231F20"/>
          <w:spacing w:val="-7"/>
          <w:w w:val="115"/>
          <w:sz w:val="19"/>
        </w:rPr>
        <w:t> </w:t>
      </w:r>
      <w:r>
        <w:rPr>
          <w:color w:val="231F20"/>
          <w:spacing w:val="-2"/>
          <w:w w:val="115"/>
          <w:sz w:val="19"/>
        </w:rPr>
        <w:t>offers;</w:t>
      </w:r>
      <w:r>
        <w:rPr>
          <w:color w:val="231F20"/>
          <w:spacing w:val="-7"/>
          <w:w w:val="115"/>
          <w:sz w:val="19"/>
        </w:rPr>
        <w:t> </w:t>
      </w:r>
      <w:r>
        <w:rPr>
          <w:color w:val="231F20"/>
          <w:spacing w:val="-2"/>
          <w:w w:val="115"/>
          <w:sz w:val="19"/>
        </w:rPr>
        <w:t>rather </w:t>
      </w:r>
      <w:r>
        <w:rPr>
          <w:color w:val="231F20"/>
          <w:w w:val="115"/>
          <w:sz w:val="19"/>
        </w:rPr>
        <w:t>they are “invitations to deal.” An offer can be withdrawn anytime before acceptance. Silence does not constitute </w:t>
      </w:r>
      <w:r>
        <w:rPr>
          <w:color w:val="231F20"/>
          <w:spacing w:val="-2"/>
          <w:w w:val="115"/>
          <w:sz w:val="19"/>
        </w:rPr>
        <w:t>acceptance.</w:t>
      </w:r>
    </w:p>
    <w:p>
      <w:pPr>
        <w:pStyle w:val="ListParagraph"/>
        <w:numPr>
          <w:ilvl w:val="0"/>
          <w:numId w:val="50"/>
        </w:numPr>
        <w:tabs>
          <w:tab w:pos="1611" w:val="left" w:leader="none"/>
        </w:tabs>
        <w:spacing w:line="328" w:lineRule="auto" w:before="5" w:after="0"/>
        <w:ind w:left="1610" w:right="666" w:hanging="223"/>
        <w:jc w:val="both"/>
        <w:rPr>
          <w:sz w:val="19"/>
        </w:rPr>
      </w:pPr>
      <w:r>
        <w:rPr>
          <w:color w:val="231F20"/>
          <w:w w:val="110"/>
          <w:sz w:val="19"/>
        </w:rPr>
        <w:t>Consideration Given—There must be value given for the promise to be enforceable.</w:t>
      </w:r>
    </w:p>
    <w:p>
      <w:pPr>
        <w:pStyle w:val="ListParagraph"/>
        <w:numPr>
          <w:ilvl w:val="0"/>
          <w:numId w:val="50"/>
        </w:numPr>
        <w:tabs>
          <w:tab w:pos="1611" w:val="left" w:leader="none"/>
        </w:tabs>
        <w:spacing w:line="328" w:lineRule="auto" w:before="1" w:after="0"/>
        <w:ind w:left="1610" w:right="666" w:hanging="233"/>
        <w:jc w:val="both"/>
        <w:rPr>
          <w:sz w:val="19"/>
        </w:rPr>
      </w:pPr>
      <w:r>
        <w:rPr>
          <w:color w:val="231F20"/>
          <w:w w:val="115"/>
          <w:sz w:val="19"/>
        </w:rPr>
        <w:t>Legality—You</w:t>
      </w:r>
      <w:r>
        <w:rPr>
          <w:color w:val="231F20"/>
          <w:spacing w:val="-3"/>
          <w:w w:val="115"/>
          <w:sz w:val="19"/>
        </w:rPr>
        <w:t> </w:t>
      </w:r>
      <w:r>
        <w:rPr>
          <w:color w:val="231F20"/>
          <w:w w:val="115"/>
          <w:sz w:val="19"/>
        </w:rPr>
        <w:t>cannot</w:t>
      </w:r>
      <w:r>
        <w:rPr>
          <w:color w:val="231F20"/>
          <w:spacing w:val="-3"/>
          <w:w w:val="115"/>
          <w:sz w:val="19"/>
        </w:rPr>
        <w:t> </w:t>
      </w:r>
      <w:r>
        <w:rPr>
          <w:color w:val="231F20"/>
          <w:w w:val="115"/>
          <w:sz w:val="19"/>
        </w:rPr>
        <w:t>enforce</w:t>
      </w:r>
      <w:r>
        <w:rPr>
          <w:color w:val="231F20"/>
          <w:spacing w:val="-3"/>
          <w:w w:val="115"/>
          <w:sz w:val="19"/>
        </w:rPr>
        <w:t> </w:t>
      </w:r>
      <w:r>
        <w:rPr>
          <w:color w:val="231F20"/>
          <w:w w:val="115"/>
          <w:sz w:val="19"/>
        </w:rPr>
        <w:t>a</w:t>
      </w:r>
      <w:r>
        <w:rPr>
          <w:color w:val="231F20"/>
          <w:spacing w:val="-3"/>
          <w:w w:val="115"/>
          <w:sz w:val="19"/>
        </w:rPr>
        <w:t> </w:t>
      </w:r>
      <w:r>
        <w:rPr>
          <w:color w:val="231F20"/>
          <w:w w:val="115"/>
          <w:sz w:val="19"/>
        </w:rPr>
        <w:t>contract</w:t>
      </w:r>
      <w:r>
        <w:rPr>
          <w:color w:val="231F20"/>
          <w:spacing w:val="-3"/>
          <w:w w:val="115"/>
          <w:sz w:val="19"/>
        </w:rPr>
        <w:t> </w:t>
      </w:r>
      <w:r>
        <w:rPr>
          <w:color w:val="231F20"/>
          <w:w w:val="115"/>
          <w:sz w:val="19"/>
        </w:rPr>
        <w:t>dealing</w:t>
      </w:r>
      <w:r>
        <w:rPr>
          <w:color w:val="231F20"/>
          <w:spacing w:val="-3"/>
          <w:w w:val="115"/>
          <w:sz w:val="19"/>
        </w:rPr>
        <w:t> </w:t>
      </w:r>
      <w:r>
        <w:rPr>
          <w:color w:val="231F20"/>
          <w:w w:val="115"/>
          <w:sz w:val="19"/>
        </w:rPr>
        <w:t>with</w:t>
      </w:r>
      <w:r>
        <w:rPr>
          <w:color w:val="231F20"/>
          <w:spacing w:val="-3"/>
          <w:w w:val="115"/>
          <w:sz w:val="19"/>
        </w:rPr>
        <w:t> </w:t>
      </w:r>
      <w:r>
        <w:rPr>
          <w:color w:val="231F20"/>
          <w:w w:val="115"/>
          <w:sz w:val="19"/>
        </w:rPr>
        <w:t>ille- gal goods or actions.</w:t>
      </w:r>
    </w:p>
    <w:p>
      <w:pPr>
        <w:spacing w:after="0" w:line="328" w:lineRule="auto"/>
        <w:jc w:val="both"/>
        <w:rPr>
          <w:sz w:val="19"/>
        </w:rPr>
        <w:sectPr>
          <w:pgSz w:w="8640" w:h="12960"/>
          <w:pgMar w:header="734" w:footer="0" w:top="920" w:bottom="280" w:left="340" w:right="500"/>
        </w:sectPr>
      </w:pPr>
    </w:p>
    <w:p>
      <w:pPr>
        <w:pStyle w:val="BodyText"/>
        <w:spacing w:before="2"/>
        <w:rPr>
          <w:rFonts w:ascii="Arial"/>
          <w:sz w:val="18"/>
        </w:rPr>
      </w:pPr>
    </w:p>
    <w:p>
      <w:pPr>
        <w:pStyle w:val="Heading6"/>
        <w:spacing w:before="99"/>
        <w:ind w:left="299"/>
        <w:rPr>
          <w:i/>
        </w:rPr>
      </w:pPr>
      <w:r>
        <w:rPr>
          <w:i/>
          <w:color w:val="231F20"/>
          <w:spacing w:val="7"/>
          <w:w w:val="110"/>
        </w:rPr>
        <w:t>PROPERTY</w:t>
      </w:r>
    </w:p>
    <w:p>
      <w:pPr>
        <w:pStyle w:val="BodyText"/>
        <w:spacing w:before="2"/>
        <w:rPr>
          <w:b/>
          <w:i/>
          <w:sz w:val="30"/>
        </w:rPr>
      </w:pPr>
    </w:p>
    <w:p>
      <w:pPr>
        <w:pStyle w:val="BodyText"/>
        <w:spacing w:line="292" w:lineRule="auto"/>
        <w:ind w:left="830" w:right="756"/>
        <w:jc w:val="both"/>
      </w:pPr>
      <w:r>
        <w:rPr>
          <w:color w:val="231F20"/>
        </w:rPr>
        <w:t>Business revolves around property, and gathering the most of it </w:t>
      </w:r>
      <w:r>
        <w:rPr>
          <w:color w:val="231F20"/>
        </w:rPr>
        <w:t>for yourself. Property is not only a thing, but also the collection of rights and responsibilities associated with the property. There are several classes of property:</w:t>
      </w:r>
    </w:p>
    <w:p>
      <w:pPr>
        <w:pStyle w:val="BodyText"/>
        <w:spacing w:before="3"/>
        <w:rPr>
          <w:sz w:val="27"/>
        </w:rPr>
      </w:pPr>
    </w:p>
    <w:p>
      <w:pPr>
        <w:spacing w:before="1"/>
        <w:ind w:left="1170" w:right="0" w:firstLine="0"/>
        <w:jc w:val="left"/>
        <w:rPr>
          <w:rFonts w:ascii="Arial" w:hAnsi="Arial"/>
          <w:sz w:val="19"/>
        </w:rPr>
      </w:pPr>
      <w:r>
        <w:rPr>
          <w:rFonts w:ascii="Arial" w:hAnsi="Arial"/>
          <w:i/>
          <w:color w:val="231F20"/>
          <w:spacing w:val="-2"/>
          <w:w w:val="110"/>
          <w:sz w:val="19"/>
        </w:rPr>
        <w:t>Real</w:t>
      </w:r>
      <w:r>
        <w:rPr>
          <w:rFonts w:ascii="Arial" w:hAnsi="Arial"/>
          <w:i/>
          <w:color w:val="231F20"/>
          <w:spacing w:val="1"/>
          <w:w w:val="110"/>
          <w:sz w:val="19"/>
        </w:rPr>
        <w:t> </w:t>
      </w:r>
      <w:r>
        <w:rPr>
          <w:rFonts w:ascii="Arial" w:hAnsi="Arial"/>
          <w:i/>
          <w:color w:val="231F20"/>
          <w:spacing w:val="-2"/>
          <w:w w:val="110"/>
          <w:sz w:val="19"/>
        </w:rPr>
        <w:t>Property</w:t>
      </w:r>
      <w:r>
        <w:rPr>
          <w:rFonts w:ascii="Arial" w:hAnsi="Arial"/>
          <w:i/>
          <w:color w:val="231F20"/>
          <w:spacing w:val="-38"/>
          <w:w w:val="110"/>
          <w:sz w:val="19"/>
        </w:rPr>
        <w:t> </w:t>
      </w:r>
      <w:r>
        <w:rPr>
          <w:rFonts w:ascii="Arial" w:hAnsi="Arial"/>
          <w:color w:val="231F20"/>
          <w:spacing w:val="-2"/>
          <w:w w:val="110"/>
          <w:sz w:val="19"/>
        </w:rPr>
        <w:t>—</w:t>
      </w:r>
      <w:r>
        <w:rPr>
          <w:rFonts w:ascii="Arial" w:hAnsi="Arial"/>
          <w:color w:val="231F20"/>
          <w:spacing w:val="-39"/>
          <w:w w:val="110"/>
          <w:sz w:val="19"/>
        </w:rPr>
        <w:t> </w:t>
      </w:r>
      <w:r>
        <w:rPr>
          <w:rFonts w:ascii="Arial" w:hAnsi="Arial"/>
          <w:color w:val="231F20"/>
          <w:spacing w:val="-4"/>
          <w:w w:val="110"/>
          <w:sz w:val="19"/>
        </w:rPr>
        <w:t>Land</w:t>
      </w:r>
    </w:p>
    <w:p>
      <w:pPr>
        <w:spacing w:line="328" w:lineRule="auto" w:before="81"/>
        <w:ind w:left="1510" w:right="1262" w:hanging="340"/>
        <w:jc w:val="left"/>
        <w:rPr>
          <w:rFonts w:ascii="Arial" w:hAnsi="Arial"/>
          <w:i/>
          <w:sz w:val="19"/>
        </w:rPr>
      </w:pPr>
      <w:r>
        <w:rPr>
          <w:rFonts w:ascii="Arial" w:hAnsi="Arial"/>
          <w:i/>
          <w:color w:val="231F20"/>
          <w:w w:val="115"/>
          <w:sz w:val="19"/>
        </w:rPr>
        <w:t>Personal</w:t>
      </w:r>
      <w:r>
        <w:rPr>
          <w:rFonts w:ascii="Arial" w:hAnsi="Arial"/>
          <w:i/>
          <w:color w:val="231F20"/>
          <w:spacing w:val="-16"/>
          <w:w w:val="115"/>
          <w:sz w:val="19"/>
        </w:rPr>
        <w:t> </w:t>
      </w:r>
      <w:r>
        <w:rPr>
          <w:rFonts w:ascii="Arial" w:hAnsi="Arial"/>
          <w:i/>
          <w:color w:val="231F20"/>
          <w:w w:val="115"/>
          <w:sz w:val="19"/>
        </w:rPr>
        <w:t>Property</w:t>
      </w:r>
      <w:r>
        <w:rPr>
          <w:rFonts w:ascii="Arial" w:hAnsi="Arial"/>
          <w:i/>
          <w:color w:val="231F20"/>
          <w:spacing w:val="-42"/>
          <w:w w:val="115"/>
          <w:sz w:val="19"/>
        </w:rPr>
        <w:t> </w:t>
      </w:r>
      <w:r>
        <w:rPr>
          <w:rFonts w:ascii="Arial" w:hAnsi="Arial"/>
          <w:color w:val="231F20"/>
          <w:w w:val="115"/>
          <w:sz w:val="19"/>
        </w:rPr>
        <w:t>—</w:t>
      </w:r>
      <w:r>
        <w:rPr>
          <w:rFonts w:ascii="Arial" w:hAnsi="Arial"/>
          <w:color w:val="231F20"/>
          <w:spacing w:val="-42"/>
          <w:w w:val="115"/>
          <w:sz w:val="19"/>
        </w:rPr>
        <w:t> </w:t>
      </w:r>
      <w:r>
        <w:rPr>
          <w:rFonts w:ascii="Arial" w:hAnsi="Arial"/>
          <w:color w:val="231F20"/>
          <w:w w:val="115"/>
          <w:sz w:val="19"/>
        </w:rPr>
        <w:t>Property</w:t>
      </w:r>
      <w:r>
        <w:rPr>
          <w:rFonts w:ascii="Arial" w:hAnsi="Arial"/>
          <w:color w:val="231F20"/>
          <w:spacing w:val="-15"/>
          <w:w w:val="115"/>
          <w:sz w:val="19"/>
        </w:rPr>
        <w:t> </w:t>
      </w:r>
      <w:r>
        <w:rPr>
          <w:rFonts w:ascii="Arial" w:hAnsi="Arial"/>
          <w:color w:val="231F20"/>
          <w:w w:val="115"/>
          <w:sz w:val="19"/>
        </w:rPr>
        <w:t>not</w:t>
      </w:r>
      <w:r>
        <w:rPr>
          <w:rFonts w:ascii="Arial" w:hAnsi="Arial"/>
          <w:color w:val="231F20"/>
          <w:spacing w:val="-15"/>
          <w:w w:val="115"/>
          <w:sz w:val="19"/>
        </w:rPr>
        <w:t> </w:t>
      </w:r>
      <w:r>
        <w:rPr>
          <w:rFonts w:ascii="Arial" w:hAnsi="Arial"/>
          <w:color w:val="231F20"/>
          <w:w w:val="115"/>
          <w:sz w:val="19"/>
        </w:rPr>
        <w:t>attached</w:t>
      </w:r>
      <w:r>
        <w:rPr>
          <w:rFonts w:ascii="Arial" w:hAnsi="Arial"/>
          <w:color w:val="231F20"/>
          <w:spacing w:val="-15"/>
          <w:w w:val="115"/>
          <w:sz w:val="19"/>
        </w:rPr>
        <w:t> </w:t>
      </w:r>
      <w:r>
        <w:rPr>
          <w:rFonts w:ascii="Arial" w:hAnsi="Arial"/>
          <w:color w:val="231F20"/>
          <w:w w:val="115"/>
          <w:sz w:val="19"/>
        </w:rPr>
        <w:t>to</w:t>
      </w:r>
      <w:r>
        <w:rPr>
          <w:rFonts w:ascii="Arial" w:hAnsi="Arial"/>
          <w:color w:val="231F20"/>
          <w:spacing w:val="-15"/>
          <w:w w:val="115"/>
          <w:sz w:val="19"/>
        </w:rPr>
        <w:t> </w:t>
      </w:r>
      <w:r>
        <w:rPr>
          <w:rFonts w:ascii="Arial" w:hAnsi="Arial"/>
          <w:color w:val="231F20"/>
          <w:w w:val="115"/>
          <w:sz w:val="19"/>
        </w:rPr>
        <w:t>land</w:t>
      </w:r>
      <w:r>
        <w:rPr>
          <w:rFonts w:ascii="Arial" w:hAnsi="Arial"/>
          <w:color w:val="231F20"/>
          <w:spacing w:val="-15"/>
          <w:w w:val="115"/>
          <w:sz w:val="19"/>
        </w:rPr>
        <w:t> </w:t>
      </w:r>
      <w:r>
        <w:rPr>
          <w:rFonts w:ascii="Arial" w:hAnsi="Arial"/>
          <w:color w:val="231F20"/>
          <w:w w:val="115"/>
          <w:sz w:val="19"/>
        </w:rPr>
        <w:t>or building.</w:t>
      </w:r>
      <w:r>
        <w:rPr>
          <w:rFonts w:ascii="Arial" w:hAnsi="Arial"/>
          <w:color w:val="231F20"/>
          <w:spacing w:val="-7"/>
          <w:w w:val="115"/>
          <w:sz w:val="19"/>
        </w:rPr>
        <w:t> </w:t>
      </w:r>
      <w:r>
        <w:rPr>
          <w:rFonts w:ascii="Arial" w:hAnsi="Arial"/>
          <w:color w:val="231F20"/>
          <w:w w:val="115"/>
          <w:sz w:val="19"/>
        </w:rPr>
        <w:t>Personal</w:t>
      </w:r>
      <w:r>
        <w:rPr>
          <w:rFonts w:ascii="Arial" w:hAnsi="Arial"/>
          <w:color w:val="231F20"/>
          <w:spacing w:val="-7"/>
          <w:w w:val="115"/>
          <w:sz w:val="19"/>
        </w:rPr>
        <w:t> </w:t>
      </w:r>
      <w:r>
        <w:rPr>
          <w:rFonts w:ascii="Arial" w:hAnsi="Arial"/>
          <w:color w:val="231F20"/>
          <w:w w:val="115"/>
          <w:sz w:val="19"/>
        </w:rPr>
        <w:t>property</w:t>
      </w:r>
      <w:r>
        <w:rPr>
          <w:rFonts w:ascii="Arial" w:hAnsi="Arial"/>
          <w:color w:val="231F20"/>
          <w:spacing w:val="-7"/>
          <w:w w:val="115"/>
          <w:sz w:val="19"/>
        </w:rPr>
        <w:t> </w:t>
      </w:r>
      <w:r>
        <w:rPr>
          <w:rFonts w:ascii="Arial" w:hAnsi="Arial"/>
          <w:color w:val="231F20"/>
          <w:w w:val="115"/>
          <w:sz w:val="19"/>
        </w:rPr>
        <w:t>is</w:t>
      </w:r>
      <w:r>
        <w:rPr>
          <w:rFonts w:ascii="Arial" w:hAnsi="Arial"/>
          <w:color w:val="231F20"/>
          <w:spacing w:val="-7"/>
          <w:w w:val="115"/>
          <w:sz w:val="19"/>
        </w:rPr>
        <w:t> </w:t>
      </w:r>
      <w:r>
        <w:rPr>
          <w:rFonts w:ascii="Arial" w:hAnsi="Arial"/>
          <w:color w:val="231F20"/>
          <w:w w:val="115"/>
          <w:sz w:val="19"/>
        </w:rPr>
        <w:t>also</w:t>
      </w:r>
      <w:r>
        <w:rPr>
          <w:rFonts w:ascii="Arial" w:hAnsi="Arial"/>
          <w:color w:val="231F20"/>
          <w:spacing w:val="-7"/>
          <w:w w:val="115"/>
          <w:sz w:val="19"/>
        </w:rPr>
        <w:t> </w:t>
      </w:r>
      <w:r>
        <w:rPr>
          <w:rFonts w:ascii="Arial" w:hAnsi="Arial"/>
          <w:color w:val="231F20"/>
          <w:w w:val="115"/>
          <w:sz w:val="19"/>
        </w:rPr>
        <w:t>called</w:t>
      </w:r>
      <w:r>
        <w:rPr>
          <w:rFonts w:ascii="Arial" w:hAnsi="Arial"/>
          <w:color w:val="231F20"/>
          <w:spacing w:val="-9"/>
          <w:w w:val="115"/>
          <w:sz w:val="19"/>
        </w:rPr>
        <w:t> </w:t>
      </w:r>
      <w:r>
        <w:rPr>
          <w:rFonts w:ascii="Arial" w:hAnsi="Arial"/>
          <w:i/>
          <w:color w:val="231F20"/>
          <w:w w:val="115"/>
          <w:sz w:val="19"/>
        </w:rPr>
        <w:t>chattel.</w:t>
      </w:r>
    </w:p>
    <w:p>
      <w:pPr>
        <w:spacing w:before="2"/>
        <w:ind w:left="1170" w:right="0" w:firstLine="0"/>
        <w:jc w:val="left"/>
        <w:rPr>
          <w:rFonts w:ascii="Arial" w:hAnsi="Arial"/>
          <w:sz w:val="19"/>
        </w:rPr>
      </w:pPr>
      <w:r>
        <w:rPr>
          <w:rFonts w:ascii="Arial" w:hAnsi="Arial"/>
          <w:i/>
          <w:color w:val="231F20"/>
          <w:w w:val="110"/>
          <w:sz w:val="19"/>
        </w:rPr>
        <w:t>Fixture</w:t>
      </w:r>
      <w:r>
        <w:rPr>
          <w:rFonts w:ascii="Arial" w:hAnsi="Arial"/>
          <w:i/>
          <w:color w:val="231F20"/>
          <w:spacing w:val="-36"/>
          <w:w w:val="110"/>
          <w:sz w:val="19"/>
        </w:rPr>
        <w:t> </w:t>
      </w:r>
      <w:r>
        <w:rPr>
          <w:rFonts w:ascii="Arial" w:hAnsi="Arial"/>
          <w:color w:val="231F20"/>
          <w:w w:val="110"/>
          <w:sz w:val="19"/>
        </w:rPr>
        <w:t>—</w:t>
      </w:r>
      <w:r>
        <w:rPr>
          <w:rFonts w:ascii="Arial" w:hAnsi="Arial"/>
          <w:color w:val="231F20"/>
          <w:spacing w:val="-35"/>
          <w:w w:val="110"/>
          <w:sz w:val="19"/>
        </w:rPr>
        <w:t> </w:t>
      </w:r>
      <w:r>
        <w:rPr>
          <w:rFonts w:ascii="Arial" w:hAnsi="Arial"/>
          <w:i/>
          <w:color w:val="231F20"/>
          <w:w w:val="110"/>
          <w:sz w:val="19"/>
        </w:rPr>
        <w:t>Personal</w:t>
      </w:r>
      <w:r>
        <w:rPr>
          <w:rFonts w:ascii="Arial" w:hAnsi="Arial"/>
          <w:i/>
          <w:color w:val="231F20"/>
          <w:spacing w:val="10"/>
          <w:w w:val="110"/>
          <w:sz w:val="19"/>
        </w:rPr>
        <w:t> </w:t>
      </w:r>
      <w:r>
        <w:rPr>
          <w:rFonts w:ascii="Arial" w:hAnsi="Arial"/>
          <w:i/>
          <w:color w:val="231F20"/>
          <w:w w:val="110"/>
          <w:sz w:val="19"/>
        </w:rPr>
        <w:t>property</w:t>
      </w:r>
      <w:r>
        <w:rPr>
          <w:rFonts w:ascii="Arial" w:hAnsi="Arial"/>
          <w:i/>
          <w:color w:val="231F20"/>
          <w:spacing w:val="10"/>
          <w:w w:val="110"/>
          <w:sz w:val="19"/>
        </w:rPr>
        <w:t> </w:t>
      </w:r>
      <w:r>
        <w:rPr>
          <w:rFonts w:ascii="Arial" w:hAnsi="Arial"/>
          <w:color w:val="231F20"/>
          <w:w w:val="110"/>
          <w:sz w:val="19"/>
        </w:rPr>
        <w:t>attached</w:t>
      </w:r>
      <w:r>
        <w:rPr>
          <w:rFonts w:ascii="Arial" w:hAnsi="Arial"/>
          <w:color w:val="231F20"/>
          <w:spacing w:val="10"/>
          <w:w w:val="110"/>
          <w:sz w:val="19"/>
        </w:rPr>
        <w:t> </w:t>
      </w:r>
      <w:r>
        <w:rPr>
          <w:rFonts w:ascii="Arial" w:hAnsi="Arial"/>
          <w:color w:val="231F20"/>
          <w:w w:val="110"/>
          <w:sz w:val="19"/>
        </w:rPr>
        <w:t>to</w:t>
      </w:r>
      <w:r>
        <w:rPr>
          <w:rFonts w:ascii="Arial" w:hAnsi="Arial"/>
          <w:color w:val="231F20"/>
          <w:spacing w:val="10"/>
          <w:w w:val="110"/>
          <w:sz w:val="19"/>
        </w:rPr>
        <w:t> </w:t>
      </w:r>
      <w:r>
        <w:rPr>
          <w:rFonts w:ascii="Arial" w:hAnsi="Arial"/>
          <w:i/>
          <w:color w:val="231F20"/>
          <w:w w:val="110"/>
          <w:sz w:val="19"/>
        </w:rPr>
        <w:t>real</w:t>
      </w:r>
      <w:r>
        <w:rPr>
          <w:rFonts w:ascii="Arial" w:hAnsi="Arial"/>
          <w:i/>
          <w:color w:val="231F20"/>
          <w:spacing w:val="11"/>
          <w:w w:val="110"/>
          <w:sz w:val="19"/>
        </w:rPr>
        <w:t> </w:t>
      </w:r>
      <w:r>
        <w:rPr>
          <w:rFonts w:ascii="Arial" w:hAnsi="Arial"/>
          <w:color w:val="231F20"/>
          <w:spacing w:val="-2"/>
          <w:w w:val="110"/>
          <w:sz w:val="19"/>
        </w:rPr>
        <w:t>property</w:t>
      </w:r>
    </w:p>
    <w:p>
      <w:pPr>
        <w:spacing w:line="328" w:lineRule="auto" w:before="81"/>
        <w:ind w:left="1510" w:right="1262" w:hanging="341"/>
        <w:jc w:val="left"/>
        <w:rPr>
          <w:rFonts w:ascii="Arial" w:hAnsi="Arial"/>
          <w:sz w:val="19"/>
        </w:rPr>
      </w:pPr>
      <w:r>
        <w:rPr>
          <w:rFonts w:ascii="Arial" w:hAnsi="Arial"/>
          <w:i/>
          <w:color w:val="231F20"/>
          <w:w w:val="110"/>
          <w:sz w:val="19"/>
        </w:rPr>
        <w:t>Intellectual Properties</w:t>
      </w:r>
      <w:r>
        <w:rPr>
          <w:rFonts w:ascii="Arial" w:hAnsi="Arial"/>
          <w:i/>
          <w:color w:val="231F20"/>
          <w:spacing w:val="-34"/>
          <w:w w:val="110"/>
          <w:sz w:val="19"/>
        </w:rPr>
        <w:t> </w:t>
      </w:r>
      <w:r>
        <w:rPr>
          <w:rFonts w:ascii="Arial" w:hAnsi="Arial"/>
          <w:color w:val="231F20"/>
          <w:w w:val="110"/>
          <w:sz w:val="19"/>
        </w:rPr>
        <w:t>—</w:t>
      </w:r>
      <w:r>
        <w:rPr>
          <w:rFonts w:ascii="Arial" w:hAnsi="Arial"/>
          <w:color w:val="231F20"/>
          <w:spacing w:val="-34"/>
          <w:w w:val="110"/>
          <w:sz w:val="19"/>
        </w:rPr>
        <w:t> </w:t>
      </w:r>
      <w:r>
        <w:rPr>
          <w:rFonts w:ascii="Arial" w:hAnsi="Arial"/>
          <w:color w:val="231F20"/>
          <w:w w:val="110"/>
          <w:sz w:val="19"/>
        </w:rPr>
        <w:t>Creative property that has no physical form</w:t>
      </w:r>
    </w:p>
    <w:p>
      <w:pPr>
        <w:spacing w:line="328" w:lineRule="auto" w:before="1"/>
        <w:ind w:left="1510" w:right="728" w:hanging="340"/>
        <w:jc w:val="left"/>
        <w:rPr>
          <w:rFonts w:ascii="Arial" w:hAnsi="Arial"/>
          <w:sz w:val="19"/>
        </w:rPr>
      </w:pPr>
      <w:r>
        <w:rPr>
          <w:rFonts w:ascii="Arial" w:hAnsi="Arial"/>
          <w:i/>
          <w:color w:val="231F20"/>
          <w:w w:val="110"/>
          <w:sz w:val="19"/>
        </w:rPr>
        <w:t>Patents</w:t>
      </w:r>
      <w:r>
        <w:rPr>
          <w:rFonts w:ascii="Arial" w:hAnsi="Arial"/>
          <w:i/>
          <w:color w:val="231F20"/>
          <w:spacing w:val="-38"/>
          <w:w w:val="110"/>
          <w:sz w:val="19"/>
        </w:rPr>
        <w:t> </w:t>
      </w:r>
      <w:r>
        <w:rPr>
          <w:rFonts w:ascii="Arial" w:hAnsi="Arial"/>
          <w:color w:val="231F20"/>
          <w:w w:val="110"/>
          <w:sz w:val="19"/>
        </w:rPr>
        <w:t>—</w:t>
      </w:r>
      <w:r>
        <w:rPr>
          <w:rFonts w:ascii="Arial" w:hAnsi="Arial"/>
          <w:color w:val="231F20"/>
          <w:spacing w:val="-38"/>
          <w:w w:val="110"/>
          <w:sz w:val="19"/>
        </w:rPr>
        <w:t> </w:t>
      </w:r>
      <w:r>
        <w:rPr>
          <w:rFonts w:ascii="Arial" w:hAnsi="Arial"/>
          <w:i/>
          <w:color w:val="231F20"/>
          <w:w w:val="110"/>
          <w:sz w:val="19"/>
        </w:rPr>
        <w:t>Patents </w:t>
      </w:r>
      <w:r>
        <w:rPr>
          <w:rFonts w:ascii="Arial" w:hAnsi="Arial"/>
          <w:color w:val="231F20"/>
          <w:w w:val="110"/>
          <w:sz w:val="19"/>
        </w:rPr>
        <w:t>are twenty-year rights to novel, useful, </w:t>
      </w:r>
      <w:r>
        <w:rPr>
          <w:rFonts w:ascii="Arial" w:hAnsi="Arial"/>
          <w:color w:val="231F20"/>
          <w:w w:val="110"/>
          <w:sz w:val="19"/>
        </w:rPr>
        <w:t>and </w:t>
      </w:r>
      <w:r>
        <w:rPr>
          <w:rFonts w:ascii="Arial" w:hAnsi="Arial"/>
          <w:color w:val="231F20"/>
          <w:w w:val="115"/>
          <w:sz w:val="19"/>
        </w:rPr>
        <w:t>not</w:t>
      </w:r>
      <w:r>
        <w:rPr>
          <w:rFonts w:ascii="Arial" w:hAnsi="Arial"/>
          <w:color w:val="231F20"/>
          <w:spacing w:val="-9"/>
          <w:w w:val="115"/>
          <w:sz w:val="19"/>
        </w:rPr>
        <w:t> </w:t>
      </w:r>
      <w:r>
        <w:rPr>
          <w:rFonts w:ascii="Arial" w:hAnsi="Arial"/>
          <w:color w:val="231F20"/>
          <w:w w:val="115"/>
          <w:sz w:val="19"/>
        </w:rPr>
        <w:t>obvious</w:t>
      </w:r>
      <w:r>
        <w:rPr>
          <w:rFonts w:ascii="Arial" w:hAnsi="Arial"/>
          <w:color w:val="231F20"/>
          <w:spacing w:val="-9"/>
          <w:w w:val="115"/>
          <w:sz w:val="19"/>
        </w:rPr>
        <w:t> </w:t>
      </w:r>
      <w:r>
        <w:rPr>
          <w:rFonts w:ascii="Arial" w:hAnsi="Arial"/>
          <w:color w:val="231F20"/>
          <w:w w:val="115"/>
          <w:sz w:val="19"/>
        </w:rPr>
        <w:t>inventions</w:t>
      </w:r>
      <w:r>
        <w:rPr>
          <w:rFonts w:ascii="Arial" w:hAnsi="Arial"/>
          <w:color w:val="231F20"/>
          <w:spacing w:val="-9"/>
          <w:w w:val="115"/>
          <w:sz w:val="19"/>
        </w:rPr>
        <w:t> </w:t>
      </w:r>
      <w:r>
        <w:rPr>
          <w:rFonts w:ascii="Arial" w:hAnsi="Arial"/>
          <w:color w:val="231F20"/>
          <w:w w:val="115"/>
          <w:sz w:val="19"/>
        </w:rPr>
        <w:t>or</w:t>
      </w:r>
      <w:r>
        <w:rPr>
          <w:rFonts w:ascii="Arial" w:hAnsi="Arial"/>
          <w:color w:val="231F20"/>
          <w:spacing w:val="-9"/>
          <w:w w:val="115"/>
          <w:sz w:val="19"/>
        </w:rPr>
        <w:t> </w:t>
      </w:r>
      <w:r>
        <w:rPr>
          <w:rFonts w:ascii="Arial" w:hAnsi="Arial"/>
          <w:color w:val="231F20"/>
          <w:w w:val="115"/>
          <w:sz w:val="19"/>
        </w:rPr>
        <w:t>processes.</w:t>
      </w:r>
      <w:r>
        <w:rPr>
          <w:rFonts w:ascii="Arial" w:hAnsi="Arial"/>
          <w:color w:val="231F20"/>
          <w:spacing w:val="-9"/>
          <w:w w:val="115"/>
          <w:sz w:val="19"/>
        </w:rPr>
        <w:t> </w:t>
      </w:r>
      <w:r>
        <w:rPr>
          <w:rFonts w:ascii="Arial" w:hAnsi="Arial"/>
          <w:color w:val="231F20"/>
          <w:w w:val="115"/>
          <w:sz w:val="19"/>
        </w:rPr>
        <w:t>Before</w:t>
      </w:r>
      <w:r>
        <w:rPr>
          <w:rFonts w:ascii="Arial" w:hAnsi="Arial"/>
          <w:color w:val="231F20"/>
          <w:spacing w:val="-9"/>
          <w:w w:val="115"/>
          <w:sz w:val="19"/>
        </w:rPr>
        <w:t> </w:t>
      </w:r>
      <w:r>
        <w:rPr>
          <w:rFonts w:ascii="Arial" w:hAnsi="Arial"/>
          <w:color w:val="231F20"/>
          <w:w w:val="115"/>
          <w:sz w:val="19"/>
        </w:rPr>
        <w:t>June</w:t>
      </w:r>
      <w:r>
        <w:rPr>
          <w:rFonts w:ascii="Arial" w:hAnsi="Arial"/>
          <w:color w:val="231F20"/>
          <w:spacing w:val="-9"/>
          <w:w w:val="115"/>
          <w:sz w:val="19"/>
        </w:rPr>
        <w:t> </w:t>
      </w:r>
      <w:r>
        <w:rPr>
          <w:rFonts w:ascii="Arial" w:hAnsi="Arial"/>
          <w:color w:val="231F20"/>
          <w:w w:val="115"/>
          <w:sz w:val="19"/>
        </w:rPr>
        <w:t>1995 patents lasted seventeen years.</w:t>
      </w:r>
    </w:p>
    <w:p>
      <w:pPr>
        <w:spacing w:line="328" w:lineRule="auto" w:before="2"/>
        <w:ind w:left="1509" w:right="1416" w:hanging="340"/>
        <w:jc w:val="left"/>
        <w:rPr>
          <w:rFonts w:ascii="Arial" w:hAnsi="Arial"/>
          <w:sz w:val="19"/>
        </w:rPr>
      </w:pPr>
      <w:r>
        <w:rPr>
          <w:rFonts w:ascii="Arial" w:hAnsi="Arial"/>
          <w:i/>
          <w:color w:val="231F20"/>
          <w:w w:val="115"/>
          <w:sz w:val="19"/>
        </w:rPr>
        <w:t>Copyrights</w:t>
      </w:r>
      <w:r>
        <w:rPr>
          <w:rFonts w:ascii="Arial" w:hAnsi="Arial"/>
          <w:i/>
          <w:color w:val="231F20"/>
          <w:spacing w:val="-42"/>
          <w:w w:val="115"/>
          <w:sz w:val="19"/>
        </w:rPr>
        <w:t> </w:t>
      </w:r>
      <w:r>
        <w:rPr>
          <w:rFonts w:ascii="Arial" w:hAnsi="Arial"/>
          <w:color w:val="231F20"/>
          <w:spacing w:val="11"/>
          <w:w w:val="115"/>
          <w:sz w:val="19"/>
        </w:rPr>
        <w:t>—</w:t>
      </w:r>
      <w:r>
        <w:rPr>
          <w:rFonts w:ascii="Arial" w:hAnsi="Arial"/>
          <w:color w:val="231F20"/>
          <w:w w:val="115"/>
          <w:sz w:val="19"/>
        </w:rPr>
        <w:t>A</w:t>
      </w:r>
      <w:r>
        <w:rPr>
          <w:rFonts w:ascii="Arial" w:hAnsi="Arial"/>
          <w:color w:val="231F20"/>
          <w:spacing w:val="-3"/>
          <w:w w:val="115"/>
          <w:sz w:val="19"/>
        </w:rPr>
        <w:t> </w:t>
      </w:r>
      <w:r>
        <w:rPr>
          <w:rFonts w:ascii="Arial" w:hAnsi="Arial"/>
          <w:i/>
          <w:color w:val="231F20"/>
          <w:w w:val="115"/>
          <w:sz w:val="19"/>
        </w:rPr>
        <w:t>copyright</w:t>
      </w:r>
      <w:r>
        <w:rPr>
          <w:rFonts w:ascii="Arial" w:hAnsi="Arial"/>
          <w:i/>
          <w:color w:val="231F20"/>
          <w:spacing w:val="-4"/>
          <w:w w:val="115"/>
          <w:sz w:val="19"/>
        </w:rPr>
        <w:t> </w:t>
      </w:r>
      <w:r>
        <w:rPr>
          <w:rFonts w:ascii="Arial" w:hAnsi="Arial"/>
          <w:color w:val="231F20"/>
          <w:w w:val="115"/>
          <w:sz w:val="19"/>
        </w:rPr>
        <w:t>is</w:t>
      </w:r>
      <w:r>
        <w:rPr>
          <w:rFonts w:ascii="Arial" w:hAnsi="Arial"/>
          <w:color w:val="231F20"/>
          <w:spacing w:val="-3"/>
          <w:w w:val="115"/>
          <w:sz w:val="19"/>
        </w:rPr>
        <w:t> </w:t>
      </w:r>
      <w:r>
        <w:rPr>
          <w:rFonts w:ascii="Arial" w:hAnsi="Arial"/>
          <w:color w:val="231F20"/>
          <w:w w:val="115"/>
          <w:sz w:val="19"/>
        </w:rPr>
        <w:t>the</w:t>
      </w:r>
      <w:r>
        <w:rPr>
          <w:rFonts w:ascii="Arial" w:hAnsi="Arial"/>
          <w:color w:val="231F20"/>
          <w:spacing w:val="-3"/>
          <w:w w:val="115"/>
          <w:sz w:val="19"/>
        </w:rPr>
        <w:t> </w:t>
      </w:r>
      <w:r>
        <w:rPr>
          <w:rFonts w:ascii="Arial" w:hAnsi="Arial"/>
          <w:color w:val="231F20"/>
          <w:w w:val="115"/>
          <w:sz w:val="19"/>
        </w:rPr>
        <w:t>right</w:t>
      </w:r>
      <w:r>
        <w:rPr>
          <w:rFonts w:ascii="Arial" w:hAnsi="Arial"/>
          <w:color w:val="231F20"/>
          <w:spacing w:val="-3"/>
          <w:w w:val="115"/>
          <w:sz w:val="19"/>
        </w:rPr>
        <w:t> </w:t>
      </w:r>
      <w:r>
        <w:rPr>
          <w:rFonts w:ascii="Arial" w:hAnsi="Arial"/>
          <w:color w:val="231F20"/>
          <w:w w:val="115"/>
          <w:sz w:val="19"/>
        </w:rPr>
        <w:t>to</w:t>
      </w:r>
      <w:r>
        <w:rPr>
          <w:rFonts w:ascii="Arial" w:hAnsi="Arial"/>
          <w:color w:val="231F20"/>
          <w:spacing w:val="-3"/>
          <w:w w:val="115"/>
          <w:sz w:val="19"/>
        </w:rPr>
        <w:t> </w:t>
      </w:r>
      <w:r>
        <w:rPr>
          <w:rFonts w:ascii="Arial" w:hAnsi="Arial"/>
          <w:color w:val="231F20"/>
          <w:w w:val="115"/>
          <w:sz w:val="19"/>
        </w:rPr>
        <w:t>written</w:t>
      </w:r>
      <w:r>
        <w:rPr>
          <w:rFonts w:ascii="Arial" w:hAnsi="Arial"/>
          <w:color w:val="231F20"/>
          <w:spacing w:val="-3"/>
          <w:w w:val="115"/>
          <w:sz w:val="19"/>
        </w:rPr>
        <w:t> </w:t>
      </w:r>
      <w:r>
        <w:rPr>
          <w:rFonts w:ascii="Arial" w:hAnsi="Arial"/>
          <w:color w:val="231F20"/>
          <w:w w:val="115"/>
          <w:sz w:val="19"/>
        </w:rPr>
        <w:t>works for the life of the author plus fifty years. Before</w:t>
      </w:r>
    </w:p>
    <w:p>
      <w:pPr>
        <w:spacing w:line="328" w:lineRule="auto" w:before="2"/>
        <w:ind w:left="1509" w:right="1045" w:firstLine="0"/>
        <w:jc w:val="left"/>
        <w:rPr>
          <w:rFonts w:ascii="Arial"/>
          <w:sz w:val="19"/>
        </w:rPr>
      </w:pPr>
      <w:r>
        <w:rPr>
          <w:rFonts w:ascii="Arial"/>
          <w:color w:val="231F20"/>
          <w:spacing w:val="-2"/>
          <w:w w:val="115"/>
          <w:sz w:val="19"/>
        </w:rPr>
        <w:t>January</w:t>
      </w:r>
      <w:r>
        <w:rPr>
          <w:rFonts w:ascii="Arial"/>
          <w:color w:val="231F20"/>
          <w:spacing w:val="-9"/>
          <w:w w:val="115"/>
          <w:sz w:val="19"/>
        </w:rPr>
        <w:t> </w:t>
      </w:r>
      <w:r>
        <w:rPr>
          <w:rFonts w:ascii="Arial"/>
          <w:color w:val="231F20"/>
          <w:spacing w:val="-2"/>
          <w:w w:val="115"/>
          <w:sz w:val="19"/>
        </w:rPr>
        <w:t>1978,</w:t>
      </w:r>
      <w:r>
        <w:rPr>
          <w:rFonts w:ascii="Arial"/>
          <w:color w:val="231F20"/>
          <w:spacing w:val="-9"/>
          <w:w w:val="115"/>
          <w:sz w:val="19"/>
        </w:rPr>
        <w:t> </w:t>
      </w:r>
      <w:r>
        <w:rPr>
          <w:rFonts w:ascii="Arial"/>
          <w:color w:val="231F20"/>
          <w:spacing w:val="-2"/>
          <w:w w:val="115"/>
          <w:sz w:val="19"/>
        </w:rPr>
        <w:t>a</w:t>
      </w:r>
      <w:r>
        <w:rPr>
          <w:rFonts w:ascii="Arial"/>
          <w:color w:val="231F20"/>
          <w:spacing w:val="-9"/>
          <w:w w:val="115"/>
          <w:sz w:val="19"/>
        </w:rPr>
        <w:t> </w:t>
      </w:r>
      <w:r>
        <w:rPr>
          <w:rFonts w:ascii="Arial"/>
          <w:color w:val="231F20"/>
          <w:spacing w:val="-2"/>
          <w:w w:val="115"/>
          <w:sz w:val="19"/>
        </w:rPr>
        <w:t>copyright</w:t>
      </w:r>
      <w:r>
        <w:rPr>
          <w:rFonts w:ascii="Arial"/>
          <w:color w:val="231F20"/>
          <w:spacing w:val="-9"/>
          <w:w w:val="115"/>
          <w:sz w:val="19"/>
        </w:rPr>
        <w:t> </w:t>
      </w:r>
      <w:r>
        <w:rPr>
          <w:rFonts w:ascii="Arial"/>
          <w:color w:val="231F20"/>
          <w:spacing w:val="-2"/>
          <w:w w:val="115"/>
          <w:sz w:val="19"/>
        </w:rPr>
        <w:t>could</w:t>
      </w:r>
      <w:r>
        <w:rPr>
          <w:rFonts w:ascii="Arial"/>
          <w:color w:val="231F20"/>
          <w:spacing w:val="-9"/>
          <w:w w:val="115"/>
          <w:sz w:val="19"/>
        </w:rPr>
        <w:t> </w:t>
      </w:r>
      <w:r>
        <w:rPr>
          <w:rFonts w:ascii="Arial"/>
          <w:color w:val="231F20"/>
          <w:spacing w:val="-2"/>
          <w:w w:val="115"/>
          <w:sz w:val="19"/>
        </w:rPr>
        <w:t>last</w:t>
      </w:r>
      <w:r>
        <w:rPr>
          <w:rFonts w:ascii="Arial"/>
          <w:color w:val="231F20"/>
          <w:spacing w:val="-9"/>
          <w:w w:val="115"/>
          <w:sz w:val="19"/>
        </w:rPr>
        <w:t> </w:t>
      </w:r>
      <w:r>
        <w:rPr>
          <w:rFonts w:ascii="Arial"/>
          <w:color w:val="231F20"/>
          <w:spacing w:val="-2"/>
          <w:w w:val="115"/>
          <w:sz w:val="19"/>
        </w:rPr>
        <w:t>up</w:t>
      </w:r>
      <w:r>
        <w:rPr>
          <w:rFonts w:ascii="Arial"/>
          <w:color w:val="231F20"/>
          <w:spacing w:val="-9"/>
          <w:w w:val="115"/>
          <w:sz w:val="19"/>
        </w:rPr>
        <w:t> </w:t>
      </w:r>
      <w:r>
        <w:rPr>
          <w:rFonts w:ascii="Arial"/>
          <w:color w:val="231F20"/>
          <w:spacing w:val="-2"/>
          <w:w w:val="115"/>
          <w:sz w:val="19"/>
        </w:rPr>
        <w:t>to</w:t>
      </w:r>
      <w:r>
        <w:rPr>
          <w:rFonts w:ascii="Arial"/>
          <w:color w:val="231F20"/>
          <w:spacing w:val="-9"/>
          <w:w w:val="115"/>
          <w:sz w:val="19"/>
        </w:rPr>
        <w:t> </w:t>
      </w:r>
      <w:r>
        <w:rPr>
          <w:rFonts w:ascii="Arial"/>
          <w:color w:val="231F20"/>
          <w:spacing w:val="-2"/>
          <w:w w:val="115"/>
          <w:sz w:val="19"/>
        </w:rPr>
        <w:t>seventy-five years.</w:t>
      </w:r>
    </w:p>
    <w:p>
      <w:pPr>
        <w:spacing w:line="328" w:lineRule="auto" w:before="1"/>
        <w:ind w:left="1509" w:right="1262" w:hanging="340"/>
        <w:jc w:val="left"/>
        <w:rPr>
          <w:rFonts w:ascii="Arial" w:hAnsi="Arial"/>
          <w:sz w:val="19"/>
        </w:rPr>
      </w:pPr>
      <w:r>
        <w:rPr>
          <w:rFonts w:ascii="Arial" w:hAnsi="Arial"/>
          <w:i/>
          <w:color w:val="231F20"/>
          <w:w w:val="110"/>
          <w:sz w:val="19"/>
        </w:rPr>
        <w:t>Trademarks</w:t>
      </w:r>
      <w:r>
        <w:rPr>
          <w:rFonts w:ascii="Arial" w:hAnsi="Arial"/>
          <w:i/>
          <w:color w:val="231F20"/>
          <w:spacing w:val="-38"/>
          <w:w w:val="110"/>
          <w:sz w:val="19"/>
        </w:rPr>
        <w:t> </w:t>
      </w:r>
      <w:r>
        <w:rPr>
          <w:rFonts w:ascii="Arial" w:hAnsi="Arial"/>
          <w:color w:val="231F20"/>
          <w:w w:val="110"/>
          <w:sz w:val="19"/>
        </w:rPr>
        <w:t>—These are renewable twenty-year rights for </w:t>
      </w:r>
      <w:r>
        <w:rPr>
          <w:rFonts w:ascii="Arial" w:hAnsi="Arial"/>
          <w:color w:val="231F20"/>
          <w:w w:val="115"/>
          <w:sz w:val="19"/>
        </w:rPr>
        <w:t>marks used in a trade of business.</w:t>
      </w:r>
    </w:p>
    <w:p>
      <w:pPr>
        <w:pStyle w:val="BodyText"/>
        <w:rPr>
          <w:rFonts w:ascii="Arial"/>
          <w:sz w:val="20"/>
        </w:rPr>
      </w:pPr>
    </w:p>
    <w:p>
      <w:pPr>
        <w:pStyle w:val="BodyText"/>
        <w:rPr>
          <w:rFonts w:ascii="Arial"/>
          <w:sz w:val="20"/>
        </w:rPr>
      </w:pPr>
    </w:p>
    <w:p>
      <w:pPr>
        <w:pStyle w:val="Heading6"/>
        <w:spacing w:line="292" w:lineRule="auto" w:before="120"/>
        <w:ind w:left="1346" w:right="1263"/>
      </w:pPr>
      <w:r>
        <w:rPr>
          <w:i/>
          <w:color w:val="231F20"/>
          <w:w w:val="110"/>
        </w:rPr>
        <w:t>UNIFORM</w:t>
      </w:r>
      <w:r>
        <w:rPr>
          <w:i/>
          <w:color w:val="231F20"/>
          <w:spacing w:val="40"/>
          <w:w w:val="110"/>
        </w:rPr>
        <w:t> </w:t>
      </w:r>
      <w:r>
        <w:rPr>
          <w:i/>
          <w:color w:val="231F20"/>
          <w:w w:val="110"/>
        </w:rPr>
        <w:t>COMMERCIAL</w:t>
      </w:r>
      <w:r>
        <w:rPr>
          <w:i/>
          <w:color w:val="231F20"/>
          <w:spacing w:val="40"/>
          <w:w w:val="110"/>
        </w:rPr>
        <w:t> </w:t>
      </w:r>
      <w:r>
        <w:rPr>
          <w:i/>
          <w:color w:val="231F20"/>
          <w:w w:val="110"/>
        </w:rPr>
        <w:t>CODE</w:t>
      </w:r>
      <w:r>
        <w:rPr>
          <w:i/>
          <w:color w:val="231F20"/>
          <w:spacing w:val="40"/>
          <w:w w:val="110"/>
        </w:rPr>
        <w:t> </w:t>
      </w:r>
      <w:r>
        <w:rPr>
          <w:i/>
          <w:color w:val="231F20"/>
          <w:w w:val="110"/>
        </w:rPr>
        <w:t>(UCC)</w:t>
      </w:r>
      <w:r>
        <w:rPr>
          <w:i/>
          <w:color w:val="231F20"/>
          <w:spacing w:val="40"/>
          <w:w w:val="110"/>
        </w:rPr>
        <w:t> </w:t>
      </w:r>
      <w:r>
        <w:rPr>
          <w:i/>
          <w:color w:val="231F20"/>
          <w:w w:val="110"/>
        </w:rPr>
        <w:t>ARTICLE</w:t>
      </w:r>
      <w:r>
        <w:rPr>
          <w:i/>
          <w:color w:val="231F20"/>
          <w:spacing w:val="40"/>
          <w:w w:val="110"/>
        </w:rPr>
        <w:t> </w:t>
      </w:r>
      <w:r>
        <w:rPr>
          <w:i/>
          <w:color w:val="231F20"/>
          <w:spacing w:val="10"/>
          <w:w w:val="110"/>
        </w:rPr>
        <w:t>2:</w:t>
      </w:r>
      <w:r>
        <w:rPr>
          <w:color w:val="231F20"/>
          <w:spacing w:val="40"/>
          <w:w w:val="110"/>
        </w:rPr>
        <w:t> </w:t>
      </w:r>
      <w:r>
        <w:rPr>
          <w:color w:val="231F20"/>
          <w:w w:val="110"/>
        </w:rPr>
        <w:t>SALES</w:t>
      </w:r>
      <w:r>
        <w:rPr>
          <w:color w:val="231F20"/>
          <w:w w:val="110"/>
        </w:rPr>
        <w:t> </w:t>
      </w:r>
      <w:r>
        <w:rPr>
          <w:color w:val="231F20"/>
          <w:spacing w:val="10"/>
          <w:w w:val="110"/>
        </w:rPr>
        <w:t>CONTRACTS</w:t>
      </w:r>
    </w:p>
    <w:p>
      <w:pPr>
        <w:pStyle w:val="BodyText"/>
        <w:spacing w:before="6"/>
        <w:rPr>
          <w:b/>
          <w:i/>
          <w:sz w:val="25"/>
        </w:rPr>
      </w:pPr>
    </w:p>
    <w:p>
      <w:pPr>
        <w:pStyle w:val="BodyText"/>
        <w:spacing w:line="292" w:lineRule="auto"/>
        <w:ind w:left="830" w:right="754"/>
        <w:jc w:val="both"/>
      </w:pPr>
      <w:r>
        <w:rPr>
          <w:color w:val="231F20"/>
        </w:rPr>
        <w:t>The UCC mentioned previously covers many aspects of property- related transactions and contracts. It is such an important part of </w:t>
      </w:r>
      <w:r>
        <w:rPr>
          <w:color w:val="231F20"/>
        </w:rPr>
        <w:t>the law that it is covered in greater depth here and in separate sections that follow. The property-related part of the act defines a “mer- chant” as a person who regularly deals in the goods included in the contract. Transactions between merchants are considered special</w:t>
      </w:r>
      <w:r>
        <w:rPr>
          <w:color w:val="231F20"/>
          <w:spacing w:val="40"/>
        </w:rPr>
        <w:t> </w:t>
      </w:r>
      <w:r>
        <w:rPr>
          <w:color w:val="231F20"/>
        </w:rPr>
        <w:t>and have different levels of documentation required for a contract to be enforceable.</w:t>
      </w:r>
    </w:p>
    <w:p>
      <w:pPr>
        <w:spacing w:after="0" w:line="292" w:lineRule="auto"/>
        <w:jc w:val="both"/>
        <w:sectPr>
          <w:pgSz w:w="8640" w:h="12960"/>
          <w:pgMar w:header="732" w:footer="0" w:top="920" w:bottom="280" w:left="340" w:right="500"/>
        </w:sectPr>
      </w:pPr>
    </w:p>
    <w:p>
      <w:pPr>
        <w:pStyle w:val="BodyText"/>
        <w:spacing w:before="5"/>
        <w:rPr>
          <w:sz w:val="17"/>
        </w:rPr>
      </w:pPr>
    </w:p>
    <w:p>
      <w:pPr>
        <w:pStyle w:val="BodyText"/>
        <w:spacing w:line="292" w:lineRule="auto" w:before="105"/>
        <w:ind w:left="919" w:right="665" w:firstLine="340"/>
        <w:jc w:val="both"/>
      </w:pPr>
      <w:r>
        <w:rPr>
          <w:b/>
          <w:i/>
          <w:color w:val="231F20"/>
        </w:rPr>
        <w:t>Bailment</w:t>
      </w:r>
      <w:r>
        <w:rPr>
          <w:b/>
          <w:i/>
          <w:color w:val="231F20"/>
          <w:spacing w:val="-12"/>
        </w:rPr>
        <w:t> </w:t>
      </w:r>
      <w:r>
        <w:rPr>
          <w:color w:val="231F20"/>
          <w:spacing w:val="24"/>
        </w:rPr>
        <w:t>—</w:t>
      </w:r>
      <w:r>
        <w:rPr>
          <w:color w:val="231F20"/>
        </w:rPr>
        <w:t>A</w:t>
      </w:r>
      <w:r>
        <w:rPr>
          <w:color w:val="231F20"/>
          <w:spacing w:val="40"/>
        </w:rPr>
        <w:t> </w:t>
      </w:r>
      <w:r>
        <w:rPr>
          <w:i/>
          <w:color w:val="231F20"/>
        </w:rPr>
        <w:t>bailment </w:t>
      </w:r>
      <w:r>
        <w:rPr>
          <w:color w:val="231F20"/>
        </w:rPr>
        <w:t>is a temporary transfer of possession,</w:t>
      </w:r>
      <w:r>
        <w:rPr>
          <w:color w:val="231F20"/>
          <w:spacing w:val="40"/>
        </w:rPr>
        <w:t> </w:t>
      </w:r>
      <w:r>
        <w:rPr>
          <w:color w:val="231F20"/>
        </w:rPr>
        <w:t>not ownership, of property from a </w:t>
      </w:r>
      <w:r>
        <w:rPr>
          <w:i/>
          <w:color w:val="231F20"/>
        </w:rPr>
        <w:t>bailor </w:t>
      </w:r>
      <w:r>
        <w:rPr>
          <w:color w:val="231F20"/>
        </w:rPr>
        <w:t>to a </w:t>
      </w:r>
      <w:r>
        <w:rPr>
          <w:i/>
          <w:color w:val="231F20"/>
        </w:rPr>
        <w:t>bailee </w:t>
      </w:r>
      <w:r>
        <w:rPr>
          <w:color w:val="231F20"/>
        </w:rPr>
        <w:t>for a limited</w:t>
      </w:r>
      <w:r>
        <w:rPr>
          <w:color w:val="231F20"/>
          <w:spacing w:val="80"/>
          <w:w w:val="150"/>
        </w:rPr>
        <w:t> </w:t>
      </w:r>
      <w:r>
        <w:rPr>
          <w:color w:val="231F20"/>
        </w:rPr>
        <w:t>time and a special purpose. Sending your laundry to the cleaner is a </w:t>
      </w:r>
      <w:r>
        <w:rPr>
          <w:color w:val="231F20"/>
          <w:spacing w:val="-2"/>
        </w:rPr>
        <w:t>bailment.</w:t>
      </w:r>
    </w:p>
    <w:p>
      <w:pPr>
        <w:pStyle w:val="BodyText"/>
        <w:spacing w:line="292" w:lineRule="auto"/>
        <w:ind w:left="920" w:right="663" w:firstLine="340"/>
        <w:jc w:val="both"/>
      </w:pPr>
      <w:r>
        <w:rPr>
          <w:color w:val="231F20"/>
        </w:rPr>
        <w:t>When a person delivers personal property in a bailment, the </w:t>
      </w:r>
      <w:r>
        <w:rPr>
          <w:i/>
          <w:color w:val="231F20"/>
        </w:rPr>
        <w:t>standard of care </w:t>
      </w:r>
      <w:r>
        <w:rPr>
          <w:color w:val="231F20"/>
        </w:rPr>
        <w:t>required by the bailee depends on the mutual</w:t>
      </w:r>
      <w:r>
        <w:rPr>
          <w:color w:val="231F20"/>
          <w:spacing w:val="40"/>
        </w:rPr>
        <w:t> </w:t>
      </w:r>
      <w:r>
        <w:rPr>
          <w:color w:val="231F20"/>
        </w:rPr>
        <w:t>benefit of the relationship. If the bailment is for the sole benefit of</w:t>
      </w:r>
      <w:r>
        <w:rPr>
          <w:color w:val="231F20"/>
          <w:spacing w:val="80"/>
        </w:rPr>
        <w:t> </w:t>
      </w:r>
      <w:r>
        <w:rPr>
          <w:color w:val="231F20"/>
        </w:rPr>
        <w:t>the bailor, only “slight degree of care” is required. “Do me a favor: Please keep this at your house for me while I’m away” is one exam- ple. If the bailment is for the mutual benefit of the parties, such as a paid warehouse, a “reasonable degree of care” is necessary. If the</w:t>
      </w:r>
      <w:r>
        <w:rPr>
          <w:color w:val="231F20"/>
          <w:spacing w:val="40"/>
        </w:rPr>
        <w:t> </w:t>
      </w:r>
      <w:r>
        <w:rPr>
          <w:color w:val="231F20"/>
        </w:rPr>
        <w:t>only benefit is for the bailee, an “extreme degree of care” is </w:t>
      </w:r>
      <w:r>
        <w:rPr>
          <w:color w:val="231F20"/>
        </w:rPr>
        <w:t>required. (“Can I use your car this weekend?”)</w:t>
      </w:r>
    </w:p>
    <w:p>
      <w:pPr>
        <w:pStyle w:val="BodyText"/>
        <w:spacing w:line="292" w:lineRule="auto"/>
        <w:ind w:left="919" w:right="663" w:firstLine="340"/>
        <w:jc w:val="both"/>
      </w:pPr>
      <w:r>
        <w:rPr>
          <w:b/>
          <w:i/>
          <w:color w:val="231F20"/>
        </w:rPr>
        <w:t>Sale</w:t>
      </w:r>
      <w:r>
        <w:rPr>
          <w:b/>
          <w:i/>
          <w:color w:val="231F20"/>
          <w:spacing w:val="-12"/>
        </w:rPr>
        <w:t> </w:t>
      </w:r>
      <w:r>
        <w:rPr>
          <w:color w:val="231F20"/>
          <w:spacing w:val="21"/>
        </w:rPr>
        <w:t>—</w:t>
      </w:r>
      <w:r>
        <w:rPr>
          <w:color w:val="231F20"/>
        </w:rPr>
        <w:t>A </w:t>
      </w:r>
      <w:r>
        <w:rPr>
          <w:i/>
          <w:color w:val="231F20"/>
        </w:rPr>
        <w:t>sale </w:t>
      </w:r>
      <w:r>
        <w:rPr>
          <w:color w:val="231F20"/>
        </w:rPr>
        <w:t>is a permanent transfer of ownership in exchange for</w:t>
      </w:r>
      <w:r>
        <w:rPr>
          <w:color w:val="231F20"/>
          <w:spacing w:val="40"/>
        </w:rPr>
        <w:t> </w:t>
      </w:r>
      <w:r>
        <w:rPr>
          <w:color w:val="231F20"/>
        </w:rPr>
        <w:t>a</w:t>
      </w:r>
      <w:r>
        <w:rPr>
          <w:color w:val="231F20"/>
          <w:spacing w:val="40"/>
        </w:rPr>
        <w:t> </w:t>
      </w:r>
      <w:r>
        <w:rPr>
          <w:i/>
          <w:color w:val="231F20"/>
        </w:rPr>
        <w:t>consideration</w:t>
      </w:r>
      <w:r>
        <w:rPr>
          <w:i/>
          <w:color w:val="231F20"/>
          <w:spacing w:val="40"/>
        </w:rPr>
        <w:t> </w:t>
      </w:r>
      <w:r>
        <w:rPr>
          <w:color w:val="231F20"/>
        </w:rPr>
        <w:t>or</w:t>
      </w:r>
      <w:r>
        <w:rPr>
          <w:color w:val="231F20"/>
          <w:spacing w:val="40"/>
        </w:rPr>
        <w:t> </w:t>
      </w:r>
      <w:r>
        <w:rPr>
          <w:color w:val="231F20"/>
        </w:rPr>
        <w:t>payment.</w:t>
      </w:r>
      <w:r>
        <w:rPr>
          <w:color w:val="231F20"/>
          <w:spacing w:val="40"/>
        </w:rPr>
        <w:t> </w:t>
      </w:r>
      <w:r>
        <w:rPr>
          <w:color w:val="231F20"/>
        </w:rPr>
        <w:t>The</w:t>
      </w:r>
      <w:r>
        <w:rPr>
          <w:color w:val="231F20"/>
          <w:spacing w:val="40"/>
        </w:rPr>
        <w:t> </w:t>
      </w:r>
      <w:r>
        <w:rPr>
          <w:color w:val="231F20"/>
        </w:rPr>
        <w:t>seller</w:t>
      </w:r>
      <w:r>
        <w:rPr>
          <w:color w:val="231F20"/>
          <w:spacing w:val="40"/>
        </w:rPr>
        <w:t> </w:t>
      </w:r>
      <w:r>
        <w:rPr>
          <w:color w:val="231F20"/>
        </w:rPr>
        <w:t>can</w:t>
      </w:r>
      <w:r>
        <w:rPr>
          <w:color w:val="231F20"/>
          <w:spacing w:val="40"/>
        </w:rPr>
        <w:t> </w:t>
      </w:r>
      <w:r>
        <w:rPr>
          <w:color w:val="231F20"/>
        </w:rPr>
        <w:t>convey</w:t>
      </w:r>
      <w:r>
        <w:rPr>
          <w:color w:val="231F20"/>
          <w:spacing w:val="40"/>
        </w:rPr>
        <w:t> </w:t>
      </w:r>
      <w:r>
        <w:rPr>
          <w:color w:val="231F20"/>
        </w:rPr>
        <w:t>no</w:t>
      </w:r>
      <w:r>
        <w:rPr>
          <w:color w:val="231F20"/>
          <w:spacing w:val="40"/>
        </w:rPr>
        <w:t> </w:t>
      </w:r>
      <w:r>
        <w:rPr>
          <w:color w:val="231F20"/>
        </w:rPr>
        <w:t>more rights than he or she owns, with three exceptions:</w:t>
      </w:r>
    </w:p>
    <w:p>
      <w:pPr>
        <w:pStyle w:val="BodyText"/>
        <w:spacing w:before="10"/>
        <w:rPr>
          <w:sz w:val="26"/>
        </w:rPr>
      </w:pPr>
    </w:p>
    <w:p>
      <w:pPr>
        <w:pStyle w:val="ListParagraph"/>
        <w:numPr>
          <w:ilvl w:val="0"/>
          <w:numId w:val="51"/>
        </w:numPr>
        <w:tabs>
          <w:tab w:pos="1611" w:val="left" w:leader="none"/>
        </w:tabs>
        <w:spacing w:line="328" w:lineRule="auto" w:before="0" w:after="0"/>
        <w:ind w:left="1609" w:right="666" w:hanging="170"/>
        <w:jc w:val="both"/>
        <w:rPr>
          <w:sz w:val="19"/>
        </w:rPr>
      </w:pPr>
      <w:r>
        <w:rPr>
          <w:color w:val="231F20"/>
          <w:w w:val="115"/>
          <w:sz w:val="19"/>
        </w:rPr>
        <w:t>A good title can pass to a “bona fide purchaser in good faith.” As a purchaser you have no knowledge that a bad title exists.</w:t>
      </w:r>
    </w:p>
    <w:p>
      <w:pPr>
        <w:pStyle w:val="ListParagraph"/>
        <w:numPr>
          <w:ilvl w:val="0"/>
          <w:numId w:val="51"/>
        </w:numPr>
        <w:tabs>
          <w:tab w:pos="1611" w:val="left" w:leader="none"/>
        </w:tabs>
        <w:spacing w:line="328" w:lineRule="auto" w:before="2" w:after="0"/>
        <w:ind w:left="1609" w:right="664" w:hanging="219"/>
        <w:jc w:val="both"/>
        <w:rPr>
          <w:sz w:val="19"/>
        </w:rPr>
      </w:pPr>
      <w:r>
        <w:rPr>
          <w:color w:val="231F20"/>
          <w:w w:val="115"/>
          <w:sz w:val="19"/>
        </w:rPr>
        <w:t>If</w:t>
      </w:r>
      <w:r>
        <w:rPr>
          <w:color w:val="231F20"/>
          <w:spacing w:val="-1"/>
          <w:w w:val="115"/>
          <w:sz w:val="19"/>
        </w:rPr>
        <w:t> </w:t>
      </w:r>
      <w:r>
        <w:rPr>
          <w:color w:val="231F20"/>
          <w:w w:val="115"/>
          <w:sz w:val="19"/>
        </w:rPr>
        <w:t>you</w:t>
      </w:r>
      <w:r>
        <w:rPr>
          <w:color w:val="231F20"/>
          <w:spacing w:val="-1"/>
          <w:w w:val="115"/>
          <w:sz w:val="19"/>
        </w:rPr>
        <w:t> </w:t>
      </w:r>
      <w:r>
        <w:rPr>
          <w:color w:val="231F20"/>
          <w:w w:val="115"/>
          <w:sz w:val="19"/>
        </w:rPr>
        <w:t>buy</w:t>
      </w:r>
      <w:r>
        <w:rPr>
          <w:color w:val="231F20"/>
          <w:spacing w:val="-1"/>
          <w:w w:val="115"/>
          <w:sz w:val="19"/>
        </w:rPr>
        <w:t> </w:t>
      </w:r>
      <w:r>
        <w:rPr>
          <w:color w:val="231F20"/>
          <w:w w:val="115"/>
          <w:sz w:val="19"/>
        </w:rPr>
        <w:t>from</w:t>
      </w:r>
      <w:r>
        <w:rPr>
          <w:color w:val="231F20"/>
          <w:spacing w:val="-1"/>
          <w:w w:val="115"/>
          <w:sz w:val="19"/>
        </w:rPr>
        <w:t> </w:t>
      </w:r>
      <w:r>
        <w:rPr>
          <w:color w:val="231F20"/>
          <w:w w:val="115"/>
          <w:sz w:val="19"/>
        </w:rPr>
        <w:t>a</w:t>
      </w:r>
      <w:r>
        <w:rPr>
          <w:color w:val="231F20"/>
          <w:spacing w:val="-1"/>
          <w:w w:val="115"/>
          <w:sz w:val="19"/>
        </w:rPr>
        <w:t> </w:t>
      </w:r>
      <w:r>
        <w:rPr>
          <w:color w:val="231F20"/>
          <w:w w:val="115"/>
          <w:sz w:val="19"/>
        </w:rPr>
        <w:t>retailer,</w:t>
      </w:r>
      <w:r>
        <w:rPr>
          <w:color w:val="231F20"/>
          <w:spacing w:val="-1"/>
          <w:w w:val="115"/>
          <w:sz w:val="19"/>
        </w:rPr>
        <w:t> </w:t>
      </w:r>
      <w:r>
        <w:rPr>
          <w:color w:val="231F20"/>
          <w:w w:val="115"/>
          <w:sz w:val="19"/>
        </w:rPr>
        <w:t>who</w:t>
      </w:r>
      <w:r>
        <w:rPr>
          <w:color w:val="231F20"/>
          <w:spacing w:val="-1"/>
          <w:w w:val="115"/>
          <w:sz w:val="19"/>
        </w:rPr>
        <w:t> </w:t>
      </w:r>
      <w:r>
        <w:rPr>
          <w:color w:val="231F20"/>
          <w:w w:val="115"/>
          <w:sz w:val="19"/>
        </w:rPr>
        <w:t>has</w:t>
      </w:r>
      <w:r>
        <w:rPr>
          <w:color w:val="231F20"/>
          <w:spacing w:val="-1"/>
          <w:w w:val="115"/>
          <w:sz w:val="19"/>
        </w:rPr>
        <w:t> </w:t>
      </w:r>
      <w:r>
        <w:rPr>
          <w:color w:val="231F20"/>
          <w:w w:val="115"/>
          <w:sz w:val="19"/>
        </w:rPr>
        <w:t>already</w:t>
      </w:r>
      <w:r>
        <w:rPr>
          <w:color w:val="231F20"/>
          <w:spacing w:val="-1"/>
          <w:w w:val="115"/>
          <w:sz w:val="19"/>
        </w:rPr>
        <w:t> </w:t>
      </w:r>
      <w:r>
        <w:rPr>
          <w:color w:val="231F20"/>
          <w:w w:val="115"/>
          <w:sz w:val="19"/>
        </w:rPr>
        <w:t>sold</w:t>
      </w:r>
      <w:r>
        <w:rPr>
          <w:color w:val="231F20"/>
          <w:spacing w:val="-1"/>
          <w:w w:val="115"/>
          <w:sz w:val="19"/>
        </w:rPr>
        <w:t> </w:t>
      </w:r>
      <w:r>
        <w:rPr>
          <w:color w:val="231F20"/>
          <w:w w:val="115"/>
          <w:sz w:val="19"/>
        </w:rPr>
        <w:t>the</w:t>
      </w:r>
      <w:r>
        <w:rPr>
          <w:color w:val="231F20"/>
          <w:spacing w:val="-1"/>
          <w:w w:val="115"/>
          <w:sz w:val="19"/>
        </w:rPr>
        <w:t> </w:t>
      </w:r>
      <w:r>
        <w:rPr>
          <w:color w:val="231F20"/>
          <w:w w:val="115"/>
          <w:sz w:val="19"/>
        </w:rPr>
        <w:t>same type</w:t>
      </w:r>
      <w:r>
        <w:rPr>
          <w:color w:val="231F20"/>
          <w:w w:val="115"/>
          <w:sz w:val="19"/>
        </w:rPr>
        <w:t> of</w:t>
      </w:r>
      <w:r>
        <w:rPr>
          <w:color w:val="231F20"/>
          <w:w w:val="115"/>
          <w:sz w:val="19"/>
        </w:rPr>
        <w:t> goods</w:t>
      </w:r>
      <w:r>
        <w:rPr>
          <w:color w:val="231F20"/>
          <w:w w:val="115"/>
          <w:sz w:val="19"/>
        </w:rPr>
        <w:t> to</w:t>
      </w:r>
      <w:r>
        <w:rPr>
          <w:color w:val="231F20"/>
          <w:w w:val="115"/>
          <w:sz w:val="19"/>
        </w:rPr>
        <w:t> others,</w:t>
      </w:r>
      <w:r>
        <w:rPr>
          <w:color w:val="231F20"/>
          <w:w w:val="115"/>
          <w:sz w:val="19"/>
        </w:rPr>
        <w:t> you</w:t>
      </w:r>
      <w:r>
        <w:rPr>
          <w:color w:val="231F20"/>
          <w:w w:val="115"/>
          <w:sz w:val="19"/>
        </w:rPr>
        <w:t> are</w:t>
      </w:r>
      <w:r>
        <w:rPr>
          <w:color w:val="231F20"/>
          <w:w w:val="115"/>
          <w:sz w:val="19"/>
        </w:rPr>
        <w:t> a</w:t>
      </w:r>
      <w:r>
        <w:rPr>
          <w:color w:val="231F20"/>
          <w:w w:val="115"/>
          <w:sz w:val="19"/>
        </w:rPr>
        <w:t> “buyer</w:t>
      </w:r>
      <w:r>
        <w:rPr>
          <w:color w:val="231F20"/>
          <w:w w:val="115"/>
          <w:sz w:val="19"/>
        </w:rPr>
        <w:t> in</w:t>
      </w:r>
      <w:r>
        <w:rPr>
          <w:color w:val="231F20"/>
          <w:w w:val="115"/>
          <w:sz w:val="19"/>
        </w:rPr>
        <w:t> ordinary course.”</w:t>
      </w:r>
      <w:r>
        <w:rPr>
          <w:color w:val="231F20"/>
          <w:spacing w:val="-4"/>
          <w:w w:val="115"/>
          <w:sz w:val="19"/>
        </w:rPr>
        <w:t> </w:t>
      </w:r>
      <w:r>
        <w:rPr>
          <w:color w:val="231F20"/>
          <w:w w:val="115"/>
          <w:sz w:val="19"/>
        </w:rPr>
        <w:t>The</w:t>
      </w:r>
      <w:r>
        <w:rPr>
          <w:color w:val="231F20"/>
          <w:spacing w:val="-4"/>
          <w:w w:val="115"/>
          <w:sz w:val="19"/>
        </w:rPr>
        <w:t> </w:t>
      </w:r>
      <w:r>
        <w:rPr>
          <w:color w:val="231F20"/>
          <w:w w:val="115"/>
          <w:sz w:val="19"/>
        </w:rPr>
        <w:t>buyer</w:t>
      </w:r>
      <w:r>
        <w:rPr>
          <w:color w:val="231F20"/>
          <w:spacing w:val="-4"/>
          <w:w w:val="115"/>
          <w:sz w:val="19"/>
        </w:rPr>
        <w:t> </w:t>
      </w:r>
      <w:r>
        <w:rPr>
          <w:color w:val="231F20"/>
          <w:w w:val="115"/>
          <w:sz w:val="19"/>
        </w:rPr>
        <w:t>can</w:t>
      </w:r>
      <w:r>
        <w:rPr>
          <w:color w:val="231F20"/>
          <w:spacing w:val="-4"/>
          <w:w w:val="115"/>
          <w:sz w:val="19"/>
        </w:rPr>
        <w:t> </w:t>
      </w:r>
      <w:r>
        <w:rPr>
          <w:color w:val="231F20"/>
          <w:w w:val="115"/>
          <w:sz w:val="19"/>
        </w:rPr>
        <w:t>have</w:t>
      </w:r>
      <w:r>
        <w:rPr>
          <w:color w:val="231F20"/>
          <w:spacing w:val="-4"/>
          <w:w w:val="115"/>
          <w:sz w:val="19"/>
        </w:rPr>
        <w:t> </w:t>
      </w:r>
      <w:r>
        <w:rPr>
          <w:color w:val="231F20"/>
          <w:w w:val="115"/>
          <w:sz w:val="19"/>
        </w:rPr>
        <w:t>good</w:t>
      </w:r>
      <w:r>
        <w:rPr>
          <w:color w:val="231F20"/>
          <w:spacing w:val="-4"/>
          <w:w w:val="115"/>
          <w:sz w:val="19"/>
        </w:rPr>
        <w:t> </w:t>
      </w:r>
      <w:r>
        <w:rPr>
          <w:color w:val="231F20"/>
          <w:w w:val="115"/>
          <w:sz w:val="19"/>
        </w:rPr>
        <w:t>title</w:t>
      </w:r>
      <w:r>
        <w:rPr>
          <w:color w:val="231F20"/>
          <w:spacing w:val="-4"/>
          <w:w w:val="115"/>
          <w:sz w:val="19"/>
        </w:rPr>
        <w:t> </w:t>
      </w:r>
      <w:r>
        <w:rPr>
          <w:color w:val="231F20"/>
          <w:w w:val="115"/>
          <w:sz w:val="19"/>
        </w:rPr>
        <w:t>even</w:t>
      </w:r>
      <w:r>
        <w:rPr>
          <w:color w:val="231F20"/>
          <w:spacing w:val="-4"/>
          <w:w w:val="115"/>
          <w:sz w:val="19"/>
        </w:rPr>
        <w:t> </w:t>
      </w:r>
      <w:r>
        <w:rPr>
          <w:color w:val="231F20"/>
          <w:w w:val="115"/>
          <w:sz w:val="19"/>
        </w:rPr>
        <w:t>if</w:t>
      </w:r>
      <w:r>
        <w:rPr>
          <w:color w:val="231F20"/>
          <w:spacing w:val="-4"/>
          <w:w w:val="115"/>
          <w:sz w:val="19"/>
        </w:rPr>
        <w:t> </w:t>
      </w:r>
      <w:r>
        <w:rPr>
          <w:color w:val="231F20"/>
          <w:w w:val="115"/>
          <w:sz w:val="19"/>
        </w:rPr>
        <w:t>the</w:t>
      </w:r>
      <w:r>
        <w:rPr>
          <w:color w:val="231F20"/>
          <w:spacing w:val="-4"/>
          <w:w w:val="115"/>
          <w:sz w:val="19"/>
        </w:rPr>
        <w:t> </w:t>
      </w:r>
      <w:r>
        <w:rPr>
          <w:color w:val="231F20"/>
          <w:w w:val="115"/>
          <w:sz w:val="19"/>
        </w:rPr>
        <w:t>retailer may not.</w:t>
      </w:r>
    </w:p>
    <w:p>
      <w:pPr>
        <w:pStyle w:val="ListParagraph"/>
        <w:numPr>
          <w:ilvl w:val="0"/>
          <w:numId w:val="51"/>
        </w:numPr>
        <w:tabs>
          <w:tab w:pos="1611" w:val="left" w:leader="none"/>
        </w:tabs>
        <w:spacing w:line="328" w:lineRule="auto" w:before="3" w:after="0"/>
        <w:ind w:left="1609" w:right="664" w:hanging="223"/>
        <w:jc w:val="both"/>
        <w:rPr>
          <w:sz w:val="19"/>
        </w:rPr>
      </w:pPr>
      <w:r>
        <w:rPr>
          <w:color w:val="231F20"/>
          <w:w w:val="110"/>
          <w:sz w:val="19"/>
        </w:rPr>
        <w:t>If you buy from a dealer in a type of goods, even if the dealer has the goods on a bailment, you are a “buyer in or- dinary course.” The buyer can have clear title even though the dealer did not own the goods.</w:t>
      </w:r>
    </w:p>
    <w:p>
      <w:pPr>
        <w:pStyle w:val="BodyText"/>
        <w:spacing w:before="5"/>
        <w:rPr>
          <w:rFonts w:ascii="Arial"/>
          <w:sz w:val="24"/>
        </w:rPr>
      </w:pPr>
    </w:p>
    <w:p>
      <w:pPr>
        <w:pStyle w:val="BodyText"/>
        <w:spacing w:line="292" w:lineRule="auto"/>
        <w:ind w:left="920" w:right="665" w:firstLine="339"/>
        <w:jc w:val="both"/>
      </w:pPr>
      <w:r>
        <w:rPr>
          <w:b/>
          <w:i/>
          <w:color w:val="231F20"/>
        </w:rPr>
        <w:t>Shipment Contracts</w:t>
      </w:r>
      <w:r>
        <w:rPr>
          <w:b/>
          <w:i/>
          <w:color w:val="231F20"/>
          <w:spacing w:val="-12"/>
        </w:rPr>
        <w:t> </w:t>
      </w:r>
      <w:r>
        <w:rPr>
          <w:color w:val="231F20"/>
        </w:rPr>
        <w:t>—</w:t>
      </w:r>
      <w:r>
        <w:rPr>
          <w:color w:val="231F20"/>
          <w:spacing w:val="-12"/>
        </w:rPr>
        <w:t> </w:t>
      </w:r>
      <w:r>
        <w:rPr>
          <w:color w:val="231F20"/>
        </w:rPr>
        <w:t>Several terms you may see on </w:t>
      </w:r>
      <w:r>
        <w:rPr>
          <w:color w:val="231F20"/>
        </w:rPr>
        <w:t>shipping documents and invoices indicate when the risk of loss passes from the seller to the buyer: the most common in </w:t>
      </w:r>
      <w:r>
        <w:rPr>
          <w:i/>
          <w:color w:val="231F20"/>
        </w:rPr>
        <w:t>FOB, free on board. </w:t>
      </w:r>
      <w:r>
        <w:rPr>
          <w:color w:val="231F20"/>
        </w:rPr>
        <w:t>At</w:t>
      </w:r>
      <w:r>
        <w:rPr>
          <w:color w:val="231F20"/>
          <w:spacing w:val="80"/>
        </w:rPr>
        <w:t> </w:t>
      </w:r>
      <w:r>
        <w:rPr>
          <w:color w:val="231F20"/>
        </w:rPr>
        <w:t>the</w:t>
      </w:r>
      <w:r>
        <w:rPr>
          <w:color w:val="231F20"/>
          <w:spacing w:val="25"/>
        </w:rPr>
        <w:t> </w:t>
      </w:r>
      <w:r>
        <w:rPr>
          <w:color w:val="231F20"/>
        </w:rPr>
        <w:t>FOB</w:t>
      </w:r>
      <w:r>
        <w:rPr>
          <w:color w:val="231F20"/>
          <w:spacing w:val="25"/>
        </w:rPr>
        <w:t> </w:t>
      </w:r>
      <w:r>
        <w:rPr>
          <w:color w:val="231F20"/>
        </w:rPr>
        <w:t>point</w:t>
      </w:r>
      <w:r>
        <w:rPr>
          <w:color w:val="231F20"/>
          <w:spacing w:val="25"/>
        </w:rPr>
        <w:t> </w:t>
      </w:r>
      <w:r>
        <w:rPr>
          <w:color w:val="231F20"/>
        </w:rPr>
        <w:t>the</w:t>
      </w:r>
      <w:r>
        <w:rPr>
          <w:color w:val="231F20"/>
          <w:spacing w:val="25"/>
        </w:rPr>
        <w:t> </w:t>
      </w:r>
      <w:r>
        <w:rPr>
          <w:color w:val="231F20"/>
        </w:rPr>
        <w:t>risk</w:t>
      </w:r>
      <w:r>
        <w:rPr>
          <w:color w:val="231F20"/>
          <w:spacing w:val="25"/>
        </w:rPr>
        <w:t> </w:t>
      </w:r>
      <w:r>
        <w:rPr>
          <w:color w:val="231F20"/>
        </w:rPr>
        <w:t>of</w:t>
      </w:r>
      <w:r>
        <w:rPr>
          <w:color w:val="231F20"/>
          <w:spacing w:val="25"/>
        </w:rPr>
        <w:t> </w:t>
      </w:r>
      <w:r>
        <w:rPr>
          <w:color w:val="231F20"/>
        </w:rPr>
        <w:t>loss</w:t>
      </w:r>
      <w:r>
        <w:rPr>
          <w:color w:val="231F20"/>
          <w:spacing w:val="25"/>
        </w:rPr>
        <w:t> </w:t>
      </w:r>
      <w:r>
        <w:rPr>
          <w:color w:val="231F20"/>
        </w:rPr>
        <w:t>passes</w:t>
      </w:r>
      <w:r>
        <w:rPr>
          <w:color w:val="231F20"/>
          <w:spacing w:val="25"/>
        </w:rPr>
        <w:t> </w:t>
      </w:r>
      <w:r>
        <w:rPr>
          <w:color w:val="231F20"/>
        </w:rPr>
        <w:t>to</w:t>
      </w:r>
      <w:r>
        <w:rPr>
          <w:color w:val="231F20"/>
          <w:spacing w:val="25"/>
        </w:rPr>
        <w:t> </w:t>
      </w:r>
      <w:r>
        <w:rPr>
          <w:color w:val="231F20"/>
        </w:rPr>
        <w:t>the</w:t>
      </w:r>
      <w:r>
        <w:rPr>
          <w:color w:val="231F20"/>
          <w:spacing w:val="25"/>
        </w:rPr>
        <w:t> </w:t>
      </w:r>
      <w:r>
        <w:rPr>
          <w:color w:val="231F20"/>
        </w:rPr>
        <w:t>buyer.</w:t>
      </w:r>
      <w:r>
        <w:rPr>
          <w:color w:val="231F20"/>
          <w:spacing w:val="24"/>
        </w:rPr>
        <w:t> </w:t>
      </w:r>
      <w:r>
        <w:rPr>
          <w:i/>
          <w:color w:val="231F20"/>
        </w:rPr>
        <w:t>CIF</w:t>
      </w:r>
      <w:r>
        <w:rPr>
          <w:i/>
          <w:color w:val="231F20"/>
          <w:spacing w:val="25"/>
        </w:rPr>
        <w:t> </w:t>
      </w:r>
      <w:r>
        <w:rPr>
          <w:color w:val="231F20"/>
        </w:rPr>
        <w:t>may</w:t>
      </w:r>
      <w:r>
        <w:rPr>
          <w:color w:val="231F20"/>
          <w:spacing w:val="25"/>
        </w:rPr>
        <w:t> </w:t>
      </w:r>
      <w:r>
        <w:rPr>
          <w:color w:val="231F20"/>
        </w:rPr>
        <w:t>appear on</w:t>
      </w:r>
      <w:r>
        <w:rPr>
          <w:color w:val="231F20"/>
          <w:spacing w:val="36"/>
        </w:rPr>
        <w:t> </w:t>
      </w:r>
      <w:r>
        <w:rPr>
          <w:color w:val="231F20"/>
        </w:rPr>
        <w:t>invoices</w:t>
      </w:r>
      <w:r>
        <w:rPr>
          <w:color w:val="231F20"/>
          <w:spacing w:val="36"/>
        </w:rPr>
        <w:t> </w:t>
      </w:r>
      <w:r>
        <w:rPr>
          <w:color w:val="231F20"/>
        </w:rPr>
        <w:t>as</w:t>
      </w:r>
      <w:r>
        <w:rPr>
          <w:color w:val="231F20"/>
          <w:spacing w:val="36"/>
        </w:rPr>
        <w:t> </w:t>
      </w:r>
      <w:r>
        <w:rPr>
          <w:color w:val="231F20"/>
        </w:rPr>
        <w:t>well.</w:t>
      </w:r>
      <w:r>
        <w:rPr>
          <w:color w:val="231F20"/>
          <w:spacing w:val="36"/>
        </w:rPr>
        <w:t> </w:t>
      </w:r>
      <w:r>
        <w:rPr>
          <w:color w:val="231F20"/>
        </w:rPr>
        <w:t>A</w:t>
      </w:r>
      <w:r>
        <w:rPr>
          <w:color w:val="231F20"/>
          <w:spacing w:val="36"/>
        </w:rPr>
        <w:t> </w:t>
      </w:r>
      <w:r>
        <w:rPr>
          <w:color w:val="231F20"/>
        </w:rPr>
        <w:t>CIF</w:t>
      </w:r>
      <w:r>
        <w:rPr>
          <w:color w:val="231F20"/>
          <w:spacing w:val="36"/>
        </w:rPr>
        <w:t> </w:t>
      </w:r>
      <w:r>
        <w:rPr>
          <w:color w:val="231F20"/>
        </w:rPr>
        <w:t>price</w:t>
      </w:r>
      <w:r>
        <w:rPr>
          <w:color w:val="231F20"/>
          <w:spacing w:val="36"/>
        </w:rPr>
        <w:t> </w:t>
      </w:r>
      <w:r>
        <w:rPr>
          <w:color w:val="231F20"/>
        </w:rPr>
        <w:t>includes</w:t>
      </w:r>
      <w:r>
        <w:rPr>
          <w:color w:val="231F20"/>
          <w:spacing w:val="36"/>
        </w:rPr>
        <w:t> </w:t>
      </w:r>
      <w:r>
        <w:rPr>
          <w:color w:val="231F20"/>
        </w:rPr>
        <w:t>cost</w:t>
      </w:r>
      <w:r>
        <w:rPr>
          <w:color w:val="231F20"/>
          <w:spacing w:val="36"/>
        </w:rPr>
        <w:t> </w:t>
      </w:r>
      <w:r>
        <w:rPr>
          <w:color w:val="231F20"/>
        </w:rPr>
        <w:t>of</w:t>
      </w:r>
      <w:r>
        <w:rPr>
          <w:color w:val="231F20"/>
          <w:spacing w:val="36"/>
        </w:rPr>
        <w:t> </w:t>
      </w:r>
      <w:r>
        <w:rPr>
          <w:color w:val="231F20"/>
        </w:rPr>
        <w:t>goods,</w:t>
      </w:r>
      <w:r>
        <w:rPr>
          <w:color w:val="231F20"/>
          <w:spacing w:val="36"/>
        </w:rPr>
        <w:t> </w:t>
      </w:r>
      <w:r>
        <w:rPr>
          <w:color w:val="231F20"/>
        </w:rPr>
        <w:t>insurance, and freight.</w:t>
      </w:r>
    </w:p>
    <w:p>
      <w:pPr>
        <w:spacing w:after="0" w:line="292" w:lineRule="auto"/>
        <w:jc w:val="both"/>
        <w:sectPr>
          <w:pgSz w:w="8640" w:h="12960"/>
          <w:pgMar w:header="734" w:footer="0" w:top="920" w:bottom="280" w:left="340" w:right="500"/>
        </w:sectPr>
      </w:pPr>
    </w:p>
    <w:p>
      <w:pPr>
        <w:pStyle w:val="BodyText"/>
        <w:spacing w:before="8"/>
        <w:rPr>
          <w:sz w:val="17"/>
        </w:rPr>
      </w:pPr>
    </w:p>
    <w:p>
      <w:pPr>
        <w:pStyle w:val="BodyText"/>
        <w:spacing w:line="292" w:lineRule="auto" w:before="104"/>
        <w:ind w:left="830" w:right="753" w:firstLine="340"/>
        <w:jc w:val="both"/>
      </w:pPr>
      <w:r>
        <w:rPr>
          <w:b/>
          <w:i/>
          <w:color w:val="231F20"/>
        </w:rPr>
        <w:t>Product Liability</w:t>
      </w:r>
      <w:r>
        <w:rPr>
          <w:b/>
          <w:i/>
          <w:color w:val="231F20"/>
          <w:spacing w:val="-12"/>
        </w:rPr>
        <w:t> </w:t>
      </w:r>
      <w:r>
        <w:rPr>
          <w:color w:val="231F20"/>
        </w:rPr>
        <w:t>—</w:t>
      </w:r>
      <w:r>
        <w:rPr>
          <w:color w:val="231F20"/>
          <w:spacing w:val="-12"/>
        </w:rPr>
        <w:t> </w:t>
      </w:r>
      <w:r>
        <w:rPr>
          <w:color w:val="231F20"/>
        </w:rPr>
        <w:t>Product liability concerns the warranties that manufacturers and sellers make about the goods they sell. </w:t>
      </w:r>
      <w:r>
        <w:rPr>
          <w:i/>
          <w:color w:val="231F20"/>
        </w:rPr>
        <w:t>Ex-</w:t>
      </w:r>
      <w:r>
        <w:rPr>
          <w:i/>
          <w:color w:val="231F20"/>
        </w:rPr>
        <w:t> press warranties </w:t>
      </w:r>
      <w:r>
        <w:rPr>
          <w:color w:val="231F20"/>
        </w:rPr>
        <w:t>are written or spoken promises about the perfor- mance of a product. </w:t>
      </w:r>
      <w:r>
        <w:rPr>
          <w:i/>
          <w:color w:val="231F20"/>
        </w:rPr>
        <w:t>Implied warranties </w:t>
      </w:r>
      <w:r>
        <w:rPr>
          <w:color w:val="231F20"/>
        </w:rPr>
        <w:t>are the promises made with the sale of goods that do not need to be written or said. </w:t>
      </w:r>
      <w:r>
        <w:rPr>
          <w:i/>
          <w:color w:val="231F20"/>
        </w:rPr>
        <w:t>Mer-</w:t>
      </w:r>
      <w:r>
        <w:rPr>
          <w:i/>
          <w:color w:val="231F20"/>
        </w:rPr>
        <w:t> chantability </w:t>
      </w:r>
      <w:r>
        <w:rPr>
          <w:color w:val="231F20"/>
        </w:rPr>
        <w:t>is an implied warranty meaning that the goods are fit</w:t>
      </w:r>
      <w:r>
        <w:rPr>
          <w:color w:val="231F20"/>
          <w:spacing w:val="80"/>
          <w:w w:val="150"/>
        </w:rPr>
        <w:t> </w:t>
      </w:r>
      <w:r>
        <w:rPr>
          <w:color w:val="231F20"/>
        </w:rPr>
        <w:t>for the ordinary purpose for which they were made. A pen is made</w:t>
      </w:r>
      <w:r>
        <w:rPr>
          <w:color w:val="231F20"/>
          <w:spacing w:val="40"/>
        </w:rPr>
        <w:t> </w:t>
      </w:r>
      <w:r>
        <w:rPr>
          <w:color w:val="231F20"/>
        </w:rPr>
        <w:t>for writing, not for performing surgery. </w:t>
      </w:r>
      <w:r>
        <w:rPr>
          <w:i/>
          <w:color w:val="231F20"/>
        </w:rPr>
        <w:t>A warranty of fitness </w:t>
      </w:r>
      <w:r>
        <w:rPr>
          <w:color w:val="231F20"/>
        </w:rPr>
        <w:t>is an- other implied warranty more specific to the particular purpose for which the seller knowingly sells the product. If the seller </w:t>
      </w:r>
      <w:r>
        <w:rPr>
          <w:color w:val="231F20"/>
        </w:rPr>
        <w:t>knowingly sells an item for a purpose, it should perform that function. </w:t>
      </w:r>
      <w:r>
        <w:rPr>
          <w:i/>
          <w:color w:val="231F20"/>
        </w:rPr>
        <w:t>Strict li-</w:t>
      </w:r>
      <w:r>
        <w:rPr>
          <w:i/>
          <w:color w:val="231F20"/>
        </w:rPr>
        <w:t> ability </w:t>
      </w:r>
      <w:r>
        <w:rPr>
          <w:color w:val="231F20"/>
        </w:rPr>
        <w:t>is also implied and it covers the failure of products when used properly to perform safely or effectively as reasonable persons</w:t>
      </w:r>
      <w:r>
        <w:rPr>
          <w:color w:val="231F20"/>
          <w:spacing w:val="40"/>
        </w:rPr>
        <w:t> </w:t>
      </w:r>
      <w:r>
        <w:rPr>
          <w:color w:val="231F20"/>
        </w:rPr>
        <w:t>would expect.</w:t>
      </w:r>
    </w:p>
    <w:p>
      <w:pPr>
        <w:pStyle w:val="BodyText"/>
        <w:spacing w:line="292" w:lineRule="auto"/>
        <w:ind w:left="830" w:right="756" w:firstLine="340"/>
        <w:jc w:val="both"/>
      </w:pPr>
      <w:r>
        <w:rPr>
          <w:b/>
          <w:i/>
          <w:color w:val="231F20"/>
        </w:rPr>
        <w:t>Statute</w:t>
      </w:r>
      <w:r>
        <w:rPr>
          <w:b/>
          <w:i/>
          <w:color w:val="231F20"/>
          <w:spacing w:val="-12"/>
        </w:rPr>
        <w:t> </w:t>
      </w:r>
      <w:r>
        <w:rPr>
          <w:b/>
          <w:i/>
          <w:color w:val="231F20"/>
        </w:rPr>
        <w:t>of</w:t>
      </w:r>
      <w:r>
        <w:rPr>
          <w:b/>
          <w:i/>
          <w:color w:val="231F20"/>
          <w:spacing w:val="-11"/>
        </w:rPr>
        <w:t> </w:t>
      </w:r>
      <w:r>
        <w:rPr>
          <w:b/>
          <w:i/>
          <w:color w:val="231F20"/>
        </w:rPr>
        <w:t>Frauds</w:t>
      </w:r>
      <w:r>
        <w:rPr>
          <w:b/>
          <w:i/>
          <w:color w:val="231F20"/>
          <w:spacing w:val="-12"/>
        </w:rPr>
        <w:t> </w:t>
      </w:r>
      <w:r>
        <w:rPr>
          <w:color w:val="231F20"/>
        </w:rPr>
        <w:t>—</w:t>
      </w:r>
      <w:r>
        <w:rPr>
          <w:color w:val="231F20"/>
          <w:spacing w:val="-11"/>
        </w:rPr>
        <w:t> </w:t>
      </w:r>
      <w:r>
        <w:rPr>
          <w:color w:val="231F20"/>
        </w:rPr>
        <w:t>The </w:t>
      </w:r>
      <w:r>
        <w:rPr>
          <w:i/>
          <w:color w:val="231F20"/>
        </w:rPr>
        <w:t>statute of frauds </w:t>
      </w:r>
      <w:r>
        <w:rPr>
          <w:color w:val="231F20"/>
        </w:rPr>
        <w:t>provision requires that certain important contracts be in writing to prevent fraud. </w:t>
      </w:r>
      <w:r>
        <w:rPr>
          <w:color w:val="231F20"/>
        </w:rPr>
        <w:t>Contracts concerning the following six subjects must be in writing:</w:t>
      </w:r>
    </w:p>
    <w:p>
      <w:pPr>
        <w:pStyle w:val="BodyText"/>
        <w:spacing w:before="10"/>
        <w:rPr>
          <w:sz w:val="26"/>
        </w:rPr>
      </w:pPr>
    </w:p>
    <w:p>
      <w:pPr>
        <w:pStyle w:val="ListParagraph"/>
        <w:numPr>
          <w:ilvl w:val="0"/>
          <w:numId w:val="52"/>
        </w:numPr>
        <w:tabs>
          <w:tab w:pos="1521" w:val="left" w:leader="none"/>
        </w:tabs>
        <w:spacing w:line="240" w:lineRule="auto" w:before="0" w:after="0"/>
        <w:ind w:left="1520" w:right="0" w:hanging="171"/>
        <w:jc w:val="left"/>
        <w:rPr>
          <w:sz w:val="19"/>
        </w:rPr>
      </w:pPr>
      <w:r>
        <w:rPr>
          <w:color w:val="231F20"/>
          <w:spacing w:val="-2"/>
          <w:w w:val="115"/>
          <w:sz w:val="19"/>
        </w:rPr>
        <w:t>Sales</w:t>
      </w:r>
      <w:r>
        <w:rPr>
          <w:color w:val="231F20"/>
          <w:spacing w:val="-9"/>
          <w:w w:val="115"/>
          <w:sz w:val="19"/>
        </w:rPr>
        <w:t> </w:t>
      </w:r>
      <w:r>
        <w:rPr>
          <w:color w:val="231F20"/>
          <w:spacing w:val="-2"/>
          <w:w w:val="115"/>
          <w:sz w:val="19"/>
        </w:rPr>
        <w:t>of</w:t>
      </w:r>
      <w:r>
        <w:rPr>
          <w:color w:val="231F20"/>
          <w:spacing w:val="-8"/>
          <w:w w:val="115"/>
          <w:sz w:val="19"/>
        </w:rPr>
        <w:t> </w:t>
      </w:r>
      <w:r>
        <w:rPr>
          <w:color w:val="231F20"/>
          <w:spacing w:val="-2"/>
          <w:w w:val="115"/>
          <w:sz w:val="19"/>
        </w:rPr>
        <w:t>goods</w:t>
      </w:r>
      <w:r>
        <w:rPr>
          <w:color w:val="231F20"/>
          <w:spacing w:val="-9"/>
          <w:w w:val="115"/>
          <w:sz w:val="19"/>
        </w:rPr>
        <w:t> </w:t>
      </w:r>
      <w:r>
        <w:rPr>
          <w:color w:val="231F20"/>
          <w:spacing w:val="-2"/>
          <w:w w:val="115"/>
          <w:sz w:val="19"/>
        </w:rPr>
        <w:t>of</w:t>
      </w:r>
      <w:r>
        <w:rPr>
          <w:color w:val="231F20"/>
          <w:spacing w:val="-8"/>
          <w:w w:val="115"/>
          <w:sz w:val="19"/>
        </w:rPr>
        <w:t> </w:t>
      </w:r>
      <w:r>
        <w:rPr>
          <w:color w:val="231F20"/>
          <w:spacing w:val="-2"/>
          <w:w w:val="115"/>
          <w:sz w:val="19"/>
        </w:rPr>
        <w:t>value</w:t>
      </w:r>
      <w:r>
        <w:rPr>
          <w:color w:val="231F20"/>
          <w:spacing w:val="-9"/>
          <w:w w:val="115"/>
          <w:sz w:val="19"/>
        </w:rPr>
        <w:t> </w:t>
      </w:r>
      <w:r>
        <w:rPr>
          <w:color w:val="231F20"/>
          <w:spacing w:val="-2"/>
          <w:w w:val="115"/>
          <w:sz w:val="19"/>
        </w:rPr>
        <w:t>greater</w:t>
      </w:r>
      <w:r>
        <w:rPr>
          <w:color w:val="231F20"/>
          <w:spacing w:val="-8"/>
          <w:w w:val="115"/>
          <w:sz w:val="19"/>
        </w:rPr>
        <w:t> </w:t>
      </w:r>
      <w:r>
        <w:rPr>
          <w:color w:val="231F20"/>
          <w:spacing w:val="-2"/>
          <w:w w:val="115"/>
          <w:sz w:val="19"/>
        </w:rPr>
        <w:t>than</w:t>
      </w:r>
      <w:r>
        <w:rPr>
          <w:color w:val="231F20"/>
          <w:spacing w:val="-9"/>
          <w:w w:val="115"/>
          <w:sz w:val="19"/>
        </w:rPr>
        <w:t> </w:t>
      </w:r>
      <w:r>
        <w:rPr>
          <w:color w:val="231F20"/>
          <w:spacing w:val="-2"/>
          <w:w w:val="115"/>
          <w:sz w:val="19"/>
        </w:rPr>
        <w:t>or</w:t>
      </w:r>
      <w:r>
        <w:rPr>
          <w:color w:val="231F20"/>
          <w:spacing w:val="-8"/>
          <w:w w:val="115"/>
          <w:sz w:val="19"/>
        </w:rPr>
        <w:t> </w:t>
      </w:r>
      <w:r>
        <w:rPr>
          <w:color w:val="231F20"/>
          <w:spacing w:val="-2"/>
          <w:w w:val="115"/>
          <w:sz w:val="19"/>
        </w:rPr>
        <w:t>equal</w:t>
      </w:r>
      <w:r>
        <w:rPr>
          <w:color w:val="231F20"/>
          <w:spacing w:val="-8"/>
          <w:w w:val="115"/>
          <w:sz w:val="19"/>
        </w:rPr>
        <w:t> </w:t>
      </w:r>
      <w:r>
        <w:rPr>
          <w:color w:val="231F20"/>
          <w:spacing w:val="-2"/>
          <w:w w:val="115"/>
          <w:sz w:val="19"/>
        </w:rPr>
        <w:t>to</w:t>
      </w:r>
      <w:r>
        <w:rPr>
          <w:color w:val="231F20"/>
          <w:spacing w:val="-9"/>
          <w:w w:val="115"/>
          <w:sz w:val="19"/>
        </w:rPr>
        <w:t> </w:t>
      </w:r>
      <w:r>
        <w:rPr>
          <w:color w:val="231F20"/>
          <w:spacing w:val="-4"/>
          <w:w w:val="115"/>
          <w:sz w:val="19"/>
        </w:rPr>
        <w:t>$500</w:t>
      </w:r>
    </w:p>
    <w:p>
      <w:pPr>
        <w:pStyle w:val="ListParagraph"/>
        <w:numPr>
          <w:ilvl w:val="0"/>
          <w:numId w:val="52"/>
        </w:numPr>
        <w:tabs>
          <w:tab w:pos="1521" w:val="left" w:leader="none"/>
        </w:tabs>
        <w:spacing w:line="240" w:lineRule="auto" w:before="82" w:after="0"/>
        <w:ind w:left="1520" w:right="0" w:hanging="220"/>
        <w:jc w:val="left"/>
        <w:rPr>
          <w:sz w:val="19"/>
        </w:rPr>
      </w:pPr>
      <w:r>
        <w:rPr>
          <w:color w:val="231F20"/>
          <w:w w:val="110"/>
          <w:sz w:val="19"/>
        </w:rPr>
        <w:t>Sale</w:t>
      </w:r>
      <w:r>
        <w:rPr>
          <w:color w:val="231F20"/>
          <w:spacing w:val="-11"/>
          <w:w w:val="110"/>
          <w:sz w:val="19"/>
        </w:rPr>
        <w:t> </w:t>
      </w:r>
      <w:r>
        <w:rPr>
          <w:color w:val="231F20"/>
          <w:w w:val="110"/>
          <w:sz w:val="19"/>
        </w:rPr>
        <w:t>of</w:t>
      </w:r>
      <w:r>
        <w:rPr>
          <w:color w:val="231F20"/>
          <w:spacing w:val="-10"/>
          <w:w w:val="110"/>
          <w:sz w:val="19"/>
        </w:rPr>
        <w:t> </w:t>
      </w:r>
      <w:r>
        <w:rPr>
          <w:color w:val="231F20"/>
          <w:spacing w:val="-4"/>
          <w:w w:val="110"/>
          <w:sz w:val="19"/>
        </w:rPr>
        <w:t>land</w:t>
      </w:r>
    </w:p>
    <w:p>
      <w:pPr>
        <w:pStyle w:val="ListParagraph"/>
        <w:numPr>
          <w:ilvl w:val="0"/>
          <w:numId w:val="52"/>
        </w:numPr>
        <w:tabs>
          <w:tab w:pos="1521" w:val="left" w:leader="none"/>
        </w:tabs>
        <w:spacing w:line="328" w:lineRule="auto" w:before="81" w:after="0"/>
        <w:ind w:left="1519" w:right="754" w:hanging="223"/>
        <w:jc w:val="left"/>
        <w:rPr>
          <w:sz w:val="19"/>
        </w:rPr>
      </w:pPr>
      <w:r>
        <w:rPr>
          <w:color w:val="231F20"/>
          <w:w w:val="115"/>
          <w:sz w:val="19"/>
        </w:rPr>
        <w:t>Contracts</w:t>
      </w:r>
      <w:r>
        <w:rPr>
          <w:color w:val="231F20"/>
          <w:spacing w:val="40"/>
          <w:w w:val="115"/>
          <w:sz w:val="19"/>
        </w:rPr>
        <w:t> </w:t>
      </w:r>
      <w:r>
        <w:rPr>
          <w:color w:val="231F20"/>
          <w:w w:val="115"/>
          <w:sz w:val="19"/>
        </w:rPr>
        <w:t>for</w:t>
      </w:r>
      <w:r>
        <w:rPr>
          <w:color w:val="231F20"/>
          <w:spacing w:val="40"/>
          <w:w w:val="115"/>
          <w:sz w:val="19"/>
        </w:rPr>
        <w:t> </w:t>
      </w:r>
      <w:r>
        <w:rPr>
          <w:color w:val="231F20"/>
          <w:w w:val="115"/>
          <w:sz w:val="19"/>
        </w:rPr>
        <w:t>services</w:t>
      </w:r>
      <w:r>
        <w:rPr>
          <w:color w:val="231F20"/>
          <w:spacing w:val="40"/>
          <w:w w:val="115"/>
          <w:sz w:val="19"/>
        </w:rPr>
        <w:t> </w:t>
      </w:r>
      <w:r>
        <w:rPr>
          <w:color w:val="231F20"/>
          <w:w w:val="115"/>
          <w:sz w:val="19"/>
        </w:rPr>
        <w:t>not</w:t>
      </w:r>
      <w:r>
        <w:rPr>
          <w:color w:val="231F20"/>
          <w:spacing w:val="40"/>
          <w:w w:val="115"/>
          <w:sz w:val="19"/>
        </w:rPr>
        <w:t> </w:t>
      </w:r>
      <w:r>
        <w:rPr>
          <w:color w:val="231F20"/>
          <w:w w:val="115"/>
          <w:sz w:val="19"/>
        </w:rPr>
        <w:t>to</w:t>
      </w:r>
      <w:r>
        <w:rPr>
          <w:color w:val="231F20"/>
          <w:spacing w:val="40"/>
          <w:w w:val="115"/>
          <w:sz w:val="19"/>
        </w:rPr>
        <w:t> </w:t>
      </w:r>
      <w:r>
        <w:rPr>
          <w:color w:val="231F20"/>
          <w:w w:val="115"/>
          <w:sz w:val="19"/>
        </w:rPr>
        <w:t>be</w:t>
      </w:r>
      <w:r>
        <w:rPr>
          <w:color w:val="231F20"/>
          <w:spacing w:val="40"/>
          <w:w w:val="115"/>
          <w:sz w:val="19"/>
        </w:rPr>
        <w:t> </w:t>
      </w:r>
      <w:r>
        <w:rPr>
          <w:color w:val="231F20"/>
          <w:w w:val="115"/>
          <w:sz w:val="19"/>
        </w:rPr>
        <w:t>performed</w:t>
      </w:r>
      <w:r>
        <w:rPr>
          <w:color w:val="231F20"/>
          <w:spacing w:val="40"/>
          <w:w w:val="115"/>
          <w:sz w:val="19"/>
        </w:rPr>
        <w:t> </w:t>
      </w:r>
      <w:r>
        <w:rPr>
          <w:color w:val="231F20"/>
          <w:w w:val="115"/>
          <w:sz w:val="19"/>
        </w:rPr>
        <w:t>within</w:t>
      </w:r>
      <w:r>
        <w:rPr>
          <w:color w:val="231F20"/>
          <w:spacing w:val="40"/>
          <w:w w:val="115"/>
          <w:sz w:val="19"/>
        </w:rPr>
        <w:t> </w:t>
      </w:r>
      <w:r>
        <w:rPr>
          <w:color w:val="231F20"/>
          <w:w w:val="115"/>
          <w:sz w:val="19"/>
        </w:rPr>
        <w:t>one year’s time</w:t>
      </w:r>
    </w:p>
    <w:p>
      <w:pPr>
        <w:pStyle w:val="ListParagraph"/>
        <w:numPr>
          <w:ilvl w:val="0"/>
          <w:numId w:val="52"/>
        </w:numPr>
        <w:tabs>
          <w:tab w:pos="1521" w:val="left" w:leader="none"/>
        </w:tabs>
        <w:spacing w:line="240" w:lineRule="auto" w:before="1" w:after="0"/>
        <w:ind w:left="1520" w:right="0" w:hanging="234"/>
        <w:jc w:val="left"/>
        <w:rPr>
          <w:sz w:val="19"/>
        </w:rPr>
      </w:pPr>
      <w:r>
        <w:rPr>
          <w:color w:val="231F20"/>
          <w:w w:val="115"/>
          <w:sz w:val="19"/>
        </w:rPr>
        <w:t>Promise</w:t>
      </w:r>
      <w:r>
        <w:rPr>
          <w:color w:val="231F20"/>
          <w:spacing w:val="-12"/>
          <w:w w:val="115"/>
          <w:sz w:val="19"/>
        </w:rPr>
        <w:t> </w:t>
      </w:r>
      <w:r>
        <w:rPr>
          <w:color w:val="231F20"/>
          <w:w w:val="115"/>
          <w:sz w:val="19"/>
        </w:rPr>
        <w:t>to</w:t>
      </w:r>
      <w:r>
        <w:rPr>
          <w:color w:val="231F20"/>
          <w:spacing w:val="-12"/>
          <w:w w:val="115"/>
          <w:sz w:val="19"/>
        </w:rPr>
        <w:t> </w:t>
      </w:r>
      <w:r>
        <w:rPr>
          <w:color w:val="231F20"/>
          <w:w w:val="115"/>
          <w:sz w:val="19"/>
        </w:rPr>
        <w:t>pay</w:t>
      </w:r>
      <w:r>
        <w:rPr>
          <w:color w:val="231F20"/>
          <w:spacing w:val="-11"/>
          <w:w w:val="115"/>
          <w:sz w:val="19"/>
        </w:rPr>
        <w:t> </w:t>
      </w:r>
      <w:r>
        <w:rPr>
          <w:color w:val="231F20"/>
          <w:w w:val="115"/>
          <w:sz w:val="19"/>
        </w:rPr>
        <w:t>the</w:t>
      </w:r>
      <w:r>
        <w:rPr>
          <w:color w:val="231F20"/>
          <w:spacing w:val="-12"/>
          <w:w w:val="115"/>
          <w:sz w:val="19"/>
        </w:rPr>
        <w:t> </w:t>
      </w:r>
      <w:r>
        <w:rPr>
          <w:color w:val="231F20"/>
          <w:w w:val="115"/>
          <w:sz w:val="19"/>
        </w:rPr>
        <w:t>debt</w:t>
      </w:r>
      <w:r>
        <w:rPr>
          <w:color w:val="231F20"/>
          <w:spacing w:val="-11"/>
          <w:w w:val="115"/>
          <w:sz w:val="19"/>
        </w:rPr>
        <w:t> </w:t>
      </w:r>
      <w:r>
        <w:rPr>
          <w:color w:val="231F20"/>
          <w:w w:val="115"/>
          <w:sz w:val="19"/>
        </w:rPr>
        <w:t>incurred</w:t>
      </w:r>
      <w:r>
        <w:rPr>
          <w:color w:val="231F20"/>
          <w:spacing w:val="-12"/>
          <w:w w:val="115"/>
          <w:sz w:val="19"/>
        </w:rPr>
        <w:t> </w:t>
      </w:r>
      <w:r>
        <w:rPr>
          <w:color w:val="231F20"/>
          <w:w w:val="115"/>
          <w:sz w:val="19"/>
        </w:rPr>
        <w:t>by</w:t>
      </w:r>
      <w:r>
        <w:rPr>
          <w:color w:val="231F20"/>
          <w:spacing w:val="-11"/>
          <w:w w:val="115"/>
          <w:sz w:val="19"/>
        </w:rPr>
        <w:t> </w:t>
      </w:r>
      <w:r>
        <w:rPr>
          <w:color w:val="231F20"/>
          <w:w w:val="115"/>
          <w:sz w:val="19"/>
        </w:rPr>
        <w:t>another</w:t>
      </w:r>
      <w:r>
        <w:rPr>
          <w:color w:val="231F20"/>
          <w:spacing w:val="-12"/>
          <w:w w:val="115"/>
          <w:sz w:val="19"/>
        </w:rPr>
        <w:t> </w:t>
      </w:r>
      <w:r>
        <w:rPr>
          <w:color w:val="231F20"/>
          <w:spacing w:val="-2"/>
          <w:w w:val="115"/>
          <w:sz w:val="19"/>
        </w:rPr>
        <w:t>person</w:t>
      </w:r>
    </w:p>
    <w:p>
      <w:pPr>
        <w:pStyle w:val="ListParagraph"/>
        <w:numPr>
          <w:ilvl w:val="0"/>
          <w:numId w:val="52"/>
        </w:numPr>
        <w:tabs>
          <w:tab w:pos="1520" w:val="left" w:leader="none"/>
        </w:tabs>
        <w:spacing w:line="328" w:lineRule="auto" w:before="82" w:after="0"/>
        <w:ind w:left="1519" w:right="756" w:hanging="222"/>
        <w:jc w:val="left"/>
        <w:rPr>
          <w:sz w:val="19"/>
        </w:rPr>
      </w:pPr>
      <w:r>
        <w:rPr>
          <w:color w:val="231F20"/>
          <w:w w:val="115"/>
          <w:sz w:val="19"/>
        </w:rPr>
        <w:t>Promises of an estate’s executor to pay the expenses of the estate out of his or her own pocket</w:t>
      </w:r>
    </w:p>
    <w:p>
      <w:pPr>
        <w:pStyle w:val="ListParagraph"/>
        <w:numPr>
          <w:ilvl w:val="0"/>
          <w:numId w:val="52"/>
        </w:numPr>
        <w:tabs>
          <w:tab w:pos="1521" w:val="left" w:leader="none"/>
        </w:tabs>
        <w:spacing w:line="240" w:lineRule="auto" w:before="1" w:after="0"/>
        <w:ind w:left="1520" w:right="0" w:hanging="230"/>
        <w:jc w:val="left"/>
        <w:rPr>
          <w:sz w:val="19"/>
        </w:rPr>
      </w:pPr>
      <w:r>
        <w:rPr>
          <w:color w:val="231F20"/>
          <w:w w:val="110"/>
          <w:sz w:val="19"/>
        </w:rPr>
        <w:t>Promises</w:t>
      </w:r>
      <w:r>
        <w:rPr>
          <w:color w:val="231F20"/>
          <w:spacing w:val="2"/>
          <w:w w:val="110"/>
          <w:sz w:val="19"/>
        </w:rPr>
        <w:t> </w:t>
      </w:r>
      <w:r>
        <w:rPr>
          <w:color w:val="231F20"/>
          <w:w w:val="110"/>
          <w:sz w:val="19"/>
        </w:rPr>
        <w:t>of</w:t>
      </w:r>
      <w:r>
        <w:rPr>
          <w:color w:val="231F20"/>
          <w:spacing w:val="2"/>
          <w:w w:val="110"/>
          <w:sz w:val="19"/>
        </w:rPr>
        <w:t> </w:t>
      </w:r>
      <w:r>
        <w:rPr>
          <w:color w:val="231F20"/>
          <w:w w:val="110"/>
          <w:sz w:val="19"/>
        </w:rPr>
        <w:t>a</w:t>
      </w:r>
      <w:r>
        <w:rPr>
          <w:color w:val="231F20"/>
          <w:spacing w:val="2"/>
          <w:w w:val="110"/>
          <w:sz w:val="19"/>
        </w:rPr>
        <w:t> </w:t>
      </w:r>
      <w:r>
        <w:rPr>
          <w:color w:val="231F20"/>
          <w:w w:val="110"/>
          <w:sz w:val="19"/>
        </w:rPr>
        <w:t>dowry</w:t>
      </w:r>
      <w:r>
        <w:rPr>
          <w:color w:val="231F20"/>
          <w:spacing w:val="2"/>
          <w:w w:val="110"/>
          <w:sz w:val="19"/>
        </w:rPr>
        <w:t> </w:t>
      </w:r>
      <w:r>
        <w:rPr>
          <w:color w:val="231F20"/>
          <w:w w:val="110"/>
          <w:sz w:val="19"/>
        </w:rPr>
        <w:t>in</w:t>
      </w:r>
      <w:r>
        <w:rPr>
          <w:color w:val="231F20"/>
          <w:spacing w:val="2"/>
          <w:w w:val="110"/>
          <w:sz w:val="19"/>
        </w:rPr>
        <w:t> </w:t>
      </w:r>
      <w:r>
        <w:rPr>
          <w:color w:val="231F20"/>
          <w:w w:val="110"/>
          <w:sz w:val="19"/>
        </w:rPr>
        <w:t>a</w:t>
      </w:r>
      <w:r>
        <w:rPr>
          <w:color w:val="231F20"/>
          <w:spacing w:val="2"/>
          <w:w w:val="110"/>
          <w:sz w:val="19"/>
        </w:rPr>
        <w:t> </w:t>
      </w:r>
      <w:r>
        <w:rPr>
          <w:color w:val="231F20"/>
          <w:w w:val="110"/>
          <w:sz w:val="19"/>
        </w:rPr>
        <w:t>marriage</w:t>
      </w:r>
      <w:r>
        <w:rPr>
          <w:color w:val="231F20"/>
          <w:spacing w:val="2"/>
          <w:w w:val="110"/>
          <w:sz w:val="19"/>
        </w:rPr>
        <w:t> </w:t>
      </w:r>
      <w:r>
        <w:rPr>
          <w:color w:val="231F20"/>
          <w:spacing w:val="-2"/>
          <w:w w:val="110"/>
          <w:sz w:val="19"/>
        </w:rPr>
        <w:t>arrangement</w:t>
      </w:r>
    </w:p>
    <w:p>
      <w:pPr>
        <w:pStyle w:val="BodyText"/>
        <w:rPr>
          <w:rFonts w:ascii="Arial"/>
          <w:sz w:val="20"/>
        </w:rPr>
      </w:pPr>
    </w:p>
    <w:p>
      <w:pPr>
        <w:pStyle w:val="BodyText"/>
        <w:spacing w:line="292" w:lineRule="auto" w:before="131"/>
        <w:ind w:left="830" w:right="756" w:firstLine="340"/>
        <w:jc w:val="both"/>
      </w:pPr>
      <w:r>
        <w:rPr>
          <w:color w:val="231F20"/>
        </w:rPr>
        <w:t>The agreement does not need to be in one written document. If the basic terms of the agreement can be pieced together with several documents that were signed by the party being sued, these can be construed as a valid contract.</w:t>
      </w:r>
    </w:p>
    <w:p>
      <w:pPr>
        <w:pStyle w:val="BodyText"/>
        <w:spacing w:line="292" w:lineRule="auto"/>
        <w:ind w:left="830" w:right="756" w:firstLine="339"/>
        <w:jc w:val="both"/>
      </w:pPr>
      <w:r>
        <w:rPr>
          <w:b/>
          <w:i/>
          <w:color w:val="231F20"/>
        </w:rPr>
        <w:t>Parol</w:t>
      </w:r>
      <w:r>
        <w:rPr>
          <w:b/>
          <w:i/>
          <w:color w:val="231F20"/>
          <w:spacing w:val="-12"/>
        </w:rPr>
        <w:t> </w:t>
      </w:r>
      <w:r>
        <w:rPr>
          <w:b/>
          <w:i/>
          <w:color w:val="231F20"/>
        </w:rPr>
        <w:t>Evidence</w:t>
      </w:r>
      <w:r>
        <w:rPr>
          <w:b/>
          <w:i/>
          <w:color w:val="231F20"/>
          <w:spacing w:val="-5"/>
        </w:rPr>
        <w:t> </w:t>
      </w:r>
      <w:r>
        <w:rPr>
          <w:b/>
          <w:i/>
          <w:color w:val="231F20"/>
        </w:rPr>
        <w:t>Rule</w:t>
      </w:r>
      <w:r>
        <w:rPr>
          <w:b/>
          <w:i/>
          <w:color w:val="231F20"/>
          <w:spacing w:val="-12"/>
        </w:rPr>
        <w:t> </w:t>
      </w:r>
      <w:r>
        <w:rPr>
          <w:color w:val="231F20"/>
        </w:rPr>
        <w:t>—</w:t>
      </w:r>
      <w:r>
        <w:rPr>
          <w:color w:val="231F20"/>
          <w:spacing w:val="-12"/>
        </w:rPr>
        <w:t> </w:t>
      </w:r>
      <w:r>
        <w:rPr>
          <w:color w:val="231F20"/>
        </w:rPr>
        <w:t>The </w:t>
      </w:r>
      <w:r>
        <w:rPr>
          <w:i/>
          <w:color w:val="231F20"/>
        </w:rPr>
        <w:t>parol evidence rule </w:t>
      </w:r>
      <w:r>
        <w:rPr>
          <w:color w:val="231F20"/>
        </w:rPr>
        <w:t>prohibits the </w:t>
      </w:r>
      <w:r>
        <w:rPr>
          <w:color w:val="231F20"/>
        </w:rPr>
        <w:t>par- ties from disputing the written contract by citing evidence external</w:t>
      </w:r>
      <w:r>
        <w:rPr>
          <w:color w:val="231F20"/>
          <w:spacing w:val="40"/>
        </w:rPr>
        <w:t> </w:t>
      </w:r>
      <w:r>
        <w:rPr>
          <w:color w:val="231F20"/>
        </w:rPr>
        <w:t>to the contract. There are many exceptions to this rule, however,</w:t>
      </w:r>
      <w:r>
        <w:rPr>
          <w:color w:val="231F20"/>
          <w:spacing w:val="80"/>
          <w:w w:val="150"/>
        </w:rPr>
        <w:t> </w:t>
      </w:r>
      <w:r>
        <w:rPr>
          <w:color w:val="231F20"/>
        </w:rPr>
        <w:t>that make the parol evidence rule more of a guideline than a strict rule.</w:t>
      </w:r>
      <w:r>
        <w:rPr>
          <w:color w:val="231F20"/>
          <w:spacing w:val="24"/>
        </w:rPr>
        <w:t> </w:t>
      </w:r>
      <w:r>
        <w:rPr>
          <w:color w:val="231F20"/>
        </w:rPr>
        <w:t>For</w:t>
      </w:r>
      <w:r>
        <w:rPr>
          <w:color w:val="231F20"/>
          <w:spacing w:val="24"/>
        </w:rPr>
        <w:t> </w:t>
      </w:r>
      <w:r>
        <w:rPr>
          <w:color w:val="231F20"/>
        </w:rPr>
        <w:t>example,</w:t>
      </w:r>
      <w:r>
        <w:rPr>
          <w:color w:val="231F20"/>
          <w:spacing w:val="25"/>
        </w:rPr>
        <w:t> </w:t>
      </w:r>
      <w:r>
        <w:rPr>
          <w:color w:val="231F20"/>
        </w:rPr>
        <w:t>evidence</w:t>
      </w:r>
      <w:r>
        <w:rPr>
          <w:color w:val="231F20"/>
          <w:spacing w:val="24"/>
        </w:rPr>
        <w:t> </w:t>
      </w:r>
      <w:r>
        <w:rPr>
          <w:color w:val="231F20"/>
        </w:rPr>
        <w:t>that</w:t>
      </w:r>
      <w:r>
        <w:rPr>
          <w:color w:val="231F20"/>
          <w:spacing w:val="25"/>
        </w:rPr>
        <w:t> </w:t>
      </w:r>
      <w:r>
        <w:rPr>
          <w:color w:val="231F20"/>
        </w:rPr>
        <w:t>a</w:t>
      </w:r>
      <w:r>
        <w:rPr>
          <w:color w:val="231F20"/>
          <w:spacing w:val="24"/>
        </w:rPr>
        <w:t> </w:t>
      </w:r>
      <w:r>
        <w:rPr>
          <w:color w:val="231F20"/>
        </w:rPr>
        <w:t>contract</w:t>
      </w:r>
      <w:r>
        <w:rPr>
          <w:color w:val="231F20"/>
          <w:spacing w:val="24"/>
        </w:rPr>
        <w:t> </w:t>
      </w:r>
      <w:r>
        <w:rPr>
          <w:color w:val="231F20"/>
        </w:rPr>
        <w:t>was</w:t>
      </w:r>
      <w:r>
        <w:rPr>
          <w:color w:val="231F20"/>
          <w:spacing w:val="25"/>
        </w:rPr>
        <w:t> </w:t>
      </w:r>
      <w:r>
        <w:rPr>
          <w:color w:val="231F20"/>
        </w:rPr>
        <w:t>entered</w:t>
      </w:r>
      <w:r>
        <w:rPr>
          <w:color w:val="231F20"/>
          <w:spacing w:val="24"/>
        </w:rPr>
        <w:t> </w:t>
      </w:r>
      <w:r>
        <w:rPr>
          <w:color w:val="231F20"/>
        </w:rPr>
        <w:t>into</w:t>
      </w:r>
      <w:r>
        <w:rPr>
          <w:color w:val="231F20"/>
          <w:spacing w:val="25"/>
        </w:rPr>
        <w:t> </w:t>
      </w:r>
      <w:r>
        <w:rPr>
          <w:color w:val="231F20"/>
          <w:spacing w:val="-2"/>
        </w:rPr>
        <w:t>under</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duress or by fraud can be admissible evidence that a court will con- sider outside the contract.</w:t>
      </w:r>
    </w:p>
    <w:p>
      <w:pPr>
        <w:pStyle w:val="BodyText"/>
        <w:spacing w:line="292" w:lineRule="auto"/>
        <w:ind w:left="920" w:right="666" w:firstLine="339"/>
        <w:jc w:val="both"/>
      </w:pPr>
      <w:r>
        <w:rPr>
          <w:b/>
          <w:i/>
          <w:color w:val="231F20"/>
        </w:rPr>
        <w:t>Privity</w:t>
      </w:r>
      <w:r>
        <w:rPr>
          <w:b/>
          <w:i/>
          <w:color w:val="231F20"/>
          <w:spacing w:val="-4"/>
        </w:rPr>
        <w:t> </w:t>
      </w:r>
      <w:r>
        <w:rPr>
          <w:b/>
          <w:i/>
          <w:color w:val="231F20"/>
        </w:rPr>
        <w:t>Rule</w:t>
      </w:r>
      <w:r>
        <w:rPr>
          <w:b/>
          <w:i/>
          <w:color w:val="231F20"/>
          <w:spacing w:val="-12"/>
        </w:rPr>
        <w:t> </w:t>
      </w:r>
      <w:r>
        <w:rPr>
          <w:color w:val="231F20"/>
        </w:rPr>
        <w:t>—</w:t>
      </w:r>
      <w:r>
        <w:rPr>
          <w:color w:val="231F20"/>
          <w:spacing w:val="-12"/>
        </w:rPr>
        <w:t> </w:t>
      </w:r>
      <w:r>
        <w:rPr>
          <w:color w:val="231F20"/>
        </w:rPr>
        <w:t>The </w:t>
      </w:r>
      <w:r>
        <w:rPr>
          <w:i/>
          <w:color w:val="231F20"/>
        </w:rPr>
        <w:t>privity rule </w:t>
      </w:r>
      <w:r>
        <w:rPr>
          <w:color w:val="231F20"/>
        </w:rPr>
        <w:t>allows only those parties </w:t>
      </w:r>
      <w:r>
        <w:rPr>
          <w:color w:val="231F20"/>
        </w:rPr>
        <w:t>named</w:t>
      </w:r>
      <w:r>
        <w:rPr>
          <w:color w:val="231F20"/>
          <w:spacing w:val="40"/>
        </w:rPr>
        <w:t> </w:t>
      </w:r>
      <w:r>
        <w:rPr>
          <w:color w:val="231F20"/>
        </w:rPr>
        <w:t>in a contract to bring a lawsuit relating to a contract. The scope can</w:t>
      </w:r>
      <w:r>
        <w:rPr>
          <w:color w:val="231F20"/>
          <w:spacing w:val="40"/>
        </w:rPr>
        <w:t> </w:t>
      </w:r>
      <w:r>
        <w:rPr>
          <w:color w:val="231F20"/>
        </w:rPr>
        <w:t>be expanded to include those who are assigned rights created by the contract or third-party beneficiaries who receive the results of the contract’s performance.</w:t>
      </w:r>
    </w:p>
    <w:p>
      <w:pPr>
        <w:pStyle w:val="BodyText"/>
        <w:spacing w:line="292" w:lineRule="auto"/>
        <w:ind w:left="920" w:right="667" w:firstLine="340"/>
        <w:jc w:val="both"/>
      </w:pPr>
      <w:r>
        <w:rPr>
          <w:b/>
          <w:i/>
          <w:color w:val="231F20"/>
        </w:rPr>
        <w:t>Force Majeure</w:t>
      </w:r>
      <w:r>
        <w:rPr>
          <w:b/>
          <w:i/>
          <w:color w:val="231F20"/>
          <w:spacing w:val="-12"/>
        </w:rPr>
        <w:t> </w:t>
      </w:r>
      <w:r>
        <w:rPr>
          <w:color w:val="231F20"/>
        </w:rPr>
        <w:t>—</w:t>
      </w:r>
      <w:r>
        <w:rPr>
          <w:color w:val="231F20"/>
          <w:spacing w:val="-12"/>
        </w:rPr>
        <w:t> </w:t>
      </w:r>
      <w:r>
        <w:rPr>
          <w:color w:val="231F20"/>
        </w:rPr>
        <w:t>Acts of God, such as hurricanes or floods, </w:t>
      </w:r>
      <w:r>
        <w:rPr>
          <w:color w:val="231F20"/>
        </w:rPr>
        <w:t>can</w:t>
      </w:r>
      <w:r>
        <w:rPr>
          <w:color w:val="231F20"/>
          <w:spacing w:val="40"/>
        </w:rPr>
        <w:t> </w:t>
      </w:r>
      <w:r>
        <w:rPr>
          <w:color w:val="231F20"/>
        </w:rPr>
        <w:t>be valid excuses for nonperformance of a contract. </w:t>
      </w:r>
      <w:r>
        <w:rPr>
          <w:i/>
          <w:color w:val="231F20"/>
        </w:rPr>
        <w:t>Force majeure </w:t>
      </w:r>
      <w:r>
        <w:rPr>
          <w:color w:val="231F20"/>
        </w:rPr>
        <w:t>is often included as an express clause of a contract.</w:t>
      </w:r>
    </w:p>
    <w:p>
      <w:pPr>
        <w:pStyle w:val="BodyText"/>
        <w:spacing w:line="292" w:lineRule="auto"/>
        <w:ind w:left="920" w:right="666" w:firstLine="340"/>
        <w:jc w:val="both"/>
      </w:pPr>
      <w:r>
        <w:rPr>
          <w:b/>
          <w:i/>
          <w:color w:val="231F20"/>
        </w:rPr>
        <w:t>Novation</w:t>
      </w:r>
      <w:r>
        <w:rPr>
          <w:b/>
          <w:i/>
          <w:color w:val="231F20"/>
          <w:spacing w:val="-12"/>
        </w:rPr>
        <w:t> </w:t>
      </w:r>
      <w:r>
        <w:rPr>
          <w:color w:val="231F20"/>
        </w:rPr>
        <w:t>—</w:t>
      </w:r>
      <w:r>
        <w:rPr>
          <w:color w:val="231F20"/>
          <w:spacing w:val="-12"/>
        </w:rPr>
        <w:t> </w:t>
      </w:r>
      <w:r>
        <w:rPr>
          <w:color w:val="231F20"/>
        </w:rPr>
        <w:t>In</w:t>
      </w:r>
      <w:r>
        <w:rPr>
          <w:color w:val="231F20"/>
          <w:spacing w:val="-11"/>
        </w:rPr>
        <w:t> </w:t>
      </w:r>
      <w:r>
        <w:rPr>
          <w:color w:val="231F20"/>
        </w:rPr>
        <w:t>a</w:t>
      </w:r>
      <w:r>
        <w:rPr>
          <w:color w:val="231F20"/>
          <w:spacing w:val="-9"/>
        </w:rPr>
        <w:t> </w:t>
      </w:r>
      <w:r>
        <w:rPr>
          <w:color w:val="231F20"/>
        </w:rPr>
        <w:t>contract between two parties, one party may </w:t>
      </w:r>
      <w:r>
        <w:rPr>
          <w:color w:val="231F20"/>
        </w:rPr>
        <w:t>re- assign his or her duties to a third party and be excused from the con- tract. The new third party assumes those duties and responsibilities to perform the contract as written. Assuming someone else’s home mortgage is an example.</w:t>
      </w:r>
    </w:p>
    <w:p>
      <w:pPr>
        <w:spacing w:line="292" w:lineRule="auto" w:before="0"/>
        <w:ind w:left="919" w:right="667" w:firstLine="340"/>
        <w:jc w:val="both"/>
        <w:rPr>
          <w:sz w:val="21"/>
        </w:rPr>
      </w:pPr>
      <w:r>
        <w:rPr>
          <w:b/>
          <w:i/>
          <w:color w:val="231F20"/>
          <w:sz w:val="21"/>
        </w:rPr>
        <w:t>Elements</w:t>
      </w:r>
      <w:r>
        <w:rPr>
          <w:b/>
          <w:i/>
          <w:color w:val="231F20"/>
          <w:spacing w:val="-12"/>
          <w:sz w:val="21"/>
        </w:rPr>
        <w:t> </w:t>
      </w:r>
      <w:r>
        <w:rPr>
          <w:b/>
          <w:i/>
          <w:color w:val="231F20"/>
          <w:sz w:val="21"/>
        </w:rPr>
        <w:t>of</w:t>
      </w:r>
      <w:r>
        <w:rPr>
          <w:b/>
          <w:i/>
          <w:color w:val="231F20"/>
          <w:spacing w:val="-12"/>
          <w:sz w:val="21"/>
        </w:rPr>
        <w:t> </w:t>
      </w:r>
      <w:r>
        <w:rPr>
          <w:b/>
          <w:i/>
          <w:color w:val="231F20"/>
          <w:sz w:val="21"/>
        </w:rPr>
        <w:t>a Contractual Lawsuit</w:t>
      </w:r>
      <w:r>
        <w:rPr>
          <w:b/>
          <w:i/>
          <w:color w:val="231F20"/>
          <w:spacing w:val="-12"/>
          <w:sz w:val="21"/>
        </w:rPr>
        <w:t> </w:t>
      </w:r>
      <w:r>
        <w:rPr>
          <w:color w:val="231F20"/>
          <w:sz w:val="21"/>
        </w:rPr>
        <w:t>—</w:t>
      </w:r>
      <w:r>
        <w:rPr>
          <w:color w:val="231F20"/>
          <w:spacing w:val="-12"/>
          <w:sz w:val="21"/>
        </w:rPr>
        <w:t> </w:t>
      </w:r>
      <w:r>
        <w:rPr>
          <w:color w:val="231F20"/>
          <w:sz w:val="21"/>
        </w:rPr>
        <w:t>Lawsuits must include </w:t>
      </w:r>
      <w:r>
        <w:rPr>
          <w:color w:val="231F20"/>
          <w:sz w:val="21"/>
        </w:rPr>
        <w:t>the following elements:</w:t>
      </w:r>
    </w:p>
    <w:p>
      <w:pPr>
        <w:pStyle w:val="BodyText"/>
        <w:spacing w:before="10"/>
        <w:rPr>
          <w:sz w:val="26"/>
        </w:rPr>
      </w:pPr>
    </w:p>
    <w:p>
      <w:pPr>
        <w:pStyle w:val="ListParagraph"/>
        <w:numPr>
          <w:ilvl w:val="1"/>
          <w:numId w:val="52"/>
        </w:numPr>
        <w:tabs>
          <w:tab w:pos="1610" w:val="left" w:leader="none"/>
        </w:tabs>
        <w:spacing w:line="240" w:lineRule="auto" w:before="0" w:after="0"/>
        <w:ind w:left="1609" w:right="0" w:hanging="170"/>
        <w:jc w:val="left"/>
        <w:rPr>
          <w:sz w:val="19"/>
        </w:rPr>
      </w:pPr>
      <w:r>
        <w:rPr>
          <w:color w:val="231F20"/>
          <w:w w:val="115"/>
          <w:sz w:val="19"/>
        </w:rPr>
        <w:t>Proof</w:t>
      </w:r>
      <w:r>
        <w:rPr>
          <w:color w:val="231F20"/>
          <w:spacing w:val="-8"/>
          <w:w w:val="115"/>
          <w:sz w:val="19"/>
        </w:rPr>
        <w:t> </w:t>
      </w:r>
      <w:r>
        <w:rPr>
          <w:color w:val="231F20"/>
          <w:w w:val="115"/>
          <w:sz w:val="19"/>
        </w:rPr>
        <w:t>that</w:t>
      </w:r>
      <w:r>
        <w:rPr>
          <w:color w:val="231F20"/>
          <w:spacing w:val="-7"/>
          <w:w w:val="115"/>
          <w:sz w:val="19"/>
        </w:rPr>
        <w:t> </w:t>
      </w:r>
      <w:r>
        <w:rPr>
          <w:color w:val="231F20"/>
          <w:w w:val="115"/>
          <w:sz w:val="19"/>
        </w:rPr>
        <w:t>a</w:t>
      </w:r>
      <w:r>
        <w:rPr>
          <w:color w:val="231F20"/>
          <w:spacing w:val="-8"/>
          <w:w w:val="115"/>
          <w:sz w:val="19"/>
        </w:rPr>
        <w:t> </w:t>
      </w:r>
      <w:r>
        <w:rPr>
          <w:color w:val="231F20"/>
          <w:w w:val="115"/>
          <w:sz w:val="19"/>
        </w:rPr>
        <w:t>contract</w:t>
      </w:r>
      <w:r>
        <w:rPr>
          <w:color w:val="231F20"/>
          <w:spacing w:val="-7"/>
          <w:w w:val="115"/>
          <w:sz w:val="19"/>
        </w:rPr>
        <w:t> </w:t>
      </w:r>
      <w:r>
        <w:rPr>
          <w:color w:val="231F20"/>
          <w:spacing w:val="-2"/>
          <w:w w:val="115"/>
          <w:sz w:val="19"/>
        </w:rPr>
        <w:t>exists</w:t>
      </w:r>
    </w:p>
    <w:p>
      <w:pPr>
        <w:pStyle w:val="ListParagraph"/>
        <w:numPr>
          <w:ilvl w:val="1"/>
          <w:numId w:val="52"/>
        </w:numPr>
        <w:tabs>
          <w:tab w:pos="1610" w:val="left" w:leader="none"/>
        </w:tabs>
        <w:spacing w:line="240" w:lineRule="auto" w:before="81" w:after="0"/>
        <w:ind w:left="1610" w:right="0" w:hanging="219"/>
        <w:jc w:val="left"/>
        <w:rPr>
          <w:sz w:val="19"/>
        </w:rPr>
      </w:pPr>
      <w:r>
        <w:rPr>
          <w:i/>
          <w:color w:val="231F20"/>
          <w:spacing w:val="-2"/>
          <w:w w:val="115"/>
          <w:sz w:val="19"/>
        </w:rPr>
        <w:t>Breach</w:t>
      </w:r>
      <w:r>
        <w:rPr>
          <w:i/>
          <w:color w:val="231F20"/>
          <w:spacing w:val="-6"/>
          <w:w w:val="115"/>
          <w:sz w:val="19"/>
        </w:rPr>
        <w:t> </w:t>
      </w:r>
      <w:r>
        <w:rPr>
          <w:color w:val="231F20"/>
          <w:spacing w:val="-2"/>
          <w:w w:val="115"/>
          <w:sz w:val="19"/>
        </w:rPr>
        <w:t>or</w:t>
      </w:r>
      <w:r>
        <w:rPr>
          <w:color w:val="231F20"/>
          <w:spacing w:val="-6"/>
          <w:w w:val="115"/>
          <w:sz w:val="19"/>
        </w:rPr>
        <w:t> </w:t>
      </w:r>
      <w:r>
        <w:rPr>
          <w:color w:val="231F20"/>
          <w:spacing w:val="-2"/>
          <w:w w:val="115"/>
          <w:sz w:val="19"/>
        </w:rPr>
        <w:t>nonperformance</w:t>
      </w:r>
      <w:r>
        <w:rPr>
          <w:color w:val="231F20"/>
          <w:spacing w:val="-5"/>
          <w:w w:val="115"/>
          <w:sz w:val="19"/>
        </w:rPr>
        <w:t> </w:t>
      </w:r>
      <w:r>
        <w:rPr>
          <w:color w:val="231F20"/>
          <w:spacing w:val="-2"/>
          <w:w w:val="115"/>
          <w:sz w:val="19"/>
        </w:rPr>
        <w:t>of</w:t>
      </w:r>
      <w:r>
        <w:rPr>
          <w:color w:val="231F20"/>
          <w:spacing w:val="-6"/>
          <w:w w:val="115"/>
          <w:sz w:val="19"/>
        </w:rPr>
        <w:t> </w:t>
      </w:r>
      <w:r>
        <w:rPr>
          <w:color w:val="231F20"/>
          <w:spacing w:val="-2"/>
          <w:w w:val="115"/>
          <w:sz w:val="19"/>
        </w:rPr>
        <w:t>the</w:t>
      </w:r>
      <w:r>
        <w:rPr>
          <w:color w:val="231F20"/>
          <w:spacing w:val="-5"/>
          <w:w w:val="115"/>
          <w:sz w:val="19"/>
        </w:rPr>
        <w:t> </w:t>
      </w:r>
      <w:r>
        <w:rPr>
          <w:color w:val="231F20"/>
          <w:spacing w:val="-2"/>
          <w:w w:val="115"/>
          <w:sz w:val="19"/>
        </w:rPr>
        <w:t>contract</w:t>
      </w:r>
    </w:p>
    <w:p>
      <w:pPr>
        <w:pStyle w:val="ListParagraph"/>
        <w:numPr>
          <w:ilvl w:val="1"/>
          <w:numId w:val="52"/>
        </w:numPr>
        <w:tabs>
          <w:tab w:pos="1611" w:val="left" w:leader="none"/>
        </w:tabs>
        <w:spacing w:line="240" w:lineRule="auto" w:before="82" w:after="0"/>
        <w:ind w:left="1610" w:right="0" w:hanging="224"/>
        <w:jc w:val="left"/>
        <w:rPr>
          <w:sz w:val="19"/>
        </w:rPr>
      </w:pPr>
      <w:r>
        <w:rPr>
          <w:color w:val="231F20"/>
          <w:w w:val="115"/>
          <w:sz w:val="19"/>
        </w:rPr>
        <w:t>Proof</w:t>
      </w:r>
      <w:r>
        <w:rPr>
          <w:color w:val="231F20"/>
          <w:spacing w:val="-8"/>
          <w:w w:val="115"/>
          <w:sz w:val="19"/>
        </w:rPr>
        <w:t> </w:t>
      </w:r>
      <w:r>
        <w:rPr>
          <w:color w:val="231F20"/>
          <w:w w:val="115"/>
          <w:sz w:val="19"/>
        </w:rPr>
        <w:t>of</w:t>
      </w:r>
      <w:r>
        <w:rPr>
          <w:color w:val="231F20"/>
          <w:spacing w:val="-7"/>
          <w:w w:val="115"/>
          <w:sz w:val="19"/>
        </w:rPr>
        <w:t> </w:t>
      </w:r>
      <w:r>
        <w:rPr>
          <w:color w:val="231F20"/>
          <w:spacing w:val="-2"/>
          <w:w w:val="115"/>
          <w:sz w:val="19"/>
        </w:rPr>
        <w:t>damages</w:t>
      </w:r>
    </w:p>
    <w:p>
      <w:pPr>
        <w:pStyle w:val="BodyText"/>
        <w:rPr>
          <w:rFonts w:ascii="Arial"/>
          <w:sz w:val="20"/>
        </w:rPr>
      </w:pPr>
    </w:p>
    <w:p>
      <w:pPr>
        <w:pStyle w:val="BodyText"/>
        <w:spacing w:line="292" w:lineRule="auto" w:before="130"/>
        <w:ind w:left="920" w:right="666" w:firstLine="340"/>
        <w:jc w:val="both"/>
        <w:rPr>
          <w:i/>
        </w:rPr>
      </w:pPr>
      <w:r>
        <w:rPr>
          <w:color w:val="231F20"/>
        </w:rPr>
        <w:t>If a clause is included in the contract specifying the penalties </w:t>
      </w:r>
      <w:r>
        <w:rPr>
          <w:color w:val="231F20"/>
        </w:rPr>
        <w:t>for nonperformance, it is called </w:t>
      </w:r>
      <w:r>
        <w:rPr>
          <w:i/>
          <w:color w:val="231F20"/>
        </w:rPr>
        <w:t>liquidated damages.</w:t>
      </w:r>
    </w:p>
    <w:p>
      <w:pPr>
        <w:pStyle w:val="BodyText"/>
        <w:rPr>
          <w:i/>
          <w:sz w:val="24"/>
        </w:rPr>
      </w:pPr>
    </w:p>
    <w:p>
      <w:pPr>
        <w:pStyle w:val="BodyText"/>
        <w:spacing w:before="1"/>
        <w:rPr>
          <w:i/>
          <w:sz w:val="27"/>
        </w:rPr>
      </w:pPr>
    </w:p>
    <w:p>
      <w:pPr>
        <w:pStyle w:val="Heading6"/>
        <w:spacing w:line="292" w:lineRule="auto" w:before="1"/>
        <w:ind w:left="1810" w:right="1262" w:firstLine="179"/>
        <w:jc w:val="left"/>
      </w:pPr>
      <w:r>
        <w:rPr>
          <w:i/>
          <w:color w:val="231F20"/>
          <w:w w:val="110"/>
        </w:rPr>
        <w:t>UNIFORM</w:t>
      </w:r>
      <w:r>
        <w:rPr>
          <w:i/>
          <w:color w:val="231F20"/>
          <w:w w:val="110"/>
        </w:rPr>
        <w:t> COMMERCIAL</w:t>
      </w:r>
      <w:r>
        <w:rPr>
          <w:i/>
          <w:color w:val="231F20"/>
          <w:w w:val="110"/>
        </w:rPr>
        <w:t> CODE</w:t>
      </w:r>
      <w:r>
        <w:rPr>
          <w:i/>
          <w:color w:val="231F20"/>
          <w:w w:val="110"/>
        </w:rPr>
        <w:t> </w:t>
      </w:r>
      <w:r>
        <w:rPr>
          <w:i/>
          <w:color w:val="231F20"/>
          <w:spacing w:val="10"/>
          <w:w w:val="110"/>
        </w:rPr>
        <w:t>(UCC)</w:t>
      </w:r>
      <w:r>
        <w:rPr>
          <w:color w:val="231F20"/>
          <w:spacing w:val="80"/>
          <w:w w:val="150"/>
        </w:rPr>
        <w:t> </w:t>
      </w:r>
      <w:r>
        <w:rPr>
          <w:color w:val="231F20"/>
          <w:w w:val="110"/>
        </w:rPr>
        <w:t>ARTICLES</w:t>
      </w:r>
      <w:r>
        <w:rPr>
          <w:color w:val="231F20"/>
          <w:spacing w:val="40"/>
          <w:w w:val="110"/>
        </w:rPr>
        <w:t> </w:t>
      </w:r>
      <w:r>
        <w:rPr>
          <w:color w:val="231F20"/>
          <w:w w:val="110"/>
        </w:rPr>
        <w:t>3</w:t>
      </w:r>
      <w:r>
        <w:rPr>
          <w:color w:val="231F20"/>
          <w:spacing w:val="40"/>
          <w:w w:val="110"/>
        </w:rPr>
        <w:t> </w:t>
      </w:r>
      <w:r>
        <w:rPr>
          <w:color w:val="231F20"/>
          <w:w w:val="110"/>
        </w:rPr>
        <w:t>AND</w:t>
      </w:r>
      <w:r>
        <w:rPr>
          <w:color w:val="231F20"/>
          <w:spacing w:val="40"/>
          <w:w w:val="110"/>
        </w:rPr>
        <w:t> </w:t>
      </w:r>
      <w:r>
        <w:rPr>
          <w:color w:val="231F20"/>
          <w:w w:val="110"/>
        </w:rPr>
        <w:t>4:</w:t>
      </w:r>
      <w:r>
        <w:rPr>
          <w:color w:val="231F20"/>
          <w:spacing w:val="40"/>
          <w:w w:val="110"/>
        </w:rPr>
        <w:t> </w:t>
      </w:r>
      <w:r>
        <w:rPr>
          <w:color w:val="231F20"/>
          <w:w w:val="110"/>
        </w:rPr>
        <w:t>COMMERCIAL</w:t>
      </w:r>
      <w:r>
        <w:rPr>
          <w:color w:val="231F20"/>
          <w:spacing w:val="40"/>
          <w:w w:val="110"/>
        </w:rPr>
        <w:t> </w:t>
      </w:r>
      <w:r>
        <w:rPr>
          <w:color w:val="231F20"/>
          <w:w w:val="110"/>
        </w:rPr>
        <w:t>PAPER</w:t>
      </w:r>
    </w:p>
    <w:p>
      <w:pPr>
        <w:pStyle w:val="BodyText"/>
        <w:spacing w:before="6"/>
        <w:rPr>
          <w:b/>
          <w:i/>
          <w:sz w:val="25"/>
        </w:rPr>
      </w:pPr>
    </w:p>
    <w:p>
      <w:pPr>
        <w:pStyle w:val="BodyText"/>
        <w:spacing w:line="292" w:lineRule="auto"/>
        <w:ind w:left="920" w:right="664"/>
        <w:jc w:val="both"/>
      </w:pPr>
      <w:r>
        <w:rPr>
          <w:i/>
          <w:color w:val="231F20"/>
        </w:rPr>
        <w:t>Commercial</w:t>
      </w:r>
      <w:r>
        <w:rPr>
          <w:i/>
          <w:color w:val="231F20"/>
          <w:spacing w:val="39"/>
        </w:rPr>
        <w:t> </w:t>
      </w:r>
      <w:r>
        <w:rPr>
          <w:i/>
          <w:color w:val="231F20"/>
        </w:rPr>
        <w:t>or</w:t>
      </w:r>
      <w:r>
        <w:rPr>
          <w:i/>
          <w:color w:val="231F20"/>
          <w:spacing w:val="39"/>
        </w:rPr>
        <w:t> </w:t>
      </w:r>
      <w:r>
        <w:rPr>
          <w:i/>
          <w:color w:val="231F20"/>
        </w:rPr>
        <w:t>negotiable</w:t>
      </w:r>
      <w:r>
        <w:rPr>
          <w:i/>
          <w:color w:val="231F20"/>
          <w:spacing w:val="39"/>
        </w:rPr>
        <w:t> </w:t>
      </w:r>
      <w:r>
        <w:rPr>
          <w:i/>
          <w:color w:val="231F20"/>
        </w:rPr>
        <w:t>paper</w:t>
      </w:r>
      <w:r>
        <w:rPr>
          <w:i/>
          <w:color w:val="231F20"/>
          <w:spacing w:val="38"/>
        </w:rPr>
        <w:t> </w:t>
      </w:r>
      <w:r>
        <w:rPr>
          <w:color w:val="231F20"/>
        </w:rPr>
        <w:t>is</w:t>
      </w:r>
      <w:r>
        <w:rPr>
          <w:color w:val="231F20"/>
          <w:spacing w:val="39"/>
        </w:rPr>
        <w:t> </w:t>
      </w:r>
      <w:r>
        <w:rPr>
          <w:color w:val="231F20"/>
        </w:rPr>
        <w:t>a</w:t>
      </w:r>
      <w:r>
        <w:rPr>
          <w:color w:val="231F20"/>
          <w:spacing w:val="39"/>
        </w:rPr>
        <w:t> </w:t>
      </w:r>
      <w:r>
        <w:rPr>
          <w:color w:val="231F20"/>
        </w:rPr>
        <w:t>document</w:t>
      </w:r>
      <w:r>
        <w:rPr>
          <w:color w:val="231F20"/>
          <w:spacing w:val="39"/>
        </w:rPr>
        <w:t> </w:t>
      </w:r>
      <w:r>
        <w:rPr>
          <w:color w:val="231F20"/>
        </w:rPr>
        <w:t>that</w:t>
      </w:r>
      <w:r>
        <w:rPr>
          <w:color w:val="231F20"/>
          <w:spacing w:val="39"/>
        </w:rPr>
        <w:t> </w:t>
      </w:r>
      <w:r>
        <w:rPr>
          <w:color w:val="231F20"/>
        </w:rPr>
        <w:t>can</w:t>
      </w:r>
      <w:r>
        <w:rPr>
          <w:color w:val="231F20"/>
          <w:spacing w:val="39"/>
        </w:rPr>
        <w:t> </w:t>
      </w:r>
      <w:r>
        <w:rPr>
          <w:color w:val="231F20"/>
        </w:rPr>
        <w:t>be</w:t>
      </w:r>
      <w:r>
        <w:rPr>
          <w:color w:val="231F20"/>
          <w:spacing w:val="39"/>
        </w:rPr>
        <w:t> </w:t>
      </w:r>
      <w:r>
        <w:rPr>
          <w:color w:val="231F20"/>
        </w:rPr>
        <w:t>traded for value by its holder independent of the parties that created it. Checks are negotiable paper. To be negotiable, a paper must have</w:t>
      </w:r>
      <w:r>
        <w:rPr>
          <w:color w:val="231F20"/>
          <w:spacing w:val="80"/>
          <w:w w:val="150"/>
        </w:rPr>
        <w:t> </w:t>
      </w:r>
      <w:r>
        <w:rPr>
          <w:color w:val="231F20"/>
        </w:rPr>
        <w:t>the following characteristics:</w:t>
      </w:r>
    </w:p>
    <w:p>
      <w:pPr>
        <w:pStyle w:val="BodyText"/>
        <w:spacing w:before="3"/>
        <w:rPr>
          <w:sz w:val="27"/>
        </w:rPr>
      </w:pPr>
    </w:p>
    <w:p>
      <w:pPr>
        <w:pStyle w:val="ListParagraph"/>
        <w:numPr>
          <w:ilvl w:val="0"/>
          <w:numId w:val="53"/>
        </w:numPr>
        <w:tabs>
          <w:tab w:pos="1611" w:val="left" w:leader="none"/>
        </w:tabs>
        <w:spacing w:line="240" w:lineRule="auto" w:before="0" w:after="0"/>
        <w:ind w:left="1610" w:right="0" w:hanging="171"/>
        <w:jc w:val="left"/>
        <w:rPr>
          <w:sz w:val="19"/>
        </w:rPr>
      </w:pPr>
      <w:r>
        <w:rPr>
          <w:color w:val="231F20"/>
          <w:w w:val="115"/>
          <w:sz w:val="19"/>
        </w:rPr>
        <w:t>It</w:t>
      </w:r>
      <w:r>
        <w:rPr>
          <w:color w:val="231F20"/>
          <w:spacing w:val="-4"/>
          <w:w w:val="115"/>
          <w:sz w:val="19"/>
        </w:rPr>
        <w:t> </w:t>
      </w:r>
      <w:r>
        <w:rPr>
          <w:color w:val="231F20"/>
          <w:w w:val="115"/>
          <w:sz w:val="19"/>
        </w:rPr>
        <w:t>must</w:t>
      </w:r>
      <w:r>
        <w:rPr>
          <w:color w:val="231F20"/>
          <w:spacing w:val="-4"/>
          <w:w w:val="115"/>
          <w:sz w:val="19"/>
        </w:rPr>
        <w:t> </w:t>
      </w:r>
      <w:r>
        <w:rPr>
          <w:color w:val="231F20"/>
          <w:w w:val="115"/>
          <w:sz w:val="19"/>
        </w:rPr>
        <w:t>be</w:t>
      </w:r>
      <w:r>
        <w:rPr>
          <w:color w:val="231F20"/>
          <w:spacing w:val="-4"/>
          <w:w w:val="115"/>
          <w:sz w:val="19"/>
        </w:rPr>
        <w:t> </w:t>
      </w:r>
      <w:r>
        <w:rPr>
          <w:color w:val="231F20"/>
          <w:w w:val="115"/>
          <w:sz w:val="19"/>
        </w:rPr>
        <w:t>in</w:t>
      </w:r>
      <w:r>
        <w:rPr>
          <w:color w:val="231F20"/>
          <w:spacing w:val="-4"/>
          <w:w w:val="115"/>
          <w:sz w:val="19"/>
        </w:rPr>
        <w:t> </w:t>
      </w:r>
      <w:r>
        <w:rPr>
          <w:color w:val="231F20"/>
          <w:w w:val="115"/>
          <w:sz w:val="19"/>
        </w:rPr>
        <w:t>written</w:t>
      </w:r>
      <w:r>
        <w:rPr>
          <w:color w:val="231F20"/>
          <w:spacing w:val="-3"/>
          <w:w w:val="115"/>
          <w:sz w:val="19"/>
        </w:rPr>
        <w:t> </w:t>
      </w:r>
      <w:r>
        <w:rPr>
          <w:color w:val="231F20"/>
          <w:spacing w:val="-2"/>
          <w:w w:val="115"/>
          <w:sz w:val="19"/>
        </w:rPr>
        <w:t>form.</w:t>
      </w:r>
    </w:p>
    <w:p>
      <w:pPr>
        <w:pStyle w:val="ListParagraph"/>
        <w:numPr>
          <w:ilvl w:val="0"/>
          <w:numId w:val="53"/>
        </w:numPr>
        <w:tabs>
          <w:tab w:pos="1611" w:val="left" w:leader="none"/>
        </w:tabs>
        <w:spacing w:line="240" w:lineRule="auto" w:before="82" w:after="0"/>
        <w:ind w:left="1610" w:right="0" w:hanging="220"/>
        <w:jc w:val="left"/>
        <w:rPr>
          <w:sz w:val="19"/>
        </w:rPr>
      </w:pPr>
      <w:r>
        <w:rPr>
          <w:color w:val="231F20"/>
          <w:w w:val="115"/>
          <w:sz w:val="19"/>
        </w:rPr>
        <w:t>It</w:t>
      </w:r>
      <w:r>
        <w:rPr>
          <w:color w:val="231F20"/>
          <w:spacing w:val="-8"/>
          <w:w w:val="115"/>
          <w:sz w:val="19"/>
        </w:rPr>
        <w:t> </w:t>
      </w:r>
      <w:r>
        <w:rPr>
          <w:color w:val="231F20"/>
          <w:w w:val="115"/>
          <w:sz w:val="19"/>
        </w:rPr>
        <w:t>must</w:t>
      </w:r>
      <w:r>
        <w:rPr>
          <w:color w:val="231F20"/>
          <w:spacing w:val="-7"/>
          <w:w w:val="115"/>
          <w:sz w:val="19"/>
        </w:rPr>
        <w:t> </w:t>
      </w:r>
      <w:r>
        <w:rPr>
          <w:color w:val="231F20"/>
          <w:w w:val="115"/>
          <w:sz w:val="19"/>
        </w:rPr>
        <w:t>be</w:t>
      </w:r>
      <w:r>
        <w:rPr>
          <w:color w:val="231F20"/>
          <w:spacing w:val="-8"/>
          <w:w w:val="115"/>
          <w:sz w:val="19"/>
        </w:rPr>
        <w:t> </w:t>
      </w:r>
      <w:r>
        <w:rPr>
          <w:color w:val="231F20"/>
          <w:w w:val="115"/>
          <w:sz w:val="19"/>
        </w:rPr>
        <w:t>signed</w:t>
      </w:r>
      <w:r>
        <w:rPr>
          <w:color w:val="231F20"/>
          <w:spacing w:val="-7"/>
          <w:w w:val="115"/>
          <w:sz w:val="19"/>
        </w:rPr>
        <w:t> </w:t>
      </w:r>
      <w:r>
        <w:rPr>
          <w:color w:val="231F20"/>
          <w:w w:val="115"/>
          <w:sz w:val="19"/>
        </w:rPr>
        <w:t>by</w:t>
      </w:r>
      <w:r>
        <w:rPr>
          <w:color w:val="231F20"/>
          <w:spacing w:val="-7"/>
          <w:w w:val="115"/>
          <w:sz w:val="19"/>
        </w:rPr>
        <w:t> </w:t>
      </w:r>
      <w:r>
        <w:rPr>
          <w:color w:val="231F20"/>
          <w:w w:val="115"/>
          <w:sz w:val="19"/>
        </w:rPr>
        <w:t>the</w:t>
      </w:r>
      <w:r>
        <w:rPr>
          <w:color w:val="231F20"/>
          <w:spacing w:val="-8"/>
          <w:w w:val="115"/>
          <w:sz w:val="19"/>
        </w:rPr>
        <w:t> </w:t>
      </w:r>
      <w:r>
        <w:rPr>
          <w:color w:val="231F20"/>
          <w:w w:val="115"/>
          <w:sz w:val="19"/>
        </w:rPr>
        <w:t>party</w:t>
      </w:r>
      <w:r>
        <w:rPr>
          <w:color w:val="231F20"/>
          <w:spacing w:val="-7"/>
          <w:w w:val="115"/>
          <w:sz w:val="19"/>
        </w:rPr>
        <w:t> </w:t>
      </w:r>
      <w:r>
        <w:rPr>
          <w:color w:val="231F20"/>
          <w:w w:val="115"/>
          <w:sz w:val="19"/>
        </w:rPr>
        <w:t>promising</w:t>
      </w:r>
      <w:r>
        <w:rPr>
          <w:color w:val="231F20"/>
          <w:spacing w:val="-7"/>
          <w:w w:val="115"/>
          <w:sz w:val="19"/>
        </w:rPr>
        <w:t> </w:t>
      </w:r>
      <w:r>
        <w:rPr>
          <w:color w:val="231F20"/>
          <w:w w:val="115"/>
          <w:sz w:val="19"/>
        </w:rPr>
        <w:t>to</w:t>
      </w:r>
      <w:r>
        <w:rPr>
          <w:color w:val="231F20"/>
          <w:spacing w:val="-8"/>
          <w:w w:val="115"/>
          <w:sz w:val="19"/>
        </w:rPr>
        <w:t> </w:t>
      </w:r>
      <w:r>
        <w:rPr>
          <w:color w:val="231F20"/>
          <w:spacing w:val="-4"/>
          <w:w w:val="115"/>
          <w:sz w:val="19"/>
        </w:rPr>
        <w:t>pay.</w:t>
      </w:r>
    </w:p>
    <w:p>
      <w:pPr>
        <w:spacing w:after="0" w:line="240" w:lineRule="auto"/>
        <w:jc w:val="left"/>
        <w:rPr>
          <w:sz w:val="19"/>
        </w:rPr>
        <w:sectPr>
          <w:pgSz w:w="8640" w:h="12960"/>
          <w:pgMar w:header="734" w:footer="0" w:top="920" w:bottom="280" w:left="340" w:right="500"/>
        </w:sectPr>
      </w:pPr>
    </w:p>
    <w:p>
      <w:pPr>
        <w:pStyle w:val="BodyText"/>
        <w:spacing w:before="10"/>
        <w:rPr>
          <w:rFonts w:ascii="Arial"/>
          <w:sz w:val="19"/>
        </w:rPr>
      </w:pPr>
    </w:p>
    <w:p>
      <w:pPr>
        <w:pStyle w:val="ListParagraph"/>
        <w:numPr>
          <w:ilvl w:val="0"/>
          <w:numId w:val="53"/>
        </w:numPr>
        <w:tabs>
          <w:tab w:pos="1521" w:val="left" w:leader="none"/>
        </w:tabs>
        <w:spacing w:line="240" w:lineRule="auto" w:before="95" w:after="0"/>
        <w:ind w:left="1520" w:right="0" w:hanging="224"/>
        <w:jc w:val="left"/>
        <w:rPr>
          <w:sz w:val="19"/>
        </w:rPr>
      </w:pPr>
      <w:r>
        <w:rPr>
          <w:color w:val="231F20"/>
          <w:spacing w:val="-2"/>
          <w:w w:val="115"/>
          <w:sz w:val="19"/>
        </w:rPr>
        <w:t>It</w:t>
      </w:r>
      <w:r>
        <w:rPr>
          <w:color w:val="231F20"/>
          <w:spacing w:val="-6"/>
          <w:w w:val="115"/>
          <w:sz w:val="19"/>
        </w:rPr>
        <w:t> </w:t>
      </w:r>
      <w:r>
        <w:rPr>
          <w:color w:val="231F20"/>
          <w:spacing w:val="-2"/>
          <w:w w:val="115"/>
          <w:sz w:val="19"/>
        </w:rPr>
        <w:t>must</w:t>
      </w:r>
      <w:r>
        <w:rPr>
          <w:color w:val="231F20"/>
          <w:spacing w:val="-5"/>
          <w:w w:val="115"/>
          <w:sz w:val="19"/>
        </w:rPr>
        <w:t> </w:t>
      </w:r>
      <w:r>
        <w:rPr>
          <w:color w:val="231F20"/>
          <w:spacing w:val="-2"/>
          <w:w w:val="115"/>
          <w:sz w:val="19"/>
        </w:rPr>
        <w:t>include</w:t>
      </w:r>
      <w:r>
        <w:rPr>
          <w:color w:val="231F20"/>
          <w:spacing w:val="-6"/>
          <w:w w:val="115"/>
          <w:sz w:val="19"/>
        </w:rPr>
        <w:t> </w:t>
      </w:r>
      <w:r>
        <w:rPr>
          <w:color w:val="231F20"/>
          <w:spacing w:val="-2"/>
          <w:w w:val="115"/>
          <w:sz w:val="19"/>
        </w:rPr>
        <w:t>an</w:t>
      </w:r>
      <w:r>
        <w:rPr>
          <w:color w:val="231F20"/>
          <w:spacing w:val="-6"/>
          <w:w w:val="115"/>
          <w:sz w:val="19"/>
        </w:rPr>
        <w:t> </w:t>
      </w:r>
      <w:r>
        <w:rPr>
          <w:i/>
          <w:color w:val="231F20"/>
          <w:spacing w:val="-2"/>
          <w:w w:val="115"/>
          <w:sz w:val="19"/>
        </w:rPr>
        <w:t>unconditional</w:t>
      </w:r>
      <w:r>
        <w:rPr>
          <w:i/>
          <w:color w:val="231F20"/>
          <w:spacing w:val="-5"/>
          <w:w w:val="115"/>
          <w:sz w:val="19"/>
        </w:rPr>
        <w:t> </w:t>
      </w:r>
      <w:r>
        <w:rPr>
          <w:i/>
          <w:color w:val="231F20"/>
          <w:spacing w:val="-2"/>
          <w:w w:val="115"/>
          <w:sz w:val="19"/>
        </w:rPr>
        <w:t>promise</w:t>
      </w:r>
      <w:r>
        <w:rPr>
          <w:i/>
          <w:color w:val="231F20"/>
          <w:spacing w:val="-6"/>
          <w:w w:val="115"/>
          <w:sz w:val="19"/>
        </w:rPr>
        <w:t> </w:t>
      </w:r>
      <w:r>
        <w:rPr>
          <w:color w:val="231F20"/>
          <w:spacing w:val="-2"/>
          <w:w w:val="115"/>
          <w:sz w:val="19"/>
        </w:rPr>
        <w:t>to</w:t>
      </w:r>
      <w:r>
        <w:rPr>
          <w:color w:val="231F20"/>
          <w:spacing w:val="-5"/>
          <w:w w:val="115"/>
          <w:sz w:val="19"/>
        </w:rPr>
        <w:t> </w:t>
      </w:r>
      <w:r>
        <w:rPr>
          <w:color w:val="231F20"/>
          <w:spacing w:val="-4"/>
          <w:w w:val="115"/>
          <w:sz w:val="19"/>
        </w:rPr>
        <w:t>pay.</w:t>
      </w:r>
    </w:p>
    <w:p>
      <w:pPr>
        <w:pStyle w:val="ListParagraph"/>
        <w:numPr>
          <w:ilvl w:val="0"/>
          <w:numId w:val="53"/>
        </w:numPr>
        <w:tabs>
          <w:tab w:pos="1521" w:val="left" w:leader="none"/>
        </w:tabs>
        <w:spacing w:line="240" w:lineRule="auto" w:before="82" w:after="0"/>
        <w:ind w:left="1520" w:right="0" w:hanging="234"/>
        <w:jc w:val="left"/>
        <w:rPr>
          <w:sz w:val="19"/>
        </w:rPr>
      </w:pPr>
      <w:r>
        <w:rPr>
          <w:color w:val="231F20"/>
          <w:w w:val="115"/>
          <w:sz w:val="19"/>
        </w:rPr>
        <w:t>It</w:t>
      </w:r>
      <w:r>
        <w:rPr>
          <w:color w:val="231F20"/>
          <w:spacing w:val="-14"/>
          <w:w w:val="115"/>
          <w:sz w:val="19"/>
        </w:rPr>
        <w:t> </w:t>
      </w:r>
      <w:r>
        <w:rPr>
          <w:color w:val="231F20"/>
          <w:w w:val="115"/>
          <w:sz w:val="19"/>
        </w:rPr>
        <w:t>must</w:t>
      </w:r>
      <w:r>
        <w:rPr>
          <w:color w:val="231F20"/>
          <w:spacing w:val="-14"/>
          <w:w w:val="115"/>
          <w:sz w:val="19"/>
        </w:rPr>
        <w:t> </w:t>
      </w:r>
      <w:r>
        <w:rPr>
          <w:color w:val="231F20"/>
          <w:w w:val="115"/>
          <w:sz w:val="19"/>
        </w:rPr>
        <w:t>specify</w:t>
      </w:r>
      <w:r>
        <w:rPr>
          <w:color w:val="231F20"/>
          <w:spacing w:val="-13"/>
          <w:w w:val="115"/>
          <w:sz w:val="19"/>
        </w:rPr>
        <w:t> </w:t>
      </w:r>
      <w:r>
        <w:rPr>
          <w:color w:val="231F20"/>
          <w:w w:val="115"/>
          <w:sz w:val="19"/>
        </w:rPr>
        <w:t>payment</w:t>
      </w:r>
      <w:r>
        <w:rPr>
          <w:color w:val="231F20"/>
          <w:spacing w:val="-14"/>
          <w:w w:val="115"/>
          <w:sz w:val="19"/>
        </w:rPr>
        <w:t> </w:t>
      </w:r>
      <w:r>
        <w:rPr>
          <w:color w:val="231F20"/>
          <w:w w:val="115"/>
          <w:sz w:val="19"/>
        </w:rPr>
        <w:t>of</w:t>
      </w:r>
      <w:r>
        <w:rPr>
          <w:color w:val="231F20"/>
          <w:spacing w:val="-13"/>
          <w:w w:val="115"/>
          <w:sz w:val="19"/>
        </w:rPr>
        <w:t> </w:t>
      </w:r>
      <w:r>
        <w:rPr>
          <w:color w:val="231F20"/>
          <w:w w:val="115"/>
          <w:sz w:val="19"/>
        </w:rPr>
        <w:t>a</w:t>
      </w:r>
      <w:r>
        <w:rPr>
          <w:color w:val="231F20"/>
          <w:spacing w:val="-15"/>
          <w:w w:val="115"/>
          <w:sz w:val="19"/>
        </w:rPr>
        <w:t> </w:t>
      </w:r>
      <w:r>
        <w:rPr>
          <w:i/>
          <w:color w:val="231F20"/>
          <w:w w:val="115"/>
          <w:sz w:val="19"/>
        </w:rPr>
        <w:t>sum</w:t>
      </w:r>
      <w:r>
        <w:rPr>
          <w:i/>
          <w:color w:val="231F20"/>
          <w:spacing w:val="-13"/>
          <w:w w:val="115"/>
          <w:sz w:val="19"/>
        </w:rPr>
        <w:t> </w:t>
      </w:r>
      <w:r>
        <w:rPr>
          <w:i/>
          <w:color w:val="231F20"/>
          <w:w w:val="115"/>
          <w:sz w:val="19"/>
        </w:rPr>
        <w:t>certain</w:t>
      </w:r>
      <w:r>
        <w:rPr>
          <w:i/>
          <w:color w:val="231F20"/>
          <w:spacing w:val="-14"/>
          <w:w w:val="115"/>
          <w:sz w:val="19"/>
        </w:rPr>
        <w:t> </w:t>
      </w:r>
      <w:r>
        <w:rPr>
          <w:color w:val="231F20"/>
          <w:w w:val="115"/>
          <w:sz w:val="19"/>
        </w:rPr>
        <w:t>in</w:t>
      </w:r>
      <w:r>
        <w:rPr>
          <w:color w:val="231F20"/>
          <w:spacing w:val="-13"/>
          <w:w w:val="115"/>
          <w:sz w:val="19"/>
        </w:rPr>
        <w:t> </w:t>
      </w:r>
      <w:r>
        <w:rPr>
          <w:color w:val="231F20"/>
          <w:spacing w:val="-2"/>
          <w:w w:val="115"/>
          <w:sz w:val="19"/>
        </w:rPr>
        <w:t>money.</w:t>
      </w:r>
    </w:p>
    <w:p>
      <w:pPr>
        <w:pStyle w:val="ListParagraph"/>
        <w:numPr>
          <w:ilvl w:val="0"/>
          <w:numId w:val="53"/>
        </w:numPr>
        <w:tabs>
          <w:tab w:pos="1520" w:val="left" w:leader="none"/>
        </w:tabs>
        <w:spacing w:line="328" w:lineRule="auto" w:before="81" w:after="0"/>
        <w:ind w:left="1519" w:right="757" w:hanging="222"/>
        <w:jc w:val="left"/>
        <w:rPr>
          <w:sz w:val="19"/>
        </w:rPr>
      </w:pPr>
      <w:r>
        <w:rPr>
          <w:color w:val="231F20"/>
          <w:w w:val="115"/>
          <w:sz w:val="19"/>
        </w:rPr>
        <w:t>It</w:t>
      </w:r>
      <w:r>
        <w:rPr>
          <w:color w:val="231F20"/>
          <w:spacing w:val="-5"/>
          <w:w w:val="115"/>
          <w:sz w:val="19"/>
        </w:rPr>
        <w:t> </w:t>
      </w:r>
      <w:r>
        <w:rPr>
          <w:color w:val="231F20"/>
          <w:w w:val="115"/>
          <w:sz w:val="19"/>
        </w:rPr>
        <w:t>must</w:t>
      </w:r>
      <w:r>
        <w:rPr>
          <w:color w:val="231F20"/>
          <w:spacing w:val="-5"/>
          <w:w w:val="115"/>
          <w:sz w:val="19"/>
        </w:rPr>
        <w:t> </w:t>
      </w:r>
      <w:r>
        <w:rPr>
          <w:color w:val="231F20"/>
          <w:w w:val="115"/>
          <w:sz w:val="19"/>
        </w:rPr>
        <w:t>be</w:t>
      </w:r>
      <w:r>
        <w:rPr>
          <w:color w:val="231F20"/>
          <w:spacing w:val="-5"/>
          <w:w w:val="115"/>
          <w:sz w:val="19"/>
        </w:rPr>
        <w:t> </w:t>
      </w:r>
      <w:r>
        <w:rPr>
          <w:color w:val="231F20"/>
          <w:w w:val="115"/>
          <w:sz w:val="19"/>
        </w:rPr>
        <w:t>payable</w:t>
      </w:r>
      <w:r>
        <w:rPr>
          <w:color w:val="231F20"/>
          <w:spacing w:val="-5"/>
          <w:w w:val="115"/>
          <w:sz w:val="19"/>
        </w:rPr>
        <w:t> </w:t>
      </w:r>
      <w:r>
        <w:rPr>
          <w:i/>
          <w:color w:val="231F20"/>
          <w:w w:val="115"/>
          <w:sz w:val="19"/>
        </w:rPr>
        <w:t>on</w:t>
      </w:r>
      <w:r>
        <w:rPr>
          <w:i/>
          <w:color w:val="231F20"/>
          <w:spacing w:val="-5"/>
          <w:w w:val="115"/>
          <w:sz w:val="19"/>
        </w:rPr>
        <w:t> </w:t>
      </w:r>
      <w:r>
        <w:rPr>
          <w:i/>
          <w:color w:val="231F20"/>
          <w:w w:val="115"/>
          <w:sz w:val="19"/>
        </w:rPr>
        <w:t>demand</w:t>
      </w:r>
      <w:r>
        <w:rPr>
          <w:i/>
          <w:color w:val="231F20"/>
          <w:spacing w:val="-5"/>
          <w:w w:val="115"/>
          <w:sz w:val="19"/>
        </w:rPr>
        <w:t> </w:t>
      </w:r>
      <w:r>
        <w:rPr>
          <w:color w:val="231F20"/>
          <w:w w:val="115"/>
          <w:sz w:val="19"/>
        </w:rPr>
        <w:t>or</w:t>
      </w:r>
      <w:r>
        <w:rPr>
          <w:color w:val="231F20"/>
          <w:spacing w:val="-5"/>
          <w:w w:val="115"/>
          <w:sz w:val="19"/>
        </w:rPr>
        <w:t> </w:t>
      </w:r>
      <w:r>
        <w:rPr>
          <w:color w:val="231F20"/>
          <w:w w:val="115"/>
          <w:sz w:val="19"/>
        </w:rPr>
        <w:t>by</w:t>
      </w:r>
      <w:r>
        <w:rPr>
          <w:color w:val="231F20"/>
          <w:spacing w:val="-5"/>
          <w:w w:val="115"/>
          <w:sz w:val="19"/>
        </w:rPr>
        <w:t> </w:t>
      </w:r>
      <w:r>
        <w:rPr>
          <w:color w:val="231F20"/>
          <w:w w:val="115"/>
          <w:sz w:val="19"/>
        </w:rPr>
        <w:t>a</w:t>
      </w:r>
      <w:r>
        <w:rPr>
          <w:color w:val="231F20"/>
          <w:spacing w:val="-5"/>
          <w:w w:val="115"/>
          <w:sz w:val="19"/>
        </w:rPr>
        <w:t> </w:t>
      </w:r>
      <w:r>
        <w:rPr>
          <w:color w:val="231F20"/>
          <w:w w:val="115"/>
          <w:sz w:val="19"/>
        </w:rPr>
        <w:t>point</w:t>
      </w:r>
      <w:r>
        <w:rPr>
          <w:color w:val="231F20"/>
          <w:spacing w:val="-5"/>
          <w:w w:val="115"/>
          <w:sz w:val="19"/>
        </w:rPr>
        <w:t> </w:t>
      </w:r>
      <w:r>
        <w:rPr>
          <w:color w:val="231F20"/>
          <w:w w:val="115"/>
          <w:sz w:val="19"/>
        </w:rPr>
        <w:t>or</w:t>
      </w:r>
      <w:r>
        <w:rPr>
          <w:color w:val="231F20"/>
          <w:spacing w:val="-5"/>
          <w:w w:val="115"/>
          <w:sz w:val="19"/>
        </w:rPr>
        <w:t> </w:t>
      </w:r>
      <w:r>
        <w:rPr>
          <w:color w:val="231F20"/>
          <w:w w:val="115"/>
          <w:sz w:val="19"/>
        </w:rPr>
        <w:t>points</w:t>
      </w:r>
      <w:r>
        <w:rPr>
          <w:color w:val="231F20"/>
          <w:spacing w:val="-5"/>
          <w:w w:val="115"/>
          <w:sz w:val="19"/>
        </w:rPr>
        <w:t> </w:t>
      </w:r>
      <w:r>
        <w:rPr>
          <w:color w:val="231F20"/>
          <w:w w:val="115"/>
          <w:sz w:val="19"/>
        </w:rPr>
        <w:t>cer-</w:t>
      </w:r>
      <w:r>
        <w:rPr>
          <w:color w:val="231F20"/>
          <w:w w:val="115"/>
          <w:sz w:val="19"/>
        </w:rPr>
        <w:t> tain in time.</w:t>
      </w:r>
    </w:p>
    <w:p>
      <w:pPr>
        <w:pStyle w:val="ListParagraph"/>
        <w:numPr>
          <w:ilvl w:val="0"/>
          <w:numId w:val="53"/>
        </w:numPr>
        <w:tabs>
          <w:tab w:pos="1521" w:val="left" w:leader="none"/>
        </w:tabs>
        <w:spacing w:line="328" w:lineRule="auto" w:before="2" w:after="0"/>
        <w:ind w:left="1519" w:right="756" w:hanging="229"/>
        <w:jc w:val="left"/>
        <w:rPr>
          <w:i/>
          <w:sz w:val="19"/>
        </w:rPr>
      </w:pPr>
      <w:r>
        <w:rPr>
          <w:color w:val="231F20"/>
          <w:w w:val="115"/>
          <w:sz w:val="19"/>
        </w:rPr>
        <w:t>It</w:t>
      </w:r>
      <w:r>
        <w:rPr>
          <w:color w:val="231F20"/>
          <w:spacing w:val="40"/>
          <w:w w:val="115"/>
          <w:sz w:val="19"/>
        </w:rPr>
        <w:t> </w:t>
      </w:r>
      <w:r>
        <w:rPr>
          <w:color w:val="231F20"/>
          <w:w w:val="115"/>
          <w:sz w:val="19"/>
        </w:rPr>
        <w:t>must</w:t>
      </w:r>
      <w:r>
        <w:rPr>
          <w:color w:val="231F20"/>
          <w:spacing w:val="40"/>
          <w:w w:val="115"/>
          <w:sz w:val="19"/>
        </w:rPr>
        <w:t> </w:t>
      </w:r>
      <w:r>
        <w:rPr>
          <w:color w:val="231F20"/>
          <w:w w:val="115"/>
          <w:sz w:val="19"/>
        </w:rPr>
        <w:t>be</w:t>
      </w:r>
      <w:r>
        <w:rPr>
          <w:color w:val="231F20"/>
          <w:spacing w:val="40"/>
          <w:w w:val="115"/>
          <w:sz w:val="19"/>
        </w:rPr>
        <w:t> </w:t>
      </w:r>
      <w:r>
        <w:rPr>
          <w:color w:val="231F20"/>
          <w:w w:val="115"/>
          <w:sz w:val="19"/>
        </w:rPr>
        <w:t>payable</w:t>
      </w:r>
      <w:r>
        <w:rPr>
          <w:color w:val="231F20"/>
          <w:spacing w:val="40"/>
          <w:w w:val="115"/>
          <w:sz w:val="19"/>
        </w:rPr>
        <w:t> </w:t>
      </w:r>
      <w:r>
        <w:rPr>
          <w:color w:val="231F20"/>
          <w:w w:val="115"/>
          <w:sz w:val="19"/>
        </w:rPr>
        <w:t>to</w:t>
      </w:r>
      <w:r>
        <w:rPr>
          <w:color w:val="231F20"/>
          <w:spacing w:val="40"/>
          <w:w w:val="115"/>
          <w:sz w:val="19"/>
        </w:rPr>
        <w:t> </w:t>
      </w:r>
      <w:r>
        <w:rPr>
          <w:color w:val="231F20"/>
          <w:w w:val="115"/>
          <w:sz w:val="19"/>
        </w:rPr>
        <w:t>order</w:t>
      </w:r>
      <w:r>
        <w:rPr>
          <w:color w:val="231F20"/>
          <w:spacing w:val="40"/>
          <w:w w:val="115"/>
          <w:sz w:val="19"/>
        </w:rPr>
        <w:t> </w:t>
      </w:r>
      <w:r>
        <w:rPr>
          <w:color w:val="231F20"/>
          <w:w w:val="115"/>
          <w:sz w:val="19"/>
        </w:rPr>
        <w:t>of</w:t>
      </w:r>
      <w:r>
        <w:rPr>
          <w:color w:val="231F20"/>
          <w:spacing w:val="40"/>
          <w:w w:val="115"/>
          <w:sz w:val="19"/>
        </w:rPr>
        <w:t> </w:t>
      </w:r>
      <w:r>
        <w:rPr>
          <w:color w:val="231F20"/>
          <w:w w:val="115"/>
          <w:sz w:val="19"/>
        </w:rPr>
        <w:t>a</w:t>
      </w:r>
      <w:r>
        <w:rPr>
          <w:color w:val="231F20"/>
          <w:spacing w:val="40"/>
          <w:w w:val="115"/>
          <w:sz w:val="19"/>
        </w:rPr>
        <w:t> </w:t>
      </w:r>
      <w:r>
        <w:rPr>
          <w:color w:val="231F20"/>
          <w:w w:val="115"/>
          <w:sz w:val="19"/>
        </w:rPr>
        <w:t>specific</w:t>
      </w:r>
      <w:r>
        <w:rPr>
          <w:color w:val="231F20"/>
          <w:spacing w:val="40"/>
          <w:w w:val="115"/>
          <w:sz w:val="19"/>
        </w:rPr>
        <w:t> </w:t>
      </w:r>
      <w:r>
        <w:rPr>
          <w:color w:val="231F20"/>
          <w:w w:val="115"/>
          <w:sz w:val="19"/>
        </w:rPr>
        <w:t>person</w:t>
      </w:r>
      <w:r>
        <w:rPr>
          <w:color w:val="231F20"/>
          <w:spacing w:val="40"/>
          <w:w w:val="115"/>
          <w:sz w:val="19"/>
        </w:rPr>
        <w:t> </w:t>
      </w:r>
      <w:r>
        <w:rPr>
          <w:color w:val="231F20"/>
          <w:w w:val="115"/>
          <w:sz w:val="19"/>
        </w:rPr>
        <w:t>or</w:t>
      </w:r>
      <w:r>
        <w:rPr>
          <w:color w:val="231F20"/>
          <w:spacing w:val="40"/>
          <w:w w:val="115"/>
          <w:sz w:val="19"/>
        </w:rPr>
        <w:t> </w:t>
      </w:r>
      <w:r>
        <w:rPr>
          <w:i/>
          <w:color w:val="231F20"/>
          <w:w w:val="115"/>
          <w:sz w:val="19"/>
        </w:rPr>
        <w:t>to</w:t>
      </w:r>
      <w:r>
        <w:rPr>
          <w:i/>
          <w:color w:val="231F20"/>
          <w:w w:val="115"/>
          <w:sz w:val="19"/>
        </w:rPr>
        <w:t> </w:t>
      </w:r>
      <w:r>
        <w:rPr>
          <w:i/>
          <w:color w:val="231F20"/>
          <w:spacing w:val="-2"/>
          <w:w w:val="115"/>
          <w:sz w:val="19"/>
        </w:rPr>
        <w:t>bearer.</w:t>
      </w:r>
    </w:p>
    <w:p>
      <w:pPr>
        <w:pStyle w:val="BodyText"/>
        <w:spacing w:before="2"/>
        <w:rPr>
          <w:rFonts w:ascii="Arial"/>
          <w:i/>
          <w:sz w:val="25"/>
        </w:rPr>
      </w:pPr>
    </w:p>
    <w:p>
      <w:pPr>
        <w:pStyle w:val="BodyText"/>
        <w:spacing w:line="292" w:lineRule="auto"/>
        <w:ind w:left="830" w:right="753"/>
        <w:jc w:val="both"/>
      </w:pPr>
      <w:r>
        <w:rPr>
          <w:color w:val="231F20"/>
        </w:rPr>
        <w:t>When a negotiable paper is traded, people will often obtain it im- properly</w:t>
      </w:r>
      <w:r>
        <w:rPr>
          <w:color w:val="231F20"/>
          <w:spacing w:val="40"/>
        </w:rPr>
        <w:t> </w:t>
      </w:r>
      <w:r>
        <w:rPr>
          <w:color w:val="231F20"/>
        </w:rPr>
        <w:t>and</w:t>
      </w:r>
      <w:r>
        <w:rPr>
          <w:color w:val="231F20"/>
          <w:spacing w:val="40"/>
        </w:rPr>
        <w:t> </w:t>
      </w:r>
      <w:r>
        <w:rPr>
          <w:color w:val="231F20"/>
        </w:rPr>
        <w:t>sell</w:t>
      </w:r>
      <w:r>
        <w:rPr>
          <w:color w:val="231F20"/>
          <w:spacing w:val="40"/>
        </w:rPr>
        <w:t> </w:t>
      </w:r>
      <w:r>
        <w:rPr>
          <w:color w:val="231F20"/>
        </w:rPr>
        <w:t>it</w:t>
      </w:r>
      <w:r>
        <w:rPr>
          <w:color w:val="231F20"/>
          <w:spacing w:val="40"/>
        </w:rPr>
        <w:t> </w:t>
      </w:r>
      <w:r>
        <w:rPr>
          <w:color w:val="231F20"/>
        </w:rPr>
        <w:t>to</w:t>
      </w:r>
      <w:r>
        <w:rPr>
          <w:color w:val="231F20"/>
          <w:spacing w:val="40"/>
        </w:rPr>
        <w:t> </w:t>
      </w:r>
      <w:r>
        <w:rPr>
          <w:color w:val="231F20"/>
        </w:rPr>
        <w:t>innocent</w:t>
      </w:r>
      <w:r>
        <w:rPr>
          <w:color w:val="231F20"/>
          <w:spacing w:val="40"/>
        </w:rPr>
        <w:t> </w:t>
      </w:r>
      <w:r>
        <w:rPr>
          <w:color w:val="231F20"/>
        </w:rPr>
        <w:t>buyers.</w:t>
      </w:r>
      <w:r>
        <w:rPr>
          <w:color w:val="231F20"/>
          <w:spacing w:val="40"/>
        </w:rPr>
        <w:t> </w:t>
      </w:r>
      <w:r>
        <w:rPr>
          <w:color w:val="231F20"/>
        </w:rPr>
        <w:t>A</w:t>
      </w:r>
      <w:r>
        <w:rPr>
          <w:color w:val="231F20"/>
          <w:spacing w:val="40"/>
        </w:rPr>
        <w:t> </w:t>
      </w:r>
      <w:r>
        <w:rPr>
          <w:i/>
          <w:color w:val="231F20"/>
        </w:rPr>
        <w:t>holder</w:t>
      </w:r>
      <w:r>
        <w:rPr>
          <w:i/>
          <w:color w:val="231F20"/>
          <w:spacing w:val="40"/>
        </w:rPr>
        <w:t> </w:t>
      </w:r>
      <w:r>
        <w:rPr>
          <w:i/>
          <w:color w:val="231F20"/>
        </w:rPr>
        <w:t>in</w:t>
      </w:r>
      <w:r>
        <w:rPr>
          <w:i/>
          <w:color w:val="231F20"/>
          <w:spacing w:val="40"/>
        </w:rPr>
        <w:t> </w:t>
      </w:r>
      <w:r>
        <w:rPr>
          <w:i/>
          <w:color w:val="231F20"/>
        </w:rPr>
        <w:t>due</w:t>
      </w:r>
      <w:r>
        <w:rPr>
          <w:i/>
          <w:color w:val="231F20"/>
          <w:spacing w:val="40"/>
        </w:rPr>
        <w:t> </w:t>
      </w:r>
      <w:r>
        <w:rPr>
          <w:i/>
          <w:color w:val="231F20"/>
        </w:rPr>
        <w:t>course</w:t>
      </w:r>
      <w:r>
        <w:rPr>
          <w:i/>
          <w:color w:val="231F20"/>
        </w:rPr>
        <w:t> </w:t>
      </w:r>
      <w:r>
        <w:rPr>
          <w:color w:val="231F20"/>
        </w:rPr>
        <w:t>(HIDC)</w:t>
      </w:r>
      <w:r>
        <w:rPr>
          <w:color w:val="231F20"/>
          <w:spacing w:val="24"/>
        </w:rPr>
        <w:t> </w:t>
      </w:r>
      <w:r>
        <w:rPr>
          <w:color w:val="231F20"/>
        </w:rPr>
        <w:t>can</w:t>
      </w:r>
      <w:r>
        <w:rPr>
          <w:color w:val="231F20"/>
          <w:spacing w:val="24"/>
        </w:rPr>
        <w:t> </w:t>
      </w:r>
      <w:r>
        <w:rPr>
          <w:color w:val="231F20"/>
        </w:rPr>
        <w:t>obtain</w:t>
      </w:r>
      <w:r>
        <w:rPr>
          <w:color w:val="231F20"/>
          <w:spacing w:val="24"/>
        </w:rPr>
        <w:t> </w:t>
      </w:r>
      <w:r>
        <w:rPr>
          <w:color w:val="231F20"/>
        </w:rPr>
        <w:t>more</w:t>
      </w:r>
      <w:r>
        <w:rPr>
          <w:color w:val="231F20"/>
          <w:spacing w:val="24"/>
        </w:rPr>
        <w:t> </w:t>
      </w:r>
      <w:r>
        <w:rPr>
          <w:color w:val="231F20"/>
        </w:rPr>
        <w:t>rights</w:t>
      </w:r>
      <w:r>
        <w:rPr>
          <w:color w:val="231F20"/>
          <w:spacing w:val="24"/>
        </w:rPr>
        <w:t> </w:t>
      </w:r>
      <w:r>
        <w:rPr>
          <w:color w:val="231F20"/>
        </w:rPr>
        <w:t>than</w:t>
      </w:r>
      <w:r>
        <w:rPr>
          <w:color w:val="231F20"/>
          <w:spacing w:val="24"/>
        </w:rPr>
        <w:t> </w:t>
      </w:r>
      <w:r>
        <w:rPr>
          <w:color w:val="231F20"/>
        </w:rPr>
        <w:t>the</w:t>
      </w:r>
      <w:r>
        <w:rPr>
          <w:color w:val="231F20"/>
          <w:spacing w:val="24"/>
        </w:rPr>
        <w:t> </w:t>
      </w:r>
      <w:r>
        <w:rPr>
          <w:color w:val="231F20"/>
        </w:rPr>
        <w:t>seller</w:t>
      </w:r>
      <w:r>
        <w:rPr>
          <w:color w:val="231F20"/>
          <w:spacing w:val="24"/>
        </w:rPr>
        <w:t> </w:t>
      </w:r>
      <w:r>
        <w:rPr>
          <w:color w:val="231F20"/>
        </w:rPr>
        <w:t>has</w:t>
      </w:r>
      <w:r>
        <w:rPr>
          <w:color w:val="231F20"/>
          <w:spacing w:val="24"/>
        </w:rPr>
        <w:t> </w:t>
      </w:r>
      <w:r>
        <w:rPr>
          <w:color w:val="231F20"/>
        </w:rPr>
        <w:t>if</w:t>
      </w:r>
      <w:r>
        <w:rPr>
          <w:color w:val="231F20"/>
          <w:spacing w:val="24"/>
        </w:rPr>
        <w:t> </w:t>
      </w:r>
      <w:r>
        <w:rPr>
          <w:color w:val="231F20"/>
        </w:rPr>
        <w:t>the</w:t>
      </w:r>
      <w:r>
        <w:rPr>
          <w:color w:val="231F20"/>
          <w:spacing w:val="24"/>
        </w:rPr>
        <w:t> </w:t>
      </w:r>
      <w:r>
        <w:rPr>
          <w:color w:val="231F20"/>
        </w:rPr>
        <w:t>HIDC</w:t>
      </w:r>
      <w:r>
        <w:rPr>
          <w:color w:val="231F20"/>
          <w:spacing w:val="24"/>
        </w:rPr>
        <w:t> </w:t>
      </w:r>
      <w:r>
        <w:rPr>
          <w:color w:val="231F20"/>
        </w:rPr>
        <w:t>buys it without knowledge of seller’s invalid ownership.</w:t>
      </w:r>
    </w:p>
    <w:p>
      <w:pPr>
        <w:pStyle w:val="BodyText"/>
        <w:rPr>
          <w:sz w:val="24"/>
        </w:rPr>
      </w:pPr>
    </w:p>
    <w:p>
      <w:pPr>
        <w:pStyle w:val="BodyText"/>
        <w:spacing w:before="1"/>
        <w:rPr>
          <w:sz w:val="27"/>
        </w:rPr>
      </w:pPr>
    </w:p>
    <w:p>
      <w:pPr>
        <w:pStyle w:val="Heading6"/>
        <w:ind w:left="299"/>
        <w:rPr>
          <w:i/>
        </w:rPr>
      </w:pPr>
      <w:r>
        <w:rPr>
          <w:i/>
          <w:color w:val="231F20"/>
          <w:w w:val="110"/>
        </w:rPr>
        <w:t>AGENCY</w:t>
      </w:r>
      <w:r>
        <w:rPr>
          <w:i/>
          <w:color w:val="231F20"/>
          <w:spacing w:val="78"/>
          <w:w w:val="150"/>
        </w:rPr>
        <w:t> </w:t>
      </w:r>
      <w:r>
        <w:rPr>
          <w:i/>
          <w:color w:val="231F20"/>
          <w:spacing w:val="8"/>
          <w:w w:val="110"/>
        </w:rPr>
        <w:t>AGREEMENTS</w:t>
      </w:r>
    </w:p>
    <w:p>
      <w:pPr>
        <w:pStyle w:val="BodyText"/>
        <w:spacing w:before="2"/>
        <w:rPr>
          <w:b/>
          <w:i/>
          <w:sz w:val="30"/>
        </w:rPr>
      </w:pPr>
    </w:p>
    <w:p>
      <w:pPr>
        <w:pStyle w:val="BodyText"/>
        <w:spacing w:line="292" w:lineRule="auto"/>
        <w:ind w:left="829" w:right="756"/>
        <w:jc w:val="both"/>
      </w:pPr>
      <w:r>
        <w:rPr>
          <w:i/>
          <w:color w:val="231F20"/>
        </w:rPr>
        <w:t>Agency </w:t>
      </w:r>
      <w:r>
        <w:rPr>
          <w:color w:val="231F20"/>
        </w:rPr>
        <w:t>is the legal relationship between two parties in which one person acts for another. Although it is not part of the UCC agency, </w:t>
      </w:r>
      <w:r>
        <w:rPr>
          <w:color w:val="231F20"/>
        </w:rPr>
        <w:t>it</w:t>
      </w:r>
      <w:r>
        <w:rPr>
          <w:color w:val="231F20"/>
          <w:spacing w:val="80"/>
        </w:rPr>
        <w:t> </w:t>
      </w:r>
      <w:r>
        <w:rPr>
          <w:color w:val="231F20"/>
        </w:rPr>
        <w:t>is a key component of business law. The legal relationship of agency can occur four ways:</w:t>
      </w:r>
    </w:p>
    <w:p>
      <w:pPr>
        <w:pStyle w:val="BodyText"/>
        <w:spacing w:before="3"/>
        <w:rPr>
          <w:sz w:val="27"/>
        </w:rPr>
      </w:pPr>
    </w:p>
    <w:p>
      <w:pPr>
        <w:pStyle w:val="ListParagraph"/>
        <w:numPr>
          <w:ilvl w:val="0"/>
          <w:numId w:val="54"/>
        </w:numPr>
        <w:tabs>
          <w:tab w:pos="1520" w:val="left" w:leader="none"/>
        </w:tabs>
        <w:spacing w:line="328" w:lineRule="auto" w:before="0" w:after="0"/>
        <w:ind w:left="1519" w:right="757" w:hanging="170"/>
        <w:jc w:val="both"/>
        <w:rPr>
          <w:sz w:val="19"/>
        </w:rPr>
      </w:pPr>
      <w:r>
        <w:rPr>
          <w:color w:val="231F20"/>
          <w:w w:val="110"/>
          <w:sz w:val="19"/>
        </w:rPr>
        <w:t>Contract—</w:t>
      </w:r>
      <w:r>
        <w:rPr>
          <w:color w:val="231F20"/>
          <w:spacing w:val="-15"/>
          <w:w w:val="110"/>
          <w:sz w:val="19"/>
        </w:rPr>
        <w:t> </w:t>
      </w:r>
      <w:r>
        <w:rPr>
          <w:color w:val="231F20"/>
          <w:w w:val="110"/>
          <w:sz w:val="19"/>
        </w:rPr>
        <w:t>In</w:t>
      </w:r>
      <w:r>
        <w:rPr>
          <w:color w:val="231F20"/>
          <w:spacing w:val="-10"/>
          <w:w w:val="110"/>
          <w:sz w:val="19"/>
        </w:rPr>
        <w:t> </w:t>
      </w:r>
      <w:r>
        <w:rPr>
          <w:color w:val="231F20"/>
          <w:w w:val="110"/>
          <w:sz w:val="19"/>
        </w:rPr>
        <w:t>a written, oral, or implied contract, the parties enter into an agency agreement, and the person is liable</w:t>
      </w:r>
      <w:r>
        <w:rPr>
          <w:color w:val="231F20"/>
          <w:spacing w:val="80"/>
          <w:w w:val="110"/>
          <w:sz w:val="19"/>
        </w:rPr>
        <w:t> </w:t>
      </w:r>
      <w:r>
        <w:rPr>
          <w:color w:val="231F20"/>
          <w:w w:val="110"/>
          <w:sz w:val="19"/>
        </w:rPr>
        <w:t>for the agent’s acts on his behalf.</w:t>
      </w:r>
    </w:p>
    <w:p>
      <w:pPr>
        <w:pStyle w:val="ListParagraph"/>
        <w:numPr>
          <w:ilvl w:val="0"/>
          <w:numId w:val="54"/>
        </w:numPr>
        <w:tabs>
          <w:tab w:pos="1520" w:val="left" w:leader="none"/>
        </w:tabs>
        <w:spacing w:line="328" w:lineRule="auto" w:before="3" w:after="0"/>
        <w:ind w:left="1519" w:right="756" w:hanging="219"/>
        <w:jc w:val="both"/>
        <w:rPr>
          <w:sz w:val="19"/>
        </w:rPr>
      </w:pPr>
      <w:r>
        <w:rPr>
          <w:color w:val="231F20"/>
          <w:w w:val="115"/>
          <w:sz w:val="19"/>
        </w:rPr>
        <w:t>Ratification—The person accepts the results of the other person,</w:t>
      </w:r>
      <w:r>
        <w:rPr>
          <w:color w:val="231F20"/>
          <w:spacing w:val="-7"/>
          <w:w w:val="115"/>
          <w:sz w:val="19"/>
        </w:rPr>
        <w:t> </w:t>
      </w:r>
      <w:r>
        <w:rPr>
          <w:color w:val="231F20"/>
          <w:w w:val="115"/>
          <w:sz w:val="19"/>
        </w:rPr>
        <w:t>who</w:t>
      </w:r>
      <w:r>
        <w:rPr>
          <w:color w:val="231F20"/>
          <w:spacing w:val="-7"/>
          <w:w w:val="115"/>
          <w:sz w:val="19"/>
        </w:rPr>
        <w:t> </w:t>
      </w:r>
      <w:r>
        <w:rPr>
          <w:color w:val="231F20"/>
          <w:w w:val="115"/>
          <w:sz w:val="19"/>
        </w:rPr>
        <w:t>is</w:t>
      </w:r>
      <w:r>
        <w:rPr>
          <w:color w:val="231F20"/>
          <w:spacing w:val="-7"/>
          <w:w w:val="115"/>
          <w:sz w:val="19"/>
        </w:rPr>
        <w:t> </w:t>
      </w:r>
      <w:r>
        <w:rPr>
          <w:color w:val="231F20"/>
          <w:w w:val="115"/>
          <w:sz w:val="19"/>
        </w:rPr>
        <w:t>acting</w:t>
      </w:r>
      <w:r>
        <w:rPr>
          <w:color w:val="231F20"/>
          <w:spacing w:val="-7"/>
          <w:w w:val="115"/>
          <w:sz w:val="19"/>
        </w:rPr>
        <w:t> </w:t>
      </w:r>
      <w:r>
        <w:rPr>
          <w:color w:val="231F20"/>
          <w:w w:val="115"/>
          <w:sz w:val="19"/>
        </w:rPr>
        <w:t>for</w:t>
      </w:r>
      <w:r>
        <w:rPr>
          <w:color w:val="231F20"/>
          <w:spacing w:val="-7"/>
          <w:w w:val="115"/>
          <w:sz w:val="19"/>
        </w:rPr>
        <w:t> </w:t>
      </w:r>
      <w:r>
        <w:rPr>
          <w:color w:val="231F20"/>
          <w:w w:val="115"/>
          <w:sz w:val="19"/>
        </w:rPr>
        <w:t>him</w:t>
      </w:r>
      <w:r>
        <w:rPr>
          <w:color w:val="231F20"/>
          <w:spacing w:val="-7"/>
          <w:w w:val="115"/>
          <w:sz w:val="19"/>
        </w:rPr>
        <w:t> </w:t>
      </w:r>
      <w:r>
        <w:rPr>
          <w:color w:val="231F20"/>
          <w:w w:val="115"/>
          <w:sz w:val="19"/>
        </w:rPr>
        <w:t>or</w:t>
      </w:r>
      <w:r>
        <w:rPr>
          <w:color w:val="231F20"/>
          <w:spacing w:val="-7"/>
          <w:w w:val="115"/>
          <w:sz w:val="19"/>
        </w:rPr>
        <w:t> </w:t>
      </w:r>
      <w:r>
        <w:rPr>
          <w:color w:val="231F20"/>
          <w:w w:val="115"/>
          <w:sz w:val="19"/>
        </w:rPr>
        <w:t>her</w:t>
      </w:r>
      <w:r>
        <w:rPr>
          <w:color w:val="231F20"/>
          <w:spacing w:val="-7"/>
          <w:w w:val="115"/>
          <w:sz w:val="19"/>
        </w:rPr>
        <w:t> </w:t>
      </w:r>
      <w:r>
        <w:rPr>
          <w:color w:val="231F20"/>
          <w:w w:val="115"/>
          <w:sz w:val="19"/>
        </w:rPr>
        <w:t>as</w:t>
      </w:r>
      <w:r>
        <w:rPr>
          <w:color w:val="231F20"/>
          <w:spacing w:val="-7"/>
          <w:w w:val="115"/>
          <w:sz w:val="19"/>
        </w:rPr>
        <w:t> </w:t>
      </w:r>
      <w:r>
        <w:rPr>
          <w:color w:val="231F20"/>
          <w:w w:val="115"/>
          <w:sz w:val="19"/>
        </w:rPr>
        <w:t>an</w:t>
      </w:r>
      <w:r>
        <w:rPr>
          <w:color w:val="231F20"/>
          <w:spacing w:val="-7"/>
          <w:w w:val="115"/>
          <w:sz w:val="19"/>
        </w:rPr>
        <w:t> </w:t>
      </w:r>
      <w:r>
        <w:rPr>
          <w:color w:val="231F20"/>
          <w:w w:val="115"/>
          <w:sz w:val="19"/>
        </w:rPr>
        <w:t>agent.</w:t>
      </w:r>
      <w:r>
        <w:rPr>
          <w:color w:val="231F20"/>
          <w:spacing w:val="-7"/>
          <w:w w:val="115"/>
          <w:sz w:val="19"/>
        </w:rPr>
        <w:t> </w:t>
      </w:r>
      <w:r>
        <w:rPr>
          <w:color w:val="231F20"/>
          <w:w w:val="115"/>
          <w:sz w:val="19"/>
        </w:rPr>
        <w:t>The</w:t>
      </w:r>
      <w:r>
        <w:rPr>
          <w:color w:val="231F20"/>
          <w:spacing w:val="-7"/>
          <w:w w:val="115"/>
          <w:sz w:val="19"/>
        </w:rPr>
        <w:t> </w:t>
      </w:r>
      <w:r>
        <w:rPr>
          <w:color w:val="231F20"/>
          <w:w w:val="115"/>
          <w:sz w:val="19"/>
        </w:rPr>
        <w:t>per- son is responsible for the agent’s activity.</w:t>
      </w:r>
    </w:p>
    <w:p>
      <w:pPr>
        <w:pStyle w:val="ListParagraph"/>
        <w:numPr>
          <w:ilvl w:val="0"/>
          <w:numId w:val="54"/>
        </w:numPr>
        <w:tabs>
          <w:tab w:pos="1520" w:val="left" w:leader="none"/>
        </w:tabs>
        <w:spacing w:line="328" w:lineRule="auto" w:before="2" w:after="0"/>
        <w:ind w:left="1519" w:right="756" w:hanging="223"/>
        <w:jc w:val="both"/>
        <w:rPr>
          <w:sz w:val="19"/>
        </w:rPr>
      </w:pPr>
      <w:r>
        <w:rPr>
          <w:color w:val="231F20"/>
          <w:w w:val="115"/>
          <w:sz w:val="19"/>
        </w:rPr>
        <w:t>Estoppel—The person allows another to act as his agent </w:t>
      </w:r>
      <w:r>
        <w:rPr>
          <w:color w:val="231F20"/>
          <w:spacing w:val="-2"/>
          <w:w w:val="115"/>
          <w:sz w:val="19"/>
        </w:rPr>
        <w:t>and</w:t>
      </w:r>
      <w:r>
        <w:rPr>
          <w:color w:val="231F20"/>
          <w:spacing w:val="-11"/>
          <w:w w:val="115"/>
          <w:sz w:val="19"/>
        </w:rPr>
        <w:t> </w:t>
      </w:r>
      <w:r>
        <w:rPr>
          <w:color w:val="231F20"/>
          <w:spacing w:val="-2"/>
          <w:w w:val="115"/>
          <w:sz w:val="19"/>
        </w:rPr>
        <w:t>allows</w:t>
      </w:r>
      <w:r>
        <w:rPr>
          <w:color w:val="231F20"/>
          <w:spacing w:val="-11"/>
          <w:w w:val="115"/>
          <w:sz w:val="19"/>
        </w:rPr>
        <w:t> </w:t>
      </w:r>
      <w:r>
        <w:rPr>
          <w:color w:val="231F20"/>
          <w:spacing w:val="-2"/>
          <w:w w:val="115"/>
          <w:sz w:val="19"/>
        </w:rPr>
        <w:t>others</w:t>
      </w:r>
      <w:r>
        <w:rPr>
          <w:color w:val="231F20"/>
          <w:spacing w:val="-11"/>
          <w:w w:val="115"/>
          <w:sz w:val="19"/>
        </w:rPr>
        <w:t> </w:t>
      </w:r>
      <w:r>
        <w:rPr>
          <w:color w:val="231F20"/>
          <w:spacing w:val="-2"/>
          <w:w w:val="115"/>
          <w:sz w:val="19"/>
        </w:rPr>
        <w:t>to</w:t>
      </w:r>
      <w:r>
        <w:rPr>
          <w:color w:val="231F20"/>
          <w:spacing w:val="-11"/>
          <w:w w:val="115"/>
          <w:sz w:val="19"/>
        </w:rPr>
        <w:t> </w:t>
      </w:r>
      <w:r>
        <w:rPr>
          <w:color w:val="231F20"/>
          <w:spacing w:val="-2"/>
          <w:w w:val="115"/>
          <w:sz w:val="19"/>
        </w:rPr>
        <w:t>believe</w:t>
      </w:r>
      <w:r>
        <w:rPr>
          <w:color w:val="231F20"/>
          <w:spacing w:val="-11"/>
          <w:w w:val="115"/>
          <w:sz w:val="19"/>
        </w:rPr>
        <w:t> </w:t>
      </w:r>
      <w:r>
        <w:rPr>
          <w:color w:val="231F20"/>
          <w:spacing w:val="-2"/>
          <w:w w:val="115"/>
          <w:sz w:val="19"/>
        </w:rPr>
        <w:t>that</w:t>
      </w:r>
      <w:r>
        <w:rPr>
          <w:color w:val="231F20"/>
          <w:spacing w:val="-11"/>
          <w:w w:val="115"/>
          <w:sz w:val="19"/>
        </w:rPr>
        <w:t> </w:t>
      </w:r>
      <w:r>
        <w:rPr>
          <w:color w:val="231F20"/>
          <w:spacing w:val="-2"/>
          <w:w w:val="115"/>
          <w:sz w:val="19"/>
        </w:rPr>
        <w:t>this</w:t>
      </w:r>
      <w:r>
        <w:rPr>
          <w:color w:val="231F20"/>
          <w:spacing w:val="-11"/>
          <w:w w:val="115"/>
          <w:sz w:val="19"/>
        </w:rPr>
        <w:t> </w:t>
      </w:r>
      <w:r>
        <w:rPr>
          <w:color w:val="231F20"/>
          <w:spacing w:val="-2"/>
          <w:w w:val="115"/>
          <w:sz w:val="19"/>
        </w:rPr>
        <w:t>relationship</w:t>
      </w:r>
      <w:r>
        <w:rPr>
          <w:color w:val="231F20"/>
          <w:spacing w:val="-11"/>
          <w:w w:val="115"/>
          <w:sz w:val="19"/>
        </w:rPr>
        <w:t> </w:t>
      </w:r>
      <w:r>
        <w:rPr>
          <w:color w:val="231F20"/>
          <w:spacing w:val="-2"/>
          <w:w w:val="115"/>
          <w:sz w:val="19"/>
        </w:rPr>
        <w:t>exists.</w:t>
      </w:r>
      <w:r>
        <w:rPr>
          <w:color w:val="231F20"/>
          <w:spacing w:val="-11"/>
          <w:w w:val="115"/>
          <w:sz w:val="19"/>
        </w:rPr>
        <w:t> </w:t>
      </w:r>
      <w:r>
        <w:rPr>
          <w:color w:val="231F20"/>
          <w:spacing w:val="-2"/>
          <w:w w:val="115"/>
          <w:sz w:val="19"/>
        </w:rPr>
        <w:t>Li- </w:t>
      </w:r>
      <w:r>
        <w:rPr>
          <w:color w:val="231F20"/>
          <w:w w:val="115"/>
          <w:sz w:val="19"/>
        </w:rPr>
        <w:t>ability arises when another party performs some act for that agent based on the agency relationship.</w:t>
      </w:r>
    </w:p>
    <w:p>
      <w:pPr>
        <w:pStyle w:val="ListParagraph"/>
        <w:numPr>
          <w:ilvl w:val="0"/>
          <w:numId w:val="54"/>
        </w:numPr>
        <w:tabs>
          <w:tab w:pos="1520" w:val="left" w:leader="none"/>
        </w:tabs>
        <w:spacing w:line="328" w:lineRule="auto" w:before="2" w:after="0"/>
        <w:ind w:left="1519" w:right="756" w:hanging="233"/>
        <w:jc w:val="both"/>
        <w:rPr>
          <w:sz w:val="19"/>
        </w:rPr>
      </w:pPr>
      <w:r>
        <w:rPr>
          <w:color w:val="231F20"/>
          <w:w w:val="110"/>
          <w:sz w:val="19"/>
        </w:rPr>
        <w:t>Necessity—</w:t>
      </w:r>
      <w:r>
        <w:rPr>
          <w:color w:val="231F20"/>
          <w:spacing w:val="-15"/>
          <w:w w:val="110"/>
          <w:sz w:val="19"/>
        </w:rPr>
        <w:t> </w:t>
      </w:r>
      <w:r>
        <w:rPr>
          <w:color w:val="231F20"/>
          <w:w w:val="110"/>
          <w:sz w:val="19"/>
        </w:rPr>
        <w:t>If</w:t>
      </w:r>
      <w:r>
        <w:rPr>
          <w:color w:val="231F20"/>
          <w:spacing w:val="-15"/>
          <w:w w:val="110"/>
          <w:sz w:val="19"/>
        </w:rPr>
        <w:t> </w:t>
      </w:r>
      <w:r>
        <w:rPr>
          <w:color w:val="231F20"/>
          <w:w w:val="110"/>
          <w:sz w:val="19"/>
        </w:rPr>
        <w:t>a</w:t>
      </w:r>
      <w:r>
        <w:rPr>
          <w:color w:val="231F20"/>
          <w:spacing w:val="-9"/>
          <w:w w:val="110"/>
          <w:sz w:val="19"/>
        </w:rPr>
        <w:t> </w:t>
      </w:r>
      <w:r>
        <w:rPr>
          <w:color w:val="231F20"/>
          <w:w w:val="110"/>
          <w:sz w:val="19"/>
        </w:rPr>
        <w:t>person</w:t>
      </w:r>
      <w:r>
        <w:rPr>
          <w:color w:val="231F20"/>
          <w:spacing w:val="-1"/>
          <w:w w:val="110"/>
          <w:sz w:val="19"/>
        </w:rPr>
        <w:t> </w:t>
      </w:r>
      <w:r>
        <w:rPr>
          <w:color w:val="231F20"/>
          <w:w w:val="110"/>
          <w:sz w:val="19"/>
        </w:rPr>
        <w:t>in</w:t>
      </w:r>
      <w:r>
        <w:rPr>
          <w:color w:val="231F20"/>
          <w:spacing w:val="-1"/>
          <w:w w:val="110"/>
          <w:sz w:val="19"/>
        </w:rPr>
        <w:t> </w:t>
      </w:r>
      <w:r>
        <w:rPr>
          <w:color w:val="231F20"/>
          <w:w w:val="110"/>
          <w:sz w:val="19"/>
        </w:rPr>
        <w:t>a</w:t>
      </w:r>
      <w:r>
        <w:rPr>
          <w:color w:val="231F20"/>
          <w:spacing w:val="-2"/>
          <w:w w:val="110"/>
          <w:sz w:val="19"/>
        </w:rPr>
        <w:t> </w:t>
      </w:r>
      <w:r>
        <w:rPr>
          <w:color w:val="231F20"/>
          <w:w w:val="110"/>
          <w:sz w:val="19"/>
        </w:rPr>
        <w:t>special</w:t>
      </w:r>
      <w:r>
        <w:rPr>
          <w:color w:val="231F20"/>
          <w:spacing w:val="-1"/>
          <w:w w:val="110"/>
          <w:sz w:val="19"/>
        </w:rPr>
        <w:t> </w:t>
      </w:r>
      <w:r>
        <w:rPr>
          <w:color w:val="231F20"/>
          <w:w w:val="110"/>
          <w:sz w:val="19"/>
        </w:rPr>
        <w:t>situation</w:t>
      </w:r>
      <w:r>
        <w:rPr>
          <w:color w:val="231F20"/>
          <w:spacing w:val="-1"/>
          <w:w w:val="110"/>
          <w:sz w:val="19"/>
        </w:rPr>
        <w:t> </w:t>
      </w:r>
      <w:r>
        <w:rPr>
          <w:color w:val="231F20"/>
          <w:w w:val="110"/>
          <w:sz w:val="19"/>
        </w:rPr>
        <w:t>cannot</w:t>
      </w:r>
      <w:r>
        <w:rPr>
          <w:color w:val="231F20"/>
          <w:spacing w:val="-2"/>
          <w:w w:val="110"/>
          <w:sz w:val="19"/>
        </w:rPr>
        <w:t> </w:t>
      </w:r>
      <w:r>
        <w:rPr>
          <w:color w:val="231F20"/>
          <w:w w:val="110"/>
          <w:sz w:val="19"/>
        </w:rPr>
        <w:t>act</w:t>
      </w:r>
      <w:r>
        <w:rPr>
          <w:color w:val="231F20"/>
          <w:spacing w:val="-1"/>
          <w:w w:val="110"/>
          <w:sz w:val="19"/>
        </w:rPr>
        <w:t> </w:t>
      </w:r>
      <w:r>
        <w:rPr>
          <w:color w:val="231F20"/>
          <w:w w:val="110"/>
          <w:sz w:val="19"/>
        </w:rPr>
        <w:t>and someone in good faith helps another, an agency agree- ment exists.</w:t>
      </w:r>
    </w:p>
    <w:p>
      <w:pPr>
        <w:spacing w:after="0" w:line="328" w:lineRule="auto"/>
        <w:jc w:val="both"/>
        <w:rPr>
          <w:sz w:val="19"/>
        </w:rPr>
        <w:sectPr>
          <w:pgSz w:w="8640" w:h="12960"/>
          <w:pgMar w:header="732" w:footer="0" w:top="920" w:bottom="280" w:left="340" w:right="500"/>
        </w:sectPr>
      </w:pPr>
    </w:p>
    <w:p>
      <w:pPr>
        <w:pStyle w:val="BodyText"/>
        <w:rPr>
          <w:rFonts w:ascii="Arial"/>
          <w:sz w:val="18"/>
        </w:rPr>
      </w:pPr>
    </w:p>
    <w:p>
      <w:pPr>
        <w:pStyle w:val="Heading6"/>
        <w:spacing w:before="99"/>
        <w:ind w:left="469"/>
        <w:rPr>
          <w:i/>
        </w:rPr>
      </w:pPr>
      <w:r>
        <w:rPr>
          <w:i/>
          <w:color w:val="231F20"/>
          <w:w w:val="110"/>
        </w:rPr>
        <w:t>BANKRUPTCY</w:t>
      </w:r>
      <w:r>
        <w:rPr>
          <w:i/>
          <w:color w:val="231F20"/>
          <w:spacing w:val="31"/>
          <w:w w:val="110"/>
        </w:rPr>
        <w:t>  </w:t>
      </w:r>
      <w:r>
        <w:rPr>
          <w:i/>
          <w:color w:val="231F20"/>
          <w:spacing w:val="-5"/>
          <w:w w:val="110"/>
        </w:rPr>
        <w:t>LAW</w:t>
      </w:r>
    </w:p>
    <w:p>
      <w:pPr>
        <w:pStyle w:val="BodyText"/>
        <w:spacing w:before="2"/>
        <w:rPr>
          <w:b/>
          <w:i/>
          <w:sz w:val="30"/>
        </w:rPr>
      </w:pPr>
    </w:p>
    <w:p>
      <w:pPr>
        <w:pStyle w:val="BodyText"/>
        <w:spacing w:line="292" w:lineRule="auto"/>
        <w:ind w:left="920" w:right="666"/>
        <w:jc w:val="both"/>
      </w:pPr>
      <w:r>
        <w:rPr>
          <w:color w:val="231F20"/>
        </w:rPr>
        <w:t>There are no debtors’ prisons anymore. The bankruptcy laws </w:t>
      </w:r>
      <w:r>
        <w:rPr>
          <w:color w:val="231F20"/>
        </w:rPr>
        <w:t>pro- vide a mechanism for people and businesses to get a new start or to arrange payment on more favorable terms.</w:t>
      </w:r>
    </w:p>
    <w:p>
      <w:pPr>
        <w:pStyle w:val="BodyText"/>
        <w:spacing w:before="4"/>
        <w:rPr>
          <w:sz w:val="27"/>
        </w:rPr>
      </w:pPr>
    </w:p>
    <w:p>
      <w:pPr>
        <w:spacing w:line="328" w:lineRule="auto" w:before="0"/>
        <w:ind w:left="1599" w:right="983" w:hanging="340"/>
        <w:jc w:val="left"/>
        <w:rPr>
          <w:rFonts w:ascii="Arial" w:hAnsi="Arial"/>
          <w:i/>
          <w:sz w:val="19"/>
        </w:rPr>
      </w:pPr>
      <w:r>
        <w:rPr>
          <w:rFonts w:ascii="Arial" w:hAnsi="Arial"/>
          <w:color w:val="231F20"/>
          <w:w w:val="115"/>
          <w:sz w:val="19"/>
        </w:rPr>
        <w:t>Chapter</w:t>
      </w:r>
      <w:r>
        <w:rPr>
          <w:rFonts w:ascii="Arial" w:hAnsi="Arial"/>
          <w:color w:val="231F20"/>
          <w:spacing w:val="-8"/>
          <w:w w:val="115"/>
          <w:sz w:val="19"/>
        </w:rPr>
        <w:t> </w:t>
      </w:r>
      <w:r>
        <w:rPr>
          <w:rFonts w:ascii="Arial" w:hAnsi="Arial"/>
          <w:color w:val="231F20"/>
          <w:w w:val="115"/>
          <w:sz w:val="19"/>
        </w:rPr>
        <w:t>7</w:t>
      </w:r>
      <w:r>
        <w:rPr>
          <w:rFonts w:ascii="Arial" w:hAnsi="Arial"/>
          <w:color w:val="231F20"/>
          <w:spacing w:val="-42"/>
          <w:w w:val="115"/>
          <w:sz w:val="19"/>
        </w:rPr>
        <w:t> </w:t>
      </w:r>
      <w:r>
        <w:rPr>
          <w:rFonts w:ascii="Arial" w:hAnsi="Arial"/>
          <w:color w:val="231F20"/>
          <w:spacing w:val="11"/>
          <w:w w:val="115"/>
          <w:sz w:val="19"/>
        </w:rPr>
        <w:t>—</w:t>
      </w:r>
      <w:r>
        <w:rPr>
          <w:rFonts w:ascii="Arial" w:hAnsi="Arial"/>
          <w:color w:val="231F20"/>
          <w:w w:val="115"/>
          <w:sz w:val="19"/>
        </w:rPr>
        <w:t>A</w:t>
      </w:r>
      <w:r>
        <w:rPr>
          <w:rFonts w:ascii="Arial" w:hAnsi="Arial"/>
          <w:color w:val="231F20"/>
          <w:spacing w:val="-7"/>
          <w:w w:val="115"/>
          <w:sz w:val="19"/>
        </w:rPr>
        <w:t> </w:t>
      </w:r>
      <w:r>
        <w:rPr>
          <w:rFonts w:ascii="Arial" w:hAnsi="Arial"/>
          <w:color w:val="231F20"/>
          <w:w w:val="115"/>
          <w:sz w:val="19"/>
        </w:rPr>
        <w:t>trustee</w:t>
      </w:r>
      <w:r>
        <w:rPr>
          <w:rFonts w:ascii="Arial" w:hAnsi="Arial"/>
          <w:color w:val="231F20"/>
          <w:spacing w:val="-7"/>
          <w:w w:val="115"/>
          <w:sz w:val="19"/>
        </w:rPr>
        <w:t> </w:t>
      </w:r>
      <w:r>
        <w:rPr>
          <w:rFonts w:ascii="Arial" w:hAnsi="Arial"/>
          <w:color w:val="231F20"/>
          <w:w w:val="115"/>
          <w:sz w:val="19"/>
        </w:rPr>
        <w:t>liquidates</w:t>
      </w:r>
      <w:r>
        <w:rPr>
          <w:rFonts w:ascii="Arial" w:hAnsi="Arial"/>
          <w:color w:val="231F20"/>
          <w:spacing w:val="-7"/>
          <w:w w:val="115"/>
          <w:sz w:val="19"/>
        </w:rPr>
        <w:t> </w:t>
      </w:r>
      <w:r>
        <w:rPr>
          <w:rFonts w:ascii="Arial" w:hAnsi="Arial"/>
          <w:color w:val="231F20"/>
          <w:w w:val="115"/>
          <w:sz w:val="19"/>
        </w:rPr>
        <w:t>the</w:t>
      </w:r>
      <w:r>
        <w:rPr>
          <w:rFonts w:ascii="Arial" w:hAnsi="Arial"/>
          <w:color w:val="231F20"/>
          <w:spacing w:val="-7"/>
          <w:w w:val="115"/>
          <w:sz w:val="19"/>
        </w:rPr>
        <w:t> </w:t>
      </w:r>
      <w:r>
        <w:rPr>
          <w:rFonts w:ascii="Arial" w:hAnsi="Arial"/>
          <w:color w:val="231F20"/>
          <w:w w:val="115"/>
          <w:sz w:val="19"/>
        </w:rPr>
        <w:t>remaining</w:t>
      </w:r>
      <w:r>
        <w:rPr>
          <w:rFonts w:ascii="Arial" w:hAnsi="Arial"/>
          <w:color w:val="231F20"/>
          <w:spacing w:val="-7"/>
          <w:w w:val="115"/>
          <w:sz w:val="19"/>
        </w:rPr>
        <w:t> </w:t>
      </w:r>
      <w:r>
        <w:rPr>
          <w:rFonts w:ascii="Arial" w:hAnsi="Arial"/>
          <w:color w:val="231F20"/>
          <w:w w:val="115"/>
          <w:sz w:val="19"/>
        </w:rPr>
        <w:t>assets</w:t>
      </w:r>
      <w:r>
        <w:rPr>
          <w:rFonts w:ascii="Arial" w:hAnsi="Arial"/>
          <w:color w:val="231F20"/>
          <w:spacing w:val="-7"/>
          <w:w w:val="115"/>
          <w:sz w:val="19"/>
        </w:rPr>
        <w:t> </w:t>
      </w:r>
      <w:r>
        <w:rPr>
          <w:rFonts w:ascii="Arial" w:hAnsi="Arial"/>
          <w:color w:val="231F20"/>
          <w:w w:val="115"/>
          <w:sz w:val="19"/>
        </w:rPr>
        <w:t>of</w:t>
      </w:r>
      <w:r>
        <w:rPr>
          <w:rFonts w:ascii="Arial" w:hAnsi="Arial"/>
          <w:color w:val="231F20"/>
          <w:spacing w:val="-7"/>
          <w:w w:val="115"/>
          <w:sz w:val="19"/>
        </w:rPr>
        <w:t> </w:t>
      </w:r>
      <w:r>
        <w:rPr>
          <w:rFonts w:ascii="Arial" w:hAnsi="Arial"/>
          <w:color w:val="231F20"/>
          <w:w w:val="115"/>
          <w:sz w:val="19"/>
        </w:rPr>
        <w:t>a business to pay debts as best as possible. After bankruptcy,</w:t>
      </w:r>
      <w:r>
        <w:rPr>
          <w:rFonts w:ascii="Arial" w:hAnsi="Arial"/>
          <w:color w:val="231F20"/>
          <w:spacing w:val="-16"/>
          <w:w w:val="115"/>
          <w:sz w:val="19"/>
        </w:rPr>
        <w:t> </w:t>
      </w:r>
      <w:r>
        <w:rPr>
          <w:rFonts w:ascii="Arial" w:hAnsi="Arial"/>
          <w:color w:val="231F20"/>
          <w:w w:val="115"/>
          <w:sz w:val="19"/>
        </w:rPr>
        <w:t>the</w:t>
      </w:r>
      <w:r>
        <w:rPr>
          <w:rFonts w:ascii="Arial" w:hAnsi="Arial"/>
          <w:color w:val="231F20"/>
          <w:spacing w:val="-15"/>
          <w:w w:val="115"/>
          <w:sz w:val="19"/>
        </w:rPr>
        <w:t> </w:t>
      </w:r>
      <w:r>
        <w:rPr>
          <w:rFonts w:ascii="Arial" w:hAnsi="Arial"/>
          <w:color w:val="231F20"/>
          <w:w w:val="115"/>
          <w:sz w:val="19"/>
        </w:rPr>
        <w:t>debts,</w:t>
      </w:r>
      <w:r>
        <w:rPr>
          <w:rFonts w:ascii="Arial" w:hAnsi="Arial"/>
          <w:color w:val="231F20"/>
          <w:spacing w:val="-15"/>
          <w:w w:val="115"/>
          <w:sz w:val="19"/>
        </w:rPr>
        <w:t> </w:t>
      </w:r>
      <w:r>
        <w:rPr>
          <w:rFonts w:ascii="Arial" w:hAnsi="Arial"/>
          <w:color w:val="231F20"/>
          <w:w w:val="115"/>
          <w:sz w:val="19"/>
        </w:rPr>
        <w:t>except</w:t>
      </w:r>
      <w:r>
        <w:rPr>
          <w:rFonts w:ascii="Arial" w:hAnsi="Arial"/>
          <w:color w:val="231F20"/>
          <w:spacing w:val="-15"/>
          <w:w w:val="115"/>
          <w:sz w:val="19"/>
        </w:rPr>
        <w:t> </w:t>
      </w:r>
      <w:r>
        <w:rPr>
          <w:rFonts w:ascii="Arial" w:hAnsi="Arial"/>
          <w:color w:val="231F20"/>
          <w:w w:val="115"/>
          <w:sz w:val="19"/>
        </w:rPr>
        <w:t>for</w:t>
      </w:r>
      <w:r>
        <w:rPr>
          <w:rFonts w:ascii="Arial" w:hAnsi="Arial"/>
          <w:color w:val="231F20"/>
          <w:spacing w:val="-15"/>
          <w:w w:val="115"/>
          <w:sz w:val="19"/>
        </w:rPr>
        <w:t> </w:t>
      </w:r>
      <w:r>
        <w:rPr>
          <w:rFonts w:ascii="Arial" w:hAnsi="Arial"/>
          <w:color w:val="231F20"/>
          <w:w w:val="115"/>
          <w:sz w:val="19"/>
        </w:rPr>
        <w:t>special</w:t>
      </w:r>
      <w:r>
        <w:rPr>
          <w:rFonts w:ascii="Arial" w:hAnsi="Arial"/>
          <w:color w:val="231F20"/>
          <w:spacing w:val="-16"/>
          <w:w w:val="115"/>
          <w:sz w:val="19"/>
        </w:rPr>
        <w:t> </w:t>
      </w:r>
      <w:r>
        <w:rPr>
          <w:rFonts w:ascii="Arial" w:hAnsi="Arial"/>
          <w:color w:val="231F20"/>
          <w:w w:val="115"/>
          <w:sz w:val="19"/>
        </w:rPr>
        <w:t>debts</w:t>
      </w:r>
      <w:r>
        <w:rPr>
          <w:rFonts w:ascii="Arial" w:hAnsi="Arial"/>
          <w:color w:val="231F20"/>
          <w:spacing w:val="-15"/>
          <w:w w:val="115"/>
          <w:sz w:val="19"/>
        </w:rPr>
        <w:t> </w:t>
      </w:r>
      <w:r>
        <w:rPr>
          <w:rFonts w:ascii="Arial" w:hAnsi="Arial"/>
          <w:color w:val="231F20"/>
          <w:w w:val="115"/>
          <w:sz w:val="19"/>
        </w:rPr>
        <w:t>such</w:t>
      </w:r>
      <w:r>
        <w:rPr>
          <w:rFonts w:ascii="Arial" w:hAnsi="Arial"/>
          <w:color w:val="231F20"/>
          <w:spacing w:val="-15"/>
          <w:w w:val="115"/>
          <w:sz w:val="19"/>
        </w:rPr>
        <w:t> </w:t>
      </w:r>
      <w:r>
        <w:rPr>
          <w:rFonts w:ascii="Arial" w:hAnsi="Arial"/>
          <w:color w:val="231F20"/>
          <w:w w:val="115"/>
          <w:sz w:val="19"/>
        </w:rPr>
        <w:t>as alimony and child support, are </w:t>
      </w:r>
      <w:r>
        <w:rPr>
          <w:rFonts w:ascii="Arial" w:hAnsi="Arial"/>
          <w:i/>
          <w:color w:val="231F20"/>
          <w:w w:val="115"/>
          <w:sz w:val="19"/>
        </w:rPr>
        <w:t>discharged.</w:t>
      </w:r>
    </w:p>
    <w:p>
      <w:pPr>
        <w:spacing w:line="328" w:lineRule="auto" w:before="3"/>
        <w:ind w:left="1600" w:right="728" w:hanging="340"/>
        <w:jc w:val="left"/>
        <w:rPr>
          <w:rFonts w:ascii="Arial" w:hAnsi="Arial"/>
          <w:sz w:val="19"/>
        </w:rPr>
      </w:pPr>
      <w:r>
        <w:rPr>
          <w:rFonts w:ascii="Arial" w:hAnsi="Arial"/>
          <w:color w:val="231F20"/>
          <w:w w:val="115"/>
          <w:sz w:val="19"/>
        </w:rPr>
        <w:t>Chapter </w:t>
      </w:r>
      <w:r>
        <w:rPr>
          <w:rFonts w:ascii="Arial" w:hAnsi="Arial"/>
          <w:color w:val="231F20"/>
          <w:sz w:val="19"/>
        </w:rPr>
        <w:t>11</w:t>
      </w:r>
      <w:r>
        <w:rPr>
          <w:rFonts w:ascii="Arial" w:hAnsi="Arial"/>
          <w:color w:val="231F20"/>
          <w:spacing w:val="-32"/>
          <w:sz w:val="19"/>
        </w:rPr>
        <w:t> </w:t>
      </w:r>
      <w:r>
        <w:rPr>
          <w:rFonts w:ascii="Arial" w:hAnsi="Arial"/>
          <w:color w:val="231F20"/>
          <w:spacing w:val="11"/>
          <w:w w:val="115"/>
          <w:sz w:val="19"/>
        </w:rPr>
        <w:t>—</w:t>
      </w:r>
      <w:r>
        <w:rPr>
          <w:rFonts w:ascii="Arial" w:hAnsi="Arial"/>
          <w:color w:val="231F20"/>
          <w:w w:val="115"/>
          <w:sz w:val="19"/>
        </w:rPr>
        <w:t>A court-appointed officer approves a </w:t>
      </w:r>
      <w:r>
        <w:rPr>
          <w:rFonts w:ascii="Arial" w:hAnsi="Arial"/>
          <w:i/>
          <w:color w:val="231F20"/>
          <w:w w:val="115"/>
          <w:sz w:val="19"/>
        </w:rPr>
        <w:t>restructuring</w:t>
      </w:r>
      <w:r>
        <w:rPr>
          <w:rFonts w:ascii="Arial" w:hAnsi="Arial"/>
          <w:i/>
          <w:color w:val="231F20"/>
          <w:spacing w:val="-11"/>
          <w:w w:val="115"/>
          <w:sz w:val="19"/>
        </w:rPr>
        <w:t> </w:t>
      </w:r>
      <w:r>
        <w:rPr>
          <w:rFonts w:ascii="Arial" w:hAnsi="Arial"/>
          <w:color w:val="231F20"/>
          <w:w w:val="115"/>
          <w:sz w:val="19"/>
        </w:rPr>
        <w:t>plan</w:t>
      </w:r>
      <w:r>
        <w:rPr>
          <w:rFonts w:ascii="Arial" w:hAnsi="Arial"/>
          <w:color w:val="231F20"/>
          <w:spacing w:val="-11"/>
          <w:w w:val="115"/>
          <w:sz w:val="19"/>
        </w:rPr>
        <w:t> </w:t>
      </w:r>
      <w:r>
        <w:rPr>
          <w:rFonts w:ascii="Arial" w:hAnsi="Arial"/>
          <w:color w:val="231F20"/>
          <w:w w:val="115"/>
          <w:sz w:val="19"/>
        </w:rPr>
        <w:t>to</w:t>
      </w:r>
      <w:r>
        <w:rPr>
          <w:rFonts w:ascii="Arial" w:hAnsi="Arial"/>
          <w:color w:val="231F20"/>
          <w:spacing w:val="-11"/>
          <w:w w:val="115"/>
          <w:sz w:val="19"/>
        </w:rPr>
        <w:t> </w:t>
      </w:r>
      <w:r>
        <w:rPr>
          <w:rFonts w:ascii="Arial" w:hAnsi="Arial"/>
          <w:color w:val="231F20"/>
          <w:w w:val="115"/>
          <w:sz w:val="19"/>
        </w:rPr>
        <w:t>pay</w:t>
      </w:r>
      <w:r>
        <w:rPr>
          <w:rFonts w:ascii="Arial" w:hAnsi="Arial"/>
          <w:color w:val="231F20"/>
          <w:spacing w:val="-11"/>
          <w:w w:val="115"/>
          <w:sz w:val="19"/>
        </w:rPr>
        <w:t> </w:t>
      </w:r>
      <w:r>
        <w:rPr>
          <w:rFonts w:ascii="Arial" w:hAnsi="Arial"/>
          <w:color w:val="231F20"/>
          <w:w w:val="115"/>
          <w:sz w:val="19"/>
        </w:rPr>
        <w:t>the</w:t>
      </w:r>
      <w:r>
        <w:rPr>
          <w:rFonts w:ascii="Arial" w:hAnsi="Arial"/>
          <w:color w:val="231F20"/>
          <w:spacing w:val="-11"/>
          <w:w w:val="115"/>
          <w:sz w:val="19"/>
        </w:rPr>
        <w:t> </w:t>
      </w:r>
      <w:r>
        <w:rPr>
          <w:rFonts w:ascii="Arial" w:hAnsi="Arial"/>
          <w:color w:val="231F20"/>
          <w:w w:val="115"/>
          <w:sz w:val="19"/>
        </w:rPr>
        <w:t>debts</w:t>
      </w:r>
      <w:r>
        <w:rPr>
          <w:rFonts w:ascii="Arial" w:hAnsi="Arial"/>
          <w:color w:val="231F20"/>
          <w:spacing w:val="-11"/>
          <w:w w:val="115"/>
          <w:sz w:val="19"/>
        </w:rPr>
        <w:t> </w:t>
      </w:r>
      <w:r>
        <w:rPr>
          <w:rFonts w:ascii="Arial" w:hAnsi="Arial"/>
          <w:color w:val="231F20"/>
          <w:w w:val="115"/>
          <w:sz w:val="19"/>
        </w:rPr>
        <w:t>over</w:t>
      </w:r>
      <w:r>
        <w:rPr>
          <w:rFonts w:ascii="Arial" w:hAnsi="Arial"/>
          <w:color w:val="231F20"/>
          <w:spacing w:val="-11"/>
          <w:w w:val="115"/>
          <w:sz w:val="19"/>
        </w:rPr>
        <w:t> </w:t>
      </w:r>
      <w:r>
        <w:rPr>
          <w:rFonts w:ascii="Arial" w:hAnsi="Arial"/>
          <w:color w:val="231F20"/>
          <w:w w:val="115"/>
          <w:sz w:val="19"/>
        </w:rPr>
        <w:t>time.</w:t>
      </w:r>
      <w:r>
        <w:rPr>
          <w:rFonts w:ascii="Arial" w:hAnsi="Arial"/>
          <w:color w:val="231F20"/>
          <w:spacing w:val="-11"/>
          <w:w w:val="115"/>
          <w:sz w:val="19"/>
        </w:rPr>
        <w:t> </w:t>
      </w:r>
      <w:r>
        <w:rPr>
          <w:rFonts w:ascii="Arial" w:hAnsi="Arial"/>
          <w:color w:val="231F20"/>
          <w:w w:val="115"/>
          <w:sz w:val="19"/>
        </w:rPr>
        <w:t>The</w:t>
      </w:r>
      <w:r>
        <w:rPr>
          <w:rFonts w:ascii="Arial" w:hAnsi="Arial"/>
          <w:color w:val="231F20"/>
          <w:spacing w:val="-11"/>
          <w:w w:val="115"/>
          <w:sz w:val="19"/>
        </w:rPr>
        <w:t> </w:t>
      </w:r>
      <w:r>
        <w:rPr>
          <w:rFonts w:ascii="Arial" w:hAnsi="Arial"/>
          <w:color w:val="231F20"/>
          <w:w w:val="115"/>
          <w:sz w:val="19"/>
        </w:rPr>
        <w:t>person or business continues operating with the restructured debt</w:t>
      </w:r>
      <w:r>
        <w:rPr>
          <w:rFonts w:ascii="Arial" w:hAnsi="Arial"/>
          <w:color w:val="231F20"/>
          <w:spacing w:val="-12"/>
          <w:w w:val="115"/>
          <w:sz w:val="19"/>
        </w:rPr>
        <w:t> </w:t>
      </w:r>
      <w:r>
        <w:rPr>
          <w:rFonts w:ascii="Arial" w:hAnsi="Arial"/>
          <w:color w:val="231F20"/>
          <w:w w:val="115"/>
          <w:sz w:val="19"/>
        </w:rPr>
        <w:t>load.</w:t>
      </w:r>
      <w:r>
        <w:rPr>
          <w:rFonts w:ascii="Arial" w:hAnsi="Arial"/>
          <w:color w:val="231F20"/>
          <w:spacing w:val="-12"/>
          <w:w w:val="115"/>
          <w:sz w:val="19"/>
        </w:rPr>
        <w:t> </w:t>
      </w:r>
      <w:r>
        <w:rPr>
          <w:rFonts w:ascii="Arial" w:hAnsi="Arial"/>
          <w:color w:val="231F20"/>
          <w:w w:val="115"/>
          <w:sz w:val="19"/>
        </w:rPr>
        <w:t>The</w:t>
      </w:r>
      <w:r>
        <w:rPr>
          <w:rFonts w:ascii="Arial" w:hAnsi="Arial"/>
          <w:color w:val="231F20"/>
          <w:spacing w:val="-12"/>
          <w:w w:val="115"/>
          <w:sz w:val="19"/>
        </w:rPr>
        <w:t> </w:t>
      </w:r>
      <w:r>
        <w:rPr>
          <w:rFonts w:ascii="Arial" w:hAnsi="Arial"/>
          <w:color w:val="231F20"/>
          <w:w w:val="115"/>
          <w:sz w:val="19"/>
        </w:rPr>
        <w:t>payments</w:t>
      </w:r>
      <w:r>
        <w:rPr>
          <w:rFonts w:ascii="Arial" w:hAnsi="Arial"/>
          <w:color w:val="231F20"/>
          <w:spacing w:val="-12"/>
          <w:w w:val="115"/>
          <w:sz w:val="19"/>
        </w:rPr>
        <w:t> </w:t>
      </w:r>
      <w:r>
        <w:rPr>
          <w:rFonts w:ascii="Arial" w:hAnsi="Arial"/>
          <w:color w:val="231F20"/>
          <w:w w:val="115"/>
          <w:sz w:val="19"/>
        </w:rPr>
        <w:t>to</w:t>
      </w:r>
      <w:r>
        <w:rPr>
          <w:rFonts w:ascii="Arial" w:hAnsi="Arial"/>
          <w:color w:val="231F20"/>
          <w:spacing w:val="-12"/>
          <w:w w:val="115"/>
          <w:sz w:val="19"/>
        </w:rPr>
        <w:t> </w:t>
      </w:r>
      <w:r>
        <w:rPr>
          <w:rFonts w:ascii="Arial" w:hAnsi="Arial"/>
          <w:color w:val="231F20"/>
          <w:w w:val="115"/>
          <w:sz w:val="19"/>
        </w:rPr>
        <w:t>creditors</w:t>
      </w:r>
      <w:r>
        <w:rPr>
          <w:rFonts w:ascii="Arial" w:hAnsi="Arial"/>
          <w:color w:val="231F20"/>
          <w:spacing w:val="-12"/>
          <w:w w:val="115"/>
          <w:sz w:val="19"/>
        </w:rPr>
        <w:t> </w:t>
      </w:r>
      <w:r>
        <w:rPr>
          <w:rFonts w:ascii="Arial" w:hAnsi="Arial"/>
          <w:color w:val="231F20"/>
          <w:w w:val="115"/>
          <w:sz w:val="19"/>
        </w:rPr>
        <w:t>theoretically</w:t>
      </w:r>
      <w:r>
        <w:rPr>
          <w:rFonts w:ascii="Arial" w:hAnsi="Arial"/>
          <w:color w:val="231F20"/>
          <w:spacing w:val="-12"/>
          <w:w w:val="115"/>
          <w:sz w:val="19"/>
        </w:rPr>
        <w:t> </w:t>
      </w:r>
      <w:r>
        <w:rPr>
          <w:rFonts w:ascii="Arial" w:hAnsi="Arial"/>
          <w:color w:val="231F20"/>
          <w:w w:val="115"/>
          <w:sz w:val="19"/>
        </w:rPr>
        <w:t>should not be less than they would have been under Chapter 7 </w:t>
      </w:r>
      <w:r>
        <w:rPr>
          <w:rFonts w:ascii="Arial" w:hAnsi="Arial"/>
          <w:color w:val="231F20"/>
          <w:spacing w:val="-2"/>
          <w:w w:val="115"/>
          <w:sz w:val="19"/>
        </w:rPr>
        <w:t>bankruptcy.</w:t>
      </w:r>
    </w:p>
    <w:p>
      <w:pPr>
        <w:spacing w:line="328" w:lineRule="auto" w:before="4"/>
        <w:ind w:left="1600" w:right="751" w:hanging="340"/>
        <w:jc w:val="left"/>
        <w:rPr>
          <w:rFonts w:ascii="Arial" w:hAnsi="Arial"/>
          <w:sz w:val="19"/>
        </w:rPr>
      </w:pPr>
      <w:r>
        <w:rPr>
          <w:rFonts w:ascii="Arial" w:hAnsi="Arial"/>
          <w:color w:val="231F20"/>
          <w:w w:val="110"/>
          <w:sz w:val="19"/>
        </w:rPr>
        <w:t>Chapter 13</w:t>
      </w:r>
      <w:r>
        <w:rPr>
          <w:rFonts w:ascii="Arial" w:hAnsi="Arial"/>
          <w:color w:val="231F20"/>
          <w:spacing w:val="-38"/>
          <w:w w:val="110"/>
          <w:sz w:val="19"/>
        </w:rPr>
        <w:t> </w:t>
      </w:r>
      <w:r>
        <w:rPr>
          <w:rFonts w:ascii="Arial" w:hAnsi="Arial"/>
          <w:color w:val="231F20"/>
          <w:w w:val="110"/>
          <w:sz w:val="19"/>
        </w:rPr>
        <w:t>—This form of personal bankruptcy is available </w:t>
      </w:r>
      <w:r>
        <w:rPr>
          <w:rFonts w:ascii="Arial" w:hAnsi="Arial"/>
          <w:color w:val="231F20"/>
          <w:w w:val="110"/>
          <w:sz w:val="19"/>
        </w:rPr>
        <w:t>to </w:t>
      </w:r>
      <w:r>
        <w:rPr>
          <w:rFonts w:ascii="Arial" w:hAnsi="Arial"/>
          <w:color w:val="231F20"/>
          <w:w w:val="115"/>
          <w:sz w:val="19"/>
        </w:rPr>
        <w:t>individuals with regular income and less than $100,000 of unsecured debts and less than $350,000 of secured debts. The debtor submits a payment plan to the court that can last a maximum of five years.</w:t>
      </w:r>
    </w:p>
    <w:p>
      <w:pPr>
        <w:pStyle w:val="BodyText"/>
        <w:rPr>
          <w:rFonts w:ascii="Arial"/>
          <w:sz w:val="20"/>
        </w:rPr>
      </w:pPr>
    </w:p>
    <w:p>
      <w:pPr>
        <w:pStyle w:val="BodyText"/>
        <w:rPr>
          <w:rFonts w:ascii="Arial"/>
          <w:sz w:val="20"/>
        </w:rPr>
      </w:pPr>
    </w:p>
    <w:p>
      <w:pPr>
        <w:pStyle w:val="Heading6"/>
        <w:spacing w:line="292" w:lineRule="auto" w:before="122"/>
        <w:ind w:left="1019" w:right="756"/>
      </w:pPr>
      <w:r>
        <w:rPr>
          <w:i/>
          <w:color w:val="231F20"/>
          <w:w w:val="110"/>
        </w:rPr>
        <w:t>UNIFORM</w:t>
      </w:r>
      <w:r>
        <w:rPr>
          <w:i/>
          <w:color w:val="231F20"/>
          <w:spacing w:val="40"/>
          <w:w w:val="110"/>
        </w:rPr>
        <w:t> </w:t>
      </w:r>
      <w:r>
        <w:rPr>
          <w:i/>
          <w:color w:val="231F20"/>
          <w:w w:val="110"/>
        </w:rPr>
        <w:t>COMMERCIAL</w:t>
      </w:r>
      <w:r>
        <w:rPr>
          <w:i/>
          <w:color w:val="231F20"/>
          <w:spacing w:val="40"/>
          <w:w w:val="110"/>
        </w:rPr>
        <w:t> </w:t>
      </w:r>
      <w:r>
        <w:rPr>
          <w:i/>
          <w:color w:val="231F20"/>
          <w:w w:val="110"/>
        </w:rPr>
        <w:t>CODE</w:t>
      </w:r>
      <w:r>
        <w:rPr>
          <w:i/>
          <w:color w:val="231F20"/>
          <w:spacing w:val="40"/>
          <w:w w:val="110"/>
        </w:rPr>
        <w:t> </w:t>
      </w:r>
      <w:r>
        <w:rPr>
          <w:i/>
          <w:color w:val="231F20"/>
          <w:w w:val="110"/>
        </w:rPr>
        <w:t>(UCC)</w:t>
      </w:r>
      <w:r>
        <w:rPr>
          <w:i/>
          <w:color w:val="231F20"/>
          <w:spacing w:val="40"/>
          <w:w w:val="110"/>
        </w:rPr>
        <w:t> </w:t>
      </w:r>
      <w:r>
        <w:rPr>
          <w:i/>
          <w:color w:val="231F20"/>
          <w:w w:val="110"/>
        </w:rPr>
        <w:t>ARTICLE</w:t>
      </w:r>
      <w:r>
        <w:rPr>
          <w:i/>
          <w:color w:val="231F20"/>
          <w:spacing w:val="40"/>
          <w:w w:val="110"/>
        </w:rPr>
        <w:t> </w:t>
      </w:r>
      <w:r>
        <w:rPr>
          <w:i/>
          <w:color w:val="231F20"/>
          <w:spacing w:val="10"/>
          <w:w w:val="110"/>
        </w:rPr>
        <w:t>9:</w:t>
      </w:r>
      <w:r>
        <w:rPr>
          <w:color w:val="231F20"/>
          <w:spacing w:val="40"/>
          <w:w w:val="110"/>
        </w:rPr>
        <w:t> </w:t>
      </w:r>
      <w:r>
        <w:rPr>
          <w:color w:val="231F20"/>
          <w:w w:val="110"/>
        </w:rPr>
        <w:t>SECURED</w:t>
      </w:r>
      <w:r>
        <w:rPr>
          <w:color w:val="231F20"/>
          <w:w w:val="110"/>
        </w:rPr>
        <w:t> </w:t>
      </w:r>
      <w:r>
        <w:rPr>
          <w:color w:val="231F20"/>
          <w:spacing w:val="10"/>
          <w:w w:val="110"/>
        </w:rPr>
        <w:t>TRANSACTIONS</w:t>
      </w:r>
    </w:p>
    <w:p>
      <w:pPr>
        <w:pStyle w:val="BodyText"/>
        <w:spacing w:before="6"/>
        <w:rPr>
          <w:b/>
          <w:i/>
          <w:sz w:val="25"/>
        </w:rPr>
      </w:pPr>
    </w:p>
    <w:p>
      <w:pPr>
        <w:pStyle w:val="BodyText"/>
        <w:spacing w:line="292" w:lineRule="auto"/>
        <w:ind w:left="920" w:right="666"/>
        <w:jc w:val="both"/>
        <w:rPr>
          <w:i/>
        </w:rPr>
      </w:pPr>
      <w:r>
        <w:rPr>
          <w:color w:val="231F20"/>
        </w:rPr>
        <w:t>A</w:t>
      </w:r>
      <w:r>
        <w:rPr>
          <w:color w:val="231F20"/>
          <w:spacing w:val="-1"/>
        </w:rPr>
        <w:t> </w:t>
      </w:r>
      <w:r>
        <w:rPr>
          <w:color w:val="231F20"/>
        </w:rPr>
        <w:t>body</w:t>
      </w:r>
      <w:r>
        <w:rPr>
          <w:color w:val="231F20"/>
          <w:spacing w:val="-1"/>
        </w:rPr>
        <w:t> </w:t>
      </w:r>
      <w:r>
        <w:rPr>
          <w:color w:val="231F20"/>
        </w:rPr>
        <w:t>of</w:t>
      </w:r>
      <w:r>
        <w:rPr>
          <w:color w:val="231F20"/>
          <w:spacing w:val="-1"/>
        </w:rPr>
        <w:t> </w:t>
      </w:r>
      <w:r>
        <w:rPr>
          <w:color w:val="231F20"/>
        </w:rPr>
        <w:t>rules</w:t>
      </w:r>
      <w:r>
        <w:rPr>
          <w:color w:val="231F20"/>
          <w:spacing w:val="-1"/>
        </w:rPr>
        <w:t> </w:t>
      </w:r>
      <w:r>
        <w:rPr>
          <w:color w:val="231F20"/>
        </w:rPr>
        <w:t>covers</w:t>
      </w:r>
      <w:r>
        <w:rPr>
          <w:color w:val="231F20"/>
          <w:spacing w:val="-1"/>
        </w:rPr>
        <w:t> </w:t>
      </w:r>
      <w:r>
        <w:rPr>
          <w:color w:val="231F20"/>
        </w:rPr>
        <w:t>the</w:t>
      </w:r>
      <w:r>
        <w:rPr>
          <w:color w:val="231F20"/>
          <w:spacing w:val="-1"/>
        </w:rPr>
        <w:t> </w:t>
      </w:r>
      <w:r>
        <w:rPr>
          <w:color w:val="231F20"/>
        </w:rPr>
        <w:t>acts</w:t>
      </w:r>
      <w:r>
        <w:rPr>
          <w:color w:val="231F20"/>
          <w:spacing w:val="-1"/>
        </w:rPr>
        <w:t> </w:t>
      </w:r>
      <w:r>
        <w:rPr>
          <w:color w:val="231F20"/>
        </w:rPr>
        <w:t>of</w:t>
      </w:r>
      <w:r>
        <w:rPr>
          <w:color w:val="231F20"/>
          <w:spacing w:val="-1"/>
        </w:rPr>
        <w:t> </w:t>
      </w:r>
      <w:r>
        <w:rPr>
          <w:color w:val="231F20"/>
        </w:rPr>
        <w:t>creditors</w:t>
      </w:r>
      <w:r>
        <w:rPr>
          <w:color w:val="231F20"/>
          <w:spacing w:val="-1"/>
        </w:rPr>
        <w:t> </w:t>
      </w:r>
      <w:r>
        <w:rPr>
          <w:color w:val="231F20"/>
        </w:rPr>
        <w:t>to</w:t>
      </w:r>
      <w:r>
        <w:rPr>
          <w:color w:val="231F20"/>
          <w:spacing w:val="-1"/>
        </w:rPr>
        <w:t> </w:t>
      </w:r>
      <w:r>
        <w:rPr>
          <w:color w:val="231F20"/>
        </w:rPr>
        <w:t>protect</w:t>
      </w:r>
      <w:r>
        <w:rPr>
          <w:color w:val="231F20"/>
          <w:spacing w:val="-1"/>
        </w:rPr>
        <w:t> </w:t>
      </w:r>
      <w:r>
        <w:rPr>
          <w:color w:val="231F20"/>
        </w:rPr>
        <w:t>their</w:t>
      </w:r>
      <w:r>
        <w:rPr>
          <w:color w:val="231F20"/>
          <w:spacing w:val="-1"/>
        </w:rPr>
        <w:t> </w:t>
      </w:r>
      <w:r>
        <w:rPr>
          <w:color w:val="231F20"/>
        </w:rPr>
        <w:t>interest</w:t>
      </w:r>
      <w:r>
        <w:rPr>
          <w:color w:val="231F20"/>
          <w:spacing w:val="-1"/>
        </w:rPr>
        <w:t> </w:t>
      </w:r>
      <w:r>
        <w:rPr>
          <w:color w:val="231F20"/>
        </w:rPr>
        <w:t>in personal property and fixtures from other third-party claims. </w:t>
      </w:r>
      <w:r>
        <w:rPr>
          <w:color w:val="231F20"/>
        </w:rPr>
        <w:t>Those protected rights are called </w:t>
      </w:r>
      <w:r>
        <w:rPr>
          <w:i/>
          <w:color w:val="231F20"/>
        </w:rPr>
        <w:t>security interests.</w:t>
      </w:r>
    </w:p>
    <w:p>
      <w:pPr>
        <w:pStyle w:val="BodyText"/>
        <w:spacing w:line="292" w:lineRule="auto"/>
        <w:ind w:left="920" w:right="666" w:firstLine="340"/>
        <w:jc w:val="right"/>
      </w:pPr>
      <w:r>
        <w:rPr>
          <w:color w:val="231F20"/>
        </w:rPr>
        <w:t>A creditor can have a secured interest if a borrower </w:t>
      </w:r>
      <w:r>
        <w:rPr>
          <w:i/>
          <w:color w:val="231F20"/>
        </w:rPr>
        <w:t>pledges </w:t>
      </w:r>
      <w:r>
        <w:rPr>
          <w:color w:val="231F20"/>
        </w:rPr>
        <w:t>col- lateral to the creditor by giving it to him or her for safekeeping. Tak- ing an item to a pawnshop is a good example of pledging collateral.</w:t>
      </w:r>
      <w:r>
        <w:rPr>
          <w:color w:val="231F20"/>
          <w:spacing w:val="80"/>
        </w:rPr>
        <w:t> </w:t>
      </w:r>
      <w:r>
        <w:rPr>
          <w:color w:val="231F20"/>
        </w:rPr>
        <w:t>In</w:t>
      </w:r>
      <w:r>
        <w:rPr>
          <w:color w:val="231F20"/>
          <w:spacing w:val="35"/>
        </w:rPr>
        <w:t> </w:t>
      </w:r>
      <w:r>
        <w:rPr>
          <w:color w:val="231F20"/>
        </w:rPr>
        <w:t>the</w:t>
      </w:r>
      <w:r>
        <w:rPr>
          <w:color w:val="231F20"/>
          <w:spacing w:val="35"/>
        </w:rPr>
        <w:t> </w:t>
      </w:r>
      <w:r>
        <w:rPr>
          <w:color w:val="231F20"/>
        </w:rPr>
        <w:t>absence</w:t>
      </w:r>
      <w:r>
        <w:rPr>
          <w:color w:val="231F20"/>
          <w:spacing w:val="35"/>
        </w:rPr>
        <w:t> </w:t>
      </w:r>
      <w:r>
        <w:rPr>
          <w:color w:val="231F20"/>
        </w:rPr>
        <w:t>of</w:t>
      </w:r>
      <w:r>
        <w:rPr>
          <w:color w:val="231F20"/>
          <w:spacing w:val="35"/>
        </w:rPr>
        <w:t> </w:t>
      </w:r>
      <w:r>
        <w:rPr>
          <w:color w:val="231F20"/>
        </w:rPr>
        <w:t>actually</w:t>
      </w:r>
      <w:r>
        <w:rPr>
          <w:color w:val="231F20"/>
          <w:spacing w:val="35"/>
        </w:rPr>
        <w:t> </w:t>
      </w:r>
      <w:r>
        <w:rPr>
          <w:color w:val="231F20"/>
        </w:rPr>
        <w:t>holding</w:t>
      </w:r>
      <w:r>
        <w:rPr>
          <w:color w:val="231F20"/>
          <w:spacing w:val="35"/>
        </w:rPr>
        <w:t> </w:t>
      </w:r>
      <w:r>
        <w:rPr>
          <w:color w:val="231F20"/>
        </w:rPr>
        <w:t>the</w:t>
      </w:r>
      <w:r>
        <w:rPr>
          <w:color w:val="231F20"/>
          <w:spacing w:val="35"/>
        </w:rPr>
        <w:t> </w:t>
      </w:r>
      <w:r>
        <w:rPr>
          <w:color w:val="231F20"/>
        </w:rPr>
        <w:t>property,</w:t>
      </w:r>
      <w:r>
        <w:rPr>
          <w:color w:val="231F20"/>
          <w:spacing w:val="35"/>
        </w:rPr>
        <w:t> </w:t>
      </w:r>
      <w:r>
        <w:rPr>
          <w:color w:val="231F20"/>
        </w:rPr>
        <w:t>such</w:t>
      </w:r>
      <w:r>
        <w:rPr>
          <w:color w:val="231F20"/>
          <w:spacing w:val="35"/>
        </w:rPr>
        <w:t> </w:t>
      </w:r>
      <w:r>
        <w:rPr>
          <w:color w:val="231F20"/>
        </w:rPr>
        <w:t>as</w:t>
      </w:r>
      <w:r>
        <w:rPr>
          <w:color w:val="231F20"/>
          <w:spacing w:val="35"/>
        </w:rPr>
        <w:t> </w:t>
      </w:r>
      <w:r>
        <w:rPr>
          <w:color w:val="231F20"/>
        </w:rPr>
        <w:t>jewelry, the creditor </w:t>
      </w:r>
      <w:r>
        <w:rPr>
          <w:i/>
          <w:color w:val="231F20"/>
        </w:rPr>
        <w:t>attaches </w:t>
      </w:r>
      <w:r>
        <w:rPr>
          <w:color w:val="231F20"/>
        </w:rPr>
        <w:t>the property with a </w:t>
      </w:r>
      <w:r>
        <w:rPr>
          <w:i/>
          <w:color w:val="231F20"/>
        </w:rPr>
        <w:t>perfected </w:t>
      </w:r>
      <w:r>
        <w:rPr>
          <w:color w:val="231F20"/>
        </w:rPr>
        <w:t>security interest against</w:t>
      </w:r>
      <w:r>
        <w:rPr>
          <w:color w:val="231F20"/>
          <w:spacing w:val="19"/>
        </w:rPr>
        <w:t> </w:t>
      </w:r>
      <w:r>
        <w:rPr>
          <w:color w:val="231F20"/>
        </w:rPr>
        <w:t>third-party</w:t>
      </w:r>
      <w:r>
        <w:rPr>
          <w:color w:val="231F20"/>
          <w:spacing w:val="19"/>
        </w:rPr>
        <w:t> </w:t>
      </w:r>
      <w:r>
        <w:rPr>
          <w:color w:val="231F20"/>
        </w:rPr>
        <w:t>claims.</w:t>
      </w:r>
      <w:r>
        <w:rPr>
          <w:color w:val="231F20"/>
          <w:spacing w:val="20"/>
        </w:rPr>
        <w:t> </w:t>
      </w:r>
      <w:r>
        <w:rPr>
          <w:color w:val="231F20"/>
        </w:rPr>
        <w:t>The</w:t>
      </w:r>
      <w:r>
        <w:rPr>
          <w:color w:val="231F20"/>
          <w:spacing w:val="19"/>
        </w:rPr>
        <w:t> </w:t>
      </w:r>
      <w:r>
        <w:rPr>
          <w:color w:val="231F20"/>
        </w:rPr>
        <w:t>creditor</w:t>
      </w:r>
      <w:r>
        <w:rPr>
          <w:color w:val="231F20"/>
          <w:spacing w:val="20"/>
        </w:rPr>
        <w:t> </w:t>
      </w:r>
      <w:r>
        <w:rPr>
          <w:color w:val="231F20"/>
        </w:rPr>
        <w:t>can</w:t>
      </w:r>
      <w:r>
        <w:rPr>
          <w:color w:val="231F20"/>
          <w:spacing w:val="18"/>
        </w:rPr>
        <w:t> </w:t>
      </w:r>
      <w:r>
        <w:rPr>
          <w:i/>
          <w:color w:val="231F20"/>
        </w:rPr>
        <w:t>perfect</w:t>
      </w:r>
      <w:r>
        <w:rPr>
          <w:i/>
          <w:color w:val="231F20"/>
          <w:spacing w:val="20"/>
        </w:rPr>
        <w:t> </w:t>
      </w:r>
      <w:r>
        <w:rPr>
          <w:color w:val="231F20"/>
        </w:rPr>
        <w:t>his</w:t>
      </w:r>
      <w:r>
        <w:rPr>
          <w:color w:val="231F20"/>
          <w:spacing w:val="19"/>
        </w:rPr>
        <w:t> </w:t>
      </w:r>
      <w:r>
        <w:rPr>
          <w:color w:val="231F20"/>
        </w:rPr>
        <w:t>or</w:t>
      </w:r>
      <w:r>
        <w:rPr>
          <w:color w:val="231F20"/>
          <w:spacing w:val="20"/>
        </w:rPr>
        <w:t> </w:t>
      </w:r>
      <w:r>
        <w:rPr>
          <w:color w:val="231F20"/>
        </w:rPr>
        <w:t>her</w:t>
      </w:r>
      <w:r>
        <w:rPr>
          <w:color w:val="231F20"/>
          <w:spacing w:val="19"/>
        </w:rPr>
        <w:t> </w:t>
      </w:r>
      <w:r>
        <w:rPr>
          <w:color w:val="231F20"/>
          <w:spacing w:val="-2"/>
        </w:rPr>
        <w:t>inter-</w:t>
      </w:r>
    </w:p>
    <w:p>
      <w:pPr>
        <w:pStyle w:val="BodyText"/>
        <w:spacing w:line="244" w:lineRule="exact"/>
        <w:ind w:left="920"/>
        <w:jc w:val="both"/>
      </w:pPr>
      <w:r>
        <w:rPr>
          <w:color w:val="231F20"/>
        </w:rPr>
        <w:t>est</w:t>
      </w:r>
      <w:r>
        <w:rPr>
          <w:color w:val="231F20"/>
          <w:spacing w:val="4"/>
        </w:rPr>
        <w:t> </w:t>
      </w:r>
      <w:r>
        <w:rPr>
          <w:color w:val="231F20"/>
        </w:rPr>
        <w:t>in</w:t>
      </w:r>
      <w:r>
        <w:rPr>
          <w:color w:val="231F20"/>
          <w:spacing w:val="5"/>
        </w:rPr>
        <w:t> </w:t>
      </w:r>
      <w:r>
        <w:rPr>
          <w:color w:val="231F20"/>
        </w:rPr>
        <w:t>two</w:t>
      </w:r>
      <w:r>
        <w:rPr>
          <w:color w:val="231F20"/>
          <w:spacing w:val="4"/>
        </w:rPr>
        <w:t> </w:t>
      </w:r>
      <w:r>
        <w:rPr>
          <w:color w:val="231F20"/>
          <w:spacing w:val="-4"/>
        </w:rPr>
        <w:t>ways:</w:t>
      </w:r>
    </w:p>
    <w:p>
      <w:pPr>
        <w:spacing w:after="0" w:line="244" w:lineRule="exact"/>
        <w:jc w:val="both"/>
        <w:sectPr>
          <w:headerReference w:type="default" r:id="rId137"/>
          <w:headerReference w:type="even" r:id="rId138"/>
          <w:pgSz w:w="8640" w:h="12960"/>
          <w:pgMar w:header="734" w:footer="0" w:top="920" w:bottom="280" w:left="340" w:right="500"/>
          <w:pgNumType w:start="377"/>
        </w:sectPr>
      </w:pPr>
    </w:p>
    <w:p>
      <w:pPr>
        <w:pStyle w:val="BodyText"/>
        <w:spacing w:before="4"/>
        <w:rPr>
          <w:sz w:val="19"/>
        </w:rPr>
      </w:pPr>
    </w:p>
    <w:p>
      <w:pPr>
        <w:pStyle w:val="ListParagraph"/>
        <w:numPr>
          <w:ilvl w:val="0"/>
          <w:numId w:val="55"/>
        </w:numPr>
        <w:tabs>
          <w:tab w:pos="1520" w:val="left" w:leader="none"/>
        </w:tabs>
        <w:spacing w:line="328" w:lineRule="auto" w:before="97" w:after="0"/>
        <w:ind w:left="1519" w:right="756" w:hanging="170"/>
        <w:jc w:val="both"/>
        <w:rPr>
          <w:sz w:val="19"/>
        </w:rPr>
      </w:pPr>
      <w:r>
        <w:rPr>
          <w:color w:val="231F20"/>
          <w:w w:val="110"/>
          <w:sz w:val="19"/>
        </w:rPr>
        <w:t>Attachment—</w:t>
      </w:r>
      <w:r>
        <w:rPr>
          <w:color w:val="231F20"/>
          <w:spacing w:val="-15"/>
          <w:w w:val="110"/>
          <w:sz w:val="19"/>
        </w:rPr>
        <w:t> </w:t>
      </w:r>
      <w:r>
        <w:rPr>
          <w:color w:val="231F20"/>
          <w:w w:val="110"/>
          <w:sz w:val="19"/>
        </w:rPr>
        <w:t>In</w:t>
      </w:r>
      <w:r>
        <w:rPr>
          <w:color w:val="231F20"/>
          <w:spacing w:val="-4"/>
          <w:w w:val="110"/>
          <w:sz w:val="19"/>
        </w:rPr>
        <w:t> </w:t>
      </w:r>
      <w:r>
        <w:rPr>
          <w:color w:val="231F20"/>
          <w:w w:val="110"/>
          <w:sz w:val="19"/>
        </w:rPr>
        <w:t>this process, the creditor obtains a signed </w:t>
      </w:r>
      <w:r>
        <w:rPr>
          <w:color w:val="231F20"/>
          <w:w w:val="115"/>
          <w:sz w:val="19"/>
        </w:rPr>
        <w:t>written agreement describing the debt and the property. The</w:t>
      </w:r>
      <w:r>
        <w:rPr>
          <w:color w:val="231F20"/>
          <w:spacing w:val="-16"/>
          <w:w w:val="115"/>
          <w:sz w:val="19"/>
        </w:rPr>
        <w:t> </w:t>
      </w:r>
      <w:r>
        <w:rPr>
          <w:color w:val="231F20"/>
          <w:w w:val="115"/>
          <w:sz w:val="19"/>
        </w:rPr>
        <w:t>debtor</w:t>
      </w:r>
      <w:r>
        <w:rPr>
          <w:color w:val="231F20"/>
          <w:spacing w:val="-15"/>
          <w:w w:val="115"/>
          <w:sz w:val="19"/>
        </w:rPr>
        <w:t> </w:t>
      </w:r>
      <w:r>
        <w:rPr>
          <w:color w:val="231F20"/>
          <w:w w:val="115"/>
          <w:sz w:val="19"/>
        </w:rPr>
        <w:t>must</w:t>
      </w:r>
      <w:r>
        <w:rPr>
          <w:color w:val="231F20"/>
          <w:spacing w:val="-15"/>
          <w:w w:val="115"/>
          <w:sz w:val="19"/>
        </w:rPr>
        <w:t> </w:t>
      </w:r>
      <w:r>
        <w:rPr>
          <w:color w:val="231F20"/>
          <w:w w:val="115"/>
          <w:sz w:val="19"/>
        </w:rPr>
        <w:t>have</w:t>
      </w:r>
      <w:r>
        <w:rPr>
          <w:color w:val="231F20"/>
          <w:spacing w:val="-15"/>
          <w:w w:val="115"/>
          <w:sz w:val="19"/>
        </w:rPr>
        <w:t> </w:t>
      </w:r>
      <w:r>
        <w:rPr>
          <w:color w:val="231F20"/>
          <w:w w:val="115"/>
          <w:sz w:val="19"/>
        </w:rPr>
        <w:t>received</w:t>
      </w:r>
      <w:r>
        <w:rPr>
          <w:color w:val="231F20"/>
          <w:spacing w:val="-15"/>
          <w:w w:val="115"/>
          <w:sz w:val="19"/>
        </w:rPr>
        <w:t> </w:t>
      </w:r>
      <w:r>
        <w:rPr>
          <w:color w:val="231F20"/>
          <w:w w:val="115"/>
          <w:sz w:val="19"/>
        </w:rPr>
        <w:t>value</w:t>
      </w:r>
      <w:r>
        <w:rPr>
          <w:color w:val="231F20"/>
          <w:spacing w:val="-16"/>
          <w:w w:val="115"/>
          <w:sz w:val="19"/>
        </w:rPr>
        <w:t> </w:t>
      </w:r>
      <w:r>
        <w:rPr>
          <w:color w:val="231F20"/>
          <w:w w:val="115"/>
          <w:sz w:val="19"/>
        </w:rPr>
        <w:t>for</w:t>
      </w:r>
      <w:r>
        <w:rPr>
          <w:color w:val="231F20"/>
          <w:spacing w:val="-15"/>
          <w:w w:val="115"/>
          <w:sz w:val="19"/>
        </w:rPr>
        <w:t> </w:t>
      </w:r>
      <w:r>
        <w:rPr>
          <w:color w:val="231F20"/>
          <w:w w:val="115"/>
          <w:sz w:val="19"/>
        </w:rPr>
        <w:t>the</w:t>
      </w:r>
      <w:r>
        <w:rPr>
          <w:color w:val="231F20"/>
          <w:spacing w:val="-15"/>
          <w:w w:val="115"/>
          <w:sz w:val="19"/>
        </w:rPr>
        <w:t> </w:t>
      </w:r>
      <w:r>
        <w:rPr>
          <w:color w:val="231F20"/>
          <w:w w:val="115"/>
          <w:sz w:val="19"/>
        </w:rPr>
        <w:t>security</w:t>
      </w:r>
      <w:r>
        <w:rPr>
          <w:color w:val="231F20"/>
          <w:spacing w:val="-15"/>
          <w:w w:val="115"/>
          <w:sz w:val="19"/>
        </w:rPr>
        <w:t> </w:t>
      </w:r>
      <w:r>
        <w:rPr>
          <w:color w:val="231F20"/>
          <w:w w:val="115"/>
          <w:sz w:val="19"/>
        </w:rPr>
        <w:t>inter- est and the debtor has legal rights to the property.</w:t>
      </w:r>
    </w:p>
    <w:p>
      <w:pPr>
        <w:pStyle w:val="ListParagraph"/>
        <w:numPr>
          <w:ilvl w:val="0"/>
          <w:numId w:val="55"/>
        </w:numPr>
        <w:tabs>
          <w:tab w:pos="1520" w:val="left" w:leader="none"/>
        </w:tabs>
        <w:spacing w:line="328" w:lineRule="auto" w:before="3" w:after="0"/>
        <w:ind w:left="1519" w:right="754" w:hanging="219"/>
        <w:jc w:val="both"/>
        <w:rPr>
          <w:sz w:val="19"/>
        </w:rPr>
      </w:pPr>
      <w:r>
        <w:rPr>
          <w:color w:val="231F20"/>
          <w:w w:val="115"/>
          <w:sz w:val="19"/>
        </w:rPr>
        <w:t>Filing a Financial Statement—A security interest can be secured</w:t>
      </w:r>
      <w:r>
        <w:rPr>
          <w:color w:val="231F20"/>
          <w:w w:val="115"/>
          <w:sz w:val="19"/>
        </w:rPr>
        <w:t> by</w:t>
      </w:r>
      <w:r>
        <w:rPr>
          <w:color w:val="231F20"/>
          <w:w w:val="115"/>
          <w:sz w:val="19"/>
        </w:rPr>
        <w:t> filing</w:t>
      </w:r>
      <w:r>
        <w:rPr>
          <w:color w:val="231F20"/>
          <w:w w:val="115"/>
          <w:sz w:val="19"/>
        </w:rPr>
        <w:t> a</w:t>
      </w:r>
      <w:r>
        <w:rPr>
          <w:color w:val="231F20"/>
          <w:w w:val="115"/>
          <w:sz w:val="19"/>
        </w:rPr>
        <w:t> financial</w:t>
      </w:r>
      <w:r>
        <w:rPr>
          <w:color w:val="231F20"/>
          <w:w w:val="115"/>
          <w:sz w:val="19"/>
        </w:rPr>
        <w:t> statement</w:t>
      </w:r>
      <w:r>
        <w:rPr>
          <w:color w:val="231F20"/>
          <w:w w:val="115"/>
          <w:sz w:val="19"/>
        </w:rPr>
        <w:t> signed</w:t>
      </w:r>
      <w:r>
        <w:rPr>
          <w:color w:val="231F20"/>
          <w:w w:val="115"/>
          <w:sz w:val="19"/>
        </w:rPr>
        <w:t> by</w:t>
      </w:r>
      <w:r>
        <w:rPr>
          <w:color w:val="231F20"/>
          <w:w w:val="115"/>
          <w:sz w:val="19"/>
        </w:rPr>
        <w:t> the debtor</w:t>
      </w:r>
      <w:r>
        <w:rPr>
          <w:color w:val="231F20"/>
          <w:spacing w:val="40"/>
          <w:w w:val="115"/>
          <w:sz w:val="19"/>
        </w:rPr>
        <w:t> </w:t>
      </w:r>
      <w:r>
        <w:rPr>
          <w:color w:val="231F20"/>
          <w:w w:val="115"/>
          <w:sz w:val="19"/>
        </w:rPr>
        <w:t>and</w:t>
      </w:r>
      <w:r>
        <w:rPr>
          <w:color w:val="231F20"/>
          <w:spacing w:val="40"/>
          <w:w w:val="115"/>
          <w:sz w:val="19"/>
        </w:rPr>
        <w:t> </w:t>
      </w:r>
      <w:r>
        <w:rPr>
          <w:color w:val="231F20"/>
          <w:w w:val="115"/>
          <w:sz w:val="19"/>
        </w:rPr>
        <w:t>creditor.</w:t>
      </w:r>
      <w:r>
        <w:rPr>
          <w:color w:val="231F20"/>
          <w:spacing w:val="40"/>
          <w:w w:val="115"/>
          <w:sz w:val="19"/>
        </w:rPr>
        <w:t> </w:t>
      </w:r>
      <w:r>
        <w:rPr>
          <w:color w:val="231F20"/>
          <w:w w:val="115"/>
          <w:sz w:val="19"/>
        </w:rPr>
        <w:t>The</w:t>
      </w:r>
      <w:r>
        <w:rPr>
          <w:color w:val="231F20"/>
          <w:spacing w:val="40"/>
          <w:w w:val="115"/>
          <w:sz w:val="19"/>
        </w:rPr>
        <w:t> </w:t>
      </w:r>
      <w:r>
        <w:rPr>
          <w:color w:val="231F20"/>
          <w:w w:val="115"/>
          <w:sz w:val="19"/>
        </w:rPr>
        <w:t>statement</w:t>
      </w:r>
      <w:r>
        <w:rPr>
          <w:color w:val="231F20"/>
          <w:spacing w:val="40"/>
          <w:w w:val="115"/>
          <w:sz w:val="19"/>
        </w:rPr>
        <w:t> </w:t>
      </w:r>
      <w:r>
        <w:rPr>
          <w:color w:val="231F20"/>
          <w:w w:val="115"/>
          <w:sz w:val="19"/>
        </w:rPr>
        <w:t>must</w:t>
      </w:r>
      <w:r>
        <w:rPr>
          <w:color w:val="231F20"/>
          <w:spacing w:val="40"/>
          <w:w w:val="115"/>
          <w:sz w:val="19"/>
        </w:rPr>
        <w:t> </w:t>
      </w:r>
      <w:r>
        <w:rPr>
          <w:color w:val="231F20"/>
          <w:w w:val="115"/>
          <w:sz w:val="19"/>
        </w:rPr>
        <w:t>be</w:t>
      </w:r>
      <w:r>
        <w:rPr>
          <w:color w:val="231F20"/>
          <w:spacing w:val="40"/>
          <w:w w:val="115"/>
          <w:sz w:val="19"/>
        </w:rPr>
        <w:t> </w:t>
      </w:r>
      <w:r>
        <w:rPr>
          <w:color w:val="231F20"/>
          <w:w w:val="115"/>
          <w:sz w:val="19"/>
        </w:rPr>
        <w:t>filed</w:t>
      </w:r>
      <w:r>
        <w:rPr>
          <w:color w:val="231F20"/>
          <w:spacing w:val="40"/>
          <w:w w:val="115"/>
          <w:sz w:val="19"/>
        </w:rPr>
        <w:t> </w:t>
      </w:r>
      <w:r>
        <w:rPr>
          <w:color w:val="231F20"/>
          <w:w w:val="115"/>
          <w:sz w:val="19"/>
        </w:rPr>
        <w:t>with </w:t>
      </w:r>
      <w:r>
        <w:rPr>
          <w:color w:val="231F20"/>
          <w:spacing w:val="-2"/>
          <w:w w:val="115"/>
          <w:sz w:val="19"/>
        </w:rPr>
        <w:t>the</w:t>
      </w:r>
      <w:r>
        <w:rPr>
          <w:color w:val="231F20"/>
          <w:spacing w:val="-5"/>
          <w:w w:val="115"/>
          <w:sz w:val="19"/>
        </w:rPr>
        <w:t> </w:t>
      </w:r>
      <w:r>
        <w:rPr>
          <w:color w:val="231F20"/>
          <w:spacing w:val="-2"/>
          <w:w w:val="115"/>
          <w:sz w:val="19"/>
        </w:rPr>
        <w:t>appropriate</w:t>
      </w:r>
      <w:r>
        <w:rPr>
          <w:color w:val="231F20"/>
          <w:spacing w:val="-5"/>
          <w:w w:val="115"/>
          <w:sz w:val="19"/>
        </w:rPr>
        <w:t> </w:t>
      </w:r>
      <w:r>
        <w:rPr>
          <w:color w:val="231F20"/>
          <w:spacing w:val="-2"/>
          <w:w w:val="115"/>
          <w:sz w:val="19"/>
        </w:rPr>
        <w:t>state,</w:t>
      </w:r>
      <w:r>
        <w:rPr>
          <w:color w:val="231F20"/>
          <w:spacing w:val="-5"/>
          <w:w w:val="115"/>
          <w:sz w:val="19"/>
        </w:rPr>
        <w:t> </w:t>
      </w:r>
      <w:r>
        <w:rPr>
          <w:color w:val="231F20"/>
          <w:spacing w:val="-2"/>
          <w:w w:val="115"/>
          <w:sz w:val="19"/>
        </w:rPr>
        <w:t>county,</w:t>
      </w:r>
      <w:r>
        <w:rPr>
          <w:color w:val="231F20"/>
          <w:spacing w:val="-5"/>
          <w:w w:val="115"/>
          <w:sz w:val="19"/>
        </w:rPr>
        <w:t> </w:t>
      </w:r>
      <w:r>
        <w:rPr>
          <w:color w:val="231F20"/>
          <w:spacing w:val="-2"/>
          <w:w w:val="115"/>
          <w:sz w:val="19"/>
        </w:rPr>
        <w:t>or</w:t>
      </w:r>
      <w:r>
        <w:rPr>
          <w:color w:val="231F20"/>
          <w:spacing w:val="-5"/>
          <w:w w:val="115"/>
          <w:sz w:val="19"/>
        </w:rPr>
        <w:t> </w:t>
      </w:r>
      <w:r>
        <w:rPr>
          <w:color w:val="231F20"/>
          <w:spacing w:val="-2"/>
          <w:w w:val="115"/>
          <w:sz w:val="19"/>
        </w:rPr>
        <w:t>local</w:t>
      </w:r>
      <w:r>
        <w:rPr>
          <w:color w:val="231F20"/>
          <w:spacing w:val="-5"/>
          <w:w w:val="115"/>
          <w:sz w:val="19"/>
        </w:rPr>
        <w:t> </w:t>
      </w:r>
      <w:r>
        <w:rPr>
          <w:color w:val="231F20"/>
          <w:spacing w:val="-2"/>
          <w:w w:val="115"/>
          <w:sz w:val="19"/>
        </w:rPr>
        <w:t>authority</w:t>
      </w:r>
      <w:r>
        <w:rPr>
          <w:color w:val="231F20"/>
          <w:spacing w:val="-5"/>
          <w:w w:val="115"/>
          <w:sz w:val="19"/>
        </w:rPr>
        <w:t> </w:t>
      </w:r>
      <w:r>
        <w:rPr>
          <w:color w:val="231F20"/>
          <w:spacing w:val="-2"/>
          <w:w w:val="115"/>
          <w:sz w:val="19"/>
        </w:rPr>
        <w:t>considered </w:t>
      </w:r>
      <w:r>
        <w:rPr>
          <w:color w:val="231F20"/>
          <w:w w:val="115"/>
          <w:sz w:val="19"/>
        </w:rPr>
        <w:t>valid in the state where the property exists or where the debtor lives. Banks usually make a UCC filing to protect their interests in the collateral for loans outstanding. The filing</w:t>
      </w:r>
      <w:r>
        <w:rPr>
          <w:color w:val="231F20"/>
          <w:spacing w:val="38"/>
          <w:w w:val="115"/>
          <w:sz w:val="19"/>
        </w:rPr>
        <w:t> </w:t>
      </w:r>
      <w:r>
        <w:rPr>
          <w:color w:val="231F20"/>
          <w:w w:val="115"/>
          <w:sz w:val="19"/>
        </w:rPr>
        <w:t>is</w:t>
      </w:r>
      <w:r>
        <w:rPr>
          <w:color w:val="231F20"/>
          <w:spacing w:val="38"/>
          <w:w w:val="115"/>
          <w:sz w:val="19"/>
        </w:rPr>
        <w:t> </w:t>
      </w:r>
      <w:r>
        <w:rPr>
          <w:color w:val="231F20"/>
          <w:w w:val="115"/>
          <w:sz w:val="19"/>
        </w:rPr>
        <w:t>a</w:t>
      </w:r>
      <w:r>
        <w:rPr>
          <w:color w:val="231F20"/>
          <w:spacing w:val="38"/>
          <w:w w:val="115"/>
          <w:sz w:val="19"/>
        </w:rPr>
        <w:t> </w:t>
      </w:r>
      <w:r>
        <w:rPr>
          <w:color w:val="231F20"/>
          <w:w w:val="115"/>
          <w:sz w:val="19"/>
        </w:rPr>
        <w:t>public</w:t>
      </w:r>
      <w:r>
        <w:rPr>
          <w:color w:val="231F20"/>
          <w:spacing w:val="38"/>
          <w:w w:val="115"/>
          <w:sz w:val="19"/>
        </w:rPr>
        <w:t> </w:t>
      </w:r>
      <w:r>
        <w:rPr>
          <w:color w:val="231F20"/>
          <w:w w:val="115"/>
          <w:sz w:val="19"/>
        </w:rPr>
        <w:t>record</w:t>
      </w:r>
      <w:r>
        <w:rPr>
          <w:color w:val="231F20"/>
          <w:spacing w:val="38"/>
          <w:w w:val="115"/>
          <w:sz w:val="19"/>
        </w:rPr>
        <w:t> </w:t>
      </w:r>
      <w:r>
        <w:rPr>
          <w:color w:val="231F20"/>
          <w:w w:val="115"/>
          <w:sz w:val="19"/>
        </w:rPr>
        <w:t>that</w:t>
      </w:r>
      <w:r>
        <w:rPr>
          <w:color w:val="231F20"/>
          <w:spacing w:val="38"/>
          <w:w w:val="115"/>
          <w:sz w:val="19"/>
        </w:rPr>
        <w:t> </w:t>
      </w:r>
      <w:r>
        <w:rPr>
          <w:color w:val="231F20"/>
          <w:w w:val="115"/>
          <w:sz w:val="19"/>
        </w:rPr>
        <w:t>puts</w:t>
      </w:r>
      <w:r>
        <w:rPr>
          <w:color w:val="231F20"/>
          <w:spacing w:val="38"/>
          <w:w w:val="115"/>
          <w:sz w:val="19"/>
        </w:rPr>
        <w:t> </w:t>
      </w:r>
      <w:r>
        <w:rPr>
          <w:color w:val="231F20"/>
          <w:w w:val="115"/>
          <w:sz w:val="19"/>
        </w:rPr>
        <w:t>others</w:t>
      </w:r>
      <w:r>
        <w:rPr>
          <w:color w:val="231F20"/>
          <w:spacing w:val="38"/>
          <w:w w:val="115"/>
          <w:sz w:val="19"/>
        </w:rPr>
        <w:t> </w:t>
      </w:r>
      <w:r>
        <w:rPr>
          <w:color w:val="231F20"/>
          <w:w w:val="115"/>
          <w:sz w:val="19"/>
        </w:rPr>
        <w:t>on</w:t>
      </w:r>
      <w:r>
        <w:rPr>
          <w:color w:val="231F20"/>
          <w:spacing w:val="38"/>
          <w:w w:val="115"/>
          <w:sz w:val="19"/>
        </w:rPr>
        <w:t> </w:t>
      </w:r>
      <w:r>
        <w:rPr>
          <w:color w:val="231F20"/>
          <w:w w:val="115"/>
          <w:sz w:val="19"/>
        </w:rPr>
        <w:t>notice</w:t>
      </w:r>
      <w:r>
        <w:rPr>
          <w:color w:val="231F20"/>
          <w:spacing w:val="38"/>
          <w:w w:val="115"/>
          <w:sz w:val="19"/>
        </w:rPr>
        <w:t> </w:t>
      </w:r>
      <w:r>
        <w:rPr>
          <w:color w:val="231F20"/>
          <w:w w:val="115"/>
          <w:sz w:val="19"/>
        </w:rPr>
        <w:t>that the property is attached.</w:t>
      </w:r>
    </w:p>
    <w:p>
      <w:pPr>
        <w:pStyle w:val="BodyText"/>
        <w:spacing w:before="7"/>
        <w:rPr>
          <w:rFonts w:ascii="Arial"/>
          <w:sz w:val="25"/>
        </w:rPr>
      </w:pPr>
    </w:p>
    <w:p>
      <w:pPr>
        <w:pStyle w:val="BodyText"/>
        <w:spacing w:line="292" w:lineRule="auto"/>
        <w:ind w:left="830" w:right="754" w:firstLine="340"/>
        <w:jc w:val="both"/>
      </w:pPr>
      <w:r>
        <w:rPr>
          <w:color w:val="231F20"/>
        </w:rPr>
        <w:t>A special type of security interest is a </w:t>
      </w:r>
      <w:r>
        <w:rPr>
          <w:i/>
          <w:color w:val="231F20"/>
        </w:rPr>
        <w:t>purchase money </w:t>
      </w:r>
      <w:r>
        <w:rPr>
          <w:i/>
          <w:color w:val="231F20"/>
        </w:rPr>
        <w:t>security</w:t>
      </w:r>
      <w:r>
        <w:rPr>
          <w:i/>
          <w:color w:val="231F20"/>
        </w:rPr>
        <w:t> interest</w:t>
      </w:r>
      <w:r>
        <w:rPr>
          <w:i/>
          <w:color w:val="231F20"/>
          <w:spacing w:val="40"/>
        </w:rPr>
        <w:t> </w:t>
      </w:r>
      <w:r>
        <w:rPr>
          <w:i/>
          <w:color w:val="231F20"/>
        </w:rPr>
        <w:t>(PMSI).</w:t>
      </w:r>
      <w:r>
        <w:rPr>
          <w:i/>
          <w:color w:val="231F20"/>
          <w:spacing w:val="40"/>
        </w:rPr>
        <w:t> </w:t>
      </w:r>
      <w:r>
        <w:rPr>
          <w:color w:val="231F20"/>
        </w:rPr>
        <w:t>In</w:t>
      </w:r>
      <w:r>
        <w:rPr>
          <w:color w:val="231F20"/>
          <w:spacing w:val="40"/>
        </w:rPr>
        <w:t> </w:t>
      </w:r>
      <w:r>
        <w:rPr>
          <w:color w:val="231F20"/>
        </w:rPr>
        <w:t>these</w:t>
      </w:r>
      <w:r>
        <w:rPr>
          <w:color w:val="231F20"/>
          <w:spacing w:val="40"/>
        </w:rPr>
        <w:t> </w:t>
      </w:r>
      <w:r>
        <w:rPr>
          <w:color w:val="231F20"/>
        </w:rPr>
        <w:t>transactions,</w:t>
      </w:r>
      <w:r>
        <w:rPr>
          <w:color w:val="231F20"/>
          <w:spacing w:val="40"/>
        </w:rPr>
        <w:t> </w:t>
      </w:r>
      <w:r>
        <w:rPr>
          <w:color w:val="231F20"/>
        </w:rPr>
        <w:t>the</w:t>
      </w:r>
      <w:r>
        <w:rPr>
          <w:color w:val="231F20"/>
          <w:spacing w:val="40"/>
        </w:rPr>
        <w:t> </w:t>
      </w:r>
      <w:r>
        <w:rPr>
          <w:color w:val="231F20"/>
        </w:rPr>
        <w:t>consumer</w:t>
      </w:r>
      <w:r>
        <w:rPr>
          <w:color w:val="231F20"/>
          <w:spacing w:val="40"/>
        </w:rPr>
        <w:t> </w:t>
      </w:r>
      <w:r>
        <w:rPr>
          <w:color w:val="231F20"/>
        </w:rPr>
        <w:t>goods</w:t>
      </w:r>
      <w:r>
        <w:rPr>
          <w:color w:val="231F20"/>
          <w:spacing w:val="40"/>
        </w:rPr>
        <w:t> </w:t>
      </w:r>
      <w:r>
        <w:rPr>
          <w:color w:val="231F20"/>
        </w:rPr>
        <w:t>sold (such as cars, furniture, or other household goods) are the collateral for the loans the seller makes to finance the purchase. In these cases, no filing is necessary.</w:t>
      </w:r>
    </w:p>
    <w:p>
      <w:pPr>
        <w:pStyle w:val="BodyText"/>
        <w:spacing w:line="292" w:lineRule="auto"/>
        <w:ind w:left="830" w:right="756" w:firstLine="340"/>
        <w:jc w:val="both"/>
      </w:pPr>
      <w:r>
        <w:rPr>
          <w:i/>
          <w:color w:val="231F20"/>
        </w:rPr>
        <w:t>Default </w:t>
      </w:r>
      <w:r>
        <w:rPr>
          <w:color w:val="231F20"/>
        </w:rPr>
        <w:t>occurs when a creditor does not pay or perform a con- tractual obligation. When property is seized by the courts to </w:t>
      </w:r>
      <w:r>
        <w:rPr>
          <w:color w:val="231F20"/>
        </w:rPr>
        <w:t>satisfy debts, a </w:t>
      </w:r>
      <w:r>
        <w:rPr>
          <w:i/>
          <w:color w:val="231F20"/>
        </w:rPr>
        <w:t>priority of claims </w:t>
      </w:r>
      <w:r>
        <w:rPr>
          <w:color w:val="231F20"/>
        </w:rPr>
        <w:t>governs who has rights to the property.</w:t>
      </w:r>
      <w:r>
        <w:rPr>
          <w:color w:val="231F20"/>
          <w:spacing w:val="80"/>
        </w:rPr>
        <w:t> </w:t>
      </w:r>
      <w:r>
        <w:rPr>
          <w:color w:val="231F20"/>
        </w:rPr>
        <w:t>The party that is first to </w:t>
      </w:r>
      <w:r>
        <w:rPr>
          <w:i/>
          <w:color w:val="231F20"/>
        </w:rPr>
        <w:t>perfect </w:t>
      </w:r>
      <w:r>
        <w:rPr>
          <w:color w:val="231F20"/>
        </w:rPr>
        <w:t>its interest in a property has priority over other creditors.</w:t>
      </w:r>
    </w:p>
    <w:p>
      <w:pPr>
        <w:pStyle w:val="BodyText"/>
        <w:rPr>
          <w:sz w:val="24"/>
        </w:rPr>
      </w:pPr>
    </w:p>
    <w:p>
      <w:pPr>
        <w:pStyle w:val="BodyText"/>
        <w:spacing w:before="10"/>
        <w:rPr>
          <w:sz w:val="26"/>
        </w:rPr>
      </w:pPr>
    </w:p>
    <w:p>
      <w:pPr>
        <w:pStyle w:val="Heading6"/>
        <w:spacing w:line="292" w:lineRule="auto"/>
        <w:ind w:left="2632" w:right="1742" w:hanging="553"/>
        <w:jc w:val="left"/>
      </w:pPr>
      <w:r>
        <w:rPr>
          <w:i/>
          <w:color w:val="231F20"/>
          <w:w w:val="110"/>
        </w:rPr>
        <w:t>SEVERAL</w:t>
      </w:r>
      <w:r>
        <w:rPr>
          <w:i/>
          <w:color w:val="231F20"/>
          <w:w w:val="110"/>
        </w:rPr>
        <w:t> ACTS</w:t>
      </w:r>
      <w:r>
        <w:rPr>
          <w:i/>
          <w:color w:val="231F20"/>
          <w:w w:val="110"/>
        </w:rPr>
        <w:t> </w:t>
      </w:r>
      <w:r>
        <w:rPr>
          <w:i/>
          <w:color w:val="231F20"/>
          <w:spacing w:val="10"/>
          <w:w w:val="110"/>
        </w:rPr>
        <w:t>BUSINESSPEOPLE</w:t>
      </w:r>
      <w:r>
        <w:rPr>
          <w:color w:val="231F20"/>
          <w:spacing w:val="10"/>
          <w:w w:val="110"/>
        </w:rPr>
        <w:t> </w:t>
      </w:r>
      <w:r>
        <w:rPr>
          <w:color w:val="231F20"/>
          <w:w w:val="110"/>
        </w:rPr>
        <w:t>NEED</w:t>
      </w:r>
      <w:r>
        <w:rPr>
          <w:color w:val="231F20"/>
          <w:w w:val="110"/>
        </w:rPr>
        <w:t> TO</w:t>
      </w:r>
      <w:r>
        <w:rPr>
          <w:color w:val="231F20"/>
          <w:w w:val="110"/>
        </w:rPr>
        <w:t> KNOW</w:t>
      </w:r>
      <w:r>
        <w:rPr>
          <w:color w:val="231F20"/>
          <w:w w:val="110"/>
        </w:rPr>
        <w:t> </w:t>
      </w:r>
      <w:r>
        <w:rPr>
          <w:color w:val="231F20"/>
          <w:spacing w:val="10"/>
          <w:w w:val="110"/>
        </w:rPr>
        <w:t>ABOUT</w:t>
      </w:r>
    </w:p>
    <w:p>
      <w:pPr>
        <w:pStyle w:val="BodyText"/>
        <w:spacing w:before="4"/>
        <w:rPr>
          <w:b/>
          <w:i/>
          <w:sz w:val="27"/>
        </w:rPr>
      </w:pPr>
    </w:p>
    <w:p>
      <w:pPr>
        <w:spacing w:line="328" w:lineRule="auto" w:before="0"/>
        <w:ind w:left="1510" w:right="728" w:hanging="340"/>
        <w:jc w:val="left"/>
        <w:rPr>
          <w:rFonts w:ascii="Arial" w:hAnsi="Arial"/>
          <w:sz w:val="19"/>
        </w:rPr>
      </w:pPr>
      <w:r>
        <w:rPr>
          <w:rFonts w:ascii="Arial" w:hAnsi="Arial"/>
          <w:i/>
          <w:color w:val="231F20"/>
          <w:w w:val="110"/>
          <w:sz w:val="19"/>
        </w:rPr>
        <w:t>Federal Trade Commission Act</w:t>
      </w:r>
      <w:r>
        <w:rPr>
          <w:rFonts w:ascii="Arial" w:hAnsi="Arial"/>
          <w:color w:val="231F20"/>
          <w:w w:val="110"/>
          <w:sz w:val="19"/>
        </w:rPr>
        <w:t>—The Federal Trade Commission (FTC) works to prohibit unfair and </w:t>
      </w:r>
      <w:r>
        <w:rPr>
          <w:rFonts w:ascii="Arial" w:hAnsi="Arial"/>
          <w:color w:val="231F20"/>
          <w:w w:val="110"/>
          <w:sz w:val="19"/>
        </w:rPr>
        <w:t>deceptive business practices. The FTC is especially active in regulating advertising claims and product labeling.</w:t>
      </w:r>
    </w:p>
    <w:p>
      <w:pPr>
        <w:spacing w:line="328" w:lineRule="auto" w:before="3"/>
        <w:ind w:left="1510" w:right="667" w:hanging="340"/>
        <w:jc w:val="left"/>
        <w:rPr>
          <w:rFonts w:ascii="Arial" w:hAnsi="Arial"/>
          <w:sz w:val="19"/>
        </w:rPr>
      </w:pPr>
      <w:r>
        <w:rPr>
          <w:rFonts w:ascii="Arial" w:hAnsi="Arial"/>
          <w:i/>
          <w:color w:val="231F20"/>
          <w:w w:val="115"/>
          <w:sz w:val="19"/>
        </w:rPr>
        <w:t>Sherman</w:t>
      </w:r>
      <w:r>
        <w:rPr>
          <w:rFonts w:ascii="Arial" w:hAnsi="Arial"/>
          <w:i/>
          <w:color w:val="231F20"/>
          <w:spacing w:val="-16"/>
          <w:w w:val="115"/>
          <w:sz w:val="19"/>
        </w:rPr>
        <w:t> </w:t>
      </w:r>
      <w:r>
        <w:rPr>
          <w:rFonts w:ascii="Arial" w:hAnsi="Arial"/>
          <w:i/>
          <w:color w:val="231F20"/>
          <w:w w:val="115"/>
          <w:sz w:val="19"/>
        </w:rPr>
        <w:t>Antitrust</w:t>
      </w:r>
      <w:r>
        <w:rPr>
          <w:rFonts w:ascii="Arial" w:hAnsi="Arial"/>
          <w:i/>
          <w:color w:val="231F20"/>
          <w:spacing w:val="-15"/>
          <w:w w:val="115"/>
          <w:sz w:val="19"/>
        </w:rPr>
        <w:t> </w:t>
      </w:r>
      <w:r>
        <w:rPr>
          <w:rFonts w:ascii="Arial" w:hAnsi="Arial"/>
          <w:i/>
          <w:color w:val="231F20"/>
          <w:w w:val="115"/>
          <w:sz w:val="19"/>
        </w:rPr>
        <w:t>Act</w:t>
      </w:r>
      <w:r>
        <w:rPr>
          <w:rFonts w:ascii="Arial" w:hAnsi="Arial"/>
          <w:color w:val="231F20"/>
          <w:w w:val="115"/>
          <w:sz w:val="19"/>
        </w:rPr>
        <w:t>—This</w:t>
      </w:r>
      <w:r>
        <w:rPr>
          <w:rFonts w:ascii="Arial" w:hAnsi="Arial"/>
          <w:color w:val="231F20"/>
          <w:spacing w:val="-15"/>
          <w:w w:val="115"/>
          <w:sz w:val="19"/>
        </w:rPr>
        <w:t> </w:t>
      </w:r>
      <w:r>
        <w:rPr>
          <w:rFonts w:ascii="Arial" w:hAnsi="Arial"/>
          <w:color w:val="231F20"/>
          <w:w w:val="115"/>
          <w:sz w:val="19"/>
        </w:rPr>
        <w:t>act</w:t>
      </w:r>
      <w:r>
        <w:rPr>
          <w:rFonts w:ascii="Arial" w:hAnsi="Arial"/>
          <w:color w:val="231F20"/>
          <w:spacing w:val="-15"/>
          <w:w w:val="115"/>
          <w:sz w:val="19"/>
        </w:rPr>
        <w:t> </w:t>
      </w:r>
      <w:r>
        <w:rPr>
          <w:rFonts w:ascii="Arial" w:hAnsi="Arial"/>
          <w:color w:val="231F20"/>
          <w:w w:val="115"/>
          <w:sz w:val="19"/>
        </w:rPr>
        <w:t>governs</w:t>
      </w:r>
      <w:r>
        <w:rPr>
          <w:rFonts w:ascii="Arial" w:hAnsi="Arial"/>
          <w:color w:val="231F20"/>
          <w:spacing w:val="-15"/>
          <w:w w:val="115"/>
          <w:sz w:val="19"/>
        </w:rPr>
        <w:t> </w:t>
      </w:r>
      <w:r>
        <w:rPr>
          <w:rFonts w:ascii="Arial" w:hAnsi="Arial"/>
          <w:color w:val="231F20"/>
          <w:w w:val="115"/>
          <w:sz w:val="19"/>
        </w:rPr>
        <w:t>those</w:t>
      </w:r>
      <w:r>
        <w:rPr>
          <w:rFonts w:ascii="Arial" w:hAnsi="Arial"/>
          <w:color w:val="231F20"/>
          <w:spacing w:val="-16"/>
          <w:w w:val="115"/>
          <w:sz w:val="19"/>
        </w:rPr>
        <w:t> </w:t>
      </w:r>
      <w:r>
        <w:rPr>
          <w:rFonts w:ascii="Arial" w:hAnsi="Arial"/>
          <w:color w:val="231F20"/>
          <w:w w:val="115"/>
          <w:sz w:val="19"/>
        </w:rPr>
        <w:t>practices</w:t>
      </w:r>
      <w:r>
        <w:rPr>
          <w:rFonts w:ascii="Arial" w:hAnsi="Arial"/>
          <w:color w:val="231F20"/>
          <w:spacing w:val="-15"/>
          <w:w w:val="115"/>
          <w:sz w:val="19"/>
        </w:rPr>
        <w:t> </w:t>
      </w:r>
      <w:r>
        <w:rPr>
          <w:rFonts w:ascii="Arial" w:hAnsi="Arial"/>
          <w:color w:val="231F20"/>
          <w:w w:val="115"/>
          <w:sz w:val="19"/>
        </w:rPr>
        <w:t>that “actually” restrain trade. Price fixing, setting production quotas in an industry to manipulate prices, dividing a</w:t>
      </w:r>
    </w:p>
    <w:p>
      <w:pPr>
        <w:spacing w:after="0" w:line="328" w:lineRule="auto"/>
        <w:jc w:val="left"/>
        <w:rPr>
          <w:rFonts w:ascii="Arial" w:hAnsi="Arial"/>
          <w:sz w:val="19"/>
        </w:rPr>
        <w:sectPr>
          <w:pgSz w:w="8640" w:h="12960"/>
          <w:pgMar w:header="732" w:footer="0" w:top="920" w:bottom="280" w:left="340" w:right="500"/>
        </w:sectPr>
      </w:pPr>
    </w:p>
    <w:p>
      <w:pPr>
        <w:pStyle w:val="BodyText"/>
        <w:spacing w:before="8"/>
        <w:rPr>
          <w:rFonts w:ascii="Arial"/>
          <w:sz w:val="19"/>
        </w:rPr>
      </w:pPr>
    </w:p>
    <w:p>
      <w:pPr>
        <w:spacing w:line="328" w:lineRule="auto" w:before="95"/>
        <w:ind w:left="1600" w:right="729" w:firstLine="0"/>
        <w:jc w:val="left"/>
        <w:rPr>
          <w:rFonts w:ascii="Arial"/>
          <w:sz w:val="19"/>
        </w:rPr>
      </w:pPr>
      <w:bookmarkStart w:name="Business Writing" w:id="37"/>
      <w:bookmarkEnd w:id="37"/>
      <w:r>
        <w:rPr/>
      </w:r>
      <w:bookmarkStart w:name="_bookmark17" w:id="38"/>
      <w:bookmarkEnd w:id="38"/>
      <w:r>
        <w:rPr/>
      </w:r>
      <w:r>
        <w:rPr>
          <w:rFonts w:ascii="Arial"/>
          <w:color w:val="231F20"/>
          <w:w w:val="115"/>
          <w:sz w:val="19"/>
        </w:rPr>
        <w:t>territory to limit trade, deliberately excluding businesses from</w:t>
      </w:r>
      <w:r>
        <w:rPr>
          <w:rFonts w:ascii="Arial"/>
          <w:color w:val="231F20"/>
          <w:spacing w:val="-16"/>
          <w:w w:val="115"/>
          <w:sz w:val="19"/>
        </w:rPr>
        <w:t> </w:t>
      </w:r>
      <w:r>
        <w:rPr>
          <w:rFonts w:ascii="Arial"/>
          <w:color w:val="231F20"/>
          <w:w w:val="115"/>
          <w:sz w:val="19"/>
        </w:rPr>
        <w:t>an</w:t>
      </w:r>
      <w:r>
        <w:rPr>
          <w:rFonts w:ascii="Arial"/>
          <w:color w:val="231F20"/>
          <w:spacing w:val="-15"/>
          <w:w w:val="115"/>
          <w:sz w:val="19"/>
        </w:rPr>
        <w:t> </w:t>
      </w:r>
      <w:r>
        <w:rPr>
          <w:rFonts w:ascii="Arial"/>
          <w:color w:val="231F20"/>
          <w:w w:val="115"/>
          <w:sz w:val="19"/>
        </w:rPr>
        <w:t>industry,</w:t>
      </w:r>
      <w:r>
        <w:rPr>
          <w:rFonts w:ascii="Arial"/>
          <w:color w:val="231F20"/>
          <w:spacing w:val="-15"/>
          <w:w w:val="115"/>
          <w:sz w:val="19"/>
        </w:rPr>
        <w:t> </w:t>
      </w:r>
      <w:r>
        <w:rPr>
          <w:rFonts w:ascii="Arial"/>
          <w:color w:val="231F20"/>
          <w:w w:val="115"/>
          <w:sz w:val="19"/>
        </w:rPr>
        <w:t>and</w:t>
      </w:r>
      <w:r>
        <w:rPr>
          <w:rFonts w:ascii="Arial"/>
          <w:color w:val="231F20"/>
          <w:spacing w:val="-15"/>
          <w:w w:val="115"/>
          <w:sz w:val="19"/>
        </w:rPr>
        <w:t> </w:t>
      </w:r>
      <w:r>
        <w:rPr>
          <w:rFonts w:ascii="Arial"/>
          <w:color w:val="231F20"/>
          <w:w w:val="115"/>
          <w:sz w:val="19"/>
        </w:rPr>
        <w:t>tying</w:t>
      </w:r>
      <w:r>
        <w:rPr>
          <w:rFonts w:ascii="Arial"/>
          <w:color w:val="231F20"/>
          <w:spacing w:val="-15"/>
          <w:w w:val="115"/>
          <w:sz w:val="19"/>
        </w:rPr>
        <w:t> </w:t>
      </w:r>
      <w:r>
        <w:rPr>
          <w:rFonts w:ascii="Arial"/>
          <w:color w:val="231F20"/>
          <w:w w:val="115"/>
          <w:sz w:val="19"/>
        </w:rPr>
        <w:t>arrangements</w:t>
      </w:r>
      <w:r>
        <w:rPr>
          <w:rFonts w:ascii="Arial"/>
          <w:color w:val="231F20"/>
          <w:spacing w:val="-16"/>
          <w:w w:val="115"/>
          <w:sz w:val="19"/>
        </w:rPr>
        <w:t> </w:t>
      </w:r>
      <w:r>
        <w:rPr>
          <w:rFonts w:ascii="Arial"/>
          <w:color w:val="231F20"/>
          <w:w w:val="115"/>
          <w:sz w:val="19"/>
        </w:rPr>
        <w:t>among</w:t>
      </w:r>
      <w:r>
        <w:rPr>
          <w:rFonts w:ascii="Arial"/>
          <w:color w:val="231F20"/>
          <w:spacing w:val="-15"/>
          <w:w w:val="115"/>
          <w:sz w:val="19"/>
        </w:rPr>
        <w:t> </w:t>
      </w:r>
      <w:r>
        <w:rPr>
          <w:rFonts w:ascii="Arial"/>
          <w:color w:val="231F20"/>
          <w:w w:val="115"/>
          <w:sz w:val="19"/>
        </w:rPr>
        <w:t>vendors are all prohibited. (A </w:t>
      </w:r>
      <w:r>
        <w:rPr>
          <w:rFonts w:ascii="Arial"/>
          <w:i/>
          <w:color w:val="231F20"/>
          <w:w w:val="115"/>
          <w:sz w:val="19"/>
        </w:rPr>
        <w:t>tying relationship </w:t>
      </w:r>
      <w:r>
        <w:rPr>
          <w:rFonts w:ascii="Arial"/>
          <w:color w:val="231F20"/>
          <w:w w:val="115"/>
          <w:sz w:val="19"/>
        </w:rPr>
        <w:t>is one in which a business is contractually obligated to buy products from a particular source to the exclusion of others.)</w:t>
      </w:r>
    </w:p>
    <w:p>
      <w:pPr>
        <w:spacing w:line="328" w:lineRule="auto" w:before="4"/>
        <w:ind w:left="1599" w:right="667" w:hanging="340"/>
        <w:jc w:val="left"/>
        <w:rPr>
          <w:rFonts w:ascii="Arial" w:hAnsi="Arial"/>
          <w:sz w:val="19"/>
        </w:rPr>
      </w:pPr>
      <w:r>
        <w:rPr>
          <w:rFonts w:ascii="Arial" w:hAnsi="Arial"/>
          <w:i/>
          <w:color w:val="231F20"/>
          <w:w w:val="115"/>
          <w:sz w:val="19"/>
        </w:rPr>
        <w:t>Clayton Act</w:t>
      </w:r>
      <w:r>
        <w:rPr>
          <w:rFonts w:ascii="Arial" w:hAnsi="Arial"/>
          <w:color w:val="231F20"/>
          <w:w w:val="115"/>
          <w:sz w:val="19"/>
        </w:rPr>
        <w:t>—This act prohibits monopolistic practices and mergers that “lead” to lessened competition. In this way some</w:t>
      </w:r>
      <w:r>
        <w:rPr>
          <w:rFonts w:ascii="Arial" w:hAnsi="Arial"/>
          <w:color w:val="231F20"/>
          <w:spacing w:val="-16"/>
          <w:w w:val="115"/>
          <w:sz w:val="19"/>
        </w:rPr>
        <w:t> </w:t>
      </w:r>
      <w:r>
        <w:rPr>
          <w:rFonts w:ascii="Arial" w:hAnsi="Arial"/>
          <w:color w:val="231F20"/>
          <w:w w:val="115"/>
          <w:sz w:val="19"/>
        </w:rPr>
        <w:t>mergers</w:t>
      </w:r>
      <w:r>
        <w:rPr>
          <w:rFonts w:ascii="Arial" w:hAnsi="Arial"/>
          <w:color w:val="231F20"/>
          <w:spacing w:val="-15"/>
          <w:w w:val="115"/>
          <w:sz w:val="19"/>
        </w:rPr>
        <w:t> </w:t>
      </w:r>
      <w:r>
        <w:rPr>
          <w:rFonts w:ascii="Arial" w:hAnsi="Arial"/>
          <w:color w:val="231F20"/>
          <w:w w:val="115"/>
          <w:sz w:val="19"/>
        </w:rPr>
        <w:t>are</w:t>
      </w:r>
      <w:r>
        <w:rPr>
          <w:rFonts w:ascii="Arial" w:hAnsi="Arial"/>
          <w:color w:val="231F20"/>
          <w:spacing w:val="-15"/>
          <w:w w:val="115"/>
          <w:sz w:val="19"/>
        </w:rPr>
        <w:t> </w:t>
      </w:r>
      <w:r>
        <w:rPr>
          <w:rFonts w:ascii="Arial" w:hAnsi="Arial"/>
          <w:color w:val="231F20"/>
          <w:w w:val="115"/>
          <w:sz w:val="19"/>
        </w:rPr>
        <w:t>not</w:t>
      </w:r>
      <w:r>
        <w:rPr>
          <w:rFonts w:ascii="Arial" w:hAnsi="Arial"/>
          <w:color w:val="231F20"/>
          <w:spacing w:val="-15"/>
          <w:w w:val="115"/>
          <w:sz w:val="19"/>
        </w:rPr>
        <w:t> </w:t>
      </w:r>
      <w:r>
        <w:rPr>
          <w:rFonts w:ascii="Arial" w:hAnsi="Arial"/>
          <w:color w:val="231F20"/>
          <w:w w:val="115"/>
          <w:sz w:val="19"/>
        </w:rPr>
        <w:t>allowed</w:t>
      </w:r>
      <w:r>
        <w:rPr>
          <w:rFonts w:ascii="Arial" w:hAnsi="Arial"/>
          <w:color w:val="231F20"/>
          <w:spacing w:val="-15"/>
          <w:w w:val="115"/>
          <w:sz w:val="19"/>
        </w:rPr>
        <w:t> </w:t>
      </w:r>
      <w:r>
        <w:rPr>
          <w:rFonts w:ascii="Arial" w:hAnsi="Arial"/>
          <w:color w:val="231F20"/>
          <w:w w:val="115"/>
          <w:sz w:val="19"/>
        </w:rPr>
        <w:t>by</w:t>
      </w:r>
      <w:r>
        <w:rPr>
          <w:rFonts w:ascii="Arial" w:hAnsi="Arial"/>
          <w:color w:val="231F20"/>
          <w:spacing w:val="-16"/>
          <w:w w:val="115"/>
          <w:sz w:val="19"/>
        </w:rPr>
        <w:t> </w:t>
      </w:r>
      <w:r>
        <w:rPr>
          <w:rFonts w:ascii="Arial" w:hAnsi="Arial"/>
          <w:color w:val="231F20"/>
          <w:w w:val="115"/>
          <w:sz w:val="19"/>
        </w:rPr>
        <w:t>the</w:t>
      </w:r>
      <w:r>
        <w:rPr>
          <w:rFonts w:ascii="Arial" w:hAnsi="Arial"/>
          <w:color w:val="231F20"/>
          <w:spacing w:val="-15"/>
          <w:w w:val="115"/>
          <w:sz w:val="19"/>
        </w:rPr>
        <w:t> </w:t>
      </w:r>
      <w:r>
        <w:rPr>
          <w:rFonts w:ascii="Arial" w:hAnsi="Arial"/>
          <w:color w:val="231F20"/>
          <w:w w:val="115"/>
          <w:sz w:val="19"/>
        </w:rPr>
        <w:t>courts</w:t>
      </w:r>
      <w:r>
        <w:rPr>
          <w:rFonts w:ascii="Arial" w:hAnsi="Arial"/>
          <w:color w:val="231F20"/>
          <w:spacing w:val="-15"/>
          <w:w w:val="115"/>
          <w:sz w:val="19"/>
        </w:rPr>
        <w:t> </w:t>
      </w:r>
      <w:r>
        <w:rPr>
          <w:rFonts w:ascii="Arial" w:hAnsi="Arial"/>
          <w:color w:val="231F20"/>
          <w:w w:val="115"/>
          <w:sz w:val="19"/>
        </w:rPr>
        <w:t>because</w:t>
      </w:r>
      <w:r>
        <w:rPr>
          <w:rFonts w:ascii="Arial" w:hAnsi="Arial"/>
          <w:color w:val="231F20"/>
          <w:spacing w:val="-15"/>
          <w:w w:val="115"/>
          <w:sz w:val="19"/>
        </w:rPr>
        <w:t> </w:t>
      </w:r>
      <w:r>
        <w:rPr>
          <w:rFonts w:ascii="Arial" w:hAnsi="Arial"/>
          <w:color w:val="231F20"/>
          <w:w w:val="115"/>
          <w:sz w:val="19"/>
        </w:rPr>
        <w:t>they “may</w:t>
      </w:r>
      <w:r>
        <w:rPr>
          <w:rFonts w:ascii="Arial" w:hAnsi="Arial"/>
          <w:color w:val="231F20"/>
          <w:spacing w:val="-3"/>
          <w:w w:val="115"/>
          <w:sz w:val="19"/>
        </w:rPr>
        <w:t> </w:t>
      </w:r>
      <w:r>
        <w:rPr>
          <w:rFonts w:ascii="Arial" w:hAnsi="Arial"/>
          <w:color w:val="231F20"/>
          <w:w w:val="115"/>
          <w:sz w:val="19"/>
        </w:rPr>
        <w:t>lead”</w:t>
      </w:r>
      <w:r>
        <w:rPr>
          <w:rFonts w:ascii="Arial" w:hAnsi="Arial"/>
          <w:color w:val="231F20"/>
          <w:spacing w:val="-3"/>
          <w:w w:val="115"/>
          <w:sz w:val="19"/>
        </w:rPr>
        <w:t> </w:t>
      </w:r>
      <w:r>
        <w:rPr>
          <w:rFonts w:ascii="Arial" w:hAnsi="Arial"/>
          <w:color w:val="231F20"/>
          <w:w w:val="115"/>
          <w:sz w:val="19"/>
        </w:rPr>
        <w:t>to</w:t>
      </w:r>
      <w:r>
        <w:rPr>
          <w:rFonts w:ascii="Arial" w:hAnsi="Arial"/>
          <w:color w:val="231F20"/>
          <w:spacing w:val="-3"/>
          <w:w w:val="115"/>
          <w:sz w:val="19"/>
        </w:rPr>
        <w:t> </w:t>
      </w:r>
      <w:r>
        <w:rPr>
          <w:rFonts w:ascii="Arial" w:hAnsi="Arial"/>
          <w:color w:val="231F20"/>
          <w:w w:val="115"/>
          <w:sz w:val="19"/>
        </w:rPr>
        <w:t>lessened</w:t>
      </w:r>
      <w:r>
        <w:rPr>
          <w:rFonts w:ascii="Arial" w:hAnsi="Arial"/>
          <w:color w:val="231F20"/>
          <w:spacing w:val="-3"/>
          <w:w w:val="115"/>
          <w:sz w:val="19"/>
        </w:rPr>
        <w:t> </w:t>
      </w:r>
      <w:r>
        <w:rPr>
          <w:rFonts w:ascii="Arial" w:hAnsi="Arial"/>
          <w:color w:val="231F20"/>
          <w:w w:val="115"/>
          <w:sz w:val="19"/>
        </w:rPr>
        <w:t>competition.</w:t>
      </w:r>
      <w:r>
        <w:rPr>
          <w:rFonts w:ascii="Arial" w:hAnsi="Arial"/>
          <w:color w:val="231F20"/>
          <w:spacing w:val="-3"/>
          <w:w w:val="115"/>
          <w:sz w:val="19"/>
        </w:rPr>
        <w:t> </w:t>
      </w:r>
      <w:r>
        <w:rPr>
          <w:rFonts w:ascii="Arial" w:hAnsi="Arial"/>
          <w:color w:val="231F20"/>
          <w:w w:val="115"/>
          <w:sz w:val="19"/>
        </w:rPr>
        <w:t>For</w:t>
      </w:r>
      <w:r>
        <w:rPr>
          <w:rFonts w:ascii="Arial" w:hAnsi="Arial"/>
          <w:color w:val="231F20"/>
          <w:spacing w:val="-3"/>
          <w:w w:val="115"/>
          <w:sz w:val="19"/>
        </w:rPr>
        <w:t> </w:t>
      </w:r>
      <w:r>
        <w:rPr>
          <w:rFonts w:ascii="Arial" w:hAnsi="Arial"/>
          <w:color w:val="231F20"/>
          <w:w w:val="115"/>
          <w:sz w:val="19"/>
        </w:rPr>
        <w:t>example,</w:t>
      </w:r>
      <w:r>
        <w:rPr>
          <w:rFonts w:ascii="Arial" w:hAnsi="Arial"/>
          <w:color w:val="231F20"/>
          <w:spacing w:val="-3"/>
          <w:w w:val="115"/>
          <w:sz w:val="19"/>
        </w:rPr>
        <w:t> </w:t>
      </w:r>
      <w:r>
        <w:rPr>
          <w:rFonts w:ascii="Arial" w:hAnsi="Arial"/>
          <w:color w:val="231F20"/>
          <w:w w:val="115"/>
          <w:sz w:val="19"/>
        </w:rPr>
        <w:t>having the same people on the board of directors of several related companies in a particular industry could lead</w:t>
      </w:r>
    </w:p>
    <w:p>
      <w:pPr>
        <w:spacing w:line="328" w:lineRule="auto" w:before="4"/>
        <w:ind w:left="1599" w:right="1262" w:firstLine="0"/>
        <w:jc w:val="left"/>
        <w:rPr>
          <w:rFonts w:ascii="Arial"/>
          <w:sz w:val="19"/>
        </w:rPr>
      </w:pPr>
      <w:r>
        <w:rPr>
          <w:rFonts w:ascii="Arial"/>
          <w:color w:val="231F20"/>
          <w:w w:val="115"/>
          <w:sz w:val="19"/>
        </w:rPr>
        <w:t>to</w:t>
      </w:r>
      <w:r>
        <w:rPr>
          <w:rFonts w:ascii="Arial"/>
          <w:color w:val="231F20"/>
          <w:spacing w:val="-7"/>
          <w:w w:val="115"/>
          <w:sz w:val="19"/>
        </w:rPr>
        <w:t> </w:t>
      </w:r>
      <w:r>
        <w:rPr>
          <w:rFonts w:ascii="Arial"/>
          <w:color w:val="231F20"/>
          <w:w w:val="115"/>
          <w:sz w:val="19"/>
        </w:rPr>
        <w:t>lessened</w:t>
      </w:r>
      <w:r>
        <w:rPr>
          <w:rFonts w:ascii="Arial"/>
          <w:color w:val="231F20"/>
          <w:spacing w:val="-7"/>
          <w:w w:val="115"/>
          <w:sz w:val="19"/>
        </w:rPr>
        <w:t> </w:t>
      </w:r>
      <w:r>
        <w:rPr>
          <w:rFonts w:ascii="Arial"/>
          <w:color w:val="231F20"/>
          <w:w w:val="115"/>
          <w:sz w:val="19"/>
        </w:rPr>
        <w:t>competition</w:t>
      </w:r>
      <w:r>
        <w:rPr>
          <w:rFonts w:ascii="Arial"/>
          <w:color w:val="231F20"/>
          <w:spacing w:val="-7"/>
          <w:w w:val="115"/>
          <w:sz w:val="19"/>
        </w:rPr>
        <w:t> </w:t>
      </w:r>
      <w:r>
        <w:rPr>
          <w:rFonts w:ascii="Arial"/>
          <w:color w:val="231F20"/>
          <w:w w:val="115"/>
          <w:sz w:val="19"/>
        </w:rPr>
        <w:t>and</w:t>
      </w:r>
      <w:r>
        <w:rPr>
          <w:rFonts w:ascii="Arial"/>
          <w:color w:val="231F20"/>
          <w:spacing w:val="-7"/>
          <w:w w:val="115"/>
          <w:sz w:val="19"/>
        </w:rPr>
        <w:t> </w:t>
      </w:r>
      <w:r>
        <w:rPr>
          <w:rFonts w:ascii="Arial"/>
          <w:color w:val="231F20"/>
          <w:w w:val="115"/>
          <w:sz w:val="19"/>
        </w:rPr>
        <w:t>be</w:t>
      </w:r>
      <w:r>
        <w:rPr>
          <w:rFonts w:ascii="Arial"/>
          <w:color w:val="231F20"/>
          <w:spacing w:val="-7"/>
          <w:w w:val="115"/>
          <w:sz w:val="19"/>
        </w:rPr>
        <w:t> </w:t>
      </w:r>
      <w:r>
        <w:rPr>
          <w:rFonts w:ascii="Arial"/>
          <w:color w:val="231F20"/>
          <w:w w:val="115"/>
          <w:sz w:val="19"/>
        </w:rPr>
        <w:t>prohibited</w:t>
      </w:r>
      <w:r>
        <w:rPr>
          <w:rFonts w:ascii="Arial"/>
          <w:color w:val="231F20"/>
          <w:spacing w:val="-7"/>
          <w:w w:val="115"/>
          <w:sz w:val="19"/>
        </w:rPr>
        <w:t> </w:t>
      </w:r>
      <w:r>
        <w:rPr>
          <w:rFonts w:ascii="Arial"/>
          <w:color w:val="231F20"/>
          <w:w w:val="115"/>
          <w:sz w:val="19"/>
        </w:rPr>
        <w:t>by</w:t>
      </w:r>
      <w:r>
        <w:rPr>
          <w:rFonts w:ascii="Arial"/>
          <w:color w:val="231F20"/>
          <w:spacing w:val="-7"/>
          <w:w w:val="115"/>
          <w:sz w:val="19"/>
        </w:rPr>
        <w:t> </w:t>
      </w:r>
      <w:r>
        <w:rPr>
          <w:rFonts w:ascii="Arial"/>
          <w:color w:val="231F20"/>
          <w:w w:val="115"/>
          <w:sz w:val="19"/>
        </w:rPr>
        <w:t>the </w:t>
      </w:r>
      <w:r>
        <w:rPr>
          <w:rFonts w:ascii="Arial"/>
          <w:color w:val="231F20"/>
          <w:w w:val="120"/>
          <w:sz w:val="19"/>
        </w:rPr>
        <w:t>Clayton Act.</w:t>
      </w:r>
    </w:p>
    <w:p>
      <w:pPr>
        <w:spacing w:line="328" w:lineRule="auto" w:before="1"/>
        <w:ind w:left="1599" w:right="667" w:hanging="340"/>
        <w:jc w:val="left"/>
        <w:rPr>
          <w:rFonts w:ascii="Arial" w:hAnsi="Arial"/>
          <w:sz w:val="19"/>
        </w:rPr>
      </w:pPr>
      <w:r>
        <w:rPr>
          <w:rFonts w:ascii="Arial" w:hAnsi="Arial"/>
          <w:i/>
          <w:color w:val="231F20"/>
          <w:spacing w:val="-2"/>
          <w:w w:val="115"/>
          <w:sz w:val="19"/>
        </w:rPr>
        <w:t>Robinson-Patman Act</w:t>
      </w:r>
      <w:r>
        <w:rPr>
          <w:rFonts w:ascii="Arial" w:hAnsi="Arial"/>
          <w:color w:val="231F20"/>
          <w:spacing w:val="-2"/>
          <w:w w:val="115"/>
          <w:sz w:val="19"/>
        </w:rPr>
        <w:t>—This act prohibits the discriminatory </w:t>
      </w:r>
      <w:r>
        <w:rPr>
          <w:rFonts w:ascii="Arial" w:hAnsi="Arial"/>
          <w:color w:val="231F20"/>
          <w:w w:val="115"/>
          <w:sz w:val="19"/>
        </w:rPr>
        <w:t>pricing of a product based on factors other than actual cost</w:t>
      </w:r>
      <w:r>
        <w:rPr>
          <w:rFonts w:ascii="Arial" w:hAnsi="Arial"/>
          <w:color w:val="231F20"/>
          <w:spacing w:val="-4"/>
          <w:w w:val="115"/>
          <w:sz w:val="19"/>
        </w:rPr>
        <w:t> </w:t>
      </w:r>
      <w:r>
        <w:rPr>
          <w:rFonts w:ascii="Arial" w:hAnsi="Arial"/>
          <w:color w:val="231F20"/>
          <w:w w:val="115"/>
          <w:sz w:val="19"/>
        </w:rPr>
        <w:t>differences</w:t>
      </w:r>
      <w:r>
        <w:rPr>
          <w:rFonts w:ascii="Arial" w:hAnsi="Arial"/>
          <w:color w:val="231F20"/>
          <w:spacing w:val="-4"/>
          <w:w w:val="115"/>
          <w:sz w:val="19"/>
        </w:rPr>
        <w:t> </w:t>
      </w:r>
      <w:r>
        <w:rPr>
          <w:rFonts w:ascii="Arial" w:hAnsi="Arial"/>
          <w:color w:val="231F20"/>
          <w:w w:val="115"/>
          <w:sz w:val="19"/>
        </w:rPr>
        <w:t>in</w:t>
      </w:r>
      <w:r>
        <w:rPr>
          <w:rFonts w:ascii="Arial" w:hAnsi="Arial"/>
          <w:color w:val="231F20"/>
          <w:spacing w:val="-4"/>
          <w:w w:val="115"/>
          <w:sz w:val="19"/>
        </w:rPr>
        <w:t> </w:t>
      </w:r>
      <w:r>
        <w:rPr>
          <w:rFonts w:ascii="Arial" w:hAnsi="Arial"/>
          <w:color w:val="231F20"/>
          <w:w w:val="115"/>
          <w:sz w:val="19"/>
        </w:rPr>
        <w:t>making</w:t>
      </w:r>
      <w:r>
        <w:rPr>
          <w:rFonts w:ascii="Arial" w:hAnsi="Arial"/>
          <w:color w:val="231F20"/>
          <w:spacing w:val="-4"/>
          <w:w w:val="115"/>
          <w:sz w:val="19"/>
        </w:rPr>
        <w:t> </w:t>
      </w:r>
      <w:r>
        <w:rPr>
          <w:rFonts w:ascii="Arial" w:hAnsi="Arial"/>
          <w:color w:val="231F20"/>
          <w:w w:val="115"/>
          <w:sz w:val="19"/>
        </w:rPr>
        <w:t>and</w:t>
      </w:r>
      <w:r>
        <w:rPr>
          <w:rFonts w:ascii="Arial" w:hAnsi="Arial"/>
          <w:color w:val="231F20"/>
          <w:spacing w:val="-4"/>
          <w:w w:val="115"/>
          <w:sz w:val="19"/>
        </w:rPr>
        <w:t> </w:t>
      </w:r>
      <w:r>
        <w:rPr>
          <w:rFonts w:ascii="Arial" w:hAnsi="Arial"/>
          <w:color w:val="231F20"/>
          <w:w w:val="115"/>
          <w:sz w:val="19"/>
        </w:rPr>
        <w:t>delivering</w:t>
      </w:r>
      <w:r>
        <w:rPr>
          <w:rFonts w:ascii="Arial" w:hAnsi="Arial"/>
          <w:color w:val="231F20"/>
          <w:spacing w:val="-4"/>
          <w:w w:val="115"/>
          <w:sz w:val="19"/>
        </w:rPr>
        <w:t> </w:t>
      </w:r>
      <w:r>
        <w:rPr>
          <w:rFonts w:ascii="Arial" w:hAnsi="Arial"/>
          <w:color w:val="231F20"/>
          <w:w w:val="115"/>
          <w:sz w:val="19"/>
        </w:rPr>
        <w:t>the</w:t>
      </w:r>
      <w:r>
        <w:rPr>
          <w:rFonts w:ascii="Arial" w:hAnsi="Arial"/>
          <w:color w:val="231F20"/>
          <w:spacing w:val="-4"/>
          <w:w w:val="115"/>
          <w:sz w:val="19"/>
        </w:rPr>
        <w:t> </w:t>
      </w:r>
      <w:r>
        <w:rPr>
          <w:rFonts w:ascii="Arial" w:hAnsi="Arial"/>
          <w:color w:val="231F20"/>
          <w:w w:val="115"/>
          <w:sz w:val="19"/>
        </w:rPr>
        <w:t>product</w:t>
      </w:r>
      <w:r>
        <w:rPr>
          <w:rFonts w:ascii="Arial" w:hAnsi="Arial"/>
          <w:color w:val="231F20"/>
          <w:spacing w:val="-4"/>
          <w:w w:val="115"/>
          <w:sz w:val="19"/>
        </w:rPr>
        <w:t> </w:t>
      </w:r>
      <w:r>
        <w:rPr>
          <w:rFonts w:ascii="Arial" w:hAnsi="Arial"/>
          <w:color w:val="231F20"/>
          <w:w w:val="115"/>
          <w:sz w:val="19"/>
        </w:rPr>
        <w:t>to the customer.</w:t>
      </w:r>
    </w:p>
    <w:p>
      <w:pPr>
        <w:pStyle w:val="BodyText"/>
        <w:spacing w:before="7"/>
        <w:rPr>
          <w:rFonts w:ascii="Arial"/>
          <w:sz w:val="16"/>
        </w:rPr>
      </w:pPr>
    </w:p>
    <w:p>
      <w:pPr>
        <w:pStyle w:val="BodyText"/>
        <w:spacing w:line="292" w:lineRule="auto" w:before="1"/>
        <w:ind w:left="920" w:right="666" w:firstLine="340"/>
        <w:jc w:val="both"/>
      </w:pPr>
      <w:r>
        <w:rPr>
          <w:color w:val="231F20"/>
        </w:rPr>
        <w:t>In a nutshell, we’ve covered the abbreviated body of notes </w:t>
      </w:r>
      <w:r>
        <w:rPr>
          <w:color w:val="231F20"/>
        </w:rPr>
        <w:t>from</w:t>
      </w:r>
      <w:r>
        <w:rPr>
          <w:color w:val="231F20"/>
          <w:spacing w:val="80"/>
          <w:w w:val="150"/>
        </w:rPr>
        <w:t> </w:t>
      </w:r>
      <w:r>
        <w:rPr>
          <w:color w:val="231F20"/>
        </w:rPr>
        <w:t>a typical business law course taught at business school. Do seek the advice of an attorney if you need it, but at least now you “can walk </w:t>
      </w:r>
      <w:r>
        <w:rPr>
          <w:i/>
          <w:color w:val="231F20"/>
        </w:rPr>
        <w:t>their </w:t>
      </w:r>
      <w:r>
        <w:rPr>
          <w:color w:val="231F20"/>
        </w:rPr>
        <w:t>walk and talk </w:t>
      </w:r>
      <w:r>
        <w:rPr>
          <w:i/>
          <w:color w:val="231F20"/>
        </w:rPr>
        <w:t>their </w:t>
      </w:r>
      <w:r>
        <w:rPr>
          <w:color w:val="231F20"/>
        </w:rPr>
        <w:t>talk.”</w:t>
      </w:r>
    </w:p>
    <w:p>
      <w:pPr>
        <w:pStyle w:val="BodyText"/>
        <w:spacing w:before="9"/>
        <w:rPr>
          <w:sz w:val="31"/>
        </w:rPr>
      </w:pPr>
    </w:p>
    <w:p>
      <w:pPr>
        <w:pStyle w:val="Heading4"/>
      </w:pPr>
      <w:hyperlink w:history="true" w:anchor="_bookmark1">
        <w:r>
          <w:rPr>
            <w:color w:val="0000FF"/>
            <w:w w:val="85"/>
          </w:rPr>
          <w:t>THE</w:t>
        </w:r>
        <w:r>
          <w:rPr>
            <w:color w:val="0000FF"/>
            <w:spacing w:val="28"/>
          </w:rPr>
          <w:t> </w:t>
        </w:r>
        <w:r>
          <w:rPr>
            <w:color w:val="0000FF"/>
            <w:spacing w:val="11"/>
            <w:w w:val="85"/>
          </w:rPr>
          <w:t>ONE-</w:t>
        </w:r>
        <w:r>
          <w:rPr>
            <w:color w:val="0000FF"/>
            <w:spacing w:val="9"/>
            <w:w w:val="85"/>
          </w:rPr>
          <w:t>MINUTE</w:t>
        </w:r>
        <w:r>
          <w:rPr>
            <w:color w:val="0000FF"/>
            <w:spacing w:val="29"/>
          </w:rPr>
          <w:t> </w:t>
        </w:r>
        <w:r>
          <w:rPr>
            <w:color w:val="0000FF"/>
            <w:w w:val="85"/>
          </w:rPr>
          <w:t>MBA</w:t>
        </w:r>
        <w:r>
          <w:rPr>
            <w:color w:val="0000FF"/>
            <w:spacing w:val="28"/>
          </w:rPr>
          <w:t> </w:t>
        </w:r>
        <w:r>
          <w:rPr>
            <w:color w:val="0000FF"/>
            <w:spacing w:val="9"/>
            <w:w w:val="85"/>
          </w:rPr>
          <w:t>BUSINESS</w:t>
        </w:r>
        <w:r>
          <w:rPr>
            <w:color w:val="0000FF"/>
            <w:spacing w:val="29"/>
          </w:rPr>
          <w:t> </w:t>
        </w:r>
        <w:r>
          <w:rPr>
            <w:color w:val="0000FF"/>
            <w:spacing w:val="9"/>
            <w:w w:val="85"/>
          </w:rPr>
          <w:t>WRITING</w:t>
        </w:r>
        <w:r>
          <w:rPr>
            <w:color w:val="0000FF"/>
            <w:spacing w:val="29"/>
          </w:rPr>
          <w:t> </w:t>
        </w:r>
        <w:r>
          <w:rPr>
            <w:color w:val="0000FF"/>
            <w:spacing w:val="9"/>
            <w:w w:val="85"/>
          </w:rPr>
          <w:t>COURSE</w:t>
        </w:r>
      </w:hyperlink>
    </w:p>
    <w:p>
      <w:pPr>
        <w:pStyle w:val="BodyText"/>
        <w:spacing w:before="8"/>
        <w:rPr>
          <w:rFonts w:ascii="Trebuchet MS"/>
          <w:sz w:val="31"/>
        </w:rPr>
      </w:pPr>
    </w:p>
    <w:p>
      <w:pPr>
        <w:pStyle w:val="ListParagraph"/>
        <w:numPr>
          <w:ilvl w:val="1"/>
          <w:numId w:val="55"/>
        </w:numPr>
        <w:tabs>
          <w:tab w:pos="1611" w:val="left" w:leader="none"/>
        </w:tabs>
        <w:spacing w:line="328" w:lineRule="auto" w:before="0" w:after="0"/>
        <w:ind w:left="1609" w:right="668" w:hanging="170"/>
        <w:jc w:val="both"/>
        <w:rPr>
          <w:sz w:val="19"/>
        </w:rPr>
      </w:pPr>
      <w:r>
        <w:rPr>
          <w:color w:val="231F20"/>
          <w:w w:val="110"/>
          <w:sz w:val="19"/>
        </w:rPr>
        <w:t>Present your purpose explicitly and as close to the first sentence as possible. Don’t waste readers’ time. Have a clear purpose for writing any memo.</w:t>
      </w:r>
    </w:p>
    <w:p>
      <w:pPr>
        <w:pStyle w:val="ListParagraph"/>
        <w:numPr>
          <w:ilvl w:val="1"/>
          <w:numId w:val="55"/>
        </w:numPr>
        <w:tabs>
          <w:tab w:pos="1611" w:val="left" w:leader="none"/>
        </w:tabs>
        <w:spacing w:line="328" w:lineRule="auto" w:before="2" w:after="0"/>
        <w:ind w:left="1609" w:right="665" w:hanging="219"/>
        <w:jc w:val="both"/>
        <w:rPr>
          <w:sz w:val="19"/>
        </w:rPr>
      </w:pPr>
      <w:r>
        <w:rPr>
          <w:color w:val="231F20"/>
          <w:w w:val="110"/>
          <w:sz w:val="19"/>
        </w:rPr>
        <w:t>Keep your tone personal, accessible, and respectful. Write as</w:t>
      </w:r>
      <w:r>
        <w:rPr>
          <w:color w:val="231F20"/>
          <w:w w:val="110"/>
          <w:sz w:val="19"/>
        </w:rPr>
        <w:t> if</w:t>
      </w:r>
      <w:r>
        <w:rPr>
          <w:color w:val="231F20"/>
          <w:w w:val="110"/>
          <w:sz w:val="19"/>
        </w:rPr>
        <w:t> the</w:t>
      </w:r>
      <w:r>
        <w:rPr>
          <w:color w:val="231F20"/>
          <w:w w:val="110"/>
          <w:sz w:val="19"/>
        </w:rPr>
        <w:t> receiver</w:t>
      </w:r>
      <w:r>
        <w:rPr>
          <w:color w:val="231F20"/>
          <w:w w:val="110"/>
          <w:sz w:val="19"/>
        </w:rPr>
        <w:t> were</w:t>
      </w:r>
      <w:r>
        <w:rPr>
          <w:color w:val="231F20"/>
          <w:w w:val="110"/>
          <w:sz w:val="19"/>
        </w:rPr>
        <w:t> sitting</w:t>
      </w:r>
      <w:r>
        <w:rPr>
          <w:color w:val="231F20"/>
          <w:w w:val="110"/>
          <w:sz w:val="19"/>
        </w:rPr>
        <w:t> with</w:t>
      </w:r>
      <w:r>
        <w:rPr>
          <w:color w:val="231F20"/>
          <w:w w:val="110"/>
          <w:sz w:val="19"/>
        </w:rPr>
        <w:t> you.</w:t>
      </w:r>
      <w:r>
        <w:rPr>
          <w:color w:val="231F20"/>
          <w:w w:val="110"/>
          <w:sz w:val="19"/>
        </w:rPr>
        <w:t> Do</w:t>
      </w:r>
      <w:r>
        <w:rPr>
          <w:color w:val="231F20"/>
          <w:w w:val="110"/>
          <w:sz w:val="19"/>
        </w:rPr>
        <w:t> not</w:t>
      </w:r>
      <w:r>
        <w:rPr>
          <w:color w:val="231F20"/>
          <w:w w:val="110"/>
          <w:sz w:val="19"/>
        </w:rPr>
        <w:t> use</w:t>
      </w:r>
      <w:r>
        <w:rPr>
          <w:color w:val="231F20"/>
          <w:w w:val="110"/>
          <w:sz w:val="19"/>
        </w:rPr>
        <w:t> too</w:t>
      </w:r>
      <w:r>
        <w:rPr>
          <w:color w:val="231F20"/>
          <w:spacing w:val="80"/>
          <w:w w:val="110"/>
          <w:sz w:val="19"/>
        </w:rPr>
        <w:t> </w:t>
      </w:r>
      <w:r>
        <w:rPr>
          <w:color w:val="231F20"/>
          <w:w w:val="110"/>
          <w:sz w:val="19"/>
        </w:rPr>
        <w:t>much technical jargon or try to impress others with your vocabulary.</w:t>
      </w:r>
      <w:r>
        <w:rPr>
          <w:color w:val="231F20"/>
          <w:w w:val="110"/>
          <w:sz w:val="19"/>
        </w:rPr>
        <w:t> Do</w:t>
      </w:r>
      <w:r>
        <w:rPr>
          <w:color w:val="231F20"/>
          <w:w w:val="110"/>
          <w:sz w:val="19"/>
        </w:rPr>
        <w:t> not</w:t>
      </w:r>
      <w:r>
        <w:rPr>
          <w:color w:val="231F20"/>
          <w:w w:val="110"/>
          <w:sz w:val="19"/>
        </w:rPr>
        <w:t> write</w:t>
      </w:r>
      <w:r>
        <w:rPr>
          <w:color w:val="231F20"/>
          <w:w w:val="110"/>
          <w:sz w:val="19"/>
        </w:rPr>
        <w:t> while</w:t>
      </w:r>
      <w:r>
        <w:rPr>
          <w:color w:val="231F20"/>
          <w:w w:val="110"/>
          <w:sz w:val="19"/>
        </w:rPr>
        <w:t> you</w:t>
      </w:r>
      <w:r>
        <w:rPr>
          <w:color w:val="231F20"/>
          <w:w w:val="110"/>
          <w:sz w:val="19"/>
        </w:rPr>
        <w:t> are</w:t>
      </w:r>
      <w:r>
        <w:rPr>
          <w:color w:val="231F20"/>
          <w:w w:val="110"/>
          <w:sz w:val="19"/>
        </w:rPr>
        <w:t> either</w:t>
      </w:r>
      <w:r>
        <w:rPr>
          <w:color w:val="231F20"/>
          <w:w w:val="110"/>
          <w:sz w:val="19"/>
        </w:rPr>
        <w:t> angry</w:t>
      </w:r>
      <w:r>
        <w:rPr>
          <w:color w:val="231F20"/>
          <w:w w:val="110"/>
          <w:sz w:val="19"/>
        </w:rPr>
        <w:t> or</w:t>
      </w:r>
      <w:r>
        <w:rPr>
          <w:color w:val="231F20"/>
          <w:spacing w:val="40"/>
          <w:w w:val="110"/>
          <w:sz w:val="19"/>
        </w:rPr>
        <w:t> </w:t>
      </w:r>
      <w:r>
        <w:rPr>
          <w:color w:val="231F20"/>
          <w:w w:val="110"/>
          <w:sz w:val="19"/>
        </w:rPr>
        <w:t>upset: the memo will not go away if you have a change of heart. Do not blame someone or write anything negative about someone in your company unless absolutely </w:t>
      </w:r>
      <w:r>
        <w:rPr>
          <w:color w:val="231F20"/>
          <w:w w:val="110"/>
          <w:sz w:val="19"/>
        </w:rPr>
        <w:t>neces-</w:t>
      </w:r>
      <w:r>
        <w:rPr>
          <w:color w:val="231F20"/>
          <w:w w:val="110"/>
          <w:sz w:val="19"/>
        </w:rPr>
        <w:t> sary and you have all the facts.</w:t>
      </w:r>
    </w:p>
    <w:p>
      <w:pPr>
        <w:spacing w:after="0" w:line="328" w:lineRule="auto"/>
        <w:jc w:val="both"/>
        <w:rPr>
          <w:sz w:val="19"/>
        </w:rPr>
        <w:sectPr>
          <w:headerReference w:type="default" r:id="rId139"/>
          <w:headerReference w:type="even" r:id="rId140"/>
          <w:pgSz w:w="8640" w:h="12960"/>
          <w:pgMar w:header="734" w:footer="0" w:top="920" w:bottom="280" w:left="340" w:right="500"/>
          <w:pgNumType w:start="379"/>
        </w:sectPr>
      </w:pPr>
    </w:p>
    <w:p>
      <w:pPr>
        <w:pStyle w:val="BodyText"/>
        <w:spacing w:before="10"/>
        <w:rPr>
          <w:rFonts w:ascii="Arial"/>
          <w:sz w:val="19"/>
        </w:rPr>
      </w:pPr>
    </w:p>
    <w:p>
      <w:pPr>
        <w:pStyle w:val="ListParagraph"/>
        <w:numPr>
          <w:ilvl w:val="1"/>
          <w:numId w:val="55"/>
        </w:numPr>
        <w:tabs>
          <w:tab w:pos="1520" w:val="left" w:leader="none"/>
        </w:tabs>
        <w:spacing w:line="328" w:lineRule="auto" w:before="95" w:after="0"/>
        <w:ind w:left="1799" w:right="785" w:hanging="503"/>
        <w:jc w:val="both"/>
        <w:rPr>
          <w:sz w:val="19"/>
        </w:rPr>
      </w:pPr>
      <w:bookmarkStart w:name="Real Estate Investor" w:id="39"/>
      <w:bookmarkEnd w:id="39"/>
      <w:r>
        <w:rPr/>
      </w:r>
      <w:bookmarkStart w:name="_bookmark18" w:id="40"/>
      <w:bookmarkEnd w:id="40"/>
      <w:r>
        <w:rPr>
          <w:color w:val="231F20"/>
          <w:w w:val="110"/>
          <w:sz w:val="19"/>
        </w:rPr>
        <w:t>Us</w:t>
      </w:r>
      <w:r>
        <w:rPr>
          <w:color w:val="231F20"/>
          <w:w w:val="110"/>
          <w:sz w:val="19"/>
        </w:rPr>
        <w:t>e</w:t>
      </w:r>
      <w:r>
        <w:rPr>
          <w:color w:val="231F20"/>
          <w:spacing w:val="-3"/>
          <w:w w:val="110"/>
          <w:sz w:val="19"/>
        </w:rPr>
        <w:t> </w:t>
      </w:r>
      <w:r>
        <w:rPr>
          <w:color w:val="231F20"/>
          <w:w w:val="110"/>
          <w:sz w:val="19"/>
        </w:rPr>
        <w:t>the</w:t>
      </w:r>
      <w:r>
        <w:rPr>
          <w:color w:val="231F20"/>
          <w:spacing w:val="-3"/>
          <w:w w:val="110"/>
          <w:sz w:val="19"/>
        </w:rPr>
        <w:t> </w:t>
      </w:r>
      <w:r>
        <w:rPr>
          <w:color w:val="231F20"/>
          <w:w w:val="110"/>
          <w:sz w:val="19"/>
        </w:rPr>
        <w:t>active</w:t>
      </w:r>
      <w:r>
        <w:rPr>
          <w:color w:val="231F20"/>
          <w:spacing w:val="-3"/>
          <w:w w:val="110"/>
          <w:sz w:val="19"/>
        </w:rPr>
        <w:t> </w:t>
      </w:r>
      <w:r>
        <w:rPr>
          <w:color w:val="231F20"/>
          <w:w w:val="110"/>
          <w:sz w:val="19"/>
        </w:rPr>
        <w:t>voice,</w:t>
      </w:r>
      <w:r>
        <w:rPr>
          <w:color w:val="231F20"/>
          <w:spacing w:val="-3"/>
          <w:w w:val="110"/>
          <w:sz w:val="19"/>
        </w:rPr>
        <w:t> </w:t>
      </w:r>
      <w:r>
        <w:rPr>
          <w:color w:val="231F20"/>
          <w:w w:val="110"/>
          <w:sz w:val="19"/>
        </w:rPr>
        <w:t>not</w:t>
      </w:r>
      <w:r>
        <w:rPr>
          <w:color w:val="231F20"/>
          <w:spacing w:val="-3"/>
          <w:w w:val="110"/>
          <w:sz w:val="19"/>
        </w:rPr>
        <w:t> </w:t>
      </w:r>
      <w:r>
        <w:rPr>
          <w:color w:val="231F20"/>
          <w:w w:val="110"/>
          <w:sz w:val="19"/>
        </w:rPr>
        <w:t>the</w:t>
      </w:r>
      <w:r>
        <w:rPr>
          <w:color w:val="231F20"/>
          <w:spacing w:val="-3"/>
          <w:w w:val="110"/>
          <w:sz w:val="19"/>
        </w:rPr>
        <w:t> </w:t>
      </w:r>
      <w:r>
        <w:rPr>
          <w:color w:val="231F20"/>
          <w:w w:val="110"/>
          <w:sz w:val="19"/>
        </w:rPr>
        <w:t>passive</w:t>
      </w:r>
      <w:r>
        <w:rPr>
          <w:color w:val="231F20"/>
          <w:spacing w:val="-3"/>
          <w:w w:val="110"/>
          <w:sz w:val="19"/>
        </w:rPr>
        <w:t> </w:t>
      </w:r>
      <w:r>
        <w:rPr>
          <w:color w:val="231F20"/>
          <w:w w:val="110"/>
          <w:sz w:val="19"/>
        </w:rPr>
        <w:t>voice</w:t>
      </w:r>
      <w:r>
        <w:rPr>
          <w:color w:val="231F20"/>
          <w:spacing w:val="-3"/>
          <w:w w:val="110"/>
          <w:sz w:val="19"/>
        </w:rPr>
        <w:t> </w:t>
      </w:r>
      <w:r>
        <w:rPr>
          <w:color w:val="231F20"/>
          <w:w w:val="110"/>
          <w:sz w:val="19"/>
        </w:rPr>
        <w:t>if</w:t>
      </w:r>
      <w:r>
        <w:rPr>
          <w:color w:val="231F20"/>
          <w:spacing w:val="-3"/>
          <w:w w:val="110"/>
          <w:sz w:val="19"/>
        </w:rPr>
        <w:t> </w:t>
      </w:r>
      <w:r>
        <w:rPr>
          <w:color w:val="231F20"/>
          <w:w w:val="110"/>
          <w:sz w:val="19"/>
        </w:rPr>
        <w:t>at</w:t>
      </w:r>
      <w:r>
        <w:rPr>
          <w:color w:val="231F20"/>
          <w:spacing w:val="-3"/>
          <w:w w:val="110"/>
          <w:sz w:val="19"/>
        </w:rPr>
        <w:t> </w:t>
      </w:r>
      <w:r>
        <w:rPr>
          <w:color w:val="231F20"/>
          <w:w w:val="110"/>
          <w:sz w:val="19"/>
        </w:rPr>
        <w:t>all</w:t>
      </w:r>
      <w:r>
        <w:rPr>
          <w:color w:val="231F20"/>
          <w:spacing w:val="-3"/>
          <w:w w:val="110"/>
          <w:sz w:val="19"/>
        </w:rPr>
        <w:t> </w:t>
      </w:r>
      <w:r>
        <w:rPr>
          <w:color w:val="231F20"/>
          <w:w w:val="110"/>
          <w:sz w:val="19"/>
        </w:rPr>
        <w:t>possible. </w:t>
      </w:r>
      <w:r>
        <w:rPr>
          <w:color w:val="231F20"/>
          <w:w w:val="115"/>
          <w:sz w:val="19"/>
        </w:rPr>
        <w:t>Active: Steve Silbiger wrote this book.</w:t>
      </w:r>
    </w:p>
    <w:p>
      <w:pPr>
        <w:spacing w:before="2"/>
        <w:ind w:left="1799" w:right="0" w:firstLine="0"/>
        <w:jc w:val="both"/>
        <w:rPr>
          <w:rFonts w:ascii="Arial"/>
          <w:sz w:val="19"/>
        </w:rPr>
      </w:pPr>
      <w:r>
        <w:rPr>
          <w:rFonts w:ascii="Arial"/>
          <w:color w:val="231F20"/>
          <w:w w:val="110"/>
          <w:sz w:val="19"/>
        </w:rPr>
        <w:t>Passive:</w:t>
      </w:r>
      <w:r>
        <w:rPr>
          <w:rFonts w:ascii="Arial"/>
          <w:color w:val="231F20"/>
          <w:spacing w:val="-6"/>
          <w:w w:val="110"/>
          <w:sz w:val="19"/>
        </w:rPr>
        <w:t> </w:t>
      </w:r>
      <w:r>
        <w:rPr>
          <w:rFonts w:ascii="Arial"/>
          <w:color w:val="231F20"/>
          <w:w w:val="110"/>
          <w:sz w:val="19"/>
        </w:rPr>
        <w:t>This</w:t>
      </w:r>
      <w:r>
        <w:rPr>
          <w:rFonts w:ascii="Arial"/>
          <w:color w:val="231F20"/>
          <w:spacing w:val="-6"/>
          <w:w w:val="110"/>
          <w:sz w:val="19"/>
        </w:rPr>
        <w:t> </w:t>
      </w:r>
      <w:r>
        <w:rPr>
          <w:rFonts w:ascii="Arial"/>
          <w:color w:val="231F20"/>
          <w:w w:val="110"/>
          <w:sz w:val="19"/>
        </w:rPr>
        <w:t>book</w:t>
      </w:r>
      <w:r>
        <w:rPr>
          <w:rFonts w:ascii="Arial"/>
          <w:color w:val="231F20"/>
          <w:spacing w:val="-6"/>
          <w:w w:val="110"/>
          <w:sz w:val="19"/>
        </w:rPr>
        <w:t> </w:t>
      </w:r>
      <w:r>
        <w:rPr>
          <w:rFonts w:ascii="Arial"/>
          <w:color w:val="231F20"/>
          <w:w w:val="110"/>
          <w:sz w:val="19"/>
        </w:rPr>
        <w:t>was</w:t>
      </w:r>
      <w:r>
        <w:rPr>
          <w:rFonts w:ascii="Arial"/>
          <w:color w:val="231F20"/>
          <w:spacing w:val="-6"/>
          <w:w w:val="110"/>
          <w:sz w:val="19"/>
        </w:rPr>
        <w:t> </w:t>
      </w:r>
      <w:r>
        <w:rPr>
          <w:rFonts w:ascii="Arial"/>
          <w:color w:val="231F20"/>
          <w:w w:val="110"/>
          <w:sz w:val="19"/>
        </w:rPr>
        <w:t>written</w:t>
      </w:r>
      <w:r>
        <w:rPr>
          <w:rFonts w:ascii="Arial"/>
          <w:color w:val="231F20"/>
          <w:spacing w:val="-6"/>
          <w:w w:val="110"/>
          <w:sz w:val="19"/>
        </w:rPr>
        <w:t> </w:t>
      </w:r>
      <w:r>
        <w:rPr>
          <w:rFonts w:ascii="Arial"/>
          <w:color w:val="231F20"/>
          <w:w w:val="110"/>
          <w:sz w:val="19"/>
        </w:rPr>
        <w:t>by</w:t>
      </w:r>
      <w:r>
        <w:rPr>
          <w:rFonts w:ascii="Arial"/>
          <w:color w:val="231F20"/>
          <w:spacing w:val="-6"/>
          <w:w w:val="110"/>
          <w:sz w:val="19"/>
        </w:rPr>
        <w:t> </w:t>
      </w:r>
      <w:r>
        <w:rPr>
          <w:rFonts w:ascii="Arial"/>
          <w:color w:val="231F20"/>
          <w:w w:val="110"/>
          <w:sz w:val="19"/>
        </w:rPr>
        <w:t>Steve</w:t>
      </w:r>
      <w:r>
        <w:rPr>
          <w:rFonts w:ascii="Arial"/>
          <w:color w:val="231F20"/>
          <w:spacing w:val="-6"/>
          <w:w w:val="110"/>
          <w:sz w:val="19"/>
        </w:rPr>
        <w:t> </w:t>
      </w:r>
      <w:r>
        <w:rPr>
          <w:rFonts w:ascii="Arial"/>
          <w:color w:val="231F20"/>
          <w:spacing w:val="-2"/>
          <w:w w:val="110"/>
          <w:sz w:val="19"/>
        </w:rPr>
        <w:t>Silbiger.</w:t>
      </w:r>
    </w:p>
    <w:p>
      <w:pPr>
        <w:pStyle w:val="ListParagraph"/>
        <w:numPr>
          <w:ilvl w:val="1"/>
          <w:numId w:val="55"/>
        </w:numPr>
        <w:tabs>
          <w:tab w:pos="1521" w:val="left" w:leader="none"/>
        </w:tabs>
        <w:spacing w:line="328" w:lineRule="auto" w:before="81" w:after="0"/>
        <w:ind w:left="1519" w:right="755" w:hanging="233"/>
        <w:jc w:val="both"/>
        <w:rPr>
          <w:sz w:val="19"/>
        </w:rPr>
      </w:pPr>
      <w:r>
        <w:rPr>
          <w:color w:val="231F20"/>
          <w:w w:val="110"/>
          <w:sz w:val="19"/>
        </w:rPr>
        <w:t>Eliminate</w:t>
      </w:r>
      <w:r>
        <w:rPr>
          <w:color w:val="231F20"/>
          <w:spacing w:val="-10"/>
          <w:w w:val="110"/>
          <w:sz w:val="19"/>
        </w:rPr>
        <w:t> </w:t>
      </w:r>
      <w:r>
        <w:rPr>
          <w:color w:val="231F20"/>
          <w:w w:val="110"/>
          <w:sz w:val="19"/>
        </w:rPr>
        <w:t>extra</w:t>
      </w:r>
      <w:r>
        <w:rPr>
          <w:color w:val="231F20"/>
          <w:spacing w:val="-10"/>
          <w:w w:val="110"/>
          <w:sz w:val="19"/>
        </w:rPr>
        <w:t> </w:t>
      </w:r>
      <w:r>
        <w:rPr>
          <w:color w:val="231F20"/>
          <w:w w:val="110"/>
          <w:sz w:val="19"/>
        </w:rPr>
        <w:t>words,</w:t>
      </w:r>
      <w:r>
        <w:rPr>
          <w:color w:val="231F20"/>
          <w:spacing w:val="-10"/>
          <w:w w:val="110"/>
          <w:sz w:val="19"/>
        </w:rPr>
        <w:t> </w:t>
      </w:r>
      <w:r>
        <w:rPr>
          <w:color w:val="231F20"/>
          <w:w w:val="110"/>
          <w:sz w:val="19"/>
        </w:rPr>
        <w:t>facts,</w:t>
      </w:r>
      <w:r>
        <w:rPr>
          <w:color w:val="231F20"/>
          <w:spacing w:val="-10"/>
          <w:w w:val="110"/>
          <w:sz w:val="19"/>
        </w:rPr>
        <w:t> </w:t>
      </w:r>
      <w:r>
        <w:rPr>
          <w:color w:val="231F20"/>
          <w:w w:val="110"/>
          <w:sz w:val="19"/>
        </w:rPr>
        <w:t>and</w:t>
      </w:r>
      <w:r>
        <w:rPr>
          <w:color w:val="231F20"/>
          <w:spacing w:val="-10"/>
          <w:w w:val="110"/>
          <w:sz w:val="19"/>
        </w:rPr>
        <w:t> </w:t>
      </w:r>
      <w:r>
        <w:rPr>
          <w:color w:val="231F20"/>
          <w:w w:val="110"/>
          <w:sz w:val="19"/>
        </w:rPr>
        <w:t>long</w:t>
      </w:r>
      <w:r>
        <w:rPr>
          <w:color w:val="231F20"/>
          <w:spacing w:val="-10"/>
          <w:w w:val="110"/>
          <w:sz w:val="19"/>
        </w:rPr>
        <w:t> </w:t>
      </w:r>
      <w:r>
        <w:rPr>
          <w:color w:val="231F20"/>
          <w:w w:val="110"/>
          <w:sz w:val="19"/>
        </w:rPr>
        <w:t>sentences.</w:t>
      </w:r>
      <w:r>
        <w:rPr>
          <w:color w:val="231F20"/>
          <w:spacing w:val="-10"/>
          <w:w w:val="110"/>
          <w:sz w:val="19"/>
        </w:rPr>
        <w:t> </w:t>
      </w:r>
      <w:r>
        <w:rPr>
          <w:color w:val="231F20"/>
          <w:w w:val="110"/>
          <w:sz w:val="19"/>
        </w:rPr>
        <w:t>Use</w:t>
      </w:r>
      <w:r>
        <w:rPr>
          <w:color w:val="231F20"/>
          <w:spacing w:val="-10"/>
          <w:w w:val="110"/>
          <w:sz w:val="19"/>
        </w:rPr>
        <w:t> </w:t>
      </w:r>
      <w:r>
        <w:rPr>
          <w:color w:val="231F20"/>
          <w:w w:val="110"/>
          <w:sz w:val="19"/>
        </w:rPr>
        <w:t>head- </w:t>
      </w:r>
      <w:r>
        <w:rPr>
          <w:color w:val="231F20"/>
          <w:w w:val="115"/>
          <w:sz w:val="19"/>
        </w:rPr>
        <w:t>ings</w:t>
      </w:r>
      <w:r>
        <w:rPr>
          <w:color w:val="231F20"/>
          <w:spacing w:val="-15"/>
          <w:w w:val="115"/>
          <w:sz w:val="19"/>
        </w:rPr>
        <w:t> </w:t>
      </w:r>
      <w:r>
        <w:rPr>
          <w:color w:val="231F20"/>
          <w:w w:val="115"/>
          <w:sz w:val="19"/>
        </w:rPr>
        <w:t>to</w:t>
      </w:r>
      <w:r>
        <w:rPr>
          <w:color w:val="231F20"/>
          <w:spacing w:val="-15"/>
          <w:w w:val="115"/>
          <w:sz w:val="19"/>
        </w:rPr>
        <w:t> </w:t>
      </w:r>
      <w:r>
        <w:rPr>
          <w:color w:val="231F20"/>
          <w:w w:val="115"/>
          <w:sz w:val="19"/>
        </w:rPr>
        <w:t>break</w:t>
      </w:r>
      <w:r>
        <w:rPr>
          <w:color w:val="231F20"/>
          <w:spacing w:val="-15"/>
          <w:w w:val="115"/>
          <w:sz w:val="19"/>
        </w:rPr>
        <w:t> </w:t>
      </w:r>
      <w:r>
        <w:rPr>
          <w:color w:val="231F20"/>
          <w:w w:val="115"/>
          <w:sz w:val="19"/>
        </w:rPr>
        <w:t>up</w:t>
      </w:r>
      <w:r>
        <w:rPr>
          <w:color w:val="231F20"/>
          <w:spacing w:val="-15"/>
          <w:w w:val="115"/>
          <w:sz w:val="19"/>
        </w:rPr>
        <w:t> </w:t>
      </w:r>
      <w:r>
        <w:rPr>
          <w:color w:val="231F20"/>
          <w:w w:val="115"/>
          <w:sz w:val="19"/>
        </w:rPr>
        <w:t>different</w:t>
      </w:r>
      <w:r>
        <w:rPr>
          <w:color w:val="231F20"/>
          <w:spacing w:val="-15"/>
          <w:w w:val="115"/>
          <w:sz w:val="19"/>
        </w:rPr>
        <w:t> </w:t>
      </w:r>
      <w:r>
        <w:rPr>
          <w:color w:val="231F20"/>
          <w:w w:val="115"/>
          <w:sz w:val="19"/>
        </w:rPr>
        <w:t>thoughts</w:t>
      </w:r>
      <w:r>
        <w:rPr>
          <w:color w:val="231F20"/>
          <w:spacing w:val="-15"/>
          <w:w w:val="115"/>
          <w:sz w:val="19"/>
        </w:rPr>
        <w:t> </w:t>
      </w:r>
      <w:r>
        <w:rPr>
          <w:color w:val="231F20"/>
          <w:w w:val="115"/>
          <w:sz w:val="19"/>
        </w:rPr>
        <w:t>to</w:t>
      </w:r>
      <w:r>
        <w:rPr>
          <w:color w:val="231F20"/>
          <w:spacing w:val="-15"/>
          <w:w w:val="115"/>
          <w:sz w:val="19"/>
        </w:rPr>
        <w:t> </w:t>
      </w:r>
      <w:r>
        <w:rPr>
          <w:color w:val="231F20"/>
          <w:w w:val="115"/>
          <w:sz w:val="19"/>
        </w:rPr>
        <w:t>eliminate</w:t>
      </w:r>
      <w:r>
        <w:rPr>
          <w:color w:val="231F20"/>
          <w:spacing w:val="-15"/>
          <w:w w:val="115"/>
          <w:sz w:val="19"/>
        </w:rPr>
        <w:t> </w:t>
      </w:r>
      <w:r>
        <w:rPr>
          <w:color w:val="231F20"/>
          <w:w w:val="115"/>
          <w:sz w:val="19"/>
        </w:rPr>
        <w:t>transitional paragraphs. Try to keep your memo to one page. Addi- tional information can be attached.</w:t>
      </w:r>
    </w:p>
    <w:p>
      <w:pPr>
        <w:pStyle w:val="ListParagraph"/>
        <w:numPr>
          <w:ilvl w:val="1"/>
          <w:numId w:val="55"/>
        </w:numPr>
        <w:tabs>
          <w:tab w:pos="1521" w:val="left" w:leader="none"/>
        </w:tabs>
        <w:spacing w:line="328" w:lineRule="auto" w:before="3" w:after="0"/>
        <w:ind w:left="1519" w:right="758" w:hanging="222"/>
        <w:jc w:val="both"/>
        <w:rPr>
          <w:sz w:val="19"/>
        </w:rPr>
      </w:pPr>
      <w:r>
        <w:rPr>
          <w:color w:val="231F20"/>
          <w:w w:val="115"/>
          <w:sz w:val="19"/>
        </w:rPr>
        <w:t>Use “spell and grammar” check twice before you send a memo. Read the final draft before you send it.</w:t>
      </w:r>
    </w:p>
    <w:p>
      <w:pPr>
        <w:pStyle w:val="BodyText"/>
        <w:rPr>
          <w:rFonts w:ascii="Arial"/>
          <w:sz w:val="20"/>
        </w:rPr>
      </w:pPr>
    </w:p>
    <w:p>
      <w:pPr>
        <w:pStyle w:val="BodyText"/>
        <w:spacing w:before="2"/>
        <w:rPr>
          <w:rFonts w:ascii="Arial"/>
          <w:sz w:val="28"/>
        </w:rPr>
      </w:pPr>
    </w:p>
    <w:p>
      <w:pPr>
        <w:pStyle w:val="Heading4"/>
        <w:ind w:left="1888" w:right="0"/>
        <w:jc w:val="both"/>
      </w:pPr>
      <w:hyperlink w:history="true" w:anchor="_bookmark1">
        <w:r>
          <w:rPr>
            <w:color w:val="0000FF"/>
            <w:w w:val="85"/>
          </w:rPr>
          <w:t>THE</w:t>
        </w:r>
        <w:r>
          <w:rPr>
            <w:color w:val="0000FF"/>
            <w:spacing w:val="21"/>
          </w:rPr>
          <w:t> </w:t>
        </w:r>
        <w:r>
          <w:rPr>
            <w:color w:val="0000FF"/>
            <w:spacing w:val="11"/>
            <w:w w:val="85"/>
          </w:rPr>
          <w:t>TEN-</w:t>
        </w:r>
        <w:r>
          <w:rPr>
            <w:color w:val="0000FF"/>
            <w:spacing w:val="9"/>
            <w:w w:val="85"/>
          </w:rPr>
          <w:t>MINUTE</w:t>
        </w:r>
        <w:r>
          <w:rPr>
            <w:color w:val="0000FF"/>
            <w:spacing w:val="21"/>
          </w:rPr>
          <w:t> </w:t>
        </w:r>
        <w:r>
          <w:rPr>
            <w:color w:val="0000FF"/>
            <w:w w:val="85"/>
          </w:rPr>
          <w:t>REAL</w:t>
        </w:r>
        <w:r>
          <w:rPr>
            <w:color w:val="0000FF"/>
            <w:spacing w:val="21"/>
          </w:rPr>
          <w:t> </w:t>
        </w:r>
        <w:r>
          <w:rPr>
            <w:color w:val="0000FF"/>
            <w:w w:val="85"/>
          </w:rPr>
          <w:t>ESTATE</w:t>
        </w:r>
        <w:r>
          <w:rPr>
            <w:color w:val="0000FF"/>
            <w:spacing w:val="21"/>
          </w:rPr>
          <w:t> </w:t>
        </w:r>
        <w:r>
          <w:rPr>
            <w:color w:val="0000FF"/>
            <w:spacing w:val="8"/>
            <w:w w:val="85"/>
          </w:rPr>
          <w:t>INVESTOR</w:t>
        </w:r>
      </w:hyperlink>
    </w:p>
    <w:p>
      <w:pPr>
        <w:pStyle w:val="BodyText"/>
        <w:spacing w:before="9"/>
        <w:rPr>
          <w:rFonts w:ascii="Trebuchet MS"/>
          <w:sz w:val="30"/>
        </w:rPr>
      </w:pPr>
    </w:p>
    <w:p>
      <w:pPr>
        <w:pStyle w:val="BodyText"/>
        <w:spacing w:line="292" w:lineRule="auto"/>
        <w:ind w:left="830" w:right="753"/>
        <w:jc w:val="both"/>
      </w:pPr>
      <w:r>
        <w:rPr>
          <w:color w:val="231F20"/>
        </w:rPr>
        <w:t>Real estate became an area of great interest in the late 1990s and the early 2000s as the stock market soured and interest rates </w:t>
      </w:r>
      <w:r>
        <w:rPr>
          <w:color w:val="231F20"/>
        </w:rPr>
        <w:t>remained low. Since a great proportion of the wealth of the world’s richest people was created investing in real estate, every MBA should know the basics of real estate. The object of real estate investing is to</w:t>
      </w:r>
      <w:r>
        <w:rPr>
          <w:color w:val="231F20"/>
          <w:spacing w:val="80"/>
        </w:rPr>
        <w:t> </w:t>
      </w:r>
      <w:r>
        <w:rPr>
          <w:color w:val="231F20"/>
        </w:rPr>
        <w:t>create wealth by leveraging your initial investment, taking advan- tage of government tax benefits, and selecting excellent undervalued </w:t>
      </w:r>
      <w:r>
        <w:rPr>
          <w:color w:val="231F20"/>
          <w:spacing w:val="-2"/>
        </w:rPr>
        <w:t>properties.</w:t>
      </w:r>
    </w:p>
    <w:p>
      <w:pPr>
        <w:pStyle w:val="BodyText"/>
        <w:spacing w:line="292" w:lineRule="auto"/>
        <w:ind w:left="829" w:right="753" w:firstLine="340"/>
        <w:jc w:val="both"/>
      </w:pPr>
      <w:r>
        <w:rPr>
          <w:color w:val="231F20"/>
        </w:rPr>
        <w:t>Cash flow is the critical element in real estate investing. Cash</w:t>
      </w:r>
      <w:r>
        <w:rPr>
          <w:color w:val="231F20"/>
          <w:spacing w:val="80"/>
        </w:rPr>
        <w:t> </w:t>
      </w:r>
      <w:r>
        <w:rPr>
          <w:color w:val="231F20"/>
        </w:rPr>
        <w:t>flow allows you to pay the bills and pay yourself. Cash flow is calcu- lated by subtracting the mortgage payment and other operating expenses from the rent you collect. With the cash flow you can main- tain and increase your property portfolio and pay yourself. For a residential property the lease is a simple monthly payment contract. Commercial property leases come in two types. In a </w:t>
      </w:r>
      <w:r>
        <w:rPr>
          <w:i/>
          <w:color w:val="231F20"/>
        </w:rPr>
        <w:t>gross lease </w:t>
      </w:r>
      <w:r>
        <w:rPr>
          <w:color w:val="231F20"/>
        </w:rPr>
        <w:t>the tenant</w:t>
      </w:r>
      <w:r>
        <w:rPr>
          <w:color w:val="231F20"/>
          <w:spacing w:val="-2"/>
        </w:rPr>
        <w:t> </w:t>
      </w:r>
      <w:r>
        <w:rPr>
          <w:color w:val="231F20"/>
        </w:rPr>
        <w:t>pays</w:t>
      </w:r>
      <w:r>
        <w:rPr>
          <w:color w:val="231F20"/>
          <w:spacing w:val="-2"/>
        </w:rPr>
        <w:t> </w:t>
      </w:r>
      <w:r>
        <w:rPr>
          <w:color w:val="231F20"/>
        </w:rPr>
        <w:t>the</w:t>
      </w:r>
      <w:r>
        <w:rPr>
          <w:color w:val="231F20"/>
          <w:spacing w:val="-2"/>
        </w:rPr>
        <w:t> </w:t>
      </w:r>
      <w:r>
        <w:rPr>
          <w:color w:val="231F20"/>
        </w:rPr>
        <w:t>rent</w:t>
      </w:r>
      <w:r>
        <w:rPr>
          <w:color w:val="231F20"/>
          <w:spacing w:val="-2"/>
        </w:rPr>
        <w:t> </w:t>
      </w:r>
      <w:r>
        <w:rPr>
          <w:color w:val="231F20"/>
        </w:rPr>
        <w:t>and</w:t>
      </w:r>
      <w:r>
        <w:rPr>
          <w:color w:val="231F20"/>
          <w:spacing w:val="-2"/>
        </w:rPr>
        <w:t> </w:t>
      </w:r>
      <w:r>
        <w:rPr>
          <w:color w:val="231F20"/>
        </w:rPr>
        <w:t>the</w:t>
      </w:r>
      <w:r>
        <w:rPr>
          <w:color w:val="231F20"/>
          <w:spacing w:val="-2"/>
        </w:rPr>
        <w:t> </w:t>
      </w:r>
      <w:r>
        <w:rPr>
          <w:color w:val="231F20"/>
        </w:rPr>
        <w:t>owner</w:t>
      </w:r>
      <w:r>
        <w:rPr>
          <w:color w:val="231F20"/>
          <w:spacing w:val="-2"/>
        </w:rPr>
        <w:t> </w:t>
      </w:r>
      <w:r>
        <w:rPr>
          <w:color w:val="231F20"/>
        </w:rPr>
        <w:t>pays</w:t>
      </w:r>
      <w:r>
        <w:rPr>
          <w:color w:val="231F20"/>
          <w:spacing w:val="-2"/>
        </w:rPr>
        <w:t> </w:t>
      </w:r>
      <w:r>
        <w:rPr>
          <w:color w:val="231F20"/>
        </w:rPr>
        <w:t>all</w:t>
      </w:r>
      <w:r>
        <w:rPr>
          <w:color w:val="231F20"/>
          <w:spacing w:val="-2"/>
        </w:rPr>
        <w:t> </w:t>
      </w:r>
      <w:r>
        <w:rPr>
          <w:color w:val="231F20"/>
        </w:rPr>
        <w:t>operating</w:t>
      </w:r>
      <w:r>
        <w:rPr>
          <w:color w:val="231F20"/>
          <w:spacing w:val="-2"/>
        </w:rPr>
        <w:t> </w:t>
      </w:r>
      <w:r>
        <w:rPr>
          <w:color w:val="231F20"/>
        </w:rPr>
        <w:t>expenses</w:t>
      </w:r>
      <w:r>
        <w:rPr>
          <w:color w:val="231F20"/>
          <w:spacing w:val="-2"/>
        </w:rPr>
        <w:t> </w:t>
      </w:r>
      <w:r>
        <w:rPr>
          <w:color w:val="231F20"/>
        </w:rPr>
        <w:t>other than utilities. In a </w:t>
      </w:r>
      <w:r>
        <w:rPr>
          <w:i/>
          <w:color w:val="231F20"/>
        </w:rPr>
        <w:t>triple net lease, </w:t>
      </w:r>
      <w:r>
        <w:rPr>
          <w:color w:val="231F20"/>
        </w:rPr>
        <w:t>the tenant pays the rent, taxes, in- surance, utilities, and maintenance.</w:t>
      </w:r>
    </w:p>
    <w:p>
      <w:pPr>
        <w:pStyle w:val="BodyText"/>
        <w:spacing w:line="292" w:lineRule="auto"/>
        <w:ind w:left="830" w:right="754" w:firstLine="340"/>
        <w:jc w:val="both"/>
      </w:pPr>
      <w:r>
        <w:rPr>
          <w:color w:val="231F20"/>
        </w:rPr>
        <w:t>With the lease payments there are three types of operating ex- penses. Operating expenses have a fixed, a variable, and a </w:t>
      </w:r>
      <w:r>
        <w:rPr>
          <w:color w:val="231F20"/>
        </w:rPr>
        <w:t>planned portion.</w:t>
      </w:r>
      <w:r>
        <w:rPr>
          <w:color w:val="231F20"/>
          <w:spacing w:val="40"/>
        </w:rPr>
        <w:t> </w:t>
      </w:r>
      <w:r>
        <w:rPr>
          <w:i/>
          <w:color w:val="231F20"/>
        </w:rPr>
        <w:t>Fixed</w:t>
      </w:r>
      <w:r>
        <w:rPr>
          <w:i/>
          <w:color w:val="231F20"/>
          <w:spacing w:val="40"/>
        </w:rPr>
        <w:t> </w:t>
      </w:r>
      <w:r>
        <w:rPr>
          <w:color w:val="231F20"/>
        </w:rPr>
        <w:t>expenses</w:t>
      </w:r>
      <w:r>
        <w:rPr>
          <w:color w:val="231F20"/>
          <w:spacing w:val="40"/>
        </w:rPr>
        <w:t> </w:t>
      </w:r>
      <w:r>
        <w:rPr>
          <w:color w:val="231F20"/>
        </w:rPr>
        <w:t>include</w:t>
      </w:r>
      <w:r>
        <w:rPr>
          <w:color w:val="231F20"/>
          <w:spacing w:val="40"/>
        </w:rPr>
        <w:t> </w:t>
      </w:r>
      <w:r>
        <w:rPr>
          <w:color w:val="231F20"/>
        </w:rPr>
        <w:t>taxes</w:t>
      </w:r>
      <w:r>
        <w:rPr>
          <w:color w:val="231F20"/>
          <w:spacing w:val="40"/>
        </w:rPr>
        <w:t> </w:t>
      </w:r>
      <w:r>
        <w:rPr>
          <w:color w:val="231F20"/>
        </w:rPr>
        <w:t>and</w:t>
      </w:r>
      <w:r>
        <w:rPr>
          <w:color w:val="231F20"/>
          <w:spacing w:val="40"/>
        </w:rPr>
        <w:t> </w:t>
      </w:r>
      <w:r>
        <w:rPr>
          <w:color w:val="231F20"/>
        </w:rPr>
        <w:t>insurance,</w:t>
      </w:r>
      <w:r>
        <w:rPr>
          <w:color w:val="231F20"/>
          <w:spacing w:val="40"/>
        </w:rPr>
        <w:t> </w:t>
      </w:r>
      <w:r>
        <w:rPr>
          <w:color w:val="231F20"/>
        </w:rPr>
        <w:t>which</w:t>
      </w:r>
      <w:r>
        <w:rPr>
          <w:color w:val="231F20"/>
          <w:spacing w:val="40"/>
        </w:rPr>
        <w:t> </w:t>
      </w:r>
      <w:r>
        <w:rPr>
          <w:color w:val="231F20"/>
        </w:rPr>
        <w:t>are often paid in large payments annually or quarterly. </w:t>
      </w:r>
      <w:r>
        <w:rPr>
          <w:i/>
          <w:color w:val="231F20"/>
        </w:rPr>
        <w:t>Variable </w:t>
      </w:r>
      <w:r>
        <w:rPr>
          <w:color w:val="231F20"/>
        </w:rPr>
        <w:t>ex- penses</w:t>
      </w:r>
      <w:r>
        <w:rPr>
          <w:color w:val="231F20"/>
          <w:spacing w:val="18"/>
        </w:rPr>
        <w:t> </w:t>
      </w:r>
      <w:r>
        <w:rPr>
          <w:color w:val="231F20"/>
        </w:rPr>
        <w:t>include</w:t>
      </w:r>
      <w:r>
        <w:rPr>
          <w:color w:val="231F20"/>
          <w:spacing w:val="18"/>
        </w:rPr>
        <w:t> </w:t>
      </w:r>
      <w:r>
        <w:rPr>
          <w:color w:val="231F20"/>
        </w:rPr>
        <w:t>utility</w:t>
      </w:r>
      <w:r>
        <w:rPr>
          <w:color w:val="231F20"/>
          <w:spacing w:val="18"/>
        </w:rPr>
        <w:t> </w:t>
      </w:r>
      <w:r>
        <w:rPr>
          <w:color w:val="231F20"/>
        </w:rPr>
        <w:t>payments</w:t>
      </w:r>
      <w:r>
        <w:rPr>
          <w:color w:val="231F20"/>
          <w:spacing w:val="18"/>
        </w:rPr>
        <w:t> </w:t>
      </w:r>
      <w:r>
        <w:rPr>
          <w:color w:val="231F20"/>
        </w:rPr>
        <w:t>not</w:t>
      </w:r>
      <w:r>
        <w:rPr>
          <w:color w:val="231F20"/>
          <w:spacing w:val="18"/>
        </w:rPr>
        <w:t> </w:t>
      </w:r>
      <w:r>
        <w:rPr>
          <w:color w:val="231F20"/>
        </w:rPr>
        <w:t>assumed</w:t>
      </w:r>
      <w:r>
        <w:rPr>
          <w:color w:val="231F20"/>
          <w:spacing w:val="18"/>
        </w:rPr>
        <w:t> </w:t>
      </w:r>
      <w:r>
        <w:rPr>
          <w:color w:val="231F20"/>
        </w:rPr>
        <w:t>by</w:t>
      </w:r>
      <w:r>
        <w:rPr>
          <w:color w:val="231F20"/>
          <w:spacing w:val="18"/>
        </w:rPr>
        <w:t> </w:t>
      </w:r>
      <w:r>
        <w:rPr>
          <w:color w:val="231F20"/>
        </w:rPr>
        <w:t>the</w:t>
      </w:r>
      <w:r>
        <w:rPr>
          <w:color w:val="231F20"/>
          <w:spacing w:val="18"/>
        </w:rPr>
        <w:t> </w:t>
      </w:r>
      <w:r>
        <w:rPr>
          <w:color w:val="231F20"/>
        </w:rPr>
        <w:t>tenant,</w:t>
      </w:r>
      <w:r>
        <w:rPr>
          <w:color w:val="231F20"/>
          <w:spacing w:val="18"/>
        </w:rPr>
        <w:t> </w:t>
      </w:r>
      <w:r>
        <w:rPr>
          <w:color w:val="231F20"/>
          <w:spacing w:val="-2"/>
        </w:rPr>
        <w:t>repairs,</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19" w:right="666"/>
        <w:jc w:val="both"/>
      </w:pPr>
      <w:r>
        <w:rPr>
          <w:color w:val="231F20"/>
        </w:rPr>
        <w:t>maintenance, and a provision for vacancies between tenants. In </w:t>
      </w:r>
      <w:r>
        <w:rPr>
          <w:color w:val="231F20"/>
        </w:rPr>
        <w:t>ad- dition, </w:t>
      </w:r>
      <w:r>
        <w:rPr>
          <w:i/>
          <w:color w:val="231F20"/>
        </w:rPr>
        <w:t>planned </w:t>
      </w:r>
      <w:r>
        <w:rPr>
          <w:color w:val="231F20"/>
        </w:rPr>
        <w:t>expenses are those with a longer useful life, such as a new roof, furnace, or exterior siding or painting.</w:t>
      </w:r>
    </w:p>
    <w:p>
      <w:pPr>
        <w:pStyle w:val="BodyText"/>
        <w:spacing w:line="292" w:lineRule="auto"/>
        <w:ind w:left="919" w:right="665" w:firstLine="340"/>
        <w:jc w:val="both"/>
      </w:pPr>
      <w:r>
        <w:rPr>
          <w:color w:val="231F20"/>
        </w:rPr>
        <w:t>A large part of your investment profit is from the reduction </w:t>
      </w:r>
      <w:r>
        <w:rPr>
          <w:color w:val="231F20"/>
        </w:rPr>
        <w:t>of mortgage</w:t>
      </w:r>
      <w:r>
        <w:rPr>
          <w:color w:val="231F20"/>
          <w:spacing w:val="40"/>
        </w:rPr>
        <w:t> </w:t>
      </w:r>
      <w:r>
        <w:rPr>
          <w:color w:val="231F20"/>
        </w:rPr>
        <w:t>principal</w:t>
      </w:r>
      <w:r>
        <w:rPr>
          <w:color w:val="231F20"/>
          <w:spacing w:val="40"/>
        </w:rPr>
        <w:t> </w:t>
      </w:r>
      <w:r>
        <w:rPr>
          <w:color w:val="231F20"/>
        </w:rPr>
        <w:t>paid</w:t>
      </w:r>
      <w:r>
        <w:rPr>
          <w:color w:val="231F20"/>
          <w:spacing w:val="40"/>
        </w:rPr>
        <w:t> </w:t>
      </w:r>
      <w:r>
        <w:rPr>
          <w:color w:val="231F20"/>
        </w:rPr>
        <w:t>for</w:t>
      </w:r>
      <w:r>
        <w:rPr>
          <w:color w:val="231F20"/>
          <w:spacing w:val="40"/>
        </w:rPr>
        <w:t> </w:t>
      </w:r>
      <w:r>
        <w:rPr>
          <w:color w:val="231F20"/>
        </w:rPr>
        <w:t>by</w:t>
      </w:r>
      <w:r>
        <w:rPr>
          <w:color w:val="231F20"/>
          <w:spacing w:val="40"/>
        </w:rPr>
        <w:t> </w:t>
      </w:r>
      <w:r>
        <w:rPr>
          <w:color w:val="231F20"/>
        </w:rPr>
        <w:t>the</w:t>
      </w:r>
      <w:r>
        <w:rPr>
          <w:color w:val="231F20"/>
          <w:spacing w:val="40"/>
        </w:rPr>
        <w:t> </w:t>
      </w:r>
      <w:r>
        <w:rPr>
          <w:color w:val="231F20"/>
        </w:rPr>
        <w:t>renters.</w:t>
      </w:r>
      <w:r>
        <w:rPr>
          <w:color w:val="231F20"/>
          <w:spacing w:val="40"/>
        </w:rPr>
        <w:t> </w:t>
      </w:r>
      <w:r>
        <w:rPr>
          <w:color w:val="231F20"/>
        </w:rPr>
        <w:t>As</w:t>
      </w:r>
      <w:r>
        <w:rPr>
          <w:color w:val="231F20"/>
          <w:spacing w:val="40"/>
        </w:rPr>
        <w:t> </w:t>
      </w:r>
      <w:r>
        <w:rPr>
          <w:color w:val="231F20"/>
        </w:rPr>
        <w:t>the</w:t>
      </w:r>
      <w:r>
        <w:rPr>
          <w:color w:val="231F20"/>
          <w:spacing w:val="40"/>
        </w:rPr>
        <w:t> </w:t>
      </w:r>
      <w:r>
        <w:rPr>
          <w:color w:val="231F20"/>
        </w:rPr>
        <w:t>balance</w:t>
      </w:r>
      <w:r>
        <w:rPr>
          <w:color w:val="231F20"/>
          <w:spacing w:val="40"/>
        </w:rPr>
        <w:t> </w:t>
      </w:r>
      <w:r>
        <w:rPr>
          <w:color w:val="231F20"/>
        </w:rPr>
        <w:t>of</w:t>
      </w:r>
      <w:r>
        <w:rPr>
          <w:color w:val="231F20"/>
          <w:spacing w:val="40"/>
        </w:rPr>
        <w:t> </w:t>
      </w:r>
      <w:r>
        <w:rPr>
          <w:color w:val="231F20"/>
        </w:rPr>
        <w:t>the loan is paid, your equity increases as time passes, even if the prop- erty’s value remains the same.</w:t>
      </w:r>
    </w:p>
    <w:p>
      <w:pPr>
        <w:pStyle w:val="BodyText"/>
        <w:spacing w:line="292" w:lineRule="auto"/>
        <w:ind w:left="919" w:right="666" w:firstLine="340"/>
        <w:jc w:val="both"/>
      </w:pPr>
      <w:r>
        <w:rPr>
          <w:color w:val="231F20"/>
        </w:rPr>
        <w:t>As</w:t>
      </w:r>
      <w:r>
        <w:rPr>
          <w:color w:val="231F20"/>
          <w:spacing w:val="-1"/>
        </w:rPr>
        <w:t> </w:t>
      </w:r>
      <w:r>
        <w:rPr>
          <w:color w:val="231F20"/>
        </w:rPr>
        <w:t>discussed</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finance</w:t>
      </w:r>
      <w:r>
        <w:rPr>
          <w:color w:val="231F20"/>
          <w:spacing w:val="-1"/>
        </w:rPr>
        <w:t> </w:t>
      </w:r>
      <w:r>
        <w:rPr>
          <w:color w:val="231F20"/>
        </w:rPr>
        <w:t>chapter,</w:t>
      </w:r>
      <w:r>
        <w:rPr>
          <w:color w:val="231F20"/>
          <w:spacing w:val="-1"/>
        </w:rPr>
        <w:t> </w:t>
      </w:r>
      <w:r>
        <w:rPr>
          <w:color w:val="231F20"/>
        </w:rPr>
        <w:t>leverage</w:t>
      </w:r>
      <w:r>
        <w:rPr>
          <w:color w:val="231F20"/>
          <w:spacing w:val="-1"/>
        </w:rPr>
        <w:t> </w:t>
      </w:r>
      <w:r>
        <w:rPr>
          <w:color w:val="231F20"/>
        </w:rPr>
        <w:t>increases</w:t>
      </w:r>
      <w:r>
        <w:rPr>
          <w:color w:val="231F20"/>
          <w:spacing w:val="-1"/>
        </w:rPr>
        <w:t> </w:t>
      </w:r>
      <w:r>
        <w:rPr>
          <w:color w:val="231F20"/>
        </w:rPr>
        <w:t>the</w:t>
      </w:r>
      <w:r>
        <w:rPr>
          <w:color w:val="231F20"/>
          <w:spacing w:val="-1"/>
        </w:rPr>
        <w:t> </w:t>
      </w:r>
      <w:r>
        <w:rPr>
          <w:color w:val="231F20"/>
        </w:rPr>
        <w:t>return on your investment. This is one of the few transactions in which the average person can be engaged in very leveraged transactions. Mort- gages with 5 percent down are leveraged at a twenty-to-one ratio. At 20 percent down, your gains are leveraged by a factor of five. That is why large returns are possible on a relatively small investment. As a property increases in value, you can borrow against the equity and invest in more properties or take cash. In an era of rising property values, fortunes are created. In declining markets, investments can</w:t>
      </w:r>
      <w:r>
        <w:rPr>
          <w:color w:val="231F20"/>
          <w:spacing w:val="40"/>
        </w:rPr>
        <w:t> </w:t>
      </w:r>
      <w:r>
        <w:rPr>
          <w:color w:val="231F20"/>
        </w:rPr>
        <w:t>be wiped out. However, real estate is far more durable than a biotechnology stock. Unless the property has an extreme environ- mental problem, one person’s bust lays the groundwork for another investor’s fortune.</w:t>
      </w:r>
    </w:p>
    <w:p>
      <w:pPr>
        <w:pStyle w:val="BodyText"/>
        <w:spacing w:line="292" w:lineRule="auto"/>
        <w:ind w:left="919" w:right="663" w:firstLine="340"/>
        <w:jc w:val="both"/>
      </w:pPr>
      <w:r>
        <w:rPr>
          <w:color w:val="231F20"/>
        </w:rPr>
        <w:t>Appreciation in property values come from inflation, supply </w:t>
      </w:r>
      <w:r>
        <w:rPr>
          <w:color w:val="231F20"/>
        </w:rPr>
        <w:t>and demand in the market, and the opportunities for other uses for the property. If a residential property has commercial possibilities, it can become more valuable. That is called the property’s “highest and</w:t>
      </w:r>
      <w:r>
        <w:rPr>
          <w:color w:val="231F20"/>
          <w:spacing w:val="80"/>
        </w:rPr>
        <w:t> </w:t>
      </w:r>
      <w:r>
        <w:rPr>
          <w:color w:val="231F20"/>
        </w:rPr>
        <w:t>best use.” Real estate investing is a local business. Prices differ</w:t>
      </w:r>
      <w:r>
        <w:rPr>
          <w:color w:val="231F20"/>
          <w:spacing w:val="40"/>
        </w:rPr>
        <w:t> </w:t>
      </w:r>
      <w:r>
        <w:rPr>
          <w:color w:val="231F20"/>
        </w:rPr>
        <w:t>greatly by city, neighborhood, and block. If you think that the value</w:t>
      </w:r>
      <w:r>
        <w:rPr>
          <w:color w:val="231F20"/>
          <w:spacing w:val="80"/>
        </w:rPr>
        <w:t> </w:t>
      </w:r>
      <w:r>
        <w:rPr>
          <w:color w:val="231F20"/>
        </w:rPr>
        <w:t>of the investment lies in fixing up the property, then get competent appraisals of the fixes required.</w:t>
      </w:r>
    </w:p>
    <w:p>
      <w:pPr>
        <w:pStyle w:val="BodyText"/>
        <w:spacing w:line="292" w:lineRule="auto"/>
        <w:ind w:left="919" w:right="663" w:firstLine="340"/>
        <w:jc w:val="both"/>
      </w:pPr>
      <w:r>
        <w:rPr>
          <w:color w:val="231F20"/>
        </w:rPr>
        <w:t>The deductibility of loan interest for tax purposes is a tax shelter provided to all property owners that subsidizes your purchase. As opposed to nondeductible credit-card interest, the government helps you by lowering your after-tax cost of borrowing. The U.S govern- ment</w:t>
      </w:r>
      <w:r>
        <w:rPr>
          <w:color w:val="231F20"/>
          <w:spacing w:val="40"/>
        </w:rPr>
        <w:t> </w:t>
      </w:r>
      <w:r>
        <w:rPr>
          <w:color w:val="231F20"/>
        </w:rPr>
        <w:t>also</w:t>
      </w:r>
      <w:r>
        <w:rPr>
          <w:color w:val="231F20"/>
          <w:spacing w:val="40"/>
        </w:rPr>
        <w:t> </w:t>
      </w:r>
      <w:r>
        <w:rPr>
          <w:color w:val="231F20"/>
        </w:rPr>
        <w:t>has</w:t>
      </w:r>
      <w:r>
        <w:rPr>
          <w:color w:val="231F20"/>
          <w:spacing w:val="40"/>
        </w:rPr>
        <w:t> </w:t>
      </w:r>
      <w:r>
        <w:rPr>
          <w:color w:val="231F20"/>
        </w:rPr>
        <w:t>programs</w:t>
      </w:r>
      <w:r>
        <w:rPr>
          <w:color w:val="231F20"/>
          <w:spacing w:val="40"/>
        </w:rPr>
        <w:t> </w:t>
      </w:r>
      <w:r>
        <w:rPr>
          <w:color w:val="231F20"/>
        </w:rPr>
        <w:t>from</w:t>
      </w:r>
      <w:r>
        <w:rPr>
          <w:color w:val="231F20"/>
          <w:spacing w:val="40"/>
        </w:rPr>
        <w:t> </w:t>
      </w:r>
      <w:r>
        <w:rPr>
          <w:color w:val="231F20"/>
        </w:rPr>
        <w:t>the</w:t>
      </w:r>
      <w:r>
        <w:rPr>
          <w:color w:val="231F20"/>
          <w:spacing w:val="40"/>
        </w:rPr>
        <w:t> </w:t>
      </w:r>
      <w:r>
        <w:rPr>
          <w:color w:val="231F20"/>
        </w:rPr>
        <w:t>Department</w:t>
      </w:r>
      <w:r>
        <w:rPr>
          <w:color w:val="231F20"/>
          <w:spacing w:val="40"/>
        </w:rPr>
        <w:t> </w:t>
      </w:r>
      <w:r>
        <w:rPr>
          <w:color w:val="231F20"/>
        </w:rPr>
        <w:t>of</w:t>
      </w:r>
      <w:r>
        <w:rPr>
          <w:color w:val="231F20"/>
          <w:spacing w:val="40"/>
        </w:rPr>
        <w:t> </w:t>
      </w:r>
      <w:r>
        <w:rPr>
          <w:color w:val="231F20"/>
        </w:rPr>
        <w:t>Housing</w:t>
      </w:r>
      <w:r>
        <w:rPr>
          <w:color w:val="231F20"/>
          <w:spacing w:val="40"/>
        </w:rPr>
        <w:t> </w:t>
      </w:r>
      <w:r>
        <w:rPr>
          <w:color w:val="231F20"/>
        </w:rPr>
        <w:t>and Urban</w:t>
      </w:r>
      <w:r>
        <w:rPr>
          <w:color w:val="231F20"/>
          <w:spacing w:val="40"/>
        </w:rPr>
        <w:t> </w:t>
      </w:r>
      <w:r>
        <w:rPr>
          <w:color w:val="231F20"/>
        </w:rPr>
        <w:t>Development</w:t>
      </w:r>
      <w:r>
        <w:rPr>
          <w:color w:val="231F20"/>
          <w:spacing w:val="40"/>
        </w:rPr>
        <w:t> </w:t>
      </w:r>
      <w:r>
        <w:rPr>
          <w:color w:val="231F20"/>
        </w:rPr>
        <w:t>(HUD),</w:t>
      </w:r>
      <w:r>
        <w:rPr>
          <w:color w:val="231F20"/>
          <w:spacing w:val="40"/>
        </w:rPr>
        <w:t> </w:t>
      </w:r>
      <w:r>
        <w:rPr>
          <w:color w:val="231F20"/>
        </w:rPr>
        <w:t>Federal</w:t>
      </w:r>
      <w:r>
        <w:rPr>
          <w:color w:val="231F20"/>
          <w:spacing w:val="40"/>
        </w:rPr>
        <w:t> </w:t>
      </w:r>
      <w:r>
        <w:rPr>
          <w:color w:val="231F20"/>
        </w:rPr>
        <w:t>Housing</w:t>
      </w:r>
      <w:r>
        <w:rPr>
          <w:color w:val="231F20"/>
          <w:spacing w:val="40"/>
        </w:rPr>
        <w:t> </w:t>
      </w:r>
      <w:r>
        <w:rPr>
          <w:color w:val="231F20"/>
        </w:rPr>
        <w:t>Administration</w:t>
      </w:r>
      <w:r>
        <w:rPr>
          <w:color w:val="231F20"/>
          <w:spacing w:val="40"/>
        </w:rPr>
        <w:t> </w:t>
      </w:r>
      <w:r>
        <w:rPr>
          <w:color w:val="231F20"/>
        </w:rPr>
        <w:t>(FHA), and the Veterans Administration (VA) that can help you </w:t>
      </w:r>
      <w:r>
        <w:rPr>
          <w:color w:val="231F20"/>
        </w:rPr>
        <w:t>ob- tain the financing required to buy properties.</w:t>
      </w:r>
    </w:p>
    <w:p>
      <w:pPr>
        <w:spacing w:after="0" w:line="292" w:lineRule="auto"/>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30" w:right="756" w:firstLine="340"/>
        <w:jc w:val="both"/>
      </w:pPr>
      <w:r>
        <w:rPr>
          <w:color w:val="231F20"/>
        </w:rPr>
        <w:t>Tax depreciation is another way the government subsidizes </w:t>
      </w:r>
      <w:r>
        <w:rPr>
          <w:color w:val="231F20"/>
        </w:rPr>
        <w:t>your purchase with a tax deduction. Tax depreciation for U.S. properties</w:t>
      </w:r>
      <w:r>
        <w:rPr>
          <w:color w:val="231F20"/>
          <w:spacing w:val="80"/>
          <w:w w:val="150"/>
        </w:rPr>
        <w:t> </w:t>
      </w:r>
      <w:r>
        <w:rPr>
          <w:color w:val="231F20"/>
        </w:rPr>
        <w:t>is 27.5 years for residential properties and 39 years for nonresiden- tial. The value of the land must be subtracted from the cost of the property being depreciated. Check your property tax bill for the as- sessed value of the structure and the total assessment. Use that ratio to multiply by your purchase price to estimate the depreciable por- tion of your investment.</w:t>
      </w:r>
    </w:p>
    <w:p>
      <w:pPr>
        <w:pStyle w:val="BodyText"/>
        <w:spacing w:line="292" w:lineRule="auto"/>
        <w:ind w:left="830" w:right="756" w:firstLine="340"/>
        <w:jc w:val="both"/>
      </w:pPr>
      <w:r>
        <w:rPr>
          <w:color w:val="231F20"/>
        </w:rPr>
        <w:t>Profits realized in real estate transactions can be rolled over into new property purchases without a tax on the profits. It’s a </w:t>
      </w:r>
      <w:r>
        <w:rPr>
          <w:color w:val="231F20"/>
        </w:rPr>
        <w:t>unique asset</w:t>
      </w:r>
      <w:r>
        <w:rPr>
          <w:color w:val="231F20"/>
          <w:spacing w:val="40"/>
        </w:rPr>
        <w:t> </w:t>
      </w:r>
      <w:r>
        <w:rPr>
          <w:color w:val="231F20"/>
        </w:rPr>
        <w:t>in</w:t>
      </w:r>
      <w:r>
        <w:rPr>
          <w:color w:val="231F20"/>
          <w:spacing w:val="40"/>
        </w:rPr>
        <w:t> </w:t>
      </w:r>
      <w:r>
        <w:rPr>
          <w:color w:val="231F20"/>
        </w:rPr>
        <w:t>that</w:t>
      </w:r>
      <w:r>
        <w:rPr>
          <w:color w:val="231F20"/>
          <w:spacing w:val="40"/>
        </w:rPr>
        <w:t> </w:t>
      </w:r>
      <w:r>
        <w:rPr>
          <w:color w:val="231F20"/>
        </w:rPr>
        <w:t>way.</w:t>
      </w:r>
      <w:r>
        <w:rPr>
          <w:color w:val="231F20"/>
          <w:spacing w:val="40"/>
        </w:rPr>
        <w:t> </w:t>
      </w:r>
      <w:r>
        <w:rPr>
          <w:color w:val="231F20"/>
        </w:rPr>
        <w:t>In</w:t>
      </w:r>
      <w:r>
        <w:rPr>
          <w:color w:val="231F20"/>
          <w:spacing w:val="40"/>
        </w:rPr>
        <w:t> </w:t>
      </w:r>
      <w:r>
        <w:rPr>
          <w:color w:val="231F20"/>
        </w:rPr>
        <w:t>an</w:t>
      </w:r>
      <w:r>
        <w:rPr>
          <w:color w:val="231F20"/>
          <w:spacing w:val="40"/>
        </w:rPr>
        <w:t> </w:t>
      </w:r>
      <w:r>
        <w:rPr>
          <w:color w:val="231F20"/>
        </w:rPr>
        <w:t>IRS</w:t>
      </w:r>
      <w:r>
        <w:rPr>
          <w:color w:val="231F20"/>
          <w:spacing w:val="40"/>
        </w:rPr>
        <w:t> </w:t>
      </w:r>
      <w:r>
        <w:rPr>
          <w:color w:val="231F20"/>
        </w:rPr>
        <w:t>1031</w:t>
      </w:r>
      <w:r>
        <w:rPr>
          <w:color w:val="231F20"/>
          <w:spacing w:val="40"/>
        </w:rPr>
        <w:t> </w:t>
      </w:r>
      <w:r>
        <w:rPr>
          <w:color w:val="231F20"/>
        </w:rPr>
        <w:t>tax-deferred</w:t>
      </w:r>
      <w:r>
        <w:rPr>
          <w:color w:val="231F20"/>
          <w:spacing w:val="40"/>
        </w:rPr>
        <w:t> </w:t>
      </w:r>
      <w:r>
        <w:rPr>
          <w:color w:val="231F20"/>
        </w:rPr>
        <w:t>exchange,</w:t>
      </w:r>
      <w:r>
        <w:rPr>
          <w:color w:val="231F20"/>
          <w:spacing w:val="40"/>
        </w:rPr>
        <w:t> </w:t>
      </w:r>
      <w:r>
        <w:rPr>
          <w:color w:val="231F20"/>
        </w:rPr>
        <w:t>you</w:t>
      </w:r>
      <w:r>
        <w:rPr>
          <w:color w:val="231F20"/>
          <w:spacing w:val="40"/>
        </w:rPr>
        <w:t> </w:t>
      </w:r>
      <w:r>
        <w:rPr>
          <w:color w:val="231F20"/>
        </w:rPr>
        <w:t>are able to roll over your equity much the way you roll over the profits</w:t>
      </w:r>
      <w:r>
        <w:rPr>
          <w:color w:val="231F20"/>
          <w:spacing w:val="80"/>
        </w:rPr>
        <w:t> </w:t>
      </w:r>
      <w:r>
        <w:rPr>
          <w:color w:val="231F20"/>
        </w:rPr>
        <w:t>of</w:t>
      </w:r>
      <w:r>
        <w:rPr>
          <w:color w:val="231F20"/>
          <w:spacing w:val="40"/>
        </w:rPr>
        <w:t> </w:t>
      </w:r>
      <w:r>
        <w:rPr>
          <w:color w:val="231F20"/>
        </w:rPr>
        <w:t>an</w:t>
      </w:r>
      <w:r>
        <w:rPr>
          <w:color w:val="231F20"/>
          <w:spacing w:val="40"/>
        </w:rPr>
        <w:t> </w:t>
      </w:r>
      <w:r>
        <w:rPr>
          <w:color w:val="231F20"/>
        </w:rPr>
        <w:t>individual</w:t>
      </w:r>
      <w:r>
        <w:rPr>
          <w:color w:val="231F20"/>
          <w:spacing w:val="40"/>
        </w:rPr>
        <w:t> </w:t>
      </w:r>
      <w:r>
        <w:rPr>
          <w:color w:val="231F20"/>
        </w:rPr>
        <w:t>retirement</w:t>
      </w:r>
      <w:r>
        <w:rPr>
          <w:color w:val="231F20"/>
          <w:spacing w:val="40"/>
        </w:rPr>
        <w:t> </w:t>
      </w:r>
      <w:r>
        <w:rPr>
          <w:color w:val="231F20"/>
        </w:rPr>
        <w:t>account</w:t>
      </w:r>
      <w:r>
        <w:rPr>
          <w:color w:val="231F20"/>
          <w:spacing w:val="40"/>
        </w:rPr>
        <w:t> </w:t>
      </w:r>
      <w:r>
        <w:rPr>
          <w:color w:val="231F20"/>
        </w:rPr>
        <w:t>into</w:t>
      </w:r>
      <w:r>
        <w:rPr>
          <w:color w:val="231F20"/>
          <w:spacing w:val="40"/>
        </w:rPr>
        <w:t> </w:t>
      </w:r>
      <w:r>
        <w:rPr>
          <w:color w:val="231F20"/>
        </w:rPr>
        <w:t>another</w:t>
      </w:r>
      <w:r>
        <w:rPr>
          <w:color w:val="231F20"/>
          <w:spacing w:val="40"/>
        </w:rPr>
        <w:t> </w:t>
      </w:r>
      <w:r>
        <w:rPr>
          <w:color w:val="231F20"/>
        </w:rPr>
        <w:t>IRA</w:t>
      </w:r>
      <w:r>
        <w:rPr>
          <w:color w:val="231F20"/>
          <w:spacing w:val="40"/>
        </w:rPr>
        <w:t> </w:t>
      </w:r>
      <w:r>
        <w:rPr>
          <w:color w:val="231F20"/>
        </w:rPr>
        <w:t>account.</w:t>
      </w:r>
      <w:r>
        <w:rPr>
          <w:color w:val="231F20"/>
          <w:spacing w:val="40"/>
        </w:rPr>
        <w:t> </w:t>
      </w:r>
      <w:r>
        <w:rPr>
          <w:color w:val="231F20"/>
        </w:rPr>
        <w:t>In this</w:t>
      </w:r>
      <w:r>
        <w:rPr>
          <w:color w:val="231F20"/>
          <w:spacing w:val="-1"/>
        </w:rPr>
        <w:t> </w:t>
      </w:r>
      <w:r>
        <w:rPr>
          <w:color w:val="231F20"/>
        </w:rPr>
        <w:t>case</w:t>
      </w:r>
      <w:r>
        <w:rPr>
          <w:color w:val="231F20"/>
          <w:spacing w:val="-1"/>
        </w:rPr>
        <w:t> </w:t>
      </w:r>
      <w:r>
        <w:rPr>
          <w:color w:val="231F20"/>
        </w:rPr>
        <w:t>your</w:t>
      </w:r>
      <w:r>
        <w:rPr>
          <w:color w:val="231F20"/>
          <w:spacing w:val="-1"/>
        </w:rPr>
        <w:t> </w:t>
      </w:r>
      <w:r>
        <w:rPr>
          <w:color w:val="231F20"/>
        </w:rPr>
        <w:t>real</w:t>
      </w:r>
      <w:r>
        <w:rPr>
          <w:color w:val="231F20"/>
          <w:spacing w:val="-1"/>
        </w:rPr>
        <w:t> </w:t>
      </w:r>
      <w:r>
        <w:rPr>
          <w:color w:val="231F20"/>
        </w:rPr>
        <w:t>estate</w:t>
      </w:r>
      <w:r>
        <w:rPr>
          <w:color w:val="231F20"/>
          <w:spacing w:val="-1"/>
        </w:rPr>
        <w:t> </w:t>
      </w:r>
      <w:r>
        <w:rPr>
          <w:color w:val="231F20"/>
        </w:rPr>
        <w:t>investing</w:t>
      </w:r>
      <w:r>
        <w:rPr>
          <w:color w:val="231F20"/>
          <w:spacing w:val="-1"/>
        </w:rPr>
        <w:t> </w:t>
      </w:r>
      <w:r>
        <w:rPr>
          <w:color w:val="231F20"/>
        </w:rPr>
        <w:t>can</w:t>
      </w:r>
      <w:r>
        <w:rPr>
          <w:color w:val="231F20"/>
          <w:spacing w:val="-1"/>
        </w:rPr>
        <w:t> </w:t>
      </w:r>
      <w:r>
        <w:rPr>
          <w:color w:val="231F20"/>
        </w:rPr>
        <w:t>create</w:t>
      </w:r>
      <w:r>
        <w:rPr>
          <w:color w:val="231F20"/>
          <w:spacing w:val="-1"/>
        </w:rPr>
        <w:t> </w:t>
      </w:r>
      <w:r>
        <w:rPr>
          <w:color w:val="231F20"/>
        </w:rPr>
        <w:t>a</w:t>
      </w:r>
      <w:r>
        <w:rPr>
          <w:color w:val="231F20"/>
          <w:spacing w:val="-1"/>
        </w:rPr>
        <w:t> </w:t>
      </w:r>
      <w:r>
        <w:rPr>
          <w:color w:val="231F20"/>
        </w:rPr>
        <w:t>considerable</w:t>
      </w:r>
      <w:r>
        <w:rPr>
          <w:color w:val="231F20"/>
          <w:spacing w:val="-1"/>
        </w:rPr>
        <w:t> </w:t>
      </w:r>
      <w:r>
        <w:rPr>
          <w:color w:val="231F20"/>
        </w:rPr>
        <w:t>nest</w:t>
      </w:r>
      <w:r>
        <w:rPr>
          <w:color w:val="231F20"/>
          <w:spacing w:val="-1"/>
        </w:rPr>
        <w:t> </w:t>
      </w:r>
      <w:r>
        <w:rPr>
          <w:color w:val="231F20"/>
        </w:rPr>
        <w:t>egg without a great deal of risk. In these exchanges you must roll the en- tire proceeds into “like-kind” property and not take any cash, debt relief, or other things of value out of the rollover transaction.</w:t>
      </w:r>
    </w:p>
    <w:p>
      <w:pPr>
        <w:pStyle w:val="BodyText"/>
        <w:spacing w:line="292" w:lineRule="auto"/>
        <w:ind w:left="829" w:right="753" w:firstLine="340"/>
        <w:jc w:val="both"/>
      </w:pPr>
      <w:r>
        <w:rPr>
          <w:color w:val="231F20"/>
        </w:rPr>
        <w:t>There are several ways to evaluate properties. The </w:t>
      </w:r>
      <w:r>
        <w:rPr>
          <w:i/>
          <w:color w:val="231F20"/>
        </w:rPr>
        <w:t>capitalization</w:t>
      </w:r>
      <w:r>
        <w:rPr>
          <w:i/>
          <w:color w:val="231F20"/>
        </w:rPr>
        <w:t> rate method </w:t>
      </w:r>
      <w:r>
        <w:rPr>
          <w:color w:val="231F20"/>
        </w:rPr>
        <w:t>is a simple way to value an investment property. The value of the property equals the net income from the property </w:t>
      </w:r>
      <w:r>
        <w:rPr>
          <w:color w:val="231F20"/>
        </w:rPr>
        <w:t>(rent less operating expenses) divided by a capitalization rate. The capital- ization rate is what investors expect to make on their investment based on the prevailing interest rates, appreciation, and the riskiness of the rents. A capitalization (cap) rate in 2005 of 8 percent was a common</w:t>
      </w:r>
      <w:r>
        <w:rPr>
          <w:color w:val="231F20"/>
          <w:spacing w:val="55"/>
        </w:rPr>
        <w:t> </w:t>
      </w:r>
      <w:r>
        <w:rPr>
          <w:color w:val="231F20"/>
        </w:rPr>
        <w:t>goal.</w:t>
      </w:r>
      <w:r>
        <w:rPr>
          <w:color w:val="231F20"/>
          <w:spacing w:val="55"/>
        </w:rPr>
        <w:t> </w:t>
      </w:r>
      <w:r>
        <w:rPr>
          <w:color w:val="231F20"/>
        </w:rPr>
        <w:t>In</w:t>
      </w:r>
      <w:r>
        <w:rPr>
          <w:color w:val="231F20"/>
          <w:spacing w:val="56"/>
        </w:rPr>
        <w:t> </w:t>
      </w:r>
      <w:r>
        <w:rPr>
          <w:color w:val="231F20"/>
        </w:rPr>
        <w:t>the</w:t>
      </w:r>
      <w:r>
        <w:rPr>
          <w:color w:val="231F20"/>
          <w:spacing w:val="55"/>
        </w:rPr>
        <w:t> </w:t>
      </w:r>
      <w:r>
        <w:rPr>
          <w:color w:val="231F20"/>
        </w:rPr>
        <w:t>case</w:t>
      </w:r>
      <w:r>
        <w:rPr>
          <w:color w:val="231F20"/>
          <w:spacing w:val="55"/>
        </w:rPr>
        <w:t> </w:t>
      </w:r>
      <w:r>
        <w:rPr>
          <w:color w:val="231F20"/>
        </w:rPr>
        <w:t>of</w:t>
      </w:r>
      <w:r>
        <w:rPr>
          <w:color w:val="231F20"/>
          <w:spacing w:val="56"/>
        </w:rPr>
        <w:t> </w:t>
      </w:r>
      <w:r>
        <w:rPr>
          <w:color w:val="231F20"/>
        </w:rPr>
        <w:t>property</w:t>
      </w:r>
      <w:r>
        <w:rPr>
          <w:color w:val="231F20"/>
          <w:spacing w:val="55"/>
        </w:rPr>
        <w:t> </w:t>
      </w:r>
      <w:r>
        <w:rPr>
          <w:color w:val="231F20"/>
        </w:rPr>
        <w:t>that</w:t>
      </w:r>
      <w:r>
        <w:rPr>
          <w:color w:val="231F20"/>
          <w:spacing w:val="55"/>
        </w:rPr>
        <w:t> </w:t>
      </w:r>
      <w:r>
        <w:rPr>
          <w:color w:val="231F20"/>
        </w:rPr>
        <w:t>has</w:t>
      </w:r>
      <w:r>
        <w:rPr>
          <w:color w:val="231F20"/>
          <w:spacing w:val="56"/>
        </w:rPr>
        <w:t> </w:t>
      </w:r>
      <w:r>
        <w:rPr>
          <w:color w:val="231F20"/>
        </w:rPr>
        <w:t>a</w:t>
      </w:r>
      <w:r>
        <w:rPr>
          <w:color w:val="231F20"/>
          <w:spacing w:val="55"/>
        </w:rPr>
        <w:t> </w:t>
      </w:r>
      <w:r>
        <w:rPr>
          <w:color w:val="231F20"/>
        </w:rPr>
        <w:t>net</w:t>
      </w:r>
      <w:r>
        <w:rPr>
          <w:color w:val="231F20"/>
          <w:spacing w:val="55"/>
        </w:rPr>
        <w:t> </w:t>
      </w:r>
      <w:r>
        <w:rPr>
          <w:color w:val="231F20"/>
        </w:rPr>
        <w:t>income</w:t>
      </w:r>
      <w:r>
        <w:rPr>
          <w:color w:val="231F20"/>
          <w:spacing w:val="56"/>
        </w:rPr>
        <w:t> </w:t>
      </w:r>
      <w:r>
        <w:rPr>
          <w:color w:val="231F20"/>
          <w:spacing w:val="-5"/>
        </w:rPr>
        <w:t>of</w:t>
      </w:r>
    </w:p>
    <w:p>
      <w:pPr>
        <w:pStyle w:val="BodyText"/>
        <w:spacing w:line="292" w:lineRule="auto"/>
        <w:ind w:left="835" w:right="754"/>
        <w:jc w:val="right"/>
      </w:pPr>
      <w:r>
        <w:rPr>
          <w:color w:val="231F20"/>
        </w:rPr>
        <w:t>$10,000,</w:t>
      </w:r>
      <w:r>
        <w:rPr>
          <w:color w:val="231F20"/>
          <w:spacing w:val="40"/>
        </w:rPr>
        <w:t> </w:t>
      </w:r>
      <w:r>
        <w:rPr>
          <w:color w:val="231F20"/>
        </w:rPr>
        <w:t>it</w:t>
      </w:r>
      <w:r>
        <w:rPr>
          <w:color w:val="231F20"/>
          <w:spacing w:val="40"/>
        </w:rPr>
        <w:t> </w:t>
      </w:r>
      <w:r>
        <w:rPr>
          <w:color w:val="231F20"/>
        </w:rPr>
        <w:t>would</w:t>
      </w:r>
      <w:r>
        <w:rPr>
          <w:color w:val="231F20"/>
          <w:spacing w:val="40"/>
        </w:rPr>
        <w:t> </w:t>
      </w:r>
      <w:r>
        <w:rPr>
          <w:color w:val="231F20"/>
        </w:rPr>
        <w:t>be</w:t>
      </w:r>
      <w:r>
        <w:rPr>
          <w:color w:val="231F20"/>
          <w:spacing w:val="40"/>
        </w:rPr>
        <w:t> </w:t>
      </w:r>
      <w:r>
        <w:rPr>
          <w:color w:val="231F20"/>
        </w:rPr>
        <w:t>valued</w:t>
      </w:r>
      <w:r>
        <w:rPr>
          <w:color w:val="231F20"/>
          <w:spacing w:val="40"/>
        </w:rPr>
        <w:t> </w:t>
      </w:r>
      <w:r>
        <w:rPr>
          <w:color w:val="231F20"/>
        </w:rPr>
        <w:t>at</w:t>
      </w:r>
      <w:r>
        <w:rPr>
          <w:color w:val="231F20"/>
          <w:spacing w:val="40"/>
        </w:rPr>
        <w:t> </w:t>
      </w:r>
      <w:r>
        <w:rPr>
          <w:color w:val="231F20"/>
        </w:rPr>
        <w:t>$125,000</w:t>
      </w:r>
      <w:r>
        <w:rPr>
          <w:color w:val="231F20"/>
          <w:spacing w:val="40"/>
        </w:rPr>
        <w:t> </w:t>
      </w:r>
      <w:r>
        <w:rPr>
          <w:color w:val="231F20"/>
        </w:rPr>
        <w:t>using</w:t>
      </w:r>
      <w:r>
        <w:rPr>
          <w:color w:val="231F20"/>
          <w:spacing w:val="40"/>
        </w:rPr>
        <w:t> </w:t>
      </w:r>
      <w:r>
        <w:rPr>
          <w:color w:val="231F20"/>
        </w:rPr>
        <w:t>this</w:t>
      </w:r>
      <w:r>
        <w:rPr>
          <w:color w:val="231F20"/>
          <w:spacing w:val="40"/>
        </w:rPr>
        <w:t> </w:t>
      </w:r>
      <w:r>
        <w:rPr>
          <w:color w:val="231F20"/>
        </w:rPr>
        <w:t>method.</w:t>
      </w:r>
      <w:r>
        <w:rPr>
          <w:color w:val="231F20"/>
          <w:spacing w:val="40"/>
        </w:rPr>
        <w:t> </w:t>
      </w:r>
      <w:r>
        <w:rPr>
          <w:color w:val="231F20"/>
        </w:rPr>
        <w:t>Of</w:t>
      </w:r>
      <w:r>
        <w:rPr>
          <w:color w:val="231F20"/>
          <w:spacing w:val="80"/>
        </w:rPr>
        <w:t> </w:t>
      </w:r>
      <w:r>
        <w:rPr>
          <w:color w:val="231F20"/>
        </w:rPr>
        <w:t>course if improvements can be made to improve the net income, the property</w:t>
      </w:r>
      <w:r>
        <w:rPr>
          <w:color w:val="231F20"/>
          <w:spacing w:val="-2"/>
        </w:rPr>
        <w:t> </w:t>
      </w:r>
      <w:r>
        <w:rPr>
          <w:color w:val="231F20"/>
        </w:rPr>
        <w:t>may</w:t>
      </w:r>
      <w:r>
        <w:rPr>
          <w:color w:val="231F20"/>
          <w:spacing w:val="-2"/>
        </w:rPr>
        <w:t> </w:t>
      </w:r>
      <w:r>
        <w:rPr>
          <w:color w:val="231F20"/>
        </w:rPr>
        <w:t>be</w:t>
      </w:r>
      <w:r>
        <w:rPr>
          <w:color w:val="231F20"/>
          <w:spacing w:val="-2"/>
        </w:rPr>
        <w:t> </w:t>
      </w:r>
      <w:r>
        <w:rPr>
          <w:color w:val="231F20"/>
        </w:rPr>
        <w:t>more</w:t>
      </w:r>
      <w:r>
        <w:rPr>
          <w:color w:val="231F20"/>
          <w:spacing w:val="-2"/>
        </w:rPr>
        <w:t> </w:t>
      </w:r>
      <w:r>
        <w:rPr>
          <w:color w:val="231F20"/>
        </w:rPr>
        <w:t>valuable</w:t>
      </w:r>
      <w:r>
        <w:rPr>
          <w:color w:val="231F20"/>
          <w:spacing w:val="-2"/>
        </w:rPr>
        <w:t> </w:t>
      </w:r>
      <w:r>
        <w:rPr>
          <w:color w:val="231F20"/>
        </w:rPr>
        <w:t>under</w:t>
      </w:r>
      <w:r>
        <w:rPr>
          <w:color w:val="231F20"/>
          <w:spacing w:val="-2"/>
        </w:rPr>
        <w:t> </w:t>
      </w:r>
      <w:r>
        <w:rPr>
          <w:color w:val="231F20"/>
        </w:rPr>
        <w:t>the</w:t>
      </w:r>
      <w:r>
        <w:rPr>
          <w:color w:val="231F20"/>
          <w:spacing w:val="-2"/>
        </w:rPr>
        <w:t> </w:t>
      </w:r>
      <w:r>
        <w:rPr>
          <w:color w:val="231F20"/>
        </w:rPr>
        <w:t>new</w:t>
      </w:r>
      <w:r>
        <w:rPr>
          <w:color w:val="231F20"/>
          <w:spacing w:val="-2"/>
        </w:rPr>
        <w:t> </w:t>
      </w:r>
      <w:r>
        <w:rPr>
          <w:color w:val="231F20"/>
        </w:rPr>
        <w:t>owner’s</w:t>
      </w:r>
      <w:r>
        <w:rPr>
          <w:color w:val="231F20"/>
          <w:spacing w:val="-2"/>
        </w:rPr>
        <w:t> </w:t>
      </w:r>
      <w:r>
        <w:rPr>
          <w:color w:val="231F20"/>
        </w:rPr>
        <w:t>management. Another</w:t>
      </w:r>
      <w:r>
        <w:rPr>
          <w:color w:val="231F20"/>
          <w:spacing w:val="40"/>
        </w:rPr>
        <w:t> </w:t>
      </w:r>
      <w:r>
        <w:rPr>
          <w:color w:val="231F20"/>
        </w:rPr>
        <w:t>valuation</w:t>
      </w:r>
      <w:r>
        <w:rPr>
          <w:color w:val="231F20"/>
          <w:spacing w:val="40"/>
        </w:rPr>
        <w:t> </w:t>
      </w:r>
      <w:r>
        <w:rPr>
          <w:color w:val="231F20"/>
        </w:rPr>
        <w:t>is</w:t>
      </w:r>
      <w:r>
        <w:rPr>
          <w:color w:val="231F20"/>
          <w:spacing w:val="40"/>
        </w:rPr>
        <w:t> </w:t>
      </w:r>
      <w:r>
        <w:rPr>
          <w:color w:val="231F20"/>
        </w:rPr>
        <w:t>a</w:t>
      </w:r>
      <w:r>
        <w:rPr>
          <w:color w:val="231F20"/>
          <w:spacing w:val="40"/>
        </w:rPr>
        <w:t> </w:t>
      </w:r>
      <w:r>
        <w:rPr>
          <w:color w:val="231F20"/>
        </w:rPr>
        <w:t>thumbnail</w:t>
      </w:r>
      <w:r>
        <w:rPr>
          <w:color w:val="231F20"/>
          <w:spacing w:val="40"/>
        </w:rPr>
        <w:t> </w:t>
      </w:r>
      <w:r>
        <w:rPr>
          <w:color w:val="231F20"/>
        </w:rPr>
        <w:t>method</w:t>
      </w:r>
      <w:r>
        <w:rPr>
          <w:color w:val="231F20"/>
          <w:spacing w:val="40"/>
        </w:rPr>
        <w:t> </w:t>
      </w:r>
      <w:r>
        <w:rPr>
          <w:color w:val="231F20"/>
        </w:rPr>
        <w:t>of</w:t>
      </w:r>
      <w:r>
        <w:rPr>
          <w:color w:val="231F20"/>
          <w:spacing w:val="40"/>
        </w:rPr>
        <w:t> </w:t>
      </w:r>
      <w:r>
        <w:rPr>
          <w:color w:val="231F20"/>
        </w:rPr>
        <w:t>using</w:t>
      </w:r>
      <w:r>
        <w:rPr>
          <w:color w:val="231F20"/>
          <w:spacing w:val="40"/>
        </w:rPr>
        <w:t> </w:t>
      </w:r>
      <w:r>
        <w:rPr>
          <w:color w:val="231F20"/>
        </w:rPr>
        <w:t>a</w:t>
      </w:r>
      <w:r>
        <w:rPr>
          <w:color w:val="231F20"/>
          <w:spacing w:val="40"/>
        </w:rPr>
        <w:t> </w:t>
      </w:r>
      <w:r>
        <w:rPr>
          <w:i/>
          <w:color w:val="231F20"/>
        </w:rPr>
        <w:t>gross</w:t>
      </w:r>
      <w:r>
        <w:rPr>
          <w:i/>
          <w:color w:val="231F20"/>
          <w:spacing w:val="40"/>
        </w:rPr>
        <w:t> </w:t>
      </w:r>
      <w:r>
        <w:rPr>
          <w:i/>
          <w:color w:val="231F20"/>
        </w:rPr>
        <w:t>rent</w:t>
      </w:r>
      <w:r>
        <w:rPr>
          <w:i/>
          <w:color w:val="231F20"/>
        </w:rPr>
        <w:t> multiplier, </w:t>
      </w:r>
      <w:r>
        <w:rPr>
          <w:color w:val="231F20"/>
        </w:rPr>
        <w:t>but it is fraught with inaccuracies. The most accurate val- uation</w:t>
      </w:r>
      <w:r>
        <w:rPr>
          <w:color w:val="231F20"/>
          <w:spacing w:val="27"/>
        </w:rPr>
        <w:t> </w:t>
      </w:r>
      <w:r>
        <w:rPr>
          <w:color w:val="231F20"/>
        </w:rPr>
        <w:t>method</w:t>
      </w:r>
      <w:r>
        <w:rPr>
          <w:color w:val="231F20"/>
          <w:spacing w:val="27"/>
        </w:rPr>
        <w:t> </w:t>
      </w:r>
      <w:r>
        <w:rPr>
          <w:color w:val="231F20"/>
        </w:rPr>
        <w:t>is</w:t>
      </w:r>
      <w:r>
        <w:rPr>
          <w:color w:val="231F20"/>
          <w:spacing w:val="27"/>
        </w:rPr>
        <w:t> </w:t>
      </w:r>
      <w:r>
        <w:rPr>
          <w:color w:val="231F20"/>
        </w:rPr>
        <w:t>to</w:t>
      </w:r>
      <w:r>
        <w:rPr>
          <w:color w:val="231F20"/>
          <w:spacing w:val="27"/>
        </w:rPr>
        <w:t> </w:t>
      </w:r>
      <w:r>
        <w:rPr>
          <w:color w:val="231F20"/>
        </w:rPr>
        <w:t>complete</w:t>
      </w:r>
      <w:r>
        <w:rPr>
          <w:color w:val="231F20"/>
          <w:spacing w:val="27"/>
        </w:rPr>
        <w:t> </w:t>
      </w:r>
      <w:r>
        <w:rPr>
          <w:color w:val="231F20"/>
        </w:rPr>
        <w:t>a</w:t>
      </w:r>
      <w:r>
        <w:rPr>
          <w:color w:val="231F20"/>
          <w:spacing w:val="27"/>
        </w:rPr>
        <w:t> </w:t>
      </w:r>
      <w:r>
        <w:rPr>
          <w:color w:val="231F20"/>
        </w:rPr>
        <w:t>full</w:t>
      </w:r>
      <w:r>
        <w:rPr>
          <w:color w:val="231F20"/>
          <w:spacing w:val="27"/>
        </w:rPr>
        <w:t> </w:t>
      </w:r>
      <w:r>
        <w:rPr>
          <w:color w:val="231F20"/>
        </w:rPr>
        <w:t>NPV</w:t>
      </w:r>
      <w:r>
        <w:rPr>
          <w:color w:val="231F20"/>
          <w:spacing w:val="27"/>
        </w:rPr>
        <w:t> </w:t>
      </w:r>
      <w:r>
        <w:rPr>
          <w:color w:val="231F20"/>
        </w:rPr>
        <w:t>analysis</w:t>
      </w:r>
      <w:r>
        <w:rPr>
          <w:color w:val="231F20"/>
          <w:spacing w:val="27"/>
        </w:rPr>
        <w:t> </w:t>
      </w:r>
      <w:r>
        <w:rPr>
          <w:color w:val="231F20"/>
        </w:rPr>
        <w:t>of</w:t>
      </w:r>
      <w:r>
        <w:rPr>
          <w:color w:val="231F20"/>
          <w:spacing w:val="27"/>
        </w:rPr>
        <w:t> </w:t>
      </w:r>
      <w:r>
        <w:rPr>
          <w:color w:val="231F20"/>
        </w:rPr>
        <w:t>the</w:t>
      </w:r>
      <w:r>
        <w:rPr>
          <w:color w:val="231F20"/>
          <w:spacing w:val="27"/>
        </w:rPr>
        <w:t> </w:t>
      </w:r>
      <w:r>
        <w:rPr>
          <w:color w:val="231F20"/>
        </w:rPr>
        <w:t>cash</w:t>
      </w:r>
      <w:r>
        <w:rPr>
          <w:color w:val="231F20"/>
          <w:spacing w:val="27"/>
        </w:rPr>
        <w:t> </w:t>
      </w:r>
      <w:r>
        <w:rPr>
          <w:color w:val="231F20"/>
        </w:rPr>
        <w:t>flows and</w:t>
      </w:r>
      <w:r>
        <w:rPr>
          <w:color w:val="231F20"/>
          <w:spacing w:val="40"/>
        </w:rPr>
        <w:t> </w:t>
      </w:r>
      <w:r>
        <w:rPr>
          <w:color w:val="231F20"/>
        </w:rPr>
        <w:t>expected</w:t>
      </w:r>
      <w:r>
        <w:rPr>
          <w:color w:val="231F20"/>
          <w:spacing w:val="40"/>
        </w:rPr>
        <w:t> </w:t>
      </w:r>
      <w:r>
        <w:rPr>
          <w:color w:val="231F20"/>
        </w:rPr>
        <w:t>appreciation,</w:t>
      </w:r>
      <w:r>
        <w:rPr>
          <w:color w:val="231F20"/>
          <w:spacing w:val="40"/>
        </w:rPr>
        <w:t> </w:t>
      </w:r>
      <w:r>
        <w:rPr>
          <w:color w:val="231F20"/>
        </w:rPr>
        <w:t>discounted</w:t>
      </w:r>
      <w:r>
        <w:rPr>
          <w:color w:val="231F20"/>
          <w:spacing w:val="40"/>
        </w:rPr>
        <w:t> </w:t>
      </w:r>
      <w:r>
        <w:rPr>
          <w:color w:val="231F20"/>
        </w:rPr>
        <w:t>at</w:t>
      </w:r>
      <w:r>
        <w:rPr>
          <w:color w:val="231F20"/>
          <w:spacing w:val="40"/>
        </w:rPr>
        <w:t> </w:t>
      </w:r>
      <w:r>
        <w:rPr>
          <w:color w:val="231F20"/>
        </w:rPr>
        <w:t>a</w:t>
      </w:r>
      <w:r>
        <w:rPr>
          <w:color w:val="231F20"/>
          <w:spacing w:val="40"/>
        </w:rPr>
        <w:t> </w:t>
      </w:r>
      <w:r>
        <w:rPr>
          <w:color w:val="231F20"/>
        </w:rPr>
        <w:t>rate</w:t>
      </w:r>
      <w:r>
        <w:rPr>
          <w:color w:val="231F20"/>
          <w:spacing w:val="40"/>
        </w:rPr>
        <w:t> </w:t>
      </w:r>
      <w:r>
        <w:rPr>
          <w:color w:val="231F20"/>
        </w:rPr>
        <w:t>that</w:t>
      </w:r>
      <w:r>
        <w:rPr>
          <w:color w:val="231F20"/>
          <w:spacing w:val="40"/>
        </w:rPr>
        <w:t> </w:t>
      </w:r>
      <w:r>
        <w:rPr>
          <w:color w:val="231F20"/>
        </w:rPr>
        <w:t>compensates you</w:t>
      </w:r>
      <w:r>
        <w:rPr>
          <w:color w:val="231F20"/>
          <w:spacing w:val="34"/>
        </w:rPr>
        <w:t> </w:t>
      </w:r>
      <w:r>
        <w:rPr>
          <w:color w:val="231F20"/>
        </w:rPr>
        <w:t>for</w:t>
      </w:r>
      <w:r>
        <w:rPr>
          <w:color w:val="231F20"/>
          <w:spacing w:val="34"/>
        </w:rPr>
        <w:t> </w:t>
      </w:r>
      <w:r>
        <w:rPr>
          <w:color w:val="231F20"/>
        </w:rPr>
        <w:t>the</w:t>
      </w:r>
      <w:r>
        <w:rPr>
          <w:color w:val="231F20"/>
          <w:spacing w:val="34"/>
        </w:rPr>
        <w:t> </w:t>
      </w:r>
      <w:r>
        <w:rPr>
          <w:color w:val="231F20"/>
        </w:rPr>
        <w:t>risk</w:t>
      </w:r>
      <w:r>
        <w:rPr>
          <w:color w:val="231F20"/>
          <w:spacing w:val="34"/>
        </w:rPr>
        <w:t> </w:t>
      </w:r>
      <w:r>
        <w:rPr>
          <w:color w:val="231F20"/>
        </w:rPr>
        <w:t>of</w:t>
      </w:r>
      <w:r>
        <w:rPr>
          <w:color w:val="231F20"/>
          <w:spacing w:val="34"/>
        </w:rPr>
        <w:t> </w:t>
      </w:r>
      <w:r>
        <w:rPr>
          <w:color w:val="231F20"/>
        </w:rPr>
        <w:t>ownership</w:t>
      </w:r>
      <w:r>
        <w:rPr>
          <w:color w:val="231F20"/>
          <w:spacing w:val="34"/>
        </w:rPr>
        <w:t> </w:t>
      </w:r>
      <w:r>
        <w:rPr>
          <w:color w:val="231F20"/>
        </w:rPr>
        <w:t>as</w:t>
      </w:r>
      <w:r>
        <w:rPr>
          <w:color w:val="231F20"/>
          <w:spacing w:val="34"/>
        </w:rPr>
        <w:t> </w:t>
      </w:r>
      <w:r>
        <w:rPr>
          <w:color w:val="231F20"/>
        </w:rPr>
        <w:t>explained</w:t>
      </w:r>
      <w:r>
        <w:rPr>
          <w:color w:val="231F20"/>
          <w:spacing w:val="34"/>
        </w:rPr>
        <w:t> </w:t>
      </w:r>
      <w:r>
        <w:rPr>
          <w:color w:val="231F20"/>
        </w:rPr>
        <w:t>in</w:t>
      </w:r>
      <w:r>
        <w:rPr>
          <w:color w:val="231F20"/>
          <w:spacing w:val="34"/>
        </w:rPr>
        <w:t> </w:t>
      </w:r>
      <w:r>
        <w:rPr>
          <w:color w:val="231F20"/>
        </w:rPr>
        <w:t>the</w:t>
      </w:r>
      <w:r>
        <w:rPr>
          <w:color w:val="231F20"/>
          <w:spacing w:val="34"/>
        </w:rPr>
        <w:t> </w:t>
      </w:r>
      <w:r>
        <w:rPr>
          <w:color w:val="231F20"/>
        </w:rPr>
        <w:t>finance</w:t>
      </w:r>
      <w:r>
        <w:rPr>
          <w:color w:val="231F20"/>
          <w:spacing w:val="34"/>
        </w:rPr>
        <w:t> </w:t>
      </w:r>
      <w:r>
        <w:rPr>
          <w:color w:val="231F20"/>
        </w:rPr>
        <w:t>chapter. Also</w:t>
      </w:r>
      <w:r>
        <w:rPr>
          <w:color w:val="231F20"/>
          <w:spacing w:val="11"/>
        </w:rPr>
        <w:t> </w:t>
      </w:r>
      <w:r>
        <w:rPr>
          <w:color w:val="231F20"/>
        </w:rPr>
        <w:t>the</w:t>
      </w:r>
      <w:r>
        <w:rPr>
          <w:color w:val="231F20"/>
          <w:spacing w:val="11"/>
        </w:rPr>
        <w:t> </w:t>
      </w:r>
      <w:r>
        <w:rPr>
          <w:color w:val="231F20"/>
        </w:rPr>
        <w:t>analysis</w:t>
      </w:r>
      <w:r>
        <w:rPr>
          <w:color w:val="231F20"/>
          <w:spacing w:val="11"/>
        </w:rPr>
        <w:t> </w:t>
      </w:r>
      <w:r>
        <w:rPr>
          <w:color w:val="231F20"/>
        </w:rPr>
        <w:t>should</w:t>
      </w:r>
      <w:r>
        <w:rPr>
          <w:color w:val="231F20"/>
          <w:spacing w:val="11"/>
        </w:rPr>
        <w:t> </w:t>
      </w:r>
      <w:r>
        <w:rPr>
          <w:color w:val="231F20"/>
        </w:rPr>
        <w:t>include</w:t>
      </w:r>
      <w:r>
        <w:rPr>
          <w:color w:val="231F20"/>
          <w:spacing w:val="11"/>
        </w:rPr>
        <w:t> </w:t>
      </w:r>
      <w:r>
        <w:rPr>
          <w:color w:val="231F20"/>
        </w:rPr>
        <w:t>some</w:t>
      </w:r>
      <w:r>
        <w:rPr>
          <w:color w:val="231F20"/>
          <w:spacing w:val="12"/>
        </w:rPr>
        <w:t> </w:t>
      </w:r>
      <w:r>
        <w:rPr>
          <w:color w:val="231F20"/>
        </w:rPr>
        <w:t>variation</w:t>
      </w:r>
      <w:r>
        <w:rPr>
          <w:color w:val="231F20"/>
          <w:spacing w:val="11"/>
        </w:rPr>
        <w:t> </w:t>
      </w:r>
      <w:r>
        <w:rPr>
          <w:color w:val="231F20"/>
        </w:rPr>
        <w:t>analysis</w:t>
      </w:r>
      <w:r>
        <w:rPr>
          <w:color w:val="231F20"/>
          <w:spacing w:val="11"/>
        </w:rPr>
        <w:t> </w:t>
      </w:r>
      <w:r>
        <w:rPr>
          <w:color w:val="231F20"/>
        </w:rPr>
        <w:t>of</w:t>
      </w:r>
      <w:r>
        <w:rPr>
          <w:color w:val="231F20"/>
          <w:spacing w:val="11"/>
        </w:rPr>
        <w:t> </w:t>
      </w:r>
      <w:r>
        <w:rPr>
          <w:color w:val="231F20"/>
        </w:rPr>
        <w:t>key</w:t>
      </w:r>
      <w:r>
        <w:rPr>
          <w:color w:val="231F20"/>
          <w:spacing w:val="11"/>
        </w:rPr>
        <w:t> </w:t>
      </w:r>
      <w:r>
        <w:rPr>
          <w:color w:val="231F20"/>
          <w:spacing w:val="-2"/>
        </w:rPr>
        <w:t>vari-</w:t>
      </w:r>
    </w:p>
    <w:p>
      <w:pPr>
        <w:pStyle w:val="BodyText"/>
        <w:spacing w:line="243" w:lineRule="exact"/>
        <w:ind w:left="69" w:right="2058"/>
        <w:jc w:val="center"/>
      </w:pPr>
      <w:r>
        <w:rPr>
          <w:color w:val="231F20"/>
        </w:rPr>
        <w:t>ables to test the robustness of the</w:t>
      </w:r>
      <w:r>
        <w:rPr>
          <w:color w:val="231F20"/>
          <w:spacing w:val="1"/>
        </w:rPr>
        <w:t> </w:t>
      </w:r>
      <w:r>
        <w:rPr>
          <w:color w:val="231F20"/>
          <w:spacing w:val="-2"/>
        </w:rPr>
        <w:t>projections.</w:t>
      </w:r>
    </w:p>
    <w:p>
      <w:pPr>
        <w:pStyle w:val="BodyText"/>
        <w:spacing w:before="44"/>
        <w:ind w:left="630" w:right="219"/>
        <w:jc w:val="center"/>
      </w:pPr>
      <w:r>
        <w:rPr>
          <w:color w:val="231F20"/>
        </w:rPr>
        <w:t>Financing</w:t>
      </w:r>
      <w:r>
        <w:rPr>
          <w:color w:val="231F20"/>
          <w:spacing w:val="37"/>
        </w:rPr>
        <w:t> </w:t>
      </w:r>
      <w:r>
        <w:rPr>
          <w:color w:val="231F20"/>
        </w:rPr>
        <w:t>the</w:t>
      </w:r>
      <w:r>
        <w:rPr>
          <w:color w:val="231F20"/>
          <w:spacing w:val="38"/>
        </w:rPr>
        <w:t> </w:t>
      </w:r>
      <w:r>
        <w:rPr>
          <w:color w:val="231F20"/>
        </w:rPr>
        <w:t>investment</w:t>
      </w:r>
      <w:r>
        <w:rPr>
          <w:color w:val="231F20"/>
          <w:spacing w:val="38"/>
        </w:rPr>
        <w:t> </w:t>
      </w:r>
      <w:r>
        <w:rPr>
          <w:color w:val="231F20"/>
        </w:rPr>
        <w:t>can</w:t>
      </w:r>
      <w:r>
        <w:rPr>
          <w:color w:val="231F20"/>
          <w:spacing w:val="38"/>
        </w:rPr>
        <w:t> </w:t>
      </w:r>
      <w:r>
        <w:rPr>
          <w:color w:val="231F20"/>
        </w:rPr>
        <w:t>take</w:t>
      </w:r>
      <w:r>
        <w:rPr>
          <w:color w:val="231F20"/>
          <w:spacing w:val="37"/>
        </w:rPr>
        <w:t> </w:t>
      </w:r>
      <w:r>
        <w:rPr>
          <w:color w:val="231F20"/>
        </w:rPr>
        <w:t>the</w:t>
      </w:r>
      <w:r>
        <w:rPr>
          <w:color w:val="231F20"/>
          <w:spacing w:val="38"/>
        </w:rPr>
        <w:t> </w:t>
      </w:r>
      <w:r>
        <w:rPr>
          <w:color w:val="231F20"/>
        </w:rPr>
        <w:t>form</w:t>
      </w:r>
      <w:r>
        <w:rPr>
          <w:color w:val="231F20"/>
          <w:spacing w:val="38"/>
        </w:rPr>
        <w:t> </w:t>
      </w:r>
      <w:r>
        <w:rPr>
          <w:color w:val="231F20"/>
        </w:rPr>
        <w:t>of</w:t>
      </w:r>
      <w:r>
        <w:rPr>
          <w:color w:val="231F20"/>
          <w:spacing w:val="37"/>
        </w:rPr>
        <w:t> </w:t>
      </w:r>
      <w:r>
        <w:rPr>
          <w:color w:val="231F20"/>
        </w:rPr>
        <w:t>a</w:t>
      </w:r>
      <w:r>
        <w:rPr>
          <w:color w:val="231F20"/>
          <w:spacing w:val="38"/>
        </w:rPr>
        <w:t> </w:t>
      </w:r>
      <w:r>
        <w:rPr>
          <w:color w:val="231F20"/>
          <w:spacing w:val="-2"/>
        </w:rPr>
        <w:t>conventional</w:t>
      </w:r>
    </w:p>
    <w:p>
      <w:pPr>
        <w:spacing w:after="0"/>
        <w:jc w:val="center"/>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bookmarkStart w:name="Leadership Coach" w:id="41"/>
      <w:bookmarkEnd w:id="41"/>
      <w:r>
        <w:rPr/>
      </w:r>
      <w:bookmarkStart w:name="_bookmark19" w:id="42"/>
      <w:bookmarkEnd w:id="42"/>
      <w:r>
        <w:rPr/>
      </w:r>
      <w:r>
        <w:rPr>
          <w:color w:val="231F20"/>
        </w:rPr>
        <w:t>bank</w:t>
      </w:r>
      <w:r>
        <w:rPr>
          <w:color w:val="231F20"/>
          <w:spacing w:val="32"/>
        </w:rPr>
        <w:t> </w:t>
      </w:r>
      <w:r>
        <w:rPr>
          <w:color w:val="231F20"/>
        </w:rPr>
        <w:t>loan,</w:t>
      </w:r>
      <w:r>
        <w:rPr>
          <w:color w:val="231F20"/>
          <w:spacing w:val="32"/>
        </w:rPr>
        <w:t> </w:t>
      </w:r>
      <w:r>
        <w:rPr>
          <w:color w:val="231F20"/>
        </w:rPr>
        <w:t>government</w:t>
      </w:r>
      <w:r>
        <w:rPr>
          <w:color w:val="231F20"/>
          <w:spacing w:val="32"/>
        </w:rPr>
        <w:t> </w:t>
      </w:r>
      <w:r>
        <w:rPr>
          <w:color w:val="231F20"/>
        </w:rPr>
        <w:t>loan,</w:t>
      </w:r>
      <w:r>
        <w:rPr>
          <w:color w:val="231F20"/>
          <w:spacing w:val="32"/>
        </w:rPr>
        <w:t> </w:t>
      </w:r>
      <w:r>
        <w:rPr>
          <w:color w:val="231F20"/>
        </w:rPr>
        <w:t>mortgage,</w:t>
      </w:r>
      <w:r>
        <w:rPr>
          <w:color w:val="231F20"/>
          <w:spacing w:val="32"/>
        </w:rPr>
        <w:t> </w:t>
      </w:r>
      <w:r>
        <w:rPr>
          <w:color w:val="231F20"/>
        </w:rPr>
        <w:t>or</w:t>
      </w:r>
      <w:r>
        <w:rPr>
          <w:color w:val="231F20"/>
          <w:spacing w:val="32"/>
        </w:rPr>
        <w:t> </w:t>
      </w:r>
      <w:r>
        <w:rPr>
          <w:color w:val="231F20"/>
        </w:rPr>
        <w:t>seller</w:t>
      </w:r>
      <w:r>
        <w:rPr>
          <w:color w:val="231F20"/>
          <w:spacing w:val="32"/>
        </w:rPr>
        <w:t> </w:t>
      </w:r>
      <w:r>
        <w:rPr>
          <w:color w:val="231F20"/>
        </w:rPr>
        <w:t>financing.</w:t>
      </w:r>
      <w:r>
        <w:rPr>
          <w:color w:val="231F20"/>
          <w:spacing w:val="32"/>
        </w:rPr>
        <w:t> </w:t>
      </w:r>
      <w:r>
        <w:rPr>
          <w:color w:val="231F20"/>
        </w:rPr>
        <w:t>As</w:t>
      </w:r>
      <w:r>
        <w:rPr>
          <w:color w:val="231F20"/>
          <w:spacing w:val="32"/>
        </w:rPr>
        <w:t> </w:t>
      </w:r>
      <w:r>
        <w:rPr>
          <w:color w:val="231F20"/>
        </w:rPr>
        <w:t>part of the new real estate boom, the no-money-down method is often touted by real estate seminars. In this scenario the buyer can pur- chase a property with no down payment, because the appraisal al- lows for the buyer to finance the property with a down payment consisting of the property’s valuation in excess of the purchase price. It is rare, but it does happen if you do your homework.</w:t>
      </w:r>
    </w:p>
    <w:p>
      <w:pPr>
        <w:pStyle w:val="BodyText"/>
        <w:spacing w:before="4"/>
        <w:rPr>
          <w:sz w:val="25"/>
        </w:rPr>
      </w:pPr>
    </w:p>
    <w:p>
      <w:pPr>
        <w:pStyle w:val="BodyText"/>
        <w:ind w:left="920"/>
        <w:jc w:val="both"/>
      </w:pPr>
      <w:r>
        <w:rPr>
          <w:color w:val="231F20"/>
        </w:rPr>
        <w:t>The</w:t>
      </w:r>
      <w:r>
        <w:rPr>
          <w:color w:val="231F20"/>
          <w:spacing w:val="1"/>
        </w:rPr>
        <w:t> </w:t>
      </w:r>
      <w:r>
        <w:rPr>
          <w:color w:val="231F20"/>
        </w:rPr>
        <w:t>plan</w:t>
      </w:r>
      <w:r>
        <w:rPr>
          <w:color w:val="231F20"/>
          <w:spacing w:val="2"/>
        </w:rPr>
        <w:t> </w:t>
      </w:r>
      <w:r>
        <w:rPr>
          <w:color w:val="231F20"/>
        </w:rPr>
        <w:t>for</w:t>
      </w:r>
      <w:r>
        <w:rPr>
          <w:color w:val="231F20"/>
          <w:spacing w:val="1"/>
        </w:rPr>
        <w:t> </w:t>
      </w:r>
      <w:r>
        <w:rPr>
          <w:color w:val="231F20"/>
        </w:rPr>
        <w:t>real</w:t>
      </w:r>
      <w:r>
        <w:rPr>
          <w:color w:val="231F20"/>
          <w:spacing w:val="2"/>
        </w:rPr>
        <w:t> </w:t>
      </w:r>
      <w:r>
        <w:rPr>
          <w:color w:val="231F20"/>
        </w:rPr>
        <w:t>estate</w:t>
      </w:r>
      <w:r>
        <w:rPr>
          <w:color w:val="231F20"/>
          <w:spacing w:val="2"/>
        </w:rPr>
        <w:t> </w:t>
      </w:r>
      <w:r>
        <w:rPr>
          <w:color w:val="231F20"/>
        </w:rPr>
        <w:t>success</w:t>
      </w:r>
      <w:r>
        <w:rPr>
          <w:color w:val="231F20"/>
          <w:spacing w:val="1"/>
        </w:rPr>
        <w:t> </w:t>
      </w:r>
      <w:r>
        <w:rPr>
          <w:color w:val="231F20"/>
        </w:rPr>
        <w:t>is</w:t>
      </w:r>
      <w:r>
        <w:rPr>
          <w:color w:val="231F20"/>
          <w:spacing w:val="2"/>
        </w:rPr>
        <w:t> </w:t>
      </w:r>
      <w:r>
        <w:rPr>
          <w:color w:val="231F20"/>
        </w:rPr>
        <w:t>summarized</w:t>
      </w:r>
      <w:r>
        <w:rPr>
          <w:color w:val="231F20"/>
          <w:spacing w:val="2"/>
        </w:rPr>
        <w:t> </w:t>
      </w:r>
      <w:r>
        <w:rPr>
          <w:color w:val="231F20"/>
        </w:rPr>
        <w:t>in</w:t>
      </w:r>
      <w:r>
        <w:rPr>
          <w:color w:val="231F20"/>
          <w:spacing w:val="1"/>
        </w:rPr>
        <w:t> </w:t>
      </w:r>
      <w:r>
        <w:rPr>
          <w:color w:val="231F20"/>
        </w:rPr>
        <w:t>a</w:t>
      </w:r>
      <w:r>
        <w:rPr>
          <w:color w:val="231F20"/>
          <w:spacing w:val="2"/>
        </w:rPr>
        <w:t> </w:t>
      </w:r>
      <w:r>
        <w:rPr>
          <w:color w:val="231F20"/>
        </w:rPr>
        <w:t>five-part</w:t>
      </w:r>
      <w:r>
        <w:rPr>
          <w:color w:val="231F20"/>
          <w:spacing w:val="2"/>
        </w:rPr>
        <w:t> </w:t>
      </w:r>
      <w:r>
        <w:rPr>
          <w:color w:val="231F20"/>
          <w:spacing w:val="-2"/>
        </w:rPr>
        <w:t>plan:</w:t>
      </w:r>
    </w:p>
    <w:p>
      <w:pPr>
        <w:pStyle w:val="BodyText"/>
        <w:rPr>
          <w:sz w:val="32"/>
        </w:rPr>
      </w:pPr>
    </w:p>
    <w:p>
      <w:pPr>
        <w:pStyle w:val="ListParagraph"/>
        <w:numPr>
          <w:ilvl w:val="2"/>
          <w:numId w:val="55"/>
        </w:numPr>
        <w:tabs>
          <w:tab w:pos="1610" w:val="left" w:leader="none"/>
        </w:tabs>
        <w:spacing w:line="240" w:lineRule="auto" w:before="0" w:after="0"/>
        <w:ind w:left="1609" w:right="0" w:hanging="170"/>
        <w:jc w:val="left"/>
        <w:rPr>
          <w:sz w:val="19"/>
        </w:rPr>
      </w:pPr>
      <w:r>
        <w:rPr>
          <w:color w:val="231F20"/>
          <w:w w:val="110"/>
          <w:sz w:val="19"/>
        </w:rPr>
        <w:t>Learn</w:t>
      </w:r>
      <w:r>
        <w:rPr>
          <w:color w:val="231F20"/>
          <w:spacing w:val="-6"/>
          <w:w w:val="110"/>
          <w:sz w:val="19"/>
        </w:rPr>
        <w:t> </w:t>
      </w:r>
      <w:r>
        <w:rPr>
          <w:color w:val="231F20"/>
          <w:w w:val="110"/>
          <w:sz w:val="19"/>
        </w:rPr>
        <w:t>about</w:t>
      </w:r>
      <w:r>
        <w:rPr>
          <w:color w:val="231F20"/>
          <w:spacing w:val="-5"/>
          <w:w w:val="110"/>
          <w:sz w:val="19"/>
        </w:rPr>
        <w:t> </w:t>
      </w:r>
      <w:r>
        <w:rPr>
          <w:color w:val="231F20"/>
          <w:w w:val="110"/>
          <w:sz w:val="19"/>
        </w:rPr>
        <w:t>real</w:t>
      </w:r>
      <w:r>
        <w:rPr>
          <w:color w:val="231F20"/>
          <w:spacing w:val="-6"/>
          <w:w w:val="110"/>
          <w:sz w:val="19"/>
        </w:rPr>
        <w:t> </w:t>
      </w:r>
      <w:r>
        <w:rPr>
          <w:color w:val="231F20"/>
          <w:w w:val="110"/>
          <w:sz w:val="19"/>
        </w:rPr>
        <w:t>estate</w:t>
      </w:r>
      <w:r>
        <w:rPr>
          <w:color w:val="231F20"/>
          <w:spacing w:val="-5"/>
          <w:w w:val="110"/>
          <w:sz w:val="19"/>
        </w:rPr>
        <w:t> </w:t>
      </w:r>
      <w:r>
        <w:rPr>
          <w:color w:val="231F20"/>
          <w:w w:val="110"/>
          <w:sz w:val="19"/>
        </w:rPr>
        <w:t>as</w:t>
      </w:r>
      <w:r>
        <w:rPr>
          <w:color w:val="231F20"/>
          <w:spacing w:val="-5"/>
          <w:w w:val="110"/>
          <w:sz w:val="19"/>
        </w:rPr>
        <w:t> </w:t>
      </w:r>
      <w:r>
        <w:rPr>
          <w:color w:val="231F20"/>
          <w:w w:val="110"/>
          <w:sz w:val="19"/>
        </w:rPr>
        <w:t>an</w:t>
      </w:r>
      <w:r>
        <w:rPr>
          <w:color w:val="231F20"/>
          <w:spacing w:val="-6"/>
          <w:w w:val="110"/>
          <w:sz w:val="19"/>
        </w:rPr>
        <w:t> </w:t>
      </w:r>
      <w:r>
        <w:rPr>
          <w:color w:val="231F20"/>
          <w:spacing w:val="-2"/>
          <w:w w:val="110"/>
          <w:sz w:val="19"/>
        </w:rPr>
        <w:t>investment.</w:t>
      </w:r>
    </w:p>
    <w:p>
      <w:pPr>
        <w:pStyle w:val="ListParagraph"/>
        <w:numPr>
          <w:ilvl w:val="2"/>
          <w:numId w:val="55"/>
        </w:numPr>
        <w:tabs>
          <w:tab w:pos="1611" w:val="left" w:leader="none"/>
        </w:tabs>
        <w:spacing w:line="240" w:lineRule="auto" w:before="81" w:after="0"/>
        <w:ind w:left="1610" w:right="0" w:hanging="220"/>
        <w:jc w:val="left"/>
        <w:rPr>
          <w:sz w:val="19"/>
        </w:rPr>
      </w:pPr>
      <w:r>
        <w:rPr>
          <w:color w:val="231F20"/>
          <w:w w:val="110"/>
          <w:sz w:val="19"/>
        </w:rPr>
        <w:t>Research</w:t>
      </w:r>
      <w:r>
        <w:rPr>
          <w:color w:val="231F20"/>
          <w:spacing w:val="2"/>
          <w:w w:val="110"/>
          <w:sz w:val="19"/>
        </w:rPr>
        <w:t> </w:t>
      </w:r>
      <w:r>
        <w:rPr>
          <w:color w:val="231F20"/>
          <w:w w:val="110"/>
          <w:sz w:val="19"/>
        </w:rPr>
        <w:t>properties</w:t>
      </w:r>
      <w:r>
        <w:rPr>
          <w:color w:val="231F20"/>
          <w:spacing w:val="2"/>
          <w:w w:val="110"/>
          <w:sz w:val="19"/>
        </w:rPr>
        <w:t> </w:t>
      </w:r>
      <w:r>
        <w:rPr>
          <w:color w:val="231F20"/>
          <w:w w:val="110"/>
          <w:sz w:val="19"/>
        </w:rPr>
        <w:t>in</w:t>
      </w:r>
      <w:r>
        <w:rPr>
          <w:color w:val="231F20"/>
          <w:spacing w:val="3"/>
          <w:w w:val="110"/>
          <w:sz w:val="19"/>
        </w:rPr>
        <w:t> </w:t>
      </w:r>
      <w:r>
        <w:rPr>
          <w:color w:val="231F20"/>
          <w:w w:val="110"/>
          <w:sz w:val="19"/>
        </w:rPr>
        <w:t>your</w:t>
      </w:r>
      <w:r>
        <w:rPr>
          <w:color w:val="231F20"/>
          <w:spacing w:val="2"/>
          <w:w w:val="110"/>
          <w:sz w:val="19"/>
        </w:rPr>
        <w:t> </w:t>
      </w:r>
      <w:r>
        <w:rPr>
          <w:color w:val="231F20"/>
          <w:spacing w:val="-2"/>
          <w:w w:val="110"/>
          <w:sz w:val="19"/>
        </w:rPr>
        <w:t>area.</w:t>
      </w:r>
    </w:p>
    <w:p>
      <w:pPr>
        <w:pStyle w:val="ListParagraph"/>
        <w:numPr>
          <w:ilvl w:val="2"/>
          <w:numId w:val="55"/>
        </w:numPr>
        <w:tabs>
          <w:tab w:pos="1611" w:val="left" w:leader="none"/>
        </w:tabs>
        <w:spacing w:line="240" w:lineRule="auto" w:before="82" w:after="0"/>
        <w:ind w:left="1610" w:right="0" w:hanging="224"/>
        <w:jc w:val="left"/>
        <w:rPr>
          <w:sz w:val="19"/>
        </w:rPr>
      </w:pPr>
      <w:r>
        <w:rPr>
          <w:color w:val="231F20"/>
          <w:spacing w:val="-2"/>
          <w:w w:val="115"/>
          <w:sz w:val="19"/>
        </w:rPr>
        <w:t>Plan</w:t>
      </w:r>
      <w:r>
        <w:rPr>
          <w:color w:val="231F20"/>
          <w:spacing w:val="-10"/>
          <w:w w:val="115"/>
          <w:sz w:val="19"/>
        </w:rPr>
        <w:t> </w:t>
      </w:r>
      <w:r>
        <w:rPr>
          <w:color w:val="231F20"/>
          <w:spacing w:val="-2"/>
          <w:w w:val="115"/>
          <w:sz w:val="19"/>
        </w:rPr>
        <w:t>how</w:t>
      </w:r>
      <w:r>
        <w:rPr>
          <w:color w:val="231F20"/>
          <w:spacing w:val="-9"/>
          <w:w w:val="115"/>
          <w:sz w:val="19"/>
        </w:rPr>
        <w:t> </w:t>
      </w:r>
      <w:r>
        <w:rPr>
          <w:color w:val="231F20"/>
          <w:spacing w:val="-2"/>
          <w:w w:val="115"/>
          <w:sz w:val="19"/>
        </w:rPr>
        <w:t>to</w:t>
      </w:r>
      <w:r>
        <w:rPr>
          <w:color w:val="231F20"/>
          <w:spacing w:val="-9"/>
          <w:w w:val="115"/>
          <w:sz w:val="19"/>
        </w:rPr>
        <w:t> </w:t>
      </w:r>
      <w:r>
        <w:rPr>
          <w:color w:val="231F20"/>
          <w:spacing w:val="-2"/>
          <w:w w:val="115"/>
          <w:sz w:val="19"/>
        </w:rPr>
        <w:t>invest</w:t>
      </w:r>
      <w:r>
        <w:rPr>
          <w:color w:val="231F20"/>
          <w:spacing w:val="-9"/>
          <w:w w:val="115"/>
          <w:sz w:val="19"/>
        </w:rPr>
        <w:t> </w:t>
      </w:r>
      <w:r>
        <w:rPr>
          <w:color w:val="231F20"/>
          <w:spacing w:val="-2"/>
          <w:w w:val="115"/>
          <w:sz w:val="19"/>
        </w:rPr>
        <w:t>your</w:t>
      </w:r>
      <w:r>
        <w:rPr>
          <w:color w:val="231F20"/>
          <w:spacing w:val="-10"/>
          <w:w w:val="115"/>
          <w:sz w:val="19"/>
        </w:rPr>
        <w:t> </w:t>
      </w:r>
      <w:r>
        <w:rPr>
          <w:color w:val="231F20"/>
          <w:spacing w:val="-2"/>
          <w:w w:val="115"/>
          <w:sz w:val="19"/>
        </w:rPr>
        <w:t>money.</w:t>
      </w:r>
    </w:p>
    <w:p>
      <w:pPr>
        <w:pStyle w:val="ListParagraph"/>
        <w:numPr>
          <w:ilvl w:val="2"/>
          <w:numId w:val="55"/>
        </w:numPr>
        <w:tabs>
          <w:tab w:pos="1611" w:val="left" w:leader="none"/>
        </w:tabs>
        <w:spacing w:line="240" w:lineRule="auto" w:before="81" w:after="0"/>
        <w:ind w:left="1610" w:right="0" w:hanging="234"/>
        <w:jc w:val="left"/>
        <w:rPr>
          <w:sz w:val="19"/>
        </w:rPr>
      </w:pPr>
      <w:r>
        <w:rPr>
          <w:color w:val="231F20"/>
          <w:w w:val="115"/>
          <w:sz w:val="19"/>
        </w:rPr>
        <w:t>Invest</w:t>
      </w:r>
      <w:r>
        <w:rPr>
          <w:color w:val="231F20"/>
          <w:spacing w:val="-15"/>
          <w:w w:val="115"/>
          <w:sz w:val="19"/>
        </w:rPr>
        <w:t> </w:t>
      </w:r>
      <w:r>
        <w:rPr>
          <w:color w:val="231F20"/>
          <w:w w:val="115"/>
          <w:sz w:val="19"/>
        </w:rPr>
        <w:t>according</w:t>
      </w:r>
      <w:r>
        <w:rPr>
          <w:color w:val="231F20"/>
          <w:spacing w:val="-14"/>
          <w:w w:val="115"/>
          <w:sz w:val="19"/>
        </w:rPr>
        <w:t> </w:t>
      </w:r>
      <w:r>
        <w:rPr>
          <w:color w:val="231F20"/>
          <w:w w:val="115"/>
          <w:sz w:val="19"/>
        </w:rPr>
        <w:t>to</w:t>
      </w:r>
      <w:r>
        <w:rPr>
          <w:color w:val="231F20"/>
          <w:spacing w:val="-14"/>
          <w:w w:val="115"/>
          <w:sz w:val="19"/>
        </w:rPr>
        <w:t> </w:t>
      </w:r>
      <w:r>
        <w:rPr>
          <w:color w:val="231F20"/>
          <w:w w:val="115"/>
          <w:sz w:val="19"/>
        </w:rPr>
        <w:t>your</w:t>
      </w:r>
      <w:r>
        <w:rPr>
          <w:color w:val="231F20"/>
          <w:spacing w:val="-14"/>
          <w:w w:val="115"/>
          <w:sz w:val="19"/>
        </w:rPr>
        <w:t> </w:t>
      </w:r>
      <w:r>
        <w:rPr>
          <w:color w:val="231F20"/>
          <w:spacing w:val="-2"/>
          <w:w w:val="115"/>
          <w:sz w:val="19"/>
        </w:rPr>
        <w:t>plan.</w:t>
      </w:r>
    </w:p>
    <w:p>
      <w:pPr>
        <w:pStyle w:val="ListParagraph"/>
        <w:numPr>
          <w:ilvl w:val="2"/>
          <w:numId w:val="55"/>
        </w:numPr>
        <w:tabs>
          <w:tab w:pos="1610" w:val="left" w:leader="none"/>
        </w:tabs>
        <w:spacing w:line="240" w:lineRule="auto" w:before="82" w:after="0"/>
        <w:ind w:left="1610" w:right="0" w:hanging="222"/>
        <w:jc w:val="left"/>
        <w:rPr>
          <w:sz w:val="19"/>
        </w:rPr>
      </w:pPr>
      <w:r>
        <w:rPr>
          <w:color w:val="231F20"/>
          <w:spacing w:val="-2"/>
          <w:w w:val="115"/>
          <w:sz w:val="19"/>
        </w:rPr>
        <w:t>Manage</w:t>
      </w:r>
      <w:r>
        <w:rPr>
          <w:color w:val="231F20"/>
          <w:spacing w:val="-8"/>
          <w:w w:val="115"/>
          <w:sz w:val="19"/>
        </w:rPr>
        <w:t> </w:t>
      </w:r>
      <w:r>
        <w:rPr>
          <w:color w:val="231F20"/>
          <w:spacing w:val="-2"/>
          <w:w w:val="115"/>
          <w:sz w:val="19"/>
        </w:rPr>
        <w:t>your</w:t>
      </w:r>
      <w:r>
        <w:rPr>
          <w:color w:val="231F20"/>
          <w:spacing w:val="-7"/>
          <w:w w:val="115"/>
          <w:sz w:val="19"/>
        </w:rPr>
        <w:t> </w:t>
      </w:r>
      <w:r>
        <w:rPr>
          <w:color w:val="231F20"/>
          <w:spacing w:val="-2"/>
          <w:w w:val="115"/>
          <w:sz w:val="19"/>
        </w:rPr>
        <w:t>investment</w:t>
      </w:r>
      <w:r>
        <w:rPr>
          <w:color w:val="231F20"/>
          <w:spacing w:val="-8"/>
          <w:w w:val="115"/>
          <w:sz w:val="19"/>
        </w:rPr>
        <w:t> </w:t>
      </w:r>
      <w:r>
        <w:rPr>
          <w:color w:val="231F20"/>
          <w:spacing w:val="-2"/>
          <w:w w:val="115"/>
          <w:sz w:val="19"/>
        </w:rPr>
        <w:t>to</w:t>
      </w:r>
      <w:r>
        <w:rPr>
          <w:color w:val="231F20"/>
          <w:spacing w:val="-7"/>
          <w:w w:val="115"/>
          <w:sz w:val="19"/>
        </w:rPr>
        <w:t> </w:t>
      </w:r>
      <w:r>
        <w:rPr>
          <w:color w:val="231F20"/>
          <w:spacing w:val="-2"/>
          <w:w w:val="115"/>
          <w:sz w:val="19"/>
        </w:rPr>
        <w:t>meet</w:t>
      </w:r>
      <w:r>
        <w:rPr>
          <w:color w:val="231F20"/>
          <w:spacing w:val="-8"/>
          <w:w w:val="115"/>
          <w:sz w:val="19"/>
        </w:rPr>
        <w:t> </w:t>
      </w:r>
      <w:r>
        <w:rPr>
          <w:color w:val="231F20"/>
          <w:spacing w:val="-2"/>
          <w:w w:val="115"/>
          <w:sz w:val="19"/>
        </w:rPr>
        <w:t>your</w:t>
      </w:r>
      <w:r>
        <w:rPr>
          <w:color w:val="231F20"/>
          <w:spacing w:val="-7"/>
          <w:w w:val="115"/>
          <w:sz w:val="19"/>
        </w:rPr>
        <w:t> </w:t>
      </w:r>
      <w:r>
        <w:rPr>
          <w:color w:val="231F20"/>
          <w:spacing w:val="-2"/>
          <w:w w:val="115"/>
          <w:sz w:val="19"/>
        </w:rPr>
        <w:t>goals.</w:t>
      </w:r>
    </w:p>
    <w:p>
      <w:pPr>
        <w:pStyle w:val="BodyText"/>
        <w:rPr>
          <w:rFonts w:ascii="Arial"/>
          <w:sz w:val="20"/>
        </w:rPr>
      </w:pPr>
    </w:p>
    <w:p>
      <w:pPr>
        <w:pStyle w:val="BodyText"/>
        <w:spacing w:line="292" w:lineRule="auto" w:before="130"/>
        <w:ind w:left="920" w:right="666" w:firstLine="340"/>
        <w:jc w:val="both"/>
      </w:pPr>
      <w:r>
        <w:rPr>
          <w:color w:val="231F20"/>
        </w:rPr>
        <w:t>The worksheet on page 388 can help you calculate the return on</w:t>
      </w:r>
      <w:r>
        <w:rPr>
          <w:color w:val="231F20"/>
          <w:spacing w:val="40"/>
        </w:rPr>
        <w:t> </w:t>
      </w:r>
      <w:r>
        <w:rPr>
          <w:color w:val="231F20"/>
        </w:rPr>
        <w:t>a prospective real estate investment.</w:t>
      </w:r>
    </w:p>
    <w:p>
      <w:pPr>
        <w:pStyle w:val="BodyText"/>
        <w:rPr>
          <w:sz w:val="24"/>
        </w:rPr>
      </w:pPr>
    </w:p>
    <w:p>
      <w:pPr>
        <w:pStyle w:val="BodyText"/>
        <w:spacing w:before="11"/>
        <w:rPr>
          <w:sz w:val="24"/>
        </w:rPr>
      </w:pPr>
    </w:p>
    <w:p>
      <w:pPr>
        <w:pStyle w:val="Heading4"/>
        <w:ind w:left="481"/>
      </w:pPr>
      <w:hyperlink w:history="true" w:anchor="_bookmark1">
        <w:r>
          <w:rPr>
            <w:color w:val="0000FF"/>
            <w:w w:val="85"/>
          </w:rPr>
          <w:t>THE</w:t>
        </w:r>
        <w:r>
          <w:rPr>
            <w:color w:val="0000FF"/>
            <w:spacing w:val="13"/>
          </w:rPr>
          <w:t> </w:t>
        </w:r>
        <w:r>
          <w:rPr>
            <w:color w:val="0000FF"/>
            <w:spacing w:val="11"/>
            <w:w w:val="85"/>
          </w:rPr>
          <w:t>TEN-</w:t>
        </w:r>
        <w:r>
          <w:rPr>
            <w:color w:val="0000FF"/>
            <w:spacing w:val="9"/>
            <w:w w:val="85"/>
          </w:rPr>
          <w:t>MINUTE</w:t>
        </w:r>
        <w:r>
          <w:rPr>
            <w:color w:val="0000FF"/>
            <w:spacing w:val="14"/>
          </w:rPr>
          <w:t> </w:t>
        </w:r>
        <w:r>
          <w:rPr>
            <w:color w:val="0000FF"/>
            <w:spacing w:val="9"/>
            <w:w w:val="85"/>
          </w:rPr>
          <w:t>LEADERSHIP</w:t>
        </w:r>
        <w:r>
          <w:rPr>
            <w:color w:val="0000FF"/>
            <w:spacing w:val="14"/>
          </w:rPr>
          <w:t> </w:t>
        </w:r>
        <w:r>
          <w:rPr>
            <w:color w:val="0000FF"/>
            <w:spacing w:val="9"/>
            <w:w w:val="85"/>
          </w:rPr>
          <w:t>COACH</w:t>
        </w:r>
      </w:hyperlink>
    </w:p>
    <w:p>
      <w:pPr>
        <w:pStyle w:val="BodyText"/>
        <w:spacing w:before="10"/>
        <w:rPr>
          <w:rFonts w:ascii="Trebuchet MS"/>
          <w:sz w:val="29"/>
        </w:rPr>
      </w:pPr>
    </w:p>
    <w:p>
      <w:pPr>
        <w:pStyle w:val="BodyText"/>
        <w:spacing w:line="292" w:lineRule="auto"/>
        <w:ind w:left="920" w:right="663"/>
        <w:jc w:val="both"/>
      </w:pPr>
      <w:r>
        <w:rPr>
          <w:color w:val="231F20"/>
        </w:rPr>
        <w:t>One of the newest areas for MBA education is leadership. Personal leadership coaches are the rage for corporate executives, and they cost hundreds of dollars an hour for their advice. I discussed the the- ories</w:t>
      </w:r>
      <w:r>
        <w:rPr>
          <w:color w:val="231F20"/>
          <w:spacing w:val="40"/>
        </w:rPr>
        <w:t> </w:t>
      </w:r>
      <w:r>
        <w:rPr>
          <w:color w:val="231F20"/>
        </w:rPr>
        <w:t>of</w:t>
      </w:r>
      <w:r>
        <w:rPr>
          <w:color w:val="231F20"/>
          <w:spacing w:val="40"/>
        </w:rPr>
        <w:t> </w:t>
      </w:r>
      <w:r>
        <w:rPr>
          <w:color w:val="231F20"/>
        </w:rPr>
        <w:t>leadership</w:t>
      </w:r>
      <w:r>
        <w:rPr>
          <w:color w:val="231F20"/>
          <w:spacing w:val="40"/>
        </w:rPr>
        <w:t> </w:t>
      </w:r>
      <w:r>
        <w:rPr>
          <w:color w:val="231F20"/>
        </w:rPr>
        <w:t>in</w:t>
      </w:r>
      <w:r>
        <w:rPr>
          <w:color w:val="231F20"/>
          <w:spacing w:val="40"/>
        </w:rPr>
        <w:t> </w:t>
      </w:r>
      <w:r>
        <w:rPr>
          <w:color w:val="231F20"/>
        </w:rPr>
        <w:t>chapter</w:t>
      </w:r>
      <w:r>
        <w:rPr>
          <w:color w:val="231F20"/>
          <w:spacing w:val="40"/>
        </w:rPr>
        <w:t> </w:t>
      </w:r>
      <w:r>
        <w:rPr>
          <w:color w:val="231F20"/>
        </w:rPr>
        <w:t>4,</w:t>
      </w:r>
      <w:r>
        <w:rPr>
          <w:color w:val="231F20"/>
          <w:spacing w:val="40"/>
        </w:rPr>
        <w:t> </w:t>
      </w:r>
      <w:r>
        <w:rPr>
          <w:color w:val="231F20"/>
        </w:rPr>
        <w:t>“Organizational</w:t>
      </w:r>
      <w:r>
        <w:rPr>
          <w:color w:val="231F20"/>
          <w:spacing w:val="40"/>
        </w:rPr>
        <w:t> </w:t>
      </w:r>
      <w:r>
        <w:rPr>
          <w:color w:val="231F20"/>
        </w:rPr>
        <w:t>Behavior,”</w:t>
      </w:r>
      <w:r>
        <w:rPr>
          <w:color w:val="231F20"/>
          <w:spacing w:val="40"/>
        </w:rPr>
        <w:t> </w:t>
      </w:r>
      <w:r>
        <w:rPr>
          <w:color w:val="231F20"/>
        </w:rPr>
        <w:t>but many MBA programs have created leadership courses so that </w:t>
      </w:r>
      <w:r>
        <w:rPr>
          <w:color w:val="231F20"/>
        </w:rPr>
        <w:t>their students can be leaders themselves and, down the road, become</w:t>
      </w:r>
      <w:r>
        <w:rPr>
          <w:color w:val="231F20"/>
          <w:spacing w:val="40"/>
        </w:rPr>
        <w:t> </w:t>
      </w:r>
      <w:r>
        <w:rPr>
          <w:color w:val="231F20"/>
        </w:rPr>
        <w:t>large donors to their school.</w:t>
      </w:r>
    </w:p>
    <w:p>
      <w:pPr>
        <w:pStyle w:val="BodyText"/>
        <w:spacing w:line="292" w:lineRule="auto"/>
        <w:ind w:left="919" w:right="664" w:firstLine="340"/>
        <w:jc w:val="both"/>
      </w:pPr>
      <w:r>
        <w:rPr>
          <w:color w:val="231F20"/>
        </w:rPr>
        <w:t>Being an effective leader involves having the self-confidence to make decisions, motivating others, and assuming responsibility for your actions. In a nutshell, to become an effective leader you have to overcome your fears and anxieties. It goes beyond a weekend of climbing ropes. Most of the fear and anxiety of business leaders is over losing control. Other fears that stem from this include the com- mon</w:t>
      </w:r>
      <w:r>
        <w:rPr>
          <w:color w:val="231F20"/>
          <w:spacing w:val="27"/>
        </w:rPr>
        <w:t> </w:t>
      </w:r>
      <w:r>
        <w:rPr>
          <w:color w:val="231F20"/>
        </w:rPr>
        <w:t>fear</w:t>
      </w:r>
      <w:r>
        <w:rPr>
          <w:color w:val="231F20"/>
          <w:spacing w:val="28"/>
        </w:rPr>
        <w:t> </w:t>
      </w:r>
      <w:r>
        <w:rPr>
          <w:color w:val="231F20"/>
        </w:rPr>
        <w:t>of</w:t>
      </w:r>
      <w:r>
        <w:rPr>
          <w:color w:val="231F20"/>
          <w:spacing w:val="28"/>
        </w:rPr>
        <w:t> </w:t>
      </w:r>
      <w:r>
        <w:rPr>
          <w:color w:val="231F20"/>
        </w:rPr>
        <w:t>going</w:t>
      </w:r>
      <w:r>
        <w:rPr>
          <w:color w:val="231F20"/>
          <w:spacing w:val="28"/>
        </w:rPr>
        <w:t> </w:t>
      </w:r>
      <w:r>
        <w:rPr>
          <w:color w:val="231F20"/>
        </w:rPr>
        <w:t>insane,</w:t>
      </w:r>
      <w:r>
        <w:rPr>
          <w:color w:val="231F20"/>
          <w:spacing w:val="28"/>
        </w:rPr>
        <w:t> </w:t>
      </w:r>
      <w:r>
        <w:rPr>
          <w:color w:val="231F20"/>
        </w:rPr>
        <w:t>fear</w:t>
      </w:r>
      <w:r>
        <w:rPr>
          <w:color w:val="231F20"/>
          <w:spacing w:val="28"/>
        </w:rPr>
        <w:t> </w:t>
      </w:r>
      <w:r>
        <w:rPr>
          <w:color w:val="231F20"/>
        </w:rPr>
        <w:t>of</w:t>
      </w:r>
      <w:r>
        <w:rPr>
          <w:color w:val="231F20"/>
          <w:spacing w:val="28"/>
        </w:rPr>
        <w:t> </w:t>
      </w:r>
      <w:r>
        <w:rPr>
          <w:color w:val="231F20"/>
        </w:rPr>
        <w:t>embarrassing</w:t>
      </w:r>
      <w:r>
        <w:rPr>
          <w:color w:val="231F20"/>
          <w:spacing w:val="28"/>
        </w:rPr>
        <w:t> </w:t>
      </w:r>
      <w:r>
        <w:rPr>
          <w:color w:val="231F20"/>
        </w:rPr>
        <w:t>yourself</w:t>
      </w:r>
      <w:r>
        <w:rPr>
          <w:color w:val="231F20"/>
          <w:spacing w:val="28"/>
        </w:rPr>
        <w:t> </w:t>
      </w:r>
      <w:r>
        <w:rPr>
          <w:color w:val="231F20"/>
        </w:rPr>
        <w:t>in</w:t>
      </w:r>
      <w:r>
        <w:rPr>
          <w:color w:val="231F20"/>
          <w:spacing w:val="28"/>
        </w:rPr>
        <w:t> </w:t>
      </w:r>
      <w:r>
        <w:rPr>
          <w:color w:val="231F20"/>
        </w:rPr>
        <w:t>front</w:t>
      </w:r>
      <w:r>
        <w:rPr>
          <w:color w:val="231F20"/>
          <w:spacing w:val="28"/>
        </w:rPr>
        <w:t> </w:t>
      </w:r>
      <w:r>
        <w:rPr>
          <w:color w:val="231F20"/>
          <w:spacing w:val="-5"/>
        </w:rPr>
        <w:t>of</w:t>
      </w:r>
    </w:p>
    <w:p>
      <w:pPr>
        <w:spacing w:after="0" w:line="292" w:lineRule="auto"/>
        <w:jc w:val="both"/>
        <w:sectPr>
          <w:pgSz w:w="8640" w:h="12960"/>
          <w:pgMar w:header="734" w:footer="0" w:top="920" w:bottom="280" w:left="340" w:right="500"/>
        </w:sectPr>
      </w:pPr>
    </w:p>
    <w:p>
      <w:pPr>
        <w:pStyle w:val="BodyText"/>
        <w:spacing w:before="8"/>
        <w:rPr>
          <w:sz w:val="17"/>
        </w:rPr>
      </w:pPr>
    </w:p>
    <w:p>
      <w:pPr>
        <w:spacing w:before="93"/>
        <w:ind w:left="295" w:right="219" w:firstLine="0"/>
        <w:jc w:val="center"/>
        <w:rPr>
          <w:b/>
          <w:sz w:val="20"/>
        </w:rPr>
      </w:pPr>
      <w:r>
        <w:rPr>
          <w:b/>
          <w:color w:val="231F20"/>
          <w:w w:val="115"/>
          <w:sz w:val="20"/>
        </w:rPr>
        <w:t>PROPERTY</w:t>
      </w:r>
      <w:r>
        <w:rPr>
          <w:b/>
          <w:color w:val="231F20"/>
          <w:spacing w:val="16"/>
          <w:w w:val="115"/>
          <w:sz w:val="20"/>
        </w:rPr>
        <w:t> </w:t>
      </w:r>
      <w:r>
        <w:rPr>
          <w:b/>
          <w:color w:val="231F20"/>
          <w:w w:val="115"/>
          <w:sz w:val="20"/>
        </w:rPr>
        <w:t>ANALYSIS</w:t>
      </w:r>
      <w:r>
        <w:rPr>
          <w:b/>
          <w:color w:val="231F20"/>
          <w:spacing w:val="17"/>
          <w:w w:val="115"/>
          <w:sz w:val="20"/>
        </w:rPr>
        <w:t> </w:t>
      </w:r>
      <w:r>
        <w:rPr>
          <w:b/>
          <w:color w:val="231F20"/>
          <w:spacing w:val="-2"/>
          <w:w w:val="115"/>
          <w:sz w:val="20"/>
        </w:rPr>
        <w:t>WORKSHEET</w:t>
      </w:r>
    </w:p>
    <w:p>
      <w:pPr>
        <w:pStyle w:val="BodyText"/>
        <w:spacing w:before="3"/>
        <w:rPr>
          <w:b/>
          <w:sz w:val="5"/>
        </w:rPr>
      </w:pPr>
      <w:r>
        <w:rPr/>
        <w:pict>
          <v:shape style="position:absolute;margin-left:75.5pt;margin-top:4.282509pt;width:276.5pt;height:.1pt;mso-position-horizontal-relative:page;mso-position-vertical-relative:paragraph;z-index:-15514624;mso-wrap-distance-left:0;mso-wrap-distance-right:0" id="docshape549" coordorigin="1510,86" coordsize="5530,0" path="m1510,86l7040,86e" filled="false" stroked="true" strokeweight="1pt" strokecolor="#231f20">
            <v:path arrowok="t"/>
            <v:stroke dashstyle="solid"/>
            <w10:wrap type="topAndBottom"/>
          </v:shape>
        </w:pict>
      </w:r>
    </w:p>
    <w:p>
      <w:pPr>
        <w:pStyle w:val="BodyText"/>
        <w:spacing w:before="6"/>
        <w:rPr>
          <w:b/>
          <w:sz w:val="19"/>
        </w:rPr>
      </w:pPr>
    </w:p>
    <w:p>
      <w:pPr>
        <w:tabs>
          <w:tab w:pos="5224" w:val="left" w:leader="none"/>
        </w:tabs>
        <w:spacing w:before="0"/>
        <w:ind w:left="1170" w:right="0" w:firstLine="0"/>
        <w:jc w:val="left"/>
        <w:rPr>
          <w:b/>
          <w:sz w:val="18"/>
        </w:rPr>
      </w:pPr>
      <w:r>
        <w:rPr>
          <w:b/>
          <w:color w:val="231F20"/>
          <w:sz w:val="18"/>
        </w:rPr>
        <w:t>Address: </w:t>
      </w:r>
      <w:r>
        <w:rPr>
          <w:b/>
          <w:color w:val="231F20"/>
          <w:sz w:val="18"/>
          <w:u w:val="single" w:color="221E1F"/>
        </w:rPr>
        <w:tab/>
      </w:r>
    </w:p>
    <w:p>
      <w:pPr>
        <w:pStyle w:val="BodyText"/>
        <w:spacing w:before="8"/>
        <w:rPr>
          <w:b/>
        </w:rPr>
      </w:pPr>
      <w:r>
        <w:rPr/>
        <w:pict>
          <v:shape style="position:absolute;margin-left:111.750214pt;margin-top:13.911765pt;width:166.5pt;height:.1pt;mso-position-horizontal-relative:page;mso-position-vertical-relative:paragraph;z-index:-15514112;mso-wrap-distance-left:0;mso-wrap-distance-right:0" id="docshape550" coordorigin="2235,278" coordsize="3330,0" path="m2235,278l5565,278e" filled="false" stroked="true" strokeweight=".45pt" strokecolor="#221e1f">
            <v:path arrowok="t"/>
            <v:stroke dashstyle="solid"/>
            <w10:wrap type="topAndBottom"/>
          </v:shape>
        </w:pict>
      </w:r>
    </w:p>
    <w:p>
      <w:pPr>
        <w:pStyle w:val="BodyText"/>
        <w:rPr>
          <w:b/>
          <w:sz w:val="20"/>
        </w:rPr>
      </w:pPr>
    </w:p>
    <w:p>
      <w:pPr>
        <w:pStyle w:val="BodyText"/>
        <w:rPr>
          <w:b/>
          <w:sz w:val="20"/>
        </w:rPr>
      </w:pPr>
    </w:p>
    <w:p>
      <w:pPr>
        <w:pStyle w:val="BodyText"/>
        <w:spacing w:before="3"/>
        <w:rPr>
          <w:b/>
          <w:sz w:val="20"/>
        </w:rPr>
      </w:pPr>
    </w:p>
    <w:p>
      <w:pPr>
        <w:tabs>
          <w:tab w:pos="1439" w:val="left" w:leader="none"/>
        </w:tabs>
        <w:spacing w:before="0"/>
        <w:ind w:left="0" w:right="1107" w:firstLine="0"/>
        <w:jc w:val="right"/>
        <w:rPr>
          <w:sz w:val="18"/>
        </w:rPr>
      </w:pPr>
      <w:r>
        <w:rPr/>
        <w:pict>
          <v:shape style="position:absolute;margin-left:73pt;margin-top:-14.674609pt;width:195.85pt;height:340.25pt;mso-position-horizontal-relative:page;mso-position-vertical-relative:paragraph;z-index:15946240" type="#_x0000_t202" id="docshape55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16"/>
                  </w:tblGrid>
                  <w:tr>
                    <w:trPr>
                      <w:trHeight w:val="252" w:hRule="atLeast"/>
                    </w:trPr>
                    <w:tc>
                      <w:tcPr>
                        <w:tcW w:w="3916" w:type="dxa"/>
                      </w:tcPr>
                      <w:p>
                        <w:pPr>
                          <w:pStyle w:val="TableParagraph"/>
                          <w:spacing w:line="205" w:lineRule="exact" w:before="0"/>
                          <w:ind w:left="50"/>
                          <w:jc w:val="left"/>
                          <w:rPr>
                            <w:b/>
                            <w:sz w:val="18"/>
                          </w:rPr>
                        </w:pPr>
                        <w:r>
                          <w:rPr>
                            <w:b/>
                            <w:color w:val="231F20"/>
                            <w:w w:val="95"/>
                            <w:sz w:val="18"/>
                          </w:rPr>
                          <w:t>Basic</w:t>
                        </w:r>
                        <w:r>
                          <w:rPr>
                            <w:b/>
                            <w:color w:val="231F20"/>
                            <w:spacing w:val="11"/>
                            <w:sz w:val="18"/>
                          </w:rPr>
                          <w:t> </w:t>
                        </w:r>
                        <w:r>
                          <w:rPr>
                            <w:b/>
                            <w:color w:val="231F20"/>
                            <w:spacing w:val="-2"/>
                            <w:sz w:val="18"/>
                          </w:rPr>
                          <w:t>Return</w:t>
                        </w:r>
                      </w:p>
                    </w:tc>
                  </w:tr>
                  <w:tr>
                    <w:trPr>
                      <w:trHeight w:val="298" w:hRule="atLeast"/>
                    </w:trPr>
                    <w:tc>
                      <w:tcPr>
                        <w:tcW w:w="3916" w:type="dxa"/>
                      </w:tcPr>
                      <w:p>
                        <w:pPr>
                          <w:pStyle w:val="TableParagraph"/>
                          <w:spacing w:before="41"/>
                          <w:ind w:left="140"/>
                          <w:jc w:val="left"/>
                          <w:rPr>
                            <w:sz w:val="18"/>
                          </w:rPr>
                        </w:pPr>
                        <w:r>
                          <w:rPr>
                            <w:color w:val="231F20"/>
                            <w:sz w:val="18"/>
                          </w:rPr>
                          <w:t>1.</w:t>
                        </w:r>
                        <w:r>
                          <w:rPr>
                            <w:color w:val="231F20"/>
                            <w:spacing w:val="12"/>
                            <w:sz w:val="18"/>
                          </w:rPr>
                          <w:t> </w:t>
                        </w:r>
                        <w:r>
                          <w:rPr>
                            <w:color w:val="231F20"/>
                            <w:sz w:val="18"/>
                          </w:rPr>
                          <w:t>Value</w:t>
                        </w:r>
                        <w:r>
                          <w:rPr>
                            <w:color w:val="231F20"/>
                            <w:spacing w:val="12"/>
                            <w:sz w:val="18"/>
                          </w:rPr>
                          <w:t> </w:t>
                        </w:r>
                        <w:r>
                          <w:rPr>
                            <w:color w:val="231F20"/>
                            <w:sz w:val="18"/>
                          </w:rPr>
                          <w:t>of</w:t>
                        </w:r>
                        <w:r>
                          <w:rPr>
                            <w:color w:val="231F20"/>
                            <w:spacing w:val="13"/>
                            <w:sz w:val="18"/>
                          </w:rPr>
                          <w:t> </w:t>
                        </w:r>
                        <w:r>
                          <w:rPr>
                            <w:color w:val="231F20"/>
                            <w:sz w:val="18"/>
                          </w:rPr>
                          <w:t>the</w:t>
                        </w:r>
                        <w:r>
                          <w:rPr>
                            <w:color w:val="231F20"/>
                            <w:spacing w:val="12"/>
                            <w:sz w:val="18"/>
                          </w:rPr>
                          <w:t> </w:t>
                        </w:r>
                        <w:r>
                          <w:rPr>
                            <w:color w:val="231F20"/>
                            <w:spacing w:val="-2"/>
                            <w:sz w:val="18"/>
                          </w:rPr>
                          <w:t>Property</w:t>
                        </w:r>
                      </w:p>
                    </w:tc>
                  </w:tr>
                  <w:tr>
                    <w:trPr>
                      <w:trHeight w:val="300" w:hRule="atLeast"/>
                    </w:trPr>
                    <w:tc>
                      <w:tcPr>
                        <w:tcW w:w="3916" w:type="dxa"/>
                      </w:tcPr>
                      <w:p>
                        <w:pPr>
                          <w:pStyle w:val="TableParagraph"/>
                          <w:spacing w:before="43"/>
                          <w:ind w:left="140"/>
                          <w:jc w:val="left"/>
                          <w:rPr>
                            <w:sz w:val="18"/>
                          </w:rPr>
                        </w:pPr>
                        <w:r>
                          <w:rPr>
                            <w:color w:val="231F20"/>
                            <w:sz w:val="18"/>
                          </w:rPr>
                          <w:t>2.</w:t>
                        </w:r>
                        <w:r>
                          <w:rPr>
                            <w:color w:val="231F20"/>
                            <w:spacing w:val="18"/>
                            <w:sz w:val="18"/>
                          </w:rPr>
                          <w:t> </w:t>
                        </w:r>
                        <w:r>
                          <w:rPr>
                            <w:color w:val="231F20"/>
                            <w:sz w:val="18"/>
                          </w:rPr>
                          <w:t>Loans</w:t>
                        </w:r>
                        <w:r>
                          <w:rPr>
                            <w:color w:val="231F20"/>
                            <w:spacing w:val="18"/>
                            <w:sz w:val="18"/>
                          </w:rPr>
                          <w:t> </w:t>
                        </w:r>
                        <w:r>
                          <w:rPr>
                            <w:color w:val="231F20"/>
                            <w:sz w:val="18"/>
                          </w:rPr>
                          <w:t>on</w:t>
                        </w:r>
                        <w:r>
                          <w:rPr>
                            <w:color w:val="231F20"/>
                            <w:spacing w:val="19"/>
                            <w:sz w:val="18"/>
                          </w:rPr>
                          <w:t> </w:t>
                        </w:r>
                        <w:r>
                          <w:rPr>
                            <w:color w:val="231F20"/>
                            <w:spacing w:val="-2"/>
                            <w:sz w:val="18"/>
                          </w:rPr>
                          <w:t>Property</w:t>
                        </w:r>
                      </w:p>
                    </w:tc>
                  </w:tr>
                  <w:tr>
                    <w:trPr>
                      <w:trHeight w:val="300" w:hRule="atLeast"/>
                    </w:trPr>
                    <w:tc>
                      <w:tcPr>
                        <w:tcW w:w="3916" w:type="dxa"/>
                      </w:tcPr>
                      <w:p>
                        <w:pPr>
                          <w:pStyle w:val="TableParagraph"/>
                          <w:spacing w:before="43"/>
                          <w:ind w:left="140"/>
                          <w:jc w:val="left"/>
                          <w:rPr>
                            <w:sz w:val="18"/>
                          </w:rPr>
                        </w:pPr>
                        <w:r>
                          <w:rPr>
                            <w:color w:val="231F20"/>
                            <w:sz w:val="18"/>
                          </w:rPr>
                          <w:t>3.</w:t>
                        </w:r>
                        <w:r>
                          <w:rPr>
                            <w:color w:val="231F20"/>
                            <w:spacing w:val="15"/>
                            <w:sz w:val="18"/>
                          </w:rPr>
                          <w:t> </w:t>
                        </w:r>
                        <w:r>
                          <w:rPr>
                            <w:color w:val="231F20"/>
                            <w:sz w:val="18"/>
                          </w:rPr>
                          <w:t>Equity</w:t>
                        </w:r>
                        <w:r>
                          <w:rPr>
                            <w:color w:val="231F20"/>
                            <w:spacing w:val="15"/>
                            <w:sz w:val="18"/>
                          </w:rPr>
                          <w:t> </w:t>
                        </w:r>
                        <w:r>
                          <w:rPr>
                            <w:color w:val="231F20"/>
                            <w:sz w:val="18"/>
                          </w:rPr>
                          <w:t>in</w:t>
                        </w:r>
                        <w:r>
                          <w:rPr>
                            <w:color w:val="231F20"/>
                            <w:spacing w:val="15"/>
                            <w:sz w:val="18"/>
                          </w:rPr>
                          <w:t> </w:t>
                        </w:r>
                        <w:r>
                          <w:rPr>
                            <w:color w:val="231F20"/>
                            <w:spacing w:val="-2"/>
                            <w:sz w:val="18"/>
                          </w:rPr>
                          <w:t>Property</w:t>
                        </w:r>
                      </w:p>
                    </w:tc>
                  </w:tr>
                  <w:tr>
                    <w:trPr>
                      <w:trHeight w:val="301" w:hRule="atLeast"/>
                    </w:trPr>
                    <w:tc>
                      <w:tcPr>
                        <w:tcW w:w="3916" w:type="dxa"/>
                      </w:tcPr>
                      <w:p>
                        <w:pPr>
                          <w:pStyle w:val="TableParagraph"/>
                          <w:tabs>
                            <w:tab w:pos="2269" w:val="left" w:leader="none"/>
                          </w:tabs>
                          <w:spacing w:before="33"/>
                          <w:ind w:left="140"/>
                          <w:jc w:val="left"/>
                          <w:rPr>
                            <w:rFonts w:ascii="Symbol" w:hAnsi="Symbol"/>
                            <w:sz w:val="18"/>
                          </w:rPr>
                        </w:pPr>
                        <w:r>
                          <w:rPr>
                            <w:color w:val="231F20"/>
                            <w:w w:val="105"/>
                            <w:sz w:val="18"/>
                          </w:rPr>
                          <w:t>4.</w:t>
                        </w:r>
                        <w:r>
                          <w:rPr>
                            <w:color w:val="231F20"/>
                            <w:spacing w:val="10"/>
                            <w:w w:val="105"/>
                            <w:sz w:val="18"/>
                          </w:rPr>
                          <w:t> </w:t>
                        </w:r>
                        <w:r>
                          <w:rPr>
                            <w:color w:val="231F20"/>
                            <w:w w:val="105"/>
                            <w:sz w:val="18"/>
                          </w:rPr>
                          <w:t>Gross</w:t>
                        </w:r>
                        <w:r>
                          <w:rPr>
                            <w:color w:val="231F20"/>
                            <w:spacing w:val="10"/>
                            <w:w w:val="105"/>
                            <w:sz w:val="18"/>
                          </w:rPr>
                          <w:t> </w:t>
                        </w:r>
                        <w:r>
                          <w:rPr>
                            <w:color w:val="231F20"/>
                            <w:w w:val="105"/>
                            <w:sz w:val="18"/>
                          </w:rPr>
                          <w:t>Income</w:t>
                        </w:r>
                        <w:r>
                          <w:rPr>
                            <w:color w:val="231F20"/>
                            <w:spacing w:val="10"/>
                            <w:w w:val="105"/>
                            <w:sz w:val="18"/>
                          </w:rPr>
                          <w:t> </w:t>
                        </w:r>
                        <w:r>
                          <w:rPr>
                            <w:color w:val="231F20"/>
                            <w:sz w:val="18"/>
                            <w:u w:val="single" w:color="221E1F"/>
                          </w:rPr>
                          <w:tab/>
                        </w:r>
                        <w:r>
                          <w:rPr>
                            <w:color w:val="231F20"/>
                            <w:spacing w:val="15"/>
                            <w:w w:val="105"/>
                            <w:sz w:val="18"/>
                          </w:rPr>
                          <w:t> </w:t>
                        </w:r>
                        <w:r>
                          <w:rPr>
                            <w:color w:val="231F20"/>
                            <w:w w:val="105"/>
                            <w:sz w:val="18"/>
                          </w:rPr>
                          <w:t>Mo.</w:t>
                        </w:r>
                        <w:r>
                          <w:rPr>
                            <w:color w:val="231F20"/>
                            <w:spacing w:val="14"/>
                            <w:w w:val="105"/>
                            <w:sz w:val="18"/>
                          </w:rPr>
                          <w:t> </w:t>
                        </w:r>
                        <w:r>
                          <w:rPr>
                            <w:rFonts w:ascii="Symbol" w:hAnsi="Symbol"/>
                            <w:color w:val="231F20"/>
                            <w:w w:val="105"/>
                            <w:sz w:val="18"/>
                          </w:rPr>
                          <w:t></w:t>
                        </w:r>
                        <w:r>
                          <w:rPr>
                            <w:rFonts w:ascii="Times New Roman" w:hAnsi="Times New Roman"/>
                            <w:color w:val="231F20"/>
                            <w:spacing w:val="9"/>
                            <w:w w:val="105"/>
                            <w:sz w:val="18"/>
                          </w:rPr>
                          <w:t> </w:t>
                        </w:r>
                        <w:r>
                          <w:rPr>
                            <w:color w:val="231F20"/>
                            <w:w w:val="105"/>
                            <w:sz w:val="18"/>
                          </w:rPr>
                          <w:t>12</w:t>
                        </w:r>
                        <w:r>
                          <w:rPr>
                            <w:color w:val="231F20"/>
                            <w:spacing w:val="15"/>
                            <w:w w:val="105"/>
                            <w:sz w:val="18"/>
                          </w:rPr>
                          <w:t> </w:t>
                        </w:r>
                        <w:r>
                          <w:rPr>
                            <w:rFonts w:ascii="Symbol" w:hAnsi="Symbol"/>
                            <w:color w:val="231F20"/>
                            <w:w w:val="105"/>
                            <w:sz w:val="18"/>
                          </w:rPr>
                          <w:t></w:t>
                        </w:r>
                      </w:p>
                    </w:tc>
                  </w:tr>
                  <w:tr>
                    <w:trPr>
                      <w:trHeight w:val="300" w:hRule="atLeast"/>
                    </w:trPr>
                    <w:tc>
                      <w:tcPr>
                        <w:tcW w:w="3916" w:type="dxa"/>
                      </w:tcPr>
                      <w:p>
                        <w:pPr>
                          <w:pStyle w:val="TableParagraph"/>
                          <w:tabs>
                            <w:tab w:pos="2270" w:val="left" w:leader="none"/>
                          </w:tabs>
                          <w:spacing w:before="32"/>
                          <w:ind w:left="140"/>
                          <w:jc w:val="left"/>
                          <w:rPr>
                            <w:rFonts w:ascii="Symbol" w:hAnsi="Symbol"/>
                            <w:sz w:val="18"/>
                          </w:rPr>
                        </w:pPr>
                        <w:r>
                          <w:rPr>
                            <w:color w:val="231F20"/>
                            <w:w w:val="105"/>
                            <w:sz w:val="18"/>
                          </w:rPr>
                          <w:t>5.</w:t>
                        </w:r>
                        <w:r>
                          <w:rPr>
                            <w:color w:val="231F20"/>
                            <w:spacing w:val="15"/>
                            <w:w w:val="105"/>
                            <w:sz w:val="18"/>
                          </w:rPr>
                          <w:t> </w:t>
                        </w:r>
                        <w:r>
                          <w:rPr>
                            <w:color w:val="231F20"/>
                            <w:w w:val="105"/>
                            <w:sz w:val="18"/>
                          </w:rPr>
                          <w:t>Expenses</w:t>
                        </w:r>
                        <w:r>
                          <w:rPr>
                            <w:color w:val="231F20"/>
                            <w:spacing w:val="10"/>
                            <w:w w:val="105"/>
                            <w:sz w:val="18"/>
                          </w:rPr>
                          <w:t> </w:t>
                        </w:r>
                        <w:r>
                          <w:rPr>
                            <w:color w:val="231F20"/>
                            <w:sz w:val="18"/>
                            <w:u w:val="single" w:color="221E1F"/>
                          </w:rPr>
                          <w:tab/>
                        </w:r>
                        <w:r>
                          <w:rPr>
                            <w:color w:val="231F20"/>
                            <w:spacing w:val="15"/>
                            <w:w w:val="105"/>
                            <w:sz w:val="18"/>
                          </w:rPr>
                          <w:t> </w:t>
                        </w:r>
                        <w:r>
                          <w:rPr>
                            <w:color w:val="231F20"/>
                            <w:w w:val="105"/>
                            <w:sz w:val="18"/>
                          </w:rPr>
                          <w:t>Mo.</w:t>
                        </w:r>
                        <w:r>
                          <w:rPr>
                            <w:color w:val="231F20"/>
                            <w:spacing w:val="15"/>
                            <w:w w:val="105"/>
                            <w:sz w:val="18"/>
                          </w:rPr>
                          <w:t> </w:t>
                        </w:r>
                        <w:r>
                          <w:rPr>
                            <w:rFonts w:ascii="Symbol" w:hAnsi="Symbol"/>
                            <w:color w:val="231F20"/>
                            <w:w w:val="105"/>
                            <w:sz w:val="18"/>
                          </w:rPr>
                          <w:t></w:t>
                        </w:r>
                        <w:r>
                          <w:rPr>
                            <w:rFonts w:ascii="Times New Roman" w:hAnsi="Times New Roman"/>
                            <w:color w:val="231F20"/>
                            <w:spacing w:val="9"/>
                            <w:w w:val="105"/>
                            <w:sz w:val="18"/>
                          </w:rPr>
                          <w:t> </w:t>
                        </w:r>
                        <w:r>
                          <w:rPr>
                            <w:color w:val="231F20"/>
                            <w:w w:val="105"/>
                            <w:sz w:val="18"/>
                          </w:rPr>
                          <w:t>12</w:t>
                        </w:r>
                        <w:r>
                          <w:rPr>
                            <w:color w:val="231F20"/>
                            <w:spacing w:val="15"/>
                            <w:w w:val="105"/>
                            <w:sz w:val="18"/>
                          </w:rPr>
                          <w:t> </w:t>
                        </w:r>
                        <w:r>
                          <w:rPr>
                            <w:rFonts w:ascii="Symbol" w:hAnsi="Symbol"/>
                            <w:color w:val="231F20"/>
                            <w:w w:val="105"/>
                            <w:sz w:val="18"/>
                          </w:rPr>
                          <w:t></w:t>
                        </w:r>
                      </w:p>
                    </w:tc>
                  </w:tr>
                  <w:tr>
                    <w:trPr>
                      <w:trHeight w:val="300" w:hRule="atLeast"/>
                    </w:trPr>
                    <w:tc>
                      <w:tcPr>
                        <w:tcW w:w="3916" w:type="dxa"/>
                      </w:tcPr>
                      <w:p>
                        <w:pPr>
                          <w:pStyle w:val="TableParagraph"/>
                          <w:tabs>
                            <w:tab w:pos="2263" w:val="left" w:leader="none"/>
                          </w:tabs>
                          <w:spacing w:before="32"/>
                          <w:ind w:left="140"/>
                          <w:jc w:val="left"/>
                          <w:rPr>
                            <w:rFonts w:ascii="Symbol" w:hAnsi="Symbol"/>
                            <w:sz w:val="18"/>
                          </w:rPr>
                        </w:pPr>
                        <w:r>
                          <w:rPr>
                            <w:color w:val="231F20"/>
                            <w:w w:val="105"/>
                            <w:sz w:val="18"/>
                          </w:rPr>
                          <w:t>6.</w:t>
                        </w:r>
                        <w:r>
                          <w:rPr>
                            <w:color w:val="231F20"/>
                            <w:spacing w:val="12"/>
                            <w:w w:val="105"/>
                            <w:sz w:val="18"/>
                          </w:rPr>
                          <w:t> </w:t>
                        </w:r>
                        <w:r>
                          <w:rPr>
                            <w:color w:val="231F20"/>
                            <w:w w:val="105"/>
                            <w:sz w:val="18"/>
                          </w:rPr>
                          <w:t>Loan</w:t>
                        </w:r>
                        <w:r>
                          <w:rPr>
                            <w:color w:val="231F20"/>
                            <w:spacing w:val="12"/>
                            <w:w w:val="105"/>
                            <w:sz w:val="18"/>
                          </w:rPr>
                          <w:t> </w:t>
                        </w:r>
                        <w:r>
                          <w:rPr>
                            <w:color w:val="231F20"/>
                            <w:w w:val="105"/>
                            <w:sz w:val="18"/>
                          </w:rPr>
                          <w:t>Payments</w:t>
                        </w:r>
                        <w:r>
                          <w:rPr>
                            <w:color w:val="231F20"/>
                            <w:spacing w:val="10"/>
                            <w:w w:val="105"/>
                            <w:sz w:val="18"/>
                          </w:rPr>
                          <w:t> </w:t>
                        </w:r>
                        <w:r>
                          <w:rPr>
                            <w:color w:val="231F20"/>
                            <w:sz w:val="18"/>
                            <w:u w:val="single" w:color="221E1F"/>
                          </w:rPr>
                          <w:tab/>
                        </w:r>
                        <w:r>
                          <w:rPr>
                            <w:color w:val="231F20"/>
                            <w:spacing w:val="15"/>
                            <w:w w:val="105"/>
                            <w:sz w:val="18"/>
                          </w:rPr>
                          <w:t> </w:t>
                        </w:r>
                        <w:r>
                          <w:rPr>
                            <w:color w:val="231F20"/>
                            <w:w w:val="105"/>
                            <w:sz w:val="18"/>
                          </w:rPr>
                          <w:t>Mo.</w:t>
                        </w:r>
                        <w:r>
                          <w:rPr>
                            <w:color w:val="231F20"/>
                            <w:spacing w:val="15"/>
                            <w:w w:val="105"/>
                            <w:sz w:val="18"/>
                          </w:rPr>
                          <w:t> </w:t>
                        </w:r>
                        <w:r>
                          <w:rPr>
                            <w:rFonts w:ascii="Symbol" w:hAnsi="Symbol"/>
                            <w:color w:val="231F20"/>
                            <w:w w:val="105"/>
                            <w:sz w:val="18"/>
                          </w:rPr>
                          <w:t></w:t>
                        </w:r>
                        <w:r>
                          <w:rPr>
                            <w:rFonts w:ascii="Times New Roman" w:hAnsi="Times New Roman"/>
                            <w:color w:val="231F20"/>
                            <w:spacing w:val="9"/>
                            <w:w w:val="105"/>
                            <w:sz w:val="18"/>
                          </w:rPr>
                          <w:t> </w:t>
                        </w:r>
                        <w:r>
                          <w:rPr>
                            <w:color w:val="231F20"/>
                            <w:w w:val="105"/>
                            <w:sz w:val="18"/>
                          </w:rPr>
                          <w:t>12</w:t>
                        </w:r>
                        <w:r>
                          <w:rPr>
                            <w:color w:val="231F20"/>
                            <w:spacing w:val="15"/>
                            <w:w w:val="105"/>
                            <w:sz w:val="18"/>
                          </w:rPr>
                          <w:t> </w:t>
                        </w:r>
                        <w:r>
                          <w:rPr>
                            <w:rFonts w:ascii="Symbol" w:hAnsi="Symbol"/>
                            <w:color w:val="231F20"/>
                            <w:w w:val="105"/>
                            <w:sz w:val="18"/>
                          </w:rPr>
                          <w:t></w:t>
                        </w:r>
                      </w:p>
                    </w:tc>
                  </w:tr>
                  <w:tr>
                    <w:trPr>
                      <w:trHeight w:val="300" w:hRule="atLeast"/>
                    </w:trPr>
                    <w:tc>
                      <w:tcPr>
                        <w:tcW w:w="3916" w:type="dxa"/>
                      </w:tcPr>
                      <w:p>
                        <w:pPr>
                          <w:pStyle w:val="TableParagraph"/>
                          <w:tabs>
                            <w:tab w:pos="1659" w:val="left" w:leader="none"/>
                            <w:tab w:pos="3017" w:val="left" w:leader="none"/>
                          </w:tabs>
                          <w:spacing w:before="32"/>
                          <w:ind w:left="140"/>
                          <w:jc w:val="left"/>
                          <w:rPr>
                            <w:rFonts w:ascii="Symbol" w:hAnsi="Symbol"/>
                            <w:sz w:val="18"/>
                          </w:rPr>
                        </w:pPr>
                        <w:r>
                          <w:rPr>
                            <w:color w:val="231F20"/>
                            <w:sz w:val="18"/>
                          </w:rPr>
                          <w:t>7. Interest</w:t>
                        </w:r>
                        <w:r>
                          <w:rPr>
                            <w:color w:val="231F20"/>
                            <w:spacing w:val="1"/>
                            <w:sz w:val="18"/>
                          </w:rPr>
                          <w:t> </w:t>
                        </w:r>
                        <w:r>
                          <w:rPr>
                            <w:color w:val="231F20"/>
                            <w:spacing w:val="-10"/>
                            <w:sz w:val="18"/>
                          </w:rPr>
                          <w:t>(</w:t>
                        </w:r>
                        <w:r>
                          <w:rPr>
                            <w:color w:val="231F20"/>
                            <w:sz w:val="18"/>
                            <w:u w:val="single" w:color="221E1F"/>
                          </w:rPr>
                          <w:tab/>
                        </w:r>
                        <w:r>
                          <w:rPr>
                            <w:color w:val="231F20"/>
                            <w:spacing w:val="36"/>
                            <w:sz w:val="18"/>
                          </w:rPr>
                          <w:t> </w:t>
                        </w:r>
                        <w:r>
                          <w:rPr>
                            <w:color w:val="231F20"/>
                            <w:sz w:val="18"/>
                          </w:rPr>
                          <w:t>Loan</w:t>
                        </w:r>
                        <w:r>
                          <w:rPr>
                            <w:color w:val="231F20"/>
                            <w:spacing w:val="36"/>
                            <w:sz w:val="18"/>
                          </w:rPr>
                          <w:t> </w:t>
                        </w:r>
                        <w:r>
                          <w:rPr>
                            <w:color w:val="231F20"/>
                            <w:sz w:val="18"/>
                          </w:rPr>
                          <w:t>Amt.</w:t>
                        </w:r>
                        <w:r>
                          <w:rPr>
                            <w:color w:val="231F20"/>
                            <w:spacing w:val="35"/>
                            <w:sz w:val="18"/>
                          </w:rPr>
                          <w:t> </w:t>
                        </w:r>
                        <w:r>
                          <w:rPr>
                            <w:rFonts w:ascii="Symbol" w:hAnsi="Symbol"/>
                            <w:color w:val="231F20"/>
                            <w:sz w:val="18"/>
                          </w:rPr>
                          <w:t></w:t>
                        </w:r>
                        <w:r>
                          <w:rPr>
                            <w:rFonts w:ascii="Times New Roman" w:hAnsi="Times New Roman"/>
                            <w:color w:val="231F20"/>
                            <w:spacing w:val="30"/>
                            <w:sz w:val="18"/>
                          </w:rPr>
                          <w:t> </w:t>
                        </w:r>
                        <w:r>
                          <w:rPr>
                            <w:rFonts w:ascii="Times New Roman" w:hAnsi="Times New Roman"/>
                            <w:color w:val="231F20"/>
                            <w:sz w:val="18"/>
                            <w:u w:val="single" w:color="221E1F"/>
                          </w:rPr>
                          <w:tab/>
                        </w:r>
                        <w:r>
                          <w:rPr>
                            <w:rFonts w:ascii="Times New Roman" w:hAnsi="Times New Roman"/>
                            <w:color w:val="231F20"/>
                            <w:spacing w:val="14"/>
                            <w:sz w:val="18"/>
                          </w:rPr>
                          <w:t> </w:t>
                        </w:r>
                        <w:r>
                          <w:rPr>
                            <w:color w:val="231F20"/>
                            <w:sz w:val="18"/>
                          </w:rPr>
                          <w:t>%)</w:t>
                        </w:r>
                        <w:r>
                          <w:rPr>
                            <w:color w:val="231F20"/>
                            <w:spacing w:val="19"/>
                            <w:sz w:val="18"/>
                          </w:rPr>
                          <w:t> </w:t>
                        </w:r>
                        <w:r>
                          <w:rPr>
                            <w:rFonts w:ascii="Symbol" w:hAnsi="Symbol"/>
                            <w:color w:val="231F20"/>
                            <w:sz w:val="18"/>
                          </w:rPr>
                          <w:t></w:t>
                        </w:r>
                      </w:p>
                    </w:tc>
                  </w:tr>
                  <w:tr>
                    <w:trPr>
                      <w:trHeight w:val="300" w:hRule="atLeast"/>
                    </w:trPr>
                    <w:tc>
                      <w:tcPr>
                        <w:tcW w:w="3916" w:type="dxa"/>
                      </w:tcPr>
                      <w:p>
                        <w:pPr>
                          <w:pStyle w:val="TableParagraph"/>
                          <w:spacing w:before="32"/>
                          <w:ind w:left="140"/>
                          <w:jc w:val="left"/>
                          <w:rPr>
                            <w:rFonts w:ascii="Symbol" w:hAnsi="Symbol"/>
                            <w:sz w:val="18"/>
                          </w:rPr>
                        </w:pPr>
                        <w:r>
                          <w:rPr>
                            <w:color w:val="231F20"/>
                            <w:sz w:val="18"/>
                          </w:rPr>
                          <w:t>8.</w:t>
                        </w:r>
                        <w:r>
                          <w:rPr>
                            <w:color w:val="231F20"/>
                            <w:spacing w:val="13"/>
                            <w:sz w:val="18"/>
                          </w:rPr>
                          <w:t> </w:t>
                        </w:r>
                        <w:r>
                          <w:rPr>
                            <w:color w:val="231F20"/>
                            <w:sz w:val="18"/>
                          </w:rPr>
                          <w:t>Loan</w:t>
                        </w:r>
                        <w:r>
                          <w:rPr>
                            <w:color w:val="231F20"/>
                            <w:spacing w:val="14"/>
                            <w:sz w:val="18"/>
                          </w:rPr>
                          <w:t> </w:t>
                        </w:r>
                        <w:r>
                          <w:rPr>
                            <w:color w:val="231F20"/>
                            <w:sz w:val="18"/>
                          </w:rPr>
                          <w:t>Payoff</w:t>
                        </w:r>
                        <w:r>
                          <w:rPr>
                            <w:color w:val="231F20"/>
                            <w:spacing w:val="14"/>
                            <w:sz w:val="18"/>
                          </w:rPr>
                          <w:t> </w:t>
                        </w:r>
                        <w:r>
                          <w:rPr>
                            <w:color w:val="231F20"/>
                            <w:sz w:val="18"/>
                          </w:rPr>
                          <w:t>(Line</w:t>
                        </w:r>
                        <w:r>
                          <w:rPr>
                            <w:color w:val="231F20"/>
                            <w:spacing w:val="13"/>
                            <w:sz w:val="18"/>
                          </w:rPr>
                          <w:t> </w:t>
                        </w:r>
                        <w:r>
                          <w:rPr>
                            <w:color w:val="231F20"/>
                            <w:sz w:val="18"/>
                          </w:rPr>
                          <w:t>6</w:t>
                        </w:r>
                        <w:r>
                          <w:rPr>
                            <w:color w:val="231F20"/>
                            <w:spacing w:val="67"/>
                            <w:sz w:val="18"/>
                          </w:rPr>
                          <w:t>  </w:t>
                        </w:r>
                        <w:r>
                          <w:rPr>
                            <w:color w:val="231F20"/>
                            <w:sz w:val="18"/>
                          </w:rPr>
                          <w:t>Line</w:t>
                        </w:r>
                        <w:r>
                          <w:rPr>
                            <w:color w:val="231F20"/>
                            <w:spacing w:val="14"/>
                            <w:sz w:val="18"/>
                          </w:rPr>
                          <w:t> </w:t>
                        </w:r>
                        <w:r>
                          <w:rPr>
                            <w:color w:val="231F20"/>
                            <w:sz w:val="18"/>
                          </w:rPr>
                          <w:t>7)</w:t>
                        </w:r>
                        <w:r>
                          <w:rPr>
                            <w:color w:val="231F20"/>
                            <w:spacing w:val="13"/>
                            <w:sz w:val="18"/>
                          </w:rPr>
                          <w:t> </w:t>
                        </w:r>
                        <w:r>
                          <w:rPr>
                            <w:rFonts w:ascii="Symbol" w:hAnsi="Symbol"/>
                            <w:color w:val="231F20"/>
                            <w:spacing w:val="-10"/>
                            <w:sz w:val="18"/>
                          </w:rPr>
                          <w:t></w:t>
                        </w:r>
                      </w:p>
                    </w:tc>
                  </w:tr>
                  <w:tr>
                    <w:trPr>
                      <w:trHeight w:val="300" w:hRule="atLeast"/>
                    </w:trPr>
                    <w:tc>
                      <w:tcPr>
                        <w:tcW w:w="3916" w:type="dxa"/>
                      </w:tcPr>
                      <w:p>
                        <w:pPr>
                          <w:pStyle w:val="TableParagraph"/>
                          <w:spacing w:before="32"/>
                          <w:ind w:left="140"/>
                          <w:jc w:val="left"/>
                          <w:rPr>
                            <w:rFonts w:ascii="Symbol" w:hAnsi="Symbol"/>
                            <w:sz w:val="18"/>
                          </w:rPr>
                        </w:pPr>
                        <w:r>
                          <w:rPr>
                            <w:color w:val="231F20"/>
                            <w:sz w:val="18"/>
                          </w:rPr>
                          <w:t>9.</w:t>
                        </w:r>
                        <w:r>
                          <w:rPr>
                            <w:color w:val="231F20"/>
                            <w:spacing w:val="12"/>
                            <w:sz w:val="18"/>
                          </w:rPr>
                          <w:t> </w:t>
                        </w:r>
                        <w:r>
                          <w:rPr>
                            <w:color w:val="231F20"/>
                            <w:sz w:val="18"/>
                          </w:rPr>
                          <w:t>Cash</w:t>
                        </w:r>
                        <w:r>
                          <w:rPr>
                            <w:color w:val="231F20"/>
                            <w:spacing w:val="12"/>
                            <w:sz w:val="18"/>
                          </w:rPr>
                          <w:t> </w:t>
                        </w:r>
                        <w:r>
                          <w:rPr>
                            <w:color w:val="231F20"/>
                            <w:sz w:val="18"/>
                          </w:rPr>
                          <w:t>Flow</w:t>
                        </w:r>
                        <w:r>
                          <w:rPr>
                            <w:color w:val="231F20"/>
                            <w:spacing w:val="13"/>
                            <w:sz w:val="18"/>
                          </w:rPr>
                          <w:t> </w:t>
                        </w:r>
                        <w:r>
                          <w:rPr>
                            <w:color w:val="231F20"/>
                            <w:sz w:val="18"/>
                          </w:rPr>
                          <w:t>(Line</w:t>
                        </w:r>
                        <w:r>
                          <w:rPr>
                            <w:color w:val="231F20"/>
                            <w:spacing w:val="12"/>
                            <w:sz w:val="18"/>
                          </w:rPr>
                          <w:t> </w:t>
                        </w:r>
                        <w:r>
                          <w:rPr>
                            <w:color w:val="231F20"/>
                            <w:sz w:val="18"/>
                          </w:rPr>
                          <w:t>4</w:t>
                        </w:r>
                        <w:r>
                          <w:rPr>
                            <w:color w:val="231F20"/>
                            <w:spacing w:val="64"/>
                            <w:sz w:val="18"/>
                          </w:rPr>
                          <w:t>  </w:t>
                        </w:r>
                        <w:r>
                          <w:rPr>
                            <w:color w:val="231F20"/>
                            <w:sz w:val="18"/>
                          </w:rPr>
                          <w:t>Line</w:t>
                        </w:r>
                        <w:r>
                          <w:rPr>
                            <w:color w:val="231F20"/>
                            <w:spacing w:val="13"/>
                            <w:sz w:val="18"/>
                          </w:rPr>
                          <w:t> </w:t>
                        </w:r>
                        <w:r>
                          <w:rPr>
                            <w:color w:val="231F20"/>
                            <w:sz w:val="18"/>
                          </w:rPr>
                          <w:t>5</w:t>
                        </w:r>
                        <w:r>
                          <w:rPr>
                            <w:color w:val="231F20"/>
                            <w:spacing w:val="64"/>
                            <w:sz w:val="18"/>
                          </w:rPr>
                          <w:t>  </w:t>
                        </w:r>
                        <w:r>
                          <w:rPr>
                            <w:color w:val="231F20"/>
                            <w:sz w:val="18"/>
                          </w:rPr>
                          <w:t>Line</w:t>
                        </w:r>
                        <w:r>
                          <w:rPr>
                            <w:color w:val="231F20"/>
                            <w:spacing w:val="13"/>
                            <w:sz w:val="18"/>
                          </w:rPr>
                          <w:t> </w:t>
                        </w:r>
                        <w:r>
                          <w:rPr>
                            <w:color w:val="231F20"/>
                            <w:sz w:val="18"/>
                          </w:rPr>
                          <w:t>6)</w:t>
                        </w:r>
                        <w:r>
                          <w:rPr>
                            <w:color w:val="231F20"/>
                            <w:spacing w:val="12"/>
                            <w:sz w:val="18"/>
                          </w:rPr>
                          <w:t> </w:t>
                        </w:r>
                        <w:r>
                          <w:rPr>
                            <w:rFonts w:ascii="Symbol" w:hAnsi="Symbol"/>
                            <w:color w:val="231F20"/>
                            <w:spacing w:val="-10"/>
                            <w:sz w:val="18"/>
                          </w:rPr>
                          <w:t></w:t>
                        </w:r>
                      </w:p>
                    </w:tc>
                  </w:tr>
                  <w:tr>
                    <w:trPr>
                      <w:trHeight w:val="298" w:hRule="atLeast"/>
                    </w:trPr>
                    <w:tc>
                      <w:tcPr>
                        <w:tcW w:w="3916" w:type="dxa"/>
                      </w:tcPr>
                      <w:p>
                        <w:pPr>
                          <w:pStyle w:val="TableParagraph"/>
                          <w:spacing w:before="42"/>
                          <w:ind w:left="50"/>
                          <w:jc w:val="left"/>
                          <w:rPr>
                            <w:sz w:val="18"/>
                          </w:rPr>
                        </w:pPr>
                        <w:r>
                          <w:rPr>
                            <w:color w:val="231F20"/>
                            <w:sz w:val="18"/>
                          </w:rPr>
                          <w:t>10.</w:t>
                        </w:r>
                        <w:r>
                          <w:rPr>
                            <w:color w:val="231F20"/>
                            <w:spacing w:val="15"/>
                            <w:sz w:val="18"/>
                          </w:rPr>
                          <w:t> </w:t>
                        </w:r>
                        <w:r>
                          <w:rPr>
                            <w:color w:val="231F20"/>
                            <w:sz w:val="18"/>
                          </w:rPr>
                          <w:t>Depreciation</w:t>
                        </w:r>
                        <w:r>
                          <w:rPr>
                            <w:color w:val="231F20"/>
                            <w:spacing w:val="16"/>
                            <w:sz w:val="18"/>
                          </w:rPr>
                          <w:t> </w:t>
                        </w:r>
                        <w:r>
                          <w:rPr>
                            <w:color w:val="231F20"/>
                            <w:spacing w:val="-2"/>
                            <w:sz w:val="18"/>
                          </w:rPr>
                          <w:t>Deduction*</w:t>
                        </w:r>
                      </w:p>
                    </w:tc>
                  </w:tr>
                  <w:tr>
                    <w:trPr>
                      <w:trHeight w:val="301" w:hRule="atLeast"/>
                    </w:trPr>
                    <w:tc>
                      <w:tcPr>
                        <w:tcW w:w="3916" w:type="dxa"/>
                      </w:tcPr>
                      <w:p>
                        <w:pPr>
                          <w:pStyle w:val="TableParagraph"/>
                          <w:spacing w:before="33"/>
                          <w:ind w:left="50"/>
                          <w:jc w:val="left"/>
                          <w:rPr>
                            <w:rFonts w:ascii="Symbol" w:hAnsi="Symbol"/>
                            <w:sz w:val="18"/>
                          </w:rPr>
                        </w:pPr>
                        <w:r>
                          <w:rPr>
                            <w:color w:val="231F20"/>
                            <w:sz w:val="18"/>
                          </w:rPr>
                          <w:t>11.</w:t>
                        </w:r>
                        <w:r>
                          <w:rPr>
                            <w:color w:val="231F20"/>
                            <w:spacing w:val="9"/>
                            <w:sz w:val="18"/>
                          </w:rPr>
                          <w:t> </w:t>
                        </w:r>
                        <w:r>
                          <w:rPr>
                            <w:color w:val="231F20"/>
                            <w:sz w:val="18"/>
                          </w:rPr>
                          <w:t>Tax</w:t>
                        </w:r>
                        <w:r>
                          <w:rPr>
                            <w:color w:val="231F20"/>
                            <w:spacing w:val="10"/>
                            <w:sz w:val="18"/>
                          </w:rPr>
                          <w:t> </w:t>
                        </w:r>
                        <w:r>
                          <w:rPr>
                            <w:color w:val="231F20"/>
                            <w:sz w:val="18"/>
                          </w:rPr>
                          <w:t>Shelter</w:t>
                        </w:r>
                        <w:r>
                          <w:rPr>
                            <w:color w:val="231F20"/>
                            <w:spacing w:val="9"/>
                            <w:sz w:val="18"/>
                          </w:rPr>
                          <w:t> </w:t>
                        </w:r>
                        <w:r>
                          <w:rPr>
                            <w:color w:val="231F20"/>
                            <w:sz w:val="18"/>
                          </w:rPr>
                          <w:t>(Line</w:t>
                        </w:r>
                        <w:r>
                          <w:rPr>
                            <w:color w:val="231F20"/>
                            <w:spacing w:val="10"/>
                            <w:sz w:val="18"/>
                          </w:rPr>
                          <w:t> </w:t>
                        </w:r>
                        <w:r>
                          <w:rPr>
                            <w:color w:val="231F20"/>
                            <w:sz w:val="18"/>
                          </w:rPr>
                          <w:t>10</w:t>
                        </w:r>
                        <w:r>
                          <w:rPr>
                            <w:color w:val="231F20"/>
                            <w:spacing w:val="59"/>
                            <w:sz w:val="18"/>
                          </w:rPr>
                          <w:t>  </w:t>
                        </w:r>
                        <w:r>
                          <w:rPr>
                            <w:color w:val="231F20"/>
                            <w:sz w:val="18"/>
                          </w:rPr>
                          <w:t>Line</w:t>
                        </w:r>
                        <w:r>
                          <w:rPr>
                            <w:color w:val="231F20"/>
                            <w:spacing w:val="9"/>
                            <w:sz w:val="18"/>
                          </w:rPr>
                          <w:t> </w:t>
                        </w:r>
                        <w:r>
                          <w:rPr>
                            <w:color w:val="231F20"/>
                            <w:sz w:val="18"/>
                          </w:rPr>
                          <w:t>9</w:t>
                        </w:r>
                        <w:r>
                          <w:rPr>
                            <w:color w:val="231F20"/>
                            <w:spacing w:val="59"/>
                            <w:sz w:val="18"/>
                          </w:rPr>
                          <w:t>  </w:t>
                        </w:r>
                        <w:r>
                          <w:rPr>
                            <w:color w:val="231F20"/>
                            <w:sz w:val="18"/>
                          </w:rPr>
                          <w:t>Line</w:t>
                        </w:r>
                        <w:r>
                          <w:rPr>
                            <w:color w:val="231F20"/>
                            <w:spacing w:val="10"/>
                            <w:sz w:val="18"/>
                          </w:rPr>
                          <w:t> </w:t>
                        </w:r>
                        <w:r>
                          <w:rPr>
                            <w:color w:val="231F20"/>
                            <w:sz w:val="18"/>
                          </w:rPr>
                          <w:t>8)</w:t>
                        </w:r>
                        <w:r>
                          <w:rPr>
                            <w:color w:val="231F20"/>
                            <w:spacing w:val="9"/>
                            <w:sz w:val="18"/>
                          </w:rPr>
                          <w:t> </w:t>
                        </w:r>
                        <w:r>
                          <w:rPr>
                            <w:rFonts w:ascii="Symbol" w:hAnsi="Symbol"/>
                            <w:color w:val="231F20"/>
                            <w:spacing w:val="-10"/>
                            <w:sz w:val="18"/>
                          </w:rPr>
                          <w:t></w:t>
                        </w:r>
                      </w:p>
                    </w:tc>
                  </w:tr>
                  <w:tr>
                    <w:trPr>
                      <w:trHeight w:val="300" w:hRule="atLeast"/>
                    </w:trPr>
                    <w:tc>
                      <w:tcPr>
                        <w:tcW w:w="3916" w:type="dxa"/>
                      </w:tcPr>
                      <w:p>
                        <w:pPr>
                          <w:pStyle w:val="TableParagraph"/>
                          <w:tabs>
                            <w:tab w:pos="2639" w:val="left" w:leader="none"/>
                          </w:tabs>
                          <w:spacing w:before="32"/>
                          <w:ind w:left="50"/>
                          <w:jc w:val="left"/>
                          <w:rPr>
                            <w:rFonts w:ascii="Symbol" w:hAnsi="Symbol"/>
                            <w:sz w:val="18"/>
                          </w:rPr>
                        </w:pPr>
                        <w:r>
                          <w:rPr>
                            <w:color w:val="231F20"/>
                            <w:sz w:val="18"/>
                          </w:rPr>
                          <w:t>12.</w:t>
                        </w:r>
                        <w:r>
                          <w:rPr>
                            <w:color w:val="231F20"/>
                            <w:spacing w:val="15"/>
                            <w:sz w:val="18"/>
                          </w:rPr>
                          <w:t> </w:t>
                        </w:r>
                        <w:r>
                          <w:rPr>
                            <w:color w:val="231F20"/>
                            <w:sz w:val="18"/>
                          </w:rPr>
                          <w:t>Tax</w:t>
                        </w:r>
                        <w:r>
                          <w:rPr>
                            <w:color w:val="231F20"/>
                            <w:spacing w:val="15"/>
                            <w:sz w:val="18"/>
                          </w:rPr>
                          <w:t> </w:t>
                        </w:r>
                        <w:r>
                          <w:rPr>
                            <w:color w:val="231F20"/>
                            <w:sz w:val="18"/>
                          </w:rPr>
                          <w:t>Savings</w:t>
                        </w:r>
                        <w:r>
                          <w:rPr>
                            <w:color w:val="231F20"/>
                            <w:spacing w:val="15"/>
                            <w:sz w:val="18"/>
                          </w:rPr>
                          <w:t> </w:t>
                        </w:r>
                        <w:r>
                          <w:rPr>
                            <w:color w:val="231F20"/>
                            <w:sz w:val="18"/>
                          </w:rPr>
                          <w:t>(Tax</w:t>
                        </w:r>
                        <w:r>
                          <w:rPr>
                            <w:color w:val="231F20"/>
                            <w:spacing w:val="15"/>
                            <w:sz w:val="18"/>
                          </w:rPr>
                          <w:t> </w:t>
                        </w:r>
                        <w:r>
                          <w:rPr>
                            <w:color w:val="231F20"/>
                            <w:sz w:val="18"/>
                          </w:rPr>
                          <w:t>Bracket</w:t>
                        </w:r>
                        <w:r>
                          <w:rPr>
                            <w:color w:val="231F20"/>
                            <w:spacing w:val="15"/>
                            <w:sz w:val="18"/>
                          </w:rPr>
                          <w:t> </w:t>
                        </w:r>
                        <w:r>
                          <w:rPr>
                            <w:color w:val="231F20"/>
                            <w:sz w:val="18"/>
                            <w:u w:val="single" w:color="221E1F"/>
                          </w:rPr>
                          <w:tab/>
                        </w:r>
                        <w:r>
                          <w:rPr>
                            <w:color w:val="231F20"/>
                            <w:spacing w:val="14"/>
                            <w:sz w:val="18"/>
                          </w:rPr>
                          <w:t> </w:t>
                        </w:r>
                        <w:r>
                          <w:rPr>
                            <w:color w:val="231F20"/>
                            <w:sz w:val="18"/>
                          </w:rPr>
                          <w:t>%</w:t>
                        </w:r>
                        <w:r>
                          <w:rPr>
                            <w:color w:val="231F20"/>
                            <w:spacing w:val="13"/>
                            <w:sz w:val="18"/>
                          </w:rPr>
                          <w:t> </w:t>
                        </w:r>
                        <w:r>
                          <w:rPr>
                            <w:rFonts w:ascii="Symbol" w:hAnsi="Symbol"/>
                            <w:color w:val="231F20"/>
                            <w:sz w:val="18"/>
                          </w:rPr>
                          <w:t></w:t>
                        </w:r>
                        <w:r>
                          <w:rPr>
                            <w:rFonts w:ascii="Times New Roman" w:hAnsi="Times New Roman"/>
                            <w:color w:val="231F20"/>
                            <w:spacing w:val="8"/>
                            <w:sz w:val="18"/>
                          </w:rPr>
                          <w:t> </w:t>
                        </w:r>
                        <w:r>
                          <w:rPr>
                            <w:color w:val="231F20"/>
                            <w:sz w:val="18"/>
                          </w:rPr>
                          <w:t>Line</w:t>
                        </w:r>
                        <w:r>
                          <w:rPr>
                            <w:color w:val="231F20"/>
                            <w:spacing w:val="14"/>
                            <w:sz w:val="18"/>
                          </w:rPr>
                          <w:t> </w:t>
                        </w:r>
                        <w:r>
                          <w:rPr>
                            <w:color w:val="231F20"/>
                            <w:sz w:val="18"/>
                          </w:rPr>
                          <w:t>11)</w:t>
                        </w:r>
                        <w:r>
                          <w:rPr>
                            <w:color w:val="231F20"/>
                            <w:spacing w:val="14"/>
                            <w:sz w:val="18"/>
                          </w:rPr>
                          <w:t> </w:t>
                        </w:r>
                        <w:r>
                          <w:rPr>
                            <w:rFonts w:ascii="Symbol" w:hAnsi="Symbol"/>
                            <w:color w:val="231F20"/>
                            <w:sz w:val="18"/>
                          </w:rPr>
                          <w:t></w:t>
                        </w:r>
                      </w:p>
                    </w:tc>
                  </w:tr>
                  <w:tr>
                    <w:trPr>
                      <w:trHeight w:val="300" w:hRule="atLeast"/>
                    </w:trPr>
                    <w:tc>
                      <w:tcPr>
                        <w:tcW w:w="3916" w:type="dxa"/>
                      </w:tcPr>
                      <w:p>
                        <w:pPr>
                          <w:pStyle w:val="TableParagraph"/>
                          <w:spacing w:before="32"/>
                          <w:ind w:left="50"/>
                          <w:jc w:val="left"/>
                          <w:rPr>
                            <w:rFonts w:ascii="Symbol" w:hAnsi="Symbol"/>
                            <w:sz w:val="18"/>
                          </w:rPr>
                        </w:pPr>
                        <w:r>
                          <w:rPr>
                            <w:color w:val="231F20"/>
                            <w:sz w:val="18"/>
                          </w:rPr>
                          <w:t>13.</w:t>
                        </w:r>
                        <w:r>
                          <w:rPr>
                            <w:color w:val="231F20"/>
                            <w:spacing w:val="7"/>
                            <w:sz w:val="18"/>
                          </w:rPr>
                          <w:t> </w:t>
                        </w:r>
                        <w:r>
                          <w:rPr>
                            <w:color w:val="231F20"/>
                            <w:sz w:val="18"/>
                          </w:rPr>
                          <w:t>Property</w:t>
                        </w:r>
                        <w:r>
                          <w:rPr>
                            <w:color w:val="231F20"/>
                            <w:spacing w:val="8"/>
                            <w:sz w:val="18"/>
                          </w:rPr>
                          <w:t> </w:t>
                        </w:r>
                        <w:r>
                          <w:rPr>
                            <w:color w:val="231F20"/>
                            <w:sz w:val="18"/>
                          </w:rPr>
                          <w:t>Profit</w:t>
                        </w:r>
                        <w:r>
                          <w:rPr>
                            <w:color w:val="231F20"/>
                            <w:spacing w:val="8"/>
                            <w:sz w:val="18"/>
                          </w:rPr>
                          <w:t> </w:t>
                        </w:r>
                        <w:r>
                          <w:rPr>
                            <w:color w:val="231F20"/>
                            <w:sz w:val="18"/>
                          </w:rPr>
                          <w:t>(Line</w:t>
                        </w:r>
                        <w:r>
                          <w:rPr>
                            <w:color w:val="231F20"/>
                            <w:spacing w:val="8"/>
                            <w:sz w:val="18"/>
                          </w:rPr>
                          <w:t> </w:t>
                        </w:r>
                        <w:r>
                          <w:rPr>
                            <w:color w:val="231F20"/>
                            <w:sz w:val="18"/>
                          </w:rPr>
                          <w:t>8</w:t>
                        </w:r>
                        <w:r>
                          <w:rPr>
                            <w:color w:val="231F20"/>
                            <w:spacing w:val="7"/>
                            <w:sz w:val="18"/>
                          </w:rPr>
                          <w:t> </w:t>
                        </w:r>
                        <w:r>
                          <w:rPr>
                            <w:rFonts w:ascii="Symbol" w:hAnsi="Symbol"/>
                            <w:color w:val="231F20"/>
                            <w:sz w:val="18"/>
                          </w:rPr>
                          <w:t></w:t>
                        </w:r>
                        <w:r>
                          <w:rPr>
                            <w:rFonts w:ascii="Times New Roman" w:hAnsi="Times New Roman"/>
                            <w:color w:val="231F20"/>
                            <w:spacing w:val="2"/>
                            <w:sz w:val="18"/>
                          </w:rPr>
                          <w:t> </w:t>
                        </w:r>
                        <w:r>
                          <w:rPr>
                            <w:color w:val="231F20"/>
                            <w:sz w:val="18"/>
                          </w:rPr>
                          <w:t>Line</w:t>
                        </w:r>
                        <w:r>
                          <w:rPr>
                            <w:color w:val="231F20"/>
                            <w:spacing w:val="8"/>
                            <w:sz w:val="18"/>
                          </w:rPr>
                          <w:t> </w:t>
                        </w:r>
                        <w:r>
                          <w:rPr>
                            <w:color w:val="231F20"/>
                            <w:sz w:val="18"/>
                          </w:rPr>
                          <w:t>9</w:t>
                        </w:r>
                        <w:r>
                          <w:rPr>
                            <w:color w:val="231F20"/>
                            <w:spacing w:val="8"/>
                            <w:sz w:val="18"/>
                          </w:rPr>
                          <w:t> </w:t>
                        </w:r>
                        <w:r>
                          <w:rPr>
                            <w:rFonts w:ascii="Symbol" w:hAnsi="Symbol"/>
                            <w:color w:val="231F20"/>
                            <w:sz w:val="18"/>
                          </w:rPr>
                          <w:t></w:t>
                        </w:r>
                        <w:r>
                          <w:rPr>
                            <w:rFonts w:ascii="Times New Roman" w:hAnsi="Times New Roman"/>
                            <w:color w:val="231F20"/>
                            <w:spacing w:val="2"/>
                            <w:sz w:val="18"/>
                          </w:rPr>
                          <w:t> </w:t>
                        </w:r>
                        <w:r>
                          <w:rPr>
                            <w:color w:val="231F20"/>
                            <w:sz w:val="18"/>
                          </w:rPr>
                          <w:t>Line</w:t>
                        </w:r>
                        <w:r>
                          <w:rPr>
                            <w:color w:val="231F20"/>
                            <w:spacing w:val="8"/>
                            <w:sz w:val="18"/>
                          </w:rPr>
                          <w:t> </w:t>
                        </w:r>
                        <w:r>
                          <w:rPr>
                            <w:color w:val="231F20"/>
                            <w:sz w:val="18"/>
                          </w:rPr>
                          <w:t>12)</w:t>
                        </w:r>
                        <w:r>
                          <w:rPr>
                            <w:color w:val="231F20"/>
                            <w:spacing w:val="8"/>
                            <w:sz w:val="18"/>
                          </w:rPr>
                          <w:t> </w:t>
                        </w:r>
                        <w:r>
                          <w:rPr>
                            <w:rFonts w:ascii="Symbol" w:hAnsi="Symbol"/>
                            <w:color w:val="231F20"/>
                            <w:spacing w:val="-10"/>
                            <w:sz w:val="18"/>
                          </w:rPr>
                          <w:t></w:t>
                        </w:r>
                      </w:p>
                    </w:tc>
                  </w:tr>
                  <w:tr>
                    <w:trPr>
                      <w:trHeight w:val="452" w:hRule="atLeast"/>
                    </w:trPr>
                    <w:tc>
                      <w:tcPr>
                        <w:tcW w:w="3916" w:type="dxa"/>
                      </w:tcPr>
                      <w:p>
                        <w:pPr>
                          <w:pStyle w:val="TableParagraph"/>
                          <w:spacing w:before="32"/>
                          <w:ind w:left="50"/>
                          <w:jc w:val="left"/>
                          <w:rPr>
                            <w:rFonts w:ascii="Symbol" w:hAnsi="Symbol"/>
                            <w:sz w:val="18"/>
                          </w:rPr>
                        </w:pPr>
                        <w:r>
                          <w:rPr>
                            <w:color w:val="231F20"/>
                            <w:sz w:val="18"/>
                          </w:rPr>
                          <w:t>14.</w:t>
                        </w:r>
                        <w:r>
                          <w:rPr>
                            <w:color w:val="231F20"/>
                            <w:spacing w:val="5"/>
                            <w:sz w:val="18"/>
                          </w:rPr>
                          <w:t> </w:t>
                        </w:r>
                        <w:r>
                          <w:rPr>
                            <w:color w:val="231F20"/>
                            <w:sz w:val="18"/>
                          </w:rPr>
                          <w:t>Basic</w:t>
                        </w:r>
                        <w:r>
                          <w:rPr>
                            <w:color w:val="231F20"/>
                            <w:spacing w:val="5"/>
                            <w:sz w:val="18"/>
                          </w:rPr>
                          <w:t> </w:t>
                        </w:r>
                        <w:r>
                          <w:rPr>
                            <w:color w:val="231F20"/>
                            <w:sz w:val="18"/>
                          </w:rPr>
                          <w:t>Return</w:t>
                        </w:r>
                        <w:r>
                          <w:rPr>
                            <w:color w:val="231F20"/>
                            <w:spacing w:val="5"/>
                            <w:sz w:val="18"/>
                          </w:rPr>
                          <w:t> </w:t>
                        </w:r>
                        <w:r>
                          <w:rPr>
                            <w:color w:val="231F20"/>
                            <w:sz w:val="18"/>
                          </w:rPr>
                          <w:t>(Line</w:t>
                        </w:r>
                        <w:r>
                          <w:rPr>
                            <w:color w:val="231F20"/>
                            <w:spacing w:val="5"/>
                            <w:sz w:val="18"/>
                          </w:rPr>
                          <w:t> </w:t>
                        </w:r>
                        <w:r>
                          <w:rPr>
                            <w:color w:val="231F20"/>
                            <w:sz w:val="18"/>
                          </w:rPr>
                          <w:t>13</w:t>
                        </w:r>
                        <w:r>
                          <w:rPr>
                            <w:color w:val="231F20"/>
                            <w:spacing w:val="5"/>
                            <w:sz w:val="18"/>
                          </w:rPr>
                          <w:t> </w:t>
                        </w:r>
                        <w:r>
                          <w:rPr>
                            <w:color w:val="231F20"/>
                            <w:w w:val="95"/>
                            <w:sz w:val="18"/>
                          </w:rPr>
                          <w:t>/</w:t>
                        </w:r>
                        <w:r>
                          <w:rPr>
                            <w:color w:val="231F20"/>
                            <w:spacing w:val="5"/>
                            <w:sz w:val="18"/>
                          </w:rPr>
                          <w:t> </w:t>
                        </w:r>
                        <w:r>
                          <w:rPr>
                            <w:color w:val="231F20"/>
                            <w:sz w:val="18"/>
                          </w:rPr>
                          <w:t>Line</w:t>
                        </w:r>
                        <w:r>
                          <w:rPr>
                            <w:color w:val="231F20"/>
                            <w:spacing w:val="5"/>
                            <w:sz w:val="18"/>
                          </w:rPr>
                          <w:t> </w:t>
                        </w:r>
                        <w:r>
                          <w:rPr>
                            <w:color w:val="231F20"/>
                            <w:sz w:val="18"/>
                          </w:rPr>
                          <w:t>3)</w:t>
                        </w:r>
                        <w:r>
                          <w:rPr>
                            <w:color w:val="231F20"/>
                            <w:spacing w:val="4"/>
                            <w:sz w:val="18"/>
                          </w:rPr>
                          <w:t> </w:t>
                        </w:r>
                        <w:r>
                          <w:rPr>
                            <w:rFonts w:ascii="Symbol" w:hAnsi="Symbol"/>
                            <w:color w:val="231F20"/>
                            <w:spacing w:val="-10"/>
                            <w:sz w:val="18"/>
                          </w:rPr>
                          <w:t></w:t>
                        </w:r>
                      </w:p>
                    </w:tc>
                  </w:tr>
                  <w:tr>
                    <w:trPr>
                      <w:trHeight w:val="447" w:hRule="atLeast"/>
                    </w:trPr>
                    <w:tc>
                      <w:tcPr>
                        <w:tcW w:w="3916" w:type="dxa"/>
                      </w:tcPr>
                      <w:p>
                        <w:pPr>
                          <w:pStyle w:val="TableParagraph"/>
                          <w:spacing w:before="1"/>
                          <w:jc w:val="left"/>
                          <w:rPr>
                            <w:sz w:val="16"/>
                          </w:rPr>
                        </w:pPr>
                      </w:p>
                      <w:p>
                        <w:pPr>
                          <w:pStyle w:val="TableParagraph"/>
                          <w:spacing w:before="0"/>
                          <w:ind w:left="50"/>
                          <w:jc w:val="left"/>
                          <w:rPr>
                            <w:b/>
                            <w:sz w:val="18"/>
                          </w:rPr>
                        </w:pPr>
                        <w:r>
                          <w:rPr>
                            <w:b/>
                            <w:color w:val="231F20"/>
                            <w:w w:val="95"/>
                            <w:sz w:val="18"/>
                          </w:rPr>
                          <w:t>Return</w:t>
                        </w:r>
                        <w:r>
                          <w:rPr>
                            <w:b/>
                            <w:color w:val="231F20"/>
                            <w:spacing w:val="-1"/>
                            <w:sz w:val="18"/>
                          </w:rPr>
                          <w:t> </w:t>
                        </w:r>
                        <w:r>
                          <w:rPr>
                            <w:b/>
                            <w:color w:val="231F20"/>
                            <w:w w:val="95"/>
                            <w:sz w:val="18"/>
                          </w:rPr>
                          <w:t>on</w:t>
                        </w:r>
                        <w:r>
                          <w:rPr>
                            <w:b/>
                            <w:color w:val="231F20"/>
                            <w:sz w:val="18"/>
                          </w:rPr>
                          <w:t> </w:t>
                        </w:r>
                        <w:r>
                          <w:rPr>
                            <w:b/>
                            <w:color w:val="231F20"/>
                            <w:spacing w:val="-2"/>
                            <w:w w:val="95"/>
                            <w:sz w:val="18"/>
                          </w:rPr>
                          <w:t>Equity</w:t>
                        </w:r>
                      </w:p>
                    </w:tc>
                  </w:tr>
                  <w:tr>
                    <w:trPr>
                      <w:trHeight w:val="298" w:hRule="atLeast"/>
                    </w:trPr>
                    <w:tc>
                      <w:tcPr>
                        <w:tcW w:w="3916" w:type="dxa"/>
                      </w:tcPr>
                      <w:p>
                        <w:pPr>
                          <w:pStyle w:val="TableParagraph"/>
                          <w:spacing w:before="41"/>
                          <w:ind w:left="50"/>
                          <w:jc w:val="left"/>
                          <w:rPr>
                            <w:sz w:val="18"/>
                          </w:rPr>
                        </w:pPr>
                        <w:r>
                          <w:rPr>
                            <w:color w:val="231F20"/>
                            <w:w w:val="105"/>
                            <w:sz w:val="18"/>
                          </w:rPr>
                          <w:t>15. Cash Flow (Line </w:t>
                        </w:r>
                        <w:r>
                          <w:rPr>
                            <w:color w:val="231F20"/>
                            <w:spacing w:val="-5"/>
                            <w:w w:val="105"/>
                            <w:sz w:val="18"/>
                          </w:rPr>
                          <w:t>9)</w:t>
                        </w:r>
                      </w:p>
                    </w:tc>
                  </w:tr>
                  <w:tr>
                    <w:trPr>
                      <w:trHeight w:val="300" w:hRule="atLeast"/>
                    </w:trPr>
                    <w:tc>
                      <w:tcPr>
                        <w:tcW w:w="3916" w:type="dxa"/>
                      </w:tcPr>
                      <w:p>
                        <w:pPr>
                          <w:pStyle w:val="TableParagraph"/>
                          <w:spacing w:before="43"/>
                          <w:ind w:left="50"/>
                          <w:jc w:val="left"/>
                          <w:rPr>
                            <w:sz w:val="18"/>
                          </w:rPr>
                        </w:pPr>
                        <w:r>
                          <w:rPr>
                            <w:color w:val="231F20"/>
                            <w:sz w:val="18"/>
                          </w:rPr>
                          <w:t>16.</w:t>
                        </w:r>
                        <w:r>
                          <w:rPr>
                            <w:color w:val="231F20"/>
                            <w:spacing w:val="20"/>
                            <w:sz w:val="18"/>
                          </w:rPr>
                          <w:t> </w:t>
                        </w:r>
                        <w:r>
                          <w:rPr>
                            <w:color w:val="231F20"/>
                            <w:sz w:val="18"/>
                          </w:rPr>
                          <w:t>Loan</w:t>
                        </w:r>
                        <w:r>
                          <w:rPr>
                            <w:color w:val="231F20"/>
                            <w:spacing w:val="20"/>
                            <w:sz w:val="18"/>
                          </w:rPr>
                          <w:t> </w:t>
                        </w:r>
                        <w:r>
                          <w:rPr>
                            <w:color w:val="231F20"/>
                            <w:sz w:val="18"/>
                          </w:rPr>
                          <w:t>Payoff</w:t>
                        </w:r>
                        <w:r>
                          <w:rPr>
                            <w:color w:val="231F20"/>
                            <w:spacing w:val="21"/>
                            <w:sz w:val="18"/>
                          </w:rPr>
                          <w:t> </w:t>
                        </w:r>
                        <w:r>
                          <w:rPr>
                            <w:color w:val="231F20"/>
                            <w:sz w:val="18"/>
                          </w:rPr>
                          <w:t>(Line</w:t>
                        </w:r>
                        <w:r>
                          <w:rPr>
                            <w:color w:val="231F20"/>
                            <w:spacing w:val="20"/>
                            <w:sz w:val="18"/>
                          </w:rPr>
                          <w:t> </w:t>
                        </w:r>
                        <w:r>
                          <w:rPr>
                            <w:color w:val="231F20"/>
                            <w:spacing w:val="-5"/>
                            <w:sz w:val="18"/>
                          </w:rPr>
                          <w:t>8)</w:t>
                        </w:r>
                      </w:p>
                    </w:tc>
                  </w:tr>
                  <w:tr>
                    <w:trPr>
                      <w:trHeight w:val="300" w:hRule="atLeast"/>
                    </w:trPr>
                    <w:tc>
                      <w:tcPr>
                        <w:tcW w:w="3916" w:type="dxa"/>
                      </w:tcPr>
                      <w:p>
                        <w:pPr>
                          <w:pStyle w:val="TableParagraph"/>
                          <w:spacing w:before="43"/>
                          <w:ind w:left="50"/>
                          <w:jc w:val="left"/>
                          <w:rPr>
                            <w:sz w:val="18"/>
                          </w:rPr>
                        </w:pPr>
                        <w:r>
                          <w:rPr>
                            <w:color w:val="231F20"/>
                            <w:sz w:val="18"/>
                          </w:rPr>
                          <w:t>17.</w:t>
                        </w:r>
                        <w:r>
                          <w:rPr>
                            <w:color w:val="231F20"/>
                            <w:spacing w:val="13"/>
                            <w:sz w:val="18"/>
                          </w:rPr>
                          <w:t> </w:t>
                        </w:r>
                        <w:r>
                          <w:rPr>
                            <w:color w:val="231F20"/>
                            <w:sz w:val="18"/>
                          </w:rPr>
                          <w:t>Tax</w:t>
                        </w:r>
                        <w:r>
                          <w:rPr>
                            <w:color w:val="231F20"/>
                            <w:spacing w:val="13"/>
                            <w:sz w:val="18"/>
                          </w:rPr>
                          <w:t> </w:t>
                        </w:r>
                        <w:r>
                          <w:rPr>
                            <w:color w:val="231F20"/>
                            <w:sz w:val="18"/>
                          </w:rPr>
                          <w:t>Savings</w:t>
                        </w:r>
                        <w:r>
                          <w:rPr>
                            <w:color w:val="231F20"/>
                            <w:spacing w:val="13"/>
                            <w:sz w:val="18"/>
                          </w:rPr>
                          <w:t> </w:t>
                        </w:r>
                        <w:r>
                          <w:rPr>
                            <w:color w:val="231F20"/>
                            <w:sz w:val="18"/>
                          </w:rPr>
                          <w:t>(Line</w:t>
                        </w:r>
                        <w:r>
                          <w:rPr>
                            <w:color w:val="231F20"/>
                            <w:spacing w:val="13"/>
                            <w:sz w:val="18"/>
                          </w:rPr>
                          <w:t> </w:t>
                        </w:r>
                        <w:r>
                          <w:rPr>
                            <w:color w:val="231F20"/>
                            <w:spacing w:val="-5"/>
                            <w:sz w:val="18"/>
                          </w:rPr>
                          <w:t>12)</w:t>
                        </w:r>
                      </w:p>
                    </w:tc>
                  </w:tr>
                  <w:tr>
                    <w:trPr>
                      <w:trHeight w:val="301" w:hRule="atLeast"/>
                    </w:trPr>
                    <w:tc>
                      <w:tcPr>
                        <w:tcW w:w="3916" w:type="dxa"/>
                      </w:tcPr>
                      <w:p>
                        <w:pPr>
                          <w:pStyle w:val="TableParagraph"/>
                          <w:tabs>
                            <w:tab w:pos="1680" w:val="left" w:leader="none"/>
                          </w:tabs>
                          <w:spacing w:before="33"/>
                          <w:ind w:left="50"/>
                          <w:jc w:val="left"/>
                          <w:rPr>
                            <w:rFonts w:ascii="Symbol" w:hAnsi="Symbol"/>
                            <w:sz w:val="18"/>
                          </w:rPr>
                        </w:pPr>
                        <w:r>
                          <w:rPr>
                            <w:color w:val="231F20"/>
                            <w:sz w:val="18"/>
                          </w:rPr>
                          <w:t>18.</w:t>
                        </w:r>
                        <w:r>
                          <w:rPr>
                            <w:color w:val="231F20"/>
                            <w:spacing w:val="20"/>
                            <w:sz w:val="18"/>
                          </w:rPr>
                          <w:t> </w:t>
                        </w:r>
                        <w:r>
                          <w:rPr>
                            <w:color w:val="231F20"/>
                            <w:sz w:val="18"/>
                          </w:rPr>
                          <w:t>Appreciation</w:t>
                        </w:r>
                        <w:r>
                          <w:rPr>
                            <w:color w:val="231F20"/>
                            <w:spacing w:val="10"/>
                            <w:sz w:val="18"/>
                          </w:rPr>
                          <w:t> </w:t>
                        </w:r>
                        <w:r>
                          <w:rPr>
                            <w:color w:val="231F20"/>
                            <w:sz w:val="18"/>
                            <w:u w:val="single" w:color="221E1F"/>
                          </w:rPr>
                          <w:tab/>
                        </w:r>
                        <w:r>
                          <w:rPr>
                            <w:color w:val="231F20"/>
                            <w:spacing w:val="16"/>
                            <w:sz w:val="18"/>
                          </w:rPr>
                          <w:t> </w:t>
                        </w:r>
                        <w:r>
                          <w:rPr>
                            <w:color w:val="231F20"/>
                            <w:sz w:val="18"/>
                          </w:rPr>
                          <w:t>%</w:t>
                        </w:r>
                        <w:r>
                          <w:rPr>
                            <w:color w:val="231F20"/>
                            <w:spacing w:val="15"/>
                            <w:sz w:val="18"/>
                          </w:rPr>
                          <w:t> </w:t>
                        </w:r>
                        <w:r>
                          <w:rPr>
                            <w:rFonts w:ascii="Symbol" w:hAnsi="Symbol"/>
                            <w:color w:val="231F20"/>
                            <w:sz w:val="18"/>
                          </w:rPr>
                          <w:t></w:t>
                        </w:r>
                        <w:r>
                          <w:rPr>
                            <w:rFonts w:ascii="Times New Roman" w:hAnsi="Times New Roman"/>
                            <w:color w:val="231F20"/>
                            <w:spacing w:val="10"/>
                            <w:sz w:val="18"/>
                          </w:rPr>
                          <w:t> </w:t>
                        </w:r>
                        <w:r>
                          <w:rPr>
                            <w:color w:val="231F20"/>
                            <w:sz w:val="18"/>
                          </w:rPr>
                          <w:t>Line</w:t>
                        </w:r>
                        <w:r>
                          <w:rPr>
                            <w:color w:val="231F20"/>
                            <w:spacing w:val="16"/>
                            <w:sz w:val="18"/>
                          </w:rPr>
                          <w:t> </w:t>
                        </w:r>
                        <w:r>
                          <w:rPr>
                            <w:color w:val="231F20"/>
                            <w:sz w:val="18"/>
                          </w:rPr>
                          <w:t>1</w:t>
                        </w:r>
                        <w:r>
                          <w:rPr>
                            <w:color w:val="231F20"/>
                            <w:spacing w:val="16"/>
                            <w:sz w:val="18"/>
                          </w:rPr>
                          <w:t> </w:t>
                        </w:r>
                        <w:r>
                          <w:rPr>
                            <w:rFonts w:ascii="Symbol" w:hAnsi="Symbol"/>
                            <w:color w:val="231F20"/>
                            <w:sz w:val="18"/>
                          </w:rPr>
                          <w:t></w:t>
                        </w:r>
                      </w:p>
                    </w:tc>
                  </w:tr>
                  <w:tr>
                    <w:trPr>
                      <w:trHeight w:val="300" w:hRule="atLeast"/>
                    </w:trPr>
                    <w:tc>
                      <w:tcPr>
                        <w:tcW w:w="3916" w:type="dxa"/>
                      </w:tcPr>
                      <w:p>
                        <w:pPr>
                          <w:pStyle w:val="TableParagraph"/>
                          <w:spacing w:before="32"/>
                          <w:ind w:left="50"/>
                          <w:jc w:val="left"/>
                          <w:rPr>
                            <w:rFonts w:ascii="Symbol" w:hAnsi="Symbol"/>
                            <w:sz w:val="18"/>
                          </w:rPr>
                        </w:pPr>
                        <w:r>
                          <w:rPr>
                            <w:color w:val="231F20"/>
                            <w:sz w:val="18"/>
                          </w:rPr>
                          <w:t>19.</w:t>
                        </w:r>
                        <w:r>
                          <w:rPr>
                            <w:color w:val="231F20"/>
                            <w:spacing w:val="6"/>
                            <w:sz w:val="18"/>
                          </w:rPr>
                          <w:t> </w:t>
                        </w:r>
                        <w:r>
                          <w:rPr>
                            <w:color w:val="231F20"/>
                            <w:sz w:val="18"/>
                          </w:rPr>
                          <w:t>Total</w:t>
                        </w:r>
                        <w:r>
                          <w:rPr>
                            <w:color w:val="231F20"/>
                            <w:spacing w:val="7"/>
                            <w:sz w:val="18"/>
                          </w:rPr>
                          <w:t> </w:t>
                        </w:r>
                        <w:r>
                          <w:rPr>
                            <w:color w:val="231F20"/>
                            <w:sz w:val="18"/>
                          </w:rPr>
                          <w:t>Investment</w:t>
                        </w:r>
                        <w:r>
                          <w:rPr>
                            <w:color w:val="231F20"/>
                            <w:spacing w:val="7"/>
                            <w:sz w:val="18"/>
                          </w:rPr>
                          <w:t> </w:t>
                        </w:r>
                        <w:r>
                          <w:rPr>
                            <w:color w:val="231F20"/>
                            <w:sz w:val="18"/>
                          </w:rPr>
                          <w:t>(Lines</w:t>
                        </w:r>
                        <w:r>
                          <w:rPr>
                            <w:color w:val="231F20"/>
                            <w:spacing w:val="6"/>
                            <w:sz w:val="18"/>
                          </w:rPr>
                          <w:t> </w:t>
                        </w:r>
                        <w:r>
                          <w:rPr>
                            <w:color w:val="231F20"/>
                            <w:sz w:val="18"/>
                          </w:rPr>
                          <w:t>15</w:t>
                        </w:r>
                        <w:r>
                          <w:rPr>
                            <w:color w:val="231F20"/>
                            <w:spacing w:val="6"/>
                            <w:sz w:val="18"/>
                          </w:rPr>
                          <w:t> </w:t>
                        </w:r>
                        <w:r>
                          <w:rPr>
                            <w:rFonts w:ascii="Symbol" w:hAnsi="Symbol"/>
                            <w:color w:val="231F20"/>
                            <w:sz w:val="18"/>
                          </w:rPr>
                          <w:t></w:t>
                        </w:r>
                        <w:r>
                          <w:rPr>
                            <w:rFonts w:ascii="Times New Roman" w:hAnsi="Times New Roman"/>
                            <w:color w:val="231F20"/>
                            <w:spacing w:val="1"/>
                            <w:sz w:val="18"/>
                          </w:rPr>
                          <w:t> </w:t>
                        </w:r>
                        <w:r>
                          <w:rPr>
                            <w:color w:val="231F20"/>
                            <w:sz w:val="18"/>
                          </w:rPr>
                          <w:t>16</w:t>
                        </w:r>
                        <w:r>
                          <w:rPr>
                            <w:color w:val="231F20"/>
                            <w:spacing w:val="6"/>
                            <w:sz w:val="18"/>
                          </w:rPr>
                          <w:t> </w:t>
                        </w:r>
                        <w:r>
                          <w:rPr>
                            <w:rFonts w:ascii="Symbol" w:hAnsi="Symbol"/>
                            <w:color w:val="231F20"/>
                            <w:sz w:val="18"/>
                          </w:rPr>
                          <w:t></w:t>
                        </w:r>
                        <w:r>
                          <w:rPr>
                            <w:rFonts w:ascii="Times New Roman" w:hAnsi="Times New Roman"/>
                            <w:color w:val="231F20"/>
                            <w:spacing w:val="1"/>
                            <w:sz w:val="18"/>
                          </w:rPr>
                          <w:t> </w:t>
                        </w:r>
                        <w:r>
                          <w:rPr>
                            <w:color w:val="231F20"/>
                            <w:sz w:val="18"/>
                          </w:rPr>
                          <w:t>17</w:t>
                        </w:r>
                        <w:r>
                          <w:rPr>
                            <w:color w:val="231F20"/>
                            <w:spacing w:val="7"/>
                            <w:sz w:val="18"/>
                          </w:rPr>
                          <w:t> </w:t>
                        </w:r>
                        <w:r>
                          <w:rPr>
                            <w:rFonts w:ascii="Symbol" w:hAnsi="Symbol"/>
                            <w:color w:val="231F20"/>
                            <w:sz w:val="18"/>
                          </w:rPr>
                          <w:t></w:t>
                        </w:r>
                        <w:r>
                          <w:rPr>
                            <w:rFonts w:ascii="Times New Roman" w:hAnsi="Times New Roman"/>
                            <w:color w:val="231F20"/>
                            <w:spacing w:val="1"/>
                            <w:sz w:val="18"/>
                          </w:rPr>
                          <w:t> </w:t>
                        </w:r>
                        <w:r>
                          <w:rPr>
                            <w:color w:val="231F20"/>
                            <w:sz w:val="18"/>
                          </w:rPr>
                          <w:t>18)</w:t>
                        </w:r>
                        <w:r>
                          <w:rPr>
                            <w:color w:val="231F20"/>
                            <w:spacing w:val="6"/>
                            <w:sz w:val="18"/>
                          </w:rPr>
                          <w:t> </w:t>
                        </w:r>
                        <w:r>
                          <w:rPr>
                            <w:rFonts w:ascii="Symbol" w:hAnsi="Symbol"/>
                            <w:color w:val="231F20"/>
                            <w:spacing w:val="-10"/>
                            <w:sz w:val="18"/>
                          </w:rPr>
                          <w:t></w:t>
                        </w:r>
                      </w:p>
                    </w:tc>
                  </w:tr>
                  <w:tr>
                    <w:trPr>
                      <w:trHeight w:val="257" w:hRule="atLeast"/>
                    </w:trPr>
                    <w:tc>
                      <w:tcPr>
                        <w:tcW w:w="3916" w:type="dxa"/>
                      </w:tcPr>
                      <w:p>
                        <w:pPr>
                          <w:pStyle w:val="TableParagraph"/>
                          <w:spacing w:line="205" w:lineRule="exact" w:before="32"/>
                          <w:ind w:left="50"/>
                          <w:jc w:val="left"/>
                          <w:rPr>
                            <w:rFonts w:ascii="Symbol" w:hAnsi="Symbol"/>
                            <w:sz w:val="18"/>
                          </w:rPr>
                        </w:pPr>
                        <w:r>
                          <w:rPr>
                            <w:color w:val="231F20"/>
                            <w:sz w:val="18"/>
                          </w:rPr>
                          <w:t>20.</w:t>
                        </w:r>
                        <w:r>
                          <w:rPr>
                            <w:color w:val="231F20"/>
                            <w:spacing w:val="7"/>
                            <w:sz w:val="18"/>
                          </w:rPr>
                          <w:t> </w:t>
                        </w:r>
                        <w:r>
                          <w:rPr>
                            <w:color w:val="231F20"/>
                            <w:sz w:val="18"/>
                          </w:rPr>
                          <w:t>Return</w:t>
                        </w:r>
                        <w:r>
                          <w:rPr>
                            <w:color w:val="231F20"/>
                            <w:spacing w:val="7"/>
                            <w:sz w:val="18"/>
                          </w:rPr>
                          <w:t> </w:t>
                        </w:r>
                        <w:r>
                          <w:rPr>
                            <w:color w:val="231F20"/>
                            <w:sz w:val="18"/>
                          </w:rPr>
                          <w:t>on</w:t>
                        </w:r>
                        <w:r>
                          <w:rPr>
                            <w:color w:val="231F20"/>
                            <w:spacing w:val="8"/>
                            <w:sz w:val="18"/>
                          </w:rPr>
                          <w:t> </w:t>
                        </w:r>
                        <w:r>
                          <w:rPr>
                            <w:color w:val="231F20"/>
                            <w:sz w:val="18"/>
                          </w:rPr>
                          <w:t>Equity</w:t>
                        </w:r>
                        <w:r>
                          <w:rPr>
                            <w:color w:val="231F20"/>
                            <w:spacing w:val="7"/>
                            <w:sz w:val="18"/>
                          </w:rPr>
                          <w:t> </w:t>
                        </w:r>
                        <w:r>
                          <w:rPr>
                            <w:color w:val="231F20"/>
                            <w:sz w:val="18"/>
                          </w:rPr>
                          <w:t>(Line</w:t>
                        </w:r>
                        <w:r>
                          <w:rPr>
                            <w:color w:val="231F20"/>
                            <w:spacing w:val="8"/>
                            <w:sz w:val="18"/>
                          </w:rPr>
                          <w:t> </w:t>
                        </w:r>
                        <w:r>
                          <w:rPr>
                            <w:color w:val="231F20"/>
                            <w:sz w:val="18"/>
                          </w:rPr>
                          <w:t>19</w:t>
                        </w:r>
                        <w:r>
                          <w:rPr>
                            <w:color w:val="231F20"/>
                            <w:spacing w:val="7"/>
                            <w:sz w:val="18"/>
                          </w:rPr>
                          <w:t> </w:t>
                        </w:r>
                        <w:r>
                          <w:rPr>
                            <w:color w:val="231F20"/>
                            <w:w w:val="95"/>
                            <w:sz w:val="18"/>
                          </w:rPr>
                          <w:t>/</w:t>
                        </w:r>
                        <w:r>
                          <w:rPr>
                            <w:color w:val="231F20"/>
                            <w:spacing w:val="8"/>
                            <w:sz w:val="18"/>
                          </w:rPr>
                          <w:t> </w:t>
                        </w:r>
                        <w:r>
                          <w:rPr>
                            <w:color w:val="231F20"/>
                            <w:sz w:val="18"/>
                          </w:rPr>
                          <w:t>Line</w:t>
                        </w:r>
                        <w:r>
                          <w:rPr>
                            <w:color w:val="231F20"/>
                            <w:spacing w:val="7"/>
                            <w:sz w:val="18"/>
                          </w:rPr>
                          <w:t> </w:t>
                        </w:r>
                        <w:r>
                          <w:rPr>
                            <w:color w:val="231F20"/>
                            <w:sz w:val="18"/>
                          </w:rPr>
                          <w:t>3)</w:t>
                        </w:r>
                        <w:r>
                          <w:rPr>
                            <w:color w:val="231F20"/>
                            <w:spacing w:val="7"/>
                            <w:sz w:val="18"/>
                          </w:rPr>
                          <w:t> </w:t>
                        </w:r>
                        <w:r>
                          <w:rPr>
                            <w:rFonts w:ascii="Symbol" w:hAnsi="Symbol"/>
                            <w:color w:val="231F20"/>
                            <w:spacing w:val="-10"/>
                            <w:sz w:val="18"/>
                          </w:rPr>
                          <w:t></w:t>
                        </w:r>
                      </w:p>
                    </w:tc>
                  </w:tr>
                </w:tbl>
                <w:p>
                  <w:pPr>
                    <w:pStyle w:val="BodyText"/>
                  </w:pPr>
                </w:p>
              </w:txbxContent>
            </v:textbox>
            <w10:wrap type="none"/>
          </v:shape>
        </w:pict>
      </w:r>
      <w:r>
        <w:rPr>
          <w:color w:val="231F20"/>
          <w:w w:val="126"/>
          <w:sz w:val="18"/>
          <w:u w:val="single" w:color="221E1F"/>
        </w:rPr>
        <w:t> </w:t>
      </w:r>
      <w:r>
        <w:rPr>
          <w:color w:val="231F20"/>
          <w:sz w:val="18"/>
          <w:u w:val="single" w:color="221E1F"/>
        </w:rPr>
        <w:tab/>
      </w:r>
    </w:p>
    <w:p>
      <w:pPr>
        <w:tabs>
          <w:tab w:pos="1439" w:val="left" w:leader="none"/>
        </w:tabs>
        <w:spacing w:before="89"/>
        <w:ind w:left="0" w:right="1107" w:firstLine="0"/>
        <w:jc w:val="right"/>
        <w:rPr>
          <w:sz w:val="18"/>
        </w:rPr>
      </w:pPr>
      <w:r>
        <w:rPr>
          <w:color w:val="231F20"/>
          <w:w w:val="126"/>
          <w:sz w:val="18"/>
          <w:u w:val="single" w:color="221E1F"/>
        </w:rPr>
        <w:t> </w:t>
      </w:r>
      <w:r>
        <w:rPr>
          <w:color w:val="231F20"/>
          <w:sz w:val="18"/>
          <w:u w:val="single" w:color="221E1F"/>
        </w:rPr>
        <w:tab/>
      </w:r>
    </w:p>
    <w:p>
      <w:pPr>
        <w:tabs>
          <w:tab w:pos="1439" w:val="left" w:leader="none"/>
        </w:tabs>
        <w:spacing w:before="89"/>
        <w:ind w:left="0" w:right="1107" w:firstLine="0"/>
        <w:jc w:val="right"/>
        <w:rPr>
          <w:sz w:val="18"/>
        </w:rPr>
      </w:pPr>
      <w:r>
        <w:rPr>
          <w:color w:val="231F20"/>
          <w:w w:val="126"/>
          <w:sz w:val="18"/>
          <w:u w:val="single" w:color="221E1F"/>
        </w:rPr>
        <w:t> </w:t>
      </w:r>
      <w:r>
        <w:rPr>
          <w:color w:val="231F20"/>
          <w:sz w:val="18"/>
          <w:u w:val="single" w:color="221E1F"/>
        </w:rPr>
        <w:tab/>
      </w:r>
    </w:p>
    <w:p>
      <w:pPr>
        <w:tabs>
          <w:tab w:pos="1439" w:val="left" w:leader="none"/>
        </w:tabs>
        <w:spacing w:before="92"/>
        <w:ind w:left="0" w:right="1107" w:firstLine="0"/>
        <w:jc w:val="right"/>
        <w:rPr>
          <w:rFonts w:ascii="Times New Roman"/>
          <w:sz w:val="18"/>
        </w:rPr>
      </w:pPr>
      <w:r>
        <w:rPr>
          <w:rFonts w:ascii="Times New Roman"/>
          <w:color w:val="231F20"/>
          <w:sz w:val="18"/>
          <w:u w:val="single" w:color="221E1F"/>
        </w:rPr>
        <w:t> </w:t>
        <w:tab/>
      </w:r>
    </w:p>
    <w:p>
      <w:pPr>
        <w:tabs>
          <w:tab w:pos="1439" w:val="left" w:leader="none"/>
        </w:tabs>
        <w:spacing w:before="93"/>
        <w:ind w:left="0" w:right="1107" w:firstLine="0"/>
        <w:jc w:val="right"/>
        <w:rPr>
          <w:rFonts w:ascii="Times New Roman"/>
          <w:sz w:val="18"/>
        </w:rPr>
      </w:pPr>
      <w:r>
        <w:rPr>
          <w:rFonts w:ascii="Times New Roman"/>
          <w:color w:val="231F20"/>
          <w:sz w:val="18"/>
          <w:u w:val="single" w:color="221E1F"/>
        </w:rPr>
        <w:t> </w:t>
        <w:tab/>
      </w:r>
    </w:p>
    <w:p>
      <w:pPr>
        <w:tabs>
          <w:tab w:pos="1439" w:val="left" w:leader="none"/>
        </w:tabs>
        <w:spacing w:before="93"/>
        <w:ind w:left="0" w:right="1107" w:firstLine="0"/>
        <w:jc w:val="right"/>
        <w:rPr>
          <w:rFonts w:ascii="Times New Roman"/>
          <w:sz w:val="18"/>
        </w:rPr>
      </w:pPr>
      <w:r>
        <w:rPr>
          <w:rFonts w:ascii="Times New Roman"/>
          <w:color w:val="231F20"/>
          <w:sz w:val="18"/>
          <w:u w:val="single" w:color="221E1F"/>
        </w:rPr>
        <w:t> </w:t>
        <w:tab/>
      </w:r>
    </w:p>
    <w:p>
      <w:pPr>
        <w:tabs>
          <w:tab w:pos="1439" w:val="left" w:leader="none"/>
        </w:tabs>
        <w:spacing w:before="93"/>
        <w:ind w:left="0" w:right="1107" w:firstLine="0"/>
        <w:jc w:val="right"/>
        <w:rPr>
          <w:rFonts w:ascii="Times New Roman"/>
          <w:sz w:val="18"/>
        </w:rPr>
      </w:pPr>
      <w:r>
        <w:rPr>
          <w:rFonts w:ascii="Times New Roman"/>
          <w:color w:val="231F20"/>
          <w:sz w:val="18"/>
          <w:u w:val="single" w:color="221E1F"/>
        </w:rPr>
        <w:t> </w:t>
        <w:tab/>
      </w:r>
    </w:p>
    <w:p>
      <w:pPr>
        <w:tabs>
          <w:tab w:pos="1439" w:val="left" w:leader="none"/>
        </w:tabs>
        <w:spacing w:before="93"/>
        <w:ind w:left="0" w:right="1107" w:firstLine="0"/>
        <w:jc w:val="right"/>
        <w:rPr>
          <w:rFonts w:ascii="Times New Roman"/>
          <w:sz w:val="18"/>
        </w:rPr>
      </w:pPr>
      <w:r>
        <w:rPr/>
        <w:pict>
          <v:rect style="position:absolute;margin-left:170.389053pt;margin-top:10.622339pt;width:4.167pt;height:.612pt;mso-position-horizontal-relative:page;mso-position-vertical-relative:paragraph;z-index:15943680" id="docshape552" filled="true" fillcolor="#231f20" stroked="false">
            <v:fill type="solid"/>
            <w10:wrap type="none"/>
          </v:rect>
        </w:pict>
      </w:r>
      <w:r>
        <w:rPr>
          <w:rFonts w:ascii="Times New Roman"/>
          <w:color w:val="231F20"/>
          <w:sz w:val="18"/>
          <w:u w:val="single" w:color="221E1F"/>
        </w:rPr>
        <w:t> </w:t>
        <w:tab/>
      </w:r>
    </w:p>
    <w:p>
      <w:pPr>
        <w:tabs>
          <w:tab w:pos="1439" w:val="left" w:leader="none"/>
        </w:tabs>
        <w:spacing w:before="93"/>
        <w:ind w:left="0" w:right="1107" w:firstLine="0"/>
        <w:jc w:val="right"/>
        <w:rPr>
          <w:rFonts w:ascii="Times New Roman"/>
          <w:sz w:val="18"/>
        </w:rPr>
      </w:pPr>
      <w:r>
        <w:rPr/>
        <w:pict>
          <v:rect style="position:absolute;margin-left:164.406906pt;margin-top:10.622344pt;width:4.167pt;height:.612pt;mso-position-horizontal-relative:page;mso-position-vertical-relative:paragraph;z-index:15944192" id="docshape553" filled="true" fillcolor="#231f20" stroked="false">
            <v:fill type="solid"/>
            <w10:wrap type="none"/>
          </v:rect>
        </w:pict>
      </w:r>
      <w:r>
        <w:rPr/>
        <w:pict>
          <v:rect style="position:absolute;margin-left:198.847305pt;margin-top:10.622344pt;width:4.167pt;height:.612pt;mso-position-horizontal-relative:page;mso-position-vertical-relative:paragraph;z-index:15944704" id="docshape554" filled="true" fillcolor="#231f20" stroked="false">
            <v:fill type="solid"/>
            <w10:wrap type="none"/>
          </v:rect>
        </w:pict>
      </w:r>
      <w:r>
        <w:rPr>
          <w:rFonts w:ascii="Times New Roman"/>
          <w:color w:val="231F20"/>
          <w:sz w:val="18"/>
          <w:u w:val="single" w:color="221E1F"/>
        </w:rPr>
        <w:t> </w:t>
        <w:tab/>
      </w:r>
    </w:p>
    <w:p>
      <w:pPr>
        <w:tabs>
          <w:tab w:pos="1439" w:val="left" w:leader="none"/>
        </w:tabs>
        <w:spacing w:before="90"/>
        <w:ind w:left="0" w:right="1107" w:firstLine="0"/>
        <w:jc w:val="right"/>
        <w:rPr>
          <w:sz w:val="18"/>
        </w:rPr>
      </w:pPr>
      <w:r>
        <w:rPr>
          <w:color w:val="231F20"/>
          <w:w w:val="126"/>
          <w:sz w:val="18"/>
          <w:u w:val="single" w:color="221E1F"/>
        </w:rPr>
        <w:t> </w:t>
      </w:r>
      <w:r>
        <w:rPr>
          <w:color w:val="231F20"/>
          <w:sz w:val="18"/>
          <w:u w:val="single" w:color="221E1F"/>
        </w:rPr>
        <w:tab/>
      </w:r>
    </w:p>
    <w:p>
      <w:pPr>
        <w:tabs>
          <w:tab w:pos="1439" w:val="left" w:leader="none"/>
        </w:tabs>
        <w:spacing w:before="92"/>
        <w:ind w:left="0" w:right="1107" w:firstLine="0"/>
        <w:jc w:val="right"/>
        <w:rPr>
          <w:rFonts w:ascii="Times New Roman"/>
          <w:sz w:val="18"/>
        </w:rPr>
      </w:pPr>
      <w:r>
        <w:rPr/>
        <w:pict>
          <v:rect style="position:absolute;margin-left:172.107285pt;margin-top:10.572343pt;width:4.167pt;height:.612pt;mso-position-horizontal-relative:page;mso-position-vertical-relative:paragraph;z-index:15945216" id="docshape555" filled="true" fillcolor="#231f20" stroked="false">
            <v:fill type="solid"/>
            <w10:wrap type="none"/>
          </v:rect>
        </w:pict>
      </w:r>
      <w:r>
        <w:rPr/>
        <w:pict>
          <v:rect style="position:absolute;margin-left:206.547668pt;margin-top:10.572343pt;width:4.167pt;height:.612pt;mso-position-horizontal-relative:page;mso-position-vertical-relative:paragraph;z-index:15945728" id="docshape556" filled="true" fillcolor="#231f20" stroked="false">
            <v:fill type="solid"/>
            <w10:wrap type="none"/>
          </v:rect>
        </w:pict>
      </w:r>
      <w:r>
        <w:rPr>
          <w:rFonts w:ascii="Times New Roman"/>
          <w:color w:val="231F20"/>
          <w:sz w:val="18"/>
          <w:u w:val="single" w:color="221E1F"/>
        </w:rPr>
        <w:t> </w:t>
        <w:tab/>
      </w:r>
    </w:p>
    <w:p>
      <w:pPr>
        <w:tabs>
          <w:tab w:pos="1439" w:val="left" w:leader="none"/>
        </w:tabs>
        <w:spacing w:before="93"/>
        <w:ind w:left="0" w:right="1107" w:firstLine="0"/>
        <w:jc w:val="right"/>
        <w:rPr>
          <w:rFonts w:ascii="Times New Roman"/>
          <w:sz w:val="18"/>
        </w:rPr>
      </w:pPr>
      <w:r>
        <w:rPr>
          <w:rFonts w:ascii="Times New Roman"/>
          <w:color w:val="231F20"/>
          <w:sz w:val="18"/>
          <w:u w:val="single" w:color="221E1F"/>
        </w:rPr>
        <w:t> </w:t>
        <w:tab/>
      </w:r>
    </w:p>
    <w:p>
      <w:pPr>
        <w:tabs>
          <w:tab w:pos="1439" w:val="left" w:leader="none"/>
        </w:tabs>
        <w:spacing w:before="93"/>
        <w:ind w:left="0" w:right="1107" w:firstLine="0"/>
        <w:jc w:val="right"/>
        <w:rPr>
          <w:rFonts w:ascii="Times New Roman"/>
          <w:sz w:val="18"/>
        </w:rPr>
      </w:pPr>
      <w:r>
        <w:rPr>
          <w:rFonts w:ascii="Times New Roman"/>
          <w:color w:val="231F20"/>
          <w:sz w:val="18"/>
          <w:u w:val="single" w:color="221E1F"/>
        </w:rPr>
        <w:t> </w:t>
        <w:tab/>
      </w:r>
    </w:p>
    <w:p>
      <w:pPr>
        <w:tabs>
          <w:tab w:pos="1439" w:val="left" w:leader="none"/>
        </w:tabs>
        <w:spacing w:before="93"/>
        <w:ind w:left="0" w:right="1107" w:firstLine="0"/>
        <w:jc w:val="right"/>
        <w:rPr>
          <w:rFonts w:ascii="Times New Roman"/>
          <w:sz w:val="18"/>
        </w:rPr>
      </w:pPr>
      <w:r>
        <w:rPr>
          <w:rFonts w:ascii="Times New Roman"/>
          <w:color w:val="231F20"/>
          <w:sz w:val="18"/>
          <w:u w:val="single" w:color="221E1F"/>
        </w:rPr>
        <w:t> </w:t>
        <w:tab/>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tabs>
          <w:tab w:pos="1439" w:val="left" w:leader="none"/>
        </w:tabs>
        <w:spacing w:before="0"/>
        <w:ind w:left="0" w:right="1107" w:firstLine="0"/>
        <w:jc w:val="right"/>
        <w:rPr>
          <w:sz w:val="18"/>
        </w:rPr>
      </w:pPr>
      <w:r>
        <w:rPr>
          <w:color w:val="231F20"/>
          <w:w w:val="126"/>
          <w:sz w:val="18"/>
          <w:u w:val="single" w:color="221E1F"/>
        </w:rPr>
        <w:t> </w:t>
      </w:r>
      <w:r>
        <w:rPr>
          <w:color w:val="231F20"/>
          <w:sz w:val="18"/>
          <w:u w:val="single" w:color="221E1F"/>
        </w:rPr>
        <w:tab/>
      </w:r>
    </w:p>
    <w:p>
      <w:pPr>
        <w:tabs>
          <w:tab w:pos="1439" w:val="left" w:leader="none"/>
        </w:tabs>
        <w:spacing w:before="89"/>
        <w:ind w:left="0" w:right="1107" w:firstLine="0"/>
        <w:jc w:val="right"/>
        <w:rPr>
          <w:sz w:val="18"/>
        </w:rPr>
      </w:pPr>
      <w:r>
        <w:rPr>
          <w:color w:val="231F20"/>
          <w:w w:val="126"/>
          <w:sz w:val="18"/>
          <w:u w:val="single" w:color="221E1F"/>
        </w:rPr>
        <w:t> </w:t>
      </w:r>
      <w:r>
        <w:rPr>
          <w:color w:val="231F20"/>
          <w:sz w:val="18"/>
          <w:u w:val="single" w:color="221E1F"/>
        </w:rPr>
        <w:tab/>
      </w:r>
    </w:p>
    <w:p>
      <w:pPr>
        <w:tabs>
          <w:tab w:pos="1439" w:val="left" w:leader="none"/>
        </w:tabs>
        <w:spacing w:before="89"/>
        <w:ind w:left="0" w:right="1107" w:firstLine="0"/>
        <w:jc w:val="right"/>
        <w:rPr>
          <w:sz w:val="18"/>
        </w:rPr>
      </w:pPr>
      <w:r>
        <w:rPr>
          <w:color w:val="231F20"/>
          <w:w w:val="126"/>
          <w:sz w:val="18"/>
          <w:u w:val="single" w:color="221E1F"/>
        </w:rPr>
        <w:t> </w:t>
      </w:r>
      <w:r>
        <w:rPr>
          <w:color w:val="231F20"/>
          <w:sz w:val="18"/>
          <w:u w:val="single" w:color="221E1F"/>
        </w:rPr>
        <w:tab/>
      </w:r>
    </w:p>
    <w:p>
      <w:pPr>
        <w:tabs>
          <w:tab w:pos="1439" w:val="left" w:leader="none"/>
        </w:tabs>
        <w:spacing w:before="92"/>
        <w:ind w:left="0" w:right="1107" w:firstLine="0"/>
        <w:jc w:val="right"/>
        <w:rPr>
          <w:rFonts w:ascii="Times New Roman"/>
          <w:sz w:val="18"/>
        </w:rPr>
      </w:pPr>
      <w:r>
        <w:rPr>
          <w:rFonts w:ascii="Times New Roman"/>
          <w:color w:val="231F20"/>
          <w:sz w:val="18"/>
          <w:u w:val="single" w:color="221E1F"/>
        </w:rPr>
        <w:t> </w:t>
        <w:tab/>
      </w:r>
    </w:p>
    <w:p>
      <w:pPr>
        <w:tabs>
          <w:tab w:pos="1439" w:val="left" w:leader="none"/>
        </w:tabs>
        <w:spacing w:before="93"/>
        <w:ind w:left="0" w:right="1107" w:firstLine="0"/>
        <w:jc w:val="right"/>
        <w:rPr>
          <w:rFonts w:ascii="Times New Roman"/>
          <w:sz w:val="18"/>
        </w:rPr>
      </w:pPr>
      <w:r>
        <w:rPr>
          <w:rFonts w:ascii="Times New Roman"/>
          <w:color w:val="231F20"/>
          <w:sz w:val="18"/>
          <w:u w:val="single" w:color="221E1F"/>
        </w:rPr>
        <w:t> </w:t>
        <w:tab/>
      </w:r>
    </w:p>
    <w:p>
      <w:pPr>
        <w:tabs>
          <w:tab w:pos="1439" w:val="left" w:leader="none"/>
        </w:tabs>
        <w:spacing w:before="93"/>
        <w:ind w:left="0" w:right="1107" w:firstLine="0"/>
        <w:jc w:val="right"/>
        <w:rPr>
          <w:rFonts w:ascii="Times New Roman"/>
          <w:sz w:val="18"/>
        </w:rPr>
      </w:pPr>
      <w:r>
        <w:rPr>
          <w:rFonts w:ascii="Times New Roman"/>
          <w:color w:val="231F20"/>
          <w:sz w:val="18"/>
          <w:u w:val="single" w:color="221E1F"/>
        </w:rPr>
        <w:t> </w:t>
        <w:tab/>
      </w:r>
    </w:p>
    <w:p>
      <w:pPr>
        <w:pStyle w:val="BodyText"/>
        <w:spacing w:before="6"/>
        <w:rPr>
          <w:rFonts w:ascii="Times New Roman"/>
          <w:sz w:val="29"/>
        </w:rPr>
      </w:pPr>
    </w:p>
    <w:p>
      <w:pPr>
        <w:pStyle w:val="ListParagraph"/>
        <w:numPr>
          <w:ilvl w:val="0"/>
          <w:numId w:val="56"/>
        </w:numPr>
        <w:tabs>
          <w:tab w:pos="967" w:val="left" w:leader="none"/>
        </w:tabs>
        <w:spacing w:line="288" w:lineRule="auto" w:before="0" w:after="0"/>
        <w:ind w:left="830" w:right="756" w:firstLine="0"/>
        <w:jc w:val="both"/>
        <w:rPr>
          <w:rFonts w:ascii="Cambria" w:hAnsi="Cambria"/>
          <w:sz w:val="17"/>
        </w:rPr>
      </w:pPr>
      <w:r>
        <w:rPr>
          <w:rFonts w:ascii="Cambria" w:hAnsi="Cambria"/>
          <w:color w:val="231F20"/>
          <w:sz w:val="17"/>
        </w:rPr>
        <w:t>Depreciation</w:t>
      </w:r>
      <w:r>
        <w:rPr>
          <w:rFonts w:ascii="Cambria" w:hAnsi="Cambria"/>
          <w:color w:val="231F20"/>
          <w:spacing w:val="-4"/>
          <w:sz w:val="17"/>
        </w:rPr>
        <w:t> </w:t>
      </w:r>
      <w:r>
        <w:rPr>
          <w:rFonts w:ascii="Cambria" w:hAnsi="Cambria"/>
          <w:color w:val="231F20"/>
          <w:sz w:val="17"/>
        </w:rPr>
        <w:t>equals</w:t>
      </w:r>
      <w:r>
        <w:rPr>
          <w:rFonts w:ascii="Cambria" w:hAnsi="Cambria"/>
          <w:color w:val="231F20"/>
          <w:spacing w:val="-4"/>
          <w:sz w:val="17"/>
        </w:rPr>
        <w:t> </w:t>
      </w:r>
      <w:r>
        <w:rPr>
          <w:rFonts w:ascii="Cambria" w:hAnsi="Cambria"/>
          <w:color w:val="231F20"/>
          <w:sz w:val="17"/>
        </w:rPr>
        <w:t>the</w:t>
      </w:r>
      <w:r>
        <w:rPr>
          <w:rFonts w:ascii="Cambria" w:hAnsi="Cambria"/>
          <w:color w:val="231F20"/>
          <w:spacing w:val="-4"/>
          <w:sz w:val="17"/>
        </w:rPr>
        <w:t> </w:t>
      </w:r>
      <w:r>
        <w:rPr>
          <w:rFonts w:ascii="Cambria" w:hAnsi="Cambria"/>
          <w:color w:val="231F20"/>
          <w:sz w:val="17"/>
        </w:rPr>
        <w:t>property</w:t>
      </w:r>
      <w:r>
        <w:rPr>
          <w:rFonts w:ascii="Cambria" w:hAnsi="Cambria"/>
          <w:color w:val="231F20"/>
          <w:spacing w:val="-4"/>
          <w:sz w:val="17"/>
        </w:rPr>
        <w:t> </w:t>
      </w:r>
      <w:r>
        <w:rPr>
          <w:rFonts w:ascii="Cambria" w:hAnsi="Cambria"/>
          <w:color w:val="231F20"/>
          <w:sz w:val="17"/>
        </w:rPr>
        <w:t>value</w:t>
      </w:r>
      <w:r>
        <w:rPr>
          <w:rFonts w:ascii="Cambria" w:hAnsi="Cambria"/>
          <w:color w:val="231F20"/>
          <w:spacing w:val="-4"/>
          <w:sz w:val="17"/>
        </w:rPr>
        <w:t> </w:t>
      </w:r>
      <w:r>
        <w:rPr>
          <w:rFonts w:ascii="Cambria" w:hAnsi="Cambria"/>
          <w:color w:val="231F20"/>
          <w:sz w:val="17"/>
        </w:rPr>
        <w:t>less</w:t>
      </w:r>
      <w:r>
        <w:rPr>
          <w:rFonts w:ascii="Cambria" w:hAnsi="Cambria"/>
          <w:color w:val="231F20"/>
          <w:spacing w:val="-4"/>
          <w:sz w:val="17"/>
        </w:rPr>
        <w:t> </w:t>
      </w:r>
      <w:r>
        <w:rPr>
          <w:rFonts w:ascii="Cambria" w:hAnsi="Cambria"/>
          <w:color w:val="231F20"/>
          <w:sz w:val="17"/>
        </w:rPr>
        <w:t>land</w:t>
      </w:r>
      <w:r>
        <w:rPr>
          <w:rFonts w:ascii="Cambria" w:hAnsi="Cambria"/>
          <w:color w:val="231F20"/>
          <w:spacing w:val="-4"/>
          <w:sz w:val="17"/>
        </w:rPr>
        <w:t> </w:t>
      </w:r>
      <w:r>
        <w:rPr>
          <w:rFonts w:ascii="Cambria" w:hAnsi="Cambria"/>
          <w:color w:val="231F20"/>
          <w:sz w:val="17"/>
        </w:rPr>
        <w:t>value</w:t>
      </w:r>
      <w:r>
        <w:rPr>
          <w:rFonts w:ascii="Cambria" w:hAnsi="Cambria"/>
          <w:color w:val="231F20"/>
          <w:spacing w:val="-4"/>
          <w:sz w:val="17"/>
        </w:rPr>
        <w:t> </w:t>
      </w:r>
      <w:r>
        <w:rPr>
          <w:rFonts w:ascii="Cambria" w:hAnsi="Cambria"/>
          <w:color w:val="231F20"/>
          <w:sz w:val="17"/>
        </w:rPr>
        <w:t>divided</w:t>
      </w:r>
      <w:r>
        <w:rPr>
          <w:rFonts w:ascii="Cambria" w:hAnsi="Cambria"/>
          <w:color w:val="231F20"/>
          <w:spacing w:val="-4"/>
          <w:sz w:val="17"/>
        </w:rPr>
        <w:t> </w:t>
      </w:r>
      <w:r>
        <w:rPr>
          <w:rFonts w:ascii="Cambria" w:hAnsi="Cambria"/>
          <w:color w:val="231F20"/>
          <w:sz w:val="17"/>
        </w:rPr>
        <w:t>by</w:t>
      </w:r>
      <w:r>
        <w:rPr>
          <w:rFonts w:ascii="Cambria" w:hAnsi="Cambria"/>
          <w:color w:val="231F20"/>
          <w:spacing w:val="-4"/>
          <w:sz w:val="17"/>
        </w:rPr>
        <w:t> </w:t>
      </w:r>
      <w:r>
        <w:rPr>
          <w:rFonts w:ascii="Cambria" w:hAnsi="Cambria"/>
          <w:color w:val="231F20"/>
          <w:sz w:val="17"/>
        </w:rPr>
        <w:t>27.5</w:t>
      </w:r>
      <w:r>
        <w:rPr>
          <w:rFonts w:ascii="Cambria" w:hAnsi="Cambria"/>
          <w:color w:val="231F20"/>
          <w:spacing w:val="-4"/>
          <w:sz w:val="17"/>
        </w:rPr>
        <w:t> </w:t>
      </w:r>
      <w:r>
        <w:rPr>
          <w:rFonts w:ascii="Cambria" w:hAnsi="Cambria"/>
          <w:color w:val="231F20"/>
          <w:sz w:val="17"/>
        </w:rPr>
        <w:t>years</w:t>
      </w:r>
      <w:r>
        <w:rPr>
          <w:rFonts w:ascii="Cambria" w:hAnsi="Cambria"/>
          <w:color w:val="231F20"/>
          <w:spacing w:val="-4"/>
          <w:sz w:val="17"/>
        </w:rPr>
        <w:t> </w:t>
      </w:r>
      <w:r>
        <w:rPr>
          <w:rFonts w:ascii="Cambria" w:hAnsi="Cambria"/>
          <w:color w:val="231F20"/>
          <w:sz w:val="17"/>
        </w:rPr>
        <w:t>for</w:t>
      </w:r>
      <w:r>
        <w:rPr>
          <w:rFonts w:ascii="Cambria" w:hAnsi="Cambria"/>
          <w:color w:val="231F20"/>
          <w:spacing w:val="-4"/>
          <w:sz w:val="17"/>
        </w:rPr>
        <w:t> </w:t>
      </w:r>
      <w:r>
        <w:rPr>
          <w:rFonts w:ascii="Cambria" w:hAnsi="Cambria"/>
          <w:color w:val="231F20"/>
          <w:sz w:val="17"/>
        </w:rPr>
        <w:t>res-</w:t>
      </w:r>
      <w:r>
        <w:rPr>
          <w:rFonts w:ascii="Cambria" w:hAnsi="Cambria"/>
          <w:color w:val="231F20"/>
          <w:spacing w:val="40"/>
          <w:sz w:val="17"/>
        </w:rPr>
        <w:t> </w:t>
      </w:r>
      <w:r>
        <w:rPr>
          <w:rFonts w:ascii="Cambria" w:hAnsi="Cambria"/>
          <w:color w:val="231F20"/>
          <w:sz w:val="17"/>
        </w:rPr>
        <w:t>idential or 39 years for commercial real estate.</w:t>
      </w:r>
    </w:p>
    <w:p>
      <w:pPr>
        <w:pStyle w:val="BodyText"/>
        <w:rPr>
          <w:sz w:val="20"/>
        </w:rPr>
      </w:pPr>
    </w:p>
    <w:p>
      <w:pPr>
        <w:pStyle w:val="BodyText"/>
        <w:spacing w:before="8"/>
        <w:rPr>
          <w:sz w:val="24"/>
        </w:rPr>
      </w:pPr>
    </w:p>
    <w:p>
      <w:pPr>
        <w:pStyle w:val="BodyText"/>
        <w:spacing w:line="292" w:lineRule="auto"/>
        <w:ind w:left="830" w:right="756"/>
        <w:jc w:val="both"/>
      </w:pPr>
      <w:r>
        <w:rPr>
          <w:color w:val="231F20"/>
        </w:rPr>
        <w:t>others, and fear of failure. You create fear within yourself, and </w:t>
      </w:r>
      <w:r>
        <w:rPr>
          <w:color w:val="231F20"/>
        </w:rPr>
        <w:t>only you can calm yourself to be effective. “If you knew that you could handle anything that came your way, what would you possibly have to</w:t>
      </w:r>
      <w:r>
        <w:rPr>
          <w:color w:val="231F20"/>
          <w:spacing w:val="25"/>
        </w:rPr>
        <w:t> </w:t>
      </w:r>
      <w:r>
        <w:rPr>
          <w:color w:val="231F20"/>
        </w:rPr>
        <w:t>fear?”</w:t>
      </w:r>
      <w:r>
        <w:rPr>
          <w:color w:val="231F20"/>
          <w:spacing w:val="26"/>
        </w:rPr>
        <w:t> </w:t>
      </w:r>
      <w:r>
        <w:rPr>
          <w:color w:val="231F20"/>
        </w:rPr>
        <w:t>Therefore</w:t>
      </w:r>
      <w:r>
        <w:rPr>
          <w:color w:val="231F20"/>
          <w:spacing w:val="25"/>
        </w:rPr>
        <w:t> </w:t>
      </w:r>
      <w:r>
        <w:rPr>
          <w:color w:val="231F20"/>
        </w:rPr>
        <w:t>“all</w:t>
      </w:r>
      <w:r>
        <w:rPr>
          <w:color w:val="231F20"/>
          <w:spacing w:val="26"/>
        </w:rPr>
        <w:t> </w:t>
      </w:r>
      <w:r>
        <w:rPr>
          <w:color w:val="231F20"/>
        </w:rPr>
        <w:t>you</w:t>
      </w:r>
      <w:r>
        <w:rPr>
          <w:color w:val="231F20"/>
          <w:spacing w:val="25"/>
        </w:rPr>
        <w:t> </w:t>
      </w:r>
      <w:r>
        <w:rPr>
          <w:color w:val="231F20"/>
        </w:rPr>
        <w:t>have</w:t>
      </w:r>
      <w:r>
        <w:rPr>
          <w:color w:val="231F20"/>
          <w:spacing w:val="26"/>
        </w:rPr>
        <w:t> </w:t>
      </w:r>
      <w:r>
        <w:rPr>
          <w:color w:val="231F20"/>
        </w:rPr>
        <w:t>to</w:t>
      </w:r>
      <w:r>
        <w:rPr>
          <w:color w:val="231F20"/>
          <w:spacing w:val="25"/>
        </w:rPr>
        <w:t> </w:t>
      </w:r>
      <w:r>
        <w:rPr>
          <w:color w:val="231F20"/>
        </w:rPr>
        <w:t>do</w:t>
      </w:r>
      <w:r>
        <w:rPr>
          <w:color w:val="231F20"/>
          <w:spacing w:val="26"/>
        </w:rPr>
        <w:t> </w:t>
      </w:r>
      <w:r>
        <w:rPr>
          <w:color w:val="231F20"/>
        </w:rPr>
        <w:t>to</w:t>
      </w:r>
      <w:r>
        <w:rPr>
          <w:color w:val="231F20"/>
          <w:spacing w:val="26"/>
        </w:rPr>
        <w:t> </w:t>
      </w:r>
      <w:r>
        <w:rPr>
          <w:color w:val="231F20"/>
        </w:rPr>
        <w:t>diminish</w:t>
      </w:r>
      <w:r>
        <w:rPr>
          <w:color w:val="231F20"/>
          <w:spacing w:val="25"/>
        </w:rPr>
        <w:t> </w:t>
      </w:r>
      <w:r>
        <w:rPr>
          <w:color w:val="231F20"/>
        </w:rPr>
        <w:t>your</w:t>
      </w:r>
      <w:r>
        <w:rPr>
          <w:color w:val="231F20"/>
          <w:spacing w:val="26"/>
        </w:rPr>
        <w:t> </w:t>
      </w:r>
      <w:r>
        <w:rPr>
          <w:color w:val="231F20"/>
        </w:rPr>
        <w:t>fear</w:t>
      </w:r>
      <w:r>
        <w:rPr>
          <w:color w:val="231F20"/>
          <w:spacing w:val="25"/>
        </w:rPr>
        <w:t> </w:t>
      </w:r>
      <w:r>
        <w:rPr>
          <w:color w:val="231F20"/>
        </w:rPr>
        <w:t>is</w:t>
      </w:r>
      <w:r>
        <w:rPr>
          <w:color w:val="231F20"/>
          <w:spacing w:val="26"/>
        </w:rPr>
        <w:t> </w:t>
      </w:r>
      <w:r>
        <w:rPr>
          <w:color w:val="231F20"/>
          <w:spacing w:val="-5"/>
        </w:rPr>
        <w:t>de-</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velop the trust in your ability to handle whatever comes your </w:t>
      </w:r>
      <w:r>
        <w:rPr>
          <w:color w:val="231F20"/>
        </w:rPr>
        <w:t>way.” This wisdom comes from Susan Jeffers, Ph.D., the author of </w:t>
      </w:r>
      <w:r>
        <w:rPr>
          <w:i/>
          <w:color w:val="231F20"/>
        </w:rPr>
        <w:t>Feel the</w:t>
      </w:r>
      <w:r>
        <w:rPr>
          <w:i/>
          <w:color w:val="231F20"/>
        </w:rPr>
        <w:t> Fear and Do It Anyway. </w:t>
      </w:r>
      <w:r>
        <w:rPr>
          <w:color w:val="231F20"/>
        </w:rPr>
        <w:t>“Whatever happens to me, given any situa- tion,</w:t>
      </w:r>
      <w:r>
        <w:rPr>
          <w:color w:val="231F20"/>
          <w:spacing w:val="40"/>
        </w:rPr>
        <w:t> </w:t>
      </w:r>
      <w:r>
        <w:rPr>
          <w:color w:val="231F20"/>
        </w:rPr>
        <w:t>I</w:t>
      </w:r>
      <w:r>
        <w:rPr>
          <w:color w:val="231F20"/>
          <w:spacing w:val="40"/>
        </w:rPr>
        <w:t> </w:t>
      </w:r>
      <w:r>
        <w:rPr>
          <w:color w:val="231F20"/>
        </w:rPr>
        <w:t>can</w:t>
      </w:r>
      <w:r>
        <w:rPr>
          <w:color w:val="231F20"/>
          <w:spacing w:val="40"/>
        </w:rPr>
        <w:t> </w:t>
      </w:r>
      <w:r>
        <w:rPr>
          <w:color w:val="231F20"/>
        </w:rPr>
        <w:t>handle</w:t>
      </w:r>
      <w:r>
        <w:rPr>
          <w:color w:val="231F20"/>
          <w:spacing w:val="40"/>
        </w:rPr>
        <w:t> </w:t>
      </w:r>
      <w:r>
        <w:rPr>
          <w:color w:val="231F20"/>
        </w:rPr>
        <w:t>it.”</w:t>
      </w:r>
      <w:r>
        <w:rPr>
          <w:color w:val="231F20"/>
          <w:spacing w:val="40"/>
        </w:rPr>
        <w:t> </w:t>
      </w:r>
      <w:r>
        <w:rPr>
          <w:color w:val="231F20"/>
        </w:rPr>
        <w:t>But</w:t>
      </w:r>
      <w:r>
        <w:rPr>
          <w:color w:val="231F20"/>
          <w:spacing w:val="40"/>
        </w:rPr>
        <w:t> </w:t>
      </w:r>
      <w:r>
        <w:rPr>
          <w:color w:val="231F20"/>
        </w:rPr>
        <w:t>what</w:t>
      </w:r>
      <w:r>
        <w:rPr>
          <w:color w:val="231F20"/>
          <w:spacing w:val="40"/>
        </w:rPr>
        <w:t> </w:t>
      </w:r>
      <w:r>
        <w:rPr>
          <w:color w:val="231F20"/>
        </w:rPr>
        <w:t>about</w:t>
      </w:r>
      <w:r>
        <w:rPr>
          <w:color w:val="231F20"/>
          <w:spacing w:val="40"/>
        </w:rPr>
        <w:t> </w:t>
      </w:r>
      <w:r>
        <w:rPr>
          <w:color w:val="231F20"/>
        </w:rPr>
        <w:t>really</w:t>
      </w:r>
      <w:r>
        <w:rPr>
          <w:color w:val="231F20"/>
          <w:spacing w:val="40"/>
        </w:rPr>
        <w:t> </w:t>
      </w:r>
      <w:r>
        <w:rPr>
          <w:color w:val="231F20"/>
        </w:rPr>
        <w:t>horrible</w:t>
      </w:r>
      <w:r>
        <w:rPr>
          <w:color w:val="231F20"/>
          <w:spacing w:val="40"/>
        </w:rPr>
        <w:t> </w:t>
      </w:r>
      <w:r>
        <w:rPr>
          <w:color w:val="231F20"/>
        </w:rPr>
        <w:t>things?</w:t>
      </w:r>
      <w:r>
        <w:rPr>
          <w:color w:val="231F20"/>
          <w:spacing w:val="40"/>
        </w:rPr>
        <w:t> </w:t>
      </w:r>
      <w:r>
        <w:rPr>
          <w:color w:val="231F20"/>
        </w:rPr>
        <w:t>You may experience uncontrollable events, but if you do your best, then you cannot ask for any more of yourself.</w:t>
      </w:r>
    </w:p>
    <w:p>
      <w:pPr>
        <w:pStyle w:val="BodyText"/>
        <w:spacing w:line="292" w:lineRule="auto"/>
        <w:ind w:left="920" w:right="667" w:firstLine="340"/>
        <w:jc w:val="both"/>
      </w:pPr>
      <w:r>
        <w:rPr>
          <w:color w:val="231F20"/>
        </w:rPr>
        <w:t>Many things create the fear within you. Lucinda Basset’s </w:t>
      </w:r>
      <w:r>
        <w:rPr>
          <w:i/>
          <w:color w:val="231F20"/>
        </w:rPr>
        <w:t>From</w:t>
      </w:r>
      <w:r>
        <w:rPr>
          <w:i/>
          <w:color w:val="231F20"/>
        </w:rPr>
        <w:t> Panic to Power </w:t>
      </w:r>
      <w:r>
        <w:rPr>
          <w:color w:val="231F20"/>
        </w:rPr>
        <w:t>pinpoints your family and upbringing as the primary </w:t>
      </w:r>
      <w:r>
        <w:rPr>
          <w:color w:val="231F20"/>
          <w:spacing w:val="-2"/>
        </w:rPr>
        <w:t>causes.</w:t>
      </w:r>
    </w:p>
    <w:p>
      <w:pPr>
        <w:pStyle w:val="BodyText"/>
        <w:spacing w:before="1"/>
        <w:rPr>
          <w:sz w:val="27"/>
        </w:rPr>
      </w:pPr>
    </w:p>
    <w:p>
      <w:pPr>
        <w:pStyle w:val="ListParagraph"/>
        <w:numPr>
          <w:ilvl w:val="1"/>
          <w:numId w:val="56"/>
        </w:numPr>
        <w:tabs>
          <w:tab w:pos="1445" w:val="left" w:leader="none"/>
        </w:tabs>
        <w:spacing w:line="328" w:lineRule="auto" w:before="0" w:after="0"/>
        <w:ind w:left="1445" w:right="667" w:hanging="185"/>
        <w:jc w:val="left"/>
        <w:rPr>
          <w:sz w:val="19"/>
        </w:rPr>
      </w:pPr>
      <w:r>
        <w:rPr>
          <w:color w:val="231F20"/>
          <w:w w:val="115"/>
          <w:sz w:val="19"/>
        </w:rPr>
        <w:t>Your may have had a strict upbringing that controlled you through fear and guilt.</w:t>
      </w:r>
    </w:p>
    <w:p>
      <w:pPr>
        <w:pStyle w:val="ListParagraph"/>
        <w:numPr>
          <w:ilvl w:val="1"/>
          <w:numId w:val="56"/>
        </w:numPr>
        <w:tabs>
          <w:tab w:pos="1445" w:val="left" w:leader="none"/>
        </w:tabs>
        <w:spacing w:line="328" w:lineRule="auto" w:before="1" w:after="0"/>
        <w:ind w:left="1445" w:right="666" w:hanging="186"/>
        <w:jc w:val="left"/>
        <w:rPr>
          <w:sz w:val="19"/>
        </w:rPr>
      </w:pPr>
      <w:r>
        <w:rPr>
          <w:color w:val="231F20"/>
          <w:w w:val="115"/>
          <w:sz w:val="19"/>
        </w:rPr>
        <w:t>Your</w:t>
      </w:r>
      <w:r>
        <w:rPr>
          <w:color w:val="231F20"/>
          <w:spacing w:val="-16"/>
          <w:w w:val="115"/>
          <w:sz w:val="19"/>
        </w:rPr>
        <w:t> </w:t>
      </w:r>
      <w:r>
        <w:rPr>
          <w:color w:val="231F20"/>
          <w:w w:val="115"/>
          <w:sz w:val="19"/>
        </w:rPr>
        <w:t>family</w:t>
      </w:r>
      <w:r>
        <w:rPr>
          <w:color w:val="231F20"/>
          <w:spacing w:val="-15"/>
          <w:w w:val="115"/>
          <w:sz w:val="19"/>
        </w:rPr>
        <w:t> </w:t>
      </w:r>
      <w:r>
        <w:rPr>
          <w:color w:val="231F20"/>
          <w:w w:val="115"/>
          <w:sz w:val="19"/>
        </w:rPr>
        <w:t>did</w:t>
      </w:r>
      <w:r>
        <w:rPr>
          <w:color w:val="231F20"/>
          <w:spacing w:val="-15"/>
          <w:w w:val="115"/>
          <w:sz w:val="19"/>
        </w:rPr>
        <w:t> </w:t>
      </w:r>
      <w:r>
        <w:rPr>
          <w:color w:val="231F20"/>
          <w:w w:val="115"/>
          <w:sz w:val="19"/>
        </w:rPr>
        <w:t>not</w:t>
      </w:r>
      <w:r>
        <w:rPr>
          <w:color w:val="231F20"/>
          <w:spacing w:val="-15"/>
          <w:w w:val="115"/>
          <w:sz w:val="19"/>
        </w:rPr>
        <w:t> </w:t>
      </w:r>
      <w:r>
        <w:rPr>
          <w:color w:val="231F20"/>
          <w:w w:val="115"/>
          <w:sz w:val="19"/>
        </w:rPr>
        <w:t>easily</w:t>
      </w:r>
      <w:r>
        <w:rPr>
          <w:color w:val="231F20"/>
          <w:spacing w:val="-15"/>
          <w:w w:val="115"/>
          <w:sz w:val="19"/>
        </w:rPr>
        <w:t> </w:t>
      </w:r>
      <w:r>
        <w:rPr>
          <w:color w:val="231F20"/>
          <w:w w:val="115"/>
          <w:sz w:val="19"/>
        </w:rPr>
        <w:t>express</w:t>
      </w:r>
      <w:r>
        <w:rPr>
          <w:color w:val="231F20"/>
          <w:spacing w:val="-16"/>
          <w:w w:val="115"/>
          <w:sz w:val="19"/>
        </w:rPr>
        <w:t> </w:t>
      </w:r>
      <w:r>
        <w:rPr>
          <w:color w:val="231F20"/>
          <w:w w:val="115"/>
          <w:sz w:val="19"/>
        </w:rPr>
        <w:t>emotions</w:t>
      </w:r>
      <w:r>
        <w:rPr>
          <w:color w:val="231F20"/>
          <w:spacing w:val="-15"/>
          <w:w w:val="115"/>
          <w:sz w:val="19"/>
        </w:rPr>
        <w:t> </w:t>
      </w:r>
      <w:r>
        <w:rPr>
          <w:color w:val="231F20"/>
          <w:w w:val="115"/>
          <w:sz w:val="19"/>
        </w:rPr>
        <w:t>and</w:t>
      </w:r>
      <w:r>
        <w:rPr>
          <w:color w:val="231F20"/>
          <w:spacing w:val="-15"/>
          <w:w w:val="115"/>
          <w:sz w:val="19"/>
        </w:rPr>
        <w:t> </w:t>
      </w:r>
      <w:r>
        <w:rPr>
          <w:color w:val="231F20"/>
          <w:w w:val="115"/>
          <w:sz w:val="19"/>
        </w:rPr>
        <w:t>did</w:t>
      </w:r>
      <w:r>
        <w:rPr>
          <w:color w:val="231F20"/>
          <w:spacing w:val="-15"/>
          <w:w w:val="115"/>
          <w:sz w:val="19"/>
        </w:rPr>
        <w:t> </w:t>
      </w:r>
      <w:r>
        <w:rPr>
          <w:color w:val="231F20"/>
          <w:w w:val="115"/>
          <w:sz w:val="19"/>
        </w:rPr>
        <w:t>not</w:t>
      </w:r>
      <w:r>
        <w:rPr>
          <w:color w:val="231F20"/>
          <w:spacing w:val="-15"/>
          <w:w w:val="115"/>
          <w:sz w:val="19"/>
        </w:rPr>
        <w:t> </w:t>
      </w:r>
      <w:r>
        <w:rPr>
          <w:color w:val="231F20"/>
          <w:w w:val="115"/>
          <w:sz w:val="19"/>
        </w:rPr>
        <w:t>eas-</w:t>
      </w:r>
      <w:r>
        <w:rPr>
          <w:color w:val="231F20"/>
          <w:w w:val="115"/>
          <w:sz w:val="19"/>
        </w:rPr>
        <w:t> ily give you praise or approval.</w:t>
      </w:r>
    </w:p>
    <w:p>
      <w:pPr>
        <w:pStyle w:val="ListParagraph"/>
        <w:numPr>
          <w:ilvl w:val="1"/>
          <w:numId w:val="56"/>
        </w:numPr>
        <w:tabs>
          <w:tab w:pos="1445" w:val="left" w:leader="none"/>
        </w:tabs>
        <w:spacing w:line="328" w:lineRule="auto" w:before="2" w:after="0"/>
        <w:ind w:left="1445" w:right="667" w:hanging="186"/>
        <w:jc w:val="left"/>
        <w:rPr>
          <w:sz w:val="19"/>
        </w:rPr>
      </w:pPr>
      <w:r>
        <w:rPr>
          <w:color w:val="231F20"/>
          <w:w w:val="115"/>
          <w:sz w:val="19"/>
        </w:rPr>
        <w:t>Your parents may have had high expectations for you that you could not possibly meet.</w:t>
      </w:r>
    </w:p>
    <w:p>
      <w:pPr>
        <w:pStyle w:val="ListParagraph"/>
        <w:numPr>
          <w:ilvl w:val="1"/>
          <w:numId w:val="56"/>
        </w:numPr>
        <w:tabs>
          <w:tab w:pos="1445" w:val="left" w:leader="none"/>
        </w:tabs>
        <w:spacing w:line="328" w:lineRule="auto" w:before="1" w:after="0"/>
        <w:ind w:left="1445" w:right="666" w:hanging="185"/>
        <w:jc w:val="left"/>
        <w:rPr>
          <w:sz w:val="19"/>
        </w:rPr>
      </w:pPr>
      <w:r>
        <w:rPr>
          <w:color w:val="231F20"/>
          <w:w w:val="115"/>
          <w:sz w:val="19"/>
        </w:rPr>
        <w:t>You</w:t>
      </w:r>
      <w:r>
        <w:rPr>
          <w:color w:val="231F20"/>
          <w:spacing w:val="-6"/>
          <w:w w:val="115"/>
          <w:sz w:val="19"/>
        </w:rPr>
        <w:t> </w:t>
      </w:r>
      <w:r>
        <w:rPr>
          <w:color w:val="231F20"/>
          <w:w w:val="115"/>
          <w:sz w:val="19"/>
        </w:rPr>
        <w:t>may</w:t>
      </w:r>
      <w:r>
        <w:rPr>
          <w:color w:val="231F20"/>
          <w:spacing w:val="-6"/>
          <w:w w:val="115"/>
          <w:sz w:val="19"/>
        </w:rPr>
        <w:t> </w:t>
      </w:r>
      <w:r>
        <w:rPr>
          <w:color w:val="231F20"/>
          <w:w w:val="115"/>
          <w:sz w:val="19"/>
        </w:rPr>
        <w:t>have</w:t>
      </w:r>
      <w:r>
        <w:rPr>
          <w:color w:val="231F20"/>
          <w:spacing w:val="-6"/>
          <w:w w:val="115"/>
          <w:sz w:val="19"/>
        </w:rPr>
        <w:t> </w:t>
      </w:r>
      <w:r>
        <w:rPr>
          <w:color w:val="231F20"/>
          <w:w w:val="115"/>
          <w:sz w:val="19"/>
        </w:rPr>
        <w:t>overreacting</w:t>
      </w:r>
      <w:r>
        <w:rPr>
          <w:color w:val="231F20"/>
          <w:spacing w:val="-6"/>
          <w:w w:val="115"/>
          <w:sz w:val="19"/>
        </w:rPr>
        <w:t> </w:t>
      </w:r>
      <w:r>
        <w:rPr>
          <w:color w:val="231F20"/>
          <w:w w:val="115"/>
          <w:sz w:val="19"/>
        </w:rPr>
        <w:t>family</w:t>
      </w:r>
      <w:r>
        <w:rPr>
          <w:color w:val="231F20"/>
          <w:spacing w:val="-6"/>
          <w:w w:val="115"/>
          <w:sz w:val="19"/>
        </w:rPr>
        <w:t> </w:t>
      </w:r>
      <w:r>
        <w:rPr>
          <w:color w:val="231F20"/>
          <w:w w:val="115"/>
          <w:sz w:val="19"/>
        </w:rPr>
        <w:t>members</w:t>
      </w:r>
      <w:r>
        <w:rPr>
          <w:color w:val="231F20"/>
          <w:spacing w:val="-6"/>
          <w:w w:val="115"/>
          <w:sz w:val="19"/>
        </w:rPr>
        <w:t> </w:t>
      </w:r>
      <w:r>
        <w:rPr>
          <w:color w:val="231F20"/>
          <w:w w:val="115"/>
          <w:sz w:val="19"/>
        </w:rPr>
        <w:t>who</w:t>
      </w:r>
      <w:r>
        <w:rPr>
          <w:color w:val="231F20"/>
          <w:spacing w:val="-6"/>
          <w:w w:val="115"/>
          <w:sz w:val="19"/>
        </w:rPr>
        <w:t> </w:t>
      </w:r>
      <w:r>
        <w:rPr>
          <w:color w:val="231F20"/>
          <w:w w:val="115"/>
          <w:sz w:val="19"/>
        </w:rPr>
        <w:t>created</w:t>
      </w:r>
      <w:r>
        <w:rPr>
          <w:color w:val="231F20"/>
          <w:spacing w:val="-6"/>
          <w:w w:val="115"/>
          <w:sz w:val="19"/>
        </w:rPr>
        <w:t> </w:t>
      </w:r>
      <w:r>
        <w:rPr>
          <w:color w:val="231F20"/>
          <w:w w:val="115"/>
          <w:sz w:val="19"/>
        </w:rPr>
        <w:t>a</w:t>
      </w:r>
      <w:r>
        <w:rPr>
          <w:color w:val="231F20"/>
          <w:w w:val="115"/>
          <w:sz w:val="19"/>
        </w:rPr>
        <w:t> negative</w:t>
      </w:r>
      <w:r>
        <w:rPr>
          <w:color w:val="231F20"/>
          <w:spacing w:val="-8"/>
          <w:w w:val="115"/>
          <w:sz w:val="19"/>
        </w:rPr>
        <w:t> </w:t>
      </w:r>
      <w:r>
        <w:rPr>
          <w:color w:val="231F20"/>
          <w:w w:val="115"/>
          <w:sz w:val="19"/>
        </w:rPr>
        <w:t>environment</w:t>
      </w:r>
      <w:r>
        <w:rPr>
          <w:color w:val="231F20"/>
          <w:spacing w:val="-8"/>
          <w:w w:val="115"/>
          <w:sz w:val="19"/>
        </w:rPr>
        <w:t> </w:t>
      </w:r>
      <w:r>
        <w:rPr>
          <w:color w:val="231F20"/>
          <w:w w:val="115"/>
          <w:sz w:val="19"/>
        </w:rPr>
        <w:t>of</w:t>
      </w:r>
      <w:r>
        <w:rPr>
          <w:color w:val="231F20"/>
          <w:spacing w:val="-8"/>
          <w:w w:val="115"/>
          <w:sz w:val="19"/>
        </w:rPr>
        <w:t> </w:t>
      </w:r>
      <w:r>
        <w:rPr>
          <w:color w:val="231F20"/>
          <w:w w:val="115"/>
          <w:sz w:val="19"/>
        </w:rPr>
        <w:t>nervousness</w:t>
      </w:r>
      <w:r>
        <w:rPr>
          <w:color w:val="231F20"/>
          <w:spacing w:val="-8"/>
          <w:w w:val="115"/>
          <w:sz w:val="19"/>
        </w:rPr>
        <w:t> </w:t>
      </w:r>
      <w:r>
        <w:rPr>
          <w:color w:val="231F20"/>
          <w:w w:val="115"/>
          <w:sz w:val="19"/>
        </w:rPr>
        <w:t>in</w:t>
      </w:r>
      <w:r>
        <w:rPr>
          <w:color w:val="231F20"/>
          <w:spacing w:val="-8"/>
          <w:w w:val="115"/>
          <w:sz w:val="19"/>
        </w:rPr>
        <w:t> </w:t>
      </w:r>
      <w:r>
        <w:rPr>
          <w:color w:val="231F20"/>
          <w:w w:val="115"/>
          <w:sz w:val="19"/>
        </w:rPr>
        <w:t>your</w:t>
      </w:r>
      <w:r>
        <w:rPr>
          <w:color w:val="231F20"/>
          <w:spacing w:val="-8"/>
          <w:w w:val="115"/>
          <w:sz w:val="19"/>
        </w:rPr>
        <w:t> </w:t>
      </w:r>
      <w:r>
        <w:rPr>
          <w:color w:val="231F20"/>
          <w:w w:val="115"/>
          <w:sz w:val="19"/>
        </w:rPr>
        <w:t>house.</w:t>
      </w:r>
    </w:p>
    <w:p>
      <w:pPr>
        <w:pStyle w:val="ListParagraph"/>
        <w:numPr>
          <w:ilvl w:val="1"/>
          <w:numId w:val="56"/>
        </w:numPr>
        <w:tabs>
          <w:tab w:pos="1445" w:val="left" w:leader="none"/>
        </w:tabs>
        <w:spacing w:line="328" w:lineRule="auto" w:before="1" w:after="0"/>
        <w:ind w:left="1445" w:right="668" w:hanging="186"/>
        <w:jc w:val="left"/>
        <w:rPr>
          <w:sz w:val="19"/>
        </w:rPr>
      </w:pPr>
      <w:r>
        <w:rPr>
          <w:color w:val="231F20"/>
          <w:w w:val="115"/>
          <w:sz w:val="19"/>
        </w:rPr>
        <w:t>You may have lost a family member or had one incapaci- tated by disease or addiction.</w:t>
      </w:r>
    </w:p>
    <w:p>
      <w:pPr>
        <w:pStyle w:val="BodyText"/>
        <w:spacing w:before="4"/>
        <w:rPr>
          <w:rFonts w:ascii="Arial"/>
          <w:sz w:val="24"/>
        </w:rPr>
      </w:pPr>
    </w:p>
    <w:p>
      <w:pPr>
        <w:pStyle w:val="BodyText"/>
        <w:spacing w:line="292" w:lineRule="auto" w:before="1"/>
        <w:ind w:left="920" w:right="666" w:firstLine="340"/>
        <w:jc w:val="both"/>
      </w:pPr>
      <w:r>
        <w:rPr>
          <w:color w:val="231F20"/>
        </w:rPr>
        <w:t>It sounds horrible, yes, but most families, mine included, have </w:t>
      </w:r>
      <w:r>
        <w:rPr>
          <w:color w:val="231F20"/>
        </w:rPr>
        <w:t>el- ements from the list that have formed our personalities, habits, and dispositions. They lead people to be perfectionist, guilty, obsessive, nervous, sensitive, overreacting, overly concerned about the opin- ions of others, and apparently in control all the time. Many of these same traits have driven you to be successful as a student and as a businessperson,</w:t>
      </w:r>
      <w:r>
        <w:rPr>
          <w:color w:val="231F20"/>
          <w:spacing w:val="40"/>
        </w:rPr>
        <w:t> </w:t>
      </w:r>
      <w:r>
        <w:rPr>
          <w:color w:val="231F20"/>
        </w:rPr>
        <w:t>but</w:t>
      </w:r>
      <w:r>
        <w:rPr>
          <w:color w:val="231F20"/>
          <w:spacing w:val="40"/>
        </w:rPr>
        <w:t> </w:t>
      </w:r>
      <w:r>
        <w:rPr>
          <w:color w:val="231F20"/>
        </w:rPr>
        <w:t>at</w:t>
      </w:r>
      <w:r>
        <w:rPr>
          <w:color w:val="231F20"/>
          <w:spacing w:val="40"/>
        </w:rPr>
        <w:t> </w:t>
      </w:r>
      <w:r>
        <w:rPr>
          <w:color w:val="231F20"/>
        </w:rPr>
        <w:t>a</w:t>
      </w:r>
      <w:r>
        <w:rPr>
          <w:color w:val="231F20"/>
          <w:spacing w:val="40"/>
        </w:rPr>
        <w:t> </w:t>
      </w:r>
      <w:r>
        <w:rPr>
          <w:color w:val="231F20"/>
        </w:rPr>
        <w:t>point,</w:t>
      </w:r>
      <w:r>
        <w:rPr>
          <w:color w:val="231F20"/>
          <w:spacing w:val="40"/>
        </w:rPr>
        <w:t> </w:t>
      </w:r>
      <w:r>
        <w:rPr>
          <w:color w:val="231F20"/>
        </w:rPr>
        <w:t>they</w:t>
      </w:r>
      <w:r>
        <w:rPr>
          <w:color w:val="231F20"/>
          <w:spacing w:val="40"/>
        </w:rPr>
        <w:t> </w:t>
      </w:r>
      <w:r>
        <w:rPr>
          <w:color w:val="231F20"/>
        </w:rPr>
        <w:t>hold</w:t>
      </w:r>
      <w:r>
        <w:rPr>
          <w:color w:val="231F20"/>
          <w:spacing w:val="40"/>
        </w:rPr>
        <w:t> </w:t>
      </w:r>
      <w:r>
        <w:rPr>
          <w:color w:val="231F20"/>
        </w:rPr>
        <w:t>you</w:t>
      </w:r>
      <w:r>
        <w:rPr>
          <w:color w:val="231F20"/>
          <w:spacing w:val="40"/>
        </w:rPr>
        <w:t> </w:t>
      </w:r>
      <w:r>
        <w:rPr>
          <w:color w:val="231F20"/>
        </w:rPr>
        <w:t>back</w:t>
      </w:r>
      <w:r>
        <w:rPr>
          <w:color w:val="231F20"/>
          <w:spacing w:val="40"/>
        </w:rPr>
        <w:t> </w:t>
      </w:r>
      <w:r>
        <w:rPr>
          <w:color w:val="231F20"/>
        </w:rPr>
        <w:t>from</w:t>
      </w:r>
      <w:r>
        <w:rPr>
          <w:color w:val="231F20"/>
          <w:spacing w:val="40"/>
        </w:rPr>
        <w:t> </w:t>
      </w:r>
      <w:r>
        <w:rPr>
          <w:color w:val="231F20"/>
        </w:rPr>
        <w:t>being</w:t>
      </w:r>
      <w:r>
        <w:rPr>
          <w:color w:val="231F20"/>
          <w:spacing w:val="40"/>
        </w:rPr>
        <w:t> </w:t>
      </w:r>
      <w:r>
        <w:rPr>
          <w:color w:val="231F20"/>
        </w:rPr>
        <w:t>a great leader.</w:t>
      </w:r>
    </w:p>
    <w:p>
      <w:pPr>
        <w:pStyle w:val="BodyText"/>
        <w:spacing w:line="292" w:lineRule="auto"/>
        <w:ind w:left="920" w:right="666" w:firstLine="340"/>
        <w:jc w:val="both"/>
      </w:pPr>
      <w:r>
        <w:rPr>
          <w:color w:val="231F20"/>
        </w:rPr>
        <w:t>The first step of improvement is to recognize that you have these fears and can conquer them. When you have this feeling of a loss of control, which is the basic core fear, you accept it. The anxiety is cre- ated by an external source in most professional situations. That </w:t>
      </w:r>
      <w:r>
        <w:rPr>
          <w:color w:val="231F20"/>
        </w:rPr>
        <w:t>cre- ates an internal anxiety, such as nervousness or a sweaty brow. It is your choice how you react. Don’t fight the anxiety, understand it.</w:t>
      </w:r>
    </w:p>
    <w:p>
      <w:pPr>
        <w:pStyle w:val="BodyText"/>
        <w:spacing w:line="244" w:lineRule="exact"/>
        <w:ind w:left="1260"/>
        <w:jc w:val="both"/>
      </w:pPr>
      <w:r>
        <w:rPr>
          <w:color w:val="231F20"/>
        </w:rPr>
        <w:t>When</w:t>
      </w:r>
      <w:r>
        <w:rPr>
          <w:color w:val="231F20"/>
          <w:spacing w:val="24"/>
        </w:rPr>
        <w:t> </w:t>
      </w:r>
      <w:r>
        <w:rPr>
          <w:color w:val="231F20"/>
        </w:rPr>
        <w:t>you</w:t>
      </w:r>
      <w:r>
        <w:rPr>
          <w:color w:val="231F20"/>
          <w:spacing w:val="25"/>
        </w:rPr>
        <w:t> </w:t>
      </w:r>
      <w:r>
        <w:rPr>
          <w:color w:val="231F20"/>
        </w:rPr>
        <w:t>deal</w:t>
      </w:r>
      <w:r>
        <w:rPr>
          <w:color w:val="231F20"/>
          <w:spacing w:val="25"/>
        </w:rPr>
        <w:t> </w:t>
      </w:r>
      <w:r>
        <w:rPr>
          <w:color w:val="231F20"/>
        </w:rPr>
        <w:t>with</w:t>
      </w:r>
      <w:r>
        <w:rPr>
          <w:color w:val="231F20"/>
          <w:spacing w:val="25"/>
        </w:rPr>
        <w:t> </w:t>
      </w:r>
      <w:r>
        <w:rPr>
          <w:color w:val="231F20"/>
        </w:rPr>
        <w:t>external</w:t>
      </w:r>
      <w:r>
        <w:rPr>
          <w:color w:val="231F20"/>
          <w:spacing w:val="24"/>
        </w:rPr>
        <w:t> </w:t>
      </w:r>
      <w:r>
        <w:rPr>
          <w:color w:val="231F20"/>
        </w:rPr>
        <w:t>events,</w:t>
      </w:r>
      <w:r>
        <w:rPr>
          <w:color w:val="231F20"/>
          <w:spacing w:val="25"/>
        </w:rPr>
        <w:t> </w:t>
      </w:r>
      <w:r>
        <w:rPr>
          <w:color w:val="231F20"/>
        </w:rPr>
        <w:t>your</w:t>
      </w:r>
      <w:r>
        <w:rPr>
          <w:color w:val="231F20"/>
          <w:spacing w:val="25"/>
        </w:rPr>
        <w:t> </w:t>
      </w:r>
      <w:r>
        <w:rPr>
          <w:color w:val="231F20"/>
        </w:rPr>
        <w:t>mind</w:t>
      </w:r>
      <w:r>
        <w:rPr>
          <w:color w:val="231F20"/>
          <w:spacing w:val="25"/>
        </w:rPr>
        <w:t> </w:t>
      </w:r>
      <w:r>
        <w:rPr>
          <w:color w:val="231F20"/>
        </w:rPr>
        <w:t>tends</w:t>
      </w:r>
      <w:r>
        <w:rPr>
          <w:color w:val="231F20"/>
          <w:spacing w:val="24"/>
        </w:rPr>
        <w:t> </w:t>
      </w:r>
      <w:r>
        <w:rPr>
          <w:color w:val="231F20"/>
        </w:rPr>
        <w:t>to</w:t>
      </w:r>
      <w:r>
        <w:rPr>
          <w:color w:val="231F20"/>
          <w:spacing w:val="25"/>
        </w:rPr>
        <w:t> </w:t>
      </w:r>
      <w:r>
        <w:rPr>
          <w:color w:val="231F20"/>
          <w:spacing w:val="-2"/>
        </w:rPr>
        <w:t>create</w:t>
      </w:r>
    </w:p>
    <w:p>
      <w:pPr>
        <w:spacing w:after="0" w:line="244" w:lineRule="exact"/>
        <w:jc w:val="both"/>
        <w:sectPr>
          <w:pgSz w:w="8640" w:h="12960"/>
          <w:pgMar w:header="734" w:footer="0" w:top="920" w:bottom="280" w:left="340" w:right="500"/>
        </w:sectPr>
      </w:pPr>
    </w:p>
    <w:p>
      <w:pPr>
        <w:pStyle w:val="BodyText"/>
        <w:spacing w:before="10"/>
        <w:rPr>
          <w:sz w:val="17"/>
        </w:rPr>
      </w:pPr>
    </w:p>
    <w:p>
      <w:pPr>
        <w:pStyle w:val="BodyText"/>
        <w:spacing w:line="292" w:lineRule="auto" w:before="102"/>
        <w:ind w:left="829" w:right="753"/>
        <w:jc w:val="both"/>
      </w:pPr>
      <w:r>
        <w:rPr>
          <w:color w:val="231F20"/>
        </w:rPr>
        <w:t>cognitive distortions of the real situation causing you needless anxi- </w:t>
      </w:r>
      <w:r>
        <w:rPr>
          <w:color w:val="231F20"/>
          <w:w w:val="105"/>
        </w:rPr>
        <w:t>ety.</w:t>
      </w:r>
      <w:r>
        <w:rPr>
          <w:color w:val="231F20"/>
          <w:w w:val="105"/>
        </w:rPr>
        <w:t> As</w:t>
      </w:r>
      <w:r>
        <w:rPr>
          <w:color w:val="231F20"/>
          <w:w w:val="105"/>
        </w:rPr>
        <w:t> explained</w:t>
      </w:r>
      <w:r>
        <w:rPr>
          <w:color w:val="231F20"/>
          <w:w w:val="105"/>
        </w:rPr>
        <w:t> by</w:t>
      </w:r>
      <w:r>
        <w:rPr>
          <w:color w:val="231F20"/>
          <w:w w:val="105"/>
        </w:rPr>
        <w:t> David</w:t>
      </w:r>
      <w:r>
        <w:rPr>
          <w:color w:val="231F20"/>
          <w:w w:val="105"/>
        </w:rPr>
        <w:t> Burns,</w:t>
      </w:r>
      <w:r>
        <w:rPr>
          <w:color w:val="231F20"/>
          <w:w w:val="105"/>
        </w:rPr>
        <w:t> M.D.,</w:t>
      </w:r>
      <w:r>
        <w:rPr>
          <w:color w:val="231F20"/>
          <w:w w:val="105"/>
        </w:rPr>
        <w:t> in</w:t>
      </w:r>
      <w:r>
        <w:rPr>
          <w:color w:val="231F20"/>
          <w:w w:val="105"/>
        </w:rPr>
        <w:t> </w:t>
      </w:r>
      <w:r>
        <w:rPr>
          <w:i/>
          <w:color w:val="231F20"/>
          <w:w w:val="105"/>
        </w:rPr>
        <w:t>Feeling</w:t>
      </w:r>
      <w:r>
        <w:rPr>
          <w:i/>
          <w:color w:val="231F20"/>
          <w:w w:val="105"/>
        </w:rPr>
        <w:t> Good,</w:t>
      </w:r>
      <w:r>
        <w:rPr>
          <w:i/>
          <w:color w:val="231F20"/>
          <w:w w:val="105"/>
        </w:rPr>
        <w:t> </w:t>
      </w:r>
      <w:r>
        <w:rPr>
          <w:color w:val="231F20"/>
          <w:w w:val="105"/>
        </w:rPr>
        <w:t>the</w:t>
      </w:r>
      <w:r>
        <w:rPr>
          <w:color w:val="231F20"/>
          <w:w w:val="105"/>
        </w:rPr>
        <w:t> ten categories</w:t>
      </w:r>
      <w:r>
        <w:rPr>
          <w:color w:val="231F20"/>
          <w:w w:val="105"/>
        </w:rPr>
        <w:t> of</w:t>
      </w:r>
      <w:r>
        <w:rPr>
          <w:color w:val="231F20"/>
          <w:w w:val="105"/>
        </w:rPr>
        <w:t> these</w:t>
      </w:r>
      <w:r>
        <w:rPr>
          <w:color w:val="231F20"/>
          <w:w w:val="105"/>
        </w:rPr>
        <w:t> poisonous</w:t>
      </w:r>
      <w:r>
        <w:rPr>
          <w:color w:val="231F20"/>
          <w:w w:val="105"/>
        </w:rPr>
        <w:t> cognitive</w:t>
      </w:r>
      <w:r>
        <w:rPr>
          <w:color w:val="231F20"/>
          <w:w w:val="105"/>
        </w:rPr>
        <w:t> distortions</w:t>
      </w:r>
      <w:r>
        <w:rPr>
          <w:color w:val="231F20"/>
          <w:w w:val="105"/>
        </w:rPr>
        <w:t> to</w:t>
      </w:r>
      <w:r>
        <w:rPr>
          <w:color w:val="231F20"/>
          <w:w w:val="105"/>
        </w:rPr>
        <w:t> watch</w:t>
      </w:r>
      <w:r>
        <w:rPr>
          <w:color w:val="231F20"/>
          <w:w w:val="105"/>
        </w:rPr>
        <w:t> out for are:</w:t>
      </w:r>
    </w:p>
    <w:p>
      <w:pPr>
        <w:pStyle w:val="BodyText"/>
        <w:spacing w:before="3"/>
        <w:rPr>
          <w:sz w:val="27"/>
        </w:rPr>
      </w:pPr>
    </w:p>
    <w:p>
      <w:pPr>
        <w:pStyle w:val="ListParagraph"/>
        <w:numPr>
          <w:ilvl w:val="0"/>
          <w:numId w:val="57"/>
        </w:numPr>
        <w:tabs>
          <w:tab w:pos="1520" w:val="left" w:leader="none"/>
        </w:tabs>
        <w:spacing w:line="240" w:lineRule="auto" w:before="0" w:after="0"/>
        <w:ind w:left="1520" w:right="0" w:hanging="170"/>
        <w:jc w:val="both"/>
        <w:rPr>
          <w:sz w:val="19"/>
        </w:rPr>
      </w:pPr>
      <w:r>
        <w:rPr>
          <w:i/>
          <w:color w:val="231F20"/>
          <w:w w:val="115"/>
          <w:sz w:val="19"/>
        </w:rPr>
        <w:t>All-or-nothing</w:t>
      </w:r>
      <w:r>
        <w:rPr>
          <w:i/>
          <w:color w:val="231F20"/>
          <w:spacing w:val="-8"/>
          <w:w w:val="115"/>
          <w:sz w:val="19"/>
        </w:rPr>
        <w:t> </w:t>
      </w:r>
      <w:r>
        <w:rPr>
          <w:i/>
          <w:color w:val="231F20"/>
          <w:w w:val="115"/>
          <w:sz w:val="19"/>
        </w:rPr>
        <w:t>thinking:</w:t>
      </w:r>
      <w:r>
        <w:rPr>
          <w:i/>
          <w:color w:val="231F20"/>
          <w:spacing w:val="-8"/>
          <w:w w:val="115"/>
          <w:sz w:val="19"/>
        </w:rPr>
        <w:t> </w:t>
      </w:r>
      <w:r>
        <w:rPr>
          <w:color w:val="231F20"/>
          <w:w w:val="115"/>
          <w:sz w:val="19"/>
        </w:rPr>
        <w:t>If</w:t>
      </w:r>
      <w:r>
        <w:rPr>
          <w:color w:val="231F20"/>
          <w:spacing w:val="-7"/>
          <w:w w:val="115"/>
          <w:sz w:val="19"/>
        </w:rPr>
        <w:t> </w:t>
      </w:r>
      <w:r>
        <w:rPr>
          <w:color w:val="231F20"/>
          <w:w w:val="115"/>
          <w:sz w:val="19"/>
        </w:rPr>
        <w:t>it</w:t>
      </w:r>
      <w:r>
        <w:rPr>
          <w:color w:val="231F20"/>
          <w:spacing w:val="-7"/>
          <w:w w:val="115"/>
          <w:sz w:val="19"/>
        </w:rPr>
        <w:t> </w:t>
      </w:r>
      <w:r>
        <w:rPr>
          <w:color w:val="231F20"/>
          <w:w w:val="115"/>
          <w:sz w:val="19"/>
        </w:rPr>
        <w:t>is</w:t>
      </w:r>
      <w:r>
        <w:rPr>
          <w:color w:val="231F20"/>
          <w:spacing w:val="-8"/>
          <w:w w:val="115"/>
          <w:sz w:val="19"/>
        </w:rPr>
        <w:t> </w:t>
      </w:r>
      <w:r>
        <w:rPr>
          <w:color w:val="231F20"/>
          <w:w w:val="115"/>
          <w:sz w:val="19"/>
        </w:rPr>
        <w:t>not</w:t>
      </w:r>
      <w:r>
        <w:rPr>
          <w:color w:val="231F20"/>
          <w:spacing w:val="-7"/>
          <w:w w:val="115"/>
          <w:sz w:val="19"/>
        </w:rPr>
        <w:t> </w:t>
      </w:r>
      <w:r>
        <w:rPr>
          <w:color w:val="231F20"/>
          <w:w w:val="115"/>
          <w:sz w:val="19"/>
        </w:rPr>
        <w:t>perfect,</w:t>
      </w:r>
      <w:r>
        <w:rPr>
          <w:color w:val="231F20"/>
          <w:spacing w:val="-7"/>
          <w:w w:val="115"/>
          <w:sz w:val="19"/>
        </w:rPr>
        <w:t> </w:t>
      </w:r>
      <w:r>
        <w:rPr>
          <w:color w:val="231F20"/>
          <w:w w:val="115"/>
          <w:sz w:val="19"/>
        </w:rPr>
        <w:t>it</w:t>
      </w:r>
      <w:r>
        <w:rPr>
          <w:color w:val="231F20"/>
          <w:spacing w:val="-7"/>
          <w:w w:val="115"/>
          <w:sz w:val="19"/>
        </w:rPr>
        <w:t> </w:t>
      </w:r>
      <w:r>
        <w:rPr>
          <w:color w:val="231F20"/>
          <w:w w:val="115"/>
          <w:sz w:val="19"/>
        </w:rPr>
        <w:t>is</w:t>
      </w:r>
      <w:r>
        <w:rPr>
          <w:color w:val="231F20"/>
          <w:spacing w:val="-7"/>
          <w:w w:val="115"/>
          <w:sz w:val="19"/>
        </w:rPr>
        <w:t> </w:t>
      </w:r>
      <w:r>
        <w:rPr>
          <w:color w:val="231F20"/>
          <w:w w:val="115"/>
          <w:sz w:val="19"/>
        </w:rPr>
        <w:t>a</w:t>
      </w:r>
      <w:r>
        <w:rPr>
          <w:color w:val="231F20"/>
          <w:spacing w:val="-8"/>
          <w:w w:val="115"/>
          <w:sz w:val="19"/>
        </w:rPr>
        <w:t> </w:t>
      </w:r>
      <w:r>
        <w:rPr>
          <w:color w:val="231F20"/>
          <w:spacing w:val="-2"/>
          <w:w w:val="115"/>
          <w:sz w:val="19"/>
        </w:rPr>
        <w:t>failure.</w:t>
      </w:r>
    </w:p>
    <w:p>
      <w:pPr>
        <w:pStyle w:val="ListParagraph"/>
        <w:numPr>
          <w:ilvl w:val="0"/>
          <w:numId w:val="57"/>
        </w:numPr>
        <w:tabs>
          <w:tab w:pos="1520" w:val="left" w:leader="none"/>
        </w:tabs>
        <w:spacing w:line="328" w:lineRule="auto" w:before="81" w:after="0"/>
        <w:ind w:left="1519" w:right="754" w:hanging="219"/>
        <w:jc w:val="both"/>
        <w:rPr>
          <w:sz w:val="19"/>
        </w:rPr>
      </w:pPr>
      <w:r>
        <w:rPr>
          <w:i/>
          <w:color w:val="231F20"/>
          <w:w w:val="110"/>
          <w:sz w:val="19"/>
        </w:rPr>
        <w:t>Overgeneralization:</w:t>
      </w:r>
      <w:r>
        <w:rPr>
          <w:i/>
          <w:color w:val="231F20"/>
          <w:w w:val="110"/>
          <w:sz w:val="19"/>
        </w:rPr>
        <w:t> </w:t>
      </w:r>
      <w:r>
        <w:rPr>
          <w:color w:val="231F20"/>
          <w:w w:val="110"/>
          <w:sz w:val="19"/>
        </w:rPr>
        <w:t>A</w:t>
      </w:r>
      <w:r>
        <w:rPr>
          <w:color w:val="231F20"/>
          <w:w w:val="110"/>
          <w:sz w:val="19"/>
        </w:rPr>
        <w:t> single</w:t>
      </w:r>
      <w:r>
        <w:rPr>
          <w:color w:val="231F20"/>
          <w:w w:val="110"/>
          <w:sz w:val="19"/>
        </w:rPr>
        <w:t> negative</w:t>
      </w:r>
      <w:r>
        <w:rPr>
          <w:color w:val="231F20"/>
          <w:w w:val="110"/>
          <w:sz w:val="19"/>
        </w:rPr>
        <w:t> event</w:t>
      </w:r>
      <w:r>
        <w:rPr>
          <w:color w:val="231F20"/>
          <w:w w:val="110"/>
          <w:sz w:val="19"/>
        </w:rPr>
        <w:t> is</w:t>
      </w:r>
      <w:r>
        <w:rPr>
          <w:color w:val="231F20"/>
          <w:w w:val="110"/>
          <w:sz w:val="19"/>
        </w:rPr>
        <w:t> a</w:t>
      </w:r>
      <w:r>
        <w:rPr>
          <w:color w:val="231F20"/>
          <w:w w:val="110"/>
          <w:sz w:val="19"/>
        </w:rPr>
        <w:t> never- ending pattern of defeat.</w:t>
      </w:r>
    </w:p>
    <w:p>
      <w:pPr>
        <w:pStyle w:val="ListParagraph"/>
        <w:numPr>
          <w:ilvl w:val="0"/>
          <w:numId w:val="57"/>
        </w:numPr>
        <w:tabs>
          <w:tab w:pos="1520" w:val="left" w:leader="none"/>
        </w:tabs>
        <w:spacing w:line="328" w:lineRule="auto" w:before="2" w:after="0"/>
        <w:ind w:left="1519" w:right="758" w:hanging="223"/>
        <w:jc w:val="both"/>
        <w:rPr>
          <w:sz w:val="19"/>
        </w:rPr>
      </w:pPr>
      <w:r>
        <w:rPr>
          <w:i/>
          <w:color w:val="231F20"/>
          <w:w w:val="115"/>
          <w:sz w:val="19"/>
        </w:rPr>
        <w:t>Mental</w:t>
      </w:r>
      <w:r>
        <w:rPr>
          <w:i/>
          <w:color w:val="231F20"/>
          <w:spacing w:val="-2"/>
          <w:w w:val="115"/>
          <w:sz w:val="19"/>
        </w:rPr>
        <w:t> </w:t>
      </w:r>
      <w:r>
        <w:rPr>
          <w:i/>
          <w:color w:val="231F20"/>
          <w:w w:val="115"/>
          <w:sz w:val="19"/>
        </w:rPr>
        <w:t>filter:</w:t>
      </w:r>
      <w:r>
        <w:rPr>
          <w:i/>
          <w:color w:val="231F20"/>
          <w:spacing w:val="-3"/>
          <w:w w:val="115"/>
          <w:sz w:val="19"/>
        </w:rPr>
        <w:t> </w:t>
      </w:r>
      <w:r>
        <w:rPr>
          <w:color w:val="231F20"/>
          <w:w w:val="115"/>
          <w:sz w:val="19"/>
        </w:rPr>
        <w:t>Filter</w:t>
      </w:r>
      <w:r>
        <w:rPr>
          <w:color w:val="231F20"/>
          <w:spacing w:val="-3"/>
          <w:w w:val="115"/>
          <w:sz w:val="19"/>
        </w:rPr>
        <w:t> </w:t>
      </w:r>
      <w:r>
        <w:rPr>
          <w:color w:val="231F20"/>
          <w:w w:val="115"/>
          <w:sz w:val="19"/>
        </w:rPr>
        <w:t>out</w:t>
      </w:r>
      <w:r>
        <w:rPr>
          <w:color w:val="231F20"/>
          <w:spacing w:val="-3"/>
          <w:w w:val="115"/>
          <w:sz w:val="19"/>
        </w:rPr>
        <w:t> </w:t>
      </w:r>
      <w:r>
        <w:rPr>
          <w:color w:val="231F20"/>
          <w:w w:val="115"/>
          <w:sz w:val="19"/>
        </w:rPr>
        <w:t>the</w:t>
      </w:r>
      <w:r>
        <w:rPr>
          <w:color w:val="231F20"/>
          <w:spacing w:val="-3"/>
          <w:w w:val="115"/>
          <w:sz w:val="19"/>
        </w:rPr>
        <w:t> </w:t>
      </w:r>
      <w:r>
        <w:rPr>
          <w:color w:val="231F20"/>
          <w:w w:val="115"/>
          <w:sz w:val="19"/>
        </w:rPr>
        <w:t>entire</w:t>
      </w:r>
      <w:r>
        <w:rPr>
          <w:color w:val="231F20"/>
          <w:spacing w:val="-3"/>
          <w:w w:val="115"/>
          <w:sz w:val="19"/>
        </w:rPr>
        <w:t> </w:t>
      </w:r>
      <w:r>
        <w:rPr>
          <w:color w:val="231F20"/>
          <w:w w:val="115"/>
          <w:sz w:val="19"/>
        </w:rPr>
        <w:t>positive</w:t>
      </w:r>
      <w:r>
        <w:rPr>
          <w:color w:val="231F20"/>
          <w:spacing w:val="-3"/>
          <w:w w:val="115"/>
          <w:sz w:val="19"/>
        </w:rPr>
        <w:t> </w:t>
      </w:r>
      <w:r>
        <w:rPr>
          <w:color w:val="231F20"/>
          <w:w w:val="115"/>
          <w:sz w:val="19"/>
        </w:rPr>
        <w:t>and</w:t>
      </w:r>
      <w:r>
        <w:rPr>
          <w:color w:val="231F20"/>
          <w:spacing w:val="-3"/>
          <w:w w:val="115"/>
          <w:sz w:val="19"/>
        </w:rPr>
        <w:t> </w:t>
      </w:r>
      <w:r>
        <w:rPr>
          <w:color w:val="231F20"/>
          <w:w w:val="115"/>
          <w:sz w:val="19"/>
        </w:rPr>
        <w:t>concentrate on the negative.</w:t>
      </w:r>
    </w:p>
    <w:p>
      <w:pPr>
        <w:pStyle w:val="ListParagraph"/>
        <w:numPr>
          <w:ilvl w:val="0"/>
          <w:numId w:val="57"/>
        </w:numPr>
        <w:tabs>
          <w:tab w:pos="1520" w:val="left" w:leader="none"/>
        </w:tabs>
        <w:spacing w:line="328" w:lineRule="auto" w:before="1" w:after="0"/>
        <w:ind w:left="1519" w:right="758" w:hanging="233"/>
        <w:jc w:val="both"/>
        <w:rPr>
          <w:sz w:val="19"/>
        </w:rPr>
      </w:pPr>
      <w:r>
        <w:rPr>
          <w:i/>
          <w:color w:val="231F20"/>
          <w:w w:val="115"/>
          <w:sz w:val="19"/>
        </w:rPr>
        <w:t>Disqualify</w:t>
      </w:r>
      <w:r>
        <w:rPr>
          <w:i/>
          <w:color w:val="231F20"/>
          <w:spacing w:val="-15"/>
          <w:w w:val="115"/>
          <w:sz w:val="19"/>
        </w:rPr>
        <w:t> </w:t>
      </w:r>
      <w:r>
        <w:rPr>
          <w:i/>
          <w:color w:val="231F20"/>
          <w:w w:val="115"/>
          <w:sz w:val="19"/>
        </w:rPr>
        <w:t>the</w:t>
      </w:r>
      <w:r>
        <w:rPr>
          <w:i/>
          <w:color w:val="231F20"/>
          <w:spacing w:val="-15"/>
          <w:w w:val="115"/>
          <w:sz w:val="19"/>
        </w:rPr>
        <w:t> </w:t>
      </w:r>
      <w:r>
        <w:rPr>
          <w:i/>
          <w:color w:val="231F20"/>
          <w:w w:val="115"/>
          <w:sz w:val="19"/>
        </w:rPr>
        <w:t>positive:</w:t>
      </w:r>
      <w:r>
        <w:rPr>
          <w:i/>
          <w:color w:val="231F20"/>
          <w:spacing w:val="-15"/>
          <w:w w:val="115"/>
          <w:sz w:val="19"/>
        </w:rPr>
        <w:t> </w:t>
      </w:r>
      <w:r>
        <w:rPr>
          <w:color w:val="231F20"/>
          <w:w w:val="115"/>
          <w:sz w:val="19"/>
        </w:rPr>
        <w:t>Reject</w:t>
      </w:r>
      <w:r>
        <w:rPr>
          <w:color w:val="231F20"/>
          <w:spacing w:val="-15"/>
          <w:w w:val="115"/>
          <w:sz w:val="19"/>
        </w:rPr>
        <w:t> </w:t>
      </w:r>
      <w:r>
        <w:rPr>
          <w:color w:val="231F20"/>
          <w:w w:val="115"/>
          <w:sz w:val="19"/>
        </w:rPr>
        <w:t>positive</w:t>
      </w:r>
      <w:r>
        <w:rPr>
          <w:color w:val="231F20"/>
          <w:spacing w:val="-15"/>
          <w:w w:val="115"/>
          <w:sz w:val="19"/>
        </w:rPr>
        <w:t> </w:t>
      </w:r>
      <w:r>
        <w:rPr>
          <w:color w:val="231F20"/>
          <w:w w:val="115"/>
          <w:sz w:val="19"/>
        </w:rPr>
        <w:t>as</w:t>
      </w:r>
      <w:r>
        <w:rPr>
          <w:color w:val="231F20"/>
          <w:spacing w:val="-15"/>
          <w:w w:val="115"/>
          <w:sz w:val="19"/>
        </w:rPr>
        <w:t> </w:t>
      </w:r>
      <w:r>
        <w:rPr>
          <w:color w:val="231F20"/>
          <w:w w:val="115"/>
          <w:sz w:val="19"/>
        </w:rPr>
        <w:t>it</w:t>
      </w:r>
      <w:r>
        <w:rPr>
          <w:color w:val="231F20"/>
          <w:spacing w:val="-15"/>
          <w:w w:val="115"/>
          <w:sz w:val="19"/>
        </w:rPr>
        <w:t> </w:t>
      </w:r>
      <w:r>
        <w:rPr>
          <w:color w:val="231F20"/>
          <w:w w:val="115"/>
          <w:sz w:val="19"/>
        </w:rPr>
        <w:t>does</w:t>
      </w:r>
      <w:r>
        <w:rPr>
          <w:color w:val="231F20"/>
          <w:spacing w:val="-15"/>
          <w:w w:val="115"/>
          <w:sz w:val="19"/>
        </w:rPr>
        <w:t> </w:t>
      </w:r>
      <w:r>
        <w:rPr>
          <w:color w:val="231F20"/>
          <w:w w:val="115"/>
          <w:sz w:val="19"/>
        </w:rPr>
        <w:t>not</w:t>
      </w:r>
      <w:r>
        <w:rPr>
          <w:color w:val="231F20"/>
          <w:spacing w:val="-15"/>
          <w:w w:val="115"/>
          <w:sz w:val="19"/>
        </w:rPr>
        <w:t> </w:t>
      </w:r>
      <w:r>
        <w:rPr>
          <w:color w:val="231F20"/>
          <w:w w:val="115"/>
          <w:sz w:val="19"/>
        </w:rPr>
        <w:t>count and</w:t>
      </w:r>
      <w:r>
        <w:rPr>
          <w:color w:val="231F20"/>
          <w:spacing w:val="-5"/>
          <w:w w:val="115"/>
          <w:sz w:val="19"/>
        </w:rPr>
        <w:t> </w:t>
      </w:r>
      <w:r>
        <w:rPr>
          <w:color w:val="231F20"/>
          <w:w w:val="115"/>
          <w:sz w:val="19"/>
        </w:rPr>
        <w:t>maintain</w:t>
      </w:r>
      <w:r>
        <w:rPr>
          <w:color w:val="231F20"/>
          <w:spacing w:val="-5"/>
          <w:w w:val="115"/>
          <w:sz w:val="19"/>
        </w:rPr>
        <w:t> </w:t>
      </w:r>
      <w:r>
        <w:rPr>
          <w:color w:val="231F20"/>
          <w:w w:val="115"/>
          <w:sz w:val="19"/>
        </w:rPr>
        <w:t>negative</w:t>
      </w:r>
      <w:r>
        <w:rPr>
          <w:color w:val="231F20"/>
          <w:spacing w:val="-5"/>
          <w:w w:val="115"/>
          <w:sz w:val="19"/>
        </w:rPr>
        <w:t> </w:t>
      </w:r>
      <w:r>
        <w:rPr>
          <w:color w:val="231F20"/>
          <w:w w:val="115"/>
          <w:sz w:val="19"/>
        </w:rPr>
        <w:t>beliefs</w:t>
      </w:r>
      <w:r>
        <w:rPr>
          <w:color w:val="231F20"/>
          <w:spacing w:val="-5"/>
          <w:w w:val="115"/>
          <w:sz w:val="19"/>
        </w:rPr>
        <w:t> </w:t>
      </w:r>
      <w:r>
        <w:rPr>
          <w:color w:val="231F20"/>
          <w:w w:val="115"/>
          <w:sz w:val="19"/>
        </w:rPr>
        <w:t>regardless.</w:t>
      </w:r>
    </w:p>
    <w:p>
      <w:pPr>
        <w:pStyle w:val="ListParagraph"/>
        <w:numPr>
          <w:ilvl w:val="0"/>
          <w:numId w:val="57"/>
        </w:numPr>
        <w:tabs>
          <w:tab w:pos="1520" w:val="left" w:leader="none"/>
        </w:tabs>
        <w:spacing w:line="328" w:lineRule="auto" w:before="2" w:after="0"/>
        <w:ind w:left="1519" w:right="755" w:hanging="222"/>
        <w:jc w:val="both"/>
        <w:rPr>
          <w:sz w:val="19"/>
        </w:rPr>
      </w:pPr>
      <w:r>
        <w:rPr>
          <w:i/>
          <w:color w:val="231F20"/>
          <w:w w:val="115"/>
          <w:sz w:val="19"/>
        </w:rPr>
        <w:t>Jumping to conclusions: </w:t>
      </w:r>
      <w:r>
        <w:rPr>
          <w:color w:val="231F20"/>
          <w:w w:val="115"/>
          <w:sz w:val="19"/>
        </w:rPr>
        <w:t>Anticipating negative reactions from people and negative consequences.</w:t>
      </w:r>
    </w:p>
    <w:p>
      <w:pPr>
        <w:pStyle w:val="ListParagraph"/>
        <w:numPr>
          <w:ilvl w:val="0"/>
          <w:numId w:val="57"/>
        </w:numPr>
        <w:tabs>
          <w:tab w:pos="1520" w:val="left" w:leader="none"/>
        </w:tabs>
        <w:spacing w:line="328" w:lineRule="auto" w:before="1" w:after="0"/>
        <w:ind w:left="1519" w:right="757" w:hanging="229"/>
        <w:jc w:val="both"/>
        <w:rPr>
          <w:sz w:val="19"/>
        </w:rPr>
      </w:pPr>
      <w:r>
        <w:rPr>
          <w:i/>
          <w:color w:val="231F20"/>
          <w:w w:val="115"/>
          <w:sz w:val="19"/>
        </w:rPr>
        <w:t>Magnification</w:t>
      </w:r>
      <w:r>
        <w:rPr>
          <w:i/>
          <w:color w:val="231F20"/>
          <w:spacing w:val="-16"/>
          <w:w w:val="115"/>
          <w:sz w:val="19"/>
        </w:rPr>
        <w:t> </w:t>
      </w:r>
      <w:r>
        <w:rPr>
          <w:i/>
          <w:color w:val="231F20"/>
          <w:w w:val="115"/>
          <w:sz w:val="19"/>
        </w:rPr>
        <w:t>or</w:t>
      </w:r>
      <w:r>
        <w:rPr>
          <w:i/>
          <w:color w:val="231F20"/>
          <w:spacing w:val="-15"/>
          <w:w w:val="115"/>
          <w:sz w:val="19"/>
        </w:rPr>
        <w:t> </w:t>
      </w:r>
      <w:r>
        <w:rPr>
          <w:i/>
          <w:color w:val="231F20"/>
          <w:w w:val="115"/>
          <w:sz w:val="19"/>
        </w:rPr>
        <w:t>minimization:</w:t>
      </w:r>
      <w:r>
        <w:rPr>
          <w:i/>
          <w:color w:val="231F20"/>
          <w:spacing w:val="-15"/>
          <w:w w:val="115"/>
          <w:sz w:val="19"/>
        </w:rPr>
        <w:t> </w:t>
      </w:r>
      <w:r>
        <w:rPr>
          <w:color w:val="231F20"/>
          <w:w w:val="115"/>
          <w:sz w:val="19"/>
        </w:rPr>
        <w:t>Exaggerate</w:t>
      </w:r>
      <w:r>
        <w:rPr>
          <w:color w:val="231F20"/>
          <w:spacing w:val="-15"/>
          <w:w w:val="115"/>
          <w:sz w:val="19"/>
        </w:rPr>
        <w:t> </w:t>
      </w:r>
      <w:r>
        <w:rPr>
          <w:color w:val="231F20"/>
          <w:w w:val="115"/>
          <w:sz w:val="19"/>
        </w:rPr>
        <w:t>the</w:t>
      </w:r>
      <w:r>
        <w:rPr>
          <w:color w:val="231F20"/>
          <w:spacing w:val="-15"/>
          <w:w w:val="115"/>
          <w:sz w:val="19"/>
        </w:rPr>
        <w:t> </w:t>
      </w:r>
      <w:r>
        <w:rPr>
          <w:color w:val="231F20"/>
          <w:w w:val="115"/>
          <w:sz w:val="19"/>
        </w:rPr>
        <w:t>importance of</w:t>
      </w:r>
      <w:r>
        <w:rPr>
          <w:color w:val="231F20"/>
          <w:spacing w:val="-1"/>
          <w:w w:val="115"/>
          <w:sz w:val="19"/>
        </w:rPr>
        <w:t> </w:t>
      </w:r>
      <w:r>
        <w:rPr>
          <w:color w:val="231F20"/>
          <w:w w:val="115"/>
          <w:sz w:val="19"/>
        </w:rPr>
        <w:t>a</w:t>
      </w:r>
      <w:r>
        <w:rPr>
          <w:color w:val="231F20"/>
          <w:spacing w:val="-1"/>
          <w:w w:val="115"/>
          <w:sz w:val="19"/>
        </w:rPr>
        <w:t> </w:t>
      </w:r>
      <w:r>
        <w:rPr>
          <w:color w:val="231F20"/>
          <w:w w:val="115"/>
          <w:sz w:val="19"/>
        </w:rPr>
        <w:t>negative</w:t>
      </w:r>
      <w:r>
        <w:rPr>
          <w:color w:val="231F20"/>
          <w:spacing w:val="-1"/>
          <w:w w:val="115"/>
          <w:sz w:val="19"/>
        </w:rPr>
        <w:t> </w:t>
      </w:r>
      <w:r>
        <w:rPr>
          <w:color w:val="231F20"/>
          <w:w w:val="115"/>
          <w:sz w:val="19"/>
        </w:rPr>
        <w:t>event</w:t>
      </w:r>
      <w:r>
        <w:rPr>
          <w:color w:val="231F20"/>
          <w:spacing w:val="-1"/>
          <w:w w:val="115"/>
          <w:sz w:val="19"/>
        </w:rPr>
        <w:t> </w:t>
      </w:r>
      <w:r>
        <w:rPr>
          <w:color w:val="231F20"/>
          <w:w w:val="115"/>
          <w:sz w:val="19"/>
        </w:rPr>
        <w:t>or</w:t>
      </w:r>
      <w:r>
        <w:rPr>
          <w:color w:val="231F20"/>
          <w:spacing w:val="-1"/>
          <w:w w:val="115"/>
          <w:sz w:val="19"/>
        </w:rPr>
        <w:t> </w:t>
      </w:r>
      <w:r>
        <w:rPr>
          <w:color w:val="231F20"/>
          <w:w w:val="115"/>
          <w:sz w:val="19"/>
        </w:rPr>
        <w:t>minimize</w:t>
      </w:r>
      <w:r>
        <w:rPr>
          <w:color w:val="231F20"/>
          <w:spacing w:val="-1"/>
          <w:w w:val="115"/>
          <w:sz w:val="19"/>
        </w:rPr>
        <w:t> </w:t>
      </w:r>
      <w:r>
        <w:rPr>
          <w:color w:val="231F20"/>
          <w:w w:val="115"/>
          <w:sz w:val="19"/>
        </w:rPr>
        <w:t>the</w:t>
      </w:r>
      <w:r>
        <w:rPr>
          <w:color w:val="231F20"/>
          <w:spacing w:val="-1"/>
          <w:w w:val="115"/>
          <w:sz w:val="19"/>
        </w:rPr>
        <w:t> </w:t>
      </w:r>
      <w:r>
        <w:rPr>
          <w:color w:val="231F20"/>
          <w:w w:val="115"/>
          <w:sz w:val="19"/>
        </w:rPr>
        <w:t>importance</w:t>
      </w:r>
      <w:r>
        <w:rPr>
          <w:color w:val="231F20"/>
          <w:spacing w:val="-1"/>
          <w:w w:val="115"/>
          <w:sz w:val="19"/>
        </w:rPr>
        <w:t> </w:t>
      </w:r>
      <w:r>
        <w:rPr>
          <w:color w:val="231F20"/>
          <w:w w:val="115"/>
          <w:sz w:val="19"/>
        </w:rPr>
        <w:t>of</w:t>
      </w:r>
      <w:r>
        <w:rPr>
          <w:color w:val="231F20"/>
          <w:spacing w:val="-1"/>
          <w:w w:val="115"/>
          <w:sz w:val="19"/>
        </w:rPr>
        <w:t> </w:t>
      </w:r>
      <w:r>
        <w:rPr>
          <w:color w:val="231F20"/>
          <w:w w:val="115"/>
          <w:sz w:val="19"/>
        </w:rPr>
        <w:t>a</w:t>
      </w:r>
      <w:r>
        <w:rPr>
          <w:color w:val="231F20"/>
          <w:spacing w:val="-1"/>
          <w:w w:val="115"/>
          <w:sz w:val="19"/>
        </w:rPr>
        <w:t> </w:t>
      </w:r>
      <w:r>
        <w:rPr>
          <w:color w:val="231F20"/>
          <w:w w:val="115"/>
          <w:sz w:val="19"/>
        </w:rPr>
        <w:t>posi-</w:t>
      </w:r>
      <w:r>
        <w:rPr>
          <w:color w:val="231F20"/>
          <w:w w:val="115"/>
          <w:sz w:val="19"/>
        </w:rPr>
        <w:t> tive one.</w:t>
      </w:r>
    </w:p>
    <w:p>
      <w:pPr>
        <w:pStyle w:val="ListParagraph"/>
        <w:numPr>
          <w:ilvl w:val="0"/>
          <w:numId w:val="57"/>
        </w:numPr>
        <w:tabs>
          <w:tab w:pos="1520" w:val="left" w:leader="none"/>
        </w:tabs>
        <w:spacing w:line="328" w:lineRule="auto" w:before="2" w:after="0"/>
        <w:ind w:left="1519" w:right="756" w:hanging="199"/>
        <w:jc w:val="both"/>
        <w:rPr>
          <w:sz w:val="19"/>
        </w:rPr>
      </w:pPr>
      <w:r>
        <w:rPr>
          <w:i/>
          <w:color w:val="231F20"/>
          <w:w w:val="115"/>
          <w:sz w:val="19"/>
        </w:rPr>
        <w:t>Emotional reasoning: </w:t>
      </w:r>
      <w:r>
        <w:rPr>
          <w:color w:val="231F20"/>
          <w:w w:val="115"/>
          <w:sz w:val="19"/>
        </w:rPr>
        <w:t>Your negative emotions reflect the reality of the real world around you.</w:t>
      </w:r>
    </w:p>
    <w:p>
      <w:pPr>
        <w:pStyle w:val="ListParagraph"/>
        <w:numPr>
          <w:ilvl w:val="0"/>
          <w:numId w:val="57"/>
        </w:numPr>
        <w:tabs>
          <w:tab w:pos="1520" w:val="left" w:leader="none"/>
        </w:tabs>
        <w:spacing w:line="328" w:lineRule="auto" w:before="1" w:after="0"/>
        <w:ind w:left="1520" w:right="757" w:hanging="226"/>
        <w:jc w:val="both"/>
        <w:rPr>
          <w:sz w:val="19"/>
        </w:rPr>
      </w:pPr>
      <w:r>
        <w:rPr>
          <w:i/>
          <w:color w:val="231F20"/>
          <w:w w:val="110"/>
          <w:sz w:val="19"/>
        </w:rPr>
        <w:t>Should statements: </w:t>
      </w:r>
      <w:r>
        <w:rPr>
          <w:color w:val="231F20"/>
          <w:w w:val="110"/>
          <w:sz w:val="19"/>
        </w:rPr>
        <w:t>You motivate yourself with </w:t>
      </w:r>
      <w:r>
        <w:rPr>
          <w:i/>
          <w:color w:val="231F20"/>
          <w:w w:val="110"/>
          <w:sz w:val="19"/>
        </w:rPr>
        <w:t>should</w:t>
      </w:r>
      <w:r>
        <w:rPr>
          <w:color w:val="231F20"/>
          <w:w w:val="110"/>
          <w:sz w:val="19"/>
        </w:rPr>
        <w:t>s and </w:t>
      </w:r>
      <w:r>
        <w:rPr>
          <w:i/>
          <w:color w:val="231F20"/>
          <w:w w:val="115"/>
          <w:sz w:val="19"/>
        </w:rPr>
        <w:t>shouldn’t</w:t>
      </w:r>
      <w:r>
        <w:rPr>
          <w:color w:val="231F20"/>
          <w:w w:val="115"/>
          <w:sz w:val="19"/>
        </w:rPr>
        <w:t>s as if you need to be whipped and punished to </w:t>
      </w:r>
      <w:r>
        <w:rPr>
          <w:color w:val="231F20"/>
          <w:w w:val="110"/>
          <w:sz w:val="19"/>
        </w:rPr>
        <w:t>do something. The consequence of these </w:t>
      </w:r>
      <w:r>
        <w:rPr>
          <w:i/>
          <w:color w:val="231F20"/>
          <w:w w:val="110"/>
          <w:sz w:val="19"/>
        </w:rPr>
        <w:t>must</w:t>
      </w:r>
      <w:r>
        <w:rPr>
          <w:color w:val="231F20"/>
          <w:w w:val="110"/>
          <w:sz w:val="19"/>
        </w:rPr>
        <w:t>s and </w:t>
      </w:r>
      <w:r>
        <w:rPr>
          <w:i/>
          <w:color w:val="231F20"/>
          <w:w w:val="110"/>
          <w:sz w:val="19"/>
        </w:rPr>
        <w:t>ought</w:t>
      </w:r>
      <w:r>
        <w:rPr>
          <w:i/>
          <w:color w:val="231F20"/>
          <w:w w:val="110"/>
          <w:sz w:val="19"/>
        </w:rPr>
        <w:t> </w:t>
      </w:r>
      <w:r>
        <w:rPr>
          <w:i/>
          <w:color w:val="231F20"/>
          <w:w w:val="115"/>
          <w:sz w:val="19"/>
        </w:rPr>
        <w:t>to</w:t>
      </w:r>
      <w:r>
        <w:rPr>
          <w:color w:val="231F20"/>
          <w:w w:val="115"/>
          <w:sz w:val="19"/>
        </w:rPr>
        <w:t>s is guilt.</w:t>
      </w:r>
    </w:p>
    <w:p>
      <w:pPr>
        <w:pStyle w:val="ListParagraph"/>
        <w:numPr>
          <w:ilvl w:val="0"/>
          <w:numId w:val="57"/>
        </w:numPr>
        <w:tabs>
          <w:tab w:pos="1520" w:val="left" w:leader="none"/>
        </w:tabs>
        <w:spacing w:line="328" w:lineRule="auto" w:before="3" w:after="0"/>
        <w:ind w:left="1519" w:right="758" w:hanging="227"/>
        <w:jc w:val="both"/>
        <w:rPr>
          <w:sz w:val="19"/>
        </w:rPr>
      </w:pPr>
      <w:r>
        <w:rPr>
          <w:i/>
          <w:color w:val="231F20"/>
          <w:w w:val="110"/>
          <w:sz w:val="19"/>
        </w:rPr>
        <w:t>Labeling and mislabeling: </w:t>
      </w:r>
      <w:r>
        <w:rPr>
          <w:color w:val="231F20"/>
          <w:w w:val="110"/>
          <w:sz w:val="19"/>
        </w:rPr>
        <w:t>Negatively label yourself a loser or others as idiots.</w:t>
      </w:r>
    </w:p>
    <w:p>
      <w:pPr>
        <w:pStyle w:val="ListParagraph"/>
        <w:numPr>
          <w:ilvl w:val="0"/>
          <w:numId w:val="57"/>
        </w:numPr>
        <w:tabs>
          <w:tab w:pos="1520" w:val="left" w:leader="none"/>
        </w:tabs>
        <w:spacing w:line="328" w:lineRule="auto" w:before="1" w:after="0"/>
        <w:ind w:left="1519" w:right="755" w:hanging="303"/>
        <w:jc w:val="both"/>
        <w:rPr>
          <w:sz w:val="19"/>
        </w:rPr>
      </w:pPr>
      <w:r>
        <w:rPr>
          <w:i/>
          <w:color w:val="231F20"/>
          <w:w w:val="110"/>
          <w:sz w:val="19"/>
        </w:rPr>
        <w:t>Personalization:</w:t>
      </w:r>
      <w:r>
        <w:rPr>
          <w:i/>
          <w:color w:val="231F20"/>
          <w:w w:val="110"/>
          <w:sz w:val="19"/>
        </w:rPr>
        <w:t> </w:t>
      </w:r>
      <w:r>
        <w:rPr>
          <w:color w:val="231F20"/>
          <w:w w:val="110"/>
          <w:sz w:val="19"/>
        </w:rPr>
        <w:t>You</w:t>
      </w:r>
      <w:r>
        <w:rPr>
          <w:color w:val="231F20"/>
          <w:w w:val="110"/>
          <w:sz w:val="19"/>
        </w:rPr>
        <w:t> are</w:t>
      </w:r>
      <w:r>
        <w:rPr>
          <w:color w:val="231F20"/>
          <w:w w:val="110"/>
          <w:sz w:val="19"/>
        </w:rPr>
        <w:t> the</w:t>
      </w:r>
      <w:r>
        <w:rPr>
          <w:color w:val="231F20"/>
          <w:w w:val="110"/>
          <w:sz w:val="19"/>
        </w:rPr>
        <w:t> cause</w:t>
      </w:r>
      <w:r>
        <w:rPr>
          <w:color w:val="231F20"/>
          <w:w w:val="110"/>
          <w:sz w:val="19"/>
        </w:rPr>
        <w:t> of</w:t>
      </w:r>
      <w:r>
        <w:rPr>
          <w:color w:val="231F20"/>
          <w:w w:val="110"/>
          <w:sz w:val="19"/>
        </w:rPr>
        <w:t> negative</w:t>
      </w:r>
      <w:r>
        <w:rPr>
          <w:color w:val="231F20"/>
          <w:w w:val="110"/>
          <w:sz w:val="19"/>
        </w:rPr>
        <w:t> external events that you are not responsible for. This causes guilt.</w:t>
      </w:r>
    </w:p>
    <w:p>
      <w:pPr>
        <w:pStyle w:val="BodyText"/>
        <w:spacing w:before="4"/>
        <w:rPr>
          <w:rFonts w:ascii="Arial"/>
          <w:sz w:val="24"/>
        </w:rPr>
      </w:pPr>
    </w:p>
    <w:p>
      <w:pPr>
        <w:pStyle w:val="BodyText"/>
        <w:spacing w:line="292" w:lineRule="auto"/>
        <w:ind w:left="830" w:right="756" w:firstLine="340"/>
        <w:jc w:val="both"/>
      </w:pPr>
      <w:r>
        <w:rPr>
          <w:color w:val="231F20"/>
          <w:w w:val="105"/>
        </w:rPr>
        <w:t>When</w:t>
      </w:r>
      <w:r>
        <w:rPr>
          <w:color w:val="231F20"/>
          <w:spacing w:val="-13"/>
          <w:w w:val="105"/>
        </w:rPr>
        <w:t> </w:t>
      </w:r>
      <w:r>
        <w:rPr>
          <w:color w:val="231F20"/>
          <w:w w:val="105"/>
        </w:rPr>
        <w:t>stressed,</w:t>
      </w:r>
      <w:r>
        <w:rPr>
          <w:color w:val="231F20"/>
          <w:spacing w:val="-12"/>
          <w:w w:val="105"/>
        </w:rPr>
        <w:t> </w:t>
      </w:r>
      <w:r>
        <w:rPr>
          <w:color w:val="231F20"/>
          <w:w w:val="105"/>
        </w:rPr>
        <w:t>take</w:t>
      </w:r>
      <w:r>
        <w:rPr>
          <w:color w:val="231F20"/>
          <w:spacing w:val="-12"/>
          <w:w w:val="105"/>
        </w:rPr>
        <w:t> </w:t>
      </w:r>
      <w:r>
        <w:rPr>
          <w:color w:val="231F20"/>
          <w:w w:val="105"/>
        </w:rPr>
        <w:t>a</w:t>
      </w:r>
      <w:r>
        <w:rPr>
          <w:color w:val="231F20"/>
          <w:spacing w:val="-12"/>
          <w:w w:val="105"/>
        </w:rPr>
        <w:t> </w:t>
      </w:r>
      <w:r>
        <w:rPr>
          <w:color w:val="231F20"/>
          <w:w w:val="105"/>
        </w:rPr>
        <w:t>few</w:t>
      </w:r>
      <w:r>
        <w:rPr>
          <w:color w:val="231F20"/>
          <w:spacing w:val="-12"/>
          <w:w w:val="105"/>
        </w:rPr>
        <w:t> </w:t>
      </w:r>
      <w:r>
        <w:rPr>
          <w:color w:val="231F20"/>
          <w:w w:val="105"/>
        </w:rPr>
        <w:t>breaths</w:t>
      </w:r>
      <w:r>
        <w:rPr>
          <w:color w:val="231F20"/>
          <w:spacing w:val="-12"/>
          <w:w w:val="105"/>
        </w:rPr>
        <w:t> </w:t>
      </w:r>
      <w:r>
        <w:rPr>
          <w:color w:val="231F20"/>
          <w:w w:val="105"/>
        </w:rPr>
        <w:t>and</w:t>
      </w:r>
      <w:r>
        <w:rPr>
          <w:color w:val="231F20"/>
          <w:spacing w:val="-12"/>
          <w:w w:val="105"/>
        </w:rPr>
        <w:t> </w:t>
      </w:r>
      <w:r>
        <w:rPr>
          <w:color w:val="231F20"/>
          <w:w w:val="105"/>
        </w:rPr>
        <w:t>use</w:t>
      </w:r>
      <w:r>
        <w:rPr>
          <w:color w:val="231F20"/>
          <w:spacing w:val="-13"/>
          <w:w w:val="105"/>
        </w:rPr>
        <w:t> </w:t>
      </w:r>
      <w:r>
        <w:rPr>
          <w:color w:val="231F20"/>
          <w:w w:val="105"/>
        </w:rPr>
        <w:t>a</w:t>
      </w:r>
      <w:r>
        <w:rPr>
          <w:color w:val="231F20"/>
          <w:spacing w:val="-12"/>
          <w:w w:val="105"/>
        </w:rPr>
        <w:t> </w:t>
      </w:r>
      <w:r>
        <w:rPr>
          <w:color w:val="231F20"/>
          <w:w w:val="105"/>
        </w:rPr>
        <w:t>“positive</w:t>
      </w:r>
      <w:r>
        <w:rPr>
          <w:color w:val="231F20"/>
          <w:spacing w:val="-12"/>
          <w:w w:val="105"/>
        </w:rPr>
        <w:t> </w:t>
      </w:r>
      <w:r>
        <w:rPr>
          <w:color w:val="231F20"/>
          <w:w w:val="105"/>
        </w:rPr>
        <w:t>inner</w:t>
      </w:r>
      <w:r>
        <w:rPr>
          <w:color w:val="231F20"/>
          <w:spacing w:val="-12"/>
          <w:w w:val="105"/>
        </w:rPr>
        <w:t> </w:t>
      </w:r>
      <w:r>
        <w:rPr>
          <w:color w:val="231F20"/>
          <w:w w:val="105"/>
        </w:rPr>
        <w:t>dia- logue”</w:t>
      </w:r>
      <w:r>
        <w:rPr>
          <w:color w:val="231F20"/>
          <w:spacing w:val="-13"/>
          <w:w w:val="105"/>
        </w:rPr>
        <w:t> </w:t>
      </w:r>
      <w:r>
        <w:rPr>
          <w:color w:val="231F20"/>
          <w:w w:val="105"/>
        </w:rPr>
        <w:t>to</w:t>
      </w:r>
      <w:r>
        <w:rPr>
          <w:color w:val="231F20"/>
          <w:spacing w:val="-12"/>
          <w:w w:val="105"/>
        </w:rPr>
        <w:t> </w:t>
      </w:r>
      <w:r>
        <w:rPr>
          <w:color w:val="231F20"/>
          <w:w w:val="105"/>
        </w:rPr>
        <w:t>get</w:t>
      </w:r>
      <w:r>
        <w:rPr>
          <w:color w:val="231F20"/>
          <w:spacing w:val="-12"/>
          <w:w w:val="105"/>
        </w:rPr>
        <w:t> </w:t>
      </w:r>
      <w:r>
        <w:rPr>
          <w:color w:val="231F20"/>
          <w:w w:val="105"/>
        </w:rPr>
        <w:t>over</w:t>
      </w:r>
      <w:r>
        <w:rPr>
          <w:color w:val="231F20"/>
          <w:spacing w:val="-12"/>
          <w:w w:val="105"/>
        </w:rPr>
        <w:t> </w:t>
      </w:r>
      <w:r>
        <w:rPr>
          <w:color w:val="231F20"/>
          <w:w w:val="105"/>
        </w:rPr>
        <w:t>it.</w:t>
      </w:r>
      <w:r>
        <w:rPr>
          <w:color w:val="231F20"/>
          <w:spacing w:val="-12"/>
          <w:w w:val="105"/>
        </w:rPr>
        <w:t> </w:t>
      </w:r>
      <w:r>
        <w:rPr>
          <w:color w:val="231F20"/>
          <w:w w:val="105"/>
        </w:rPr>
        <w:t>Positive</w:t>
      </w:r>
      <w:r>
        <w:rPr>
          <w:color w:val="231F20"/>
          <w:spacing w:val="-12"/>
          <w:w w:val="105"/>
        </w:rPr>
        <w:t> </w:t>
      </w:r>
      <w:r>
        <w:rPr>
          <w:color w:val="231F20"/>
          <w:w w:val="105"/>
        </w:rPr>
        <w:t>thoughts</w:t>
      </w:r>
      <w:r>
        <w:rPr>
          <w:color w:val="231F20"/>
          <w:spacing w:val="-12"/>
          <w:w w:val="105"/>
        </w:rPr>
        <w:t> </w:t>
      </w:r>
      <w:r>
        <w:rPr>
          <w:color w:val="231F20"/>
          <w:w w:val="105"/>
        </w:rPr>
        <w:t>create</w:t>
      </w:r>
      <w:r>
        <w:rPr>
          <w:color w:val="231F20"/>
          <w:spacing w:val="-13"/>
          <w:w w:val="105"/>
        </w:rPr>
        <w:t> </w:t>
      </w:r>
      <w:r>
        <w:rPr>
          <w:color w:val="231F20"/>
          <w:w w:val="105"/>
        </w:rPr>
        <w:t>positive</w:t>
      </w:r>
      <w:r>
        <w:rPr>
          <w:color w:val="231F20"/>
          <w:spacing w:val="-12"/>
          <w:w w:val="105"/>
        </w:rPr>
        <w:t> </w:t>
      </w:r>
      <w:r>
        <w:rPr>
          <w:color w:val="231F20"/>
          <w:w w:val="105"/>
        </w:rPr>
        <w:t>feelings.</w:t>
      </w:r>
      <w:r>
        <w:rPr>
          <w:color w:val="231F20"/>
          <w:spacing w:val="-12"/>
          <w:w w:val="105"/>
        </w:rPr>
        <w:t> </w:t>
      </w:r>
      <w:r>
        <w:rPr>
          <w:color w:val="231F20"/>
          <w:w w:val="105"/>
        </w:rPr>
        <w:t>Neg- ative</w:t>
      </w:r>
      <w:r>
        <w:rPr>
          <w:color w:val="231F20"/>
          <w:w w:val="105"/>
        </w:rPr>
        <w:t> thinking</w:t>
      </w:r>
      <w:r>
        <w:rPr>
          <w:color w:val="231F20"/>
          <w:w w:val="105"/>
        </w:rPr>
        <w:t> is</w:t>
      </w:r>
      <w:r>
        <w:rPr>
          <w:color w:val="231F20"/>
          <w:w w:val="105"/>
        </w:rPr>
        <w:t> a</w:t>
      </w:r>
      <w:r>
        <w:rPr>
          <w:color w:val="231F20"/>
          <w:w w:val="105"/>
        </w:rPr>
        <w:t> bad</w:t>
      </w:r>
      <w:r>
        <w:rPr>
          <w:color w:val="231F20"/>
          <w:w w:val="105"/>
        </w:rPr>
        <w:t> habit</w:t>
      </w:r>
      <w:r>
        <w:rPr>
          <w:color w:val="231F20"/>
          <w:w w:val="105"/>
        </w:rPr>
        <w:t> that</w:t>
      </w:r>
      <w:r>
        <w:rPr>
          <w:color w:val="231F20"/>
          <w:w w:val="105"/>
        </w:rPr>
        <w:t> you</w:t>
      </w:r>
      <w:r>
        <w:rPr>
          <w:color w:val="231F20"/>
          <w:w w:val="105"/>
        </w:rPr>
        <w:t> can</w:t>
      </w:r>
      <w:r>
        <w:rPr>
          <w:color w:val="231F20"/>
          <w:w w:val="105"/>
        </w:rPr>
        <w:t> break</w:t>
      </w:r>
      <w:r>
        <w:rPr>
          <w:color w:val="231F20"/>
          <w:spacing w:val="-2"/>
          <w:w w:val="105"/>
        </w:rPr>
        <w:t> </w:t>
      </w:r>
      <w:r>
        <w:rPr>
          <w:color w:val="231F20"/>
          <w:w w:val="105"/>
        </w:rPr>
        <w:t>.</w:t>
      </w:r>
      <w:r>
        <w:rPr>
          <w:color w:val="231F20"/>
          <w:spacing w:val="-2"/>
          <w:w w:val="105"/>
        </w:rPr>
        <w:t> </w:t>
      </w:r>
      <w:r>
        <w:rPr>
          <w:color w:val="231F20"/>
          <w:w w:val="105"/>
        </w:rPr>
        <w:t>.</w:t>
      </w:r>
      <w:r>
        <w:rPr>
          <w:color w:val="231F20"/>
          <w:spacing w:val="-2"/>
          <w:w w:val="105"/>
        </w:rPr>
        <w:t> </w:t>
      </w:r>
      <w:r>
        <w:rPr>
          <w:color w:val="231F20"/>
          <w:w w:val="105"/>
        </w:rPr>
        <w:t>.</w:t>
      </w:r>
      <w:r>
        <w:rPr>
          <w:color w:val="231F20"/>
          <w:spacing w:val="-2"/>
          <w:w w:val="105"/>
        </w:rPr>
        <w:t> </w:t>
      </w:r>
      <w:r>
        <w:rPr>
          <w:color w:val="231F20"/>
          <w:w w:val="105"/>
        </w:rPr>
        <w:t>with</w:t>
      </w:r>
      <w:r>
        <w:rPr>
          <w:color w:val="231F20"/>
          <w:w w:val="105"/>
        </w:rPr>
        <w:t> </w:t>
      </w:r>
      <w:r>
        <w:rPr>
          <w:i/>
          <w:color w:val="231F20"/>
          <w:w w:val="105"/>
        </w:rPr>
        <w:t>practice.</w:t>
      </w:r>
      <w:r>
        <w:rPr>
          <w:i/>
          <w:color w:val="231F20"/>
          <w:w w:val="105"/>
        </w:rPr>
        <w:t> </w:t>
      </w:r>
      <w:r>
        <w:rPr>
          <w:color w:val="231F20"/>
          <w:w w:val="105"/>
        </w:rPr>
        <w:t>Training the noise in your head, “the chatterbox” as Jeffers calls it, is</w:t>
      </w:r>
      <w:r>
        <w:rPr>
          <w:color w:val="231F20"/>
          <w:w w:val="105"/>
        </w:rPr>
        <w:t> your</w:t>
      </w:r>
      <w:r>
        <w:rPr>
          <w:color w:val="231F20"/>
          <w:w w:val="105"/>
        </w:rPr>
        <w:t> key.</w:t>
      </w:r>
      <w:r>
        <w:rPr>
          <w:color w:val="231F20"/>
          <w:w w:val="105"/>
        </w:rPr>
        <w:t> You</w:t>
      </w:r>
      <w:r>
        <w:rPr>
          <w:color w:val="231F20"/>
          <w:w w:val="105"/>
        </w:rPr>
        <w:t> can</w:t>
      </w:r>
      <w:r>
        <w:rPr>
          <w:color w:val="231F20"/>
          <w:w w:val="105"/>
        </w:rPr>
        <w:t> choose</w:t>
      </w:r>
      <w:r>
        <w:rPr>
          <w:color w:val="231F20"/>
          <w:w w:val="105"/>
        </w:rPr>
        <w:t> to</w:t>
      </w:r>
      <w:r>
        <w:rPr>
          <w:color w:val="231F20"/>
          <w:w w:val="105"/>
        </w:rPr>
        <w:t> have</w:t>
      </w:r>
      <w:r>
        <w:rPr>
          <w:color w:val="231F20"/>
          <w:w w:val="105"/>
        </w:rPr>
        <w:t> this</w:t>
      </w:r>
      <w:r>
        <w:rPr>
          <w:color w:val="231F20"/>
          <w:w w:val="105"/>
        </w:rPr>
        <w:t> voice</w:t>
      </w:r>
      <w:r>
        <w:rPr>
          <w:color w:val="231F20"/>
          <w:w w:val="105"/>
        </w:rPr>
        <w:t> constantly</w:t>
      </w:r>
      <w:r>
        <w:rPr>
          <w:color w:val="231F20"/>
          <w:w w:val="105"/>
        </w:rPr>
        <w:t> berating you,</w:t>
      </w:r>
      <w:r>
        <w:rPr>
          <w:color w:val="231F20"/>
          <w:w w:val="105"/>
        </w:rPr>
        <w:t> doubting</w:t>
      </w:r>
      <w:r>
        <w:rPr>
          <w:color w:val="231F20"/>
          <w:w w:val="105"/>
        </w:rPr>
        <w:t> your</w:t>
      </w:r>
      <w:r>
        <w:rPr>
          <w:color w:val="231F20"/>
          <w:w w:val="105"/>
        </w:rPr>
        <w:t> decisions</w:t>
      </w:r>
      <w:r>
        <w:rPr>
          <w:color w:val="231F20"/>
          <w:w w:val="105"/>
        </w:rPr>
        <w:t> with</w:t>
      </w:r>
      <w:r>
        <w:rPr>
          <w:color w:val="231F20"/>
          <w:w w:val="105"/>
        </w:rPr>
        <w:t> countless</w:t>
      </w:r>
      <w:r>
        <w:rPr>
          <w:color w:val="231F20"/>
          <w:w w:val="105"/>
        </w:rPr>
        <w:t> what</w:t>
      </w:r>
      <w:r>
        <w:rPr>
          <w:color w:val="231F20"/>
          <w:w w:val="105"/>
        </w:rPr>
        <w:t> if</w:t>
      </w:r>
      <w:r>
        <w:rPr>
          <w:color w:val="231F20"/>
          <w:w w:val="105"/>
        </w:rPr>
        <w:t> scenarios</w:t>
      </w:r>
      <w:r>
        <w:rPr>
          <w:color w:val="231F20"/>
          <w:w w:val="105"/>
        </w:rPr>
        <w:t> and regretful</w:t>
      </w:r>
      <w:r>
        <w:rPr>
          <w:color w:val="231F20"/>
          <w:w w:val="105"/>
        </w:rPr>
        <w:t> </w:t>
      </w:r>
      <w:r>
        <w:rPr>
          <w:i/>
          <w:color w:val="231F20"/>
          <w:w w:val="105"/>
        </w:rPr>
        <w:t>I</w:t>
      </w:r>
      <w:r>
        <w:rPr>
          <w:i/>
          <w:color w:val="231F20"/>
          <w:w w:val="105"/>
        </w:rPr>
        <w:t> should</w:t>
      </w:r>
      <w:r>
        <w:rPr>
          <w:i/>
          <w:color w:val="231F20"/>
          <w:w w:val="105"/>
        </w:rPr>
        <w:t> have</w:t>
      </w:r>
      <w:r>
        <w:rPr>
          <w:color w:val="231F20"/>
          <w:w w:val="105"/>
        </w:rPr>
        <w:t>s.</w:t>
      </w:r>
      <w:r>
        <w:rPr>
          <w:color w:val="231F20"/>
          <w:w w:val="105"/>
        </w:rPr>
        <w:t> Alternatively,</w:t>
      </w:r>
      <w:r>
        <w:rPr>
          <w:color w:val="231F20"/>
          <w:w w:val="105"/>
        </w:rPr>
        <w:t> you</w:t>
      </w:r>
      <w:r>
        <w:rPr>
          <w:color w:val="231F20"/>
          <w:w w:val="105"/>
        </w:rPr>
        <w:t> can</w:t>
      </w:r>
      <w:r>
        <w:rPr>
          <w:color w:val="231F20"/>
          <w:w w:val="105"/>
        </w:rPr>
        <w:t> choose</w:t>
      </w:r>
      <w:r>
        <w:rPr>
          <w:color w:val="231F20"/>
          <w:w w:val="105"/>
        </w:rPr>
        <w:t> to</w:t>
      </w:r>
      <w:r>
        <w:rPr>
          <w:color w:val="231F20"/>
          <w:w w:val="105"/>
        </w:rPr>
        <w:t> have</w:t>
      </w:r>
      <w:r>
        <w:rPr>
          <w:color w:val="231F20"/>
          <w:w w:val="105"/>
        </w:rPr>
        <w:t> a kind</w:t>
      </w:r>
      <w:r>
        <w:rPr>
          <w:color w:val="231F20"/>
          <w:spacing w:val="-10"/>
          <w:w w:val="105"/>
        </w:rPr>
        <w:t> </w:t>
      </w:r>
      <w:r>
        <w:rPr>
          <w:color w:val="231F20"/>
          <w:w w:val="105"/>
        </w:rPr>
        <w:t>internal</w:t>
      </w:r>
      <w:r>
        <w:rPr>
          <w:color w:val="231F20"/>
          <w:spacing w:val="-9"/>
          <w:w w:val="105"/>
        </w:rPr>
        <w:t> </w:t>
      </w:r>
      <w:r>
        <w:rPr>
          <w:color w:val="231F20"/>
          <w:w w:val="105"/>
        </w:rPr>
        <w:t>voice</w:t>
      </w:r>
      <w:r>
        <w:rPr>
          <w:color w:val="231F20"/>
          <w:spacing w:val="-10"/>
          <w:w w:val="105"/>
        </w:rPr>
        <w:t> </w:t>
      </w:r>
      <w:r>
        <w:rPr>
          <w:color w:val="231F20"/>
          <w:w w:val="105"/>
        </w:rPr>
        <w:t>tell</w:t>
      </w:r>
      <w:r>
        <w:rPr>
          <w:color w:val="231F20"/>
          <w:spacing w:val="-9"/>
          <w:w w:val="105"/>
        </w:rPr>
        <w:t> </w:t>
      </w:r>
      <w:r>
        <w:rPr>
          <w:color w:val="231F20"/>
          <w:w w:val="105"/>
        </w:rPr>
        <w:t>you,</w:t>
      </w:r>
      <w:r>
        <w:rPr>
          <w:color w:val="231F20"/>
          <w:spacing w:val="-10"/>
          <w:w w:val="105"/>
        </w:rPr>
        <w:t> </w:t>
      </w:r>
      <w:r>
        <w:rPr>
          <w:color w:val="231F20"/>
          <w:w w:val="105"/>
        </w:rPr>
        <w:t>“You</w:t>
      </w:r>
      <w:r>
        <w:rPr>
          <w:color w:val="231F20"/>
          <w:spacing w:val="-9"/>
          <w:w w:val="105"/>
        </w:rPr>
        <w:t> </w:t>
      </w:r>
      <w:r>
        <w:rPr>
          <w:color w:val="231F20"/>
          <w:w w:val="105"/>
        </w:rPr>
        <w:t>are</w:t>
      </w:r>
      <w:r>
        <w:rPr>
          <w:color w:val="231F20"/>
          <w:spacing w:val="-10"/>
          <w:w w:val="105"/>
        </w:rPr>
        <w:t> </w:t>
      </w:r>
      <w:r>
        <w:rPr>
          <w:color w:val="231F20"/>
          <w:w w:val="105"/>
        </w:rPr>
        <w:t>a</w:t>
      </w:r>
      <w:r>
        <w:rPr>
          <w:color w:val="231F20"/>
          <w:spacing w:val="-9"/>
          <w:w w:val="105"/>
        </w:rPr>
        <w:t> </w:t>
      </w:r>
      <w:r>
        <w:rPr>
          <w:color w:val="231F20"/>
          <w:w w:val="105"/>
        </w:rPr>
        <w:t>capable</w:t>
      </w:r>
      <w:r>
        <w:rPr>
          <w:color w:val="231F20"/>
          <w:spacing w:val="-10"/>
          <w:w w:val="105"/>
        </w:rPr>
        <w:t> </w:t>
      </w:r>
      <w:r>
        <w:rPr>
          <w:color w:val="231F20"/>
          <w:w w:val="105"/>
        </w:rPr>
        <w:t>and</w:t>
      </w:r>
      <w:r>
        <w:rPr>
          <w:color w:val="231F20"/>
          <w:spacing w:val="-9"/>
          <w:w w:val="105"/>
        </w:rPr>
        <w:t> </w:t>
      </w:r>
      <w:r>
        <w:rPr>
          <w:color w:val="231F20"/>
          <w:w w:val="105"/>
        </w:rPr>
        <w:t>talented</w:t>
      </w:r>
      <w:r>
        <w:rPr>
          <w:color w:val="231F20"/>
          <w:spacing w:val="-10"/>
          <w:w w:val="105"/>
        </w:rPr>
        <w:t> </w:t>
      </w:r>
      <w:r>
        <w:rPr>
          <w:color w:val="231F20"/>
          <w:spacing w:val="-2"/>
          <w:w w:val="105"/>
        </w:rPr>
        <w:t>person,</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and if things don’t work out, you can handle it. You can’t control the world, but you can control how you react to it and learn along </w:t>
      </w:r>
      <w:r>
        <w:rPr>
          <w:color w:val="231F20"/>
        </w:rPr>
        <w:t>the way to make better decisions in the future.”</w:t>
      </w:r>
    </w:p>
    <w:p>
      <w:pPr>
        <w:pStyle w:val="BodyText"/>
        <w:spacing w:line="292" w:lineRule="auto"/>
        <w:ind w:left="919" w:right="666" w:firstLine="340"/>
        <w:jc w:val="both"/>
      </w:pPr>
      <w:r>
        <w:rPr>
          <w:color w:val="231F20"/>
        </w:rPr>
        <w:t>Jeffers suggests that when you make a decision, look at what </w:t>
      </w:r>
      <w:r>
        <w:rPr>
          <w:color w:val="231F20"/>
        </w:rPr>
        <w:t>you can gain, not what you can lose. Do your homework to make sure</w:t>
      </w:r>
      <w:r>
        <w:rPr>
          <w:color w:val="231F20"/>
          <w:spacing w:val="80"/>
        </w:rPr>
        <w:t> </w:t>
      </w:r>
      <w:r>
        <w:rPr>
          <w:color w:val="231F20"/>
        </w:rPr>
        <w:t>you have all your facts to make a realistic and informed decision, es- tablish your priorities, and trust your intuition and lighten up. Any decision that you make will not result in nuclear holocaust. Every- one survived the collapses of Enron, WorldCom, and Arthur Ander- sen. Martha Stewart went to jail and she recovered.</w:t>
      </w:r>
    </w:p>
    <w:p>
      <w:pPr>
        <w:pStyle w:val="BodyText"/>
        <w:spacing w:line="292" w:lineRule="auto"/>
        <w:ind w:left="919" w:right="663" w:firstLine="340"/>
        <w:jc w:val="both"/>
      </w:pPr>
      <w:r>
        <w:rPr>
          <w:color w:val="231F20"/>
        </w:rPr>
        <w:t>After making a decision, do not wed yourself to what you</w:t>
      </w:r>
      <w:r>
        <w:rPr>
          <w:color w:val="231F20"/>
          <w:spacing w:val="80"/>
        </w:rPr>
        <w:t> </w:t>
      </w:r>
      <w:r>
        <w:rPr>
          <w:color w:val="231F20"/>
        </w:rPr>
        <w:t>thought “should be” the outcome: throw away that picture. If </w:t>
      </w:r>
      <w:r>
        <w:rPr>
          <w:color w:val="231F20"/>
        </w:rPr>
        <w:t>things do not work out perfectly, accept responsibility and correct the situ- ation. Avoid wasting your time trying to “protect” the righteousness of the decision that you made. You cannot change the past: you can only affect the future. Feeling guilty is not a productive treadmill to run on. Forgive others and yourself and be solution-oriented.</w:t>
      </w:r>
    </w:p>
    <w:p>
      <w:pPr>
        <w:pStyle w:val="BodyText"/>
        <w:spacing w:line="292" w:lineRule="auto"/>
        <w:ind w:left="919" w:right="663" w:firstLine="340"/>
        <w:jc w:val="both"/>
      </w:pPr>
      <w:r>
        <w:rPr>
          <w:color w:val="231F20"/>
        </w:rPr>
        <w:t>If you are having negative thoughts, Basset suggests that you</w:t>
      </w:r>
      <w:r>
        <w:rPr>
          <w:color w:val="231F20"/>
          <w:spacing w:val="40"/>
        </w:rPr>
        <w:t> </w:t>
      </w:r>
      <w:r>
        <w:rPr>
          <w:color w:val="231F20"/>
        </w:rPr>
        <w:t>need to recognize the thoughts for what they are and raise the “stop sign” right there. Ask yourself if the thoughts are true, realistic, </w:t>
      </w:r>
      <w:r>
        <w:rPr>
          <w:color w:val="231F20"/>
        </w:rPr>
        <w:t>ra- tional, and reasonable. Use your positive internal voice to put things into perspective and assure yourself that you can handle it, and</w:t>
      </w:r>
      <w:r>
        <w:rPr>
          <w:color w:val="231F20"/>
          <w:spacing w:val="80"/>
        </w:rPr>
        <w:t> </w:t>
      </w:r>
      <w:r>
        <w:rPr>
          <w:color w:val="231F20"/>
        </w:rPr>
        <w:t>make yourself feel positive. Positive self-talk is better than a bad habit of negative talk. In a positive and powerful mental state, you solve</w:t>
      </w:r>
      <w:r>
        <w:rPr>
          <w:color w:val="231F20"/>
          <w:spacing w:val="40"/>
        </w:rPr>
        <w:t> </w:t>
      </w:r>
      <w:r>
        <w:rPr>
          <w:color w:val="231F20"/>
        </w:rPr>
        <w:t>the</w:t>
      </w:r>
      <w:r>
        <w:rPr>
          <w:color w:val="231F20"/>
          <w:spacing w:val="40"/>
        </w:rPr>
        <w:t> </w:t>
      </w:r>
      <w:r>
        <w:rPr>
          <w:color w:val="231F20"/>
        </w:rPr>
        <w:t>problem</w:t>
      </w:r>
      <w:r>
        <w:rPr>
          <w:color w:val="231F20"/>
          <w:spacing w:val="40"/>
        </w:rPr>
        <w:t> </w:t>
      </w:r>
      <w:r>
        <w:rPr>
          <w:color w:val="231F20"/>
        </w:rPr>
        <w:t>by</w:t>
      </w:r>
      <w:r>
        <w:rPr>
          <w:color w:val="231F20"/>
          <w:spacing w:val="40"/>
        </w:rPr>
        <w:t> </w:t>
      </w:r>
      <w:r>
        <w:rPr>
          <w:i/>
          <w:color w:val="231F20"/>
        </w:rPr>
        <w:t>doing,</w:t>
      </w:r>
      <w:r>
        <w:rPr>
          <w:i/>
          <w:color w:val="231F20"/>
          <w:spacing w:val="40"/>
        </w:rPr>
        <w:t> </w:t>
      </w:r>
      <w:r>
        <w:rPr>
          <w:color w:val="231F20"/>
        </w:rPr>
        <w:t>not</w:t>
      </w:r>
      <w:r>
        <w:rPr>
          <w:color w:val="231F20"/>
          <w:spacing w:val="40"/>
        </w:rPr>
        <w:t> </w:t>
      </w:r>
      <w:r>
        <w:rPr>
          <w:i/>
          <w:color w:val="231F20"/>
        </w:rPr>
        <w:t>worrying.</w:t>
      </w:r>
      <w:r>
        <w:rPr>
          <w:i/>
          <w:color w:val="231F20"/>
          <w:spacing w:val="40"/>
        </w:rPr>
        <w:t> </w:t>
      </w:r>
      <w:r>
        <w:rPr>
          <w:color w:val="231F20"/>
        </w:rPr>
        <w:t>If</w:t>
      </w:r>
      <w:r>
        <w:rPr>
          <w:color w:val="231F20"/>
          <w:spacing w:val="40"/>
        </w:rPr>
        <w:t> </w:t>
      </w:r>
      <w:r>
        <w:rPr>
          <w:color w:val="231F20"/>
        </w:rPr>
        <w:t>you</w:t>
      </w:r>
      <w:r>
        <w:rPr>
          <w:color w:val="231F20"/>
          <w:spacing w:val="40"/>
        </w:rPr>
        <w:t> </w:t>
      </w:r>
      <w:r>
        <w:rPr>
          <w:color w:val="231F20"/>
        </w:rPr>
        <w:t>are</w:t>
      </w:r>
      <w:r>
        <w:rPr>
          <w:color w:val="231F20"/>
          <w:spacing w:val="40"/>
        </w:rPr>
        <w:t> </w:t>
      </w:r>
      <w:r>
        <w:rPr>
          <w:color w:val="231F20"/>
        </w:rPr>
        <w:t>busy</w:t>
      </w:r>
      <w:r>
        <w:rPr>
          <w:color w:val="231F20"/>
          <w:spacing w:val="40"/>
        </w:rPr>
        <w:t> </w:t>
      </w:r>
      <w:r>
        <w:rPr>
          <w:i/>
          <w:color w:val="231F20"/>
        </w:rPr>
        <w:t>doing,</w:t>
      </w:r>
      <w:r>
        <w:rPr>
          <w:i/>
          <w:color w:val="231F20"/>
        </w:rPr>
        <w:t> </w:t>
      </w:r>
      <w:r>
        <w:rPr>
          <w:color w:val="231F20"/>
        </w:rPr>
        <w:t>you are not busy </w:t>
      </w:r>
      <w:r>
        <w:rPr>
          <w:i/>
          <w:color w:val="231F20"/>
        </w:rPr>
        <w:t>worrying. </w:t>
      </w:r>
      <w:r>
        <w:rPr>
          <w:color w:val="231F20"/>
        </w:rPr>
        <w:t>“Change your mind and change your mood.” The distraction of being active solving your problem, or perhaps taking some time out to exercise, listen to some music, or do something else positive, will provide time for the initial anxiety to pass. That enables you to become a more positive and productive leader for your next challenge.</w:t>
      </w:r>
    </w:p>
    <w:p>
      <w:pPr>
        <w:pStyle w:val="BodyText"/>
        <w:spacing w:line="292" w:lineRule="auto"/>
        <w:ind w:left="919" w:right="663" w:firstLine="340"/>
        <w:jc w:val="both"/>
      </w:pPr>
      <w:r>
        <w:rPr>
          <w:color w:val="231F20"/>
        </w:rPr>
        <w:t>Many</w:t>
      </w:r>
      <w:r>
        <w:rPr>
          <w:color w:val="231F20"/>
          <w:spacing w:val="40"/>
        </w:rPr>
        <w:t> </w:t>
      </w:r>
      <w:r>
        <w:rPr>
          <w:color w:val="231F20"/>
        </w:rPr>
        <w:t>other</w:t>
      </w:r>
      <w:r>
        <w:rPr>
          <w:color w:val="231F20"/>
          <w:spacing w:val="40"/>
        </w:rPr>
        <w:t> </w:t>
      </w:r>
      <w:r>
        <w:rPr>
          <w:color w:val="231F20"/>
        </w:rPr>
        <w:t>experts</w:t>
      </w:r>
      <w:r>
        <w:rPr>
          <w:color w:val="231F20"/>
          <w:spacing w:val="40"/>
        </w:rPr>
        <w:t> </w:t>
      </w:r>
      <w:r>
        <w:rPr>
          <w:color w:val="231F20"/>
        </w:rPr>
        <w:t>have</w:t>
      </w:r>
      <w:r>
        <w:rPr>
          <w:color w:val="231F20"/>
          <w:spacing w:val="40"/>
        </w:rPr>
        <w:t> </w:t>
      </w:r>
      <w:r>
        <w:rPr>
          <w:color w:val="231F20"/>
        </w:rPr>
        <w:t>similar</w:t>
      </w:r>
      <w:r>
        <w:rPr>
          <w:color w:val="231F20"/>
          <w:spacing w:val="40"/>
        </w:rPr>
        <w:t> </w:t>
      </w:r>
      <w:r>
        <w:rPr>
          <w:color w:val="231F20"/>
        </w:rPr>
        <w:t>advice.</w:t>
      </w:r>
      <w:r>
        <w:rPr>
          <w:color w:val="231F20"/>
          <w:spacing w:val="40"/>
        </w:rPr>
        <w:t> </w:t>
      </w:r>
      <w:r>
        <w:rPr>
          <w:color w:val="231F20"/>
        </w:rPr>
        <w:t>Spencer</w:t>
      </w:r>
      <w:r>
        <w:rPr>
          <w:color w:val="231F20"/>
          <w:spacing w:val="40"/>
        </w:rPr>
        <w:t> </w:t>
      </w:r>
      <w:r>
        <w:rPr>
          <w:color w:val="231F20"/>
        </w:rPr>
        <w:t>Johnson’s</w:t>
      </w:r>
      <w:r>
        <w:rPr>
          <w:color w:val="231F20"/>
          <w:spacing w:val="40"/>
        </w:rPr>
        <w:t> </w:t>
      </w:r>
      <w:r>
        <w:rPr>
          <w:i/>
          <w:color w:val="231F20"/>
        </w:rPr>
        <w:t>The Present </w:t>
      </w:r>
      <w:r>
        <w:rPr>
          <w:color w:val="231F20"/>
        </w:rPr>
        <w:t>is a great book about an old man’s sage advice about </w:t>
      </w:r>
      <w:r>
        <w:rPr>
          <w:color w:val="231F20"/>
        </w:rPr>
        <w:t>be- coming happy as a result of focusing on action in “the present.” “Be</w:t>
      </w:r>
      <w:r>
        <w:rPr>
          <w:color w:val="231F20"/>
          <w:spacing w:val="80"/>
        </w:rPr>
        <w:t> </w:t>
      </w:r>
      <w:r>
        <w:rPr>
          <w:color w:val="231F20"/>
        </w:rPr>
        <w:t>in the present, focus on what is right now. Use your purpose to re- spond</w:t>
      </w:r>
      <w:r>
        <w:rPr>
          <w:color w:val="231F20"/>
          <w:spacing w:val="57"/>
        </w:rPr>
        <w:t> </w:t>
      </w:r>
      <w:r>
        <w:rPr>
          <w:color w:val="231F20"/>
        </w:rPr>
        <w:t>to</w:t>
      </w:r>
      <w:r>
        <w:rPr>
          <w:color w:val="231F20"/>
          <w:spacing w:val="58"/>
        </w:rPr>
        <w:t> </w:t>
      </w:r>
      <w:r>
        <w:rPr>
          <w:color w:val="231F20"/>
        </w:rPr>
        <w:t>what</w:t>
      </w:r>
      <w:r>
        <w:rPr>
          <w:color w:val="231F20"/>
          <w:spacing w:val="58"/>
        </w:rPr>
        <w:t> </w:t>
      </w:r>
      <w:r>
        <w:rPr>
          <w:color w:val="231F20"/>
        </w:rPr>
        <w:t>is</w:t>
      </w:r>
      <w:r>
        <w:rPr>
          <w:color w:val="231F20"/>
          <w:spacing w:val="58"/>
        </w:rPr>
        <w:t> </w:t>
      </w:r>
      <w:r>
        <w:rPr>
          <w:color w:val="231F20"/>
        </w:rPr>
        <w:t>important</w:t>
      </w:r>
      <w:r>
        <w:rPr>
          <w:color w:val="231F20"/>
          <w:spacing w:val="57"/>
        </w:rPr>
        <w:t> </w:t>
      </w:r>
      <w:r>
        <w:rPr>
          <w:color w:val="231F20"/>
        </w:rPr>
        <w:t>to</w:t>
      </w:r>
      <w:r>
        <w:rPr>
          <w:color w:val="231F20"/>
          <w:spacing w:val="58"/>
        </w:rPr>
        <w:t> </w:t>
      </w:r>
      <w:r>
        <w:rPr>
          <w:color w:val="231F20"/>
        </w:rPr>
        <w:t>you.</w:t>
      </w:r>
      <w:r>
        <w:rPr>
          <w:color w:val="231F20"/>
          <w:spacing w:val="58"/>
        </w:rPr>
        <w:t> </w:t>
      </w:r>
      <w:r>
        <w:rPr>
          <w:color w:val="231F20"/>
        </w:rPr>
        <w:t>Learn</w:t>
      </w:r>
      <w:r>
        <w:rPr>
          <w:color w:val="231F20"/>
          <w:spacing w:val="58"/>
        </w:rPr>
        <w:t> </w:t>
      </w:r>
      <w:r>
        <w:rPr>
          <w:color w:val="231F20"/>
        </w:rPr>
        <w:t>from</w:t>
      </w:r>
      <w:r>
        <w:rPr>
          <w:color w:val="231F20"/>
          <w:spacing w:val="57"/>
        </w:rPr>
        <w:t> </w:t>
      </w:r>
      <w:r>
        <w:rPr>
          <w:color w:val="231F20"/>
        </w:rPr>
        <w:t>the</w:t>
      </w:r>
      <w:r>
        <w:rPr>
          <w:color w:val="231F20"/>
          <w:spacing w:val="58"/>
        </w:rPr>
        <w:t> </w:t>
      </w:r>
      <w:r>
        <w:rPr>
          <w:color w:val="231F20"/>
        </w:rPr>
        <w:t>past.</w:t>
      </w:r>
      <w:r>
        <w:rPr>
          <w:color w:val="231F20"/>
          <w:spacing w:val="58"/>
        </w:rPr>
        <w:t> </w:t>
      </w:r>
      <w:r>
        <w:rPr>
          <w:color w:val="231F20"/>
          <w:spacing w:val="-2"/>
        </w:rPr>
        <w:t>Learn</w:t>
      </w:r>
    </w:p>
    <w:p>
      <w:pPr>
        <w:spacing w:after="0" w:line="292" w:lineRule="auto"/>
        <w:jc w:val="both"/>
        <w:sectPr>
          <w:headerReference w:type="default" r:id="rId141"/>
          <w:headerReference w:type="even" r:id="rId142"/>
          <w:pgSz w:w="8640" w:h="12960"/>
          <w:pgMar w:header="734" w:footer="0" w:top="920" w:bottom="280" w:left="340" w:right="500"/>
          <w:pgNumType w:start="387"/>
        </w:sectPr>
      </w:pPr>
    </w:p>
    <w:p>
      <w:pPr>
        <w:pStyle w:val="BodyText"/>
        <w:spacing w:before="10"/>
        <w:rPr>
          <w:sz w:val="17"/>
        </w:rPr>
      </w:pPr>
    </w:p>
    <w:p>
      <w:pPr>
        <w:pStyle w:val="BodyText"/>
        <w:spacing w:line="292" w:lineRule="auto" w:before="102"/>
        <w:ind w:left="830" w:right="756"/>
        <w:jc w:val="both"/>
      </w:pPr>
      <w:r>
        <w:rPr>
          <w:color w:val="231F20"/>
        </w:rPr>
        <w:t>something valuable from it and do something different in the </w:t>
      </w:r>
      <w:r>
        <w:rPr>
          <w:color w:val="231F20"/>
        </w:rPr>
        <w:t>pres- ent. Plan for the future and see what a wonderful future would look like and make plans to help it happen. Put your plan into action in</w:t>
      </w:r>
      <w:r>
        <w:rPr>
          <w:color w:val="231F20"/>
          <w:spacing w:val="80"/>
        </w:rPr>
        <w:t> </w:t>
      </w:r>
      <w:r>
        <w:rPr>
          <w:color w:val="231F20"/>
        </w:rPr>
        <w:t>the present.”</w:t>
      </w:r>
    </w:p>
    <w:p>
      <w:pPr>
        <w:pStyle w:val="BodyText"/>
        <w:spacing w:line="292" w:lineRule="auto"/>
        <w:ind w:left="830" w:right="756" w:firstLine="339"/>
        <w:jc w:val="both"/>
      </w:pPr>
      <w:r>
        <w:rPr>
          <w:color w:val="231F20"/>
        </w:rPr>
        <w:t>In</w:t>
      </w:r>
      <w:r>
        <w:rPr>
          <w:color w:val="231F20"/>
          <w:spacing w:val="40"/>
        </w:rPr>
        <w:t> </w:t>
      </w:r>
      <w:r>
        <w:rPr>
          <w:color w:val="231F20"/>
        </w:rPr>
        <w:t>Johnson’s</w:t>
      </w:r>
      <w:r>
        <w:rPr>
          <w:color w:val="231F20"/>
          <w:spacing w:val="40"/>
        </w:rPr>
        <w:t> </w:t>
      </w:r>
      <w:r>
        <w:rPr>
          <w:i/>
          <w:color w:val="231F20"/>
        </w:rPr>
        <w:t>Who</w:t>
      </w:r>
      <w:r>
        <w:rPr>
          <w:i/>
          <w:color w:val="231F20"/>
          <w:spacing w:val="40"/>
        </w:rPr>
        <w:t> </w:t>
      </w:r>
      <w:r>
        <w:rPr>
          <w:i/>
          <w:color w:val="231F20"/>
        </w:rPr>
        <w:t>Moved</w:t>
      </w:r>
      <w:r>
        <w:rPr>
          <w:i/>
          <w:color w:val="231F20"/>
          <w:spacing w:val="40"/>
        </w:rPr>
        <w:t> </w:t>
      </w:r>
      <w:r>
        <w:rPr>
          <w:i/>
          <w:color w:val="231F20"/>
        </w:rPr>
        <w:t>My</w:t>
      </w:r>
      <w:r>
        <w:rPr>
          <w:i/>
          <w:color w:val="231F20"/>
          <w:spacing w:val="40"/>
        </w:rPr>
        <w:t> </w:t>
      </w:r>
      <w:r>
        <w:rPr>
          <w:i/>
          <w:color w:val="231F20"/>
        </w:rPr>
        <w:t>Cheese?,</w:t>
      </w:r>
      <w:r>
        <w:rPr>
          <w:i/>
          <w:color w:val="231F20"/>
          <w:spacing w:val="40"/>
        </w:rPr>
        <w:t> </w:t>
      </w:r>
      <w:r>
        <w:rPr>
          <w:color w:val="231F20"/>
        </w:rPr>
        <w:t>with</w:t>
      </w:r>
      <w:r>
        <w:rPr>
          <w:color w:val="231F20"/>
          <w:spacing w:val="40"/>
        </w:rPr>
        <w:t> </w:t>
      </w:r>
      <w:r>
        <w:rPr>
          <w:color w:val="231F20"/>
        </w:rPr>
        <w:t>examples</w:t>
      </w:r>
      <w:r>
        <w:rPr>
          <w:color w:val="231F20"/>
          <w:spacing w:val="40"/>
        </w:rPr>
        <w:t> </w:t>
      </w:r>
      <w:r>
        <w:rPr>
          <w:color w:val="231F20"/>
        </w:rPr>
        <w:t>of</w:t>
      </w:r>
      <w:r>
        <w:rPr>
          <w:color w:val="231F20"/>
          <w:spacing w:val="40"/>
        </w:rPr>
        <w:t> </w:t>
      </w:r>
      <w:r>
        <w:rPr>
          <w:color w:val="231F20"/>
        </w:rPr>
        <w:t>mice and little people caught in a maze, he focused on taking action in the face of a changing world. He advocated accepting change as part of life, proactively anticipating change, and dealing with it. </w:t>
      </w:r>
      <w:r>
        <w:rPr>
          <w:color w:val="231F20"/>
        </w:rPr>
        <w:t>Accepting change and dealing with it is more productive and better for your well-being than being paralyzed by fear and anxiety.</w:t>
      </w:r>
    </w:p>
    <w:p>
      <w:pPr>
        <w:pStyle w:val="BodyText"/>
        <w:spacing w:line="292" w:lineRule="auto"/>
        <w:ind w:left="830" w:right="756" w:firstLine="340"/>
        <w:jc w:val="both"/>
      </w:pPr>
      <w:r>
        <w:rPr>
          <w:color w:val="231F20"/>
        </w:rPr>
        <w:t>Leadership coaches touch on the practical as well as the big </w:t>
      </w:r>
      <w:r>
        <w:rPr>
          <w:color w:val="231F20"/>
        </w:rPr>
        <w:t>life- planning issues. Tools that leadership coaches suggest include keep- ing organized and prioritized by creating daily to-do lists. The lists enable you to check things off during the day and feel productive, even though you are not solving every issue at your company. Don’t overschedule your day; it is a method of avoidance. To effectively network and keep connected, you must keep an updated contact list in your Palm Pilot Treo and Blackberry. If you include significant keywords with your entries, such as </w:t>
      </w:r>
      <w:r>
        <w:rPr>
          <w:i/>
          <w:color w:val="231F20"/>
        </w:rPr>
        <w:t>Masters </w:t>
      </w:r>
      <w:r>
        <w:rPr>
          <w:color w:val="231F20"/>
        </w:rPr>
        <w:t>with someone whom you met at the Augusta golf classic, you can more effectively find people when you don’t remember their names.</w:t>
      </w:r>
    </w:p>
    <w:p>
      <w:pPr>
        <w:pStyle w:val="BodyText"/>
        <w:spacing w:line="292" w:lineRule="auto"/>
        <w:ind w:left="830" w:right="754" w:firstLine="340"/>
        <w:jc w:val="both"/>
      </w:pPr>
      <w:r>
        <w:rPr>
          <w:color w:val="231F20"/>
        </w:rPr>
        <w:t>On the big life issues, coaches will help you create a detailed </w:t>
      </w:r>
      <w:r>
        <w:rPr>
          <w:color w:val="231F20"/>
        </w:rPr>
        <w:t>set</w:t>
      </w:r>
      <w:r>
        <w:rPr>
          <w:color w:val="231F20"/>
          <w:spacing w:val="40"/>
        </w:rPr>
        <w:t> </w:t>
      </w:r>
      <w:r>
        <w:rPr>
          <w:color w:val="231F20"/>
        </w:rPr>
        <w:t>of goals for yourself: company, professional, personal, professional relationships, family relationships and community. Then you will re- view it periodically with the coach to make sure that you are on</w:t>
      </w:r>
      <w:r>
        <w:rPr>
          <w:color w:val="231F20"/>
          <w:spacing w:val="80"/>
        </w:rPr>
        <w:t> </w:t>
      </w:r>
      <w:r>
        <w:rPr>
          <w:color w:val="231F20"/>
        </w:rPr>
        <w:t>track and that your actions are in line with your goals. Stephen Covey’s </w:t>
      </w:r>
      <w:r>
        <w:rPr>
          <w:i/>
          <w:color w:val="231F20"/>
        </w:rPr>
        <w:t>7 Habits of Highly Effective People </w:t>
      </w:r>
      <w:r>
        <w:rPr>
          <w:color w:val="231F20"/>
        </w:rPr>
        <w:t>tells us to “take respon- sibility, make your mind up about what is important to you, and live by it. Seek first to understand, then to be understood.” His eighth habit, added in 2004, was “find your voice, your calling, your soul’s code, and inspire others to find theirs.”</w:t>
      </w:r>
    </w:p>
    <w:p>
      <w:pPr>
        <w:pStyle w:val="BodyText"/>
        <w:spacing w:line="292" w:lineRule="auto"/>
        <w:ind w:left="830" w:right="753" w:firstLine="339"/>
        <w:jc w:val="both"/>
      </w:pPr>
      <w:r>
        <w:rPr>
          <w:color w:val="231F20"/>
        </w:rPr>
        <w:t>Leadership coaches, as you can imagine, see themselves as </w:t>
      </w:r>
      <w:r>
        <w:rPr>
          <w:i/>
          <w:color w:val="231F20"/>
        </w:rPr>
        <w:t>life</w:t>
      </w:r>
      <w:r>
        <w:rPr>
          <w:i/>
          <w:color w:val="231F20"/>
        </w:rPr>
        <w:t> coaches </w:t>
      </w:r>
      <w:r>
        <w:rPr>
          <w:color w:val="231F20"/>
        </w:rPr>
        <w:t>as well and recommend regular exercise, healthy diets, </w:t>
      </w:r>
      <w:r>
        <w:rPr>
          <w:color w:val="231F20"/>
        </w:rPr>
        <w:t>not smoking, cutting back on caffeine, meditation, and getting proper sleep. They recommend a </w:t>
      </w:r>
      <w:r>
        <w:rPr>
          <w:i/>
          <w:color w:val="231F20"/>
        </w:rPr>
        <w:t>360-degree evaluation </w:t>
      </w:r>
      <w:r>
        <w:rPr>
          <w:color w:val="231F20"/>
        </w:rPr>
        <w:t>to gain self- awareness</w:t>
      </w:r>
      <w:r>
        <w:rPr>
          <w:color w:val="231F20"/>
          <w:spacing w:val="12"/>
        </w:rPr>
        <w:t> </w:t>
      </w:r>
      <w:r>
        <w:rPr>
          <w:color w:val="231F20"/>
        </w:rPr>
        <w:t>from</w:t>
      </w:r>
      <w:r>
        <w:rPr>
          <w:color w:val="231F20"/>
          <w:spacing w:val="13"/>
        </w:rPr>
        <w:t> </w:t>
      </w:r>
      <w:r>
        <w:rPr>
          <w:color w:val="231F20"/>
        </w:rPr>
        <w:t>your</w:t>
      </w:r>
      <w:r>
        <w:rPr>
          <w:color w:val="231F20"/>
          <w:spacing w:val="13"/>
        </w:rPr>
        <w:t> </w:t>
      </w:r>
      <w:r>
        <w:rPr>
          <w:color w:val="231F20"/>
        </w:rPr>
        <w:t>superiors,</w:t>
      </w:r>
      <w:r>
        <w:rPr>
          <w:color w:val="231F20"/>
          <w:spacing w:val="13"/>
        </w:rPr>
        <w:t> </w:t>
      </w:r>
      <w:r>
        <w:rPr>
          <w:color w:val="231F20"/>
        </w:rPr>
        <w:t>your</w:t>
      </w:r>
      <w:r>
        <w:rPr>
          <w:color w:val="231F20"/>
          <w:spacing w:val="13"/>
        </w:rPr>
        <w:t> </w:t>
      </w:r>
      <w:r>
        <w:rPr>
          <w:color w:val="231F20"/>
        </w:rPr>
        <w:t>colleagues,</w:t>
      </w:r>
      <w:r>
        <w:rPr>
          <w:color w:val="231F20"/>
          <w:spacing w:val="13"/>
        </w:rPr>
        <w:t> </w:t>
      </w:r>
      <w:r>
        <w:rPr>
          <w:color w:val="231F20"/>
        </w:rPr>
        <w:t>and</w:t>
      </w:r>
      <w:r>
        <w:rPr>
          <w:color w:val="231F20"/>
          <w:spacing w:val="12"/>
        </w:rPr>
        <w:t> </w:t>
      </w:r>
      <w:r>
        <w:rPr>
          <w:color w:val="231F20"/>
        </w:rPr>
        <w:t>your</w:t>
      </w:r>
      <w:r>
        <w:rPr>
          <w:color w:val="231F20"/>
          <w:spacing w:val="13"/>
        </w:rPr>
        <w:t> </w:t>
      </w:r>
      <w:r>
        <w:rPr>
          <w:color w:val="231F20"/>
        </w:rPr>
        <w:t>direct</w:t>
      </w:r>
      <w:r>
        <w:rPr>
          <w:color w:val="231F20"/>
          <w:spacing w:val="13"/>
        </w:rPr>
        <w:t> </w:t>
      </w:r>
      <w:r>
        <w:rPr>
          <w:color w:val="231F20"/>
          <w:spacing w:val="-5"/>
        </w:rPr>
        <w:t>re-</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4"/>
        <w:jc w:val="both"/>
      </w:pPr>
      <w:bookmarkStart w:name="Financial Planner" w:id="43"/>
      <w:bookmarkEnd w:id="43"/>
      <w:r>
        <w:rPr/>
      </w:r>
      <w:bookmarkStart w:name="_bookmark20" w:id="44"/>
      <w:bookmarkEnd w:id="44"/>
      <w:r>
        <w:rPr/>
      </w:r>
      <w:r>
        <w:rPr>
          <w:color w:val="231F20"/>
        </w:rPr>
        <w:t>ports. Coaches may offer other advice: Eat a piece a fruit each day</w:t>
      </w:r>
      <w:r>
        <w:rPr>
          <w:color w:val="231F20"/>
          <w:spacing w:val="40"/>
        </w:rPr>
        <w:t> </w:t>
      </w:r>
      <w:r>
        <w:rPr>
          <w:color w:val="231F20"/>
        </w:rPr>
        <w:t>and you are less likely to eat junk food. Smile more; your smile</w:t>
      </w:r>
      <w:r>
        <w:rPr>
          <w:color w:val="231F20"/>
          <w:spacing w:val="80"/>
        </w:rPr>
        <w:t> </w:t>
      </w:r>
      <w:r>
        <w:rPr>
          <w:color w:val="231F20"/>
        </w:rPr>
        <w:t>makes other people happy, which in turn makes you happy. Don’t accept the TV news’ picture of the world; it is a distorted, negative view. Give back; doing good for others is just as good for you. </w:t>
      </w:r>
      <w:r>
        <w:rPr>
          <w:color w:val="231F20"/>
        </w:rPr>
        <w:t>Many</w:t>
      </w:r>
      <w:r>
        <w:rPr>
          <w:color w:val="231F20"/>
          <w:spacing w:val="80"/>
        </w:rPr>
        <w:t> </w:t>
      </w:r>
      <w:r>
        <w:rPr>
          <w:color w:val="231F20"/>
        </w:rPr>
        <w:t>of these factors affect your general level of stress and anxiety and, therefore, affect your productivity as a business leader.</w:t>
      </w:r>
    </w:p>
    <w:p>
      <w:pPr>
        <w:pStyle w:val="BodyText"/>
        <w:rPr>
          <w:sz w:val="24"/>
        </w:rPr>
      </w:pPr>
    </w:p>
    <w:p>
      <w:pPr>
        <w:pStyle w:val="BodyText"/>
        <w:spacing w:before="8"/>
        <w:rPr>
          <w:sz w:val="24"/>
        </w:rPr>
      </w:pPr>
    </w:p>
    <w:p>
      <w:pPr>
        <w:pStyle w:val="Heading4"/>
        <w:ind w:left="481"/>
      </w:pPr>
      <w:hyperlink w:history="true" w:anchor="_bookmark2">
        <w:r>
          <w:rPr>
            <w:color w:val="0000FF"/>
            <w:w w:val="85"/>
          </w:rPr>
          <w:t>THE</w:t>
        </w:r>
        <w:r>
          <w:rPr>
            <w:color w:val="0000FF"/>
            <w:spacing w:val="8"/>
          </w:rPr>
          <w:t> </w:t>
        </w:r>
        <w:r>
          <w:rPr>
            <w:color w:val="0000FF"/>
            <w:spacing w:val="11"/>
            <w:w w:val="85"/>
          </w:rPr>
          <w:t>TEN-</w:t>
        </w:r>
        <w:r>
          <w:rPr>
            <w:color w:val="0000FF"/>
            <w:spacing w:val="9"/>
            <w:w w:val="85"/>
          </w:rPr>
          <w:t>MINUTE</w:t>
        </w:r>
        <w:r>
          <w:rPr>
            <w:color w:val="0000FF"/>
            <w:spacing w:val="8"/>
          </w:rPr>
          <w:t> </w:t>
        </w:r>
        <w:r>
          <w:rPr>
            <w:color w:val="0000FF"/>
            <w:spacing w:val="9"/>
            <w:w w:val="85"/>
          </w:rPr>
          <w:t>FINANCIAL</w:t>
        </w:r>
        <w:r>
          <w:rPr>
            <w:color w:val="0000FF"/>
            <w:spacing w:val="8"/>
          </w:rPr>
          <w:t> </w:t>
        </w:r>
        <w:r>
          <w:rPr>
            <w:color w:val="0000FF"/>
            <w:spacing w:val="9"/>
            <w:w w:val="85"/>
          </w:rPr>
          <w:t>PLANNER</w:t>
        </w:r>
      </w:hyperlink>
    </w:p>
    <w:p>
      <w:pPr>
        <w:pStyle w:val="BodyText"/>
        <w:spacing w:before="11"/>
        <w:rPr>
          <w:rFonts w:ascii="Trebuchet MS"/>
          <w:sz w:val="29"/>
        </w:rPr>
      </w:pPr>
    </w:p>
    <w:p>
      <w:pPr>
        <w:pStyle w:val="BodyText"/>
        <w:spacing w:line="292" w:lineRule="auto"/>
        <w:ind w:left="920" w:right="663"/>
        <w:jc w:val="both"/>
      </w:pPr>
      <w:r>
        <w:rPr>
          <w:color w:val="231F20"/>
        </w:rPr>
        <w:t>Business</w:t>
      </w:r>
      <w:r>
        <w:rPr>
          <w:color w:val="231F20"/>
          <w:spacing w:val="-7"/>
        </w:rPr>
        <w:t> </w:t>
      </w:r>
      <w:r>
        <w:rPr>
          <w:color w:val="231F20"/>
        </w:rPr>
        <w:t>schools</w:t>
      </w:r>
      <w:r>
        <w:rPr>
          <w:color w:val="231F20"/>
          <w:spacing w:val="-7"/>
        </w:rPr>
        <w:t> </w:t>
      </w:r>
      <w:r>
        <w:rPr>
          <w:color w:val="231F20"/>
        </w:rPr>
        <w:t>want</w:t>
      </w:r>
      <w:r>
        <w:rPr>
          <w:color w:val="231F20"/>
          <w:spacing w:val="-7"/>
        </w:rPr>
        <w:t> </w:t>
      </w:r>
      <w:r>
        <w:rPr>
          <w:color w:val="231F20"/>
        </w:rPr>
        <w:t>their</w:t>
      </w:r>
      <w:r>
        <w:rPr>
          <w:color w:val="231F20"/>
          <w:spacing w:val="-7"/>
        </w:rPr>
        <w:t> </w:t>
      </w:r>
      <w:r>
        <w:rPr>
          <w:color w:val="231F20"/>
        </w:rPr>
        <w:t>students</w:t>
      </w:r>
      <w:r>
        <w:rPr>
          <w:color w:val="231F20"/>
          <w:spacing w:val="-7"/>
        </w:rPr>
        <w:t> </w:t>
      </w:r>
      <w:r>
        <w:rPr>
          <w:color w:val="231F20"/>
        </w:rPr>
        <w:t>to</w:t>
      </w:r>
      <w:r>
        <w:rPr>
          <w:color w:val="231F20"/>
          <w:spacing w:val="-7"/>
        </w:rPr>
        <w:t> </w:t>
      </w:r>
      <w:r>
        <w:rPr>
          <w:color w:val="231F20"/>
        </w:rPr>
        <w:t>be</w:t>
      </w:r>
      <w:r>
        <w:rPr>
          <w:color w:val="231F20"/>
          <w:spacing w:val="-7"/>
        </w:rPr>
        <w:t> </w:t>
      </w:r>
      <w:r>
        <w:rPr>
          <w:color w:val="231F20"/>
        </w:rPr>
        <w:t>as</w:t>
      </w:r>
      <w:r>
        <w:rPr>
          <w:color w:val="231F20"/>
          <w:spacing w:val="-7"/>
        </w:rPr>
        <w:t> </w:t>
      </w:r>
      <w:r>
        <w:rPr>
          <w:color w:val="231F20"/>
        </w:rPr>
        <w:t>successful</w:t>
      </w:r>
      <w:r>
        <w:rPr>
          <w:color w:val="231F20"/>
          <w:spacing w:val="-7"/>
        </w:rPr>
        <w:t> </w:t>
      </w:r>
      <w:r>
        <w:rPr>
          <w:color w:val="231F20"/>
        </w:rPr>
        <w:t>as</w:t>
      </w:r>
      <w:r>
        <w:rPr>
          <w:color w:val="231F20"/>
          <w:spacing w:val="-7"/>
        </w:rPr>
        <w:t> </w:t>
      </w:r>
      <w:r>
        <w:rPr>
          <w:color w:val="231F20"/>
        </w:rPr>
        <w:t>possible</w:t>
      </w:r>
      <w:r>
        <w:rPr>
          <w:color w:val="231F20"/>
          <w:spacing w:val="-7"/>
        </w:rPr>
        <w:t> </w:t>
      </w:r>
      <w:r>
        <w:rPr>
          <w:color w:val="231F20"/>
        </w:rPr>
        <w:t>in meeting their personal financial goals. Several top schools offer courses on financial planning and financial management. No subject is more important to MBA students than their personal wealth cre- ation. The keys to becoming a millionaire are straightforward. Since the average MBA is earning a salary that puts him in the top 10 per- cent of earners, all it takes is discipline and some planning.</w:t>
      </w:r>
    </w:p>
    <w:p>
      <w:pPr>
        <w:pStyle w:val="BodyText"/>
        <w:spacing w:before="4"/>
        <w:rPr>
          <w:sz w:val="25"/>
        </w:rPr>
      </w:pPr>
    </w:p>
    <w:p>
      <w:pPr>
        <w:spacing w:line="292" w:lineRule="auto" w:before="0"/>
        <w:ind w:left="920" w:right="667" w:firstLine="0"/>
        <w:jc w:val="both"/>
        <w:rPr>
          <w:sz w:val="21"/>
        </w:rPr>
      </w:pPr>
      <w:r>
        <w:rPr>
          <w:b/>
          <w:color w:val="231F20"/>
          <w:sz w:val="21"/>
        </w:rPr>
        <w:t>Rule</w:t>
      </w:r>
      <w:r>
        <w:rPr>
          <w:b/>
          <w:color w:val="231F20"/>
          <w:spacing w:val="-4"/>
          <w:sz w:val="21"/>
        </w:rPr>
        <w:t> </w:t>
      </w:r>
      <w:r>
        <w:rPr>
          <w:b/>
          <w:color w:val="231F20"/>
          <w:sz w:val="21"/>
        </w:rPr>
        <w:t>1:</w:t>
      </w:r>
      <w:r>
        <w:rPr>
          <w:b/>
          <w:color w:val="231F20"/>
          <w:spacing w:val="-4"/>
          <w:sz w:val="21"/>
        </w:rPr>
        <w:t> </w:t>
      </w:r>
      <w:r>
        <w:rPr>
          <w:b/>
          <w:color w:val="231F20"/>
          <w:sz w:val="21"/>
        </w:rPr>
        <w:t>Pay</w:t>
      </w:r>
      <w:r>
        <w:rPr>
          <w:b/>
          <w:color w:val="231F20"/>
          <w:spacing w:val="-4"/>
          <w:sz w:val="21"/>
        </w:rPr>
        <w:t> </w:t>
      </w:r>
      <w:r>
        <w:rPr>
          <w:b/>
          <w:color w:val="231F20"/>
          <w:sz w:val="21"/>
        </w:rPr>
        <w:t>Yourself</w:t>
      </w:r>
      <w:r>
        <w:rPr>
          <w:b/>
          <w:color w:val="231F20"/>
          <w:spacing w:val="-4"/>
          <w:sz w:val="21"/>
        </w:rPr>
        <w:t> </w:t>
      </w:r>
      <w:r>
        <w:rPr>
          <w:b/>
          <w:color w:val="231F20"/>
          <w:sz w:val="21"/>
        </w:rPr>
        <w:t>First.</w:t>
      </w:r>
      <w:r>
        <w:rPr>
          <w:b/>
          <w:color w:val="231F20"/>
          <w:spacing w:val="-4"/>
          <w:sz w:val="21"/>
        </w:rPr>
        <w:t> </w:t>
      </w:r>
      <w:r>
        <w:rPr>
          <w:color w:val="231F20"/>
          <w:sz w:val="21"/>
        </w:rPr>
        <w:t>Automatically</w:t>
      </w:r>
      <w:r>
        <w:rPr>
          <w:color w:val="231F20"/>
          <w:spacing w:val="-4"/>
          <w:sz w:val="21"/>
        </w:rPr>
        <w:t> </w:t>
      </w:r>
      <w:r>
        <w:rPr>
          <w:color w:val="231F20"/>
          <w:sz w:val="21"/>
        </w:rPr>
        <w:t>save</w:t>
      </w:r>
      <w:r>
        <w:rPr>
          <w:color w:val="231F20"/>
          <w:spacing w:val="-4"/>
          <w:sz w:val="21"/>
        </w:rPr>
        <w:t> </w:t>
      </w:r>
      <w:r>
        <w:rPr>
          <w:color w:val="231F20"/>
          <w:sz w:val="21"/>
        </w:rPr>
        <w:t>a</w:t>
      </w:r>
      <w:r>
        <w:rPr>
          <w:color w:val="231F20"/>
          <w:spacing w:val="-4"/>
          <w:sz w:val="21"/>
        </w:rPr>
        <w:t> </w:t>
      </w:r>
      <w:r>
        <w:rPr>
          <w:color w:val="231F20"/>
          <w:sz w:val="21"/>
        </w:rPr>
        <w:t>minimum</w:t>
      </w:r>
      <w:r>
        <w:rPr>
          <w:color w:val="231F20"/>
          <w:spacing w:val="-4"/>
          <w:sz w:val="21"/>
        </w:rPr>
        <w:t> </w:t>
      </w:r>
      <w:r>
        <w:rPr>
          <w:color w:val="231F20"/>
          <w:sz w:val="21"/>
        </w:rPr>
        <w:t>of</w:t>
      </w:r>
      <w:r>
        <w:rPr>
          <w:color w:val="231F20"/>
          <w:spacing w:val="-4"/>
          <w:sz w:val="21"/>
        </w:rPr>
        <w:t> </w:t>
      </w:r>
      <w:r>
        <w:rPr>
          <w:color w:val="231F20"/>
          <w:sz w:val="21"/>
        </w:rPr>
        <w:t>10</w:t>
      </w:r>
      <w:r>
        <w:rPr>
          <w:color w:val="231F20"/>
          <w:spacing w:val="-4"/>
          <w:sz w:val="21"/>
        </w:rPr>
        <w:t> </w:t>
      </w:r>
      <w:r>
        <w:rPr>
          <w:color w:val="231F20"/>
          <w:sz w:val="21"/>
        </w:rPr>
        <w:t>per- cent of your earnings.</w:t>
      </w:r>
    </w:p>
    <w:p>
      <w:pPr>
        <w:pStyle w:val="BodyText"/>
        <w:spacing w:line="292" w:lineRule="auto"/>
        <w:ind w:left="919" w:right="663" w:firstLine="340"/>
        <w:jc w:val="both"/>
      </w:pPr>
      <w:r>
        <w:rPr>
          <w:i/>
          <w:color w:val="231F20"/>
        </w:rPr>
        <w:t>Maximize your tax-deferred savings opportunities. </w:t>
      </w:r>
      <w:r>
        <w:rPr>
          <w:color w:val="231F20"/>
        </w:rPr>
        <w:t>Take full ad- vantage of all 401(k) or 403(b) plans available. Take full advantage</w:t>
      </w:r>
      <w:r>
        <w:rPr>
          <w:color w:val="231F20"/>
          <w:spacing w:val="80"/>
        </w:rPr>
        <w:t> </w:t>
      </w:r>
      <w:r>
        <w:rPr>
          <w:color w:val="231F20"/>
        </w:rPr>
        <w:t>of employer matches. Take advantage of all the tax benefits from Uncle Sam. If you are in the 25 percent tax bracket, you are in</w:t>
      </w:r>
      <w:r>
        <w:rPr>
          <w:color w:val="231F20"/>
          <w:spacing w:val="80"/>
        </w:rPr>
        <w:t> </w:t>
      </w:r>
      <w:r>
        <w:rPr>
          <w:color w:val="231F20"/>
        </w:rPr>
        <w:t>essence</w:t>
      </w:r>
      <w:r>
        <w:rPr>
          <w:color w:val="231F20"/>
          <w:spacing w:val="-4"/>
        </w:rPr>
        <w:t> </w:t>
      </w:r>
      <w:r>
        <w:rPr>
          <w:color w:val="231F20"/>
        </w:rPr>
        <w:t>already</w:t>
      </w:r>
      <w:r>
        <w:rPr>
          <w:color w:val="231F20"/>
          <w:spacing w:val="-4"/>
        </w:rPr>
        <w:t> </w:t>
      </w:r>
      <w:r>
        <w:rPr>
          <w:color w:val="231F20"/>
        </w:rPr>
        <w:t>getting</w:t>
      </w:r>
      <w:r>
        <w:rPr>
          <w:color w:val="231F20"/>
          <w:spacing w:val="-4"/>
        </w:rPr>
        <w:t> </w:t>
      </w:r>
      <w:r>
        <w:rPr>
          <w:color w:val="231F20"/>
        </w:rPr>
        <w:t>a</w:t>
      </w:r>
      <w:r>
        <w:rPr>
          <w:color w:val="231F20"/>
          <w:spacing w:val="-4"/>
        </w:rPr>
        <w:t> </w:t>
      </w:r>
      <w:r>
        <w:rPr>
          <w:color w:val="231F20"/>
        </w:rPr>
        <w:t>25</w:t>
      </w:r>
      <w:r>
        <w:rPr>
          <w:color w:val="231F20"/>
          <w:spacing w:val="-4"/>
        </w:rPr>
        <w:t> </w:t>
      </w:r>
      <w:r>
        <w:rPr>
          <w:color w:val="231F20"/>
        </w:rPr>
        <w:t>percent</w:t>
      </w:r>
      <w:r>
        <w:rPr>
          <w:color w:val="231F20"/>
          <w:spacing w:val="-4"/>
        </w:rPr>
        <w:t> </w:t>
      </w:r>
      <w:r>
        <w:rPr>
          <w:color w:val="231F20"/>
        </w:rPr>
        <w:t>return</w:t>
      </w:r>
      <w:r>
        <w:rPr>
          <w:color w:val="231F20"/>
          <w:spacing w:val="-4"/>
        </w:rPr>
        <w:t> </w:t>
      </w:r>
      <w:r>
        <w:rPr>
          <w:color w:val="231F20"/>
        </w:rPr>
        <w:t>on</w:t>
      </w:r>
      <w:r>
        <w:rPr>
          <w:color w:val="231F20"/>
          <w:spacing w:val="-4"/>
        </w:rPr>
        <w:t> </w:t>
      </w:r>
      <w:r>
        <w:rPr>
          <w:color w:val="231F20"/>
        </w:rPr>
        <w:t>your</w:t>
      </w:r>
      <w:r>
        <w:rPr>
          <w:color w:val="231F20"/>
          <w:spacing w:val="-4"/>
        </w:rPr>
        <w:t> </w:t>
      </w:r>
      <w:r>
        <w:rPr>
          <w:color w:val="231F20"/>
        </w:rPr>
        <w:t>savings</w:t>
      </w:r>
      <w:r>
        <w:rPr>
          <w:color w:val="231F20"/>
          <w:spacing w:val="-4"/>
        </w:rPr>
        <w:t> </w:t>
      </w:r>
      <w:r>
        <w:rPr>
          <w:color w:val="231F20"/>
        </w:rPr>
        <w:t>by</w:t>
      </w:r>
      <w:r>
        <w:rPr>
          <w:color w:val="231F20"/>
          <w:spacing w:val="-4"/>
        </w:rPr>
        <w:t> </w:t>
      </w:r>
      <w:r>
        <w:rPr>
          <w:color w:val="231F20"/>
        </w:rPr>
        <w:t>avoid- ing the taxes versus trying to save it from your check after you get it. If you get an employer match, you doubled your money. What you earn in a mutual fund investment is icing on the cake. It would be tough to beat those returns, even in the heady times of the Internet bubble. It is important that your investment is automatically taken from your check before taxes are taken from the money.</w:t>
      </w:r>
    </w:p>
    <w:p>
      <w:pPr>
        <w:pStyle w:val="BodyText"/>
        <w:spacing w:line="292" w:lineRule="auto"/>
        <w:ind w:left="919" w:right="663" w:firstLine="340"/>
        <w:jc w:val="both"/>
      </w:pPr>
      <w:r>
        <w:rPr>
          <w:color w:val="231F20"/>
        </w:rPr>
        <w:t>If your employer does not have a 401(k) plan available, you </w:t>
      </w:r>
      <w:r>
        <w:rPr>
          <w:color w:val="231F20"/>
        </w:rPr>
        <w:t>need </w:t>
      </w:r>
      <w:r>
        <w:rPr>
          <w:color w:val="231F20"/>
          <w:w w:val="105"/>
        </w:rPr>
        <w:t>to</w:t>
      </w:r>
      <w:r>
        <w:rPr>
          <w:color w:val="231F20"/>
          <w:w w:val="105"/>
        </w:rPr>
        <w:t> maximize</w:t>
      </w:r>
      <w:r>
        <w:rPr>
          <w:color w:val="231F20"/>
          <w:w w:val="105"/>
        </w:rPr>
        <w:t> your</w:t>
      </w:r>
      <w:r>
        <w:rPr>
          <w:color w:val="231F20"/>
          <w:w w:val="105"/>
        </w:rPr>
        <w:t> other</w:t>
      </w:r>
      <w:r>
        <w:rPr>
          <w:color w:val="231F20"/>
          <w:w w:val="105"/>
        </w:rPr>
        <w:t> tax-deferred</w:t>
      </w:r>
      <w:r>
        <w:rPr>
          <w:color w:val="231F20"/>
          <w:w w:val="105"/>
        </w:rPr>
        <w:t> savings</w:t>
      </w:r>
      <w:r>
        <w:rPr>
          <w:color w:val="231F20"/>
          <w:w w:val="105"/>
        </w:rPr>
        <w:t> options.</w:t>
      </w:r>
      <w:r>
        <w:rPr>
          <w:color w:val="231F20"/>
          <w:w w:val="105"/>
        </w:rPr>
        <w:t> Maximize available Traditional IRAs, Roth IRAs, and Simple IRAs. Automati- </w:t>
      </w:r>
      <w:r>
        <w:rPr>
          <w:color w:val="231F20"/>
        </w:rPr>
        <w:t>cally</w:t>
      </w:r>
      <w:r>
        <w:rPr>
          <w:color w:val="231F20"/>
          <w:spacing w:val="23"/>
        </w:rPr>
        <w:t> </w:t>
      </w:r>
      <w:r>
        <w:rPr>
          <w:color w:val="231F20"/>
        </w:rPr>
        <w:t>invest</w:t>
      </w:r>
      <w:r>
        <w:rPr>
          <w:color w:val="231F20"/>
          <w:spacing w:val="23"/>
        </w:rPr>
        <w:t> </w:t>
      </w:r>
      <w:r>
        <w:rPr>
          <w:color w:val="231F20"/>
        </w:rPr>
        <w:t>with</w:t>
      </w:r>
      <w:r>
        <w:rPr>
          <w:color w:val="231F20"/>
          <w:spacing w:val="23"/>
        </w:rPr>
        <w:t> </w:t>
      </w:r>
      <w:r>
        <w:rPr>
          <w:color w:val="231F20"/>
        </w:rPr>
        <w:t>systematic</w:t>
      </w:r>
      <w:r>
        <w:rPr>
          <w:color w:val="231F20"/>
          <w:spacing w:val="23"/>
        </w:rPr>
        <w:t> </w:t>
      </w:r>
      <w:r>
        <w:rPr>
          <w:color w:val="231F20"/>
        </w:rPr>
        <w:t>payments</w:t>
      </w:r>
      <w:r>
        <w:rPr>
          <w:color w:val="231F20"/>
          <w:spacing w:val="23"/>
        </w:rPr>
        <w:t> </w:t>
      </w:r>
      <w:r>
        <w:rPr>
          <w:color w:val="231F20"/>
        </w:rPr>
        <w:t>from</w:t>
      </w:r>
      <w:r>
        <w:rPr>
          <w:color w:val="231F20"/>
          <w:spacing w:val="23"/>
        </w:rPr>
        <w:t> </w:t>
      </w:r>
      <w:r>
        <w:rPr>
          <w:color w:val="231F20"/>
        </w:rPr>
        <w:t>your</w:t>
      </w:r>
      <w:r>
        <w:rPr>
          <w:color w:val="231F20"/>
          <w:spacing w:val="23"/>
        </w:rPr>
        <w:t> </w:t>
      </w:r>
      <w:r>
        <w:rPr>
          <w:color w:val="231F20"/>
        </w:rPr>
        <w:t>paycheck</w:t>
      </w:r>
      <w:r>
        <w:rPr>
          <w:color w:val="231F20"/>
          <w:spacing w:val="23"/>
        </w:rPr>
        <w:t> </w:t>
      </w:r>
      <w:r>
        <w:rPr>
          <w:color w:val="231F20"/>
        </w:rPr>
        <w:t>or</w:t>
      </w:r>
      <w:r>
        <w:rPr>
          <w:color w:val="231F20"/>
          <w:spacing w:val="23"/>
        </w:rPr>
        <w:t> </w:t>
      </w:r>
      <w:r>
        <w:rPr>
          <w:color w:val="231F20"/>
          <w:spacing w:val="-4"/>
        </w:rPr>
        <w:t>from</w:t>
      </w:r>
    </w:p>
    <w:p>
      <w:pPr>
        <w:spacing w:after="0" w:line="292" w:lineRule="auto"/>
        <w:jc w:val="both"/>
        <w:sectPr>
          <w:headerReference w:type="default" r:id="rId143"/>
          <w:headerReference w:type="even" r:id="rId144"/>
          <w:pgSz w:w="8640" w:h="12960"/>
          <w:pgMar w:header="734" w:footer="0" w:top="920" w:bottom="280" w:left="340" w:right="500"/>
          <w:pgNumType w:start="389"/>
        </w:sectPr>
      </w:pPr>
    </w:p>
    <w:p>
      <w:pPr>
        <w:pStyle w:val="BodyText"/>
        <w:spacing w:before="10"/>
        <w:rPr>
          <w:sz w:val="17"/>
        </w:rPr>
      </w:pPr>
    </w:p>
    <w:p>
      <w:pPr>
        <w:pStyle w:val="BodyText"/>
        <w:spacing w:line="292" w:lineRule="auto" w:before="102"/>
        <w:ind w:left="830" w:right="756"/>
        <w:jc w:val="both"/>
      </w:pPr>
      <w:r>
        <w:rPr>
          <w:color w:val="231F20"/>
        </w:rPr>
        <w:t>your own checking account if possible. If you have </w:t>
      </w:r>
      <w:r>
        <w:rPr>
          <w:color w:val="231F20"/>
        </w:rPr>
        <w:t>self-employment income, you are able to save much more money tax-deferred. Create an Individual Person 401(k) or SEP IRA.</w:t>
      </w:r>
    </w:p>
    <w:p>
      <w:pPr>
        <w:pStyle w:val="BodyText"/>
        <w:spacing w:line="292" w:lineRule="auto"/>
        <w:ind w:left="829" w:right="753" w:firstLine="340"/>
        <w:jc w:val="both"/>
      </w:pPr>
      <w:r>
        <w:rPr>
          <w:color w:val="231F20"/>
        </w:rPr>
        <w:t>If</w:t>
      </w:r>
      <w:r>
        <w:rPr>
          <w:color w:val="231F20"/>
          <w:spacing w:val="40"/>
        </w:rPr>
        <w:t> </w:t>
      </w:r>
      <w:r>
        <w:rPr>
          <w:color w:val="231F20"/>
        </w:rPr>
        <w:t>you</w:t>
      </w:r>
      <w:r>
        <w:rPr>
          <w:color w:val="231F20"/>
          <w:spacing w:val="40"/>
        </w:rPr>
        <w:t> </w:t>
      </w:r>
      <w:r>
        <w:rPr>
          <w:color w:val="231F20"/>
        </w:rPr>
        <w:t>follow</w:t>
      </w:r>
      <w:r>
        <w:rPr>
          <w:color w:val="231F20"/>
          <w:spacing w:val="40"/>
        </w:rPr>
        <w:t> </w:t>
      </w:r>
      <w:r>
        <w:rPr>
          <w:color w:val="231F20"/>
        </w:rPr>
        <w:t>this</w:t>
      </w:r>
      <w:r>
        <w:rPr>
          <w:color w:val="231F20"/>
          <w:spacing w:val="40"/>
        </w:rPr>
        <w:t> </w:t>
      </w:r>
      <w:r>
        <w:rPr>
          <w:color w:val="231F20"/>
        </w:rPr>
        <w:t>plan,</w:t>
      </w:r>
      <w:r>
        <w:rPr>
          <w:color w:val="231F20"/>
          <w:spacing w:val="40"/>
        </w:rPr>
        <w:t> </w:t>
      </w:r>
      <w:r>
        <w:rPr>
          <w:color w:val="231F20"/>
        </w:rPr>
        <w:t>you</w:t>
      </w:r>
      <w:r>
        <w:rPr>
          <w:color w:val="231F20"/>
          <w:spacing w:val="40"/>
        </w:rPr>
        <w:t> </w:t>
      </w:r>
      <w:r>
        <w:rPr>
          <w:color w:val="231F20"/>
        </w:rPr>
        <w:t>are</w:t>
      </w:r>
      <w:r>
        <w:rPr>
          <w:color w:val="231F20"/>
          <w:spacing w:val="40"/>
        </w:rPr>
        <w:t> </w:t>
      </w:r>
      <w:r>
        <w:rPr>
          <w:color w:val="231F20"/>
        </w:rPr>
        <w:t>assured</w:t>
      </w:r>
      <w:r>
        <w:rPr>
          <w:color w:val="231F20"/>
          <w:spacing w:val="40"/>
        </w:rPr>
        <w:t> </w:t>
      </w:r>
      <w:r>
        <w:rPr>
          <w:color w:val="231F20"/>
        </w:rPr>
        <w:t>to</w:t>
      </w:r>
      <w:r>
        <w:rPr>
          <w:color w:val="231F20"/>
          <w:spacing w:val="40"/>
        </w:rPr>
        <w:t> </w:t>
      </w:r>
      <w:r>
        <w:rPr>
          <w:color w:val="231F20"/>
        </w:rPr>
        <w:t>amass</w:t>
      </w:r>
      <w:r>
        <w:rPr>
          <w:color w:val="231F20"/>
          <w:spacing w:val="40"/>
        </w:rPr>
        <w:t> </w:t>
      </w:r>
      <w:r>
        <w:rPr>
          <w:color w:val="231F20"/>
        </w:rPr>
        <w:t>more</w:t>
      </w:r>
      <w:r>
        <w:rPr>
          <w:color w:val="231F20"/>
          <w:spacing w:val="40"/>
        </w:rPr>
        <w:t> </w:t>
      </w:r>
      <w:r>
        <w:rPr>
          <w:color w:val="231F20"/>
        </w:rPr>
        <w:t>than</w:t>
      </w:r>
      <w:r>
        <w:rPr>
          <w:color w:val="231F20"/>
          <w:spacing w:val="80"/>
        </w:rPr>
        <w:t> </w:t>
      </w:r>
      <w:r>
        <w:rPr>
          <w:color w:val="231F20"/>
        </w:rPr>
        <w:t>a million dollars over your working career even with a moderate </w:t>
      </w:r>
      <w:r>
        <w:rPr>
          <w:color w:val="231F20"/>
          <w:spacing w:val="-2"/>
        </w:rPr>
        <w:t>income.</w:t>
      </w:r>
    </w:p>
    <w:p>
      <w:pPr>
        <w:pStyle w:val="BodyText"/>
        <w:spacing w:before="4"/>
        <w:rPr>
          <w:sz w:val="25"/>
        </w:rPr>
      </w:pPr>
    </w:p>
    <w:p>
      <w:pPr>
        <w:pStyle w:val="BodyText"/>
        <w:spacing w:line="292" w:lineRule="auto"/>
        <w:ind w:left="830" w:right="754"/>
        <w:jc w:val="both"/>
      </w:pPr>
      <w:r>
        <w:rPr>
          <w:b/>
          <w:color w:val="231F20"/>
        </w:rPr>
        <w:t>Rule 2: Own Your Home. </w:t>
      </w:r>
      <w:r>
        <w:rPr>
          <w:color w:val="231F20"/>
        </w:rPr>
        <w:t>Own your home, don’t rent. Renting a</w:t>
      </w:r>
      <w:r>
        <w:rPr>
          <w:color w:val="231F20"/>
          <w:spacing w:val="40"/>
        </w:rPr>
        <w:t> </w:t>
      </w:r>
      <w:r>
        <w:rPr>
          <w:color w:val="231F20"/>
        </w:rPr>
        <w:t>place does not build up any wealth for you, but it does for your landlord. As with the tax-deferred accounts, the federal government is subsidizing your home. The subsidy is your tax deduction for </w:t>
      </w:r>
      <w:r>
        <w:rPr>
          <w:color w:val="231F20"/>
        </w:rPr>
        <w:t>your mortgage interest. If you have a 25 percent tax rate, the government is paying 25 percent of your interest. In the first years of the mort- gage, when most of the payment is for interest, the government will be paying 25 percent of your entire mortgage payment. That deal is hard to turn down.</w:t>
      </w:r>
    </w:p>
    <w:p>
      <w:pPr>
        <w:pStyle w:val="BodyText"/>
        <w:spacing w:line="292" w:lineRule="auto"/>
        <w:ind w:left="829" w:right="754" w:firstLine="340"/>
        <w:jc w:val="both"/>
      </w:pPr>
      <w:r>
        <w:rPr>
          <w:color w:val="231F20"/>
        </w:rPr>
        <w:t>Thirty-year and fifteen-year mortgages are available if you plan</w:t>
      </w:r>
      <w:r>
        <w:rPr>
          <w:color w:val="231F20"/>
          <w:spacing w:val="40"/>
        </w:rPr>
        <w:t> </w:t>
      </w:r>
      <w:r>
        <w:rPr>
          <w:color w:val="231F20"/>
        </w:rPr>
        <w:t>to stay more than just a few years in a home. The fifteen-year mort- gage has a lower interest payment, takes half as long to own </w:t>
      </w:r>
      <w:r>
        <w:rPr>
          <w:color w:val="231F20"/>
        </w:rPr>
        <w:t>your home, and forces you to save more with a higher monthly payment. The thirty-year has a little higher interest rate, but takes twice as</w:t>
      </w:r>
      <w:r>
        <w:rPr>
          <w:color w:val="231F20"/>
          <w:spacing w:val="40"/>
        </w:rPr>
        <w:t> </w:t>
      </w:r>
      <w:r>
        <w:rPr>
          <w:color w:val="231F20"/>
        </w:rPr>
        <w:t>long to pay off. On the positive side of thirty-year mortgage, you can afford a larger house, which in a market of rising values allows you more</w:t>
      </w:r>
      <w:r>
        <w:rPr>
          <w:color w:val="231F20"/>
          <w:spacing w:val="-1"/>
        </w:rPr>
        <w:t> </w:t>
      </w:r>
      <w:r>
        <w:rPr>
          <w:color w:val="231F20"/>
        </w:rPr>
        <w:t>financial</w:t>
      </w:r>
      <w:r>
        <w:rPr>
          <w:color w:val="231F20"/>
          <w:spacing w:val="-1"/>
        </w:rPr>
        <w:t> </w:t>
      </w:r>
      <w:r>
        <w:rPr>
          <w:color w:val="231F20"/>
        </w:rPr>
        <w:t>leverage.</w:t>
      </w:r>
      <w:r>
        <w:rPr>
          <w:color w:val="231F20"/>
          <w:spacing w:val="-1"/>
        </w:rPr>
        <w:t> </w:t>
      </w:r>
      <w:r>
        <w:rPr>
          <w:color w:val="231F20"/>
        </w:rPr>
        <w:t>Few</w:t>
      </w:r>
      <w:r>
        <w:rPr>
          <w:color w:val="231F20"/>
          <w:spacing w:val="-1"/>
        </w:rPr>
        <w:t> </w:t>
      </w:r>
      <w:r>
        <w:rPr>
          <w:color w:val="231F20"/>
        </w:rPr>
        <w:t>investments</w:t>
      </w:r>
      <w:r>
        <w:rPr>
          <w:color w:val="231F20"/>
          <w:spacing w:val="-1"/>
        </w:rPr>
        <w:t> </w:t>
      </w:r>
      <w:r>
        <w:rPr>
          <w:color w:val="231F20"/>
        </w:rPr>
        <w:t>allow</w:t>
      </w:r>
      <w:r>
        <w:rPr>
          <w:color w:val="231F20"/>
          <w:spacing w:val="-1"/>
        </w:rPr>
        <w:t> </w:t>
      </w:r>
      <w:r>
        <w:rPr>
          <w:color w:val="231F20"/>
        </w:rPr>
        <w:t>you</w:t>
      </w:r>
      <w:r>
        <w:rPr>
          <w:color w:val="231F20"/>
          <w:spacing w:val="-1"/>
        </w:rPr>
        <w:t> </w:t>
      </w:r>
      <w:r>
        <w:rPr>
          <w:color w:val="231F20"/>
        </w:rPr>
        <w:t>to</w:t>
      </w:r>
      <w:r>
        <w:rPr>
          <w:color w:val="231F20"/>
          <w:spacing w:val="-1"/>
        </w:rPr>
        <w:t> </w:t>
      </w:r>
      <w:r>
        <w:rPr>
          <w:color w:val="231F20"/>
        </w:rPr>
        <w:t>have</w:t>
      </w:r>
      <w:r>
        <w:rPr>
          <w:color w:val="231F20"/>
          <w:spacing w:val="-1"/>
        </w:rPr>
        <w:t> </w:t>
      </w:r>
      <w:r>
        <w:rPr>
          <w:color w:val="231F20"/>
        </w:rPr>
        <w:t>the</w:t>
      </w:r>
      <w:r>
        <w:rPr>
          <w:color w:val="231F20"/>
          <w:spacing w:val="-1"/>
        </w:rPr>
        <w:t> </w:t>
      </w:r>
      <w:r>
        <w:rPr>
          <w:color w:val="231F20"/>
        </w:rPr>
        <w:t>same amount of leverage as your home mortgage. In a 20 percent down- payment situation, you control five times the value of real estate</w:t>
      </w:r>
      <w:r>
        <w:rPr>
          <w:color w:val="231F20"/>
          <w:spacing w:val="80"/>
        </w:rPr>
        <w:t> </w:t>
      </w:r>
      <w:r>
        <w:rPr>
          <w:color w:val="231F20"/>
        </w:rPr>
        <w:t>with your real estate investment.</w:t>
      </w:r>
    </w:p>
    <w:p>
      <w:pPr>
        <w:pStyle w:val="BodyText"/>
        <w:spacing w:line="292" w:lineRule="auto"/>
        <w:ind w:left="829" w:right="753" w:firstLine="340"/>
        <w:jc w:val="both"/>
      </w:pPr>
      <w:r>
        <w:rPr>
          <w:color w:val="231F20"/>
          <w:w w:val="105"/>
        </w:rPr>
        <w:t>If</w:t>
      </w:r>
      <w:r>
        <w:rPr>
          <w:color w:val="231F20"/>
          <w:spacing w:val="-4"/>
          <w:w w:val="105"/>
        </w:rPr>
        <w:t> </w:t>
      </w:r>
      <w:r>
        <w:rPr>
          <w:color w:val="231F20"/>
          <w:w w:val="105"/>
        </w:rPr>
        <w:t>you</w:t>
      </w:r>
      <w:r>
        <w:rPr>
          <w:color w:val="231F20"/>
          <w:spacing w:val="-4"/>
          <w:w w:val="105"/>
        </w:rPr>
        <w:t> </w:t>
      </w:r>
      <w:r>
        <w:rPr>
          <w:color w:val="231F20"/>
          <w:w w:val="105"/>
        </w:rPr>
        <w:t>want</w:t>
      </w:r>
      <w:r>
        <w:rPr>
          <w:color w:val="231F20"/>
          <w:spacing w:val="-4"/>
          <w:w w:val="105"/>
        </w:rPr>
        <w:t> </w:t>
      </w:r>
      <w:r>
        <w:rPr>
          <w:color w:val="231F20"/>
          <w:w w:val="105"/>
        </w:rPr>
        <w:t>to</w:t>
      </w:r>
      <w:r>
        <w:rPr>
          <w:color w:val="231F20"/>
          <w:spacing w:val="-4"/>
          <w:w w:val="105"/>
        </w:rPr>
        <w:t> </w:t>
      </w:r>
      <w:r>
        <w:rPr>
          <w:color w:val="231F20"/>
          <w:w w:val="105"/>
        </w:rPr>
        <w:t>accelerate</w:t>
      </w:r>
      <w:r>
        <w:rPr>
          <w:color w:val="231F20"/>
          <w:spacing w:val="-4"/>
          <w:w w:val="105"/>
        </w:rPr>
        <w:t> </w:t>
      </w:r>
      <w:r>
        <w:rPr>
          <w:color w:val="231F20"/>
          <w:w w:val="105"/>
        </w:rPr>
        <w:t>your</w:t>
      </w:r>
      <w:r>
        <w:rPr>
          <w:color w:val="231F20"/>
          <w:spacing w:val="-4"/>
          <w:w w:val="105"/>
        </w:rPr>
        <w:t> </w:t>
      </w:r>
      <w:r>
        <w:rPr>
          <w:color w:val="231F20"/>
          <w:w w:val="105"/>
        </w:rPr>
        <w:t>ownership</w:t>
      </w:r>
      <w:r>
        <w:rPr>
          <w:color w:val="231F20"/>
          <w:spacing w:val="-4"/>
          <w:w w:val="105"/>
        </w:rPr>
        <w:t> </w:t>
      </w:r>
      <w:r>
        <w:rPr>
          <w:color w:val="231F20"/>
          <w:w w:val="105"/>
        </w:rPr>
        <w:t>and</w:t>
      </w:r>
      <w:r>
        <w:rPr>
          <w:color w:val="231F20"/>
          <w:spacing w:val="-4"/>
          <w:w w:val="105"/>
        </w:rPr>
        <w:t> </w:t>
      </w:r>
      <w:r>
        <w:rPr>
          <w:color w:val="231F20"/>
          <w:w w:val="105"/>
        </w:rPr>
        <w:t>your</w:t>
      </w:r>
      <w:r>
        <w:rPr>
          <w:color w:val="231F20"/>
          <w:spacing w:val="-4"/>
          <w:w w:val="105"/>
        </w:rPr>
        <w:t> </w:t>
      </w:r>
      <w:r>
        <w:rPr>
          <w:color w:val="231F20"/>
          <w:w w:val="105"/>
        </w:rPr>
        <w:t>savings,</w:t>
      </w:r>
      <w:r>
        <w:rPr>
          <w:color w:val="231F20"/>
          <w:spacing w:val="-4"/>
          <w:w w:val="105"/>
        </w:rPr>
        <w:t> </w:t>
      </w:r>
      <w:r>
        <w:rPr>
          <w:color w:val="231F20"/>
          <w:w w:val="105"/>
        </w:rPr>
        <w:t>set up</w:t>
      </w:r>
      <w:r>
        <w:rPr>
          <w:color w:val="231F20"/>
          <w:w w:val="105"/>
        </w:rPr>
        <w:t> biweekly</w:t>
      </w:r>
      <w:r>
        <w:rPr>
          <w:color w:val="231F20"/>
          <w:w w:val="105"/>
        </w:rPr>
        <w:t> payments,</w:t>
      </w:r>
      <w:r>
        <w:rPr>
          <w:color w:val="231F20"/>
          <w:w w:val="105"/>
        </w:rPr>
        <w:t> make</w:t>
      </w:r>
      <w:r>
        <w:rPr>
          <w:color w:val="231F20"/>
          <w:w w:val="105"/>
        </w:rPr>
        <w:t> extra</w:t>
      </w:r>
      <w:r>
        <w:rPr>
          <w:color w:val="231F20"/>
          <w:w w:val="105"/>
        </w:rPr>
        <w:t> payments</w:t>
      </w:r>
      <w:r>
        <w:rPr>
          <w:color w:val="231F20"/>
          <w:w w:val="105"/>
        </w:rPr>
        <w:t> to</w:t>
      </w:r>
      <w:r>
        <w:rPr>
          <w:color w:val="231F20"/>
          <w:w w:val="105"/>
        </w:rPr>
        <w:t> principal</w:t>
      </w:r>
      <w:r>
        <w:rPr>
          <w:color w:val="231F20"/>
          <w:w w:val="105"/>
        </w:rPr>
        <w:t> each month,</w:t>
      </w:r>
      <w:r>
        <w:rPr>
          <w:color w:val="231F20"/>
          <w:w w:val="105"/>
        </w:rPr>
        <w:t> or</w:t>
      </w:r>
      <w:r>
        <w:rPr>
          <w:color w:val="231F20"/>
          <w:w w:val="105"/>
        </w:rPr>
        <w:t> make</w:t>
      </w:r>
      <w:r>
        <w:rPr>
          <w:color w:val="231F20"/>
          <w:w w:val="105"/>
        </w:rPr>
        <w:t> an</w:t>
      </w:r>
      <w:r>
        <w:rPr>
          <w:color w:val="231F20"/>
          <w:w w:val="105"/>
        </w:rPr>
        <w:t> extra</w:t>
      </w:r>
      <w:r>
        <w:rPr>
          <w:color w:val="231F20"/>
          <w:w w:val="105"/>
        </w:rPr>
        <w:t> month’s</w:t>
      </w:r>
      <w:r>
        <w:rPr>
          <w:color w:val="231F20"/>
          <w:w w:val="105"/>
        </w:rPr>
        <w:t> payment</w:t>
      </w:r>
      <w:r>
        <w:rPr>
          <w:color w:val="231F20"/>
          <w:w w:val="105"/>
        </w:rPr>
        <w:t> to</w:t>
      </w:r>
      <w:r>
        <w:rPr>
          <w:color w:val="231F20"/>
          <w:w w:val="105"/>
        </w:rPr>
        <w:t> principal</w:t>
      </w:r>
      <w:r>
        <w:rPr>
          <w:color w:val="231F20"/>
          <w:w w:val="105"/>
        </w:rPr>
        <w:t> each</w:t>
      </w:r>
      <w:r>
        <w:rPr>
          <w:color w:val="231F20"/>
          <w:w w:val="105"/>
        </w:rPr>
        <w:t> year. You</w:t>
      </w:r>
      <w:r>
        <w:rPr>
          <w:color w:val="231F20"/>
          <w:w w:val="105"/>
        </w:rPr>
        <w:t> could</w:t>
      </w:r>
      <w:r>
        <w:rPr>
          <w:color w:val="231F20"/>
          <w:w w:val="105"/>
        </w:rPr>
        <w:t> own</w:t>
      </w:r>
      <w:r>
        <w:rPr>
          <w:color w:val="231F20"/>
          <w:w w:val="105"/>
        </w:rPr>
        <w:t> your</w:t>
      </w:r>
      <w:r>
        <w:rPr>
          <w:color w:val="231F20"/>
          <w:w w:val="105"/>
        </w:rPr>
        <w:t> house</w:t>
      </w:r>
      <w:r>
        <w:rPr>
          <w:color w:val="231F20"/>
          <w:w w:val="105"/>
        </w:rPr>
        <w:t> totally</w:t>
      </w:r>
      <w:r>
        <w:rPr>
          <w:color w:val="231F20"/>
          <w:w w:val="105"/>
        </w:rPr>
        <w:t> in</w:t>
      </w:r>
      <w:r>
        <w:rPr>
          <w:color w:val="231F20"/>
          <w:w w:val="105"/>
        </w:rPr>
        <w:t> ten</w:t>
      </w:r>
      <w:r>
        <w:rPr>
          <w:color w:val="231F20"/>
          <w:w w:val="105"/>
        </w:rPr>
        <w:t> years</w:t>
      </w:r>
      <w:r>
        <w:rPr>
          <w:color w:val="231F20"/>
          <w:w w:val="105"/>
        </w:rPr>
        <w:t> if</w:t>
      </w:r>
      <w:r>
        <w:rPr>
          <w:color w:val="231F20"/>
          <w:w w:val="105"/>
        </w:rPr>
        <w:t> you</w:t>
      </w:r>
      <w:r>
        <w:rPr>
          <w:color w:val="231F20"/>
          <w:w w:val="105"/>
        </w:rPr>
        <w:t> wish.</w:t>
      </w:r>
      <w:r>
        <w:rPr>
          <w:color w:val="231F20"/>
          <w:w w:val="105"/>
        </w:rPr>
        <w:t> Make sure</w:t>
      </w:r>
      <w:r>
        <w:rPr>
          <w:color w:val="231F20"/>
          <w:spacing w:val="-6"/>
          <w:w w:val="105"/>
        </w:rPr>
        <w:t> </w:t>
      </w:r>
      <w:r>
        <w:rPr>
          <w:color w:val="231F20"/>
          <w:w w:val="105"/>
        </w:rPr>
        <w:t>to</w:t>
      </w:r>
      <w:r>
        <w:rPr>
          <w:color w:val="231F20"/>
          <w:spacing w:val="-6"/>
          <w:w w:val="105"/>
        </w:rPr>
        <w:t> </w:t>
      </w:r>
      <w:r>
        <w:rPr>
          <w:color w:val="231F20"/>
          <w:w w:val="105"/>
        </w:rPr>
        <w:t>shop</w:t>
      </w:r>
      <w:r>
        <w:rPr>
          <w:color w:val="231F20"/>
          <w:spacing w:val="-6"/>
          <w:w w:val="105"/>
        </w:rPr>
        <w:t> </w:t>
      </w:r>
      <w:r>
        <w:rPr>
          <w:color w:val="231F20"/>
          <w:w w:val="105"/>
        </w:rPr>
        <w:t>to</w:t>
      </w:r>
      <w:r>
        <w:rPr>
          <w:color w:val="231F20"/>
          <w:spacing w:val="-6"/>
          <w:w w:val="105"/>
        </w:rPr>
        <w:t> </w:t>
      </w:r>
      <w:r>
        <w:rPr>
          <w:color w:val="231F20"/>
          <w:w w:val="105"/>
        </w:rPr>
        <w:t>compare</w:t>
      </w:r>
      <w:r>
        <w:rPr>
          <w:color w:val="231F20"/>
          <w:spacing w:val="-6"/>
          <w:w w:val="105"/>
        </w:rPr>
        <w:t> </w:t>
      </w:r>
      <w:r>
        <w:rPr>
          <w:color w:val="231F20"/>
          <w:w w:val="105"/>
        </w:rPr>
        <w:t>interest</w:t>
      </w:r>
      <w:r>
        <w:rPr>
          <w:color w:val="231F20"/>
          <w:spacing w:val="-6"/>
          <w:w w:val="105"/>
        </w:rPr>
        <w:t> </w:t>
      </w:r>
      <w:r>
        <w:rPr>
          <w:color w:val="231F20"/>
          <w:w w:val="105"/>
        </w:rPr>
        <w:t>rates</w:t>
      </w:r>
      <w:r>
        <w:rPr>
          <w:color w:val="231F20"/>
          <w:spacing w:val="-6"/>
          <w:w w:val="105"/>
        </w:rPr>
        <w:t> </w:t>
      </w:r>
      <w:r>
        <w:rPr>
          <w:color w:val="231F20"/>
          <w:w w:val="105"/>
        </w:rPr>
        <w:t>and</w:t>
      </w:r>
      <w:r>
        <w:rPr>
          <w:color w:val="231F20"/>
          <w:spacing w:val="-6"/>
          <w:w w:val="105"/>
        </w:rPr>
        <w:t> </w:t>
      </w:r>
      <w:r>
        <w:rPr>
          <w:color w:val="231F20"/>
          <w:w w:val="105"/>
        </w:rPr>
        <w:t>fees.</w:t>
      </w:r>
      <w:r>
        <w:rPr>
          <w:color w:val="231F20"/>
          <w:spacing w:val="-6"/>
          <w:w w:val="105"/>
        </w:rPr>
        <w:t> </w:t>
      </w:r>
      <w:r>
        <w:rPr>
          <w:color w:val="231F20"/>
          <w:w w:val="105"/>
        </w:rPr>
        <w:t>Use</w:t>
      </w:r>
      <w:r>
        <w:rPr>
          <w:color w:val="231F20"/>
          <w:spacing w:val="-6"/>
          <w:w w:val="105"/>
        </w:rPr>
        <w:t> </w:t>
      </w:r>
      <w:r>
        <w:rPr>
          <w:color w:val="231F20"/>
          <w:w w:val="105"/>
        </w:rPr>
        <w:t>bankrate.com.</w:t>
      </w:r>
    </w:p>
    <w:p>
      <w:pPr>
        <w:pStyle w:val="BodyText"/>
        <w:spacing w:line="292" w:lineRule="auto"/>
        <w:ind w:left="829" w:right="756" w:firstLine="340"/>
        <w:jc w:val="both"/>
      </w:pPr>
      <w:r>
        <w:rPr>
          <w:i/>
          <w:color w:val="231F20"/>
        </w:rPr>
        <w:t>Own rental property. </w:t>
      </w:r>
      <w:r>
        <w:rPr>
          <w:color w:val="231F20"/>
        </w:rPr>
        <w:t>When you are further along with the pay- ments</w:t>
      </w:r>
      <w:r>
        <w:rPr>
          <w:color w:val="231F20"/>
          <w:spacing w:val="40"/>
        </w:rPr>
        <w:t> </w:t>
      </w:r>
      <w:r>
        <w:rPr>
          <w:color w:val="231F20"/>
        </w:rPr>
        <w:t>on</w:t>
      </w:r>
      <w:r>
        <w:rPr>
          <w:color w:val="231F20"/>
          <w:spacing w:val="40"/>
        </w:rPr>
        <w:t> </w:t>
      </w:r>
      <w:r>
        <w:rPr>
          <w:color w:val="231F20"/>
        </w:rPr>
        <w:t>your</w:t>
      </w:r>
      <w:r>
        <w:rPr>
          <w:color w:val="231F20"/>
          <w:spacing w:val="40"/>
        </w:rPr>
        <w:t> </w:t>
      </w:r>
      <w:r>
        <w:rPr>
          <w:color w:val="231F20"/>
        </w:rPr>
        <w:t>house,</w:t>
      </w:r>
      <w:r>
        <w:rPr>
          <w:color w:val="231F20"/>
          <w:spacing w:val="40"/>
        </w:rPr>
        <w:t> </w:t>
      </w:r>
      <w:r>
        <w:rPr>
          <w:color w:val="231F20"/>
        </w:rPr>
        <w:t>you</w:t>
      </w:r>
      <w:r>
        <w:rPr>
          <w:color w:val="231F20"/>
          <w:spacing w:val="40"/>
        </w:rPr>
        <w:t> </w:t>
      </w:r>
      <w:r>
        <w:rPr>
          <w:color w:val="231F20"/>
        </w:rPr>
        <w:t>will</w:t>
      </w:r>
      <w:r>
        <w:rPr>
          <w:color w:val="231F20"/>
          <w:spacing w:val="40"/>
        </w:rPr>
        <w:t> </w:t>
      </w:r>
      <w:r>
        <w:rPr>
          <w:color w:val="231F20"/>
        </w:rPr>
        <w:t>have</w:t>
      </w:r>
      <w:r>
        <w:rPr>
          <w:color w:val="231F20"/>
          <w:spacing w:val="40"/>
        </w:rPr>
        <w:t> </w:t>
      </w:r>
      <w:r>
        <w:rPr>
          <w:color w:val="231F20"/>
        </w:rPr>
        <w:t>built</w:t>
      </w:r>
      <w:r>
        <w:rPr>
          <w:color w:val="231F20"/>
          <w:spacing w:val="40"/>
        </w:rPr>
        <w:t> </w:t>
      </w:r>
      <w:r>
        <w:rPr>
          <w:color w:val="231F20"/>
        </w:rPr>
        <w:t>up</w:t>
      </w:r>
      <w:r>
        <w:rPr>
          <w:color w:val="231F20"/>
          <w:spacing w:val="40"/>
        </w:rPr>
        <w:t> </w:t>
      </w:r>
      <w:r>
        <w:rPr>
          <w:color w:val="231F20"/>
        </w:rPr>
        <w:t>considerable</w:t>
      </w:r>
      <w:r>
        <w:rPr>
          <w:color w:val="231F20"/>
          <w:spacing w:val="40"/>
        </w:rPr>
        <w:t> </w:t>
      </w:r>
      <w:r>
        <w:rPr>
          <w:color w:val="231F20"/>
        </w:rPr>
        <w:t>equity. You</w:t>
      </w:r>
      <w:r>
        <w:rPr>
          <w:color w:val="231F20"/>
          <w:spacing w:val="11"/>
        </w:rPr>
        <w:t> </w:t>
      </w:r>
      <w:r>
        <w:rPr>
          <w:color w:val="231F20"/>
        </w:rPr>
        <w:t>can</w:t>
      </w:r>
      <w:r>
        <w:rPr>
          <w:color w:val="231F20"/>
          <w:spacing w:val="12"/>
        </w:rPr>
        <w:t> </w:t>
      </w:r>
      <w:r>
        <w:rPr>
          <w:color w:val="231F20"/>
        </w:rPr>
        <w:t>use</w:t>
      </w:r>
      <w:r>
        <w:rPr>
          <w:color w:val="231F20"/>
          <w:spacing w:val="12"/>
        </w:rPr>
        <w:t> </w:t>
      </w:r>
      <w:r>
        <w:rPr>
          <w:color w:val="231F20"/>
        </w:rPr>
        <w:t>the</w:t>
      </w:r>
      <w:r>
        <w:rPr>
          <w:color w:val="231F20"/>
          <w:spacing w:val="12"/>
        </w:rPr>
        <w:t> </w:t>
      </w:r>
      <w:r>
        <w:rPr>
          <w:color w:val="231F20"/>
        </w:rPr>
        <w:t>equity</w:t>
      </w:r>
      <w:r>
        <w:rPr>
          <w:color w:val="231F20"/>
          <w:spacing w:val="12"/>
        </w:rPr>
        <w:t> </w:t>
      </w:r>
      <w:r>
        <w:rPr>
          <w:color w:val="231F20"/>
        </w:rPr>
        <w:t>in</w:t>
      </w:r>
      <w:r>
        <w:rPr>
          <w:color w:val="231F20"/>
          <w:spacing w:val="12"/>
        </w:rPr>
        <w:t> </w:t>
      </w:r>
      <w:r>
        <w:rPr>
          <w:color w:val="231F20"/>
        </w:rPr>
        <w:t>your</w:t>
      </w:r>
      <w:r>
        <w:rPr>
          <w:color w:val="231F20"/>
          <w:spacing w:val="12"/>
        </w:rPr>
        <w:t> </w:t>
      </w:r>
      <w:r>
        <w:rPr>
          <w:color w:val="231F20"/>
        </w:rPr>
        <w:t>home</w:t>
      </w:r>
      <w:r>
        <w:rPr>
          <w:color w:val="231F20"/>
          <w:spacing w:val="12"/>
        </w:rPr>
        <w:t> </w:t>
      </w:r>
      <w:r>
        <w:rPr>
          <w:color w:val="231F20"/>
        </w:rPr>
        <w:t>to</w:t>
      </w:r>
      <w:r>
        <w:rPr>
          <w:color w:val="231F20"/>
          <w:spacing w:val="12"/>
        </w:rPr>
        <w:t> </w:t>
      </w:r>
      <w:r>
        <w:rPr>
          <w:color w:val="231F20"/>
        </w:rPr>
        <w:t>buy</w:t>
      </w:r>
      <w:r>
        <w:rPr>
          <w:color w:val="231F20"/>
          <w:spacing w:val="12"/>
        </w:rPr>
        <w:t> </w:t>
      </w:r>
      <w:r>
        <w:rPr>
          <w:color w:val="231F20"/>
        </w:rPr>
        <w:t>another</w:t>
      </w:r>
      <w:r>
        <w:rPr>
          <w:color w:val="231F20"/>
          <w:spacing w:val="12"/>
        </w:rPr>
        <w:t> </w:t>
      </w:r>
      <w:r>
        <w:rPr>
          <w:color w:val="231F20"/>
        </w:rPr>
        <w:t>home</w:t>
      </w:r>
      <w:r>
        <w:rPr>
          <w:color w:val="231F20"/>
          <w:spacing w:val="12"/>
        </w:rPr>
        <w:t> </w:t>
      </w:r>
      <w:r>
        <w:rPr>
          <w:color w:val="231F20"/>
        </w:rPr>
        <w:t>for</w:t>
      </w:r>
      <w:r>
        <w:rPr>
          <w:color w:val="231F20"/>
          <w:spacing w:val="12"/>
        </w:rPr>
        <w:t> </w:t>
      </w:r>
      <w:r>
        <w:rPr>
          <w:color w:val="231F20"/>
          <w:spacing w:val="-2"/>
        </w:rPr>
        <w:t>your-</w:t>
      </w:r>
    </w:p>
    <w:p>
      <w:pPr>
        <w:spacing w:after="0" w:line="292" w:lineRule="auto"/>
        <w:jc w:val="both"/>
        <w:sectPr>
          <w:pgSz w:w="8640" w:h="12960"/>
          <w:pgMar w:header="732" w:footer="0" w:top="920" w:bottom="280" w:left="340" w:right="500"/>
        </w:sectPr>
      </w:pPr>
    </w:p>
    <w:p>
      <w:pPr>
        <w:pStyle w:val="BodyText"/>
        <w:spacing w:before="8"/>
        <w:rPr>
          <w:sz w:val="17"/>
        </w:rPr>
      </w:pPr>
    </w:p>
    <w:p>
      <w:pPr>
        <w:pStyle w:val="BodyText"/>
        <w:spacing w:line="292" w:lineRule="auto" w:before="102"/>
        <w:ind w:left="920" w:right="666"/>
        <w:jc w:val="both"/>
      </w:pPr>
      <w:r>
        <w:rPr>
          <w:color w:val="231F20"/>
        </w:rPr>
        <w:t>self or to buy a rental property. In that case the renters will be saving for you, as they pay off your mortgage on that property. See </w:t>
      </w:r>
      <w:r>
        <w:rPr>
          <w:color w:val="231F20"/>
        </w:rPr>
        <w:t>“The</w:t>
      </w:r>
      <w:r>
        <w:rPr>
          <w:color w:val="231F20"/>
          <w:spacing w:val="40"/>
        </w:rPr>
        <w:t> </w:t>
      </w:r>
      <w:r>
        <w:rPr>
          <w:color w:val="231F20"/>
        </w:rPr>
        <w:t>Ten-Minute Real Estate Investor” for guidance on the economics of real estate.</w:t>
      </w:r>
    </w:p>
    <w:p>
      <w:pPr>
        <w:pStyle w:val="BodyText"/>
        <w:spacing w:before="5"/>
        <w:rPr>
          <w:sz w:val="25"/>
        </w:rPr>
      </w:pPr>
    </w:p>
    <w:p>
      <w:pPr>
        <w:pStyle w:val="BodyText"/>
        <w:spacing w:line="292" w:lineRule="auto"/>
        <w:ind w:left="920" w:right="663"/>
        <w:jc w:val="both"/>
      </w:pPr>
      <w:r>
        <w:rPr>
          <w:b/>
          <w:color w:val="231F20"/>
        </w:rPr>
        <w:t>Rule 3: Create an Emergency Fund and an Investment Portfolio. </w:t>
      </w:r>
      <w:r>
        <w:rPr>
          <w:color w:val="231F20"/>
        </w:rPr>
        <w:t>Everyone needs an emergency fund. Experts suggest three to six months expenses as appropriate, but longer is okay if that is what makes you sleep well at night. You need to pay yourself first to </w:t>
      </w:r>
      <w:r>
        <w:rPr>
          <w:color w:val="231F20"/>
        </w:rPr>
        <w:t>cre- ate this nest egg with a set amount each month until you reach your goal. This account will not have the benefit of a government subsidy because it comes out of your paycheck after taxes have been taken. The money should be inaccessible. Shop for the highest money- market rates and CD rates at bankrate.com to ensure you get the</w:t>
      </w:r>
      <w:r>
        <w:rPr>
          <w:color w:val="231F20"/>
          <w:spacing w:val="80"/>
        </w:rPr>
        <w:t> </w:t>
      </w:r>
      <w:r>
        <w:rPr>
          <w:color w:val="231F20"/>
        </w:rPr>
        <w:t>best deal.</w:t>
      </w:r>
    </w:p>
    <w:p>
      <w:pPr>
        <w:pStyle w:val="BodyText"/>
        <w:spacing w:line="292" w:lineRule="auto"/>
        <w:ind w:left="919" w:right="664" w:firstLine="340"/>
        <w:jc w:val="both"/>
      </w:pPr>
      <w:r>
        <w:rPr>
          <w:color w:val="231F20"/>
        </w:rPr>
        <w:t>Once your emergency fund is created, you need to invest the</w:t>
      </w:r>
      <w:r>
        <w:rPr>
          <w:color w:val="231F20"/>
          <w:spacing w:val="40"/>
        </w:rPr>
        <w:t> </w:t>
      </w:r>
      <w:r>
        <w:rPr>
          <w:color w:val="231F20"/>
        </w:rPr>
        <w:t>same amount or more in an investment account holding longer-term investments. This account can be earmarked for education, to start </w:t>
      </w:r>
      <w:r>
        <w:rPr>
          <w:color w:val="231F20"/>
        </w:rPr>
        <w:t>a business, and or retirement.</w:t>
      </w:r>
    </w:p>
    <w:p>
      <w:pPr>
        <w:pStyle w:val="BodyText"/>
        <w:spacing w:before="2"/>
        <w:rPr>
          <w:sz w:val="25"/>
        </w:rPr>
      </w:pPr>
    </w:p>
    <w:p>
      <w:pPr>
        <w:pStyle w:val="BodyText"/>
        <w:spacing w:line="292" w:lineRule="auto"/>
        <w:ind w:left="919" w:right="663"/>
        <w:jc w:val="both"/>
      </w:pPr>
      <w:r>
        <w:rPr>
          <w:b/>
          <w:color w:val="231F20"/>
          <w:w w:val="105"/>
        </w:rPr>
        <w:t>Rule</w:t>
      </w:r>
      <w:r>
        <w:rPr>
          <w:b/>
          <w:color w:val="231F20"/>
          <w:spacing w:val="-10"/>
          <w:w w:val="105"/>
        </w:rPr>
        <w:t> </w:t>
      </w:r>
      <w:r>
        <w:rPr>
          <w:b/>
          <w:color w:val="231F20"/>
          <w:w w:val="105"/>
        </w:rPr>
        <w:t>4:</w:t>
      </w:r>
      <w:r>
        <w:rPr>
          <w:b/>
          <w:color w:val="231F20"/>
          <w:spacing w:val="-10"/>
          <w:w w:val="105"/>
        </w:rPr>
        <w:t> </w:t>
      </w:r>
      <w:r>
        <w:rPr>
          <w:b/>
          <w:color w:val="231F20"/>
          <w:w w:val="105"/>
        </w:rPr>
        <w:t>Invest</w:t>
      </w:r>
      <w:r>
        <w:rPr>
          <w:b/>
          <w:color w:val="231F20"/>
          <w:spacing w:val="-10"/>
          <w:w w:val="105"/>
        </w:rPr>
        <w:t> </w:t>
      </w:r>
      <w:r>
        <w:rPr>
          <w:b/>
          <w:color w:val="231F20"/>
          <w:w w:val="105"/>
        </w:rPr>
        <w:t>Wisely.</w:t>
      </w:r>
      <w:r>
        <w:rPr>
          <w:b/>
          <w:color w:val="231F20"/>
          <w:spacing w:val="-10"/>
          <w:w w:val="105"/>
        </w:rPr>
        <w:t> </w:t>
      </w:r>
      <w:r>
        <w:rPr>
          <w:color w:val="231F20"/>
          <w:w w:val="105"/>
        </w:rPr>
        <w:t>Investing</w:t>
      </w:r>
      <w:r>
        <w:rPr>
          <w:color w:val="231F20"/>
          <w:spacing w:val="-10"/>
          <w:w w:val="105"/>
        </w:rPr>
        <w:t> </w:t>
      </w:r>
      <w:r>
        <w:rPr>
          <w:color w:val="231F20"/>
          <w:w w:val="105"/>
        </w:rPr>
        <w:t>your</w:t>
      </w:r>
      <w:r>
        <w:rPr>
          <w:color w:val="231F20"/>
          <w:spacing w:val="-10"/>
          <w:w w:val="105"/>
        </w:rPr>
        <w:t> </w:t>
      </w:r>
      <w:r>
        <w:rPr>
          <w:color w:val="231F20"/>
          <w:w w:val="105"/>
        </w:rPr>
        <w:t>portfolio</w:t>
      </w:r>
      <w:r>
        <w:rPr>
          <w:color w:val="231F20"/>
          <w:spacing w:val="-10"/>
          <w:w w:val="105"/>
        </w:rPr>
        <w:t> </w:t>
      </w:r>
      <w:r>
        <w:rPr>
          <w:color w:val="231F20"/>
          <w:w w:val="105"/>
        </w:rPr>
        <w:t>is</w:t>
      </w:r>
      <w:r>
        <w:rPr>
          <w:color w:val="231F20"/>
          <w:spacing w:val="-10"/>
          <w:w w:val="105"/>
        </w:rPr>
        <w:t> </w:t>
      </w:r>
      <w:r>
        <w:rPr>
          <w:color w:val="231F20"/>
          <w:w w:val="105"/>
        </w:rPr>
        <w:t>not</w:t>
      </w:r>
      <w:r>
        <w:rPr>
          <w:color w:val="231F20"/>
          <w:spacing w:val="-10"/>
          <w:w w:val="105"/>
        </w:rPr>
        <w:t> </w:t>
      </w:r>
      <w:r>
        <w:rPr>
          <w:color w:val="231F20"/>
          <w:w w:val="105"/>
        </w:rPr>
        <w:t>a</w:t>
      </w:r>
      <w:r>
        <w:rPr>
          <w:color w:val="231F20"/>
          <w:spacing w:val="-10"/>
          <w:w w:val="105"/>
        </w:rPr>
        <w:t> </w:t>
      </w:r>
      <w:r>
        <w:rPr>
          <w:color w:val="231F20"/>
          <w:w w:val="105"/>
        </w:rPr>
        <w:t>place</w:t>
      </w:r>
      <w:r>
        <w:rPr>
          <w:color w:val="231F20"/>
          <w:spacing w:val="-10"/>
          <w:w w:val="105"/>
        </w:rPr>
        <w:t> </w:t>
      </w:r>
      <w:r>
        <w:rPr>
          <w:color w:val="231F20"/>
          <w:w w:val="105"/>
        </w:rPr>
        <w:t>to</w:t>
      </w:r>
      <w:r>
        <w:rPr>
          <w:color w:val="231F20"/>
          <w:spacing w:val="-10"/>
          <w:w w:val="105"/>
        </w:rPr>
        <w:t> </w:t>
      </w:r>
      <w:r>
        <w:rPr>
          <w:color w:val="231F20"/>
          <w:w w:val="105"/>
        </w:rPr>
        <w:t>ex- </w:t>
      </w:r>
      <w:r>
        <w:rPr>
          <w:color w:val="231F20"/>
          <w:spacing w:val="-2"/>
          <w:w w:val="105"/>
        </w:rPr>
        <w:t>press</w:t>
      </w:r>
      <w:r>
        <w:rPr>
          <w:color w:val="231F20"/>
          <w:spacing w:val="-5"/>
          <w:w w:val="105"/>
        </w:rPr>
        <w:t> </w:t>
      </w:r>
      <w:r>
        <w:rPr>
          <w:color w:val="231F20"/>
          <w:spacing w:val="-2"/>
          <w:w w:val="105"/>
        </w:rPr>
        <w:t>your</w:t>
      </w:r>
      <w:r>
        <w:rPr>
          <w:color w:val="231F20"/>
          <w:spacing w:val="-5"/>
          <w:w w:val="105"/>
        </w:rPr>
        <w:t> </w:t>
      </w:r>
      <w:r>
        <w:rPr>
          <w:color w:val="231F20"/>
          <w:spacing w:val="-2"/>
          <w:w w:val="105"/>
        </w:rPr>
        <w:t>creativity.</w:t>
      </w:r>
      <w:r>
        <w:rPr>
          <w:color w:val="231F20"/>
          <w:spacing w:val="-5"/>
          <w:w w:val="105"/>
        </w:rPr>
        <w:t> </w:t>
      </w:r>
      <w:r>
        <w:rPr>
          <w:color w:val="231F20"/>
          <w:spacing w:val="-2"/>
          <w:w w:val="105"/>
        </w:rPr>
        <w:t>Choose</w:t>
      </w:r>
      <w:r>
        <w:rPr>
          <w:color w:val="231F20"/>
          <w:spacing w:val="-5"/>
          <w:w w:val="105"/>
        </w:rPr>
        <w:t> </w:t>
      </w:r>
      <w:r>
        <w:rPr>
          <w:color w:val="231F20"/>
          <w:spacing w:val="-2"/>
          <w:w w:val="105"/>
        </w:rPr>
        <w:t>the</w:t>
      </w:r>
      <w:r>
        <w:rPr>
          <w:color w:val="231F20"/>
          <w:spacing w:val="-5"/>
          <w:w w:val="105"/>
        </w:rPr>
        <w:t> </w:t>
      </w:r>
      <w:r>
        <w:rPr>
          <w:color w:val="231F20"/>
          <w:spacing w:val="-2"/>
          <w:w w:val="105"/>
        </w:rPr>
        <w:t>long-term</w:t>
      </w:r>
      <w:r>
        <w:rPr>
          <w:color w:val="231F20"/>
          <w:spacing w:val="-5"/>
          <w:w w:val="105"/>
        </w:rPr>
        <w:t> </w:t>
      </w:r>
      <w:r>
        <w:rPr>
          <w:color w:val="231F20"/>
          <w:spacing w:val="-2"/>
          <w:w w:val="105"/>
        </w:rPr>
        <w:t>mutual</w:t>
      </w:r>
      <w:r>
        <w:rPr>
          <w:color w:val="231F20"/>
          <w:spacing w:val="-5"/>
          <w:w w:val="105"/>
        </w:rPr>
        <w:t> </w:t>
      </w:r>
      <w:r>
        <w:rPr>
          <w:color w:val="231F20"/>
          <w:spacing w:val="-2"/>
          <w:w w:val="105"/>
        </w:rPr>
        <w:t>fund</w:t>
      </w:r>
      <w:r>
        <w:rPr>
          <w:color w:val="231F20"/>
          <w:spacing w:val="-5"/>
          <w:w w:val="105"/>
        </w:rPr>
        <w:t> </w:t>
      </w:r>
      <w:r>
        <w:rPr>
          <w:color w:val="231F20"/>
          <w:spacing w:val="-2"/>
          <w:w w:val="105"/>
        </w:rPr>
        <w:t>winners</w:t>
      </w:r>
      <w:r>
        <w:rPr>
          <w:color w:val="231F20"/>
          <w:spacing w:val="-5"/>
          <w:w w:val="105"/>
        </w:rPr>
        <w:t> </w:t>
      </w:r>
      <w:r>
        <w:rPr>
          <w:color w:val="231F20"/>
          <w:spacing w:val="-2"/>
          <w:w w:val="105"/>
        </w:rPr>
        <w:t>as </w:t>
      </w:r>
      <w:r>
        <w:rPr>
          <w:color w:val="231F20"/>
          <w:w w:val="105"/>
        </w:rPr>
        <w:t>rated</w:t>
      </w:r>
      <w:r>
        <w:rPr>
          <w:color w:val="231F20"/>
          <w:spacing w:val="-5"/>
          <w:w w:val="105"/>
        </w:rPr>
        <w:t> </w:t>
      </w:r>
      <w:r>
        <w:rPr>
          <w:color w:val="231F20"/>
          <w:w w:val="105"/>
        </w:rPr>
        <w:t>by</w:t>
      </w:r>
      <w:r>
        <w:rPr>
          <w:color w:val="231F20"/>
          <w:spacing w:val="-5"/>
          <w:w w:val="105"/>
        </w:rPr>
        <w:t> </w:t>
      </w:r>
      <w:r>
        <w:rPr>
          <w:color w:val="231F20"/>
          <w:w w:val="105"/>
        </w:rPr>
        <w:t>Morningstar.com</w:t>
      </w:r>
      <w:r>
        <w:rPr>
          <w:color w:val="231F20"/>
          <w:spacing w:val="-5"/>
          <w:w w:val="105"/>
        </w:rPr>
        <w:t> </w:t>
      </w:r>
      <w:r>
        <w:rPr>
          <w:color w:val="231F20"/>
          <w:w w:val="105"/>
        </w:rPr>
        <w:t>and</w:t>
      </w:r>
      <w:r>
        <w:rPr>
          <w:color w:val="231F20"/>
          <w:spacing w:val="-5"/>
          <w:w w:val="105"/>
        </w:rPr>
        <w:t> </w:t>
      </w:r>
      <w:r>
        <w:rPr>
          <w:i/>
          <w:color w:val="231F20"/>
          <w:w w:val="105"/>
        </w:rPr>
        <w:t>Forbes.</w:t>
      </w:r>
      <w:r>
        <w:rPr>
          <w:i/>
          <w:color w:val="231F20"/>
          <w:spacing w:val="-5"/>
          <w:w w:val="105"/>
        </w:rPr>
        <w:t> </w:t>
      </w:r>
      <w:r>
        <w:rPr>
          <w:color w:val="231F20"/>
          <w:w w:val="105"/>
        </w:rPr>
        <w:t>Diversify</w:t>
      </w:r>
      <w:r>
        <w:rPr>
          <w:color w:val="231F20"/>
          <w:spacing w:val="-5"/>
          <w:w w:val="105"/>
        </w:rPr>
        <w:t> </w:t>
      </w:r>
      <w:r>
        <w:rPr>
          <w:color w:val="231F20"/>
          <w:w w:val="105"/>
        </w:rPr>
        <w:t>stock</w:t>
      </w:r>
      <w:r>
        <w:rPr>
          <w:color w:val="231F20"/>
          <w:spacing w:val="-5"/>
          <w:w w:val="105"/>
        </w:rPr>
        <w:t> </w:t>
      </w:r>
      <w:r>
        <w:rPr>
          <w:color w:val="231F20"/>
          <w:w w:val="105"/>
        </w:rPr>
        <w:t>investments across</w:t>
      </w:r>
      <w:r>
        <w:rPr>
          <w:color w:val="231F20"/>
          <w:w w:val="105"/>
        </w:rPr>
        <w:t> asset</w:t>
      </w:r>
      <w:r>
        <w:rPr>
          <w:color w:val="231F20"/>
          <w:w w:val="105"/>
        </w:rPr>
        <w:t> classes</w:t>
      </w:r>
      <w:r>
        <w:rPr>
          <w:color w:val="231F20"/>
          <w:w w:val="105"/>
        </w:rPr>
        <w:t> such</w:t>
      </w:r>
      <w:r>
        <w:rPr>
          <w:color w:val="231F20"/>
          <w:w w:val="105"/>
        </w:rPr>
        <w:t> as</w:t>
      </w:r>
      <w:r>
        <w:rPr>
          <w:color w:val="231F20"/>
          <w:w w:val="105"/>
        </w:rPr>
        <w:t> large,</w:t>
      </w:r>
      <w:r>
        <w:rPr>
          <w:color w:val="231F20"/>
          <w:w w:val="105"/>
        </w:rPr>
        <w:t> mid-,</w:t>
      </w:r>
      <w:r>
        <w:rPr>
          <w:color w:val="231F20"/>
          <w:w w:val="105"/>
        </w:rPr>
        <w:t> and</w:t>
      </w:r>
      <w:r>
        <w:rPr>
          <w:color w:val="231F20"/>
          <w:w w:val="105"/>
        </w:rPr>
        <w:t> small-capitalization company</w:t>
      </w:r>
      <w:r>
        <w:rPr>
          <w:color w:val="231F20"/>
          <w:spacing w:val="-8"/>
          <w:w w:val="105"/>
        </w:rPr>
        <w:t> </w:t>
      </w:r>
      <w:r>
        <w:rPr>
          <w:color w:val="231F20"/>
          <w:w w:val="105"/>
        </w:rPr>
        <w:t>mutual</w:t>
      </w:r>
      <w:r>
        <w:rPr>
          <w:color w:val="231F20"/>
          <w:spacing w:val="-8"/>
          <w:w w:val="105"/>
        </w:rPr>
        <w:t> </w:t>
      </w:r>
      <w:r>
        <w:rPr>
          <w:color w:val="231F20"/>
          <w:w w:val="105"/>
        </w:rPr>
        <w:t>funds</w:t>
      </w:r>
      <w:r>
        <w:rPr>
          <w:color w:val="231F20"/>
          <w:spacing w:val="-8"/>
          <w:w w:val="105"/>
        </w:rPr>
        <w:t> </w:t>
      </w:r>
      <w:r>
        <w:rPr>
          <w:color w:val="231F20"/>
          <w:w w:val="105"/>
        </w:rPr>
        <w:t>and</w:t>
      </w:r>
      <w:r>
        <w:rPr>
          <w:color w:val="231F20"/>
          <w:spacing w:val="-8"/>
          <w:w w:val="105"/>
        </w:rPr>
        <w:t> </w:t>
      </w:r>
      <w:r>
        <w:rPr>
          <w:color w:val="231F20"/>
          <w:w w:val="105"/>
        </w:rPr>
        <w:t>across</w:t>
      </w:r>
      <w:r>
        <w:rPr>
          <w:color w:val="231F20"/>
          <w:spacing w:val="-8"/>
          <w:w w:val="105"/>
        </w:rPr>
        <w:t> </w:t>
      </w:r>
      <w:r>
        <w:rPr>
          <w:color w:val="231F20"/>
          <w:w w:val="105"/>
        </w:rPr>
        <w:t>investment</w:t>
      </w:r>
      <w:r>
        <w:rPr>
          <w:color w:val="231F20"/>
          <w:spacing w:val="-8"/>
          <w:w w:val="105"/>
        </w:rPr>
        <w:t> </w:t>
      </w:r>
      <w:r>
        <w:rPr>
          <w:color w:val="231F20"/>
          <w:w w:val="105"/>
        </w:rPr>
        <w:t>styles</w:t>
      </w:r>
      <w:r>
        <w:rPr>
          <w:color w:val="231F20"/>
          <w:spacing w:val="-8"/>
          <w:w w:val="105"/>
        </w:rPr>
        <w:t> </w:t>
      </w:r>
      <w:r>
        <w:rPr>
          <w:color w:val="231F20"/>
          <w:w w:val="105"/>
        </w:rPr>
        <w:t>such</w:t>
      </w:r>
      <w:r>
        <w:rPr>
          <w:color w:val="231F20"/>
          <w:spacing w:val="-8"/>
          <w:w w:val="105"/>
        </w:rPr>
        <w:t> </w:t>
      </w:r>
      <w:r>
        <w:rPr>
          <w:color w:val="231F20"/>
          <w:w w:val="105"/>
        </w:rPr>
        <w:t>as</w:t>
      </w:r>
      <w:r>
        <w:rPr>
          <w:color w:val="231F20"/>
          <w:spacing w:val="-8"/>
          <w:w w:val="105"/>
        </w:rPr>
        <w:t> </w:t>
      </w:r>
      <w:r>
        <w:rPr>
          <w:color w:val="231F20"/>
          <w:w w:val="105"/>
        </w:rPr>
        <w:t>value, blend,</w:t>
      </w:r>
      <w:r>
        <w:rPr>
          <w:color w:val="231F20"/>
          <w:spacing w:val="-4"/>
          <w:w w:val="105"/>
        </w:rPr>
        <w:t> </w:t>
      </w:r>
      <w:r>
        <w:rPr>
          <w:color w:val="231F20"/>
          <w:w w:val="105"/>
        </w:rPr>
        <w:t>and</w:t>
      </w:r>
      <w:r>
        <w:rPr>
          <w:color w:val="231F20"/>
          <w:spacing w:val="-4"/>
          <w:w w:val="105"/>
        </w:rPr>
        <w:t> </w:t>
      </w:r>
      <w:r>
        <w:rPr>
          <w:color w:val="231F20"/>
          <w:w w:val="105"/>
        </w:rPr>
        <w:t>growth</w:t>
      </w:r>
      <w:r>
        <w:rPr>
          <w:color w:val="231F20"/>
          <w:spacing w:val="-4"/>
          <w:w w:val="105"/>
        </w:rPr>
        <w:t> </w:t>
      </w:r>
      <w:r>
        <w:rPr>
          <w:color w:val="231F20"/>
          <w:w w:val="105"/>
        </w:rPr>
        <w:t>investing.</w:t>
      </w:r>
      <w:r>
        <w:rPr>
          <w:color w:val="231F20"/>
          <w:spacing w:val="-4"/>
          <w:w w:val="105"/>
        </w:rPr>
        <w:t> </w:t>
      </w:r>
      <w:r>
        <w:rPr>
          <w:color w:val="231F20"/>
          <w:w w:val="105"/>
        </w:rPr>
        <w:t>Bonds</w:t>
      </w:r>
      <w:r>
        <w:rPr>
          <w:color w:val="231F20"/>
          <w:spacing w:val="-4"/>
          <w:w w:val="105"/>
        </w:rPr>
        <w:t> </w:t>
      </w:r>
      <w:r>
        <w:rPr>
          <w:color w:val="231F20"/>
          <w:w w:val="105"/>
        </w:rPr>
        <w:t>should</w:t>
      </w:r>
      <w:r>
        <w:rPr>
          <w:color w:val="231F20"/>
          <w:spacing w:val="-4"/>
          <w:w w:val="105"/>
        </w:rPr>
        <w:t> </w:t>
      </w:r>
      <w:r>
        <w:rPr>
          <w:color w:val="231F20"/>
          <w:w w:val="105"/>
        </w:rPr>
        <w:t>likewise</w:t>
      </w:r>
      <w:r>
        <w:rPr>
          <w:color w:val="231F20"/>
          <w:spacing w:val="-4"/>
          <w:w w:val="105"/>
        </w:rPr>
        <w:t> </w:t>
      </w:r>
      <w:r>
        <w:rPr>
          <w:color w:val="231F20"/>
          <w:w w:val="105"/>
        </w:rPr>
        <w:t>be</w:t>
      </w:r>
      <w:r>
        <w:rPr>
          <w:color w:val="231F20"/>
          <w:spacing w:val="-4"/>
          <w:w w:val="105"/>
        </w:rPr>
        <w:t> </w:t>
      </w:r>
      <w:r>
        <w:rPr>
          <w:color w:val="231F20"/>
          <w:w w:val="105"/>
        </w:rPr>
        <w:t>diversified, across</w:t>
      </w:r>
      <w:r>
        <w:rPr>
          <w:color w:val="231F20"/>
          <w:w w:val="105"/>
        </w:rPr>
        <w:t> short-,</w:t>
      </w:r>
      <w:r>
        <w:rPr>
          <w:color w:val="231F20"/>
          <w:w w:val="105"/>
        </w:rPr>
        <w:t> medium-,</w:t>
      </w:r>
      <w:r>
        <w:rPr>
          <w:color w:val="231F20"/>
          <w:w w:val="105"/>
        </w:rPr>
        <w:t> and</w:t>
      </w:r>
      <w:r>
        <w:rPr>
          <w:color w:val="231F20"/>
          <w:w w:val="105"/>
        </w:rPr>
        <w:t> long-term</w:t>
      </w:r>
      <w:r>
        <w:rPr>
          <w:color w:val="231F20"/>
          <w:w w:val="105"/>
        </w:rPr>
        <w:t> maturities.</w:t>
      </w:r>
      <w:r>
        <w:rPr>
          <w:color w:val="231F20"/>
          <w:w w:val="105"/>
        </w:rPr>
        <w:t> In</w:t>
      </w:r>
      <w:r>
        <w:rPr>
          <w:color w:val="231F20"/>
          <w:w w:val="105"/>
        </w:rPr>
        <w:t> addition, choose</w:t>
      </w:r>
      <w:r>
        <w:rPr>
          <w:color w:val="231F20"/>
          <w:spacing w:val="-10"/>
          <w:w w:val="105"/>
        </w:rPr>
        <w:t> </w:t>
      </w:r>
      <w:r>
        <w:rPr>
          <w:color w:val="231F20"/>
          <w:w w:val="105"/>
        </w:rPr>
        <w:t>funds</w:t>
      </w:r>
      <w:r>
        <w:rPr>
          <w:color w:val="231F20"/>
          <w:spacing w:val="-10"/>
          <w:w w:val="105"/>
        </w:rPr>
        <w:t> </w:t>
      </w:r>
      <w:r>
        <w:rPr>
          <w:color w:val="231F20"/>
          <w:w w:val="105"/>
        </w:rPr>
        <w:t>with</w:t>
      </w:r>
      <w:r>
        <w:rPr>
          <w:color w:val="231F20"/>
          <w:spacing w:val="-10"/>
          <w:w w:val="105"/>
        </w:rPr>
        <w:t> </w:t>
      </w:r>
      <w:r>
        <w:rPr>
          <w:color w:val="231F20"/>
          <w:w w:val="105"/>
        </w:rPr>
        <w:t>low</w:t>
      </w:r>
      <w:r>
        <w:rPr>
          <w:color w:val="231F20"/>
          <w:spacing w:val="-10"/>
          <w:w w:val="105"/>
        </w:rPr>
        <w:t> </w:t>
      </w:r>
      <w:r>
        <w:rPr>
          <w:color w:val="231F20"/>
          <w:w w:val="105"/>
        </w:rPr>
        <w:t>expenses.</w:t>
      </w:r>
      <w:r>
        <w:rPr>
          <w:color w:val="231F20"/>
          <w:spacing w:val="-10"/>
          <w:w w:val="105"/>
        </w:rPr>
        <w:t> </w:t>
      </w:r>
      <w:r>
        <w:rPr>
          <w:color w:val="231F20"/>
          <w:w w:val="105"/>
        </w:rPr>
        <w:t>Lower</w:t>
      </w:r>
      <w:r>
        <w:rPr>
          <w:color w:val="231F20"/>
          <w:spacing w:val="-10"/>
          <w:w w:val="105"/>
        </w:rPr>
        <w:t> </w:t>
      </w:r>
      <w:r>
        <w:rPr>
          <w:color w:val="231F20"/>
          <w:w w:val="105"/>
        </w:rPr>
        <w:t>expenses</w:t>
      </w:r>
      <w:r>
        <w:rPr>
          <w:color w:val="231F20"/>
          <w:spacing w:val="-10"/>
          <w:w w:val="105"/>
        </w:rPr>
        <w:t> </w:t>
      </w:r>
      <w:r>
        <w:rPr>
          <w:color w:val="231F20"/>
          <w:w w:val="105"/>
        </w:rPr>
        <w:t>have</w:t>
      </w:r>
      <w:r>
        <w:rPr>
          <w:color w:val="231F20"/>
          <w:spacing w:val="-10"/>
          <w:w w:val="105"/>
        </w:rPr>
        <w:t> </w:t>
      </w:r>
      <w:r>
        <w:rPr>
          <w:color w:val="231F20"/>
          <w:w w:val="105"/>
        </w:rPr>
        <w:t>been</w:t>
      </w:r>
      <w:r>
        <w:rPr>
          <w:color w:val="231F20"/>
          <w:spacing w:val="-10"/>
          <w:w w:val="105"/>
        </w:rPr>
        <w:t> </w:t>
      </w:r>
      <w:r>
        <w:rPr>
          <w:color w:val="231F20"/>
          <w:w w:val="105"/>
        </w:rPr>
        <w:t>highly correlated</w:t>
      </w:r>
      <w:r>
        <w:rPr>
          <w:color w:val="231F20"/>
          <w:spacing w:val="-2"/>
          <w:w w:val="105"/>
        </w:rPr>
        <w:t> </w:t>
      </w:r>
      <w:r>
        <w:rPr>
          <w:color w:val="231F20"/>
          <w:w w:val="105"/>
        </w:rPr>
        <w:t>with</w:t>
      </w:r>
      <w:r>
        <w:rPr>
          <w:color w:val="231F20"/>
          <w:spacing w:val="-2"/>
          <w:w w:val="105"/>
        </w:rPr>
        <w:t> </w:t>
      </w:r>
      <w:r>
        <w:rPr>
          <w:color w:val="231F20"/>
          <w:w w:val="105"/>
        </w:rPr>
        <w:t>higher</w:t>
      </w:r>
      <w:r>
        <w:rPr>
          <w:color w:val="231F20"/>
          <w:spacing w:val="-2"/>
          <w:w w:val="105"/>
        </w:rPr>
        <w:t> </w:t>
      </w:r>
      <w:r>
        <w:rPr>
          <w:color w:val="231F20"/>
          <w:w w:val="105"/>
        </w:rPr>
        <w:t>returns.</w:t>
      </w:r>
      <w:r>
        <w:rPr>
          <w:color w:val="231F20"/>
          <w:spacing w:val="-2"/>
          <w:w w:val="105"/>
        </w:rPr>
        <w:t> </w:t>
      </w:r>
      <w:r>
        <w:rPr>
          <w:color w:val="231F20"/>
          <w:w w:val="105"/>
        </w:rPr>
        <w:t>You</w:t>
      </w:r>
      <w:r>
        <w:rPr>
          <w:color w:val="231F20"/>
          <w:spacing w:val="-2"/>
          <w:w w:val="105"/>
        </w:rPr>
        <w:t> </w:t>
      </w:r>
      <w:r>
        <w:rPr>
          <w:color w:val="231F20"/>
          <w:w w:val="105"/>
        </w:rPr>
        <w:t>must</w:t>
      </w:r>
      <w:r>
        <w:rPr>
          <w:color w:val="231F20"/>
          <w:spacing w:val="-2"/>
          <w:w w:val="105"/>
        </w:rPr>
        <w:t> </w:t>
      </w:r>
      <w:r>
        <w:rPr>
          <w:color w:val="231F20"/>
          <w:w w:val="105"/>
        </w:rPr>
        <w:t>also</w:t>
      </w:r>
      <w:r>
        <w:rPr>
          <w:color w:val="231F20"/>
          <w:spacing w:val="-2"/>
          <w:w w:val="105"/>
        </w:rPr>
        <w:t> </w:t>
      </w:r>
      <w:r>
        <w:rPr>
          <w:color w:val="231F20"/>
          <w:w w:val="105"/>
        </w:rPr>
        <w:t>monitor</w:t>
      </w:r>
      <w:r>
        <w:rPr>
          <w:color w:val="231F20"/>
          <w:spacing w:val="-2"/>
          <w:w w:val="105"/>
        </w:rPr>
        <w:t> </w:t>
      </w:r>
      <w:r>
        <w:rPr>
          <w:color w:val="231F20"/>
          <w:w w:val="105"/>
        </w:rPr>
        <w:t>your</w:t>
      </w:r>
      <w:r>
        <w:rPr>
          <w:color w:val="231F20"/>
          <w:spacing w:val="-2"/>
          <w:w w:val="105"/>
        </w:rPr>
        <w:t> </w:t>
      </w:r>
      <w:r>
        <w:rPr>
          <w:color w:val="231F20"/>
          <w:w w:val="105"/>
        </w:rPr>
        <w:t>entire portfolio,</w:t>
      </w:r>
      <w:r>
        <w:rPr>
          <w:color w:val="231F20"/>
          <w:w w:val="105"/>
        </w:rPr>
        <w:t> not</w:t>
      </w:r>
      <w:r>
        <w:rPr>
          <w:color w:val="231F20"/>
          <w:w w:val="105"/>
        </w:rPr>
        <w:t> just</w:t>
      </w:r>
      <w:r>
        <w:rPr>
          <w:color w:val="231F20"/>
          <w:w w:val="105"/>
        </w:rPr>
        <w:t> individual</w:t>
      </w:r>
      <w:r>
        <w:rPr>
          <w:color w:val="231F20"/>
          <w:w w:val="105"/>
        </w:rPr>
        <w:t> holdings.</w:t>
      </w:r>
      <w:r>
        <w:rPr>
          <w:color w:val="231F20"/>
          <w:w w:val="105"/>
        </w:rPr>
        <w:t> Track</w:t>
      </w:r>
      <w:r>
        <w:rPr>
          <w:color w:val="231F20"/>
          <w:w w:val="105"/>
        </w:rPr>
        <w:t> and</w:t>
      </w:r>
      <w:r>
        <w:rPr>
          <w:color w:val="231F20"/>
          <w:w w:val="105"/>
        </w:rPr>
        <w:t> analyze</w:t>
      </w:r>
      <w:r>
        <w:rPr>
          <w:color w:val="231F20"/>
          <w:w w:val="105"/>
        </w:rPr>
        <w:t> your</w:t>
      </w:r>
      <w:r>
        <w:rPr>
          <w:color w:val="231F20"/>
          <w:w w:val="105"/>
        </w:rPr>
        <w:t> en- </w:t>
      </w:r>
      <w:r>
        <w:rPr>
          <w:color w:val="231F20"/>
          <w:spacing w:val="-2"/>
          <w:w w:val="105"/>
        </w:rPr>
        <w:t>tire portfolio with Morningstar.com’s portfolio tracker. Shop for CD </w:t>
      </w:r>
      <w:r>
        <w:rPr>
          <w:color w:val="231F20"/>
          <w:w w:val="105"/>
        </w:rPr>
        <w:t>and money market rates at bankrate.com.</w:t>
      </w:r>
    </w:p>
    <w:p>
      <w:pPr>
        <w:pStyle w:val="BodyText"/>
        <w:spacing w:line="292" w:lineRule="auto"/>
        <w:ind w:left="919" w:right="666" w:firstLine="340"/>
        <w:jc w:val="both"/>
      </w:pPr>
      <w:r>
        <w:rPr>
          <w:color w:val="231F20"/>
        </w:rPr>
        <w:t>You may choose to take a portion of your savings to invest in risky opportunities, but be disciplined, keep it to a small portion </w:t>
      </w:r>
      <w:r>
        <w:rPr>
          <w:color w:val="231F20"/>
        </w:rPr>
        <w:t>of your nest egg.</w:t>
      </w:r>
    </w:p>
    <w:p>
      <w:pPr>
        <w:spacing w:after="0" w:line="292" w:lineRule="auto"/>
        <w:jc w:val="both"/>
        <w:sectPr>
          <w:pgSz w:w="8640" w:h="12960"/>
          <w:pgMar w:header="734" w:footer="0" w:top="920" w:bottom="280" w:left="340" w:right="500"/>
        </w:sectPr>
      </w:pPr>
    </w:p>
    <w:p>
      <w:pPr>
        <w:pStyle w:val="BodyText"/>
        <w:spacing w:before="5"/>
        <w:rPr>
          <w:sz w:val="17"/>
        </w:rPr>
      </w:pPr>
    </w:p>
    <w:p>
      <w:pPr>
        <w:pStyle w:val="BodyText"/>
        <w:spacing w:line="292" w:lineRule="auto" w:before="107"/>
        <w:ind w:left="830" w:right="753"/>
        <w:jc w:val="both"/>
      </w:pPr>
      <w:r>
        <w:rPr>
          <w:b/>
          <w:color w:val="231F20"/>
        </w:rPr>
        <w:t>Rule</w:t>
      </w:r>
      <w:r>
        <w:rPr>
          <w:b/>
          <w:color w:val="231F20"/>
          <w:spacing w:val="-6"/>
        </w:rPr>
        <w:t> </w:t>
      </w:r>
      <w:r>
        <w:rPr>
          <w:b/>
          <w:color w:val="231F20"/>
        </w:rPr>
        <w:t>5:</w:t>
      </w:r>
      <w:r>
        <w:rPr>
          <w:b/>
          <w:color w:val="231F20"/>
          <w:spacing w:val="-6"/>
        </w:rPr>
        <w:t> </w:t>
      </w:r>
      <w:r>
        <w:rPr>
          <w:b/>
          <w:color w:val="231F20"/>
        </w:rPr>
        <w:t>Be</w:t>
      </w:r>
      <w:r>
        <w:rPr>
          <w:b/>
          <w:color w:val="231F20"/>
          <w:spacing w:val="-6"/>
        </w:rPr>
        <w:t> </w:t>
      </w:r>
      <w:r>
        <w:rPr>
          <w:b/>
          <w:color w:val="231F20"/>
        </w:rPr>
        <w:t>Selectively</w:t>
      </w:r>
      <w:r>
        <w:rPr>
          <w:b/>
          <w:color w:val="231F20"/>
          <w:spacing w:val="-6"/>
        </w:rPr>
        <w:t> </w:t>
      </w:r>
      <w:r>
        <w:rPr>
          <w:b/>
          <w:color w:val="231F20"/>
        </w:rPr>
        <w:t>Extravagant</w:t>
      </w:r>
      <w:r>
        <w:rPr>
          <w:b/>
          <w:color w:val="231F20"/>
          <w:spacing w:val="-6"/>
        </w:rPr>
        <w:t> </w:t>
      </w:r>
      <w:r>
        <w:rPr>
          <w:b/>
          <w:color w:val="231F20"/>
        </w:rPr>
        <w:t>but</w:t>
      </w:r>
      <w:r>
        <w:rPr>
          <w:b/>
          <w:color w:val="231F20"/>
          <w:spacing w:val="-6"/>
        </w:rPr>
        <w:t> </w:t>
      </w:r>
      <w:r>
        <w:rPr>
          <w:b/>
          <w:color w:val="231F20"/>
        </w:rPr>
        <w:t>Pervasively</w:t>
      </w:r>
      <w:r>
        <w:rPr>
          <w:b/>
          <w:color w:val="231F20"/>
          <w:spacing w:val="-6"/>
        </w:rPr>
        <w:t> </w:t>
      </w:r>
      <w:r>
        <w:rPr>
          <w:b/>
          <w:color w:val="231F20"/>
        </w:rPr>
        <w:t>Frugal.</w:t>
      </w:r>
      <w:r>
        <w:rPr>
          <w:b/>
          <w:color w:val="231F20"/>
          <w:spacing w:val="-7"/>
        </w:rPr>
        <w:t> </w:t>
      </w:r>
      <w:r>
        <w:rPr>
          <w:color w:val="231F20"/>
        </w:rPr>
        <w:t>The</w:t>
      </w:r>
      <w:r>
        <w:rPr>
          <w:color w:val="231F20"/>
          <w:spacing w:val="-6"/>
        </w:rPr>
        <w:t> </w:t>
      </w:r>
      <w:r>
        <w:rPr>
          <w:color w:val="231F20"/>
        </w:rPr>
        <w:t>ex- pense</w:t>
      </w:r>
      <w:r>
        <w:rPr>
          <w:color w:val="231F20"/>
          <w:spacing w:val="-1"/>
        </w:rPr>
        <w:t> </w:t>
      </w:r>
      <w:r>
        <w:rPr>
          <w:color w:val="231F20"/>
        </w:rPr>
        <w:t>side</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ledger</w:t>
      </w:r>
      <w:r>
        <w:rPr>
          <w:color w:val="231F20"/>
          <w:spacing w:val="-1"/>
        </w:rPr>
        <w:t> </w:t>
      </w:r>
      <w:r>
        <w:rPr>
          <w:color w:val="231F20"/>
        </w:rPr>
        <w:t>can</w:t>
      </w:r>
      <w:r>
        <w:rPr>
          <w:color w:val="231F20"/>
          <w:spacing w:val="-1"/>
        </w:rPr>
        <w:t> </w:t>
      </w:r>
      <w:r>
        <w:rPr>
          <w:color w:val="231F20"/>
        </w:rPr>
        <w:t>be</w:t>
      </w:r>
      <w:r>
        <w:rPr>
          <w:color w:val="231F20"/>
          <w:spacing w:val="-1"/>
        </w:rPr>
        <w:t> </w:t>
      </w:r>
      <w:r>
        <w:rPr>
          <w:color w:val="231F20"/>
        </w:rPr>
        <w:t>just</w:t>
      </w:r>
      <w:r>
        <w:rPr>
          <w:color w:val="231F20"/>
          <w:spacing w:val="-1"/>
        </w:rPr>
        <w:t> </w:t>
      </w:r>
      <w:r>
        <w:rPr>
          <w:color w:val="231F20"/>
        </w:rPr>
        <w:t>as</w:t>
      </w:r>
      <w:r>
        <w:rPr>
          <w:color w:val="231F20"/>
          <w:spacing w:val="-1"/>
        </w:rPr>
        <w:t> </w:t>
      </w:r>
      <w:r>
        <w:rPr>
          <w:color w:val="231F20"/>
        </w:rPr>
        <w:t>important</w:t>
      </w:r>
      <w:r>
        <w:rPr>
          <w:color w:val="231F20"/>
          <w:spacing w:val="-1"/>
        </w:rPr>
        <w:t> </w:t>
      </w:r>
      <w:r>
        <w:rPr>
          <w:color w:val="231F20"/>
        </w:rPr>
        <w:t>as</w:t>
      </w:r>
      <w:r>
        <w:rPr>
          <w:color w:val="231F20"/>
          <w:spacing w:val="-1"/>
        </w:rPr>
        <w:t> </w:t>
      </w:r>
      <w:r>
        <w:rPr>
          <w:color w:val="231F20"/>
        </w:rPr>
        <w:t>the</w:t>
      </w:r>
      <w:r>
        <w:rPr>
          <w:color w:val="231F20"/>
          <w:spacing w:val="-1"/>
        </w:rPr>
        <w:t> </w:t>
      </w:r>
      <w:r>
        <w:rPr>
          <w:color w:val="231F20"/>
        </w:rPr>
        <w:t>saving</w:t>
      </w:r>
      <w:r>
        <w:rPr>
          <w:color w:val="231F20"/>
          <w:spacing w:val="-1"/>
        </w:rPr>
        <w:t> </w:t>
      </w:r>
      <w:r>
        <w:rPr>
          <w:color w:val="231F20"/>
        </w:rPr>
        <w:t>and</w:t>
      </w:r>
      <w:r>
        <w:rPr>
          <w:color w:val="231F20"/>
          <w:spacing w:val="-1"/>
        </w:rPr>
        <w:t> </w:t>
      </w:r>
      <w:r>
        <w:rPr>
          <w:color w:val="231F20"/>
        </w:rPr>
        <w:t>in- vestment side. Of course you must enjoy life; life is not a dress rehearsal. But you need to be selective about how you spend your money. To feed your passion, whatever it may be, golf or even </w:t>
      </w:r>
      <w:r>
        <w:rPr>
          <w:color w:val="231F20"/>
        </w:rPr>
        <w:t>wine collecting, you may need to be selectively extravagant, but for things that are not important, you need to be prudently frugal.</w:t>
      </w:r>
    </w:p>
    <w:p>
      <w:pPr>
        <w:pStyle w:val="BodyText"/>
        <w:spacing w:line="292" w:lineRule="auto"/>
        <w:ind w:left="830" w:right="753" w:firstLine="340"/>
        <w:jc w:val="both"/>
      </w:pPr>
      <w:r>
        <w:rPr>
          <w:color w:val="231F20"/>
        </w:rPr>
        <w:t>As widely reported, over a lifetime a $5-a-day caffe-latte or </w:t>
      </w:r>
      <w:r>
        <w:rPr>
          <w:color w:val="231F20"/>
        </w:rPr>
        <w:t>ciga- rette habit can cost you more than a million dollars of lost retire- ment saving. Driving a moderately priced reliable car for one</w:t>
      </w:r>
      <w:r>
        <w:rPr>
          <w:color w:val="231F20"/>
          <w:spacing w:val="40"/>
        </w:rPr>
        <w:t> </w:t>
      </w:r>
      <w:r>
        <w:rPr>
          <w:color w:val="231F20"/>
        </w:rPr>
        <w:t>hundred thousand miles instead of trading frequently for a pricey luxury</w:t>
      </w:r>
      <w:r>
        <w:rPr>
          <w:color w:val="231F20"/>
          <w:spacing w:val="22"/>
        </w:rPr>
        <w:t> </w:t>
      </w:r>
      <w:r>
        <w:rPr>
          <w:color w:val="231F20"/>
        </w:rPr>
        <w:t>car</w:t>
      </w:r>
      <w:r>
        <w:rPr>
          <w:color w:val="231F20"/>
          <w:spacing w:val="22"/>
        </w:rPr>
        <w:t> </w:t>
      </w:r>
      <w:r>
        <w:rPr>
          <w:color w:val="231F20"/>
        </w:rPr>
        <w:t>permits</w:t>
      </w:r>
      <w:r>
        <w:rPr>
          <w:color w:val="231F20"/>
          <w:spacing w:val="22"/>
        </w:rPr>
        <w:t> </w:t>
      </w:r>
      <w:r>
        <w:rPr>
          <w:color w:val="231F20"/>
        </w:rPr>
        <w:t>you</w:t>
      </w:r>
      <w:r>
        <w:rPr>
          <w:color w:val="231F20"/>
          <w:spacing w:val="22"/>
        </w:rPr>
        <w:t> </w:t>
      </w:r>
      <w:r>
        <w:rPr>
          <w:color w:val="231F20"/>
        </w:rPr>
        <w:t>to</w:t>
      </w:r>
      <w:r>
        <w:rPr>
          <w:color w:val="231F20"/>
          <w:spacing w:val="22"/>
        </w:rPr>
        <w:t> </w:t>
      </w:r>
      <w:r>
        <w:rPr>
          <w:color w:val="231F20"/>
        </w:rPr>
        <w:t>avoid</w:t>
      </w:r>
      <w:r>
        <w:rPr>
          <w:color w:val="231F20"/>
          <w:spacing w:val="22"/>
        </w:rPr>
        <w:t> </w:t>
      </w:r>
      <w:r>
        <w:rPr>
          <w:color w:val="231F20"/>
        </w:rPr>
        <w:t>many</w:t>
      </w:r>
      <w:r>
        <w:rPr>
          <w:color w:val="231F20"/>
          <w:spacing w:val="22"/>
        </w:rPr>
        <w:t> </w:t>
      </w:r>
      <w:r>
        <w:rPr>
          <w:color w:val="231F20"/>
        </w:rPr>
        <w:t>car</w:t>
      </w:r>
      <w:r>
        <w:rPr>
          <w:color w:val="231F20"/>
          <w:spacing w:val="22"/>
        </w:rPr>
        <w:t> </w:t>
      </w:r>
      <w:r>
        <w:rPr>
          <w:color w:val="231F20"/>
        </w:rPr>
        <w:t>payments,</w:t>
      </w:r>
      <w:r>
        <w:rPr>
          <w:color w:val="231F20"/>
          <w:spacing w:val="22"/>
        </w:rPr>
        <w:t> </w:t>
      </w:r>
      <w:r>
        <w:rPr>
          <w:color w:val="231F20"/>
        </w:rPr>
        <w:t>the</w:t>
      </w:r>
      <w:r>
        <w:rPr>
          <w:color w:val="231F20"/>
          <w:spacing w:val="22"/>
        </w:rPr>
        <w:t> </w:t>
      </w:r>
      <w:r>
        <w:rPr>
          <w:color w:val="231F20"/>
        </w:rPr>
        <w:t>steep</w:t>
      </w:r>
      <w:r>
        <w:rPr>
          <w:color w:val="231F20"/>
          <w:spacing w:val="22"/>
        </w:rPr>
        <w:t> </w:t>
      </w:r>
      <w:r>
        <w:rPr>
          <w:color w:val="231F20"/>
        </w:rPr>
        <w:t>cost of depreciation, and interest charges. This plan also is worth a mil- lion dollars to you over your lifetime.</w:t>
      </w:r>
    </w:p>
    <w:p>
      <w:pPr>
        <w:pStyle w:val="BodyText"/>
        <w:spacing w:line="292" w:lineRule="auto"/>
        <w:ind w:left="829" w:right="756" w:firstLine="340"/>
        <w:jc w:val="both"/>
      </w:pPr>
      <w:r>
        <w:rPr>
          <w:color w:val="231F20"/>
        </w:rPr>
        <w:t>Another area for savings involves the use of credit cards. Some experts say that you should not use them because it </w:t>
      </w:r>
      <w:r>
        <w:rPr>
          <w:color w:val="231F20"/>
        </w:rPr>
        <w:t>psychologically divorces your spending from the actual use of cash. If you do choose to use your credit card, use one that provides a cash benefit such as cash-back from Discover. Do not roll over a balance from month to month, as the interest charges are far more than you can earn from your other investments.</w:t>
      </w:r>
    </w:p>
    <w:p>
      <w:pPr>
        <w:pStyle w:val="BodyText"/>
        <w:spacing w:before="11"/>
        <w:rPr>
          <w:sz w:val="24"/>
        </w:rPr>
      </w:pPr>
    </w:p>
    <w:p>
      <w:pPr>
        <w:spacing w:line="292" w:lineRule="auto" w:before="0"/>
        <w:ind w:left="830" w:right="754" w:firstLine="0"/>
        <w:jc w:val="both"/>
        <w:rPr>
          <w:i/>
          <w:sz w:val="21"/>
        </w:rPr>
      </w:pPr>
      <w:r>
        <w:rPr>
          <w:b/>
          <w:color w:val="231F20"/>
          <w:sz w:val="21"/>
        </w:rPr>
        <w:t>Rule 6: Plan for Your Retirement. </w:t>
      </w:r>
      <w:r>
        <w:rPr>
          <w:color w:val="231F20"/>
          <w:sz w:val="21"/>
        </w:rPr>
        <w:t>Read </w:t>
      </w:r>
      <w:r>
        <w:rPr>
          <w:i/>
          <w:color w:val="231F20"/>
          <w:sz w:val="21"/>
        </w:rPr>
        <w:t>Retire Early? Make the</w:t>
      </w:r>
      <w:r>
        <w:rPr>
          <w:i/>
          <w:color w:val="231F20"/>
          <w:sz w:val="21"/>
        </w:rPr>
        <w:t> Smart Choices.</w:t>
      </w:r>
    </w:p>
    <w:p>
      <w:pPr>
        <w:spacing w:after="0" w:line="292" w:lineRule="auto"/>
        <w:jc w:val="both"/>
        <w:rPr>
          <w:sz w:val="21"/>
        </w:rPr>
        <w:sectPr>
          <w:pgSz w:w="8640" w:h="12960"/>
          <w:pgMar w:header="732" w:footer="0" w:top="920" w:bottom="280" w:left="340" w:right="500"/>
        </w:sectPr>
      </w:pPr>
    </w:p>
    <w:p>
      <w:pPr>
        <w:pStyle w:val="BodyText"/>
        <w:rPr>
          <w:i/>
          <w:sz w:val="20"/>
        </w:rPr>
      </w:pPr>
    </w:p>
    <w:p>
      <w:pPr>
        <w:pStyle w:val="BodyText"/>
        <w:spacing w:before="6"/>
        <w:rPr>
          <w:i/>
          <w:sz w:val="28"/>
        </w:rPr>
      </w:pPr>
    </w:p>
    <w:p>
      <w:pPr>
        <w:pStyle w:val="BodyText"/>
        <w:ind w:left="560"/>
        <w:rPr>
          <w:sz w:val="20"/>
        </w:rPr>
      </w:pPr>
      <w:bookmarkStart w:name="Ten-Day MBA Diploma" w:id="45"/>
      <w:bookmarkEnd w:id="45"/>
      <w:r>
        <w:rPr/>
      </w:r>
      <w:bookmarkStart w:name="_bookmark21" w:id="46"/>
      <w:bookmarkEnd w:id="46"/>
      <w:r>
        <w:rPr/>
      </w:r>
      <w:r>
        <w:rPr>
          <w:sz w:val="20"/>
        </w:rPr>
        <w:drawing>
          <wp:inline distT="0" distB="0" distL="0" distR="0">
            <wp:extent cx="4319127" cy="5808726"/>
            <wp:effectExtent l="0" t="0" r="0" b="0"/>
            <wp:docPr id="157" name="image89.png"/>
            <wp:cNvGraphicFramePr>
              <a:graphicFrameLocks noChangeAspect="1"/>
            </wp:cNvGraphicFramePr>
            <a:graphic>
              <a:graphicData uri="http://schemas.openxmlformats.org/drawingml/2006/picture">
                <pic:pic>
                  <pic:nvPicPr>
                    <pic:cNvPr id="158" name="image89.png"/>
                    <pic:cNvPicPr/>
                  </pic:nvPicPr>
                  <pic:blipFill>
                    <a:blip r:embed="rId146" cstate="print"/>
                    <a:stretch>
                      <a:fillRect/>
                    </a:stretch>
                  </pic:blipFill>
                  <pic:spPr>
                    <a:xfrm>
                      <a:off x="0" y="0"/>
                      <a:ext cx="4319127" cy="5808726"/>
                    </a:xfrm>
                    <a:prstGeom prst="rect">
                      <a:avLst/>
                    </a:prstGeom>
                  </pic:spPr>
                </pic:pic>
              </a:graphicData>
            </a:graphic>
          </wp:inline>
        </w:drawing>
      </w:r>
      <w:r>
        <w:rPr>
          <w:sz w:val="20"/>
        </w:rPr>
      </w:r>
    </w:p>
    <w:p>
      <w:pPr>
        <w:spacing w:after="0"/>
        <w:rPr>
          <w:sz w:val="20"/>
        </w:rPr>
        <w:sectPr>
          <w:headerReference w:type="default" r:id="rId145"/>
          <w:pgSz w:w="8640" w:h="12960"/>
          <w:pgMar w:header="0" w:footer="0" w:top="1220" w:bottom="280" w:left="340" w:right="500"/>
        </w:sectPr>
      </w:pPr>
    </w:p>
    <w:p>
      <w:pPr>
        <w:pStyle w:val="BodyText"/>
        <w:rPr>
          <w:i/>
          <w:sz w:val="17"/>
        </w:rPr>
      </w:pPr>
    </w:p>
    <w:p>
      <w:pPr>
        <w:spacing w:after="0"/>
        <w:rPr>
          <w:sz w:val="17"/>
        </w:rPr>
        <w:sectPr>
          <w:headerReference w:type="even" r:id="rId147"/>
          <w:pgSz w:w="8640" w:h="12960"/>
          <w:pgMar w:header="0" w:footer="0" w:top="1220" w:bottom="280" w:left="340" w:right="50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20"/>
        </w:rPr>
      </w:pPr>
    </w:p>
    <w:p>
      <w:pPr>
        <w:pStyle w:val="Heading2"/>
        <w:spacing w:line="196" w:lineRule="auto" w:before="165"/>
        <w:ind w:left="2662" w:firstLine="368"/>
      </w:pPr>
      <w:bookmarkStart w:name="Appendix" w:id="47"/>
      <w:bookmarkEnd w:id="47"/>
      <w:r>
        <w:rPr>
          <w:b w:val="0"/>
          <w:i w:val="0"/>
        </w:rPr>
      </w:r>
      <w:bookmarkStart w:name="_bookmark22" w:id="48"/>
      <w:bookmarkEnd w:id="48"/>
      <w:r>
        <w:rPr>
          <w:b w:val="0"/>
          <w:i w:val="0"/>
        </w:rPr>
      </w:r>
      <w:hyperlink w:history="true" w:anchor="_bookmark2">
        <w:r>
          <w:rPr>
            <w:i/>
            <w:color w:val="0000FF"/>
            <w:spacing w:val="21"/>
          </w:rPr>
          <w:t>Appendix</w:t>
        </w:r>
      </w:hyperlink>
      <w:r>
        <w:rPr>
          <w:color w:val="0000FF"/>
          <w:spacing w:val="21"/>
        </w:rPr>
        <w:t> </w:t>
      </w:r>
      <w:r>
        <w:rPr>
          <w:color w:val="231F20"/>
          <w:spacing w:val="21"/>
          <w:w w:val="90"/>
        </w:rPr>
        <w:t>Quantitative</w:t>
      </w:r>
    </w:p>
    <w:p>
      <w:pPr>
        <w:spacing w:line="478" w:lineRule="exact" w:before="0"/>
        <w:ind w:left="2302" w:right="0" w:firstLine="0"/>
        <w:jc w:val="left"/>
        <w:rPr>
          <w:b/>
          <w:i/>
          <w:sz w:val="48"/>
        </w:rPr>
      </w:pPr>
      <w:r>
        <w:rPr>
          <w:b/>
          <w:i/>
          <w:spacing w:val="20"/>
          <w:w w:val="95"/>
          <w:sz w:val="48"/>
        </w:rPr>
        <w:t>Analysis</w:t>
      </w:r>
      <w:r>
        <w:rPr>
          <w:b/>
          <w:i/>
          <w:spacing w:val="55"/>
          <w:sz w:val="48"/>
        </w:rPr>
        <w:t> </w:t>
      </w:r>
      <w:r>
        <w:rPr>
          <w:b/>
          <w:i/>
          <w:spacing w:val="15"/>
          <w:sz w:val="48"/>
        </w:rPr>
        <w:t>Tables</w:t>
      </w:r>
    </w:p>
    <w:p>
      <w:pPr>
        <w:pStyle w:val="BodyText"/>
        <w:spacing w:before="4"/>
        <w:rPr>
          <w:b/>
          <w:i/>
          <w:sz w:val="9"/>
        </w:rPr>
      </w:pPr>
      <w:r>
        <w:rPr/>
        <w:pict>
          <v:shape style="position:absolute;margin-left:180.25pt;margin-top:6.699961pt;width:76pt;height:.1pt;mso-position-horizontal-relative:page;mso-position-vertical-relative:paragraph;z-index:-15510528;mso-wrap-distance-left:0;mso-wrap-distance-right:0" id="docshape562" coordorigin="3605,134" coordsize="1520,0" path="m3605,134l5125,134e" filled="false" stroked="true" strokeweight="6pt" strokecolor="#cdcdcd">
            <v:path arrowok="t"/>
            <v:stroke dashstyle="solid"/>
            <w10:wrap type="topAndBottom"/>
          </v:shape>
        </w:pict>
      </w:r>
    </w:p>
    <w:p>
      <w:pPr>
        <w:spacing w:after="0"/>
        <w:rPr>
          <w:sz w:val="9"/>
        </w:rPr>
        <w:sectPr>
          <w:headerReference w:type="default" r:id="rId148"/>
          <w:pgSz w:w="8640" w:h="12960"/>
          <w:pgMar w:header="0" w:footer="0" w:top="1220" w:bottom="280" w:left="340" w:right="500"/>
        </w:sectPr>
      </w:pPr>
    </w:p>
    <w:p>
      <w:pPr>
        <w:spacing w:before="72"/>
        <w:ind w:left="3335" w:right="3367" w:firstLine="0"/>
        <w:jc w:val="center"/>
        <w:rPr>
          <w:b/>
          <w:sz w:val="20"/>
        </w:rPr>
      </w:pPr>
      <w:r>
        <w:rPr>
          <w:b/>
          <w:color w:val="231F20"/>
          <w:w w:val="110"/>
          <w:sz w:val="20"/>
        </w:rPr>
        <w:t>PRESENT</w:t>
      </w:r>
      <w:r>
        <w:rPr>
          <w:b/>
          <w:color w:val="231F20"/>
          <w:spacing w:val="53"/>
          <w:w w:val="110"/>
          <w:sz w:val="20"/>
        </w:rPr>
        <w:t> </w:t>
      </w:r>
      <w:r>
        <w:rPr>
          <w:b/>
          <w:color w:val="231F20"/>
          <w:w w:val="110"/>
          <w:sz w:val="20"/>
        </w:rPr>
        <w:t>VALUE</w:t>
      </w:r>
      <w:r>
        <w:rPr>
          <w:b/>
          <w:color w:val="231F20"/>
          <w:spacing w:val="54"/>
          <w:w w:val="110"/>
          <w:sz w:val="20"/>
        </w:rPr>
        <w:t> </w:t>
      </w:r>
      <w:r>
        <w:rPr>
          <w:b/>
          <w:color w:val="231F20"/>
          <w:w w:val="110"/>
          <w:sz w:val="20"/>
        </w:rPr>
        <w:t>OF</w:t>
      </w:r>
      <w:r>
        <w:rPr>
          <w:b/>
          <w:color w:val="231F20"/>
          <w:spacing w:val="53"/>
          <w:w w:val="110"/>
          <w:sz w:val="20"/>
        </w:rPr>
        <w:t> </w:t>
      </w:r>
      <w:r>
        <w:rPr>
          <w:b/>
          <w:color w:val="231F20"/>
          <w:spacing w:val="-5"/>
          <w:w w:val="110"/>
          <w:sz w:val="20"/>
        </w:rPr>
        <w:t>$1</w:t>
      </w:r>
    </w:p>
    <w:p>
      <w:pPr>
        <w:spacing w:before="44"/>
        <w:ind w:left="3335" w:right="3372" w:firstLine="0"/>
        <w:jc w:val="center"/>
        <w:rPr>
          <w:b/>
          <w:sz w:val="15"/>
        </w:rPr>
      </w:pPr>
      <w:r>
        <w:rPr>
          <w:b/>
          <w:color w:val="231F20"/>
          <w:w w:val="105"/>
          <w:sz w:val="20"/>
        </w:rPr>
        <w:t>PRESENT</w:t>
      </w:r>
      <w:r>
        <w:rPr>
          <w:b/>
          <w:color w:val="231F20"/>
          <w:spacing w:val="43"/>
          <w:w w:val="105"/>
          <w:sz w:val="20"/>
        </w:rPr>
        <w:t> </w:t>
      </w:r>
      <w:r>
        <w:rPr>
          <w:b/>
          <w:color w:val="231F20"/>
          <w:w w:val="105"/>
          <w:sz w:val="20"/>
        </w:rPr>
        <w:t>VALUE</w:t>
      </w:r>
      <w:r>
        <w:rPr>
          <w:b/>
          <w:color w:val="231F20"/>
          <w:spacing w:val="43"/>
          <w:w w:val="105"/>
          <w:sz w:val="20"/>
        </w:rPr>
        <w:t> </w:t>
      </w:r>
      <w:r>
        <w:rPr>
          <w:b/>
          <w:color w:val="231F20"/>
          <w:w w:val="105"/>
          <w:sz w:val="20"/>
        </w:rPr>
        <w:t>FACTOR</w:t>
      </w:r>
      <w:r>
        <w:rPr>
          <w:b/>
          <w:color w:val="231F20"/>
          <w:spacing w:val="43"/>
          <w:w w:val="105"/>
          <w:sz w:val="20"/>
        </w:rPr>
        <w:t> </w:t>
      </w:r>
      <w:r>
        <w:rPr>
          <w:b/>
          <w:color w:val="231F20"/>
          <w:w w:val="105"/>
          <w:sz w:val="20"/>
        </w:rPr>
        <w:t>OF</w:t>
      </w:r>
      <w:r>
        <w:rPr>
          <w:b/>
          <w:color w:val="231F20"/>
          <w:spacing w:val="43"/>
          <w:w w:val="105"/>
          <w:sz w:val="20"/>
        </w:rPr>
        <w:t> </w:t>
      </w:r>
      <w:r>
        <w:rPr>
          <w:b/>
          <w:color w:val="231F20"/>
          <w:w w:val="105"/>
          <w:sz w:val="20"/>
        </w:rPr>
        <w:t>$1</w:t>
      </w:r>
      <w:r>
        <w:rPr>
          <w:b/>
          <w:color w:val="231F20"/>
          <w:spacing w:val="44"/>
          <w:w w:val="105"/>
          <w:sz w:val="20"/>
        </w:rPr>
        <w:t> </w:t>
      </w:r>
      <w:r>
        <w:rPr>
          <w:rFonts w:ascii="Symbol" w:hAnsi="Symbol"/>
          <w:color w:val="231F20"/>
          <w:w w:val="105"/>
          <w:sz w:val="21"/>
        </w:rPr>
        <w:t></w:t>
      </w:r>
      <w:r>
        <w:rPr>
          <w:rFonts w:ascii="Times New Roman" w:hAnsi="Times New Roman"/>
          <w:color w:val="231F20"/>
          <w:spacing w:val="26"/>
          <w:w w:val="105"/>
          <w:sz w:val="21"/>
        </w:rPr>
        <w:t> </w:t>
      </w:r>
      <w:r>
        <w:rPr>
          <w:b/>
          <w:color w:val="231F20"/>
          <w:w w:val="105"/>
          <w:sz w:val="20"/>
        </w:rPr>
        <w:t>(1</w:t>
      </w:r>
      <w:r>
        <w:rPr>
          <w:b/>
          <w:color w:val="231F20"/>
          <w:spacing w:val="43"/>
          <w:w w:val="105"/>
          <w:sz w:val="20"/>
        </w:rPr>
        <w:t> </w:t>
      </w:r>
      <w:r>
        <w:rPr>
          <w:rFonts w:ascii="Symbol" w:hAnsi="Symbol"/>
          <w:color w:val="231F20"/>
          <w:w w:val="105"/>
          <w:sz w:val="21"/>
        </w:rPr>
        <w:t></w:t>
      </w:r>
      <w:r>
        <w:rPr>
          <w:rFonts w:ascii="Times New Roman" w:hAnsi="Times New Roman"/>
          <w:color w:val="231F20"/>
          <w:spacing w:val="27"/>
          <w:w w:val="105"/>
          <w:sz w:val="21"/>
        </w:rPr>
        <w:t> </w:t>
      </w:r>
      <w:r>
        <w:rPr>
          <w:b/>
          <w:color w:val="231F20"/>
          <w:w w:val="105"/>
          <w:sz w:val="20"/>
        </w:rPr>
        <w:t>r)</w:t>
      </w:r>
      <w:r>
        <w:rPr>
          <w:rFonts w:ascii="Symbol" w:hAnsi="Symbol"/>
          <w:color w:val="231F20"/>
          <w:w w:val="105"/>
          <w:position w:val="7"/>
          <w:sz w:val="10"/>
        </w:rPr>
        <w:t></w:t>
      </w:r>
      <w:r>
        <w:rPr>
          <w:rFonts w:ascii="Times New Roman" w:hAnsi="Times New Roman"/>
          <w:color w:val="231F20"/>
          <w:spacing w:val="3"/>
          <w:w w:val="105"/>
          <w:position w:val="7"/>
          <w:sz w:val="10"/>
        </w:rPr>
        <w:t> </w:t>
      </w:r>
      <w:r>
        <w:rPr>
          <w:b/>
          <w:color w:val="231F20"/>
          <w:spacing w:val="-10"/>
          <w:w w:val="105"/>
          <w:position w:val="4"/>
          <w:sz w:val="15"/>
        </w:rPr>
        <w:t>n</w:t>
      </w:r>
    </w:p>
    <w:p>
      <w:pPr>
        <w:spacing w:before="43"/>
        <w:ind w:left="3335" w:right="3372" w:firstLine="0"/>
        <w:jc w:val="center"/>
        <w:rPr>
          <w:b/>
          <w:sz w:val="20"/>
        </w:rPr>
      </w:pPr>
      <w:r>
        <w:rPr>
          <w:b/>
          <w:color w:val="231F20"/>
          <w:w w:val="95"/>
          <w:sz w:val="20"/>
        </w:rPr>
        <w:t>r</w:t>
      </w:r>
      <w:r>
        <w:rPr>
          <w:b/>
          <w:color w:val="231F20"/>
          <w:spacing w:val="-2"/>
          <w:w w:val="95"/>
          <w:sz w:val="20"/>
        </w:rPr>
        <w:t> </w:t>
      </w:r>
      <w:r>
        <w:rPr>
          <w:rFonts w:ascii="Symbol" w:hAnsi="Symbol"/>
          <w:color w:val="231F20"/>
          <w:w w:val="95"/>
          <w:sz w:val="21"/>
        </w:rPr>
        <w:t></w:t>
      </w:r>
      <w:r>
        <w:rPr>
          <w:rFonts w:ascii="Times New Roman" w:hAnsi="Times New Roman"/>
          <w:color w:val="231F20"/>
          <w:spacing w:val="-9"/>
          <w:w w:val="95"/>
          <w:sz w:val="21"/>
        </w:rPr>
        <w:t> </w:t>
      </w:r>
      <w:r>
        <w:rPr>
          <w:b/>
          <w:color w:val="231F20"/>
          <w:w w:val="95"/>
          <w:sz w:val="20"/>
        </w:rPr>
        <w:t>discount</w:t>
      </w:r>
      <w:r>
        <w:rPr>
          <w:b/>
          <w:color w:val="231F20"/>
          <w:spacing w:val="-1"/>
          <w:w w:val="95"/>
          <w:sz w:val="20"/>
        </w:rPr>
        <w:t> </w:t>
      </w:r>
      <w:r>
        <w:rPr>
          <w:b/>
          <w:color w:val="231F20"/>
          <w:w w:val="95"/>
          <w:sz w:val="20"/>
        </w:rPr>
        <w:t>rate</w:t>
      </w:r>
      <w:r>
        <w:rPr>
          <w:b/>
          <w:color w:val="231F20"/>
          <w:spacing w:val="-1"/>
          <w:w w:val="95"/>
          <w:sz w:val="20"/>
        </w:rPr>
        <w:t> </w:t>
      </w:r>
      <w:r>
        <w:rPr>
          <w:b/>
          <w:color w:val="231F20"/>
          <w:w w:val="95"/>
          <w:sz w:val="20"/>
        </w:rPr>
        <w:t>n</w:t>
      </w:r>
      <w:r>
        <w:rPr>
          <w:b/>
          <w:color w:val="231F20"/>
          <w:spacing w:val="-2"/>
          <w:w w:val="95"/>
          <w:sz w:val="20"/>
        </w:rPr>
        <w:t> </w:t>
      </w:r>
      <w:r>
        <w:rPr>
          <w:rFonts w:ascii="Symbol" w:hAnsi="Symbol"/>
          <w:color w:val="231F20"/>
          <w:w w:val="95"/>
          <w:sz w:val="21"/>
        </w:rPr>
        <w:t></w:t>
      </w:r>
      <w:r>
        <w:rPr>
          <w:rFonts w:ascii="Times New Roman" w:hAnsi="Times New Roman"/>
          <w:color w:val="231F20"/>
          <w:spacing w:val="-9"/>
          <w:w w:val="95"/>
          <w:sz w:val="21"/>
        </w:rPr>
        <w:t> </w:t>
      </w:r>
      <w:r>
        <w:rPr>
          <w:b/>
          <w:color w:val="231F20"/>
          <w:w w:val="95"/>
          <w:sz w:val="20"/>
        </w:rPr>
        <w:t>number</w:t>
      </w:r>
      <w:r>
        <w:rPr>
          <w:b/>
          <w:color w:val="231F20"/>
          <w:spacing w:val="-1"/>
          <w:w w:val="95"/>
          <w:sz w:val="20"/>
        </w:rPr>
        <w:t> </w:t>
      </w:r>
      <w:r>
        <w:rPr>
          <w:b/>
          <w:color w:val="231F20"/>
          <w:w w:val="95"/>
          <w:sz w:val="20"/>
        </w:rPr>
        <w:t>of</w:t>
      </w:r>
      <w:r>
        <w:rPr>
          <w:b/>
          <w:color w:val="231F20"/>
          <w:spacing w:val="-1"/>
          <w:w w:val="95"/>
          <w:sz w:val="20"/>
        </w:rPr>
        <w:t> </w:t>
      </w:r>
      <w:r>
        <w:rPr>
          <w:b/>
          <w:color w:val="231F20"/>
          <w:w w:val="95"/>
          <w:sz w:val="20"/>
        </w:rPr>
        <w:t>periods</w:t>
      </w:r>
      <w:r>
        <w:rPr>
          <w:b/>
          <w:color w:val="231F20"/>
          <w:spacing w:val="-2"/>
          <w:w w:val="95"/>
          <w:sz w:val="20"/>
        </w:rPr>
        <w:t> </w:t>
      </w:r>
      <w:r>
        <w:rPr>
          <w:b/>
          <w:color w:val="231F20"/>
          <w:w w:val="95"/>
          <w:sz w:val="20"/>
        </w:rPr>
        <w:t>until</w:t>
      </w:r>
      <w:r>
        <w:rPr>
          <w:b/>
          <w:color w:val="231F20"/>
          <w:spacing w:val="-1"/>
          <w:w w:val="95"/>
          <w:sz w:val="20"/>
        </w:rPr>
        <w:t> </w:t>
      </w:r>
      <w:r>
        <w:rPr>
          <w:b/>
          <w:color w:val="231F20"/>
          <w:spacing w:val="-2"/>
          <w:w w:val="95"/>
          <w:sz w:val="20"/>
        </w:rPr>
        <w:t>payment</w:t>
      </w:r>
    </w:p>
    <w:p>
      <w:pPr>
        <w:pStyle w:val="BodyText"/>
        <w:spacing w:before="1"/>
        <w:rPr>
          <w:b/>
          <w:sz w:val="5"/>
        </w:rPr>
      </w:pPr>
      <w:r>
        <w:rPr/>
        <w:pict>
          <v:shape style="position:absolute;margin-left:45pt;margin-top:4.219316pt;width:558pt;height:.1pt;mso-position-horizontal-relative:page;mso-position-vertical-relative:paragraph;z-index:-15510016;mso-wrap-distance-left:0;mso-wrap-distance-right:0" id="docshape563" coordorigin="900,84" coordsize="11160,0" path="m900,84l12060,84e" filled="false" stroked="true" strokeweight="1pt" strokecolor="#231f20">
            <v:path arrowok="t"/>
            <v:stroke dashstyle="solid"/>
            <w10:wrap type="topAndBottom"/>
          </v:shape>
        </w:pict>
      </w:r>
    </w:p>
    <w:p>
      <w:pPr>
        <w:pStyle w:val="BodyText"/>
        <w:spacing w:before="4"/>
        <w:rPr>
          <w:b/>
          <w:sz w:val="13"/>
        </w:rPr>
      </w:pPr>
    </w:p>
    <w:p>
      <w:pPr>
        <w:spacing w:before="0" w:after="45"/>
        <w:ind w:left="100" w:right="0" w:firstLine="0"/>
        <w:jc w:val="left"/>
        <w:rPr>
          <w:b/>
          <w:i/>
          <w:sz w:val="13"/>
        </w:rPr>
      </w:pPr>
      <w:r>
        <w:rPr>
          <w:b/>
          <w:i/>
          <w:color w:val="231F20"/>
          <w:spacing w:val="-2"/>
          <w:w w:val="105"/>
          <w:sz w:val="13"/>
        </w:rPr>
        <w:t>PERIODS</w:t>
      </w:r>
    </w:p>
    <w:tbl>
      <w:tblPr>
        <w:tblW w:w="0" w:type="auto"/>
        <w:jc w:val="left"/>
        <w:tblInd w:w="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1"/>
        <w:gridCol w:w="636"/>
        <w:gridCol w:w="609"/>
        <w:gridCol w:w="614"/>
        <w:gridCol w:w="629"/>
        <w:gridCol w:w="634"/>
        <w:gridCol w:w="624"/>
        <w:gridCol w:w="634"/>
        <w:gridCol w:w="639"/>
        <w:gridCol w:w="648"/>
        <w:gridCol w:w="549"/>
        <w:gridCol w:w="670"/>
        <w:gridCol w:w="634"/>
        <w:gridCol w:w="639"/>
        <w:gridCol w:w="624"/>
        <w:gridCol w:w="624"/>
        <w:gridCol w:w="624"/>
        <w:gridCol w:w="577"/>
      </w:tblGrid>
      <w:tr>
        <w:trPr>
          <w:trHeight w:val="173" w:hRule="atLeast"/>
        </w:trPr>
        <w:tc>
          <w:tcPr>
            <w:tcW w:w="331" w:type="dxa"/>
          </w:tcPr>
          <w:p>
            <w:pPr>
              <w:pStyle w:val="TableParagraph"/>
              <w:spacing w:line="153" w:lineRule="exact" w:before="0"/>
              <w:ind w:left="20" w:right="76"/>
              <w:rPr>
                <w:b/>
                <w:i/>
                <w:sz w:val="13"/>
              </w:rPr>
            </w:pPr>
            <w:r>
              <w:rPr>
                <w:rFonts w:ascii="Symbol" w:hAnsi="Symbol"/>
                <w:color w:val="231F20"/>
                <w:w w:val="110"/>
                <w:sz w:val="13"/>
              </w:rPr>
              <w:t></w:t>
            </w:r>
            <w:r>
              <w:rPr>
                <w:rFonts w:ascii="Times New Roman" w:hAnsi="Times New Roman"/>
                <w:color w:val="231F20"/>
                <w:spacing w:val="-5"/>
                <w:w w:val="110"/>
                <w:sz w:val="13"/>
              </w:rPr>
              <w:t> </w:t>
            </w:r>
            <w:r>
              <w:rPr>
                <w:b/>
                <w:i/>
                <w:color w:val="231F20"/>
                <w:spacing w:val="-10"/>
                <w:w w:val="110"/>
                <w:sz w:val="13"/>
              </w:rPr>
              <w:t>N</w:t>
            </w:r>
          </w:p>
        </w:tc>
        <w:tc>
          <w:tcPr>
            <w:tcW w:w="636" w:type="dxa"/>
          </w:tcPr>
          <w:p>
            <w:pPr>
              <w:pStyle w:val="TableParagraph"/>
              <w:spacing w:line="146" w:lineRule="exact" w:before="7"/>
              <w:ind w:left="92" w:right="65"/>
              <w:rPr>
                <w:b/>
                <w:i/>
                <w:sz w:val="13"/>
              </w:rPr>
            </w:pPr>
            <w:r>
              <w:rPr>
                <w:b/>
                <w:i/>
                <w:color w:val="231F20"/>
                <w:spacing w:val="-5"/>
                <w:sz w:val="13"/>
              </w:rPr>
              <w:t>1%</w:t>
            </w:r>
          </w:p>
        </w:tc>
        <w:tc>
          <w:tcPr>
            <w:tcW w:w="609" w:type="dxa"/>
          </w:tcPr>
          <w:p>
            <w:pPr>
              <w:pStyle w:val="TableParagraph"/>
              <w:spacing w:line="146" w:lineRule="exact" w:before="7"/>
              <w:ind w:left="68" w:right="46"/>
              <w:rPr>
                <w:b/>
                <w:i/>
                <w:sz w:val="13"/>
              </w:rPr>
            </w:pPr>
            <w:r>
              <w:rPr>
                <w:b/>
                <w:i/>
                <w:color w:val="231F20"/>
                <w:spacing w:val="-5"/>
                <w:sz w:val="13"/>
              </w:rPr>
              <w:t>2%</w:t>
            </w:r>
          </w:p>
        </w:tc>
        <w:tc>
          <w:tcPr>
            <w:tcW w:w="614" w:type="dxa"/>
          </w:tcPr>
          <w:p>
            <w:pPr>
              <w:pStyle w:val="TableParagraph"/>
              <w:spacing w:line="146" w:lineRule="exact" w:before="7"/>
              <w:ind w:left="61" w:right="61"/>
              <w:rPr>
                <w:b/>
                <w:i/>
                <w:sz w:val="13"/>
              </w:rPr>
            </w:pPr>
            <w:r>
              <w:rPr>
                <w:b/>
                <w:i/>
                <w:color w:val="231F20"/>
                <w:spacing w:val="-5"/>
                <w:sz w:val="13"/>
              </w:rPr>
              <w:t>3%</w:t>
            </w:r>
          </w:p>
        </w:tc>
        <w:tc>
          <w:tcPr>
            <w:tcW w:w="629" w:type="dxa"/>
          </w:tcPr>
          <w:p>
            <w:pPr>
              <w:pStyle w:val="TableParagraph"/>
              <w:spacing w:line="146" w:lineRule="exact" w:before="7"/>
              <w:ind w:left="75" w:right="59"/>
              <w:rPr>
                <w:b/>
                <w:i/>
                <w:sz w:val="13"/>
              </w:rPr>
            </w:pPr>
            <w:r>
              <w:rPr>
                <w:b/>
                <w:i/>
                <w:color w:val="231F20"/>
                <w:spacing w:val="-5"/>
                <w:sz w:val="13"/>
              </w:rPr>
              <w:t>4%</w:t>
            </w:r>
          </w:p>
        </w:tc>
        <w:tc>
          <w:tcPr>
            <w:tcW w:w="634" w:type="dxa"/>
          </w:tcPr>
          <w:p>
            <w:pPr>
              <w:pStyle w:val="TableParagraph"/>
              <w:spacing w:line="146" w:lineRule="exact" w:before="7"/>
              <w:ind w:left="70" w:right="57"/>
              <w:rPr>
                <w:b/>
                <w:i/>
                <w:sz w:val="13"/>
              </w:rPr>
            </w:pPr>
            <w:r>
              <w:rPr>
                <w:b/>
                <w:i/>
                <w:color w:val="231F20"/>
                <w:spacing w:val="-5"/>
                <w:sz w:val="13"/>
              </w:rPr>
              <w:t>5%</w:t>
            </w:r>
          </w:p>
        </w:tc>
        <w:tc>
          <w:tcPr>
            <w:tcW w:w="624" w:type="dxa"/>
          </w:tcPr>
          <w:p>
            <w:pPr>
              <w:pStyle w:val="TableParagraph"/>
              <w:spacing w:line="146" w:lineRule="exact" w:before="7"/>
              <w:ind w:left="82" w:right="47"/>
              <w:rPr>
                <w:b/>
                <w:i/>
                <w:sz w:val="13"/>
              </w:rPr>
            </w:pPr>
            <w:r>
              <w:rPr>
                <w:b/>
                <w:i/>
                <w:color w:val="231F20"/>
                <w:spacing w:val="-5"/>
                <w:sz w:val="13"/>
              </w:rPr>
              <w:t>6%</w:t>
            </w:r>
          </w:p>
        </w:tc>
        <w:tc>
          <w:tcPr>
            <w:tcW w:w="634" w:type="dxa"/>
          </w:tcPr>
          <w:p>
            <w:pPr>
              <w:pStyle w:val="TableParagraph"/>
              <w:spacing w:line="146" w:lineRule="exact" w:before="7"/>
              <w:ind w:left="69" w:right="69"/>
              <w:rPr>
                <w:b/>
                <w:i/>
                <w:sz w:val="13"/>
              </w:rPr>
            </w:pPr>
            <w:r>
              <w:rPr>
                <w:b/>
                <w:i/>
                <w:color w:val="231F20"/>
                <w:spacing w:val="-5"/>
                <w:sz w:val="13"/>
              </w:rPr>
              <w:t>7%</w:t>
            </w:r>
          </w:p>
        </w:tc>
        <w:tc>
          <w:tcPr>
            <w:tcW w:w="639" w:type="dxa"/>
          </w:tcPr>
          <w:p>
            <w:pPr>
              <w:pStyle w:val="TableParagraph"/>
              <w:spacing w:line="146" w:lineRule="exact" w:before="7"/>
              <w:ind w:left="95" w:right="51"/>
              <w:rPr>
                <w:b/>
                <w:i/>
                <w:sz w:val="13"/>
              </w:rPr>
            </w:pPr>
            <w:r>
              <w:rPr>
                <w:b/>
                <w:i/>
                <w:color w:val="231F20"/>
                <w:spacing w:val="-5"/>
                <w:sz w:val="13"/>
              </w:rPr>
              <w:t>8%</w:t>
            </w:r>
          </w:p>
        </w:tc>
        <w:tc>
          <w:tcPr>
            <w:tcW w:w="648" w:type="dxa"/>
          </w:tcPr>
          <w:p>
            <w:pPr>
              <w:pStyle w:val="TableParagraph"/>
              <w:spacing w:line="146" w:lineRule="exact" w:before="7"/>
              <w:ind w:left="65" w:right="85"/>
              <w:rPr>
                <w:b/>
                <w:i/>
                <w:sz w:val="13"/>
              </w:rPr>
            </w:pPr>
            <w:r>
              <w:rPr>
                <w:b/>
                <w:i/>
                <w:color w:val="231F20"/>
                <w:spacing w:val="-5"/>
                <w:sz w:val="13"/>
              </w:rPr>
              <w:t>9%</w:t>
            </w:r>
          </w:p>
        </w:tc>
        <w:tc>
          <w:tcPr>
            <w:tcW w:w="549" w:type="dxa"/>
            <w:tcBorders>
              <w:bottom w:val="single" w:sz="4" w:space="0" w:color="231F20"/>
            </w:tcBorders>
          </w:tcPr>
          <w:p>
            <w:pPr>
              <w:pStyle w:val="TableParagraph"/>
              <w:spacing w:line="146" w:lineRule="exact" w:before="7"/>
              <w:ind w:left="38" w:right="23"/>
              <w:rPr>
                <w:b/>
                <w:i/>
                <w:sz w:val="13"/>
              </w:rPr>
            </w:pPr>
            <w:r>
              <w:rPr>
                <w:b/>
                <w:i/>
                <w:color w:val="231F20"/>
                <w:spacing w:val="-5"/>
                <w:sz w:val="13"/>
              </w:rPr>
              <w:t>10%</w:t>
            </w:r>
          </w:p>
        </w:tc>
        <w:tc>
          <w:tcPr>
            <w:tcW w:w="670" w:type="dxa"/>
          </w:tcPr>
          <w:p>
            <w:pPr>
              <w:pStyle w:val="TableParagraph"/>
              <w:spacing w:line="146" w:lineRule="exact" w:before="7"/>
              <w:ind w:left="129" w:right="53"/>
              <w:rPr>
                <w:b/>
                <w:i/>
                <w:sz w:val="13"/>
              </w:rPr>
            </w:pPr>
            <w:r>
              <w:rPr>
                <w:b/>
                <w:i/>
                <w:color w:val="231F20"/>
                <w:spacing w:val="-5"/>
                <w:sz w:val="13"/>
              </w:rPr>
              <w:t>12%</w:t>
            </w:r>
          </w:p>
        </w:tc>
        <w:tc>
          <w:tcPr>
            <w:tcW w:w="634" w:type="dxa"/>
          </w:tcPr>
          <w:p>
            <w:pPr>
              <w:pStyle w:val="TableParagraph"/>
              <w:spacing w:line="146" w:lineRule="exact" w:before="7"/>
              <w:ind w:left="70" w:right="58"/>
              <w:rPr>
                <w:b/>
                <w:i/>
                <w:sz w:val="13"/>
              </w:rPr>
            </w:pPr>
            <w:r>
              <w:rPr>
                <w:b/>
                <w:i/>
                <w:color w:val="231F20"/>
                <w:spacing w:val="-5"/>
                <w:sz w:val="13"/>
              </w:rPr>
              <w:t>14%</w:t>
            </w:r>
          </w:p>
        </w:tc>
        <w:tc>
          <w:tcPr>
            <w:tcW w:w="639" w:type="dxa"/>
          </w:tcPr>
          <w:p>
            <w:pPr>
              <w:pStyle w:val="TableParagraph"/>
              <w:spacing w:line="146" w:lineRule="exact" w:before="7"/>
              <w:ind w:left="95" w:right="56"/>
              <w:rPr>
                <w:b/>
                <w:i/>
                <w:sz w:val="13"/>
              </w:rPr>
            </w:pPr>
            <w:r>
              <w:rPr>
                <w:b/>
                <w:i/>
                <w:color w:val="231F20"/>
                <w:spacing w:val="-5"/>
                <w:sz w:val="13"/>
              </w:rPr>
              <w:t>15%</w:t>
            </w:r>
          </w:p>
        </w:tc>
        <w:tc>
          <w:tcPr>
            <w:tcW w:w="624" w:type="dxa"/>
          </w:tcPr>
          <w:p>
            <w:pPr>
              <w:pStyle w:val="TableParagraph"/>
              <w:spacing w:line="146" w:lineRule="exact" w:before="7"/>
              <w:ind w:left="66" w:right="50"/>
              <w:rPr>
                <w:b/>
                <w:i/>
                <w:sz w:val="13"/>
              </w:rPr>
            </w:pPr>
            <w:r>
              <w:rPr>
                <w:b/>
                <w:i/>
                <w:color w:val="231F20"/>
                <w:spacing w:val="-5"/>
                <w:sz w:val="13"/>
              </w:rPr>
              <w:t>16%</w:t>
            </w:r>
          </w:p>
        </w:tc>
        <w:tc>
          <w:tcPr>
            <w:tcW w:w="624" w:type="dxa"/>
          </w:tcPr>
          <w:p>
            <w:pPr>
              <w:pStyle w:val="TableParagraph"/>
              <w:spacing w:line="146" w:lineRule="exact" w:before="7"/>
              <w:ind w:left="58" w:right="50"/>
              <w:rPr>
                <w:b/>
                <w:i/>
                <w:sz w:val="13"/>
              </w:rPr>
            </w:pPr>
            <w:r>
              <w:rPr>
                <w:b/>
                <w:i/>
                <w:color w:val="231F20"/>
                <w:spacing w:val="-5"/>
                <w:sz w:val="13"/>
              </w:rPr>
              <w:t>18%</w:t>
            </w:r>
          </w:p>
        </w:tc>
        <w:tc>
          <w:tcPr>
            <w:tcW w:w="624" w:type="dxa"/>
          </w:tcPr>
          <w:p>
            <w:pPr>
              <w:pStyle w:val="TableParagraph"/>
              <w:spacing w:line="146" w:lineRule="exact" w:before="7"/>
              <w:ind w:left="82" w:right="42"/>
              <w:rPr>
                <w:b/>
                <w:i/>
                <w:sz w:val="13"/>
              </w:rPr>
            </w:pPr>
            <w:r>
              <w:rPr>
                <w:b/>
                <w:i/>
                <w:color w:val="231F20"/>
                <w:spacing w:val="-5"/>
                <w:sz w:val="13"/>
              </w:rPr>
              <w:t>20%</w:t>
            </w:r>
          </w:p>
        </w:tc>
        <w:tc>
          <w:tcPr>
            <w:tcW w:w="577" w:type="dxa"/>
          </w:tcPr>
          <w:p>
            <w:pPr>
              <w:pStyle w:val="TableParagraph"/>
              <w:spacing w:line="146" w:lineRule="exact" w:before="7"/>
              <w:ind w:left="85" w:right="6"/>
              <w:rPr>
                <w:b/>
                <w:i/>
                <w:sz w:val="13"/>
              </w:rPr>
            </w:pPr>
            <w:r>
              <w:rPr>
                <w:b/>
                <w:i/>
                <w:color w:val="231F20"/>
                <w:spacing w:val="-5"/>
                <w:sz w:val="13"/>
              </w:rPr>
              <w:t>25%</w:t>
            </w:r>
          </w:p>
        </w:tc>
      </w:tr>
      <w:tr>
        <w:trPr>
          <w:trHeight w:val="185" w:hRule="atLeast"/>
        </w:trPr>
        <w:tc>
          <w:tcPr>
            <w:tcW w:w="331" w:type="dxa"/>
          </w:tcPr>
          <w:p>
            <w:pPr>
              <w:pStyle w:val="TableParagraph"/>
              <w:spacing w:line="152" w:lineRule="exact" w:before="14"/>
              <w:ind w:left="57"/>
              <w:rPr>
                <w:sz w:val="13"/>
              </w:rPr>
            </w:pPr>
            <w:r>
              <w:rPr>
                <w:color w:val="231F20"/>
                <w:w w:val="100"/>
                <w:sz w:val="13"/>
              </w:rPr>
              <w:t>1</w:t>
            </w:r>
          </w:p>
        </w:tc>
        <w:tc>
          <w:tcPr>
            <w:tcW w:w="636" w:type="dxa"/>
          </w:tcPr>
          <w:p>
            <w:pPr>
              <w:pStyle w:val="TableParagraph"/>
              <w:spacing w:line="152" w:lineRule="exact" w:before="14"/>
              <w:ind w:left="155" w:right="65"/>
              <w:rPr>
                <w:sz w:val="13"/>
              </w:rPr>
            </w:pPr>
            <w:r>
              <w:rPr>
                <w:color w:val="231F20"/>
                <w:spacing w:val="-2"/>
                <w:sz w:val="13"/>
              </w:rPr>
              <w:t>0.9901</w:t>
            </w:r>
          </w:p>
        </w:tc>
        <w:tc>
          <w:tcPr>
            <w:tcW w:w="609" w:type="dxa"/>
          </w:tcPr>
          <w:p>
            <w:pPr>
              <w:pStyle w:val="TableParagraph"/>
              <w:spacing w:line="152" w:lineRule="exact" w:before="14"/>
              <w:ind w:left="68" w:right="55"/>
              <w:rPr>
                <w:sz w:val="13"/>
              </w:rPr>
            </w:pPr>
            <w:r>
              <w:rPr>
                <w:color w:val="231F20"/>
                <w:spacing w:val="-2"/>
                <w:sz w:val="13"/>
              </w:rPr>
              <w:t>0.98039</w:t>
            </w:r>
          </w:p>
        </w:tc>
        <w:tc>
          <w:tcPr>
            <w:tcW w:w="614" w:type="dxa"/>
          </w:tcPr>
          <w:p>
            <w:pPr>
              <w:pStyle w:val="TableParagraph"/>
              <w:spacing w:line="152" w:lineRule="exact" w:before="14"/>
              <w:ind w:left="61" w:right="68"/>
              <w:rPr>
                <w:sz w:val="13"/>
              </w:rPr>
            </w:pPr>
            <w:r>
              <w:rPr>
                <w:color w:val="231F20"/>
                <w:spacing w:val="-2"/>
                <w:sz w:val="13"/>
              </w:rPr>
              <w:t>0.97087</w:t>
            </w:r>
          </w:p>
        </w:tc>
        <w:tc>
          <w:tcPr>
            <w:tcW w:w="629" w:type="dxa"/>
          </w:tcPr>
          <w:p>
            <w:pPr>
              <w:pStyle w:val="TableParagraph"/>
              <w:spacing w:line="152" w:lineRule="exact" w:before="14"/>
              <w:ind w:left="75" w:right="68"/>
              <w:rPr>
                <w:sz w:val="13"/>
              </w:rPr>
            </w:pPr>
            <w:r>
              <w:rPr>
                <w:color w:val="231F20"/>
                <w:spacing w:val="-2"/>
                <w:sz w:val="13"/>
              </w:rPr>
              <w:t>0.96154</w:t>
            </w:r>
          </w:p>
        </w:tc>
        <w:tc>
          <w:tcPr>
            <w:tcW w:w="634" w:type="dxa"/>
          </w:tcPr>
          <w:p>
            <w:pPr>
              <w:pStyle w:val="TableParagraph"/>
              <w:spacing w:line="152" w:lineRule="exact" w:before="14"/>
              <w:ind w:left="70" w:right="66"/>
              <w:rPr>
                <w:sz w:val="13"/>
              </w:rPr>
            </w:pPr>
            <w:r>
              <w:rPr>
                <w:color w:val="231F20"/>
                <w:spacing w:val="-2"/>
                <w:sz w:val="13"/>
              </w:rPr>
              <w:t>0.95238</w:t>
            </w:r>
          </w:p>
        </w:tc>
        <w:tc>
          <w:tcPr>
            <w:tcW w:w="624" w:type="dxa"/>
          </w:tcPr>
          <w:p>
            <w:pPr>
              <w:pStyle w:val="TableParagraph"/>
              <w:spacing w:line="152" w:lineRule="exact" w:before="14"/>
              <w:ind w:left="77" w:right="50"/>
              <w:rPr>
                <w:sz w:val="13"/>
              </w:rPr>
            </w:pPr>
            <w:r>
              <w:rPr>
                <w:color w:val="231F20"/>
                <w:spacing w:val="-2"/>
                <w:sz w:val="13"/>
              </w:rPr>
              <w:t>0.94340</w:t>
            </w:r>
          </w:p>
        </w:tc>
        <w:tc>
          <w:tcPr>
            <w:tcW w:w="634" w:type="dxa"/>
          </w:tcPr>
          <w:p>
            <w:pPr>
              <w:pStyle w:val="TableParagraph"/>
              <w:spacing w:line="152" w:lineRule="exact" w:before="14"/>
              <w:ind w:left="61" w:right="69"/>
              <w:rPr>
                <w:sz w:val="13"/>
              </w:rPr>
            </w:pPr>
            <w:r>
              <w:rPr>
                <w:color w:val="231F20"/>
                <w:spacing w:val="-2"/>
                <w:sz w:val="13"/>
              </w:rPr>
              <w:t>0.93458</w:t>
            </w:r>
          </w:p>
        </w:tc>
        <w:tc>
          <w:tcPr>
            <w:tcW w:w="639" w:type="dxa"/>
          </w:tcPr>
          <w:p>
            <w:pPr>
              <w:pStyle w:val="TableParagraph"/>
              <w:spacing w:line="152" w:lineRule="exact" w:before="14"/>
              <w:ind w:left="94" w:right="58"/>
              <w:rPr>
                <w:sz w:val="13"/>
              </w:rPr>
            </w:pPr>
            <w:r>
              <w:rPr>
                <w:color w:val="231F20"/>
                <w:spacing w:val="-2"/>
                <w:sz w:val="13"/>
              </w:rPr>
              <w:t>0.92593</w:t>
            </w:r>
          </w:p>
        </w:tc>
        <w:tc>
          <w:tcPr>
            <w:tcW w:w="648" w:type="dxa"/>
            <w:tcBorders>
              <w:right w:val="single" w:sz="4" w:space="0" w:color="231F20"/>
            </w:tcBorders>
          </w:tcPr>
          <w:p>
            <w:pPr>
              <w:pStyle w:val="TableParagraph"/>
              <w:spacing w:line="152" w:lineRule="exact" w:before="14"/>
              <w:ind w:left="75" w:right="83"/>
              <w:rPr>
                <w:sz w:val="13"/>
              </w:rPr>
            </w:pPr>
            <w:r>
              <w:rPr>
                <w:color w:val="231F20"/>
                <w:spacing w:val="-2"/>
                <w:sz w:val="13"/>
              </w:rPr>
              <w:t>0.91743</w:t>
            </w:r>
          </w:p>
        </w:tc>
        <w:tc>
          <w:tcPr>
            <w:tcW w:w="549" w:type="dxa"/>
            <w:tcBorders>
              <w:top w:val="single" w:sz="4" w:space="0" w:color="231F20"/>
              <w:left w:val="single" w:sz="4" w:space="0" w:color="231F20"/>
              <w:right w:val="single" w:sz="4" w:space="0" w:color="231F20"/>
            </w:tcBorders>
          </w:tcPr>
          <w:p>
            <w:pPr>
              <w:pStyle w:val="TableParagraph"/>
              <w:spacing w:line="152" w:lineRule="exact" w:before="14"/>
              <w:ind w:left="33" w:right="21"/>
              <w:rPr>
                <w:sz w:val="13"/>
              </w:rPr>
            </w:pPr>
            <w:r>
              <w:rPr>
                <w:color w:val="231F20"/>
                <w:spacing w:val="-2"/>
                <w:sz w:val="13"/>
              </w:rPr>
              <w:t>0.90909</w:t>
            </w:r>
          </w:p>
        </w:tc>
        <w:tc>
          <w:tcPr>
            <w:tcW w:w="670" w:type="dxa"/>
            <w:tcBorders>
              <w:left w:val="single" w:sz="4" w:space="0" w:color="231F20"/>
            </w:tcBorders>
          </w:tcPr>
          <w:p>
            <w:pPr>
              <w:pStyle w:val="TableParagraph"/>
              <w:spacing w:line="152" w:lineRule="exact" w:before="14"/>
              <w:ind w:left="127" w:right="53"/>
              <w:rPr>
                <w:sz w:val="13"/>
              </w:rPr>
            </w:pPr>
            <w:r>
              <w:rPr>
                <w:color w:val="231F20"/>
                <w:spacing w:val="-2"/>
                <w:sz w:val="13"/>
              </w:rPr>
              <w:t>0.89286</w:t>
            </w:r>
          </w:p>
        </w:tc>
        <w:tc>
          <w:tcPr>
            <w:tcW w:w="634" w:type="dxa"/>
          </w:tcPr>
          <w:p>
            <w:pPr>
              <w:pStyle w:val="TableParagraph"/>
              <w:spacing w:line="152" w:lineRule="exact" w:before="14"/>
              <w:ind w:left="70" w:right="60"/>
              <w:rPr>
                <w:sz w:val="13"/>
              </w:rPr>
            </w:pPr>
            <w:r>
              <w:rPr>
                <w:color w:val="231F20"/>
                <w:spacing w:val="-2"/>
                <w:sz w:val="13"/>
              </w:rPr>
              <w:t>0.87719</w:t>
            </w:r>
          </w:p>
        </w:tc>
        <w:tc>
          <w:tcPr>
            <w:tcW w:w="639" w:type="dxa"/>
          </w:tcPr>
          <w:p>
            <w:pPr>
              <w:pStyle w:val="TableParagraph"/>
              <w:spacing w:line="152" w:lineRule="exact" w:before="14"/>
              <w:ind w:left="95" w:right="58"/>
              <w:rPr>
                <w:sz w:val="13"/>
              </w:rPr>
            </w:pPr>
            <w:r>
              <w:rPr>
                <w:color w:val="231F20"/>
                <w:spacing w:val="-2"/>
                <w:sz w:val="13"/>
              </w:rPr>
              <w:t>0.86957</w:t>
            </w:r>
          </w:p>
        </w:tc>
        <w:tc>
          <w:tcPr>
            <w:tcW w:w="624" w:type="dxa"/>
          </w:tcPr>
          <w:p>
            <w:pPr>
              <w:pStyle w:val="TableParagraph"/>
              <w:spacing w:line="152" w:lineRule="exact" w:before="14"/>
              <w:ind w:left="82" w:right="48"/>
              <w:rPr>
                <w:sz w:val="13"/>
              </w:rPr>
            </w:pPr>
            <w:r>
              <w:rPr>
                <w:color w:val="231F20"/>
                <w:spacing w:val="-2"/>
                <w:sz w:val="13"/>
              </w:rPr>
              <w:t>0.86207</w:t>
            </w:r>
          </w:p>
        </w:tc>
        <w:tc>
          <w:tcPr>
            <w:tcW w:w="624" w:type="dxa"/>
          </w:tcPr>
          <w:p>
            <w:pPr>
              <w:pStyle w:val="TableParagraph"/>
              <w:spacing w:line="152" w:lineRule="exact" w:before="14"/>
              <w:ind w:left="76" w:right="50"/>
              <w:rPr>
                <w:sz w:val="13"/>
              </w:rPr>
            </w:pPr>
            <w:r>
              <w:rPr>
                <w:color w:val="231F20"/>
                <w:spacing w:val="-2"/>
                <w:sz w:val="13"/>
              </w:rPr>
              <w:t>0.84746</w:t>
            </w:r>
          </w:p>
        </w:tc>
        <w:tc>
          <w:tcPr>
            <w:tcW w:w="624" w:type="dxa"/>
          </w:tcPr>
          <w:p>
            <w:pPr>
              <w:pStyle w:val="TableParagraph"/>
              <w:spacing w:line="152" w:lineRule="exact" w:before="14"/>
              <w:ind w:left="82" w:right="43"/>
              <w:rPr>
                <w:sz w:val="13"/>
              </w:rPr>
            </w:pPr>
            <w:r>
              <w:rPr>
                <w:color w:val="231F20"/>
                <w:spacing w:val="-2"/>
                <w:sz w:val="13"/>
              </w:rPr>
              <w:t>0.83333</w:t>
            </w:r>
          </w:p>
        </w:tc>
        <w:tc>
          <w:tcPr>
            <w:tcW w:w="577" w:type="dxa"/>
          </w:tcPr>
          <w:p>
            <w:pPr>
              <w:pStyle w:val="TableParagraph"/>
              <w:spacing w:line="152" w:lineRule="exact" w:before="14"/>
              <w:ind w:left="85" w:right="7"/>
              <w:rPr>
                <w:sz w:val="13"/>
              </w:rPr>
            </w:pPr>
            <w:r>
              <w:rPr>
                <w:color w:val="231F20"/>
                <w:spacing w:val="-2"/>
                <w:sz w:val="13"/>
              </w:rPr>
              <w:t>0.80000</w:t>
            </w:r>
          </w:p>
        </w:tc>
      </w:tr>
      <w:tr>
        <w:trPr>
          <w:trHeight w:val="189" w:hRule="atLeast"/>
        </w:trPr>
        <w:tc>
          <w:tcPr>
            <w:tcW w:w="331" w:type="dxa"/>
          </w:tcPr>
          <w:p>
            <w:pPr>
              <w:pStyle w:val="TableParagraph"/>
              <w:spacing w:line="152" w:lineRule="exact"/>
              <w:ind w:left="57"/>
              <w:rPr>
                <w:sz w:val="13"/>
              </w:rPr>
            </w:pPr>
            <w:r>
              <w:rPr>
                <w:color w:val="231F20"/>
                <w:w w:val="100"/>
                <w:sz w:val="13"/>
              </w:rPr>
              <w:t>2</w:t>
            </w:r>
          </w:p>
        </w:tc>
        <w:tc>
          <w:tcPr>
            <w:tcW w:w="636" w:type="dxa"/>
          </w:tcPr>
          <w:p>
            <w:pPr>
              <w:pStyle w:val="TableParagraph"/>
              <w:spacing w:line="152" w:lineRule="exact"/>
              <w:ind w:left="155" w:right="65"/>
              <w:rPr>
                <w:sz w:val="13"/>
              </w:rPr>
            </w:pPr>
            <w:r>
              <w:rPr>
                <w:color w:val="231F20"/>
                <w:spacing w:val="-2"/>
                <w:sz w:val="13"/>
              </w:rPr>
              <w:t>0.9803</w:t>
            </w:r>
          </w:p>
        </w:tc>
        <w:tc>
          <w:tcPr>
            <w:tcW w:w="609" w:type="dxa"/>
          </w:tcPr>
          <w:p>
            <w:pPr>
              <w:pStyle w:val="TableParagraph"/>
              <w:spacing w:line="152" w:lineRule="exact"/>
              <w:ind w:left="68" w:right="55"/>
              <w:rPr>
                <w:sz w:val="13"/>
              </w:rPr>
            </w:pPr>
            <w:r>
              <w:rPr>
                <w:color w:val="231F20"/>
                <w:spacing w:val="-2"/>
                <w:sz w:val="13"/>
              </w:rPr>
              <w:t>0.96117</w:t>
            </w:r>
          </w:p>
        </w:tc>
        <w:tc>
          <w:tcPr>
            <w:tcW w:w="614" w:type="dxa"/>
          </w:tcPr>
          <w:p>
            <w:pPr>
              <w:pStyle w:val="TableParagraph"/>
              <w:spacing w:line="152" w:lineRule="exact"/>
              <w:ind w:left="61" w:right="68"/>
              <w:rPr>
                <w:sz w:val="13"/>
              </w:rPr>
            </w:pPr>
            <w:r>
              <w:rPr>
                <w:color w:val="231F20"/>
                <w:spacing w:val="-2"/>
                <w:sz w:val="13"/>
              </w:rPr>
              <w:t>0.94260</w:t>
            </w:r>
          </w:p>
        </w:tc>
        <w:tc>
          <w:tcPr>
            <w:tcW w:w="629" w:type="dxa"/>
          </w:tcPr>
          <w:p>
            <w:pPr>
              <w:pStyle w:val="TableParagraph"/>
              <w:spacing w:line="152" w:lineRule="exact"/>
              <w:ind w:left="75" w:right="68"/>
              <w:rPr>
                <w:sz w:val="13"/>
              </w:rPr>
            </w:pPr>
            <w:r>
              <w:rPr>
                <w:color w:val="231F20"/>
                <w:spacing w:val="-2"/>
                <w:sz w:val="13"/>
              </w:rPr>
              <w:t>0.92456</w:t>
            </w:r>
          </w:p>
        </w:tc>
        <w:tc>
          <w:tcPr>
            <w:tcW w:w="634" w:type="dxa"/>
          </w:tcPr>
          <w:p>
            <w:pPr>
              <w:pStyle w:val="TableParagraph"/>
              <w:spacing w:line="152" w:lineRule="exact"/>
              <w:ind w:left="70" w:right="66"/>
              <w:rPr>
                <w:sz w:val="13"/>
              </w:rPr>
            </w:pPr>
            <w:r>
              <w:rPr>
                <w:color w:val="231F20"/>
                <w:spacing w:val="-2"/>
                <w:sz w:val="13"/>
              </w:rPr>
              <w:t>0.90703</w:t>
            </w:r>
          </w:p>
        </w:tc>
        <w:tc>
          <w:tcPr>
            <w:tcW w:w="624" w:type="dxa"/>
          </w:tcPr>
          <w:p>
            <w:pPr>
              <w:pStyle w:val="TableParagraph"/>
              <w:spacing w:line="152" w:lineRule="exact"/>
              <w:ind w:left="77" w:right="50"/>
              <w:rPr>
                <w:sz w:val="13"/>
              </w:rPr>
            </w:pPr>
            <w:r>
              <w:rPr>
                <w:color w:val="231F20"/>
                <w:spacing w:val="-2"/>
                <w:sz w:val="13"/>
              </w:rPr>
              <w:t>0.89000</w:t>
            </w:r>
          </w:p>
        </w:tc>
        <w:tc>
          <w:tcPr>
            <w:tcW w:w="634" w:type="dxa"/>
          </w:tcPr>
          <w:p>
            <w:pPr>
              <w:pStyle w:val="TableParagraph"/>
              <w:spacing w:line="152" w:lineRule="exact"/>
              <w:ind w:left="61" w:right="69"/>
              <w:rPr>
                <w:sz w:val="13"/>
              </w:rPr>
            </w:pPr>
            <w:r>
              <w:rPr>
                <w:color w:val="231F20"/>
                <w:spacing w:val="-2"/>
                <w:sz w:val="13"/>
              </w:rPr>
              <w:t>0.87344</w:t>
            </w:r>
          </w:p>
        </w:tc>
        <w:tc>
          <w:tcPr>
            <w:tcW w:w="639" w:type="dxa"/>
          </w:tcPr>
          <w:p>
            <w:pPr>
              <w:pStyle w:val="TableParagraph"/>
              <w:spacing w:line="152" w:lineRule="exact"/>
              <w:ind w:left="94" w:right="58"/>
              <w:rPr>
                <w:sz w:val="13"/>
              </w:rPr>
            </w:pPr>
            <w:r>
              <w:rPr>
                <w:color w:val="231F20"/>
                <w:spacing w:val="-2"/>
                <w:sz w:val="13"/>
              </w:rPr>
              <w:t>0.85734</w:t>
            </w:r>
          </w:p>
        </w:tc>
        <w:tc>
          <w:tcPr>
            <w:tcW w:w="648" w:type="dxa"/>
            <w:tcBorders>
              <w:right w:val="single" w:sz="4" w:space="0" w:color="231F20"/>
            </w:tcBorders>
          </w:tcPr>
          <w:p>
            <w:pPr>
              <w:pStyle w:val="TableParagraph"/>
              <w:spacing w:line="152" w:lineRule="exact"/>
              <w:ind w:left="75" w:right="83"/>
              <w:rPr>
                <w:sz w:val="13"/>
              </w:rPr>
            </w:pPr>
            <w:r>
              <w:rPr>
                <w:color w:val="231F20"/>
                <w:spacing w:val="-2"/>
                <w:sz w:val="13"/>
              </w:rPr>
              <w:t>0.84168</w:t>
            </w:r>
          </w:p>
        </w:tc>
        <w:tc>
          <w:tcPr>
            <w:tcW w:w="549" w:type="dxa"/>
            <w:tcBorders>
              <w:left w:val="single" w:sz="4" w:space="0" w:color="231F20"/>
              <w:right w:val="single" w:sz="4" w:space="0" w:color="231F20"/>
            </w:tcBorders>
          </w:tcPr>
          <w:p>
            <w:pPr>
              <w:pStyle w:val="TableParagraph"/>
              <w:spacing w:line="152" w:lineRule="exact"/>
              <w:ind w:left="33" w:right="21"/>
              <w:rPr>
                <w:sz w:val="13"/>
              </w:rPr>
            </w:pPr>
            <w:r>
              <w:rPr>
                <w:color w:val="231F20"/>
                <w:spacing w:val="-2"/>
                <w:sz w:val="13"/>
              </w:rPr>
              <w:t>0.82645</w:t>
            </w:r>
          </w:p>
        </w:tc>
        <w:tc>
          <w:tcPr>
            <w:tcW w:w="670" w:type="dxa"/>
            <w:tcBorders>
              <w:left w:val="single" w:sz="4" w:space="0" w:color="231F20"/>
            </w:tcBorders>
          </w:tcPr>
          <w:p>
            <w:pPr>
              <w:pStyle w:val="TableParagraph"/>
              <w:spacing w:line="152" w:lineRule="exact"/>
              <w:ind w:left="127" w:right="53"/>
              <w:rPr>
                <w:sz w:val="13"/>
              </w:rPr>
            </w:pPr>
            <w:r>
              <w:rPr>
                <w:color w:val="231F20"/>
                <w:spacing w:val="-2"/>
                <w:sz w:val="13"/>
              </w:rPr>
              <w:t>0.79719</w:t>
            </w:r>
          </w:p>
        </w:tc>
        <w:tc>
          <w:tcPr>
            <w:tcW w:w="634" w:type="dxa"/>
          </w:tcPr>
          <w:p>
            <w:pPr>
              <w:pStyle w:val="TableParagraph"/>
              <w:spacing w:line="152" w:lineRule="exact"/>
              <w:ind w:left="70" w:right="60"/>
              <w:rPr>
                <w:sz w:val="13"/>
              </w:rPr>
            </w:pPr>
            <w:r>
              <w:rPr>
                <w:color w:val="231F20"/>
                <w:spacing w:val="-2"/>
                <w:sz w:val="13"/>
              </w:rPr>
              <w:t>0.76947</w:t>
            </w:r>
          </w:p>
        </w:tc>
        <w:tc>
          <w:tcPr>
            <w:tcW w:w="639" w:type="dxa"/>
          </w:tcPr>
          <w:p>
            <w:pPr>
              <w:pStyle w:val="TableParagraph"/>
              <w:spacing w:line="152" w:lineRule="exact"/>
              <w:ind w:left="95" w:right="58"/>
              <w:rPr>
                <w:sz w:val="13"/>
              </w:rPr>
            </w:pPr>
            <w:r>
              <w:rPr>
                <w:color w:val="231F20"/>
                <w:spacing w:val="-2"/>
                <w:sz w:val="13"/>
              </w:rPr>
              <w:t>0.75614</w:t>
            </w:r>
          </w:p>
        </w:tc>
        <w:tc>
          <w:tcPr>
            <w:tcW w:w="624" w:type="dxa"/>
          </w:tcPr>
          <w:p>
            <w:pPr>
              <w:pStyle w:val="TableParagraph"/>
              <w:spacing w:line="152" w:lineRule="exact"/>
              <w:ind w:left="82" w:right="48"/>
              <w:rPr>
                <w:sz w:val="13"/>
              </w:rPr>
            </w:pPr>
            <w:r>
              <w:rPr>
                <w:color w:val="231F20"/>
                <w:spacing w:val="-2"/>
                <w:sz w:val="13"/>
              </w:rPr>
              <w:t>0.74316</w:t>
            </w:r>
          </w:p>
        </w:tc>
        <w:tc>
          <w:tcPr>
            <w:tcW w:w="624" w:type="dxa"/>
          </w:tcPr>
          <w:p>
            <w:pPr>
              <w:pStyle w:val="TableParagraph"/>
              <w:spacing w:line="152" w:lineRule="exact"/>
              <w:ind w:left="76" w:right="50"/>
              <w:rPr>
                <w:sz w:val="13"/>
              </w:rPr>
            </w:pPr>
            <w:r>
              <w:rPr>
                <w:color w:val="231F20"/>
                <w:spacing w:val="-2"/>
                <w:sz w:val="13"/>
              </w:rPr>
              <w:t>0.71818</w:t>
            </w:r>
          </w:p>
        </w:tc>
        <w:tc>
          <w:tcPr>
            <w:tcW w:w="624" w:type="dxa"/>
          </w:tcPr>
          <w:p>
            <w:pPr>
              <w:pStyle w:val="TableParagraph"/>
              <w:spacing w:line="152" w:lineRule="exact"/>
              <w:ind w:left="82" w:right="43"/>
              <w:rPr>
                <w:sz w:val="13"/>
              </w:rPr>
            </w:pPr>
            <w:r>
              <w:rPr>
                <w:color w:val="231F20"/>
                <w:spacing w:val="-2"/>
                <w:sz w:val="13"/>
              </w:rPr>
              <w:t>0.69444</w:t>
            </w:r>
          </w:p>
        </w:tc>
        <w:tc>
          <w:tcPr>
            <w:tcW w:w="577" w:type="dxa"/>
          </w:tcPr>
          <w:p>
            <w:pPr>
              <w:pStyle w:val="TableParagraph"/>
              <w:spacing w:line="152" w:lineRule="exact"/>
              <w:ind w:left="85" w:right="7"/>
              <w:rPr>
                <w:sz w:val="13"/>
              </w:rPr>
            </w:pPr>
            <w:r>
              <w:rPr>
                <w:color w:val="231F20"/>
                <w:spacing w:val="-2"/>
                <w:sz w:val="13"/>
              </w:rPr>
              <w:t>0.64000</w:t>
            </w:r>
          </w:p>
        </w:tc>
      </w:tr>
      <w:tr>
        <w:trPr>
          <w:trHeight w:val="189" w:hRule="atLeast"/>
        </w:trPr>
        <w:tc>
          <w:tcPr>
            <w:tcW w:w="331" w:type="dxa"/>
          </w:tcPr>
          <w:p>
            <w:pPr>
              <w:pStyle w:val="TableParagraph"/>
              <w:spacing w:line="152" w:lineRule="exact"/>
              <w:ind w:left="57"/>
              <w:rPr>
                <w:sz w:val="13"/>
              </w:rPr>
            </w:pPr>
            <w:r>
              <w:rPr>
                <w:color w:val="231F20"/>
                <w:w w:val="100"/>
                <w:sz w:val="13"/>
              </w:rPr>
              <w:t>3</w:t>
            </w:r>
          </w:p>
        </w:tc>
        <w:tc>
          <w:tcPr>
            <w:tcW w:w="636" w:type="dxa"/>
          </w:tcPr>
          <w:p>
            <w:pPr>
              <w:pStyle w:val="TableParagraph"/>
              <w:spacing w:line="152" w:lineRule="exact"/>
              <w:ind w:left="83" w:right="65"/>
              <w:rPr>
                <w:sz w:val="13"/>
              </w:rPr>
            </w:pPr>
            <w:r>
              <w:rPr>
                <w:color w:val="231F20"/>
                <w:spacing w:val="-2"/>
                <w:sz w:val="13"/>
              </w:rPr>
              <w:t>0.97059</w:t>
            </w:r>
          </w:p>
        </w:tc>
        <w:tc>
          <w:tcPr>
            <w:tcW w:w="609" w:type="dxa"/>
          </w:tcPr>
          <w:p>
            <w:pPr>
              <w:pStyle w:val="TableParagraph"/>
              <w:spacing w:line="152" w:lineRule="exact"/>
              <w:ind w:left="68" w:right="55"/>
              <w:rPr>
                <w:sz w:val="13"/>
              </w:rPr>
            </w:pPr>
            <w:r>
              <w:rPr>
                <w:color w:val="231F20"/>
                <w:spacing w:val="-2"/>
                <w:sz w:val="13"/>
              </w:rPr>
              <w:t>0.94232</w:t>
            </w:r>
          </w:p>
        </w:tc>
        <w:tc>
          <w:tcPr>
            <w:tcW w:w="614" w:type="dxa"/>
          </w:tcPr>
          <w:p>
            <w:pPr>
              <w:pStyle w:val="TableParagraph"/>
              <w:spacing w:line="152" w:lineRule="exact"/>
              <w:ind w:left="61" w:right="68"/>
              <w:rPr>
                <w:sz w:val="13"/>
              </w:rPr>
            </w:pPr>
            <w:r>
              <w:rPr>
                <w:color w:val="231F20"/>
                <w:spacing w:val="-2"/>
                <w:sz w:val="13"/>
              </w:rPr>
              <w:t>0.91514</w:t>
            </w:r>
          </w:p>
        </w:tc>
        <w:tc>
          <w:tcPr>
            <w:tcW w:w="629" w:type="dxa"/>
          </w:tcPr>
          <w:p>
            <w:pPr>
              <w:pStyle w:val="TableParagraph"/>
              <w:spacing w:line="152" w:lineRule="exact"/>
              <w:ind w:left="75" w:right="68"/>
              <w:rPr>
                <w:sz w:val="13"/>
              </w:rPr>
            </w:pPr>
            <w:r>
              <w:rPr>
                <w:color w:val="231F20"/>
                <w:spacing w:val="-2"/>
                <w:sz w:val="13"/>
              </w:rPr>
              <w:t>0.88900</w:t>
            </w:r>
          </w:p>
        </w:tc>
        <w:tc>
          <w:tcPr>
            <w:tcW w:w="634" w:type="dxa"/>
          </w:tcPr>
          <w:p>
            <w:pPr>
              <w:pStyle w:val="TableParagraph"/>
              <w:spacing w:line="152" w:lineRule="exact"/>
              <w:ind w:left="70" w:right="66"/>
              <w:rPr>
                <w:sz w:val="13"/>
              </w:rPr>
            </w:pPr>
            <w:r>
              <w:rPr>
                <w:color w:val="231F20"/>
                <w:spacing w:val="-2"/>
                <w:sz w:val="13"/>
              </w:rPr>
              <w:t>0.86384</w:t>
            </w:r>
          </w:p>
        </w:tc>
        <w:tc>
          <w:tcPr>
            <w:tcW w:w="624" w:type="dxa"/>
          </w:tcPr>
          <w:p>
            <w:pPr>
              <w:pStyle w:val="TableParagraph"/>
              <w:spacing w:line="152" w:lineRule="exact"/>
              <w:ind w:left="77" w:right="50"/>
              <w:rPr>
                <w:sz w:val="13"/>
              </w:rPr>
            </w:pPr>
            <w:r>
              <w:rPr>
                <w:color w:val="231F20"/>
                <w:spacing w:val="-2"/>
                <w:sz w:val="13"/>
              </w:rPr>
              <w:t>0.83962</w:t>
            </w:r>
          </w:p>
        </w:tc>
        <w:tc>
          <w:tcPr>
            <w:tcW w:w="634" w:type="dxa"/>
          </w:tcPr>
          <w:p>
            <w:pPr>
              <w:pStyle w:val="TableParagraph"/>
              <w:spacing w:line="152" w:lineRule="exact"/>
              <w:ind w:left="61" w:right="69"/>
              <w:rPr>
                <w:sz w:val="13"/>
              </w:rPr>
            </w:pPr>
            <w:r>
              <w:rPr>
                <w:color w:val="231F20"/>
                <w:spacing w:val="-2"/>
                <w:sz w:val="13"/>
              </w:rPr>
              <w:t>0.81630</w:t>
            </w:r>
          </w:p>
        </w:tc>
        <w:tc>
          <w:tcPr>
            <w:tcW w:w="639" w:type="dxa"/>
          </w:tcPr>
          <w:p>
            <w:pPr>
              <w:pStyle w:val="TableParagraph"/>
              <w:spacing w:line="152" w:lineRule="exact"/>
              <w:ind w:left="94" w:right="58"/>
              <w:rPr>
                <w:sz w:val="13"/>
              </w:rPr>
            </w:pPr>
            <w:r>
              <w:rPr>
                <w:color w:val="231F20"/>
                <w:spacing w:val="-2"/>
                <w:sz w:val="13"/>
              </w:rPr>
              <w:t>0.79383</w:t>
            </w:r>
          </w:p>
        </w:tc>
        <w:tc>
          <w:tcPr>
            <w:tcW w:w="648" w:type="dxa"/>
            <w:tcBorders>
              <w:right w:val="single" w:sz="4" w:space="0" w:color="231F20"/>
            </w:tcBorders>
          </w:tcPr>
          <w:p>
            <w:pPr>
              <w:pStyle w:val="TableParagraph"/>
              <w:spacing w:line="152" w:lineRule="exact"/>
              <w:ind w:left="75" w:right="83"/>
              <w:rPr>
                <w:sz w:val="13"/>
              </w:rPr>
            </w:pPr>
            <w:r>
              <w:rPr>
                <w:color w:val="231F20"/>
                <w:spacing w:val="-2"/>
                <w:sz w:val="13"/>
              </w:rPr>
              <w:t>0.77218</w:t>
            </w:r>
          </w:p>
        </w:tc>
        <w:tc>
          <w:tcPr>
            <w:tcW w:w="549" w:type="dxa"/>
            <w:tcBorders>
              <w:left w:val="single" w:sz="4" w:space="0" w:color="231F20"/>
              <w:right w:val="single" w:sz="4" w:space="0" w:color="231F20"/>
            </w:tcBorders>
          </w:tcPr>
          <w:p>
            <w:pPr>
              <w:pStyle w:val="TableParagraph"/>
              <w:spacing w:line="152" w:lineRule="exact"/>
              <w:ind w:left="33" w:right="21"/>
              <w:rPr>
                <w:sz w:val="13"/>
              </w:rPr>
            </w:pPr>
            <w:r>
              <w:rPr>
                <w:color w:val="231F20"/>
                <w:spacing w:val="-2"/>
                <w:sz w:val="13"/>
              </w:rPr>
              <w:t>0.75131</w:t>
            </w:r>
          </w:p>
        </w:tc>
        <w:tc>
          <w:tcPr>
            <w:tcW w:w="670" w:type="dxa"/>
            <w:tcBorders>
              <w:left w:val="single" w:sz="4" w:space="0" w:color="231F20"/>
            </w:tcBorders>
          </w:tcPr>
          <w:p>
            <w:pPr>
              <w:pStyle w:val="TableParagraph"/>
              <w:spacing w:line="152" w:lineRule="exact"/>
              <w:ind w:left="127" w:right="53"/>
              <w:rPr>
                <w:sz w:val="13"/>
              </w:rPr>
            </w:pPr>
            <w:r>
              <w:rPr>
                <w:color w:val="231F20"/>
                <w:spacing w:val="-2"/>
                <w:sz w:val="13"/>
              </w:rPr>
              <w:t>0.71178</w:t>
            </w:r>
          </w:p>
        </w:tc>
        <w:tc>
          <w:tcPr>
            <w:tcW w:w="634" w:type="dxa"/>
          </w:tcPr>
          <w:p>
            <w:pPr>
              <w:pStyle w:val="TableParagraph"/>
              <w:spacing w:line="152" w:lineRule="exact"/>
              <w:ind w:left="70" w:right="60"/>
              <w:rPr>
                <w:sz w:val="13"/>
              </w:rPr>
            </w:pPr>
            <w:r>
              <w:rPr>
                <w:color w:val="231F20"/>
                <w:spacing w:val="-2"/>
                <w:sz w:val="13"/>
              </w:rPr>
              <w:t>0.67497</w:t>
            </w:r>
          </w:p>
        </w:tc>
        <w:tc>
          <w:tcPr>
            <w:tcW w:w="639" w:type="dxa"/>
          </w:tcPr>
          <w:p>
            <w:pPr>
              <w:pStyle w:val="TableParagraph"/>
              <w:spacing w:line="152" w:lineRule="exact"/>
              <w:ind w:left="95" w:right="58"/>
              <w:rPr>
                <w:sz w:val="13"/>
              </w:rPr>
            </w:pPr>
            <w:r>
              <w:rPr>
                <w:color w:val="231F20"/>
                <w:spacing w:val="-2"/>
                <w:sz w:val="13"/>
              </w:rPr>
              <w:t>0.65752</w:t>
            </w:r>
          </w:p>
        </w:tc>
        <w:tc>
          <w:tcPr>
            <w:tcW w:w="624" w:type="dxa"/>
          </w:tcPr>
          <w:p>
            <w:pPr>
              <w:pStyle w:val="TableParagraph"/>
              <w:spacing w:line="152" w:lineRule="exact"/>
              <w:ind w:left="82" w:right="48"/>
              <w:rPr>
                <w:sz w:val="13"/>
              </w:rPr>
            </w:pPr>
            <w:r>
              <w:rPr>
                <w:color w:val="231F20"/>
                <w:spacing w:val="-2"/>
                <w:sz w:val="13"/>
              </w:rPr>
              <w:t>0.64066</w:t>
            </w:r>
          </w:p>
        </w:tc>
        <w:tc>
          <w:tcPr>
            <w:tcW w:w="624" w:type="dxa"/>
          </w:tcPr>
          <w:p>
            <w:pPr>
              <w:pStyle w:val="TableParagraph"/>
              <w:spacing w:line="152" w:lineRule="exact"/>
              <w:ind w:left="76" w:right="50"/>
              <w:rPr>
                <w:sz w:val="13"/>
              </w:rPr>
            </w:pPr>
            <w:r>
              <w:rPr>
                <w:color w:val="231F20"/>
                <w:spacing w:val="-2"/>
                <w:sz w:val="13"/>
              </w:rPr>
              <w:t>0.60863</w:t>
            </w:r>
          </w:p>
        </w:tc>
        <w:tc>
          <w:tcPr>
            <w:tcW w:w="624" w:type="dxa"/>
          </w:tcPr>
          <w:p>
            <w:pPr>
              <w:pStyle w:val="TableParagraph"/>
              <w:spacing w:line="152" w:lineRule="exact"/>
              <w:ind w:left="82" w:right="43"/>
              <w:rPr>
                <w:sz w:val="13"/>
              </w:rPr>
            </w:pPr>
            <w:r>
              <w:rPr>
                <w:color w:val="231F20"/>
                <w:spacing w:val="-2"/>
                <w:sz w:val="13"/>
              </w:rPr>
              <w:t>0.57870</w:t>
            </w:r>
          </w:p>
        </w:tc>
        <w:tc>
          <w:tcPr>
            <w:tcW w:w="577" w:type="dxa"/>
          </w:tcPr>
          <w:p>
            <w:pPr>
              <w:pStyle w:val="TableParagraph"/>
              <w:spacing w:line="152" w:lineRule="exact"/>
              <w:ind w:left="85" w:right="7"/>
              <w:rPr>
                <w:sz w:val="13"/>
              </w:rPr>
            </w:pPr>
            <w:r>
              <w:rPr>
                <w:color w:val="231F20"/>
                <w:spacing w:val="-2"/>
                <w:sz w:val="13"/>
              </w:rPr>
              <w:t>0.51200</w:t>
            </w:r>
          </w:p>
        </w:tc>
      </w:tr>
      <w:tr>
        <w:trPr>
          <w:trHeight w:val="189" w:hRule="atLeast"/>
        </w:trPr>
        <w:tc>
          <w:tcPr>
            <w:tcW w:w="331" w:type="dxa"/>
          </w:tcPr>
          <w:p>
            <w:pPr>
              <w:pStyle w:val="TableParagraph"/>
              <w:spacing w:line="152" w:lineRule="exact"/>
              <w:ind w:left="57"/>
              <w:rPr>
                <w:sz w:val="13"/>
              </w:rPr>
            </w:pPr>
            <w:r>
              <w:rPr>
                <w:color w:val="231F20"/>
                <w:w w:val="100"/>
                <w:sz w:val="13"/>
              </w:rPr>
              <w:t>4</w:t>
            </w:r>
          </w:p>
        </w:tc>
        <w:tc>
          <w:tcPr>
            <w:tcW w:w="636" w:type="dxa"/>
          </w:tcPr>
          <w:p>
            <w:pPr>
              <w:pStyle w:val="TableParagraph"/>
              <w:spacing w:line="152" w:lineRule="exact"/>
              <w:ind w:left="83" w:right="65"/>
              <w:rPr>
                <w:sz w:val="13"/>
              </w:rPr>
            </w:pPr>
            <w:r>
              <w:rPr>
                <w:color w:val="231F20"/>
                <w:spacing w:val="-2"/>
                <w:sz w:val="13"/>
              </w:rPr>
              <w:t>0.96098</w:t>
            </w:r>
          </w:p>
        </w:tc>
        <w:tc>
          <w:tcPr>
            <w:tcW w:w="609" w:type="dxa"/>
          </w:tcPr>
          <w:p>
            <w:pPr>
              <w:pStyle w:val="TableParagraph"/>
              <w:spacing w:line="152" w:lineRule="exact"/>
              <w:ind w:left="68" w:right="55"/>
              <w:rPr>
                <w:sz w:val="13"/>
              </w:rPr>
            </w:pPr>
            <w:r>
              <w:rPr>
                <w:color w:val="231F20"/>
                <w:spacing w:val="-2"/>
                <w:sz w:val="13"/>
              </w:rPr>
              <w:t>0.92385</w:t>
            </w:r>
          </w:p>
        </w:tc>
        <w:tc>
          <w:tcPr>
            <w:tcW w:w="614" w:type="dxa"/>
          </w:tcPr>
          <w:p>
            <w:pPr>
              <w:pStyle w:val="TableParagraph"/>
              <w:spacing w:line="152" w:lineRule="exact"/>
              <w:ind w:left="61" w:right="68"/>
              <w:rPr>
                <w:sz w:val="13"/>
              </w:rPr>
            </w:pPr>
            <w:r>
              <w:rPr>
                <w:color w:val="231F20"/>
                <w:spacing w:val="-2"/>
                <w:sz w:val="13"/>
              </w:rPr>
              <w:t>0.88849</w:t>
            </w:r>
          </w:p>
        </w:tc>
        <w:tc>
          <w:tcPr>
            <w:tcW w:w="629" w:type="dxa"/>
          </w:tcPr>
          <w:p>
            <w:pPr>
              <w:pStyle w:val="TableParagraph"/>
              <w:spacing w:line="152" w:lineRule="exact"/>
              <w:ind w:left="75" w:right="68"/>
              <w:rPr>
                <w:sz w:val="13"/>
              </w:rPr>
            </w:pPr>
            <w:r>
              <w:rPr>
                <w:color w:val="231F20"/>
                <w:spacing w:val="-2"/>
                <w:sz w:val="13"/>
              </w:rPr>
              <w:t>0.85480</w:t>
            </w:r>
          </w:p>
        </w:tc>
        <w:tc>
          <w:tcPr>
            <w:tcW w:w="634" w:type="dxa"/>
          </w:tcPr>
          <w:p>
            <w:pPr>
              <w:pStyle w:val="TableParagraph"/>
              <w:spacing w:line="152" w:lineRule="exact"/>
              <w:ind w:left="70" w:right="66"/>
              <w:rPr>
                <w:sz w:val="13"/>
              </w:rPr>
            </w:pPr>
            <w:r>
              <w:rPr>
                <w:color w:val="231F20"/>
                <w:spacing w:val="-2"/>
                <w:sz w:val="13"/>
              </w:rPr>
              <w:t>0.82270</w:t>
            </w:r>
          </w:p>
        </w:tc>
        <w:tc>
          <w:tcPr>
            <w:tcW w:w="624" w:type="dxa"/>
          </w:tcPr>
          <w:p>
            <w:pPr>
              <w:pStyle w:val="TableParagraph"/>
              <w:spacing w:line="152" w:lineRule="exact"/>
              <w:ind w:left="77" w:right="50"/>
              <w:rPr>
                <w:sz w:val="13"/>
              </w:rPr>
            </w:pPr>
            <w:r>
              <w:rPr>
                <w:color w:val="231F20"/>
                <w:spacing w:val="-2"/>
                <w:sz w:val="13"/>
              </w:rPr>
              <w:t>0.79209</w:t>
            </w:r>
          </w:p>
        </w:tc>
        <w:tc>
          <w:tcPr>
            <w:tcW w:w="634" w:type="dxa"/>
          </w:tcPr>
          <w:p>
            <w:pPr>
              <w:pStyle w:val="TableParagraph"/>
              <w:spacing w:line="152" w:lineRule="exact"/>
              <w:ind w:left="61" w:right="69"/>
              <w:rPr>
                <w:sz w:val="13"/>
              </w:rPr>
            </w:pPr>
            <w:r>
              <w:rPr>
                <w:color w:val="231F20"/>
                <w:spacing w:val="-2"/>
                <w:sz w:val="13"/>
              </w:rPr>
              <w:t>0.76290</w:t>
            </w:r>
          </w:p>
        </w:tc>
        <w:tc>
          <w:tcPr>
            <w:tcW w:w="639" w:type="dxa"/>
          </w:tcPr>
          <w:p>
            <w:pPr>
              <w:pStyle w:val="TableParagraph"/>
              <w:spacing w:line="152" w:lineRule="exact"/>
              <w:ind w:left="94" w:right="58"/>
              <w:rPr>
                <w:sz w:val="13"/>
              </w:rPr>
            </w:pPr>
            <w:r>
              <w:rPr>
                <w:color w:val="231F20"/>
                <w:spacing w:val="-2"/>
                <w:sz w:val="13"/>
              </w:rPr>
              <w:t>0.73503</w:t>
            </w:r>
          </w:p>
        </w:tc>
        <w:tc>
          <w:tcPr>
            <w:tcW w:w="648" w:type="dxa"/>
            <w:tcBorders>
              <w:right w:val="single" w:sz="4" w:space="0" w:color="231F20"/>
            </w:tcBorders>
          </w:tcPr>
          <w:p>
            <w:pPr>
              <w:pStyle w:val="TableParagraph"/>
              <w:spacing w:line="152" w:lineRule="exact"/>
              <w:ind w:left="75" w:right="83"/>
              <w:rPr>
                <w:sz w:val="13"/>
              </w:rPr>
            </w:pPr>
            <w:r>
              <w:rPr>
                <w:color w:val="231F20"/>
                <w:spacing w:val="-2"/>
                <w:sz w:val="13"/>
              </w:rPr>
              <w:t>0.70843</w:t>
            </w:r>
          </w:p>
        </w:tc>
        <w:tc>
          <w:tcPr>
            <w:tcW w:w="549" w:type="dxa"/>
            <w:tcBorders>
              <w:left w:val="single" w:sz="4" w:space="0" w:color="231F20"/>
              <w:right w:val="single" w:sz="4" w:space="0" w:color="231F20"/>
            </w:tcBorders>
          </w:tcPr>
          <w:p>
            <w:pPr>
              <w:pStyle w:val="TableParagraph"/>
              <w:spacing w:line="152" w:lineRule="exact"/>
              <w:ind w:left="33" w:right="21"/>
              <w:rPr>
                <w:sz w:val="13"/>
              </w:rPr>
            </w:pPr>
            <w:r>
              <w:rPr>
                <w:color w:val="231F20"/>
                <w:spacing w:val="-2"/>
                <w:sz w:val="13"/>
              </w:rPr>
              <w:t>0.68301</w:t>
            </w:r>
          </w:p>
        </w:tc>
        <w:tc>
          <w:tcPr>
            <w:tcW w:w="670" w:type="dxa"/>
            <w:tcBorders>
              <w:left w:val="single" w:sz="4" w:space="0" w:color="231F20"/>
            </w:tcBorders>
          </w:tcPr>
          <w:p>
            <w:pPr>
              <w:pStyle w:val="TableParagraph"/>
              <w:spacing w:line="152" w:lineRule="exact"/>
              <w:ind w:left="127" w:right="53"/>
              <w:rPr>
                <w:sz w:val="13"/>
              </w:rPr>
            </w:pPr>
            <w:r>
              <w:rPr>
                <w:color w:val="231F20"/>
                <w:spacing w:val="-2"/>
                <w:sz w:val="13"/>
              </w:rPr>
              <w:t>0.63552</w:t>
            </w:r>
          </w:p>
        </w:tc>
        <w:tc>
          <w:tcPr>
            <w:tcW w:w="634" w:type="dxa"/>
          </w:tcPr>
          <w:p>
            <w:pPr>
              <w:pStyle w:val="TableParagraph"/>
              <w:spacing w:line="152" w:lineRule="exact"/>
              <w:ind w:left="70" w:right="60"/>
              <w:rPr>
                <w:sz w:val="13"/>
              </w:rPr>
            </w:pPr>
            <w:r>
              <w:rPr>
                <w:color w:val="231F20"/>
                <w:spacing w:val="-2"/>
                <w:sz w:val="13"/>
              </w:rPr>
              <w:t>0.59208</w:t>
            </w:r>
          </w:p>
        </w:tc>
        <w:tc>
          <w:tcPr>
            <w:tcW w:w="639" w:type="dxa"/>
          </w:tcPr>
          <w:p>
            <w:pPr>
              <w:pStyle w:val="TableParagraph"/>
              <w:spacing w:line="152" w:lineRule="exact"/>
              <w:ind w:left="95" w:right="58"/>
              <w:rPr>
                <w:sz w:val="13"/>
              </w:rPr>
            </w:pPr>
            <w:r>
              <w:rPr>
                <w:color w:val="231F20"/>
                <w:spacing w:val="-2"/>
                <w:sz w:val="13"/>
              </w:rPr>
              <w:t>0.57175</w:t>
            </w:r>
          </w:p>
        </w:tc>
        <w:tc>
          <w:tcPr>
            <w:tcW w:w="624" w:type="dxa"/>
          </w:tcPr>
          <w:p>
            <w:pPr>
              <w:pStyle w:val="TableParagraph"/>
              <w:spacing w:line="152" w:lineRule="exact"/>
              <w:ind w:left="82" w:right="48"/>
              <w:rPr>
                <w:sz w:val="13"/>
              </w:rPr>
            </w:pPr>
            <w:r>
              <w:rPr>
                <w:color w:val="231F20"/>
                <w:spacing w:val="-2"/>
                <w:sz w:val="13"/>
              </w:rPr>
              <w:t>0.55229</w:t>
            </w:r>
          </w:p>
        </w:tc>
        <w:tc>
          <w:tcPr>
            <w:tcW w:w="624" w:type="dxa"/>
          </w:tcPr>
          <w:p>
            <w:pPr>
              <w:pStyle w:val="TableParagraph"/>
              <w:spacing w:line="152" w:lineRule="exact"/>
              <w:ind w:left="76" w:right="50"/>
              <w:rPr>
                <w:sz w:val="13"/>
              </w:rPr>
            </w:pPr>
            <w:r>
              <w:rPr>
                <w:color w:val="231F20"/>
                <w:spacing w:val="-2"/>
                <w:sz w:val="13"/>
              </w:rPr>
              <w:t>0.51579</w:t>
            </w:r>
          </w:p>
        </w:tc>
        <w:tc>
          <w:tcPr>
            <w:tcW w:w="624" w:type="dxa"/>
          </w:tcPr>
          <w:p>
            <w:pPr>
              <w:pStyle w:val="TableParagraph"/>
              <w:spacing w:line="152" w:lineRule="exact"/>
              <w:ind w:left="82" w:right="43"/>
              <w:rPr>
                <w:sz w:val="13"/>
              </w:rPr>
            </w:pPr>
            <w:r>
              <w:rPr>
                <w:color w:val="231F20"/>
                <w:spacing w:val="-2"/>
                <w:sz w:val="13"/>
              </w:rPr>
              <w:t>0.48225</w:t>
            </w:r>
          </w:p>
        </w:tc>
        <w:tc>
          <w:tcPr>
            <w:tcW w:w="577" w:type="dxa"/>
          </w:tcPr>
          <w:p>
            <w:pPr>
              <w:pStyle w:val="TableParagraph"/>
              <w:spacing w:line="152" w:lineRule="exact"/>
              <w:ind w:left="85" w:right="7"/>
              <w:rPr>
                <w:sz w:val="13"/>
              </w:rPr>
            </w:pPr>
            <w:r>
              <w:rPr>
                <w:color w:val="231F20"/>
                <w:spacing w:val="-2"/>
                <w:sz w:val="13"/>
              </w:rPr>
              <w:t>0.40960</w:t>
            </w:r>
          </w:p>
        </w:tc>
      </w:tr>
      <w:tr>
        <w:trPr>
          <w:trHeight w:val="174" w:hRule="atLeast"/>
        </w:trPr>
        <w:tc>
          <w:tcPr>
            <w:tcW w:w="331" w:type="dxa"/>
          </w:tcPr>
          <w:p>
            <w:pPr>
              <w:pStyle w:val="TableParagraph"/>
              <w:spacing w:line="136" w:lineRule="exact"/>
              <w:ind w:left="57"/>
              <w:rPr>
                <w:sz w:val="13"/>
              </w:rPr>
            </w:pPr>
            <w:r>
              <w:rPr>
                <w:color w:val="231F20"/>
                <w:w w:val="100"/>
                <w:sz w:val="13"/>
              </w:rPr>
              <w:t>5</w:t>
            </w:r>
          </w:p>
        </w:tc>
        <w:tc>
          <w:tcPr>
            <w:tcW w:w="636" w:type="dxa"/>
          </w:tcPr>
          <w:p>
            <w:pPr>
              <w:pStyle w:val="TableParagraph"/>
              <w:spacing w:line="136" w:lineRule="exact"/>
              <w:ind w:left="83" w:right="65"/>
              <w:rPr>
                <w:sz w:val="13"/>
              </w:rPr>
            </w:pPr>
            <w:r>
              <w:rPr>
                <w:color w:val="231F20"/>
                <w:spacing w:val="-2"/>
                <w:sz w:val="13"/>
              </w:rPr>
              <w:t>0.95147</w:t>
            </w:r>
          </w:p>
        </w:tc>
        <w:tc>
          <w:tcPr>
            <w:tcW w:w="609" w:type="dxa"/>
          </w:tcPr>
          <w:p>
            <w:pPr>
              <w:pStyle w:val="TableParagraph"/>
              <w:spacing w:line="136" w:lineRule="exact"/>
              <w:ind w:left="68" w:right="55"/>
              <w:rPr>
                <w:sz w:val="13"/>
              </w:rPr>
            </w:pPr>
            <w:r>
              <w:rPr>
                <w:color w:val="231F20"/>
                <w:spacing w:val="-2"/>
                <w:sz w:val="13"/>
              </w:rPr>
              <w:t>0.90573</w:t>
            </w:r>
          </w:p>
        </w:tc>
        <w:tc>
          <w:tcPr>
            <w:tcW w:w="614" w:type="dxa"/>
          </w:tcPr>
          <w:p>
            <w:pPr>
              <w:pStyle w:val="TableParagraph"/>
              <w:spacing w:line="136" w:lineRule="exact"/>
              <w:ind w:left="61" w:right="68"/>
              <w:rPr>
                <w:sz w:val="13"/>
              </w:rPr>
            </w:pPr>
            <w:r>
              <w:rPr>
                <w:color w:val="231F20"/>
                <w:spacing w:val="-2"/>
                <w:sz w:val="13"/>
              </w:rPr>
              <w:t>0.86261</w:t>
            </w:r>
          </w:p>
        </w:tc>
        <w:tc>
          <w:tcPr>
            <w:tcW w:w="629" w:type="dxa"/>
          </w:tcPr>
          <w:p>
            <w:pPr>
              <w:pStyle w:val="TableParagraph"/>
              <w:spacing w:line="136" w:lineRule="exact"/>
              <w:ind w:left="75" w:right="68"/>
              <w:rPr>
                <w:sz w:val="13"/>
              </w:rPr>
            </w:pPr>
            <w:r>
              <w:rPr>
                <w:color w:val="231F20"/>
                <w:spacing w:val="-2"/>
                <w:sz w:val="13"/>
              </w:rPr>
              <w:t>0.82193</w:t>
            </w:r>
          </w:p>
        </w:tc>
        <w:tc>
          <w:tcPr>
            <w:tcW w:w="634" w:type="dxa"/>
          </w:tcPr>
          <w:p>
            <w:pPr>
              <w:pStyle w:val="TableParagraph"/>
              <w:spacing w:line="136" w:lineRule="exact"/>
              <w:ind w:left="70" w:right="66"/>
              <w:rPr>
                <w:sz w:val="13"/>
              </w:rPr>
            </w:pPr>
            <w:r>
              <w:rPr>
                <w:color w:val="231F20"/>
                <w:spacing w:val="-2"/>
                <w:sz w:val="13"/>
              </w:rPr>
              <w:t>0.78353</w:t>
            </w:r>
          </w:p>
        </w:tc>
        <w:tc>
          <w:tcPr>
            <w:tcW w:w="624" w:type="dxa"/>
          </w:tcPr>
          <w:p>
            <w:pPr>
              <w:pStyle w:val="TableParagraph"/>
              <w:spacing w:line="136" w:lineRule="exact"/>
              <w:ind w:left="77" w:right="50"/>
              <w:rPr>
                <w:sz w:val="13"/>
              </w:rPr>
            </w:pPr>
            <w:r>
              <w:rPr>
                <w:color w:val="231F20"/>
                <w:spacing w:val="-2"/>
                <w:sz w:val="13"/>
              </w:rPr>
              <w:t>0.74726</w:t>
            </w:r>
          </w:p>
        </w:tc>
        <w:tc>
          <w:tcPr>
            <w:tcW w:w="634" w:type="dxa"/>
          </w:tcPr>
          <w:p>
            <w:pPr>
              <w:pStyle w:val="TableParagraph"/>
              <w:spacing w:line="136" w:lineRule="exact"/>
              <w:ind w:left="61" w:right="69"/>
              <w:rPr>
                <w:sz w:val="13"/>
              </w:rPr>
            </w:pPr>
            <w:r>
              <w:rPr>
                <w:color w:val="231F20"/>
                <w:spacing w:val="-2"/>
                <w:sz w:val="13"/>
              </w:rPr>
              <w:t>0.71299</w:t>
            </w:r>
          </w:p>
        </w:tc>
        <w:tc>
          <w:tcPr>
            <w:tcW w:w="639" w:type="dxa"/>
          </w:tcPr>
          <w:p>
            <w:pPr>
              <w:pStyle w:val="TableParagraph"/>
              <w:spacing w:line="136" w:lineRule="exact"/>
              <w:ind w:left="94" w:right="58"/>
              <w:rPr>
                <w:sz w:val="13"/>
              </w:rPr>
            </w:pPr>
            <w:r>
              <w:rPr>
                <w:color w:val="231F20"/>
                <w:spacing w:val="-2"/>
                <w:sz w:val="13"/>
              </w:rPr>
              <w:t>0.68058</w:t>
            </w:r>
          </w:p>
        </w:tc>
        <w:tc>
          <w:tcPr>
            <w:tcW w:w="648" w:type="dxa"/>
            <w:tcBorders>
              <w:right w:val="single" w:sz="4" w:space="0" w:color="231F20"/>
            </w:tcBorders>
          </w:tcPr>
          <w:p>
            <w:pPr>
              <w:pStyle w:val="TableParagraph"/>
              <w:spacing w:line="136" w:lineRule="exact"/>
              <w:ind w:left="75" w:right="83"/>
              <w:rPr>
                <w:sz w:val="13"/>
              </w:rPr>
            </w:pPr>
            <w:r>
              <w:rPr>
                <w:color w:val="231F20"/>
                <w:spacing w:val="-2"/>
                <w:sz w:val="13"/>
              </w:rPr>
              <w:t>0.64993</w:t>
            </w:r>
          </w:p>
        </w:tc>
        <w:tc>
          <w:tcPr>
            <w:tcW w:w="549" w:type="dxa"/>
            <w:tcBorders>
              <w:left w:val="single" w:sz="4" w:space="0" w:color="231F20"/>
              <w:bottom w:val="single" w:sz="4" w:space="0" w:color="231F20"/>
              <w:right w:val="single" w:sz="4" w:space="0" w:color="231F20"/>
            </w:tcBorders>
          </w:tcPr>
          <w:p>
            <w:pPr>
              <w:pStyle w:val="TableParagraph"/>
              <w:spacing w:line="136" w:lineRule="exact"/>
              <w:ind w:left="33" w:right="21"/>
              <w:rPr>
                <w:sz w:val="13"/>
              </w:rPr>
            </w:pPr>
            <w:r>
              <w:rPr>
                <w:color w:val="231F20"/>
                <w:spacing w:val="-2"/>
                <w:sz w:val="13"/>
              </w:rPr>
              <w:t>0.62092</w:t>
            </w:r>
          </w:p>
        </w:tc>
        <w:tc>
          <w:tcPr>
            <w:tcW w:w="670" w:type="dxa"/>
            <w:tcBorders>
              <w:left w:val="single" w:sz="4" w:space="0" w:color="231F20"/>
            </w:tcBorders>
          </w:tcPr>
          <w:p>
            <w:pPr>
              <w:pStyle w:val="TableParagraph"/>
              <w:spacing w:line="136" w:lineRule="exact"/>
              <w:ind w:left="127" w:right="53"/>
              <w:rPr>
                <w:sz w:val="13"/>
              </w:rPr>
            </w:pPr>
            <w:r>
              <w:rPr>
                <w:color w:val="231F20"/>
                <w:spacing w:val="-2"/>
                <w:sz w:val="13"/>
              </w:rPr>
              <w:t>0.56743</w:t>
            </w:r>
          </w:p>
        </w:tc>
        <w:tc>
          <w:tcPr>
            <w:tcW w:w="634" w:type="dxa"/>
          </w:tcPr>
          <w:p>
            <w:pPr>
              <w:pStyle w:val="TableParagraph"/>
              <w:spacing w:line="136" w:lineRule="exact"/>
              <w:ind w:left="70" w:right="60"/>
              <w:rPr>
                <w:sz w:val="13"/>
              </w:rPr>
            </w:pPr>
            <w:r>
              <w:rPr>
                <w:color w:val="231F20"/>
                <w:spacing w:val="-2"/>
                <w:sz w:val="13"/>
              </w:rPr>
              <w:t>0.51937</w:t>
            </w:r>
          </w:p>
        </w:tc>
        <w:tc>
          <w:tcPr>
            <w:tcW w:w="639" w:type="dxa"/>
          </w:tcPr>
          <w:p>
            <w:pPr>
              <w:pStyle w:val="TableParagraph"/>
              <w:spacing w:line="136" w:lineRule="exact"/>
              <w:ind w:left="95" w:right="58"/>
              <w:rPr>
                <w:sz w:val="13"/>
              </w:rPr>
            </w:pPr>
            <w:r>
              <w:rPr>
                <w:color w:val="231F20"/>
                <w:spacing w:val="-2"/>
                <w:sz w:val="13"/>
              </w:rPr>
              <w:t>0.49718</w:t>
            </w:r>
          </w:p>
        </w:tc>
        <w:tc>
          <w:tcPr>
            <w:tcW w:w="624" w:type="dxa"/>
          </w:tcPr>
          <w:p>
            <w:pPr>
              <w:pStyle w:val="TableParagraph"/>
              <w:spacing w:line="136" w:lineRule="exact"/>
              <w:ind w:left="82" w:right="48"/>
              <w:rPr>
                <w:sz w:val="13"/>
              </w:rPr>
            </w:pPr>
            <w:r>
              <w:rPr>
                <w:color w:val="231F20"/>
                <w:spacing w:val="-2"/>
                <w:sz w:val="13"/>
              </w:rPr>
              <w:t>0.47611</w:t>
            </w:r>
          </w:p>
        </w:tc>
        <w:tc>
          <w:tcPr>
            <w:tcW w:w="624" w:type="dxa"/>
          </w:tcPr>
          <w:p>
            <w:pPr>
              <w:pStyle w:val="TableParagraph"/>
              <w:spacing w:line="136" w:lineRule="exact"/>
              <w:ind w:left="76" w:right="50"/>
              <w:rPr>
                <w:sz w:val="13"/>
              </w:rPr>
            </w:pPr>
            <w:r>
              <w:rPr>
                <w:color w:val="231F20"/>
                <w:spacing w:val="-2"/>
                <w:sz w:val="13"/>
              </w:rPr>
              <w:t>0.43711</w:t>
            </w:r>
          </w:p>
        </w:tc>
        <w:tc>
          <w:tcPr>
            <w:tcW w:w="624" w:type="dxa"/>
          </w:tcPr>
          <w:p>
            <w:pPr>
              <w:pStyle w:val="TableParagraph"/>
              <w:spacing w:line="136" w:lineRule="exact"/>
              <w:ind w:left="82" w:right="43"/>
              <w:rPr>
                <w:sz w:val="13"/>
              </w:rPr>
            </w:pPr>
            <w:r>
              <w:rPr>
                <w:color w:val="231F20"/>
                <w:spacing w:val="-2"/>
                <w:sz w:val="13"/>
              </w:rPr>
              <w:t>0.40188</w:t>
            </w:r>
          </w:p>
        </w:tc>
        <w:tc>
          <w:tcPr>
            <w:tcW w:w="577" w:type="dxa"/>
          </w:tcPr>
          <w:p>
            <w:pPr>
              <w:pStyle w:val="TableParagraph"/>
              <w:spacing w:line="136" w:lineRule="exact"/>
              <w:ind w:left="85" w:right="7"/>
              <w:rPr>
                <w:sz w:val="13"/>
              </w:rPr>
            </w:pPr>
            <w:r>
              <w:rPr>
                <w:color w:val="231F20"/>
                <w:spacing w:val="-2"/>
                <w:sz w:val="13"/>
              </w:rPr>
              <w:t>0.32768</w:t>
            </w:r>
          </w:p>
        </w:tc>
      </w:tr>
      <w:tr>
        <w:trPr>
          <w:trHeight w:val="290" w:hRule="atLeast"/>
        </w:trPr>
        <w:tc>
          <w:tcPr>
            <w:tcW w:w="331" w:type="dxa"/>
          </w:tcPr>
          <w:p>
            <w:pPr>
              <w:pStyle w:val="TableParagraph"/>
              <w:spacing w:line="152" w:lineRule="exact" w:before="119"/>
              <w:ind w:left="57"/>
              <w:rPr>
                <w:sz w:val="13"/>
              </w:rPr>
            </w:pPr>
            <w:r>
              <w:rPr>
                <w:color w:val="231F20"/>
                <w:w w:val="100"/>
                <w:sz w:val="13"/>
              </w:rPr>
              <w:t>6</w:t>
            </w:r>
          </w:p>
        </w:tc>
        <w:tc>
          <w:tcPr>
            <w:tcW w:w="636" w:type="dxa"/>
          </w:tcPr>
          <w:p>
            <w:pPr>
              <w:pStyle w:val="TableParagraph"/>
              <w:spacing w:line="152" w:lineRule="exact" w:before="119"/>
              <w:ind w:left="83" w:right="65"/>
              <w:rPr>
                <w:sz w:val="13"/>
              </w:rPr>
            </w:pPr>
            <w:r>
              <w:rPr>
                <w:color w:val="231F20"/>
                <w:spacing w:val="-2"/>
                <w:sz w:val="13"/>
              </w:rPr>
              <w:t>0.94205</w:t>
            </w:r>
          </w:p>
        </w:tc>
        <w:tc>
          <w:tcPr>
            <w:tcW w:w="609" w:type="dxa"/>
          </w:tcPr>
          <w:p>
            <w:pPr>
              <w:pStyle w:val="TableParagraph"/>
              <w:spacing w:line="152" w:lineRule="exact" w:before="119"/>
              <w:ind w:left="68" w:right="55"/>
              <w:rPr>
                <w:sz w:val="13"/>
              </w:rPr>
            </w:pPr>
            <w:r>
              <w:rPr>
                <w:color w:val="231F20"/>
                <w:spacing w:val="-2"/>
                <w:sz w:val="13"/>
              </w:rPr>
              <w:t>0.88797</w:t>
            </w:r>
          </w:p>
        </w:tc>
        <w:tc>
          <w:tcPr>
            <w:tcW w:w="614" w:type="dxa"/>
          </w:tcPr>
          <w:p>
            <w:pPr>
              <w:pStyle w:val="TableParagraph"/>
              <w:spacing w:line="152" w:lineRule="exact" w:before="119"/>
              <w:ind w:left="61" w:right="68"/>
              <w:rPr>
                <w:sz w:val="13"/>
              </w:rPr>
            </w:pPr>
            <w:r>
              <w:rPr>
                <w:color w:val="231F20"/>
                <w:spacing w:val="-2"/>
                <w:sz w:val="13"/>
              </w:rPr>
              <w:t>0.83748</w:t>
            </w:r>
          </w:p>
        </w:tc>
        <w:tc>
          <w:tcPr>
            <w:tcW w:w="629" w:type="dxa"/>
          </w:tcPr>
          <w:p>
            <w:pPr>
              <w:pStyle w:val="TableParagraph"/>
              <w:spacing w:line="152" w:lineRule="exact" w:before="119"/>
              <w:ind w:left="75" w:right="68"/>
              <w:rPr>
                <w:sz w:val="13"/>
              </w:rPr>
            </w:pPr>
            <w:r>
              <w:rPr>
                <w:color w:val="231F20"/>
                <w:spacing w:val="-2"/>
                <w:sz w:val="13"/>
              </w:rPr>
              <w:t>0.79031</w:t>
            </w:r>
          </w:p>
        </w:tc>
        <w:tc>
          <w:tcPr>
            <w:tcW w:w="634" w:type="dxa"/>
          </w:tcPr>
          <w:p>
            <w:pPr>
              <w:pStyle w:val="TableParagraph"/>
              <w:spacing w:line="152" w:lineRule="exact" w:before="119"/>
              <w:ind w:left="70" w:right="66"/>
              <w:rPr>
                <w:sz w:val="13"/>
              </w:rPr>
            </w:pPr>
            <w:r>
              <w:rPr>
                <w:color w:val="231F20"/>
                <w:spacing w:val="-2"/>
                <w:sz w:val="13"/>
              </w:rPr>
              <w:t>0.74622</w:t>
            </w:r>
          </w:p>
        </w:tc>
        <w:tc>
          <w:tcPr>
            <w:tcW w:w="624" w:type="dxa"/>
          </w:tcPr>
          <w:p>
            <w:pPr>
              <w:pStyle w:val="TableParagraph"/>
              <w:spacing w:line="152" w:lineRule="exact" w:before="119"/>
              <w:ind w:left="77" w:right="50"/>
              <w:rPr>
                <w:sz w:val="13"/>
              </w:rPr>
            </w:pPr>
            <w:r>
              <w:rPr>
                <w:color w:val="231F20"/>
                <w:spacing w:val="-2"/>
                <w:sz w:val="13"/>
              </w:rPr>
              <w:t>0.70496</w:t>
            </w:r>
          </w:p>
        </w:tc>
        <w:tc>
          <w:tcPr>
            <w:tcW w:w="634" w:type="dxa"/>
          </w:tcPr>
          <w:p>
            <w:pPr>
              <w:pStyle w:val="TableParagraph"/>
              <w:spacing w:line="152" w:lineRule="exact" w:before="119"/>
              <w:ind w:left="61" w:right="69"/>
              <w:rPr>
                <w:sz w:val="13"/>
              </w:rPr>
            </w:pPr>
            <w:r>
              <w:rPr>
                <w:color w:val="231F20"/>
                <w:spacing w:val="-2"/>
                <w:sz w:val="13"/>
              </w:rPr>
              <w:t>0.66634</w:t>
            </w:r>
          </w:p>
        </w:tc>
        <w:tc>
          <w:tcPr>
            <w:tcW w:w="639" w:type="dxa"/>
          </w:tcPr>
          <w:p>
            <w:pPr>
              <w:pStyle w:val="TableParagraph"/>
              <w:spacing w:line="152" w:lineRule="exact" w:before="119"/>
              <w:ind w:left="94" w:right="58"/>
              <w:rPr>
                <w:sz w:val="13"/>
              </w:rPr>
            </w:pPr>
            <w:r>
              <w:rPr>
                <w:color w:val="231F20"/>
                <w:spacing w:val="-2"/>
                <w:sz w:val="13"/>
              </w:rPr>
              <w:t>0.63017</w:t>
            </w:r>
          </w:p>
        </w:tc>
        <w:tc>
          <w:tcPr>
            <w:tcW w:w="648" w:type="dxa"/>
          </w:tcPr>
          <w:p>
            <w:pPr>
              <w:pStyle w:val="TableParagraph"/>
              <w:spacing w:line="152" w:lineRule="exact" w:before="119"/>
              <w:ind w:left="77" w:right="85"/>
              <w:rPr>
                <w:sz w:val="13"/>
              </w:rPr>
            </w:pPr>
            <w:r>
              <w:rPr>
                <w:color w:val="231F20"/>
                <w:spacing w:val="-2"/>
                <w:sz w:val="13"/>
              </w:rPr>
              <w:t>0.59627</w:t>
            </w:r>
          </w:p>
        </w:tc>
        <w:tc>
          <w:tcPr>
            <w:tcW w:w="549" w:type="dxa"/>
            <w:tcBorders>
              <w:top w:val="single" w:sz="4" w:space="0" w:color="231F20"/>
            </w:tcBorders>
          </w:tcPr>
          <w:p>
            <w:pPr>
              <w:pStyle w:val="TableParagraph"/>
              <w:spacing w:line="152" w:lineRule="exact" w:before="119"/>
              <w:ind w:left="38" w:right="26"/>
              <w:rPr>
                <w:sz w:val="13"/>
              </w:rPr>
            </w:pPr>
            <w:r>
              <w:rPr>
                <w:color w:val="231F20"/>
                <w:spacing w:val="-2"/>
                <w:sz w:val="13"/>
              </w:rPr>
              <w:t>0.56447</w:t>
            </w:r>
          </w:p>
        </w:tc>
        <w:tc>
          <w:tcPr>
            <w:tcW w:w="670" w:type="dxa"/>
          </w:tcPr>
          <w:p>
            <w:pPr>
              <w:pStyle w:val="TableParagraph"/>
              <w:spacing w:line="152" w:lineRule="exact" w:before="119"/>
              <w:ind w:left="129" w:right="55"/>
              <w:rPr>
                <w:sz w:val="13"/>
              </w:rPr>
            </w:pPr>
            <w:r>
              <w:rPr>
                <w:color w:val="231F20"/>
                <w:spacing w:val="-2"/>
                <w:sz w:val="13"/>
              </w:rPr>
              <w:t>0.50663</w:t>
            </w:r>
          </w:p>
        </w:tc>
        <w:tc>
          <w:tcPr>
            <w:tcW w:w="634" w:type="dxa"/>
          </w:tcPr>
          <w:p>
            <w:pPr>
              <w:pStyle w:val="TableParagraph"/>
              <w:spacing w:line="152" w:lineRule="exact" w:before="119"/>
              <w:ind w:left="70" w:right="60"/>
              <w:rPr>
                <w:sz w:val="13"/>
              </w:rPr>
            </w:pPr>
            <w:r>
              <w:rPr>
                <w:color w:val="231F20"/>
                <w:spacing w:val="-2"/>
                <w:sz w:val="13"/>
              </w:rPr>
              <w:t>0.45559</w:t>
            </w:r>
          </w:p>
        </w:tc>
        <w:tc>
          <w:tcPr>
            <w:tcW w:w="639" w:type="dxa"/>
          </w:tcPr>
          <w:p>
            <w:pPr>
              <w:pStyle w:val="TableParagraph"/>
              <w:spacing w:line="152" w:lineRule="exact" w:before="119"/>
              <w:ind w:left="95" w:right="58"/>
              <w:rPr>
                <w:sz w:val="13"/>
              </w:rPr>
            </w:pPr>
            <w:r>
              <w:rPr>
                <w:color w:val="231F20"/>
                <w:spacing w:val="-2"/>
                <w:sz w:val="13"/>
              </w:rPr>
              <w:t>0.43233</w:t>
            </w:r>
          </w:p>
        </w:tc>
        <w:tc>
          <w:tcPr>
            <w:tcW w:w="624" w:type="dxa"/>
          </w:tcPr>
          <w:p>
            <w:pPr>
              <w:pStyle w:val="TableParagraph"/>
              <w:spacing w:line="152" w:lineRule="exact" w:before="119"/>
              <w:ind w:left="82" w:right="48"/>
              <w:rPr>
                <w:sz w:val="13"/>
              </w:rPr>
            </w:pPr>
            <w:r>
              <w:rPr>
                <w:color w:val="231F20"/>
                <w:spacing w:val="-2"/>
                <w:sz w:val="13"/>
              </w:rPr>
              <w:t>0.41044</w:t>
            </w:r>
          </w:p>
        </w:tc>
        <w:tc>
          <w:tcPr>
            <w:tcW w:w="624" w:type="dxa"/>
          </w:tcPr>
          <w:p>
            <w:pPr>
              <w:pStyle w:val="TableParagraph"/>
              <w:spacing w:line="152" w:lineRule="exact" w:before="119"/>
              <w:ind w:left="76" w:right="50"/>
              <w:rPr>
                <w:sz w:val="13"/>
              </w:rPr>
            </w:pPr>
            <w:r>
              <w:rPr>
                <w:color w:val="231F20"/>
                <w:spacing w:val="-2"/>
                <w:sz w:val="13"/>
              </w:rPr>
              <w:t>0.37043</w:t>
            </w:r>
          </w:p>
        </w:tc>
        <w:tc>
          <w:tcPr>
            <w:tcW w:w="624" w:type="dxa"/>
          </w:tcPr>
          <w:p>
            <w:pPr>
              <w:pStyle w:val="TableParagraph"/>
              <w:spacing w:line="152" w:lineRule="exact" w:before="119"/>
              <w:ind w:left="82" w:right="43"/>
              <w:rPr>
                <w:sz w:val="13"/>
              </w:rPr>
            </w:pPr>
            <w:r>
              <w:rPr>
                <w:color w:val="231F20"/>
                <w:spacing w:val="-2"/>
                <w:sz w:val="13"/>
              </w:rPr>
              <w:t>0.33490</w:t>
            </w:r>
          </w:p>
        </w:tc>
        <w:tc>
          <w:tcPr>
            <w:tcW w:w="577" w:type="dxa"/>
          </w:tcPr>
          <w:p>
            <w:pPr>
              <w:pStyle w:val="TableParagraph"/>
              <w:spacing w:line="152" w:lineRule="exact" w:before="119"/>
              <w:ind w:left="85" w:right="7"/>
              <w:rPr>
                <w:sz w:val="13"/>
              </w:rPr>
            </w:pPr>
            <w:r>
              <w:rPr>
                <w:color w:val="231F20"/>
                <w:spacing w:val="-2"/>
                <w:sz w:val="13"/>
              </w:rPr>
              <w:t>0.26214</w:t>
            </w:r>
          </w:p>
        </w:tc>
      </w:tr>
      <w:tr>
        <w:trPr>
          <w:trHeight w:val="189" w:hRule="atLeast"/>
        </w:trPr>
        <w:tc>
          <w:tcPr>
            <w:tcW w:w="331" w:type="dxa"/>
          </w:tcPr>
          <w:p>
            <w:pPr>
              <w:pStyle w:val="TableParagraph"/>
              <w:spacing w:line="152" w:lineRule="exact"/>
              <w:ind w:left="57"/>
              <w:rPr>
                <w:sz w:val="13"/>
              </w:rPr>
            </w:pPr>
            <w:r>
              <w:rPr>
                <w:color w:val="231F20"/>
                <w:w w:val="100"/>
                <w:sz w:val="13"/>
              </w:rPr>
              <w:t>7</w:t>
            </w:r>
          </w:p>
        </w:tc>
        <w:tc>
          <w:tcPr>
            <w:tcW w:w="636" w:type="dxa"/>
          </w:tcPr>
          <w:p>
            <w:pPr>
              <w:pStyle w:val="TableParagraph"/>
              <w:spacing w:line="152" w:lineRule="exact"/>
              <w:ind w:left="83" w:right="65"/>
              <w:rPr>
                <w:sz w:val="13"/>
              </w:rPr>
            </w:pPr>
            <w:r>
              <w:rPr>
                <w:color w:val="231F20"/>
                <w:spacing w:val="-2"/>
                <w:sz w:val="13"/>
              </w:rPr>
              <w:t>0.93272</w:t>
            </w:r>
          </w:p>
        </w:tc>
        <w:tc>
          <w:tcPr>
            <w:tcW w:w="609" w:type="dxa"/>
          </w:tcPr>
          <w:p>
            <w:pPr>
              <w:pStyle w:val="TableParagraph"/>
              <w:spacing w:line="152" w:lineRule="exact"/>
              <w:ind w:left="68" w:right="55"/>
              <w:rPr>
                <w:sz w:val="13"/>
              </w:rPr>
            </w:pPr>
            <w:r>
              <w:rPr>
                <w:color w:val="231F20"/>
                <w:spacing w:val="-2"/>
                <w:sz w:val="13"/>
              </w:rPr>
              <w:t>0.87056</w:t>
            </w:r>
          </w:p>
        </w:tc>
        <w:tc>
          <w:tcPr>
            <w:tcW w:w="614" w:type="dxa"/>
          </w:tcPr>
          <w:p>
            <w:pPr>
              <w:pStyle w:val="TableParagraph"/>
              <w:spacing w:line="152" w:lineRule="exact"/>
              <w:ind w:left="61" w:right="68"/>
              <w:rPr>
                <w:sz w:val="13"/>
              </w:rPr>
            </w:pPr>
            <w:r>
              <w:rPr>
                <w:color w:val="231F20"/>
                <w:spacing w:val="-2"/>
                <w:sz w:val="13"/>
              </w:rPr>
              <w:t>0.81309</w:t>
            </w:r>
          </w:p>
        </w:tc>
        <w:tc>
          <w:tcPr>
            <w:tcW w:w="629" w:type="dxa"/>
          </w:tcPr>
          <w:p>
            <w:pPr>
              <w:pStyle w:val="TableParagraph"/>
              <w:spacing w:line="152" w:lineRule="exact"/>
              <w:ind w:left="75" w:right="68"/>
              <w:rPr>
                <w:sz w:val="13"/>
              </w:rPr>
            </w:pPr>
            <w:r>
              <w:rPr>
                <w:color w:val="231F20"/>
                <w:spacing w:val="-2"/>
                <w:sz w:val="13"/>
              </w:rPr>
              <w:t>0.75892</w:t>
            </w:r>
          </w:p>
        </w:tc>
        <w:tc>
          <w:tcPr>
            <w:tcW w:w="634" w:type="dxa"/>
          </w:tcPr>
          <w:p>
            <w:pPr>
              <w:pStyle w:val="TableParagraph"/>
              <w:spacing w:line="152" w:lineRule="exact"/>
              <w:ind w:left="70" w:right="66"/>
              <w:rPr>
                <w:sz w:val="13"/>
              </w:rPr>
            </w:pPr>
            <w:r>
              <w:rPr>
                <w:color w:val="231F20"/>
                <w:spacing w:val="-2"/>
                <w:sz w:val="13"/>
              </w:rPr>
              <w:t>0.71068</w:t>
            </w:r>
          </w:p>
        </w:tc>
        <w:tc>
          <w:tcPr>
            <w:tcW w:w="624" w:type="dxa"/>
          </w:tcPr>
          <w:p>
            <w:pPr>
              <w:pStyle w:val="TableParagraph"/>
              <w:spacing w:line="152" w:lineRule="exact"/>
              <w:ind w:left="77" w:right="50"/>
              <w:rPr>
                <w:sz w:val="13"/>
              </w:rPr>
            </w:pPr>
            <w:r>
              <w:rPr>
                <w:color w:val="231F20"/>
                <w:spacing w:val="-2"/>
                <w:sz w:val="13"/>
              </w:rPr>
              <w:t>0.66506</w:t>
            </w:r>
          </w:p>
        </w:tc>
        <w:tc>
          <w:tcPr>
            <w:tcW w:w="634" w:type="dxa"/>
          </w:tcPr>
          <w:p>
            <w:pPr>
              <w:pStyle w:val="TableParagraph"/>
              <w:spacing w:line="152" w:lineRule="exact"/>
              <w:ind w:left="61" w:right="69"/>
              <w:rPr>
                <w:sz w:val="13"/>
              </w:rPr>
            </w:pPr>
            <w:r>
              <w:rPr>
                <w:color w:val="231F20"/>
                <w:spacing w:val="-2"/>
                <w:sz w:val="13"/>
              </w:rPr>
              <w:t>0.62275</w:t>
            </w:r>
          </w:p>
        </w:tc>
        <w:tc>
          <w:tcPr>
            <w:tcW w:w="639" w:type="dxa"/>
          </w:tcPr>
          <w:p>
            <w:pPr>
              <w:pStyle w:val="TableParagraph"/>
              <w:spacing w:line="152" w:lineRule="exact"/>
              <w:ind w:left="94" w:right="58"/>
              <w:rPr>
                <w:sz w:val="13"/>
              </w:rPr>
            </w:pPr>
            <w:r>
              <w:rPr>
                <w:color w:val="231F20"/>
                <w:spacing w:val="-2"/>
                <w:sz w:val="13"/>
              </w:rPr>
              <w:t>0.58349</w:t>
            </w:r>
          </w:p>
        </w:tc>
        <w:tc>
          <w:tcPr>
            <w:tcW w:w="648" w:type="dxa"/>
          </w:tcPr>
          <w:p>
            <w:pPr>
              <w:pStyle w:val="TableParagraph"/>
              <w:spacing w:line="152" w:lineRule="exact"/>
              <w:ind w:left="77" w:right="85"/>
              <w:rPr>
                <w:sz w:val="13"/>
              </w:rPr>
            </w:pPr>
            <w:r>
              <w:rPr>
                <w:color w:val="231F20"/>
                <w:spacing w:val="-2"/>
                <w:sz w:val="13"/>
              </w:rPr>
              <w:t>0.54703</w:t>
            </w:r>
          </w:p>
        </w:tc>
        <w:tc>
          <w:tcPr>
            <w:tcW w:w="549" w:type="dxa"/>
          </w:tcPr>
          <w:p>
            <w:pPr>
              <w:pStyle w:val="TableParagraph"/>
              <w:spacing w:line="152" w:lineRule="exact"/>
              <w:ind w:left="38" w:right="26"/>
              <w:rPr>
                <w:sz w:val="13"/>
              </w:rPr>
            </w:pPr>
            <w:r>
              <w:rPr>
                <w:color w:val="231F20"/>
                <w:spacing w:val="-2"/>
                <w:sz w:val="13"/>
              </w:rPr>
              <w:t>0.51316</w:t>
            </w:r>
          </w:p>
        </w:tc>
        <w:tc>
          <w:tcPr>
            <w:tcW w:w="670" w:type="dxa"/>
          </w:tcPr>
          <w:p>
            <w:pPr>
              <w:pStyle w:val="TableParagraph"/>
              <w:spacing w:line="152" w:lineRule="exact"/>
              <w:ind w:left="129" w:right="55"/>
              <w:rPr>
                <w:sz w:val="13"/>
              </w:rPr>
            </w:pPr>
            <w:r>
              <w:rPr>
                <w:color w:val="231F20"/>
                <w:spacing w:val="-2"/>
                <w:sz w:val="13"/>
              </w:rPr>
              <w:t>0.43235</w:t>
            </w:r>
          </w:p>
        </w:tc>
        <w:tc>
          <w:tcPr>
            <w:tcW w:w="634" w:type="dxa"/>
          </w:tcPr>
          <w:p>
            <w:pPr>
              <w:pStyle w:val="TableParagraph"/>
              <w:spacing w:line="152" w:lineRule="exact"/>
              <w:ind w:left="70" w:right="60"/>
              <w:rPr>
                <w:sz w:val="13"/>
              </w:rPr>
            </w:pPr>
            <w:r>
              <w:rPr>
                <w:color w:val="231F20"/>
                <w:spacing w:val="-2"/>
                <w:sz w:val="13"/>
              </w:rPr>
              <w:t>0.39964</w:t>
            </w:r>
          </w:p>
        </w:tc>
        <w:tc>
          <w:tcPr>
            <w:tcW w:w="639" w:type="dxa"/>
          </w:tcPr>
          <w:p>
            <w:pPr>
              <w:pStyle w:val="TableParagraph"/>
              <w:spacing w:line="152" w:lineRule="exact"/>
              <w:ind w:left="95" w:right="58"/>
              <w:rPr>
                <w:sz w:val="13"/>
              </w:rPr>
            </w:pPr>
            <w:r>
              <w:rPr>
                <w:color w:val="231F20"/>
                <w:spacing w:val="-2"/>
                <w:sz w:val="13"/>
              </w:rPr>
              <w:t>0.37594</w:t>
            </w:r>
          </w:p>
        </w:tc>
        <w:tc>
          <w:tcPr>
            <w:tcW w:w="624" w:type="dxa"/>
          </w:tcPr>
          <w:p>
            <w:pPr>
              <w:pStyle w:val="TableParagraph"/>
              <w:spacing w:line="152" w:lineRule="exact"/>
              <w:ind w:left="82" w:right="48"/>
              <w:rPr>
                <w:sz w:val="13"/>
              </w:rPr>
            </w:pPr>
            <w:r>
              <w:rPr>
                <w:color w:val="231F20"/>
                <w:spacing w:val="-2"/>
                <w:sz w:val="13"/>
              </w:rPr>
              <w:t>0.35383</w:t>
            </w:r>
          </w:p>
        </w:tc>
        <w:tc>
          <w:tcPr>
            <w:tcW w:w="624" w:type="dxa"/>
          </w:tcPr>
          <w:p>
            <w:pPr>
              <w:pStyle w:val="TableParagraph"/>
              <w:spacing w:line="152" w:lineRule="exact"/>
              <w:ind w:left="76" w:right="50"/>
              <w:rPr>
                <w:sz w:val="13"/>
              </w:rPr>
            </w:pPr>
            <w:r>
              <w:rPr>
                <w:color w:val="231F20"/>
                <w:spacing w:val="-2"/>
                <w:sz w:val="13"/>
              </w:rPr>
              <w:t>0.31393</w:t>
            </w:r>
          </w:p>
        </w:tc>
        <w:tc>
          <w:tcPr>
            <w:tcW w:w="624" w:type="dxa"/>
          </w:tcPr>
          <w:p>
            <w:pPr>
              <w:pStyle w:val="TableParagraph"/>
              <w:spacing w:line="152" w:lineRule="exact"/>
              <w:ind w:left="82" w:right="43"/>
              <w:rPr>
                <w:sz w:val="13"/>
              </w:rPr>
            </w:pPr>
            <w:r>
              <w:rPr>
                <w:color w:val="231F20"/>
                <w:spacing w:val="-2"/>
                <w:sz w:val="13"/>
              </w:rPr>
              <w:t>0.27908</w:t>
            </w:r>
          </w:p>
        </w:tc>
        <w:tc>
          <w:tcPr>
            <w:tcW w:w="577" w:type="dxa"/>
          </w:tcPr>
          <w:p>
            <w:pPr>
              <w:pStyle w:val="TableParagraph"/>
              <w:spacing w:line="152" w:lineRule="exact"/>
              <w:ind w:left="85" w:right="7"/>
              <w:rPr>
                <w:sz w:val="13"/>
              </w:rPr>
            </w:pPr>
            <w:r>
              <w:rPr>
                <w:color w:val="231F20"/>
                <w:spacing w:val="-2"/>
                <w:sz w:val="13"/>
              </w:rPr>
              <w:t>0.20972</w:t>
            </w:r>
          </w:p>
        </w:tc>
      </w:tr>
      <w:tr>
        <w:trPr>
          <w:trHeight w:val="189" w:hRule="atLeast"/>
        </w:trPr>
        <w:tc>
          <w:tcPr>
            <w:tcW w:w="331" w:type="dxa"/>
          </w:tcPr>
          <w:p>
            <w:pPr>
              <w:pStyle w:val="TableParagraph"/>
              <w:spacing w:line="152" w:lineRule="exact"/>
              <w:ind w:left="57"/>
              <w:rPr>
                <w:sz w:val="13"/>
              </w:rPr>
            </w:pPr>
            <w:r>
              <w:rPr>
                <w:color w:val="231F20"/>
                <w:w w:val="100"/>
                <w:sz w:val="13"/>
              </w:rPr>
              <w:t>8</w:t>
            </w:r>
          </w:p>
        </w:tc>
        <w:tc>
          <w:tcPr>
            <w:tcW w:w="636" w:type="dxa"/>
          </w:tcPr>
          <w:p>
            <w:pPr>
              <w:pStyle w:val="TableParagraph"/>
              <w:spacing w:line="152" w:lineRule="exact"/>
              <w:ind w:left="83" w:right="65"/>
              <w:rPr>
                <w:sz w:val="13"/>
              </w:rPr>
            </w:pPr>
            <w:r>
              <w:rPr>
                <w:color w:val="231F20"/>
                <w:spacing w:val="-2"/>
                <w:sz w:val="13"/>
              </w:rPr>
              <w:t>0.92348</w:t>
            </w:r>
          </w:p>
        </w:tc>
        <w:tc>
          <w:tcPr>
            <w:tcW w:w="609" w:type="dxa"/>
          </w:tcPr>
          <w:p>
            <w:pPr>
              <w:pStyle w:val="TableParagraph"/>
              <w:spacing w:line="152" w:lineRule="exact"/>
              <w:ind w:left="68" w:right="55"/>
              <w:rPr>
                <w:sz w:val="13"/>
              </w:rPr>
            </w:pPr>
            <w:r>
              <w:rPr>
                <w:color w:val="231F20"/>
                <w:spacing w:val="-2"/>
                <w:sz w:val="13"/>
              </w:rPr>
              <w:t>0.85349</w:t>
            </w:r>
          </w:p>
        </w:tc>
        <w:tc>
          <w:tcPr>
            <w:tcW w:w="614" w:type="dxa"/>
          </w:tcPr>
          <w:p>
            <w:pPr>
              <w:pStyle w:val="TableParagraph"/>
              <w:spacing w:line="152" w:lineRule="exact"/>
              <w:ind w:left="61" w:right="68"/>
              <w:rPr>
                <w:sz w:val="13"/>
              </w:rPr>
            </w:pPr>
            <w:r>
              <w:rPr>
                <w:color w:val="231F20"/>
                <w:spacing w:val="-2"/>
                <w:sz w:val="13"/>
              </w:rPr>
              <w:t>0.78941</w:t>
            </w:r>
          </w:p>
        </w:tc>
        <w:tc>
          <w:tcPr>
            <w:tcW w:w="629" w:type="dxa"/>
          </w:tcPr>
          <w:p>
            <w:pPr>
              <w:pStyle w:val="TableParagraph"/>
              <w:spacing w:line="152" w:lineRule="exact"/>
              <w:ind w:left="75" w:right="68"/>
              <w:rPr>
                <w:sz w:val="13"/>
              </w:rPr>
            </w:pPr>
            <w:r>
              <w:rPr>
                <w:color w:val="231F20"/>
                <w:spacing w:val="-2"/>
                <w:sz w:val="13"/>
              </w:rPr>
              <w:t>0.73069</w:t>
            </w:r>
          </w:p>
        </w:tc>
        <w:tc>
          <w:tcPr>
            <w:tcW w:w="634" w:type="dxa"/>
          </w:tcPr>
          <w:p>
            <w:pPr>
              <w:pStyle w:val="TableParagraph"/>
              <w:spacing w:line="152" w:lineRule="exact"/>
              <w:ind w:left="70" w:right="66"/>
              <w:rPr>
                <w:sz w:val="13"/>
              </w:rPr>
            </w:pPr>
            <w:r>
              <w:rPr>
                <w:color w:val="231F20"/>
                <w:spacing w:val="-2"/>
                <w:sz w:val="13"/>
              </w:rPr>
              <w:t>0.67684</w:t>
            </w:r>
          </w:p>
        </w:tc>
        <w:tc>
          <w:tcPr>
            <w:tcW w:w="624" w:type="dxa"/>
          </w:tcPr>
          <w:p>
            <w:pPr>
              <w:pStyle w:val="TableParagraph"/>
              <w:spacing w:line="152" w:lineRule="exact"/>
              <w:ind w:left="77" w:right="50"/>
              <w:rPr>
                <w:sz w:val="13"/>
              </w:rPr>
            </w:pPr>
            <w:r>
              <w:rPr>
                <w:color w:val="231F20"/>
                <w:spacing w:val="-2"/>
                <w:sz w:val="13"/>
              </w:rPr>
              <w:t>0.62741</w:t>
            </w:r>
          </w:p>
        </w:tc>
        <w:tc>
          <w:tcPr>
            <w:tcW w:w="634" w:type="dxa"/>
          </w:tcPr>
          <w:p>
            <w:pPr>
              <w:pStyle w:val="TableParagraph"/>
              <w:spacing w:line="152" w:lineRule="exact"/>
              <w:ind w:left="61" w:right="69"/>
              <w:rPr>
                <w:sz w:val="13"/>
              </w:rPr>
            </w:pPr>
            <w:r>
              <w:rPr>
                <w:color w:val="231F20"/>
                <w:spacing w:val="-2"/>
                <w:sz w:val="13"/>
              </w:rPr>
              <w:t>0.58201</w:t>
            </w:r>
          </w:p>
        </w:tc>
        <w:tc>
          <w:tcPr>
            <w:tcW w:w="639" w:type="dxa"/>
          </w:tcPr>
          <w:p>
            <w:pPr>
              <w:pStyle w:val="TableParagraph"/>
              <w:spacing w:line="152" w:lineRule="exact"/>
              <w:ind w:left="94" w:right="58"/>
              <w:rPr>
                <w:sz w:val="13"/>
              </w:rPr>
            </w:pPr>
            <w:r>
              <w:rPr>
                <w:color w:val="231F20"/>
                <w:spacing w:val="-2"/>
                <w:sz w:val="13"/>
              </w:rPr>
              <w:t>0.54027</w:t>
            </w:r>
          </w:p>
        </w:tc>
        <w:tc>
          <w:tcPr>
            <w:tcW w:w="648" w:type="dxa"/>
          </w:tcPr>
          <w:p>
            <w:pPr>
              <w:pStyle w:val="TableParagraph"/>
              <w:spacing w:line="152" w:lineRule="exact"/>
              <w:ind w:left="77" w:right="85"/>
              <w:rPr>
                <w:sz w:val="13"/>
              </w:rPr>
            </w:pPr>
            <w:r>
              <w:rPr>
                <w:color w:val="231F20"/>
                <w:spacing w:val="-2"/>
                <w:sz w:val="13"/>
              </w:rPr>
              <w:t>0.50187</w:t>
            </w:r>
          </w:p>
        </w:tc>
        <w:tc>
          <w:tcPr>
            <w:tcW w:w="549" w:type="dxa"/>
          </w:tcPr>
          <w:p>
            <w:pPr>
              <w:pStyle w:val="TableParagraph"/>
              <w:spacing w:line="152" w:lineRule="exact"/>
              <w:ind w:left="38" w:right="26"/>
              <w:rPr>
                <w:sz w:val="13"/>
              </w:rPr>
            </w:pPr>
            <w:r>
              <w:rPr>
                <w:color w:val="231F20"/>
                <w:spacing w:val="-2"/>
                <w:sz w:val="13"/>
              </w:rPr>
              <w:t>0.46651</w:t>
            </w:r>
          </w:p>
        </w:tc>
        <w:tc>
          <w:tcPr>
            <w:tcW w:w="670" w:type="dxa"/>
          </w:tcPr>
          <w:p>
            <w:pPr>
              <w:pStyle w:val="TableParagraph"/>
              <w:spacing w:line="152" w:lineRule="exact"/>
              <w:ind w:left="129" w:right="55"/>
              <w:rPr>
                <w:sz w:val="13"/>
              </w:rPr>
            </w:pPr>
            <w:r>
              <w:rPr>
                <w:color w:val="231F20"/>
                <w:spacing w:val="-2"/>
                <w:sz w:val="13"/>
              </w:rPr>
              <w:t>0.40388</w:t>
            </w:r>
          </w:p>
        </w:tc>
        <w:tc>
          <w:tcPr>
            <w:tcW w:w="634" w:type="dxa"/>
          </w:tcPr>
          <w:p>
            <w:pPr>
              <w:pStyle w:val="TableParagraph"/>
              <w:spacing w:line="152" w:lineRule="exact"/>
              <w:ind w:left="70" w:right="60"/>
              <w:rPr>
                <w:sz w:val="13"/>
              </w:rPr>
            </w:pPr>
            <w:r>
              <w:rPr>
                <w:color w:val="231F20"/>
                <w:spacing w:val="-2"/>
                <w:sz w:val="13"/>
              </w:rPr>
              <w:t>0.35056</w:t>
            </w:r>
          </w:p>
        </w:tc>
        <w:tc>
          <w:tcPr>
            <w:tcW w:w="639" w:type="dxa"/>
          </w:tcPr>
          <w:p>
            <w:pPr>
              <w:pStyle w:val="TableParagraph"/>
              <w:spacing w:line="152" w:lineRule="exact"/>
              <w:ind w:left="95" w:right="58"/>
              <w:rPr>
                <w:sz w:val="13"/>
              </w:rPr>
            </w:pPr>
            <w:r>
              <w:rPr>
                <w:color w:val="231F20"/>
                <w:spacing w:val="-2"/>
                <w:sz w:val="13"/>
              </w:rPr>
              <w:t>0.32690</w:t>
            </w:r>
          </w:p>
        </w:tc>
        <w:tc>
          <w:tcPr>
            <w:tcW w:w="624" w:type="dxa"/>
          </w:tcPr>
          <w:p>
            <w:pPr>
              <w:pStyle w:val="TableParagraph"/>
              <w:spacing w:line="152" w:lineRule="exact"/>
              <w:ind w:left="82" w:right="48"/>
              <w:rPr>
                <w:sz w:val="13"/>
              </w:rPr>
            </w:pPr>
            <w:r>
              <w:rPr>
                <w:color w:val="231F20"/>
                <w:spacing w:val="-2"/>
                <w:sz w:val="13"/>
              </w:rPr>
              <w:t>0.30503</w:t>
            </w:r>
          </w:p>
        </w:tc>
        <w:tc>
          <w:tcPr>
            <w:tcW w:w="624" w:type="dxa"/>
          </w:tcPr>
          <w:p>
            <w:pPr>
              <w:pStyle w:val="TableParagraph"/>
              <w:spacing w:line="152" w:lineRule="exact"/>
              <w:ind w:left="76" w:right="50"/>
              <w:rPr>
                <w:sz w:val="13"/>
              </w:rPr>
            </w:pPr>
            <w:r>
              <w:rPr>
                <w:color w:val="231F20"/>
                <w:spacing w:val="-2"/>
                <w:sz w:val="13"/>
              </w:rPr>
              <w:t>0.26604</w:t>
            </w:r>
          </w:p>
        </w:tc>
        <w:tc>
          <w:tcPr>
            <w:tcW w:w="624" w:type="dxa"/>
          </w:tcPr>
          <w:p>
            <w:pPr>
              <w:pStyle w:val="TableParagraph"/>
              <w:spacing w:line="152" w:lineRule="exact"/>
              <w:ind w:left="82" w:right="43"/>
              <w:rPr>
                <w:sz w:val="13"/>
              </w:rPr>
            </w:pPr>
            <w:r>
              <w:rPr>
                <w:color w:val="231F20"/>
                <w:spacing w:val="-2"/>
                <w:sz w:val="13"/>
              </w:rPr>
              <w:t>0.23257</w:t>
            </w:r>
          </w:p>
        </w:tc>
        <w:tc>
          <w:tcPr>
            <w:tcW w:w="577" w:type="dxa"/>
          </w:tcPr>
          <w:p>
            <w:pPr>
              <w:pStyle w:val="TableParagraph"/>
              <w:spacing w:line="152" w:lineRule="exact"/>
              <w:ind w:left="85" w:right="7"/>
              <w:rPr>
                <w:sz w:val="13"/>
              </w:rPr>
            </w:pPr>
            <w:r>
              <w:rPr>
                <w:color w:val="231F20"/>
                <w:spacing w:val="-2"/>
                <w:sz w:val="13"/>
              </w:rPr>
              <w:t>0.16777</w:t>
            </w:r>
          </w:p>
        </w:tc>
      </w:tr>
      <w:tr>
        <w:trPr>
          <w:trHeight w:val="189" w:hRule="atLeast"/>
        </w:trPr>
        <w:tc>
          <w:tcPr>
            <w:tcW w:w="331" w:type="dxa"/>
          </w:tcPr>
          <w:p>
            <w:pPr>
              <w:pStyle w:val="TableParagraph"/>
              <w:spacing w:line="152" w:lineRule="exact"/>
              <w:ind w:left="57"/>
              <w:rPr>
                <w:sz w:val="13"/>
              </w:rPr>
            </w:pPr>
            <w:r>
              <w:rPr>
                <w:color w:val="231F20"/>
                <w:w w:val="100"/>
                <w:sz w:val="13"/>
              </w:rPr>
              <w:t>9</w:t>
            </w:r>
          </w:p>
        </w:tc>
        <w:tc>
          <w:tcPr>
            <w:tcW w:w="636" w:type="dxa"/>
          </w:tcPr>
          <w:p>
            <w:pPr>
              <w:pStyle w:val="TableParagraph"/>
              <w:spacing w:line="152" w:lineRule="exact"/>
              <w:ind w:left="83" w:right="65"/>
              <w:rPr>
                <w:sz w:val="13"/>
              </w:rPr>
            </w:pPr>
            <w:r>
              <w:rPr>
                <w:color w:val="231F20"/>
                <w:spacing w:val="-2"/>
                <w:sz w:val="13"/>
              </w:rPr>
              <w:t>0.91434</w:t>
            </w:r>
          </w:p>
        </w:tc>
        <w:tc>
          <w:tcPr>
            <w:tcW w:w="609" w:type="dxa"/>
          </w:tcPr>
          <w:p>
            <w:pPr>
              <w:pStyle w:val="TableParagraph"/>
              <w:spacing w:line="152" w:lineRule="exact"/>
              <w:ind w:left="68" w:right="55"/>
              <w:rPr>
                <w:sz w:val="13"/>
              </w:rPr>
            </w:pPr>
            <w:r>
              <w:rPr>
                <w:color w:val="231F20"/>
                <w:spacing w:val="-2"/>
                <w:sz w:val="13"/>
              </w:rPr>
              <w:t>0.83676</w:t>
            </w:r>
          </w:p>
        </w:tc>
        <w:tc>
          <w:tcPr>
            <w:tcW w:w="614" w:type="dxa"/>
          </w:tcPr>
          <w:p>
            <w:pPr>
              <w:pStyle w:val="TableParagraph"/>
              <w:spacing w:line="152" w:lineRule="exact"/>
              <w:ind w:left="61" w:right="68"/>
              <w:rPr>
                <w:sz w:val="13"/>
              </w:rPr>
            </w:pPr>
            <w:r>
              <w:rPr>
                <w:color w:val="231F20"/>
                <w:spacing w:val="-2"/>
                <w:sz w:val="13"/>
              </w:rPr>
              <w:t>0.76642</w:t>
            </w:r>
          </w:p>
        </w:tc>
        <w:tc>
          <w:tcPr>
            <w:tcW w:w="629" w:type="dxa"/>
          </w:tcPr>
          <w:p>
            <w:pPr>
              <w:pStyle w:val="TableParagraph"/>
              <w:spacing w:line="152" w:lineRule="exact"/>
              <w:ind w:left="75" w:right="68"/>
              <w:rPr>
                <w:sz w:val="13"/>
              </w:rPr>
            </w:pPr>
            <w:r>
              <w:rPr>
                <w:color w:val="231F20"/>
                <w:spacing w:val="-2"/>
                <w:sz w:val="13"/>
              </w:rPr>
              <w:t>0.70259</w:t>
            </w:r>
          </w:p>
        </w:tc>
        <w:tc>
          <w:tcPr>
            <w:tcW w:w="634" w:type="dxa"/>
          </w:tcPr>
          <w:p>
            <w:pPr>
              <w:pStyle w:val="TableParagraph"/>
              <w:spacing w:line="152" w:lineRule="exact"/>
              <w:ind w:left="70" w:right="66"/>
              <w:rPr>
                <w:sz w:val="13"/>
              </w:rPr>
            </w:pPr>
            <w:r>
              <w:rPr>
                <w:color w:val="231F20"/>
                <w:spacing w:val="-2"/>
                <w:sz w:val="13"/>
              </w:rPr>
              <w:t>0.64461</w:t>
            </w:r>
          </w:p>
        </w:tc>
        <w:tc>
          <w:tcPr>
            <w:tcW w:w="624" w:type="dxa"/>
          </w:tcPr>
          <w:p>
            <w:pPr>
              <w:pStyle w:val="TableParagraph"/>
              <w:spacing w:line="152" w:lineRule="exact"/>
              <w:ind w:left="77" w:right="50"/>
              <w:rPr>
                <w:sz w:val="13"/>
              </w:rPr>
            </w:pPr>
            <w:r>
              <w:rPr>
                <w:color w:val="231F20"/>
                <w:spacing w:val="-2"/>
                <w:sz w:val="13"/>
              </w:rPr>
              <w:t>0.59190</w:t>
            </w:r>
          </w:p>
        </w:tc>
        <w:tc>
          <w:tcPr>
            <w:tcW w:w="634" w:type="dxa"/>
          </w:tcPr>
          <w:p>
            <w:pPr>
              <w:pStyle w:val="TableParagraph"/>
              <w:spacing w:line="152" w:lineRule="exact"/>
              <w:ind w:left="61" w:right="69"/>
              <w:rPr>
                <w:sz w:val="13"/>
              </w:rPr>
            </w:pPr>
            <w:r>
              <w:rPr>
                <w:color w:val="231F20"/>
                <w:spacing w:val="-2"/>
                <w:sz w:val="13"/>
              </w:rPr>
              <w:t>0.54393</w:t>
            </w:r>
          </w:p>
        </w:tc>
        <w:tc>
          <w:tcPr>
            <w:tcW w:w="639" w:type="dxa"/>
          </w:tcPr>
          <w:p>
            <w:pPr>
              <w:pStyle w:val="TableParagraph"/>
              <w:spacing w:line="152" w:lineRule="exact"/>
              <w:ind w:left="94" w:right="58"/>
              <w:rPr>
                <w:sz w:val="13"/>
              </w:rPr>
            </w:pPr>
            <w:r>
              <w:rPr>
                <w:color w:val="231F20"/>
                <w:spacing w:val="-2"/>
                <w:sz w:val="13"/>
              </w:rPr>
              <w:t>0.50025</w:t>
            </w:r>
          </w:p>
        </w:tc>
        <w:tc>
          <w:tcPr>
            <w:tcW w:w="648" w:type="dxa"/>
          </w:tcPr>
          <w:p>
            <w:pPr>
              <w:pStyle w:val="TableParagraph"/>
              <w:spacing w:line="152" w:lineRule="exact"/>
              <w:ind w:left="77" w:right="85"/>
              <w:rPr>
                <w:sz w:val="13"/>
              </w:rPr>
            </w:pPr>
            <w:r>
              <w:rPr>
                <w:color w:val="231F20"/>
                <w:spacing w:val="-2"/>
                <w:sz w:val="13"/>
              </w:rPr>
              <w:t>0.46043</w:t>
            </w:r>
          </w:p>
        </w:tc>
        <w:tc>
          <w:tcPr>
            <w:tcW w:w="549" w:type="dxa"/>
          </w:tcPr>
          <w:p>
            <w:pPr>
              <w:pStyle w:val="TableParagraph"/>
              <w:spacing w:line="152" w:lineRule="exact"/>
              <w:ind w:left="38" w:right="26"/>
              <w:rPr>
                <w:sz w:val="13"/>
              </w:rPr>
            </w:pPr>
            <w:r>
              <w:rPr>
                <w:color w:val="231F20"/>
                <w:spacing w:val="-2"/>
                <w:sz w:val="13"/>
              </w:rPr>
              <w:t>0.42410</w:t>
            </w:r>
          </w:p>
        </w:tc>
        <w:tc>
          <w:tcPr>
            <w:tcW w:w="670" w:type="dxa"/>
          </w:tcPr>
          <w:p>
            <w:pPr>
              <w:pStyle w:val="TableParagraph"/>
              <w:spacing w:line="152" w:lineRule="exact"/>
              <w:ind w:left="129" w:right="55"/>
              <w:rPr>
                <w:sz w:val="13"/>
              </w:rPr>
            </w:pPr>
            <w:r>
              <w:rPr>
                <w:color w:val="231F20"/>
                <w:spacing w:val="-2"/>
                <w:sz w:val="13"/>
              </w:rPr>
              <w:t>0.38061</w:t>
            </w:r>
          </w:p>
        </w:tc>
        <w:tc>
          <w:tcPr>
            <w:tcW w:w="634" w:type="dxa"/>
          </w:tcPr>
          <w:p>
            <w:pPr>
              <w:pStyle w:val="TableParagraph"/>
              <w:spacing w:line="152" w:lineRule="exact"/>
              <w:ind w:left="70" w:right="60"/>
              <w:rPr>
                <w:sz w:val="13"/>
              </w:rPr>
            </w:pPr>
            <w:r>
              <w:rPr>
                <w:color w:val="231F20"/>
                <w:spacing w:val="-2"/>
                <w:sz w:val="13"/>
              </w:rPr>
              <w:t>0.30751</w:t>
            </w:r>
          </w:p>
        </w:tc>
        <w:tc>
          <w:tcPr>
            <w:tcW w:w="639" w:type="dxa"/>
          </w:tcPr>
          <w:p>
            <w:pPr>
              <w:pStyle w:val="TableParagraph"/>
              <w:spacing w:line="152" w:lineRule="exact"/>
              <w:ind w:left="95" w:right="58"/>
              <w:rPr>
                <w:sz w:val="13"/>
              </w:rPr>
            </w:pPr>
            <w:r>
              <w:rPr>
                <w:color w:val="231F20"/>
                <w:spacing w:val="-2"/>
                <w:sz w:val="13"/>
              </w:rPr>
              <w:t>0.28426</w:t>
            </w:r>
          </w:p>
        </w:tc>
        <w:tc>
          <w:tcPr>
            <w:tcW w:w="624" w:type="dxa"/>
          </w:tcPr>
          <w:p>
            <w:pPr>
              <w:pStyle w:val="TableParagraph"/>
              <w:spacing w:line="152" w:lineRule="exact"/>
              <w:ind w:left="82" w:right="48"/>
              <w:rPr>
                <w:sz w:val="13"/>
              </w:rPr>
            </w:pPr>
            <w:r>
              <w:rPr>
                <w:color w:val="231F20"/>
                <w:spacing w:val="-2"/>
                <w:sz w:val="13"/>
              </w:rPr>
              <w:t>0.26295</w:t>
            </w:r>
          </w:p>
        </w:tc>
        <w:tc>
          <w:tcPr>
            <w:tcW w:w="624" w:type="dxa"/>
          </w:tcPr>
          <w:p>
            <w:pPr>
              <w:pStyle w:val="TableParagraph"/>
              <w:spacing w:line="152" w:lineRule="exact"/>
              <w:ind w:left="76" w:right="50"/>
              <w:rPr>
                <w:sz w:val="13"/>
              </w:rPr>
            </w:pPr>
            <w:r>
              <w:rPr>
                <w:color w:val="231F20"/>
                <w:spacing w:val="-2"/>
                <w:sz w:val="13"/>
              </w:rPr>
              <w:t>0.22546</w:t>
            </w:r>
          </w:p>
        </w:tc>
        <w:tc>
          <w:tcPr>
            <w:tcW w:w="624" w:type="dxa"/>
          </w:tcPr>
          <w:p>
            <w:pPr>
              <w:pStyle w:val="TableParagraph"/>
              <w:spacing w:line="152" w:lineRule="exact"/>
              <w:ind w:left="82" w:right="43"/>
              <w:rPr>
                <w:sz w:val="13"/>
              </w:rPr>
            </w:pPr>
            <w:r>
              <w:rPr>
                <w:color w:val="231F20"/>
                <w:spacing w:val="-2"/>
                <w:sz w:val="13"/>
              </w:rPr>
              <w:t>0.19381</w:t>
            </w:r>
          </w:p>
        </w:tc>
        <w:tc>
          <w:tcPr>
            <w:tcW w:w="577" w:type="dxa"/>
          </w:tcPr>
          <w:p>
            <w:pPr>
              <w:pStyle w:val="TableParagraph"/>
              <w:spacing w:line="152" w:lineRule="exact"/>
              <w:ind w:left="85" w:right="7"/>
              <w:rPr>
                <w:sz w:val="13"/>
              </w:rPr>
            </w:pPr>
            <w:r>
              <w:rPr>
                <w:color w:val="231F20"/>
                <w:spacing w:val="-2"/>
                <w:sz w:val="13"/>
              </w:rPr>
              <w:t>0.13422</w:t>
            </w:r>
          </w:p>
        </w:tc>
      </w:tr>
      <w:tr>
        <w:trPr>
          <w:trHeight w:val="237" w:hRule="atLeast"/>
        </w:trPr>
        <w:tc>
          <w:tcPr>
            <w:tcW w:w="331" w:type="dxa"/>
          </w:tcPr>
          <w:p>
            <w:pPr>
              <w:pStyle w:val="TableParagraph"/>
              <w:ind w:left="20" w:right="20"/>
              <w:rPr>
                <w:sz w:val="13"/>
              </w:rPr>
            </w:pPr>
            <w:r>
              <w:rPr>
                <w:color w:val="231F20"/>
                <w:spacing w:val="-5"/>
                <w:sz w:val="13"/>
              </w:rPr>
              <w:t>10</w:t>
            </w:r>
          </w:p>
        </w:tc>
        <w:tc>
          <w:tcPr>
            <w:tcW w:w="636" w:type="dxa"/>
          </w:tcPr>
          <w:p>
            <w:pPr>
              <w:pStyle w:val="TableParagraph"/>
              <w:ind w:left="83" w:right="65"/>
              <w:rPr>
                <w:sz w:val="13"/>
              </w:rPr>
            </w:pPr>
            <w:r>
              <w:rPr>
                <w:color w:val="231F20"/>
                <w:spacing w:val="-2"/>
                <w:sz w:val="13"/>
              </w:rPr>
              <w:t>0.90529</w:t>
            </w:r>
          </w:p>
        </w:tc>
        <w:tc>
          <w:tcPr>
            <w:tcW w:w="609" w:type="dxa"/>
          </w:tcPr>
          <w:p>
            <w:pPr>
              <w:pStyle w:val="TableParagraph"/>
              <w:ind w:left="68" w:right="55"/>
              <w:rPr>
                <w:sz w:val="13"/>
              </w:rPr>
            </w:pPr>
            <w:r>
              <w:rPr>
                <w:color w:val="231F20"/>
                <w:spacing w:val="-2"/>
                <w:sz w:val="13"/>
              </w:rPr>
              <w:t>0.82035</w:t>
            </w:r>
          </w:p>
        </w:tc>
        <w:tc>
          <w:tcPr>
            <w:tcW w:w="614" w:type="dxa"/>
          </w:tcPr>
          <w:p>
            <w:pPr>
              <w:pStyle w:val="TableParagraph"/>
              <w:ind w:left="61" w:right="68"/>
              <w:rPr>
                <w:sz w:val="13"/>
              </w:rPr>
            </w:pPr>
            <w:r>
              <w:rPr>
                <w:color w:val="231F20"/>
                <w:spacing w:val="-2"/>
                <w:sz w:val="13"/>
              </w:rPr>
              <w:t>0.74409</w:t>
            </w:r>
          </w:p>
        </w:tc>
        <w:tc>
          <w:tcPr>
            <w:tcW w:w="629" w:type="dxa"/>
          </w:tcPr>
          <w:p>
            <w:pPr>
              <w:pStyle w:val="TableParagraph"/>
              <w:ind w:left="75" w:right="68"/>
              <w:rPr>
                <w:sz w:val="13"/>
              </w:rPr>
            </w:pPr>
            <w:r>
              <w:rPr>
                <w:color w:val="231F20"/>
                <w:spacing w:val="-2"/>
                <w:sz w:val="13"/>
              </w:rPr>
              <w:t>0.67556</w:t>
            </w:r>
          </w:p>
        </w:tc>
        <w:tc>
          <w:tcPr>
            <w:tcW w:w="634" w:type="dxa"/>
          </w:tcPr>
          <w:p>
            <w:pPr>
              <w:pStyle w:val="TableParagraph"/>
              <w:ind w:left="70" w:right="65"/>
              <w:rPr>
                <w:sz w:val="13"/>
              </w:rPr>
            </w:pPr>
            <w:r>
              <w:rPr>
                <w:color w:val="231F20"/>
                <w:spacing w:val="-2"/>
                <w:sz w:val="13"/>
              </w:rPr>
              <w:t>0.61391</w:t>
            </w:r>
          </w:p>
        </w:tc>
        <w:tc>
          <w:tcPr>
            <w:tcW w:w="624" w:type="dxa"/>
          </w:tcPr>
          <w:p>
            <w:pPr>
              <w:pStyle w:val="TableParagraph"/>
              <w:ind w:left="77" w:right="50"/>
              <w:rPr>
                <w:sz w:val="13"/>
              </w:rPr>
            </w:pPr>
            <w:r>
              <w:rPr>
                <w:color w:val="231F20"/>
                <w:spacing w:val="-2"/>
                <w:sz w:val="13"/>
              </w:rPr>
              <w:t>0.55839</w:t>
            </w:r>
          </w:p>
        </w:tc>
        <w:tc>
          <w:tcPr>
            <w:tcW w:w="634" w:type="dxa"/>
          </w:tcPr>
          <w:p>
            <w:pPr>
              <w:pStyle w:val="TableParagraph"/>
              <w:ind w:left="61" w:right="69"/>
              <w:rPr>
                <w:sz w:val="13"/>
              </w:rPr>
            </w:pPr>
            <w:r>
              <w:rPr>
                <w:color w:val="231F20"/>
                <w:spacing w:val="-2"/>
                <w:sz w:val="13"/>
              </w:rPr>
              <w:t>0.50835</w:t>
            </w:r>
          </w:p>
        </w:tc>
        <w:tc>
          <w:tcPr>
            <w:tcW w:w="639" w:type="dxa"/>
          </w:tcPr>
          <w:p>
            <w:pPr>
              <w:pStyle w:val="TableParagraph"/>
              <w:ind w:left="94" w:right="58"/>
              <w:rPr>
                <w:sz w:val="13"/>
              </w:rPr>
            </w:pPr>
            <w:r>
              <w:rPr>
                <w:color w:val="231F20"/>
                <w:spacing w:val="-2"/>
                <w:sz w:val="13"/>
              </w:rPr>
              <w:t>0.46319</w:t>
            </w:r>
          </w:p>
        </w:tc>
        <w:tc>
          <w:tcPr>
            <w:tcW w:w="648" w:type="dxa"/>
          </w:tcPr>
          <w:p>
            <w:pPr>
              <w:pStyle w:val="TableParagraph"/>
              <w:ind w:left="77" w:right="85"/>
              <w:rPr>
                <w:sz w:val="13"/>
              </w:rPr>
            </w:pPr>
            <w:r>
              <w:rPr>
                <w:color w:val="231F20"/>
                <w:spacing w:val="-2"/>
                <w:sz w:val="13"/>
              </w:rPr>
              <w:t>0.42241</w:t>
            </w:r>
          </w:p>
        </w:tc>
        <w:tc>
          <w:tcPr>
            <w:tcW w:w="549" w:type="dxa"/>
          </w:tcPr>
          <w:p>
            <w:pPr>
              <w:pStyle w:val="TableParagraph"/>
              <w:ind w:left="38" w:right="26"/>
              <w:rPr>
                <w:sz w:val="13"/>
              </w:rPr>
            </w:pPr>
            <w:r>
              <w:rPr>
                <w:color w:val="231F20"/>
                <w:spacing w:val="-2"/>
                <w:sz w:val="13"/>
              </w:rPr>
              <w:t>0.38554</w:t>
            </w:r>
          </w:p>
        </w:tc>
        <w:tc>
          <w:tcPr>
            <w:tcW w:w="670" w:type="dxa"/>
          </w:tcPr>
          <w:p>
            <w:pPr>
              <w:pStyle w:val="TableParagraph"/>
              <w:ind w:left="129" w:right="55"/>
              <w:rPr>
                <w:sz w:val="13"/>
              </w:rPr>
            </w:pPr>
            <w:r>
              <w:rPr>
                <w:color w:val="231F20"/>
                <w:spacing w:val="-2"/>
                <w:sz w:val="13"/>
              </w:rPr>
              <w:t>0.32197</w:t>
            </w:r>
          </w:p>
        </w:tc>
        <w:tc>
          <w:tcPr>
            <w:tcW w:w="634" w:type="dxa"/>
          </w:tcPr>
          <w:p>
            <w:pPr>
              <w:pStyle w:val="TableParagraph"/>
              <w:ind w:left="70" w:right="60"/>
              <w:rPr>
                <w:sz w:val="13"/>
              </w:rPr>
            </w:pPr>
            <w:r>
              <w:rPr>
                <w:color w:val="231F20"/>
                <w:spacing w:val="-2"/>
                <w:sz w:val="13"/>
              </w:rPr>
              <w:t>0.26974</w:t>
            </w:r>
          </w:p>
        </w:tc>
        <w:tc>
          <w:tcPr>
            <w:tcW w:w="639" w:type="dxa"/>
          </w:tcPr>
          <w:p>
            <w:pPr>
              <w:pStyle w:val="TableParagraph"/>
              <w:ind w:left="95" w:right="58"/>
              <w:rPr>
                <w:sz w:val="13"/>
              </w:rPr>
            </w:pPr>
            <w:r>
              <w:rPr>
                <w:color w:val="231F20"/>
                <w:spacing w:val="-2"/>
                <w:sz w:val="13"/>
              </w:rPr>
              <w:t>0.24718</w:t>
            </w:r>
          </w:p>
        </w:tc>
        <w:tc>
          <w:tcPr>
            <w:tcW w:w="624" w:type="dxa"/>
          </w:tcPr>
          <w:p>
            <w:pPr>
              <w:pStyle w:val="TableParagraph"/>
              <w:ind w:left="82" w:right="48"/>
              <w:rPr>
                <w:sz w:val="13"/>
              </w:rPr>
            </w:pPr>
            <w:r>
              <w:rPr>
                <w:color w:val="231F20"/>
                <w:spacing w:val="-2"/>
                <w:sz w:val="13"/>
              </w:rPr>
              <w:t>0.22668</w:t>
            </w:r>
          </w:p>
        </w:tc>
        <w:tc>
          <w:tcPr>
            <w:tcW w:w="624" w:type="dxa"/>
          </w:tcPr>
          <w:p>
            <w:pPr>
              <w:pStyle w:val="TableParagraph"/>
              <w:ind w:left="76" w:right="50"/>
              <w:rPr>
                <w:sz w:val="13"/>
              </w:rPr>
            </w:pPr>
            <w:r>
              <w:rPr>
                <w:color w:val="231F20"/>
                <w:spacing w:val="-2"/>
                <w:sz w:val="13"/>
              </w:rPr>
              <w:t>0.19106</w:t>
            </w:r>
          </w:p>
        </w:tc>
        <w:tc>
          <w:tcPr>
            <w:tcW w:w="624" w:type="dxa"/>
          </w:tcPr>
          <w:p>
            <w:pPr>
              <w:pStyle w:val="TableParagraph"/>
              <w:ind w:left="82" w:right="43"/>
              <w:rPr>
                <w:sz w:val="13"/>
              </w:rPr>
            </w:pPr>
            <w:r>
              <w:rPr>
                <w:color w:val="231F20"/>
                <w:spacing w:val="-2"/>
                <w:sz w:val="13"/>
              </w:rPr>
              <w:t>0.16151</w:t>
            </w:r>
          </w:p>
        </w:tc>
        <w:tc>
          <w:tcPr>
            <w:tcW w:w="577" w:type="dxa"/>
          </w:tcPr>
          <w:p>
            <w:pPr>
              <w:pStyle w:val="TableParagraph"/>
              <w:ind w:left="85" w:right="7"/>
              <w:rPr>
                <w:sz w:val="13"/>
              </w:rPr>
            </w:pPr>
            <w:r>
              <w:rPr>
                <w:color w:val="231F20"/>
                <w:spacing w:val="-2"/>
                <w:sz w:val="13"/>
              </w:rPr>
              <w:t>0.10737</w:t>
            </w:r>
          </w:p>
        </w:tc>
      </w:tr>
      <w:tr>
        <w:trPr>
          <w:trHeight w:val="237" w:hRule="atLeast"/>
        </w:trPr>
        <w:tc>
          <w:tcPr>
            <w:tcW w:w="331" w:type="dxa"/>
          </w:tcPr>
          <w:p>
            <w:pPr>
              <w:pStyle w:val="TableParagraph"/>
              <w:spacing w:line="152" w:lineRule="exact" w:before="65"/>
              <w:ind w:left="20" w:right="20"/>
              <w:rPr>
                <w:sz w:val="13"/>
              </w:rPr>
            </w:pPr>
            <w:r>
              <w:rPr>
                <w:color w:val="231F20"/>
                <w:spacing w:val="-5"/>
                <w:sz w:val="13"/>
              </w:rPr>
              <w:t>11</w:t>
            </w:r>
          </w:p>
        </w:tc>
        <w:tc>
          <w:tcPr>
            <w:tcW w:w="636" w:type="dxa"/>
          </w:tcPr>
          <w:p>
            <w:pPr>
              <w:pStyle w:val="TableParagraph"/>
              <w:spacing w:line="152" w:lineRule="exact" w:before="65"/>
              <w:ind w:left="83" w:right="65"/>
              <w:rPr>
                <w:sz w:val="13"/>
              </w:rPr>
            </w:pPr>
            <w:r>
              <w:rPr>
                <w:color w:val="231F20"/>
                <w:spacing w:val="-2"/>
                <w:sz w:val="13"/>
              </w:rPr>
              <w:t>0.89632</w:t>
            </w:r>
          </w:p>
        </w:tc>
        <w:tc>
          <w:tcPr>
            <w:tcW w:w="609" w:type="dxa"/>
          </w:tcPr>
          <w:p>
            <w:pPr>
              <w:pStyle w:val="TableParagraph"/>
              <w:spacing w:line="152" w:lineRule="exact" w:before="65"/>
              <w:ind w:left="68" w:right="55"/>
              <w:rPr>
                <w:sz w:val="13"/>
              </w:rPr>
            </w:pPr>
            <w:r>
              <w:rPr>
                <w:color w:val="231F20"/>
                <w:spacing w:val="-2"/>
                <w:sz w:val="13"/>
              </w:rPr>
              <w:t>0.80426</w:t>
            </w:r>
          </w:p>
        </w:tc>
        <w:tc>
          <w:tcPr>
            <w:tcW w:w="614" w:type="dxa"/>
          </w:tcPr>
          <w:p>
            <w:pPr>
              <w:pStyle w:val="TableParagraph"/>
              <w:spacing w:line="152" w:lineRule="exact" w:before="65"/>
              <w:ind w:left="61" w:right="68"/>
              <w:rPr>
                <w:sz w:val="13"/>
              </w:rPr>
            </w:pPr>
            <w:r>
              <w:rPr>
                <w:color w:val="231F20"/>
                <w:spacing w:val="-2"/>
                <w:sz w:val="13"/>
              </w:rPr>
              <w:t>0.72242</w:t>
            </w:r>
          </w:p>
        </w:tc>
        <w:tc>
          <w:tcPr>
            <w:tcW w:w="629" w:type="dxa"/>
          </w:tcPr>
          <w:p>
            <w:pPr>
              <w:pStyle w:val="TableParagraph"/>
              <w:spacing w:line="152" w:lineRule="exact" w:before="65"/>
              <w:ind w:left="75" w:right="68"/>
              <w:rPr>
                <w:sz w:val="13"/>
              </w:rPr>
            </w:pPr>
            <w:r>
              <w:rPr>
                <w:color w:val="231F20"/>
                <w:spacing w:val="-2"/>
                <w:sz w:val="13"/>
              </w:rPr>
              <w:t>0.64958</w:t>
            </w:r>
          </w:p>
        </w:tc>
        <w:tc>
          <w:tcPr>
            <w:tcW w:w="634" w:type="dxa"/>
          </w:tcPr>
          <w:p>
            <w:pPr>
              <w:pStyle w:val="TableParagraph"/>
              <w:spacing w:line="152" w:lineRule="exact" w:before="65"/>
              <w:ind w:left="70" w:right="65"/>
              <w:rPr>
                <w:sz w:val="13"/>
              </w:rPr>
            </w:pPr>
            <w:r>
              <w:rPr>
                <w:color w:val="231F20"/>
                <w:spacing w:val="-2"/>
                <w:sz w:val="13"/>
              </w:rPr>
              <w:t>0.58468</w:t>
            </w:r>
          </w:p>
        </w:tc>
        <w:tc>
          <w:tcPr>
            <w:tcW w:w="624" w:type="dxa"/>
          </w:tcPr>
          <w:p>
            <w:pPr>
              <w:pStyle w:val="TableParagraph"/>
              <w:spacing w:line="152" w:lineRule="exact" w:before="65"/>
              <w:ind w:left="77" w:right="50"/>
              <w:rPr>
                <w:sz w:val="13"/>
              </w:rPr>
            </w:pPr>
            <w:r>
              <w:rPr>
                <w:color w:val="231F20"/>
                <w:spacing w:val="-2"/>
                <w:sz w:val="13"/>
              </w:rPr>
              <w:t>0.52679</w:t>
            </w:r>
          </w:p>
        </w:tc>
        <w:tc>
          <w:tcPr>
            <w:tcW w:w="634" w:type="dxa"/>
          </w:tcPr>
          <w:p>
            <w:pPr>
              <w:pStyle w:val="TableParagraph"/>
              <w:spacing w:line="152" w:lineRule="exact" w:before="65"/>
              <w:ind w:left="61" w:right="69"/>
              <w:rPr>
                <w:sz w:val="13"/>
              </w:rPr>
            </w:pPr>
            <w:r>
              <w:rPr>
                <w:color w:val="231F20"/>
                <w:spacing w:val="-2"/>
                <w:sz w:val="13"/>
              </w:rPr>
              <w:t>0.47509</w:t>
            </w:r>
          </w:p>
        </w:tc>
        <w:tc>
          <w:tcPr>
            <w:tcW w:w="639" w:type="dxa"/>
          </w:tcPr>
          <w:p>
            <w:pPr>
              <w:pStyle w:val="TableParagraph"/>
              <w:spacing w:line="152" w:lineRule="exact" w:before="65"/>
              <w:ind w:left="94" w:right="58"/>
              <w:rPr>
                <w:sz w:val="13"/>
              </w:rPr>
            </w:pPr>
            <w:r>
              <w:rPr>
                <w:color w:val="231F20"/>
                <w:spacing w:val="-2"/>
                <w:sz w:val="13"/>
              </w:rPr>
              <w:t>0.42888</w:t>
            </w:r>
          </w:p>
        </w:tc>
        <w:tc>
          <w:tcPr>
            <w:tcW w:w="648" w:type="dxa"/>
          </w:tcPr>
          <w:p>
            <w:pPr>
              <w:pStyle w:val="TableParagraph"/>
              <w:spacing w:line="152" w:lineRule="exact" w:before="65"/>
              <w:ind w:left="77" w:right="85"/>
              <w:rPr>
                <w:sz w:val="13"/>
              </w:rPr>
            </w:pPr>
            <w:r>
              <w:rPr>
                <w:color w:val="231F20"/>
                <w:spacing w:val="-2"/>
                <w:sz w:val="13"/>
              </w:rPr>
              <w:t>0.38753</w:t>
            </w:r>
          </w:p>
        </w:tc>
        <w:tc>
          <w:tcPr>
            <w:tcW w:w="549" w:type="dxa"/>
          </w:tcPr>
          <w:p>
            <w:pPr>
              <w:pStyle w:val="TableParagraph"/>
              <w:spacing w:line="152" w:lineRule="exact" w:before="65"/>
              <w:ind w:left="38" w:right="26"/>
              <w:rPr>
                <w:sz w:val="13"/>
              </w:rPr>
            </w:pPr>
            <w:r>
              <w:rPr>
                <w:color w:val="231F20"/>
                <w:spacing w:val="-2"/>
                <w:sz w:val="13"/>
              </w:rPr>
              <w:t>0.35049</w:t>
            </w:r>
          </w:p>
        </w:tc>
        <w:tc>
          <w:tcPr>
            <w:tcW w:w="670" w:type="dxa"/>
          </w:tcPr>
          <w:p>
            <w:pPr>
              <w:pStyle w:val="TableParagraph"/>
              <w:spacing w:line="152" w:lineRule="exact" w:before="65"/>
              <w:ind w:left="129" w:right="55"/>
              <w:rPr>
                <w:sz w:val="13"/>
              </w:rPr>
            </w:pPr>
            <w:r>
              <w:rPr>
                <w:color w:val="231F20"/>
                <w:spacing w:val="-2"/>
                <w:sz w:val="13"/>
              </w:rPr>
              <w:t>0.28748</w:t>
            </w:r>
          </w:p>
        </w:tc>
        <w:tc>
          <w:tcPr>
            <w:tcW w:w="634" w:type="dxa"/>
          </w:tcPr>
          <w:p>
            <w:pPr>
              <w:pStyle w:val="TableParagraph"/>
              <w:spacing w:line="152" w:lineRule="exact" w:before="65"/>
              <w:ind w:left="70" w:right="60"/>
              <w:rPr>
                <w:sz w:val="13"/>
              </w:rPr>
            </w:pPr>
            <w:r>
              <w:rPr>
                <w:color w:val="231F20"/>
                <w:spacing w:val="-2"/>
                <w:sz w:val="13"/>
              </w:rPr>
              <w:t>0.23662</w:t>
            </w:r>
          </w:p>
        </w:tc>
        <w:tc>
          <w:tcPr>
            <w:tcW w:w="639" w:type="dxa"/>
          </w:tcPr>
          <w:p>
            <w:pPr>
              <w:pStyle w:val="TableParagraph"/>
              <w:spacing w:line="152" w:lineRule="exact" w:before="65"/>
              <w:ind w:left="95" w:right="58"/>
              <w:rPr>
                <w:sz w:val="13"/>
              </w:rPr>
            </w:pPr>
            <w:r>
              <w:rPr>
                <w:color w:val="231F20"/>
                <w:spacing w:val="-2"/>
                <w:sz w:val="13"/>
              </w:rPr>
              <w:t>0.21494</w:t>
            </w:r>
          </w:p>
        </w:tc>
        <w:tc>
          <w:tcPr>
            <w:tcW w:w="624" w:type="dxa"/>
          </w:tcPr>
          <w:p>
            <w:pPr>
              <w:pStyle w:val="TableParagraph"/>
              <w:spacing w:line="152" w:lineRule="exact" w:before="65"/>
              <w:ind w:left="82" w:right="48"/>
              <w:rPr>
                <w:sz w:val="13"/>
              </w:rPr>
            </w:pPr>
            <w:r>
              <w:rPr>
                <w:color w:val="231F20"/>
                <w:spacing w:val="-2"/>
                <w:sz w:val="13"/>
              </w:rPr>
              <w:t>0.19542</w:t>
            </w:r>
          </w:p>
        </w:tc>
        <w:tc>
          <w:tcPr>
            <w:tcW w:w="624" w:type="dxa"/>
          </w:tcPr>
          <w:p>
            <w:pPr>
              <w:pStyle w:val="TableParagraph"/>
              <w:spacing w:line="152" w:lineRule="exact" w:before="65"/>
              <w:ind w:left="76" w:right="50"/>
              <w:rPr>
                <w:sz w:val="13"/>
              </w:rPr>
            </w:pPr>
            <w:r>
              <w:rPr>
                <w:color w:val="231F20"/>
                <w:spacing w:val="-2"/>
                <w:sz w:val="13"/>
              </w:rPr>
              <w:t>0.16192</w:t>
            </w:r>
          </w:p>
        </w:tc>
        <w:tc>
          <w:tcPr>
            <w:tcW w:w="624" w:type="dxa"/>
          </w:tcPr>
          <w:p>
            <w:pPr>
              <w:pStyle w:val="TableParagraph"/>
              <w:spacing w:line="152" w:lineRule="exact" w:before="65"/>
              <w:ind w:left="82" w:right="43"/>
              <w:rPr>
                <w:sz w:val="13"/>
              </w:rPr>
            </w:pPr>
            <w:r>
              <w:rPr>
                <w:color w:val="231F20"/>
                <w:spacing w:val="-2"/>
                <w:sz w:val="13"/>
              </w:rPr>
              <w:t>0.13459</w:t>
            </w:r>
          </w:p>
        </w:tc>
        <w:tc>
          <w:tcPr>
            <w:tcW w:w="577" w:type="dxa"/>
          </w:tcPr>
          <w:p>
            <w:pPr>
              <w:pStyle w:val="TableParagraph"/>
              <w:spacing w:line="152" w:lineRule="exact" w:before="65"/>
              <w:ind w:left="85" w:right="7"/>
              <w:rPr>
                <w:sz w:val="13"/>
              </w:rPr>
            </w:pPr>
            <w:r>
              <w:rPr>
                <w:color w:val="231F20"/>
                <w:spacing w:val="-2"/>
                <w:sz w:val="13"/>
              </w:rPr>
              <w:t>0.08590</w:t>
            </w:r>
          </w:p>
        </w:tc>
      </w:tr>
      <w:tr>
        <w:trPr>
          <w:trHeight w:val="189" w:hRule="atLeast"/>
        </w:trPr>
        <w:tc>
          <w:tcPr>
            <w:tcW w:w="331" w:type="dxa"/>
          </w:tcPr>
          <w:p>
            <w:pPr>
              <w:pStyle w:val="TableParagraph"/>
              <w:spacing w:line="152" w:lineRule="exact"/>
              <w:ind w:left="20" w:right="20"/>
              <w:rPr>
                <w:sz w:val="13"/>
              </w:rPr>
            </w:pPr>
            <w:r>
              <w:rPr>
                <w:color w:val="231F20"/>
                <w:spacing w:val="-5"/>
                <w:sz w:val="13"/>
              </w:rPr>
              <w:t>12</w:t>
            </w:r>
          </w:p>
        </w:tc>
        <w:tc>
          <w:tcPr>
            <w:tcW w:w="636" w:type="dxa"/>
          </w:tcPr>
          <w:p>
            <w:pPr>
              <w:pStyle w:val="TableParagraph"/>
              <w:spacing w:line="152" w:lineRule="exact"/>
              <w:ind w:left="83" w:right="65"/>
              <w:rPr>
                <w:sz w:val="13"/>
              </w:rPr>
            </w:pPr>
            <w:r>
              <w:rPr>
                <w:color w:val="231F20"/>
                <w:spacing w:val="-2"/>
                <w:sz w:val="13"/>
              </w:rPr>
              <w:t>0.88745</w:t>
            </w:r>
          </w:p>
        </w:tc>
        <w:tc>
          <w:tcPr>
            <w:tcW w:w="609" w:type="dxa"/>
          </w:tcPr>
          <w:p>
            <w:pPr>
              <w:pStyle w:val="TableParagraph"/>
              <w:spacing w:line="152" w:lineRule="exact"/>
              <w:ind w:left="68" w:right="55"/>
              <w:rPr>
                <w:sz w:val="13"/>
              </w:rPr>
            </w:pPr>
            <w:r>
              <w:rPr>
                <w:color w:val="231F20"/>
                <w:spacing w:val="-2"/>
                <w:sz w:val="13"/>
              </w:rPr>
              <w:t>0.78849</w:t>
            </w:r>
          </w:p>
        </w:tc>
        <w:tc>
          <w:tcPr>
            <w:tcW w:w="614" w:type="dxa"/>
          </w:tcPr>
          <w:p>
            <w:pPr>
              <w:pStyle w:val="TableParagraph"/>
              <w:spacing w:line="152" w:lineRule="exact"/>
              <w:ind w:left="61" w:right="68"/>
              <w:rPr>
                <w:sz w:val="13"/>
              </w:rPr>
            </w:pPr>
            <w:r>
              <w:rPr>
                <w:color w:val="231F20"/>
                <w:spacing w:val="-2"/>
                <w:sz w:val="13"/>
              </w:rPr>
              <w:t>0.70138</w:t>
            </w:r>
          </w:p>
        </w:tc>
        <w:tc>
          <w:tcPr>
            <w:tcW w:w="629" w:type="dxa"/>
          </w:tcPr>
          <w:p>
            <w:pPr>
              <w:pStyle w:val="TableParagraph"/>
              <w:spacing w:line="152" w:lineRule="exact"/>
              <w:ind w:left="75" w:right="68"/>
              <w:rPr>
                <w:sz w:val="13"/>
              </w:rPr>
            </w:pPr>
            <w:r>
              <w:rPr>
                <w:color w:val="231F20"/>
                <w:spacing w:val="-2"/>
                <w:sz w:val="13"/>
              </w:rPr>
              <w:t>0.62460</w:t>
            </w:r>
          </w:p>
        </w:tc>
        <w:tc>
          <w:tcPr>
            <w:tcW w:w="634" w:type="dxa"/>
          </w:tcPr>
          <w:p>
            <w:pPr>
              <w:pStyle w:val="TableParagraph"/>
              <w:spacing w:line="152" w:lineRule="exact"/>
              <w:ind w:left="70" w:right="65"/>
              <w:rPr>
                <w:sz w:val="13"/>
              </w:rPr>
            </w:pPr>
            <w:r>
              <w:rPr>
                <w:color w:val="231F20"/>
                <w:spacing w:val="-2"/>
                <w:sz w:val="13"/>
              </w:rPr>
              <w:t>0.55684</w:t>
            </w:r>
          </w:p>
        </w:tc>
        <w:tc>
          <w:tcPr>
            <w:tcW w:w="624" w:type="dxa"/>
          </w:tcPr>
          <w:p>
            <w:pPr>
              <w:pStyle w:val="TableParagraph"/>
              <w:spacing w:line="152" w:lineRule="exact"/>
              <w:ind w:left="77" w:right="50"/>
              <w:rPr>
                <w:sz w:val="13"/>
              </w:rPr>
            </w:pPr>
            <w:r>
              <w:rPr>
                <w:color w:val="231F20"/>
                <w:spacing w:val="-2"/>
                <w:sz w:val="13"/>
              </w:rPr>
              <w:t>0.49697</w:t>
            </w:r>
          </w:p>
        </w:tc>
        <w:tc>
          <w:tcPr>
            <w:tcW w:w="634" w:type="dxa"/>
          </w:tcPr>
          <w:p>
            <w:pPr>
              <w:pStyle w:val="TableParagraph"/>
              <w:spacing w:line="152" w:lineRule="exact"/>
              <w:ind w:left="61" w:right="69"/>
              <w:rPr>
                <w:sz w:val="13"/>
              </w:rPr>
            </w:pPr>
            <w:r>
              <w:rPr>
                <w:color w:val="231F20"/>
                <w:spacing w:val="-2"/>
                <w:sz w:val="13"/>
              </w:rPr>
              <w:t>0.44401</w:t>
            </w:r>
          </w:p>
        </w:tc>
        <w:tc>
          <w:tcPr>
            <w:tcW w:w="639" w:type="dxa"/>
          </w:tcPr>
          <w:p>
            <w:pPr>
              <w:pStyle w:val="TableParagraph"/>
              <w:spacing w:line="152" w:lineRule="exact"/>
              <w:ind w:left="94" w:right="58"/>
              <w:rPr>
                <w:sz w:val="13"/>
              </w:rPr>
            </w:pPr>
            <w:r>
              <w:rPr>
                <w:color w:val="231F20"/>
                <w:spacing w:val="-2"/>
                <w:sz w:val="13"/>
              </w:rPr>
              <w:t>0.39711</w:t>
            </w:r>
          </w:p>
        </w:tc>
        <w:tc>
          <w:tcPr>
            <w:tcW w:w="648" w:type="dxa"/>
          </w:tcPr>
          <w:p>
            <w:pPr>
              <w:pStyle w:val="TableParagraph"/>
              <w:spacing w:line="152" w:lineRule="exact"/>
              <w:ind w:left="77" w:right="85"/>
              <w:rPr>
                <w:sz w:val="13"/>
              </w:rPr>
            </w:pPr>
            <w:r>
              <w:rPr>
                <w:color w:val="231F20"/>
                <w:spacing w:val="-2"/>
                <w:sz w:val="13"/>
              </w:rPr>
              <w:t>0.35553</w:t>
            </w:r>
          </w:p>
        </w:tc>
        <w:tc>
          <w:tcPr>
            <w:tcW w:w="549" w:type="dxa"/>
          </w:tcPr>
          <w:p>
            <w:pPr>
              <w:pStyle w:val="TableParagraph"/>
              <w:spacing w:line="152" w:lineRule="exact"/>
              <w:ind w:left="38" w:right="26"/>
              <w:rPr>
                <w:sz w:val="13"/>
              </w:rPr>
            </w:pPr>
            <w:r>
              <w:rPr>
                <w:color w:val="231F20"/>
                <w:spacing w:val="-2"/>
                <w:sz w:val="13"/>
              </w:rPr>
              <w:t>0.31863</w:t>
            </w:r>
          </w:p>
        </w:tc>
        <w:tc>
          <w:tcPr>
            <w:tcW w:w="670" w:type="dxa"/>
          </w:tcPr>
          <w:p>
            <w:pPr>
              <w:pStyle w:val="TableParagraph"/>
              <w:spacing w:line="152" w:lineRule="exact"/>
              <w:ind w:left="129" w:right="55"/>
              <w:rPr>
                <w:sz w:val="13"/>
              </w:rPr>
            </w:pPr>
            <w:r>
              <w:rPr>
                <w:color w:val="231F20"/>
                <w:spacing w:val="-2"/>
                <w:sz w:val="13"/>
              </w:rPr>
              <w:t>0.25668</w:t>
            </w:r>
          </w:p>
        </w:tc>
        <w:tc>
          <w:tcPr>
            <w:tcW w:w="634" w:type="dxa"/>
          </w:tcPr>
          <w:p>
            <w:pPr>
              <w:pStyle w:val="TableParagraph"/>
              <w:spacing w:line="152" w:lineRule="exact"/>
              <w:ind w:left="70" w:right="60"/>
              <w:rPr>
                <w:sz w:val="13"/>
              </w:rPr>
            </w:pPr>
            <w:r>
              <w:rPr>
                <w:color w:val="231F20"/>
                <w:spacing w:val="-2"/>
                <w:sz w:val="13"/>
              </w:rPr>
              <w:t>0.20756</w:t>
            </w:r>
          </w:p>
        </w:tc>
        <w:tc>
          <w:tcPr>
            <w:tcW w:w="639" w:type="dxa"/>
          </w:tcPr>
          <w:p>
            <w:pPr>
              <w:pStyle w:val="TableParagraph"/>
              <w:spacing w:line="152" w:lineRule="exact"/>
              <w:ind w:left="95" w:right="58"/>
              <w:rPr>
                <w:sz w:val="13"/>
              </w:rPr>
            </w:pPr>
            <w:r>
              <w:rPr>
                <w:color w:val="231F20"/>
                <w:spacing w:val="-2"/>
                <w:sz w:val="13"/>
              </w:rPr>
              <w:t>0.18691</w:t>
            </w:r>
          </w:p>
        </w:tc>
        <w:tc>
          <w:tcPr>
            <w:tcW w:w="624" w:type="dxa"/>
          </w:tcPr>
          <w:p>
            <w:pPr>
              <w:pStyle w:val="TableParagraph"/>
              <w:spacing w:line="152" w:lineRule="exact"/>
              <w:ind w:left="82" w:right="48"/>
              <w:rPr>
                <w:sz w:val="13"/>
              </w:rPr>
            </w:pPr>
            <w:r>
              <w:rPr>
                <w:color w:val="231F20"/>
                <w:spacing w:val="-2"/>
                <w:sz w:val="13"/>
              </w:rPr>
              <w:t>0.16846</w:t>
            </w:r>
          </w:p>
        </w:tc>
        <w:tc>
          <w:tcPr>
            <w:tcW w:w="624" w:type="dxa"/>
          </w:tcPr>
          <w:p>
            <w:pPr>
              <w:pStyle w:val="TableParagraph"/>
              <w:spacing w:line="152" w:lineRule="exact"/>
              <w:ind w:left="76" w:right="50"/>
              <w:rPr>
                <w:sz w:val="13"/>
              </w:rPr>
            </w:pPr>
            <w:r>
              <w:rPr>
                <w:color w:val="231F20"/>
                <w:spacing w:val="-2"/>
                <w:sz w:val="13"/>
              </w:rPr>
              <w:t>0.13722</w:t>
            </w:r>
          </w:p>
        </w:tc>
        <w:tc>
          <w:tcPr>
            <w:tcW w:w="624" w:type="dxa"/>
          </w:tcPr>
          <w:p>
            <w:pPr>
              <w:pStyle w:val="TableParagraph"/>
              <w:spacing w:line="152" w:lineRule="exact"/>
              <w:ind w:left="82" w:right="43"/>
              <w:rPr>
                <w:sz w:val="13"/>
              </w:rPr>
            </w:pPr>
            <w:r>
              <w:rPr>
                <w:color w:val="231F20"/>
                <w:spacing w:val="-2"/>
                <w:sz w:val="13"/>
              </w:rPr>
              <w:t>0.11216</w:t>
            </w:r>
          </w:p>
        </w:tc>
        <w:tc>
          <w:tcPr>
            <w:tcW w:w="577" w:type="dxa"/>
          </w:tcPr>
          <w:p>
            <w:pPr>
              <w:pStyle w:val="TableParagraph"/>
              <w:spacing w:line="152" w:lineRule="exact"/>
              <w:ind w:left="85" w:right="7"/>
              <w:rPr>
                <w:sz w:val="13"/>
              </w:rPr>
            </w:pPr>
            <w:r>
              <w:rPr>
                <w:color w:val="231F20"/>
                <w:spacing w:val="-2"/>
                <w:sz w:val="13"/>
              </w:rPr>
              <w:t>0.06872</w:t>
            </w:r>
          </w:p>
        </w:tc>
      </w:tr>
      <w:tr>
        <w:trPr>
          <w:trHeight w:val="189" w:hRule="atLeast"/>
        </w:trPr>
        <w:tc>
          <w:tcPr>
            <w:tcW w:w="331" w:type="dxa"/>
          </w:tcPr>
          <w:p>
            <w:pPr>
              <w:pStyle w:val="TableParagraph"/>
              <w:spacing w:line="152" w:lineRule="exact"/>
              <w:ind w:left="20" w:right="20"/>
              <w:rPr>
                <w:sz w:val="13"/>
              </w:rPr>
            </w:pPr>
            <w:r>
              <w:rPr>
                <w:color w:val="231F20"/>
                <w:spacing w:val="-5"/>
                <w:sz w:val="13"/>
              </w:rPr>
              <w:t>13</w:t>
            </w:r>
          </w:p>
        </w:tc>
        <w:tc>
          <w:tcPr>
            <w:tcW w:w="636" w:type="dxa"/>
          </w:tcPr>
          <w:p>
            <w:pPr>
              <w:pStyle w:val="TableParagraph"/>
              <w:spacing w:line="152" w:lineRule="exact"/>
              <w:ind w:left="83" w:right="65"/>
              <w:rPr>
                <w:sz w:val="13"/>
              </w:rPr>
            </w:pPr>
            <w:r>
              <w:rPr>
                <w:color w:val="231F20"/>
                <w:spacing w:val="-2"/>
                <w:sz w:val="13"/>
              </w:rPr>
              <w:t>0.87866</w:t>
            </w:r>
          </w:p>
        </w:tc>
        <w:tc>
          <w:tcPr>
            <w:tcW w:w="609" w:type="dxa"/>
          </w:tcPr>
          <w:p>
            <w:pPr>
              <w:pStyle w:val="TableParagraph"/>
              <w:spacing w:line="152" w:lineRule="exact"/>
              <w:ind w:left="68" w:right="55"/>
              <w:rPr>
                <w:sz w:val="13"/>
              </w:rPr>
            </w:pPr>
            <w:r>
              <w:rPr>
                <w:color w:val="231F20"/>
                <w:spacing w:val="-2"/>
                <w:sz w:val="13"/>
              </w:rPr>
              <w:t>0.77303</w:t>
            </w:r>
          </w:p>
        </w:tc>
        <w:tc>
          <w:tcPr>
            <w:tcW w:w="614" w:type="dxa"/>
          </w:tcPr>
          <w:p>
            <w:pPr>
              <w:pStyle w:val="TableParagraph"/>
              <w:spacing w:line="152" w:lineRule="exact"/>
              <w:ind w:left="61" w:right="68"/>
              <w:rPr>
                <w:sz w:val="13"/>
              </w:rPr>
            </w:pPr>
            <w:r>
              <w:rPr>
                <w:color w:val="231F20"/>
                <w:spacing w:val="-2"/>
                <w:sz w:val="13"/>
              </w:rPr>
              <w:t>0.68095</w:t>
            </w:r>
          </w:p>
        </w:tc>
        <w:tc>
          <w:tcPr>
            <w:tcW w:w="629" w:type="dxa"/>
          </w:tcPr>
          <w:p>
            <w:pPr>
              <w:pStyle w:val="TableParagraph"/>
              <w:spacing w:line="152" w:lineRule="exact"/>
              <w:ind w:left="75" w:right="68"/>
              <w:rPr>
                <w:sz w:val="13"/>
              </w:rPr>
            </w:pPr>
            <w:r>
              <w:rPr>
                <w:color w:val="231F20"/>
                <w:spacing w:val="-2"/>
                <w:sz w:val="13"/>
              </w:rPr>
              <w:t>0.60057</w:t>
            </w:r>
          </w:p>
        </w:tc>
        <w:tc>
          <w:tcPr>
            <w:tcW w:w="634" w:type="dxa"/>
          </w:tcPr>
          <w:p>
            <w:pPr>
              <w:pStyle w:val="TableParagraph"/>
              <w:spacing w:line="152" w:lineRule="exact"/>
              <w:ind w:left="70" w:right="65"/>
              <w:rPr>
                <w:sz w:val="13"/>
              </w:rPr>
            </w:pPr>
            <w:r>
              <w:rPr>
                <w:color w:val="231F20"/>
                <w:spacing w:val="-2"/>
                <w:sz w:val="13"/>
              </w:rPr>
              <w:t>0.53032</w:t>
            </w:r>
          </w:p>
        </w:tc>
        <w:tc>
          <w:tcPr>
            <w:tcW w:w="624" w:type="dxa"/>
          </w:tcPr>
          <w:p>
            <w:pPr>
              <w:pStyle w:val="TableParagraph"/>
              <w:spacing w:line="152" w:lineRule="exact"/>
              <w:ind w:left="77" w:right="50"/>
              <w:rPr>
                <w:sz w:val="13"/>
              </w:rPr>
            </w:pPr>
            <w:r>
              <w:rPr>
                <w:color w:val="231F20"/>
                <w:spacing w:val="-2"/>
                <w:sz w:val="13"/>
              </w:rPr>
              <w:t>0.46884</w:t>
            </w:r>
          </w:p>
        </w:tc>
        <w:tc>
          <w:tcPr>
            <w:tcW w:w="634" w:type="dxa"/>
          </w:tcPr>
          <w:p>
            <w:pPr>
              <w:pStyle w:val="TableParagraph"/>
              <w:spacing w:line="152" w:lineRule="exact"/>
              <w:ind w:left="61" w:right="69"/>
              <w:rPr>
                <w:sz w:val="13"/>
              </w:rPr>
            </w:pPr>
            <w:r>
              <w:rPr>
                <w:color w:val="231F20"/>
                <w:spacing w:val="-2"/>
                <w:sz w:val="13"/>
              </w:rPr>
              <w:t>0.41496</w:t>
            </w:r>
          </w:p>
        </w:tc>
        <w:tc>
          <w:tcPr>
            <w:tcW w:w="639" w:type="dxa"/>
          </w:tcPr>
          <w:p>
            <w:pPr>
              <w:pStyle w:val="TableParagraph"/>
              <w:spacing w:line="152" w:lineRule="exact"/>
              <w:ind w:left="94" w:right="58"/>
              <w:rPr>
                <w:sz w:val="13"/>
              </w:rPr>
            </w:pPr>
            <w:r>
              <w:rPr>
                <w:color w:val="231F20"/>
                <w:spacing w:val="-2"/>
                <w:sz w:val="13"/>
              </w:rPr>
              <w:t>0.36770</w:t>
            </w:r>
          </w:p>
        </w:tc>
        <w:tc>
          <w:tcPr>
            <w:tcW w:w="648" w:type="dxa"/>
          </w:tcPr>
          <w:p>
            <w:pPr>
              <w:pStyle w:val="TableParagraph"/>
              <w:spacing w:line="152" w:lineRule="exact"/>
              <w:ind w:left="77" w:right="85"/>
              <w:rPr>
                <w:sz w:val="13"/>
              </w:rPr>
            </w:pPr>
            <w:r>
              <w:rPr>
                <w:color w:val="231F20"/>
                <w:spacing w:val="-2"/>
                <w:sz w:val="13"/>
              </w:rPr>
              <w:t>0.32618</w:t>
            </w:r>
          </w:p>
        </w:tc>
        <w:tc>
          <w:tcPr>
            <w:tcW w:w="549" w:type="dxa"/>
          </w:tcPr>
          <w:p>
            <w:pPr>
              <w:pStyle w:val="TableParagraph"/>
              <w:spacing w:line="152" w:lineRule="exact"/>
              <w:ind w:left="38" w:right="26"/>
              <w:rPr>
                <w:sz w:val="13"/>
              </w:rPr>
            </w:pPr>
            <w:r>
              <w:rPr>
                <w:color w:val="231F20"/>
                <w:spacing w:val="-2"/>
                <w:sz w:val="13"/>
              </w:rPr>
              <w:t>0.28966</w:t>
            </w:r>
          </w:p>
        </w:tc>
        <w:tc>
          <w:tcPr>
            <w:tcW w:w="670" w:type="dxa"/>
          </w:tcPr>
          <w:p>
            <w:pPr>
              <w:pStyle w:val="TableParagraph"/>
              <w:spacing w:line="152" w:lineRule="exact"/>
              <w:ind w:left="129" w:right="55"/>
              <w:rPr>
                <w:sz w:val="13"/>
              </w:rPr>
            </w:pPr>
            <w:r>
              <w:rPr>
                <w:color w:val="231F20"/>
                <w:spacing w:val="-2"/>
                <w:sz w:val="13"/>
              </w:rPr>
              <w:t>0.22917</w:t>
            </w:r>
          </w:p>
        </w:tc>
        <w:tc>
          <w:tcPr>
            <w:tcW w:w="634" w:type="dxa"/>
          </w:tcPr>
          <w:p>
            <w:pPr>
              <w:pStyle w:val="TableParagraph"/>
              <w:spacing w:line="152" w:lineRule="exact"/>
              <w:ind w:left="70" w:right="60"/>
              <w:rPr>
                <w:sz w:val="13"/>
              </w:rPr>
            </w:pPr>
            <w:r>
              <w:rPr>
                <w:color w:val="231F20"/>
                <w:spacing w:val="-2"/>
                <w:sz w:val="13"/>
              </w:rPr>
              <w:t>0.18207</w:t>
            </w:r>
          </w:p>
        </w:tc>
        <w:tc>
          <w:tcPr>
            <w:tcW w:w="639" w:type="dxa"/>
          </w:tcPr>
          <w:p>
            <w:pPr>
              <w:pStyle w:val="TableParagraph"/>
              <w:spacing w:line="152" w:lineRule="exact"/>
              <w:ind w:left="95" w:right="58"/>
              <w:rPr>
                <w:sz w:val="13"/>
              </w:rPr>
            </w:pPr>
            <w:r>
              <w:rPr>
                <w:color w:val="231F20"/>
                <w:spacing w:val="-2"/>
                <w:sz w:val="13"/>
              </w:rPr>
              <w:t>0.16253</w:t>
            </w:r>
          </w:p>
        </w:tc>
        <w:tc>
          <w:tcPr>
            <w:tcW w:w="624" w:type="dxa"/>
          </w:tcPr>
          <w:p>
            <w:pPr>
              <w:pStyle w:val="TableParagraph"/>
              <w:spacing w:line="152" w:lineRule="exact"/>
              <w:ind w:left="82" w:right="48"/>
              <w:rPr>
                <w:sz w:val="13"/>
              </w:rPr>
            </w:pPr>
            <w:r>
              <w:rPr>
                <w:color w:val="231F20"/>
                <w:spacing w:val="-2"/>
                <w:sz w:val="13"/>
              </w:rPr>
              <w:t>0.14523</w:t>
            </w:r>
          </w:p>
        </w:tc>
        <w:tc>
          <w:tcPr>
            <w:tcW w:w="624" w:type="dxa"/>
          </w:tcPr>
          <w:p>
            <w:pPr>
              <w:pStyle w:val="TableParagraph"/>
              <w:spacing w:line="152" w:lineRule="exact"/>
              <w:ind w:left="76" w:right="50"/>
              <w:rPr>
                <w:sz w:val="13"/>
              </w:rPr>
            </w:pPr>
            <w:r>
              <w:rPr>
                <w:color w:val="231F20"/>
                <w:spacing w:val="-2"/>
                <w:sz w:val="13"/>
              </w:rPr>
              <w:t>0.11629</w:t>
            </w:r>
          </w:p>
        </w:tc>
        <w:tc>
          <w:tcPr>
            <w:tcW w:w="624" w:type="dxa"/>
          </w:tcPr>
          <w:p>
            <w:pPr>
              <w:pStyle w:val="TableParagraph"/>
              <w:spacing w:line="152" w:lineRule="exact"/>
              <w:ind w:left="82" w:right="43"/>
              <w:rPr>
                <w:sz w:val="13"/>
              </w:rPr>
            </w:pPr>
            <w:r>
              <w:rPr>
                <w:color w:val="231F20"/>
                <w:spacing w:val="-2"/>
                <w:sz w:val="13"/>
              </w:rPr>
              <w:t>0.09346</w:t>
            </w:r>
          </w:p>
        </w:tc>
        <w:tc>
          <w:tcPr>
            <w:tcW w:w="577" w:type="dxa"/>
          </w:tcPr>
          <w:p>
            <w:pPr>
              <w:pStyle w:val="TableParagraph"/>
              <w:spacing w:line="152" w:lineRule="exact"/>
              <w:ind w:left="85" w:right="7"/>
              <w:rPr>
                <w:sz w:val="13"/>
              </w:rPr>
            </w:pPr>
            <w:r>
              <w:rPr>
                <w:color w:val="231F20"/>
                <w:spacing w:val="-2"/>
                <w:sz w:val="13"/>
              </w:rPr>
              <w:t>0.05498</w:t>
            </w:r>
          </w:p>
        </w:tc>
      </w:tr>
      <w:tr>
        <w:trPr>
          <w:trHeight w:val="189" w:hRule="atLeast"/>
        </w:trPr>
        <w:tc>
          <w:tcPr>
            <w:tcW w:w="331" w:type="dxa"/>
          </w:tcPr>
          <w:p>
            <w:pPr>
              <w:pStyle w:val="TableParagraph"/>
              <w:spacing w:line="152" w:lineRule="exact"/>
              <w:ind w:left="20" w:right="20"/>
              <w:rPr>
                <w:sz w:val="13"/>
              </w:rPr>
            </w:pPr>
            <w:r>
              <w:rPr>
                <w:color w:val="231F20"/>
                <w:spacing w:val="-5"/>
                <w:sz w:val="13"/>
              </w:rPr>
              <w:t>14</w:t>
            </w:r>
          </w:p>
        </w:tc>
        <w:tc>
          <w:tcPr>
            <w:tcW w:w="636" w:type="dxa"/>
          </w:tcPr>
          <w:p>
            <w:pPr>
              <w:pStyle w:val="TableParagraph"/>
              <w:spacing w:line="152" w:lineRule="exact"/>
              <w:ind w:left="83" w:right="65"/>
              <w:rPr>
                <w:sz w:val="13"/>
              </w:rPr>
            </w:pPr>
            <w:r>
              <w:rPr>
                <w:color w:val="231F20"/>
                <w:spacing w:val="-2"/>
                <w:sz w:val="13"/>
              </w:rPr>
              <w:t>0.86996</w:t>
            </w:r>
          </w:p>
        </w:tc>
        <w:tc>
          <w:tcPr>
            <w:tcW w:w="609" w:type="dxa"/>
          </w:tcPr>
          <w:p>
            <w:pPr>
              <w:pStyle w:val="TableParagraph"/>
              <w:spacing w:line="152" w:lineRule="exact"/>
              <w:ind w:left="68" w:right="55"/>
              <w:rPr>
                <w:sz w:val="13"/>
              </w:rPr>
            </w:pPr>
            <w:r>
              <w:rPr>
                <w:color w:val="231F20"/>
                <w:spacing w:val="-2"/>
                <w:sz w:val="13"/>
              </w:rPr>
              <w:t>0.75788</w:t>
            </w:r>
          </w:p>
        </w:tc>
        <w:tc>
          <w:tcPr>
            <w:tcW w:w="614" w:type="dxa"/>
          </w:tcPr>
          <w:p>
            <w:pPr>
              <w:pStyle w:val="TableParagraph"/>
              <w:spacing w:line="152" w:lineRule="exact"/>
              <w:ind w:left="61" w:right="68"/>
              <w:rPr>
                <w:sz w:val="13"/>
              </w:rPr>
            </w:pPr>
            <w:r>
              <w:rPr>
                <w:color w:val="231F20"/>
                <w:spacing w:val="-2"/>
                <w:sz w:val="13"/>
              </w:rPr>
              <w:t>0.66112</w:t>
            </w:r>
          </w:p>
        </w:tc>
        <w:tc>
          <w:tcPr>
            <w:tcW w:w="629" w:type="dxa"/>
          </w:tcPr>
          <w:p>
            <w:pPr>
              <w:pStyle w:val="TableParagraph"/>
              <w:spacing w:line="152" w:lineRule="exact"/>
              <w:ind w:left="75" w:right="68"/>
              <w:rPr>
                <w:sz w:val="13"/>
              </w:rPr>
            </w:pPr>
            <w:r>
              <w:rPr>
                <w:color w:val="231F20"/>
                <w:spacing w:val="-2"/>
                <w:sz w:val="13"/>
              </w:rPr>
              <w:t>0.57748</w:t>
            </w:r>
          </w:p>
        </w:tc>
        <w:tc>
          <w:tcPr>
            <w:tcW w:w="634" w:type="dxa"/>
          </w:tcPr>
          <w:p>
            <w:pPr>
              <w:pStyle w:val="TableParagraph"/>
              <w:spacing w:line="152" w:lineRule="exact"/>
              <w:ind w:left="70" w:right="65"/>
              <w:rPr>
                <w:sz w:val="13"/>
              </w:rPr>
            </w:pPr>
            <w:r>
              <w:rPr>
                <w:color w:val="231F20"/>
                <w:spacing w:val="-2"/>
                <w:sz w:val="13"/>
              </w:rPr>
              <w:t>0.50507</w:t>
            </w:r>
          </w:p>
        </w:tc>
        <w:tc>
          <w:tcPr>
            <w:tcW w:w="624" w:type="dxa"/>
          </w:tcPr>
          <w:p>
            <w:pPr>
              <w:pStyle w:val="TableParagraph"/>
              <w:spacing w:line="152" w:lineRule="exact"/>
              <w:ind w:left="77" w:right="50"/>
              <w:rPr>
                <w:sz w:val="13"/>
              </w:rPr>
            </w:pPr>
            <w:r>
              <w:rPr>
                <w:color w:val="231F20"/>
                <w:spacing w:val="-2"/>
                <w:sz w:val="13"/>
              </w:rPr>
              <w:t>0.44230</w:t>
            </w:r>
          </w:p>
        </w:tc>
        <w:tc>
          <w:tcPr>
            <w:tcW w:w="634" w:type="dxa"/>
          </w:tcPr>
          <w:p>
            <w:pPr>
              <w:pStyle w:val="TableParagraph"/>
              <w:spacing w:line="152" w:lineRule="exact"/>
              <w:ind w:left="61" w:right="69"/>
              <w:rPr>
                <w:sz w:val="13"/>
              </w:rPr>
            </w:pPr>
            <w:r>
              <w:rPr>
                <w:color w:val="231F20"/>
                <w:spacing w:val="-2"/>
                <w:sz w:val="13"/>
              </w:rPr>
              <w:t>0.38782</w:t>
            </w:r>
          </w:p>
        </w:tc>
        <w:tc>
          <w:tcPr>
            <w:tcW w:w="639" w:type="dxa"/>
          </w:tcPr>
          <w:p>
            <w:pPr>
              <w:pStyle w:val="TableParagraph"/>
              <w:spacing w:line="152" w:lineRule="exact"/>
              <w:ind w:left="94" w:right="58"/>
              <w:rPr>
                <w:sz w:val="13"/>
              </w:rPr>
            </w:pPr>
            <w:r>
              <w:rPr>
                <w:color w:val="231F20"/>
                <w:spacing w:val="-2"/>
                <w:sz w:val="13"/>
              </w:rPr>
              <w:t>0.34046</w:t>
            </w:r>
          </w:p>
        </w:tc>
        <w:tc>
          <w:tcPr>
            <w:tcW w:w="648" w:type="dxa"/>
          </w:tcPr>
          <w:p>
            <w:pPr>
              <w:pStyle w:val="TableParagraph"/>
              <w:spacing w:line="152" w:lineRule="exact"/>
              <w:ind w:left="77" w:right="85"/>
              <w:rPr>
                <w:sz w:val="13"/>
              </w:rPr>
            </w:pPr>
            <w:r>
              <w:rPr>
                <w:color w:val="231F20"/>
                <w:spacing w:val="-2"/>
                <w:sz w:val="13"/>
              </w:rPr>
              <w:t>0.29925</w:t>
            </w:r>
          </w:p>
        </w:tc>
        <w:tc>
          <w:tcPr>
            <w:tcW w:w="549" w:type="dxa"/>
          </w:tcPr>
          <w:p>
            <w:pPr>
              <w:pStyle w:val="TableParagraph"/>
              <w:spacing w:line="152" w:lineRule="exact"/>
              <w:ind w:left="38" w:right="26"/>
              <w:rPr>
                <w:sz w:val="13"/>
              </w:rPr>
            </w:pPr>
            <w:r>
              <w:rPr>
                <w:color w:val="231F20"/>
                <w:spacing w:val="-2"/>
                <w:sz w:val="13"/>
              </w:rPr>
              <w:t>0.26333</w:t>
            </w:r>
          </w:p>
        </w:tc>
        <w:tc>
          <w:tcPr>
            <w:tcW w:w="670" w:type="dxa"/>
          </w:tcPr>
          <w:p>
            <w:pPr>
              <w:pStyle w:val="TableParagraph"/>
              <w:spacing w:line="152" w:lineRule="exact"/>
              <w:ind w:left="129" w:right="55"/>
              <w:rPr>
                <w:sz w:val="13"/>
              </w:rPr>
            </w:pPr>
            <w:r>
              <w:rPr>
                <w:color w:val="231F20"/>
                <w:spacing w:val="-2"/>
                <w:sz w:val="13"/>
              </w:rPr>
              <w:t>0.20462</w:t>
            </w:r>
          </w:p>
        </w:tc>
        <w:tc>
          <w:tcPr>
            <w:tcW w:w="634" w:type="dxa"/>
          </w:tcPr>
          <w:p>
            <w:pPr>
              <w:pStyle w:val="TableParagraph"/>
              <w:spacing w:line="152" w:lineRule="exact"/>
              <w:ind w:left="70" w:right="60"/>
              <w:rPr>
                <w:sz w:val="13"/>
              </w:rPr>
            </w:pPr>
            <w:r>
              <w:rPr>
                <w:color w:val="231F20"/>
                <w:spacing w:val="-2"/>
                <w:sz w:val="13"/>
              </w:rPr>
              <w:t>0.15971</w:t>
            </w:r>
          </w:p>
        </w:tc>
        <w:tc>
          <w:tcPr>
            <w:tcW w:w="639" w:type="dxa"/>
          </w:tcPr>
          <w:p>
            <w:pPr>
              <w:pStyle w:val="TableParagraph"/>
              <w:spacing w:line="152" w:lineRule="exact"/>
              <w:ind w:left="95" w:right="58"/>
              <w:rPr>
                <w:sz w:val="13"/>
              </w:rPr>
            </w:pPr>
            <w:r>
              <w:rPr>
                <w:color w:val="231F20"/>
                <w:spacing w:val="-2"/>
                <w:sz w:val="13"/>
              </w:rPr>
              <w:t>0.14133</w:t>
            </w:r>
          </w:p>
        </w:tc>
        <w:tc>
          <w:tcPr>
            <w:tcW w:w="624" w:type="dxa"/>
          </w:tcPr>
          <w:p>
            <w:pPr>
              <w:pStyle w:val="TableParagraph"/>
              <w:spacing w:line="152" w:lineRule="exact"/>
              <w:ind w:left="82" w:right="48"/>
              <w:rPr>
                <w:sz w:val="13"/>
              </w:rPr>
            </w:pPr>
            <w:r>
              <w:rPr>
                <w:color w:val="231F20"/>
                <w:spacing w:val="-2"/>
                <w:sz w:val="13"/>
              </w:rPr>
              <w:t>0.12520</w:t>
            </w:r>
          </w:p>
        </w:tc>
        <w:tc>
          <w:tcPr>
            <w:tcW w:w="624" w:type="dxa"/>
          </w:tcPr>
          <w:p>
            <w:pPr>
              <w:pStyle w:val="TableParagraph"/>
              <w:spacing w:line="152" w:lineRule="exact"/>
              <w:ind w:left="76" w:right="50"/>
              <w:rPr>
                <w:sz w:val="13"/>
              </w:rPr>
            </w:pPr>
            <w:r>
              <w:rPr>
                <w:color w:val="231F20"/>
                <w:spacing w:val="-2"/>
                <w:sz w:val="13"/>
              </w:rPr>
              <w:t>0.09855</w:t>
            </w:r>
          </w:p>
        </w:tc>
        <w:tc>
          <w:tcPr>
            <w:tcW w:w="624" w:type="dxa"/>
          </w:tcPr>
          <w:p>
            <w:pPr>
              <w:pStyle w:val="TableParagraph"/>
              <w:spacing w:line="152" w:lineRule="exact"/>
              <w:ind w:left="82" w:right="43"/>
              <w:rPr>
                <w:sz w:val="13"/>
              </w:rPr>
            </w:pPr>
            <w:r>
              <w:rPr>
                <w:color w:val="231F20"/>
                <w:spacing w:val="-2"/>
                <w:sz w:val="13"/>
              </w:rPr>
              <w:t>0.07789</w:t>
            </w:r>
          </w:p>
        </w:tc>
        <w:tc>
          <w:tcPr>
            <w:tcW w:w="577" w:type="dxa"/>
          </w:tcPr>
          <w:p>
            <w:pPr>
              <w:pStyle w:val="TableParagraph"/>
              <w:spacing w:line="152" w:lineRule="exact"/>
              <w:ind w:left="85" w:right="7"/>
              <w:rPr>
                <w:sz w:val="13"/>
              </w:rPr>
            </w:pPr>
            <w:r>
              <w:rPr>
                <w:color w:val="231F20"/>
                <w:spacing w:val="-2"/>
                <w:sz w:val="13"/>
              </w:rPr>
              <w:t>0.04398</w:t>
            </w:r>
          </w:p>
        </w:tc>
      </w:tr>
      <w:tr>
        <w:trPr>
          <w:trHeight w:val="237" w:hRule="atLeast"/>
        </w:trPr>
        <w:tc>
          <w:tcPr>
            <w:tcW w:w="331" w:type="dxa"/>
          </w:tcPr>
          <w:p>
            <w:pPr>
              <w:pStyle w:val="TableParagraph"/>
              <w:ind w:left="20" w:right="20"/>
              <w:rPr>
                <w:sz w:val="13"/>
              </w:rPr>
            </w:pPr>
            <w:r>
              <w:rPr>
                <w:color w:val="231F20"/>
                <w:spacing w:val="-5"/>
                <w:sz w:val="13"/>
              </w:rPr>
              <w:t>15</w:t>
            </w:r>
          </w:p>
        </w:tc>
        <w:tc>
          <w:tcPr>
            <w:tcW w:w="636" w:type="dxa"/>
          </w:tcPr>
          <w:p>
            <w:pPr>
              <w:pStyle w:val="TableParagraph"/>
              <w:ind w:left="83" w:right="65"/>
              <w:rPr>
                <w:sz w:val="13"/>
              </w:rPr>
            </w:pPr>
            <w:r>
              <w:rPr>
                <w:color w:val="231F20"/>
                <w:spacing w:val="-2"/>
                <w:sz w:val="13"/>
              </w:rPr>
              <w:t>0.86135</w:t>
            </w:r>
          </w:p>
        </w:tc>
        <w:tc>
          <w:tcPr>
            <w:tcW w:w="609" w:type="dxa"/>
          </w:tcPr>
          <w:p>
            <w:pPr>
              <w:pStyle w:val="TableParagraph"/>
              <w:ind w:left="68" w:right="55"/>
              <w:rPr>
                <w:sz w:val="13"/>
              </w:rPr>
            </w:pPr>
            <w:r>
              <w:rPr>
                <w:color w:val="231F20"/>
                <w:spacing w:val="-2"/>
                <w:sz w:val="13"/>
              </w:rPr>
              <w:t>0.74301</w:t>
            </w:r>
          </w:p>
        </w:tc>
        <w:tc>
          <w:tcPr>
            <w:tcW w:w="614" w:type="dxa"/>
          </w:tcPr>
          <w:p>
            <w:pPr>
              <w:pStyle w:val="TableParagraph"/>
              <w:ind w:left="61" w:right="68"/>
              <w:rPr>
                <w:sz w:val="13"/>
              </w:rPr>
            </w:pPr>
            <w:r>
              <w:rPr>
                <w:color w:val="231F20"/>
                <w:spacing w:val="-2"/>
                <w:sz w:val="13"/>
              </w:rPr>
              <w:t>0.64186</w:t>
            </w:r>
          </w:p>
        </w:tc>
        <w:tc>
          <w:tcPr>
            <w:tcW w:w="629" w:type="dxa"/>
          </w:tcPr>
          <w:p>
            <w:pPr>
              <w:pStyle w:val="TableParagraph"/>
              <w:ind w:left="75" w:right="68"/>
              <w:rPr>
                <w:sz w:val="13"/>
              </w:rPr>
            </w:pPr>
            <w:r>
              <w:rPr>
                <w:color w:val="231F20"/>
                <w:spacing w:val="-2"/>
                <w:sz w:val="13"/>
              </w:rPr>
              <w:t>0.55526</w:t>
            </w:r>
          </w:p>
        </w:tc>
        <w:tc>
          <w:tcPr>
            <w:tcW w:w="634" w:type="dxa"/>
          </w:tcPr>
          <w:p>
            <w:pPr>
              <w:pStyle w:val="TableParagraph"/>
              <w:ind w:left="70" w:right="65"/>
              <w:rPr>
                <w:sz w:val="13"/>
              </w:rPr>
            </w:pPr>
            <w:r>
              <w:rPr>
                <w:color w:val="231F20"/>
                <w:spacing w:val="-2"/>
                <w:sz w:val="13"/>
              </w:rPr>
              <w:t>0.48102</w:t>
            </w:r>
          </w:p>
        </w:tc>
        <w:tc>
          <w:tcPr>
            <w:tcW w:w="624" w:type="dxa"/>
          </w:tcPr>
          <w:p>
            <w:pPr>
              <w:pStyle w:val="TableParagraph"/>
              <w:ind w:left="77" w:right="50"/>
              <w:rPr>
                <w:sz w:val="13"/>
              </w:rPr>
            </w:pPr>
            <w:r>
              <w:rPr>
                <w:color w:val="231F20"/>
                <w:spacing w:val="-2"/>
                <w:sz w:val="13"/>
              </w:rPr>
              <w:t>0.41727</w:t>
            </w:r>
          </w:p>
        </w:tc>
        <w:tc>
          <w:tcPr>
            <w:tcW w:w="634" w:type="dxa"/>
          </w:tcPr>
          <w:p>
            <w:pPr>
              <w:pStyle w:val="TableParagraph"/>
              <w:ind w:left="61" w:right="69"/>
              <w:rPr>
                <w:sz w:val="13"/>
              </w:rPr>
            </w:pPr>
            <w:r>
              <w:rPr>
                <w:color w:val="231F20"/>
                <w:spacing w:val="-2"/>
                <w:sz w:val="13"/>
              </w:rPr>
              <w:t>0.36245</w:t>
            </w:r>
          </w:p>
        </w:tc>
        <w:tc>
          <w:tcPr>
            <w:tcW w:w="639" w:type="dxa"/>
          </w:tcPr>
          <w:p>
            <w:pPr>
              <w:pStyle w:val="TableParagraph"/>
              <w:ind w:left="94" w:right="58"/>
              <w:rPr>
                <w:sz w:val="13"/>
              </w:rPr>
            </w:pPr>
            <w:r>
              <w:rPr>
                <w:color w:val="231F20"/>
                <w:spacing w:val="-2"/>
                <w:sz w:val="13"/>
              </w:rPr>
              <w:t>0.31524</w:t>
            </w:r>
          </w:p>
        </w:tc>
        <w:tc>
          <w:tcPr>
            <w:tcW w:w="648" w:type="dxa"/>
          </w:tcPr>
          <w:p>
            <w:pPr>
              <w:pStyle w:val="TableParagraph"/>
              <w:ind w:left="77" w:right="85"/>
              <w:rPr>
                <w:sz w:val="13"/>
              </w:rPr>
            </w:pPr>
            <w:r>
              <w:rPr>
                <w:color w:val="231F20"/>
                <w:spacing w:val="-2"/>
                <w:sz w:val="13"/>
              </w:rPr>
              <w:t>0.27454</w:t>
            </w:r>
          </w:p>
        </w:tc>
        <w:tc>
          <w:tcPr>
            <w:tcW w:w="549" w:type="dxa"/>
          </w:tcPr>
          <w:p>
            <w:pPr>
              <w:pStyle w:val="TableParagraph"/>
              <w:ind w:left="38" w:right="26"/>
              <w:rPr>
                <w:sz w:val="13"/>
              </w:rPr>
            </w:pPr>
            <w:r>
              <w:rPr>
                <w:color w:val="231F20"/>
                <w:spacing w:val="-2"/>
                <w:sz w:val="13"/>
              </w:rPr>
              <w:t>0.23939</w:t>
            </w:r>
          </w:p>
        </w:tc>
        <w:tc>
          <w:tcPr>
            <w:tcW w:w="670" w:type="dxa"/>
          </w:tcPr>
          <w:p>
            <w:pPr>
              <w:pStyle w:val="TableParagraph"/>
              <w:ind w:left="129" w:right="55"/>
              <w:rPr>
                <w:sz w:val="13"/>
              </w:rPr>
            </w:pPr>
            <w:r>
              <w:rPr>
                <w:color w:val="231F20"/>
                <w:spacing w:val="-2"/>
                <w:sz w:val="13"/>
              </w:rPr>
              <w:t>0.18270</w:t>
            </w:r>
          </w:p>
        </w:tc>
        <w:tc>
          <w:tcPr>
            <w:tcW w:w="634" w:type="dxa"/>
          </w:tcPr>
          <w:p>
            <w:pPr>
              <w:pStyle w:val="TableParagraph"/>
              <w:ind w:left="70" w:right="60"/>
              <w:rPr>
                <w:sz w:val="13"/>
              </w:rPr>
            </w:pPr>
            <w:r>
              <w:rPr>
                <w:color w:val="231F20"/>
                <w:spacing w:val="-2"/>
                <w:sz w:val="13"/>
              </w:rPr>
              <w:t>0.14010</w:t>
            </w:r>
          </w:p>
        </w:tc>
        <w:tc>
          <w:tcPr>
            <w:tcW w:w="639" w:type="dxa"/>
          </w:tcPr>
          <w:p>
            <w:pPr>
              <w:pStyle w:val="TableParagraph"/>
              <w:ind w:left="95" w:right="58"/>
              <w:rPr>
                <w:sz w:val="13"/>
              </w:rPr>
            </w:pPr>
            <w:r>
              <w:rPr>
                <w:color w:val="231F20"/>
                <w:spacing w:val="-2"/>
                <w:sz w:val="13"/>
              </w:rPr>
              <w:t>0.12289</w:t>
            </w:r>
          </w:p>
        </w:tc>
        <w:tc>
          <w:tcPr>
            <w:tcW w:w="624" w:type="dxa"/>
          </w:tcPr>
          <w:p>
            <w:pPr>
              <w:pStyle w:val="TableParagraph"/>
              <w:ind w:left="82" w:right="48"/>
              <w:rPr>
                <w:sz w:val="13"/>
              </w:rPr>
            </w:pPr>
            <w:r>
              <w:rPr>
                <w:color w:val="231F20"/>
                <w:spacing w:val="-2"/>
                <w:sz w:val="13"/>
              </w:rPr>
              <w:t>0.10793</w:t>
            </w:r>
          </w:p>
        </w:tc>
        <w:tc>
          <w:tcPr>
            <w:tcW w:w="624" w:type="dxa"/>
          </w:tcPr>
          <w:p>
            <w:pPr>
              <w:pStyle w:val="TableParagraph"/>
              <w:ind w:left="76" w:right="50"/>
              <w:rPr>
                <w:sz w:val="13"/>
              </w:rPr>
            </w:pPr>
            <w:r>
              <w:rPr>
                <w:color w:val="231F20"/>
                <w:spacing w:val="-2"/>
                <w:sz w:val="13"/>
              </w:rPr>
              <w:t>0.08352</w:t>
            </w:r>
          </w:p>
        </w:tc>
        <w:tc>
          <w:tcPr>
            <w:tcW w:w="624" w:type="dxa"/>
          </w:tcPr>
          <w:p>
            <w:pPr>
              <w:pStyle w:val="TableParagraph"/>
              <w:ind w:left="82" w:right="43"/>
              <w:rPr>
                <w:sz w:val="13"/>
              </w:rPr>
            </w:pPr>
            <w:r>
              <w:rPr>
                <w:color w:val="231F20"/>
                <w:spacing w:val="-2"/>
                <w:sz w:val="13"/>
              </w:rPr>
              <w:t>0.06491</w:t>
            </w:r>
          </w:p>
        </w:tc>
        <w:tc>
          <w:tcPr>
            <w:tcW w:w="577" w:type="dxa"/>
          </w:tcPr>
          <w:p>
            <w:pPr>
              <w:pStyle w:val="TableParagraph"/>
              <w:ind w:left="85" w:right="7"/>
              <w:rPr>
                <w:sz w:val="13"/>
              </w:rPr>
            </w:pPr>
            <w:r>
              <w:rPr>
                <w:color w:val="231F20"/>
                <w:spacing w:val="-2"/>
                <w:sz w:val="13"/>
              </w:rPr>
              <w:t>0.03518</w:t>
            </w:r>
          </w:p>
        </w:tc>
      </w:tr>
      <w:tr>
        <w:trPr>
          <w:trHeight w:val="237" w:hRule="atLeast"/>
        </w:trPr>
        <w:tc>
          <w:tcPr>
            <w:tcW w:w="331" w:type="dxa"/>
          </w:tcPr>
          <w:p>
            <w:pPr>
              <w:pStyle w:val="TableParagraph"/>
              <w:spacing w:line="152" w:lineRule="exact" w:before="65"/>
              <w:ind w:left="20" w:right="20"/>
              <w:rPr>
                <w:sz w:val="13"/>
              </w:rPr>
            </w:pPr>
            <w:r>
              <w:rPr>
                <w:color w:val="231F20"/>
                <w:spacing w:val="-5"/>
                <w:sz w:val="13"/>
              </w:rPr>
              <w:t>16</w:t>
            </w:r>
          </w:p>
        </w:tc>
        <w:tc>
          <w:tcPr>
            <w:tcW w:w="636" w:type="dxa"/>
          </w:tcPr>
          <w:p>
            <w:pPr>
              <w:pStyle w:val="TableParagraph"/>
              <w:spacing w:line="152" w:lineRule="exact" w:before="65"/>
              <w:ind w:left="83" w:right="65"/>
              <w:rPr>
                <w:sz w:val="13"/>
              </w:rPr>
            </w:pPr>
            <w:r>
              <w:rPr>
                <w:color w:val="231F20"/>
                <w:spacing w:val="-2"/>
                <w:sz w:val="13"/>
              </w:rPr>
              <w:t>0.85282</w:t>
            </w:r>
          </w:p>
        </w:tc>
        <w:tc>
          <w:tcPr>
            <w:tcW w:w="609" w:type="dxa"/>
          </w:tcPr>
          <w:p>
            <w:pPr>
              <w:pStyle w:val="TableParagraph"/>
              <w:spacing w:line="152" w:lineRule="exact" w:before="65"/>
              <w:ind w:left="68" w:right="55"/>
              <w:rPr>
                <w:sz w:val="13"/>
              </w:rPr>
            </w:pPr>
            <w:r>
              <w:rPr>
                <w:color w:val="231F20"/>
                <w:spacing w:val="-2"/>
                <w:sz w:val="13"/>
              </w:rPr>
              <w:t>0.72845</w:t>
            </w:r>
          </w:p>
        </w:tc>
        <w:tc>
          <w:tcPr>
            <w:tcW w:w="614" w:type="dxa"/>
          </w:tcPr>
          <w:p>
            <w:pPr>
              <w:pStyle w:val="TableParagraph"/>
              <w:spacing w:line="152" w:lineRule="exact" w:before="65"/>
              <w:ind w:left="61" w:right="68"/>
              <w:rPr>
                <w:sz w:val="13"/>
              </w:rPr>
            </w:pPr>
            <w:r>
              <w:rPr>
                <w:color w:val="231F20"/>
                <w:spacing w:val="-2"/>
                <w:sz w:val="13"/>
              </w:rPr>
              <w:t>0.62317</w:t>
            </w:r>
          </w:p>
        </w:tc>
        <w:tc>
          <w:tcPr>
            <w:tcW w:w="629" w:type="dxa"/>
          </w:tcPr>
          <w:p>
            <w:pPr>
              <w:pStyle w:val="TableParagraph"/>
              <w:spacing w:line="152" w:lineRule="exact" w:before="65"/>
              <w:ind w:left="75" w:right="68"/>
              <w:rPr>
                <w:sz w:val="13"/>
              </w:rPr>
            </w:pPr>
            <w:r>
              <w:rPr>
                <w:color w:val="231F20"/>
                <w:spacing w:val="-2"/>
                <w:sz w:val="13"/>
              </w:rPr>
              <w:t>0.53391</w:t>
            </w:r>
          </w:p>
        </w:tc>
        <w:tc>
          <w:tcPr>
            <w:tcW w:w="634" w:type="dxa"/>
          </w:tcPr>
          <w:p>
            <w:pPr>
              <w:pStyle w:val="TableParagraph"/>
              <w:spacing w:line="152" w:lineRule="exact" w:before="65"/>
              <w:ind w:left="70" w:right="65"/>
              <w:rPr>
                <w:sz w:val="13"/>
              </w:rPr>
            </w:pPr>
            <w:r>
              <w:rPr>
                <w:color w:val="231F20"/>
                <w:spacing w:val="-2"/>
                <w:sz w:val="13"/>
              </w:rPr>
              <w:t>0.45811</w:t>
            </w:r>
          </w:p>
        </w:tc>
        <w:tc>
          <w:tcPr>
            <w:tcW w:w="624" w:type="dxa"/>
          </w:tcPr>
          <w:p>
            <w:pPr>
              <w:pStyle w:val="TableParagraph"/>
              <w:spacing w:line="152" w:lineRule="exact" w:before="65"/>
              <w:ind w:left="77" w:right="50"/>
              <w:rPr>
                <w:sz w:val="13"/>
              </w:rPr>
            </w:pPr>
            <w:r>
              <w:rPr>
                <w:color w:val="231F20"/>
                <w:spacing w:val="-2"/>
                <w:sz w:val="13"/>
              </w:rPr>
              <w:t>0.39365</w:t>
            </w:r>
          </w:p>
        </w:tc>
        <w:tc>
          <w:tcPr>
            <w:tcW w:w="634" w:type="dxa"/>
          </w:tcPr>
          <w:p>
            <w:pPr>
              <w:pStyle w:val="TableParagraph"/>
              <w:spacing w:line="152" w:lineRule="exact" w:before="65"/>
              <w:ind w:left="61" w:right="69"/>
              <w:rPr>
                <w:sz w:val="13"/>
              </w:rPr>
            </w:pPr>
            <w:r>
              <w:rPr>
                <w:color w:val="231F20"/>
                <w:spacing w:val="-2"/>
                <w:sz w:val="13"/>
              </w:rPr>
              <w:t>0.33873</w:t>
            </w:r>
          </w:p>
        </w:tc>
        <w:tc>
          <w:tcPr>
            <w:tcW w:w="639" w:type="dxa"/>
          </w:tcPr>
          <w:p>
            <w:pPr>
              <w:pStyle w:val="TableParagraph"/>
              <w:spacing w:line="152" w:lineRule="exact" w:before="65"/>
              <w:ind w:left="94" w:right="58"/>
              <w:rPr>
                <w:sz w:val="13"/>
              </w:rPr>
            </w:pPr>
            <w:r>
              <w:rPr>
                <w:color w:val="231F20"/>
                <w:spacing w:val="-2"/>
                <w:sz w:val="13"/>
              </w:rPr>
              <w:t>0.29189</w:t>
            </w:r>
          </w:p>
        </w:tc>
        <w:tc>
          <w:tcPr>
            <w:tcW w:w="648" w:type="dxa"/>
          </w:tcPr>
          <w:p>
            <w:pPr>
              <w:pStyle w:val="TableParagraph"/>
              <w:spacing w:line="152" w:lineRule="exact" w:before="65"/>
              <w:ind w:left="77" w:right="85"/>
              <w:rPr>
                <w:sz w:val="13"/>
              </w:rPr>
            </w:pPr>
            <w:r>
              <w:rPr>
                <w:color w:val="231F20"/>
                <w:spacing w:val="-2"/>
                <w:sz w:val="13"/>
              </w:rPr>
              <w:t>0.25187</w:t>
            </w:r>
          </w:p>
        </w:tc>
        <w:tc>
          <w:tcPr>
            <w:tcW w:w="549" w:type="dxa"/>
          </w:tcPr>
          <w:p>
            <w:pPr>
              <w:pStyle w:val="TableParagraph"/>
              <w:spacing w:line="152" w:lineRule="exact" w:before="65"/>
              <w:ind w:left="38" w:right="26"/>
              <w:rPr>
                <w:sz w:val="13"/>
              </w:rPr>
            </w:pPr>
            <w:r>
              <w:rPr>
                <w:color w:val="231F20"/>
                <w:spacing w:val="-2"/>
                <w:sz w:val="13"/>
              </w:rPr>
              <w:t>0.21763</w:t>
            </w:r>
          </w:p>
        </w:tc>
        <w:tc>
          <w:tcPr>
            <w:tcW w:w="670" w:type="dxa"/>
          </w:tcPr>
          <w:p>
            <w:pPr>
              <w:pStyle w:val="TableParagraph"/>
              <w:spacing w:line="152" w:lineRule="exact" w:before="65"/>
              <w:ind w:left="129" w:right="55"/>
              <w:rPr>
                <w:sz w:val="13"/>
              </w:rPr>
            </w:pPr>
            <w:r>
              <w:rPr>
                <w:color w:val="231F20"/>
                <w:spacing w:val="-2"/>
                <w:sz w:val="13"/>
              </w:rPr>
              <w:t>0.16312</w:t>
            </w:r>
          </w:p>
        </w:tc>
        <w:tc>
          <w:tcPr>
            <w:tcW w:w="634" w:type="dxa"/>
          </w:tcPr>
          <w:p>
            <w:pPr>
              <w:pStyle w:val="TableParagraph"/>
              <w:spacing w:line="152" w:lineRule="exact" w:before="65"/>
              <w:ind w:left="70" w:right="60"/>
              <w:rPr>
                <w:sz w:val="13"/>
              </w:rPr>
            </w:pPr>
            <w:r>
              <w:rPr>
                <w:color w:val="231F20"/>
                <w:spacing w:val="-2"/>
                <w:sz w:val="13"/>
              </w:rPr>
              <w:t>0.12289</w:t>
            </w:r>
          </w:p>
        </w:tc>
        <w:tc>
          <w:tcPr>
            <w:tcW w:w="639" w:type="dxa"/>
          </w:tcPr>
          <w:p>
            <w:pPr>
              <w:pStyle w:val="TableParagraph"/>
              <w:spacing w:line="152" w:lineRule="exact" w:before="65"/>
              <w:ind w:left="95" w:right="58"/>
              <w:rPr>
                <w:sz w:val="13"/>
              </w:rPr>
            </w:pPr>
            <w:r>
              <w:rPr>
                <w:color w:val="231F20"/>
                <w:spacing w:val="-2"/>
                <w:sz w:val="13"/>
              </w:rPr>
              <w:t>0.10686</w:t>
            </w:r>
          </w:p>
        </w:tc>
        <w:tc>
          <w:tcPr>
            <w:tcW w:w="624" w:type="dxa"/>
          </w:tcPr>
          <w:p>
            <w:pPr>
              <w:pStyle w:val="TableParagraph"/>
              <w:spacing w:line="152" w:lineRule="exact" w:before="65"/>
              <w:ind w:left="82" w:right="48"/>
              <w:rPr>
                <w:sz w:val="13"/>
              </w:rPr>
            </w:pPr>
            <w:r>
              <w:rPr>
                <w:color w:val="231F20"/>
                <w:spacing w:val="-2"/>
                <w:sz w:val="13"/>
              </w:rPr>
              <w:t>0.09304</w:t>
            </w:r>
          </w:p>
        </w:tc>
        <w:tc>
          <w:tcPr>
            <w:tcW w:w="624" w:type="dxa"/>
          </w:tcPr>
          <w:p>
            <w:pPr>
              <w:pStyle w:val="TableParagraph"/>
              <w:spacing w:line="152" w:lineRule="exact" w:before="65"/>
              <w:ind w:left="76" w:right="50"/>
              <w:rPr>
                <w:sz w:val="13"/>
              </w:rPr>
            </w:pPr>
            <w:r>
              <w:rPr>
                <w:color w:val="231F20"/>
                <w:spacing w:val="-2"/>
                <w:sz w:val="13"/>
              </w:rPr>
              <w:t>0.07078</w:t>
            </w:r>
          </w:p>
        </w:tc>
        <w:tc>
          <w:tcPr>
            <w:tcW w:w="624" w:type="dxa"/>
          </w:tcPr>
          <w:p>
            <w:pPr>
              <w:pStyle w:val="TableParagraph"/>
              <w:spacing w:line="152" w:lineRule="exact" w:before="65"/>
              <w:ind w:left="82" w:right="43"/>
              <w:rPr>
                <w:sz w:val="13"/>
              </w:rPr>
            </w:pPr>
            <w:r>
              <w:rPr>
                <w:color w:val="231F20"/>
                <w:spacing w:val="-2"/>
                <w:sz w:val="13"/>
              </w:rPr>
              <w:t>0.05409</w:t>
            </w:r>
          </w:p>
        </w:tc>
        <w:tc>
          <w:tcPr>
            <w:tcW w:w="577" w:type="dxa"/>
          </w:tcPr>
          <w:p>
            <w:pPr>
              <w:pStyle w:val="TableParagraph"/>
              <w:spacing w:line="152" w:lineRule="exact" w:before="65"/>
              <w:ind w:left="85" w:right="7"/>
              <w:rPr>
                <w:sz w:val="13"/>
              </w:rPr>
            </w:pPr>
            <w:r>
              <w:rPr>
                <w:color w:val="231F20"/>
                <w:spacing w:val="-2"/>
                <w:sz w:val="13"/>
              </w:rPr>
              <w:t>0.02815</w:t>
            </w:r>
          </w:p>
        </w:tc>
      </w:tr>
      <w:tr>
        <w:trPr>
          <w:trHeight w:val="189" w:hRule="atLeast"/>
        </w:trPr>
        <w:tc>
          <w:tcPr>
            <w:tcW w:w="331" w:type="dxa"/>
          </w:tcPr>
          <w:p>
            <w:pPr>
              <w:pStyle w:val="TableParagraph"/>
              <w:spacing w:line="152" w:lineRule="exact"/>
              <w:ind w:left="20" w:right="20"/>
              <w:rPr>
                <w:sz w:val="13"/>
              </w:rPr>
            </w:pPr>
            <w:r>
              <w:rPr>
                <w:color w:val="231F20"/>
                <w:spacing w:val="-5"/>
                <w:sz w:val="13"/>
              </w:rPr>
              <w:t>17</w:t>
            </w:r>
          </w:p>
        </w:tc>
        <w:tc>
          <w:tcPr>
            <w:tcW w:w="636" w:type="dxa"/>
          </w:tcPr>
          <w:p>
            <w:pPr>
              <w:pStyle w:val="TableParagraph"/>
              <w:spacing w:line="152" w:lineRule="exact"/>
              <w:ind w:left="83" w:right="65"/>
              <w:rPr>
                <w:sz w:val="13"/>
              </w:rPr>
            </w:pPr>
            <w:r>
              <w:rPr>
                <w:color w:val="231F20"/>
                <w:spacing w:val="-2"/>
                <w:sz w:val="13"/>
              </w:rPr>
              <w:t>0.84438</w:t>
            </w:r>
          </w:p>
        </w:tc>
        <w:tc>
          <w:tcPr>
            <w:tcW w:w="609" w:type="dxa"/>
          </w:tcPr>
          <w:p>
            <w:pPr>
              <w:pStyle w:val="TableParagraph"/>
              <w:spacing w:line="152" w:lineRule="exact"/>
              <w:ind w:left="68" w:right="55"/>
              <w:rPr>
                <w:sz w:val="13"/>
              </w:rPr>
            </w:pPr>
            <w:r>
              <w:rPr>
                <w:color w:val="231F20"/>
                <w:spacing w:val="-2"/>
                <w:sz w:val="13"/>
              </w:rPr>
              <w:t>0.71416</w:t>
            </w:r>
          </w:p>
        </w:tc>
        <w:tc>
          <w:tcPr>
            <w:tcW w:w="614" w:type="dxa"/>
          </w:tcPr>
          <w:p>
            <w:pPr>
              <w:pStyle w:val="TableParagraph"/>
              <w:spacing w:line="152" w:lineRule="exact"/>
              <w:ind w:left="61" w:right="68"/>
              <w:rPr>
                <w:sz w:val="13"/>
              </w:rPr>
            </w:pPr>
            <w:r>
              <w:rPr>
                <w:color w:val="231F20"/>
                <w:spacing w:val="-2"/>
                <w:sz w:val="13"/>
              </w:rPr>
              <w:t>0.60502</w:t>
            </w:r>
          </w:p>
        </w:tc>
        <w:tc>
          <w:tcPr>
            <w:tcW w:w="629" w:type="dxa"/>
          </w:tcPr>
          <w:p>
            <w:pPr>
              <w:pStyle w:val="TableParagraph"/>
              <w:spacing w:line="152" w:lineRule="exact"/>
              <w:ind w:left="75" w:right="68"/>
              <w:rPr>
                <w:sz w:val="13"/>
              </w:rPr>
            </w:pPr>
            <w:r>
              <w:rPr>
                <w:color w:val="231F20"/>
                <w:spacing w:val="-2"/>
                <w:sz w:val="13"/>
              </w:rPr>
              <w:t>0.51337</w:t>
            </w:r>
          </w:p>
        </w:tc>
        <w:tc>
          <w:tcPr>
            <w:tcW w:w="634" w:type="dxa"/>
          </w:tcPr>
          <w:p>
            <w:pPr>
              <w:pStyle w:val="TableParagraph"/>
              <w:spacing w:line="152" w:lineRule="exact"/>
              <w:ind w:left="70" w:right="65"/>
              <w:rPr>
                <w:sz w:val="13"/>
              </w:rPr>
            </w:pPr>
            <w:r>
              <w:rPr>
                <w:color w:val="231F20"/>
                <w:spacing w:val="-2"/>
                <w:sz w:val="13"/>
              </w:rPr>
              <w:t>0.43630</w:t>
            </w:r>
          </w:p>
        </w:tc>
        <w:tc>
          <w:tcPr>
            <w:tcW w:w="624" w:type="dxa"/>
          </w:tcPr>
          <w:p>
            <w:pPr>
              <w:pStyle w:val="TableParagraph"/>
              <w:spacing w:line="152" w:lineRule="exact"/>
              <w:ind w:left="77" w:right="50"/>
              <w:rPr>
                <w:sz w:val="13"/>
              </w:rPr>
            </w:pPr>
            <w:r>
              <w:rPr>
                <w:color w:val="231F20"/>
                <w:spacing w:val="-2"/>
                <w:sz w:val="13"/>
              </w:rPr>
              <w:t>0.37136</w:t>
            </w:r>
          </w:p>
        </w:tc>
        <w:tc>
          <w:tcPr>
            <w:tcW w:w="634" w:type="dxa"/>
          </w:tcPr>
          <w:p>
            <w:pPr>
              <w:pStyle w:val="TableParagraph"/>
              <w:spacing w:line="152" w:lineRule="exact"/>
              <w:ind w:left="61" w:right="69"/>
              <w:rPr>
                <w:sz w:val="13"/>
              </w:rPr>
            </w:pPr>
            <w:r>
              <w:rPr>
                <w:color w:val="231F20"/>
                <w:spacing w:val="-2"/>
                <w:sz w:val="13"/>
              </w:rPr>
              <w:t>0.31657</w:t>
            </w:r>
          </w:p>
        </w:tc>
        <w:tc>
          <w:tcPr>
            <w:tcW w:w="639" w:type="dxa"/>
          </w:tcPr>
          <w:p>
            <w:pPr>
              <w:pStyle w:val="TableParagraph"/>
              <w:spacing w:line="152" w:lineRule="exact"/>
              <w:ind w:left="94" w:right="58"/>
              <w:rPr>
                <w:sz w:val="13"/>
              </w:rPr>
            </w:pPr>
            <w:r>
              <w:rPr>
                <w:color w:val="231F20"/>
                <w:spacing w:val="-2"/>
                <w:sz w:val="13"/>
              </w:rPr>
              <w:t>0.27027</w:t>
            </w:r>
          </w:p>
        </w:tc>
        <w:tc>
          <w:tcPr>
            <w:tcW w:w="648" w:type="dxa"/>
          </w:tcPr>
          <w:p>
            <w:pPr>
              <w:pStyle w:val="TableParagraph"/>
              <w:spacing w:line="152" w:lineRule="exact"/>
              <w:ind w:left="77" w:right="85"/>
              <w:rPr>
                <w:sz w:val="13"/>
              </w:rPr>
            </w:pPr>
            <w:r>
              <w:rPr>
                <w:color w:val="231F20"/>
                <w:spacing w:val="-2"/>
                <w:sz w:val="13"/>
              </w:rPr>
              <w:t>0.23107</w:t>
            </w:r>
          </w:p>
        </w:tc>
        <w:tc>
          <w:tcPr>
            <w:tcW w:w="549" w:type="dxa"/>
          </w:tcPr>
          <w:p>
            <w:pPr>
              <w:pStyle w:val="TableParagraph"/>
              <w:spacing w:line="152" w:lineRule="exact"/>
              <w:ind w:left="38" w:right="26"/>
              <w:rPr>
                <w:sz w:val="13"/>
              </w:rPr>
            </w:pPr>
            <w:r>
              <w:rPr>
                <w:color w:val="231F20"/>
                <w:spacing w:val="-2"/>
                <w:sz w:val="13"/>
              </w:rPr>
              <w:t>0.19784</w:t>
            </w:r>
          </w:p>
        </w:tc>
        <w:tc>
          <w:tcPr>
            <w:tcW w:w="670" w:type="dxa"/>
          </w:tcPr>
          <w:p>
            <w:pPr>
              <w:pStyle w:val="TableParagraph"/>
              <w:spacing w:line="152" w:lineRule="exact"/>
              <w:ind w:left="129" w:right="55"/>
              <w:rPr>
                <w:sz w:val="13"/>
              </w:rPr>
            </w:pPr>
            <w:r>
              <w:rPr>
                <w:color w:val="231F20"/>
                <w:spacing w:val="-2"/>
                <w:sz w:val="13"/>
              </w:rPr>
              <w:t>0.14564</w:t>
            </w:r>
          </w:p>
        </w:tc>
        <w:tc>
          <w:tcPr>
            <w:tcW w:w="634" w:type="dxa"/>
          </w:tcPr>
          <w:p>
            <w:pPr>
              <w:pStyle w:val="TableParagraph"/>
              <w:spacing w:line="152" w:lineRule="exact"/>
              <w:ind w:left="70" w:right="60"/>
              <w:rPr>
                <w:sz w:val="13"/>
              </w:rPr>
            </w:pPr>
            <w:r>
              <w:rPr>
                <w:color w:val="231F20"/>
                <w:spacing w:val="-2"/>
                <w:sz w:val="13"/>
              </w:rPr>
              <w:t>0.10780</w:t>
            </w:r>
          </w:p>
        </w:tc>
        <w:tc>
          <w:tcPr>
            <w:tcW w:w="639" w:type="dxa"/>
          </w:tcPr>
          <w:p>
            <w:pPr>
              <w:pStyle w:val="TableParagraph"/>
              <w:spacing w:line="152" w:lineRule="exact"/>
              <w:ind w:left="95" w:right="58"/>
              <w:rPr>
                <w:sz w:val="13"/>
              </w:rPr>
            </w:pPr>
            <w:r>
              <w:rPr>
                <w:color w:val="231F20"/>
                <w:spacing w:val="-2"/>
                <w:sz w:val="13"/>
              </w:rPr>
              <w:t>0.09293</w:t>
            </w:r>
          </w:p>
        </w:tc>
        <w:tc>
          <w:tcPr>
            <w:tcW w:w="624" w:type="dxa"/>
          </w:tcPr>
          <w:p>
            <w:pPr>
              <w:pStyle w:val="TableParagraph"/>
              <w:spacing w:line="152" w:lineRule="exact"/>
              <w:ind w:left="82" w:right="48"/>
              <w:rPr>
                <w:sz w:val="13"/>
              </w:rPr>
            </w:pPr>
            <w:r>
              <w:rPr>
                <w:color w:val="231F20"/>
                <w:spacing w:val="-2"/>
                <w:sz w:val="13"/>
              </w:rPr>
              <w:t>0.08021</w:t>
            </w:r>
          </w:p>
        </w:tc>
        <w:tc>
          <w:tcPr>
            <w:tcW w:w="624" w:type="dxa"/>
          </w:tcPr>
          <w:p>
            <w:pPr>
              <w:pStyle w:val="TableParagraph"/>
              <w:spacing w:line="152" w:lineRule="exact"/>
              <w:ind w:left="76" w:right="50"/>
              <w:rPr>
                <w:sz w:val="13"/>
              </w:rPr>
            </w:pPr>
            <w:r>
              <w:rPr>
                <w:color w:val="231F20"/>
                <w:spacing w:val="-2"/>
                <w:sz w:val="13"/>
              </w:rPr>
              <w:t>0.05998</w:t>
            </w:r>
          </w:p>
        </w:tc>
        <w:tc>
          <w:tcPr>
            <w:tcW w:w="624" w:type="dxa"/>
          </w:tcPr>
          <w:p>
            <w:pPr>
              <w:pStyle w:val="TableParagraph"/>
              <w:spacing w:line="152" w:lineRule="exact"/>
              <w:ind w:left="82" w:right="43"/>
              <w:rPr>
                <w:sz w:val="13"/>
              </w:rPr>
            </w:pPr>
            <w:r>
              <w:rPr>
                <w:color w:val="231F20"/>
                <w:spacing w:val="-2"/>
                <w:sz w:val="13"/>
              </w:rPr>
              <w:t>0.04507</w:t>
            </w:r>
          </w:p>
        </w:tc>
        <w:tc>
          <w:tcPr>
            <w:tcW w:w="577" w:type="dxa"/>
          </w:tcPr>
          <w:p>
            <w:pPr>
              <w:pStyle w:val="TableParagraph"/>
              <w:spacing w:line="152" w:lineRule="exact"/>
              <w:ind w:left="85" w:right="7"/>
              <w:rPr>
                <w:sz w:val="13"/>
              </w:rPr>
            </w:pPr>
            <w:r>
              <w:rPr>
                <w:color w:val="231F20"/>
                <w:spacing w:val="-2"/>
                <w:sz w:val="13"/>
              </w:rPr>
              <w:t>0.02252</w:t>
            </w:r>
          </w:p>
        </w:tc>
      </w:tr>
      <w:tr>
        <w:trPr>
          <w:trHeight w:val="189" w:hRule="atLeast"/>
        </w:trPr>
        <w:tc>
          <w:tcPr>
            <w:tcW w:w="331" w:type="dxa"/>
          </w:tcPr>
          <w:p>
            <w:pPr>
              <w:pStyle w:val="TableParagraph"/>
              <w:spacing w:line="152" w:lineRule="exact"/>
              <w:ind w:left="20" w:right="20"/>
              <w:rPr>
                <w:sz w:val="13"/>
              </w:rPr>
            </w:pPr>
            <w:r>
              <w:rPr>
                <w:color w:val="231F20"/>
                <w:spacing w:val="-5"/>
                <w:sz w:val="13"/>
              </w:rPr>
              <w:t>18</w:t>
            </w:r>
          </w:p>
        </w:tc>
        <w:tc>
          <w:tcPr>
            <w:tcW w:w="636" w:type="dxa"/>
          </w:tcPr>
          <w:p>
            <w:pPr>
              <w:pStyle w:val="TableParagraph"/>
              <w:spacing w:line="152" w:lineRule="exact"/>
              <w:ind w:left="83" w:right="65"/>
              <w:rPr>
                <w:sz w:val="13"/>
              </w:rPr>
            </w:pPr>
            <w:r>
              <w:rPr>
                <w:color w:val="231F20"/>
                <w:spacing w:val="-2"/>
                <w:sz w:val="13"/>
              </w:rPr>
              <w:t>0.83602</w:t>
            </w:r>
          </w:p>
        </w:tc>
        <w:tc>
          <w:tcPr>
            <w:tcW w:w="609" w:type="dxa"/>
          </w:tcPr>
          <w:p>
            <w:pPr>
              <w:pStyle w:val="TableParagraph"/>
              <w:spacing w:line="152" w:lineRule="exact"/>
              <w:ind w:left="68" w:right="55"/>
              <w:rPr>
                <w:sz w:val="13"/>
              </w:rPr>
            </w:pPr>
            <w:r>
              <w:rPr>
                <w:color w:val="231F20"/>
                <w:spacing w:val="-2"/>
                <w:sz w:val="13"/>
              </w:rPr>
              <w:t>0.70016</w:t>
            </w:r>
          </w:p>
        </w:tc>
        <w:tc>
          <w:tcPr>
            <w:tcW w:w="614" w:type="dxa"/>
          </w:tcPr>
          <w:p>
            <w:pPr>
              <w:pStyle w:val="TableParagraph"/>
              <w:spacing w:line="152" w:lineRule="exact"/>
              <w:ind w:left="61" w:right="68"/>
              <w:rPr>
                <w:sz w:val="13"/>
              </w:rPr>
            </w:pPr>
            <w:r>
              <w:rPr>
                <w:color w:val="231F20"/>
                <w:spacing w:val="-2"/>
                <w:sz w:val="13"/>
              </w:rPr>
              <w:t>0.58739</w:t>
            </w:r>
          </w:p>
        </w:tc>
        <w:tc>
          <w:tcPr>
            <w:tcW w:w="629" w:type="dxa"/>
          </w:tcPr>
          <w:p>
            <w:pPr>
              <w:pStyle w:val="TableParagraph"/>
              <w:spacing w:line="152" w:lineRule="exact"/>
              <w:ind w:left="75" w:right="68"/>
              <w:rPr>
                <w:sz w:val="13"/>
              </w:rPr>
            </w:pPr>
            <w:r>
              <w:rPr>
                <w:color w:val="231F20"/>
                <w:spacing w:val="-2"/>
                <w:sz w:val="13"/>
              </w:rPr>
              <w:t>0.49363</w:t>
            </w:r>
          </w:p>
        </w:tc>
        <w:tc>
          <w:tcPr>
            <w:tcW w:w="634" w:type="dxa"/>
          </w:tcPr>
          <w:p>
            <w:pPr>
              <w:pStyle w:val="TableParagraph"/>
              <w:spacing w:line="152" w:lineRule="exact"/>
              <w:ind w:left="70" w:right="65"/>
              <w:rPr>
                <w:sz w:val="13"/>
              </w:rPr>
            </w:pPr>
            <w:r>
              <w:rPr>
                <w:color w:val="231F20"/>
                <w:spacing w:val="-2"/>
                <w:sz w:val="13"/>
              </w:rPr>
              <w:t>0.41552</w:t>
            </w:r>
          </w:p>
        </w:tc>
        <w:tc>
          <w:tcPr>
            <w:tcW w:w="624" w:type="dxa"/>
          </w:tcPr>
          <w:p>
            <w:pPr>
              <w:pStyle w:val="TableParagraph"/>
              <w:spacing w:line="152" w:lineRule="exact"/>
              <w:ind w:left="77" w:right="50"/>
              <w:rPr>
                <w:sz w:val="13"/>
              </w:rPr>
            </w:pPr>
            <w:r>
              <w:rPr>
                <w:color w:val="231F20"/>
                <w:spacing w:val="-2"/>
                <w:sz w:val="13"/>
              </w:rPr>
              <w:t>0.35034</w:t>
            </w:r>
          </w:p>
        </w:tc>
        <w:tc>
          <w:tcPr>
            <w:tcW w:w="634" w:type="dxa"/>
          </w:tcPr>
          <w:p>
            <w:pPr>
              <w:pStyle w:val="TableParagraph"/>
              <w:spacing w:line="152" w:lineRule="exact"/>
              <w:ind w:left="61" w:right="69"/>
              <w:rPr>
                <w:sz w:val="13"/>
              </w:rPr>
            </w:pPr>
            <w:r>
              <w:rPr>
                <w:color w:val="231F20"/>
                <w:spacing w:val="-2"/>
                <w:sz w:val="13"/>
              </w:rPr>
              <w:t>0.29586</w:t>
            </w:r>
          </w:p>
        </w:tc>
        <w:tc>
          <w:tcPr>
            <w:tcW w:w="639" w:type="dxa"/>
          </w:tcPr>
          <w:p>
            <w:pPr>
              <w:pStyle w:val="TableParagraph"/>
              <w:spacing w:line="152" w:lineRule="exact"/>
              <w:ind w:left="94" w:right="58"/>
              <w:rPr>
                <w:sz w:val="13"/>
              </w:rPr>
            </w:pPr>
            <w:r>
              <w:rPr>
                <w:color w:val="231F20"/>
                <w:spacing w:val="-2"/>
                <w:sz w:val="13"/>
              </w:rPr>
              <w:t>0.25025</w:t>
            </w:r>
          </w:p>
        </w:tc>
        <w:tc>
          <w:tcPr>
            <w:tcW w:w="648" w:type="dxa"/>
          </w:tcPr>
          <w:p>
            <w:pPr>
              <w:pStyle w:val="TableParagraph"/>
              <w:spacing w:line="152" w:lineRule="exact"/>
              <w:ind w:left="77" w:right="85"/>
              <w:rPr>
                <w:sz w:val="13"/>
              </w:rPr>
            </w:pPr>
            <w:r>
              <w:rPr>
                <w:color w:val="231F20"/>
                <w:spacing w:val="-2"/>
                <w:sz w:val="13"/>
              </w:rPr>
              <w:t>0.21199</w:t>
            </w:r>
          </w:p>
        </w:tc>
        <w:tc>
          <w:tcPr>
            <w:tcW w:w="549" w:type="dxa"/>
          </w:tcPr>
          <w:p>
            <w:pPr>
              <w:pStyle w:val="TableParagraph"/>
              <w:spacing w:line="152" w:lineRule="exact"/>
              <w:ind w:left="38" w:right="26"/>
              <w:rPr>
                <w:sz w:val="13"/>
              </w:rPr>
            </w:pPr>
            <w:r>
              <w:rPr>
                <w:color w:val="231F20"/>
                <w:spacing w:val="-2"/>
                <w:sz w:val="13"/>
              </w:rPr>
              <w:t>0.17986</w:t>
            </w:r>
          </w:p>
        </w:tc>
        <w:tc>
          <w:tcPr>
            <w:tcW w:w="670" w:type="dxa"/>
          </w:tcPr>
          <w:p>
            <w:pPr>
              <w:pStyle w:val="TableParagraph"/>
              <w:spacing w:line="152" w:lineRule="exact"/>
              <w:ind w:left="129" w:right="55"/>
              <w:rPr>
                <w:sz w:val="13"/>
              </w:rPr>
            </w:pPr>
            <w:r>
              <w:rPr>
                <w:color w:val="231F20"/>
                <w:spacing w:val="-2"/>
                <w:sz w:val="13"/>
              </w:rPr>
              <w:t>0.13004</w:t>
            </w:r>
          </w:p>
        </w:tc>
        <w:tc>
          <w:tcPr>
            <w:tcW w:w="634" w:type="dxa"/>
          </w:tcPr>
          <w:p>
            <w:pPr>
              <w:pStyle w:val="TableParagraph"/>
              <w:spacing w:line="152" w:lineRule="exact"/>
              <w:ind w:left="70" w:right="60"/>
              <w:rPr>
                <w:sz w:val="13"/>
              </w:rPr>
            </w:pPr>
            <w:r>
              <w:rPr>
                <w:color w:val="231F20"/>
                <w:spacing w:val="-2"/>
                <w:sz w:val="13"/>
              </w:rPr>
              <w:t>0.09456</w:t>
            </w:r>
          </w:p>
        </w:tc>
        <w:tc>
          <w:tcPr>
            <w:tcW w:w="639" w:type="dxa"/>
          </w:tcPr>
          <w:p>
            <w:pPr>
              <w:pStyle w:val="TableParagraph"/>
              <w:spacing w:line="152" w:lineRule="exact"/>
              <w:ind w:left="95" w:right="58"/>
              <w:rPr>
                <w:sz w:val="13"/>
              </w:rPr>
            </w:pPr>
            <w:r>
              <w:rPr>
                <w:color w:val="231F20"/>
                <w:spacing w:val="-2"/>
                <w:sz w:val="13"/>
              </w:rPr>
              <w:t>0.08081</w:t>
            </w:r>
          </w:p>
        </w:tc>
        <w:tc>
          <w:tcPr>
            <w:tcW w:w="624" w:type="dxa"/>
          </w:tcPr>
          <w:p>
            <w:pPr>
              <w:pStyle w:val="TableParagraph"/>
              <w:spacing w:line="152" w:lineRule="exact"/>
              <w:ind w:left="82" w:right="48"/>
              <w:rPr>
                <w:sz w:val="13"/>
              </w:rPr>
            </w:pPr>
            <w:r>
              <w:rPr>
                <w:color w:val="231F20"/>
                <w:spacing w:val="-2"/>
                <w:sz w:val="13"/>
              </w:rPr>
              <w:t>0.06914</w:t>
            </w:r>
          </w:p>
        </w:tc>
        <w:tc>
          <w:tcPr>
            <w:tcW w:w="624" w:type="dxa"/>
          </w:tcPr>
          <w:p>
            <w:pPr>
              <w:pStyle w:val="TableParagraph"/>
              <w:spacing w:line="152" w:lineRule="exact"/>
              <w:ind w:left="76" w:right="50"/>
              <w:rPr>
                <w:sz w:val="13"/>
              </w:rPr>
            </w:pPr>
            <w:r>
              <w:rPr>
                <w:color w:val="231F20"/>
                <w:spacing w:val="-2"/>
                <w:sz w:val="13"/>
              </w:rPr>
              <w:t>0.05083</w:t>
            </w:r>
          </w:p>
        </w:tc>
        <w:tc>
          <w:tcPr>
            <w:tcW w:w="624" w:type="dxa"/>
          </w:tcPr>
          <w:p>
            <w:pPr>
              <w:pStyle w:val="TableParagraph"/>
              <w:spacing w:line="152" w:lineRule="exact"/>
              <w:ind w:left="82" w:right="43"/>
              <w:rPr>
                <w:sz w:val="13"/>
              </w:rPr>
            </w:pPr>
            <w:r>
              <w:rPr>
                <w:color w:val="231F20"/>
                <w:spacing w:val="-2"/>
                <w:sz w:val="13"/>
              </w:rPr>
              <w:t>0.03756</w:t>
            </w:r>
          </w:p>
        </w:tc>
        <w:tc>
          <w:tcPr>
            <w:tcW w:w="577" w:type="dxa"/>
          </w:tcPr>
          <w:p>
            <w:pPr>
              <w:pStyle w:val="TableParagraph"/>
              <w:spacing w:line="152" w:lineRule="exact"/>
              <w:ind w:left="85" w:right="7"/>
              <w:rPr>
                <w:sz w:val="13"/>
              </w:rPr>
            </w:pPr>
            <w:r>
              <w:rPr>
                <w:color w:val="231F20"/>
                <w:spacing w:val="-2"/>
                <w:sz w:val="13"/>
              </w:rPr>
              <w:t>0.01801</w:t>
            </w:r>
          </w:p>
        </w:tc>
      </w:tr>
      <w:tr>
        <w:trPr>
          <w:trHeight w:val="189" w:hRule="atLeast"/>
        </w:trPr>
        <w:tc>
          <w:tcPr>
            <w:tcW w:w="331" w:type="dxa"/>
          </w:tcPr>
          <w:p>
            <w:pPr>
              <w:pStyle w:val="TableParagraph"/>
              <w:spacing w:line="152" w:lineRule="exact"/>
              <w:ind w:left="20" w:right="20"/>
              <w:rPr>
                <w:sz w:val="13"/>
              </w:rPr>
            </w:pPr>
            <w:r>
              <w:rPr>
                <w:color w:val="231F20"/>
                <w:spacing w:val="-5"/>
                <w:sz w:val="13"/>
              </w:rPr>
              <w:t>19</w:t>
            </w:r>
          </w:p>
        </w:tc>
        <w:tc>
          <w:tcPr>
            <w:tcW w:w="636" w:type="dxa"/>
          </w:tcPr>
          <w:p>
            <w:pPr>
              <w:pStyle w:val="TableParagraph"/>
              <w:spacing w:line="152" w:lineRule="exact"/>
              <w:ind w:left="83" w:right="65"/>
              <w:rPr>
                <w:sz w:val="13"/>
              </w:rPr>
            </w:pPr>
            <w:r>
              <w:rPr>
                <w:color w:val="231F20"/>
                <w:spacing w:val="-2"/>
                <w:sz w:val="13"/>
              </w:rPr>
              <w:t>0.82774</w:t>
            </w:r>
          </w:p>
        </w:tc>
        <w:tc>
          <w:tcPr>
            <w:tcW w:w="609" w:type="dxa"/>
          </w:tcPr>
          <w:p>
            <w:pPr>
              <w:pStyle w:val="TableParagraph"/>
              <w:spacing w:line="152" w:lineRule="exact"/>
              <w:ind w:left="68" w:right="55"/>
              <w:rPr>
                <w:sz w:val="13"/>
              </w:rPr>
            </w:pPr>
            <w:r>
              <w:rPr>
                <w:color w:val="231F20"/>
                <w:spacing w:val="-2"/>
                <w:sz w:val="13"/>
              </w:rPr>
              <w:t>0.68643</w:t>
            </w:r>
          </w:p>
        </w:tc>
        <w:tc>
          <w:tcPr>
            <w:tcW w:w="614" w:type="dxa"/>
          </w:tcPr>
          <w:p>
            <w:pPr>
              <w:pStyle w:val="TableParagraph"/>
              <w:spacing w:line="152" w:lineRule="exact"/>
              <w:ind w:left="61" w:right="68"/>
              <w:rPr>
                <w:sz w:val="13"/>
              </w:rPr>
            </w:pPr>
            <w:r>
              <w:rPr>
                <w:color w:val="231F20"/>
                <w:spacing w:val="-2"/>
                <w:sz w:val="13"/>
              </w:rPr>
              <w:t>0.57029</w:t>
            </w:r>
          </w:p>
        </w:tc>
        <w:tc>
          <w:tcPr>
            <w:tcW w:w="629" w:type="dxa"/>
          </w:tcPr>
          <w:p>
            <w:pPr>
              <w:pStyle w:val="TableParagraph"/>
              <w:spacing w:line="152" w:lineRule="exact"/>
              <w:ind w:left="75" w:right="68"/>
              <w:rPr>
                <w:sz w:val="13"/>
              </w:rPr>
            </w:pPr>
            <w:r>
              <w:rPr>
                <w:color w:val="231F20"/>
                <w:spacing w:val="-2"/>
                <w:sz w:val="13"/>
              </w:rPr>
              <w:t>0.47464</w:t>
            </w:r>
          </w:p>
        </w:tc>
        <w:tc>
          <w:tcPr>
            <w:tcW w:w="634" w:type="dxa"/>
          </w:tcPr>
          <w:p>
            <w:pPr>
              <w:pStyle w:val="TableParagraph"/>
              <w:spacing w:line="152" w:lineRule="exact"/>
              <w:ind w:left="70" w:right="65"/>
              <w:rPr>
                <w:sz w:val="13"/>
              </w:rPr>
            </w:pPr>
            <w:r>
              <w:rPr>
                <w:color w:val="231F20"/>
                <w:spacing w:val="-2"/>
                <w:sz w:val="13"/>
              </w:rPr>
              <w:t>0.39573</w:t>
            </w:r>
          </w:p>
        </w:tc>
        <w:tc>
          <w:tcPr>
            <w:tcW w:w="624" w:type="dxa"/>
          </w:tcPr>
          <w:p>
            <w:pPr>
              <w:pStyle w:val="TableParagraph"/>
              <w:spacing w:line="152" w:lineRule="exact"/>
              <w:ind w:left="77" w:right="50"/>
              <w:rPr>
                <w:sz w:val="13"/>
              </w:rPr>
            </w:pPr>
            <w:r>
              <w:rPr>
                <w:color w:val="231F20"/>
                <w:spacing w:val="-2"/>
                <w:sz w:val="13"/>
              </w:rPr>
              <w:t>0.33051</w:t>
            </w:r>
          </w:p>
        </w:tc>
        <w:tc>
          <w:tcPr>
            <w:tcW w:w="634" w:type="dxa"/>
          </w:tcPr>
          <w:p>
            <w:pPr>
              <w:pStyle w:val="TableParagraph"/>
              <w:spacing w:line="152" w:lineRule="exact"/>
              <w:ind w:left="61" w:right="69"/>
              <w:rPr>
                <w:sz w:val="13"/>
              </w:rPr>
            </w:pPr>
            <w:r>
              <w:rPr>
                <w:color w:val="231F20"/>
                <w:spacing w:val="-2"/>
                <w:sz w:val="13"/>
              </w:rPr>
              <w:t>0.27651</w:t>
            </w:r>
          </w:p>
        </w:tc>
        <w:tc>
          <w:tcPr>
            <w:tcW w:w="639" w:type="dxa"/>
          </w:tcPr>
          <w:p>
            <w:pPr>
              <w:pStyle w:val="TableParagraph"/>
              <w:spacing w:line="152" w:lineRule="exact"/>
              <w:ind w:left="94" w:right="58"/>
              <w:rPr>
                <w:sz w:val="13"/>
              </w:rPr>
            </w:pPr>
            <w:r>
              <w:rPr>
                <w:color w:val="231F20"/>
                <w:spacing w:val="-2"/>
                <w:sz w:val="13"/>
              </w:rPr>
              <w:t>0.23171</w:t>
            </w:r>
          </w:p>
        </w:tc>
        <w:tc>
          <w:tcPr>
            <w:tcW w:w="648" w:type="dxa"/>
          </w:tcPr>
          <w:p>
            <w:pPr>
              <w:pStyle w:val="TableParagraph"/>
              <w:spacing w:line="152" w:lineRule="exact"/>
              <w:ind w:left="77" w:right="85"/>
              <w:rPr>
                <w:sz w:val="13"/>
              </w:rPr>
            </w:pPr>
            <w:r>
              <w:rPr>
                <w:color w:val="231F20"/>
                <w:spacing w:val="-2"/>
                <w:sz w:val="13"/>
              </w:rPr>
              <w:t>0.19449</w:t>
            </w:r>
          </w:p>
        </w:tc>
        <w:tc>
          <w:tcPr>
            <w:tcW w:w="549" w:type="dxa"/>
          </w:tcPr>
          <w:p>
            <w:pPr>
              <w:pStyle w:val="TableParagraph"/>
              <w:spacing w:line="152" w:lineRule="exact"/>
              <w:ind w:left="38" w:right="26"/>
              <w:rPr>
                <w:sz w:val="13"/>
              </w:rPr>
            </w:pPr>
            <w:r>
              <w:rPr>
                <w:color w:val="231F20"/>
                <w:spacing w:val="-2"/>
                <w:sz w:val="13"/>
              </w:rPr>
              <w:t>0.16351</w:t>
            </w:r>
          </w:p>
        </w:tc>
        <w:tc>
          <w:tcPr>
            <w:tcW w:w="670" w:type="dxa"/>
          </w:tcPr>
          <w:p>
            <w:pPr>
              <w:pStyle w:val="TableParagraph"/>
              <w:spacing w:line="152" w:lineRule="exact"/>
              <w:ind w:left="129" w:right="55"/>
              <w:rPr>
                <w:sz w:val="13"/>
              </w:rPr>
            </w:pPr>
            <w:r>
              <w:rPr>
                <w:color w:val="231F20"/>
                <w:spacing w:val="-2"/>
                <w:sz w:val="13"/>
              </w:rPr>
              <w:t>0.11611</w:t>
            </w:r>
          </w:p>
        </w:tc>
        <w:tc>
          <w:tcPr>
            <w:tcW w:w="634" w:type="dxa"/>
          </w:tcPr>
          <w:p>
            <w:pPr>
              <w:pStyle w:val="TableParagraph"/>
              <w:spacing w:line="152" w:lineRule="exact"/>
              <w:ind w:left="70" w:right="60"/>
              <w:rPr>
                <w:sz w:val="13"/>
              </w:rPr>
            </w:pPr>
            <w:r>
              <w:rPr>
                <w:color w:val="231F20"/>
                <w:spacing w:val="-2"/>
                <w:sz w:val="13"/>
              </w:rPr>
              <w:t>0.08295</w:t>
            </w:r>
          </w:p>
        </w:tc>
        <w:tc>
          <w:tcPr>
            <w:tcW w:w="639" w:type="dxa"/>
          </w:tcPr>
          <w:p>
            <w:pPr>
              <w:pStyle w:val="TableParagraph"/>
              <w:spacing w:line="152" w:lineRule="exact"/>
              <w:ind w:left="95" w:right="58"/>
              <w:rPr>
                <w:sz w:val="13"/>
              </w:rPr>
            </w:pPr>
            <w:r>
              <w:rPr>
                <w:color w:val="231F20"/>
                <w:spacing w:val="-2"/>
                <w:sz w:val="13"/>
              </w:rPr>
              <w:t>0.07027</w:t>
            </w:r>
          </w:p>
        </w:tc>
        <w:tc>
          <w:tcPr>
            <w:tcW w:w="624" w:type="dxa"/>
          </w:tcPr>
          <w:p>
            <w:pPr>
              <w:pStyle w:val="TableParagraph"/>
              <w:spacing w:line="152" w:lineRule="exact"/>
              <w:ind w:left="82" w:right="48"/>
              <w:rPr>
                <w:sz w:val="13"/>
              </w:rPr>
            </w:pPr>
            <w:r>
              <w:rPr>
                <w:color w:val="231F20"/>
                <w:spacing w:val="-2"/>
                <w:sz w:val="13"/>
              </w:rPr>
              <w:t>0.05961</w:t>
            </w:r>
          </w:p>
        </w:tc>
        <w:tc>
          <w:tcPr>
            <w:tcW w:w="624" w:type="dxa"/>
          </w:tcPr>
          <w:p>
            <w:pPr>
              <w:pStyle w:val="TableParagraph"/>
              <w:spacing w:line="152" w:lineRule="exact"/>
              <w:ind w:left="76" w:right="50"/>
              <w:rPr>
                <w:sz w:val="13"/>
              </w:rPr>
            </w:pPr>
            <w:r>
              <w:rPr>
                <w:color w:val="231F20"/>
                <w:spacing w:val="-2"/>
                <w:sz w:val="13"/>
              </w:rPr>
              <w:t>0.04308</w:t>
            </w:r>
          </w:p>
        </w:tc>
        <w:tc>
          <w:tcPr>
            <w:tcW w:w="624" w:type="dxa"/>
          </w:tcPr>
          <w:p>
            <w:pPr>
              <w:pStyle w:val="TableParagraph"/>
              <w:spacing w:line="152" w:lineRule="exact"/>
              <w:ind w:left="82" w:right="43"/>
              <w:rPr>
                <w:sz w:val="13"/>
              </w:rPr>
            </w:pPr>
            <w:r>
              <w:rPr>
                <w:color w:val="231F20"/>
                <w:spacing w:val="-2"/>
                <w:sz w:val="13"/>
              </w:rPr>
              <w:t>0.03130</w:t>
            </w:r>
          </w:p>
        </w:tc>
        <w:tc>
          <w:tcPr>
            <w:tcW w:w="577" w:type="dxa"/>
          </w:tcPr>
          <w:p>
            <w:pPr>
              <w:pStyle w:val="TableParagraph"/>
              <w:spacing w:line="152" w:lineRule="exact"/>
              <w:ind w:left="85" w:right="7"/>
              <w:rPr>
                <w:sz w:val="13"/>
              </w:rPr>
            </w:pPr>
            <w:r>
              <w:rPr>
                <w:color w:val="231F20"/>
                <w:spacing w:val="-2"/>
                <w:sz w:val="13"/>
              </w:rPr>
              <w:t>0.01441</w:t>
            </w:r>
          </w:p>
        </w:tc>
      </w:tr>
      <w:tr>
        <w:trPr>
          <w:trHeight w:val="237" w:hRule="atLeast"/>
        </w:trPr>
        <w:tc>
          <w:tcPr>
            <w:tcW w:w="331" w:type="dxa"/>
          </w:tcPr>
          <w:p>
            <w:pPr>
              <w:pStyle w:val="TableParagraph"/>
              <w:ind w:left="20" w:right="20"/>
              <w:rPr>
                <w:sz w:val="13"/>
              </w:rPr>
            </w:pPr>
            <w:r>
              <w:rPr>
                <w:color w:val="231F20"/>
                <w:spacing w:val="-5"/>
                <w:sz w:val="13"/>
              </w:rPr>
              <w:t>20</w:t>
            </w:r>
          </w:p>
        </w:tc>
        <w:tc>
          <w:tcPr>
            <w:tcW w:w="636" w:type="dxa"/>
          </w:tcPr>
          <w:p>
            <w:pPr>
              <w:pStyle w:val="TableParagraph"/>
              <w:ind w:left="83" w:right="65"/>
              <w:rPr>
                <w:sz w:val="13"/>
              </w:rPr>
            </w:pPr>
            <w:r>
              <w:rPr>
                <w:color w:val="231F20"/>
                <w:spacing w:val="-2"/>
                <w:sz w:val="13"/>
              </w:rPr>
              <w:t>0.81954</w:t>
            </w:r>
          </w:p>
        </w:tc>
        <w:tc>
          <w:tcPr>
            <w:tcW w:w="609" w:type="dxa"/>
          </w:tcPr>
          <w:p>
            <w:pPr>
              <w:pStyle w:val="TableParagraph"/>
              <w:ind w:left="68" w:right="55"/>
              <w:rPr>
                <w:sz w:val="13"/>
              </w:rPr>
            </w:pPr>
            <w:r>
              <w:rPr>
                <w:color w:val="231F20"/>
                <w:spacing w:val="-2"/>
                <w:sz w:val="13"/>
              </w:rPr>
              <w:t>0.67297</w:t>
            </w:r>
          </w:p>
        </w:tc>
        <w:tc>
          <w:tcPr>
            <w:tcW w:w="614" w:type="dxa"/>
          </w:tcPr>
          <w:p>
            <w:pPr>
              <w:pStyle w:val="TableParagraph"/>
              <w:ind w:left="61" w:right="68"/>
              <w:rPr>
                <w:sz w:val="13"/>
              </w:rPr>
            </w:pPr>
            <w:r>
              <w:rPr>
                <w:color w:val="231F20"/>
                <w:spacing w:val="-2"/>
                <w:sz w:val="13"/>
              </w:rPr>
              <w:t>0.55368</w:t>
            </w:r>
          </w:p>
        </w:tc>
        <w:tc>
          <w:tcPr>
            <w:tcW w:w="629" w:type="dxa"/>
          </w:tcPr>
          <w:p>
            <w:pPr>
              <w:pStyle w:val="TableParagraph"/>
              <w:ind w:left="75" w:right="68"/>
              <w:rPr>
                <w:sz w:val="13"/>
              </w:rPr>
            </w:pPr>
            <w:r>
              <w:rPr>
                <w:color w:val="231F20"/>
                <w:spacing w:val="-2"/>
                <w:sz w:val="13"/>
              </w:rPr>
              <w:t>0.45639</w:t>
            </w:r>
          </w:p>
        </w:tc>
        <w:tc>
          <w:tcPr>
            <w:tcW w:w="634" w:type="dxa"/>
          </w:tcPr>
          <w:p>
            <w:pPr>
              <w:pStyle w:val="TableParagraph"/>
              <w:ind w:left="70" w:right="65"/>
              <w:rPr>
                <w:sz w:val="13"/>
              </w:rPr>
            </w:pPr>
            <w:r>
              <w:rPr>
                <w:color w:val="231F20"/>
                <w:spacing w:val="-2"/>
                <w:sz w:val="13"/>
              </w:rPr>
              <w:t>0.37689</w:t>
            </w:r>
          </w:p>
        </w:tc>
        <w:tc>
          <w:tcPr>
            <w:tcW w:w="624" w:type="dxa"/>
          </w:tcPr>
          <w:p>
            <w:pPr>
              <w:pStyle w:val="TableParagraph"/>
              <w:ind w:left="77" w:right="50"/>
              <w:rPr>
                <w:sz w:val="13"/>
              </w:rPr>
            </w:pPr>
            <w:r>
              <w:rPr>
                <w:color w:val="231F20"/>
                <w:spacing w:val="-2"/>
                <w:sz w:val="13"/>
              </w:rPr>
              <w:t>0.31180</w:t>
            </w:r>
          </w:p>
        </w:tc>
        <w:tc>
          <w:tcPr>
            <w:tcW w:w="634" w:type="dxa"/>
          </w:tcPr>
          <w:p>
            <w:pPr>
              <w:pStyle w:val="TableParagraph"/>
              <w:ind w:left="61" w:right="69"/>
              <w:rPr>
                <w:sz w:val="13"/>
              </w:rPr>
            </w:pPr>
            <w:r>
              <w:rPr>
                <w:color w:val="231F20"/>
                <w:spacing w:val="-2"/>
                <w:sz w:val="13"/>
              </w:rPr>
              <w:t>0.25842</w:t>
            </w:r>
          </w:p>
        </w:tc>
        <w:tc>
          <w:tcPr>
            <w:tcW w:w="639" w:type="dxa"/>
          </w:tcPr>
          <w:p>
            <w:pPr>
              <w:pStyle w:val="TableParagraph"/>
              <w:ind w:left="94" w:right="58"/>
              <w:rPr>
                <w:sz w:val="13"/>
              </w:rPr>
            </w:pPr>
            <w:r>
              <w:rPr>
                <w:color w:val="231F20"/>
                <w:spacing w:val="-2"/>
                <w:sz w:val="13"/>
              </w:rPr>
              <w:t>0.21455</w:t>
            </w:r>
          </w:p>
        </w:tc>
        <w:tc>
          <w:tcPr>
            <w:tcW w:w="648" w:type="dxa"/>
          </w:tcPr>
          <w:p>
            <w:pPr>
              <w:pStyle w:val="TableParagraph"/>
              <w:ind w:left="77" w:right="85"/>
              <w:rPr>
                <w:sz w:val="13"/>
              </w:rPr>
            </w:pPr>
            <w:r>
              <w:rPr>
                <w:color w:val="231F20"/>
                <w:spacing w:val="-2"/>
                <w:sz w:val="13"/>
              </w:rPr>
              <w:t>0.17843</w:t>
            </w:r>
          </w:p>
        </w:tc>
        <w:tc>
          <w:tcPr>
            <w:tcW w:w="549" w:type="dxa"/>
          </w:tcPr>
          <w:p>
            <w:pPr>
              <w:pStyle w:val="TableParagraph"/>
              <w:ind w:left="38" w:right="26"/>
              <w:rPr>
                <w:sz w:val="13"/>
              </w:rPr>
            </w:pPr>
            <w:r>
              <w:rPr>
                <w:color w:val="231F20"/>
                <w:spacing w:val="-2"/>
                <w:sz w:val="13"/>
              </w:rPr>
              <w:t>0.14864</w:t>
            </w:r>
          </w:p>
        </w:tc>
        <w:tc>
          <w:tcPr>
            <w:tcW w:w="670" w:type="dxa"/>
          </w:tcPr>
          <w:p>
            <w:pPr>
              <w:pStyle w:val="TableParagraph"/>
              <w:ind w:left="129" w:right="55"/>
              <w:rPr>
                <w:sz w:val="13"/>
              </w:rPr>
            </w:pPr>
            <w:r>
              <w:rPr>
                <w:color w:val="231F20"/>
                <w:spacing w:val="-2"/>
                <w:sz w:val="13"/>
              </w:rPr>
              <w:t>0.10367</w:t>
            </w:r>
          </w:p>
        </w:tc>
        <w:tc>
          <w:tcPr>
            <w:tcW w:w="634" w:type="dxa"/>
          </w:tcPr>
          <w:p>
            <w:pPr>
              <w:pStyle w:val="TableParagraph"/>
              <w:ind w:left="70" w:right="60"/>
              <w:rPr>
                <w:sz w:val="13"/>
              </w:rPr>
            </w:pPr>
            <w:r>
              <w:rPr>
                <w:color w:val="231F20"/>
                <w:spacing w:val="-2"/>
                <w:sz w:val="13"/>
              </w:rPr>
              <w:t>0.07276</w:t>
            </w:r>
          </w:p>
        </w:tc>
        <w:tc>
          <w:tcPr>
            <w:tcW w:w="639" w:type="dxa"/>
          </w:tcPr>
          <w:p>
            <w:pPr>
              <w:pStyle w:val="TableParagraph"/>
              <w:ind w:left="95" w:right="58"/>
              <w:rPr>
                <w:sz w:val="13"/>
              </w:rPr>
            </w:pPr>
            <w:r>
              <w:rPr>
                <w:color w:val="231F20"/>
                <w:spacing w:val="-2"/>
                <w:sz w:val="13"/>
              </w:rPr>
              <w:t>0.06110</w:t>
            </w:r>
          </w:p>
        </w:tc>
        <w:tc>
          <w:tcPr>
            <w:tcW w:w="624" w:type="dxa"/>
          </w:tcPr>
          <w:p>
            <w:pPr>
              <w:pStyle w:val="TableParagraph"/>
              <w:ind w:left="82" w:right="48"/>
              <w:rPr>
                <w:sz w:val="13"/>
              </w:rPr>
            </w:pPr>
            <w:r>
              <w:rPr>
                <w:color w:val="231F20"/>
                <w:spacing w:val="-2"/>
                <w:sz w:val="13"/>
              </w:rPr>
              <w:t>0.05139</w:t>
            </w:r>
          </w:p>
        </w:tc>
        <w:tc>
          <w:tcPr>
            <w:tcW w:w="624" w:type="dxa"/>
          </w:tcPr>
          <w:p>
            <w:pPr>
              <w:pStyle w:val="TableParagraph"/>
              <w:ind w:left="76" w:right="50"/>
              <w:rPr>
                <w:sz w:val="13"/>
              </w:rPr>
            </w:pPr>
            <w:r>
              <w:rPr>
                <w:color w:val="231F20"/>
                <w:spacing w:val="-2"/>
                <w:sz w:val="13"/>
              </w:rPr>
              <w:t>0.03651</w:t>
            </w:r>
          </w:p>
        </w:tc>
        <w:tc>
          <w:tcPr>
            <w:tcW w:w="624" w:type="dxa"/>
          </w:tcPr>
          <w:p>
            <w:pPr>
              <w:pStyle w:val="TableParagraph"/>
              <w:ind w:left="82" w:right="43"/>
              <w:rPr>
                <w:sz w:val="13"/>
              </w:rPr>
            </w:pPr>
            <w:r>
              <w:rPr>
                <w:color w:val="231F20"/>
                <w:spacing w:val="-2"/>
                <w:sz w:val="13"/>
              </w:rPr>
              <w:t>0.02608</w:t>
            </w:r>
          </w:p>
        </w:tc>
        <w:tc>
          <w:tcPr>
            <w:tcW w:w="577" w:type="dxa"/>
          </w:tcPr>
          <w:p>
            <w:pPr>
              <w:pStyle w:val="TableParagraph"/>
              <w:ind w:left="85" w:right="7"/>
              <w:rPr>
                <w:sz w:val="13"/>
              </w:rPr>
            </w:pPr>
            <w:r>
              <w:rPr>
                <w:color w:val="231F20"/>
                <w:spacing w:val="-2"/>
                <w:sz w:val="13"/>
              </w:rPr>
              <w:t>0.01153</w:t>
            </w:r>
          </w:p>
        </w:tc>
      </w:tr>
      <w:tr>
        <w:trPr>
          <w:trHeight w:val="237" w:hRule="atLeast"/>
        </w:trPr>
        <w:tc>
          <w:tcPr>
            <w:tcW w:w="331" w:type="dxa"/>
          </w:tcPr>
          <w:p>
            <w:pPr>
              <w:pStyle w:val="TableParagraph"/>
              <w:spacing w:line="152" w:lineRule="exact" w:before="65"/>
              <w:ind w:left="20" w:right="20"/>
              <w:rPr>
                <w:sz w:val="13"/>
              </w:rPr>
            </w:pPr>
            <w:r>
              <w:rPr>
                <w:color w:val="231F20"/>
                <w:spacing w:val="-5"/>
                <w:sz w:val="13"/>
              </w:rPr>
              <w:t>21</w:t>
            </w:r>
          </w:p>
        </w:tc>
        <w:tc>
          <w:tcPr>
            <w:tcW w:w="636" w:type="dxa"/>
          </w:tcPr>
          <w:p>
            <w:pPr>
              <w:pStyle w:val="TableParagraph"/>
              <w:spacing w:line="152" w:lineRule="exact" w:before="65"/>
              <w:ind w:left="83" w:right="65"/>
              <w:rPr>
                <w:sz w:val="13"/>
              </w:rPr>
            </w:pPr>
            <w:r>
              <w:rPr>
                <w:color w:val="231F20"/>
                <w:spacing w:val="-2"/>
                <w:sz w:val="13"/>
              </w:rPr>
              <w:t>0.81143</w:t>
            </w:r>
          </w:p>
        </w:tc>
        <w:tc>
          <w:tcPr>
            <w:tcW w:w="609" w:type="dxa"/>
          </w:tcPr>
          <w:p>
            <w:pPr>
              <w:pStyle w:val="TableParagraph"/>
              <w:spacing w:line="152" w:lineRule="exact" w:before="65"/>
              <w:ind w:left="68" w:right="55"/>
              <w:rPr>
                <w:sz w:val="13"/>
              </w:rPr>
            </w:pPr>
            <w:r>
              <w:rPr>
                <w:color w:val="231F20"/>
                <w:spacing w:val="-2"/>
                <w:sz w:val="13"/>
              </w:rPr>
              <w:t>0.65978</w:t>
            </w:r>
          </w:p>
        </w:tc>
        <w:tc>
          <w:tcPr>
            <w:tcW w:w="614" w:type="dxa"/>
          </w:tcPr>
          <w:p>
            <w:pPr>
              <w:pStyle w:val="TableParagraph"/>
              <w:spacing w:line="152" w:lineRule="exact" w:before="65"/>
              <w:ind w:left="61" w:right="68"/>
              <w:rPr>
                <w:sz w:val="13"/>
              </w:rPr>
            </w:pPr>
            <w:r>
              <w:rPr>
                <w:color w:val="231F20"/>
                <w:spacing w:val="-2"/>
                <w:sz w:val="13"/>
              </w:rPr>
              <w:t>0.53755</w:t>
            </w:r>
          </w:p>
        </w:tc>
        <w:tc>
          <w:tcPr>
            <w:tcW w:w="629" w:type="dxa"/>
          </w:tcPr>
          <w:p>
            <w:pPr>
              <w:pStyle w:val="TableParagraph"/>
              <w:spacing w:line="152" w:lineRule="exact" w:before="65"/>
              <w:ind w:left="75" w:right="68"/>
              <w:rPr>
                <w:sz w:val="13"/>
              </w:rPr>
            </w:pPr>
            <w:r>
              <w:rPr>
                <w:color w:val="231F20"/>
                <w:spacing w:val="-2"/>
                <w:sz w:val="13"/>
              </w:rPr>
              <w:t>0.43883</w:t>
            </w:r>
          </w:p>
        </w:tc>
        <w:tc>
          <w:tcPr>
            <w:tcW w:w="634" w:type="dxa"/>
          </w:tcPr>
          <w:p>
            <w:pPr>
              <w:pStyle w:val="TableParagraph"/>
              <w:spacing w:line="152" w:lineRule="exact" w:before="65"/>
              <w:ind w:left="70" w:right="65"/>
              <w:rPr>
                <w:sz w:val="13"/>
              </w:rPr>
            </w:pPr>
            <w:r>
              <w:rPr>
                <w:color w:val="231F20"/>
                <w:spacing w:val="-2"/>
                <w:sz w:val="13"/>
              </w:rPr>
              <w:t>0.35894</w:t>
            </w:r>
          </w:p>
        </w:tc>
        <w:tc>
          <w:tcPr>
            <w:tcW w:w="624" w:type="dxa"/>
          </w:tcPr>
          <w:p>
            <w:pPr>
              <w:pStyle w:val="TableParagraph"/>
              <w:spacing w:line="152" w:lineRule="exact" w:before="65"/>
              <w:ind w:left="77" w:right="50"/>
              <w:rPr>
                <w:sz w:val="13"/>
              </w:rPr>
            </w:pPr>
            <w:r>
              <w:rPr>
                <w:color w:val="231F20"/>
                <w:spacing w:val="-2"/>
                <w:sz w:val="13"/>
              </w:rPr>
              <w:t>0.29416</w:t>
            </w:r>
          </w:p>
        </w:tc>
        <w:tc>
          <w:tcPr>
            <w:tcW w:w="634" w:type="dxa"/>
          </w:tcPr>
          <w:p>
            <w:pPr>
              <w:pStyle w:val="TableParagraph"/>
              <w:spacing w:line="152" w:lineRule="exact" w:before="65"/>
              <w:ind w:left="61" w:right="69"/>
              <w:rPr>
                <w:sz w:val="13"/>
              </w:rPr>
            </w:pPr>
            <w:r>
              <w:rPr>
                <w:color w:val="231F20"/>
                <w:spacing w:val="-2"/>
                <w:sz w:val="13"/>
              </w:rPr>
              <w:t>0.24151</w:t>
            </w:r>
          </w:p>
        </w:tc>
        <w:tc>
          <w:tcPr>
            <w:tcW w:w="639" w:type="dxa"/>
          </w:tcPr>
          <w:p>
            <w:pPr>
              <w:pStyle w:val="TableParagraph"/>
              <w:spacing w:line="152" w:lineRule="exact" w:before="65"/>
              <w:ind w:left="94" w:right="58"/>
              <w:rPr>
                <w:sz w:val="13"/>
              </w:rPr>
            </w:pPr>
            <w:r>
              <w:rPr>
                <w:color w:val="231F20"/>
                <w:spacing w:val="-2"/>
                <w:sz w:val="13"/>
              </w:rPr>
              <w:t>0.19866</w:t>
            </w:r>
          </w:p>
        </w:tc>
        <w:tc>
          <w:tcPr>
            <w:tcW w:w="648" w:type="dxa"/>
          </w:tcPr>
          <w:p>
            <w:pPr>
              <w:pStyle w:val="TableParagraph"/>
              <w:spacing w:line="152" w:lineRule="exact" w:before="65"/>
              <w:ind w:left="77" w:right="85"/>
              <w:rPr>
                <w:sz w:val="13"/>
              </w:rPr>
            </w:pPr>
            <w:r>
              <w:rPr>
                <w:color w:val="231F20"/>
                <w:spacing w:val="-2"/>
                <w:sz w:val="13"/>
              </w:rPr>
              <w:t>0.16370</w:t>
            </w:r>
          </w:p>
        </w:tc>
        <w:tc>
          <w:tcPr>
            <w:tcW w:w="549" w:type="dxa"/>
          </w:tcPr>
          <w:p>
            <w:pPr>
              <w:pStyle w:val="TableParagraph"/>
              <w:spacing w:line="152" w:lineRule="exact" w:before="65"/>
              <w:ind w:left="38" w:right="26"/>
              <w:rPr>
                <w:sz w:val="13"/>
              </w:rPr>
            </w:pPr>
            <w:r>
              <w:rPr>
                <w:color w:val="231F20"/>
                <w:spacing w:val="-2"/>
                <w:sz w:val="13"/>
              </w:rPr>
              <w:t>0.13513</w:t>
            </w:r>
          </w:p>
        </w:tc>
        <w:tc>
          <w:tcPr>
            <w:tcW w:w="670" w:type="dxa"/>
          </w:tcPr>
          <w:p>
            <w:pPr>
              <w:pStyle w:val="TableParagraph"/>
              <w:spacing w:line="152" w:lineRule="exact" w:before="65"/>
              <w:ind w:left="129" w:right="55"/>
              <w:rPr>
                <w:sz w:val="13"/>
              </w:rPr>
            </w:pPr>
            <w:r>
              <w:rPr>
                <w:color w:val="231F20"/>
                <w:spacing w:val="-2"/>
                <w:sz w:val="13"/>
              </w:rPr>
              <w:t>0.09256</w:t>
            </w:r>
          </w:p>
        </w:tc>
        <w:tc>
          <w:tcPr>
            <w:tcW w:w="634" w:type="dxa"/>
          </w:tcPr>
          <w:p>
            <w:pPr>
              <w:pStyle w:val="TableParagraph"/>
              <w:spacing w:line="152" w:lineRule="exact" w:before="65"/>
              <w:ind w:left="70" w:right="60"/>
              <w:rPr>
                <w:sz w:val="13"/>
              </w:rPr>
            </w:pPr>
            <w:r>
              <w:rPr>
                <w:color w:val="231F20"/>
                <w:spacing w:val="-2"/>
                <w:sz w:val="13"/>
              </w:rPr>
              <w:t>0.06383</w:t>
            </w:r>
          </w:p>
        </w:tc>
        <w:tc>
          <w:tcPr>
            <w:tcW w:w="639" w:type="dxa"/>
          </w:tcPr>
          <w:p>
            <w:pPr>
              <w:pStyle w:val="TableParagraph"/>
              <w:spacing w:line="152" w:lineRule="exact" w:before="65"/>
              <w:ind w:left="95" w:right="58"/>
              <w:rPr>
                <w:sz w:val="13"/>
              </w:rPr>
            </w:pPr>
            <w:r>
              <w:rPr>
                <w:color w:val="231F20"/>
                <w:spacing w:val="-2"/>
                <w:sz w:val="13"/>
              </w:rPr>
              <w:t>0.05313</w:t>
            </w:r>
          </w:p>
        </w:tc>
        <w:tc>
          <w:tcPr>
            <w:tcW w:w="624" w:type="dxa"/>
          </w:tcPr>
          <w:p>
            <w:pPr>
              <w:pStyle w:val="TableParagraph"/>
              <w:spacing w:line="152" w:lineRule="exact" w:before="65"/>
              <w:ind w:left="82" w:right="48"/>
              <w:rPr>
                <w:sz w:val="13"/>
              </w:rPr>
            </w:pPr>
            <w:r>
              <w:rPr>
                <w:color w:val="231F20"/>
                <w:spacing w:val="-2"/>
                <w:sz w:val="13"/>
              </w:rPr>
              <w:t>0.04430</w:t>
            </w:r>
          </w:p>
        </w:tc>
        <w:tc>
          <w:tcPr>
            <w:tcW w:w="624" w:type="dxa"/>
          </w:tcPr>
          <w:p>
            <w:pPr>
              <w:pStyle w:val="TableParagraph"/>
              <w:spacing w:line="152" w:lineRule="exact" w:before="65"/>
              <w:ind w:left="76" w:right="50"/>
              <w:rPr>
                <w:sz w:val="13"/>
              </w:rPr>
            </w:pPr>
            <w:r>
              <w:rPr>
                <w:color w:val="231F20"/>
                <w:spacing w:val="-2"/>
                <w:sz w:val="13"/>
              </w:rPr>
              <w:t>0.03094</w:t>
            </w:r>
          </w:p>
        </w:tc>
        <w:tc>
          <w:tcPr>
            <w:tcW w:w="624" w:type="dxa"/>
          </w:tcPr>
          <w:p>
            <w:pPr>
              <w:pStyle w:val="TableParagraph"/>
              <w:spacing w:line="152" w:lineRule="exact" w:before="65"/>
              <w:ind w:left="82" w:right="43"/>
              <w:rPr>
                <w:sz w:val="13"/>
              </w:rPr>
            </w:pPr>
            <w:r>
              <w:rPr>
                <w:color w:val="231F20"/>
                <w:spacing w:val="-2"/>
                <w:sz w:val="13"/>
              </w:rPr>
              <w:t>0.02174</w:t>
            </w:r>
          </w:p>
        </w:tc>
        <w:tc>
          <w:tcPr>
            <w:tcW w:w="577" w:type="dxa"/>
          </w:tcPr>
          <w:p>
            <w:pPr>
              <w:pStyle w:val="TableParagraph"/>
              <w:spacing w:line="152" w:lineRule="exact" w:before="65"/>
              <w:ind w:left="85" w:right="7"/>
              <w:rPr>
                <w:sz w:val="13"/>
              </w:rPr>
            </w:pPr>
            <w:r>
              <w:rPr>
                <w:color w:val="231F20"/>
                <w:spacing w:val="-2"/>
                <w:sz w:val="13"/>
              </w:rPr>
              <w:t>0.00922</w:t>
            </w:r>
          </w:p>
        </w:tc>
      </w:tr>
      <w:tr>
        <w:trPr>
          <w:trHeight w:val="189" w:hRule="atLeast"/>
        </w:trPr>
        <w:tc>
          <w:tcPr>
            <w:tcW w:w="331" w:type="dxa"/>
          </w:tcPr>
          <w:p>
            <w:pPr>
              <w:pStyle w:val="TableParagraph"/>
              <w:spacing w:line="152" w:lineRule="exact"/>
              <w:ind w:left="20" w:right="20"/>
              <w:rPr>
                <w:sz w:val="13"/>
              </w:rPr>
            </w:pPr>
            <w:r>
              <w:rPr>
                <w:color w:val="231F20"/>
                <w:spacing w:val="-5"/>
                <w:sz w:val="13"/>
              </w:rPr>
              <w:t>22</w:t>
            </w:r>
          </w:p>
        </w:tc>
        <w:tc>
          <w:tcPr>
            <w:tcW w:w="636" w:type="dxa"/>
          </w:tcPr>
          <w:p>
            <w:pPr>
              <w:pStyle w:val="TableParagraph"/>
              <w:spacing w:line="152" w:lineRule="exact"/>
              <w:ind w:left="83" w:right="65"/>
              <w:rPr>
                <w:sz w:val="13"/>
              </w:rPr>
            </w:pPr>
            <w:r>
              <w:rPr>
                <w:color w:val="231F20"/>
                <w:spacing w:val="-2"/>
                <w:sz w:val="13"/>
              </w:rPr>
              <w:t>0.80340</w:t>
            </w:r>
          </w:p>
        </w:tc>
        <w:tc>
          <w:tcPr>
            <w:tcW w:w="609" w:type="dxa"/>
          </w:tcPr>
          <w:p>
            <w:pPr>
              <w:pStyle w:val="TableParagraph"/>
              <w:spacing w:line="152" w:lineRule="exact"/>
              <w:ind w:left="68" w:right="55"/>
              <w:rPr>
                <w:sz w:val="13"/>
              </w:rPr>
            </w:pPr>
            <w:r>
              <w:rPr>
                <w:color w:val="231F20"/>
                <w:spacing w:val="-2"/>
                <w:sz w:val="13"/>
              </w:rPr>
              <w:t>0.64684</w:t>
            </w:r>
          </w:p>
        </w:tc>
        <w:tc>
          <w:tcPr>
            <w:tcW w:w="614" w:type="dxa"/>
          </w:tcPr>
          <w:p>
            <w:pPr>
              <w:pStyle w:val="TableParagraph"/>
              <w:spacing w:line="152" w:lineRule="exact"/>
              <w:ind w:left="61" w:right="68"/>
              <w:rPr>
                <w:sz w:val="13"/>
              </w:rPr>
            </w:pPr>
            <w:r>
              <w:rPr>
                <w:color w:val="231F20"/>
                <w:spacing w:val="-2"/>
                <w:sz w:val="13"/>
              </w:rPr>
              <w:t>0.52189</w:t>
            </w:r>
          </w:p>
        </w:tc>
        <w:tc>
          <w:tcPr>
            <w:tcW w:w="629" w:type="dxa"/>
          </w:tcPr>
          <w:p>
            <w:pPr>
              <w:pStyle w:val="TableParagraph"/>
              <w:spacing w:line="152" w:lineRule="exact"/>
              <w:ind w:left="75" w:right="68"/>
              <w:rPr>
                <w:sz w:val="13"/>
              </w:rPr>
            </w:pPr>
            <w:r>
              <w:rPr>
                <w:color w:val="231F20"/>
                <w:spacing w:val="-2"/>
                <w:sz w:val="13"/>
              </w:rPr>
              <w:t>0.42196</w:t>
            </w:r>
          </w:p>
        </w:tc>
        <w:tc>
          <w:tcPr>
            <w:tcW w:w="634" w:type="dxa"/>
          </w:tcPr>
          <w:p>
            <w:pPr>
              <w:pStyle w:val="TableParagraph"/>
              <w:spacing w:line="152" w:lineRule="exact"/>
              <w:ind w:left="70" w:right="65"/>
              <w:rPr>
                <w:sz w:val="13"/>
              </w:rPr>
            </w:pPr>
            <w:r>
              <w:rPr>
                <w:color w:val="231F20"/>
                <w:spacing w:val="-2"/>
                <w:sz w:val="13"/>
              </w:rPr>
              <w:t>0.34185</w:t>
            </w:r>
          </w:p>
        </w:tc>
        <w:tc>
          <w:tcPr>
            <w:tcW w:w="624" w:type="dxa"/>
          </w:tcPr>
          <w:p>
            <w:pPr>
              <w:pStyle w:val="TableParagraph"/>
              <w:spacing w:line="152" w:lineRule="exact"/>
              <w:ind w:left="77" w:right="50"/>
              <w:rPr>
                <w:sz w:val="13"/>
              </w:rPr>
            </w:pPr>
            <w:r>
              <w:rPr>
                <w:color w:val="231F20"/>
                <w:spacing w:val="-2"/>
                <w:sz w:val="13"/>
              </w:rPr>
              <w:t>0.27751</w:t>
            </w:r>
          </w:p>
        </w:tc>
        <w:tc>
          <w:tcPr>
            <w:tcW w:w="634" w:type="dxa"/>
          </w:tcPr>
          <w:p>
            <w:pPr>
              <w:pStyle w:val="TableParagraph"/>
              <w:spacing w:line="152" w:lineRule="exact"/>
              <w:ind w:left="61" w:right="69"/>
              <w:rPr>
                <w:sz w:val="13"/>
              </w:rPr>
            </w:pPr>
            <w:r>
              <w:rPr>
                <w:color w:val="231F20"/>
                <w:spacing w:val="-2"/>
                <w:sz w:val="13"/>
              </w:rPr>
              <w:t>0.22571</w:t>
            </w:r>
          </w:p>
        </w:tc>
        <w:tc>
          <w:tcPr>
            <w:tcW w:w="639" w:type="dxa"/>
          </w:tcPr>
          <w:p>
            <w:pPr>
              <w:pStyle w:val="TableParagraph"/>
              <w:spacing w:line="152" w:lineRule="exact"/>
              <w:ind w:left="94" w:right="58"/>
              <w:rPr>
                <w:sz w:val="13"/>
              </w:rPr>
            </w:pPr>
            <w:r>
              <w:rPr>
                <w:color w:val="231F20"/>
                <w:spacing w:val="-2"/>
                <w:sz w:val="13"/>
              </w:rPr>
              <w:t>0.18394</w:t>
            </w:r>
          </w:p>
        </w:tc>
        <w:tc>
          <w:tcPr>
            <w:tcW w:w="648" w:type="dxa"/>
          </w:tcPr>
          <w:p>
            <w:pPr>
              <w:pStyle w:val="TableParagraph"/>
              <w:spacing w:line="152" w:lineRule="exact"/>
              <w:ind w:left="77" w:right="85"/>
              <w:rPr>
                <w:sz w:val="13"/>
              </w:rPr>
            </w:pPr>
            <w:r>
              <w:rPr>
                <w:color w:val="231F20"/>
                <w:spacing w:val="-2"/>
                <w:sz w:val="13"/>
              </w:rPr>
              <w:t>0.15018</w:t>
            </w:r>
          </w:p>
        </w:tc>
        <w:tc>
          <w:tcPr>
            <w:tcW w:w="549" w:type="dxa"/>
          </w:tcPr>
          <w:p>
            <w:pPr>
              <w:pStyle w:val="TableParagraph"/>
              <w:spacing w:line="152" w:lineRule="exact"/>
              <w:ind w:left="38" w:right="26"/>
              <w:rPr>
                <w:sz w:val="13"/>
              </w:rPr>
            </w:pPr>
            <w:r>
              <w:rPr>
                <w:color w:val="231F20"/>
                <w:spacing w:val="-2"/>
                <w:sz w:val="13"/>
              </w:rPr>
              <w:t>0.12285</w:t>
            </w:r>
          </w:p>
        </w:tc>
        <w:tc>
          <w:tcPr>
            <w:tcW w:w="670" w:type="dxa"/>
          </w:tcPr>
          <w:p>
            <w:pPr>
              <w:pStyle w:val="TableParagraph"/>
              <w:spacing w:line="152" w:lineRule="exact"/>
              <w:ind w:left="129" w:right="55"/>
              <w:rPr>
                <w:sz w:val="13"/>
              </w:rPr>
            </w:pPr>
            <w:r>
              <w:rPr>
                <w:color w:val="231F20"/>
                <w:spacing w:val="-2"/>
                <w:sz w:val="13"/>
              </w:rPr>
              <w:t>0.08264</w:t>
            </w:r>
          </w:p>
        </w:tc>
        <w:tc>
          <w:tcPr>
            <w:tcW w:w="634" w:type="dxa"/>
          </w:tcPr>
          <w:p>
            <w:pPr>
              <w:pStyle w:val="TableParagraph"/>
              <w:spacing w:line="152" w:lineRule="exact"/>
              <w:ind w:left="70" w:right="60"/>
              <w:rPr>
                <w:sz w:val="13"/>
              </w:rPr>
            </w:pPr>
            <w:r>
              <w:rPr>
                <w:color w:val="231F20"/>
                <w:spacing w:val="-2"/>
                <w:sz w:val="13"/>
              </w:rPr>
              <w:t>0.05599</w:t>
            </w:r>
          </w:p>
        </w:tc>
        <w:tc>
          <w:tcPr>
            <w:tcW w:w="639" w:type="dxa"/>
          </w:tcPr>
          <w:p>
            <w:pPr>
              <w:pStyle w:val="TableParagraph"/>
              <w:spacing w:line="152" w:lineRule="exact"/>
              <w:ind w:left="95" w:right="58"/>
              <w:rPr>
                <w:sz w:val="13"/>
              </w:rPr>
            </w:pPr>
            <w:r>
              <w:rPr>
                <w:color w:val="231F20"/>
                <w:spacing w:val="-2"/>
                <w:sz w:val="13"/>
              </w:rPr>
              <w:t>0.04620</w:t>
            </w:r>
          </w:p>
        </w:tc>
        <w:tc>
          <w:tcPr>
            <w:tcW w:w="624" w:type="dxa"/>
          </w:tcPr>
          <w:p>
            <w:pPr>
              <w:pStyle w:val="TableParagraph"/>
              <w:spacing w:line="152" w:lineRule="exact"/>
              <w:ind w:left="82" w:right="48"/>
              <w:rPr>
                <w:sz w:val="13"/>
              </w:rPr>
            </w:pPr>
            <w:r>
              <w:rPr>
                <w:color w:val="231F20"/>
                <w:spacing w:val="-2"/>
                <w:sz w:val="13"/>
              </w:rPr>
              <w:t>0.03819</w:t>
            </w:r>
          </w:p>
        </w:tc>
        <w:tc>
          <w:tcPr>
            <w:tcW w:w="624" w:type="dxa"/>
          </w:tcPr>
          <w:p>
            <w:pPr>
              <w:pStyle w:val="TableParagraph"/>
              <w:spacing w:line="152" w:lineRule="exact"/>
              <w:ind w:left="76" w:right="50"/>
              <w:rPr>
                <w:sz w:val="13"/>
              </w:rPr>
            </w:pPr>
            <w:r>
              <w:rPr>
                <w:color w:val="231F20"/>
                <w:spacing w:val="-2"/>
                <w:sz w:val="13"/>
              </w:rPr>
              <w:t>0.02622</w:t>
            </w:r>
          </w:p>
        </w:tc>
        <w:tc>
          <w:tcPr>
            <w:tcW w:w="624" w:type="dxa"/>
          </w:tcPr>
          <w:p>
            <w:pPr>
              <w:pStyle w:val="TableParagraph"/>
              <w:spacing w:line="152" w:lineRule="exact"/>
              <w:ind w:left="82" w:right="43"/>
              <w:rPr>
                <w:sz w:val="13"/>
              </w:rPr>
            </w:pPr>
            <w:r>
              <w:rPr>
                <w:color w:val="231F20"/>
                <w:spacing w:val="-2"/>
                <w:sz w:val="13"/>
              </w:rPr>
              <w:t>0.01811</w:t>
            </w:r>
          </w:p>
        </w:tc>
        <w:tc>
          <w:tcPr>
            <w:tcW w:w="577" w:type="dxa"/>
          </w:tcPr>
          <w:p>
            <w:pPr>
              <w:pStyle w:val="TableParagraph"/>
              <w:spacing w:line="152" w:lineRule="exact"/>
              <w:ind w:left="85" w:right="7"/>
              <w:rPr>
                <w:sz w:val="13"/>
              </w:rPr>
            </w:pPr>
            <w:r>
              <w:rPr>
                <w:color w:val="231F20"/>
                <w:spacing w:val="-2"/>
                <w:sz w:val="13"/>
              </w:rPr>
              <w:t>0.00738</w:t>
            </w:r>
          </w:p>
        </w:tc>
      </w:tr>
      <w:tr>
        <w:trPr>
          <w:trHeight w:val="189" w:hRule="atLeast"/>
        </w:trPr>
        <w:tc>
          <w:tcPr>
            <w:tcW w:w="331" w:type="dxa"/>
          </w:tcPr>
          <w:p>
            <w:pPr>
              <w:pStyle w:val="TableParagraph"/>
              <w:spacing w:line="152" w:lineRule="exact"/>
              <w:ind w:left="20" w:right="20"/>
              <w:rPr>
                <w:sz w:val="13"/>
              </w:rPr>
            </w:pPr>
            <w:r>
              <w:rPr>
                <w:color w:val="231F20"/>
                <w:spacing w:val="-5"/>
                <w:sz w:val="13"/>
              </w:rPr>
              <w:t>23</w:t>
            </w:r>
          </w:p>
        </w:tc>
        <w:tc>
          <w:tcPr>
            <w:tcW w:w="636" w:type="dxa"/>
          </w:tcPr>
          <w:p>
            <w:pPr>
              <w:pStyle w:val="TableParagraph"/>
              <w:spacing w:line="152" w:lineRule="exact"/>
              <w:ind w:left="83" w:right="65"/>
              <w:rPr>
                <w:sz w:val="13"/>
              </w:rPr>
            </w:pPr>
            <w:r>
              <w:rPr>
                <w:color w:val="231F20"/>
                <w:spacing w:val="-2"/>
                <w:sz w:val="13"/>
              </w:rPr>
              <w:t>0.79544</w:t>
            </w:r>
          </w:p>
        </w:tc>
        <w:tc>
          <w:tcPr>
            <w:tcW w:w="609" w:type="dxa"/>
          </w:tcPr>
          <w:p>
            <w:pPr>
              <w:pStyle w:val="TableParagraph"/>
              <w:spacing w:line="152" w:lineRule="exact"/>
              <w:ind w:left="68" w:right="55"/>
              <w:rPr>
                <w:sz w:val="13"/>
              </w:rPr>
            </w:pPr>
            <w:r>
              <w:rPr>
                <w:color w:val="231F20"/>
                <w:spacing w:val="-2"/>
                <w:sz w:val="13"/>
              </w:rPr>
              <w:t>0.63416</w:t>
            </w:r>
          </w:p>
        </w:tc>
        <w:tc>
          <w:tcPr>
            <w:tcW w:w="614" w:type="dxa"/>
          </w:tcPr>
          <w:p>
            <w:pPr>
              <w:pStyle w:val="TableParagraph"/>
              <w:spacing w:line="152" w:lineRule="exact"/>
              <w:ind w:left="61" w:right="68"/>
              <w:rPr>
                <w:sz w:val="13"/>
              </w:rPr>
            </w:pPr>
            <w:r>
              <w:rPr>
                <w:color w:val="231F20"/>
                <w:spacing w:val="-2"/>
                <w:sz w:val="13"/>
              </w:rPr>
              <w:t>0.50669</w:t>
            </w:r>
          </w:p>
        </w:tc>
        <w:tc>
          <w:tcPr>
            <w:tcW w:w="629" w:type="dxa"/>
          </w:tcPr>
          <w:p>
            <w:pPr>
              <w:pStyle w:val="TableParagraph"/>
              <w:spacing w:line="152" w:lineRule="exact"/>
              <w:ind w:left="75" w:right="68"/>
              <w:rPr>
                <w:sz w:val="13"/>
              </w:rPr>
            </w:pPr>
            <w:r>
              <w:rPr>
                <w:color w:val="231F20"/>
                <w:spacing w:val="-2"/>
                <w:sz w:val="13"/>
              </w:rPr>
              <w:t>0.40573</w:t>
            </w:r>
          </w:p>
        </w:tc>
        <w:tc>
          <w:tcPr>
            <w:tcW w:w="634" w:type="dxa"/>
          </w:tcPr>
          <w:p>
            <w:pPr>
              <w:pStyle w:val="TableParagraph"/>
              <w:spacing w:line="152" w:lineRule="exact"/>
              <w:ind w:left="70" w:right="65"/>
              <w:rPr>
                <w:sz w:val="13"/>
              </w:rPr>
            </w:pPr>
            <w:r>
              <w:rPr>
                <w:color w:val="231F20"/>
                <w:spacing w:val="-2"/>
                <w:sz w:val="13"/>
              </w:rPr>
              <w:t>0.32557</w:t>
            </w:r>
          </w:p>
        </w:tc>
        <w:tc>
          <w:tcPr>
            <w:tcW w:w="624" w:type="dxa"/>
          </w:tcPr>
          <w:p>
            <w:pPr>
              <w:pStyle w:val="TableParagraph"/>
              <w:spacing w:line="152" w:lineRule="exact"/>
              <w:ind w:left="77" w:right="50"/>
              <w:rPr>
                <w:sz w:val="13"/>
              </w:rPr>
            </w:pPr>
            <w:r>
              <w:rPr>
                <w:color w:val="231F20"/>
                <w:spacing w:val="-2"/>
                <w:sz w:val="13"/>
              </w:rPr>
              <w:t>0.26180</w:t>
            </w:r>
          </w:p>
        </w:tc>
        <w:tc>
          <w:tcPr>
            <w:tcW w:w="634" w:type="dxa"/>
          </w:tcPr>
          <w:p>
            <w:pPr>
              <w:pStyle w:val="TableParagraph"/>
              <w:spacing w:line="152" w:lineRule="exact"/>
              <w:ind w:left="61" w:right="69"/>
              <w:rPr>
                <w:sz w:val="13"/>
              </w:rPr>
            </w:pPr>
            <w:r>
              <w:rPr>
                <w:color w:val="231F20"/>
                <w:spacing w:val="-2"/>
                <w:sz w:val="13"/>
              </w:rPr>
              <w:t>0.21095</w:t>
            </w:r>
          </w:p>
        </w:tc>
        <w:tc>
          <w:tcPr>
            <w:tcW w:w="639" w:type="dxa"/>
          </w:tcPr>
          <w:p>
            <w:pPr>
              <w:pStyle w:val="TableParagraph"/>
              <w:spacing w:line="152" w:lineRule="exact"/>
              <w:ind w:left="94" w:right="58"/>
              <w:rPr>
                <w:sz w:val="13"/>
              </w:rPr>
            </w:pPr>
            <w:r>
              <w:rPr>
                <w:color w:val="231F20"/>
                <w:spacing w:val="-2"/>
                <w:sz w:val="13"/>
              </w:rPr>
              <w:t>0.17032</w:t>
            </w:r>
          </w:p>
        </w:tc>
        <w:tc>
          <w:tcPr>
            <w:tcW w:w="648" w:type="dxa"/>
          </w:tcPr>
          <w:p>
            <w:pPr>
              <w:pStyle w:val="TableParagraph"/>
              <w:spacing w:line="152" w:lineRule="exact"/>
              <w:ind w:left="77" w:right="85"/>
              <w:rPr>
                <w:sz w:val="13"/>
              </w:rPr>
            </w:pPr>
            <w:r>
              <w:rPr>
                <w:color w:val="231F20"/>
                <w:spacing w:val="-2"/>
                <w:sz w:val="13"/>
              </w:rPr>
              <w:t>0.13778</w:t>
            </w:r>
          </w:p>
        </w:tc>
        <w:tc>
          <w:tcPr>
            <w:tcW w:w="549" w:type="dxa"/>
          </w:tcPr>
          <w:p>
            <w:pPr>
              <w:pStyle w:val="TableParagraph"/>
              <w:spacing w:line="152" w:lineRule="exact"/>
              <w:ind w:left="38" w:right="26"/>
              <w:rPr>
                <w:sz w:val="13"/>
              </w:rPr>
            </w:pPr>
            <w:r>
              <w:rPr>
                <w:color w:val="231F20"/>
                <w:spacing w:val="-2"/>
                <w:sz w:val="13"/>
              </w:rPr>
              <w:t>0.11168</w:t>
            </w:r>
          </w:p>
        </w:tc>
        <w:tc>
          <w:tcPr>
            <w:tcW w:w="670" w:type="dxa"/>
          </w:tcPr>
          <w:p>
            <w:pPr>
              <w:pStyle w:val="TableParagraph"/>
              <w:spacing w:line="152" w:lineRule="exact"/>
              <w:ind w:left="129" w:right="55"/>
              <w:rPr>
                <w:sz w:val="13"/>
              </w:rPr>
            </w:pPr>
            <w:r>
              <w:rPr>
                <w:color w:val="231F20"/>
                <w:spacing w:val="-2"/>
                <w:sz w:val="13"/>
              </w:rPr>
              <w:t>0.07379</w:t>
            </w:r>
          </w:p>
        </w:tc>
        <w:tc>
          <w:tcPr>
            <w:tcW w:w="634" w:type="dxa"/>
          </w:tcPr>
          <w:p>
            <w:pPr>
              <w:pStyle w:val="TableParagraph"/>
              <w:spacing w:line="152" w:lineRule="exact"/>
              <w:ind w:left="70" w:right="60"/>
              <w:rPr>
                <w:sz w:val="13"/>
              </w:rPr>
            </w:pPr>
            <w:r>
              <w:rPr>
                <w:color w:val="231F20"/>
                <w:spacing w:val="-2"/>
                <w:sz w:val="13"/>
              </w:rPr>
              <w:t>0.04911</w:t>
            </w:r>
          </w:p>
        </w:tc>
        <w:tc>
          <w:tcPr>
            <w:tcW w:w="639" w:type="dxa"/>
          </w:tcPr>
          <w:p>
            <w:pPr>
              <w:pStyle w:val="TableParagraph"/>
              <w:spacing w:line="152" w:lineRule="exact"/>
              <w:ind w:left="95" w:right="58"/>
              <w:rPr>
                <w:sz w:val="13"/>
              </w:rPr>
            </w:pPr>
            <w:r>
              <w:rPr>
                <w:color w:val="231F20"/>
                <w:spacing w:val="-2"/>
                <w:sz w:val="13"/>
              </w:rPr>
              <w:t>0.04017</w:t>
            </w:r>
          </w:p>
        </w:tc>
        <w:tc>
          <w:tcPr>
            <w:tcW w:w="624" w:type="dxa"/>
          </w:tcPr>
          <w:p>
            <w:pPr>
              <w:pStyle w:val="TableParagraph"/>
              <w:spacing w:line="152" w:lineRule="exact"/>
              <w:ind w:left="82" w:right="48"/>
              <w:rPr>
                <w:sz w:val="13"/>
              </w:rPr>
            </w:pPr>
            <w:r>
              <w:rPr>
                <w:color w:val="231F20"/>
                <w:spacing w:val="-2"/>
                <w:sz w:val="13"/>
              </w:rPr>
              <w:t>0.03292</w:t>
            </w:r>
          </w:p>
        </w:tc>
        <w:tc>
          <w:tcPr>
            <w:tcW w:w="624" w:type="dxa"/>
          </w:tcPr>
          <w:p>
            <w:pPr>
              <w:pStyle w:val="TableParagraph"/>
              <w:spacing w:line="152" w:lineRule="exact"/>
              <w:ind w:left="76" w:right="50"/>
              <w:rPr>
                <w:sz w:val="13"/>
              </w:rPr>
            </w:pPr>
            <w:r>
              <w:rPr>
                <w:color w:val="231F20"/>
                <w:spacing w:val="-2"/>
                <w:sz w:val="13"/>
              </w:rPr>
              <w:t>0.02222</w:t>
            </w:r>
          </w:p>
        </w:tc>
        <w:tc>
          <w:tcPr>
            <w:tcW w:w="624" w:type="dxa"/>
          </w:tcPr>
          <w:p>
            <w:pPr>
              <w:pStyle w:val="TableParagraph"/>
              <w:spacing w:line="152" w:lineRule="exact"/>
              <w:ind w:left="82" w:right="43"/>
              <w:rPr>
                <w:sz w:val="13"/>
              </w:rPr>
            </w:pPr>
            <w:r>
              <w:rPr>
                <w:color w:val="231F20"/>
                <w:spacing w:val="-2"/>
                <w:sz w:val="13"/>
              </w:rPr>
              <w:t>0.01509</w:t>
            </w:r>
          </w:p>
        </w:tc>
        <w:tc>
          <w:tcPr>
            <w:tcW w:w="577" w:type="dxa"/>
          </w:tcPr>
          <w:p>
            <w:pPr>
              <w:pStyle w:val="TableParagraph"/>
              <w:spacing w:line="152" w:lineRule="exact"/>
              <w:ind w:left="85" w:right="7"/>
              <w:rPr>
                <w:sz w:val="13"/>
              </w:rPr>
            </w:pPr>
            <w:r>
              <w:rPr>
                <w:color w:val="231F20"/>
                <w:spacing w:val="-2"/>
                <w:sz w:val="13"/>
              </w:rPr>
              <w:t>0.00590</w:t>
            </w:r>
          </w:p>
        </w:tc>
      </w:tr>
      <w:tr>
        <w:trPr>
          <w:trHeight w:val="189" w:hRule="atLeast"/>
        </w:trPr>
        <w:tc>
          <w:tcPr>
            <w:tcW w:w="331" w:type="dxa"/>
          </w:tcPr>
          <w:p>
            <w:pPr>
              <w:pStyle w:val="TableParagraph"/>
              <w:spacing w:line="152" w:lineRule="exact"/>
              <w:ind w:left="20" w:right="20"/>
              <w:rPr>
                <w:sz w:val="13"/>
              </w:rPr>
            </w:pPr>
            <w:r>
              <w:rPr>
                <w:color w:val="231F20"/>
                <w:spacing w:val="-5"/>
                <w:sz w:val="13"/>
              </w:rPr>
              <w:t>24</w:t>
            </w:r>
          </w:p>
        </w:tc>
        <w:tc>
          <w:tcPr>
            <w:tcW w:w="636" w:type="dxa"/>
          </w:tcPr>
          <w:p>
            <w:pPr>
              <w:pStyle w:val="TableParagraph"/>
              <w:spacing w:line="152" w:lineRule="exact"/>
              <w:ind w:left="83" w:right="65"/>
              <w:rPr>
                <w:sz w:val="13"/>
              </w:rPr>
            </w:pPr>
            <w:r>
              <w:rPr>
                <w:color w:val="231F20"/>
                <w:spacing w:val="-2"/>
                <w:sz w:val="13"/>
              </w:rPr>
              <w:t>0.78757</w:t>
            </w:r>
          </w:p>
        </w:tc>
        <w:tc>
          <w:tcPr>
            <w:tcW w:w="609" w:type="dxa"/>
          </w:tcPr>
          <w:p>
            <w:pPr>
              <w:pStyle w:val="TableParagraph"/>
              <w:spacing w:line="152" w:lineRule="exact"/>
              <w:ind w:left="68" w:right="55"/>
              <w:rPr>
                <w:sz w:val="13"/>
              </w:rPr>
            </w:pPr>
            <w:r>
              <w:rPr>
                <w:color w:val="231F20"/>
                <w:spacing w:val="-2"/>
                <w:sz w:val="13"/>
              </w:rPr>
              <w:t>0.62172</w:t>
            </w:r>
          </w:p>
        </w:tc>
        <w:tc>
          <w:tcPr>
            <w:tcW w:w="614" w:type="dxa"/>
          </w:tcPr>
          <w:p>
            <w:pPr>
              <w:pStyle w:val="TableParagraph"/>
              <w:spacing w:line="152" w:lineRule="exact"/>
              <w:ind w:left="61" w:right="68"/>
              <w:rPr>
                <w:sz w:val="13"/>
              </w:rPr>
            </w:pPr>
            <w:r>
              <w:rPr>
                <w:color w:val="231F20"/>
                <w:spacing w:val="-2"/>
                <w:sz w:val="13"/>
              </w:rPr>
              <w:t>0.49193</w:t>
            </w:r>
          </w:p>
        </w:tc>
        <w:tc>
          <w:tcPr>
            <w:tcW w:w="629" w:type="dxa"/>
          </w:tcPr>
          <w:p>
            <w:pPr>
              <w:pStyle w:val="TableParagraph"/>
              <w:spacing w:line="152" w:lineRule="exact"/>
              <w:ind w:left="75" w:right="68"/>
              <w:rPr>
                <w:sz w:val="13"/>
              </w:rPr>
            </w:pPr>
            <w:r>
              <w:rPr>
                <w:color w:val="231F20"/>
                <w:spacing w:val="-2"/>
                <w:sz w:val="13"/>
              </w:rPr>
              <w:t>0.39012</w:t>
            </w:r>
          </w:p>
        </w:tc>
        <w:tc>
          <w:tcPr>
            <w:tcW w:w="634" w:type="dxa"/>
          </w:tcPr>
          <w:p>
            <w:pPr>
              <w:pStyle w:val="TableParagraph"/>
              <w:spacing w:line="152" w:lineRule="exact"/>
              <w:ind w:left="70" w:right="65"/>
              <w:rPr>
                <w:sz w:val="13"/>
              </w:rPr>
            </w:pPr>
            <w:r>
              <w:rPr>
                <w:color w:val="231F20"/>
                <w:spacing w:val="-2"/>
                <w:sz w:val="13"/>
              </w:rPr>
              <w:t>0.31007</w:t>
            </w:r>
          </w:p>
        </w:tc>
        <w:tc>
          <w:tcPr>
            <w:tcW w:w="624" w:type="dxa"/>
          </w:tcPr>
          <w:p>
            <w:pPr>
              <w:pStyle w:val="TableParagraph"/>
              <w:spacing w:line="152" w:lineRule="exact"/>
              <w:ind w:left="77" w:right="50"/>
              <w:rPr>
                <w:sz w:val="13"/>
              </w:rPr>
            </w:pPr>
            <w:r>
              <w:rPr>
                <w:color w:val="231F20"/>
                <w:spacing w:val="-2"/>
                <w:sz w:val="13"/>
              </w:rPr>
              <w:t>0.24698</w:t>
            </w:r>
          </w:p>
        </w:tc>
        <w:tc>
          <w:tcPr>
            <w:tcW w:w="634" w:type="dxa"/>
          </w:tcPr>
          <w:p>
            <w:pPr>
              <w:pStyle w:val="TableParagraph"/>
              <w:spacing w:line="152" w:lineRule="exact"/>
              <w:ind w:left="61" w:right="69"/>
              <w:rPr>
                <w:sz w:val="13"/>
              </w:rPr>
            </w:pPr>
            <w:r>
              <w:rPr>
                <w:color w:val="231F20"/>
                <w:spacing w:val="-2"/>
                <w:sz w:val="13"/>
              </w:rPr>
              <w:t>0.19715</w:t>
            </w:r>
          </w:p>
        </w:tc>
        <w:tc>
          <w:tcPr>
            <w:tcW w:w="639" w:type="dxa"/>
          </w:tcPr>
          <w:p>
            <w:pPr>
              <w:pStyle w:val="TableParagraph"/>
              <w:spacing w:line="152" w:lineRule="exact"/>
              <w:ind w:left="94" w:right="58"/>
              <w:rPr>
                <w:sz w:val="13"/>
              </w:rPr>
            </w:pPr>
            <w:r>
              <w:rPr>
                <w:color w:val="231F20"/>
                <w:spacing w:val="-2"/>
                <w:sz w:val="13"/>
              </w:rPr>
              <w:t>0.15770</w:t>
            </w:r>
          </w:p>
        </w:tc>
        <w:tc>
          <w:tcPr>
            <w:tcW w:w="648" w:type="dxa"/>
          </w:tcPr>
          <w:p>
            <w:pPr>
              <w:pStyle w:val="TableParagraph"/>
              <w:spacing w:line="152" w:lineRule="exact"/>
              <w:ind w:left="77" w:right="85"/>
              <w:rPr>
                <w:sz w:val="13"/>
              </w:rPr>
            </w:pPr>
            <w:r>
              <w:rPr>
                <w:color w:val="231F20"/>
                <w:spacing w:val="-2"/>
                <w:sz w:val="13"/>
              </w:rPr>
              <w:t>0.12640</w:t>
            </w:r>
          </w:p>
        </w:tc>
        <w:tc>
          <w:tcPr>
            <w:tcW w:w="549" w:type="dxa"/>
          </w:tcPr>
          <w:p>
            <w:pPr>
              <w:pStyle w:val="TableParagraph"/>
              <w:spacing w:line="152" w:lineRule="exact"/>
              <w:ind w:left="38" w:right="26"/>
              <w:rPr>
                <w:sz w:val="13"/>
              </w:rPr>
            </w:pPr>
            <w:r>
              <w:rPr>
                <w:color w:val="231F20"/>
                <w:spacing w:val="-2"/>
                <w:sz w:val="13"/>
              </w:rPr>
              <w:t>0.10153</w:t>
            </w:r>
          </w:p>
        </w:tc>
        <w:tc>
          <w:tcPr>
            <w:tcW w:w="670" w:type="dxa"/>
          </w:tcPr>
          <w:p>
            <w:pPr>
              <w:pStyle w:val="TableParagraph"/>
              <w:spacing w:line="152" w:lineRule="exact"/>
              <w:ind w:left="129" w:right="55"/>
              <w:rPr>
                <w:sz w:val="13"/>
              </w:rPr>
            </w:pPr>
            <w:r>
              <w:rPr>
                <w:color w:val="231F20"/>
                <w:spacing w:val="-2"/>
                <w:sz w:val="13"/>
              </w:rPr>
              <w:t>0.06588</w:t>
            </w:r>
          </w:p>
        </w:tc>
        <w:tc>
          <w:tcPr>
            <w:tcW w:w="634" w:type="dxa"/>
          </w:tcPr>
          <w:p>
            <w:pPr>
              <w:pStyle w:val="TableParagraph"/>
              <w:spacing w:line="152" w:lineRule="exact"/>
              <w:ind w:left="70" w:right="60"/>
              <w:rPr>
                <w:sz w:val="13"/>
              </w:rPr>
            </w:pPr>
            <w:r>
              <w:rPr>
                <w:color w:val="231F20"/>
                <w:spacing w:val="-2"/>
                <w:sz w:val="13"/>
              </w:rPr>
              <w:t>0.04308</w:t>
            </w:r>
          </w:p>
        </w:tc>
        <w:tc>
          <w:tcPr>
            <w:tcW w:w="639" w:type="dxa"/>
          </w:tcPr>
          <w:p>
            <w:pPr>
              <w:pStyle w:val="TableParagraph"/>
              <w:spacing w:line="152" w:lineRule="exact"/>
              <w:ind w:left="95" w:right="58"/>
              <w:rPr>
                <w:sz w:val="13"/>
              </w:rPr>
            </w:pPr>
            <w:r>
              <w:rPr>
                <w:color w:val="231F20"/>
                <w:spacing w:val="-2"/>
                <w:sz w:val="13"/>
              </w:rPr>
              <w:t>0.03493</w:t>
            </w:r>
          </w:p>
        </w:tc>
        <w:tc>
          <w:tcPr>
            <w:tcW w:w="624" w:type="dxa"/>
          </w:tcPr>
          <w:p>
            <w:pPr>
              <w:pStyle w:val="TableParagraph"/>
              <w:spacing w:line="152" w:lineRule="exact"/>
              <w:ind w:left="82" w:right="48"/>
              <w:rPr>
                <w:sz w:val="13"/>
              </w:rPr>
            </w:pPr>
            <w:r>
              <w:rPr>
                <w:color w:val="231F20"/>
                <w:spacing w:val="-2"/>
                <w:sz w:val="13"/>
              </w:rPr>
              <w:t>0.02838</w:t>
            </w:r>
          </w:p>
        </w:tc>
        <w:tc>
          <w:tcPr>
            <w:tcW w:w="624" w:type="dxa"/>
          </w:tcPr>
          <w:p>
            <w:pPr>
              <w:pStyle w:val="TableParagraph"/>
              <w:spacing w:line="152" w:lineRule="exact"/>
              <w:ind w:left="76" w:right="50"/>
              <w:rPr>
                <w:sz w:val="13"/>
              </w:rPr>
            </w:pPr>
            <w:r>
              <w:rPr>
                <w:color w:val="231F20"/>
                <w:spacing w:val="-2"/>
                <w:sz w:val="13"/>
              </w:rPr>
              <w:t>0.01883</w:t>
            </w:r>
          </w:p>
        </w:tc>
        <w:tc>
          <w:tcPr>
            <w:tcW w:w="624" w:type="dxa"/>
          </w:tcPr>
          <w:p>
            <w:pPr>
              <w:pStyle w:val="TableParagraph"/>
              <w:spacing w:line="152" w:lineRule="exact"/>
              <w:ind w:left="82" w:right="43"/>
              <w:rPr>
                <w:sz w:val="13"/>
              </w:rPr>
            </w:pPr>
            <w:r>
              <w:rPr>
                <w:color w:val="231F20"/>
                <w:spacing w:val="-2"/>
                <w:sz w:val="13"/>
              </w:rPr>
              <w:t>0.01258</w:t>
            </w:r>
          </w:p>
        </w:tc>
        <w:tc>
          <w:tcPr>
            <w:tcW w:w="577" w:type="dxa"/>
          </w:tcPr>
          <w:p>
            <w:pPr>
              <w:pStyle w:val="TableParagraph"/>
              <w:spacing w:line="152" w:lineRule="exact"/>
              <w:ind w:left="85" w:right="7"/>
              <w:rPr>
                <w:sz w:val="13"/>
              </w:rPr>
            </w:pPr>
            <w:r>
              <w:rPr>
                <w:color w:val="231F20"/>
                <w:spacing w:val="-2"/>
                <w:sz w:val="13"/>
              </w:rPr>
              <w:t>0.00472</w:t>
            </w:r>
          </w:p>
        </w:tc>
      </w:tr>
      <w:tr>
        <w:trPr>
          <w:trHeight w:val="237" w:hRule="atLeast"/>
        </w:trPr>
        <w:tc>
          <w:tcPr>
            <w:tcW w:w="331" w:type="dxa"/>
          </w:tcPr>
          <w:p>
            <w:pPr>
              <w:pStyle w:val="TableParagraph"/>
              <w:ind w:left="20" w:right="20"/>
              <w:rPr>
                <w:sz w:val="13"/>
              </w:rPr>
            </w:pPr>
            <w:r>
              <w:rPr>
                <w:color w:val="231F20"/>
                <w:spacing w:val="-5"/>
                <w:sz w:val="13"/>
              </w:rPr>
              <w:t>25</w:t>
            </w:r>
          </w:p>
        </w:tc>
        <w:tc>
          <w:tcPr>
            <w:tcW w:w="636" w:type="dxa"/>
          </w:tcPr>
          <w:p>
            <w:pPr>
              <w:pStyle w:val="TableParagraph"/>
              <w:ind w:left="83" w:right="65"/>
              <w:rPr>
                <w:sz w:val="13"/>
              </w:rPr>
            </w:pPr>
            <w:r>
              <w:rPr>
                <w:color w:val="231F20"/>
                <w:spacing w:val="-2"/>
                <w:sz w:val="13"/>
              </w:rPr>
              <w:t>0.77977</w:t>
            </w:r>
          </w:p>
        </w:tc>
        <w:tc>
          <w:tcPr>
            <w:tcW w:w="609" w:type="dxa"/>
          </w:tcPr>
          <w:p>
            <w:pPr>
              <w:pStyle w:val="TableParagraph"/>
              <w:ind w:left="68" w:right="55"/>
              <w:rPr>
                <w:sz w:val="13"/>
              </w:rPr>
            </w:pPr>
            <w:r>
              <w:rPr>
                <w:color w:val="231F20"/>
                <w:spacing w:val="-2"/>
                <w:sz w:val="13"/>
              </w:rPr>
              <w:t>0.60953</w:t>
            </w:r>
          </w:p>
        </w:tc>
        <w:tc>
          <w:tcPr>
            <w:tcW w:w="614" w:type="dxa"/>
          </w:tcPr>
          <w:p>
            <w:pPr>
              <w:pStyle w:val="TableParagraph"/>
              <w:ind w:left="61" w:right="68"/>
              <w:rPr>
                <w:sz w:val="13"/>
              </w:rPr>
            </w:pPr>
            <w:r>
              <w:rPr>
                <w:color w:val="231F20"/>
                <w:spacing w:val="-2"/>
                <w:sz w:val="13"/>
              </w:rPr>
              <w:t>0.47761</w:t>
            </w:r>
          </w:p>
        </w:tc>
        <w:tc>
          <w:tcPr>
            <w:tcW w:w="629" w:type="dxa"/>
          </w:tcPr>
          <w:p>
            <w:pPr>
              <w:pStyle w:val="TableParagraph"/>
              <w:ind w:left="75" w:right="68"/>
              <w:rPr>
                <w:sz w:val="13"/>
              </w:rPr>
            </w:pPr>
            <w:r>
              <w:rPr>
                <w:color w:val="231F20"/>
                <w:spacing w:val="-2"/>
                <w:sz w:val="13"/>
              </w:rPr>
              <w:t>0.37512</w:t>
            </w:r>
          </w:p>
        </w:tc>
        <w:tc>
          <w:tcPr>
            <w:tcW w:w="634" w:type="dxa"/>
          </w:tcPr>
          <w:p>
            <w:pPr>
              <w:pStyle w:val="TableParagraph"/>
              <w:ind w:left="70" w:right="65"/>
              <w:rPr>
                <w:sz w:val="13"/>
              </w:rPr>
            </w:pPr>
            <w:r>
              <w:rPr>
                <w:color w:val="231F20"/>
                <w:spacing w:val="-2"/>
                <w:sz w:val="13"/>
              </w:rPr>
              <w:t>0.29530</w:t>
            </w:r>
          </w:p>
        </w:tc>
        <w:tc>
          <w:tcPr>
            <w:tcW w:w="624" w:type="dxa"/>
          </w:tcPr>
          <w:p>
            <w:pPr>
              <w:pStyle w:val="TableParagraph"/>
              <w:ind w:left="77" w:right="50"/>
              <w:rPr>
                <w:sz w:val="13"/>
              </w:rPr>
            </w:pPr>
            <w:r>
              <w:rPr>
                <w:color w:val="231F20"/>
                <w:spacing w:val="-2"/>
                <w:sz w:val="13"/>
              </w:rPr>
              <w:t>0.23300</w:t>
            </w:r>
          </w:p>
        </w:tc>
        <w:tc>
          <w:tcPr>
            <w:tcW w:w="634" w:type="dxa"/>
          </w:tcPr>
          <w:p>
            <w:pPr>
              <w:pStyle w:val="TableParagraph"/>
              <w:ind w:left="61" w:right="69"/>
              <w:rPr>
                <w:sz w:val="13"/>
              </w:rPr>
            </w:pPr>
            <w:r>
              <w:rPr>
                <w:color w:val="231F20"/>
                <w:spacing w:val="-2"/>
                <w:sz w:val="13"/>
              </w:rPr>
              <w:t>0.18425</w:t>
            </w:r>
          </w:p>
        </w:tc>
        <w:tc>
          <w:tcPr>
            <w:tcW w:w="639" w:type="dxa"/>
          </w:tcPr>
          <w:p>
            <w:pPr>
              <w:pStyle w:val="TableParagraph"/>
              <w:ind w:left="94" w:right="58"/>
              <w:rPr>
                <w:sz w:val="13"/>
              </w:rPr>
            </w:pPr>
            <w:r>
              <w:rPr>
                <w:color w:val="231F20"/>
                <w:spacing w:val="-2"/>
                <w:sz w:val="13"/>
              </w:rPr>
              <w:t>0.14602</w:t>
            </w:r>
          </w:p>
        </w:tc>
        <w:tc>
          <w:tcPr>
            <w:tcW w:w="648" w:type="dxa"/>
          </w:tcPr>
          <w:p>
            <w:pPr>
              <w:pStyle w:val="TableParagraph"/>
              <w:ind w:left="77" w:right="85"/>
              <w:rPr>
                <w:sz w:val="13"/>
              </w:rPr>
            </w:pPr>
            <w:r>
              <w:rPr>
                <w:color w:val="231F20"/>
                <w:spacing w:val="-2"/>
                <w:sz w:val="13"/>
              </w:rPr>
              <w:t>0.11597</w:t>
            </w:r>
          </w:p>
        </w:tc>
        <w:tc>
          <w:tcPr>
            <w:tcW w:w="549" w:type="dxa"/>
          </w:tcPr>
          <w:p>
            <w:pPr>
              <w:pStyle w:val="TableParagraph"/>
              <w:ind w:left="38" w:right="26"/>
              <w:rPr>
                <w:sz w:val="13"/>
              </w:rPr>
            </w:pPr>
            <w:r>
              <w:rPr>
                <w:color w:val="231F20"/>
                <w:spacing w:val="-2"/>
                <w:sz w:val="13"/>
              </w:rPr>
              <w:t>0.09230</w:t>
            </w:r>
          </w:p>
        </w:tc>
        <w:tc>
          <w:tcPr>
            <w:tcW w:w="670" w:type="dxa"/>
          </w:tcPr>
          <w:p>
            <w:pPr>
              <w:pStyle w:val="TableParagraph"/>
              <w:ind w:left="129" w:right="55"/>
              <w:rPr>
                <w:sz w:val="13"/>
              </w:rPr>
            </w:pPr>
            <w:r>
              <w:rPr>
                <w:color w:val="231F20"/>
                <w:spacing w:val="-2"/>
                <w:sz w:val="13"/>
              </w:rPr>
              <w:t>0.05882</w:t>
            </w:r>
          </w:p>
        </w:tc>
        <w:tc>
          <w:tcPr>
            <w:tcW w:w="634" w:type="dxa"/>
          </w:tcPr>
          <w:p>
            <w:pPr>
              <w:pStyle w:val="TableParagraph"/>
              <w:ind w:left="70" w:right="60"/>
              <w:rPr>
                <w:sz w:val="13"/>
              </w:rPr>
            </w:pPr>
            <w:r>
              <w:rPr>
                <w:color w:val="231F20"/>
                <w:spacing w:val="-2"/>
                <w:sz w:val="13"/>
              </w:rPr>
              <w:t>0.03779</w:t>
            </w:r>
          </w:p>
        </w:tc>
        <w:tc>
          <w:tcPr>
            <w:tcW w:w="639" w:type="dxa"/>
          </w:tcPr>
          <w:p>
            <w:pPr>
              <w:pStyle w:val="TableParagraph"/>
              <w:ind w:left="95" w:right="58"/>
              <w:rPr>
                <w:sz w:val="13"/>
              </w:rPr>
            </w:pPr>
            <w:r>
              <w:rPr>
                <w:color w:val="231F20"/>
                <w:spacing w:val="-2"/>
                <w:sz w:val="13"/>
              </w:rPr>
              <w:t>0.03038</w:t>
            </w:r>
          </w:p>
        </w:tc>
        <w:tc>
          <w:tcPr>
            <w:tcW w:w="624" w:type="dxa"/>
          </w:tcPr>
          <w:p>
            <w:pPr>
              <w:pStyle w:val="TableParagraph"/>
              <w:ind w:left="82" w:right="48"/>
              <w:rPr>
                <w:sz w:val="13"/>
              </w:rPr>
            </w:pPr>
            <w:r>
              <w:rPr>
                <w:color w:val="231F20"/>
                <w:spacing w:val="-2"/>
                <w:sz w:val="13"/>
              </w:rPr>
              <w:t>0.02447</w:t>
            </w:r>
          </w:p>
        </w:tc>
        <w:tc>
          <w:tcPr>
            <w:tcW w:w="624" w:type="dxa"/>
          </w:tcPr>
          <w:p>
            <w:pPr>
              <w:pStyle w:val="TableParagraph"/>
              <w:ind w:left="76" w:right="50"/>
              <w:rPr>
                <w:sz w:val="13"/>
              </w:rPr>
            </w:pPr>
            <w:r>
              <w:rPr>
                <w:color w:val="231F20"/>
                <w:spacing w:val="-2"/>
                <w:sz w:val="13"/>
              </w:rPr>
              <w:t>0.01596</w:t>
            </w:r>
          </w:p>
        </w:tc>
        <w:tc>
          <w:tcPr>
            <w:tcW w:w="624" w:type="dxa"/>
          </w:tcPr>
          <w:p>
            <w:pPr>
              <w:pStyle w:val="TableParagraph"/>
              <w:ind w:left="82" w:right="43"/>
              <w:rPr>
                <w:sz w:val="13"/>
              </w:rPr>
            </w:pPr>
            <w:r>
              <w:rPr>
                <w:color w:val="231F20"/>
                <w:spacing w:val="-2"/>
                <w:sz w:val="13"/>
              </w:rPr>
              <w:t>0.01048</w:t>
            </w:r>
          </w:p>
        </w:tc>
        <w:tc>
          <w:tcPr>
            <w:tcW w:w="577" w:type="dxa"/>
          </w:tcPr>
          <w:p>
            <w:pPr>
              <w:pStyle w:val="TableParagraph"/>
              <w:ind w:left="85" w:right="7"/>
              <w:rPr>
                <w:sz w:val="13"/>
              </w:rPr>
            </w:pPr>
            <w:r>
              <w:rPr>
                <w:color w:val="231F20"/>
                <w:spacing w:val="-2"/>
                <w:sz w:val="13"/>
              </w:rPr>
              <w:t>0.00378</w:t>
            </w:r>
          </w:p>
        </w:tc>
      </w:tr>
      <w:tr>
        <w:trPr>
          <w:trHeight w:val="237" w:hRule="atLeast"/>
        </w:trPr>
        <w:tc>
          <w:tcPr>
            <w:tcW w:w="331" w:type="dxa"/>
          </w:tcPr>
          <w:p>
            <w:pPr>
              <w:pStyle w:val="TableParagraph"/>
              <w:spacing w:line="152" w:lineRule="exact" w:before="65"/>
              <w:ind w:left="20" w:right="20"/>
              <w:rPr>
                <w:sz w:val="13"/>
              </w:rPr>
            </w:pPr>
            <w:r>
              <w:rPr>
                <w:color w:val="231F20"/>
                <w:spacing w:val="-5"/>
                <w:sz w:val="13"/>
              </w:rPr>
              <w:t>26</w:t>
            </w:r>
          </w:p>
        </w:tc>
        <w:tc>
          <w:tcPr>
            <w:tcW w:w="636" w:type="dxa"/>
          </w:tcPr>
          <w:p>
            <w:pPr>
              <w:pStyle w:val="TableParagraph"/>
              <w:spacing w:line="152" w:lineRule="exact" w:before="65"/>
              <w:ind w:left="83" w:right="65"/>
              <w:rPr>
                <w:sz w:val="13"/>
              </w:rPr>
            </w:pPr>
            <w:r>
              <w:rPr>
                <w:color w:val="231F20"/>
                <w:spacing w:val="-2"/>
                <w:sz w:val="13"/>
              </w:rPr>
              <w:t>0.77205</w:t>
            </w:r>
          </w:p>
        </w:tc>
        <w:tc>
          <w:tcPr>
            <w:tcW w:w="609" w:type="dxa"/>
          </w:tcPr>
          <w:p>
            <w:pPr>
              <w:pStyle w:val="TableParagraph"/>
              <w:spacing w:line="152" w:lineRule="exact" w:before="65"/>
              <w:ind w:left="68" w:right="55"/>
              <w:rPr>
                <w:sz w:val="13"/>
              </w:rPr>
            </w:pPr>
            <w:r>
              <w:rPr>
                <w:color w:val="231F20"/>
                <w:spacing w:val="-2"/>
                <w:sz w:val="13"/>
              </w:rPr>
              <w:t>0.59758</w:t>
            </w:r>
          </w:p>
        </w:tc>
        <w:tc>
          <w:tcPr>
            <w:tcW w:w="614" w:type="dxa"/>
          </w:tcPr>
          <w:p>
            <w:pPr>
              <w:pStyle w:val="TableParagraph"/>
              <w:spacing w:line="152" w:lineRule="exact" w:before="65"/>
              <w:ind w:left="61" w:right="68"/>
              <w:rPr>
                <w:sz w:val="13"/>
              </w:rPr>
            </w:pPr>
            <w:r>
              <w:rPr>
                <w:color w:val="231F20"/>
                <w:spacing w:val="-2"/>
                <w:sz w:val="13"/>
              </w:rPr>
              <w:t>0.46369</w:t>
            </w:r>
          </w:p>
        </w:tc>
        <w:tc>
          <w:tcPr>
            <w:tcW w:w="629" w:type="dxa"/>
          </w:tcPr>
          <w:p>
            <w:pPr>
              <w:pStyle w:val="TableParagraph"/>
              <w:spacing w:line="152" w:lineRule="exact" w:before="65"/>
              <w:ind w:left="75" w:right="68"/>
              <w:rPr>
                <w:sz w:val="13"/>
              </w:rPr>
            </w:pPr>
            <w:r>
              <w:rPr>
                <w:color w:val="231F20"/>
                <w:spacing w:val="-2"/>
                <w:sz w:val="13"/>
              </w:rPr>
              <w:t>0.36069</w:t>
            </w:r>
          </w:p>
        </w:tc>
        <w:tc>
          <w:tcPr>
            <w:tcW w:w="634" w:type="dxa"/>
          </w:tcPr>
          <w:p>
            <w:pPr>
              <w:pStyle w:val="TableParagraph"/>
              <w:spacing w:line="152" w:lineRule="exact" w:before="65"/>
              <w:ind w:left="70" w:right="65"/>
              <w:rPr>
                <w:sz w:val="13"/>
              </w:rPr>
            </w:pPr>
            <w:r>
              <w:rPr>
                <w:color w:val="231F20"/>
                <w:spacing w:val="-2"/>
                <w:sz w:val="13"/>
              </w:rPr>
              <w:t>0.28124</w:t>
            </w:r>
          </w:p>
        </w:tc>
        <w:tc>
          <w:tcPr>
            <w:tcW w:w="624" w:type="dxa"/>
          </w:tcPr>
          <w:p>
            <w:pPr>
              <w:pStyle w:val="TableParagraph"/>
              <w:spacing w:line="152" w:lineRule="exact" w:before="65"/>
              <w:ind w:left="77" w:right="50"/>
              <w:rPr>
                <w:sz w:val="13"/>
              </w:rPr>
            </w:pPr>
            <w:r>
              <w:rPr>
                <w:color w:val="231F20"/>
                <w:spacing w:val="-2"/>
                <w:sz w:val="13"/>
              </w:rPr>
              <w:t>0.21981</w:t>
            </w:r>
          </w:p>
        </w:tc>
        <w:tc>
          <w:tcPr>
            <w:tcW w:w="634" w:type="dxa"/>
          </w:tcPr>
          <w:p>
            <w:pPr>
              <w:pStyle w:val="TableParagraph"/>
              <w:spacing w:line="152" w:lineRule="exact" w:before="65"/>
              <w:ind w:left="61" w:right="69"/>
              <w:rPr>
                <w:sz w:val="13"/>
              </w:rPr>
            </w:pPr>
            <w:r>
              <w:rPr>
                <w:color w:val="231F20"/>
                <w:spacing w:val="-2"/>
                <w:sz w:val="13"/>
              </w:rPr>
              <w:t>0.17220</w:t>
            </w:r>
          </w:p>
        </w:tc>
        <w:tc>
          <w:tcPr>
            <w:tcW w:w="639" w:type="dxa"/>
          </w:tcPr>
          <w:p>
            <w:pPr>
              <w:pStyle w:val="TableParagraph"/>
              <w:spacing w:line="152" w:lineRule="exact" w:before="65"/>
              <w:ind w:left="94" w:right="58"/>
              <w:rPr>
                <w:sz w:val="13"/>
              </w:rPr>
            </w:pPr>
            <w:r>
              <w:rPr>
                <w:color w:val="231F20"/>
                <w:spacing w:val="-2"/>
                <w:sz w:val="13"/>
              </w:rPr>
              <w:t>0.13520</w:t>
            </w:r>
          </w:p>
        </w:tc>
        <w:tc>
          <w:tcPr>
            <w:tcW w:w="648" w:type="dxa"/>
          </w:tcPr>
          <w:p>
            <w:pPr>
              <w:pStyle w:val="TableParagraph"/>
              <w:spacing w:line="152" w:lineRule="exact" w:before="65"/>
              <w:ind w:left="77" w:right="85"/>
              <w:rPr>
                <w:sz w:val="13"/>
              </w:rPr>
            </w:pPr>
            <w:r>
              <w:rPr>
                <w:color w:val="231F20"/>
                <w:spacing w:val="-2"/>
                <w:sz w:val="13"/>
              </w:rPr>
              <w:t>0.10639</w:t>
            </w:r>
          </w:p>
        </w:tc>
        <w:tc>
          <w:tcPr>
            <w:tcW w:w="549" w:type="dxa"/>
          </w:tcPr>
          <w:p>
            <w:pPr>
              <w:pStyle w:val="TableParagraph"/>
              <w:spacing w:line="152" w:lineRule="exact" w:before="65"/>
              <w:ind w:left="38" w:right="26"/>
              <w:rPr>
                <w:sz w:val="13"/>
              </w:rPr>
            </w:pPr>
            <w:r>
              <w:rPr>
                <w:color w:val="231F20"/>
                <w:spacing w:val="-2"/>
                <w:sz w:val="13"/>
              </w:rPr>
              <w:t>0.08391</w:t>
            </w:r>
          </w:p>
        </w:tc>
        <w:tc>
          <w:tcPr>
            <w:tcW w:w="670" w:type="dxa"/>
          </w:tcPr>
          <w:p>
            <w:pPr>
              <w:pStyle w:val="TableParagraph"/>
              <w:spacing w:line="152" w:lineRule="exact" w:before="65"/>
              <w:ind w:left="129" w:right="55"/>
              <w:rPr>
                <w:sz w:val="13"/>
              </w:rPr>
            </w:pPr>
            <w:r>
              <w:rPr>
                <w:color w:val="231F20"/>
                <w:spacing w:val="-2"/>
                <w:sz w:val="13"/>
              </w:rPr>
              <w:t>0.05252</w:t>
            </w:r>
          </w:p>
        </w:tc>
        <w:tc>
          <w:tcPr>
            <w:tcW w:w="634" w:type="dxa"/>
          </w:tcPr>
          <w:p>
            <w:pPr>
              <w:pStyle w:val="TableParagraph"/>
              <w:spacing w:line="152" w:lineRule="exact" w:before="65"/>
              <w:ind w:left="70" w:right="60"/>
              <w:rPr>
                <w:sz w:val="13"/>
              </w:rPr>
            </w:pPr>
            <w:r>
              <w:rPr>
                <w:color w:val="231F20"/>
                <w:spacing w:val="-2"/>
                <w:sz w:val="13"/>
              </w:rPr>
              <w:t>0.03315</w:t>
            </w:r>
          </w:p>
        </w:tc>
        <w:tc>
          <w:tcPr>
            <w:tcW w:w="639" w:type="dxa"/>
          </w:tcPr>
          <w:p>
            <w:pPr>
              <w:pStyle w:val="TableParagraph"/>
              <w:spacing w:line="152" w:lineRule="exact" w:before="65"/>
              <w:ind w:left="95" w:right="58"/>
              <w:rPr>
                <w:sz w:val="13"/>
              </w:rPr>
            </w:pPr>
            <w:r>
              <w:rPr>
                <w:color w:val="231F20"/>
                <w:spacing w:val="-2"/>
                <w:sz w:val="13"/>
              </w:rPr>
              <w:t>0.02642</w:t>
            </w:r>
          </w:p>
        </w:tc>
        <w:tc>
          <w:tcPr>
            <w:tcW w:w="624" w:type="dxa"/>
          </w:tcPr>
          <w:p>
            <w:pPr>
              <w:pStyle w:val="TableParagraph"/>
              <w:spacing w:line="152" w:lineRule="exact" w:before="65"/>
              <w:ind w:left="82" w:right="48"/>
              <w:rPr>
                <w:sz w:val="13"/>
              </w:rPr>
            </w:pPr>
            <w:r>
              <w:rPr>
                <w:color w:val="231F20"/>
                <w:spacing w:val="-2"/>
                <w:sz w:val="13"/>
              </w:rPr>
              <w:t>0.02109</w:t>
            </w:r>
          </w:p>
        </w:tc>
        <w:tc>
          <w:tcPr>
            <w:tcW w:w="624" w:type="dxa"/>
          </w:tcPr>
          <w:p>
            <w:pPr>
              <w:pStyle w:val="TableParagraph"/>
              <w:spacing w:line="152" w:lineRule="exact" w:before="65"/>
              <w:ind w:left="76" w:right="50"/>
              <w:rPr>
                <w:sz w:val="13"/>
              </w:rPr>
            </w:pPr>
            <w:r>
              <w:rPr>
                <w:color w:val="231F20"/>
                <w:spacing w:val="-2"/>
                <w:sz w:val="13"/>
              </w:rPr>
              <w:t>0.01352</w:t>
            </w:r>
          </w:p>
        </w:tc>
        <w:tc>
          <w:tcPr>
            <w:tcW w:w="624" w:type="dxa"/>
          </w:tcPr>
          <w:p>
            <w:pPr>
              <w:pStyle w:val="TableParagraph"/>
              <w:spacing w:line="152" w:lineRule="exact" w:before="65"/>
              <w:ind w:left="82" w:right="43"/>
              <w:rPr>
                <w:sz w:val="13"/>
              </w:rPr>
            </w:pPr>
            <w:r>
              <w:rPr>
                <w:color w:val="231F20"/>
                <w:spacing w:val="-2"/>
                <w:sz w:val="13"/>
              </w:rPr>
              <w:t>0.00874</w:t>
            </w:r>
          </w:p>
        </w:tc>
        <w:tc>
          <w:tcPr>
            <w:tcW w:w="577" w:type="dxa"/>
          </w:tcPr>
          <w:p>
            <w:pPr>
              <w:pStyle w:val="TableParagraph"/>
              <w:spacing w:line="152" w:lineRule="exact" w:before="65"/>
              <w:ind w:left="85" w:right="7"/>
              <w:rPr>
                <w:sz w:val="13"/>
              </w:rPr>
            </w:pPr>
            <w:r>
              <w:rPr>
                <w:color w:val="231F20"/>
                <w:spacing w:val="-2"/>
                <w:sz w:val="13"/>
              </w:rPr>
              <w:t>0.00302</w:t>
            </w:r>
          </w:p>
        </w:tc>
      </w:tr>
      <w:tr>
        <w:trPr>
          <w:trHeight w:val="189" w:hRule="atLeast"/>
        </w:trPr>
        <w:tc>
          <w:tcPr>
            <w:tcW w:w="331" w:type="dxa"/>
          </w:tcPr>
          <w:p>
            <w:pPr>
              <w:pStyle w:val="TableParagraph"/>
              <w:spacing w:line="152" w:lineRule="exact"/>
              <w:ind w:left="20" w:right="20"/>
              <w:rPr>
                <w:sz w:val="13"/>
              </w:rPr>
            </w:pPr>
            <w:r>
              <w:rPr>
                <w:color w:val="231F20"/>
                <w:spacing w:val="-5"/>
                <w:sz w:val="13"/>
              </w:rPr>
              <w:t>27</w:t>
            </w:r>
          </w:p>
        </w:tc>
        <w:tc>
          <w:tcPr>
            <w:tcW w:w="636" w:type="dxa"/>
          </w:tcPr>
          <w:p>
            <w:pPr>
              <w:pStyle w:val="TableParagraph"/>
              <w:spacing w:line="152" w:lineRule="exact"/>
              <w:ind w:left="83" w:right="65"/>
              <w:rPr>
                <w:sz w:val="13"/>
              </w:rPr>
            </w:pPr>
            <w:r>
              <w:rPr>
                <w:color w:val="231F20"/>
                <w:spacing w:val="-2"/>
                <w:sz w:val="13"/>
              </w:rPr>
              <w:t>0.76440</w:t>
            </w:r>
          </w:p>
        </w:tc>
        <w:tc>
          <w:tcPr>
            <w:tcW w:w="609" w:type="dxa"/>
          </w:tcPr>
          <w:p>
            <w:pPr>
              <w:pStyle w:val="TableParagraph"/>
              <w:spacing w:line="152" w:lineRule="exact"/>
              <w:ind w:left="68" w:right="55"/>
              <w:rPr>
                <w:sz w:val="13"/>
              </w:rPr>
            </w:pPr>
            <w:r>
              <w:rPr>
                <w:color w:val="231F20"/>
                <w:spacing w:val="-2"/>
                <w:sz w:val="13"/>
              </w:rPr>
              <w:t>0.58586</w:t>
            </w:r>
          </w:p>
        </w:tc>
        <w:tc>
          <w:tcPr>
            <w:tcW w:w="614" w:type="dxa"/>
          </w:tcPr>
          <w:p>
            <w:pPr>
              <w:pStyle w:val="TableParagraph"/>
              <w:spacing w:line="152" w:lineRule="exact"/>
              <w:ind w:left="61" w:right="68"/>
              <w:rPr>
                <w:sz w:val="13"/>
              </w:rPr>
            </w:pPr>
            <w:r>
              <w:rPr>
                <w:color w:val="231F20"/>
                <w:spacing w:val="-2"/>
                <w:sz w:val="13"/>
              </w:rPr>
              <w:t>0.45019</w:t>
            </w:r>
          </w:p>
        </w:tc>
        <w:tc>
          <w:tcPr>
            <w:tcW w:w="629" w:type="dxa"/>
          </w:tcPr>
          <w:p>
            <w:pPr>
              <w:pStyle w:val="TableParagraph"/>
              <w:spacing w:line="152" w:lineRule="exact"/>
              <w:ind w:left="75" w:right="68"/>
              <w:rPr>
                <w:sz w:val="13"/>
              </w:rPr>
            </w:pPr>
            <w:r>
              <w:rPr>
                <w:color w:val="231F20"/>
                <w:spacing w:val="-2"/>
                <w:sz w:val="13"/>
              </w:rPr>
              <w:t>0.34682</w:t>
            </w:r>
          </w:p>
        </w:tc>
        <w:tc>
          <w:tcPr>
            <w:tcW w:w="634" w:type="dxa"/>
          </w:tcPr>
          <w:p>
            <w:pPr>
              <w:pStyle w:val="TableParagraph"/>
              <w:spacing w:line="152" w:lineRule="exact"/>
              <w:ind w:left="70" w:right="65"/>
              <w:rPr>
                <w:sz w:val="13"/>
              </w:rPr>
            </w:pPr>
            <w:r>
              <w:rPr>
                <w:color w:val="231F20"/>
                <w:spacing w:val="-2"/>
                <w:sz w:val="13"/>
              </w:rPr>
              <w:t>0.26785</w:t>
            </w:r>
          </w:p>
        </w:tc>
        <w:tc>
          <w:tcPr>
            <w:tcW w:w="624" w:type="dxa"/>
          </w:tcPr>
          <w:p>
            <w:pPr>
              <w:pStyle w:val="TableParagraph"/>
              <w:spacing w:line="152" w:lineRule="exact"/>
              <w:ind w:left="77" w:right="50"/>
              <w:rPr>
                <w:sz w:val="13"/>
              </w:rPr>
            </w:pPr>
            <w:r>
              <w:rPr>
                <w:color w:val="231F20"/>
                <w:spacing w:val="-2"/>
                <w:sz w:val="13"/>
              </w:rPr>
              <w:t>0.20737</w:t>
            </w:r>
          </w:p>
        </w:tc>
        <w:tc>
          <w:tcPr>
            <w:tcW w:w="634" w:type="dxa"/>
          </w:tcPr>
          <w:p>
            <w:pPr>
              <w:pStyle w:val="TableParagraph"/>
              <w:spacing w:line="152" w:lineRule="exact"/>
              <w:ind w:left="61" w:right="69"/>
              <w:rPr>
                <w:sz w:val="13"/>
              </w:rPr>
            </w:pPr>
            <w:r>
              <w:rPr>
                <w:color w:val="231F20"/>
                <w:spacing w:val="-2"/>
                <w:sz w:val="13"/>
              </w:rPr>
              <w:t>0.16093</w:t>
            </w:r>
          </w:p>
        </w:tc>
        <w:tc>
          <w:tcPr>
            <w:tcW w:w="639" w:type="dxa"/>
          </w:tcPr>
          <w:p>
            <w:pPr>
              <w:pStyle w:val="TableParagraph"/>
              <w:spacing w:line="152" w:lineRule="exact"/>
              <w:ind w:left="94" w:right="58"/>
              <w:rPr>
                <w:sz w:val="13"/>
              </w:rPr>
            </w:pPr>
            <w:r>
              <w:rPr>
                <w:color w:val="231F20"/>
                <w:spacing w:val="-2"/>
                <w:sz w:val="13"/>
              </w:rPr>
              <w:t>0.12519</w:t>
            </w:r>
          </w:p>
        </w:tc>
        <w:tc>
          <w:tcPr>
            <w:tcW w:w="648" w:type="dxa"/>
          </w:tcPr>
          <w:p>
            <w:pPr>
              <w:pStyle w:val="TableParagraph"/>
              <w:spacing w:line="152" w:lineRule="exact"/>
              <w:ind w:left="77" w:right="85"/>
              <w:rPr>
                <w:sz w:val="13"/>
              </w:rPr>
            </w:pPr>
            <w:r>
              <w:rPr>
                <w:color w:val="231F20"/>
                <w:spacing w:val="-2"/>
                <w:sz w:val="13"/>
              </w:rPr>
              <w:t>0.09761</w:t>
            </w:r>
          </w:p>
        </w:tc>
        <w:tc>
          <w:tcPr>
            <w:tcW w:w="549" w:type="dxa"/>
          </w:tcPr>
          <w:p>
            <w:pPr>
              <w:pStyle w:val="TableParagraph"/>
              <w:spacing w:line="152" w:lineRule="exact"/>
              <w:ind w:left="38" w:right="26"/>
              <w:rPr>
                <w:sz w:val="13"/>
              </w:rPr>
            </w:pPr>
            <w:r>
              <w:rPr>
                <w:color w:val="231F20"/>
                <w:spacing w:val="-2"/>
                <w:sz w:val="13"/>
              </w:rPr>
              <w:t>0.07628</w:t>
            </w:r>
          </w:p>
        </w:tc>
        <w:tc>
          <w:tcPr>
            <w:tcW w:w="670" w:type="dxa"/>
          </w:tcPr>
          <w:p>
            <w:pPr>
              <w:pStyle w:val="TableParagraph"/>
              <w:spacing w:line="152" w:lineRule="exact"/>
              <w:ind w:left="129" w:right="55"/>
              <w:rPr>
                <w:sz w:val="13"/>
              </w:rPr>
            </w:pPr>
            <w:r>
              <w:rPr>
                <w:color w:val="231F20"/>
                <w:spacing w:val="-2"/>
                <w:sz w:val="13"/>
              </w:rPr>
              <w:t>0.04689</w:t>
            </w:r>
          </w:p>
        </w:tc>
        <w:tc>
          <w:tcPr>
            <w:tcW w:w="634" w:type="dxa"/>
          </w:tcPr>
          <w:p>
            <w:pPr>
              <w:pStyle w:val="TableParagraph"/>
              <w:spacing w:line="152" w:lineRule="exact"/>
              <w:ind w:left="70" w:right="60"/>
              <w:rPr>
                <w:sz w:val="13"/>
              </w:rPr>
            </w:pPr>
            <w:r>
              <w:rPr>
                <w:color w:val="231F20"/>
                <w:spacing w:val="-2"/>
                <w:sz w:val="13"/>
              </w:rPr>
              <w:t>0.02908</w:t>
            </w:r>
          </w:p>
        </w:tc>
        <w:tc>
          <w:tcPr>
            <w:tcW w:w="639" w:type="dxa"/>
          </w:tcPr>
          <w:p>
            <w:pPr>
              <w:pStyle w:val="TableParagraph"/>
              <w:spacing w:line="152" w:lineRule="exact"/>
              <w:ind w:left="95" w:right="58"/>
              <w:rPr>
                <w:sz w:val="13"/>
              </w:rPr>
            </w:pPr>
            <w:r>
              <w:rPr>
                <w:color w:val="231F20"/>
                <w:spacing w:val="-2"/>
                <w:sz w:val="13"/>
              </w:rPr>
              <w:t>0.02297</w:t>
            </w:r>
          </w:p>
        </w:tc>
        <w:tc>
          <w:tcPr>
            <w:tcW w:w="624" w:type="dxa"/>
          </w:tcPr>
          <w:p>
            <w:pPr>
              <w:pStyle w:val="TableParagraph"/>
              <w:spacing w:line="152" w:lineRule="exact"/>
              <w:ind w:left="82" w:right="48"/>
              <w:rPr>
                <w:sz w:val="13"/>
              </w:rPr>
            </w:pPr>
            <w:r>
              <w:rPr>
                <w:color w:val="231F20"/>
                <w:spacing w:val="-2"/>
                <w:sz w:val="13"/>
              </w:rPr>
              <w:t>0.01818</w:t>
            </w:r>
          </w:p>
        </w:tc>
        <w:tc>
          <w:tcPr>
            <w:tcW w:w="624" w:type="dxa"/>
          </w:tcPr>
          <w:p>
            <w:pPr>
              <w:pStyle w:val="TableParagraph"/>
              <w:spacing w:line="152" w:lineRule="exact"/>
              <w:ind w:left="76" w:right="50"/>
              <w:rPr>
                <w:sz w:val="13"/>
              </w:rPr>
            </w:pPr>
            <w:r>
              <w:rPr>
                <w:color w:val="231F20"/>
                <w:spacing w:val="-2"/>
                <w:sz w:val="13"/>
              </w:rPr>
              <w:t>0.01146</w:t>
            </w:r>
          </w:p>
        </w:tc>
        <w:tc>
          <w:tcPr>
            <w:tcW w:w="624" w:type="dxa"/>
          </w:tcPr>
          <w:p>
            <w:pPr>
              <w:pStyle w:val="TableParagraph"/>
              <w:spacing w:line="152" w:lineRule="exact"/>
              <w:ind w:left="82" w:right="43"/>
              <w:rPr>
                <w:sz w:val="13"/>
              </w:rPr>
            </w:pPr>
            <w:r>
              <w:rPr>
                <w:color w:val="231F20"/>
                <w:spacing w:val="-2"/>
                <w:sz w:val="13"/>
              </w:rPr>
              <w:t>0.00728</w:t>
            </w:r>
          </w:p>
        </w:tc>
        <w:tc>
          <w:tcPr>
            <w:tcW w:w="577" w:type="dxa"/>
          </w:tcPr>
          <w:p>
            <w:pPr>
              <w:pStyle w:val="TableParagraph"/>
              <w:spacing w:line="152" w:lineRule="exact"/>
              <w:ind w:left="85" w:right="7"/>
              <w:rPr>
                <w:sz w:val="13"/>
              </w:rPr>
            </w:pPr>
            <w:r>
              <w:rPr>
                <w:color w:val="231F20"/>
                <w:spacing w:val="-2"/>
                <w:sz w:val="13"/>
              </w:rPr>
              <w:t>0.00242</w:t>
            </w:r>
          </w:p>
        </w:tc>
      </w:tr>
      <w:tr>
        <w:trPr>
          <w:trHeight w:val="189" w:hRule="atLeast"/>
        </w:trPr>
        <w:tc>
          <w:tcPr>
            <w:tcW w:w="331" w:type="dxa"/>
          </w:tcPr>
          <w:p>
            <w:pPr>
              <w:pStyle w:val="TableParagraph"/>
              <w:spacing w:line="152" w:lineRule="exact"/>
              <w:ind w:left="20" w:right="20"/>
              <w:rPr>
                <w:sz w:val="13"/>
              </w:rPr>
            </w:pPr>
            <w:r>
              <w:rPr>
                <w:color w:val="231F20"/>
                <w:spacing w:val="-5"/>
                <w:sz w:val="13"/>
              </w:rPr>
              <w:t>28</w:t>
            </w:r>
          </w:p>
        </w:tc>
        <w:tc>
          <w:tcPr>
            <w:tcW w:w="636" w:type="dxa"/>
          </w:tcPr>
          <w:p>
            <w:pPr>
              <w:pStyle w:val="TableParagraph"/>
              <w:spacing w:line="152" w:lineRule="exact"/>
              <w:ind w:left="83" w:right="65"/>
              <w:rPr>
                <w:sz w:val="13"/>
              </w:rPr>
            </w:pPr>
            <w:r>
              <w:rPr>
                <w:color w:val="231F20"/>
                <w:spacing w:val="-2"/>
                <w:sz w:val="13"/>
              </w:rPr>
              <w:t>0.75684</w:t>
            </w:r>
          </w:p>
        </w:tc>
        <w:tc>
          <w:tcPr>
            <w:tcW w:w="609" w:type="dxa"/>
          </w:tcPr>
          <w:p>
            <w:pPr>
              <w:pStyle w:val="TableParagraph"/>
              <w:spacing w:line="152" w:lineRule="exact"/>
              <w:ind w:left="68" w:right="55"/>
              <w:rPr>
                <w:sz w:val="13"/>
              </w:rPr>
            </w:pPr>
            <w:r>
              <w:rPr>
                <w:color w:val="231F20"/>
                <w:spacing w:val="-2"/>
                <w:sz w:val="13"/>
              </w:rPr>
              <w:t>0.57437</w:t>
            </w:r>
          </w:p>
        </w:tc>
        <w:tc>
          <w:tcPr>
            <w:tcW w:w="614" w:type="dxa"/>
          </w:tcPr>
          <w:p>
            <w:pPr>
              <w:pStyle w:val="TableParagraph"/>
              <w:spacing w:line="152" w:lineRule="exact"/>
              <w:ind w:left="61" w:right="68"/>
              <w:rPr>
                <w:sz w:val="13"/>
              </w:rPr>
            </w:pPr>
            <w:r>
              <w:rPr>
                <w:color w:val="231F20"/>
                <w:spacing w:val="-2"/>
                <w:sz w:val="13"/>
              </w:rPr>
              <w:t>0.43708</w:t>
            </w:r>
          </w:p>
        </w:tc>
        <w:tc>
          <w:tcPr>
            <w:tcW w:w="629" w:type="dxa"/>
          </w:tcPr>
          <w:p>
            <w:pPr>
              <w:pStyle w:val="TableParagraph"/>
              <w:spacing w:line="152" w:lineRule="exact"/>
              <w:ind w:left="75" w:right="68"/>
              <w:rPr>
                <w:sz w:val="13"/>
              </w:rPr>
            </w:pPr>
            <w:r>
              <w:rPr>
                <w:color w:val="231F20"/>
                <w:spacing w:val="-2"/>
                <w:sz w:val="13"/>
              </w:rPr>
              <w:t>0.33348</w:t>
            </w:r>
          </w:p>
        </w:tc>
        <w:tc>
          <w:tcPr>
            <w:tcW w:w="634" w:type="dxa"/>
          </w:tcPr>
          <w:p>
            <w:pPr>
              <w:pStyle w:val="TableParagraph"/>
              <w:spacing w:line="152" w:lineRule="exact"/>
              <w:ind w:left="70" w:right="65"/>
              <w:rPr>
                <w:sz w:val="13"/>
              </w:rPr>
            </w:pPr>
            <w:r>
              <w:rPr>
                <w:color w:val="231F20"/>
                <w:spacing w:val="-2"/>
                <w:sz w:val="13"/>
              </w:rPr>
              <w:t>0.25509</w:t>
            </w:r>
          </w:p>
        </w:tc>
        <w:tc>
          <w:tcPr>
            <w:tcW w:w="624" w:type="dxa"/>
          </w:tcPr>
          <w:p>
            <w:pPr>
              <w:pStyle w:val="TableParagraph"/>
              <w:spacing w:line="152" w:lineRule="exact"/>
              <w:ind w:left="77" w:right="50"/>
              <w:rPr>
                <w:sz w:val="13"/>
              </w:rPr>
            </w:pPr>
            <w:r>
              <w:rPr>
                <w:color w:val="231F20"/>
                <w:spacing w:val="-2"/>
                <w:sz w:val="13"/>
              </w:rPr>
              <w:t>0.19563</w:t>
            </w:r>
          </w:p>
        </w:tc>
        <w:tc>
          <w:tcPr>
            <w:tcW w:w="634" w:type="dxa"/>
          </w:tcPr>
          <w:p>
            <w:pPr>
              <w:pStyle w:val="TableParagraph"/>
              <w:spacing w:line="152" w:lineRule="exact"/>
              <w:ind w:left="61" w:right="69"/>
              <w:rPr>
                <w:sz w:val="13"/>
              </w:rPr>
            </w:pPr>
            <w:r>
              <w:rPr>
                <w:color w:val="231F20"/>
                <w:spacing w:val="-2"/>
                <w:sz w:val="13"/>
              </w:rPr>
              <w:t>0.15040</w:t>
            </w:r>
          </w:p>
        </w:tc>
        <w:tc>
          <w:tcPr>
            <w:tcW w:w="639" w:type="dxa"/>
          </w:tcPr>
          <w:p>
            <w:pPr>
              <w:pStyle w:val="TableParagraph"/>
              <w:spacing w:line="152" w:lineRule="exact"/>
              <w:ind w:left="94" w:right="58"/>
              <w:rPr>
                <w:sz w:val="13"/>
              </w:rPr>
            </w:pPr>
            <w:r>
              <w:rPr>
                <w:color w:val="231F20"/>
                <w:spacing w:val="-2"/>
                <w:sz w:val="13"/>
              </w:rPr>
              <w:t>0.11591</w:t>
            </w:r>
          </w:p>
        </w:tc>
        <w:tc>
          <w:tcPr>
            <w:tcW w:w="648" w:type="dxa"/>
          </w:tcPr>
          <w:p>
            <w:pPr>
              <w:pStyle w:val="TableParagraph"/>
              <w:spacing w:line="152" w:lineRule="exact"/>
              <w:ind w:left="77" w:right="85"/>
              <w:rPr>
                <w:sz w:val="13"/>
              </w:rPr>
            </w:pPr>
            <w:r>
              <w:rPr>
                <w:color w:val="231F20"/>
                <w:spacing w:val="-2"/>
                <w:sz w:val="13"/>
              </w:rPr>
              <w:t>0.08955</w:t>
            </w:r>
          </w:p>
        </w:tc>
        <w:tc>
          <w:tcPr>
            <w:tcW w:w="549" w:type="dxa"/>
          </w:tcPr>
          <w:p>
            <w:pPr>
              <w:pStyle w:val="TableParagraph"/>
              <w:spacing w:line="152" w:lineRule="exact"/>
              <w:ind w:left="38" w:right="26"/>
              <w:rPr>
                <w:sz w:val="13"/>
              </w:rPr>
            </w:pPr>
            <w:r>
              <w:rPr>
                <w:color w:val="231F20"/>
                <w:spacing w:val="-2"/>
                <w:sz w:val="13"/>
              </w:rPr>
              <w:t>0.06934</w:t>
            </w:r>
          </w:p>
        </w:tc>
        <w:tc>
          <w:tcPr>
            <w:tcW w:w="670" w:type="dxa"/>
          </w:tcPr>
          <w:p>
            <w:pPr>
              <w:pStyle w:val="TableParagraph"/>
              <w:spacing w:line="152" w:lineRule="exact"/>
              <w:ind w:left="129" w:right="55"/>
              <w:rPr>
                <w:sz w:val="13"/>
              </w:rPr>
            </w:pPr>
            <w:r>
              <w:rPr>
                <w:color w:val="231F20"/>
                <w:spacing w:val="-2"/>
                <w:sz w:val="13"/>
              </w:rPr>
              <w:t>0.04187</w:t>
            </w:r>
          </w:p>
        </w:tc>
        <w:tc>
          <w:tcPr>
            <w:tcW w:w="634" w:type="dxa"/>
          </w:tcPr>
          <w:p>
            <w:pPr>
              <w:pStyle w:val="TableParagraph"/>
              <w:spacing w:line="152" w:lineRule="exact"/>
              <w:ind w:left="70" w:right="60"/>
              <w:rPr>
                <w:sz w:val="13"/>
              </w:rPr>
            </w:pPr>
            <w:r>
              <w:rPr>
                <w:color w:val="231F20"/>
                <w:spacing w:val="-2"/>
                <w:sz w:val="13"/>
              </w:rPr>
              <w:t>0.02551</w:t>
            </w:r>
          </w:p>
        </w:tc>
        <w:tc>
          <w:tcPr>
            <w:tcW w:w="639" w:type="dxa"/>
          </w:tcPr>
          <w:p>
            <w:pPr>
              <w:pStyle w:val="TableParagraph"/>
              <w:spacing w:line="152" w:lineRule="exact"/>
              <w:ind w:left="95" w:right="58"/>
              <w:rPr>
                <w:sz w:val="13"/>
              </w:rPr>
            </w:pPr>
            <w:r>
              <w:rPr>
                <w:color w:val="231F20"/>
                <w:spacing w:val="-2"/>
                <w:sz w:val="13"/>
              </w:rPr>
              <w:t>0.01997</w:t>
            </w:r>
          </w:p>
        </w:tc>
        <w:tc>
          <w:tcPr>
            <w:tcW w:w="624" w:type="dxa"/>
          </w:tcPr>
          <w:p>
            <w:pPr>
              <w:pStyle w:val="TableParagraph"/>
              <w:spacing w:line="152" w:lineRule="exact"/>
              <w:ind w:left="82" w:right="48"/>
              <w:rPr>
                <w:sz w:val="13"/>
              </w:rPr>
            </w:pPr>
            <w:r>
              <w:rPr>
                <w:color w:val="231F20"/>
                <w:spacing w:val="-2"/>
                <w:sz w:val="13"/>
              </w:rPr>
              <w:t>0.01567</w:t>
            </w:r>
          </w:p>
        </w:tc>
        <w:tc>
          <w:tcPr>
            <w:tcW w:w="624" w:type="dxa"/>
          </w:tcPr>
          <w:p>
            <w:pPr>
              <w:pStyle w:val="TableParagraph"/>
              <w:spacing w:line="152" w:lineRule="exact"/>
              <w:ind w:left="76" w:right="50"/>
              <w:rPr>
                <w:sz w:val="13"/>
              </w:rPr>
            </w:pPr>
            <w:r>
              <w:rPr>
                <w:color w:val="231F20"/>
                <w:spacing w:val="-2"/>
                <w:sz w:val="13"/>
              </w:rPr>
              <w:t>0.00971</w:t>
            </w:r>
          </w:p>
        </w:tc>
        <w:tc>
          <w:tcPr>
            <w:tcW w:w="624" w:type="dxa"/>
          </w:tcPr>
          <w:p>
            <w:pPr>
              <w:pStyle w:val="TableParagraph"/>
              <w:spacing w:line="152" w:lineRule="exact"/>
              <w:ind w:left="82" w:right="43"/>
              <w:rPr>
                <w:sz w:val="13"/>
              </w:rPr>
            </w:pPr>
            <w:r>
              <w:rPr>
                <w:color w:val="231F20"/>
                <w:spacing w:val="-2"/>
                <w:sz w:val="13"/>
              </w:rPr>
              <w:t>0.00607</w:t>
            </w:r>
          </w:p>
        </w:tc>
        <w:tc>
          <w:tcPr>
            <w:tcW w:w="577" w:type="dxa"/>
          </w:tcPr>
          <w:p>
            <w:pPr>
              <w:pStyle w:val="TableParagraph"/>
              <w:spacing w:line="152" w:lineRule="exact"/>
              <w:ind w:left="85" w:right="7"/>
              <w:rPr>
                <w:sz w:val="13"/>
              </w:rPr>
            </w:pPr>
            <w:r>
              <w:rPr>
                <w:color w:val="231F20"/>
                <w:spacing w:val="-2"/>
                <w:sz w:val="13"/>
              </w:rPr>
              <w:t>0.00193</w:t>
            </w:r>
          </w:p>
        </w:tc>
      </w:tr>
      <w:tr>
        <w:trPr>
          <w:trHeight w:val="189" w:hRule="atLeast"/>
        </w:trPr>
        <w:tc>
          <w:tcPr>
            <w:tcW w:w="331" w:type="dxa"/>
          </w:tcPr>
          <w:p>
            <w:pPr>
              <w:pStyle w:val="TableParagraph"/>
              <w:spacing w:line="152" w:lineRule="exact"/>
              <w:ind w:left="20" w:right="20"/>
              <w:rPr>
                <w:sz w:val="13"/>
              </w:rPr>
            </w:pPr>
            <w:r>
              <w:rPr>
                <w:color w:val="231F20"/>
                <w:spacing w:val="-5"/>
                <w:sz w:val="13"/>
              </w:rPr>
              <w:t>29</w:t>
            </w:r>
          </w:p>
        </w:tc>
        <w:tc>
          <w:tcPr>
            <w:tcW w:w="636" w:type="dxa"/>
          </w:tcPr>
          <w:p>
            <w:pPr>
              <w:pStyle w:val="TableParagraph"/>
              <w:spacing w:line="152" w:lineRule="exact"/>
              <w:ind w:left="83" w:right="65"/>
              <w:rPr>
                <w:sz w:val="13"/>
              </w:rPr>
            </w:pPr>
            <w:r>
              <w:rPr>
                <w:color w:val="231F20"/>
                <w:spacing w:val="-2"/>
                <w:sz w:val="13"/>
              </w:rPr>
              <w:t>0.74934</w:t>
            </w:r>
          </w:p>
        </w:tc>
        <w:tc>
          <w:tcPr>
            <w:tcW w:w="609" w:type="dxa"/>
          </w:tcPr>
          <w:p>
            <w:pPr>
              <w:pStyle w:val="TableParagraph"/>
              <w:spacing w:line="152" w:lineRule="exact"/>
              <w:ind w:left="68" w:right="55"/>
              <w:rPr>
                <w:sz w:val="13"/>
              </w:rPr>
            </w:pPr>
            <w:r>
              <w:rPr>
                <w:color w:val="231F20"/>
                <w:spacing w:val="-2"/>
                <w:sz w:val="13"/>
              </w:rPr>
              <w:t>0.56311</w:t>
            </w:r>
          </w:p>
        </w:tc>
        <w:tc>
          <w:tcPr>
            <w:tcW w:w="614" w:type="dxa"/>
          </w:tcPr>
          <w:p>
            <w:pPr>
              <w:pStyle w:val="TableParagraph"/>
              <w:spacing w:line="152" w:lineRule="exact"/>
              <w:ind w:left="61" w:right="68"/>
              <w:rPr>
                <w:sz w:val="13"/>
              </w:rPr>
            </w:pPr>
            <w:r>
              <w:rPr>
                <w:color w:val="231F20"/>
                <w:spacing w:val="-2"/>
                <w:sz w:val="13"/>
              </w:rPr>
              <w:t>0.42435</w:t>
            </w:r>
          </w:p>
        </w:tc>
        <w:tc>
          <w:tcPr>
            <w:tcW w:w="629" w:type="dxa"/>
          </w:tcPr>
          <w:p>
            <w:pPr>
              <w:pStyle w:val="TableParagraph"/>
              <w:spacing w:line="152" w:lineRule="exact"/>
              <w:ind w:left="75" w:right="68"/>
              <w:rPr>
                <w:sz w:val="13"/>
              </w:rPr>
            </w:pPr>
            <w:r>
              <w:rPr>
                <w:color w:val="231F20"/>
                <w:spacing w:val="-2"/>
                <w:sz w:val="13"/>
              </w:rPr>
              <w:t>0.32065</w:t>
            </w:r>
          </w:p>
        </w:tc>
        <w:tc>
          <w:tcPr>
            <w:tcW w:w="634" w:type="dxa"/>
          </w:tcPr>
          <w:p>
            <w:pPr>
              <w:pStyle w:val="TableParagraph"/>
              <w:spacing w:line="152" w:lineRule="exact"/>
              <w:ind w:left="70" w:right="65"/>
              <w:rPr>
                <w:sz w:val="13"/>
              </w:rPr>
            </w:pPr>
            <w:r>
              <w:rPr>
                <w:color w:val="231F20"/>
                <w:spacing w:val="-2"/>
                <w:sz w:val="13"/>
              </w:rPr>
              <w:t>0.24295</w:t>
            </w:r>
          </w:p>
        </w:tc>
        <w:tc>
          <w:tcPr>
            <w:tcW w:w="624" w:type="dxa"/>
          </w:tcPr>
          <w:p>
            <w:pPr>
              <w:pStyle w:val="TableParagraph"/>
              <w:spacing w:line="152" w:lineRule="exact"/>
              <w:ind w:left="77" w:right="50"/>
              <w:rPr>
                <w:sz w:val="13"/>
              </w:rPr>
            </w:pPr>
            <w:r>
              <w:rPr>
                <w:color w:val="231F20"/>
                <w:spacing w:val="-2"/>
                <w:sz w:val="13"/>
              </w:rPr>
              <w:t>0.18456</w:t>
            </w:r>
          </w:p>
        </w:tc>
        <w:tc>
          <w:tcPr>
            <w:tcW w:w="634" w:type="dxa"/>
          </w:tcPr>
          <w:p>
            <w:pPr>
              <w:pStyle w:val="TableParagraph"/>
              <w:spacing w:line="152" w:lineRule="exact"/>
              <w:ind w:left="61" w:right="69"/>
              <w:rPr>
                <w:sz w:val="13"/>
              </w:rPr>
            </w:pPr>
            <w:r>
              <w:rPr>
                <w:color w:val="231F20"/>
                <w:spacing w:val="-2"/>
                <w:sz w:val="13"/>
              </w:rPr>
              <w:t>0.14056</w:t>
            </w:r>
          </w:p>
        </w:tc>
        <w:tc>
          <w:tcPr>
            <w:tcW w:w="639" w:type="dxa"/>
          </w:tcPr>
          <w:p>
            <w:pPr>
              <w:pStyle w:val="TableParagraph"/>
              <w:spacing w:line="152" w:lineRule="exact"/>
              <w:ind w:left="94" w:right="58"/>
              <w:rPr>
                <w:sz w:val="13"/>
              </w:rPr>
            </w:pPr>
            <w:r>
              <w:rPr>
                <w:color w:val="231F20"/>
                <w:spacing w:val="-2"/>
                <w:sz w:val="13"/>
              </w:rPr>
              <w:t>0.10733</w:t>
            </w:r>
          </w:p>
        </w:tc>
        <w:tc>
          <w:tcPr>
            <w:tcW w:w="648" w:type="dxa"/>
          </w:tcPr>
          <w:p>
            <w:pPr>
              <w:pStyle w:val="TableParagraph"/>
              <w:spacing w:line="152" w:lineRule="exact"/>
              <w:ind w:left="77" w:right="85"/>
              <w:rPr>
                <w:sz w:val="13"/>
              </w:rPr>
            </w:pPr>
            <w:r>
              <w:rPr>
                <w:color w:val="231F20"/>
                <w:spacing w:val="-2"/>
                <w:sz w:val="13"/>
              </w:rPr>
              <w:t>0.08215</w:t>
            </w:r>
          </w:p>
        </w:tc>
        <w:tc>
          <w:tcPr>
            <w:tcW w:w="549" w:type="dxa"/>
          </w:tcPr>
          <w:p>
            <w:pPr>
              <w:pStyle w:val="TableParagraph"/>
              <w:spacing w:line="152" w:lineRule="exact"/>
              <w:ind w:left="38" w:right="26"/>
              <w:rPr>
                <w:sz w:val="13"/>
              </w:rPr>
            </w:pPr>
            <w:r>
              <w:rPr>
                <w:color w:val="231F20"/>
                <w:spacing w:val="-2"/>
                <w:sz w:val="13"/>
              </w:rPr>
              <w:t>0.06304</w:t>
            </w:r>
          </w:p>
        </w:tc>
        <w:tc>
          <w:tcPr>
            <w:tcW w:w="670" w:type="dxa"/>
          </w:tcPr>
          <w:p>
            <w:pPr>
              <w:pStyle w:val="TableParagraph"/>
              <w:spacing w:line="152" w:lineRule="exact"/>
              <w:ind w:left="129" w:right="55"/>
              <w:rPr>
                <w:sz w:val="13"/>
              </w:rPr>
            </w:pPr>
            <w:r>
              <w:rPr>
                <w:color w:val="231F20"/>
                <w:spacing w:val="-2"/>
                <w:sz w:val="13"/>
              </w:rPr>
              <w:t>0.03738</w:t>
            </w:r>
          </w:p>
        </w:tc>
        <w:tc>
          <w:tcPr>
            <w:tcW w:w="634" w:type="dxa"/>
          </w:tcPr>
          <w:p>
            <w:pPr>
              <w:pStyle w:val="TableParagraph"/>
              <w:spacing w:line="152" w:lineRule="exact"/>
              <w:ind w:left="70" w:right="60"/>
              <w:rPr>
                <w:sz w:val="13"/>
              </w:rPr>
            </w:pPr>
            <w:r>
              <w:rPr>
                <w:color w:val="231F20"/>
                <w:spacing w:val="-2"/>
                <w:sz w:val="13"/>
              </w:rPr>
              <w:t>0.02237</w:t>
            </w:r>
          </w:p>
        </w:tc>
        <w:tc>
          <w:tcPr>
            <w:tcW w:w="639" w:type="dxa"/>
          </w:tcPr>
          <w:p>
            <w:pPr>
              <w:pStyle w:val="TableParagraph"/>
              <w:spacing w:line="152" w:lineRule="exact"/>
              <w:ind w:left="95" w:right="58"/>
              <w:rPr>
                <w:sz w:val="13"/>
              </w:rPr>
            </w:pPr>
            <w:r>
              <w:rPr>
                <w:color w:val="231F20"/>
                <w:spacing w:val="-2"/>
                <w:sz w:val="13"/>
              </w:rPr>
              <w:t>0.01737</w:t>
            </w:r>
          </w:p>
        </w:tc>
        <w:tc>
          <w:tcPr>
            <w:tcW w:w="624" w:type="dxa"/>
          </w:tcPr>
          <w:p>
            <w:pPr>
              <w:pStyle w:val="TableParagraph"/>
              <w:spacing w:line="152" w:lineRule="exact"/>
              <w:ind w:left="82" w:right="48"/>
              <w:rPr>
                <w:sz w:val="13"/>
              </w:rPr>
            </w:pPr>
            <w:r>
              <w:rPr>
                <w:color w:val="231F20"/>
                <w:spacing w:val="-2"/>
                <w:sz w:val="13"/>
              </w:rPr>
              <w:t>0.01351</w:t>
            </w:r>
          </w:p>
        </w:tc>
        <w:tc>
          <w:tcPr>
            <w:tcW w:w="624" w:type="dxa"/>
          </w:tcPr>
          <w:p>
            <w:pPr>
              <w:pStyle w:val="TableParagraph"/>
              <w:spacing w:line="152" w:lineRule="exact"/>
              <w:ind w:left="76" w:right="50"/>
              <w:rPr>
                <w:sz w:val="13"/>
              </w:rPr>
            </w:pPr>
            <w:r>
              <w:rPr>
                <w:color w:val="231F20"/>
                <w:spacing w:val="-2"/>
                <w:sz w:val="13"/>
              </w:rPr>
              <w:t>0.00823</w:t>
            </w:r>
          </w:p>
        </w:tc>
        <w:tc>
          <w:tcPr>
            <w:tcW w:w="624" w:type="dxa"/>
          </w:tcPr>
          <w:p>
            <w:pPr>
              <w:pStyle w:val="TableParagraph"/>
              <w:spacing w:line="152" w:lineRule="exact"/>
              <w:ind w:left="82" w:right="43"/>
              <w:rPr>
                <w:sz w:val="13"/>
              </w:rPr>
            </w:pPr>
            <w:r>
              <w:rPr>
                <w:color w:val="231F20"/>
                <w:spacing w:val="-2"/>
                <w:sz w:val="13"/>
              </w:rPr>
              <w:t>0.00506</w:t>
            </w:r>
          </w:p>
        </w:tc>
        <w:tc>
          <w:tcPr>
            <w:tcW w:w="577" w:type="dxa"/>
          </w:tcPr>
          <w:p>
            <w:pPr>
              <w:pStyle w:val="TableParagraph"/>
              <w:spacing w:line="152" w:lineRule="exact"/>
              <w:ind w:left="85" w:right="7"/>
              <w:rPr>
                <w:sz w:val="13"/>
              </w:rPr>
            </w:pPr>
            <w:r>
              <w:rPr>
                <w:color w:val="231F20"/>
                <w:spacing w:val="-2"/>
                <w:sz w:val="13"/>
              </w:rPr>
              <w:t>0.00155</w:t>
            </w:r>
          </w:p>
        </w:tc>
      </w:tr>
      <w:tr>
        <w:trPr>
          <w:trHeight w:val="171" w:hRule="atLeast"/>
        </w:trPr>
        <w:tc>
          <w:tcPr>
            <w:tcW w:w="331" w:type="dxa"/>
          </w:tcPr>
          <w:p>
            <w:pPr>
              <w:pStyle w:val="TableParagraph"/>
              <w:spacing w:line="133" w:lineRule="exact"/>
              <w:ind w:left="20" w:right="20"/>
              <w:rPr>
                <w:sz w:val="13"/>
              </w:rPr>
            </w:pPr>
            <w:r>
              <w:rPr>
                <w:color w:val="231F20"/>
                <w:spacing w:val="-5"/>
                <w:sz w:val="13"/>
              </w:rPr>
              <w:t>30</w:t>
            </w:r>
          </w:p>
        </w:tc>
        <w:tc>
          <w:tcPr>
            <w:tcW w:w="636" w:type="dxa"/>
          </w:tcPr>
          <w:p>
            <w:pPr>
              <w:pStyle w:val="TableParagraph"/>
              <w:spacing w:line="133" w:lineRule="exact"/>
              <w:ind w:left="83" w:right="65"/>
              <w:rPr>
                <w:sz w:val="13"/>
              </w:rPr>
            </w:pPr>
            <w:r>
              <w:rPr>
                <w:color w:val="231F20"/>
                <w:spacing w:val="-2"/>
                <w:sz w:val="13"/>
              </w:rPr>
              <w:t>0.74192</w:t>
            </w:r>
          </w:p>
        </w:tc>
        <w:tc>
          <w:tcPr>
            <w:tcW w:w="609" w:type="dxa"/>
          </w:tcPr>
          <w:p>
            <w:pPr>
              <w:pStyle w:val="TableParagraph"/>
              <w:spacing w:line="133" w:lineRule="exact"/>
              <w:ind w:left="68" w:right="55"/>
              <w:rPr>
                <w:sz w:val="13"/>
              </w:rPr>
            </w:pPr>
            <w:r>
              <w:rPr>
                <w:color w:val="231F20"/>
                <w:spacing w:val="-2"/>
                <w:sz w:val="13"/>
              </w:rPr>
              <w:t>0.55207</w:t>
            </w:r>
          </w:p>
        </w:tc>
        <w:tc>
          <w:tcPr>
            <w:tcW w:w="614" w:type="dxa"/>
          </w:tcPr>
          <w:p>
            <w:pPr>
              <w:pStyle w:val="TableParagraph"/>
              <w:spacing w:line="133" w:lineRule="exact"/>
              <w:ind w:left="61" w:right="68"/>
              <w:rPr>
                <w:sz w:val="13"/>
              </w:rPr>
            </w:pPr>
            <w:r>
              <w:rPr>
                <w:color w:val="231F20"/>
                <w:spacing w:val="-2"/>
                <w:sz w:val="13"/>
              </w:rPr>
              <w:t>0.41199</w:t>
            </w:r>
          </w:p>
        </w:tc>
        <w:tc>
          <w:tcPr>
            <w:tcW w:w="629" w:type="dxa"/>
          </w:tcPr>
          <w:p>
            <w:pPr>
              <w:pStyle w:val="TableParagraph"/>
              <w:spacing w:line="133" w:lineRule="exact"/>
              <w:ind w:left="75" w:right="68"/>
              <w:rPr>
                <w:sz w:val="13"/>
              </w:rPr>
            </w:pPr>
            <w:r>
              <w:rPr>
                <w:color w:val="231F20"/>
                <w:spacing w:val="-2"/>
                <w:sz w:val="13"/>
              </w:rPr>
              <w:t>0.30832</w:t>
            </w:r>
          </w:p>
        </w:tc>
        <w:tc>
          <w:tcPr>
            <w:tcW w:w="634" w:type="dxa"/>
          </w:tcPr>
          <w:p>
            <w:pPr>
              <w:pStyle w:val="TableParagraph"/>
              <w:spacing w:line="133" w:lineRule="exact"/>
              <w:ind w:left="70" w:right="65"/>
              <w:rPr>
                <w:sz w:val="13"/>
              </w:rPr>
            </w:pPr>
            <w:r>
              <w:rPr>
                <w:color w:val="231F20"/>
                <w:spacing w:val="-2"/>
                <w:sz w:val="13"/>
              </w:rPr>
              <w:t>0.23138</w:t>
            </w:r>
          </w:p>
        </w:tc>
        <w:tc>
          <w:tcPr>
            <w:tcW w:w="624" w:type="dxa"/>
          </w:tcPr>
          <w:p>
            <w:pPr>
              <w:pStyle w:val="TableParagraph"/>
              <w:spacing w:line="133" w:lineRule="exact"/>
              <w:ind w:left="77" w:right="50"/>
              <w:rPr>
                <w:sz w:val="13"/>
              </w:rPr>
            </w:pPr>
            <w:r>
              <w:rPr>
                <w:color w:val="231F20"/>
                <w:spacing w:val="-2"/>
                <w:sz w:val="13"/>
              </w:rPr>
              <w:t>0.17411</w:t>
            </w:r>
          </w:p>
        </w:tc>
        <w:tc>
          <w:tcPr>
            <w:tcW w:w="634" w:type="dxa"/>
          </w:tcPr>
          <w:p>
            <w:pPr>
              <w:pStyle w:val="TableParagraph"/>
              <w:spacing w:line="133" w:lineRule="exact"/>
              <w:ind w:left="61" w:right="69"/>
              <w:rPr>
                <w:sz w:val="13"/>
              </w:rPr>
            </w:pPr>
            <w:r>
              <w:rPr>
                <w:color w:val="231F20"/>
                <w:spacing w:val="-2"/>
                <w:sz w:val="13"/>
              </w:rPr>
              <w:t>0.13137</w:t>
            </w:r>
          </w:p>
        </w:tc>
        <w:tc>
          <w:tcPr>
            <w:tcW w:w="639" w:type="dxa"/>
          </w:tcPr>
          <w:p>
            <w:pPr>
              <w:pStyle w:val="TableParagraph"/>
              <w:spacing w:line="133" w:lineRule="exact"/>
              <w:ind w:left="94" w:right="58"/>
              <w:rPr>
                <w:sz w:val="13"/>
              </w:rPr>
            </w:pPr>
            <w:r>
              <w:rPr>
                <w:color w:val="231F20"/>
                <w:spacing w:val="-2"/>
                <w:sz w:val="13"/>
              </w:rPr>
              <w:t>0.09938</w:t>
            </w:r>
          </w:p>
        </w:tc>
        <w:tc>
          <w:tcPr>
            <w:tcW w:w="648" w:type="dxa"/>
          </w:tcPr>
          <w:p>
            <w:pPr>
              <w:pStyle w:val="TableParagraph"/>
              <w:spacing w:line="133" w:lineRule="exact"/>
              <w:ind w:left="77" w:right="85"/>
              <w:rPr>
                <w:sz w:val="13"/>
              </w:rPr>
            </w:pPr>
            <w:r>
              <w:rPr>
                <w:color w:val="231F20"/>
                <w:spacing w:val="-2"/>
                <w:sz w:val="13"/>
              </w:rPr>
              <w:t>0.07537</w:t>
            </w:r>
          </w:p>
        </w:tc>
        <w:tc>
          <w:tcPr>
            <w:tcW w:w="549" w:type="dxa"/>
          </w:tcPr>
          <w:p>
            <w:pPr>
              <w:pStyle w:val="TableParagraph"/>
              <w:spacing w:line="133" w:lineRule="exact"/>
              <w:ind w:left="38" w:right="26"/>
              <w:rPr>
                <w:sz w:val="13"/>
              </w:rPr>
            </w:pPr>
            <w:r>
              <w:rPr>
                <w:color w:val="231F20"/>
                <w:spacing w:val="-2"/>
                <w:sz w:val="13"/>
              </w:rPr>
              <w:t>0.05731</w:t>
            </w:r>
          </w:p>
        </w:tc>
        <w:tc>
          <w:tcPr>
            <w:tcW w:w="670" w:type="dxa"/>
          </w:tcPr>
          <w:p>
            <w:pPr>
              <w:pStyle w:val="TableParagraph"/>
              <w:spacing w:line="133" w:lineRule="exact"/>
              <w:ind w:left="129" w:right="55"/>
              <w:rPr>
                <w:sz w:val="13"/>
              </w:rPr>
            </w:pPr>
            <w:r>
              <w:rPr>
                <w:color w:val="231F20"/>
                <w:spacing w:val="-2"/>
                <w:sz w:val="13"/>
              </w:rPr>
              <w:t>0.03338</w:t>
            </w:r>
          </w:p>
        </w:tc>
        <w:tc>
          <w:tcPr>
            <w:tcW w:w="634" w:type="dxa"/>
          </w:tcPr>
          <w:p>
            <w:pPr>
              <w:pStyle w:val="TableParagraph"/>
              <w:spacing w:line="133" w:lineRule="exact"/>
              <w:ind w:left="70" w:right="60"/>
              <w:rPr>
                <w:sz w:val="13"/>
              </w:rPr>
            </w:pPr>
            <w:r>
              <w:rPr>
                <w:color w:val="231F20"/>
                <w:spacing w:val="-2"/>
                <w:sz w:val="13"/>
              </w:rPr>
              <w:t>0.01963</w:t>
            </w:r>
          </w:p>
        </w:tc>
        <w:tc>
          <w:tcPr>
            <w:tcW w:w="639" w:type="dxa"/>
          </w:tcPr>
          <w:p>
            <w:pPr>
              <w:pStyle w:val="TableParagraph"/>
              <w:spacing w:line="133" w:lineRule="exact"/>
              <w:ind w:left="95" w:right="58"/>
              <w:rPr>
                <w:sz w:val="13"/>
              </w:rPr>
            </w:pPr>
            <w:r>
              <w:rPr>
                <w:color w:val="231F20"/>
                <w:spacing w:val="-2"/>
                <w:sz w:val="13"/>
              </w:rPr>
              <w:t>0.01510</w:t>
            </w:r>
          </w:p>
        </w:tc>
        <w:tc>
          <w:tcPr>
            <w:tcW w:w="624" w:type="dxa"/>
          </w:tcPr>
          <w:p>
            <w:pPr>
              <w:pStyle w:val="TableParagraph"/>
              <w:spacing w:line="133" w:lineRule="exact"/>
              <w:ind w:left="82" w:right="48"/>
              <w:rPr>
                <w:sz w:val="13"/>
              </w:rPr>
            </w:pPr>
            <w:r>
              <w:rPr>
                <w:color w:val="231F20"/>
                <w:spacing w:val="-2"/>
                <w:sz w:val="13"/>
              </w:rPr>
              <w:t>0.01165</w:t>
            </w:r>
          </w:p>
        </w:tc>
        <w:tc>
          <w:tcPr>
            <w:tcW w:w="624" w:type="dxa"/>
          </w:tcPr>
          <w:p>
            <w:pPr>
              <w:pStyle w:val="TableParagraph"/>
              <w:spacing w:line="133" w:lineRule="exact"/>
              <w:ind w:left="76" w:right="50"/>
              <w:rPr>
                <w:sz w:val="13"/>
              </w:rPr>
            </w:pPr>
            <w:r>
              <w:rPr>
                <w:color w:val="231F20"/>
                <w:spacing w:val="-2"/>
                <w:sz w:val="13"/>
              </w:rPr>
              <w:t>0.00697</w:t>
            </w:r>
          </w:p>
        </w:tc>
        <w:tc>
          <w:tcPr>
            <w:tcW w:w="624" w:type="dxa"/>
          </w:tcPr>
          <w:p>
            <w:pPr>
              <w:pStyle w:val="TableParagraph"/>
              <w:spacing w:line="133" w:lineRule="exact"/>
              <w:ind w:left="82" w:right="43"/>
              <w:rPr>
                <w:sz w:val="13"/>
              </w:rPr>
            </w:pPr>
            <w:r>
              <w:rPr>
                <w:color w:val="231F20"/>
                <w:spacing w:val="-2"/>
                <w:sz w:val="13"/>
              </w:rPr>
              <w:t>0.00421</w:t>
            </w:r>
          </w:p>
        </w:tc>
        <w:tc>
          <w:tcPr>
            <w:tcW w:w="577" w:type="dxa"/>
          </w:tcPr>
          <w:p>
            <w:pPr>
              <w:pStyle w:val="TableParagraph"/>
              <w:spacing w:line="133" w:lineRule="exact"/>
              <w:ind w:left="85" w:right="7"/>
              <w:rPr>
                <w:sz w:val="13"/>
              </w:rPr>
            </w:pPr>
            <w:r>
              <w:rPr>
                <w:color w:val="231F20"/>
                <w:spacing w:val="-2"/>
                <w:sz w:val="13"/>
              </w:rPr>
              <w:t>0.00124</w:t>
            </w:r>
          </w:p>
        </w:tc>
      </w:tr>
    </w:tbl>
    <w:p>
      <w:pPr>
        <w:spacing w:after="0" w:line="133" w:lineRule="exact"/>
        <w:rPr>
          <w:sz w:val="13"/>
        </w:rPr>
        <w:sectPr>
          <w:headerReference w:type="even" r:id="rId149"/>
          <w:pgSz w:w="12960" w:h="8640" w:orient="landscape"/>
          <w:pgMar w:header="0" w:footer="0" w:top="420" w:bottom="280" w:left="800" w:right="760"/>
        </w:sectPr>
      </w:pPr>
    </w:p>
    <w:p>
      <w:pPr>
        <w:spacing w:before="72"/>
        <w:ind w:left="3335" w:right="3367" w:firstLine="0"/>
        <w:jc w:val="center"/>
        <w:rPr>
          <w:b/>
          <w:sz w:val="20"/>
        </w:rPr>
      </w:pPr>
      <w:r>
        <w:rPr>
          <w:b/>
          <w:color w:val="231F20"/>
          <w:w w:val="110"/>
          <w:sz w:val="20"/>
        </w:rPr>
        <w:t>FUTURE</w:t>
      </w:r>
      <w:r>
        <w:rPr>
          <w:b/>
          <w:color w:val="231F20"/>
          <w:spacing w:val="53"/>
          <w:w w:val="110"/>
          <w:sz w:val="20"/>
        </w:rPr>
        <w:t> </w:t>
      </w:r>
      <w:r>
        <w:rPr>
          <w:b/>
          <w:color w:val="231F20"/>
          <w:w w:val="110"/>
          <w:sz w:val="20"/>
        </w:rPr>
        <w:t>VALUE</w:t>
      </w:r>
      <w:r>
        <w:rPr>
          <w:b/>
          <w:color w:val="231F20"/>
          <w:spacing w:val="53"/>
          <w:w w:val="110"/>
          <w:sz w:val="20"/>
        </w:rPr>
        <w:t> </w:t>
      </w:r>
      <w:r>
        <w:rPr>
          <w:b/>
          <w:color w:val="231F20"/>
          <w:w w:val="110"/>
          <w:sz w:val="20"/>
        </w:rPr>
        <w:t>OF</w:t>
      </w:r>
      <w:r>
        <w:rPr>
          <w:b/>
          <w:color w:val="231F20"/>
          <w:spacing w:val="54"/>
          <w:w w:val="110"/>
          <w:sz w:val="20"/>
        </w:rPr>
        <w:t> </w:t>
      </w:r>
      <w:r>
        <w:rPr>
          <w:b/>
          <w:color w:val="231F20"/>
          <w:spacing w:val="-5"/>
          <w:w w:val="110"/>
          <w:sz w:val="20"/>
        </w:rPr>
        <w:t>$1</w:t>
      </w:r>
    </w:p>
    <w:p>
      <w:pPr>
        <w:spacing w:before="44"/>
        <w:ind w:left="3335" w:right="3372" w:firstLine="0"/>
        <w:jc w:val="center"/>
        <w:rPr>
          <w:b/>
          <w:sz w:val="15"/>
        </w:rPr>
      </w:pPr>
      <w:r>
        <w:rPr>
          <w:b/>
          <w:color w:val="231F20"/>
          <w:w w:val="105"/>
          <w:sz w:val="20"/>
        </w:rPr>
        <w:t>FUTURE</w:t>
      </w:r>
      <w:r>
        <w:rPr>
          <w:b/>
          <w:color w:val="231F20"/>
          <w:spacing w:val="42"/>
          <w:w w:val="105"/>
          <w:sz w:val="20"/>
        </w:rPr>
        <w:t> </w:t>
      </w:r>
      <w:r>
        <w:rPr>
          <w:b/>
          <w:color w:val="231F20"/>
          <w:w w:val="105"/>
          <w:sz w:val="20"/>
        </w:rPr>
        <w:t>VALUE</w:t>
      </w:r>
      <w:r>
        <w:rPr>
          <w:b/>
          <w:color w:val="231F20"/>
          <w:spacing w:val="42"/>
          <w:w w:val="105"/>
          <w:sz w:val="20"/>
        </w:rPr>
        <w:t> </w:t>
      </w:r>
      <w:r>
        <w:rPr>
          <w:b/>
          <w:color w:val="231F20"/>
          <w:w w:val="105"/>
          <w:sz w:val="20"/>
        </w:rPr>
        <w:t>FACTOR</w:t>
      </w:r>
      <w:r>
        <w:rPr>
          <w:b/>
          <w:color w:val="231F20"/>
          <w:spacing w:val="43"/>
          <w:w w:val="105"/>
          <w:sz w:val="20"/>
        </w:rPr>
        <w:t> </w:t>
      </w:r>
      <w:r>
        <w:rPr>
          <w:b/>
          <w:color w:val="231F20"/>
          <w:w w:val="105"/>
          <w:sz w:val="20"/>
        </w:rPr>
        <w:t>OF</w:t>
      </w:r>
      <w:r>
        <w:rPr>
          <w:b/>
          <w:color w:val="231F20"/>
          <w:spacing w:val="42"/>
          <w:w w:val="105"/>
          <w:sz w:val="20"/>
        </w:rPr>
        <w:t> </w:t>
      </w:r>
      <w:r>
        <w:rPr>
          <w:b/>
          <w:color w:val="231F20"/>
          <w:w w:val="105"/>
          <w:sz w:val="20"/>
        </w:rPr>
        <w:t>$1</w:t>
      </w:r>
      <w:r>
        <w:rPr>
          <w:b/>
          <w:color w:val="231F20"/>
          <w:spacing w:val="44"/>
          <w:w w:val="105"/>
          <w:sz w:val="20"/>
        </w:rPr>
        <w:t> </w:t>
      </w:r>
      <w:r>
        <w:rPr>
          <w:rFonts w:ascii="Symbol" w:hAnsi="Symbol"/>
          <w:color w:val="231F20"/>
          <w:w w:val="105"/>
          <w:sz w:val="21"/>
        </w:rPr>
        <w:t></w:t>
      </w:r>
      <w:r>
        <w:rPr>
          <w:rFonts w:ascii="Times New Roman" w:hAnsi="Times New Roman"/>
          <w:color w:val="231F20"/>
          <w:spacing w:val="26"/>
          <w:w w:val="105"/>
          <w:sz w:val="21"/>
        </w:rPr>
        <w:t> </w:t>
      </w:r>
      <w:r>
        <w:rPr>
          <w:b/>
          <w:color w:val="231F20"/>
          <w:w w:val="105"/>
          <w:sz w:val="20"/>
        </w:rPr>
        <w:t>(1</w:t>
      </w:r>
      <w:r>
        <w:rPr>
          <w:b/>
          <w:color w:val="231F20"/>
          <w:spacing w:val="42"/>
          <w:w w:val="105"/>
          <w:sz w:val="20"/>
        </w:rPr>
        <w:t> </w:t>
      </w:r>
      <w:r>
        <w:rPr>
          <w:rFonts w:ascii="Symbol" w:hAnsi="Symbol"/>
          <w:color w:val="231F20"/>
          <w:w w:val="105"/>
          <w:sz w:val="21"/>
        </w:rPr>
        <w:t></w:t>
      </w:r>
      <w:r>
        <w:rPr>
          <w:rFonts w:ascii="Times New Roman" w:hAnsi="Times New Roman"/>
          <w:color w:val="231F20"/>
          <w:spacing w:val="26"/>
          <w:w w:val="105"/>
          <w:sz w:val="21"/>
        </w:rPr>
        <w:t> </w:t>
      </w:r>
      <w:r>
        <w:rPr>
          <w:b/>
          <w:color w:val="231F20"/>
          <w:w w:val="105"/>
          <w:sz w:val="20"/>
        </w:rPr>
        <w:t>r)</w:t>
      </w:r>
      <w:r>
        <w:rPr>
          <w:rFonts w:ascii="Symbol" w:hAnsi="Symbol"/>
          <w:color w:val="231F20"/>
          <w:w w:val="105"/>
          <w:position w:val="7"/>
          <w:sz w:val="10"/>
        </w:rPr>
        <w:t></w:t>
      </w:r>
      <w:r>
        <w:rPr>
          <w:rFonts w:ascii="Times New Roman" w:hAnsi="Times New Roman"/>
          <w:color w:val="231F20"/>
          <w:spacing w:val="3"/>
          <w:w w:val="105"/>
          <w:position w:val="7"/>
          <w:sz w:val="10"/>
        </w:rPr>
        <w:t> </w:t>
      </w:r>
      <w:r>
        <w:rPr>
          <w:b/>
          <w:color w:val="231F20"/>
          <w:spacing w:val="-10"/>
          <w:w w:val="105"/>
          <w:position w:val="4"/>
          <w:sz w:val="15"/>
        </w:rPr>
        <w:t>n</w:t>
      </w:r>
    </w:p>
    <w:p>
      <w:pPr>
        <w:spacing w:before="43"/>
        <w:ind w:left="3335" w:right="3372" w:firstLine="0"/>
        <w:jc w:val="center"/>
        <w:rPr>
          <w:b/>
          <w:sz w:val="20"/>
        </w:rPr>
      </w:pPr>
      <w:r>
        <w:rPr>
          <w:b/>
          <w:color w:val="231F20"/>
          <w:w w:val="95"/>
          <w:sz w:val="20"/>
        </w:rPr>
        <w:t>r</w:t>
      </w:r>
      <w:r>
        <w:rPr>
          <w:b/>
          <w:color w:val="231F20"/>
          <w:spacing w:val="-2"/>
          <w:w w:val="95"/>
          <w:sz w:val="20"/>
        </w:rPr>
        <w:t> </w:t>
      </w:r>
      <w:r>
        <w:rPr>
          <w:rFonts w:ascii="Symbol" w:hAnsi="Symbol"/>
          <w:color w:val="231F20"/>
          <w:w w:val="95"/>
          <w:sz w:val="21"/>
        </w:rPr>
        <w:t></w:t>
      </w:r>
      <w:r>
        <w:rPr>
          <w:rFonts w:ascii="Times New Roman" w:hAnsi="Times New Roman"/>
          <w:color w:val="231F20"/>
          <w:spacing w:val="-9"/>
          <w:w w:val="95"/>
          <w:sz w:val="21"/>
        </w:rPr>
        <w:t> </w:t>
      </w:r>
      <w:r>
        <w:rPr>
          <w:b/>
          <w:color w:val="231F20"/>
          <w:w w:val="95"/>
          <w:sz w:val="20"/>
        </w:rPr>
        <w:t>discount</w:t>
      </w:r>
      <w:r>
        <w:rPr>
          <w:b/>
          <w:color w:val="231F20"/>
          <w:spacing w:val="-1"/>
          <w:w w:val="95"/>
          <w:sz w:val="20"/>
        </w:rPr>
        <w:t> </w:t>
      </w:r>
      <w:r>
        <w:rPr>
          <w:b/>
          <w:color w:val="231F20"/>
          <w:w w:val="95"/>
          <w:sz w:val="20"/>
        </w:rPr>
        <w:t>rate</w:t>
      </w:r>
      <w:r>
        <w:rPr>
          <w:b/>
          <w:color w:val="231F20"/>
          <w:spacing w:val="-1"/>
          <w:w w:val="95"/>
          <w:sz w:val="20"/>
        </w:rPr>
        <w:t> </w:t>
      </w:r>
      <w:r>
        <w:rPr>
          <w:b/>
          <w:color w:val="231F20"/>
          <w:w w:val="95"/>
          <w:sz w:val="20"/>
        </w:rPr>
        <w:t>n</w:t>
      </w:r>
      <w:r>
        <w:rPr>
          <w:b/>
          <w:color w:val="231F20"/>
          <w:spacing w:val="-2"/>
          <w:w w:val="95"/>
          <w:sz w:val="20"/>
        </w:rPr>
        <w:t> </w:t>
      </w:r>
      <w:r>
        <w:rPr>
          <w:rFonts w:ascii="Symbol" w:hAnsi="Symbol"/>
          <w:color w:val="231F20"/>
          <w:w w:val="95"/>
          <w:sz w:val="21"/>
        </w:rPr>
        <w:t></w:t>
      </w:r>
      <w:r>
        <w:rPr>
          <w:rFonts w:ascii="Times New Roman" w:hAnsi="Times New Roman"/>
          <w:color w:val="231F20"/>
          <w:spacing w:val="-9"/>
          <w:w w:val="95"/>
          <w:sz w:val="21"/>
        </w:rPr>
        <w:t> </w:t>
      </w:r>
      <w:r>
        <w:rPr>
          <w:b/>
          <w:color w:val="231F20"/>
          <w:w w:val="95"/>
          <w:sz w:val="20"/>
        </w:rPr>
        <w:t>number</w:t>
      </w:r>
      <w:r>
        <w:rPr>
          <w:b/>
          <w:color w:val="231F20"/>
          <w:spacing w:val="-1"/>
          <w:w w:val="95"/>
          <w:sz w:val="20"/>
        </w:rPr>
        <w:t> </w:t>
      </w:r>
      <w:r>
        <w:rPr>
          <w:b/>
          <w:color w:val="231F20"/>
          <w:w w:val="95"/>
          <w:sz w:val="20"/>
        </w:rPr>
        <w:t>of</w:t>
      </w:r>
      <w:r>
        <w:rPr>
          <w:b/>
          <w:color w:val="231F20"/>
          <w:spacing w:val="-1"/>
          <w:w w:val="95"/>
          <w:sz w:val="20"/>
        </w:rPr>
        <w:t> </w:t>
      </w:r>
      <w:r>
        <w:rPr>
          <w:b/>
          <w:color w:val="231F20"/>
          <w:w w:val="95"/>
          <w:sz w:val="20"/>
        </w:rPr>
        <w:t>periods</w:t>
      </w:r>
      <w:r>
        <w:rPr>
          <w:b/>
          <w:color w:val="231F20"/>
          <w:spacing w:val="-2"/>
          <w:w w:val="95"/>
          <w:sz w:val="20"/>
        </w:rPr>
        <w:t> </w:t>
      </w:r>
      <w:r>
        <w:rPr>
          <w:b/>
          <w:color w:val="231F20"/>
          <w:w w:val="95"/>
          <w:sz w:val="20"/>
        </w:rPr>
        <w:t>until</w:t>
      </w:r>
      <w:r>
        <w:rPr>
          <w:b/>
          <w:color w:val="231F20"/>
          <w:spacing w:val="-1"/>
          <w:w w:val="95"/>
          <w:sz w:val="20"/>
        </w:rPr>
        <w:t> </w:t>
      </w:r>
      <w:r>
        <w:rPr>
          <w:b/>
          <w:color w:val="231F20"/>
          <w:spacing w:val="-2"/>
          <w:w w:val="95"/>
          <w:sz w:val="20"/>
        </w:rPr>
        <w:t>payment</w:t>
      </w:r>
    </w:p>
    <w:p>
      <w:pPr>
        <w:pStyle w:val="BodyText"/>
        <w:spacing w:before="1"/>
        <w:rPr>
          <w:b/>
          <w:sz w:val="5"/>
        </w:rPr>
      </w:pPr>
      <w:r>
        <w:rPr/>
        <w:pict>
          <v:shape style="position:absolute;margin-left:45pt;margin-top:4.219316pt;width:558pt;height:.1pt;mso-position-horizontal-relative:page;mso-position-vertical-relative:paragraph;z-index:-15509504;mso-wrap-distance-left:0;mso-wrap-distance-right:0" id="docshape564" coordorigin="900,84" coordsize="11160,0" path="m900,84l12060,84e" filled="false" stroked="true" strokeweight="1pt" strokecolor="#231f20">
            <v:path arrowok="t"/>
            <v:stroke dashstyle="solid"/>
            <w10:wrap type="topAndBottom"/>
          </v:shape>
        </w:pict>
      </w:r>
    </w:p>
    <w:p>
      <w:pPr>
        <w:pStyle w:val="BodyText"/>
        <w:spacing w:before="4"/>
        <w:rPr>
          <w:b/>
          <w:sz w:val="13"/>
        </w:rPr>
      </w:pPr>
    </w:p>
    <w:p>
      <w:pPr>
        <w:spacing w:before="0" w:after="45"/>
        <w:ind w:left="100" w:right="0" w:firstLine="0"/>
        <w:jc w:val="left"/>
        <w:rPr>
          <w:b/>
          <w:i/>
          <w:sz w:val="13"/>
        </w:rPr>
      </w:pPr>
      <w:r>
        <w:rPr>
          <w:b/>
          <w:i/>
          <w:color w:val="231F20"/>
          <w:spacing w:val="-2"/>
          <w:w w:val="105"/>
          <w:sz w:val="13"/>
        </w:rPr>
        <w:t>PERIODS</w:t>
      </w:r>
    </w:p>
    <w:tbl>
      <w:tblPr>
        <w:tblW w:w="0" w:type="auto"/>
        <w:jc w:val="left"/>
        <w:tblInd w:w="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0"/>
        <w:gridCol w:w="573"/>
        <w:gridCol w:w="570"/>
        <w:gridCol w:w="575"/>
        <w:gridCol w:w="575"/>
        <w:gridCol w:w="565"/>
        <w:gridCol w:w="570"/>
        <w:gridCol w:w="574"/>
        <w:gridCol w:w="645"/>
        <w:gridCol w:w="660"/>
        <w:gridCol w:w="620"/>
        <w:gridCol w:w="670"/>
        <w:gridCol w:w="640"/>
        <w:gridCol w:w="645"/>
        <w:gridCol w:w="644"/>
        <w:gridCol w:w="720"/>
        <w:gridCol w:w="720"/>
        <w:gridCol w:w="700"/>
      </w:tblGrid>
      <w:tr>
        <w:trPr>
          <w:trHeight w:val="173" w:hRule="atLeast"/>
        </w:trPr>
        <w:tc>
          <w:tcPr>
            <w:tcW w:w="290" w:type="dxa"/>
          </w:tcPr>
          <w:p>
            <w:pPr>
              <w:pStyle w:val="TableParagraph"/>
              <w:spacing w:line="153" w:lineRule="exact" w:before="0"/>
              <w:ind w:left="16" w:right="38"/>
              <w:rPr>
                <w:b/>
                <w:i/>
                <w:sz w:val="13"/>
              </w:rPr>
            </w:pPr>
            <w:r>
              <w:rPr>
                <w:rFonts w:ascii="Symbol" w:hAnsi="Symbol"/>
                <w:color w:val="231F20"/>
                <w:w w:val="105"/>
                <w:sz w:val="13"/>
              </w:rPr>
              <w:t></w:t>
            </w:r>
            <w:r>
              <w:rPr>
                <w:rFonts w:ascii="Times New Roman" w:hAnsi="Times New Roman"/>
                <w:color w:val="231F20"/>
                <w:spacing w:val="-6"/>
                <w:w w:val="105"/>
                <w:sz w:val="13"/>
              </w:rPr>
              <w:t> </w:t>
            </w:r>
            <w:r>
              <w:rPr>
                <w:b/>
                <w:i/>
                <w:color w:val="231F20"/>
                <w:spacing w:val="-10"/>
                <w:w w:val="110"/>
                <w:sz w:val="13"/>
              </w:rPr>
              <w:t>N</w:t>
            </w:r>
          </w:p>
        </w:tc>
        <w:tc>
          <w:tcPr>
            <w:tcW w:w="573" w:type="dxa"/>
          </w:tcPr>
          <w:p>
            <w:pPr>
              <w:pStyle w:val="TableParagraph"/>
              <w:spacing w:line="146" w:lineRule="exact" w:before="7"/>
              <w:ind w:left="45" w:right="32"/>
              <w:rPr>
                <w:b/>
                <w:i/>
                <w:sz w:val="13"/>
              </w:rPr>
            </w:pPr>
            <w:r>
              <w:rPr>
                <w:b/>
                <w:i/>
                <w:color w:val="231F20"/>
                <w:spacing w:val="-5"/>
                <w:sz w:val="13"/>
              </w:rPr>
              <w:t>1%</w:t>
            </w:r>
          </w:p>
        </w:tc>
        <w:tc>
          <w:tcPr>
            <w:tcW w:w="570" w:type="dxa"/>
          </w:tcPr>
          <w:p>
            <w:pPr>
              <w:pStyle w:val="TableParagraph"/>
              <w:spacing w:line="146" w:lineRule="exact" w:before="7"/>
              <w:ind w:left="39" w:right="29"/>
              <w:rPr>
                <w:b/>
                <w:i/>
                <w:sz w:val="13"/>
              </w:rPr>
            </w:pPr>
            <w:r>
              <w:rPr>
                <w:b/>
                <w:i/>
                <w:color w:val="231F20"/>
                <w:spacing w:val="-5"/>
                <w:sz w:val="13"/>
              </w:rPr>
              <w:t>2%</w:t>
            </w:r>
          </w:p>
        </w:tc>
        <w:tc>
          <w:tcPr>
            <w:tcW w:w="575" w:type="dxa"/>
          </w:tcPr>
          <w:p>
            <w:pPr>
              <w:pStyle w:val="TableParagraph"/>
              <w:spacing w:line="146" w:lineRule="exact" w:before="7"/>
              <w:ind w:left="44" w:right="39"/>
              <w:rPr>
                <w:b/>
                <w:i/>
                <w:sz w:val="13"/>
              </w:rPr>
            </w:pPr>
            <w:r>
              <w:rPr>
                <w:b/>
                <w:i/>
                <w:color w:val="231F20"/>
                <w:spacing w:val="-5"/>
                <w:sz w:val="13"/>
              </w:rPr>
              <w:t>3%</w:t>
            </w:r>
          </w:p>
        </w:tc>
        <w:tc>
          <w:tcPr>
            <w:tcW w:w="575" w:type="dxa"/>
          </w:tcPr>
          <w:p>
            <w:pPr>
              <w:pStyle w:val="TableParagraph"/>
              <w:spacing w:line="146" w:lineRule="exact" w:before="7"/>
              <w:ind w:left="44" w:right="29"/>
              <w:rPr>
                <w:b/>
                <w:i/>
                <w:sz w:val="13"/>
              </w:rPr>
            </w:pPr>
            <w:r>
              <w:rPr>
                <w:b/>
                <w:i/>
                <w:color w:val="231F20"/>
                <w:spacing w:val="-5"/>
                <w:sz w:val="13"/>
              </w:rPr>
              <w:t>4%</w:t>
            </w:r>
          </w:p>
        </w:tc>
        <w:tc>
          <w:tcPr>
            <w:tcW w:w="565" w:type="dxa"/>
          </w:tcPr>
          <w:p>
            <w:pPr>
              <w:pStyle w:val="TableParagraph"/>
              <w:spacing w:line="146" w:lineRule="exact" w:before="7"/>
              <w:ind w:left="42" w:right="27"/>
              <w:rPr>
                <w:b/>
                <w:i/>
                <w:sz w:val="13"/>
              </w:rPr>
            </w:pPr>
            <w:r>
              <w:rPr>
                <w:b/>
                <w:i/>
                <w:color w:val="231F20"/>
                <w:spacing w:val="-5"/>
                <w:sz w:val="13"/>
              </w:rPr>
              <w:t>5%</w:t>
            </w:r>
          </w:p>
        </w:tc>
        <w:tc>
          <w:tcPr>
            <w:tcW w:w="570" w:type="dxa"/>
          </w:tcPr>
          <w:p>
            <w:pPr>
              <w:pStyle w:val="TableParagraph"/>
              <w:spacing w:line="146" w:lineRule="exact" w:before="7"/>
              <w:ind w:left="39" w:right="39"/>
              <w:rPr>
                <w:b/>
                <w:i/>
                <w:sz w:val="13"/>
              </w:rPr>
            </w:pPr>
            <w:r>
              <w:rPr>
                <w:b/>
                <w:i/>
                <w:color w:val="231F20"/>
                <w:spacing w:val="-5"/>
                <w:sz w:val="13"/>
              </w:rPr>
              <w:t>6%</w:t>
            </w:r>
          </w:p>
        </w:tc>
        <w:tc>
          <w:tcPr>
            <w:tcW w:w="574" w:type="dxa"/>
          </w:tcPr>
          <w:p>
            <w:pPr>
              <w:pStyle w:val="TableParagraph"/>
              <w:spacing w:line="146" w:lineRule="exact" w:before="7"/>
              <w:ind w:left="48" w:right="32"/>
              <w:rPr>
                <w:b/>
                <w:i/>
                <w:sz w:val="13"/>
              </w:rPr>
            </w:pPr>
            <w:r>
              <w:rPr>
                <w:b/>
                <w:i/>
                <w:color w:val="231F20"/>
                <w:spacing w:val="-5"/>
                <w:sz w:val="13"/>
              </w:rPr>
              <w:t>7%</w:t>
            </w:r>
          </w:p>
        </w:tc>
        <w:tc>
          <w:tcPr>
            <w:tcW w:w="645" w:type="dxa"/>
          </w:tcPr>
          <w:p>
            <w:pPr>
              <w:pStyle w:val="TableParagraph"/>
              <w:spacing w:line="146" w:lineRule="exact" w:before="7"/>
              <w:ind w:left="270"/>
              <w:jc w:val="left"/>
              <w:rPr>
                <w:b/>
                <w:i/>
                <w:sz w:val="13"/>
              </w:rPr>
            </w:pPr>
            <w:r>
              <w:rPr>
                <w:b/>
                <w:i/>
                <w:color w:val="231F20"/>
                <w:spacing w:val="-5"/>
                <w:sz w:val="13"/>
              </w:rPr>
              <w:t>8%</w:t>
            </w:r>
          </w:p>
        </w:tc>
        <w:tc>
          <w:tcPr>
            <w:tcW w:w="660" w:type="dxa"/>
          </w:tcPr>
          <w:p>
            <w:pPr>
              <w:pStyle w:val="TableParagraph"/>
              <w:spacing w:line="146" w:lineRule="exact" w:before="7"/>
              <w:ind w:left="275"/>
              <w:jc w:val="left"/>
              <w:rPr>
                <w:b/>
                <w:i/>
                <w:sz w:val="13"/>
              </w:rPr>
            </w:pPr>
            <w:r>
              <w:rPr>
                <w:b/>
                <w:i/>
                <w:color w:val="231F20"/>
                <w:spacing w:val="-5"/>
                <w:sz w:val="13"/>
              </w:rPr>
              <w:t>9%</w:t>
            </w:r>
          </w:p>
        </w:tc>
        <w:tc>
          <w:tcPr>
            <w:tcW w:w="620" w:type="dxa"/>
            <w:tcBorders>
              <w:bottom w:val="single" w:sz="4" w:space="0" w:color="231F20"/>
            </w:tcBorders>
          </w:tcPr>
          <w:p>
            <w:pPr>
              <w:pStyle w:val="TableParagraph"/>
              <w:spacing w:line="146" w:lineRule="exact" w:before="7"/>
              <w:ind w:left="103" w:right="26"/>
              <w:rPr>
                <w:b/>
                <w:i/>
                <w:sz w:val="13"/>
              </w:rPr>
            </w:pPr>
            <w:r>
              <w:rPr>
                <w:b/>
                <w:i/>
                <w:color w:val="231F20"/>
                <w:spacing w:val="-5"/>
                <w:sz w:val="13"/>
              </w:rPr>
              <w:t>10%</w:t>
            </w:r>
          </w:p>
        </w:tc>
        <w:tc>
          <w:tcPr>
            <w:tcW w:w="670" w:type="dxa"/>
          </w:tcPr>
          <w:p>
            <w:pPr>
              <w:pStyle w:val="TableParagraph"/>
              <w:spacing w:line="146" w:lineRule="exact" w:before="7"/>
              <w:ind w:left="266"/>
              <w:jc w:val="left"/>
              <w:rPr>
                <w:b/>
                <w:i/>
                <w:sz w:val="13"/>
              </w:rPr>
            </w:pPr>
            <w:r>
              <w:rPr>
                <w:b/>
                <w:i/>
                <w:color w:val="231F20"/>
                <w:spacing w:val="-5"/>
                <w:sz w:val="13"/>
              </w:rPr>
              <w:t>12%</w:t>
            </w:r>
          </w:p>
        </w:tc>
        <w:tc>
          <w:tcPr>
            <w:tcW w:w="640" w:type="dxa"/>
          </w:tcPr>
          <w:p>
            <w:pPr>
              <w:pStyle w:val="TableParagraph"/>
              <w:spacing w:line="146" w:lineRule="exact" w:before="7"/>
              <w:ind w:left="226"/>
              <w:jc w:val="left"/>
              <w:rPr>
                <w:b/>
                <w:i/>
                <w:sz w:val="13"/>
              </w:rPr>
            </w:pPr>
            <w:r>
              <w:rPr>
                <w:b/>
                <w:i/>
                <w:color w:val="231F20"/>
                <w:spacing w:val="-5"/>
                <w:sz w:val="13"/>
              </w:rPr>
              <w:t>14%</w:t>
            </w:r>
          </w:p>
        </w:tc>
        <w:tc>
          <w:tcPr>
            <w:tcW w:w="645" w:type="dxa"/>
          </w:tcPr>
          <w:p>
            <w:pPr>
              <w:pStyle w:val="TableParagraph"/>
              <w:spacing w:line="146" w:lineRule="exact" w:before="7"/>
              <w:ind w:left="241"/>
              <w:jc w:val="left"/>
              <w:rPr>
                <w:b/>
                <w:i/>
                <w:sz w:val="13"/>
              </w:rPr>
            </w:pPr>
            <w:r>
              <w:rPr>
                <w:b/>
                <w:i/>
                <w:color w:val="231F20"/>
                <w:spacing w:val="-5"/>
                <w:sz w:val="13"/>
              </w:rPr>
              <w:t>15%</w:t>
            </w:r>
          </w:p>
        </w:tc>
        <w:tc>
          <w:tcPr>
            <w:tcW w:w="644" w:type="dxa"/>
          </w:tcPr>
          <w:p>
            <w:pPr>
              <w:pStyle w:val="TableParagraph"/>
              <w:spacing w:line="146" w:lineRule="exact" w:before="7"/>
              <w:ind w:left="231"/>
              <w:jc w:val="left"/>
              <w:rPr>
                <w:b/>
                <w:i/>
                <w:sz w:val="13"/>
              </w:rPr>
            </w:pPr>
            <w:r>
              <w:rPr>
                <w:b/>
                <w:i/>
                <w:color w:val="231F20"/>
                <w:spacing w:val="-5"/>
                <w:sz w:val="13"/>
              </w:rPr>
              <w:t>16%</w:t>
            </w:r>
          </w:p>
        </w:tc>
        <w:tc>
          <w:tcPr>
            <w:tcW w:w="720" w:type="dxa"/>
          </w:tcPr>
          <w:p>
            <w:pPr>
              <w:pStyle w:val="TableParagraph"/>
              <w:spacing w:line="146" w:lineRule="exact" w:before="7"/>
              <w:ind w:left="307"/>
              <w:jc w:val="left"/>
              <w:rPr>
                <w:b/>
                <w:i/>
                <w:sz w:val="13"/>
              </w:rPr>
            </w:pPr>
            <w:r>
              <w:rPr>
                <w:b/>
                <w:i/>
                <w:color w:val="231F20"/>
                <w:spacing w:val="-5"/>
                <w:sz w:val="13"/>
              </w:rPr>
              <w:t>18%</w:t>
            </w:r>
          </w:p>
        </w:tc>
        <w:tc>
          <w:tcPr>
            <w:tcW w:w="720" w:type="dxa"/>
          </w:tcPr>
          <w:p>
            <w:pPr>
              <w:pStyle w:val="TableParagraph"/>
              <w:spacing w:line="146" w:lineRule="exact" w:before="7"/>
              <w:ind w:left="312"/>
              <w:jc w:val="left"/>
              <w:rPr>
                <w:b/>
                <w:i/>
                <w:sz w:val="13"/>
              </w:rPr>
            </w:pPr>
            <w:r>
              <w:rPr>
                <w:b/>
                <w:i/>
                <w:color w:val="231F20"/>
                <w:spacing w:val="-5"/>
                <w:sz w:val="13"/>
              </w:rPr>
              <w:t>20%</w:t>
            </w:r>
          </w:p>
        </w:tc>
        <w:tc>
          <w:tcPr>
            <w:tcW w:w="700" w:type="dxa"/>
          </w:tcPr>
          <w:p>
            <w:pPr>
              <w:pStyle w:val="TableParagraph"/>
              <w:spacing w:line="146" w:lineRule="exact" w:before="7"/>
              <w:ind w:left="302"/>
              <w:jc w:val="left"/>
              <w:rPr>
                <w:b/>
                <w:i/>
                <w:sz w:val="13"/>
              </w:rPr>
            </w:pPr>
            <w:r>
              <w:rPr>
                <w:b/>
                <w:i/>
                <w:color w:val="231F20"/>
                <w:spacing w:val="-5"/>
                <w:sz w:val="13"/>
              </w:rPr>
              <w:t>25%</w:t>
            </w:r>
          </w:p>
        </w:tc>
      </w:tr>
      <w:tr>
        <w:trPr>
          <w:trHeight w:val="185" w:hRule="atLeast"/>
        </w:trPr>
        <w:tc>
          <w:tcPr>
            <w:tcW w:w="290" w:type="dxa"/>
          </w:tcPr>
          <w:p>
            <w:pPr>
              <w:pStyle w:val="TableParagraph"/>
              <w:spacing w:line="152" w:lineRule="exact" w:before="14"/>
              <w:ind w:left="98"/>
              <w:rPr>
                <w:sz w:val="13"/>
              </w:rPr>
            </w:pPr>
            <w:r>
              <w:rPr>
                <w:color w:val="231F20"/>
                <w:w w:val="100"/>
                <w:sz w:val="13"/>
              </w:rPr>
              <w:t>1</w:t>
            </w:r>
          </w:p>
        </w:tc>
        <w:tc>
          <w:tcPr>
            <w:tcW w:w="573" w:type="dxa"/>
          </w:tcPr>
          <w:p>
            <w:pPr>
              <w:pStyle w:val="TableParagraph"/>
              <w:spacing w:line="152" w:lineRule="exact" w:before="14"/>
              <w:ind w:left="45" w:right="42"/>
              <w:rPr>
                <w:sz w:val="13"/>
              </w:rPr>
            </w:pPr>
            <w:r>
              <w:rPr>
                <w:color w:val="231F20"/>
                <w:spacing w:val="-2"/>
                <w:sz w:val="13"/>
              </w:rPr>
              <w:t>1.01000</w:t>
            </w:r>
          </w:p>
        </w:tc>
        <w:tc>
          <w:tcPr>
            <w:tcW w:w="570" w:type="dxa"/>
          </w:tcPr>
          <w:p>
            <w:pPr>
              <w:pStyle w:val="TableParagraph"/>
              <w:spacing w:line="152" w:lineRule="exact" w:before="14"/>
              <w:ind w:left="39" w:right="39"/>
              <w:rPr>
                <w:sz w:val="13"/>
              </w:rPr>
            </w:pPr>
            <w:r>
              <w:rPr>
                <w:color w:val="231F20"/>
                <w:spacing w:val="-2"/>
                <w:sz w:val="13"/>
              </w:rPr>
              <w:t>1.02000</w:t>
            </w:r>
          </w:p>
        </w:tc>
        <w:tc>
          <w:tcPr>
            <w:tcW w:w="575" w:type="dxa"/>
          </w:tcPr>
          <w:p>
            <w:pPr>
              <w:pStyle w:val="TableParagraph"/>
              <w:spacing w:line="152" w:lineRule="exact" w:before="14"/>
              <w:ind w:left="40" w:right="42"/>
              <w:rPr>
                <w:sz w:val="13"/>
              </w:rPr>
            </w:pPr>
            <w:r>
              <w:rPr>
                <w:color w:val="231F20"/>
                <w:spacing w:val="-2"/>
                <w:sz w:val="13"/>
              </w:rPr>
              <w:t>1.03000</w:t>
            </w:r>
          </w:p>
        </w:tc>
        <w:tc>
          <w:tcPr>
            <w:tcW w:w="575" w:type="dxa"/>
          </w:tcPr>
          <w:p>
            <w:pPr>
              <w:pStyle w:val="TableParagraph"/>
              <w:spacing w:line="152" w:lineRule="exact" w:before="14"/>
              <w:ind w:left="44" w:right="39"/>
              <w:rPr>
                <w:sz w:val="13"/>
              </w:rPr>
            </w:pPr>
            <w:r>
              <w:rPr>
                <w:color w:val="231F20"/>
                <w:spacing w:val="-2"/>
                <w:sz w:val="13"/>
              </w:rPr>
              <w:t>1.04000</w:t>
            </w:r>
          </w:p>
        </w:tc>
        <w:tc>
          <w:tcPr>
            <w:tcW w:w="565" w:type="dxa"/>
          </w:tcPr>
          <w:p>
            <w:pPr>
              <w:pStyle w:val="TableParagraph"/>
              <w:spacing w:line="152" w:lineRule="exact" w:before="14"/>
              <w:ind w:left="42" w:right="37"/>
              <w:rPr>
                <w:sz w:val="13"/>
              </w:rPr>
            </w:pPr>
            <w:r>
              <w:rPr>
                <w:color w:val="231F20"/>
                <w:spacing w:val="-2"/>
                <w:sz w:val="13"/>
              </w:rPr>
              <w:t>1.05000</w:t>
            </w:r>
          </w:p>
        </w:tc>
        <w:tc>
          <w:tcPr>
            <w:tcW w:w="570" w:type="dxa"/>
          </w:tcPr>
          <w:p>
            <w:pPr>
              <w:pStyle w:val="TableParagraph"/>
              <w:spacing w:line="152" w:lineRule="exact" w:before="14"/>
              <w:ind w:left="36" w:right="42"/>
              <w:rPr>
                <w:sz w:val="13"/>
              </w:rPr>
            </w:pPr>
            <w:r>
              <w:rPr>
                <w:color w:val="231F20"/>
                <w:spacing w:val="-2"/>
                <w:sz w:val="13"/>
              </w:rPr>
              <w:t>1.06000</w:t>
            </w:r>
          </w:p>
        </w:tc>
        <w:tc>
          <w:tcPr>
            <w:tcW w:w="574" w:type="dxa"/>
          </w:tcPr>
          <w:p>
            <w:pPr>
              <w:pStyle w:val="TableParagraph"/>
              <w:spacing w:line="152" w:lineRule="exact" w:before="14"/>
              <w:ind w:left="48" w:right="41"/>
              <w:rPr>
                <w:sz w:val="13"/>
              </w:rPr>
            </w:pPr>
            <w:r>
              <w:rPr>
                <w:color w:val="231F20"/>
                <w:spacing w:val="-2"/>
                <w:sz w:val="13"/>
              </w:rPr>
              <w:t>1.07000</w:t>
            </w:r>
          </w:p>
        </w:tc>
        <w:tc>
          <w:tcPr>
            <w:tcW w:w="645" w:type="dxa"/>
          </w:tcPr>
          <w:p>
            <w:pPr>
              <w:pStyle w:val="TableParagraph"/>
              <w:spacing w:line="152" w:lineRule="exact" w:before="14"/>
              <w:ind w:right="51"/>
              <w:jc w:val="right"/>
              <w:rPr>
                <w:sz w:val="13"/>
              </w:rPr>
            </w:pPr>
            <w:r>
              <w:rPr>
                <w:color w:val="231F20"/>
                <w:spacing w:val="-2"/>
                <w:sz w:val="13"/>
              </w:rPr>
              <w:t>1.08000</w:t>
            </w:r>
          </w:p>
        </w:tc>
        <w:tc>
          <w:tcPr>
            <w:tcW w:w="660" w:type="dxa"/>
            <w:tcBorders>
              <w:right w:val="single" w:sz="4" w:space="0" w:color="231F20"/>
            </w:tcBorders>
          </w:tcPr>
          <w:p>
            <w:pPr>
              <w:pStyle w:val="TableParagraph"/>
              <w:spacing w:line="152" w:lineRule="exact" w:before="14"/>
              <w:ind w:right="56"/>
              <w:jc w:val="right"/>
              <w:rPr>
                <w:sz w:val="13"/>
              </w:rPr>
            </w:pPr>
            <w:r>
              <w:rPr>
                <w:color w:val="231F20"/>
                <w:spacing w:val="-2"/>
                <w:sz w:val="13"/>
              </w:rPr>
              <w:t>1.09000</w:t>
            </w:r>
          </w:p>
        </w:tc>
        <w:tc>
          <w:tcPr>
            <w:tcW w:w="620" w:type="dxa"/>
            <w:tcBorders>
              <w:top w:val="single" w:sz="4" w:space="0" w:color="231F20"/>
              <w:left w:val="single" w:sz="4" w:space="0" w:color="231F20"/>
              <w:right w:val="single" w:sz="4" w:space="0" w:color="231F20"/>
            </w:tcBorders>
          </w:tcPr>
          <w:p>
            <w:pPr>
              <w:pStyle w:val="TableParagraph"/>
              <w:spacing w:line="152" w:lineRule="exact" w:before="14"/>
              <w:ind w:left="104" w:right="21"/>
              <w:rPr>
                <w:sz w:val="13"/>
              </w:rPr>
            </w:pPr>
            <w:r>
              <w:rPr>
                <w:color w:val="231F20"/>
                <w:spacing w:val="-2"/>
                <w:sz w:val="13"/>
              </w:rPr>
              <w:t>1.10000</w:t>
            </w:r>
          </w:p>
        </w:tc>
        <w:tc>
          <w:tcPr>
            <w:tcW w:w="670" w:type="dxa"/>
            <w:tcBorders>
              <w:left w:val="single" w:sz="4" w:space="0" w:color="231F20"/>
            </w:tcBorders>
          </w:tcPr>
          <w:p>
            <w:pPr>
              <w:pStyle w:val="TableParagraph"/>
              <w:spacing w:line="152" w:lineRule="exact" w:before="14"/>
              <w:ind w:right="36"/>
              <w:jc w:val="right"/>
              <w:rPr>
                <w:sz w:val="13"/>
              </w:rPr>
            </w:pPr>
            <w:r>
              <w:rPr>
                <w:color w:val="231F20"/>
                <w:spacing w:val="-2"/>
                <w:sz w:val="13"/>
              </w:rPr>
              <w:t>1.12000</w:t>
            </w:r>
          </w:p>
        </w:tc>
        <w:tc>
          <w:tcPr>
            <w:tcW w:w="640" w:type="dxa"/>
          </w:tcPr>
          <w:p>
            <w:pPr>
              <w:pStyle w:val="TableParagraph"/>
              <w:spacing w:line="152" w:lineRule="exact" w:before="14"/>
              <w:ind w:right="50"/>
              <w:jc w:val="right"/>
              <w:rPr>
                <w:sz w:val="13"/>
              </w:rPr>
            </w:pPr>
            <w:r>
              <w:rPr>
                <w:color w:val="231F20"/>
                <w:spacing w:val="-2"/>
                <w:sz w:val="13"/>
              </w:rPr>
              <w:t>1.14000</w:t>
            </w:r>
          </w:p>
        </w:tc>
        <w:tc>
          <w:tcPr>
            <w:tcW w:w="645" w:type="dxa"/>
          </w:tcPr>
          <w:p>
            <w:pPr>
              <w:pStyle w:val="TableParagraph"/>
              <w:spacing w:line="152" w:lineRule="exact" w:before="14"/>
              <w:ind w:right="45"/>
              <w:jc w:val="right"/>
              <w:rPr>
                <w:sz w:val="13"/>
              </w:rPr>
            </w:pPr>
            <w:r>
              <w:rPr>
                <w:color w:val="231F20"/>
                <w:spacing w:val="-2"/>
                <w:sz w:val="13"/>
              </w:rPr>
              <w:t>1.15000</w:t>
            </w:r>
          </w:p>
        </w:tc>
        <w:tc>
          <w:tcPr>
            <w:tcW w:w="644" w:type="dxa"/>
          </w:tcPr>
          <w:p>
            <w:pPr>
              <w:pStyle w:val="TableParagraph"/>
              <w:spacing w:line="152" w:lineRule="exact" w:before="14"/>
              <w:ind w:right="49"/>
              <w:jc w:val="right"/>
              <w:rPr>
                <w:sz w:val="13"/>
              </w:rPr>
            </w:pPr>
            <w:r>
              <w:rPr>
                <w:color w:val="231F20"/>
                <w:spacing w:val="-2"/>
                <w:sz w:val="13"/>
              </w:rPr>
              <w:t>1.16000</w:t>
            </w:r>
          </w:p>
        </w:tc>
        <w:tc>
          <w:tcPr>
            <w:tcW w:w="720" w:type="dxa"/>
          </w:tcPr>
          <w:p>
            <w:pPr>
              <w:pStyle w:val="TableParagraph"/>
              <w:spacing w:line="152" w:lineRule="exact" w:before="14"/>
              <w:ind w:right="49"/>
              <w:jc w:val="right"/>
              <w:rPr>
                <w:sz w:val="13"/>
              </w:rPr>
            </w:pPr>
            <w:r>
              <w:rPr>
                <w:color w:val="231F20"/>
                <w:spacing w:val="-2"/>
                <w:sz w:val="13"/>
              </w:rPr>
              <w:t>1.18000</w:t>
            </w:r>
          </w:p>
        </w:tc>
        <w:tc>
          <w:tcPr>
            <w:tcW w:w="720" w:type="dxa"/>
          </w:tcPr>
          <w:p>
            <w:pPr>
              <w:pStyle w:val="TableParagraph"/>
              <w:spacing w:line="152" w:lineRule="exact" w:before="14"/>
              <w:ind w:right="49"/>
              <w:jc w:val="right"/>
              <w:rPr>
                <w:sz w:val="13"/>
              </w:rPr>
            </w:pPr>
            <w:r>
              <w:rPr>
                <w:color w:val="231F20"/>
                <w:spacing w:val="-2"/>
                <w:sz w:val="13"/>
              </w:rPr>
              <w:t>1.20000</w:t>
            </w:r>
          </w:p>
        </w:tc>
        <w:tc>
          <w:tcPr>
            <w:tcW w:w="700" w:type="dxa"/>
          </w:tcPr>
          <w:p>
            <w:pPr>
              <w:pStyle w:val="TableParagraph"/>
              <w:spacing w:line="152" w:lineRule="exact" w:before="14"/>
              <w:ind w:right="29"/>
              <w:jc w:val="right"/>
              <w:rPr>
                <w:sz w:val="13"/>
              </w:rPr>
            </w:pPr>
            <w:r>
              <w:rPr>
                <w:color w:val="231F20"/>
                <w:spacing w:val="-2"/>
                <w:sz w:val="13"/>
              </w:rPr>
              <w:t>1.25000</w:t>
            </w:r>
          </w:p>
        </w:tc>
      </w:tr>
      <w:tr>
        <w:trPr>
          <w:trHeight w:val="189" w:hRule="atLeast"/>
        </w:trPr>
        <w:tc>
          <w:tcPr>
            <w:tcW w:w="290" w:type="dxa"/>
          </w:tcPr>
          <w:p>
            <w:pPr>
              <w:pStyle w:val="TableParagraph"/>
              <w:spacing w:line="152" w:lineRule="exact"/>
              <w:ind w:left="98"/>
              <w:rPr>
                <w:sz w:val="13"/>
              </w:rPr>
            </w:pPr>
            <w:r>
              <w:rPr>
                <w:color w:val="231F20"/>
                <w:w w:val="100"/>
                <w:sz w:val="13"/>
              </w:rPr>
              <w:t>2</w:t>
            </w:r>
          </w:p>
        </w:tc>
        <w:tc>
          <w:tcPr>
            <w:tcW w:w="573" w:type="dxa"/>
          </w:tcPr>
          <w:p>
            <w:pPr>
              <w:pStyle w:val="TableParagraph"/>
              <w:spacing w:line="152" w:lineRule="exact"/>
              <w:ind w:left="45" w:right="42"/>
              <w:rPr>
                <w:sz w:val="13"/>
              </w:rPr>
            </w:pPr>
            <w:r>
              <w:rPr>
                <w:color w:val="231F20"/>
                <w:spacing w:val="-2"/>
                <w:sz w:val="13"/>
              </w:rPr>
              <w:t>1.02010</w:t>
            </w:r>
          </w:p>
        </w:tc>
        <w:tc>
          <w:tcPr>
            <w:tcW w:w="570" w:type="dxa"/>
          </w:tcPr>
          <w:p>
            <w:pPr>
              <w:pStyle w:val="TableParagraph"/>
              <w:spacing w:line="152" w:lineRule="exact"/>
              <w:ind w:left="39" w:right="39"/>
              <w:rPr>
                <w:sz w:val="13"/>
              </w:rPr>
            </w:pPr>
            <w:r>
              <w:rPr>
                <w:color w:val="231F20"/>
                <w:spacing w:val="-2"/>
                <w:sz w:val="13"/>
              </w:rPr>
              <w:t>1.04040</w:t>
            </w:r>
          </w:p>
        </w:tc>
        <w:tc>
          <w:tcPr>
            <w:tcW w:w="575" w:type="dxa"/>
          </w:tcPr>
          <w:p>
            <w:pPr>
              <w:pStyle w:val="TableParagraph"/>
              <w:spacing w:line="152" w:lineRule="exact"/>
              <w:ind w:left="40" w:right="42"/>
              <w:rPr>
                <w:sz w:val="13"/>
              </w:rPr>
            </w:pPr>
            <w:r>
              <w:rPr>
                <w:color w:val="231F20"/>
                <w:spacing w:val="-2"/>
                <w:sz w:val="13"/>
              </w:rPr>
              <w:t>1.06090</w:t>
            </w:r>
          </w:p>
        </w:tc>
        <w:tc>
          <w:tcPr>
            <w:tcW w:w="575" w:type="dxa"/>
          </w:tcPr>
          <w:p>
            <w:pPr>
              <w:pStyle w:val="TableParagraph"/>
              <w:spacing w:line="152" w:lineRule="exact"/>
              <w:ind w:left="44" w:right="39"/>
              <w:rPr>
                <w:sz w:val="13"/>
              </w:rPr>
            </w:pPr>
            <w:r>
              <w:rPr>
                <w:color w:val="231F20"/>
                <w:spacing w:val="-2"/>
                <w:sz w:val="13"/>
              </w:rPr>
              <w:t>1.08160</w:t>
            </w:r>
          </w:p>
        </w:tc>
        <w:tc>
          <w:tcPr>
            <w:tcW w:w="565" w:type="dxa"/>
          </w:tcPr>
          <w:p>
            <w:pPr>
              <w:pStyle w:val="TableParagraph"/>
              <w:spacing w:line="152" w:lineRule="exact"/>
              <w:ind w:left="42" w:right="37"/>
              <w:rPr>
                <w:sz w:val="13"/>
              </w:rPr>
            </w:pPr>
            <w:r>
              <w:rPr>
                <w:color w:val="231F20"/>
                <w:spacing w:val="-2"/>
                <w:sz w:val="13"/>
              </w:rPr>
              <w:t>1.10250</w:t>
            </w:r>
          </w:p>
        </w:tc>
        <w:tc>
          <w:tcPr>
            <w:tcW w:w="570" w:type="dxa"/>
          </w:tcPr>
          <w:p>
            <w:pPr>
              <w:pStyle w:val="TableParagraph"/>
              <w:spacing w:line="152" w:lineRule="exact"/>
              <w:ind w:left="36" w:right="42"/>
              <w:rPr>
                <w:sz w:val="13"/>
              </w:rPr>
            </w:pPr>
            <w:r>
              <w:rPr>
                <w:color w:val="231F20"/>
                <w:spacing w:val="-2"/>
                <w:sz w:val="13"/>
              </w:rPr>
              <w:t>1.12360</w:t>
            </w:r>
          </w:p>
        </w:tc>
        <w:tc>
          <w:tcPr>
            <w:tcW w:w="574" w:type="dxa"/>
          </w:tcPr>
          <w:p>
            <w:pPr>
              <w:pStyle w:val="TableParagraph"/>
              <w:spacing w:line="152" w:lineRule="exact"/>
              <w:ind w:left="48" w:right="41"/>
              <w:rPr>
                <w:sz w:val="13"/>
              </w:rPr>
            </w:pPr>
            <w:r>
              <w:rPr>
                <w:color w:val="231F20"/>
                <w:spacing w:val="-2"/>
                <w:sz w:val="13"/>
              </w:rPr>
              <w:t>1.14490</w:t>
            </w:r>
          </w:p>
        </w:tc>
        <w:tc>
          <w:tcPr>
            <w:tcW w:w="645" w:type="dxa"/>
          </w:tcPr>
          <w:p>
            <w:pPr>
              <w:pStyle w:val="TableParagraph"/>
              <w:spacing w:line="152" w:lineRule="exact"/>
              <w:ind w:right="51"/>
              <w:jc w:val="right"/>
              <w:rPr>
                <w:sz w:val="13"/>
              </w:rPr>
            </w:pPr>
            <w:r>
              <w:rPr>
                <w:color w:val="231F20"/>
                <w:spacing w:val="-2"/>
                <w:sz w:val="13"/>
              </w:rPr>
              <w:t>1.16640</w:t>
            </w:r>
          </w:p>
        </w:tc>
        <w:tc>
          <w:tcPr>
            <w:tcW w:w="660" w:type="dxa"/>
            <w:tcBorders>
              <w:right w:val="single" w:sz="4" w:space="0" w:color="231F20"/>
            </w:tcBorders>
          </w:tcPr>
          <w:p>
            <w:pPr>
              <w:pStyle w:val="TableParagraph"/>
              <w:spacing w:line="152" w:lineRule="exact"/>
              <w:ind w:right="56"/>
              <w:jc w:val="right"/>
              <w:rPr>
                <w:sz w:val="13"/>
              </w:rPr>
            </w:pPr>
            <w:r>
              <w:rPr>
                <w:color w:val="231F20"/>
                <w:spacing w:val="-2"/>
                <w:sz w:val="13"/>
              </w:rPr>
              <w:t>1.18810</w:t>
            </w:r>
          </w:p>
        </w:tc>
        <w:tc>
          <w:tcPr>
            <w:tcW w:w="620" w:type="dxa"/>
            <w:tcBorders>
              <w:left w:val="single" w:sz="4" w:space="0" w:color="231F20"/>
              <w:right w:val="single" w:sz="4" w:space="0" w:color="231F20"/>
            </w:tcBorders>
          </w:tcPr>
          <w:p>
            <w:pPr>
              <w:pStyle w:val="TableParagraph"/>
              <w:spacing w:line="152" w:lineRule="exact"/>
              <w:ind w:left="104" w:right="21"/>
              <w:rPr>
                <w:sz w:val="13"/>
              </w:rPr>
            </w:pPr>
            <w:r>
              <w:rPr>
                <w:color w:val="231F20"/>
                <w:spacing w:val="-2"/>
                <w:sz w:val="13"/>
              </w:rPr>
              <w:t>1.21000</w:t>
            </w:r>
          </w:p>
        </w:tc>
        <w:tc>
          <w:tcPr>
            <w:tcW w:w="670" w:type="dxa"/>
            <w:tcBorders>
              <w:left w:val="single" w:sz="4" w:space="0" w:color="231F20"/>
            </w:tcBorders>
          </w:tcPr>
          <w:p>
            <w:pPr>
              <w:pStyle w:val="TableParagraph"/>
              <w:spacing w:line="152" w:lineRule="exact"/>
              <w:ind w:right="36"/>
              <w:jc w:val="right"/>
              <w:rPr>
                <w:sz w:val="13"/>
              </w:rPr>
            </w:pPr>
            <w:r>
              <w:rPr>
                <w:color w:val="231F20"/>
                <w:spacing w:val="-2"/>
                <w:sz w:val="13"/>
              </w:rPr>
              <w:t>1.25440</w:t>
            </w:r>
          </w:p>
        </w:tc>
        <w:tc>
          <w:tcPr>
            <w:tcW w:w="640" w:type="dxa"/>
          </w:tcPr>
          <w:p>
            <w:pPr>
              <w:pStyle w:val="TableParagraph"/>
              <w:spacing w:line="152" w:lineRule="exact"/>
              <w:ind w:right="50"/>
              <w:jc w:val="right"/>
              <w:rPr>
                <w:sz w:val="13"/>
              </w:rPr>
            </w:pPr>
            <w:r>
              <w:rPr>
                <w:color w:val="231F20"/>
                <w:spacing w:val="-2"/>
                <w:sz w:val="13"/>
              </w:rPr>
              <w:t>1.29960</w:t>
            </w:r>
          </w:p>
        </w:tc>
        <w:tc>
          <w:tcPr>
            <w:tcW w:w="645" w:type="dxa"/>
          </w:tcPr>
          <w:p>
            <w:pPr>
              <w:pStyle w:val="TableParagraph"/>
              <w:spacing w:line="152" w:lineRule="exact"/>
              <w:ind w:right="45"/>
              <w:jc w:val="right"/>
              <w:rPr>
                <w:sz w:val="13"/>
              </w:rPr>
            </w:pPr>
            <w:r>
              <w:rPr>
                <w:color w:val="231F20"/>
                <w:spacing w:val="-2"/>
                <w:sz w:val="13"/>
              </w:rPr>
              <w:t>1.32250</w:t>
            </w:r>
          </w:p>
        </w:tc>
        <w:tc>
          <w:tcPr>
            <w:tcW w:w="644" w:type="dxa"/>
          </w:tcPr>
          <w:p>
            <w:pPr>
              <w:pStyle w:val="TableParagraph"/>
              <w:spacing w:line="152" w:lineRule="exact"/>
              <w:ind w:right="49"/>
              <w:jc w:val="right"/>
              <w:rPr>
                <w:sz w:val="13"/>
              </w:rPr>
            </w:pPr>
            <w:r>
              <w:rPr>
                <w:color w:val="231F20"/>
                <w:spacing w:val="-2"/>
                <w:sz w:val="13"/>
              </w:rPr>
              <w:t>1.34560</w:t>
            </w:r>
          </w:p>
        </w:tc>
        <w:tc>
          <w:tcPr>
            <w:tcW w:w="720" w:type="dxa"/>
          </w:tcPr>
          <w:p>
            <w:pPr>
              <w:pStyle w:val="TableParagraph"/>
              <w:spacing w:line="152" w:lineRule="exact"/>
              <w:ind w:right="49"/>
              <w:jc w:val="right"/>
              <w:rPr>
                <w:sz w:val="13"/>
              </w:rPr>
            </w:pPr>
            <w:r>
              <w:rPr>
                <w:color w:val="231F20"/>
                <w:spacing w:val="-2"/>
                <w:sz w:val="13"/>
              </w:rPr>
              <w:t>1.39240</w:t>
            </w:r>
          </w:p>
        </w:tc>
        <w:tc>
          <w:tcPr>
            <w:tcW w:w="720" w:type="dxa"/>
          </w:tcPr>
          <w:p>
            <w:pPr>
              <w:pStyle w:val="TableParagraph"/>
              <w:spacing w:line="152" w:lineRule="exact"/>
              <w:ind w:right="49"/>
              <w:jc w:val="right"/>
              <w:rPr>
                <w:sz w:val="13"/>
              </w:rPr>
            </w:pPr>
            <w:r>
              <w:rPr>
                <w:color w:val="231F20"/>
                <w:spacing w:val="-2"/>
                <w:sz w:val="13"/>
              </w:rPr>
              <w:t>1.44000</w:t>
            </w:r>
          </w:p>
        </w:tc>
        <w:tc>
          <w:tcPr>
            <w:tcW w:w="700" w:type="dxa"/>
          </w:tcPr>
          <w:p>
            <w:pPr>
              <w:pStyle w:val="TableParagraph"/>
              <w:spacing w:line="152" w:lineRule="exact"/>
              <w:ind w:right="29"/>
              <w:jc w:val="right"/>
              <w:rPr>
                <w:sz w:val="13"/>
              </w:rPr>
            </w:pPr>
            <w:r>
              <w:rPr>
                <w:color w:val="231F20"/>
                <w:spacing w:val="-2"/>
                <w:sz w:val="13"/>
              </w:rPr>
              <w:t>1.56250</w:t>
            </w:r>
          </w:p>
        </w:tc>
      </w:tr>
      <w:tr>
        <w:trPr>
          <w:trHeight w:val="189" w:hRule="atLeast"/>
        </w:trPr>
        <w:tc>
          <w:tcPr>
            <w:tcW w:w="290" w:type="dxa"/>
          </w:tcPr>
          <w:p>
            <w:pPr>
              <w:pStyle w:val="TableParagraph"/>
              <w:spacing w:line="152" w:lineRule="exact"/>
              <w:ind w:left="98"/>
              <w:rPr>
                <w:sz w:val="13"/>
              </w:rPr>
            </w:pPr>
            <w:r>
              <w:rPr>
                <w:color w:val="231F20"/>
                <w:w w:val="100"/>
                <w:sz w:val="13"/>
              </w:rPr>
              <w:t>3</w:t>
            </w:r>
          </w:p>
        </w:tc>
        <w:tc>
          <w:tcPr>
            <w:tcW w:w="573" w:type="dxa"/>
          </w:tcPr>
          <w:p>
            <w:pPr>
              <w:pStyle w:val="TableParagraph"/>
              <w:spacing w:line="152" w:lineRule="exact"/>
              <w:ind w:left="45" w:right="42"/>
              <w:rPr>
                <w:sz w:val="13"/>
              </w:rPr>
            </w:pPr>
            <w:r>
              <w:rPr>
                <w:color w:val="231F20"/>
                <w:spacing w:val="-2"/>
                <w:sz w:val="13"/>
              </w:rPr>
              <w:t>1.03030</w:t>
            </w:r>
          </w:p>
        </w:tc>
        <w:tc>
          <w:tcPr>
            <w:tcW w:w="570" w:type="dxa"/>
          </w:tcPr>
          <w:p>
            <w:pPr>
              <w:pStyle w:val="TableParagraph"/>
              <w:spacing w:line="152" w:lineRule="exact"/>
              <w:ind w:left="39" w:right="39"/>
              <w:rPr>
                <w:sz w:val="13"/>
              </w:rPr>
            </w:pPr>
            <w:r>
              <w:rPr>
                <w:color w:val="231F20"/>
                <w:spacing w:val="-2"/>
                <w:sz w:val="13"/>
              </w:rPr>
              <w:t>1.06121</w:t>
            </w:r>
          </w:p>
        </w:tc>
        <w:tc>
          <w:tcPr>
            <w:tcW w:w="575" w:type="dxa"/>
          </w:tcPr>
          <w:p>
            <w:pPr>
              <w:pStyle w:val="TableParagraph"/>
              <w:spacing w:line="152" w:lineRule="exact"/>
              <w:ind w:left="40" w:right="42"/>
              <w:rPr>
                <w:sz w:val="13"/>
              </w:rPr>
            </w:pPr>
            <w:r>
              <w:rPr>
                <w:color w:val="231F20"/>
                <w:spacing w:val="-2"/>
                <w:sz w:val="13"/>
              </w:rPr>
              <w:t>1.09273</w:t>
            </w:r>
          </w:p>
        </w:tc>
        <w:tc>
          <w:tcPr>
            <w:tcW w:w="575" w:type="dxa"/>
          </w:tcPr>
          <w:p>
            <w:pPr>
              <w:pStyle w:val="TableParagraph"/>
              <w:spacing w:line="152" w:lineRule="exact"/>
              <w:ind w:left="44" w:right="39"/>
              <w:rPr>
                <w:sz w:val="13"/>
              </w:rPr>
            </w:pPr>
            <w:r>
              <w:rPr>
                <w:color w:val="231F20"/>
                <w:spacing w:val="-2"/>
                <w:sz w:val="13"/>
              </w:rPr>
              <w:t>1.12486</w:t>
            </w:r>
          </w:p>
        </w:tc>
        <w:tc>
          <w:tcPr>
            <w:tcW w:w="565" w:type="dxa"/>
          </w:tcPr>
          <w:p>
            <w:pPr>
              <w:pStyle w:val="TableParagraph"/>
              <w:spacing w:line="152" w:lineRule="exact"/>
              <w:ind w:left="42" w:right="37"/>
              <w:rPr>
                <w:sz w:val="13"/>
              </w:rPr>
            </w:pPr>
            <w:r>
              <w:rPr>
                <w:color w:val="231F20"/>
                <w:spacing w:val="-2"/>
                <w:sz w:val="13"/>
              </w:rPr>
              <w:t>1.15763</w:t>
            </w:r>
          </w:p>
        </w:tc>
        <w:tc>
          <w:tcPr>
            <w:tcW w:w="570" w:type="dxa"/>
          </w:tcPr>
          <w:p>
            <w:pPr>
              <w:pStyle w:val="TableParagraph"/>
              <w:spacing w:line="152" w:lineRule="exact"/>
              <w:ind w:left="36" w:right="42"/>
              <w:rPr>
                <w:sz w:val="13"/>
              </w:rPr>
            </w:pPr>
            <w:r>
              <w:rPr>
                <w:color w:val="231F20"/>
                <w:spacing w:val="-2"/>
                <w:sz w:val="13"/>
              </w:rPr>
              <w:t>1.19102</w:t>
            </w:r>
          </w:p>
        </w:tc>
        <w:tc>
          <w:tcPr>
            <w:tcW w:w="574" w:type="dxa"/>
          </w:tcPr>
          <w:p>
            <w:pPr>
              <w:pStyle w:val="TableParagraph"/>
              <w:spacing w:line="152" w:lineRule="exact"/>
              <w:ind w:left="48" w:right="41"/>
              <w:rPr>
                <w:sz w:val="13"/>
              </w:rPr>
            </w:pPr>
            <w:r>
              <w:rPr>
                <w:color w:val="231F20"/>
                <w:spacing w:val="-2"/>
                <w:sz w:val="13"/>
              </w:rPr>
              <w:t>1.22504</w:t>
            </w:r>
          </w:p>
        </w:tc>
        <w:tc>
          <w:tcPr>
            <w:tcW w:w="645" w:type="dxa"/>
          </w:tcPr>
          <w:p>
            <w:pPr>
              <w:pStyle w:val="TableParagraph"/>
              <w:spacing w:line="152" w:lineRule="exact"/>
              <w:ind w:right="51"/>
              <w:jc w:val="right"/>
              <w:rPr>
                <w:sz w:val="13"/>
              </w:rPr>
            </w:pPr>
            <w:r>
              <w:rPr>
                <w:color w:val="231F20"/>
                <w:spacing w:val="-2"/>
                <w:sz w:val="13"/>
              </w:rPr>
              <w:t>1.25971</w:t>
            </w:r>
          </w:p>
        </w:tc>
        <w:tc>
          <w:tcPr>
            <w:tcW w:w="660" w:type="dxa"/>
            <w:tcBorders>
              <w:right w:val="single" w:sz="4" w:space="0" w:color="231F20"/>
            </w:tcBorders>
          </w:tcPr>
          <w:p>
            <w:pPr>
              <w:pStyle w:val="TableParagraph"/>
              <w:spacing w:line="152" w:lineRule="exact"/>
              <w:ind w:right="56"/>
              <w:jc w:val="right"/>
              <w:rPr>
                <w:sz w:val="13"/>
              </w:rPr>
            </w:pPr>
            <w:r>
              <w:rPr>
                <w:color w:val="231F20"/>
                <w:spacing w:val="-2"/>
                <w:sz w:val="13"/>
              </w:rPr>
              <w:t>1.29503</w:t>
            </w:r>
          </w:p>
        </w:tc>
        <w:tc>
          <w:tcPr>
            <w:tcW w:w="620" w:type="dxa"/>
            <w:tcBorders>
              <w:left w:val="single" w:sz="4" w:space="0" w:color="231F20"/>
              <w:right w:val="single" w:sz="4" w:space="0" w:color="231F20"/>
            </w:tcBorders>
          </w:tcPr>
          <w:p>
            <w:pPr>
              <w:pStyle w:val="TableParagraph"/>
              <w:spacing w:line="152" w:lineRule="exact"/>
              <w:ind w:left="104" w:right="21"/>
              <w:rPr>
                <w:sz w:val="13"/>
              </w:rPr>
            </w:pPr>
            <w:r>
              <w:rPr>
                <w:color w:val="231F20"/>
                <w:spacing w:val="-2"/>
                <w:sz w:val="13"/>
              </w:rPr>
              <w:t>1.33100</w:t>
            </w:r>
          </w:p>
        </w:tc>
        <w:tc>
          <w:tcPr>
            <w:tcW w:w="670" w:type="dxa"/>
            <w:tcBorders>
              <w:left w:val="single" w:sz="4" w:space="0" w:color="231F20"/>
            </w:tcBorders>
          </w:tcPr>
          <w:p>
            <w:pPr>
              <w:pStyle w:val="TableParagraph"/>
              <w:spacing w:line="152" w:lineRule="exact"/>
              <w:ind w:right="36"/>
              <w:jc w:val="right"/>
              <w:rPr>
                <w:sz w:val="13"/>
              </w:rPr>
            </w:pPr>
            <w:r>
              <w:rPr>
                <w:color w:val="231F20"/>
                <w:spacing w:val="-2"/>
                <w:sz w:val="13"/>
              </w:rPr>
              <w:t>1.40493</w:t>
            </w:r>
          </w:p>
        </w:tc>
        <w:tc>
          <w:tcPr>
            <w:tcW w:w="640" w:type="dxa"/>
          </w:tcPr>
          <w:p>
            <w:pPr>
              <w:pStyle w:val="TableParagraph"/>
              <w:spacing w:line="152" w:lineRule="exact"/>
              <w:ind w:right="50"/>
              <w:jc w:val="right"/>
              <w:rPr>
                <w:sz w:val="13"/>
              </w:rPr>
            </w:pPr>
            <w:r>
              <w:rPr>
                <w:color w:val="231F20"/>
                <w:spacing w:val="-2"/>
                <w:sz w:val="13"/>
              </w:rPr>
              <w:t>1.48154</w:t>
            </w:r>
          </w:p>
        </w:tc>
        <w:tc>
          <w:tcPr>
            <w:tcW w:w="645" w:type="dxa"/>
          </w:tcPr>
          <w:p>
            <w:pPr>
              <w:pStyle w:val="TableParagraph"/>
              <w:spacing w:line="152" w:lineRule="exact"/>
              <w:ind w:right="45"/>
              <w:jc w:val="right"/>
              <w:rPr>
                <w:sz w:val="13"/>
              </w:rPr>
            </w:pPr>
            <w:r>
              <w:rPr>
                <w:color w:val="231F20"/>
                <w:spacing w:val="-2"/>
                <w:sz w:val="13"/>
              </w:rPr>
              <w:t>1.52088</w:t>
            </w:r>
          </w:p>
        </w:tc>
        <w:tc>
          <w:tcPr>
            <w:tcW w:w="644" w:type="dxa"/>
          </w:tcPr>
          <w:p>
            <w:pPr>
              <w:pStyle w:val="TableParagraph"/>
              <w:spacing w:line="152" w:lineRule="exact"/>
              <w:ind w:right="49"/>
              <w:jc w:val="right"/>
              <w:rPr>
                <w:sz w:val="13"/>
              </w:rPr>
            </w:pPr>
            <w:r>
              <w:rPr>
                <w:color w:val="231F20"/>
                <w:spacing w:val="-2"/>
                <w:sz w:val="13"/>
              </w:rPr>
              <w:t>1.56090</w:t>
            </w:r>
          </w:p>
        </w:tc>
        <w:tc>
          <w:tcPr>
            <w:tcW w:w="720" w:type="dxa"/>
          </w:tcPr>
          <w:p>
            <w:pPr>
              <w:pStyle w:val="TableParagraph"/>
              <w:spacing w:line="152" w:lineRule="exact"/>
              <w:ind w:right="49"/>
              <w:jc w:val="right"/>
              <w:rPr>
                <w:sz w:val="13"/>
              </w:rPr>
            </w:pPr>
            <w:r>
              <w:rPr>
                <w:color w:val="231F20"/>
                <w:spacing w:val="-2"/>
                <w:sz w:val="13"/>
              </w:rPr>
              <w:t>1.64303</w:t>
            </w:r>
          </w:p>
        </w:tc>
        <w:tc>
          <w:tcPr>
            <w:tcW w:w="720" w:type="dxa"/>
          </w:tcPr>
          <w:p>
            <w:pPr>
              <w:pStyle w:val="TableParagraph"/>
              <w:spacing w:line="152" w:lineRule="exact"/>
              <w:ind w:right="49"/>
              <w:jc w:val="right"/>
              <w:rPr>
                <w:sz w:val="13"/>
              </w:rPr>
            </w:pPr>
            <w:r>
              <w:rPr>
                <w:color w:val="231F20"/>
                <w:spacing w:val="-2"/>
                <w:sz w:val="13"/>
              </w:rPr>
              <w:t>1.72800</w:t>
            </w:r>
          </w:p>
        </w:tc>
        <w:tc>
          <w:tcPr>
            <w:tcW w:w="700" w:type="dxa"/>
          </w:tcPr>
          <w:p>
            <w:pPr>
              <w:pStyle w:val="TableParagraph"/>
              <w:spacing w:line="152" w:lineRule="exact"/>
              <w:ind w:right="29"/>
              <w:jc w:val="right"/>
              <w:rPr>
                <w:sz w:val="13"/>
              </w:rPr>
            </w:pPr>
            <w:r>
              <w:rPr>
                <w:color w:val="231F20"/>
                <w:spacing w:val="-2"/>
                <w:sz w:val="13"/>
              </w:rPr>
              <w:t>1.95313</w:t>
            </w:r>
          </w:p>
        </w:tc>
      </w:tr>
      <w:tr>
        <w:trPr>
          <w:trHeight w:val="189" w:hRule="atLeast"/>
        </w:trPr>
        <w:tc>
          <w:tcPr>
            <w:tcW w:w="290" w:type="dxa"/>
          </w:tcPr>
          <w:p>
            <w:pPr>
              <w:pStyle w:val="TableParagraph"/>
              <w:spacing w:line="152" w:lineRule="exact"/>
              <w:ind w:left="98"/>
              <w:rPr>
                <w:sz w:val="13"/>
              </w:rPr>
            </w:pPr>
            <w:r>
              <w:rPr>
                <w:color w:val="231F20"/>
                <w:w w:val="100"/>
                <w:sz w:val="13"/>
              </w:rPr>
              <w:t>4</w:t>
            </w:r>
          </w:p>
        </w:tc>
        <w:tc>
          <w:tcPr>
            <w:tcW w:w="573" w:type="dxa"/>
          </w:tcPr>
          <w:p>
            <w:pPr>
              <w:pStyle w:val="TableParagraph"/>
              <w:spacing w:line="152" w:lineRule="exact"/>
              <w:ind w:left="45" w:right="42"/>
              <w:rPr>
                <w:sz w:val="13"/>
              </w:rPr>
            </w:pPr>
            <w:r>
              <w:rPr>
                <w:color w:val="231F20"/>
                <w:spacing w:val="-2"/>
                <w:sz w:val="13"/>
              </w:rPr>
              <w:t>1.04060</w:t>
            </w:r>
          </w:p>
        </w:tc>
        <w:tc>
          <w:tcPr>
            <w:tcW w:w="570" w:type="dxa"/>
          </w:tcPr>
          <w:p>
            <w:pPr>
              <w:pStyle w:val="TableParagraph"/>
              <w:spacing w:line="152" w:lineRule="exact"/>
              <w:ind w:left="39" w:right="39"/>
              <w:rPr>
                <w:sz w:val="13"/>
              </w:rPr>
            </w:pPr>
            <w:r>
              <w:rPr>
                <w:color w:val="231F20"/>
                <w:spacing w:val="-2"/>
                <w:sz w:val="13"/>
              </w:rPr>
              <w:t>1.08243</w:t>
            </w:r>
          </w:p>
        </w:tc>
        <w:tc>
          <w:tcPr>
            <w:tcW w:w="575" w:type="dxa"/>
          </w:tcPr>
          <w:p>
            <w:pPr>
              <w:pStyle w:val="TableParagraph"/>
              <w:spacing w:line="152" w:lineRule="exact"/>
              <w:ind w:left="40" w:right="42"/>
              <w:rPr>
                <w:sz w:val="13"/>
              </w:rPr>
            </w:pPr>
            <w:r>
              <w:rPr>
                <w:color w:val="231F20"/>
                <w:spacing w:val="-2"/>
                <w:sz w:val="13"/>
              </w:rPr>
              <w:t>1.12551</w:t>
            </w:r>
          </w:p>
        </w:tc>
        <w:tc>
          <w:tcPr>
            <w:tcW w:w="575" w:type="dxa"/>
          </w:tcPr>
          <w:p>
            <w:pPr>
              <w:pStyle w:val="TableParagraph"/>
              <w:spacing w:line="152" w:lineRule="exact"/>
              <w:ind w:left="44" w:right="39"/>
              <w:rPr>
                <w:sz w:val="13"/>
              </w:rPr>
            </w:pPr>
            <w:r>
              <w:rPr>
                <w:color w:val="231F20"/>
                <w:spacing w:val="-2"/>
                <w:sz w:val="13"/>
              </w:rPr>
              <w:t>1.16986</w:t>
            </w:r>
          </w:p>
        </w:tc>
        <w:tc>
          <w:tcPr>
            <w:tcW w:w="565" w:type="dxa"/>
          </w:tcPr>
          <w:p>
            <w:pPr>
              <w:pStyle w:val="TableParagraph"/>
              <w:spacing w:line="152" w:lineRule="exact"/>
              <w:ind w:left="42" w:right="37"/>
              <w:rPr>
                <w:sz w:val="13"/>
              </w:rPr>
            </w:pPr>
            <w:r>
              <w:rPr>
                <w:color w:val="231F20"/>
                <w:spacing w:val="-2"/>
                <w:sz w:val="13"/>
              </w:rPr>
              <w:t>1.21551</w:t>
            </w:r>
          </w:p>
        </w:tc>
        <w:tc>
          <w:tcPr>
            <w:tcW w:w="570" w:type="dxa"/>
          </w:tcPr>
          <w:p>
            <w:pPr>
              <w:pStyle w:val="TableParagraph"/>
              <w:spacing w:line="152" w:lineRule="exact"/>
              <w:ind w:left="36" w:right="42"/>
              <w:rPr>
                <w:sz w:val="13"/>
              </w:rPr>
            </w:pPr>
            <w:r>
              <w:rPr>
                <w:color w:val="231F20"/>
                <w:spacing w:val="-2"/>
                <w:sz w:val="13"/>
              </w:rPr>
              <w:t>1.26248</w:t>
            </w:r>
          </w:p>
        </w:tc>
        <w:tc>
          <w:tcPr>
            <w:tcW w:w="574" w:type="dxa"/>
          </w:tcPr>
          <w:p>
            <w:pPr>
              <w:pStyle w:val="TableParagraph"/>
              <w:spacing w:line="152" w:lineRule="exact"/>
              <w:ind w:left="48" w:right="41"/>
              <w:rPr>
                <w:sz w:val="13"/>
              </w:rPr>
            </w:pPr>
            <w:r>
              <w:rPr>
                <w:color w:val="231F20"/>
                <w:spacing w:val="-2"/>
                <w:sz w:val="13"/>
              </w:rPr>
              <w:t>1.31080</w:t>
            </w:r>
          </w:p>
        </w:tc>
        <w:tc>
          <w:tcPr>
            <w:tcW w:w="645" w:type="dxa"/>
          </w:tcPr>
          <w:p>
            <w:pPr>
              <w:pStyle w:val="TableParagraph"/>
              <w:spacing w:line="152" w:lineRule="exact"/>
              <w:ind w:right="51"/>
              <w:jc w:val="right"/>
              <w:rPr>
                <w:sz w:val="13"/>
              </w:rPr>
            </w:pPr>
            <w:r>
              <w:rPr>
                <w:color w:val="231F20"/>
                <w:spacing w:val="-2"/>
                <w:sz w:val="13"/>
              </w:rPr>
              <w:t>1.36049</w:t>
            </w:r>
          </w:p>
        </w:tc>
        <w:tc>
          <w:tcPr>
            <w:tcW w:w="660" w:type="dxa"/>
            <w:tcBorders>
              <w:right w:val="single" w:sz="4" w:space="0" w:color="231F20"/>
            </w:tcBorders>
          </w:tcPr>
          <w:p>
            <w:pPr>
              <w:pStyle w:val="TableParagraph"/>
              <w:spacing w:line="152" w:lineRule="exact"/>
              <w:ind w:right="56"/>
              <w:jc w:val="right"/>
              <w:rPr>
                <w:sz w:val="13"/>
              </w:rPr>
            </w:pPr>
            <w:r>
              <w:rPr>
                <w:color w:val="231F20"/>
                <w:spacing w:val="-2"/>
                <w:sz w:val="13"/>
              </w:rPr>
              <w:t>1.41158</w:t>
            </w:r>
          </w:p>
        </w:tc>
        <w:tc>
          <w:tcPr>
            <w:tcW w:w="620" w:type="dxa"/>
            <w:tcBorders>
              <w:left w:val="single" w:sz="4" w:space="0" w:color="231F20"/>
              <w:right w:val="single" w:sz="4" w:space="0" w:color="231F20"/>
            </w:tcBorders>
          </w:tcPr>
          <w:p>
            <w:pPr>
              <w:pStyle w:val="TableParagraph"/>
              <w:spacing w:line="152" w:lineRule="exact"/>
              <w:ind w:left="104" w:right="21"/>
              <w:rPr>
                <w:sz w:val="13"/>
              </w:rPr>
            </w:pPr>
            <w:r>
              <w:rPr>
                <w:color w:val="231F20"/>
                <w:spacing w:val="-2"/>
                <w:sz w:val="13"/>
              </w:rPr>
              <w:t>1.46410</w:t>
            </w:r>
          </w:p>
        </w:tc>
        <w:tc>
          <w:tcPr>
            <w:tcW w:w="670" w:type="dxa"/>
            <w:tcBorders>
              <w:left w:val="single" w:sz="4" w:space="0" w:color="231F20"/>
            </w:tcBorders>
          </w:tcPr>
          <w:p>
            <w:pPr>
              <w:pStyle w:val="TableParagraph"/>
              <w:spacing w:line="152" w:lineRule="exact"/>
              <w:ind w:right="36"/>
              <w:jc w:val="right"/>
              <w:rPr>
                <w:sz w:val="13"/>
              </w:rPr>
            </w:pPr>
            <w:r>
              <w:rPr>
                <w:color w:val="231F20"/>
                <w:spacing w:val="-2"/>
                <w:sz w:val="13"/>
              </w:rPr>
              <w:t>1.57352</w:t>
            </w:r>
          </w:p>
        </w:tc>
        <w:tc>
          <w:tcPr>
            <w:tcW w:w="640" w:type="dxa"/>
          </w:tcPr>
          <w:p>
            <w:pPr>
              <w:pStyle w:val="TableParagraph"/>
              <w:spacing w:line="152" w:lineRule="exact"/>
              <w:ind w:right="50"/>
              <w:jc w:val="right"/>
              <w:rPr>
                <w:sz w:val="13"/>
              </w:rPr>
            </w:pPr>
            <w:r>
              <w:rPr>
                <w:color w:val="231F20"/>
                <w:spacing w:val="-2"/>
                <w:sz w:val="13"/>
              </w:rPr>
              <w:t>1.68896</w:t>
            </w:r>
          </w:p>
        </w:tc>
        <w:tc>
          <w:tcPr>
            <w:tcW w:w="645" w:type="dxa"/>
          </w:tcPr>
          <w:p>
            <w:pPr>
              <w:pStyle w:val="TableParagraph"/>
              <w:spacing w:line="152" w:lineRule="exact"/>
              <w:ind w:right="45"/>
              <w:jc w:val="right"/>
              <w:rPr>
                <w:sz w:val="13"/>
              </w:rPr>
            </w:pPr>
            <w:r>
              <w:rPr>
                <w:color w:val="231F20"/>
                <w:spacing w:val="-2"/>
                <w:sz w:val="13"/>
              </w:rPr>
              <w:t>1.74901</w:t>
            </w:r>
          </w:p>
        </w:tc>
        <w:tc>
          <w:tcPr>
            <w:tcW w:w="644" w:type="dxa"/>
          </w:tcPr>
          <w:p>
            <w:pPr>
              <w:pStyle w:val="TableParagraph"/>
              <w:spacing w:line="152" w:lineRule="exact"/>
              <w:ind w:right="49"/>
              <w:jc w:val="right"/>
              <w:rPr>
                <w:sz w:val="13"/>
              </w:rPr>
            </w:pPr>
            <w:r>
              <w:rPr>
                <w:color w:val="231F20"/>
                <w:spacing w:val="-2"/>
                <w:sz w:val="13"/>
              </w:rPr>
              <w:t>1.81064</w:t>
            </w:r>
          </w:p>
        </w:tc>
        <w:tc>
          <w:tcPr>
            <w:tcW w:w="720" w:type="dxa"/>
          </w:tcPr>
          <w:p>
            <w:pPr>
              <w:pStyle w:val="TableParagraph"/>
              <w:spacing w:line="152" w:lineRule="exact"/>
              <w:ind w:right="49"/>
              <w:jc w:val="right"/>
              <w:rPr>
                <w:sz w:val="13"/>
              </w:rPr>
            </w:pPr>
            <w:r>
              <w:rPr>
                <w:color w:val="231F20"/>
                <w:spacing w:val="-2"/>
                <w:sz w:val="13"/>
              </w:rPr>
              <w:t>1.93878</w:t>
            </w:r>
          </w:p>
        </w:tc>
        <w:tc>
          <w:tcPr>
            <w:tcW w:w="720" w:type="dxa"/>
          </w:tcPr>
          <w:p>
            <w:pPr>
              <w:pStyle w:val="TableParagraph"/>
              <w:spacing w:line="152" w:lineRule="exact"/>
              <w:ind w:right="49"/>
              <w:jc w:val="right"/>
              <w:rPr>
                <w:sz w:val="13"/>
              </w:rPr>
            </w:pPr>
            <w:r>
              <w:rPr>
                <w:color w:val="231F20"/>
                <w:spacing w:val="-2"/>
                <w:sz w:val="13"/>
              </w:rPr>
              <w:t>2.07360</w:t>
            </w:r>
          </w:p>
        </w:tc>
        <w:tc>
          <w:tcPr>
            <w:tcW w:w="700" w:type="dxa"/>
          </w:tcPr>
          <w:p>
            <w:pPr>
              <w:pStyle w:val="TableParagraph"/>
              <w:spacing w:line="152" w:lineRule="exact"/>
              <w:ind w:right="29"/>
              <w:jc w:val="right"/>
              <w:rPr>
                <w:sz w:val="13"/>
              </w:rPr>
            </w:pPr>
            <w:r>
              <w:rPr>
                <w:color w:val="231F20"/>
                <w:spacing w:val="-2"/>
                <w:sz w:val="13"/>
              </w:rPr>
              <w:t>2.44141</w:t>
            </w:r>
          </w:p>
        </w:tc>
      </w:tr>
      <w:tr>
        <w:trPr>
          <w:trHeight w:val="174" w:hRule="atLeast"/>
        </w:trPr>
        <w:tc>
          <w:tcPr>
            <w:tcW w:w="290" w:type="dxa"/>
          </w:tcPr>
          <w:p>
            <w:pPr>
              <w:pStyle w:val="TableParagraph"/>
              <w:spacing w:line="136" w:lineRule="exact"/>
              <w:ind w:left="98"/>
              <w:rPr>
                <w:sz w:val="13"/>
              </w:rPr>
            </w:pPr>
            <w:r>
              <w:rPr>
                <w:color w:val="231F20"/>
                <w:w w:val="100"/>
                <w:sz w:val="13"/>
              </w:rPr>
              <w:t>5</w:t>
            </w:r>
          </w:p>
        </w:tc>
        <w:tc>
          <w:tcPr>
            <w:tcW w:w="573" w:type="dxa"/>
          </w:tcPr>
          <w:p>
            <w:pPr>
              <w:pStyle w:val="TableParagraph"/>
              <w:spacing w:line="136" w:lineRule="exact"/>
              <w:ind w:left="45" w:right="42"/>
              <w:rPr>
                <w:sz w:val="13"/>
              </w:rPr>
            </w:pPr>
            <w:r>
              <w:rPr>
                <w:color w:val="231F20"/>
                <w:spacing w:val="-2"/>
                <w:sz w:val="13"/>
              </w:rPr>
              <w:t>1.05101</w:t>
            </w:r>
          </w:p>
        </w:tc>
        <w:tc>
          <w:tcPr>
            <w:tcW w:w="570" w:type="dxa"/>
          </w:tcPr>
          <w:p>
            <w:pPr>
              <w:pStyle w:val="TableParagraph"/>
              <w:spacing w:line="136" w:lineRule="exact"/>
              <w:ind w:left="39" w:right="39"/>
              <w:rPr>
                <w:sz w:val="13"/>
              </w:rPr>
            </w:pPr>
            <w:r>
              <w:rPr>
                <w:color w:val="231F20"/>
                <w:spacing w:val="-2"/>
                <w:sz w:val="13"/>
              </w:rPr>
              <w:t>1.10408</w:t>
            </w:r>
          </w:p>
        </w:tc>
        <w:tc>
          <w:tcPr>
            <w:tcW w:w="575" w:type="dxa"/>
          </w:tcPr>
          <w:p>
            <w:pPr>
              <w:pStyle w:val="TableParagraph"/>
              <w:spacing w:line="136" w:lineRule="exact"/>
              <w:ind w:left="40" w:right="42"/>
              <w:rPr>
                <w:sz w:val="13"/>
              </w:rPr>
            </w:pPr>
            <w:r>
              <w:rPr>
                <w:color w:val="231F20"/>
                <w:spacing w:val="-2"/>
                <w:sz w:val="13"/>
              </w:rPr>
              <w:t>1.15927</w:t>
            </w:r>
          </w:p>
        </w:tc>
        <w:tc>
          <w:tcPr>
            <w:tcW w:w="575" w:type="dxa"/>
          </w:tcPr>
          <w:p>
            <w:pPr>
              <w:pStyle w:val="TableParagraph"/>
              <w:spacing w:line="136" w:lineRule="exact"/>
              <w:ind w:left="44" w:right="39"/>
              <w:rPr>
                <w:sz w:val="13"/>
              </w:rPr>
            </w:pPr>
            <w:r>
              <w:rPr>
                <w:color w:val="231F20"/>
                <w:spacing w:val="-2"/>
                <w:sz w:val="13"/>
              </w:rPr>
              <w:t>1.21665</w:t>
            </w:r>
          </w:p>
        </w:tc>
        <w:tc>
          <w:tcPr>
            <w:tcW w:w="565" w:type="dxa"/>
          </w:tcPr>
          <w:p>
            <w:pPr>
              <w:pStyle w:val="TableParagraph"/>
              <w:spacing w:line="136" w:lineRule="exact"/>
              <w:ind w:left="42" w:right="37"/>
              <w:rPr>
                <w:sz w:val="13"/>
              </w:rPr>
            </w:pPr>
            <w:r>
              <w:rPr>
                <w:color w:val="231F20"/>
                <w:spacing w:val="-2"/>
                <w:sz w:val="13"/>
              </w:rPr>
              <w:t>1.27628</w:t>
            </w:r>
          </w:p>
        </w:tc>
        <w:tc>
          <w:tcPr>
            <w:tcW w:w="570" w:type="dxa"/>
          </w:tcPr>
          <w:p>
            <w:pPr>
              <w:pStyle w:val="TableParagraph"/>
              <w:spacing w:line="136" w:lineRule="exact"/>
              <w:ind w:left="36" w:right="42"/>
              <w:rPr>
                <w:sz w:val="13"/>
              </w:rPr>
            </w:pPr>
            <w:r>
              <w:rPr>
                <w:color w:val="231F20"/>
                <w:spacing w:val="-2"/>
                <w:sz w:val="13"/>
              </w:rPr>
              <w:t>1.33823</w:t>
            </w:r>
          </w:p>
        </w:tc>
        <w:tc>
          <w:tcPr>
            <w:tcW w:w="574" w:type="dxa"/>
          </w:tcPr>
          <w:p>
            <w:pPr>
              <w:pStyle w:val="TableParagraph"/>
              <w:spacing w:line="136" w:lineRule="exact"/>
              <w:ind w:left="48" w:right="41"/>
              <w:rPr>
                <w:sz w:val="13"/>
              </w:rPr>
            </w:pPr>
            <w:r>
              <w:rPr>
                <w:color w:val="231F20"/>
                <w:spacing w:val="-2"/>
                <w:sz w:val="13"/>
              </w:rPr>
              <w:t>1.40255</w:t>
            </w:r>
          </w:p>
        </w:tc>
        <w:tc>
          <w:tcPr>
            <w:tcW w:w="645" w:type="dxa"/>
          </w:tcPr>
          <w:p>
            <w:pPr>
              <w:pStyle w:val="TableParagraph"/>
              <w:spacing w:line="136" w:lineRule="exact"/>
              <w:ind w:right="51"/>
              <w:jc w:val="right"/>
              <w:rPr>
                <w:sz w:val="13"/>
              </w:rPr>
            </w:pPr>
            <w:r>
              <w:rPr>
                <w:color w:val="231F20"/>
                <w:spacing w:val="-2"/>
                <w:sz w:val="13"/>
              </w:rPr>
              <w:t>1.46933</w:t>
            </w:r>
          </w:p>
        </w:tc>
        <w:tc>
          <w:tcPr>
            <w:tcW w:w="660" w:type="dxa"/>
            <w:tcBorders>
              <w:right w:val="single" w:sz="4" w:space="0" w:color="231F20"/>
            </w:tcBorders>
          </w:tcPr>
          <w:p>
            <w:pPr>
              <w:pStyle w:val="TableParagraph"/>
              <w:spacing w:line="136" w:lineRule="exact"/>
              <w:ind w:right="56"/>
              <w:jc w:val="right"/>
              <w:rPr>
                <w:sz w:val="13"/>
              </w:rPr>
            </w:pPr>
            <w:r>
              <w:rPr>
                <w:color w:val="231F20"/>
                <w:spacing w:val="-2"/>
                <w:sz w:val="13"/>
              </w:rPr>
              <w:t>1.53862</w:t>
            </w:r>
          </w:p>
        </w:tc>
        <w:tc>
          <w:tcPr>
            <w:tcW w:w="620" w:type="dxa"/>
            <w:tcBorders>
              <w:left w:val="single" w:sz="4" w:space="0" w:color="231F20"/>
              <w:bottom w:val="single" w:sz="4" w:space="0" w:color="231F20"/>
              <w:right w:val="single" w:sz="4" w:space="0" w:color="231F20"/>
            </w:tcBorders>
          </w:tcPr>
          <w:p>
            <w:pPr>
              <w:pStyle w:val="TableParagraph"/>
              <w:spacing w:line="136" w:lineRule="exact"/>
              <w:ind w:left="104" w:right="21"/>
              <w:rPr>
                <w:sz w:val="13"/>
              </w:rPr>
            </w:pPr>
            <w:r>
              <w:rPr>
                <w:color w:val="231F20"/>
                <w:spacing w:val="-2"/>
                <w:sz w:val="13"/>
              </w:rPr>
              <w:t>1.61051</w:t>
            </w:r>
          </w:p>
        </w:tc>
        <w:tc>
          <w:tcPr>
            <w:tcW w:w="670" w:type="dxa"/>
            <w:tcBorders>
              <w:left w:val="single" w:sz="4" w:space="0" w:color="231F20"/>
            </w:tcBorders>
          </w:tcPr>
          <w:p>
            <w:pPr>
              <w:pStyle w:val="TableParagraph"/>
              <w:spacing w:line="136" w:lineRule="exact"/>
              <w:ind w:right="36"/>
              <w:jc w:val="right"/>
              <w:rPr>
                <w:sz w:val="13"/>
              </w:rPr>
            </w:pPr>
            <w:r>
              <w:rPr>
                <w:color w:val="231F20"/>
                <w:spacing w:val="-2"/>
                <w:sz w:val="13"/>
              </w:rPr>
              <w:t>1.76234</w:t>
            </w:r>
          </w:p>
        </w:tc>
        <w:tc>
          <w:tcPr>
            <w:tcW w:w="640" w:type="dxa"/>
          </w:tcPr>
          <w:p>
            <w:pPr>
              <w:pStyle w:val="TableParagraph"/>
              <w:spacing w:line="136" w:lineRule="exact"/>
              <w:ind w:right="50"/>
              <w:jc w:val="right"/>
              <w:rPr>
                <w:sz w:val="13"/>
              </w:rPr>
            </w:pPr>
            <w:r>
              <w:rPr>
                <w:color w:val="231F20"/>
                <w:spacing w:val="-2"/>
                <w:sz w:val="13"/>
              </w:rPr>
              <w:t>1.92541</w:t>
            </w:r>
          </w:p>
        </w:tc>
        <w:tc>
          <w:tcPr>
            <w:tcW w:w="645" w:type="dxa"/>
          </w:tcPr>
          <w:p>
            <w:pPr>
              <w:pStyle w:val="TableParagraph"/>
              <w:spacing w:line="136" w:lineRule="exact"/>
              <w:ind w:right="45"/>
              <w:jc w:val="right"/>
              <w:rPr>
                <w:sz w:val="13"/>
              </w:rPr>
            </w:pPr>
            <w:r>
              <w:rPr>
                <w:color w:val="231F20"/>
                <w:spacing w:val="-2"/>
                <w:sz w:val="13"/>
              </w:rPr>
              <w:t>2.01136</w:t>
            </w:r>
          </w:p>
        </w:tc>
        <w:tc>
          <w:tcPr>
            <w:tcW w:w="644" w:type="dxa"/>
          </w:tcPr>
          <w:p>
            <w:pPr>
              <w:pStyle w:val="TableParagraph"/>
              <w:spacing w:line="136" w:lineRule="exact"/>
              <w:ind w:right="49"/>
              <w:jc w:val="right"/>
              <w:rPr>
                <w:sz w:val="13"/>
              </w:rPr>
            </w:pPr>
            <w:r>
              <w:rPr>
                <w:color w:val="231F20"/>
                <w:spacing w:val="-2"/>
                <w:sz w:val="13"/>
              </w:rPr>
              <w:t>2.10034</w:t>
            </w:r>
          </w:p>
        </w:tc>
        <w:tc>
          <w:tcPr>
            <w:tcW w:w="720" w:type="dxa"/>
          </w:tcPr>
          <w:p>
            <w:pPr>
              <w:pStyle w:val="TableParagraph"/>
              <w:spacing w:line="136" w:lineRule="exact"/>
              <w:ind w:right="49"/>
              <w:jc w:val="right"/>
              <w:rPr>
                <w:sz w:val="13"/>
              </w:rPr>
            </w:pPr>
            <w:r>
              <w:rPr>
                <w:color w:val="231F20"/>
                <w:spacing w:val="-2"/>
                <w:sz w:val="13"/>
              </w:rPr>
              <w:t>2.28776</w:t>
            </w:r>
          </w:p>
        </w:tc>
        <w:tc>
          <w:tcPr>
            <w:tcW w:w="720" w:type="dxa"/>
          </w:tcPr>
          <w:p>
            <w:pPr>
              <w:pStyle w:val="TableParagraph"/>
              <w:spacing w:line="136" w:lineRule="exact"/>
              <w:ind w:right="49"/>
              <w:jc w:val="right"/>
              <w:rPr>
                <w:sz w:val="13"/>
              </w:rPr>
            </w:pPr>
            <w:r>
              <w:rPr>
                <w:color w:val="231F20"/>
                <w:spacing w:val="-2"/>
                <w:sz w:val="13"/>
              </w:rPr>
              <w:t>2.48832</w:t>
            </w:r>
          </w:p>
        </w:tc>
        <w:tc>
          <w:tcPr>
            <w:tcW w:w="700" w:type="dxa"/>
          </w:tcPr>
          <w:p>
            <w:pPr>
              <w:pStyle w:val="TableParagraph"/>
              <w:spacing w:line="136" w:lineRule="exact"/>
              <w:ind w:right="29"/>
              <w:jc w:val="right"/>
              <w:rPr>
                <w:sz w:val="13"/>
              </w:rPr>
            </w:pPr>
            <w:r>
              <w:rPr>
                <w:color w:val="231F20"/>
                <w:spacing w:val="-2"/>
                <w:sz w:val="13"/>
              </w:rPr>
              <w:t>3.05176</w:t>
            </w:r>
          </w:p>
        </w:tc>
      </w:tr>
      <w:tr>
        <w:trPr>
          <w:trHeight w:val="290" w:hRule="atLeast"/>
        </w:trPr>
        <w:tc>
          <w:tcPr>
            <w:tcW w:w="290" w:type="dxa"/>
          </w:tcPr>
          <w:p>
            <w:pPr>
              <w:pStyle w:val="TableParagraph"/>
              <w:spacing w:line="152" w:lineRule="exact" w:before="119"/>
              <w:ind w:left="98"/>
              <w:rPr>
                <w:sz w:val="13"/>
              </w:rPr>
            </w:pPr>
            <w:r>
              <w:rPr>
                <w:color w:val="231F20"/>
                <w:w w:val="100"/>
                <w:sz w:val="13"/>
              </w:rPr>
              <w:t>6</w:t>
            </w:r>
          </w:p>
        </w:tc>
        <w:tc>
          <w:tcPr>
            <w:tcW w:w="573" w:type="dxa"/>
          </w:tcPr>
          <w:p>
            <w:pPr>
              <w:pStyle w:val="TableParagraph"/>
              <w:spacing w:line="152" w:lineRule="exact" w:before="119"/>
              <w:ind w:left="45" w:right="42"/>
              <w:rPr>
                <w:sz w:val="13"/>
              </w:rPr>
            </w:pPr>
            <w:r>
              <w:rPr>
                <w:color w:val="231F20"/>
                <w:spacing w:val="-2"/>
                <w:sz w:val="13"/>
              </w:rPr>
              <w:t>1.06152</w:t>
            </w:r>
          </w:p>
        </w:tc>
        <w:tc>
          <w:tcPr>
            <w:tcW w:w="570" w:type="dxa"/>
          </w:tcPr>
          <w:p>
            <w:pPr>
              <w:pStyle w:val="TableParagraph"/>
              <w:spacing w:line="152" w:lineRule="exact" w:before="119"/>
              <w:ind w:left="39" w:right="39"/>
              <w:rPr>
                <w:sz w:val="13"/>
              </w:rPr>
            </w:pPr>
            <w:r>
              <w:rPr>
                <w:color w:val="231F20"/>
                <w:spacing w:val="-2"/>
                <w:sz w:val="13"/>
              </w:rPr>
              <w:t>1.12616</w:t>
            </w:r>
          </w:p>
        </w:tc>
        <w:tc>
          <w:tcPr>
            <w:tcW w:w="575" w:type="dxa"/>
          </w:tcPr>
          <w:p>
            <w:pPr>
              <w:pStyle w:val="TableParagraph"/>
              <w:spacing w:line="152" w:lineRule="exact" w:before="119"/>
              <w:ind w:left="40" w:right="42"/>
              <w:rPr>
                <w:sz w:val="13"/>
              </w:rPr>
            </w:pPr>
            <w:r>
              <w:rPr>
                <w:color w:val="231F20"/>
                <w:spacing w:val="-2"/>
                <w:sz w:val="13"/>
              </w:rPr>
              <w:t>1.19405</w:t>
            </w:r>
          </w:p>
        </w:tc>
        <w:tc>
          <w:tcPr>
            <w:tcW w:w="575" w:type="dxa"/>
          </w:tcPr>
          <w:p>
            <w:pPr>
              <w:pStyle w:val="TableParagraph"/>
              <w:spacing w:line="152" w:lineRule="exact" w:before="119"/>
              <w:ind w:left="44" w:right="39"/>
              <w:rPr>
                <w:sz w:val="13"/>
              </w:rPr>
            </w:pPr>
            <w:r>
              <w:rPr>
                <w:color w:val="231F20"/>
                <w:spacing w:val="-2"/>
                <w:sz w:val="13"/>
              </w:rPr>
              <w:t>1.26532</w:t>
            </w:r>
          </w:p>
        </w:tc>
        <w:tc>
          <w:tcPr>
            <w:tcW w:w="565" w:type="dxa"/>
          </w:tcPr>
          <w:p>
            <w:pPr>
              <w:pStyle w:val="TableParagraph"/>
              <w:spacing w:line="152" w:lineRule="exact" w:before="119"/>
              <w:ind w:left="42" w:right="37"/>
              <w:rPr>
                <w:sz w:val="13"/>
              </w:rPr>
            </w:pPr>
            <w:r>
              <w:rPr>
                <w:color w:val="231F20"/>
                <w:spacing w:val="-2"/>
                <w:sz w:val="13"/>
              </w:rPr>
              <w:t>1.34010</w:t>
            </w:r>
          </w:p>
        </w:tc>
        <w:tc>
          <w:tcPr>
            <w:tcW w:w="570" w:type="dxa"/>
          </w:tcPr>
          <w:p>
            <w:pPr>
              <w:pStyle w:val="TableParagraph"/>
              <w:spacing w:line="152" w:lineRule="exact" w:before="119"/>
              <w:ind w:left="36" w:right="42"/>
              <w:rPr>
                <w:sz w:val="13"/>
              </w:rPr>
            </w:pPr>
            <w:r>
              <w:rPr>
                <w:color w:val="231F20"/>
                <w:spacing w:val="-2"/>
                <w:sz w:val="13"/>
              </w:rPr>
              <w:t>1.41852</w:t>
            </w:r>
          </w:p>
        </w:tc>
        <w:tc>
          <w:tcPr>
            <w:tcW w:w="574" w:type="dxa"/>
          </w:tcPr>
          <w:p>
            <w:pPr>
              <w:pStyle w:val="TableParagraph"/>
              <w:spacing w:line="152" w:lineRule="exact" w:before="119"/>
              <w:ind w:left="48" w:right="41"/>
              <w:rPr>
                <w:sz w:val="13"/>
              </w:rPr>
            </w:pPr>
            <w:r>
              <w:rPr>
                <w:color w:val="231F20"/>
                <w:spacing w:val="-2"/>
                <w:sz w:val="13"/>
              </w:rPr>
              <w:t>1.50073</w:t>
            </w:r>
          </w:p>
        </w:tc>
        <w:tc>
          <w:tcPr>
            <w:tcW w:w="645" w:type="dxa"/>
          </w:tcPr>
          <w:p>
            <w:pPr>
              <w:pStyle w:val="TableParagraph"/>
              <w:spacing w:line="152" w:lineRule="exact" w:before="119"/>
              <w:ind w:right="51"/>
              <w:jc w:val="right"/>
              <w:rPr>
                <w:sz w:val="13"/>
              </w:rPr>
            </w:pPr>
            <w:r>
              <w:rPr>
                <w:color w:val="231F20"/>
                <w:spacing w:val="-2"/>
                <w:sz w:val="13"/>
              </w:rPr>
              <w:t>1.58687</w:t>
            </w:r>
          </w:p>
        </w:tc>
        <w:tc>
          <w:tcPr>
            <w:tcW w:w="660" w:type="dxa"/>
          </w:tcPr>
          <w:p>
            <w:pPr>
              <w:pStyle w:val="TableParagraph"/>
              <w:spacing w:line="152" w:lineRule="exact" w:before="119"/>
              <w:ind w:right="61"/>
              <w:jc w:val="right"/>
              <w:rPr>
                <w:sz w:val="13"/>
              </w:rPr>
            </w:pPr>
            <w:r>
              <w:rPr>
                <w:color w:val="231F20"/>
                <w:spacing w:val="-2"/>
                <w:sz w:val="13"/>
              </w:rPr>
              <w:t>1.67710</w:t>
            </w:r>
          </w:p>
        </w:tc>
        <w:tc>
          <w:tcPr>
            <w:tcW w:w="620" w:type="dxa"/>
            <w:tcBorders>
              <w:top w:val="single" w:sz="4" w:space="0" w:color="231F20"/>
            </w:tcBorders>
          </w:tcPr>
          <w:p>
            <w:pPr>
              <w:pStyle w:val="TableParagraph"/>
              <w:spacing w:line="152" w:lineRule="exact" w:before="119"/>
              <w:ind w:left="109" w:right="26"/>
              <w:rPr>
                <w:sz w:val="13"/>
              </w:rPr>
            </w:pPr>
            <w:r>
              <w:rPr>
                <w:color w:val="231F20"/>
                <w:spacing w:val="-2"/>
                <w:sz w:val="13"/>
              </w:rPr>
              <w:t>1.77156</w:t>
            </w:r>
          </w:p>
        </w:tc>
        <w:tc>
          <w:tcPr>
            <w:tcW w:w="670" w:type="dxa"/>
          </w:tcPr>
          <w:p>
            <w:pPr>
              <w:pStyle w:val="TableParagraph"/>
              <w:spacing w:line="152" w:lineRule="exact" w:before="119"/>
              <w:ind w:right="41"/>
              <w:jc w:val="right"/>
              <w:rPr>
                <w:sz w:val="13"/>
              </w:rPr>
            </w:pPr>
            <w:r>
              <w:rPr>
                <w:color w:val="231F20"/>
                <w:spacing w:val="-2"/>
                <w:sz w:val="13"/>
              </w:rPr>
              <w:t>1.97382</w:t>
            </w:r>
          </w:p>
        </w:tc>
        <w:tc>
          <w:tcPr>
            <w:tcW w:w="640" w:type="dxa"/>
          </w:tcPr>
          <w:p>
            <w:pPr>
              <w:pStyle w:val="TableParagraph"/>
              <w:spacing w:line="152" w:lineRule="exact" w:before="119"/>
              <w:ind w:right="50"/>
              <w:jc w:val="right"/>
              <w:rPr>
                <w:sz w:val="13"/>
              </w:rPr>
            </w:pPr>
            <w:r>
              <w:rPr>
                <w:color w:val="231F20"/>
                <w:spacing w:val="-2"/>
                <w:sz w:val="13"/>
              </w:rPr>
              <w:t>2.19497</w:t>
            </w:r>
          </w:p>
        </w:tc>
        <w:tc>
          <w:tcPr>
            <w:tcW w:w="645" w:type="dxa"/>
          </w:tcPr>
          <w:p>
            <w:pPr>
              <w:pStyle w:val="TableParagraph"/>
              <w:spacing w:line="152" w:lineRule="exact" w:before="119"/>
              <w:ind w:right="45"/>
              <w:jc w:val="right"/>
              <w:rPr>
                <w:sz w:val="13"/>
              </w:rPr>
            </w:pPr>
            <w:r>
              <w:rPr>
                <w:color w:val="231F20"/>
                <w:spacing w:val="-2"/>
                <w:sz w:val="13"/>
              </w:rPr>
              <w:t>2.31306</w:t>
            </w:r>
          </w:p>
        </w:tc>
        <w:tc>
          <w:tcPr>
            <w:tcW w:w="644" w:type="dxa"/>
          </w:tcPr>
          <w:p>
            <w:pPr>
              <w:pStyle w:val="TableParagraph"/>
              <w:spacing w:line="152" w:lineRule="exact" w:before="119"/>
              <w:ind w:right="49"/>
              <w:jc w:val="right"/>
              <w:rPr>
                <w:sz w:val="13"/>
              </w:rPr>
            </w:pPr>
            <w:r>
              <w:rPr>
                <w:color w:val="231F20"/>
                <w:spacing w:val="-2"/>
                <w:sz w:val="13"/>
              </w:rPr>
              <w:t>2.43640</w:t>
            </w:r>
          </w:p>
        </w:tc>
        <w:tc>
          <w:tcPr>
            <w:tcW w:w="720" w:type="dxa"/>
          </w:tcPr>
          <w:p>
            <w:pPr>
              <w:pStyle w:val="TableParagraph"/>
              <w:spacing w:line="152" w:lineRule="exact" w:before="119"/>
              <w:ind w:right="49"/>
              <w:jc w:val="right"/>
              <w:rPr>
                <w:sz w:val="13"/>
              </w:rPr>
            </w:pPr>
            <w:r>
              <w:rPr>
                <w:color w:val="231F20"/>
                <w:spacing w:val="-2"/>
                <w:sz w:val="13"/>
              </w:rPr>
              <w:t>2.69955</w:t>
            </w:r>
          </w:p>
        </w:tc>
        <w:tc>
          <w:tcPr>
            <w:tcW w:w="720" w:type="dxa"/>
          </w:tcPr>
          <w:p>
            <w:pPr>
              <w:pStyle w:val="TableParagraph"/>
              <w:spacing w:line="152" w:lineRule="exact" w:before="119"/>
              <w:ind w:right="49"/>
              <w:jc w:val="right"/>
              <w:rPr>
                <w:sz w:val="13"/>
              </w:rPr>
            </w:pPr>
            <w:r>
              <w:rPr>
                <w:color w:val="231F20"/>
                <w:spacing w:val="-2"/>
                <w:sz w:val="13"/>
              </w:rPr>
              <w:t>2.98598</w:t>
            </w:r>
          </w:p>
        </w:tc>
        <w:tc>
          <w:tcPr>
            <w:tcW w:w="700" w:type="dxa"/>
          </w:tcPr>
          <w:p>
            <w:pPr>
              <w:pStyle w:val="TableParagraph"/>
              <w:spacing w:line="152" w:lineRule="exact" w:before="119"/>
              <w:ind w:right="29"/>
              <w:jc w:val="right"/>
              <w:rPr>
                <w:sz w:val="13"/>
              </w:rPr>
            </w:pPr>
            <w:r>
              <w:rPr>
                <w:color w:val="231F20"/>
                <w:spacing w:val="-2"/>
                <w:sz w:val="13"/>
              </w:rPr>
              <w:t>3.81470</w:t>
            </w:r>
          </w:p>
        </w:tc>
      </w:tr>
      <w:tr>
        <w:trPr>
          <w:trHeight w:val="189" w:hRule="atLeast"/>
        </w:trPr>
        <w:tc>
          <w:tcPr>
            <w:tcW w:w="290" w:type="dxa"/>
          </w:tcPr>
          <w:p>
            <w:pPr>
              <w:pStyle w:val="TableParagraph"/>
              <w:spacing w:line="152" w:lineRule="exact"/>
              <w:ind w:left="98"/>
              <w:rPr>
                <w:sz w:val="13"/>
              </w:rPr>
            </w:pPr>
            <w:r>
              <w:rPr>
                <w:color w:val="231F20"/>
                <w:w w:val="100"/>
                <w:sz w:val="13"/>
              </w:rPr>
              <w:t>7</w:t>
            </w:r>
          </w:p>
        </w:tc>
        <w:tc>
          <w:tcPr>
            <w:tcW w:w="573" w:type="dxa"/>
          </w:tcPr>
          <w:p>
            <w:pPr>
              <w:pStyle w:val="TableParagraph"/>
              <w:spacing w:line="152" w:lineRule="exact"/>
              <w:ind w:left="45" w:right="42"/>
              <w:rPr>
                <w:sz w:val="13"/>
              </w:rPr>
            </w:pPr>
            <w:r>
              <w:rPr>
                <w:color w:val="231F20"/>
                <w:spacing w:val="-2"/>
                <w:sz w:val="13"/>
              </w:rPr>
              <w:t>1.07214</w:t>
            </w:r>
          </w:p>
        </w:tc>
        <w:tc>
          <w:tcPr>
            <w:tcW w:w="570" w:type="dxa"/>
          </w:tcPr>
          <w:p>
            <w:pPr>
              <w:pStyle w:val="TableParagraph"/>
              <w:spacing w:line="152" w:lineRule="exact"/>
              <w:ind w:left="39" w:right="39"/>
              <w:rPr>
                <w:sz w:val="13"/>
              </w:rPr>
            </w:pPr>
            <w:r>
              <w:rPr>
                <w:color w:val="231F20"/>
                <w:spacing w:val="-2"/>
                <w:sz w:val="13"/>
              </w:rPr>
              <w:t>1.14869</w:t>
            </w:r>
          </w:p>
        </w:tc>
        <w:tc>
          <w:tcPr>
            <w:tcW w:w="575" w:type="dxa"/>
          </w:tcPr>
          <w:p>
            <w:pPr>
              <w:pStyle w:val="TableParagraph"/>
              <w:spacing w:line="152" w:lineRule="exact"/>
              <w:ind w:left="40" w:right="42"/>
              <w:rPr>
                <w:sz w:val="13"/>
              </w:rPr>
            </w:pPr>
            <w:r>
              <w:rPr>
                <w:color w:val="231F20"/>
                <w:spacing w:val="-2"/>
                <w:sz w:val="13"/>
              </w:rPr>
              <w:t>1.22987</w:t>
            </w:r>
          </w:p>
        </w:tc>
        <w:tc>
          <w:tcPr>
            <w:tcW w:w="575" w:type="dxa"/>
          </w:tcPr>
          <w:p>
            <w:pPr>
              <w:pStyle w:val="TableParagraph"/>
              <w:spacing w:line="152" w:lineRule="exact"/>
              <w:ind w:left="44" w:right="39"/>
              <w:rPr>
                <w:sz w:val="13"/>
              </w:rPr>
            </w:pPr>
            <w:r>
              <w:rPr>
                <w:color w:val="231F20"/>
                <w:spacing w:val="-2"/>
                <w:sz w:val="13"/>
              </w:rPr>
              <w:t>1.31593</w:t>
            </w:r>
          </w:p>
        </w:tc>
        <w:tc>
          <w:tcPr>
            <w:tcW w:w="565" w:type="dxa"/>
          </w:tcPr>
          <w:p>
            <w:pPr>
              <w:pStyle w:val="TableParagraph"/>
              <w:spacing w:line="152" w:lineRule="exact"/>
              <w:ind w:left="42" w:right="37"/>
              <w:rPr>
                <w:sz w:val="13"/>
              </w:rPr>
            </w:pPr>
            <w:r>
              <w:rPr>
                <w:color w:val="231F20"/>
                <w:spacing w:val="-2"/>
                <w:sz w:val="13"/>
              </w:rPr>
              <w:t>1.40710</w:t>
            </w:r>
          </w:p>
        </w:tc>
        <w:tc>
          <w:tcPr>
            <w:tcW w:w="570" w:type="dxa"/>
          </w:tcPr>
          <w:p>
            <w:pPr>
              <w:pStyle w:val="TableParagraph"/>
              <w:spacing w:line="152" w:lineRule="exact"/>
              <w:ind w:left="36" w:right="42"/>
              <w:rPr>
                <w:sz w:val="13"/>
              </w:rPr>
            </w:pPr>
            <w:r>
              <w:rPr>
                <w:color w:val="231F20"/>
                <w:spacing w:val="-2"/>
                <w:sz w:val="13"/>
              </w:rPr>
              <w:t>1.50363</w:t>
            </w:r>
          </w:p>
        </w:tc>
        <w:tc>
          <w:tcPr>
            <w:tcW w:w="574" w:type="dxa"/>
          </w:tcPr>
          <w:p>
            <w:pPr>
              <w:pStyle w:val="TableParagraph"/>
              <w:spacing w:line="152" w:lineRule="exact"/>
              <w:ind w:left="48" w:right="41"/>
              <w:rPr>
                <w:sz w:val="13"/>
              </w:rPr>
            </w:pPr>
            <w:r>
              <w:rPr>
                <w:color w:val="231F20"/>
                <w:spacing w:val="-2"/>
                <w:sz w:val="13"/>
              </w:rPr>
              <w:t>1.60578</w:t>
            </w:r>
          </w:p>
        </w:tc>
        <w:tc>
          <w:tcPr>
            <w:tcW w:w="645" w:type="dxa"/>
          </w:tcPr>
          <w:p>
            <w:pPr>
              <w:pStyle w:val="TableParagraph"/>
              <w:spacing w:line="152" w:lineRule="exact"/>
              <w:ind w:right="51"/>
              <w:jc w:val="right"/>
              <w:rPr>
                <w:sz w:val="13"/>
              </w:rPr>
            </w:pPr>
            <w:r>
              <w:rPr>
                <w:color w:val="231F20"/>
                <w:spacing w:val="-2"/>
                <w:sz w:val="13"/>
              </w:rPr>
              <w:t>1.71382</w:t>
            </w:r>
          </w:p>
        </w:tc>
        <w:tc>
          <w:tcPr>
            <w:tcW w:w="660" w:type="dxa"/>
          </w:tcPr>
          <w:p>
            <w:pPr>
              <w:pStyle w:val="TableParagraph"/>
              <w:spacing w:line="152" w:lineRule="exact"/>
              <w:ind w:right="61"/>
              <w:jc w:val="right"/>
              <w:rPr>
                <w:sz w:val="13"/>
              </w:rPr>
            </w:pPr>
            <w:r>
              <w:rPr>
                <w:color w:val="231F20"/>
                <w:spacing w:val="-2"/>
                <w:sz w:val="13"/>
              </w:rPr>
              <w:t>1.82904</w:t>
            </w:r>
          </w:p>
        </w:tc>
        <w:tc>
          <w:tcPr>
            <w:tcW w:w="620" w:type="dxa"/>
          </w:tcPr>
          <w:p>
            <w:pPr>
              <w:pStyle w:val="TableParagraph"/>
              <w:spacing w:line="152" w:lineRule="exact"/>
              <w:ind w:left="109" w:right="26"/>
              <w:rPr>
                <w:sz w:val="13"/>
              </w:rPr>
            </w:pPr>
            <w:r>
              <w:rPr>
                <w:color w:val="231F20"/>
                <w:spacing w:val="-2"/>
                <w:sz w:val="13"/>
              </w:rPr>
              <w:t>1.94872</w:t>
            </w:r>
          </w:p>
        </w:tc>
        <w:tc>
          <w:tcPr>
            <w:tcW w:w="670" w:type="dxa"/>
          </w:tcPr>
          <w:p>
            <w:pPr>
              <w:pStyle w:val="TableParagraph"/>
              <w:spacing w:line="152" w:lineRule="exact"/>
              <w:ind w:right="41"/>
              <w:jc w:val="right"/>
              <w:rPr>
                <w:sz w:val="13"/>
              </w:rPr>
            </w:pPr>
            <w:r>
              <w:rPr>
                <w:color w:val="231F20"/>
                <w:spacing w:val="-2"/>
                <w:sz w:val="13"/>
              </w:rPr>
              <w:t>2.21068</w:t>
            </w:r>
          </w:p>
        </w:tc>
        <w:tc>
          <w:tcPr>
            <w:tcW w:w="640" w:type="dxa"/>
          </w:tcPr>
          <w:p>
            <w:pPr>
              <w:pStyle w:val="TableParagraph"/>
              <w:spacing w:line="152" w:lineRule="exact"/>
              <w:ind w:right="50"/>
              <w:jc w:val="right"/>
              <w:rPr>
                <w:sz w:val="13"/>
              </w:rPr>
            </w:pPr>
            <w:r>
              <w:rPr>
                <w:color w:val="231F20"/>
                <w:spacing w:val="-2"/>
                <w:sz w:val="13"/>
              </w:rPr>
              <w:t>2.50227</w:t>
            </w:r>
          </w:p>
        </w:tc>
        <w:tc>
          <w:tcPr>
            <w:tcW w:w="645" w:type="dxa"/>
          </w:tcPr>
          <w:p>
            <w:pPr>
              <w:pStyle w:val="TableParagraph"/>
              <w:spacing w:line="152" w:lineRule="exact"/>
              <w:ind w:right="45"/>
              <w:jc w:val="right"/>
              <w:rPr>
                <w:sz w:val="13"/>
              </w:rPr>
            </w:pPr>
            <w:r>
              <w:rPr>
                <w:color w:val="231F20"/>
                <w:spacing w:val="-2"/>
                <w:sz w:val="13"/>
              </w:rPr>
              <w:t>2.66002</w:t>
            </w:r>
          </w:p>
        </w:tc>
        <w:tc>
          <w:tcPr>
            <w:tcW w:w="644" w:type="dxa"/>
          </w:tcPr>
          <w:p>
            <w:pPr>
              <w:pStyle w:val="TableParagraph"/>
              <w:spacing w:line="152" w:lineRule="exact"/>
              <w:ind w:right="49"/>
              <w:jc w:val="right"/>
              <w:rPr>
                <w:sz w:val="13"/>
              </w:rPr>
            </w:pPr>
            <w:r>
              <w:rPr>
                <w:color w:val="231F20"/>
                <w:spacing w:val="-2"/>
                <w:sz w:val="13"/>
              </w:rPr>
              <w:t>2.82822</w:t>
            </w:r>
          </w:p>
        </w:tc>
        <w:tc>
          <w:tcPr>
            <w:tcW w:w="720" w:type="dxa"/>
          </w:tcPr>
          <w:p>
            <w:pPr>
              <w:pStyle w:val="TableParagraph"/>
              <w:spacing w:line="152" w:lineRule="exact"/>
              <w:ind w:right="49"/>
              <w:jc w:val="right"/>
              <w:rPr>
                <w:sz w:val="13"/>
              </w:rPr>
            </w:pPr>
            <w:r>
              <w:rPr>
                <w:color w:val="231F20"/>
                <w:spacing w:val="-2"/>
                <w:sz w:val="13"/>
              </w:rPr>
              <w:t>3.18547</w:t>
            </w:r>
          </w:p>
        </w:tc>
        <w:tc>
          <w:tcPr>
            <w:tcW w:w="720" w:type="dxa"/>
          </w:tcPr>
          <w:p>
            <w:pPr>
              <w:pStyle w:val="TableParagraph"/>
              <w:spacing w:line="152" w:lineRule="exact"/>
              <w:ind w:right="49"/>
              <w:jc w:val="right"/>
              <w:rPr>
                <w:sz w:val="13"/>
              </w:rPr>
            </w:pPr>
            <w:r>
              <w:rPr>
                <w:color w:val="231F20"/>
                <w:spacing w:val="-2"/>
                <w:sz w:val="13"/>
              </w:rPr>
              <w:t>3.58318</w:t>
            </w:r>
          </w:p>
        </w:tc>
        <w:tc>
          <w:tcPr>
            <w:tcW w:w="700" w:type="dxa"/>
          </w:tcPr>
          <w:p>
            <w:pPr>
              <w:pStyle w:val="TableParagraph"/>
              <w:spacing w:line="152" w:lineRule="exact"/>
              <w:ind w:right="29"/>
              <w:jc w:val="right"/>
              <w:rPr>
                <w:sz w:val="13"/>
              </w:rPr>
            </w:pPr>
            <w:r>
              <w:rPr>
                <w:color w:val="231F20"/>
                <w:spacing w:val="-2"/>
                <w:sz w:val="13"/>
              </w:rPr>
              <w:t>4.76837</w:t>
            </w:r>
          </w:p>
        </w:tc>
      </w:tr>
      <w:tr>
        <w:trPr>
          <w:trHeight w:val="189" w:hRule="atLeast"/>
        </w:trPr>
        <w:tc>
          <w:tcPr>
            <w:tcW w:w="290" w:type="dxa"/>
          </w:tcPr>
          <w:p>
            <w:pPr>
              <w:pStyle w:val="TableParagraph"/>
              <w:spacing w:line="152" w:lineRule="exact"/>
              <w:ind w:left="98"/>
              <w:rPr>
                <w:sz w:val="13"/>
              </w:rPr>
            </w:pPr>
            <w:r>
              <w:rPr>
                <w:color w:val="231F20"/>
                <w:w w:val="100"/>
                <w:sz w:val="13"/>
              </w:rPr>
              <w:t>8</w:t>
            </w:r>
          </w:p>
        </w:tc>
        <w:tc>
          <w:tcPr>
            <w:tcW w:w="573" w:type="dxa"/>
          </w:tcPr>
          <w:p>
            <w:pPr>
              <w:pStyle w:val="TableParagraph"/>
              <w:spacing w:line="152" w:lineRule="exact"/>
              <w:ind w:left="45" w:right="42"/>
              <w:rPr>
                <w:sz w:val="13"/>
              </w:rPr>
            </w:pPr>
            <w:r>
              <w:rPr>
                <w:color w:val="231F20"/>
                <w:spacing w:val="-2"/>
                <w:sz w:val="13"/>
              </w:rPr>
              <w:t>1.08286</w:t>
            </w:r>
          </w:p>
        </w:tc>
        <w:tc>
          <w:tcPr>
            <w:tcW w:w="570" w:type="dxa"/>
          </w:tcPr>
          <w:p>
            <w:pPr>
              <w:pStyle w:val="TableParagraph"/>
              <w:spacing w:line="152" w:lineRule="exact"/>
              <w:ind w:left="39" w:right="39"/>
              <w:rPr>
                <w:sz w:val="13"/>
              </w:rPr>
            </w:pPr>
            <w:r>
              <w:rPr>
                <w:color w:val="231F20"/>
                <w:spacing w:val="-2"/>
                <w:sz w:val="13"/>
              </w:rPr>
              <w:t>1.17166</w:t>
            </w:r>
          </w:p>
        </w:tc>
        <w:tc>
          <w:tcPr>
            <w:tcW w:w="575" w:type="dxa"/>
          </w:tcPr>
          <w:p>
            <w:pPr>
              <w:pStyle w:val="TableParagraph"/>
              <w:spacing w:line="152" w:lineRule="exact"/>
              <w:ind w:left="40" w:right="42"/>
              <w:rPr>
                <w:sz w:val="13"/>
              </w:rPr>
            </w:pPr>
            <w:r>
              <w:rPr>
                <w:color w:val="231F20"/>
                <w:spacing w:val="-2"/>
                <w:sz w:val="13"/>
              </w:rPr>
              <w:t>1.26677</w:t>
            </w:r>
          </w:p>
        </w:tc>
        <w:tc>
          <w:tcPr>
            <w:tcW w:w="575" w:type="dxa"/>
          </w:tcPr>
          <w:p>
            <w:pPr>
              <w:pStyle w:val="TableParagraph"/>
              <w:spacing w:line="152" w:lineRule="exact"/>
              <w:ind w:left="44" w:right="39"/>
              <w:rPr>
                <w:sz w:val="13"/>
              </w:rPr>
            </w:pPr>
            <w:r>
              <w:rPr>
                <w:color w:val="231F20"/>
                <w:spacing w:val="-2"/>
                <w:sz w:val="13"/>
              </w:rPr>
              <w:t>1.36857</w:t>
            </w:r>
          </w:p>
        </w:tc>
        <w:tc>
          <w:tcPr>
            <w:tcW w:w="565" w:type="dxa"/>
          </w:tcPr>
          <w:p>
            <w:pPr>
              <w:pStyle w:val="TableParagraph"/>
              <w:spacing w:line="152" w:lineRule="exact"/>
              <w:ind w:left="42" w:right="37"/>
              <w:rPr>
                <w:sz w:val="13"/>
              </w:rPr>
            </w:pPr>
            <w:r>
              <w:rPr>
                <w:color w:val="231F20"/>
                <w:spacing w:val="-2"/>
                <w:sz w:val="13"/>
              </w:rPr>
              <w:t>1.47746</w:t>
            </w:r>
          </w:p>
        </w:tc>
        <w:tc>
          <w:tcPr>
            <w:tcW w:w="570" w:type="dxa"/>
          </w:tcPr>
          <w:p>
            <w:pPr>
              <w:pStyle w:val="TableParagraph"/>
              <w:spacing w:line="152" w:lineRule="exact"/>
              <w:ind w:left="36" w:right="42"/>
              <w:rPr>
                <w:sz w:val="13"/>
              </w:rPr>
            </w:pPr>
            <w:r>
              <w:rPr>
                <w:color w:val="231F20"/>
                <w:spacing w:val="-2"/>
                <w:sz w:val="13"/>
              </w:rPr>
              <w:t>1.59385</w:t>
            </w:r>
          </w:p>
        </w:tc>
        <w:tc>
          <w:tcPr>
            <w:tcW w:w="574" w:type="dxa"/>
          </w:tcPr>
          <w:p>
            <w:pPr>
              <w:pStyle w:val="TableParagraph"/>
              <w:spacing w:line="152" w:lineRule="exact"/>
              <w:ind w:left="48" w:right="41"/>
              <w:rPr>
                <w:sz w:val="13"/>
              </w:rPr>
            </w:pPr>
            <w:r>
              <w:rPr>
                <w:color w:val="231F20"/>
                <w:spacing w:val="-2"/>
                <w:sz w:val="13"/>
              </w:rPr>
              <w:t>1.71819</w:t>
            </w:r>
          </w:p>
        </w:tc>
        <w:tc>
          <w:tcPr>
            <w:tcW w:w="645" w:type="dxa"/>
          </w:tcPr>
          <w:p>
            <w:pPr>
              <w:pStyle w:val="TableParagraph"/>
              <w:spacing w:line="152" w:lineRule="exact"/>
              <w:ind w:right="51"/>
              <w:jc w:val="right"/>
              <w:rPr>
                <w:sz w:val="13"/>
              </w:rPr>
            </w:pPr>
            <w:r>
              <w:rPr>
                <w:color w:val="231F20"/>
                <w:spacing w:val="-2"/>
                <w:sz w:val="13"/>
              </w:rPr>
              <w:t>1.85093</w:t>
            </w:r>
          </w:p>
        </w:tc>
        <w:tc>
          <w:tcPr>
            <w:tcW w:w="660" w:type="dxa"/>
          </w:tcPr>
          <w:p>
            <w:pPr>
              <w:pStyle w:val="TableParagraph"/>
              <w:spacing w:line="152" w:lineRule="exact"/>
              <w:ind w:right="61"/>
              <w:jc w:val="right"/>
              <w:rPr>
                <w:sz w:val="13"/>
              </w:rPr>
            </w:pPr>
            <w:r>
              <w:rPr>
                <w:color w:val="231F20"/>
                <w:spacing w:val="-2"/>
                <w:sz w:val="13"/>
              </w:rPr>
              <w:t>1.99256</w:t>
            </w:r>
          </w:p>
        </w:tc>
        <w:tc>
          <w:tcPr>
            <w:tcW w:w="620" w:type="dxa"/>
          </w:tcPr>
          <w:p>
            <w:pPr>
              <w:pStyle w:val="TableParagraph"/>
              <w:spacing w:line="152" w:lineRule="exact"/>
              <w:ind w:left="109" w:right="26"/>
              <w:rPr>
                <w:sz w:val="13"/>
              </w:rPr>
            </w:pPr>
            <w:r>
              <w:rPr>
                <w:color w:val="231F20"/>
                <w:spacing w:val="-2"/>
                <w:sz w:val="13"/>
              </w:rPr>
              <w:t>2.14359</w:t>
            </w:r>
          </w:p>
        </w:tc>
        <w:tc>
          <w:tcPr>
            <w:tcW w:w="670" w:type="dxa"/>
          </w:tcPr>
          <w:p>
            <w:pPr>
              <w:pStyle w:val="TableParagraph"/>
              <w:spacing w:line="152" w:lineRule="exact"/>
              <w:ind w:right="41"/>
              <w:jc w:val="right"/>
              <w:rPr>
                <w:sz w:val="13"/>
              </w:rPr>
            </w:pPr>
            <w:r>
              <w:rPr>
                <w:color w:val="231F20"/>
                <w:spacing w:val="-2"/>
                <w:sz w:val="13"/>
              </w:rPr>
              <w:t>2.47596</w:t>
            </w:r>
          </w:p>
        </w:tc>
        <w:tc>
          <w:tcPr>
            <w:tcW w:w="640" w:type="dxa"/>
          </w:tcPr>
          <w:p>
            <w:pPr>
              <w:pStyle w:val="TableParagraph"/>
              <w:spacing w:line="152" w:lineRule="exact"/>
              <w:ind w:right="50"/>
              <w:jc w:val="right"/>
              <w:rPr>
                <w:sz w:val="13"/>
              </w:rPr>
            </w:pPr>
            <w:r>
              <w:rPr>
                <w:color w:val="231F20"/>
                <w:spacing w:val="-2"/>
                <w:sz w:val="13"/>
              </w:rPr>
              <w:t>2.85259</w:t>
            </w:r>
          </w:p>
        </w:tc>
        <w:tc>
          <w:tcPr>
            <w:tcW w:w="645" w:type="dxa"/>
          </w:tcPr>
          <w:p>
            <w:pPr>
              <w:pStyle w:val="TableParagraph"/>
              <w:spacing w:line="152" w:lineRule="exact"/>
              <w:ind w:right="45"/>
              <w:jc w:val="right"/>
              <w:rPr>
                <w:sz w:val="13"/>
              </w:rPr>
            </w:pPr>
            <w:r>
              <w:rPr>
                <w:color w:val="231F20"/>
                <w:spacing w:val="-2"/>
                <w:sz w:val="13"/>
              </w:rPr>
              <w:t>3.05902</w:t>
            </w:r>
          </w:p>
        </w:tc>
        <w:tc>
          <w:tcPr>
            <w:tcW w:w="644" w:type="dxa"/>
          </w:tcPr>
          <w:p>
            <w:pPr>
              <w:pStyle w:val="TableParagraph"/>
              <w:spacing w:line="152" w:lineRule="exact"/>
              <w:ind w:right="49"/>
              <w:jc w:val="right"/>
              <w:rPr>
                <w:sz w:val="13"/>
              </w:rPr>
            </w:pPr>
            <w:r>
              <w:rPr>
                <w:color w:val="231F20"/>
                <w:spacing w:val="-2"/>
                <w:sz w:val="13"/>
              </w:rPr>
              <w:t>3.27841</w:t>
            </w:r>
          </w:p>
        </w:tc>
        <w:tc>
          <w:tcPr>
            <w:tcW w:w="720" w:type="dxa"/>
          </w:tcPr>
          <w:p>
            <w:pPr>
              <w:pStyle w:val="TableParagraph"/>
              <w:spacing w:line="152" w:lineRule="exact"/>
              <w:ind w:right="49"/>
              <w:jc w:val="right"/>
              <w:rPr>
                <w:sz w:val="13"/>
              </w:rPr>
            </w:pPr>
            <w:r>
              <w:rPr>
                <w:color w:val="231F20"/>
                <w:spacing w:val="-2"/>
                <w:sz w:val="13"/>
              </w:rPr>
              <w:t>3.75886</w:t>
            </w:r>
          </w:p>
        </w:tc>
        <w:tc>
          <w:tcPr>
            <w:tcW w:w="720" w:type="dxa"/>
          </w:tcPr>
          <w:p>
            <w:pPr>
              <w:pStyle w:val="TableParagraph"/>
              <w:spacing w:line="152" w:lineRule="exact"/>
              <w:ind w:right="49"/>
              <w:jc w:val="right"/>
              <w:rPr>
                <w:sz w:val="13"/>
              </w:rPr>
            </w:pPr>
            <w:r>
              <w:rPr>
                <w:color w:val="231F20"/>
                <w:spacing w:val="-2"/>
                <w:sz w:val="13"/>
              </w:rPr>
              <w:t>4.29982</w:t>
            </w:r>
          </w:p>
        </w:tc>
        <w:tc>
          <w:tcPr>
            <w:tcW w:w="700" w:type="dxa"/>
          </w:tcPr>
          <w:p>
            <w:pPr>
              <w:pStyle w:val="TableParagraph"/>
              <w:spacing w:line="152" w:lineRule="exact"/>
              <w:ind w:right="29"/>
              <w:jc w:val="right"/>
              <w:rPr>
                <w:sz w:val="13"/>
              </w:rPr>
            </w:pPr>
            <w:r>
              <w:rPr>
                <w:color w:val="231F20"/>
                <w:spacing w:val="-2"/>
                <w:sz w:val="13"/>
              </w:rPr>
              <w:t>5.96046</w:t>
            </w:r>
          </w:p>
        </w:tc>
      </w:tr>
      <w:tr>
        <w:trPr>
          <w:trHeight w:val="189" w:hRule="atLeast"/>
        </w:trPr>
        <w:tc>
          <w:tcPr>
            <w:tcW w:w="290" w:type="dxa"/>
          </w:tcPr>
          <w:p>
            <w:pPr>
              <w:pStyle w:val="TableParagraph"/>
              <w:spacing w:line="152" w:lineRule="exact"/>
              <w:ind w:left="98"/>
              <w:rPr>
                <w:sz w:val="13"/>
              </w:rPr>
            </w:pPr>
            <w:r>
              <w:rPr>
                <w:color w:val="231F20"/>
                <w:w w:val="100"/>
                <w:sz w:val="13"/>
              </w:rPr>
              <w:t>9</w:t>
            </w:r>
          </w:p>
        </w:tc>
        <w:tc>
          <w:tcPr>
            <w:tcW w:w="573" w:type="dxa"/>
          </w:tcPr>
          <w:p>
            <w:pPr>
              <w:pStyle w:val="TableParagraph"/>
              <w:spacing w:line="152" w:lineRule="exact"/>
              <w:ind w:left="45" w:right="42"/>
              <w:rPr>
                <w:sz w:val="13"/>
              </w:rPr>
            </w:pPr>
            <w:r>
              <w:rPr>
                <w:color w:val="231F20"/>
                <w:spacing w:val="-2"/>
                <w:sz w:val="13"/>
              </w:rPr>
              <w:t>1.09369</w:t>
            </w:r>
          </w:p>
        </w:tc>
        <w:tc>
          <w:tcPr>
            <w:tcW w:w="570" w:type="dxa"/>
          </w:tcPr>
          <w:p>
            <w:pPr>
              <w:pStyle w:val="TableParagraph"/>
              <w:spacing w:line="152" w:lineRule="exact"/>
              <w:ind w:left="39" w:right="39"/>
              <w:rPr>
                <w:sz w:val="13"/>
              </w:rPr>
            </w:pPr>
            <w:r>
              <w:rPr>
                <w:color w:val="231F20"/>
                <w:spacing w:val="-2"/>
                <w:sz w:val="13"/>
              </w:rPr>
              <w:t>1.19508</w:t>
            </w:r>
          </w:p>
        </w:tc>
        <w:tc>
          <w:tcPr>
            <w:tcW w:w="575" w:type="dxa"/>
          </w:tcPr>
          <w:p>
            <w:pPr>
              <w:pStyle w:val="TableParagraph"/>
              <w:spacing w:line="152" w:lineRule="exact"/>
              <w:ind w:left="40" w:right="42"/>
              <w:rPr>
                <w:sz w:val="13"/>
              </w:rPr>
            </w:pPr>
            <w:r>
              <w:rPr>
                <w:color w:val="231F20"/>
                <w:spacing w:val="-2"/>
                <w:sz w:val="13"/>
              </w:rPr>
              <w:t>1.30477</w:t>
            </w:r>
          </w:p>
        </w:tc>
        <w:tc>
          <w:tcPr>
            <w:tcW w:w="575" w:type="dxa"/>
          </w:tcPr>
          <w:p>
            <w:pPr>
              <w:pStyle w:val="TableParagraph"/>
              <w:spacing w:line="152" w:lineRule="exact"/>
              <w:ind w:left="44" w:right="39"/>
              <w:rPr>
                <w:sz w:val="13"/>
              </w:rPr>
            </w:pPr>
            <w:r>
              <w:rPr>
                <w:color w:val="231F20"/>
                <w:spacing w:val="-2"/>
                <w:sz w:val="13"/>
              </w:rPr>
              <w:t>1.42331</w:t>
            </w:r>
          </w:p>
        </w:tc>
        <w:tc>
          <w:tcPr>
            <w:tcW w:w="565" w:type="dxa"/>
          </w:tcPr>
          <w:p>
            <w:pPr>
              <w:pStyle w:val="TableParagraph"/>
              <w:spacing w:line="152" w:lineRule="exact"/>
              <w:ind w:left="42" w:right="37"/>
              <w:rPr>
                <w:sz w:val="13"/>
              </w:rPr>
            </w:pPr>
            <w:r>
              <w:rPr>
                <w:color w:val="231F20"/>
                <w:spacing w:val="-2"/>
                <w:sz w:val="13"/>
              </w:rPr>
              <w:t>1.55133</w:t>
            </w:r>
          </w:p>
        </w:tc>
        <w:tc>
          <w:tcPr>
            <w:tcW w:w="570" w:type="dxa"/>
          </w:tcPr>
          <w:p>
            <w:pPr>
              <w:pStyle w:val="TableParagraph"/>
              <w:spacing w:line="152" w:lineRule="exact"/>
              <w:ind w:left="36" w:right="42"/>
              <w:rPr>
                <w:sz w:val="13"/>
              </w:rPr>
            </w:pPr>
            <w:r>
              <w:rPr>
                <w:color w:val="231F20"/>
                <w:spacing w:val="-2"/>
                <w:sz w:val="13"/>
              </w:rPr>
              <w:t>1.68948</w:t>
            </w:r>
          </w:p>
        </w:tc>
        <w:tc>
          <w:tcPr>
            <w:tcW w:w="574" w:type="dxa"/>
          </w:tcPr>
          <w:p>
            <w:pPr>
              <w:pStyle w:val="TableParagraph"/>
              <w:spacing w:line="152" w:lineRule="exact"/>
              <w:ind w:left="48" w:right="41"/>
              <w:rPr>
                <w:sz w:val="13"/>
              </w:rPr>
            </w:pPr>
            <w:r>
              <w:rPr>
                <w:color w:val="231F20"/>
                <w:spacing w:val="-2"/>
                <w:sz w:val="13"/>
              </w:rPr>
              <w:t>1.83846</w:t>
            </w:r>
          </w:p>
        </w:tc>
        <w:tc>
          <w:tcPr>
            <w:tcW w:w="645" w:type="dxa"/>
          </w:tcPr>
          <w:p>
            <w:pPr>
              <w:pStyle w:val="TableParagraph"/>
              <w:spacing w:line="152" w:lineRule="exact"/>
              <w:ind w:right="51"/>
              <w:jc w:val="right"/>
              <w:rPr>
                <w:sz w:val="13"/>
              </w:rPr>
            </w:pPr>
            <w:r>
              <w:rPr>
                <w:color w:val="231F20"/>
                <w:spacing w:val="-2"/>
                <w:sz w:val="13"/>
              </w:rPr>
              <w:t>1.99900</w:t>
            </w:r>
          </w:p>
        </w:tc>
        <w:tc>
          <w:tcPr>
            <w:tcW w:w="660" w:type="dxa"/>
          </w:tcPr>
          <w:p>
            <w:pPr>
              <w:pStyle w:val="TableParagraph"/>
              <w:spacing w:line="152" w:lineRule="exact"/>
              <w:ind w:right="61"/>
              <w:jc w:val="right"/>
              <w:rPr>
                <w:sz w:val="13"/>
              </w:rPr>
            </w:pPr>
            <w:r>
              <w:rPr>
                <w:color w:val="231F20"/>
                <w:spacing w:val="-2"/>
                <w:sz w:val="13"/>
              </w:rPr>
              <w:t>2.17288</w:t>
            </w:r>
          </w:p>
        </w:tc>
        <w:tc>
          <w:tcPr>
            <w:tcW w:w="620" w:type="dxa"/>
          </w:tcPr>
          <w:p>
            <w:pPr>
              <w:pStyle w:val="TableParagraph"/>
              <w:spacing w:line="152" w:lineRule="exact"/>
              <w:ind w:left="109" w:right="26"/>
              <w:rPr>
                <w:sz w:val="13"/>
              </w:rPr>
            </w:pPr>
            <w:r>
              <w:rPr>
                <w:color w:val="231F20"/>
                <w:spacing w:val="-2"/>
                <w:sz w:val="13"/>
              </w:rPr>
              <w:t>2.35795</w:t>
            </w:r>
          </w:p>
        </w:tc>
        <w:tc>
          <w:tcPr>
            <w:tcW w:w="670" w:type="dxa"/>
          </w:tcPr>
          <w:p>
            <w:pPr>
              <w:pStyle w:val="TableParagraph"/>
              <w:spacing w:line="152" w:lineRule="exact"/>
              <w:ind w:right="41"/>
              <w:jc w:val="right"/>
              <w:rPr>
                <w:sz w:val="13"/>
              </w:rPr>
            </w:pPr>
            <w:r>
              <w:rPr>
                <w:color w:val="231F20"/>
                <w:spacing w:val="-2"/>
                <w:sz w:val="13"/>
              </w:rPr>
              <w:t>2.77308</w:t>
            </w:r>
          </w:p>
        </w:tc>
        <w:tc>
          <w:tcPr>
            <w:tcW w:w="640" w:type="dxa"/>
          </w:tcPr>
          <w:p>
            <w:pPr>
              <w:pStyle w:val="TableParagraph"/>
              <w:spacing w:line="152" w:lineRule="exact"/>
              <w:ind w:right="50"/>
              <w:jc w:val="right"/>
              <w:rPr>
                <w:sz w:val="13"/>
              </w:rPr>
            </w:pPr>
            <w:r>
              <w:rPr>
                <w:color w:val="231F20"/>
                <w:spacing w:val="-2"/>
                <w:sz w:val="13"/>
              </w:rPr>
              <w:t>3.25195</w:t>
            </w:r>
          </w:p>
        </w:tc>
        <w:tc>
          <w:tcPr>
            <w:tcW w:w="645" w:type="dxa"/>
          </w:tcPr>
          <w:p>
            <w:pPr>
              <w:pStyle w:val="TableParagraph"/>
              <w:spacing w:line="152" w:lineRule="exact"/>
              <w:ind w:right="45"/>
              <w:jc w:val="right"/>
              <w:rPr>
                <w:sz w:val="13"/>
              </w:rPr>
            </w:pPr>
            <w:r>
              <w:rPr>
                <w:color w:val="231F20"/>
                <w:spacing w:val="-2"/>
                <w:sz w:val="13"/>
              </w:rPr>
              <w:t>3.51788</w:t>
            </w:r>
          </w:p>
        </w:tc>
        <w:tc>
          <w:tcPr>
            <w:tcW w:w="644" w:type="dxa"/>
          </w:tcPr>
          <w:p>
            <w:pPr>
              <w:pStyle w:val="TableParagraph"/>
              <w:spacing w:line="152" w:lineRule="exact"/>
              <w:ind w:right="49"/>
              <w:jc w:val="right"/>
              <w:rPr>
                <w:sz w:val="13"/>
              </w:rPr>
            </w:pPr>
            <w:r>
              <w:rPr>
                <w:color w:val="231F20"/>
                <w:spacing w:val="-2"/>
                <w:sz w:val="13"/>
              </w:rPr>
              <w:t>3.80296</w:t>
            </w:r>
          </w:p>
        </w:tc>
        <w:tc>
          <w:tcPr>
            <w:tcW w:w="720" w:type="dxa"/>
          </w:tcPr>
          <w:p>
            <w:pPr>
              <w:pStyle w:val="TableParagraph"/>
              <w:spacing w:line="152" w:lineRule="exact"/>
              <w:ind w:right="49"/>
              <w:jc w:val="right"/>
              <w:rPr>
                <w:sz w:val="13"/>
              </w:rPr>
            </w:pPr>
            <w:r>
              <w:rPr>
                <w:color w:val="231F20"/>
                <w:spacing w:val="-2"/>
                <w:sz w:val="13"/>
              </w:rPr>
              <w:t>4.43545</w:t>
            </w:r>
          </w:p>
        </w:tc>
        <w:tc>
          <w:tcPr>
            <w:tcW w:w="720" w:type="dxa"/>
          </w:tcPr>
          <w:p>
            <w:pPr>
              <w:pStyle w:val="TableParagraph"/>
              <w:spacing w:line="152" w:lineRule="exact"/>
              <w:ind w:right="49"/>
              <w:jc w:val="right"/>
              <w:rPr>
                <w:sz w:val="13"/>
              </w:rPr>
            </w:pPr>
            <w:r>
              <w:rPr>
                <w:color w:val="231F20"/>
                <w:spacing w:val="-2"/>
                <w:sz w:val="13"/>
              </w:rPr>
              <w:t>5.15978</w:t>
            </w:r>
          </w:p>
        </w:tc>
        <w:tc>
          <w:tcPr>
            <w:tcW w:w="700" w:type="dxa"/>
          </w:tcPr>
          <w:p>
            <w:pPr>
              <w:pStyle w:val="TableParagraph"/>
              <w:spacing w:line="152" w:lineRule="exact"/>
              <w:ind w:right="29"/>
              <w:jc w:val="right"/>
              <w:rPr>
                <w:sz w:val="13"/>
              </w:rPr>
            </w:pPr>
            <w:r>
              <w:rPr>
                <w:color w:val="231F20"/>
                <w:spacing w:val="-2"/>
                <w:sz w:val="13"/>
              </w:rPr>
              <w:t>7.45058</w:t>
            </w:r>
          </w:p>
        </w:tc>
      </w:tr>
      <w:tr>
        <w:trPr>
          <w:trHeight w:val="237" w:hRule="atLeast"/>
        </w:trPr>
        <w:tc>
          <w:tcPr>
            <w:tcW w:w="290" w:type="dxa"/>
          </w:tcPr>
          <w:p>
            <w:pPr>
              <w:pStyle w:val="TableParagraph"/>
              <w:ind w:left="78" w:right="38"/>
              <w:rPr>
                <w:sz w:val="13"/>
              </w:rPr>
            </w:pPr>
            <w:r>
              <w:rPr>
                <w:color w:val="231F20"/>
                <w:spacing w:val="-5"/>
                <w:sz w:val="13"/>
              </w:rPr>
              <w:t>10</w:t>
            </w:r>
          </w:p>
        </w:tc>
        <w:tc>
          <w:tcPr>
            <w:tcW w:w="573" w:type="dxa"/>
          </w:tcPr>
          <w:p>
            <w:pPr>
              <w:pStyle w:val="TableParagraph"/>
              <w:ind w:left="45" w:right="42"/>
              <w:rPr>
                <w:sz w:val="13"/>
              </w:rPr>
            </w:pPr>
            <w:r>
              <w:rPr>
                <w:color w:val="231F20"/>
                <w:spacing w:val="-2"/>
                <w:sz w:val="13"/>
              </w:rPr>
              <w:t>1.10462</w:t>
            </w:r>
          </w:p>
        </w:tc>
        <w:tc>
          <w:tcPr>
            <w:tcW w:w="570" w:type="dxa"/>
          </w:tcPr>
          <w:p>
            <w:pPr>
              <w:pStyle w:val="TableParagraph"/>
              <w:ind w:left="39" w:right="39"/>
              <w:rPr>
                <w:sz w:val="13"/>
              </w:rPr>
            </w:pPr>
            <w:r>
              <w:rPr>
                <w:color w:val="231F20"/>
                <w:spacing w:val="-2"/>
                <w:sz w:val="13"/>
              </w:rPr>
              <w:t>1.21899</w:t>
            </w:r>
          </w:p>
        </w:tc>
        <w:tc>
          <w:tcPr>
            <w:tcW w:w="575" w:type="dxa"/>
          </w:tcPr>
          <w:p>
            <w:pPr>
              <w:pStyle w:val="TableParagraph"/>
              <w:ind w:left="40" w:right="42"/>
              <w:rPr>
                <w:sz w:val="13"/>
              </w:rPr>
            </w:pPr>
            <w:r>
              <w:rPr>
                <w:color w:val="231F20"/>
                <w:spacing w:val="-2"/>
                <w:sz w:val="13"/>
              </w:rPr>
              <w:t>1.34392</w:t>
            </w:r>
          </w:p>
        </w:tc>
        <w:tc>
          <w:tcPr>
            <w:tcW w:w="575" w:type="dxa"/>
          </w:tcPr>
          <w:p>
            <w:pPr>
              <w:pStyle w:val="TableParagraph"/>
              <w:ind w:left="44" w:right="39"/>
              <w:rPr>
                <w:sz w:val="13"/>
              </w:rPr>
            </w:pPr>
            <w:r>
              <w:rPr>
                <w:color w:val="231F20"/>
                <w:spacing w:val="-2"/>
                <w:sz w:val="13"/>
              </w:rPr>
              <w:t>1.48024</w:t>
            </w:r>
          </w:p>
        </w:tc>
        <w:tc>
          <w:tcPr>
            <w:tcW w:w="565" w:type="dxa"/>
          </w:tcPr>
          <w:p>
            <w:pPr>
              <w:pStyle w:val="TableParagraph"/>
              <w:ind w:left="42" w:right="37"/>
              <w:rPr>
                <w:sz w:val="13"/>
              </w:rPr>
            </w:pPr>
            <w:r>
              <w:rPr>
                <w:color w:val="231F20"/>
                <w:spacing w:val="-2"/>
                <w:sz w:val="13"/>
              </w:rPr>
              <w:t>1.62889</w:t>
            </w:r>
          </w:p>
        </w:tc>
        <w:tc>
          <w:tcPr>
            <w:tcW w:w="570" w:type="dxa"/>
          </w:tcPr>
          <w:p>
            <w:pPr>
              <w:pStyle w:val="TableParagraph"/>
              <w:ind w:left="36" w:right="42"/>
              <w:rPr>
                <w:sz w:val="13"/>
              </w:rPr>
            </w:pPr>
            <w:r>
              <w:rPr>
                <w:color w:val="231F20"/>
                <w:spacing w:val="-2"/>
                <w:sz w:val="13"/>
              </w:rPr>
              <w:t>1.79085</w:t>
            </w:r>
          </w:p>
        </w:tc>
        <w:tc>
          <w:tcPr>
            <w:tcW w:w="574" w:type="dxa"/>
          </w:tcPr>
          <w:p>
            <w:pPr>
              <w:pStyle w:val="TableParagraph"/>
              <w:ind w:left="48" w:right="41"/>
              <w:rPr>
                <w:sz w:val="13"/>
              </w:rPr>
            </w:pPr>
            <w:r>
              <w:rPr>
                <w:color w:val="231F20"/>
                <w:spacing w:val="-2"/>
                <w:sz w:val="13"/>
              </w:rPr>
              <w:t>1.96715</w:t>
            </w:r>
          </w:p>
        </w:tc>
        <w:tc>
          <w:tcPr>
            <w:tcW w:w="645" w:type="dxa"/>
          </w:tcPr>
          <w:p>
            <w:pPr>
              <w:pStyle w:val="TableParagraph"/>
              <w:ind w:right="51"/>
              <w:jc w:val="right"/>
              <w:rPr>
                <w:sz w:val="13"/>
              </w:rPr>
            </w:pPr>
            <w:r>
              <w:rPr>
                <w:color w:val="231F20"/>
                <w:spacing w:val="-2"/>
                <w:sz w:val="13"/>
              </w:rPr>
              <w:t>2.15892</w:t>
            </w:r>
          </w:p>
        </w:tc>
        <w:tc>
          <w:tcPr>
            <w:tcW w:w="660" w:type="dxa"/>
          </w:tcPr>
          <w:p>
            <w:pPr>
              <w:pStyle w:val="TableParagraph"/>
              <w:ind w:right="61"/>
              <w:jc w:val="right"/>
              <w:rPr>
                <w:sz w:val="13"/>
              </w:rPr>
            </w:pPr>
            <w:r>
              <w:rPr>
                <w:color w:val="231F20"/>
                <w:spacing w:val="-2"/>
                <w:sz w:val="13"/>
              </w:rPr>
              <w:t>2.36736</w:t>
            </w:r>
          </w:p>
        </w:tc>
        <w:tc>
          <w:tcPr>
            <w:tcW w:w="620" w:type="dxa"/>
          </w:tcPr>
          <w:p>
            <w:pPr>
              <w:pStyle w:val="TableParagraph"/>
              <w:ind w:left="109" w:right="26"/>
              <w:rPr>
                <w:sz w:val="13"/>
              </w:rPr>
            </w:pPr>
            <w:r>
              <w:rPr>
                <w:color w:val="231F20"/>
                <w:spacing w:val="-2"/>
                <w:sz w:val="13"/>
              </w:rPr>
              <w:t>2.59374</w:t>
            </w:r>
          </w:p>
        </w:tc>
        <w:tc>
          <w:tcPr>
            <w:tcW w:w="670" w:type="dxa"/>
          </w:tcPr>
          <w:p>
            <w:pPr>
              <w:pStyle w:val="TableParagraph"/>
              <w:ind w:right="41"/>
              <w:jc w:val="right"/>
              <w:rPr>
                <w:sz w:val="13"/>
              </w:rPr>
            </w:pPr>
            <w:r>
              <w:rPr>
                <w:color w:val="231F20"/>
                <w:spacing w:val="-2"/>
                <w:sz w:val="13"/>
              </w:rPr>
              <w:t>3.10585</w:t>
            </w:r>
          </w:p>
        </w:tc>
        <w:tc>
          <w:tcPr>
            <w:tcW w:w="640" w:type="dxa"/>
          </w:tcPr>
          <w:p>
            <w:pPr>
              <w:pStyle w:val="TableParagraph"/>
              <w:ind w:right="50"/>
              <w:jc w:val="right"/>
              <w:rPr>
                <w:sz w:val="13"/>
              </w:rPr>
            </w:pPr>
            <w:r>
              <w:rPr>
                <w:color w:val="231F20"/>
                <w:spacing w:val="-2"/>
                <w:sz w:val="13"/>
              </w:rPr>
              <w:t>3.70722</w:t>
            </w:r>
          </w:p>
        </w:tc>
        <w:tc>
          <w:tcPr>
            <w:tcW w:w="645" w:type="dxa"/>
          </w:tcPr>
          <w:p>
            <w:pPr>
              <w:pStyle w:val="TableParagraph"/>
              <w:ind w:right="45"/>
              <w:jc w:val="right"/>
              <w:rPr>
                <w:sz w:val="13"/>
              </w:rPr>
            </w:pPr>
            <w:r>
              <w:rPr>
                <w:color w:val="231F20"/>
                <w:spacing w:val="-2"/>
                <w:sz w:val="13"/>
              </w:rPr>
              <w:t>4.04556</w:t>
            </w:r>
          </w:p>
        </w:tc>
        <w:tc>
          <w:tcPr>
            <w:tcW w:w="644" w:type="dxa"/>
          </w:tcPr>
          <w:p>
            <w:pPr>
              <w:pStyle w:val="TableParagraph"/>
              <w:ind w:right="49"/>
              <w:jc w:val="right"/>
              <w:rPr>
                <w:sz w:val="13"/>
              </w:rPr>
            </w:pPr>
            <w:r>
              <w:rPr>
                <w:color w:val="231F20"/>
                <w:spacing w:val="-2"/>
                <w:sz w:val="13"/>
              </w:rPr>
              <w:t>4.41144</w:t>
            </w:r>
          </w:p>
        </w:tc>
        <w:tc>
          <w:tcPr>
            <w:tcW w:w="720" w:type="dxa"/>
          </w:tcPr>
          <w:p>
            <w:pPr>
              <w:pStyle w:val="TableParagraph"/>
              <w:ind w:right="49"/>
              <w:jc w:val="right"/>
              <w:rPr>
                <w:sz w:val="13"/>
              </w:rPr>
            </w:pPr>
            <w:r>
              <w:rPr>
                <w:color w:val="231F20"/>
                <w:spacing w:val="-2"/>
                <w:sz w:val="13"/>
              </w:rPr>
              <w:t>5.23384</w:t>
            </w:r>
          </w:p>
        </w:tc>
        <w:tc>
          <w:tcPr>
            <w:tcW w:w="720" w:type="dxa"/>
          </w:tcPr>
          <w:p>
            <w:pPr>
              <w:pStyle w:val="TableParagraph"/>
              <w:ind w:right="49"/>
              <w:jc w:val="right"/>
              <w:rPr>
                <w:sz w:val="13"/>
              </w:rPr>
            </w:pPr>
            <w:r>
              <w:rPr>
                <w:color w:val="231F20"/>
                <w:spacing w:val="-2"/>
                <w:sz w:val="13"/>
              </w:rPr>
              <w:t>6.19174</w:t>
            </w:r>
          </w:p>
        </w:tc>
        <w:tc>
          <w:tcPr>
            <w:tcW w:w="700" w:type="dxa"/>
          </w:tcPr>
          <w:p>
            <w:pPr>
              <w:pStyle w:val="TableParagraph"/>
              <w:ind w:right="29"/>
              <w:jc w:val="right"/>
              <w:rPr>
                <w:sz w:val="13"/>
              </w:rPr>
            </w:pPr>
            <w:r>
              <w:rPr>
                <w:color w:val="231F20"/>
                <w:spacing w:val="-2"/>
                <w:sz w:val="13"/>
              </w:rPr>
              <w:t>9.31323</w:t>
            </w:r>
          </w:p>
        </w:tc>
      </w:tr>
      <w:tr>
        <w:trPr>
          <w:trHeight w:val="237" w:hRule="atLeast"/>
        </w:trPr>
        <w:tc>
          <w:tcPr>
            <w:tcW w:w="290" w:type="dxa"/>
          </w:tcPr>
          <w:p>
            <w:pPr>
              <w:pStyle w:val="TableParagraph"/>
              <w:spacing w:line="152" w:lineRule="exact" w:before="65"/>
              <w:ind w:left="78" w:right="38"/>
              <w:rPr>
                <w:sz w:val="13"/>
              </w:rPr>
            </w:pPr>
            <w:r>
              <w:rPr>
                <w:color w:val="231F20"/>
                <w:spacing w:val="-5"/>
                <w:sz w:val="13"/>
              </w:rPr>
              <w:t>11</w:t>
            </w:r>
          </w:p>
        </w:tc>
        <w:tc>
          <w:tcPr>
            <w:tcW w:w="573" w:type="dxa"/>
          </w:tcPr>
          <w:p>
            <w:pPr>
              <w:pStyle w:val="TableParagraph"/>
              <w:spacing w:line="152" w:lineRule="exact" w:before="65"/>
              <w:ind w:left="45" w:right="42"/>
              <w:rPr>
                <w:sz w:val="13"/>
              </w:rPr>
            </w:pPr>
            <w:r>
              <w:rPr>
                <w:color w:val="231F20"/>
                <w:spacing w:val="-2"/>
                <w:sz w:val="13"/>
              </w:rPr>
              <w:t>1.11567</w:t>
            </w:r>
          </w:p>
        </w:tc>
        <w:tc>
          <w:tcPr>
            <w:tcW w:w="570" w:type="dxa"/>
          </w:tcPr>
          <w:p>
            <w:pPr>
              <w:pStyle w:val="TableParagraph"/>
              <w:spacing w:line="152" w:lineRule="exact" w:before="65"/>
              <w:ind w:left="39" w:right="39"/>
              <w:rPr>
                <w:sz w:val="13"/>
              </w:rPr>
            </w:pPr>
            <w:r>
              <w:rPr>
                <w:color w:val="231F20"/>
                <w:spacing w:val="-2"/>
                <w:sz w:val="13"/>
              </w:rPr>
              <w:t>1.24337</w:t>
            </w:r>
          </w:p>
        </w:tc>
        <w:tc>
          <w:tcPr>
            <w:tcW w:w="575" w:type="dxa"/>
          </w:tcPr>
          <w:p>
            <w:pPr>
              <w:pStyle w:val="TableParagraph"/>
              <w:spacing w:line="152" w:lineRule="exact" w:before="65"/>
              <w:ind w:left="40" w:right="42"/>
              <w:rPr>
                <w:sz w:val="13"/>
              </w:rPr>
            </w:pPr>
            <w:r>
              <w:rPr>
                <w:color w:val="231F20"/>
                <w:spacing w:val="-2"/>
                <w:sz w:val="13"/>
              </w:rPr>
              <w:t>1.38423</w:t>
            </w:r>
          </w:p>
        </w:tc>
        <w:tc>
          <w:tcPr>
            <w:tcW w:w="575" w:type="dxa"/>
          </w:tcPr>
          <w:p>
            <w:pPr>
              <w:pStyle w:val="TableParagraph"/>
              <w:spacing w:line="152" w:lineRule="exact" w:before="65"/>
              <w:ind w:left="44" w:right="39"/>
              <w:rPr>
                <w:sz w:val="13"/>
              </w:rPr>
            </w:pPr>
            <w:r>
              <w:rPr>
                <w:color w:val="231F20"/>
                <w:spacing w:val="-2"/>
                <w:sz w:val="13"/>
              </w:rPr>
              <w:t>1.53945</w:t>
            </w:r>
          </w:p>
        </w:tc>
        <w:tc>
          <w:tcPr>
            <w:tcW w:w="565" w:type="dxa"/>
          </w:tcPr>
          <w:p>
            <w:pPr>
              <w:pStyle w:val="TableParagraph"/>
              <w:spacing w:line="152" w:lineRule="exact" w:before="65"/>
              <w:ind w:left="42" w:right="37"/>
              <w:rPr>
                <w:sz w:val="13"/>
              </w:rPr>
            </w:pPr>
            <w:r>
              <w:rPr>
                <w:color w:val="231F20"/>
                <w:spacing w:val="-2"/>
                <w:sz w:val="13"/>
              </w:rPr>
              <w:t>1.71034</w:t>
            </w:r>
          </w:p>
        </w:tc>
        <w:tc>
          <w:tcPr>
            <w:tcW w:w="570" w:type="dxa"/>
          </w:tcPr>
          <w:p>
            <w:pPr>
              <w:pStyle w:val="TableParagraph"/>
              <w:spacing w:line="152" w:lineRule="exact" w:before="65"/>
              <w:ind w:left="36" w:right="42"/>
              <w:rPr>
                <w:sz w:val="13"/>
              </w:rPr>
            </w:pPr>
            <w:r>
              <w:rPr>
                <w:color w:val="231F20"/>
                <w:spacing w:val="-2"/>
                <w:sz w:val="13"/>
              </w:rPr>
              <w:t>1.89830</w:t>
            </w:r>
          </w:p>
        </w:tc>
        <w:tc>
          <w:tcPr>
            <w:tcW w:w="574" w:type="dxa"/>
          </w:tcPr>
          <w:p>
            <w:pPr>
              <w:pStyle w:val="TableParagraph"/>
              <w:spacing w:line="152" w:lineRule="exact" w:before="65"/>
              <w:ind w:left="48" w:right="41"/>
              <w:rPr>
                <w:sz w:val="13"/>
              </w:rPr>
            </w:pPr>
            <w:r>
              <w:rPr>
                <w:color w:val="231F20"/>
                <w:spacing w:val="-2"/>
                <w:sz w:val="13"/>
              </w:rPr>
              <w:t>2.10485</w:t>
            </w:r>
          </w:p>
        </w:tc>
        <w:tc>
          <w:tcPr>
            <w:tcW w:w="645" w:type="dxa"/>
          </w:tcPr>
          <w:p>
            <w:pPr>
              <w:pStyle w:val="TableParagraph"/>
              <w:spacing w:line="152" w:lineRule="exact" w:before="65"/>
              <w:ind w:right="51"/>
              <w:jc w:val="right"/>
              <w:rPr>
                <w:sz w:val="13"/>
              </w:rPr>
            </w:pPr>
            <w:r>
              <w:rPr>
                <w:color w:val="231F20"/>
                <w:spacing w:val="-2"/>
                <w:sz w:val="13"/>
              </w:rPr>
              <w:t>2.33164</w:t>
            </w:r>
          </w:p>
        </w:tc>
        <w:tc>
          <w:tcPr>
            <w:tcW w:w="660" w:type="dxa"/>
          </w:tcPr>
          <w:p>
            <w:pPr>
              <w:pStyle w:val="TableParagraph"/>
              <w:spacing w:line="152" w:lineRule="exact" w:before="65"/>
              <w:ind w:right="61"/>
              <w:jc w:val="right"/>
              <w:rPr>
                <w:sz w:val="13"/>
              </w:rPr>
            </w:pPr>
            <w:r>
              <w:rPr>
                <w:color w:val="231F20"/>
                <w:spacing w:val="-2"/>
                <w:sz w:val="13"/>
              </w:rPr>
              <w:t>2.58043</w:t>
            </w:r>
          </w:p>
        </w:tc>
        <w:tc>
          <w:tcPr>
            <w:tcW w:w="620" w:type="dxa"/>
          </w:tcPr>
          <w:p>
            <w:pPr>
              <w:pStyle w:val="TableParagraph"/>
              <w:spacing w:line="152" w:lineRule="exact" w:before="65"/>
              <w:ind w:left="109" w:right="26"/>
              <w:rPr>
                <w:sz w:val="13"/>
              </w:rPr>
            </w:pPr>
            <w:r>
              <w:rPr>
                <w:color w:val="231F20"/>
                <w:spacing w:val="-2"/>
                <w:sz w:val="13"/>
              </w:rPr>
              <w:t>2.85312</w:t>
            </w:r>
          </w:p>
        </w:tc>
        <w:tc>
          <w:tcPr>
            <w:tcW w:w="670" w:type="dxa"/>
          </w:tcPr>
          <w:p>
            <w:pPr>
              <w:pStyle w:val="TableParagraph"/>
              <w:spacing w:line="152" w:lineRule="exact" w:before="65"/>
              <w:ind w:right="41"/>
              <w:jc w:val="right"/>
              <w:rPr>
                <w:sz w:val="13"/>
              </w:rPr>
            </w:pPr>
            <w:r>
              <w:rPr>
                <w:color w:val="231F20"/>
                <w:spacing w:val="-2"/>
                <w:sz w:val="13"/>
              </w:rPr>
              <w:t>3.47855</w:t>
            </w:r>
          </w:p>
        </w:tc>
        <w:tc>
          <w:tcPr>
            <w:tcW w:w="640" w:type="dxa"/>
          </w:tcPr>
          <w:p>
            <w:pPr>
              <w:pStyle w:val="TableParagraph"/>
              <w:spacing w:line="152" w:lineRule="exact" w:before="65"/>
              <w:ind w:right="50"/>
              <w:jc w:val="right"/>
              <w:rPr>
                <w:sz w:val="13"/>
              </w:rPr>
            </w:pPr>
            <w:r>
              <w:rPr>
                <w:color w:val="231F20"/>
                <w:spacing w:val="-2"/>
                <w:sz w:val="13"/>
              </w:rPr>
              <w:t>4.22623</w:t>
            </w:r>
          </w:p>
        </w:tc>
        <w:tc>
          <w:tcPr>
            <w:tcW w:w="645" w:type="dxa"/>
          </w:tcPr>
          <w:p>
            <w:pPr>
              <w:pStyle w:val="TableParagraph"/>
              <w:spacing w:line="152" w:lineRule="exact" w:before="65"/>
              <w:ind w:right="45"/>
              <w:jc w:val="right"/>
              <w:rPr>
                <w:sz w:val="13"/>
              </w:rPr>
            </w:pPr>
            <w:r>
              <w:rPr>
                <w:color w:val="231F20"/>
                <w:spacing w:val="-2"/>
                <w:sz w:val="13"/>
              </w:rPr>
              <w:t>4.65239</w:t>
            </w:r>
          </w:p>
        </w:tc>
        <w:tc>
          <w:tcPr>
            <w:tcW w:w="644" w:type="dxa"/>
          </w:tcPr>
          <w:p>
            <w:pPr>
              <w:pStyle w:val="TableParagraph"/>
              <w:spacing w:line="152" w:lineRule="exact" w:before="65"/>
              <w:ind w:right="49"/>
              <w:jc w:val="right"/>
              <w:rPr>
                <w:sz w:val="13"/>
              </w:rPr>
            </w:pPr>
            <w:r>
              <w:rPr>
                <w:color w:val="231F20"/>
                <w:spacing w:val="-2"/>
                <w:sz w:val="13"/>
              </w:rPr>
              <w:t>5.11726</w:t>
            </w:r>
          </w:p>
        </w:tc>
        <w:tc>
          <w:tcPr>
            <w:tcW w:w="720" w:type="dxa"/>
          </w:tcPr>
          <w:p>
            <w:pPr>
              <w:pStyle w:val="TableParagraph"/>
              <w:spacing w:line="152" w:lineRule="exact" w:before="65"/>
              <w:ind w:right="49"/>
              <w:jc w:val="right"/>
              <w:rPr>
                <w:sz w:val="13"/>
              </w:rPr>
            </w:pPr>
            <w:r>
              <w:rPr>
                <w:color w:val="231F20"/>
                <w:spacing w:val="-2"/>
                <w:sz w:val="13"/>
              </w:rPr>
              <w:t>6.17593</w:t>
            </w:r>
          </w:p>
        </w:tc>
        <w:tc>
          <w:tcPr>
            <w:tcW w:w="720" w:type="dxa"/>
          </w:tcPr>
          <w:p>
            <w:pPr>
              <w:pStyle w:val="TableParagraph"/>
              <w:spacing w:line="152" w:lineRule="exact" w:before="65"/>
              <w:ind w:right="49"/>
              <w:jc w:val="right"/>
              <w:rPr>
                <w:sz w:val="13"/>
              </w:rPr>
            </w:pPr>
            <w:r>
              <w:rPr>
                <w:color w:val="231F20"/>
                <w:spacing w:val="-2"/>
                <w:sz w:val="13"/>
              </w:rPr>
              <w:t>7.43008</w:t>
            </w:r>
          </w:p>
        </w:tc>
        <w:tc>
          <w:tcPr>
            <w:tcW w:w="700" w:type="dxa"/>
          </w:tcPr>
          <w:p>
            <w:pPr>
              <w:pStyle w:val="TableParagraph"/>
              <w:spacing w:line="152" w:lineRule="exact" w:before="65"/>
              <w:ind w:right="29"/>
              <w:jc w:val="right"/>
              <w:rPr>
                <w:sz w:val="13"/>
              </w:rPr>
            </w:pPr>
            <w:r>
              <w:rPr>
                <w:color w:val="231F20"/>
                <w:spacing w:val="-2"/>
                <w:sz w:val="13"/>
              </w:rPr>
              <w:t>11.64153</w:t>
            </w:r>
          </w:p>
        </w:tc>
      </w:tr>
      <w:tr>
        <w:trPr>
          <w:trHeight w:val="189" w:hRule="atLeast"/>
        </w:trPr>
        <w:tc>
          <w:tcPr>
            <w:tcW w:w="290" w:type="dxa"/>
          </w:tcPr>
          <w:p>
            <w:pPr>
              <w:pStyle w:val="TableParagraph"/>
              <w:spacing w:line="152" w:lineRule="exact"/>
              <w:ind w:left="78" w:right="38"/>
              <w:rPr>
                <w:sz w:val="13"/>
              </w:rPr>
            </w:pPr>
            <w:r>
              <w:rPr>
                <w:color w:val="231F20"/>
                <w:spacing w:val="-5"/>
                <w:sz w:val="13"/>
              </w:rPr>
              <w:t>12</w:t>
            </w:r>
          </w:p>
        </w:tc>
        <w:tc>
          <w:tcPr>
            <w:tcW w:w="573" w:type="dxa"/>
          </w:tcPr>
          <w:p>
            <w:pPr>
              <w:pStyle w:val="TableParagraph"/>
              <w:spacing w:line="152" w:lineRule="exact"/>
              <w:ind w:left="45" w:right="42"/>
              <w:rPr>
                <w:sz w:val="13"/>
              </w:rPr>
            </w:pPr>
            <w:r>
              <w:rPr>
                <w:color w:val="231F20"/>
                <w:spacing w:val="-2"/>
                <w:sz w:val="13"/>
              </w:rPr>
              <w:t>1.12683</w:t>
            </w:r>
          </w:p>
        </w:tc>
        <w:tc>
          <w:tcPr>
            <w:tcW w:w="570" w:type="dxa"/>
          </w:tcPr>
          <w:p>
            <w:pPr>
              <w:pStyle w:val="TableParagraph"/>
              <w:spacing w:line="152" w:lineRule="exact"/>
              <w:ind w:left="39" w:right="39"/>
              <w:rPr>
                <w:sz w:val="13"/>
              </w:rPr>
            </w:pPr>
            <w:r>
              <w:rPr>
                <w:color w:val="231F20"/>
                <w:spacing w:val="-2"/>
                <w:sz w:val="13"/>
              </w:rPr>
              <w:t>1.26824</w:t>
            </w:r>
          </w:p>
        </w:tc>
        <w:tc>
          <w:tcPr>
            <w:tcW w:w="575" w:type="dxa"/>
          </w:tcPr>
          <w:p>
            <w:pPr>
              <w:pStyle w:val="TableParagraph"/>
              <w:spacing w:line="152" w:lineRule="exact"/>
              <w:ind w:left="40" w:right="42"/>
              <w:rPr>
                <w:sz w:val="13"/>
              </w:rPr>
            </w:pPr>
            <w:r>
              <w:rPr>
                <w:color w:val="231F20"/>
                <w:spacing w:val="-2"/>
                <w:sz w:val="13"/>
              </w:rPr>
              <w:t>1.42576</w:t>
            </w:r>
          </w:p>
        </w:tc>
        <w:tc>
          <w:tcPr>
            <w:tcW w:w="575" w:type="dxa"/>
          </w:tcPr>
          <w:p>
            <w:pPr>
              <w:pStyle w:val="TableParagraph"/>
              <w:spacing w:line="152" w:lineRule="exact"/>
              <w:ind w:left="44" w:right="39"/>
              <w:rPr>
                <w:sz w:val="13"/>
              </w:rPr>
            </w:pPr>
            <w:r>
              <w:rPr>
                <w:color w:val="231F20"/>
                <w:spacing w:val="-2"/>
                <w:sz w:val="13"/>
              </w:rPr>
              <w:t>1.60103</w:t>
            </w:r>
          </w:p>
        </w:tc>
        <w:tc>
          <w:tcPr>
            <w:tcW w:w="565" w:type="dxa"/>
          </w:tcPr>
          <w:p>
            <w:pPr>
              <w:pStyle w:val="TableParagraph"/>
              <w:spacing w:line="152" w:lineRule="exact"/>
              <w:ind w:left="42" w:right="37"/>
              <w:rPr>
                <w:sz w:val="13"/>
              </w:rPr>
            </w:pPr>
            <w:r>
              <w:rPr>
                <w:color w:val="231F20"/>
                <w:spacing w:val="-2"/>
                <w:sz w:val="13"/>
              </w:rPr>
              <w:t>1.79586</w:t>
            </w:r>
          </w:p>
        </w:tc>
        <w:tc>
          <w:tcPr>
            <w:tcW w:w="570" w:type="dxa"/>
          </w:tcPr>
          <w:p>
            <w:pPr>
              <w:pStyle w:val="TableParagraph"/>
              <w:spacing w:line="152" w:lineRule="exact"/>
              <w:ind w:left="36" w:right="42"/>
              <w:rPr>
                <w:sz w:val="13"/>
              </w:rPr>
            </w:pPr>
            <w:r>
              <w:rPr>
                <w:color w:val="231F20"/>
                <w:spacing w:val="-2"/>
                <w:sz w:val="13"/>
              </w:rPr>
              <w:t>2.01220</w:t>
            </w:r>
          </w:p>
        </w:tc>
        <w:tc>
          <w:tcPr>
            <w:tcW w:w="574" w:type="dxa"/>
          </w:tcPr>
          <w:p>
            <w:pPr>
              <w:pStyle w:val="TableParagraph"/>
              <w:spacing w:line="152" w:lineRule="exact"/>
              <w:ind w:left="48" w:right="41"/>
              <w:rPr>
                <w:sz w:val="13"/>
              </w:rPr>
            </w:pPr>
            <w:r>
              <w:rPr>
                <w:color w:val="231F20"/>
                <w:spacing w:val="-2"/>
                <w:sz w:val="13"/>
              </w:rPr>
              <w:t>2.25219</w:t>
            </w:r>
          </w:p>
        </w:tc>
        <w:tc>
          <w:tcPr>
            <w:tcW w:w="645" w:type="dxa"/>
          </w:tcPr>
          <w:p>
            <w:pPr>
              <w:pStyle w:val="TableParagraph"/>
              <w:spacing w:line="152" w:lineRule="exact"/>
              <w:ind w:right="51"/>
              <w:jc w:val="right"/>
              <w:rPr>
                <w:sz w:val="13"/>
              </w:rPr>
            </w:pPr>
            <w:r>
              <w:rPr>
                <w:color w:val="231F20"/>
                <w:spacing w:val="-2"/>
                <w:sz w:val="13"/>
              </w:rPr>
              <w:t>2.51817</w:t>
            </w:r>
          </w:p>
        </w:tc>
        <w:tc>
          <w:tcPr>
            <w:tcW w:w="660" w:type="dxa"/>
          </w:tcPr>
          <w:p>
            <w:pPr>
              <w:pStyle w:val="TableParagraph"/>
              <w:spacing w:line="152" w:lineRule="exact"/>
              <w:ind w:right="61"/>
              <w:jc w:val="right"/>
              <w:rPr>
                <w:sz w:val="13"/>
              </w:rPr>
            </w:pPr>
            <w:r>
              <w:rPr>
                <w:color w:val="231F20"/>
                <w:spacing w:val="-2"/>
                <w:sz w:val="13"/>
              </w:rPr>
              <w:t>2.81266</w:t>
            </w:r>
          </w:p>
        </w:tc>
        <w:tc>
          <w:tcPr>
            <w:tcW w:w="620" w:type="dxa"/>
          </w:tcPr>
          <w:p>
            <w:pPr>
              <w:pStyle w:val="TableParagraph"/>
              <w:spacing w:line="152" w:lineRule="exact"/>
              <w:ind w:left="109" w:right="26"/>
              <w:rPr>
                <w:sz w:val="13"/>
              </w:rPr>
            </w:pPr>
            <w:r>
              <w:rPr>
                <w:color w:val="231F20"/>
                <w:spacing w:val="-2"/>
                <w:sz w:val="13"/>
              </w:rPr>
              <w:t>3.13843</w:t>
            </w:r>
          </w:p>
        </w:tc>
        <w:tc>
          <w:tcPr>
            <w:tcW w:w="670" w:type="dxa"/>
          </w:tcPr>
          <w:p>
            <w:pPr>
              <w:pStyle w:val="TableParagraph"/>
              <w:spacing w:line="152" w:lineRule="exact"/>
              <w:ind w:right="41"/>
              <w:jc w:val="right"/>
              <w:rPr>
                <w:sz w:val="13"/>
              </w:rPr>
            </w:pPr>
            <w:r>
              <w:rPr>
                <w:color w:val="231F20"/>
                <w:spacing w:val="-2"/>
                <w:sz w:val="13"/>
              </w:rPr>
              <w:t>3.89598</w:t>
            </w:r>
          </w:p>
        </w:tc>
        <w:tc>
          <w:tcPr>
            <w:tcW w:w="640" w:type="dxa"/>
          </w:tcPr>
          <w:p>
            <w:pPr>
              <w:pStyle w:val="TableParagraph"/>
              <w:spacing w:line="152" w:lineRule="exact"/>
              <w:ind w:right="50"/>
              <w:jc w:val="right"/>
              <w:rPr>
                <w:sz w:val="13"/>
              </w:rPr>
            </w:pPr>
            <w:r>
              <w:rPr>
                <w:color w:val="231F20"/>
                <w:spacing w:val="-2"/>
                <w:sz w:val="13"/>
              </w:rPr>
              <w:t>4.81790</w:t>
            </w:r>
          </w:p>
        </w:tc>
        <w:tc>
          <w:tcPr>
            <w:tcW w:w="645" w:type="dxa"/>
          </w:tcPr>
          <w:p>
            <w:pPr>
              <w:pStyle w:val="TableParagraph"/>
              <w:spacing w:line="152" w:lineRule="exact"/>
              <w:ind w:right="45"/>
              <w:jc w:val="right"/>
              <w:rPr>
                <w:sz w:val="13"/>
              </w:rPr>
            </w:pPr>
            <w:r>
              <w:rPr>
                <w:color w:val="231F20"/>
                <w:spacing w:val="-2"/>
                <w:sz w:val="13"/>
              </w:rPr>
              <w:t>5.35025</w:t>
            </w:r>
          </w:p>
        </w:tc>
        <w:tc>
          <w:tcPr>
            <w:tcW w:w="644" w:type="dxa"/>
          </w:tcPr>
          <w:p>
            <w:pPr>
              <w:pStyle w:val="TableParagraph"/>
              <w:spacing w:line="152" w:lineRule="exact"/>
              <w:ind w:right="49"/>
              <w:jc w:val="right"/>
              <w:rPr>
                <w:sz w:val="13"/>
              </w:rPr>
            </w:pPr>
            <w:r>
              <w:rPr>
                <w:color w:val="231F20"/>
                <w:spacing w:val="-2"/>
                <w:sz w:val="13"/>
              </w:rPr>
              <w:t>5.93603</w:t>
            </w:r>
          </w:p>
        </w:tc>
        <w:tc>
          <w:tcPr>
            <w:tcW w:w="720" w:type="dxa"/>
          </w:tcPr>
          <w:p>
            <w:pPr>
              <w:pStyle w:val="TableParagraph"/>
              <w:spacing w:line="152" w:lineRule="exact"/>
              <w:ind w:right="49"/>
              <w:jc w:val="right"/>
              <w:rPr>
                <w:sz w:val="13"/>
              </w:rPr>
            </w:pPr>
            <w:r>
              <w:rPr>
                <w:color w:val="231F20"/>
                <w:spacing w:val="-2"/>
                <w:sz w:val="13"/>
              </w:rPr>
              <w:t>7.28759</w:t>
            </w:r>
          </w:p>
        </w:tc>
        <w:tc>
          <w:tcPr>
            <w:tcW w:w="720" w:type="dxa"/>
          </w:tcPr>
          <w:p>
            <w:pPr>
              <w:pStyle w:val="TableParagraph"/>
              <w:spacing w:line="152" w:lineRule="exact"/>
              <w:ind w:right="49"/>
              <w:jc w:val="right"/>
              <w:rPr>
                <w:sz w:val="13"/>
              </w:rPr>
            </w:pPr>
            <w:r>
              <w:rPr>
                <w:color w:val="231F20"/>
                <w:spacing w:val="-2"/>
                <w:sz w:val="13"/>
              </w:rPr>
              <w:t>8.91610</w:t>
            </w:r>
          </w:p>
        </w:tc>
        <w:tc>
          <w:tcPr>
            <w:tcW w:w="700" w:type="dxa"/>
          </w:tcPr>
          <w:p>
            <w:pPr>
              <w:pStyle w:val="TableParagraph"/>
              <w:spacing w:line="152" w:lineRule="exact"/>
              <w:ind w:right="29"/>
              <w:jc w:val="right"/>
              <w:rPr>
                <w:sz w:val="13"/>
              </w:rPr>
            </w:pPr>
            <w:r>
              <w:rPr>
                <w:color w:val="231F20"/>
                <w:spacing w:val="-2"/>
                <w:sz w:val="13"/>
              </w:rPr>
              <w:t>14.55192</w:t>
            </w:r>
          </w:p>
        </w:tc>
      </w:tr>
      <w:tr>
        <w:trPr>
          <w:trHeight w:val="189" w:hRule="atLeast"/>
        </w:trPr>
        <w:tc>
          <w:tcPr>
            <w:tcW w:w="290" w:type="dxa"/>
          </w:tcPr>
          <w:p>
            <w:pPr>
              <w:pStyle w:val="TableParagraph"/>
              <w:spacing w:line="152" w:lineRule="exact"/>
              <w:ind w:left="78" w:right="38"/>
              <w:rPr>
                <w:sz w:val="13"/>
              </w:rPr>
            </w:pPr>
            <w:r>
              <w:rPr>
                <w:color w:val="231F20"/>
                <w:spacing w:val="-5"/>
                <w:sz w:val="13"/>
              </w:rPr>
              <w:t>13</w:t>
            </w:r>
          </w:p>
        </w:tc>
        <w:tc>
          <w:tcPr>
            <w:tcW w:w="573" w:type="dxa"/>
          </w:tcPr>
          <w:p>
            <w:pPr>
              <w:pStyle w:val="TableParagraph"/>
              <w:spacing w:line="152" w:lineRule="exact"/>
              <w:ind w:left="45" w:right="42"/>
              <w:rPr>
                <w:sz w:val="13"/>
              </w:rPr>
            </w:pPr>
            <w:r>
              <w:rPr>
                <w:color w:val="231F20"/>
                <w:spacing w:val="-2"/>
                <w:sz w:val="13"/>
              </w:rPr>
              <w:t>1.13809</w:t>
            </w:r>
          </w:p>
        </w:tc>
        <w:tc>
          <w:tcPr>
            <w:tcW w:w="570" w:type="dxa"/>
          </w:tcPr>
          <w:p>
            <w:pPr>
              <w:pStyle w:val="TableParagraph"/>
              <w:spacing w:line="152" w:lineRule="exact"/>
              <w:ind w:left="39" w:right="39"/>
              <w:rPr>
                <w:sz w:val="13"/>
              </w:rPr>
            </w:pPr>
            <w:r>
              <w:rPr>
                <w:color w:val="231F20"/>
                <w:spacing w:val="-2"/>
                <w:sz w:val="13"/>
              </w:rPr>
              <w:t>1.29361</w:t>
            </w:r>
          </w:p>
        </w:tc>
        <w:tc>
          <w:tcPr>
            <w:tcW w:w="575" w:type="dxa"/>
          </w:tcPr>
          <w:p>
            <w:pPr>
              <w:pStyle w:val="TableParagraph"/>
              <w:spacing w:line="152" w:lineRule="exact"/>
              <w:ind w:left="40" w:right="42"/>
              <w:rPr>
                <w:sz w:val="13"/>
              </w:rPr>
            </w:pPr>
            <w:r>
              <w:rPr>
                <w:color w:val="231F20"/>
                <w:spacing w:val="-2"/>
                <w:sz w:val="13"/>
              </w:rPr>
              <w:t>1.46853</w:t>
            </w:r>
          </w:p>
        </w:tc>
        <w:tc>
          <w:tcPr>
            <w:tcW w:w="575" w:type="dxa"/>
          </w:tcPr>
          <w:p>
            <w:pPr>
              <w:pStyle w:val="TableParagraph"/>
              <w:spacing w:line="152" w:lineRule="exact"/>
              <w:ind w:left="44" w:right="39"/>
              <w:rPr>
                <w:sz w:val="13"/>
              </w:rPr>
            </w:pPr>
            <w:r>
              <w:rPr>
                <w:color w:val="231F20"/>
                <w:spacing w:val="-2"/>
                <w:sz w:val="13"/>
              </w:rPr>
              <w:t>1.66507</w:t>
            </w:r>
          </w:p>
        </w:tc>
        <w:tc>
          <w:tcPr>
            <w:tcW w:w="565" w:type="dxa"/>
          </w:tcPr>
          <w:p>
            <w:pPr>
              <w:pStyle w:val="TableParagraph"/>
              <w:spacing w:line="152" w:lineRule="exact"/>
              <w:ind w:left="42" w:right="37"/>
              <w:rPr>
                <w:sz w:val="13"/>
              </w:rPr>
            </w:pPr>
            <w:r>
              <w:rPr>
                <w:color w:val="231F20"/>
                <w:spacing w:val="-2"/>
                <w:sz w:val="13"/>
              </w:rPr>
              <w:t>1.88565</w:t>
            </w:r>
          </w:p>
        </w:tc>
        <w:tc>
          <w:tcPr>
            <w:tcW w:w="570" w:type="dxa"/>
          </w:tcPr>
          <w:p>
            <w:pPr>
              <w:pStyle w:val="TableParagraph"/>
              <w:spacing w:line="152" w:lineRule="exact"/>
              <w:ind w:left="36" w:right="42"/>
              <w:rPr>
                <w:sz w:val="13"/>
              </w:rPr>
            </w:pPr>
            <w:r>
              <w:rPr>
                <w:color w:val="231F20"/>
                <w:spacing w:val="-2"/>
                <w:sz w:val="13"/>
              </w:rPr>
              <w:t>2.13293</w:t>
            </w:r>
          </w:p>
        </w:tc>
        <w:tc>
          <w:tcPr>
            <w:tcW w:w="574" w:type="dxa"/>
          </w:tcPr>
          <w:p>
            <w:pPr>
              <w:pStyle w:val="TableParagraph"/>
              <w:spacing w:line="152" w:lineRule="exact"/>
              <w:ind w:left="48" w:right="41"/>
              <w:rPr>
                <w:sz w:val="13"/>
              </w:rPr>
            </w:pPr>
            <w:r>
              <w:rPr>
                <w:color w:val="231F20"/>
                <w:spacing w:val="-2"/>
                <w:sz w:val="13"/>
              </w:rPr>
              <w:t>2.40985</w:t>
            </w:r>
          </w:p>
        </w:tc>
        <w:tc>
          <w:tcPr>
            <w:tcW w:w="645" w:type="dxa"/>
          </w:tcPr>
          <w:p>
            <w:pPr>
              <w:pStyle w:val="TableParagraph"/>
              <w:spacing w:line="152" w:lineRule="exact"/>
              <w:ind w:right="51"/>
              <w:jc w:val="right"/>
              <w:rPr>
                <w:sz w:val="13"/>
              </w:rPr>
            </w:pPr>
            <w:r>
              <w:rPr>
                <w:color w:val="231F20"/>
                <w:spacing w:val="-2"/>
                <w:sz w:val="13"/>
              </w:rPr>
              <w:t>2.71962</w:t>
            </w:r>
          </w:p>
        </w:tc>
        <w:tc>
          <w:tcPr>
            <w:tcW w:w="660" w:type="dxa"/>
          </w:tcPr>
          <w:p>
            <w:pPr>
              <w:pStyle w:val="TableParagraph"/>
              <w:spacing w:line="152" w:lineRule="exact"/>
              <w:ind w:right="61"/>
              <w:jc w:val="right"/>
              <w:rPr>
                <w:sz w:val="13"/>
              </w:rPr>
            </w:pPr>
            <w:r>
              <w:rPr>
                <w:color w:val="231F20"/>
                <w:spacing w:val="-2"/>
                <w:sz w:val="13"/>
              </w:rPr>
              <w:t>3.06580</w:t>
            </w:r>
          </w:p>
        </w:tc>
        <w:tc>
          <w:tcPr>
            <w:tcW w:w="620" w:type="dxa"/>
          </w:tcPr>
          <w:p>
            <w:pPr>
              <w:pStyle w:val="TableParagraph"/>
              <w:spacing w:line="152" w:lineRule="exact"/>
              <w:ind w:left="109" w:right="26"/>
              <w:rPr>
                <w:sz w:val="13"/>
              </w:rPr>
            </w:pPr>
            <w:r>
              <w:rPr>
                <w:color w:val="231F20"/>
                <w:spacing w:val="-2"/>
                <w:sz w:val="13"/>
              </w:rPr>
              <w:t>3.45227</w:t>
            </w:r>
          </w:p>
        </w:tc>
        <w:tc>
          <w:tcPr>
            <w:tcW w:w="670" w:type="dxa"/>
          </w:tcPr>
          <w:p>
            <w:pPr>
              <w:pStyle w:val="TableParagraph"/>
              <w:spacing w:line="152" w:lineRule="exact"/>
              <w:ind w:right="41"/>
              <w:jc w:val="right"/>
              <w:rPr>
                <w:sz w:val="13"/>
              </w:rPr>
            </w:pPr>
            <w:r>
              <w:rPr>
                <w:color w:val="231F20"/>
                <w:spacing w:val="-2"/>
                <w:sz w:val="13"/>
              </w:rPr>
              <w:t>4.36348</w:t>
            </w:r>
          </w:p>
        </w:tc>
        <w:tc>
          <w:tcPr>
            <w:tcW w:w="640" w:type="dxa"/>
          </w:tcPr>
          <w:p>
            <w:pPr>
              <w:pStyle w:val="TableParagraph"/>
              <w:spacing w:line="152" w:lineRule="exact"/>
              <w:ind w:right="50"/>
              <w:jc w:val="right"/>
              <w:rPr>
                <w:sz w:val="13"/>
              </w:rPr>
            </w:pPr>
            <w:r>
              <w:rPr>
                <w:color w:val="231F20"/>
                <w:spacing w:val="-2"/>
                <w:sz w:val="13"/>
              </w:rPr>
              <w:t>5.49241</w:t>
            </w:r>
          </w:p>
        </w:tc>
        <w:tc>
          <w:tcPr>
            <w:tcW w:w="645" w:type="dxa"/>
          </w:tcPr>
          <w:p>
            <w:pPr>
              <w:pStyle w:val="TableParagraph"/>
              <w:spacing w:line="152" w:lineRule="exact"/>
              <w:ind w:right="45"/>
              <w:jc w:val="right"/>
              <w:rPr>
                <w:sz w:val="13"/>
              </w:rPr>
            </w:pPr>
            <w:r>
              <w:rPr>
                <w:color w:val="231F20"/>
                <w:spacing w:val="-2"/>
                <w:sz w:val="13"/>
              </w:rPr>
              <w:t>6.15279</w:t>
            </w:r>
          </w:p>
        </w:tc>
        <w:tc>
          <w:tcPr>
            <w:tcW w:w="644" w:type="dxa"/>
          </w:tcPr>
          <w:p>
            <w:pPr>
              <w:pStyle w:val="TableParagraph"/>
              <w:spacing w:line="152" w:lineRule="exact"/>
              <w:ind w:right="49"/>
              <w:jc w:val="right"/>
              <w:rPr>
                <w:sz w:val="13"/>
              </w:rPr>
            </w:pPr>
            <w:r>
              <w:rPr>
                <w:color w:val="231F20"/>
                <w:spacing w:val="-2"/>
                <w:sz w:val="13"/>
              </w:rPr>
              <w:t>6.88579</w:t>
            </w:r>
          </w:p>
        </w:tc>
        <w:tc>
          <w:tcPr>
            <w:tcW w:w="720" w:type="dxa"/>
          </w:tcPr>
          <w:p>
            <w:pPr>
              <w:pStyle w:val="TableParagraph"/>
              <w:spacing w:line="152" w:lineRule="exact"/>
              <w:ind w:right="49"/>
              <w:jc w:val="right"/>
              <w:rPr>
                <w:sz w:val="13"/>
              </w:rPr>
            </w:pPr>
            <w:r>
              <w:rPr>
                <w:color w:val="231F20"/>
                <w:spacing w:val="-2"/>
                <w:sz w:val="13"/>
              </w:rPr>
              <w:t>8.59936</w:t>
            </w:r>
          </w:p>
        </w:tc>
        <w:tc>
          <w:tcPr>
            <w:tcW w:w="720" w:type="dxa"/>
          </w:tcPr>
          <w:p>
            <w:pPr>
              <w:pStyle w:val="TableParagraph"/>
              <w:spacing w:line="152" w:lineRule="exact"/>
              <w:ind w:right="49"/>
              <w:jc w:val="right"/>
              <w:rPr>
                <w:sz w:val="13"/>
              </w:rPr>
            </w:pPr>
            <w:r>
              <w:rPr>
                <w:color w:val="231F20"/>
                <w:spacing w:val="-2"/>
                <w:sz w:val="13"/>
              </w:rPr>
              <w:t>10.69932</w:t>
            </w:r>
          </w:p>
        </w:tc>
        <w:tc>
          <w:tcPr>
            <w:tcW w:w="700" w:type="dxa"/>
          </w:tcPr>
          <w:p>
            <w:pPr>
              <w:pStyle w:val="TableParagraph"/>
              <w:spacing w:line="152" w:lineRule="exact"/>
              <w:ind w:right="29"/>
              <w:jc w:val="right"/>
              <w:rPr>
                <w:sz w:val="13"/>
              </w:rPr>
            </w:pPr>
            <w:r>
              <w:rPr>
                <w:color w:val="231F20"/>
                <w:spacing w:val="-2"/>
                <w:sz w:val="13"/>
              </w:rPr>
              <w:t>18.18989</w:t>
            </w:r>
          </w:p>
        </w:tc>
      </w:tr>
      <w:tr>
        <w:trPr>
          <w:trHeight w:val="189" w:hRule="atLeast"/>
        </w:trPr>
        <w:tc>
          <w:tcPr>
            <w:tcW w:w="290" w:type="dxa"/>
          </w:tcPr>
          <w:p>
            <w:pPr>
              <w:pStyle w:val="TableParagraph"/>
              <w:spacing w:line="152" w:lineRule="exact"/>
              <w:ind w:left="78" w:right="38"/>
              <w:rPr>
                <w:sz w:val="13"/>
              </w:rPr>
            </w:pPr>
            <w:r>
              <w:rPr>
                <w:color w:val="231F20"/>
                <w:spacing w:val="-5"/>
                <w:sz w:val="13"/>
              </w:rPr>
              <w:t>14</w:t>
            </w:r>
          </w:p>
        </w:tc>
        <w:tc>
          <w:tcPr>
            <w:tcW w:w="573" w:type="dxa"/>
          </w:tcPr>
          <w:p>
            <w:pPr>
              <w:pStyle w:val="TableParagraph"/>
              <w:spacing w:line="152" w:lineRule="exact"/>
              <w:ind w:left="45" w:right="42"/>
              <w:rPr>
                <w:sz w:val="13"/>
              </w:rPr>
            </w:pPr>
            <w:r>
              <w:rPr>
                <w:color w:val="231F20"/>
                <w:spacing w:val="-2"/>
                <w:sz w:val="13"/>
              </w:rPr>
              <w:t>1.14947</w:t>
            </w:r>
          </w:p>
        </w:tc>
        <w:tc>
          <w:tcPr>
            <w:tcW w:w="570" w:type="dxa"/>
          </w:tcPr>
          <w:p>
            <w:pPr>
              <w:pStyle w:val="TableParagraph"/>
              <w:spacing w:line="152" w:lineRule="exact"/>
              <w:ind w:left="39" w:right="39"/>
              <w:rPr>
                <w:sz w:val="13"/>
              </w:rPr>
            </w:pPr>
            <w:r>
              <w:rPr>
                <w:color w:val="231F20"/>
                <w:spacing w:val="-2"/>
                <w:sz w:val="13"/>
              </w:rPr>
              <w:t>1.31948</w:t>
            </w:r>
          </w:p>
        </w:tc>
        <w:tc>
          <w:tcPr>
            <w:tcW w:w="575" w:type="dxa"/>
          </w:tcPr>
          <w:p>
            <w:pPr>
              <w:pStyle w:val="TableParagraph"/>
              <w:spacing w:line="152" w:lineRule="exact"/>
              <w:ind w:left="40" w:right="42"/>
              <w:rPr>
                <w:sz w:val="13"/>
              </w:rPr>
            </w:pPr>
            <w:r>
              <w:rPr>
                <w:color w:val="231F20"/>
                <w:spacing w:val="-2"/>
                <w:sz w:val="13"/>
              </w:rPr>
              <w:t>1.51259</w:t>
            </w:r>
          </w:p>
        </w:tc>
        <w:tc>
          <w:tcPr>
            <w:tcW w:w="575" w:type="dxa"/>
          </w:tcPr>
          <w:p>
            <w:pPr>
              <w:pStyle w:val="TableParagraph"/>
              <w:spacing w:line="152" w:lineRule="exact"/>
              <w:ind w:left="44" w:right="39"/>
              <w:rPr>
                <w:sz w:val="13"/>
              </w:rPr>
            </w:pPr>
            <w:r>
              <w:rPr>
                <w:color w:val="231F20"/>
                <w:spacing w:val="-2"/>
                <w:sz w:val="13"/>
              </w:rPr>
              <w:t>1.73168</w:t>
            </w:r>
          </w:p>
        </w:tc>
        <w:tc>
          <w:tcPr>
            <w:tcW w:w="565" w:type="dxa"/>
          </w:tcPr>
          <w:p>
            <w:pPr>
              <w:pStyle w:val="TableParagraph"/>
              <w:spacing w:line="152" w:lineRule="exact"/>
              <w:ind w:left="42" w:right="37"/>
              <w:rPr>
                <w:sz w:val="13"/>
              </w:rPr>
            </w:pPr>
            <w:r>
              <w:rPr>
                <w:color w:val="231F20"/>
                <w:spacing w:val="-2"/>
                <w:sz w:val="13"/>
              </w:rPr>
              <w:t>1.97993</w:t>
            </w:r>
          </w:p>
        </w:tc>
        <w:tc>
          <w:tcPr>
            <w:tcW w:w="570" w:type="dxa"/>
          </w:tcPr>
          <w:p>
            <w:pPr>
              <w:pStyle w:val="TableParagraph"/>
              <w:spacing w:line="152" w:lineRule="exact"/>
              <w:ind w:left="36" w:right="42"/>
              <w:rPr>
                <w:sz w:val="13"/>
              </w:rPr>
            </w:pPr>
            <w:r>
              <w:rPr>
                <w:color w:val="231F20"/>
                <w:spacing w:val="-2"/>
                <w:sz w:val="13"/>
              </w:rPr>
              <w:t>2.26090</w:t>
            </w:r>
          </w:p>
        </w:tc>
        <w:tc>
          <w:tcPr>
            <w:tcW w:w="574" w:type="dxa"/>
          </w:tcPr>
          <w:p>
            <w:pPr>
              <w:pStyle w:val="TableParagraph"/>
              <w:spacing w:line="152" w:lineRule="exact"/>
              <w:ind w:left="48" w:right="41"/>
              <w:rPr>
                <w:sz w:val="13"/>
              </w:rPr>
            </w:pPr>
            <w:r>
              <w:rPr>
                <w:color w:val="231F20"/>
                <w:spacing w:val="-2"/>
                <w:sz w:val="13"/>
              </w:rPr>
              <w:t>2.57853</w:t>
            </w:r>
          </w:p>
        </w:tc>
        <w:tc>
          <w:tcPr>
            <w:tcW w:w="645" w:type="dxa"/>
          </w:tcPr>
          <w:p>
            <w:pPr>
              <w:pStyle w:val="TableParagraph"/>
              <w:spacing w:line="152" w:lineRule="exact"/>
              <w:ind w:right="51"/>
              <w:jc w:val="right"/>
              <w:rPr>
                <w:sz w:val="13"/>
              </w:rPr>
            </w:pPr>
            <w:r>
              <w:rPr>
                <w:color w:val="231F20"/>
                <w:spacing w:val="-2"/>
                <w:sz w:val="13"/>
              </w:rPr>
              <w:t>2.93719</w:t>
            </w:r>
          </w:p>
        </w:tc>
        <w:tc>
          <w:tcPr>
            <w:tcW w:w="660" w:type="dxa"/>
          </w:tcPr>
          <w:p>
            <w:pPr>
              <w:pStyle w:val="TableParagraph"/>
              <w:spacing w:line="152" w:lineRule="exact"/>
              <w:ind w:right="61"/>
              <w:jc w:val="right"/>
              <w:rPr>
                <w:sz w:val="13"/>
              </w:rPr>
            </w:pPr>
            <w:r>
              <w:rPr>
                <w:color w:val="231F20"/>
                <w:spacing w:val="-2"/>
                <w:sz w:val="13"/>
              </w:rPr>
              <w:t>3.34173</w:t>
            </w:r>
          </w:p>
        </w:tc>
        <w:tc>
          <w:tcPr>
            <w:tcW w:w="620" w:type="dxa"/>
          </w:tcPr>
          <w:p>
            <w:pPr>
              <w:pStyle w:val="TableParagraph"/>
              <w:spacing w:line="152" w:lineRule="exact"/>
              <w:ind w:left="109" w:right="26"/>
              <w:rPr>
                <w:sz w:val="13"/>
              </w:rPr>
            </w:pPr>
            <w:r>
              <w:rPr>
                <w:color w:val="231F20"/>
                <w:spacing w:val="-2"/>
                <w:sz w:val="13"/>
              </w:rPr>
              <w:t>3.79750</w:t>
            </w:r>
          </w:p>
        </w:tc>
        <w:tc>
          <w:tcPr>
            <w:tcW w:w="670" w:type="dxa"/>
          </w:tcPr>
          <w:p>
            <w:pPr>
              <w:pStyle w:val="TableParagraph"/>
              <w:spacing w:line="152" w:lineRule="exact"/>
              <w:ind w:right="41"/>
              <w:jc w:val="right"/>
              <w:rPr>
                <w:sz w:val="13"/>
              </w:rPr>
            </w:pPr>
            <w:r>
              <w:rPr>
                <w:color w:val="231F20"/>
                <w:spacing w:val="-2"/>
                <w:sz w:val="13"/>
              </w:rPr>
              <w:t>4.88711</w:t>
            </w:r>
          </w:p>
        </w:tc>
        <w:tc>
          <w:tcPr>
            <w:tcW w:w="640" w:type="dxa"/>
          </w:tcPr>
          <w:p>
            <w:pPr>
              <w:pStyle w:val="TableParagraph"/>
              <w:spacing w:line="152" w:lineRule="exact"/>
              <w:ind w:right="50"/>
              <w:jc w:val="right"/>
              <w:rPr>
                <w:sz w:val="13"/>
              </w:rPr>
            </w:pPr>
            <w:r>
              <w:rPr>
                <w:color w:val="231F20"/>
                <w:spacing w:val="-2"/>
                <w:sz w:val="13"/>
              </w:rPr>
              <w:t>6.26135</w:t>
            </w:r>
          </w:p>
        </w:tc>
        <w:tc>
          <w:tcPr>
            <w:tcW w:w="645" w:type="dxa"/>
          </w:tcPr>
          <w:p>
            <w:pPr>
              <w:pStyle w:val="TableParagraph"/>
              <w:spacing w:line="152" w:lineRule="exact"/>
              <w:ind w:right="45"/>
              <w:jc w:val="right"/>
              <w:rPr>
                <w:sz w:val="13"/>
              </w:rPr>
            </w:pPr>
            <w:r>
              <w:rPr>
                <w:color w:val="231F20"/>
                <w:spacing w:val="-2"/>
                <w:sz w:val="13"/>
              </w:rPr>
              <w:t>7.07571</w:t>
            </w:r>
          </w:p>
        </w:tc>
        <w:tc>
          <w:tcPr>
            <w:tcW w:w="644" w:type="dxa"/>
          </w:tcPr>
          <w:p>
            <w:pPr>
              <w:pStyle w:val="TableParagraph"/>
              <w:spacing w:line="152" w:lineRule="exact"/>
              <w:ind w:right="49"/>
              <w:jc w:val="right"/>
              <w:rPr>
                <w:sz w:val="13"/>
              </w:rPr>
            </w:pPr>
            <w:r>
              <w:rPr>
                <w:color w:val="231F20"/>
                <w:spacing w:val="-2"/>
                <w:sz w:val="13"/>
              </w:rPr>
              <w:t>7.98752</w:t>
            </w:r>
          </w:p>
        </w:tc>
        <w:tc>
          <w:tcPr>
            <w:tcW w:w="720" w:type="dxa"/>
          </w:tcPr>
          <w:p>
            <w:pPr>
              <w:pStyle w:val="TableParagraph"/>
              <w:spacing w:line="152" w:lineRule="exact"/>
              <w:ind w:right="49"/>
              <w:jc w:val="right"/>
              <w:rPr>
                <w:sz w:val="13"/>
              </w:rPr>
            </w:pPr>
            <w:r>
              <w:rPr>
                <w:color w:val="231F20"/>
                <w:spacing w:val="-2"/>
                <w:sz w:val="13"/>
              </w:rPr>
              <w:t>10.14724</w:t>
            </w:r>
          </w:p>
        </w:tc>
        <w:tc>
          <w:tcPr>
            <w:tcW w:w="720" w:type="dxa"/>
          </w:tcPr>
          <w:p>
            <w:pPr>
              <w:pStyle w:val="TableParagraph"/>
              <w:spacing w:line="152" w:lineRule="exact"/>
              <w:ind w:right="49"/>
              <w:jc w:val="right"/>
              <w:rPr>
                <w:sz w:val="13"/>
              </w:rPr>
            </w:pPr>
            <w:r>
              <w:rPr>
                <w:color w:val="231F20"/>
                <w:spacing w:val="-2"/>
                <w:sz w:val="13"/>
              </w:rPr>
              <w:t>12.83918</w:t>
            </w:r>
          </w:p>
        </w:tc>
        <w:tc>
          <w:tcPr>
            <w:tcW w:w="700" w:type="dxa"/>
          </w:tcPr>
          <w:p>
            <w:pPr>
              <w:pStyle w:val="TableParagraph"/>
              <w:spacing w:line="152" w:lineRule="exact"/>
              <w:ind w:right="29"/>
              <w:jc w:val="right"/>
              <w:rPr>
                <w:sz w:val="13"/>
              </w:rPr>
            </w:pPr>
            <w:r>
              <w:rPr>
                <w:color w:val="231F20"/>
                <w:spacing w:val="-2"/>
                <w:sz w:val="13"/>
              </w:rPr>
              <w:t>22.73737</w:t>
            </w:r>
          </w:p>
        </w:tc>
      </w:tr>
      <w:tr>
        <w:trPr>
          <w:trHeight w:val="237" w:hRule="atLeast"/>
        </w:trPr>
        <w:tc>
          <w:tcPr>
            <w:tcW w:w="290" w:type="dxa"/>
          </w:tcPr>
          <w:p>
            <w:pPr>
              <w:pStyle w:val="TableParagraph"/>
              <w:ind w:left="78" w:right="38"/>
              <w:rPr>
                <w:sz w:val="13"/>
              </w:rPr>
            </w:pPr>
            <w:r>
              <w:rPr>
                <w:color w:val="231F20"/>
                <w:spacing w:val="-5"/>
                <w:sz w:val="13"/>
              </w:rPr>
              <w:t>15</w:t>
            </w:r>
          </w:p>
        </w:tc>
        <w:tc>
          <w:tcPr>
            <w:tcW w:w="573" w:type="dxa"/>
          </w:tcPr>
          <w:p>
            <w:pPr>
              <w:pStyle w:val="TableParagraph"/>
              <w:ind w:left="45" w:right="42"/>
              <w:rPr>
                <w:sz w:val="13"/>
              </w:rPr>
            </w:pPr>
            <w:r>
              <w:rPr>
                <w:color w:val="231F20"/>
                <w:spacing w:val="-2"/>
                <w:sz w:val="13"/>
              </w:rPr>
              <w:t>1.16097</w:t>
            </w:r>
          </w:p>
        </w:tc>
        <w:tc>
          <w:tcPr>
            <w:tcW w:w="570" w:type="dxa"/>
          </w:tcPr>
          <w:p>
            <w:pPr>
              <w:pStyle w:val="TableParagraph"/>
              <w:ind w:left="39" w:right="39"/>
              <w:rPr>
                <w:sz w:val="13"/>
              </w:rPr>
            </w:pPr>
            <w:r>
              <w:rPr>
                <w:color w:val="231F20"/>
                <w:spacing w:val="-2"/>
                <w:sz w:val="13"/>
              </w:rPr>
              <w:t>1.34587</w:t>
            </w:r>
          </w:p>
        </w:tc>
        <w:tc>
          <w:tcPr>
            <w:tcW w:w="575" w:type="dxa"/>
          </w:tcPr>
          <w:p>
            <w:pPr>
              <w:pStyle w:val="TableParagraph"/>
              <w:ind w:left="40" w:right="42"/>
              <w:rPr>
                <w:sz w:val="13"/>
              </w:rPr>
            </w:pPr>
            <w:r>
              <w:rPr>
                <w:color w:val="231F20"/>
                <w:spacing w:val="-2"/>
                <w:sz w:val="13"/>
              </w:rPr>
              <w:t>1.55797</w:t>
            </w:r>
          </w:p>
        </w:tc>
        <w:tc>
          <w:tcPr>
            <w:tcW w:w="575" w:type="dxa"/>
          </w:tcPr>
          <w:p>
            <w:pPr>
              <w:pStyle w:val="TableParagraph"/>
              <w:ind w:left="44" w:right="39"/>
              <w:rPr>
                <w:sz w:val="13"/>
              </w:rPr>
            </w:pPr>
            <w:r>
              <w:rPr>
                <w:color w:val="231F20"/>
                <w:spacing w:val="-2"/>
                <w:sz w:val="13"/>
              </w:rPr>
              <w:t>1.80094</w:t>
            </w:r>
          </w:p>
        </w:tc>
        <w:tc>
          <w:tcPr>
            <w:tcW w:w="565" w:type="dxa"/>
          </w:tcPr>
          <w:p>
            <w:pPr>
              <w:pStyle w:val="TableParagraph"/>
              <w:ind w:left="42" w:right="37"/>
              <w:rPr>
                <w:sz w:val="13"/>
              </w:rPr>
            </w:pPr>
            <w:r>
              <w:rPr>
                <w:color w:val="231F20"/>
                <w:spacing w:val="-2"/>
                <w:sz w:val="13"/>
              </w:rPr>
              <w:t>2.07893</w:t>
            </w:r>
          </w:p>
        </w:tc>
        <w:tc>
          <w:tcPr>
            <w:tcW w:w="570" w:type="dxa"/>
          </w:tcPr>
          <w:p>
            <w:pPr>
              <w:pStyle w:val="TableParagraph"/>
              <w:ind w:left="36" w:right="42"/>
              <w:rPr>
                <w:sz w:val="13"/>
              </w:rPr>
            </w:pPr>
            <w:r>
              <w:rPr>
                <w:color w:val="231F20"/>
                <w:spacing w:val="-2"/>
                <w:sz w:val="13"/>
              </w:rPr>
              <w:t>2.39656</w:t>
            </w:r>
          </w:p>
        </w:tc>
        <w:tc>
          <w:tcPr>
            <w:tcW w:w="574" w:type="dxa"/>
          </w:tcPr>
          <w:p>
            <w:pPr>
              <w:pStyle w:val="TableParagraph"/>
              <w:ind w:left="48" w:right="41"/>
              <w:rPr>
                <w:sz w:val="13"/>
              </w:rPr>
            </w:pPr>
            <w:r>
              <w:rPr>
                <w:color w:val="231F20"/>
                <w:spacing w:val="-2"/>
                <w:sz w:val="13"/>
              </w:rPr>
              <w:t>2.75903</w:t>
            </w:r>
          </w:p>
        </w:tc>
        <w:tc>
          <w:tcPr>
            <w:tcW w:w="645" w:type="dxa"/>
          </w:tcPr>
          <w:p>
            <w:pPr>
              <w:pStyle w:val="TableParagraph"/>
              <w:ind w:right="51"/>
              <w:jc w:val="right"/>
              <w:rPr>
                <w:sz w:val="13"/>
              </w:rPr>
            </w:pPr>
            <w:r>
              <w:rPr>
                <w:color w:val="231F20"/>
                <w:spacing w:val="-2"/>
                <w:sz w:val="13"/>
              </w:rPr>
              <w:t>3.17217</w:t>
            </w:r>
          </w:p>
        </w:tc>
        <w:tc>
          <w:tcPr>
            <w:tcW w:w="660" w:type="dxa"/>
          </w:tcPr>
          <w:p>
            <w:pPr>
              <w:pStyle w:val="TableParagraph"/>
              <w:ind w:right="61"/>
              <w:jc w:val="right"/>
              <w:rPr>
                <w:sz w:val="13"/>
              </w:rPr>
            </w:pPr>
            <w:r>
              <w:rPr>
                <w:color w:val="231F20"/>
                <w:spacing w:val="-2"/>
                <w:sz w:val="13"/>
              </w:rPr>
              <w:t>3.64248</w:t>
            </w:r>
          </w:p>
        </w:tc>
        <w:tc>
          <w:tcPr>
            <w:tcW w:w="620" w:type="dxa"/>
          </w:tcPr>
          <w:p>
            <w:pPr>
              <w:pStyle w:val="TableParagraph"/>
              <w:ind w:left="109" w:right="26"/>
              <w:rPr>
                <w:sz w:val="13"/>
              </w:rPr>
            </w:pPr>
            <w:r>
              <w:rPr>
                <w:color w:val="231F20"/>
                <w:spacing w:val="-2"/>
                <w:sz w:val="13"/>
              </w:rPr>
              <w:t>4.17725</w:t>
            </w:r>
          </w:p>
        </w:tc>
        <w:tc>
          <w:tcPr>
            <w:tcW w:w="670" w:type="dxa"/>
          </w:tcPr>
          <w:p>
            <w:pPr>
              <w:pStyle w:val="TableParagraph"/>
              <w:ind w:right="41"/>
              <w:jc w:val="right"/>
              <w:rPr>
                <w:sz w:val="13"/>
              </w:rPr>
            </w:pPr>
            <w:r>
              <w:rPr>
                <w:color w:val="231F20"/>
                <w:spacing w:val="-2"/>
                <w:sz w:val="13"/>
              </w:rPr>
              <w:t>5.47357</w:t>
            </w:r>
          </w:p>
        </w:tc>
        <w:tc>
          <w:tcPr>
            <w:tcW w:w="640" w:type="dxa"/>
          </w:tcPr>
          <w:p>
            <w:pPr>
              <w:pStyle w:val="TableParagraph"/>
              <w:ind w:right="50"/>
              <w:jc w:val="right"/>
              <w:rPr>
                <w:sz w:val="13"/>
              </w:rPr>
            </w:pPr>
            <w:r>
              <w:rPr>
                <w:color w:val="231F20"/>
                <w:spacing w:val="-2"/>
                <w:sz w:val="13"/>
              </w:rPr>
              <w:t>7.13794</w:t>
            </w:r>
          </w:p>
        </w:tc>
        <w:tc>
          <w:tcPr>
            <w:tcW w:w="645" w:type="dxa"/>
          </w:tcPr>
          <w:p>
            <w:pPr>
              <w:pStyle w:val="TableParagraph"/>
              <w:ind w:right="45"/>
              <w:jc w:val="right"/>
              <w:rPr>
                <w:sz w:val="13"/>
              </w:rPr>
            </w:pPr>
            <w:r>
              <w:rPr>
                <w:color w:val="231F20"/>
                <w:spacing w:val="-2"/>
                <w:sz w:val="13"/>
              </w:rPr>
              <w:t>8.13706</w:t>
            </w:r>
          </w:p>
        </w:tc>
        <w:tc>
          <w:tcPr>
            <w:tcW w:w="644" w:type="dxa"/>
          </w:tcPr>
          <w:p>
            <w:pPr>
              <w:pStyle w:val="TableParagraph"/>
              <w:ind w:right="49"/>
              <w:jc w:val="right"/>
              <w:rPr>
                <w:sz w:val="13"/>
              </w:rPr>
            </w:pPr>
            <w:r>
              <w:rPr>
                <w:color w:val="231F20"/>
                <w:spacing w:val="-2"/>
                <w:sz w:val="13"/>
              </w:rPr>
              <w:t>9.26552</w:t>
            </w:r>
          </w:p>
        </w:tc>
        <w:tc>
          <w:tcPr>
            <w:tcW w:w="720" w:type="dxa"/>
          </w:tcPr>
          <w:p>
            <w:pPr>
              <w:pStyle w:val="TableParagraph"/>
              <w:ind w:right="49"/>
              <w:jc w:val="right"/>
              <w:rPr>
                <w:sz w:val="13"/>
              </w:rPr>
            </w:pPr>
            <w:r>
              <w:rPr>
                <w:color w:val="231F20"/>
                <w:spacing w:val="-2"/>
                <w:sz w:val="13"/>
              </w:rPr>
              <w:t>11.97375</w:t>
            </w:r>
          </w:p>
        </w:tc>
        <w:tc>
          <w:tcPr>
            <w:tcW w:w="720" w:type="dxa"/>
          </w:tcPr>
          <w:p>
            <w:pPr>
              <w:pStyle w:val="TableParagraph"/>
              <w:ind w:right="49"/>
              <w:jc w:val="right"/>
              <w:rPr>
                <w:sz w:val="13"/>
              </w:rPr>
            </w:pPr>
            <w:r>
              <w:rPr>
                <w:color w:val="231F20"/>
                <w:spacing w:val="-2"/>
                <w:sz w:val="13"/>
              </w:rPr>
              <w:t>15.40702</w:t>
            </w:r>
          </w:p>
        </w:tc>
        <w:tc>
          <w:tcPr>
            <w:tcW w:w="700" w:type="dxa"/>
          </w:tcPr>
          <w:p>
            <w:pPr>
              <w:pStyle w:val="TableParagraph"/>
              <w:ind w:right="29"/>
              <w:jc w:val="right"/>
              <w:rPr>
                <w:sz w:val="13"/>
              </w:rPr>
            </w:pPr>
            <w:r>
              <w:rPr>
                <w:color w:val="231F20"/>
                <w:spacing w:val="-2"/>
                <w:sz w:val="13"/>
              </w:rPr>
              <w:t>28.42171</w:t>
            </w:r>
          </w:p>
        </w:tc>
      </w:tr>
      <w:tr>
        <w:trPr>
          <w:trHeight w:val="237" w:hRule="atLeast"/>
        </w:trPr>
        <w:tc>
          <w:tcPr>
            <w:tcW w:w="290" w:type="dxa"/>
          </w:tcPr>
          <w:p>
            <w:pPr>
              <w:pStyle w:val="TableParagraph"/>
              <w:spacing w:line="152" w:lineRule="exact" w:before="65"/>
              <w:ind w:left="78" w:right="38"/>
              <w:rPr>
                <w:sz w:val="13"/>
              </w:rPr>
            </w:pPr>
            <w:r>
              <w:rPr>
                <w:color w:val="231F20"/>
                <w:spacing w:val="-5"/>
                <w:sz w:val="13"/>
              </w:rPr>
              <w:t>16</w:t>
            </w:r>
          </w:p>
        </w:tc>
        <w:tc>
          <w:tcPr>
            <w:tcW w:w="573" w:type="dxa"/>
          </w:tcPr>
          <w:p>
            <w:pPr>
              <w:pStyle w:val="TableParagraph"/>
              <w:spacing w:line="152" w:lineRule="exact" w:before="65"/>
              <w:ind w:left="45" w:right="42"/>
              <w:rPr>
                <w:sz w:val="13"/>
              </w:rPr>
            </w:pPr>
            <w:r>
              <w:rPr>
                <w:color w:val="231F20"/>
                <w:spacing w:val="-2"/>
                <w:sz w:val="13"/>
              </w:rPr>
              <w:t>1.17258</w:t>
            </w:r>
          </w:p>
        </w:tc>
        <w:tc>
          <w:tcPr>
            <w:tcW w:w="570" w:type="dxa"/>
          </w:tcPr>
          <w:p>
            <w:pPr>
              <w:pStyle w:val="TableParagraph"/>
              <w:spacing w:line="152" w:lineRule="exact" w:before="65"/>
              <w:ind w:left="39" w:right="39"/>
              <w:rPr>
                <w:sz w:val="13"/>
              </w:rPr>
            </w:pPr>
            <w:r>
              <w:rPr>
                <w:color w:val="231F20"/>
                <w:spacing w:val="-2"/>
                <w:sz w:val="13"/>
              </w:rPr>
              <w:t>1.37279</w:t>
            </w:r>
          </w:p>
        </w:tc>
        <w:tc>
          <w:tcPr>
            <w:tcW w:w="575" w:type="dxa"/>
          </w:tcPr>
          <w:p>
            <w:pPr>
              <w:pStyle w:val="TableParagraph"/>
              <w:spacing w:line="152" w:lineRule="exact" w:before="65"/>
              <w:ind w:left="40" w:right="42"/>
              <w:rPr>
                <w:sz w:val="13"/>
              </w:rPr>
            </w:pPr>
            <w:r>
              <w:rPr>
                <w:color w:val="231F20"/>
                <w:spacing w:val="-2"/>
                <w:sz w:val="13"/>
              </w:rPr>
              <w:t>1.60471</w:t>
            </w:r>
          </w:p>
        </w:tc>
        <w:tc>
          <w:tcPr>
            <w:tcW w:w="575" w:type="dxa"/>
          </w:tcPr>
          <w:p>
            <w:pPr>
              <w:pStyle w:val="TableParagraph"/>
              <w:spacing w:line="152" w:lineRule="exact" w:before="65"/>
              <w:ind w:left="44" w:right="39"/>
              <w:rPr>
                <w:sz w:val="13"/>
              </w:rPr>
            </w:pPr>
            <w:r>
              <w:rPr>
                <w:color w:val="231F20"/>
                <w:spacing w:val="-2"/>
                <w:sz w:val="13"/>
              </w:rPr>
              <w:t>1.87298</w:t>
            </w:r>
          </w:p>
        </w:tc>
        <w:tc>
          <w:tcPr>
            <w:tcW w:w="565" w:type="dxa"/>
          </w:tcPr>
          <w:p>
            <w:pPr>
              <w:pStyle w:val="TableParagraph"/>
              <w:spacing w:line="152" w:lineRule="exact" w:before="65"/>
              <w:ind w:left="42" w:right="37"/>
              <w:rPr>
                <w:sz w:val="13"/>
              </w:rPr>
            </w:pPr>
            <w:r>
              <w:rPr>
                <w:color w:val="231F20"/>
                <w:spacing w:val="-2"/>
                <w:sz w:val="13"/>
              </w:rPr>
              <w:t>2.18287</w:t>
            </w:r>
          </w:p>
        </w:tc>
        <w:tc>
          <w:tcPr>
            <w:tcW w:w="570" w:type="dxa"/>
          </w:tcPr>
          <w:p>
            <w:pPr>
              <w:pStyle w:val="TableParagraph"/>
              <w:spacing w:line="152" w:lineRule="exact" w:before="65"/>
              <w:ind w:left="36" w:right="42"/>
              <w:rPr>
                <w:sz w:val="13"/>
              </w:rPr>
            </w:pPr>
            <w:r>
              <w:rPr>
                <w:color w:val="231F20"/>
                <w:spacing w:val="-2"/>
                <w:sz w:val="13"/>
              </w:rPr>
              <w:t>2.54035</w:t>
            </w:r>
          </w:p>
        </w:tc>
        <w:tc>
          <w:tcPr>
            <w:tcW w:w="574" w:type="dxa"/>
          </w:tcPr>
          <w:p>
            <w:pPr>
              <w:pStyle w:val="TableParagraph"/>
              <w:spacing w:line="152" w:lineRule="exact" w:before="65"/>
              <w:ind w:left="48" w:right="41"/>
              <w:rPr>
                <w:sz w:val="13"/>
              </w:rPr>
            </w:pPr>
            <w:r>
              <w:rPr>
                <w:color w:val="231F20"/>
                <w:spacing w:val="-2"/>
                <w:sz w:val="13"/>
              </w:rPr>
              <w:t>2.95216</w:t>
            </w:r>
          </w:p>
        </w:tc>
        <w:tc>
          <w:tcPr>
            <w:tcW w:w="645" w:type="dxa"/>
          </w:tcPr>
          <w:p>
            <w:pPr>
              <w:pStyle w:val="TableParagraph"/>
              <w:spacing w:line="152" w:lineRule="exact" w:before="65"/>
              <w:ind w:right="51"/>
              <w:jc w:val="right"/>
              <w:rPr>
                <w:sz w:val="13"/>
              </w:rPr>
            </w:pPr>
            <w:r>
              <w:rPr>
                <w:color w:val="231F20"/>
                <w:spacing w:val="-2"/>
                <w:sz w:val="13"/>
              </w:rPr>
              <w:t>3.42594</w:t>
            </w:r>
          </w:p>
        </w:tc>
        <w:tc>
          <w:tcPr>
            <w:tcW w:w="660" w:type="dxa"/>
          </w:tcPr>
          <w:p>
            <w:pPr>
              <w:pStyle w:val="TableParagraph"/>
              <w:spacing w:line="152" w:lineRule="exact" w:before="65"/>
              <w:ind w:right="61"/>
              <w:jc w:val="right"/>
              <w:rPr>
                <w:sz w:val="13"/>
              </w:rPr>
            </w:pPr>
            <w:r>
              <w:rPr>
                <w:color w:val="231F20"/>
                <w:spacing w:val="-2"/>
                <w:sz w:val="13"/>
              </w:rPr>
              <w:t>3.97031</w:t>
            </w:r>
          </w:p>
        </w:tc>
        <w:tc>
          <w:tcPr>
            <w:tcW w:w="620" w:type="dxa"/>
          </w:tcPr>
          <w:p>
            <w:pPr>
              <w:pStyle w:val="TableParagraph"/>
              <w:spacing w:line="152" w:lineRule="exact" w:before="65"/>
              <w:ind w:left="109" w:right="26"/>
              <w:rPr>
                <w:sz w:val="13"/>
              </w:rPr>
            </w:pPr>
            <w:r>
              <w:rPr>
                <w:color w:val="231F20"/>
                <w:spacing w:val="-2"/>
                <w:sz w:val="13"/>
              </w:rPr>
              <w:t>4.59497</w:t>
            </w:r>
          </w:p>
        </w:tc>
        <w:tc>
          <w:tcPr>
            <w:tcW w:w="670" w:type="dxa"/>
          </w:tcPr>
          <w:p>
            <w:pPr>
              <w:pStyle w:val="TableParagraph"/>
              <w:spacing w:line="152" w:lineRule="exact" w:before="65"/>
              <w:ind w:right="41"/>
              <w:jc w:val="right"/>
              <w:rPr>
                <w:sz w:val="13"/>
              </w:rPr>
            </w:pPr>
            <w:r>
              <w:rPr>
                <w:color w:val="231F20"/>
                <w:spacing w:val="-2"/>
                <w:sz w:val="13"/>
              </w:rPr>
              <w:t>6.13039</w:t>
            </w:r>
          </w:p>
        </w:tc>
        <w:tc>
          <w:tcPr>
            <w:tcW w:w="640" w:type="dxa"/>
          </w:tcPr>
          <w:p>
            <w:pPr>
              <w:pStyle w:val="TableParagraph"/>
              <w:spacing w:line="152" w:lineRule="exact" w:before="65"/>
              <w:ind w:right="50"/>
              <w:jc w:val="right"/>
              <w:rPr>
                <w:sz w:val="13"/>
              </w:rPr>
            </w:pPr>
            <w:r>
              <w:rPr>
                <w:color w:val="231F20"/>
                <w:spacing w:val="-2"/>
                <w:sz w:val="13"/>
              </w:rPr>
              <w:t>8.13725</w:t>
            </w:r>
          </w:p>
        </w:tc>
        <w:tc>
          <w:tcPr>
            <w:tcW w:w="645" w:type="dxa"/>
          </w:tcPr>
          <w:p>
            <w:pPr>
              <w:pStyle w:val="TableParagraph"/>
              <w:spacing w:line="152" w:lineRule="exact" w:before="65"/>
              <w:ind w:right="45"/>
              <w:jc w:val="right"/>
              <w:rPr>
                <w:sz w:val="13"/>
              </w:rPr>
            </w:pPr>
            <w:r>
              <w:rPr>
                <w:color w:val="231F20"/>
                <w:spacing w:val="-2"/>
                <w:sz w:val="13"/>
              </w:rPr>
              <w:t>8.35762</w:t>
            </w:r>
          </w:p>
        </w:tc>
        <w:tc>
          <w:tcPr>
            <w:tcW w:w="644" w:type="dxa"/>
          </w:tcPr>
          <w:p>
            <w:pPr>
              <w:pStyle w:val="TableParagraph"/>
              <w:spacing w:line="152" w:lineRule="exact" w:before="65"/>
              <w:ind w:right="49"/>
              <w:jc w:val="right"/>
              <w:rPr>
                <w:sz w:val="13"/>
              </w:rPr>
            </w:pPr>
            <w:r>
              <w:rPr>
                <w:color w:val="231F20"/>
                <w:spacing w:val="-2"/>
                <w:sz w:val="13"/>
              </w:rPr>
              <w:t>10.74800</w:t>
            </w:r>
          </w:p>
        </w:tc>
        <w:tc>
          <w:tcPr>
            <w:tcW w:w="720" w:type="dxa"/>
          </w:tcPr>
          <w:p>
            <w:pPr>
              <w:pStyle w:val="TableParagraph"/>
              <w:spacing w:line="152" w:lineRule="exact" w:before="65"/>
              <w:ind w:right="49"/>
              <w:jc w:val="right"/>
              <w:rPr>
                <w:sz w:val="13"/>
              </w:rPr>
            </w:pPr>
            <w:r>
              <w:rPr>
                <w:color w:val="231F20"/>
                <w:spacing w:val="-2"/>
                <w:sz w:val="13"/>
              </w:rPr>
              <w:t>14.12902</w:t>
            </w:r>
          </w:p>
        </w:tc>
        <w:tc>
          <w:tcPr>
            <w:tcW w:w="720" w:type="dxa"/>
          </w:tcPr>
          <w:p>
            <w:pPr>
              <w:pStyle w:val="TableParagraph"/>
              <w:spacing w:line="152" w:lineRule="exact" w:before="65"/>
              <w:ind w:right="49"/>
              <w:jc w:val="right"/>
              <w:rPr>
                <w:sz w:val="13"/>
              </w:rPr>
            </w:pPr>
            <w:r>
              <w:rPr>
                <w:color w:val="231F20"/>
                <w:spacing w:val="-2"/>
                <w:sz w:val="13"/>
              </w:rPr>
              <w:t>18.48843</w:t>
            </w:r>
          </w:p>
        </w:tc>
        <w:tc>
          <w:tcPr>
            <w:tcW w:w="700" w:type="dxa"/>
          </w:tcPr>
          <w:p>
            <w:pPr>
              <w:pStyle w:val="TableParagraph"/>
              <w:spacing w:line="152" w:lineRule="exact" w:before="65"/>
              <w:ind w:right="29"/>
              <w:jc w:val="right"/>
              <w:rPr>
                <w:sz w:val="13"/>
              </w:rPr>
            </w:pPr>
            <w:r>
              <w:rPr>
                <w:color w:val="231F20"/>
                <w:spacing w:val="-2"/>
                <w:sz w:val="13"/>
              </w:rPr>
              <w:t>35.52714</w:t>
            </w:r>
          </w:p>
        </w:tc>
      </w:tr>
      <w:tr>
        <w:trPr>
          <w:trHeight w:val="189" w:hRule="atLeast"/>
        </w:trPr>
        <w:tc>
          <w:tcPr>
            <w:tcW w:w="290" w:type="dxa"/>
          </w:tcPr>
          <w:p>
            <w:pPr>
              <w:pStyle w:val="TableParagraph"/>
              <w:spacing w:line="152" w:lineRule="exact"/>
              <w:ind w:left="78" w:right="38"/>
              <w:rPr>
                <w:sz w:val="13"/>
              </w:rPr>
            </w:pPr>
            <w:r>
              <w:rPr>
                <w:color w:val="231F20"/>
                <w:spacing w:val="-5"/>
                <w:sz w:val="13"/>
              </w:rPr>
              <w:t>17</w:t>
            </w:r>
          </w:p>
        </w:tc>
        <w:tc>
          <w:tcPr>
            <w:tcW w:w="573" w:type="dxa"/>
          </w:tcPr>
          <w:p>
            <w:pPr>
              <w:pStyle w:val="TableParagraph"/>
              <w:spacing w:line="152" w:lineRule="exact"/>
              <w:ind w:left="45" w:right="42"/>
              <w:rPr>
                <w:sz w:val="13"/>
              </w:rPr>
            </w:pPr>
            <w:r>
              <w:rPr>
                <w:color w:val="231F20"/>
                <w:spacing w:val="-2"/>
                <w:sz w:val="13"/>
              </w:rPr>
              <w:t>1.18430</w:t>
            </w:r>
          </w:p>
        </w:tc>
        <w:tc>
          <w:tcPr>
            <w:tcW w:w="570" w:type="dxa"/>
          </w:tcPr>
          <w:p>
            <w:pPr>
              <w:pStyle w:val="TableParagraph"/>
              <w:spacing w:line="152" w:lineRule="exact"/>
              <w:ind w:left="39" w:right="39"/>
              <w:rPr>
                <w:sz w:val="13"/>
              </w:rPr>
            </w:pPr>
            <w:r>
              <w:rPr>
                <w:color w:val="231F20"/>
                <w:spacing w:val="-2"/>
                <w:sz w:val="13"/>
              </w:rPr>
              <w:t>1.40024</w:t>
            </w:r>
          </w:p>
        </w:tc>
        <w:tc>
          <w:tcPr>
            <w:tcW w:w="575" w:type="dxa"/>
          </w:tcPr>
          <w:p>
            <w:pPr>
              <w:pStyle w:val="TableParagraph"/>
              <w:spacing w:line="152" w:lineRule="exact"/>
              <w:ind w:left="40" w:right="42"/>
              <w:rPr>
                <w:sz w:val="13"/>
              </w:rPr>
            </w:pPr>
            <w:r>
              <w:rPr>
                <w:color w:val="231F20"/>
                <w:spacing w:val="-2"/>
                <w:sz w:val="13"/>
              </w:rPr>
              <w:t>1.65285</w:t>
            </w:r>
          </w:p>
        </w:tc>
        <w:tc>
          <w:tcPr>
            <w:tcW w:w="575" w:type="dxa"/>
          </w:tcPr>
          <w:p>
            <w:pPr>
              <w:pStyle w:val="TableParagraph"/>
              <w:spacing w:line="152" w:lineRule="exact"/>
              <w:ind w:left="44" w:right="39"/>
              <w:rPr>
                <w:sz w:val="13"/>
              </w:rPr>
            </w:pPr>
            <w:r>
              <w:rPr>
                <w:color w:val="231F20"/>
                <w:spacing w:val="-2"/>
                <w:sz w:val="13"/>
              </w:rPr>
              <w:t>1.94790</w:t>
            </w:r>
          </w:p>
        </w:tc>
        <w:tc>
          <w:tcPr>
            <w:tcW w:w="565" w:type="dxa"/>
          </w:tcPr>
          <w:p>
            <w:pPr>
              <w:pStyle w:val="TableParagraph"/>
              <w:spacing w:line="152" w:lineRule="exact"/>
              <w:ind w:left="42" w:right="37"/>
              <w:rPr>
                <w:sz w:val="13"/>
              </w:rPr>
            </w:pPr>
            <w:r>
              <w:rPr>
                <w:color w:val="231F20"/>
                <w:spacing w:val="-2"/>
                <w:sz w:val="13"/>
              </w:rPr>
              <w:t>2.29202</w:t>
            </w:r>
          </w:p>
        </w:tc>
        <w:tc>
          <w:tcPr>
            <w:tcW w:w="570" w:type="dxa"/>
          </w:tcPr>
          <w:p>
            <w:pPr>
              <w:pStyle w:val="TableParagraph"/>
              <w:spacing w:line="152" w:lineRule="exact"/>
              <w:ind w:left="36" w:right="42"/>
              <w:rPr>
                <w:sz w:val="13"/>
              </w:rPr>
            </w:pPr>
            <w:r>
              <w:rPr>
                <w:color w:val="231F20"/>
                <w:spacing w:val="-2"/>
                <w:sz w:val="13"/>
              </w:rPr>
              <w:t>2.69277</w:t>
            </w:r>
          </w:p>
        </w:tc>
        <w:tc>
          <w:tcPr>
            <w:tcW w:w="574" w:type="dxa"/>
          </w:tcPr>
          <w:p>
            <w:pPr>
              <w:pStyle w:val="TableParagraph"/>
              <w:spacing w:line="152" w:lineRule="exact"/>
              <w:ind w:left="48" w:right="41"/>
              <w:rPr>
                <w:sz w:val="13"/>
              </w:rPr>
            </w:pPr>
            <w:r>
              <w:rPr>
                <w:color w:val="231F20"/>
                <w:spacing w:val="-2"/>
                <w:sz w:val="13"/>
              </w:rPr>
              <w:t>3.15882</w:t>
            </w:r>
          </w:p>
        </w:tc>
        <w:tc>
          <w:tcPr>
            <w:tcW w:w="645" w:type="dxa"/>
          </w:tcPr>
          <w:p>
            <w:pPr>
              <w:pStyle w:val="TableParagraph"/>
              <w:spacing w:line="152" w:lineRule="exact"/>
              <w:ind w:right="51"/>
              <w:jc w:val="right"/>
              <w:rPr>
                <w:sz w:val="13"/>
              </w:rPr>
            </w:pPr>
            <w:r>
              <w:rPr>
                <w:color w:val="231F20"/>
                <w:spacing w:val="-2"/>
                <w:sz w:val="13"/>
              </w:rPr>
              <w:t>3.70002</w:t>
            </w:r>
          </w:p>
        </w:tc>
        <w:tc>
          <w:tcPr>
            <w:tcW w:w="660" w:type="dxa"/>
          </w:tcPr>
          <w:p>
            <w:pPr>
              <w:pStyle w:val="TableParagraph"/>
              <w:spacing w:line="152" w:lineRule="exact"/>
              <w:ind w:right="61"/>
              <w:jc w:val="right"/>
              <w:rPr>
                <w:sz w:val="13"/>
              </w:rPr>
            </w:pPr>
            <w:r>
              <w:rPr>
                <w:color w:val="231F20"/>
                <w:spacing w:val="-2"/>
                <w:sz w:val="13"/>
              </w:rPr>
              <w:t>4.32763</w:t>
            </w:r>
          </w:p>
        </w:tc>
        <w:tc>
          <w:tcPr>
            <w:tcW w:w="620" w:type="dxa"/>
          </w:tcPr>
          <w:p>
            <w:pPr>
              <w:pStyle w:val="TableParagraph"/>
              <w:spacing w:line="152" w:lineRule="exact"/>
              <w:ind w:left="109" w:right="26"/>
              <w:rPr>
                <w:sz w:val="13"/>
              </w:rPr>
            </w:pPr>
            <w:r>
              <w:rPr>
                <w:color w:val="231F20"/>
                <w:spacing w:val="-2"/>
                <w:sz w:val="13"/>
              </w:rPr>
              <w:t>5.05447</w:t>
            </w:r>
          </w:p>
        </w:tc>
        <w:tc>
          <w:tcPr>
            <w:tcW w:w="670" w:type="dxa"/>
          </w:tcPr>
          <w:p>
            <w:pPr>
              <w:pStyle w:val="TableParagraph"/>
              <w:spacing w:line="152" w:lineRule="exact"/>
              <w:ind w:right="41"/>
              <w:jc w:val="right"/>
              <w:rPr>
                <w:sz w:val="13"/>
              </w:rPr>
            </w:pPr>
            <w:r>
              <w:rPr>
                <w:color w:val="231F20"/>
                <w:spacing w:val="-2"/>
                <w:sz w:val="13"/>
              </w:rPr>
              <w:t>6.86604</w:t>
            </w:r>
          </w:p>
        </w:tc>
        <w:tc>
          <w:tcPr>
            <w:tcW w:w="640" w:type="dxa"/>
          </w:tcPr>
          <w:p>
            <w:pPr>
              <w:pStyle w:val="TableParagraph"/>
              <w:spacing w:line="152" w:lineRule="exact"/>
              <w:ind w:right="50"/>
              <w:jc w:val="right"/>
              <w:rPr>
                <w:sz w:val="13"/>
              </w:rPr>
            </w:pPr>
            <w:r>
              <w:rPr>
                <w:color w:val="231F20"/>
                <w:spacing w:val="-2"/>
                <w:sz w:val="13"/>
              </w:rPr>
              <w:t>9.27646</w:t>
            </w:r>
          </w:p>
        </w:tc>
        <w:tc>
          <w:tcPr>
            <w:tcW w:w="645" w:type="dxa"/>
          </w:tcPr>
          <w:p>
            <w:pPr>
              <w:pStyle w:val="TableParagraph"/>
              <w:spacing w:line="152" w:lineRule="exact"/>
              <w:ind w:right="45"/>
              <w:jc w:val="right"/>
              <w:rPr>
                <w:sz w:val="13"/>
              </w:rPr>
            </w:pPr>
            <w:r>
              <w:rPr>
                <w:color w:val="231F20"/>
                <w:spacing w:val="-2"/>
                <w:sz w:val="13"/>
              </w:rPr>
              <w:t>10.76126</w:t>
            </w:r>
          </w:p>
        </w:tc>
        <w:tc>
          <w:tcPr>
            <w:tcW w:w="644" w:type="dxa"/>
          </w:tcPr>
          <w:p>
            <w:pPr>
              <w:pStyle w:val="TableParagraph"/>
              <w:spacing w:line="152" w:lineRule="exact"/>
              <w:ind w:right="49"/>
              <w:jc w:val="right"/>
              <w:rPr>
                <w:sz w:val="13"/>
              </w:rPr>
            </w:pPr>
            <w:r>
              <w:rPr>
                <w:color w:val="231F20"/>
                <w:spacing w:val="-2"/>
                <w:sz w:val="13"/>
              </w:rPr>
              <w:t>12.46768</w:t>
            </w:r>
          </w:p>
        </w:tc>
        <w:tc>
          <w:tcPr>
            <w:tcW w:w="720" w:type="dxa"/>
          </w:tcPr>
          <w:p>
            <w:pPr>
              <w:pStyle w:val="TableParagraph"/>
              <w:spacing w:line="152" w:lineRule="exact"/>
              <w:ind w:right="49"/>
              <w:jc w:val="right"/>
              <w:rPr>
                <w:sz w:val="13"/>
              </w:rPr>
            </w:pPr>
            <w:r>
              <w:rPr>
                <w:color w:val="231F20"/>
                <w:spacing w:val="-2"/>
                <w:sz w:val="13"/>
              </w:rPr>
              <w:t>16.67225</w:t>
            </w:r>
          </w:p>
        </w:tc>
        <w:tc>
          <w:tcPr>
            <w:tcW w:w="720" w:type="dxa"/>
          </w:tcPr>
          <w:p>
            <w:pPr>
              <w:pStyle w:val="TableParagraph"/>
              <w:spacing w:line="152" w:lineRule="exact"/>
              <w:ind w:right="49"/>
              <w:jc w:val="right"/>
              <w:rPr>
                <w:sz w:val="13"/>
              </w:rPr>
            </w:pPr>
            <w:r>
              <w:rPr>
                <w:color w:val="231F20"/>
                <w:spacing w:val="-2"/>
                <w:sz w:val="13"/>
              </w:rPr>
              <w:t>22.18611</w:t>
            </w:r>
          </w:p>
        </w:tc>
        <w:tc>
          <w:tcPr>
            <w:tcW w:w="700" w:type="dxa"/>
          </w:tcPr>
          <w:p>
            <w:pPr>
              <w:pStyle w:val="TableParagraph"/>
              <w:spacing w:line="152" w:lineRule="exact"/>
              <w:ind w:right="29"/>
              <w:jc w:val="right"/>
              <w:rPr>
                <w:sz w:val="13"/>
              </w:rPr>
            </w:pPr>
            <w:r>
              <w:rPr>
                <w:color w:val="231F20"/>
                <w:spacing w:val="-2"/>
                <w:sz w:val="13"/>
              </w:rPr>
              <w:t>44.40892</w:t>
            </w:r>
          </w:p>
        </w:tc>
      </w:tr>
      <w:tr>
        <w:trPr>
          <w:trHeight w:val="189" w:hRule="atLeast"/>
        </w:trPr>
        <w:tc>
          <w:tcPr>
            <w:tcW w:w="290" w:type="dxa"/>
          </w:tcPr>
          <w:p>
            <w:pPr>
              <w:pStyle w:val="TableParagraph"/>
              <w:spacing w:line="152" w:lineRule="exact"/>
              <w:ind w:left="78" w:right="38"/>
              <w:rPr>
                <w:sz w:val="13"/>
              </w:rPr>
            </w:pPr>
            <w:r>
              <w:rPr>
                <w:color w:val="231F20"/>
                <w:spacing w:val="-5"/>
                <w:sz w:val="13"/>
              </w:rPr>
              <w:t>18</w:t>
            </w:r>
          </w:p>
        </w:tc>
        <w:tc>
          <w:tcPr>
            <w:tcW w:w="573" w:type="dxa"/>
          </w:tcPr>
          <w:p>
            <w:pPr>
              <w:pStyle w:val="TableParagraph"/>
              <w:spacing w:line="152" w:lineRule="exact"/>
              <w:ind w:left="45" w:right="42"/>
              <w:rPr>
                <w:sz w:val="13"/>
              </w:rPr>
            </w:pPr>
            <w:r>
              <w:rPr>
                <w:color w:val="231F20"/>
                <w:spacing w:val="-2"/>
                <w:sz w:val="13"/>
              </w:rPr>
              <w:t>1.19615</w:t>
            </w:r>
          </w:p>
        </w:tc>
        <w:tc>
          <w:tcPr>
            <w:tcW w:w="570" w:type="dxa"/>
          </w:tcPr>
          <w:p>
            <w:pPr>
              <w:pStyle w:val="TableParagraph"/>
              <w:spacing w:line="152" w:lineRule="exact"/>
              <w:ind w:left="39" w:right="39"/>
              <w:rPr>
                <w:sz w:val="13"/>
              </w:rPr>
            </w:pPr>
            <w:r>
              <w:rPr>
                <w:color w:val="231F20"/>
                <w:spacing w:val="-2"/>
                <w:sz w:val="13"/>
              </w:rPr>
              <w:t>1.42825</w:t>
            </w:r>
          </w:p>
        </w:tc>
        <w:tc>
          <w:tcPr>
            <w:tcW w:w="575" w:type="dxa"/>
          </w:tcPr>
          <w:p>
            <w:pPr>
              <w:pStyle w:val="TableParagraph"/>
              <w:spacing w:line="152" w:lineRule="exact"/>
              <w:ind w:left="40" w:right="42"/>
              <w:rPr>
                <w:sz w:val="13"/>
              </w:rPr>
            </w:pPr>
            <w:r>
              <w:rPr>
                <w:color w:val="231F20"/>
                <w:spacing w:val="-2"/>
                <w:sz w:val="13"/>
              </w:rPr>
              <w:t>1.70243</w:t>
            </w:r>
          </w:p>
        </w:tc>
        <w:tc>
          <w:tcPr>
            <w:tcW w:w="575" w:type="dxa"/>
          </w:tcPr>
          <w:p>
            <w:pPr>
              <w:pStyle w:val="TableParagraph"/>
              <w:spacing w:line="152" w:lineRule="exact"/>
              <w:ind w:left="44" w:right="39"/>
              <w:rPr>
                <w:sz w:val="13"/>
              </w:rPr>
            </w:pPr>
            <w:r>
              <w:rPr>
                <w:color w:val="231F20"/>
                <w:spacing w:val="-2"/>
                <w:sz w:val="13"/>
              </w:rPr>
              <w:t>2.02582</w:t>
            </w:r>
          </w:p>
        </w:tc>
        <w:tc>
          <w:tcPr>
            <w:tcW w:w="565" w:type="dxa"/>
          </w:tcPr>
          <w:p>
            <w:pPr>
              <w:pStyle w:val="TableParagraph"/>
              <w:spacing w:line="152" w:lineRule="exact"/>
              <w:ind w:left="42" w:right="37"/>
              <w:rPr>
                <w:sz w:val="13"/>
              </w:rPr>
            </w:pPr>
            <w:r>
              <w:rPr>
                <w:color w:val="231F20"/>
                <w:spacing w:val="-2"/>
                <w:sz w:val="13"/>
              </w:rPr>
              <w:t>2.40662</w:t>
            </w:r>
          </w:p>
        </w:tc>
        <w:tc>
          <w:tcPr>
            <w:tcW w:w="570" w:type="dxa"/>
          </w:tcPr>
          <w:p>
            <w:pPr>
              <w:pStyle w:val="TableParagraph"/>
              <w:spacing w:line="152" w:lineRule="exact"/>
              <w:ind w:left="36" w:right="42"/>
              <w:rPr>
                <w:sz w:val="13"/>
              </w:rPr>
            </w:pPr>
            <w:r>
              <w:rPr>
                <w:color w:val="231F20"/>
                <w:spacing w:val="-2"/>
                <w:sz w:val="13"/>
              </w:rPr>
              <w:t>2.85434</w:t>
            </w:r>
          </w:p>
        </w:tc>
        <w:tc>
          <w:tcPr>
            <w:tcW w:w="574" w:type="dxa"/>
          </w:tcPr>
          <w:p>
            <w:pPr>
              <w:pStyle w:val="TableParagraph"/>
              <w:spacing w:line="152" w:lineRule="exact"/>
              <w:ind w:left="48" w:right="41"/>
              <w:rPr>
                <w:sz w:val="13"/>
              </w:rPr>
            </w:pPr>
            <w:r>
              <w:rPr>
                <w:color w:val="231F20"/>
                <w:spacing w:val="-2"/>
                <w:sz w:val="13"/>
              </w:rPr>
              <w:t>3.37993</w:t>
            </w:r>
          </w:p>
        </w:tc>
        <w:tc>
          <w:tcPr>
            <w:tcW w:w="645" w:type="dxa"/>
          </w:tcPr>
          <w:p>
            <w:pPr>
              <w:pStyle w:val="TableParagraph"/>
              <w:spacing w:line="152" w:lineRule="exact"/>
              <w:ind w:right="51"/>
              <w:jc w:val="right"/>
              <w:rPr>
                <w:sz w:val="13"/>
              </w:rPr>
            </w:pPr>
            <w:r>
              <w:rPr>
                <w:color w:val="231F20"/>
                <w:spacing w:val="-2"/>
                <w:sz w:val="13"/>
              </w:rPr>
              <w:t>3.99602</w:t>
            </w:r>
          </w:p>
        </w:tc>
        <w:tc>
          <w:tcPr>
            <w:tcW w:w="660" w:type="dxa"/>
          </w:tcPr>
          <w:p>
            <w:pPr>
              <w:pStyle w:val="TableParagraph"/>
              <w:spacing w:line="152" w:lineRule="exact"/>
              <w:ind w:right="61"/>
              <w:jc w:val="right"/>
              <w:rPr>
                <w:sz w:val="13"/>
              </w:rPr>
            </w:pPr>
            <w:r>
              <w:rPr>
                <w:color w:val="231F20"/>
                <w:spacing w:val="-2"/>
                <w:sz w:val="13"/>
              </w:rPr>
              <w:t>4.71712</w:t>
            </w:r>
          </w:p>
        </w:tc>
        <w:tc>
          <w:tcPr>
            <w:tcW w:w="620" w:type="dxa"/>
          </w:tcPr>
          <w:p>
            <w:pPr>
              <w:pStyle w:val="TableParagraph"/>
              <w:spacing w:line="152" w:lineRule="exact"/>
              <w:ind w:left="109" w:right="26"/>
              <w:rPr>
                <w:sz w:val="13"/>
              </w:rPr>
            </w:pPr>
            <w:r>
              <w:rPr>
                <w:color w:val="231F20"/>
                <w:spacing w:val="-2"/>
                <w:sz w:val="13"/>
              </w:rPr>
              <w:t>5.55992</w:t>
            </w:r>
          </w:p>
        </w:tc>
        <w:tc>
          <w:tcPr>
            <w:tcW w:w="670" w:type="dxa"/>
          </w:tcPr>
          <w:p>
            <w:pPr>
              <w:pStyle w:val="TableParagraph"/>
              <w:spacing w:line="152" w:lineRule="exact"/>
              <w:ind w:right="41"/>
              <w:jc w:val="right"/>
              <w:rPr>
                <w:sz w:val="13"/>
              </w:rPr>
            </w:pPr>
            <w:r>
              <w:rPr>
                <w:color w:val="231F20"/>
                <w:spacing w:val="-2"/>
                <w:sz w:val="13"/>
              </w:rPr>
              <w:t>7.68997</w:t>
            </w:r>
          </w:p>
        </w:tc>
        <w:tc>
          <w:tcPr>
            <w:tcW w:w="640" w:type="dxa"/>
          </w:tcPr>
          <w:p>
            <w:pPr>
              <w:pStyle w:val="TableParagraph"/>
              <w:spacing w:line="152" w:lineRule="exact"/>
              <w:ind w:right="50"/>
              <w:jc w:val="right"/>
              <w:rPr>
                <w:sz w:val="13"/>
              </w:rPr>
            </w:pPr>
            <w:r>
              <w:rPr>
                <w:color w:val="231F20"/>
                <w:spacing w:val="-2"/>
                <w:sz w:val="13"/>
              </w:rPr>
              <w:t>10.57517</w:t>
            </w:r>
          </w:p>
        </w:tc>
        <w:tc>
          <w:tcPr>
            <w:tcW w:w="645" w:type="dxa"/>
          </w:tcPr>
          <w:p>
            <w:pPr>
              <w:pStyle w:val="TableParagraph"/>
              <w:spacing w:line="152" w:lineRule="exact"/>
              <w:ind w:right="45"/>
              <w:jc w:val="right"/>
              <w:rPr>
                <w:sz w:val="13"/>
              </w:rPr>
            </w:pPr>
            <w:r>
              <w:rPr>
                <w:color w:val="231F20"/>
                <w:spacing w:val="-2"/>
                <w:sz w:val="13"/>
              </w:rPr>
              <w:t>12.37545</w:t>
            </w:r>
          </w:p>
        </w:tc>
        <w:tc>
          <w:tcPr>
            <w:tcW w:w="644" w:type="dxa"/>
          </w:tcPr>
          <w:p>
            <w:pPr>
              <w:pStyle w:val="TableParagraph"/>
              <w:spacing w:line="152" w:lineRule="exact"/>
              <w:ind w:right="49"/>
              <w:jc w:val="right"/>
              <w:rPr>
                <w:sz w:val="13"/>
              </w:rPr>
            </w:pPr>
            <w:r>
              <w:rPr>
                <w:color w:val="231F20"/>
                <w:spacing w:val="-2"/>
                <w:sz w:val="13"/>
              </w:rPr>
              <w:t>14.46251</w:t>
            </w:r>
          </w:p>
        </w:tc>
        <w:tc>
          <w:tcPr>
            <w:tcW w:w="720" w:type="dxa"/>
          </w:tcPr>
          <w:p>
            <w:pPr>
              <w:pStyle w:val="TableParagraph"/>
              <w:spacing w:line="152" w:lineRule="exact"/>
              <w:ind w:right="49"/>
              <w:jc w:val="right"/>
              <w:rPr>
                <w:sz w:val="13"/>
              </w:rPr>
            </w:pPr>
            <w:r>
              <w:rPr>
                <w:color w:val="231F20"/>
                <w:spacing w:val="-2"/>
                <w:sz w:val="13"/>
              </w:rPr>
              <w:t>19.67325</w:t>
            </w:r>
          </w:p>
        </w:tc>
        <w:tc>
          <w:tcPr>
            <w:tcW w:w="720" w:type="dxa"/>
          </w:tcPr>
          <w:p>
            <w:pPr>
              <w:pStyle w:val="TableParagraph"/>
              <w:spacing w:line="152" w:lineRule="exact"/>
              <w:ind w:right="49"/>
              <w:jc w:val="right"/>
              <w:rPr>
                <w:sz w:val="13"/>
              </w:rPr>
            </w:pPr>
            <w:r>
              <w:rPr>
                <w:color w:val="231F20"/>
                <w:spacing w:val="-2"/>
                <w:sz w:val="13"/>
              </w:rPr>
              <w:t>26.62333</w:t>
            </w:r>
          </w:p>
        </w:tc>
        <w:tc>
          <w:tcPr>
            <w:tcW w:w="700" w:type="dxa"/>
          </w:tcPr>
          <w:p>
            <w:pPr>
              <w:pStyle w:val="TableParagraph"/>
              <w:spacing w:line="152" w:lineRule="exact"/>
              <w:ind w:right="29"/>
              <w:jc w:val="right"/>
              <w:rPr>
                <w:sz w:val="13"/>
              </w:rPr>
            </w:pPr>
            <w:r>
              <w:rPr>
                <w:color w:val="231F20"/>
                <w:spacing w:val="-2"/>
                <w:sz w:val="13"/>
              </w:rPr>
              <w:t>55.51115</w:t>
            </w:r>
          </w:p>
        </w:tc>
      </w:tr>
      <w:tr>
        <w:trPr>
          <w:trHeight w:val="189" w:hRule="atLeast"/>
        </w:trPr>
        <w:tc>
          <w:tcPr>
            <w:tcW w:w="290" w:type="dxa"/>
          </w:tcPr>
          <w:p>
            <w:pPr>
              <w:pStyle w:val="TableParagraph"/>
              <w:spacing w:line="152" w:lineRule="exact"/>
              <w:ind w:left="78" w:right="38"/>
              <w:rPr>
                <w:sz w:val="13"/>
              </w:rPr>
            </w:pPr>
            <w:r>
              <w:rPr>
                <w:color w:val="231F20"/>
                <w:spacing w:val="-5"/>
                <w:sz w:val="13"/>
              </w:rPr>
              <w:t>19</w:t>
            </w:r>
          </w:p>
        </w:tc>
        <w:tc>
          <w:tcPr>
            <w:tcW w:w="573" w:type="dxa"/>
          </w:tcPr>
          <w:p>
            <w:pPr>
              <w:pStyle w:val="TableParagraph"/>
              <w:spacing w:line="152" w:lineRule="exact"/>
              <w:ind w:left="45" w:right="42"/>
              <w:rPr>
                <w:sz w:val="13"/>
              </w:rPr>
            </w:pPr>
            <w:r>
              <w:rPr>
                <w:color w:val="231F20"/>
                <w:spacing w:val="-2"/>
                <w:sz w:val="13"/>
              </w:rPr>
              <w:t>1.20811</w:t>
            </w:r>
          </w:p>
        </w:tc>
        <w:tc>
          <w:tcPr>
            <w:tcW w:w="570" w:type="dxa"/>
          </w:tcPr>
          <w:p>
            <w:pPr>
              <w:pStyle w:val="TableParagraph"/>
              <w:spacing w:line="152" w:lineRule="exact"/>
              <w:ind w:left="39" w:right="39"/>
              <w:rPr>
                <w:sz w:val="13"/>
              </w:rPr>
            </w:pPr>
            <w:r>
              <w:rPr>
                <w:color w:val="231F20"/>
                <w:spacing w:val="-2"/>
                <w:sz w:val="13"/>
              </w:rPr>
              <w:t>1.45681</w:t>
            </w:r>
          </w:p>
        </w:tc>
        <w:tc>
          <w:tcPr>
            <w:tcW w:w="575" w:type="dxa"/>
          </w:tcPr>
          <w:p>
            <w:pPr>
              <w:pStyle w:val="TableParagraph"/>
              <w:spacing w:line="152" w:lineRule="exact"/>
              <w:ind w:left="40" w:right="42"/>
              <w:rPr>
                <w:sz w:val="13"/>
              </w:rPr>
            </w:pPr>
            <w:r>
              <w:rPr>
                <w:color w:val="231F20"/>
                <w:spacing w:val="-2"/>
                <w:sz w:val="13"/>
              </w:rPr>
              <w:t>1.75351</w:t>
            </w:r>
          </w:p>
        </w:tc>
        <w:tc>
          <w:tcPr>
            <w:tcW w:w="575" w:type="dxa"/>
          </w:tcPr>
          <w:p>
            <w:pPr>
              <w:pStyle w:val="TableParagraph"/>
              <w:spacing w:line="152" w:lineRule="exact"/>
              <w:ind w:left="44" w:right="39"/>
              <w:rPr>
                <w:sz w:val="13"/>
              </w:rPr>
            </w:pPr>
            <w:r>
              <w:rPr>
                <w:color w:val="231F20"/>
                <w:spacing w:val="-2"/>
                <w:sz w:val="13"/>
              </w:rPr>
              <w:t>2.10685</w:t>
            </w:r>
          </w:p>
        </w:tc>
        <w:tc>
          <w:tcPr>
            <w:tcW w:w="565" w:type="dxa"/>
          </w:tcPr>
          <w:p>
            <w:pPr>
              <w:pStyle w:val="TableParagraph"/>
              <w:spacing w:line="152" w:lineRule="exact"/>
              <w:ind w:left="42" w:right="37"/>
              <w:rPr>
                <w:sz w:val="13"/>
              </w:rPr>
            </w:pPr>
            <w:r>
              <w:rPr>
                <w:color w:val="231F20"/>
                <w:spacing w:val="-2"/>
                <w:sz w:val="13"/>
              </w:rPr>
              <w:t>2.52695</w:t>
            </w:r>
          </w:p>
        </w:tc>
        <w:tc>
          <w:tcPr>
            <w:tcW w:w="570" w:type="dxa"/>
          </w:tcPr>
          <w:p>
            <w:pPr>
              <w:pStyle w:val="TableParagraph"/>
              <w:spacing w:line="152" w:lineRule="exact"/>
              <w:ind w:left="36" w:right="42"/>
              <w:rPr>
                <w:sz w:val="13"/>
              </w:rPr>
            </w:pPr>
            <w:r>
              <w:rPr>
                <w:color w:val="231F20"/>
                <w:spacing w:val="-2"/>
                <w:sz w:val="13"/>
              </w:rPr>
              <w:t>3.02560</w:t>
            </w:r>
          </w:p>
        </w:tc>
        <w:tc>
          <w:tcPr>
            <w:tcW w:w="574" w:type="dxa"/>
          </w:tcPr>
          <w:p>
            <w:pPr>
              <w:pStyle w:val="TableParagraph"/>
              <w:spacing w:line="152" w:lineRule="exact"/>
              <w:ind w:left="48" w:right="41"/>
              <w:rPr>
                <w:sz w:val="13"/>
              </w:rPr>
            </w:pPr>
            <w:r>
              <w:rPr>
                <w:color w:val="231F20"/>
                <w:spacing w:val="-2"/>
                <w:sz w:val="13"/>
              </w:rPr>
              <w:t>3.61653</w:t>
            </w:r>
          </w:p>
        </w:tc>
        <w:tc>
          <w:tcPr>
            <w:tcW w:w="645" w:type="dxa"/>
          </w:tcPr>
          <w:p>
            <w:pPr>
              <w:pStyle w:val="TableParagraph"/>
              <w:spacing w:line="152" w:lineRule="exact"/>
              <w:ind w:right="51"/>
              <w:jc w:val="right"/>
              <w:rPr>
                <w:sz w:val="13"/>
              </w:rPr>
            </w:pPr>
            <w:r>
              <w:rPr>
                <w:color w:val="231F20"/>
                <w:spacing w:val="-2"/>
                <w:sz w:val="13"/>
              </w:rPr>
              <w:t>4.31570</w:t>
            </w:r>
          </w:p>
        </w:tc>
        <w:tc>
          <w:tcPr>
            <w:tcW w:w="660" w:type="dxa"/>
          </w:tcPr>
          <w:p>
            <w:pPr>
              <w:pStyle w:val="TableParagraph"/>
              <w:spacing w:line="152" w:lineRule="exact"/>
              <w:ind w:right="61"/>
              <w:jc w:val="right"/>
              <w:rPr>
                <w:sz w:val="13"/>
              </w:rPr>
            </w:pPr>
            <w:r>
              <w:rPr>
                <w:color w:val="231F20"/>
                <w:spacing w:val="-2"/>
                <w:sz w:val="13"/>
              </w:rPr>
              <w:t>5.14166</w:t>
            </w:r>
          </w:p>
        </w:tc>
        <w:tc>
          <w:tcPr>
            <w:tcW w:w="620" w:type="dxa"/>
          </w:tcPr>
          <w:p>
            <w:pPr>
              <w:pStyle w:val="TableParagraph"/>
              <w:spacing w:line="152" w:lineRule="exact"/>
              <w:ind w:left="109" w:right="26"/>
              <w:rPr>
                <w:sz w:val="13"/>
              </w:rPr>
            </w:pPr>
            <w:r>
              <w:rPr>
                <w:color w:val="231F20"/>
                <w:spacing w:val="-2"/>
                <w:sz w:val="13"/>
              </w:rPr>
              <w:t>6.11591</w:t>
            </w:r>
          </w:p>
        </w:tc>
        <w:tc>
          <w:tcPr>
            <w:tcW w:w="670" w:type="dxa"/>
          </w:tcPr>
          <w:p>
            <w:pPr>
              <w:pStyle w:val="TableParagraph"/>
              <w:spacing w:line="152" w:lineRule="exact"/>
              <w:ind w:right="41"/>
              <w:jc w:val="right"/>
              <w:rPr>
                <w:sz w:val="13"/>
              </w:rPr>
            </w:pPr>
            <w:r>
              <w:rPr>
                <w:color w:val="231F20"/>
                <w:spacing w:val="-2"/>
                <w:sz w:val="13"/>
              </w:rPr>
              <w:t>8.61276</w:t>
            </w:r>
          </w:p>
        </w:tc>
        <w:tc>
          <w:tcPr>
            <w:tcW w:w="640" w:type="dxa"/>
          </w:tcPr>
          <w:p>
            <w:pPr>
              <w:pStyle w:val="TableParagraph"/>
              <w:spacing w:line="152" w:lineRule="exact"/>
              <w:ind w:right="50"/>
              <w:jc w:val="right"/>
              <w:rPr>
                <w:sz w:val="13"/>
              </w:rPr>
            </w:pPr>
            <w:r>
              <w:rPr>
                <w:color w:val="231F20"/>
                <w:spacing w:val="-2"/>
                <w:sz w:val="13"/>
              </w:rPr>
              <w:t>12.05569</w:t>
            </w:r>
          </w:p>
        </w:tc>
        <w:tc>
          <w:tcPr>
            <w:tcW w:w="645" w:type="dxa"/>
          </w:tcPr>
          <w:p>
            <w:pPr>
              <w:pStyle w:val="TableParagraph"/>
              <w:spacing w:line="152" w:lineRule="exact"/>
              <w:ind w:right="45"/>
              <w:jc w:val="right"/>
              <w:rPr>
                <w:sz w:val="13"/>
              </w:rPr>
            </w:pPr>
            <w:r>
              <w:rPr>
                <w:color w:val="231F20"/>
                <w:spacing w:val="-2"/>
                <w:sz w:val="13"/>
              </w:rPr>
              <w:t>14.23177</w:t>
            </w:r>
          </w:p>
        </w:tc>
        <w:tc>
          <w:tcPr>
            <w:tcW w:w="644" w:type="dxa"/>
          </w:tcPr>
          <w:p>
            <w:pPr>
              <w:pStyle w:val="TableParagraph"/>
              <w:spacing w:line="152" w:lineRule="exact"/>
              <w:ind w:right="49"/>
              <w:jc w:val="right"/>
              <w:rPr>
                <w:sz w:val="13"/>
              </w:rPr>
            </w:pPr>
            <w:r>
              <w:rPr>
                <w:color w:val="231F20"/>
                <w:spacing w:val="-2"/>
                <w:sz w:val="13"/>
              </w:rPr>
              <w:t>16.77652</w:t>
            </w:r>
          </w:p>
        </w:tc>
        <w:tc>
          <w:tcPr>
            <w:tcW w:w="720" w:type="dxa"/>
          </w:tcPr>
          <w:p>
            <w:pPr>
              <w:pStyle w:val="TableParagraph"/>
              <w:spacing w:line="152" w:lineRule="exact"/>
              <w:ind w:right="49"/>
              <w:jc w:val="right"/>
              <w:rPr>
                <w:sz w:val="13"/>
              </w:rPr>
            </w:pPr>
            <w:r>
              <w:rPr>
                <w:color w:val="231F20"/>
                <w:spacing w:val="-2"/>
                <w:sz w:val="13"/>
              </w:rPr>
              <w:t>23.21444</w:t>
            </w:r>
          </w:p>
        </w:tc>
        <w:tc>
          <w:tcPr>
            <w:tcW w:w="720" w:type="dxa"/>
          </w:tcPr>
          <w:p>
            <w:pPr>
              <w:pStyle w:val="TableParagraph"/>
              <w:spacing w:line="152" w:lineRule="exact"/>
              <w:ind w:right="49"/>
              <w:jc w:val="right"/>
              <w:rPr>
                <w:sz w:val="13"/>
              </w:rPr>
            </w:pPr>
            <w:r>
              <w:rPr>
                <w:color w:val="231F20"/>
                <w:spacing w:val="-2"/>
                <w:sz w:val="13"/>
              </w:rPr>
              <w:t>31.94800</w:t>
            </w:r>
          </w:p>
        </w:tc>
        <w:tc>
          <w:tcPr>
            <w:tcW w:w="700" w:type="dxa"/>
          </w:tcPr>
          <w:p>
            <w:pPr>
              <w:pStyle w:val="TableParagraph"/>
              <w:spacing w:line="152" w:lineRule="exact"/>
              <w:ind w:right="29"/>
              <w:jc w:val="right"/>
              <w:rPr>
                <w:sz w:val="13"/>
              </w:rPr>
            </w:pPr>
            <w:r>
              <w:rPr>
                <w:color w:val="231F20"/>
                <w:spacing w:val="-2"/>
                <w:sz w:val="13"/>
              </w:rPr>
              <w:t>69.38894</w:t>
            </w:r>
          </w:p>
        </w:tc>
      </w:tr>
      <w:tr>
        <w:trPr>
          <w:trHeight w:val="237" w:hRule="atLeast"/>
        </w:trPr>
        <w:tc>
          <w:tcPr>
            <w:tcW w:w="290" w:type="dxa"/>
          </w:tcPr>
          <w:p>
            <w:pPr>
              <w:pStyle w:val="TableParagraph"/>
              <w:ind w:left="78" w:right="38"/>
              <w:rPr>
                <w:sz w:val="13"/>
              </w:rPr>
            </w:pPr>
            <w:r>
              <w:rPr>
                <w:color w:val="231F20"/>
                <w:spacing w:val="-5"/>
                <w:sz w:val="13"/>
              </w:rPr>
              <w:t>20</w:t>
            </w:r>
          </w:p>
        </w:tc>
        <w:tc>
          <w:tcPr>
            <w:tcW w:w="573" w:type="dxa"/>
          </w:tcPr>
          <w:p>
            <w:pPr>
              <w:pStyle w:val="TableParagraph"/>
              <w:ind w:left="45" w:right="42"/>
              <w:rPr>
                <w:sz w:val="13"/>
              </w:rPr>
            </w:pPr>
            <w:r>
              <w:rPr>
                <w:color w:val="231F20"/>
                <w:spacing w:val="-2"/>
                <w:sz w:val="13"/>
              </w:rPr>
              <w:t>1.22019</w:t>
            </w:r>
          </w:p>
        </w:tc>
        <w:tc>
          <w:tcPr>
            <w:tcW w:w="570" w:type="dxa"/>
          </w:tcPr>
          <w:p>
            <w:pPr>
              <w:pStyle w:val="TableParagraph"/>
              <w:ind w:left="39" w:right="39"/>
              <w:rPr>
                <w:sz w:val="13"/>
              </w:rPr>
            </w:pPr>
            <w:r>
              <w:rPr>
                <w:color w:val="231F20"/>
                <w:spacing w:val="-2"/>
                <w:sz w:val="13"/>
              </w:rPr>
              <w:t>1.48595</w:t>
            </w:r>
          </w:p>
        </w:tc>
        <w:tc>
          <w:tcPr>
            <w:tcW w:w="575" w:type="dxa"/>
          </w:tcPr>
          <w:p>
            <w:pPr>
              <w:pStyle w:val="TableParagraph"/>
              <w:ind w:left="40" w:right="42"/>
              <w:rPr>
                <w:sz w:val="13"/>
              </w:rPr>
            </w:pPr>
            <w:r>
              <w:rPr>
                <w:color w:val="231F20"/>
                <w:spacing w:val="-2"/>
                <w:sz w:val="13"/>
              </w:rPr>
              <w:t>1.80611</w:t>
            </w:r>
          </w:p>
        </w:tc>
        <w:tc>
          <w:tcPr>
            <w:tcW w:w="575" w:type="dxa"/>
          </w:tcPr>
          <w:p>
            <w:pPr>
              <w:pStyle w:val="TableParagraph"/>
              <w:ind w:left="44" w:right="39"/>
              <w:rPr>
                <w:sz w:val="13"/>
              </w:rPr>
            </w:pPr>
            <w:r>
              <w:rPr>
                <w:color w:val="231F20"/>
                <w:spacing w:val="-2"/>
                <w:sz w:val="13"/>
              </w:rPr>
              <w:t>2.19112</w:t>
            </w:r>
          </w:p>
        </w:tc>
        <w:tc>
          <w:tcPr>
            <w:tcW w:w="565" w:type="dxa"/>
          </w:tcPr>
          <w:p>
            <w:pPr>
              <w:pStyle w:val="TableParagraph"/>
              <w:ind w:left="42" w:right="37"/>
              <w:rPr>
                <w:sz w:val="13"/>
              </w:rPr>
            </w:pPr>
            <w:r>
              <w:rPr>
                <w:color w:val="231F20"/>
                <w:spacing w:val="-2"/>
                <w:sz w:val="13"/>
              </w:rPr>
              <w:t>2.65330</w:t>
            </w:r>
          </w:p>
        </w:tc>
        <w:tc>
          <w:tcPr>
            <w:tcW w:w="570" w:type="dxa"/>
          </w:tcPr>
          <w:p>
            <w:pPr>
              <w:pStyle w:val="TableParagraph"/>
              <w:ind w:left="36" w:right="42"/>
              <w:rPr>
                <w:sz w:val="13"/>
              </w:rPr>
            </w:pPr>
            <w:r>
              <w:rPr>
                <w:color w:val="231F20"/>
                <w:spacing w:val="-2"/>
                <w:sz w:val="13"/>
              </w:rPr>
              <w:t>3.20714</w:t>
            </w:r>
          </w:p>
        </w:tc>
        <w:tc>
          <w:tcPr>
            <w:tcW w:w="574" w:type="dxa"/>
          </w:tcPr>
          <w:p>
            <w:pPr>
              <w:pStyle w:val="TableParagraph"/>
              <w:ind w:left="48" w:right="41"/>
              <w:rPr>
                <w:sz w:val="13"/>
              </w:rPr>
            </w:pPr>
            <w:r>
              <w:rPr>
                <w:color w:val="231F20"/>
                <w:spacing w:val="-2"/>
                <w:sz w:val="13"/>
              </w:rPr>
              <w:t>3.86968</w:t>
            </w:r>
          </w:p>
        </w:tc>
        <w:tc>
          <w:tcPr>
            <w:tcW w:w="645" w:type="dxa"/>
          </w:tcPr>
          <w:p>
            <w:pPr>
              <w:pStyle w:val="TableParagraph"/>
              <w:ind w:right="51"/>
              <w:jc w:val="right"/>
              <w:rPr>
                <w:sz w:val="13"/>
              </w:rPr>
            </w:pPr>
            <w:r>
              <w:rPr>
                <w:color w:val="231F20"/>
                <w:spacing w:val="-2"/>
                <w:sz w:val="13"/>
              </w:rPr>
              <w:t>4.66096</w:t>
            </w:r>
          </w:p>
        </w:tc>
        <w:tc>
          <w:tcPr>
            <w:tcW w:w="660" w:type="dxa"/>
          </w:tcPr>
          <w:p>
            <w:pPr>
              <w:pStyle w:val="TableParagraph"/>
              <w:ind w:right="61"/>
              <w:jc w:val="right"/>
              <w:rPr>
                <w:sz w:val="13"/>
              </w:rPr>
            </w:pPr>
            <w:r>
              <w:rPr>
                <w:color w:val="231F20"/>
                <w:spacing w:val="-2"/>
                <w:sz w:val="13"/>
              </w:rPr>
              <w:t>5.60441</w:t>
            </w:r>
          </w:p>
        </w:tc>
        <w:tc>
          <w:tcPr>
            <w:tcW w:w="620" w:type="dxa"/>
          </w:tcPr>
          <w:p>
            <w:pPr>
              <w:pStyle w:val="TableParagraph"/>
              <w:ind w:left="109" w:right="26"/>
              <w:rPr>
                <w:sz w:val="13"/>
              </w:rPr>
            </w:pPr>
            <w:r>
              <w:rPr>
                <w:color w:val="231F20"/>
                <w:spacing w:val="-2"/>
                <w:sz w:val="13"/>
              </w:rPr>
              <w:t>6.72750</w:t>
            </w:r>
          </w:p>
        </w:tc>
        <w:tc>
          <w:tcPr>
            <w:tcW w:w="670" w:type="dxa"/>
          </w:tcPr>
          <w:p>
            <w:pPr>
              <w:pStyle w:val="TableParagraph"/>
              <w:ind w:right="41"/>
              <w:jc w:val="right"/>
              <w:rPr>
                <w:sz w:val="13"/>
              </w:rPr>
            </w:pPr>
            <w:r>
              <w:rPr>
                <w:color w:val="231F20"/>
                <w:spacing w:val="-2"/>
                <w:sz w:val="13"/>
              </w:rPr>
              <w:t>9.64629</w:t>
            </w:r>
          </w:p>
        </w:tc>
        <w:tc>
          <w:tcPr>
            <w:tcW w:w="640" w:type="dxa"/>
          </w:tcPr>
          <w:p>
            <w:pPr>
              <w:pStyle w:val="TableParagraph"/>
              <w:ind w:right="50"/>
              <w:jc w:val="right"/>
              <w:rPr>
                <w:sz w:val="13"/>
              </w:rPr>
            </w:pPr>
            <w:r>
              <w:rPr>
                <w:color w:val="231F20"/>
                <w:spacing w:val="-2"/>
                <w:sz w:val="13"/>
              </w:rPr>
              <w:t>13.74349</w:t>
            </w:r>
          </w:p>
        </w:tc>
        <w:tc>
          <w:tcPr>
            <w:tcW w:w="645" w:type="dxa"/>
          </w:tcPr>
          <w:p>
            <w:pPr>
              <w:pStyle w:val="TableParagraph"/>
              <w:ind w:right="45"/>
              <w:jc w:val="right"/>
              <w:rPr>
                <w:sz w:val="13"/>
              </w:rPr>
            </w:pPr>
            <w:r>
              <w:rPr>
                <w:color w:val="231F20"/>
                <w:spacing w:val="-2"/>
                <w:sz w:val="13"/>
              </w:rPr>
              <w:t>16.36654</w:t>
            </w:r>
          </w:p>
        </w:tc>
        <w:tc>
          <w:tcPr>
            <w:tcW w:w="644" w:type="dxa"/>
          </w:tcPr>
          <w:p>
            <w:pPr>
              <w:pStyle w:val="TableParagraph"/>
              <w:ind w:right="49"/>
              <w:jc w:val="right"/>
              <w:rPr>
                <w:sz w:val="13"/>
              </w:rPr>
            </w:pPr>
            <w:r>
              <w:rPr>
                <w:color w:val="231F20"/>
                <w:spacing w:val="-2"/>
                <w:sz w:val="13"/>
              </w:rPr>
              <w:t>19.46076</w:t>
            </w:r>
          </w:p>
        </w:tc>
        <w:tc>
          <w:tcPr>
            <w:tcW w:w="720" w:type="dxa"/>
          </w:tcPr>
          <w:p>
            <w:pPr>
              <w:pStyle w:val="TableParagraph"/>
              <w:ind w:right="49"/>
              <w:jc w:val="right"/>
              <w:rPr>
                <w:sz w:val="13"/>
              </w:rPr>
            </w:pPr>
            <w:r>
              <w:rPr>
                <w:color w:val="231F20"/>
                <w:spacing w:val="-2"/>
                <w:sz w:val="13"/>
              </w:rPr>
              <w:t>27.39303</w:t>
            </w:r>
          </w:p>
        </w:tc>
        <w:tc>
          <w:tcPr>
            <w:tcW w:w="720" w:type="dxa"/>
          </w:tcPr>
          <w:p>
            <w:pPr>
              <w:pStyle w:val="TableParagraph"/>
              <w:ind w:right="49"/>
              <w:jc w:val="right"/>
              <w:rPr>
                <w:sz w:val="13"/>
              </w:rPr>
            </w:pPr>
            <w:r>
              <w:rPr>
                <w:color w:val="231F20"/>
                <w:spacing w:val="-2"/>
                <w:sz w:val="13"/>
              </w:rPr>
              <w:t>38.33760</w:t>
            </w:r>
          </w:p>
        </w:tc>
        <w:tc>
          <w:tcPr>
            <w:tcW w:w="700" w:type="dxa"/>
          </w:tcPr>
          <w:p>
            <w:pPr>
              <w:pStyle w:val="TableParagraph"/>
              <w:ind w:right="29"/>
              <w:jc w:val="right"/>
              <w:rPr>
                <w:sz w:val="13"/>
              </w:rPr>
            </w:pPr>
            <w:r>
              <w:rPr>
                <w:color w:val="231F20"/>
                <w:spacing w:val="-2"/>
                <w:sz w:val="13"/>
              </w:rPr>
              <w:t>86.73617</w:t>
            </w:r>
          </w:p>
        </w:tc>
      </w:tr>
      <w:tr>
        <w:trPr>
          <w:trHeight w:val="237" w:hRule="atLeast"/>
        </w:trPr>
        <w:tc>
          <w:tcPr>
            <w:tcW w:w="290" w:type="dxa"/>
          </w:tcPr>
          <w:p>
            <w:pPr>
              <w:pStyle w:val="TableParagraph"/>
              <w:spacing w:line="152" w:lineRule="exact" w:before="65"/>
              <w:ind w:left="78" w:right="38"/>
              <w:rPr>
                <w:sz w:val="13"/>
              </w:rPr>
            </w:pPr>
            <w:r>
              <w:rPr>
                <w:color w:val="231F20"/>
                <w:spacing w:val="-5"/>
                <w:sz w:val="13"/>
              </w:rPr>
              <w:t>21</w:t>
            </w:r>
          </w:p>
        </w:tc>
        <w:tc>
          <w:tcPr>
            <w:tcW w:w="573" w:type="dxa"/>
          </w:tcPr>
          <w:p>
            <w:pPr>
              <w:pStyle w:val="TableParagraph"/>
              <w:spacing w:line="152" w:lineRule="exact" w:before="65"/>
              <w:ind w:left="45" w:right="42"/>
              <w:rPr>
                <w:sz w:val="13"/>
              </w:rPr>
            </w:pPr>
            <w:r>
              <w:rPr>
                <w:color w:val="231F20"/>
                <w:spacing w:val="-2"/>
                <w:sz w:val="13"/>
              </w:rPr>
              <w:t>1.23239</w:t>
            </w:r>
          </w:p>
        </w:tc>
        <w:tc>
          <w:tcPr>
            <w:tcW w:w="570" w:type="dxa"/>
          </w:tcPr>
          <w:p>
            <w:pPr>
              <w:pStyle w:val="TableParagraph"/>
              <w:spacing w:line="152" w:lineRule="exact" w:before="65"/>
              <w:ind w:left="39" w:right="39"/>
              <w:rPr>
                <w:sz w:val="13"/>
              </w:rPr>
            </w:pPr>
            <w:r>
              <w:rPr>
                <w:color w:val="231F20"/>
                <w:spacing w:val="-2"/>
                <w:sz w:val="13"/>
              </w:rPr>
              <w:t>1.51567</w:t>
            </w:r>
          </w:p>
        </w:tc>
        <w:tc>
          <w:tcPr>
            <w:tcW w:w="575" w:type="dxa"/>
          </w:tcPr>
          <w:p>
            <w:pPr>
              <w:pStyle w:val="TableParagraph"/>
              <w:spacing w:line="152" w:lineRule="exact" w:before="65"/>
              <w:ind w:left="40" w:right="42"/>
              <w:rPr>
                <w:sz w:val="13"/>
              </w:rPr>
            </w:pPr>
            <w:r>
              <w:rPr>
                <w:color w:val="231F20"/>
                <w:spacing w:val="-2"/>
                <w:sz w:val="13"/>
              </w:rPr>
              <w:t>1.86029</w:t>
            </w:r>
          </w:p>
        </w:tc>
        <w:tc>
          <w:tcPr>
            <w:tcW w:w="575" w:type="dxa"/>
          </w:tcPr>
          <w:p>
            <w:pPr>
              <w:pStyle w:val="TableParagraph"/>
              <w:spacing w:line="152" w:lineRule="exact" w:before="65"/>
              <w:ind w:left="44" w:right="39"/>
              <w:rPr>
                <w:sz w:val="13"/>
              </w:rPr>
            </w:pPr>
            <w:r>
              <w:rPr>
                <w:color w:val="231F20"/>
                <w:spacing w:val="-2"/>
                <w:sz w:val="13"/>
              </w:rPr>
              <w:t>2.27877</w:t>
            </w:r>
          </w:p>
        </w:tc>
        <w:tc>
          <w:tcPr>
            <w:tcW w:w="565" w:type="dxa"/>
          </w:tcPr>
          <w:p>
            <w:pPr>
              <w:pStyle w:val="TableParagraph"/>
              <w:spacing w:line="152" w:lineRule="exact" w:before="65"/>
              <w:ind w:left="42" w:right="37"/>
              <w:rPr>
                <w:sz w:val="13"/>
              </w:rPr>
            </w:pPr>
            <w:r>
              <w:rPr>
                <w:color w:val="231F20"/>
                <w:spacing w:val="-2"/>
                <w:sz w:val="13"/>
              </w:rPr>
              <w:t>2.78596</w:t>
            </w:r>
          </w:p>
        </w:tc>
        <w:tc>
          <w:tcPr>
            <w:tcW w:w="570" w:type="dxa"/>
          </w:tcPr>
          <w:p>
            <w:pPr>
              <w:pStyle w:val="TableParagraph"/>
              <w:spacing w:line="152" w:lineRule="exact" w:before="65"/>
              <w:ind w:left="36" w:right="42"/>
              <w:rPr>
                <w:sz w:val="13"/>
              </w:rPr>
            </w:pPr>
            <w:r>
              <w:rPr>
                <w:color w:val="231F20"/>
                <w:spacing w:val="-2"/>
                <w:sz w:val="13"/>
              </w:rPr>
              <w:t>3.39956</w:t>
            </w:r>
          </w:p>
        </w:tc>
        <w:tc>
          <w:tcPr>
            <w:tcW w:w="574" w:type="dxa"/>
          </w:tcPr>
          <w:p>
            <w:pPr>
              <w:pStyle w:val="TableParagraph"/>
              <w:spacing w:line="152" w:lineRule="exact" w:before="65"/>
              <w:ind w:left="48" w:right="41"/>
              <w:rPr>
                <w:sz w:val="13"/>
              </w:rPr>
            </w:pPr>
            <w:r>
              <w:rPr>
                <w:color w:val="231F20"/>
                <w:spacing w:val="-2"/>
                <w:sz w:val="13"/>
              </w:rPr>
              <w:t>4.14056</w:t>
            </w:r>
          </w:p>
        </w:tc>
        <w:tc>
          <w:tcPr>
            <w:tcW w:w="645" w:type="dxa"/>
          </w:tcPr>
          <w:p>
            <w:pPr>
              <w:pStyle w:val="TableParagraph"/>
              <w:spacing w:line="152" w:lineRule="exact" w:before="65"/>
              <w:ind w:right="51"/>
              <w:jc w:val="right"/>
              <w:rPr>
                <w:sz w:val="13"/>
              </w:rPr>
            </w:pPr>
            <w:r>
              <w:rPr>
                <w:color w:val="231F20"/>
                <w:spacing w:val="-2"/>
                <w:sz w:val="13"/>
              </w:rPr>
              <w:t>5.03383</w:t>
            </w:r>
          </w:p>
        </w:tc>
        <w:tc>
          <w:tcPr>
            <w:tcW w:w="660" w:type="dxa"/>
          </w:tcPr>
          <w:p>
            <w:pPr>
              <w:pStyle w:val="TableParagraph"/>
              <w:spacing w:line="152" w:lineRule="exact" w:before="65"/>
              <w:ind w:right="61"/>
              <w:jc w:val="right"/>
              <w:rPr>
                <w:sz w:val="13"/>
              </w:rPr>
            </w:pPr>
            <w:r>
              <w:rPr>
                <w:color w:val="231F20"/>
                <w:spacing w:val="-2"/>
                <w:sz w:val="13"/>
              </w:rPr>
              <w:t>6.10881</w:t>
            </w:r>
          </w:p>
        </w:tc>
        <w:tc>
          <w:tcPr>
            <w:tcW w:w="620" w:type="dxa"/>
          </w:tcPr>
          <w:p>
            <w:pPr>
              <w:pStyle w:val="TableParagraph"/>
              <w:spacing w:line="152" w:lineRule="exact" w:before="65"/>
              <w:ind w:left="109" w:right="26"/>
              <w:rPr>
                <w:sz w:val="13"/>
              </w:rPr>
            </w:pPr>
            <w:r>
              <w:rPr>
                <w:color w:val="231F20"/>
                <w:spacing w:val="-2"/>
                <w:sz w:val="13"/>
              </w:rPr>
              <w:t>7.40025</w:t>
            </w:r>
          </w:p>
        </w:tc>
        <w:tc>
          <w:tcPr>
            <w:tcW w:w="670" w:type="dxa"/>
          </w:tcPr>
          <w:p>
            <w:pPr>
              <w:pStyle w:val="TableParagraph"/>
              <w:spacing w:line="152" w:lineRule="exact" w:before="65"/>
              <w:ind w:right="41"/>
              <w:jc w:val="right"/>
              <w:rPr>
                <w:sz w:val="13"/>
              </w:rPr>
            </w:pPr>
            <w:r>
              <w:rPr>
                <w:color w:val="231F20"/>
                <w:spacing w:val="-2"/>
                <w:sz w:val="13"/>
              </w:rPr>
              <w:t>10.80385</w:t>
            </w:r>
          </w:p>
        </w:tc>
        <w:tc>
          <w:tcPr>
            <w:tcW w:w="640" w:type="dxa"/>
          </w:tcPr>
          <w:p>
            <w:pPr>
              <w:pStyle w:val="TableParagraph"/>
              <w:spacing w:line="152" w:lineRule="exact" w:before="65"/>
              <w:ind w:right="50"/>
              <w:jc w:val="right"/>
              <w:rPr>
                <w:sz w:val="13"/>
              </w:rPr>
            </w:pPr>
            <w:r>
              <w:rPr>
                <w:color w:val="231F20"/>
                <w:spacing w:val="-2"/>
                <w:sz w:val="13"/>
              </w:rPr>
              <w:t>15.66758</w:t>
            </w:r>
          </w:p>
        </w:tc>
        <w:tc>
          <w:tcPr>
            <w:tcW w:w="645" w:type="dxa"/>
          </w:tcPr>
          <w:p>
            <w:pPr>
              <w:pStyle w:val="TableParagraph"/>
              <w:spacing w:line="152" w:lineRule="exact" w:before="65"/>
              <w:ind w:right="45"/>
              <w:jc w:val="right"/>
              <w:rPr>
                <w:sz w:val="13"/>
              </w:rPr>
            </w:pPr>
            <w:r>
              <w:rPr>
                <w:color w:val="231F20"/>
                <w:spacing w:val="-2"/>
                <w:sz w:val="13"/>
              </w:rPr>
              <w:t>18.82152</w:t>
            </w:r>
          </w:p>
        </w:tc>
        <w:tc>
          <w:tcPr>
            <w:tcW w:w="644" w:type="dxa"/>
          </w:tcPr>
          <w:p>
            <w:pPr>
              <w:pStyle w:val="TableParagraph"/>
              <w:spacing w:line="152" w:lineRule="exact" w:before="65"/>
              <w:ind w:right="49"/>
              <w:jc w:val="right"/>
              <w:rPr>
                <w:sz w:val="13"/>
              </w:rPr>
            </w:pPr>
            <w:r>
              <w:rPr>
                <w:color w:val="231F20"/>
                <w:spacing w:val="-2"/>
                <w:sz w:val="13"/>
              </w:rPr>
              <w:t>22.57448</w:t>
            </w:r>
          </w:p>
        </w:tc>
        <w:tc>
          <w:tcPr>
            <w:tcW w:w="720" w:type="dxa"/>
          </w:tcPr>
          <w:p>
            <w:pPr>
              <w:pStyle w:val="TableParagraph"/>
              <w:spacing w:line="152" w:lineRule="exact" w:before="65"/>
              <w:ind w:right="49"/>
              <w:jc w:val="right"/>
              <w:rPr>
                <w:sz w:val="13"/>
              </w:rPr>
            </w:pPr>
            <w:r>
              <w:rPr>
                <w:color w:val="231F20"/>
                <w:spacing w:val="-2"/>
                <w:sz w:val="13"/>
              </w:rPr>
              <w:t>32.32378</w:t>
            </w:r>
          </w:p>
        </w:tc>
        <w:tc>
          <w:tcPr>
            <w:tcW w:w="720" w:type="dxa"/>
          </w:tcPr>
          <w:p>
            <w:pPr>
              <w:pStyle w:val="TableParagraph"/>
              <w:spacing w:line="152" w:lineRule="exact" w:before="65"/>
              <w:ind w:right="49"/>
              <w:jc w:val="right"/>
              <w:rPr>
                <w:sz w:val="13"/>
              </w:rPr>
            </w:pPr>
            <w:r>
              <w:rPr>
                <w:color w:val="231F20"/>
                <w:spacing w:val="-2"/>
                <w:sz w:val="13"/>
              </w:rPr>
              <w:t>46.00512</w:t>
            </w:r>
          </w:p>
        </w:tc>
        <w:tc>
          <w:tcPr>
            <w:tcW w:w="700" w:type="dxa"/>
          </w:tcPr>
          <w:p>
            <w:pPr>
              <w:pStyle w:val="TableParagraph"/>
              <w:spacing w:line="152" w:lineRule="exact" w:before="65"/>
              <w:ind w:right="31"/>
              <w:jc w:val="right"/>
              <w:rPr>
                <w:sz w:val="13"/>
              </w:rPr>
            </w:pPr>
            <w:r>
              <w:rPr>
                <w:color w:val="231F20"/>
                <w:spacing w:val="-2"/>
                <w:sz w:val="13"/>
              </w:rPr>
              <w:t>108.42022</w:t>
            </w:r>
          </w:p>
        </w:tc>
      </w:tr>
      <w:tr>
        <w:trPr>
          <w:trHeight w:val="190" w:hRule="atLeast"/>
        </w:trPr>
        <w:tc>
          <w:tcPr>
            <w:tcW w:w="290" w:type="dxa"/>
          </w:tcPr>
          <w:p>
            <w:pPr>
              <w:pStyle w:val="TableParagraph"/>
              <w:spacing w:line="152" w:lineRule="exact"/>
              <w:ind w:left="78" w:right="38"/>
              <w:rPr>
                <w:sz w:val="13"/>
              </w:rPr>
            </w:pPr>
            <w:r>
              <w:rPr>
                <w:color w:val="231F20"/>
                <w:spacing w:val="-5"/>
                <w:sz w:val="13"/>
              </w:rPr>
              <w:t>22</w:t>
            </w:r>
          </w:p>
        </w:tc>
        <w:tc>
          <w:tcPr>
            <w:tcW w:w="573" w:type="dxa"/>
          </w:tcPr>
          <w:p>
            <w:pPr>
              <w:pStyle w:val="TableParagraph"/>
              <w:spacing w:line="152" w:lineRule="exact"/>
              <w:ind w:left="45" w:right="42"/>
              <w:rPr>
                <w:sz w:val="13"/>
              </w:rPr>
            </w:pPr>
            <w:r>
              <w:rPr>
                <w:color w:val="231F20"/>
                <w:spacing w:val="-2"/>
                <w:sz w:val="13"/>
              </w:rPr>
              <w:t>1.24472</w:t>
            </w:r>
          </w:p>
        </w:tc>
        <w:tc>
          <w:tcPr>
            <w:tcW w:w="570" w:type="dxa"/>
          </w:tcPr>
          <w:p>
            <w:pPr>
              <w:pStyle w:val="TableParagraph"/>
              <w:spacing w:line="152" w:lineRule="exact"/>
              <w:ind w:left="39" w:right="39"/>
              <w:rPr>
                <w:sz w:val="13"/>
              </w:rPr>
            </w:pPr>
            <w:r>
              <w:rPr>
                <w:color w:val="231F20"/>
                <w:spacing w:val="-2"/>
                <w:sz w:val="13"/>
              </w:rPr>
              <w:t>1.54590</w:t>
            </w:r>
          </w:p>
        </w:tc>
        <w:tc>
          <w:tcPr>
            <w:tcW w:w="575" w:type="dxa"/>
          </w:tcPr>
          <w:p>
            <w:pPr>
              <w:pStyle w:val="TableParagraph"/>
              <w:spacing w:line="152" w:lineRule="exact"/>
              <w:ind w:left="40" w:right="42"/>
              <w:rPr>
                <w:sz w:val="13"/>
              </w:rPr>
            </w:pPr>
            <w:r>
              <w:rPr>
                <w:color w:val="231F20"/>
                <w:spacing w:val="-2"/>
                <w:sz w:val="13"/>
              </w:rPr>
              <w:t>1.91610</w:t>
            </w:r>
          </w:p>
        </w:tc>
        <w:tc>
          <w:tcPr>
            <w:tcW w:w="575" w:type="dxa"/>
          </w:tcPr>
          <w:p>
            <w:pPr>
              <w:pStyle w:val="TableParagraph"/>
              <w:spacing w:line="152" w:lineRule="exact"/>
              <w:ind w:left="44" w:right="39"/>
              <w:rPr>
                <w:sz w:val="13"/>
              </w:rPr>
            </w:pPr>
            <w:r>
              <w:rPr>
                <w:color w:val="231F20"/>
                <w:spacing w:val="-2"/>
                <w:sz w:val="13"/>
              </w:rPr>
              <w:t>2.36992</w:t>
            </w:r>
          </w:p>
        </w:tc>
        <w:tc>
          <w:tcPr>
            <w:tcW w:w="565" w:type="dxa"/>
          </w:tcPr>
          <w:p>
            <w:pPr>
              <w:pStyle w:val="TableParagraph"/>
              <w:spacing w:line="152" w:lineRule="exact"/>
              <w:ind w:left="42" w:right="37"/>
              <w:rPr>
                <w:sz w:val="13"/>
              </w:rPr>
            </w:pPr>
            <w:r>
              <w:rPr>
                <w:color w:val="231F20"/>
                <w:spacing w:val="-2"/>
                <w:sz w:val="13"/>
              </w:rPr>
              <w:t>2.92526</w:t>
            </w:r>
          </w:p>
        </w:tc>
        <w:tc>
          <w:tcPr>
            <w:tcW w:w="570" w:type="dxa"/>
          </w:tcPr>
          <w:p>
            <w:pPr>
              <w:pStyle w:val="TableParagraph"/>
              <w:spacing w:line="152" w:lineRule="exact"/>
              <w:ind w:left="36" w:right="42"/>
              <w:rPr>
                <w:sz w:val="13"/>
              </w:rPr>
            </w:pPr>
            <w:r>
              <w:rPr>
                <w:color w:val="231F20"/>
                <w:spacing w:val="-2"/>
                <w:sz w:val="13"/>
              </w:rPr>
              <w:t>3.60354</w:t>
            </w:r>
          </w:p>
        </w:tc>
        <w:tc>
          <w:tcPr>
            <w:tcW w:w="574" w:type="dxa"/>
          </w:tcPr>
          <w:p>
            <w:pPr>
              <w:pStyle w:val="TableParagraph"/>
              <w:spacing w:line="152" w:lineRule="exact"/>
              <w:ind w:left="48" w:right="41"/>
              <w:rPr>
                <w:sz w:val="13"/>
              </w:rPr>
            </w:pPr>
            <w:r>
              <w:rPr>
                <w:color w:val="231F20"/>
                <w:spacing w:val="-2"/>
                <w:sz w:val="13"/>
              </w:rPr>
              <w:t>4.43040</w:t>
            </w:r>
          </w:p>
        </w:tc>
        <w:tc>
          <w:tcPr>
            <w:tcW w:w="645" w:type="dxa"/>
          </w:tcPr>
          <w:p>
            <w:pPr>
              <w:pStyle w:val="TableParagraph"/>
              <w:spacing w:line="152" w:lineRule="exact"/>
              <w:ind w:right="51"/>
              <w:jc w:val="right"/>
              <w:rPr>
                <w:sz w:val="13"/>
              </w:rPr>
            </w:pPr>
            <w:r>
              <w:rPr>
                <w:color w:val="231F20"/>
                <w:spacing w:val="-2"/>
                <w:sz w:val="13"/>
              </w:rPr>
              <w:t>5.43654</w:t>
            </w:r>
          </w:p>
        </w:tc>
        <w:tc>
          <w:tcPr>
            <w:tcW w:w="660" w:type="dxa"/>
          </w:tcPr>
          <w:p>
            <w:pPr>
              <w:pStyle w:val="TableParagraph"/>
              <w:spacing w:line="152" w:lineRule="exact"/>
              <w:ind w:right="61"/>
              <w:jc w:val="right"/>
              <w:rPr>
                <w:sz w:val="13"/>
              </w:rPr>
            </w:pPr>
            <w:r>
              <w:rPr>
                <w:color w:val="231F20"/>
                <w:spacing w:val="-2"/>
                <w:sz w:val="13"/>
              </w:rPr>
              <w:t>6.65860</w:t>
            </w:r>
          </w:p>
        </w:tc>
        <w:tc>
          <w:tcPr>
            <w:tcW w:w="620" w:type="dxa"/>
          </w:tcPr>
          <w:p>
            <w:pPr>
              <w:pStyle w:val="TableParagraph"/>
              <w:spacing w:line="152" w:lineRule="exact"/>
              <w:ind w:left="109" w:right="26"/>
              <w:rPr>
                <w:sz w:val="13"/>
              </w:rPr>
            </w:pPr>
            <w:r>
              <w:rPr>
                <w:color w:val="231F20"/>
                <w:spacing w:val="-2"/>
                <w:sz w:val="13"/>
              </w:rPr>
              <w:t>8.14027</w:t>
            </w:r>
          </w:p>
        </w:tc>
        <w:tc>
          <w:tcPr>
            <w:tcW w:w="670" w:type="dxa"/>
          </w:tcPr>
          <w:p>
            <w:pPr>
              <w:pStyle w:val="TableParagraph"/>
              <w:spacing w:line="152" w:lineRule="exact"/>
              <w:ind w:right="41"/>
              <w:jc w:val="right"/>
              <w:rPr>
                <w:sz w:val="13"/>
              </w:rPr>
            </w:pPr>
            <w:r>
              <w:rPr>
                <w:color w:val="231F20"/>
                <w:spacing w:val="-2"/>
                <w:sz w:val="13"/>
              </w:rPr>
              <w:t>12.10031</w:t>
            </w:r>
          </w:p>
        </w:tc>
        <w:tc>
          <w:tcPr>
            <w:tcW w:w="640" w:type="dxa"/>
          </w:tcPr>
          <w:p>
            <w:pPr>
              <w:pStyle w:val="TableParagraph"/>
              <w:spacing w:line="152" w:lineRule="exact"/>
              <w:ind w:right="50"/>
              <w:jc w:val="right"/>
              <w:rPr>
                <w:sz w:val="13"/>
              </w:rPr>
            </w:pPr>
            <w:r>
              <w:rPr>
                <w:color w:val="231F20"/>
                <w:spacing w:val="-2"/>
                <w:sz w:val="13"/>
              </w:rPr>
              <w:t>17.86104</w:t>
            </w:r>
          </w:p>
        </w:tc>
        <w:tc>
          <w:tcPr>
            <w:tcW w:w="645" w:type="dxa"/>
          </w:tcPr>
          <w:p>
            <w:pPr>
              <w:pStyle w:val="TableParagraph"/>
              <w:spacing w:line="152" w:lineRule="exact"/>
              <w:ind w:right="45"/>
              <w:jc w:val="right"/>
              <w:rPr>
                <w:sz w:val="13"/>
              </w:rPr>
            </w:pPr>
            <w:r>
              <w:rPr>
                <w:color w:val="231F20"/>
                <w:spacing w:val="-2"/>
                <w:sz w:val="13"/>
              </w:rPr>
              <w:t>21.64475</w:t>
            </w:r>
          </w:p>
        </w:tc>
        <w:tc>
          <w:tcPr>
            <w:tcW w:w="644" w:type="dxa"/>
          </w:tcPr>
          <w:p>
            <w:pPr>
              <w:pStyle w:val="TableParagraph"/>
              <w:spacing w:line="152" w:lineRule="exact"/>
              <w:ind w:right="49"/>
              <w:jc w:val="right"/>
              <w:rPr>
                <w:sz w:val="13"/>
              </w:rPr>
            </w:pPr>
            <w:r>
              <w:rPr>
                <w:color w:val="231F20"/>
                <w:spacing w:val="-2"/>
                <w:sz w:val="13"/>
              </w:rPr>
              <w:t>26.18640</w:t>
            </w:r>
          </w:p>
        </w:tc>
        <w:tc>
          <w:tcPr>
            <w:tcW w:w="720" w:type="dxa"/>
          </w:tcPr>
          <w:p>
            <w:pPr>
              <w:pStyle w:val="TableParagraph"/>
              <w:spacing w:line="152" w:lineRule="exact"/>
              <w:ind w:right="49"/>
              <w:jc w:val="right"/>
              <w:rPr>
                <w:sz w:val="13"/>
              </w:rPr>
            </w:pPr>
            <w:r>
              <w:rPr>
                <w:color w:val="231F20"/>
                <w:spacing w:val="-2"/>
                <w:sz w:val="13"/>
              </w:rPr>
              <w:t>38.14206</w:t>
            </w:r>
          </w:p>
        </w:tc>
        <w:tc>
          <w:tcPr>
            <w:tcW w:w="720" w:type="dxa"/>
          </w:tcPr>
          <w:p>
            <w:pPr>
              <w:pStyle w:val="TableParagraph"/>
              <w:spacing w:line="152" w:lineRule="exact"/>
              <w:ind w:right="49"/>
              <w:jc w:val="right"/>
              <w:rPr>
                <w:sz w:val="13"/>
              </w:rPr>
            </w:pPr>
            <w:r>
              <w:rPr>
                <w:color w:val="231F20"/>
                <w:spacing w:val="-2"/>
                <w:sz w:val="13"/>
              </w:rPr>
              <w:t>55.20614</w:t>
            </w:r>
          </w:p>
        </w:tc>
        <w:tc>
          <w:tcPr>
            <w:tcW w:w="700" w:type="dxa"/>
          </w:tcPr>
          <w:p>
            <w:pPr>
              <w:pStyle w:val="TableParagraph"/>
              <w:spacing w:line="152" w:lineRule="exact"/>
              <w:ind w:right="31"/>
              <w:jc w:val="right"/>
              <w:rPr>
                <w:sz w:val="13"/>
              </w:rPr>
            </w:pPr>
            <w:r>
              <w:rPr>
                <w:color w:val="231F20"/>
                <w:spacing w:val="-2"/>
                <w:sz w:val="13"/>
              </w:rPr>
              <w:t>135.52527</w:t>
            </w:r>
          </w:p>
        </w:tc>
      </w:tr>
      <w:tr>
        <w:trPr>
          <w:trHeight w:val="189" w:hRule="atLeast"/>
        </w:trPr>
        <w:tc>
          <w:tcPr>
            <w:tcW w:w="290" w:type="dxa"/>
          </w:tcPr>
          <w:p>
            <w:pPr>
              <w:pStyle w:val="TableParagraph"/>
              <w:spacing w:line="152" w:lineRule="exact"/>
              <w:ind w:left="78" w:right="38"/>
              <w:rPr>
                <w:sz w:val="13"/>
              </w:rPr>
            </w:pPr>
            <w:r>
              <w:rPr>
                <w:color w:val="231F20"/>
                <w:spacing w:val="-5"/>
                <w:sz w:val="13"/>
              </w:rPr>
              <w:t>23</w:t>
            </w:r>
          </w:p>
        </w:tc>
        <w:tc>
          <w:tcPr>
            <w:tcW w:w="573" w:type="dxa"/>
          </w:tcPr>
          <w:p>
            <w:pPr>
              <w:pStyle w:val="TableParagraph"/>
              <w:spacing w:line="152" w:lineRule="exact"/>
              <w:ind w:left="45" w:right="42"/>
              <w:rPr>
                <w:sz w:val="13"/>
              </w:rPr>
            </w:pPr>
            <w:r>
              <w:rPr>
                <w:color w:val="231F20"/>
                <w:spacing w:val="-2"/>
                <w:sz w:val="13"/>
              </w:rPr>
              <w:t>1.25716</w:t>
            </w:r>
          </w:p>
        </w:tc>
        <w:tc>
          <w:tcPr>
            <w:tcW w:w="570" w:type="dxa"/>
          </w:tcPr>
          <w:p>
            <w:pPr>
              <w:pStyle w:val="TableParagraph"/>
              <w:spacing w:line="152" w:lineRule="exact"/>
              <w:ind w:left="39" w:right="39"/>
              <w:rPr>
                <w:sz w:val="13"/>
              </w:rPr>
            </w:pPr>
            <w:r>
              <w:rPr>
                <w:color w:val="231F20"/>
                <w:spacing w:val="-2"/>
                <w:sz w:val="13"/>
              </w:rPr>
              <w:t>1.57690</w:t>
            </w:r>
          </w:p>
        </w:tc>
        <w:tc>
          <w:tcPr>
            <w:tcW w:w="575" w:type="dxa"/>
          </w:tcPr>
          <w:p>
            <w:pPr>
              <w:pStyle w:val="TableParagraph"/>
              <w:spacing w:line="152" w:lineRule="exact"/>
              <w:ind w:left="40" w:right="42"/>
              <w:rPr>
                <w:sz w:val="13"/>
              </w:rPr>
            </w:pPr>
            <w:r>
              <w:rPr>
                <w:color w:val="231F20"/>
                <w:spacing w:val="-2"/>
                <w:sz w:val="13"/>
              </w:rPr>
              <w:t>1.97359</w:t>
            </w:r>
          </w:p>
        </w:tc>
        <w:tc>
          <w:tcPr>
            <w:tcW w:w="575" w:type="dxa"/>
          </w:tcPr>
          <w:p>
            <w:pPr>
              <w:pStyle w:val="TableParagraph"/>
              <w:spacing w:line="152" w:lineRule="exact"/>
              <w:ind w:left="44" w:right="39"/>
              <w:rPr>
                <w:sz w:val="13"/>
              </w:rPr>
            </w:pPr>
            <w:r>
              <w:rPr>
                <w:color w:val="231F20"/>
                <w:spacing w:val="-2"/>
                <w:sz w:val="13"/>
              </w:rPr>
              <w:t>2.46472</w:t>
            </w:r>
          </w:p>
        </w:tc>
        <w:tc>
          <w:tcPr>
            <w:tcW w:w="565" w:type="dxa"/>
          </w:tcPr>
          <w:p>
            <w:pPr>
              <w:pStyle w:val="TableParagraph"/>
              <w:spacing w:line="152" w:lineRule="exact"/>
              <w:ind w:left="42" w:right="37"/>
              <w:rPr>
                <w:sz w:val="13"/>
              </w:rPr>
            </w:pPr>
            <w:r>
              <w:rPr>
                <w:color w:val="231F20"/>
                <w:spacing w:val="-2"/>
                <w:sz w:val="13"/>
              </w:rPr>
              <w:t>3.07152</w:t>
            </w:r>
          </w:p>
        </w:tc>
        <w:tc>
          <w:tcPr>
            <w:tcW w:w="570" w:type="dxa"/>
          </w:tcPr>
          <w:p>
            <w:pPr>
              <w:pStyle w:val="TableParagraph"/>
              <w:spacing w:line="152" w:lineRule="exact"/>
              <w:ind w:left="36" w:right="42"/>
              <w:rPr>
                <w:sz w:val="13"/>
              </w:rPr>
            </w:pPr>
            <w:r>
              <w:rPr>
                <w:color w:val="231F20"/>
                <w:spacing w:val="-2"/>
                <w:sz w:val="13"/>
              </w:rPr>
              <w:t>3.81975</w:t>
            </w:r>
          </w:p>
        </w:tc>
        <w:tc>
          <w:tcPr>
            <w:tcW w:w="574" w:type="dxa"/>
          </w:tcPr>
          <w:p>
            <w:pPr>
              <w:pStyle w:val="TableParagraph"/>
              <w:spacing w:line="152" w:lineRule="exact"/>
              <w:ind w:left="48" w:right="41"/>
              <w:rPr>
                <w:sz w:val="13"/>
              </w:rPr>
            </w:pPr>
            <w:r>
              <w:rPr>
                <w:color w:val="231F20"/>
                <w:spacing w:val="-2"/>
                <w:sz w:val="13"/>
              </w:rPr>
              <w:t>4.74053</w:t>
            </w:r>
          </w:p>
        </w:tc>
        <w:tc>
          <w:tcPr>
            <w:tcW w:w="645" w:type="dxa"/>
          </w:tcPr>
          <w:p>
            <w:pPr>
              <w:pStyle w:val="TableParagraph"/>
              <w:spacing w:line="152" w:lineRule="exact"/>
              <w:ind w:right="51"/>
              <w:jc w:val="right"/>
              <w:rPr>
                <w:sz w:val="13"/>
              </w:rPr>
            </w:pPr>
            <w:r>
              <w:rPr>
                <w:color w:val="231F20"/>
                <w:spacing w:val="-2"/>
                <w:sz w:val="13"/>
              </w:rPr>
              <w:t>5.87146</w:t>
            </w:r>
          </w:p>
        </w:tc>
        <w:tc>
          <w:tcPr>
            <w:tcW w:w="660" w:type="dxa"/>
          </w:tcPr>
          <w:p>
            <w:pPr>
              <w:pStyle w:val="TableParagraph"/>
              <w:spacing w:line="152" w:lineRule="exact"/>
              <w:ind w:right="61"/>
              <w:jc w:val="right"/>
              <w:rPr>
                <w:sz w:val="13"/>
              </w:rPr>
            </w:pPr>
            <w:r>
              <w:rPr>
                <w:color w:val="231F20"/>
                <w:spacing w:val="-2"/>
                <w:sz w:val="13"/>
              </w:rPr>
              <w:t>7.25787</w:t>
            </w:r>
          </w:p>
        </w:tc>
        <w:tc>
          <w:tcPr>
            <w:tcW w:w="620" w:type="dxa"/>
          </w:tcPr>
          <w:p>
            <w:pPr>
              <w:pStyle w:val="TableParagraph"/>
              <w:spacing w:line="152" w:lineRule="exact"/>
              <w:ind w:left="109" w:right="26"/>
              <w:rPr>
                <w:sz w:val="13"/>
              </w:rPr>
            </w:pPr>
            <w:r>
              <w:rPr>
                <w:color w:val="231F20"/>
                <w:spacing w:val="-2"/>
                <w:sz w:val="13"/>
              </w:rPr>
              <w:t>8.95430</w:t>
            </w:r>
          </w:p>
        </w:tc>
        <w:tc>
          <w:tcPr>
            <w:tcW w:w="670" w:type="dxa"/>
          </w:tcPr>
          <w:p>
            <w:pPr>
              <w:pStyle w:val="TableParagraph"/>
              <w:spacing w:line="152" w:lineRule="exact"/>
              <w:ind w:right="41"/>
              <w:jc w:val="right"/>
              <w:rPr>
                <w:sz w:val="13"/>
              </w:rPr>
            </w:pPr>
            <w:r>
              <w:rPr>
                <w:color w:val="231F20"/>
                <w:spacing w:val="-2"/>
                <w:sz w:val="13"/>
              </w:rPr>
              <w:t>13.55235</w:t>
            </w:r>
          </w:p>
        </w:tc>
        <w:tc>
          <w:tcPr>
            <w:tcW w:w="640" w:type="dxa"/>
          </w:tcPr>
          <w:p>
            <w:pPr>
              <w:pStyle w:val="TableParagraph"/>
              <w:spacing w:line="152" w:lineRule="exact"/>
              <w:ind w:right="50"/>
              <w:jc w:val="right"/>
              <w:rPr>
                <w:sz w:val="13"/>
              </w:rPr>
            </w:pPr>
            <w:r>
              <w:rPr>
                <w:color w:val="231F20"/>
                <w:spacing w:val="-2"/>
                <w:sz w:val="13"/>
              </w:rPr>
              <w:t>20.36158</w:t>
            </w:r>
          </w:p>
        </w:tc>
        <w:tc>
          <w:tcPr>
            <w:tcW w:w="645" w:type="dxa"/>
          </w:tcPr>
          <w:p>
            <w:pPr>
              <w:pStyle w:val="TableParagraph"/>
              <w:spacing w:line="152" w:lineRule="exact"/>
              <w:ind w:right="45"/>
              <w:jc w:val="right"/>
              <w:rPr>
                <w:sz w:val="13"/>
              </w:rPr>
            </w:pPr>
            <w:r>
              <w:rPr>
                <w:color w:val="231F20"/>
                <w:spacing w:val="-2"/>
                <w:sz w:val="13"/>
              </w:rPr>
              <w:t>24.89146</w:t>
            </w:r>
          </w:p>
        </w:tc>
        <w:tc>
          <w:tcPr>
            <w:tcW w:w="644" w:type="dxa"/>
          </w:tcPr>
          <w:p>
            <w:pPr>
              <w:pStyle w:val="TableParagraph"/>
              <w:spacing w:line="152" w:lineRule="exact"/>
              <w:ind w:right="49"/>
              <w:jc w:val="right"/>
              <w:rPr>
                <w:sz w:val="13"/>
              </w:rPr>
            </w:pPr>
            <w:r>
              <w:rPr>
                <w:color w:val="231F20"/>
                <w:spacing w:val="-2"/>
                <w:sz w:val="13"/>
              </w:rPr>
              <w:t>30.37622</w:t>
            </w:r>
          </w:p>
        </w:tc>
        <w:tc>
          <w:tcPr>
            <w:tcW w:w="720" w:type="dxa"/>
          </w:tcPr>
          <w:p>
            <w:pPr>
              <w:pStyle w:val="TableParagraph"/>
              <w:spacing w:line="152" w:lineRule="exact"/>
              <w:ind w:right="49"/>
              <w:jc w:val="right"/>
              <w:rPr>
                <w:sz w:val="13"/>
              </w:rPr>
            </w:pPr>
            <w:r>
              <w:rPr>
                <w:color w:val="231F20"/>
                <w:spacing w:val="-2"/>
                <w:sz w:val="13"/>
              </w:rPr>
              <w:t>45.00763</w:t>
            </w:r>
          </w:p>
        </w:tc>
        <w:tc>
          <w:tcPr>
            <w:tcW w:w="720" w:type="dxa"/>
          </w:tcPr>
          <w:p>
            <w:pPr>
              <w:pStyle w:val="TableParagraph"/>
              <w:spacing w:line="152" w:lineRule="exact"/>
              <w:ind w:right="49"/>
              <w:jc w:val="right"/>
              <w:rPr>
                <w:sz w:val="13"/>
              </w:rPr>
            </w:pPr>
            <w:r>
              <w:rPr>
                <w:color w:val="231F20"/>
                <w:spacing w:val="-2"/>
                <w:sz w:val="13"/>
              </w:rPr>
              <w:t>66.24737</w:t>
            </w:r>
          </w:p>
        </w:tc>
        <w:tc>
          <w:tcPr>
            <w:tcW w:w="700" w:type="dxa"/>
          </w:tcPr>
          <w:p>
            <w:pPr>
              <w:pStyle w:val="TableParagraph"/>
              <w:spacing w:line="152" w:lineRule="exact"/>
              <w:ind w:right="31"/>
              <w:jc w:val="right"/>
              <w:rPr>
                <w:sz w:val="13"/>
              </w:rPr>
            </w:pPr>
            <w:r>
              <w:rPr>
                <w:color w:val="231F20"/>
                <w:spacing w:val="-2"/>
                <w:sz w:val="13"/>
              </w:rPr>
              <w:t>169.40659</w:t>
            </w:r>
          </w:p>
        </w:tc>
      </w:tr>
      <w:tr>
        <w:trPr>
          <w:trHeight w:val="189" w:hRule="atLeast"/>
        </w:trPr>
        <w:tc>
          <w:tcPr>
            <w:tcW w:w="290" w:type="dxa"/>
          </w:tcPr>
          <w:p>
            <w:pPr>
              <w:pStyle w:val="TableParagraph"/>
              <w:spacing w:line="152" w:lineRule="exact"/>
              <w:ind w:left="78" w:right="38"/>
              <w:rPr>
                <w:sz w:val="13"/>
              </w:rPr>
            </w:pPr>
            <w:r>
              <w:rPr>
                <w:color w:val="231F20"/>
                <w:spacing w:val="-5"/>
                <w:sz w:val="13"/>
              </w:rPr>
              <w:t>24</w:t>
            </w:r>
          </w:p>
        </w:tc>
        <w:tc>
          <w:tcPr>
            <w:tcW w:w="573" w:type="dxa"/>
          </w:tcPr>
          <w:p>
            <w:pPr>
              <w:pStyle w:val="TableParagraph"/>
              <w:spacing w:line="152" w:lineRule="exact"/>
              <w:ind w:left="45" w:right="42"/>
              <w:rPr>
                <w:sz w:val="13"/>
              </w:rPr>
            </w:pPr>
            <w:r>
              <w:rPr>
                <w:color w:val="231F20"/>
                <w:spacing w:val="-2"/>
                <w:sz w:val="13"/>
              </w:rPr>
              <w:t>1.26973</w:t>
            </w:r>
          </w:p>
        </w:tc>
        <w:tc>
          <w:tcPr>
            <w:tcW w:w="570" w:type="dxa"/>
          </w:tcPr>
          <w:p>
            <w:pPr>
              <w:pStyle w:val="TableParagraph"/>
              <w:spacing w:line="152" w:lineRule="exact"/>
              <w:ind w:left="39" w:right="39"/>
              <w:rPr>
                <w:sz w:val="13"/>
              </w:rPr>
            </w:pPr>
            <w:r>
              <w:rPr>
                <w:color w:val="231F20"/>
                <w:spacing w:val="-2"/>
                <w:sz w:val="13"/>
              </w:rPr>
              <w:t>1.60844</w:t>
            </w:r>
          </w:p>
        </w:tc>
        <w:tc>
          <w:tcPr>
            <w:tcW w:w="575" w:type="dxa"/>
          </w:tcPr>
          <w:p>
            <w:pPr>
              <w:pStyle w:val="TableParagraph"/>
              <w:spacing w:line="152" w:lineRule="exact"/>
              <w:ind w:left="40" w:right="42"/>
              <w:rPr>
                <w:sz w:val="13"/>
              </w:rPr>
            </w:pPr>
            <w:r>
              <w:rPr>
                <w:color w:val="231F20"/>
                <w:spacing w:val="-2"/>
                <w:sz w:val="13"/>
              </w:rPr>
              <w:t>2.03279</w:t>
            </w:r>
          </w:p>
        </w:tc>
        <w:tc>
          <w:tcPr>
            <w:tcW w:w="575" w:type="dxa"/>
          </w:tcPr>
          <w:p>
            <w:pPr>
              <w:pStyle w:val="TableParagraph"/>
              <w:spacing w:line="152" w:lineRule="exact"/>
              <w:ind w:left="44" w:right="39"/>
              <w:rPr>
                <w:sz w:val="13"/>
              </w:rPr>
            </w:pPr>
            <w:r>
              <w:rPr>
                <w:color w:val="231F20"/>
                <w:spacing w:val="-2"/>
                <w:sz w:val="13"/>
              </w:rPr>
              <w:t>2.56330</w:t>
            </w:r>
          </w:p>
        </w:tc>
        <w:tc>
          <w:tcPr>
            <w:tcW w:w="565" w:type="dxa"/>
          </w:tcPr>
          <w:p>
            <w:pPr>
              <w:pStyle w:val="TableParagraph"/>
              <w:spacing w:line="152" w:lineRule="exact"/>
              <w:ind w:left="42" w:right="37"/>
              <w:rPr>
                <w:sz w:val="13"/>
              </w:rPr>
            </w:pPr>
            <w:r>
              <w:rPr>
                <w:color w:val="231F20"/>
                <w:spacing w:val="-2"/>
                <w:sz w:val="13"/>
              </w:rPr>
              <w:t>3.22510</w:t>
            </w:r>
          </w:p>
        </w:tc>
        <w:tc>
          <w:tcPr>
            <w:tcW w:w="570" w:type="dxa"/>
          </w:tcPr>
          <w:p>
            <w:pPr>
              <w:pStyle w:val="TableParagraph"/>
              <w:spacing w:line="152" w:lineRule="exact"/>
              <w:ind w:left="36" w:right="42"/>
              <w:rPr>
                <w:sz w:val="13"/>
              </w:rPr>
            </w:pPr>
            <w:r>
              <w:rPr>
                <w:color w:val="231F20"/>
                <w:spacing w:val="-2"/>
                <w:sz w:val="13"/>
              </w:rPr>
              <w:t>4.04893</w:t>
            </w:r>
          </w:p>
        </w:tc>
        <w:tc>
          <w:tcPr>
            <w:tcW w:w="574" w:type="dxa"/>
          </w:tcPr>
          <w:p>
            <w:pPr>
              <w:pStyle w:val="TableParagraph"/>
              <w:spacing w:line="152" w:lineRule="exact"/>
              <w:ind w:left="48" w:right="41"/>
              <w:rPr>
                <w:sz w:val="13"/>
              </w:rPr>
            </w:pPr>
            <w:r>
              <w:rPr>
                <w:color w:val="231F20"/>
                <w:spacing w:val="-2"/>
                <w:sz w:val="13"/>
              </w:rPr>
              <w:t>5.07237</w:t>
            </w:r>
          </w:p>
        </w:tc>
        <w:tc>
          <w:tcPr>
            <w:tcW w:w="645" w:type="dxa"/>
          </w:tcPr>
          <w:p>
            <w:pPr>
              <w:pStyle w:val="TableParagraph"/>
              <w:spacing w:line="152" w:lineRule="exact"/>
              <w:ind w:right="51"/>
              <w:jc w:val="right"/>
              <w:rPr>
                <w:sz w:val="13"/>
              </w:rPr>
            </w:pPr>
            <w:r>
              <w:rPr>
                <w:color w:val="231F20"/>
                <w:spacing w:val="-2"/>
                <w:sz w:val="13"/>
              </w:rPr>
              <w:t>6.34118</w:t>
            </w:r>
          </w:p>
        </w:tc>
        <w:tc>
          <w:tcPr>
            <w:tcW w:w="660" w:type="dxa"/>
          </w:tcPr>
          <w:p>
            <w:pPr>
              <w:pStyle w:val="TableParagraph"/>
              <w:spacing w:line="152" w:lineRule="exact"/>
              <w:ind w:right="61"/>
              <w:jc w:val="right"/>
              <w:rPr>
                <w:sz w:val="13"/>
              </w:rPr>
            </w:pPr>
            <w:r>
              <w:rPr>
                <w:color w:val="231F20"/>
                <w:spacing w:val="-2"/>
                <w:sz w:val="13"/>
              </w:rPr>
              <w:t>7.91108</w:t>
            </w:r>
          </w:p>
        </w:tc>
        <w:tc>
          <w:tcPr>
            <w:tcW w:w="620" w:type="dxa"/>
          </w:tcPr>
          <w:p>
            <w:pPr>
              <w:pStyle w:val="TableParagraph"/>
              <w:spacing w:line="152" w:lineRule="exact"/>
              <w:ind w:left="109" w:right="26"/>
              <w:rPr>
                <w:sz w:val="13"/>
              </w:rPr>
            </w:pPr>
            <w:r>
              <w:rPr>
                <w:color w:val="231F20"/>
                <w:spacing w:val="-2"/>
                <w:sz w:val="13"/>
              </w:rPr>
              <w:t>9.84973</w:t>
            </w:r>
          </w:p>
        </w:tc>
        <w:tc>
          <w:tcPr>
            <w:tcW w:w="670" w:type="dxa"/>
          </w:tcPr>
          <w:p>
            <w:pPr>
              <w:pStyle w:val="TableParagraph"/>
              <w:spacing w:line="152" w:lineRule="exact"/>
              <w:ind w:right="41"/>
              <w:jc w:val="right"/>
              <w:rPr>
                <w:sz w:val="13"/>
              </w:rPr>
            </w:pPr>
            <w:r>
              <w:rPr>
                <w:color w:val="231F20"/>
                <w:spacing w:val="-2"/>
                <w:sz w:val="13"/>
              </w:rPr>
              <w:t>15.17863</w:t>
            </w:r>
          </w:p>
        </w:tc>
        <w:tc>
          <w:tcPr>
            <w:tcW w:w="640" w:type="dxa"/>
          </w:tcPr>
          <w:p>
            <w:pPr>
              <w:pStyle w:val="TableParagraph"/>
              <w:spacing w:line="152" w:lineRule="exact"/>
              <w:ind w:right="50"/>
              <w:jc w:val="right"/>
              <w:rPr>
                <w:sz w:val="13"/>
              </w:rPr>
            </w:pPr>
            <w:r>
              <w:rPr>
                <w:color w:val="231F20"/>
                <w:spacing w:val="-2"/>
                <w:sz w:val="13"/>
              </w:rPr>
              <w:t>23.21221</w:t>
            </w:r>
          </w:p>
        </w:tc>
        <w:tc>
          <w:tcPr>
            <w:tcW w:w="645" w:type="dxa"/>
          </w:tcPr>
          <w:p>
            <w:pPr>
              <w:pStyle w:val="TableParagraph"/>
              <w:spacing w:line="152" w:lineRule="exact"/>
              <w:ind w:right="45"/>
              <w:jc w:val="right"/>
              <w:rPr>
                <w:sz w:val="13"/>
              </w:rPr>
            </w:pPr>
            <w:r>
              <w:rPr>
                <w:color w:val="231F20"/>
                <w:spacing w:val="-2"/>
                <w:sz w:val="13"/>
              </w:rPr>
              <w:t>28.82518</w:t>
            </w:r>
          </w:p>
        </w:tc>
        <w:tc>
          <w:tcPr>
            <w:tcW w:w="644" w:type="dxa"/>
          </w:tcPr>
          <w:p>
            <w:pPr>
              <w:pStyle w:val="TableParagraph"/>
              <w:spacing w:line="152" w:lineRule="exact"/>
              <w:ind w:right="49"/>
              <w:jc w:val="right"/>
              <w:rPr>
                <w:sz w:val="13"/>
              </w:rPr>
            </w:pPr>
            <w:r>
              <w:rPr>
                <w:color w:val="231F20"/>
                <w:spacing w:val="-2"/>
                <w:sz w:val="13"/>
              </w:rPr>
              <w:t>35.23642</w:t>
            </w:r>
          </w:p>
        </w:tc>
        <w:tc>
          <w:tcPr>
            <w:tcW w:w="720" w:type="dxa"/>
          </w:tcPr>
          <w:p>
            <w:pPr>
              <w:pStyle w:val="TableParagraph"/>
              <w:spacing w:line="152" w:lineRule="exact"/>
              <w:ind w:right="49"/>
              <w:jc w:val="right"/>
              <w:rPr>
                <w:sz w:val="13"/>
              </w:rPr>
            </w:pPr>
            <w:r>
              <w:rPr>
                <w:color w:val="231F20"/>
                <w:spacing w:val="-2"/>
                <w:sz w:val="13"/>
              </w:rPr>
              <w:t>53.10901</w:t>
            </w:r>
          </w:p>
        </w:tc>
        <w:tc>
          <w:tcPr>
            <w:tcW w:w="720" w:type="dxa"/>
          </w:tcPr>
          <w:p>
            <w:pPr>
              <w:pStyle w:val="TableParagraph"/>
              <w:spacing w:line="152" w:lineRule="exact"/>
              <w:ind w:right="49"/>
              <w:jc w:val="right"/>
              <w:rPr>
                <w:sz w:val="13"/>
              </w:rPr>
            </w:pPr>
            <w:r>
              <w:rPr>
                <w:color w:val="231F20"/>
                <w:spacing w:val="-2"/>
                <w:sz w:val="13"/>
              </w:rPr>
              <w:t>79.49685</w:t>
            </w:r>
          </w:p>
        </w:tc>
        <w:tc>
          <w:tcPr>
            <w:tcW w:w="700" w:type="dxa"/>
          </w:tcPr>
          <w:p>
            <w:pPr>
              <w:pStyle w:val="TableParagraph"/>
              <w:spacing w:line="152" w:lineRule="exact"/>
              <w:ind w:right="31"/>
              <w:jc w:val="right"/>
              <w:rPr>
                <w:sz w:val="13"/>
              </w:rPr>
            </w:pPr>
            <w:r>
              <w:rPr>
                <w:color w:val="231F20"/>
                <w:spacing w:val="-2"/>
                <w:sz w:val="13"/>
              </w:rPr>
              <w:t>211.75824</w:t>
            </w:r>
          </w:p>
        </w:tc>
      </w:tr>
      <w:tr>
        <w:trPr>
          <w:trHeight w:val="237" w:hRule="atLeast"/>
        </w:trPr>
        <w:tc>
          <w:tcPr>
            <w:tcW w:w="290" w:type="dxa"/>
          </w:tcPr>
          <w:p>
            <w:pPr>
              <w:pStyle w:val="TableParagraph"/>
              <w:ind w:left="78" w:right="38"/>
              <w:rPr>
                <w:sz w:val="13"/>
              </w:rPr>
            </w:pPr>
            <w:r>
              <w:rPr>
                <w:color w:val="231F20"/>
                <w:spacing w:val="-5"/>
                <w:sz w:val="13"/>
              </w:rPr>
              <w:t>25</w:t>
            </w:r>
          </w:p>
        </w:tc>
        <w:tc>
          <w:tcPr>
            <w:tcW w:w="573" w:type="dxa"/>
          </w:tcPr>
          <w:p>
            <w:pPr>
              <w:pStyle w:val="TableParagraph"/>
              <w:ind w:left="45" w:right="42"/>
              <w:rPr>
                <w:sz w:val="13"/>
              </w:rPr>
            </w:pPr>
            <w:r>
              <w:rPr>
                <w:color w:val="231F20"/>
                <w:spacing w:val="-2"/>
                <w:sz w:val="13"/>
              </w:rPr>
              <w:t>1.28243</w:t>
            </w:r>
          </w:p>
        </w:tc>
        <w:tc>
          <w:tcPr>
            <w:tcW w:w="570" w:type="dxa"/>
          </w:tcPr>
          <w:p>
            <w:pPr>
              <w:pStyle w:val="TableParagraph"/>
              <w:ind w:left="39" w:right="39"/>
              <w:rPr>
                <w:sz w:val="13"/>
              </w:rPr>
            </w:pPr>
            <w:r>
              <w:rPr>
                <w:color w:val="231F20"/>
                <w:spacing w:val="-2"/>
                <w:sz w:val="13"/>
              </w:rPr>
              <w:t>1.64061</w:t>
            </w:r>
          </w:p>
        </w:tc>
        <w:tc>
          <w:tcPr>
            <w:tcW w:w="575" w:type="dxa"/>
          </w:tcPr>
          <w:p>
            <w:pPr>
              <w:pStyle w:val="TableParagraph"/>
              <w:ind w:left="40" w:right="42"/>
              <w:rPr>
                <w:sz w:val="13"/>
              </w:rPr>
            </w:pPr>
            <w:r>
              <w:rPr>
                <w:color w:val="231F20"/>
                <w:spacing w:val="-2"/>
                <w:sz w:val="13"/>
              </w:rPr>
              <w:t>2.09378</w:t>
            </w:r>
          </w:p>
        </w:tc>
        <w:tc>
          <w:tcPr>
            <w:tcW w:w="575" w:type="dxa"/>
          </w:tcPr>
          <w:p>
            <w:pPr>
              <w:pStyle w:val="TableParagraph"/>
              <w:ind w:left="44" w:right="39"/>
              <w:rPr>
                <w:sz w:val="13"/>
              </w:rPr>
            </w:pPr>
            <w:r>
              <w:rPr>
                <w:color w:val="231F20"/>
                <w:spacing w:val="-2"/>
                <w:sz w:val="13"/>
              </w:rPr>
              <w:t>2.66584</w:t>
            </w:r>
          </w:p>
        </w:tc>
        <w:tc>
          <w:tcPr>
            <w:tcW w:w="565" w:type="dxa"/>
          </w:tcPr>
          <w:p>
            <w:pPr>
              <w:pStyle w:val="TableParagraph"/>
              <w:ind w:left="42" w:right="37"/>
              <w:rPr>
                <w:sz w:val="13"/>
              </w:rPr>
            </w:pPr>
            <w:r>
              <w:rPr>
                <w:color w:val="231F20"/>
                <w:spacing w:val="-2"/>
                <w:sz w:val="13"/>
              </w:rPr>
              <w:t>3.38635</w:t>
            </w:r>
          </w:p>
        </w:tc>
        <w:tc>
          <w:tcPr>
            <w:tcW w:w="570" w:type="dxa"/>
          </w:tcPr>
          <w:p>
            <w:pPr>
              <w:pStyle w:val="TableParagraph"/>
              <w:ind w:left="36" w:right="42"/>
              <w:rPr>
                <w:sz w:val="13"/>
              </w:rPr>
            </w:pPr>
            <w:r>
              <w:rPr>
                <w:color w:val="231F20"/>
                <w:spacing w:val="-2"/>
                <w:sz w:val="13"/>
              </w:rPr>
              <w:t>4.29187</w:t>
            </w:r>
          </w:p>
        </w:tc>
        <w:tc>
          <w:tcPr>
            <w:tcW w:w="574" w:type="dxa"/>
          </w:tcPr>
          <w:p>
            <w:pPr>
              <w:pStyle w:val="TableParagraph"/>
              <w:ind w:left="48" w:right="41"/>
              <w:rPr>
                <w:sz w:val="13"/>
              </w:rPr>
            </w:pPr>
            <w:r>
              <w:rPr>
                <w:color w:val="231F20"/>
                <w:spacing w:val="-2"/>
                <w:sz w:val="13"/>
              </w:rPr>
              <w:t>5.42743</w:t>
            </w:r>
          </w:p>
        </w:tc>
        <w:tc>
          <w:tcPr>
            <w:tcW w:w="645" w:type="dxa"/>
          </w:tcPr>
          <w:p>
            <w:pPr>
              <w:pStyle w:val="TableParagraph"/>
              <w:ind w:right="51"/>
              <w:jc w:val="right"/>
              <w:rPr>
                <w:sz w:val="13"/>
              </w:rPr>
            </w:pPr>
            <w:r>
              <w:rPr>
                <w:color w:val="231F20"/>
                <w:spacing w:val="-2"/>
                <w:sz w:val="13"/>
              </w:rPr>
              <w:t>6.84848</w:t>
            </w:r>
          </w:p>
        </w:tc>
        <w:tc>
          <w:tcPr>
            <w:tcW w:w="660" w:type="dxa"/>
          </w:tcPr>
          <w:p>
            <w:pPr>
              <w:pStyle w:val="TableParagraph"/>
              <w:ind w:right="61"/>
              <w:jc w:val="right"/>
              <w:rPr>
                <w:sz w:val="13"/>
              </w:rPr>
            </w:pPr>
            <w:r>
              <w:rPr>
                <w:color w:val="231F20"/>
                <w:spacing w:val="-2"/>
                <w:sz w:val="13"/>
              </w:rPr>
              <w:t>8.62308</w:t>
            </w:r>
          </w:p>
        </w:tc>
        <w:tc>
          <w:tcPr>
            <w:tcW w:w="620" w:type="dxa"/>
          </w:tcPr>
          <w:p>
            <w:pPr>
              <w:pStyle w:val="TableParagraph"/>
              <w:ind w:left="37" w:right="26"/>
              <w:rPr>
                <w:sz w:val="13"/>
              </w:rPr>
            </w:pPr>
            <w:r>
              <w:rPr>
                <w:color w:val="231F20"/>
                <w:spacing w:val="-2"/>
                <w:sz w:val="13"/>
              </w:rPr>
              <w:t>10.83471</w:t>
            </w:r>
          </w:p>
        </w:tc>
        <w:tc>
          <w:tcPr>
            <w:tcW w:w="670" w:type="dxa"/>
          </w:tcPr>
          <w:p>
            <w:pPr>
              <w:pStyle w:val="TableParagraph"/>
              <w:ind w:right="42"/>
              <w:jc w:val="right"/>
              <w:rPr>
                <w:sz w:val="13"/>
              </w:rPr>
            </w:pPr>
            <w:r>
              <w:rPr>
                <w:color w:val="231F20"/>
                <w:spacing w:val="-2"/>
                <w:sz w:val="13"/>
              </w:rPr>
              <w:t>17.00006</w:t>
            </w:r>
          </w:p>
        </w:tc>
        <w:tc>
          <w:tcPr>
            <w:tcW w:w="640" w:type="dxa"/>
          </w:tcPr>
          <w:p>
            <w:pPr>
              <w:pStyle w:val="TableParagraph"/>
              <w:ind w:right="50"/>
              <w:jc w:val="right"/>
              <w:rPr>
                <w:sz w:val="13"/>
              </w:rPr>
            </w:pPr>
            <w:r>
              <w:rPr>
                <w:color w:val="231F20"/>
                <w:spacing w:val="-2"/>
                <w:sz w:val="13"/>
              </w:rPr>
              <w:t>26.46192</w:t>
            </w:r>
          </w:p>
        </w:tc>
        <w:tc>
          <w:tcPr>
            <w:tcW w:w="645" w:type="dxa"/>
          </w:tcPr>
          <w:p>
            <w:pPr>
              <w:pStyle w:val="TableParagraph"/>
              <w:ind w:right="45"/>
              <w:jc w:val="right"/>
              <w:rPr>
                <w:sz w:val="13"/>
              </w:rPr>
            </w:pPr>
            <w:r>
              <w:rPr>
                <w:color w:val="231F20"/>
                <w:spacing w:val="-2"/>
                <w:sz w:val="13"/>
              </w:rPr>
              <w:t>32.91895</w:t>
            </w:r>
          </w:p>
        </w:tc>
        <w:tc>
          <w:tcPr>
            <w:tcW w:w="644" w:type="dxa"/>
          </w:tcPr>
          <w:p>
            <w:pPr>
              <w:pStyle w:val="TableParagraph"/>
              <w:ind w:right="49"/>
              <w:jc w:val="right"/>
              <w:rPr>
                <w:sz w:val="13"/>
              </w:rPr>
            </w:pPr>
            <w:r>
              <w:rPr>
                <w:color w:val="231F20"/>
                <w:spacing w:val="-2"/>
                <w:sz w:val="13"/>
              </w:rPr>
              <w:t>40.87424</w:t>
            </w:r>
          </w:p>
        </w:tc>
        <w:tc>
          <w:tcPr>
            <w:tcW w:w="720" w:type="dxa"/>
          </w:tcPr>
          <w:p>
            <w:pPr>
              <w:pStyle w:val="TableParagraph"/>
              <w:ind w:right="49"/>
              <w:jc w:val="right"/>
              <w:rPr>
                <w:sz w:val="13"/>
              </w:rPr>
            </w:pPr>
            <w:r>
              <w:rPr>
                <w:color w:val="231F20"/>
                <w:spacing w:val="-2"/>
                <w:sz w:val="13"/>
              </w:rPr>
              <w:t>62.66863</w:t>
            </w:r>
          </w:p>
        </w:tc>
        <w:tc>
          <w:tcPr>
            <w:tcW w:w="720" w:type="dxa"/>
          </w:tcPr>
          <w:p>
            <w:pPr>
              <w:pStyle w:val="TableParagraph"/>
              <w:ind w:right="49"/>
              <w:jc w:val="right"/>
              <w:rPr>
                <w:sz w:val="13"/>
              </w:rPr>
            </w:pPr>
            <w:r>
              <w:rPr>
                <w:color w:val="231F20"/>
                <w:spacing w:val="-2"/>
                <w:sz w:val="13"/>
              </w:rPr>
              <w:t>95.39622</w:t>
            </w:r>
          </w:p>
        </w:tc>
        <w:tc>
          <w:tcPr>
            <w:tcW w:w="700" w:type="dxa"/>
          </w:tcPr>
          <w:p>
            <w:pPr>
              <w:pStyle w:val="TableParagraph"/>
              <w:ind w:right="31"/>
              <w:jc w:val="right"/>
              <w:rPr>
                <w:sz w:val="13"/>
              </w:rPr>
            </w:pPr>
            <w:r>
              <w:rPr>
                <w:color w:val="231F20"/>
                <w:spacing w:val="-2"/>
                <w:sz w:val="13"/>
              </w:rPr>
              <w:t>264.69780</w:t>
            </w:r>
          </w:p>
        </w:tc>
      </w:tr>
      <w:tr>
        <w:trPr>
          <w:trHeight w:val="237" w:hRule="atLeast"/>
        </w:trPr>
        <w:tc>
          <w:tcPr>
            <w:tcW w:w="290" w:type="dxa"/>
          </w:tcPr>
          <w:p>
            <w:pPr>
              <w:pStyle w:val="TableParagraph"/>
              <w:spacing w:line="152" w:lineRule="exact" w:before="65"/>
              <w:ind w:left="78" w:right="38"/>
              <w:rPr>
                <w:sz w:val="13"/>
              </w:rPr>
            </w:pPr>
            <w:r>
              <w:rPr>
                <w:color w:val="231F20"/>
                <w:spacing w:val="-5"/>
                <w:sz w:val="13"/>
              </w:rPr>
              <w:t>26</w:t>
            </w:r>
          </w:p>
        </w:tc>
        <w:tc>
          <w:tcPr>
            <w:tcW w:w="573" w:type="dxa"/>
          </w:tcPr>
          <w:p>
            <w:pPr>
              <w:pStyle w:val="TableParagraph"/>
              <w:spacing w:line="152" w:lineRule="exact" w:before="65"/>
              <w:ind w:left="45" w:right="42"/>
              <w:rPr>
                <w:sz w:val="13"/>
              </w:rPr>
            </w:pPr>
            <w:r>
              <w:rPr>
                <w:color w:val="231F20"/>
                <w:spacing w:val="-2"/>
                <w:sz w:val="13"/>
              </w:rPr>
              <w:t>1.29526</w:t>
            </w:r>
          </w:p>
        </w:tc>
        <w:tc>
          <w:tcPr>
            <w:tcW w:w="570" w:type="dxa"/>
          </w:tcPr>
          <w:p>
            <w:pPr>
              <w:pStyle w:val="TableParagraph"/>
              <w:spacing w:line="152" w:lineRule="exact" w:before="65"/>
              <w:ind w:left="39" w:right="39"/>
              <w:rPr>
                <w:sz w:val="13"/>
              </w:rPr>
            </w:pPr>
            <w:r>
              <w:rPr>
                <w:color w:val="231F20"/>
                <w:spacing w:val="-2"/>
                <w:sz w:val="13"/>
              </w:rPr>
              <w:t>1.67342</w:t>
            </w:r>
          </w:p>
        </w:tc>
        <w:tc>
          <w:tcPr>
            <w:tcW w:w="575" w:type="dxa"/>
          </w:tcPr>
          <w:p>
            <w:pPr>
              <w:pStyle w:val="TableParagraph"/>
              <w:spacing w:line="152" w:lineRule="exact" w:before="65"/>
              <w:ind w:left="40" w:right="42"/>
              <w:rPr>
                <w:sz w:val="13"/>
              </w:rPr>
            </w:pPr>
            <w:r>
              <w:rPr>
                <w:color w:val="231F20"/>
                <w:spacing w:val="-2"/>
                <w:sz w:val="13"/>
              </w:rPr>
              <w:t>2.15659</w:t>
            </w:r>
          </w:p>
        </w:tc>
        <w:tc>
          <w:tcPr>
            <w:tcW w:w="575" w:type="dxa"/>
          </w:tcPr>
          <w:p>
            <w:pPr>
              <w:pStyle w:val="TableParagraph"/>
              <w:spacing w:line="152" w:lineRule="exact" w:before="65"/>
              <w:ind w:left="44" w:right="39"/>
              <w:rPr>
                <w:sz w:val="13"/>
              </w:rPr>
            </w:pPr>
            <w:r>
              <w:rPr>
                <w:color w:val="231F20"/>
                <w:spacing w:val="-2"/>
                <w:sz w:val="13"/>
              </w:rPr>
              <w:t>2.77247</w:t>
            </w:r>
          </w:p>
        </w:tc>
        <w:tc>
          <w:tcPr>
            <w:tcW w:w="565" w:type="dxa"/>
          </w:tcPr>
          <w:p>
            <w:pPr>
              <w:pStyle w:val="TableParagraph"/>
              <w:spacing w:line="152" w:lineRule="exact" w:before="65"/>
              <w:ind w:left="42" w:right="37"/>
              <w:rPr>
                <w:sz w:val="13"/>
              </w:rPr>
            </w:pPr>
            <w:r>
              <w:rPr>
                <w:color w:val="231F20"/>
                <w:spacing w:val="-2"/>
                <w:sz w:val="13"/>
              </w:rPr>
              <w:t>3.55567</w:t>
            </w:r>
          </w:p>
        </w:tc>
        <w:tc>
          <w:tcPr>
            <w:tcW w:w="570" w:type="dxa"/>
          </w:tcPr>
          <w:p>
            <w:pPr>
              <w:pStyle w:val="TableParagraph"/>
              <w:spacing w:line="152" w:lineRule="exact" w:before="65"/>
              <w:ind w:left="36" w:right="42"/>
              <w:rPr>
                <w:sz w:val="13"/>
              </w:rPr>
            </w:pPr>
            <w:r>
              <w:rPr>
                <w:color w:val="231F20"/>
                <w:spacing w:val="-2"/>
                <w:sz w:val="13"/>
              </w:rPr>
              <w:t>4.54938</w:t>
            </w:r>
          </w:p>
        </w:tc>
        <w:tc>
          <w:tcPr>
            <w:tcW w:w="574" w:type="dxa"/>
          </w:tcPr>
          <w:p>
            <w:pPr>
              <w:pStyle w:val="TableParagraph"/>
              <w:spacing w:line="152" w:lineRule="exact" w:before="65"/>
              <w:ind w:left="48" w:right="41"/>
              <w:rPr>
                <w:sz w:val="13"/>
              </w:rPr>
            </w:pPr>
            <w:r>
              <w:rPr>
                <w:color w:val="231F20"/>
                <w:spacing w:val="-2"/>
                <w:sz w:val="13"/>
              </w:rPr>
              <w:t>5.80735</w:t>
            </w:r>
          </w:p>
        </w:tc>
        <w:tc>
          <w:tcPr>
            <w:tcW w:w="645" w:type="dxa"/>
          </w:tcPr>
          <w:p>
            <w:pPr>
              <w:pStyle w:val="TableParagraph"/>
              <w:spacing w:line="152" w:lineRule="exact" w:before="65"/>
              <w:ind w:right="51"/>
              <w:jc w:val="right"/>
              <w:rPr>
                <w:sz w:val="13"/>
              </w:rPr>
            </w:pPr>
            <w:r>
              <w:rPr>
                <w:color w:val="231F20"/>
                <w:spacing w:val="-2"/>
                <w:sz w:val="13"/>
              </w:rPr>
              <w:t>7.39635</w:t>
            </w:r>
          </w:p>
        </w:tc>
        <w:tc>
          <w:tcPr>
            <w:tcW w:w="660" w:type="dxa"/>
          </w:tcPr>
          <w:p>
            <w:pPr>
              <w:pStyle w:val="TableParagraph"/>
              <w:spacing w:line="152" w:lineRule="exact" w:before="65"/>
              <w:ind w:right="61"/>
              <w:jc w:val="right"/>
              <w:rPr>
                <w:sz w:val="13"/>
              </w:rPr>
            </w:pPr>
            <w:r>
              <w:rPr>
                <w:color w:val="231F20"/>
                <w:spacing w:val="-2"/>
                <w:sz w:val="13"/>
              </w:rPr>
              <w:t>9.39916</w:t>
            </w:r>
          </w:p>
        </w:tc>
        <w:tc>
          <w:tcPr>
            <w:tcW w:w="620" w:type="dxa"/>
          </w:tcPr>
          <w:p>
            <w:pPr>
              <w:pStyle w:val="TableParagraph"/>
              <w:spacing w:line="152" w:lineRule="exact" w:before="65"/>
              <w:ind w:left="37" w:right="26"/>
              <w:rPr>
                <w:sz w:val="13"/>
              </w:rPr>
            </w:pPr>
            <w:r>
              <w:rPr>
                <w:color w:val="231F20"/>
                <w:spacing w:val="-2"/>
                <w:sz w:val="13"/>
              </w:rPr>
              <w:t>11.91818</w:t>
            </w:r>
          </w:p>
        </w:tc>
        <w:tc>
          <w:tcPr>
            <w:tcW w:w="670" w:type="dxa"/>
          </w:tcPr>
          <w:p>
            <w:pPr>
              <w:pStyle w:val="TableParagraph"/>
              <w:spacing w:line="152" w:lineRule="exact" w:before="65"/>
              <w:ind w:right="42"/>
              <w:jc w:val="right"/>
              <w:rPr>
                <w:sz w:val="13"/>
              </w:rPr>
            </w:pPr>
            <w:r>
              <w:rPr>
                <w:color w:val="231F20"/>
                <w:spacing w:val="-2"/>
                <w:sz w:val="13"/>
              </w:rPr>
              <w:t>19.04007</w:t>
            </w:r>
          </w:p>
        </w:tc>
        <w:tc>
          <w:tcPr>
            <w:tcW w:w="640" w:type="dxa"/>
          </w:tcPr>
          <w:p>
            <w:pPr>
              <w:pStyle w:val="TableParagraph"/>
              <w:spacing w:line="152" w:lineRule="exact" w:before="65"/>
              <w:ind w:right="50"/>
              <w:jc w:val="right"/>
              <w:rPr>
                <w:sz w:val="13"/>
              </w:rPr>
            </w:pPr>
            <w:r>
              <w:rPr>
                <w:color w:val="231F20"/>
                <w:spacing w:val="-2"/>
                <w:sz w:val="13"/>
              </w:rPr>
              <w:t>30.16658</w:t>
            </w:r>
          </w:p>
        </w:tc>
        <w:tc>
          <w:tcPr>
            <w:tcW w:w="645" w:type="dxa"/>
          </w:tcPr>
          <w:p>
            <w:pPr>
              <w:pStyle w:val="TableParagraph"/>
              <w:spacing w:line="152" w:lineRule="exact" w:before="65"/>
              <w:ind w:right="45"/>
              <w:jc w:val="right"/>
              <w:rPr>
                <w:sz w:val="13"/>
              </w:rPr>
            </w:pPr>
            <w:r>
              <w:rPr>
                <w:color w:val="231F20"/>
                <w:spacing w:val="-2"/>
                <w:sz w:val="13"/>
              </w:rPr>
              <w:t>37.85680</w:t>
            </w:r>
          </w:p>
        </w:tc>
        <w:tc>
          <w:tcPr>
            <w:tcW w:w="644" w:type="dxa"/>
          </w:tcPr>
          <w:p>
            <w:pPr>
              <w:pStyle w:val="TableParagraph"/>
              <w:spacing w:line="152" w:lineRule="exact" w:before="65"/>
              <w:ind w:right="49"/>
              <w:jc w:val="right"/>
              <w:rPr>
                <w:sz w:val="13"/>
              </w:rPr>
            </w:pPr>
            <w:r>
              <w:rPr>
                <w:color w:val="231F20"/>
                <w:spacing w:val="-2"/>
                <w:sz w:val="13"/>
              </w:rPr>
              <w:t>47.41412</w:t>
            </w:r>
          </w:p>
        </w:tc>
        <w:tc>
          <w:tcPr>
            <w:tcW w:w="720" w:type="dxa"/>
          </w:tcPr>
          <w:p>
            <w:pPr>
              <w:pStyle w:val="TableParagraph"/>
              <w:spacing w:line="152" w:lineRule="exact" w:before="65"/>
              <w:ind w:right="49"/>
              <w:jc w:val="right"/>
              <w:rPr>
                <w:sz w:val="13"/>
              </w:rPr>
            </w:pPr>
            <w:r>
              <w:rPr>
                <w:color w:val="231F20"/>
                <w:spacing w:val="-2"/>
                <w:sz w:val="13"/>
              </w:rPr>
              <w:t>73.94898</w:t>
            </w:r>
          </w:p>
        </w:tc>
        <w:tc>
          <w:tcPr>
            <w:tcW w:w="720" w:type="dxa"/>
          </w:tcPr>
          <w:p>
            <w:pPr>
              <w:pStyle w:val="TableParagraph"/>
              <w:spacing w:line="152" w:lineRule="exact" w:before="65"/>
              <w:ind w:right="49"/>
              <w:jc w:val="right"/>
              <w:rPr>
                <w:sz w:val="13"/>
              </w:rPr>
            </w:pPr>
            <w:r>
              <w:rPr>
                <w:color w:val="231F20"/>
                <w:spacing w:val="-2"/>
                <w:sz w:val="13"/>
              </w:rPr>
              <w:t>114.47546</w:t>
            </w:r>
          </w:p>
        </w:tc>
        <w:tc>
          <w:tcPr>
            <w:tcW w:w="700" w:type="dxa"/>
          </w:tcPr>
          <w:p>
            <w:pPr>
              <w:pStyle w:val="TableParagraph"/>
              <w:spacing w:line="152" w:lineRule="exact" w:before="65"/>
              <w:ind w:right="31"/>
              <w:jc w:val="right"/>
              <w:rPr>
                <w:sz w:val="13"/>
              </w:rPr>
            </w:pPr>
            <w:r>
              <w:rPr>
                <w:color w:val="231F20"/>
                <w:spacing w:val="-2"/>
                <w:sz w:val="13"/>
              </w:rPr>
              <w:t>330.87225</w:t>
            </w:r>
          </w:p>
        </w:tc>
      </w:tr>
      <w:tr>
        <w:trPr>
          <w:trHeight w:val="190" w:hRule="atLeast"/>
        </w:trPr>
        <w:tc>
          <w:tcPr>
            <w:tcW w:w="290" w:type="dxa"/>
          </w:tcPr>
          <w:p>
            <w:pPr>
              <w:pStyle w:val="TableParagraph"/>
              <w:spacing w:line="152" w:lineRule="exact"/>
              <w:ind w:left="78" w:right="38"/>
              <w:rPr>
                <w:sz w:val="13"/>
              </w:rPr>
            </w:pPr>
            <w:r>
              <w:rPr>
                <w:color w:val="231F20"/>
                <w:spacing w:val="-5"/>
                <w:sz w:val="13"/>
              </w:rPr>
              <w:t>27</w:t>
            </w:r>
          </w:p>
        </w:tc>
        <w:tc>
          <w:tcPr>
            <w:tcW w:w="573" w:type="dxa"/>
          </w:tcPr>
          <w:p>
            <w:pPr>
              <w:pStyle w:val="TableParagraph"/>
              <w:spacing w:line="152" w:lineRule="exact"/>
              <w:ind w:left="45" w:right="42"/>
              <w:rPr>
                <w:sz w:val="13"/>
              </w:rPr>
            </w:pPr>
            <w:r>
              <w:rPr>
                <w:color w:val="231F20"/>
                <w:spacing w:val="-2"/>
                <w:sz w:val="13"/>
              </w:rPr>
              <w:t>1.30821</w:t>
            </w:r>
          </w:p>
        </w:tc>
        <w:tc>
          <w:tcPr>
            <w:tcW w:w="570" w:type="dxa"/>
          </w:tcPr>
          <w:p>
            <w:pPr>
              <w:pStyle w:val="TableParagraph"/>
              <w:spacing w:line="152" w:lineRule="exact"/>
              <w:ind w:left="39" w:right="39"/>
              <w:rPr>
                <w:sz w:val="13"/>
              </w:rPr>
            </w:pPr>
            <w:r>
              <w:rPr>
                <w:color w:val="231F20"/>
                <w:spacing w:val="-2"/>
                <w:sz w:val="13"/>
              </w:rPr>
              <w:t>1.70689</w:t>
            </w:r>
          </w:p>
        </w:tc>
        <w:tc>
          <w:tcPr>
            <w:tcW w:w="575" w:type="dxa"/>
          </w:tcPr>
          <w:p>
            <w:pPr>
              <w:pStyle w:val="TableParagraph"/>
              <w:spacing w:line="152" w:lineRule="exact"/>
              <w:ind w:left="40" w:right="42"/>
              <w:rPr>
                <w:sz w:val="13"/>
              </w:rPr>
            </w:pPr>
            <w:r>
              <w:rPr>
                <w:color w:val="231F20"/>
                <w:spacing w:val="-2"/>
                <w:sz w:val="13"/>
              </w:rPr>
              <w:t>2.22129</w:t>
            </w:r>
          </w:p>
        </w:tc>
        <w:tc>
          <w:tcPr>
            <w:tcW w:w="575" w:type="dxa"/>
          </w:tcPr>
          <w:p>
            <w:pPr>
              <w:pStyle w:val="TableParagraph"/>
              <w:spacing w:line="152" w:lineRule="exact"/>
              <w:ind w:left="44" w:right="39"/>
              <w:rPr>
                <w:sz w:val="13"/>
              </w:rPr>
            </w:pPr>
            <w:r>
              <w:rPr>
                <w:color w:val="231F20"/>
                <w:spacing w:val="-2"/>
                <w:sz w:val="13"/>
              </w:rPr>
              <w:t>2.88337</w:t>
            </w:r>
          </w:p>
        </w:tc>
        <w:tc>
          <w:tcPr>
            <w:tcW w:w="565" w:type="dxa"/>
          </w:tcPr>
          <w:p>
            <w:pPr>
              <w:pStyle w:val="TableParagraph"/>
              <w:spacing w:line="152" w:lineRule="exact"/>
              <w:ind w:left="42" w:right="37"/>
              <w:rPr>
                <w:sz w:val="13"/>
              </w:rPr>
            </w:pPr>
            <w:r>
              <w:rPr>
                <w:color w:val="231F20"/>
                <w:spacing w:val="-2"/>
                <w:sz w:val="13"/>
              </w:rPr>
              <w:t>3.73346</w:t>
            </w:r>
          </w:p>
        </w:tc>
        <w:tc>
          <w:tcPr>
            <w:tcW w:w="570" w:type="dxa"/>
          </w:tcPr>
          <w:p>
            <w:pPr>
              <w:pStyle w:val="TableParagraph"/>
              <w:spacing w:line="152" w:lineRule="exact"/>
              <w:ind w:left="36" w:right="42"/>
              <w:rPr>
                <w:sz w:val="13"/>
              </w:rPr>
            </w:pPr>
            <w:r>
              <w:rPr>
                <w:color w:val="231F20"/>
                <w:spacing w:val="-2"/>
                <w:sz w:val="13"/>
              </w:rPr>
              <w:t>4.82235</w:t>
            </w:r>
          </w:p>
        </w:tc>
        <w:tc>
          <w:tcPr>
            <w:tcW w:w="574" w:type="dxa"/>
          </w:tcPr>
          <w:p>
            <w:pPr>
              <w:pStyle w:val="TableParagraph"/>
              <w:spacing w:line="152" w:lineRule="exact"/>
              <w:ind w:left="48" w:right="41"/>
              <w:rPr>
                <w:sz w:val="13"/>
              </w:rPr>
            </w:pPr>
            <w:r>
              <w:rPr>
                <w:color w:val="231F20"/>
                <w:spacing w:val="-2"/>
                <w:sz w:val="13"/>
              </w:rPr>
              <w:t>6.21387</w:t>
            </w:r>
          </w:p>
        </w:tc>
        <w:tc>
          <w:tcPr>
            <w:tcW w:w="645" w:type="dxa"/>
          </w:tcPr>
          <w:p>
            <w:pPr>
              <w:pStyle w:val="TableParagraph"/>
              <w:spacing w:line="152" w:lineRule="exact"/>
              <w:ind w:right="51"/>
              <w:jc w:val="right"/>
              <w:rPr>
                <w:sz w:val="13"/>
              </w:rPr>
            </w:pPr>
            <w:r>
              <w:rPr>
                <w:color w:val="231F20"/>
                <w:spacing w:val="-2"/>
                <w:sz w:val="13"/>
              </w:rPr>
              <w:t>7.98806</w:t>
            </w:r>
          </w:p>
        </w:tc>
        <w:tc>
          <w:tcPr>
            <w:tcW w:w="660" w:type="dxa"/>
          </w:tcPr>
          <w:p>
            <w:pPr>
              <w:pStyle w:val="TableParagraph"/>
              <w:spacing w:line="152" w:lineRule="exact"/>
              <w:ind w:right="61"/>
              <w:jc w:val="right"/>
              <w:rPr>
                <w:sz w:val="13"/>
              </w:rPr>
            </w:pPr>
            <w:r>
              <w:rPr>
                <w:color w:val="231F20"/>
                <w:spacing w:val="-2"/>
                <w:sz w:val="13"/>
              </w:rPr>
              <w:t>10.24508</w:t>
            </w:r>
          </w:p>
        </w:tc>
        <w:tc>
          <w:tcPr>
            <w:tcW w:w="620" w:type="dxa"/>
          </w:tcPr>
          <w:p>
            <w:pPr>
              <w:pStyle w:val="TableParagraph"/>
              <w:spacing w:line="152" w:lineRule="exact"/>
              <w:ind w:left="37" w:right="26"/>
              <w:rPr>
                <w:sz w:val="13"/>
              </w:rPr>
            </w:pPr>
            <w:r>
              <w:rPr>
                <w:color w:val="231F20"/>
                <w:spacing w:val="-2"/>
                <w:sz w:val="13"/>
              </w:rPr>
              <w:t>13.10999</w:t>
            </w:r>
          </w:p>
        </w:tc>
        <w:tc>
          <w:tcPr>
            <w:tcW w:w="670" w:type="dxa"/>
          </w:tcPr>
          <w:p>
            <w:pPr>
              <w:pStyle w:val="TableParagraph"/>
              <w:spacing w:line="152" w:lineRule="exact"/>
              <w:ind w:right="40"/>
              <w:jc w:val="right"/>
              <w:rPr>
                <w:sz w:val="13"/>
              </w:rPr>
            </w:pPr>
            <w:r>
              <w:rPr>
                <w:color w:val="231F20"/>
                <w:spacing w:val="-2"/>
                <w:sz w:val="13"/>
              </w:rPr>
              <w:t>21.32488</w:t>
            </w:r>
          </w:p>
        </w:tc>
        <w:tc>
          <w:tcPr>
            <w:tcW w:w="640" w:type="dxa"/>
          </w:tcPr>
          <w:p>
            <w:pPr>
              <w:pStyle w:val="TableParagraph"/>
              <w:spacing w:line="152" w:lineRule="exact"/>
              <w:ind w:right="50"/>
              <w:jc w:val="right"/>
              <w:rPr>
                <w:sz w:val="13"/>
              </w:rPr>
            </w:pPr>
            <w:r>
              <w:rPr>
                <w:color w:val="231F20"/>
                <w:spacing w:val="-2"/>
                <w:sz w:val="13"/>
              </w:rPr>
              <w:t>34.38991</w:t>
            </w:r>
          </w:p>
        </w:tc>
        <w:tc>
          <w:tcPr>
            <w:tcW w:w="645" w:type="dxa"/>
          </w:tcPr>
          <w:p>
            <w:pPr>
              <w:pStyle w:val="TableParagraph"/>
              <w:spacing w:line="152" w:lineRule="exact"/>
              <w:ind w:right="45"/>
              <w:jc w:val="right"/>
              <w:rPr>
                <w:sz w:val="13"/>
              </w:rPr>
            </w:pPr>
            <w:r>
              <w:rPr>
                <w:color w:val="231F20"/>
                <w:spacing w:val="-2"/>
                <w:sz w:val="13"/>
              </w:rPr>
              <w:t>43.53531</w:t>
            </w:r>
          </w:p>
        </w:tc>
        <w:tc>
          <w:tcPr>
            <w:tcW w:w="644" w:type="dxa"/>
          </w:tcPr>
          <w:p>
            <w:pPr>
              <w:pStyle w:val="TableParagraph"/>
              <w:spacing w:line="152" w:lineRule="exact"/>
              <w:ind w:right="49"/>
              <w:jc w:val="right"/>
              <w:rPr>
                <w:sz w:val="13"/>
              </w:rPr>
            </w:pPr>
            <w:r>
              <w:rPr>
                <w:color w:val="231F20"/>
                <w:spacing w:val="-2"/>
                <w:sz w:val="13"/>
              </w:rPr>
              <w:t>55.00038</w:t>
            </w:r>
          </w:p>
        </w:tc>
        <w:tc>
          <w:tcPr>
            <w:tcW w:w="720" w:type="dxa"/>
          </w:tcPr>
          <w:p>
            <w:pPr>
              <w:pStyle w:val="TableParagraph"/>
              <w:spacing w:line="152" w:lineRule="exact"/>
              <w:ind w:right="49"/>
              <w:jc w:val="right"/>
              <w:rPr>
                <w:sz w:val="13"/>
              </w:rPr>
            </w:pPr>
            <w:r>
              <w:rPr>
                <w:color w:val="231F20"/>
                <w:spacing w:val="-2"/>
                <w:sz w:val="13"/>
              </w:rPr>
              <w:t>87.25980</w:t>
            </w:r>
          </w:p>
        </w:tc>
        <w:tc>
          <w:tcPr>
            <w:tcW w:w="720" w:type="dxa"/>
          </w:tcPr>
          <w:p>
            <w:pPr>
              <w:pStyle w:val="TableParagraph"/>
              <w:spacing w:line="152" w:lineRule="exact"/>
              <w:ind w:right="49"/>
              <w:jc w:val="right"/>
              <w:rPr>
                <w:sz w:val="13"/>
              </w:rPr>
            </w:pPr>
            <w:r>
              <w:rPr>
                <w:color w:val="231F20"/>
                <w:spacing w:val="-2"/>
                <w:sz w:val="13"/>
              </w:rPr>
              <w:t>137.37055</w:t>
            </w:r>
          </w:p>
        </w:tc>
        <w:tc>
          <w:tcPr>
            <w:tcW w:w="700" w:type="dxa"/>
          </w:tcPr>
          <w:p>
            <w:pPr>
              <w:pStyle w:val="TableParagraph"/>
              <w:spacing w:line="152" w:lineRule="exact"/>
              <w:ind w:right="31"/>
              <w:jc w:val="right"/>
              <w:rPr>
                <w:sz w:val="13"/>
              </w:rPr>
            </w:pPr>
            <w:r>
              <w:rPr>
                <w:color w:val="231F20"/>
                <w:spacing w:val="-2"/>
                <w:sz w:val="13"/>
              </w:rPr>
              <w:t>413.59031</w:t>
            </w:r>
          </w:p>
        </w:tc>
      </w:tr>
      <w:tr>
        <w:trPr>
          <w:trHeight w:val="190" w:hRule="atLeast"/>
        </w:trPr>
        <w:tc>
          <w:tcPr>
            <w:tcW w:w="290" w:type="dxa"/>
          </w:tcPr>
          <w:p>
            <w:pPr>
              <w:pStyle w:val="TableParagraph"/>
              <w:spacing w:line="152" w:lineRule="exact"/>
              <w:ind w:left="78" w:right="38"/>
              <w:rPr>
                <w:sz w:val="13"/>
              </w:rPr>
            </w:pPr>
            <w:r>
              <w:rPr>
                <w:color w:val="231F20"/>
                <w:spacing w:val="-5"/>
                <w:sz w:val="13"/>
              </w:rPr>
              <w:t>28</w:t>
            </w:r>
          </w:p>
        </w:tc>
        <w:tc>
          <w:tcPr>
            <w:tcW w:w="573" w:type="dxa"/>
          </w:tcPr>
          <w:p>
            <w:pPr>
              <w:pStyle w:val="TableParagraph"/>
              <w:spacing w:line="152" w:lineRule="exact"/>
              <w:ind w:left="45" w:right="42"/>
              <w:rPr>
                <w:sz w:val="13"/>
              </w:rPr>
            </w:pPr>
            <w:r>
              <w:rPr>
                <w:color w:val="231F20"/>
                <w:spacing w:val="-2"/>
                <w:sz w:val="13"/>
              </w:rPr>
              <w:t>1.32129</w:t>
            </w:r>
          </w:p>
        </w:tc>
        <w:tc>
          <w:tcPr>
            <w:tcW w:w="570" w:type="dxa"/>
          </w:tcPr>
          <w:p>
            <w:pPr>
              <w:pStyle w:val="TableParagraph"/>
              <w:spacing w:line="152" w:lineRule="exact"/>
              <w:ind w:left="39" w:right="39"/>
              <w:rPr>
                <w:sz w:val="13"/>
              </w:rPr>
            </w:pPr>
            <w:r>
              <w:rPr>
                <w:color w:val="231F20"/>
                <w:spacing w:val="-2"/>
                <w:sz w:val="13"/>
              </w:rPr>
              <w:t>1.74102</w:t>
            </w:r>
          </w:p>
        </w:tc>
        <w:tc>
          <w:tcPr>
            <w:tcW w:w="575" w:type="dxa"/>
          </w:tcPr>
          <w:p>
            <w:pPr>
              <w:pStyle w:val="TableParagraph"/>
              <w:spacing w:line="152" w:lineRule="exact"/>
              <w:ind w:left="40" w:right="42"/>
              <w:rPr>
                <w:sz w:val="13"/>
              </w:rPr>
            </w:pPr>
            <w:r>
              <w:rPr>
                <w:color w:val="231F20"/>
                <w:spacing w:val="-2"/>
                <w:sz w:val="13"/>
              </w:rPr>
              <w:t>2.28793</w:t>
            </w:r>
          </w:p>
        </w:tc>
        <w:tc>
          <w:tcPr>
            <w:tcW w:w="575" w:type="dxa"/>
          </w:tcPr>
          <w:p>
            <w:pPr>
              <w:pStyle w:val="TableParagraph"/>
              <w:spacing w:line="152" w:lineRule="exact"/>
              <w:ind w:left="44" w:right="39"/>
              <w:rPr>
                <w:sz w:val="13"/>
              </w:rPr>
            </w:pPr>
            <w:r>
              <w:rPr>
                <w:color w:val="231F20"/>
                <w:spacing w:val="-2"/>
                <w:sz w:val="13"/>
              </w:rPr>
              <w:t>2.99870</w:t>
            </w:r>
          </w:p>
        </w:tc>
        <w:tc>
          <w:tcPr>
            <w:tcW w:w="565" w:type="dxa"/>
          </w:tcPr>
          <w:p>
            <w:pPr>
              <w:pStyle w:val="TableParagraph"/>
              <w:spacing w:line="152" w:lineRule="exact"/>
              <w:ind w:left="42" w:right="37"/>
              <w:rPr>
                <w:sz w:val="13"/>
              </w:rPr>
            </w:pPr>
            <w:r>
              <w:rPr>
                <w:color w:val="231F20"/>
                <w:spacing w:val="-2"/>
                <w:sz w:val="13"/>
              </w:rPr>
              <w:t>3.92013</w:t>
            </w:r>
          </w:p>
        </w:tc>
        <w:tc>
          <w:tcPr>
            <w:tcW w:w="570" w:type="dxa"/>
          </w:tcPr>
          <w:p>
            <w:pPr>
              <w:pStyle w:val="TableParagraph"/>
              <w:spacing w:line="152" w:lineRule="exact"/>
              <w:ind w:left="36" w:right="42"/>
              <w:rPr>
                <w:sz w:val="13"/>
              </w:rPr>
            </w:pPr>
            <w:r>
              <w:rPr>
                <w:color w:val="231F20"/>
                <w:spacing w:val="-2"/>
                <w:sz w:val="13"/>
              </w:rPr>
              <w:t>5.11169</w:t>
            </w:r>
          </w:p>
        </w:tc>
        <w:tc>
          <w:tcPr>
            <w:tcW w:w="574" w:type="dxa"/>
          </w:tcPr>
          <w:p>
            <w:pPr>
              <w:pStyle w:val="TableParagraph"/>
              <w:spacing w:line="152" w:lineRule="exact"/>
              <w:ind w:left="48" w:right="41"/>
              <w:rPr>
                <w:sz w:val="13"/>
              </w:rPr>
            </w:pPr>
            <w:r>
              <w:rPr>
                <w:color w:val="231F20"/>
                <w:spacing w:val="-2"/>
                <w:sz w:val="13"/>
              </w:rPr>
              <w:t>6.64884</w:t>
            </w:r>
          </w:p>
        </w:tc>
        <w:tc>
          <w:tcPr>
            <w:tcW w:w="645" w:type="dxa"/>
          </w:tcPr>
          <w:p>
            <w:pPr>
              <w:pStyle w:val="TableParagraph"/>
              <w:spacing w:line="152" w:lineRule="exact"/>
              <w:ind w:right="51"/>
              <w:jc w:val="right"/>
              <w:rPr>
                <w:sz w:val="13"/>
              </w:rPr>
            </w:pPr>
            <w:r>
              <w:rPr>
                <w:color w:val="231F20"/>
                <w:spacing w:val="-2"/>
                <w:sz w:val="13"/>
              </w:rPr>
              <w:t>8.62711</w:t>
            </w:r>
          </w:p>
        </w:tc>
        <w:tc>
          <w:tcPr>
            <w:tcW w:w="660" w:type="dxa"/>
          </w:tcPr>
          <w:p>
            <w:pPr>
              <w:pStyle w:val="TableParagraph"/>
              <w:spacing w:line="152" w:lineRule="exact"/>
              <w:ind w:right="61"/>
              <w:jc w:val="right"/>
              <w:rPr>
                <w:sz w:val="13"/>
              </w:rPr>
            </w:pPr>
            <w:r>
              <w:rPr>
                <w:color w:val="231F20"/>
                <w:spacing w:val="-2"/>
                <w:sz w:val="13"/>
              </w:rPr>
              <w:t>11.16714</w:t>
            </w:r>
          </w:p>
        </w:tc>
        <w:tc>
          <w:tcPr>
            <w:tcW w:w="620" w:type="dxa"/>
          </w:tcPr>
          <w:p>
            <w:pPr>
              <w:pStyle w:val="TableParagraph"/>
              <w:spacing w:line="152" w:lineRule="exact"/>
              <w:ind w:left="37" w:right="26"/>
              <w:rPr>
                <w:sz w:val="13"/>
              </w:rPr>
            </w:pPr>
            <w:r>
              <w:rPr>
                <w:color w:val="231F20"/>
                <w:spacing w:val="-2"/>
                <w:sz w:val="13"/>
              </w:rPr>
              <w:t>14.42099</w:t>
            </w:r>
          </w:p>
        </w:tc>
        <w:tc>
          <w:tcPr>
            <w:tcW w:w="670" w:type="dxa"/>
          </w:tcPr>
          <w:p>
            <w:pPr>
              <w:pStyle w:val="TableParagraph"/>
              <w:spacing w:line="152" w:lineRule="exact"/>
              <w:ind w:right="40"/>
              <w:jc w:val="right"/>
              <w:rPr>
                <w:sz w:val="13"/>
              </w:rPr>
            </w:pPr>
            <w:r>
              <w:rPr>
                <w:color w:val="231F20"/>
                <w:spacing w:val="-2"/>
                <w:sz w:val="13"/>
              </w:rPr>
              <w:t>23.88387</w:t>
            </w:r>
          </w:p>
        </w:tc>
        <w:tc>
          <w:tcPr>
            <w:tcW w:w="640" w:type="dxa"/>
          </w:tcPr>
          <w:p>
            <w:pPr>
              <w:pStyle w:val="TableParagraph"/>
              <w:spacing w:line="152" w:lineRule="exact"/>
              <w:ind w:right="50"/>
              <w:jc w:val="right"/>
              <w:rPr>
                <w:sz w:val="13"/>
              </w:rPr>
            </w:pPr>
            <w:r>
              <w:rPr>
                <w:color w:val="231F20"/>
                <w:spacing w:val="-2"/>
                <w:sz w:val="13"/>
              </w:rPr>
              <w:t>39.20449</w:t>
            </w:r>
          </w:p>
        </w:tc>
        <w:tc>
          <w:tcPr>
            <w:tcW w:w="645" w:type="dxa"/>
          </w:tcPr>
          <w:p>
            <w:pPr>
              <w:pStyle w:val="TableParagraph"/>
              <w:spacing w:line="152" w:lineRule="exact"/>
              <w:ind w:right="45"/>
              <w:jc w:val="right"/>
              <w:rPr>
                <w:sz w:val="13"/>
              </w:rPr>
            </w:pPr>
            <w:r>
              <w:rPr>
                <w:color w:val="231F20"/>
                <w:spacing w:val="-2"/>
                <w:sz w:val="13"/>
              </w:rPr>
              <w:t>50.06561</w:t>
            </w:r>
          </w:p>
        </w:tc>
        <w:tc>
          <w:tcPr>
            <w:tcW w:w="644" w:type="dxa"/>
          </w:tcPr>
          <w:p>
            <w:pPr>
              <w:pStyle w:val="TableParagraph"/>
              <w:spacing w:line="152" w:lineRule="exact"/>
              <w:ind w:right="49"/>
              <w:jc w:val="right"/>
              <w:rPr>
                <w:sz w:val="13"/>
              </w:rPr>
            </w:pPr>
            <w:r>
              <w:rPr>
                <w:color w:val="231F20"/>
                <w:spacing w:val="-2"/>
                <w:sz w:val="13"/>
              </w:rPr>
              <w:t>63.80044</w:t>
            </w:r>
          </w:p>
        </w:tc>
        <w:tc>
          <w:tcPr>
            <w:tcW w:w="720" w:type="dxa"/>
          </w:tcPr>
          <w:p>
            <w:pPr>
              <w:pStyle w:val="TableParagraph"/>
              <w:spacing w:line="152" w:lineRule="exact"/>
              <w:ind w:right="49"/>
              <w:jc w:val="right"/>
              <w:rPr>
                <w:sz w:val="13"/>
              </w:rPr>
            </w:pPr>
            <w:r>
              <w:rPr>
                <w:color w:val="231F20"/>
                <w:spacing w:val="-2"/>
                <w:sz w:val="13"/>
              </w:rPr>
              <w:t>102.96656</w:t>
            </w:r>
          </w:p>
        </w:tc>
        <w:tc>
          <w:tcPr>
            <w:tcW w:w="720" w:type="dxa"/>
          </w:tcPr>
          <w:p>
            <w:pPr>
              <w:pStyle w:val="TableParagraph"/>
              <w:spacing w:line="152" w:lineRule="exact"/>
              <w:ind w:right="49"/>
              <w:jc w:val="right"/>
              <w:rPr>
                <w:sz w:val="13"/>
              </w:rPr>
            </w:pPr>
            <w:r>
              <w:rPr>
                <w:color w:val="231F20"/>
                <w:spacing w:val="-2"/>
                <w:sz w:val="13"/>
              </w:rPr>
              <w:t>164.84466</w:t>
            </w:r>
          </w:p>
        </w:tc>
        <w:tc>
          <w:tcPr>
            <w:tcW w:w="700" w:type="dxa"/>
          </w:tcPr>
          <w:p>
            <w:pPr>
              <w:pStyle w:val="TableParagraph"/>
              <w:spacing w:line="152" w:lineRule="exact"/>
              <w:ind w:right="30"/>
              <w:jc w:val="right"/>
              <w:rPr>
                <w:sz w:val="13"/>
              </w:rPr>
            </w:pPr>
            <w:r>
              <w:rPr>
                <w:color w:val="231F20"/>
                <w:spacing w:val="-2"/>
                <w:sz w:val="13"/>
              </w:rPr>
              <w:t>516.98788</w:t>
            </w:r>
          </w:p>
        </w:tc>
      </w:tr>
      <w:tr>
        <w:trPr>
          <w:trHeight w:val="189" w:hRule="atLeast"/>
        </w:trPr>
        <w:tc>
          <w:tcPr>
            <w:tcW w:w="290" w:type="dxa"/>
          </w:tcPr>
          <w:p>
            <w:pPr>
              <w:pStyle w:val="TableParagraph"/>
              <w:spacing w:line="152" w:lineRule="exact"/>
              <w:ind w:left="78" w:right="38"/>
              <w:rPr>
                <w:sz w:val="13"/>
              </w:rPr>
            </w:pPr>
            <w:r>
              <w:rPr>
                <w:color w:val="231F20"/>
                <w:spacing w:val="-5"/>
                <w:sz w:val="13"/>
              </w:rPr>
              <w:t>29</w:t>
            </w:r>
          </w:p>
        </w:tc>
        <w:tc>
          <w:tcPr>
            <w:tcW w:w="573" w:type="dxa"/>
          </w:tcPr>
          <w:p>
            <w:pPr>
              <w:pStyle w:val="TableParagraph"/>
              <w:spacing w:line="152" w:lineRule="exact"/>
              <w:ind w:left="45" w:right="42"/>
              <w:rPr>
                <w:sz w:val="13"/>
              </w:rPr>
            </w:pPr>
            <w:r>
              <w:rPr>
                <w:color w:val="231F20"/>
                <w:spacing w:val="-2"/>
                <w:sz w:val="13"/>
              </w:rPr>
              <w:t>1.33450</w:t>
            </w:r>
          </w:p>
        </w:tc>
        <w:tc>
          <w:tcPr>
            <w:tcW w:w="570" w:type="dxa"/>
          </w:tcPr>
          <w:p>
            <w:pPr>
              <w:pStyle w:val="TableParagraph"/>
              <w:spacing w:line="152" w:lineRule="exact"/>
              <w:ind w:left="39" w:right="39"/>
              <w:rPr>
                <w:sz w:val="13"/>
              </w:rPr>
            </w:pPr>
            <w:r>
              <w:rPr>
                <w:color w:val="231F20"/>
                <w:spacing w:val="-2"/>
                <w:sz w:val="13"/>
              </w:rPr>
              <w:t>1.77584</w:t>
            </w:r>
          </w:p>
        </w:tc>
        <w:tc>
          <w:tcPr>
            <w:tcW w:w="575" w:type="dxa"/>
          </w:tcPr>
          <w:p>
            <w:pPr>
              <w:pStyle w:val="TableParagraph"/>
              <w:spacing w:line="152" w:lineRule="exact"/>
              <w:ind w:left="40" w:right="42"/>
              <w:rPr>
                <w:sz w:val="13"/>
              </w:rPr>
            </w:pPr>
            <w:r>
              <w:rPr>
                <w:color w:val="231F20"/>
                <w:spacing w:val="-2"/>
                <w:sz w:val="13"/>
              </w:rPr>
              <w:t>2.35657</w:t>
            </w:r>
          </w:p>
        </w:tc>
        <w:tc>
          <w:tcPr>
            <w:tcW w:w="575" w:type="dxa"/>
          </w:tcPr>
          <w:p>
            <w:pPr>
              <w:pStyle w:val="TableParagraph"/>
              <w:spacing w:line="152" w:lineRule="exact"/>
              <w:ind w:left="44" w:right="39"/>
              <w:rPr>
                <w:sz w:val="13"/>
              </w:rPr>
            </w:pPr>
            <w:r>
              <w:rPr>
                <w:color w:val="231F20"/>
                <w:spacing w:val="-2"/>
                <w:sz w:val="13"/>
              </w:rPr>
              <w:t>3.11865</w:t>
            </w:r>
          </w:p>
        </w:tc>
        <w:tc>
          <w:tcPr>
            <w:tcW w:w="565" w:type="dxa"/>
          </w:tcPr>
          <w:p>
            <w:pPr>
              <w:pStyle w:val="TableParagraph"/>
              <w:spacing w:line="152" w:lineRule="exact"/>
              <w:ind w:left="42" w:right="37"/>
              <w:rPr>
                <w:sz w:val="13"/>
              </w:rPr>
            </w:pPr>
            <w:r>
              <w:rPr>
                <w:color w:val="231F20"/>
                <w:spacing w:val="-2"/>
                <w:sz w:val="13"/>
              </w:rPr>
              <w:t>4.11614</w:t>
            </w:r>
          </w:p>
        </w:tc>
        <w:tc>
          <w:tcPr>
            <w:tcW w:w="570" w:type="dxa"/>
          </w:tcPr>
          <w:p>
            <w:pPr>
              <w:pStyle w:val="TableParagraph"/>
              <w:spacing w:line="152" w:lineRule="exact"/>
              <w:ind w:left="36" w:right="42"/>
              <w:rPr>
                <w:sz w:val="13"/>
              </w:rPr>
            </w:pPr>
            <w:r>
              <w:rPr>
                <w:color w:val="231F20"/>
                <w:spacing w:val="-2"/>
                <w:sz w:val="13"/>
              </w:rPr>
              <w:t>5.41839</w:t>
            </w:r>
          </w:p>
        </w:tc>
        <w:tc>
          <w:tcPr>
            <w:tcW w:w="574" w:type="dxa"/>
          </w:tcPr>
          <w:p>
            <w:pPr>
              <w:pStyle w:val="TableParagraph"/>
              <w:spacing w:line="152" w:lineRule="exact"/>
              <w:ind w:left="48" w:right="41"/>
              <w:rPr>
                <w:sz w:val="13"/>
              </w:rPr>
            </w:pPr>
            <w:r>
              <w:rPr>
                <w:color w:val="231F20"/>
                <w:spacing w:val="-2"/>
                <w:sz w:val="13"/>
              </w:rPr>
              <w:t>7.11426</w:t>
            </w:r>
          </w:p>
        </w:tc>
        <w:tc>
          <w:tcPr>
            <w:tcW w:w="645" w:type="dxa"/>
          </w:tcPr>
          <w:p>
            <w:pPr>
              <w:pStyle w:val="TableParagraph"/>
              <w:spacing w:line="152" w:lineRule="exact"/>
              <w:ind w:right="51"/>
              <w:jc w:val="right"/>
              <w:rPr>
                <w:sz w:val="13"/>
              </w:rPr>
            </w:pPr>
            <w:r>
              <w:rPr>
                <w:color w:val="231F20"/>
                <w:spacing w:val="-2"/>
                <w:sz w:val="13"/>
              </w:rPr>
              <w:t>9.31727</w:t>
            </w:r>
          </w:p>
        </w:tc>
        <w:tc>
          <w:tcPr>
            <w:tcW w:w="660" w:type="dxa"/>
          </w:tcPr>
          <w:p>
            <w:pPr>
              <w:pStyle w:val="TableParagraph"/>
              <w:spacing w:line="152" w:lineRule="exact"/>
              <w:ind w:right="61"/>
              <w:jc w:val="right"/>
              <w:rPr>
                <w:sz w:val="13"/>
              </w:rPr>
            </w:pPr>
            <w:r>
              <w:rPr>
                <w:color w:val="231F20"/>
                <w:spacing w:val="-2"/>
                <w:sz w:val="13"/>
              </w:rPr>
              <w:t>12.17218</w:t>
            </w:r>
          </w:p>
        </w:tc>
        <w:tc>
          <w:tcPr>
            <w:tcW w:w="620" w:type="dxa"/>
          </w:tcPr>
          <w:p>
            <w:pPr>
              <w:pStyle w:val="TableParagraph"/>
              <w:spacing w:line="152" w:lineRule="exact"/>
              <w:ind w:left="37" w:right="26"/>
              <w:rPr>
                <w:sz w:val="13"/>
              </w:rPr>
            </w:pPr>
            <w:r>
              <w:rPr>
                <w:color w:val="231F20"/>
                <w:spacing w:val="-2"/>
                <w:sz w:val="13"/>
              </w:rPr>
              <w:t>15.86309</w:t>
            </w:r>
          </w:p>
        </w:tc>
        <w:tc>
          <w:tcPr>
            <w:tcW w:w="670" w:type="dxa"/>
          </w:tcPr>
          <w:p>
            <w:pPr>
              <w:pStyle w:val="TableParagraph"/>
              <w:spacing w:line="152" w:lineRule="exact"/>
              <w:ind w:right="40"/>
              <w:jc w:val="right"/>
              <w:rPr>
                <w:sz w:val="13"/>
              </w:rPr>
            </w:pPr>
            <w:r>
              <w:rPr>
                <w:color w:val="231F20"/>
                <w:spacing w:val="-2"/>
                <w:sz w:val="13"/>
              </w:rPr>
              <w:t>26.74993</w:t>
            </w:r>
          </w:p>
        </w:tc>
        <w:tc>
          <w:tcPr>
            <w:tcW w:w="640" w:type="dxa"/>
          </w:tcPr>
          <w:p>
            <w:pPr>
              <w:pStyle w:val="TableParagraph"/>
              <w:spacing w:line="152" w:lineRule="exact"/>
              <w:ind w:right="50"/>
              <w:jc w:val="right"/>
              <w:rPr>
                <w:sz w:val="13"/>
              </w:rPr>
            </w:pPr>
            <w:r>
              <w:rPr>
                <w:color w:val="231F20"/>
                <w:spacing w:val="-2"/>
                <w:sz w:val="13"/>
              </w:rPr>
              <w:t>44.69312</w:t>
            </w:r>
          </w:p>
        </w:tc>
        <w:tc>
          <w:tcPr>
            <w:tcW w:w="645" w:type="dxa"/>
          </w:tcPr>
          <w:p>
            <w:pPr>
              <w:pStyle w:val="TableParagraph"/>
              <w:spacing w:line="152" w:lineRule="exact"/>
              <w:ind w:right="45"/>
              <w:jc w:val="right"/>
              <w:rPr>
                <w:sz w:val="13"/>
              </w:rPr>
            </w:pPr>
            <w:r>
              <w:rPr>
                <w:color w:val="231F20"/>
                <w:spacing w:val="-2"/>
                <w:sz w:val="13"/>
              </w:rPr>
              <w:t>57.57545</w:t>
            </w:r>
          </w:p>
        </w:tc>
        <w:tc>
          <w:tcPr>
            <w:tcW w:w="644" w:type="dxa"/>
          </w:tcPr>
          <w:p>
            <w:pPr>
              <w:pStyle w:val="TableParagraph"/>
              <w:spacing w:line="152" w:lineRule="exact"/>
              <w:ind w:right="49"/>
              <w:jc w:val="right"/>
              <w:rPr>
                <w:sz w:val="13"/>
              </w:rPr>
            </w:pPr>
            <w:r>
              <w:rPr>
                <w:color w:val="231F20"/>
                <w:spacing w:val="-2"/>
                <w:sz w:val="13"/>
              </w:rPr>
              <w:t>74.00851</w:t>
            </w:r>
          </w:p>
        </w:tc>
        <w:tc>
          <w:tcPr>
            <w:tcW w:w="720" w:type="dxa"/>
          </w:tcPr>
          <w:p>
            <w:pPr>
              <w:pStyle w:val="TableParagraph"/>
              <w:spacing w:line="152" w:lineRule="exact"/>
              <w:ind w:right="49"/>
              <w:jc w:val="right"/>
              <w:rPr>
                <w:sz w:val="13"/>
              </w:rPr>
            </w:pPr>
            <w:r>
              <w:rPr>
                <w:color w:val="231F20"/>
                <w:spacing w:val="-2"/>
                <w:sz w:val="13"/>
              </w:rPr>
              <w:t>121.50054</w:t>
            </w:r>
          </w:p>
        </w:tc>
        <w:tc>
          <w:tcPr>
            <w:tcW w:w="720" w:type="dxa"/>
          </w:tcPr>
          <w:p>
            <w:pPr>
              <w:pStyle w:val="TableParagraph"/>
              <w:spacing w:line="152" w:lineRule="exact"/>
              <w:ind w:right="49"/>
              <w:jc w:val="right"/>
              <w:rPr>
                <w:sz w:val="13"/>
              </w:rPr>
            </w:pPr>
            <w:r>
              <w:rPr>
                <w:color w:val="231F20"/>
                <w:spacing w:val="-2"/>
                <w:sz w:val="13"/>
              </w:rPr>
              <w:t>197.81359</w:t>
            </w:r>
          </w:p>
        </w:tc>
        <w:tc>
          <w:tcPr>
            <w:tcW w:w="700" w:type="dxa"/>
          </w:tcPr>
          <w:p>
            <w:pPr>
              <w:pStyle w:val="TableParagraph"/>
              <w:spacing w:line="152" w:lineRule="exact"/>
              <w:ind w:right="30"/>
              <w:jc w:val="right"/>
              <w:rPr>
                <w:sz w:val="13"/>
              </w:rPr>
            </w:pPr>
            <w:r>
              <w:rPr>
                <w:color w:val="231F20"/>
                <w:spacing w:val="-2"/>
                <w:sz w:val="13"/>
              </w:rPr>
              <w:t>646.23485</w:t>
            </w:r>
          </w:p>
        </w:tc>
      </w:tr>
      <w:tr>
        <w:trPr>
          <w:trHeight w:val="171" w:hRule="atLeast"/>
        </w:trPr>
        <w:tc>
          <w:tcPr>
            <w:tcW w:w="290" w:type="dxa"/>
          </w:tcPr>
          <w:p>
            <w:pPr>
              <w:pStyle w:val="TableParagraph"/>
              <w:spacing w:line="133" w:lineRule="exact"/>
              <w:ind w:left="78" w:right="38"/>
              <w:rPr>
                <w:sz w:val="13"/>
              </w:rPr>
            </w:pPr>
            <w:r>
              <w:rPr>
                <w:color w:val="231F20"/>
                <w:spacing w:val="-5"/>
                <w:sz w:val="13"/>
              </w:rPr>
              <w:t>30</w:t>
            </w:r>
          </w:p>
        </w:tc>
        <w:tc>
          <w:tcPr>
            <w:tcW w:w="573" w:type="dxa"/>
          </w:tcPr>
          <w:p>
            <w:pPr>
              <w:pStyle w:val="TableParagraph"/>
              <w:spacing w:line="133" w:lineRule="exact"/>
              <w:ind w:left="45" w:right="42"/>
              <w:rPr>
                <w:sz w:val="13"/>
              </w:rPr>
            </w:pPr>
            <w:r>
              <w:rPr>
                <w:color w:val="231F20"/>
                <w:spacing w:val="-2"/>
                <w:sz w:val="13"/>
              </w:rPr>
              <w:t>1.34785</w:t>
            </w:r>
          </w:p>
        </w:tc>
        <w:tc>
          <w:tcPr>
            <w:tcW w:w="570" w:type="dxa"/>
          </w:tcPr>
          <w:p>
            <w:pPr>
              <w:pStyle w:val="TableParagraph"/>
              <w:spacing w:line="133" w:lineRule="exact"/>
              <w:ind w:left="39" w:right="39"/>
              <w:rPr>
                <w:sz w:val="13"/>
              </w:rPr>
            </w:pPr>
            <w:r>
              <w:rPr>
                <w:color w:val="231F20"/>
                <w:spacing w:val="-2"/>
                <w:sz w:val="13"/>
              </w:rPr>
              <w:t>1.81136</w:t>
            </w:r>
          </w:p>
        </w:tc>
        <w:tc>
          <w:tcPr>
            <w:tcW w:w="575" w:type="dxa"/>
          </w:tcPr>
          <w:p>
            <w:pPr>
              <w:pStyle w:val="TableParagraph"/>
              <w:spacing w:line="133" w:lineRule="exact"/>
              <w:ind w:left="40" w:right="42"/>
              <w:rPr>
                <w:sz w:val="13"/>
              </w:rPr>
            </w:pPr>
            <w:r>
              <w:rPr>
                <w:color w:val="231F20"/>
                <w:spacing w:val="-2"/>
                <w:sz w:val="13"/>
              </w:rPr>
              <w:t>2.42726</w:t>
            </w:r>
          </w:p>
        </w:tc>
        <w:tc>
          <w:tcPr>
            <w:tcW w:w="575" w:type="dxa"/>
          </w:tcPr>
          <w:p>
            <w:pPr>
              <w:pStyle w:val="TableParagraph"/>
              <w:spacing w:line="133" w:lineRule="exact"/>
              <w:ind w:left="44" w:right="39"/>
              <w:rPr>
                <w:sz w:val="13"/>
              </w:rPr>
            </w:pPr>
            <w:r>
              <w:rPr>
                <w:color w:val="231F20"/>
                <w:spacing w:val="-2"/>
                <w:sz w:val="13"/>
              </w:rPr>
              <w:t>3.24340</w:t>
            </w:r>
          </w:p>
        </w:tc>
        <w:tc>
          <w:tcPr>
            <w:tcW w:w="565" w:type="dxa"/>
          </w:tcPr>
          <w:p>
            <w:pPr>
              <w:pStyle w:val="TableParagraph"/>
              <w:spacing w:line="133" w:lineRule="exact"/>
              <w:ind w:left="42" w:right="37"/>
              <w:rPr>
                <w:sz w:val="13"/>
              </w:rPr>
            </w:pPr>
            <w:r>
              <w:rPr>
                <w:color w:val="231F20"/>
                <w:spacing w:val="-2"/>
                <w:sz w:val="13"/>
              </w:rPr>
              <w:t>4.32194</w:t>
            </w:r>
          </w:p>
        </w:tc>
        <w:tc>
          <w:tcPr>
            <w:tcW w:w="570" w:type="dxa"/>
          </w:tcPr>
          <w:p>
            <w:pPr>
              <w:pStyle w:val="TableParagraph"/>
              <w:spacing w:line="133" w:lineRule="exact"/>
              <w:ind w:left="36" w:right="42"/>
              <w:rPr>
                <w:sz w:val="13"/>
              </w:rPr>
            </w:pPr>
            <w:r>
              <w:rPr>
                <w:color w:val="231F20"/>
                <w:spacing w:val="-2"/>
                <w:sz w:val="13"/>
              </w:rPr>
              <w:t>5.74349</w:t>
            </w:r>
          </w:p>
        </w:tc>
        <w:tc>
          <w:tcPr>
            <w:tcW w:w="574" w:type="dxa"/>
          </w:tcPr>
          <w:p>
            <w:pPr>
              <w:pStyle w:val="TableParagraph"/>
              <w:spacing w:line="133" w:lineRule="exact"/>
              <w:ind w:left="48" w:right="41"/>
              <w:rPr>
                <w:sz w:val="13"/>
              </w:rPr>
            </w:pPr>
            <w:r>
              <w:rPr>
                <w:color w:val="231F20"/>
                <w:spacing w:val="-2"/>
                <w:sz w:val="13"/>
              </w:rPr>
              <w:t>7.61226</w:t>
            </w:r>
          </w:p>
        </w:tc>
        <w:tc>
          <w:tcPr>
            <w:tcW w:w="645" w:type="dxa"/>
          </w:tcPr>
          <w:p>
            <w:pPr>
              <w:pStyle w:val="TableParagraph"/>
              <w:spacing w:line="133" w:lineRule="exact"/>
              <w:ind w:right="51"/>
              <w:jc w:val="right"/>
              <w:rPr>
                <w:sz w:val="13"/>
              </w:rPr>
            </w:pPr>
            <w:r>
              <w:rPr>
                <w:color w:val="231F20"/>
                <w:spacing w:val="-2"/>
                <w:sz w:val="13"/>
              </w:rPr>
              <w:t>10.06266</w:t>
            </w:r>
          </w:p>
        </w:tc>
        <w:tc>
          <w:tcPr>
            <w:tcW w:w="660" w:type="dxa"/>
          </w:tcPr>
          <w:p>
            <w:pPr>
              <w:pStyle w:val="TableParagraph"/>
              <w:spacing w:line="133" w:lineRule="exact"/>
              <w:ind w:right="61"/>
              <w:jc w:val="right"/>
              <w:rPr>
                <w:sz w:val="13"/>
              </w:rPr>
            </w:pPr>
            <w:r>
              <w:rPr>
                <w:color w:val="231F20"/>
                <w:spacing w:val="-2"/>
                <w:sz w:val="13"/>
              </w:rPr>
              <w:t>13.26768</w:t>
            </w:r>
          </w:p>
        </w:tc>
        <w:tc>
          <w:tcPr>
            <w:tcW w:w="620" w:type="dxa"/>
          </w:tcPr>
          <w:p>
            <w:pPr>
              <w:pStyle w:val="TableParagraph"/>
              <w:spacing w:line="133" w:lineRule="exact"/>
              <w:ind w:left="37" w:right="26"/>
              <w:rPr>
                <w:sz w:val="13"/>
              </w:rPr>
            </w:pPr>
            <w:r>
              <w:rPr>
                <w:color w:val="231F20"/>
                <w:spacing w:val="-2"/>
                <w:sz w:val="13"/>
              </w:rPr>
              <w:t>17.44940</w:t>
            </w:r>
          </w:p>
        </w:tc>
        <w:tc>
          <w:tcPr>
            <w:tcW w:w="670" w:type="dxa"/>
          </w:tcPr>
          <w:p>
            <w:pPr>
              <w:pStyle w:val="TableParagraph"/>
              <w:spacing w:line="133" w:lineRule="exact"/>
              <w:ind w:right="40"/>
              <w:jc w:val="right"/>
              <w:rPr>
                <w:sz w:val="13"/>
              </w:rPr>
            </w:pPr>
            <w:r>
              <w:rPr>
                <w:color w:val="231F20"/>
                <w:spacing w:val="-2"/>
                <w:sz w:val="13"/>
              </w:rPr>
              <w:t>29.95992</w:t>
            </w:r>
          </w:p>
        </w:tc>
        <w:tc>
          <w:tcPr>
            <w:tcW w:w="640" w:type="dxa"/>
          </w:tcPr>
          <w:p>
            <w:pPr>
              <w:pStyle w:val="TableParagraph"/>
              <w:spacing w:line="133" w:lineRule="exact"/>
              <w:ind w:right="50"/>
              <w:jc w:val="right"/>
              <w:rPr>
                <w:sz w:val="13"/>
              </w:rPr>
            </w:pPr>
            <w:r>
              <w:rPr>
                <w:color w:val="231F20"/>
                <w:spacing w:val="-2"/>
                <w:sz w:val="13"/>
              </w:rPr>
              <w:t>50.95016</w:t>
            </w:r>
          </w:p>
        </w:tc>
        <w:tc>
          <w:tcPr>
            <w:tcW w:w="645" w:type="dxa"/>
          </w:tcPr>
          <w:p>
            <w:pPr>
              <w:pStyle w:val="TableParagraph"/>
              <w:spacing w:line="133" w:lineRule="exact"/>
              <w:ind w:right="45"/>
              <w:jc w:val="right"/>
              <w:rPr>
                <w:sz w:val="13"/>
              </w:rPr>
            </w:pPr>
            <w:r>
              <w:rPr>
                <w:color w:val="231F20"/>
                <w:spacing w:val="-2"/>
                <w:sz w:val="13"/>
              </w:rPr>
              <w:t>66.21177</w:t>
            </w:r>
          </w:p>
        </w:tc>
        <w:tc>
          <w:tcPr>
            <w:tcW w:w="644" w:type="dxa"/>
          </w:tcPr>
          <w:p>
            <w:pPr>
              <w:pStyle w:val="TableParagraph"/>
              <w:spacing w:line="133" w:lineRule="exact"/>
              <w:ind w:right="49"/>
              <w:jc w:val="right"/>
              <w:rPr>
                <w:sz w:val="13"/>
              </w:rPr>
            </w:pPr>
            <w:r>
              <w:rPr>
                <w:color w:val="231F20"/>
                <w:spacing w:val="-2"/>
                <w:sz w:val="13"/>
              </w:rPr>
              <w:t>85.84988</w:t>
            </w:r>
          </w:p>
        </w:tc>
        <w:tc>
          <w:tcPr>
            <w:tcW w:w="720" w:type="dxa"/>
          </w:tcPr>
          <w:p>
            <w:pPr>
              <w:pStyle w:val="TableParagraph"/>
              <w:spacing w:line="133" w:lineRule="exact"/>
              <w:ind w:right="49"/>
              <w:jc w:val="right"/>
              <w:rPr>
                <w:sz w:val="13"/>
              </w:rPr>
            </w:pPr>
            <w:r>
              <w:rPr>
                <w:color w:val="231F20"/>
                <w:spacing w:val="-2"/>
                <w:sz w:val="13"/>
              </w:rPr>
              <w:t>143.37064</w:t>
            </w:r>
          </w:p>
        </w:tc>
        <w:tc>
          <w:tcPr>
            <w:tcW w:w="720" w:type="dxa"/>
          </w:tcPr>
          <w:p>
            <w:pPr>
              <w:pStyle w:val="TableParagraph"/>
              <w:spacing w:line="133" w:lineRule="exact"/>
              <w:ind w:right="49"/>
              <w:jc w:val="right"/>
              <w:rPr>
                <w:sz w:val="13"/>
              </w:rPr>
            </w:pPr>
            <w:r>
              <w:rPr>
                <w:color w:val="231F20"/>
                <w:spacing w:val="-2"/>
                <w:sz w:val="13"/>
              </w:rPr>
              <w:t>237.37631</w:t>
            </w:r>
          </w:p>
        </w:tc>
        <w:tc>
          <w:tcPr>
            <w:tcW w:w="700" w:type="dxa"/>
          </w:tcPr>
          <w:p>
            <w:pPr>
              <w:pStyle w:val="TableParagraph"/>
              <w:spacing w:line="133" w:lineRule="exact"/>
              <w:ind w:right="30"/>
              <w:jc w:val="right"/>
              <w:rPr>
                <w:sz w:val="13"/>
              </w:rPr>
            </w:pPr>
            <w:r>
              <w:rPr>
                <w:color w:val="231F20"/>
                <w:spacing w:val="-2"/>
                <w:sz w:val="13"/>
              </w:rPr>
              <w:t>807.79357</w:t>
            </w:r>
          </w:p>
        </w:tc>
      </w:tr>
    </w:tbl>
    <w:p>
      <w:pPr>
        <w:spacing w:after="0" w:line="133" w:lineRule="exact"/>
        <w:jc w:val="right"/>
        <w:rPr>
          <w:sz w:val="13"/>
        </w:rPr>
        <w:sectPr>
          <w:headerReference w:type="default" r:id="rId150"/>
          <w:pgSz w:w="12960" w:h="8640" w:orient="landscape"/>
          <w:pgMar w:header="0" w:footer="0" w:top="420" w:bottom="280" w:left="800" w:right="760"/>
        </w:sectPr>
      </w:pPr>
    </w:p>
    <w:p>
      <w:pPr>
        <w:pStyle w:val="BodyText"/>
        <w:spacing w:before="8"/>
        <w:rPr>
          <w:b/>
          <w:i/>
          <w:sz w:val="17"/>
        </w:rPr>
      </w:pPr>
    </w:p>
    <w:p>
      <w:pPr>
        <w:spacing w:before="93"/>
        <w:ind w:left="1412" w:right="1753" w:firstLine="0"/>
        <w:jc w:val="center"/>
        <w:rPr>
          <w:b/>
          <w:sz w:val="20"/>
        </w:rPr>
      </w:pPr>
      <w:r>
        <w:rPr>
          <w:b/>
          <w:color w:val="231F20"/>
          <w:w w:val="115"/>
          <w:sz w:val="20"/>
        </w:rPr>
        <w:t>TABLE</w:t>
      </w:r>
      <w:r>
        <w:rPr>
          <w:b/>
          <w:color w:val="231F20"/>
          <w:spacing w:val="17"/>
          <w:w w:val="115"/>
          <w:sz w:val="20"/>
        </w:rPr>
        <w:t> </w:t>
      </w:r>
      <w:r>
        <w:rPr>
          <w:b/>
          <w:color w:val="231F20"/>
          <w:w w:val="115"/>
          <w:sz w:val="20"/>
        </w:rPr>
        <w:t>OF</w:t>
      </w:r>
      <w:r>
        <w:rPr>
          <w:b/>
          <w:color w:val="231F20"/>
          <w:spacing w:val="17"/>
          <w:w w:val="115"/>
          <w:sz w:val="20"/>
        </w:rPr>
        <w:t> </w:t>
      </w:r>
      <w:r>
        <w:rPr>
          <w:b/>
          <w:color w:val="231F20"/>
          <w:w w:val="115"/>
          <w:sz w:val="20"/>
        </w:rPr>
        <w:t>THE</w:t>
      </w:r>
      <w:r>
        <w:rPr>
          <w:b/>
          <w:color w:val="231F20"/>
          <w:spacing w:val="18"/>
          <w:w w:val="115"/>
          <w:sz w:val="20"/>
        </w:rPr>
        <w:t> </w:t>
      </w:r>
      <w:r>
        <w:rPr>
          <w:b/>
          <w:color w:val="231F20"/>
          <w:w w:val="115"/>
          <w:sz w:val="20"/>
        </w:rPr>
        <w:t>NORMAL</w:t>
      </w:r>
      <w:r>
        <w:rPr>
          <w:b/>
          <w:color w:val="231F20"/>
          <w:spacing w:val="17"/>
          <w:w w:val="115"/>
          <w:sz w:val="20"/>
        </w:rPr>
        <w:t> </w:t>
      </w:r>
      <w:r>
        <w:rPr>
          <w:b/>
          <w:color w:val="231F20"/>
          <w:spacing w:val="-2"/>
          <w:w w:val="115"/>
          <w:sz w:val="20"/>
        </w:rPr>
        <w:t>DISTRIBUTION</w:t>
      </w:r>
    </w:p>
    <w:p>
      <w:pPr>
        <w:pStyle w:val="BodyText"/>
        <w:spacing w:before="3"/>
        <w:rPr>
          <w:b/>
          <w:sz w:val="5"/>
        </w:rPr>
      </w:pPr>
      <w:r>
        <w:rPr/>
        <w:pict>
          <v:shape style="position:absolute;margin-left:58.5pt;margin-top:4.283369pt;width:310.5pt;height:.1pt;mso-position-horizontal-relative:page;mso-position-vertical-relative:paragraph;z-index:-15508992;mso-wrap-distance-left:0;mso-wrap-distance-right:0" id="docshape566" coordorigin="1170,86" coordsize="6210,0" path="m1170,86l7380,86e" filled="false" stroked="true" strokeweight="1pt" strokecolor="#231f20">
            <v:path arrowok="t"/>
            <v:stroke dashstyle="solid"/>
            <w10:wrap type="topAndBottom"/>
          </v:shape>
        </w:pict>
      </w:r>
    </w:p>
    <w:p>
      <w:pPr>
        <w:spacing w:line="288" w:lineRule="auto" w:before="178"/>
        <w:ind w:left="430" w:right="759" w:firstLine="0"/>
        <w:jc w:val="left"/>
        <w:rPr>
          <w:sz w:val="17"/>
        </w:rPr>
      </w:pPr>
      <w:r>
        <w:rPr>
          <w:color w:val="231F20"/>
          <w:sz w:val="17"/>
        </w:rPr>
        <w:t>Each</w:t>
      </w:r>
      <w:r>
        <w:rPr>
          <w:color w:val="231F20"/>
          <w:spacing w:val="-3"/>
          <w:sz w:val="17"/>
        </w:rPr>
        <w:t> </w:t>
      </w:r>
      <w:r>
        <w:rPr>
          <w:color w:val="231F20"/>
          <w:sz w:val="17"/>
        </w:rPr>
        <w:t>number</w:t>
      </w:r>
      <w:r>
        <w:rPr>
          <w:color w:val="231F20"/>
          <w:spacing w:val="-3"/>
          <w:sz w:val="17"/>
        </w:rPr>
        <w:t> </w:t>
      </w:r>
      <w:r>
        <w:rPr>
          <w:color w:val="231F20"/>
          <w:sz w:val="17"/>
        </w:rPr>
        <w:t>in</w:t>
      </w:r>
      <w:r>
        <w:rPr>
          <w:color w:val="231F20"/>
          <w:spacing w:val="-3"/>
          <w:sz w:val="17"/>
        </w:rPr>
        <w:t> </w:t>
      </w:r>
      <w:r>
        <w:rPr>
          <w:color w:val="231F20"/>
          <w:sz w:val="17"/>
        </w:rPr>
        <w:t>the</w:t>
      </w:r>
      <w:r>
        <w:rPr>
          <w:color w:val="231F20"/>
          <w:spacing w:val="-3"/>
          <w:sz w:val="17"/>
        </w:rPr>
        <w:t> </w:t>
      </w:r>
      <w:r>
        <w:rPr>
          <w:color w:val="231F20"/>
          <w:sz w:val="17"/>
        </w:rPr>
        <w:t>table</w:t>
      </w:r>
      <w:r>
        <w:rPr>
          <w:color w:val="231F20"/>
          <w:spacing w:val="-3"/>
          <w:sz w:val="17"/>
        </w:rPr>
        <w:t> </w:t>
      </w:r>
      <w:r>
        <w:rPr>
          <w:color w:val="231F20"/>
          <w:sz w:val="17"/>
        </w:rPr>
        <w:t>is</w:t>
      </w:r>
      <w:r>
        <w:rPr>
          <w:color w:val="231F20"/>
          <w:spacing w:val="-3"/>
          <w:sz w:val="17"/>
        </w:rPr>
        <w:t> </w:t>
      </w:r>
      <w:r>
        <w:rPr>
          <w:color w:val="231F20"/>
          <w:sz w:val="17"/>
        </w:rPr>
        <w:t>the</w:t>
      </w:r>
      <w:r>
        <w:rPr>
          <w:color w:val="231F20"/>
          <w:spacing w:val="-3"/>
          <w:sz w:val="17"/>
        </w:rPr>
        <w:t> </w:t>
      </w:r>
      <w:r>
        <w:rPr>
          <w:color w:val="231F20"/>
          <w:sz w:val="17"/>
        </w:rPr>
        <w:t>area</w:t>
      </w:r>
      <w:r>
        <w:rPr>
          <w:color w:val="231F20"/>
          <w:spacing w:val="-3"/>
          <w:sz w:val="17"/>
        </w:rPr>
        <w:t> </w:t>
      </w:r>
      <w:r>
        <w:rPr>
          <w:color w:val="231F20"/>
          <w:sz w:val="17"/>
        </w:rPr>
        <w:t>under</w:t>
      </w:r>
      <w:r>
        <w:rPr>
          <w:color w:val="231F20"/>
          <w:spacing w:val="-3"/>
          <w:sz w:val="17"/>
        </w:rPr>
        <w:t> </w:t>
      </w:r>
      <w:r>
        <w:rPr>
          <w:color w:val="231F20"/>
          <w:sz w:val="17"/>
        </w:rPr>
        <w:t>the</w:t>
      </w:r>
      <w:r>
        <w:rPr>
          <w:color w:val="231F20"/>
          <w:spacing w:val="-3"/>
          <w:sz w:val="17"/>
        </w:rPr>
        <w:t> </w:t>
      </w:r>
      <w:r>
        <w:rPr>
          <w:color w:val="231F20"/>
          <w:sz w:val="17"/>
        </w:rPr>
        <w:t>normal</w:t>
      </w:r>
      <w:r>
        <w:rPr>
          <w:color w:val="231F20"/>
          <w:spacing w:val="-3"/>
          <w:sz w:val="17"/>
        </w:rPr>
        <w:t> </w:t>
      </w:r>
      <w:r>
        <w:rPr>
          <w:color w:val="231F20"/>
          <w:sz w:val="17"/>
        </w:rPr>
        <w:t>density</w:t>
      </w:r>
      <w:r>
        <w:rPr>
          <w:color w:val="231F20"/>
          <w:spacing w:val="-3"/>
          <w:sz w:val="17"/>
        </w:rPr>
        <w:t> </w:t>
      </w:r>
      <w:r>
        <w:rPr>
          <w:color w:val="231F20"/>
          <w:sz w:val="17"/>
        </w:rPr>
        <w:t>curve</w:t>
      </w:r>
      <w:r>
        <w:rPr>
          <w:color w:val="231F20"/>
          <w:spacing w:val="-3"/>
          <w:sz w:val="17"/>
        </w:rPr>
        <w:t> </w:t>
      </w:r>
      <w:r>
        <w:rPr>
          <w:color w:val="231F20"/>
          <w:sz w:val="17"/>
        </w:rPr>
        <w:t>that</w:t>
      </w:r>
      <w:r>
        <w:rPr>
          <w:color w:val="231F20"/>
          <w:spacing w:val="-3"/>
          <w:sz w:val="17"/>
        </w:rPr>
        <w:t> </w:t>
      </w:r>
      <w:r>
        <w:rPr>
          <w:color w:val="231F20"/>
          <w:sz w:val="17"/>
        </w:rPr>
        <w:t>lies</w:t>
      </w:r>
      <w:r>
        <w:rPr>
          <w:color w:val="231F20"/>
          <w:spacing w:val="-3"/>
          <w:sz w:val="17"/>
        </w:rPr>
        <w:t> </w:t>
      </w:r>
      <w:r>
        <w:rPr>
          <w:color w:val="231F20"/>
          <w:sz w:val="17"/>
        </w:rPr>
        <w:t>between</w:t>
      </w:r>
      <w:r>
        <w:rPr>
          <w:color w:val="231F20"/>
          <w:spacing w:val="40"/>
          <w:w w:val="105"/>
          <w:sz w:val="17"/>
        </w:rPr>
        <w:t> </w:t>
      </w:r>
      <w:r>
        <w:rPr>
          <w:color w:val="231F20"/>
          <w:w w:val="105"/>
          <w:sz w:val="17"/>
        </w:rPr>
        <w:t>the mean and Z standard deviation units from the mean.</w:t>
      </w:r>
    </w:p>
    <w:p>
      <w:pPr>
        <w:spacing w:before="112"/>
        <w:ind w:left="769" w:right="0" w:firstLine="0"/>
        <w:jc w:val="left"/>
        <w:rPr>
          <w:sz w:val="17"/>
        </w:rPr>
      </w:pPr>
      <w:r>
        <w:rPr>
          <w:color w:val="231F20"/>
          <w:w w:val="105"/>
          <w:sz w:val="17"/>
        </w:rPr>
        <w:t>Z </w:t>
      </w:r>
      <w:r>
        <w:rPr>
          <w:rFonts w:ascii="Symbol" w:hAnsi="Symbol"/>
          <w:color w:val="231F20"/>
          <w:w w:val="105"/>
          <w:sz w:val="17"/>
        </w:rPr>
        <w:t></w:t>
      </w:r>
      <w:r>
        <w:rPr>
          <w:rFonts w:ascii="Times New Roman" w:hAnsi="Times New Roman"/>
          <w:color w:val="231F20"/>
          <w:spacing w:val="-4"/>
          <w:w w:val="105"/>
          <w:sz w:val="17"/>
        </w:rPr>
        <w:t> </w:t>
      </w:r>
      <w:r>
        <w:rPr>
          <w:color w:val="231F20"/>
          <w:w w:val="105"/>
          <w:sz w:val="17"/>
        </w:rPr>
        <w:t>(x</w:t>
      </w:r>
      <w:r>
        <w:rPr>
          <w:color w:val="231F20"/>
          <w:spacing w:val="1"/>
          <w:w w:val="105"/>
          <w:sz w:val="17"/>
        </w:rPr>
        <w:t> </w:t>
      </w:r>
      <w:r>
        <w:rPr>
          <w:rFonts w:ascii="Symbol" w:hAnsi="Symbol"/>
          <w:color w:val="231F20"/>
          <w:w w:val="105"/>
          <w:sz w:val="17"/>
        </w:rPr>
        <w:t></w:t>
      </w:r>
      <w:r>
        <w:rPr>
          <w:rFonts w:ascii="Times New Roman" w:hAnsi="Times New Roman"/>
          <w:color w:val="231F20"/>
          <w:spacing w:val="-4"/>
          <w:w w:val="105"/>
          <w:sz w:val="17"/>
        </w:rPr>
        <w:t> </w:t>
      </w:r>
      <w:r>
        <w:rPr>
          <w:color w:val="231F20"/>
          <w:w w:val="105"/>
          <w:sz w:val="17"/>
        </w:rPr>
        <w:t>mean)</w:t>
      </w:r>
      <w:r>
        <w:rPr>
          <w:color w:val="231F20"/>
          <w:spacing w:val="1"/>
          <w:w w:val="105"/>
          <w:sz w:val="17"/>
        </w:rPr>
        <w:t> </w:t>
      </w:r>
      <w:r>
        <w:rPr>
          <w:rFonts w:ascii="Symbol" w:hAnsi="Symbol"/>
          <w:color w:val="231F20"/>
          <w:w w:val="105"/>
          <w:sz w:val="17"/>
        </w:rPr>
        <w:t></w:t>
      </w:r>
      <w:r>
        <w:rPr>
          <w:rFonts w:ascii="Times New Roman" w:hAnsi="Times New Roman"/>
          <w:color w:val="231F20"/>
          <w:spacing w:val="-5"/>
          <w:w w:val="105"/>
          <w:sz w:val="17"/>
        </w:rPr>
        <w:t> </w:t>
      </w:r>
      <w:r>
        <w:rPr>
          <w:color w:val="231F20"/>
          <w:w w:val="105"/>
          <w:sz w:val="17"/>
        </w:rPr>
        <w:t>standard</w:t>
      </w:r>
      <w:r>
        <w:rPr>
          <w:color w:val="231F20"/>
          <w:spacing w:val="1"/>
          <w:w w:val="105"/>
          <w:sz w:val="17"/>
        </w:rPr>
        <w:t> </w:t>
      </w:r>
      <w:r>
        <w:rPr>
          <w:color w:val="231F20"/>
          <w:spacing w:val="-2"/>
          <w:w w:val="105"/>
          <w:sz w:val="17"/>
        </w:rPr>
        <w:t>deviation</w:t>
      </w:r>
    </w:p>
    <w:p>
      <w:pPr>
        <w:pStyle w:val="BodyText"/>
        <w:spacing w:before="1"/>
        <w:rPr>
          <w:sz w:val="14"/>
        </w:rPr>
      </w:pPr>
    </w:p>
    <w:tbl>
      <w:tblPr>
        <w:tblW w:w="0" w:type="auto"/>
        <w:jc w:val="left"/>
        <w:tblInd w:w="4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70"/>
        <w:gridCol w:w="940"/>
        <w:gridCol w:w="540"/>
        <w:gridCol w:w="540"/>
        <w:gridCol w:w="540"/>
        <w:gridCol w:w="540"/>
        <w:gridCol w:w="540"/>
        <w:gridCol w:w="540"/>
        <w:gridCol w:w="540"/>
        <w:gridCol w:w="540"/>
        <w:gridCol w:w="580"/>
      </w:tblGrid>
      <w:tr>
        <w:trPr>
          <w:trHeight w:val="220" w:hRule="atLeast"/>
        </w:trPr>
        <w:tc>
          <w:tcPr>
            <w:tcW w:w="370" w:type="dxa"/>
          </w:tcPr>
          <w:p>
            <w:pPr>
              <w:pStyle w:val="TableParagraph"/>
              <w:spacing w:before="43"/>
              <w:ind w:left="57"/>
              <w:rPr>
                <w:b/>
                <w:i/>
                <w:sz w:val="12"/>
              </w:rPr>
            </w:pPr>
            <w:r>
              <w:rPr>
                <w:b/>
                <w:i/>
                <w:color w:val="231F20"/>
                <w:w w:val="119"/>
                <w:sz w:val="12"/>
              </w:rPr>
              <w:t>Z</w:t>
            </w:r>
          </w:p>
        </w:tc>
        <w:tc>
          <w:tcPr>
            <w:tcW w:w="940" w:type="dxa"/>
          </w:tcPr>
          <w:p>
            <w:pPr>
              <w:pStyle w:val="TableParagraph"/>
              <w:spacing w:before="43"/>
              <w:ind w:right="169"/>
              <w:jc w:val="right"/>
              <w:rPr>
                <w:b/>
                <w:i/>
                <w:sz w:val="12"/>
              </w:rPr>
            </w:pPr>
            <w:r>
              <w:rPr>
                <w:b/>
                <w:i/>
                <w:color w:val="231F20"/>
                <w:spacing w:val="-4"/>
                <w:sz w:val="12"/>
              </w:rPr>
              <w:t>0.00</w:t>
            </w:r>
          </w:p>
        </w:tc>
        <w:tc>
          <w:tcPr>
            <w:tcW w:w="540" w:type="dxa"/>
          </w:tcPr>
          <w:p>
            <w:pPr>
              <w:pStyle w:val="TableParagraph"/>
              <w:spacing w:before="43"/>
              <w:ind w:left="170"/>
              <w:jc w:val="left"/>
              <w:rPr>
                <w:b/>
                <w:i/>
                <w:sz w:val="12"/>
              </w:rPr>
            </w:pPr>
            <w:r>
              <w:rPr>
                <w:b/>
                <w:i/>
                <w:color w:val="231F20"/>
                <w:spacing w:val="-4"/>
                <w:sz w:val="12"/>
              </w:rPr>
              <w:t>0.01</w:t>
            </w:r>
          </w:p>
        </w:tc>
        <w:tc>
          <w:tcPr>
            <w:tcW w:w="540" w:type="dxa"/>
          </w:tcPr>
          <w:p>
            <w:pPr>
              <w:pStyle w:val="TableParagraph"/>
              <w:spacing w:before="43"/>
              <w:ind w:left="170"/>
              <w:jc w:val="left"/>
              <w:rPr>
                <w:b/>
                <w:i/>
                <w:sz w:val="12"/>
              </w:rPr>
            </w:pPr>
            <w:r>
              <w:rPr>
                <w:b/>
                <w:i/>
                <w:color w:val="231F20"/>
                <w:spacing w:val="-4"/>
                <w:sz w:val="12"/>
              </w:rPr>
              <w:t>0.02</w:t>
            </w:r>
          </w:p>
        </w:tc>
        <w:tc>
          <w:tcPr>
            <w:tcW w:w="540" w:type="dxa"/>
          </w:tcPr>
          <w:p>
            <w:pPr>
              <w:pStyle w:val="TableParagraph"/>
              <w:spacing w:before="43"/>
              <w:ind w:left="170"/>
              <w:jc w:val="left"/>
              <w:rPr>
                <w:b/>
                <w:i/>
                <w:sz w:val="12"/>
              </w:rPr>
            </w:pPr>
            <w:r>
              <w:rPr>
                <w:b/>
                <w:i/>
                <w:color w:val="231F20"/>
                <w:spacing w:val="-4"/>
                <w:sz w:val="12"/>
              </w:rPr>
              <w:t>0.03</w:t>
            </w:r>
          </w:p>
        </w:tc>
        <w:tc>
          <w:tcPr>
            <w:tcW w:w="540" w:type="dxa"/>
          </w:tcPr>
          <w:p>
            <w:pPr>
              <w:pStyle w:val="TableParagraph"/>
              <w:spacing w:before="43"/>
              <w:ind w:left="160"/>
              <w:jc w:val="left"/>
              <w:rPr>
                <w:b/>
                <w:i/>
                <w:sz w:val="12"/>
              </w:rPr>
            </w:pPr>
            <w:r>
              <w:rPr>
                <w:b/>
                <w:i/>
                <w:color w:val="231F20"/>
                <w:spacing w:val="-4"/>
                <w:sz w:val="12"/>
              </w:rPr>
              <w:t>0.04</w:t>
            </w:r>
          </w:p>
        </w:tc>
        <w:tc>
          <w:tcPr>
            <w:tcW w:w="540" w:type="dxa"/>
          </w:tcPr>
          <w:p>
            <w:pPr>
              <w:pStyle w:val="TableParagraph"/>
              <w:spacing w:before="43"/>
              <w:ind w:left="170"/>
              <w:jc w:val="left"/>
              <w:rPr>
                <w:b/>
                <w:i/>
                <w:sz w:val="12"/>
              </w:rPr>
            </w:pPr>
            <w:r>
              <w:rPr>
                <w:b/>
                <w:i/>
                <w:color w:val="231F20"/>
                <w:spacing w:val="-4"/>
                <w:sz w:val="12"/>
              </w:rPr>
              <w:t>0.05</w:t>
            </w:r>
          </w:p>
        </w:tc>
        <w:tc>
          <w:tcPr>
            <w:tcW w:w="540" w:type="dxa"/>
          </w:tcPr>
          <w:p>
            <w:pPr>
              <w:pStyle w:val="TableParagraph"/>
              <w:spacing w:before="43"/>
              <w:ind w:left="170"/>
              <w:jc w:val="left"/>
              <w:rPr>
                <w:b/>
                <w:i/>
                <w:sz w:val="12"/>
              </w:rPr>
            </w:pPr>
            <w:r>
              <w:rPr>
                <w:b/>
                <w:i/>
                <w:color w:val="231F20"/>
                <w:spacing w:val="-4"/>
                <w:sz w:val="12"/>
              </w:rPr>
              <w:t>0.06</w:t>
            </w:r>
          </w:p>
        </w:tc>
        <w:tc>
          <w:tcPr>
            <w:tcW w:w="540" w:type="dxa"/>
          </w:tcPr>
          <w:p>
            <w:pPr>
              <w:pStyle w:val="TableParagraph"/>
              <w:spacing w:before="43"/>
              <w:ind w:left="170"/>
              <w:jc w:val="left"/>
              <w:rPr>
                <w:b/>
                <w:i/>
                <w:sz w:val="12"/>
              </w:rPr>
            </w:pPr>
            <w:r>
              <w:rPr>
                <w:b/>
                <w:i/>
                <w:color w:val="231F20"/>
                <w:spacing w:val="-4"/>
                <w:sz w:val="12"/>
              </w:rPr>
              <w:t>0.07</w:t>
            </w:r>
          </w:p>
        </w:tc>
        <w:tc>
          <w:tcPr>
            <w:tcW w:w="540" w:type="dxa"/>
          </w:tcPr>
          <w:p>
            <w:pPr>
              <w:pStyle w:val="TableParagraph"/>
              <w:spacing w:before="43"/>
              <w:ind w:left="170"/>
              <w:jc w:val="left"/>
              <w:rPr>
                <w:b/>
                <w:i/>
                <w:sz w:val="12"/>
              </w:rPr>
            </w:pPr>
            <w:r>
              <w:rPr>
                <w:b/>
                <w:i/>
                <w:color w:val="231F20"/>
                <w:spacing w:val="-4"/>
                <w:sz w:val="12"/>
              </w:rPr>
              <w:t>0.08</w:t>
            </w:r>
          </w:p>
        </w:tc>
        <w:tc>
          <w:tcPr>
            <w:tcW w:w="580" w:type="dxa"/>
          </w:tcPr>
          <w:p>
            <w:pPr>
              <w:pStyle w:val="TableParagraph"/>
              <w:spacing w:before="43"/>
              <w:ind w:left="170"/>
              <w:jc w:val="left"/>
              <w:rPr>
                <w:b/>
                <w:i/>
                <w:sz w:val="12"/>
              </w:rPr>
            </w:pPr>
            <w:r>
              <w:rPr>
                <w:b/>
                <w:i/>
                <w:color w:val="231F20"/>
                <w:spacing w:val="-4"/>
                <w:sz w:val="12"/>
              </w:rPr>
              <w:t>0.09</w:t>
            </w:r>
          </w:p>
        </w:tc>
      </w:tr>
      <w:tr>
        <w:trPr>
          <w:trHeight w:val="229" w:hRule="atLeast"/>
        </w:trPr>
        <w:tc>
          <w:tcPr>
            <w:tcW w:w="370" w:type="dxa"/>
            <w:tcBorders>
              <w:bottom w:val="nil"/>
            </w:tcBorders>
          </w:tcPr>
          <w:p>
            <w:pPr>
              <w:pStyle w:val="TableParagraph"/>
              <w:spacing w:before="63"/>
              <w:ind w:left="107" w:right="61"/>
              <w:rPr>
                <w:sz w:val="12"/>
              </w:rPr>
            </w:pPr>
            <w:r>
              <w:rPr>
                <w:color w:val="231F20"/>
                <w:spacing w:val="-5"/>
                <w:w w:val="105"/>
                <w:sz w:val="12"/>
              </w:rPr>
              <w:t>0.0</w:t>
            </w:r>
          </w:p>
        </w:tc>
        <w:tc>
          <w:tcPr>
            <w:tcW w:w="940" w:type="dxa"/>
            <w:tcBorders>
              <w:bottom w:val="nil"/>
            </w:tcBorders>
          </w:tcPr>
          <w:p>
            <w:pPr>
              <w:pStyle w:val="TableParagraph"/>
              <w:spacing w:before="63"/>
              <w:ind w:right="67"/>
              <w:jc w:val="right"/>
              <w:rPr>
                <w:sz w:val="12"/>
              </w:rPr>
            </w:pPr>
            <w:r>
              <w:rPr>
                <w:color w:val="231F20"/>
                <w:spacing w:val="-2"/>
                <w:sz w:val="12"/>
              </w:rPr>
              <w:t>0.0000</w:t>
            </w:r>
          </w:p>
        </w:tc>
        <w:tc>
          <w:tcPr>
            <w:tcW w:w="540" w:type="dxa"/>
            <w:tcBorders>
              <w:bottom w:val="nil"/>
            </w:tcBorders>
          </w:tcPr>
          <w:p>
            <w:pPr>
              <w:pStyle w:val="TableParagraph"/>
              <w:spacing w:before="63"/>
              <w:ind w:right="67"/>
              <w:jc w:val="right"/>
              <w:rPr>
                <w:sz w:val="12"/>
              </w:rPr>
            </w:pPr>
            <w:r>
              <w:rPr>
                <w:color w:val="231F20"/>
                <w:spacing w:val="-2"/>
                <w:sz w:val="12"/>
              </w:rPr>
              <w:t>0.0040</w:t>
            </w:r>
          </w:p>
        </w:tc>
        <w:tc>
          <w:tcPr>
            <w:tcW w:w="540" w:type="dxa"/>
            <w:tcBorders>
              <w:bottom w:val="nil"/>
            </w:tcBorders>
          </w:tcPr>
          <w:p>
            <w:pPr>
              <w:pStyle w:val="TableParagraph"/>
              <w:spacing w:before="63"/>
              <w:ind w:right="67"/>
              <w:jc w:val="right"/>
              <w:rPr>
                <w:sz w:val="12"/>
              </w:rPr>
            </w:pPr>
            <w:r>
              <w:rPr>
                <w:color w:val="231F20"/>
                <w:spacing w:val="-2"/>
                <w:sz w:val="12"/>
              </w:rPr>
              <w:t>0.0080</w:t>
            </w:r>
          </w:p>
        </w:tc>
        <w:tc>
          <w:tcPr>
            <w:tcW w:w="540" w:type="dxa"/>
            <w:tcBorders>
              <w:bottom w:val="nil"/>
            </w:tcBorders>
          </w:tcPr>
          <w:p>
            <w:pPr>
              <w:pStyle w:val="TableParagraph"/>
              <w:spacing w:before="63"/>
              <w:ind w:right="67"/>
              <w:jc w:val="right"/>
              <w:rPr>
                <w:sz w:val="12"/>
              </w:rPr>
            </w:pPr>
            <w:r>
              <w:rPr>
                <w:color w:val="231F20"/>
                <w:spacing w:val="-2"/>
                <w:sz w:val="12"/>
              </w:rPr>
              <w:t>0.0120</w:t>
            </w:r>
          </w:p>
        </w:tc>
        <w:tc>
          <w:tcPr>
            <w:tcW w:w="540" w:type="dxa"/>
            <w:tcBorders>
              <w:bottom w:val="nil"/>
            </w:tcBorders>
          </w:tcPr>
          <w:p>
            <w:pPr>
              <w:pStyle w:val="TableParagraph"/>
              <w:spacing w:before="63"/>
              <w:ind w:right="67"/>
              <w:jc w:val="right"/>
              <w:rPr>
                <w:sz w:val="12"/>
              </w:rPr>
            </w:pPr>
            <w:r>
              <w:rPr>
                <w:color w:val="231F20"/>
                <w:spacing w:val="-2"/>
                <w:sz w:val="12"/>
              </w:rPr>
              <w:t>0.0160</w:t>
            </w:r>
          </w:p>
        </w:tc>
        <w:tc>
          <w:tcPr>
            <w:tcW w:w="540" w:type="dxa"/>
            <w:tcBorders>
              <w:bottom w:val="nil"/>
            </w:tcBorders>
          </w:tcPr>
          <w:p>
            <w:pPr>
              <w:pStyle w:val="TableParagraph"/>
              <w:spacing w:before="63"/>
              <w:ind w:right="67"/>
              <w:jc w:val="right"/>
              <w:rPr>
                <w:sz w:val="12"/>
              </w:rPr>
            </w:pPr>
            <w:r>
              <w:rPr>
                <w:color w:val="231F20"/>
                <w:spacing w:val="-2"/>
                <w:sz w:val="12"/>
              </w:rPr>
              <w:t>0.0199</w:t>
            </w:r>
          </w:p>
        </w:tc>
        <w:tc>
          <w:tcPr>
            <w:tcW w:w="540" w:type="dxa"/>
            <w:tcBorders>
              <w:bottom w:val="nil"/>
            </w:tcBorders>
          </w:tcPr>
          <w:p>
            <w:pPr>
              <w:pStyle w:val="TableParagraph"/>
              <w:spacing w:before="63"/>
              <w:ind w:right="67"/>
              <w:jc w:val="right"/>
              <w:rPr>
                <w:sz w:val="12"/>
              </w:rPr>
            </w:pPr>
            <w:r>
              <w:rPr>
                <w:color w:val="231F20"/>
                <w:spacing w:val="-2"/>
                <w:sz w:val="12"/>
              </w:rPr>
              <w:t>0.0239</w:t>
            </w:r>
          </w:p>
        </w:tc>
        <w:tc>
          <w:tcPr>
            <w:tcW w:w="540" w:type="dxa"/>
            <w:tcBorders>
              <w:bottom w:val="nil"/>
            </w:tcBorders>
          </w:tcPr>
          <w:p>
            <w:pPr>
              <w:pStyle w:val="TableParagraph"/>
              <w:spacing w:before="63"/>
              <w:ind w:right="67"/>
              <w:jc w:val="right"/>
              <w:rPr>
                <w:sz w:val="12"/>
              </w:rPr>
            </w:pPr>
            <w:r>
              <w:rPr>
                <w:color w:val="231F20"/>
                <w:spacing w:val="-2"/>
                <w:sz w:val="12"/>
              </w:rPr>
              <w:t>0.0279</w:t>
            </w:r>
          </w:p>
        </w:tc>
        <w:tc>
          <w:tcPr>
            <w:tcW w:w="540" w:type="dxa"/>
            <w:tcBorders>
              <w:bottom w:val="nil"/>
            </w:tcBorders>
          </w:tcPr>
          <w:p>
            <w:pPr>
              <w:pStyle w:val="TableParagraph"/>
              <w:spacing w:before="63"/>
              <w:ind w:right="67"/>
              <w:jc w:val="right"/>
              <w:rPr>
                <w:sz w:val="12"/>
              </w:rPr>
            </w:pPr>
            <w:r>
              <w:rPr>
                <w:color w:val="231F20"/>
                <w:spacing w:val="-2"/>
                <w:sz w:val="12"/>
              </w:rPr>
              <w:t>0.0319</w:t>
            </w:r>
          </w:p>
        </w:tc>
        <w:tc>
          <w:tcPr>
            <w:tcW w:w="580" w:type="dxa"/>
            <w:tcBorders>
              <w:bottom w:val="nil"/>
            </w:tcBorders>
          </w:tcPr>
          <w:p>
            <w:pPr>
              <w:pStyle w:val="TableParagraph"/>
              <w:spacing w:before="63"/>
              <w:ind w:right="107"/>
              <w:jc w:val="right"/>
              <w:rPr>
                <w:sz w:val="12"/>
              </w:rPr>
            </w:pPr>
            <w:r>
              <w:rPr>
                <w:color w:val="231F20"/>
                <w:spacing w:val="-2"/>
                <w:sz w:val="12"/>
              </w:rPr>
              <w:t>0.0359</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0.1</w:t>
            </w:r>
          </w:p>
        </w:tc>
        <w:tc>
          <w:tcPr>
            <w:tcW w:w="940" w:type="dxa"/>
            <w:tcBorders>
              <w:top w:val="nil"/>
              <w:bottom w:val="nil"/>
            </w:tcBorders>
          </w:tcPr>
          <w:p>
            <w:pPr>
              <w:pStyle w:val="TableParagraph"/>
              <w:spacing w:before="24"/>
              <w:ind w:right="67"/>
              <w:jc w:val="right"/>
              <w:rPr>
                <w:sz w:val="12"/>
              </w:rPr>
            </w:pPr>
            <w:r>
              <w:rPr>
                <w:color w:val="231F20"/>
                <w:spacing w:val="-2"/>
                <w:sz w:val="12"/>
              </w:rPr>
              <w:t>0.0398</w:t>
            </w:r>
          </w:p>
        </w:tc>
        <w:tc>
          <w:tcPr>
            <w:tcW w:w="540" w:type="dxa"/>
            <w:tcBorders>
              <w:top w:val="nil"/>
              <w:bottom w:val="nil"/>
            </w:tcBorders>
          </w:tcPr>
          <w:p>
            <w:pPr>
              <w:pStyle w:val="TableParagraph"/>
              <w:spacing w:before="24"/>
              <w:ind w:right="67"/>
              <w:jc w:val="right"/>
              <w:rPr>
                <w:sz w:val="12"/>
              </w:rPr>
            </w:pPr>
            <w:r>
              <w:rPr>
                <w:color w:val="231F20"/>
                <w:spacing w:val="-2"/>
                <w:sz w:val="12"/>
              </w:rPr>
              <w:t>0.0438</w:t>
            </w:r>
          </w:p>
        </w:tc>
        <w:tc>
          <w:tcPr>
            <w:tcW w:w="540" w:type="dxa"/>
            <w:tcBorders>
              <w:top w:val="nil"/>
              <w:bottom w:val="nil"/>
            </w:tcBorders>
          </w:tcPr>
          <w:p>
            <w:pPr>
              <w:pStyle w:val="TableParagraph"/>
              <w:spacing w:before="24"/>
              <w:ind w:right="67"/>
              <w:jc w:val="right"/>
              <w:rPr>
                <w:sz w:val="12"/>
              </w:rPr>
            </w:pPr>
            <w:r>
              <w:rPr>
                <w:color w:val="231F20"/>
                <w:spacing w:val="-2"/>
                <w:sz w:val="12"/>
              </w:rPr>
              <w:t>0.0478</w:t>
            </w:r>
          </w:p>
        </w:tc>
        <w:tc>
          <w:tcPr>
            <w:tcW w:w="540" w:type="dxa"/>
            <w:tcBorders>
              <w:top w:val="nil"/>
              <w:bottom w:val="nil"/>
            </w:tcBorders>
          </w:tcPr>
          <w:p>
            <w:pPr>
              <w:pStyle w:val="TableParagraph"/>
              <w:spacing w:before="24"/>
              <w:ind w:right="67"/>
              <w:jc w:val="right"/>
              <w:rPr>
                <w:sz w:val="12"/>
              </w:rPr>
            </w:pPr>
            <w:r>
              <w:rPr>
                <w:color w:val="231F20"/>
                <w:spacing w:val="-2"/>
                <w:sz w:val="12"/>
              </w:rPr>
              <w:t>0.0517</w:t>
            </w:r>
          </w:p>
        </w:tc>
        <w:tc>
          <w:tcPr>
            <w:tcW w:w="540" w:type="dxa"/>
            <w:tcBorders>
              <w:top w:val="nil"/>
              <w:bottom w:val="nil"/>
            </w:tcBorders>
          </w:tcPr>
          <w:p>
            <w:pPr>
              <w:pStyle w:val="TableParagraph"/>
              <w:spacing w:before="24"/>
              <w:ind w:right="67"/>
              <w:jc w:val="right"/>
              <w:rPr>
                <w:sz w:val="12"/>
              </w:rPr>
            </w:pPr>
            <w:r>
              <w:rPr>
                <w:color w:val="231F20"/>
                <w:spacing w:val="-2"/>
                <w:sz w:val="12"/>
              </w:rPr>
              <w:t>0.0557</w:t>
            </w:r>
          </w:p>
        </w:tc>
        <w:tc>
          <w:tcPr>
            <w:tcW w:w="540" w:type="dxa"/>
            <w:tcBorders>
              <w:top w:val="nil"/>
              <w:bottom w:val="nil"/>
            </w:tcBorders>
          </w:tcPr>
          <w:p>
            <w:pPr>
              <w:pStyle w:val="TableParagraph"/>
              <w:spacing w:before="24"/>
              <w:ind w:right="67"/>
              <w:jc w:val="right"/>
              <w:rPr>
                <w:sz w:val="12"/>
              </w:rPr>
            </w:pPr>
            <w:r>
              <w:rPr>
                <w:color w:val="231F20"/>
                <w:spacing w:val="-2"/>
                <w:sz w:val="12"/>
              </w:rPr>
              <w:t>0.0596</w:t>
            </w:r>
          </w:p>
        </w:tc>
        <w:tc>
          <w:tcPr>
            <w:tcW w:w="540" w:type="dxa"/>
            <w:tcBorders>
              <w:top w:val="nil"/>
              <w:bottom w:val="nil"/>
            </w:tcBorders>
          </w:tcPr>
          <w:p>
            <w:pPr>
              <w:pStyle w:val="TableParagraph"/>
              <w:spacing w:before="24"/>
              <w:ind w:right="67"/>
              <w:jc w:val="right"/>
              <w:rPr>
                <w:sz w:val="12"/>
              </w:rPr>
            </w:pPr>
            <w:r>
              <w:rPr>
                <w:color w:val="231F20"/>
                <w:spacing w:val="-2"/>
                <w:sz w:val="12"/>
              </w:rPr>
              <w:t>0.0636</w:t>
            </w:r>
          </w:p>
        </w:tc>
        <w:tc>
          <w:tcPr>
            <w:tcW w:w="540" w:type="dxa"/>
            <w:tcBorders>
              <w:top w:val="nil"/>
              <w:bottom w:val="nil"/>
            </w:tcBorders>
          </w:tcPr>
          <w:p>
            <w:pPr>
              <w:pStyle w:val="TableParagraph"/>
              <w:spacing w:before="24"/>
              <w:ind w:right="67"/>
              <w:jc w:val="right"/>
              <w:rPr>
                <w:sz w:val="12"/>
              </w:rPr>
            </w:pPr>
            <w:r>
              <w:rPr>
                <w:color w:val="231F20"/>
                <w:spacing w:val="-2"/>
                <w:sz w:val="12"/>
              </w:rPr>
              <w:t>0.0675</w:t>
            </w:r>
          </w:p>
        </w:tc>
        <w:tc>
          <w:tcPr>
            <w:tcW w:w="540" w:type="dxa"/>
            <w:tcBorders>
              <w:top w:val="nil"/>
              <w:bottom w:val="nil"/>
            </w:tcBorders>
          </w:tcPr>
          <w:p>
            <w:pPr>
              <w:pStyle w:val="TableParagraph"/>
              <w:spacing w:before="24"/>
              <w:ind w:right="67"/>
              <w:jc w:val="right"/>
              <w:rPr>
                <w:sz w:val="12"/>
              </w:rPr>
            </w:pPr>
            <w:r>
              <w:rPr>
                <w:color w:val="231F20"/>
                <w:spacing w:val="-2"/>
                <w:sz w:val="12"/>
              </w:rPr>
              <w:t>0.0714</w:t>
            </w:r>
          </w:p>
        </w:tc>
        <w:tc>
          <w:tcPr>
            <w:tcW w:w="580" w:type="dxa"/>
            <w:tcBorders>
              <w:top w:val="nil"/>
              <w:bottom w:val="nil"/>
            </w:tcBorders>
          </w:tcPr>
          <w:p>
            <w:pPr>
              <w:pStyle w:val="TableParagraph"/>
              <w:spacing w:before="24"/>
              <w:ind w:right="107"/>
              <w:jc w:val="right"/>
              <w:rPr>
                <w:sz w:val="12"/>
              </w:rPr>
            </w:pPr>
            <w:r>
              <w:rPr>
                <w:color w:val="231F20"/>
                <w:spacing w:val="-2"/>
                <w:sz w:val="12"/>
              </w:rPr>
              <w:t>0.0753</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0.2</w:t>
            </w:r>
          </w:p>
        </w:tc>
        <w:tc>
          <w:tcPr>
            <w:tcW w:w="940" w:type="dxa"/>
            <w:tcBorders>
              <w:top w:val="nil"/>
              <w:bottom w:val="nil"/>
            </w:tcBorders>
          </w:tcPr>
          <w:p>
            <w:pPr>
              <w:pStyle w:val="TableParagraph"/>
              <w:spacing w:before="24"/>
              <w:ind w:right="67"/>
              <w:jc w:val="right"/>
              <w:rPr>
                <w:sz w:val="12"/>
              </w:rPr>
            </w:pPr>
            <w:r>
              <w:rPr>
                <w:color w:val="231F20"/>
                <w:spacing w:val="-2"/>
                <w:sz w:val="12"/>
              </w:rPr>
              <w:t>0.0793</w:t>
            </w:r>
          </w:p>
        </w:tc>
        <w:tc>
          <w:tcPr>
            <w:tcW w:w="540" w:type="dxa"/>
            <w:tcBorders>
              <w:top w:val="nil"/>
              <w:bottom w:val="nil"/>
            </w:tcBorders>
          </w:tcPr>
          <w:p>
            <w:pPr>
              <w:pStyle w:val="TableParagraph"/>
              <w:spacing w:before="24"/>
              <w:ind w:right="67"/>
              <w:jc w:val="right"/>
              <w:rPr>
                <w:sz w:val="12"/>
              </w:rPr>
            </w:pPr>
            <w:r>
              <w:rPr>
                <w:color w:val="231F20"/>
                <w:spacing w:val="-2"/>
                <w:sz w:val="12"/>
              </w:rPr>
              <w:t>0.0832</w:t>
            </w:r>
          </w:p>
        </w:tc>
        <w:tc>
          <w:tcPr>
            <w:tcW w:w="540" w:type="dxa"/>
            <w:tcBorders>
              <w:top w:val="nil"/>
              <w:bottom w:val="nil"/>
            </w:tcBorders>
          </w:tcPr>
          <w:p>
            <w:pPr>
              <w:pStyle w:val="TableParagraph"/>
              <w:spacing w:before="24"/>
              <w:ind w:right="67"/>
              <w:jc w:val="right"/>
              <w:rPr>
                <w:sz w:val="12"/>
              </w:rPr>
            </w:pPr>
            <w:r>
              <w:rPr>
                <w:color w:val="231F20"/>
                <w:spacing w:val="-2"/>
                <w:sz w:val="12"/>
              </w:rPr>
              <w:t>0.0871</w:t>
            </w:r>
          </w:p>
        </w:tc>
        <w:tc>
          <w:tcPr>
            <w:tcW w:w="540" w:type="dxa"/>
            <w:tcBorders>
              <w:top w:val="nil"/>
              <w:bottom w:val="nil"/>
            </w:tcBorders>
          </w:tcPr>
          <w:p>
            <w:pPr>
              <w:pStyle w:val="TableParagraph"/>
              <w:spacing w:before="24"/>
              <w:ind w:right="67"/>
              <w:jc w:val="right"/>
              <w:rPr>
                <w:sz w:val="12"/>
              </w:rPr>
            </w:pPr>
            <w:r>
              <w:rPr>
                <w:color w:val="231F20"/>
                <w:spacing w:val="-2"/>
                <w:sz w:val="12"/>
              </w:rPr>
              <w:t>0.0910</w:t>
            </w:r>
          </w:p>
        </w:tc>
        <w:tc>
          <w:tcPr>
            <w:tcW w:w="540" w:type="dxa"/>
            <w:tcBorders>
              <w:top w:val="nil"/>
              <w:bottom w:val="nil"/>
            </w:tcBorders>
          </w:tcPr>
          <w:p>
            <w:pPr>
              <w:pStyle w:val="TableParagraph"/>
              <w:spacing w:before="24"/>
              <w:ind w:right="67"/>
              <w:jc w:val="right"/>
              <w:rPr>
                <w:sz w:val="12"/>
              </w:rPr>
            </w:pPr>
            <w:r>
              <w:rPr>
                <w:color w:val="231F20"/>
                <w:spacing w:val="-2"/>
                <w:sz w:val="12"/>
              </w:rPr>
              <w:t>0.0948</w:t>
            </w:r>
          </w:p>
        </w:tc>
        <w:tc>
          <w:tcPr>
            <w:tcW w:w="540" w:type="dxa"/>
            <w:tcBorders>
              <w:top w:val="nil"/>
              <w:bottom w:val="nil"/>
            </w:tcBorders>
          </w:tcPr>
          <w:p>
            <w:pPr>
              <w:pStyle w:val="TableParagraph"/>
              <w:spacing w:before="24"/>
              <w:ind w:right="67"/>
              <w:jc w:val="right"/>
              <w:rPr>
                <w:sz w:val="12"/>
              </w:rPr>
            </w:pPr>
            <w:r>
              <w:rPr>
                <w:color w:val="231F20"/>
                <w:spacing w:val="-2"/>
                <w:sz w:val="12"/>
              </w:rPr>
              <w:t>0.0987</w:t>
            </w:r>
          </w:p>
        </w:tc>
        <w:tc>
          <w:tcPr>
            <w:tcW w:w="540" w:type="dxa"/>
            <w:tcBorders>
              <w:top w:val="nil"/>
              <w:bottom w:val="nil"/>
            </w:tcBorders>
          </w:tcPr>
          <w:p>
            <w:pPr>
              <w:pStyle w:val="TableParagraph"/>
              <w:spacing w:before="24"/>
              <w:ind w:right="67"/>
              <w:jc w:val="right"/>
              <w:rPr>
                <w:sz w:val="12"/>
              </w:rPr>
            </w:pPr>
            <w:r>
              <w:rPr>
                <w:color w:val="231F20"/>
                <w:spacing w:val="-2"/>
                <w:sz w:val="12"/>
              </w:rPr>
              <w:t>0.1026</w:t>
            </w:r>
          </w:p>
        </w:tc>
        <w:tc>
          <w:tcPr>
            <w:tcW w:w="540" w:type="dxa"/>
            <w:tcBorders>
              <w:top w:val="nil"/>
              <w:bottom w:val="nil"/>
            </w:tcBorders>
          </w:tcPr>
          <w:p>
            <w:pPr>
              <w:pStyle w:val="TableParagraph"/>
              <w:spacing w:before="24"/>
              <w:ind w:right="67"/>
              <w:jc w:val="right"/>
              <w:rPr>
                <w:sz w:val="12"/>
              </w:rPr>
            </w:pPr>
            <w:r>
              <w:rPr>
                <w:color w:val="231F20"/>
                <w:spacing w:val="-2"/>
                <w:sz w:val="12"/>
              </w:rPr>
              <w:t>0.1064</w:t>
            </w:r>
          </w:p>
        </w:tc>
        <w:tc>
          <w:tcPr>
            <w:tcW w:w="540" w:type="dxa"/>
            <w:tcBorders>
              <w:top w:val="nil"/>
              <w:bottom w:val="nil"/>
            </w:tcBorders>
          </w:tcPr>
          <w:p>
            <w:pPr>
              <w:pStyle w:val="TableParagraph"/>
              <w:spacing w:before="24"/>
              <w:ind w:right="67"/>
              <w:jc w:val="right"/>
              <w:rPr>
                <w:sz w:val="12"/>
              </w:rPr>
            </w:pPr>
            <w:r>
              <w:rPr>
                <w:color w:val="231F20"/>
                <w:spacing w:val="-2"/>
                <w:sz w:val="12"/>
              </w:rPr>
              <w:t>0.1103</w:t>
            </w:r>
          </w:p>
        </w:tc>
        <w:tc>
          <w:tcPr>
            <w:tcW w:w="580" w:type="dxa"/>
            <w:tcBorders>
              <w:top w:val="nil"/>
              <w:bottom w:val="nil"/>
            </w:tcBorders>
          </w:tcPr>
          <w:p>
            <w:pPr>
              <w:pStyle w:val="TableParagraph"/>
              <w:spacing w:before="24"/>
              <w:ind w:right="107"/>
              <w:jc w:val="right"/>
              <w:rPr>
                <w:sz w:val="12"/>
              </w:rPr>
            </w:pPr>
            <w:r>
              <w:rPr>
                <w:color w:val="231F20"/>
                <w:spacing w:val="-2"/>
                <w:sz w:val="12"/>
              </w:rPr>
              <w:t>0.1141</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0.3</w:t>
            </w:r>
          </w:p>
        </w:tc>
        <w:tc>
          <w:tcPr>
            <w:tcW w:w="940" w:type="dxa"/>
            <w:tcBorders>
              <w:top w:val="nil"/>
              <w:bottom w:val="nil"/>
            </w:tcBorders>
          </w:tcPr>
          <w:p>
            <w:pPr>
              <w:pStyle w:val="TableParagraph"/>
              <w:spacing w:before="24"/>
              <w:ind w:right="67"/>
              <w:jc w:val="right"/>
              <w:rPr>
                <w:sz w:val="12"/>
              </w:rPr>
            </w:pPr>
            <w:r>
              <w:rPr>
                <w:color w:val="231F20"/>
                <w:spacing w:val="-2"/>
                <w:sz w:val="12"/>
              </w:rPr>
              <w:t>0.1179</w:t>
            </w:r>
          </w:p>
        </w:tc>
        <w:tc>
          <w:tcPr>
            <w:tcW w:w="540" w:type="dxa"/>
            <w:tcBorders>
              <w:top w:val="nil"/>
              <w:bottom w:val="nil"/>
            </w:tcBorders>
          </w:tcPr>
          <w:p>
            <w:pPr>
              <w:pStyle w:val="TableParagraph"/>
              <w:spacing w:before="24"/>
              <w:ind w:right="67"/>
              <w:jc w:val="right"/>
              <w:rPr>
                <w:sz w:val="12"/>
              </w:rPr>
            </w:pPr>
            <w:r>
              <w:rPr>
                <w:color w:val="231F20"/>
                <w:spacing w:val="-2"/>
                <w:sz w:val="12"/>
              </w:rPr>
              <w:t>0.1217</w:t>
            </w:r>
          </w:p>
        </w:tc>
        <w:tc>
          <w:tcPr>
            <w:tcW w:w="540" w:type="dxa"/>
            <w:tcBorders>
              <w:top w:val="nil"/>
              <w:bottom w:val="nil"/>
            </w:tcBorders>
          </w:tcPr>
          <w:p>
            <w:pPr>
              <w:pStyle w:val="TableParagraph"/>
              <w:spacing w:before="24"/>
              <w:ind w:right="67"/>
              <w:jc w:val="right"/>
              <w:rPr>
                <w:sz w:val="12"/>
              </w:rPr>
            </w:pPr>
            <w:r>
              <w:rPr>
                <w:color w:val="231F20"/>
                <w:spacing w:val="-2"/>
                <w:sz w:val="12"/>
              </w:rPr>
              <w:t>0.1255</w:t>
            </w:r>
          </w:p>
        </w:tc>
        <w:tc>
          <w:tcPr>
            <w:tcW w:w="540" w:type="dxa"/>
            <w:tcBorders>
              <w:top w:val="nil"/>
              <w:bottom w:val="nil"/>
            </w:tcBorders>
          </w:tcPr>
          <w:p>
            <w:pPr>
              <w:pStyle w:val="TableParagraph"/>
              <w:spacing w:before="24"/>
              <w:ind w:right="67"/>
              <w:jc w:val="right"/>
              <w:rPr>
                <w:sz w:val="12"/>
              </w:rPr>
            </w:pPr>
            <w:r>
              <w:rPr>
                <w:color w:val="231F20"/>
                <w:spacing w:val="-2"/>
                <w:sz w:val="12"/>
              </w:rPr>
              <w:t>0.1293</w:t>
            </w:r>
          </w:p>
        </w:tc>
        <w:tc>
          <w:tcPr>
            <w:tcW w:w="540" w:type="dxa"/>
            <w:tcBorders>
              <w:top w:val="nil"/>
              <w:bottom w:val="nil"/>
            </w:tcBorders>
          </w:tcPr>
          <w:p>
            <w:pPr>
              <w:pStyle w:val="TableParagraph"/>
              <w:spacing w:before="24"/>
              <w:ind w:right="67"/>
              <w:jc w:val="right"/>
              <w:rPr>
                <w:sz w:val="12"/>
              </w:rPr>
            </w:pPr>
            <w:r>
              <w:rPr>
                <w:color w:val="231F20"/>
                <w:spacing w:val="-2"/>
                <w:sz w:val="12"/>
              </w:rPr>
              <w:t>0.1334</w:t>
            </w:r>
          </w:p>
        </w:tc>
        <w:tc>
          <w:tcPr>
            <w:tcW w:w="540" w:type="dxa"/>
            <w:tcBorders>
              <w:top w:val="nil"/>
              <w:bottom w:val="nil"/>
            </w:tcBorders>
          </w:tcPr>
          <w:p>
            <w:pPr>
              <w:pStyle w:val="TableParagraph"/>
              <w:spacing w:before="24"/>
              <w:ind w:right="67"/>
              <w:jc w:val="right"/>
              <w:rPr>
                <w:sz w:val="12"/>
              </w:rPr>
            </w:pPr>
            <w:r>
              <w:rPr>
                <w:color w:val="231F20"/>
                <w:spacing w:val="-2"/>
                <w:sz w:val="12"/>
              </w:rPr>
              <w:t>0.1368</w:t>
            </w:r>
          </w:p>
        </w:tc>
        <w:tc>
          <w:tcPr>
            <w:tcW w:w="540" w:type="dxa"/>
            <w:tcBorders>
              <w:top w:val="nil"/>
              <w:bottom w:val="nil"/>
            </w:tcBorders>
          </w:tcPr>
          <w:p>
            <w:pPr>
              <w:pStyle w:val="TableParagraph"/>
              <w:spacing w:before="24"/>
              <w:ind w:right="67"/>
              <w:jc w:val="right"/>
              <w:rPr>
                <w:sz w:val="12"/>
              </w:rPr>
            </w:pPr>
            <w:r>
              <w:rPr>
                <w:color w:val="231F20"/>
                <w:spacing w:val="-2"/>
                <w:sz w:val="12"/>
              </w:rPr>
              <w:t>0.1406</w:t>
            </w:r>
          </w:p>
        </w:tc>
        <w:tc>
          <w:tcPr>
            <w:tcW w:w="540" w:type="dxa"/>
            <w:tcBorders>
              <w:top w:val="nil"/>
              <w:bottom w:val="nil"/>
            </w:tcBorders>
          </w:tcPr>
          <w:p>
            <w:pPr>
              <w:pStyle w:val="TableParagraph"/>
              <w:spacing w:before="24"/>
              <w:ind w:right="67"/>
              <w:jc w:val="right"/>
              <w:rPr>
                <w:sz w:val="12"/>
              </w:rPr>
            </w:pPr>
            <w:r>
              <w:rPr>
                <w:color w:val="231F20"/>
                <w:spacing w:val="-2"/>
                <w:sz w:val="12"/>
              </w:rPr>
              <w:t>0.1413</w:t>
            </w:r>
          </w:p>
        </w:tc>
        <w:tc>
          <w:tcPr>
            <w:tcW w:w="540" w:type="dxa"/>
            <w:tcBorders>
              <w:top w:val="nil"/>
              <w:bottom w:val="nil"/>
            </w:tcBorders>
          </w:tcPr>
          <w:p>
            <w:pPr>
              <w:pStyle w:val="TableParagraph"/>
              <w:spacing w:before="24"/>
              <w:ind w:right="67"/>
              <w:jc w:val="right"/>
              <w:rPr>
                <w:sz w:val="12"/>
              </w:rPr>
            </w:pPr>
            <w:r>
              <w:rPr>
                <w:color w:val="231F20"/>
                <w:spacing w:val="-2"/>
                <w:sz w:val="12"/>
              </w:rPr>
              <w:t>0.1480</w:t>
            </w:r>
          </w:p>
        </w:tc>
        <w:tc>
          <w:tcPr>
            <w:tcW w:w="580" w:type="dxa"/>
            <w:tcBorders>
              <w:top w:val="nil"/>
              <w:bottom w:val="nil"/>
            </w:tcBorders>
          </w:tcPr>
          <w:p>
            <w:pPr>
              <w:pStyle w:val="TableParagraph"/>
              <w:spacing w:before="24"/>
              <w:ind w:right="107"/>
              <w:jc w:val="right"/>
              <w:rPr>
                <w:sz w:val="12"/>
              </w:rPr>
            </w:pPr>
            <w:r>
              <w:rPr>
                <w:color w:val="231F20"/>
                <w:spacing w:val="-2"/>
                <w:sz w:val="12"/>
              </w:rPr>
              <w:t>0.1517</w:t>
            </w:r>
          </w:p>
        </w:tc>
      </w:tr>
      <w:tr>
        <w:trPr>
          <w:trHeight w:val="237"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0.4</w:t>
            </w:r>
          </w:p>
        </w:tc>
        <w:tc>
          <w:tcPr>
            <w:tcW w:w="940" w:type="dxa"/>
            <w:tcBorders>
              <w:top w:val="nil"/>
              <w:bottom w:val="nil"/>
            </w:tcBorders>
          </w:tcPr>
          <w:p>
            <w:pPr>
              <w:pStyle w:val="TableParagraph"/>
              <w:spacing w:before="24"/>
              <w:ind w:right="67"/>
              <w:jc w:val="right"/>
              <w:rPr>
                <w:sz w:val="12"/>
              </w:rPr>
            </w:pPr>
            <w:r>
              <w:rPr>
                <w:color w:val="231F20"/>
                <w:spacing w:val="-2"/>
                <w:sz w:val="12"/>
              </w:rPr>
              <w:t>0.1534</w:t>
            </w:r>
          </w:p>
        </w:tc>
        <w:tc>
          <w:tcPr>
            <w:tcW w:w="540" w:type="dxa"/>
            <w:tcBorders>
              <w:top w:val="nil"/>
              <w:bottom w:val="nil"/>
            </w:tcBorders>
          </w:tcPr>
          <w:p>
            <w:pPr>
              <w:pStyle w:val="TableParagraph"/>
              <w:spacing w:before="24"/>
              <w:ind w:right="67"/>
              <w:jc w:val="right"/>
              <w:rPr>
                <w:sz w:val="12"/>
              </w:rPr>
            </w:pPr>
            <w:r>
              <w:rPr>
                <w:color w:val="231F20"/>
                <w:spacing w:val="-2"/>
                <w:sz w:val="12"/>
              </w:rPr>
              <w:t>0.1591</w:t>
            </w:r>
          </w:p>
        </w:tc>
        <w:tc>
          <w:tcPr>
            <w:tcW w:w="540" w:type="dxa"/>
            <w:tcBorders>
              <w:top w:val="nil"/>
              <w:bottom w:val="nil"/>
            </w:tcBorders>
          </w:tcPr>
          <w:p>
            <w:pPr>
              <w:pStyle w:val="TableParagraph"/>
              <w:spacing w:before="24"/>
              <w:ind w:right="67"/>
              <w:jc w:val="right"/>
              <w:rPr>
                <w:sz w:val="12"/>
              </w:rPr>
            </w:pPr>
            <w:r>
              <w:rPr>
                <w:color w:val="231F20"/>
                <w:spacing w:val="-2"/>
                <w:sz w:val="12"/>
              </w:rPr>
              <w:t>0.1628</w:t>
            </w:r>
          </w:p>
        </w:tc>
        <w:tc>
          <w:tcPr>
            <w:tcW w:w="540" w:type="dxa"/>
            <w:tcBorders>
              <w:top w:val="nil"/>
              <w:bottom w:val="nil"/>
            </w:tcBorders>
          </w:tcPr>
          <w:p>
            <w:pPr>
              <w:pStyle w:val="TableParagraph"/>
              <w:spacing w:before="24"/>
              <w:ind w:right="67"/>
              <w:jc w:val="right"/>
              <w:rPr>
                <w:sz w:val="12"/>
              </w:rPr>
            </w:pPr>
            <w:r>
              <w:rPr>
                <w:color w:val="231F20"/>
                <w:spacing w:val="-2"/>
                <w:sz w:val="12"/>
              </w:rPr>
              <w:t>0.1664</w:t>
            </w:r>
          </w:p>
        </w:tc>
        <w:tc>
          <w:tcPr>
            <w:tcW w:w="540" w:type="dxa"/>
            <w:tcBorders>
              <w:top w:val="nil"/>
              <w:bottom w:val="nil"/>
            </w:tcBorders>
          </w:tcPr>
          <w:p>
            <w:pPr>
              <w:pStyle w:val="TableParagraph"/>
              <w:spacing w:before="24"/>
              <w:ind w:right="67"/>
              <w:jc w:val="right"/>
              <w:rPr>
                <w:sz w:val="12"/>
              </w:rPr>
            </w:pPr>
            <w:r>
              <w:rPr>
                <w:color w:val="231F20"/>
                <w:spacing w:val="-2"/>
                <w:sz w:val="12"/>
              </w:rPr>
              <w:t>0.1700</w:t>
            </w:r>
          </w:p>
        </w:tc>
        <w:tc>
          <w:tcPr>
            <w:tcW w:w="540" w:type="dxa"/>
            <w:tcBorders>
              <w:top w:val="nil"/>
              <w:bottom w:val="nil"/>
            </w:tcBorders>
          </w:tcPr>
          <w:p>
            <w:pPr>
              <w:pStyle w:val="TableParagraph"/>
              <w:spacing w:before="24"/>
              <w:ind w:right="67"/>
              <w:jc w:val="right"/>
              <w:rPr>
                <w:sz w:val="12"/>
              </w:rPr>
            </w:pPr>
            <w:r>
              <w:rPr>
                <w:color w:val="231F20"/>
                <w:spacing w:val="-2"/>
                <w:sz w:val="12"/>
              </w:rPr>
              <w:t>0.1726</w:t>
            </w:r>
          </w:p>
        </w:tc>
        <w:tc>
          <w:tcPr>
            <w:tcW w:w="540" w:type="dxa"/>
            <w:tcBorders>
              <w:top w:val="nil"/>
              <w:bottom w:val="nil"/>
            </w:tcBorders>
          </w:tcPr>
          <w:p>
            <w:pPr>
              <w:pStyle w:val="TableParagraph"/>
              <w:spacing w:before="24"/>
              <w:ind w:right="67"/>
              <w:jc w:val="right"/>
              <w:rPr>
                <w:sz w:val="12"/>
              </w:rPr>
            </w:pPr>
            <w:r>
              <w:rPr>
                <w:color w:val="231F20"/>
                <w:spacing w:val="-2"/>
                <w:sz w:val="12"/>
              </w:rPr>
              <w:t>0.1772</w:t>
            </w:r>
          </w:p>
        </w:tc>
        <w:tc>
          <w:tcPr>
            <w:tcW w:w="540" w:type="dxa"/>
            <w:tcBorders>
              <w:top w:val="nil"/>
              <w:bottom w:val="nil"/>
            </w:tcBorders>
          </w:tcPr>
          <w:p>
            <w:pPr>
              <w:pStyle w:val="TableParagraph"/>
              <w:spacing w:before="24"/>
              <w:ind w:right="67"/>
              <w:jc w:val="right"/>
              <w:rPr>
                <w:sz w:val="12"/>
              </w:rPr>
            </w:pPr>
            <w:r>
              <w:rPr>
                <w:color w:val="231F20"/>
                <w:spacing w:val="-2"/>
                <w:sz w:val="12"/>
              </w:rPr>
              <w:t>0.1808</w:t>
            </w:r>
          </w:p>
        </w:tc>
        <w:tc>
          <w:tcPr>
            <w:tcW w:w="540" w:type="dxa"/>
            <w:tcBorders>
              <w:top w:val="nil"/>
              <w:bottom w:val="nil"/>
            </w:tcBorders>
          </w:tcPr>
          <w:p>
            <w:pPr>
              <w:pStyle w:val="TableParagraph"/>
              <w:spacing w:before="24"/>
              <w:ind w:right="67"/>
              <w:jc w:val="right"/>
              <w:rPr>
                <w:sz w:val="12"/>
              </w:rPr>
            </w:pPr>
            <w:r>
              <w:rPr>
                <w:color w:val="231F20"/>
                <w:spacing w:val="-2"/>
                <w:sz w:val="12"/>
              </w:rPr>
              <w:t>0.1844</w:t>
            </w:r>
          </w:p>
        </w:tc>
        <w:tc>
          <w:tcPr>
            <w:tcW w:w="580" w:type="dxa"/>
            <w:tcBorders>
              <w:top w:val="nil"/>
              <w:bottom w:val="nil"/>
            </w:tcBorders>
          </w:tcPr>
          <w:p>
            <w:pPr>
              <w:pStyle w:val="TableParagraph"/>
              <w:spacing w:before="24"/>
              <w:ind w:right="107"/>
              <w:jc w:val="right"/>
              <w:rPr>
                <w:sz w:val="12"/>
              </w:rPr>
            </w:pPr>
            <w:r>
              <w:rPr>
                <w:color w:val="231F20"/>
                <w:spacing w:val="-2"/>
                <w:sz w:val="12"/>
              </w:rPr>
              <w:t>0.1879</w:t>
            </w:r>
          </w:p>
        </w:tc>
      </w:tr>
      <w:tr>
        <w:trPr>
          <w:trHeight w:val="237" w:hRule="atLeast"/>
        </w:trPr>
        <w:tc>
          <w:tcPr>
            <w:tcW w:w="370" w:type="dxa"/>
            <w:tcBorders>
              <w:top w:val="nil"/>
              <w:bottom w:val="nil"/>
            </w:tcBorders>
          </w:tcPr>
          <w:p>
            <w:pPr>
              <w:pStyle w:val="TableParagraph"/>
              <w:spacing w:before="71"/>
              <w:ind w:left="107" w:right="61"/>
              <w:rPr>
                <w:sz w:val="12"/>
              </w:rPr>
            </w:pPr>
            <w:r>
              <w:rPr>
                <w:color w:val="231F20"/>
                <w:spacing w:val="-5"/>
                <w:w w:val="105"/>
                <w:sz w:val="12"/>
              </w:rPr>
              <w:t>0.5</w:t>
            </w:r>
          </w:p>
        </w:tc>
        <w:tc>
          <w:tcPr>
            <w:tcW w:w="940" w:type="dxa"/>
            <w:tcBorders>
              <w:top w:val="nil"/>
              <w:bottom w:val="nil"/>
            </w:tcBorders>
          </w:tcPr>
          <w:p>
            <w:pPr>
              <w:pStyle w:val="TableParagraph"/>
              <w:spacing w:before="71"/>
              <w:ind w:right="67"/>
              <w:jc w:val="right"/>
              <w:rPr>
                <w:sz w:val="12"/>
              </w:rPr>
            </w:pPr>
            <w:r>
              <w:rPr>
                <w:color w:val="231F20"/>
                <w:spacing w:val="-2"/>
                <w:sz w:val="12"/>
              </w:rPr>
              <w:t>0.1915</w:t>
            </w:r>
          </w:p>
        </w:tc>
        <w:tc>
          <w:tcPr>
            <w:tcW w:w="540" w:type="dxa"/>
            <w:tcBorders>
              <w:top w:val="nil"/>
              <w:bottom w:val="nil"/>
            </w:tcBorders>
          </w:tcPr>
          <w:p>
            <w:pPr>
              <w:pStyle w:val="TableParagraph"/>
              <w:spacing w:before="71"/>
              <w:ind w:right="67"/>
              <w:jc w:val="right"/>
              <w:rPr>
                <w:sz w:val="12"/>
              </w:rPr>
            </w:pPr>
            <w:r>
              <w:rPr>
                <w:color w:val="231F20"/>
                <w:spacing w:val="-2"/>
                <w:sz w:val="12"/>
              </w:rPr>
              <w:t>0.1950</w:t>
            </w:r>
          </w:p>
        </w:tc>
        <w:tc>
          <w:tcPr>
            <w:tcW w:w="540" w:type="dxa"/>
            <w:tcBorders>
              <w:top w:val="nil"/>
              <w:bottom w:val="nil"/>
            </w:tcBorders>
          </w:tcPr>
          <w:p>
            <w:pPr>
              <w:pStyle w:val="TableParagraph"/>
              <w:spacing w:before="71"/>
              <w:ind w:right="67"/>
              <w:jc w:val="right"/>
              <w:rPr>
                <w:sz w:val="12"/>
              </w:rPr>
            </w:pPr>
            <w:r>
              <w:rPr>
                <w:color w:val="231F20"/>
                <w:spacing w:val="-2"/>
                <w:sz w:val="12"/>
              </w:rPr>
              <w:t>0.1985</w:t>
            </w:r>
          </w:p>
        </w:tc>
        <w:tc>
          <w:tcPr>
            <w:tcW w:w="540" w:type="dxa"/>
            <w:tcBorders>
              <w:top w:val="nil"/>
              <w:bottom w:val="nil"/>
            </w:tcBorders>
          </w:tcPr>
          <w:p>
            <w:pPr>
              <w:pStyle w:val="TableParagraph"/>
              <w:spacing w:before="71"/>
              <w:ind w:right="67"/>
              <w:jc w:val="right"/>
              <w:rPr>
                <w:sz w:val="12"/>
              </w:rPr>
            </w:pPr>
            <w:r>
              <w:rPr>
                <w:color w:val="231F20"/>
                <w:spacing w:val="-2"/>
                <w:sz w:val="12"/>
              </w:rPr>
              <w:t>0.2019</w:t>
            </w:r>
          </w:p>
        </w:tc>
        <w:tc>
          <w:tcPr>
            <w:tcW w:w="540" w:type="dxa"/>
            <w:tcBorders>
              <w:top w:val="nil"/>
              <w:bottom w:val="nil"/>
            </w:tcBorders>
          </w:tcPr>
          <w:p>
            <w:pPr>
              <w:pStyle w:val="TableParagraph"/>
              <w:spacing w:before="71"/>
              <w:ind w:right="67"/>
              <w:jc w:val="right"/>
              <w:rPr>
                <w:sz w:val="12"/>
              </w:rPr>
            </w:pPr>
            <w:r>
              <w:rPr>
                <w:color w:val="231F20"/>
                <w:spacing w:val="-2"/>
                <w:sz w:val="12"/>
              </w:rPr>
              <w:t>0.2054</w:t>
            </w:r>
          </w:p>
        </w:tc>
        <w:tc>
          <w:tcPr>
            <w:tcW w:w="540" w:type="dxa"/>
            <w:tcBorders>
              <w:top w:val="nil"/>
              <w:bottom w:val="nil"/>
            </w:tcBorders>
          </w:tcPr>
          <w:p>
            <w:pPr>
              <w:pStyle w:val="TableParagraph"/>
              <w:spacing w:before="71"/>
              <w:ind w:right="67"/>
              <w:jc w:val="right"/>
              <w:rPr>
                <w:sz w:val="12"/>
              </w:rPr>
            </w:pPr>
            <w:r>
              <w:rPr>
                <w:color w:val="231F20"/>
                <w:spacing w:val="-2"/>
                <w:sz w:val="12"/>
              </w:rPr>
              <w:t>0.2088</w:t>
            </w:r>
          </w:p>
        </w:tc>
        <w:tc>
          <w:tcPr>
            <w:tcW w:w="540" w:type="dxa"/>
            <w:tcBorders>
              <w:top w:val="nil"/>
              <w:bottom w:val="nil"/>
            </w:tcBorders>
          </w:tcPr>
          <w:p>
            <w:pPr>
              <w:pStyle w:val="TableParagraph"/>
              <w:spacing w:before="71"/>
              <w:ind w:right="67"/>
              <w:jc w:val="right"/>
              <w:rPr>
                <w:sz w:val="12"/>
              </w:rPr>
            </w:pPr>
            <w:r>
              <w:rPr>
                <w:color w:val="231F20"/>
                <w:spacing w:val="-2"/>
                <w:sz w:val="12"/>
              </w:rPr>
              <w:t>0.2123</w:t>
            </w:r>
          </w:p>
        </w:tc>
        <w:tc>
          <w:tcPr>
            <w:tcW w:w="540" w:type="dxa"/>
            <w:tcBorders>
              <w:top w:val="nil"/>
              <w:bottom w:val="nil"/>
            </w:tcBorders>
          </w:tcPr>
          <w:p>
            <w:pPr>
              <w:pStyle w:val="TableParagraph"/>
              <w:spacing w:before="71"/>
              <w:ind w:right="67"/>
              <w:jc w:val="right"/>
              <w:rPr>
                <w:sz w:val="12"/>
              </w:rPr>
            </w:pPr>
            <w:r>
              <w:rPr>
                <w:color w:val="231F20"/>
                <w:spacing w:val="-2"/>
                <w:sz w:val="12"/>
              </w:rPr>
              <w:t>0.2157</w:t>
            </w:r>
          </w:p>
        </w:tc>
        <w:tc>
          <w:tcPr>
            <w:tcW w:w="540" w:type="dxa"/>
            <w:tcBorders>
              <w:top w:val="nil"/>
              <w:bottom w:val="nil"/>
            </w:tcBorders>
          </w:tcPr>
          <w:p>
            <w:pPr>
              <w:pStyle w:val="TableParagraph"/>
              <w:spacing w:before="71"/>
              <w:ind w:right="67"/>
              <w:jc w:val="right"/>
              <w:rPr>
                <w:sz w:val="12"/>
              </w:rPr>
            </w:pPr>
            <w:r>
              <w:rPr>
                <w:color w:val="231F20"/>
                <w:spacing w:val="-2"/>
                <w:sz w:val="12"/>
              </w:rPr>
              <w:t>0.2190</w:t>
            </w:r>
          </w:p>
        </w:tc>
        <w:tc>
          <w:tcPr>
            <w:tcW w:w="580" w:type="dxa"/>
            <w:tcBorders>
              <w:top w:val="nil"/>
              <w:bottom w:val="nil"/>
            </w:tcBorders>
          </w:tcPr>
          <w:p>
            <w:pPr>
              <w:pStyle w:val="TableParagraph"/>
              <w:spacing w:before="71"/>
              <w:ind w:right="107"/>
              <w:jc w:val="right"/>
              <w:rPr>
                <w:sz w:val="12"/>
              </w:rPr>
            </w:pPr>
            <w:r>
              <w:rPr>
                <w:color w:val="231F20"/>
                <w:spacing w:val="-2"/>
                <w:sz w:val="12"/>
              </w:rPr>
              <w:t>0.2240</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0.6</w:t>
            </w:r>
          </w:p>
        </w:tc>
        <w:tc>
          <w:tcPr>
            <w:tcW w:w="940" w:type="dxa"/>
            <w:tcBorders>
              <w:top w:val="nil"/>
              <w:bottom w:val="nil"/>
            </w:tcBorders>
          </w:tcPr>
          <w:p>
            <w:pPr>
              <w:pStyle w:val="TableParagraph"/>
              <w:spacing w:before="24"/>
              <w:ind w:right="67"/>
              <w:jc w:val="right"/>
              <w:rPr>
                <w:sz w:val="12"/>
              </w:rPr>
            </w:pPr>
            <w:r>
              <w:rPr>
                <w:color w:val="231F20"/>
                <w:spacing w:val="-2"/>
                <w:sz w:val="12"/>
              </w:rPr>
              <w:t>0.2257</w:t>
            </w:r>
          </w:p>
        </w:tc>
        <w:tc>
          <w:tcPr>
            <w:tcW w:w="540" w:type="dxa"/>
            <w:tcBorders>
              <w:top w:val="nil"/>
              <w:bottom w:val="nil"/>
            </w:tcBorders>
          </w:tcPr>
          <w:p>
            <w:pPr>
              <w:pStyle w:val="TableParagraph"/>
              <w:spacing w:before="24"/>
              <w:ind w:right="67"/>
              <w:jc w:val="right"/>
              <w:rPr>
                <w:sz w:val="12"/>
              </w:rPr>
            </w:pPr>
            <w:r>
              <w:rPr>
                <w:color w:val="231F20"/>
                <w:spacing w:val="-2"/>
                <w:sz w:val="12"/>
              </w:rPr>
              <w:t>0.2291</w:t>
            </w:r>
          </w:p>
        </w:tc>
        <w:tc>
          <w:tcPr>
            <w:tcW w:w="540" w:type="dxa"/>
            <w:tcBorders>
              <w:top w:val="nil"/>
              <w:bottom w:val="nil"/>
            </w:tcBorders>
          </w:tcPr>
          <w:p>
            <w:pPr>
              <w:pStyle w:val="TableParagraph"/>
              <w:spacing w:before="24"/>
              <w:ind w:right="67"/>
              <w:jc w:val="right"/>
              <w:rPr>
                <w:sz w:val="12"/>
              </w:rPr>
            </w:pPr>
            <w:r>
              <w:rPr>
                <w:color w:val="231F20"/>
                <w:spacing w:val="-2"/>
                <w:sz w:val="12"/>
              </w:rPr>
              <w:t>0.2324</w:t>
            </w:r>
          </w:p>
        </w:tc>
        <w:tc>
          <w:tcPr>
            <w:tcW w:w="540" w:type="dxa"/>
            <w:tcBorders>
              <w:top w:val="nil"/>
              <w:bottom w:val="nil"/>
            </w:tcBorders>
          </w:tcPr>
          <w:p>
            <w:pPr>
              <w:pStyle w:val="TableParagraph"/>
              <w:spacing w:before="24"/>
              <w:ind w:right="67"/>
              <w:jc w:val="right"/>
              <w:rPr>
                <w:sz w:val="12"/>
              </w:rPr>
            </w:pPr>
            <w:r>
              <w:rPr>
                <w:color w:val="231F20"/>
                <w:spacing w:val="-2"/>
                <w:sz w:val="12"/>
              </w:rPr>
              <w:t>0.2357</w:t>
            </w:r>
          </w:p>
        </w:tc>
        <w:tc>
          <w:tcPr>
            <w:tcW w:w="540" w:type="dxa"/>
            <w:tcBorders>
              <w:top w:val="nil"/>
              <w:bottom w:val="nil"/>
            </w:tcBorders>
          </w:tcPr>
          <w:p>
            <w:pPr>
              <w:pStyle w:val="TableParagraph"/>
              <w:spacing w:before="24"/>
              <w:ind w:right="67"/>
              <w:jc w:val="right"/>
              <w:rPr>
                <w:sz w:val="12"/>
              </w:rPr>
            </w:pPr>
            <w:r>
              <w:rPr>
                <w:color w:val="231F20"/>
                <w:spacing w:val="-2"/>
                <w:sz w:val="12"/>
              </w:rPr>
              <w:t>0.2389</w:t>
            </w:r>
          </w:p>
        </w:tc>
        <w:tc>
          <w:tcPr>
            <w:tcW w:w="540" w:type="dxa"/>
            <w:tcBorders>
              <w:top w:val="nil"/>
              <w:bottom w:val="nil"/>
            </w:tcBorders>
          </w:tcPr>
          <w:p>
            <w:pPr>
              <w:pStyle w:val="TableParagraph"/>
              <w:spacing w:before="24"/>
              <w:ind w:right="67"/>
              <w:jc w:val="right"/>
              <w:rPr>
                <w:sz w:val="12"/>
              </w:rPr>
            </w:pPr>
            <w:r>
              <w:rPr>
                <w:color w:val="231F20"/>
                <w:spacing w:val="-2"/>
                <w:sz w:val="12"/>
              </w:rPr>
              <w:t>0.2422</w:t>
            </w:r>
          </w:p>
        </w:tc>
        <w:tc>
          <w:tcPr>
            <w:tcW w:w="540" w:type="dxa"/>
            <w:tcBorders>
              <w:top w:val="nil"/>
              <w:bottom w:val="nil"/>
            </w:tcBorders>
          </w:tcPr>
          <w:p>
            <w:pPr>
              <w:pStyle w:val="TableParagraph"/>
              <w:spacing w:before="24"/>
              <w:ind w:right="67"/>
              <w:jc w:val="right"/>
              <w:rPr>
                <w:sz w:val="12"/>
              </w:rPr>
            </w:pPr>
            <w:r>
              <w:rPr>
                <w:color w:val="231F20"/>
                <w:spacing w:val="-2"/>
                <w:sz w:val="12"/>
              </w:rPr>
              <w:t>0.2454</w:t>
            </w:r>
          </w:p>
        </w:tc>
        <w:tc>
          <w:tcPr>
            <w:tcW w:w="540" w:type="dxa"/>
            <w:tcBorders>
              <w:top w:val="nil"/>
              <w:bottom w:val="nil"/>
            </w:tcBorders>
          </w:tcPr>
          <w:p>
            <w:pPr>
              <w:pStyle w:val="TableParagraph"/>
              <w:spacing w:before="24"/>
              <w:ind w:right="67"/>
              <w:jc w:val="right"/>
              <w:rPr>
                <w:sz w:val="12"/>
              </w:rPr>
            </w:pPr>
            <w:r>
              <w:rPr>
                <w:color w:val="231F20"/>
                <w:spacing w:val="-2"/>
                <w:sz w:val="12"/>
              </w:rPr>
              <w:t>0.2486</w:t>
            </w:r>
          </w:p>
        </w:tc>
        <w:tc>
          <w:tcPr>
            <w:tcW w:w="540" w:type="dxa"/>
            <w:tcBorders>
              <w:top w:val="nil"/>
              <w:bottom w:val="nil"/>
            </w:tcBorders>
          </w:tcPr>
          <w:p>
            <w:pPr>
              <w:pStyle w:val="TableParagraph"/>
              <w:spacing w:before="24"/>
              <w:ind w:right="67"/>
              <w:jc w:val="right"/>
              <w:rPr>
                <w:sz w:val="12"/>
              </w:rPr>
            </w:pPr>
            <w:r>
              <w:rPr>
                <w:color w:val="231F20"/>
                <w:spacing w:val="-2"/>
                <w:sz w:val="12"/>
              </w:rPr>
              <w:t>0.2518</w:t>
            </w:r>
          </w:p>
        </w:tc>
        <w:tc>
          <w:tcPr>
            <w:tcW w:w="580" w:type="dxa"/>
            <w:tcBorders>
              <w:top w:val="nil"/>
              <w:bottom w:val="nil"/>
            </w:tcBorders>
          </w:tcPr>
          <w:p>
            <w:pPr>
              <w:pStyle w:val="TableParagraph"/>
              <w:spacing w:before="24"/>
              <w:ind w:right="107"/>
              <w:jc w:val="right"/>
              <w:rPr>
                <w:sz w:val="12"/>
              </w:rPr>
            </w:pPr>
            <w:r>
              <w:rPr>
                <w:color w:val="231F20"/>
                <w:spacing w:val="-2"/>
                <w:sz w:val="12"/>
              </w:rPr>
              <w:t>0.2579</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0.7</w:t>
            </w:r>
          </w:p>
        </w:tc>
        <w:tc>
          <w:tcPr>
            <w:tcW w:w="940" w:type="dxa"/>
            <w:tcBorders>
              <w:top w:val="nil"/>
              <w:bottom w:val="nil"/>
            </w:tcBorders>
          </w:tcPr>
          <w:p>
            <w:pPr>
              <w:pStyle w:val="TableParagraph"/>
              <w:spacing w:before="24"/>
              <w:ind w:right="67"/>
              <w:jc w:val="right"/>
              <w:rPr>
                <w:sz w:val="12"/>
              </w:rPr>
            </w:pPr>
            <w:r>
              <w:rPr>
                <w:color w:val="231F20"/>
                <w:spacing w:val="-2"/>
                <w:sz w:val="12"/>
              </w:rPr>
              <w:t>0.2580</w:t>
            </w:r>
          </w:p>
        </w:tc>
        <w:tc>
          <w:tcPr>
            <w:tcW w:w="540" w:type="dxa"/>
            <w:tcBorders>
              <w:top w:val="nil"/>
              <w:bottom w:val="nil"/>
            </w:tcBorders>
          </w:tcPr>
          <w:p>
            <w:pPr>
              <w:pStyle w:val="TableParagraph"/>
              <w:spacing w:before="24"/>
              <w:ind w:right="67"/>
              <w:jc w:val="right"/>
              <w:rPr>
                <w:sz w:val="12"/>
              </w:rPr>
            </w:pPr>
            <w:r>
              <w:rPr>
                <w:color w:val="231F20"/>
                <w:spacing w:val="-2"/>
                <w:sz w:val="12"/>
              </w:rPr>
              <w:t>0.2612</w:t>
            </w:r>
          </w:p>
        </w:tc>
        <w:tc>
          <w:tcPr>
            <w:tcW w:w="540" w:type="dxa"/>
            <w:tcBorders>
              <w:top w:val="nil"/>
              <w:bottom w:val="nil"/>
            </w:tcBorders>
          </w:tcPr>
          <w:p>
            <w:pPr>
              <w:pStyle w:val="TableParagraph"/>
              <w:spacing w:before="24"/>
              <w:ind w:right="67"/>
              <w:jc w:val="right"/>
              <w:rPr>
                <w:sz w:val="12"/>
              </w:rPr>
            </w:pPr>
            <w:r>
              <w:rPr>
                <w:color w:val="231F20"/>
                <w:spacing w:val="-2"/>
                <w:sz w:val="12"/>
              </w:rPr>
              <w:t>0.2642</w:t>
            </w:r>
          </w:p>
        </w:tc>
        <w:tc>
          <w:tcPr>
            <w:tcW w:w="540" w:type="dxa"/>
            <w:tcBorders>
              <w:top w:val="nil"/>
              <w:bottom w:val="nil"/>
            </w:tcBorders>
          </w:tcPr>
          <w:p>
            <w:pPr>
              <w:pStyle w:val="TableParagraph"/>
              <w:spacing w:before="24"/>
              <w:ind w:right="67"/>
              <w:jc w:val="right"/>
              <w:rPr>
                <w:sz w:val="12"/>
              </w:rPr>
            </w:pPr>
            <w:r>
              <w:rPr>
                <w:color w:val="231F20"/>
                <w:spacing w:val="-2"/>
                <w:sz w:val="12"/>
              </w:rPr>
              <w:t>0.2673</w:t>
            </w:r>
          </w:p>
        </w:tc>
        <w:tc>
          <w:tcPr>
            <w:tcW w:w="540" w:type="dxa"/>
            <w:tcBorders>
              <w:top w:val="nil"/>
              <w:bottom w:val="nil"/>
            </w:tcBorders>
          </w:tcPr>
          <w:p>
            <w:pPr>
              <w:pStyle w:val="TableParagraph"/>
              <w:spacing w:before="24"/>
              <w:ind w:right="67"/>
              <w:jc w:val="right"/>
              <w:rPr>
                <w:sz w:val="12"/>
              </w:rPr>
            </w:pPr>
            <w:r>
              <w:rPr>
                <w:color w:val="231F20"/>
                <w:spacing w:val="-2"/>
                <w:sz w:val="12"/>
              </w:rPr>
              <w:t>0.2704</w:t>
            </w:r>
          </w:p>
        </w:tc>
        <w:tc>
          <w:tcPr>
            <w:tcW w:w="540" w:type="dxa"/>
            <w:tcBorders>
              <w:top w:val="nil"/>
              <w:bottom w:val="nil"/>
            </w:tcBorders>
          </w:tcPr>
          <w:p>
            <w:pPr>
              <w:pStyle w:val="TableParagraph"/>
              <w:spacing w:before="24"/>
              <w:ind w:right="67"/>
              <w:jc w:val="right"/>
              <w:rPr>
                <w:sz w:val="12"/>
              </w:rPr>
            </w:pPr>
            <w:r>
              <w:rPr>
                <w:color w:val="231F20"/>
                <w:spacing w:val="-2"/>
                <w:sz w:val="12"/>
              </w:rPr>
              <w:t>0.2734</w:t>
            </w:r>
          </w:p>
        </w:tc>
        <w:tc>
          <w:tcPr>
            <w:tcW w:w="540" w:type="dxa"/>
            <w:tcBorders>
              <w:top w:val="nil"/>
              <w:bottom w:val="nil"/>
            </w:tcBorders>
          </w:tcPr>
          <w:p>
            <w:pPr>
              <w:pStyle w:val="TableParagraph"/>
              <w:spacing w:before="24"/>
              <w:ind w:right="67"/>
              <w:jc w:val="right"/>
              <w:rPr>
                <w:sz w:val="12"/>
              </w:rPr>
            </w:pPr>
            <w:r>
              <w:rPr>
                <w:color w:val="231F20"/>
                <w:spacing w:val="-2"/>
                <w:sz w:val="12"/>
              </w:rPr>
              <w:t>0.2764</w:t>
            </w:r>
          </w:p>
        </w:tc>
        <w:tc>
          <w:tcPr>
            <w:tcW w:w="540" w:type="dxa"/>
            <w:tcBorders>
              <w:top w:val="nil"/>
              <w:bottom w:val="nil"/>
            </w:tcBorders>
          </w:tcPr>
          <w:p>
            <w:pPr>
              <w:pStyle w:val="TableParagraph"/>
              <w:spacing w:before="24"/>
              <w:ind w:right="67"/>
              <w:jc w:val="right"/>
              <w:rPr>
                <w:sz w:val="12"/>
              </w:rPr>
            </w:pPr>
            <w:r>
              <w:rPr>
                <w:color w:val="231F20"/>
                <w:spacing w:val="-2"/>
                <w:sz w:val="12"/>
              </w:rPr>
              <w:t>0.2794</w:t>
            </w:r>
          </w:p>
        </w:tc>
        <w:tc>
          <w:tcPr>
            <w:tcW w:w="540" w:type="dxa"/>
            <w:tcBorders>
              <w:top w:val="nil"/>
              <w:bottom w:val="nil"/>
            </w:tcBorders>
          </w:tcPr>
          <w:p>
            <w:pPr>
              <w:pStyle w:val="TableParagraph"/>
              <w:spacing w:before="24"/>
              <w:ind w:right="67"/>
              <w:jc w:val="right"/>
              <w:rPr>
                <w:sz w:val="12"/>
              </w:rPr>
            </w:pPr>
            <w:r>
              <w:rPr>
                <w:color w:val="231F20"/>
                <w:spacing w:val="-2"/>
                <w:sz w:val="12"/>
              </w:rPr>
              <w:t>0.2823</w:t>
            </w:r>
          </w:p>
        </w:tc>
        <w:tc>
          <w:tcPr>
            <w:tcW w:w="580" w:type="dxa"/>
            <w:tcBorders>
              <w:top w:val="nil"/>
              <w:bottom w:val="nil"/>
            </w:tcBorders>
          </w:tcPr>
          <w:p>
            <w:pPr>
              <w:pStyle w:val="TableParagraph"/>
              <w:spacing w:before="24"/>
              <w:ind w:right="107"/>
              <w:jc w:val="right"/>
              <w:rPr>
                <w:sz w:val="12"/>
              </w:rPr>
            </w:pPr>
            <w:r>
              <w:rPr>
                <w:color w:val="231F20"/>
                <w:spacing w:val="-2"/>
                <w:sz w:val="12"/>
              </w:rPr>
              <w:t>0.2852</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0.8</w:t>
            </w:r>
          </w:p>
        </w:tc>
        <w:tc>
          <w:tcPr>
            <w:tcW w:w="940" w:type="dxa"/>
            <w:tcBorders>
              <w:top w:val="nil"/>
              <w:bottom w:val="nil"/>
            </w:tcBorders>
          </w:tcPr>
          <w:p>
            <w:pPr>
              <w:pStyle w:val="TableParagraph"/>
              <w:spacing w:before="24"/>
              <w:ind w:right="67"/>
              <w:jc w:val="right"/>
              <w:rPr>
                <w:sz w:val="12"/>
              </w:rPr>
            </w:pPr>
            <w:r>
              <w:rPr>
                <w:color w:val="231F20"/>
                <w:spacing w:val="-2"/>
                <w:sz w:val="12"/>
              </w:rPr>
              <w:t>0.2881</w:t>
            </w:r>
          </w:p>
        </w:tc>
        <w:tc>
          <w:tcPr>
            <w:tcW w:w="540" w:type="dxa"/>
            <w:tcBorders>
              <w:top w:val="nil"/>
              <w:bottom w:val="nil"/>
            </w:tcBorders>
          </w:tcPr>
          <w:p>
            <w:pPr>
              <w:pStyle w:val="TableParagraph"/>
              <w:spacing w:before="24"/>
              <w:ind w:right="67"/>
              <w:jc w:val="right"/>
              <w:rPr>
                <w:sz w:val="12"/>
              </w:rPr>
            </w:pPr>
            <w:r>
              <w:rPr>
                <w:color w:val="231F20"/>
                <w:spacing w:val="-2"/>
                <w:sz w:val="12"/>
              </w:rPr>
              <w:t>0.2910</w:t>
            </w:r>
          </w:p>
        </w:tc>
        <w:tc>
          <w:tcPr>
            <w:tcW w:w="540" w:type="dxa"/>
            <w:tcBorders>
              <w:top w:val="nil"/>
              <w:bottom w:val="nil"/>
            </w:tcBorders>
          </w:tcPr>
          <w:p>
            <w:pPr>
              <w:pStyle w:val="TableParagraph"/>
              <w:spacing w:before="24"/>
              <w:ind w:right="67"/>
              <w:jc w:val="right"/>
              <w:rPr>
                <w:sz w:val="12"/>
              </w:rPr>
            </w:pPr>
            <w:r>
              <w:rPr>
                <w:color w:val="231F20"/>
                <w:spacing w:val="-2"/>
                <w:sz w:val="12"/>
              </w:rPr>
              <w:t>0.2939</w:t>
            </w:r>
          </w:p>
        </w:tc>
        <w:tc>
          <w:tcPr>
            <w:tcW w:w="540" w:type="dxa"/>
            <w:tcBorders>
              <w:top w:val="nil"/>
              <w:bottom w:val="nil"/>
            </w:tcBorders>
          </w:tcPr>
          <w:p>
            <w:pPr>
              <w:pStyle w:val="TableParagraph"/>
              <w:spacing w:before="24"/>
              <w:ind w:right="67"/>
              <w:jc w:val="right"/>
              <w:rPr>
                <w:sz w:val="12"/>
              </w:rPr>
            </w:pPr>
            <w:r>
              <w:rPr>
                <w:color w:val="231F20"/>
                <w:spacing w:val="-2"/>
                <w:sz w:val="12"/>
              </w:rPr>
              <w:t>0.2967</w:t>
            </w:r>
          </w:p>
        </w:tc>
        <w:tc>
          <w:tcPr>
            <w:tcW w:w="540" w:type="dxa"/>
            <w:tcBorders>
              <w:top w:val="nil"/>
              <w:bottom w:val="nil"/>
            </w:tcBorders>
          </w:tcPr>
          <w:p>
            <w:pPr>
              <w:pStyle w:val="TableParagraph"/>
              <w:spacing w:before="24"/>
              <w:ind w:right="67"/>
              <w:jc w:val="right"/>
              <w:rPr>
                <w:sz w:val="12"/>
              </w:rPr>
            </w:pPr>
            <w:r>
              <w:rPr>
                <w:color w:val="231F20"/>
                <w:spacing w:val="-2"/>
                <w:sz w:val="12"/>
              </w:rPr>
              <w:t>0.2995</w:t>
            </w:r>
          </w:p>
        </w:tc>
        <w:tc>
          <w:tcPr>
            <w:tcW w:w="540" w:type="dxa"/>
            <w:tcBorders>
              <w:top w:val="nil"/>
              <w:bottom w:val="nil"/>
            </w:tcBorders>
          </w:tcPr>
          <w:p>
            <w:pPr>
              <w:pStyle w:val="TableParagraph"/>
              <w:spacing w:before="24"/>
              <w:ind w:right="67"/>
              <w:jc w:val="right"/>
              <w:rPr>
                <w:sz w:val="12"/>
              </w:rPr>
            </w:pPr>
            <w:r>
              <w:rPr>
                <w:color w:val="231F20"/>
                <w:spacing w:val="-2"/>
                <w:sz w:val="12"/>
              </w:rPr>
              <w:t>0.3023</w:t>
            </w:r>
          </w:p>
        </w:tc>
        <w:tc>
          <w:tcPr>
            <w:tcW w:w="540" w:type="dxa"/>
            <w:tcBorders>
              <w:top w:val="nil"/>
              <w:bottom w:val="nil"/>
            </w:tcBorders>
          </w:tcPr>
          <w:p>
            <w:pPr>
              <w:pStyle w:val="TableParagraph"/>
              <w:spacing w:before="24"/>
              <w:ind w:right="67"/>
              <w:jc w:val="right"/>
              <w:rPr>
                <w:sz w:val="12"/>
              </w:rPr>
            </w:pPr>
            <w:r>
              <w:rPr>
                <w:color w:val="231F20"/>
                <w:spacing w:val="-2"/>
                <w:sz w:val="12"/>
              </w:rPr>
              <w:t>0.3051</w:t>
            </w:r>
          </w:p>
        </w:tc>
        <w:tc>
          <w:tcPr>
            <w:tcW w:w="540" w:type="dxa"/>
            <w:tcBorders>
              <w:top w:val="nil"/>
              <w:bottom w:val="nil"/>
            </w:tcBorders>
          </w:tcPr>
          <w:p>
            <w:pPr>
              <w:pStyle w:val="TableParagraph"/>
              <w:spacing w:before="24"/>
              <w:ind w:right="67"/>
              <w:jc w:val="right"/>
              <w:rPr>
                <w:sz w:val="12"/>
              </w:rPr>
            </w:pPr>
            <w:r>
              <w:rPr>
                <w:color w:val="231F20"/>
                <w:spacing w:val="-2"/>
                <w:sz w:val="12"/>
              </w:rPr>
              <w:t>0.3078</w:t>
            </w:r>
          </w:p>
        </w:tc>
        <w:tc>
          <w:tcPr>
            <w:tcW w:w="540" w:type="dxa"/>
            <w:tcBorders>
              <w:top w:val="nil"/>
              <w:bottom w:val="nil"/>
            </w:tcBorders>
          </w:tcPr>
          <w:p>
            <w:pPr>
              <w:pStyle w:val="TableParagraph"/>
              <w:spacing w:before="24"/>
              <w:ind w:right="67"/>
              <w:jc w:val="right"/>
              <w:rPr>
                <w:sz w:val="12"/>
              </w:rPr>
            </w:pPr>
            <w:r>
              <w:rPr>
                <w:color w:val="231F20"/>
                <w:spacing w:val="-2"/>
                <w:sz w:val="12"/>
              </w:rPr>
              <w:t>0.3106</w:t>
            </w:r>
          </w:p>
        </w:tc>
        <w:tc>
          <w:tcPr>
            <w:tcW w:w="580" w:type="dxa"/>
            <w:tcBorders>
              <w:top w:val="nil"/>
              <w:bottom w:val="nil"/>
            </w:tcBorders>
          </w:tcPr>
          <w:p>
            <w:pPr>
              <w:pStyle w:val="TableParagraph"/>
              <w:spacing w:before="24"/>
              <w:ind w:right="107"/>
              <w:jc w:val="right"/>
              <w:rPr>
                <w:sz w:val="12"/>
              </w:rPr>
            </w:pPr>
            <w:r>
              <w:rPr>
                <w:color w:val="231F20"/>
                <w:spacing w:val="-2"/>
                <w:sz w:val="12"/>
              </w:rPr>
              <w:t>0.3133</w:t>
            </w:r>
          </w:p>
        </w:tc>
      </w:tr>
      <w:tr>
        <w:trPr>
          <w:trHeight w:val="237"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0.9</w:t>
            </w:r>
          </w:p>
        </w:tc>
        <w:tc>
          <w:tcPr>
            <w:tcW w:w="940" w:type="dxa"/>
            <w:tcBorders>
              <w:top w:val="nil"/>
              <w:bottom w:val="nil"/>
            </w:tcBorders>
          </w:tcPr>
          <w:p>
            <w:pPr>
              <w:pStyle w:val="TableParagraph"/>
              <w:spacing w:before="24"/>
              <w:ind w:right="67"/>
              <w:jc w:val="right"/>
              <w:rPr>
                <w:sz w:val="12"/>
              </w:rPr>
            </w:pPr>
            <w:r>
              <w:rPr>
                <w:color w:val="231F20"/>
                <w:spacing w:val="-2"/>
                <w:sz w:val="12"/>
              </w:rPr>
              <w:t>0.3159</w:t>
            </w:r>
          </w:p>
        </w:tc>
        <w:tc>
          <w:tcPr>
            <w:tcW w:w="540" w:type="dxa"/>
            <w:tcBorders>
              <w:top w:val="nil"/>
              <w:bottom w:val="nil"/>
            </w:tcBorders>
          </w:tcPr>
          <w:p>
            <w:pPr>
              <w:pStyle w:val="TableParagraph"/>
              <w:spacing w:before="24"/>
              <w:ind w:right="67"/>
              <w:jc w:val="right"/>
              <w:rPr>
                <w:sz w:val="12"/>
              </w:rPr>
            </w:pPr>
            <w:r>
              <w:rPr>
                <w:color w:val="231F20"/>
                <w:spacing w:val="-2"/>
                <w:sz w:val="12"/>
              </w:rPr>
              <w:t>0.3186</w:t>
            </w:r>
          </w:p>
        </w:tc>
        <w:tc>
          <w:tcPr>
            <w:tcW w:w="540" w:type="dxa"/>
            <w:tcBorders>
              <w:top w:val="nil"/>
              <w:bottom w:val="nil"/>
            </w:tcBorders>
          </w:tcPr>
          <w:p>
            <w:pPr>
              <w:pStyle w:val="TableParagraph"/>
              <w:spacing w:before="24"/>
              <w:ind w:right="67"/>
              <w:jc w:val="right"/>
              <w:rPr>
                <w:sz w:val="12"/>
              </w:rPr>
            </w:pPr>
            <w:r>
              <w:rPr>
                <w:color w:val="231F20"/>
                <w:spacing w:val="-2"/>
                <w:sz w:val="12"/>
              </w:rPr>
              <w:t>0.3212</w:t>
            </w:r>
          </w:p>
        </w:tc>
        <w:tc>
          <w:tcPr>
            <w:tcW w:w="540" w:type="dxa"/>
            <w:tcBorders>
              <w:top w:val="nil"/>
              <w:bottom w:val="nil"/>
            </w:tcBorders>
          </w:tcPr>
          <w:p>
            <w:pPr>
              <w:pStyle w:val="TableParagraph"/>
              <w:spacing w:before="24"/>
              <w:ind w:right="67"/>
              <w:jc w:val="right"/>
              <w:rPr>
                <w:sz w:val="12"/>
              </w:rPr>
            </w:pPr>
            <w:r>
              <w:rPr>
                <w:color w:val="231F20"/>
                <w:spacing w:val="-2"/>
                <w:sz w:val="12"/>
              </w:rPr>
              <w:t>0.3238</w:t>
            </w:r>
          </w:p>
        </w:tc>
        <w:tc>
          <w:tcPr>
            <w:tcW w:w="540" w:type="dxa"/>
            <w:tcBorders>
              <w:top w:val="nil"/>
              <w:bottom w:val="nil"/>
            </w:tcBorders>
          </w:tcPr>
          <w:p>
            <w:pPr>
              <w:pStyle w:val="TableParagraph"/>
              <w:spacing w:before="24"/>
              <w:ind w:right="67"/>
              <w:jc w:val="right"/>
              <w:rPr>
                <w:sz w:val="12"/>
              </w:rPr>
            </w:pPr>
            <w:r>
              <w:rPr>
                <w:color w:val="231F20"/>
                <w:spacing w:val="-2"/>
                <w:sz w:val="12"/>
              </w:rPr>
              <w:t>0.3264</w:t>
            </w:r>
          </w:p>
        </w:tc>
        <w:tc>
          <w:tcPr>
            <w:tcW w:w="540" w:type="dxa"/>
            <w:tcBorders>
              <w:top w:val="nil"/>
              <w:bottom w:val="nil"/>
            </w:tcBorders>
          </w:tcPr>
          <w:p>
            <w:pPr>
              <w:pStyle w:val="TableParagraph"/>
              <w:spacing w:before="24"/>
              <w:ind w:right="67"/>
              <w:jc w:val="right"/>
              <w:rPr>
                <w:sz w:val="12"/>
              </w:rPr>
            </w:pPr>
            <w:r>
              <w:rPr>
                <w:color w:val="231F20"/>
                <w:spacing w:val="-2"/>
                <w:sz w:val="12"/>
              </w:rPr>
              <w:t>0.3289</w:t>
            </w:r>
          </w:p>
        </w:tc>
        <w:tc>
          <w:tcPr>
            <w:tcW w:w="540" w:type="dxa"/>
            <w:tcBorders>
              <w:top w:val="nil"/>
              <w:bottom w:val="nil"/>
            </w:tcBorders>
          </w:tcPr>
          <w:p>
            <w:pPr>
              <w:pStyle w:val="TableParagraph"/>
              <w:spacing w:before="24"/>
              <w:ind w:right="67"/>
              <w:jc w:val="right"/>
              <w:rPr>
                <w:sz w:val="12"/>
              </w:rPr>
            </w:pPr>
            <w:r>
              <w:rPr>
                <w:color w:val="231F20"/>
                <w:spacing w:val="-2"/>
                <w:sz w:val="12"/>
              </w:rPr>
              <w:t>0.3315</w:t>
            </w:r>
          </w:p>
        </w:tc>
        <w:tc>
          <w:tcPr>
            <w:tcW w:w="540" w:type="dxa"/>
            <w:tcBorders>
              <w:top w:val="nil"/>
              <w:bottom w:val="nil"/>
            </w:tcBorders>
          </w:tcPr>
          <w:p>
            <w:pPr>
              <w:pStyle w:val="TableParagraph"/>
              <w:spacing w:before="24"/>
              <w:ind w:right="67"/>
              <w:jc w:val="right"/>
              <w:rPr>
                <w:sz w:val="12"/>
              </w:rPr>
            </w:pPr>
            <w:r>
              <w:rPr>
                <w:color w:val="231F20"/>
                <w:spacing w:val="-2"/>
                <w:sz w:val="12"/>
              </w:rPr>
              <w:t>0.3340</w:t>
            </w:r>
          </w:p>
        </w:tc>
        <w:tc>
          <w:tcPr>
            <w:tcW w:w="540" w:type="dxa"/>
            <w:tcBorders>
              <w:top w:val="nil"/>
              <w:bottom w:val="nil"/>
            </w:tcBorders>
          </w:tcPr>
          <w:p>
            <w:pPr>
              <w:pStyle w:val="TableParagraph"/>
              <w:spacing w:before="24"/>
              <w:ind w:right="67"/>
              <w:jc w:val="right"/>
              <w:rPr>
                <w:sz w:val="12"/>
              </w:rPr>
            </w:pPr>
            <w:r>
              <w:rPr>
                <w:color w:val="231F20"/>
                <w:spacing w:val="-2"/>
                <w:sz w:val="12"/>
              </w:rPr>
              <w:t>0.3365</w:t>
            </w:r>
          </w:p>
        </w:tc>
        <w:tc>
          <w:tcPr>
            <w:tcW w:w="580" w:type="dxa"/>
            <w:tcBorders>
              <w:top w:val="nil"/>
              <w:bottom w:val="nil"/>
            </w:tcBorders>
          </w:tcPr>
          <w:p>
            <w:pPr>
              <w:pStyle w:val="TableParagraph"/>
              <w:spacing w:before="24"/>
              <w:ind w:right="107"/>
              <w:jc w:val="right"/>
              <w:rPr>
                <w:sz w:val="12"/>
              </w:rPr>
            </w:pPr>
            <w:r>
              <w:rPr>
                <w:color w:val="231F20"/>
                <w:spacing w:val="-2"/>
                <w:sz w:val="12"/>
              </w:rPr>
              <w:t>0.3389</w:t>
            </w:r>
          </w:p>
        </w:tc>
      </w:tr>
      <w:tr>
        <w:trPr>
          <w:trHeight w:val="237" w:hRule="atLeast"/>
        </w:trPr>
        <w:tc>
          <w:tcPr>
            <w:tcW w:w="370" w:type="dxa"/>
            <w:tcBorders>
              <w:top w:val="nil"/>
              <w:bottom w:val="nil"/>
            </w:tcBorders>
          </w:tcPr>
          <w:p>
            <w:pPr>
              <w:pStyle w:val="TableParagraph"/>
              <w:spacing w:before="71"/>
              <w:ind w:left="107" w:right="61"/>
              <w:rPr>
                <w:sz w:val="12"/>
              </w:rPr>
            </w:pPr>
            <w:r>
              <w:rPr>
                <w:color w:val="231F20"/>
                <w:spacing w:val="-5"/>
                <w:w w:val="105"/>
                <w:sz w:val="12"/>
              </w:rPr>
              <w:t>1.0</w:t>
            </w:r>
          </w:p>
        </w:tc>
        <w:tc>
          <w:tcPr>
            <w:tcW w:w="940" w:type="dxa"/>
            <w:tcBorders>
              <w:top w:val="nil"/>
              <w:bottom w:val="nil"/>
            </w:tcBorders>
          </w:tcPr>
          <w:p>
            <w:pPr>
              <w:pStyle w:val="TableParagraph"/>
              <w:spacing w:before="71"/>
              <w:ind w:right="67"/>
              <w:jc w:val="right"/>
              <w:rPr>
                <w:sz w:val="12"/>
              </w:rPr>
            </w:pPr>
            <w:r>
              <w:rPr>
                <w:color w:val="231F20"/>
                <w:spacing w:val="-2"/>
                <w:sz w:val="12"/>
              </w:rPr>
              <w:t>0.3413</w:t>
            </w:r>
          </w:p>
        </w:tc>
        <w:tc>
          <w:tcPr>
            <w:tcW w:w="540" w:type="dxa"/>
            <w:tcBorders>
              <w:top w:val="nil"/>
              <w:bottom w:val="nil"/>
            </w:tcBorders>
          </w:tcPr>
          <w:p>
            <w:pPr>
              <w:pStyle w:val="TableParagraph"/>
              <w:spacing w:before="71"/>
              <w:ind w:right="67"/>
              <w:jc w:val="right"/>
              <w:rPr>
                <w:sz w:val="12"/>
              </w:rPr>
            </w:pPr>
            <w:r>
              <w:rPr>
                <w:color w:val="231F20"/>
                <w:spacing w:val="-2"/>
                <w:sz w:val="12"/>
              </w:rPr>
              <w:t>0.3438</w:t>
            </w:r>
          </w:p>
        </w:tc>
        <w:tc>
          <w:tcPr>
            <w:tcW w:w="540" w:type="dxa"/>
            <w:tcBorders>
              <w:top w:val="nil"/>
              <w:bottom w:val="nil"/>
            </w:tcBorders>
          </w:tcPr>
          <w:p>
            <w:pPr>
              <w:pStyle w:val="TableParagraph"/>
              <w:spacing w:before="71"/>
              <w:ind w:right="67"/>
              <w:jc w:val="right"/>
              <w:rPr>
                <w:sz w:val="12"/>
              </w:rPr>
            </w:pPr>
            <w:r>
              <w:rPr>
                <w:color w:val="231F20"/>
                <w:spacing w:val="-2"/>
                <w:sz w:val="12"/>
              </w:rPr>
              <w:t>0.3461</w:t>
            </w:r>
          </w:p>
        </w:tc>
        <w:tc>
          <w:tcPr>
            <w:tcW w:w="540" w:type="dxa"/>
            <w:tcBorders>
              <w:top w:val="nil"/>
              <w:bottom w:val="nil"/>
            </w:tcBorders>
          </w:tcPr>
          <w:p>
            <w:pPr>
              <w:pStyle w:val="TableParagraph"/>
              <w:spacing w:before="71"/>
              <w:ind w:right="67"/>
              <w:jc w:val="right"/>
              <w:rPr>
                <w:sz w:val="12"/>
              </w:rPr>
            </w:pPr>
            <w:r>
              <w:rPr>
                <w:color w:val="231F20"/>
                <w:spacing w:val="-2"/>
                <w:sz w:val="12"/>
              </w:rPr>
              <w:t>0.3485</w:t>
            </w:r>
          </w:p>
        </w:tc>
        <w:tc>
          <w:tcPr>
            <w:tcW w:w="540" w:type="dxa"/>
            <w:tcBorders>
              <w:top w:val="nil"/>
              <w:bottom w:val="nil"/>
            </w:tcBorders>
          </w:tcPr>
          <w:p>
            <w:pPr>
              <w:pStyle w:val="TableParagraph"/>
              <w:spacing w:before="71"/>
              <w:ind w:right="67"/>
              <w:jc w:val="right"/>
              <w:rPr>
                <w:sz w:val="12"/>
              </w:rPr>
            </w:pPr>
            <w:r>
              <w:rPr>
                <w:color w:val="231F20"/>
                <w:spacing w:val="-2"/>
                <w:sz w:val="12"/>
              </w:rPr>
              <w:t>0.3508</w:t>
            </w:r>
          </w:p>
        </w:tc>
        <w:tc>
          <w:tcPr>
            <w:tcW w:w="540" w:type="dxa"/>
            <w:tcBorders>
              <w:top w:val="nil"/>
              <w:bottom w:val="nil"/>
            </w:tcBorders>
          </w:tcPr>
          <w:p>
            <w:pPr>
              <w:pStyle w:val="TableParagraph"/>
              <w:spacing w:before="71"/>
              <w:ind w:right="67"/>
              <w:jc w:val="right"/>
              <w:rPr>
                <w:sz w:val="12"/>
              </w:rPr>
            </w:pPr>
            <w:r>
              <w:rPr>
                <w:color w:val="231F20"/>
                <w:spacing w:val="-2"/>
                <w:sz w:val="12"/>
              </w:rPr>
              <w:t>0.3531</w:t>
            </w:r>
          </w:p>
        </w:tc>
        <w:tc>
          <w:tcPr>
            <w:tcW w:w="540" w:type="dxa"/>
            <w:tcBorders>
              <w:top w:val="nil"/>
              <w:bottom w:val="nil"/>
            </w:tcBorders>
          </w:tcPr>
          <w:p>
            <w:pPr>
              <w:pStyle w:val="TableParagraph"/>
              <w:spacing w:before="71"/>
              <w:ind w:right="67"/>
              <w:jc w:val="right"/>
              <w:rPr>
                <w:sz w:val="12"/>
              </w:rPr>
            </w:pPr>
            <w:r>
              <w:rPr>
                <w:color w:val="231F20"/>
                <w:spacing w:val="-2"/>
                <w:sz w:val="12"/>
              </w:rPr>
              <w:t>0.3554</w:t>
            </w:r>
          </w:p>
        </w:tc>
        <w:tc>
          <w:tcPr>
            <w:tcW w:w="540" w:type="dxa"/>
            <w:tcBorders>
              <w:top w:val="nil"/>
              <w:bottom w:val="nil"/>
            </w:tcBorders>
          </w:tcPr>
          <w:p>
            <w:pPr>
              <w:pStyle w:val="TableParagraph"/>
              <w:spacing w:before="71"/>
              <w:ind w:right="67"/>
              <w:jc w:val="right"/>
              <w:rPr>
                <w:sz w:val="12"/>
              </w:rPr>
            </w:pPr>
            <w:r>
              <w:rPr>
                <w:color w:val="231F20"/>
                <w:spacing w:val="-2"/>
                <w:sz w:val="12"/>
              </w:rPr>
              <w:t>0.3577</w:t>
            </w:r>
          </w:p>
        </w:tc>
        <w:tc>
          <w:tcPr>
            <w:tcW w:w="540" w:type="dxa"/>
            <w:tcBorders>
              <w:top w:val="nil"/>
              <w:bottom w:val="nil"/>
            </w:tcBorders>
          </w:tcPr>
          <w:p>
            <w:pPr>
              <w:pStyle w:val="TableParagraph"/>
              <w:spacing w:before="71"/>
              <w:ind w:right="67"/>
              <w:jc w:val="right"/>
              <w:rPr>
                <w:sz w:val="12"/>
              </w:rPr>
            </w:pPr>
            <w:r>
              <w:rPr>
                <w:color w:val="231F20"/>
                <w:spacing w:val="-2"/>
                <w:sz w:val="12"/>
              </w:rPr>
              <w:t>0.3599</w:t>
            </w:r>
          </w:p>
        </w:tc>
        <w:tc>
          <w:tcPr>
            <w:tcW w:w="580" w:type="dxa"/>
            <w:tcBorders>
              <w:top w:val="nil"/>
              <w:bottom w:val="nil"/>
            </w:tcBorders>
          </w:tcPr>
          <w:p>
            <w:pPr>
              <w:pStyle w:val="TableParagraph"/>
              <w:spacing w:before="71"/>
              <w:ind w:right="107"/>
              <w:jc w:val="right"/>
              <w:rPr>
                <w:sz w:val="12"/>
              </w:rPr>
            </w:pPr>
            <w:r>
              <w:rPr>
                <w:color w:val="231F20"/>
                <w:spacing w:val="-2"/>
                <w:sz w:val="12"/>
              </w:rPr>
              <w:t>0.3621</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1.1</w:t>
            </w:r>
          </w:p>
        </w:tc>
        <w:tc>
          <w:tcPr>
            <w:tcW w:w="940" w:type="dxa"/>
            <w:tcBorders>
              <w:top w:val="nil"/>
              <w:bottom w:val="nil"/>
            </w:tcBorders>
          </w:tcPr>
          <w:p>
            <w:pPr>
              <w:pStyle w:val="TableParagraph"/>
              <w:spacing w:before="24"/>
              <w:ind w:right="67"/>
              <w:jc w:val="right"/>
              <w:rPr>
                <w:sz w:val="12"/>
              </w:rPr>
            </w:pPr>
            <w:r>
              <w:rPr>
                <w:color w:val="231F20"/>
                <w:spacing w:val="-2"/>
                <w:sz w:val="12"/>
              </w:rPr>
              <w:t>0.3643</w:t>
            </w:r>
          </w:p>
        </w:tc>
        <w:tc>
          <w:tcPr>
            <w:tcW w:w="540" w:type="dxa"/>
            <w:tcBorders>
              <w:top w:val="nil"/>
              <w:bottom w:val="nil"/>
            </w:tcBorders>
          </w:tcPr>
          <w:p>
            <w:pPr>
              <w:pStyle w:val="TableParagraph"/>
              <w:spacing w:before="24"/>
              <w:ind w:right="67"/>
              <w:jc w:val="right"/>
              <w:rPr>
                <w:sz w:val="12"/>
              </w:rPr>
            </w:pPr>
            <w:r>
              <w:rPr>
                <w:color w:val="231F20"/>
                <w:spacing w:val="-2"/>
                <w:sz w:val="12"/>
              </w:rPr>
              <w:t>0.3665</w:t>
            </w:r>
          </w:p>
        </w:tc>
        <w:tc>
          <w:tcPr>
            <w:tcW w:w="540" w:type="dxa"/>
            <w:tcBorders>
              <w:top w:val="nil"/>
              <w:bottom w:val="nil"/>
            </w:tcBorders>
          </w:tcPr>
          <w:p>
            <w:pPr>
              <w:pStyle w:val="TableParagraph"/>
              <w:spacing w:before="24"/>
              <w:ind w:right="67"/>
              <w:jc w:val="right"/>
              <w:rPr>
                <w:sz w:val="12"/>
              </w:rPr>
            </w:pPr>
            <w:r>
              <w:rPr>
                <w:color w:val="231F20"/>
                <w:spacing w:val="-2"/>
                <w:sz w:val="12"/>
              </w:rPr>
              <w:t>0.3680</w:t>
            </w:r>
          </w:p>
        </w:tc>
        <w:tc>
          <w:tcPr>
            <w:tcW w:w="540" w:type="dxa"/>
            <w:tcBorders>
              <w:top w:val="nil"/>
              <w:bottom w:val="nil"/>
            </w:tcBorders>
          </w:tcPr>
          <w:p>
            <w:pPr>
              <w:pStyle w:val="TableParagraph"/>
              <w:spacing w:before="24"/>
              <w:ind w:right="67"/>
              <w:jc w:val="right"/>
              <w:rPr>
                <w:sz w:val="12"/>
              </w:rPr>
            </w:pPr>
            <w:r>
              <w:rPr>
                <w:color w:val="231F20"/>
                <w:spacing w:val="-2"/>
                <w:sz w:val="12"/>
              </w:rPr>
              <w:t>0.3708</w:t>
            </w:r>
          </w:p>
        </w:tc>
        <w:tc>
          <w:tcPr>
            <w:tcW w:w="540" w:type="dxa"/>
            <w:tcBorders>
              <w:top w:val="nil"/>
              <w:bottom w:val="nil"/>
            </w:tcBorders>
          </w:tcPr>
          <w:p>
            <w:pPr>
              <w:pStyle w:val="TableParagraph"/>
              <w:spacing w:before="24"/>
              <w:ind w:right="67"/>
              <w:jc w:val="right"/>
              <w:rPr>
                <w:sz w:val="12"/>
              </w:rPr>
            </w:pPr>
            <w:r>
              <w:rPr>
                <w:color w:val="231F20"/>
                <w:spacing w:val="-2"/>
                <w:sz w:val="12"/>
              </w:rPr>
              <w:t>0.3729</w:t>
            </w:r>
          </w:p>
        </w:tc>
        <w:tc>
          <w:tcPr>
            <w:tcW w:w="540" w:type="dxa"/>
            <w:tcBorders>
              <w:top w:val="nil"/>
              <w:bottom w:val="nil"/>
            </w:tcBorders>
          </w:tcPr>
          <w:p>
            <w:pPr>
              <w:pStyle w:val="TableParagraph"/>
              <w:spacing w:before="24"/>
              <w:ind w:right="67"/>
              <w:jc w:val="right"/>
              <w:rPr>
                <w:sz w:val="12"/>
              </w:rPr>
            </w:pPr>
            <w:r>
              <w:rPr>
                <w:color w:val="231F20"/>
                <w:spacing w:val="-2"/>
                <w:sz w:val="12"/>
              </w:rPr>
              <w:t>0.3749</w:t>
            </w:r>
          </w:p>
        </w:tc>
        <w:tc>
          <w:tcPr>
            <w:tcW w:w="540" w:type="dxa"/>
            <w:tcBorders>
              <w:top w:val="nil"/>
              <w:bottom w:val="nil"/>
            </w:tcBorders>
          </w:tcPr>
          <w:p>
            <w:pPr>
              <w:pStyle w:val="TableParagraph"/>
              <w:spacing w:before="24"/>
              <w:ind w:right="67"/>
              <w:jc w:val="right"/>
              <w:rPr>
                <w:sz w:val="12"/>
              </w:rPr>
            </w:pPr>
            <w:r>
              <w:rPr>
                <w:color w:val="231F20"/>
                <w:spacing w:val="-2"/>
                <w:sz w:val="12"/>
              </w:rPr>
              <w:t>0.3770</w:t>
            </w:r>
          </w:p>
        </w:tc>
        <w:tc>
          <w:tcPr>
            <w:tcW w:w="540" w:type="dxa"/>
            <w:tcBorders>
              <w:top w:val="nil"/>
              <w:bottom w:val="nil"/>
            </w:tcBorders>
          </w:tcPr>
          <w:p>
            <w:pPr>
              <w:pStyle w:val="TableParagraph"/>
              <w:spacing w:before="24"/>
              <w:ind w:right="67"/>
              <w:jc w:val="right"/>
              <w:rPr>
                <w:sz w:val="12"/>
              </w:rPr>
            </w:pPr>
            <w:r>
              <w:rPr>
                <w:color w:val="231F20"/>
                <w:spacing w:val="-2"/>
                <w:sz w:val="12"/>
              </w:rPr>
              <w:t>0.3790</w:t>
            </w:r>
          </w:p>
        </w:tc>
        <w:tc>
          <w:tcPr>
            <w:tcW w:w="540" w:type="dxa"/>
            <w:tcBorders>
              <w:top w:val="nil"/>
              <w:bottom w:val="nil"/>
            </w:tcBorders>
          </w:tcPr>
          <w:p>
            <w:pPr>
              <w:pStyle w:val="TableParagraph"/>
              <w:spacing w:before="24"/>
              <w:ind w:right="67"/>
              <w:jc w:val="right"/>
              <w:rPr>
                <w:sz w:val="12"/>
              </w:rPr>
            </w:pPr>
            <w:r>
              <w:rPr>
                <w:color w:val="231F20"/>
                <w:spacing w:val="-2"/>
                <w:sz w:val="12"/>
              </w:rPr>
              <w:t>0.3810</w:t>
            </w:r>
          </w:p>
        </w:tc>
        <w:tc>
          <w:tcPr>
            <w:tcW w:w="580" w:type="dxa"/>
            <w:tcBorders>
              <w:top w:val="nil"/>
              <w:bottom w:val="nil"/>
            </w:tcBorders>
          </w:tcPr>
          <w:p>
            <w:pPr>
              <w:pStyle w:val="TableParagraph"/>
              <w:spacing w:before="24"/>
              <w:ind w:right="107"/>
              <w:jc w:val="right"/>
              <w:rPr>
                <w:sz w:val="12"/>
              </w:rPr>
            </w:pPr>
            <w:r>
              <w:rPr>
                <w:color w:val="231F20"/>
                <w:spacing w:val="-2"/>
                <w:sz w:val="12"/>
              </w:rPr>
              <w:t>0.3830</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1.2</w:t>
            </w:r>
          </w:p>
        </w:tc>
        <w:tc>
          <w:tcPr>
            <w:tcW w:w="940" w:type="dxa"/>
            <w:tcBorders>
              <w:top w:val="nil"/>
              <w:bottom w:val="nil"/>
            </w:tcBorders>
          </w:tcPr>
          <w:p>
            <w:pPr>
              <w:pStyle w:val="TableParagraph"/>
              <w:spacing w:before="24"/>
              <w:ind w:right="67"/>
              <w:jc w:val="right"/>
              <w:rPr>
                <w:sz w:val="12"/>
              </w:rPr>
            </w:pPr>
            <w:r>
              <w:rPr>
                <w:color w:val="231F20"/>
                <w:spacing w:val="-2"/>
                <w:sz w:val="12"/>
              </w:rPr>
              <w:t>0.3849</w:t>
            </w:r>
          </w:p>
        </w:tc>
        <w:tc>
          <w:tcPr>
            <w:tcW w:w="540" w:type="dxa"/>
            <w:tcBorders>
              <w:top w:val="nil"/>
              <w:bottom w:val="nil"/>
            </w:tcBorders>
          </w:tcPr>
          <w:p>
            <w:pPr>
              <w:pStyle w:val="TableParagraph"/>
              <w:spacing w:before="24"/>
              <w:ind w:right="67"/>
              <w:jc w:val="right"/>
              <w:rPr>
                <w:sz w:val="12"/>
              </w:rPr>
            </w:pPr>
            <w:r>
              <w:rPr>
                <w:color w:val="231F20"/>
                <w:spacing w:val="-2"/>
                <w:sz w:val="12"/>
              </w:rPr>
              <w:t>0.3869</w:t>
            </w:r>
          </w:p>
        </w:tc>
        <w:tc>
          <w:tcPr>
            <w:tcW w:w="540" w:type="dxa"/>
            <w:tcBorders>
              <w:top w:val="nil"/>
              <w:bottom w:val="nil"/>
            </w:tcBorders>
          </w:tcPr>
          <w:p>
            <w:pPr>
              <w:pStyle w:val="TableParagraph"/>
              <w:spacing w:before="24"/>
              <w:ind w:right="67"/>
              <w:jc w:val="right"/>
              <w:rPr>
                <w:sz w:val="12"/>
              </w:rPr>
            </w:pPr>
            <w:r>
              <w:rPr>
                <w:color w:val="231F20"/>
                <w:spacing w:val="-2"/>
                <w:sz w:val="12"/>
              </w:rPr>
              <w:t>0.3888</w:t>
            </w:r>
          </w:p>
        </w:tc>
        <w:tc>
          <w:tcPr>
            <w:tcW w:w="540" w:type="dxa"/>
            <w:tcBorders>
              <w:top w:val="nil"/>
              <w:bottom w:val="nil"/>
            </w:tcBorders>
          </w:tcPr>
          <w:p>
            <w:pPr>
              <w:pStyle w:val="TableParagraph"/>
              <w:spacing w:before="24"/>
              <w:ind w:right="67"/>
              <w:jc w:val="right"/>
              <w:rPr>
                <w:sz w:val="12"/>
              </w:rPr>
            </w:pPr>
            <w:r>
              <w:rPr>
                <w:color w:val="231F20"/>
                <w:spacing w:val="-2"/>
                <w:sz w:val="12"/>
              </w:rPr>
              <w:t>0.3907</w:t>
            </w:r>
          </w:p>
        </w:tc>
        <w:tc>
          <w:tcPr>
            <w:tcW w:w="540" w:type="dxa"/>
            <w:tcBorders>
              <w:top w:val="nil"/>
              <w:bottom w:val="nil"/>
            </w:tcBorders>
          </w:tcPr>
          <w:p>
            <w:pPr>
              <w:pStyle w:val="TableParagraph"/>
              <w:spacing w:before="24"/>
              <w:ind w:right="67"/>
              <w:jc w:val="right"/>
              <w:rPr>
                <w:sz w:val="12"/>
              </w:rPr>
            </w:pPr>
            <w:r>
              <w:rPr>
                <w:color w:val="231F20"/>
                <w:spacing w:val="-2"/>
                <w:sz w:val="12"/>
              </w:rPr>
              <w:t>0.3925</w:t>
            </w:r>
          </w:p>
        </w:tc>
        <w:tc>
          <w:tcPr>
            <w:tcW w:w="540" w:type="dxa"/>
            <w:tcBorders>
              <w:top w:val="nil"/>
              <w:bottom w:val="nil"/>
            </w:tcBorders>
          </w:tcPr>
          <w:p>
            <w:pPr>
              <w:pStyle w:val="TableParagraph"/>
              <w:spacing w:before="24"/>
              <w:ind w:right="67"/>
              <w:jc w:val="right"/>
              <w:rPr>
                <w:sz w:val="12"/>
              </w:rPr>
            </w:pPr>
            <w:r>
              <w:rPr>
                <w:color w:val="231F20"/>
                <w:spacing w:val="-2"/>
                <w:sz w:val="12"/>
              </w:rPr>
              <w:t>0.3944</w:t>
            </w:r>
          </w:p>
        </w:tc>
        <w:tc>
          <w:tcPr>
            <w:tcW w:w="540" w:type="dxa"/>
            <w:tcBorders>
              <w:top w:val="nil"/>
              <w:bottom w:val="nil"/>
            </w:tcBorders>
          </w:tcPr>
          <w:p>
            <w:pPr>
              <w:pStyle w:val="TableParagraph"/>
              <w:spacing w:before="24"/>
              <w:ind w:right="67"/>
              <w:jc w:val="right"/>
              <w:rPr>
                <w:sz w:val="12"/>
              </w:rPr>
            </w:pPr>
            <w:r>
              <w:rPr>
                <w:color w:val="231F20"/>
                <w:spacing w:val="-2"/>
                <w:sz w:val="12"/>
              </w:rPr>
              <w:t>0.3962</w:t>
            </w:r>
          </w:p>
        </w:tc>
        <w:tc>
          <w:tcPr>
            <w:tcW w:w="540" w:type="dxa"/>
            <w:tcBorders>
              <w:top w:val="nil"/>
              <w:bottom w:val="nil"/>
            </w:tcBorders>
          </w:tcPr>
          <w:p>
            <w:pPr>
              <w:pStyle w:val="TableParagraph"/>
              <w:spacing w:before="24"/>
              <w:ind w:right="67"/>
              <w:jc w:val="right"/>
              <w:rPr>
                <w:sz w:val="12"/>
              </w:rPr>
            </w:pPr>
            <w:r>
              <w:rPr>
                <w:color w:val="231F20"/>
                <w:spacing w:val="-2"/>
                <w:sz w:val="12"/>
              </w:rPr>
              <w:t>0.3980</w:t>
            </w:r>
          </w:p>
        </w:tc>
        <w:tc>
          <w:tcPr>
            <w:tcW w:w="540" w:type="dxa"/>
            <w:tcBorders>
              <w:top w:val="nil"/>
              <w:bottom w:val="nil"/>
            </w:tcBorders>
          </w:tcPr>
          <w:p>
            <w:pPr>
              <w:pStyle w:val="TableParagraph"/>
              <w:spacing w:before="24"/>
              <w:ind w:right="67"/>
              <w:jc w:val="right"/>
              <w:rPr>
                <w:sz w:val="12"/>
              </w:rPr>
            </w:pPr>
            <w:r>
              <w:rPr>
                <w:color w:val="231F20"/>
                <w:spacing w:val="-2"/>
                <w:sz w:val="12"/>
              </w:rPr>
              <w:t>0.3997</w:t>
            </w:r>
          </w:p>
        </w:tc>
        <w:tc>
          <w:tcPr>
            <w:tcW w:w="580" w:type="dxa"/>
            <w:tcBorders>
              <w:top w:val="nil"/>
              <w:bottom w:val="nil"/>
            </w:tcBorders>
          </w:tcPr>
          <w:p>
            <w:pPr>
              <w:pStyle w:val="TableParagraph"/>
              <w:spacing w:before="24"/>
              <w:ind w:right="107"/>
              <w:jc w:val="right"/>
              <w:rPr>
                <w:sz w:val="12"/>
              </w:rPr>
            </w:pPr>
            <w:r>
              <w:rPr>
                <w:color w:val="231F20"/>
                <w:spacing w:val="-2"/>
                <w:sz w:val="12"/>
              </w:rPr>
              <w:t>0.4015</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1.3</w:t>
            </w:r>
          </w:p>
        </w:tc>
        <w:tc>
          <w:tcPr>
            <w:tcW w:w="940" w:type="dxa"/>
            <w:tcBorders>
              <w:top w:val="nil"/>
              <w:bottom w:val="nil"/>
            </w:tcBorders>
          </w:tcPr>
          <w:p>
            <w:pPr>
              <w:pStyle w:val="TableParagraph"/>
              <w:spacing w:before="24"/>
              <w:ind w:right="67"/>
              <w:jc w:val="right"/>
              <w:rPr>
                <w:sz w:val="12"/>
              </w:rPr>
            </w:pPr>
            <w:r>
              <w:rPr>
                <w:color w:val="231F20"/>
                <w:spacing w:val="-2"/>
                <w:sz w:val="12"/>
              </w:rPr>
              <w:t>0.4032</w:t>
            </w:r>
          </w:p>
        </w:tc>
        <w:tc>
          <w:tcPr>
            <w:tcW w:w="540" w:type="dxa"/>
            <w:tcBorders>
              <w:top w:val="nil"/>
              <w:bottom w:val="nil"/>
            </w:tcBorders>
          </w:tcPr>
          <w:p>
            <w:pPr>
              <w:pStyle w:val="TableParagraph"/>
              <w:spacing w:before="24"/>
              <w:ind w:right="67"/>
              <w:jc w:val="right"/>
              <w:rPr>
                <w:sz w:val="12"/>
              </w:rPr>
            </w:pPr>
            <w:r>
              <w:rPr>
                <w:color w:val="231F20"/>
                <w:spacing w:val="-2"/>
                <w:sz w:val="12"/>
              </w:rPr>
              <w:t>0.4049</w:t>
            </w:r>
          </w:p>
        </w:tc>
        <w:tc>
          <w:tcPr>
            <w:tcW w:w="540" w:type="dxa"/>
            <w:tcBorders>
              <w:top w:val="nil"/>
              <w:bottom w:val="nil"/>
            </w:tcBorders>
          </w:tcPr>
          <w:p>
            <w:pPr>
              <w:pStyle w:val="TableParagraph"/>
              <w:spacing w:before="24"/>
              <w:ind w:right="67"/>
              <w:jc w:val="right"/>
              <w:rPr>
                <w:sz w:val="12"/>
              </w:rPr>
            </w:pPr>
            <w:r>
              <w:rPr>
                <w:color w:val="231F20"/>
                <w:spacing w:val="-2"/>
                <w:sz w:val="12"/>
              </w:rPr>
              <w:t>0.4066</w:t>
            </w:r>
          </w:p>
        </w:tc>
        <w:tc>
          <w:tcPr>
            <w:tcW w:w="540" w:type="dxa"/>
            <w:tcBorders>
              <w:top w:val="nil"/>
              <w:bottom w:val="nil"/>
            </w:tcBorders>
          </w:tcPr>
          <w:p>
            <w:pPr>
              <w:pStyle w:val="TableParagraph"/>
              <w:spacing w:before="24"/>
              <w:ind w:right="67"/>
              <w:jc w:val="right"/>
              <w:rPr>
                <w:sz w:val="12"/>
              </w:rPr>
            </w:pPr>
            <w:r>
              <w:rPr>
                <w:color w:val="231F20"/>
                <w:spacing w:val="-2"/>
                <w:sz w:val="12"/>
              </w:rPr>
              <w:t>0.4082</w:t>
            </w:r>
          </w:p>
        </w:tc>
        <w:tc>
          <w:tcPr>
            <w:tcW w:w="540" w:type="dxa"/>
            <w:tcBorders>
              <w:top w:val="nil"/>
              <w:bottom w:val="nil"/>
            </w:tcBorders>
          </w:tcPr>
          <w:p>
            <w:pPr>
              <w:pStyle w:val="TableParagraph"/>
              <w:spacing w:before="24"/>
              <w:ind w:right="67"/>
              <w:jc w:val="right"/>
              <w:rPr>
                <w:sz w:val="12"/>
              </w:rPr>
            </w:pPr>
            <w:r>
              <w:rPr>
                <w:color w:val="231F20"/>
                <w:spacing w:val="-2"/>
                <w:sz w:val="12"/>
              </w:rPr>
              <w:t>0.4099</w:t>
            </w:r>
          </w:p>
        </w:tc>
        <w:tc>
          <w:tcPr>
            <w:tcW w:w="540" w:type="dxa"/>
            <w:tcBorders>
              <w:top w:val="nil"/>
              <w:bottom w:val="nil"/>
            </w:tcBorders>
          </w:tcPr>
          <w:p>
            <w:pPr>
              <w:pStyle w:val="TableParagraph"/>
              <w:spacing w:before="24"/>
              <w:ind w:right="67"/>
              <w:jc w:val="right"/>
              <w:rPr>
                <w:sz w:val="12"/>
              </w:rPr>
            </w:pPr>
            <w:r>
              <w:rPr>
                <w:color w:val="231F20"/>
                <w:spacing w:val="-2"/>
                <w:sz w:val="12"/>
              </w:rPr>
              <w:t>0.4115</w:t>
            </w:r>
          </w:p>
        </w:tc>
        <w:tc>
          <w:tcPr>
            <w:tcW w:w="540" w:type="dxa"/>
            <w:tcBorders>
              <w:top w:val="nil"/>
              <w:bottom w:val="nil"/>
            </w:tcBorders>
          </w:tcPr>
          <w:p>
            <w:pPr>
              <w:pStyle w:val="TableParagraph"/>
              <w:spacing w:before="24"/>
              <w:ind w:right="67"/>
              <w:jc w:val="right"/>
              <w:rPr>
                <w:sz w:val="12"/>
              </w:rPr>
            </w:pPr>
            <w:r>
              <w:rPr>
                <w:color w:val="231F20"/>
                <w:spacing w:val="-2"/>
                <w:sz w:val="12"/>
              </w:rPr>
              <w:t>0.4131</w:t>
            </w:r>
          </w:p>
        </w:tc>
        <w:tc>
          <w:tcPr>
            <w:tcW w:w="540" w:type="dxa"/>
            <w:tcBorders>
              <w:top w:val="nil"/>
              <w:bottom w:val="nil"/>
            </w:tcBorders>
          </w:tcPr>
          <w:p>
            <w:pPr>
              <w:pStyle w:val="TableParagraph"/>
              <w:spacing w:before="24"/>
              <w:ind w:right="67"/>
              <w:jc w:val="right"/>
              <w:rPr>
                <w:sz w:val="12"/>
              </w:rPr>
            </w:pPr>
            <w:r>
              <w:rPr>
                <w:color w:val="231F20"/>
                <w:spacing w:val="-2"/>
                <w:sz w:val="12"/>
              </w:rPr>
              <w:t>0.4147</w:t>
            </w:r>
          </w:p>
        </w:tc>
        <w:tc>
          <w:tcPr>
            <w:tcW w:w="540" w:type="dxa"/>
            <w:tcBorders>
              <w:top w:val="nil"/>
              <w:bottom w:val="nil"/>
            </w:tcBorders>
          </w:tcPr>
          <w:p>
            <w:pPr>
              <w:pStyle w:val="TableParagraph"/>
              <w:spacing w:before="24"/>
              <w:ind w:right="67"/>
              <w:jc w:val="right"/>
              <w:rPr>
                <w:sz w:val="12"/>
              </w:rPr>
            </w:pPr>
            <w:r>
              <w:rPr>
                <w:color w:val="231F20"/>
                <w:spacing w:val="-2"/>
                <w:sz w:val="12"/>
              </w:rPr>
              <w:t>0.4162</w:t>
            </w:r>
          </w:p>
        </w:tc>
        <w:tc>
          <w:tcPr>
            <w:tcW w:w="580" w:type="dxa"/>
            <w:tcBorders>
              <w:top w:val="nil"/>
              <w:bottom w:val="nil"/>
            </w:tcBorders>
          </w:tcPr>
          <w:p>
            <w:pPr>
              <w:pStyle w:val="TableParagraph"/>
              <w:spacing w:before="24"/>
              <w:ind w:right="107"/>
              <w:jc w:val="right"/>
              <w:rPr>
                <w:sz w:val="12"/>
              </w:rPr>
            </w:pPr>
            <w:r>
              <w:rPr>
                <w:color w:val="231F20"/>
                <w:spacing w:val="-2"/>
                <w:sz w:val="12"/>
              </w:rPr>
              <w:t>0.4177</w:t>
            </w:r>
          </w:p>
        </w:tc>
      </w:tr>
      <w:tr>
        <w:trPr>
          <w:trHeight w:val="237"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1.4</w:t>
            </w:r>
          </w:p>
        </w:tc>
        <w:tc>
          <w:tcPr>
            <w:tcW w:w="940" w:type="dxa"/>
            <w:tcBorders>
              <w:top w:val="nil"/>
              <w:bottom w:val="nil"/>
            </w:tcBorders>
          </w:tcPr>
          <w:p>
            <w:pPr>
              <w:pStyle w:val="TableParagraph"/>
              <w:spacing w:before="24"/>
              <w:ind w:right="67"/>
              <w:jc w:val="right"/>
              <w:rPr>
                <w:sz w:val="12"/>
              </w:rPr>
            </w:pPr>
            <w:r>
              <w:rPr>
                <w:color w:val="231F20"/>
                <w:spacing w:val="-2"/>
                <w:sz w:val="12"/>
              </w:rPr>
              <w:t>0.4192</w:t>
            </w:r>
          </w:p>
        </w:tc>
        <w:tc>
          <w:tcPr>
            <w:tcW w:w="540" w:type="dxa"/>
            <w:tcBorders>
              <w:top w:val="nil"/>
              <w:bottom w:val="nil"/>
            </w:tcBorders>
          </w:tcPr>
          <w:p>
            <w:pPr>
              <w:pStyle w:val="TableParagraph"/>
              <w:spacing w:before="24"/>
              <w:ind w:right="67"/>
              <w:jc w:val="right"/>
              <w:rPr>
                <w:sz w:val="12"/>
              </w:rPr>
            </w:pPr>
            <w:r>
              <w:rPr>
                <w:color w:val="231F20"/>
                <w:spacing w:val="-2"/>
                <w:sz w:val="12"/>
              </w:rPr>
              <w:t>0.4207</w:t>
            </w:r>
          </w:p>
        </w:tc>
        <w:tc>
          <w:tcPr>
            <w:tcW w:w="540" w:type="dxa"/>
            <w:tcBorders>
              <w:top w:val="nil"/>
              <w:bottom w:val="nil"/>
            </w:tcBorders>
          </w:tcPr>
          <w:p>
            <w:pPr>
              <w:pStyle w:val="TableParagraph"/>
              <w:spacing w:before="24"/>
              <w:ind w:right="67"/>
              <w:jc w:val="right"/>
              <w:rPr>
                <w:sz w:val="12"/>
              </w:rPr>
            </w:pPr>
            <w:r>
              <w:rPr>
                <w:color w:val="231F20"/>
                <w:spacing w:val="-2"/>
                <w:sz w:val="12"/>
              </w:rPr>
              <w:t>0.4222</w:t>
            </w:r>
          </w:p>
        </w:tc>
        <w:tc>
          <w:tcPr>
            <w:tcW w:w="540" w:type="dxa"/>
            <w:tcBorders>
              <w:top w:val="nil"/>
              <w:bottom w:val="nil"/>
            </w:tcBorders>
          </w:tcPr>
          <w:p>
            <w:pPr>
              <w:pStyle w:val="TableParagraph"/>
              <w:spacing w:before="24"/>
              <w:ind w:right="67"/>
              <w:jc w:val="right"/>
              <w:rPr>
                <w:sz w:val="12"/>
              </w:rPr>
            </w:pPr>
            <w:r>
              <w:rPr>
                <w:color w:val="231F20"/>
                <w:spacing w:val="-2"/>
                <w:sz w:val="12"/>
              </w:rPr>
              <w:t>0.4236</w:t>
            </w:r>
          </w:p>
        </w:tc>
        <w:tc>
          <w:tcPr>
            <w:tcW w:w="540" w:type="dxa"/>
            <w:tcBorders>
              <w:top w:val="nil"/>
              <w:bottom w:val="nil"/>
            </w:tcBorders>
          </w:tcPr>
          <w:p>
            <w:pPr>
              <w:pStyle w:val="TableParagraph"/>
              <w:spacing w:before="24"/>
              <w:ind w:right="67"/>
              <w:jc w:val="right"/>
              <w:rPr>
                <w:sz w:val="12"/>
              </w:rPr>
            </w:pPr>
            <w:r>
              <w:rPr>
                <w:color w:val="231F20"/>
                <w:spacing w:val="-2"/>
                <w:sz w:val="12"/>
              </w:rPr>
              <w:t>0.4251</w:t>
            </w:r>
          </w:p>
        </w:tc>
        <w:tc>
          <w:tcPr>
            <w:tcW w:w="540" w:type="dxa"/>
            <w:tcBorders>
              <w:top w:val="nil"/>
              <w:bottom w:val="nil"/>
            </w:tcBorders>
          </w:tcPr>
          <w:p>
            <w:pPr>
              <w:pStyle w:val="TableParagraph"/>
              <w:spacing w:before="24"/>
              <w:ind w:right="67"/>
              <w:jc w:val="right"/>
              <w:rPr>
                <w:sz w:val="12"/>
              </w:rPr>
            </w:pPr>
            <w:r>
              <w:rPr>
                <w:color w:val="231F20"/>
                <w:spacing w:val="-2"/>
                <w:sz w:val="12"/>
              </w:rPr>
              <w:t>0.4265</w:t>
            </w:r>
          </w:p>
        </w:tc>
        <w:tc>
          <w:tcPr>
            <w:tcW w:w="540" w:type="dxa"/>
            <w:tcBorders>
              <w:top w:val="nil"/>
              <w:bottom w:val="nil"/>
            </w:tcBorders>
          </w:tcPr>
          <w:p>
            <w:pPr>
              <w:pStyle w:val="TableParagraph"/>
              <w:spacing w:before="24"/>
              <w:ind w:right="67"/>
              <w:jc w:val="right"/>
              <w:rPr>
                <w:sz w:val="12"/>
              </w:rPr>
            </w:pPr>
            <w:r>
              <w:rPr>
                <w:color w:val="231F20"/>
                <w:spacing w:val="-2"/>
                <w:sz w:val="12"/>
              </w:rPr>
              <w:t>0.4279</w:t>
            </w:r>
          </w:p>
        </w:tc>
        <w:tc>
          <w:tcPr>
            <w:tcW w:w="540" w:type="dxa"/>
            <w:tcBorders>
              <w:top w:val="nil"/>
              <w:bottom w:val="nil"/>
            </w:tcBorders>
          </w:tcPr>
          <w:p>
            <w:pPr>
              <w:pStyle w:val="TableParagraph"/>
              <w:spacing w:before="24"/>
              <w:ind w:right="67"/>
              <w:jc w:val="right"/>
              <w:rPr>
                <w:sz w:val="12"/>
              </w:rPr>
            </w:pPr>
            <w:r>
              <w:rPr>
                <w:color w:val="231F20"/>
                <w:spacing w:val="-2"/>
                <w:sz w:val="12"/>
              </w:rPr>
              <w:t>0.4292</w:t>
            </w:r>
          </w:p>
        </w:tc>
        <w:tc>
          <w:tcPr>
            <w:tcW w:w="540" w:type="dxa"/>
            <w:tcBorders>
              <w:top w:val="nil"/>
              <w:bottom w:val="nil"/>
            </w:tcBorders>
          </w:tcPr>
          <w:p>
            <w:pPr>
              <w:pStyle w:val="TableParagraph"/>
              <w:spacing w:before="24"/>
              <w:ind w:right="67"/>
              <w:jc w:val="right"/>
              <w:rPr>
                <w:sz w:val="12"/>
              </w:rPr>
            </w:pPr>
            <w:r>
              <w:rPr>
                <w:color w:val="231F20"/>
                <w:spacing w:val="-2"/>
                <w:sz w:val="12"/>
              </w:rPr>
              <w:t>0.4306</w:t>
            </w:r>
          </w:p>
        </w:tc>
        <w:tc>
          <w:tcPr>
            <w:tcW w:w="580" w:type="dxa"/>
            <w:tcBorders>
              <w:top w:val="nil"/>
              <w:bottom w:val="nil"/>
            </w:tcBorders>
          </w:tcPr>
          <w:p>
            <w:pPr>
              <w:pStyle w:val="TableParagraph"/>
              <w:spacing w:before="24"/>
              <w:ind w:right="107"/>
              <w:jc w:val="right"/>
              <w:rPr>
                <w:sz w:val="12"/>
              </w:rPr>
            </w:pPr>
            <w:r>
              <w:rPr>
                <w:color w:val="231F20"/>
                <w:spacing w:val="-2"/>
                <w:sz w:val="12"/>
              </w:rPr>
              <w:t>0.4319</w:t>
            </w:r>
          </w:p>
        </w:tc>
      </w:tr>
      <w:tr>
        <w:trPr>
          <w:trHeight w:val="237" w:hRule="atLeast"/>
        </w:trPr>
        <w:tc>
          <w:tcPr>
            <w:tcW w:w="370" w:type="dxa"/>
            <w:tcBorders>
              <w:top w:val="nil"/>
              <w:bottom w:val="nil"/>
            </w:tcBorders>
          </w:tcPr>
          <w:p>
            <w:pPr>
              <w:pStyle w:val="TableParagraph"/>
              <w:spacing w:before="71"/>
              <w:ind w:left="107" w:right="61"/>
              <w:rPr>
                <w:sz w:val="12"/>
              </w:rPr>
            </w:pPr>
            <w:r>
              <w:rPr>
                <w:color w:val="231F20"/>
                <w:spacing w:val="-5"/>
                <w:w w:val="105"/>
                <w:sz w:val="12"/>
              </w:rPr>
              <w:t>1.5</w:t>
            </w:r>
          </w:p>
        </w:tc>
        <w:tc>
          <w:tcPr>
            <w:tcW w:w="940" w:type="dxa"/>
            <w:tcBorders>
              <w:top w:val="nil"/>
              <w:bottom w:val="nil"/>
            </w:tcBorders>
          </w:tcPr>
          <w:p>
            <w:pPr>
              <w:pStyle w:val="TableParagraph"/>
              <w:spacing w:before="71"/>
              <w:ind w:right="67"/>
              <w:jc w:val="right"/>
              <w:rPr>
                <w:sz w:val="12"/>
              </w:rPr>
            </w:pPr>
            <w:r>
              <w:rPr>
                <w:color w:val="231F20"/>
                <w:spacing w:val="-2"/>
                <w:sz w:val="12"/>
              </w:rPr>
              <w:t>0.4332</w:t>
            </w:r>
          </w:p>
        </w:tc>
        <w:tc>
          <w:tcPr>
            <w:tcW w:w="540" w:type="dxa"/>
            <w:tcBorders>
              <w:top w:val="nil"/>
              <w:bottom w:val="nil"/>
            </w:tcBorders>
          </w:tcPr>
          <w:p>
            <w:pPr>
              <w:pStyle w:val="TableParagraph"/>
              <w:spacing w:before="71"/>
              <w:ind w:right="67"/>
              <w:jc w:val="right"/>
              <w:rPr>
                <w:sz w:val="12"/>
              </w:rPr>
            </w:pPr>
            <w:r>
              <w:rPr>
                <w:color w:val="231F20"/>
                <w:spacing w:val="-2"/>
                <w:sz w:val="12"/>
              </w:rPr>
              <w:t>0.4345</w:t>
            </w:r>
          </w:p>
        </w:tc>
        <w:tc>
          <w:tcPr>
            <w:tcW w:w="540" w:type="dxa"/>
            <w:tcBorders>
              <w:top w:val="nil"/>
              <w:bottom w:val="nil"/>
            </w:tcBorders>
          </w:tcPr>
          <w:p>
            <w:pPr>
              <w:pStyle w:val="TableParagraph"/>
              <w:spacing w:before="71"/>
              <w:ind w:right="67"/>
              <w:jc w:val="right"/>
              <w:rPr>
                <w:sz w:val="12"/>
              </w:rPr>
            </w:pPr>
            <w:r>
              <w:rPr>
                <w:color w:val="231F20"/>
                <w:spacing w:val="-2"/>
                <w:sz w:val="12"/>
              </w:rPr>
              <w:t>0.4357</w:t>
            </w:r>
          </w:p>
        </w:tc>
        <w:tc>
          <w:tcPr>
            <w:tcW w:w="540" w:type="dxa"/>
            <w:tcBorders>
              <w:top w:val="nil"/>
              <w:bottom w:val="nil"/>
            </w:tcBorders>
          </w:tcPr>
          <w:p>
            <w:pPr>
              <w:pStyle w:val="TableParagraph"/>
              <w:spacing w:before="71"/>
              <w:ind w:right="67"/>
              <w:jc w:val="right"/>
              <w:rPr>
                <w:sz w:val="12"/>
              </w:rPr>
            </w:pPr>
            <w:r>
              <w:rPr>
                <w:color w:val="231F20"/>
                <w:spacing w:val="-2"/>
                <w:sz w:val="12"/>
              </w:rPr>
              <w:t>0.4370</w:t>
            </w:r>
          </w:p>
        </w:tc>
        <w:tc>
          <w:tcPr>
            <w:tcW w:w="540" w:type="dxa"/>
            <w:tcBorders>
              <w:top w:val="nil"/>
              <w:bottom w:val="nil"/>
            </w:tcBorders>
          </w:tcPr>
          <w:p>
            <w:pPr>
              <w:pStyle w:val="TableParagraph"/>
              <w:spacing w:before="71"/>
              <w:ind w:right="67"/>
              <w:jc w:val="right"/>
              <w:rPr>
                <w:sz w:val="12"/>
              </w:rPr>
            </w:pPr>
            <w:r>
              <w:rPr>
                <w:color w:val="231F20"/>
                <w:spacing w:val="-2"/>
                <w:sz w:val="12"/>
              </w:rPr>
              <w:t>0.4382</w:t>
            </w:r>
          </w:p>
        </w:tc>
        <w:tc>
          <w:tcPr>
            <w:tcW w:w="540" w:type="dxa"/>
            <w:tcBorders>
              <w:top w:val="nil"/>
              <w:bottom w:val="nil"/>
            </w:tcBorders>
          </w:tcPr>
          <w:p>
            <w:pPr>
              <w:pStyle w:val="TableParagraph"/>
              <w:spacing w:before="71"/>
              <w:ind w:right="67"/>
              <w:jc w:val="right"/>
              <w:rPr>
                <w:sz w:val="12"/>
              </w:rPr>
            </w:pPr>
            <w:r>
              <w:rPr>
                <w:color w:val="231F20"/>
                <w:spacing w:val="-2"/>
                <w:sz w:val="12"/>
              </w:rPr>
              <w:t>0.4394</w:t>
            </w:r>
          </w:p>
        </w:tc>
        <w:tc>
          <w:tcPr>
            <w:tcW w:w="540" w:type="dxa"/>
            <w:tcBorders>
              <w:top w:val="nil"/>
              <w:bottom w:val="nil"/>
            </w:tcBorders>
          </w:tcPr>
          <w:p>
            <w:pPr>
              <w:pStyle w:val="TableParagraph"/>
              <w:spacing w:before="71"/>
              <w:ind w:right="67"/>
              <w:jc w:val="right"/>
              <w:rPr>
                <w:sz w:val="12"/>
              </w:rPr>
            </w:pPr>
            <w:r>
              <w:rPr>
                <w:color w:val="231F20"/>
                <w:spacing w:val="-2"/>
                <w:sz w:val="12"/>
              </w:rPr>
              <w:t>0.4406</w:t>
            </w:r>
          </w:p>
        </w:tc>
        <w:tc>
          <w:tcPr>
            <w:tcW w:w="540" w:type="dxa"/>
            <w:tcBorders>
              <w:top w:val="nil"/>
              <w:bottom w:val="nil"/>
            </w:tcBorders>
          </w:tcPr>
          <w:p>
            <w:pPr>
              <w:pStyle w:val="TableParagraph"/>
              <w:spacing w:before="71"/>
              <w:ind w:right="67"/>
              <w:jc w:val="right"/>
              <w:rPr>
                <w:sz w:val="12"/>
              </w:rPr>
            </w:pPr>
            <w:r>
              <w:rPr>
                <w:color w:val="231F20"/>
                <w:spacing w:val="-2"/>
                <w:sz w:val="12"/>
              </w:rPr>
              <w:t>0.4418</w:t>
            </w:r>
          </w:p>
        </w:tc>
        <w:tc>
          <w:tcPr>
            <w:tcW w:w="540" w:type="dxa"/>
            <w:tcBorders>
              <w:top w:val="nil"/>
              <w:bottom w:val="nil"/>
            </w:tcBorders>
          </w:tcPr>
          <w:p>
            <w:pPr>
              <w:pStyle w:val="TableParagraph"/>
              <w:spacing w:before="71"/>
              <w:ind w:right="67"/>
              <w:jc w:val="right"/>
              <w:rPr>
                <w:sz w:val="12"/>
              </w:rPr>
            </w:pPr>
            <w:r>
              <w:rPr>
                <w:color w:val="231F20"/>
                <w:spacing w:val="-2"/>
                <w:sz w:val="12"/>
              </w:rPr>
              <w:t>0.4429</w:t>
            </w:r>
          </w:p>
        </w:tc>
        <w:tc>
          <w:tcPr>
            <w:tcW w:w="580" w:type="dxa"/>
            <w:tcBorders>
              <w:top w:val="nil"/>
              <w:bottom w:val="nil"/>
            </w:tcBorders>
          </w:tcPr>
          <w:p>
            <w:pPr>
              <w:pStyle w:val="TableParagraph"/>
              <w:spacing w:before="71"/>
              <w:ind w:right="107"/>
              <w:jc w:val="right"/>
              <w:rPr>
                <w:sz w:val="12"/>
              </w:rPr>
            </w:pPr>
            <w:r>
              <w:rPr>
                <w:color w:val="231F20"/>
                <w:spacing w:val="-2"/>
                <w:sz w:val="12"/>
              </w:rPr>
              <w:t>0.4441</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1.6</w:t>
            </w:r>
          </w:p>
        </w:tc>
        <w:tc>
          <w:tcPr>
            <w:tcW w:w="940" w:type="dxa"/>
            <w:tcBorders>
              <w:top w:val="nil"/>
              <w:bottom w:val="nil"/>
            </w:tcBorders>
          </w:tcPr>
          <w:p>
            <w:pPr>
              <w:pStyle w:val="TableParagraph"/>
              <w:spacing w:before="24"/>
              <w:ind w:right="67"/>
              <w:jc w:val="right"/>
              <w:rPr>
                <w:sz w:val="12"/>
              </w:rPr>
            </w:pPr>
            <w:r>
              <w:rPr>
                <w:color w:val="231F20"/>
                <w:spacing w:val="-2"/>
                <w:sz w:val="12"/>
              </w:rPr>
              <w:t>0.4452</w:t>
            </w:r>
          </w:p>
        </w:tc>
        <w:tc>
          <w:tcPr>
            <w:tcW w:w="540" w:type="dxa"/>
            <w:tcBorders>
              <w:top w:val="nil"/>
              <w:bottom w:val="nil"/>
            </w:tcBorders>
          </w:tcPr>
          <w:p>
            <w:pPr>
              <w:pStyle w:val="TableParagraph"/>
              <w:spacing w:before="24"/>
              <w:ind w:right="67"/>
              <w:jc w:val="right"/>
              <w:rPr>
                <w:sz w:val="12"/>
              </w:rPr>
            </w:pPr>
            <w:r>
              <w:rPr>
                <w:color w:val="231F20"/>
                <w:spacing w:val="-2"/>
                <w:sz w:val="12"/>
              </w:rPr>
              <w:t>0.4463</w:t>
            </w:r>
          </w:p>
        </w:tc>
        <w:tc>
          <w:tcPr>
            <w:tcW w:w="540" w:type="dxa"/>
            <w:tcBorders>
              <w:top w:val="nil"/>
              <w:bottom w:val="nil"/>
            </w:tcBorders>
          </w:tcPr>
          <w:p>
            <w:pPr>
              <w:pStyle w:val="TableParagraph"/>
              <w:spacing w:before="24"/>
              <w:ind w:right="67"/>
              <w:jc w:val="right"/>
              <w:rPr>
                <w:sz w:val="12"/>
              </w:rPr>
            </w:pPr>
            <w:r>
              <w:rPr>
                <w:color w:val="231F20"/>
                <w:spacing w:val="-2"/>
                <w:sz w:val="12"/>
              </w:rPr>
              <w:t>0.4474</w:t>
            </w:r>
          </w:p>
        </w:tc>
        <w:tc>
          <w:tcPr>
            <w:tcW w:w="540" w:type="dxa"/>
            <w:tcBorders>
              <w:top w:val="nil"/>
              <w:bottom w:val="nil"/>
            </w:tcBorders>
          </w:tcPr>
          <w:p>
            <w:pPr>
              <w:pStyle w:val="TableParagraph"/>
              <w:spacing w:before="24"/>
              <w:ind w:right="67"/>
              <w:jc w:val="right"/>
              <w:rPr>
                <w:sz w:val="12"/>
              </w:rPr>
            </w:pPr>
            <w:r>
              <w:rPr>
                <w:color w:val="231F20"/>
                <w:spacing w:val="-2"/>
                <w:sz w:val="12"/>
              </w:rPr>
              <w:t>0.4484</w:t>
            </w:r>
          </w:p>
        </w:tc>
        <w:tc>
          <w:tcPr>
            <w:tcW w:w="540" w:type="dxa"/>
            <w:tcBorders>
              <w:top w:val="nil"/>
              <w:bottom w:val="nil"/>
            </w:tcBorders>
          </w:tcPr>
          <w:p>
            <w:pPr>
              <w:pStyle w:val="TableParagraph"/>
              <w:spacing w:before="24"/>
              <w:ind w:right="67"/>
              <w:jc w:val="right"/>
              <w:rPr>
                <w:sz w:val="12"/>
              </w:rPr>
            </w:pPr>
            <w:r>
              <w:rPr>
                <w:color w:val="231F20"/>
                <w:spacing w:val="-2"/>
                <w:sz w:val="12"/>
              </w:rPr>
              <w:t>0.4495</w:t>
            </w:r>
          </w:p>
        </w:tc>
        <w:tc>
          <w:tcPr>
            <w:tcW w:w="540" w:type="dxa"/>
            <w:tcBorders>
              <w:top w:val="nil"/>
              <w:bottom w:val="nil"/>
            </w:tcBorders>
          </w:tcPr>
          <w:p>
            <w:pPr>
              <w:pStyle w:val="TableParagraph"/>
              <w:spacing w:before="24"/>
              <w:ind w:right="67"/>
              <w:jc w:val="right"/>
              <w:rPr>
                <w:sz w:val="12"/>
              </w:rPr>
            </w:pPr>
            <w:r>
              <w:rPr>
                <w:color w:val="231F20"/>
                <w:spacing w:val="-2"/>
                <w:sz w:val="12"/>
              </w:rPr>
              <w:t>0.4505</w:t>
            </w:r>
          </w:p>
        </w:tc>
        <w:tc>
          <w:tcPr>
            <w:tcW w:w="540" w:type="dxa"/>
            <w:tcBorders>
              <w:top w:val="nil"/>
              <w:bottom w:val="nil"/>
            </w:tcBorders>
          </w:tcPr>
          <w:p>
            <w:pPr>
              <w:pStyle w:val="TableParagraph"/>
              <w:spacing w:before="24"/>
              <w:ind w:right="67"/>
              <w:jc w:val="right"/>
              <w:rPr>
                <w:sz w:val="12"/>
              </w:rPr>
            </w:pPr>
            <w:r>
              <w:rPr>
                <w:color w:val="231F20"/>
                <w:spacing w:val="-2"/>
                <w:sz w:val="12"/>
              </w:rPr>
              <w:t>0.4515</w:t>
            </w:r>
          </w:p>
        </w:tc>
        <w:tc>
          <w:tcPr>
            <w:tcW w:w="540" w:type="dxa"/>
            <w:tcBorders>
              <w:top w:val="nil"/>
              <w:bottom w:val="nil"/>
            </w:tcBorders>
          </w:tcPr>
          <w:p>
            <w:pPr>
              <w:pStyle w:val="TableParagraph"/>
              <w:spacing w:before="24"/>
              <w:ind w:right="67"/>
              <w:jc w:val="right"/>
              <w:rPr>
                <w:sz w:val="12"/>
              </w:rPr>
            </w:pPr>
            <w:r>
              <w:rPr>
                <w:color w:val="231F20"/>
                <w:spacing w:val="-2"/>
                <w:sz w:val="12"/>
              </w:rPr>
              <w:t>0.4525</w:t>
            </w:r>
          </w:p>
        </w:tc>
        <w:tc>
          <w:tcPr>
            <w:tcW w:w="540" w:type="dxa"/>
            <w:tcBorders>
              <w:top w:val="nil"/>
              <w:bottom w:val="nil"/>
            </w:tcBorders>
          </w:tcPr>
          <w:p>
            <w:pPr>
              <w:pStyle w:val="TableParagraph"/>
              <w:spacing w:before="24"/>
              <w:ind w:right="67"/>
              <w:jc w:val="right"/>
              <w:rPr>
                <w:sz w:val="12"/>
              </w:rPr>
            </w:pPr>
            <w:r>
              <w:rPr>
                <w:color w:val="231F20"/>
                <w:spacing w:val="-2"/>
                <w:sz w:val="12"/>
              </w:rPr>
              <w:t>0.4535</w:t>
            </w:r>
          </w:p>
        </w:tc>
        <w:tc>
          <w:tcPr>
            <w:tcW w:w="580" w:type="dxa"/>
            <w:tcBorders>
              <w:top w:val="nil"/>
              <w:bottom w:val="nil"/>
            </w:tcBorders>
          </w:tcPr>
          <w:p>
            <w:pPr>
              <w:pStyle w:val="TableParagraph"/>
              <w:spacing w:before="24"/>
              <w:ind w:right="107"/>
              <w:jc w:val="right"/>
              <w:rPr>
                <w:sz w:val="12"/>
              </w:rPr>
            </w:pPr>
            <w:r>
              <w:rPr>
                <w:color w:val="231F20"/>
                <w:spacing w:val="-2"/>
                <w:sz w:val="12"/>
              </w:rPr>
              <w:t>0.4545</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1.7</w:t>
            </w:r>
          </w:p>
        </w:tc>
        <w:tc>
          <w:tcPr>
            <w:tcW w:w="940" w:type="dxa"/>
            <w:tcBorders>
              <w:top w:val="nil"/>
              <w:bottom w:val="nil"/>
            </w:tcBorders>
          </w:tcPr>
          <w:p>
            <w:pPr>
              <w:pStyle w:val="TableParagraph"/>
              <w:spacing w:before="24"/>
              <w:ind w:right="67"/>
              <w:jc w:val="right"/>
              <w:rPr>
                <w:sz w:val="12"/>
              </w:rPr>
            </w:pPr>
            <w:r>
              <w:rPr>
                <w:color w:val="231F20"/>
                <w:spacing w:val="-2"/>
                <w:sz w:val="12"/>
              </w:rPr>
              <w:t>0.4554</w:t>
            </w:r>
          </w:p>
        </w:tc>
        <w:tc>
          <w:tcPr>
            <w:tcW w:w="540" w:type="dxa"/>
            <w:tcBorders>
              <w:top w:val="nil"/>
              <w:bottom w:val="nil"/>
            </w:tcBorders>
          </w:tcPr>
          <w:p>
            <w:pPr>
              <w:pStyle w:val="TableParagraph"/>
              <w:spacing w:before="24"/>
              <w:ind w:right="67"/>
              <w:jc w:val="right"/>
              <w:rPr>
                <w:sz w:val="12"/>
              </w:rPr>
            </w:pPr>
            <w:r>
              <w:rPr>
                <w:color w:val="231F20"/>
                <w:spacing w:val="-2"/>
                <w:sz w:val="12"/>
              </w:rPr>
              <w:t>0.4564</w:t>
            </w:r>
          </w:p>
        </w:tc>
        <w:tc>
          <w:tcPr>
            <w:tcW w:w="540" w:type="dxa"/>
            <w:tcBorders>
              <w:top w:val="nil"/>
              <w:bottom w:val="nil"/>
            </w:tcBorders>
          </w:tcPr>
          <w:p>
            <w:pPr>
              <w:pStyle w:val="TableParagraph"/>
              <w:spacing w:before="24"/>
              <w:ind w:right="67"/>
              <w:jc w:val="right"/>
              <w:rPr>
                <w:sz w:val="12"/>
              </w:rPr>
            </w:pPr>
            <w:r>
              <w:rPr>
                <w:color w:val="231F20"/>
                <w:spacing w:val="-2"/>
                <w:sz w:val="12"/>
              </w:rPr>
              <w:t>0.4573</w:t>
            </w:r>
          </w:p>
        </w:tc>
        <w:tc>
          <w:tcPr>
            <w:tcW w:w="540" w:type="dxa"/>
            <w:tcBorders>
              <w:top w:val="nil"/>
              <w:bottom w:val="nil"/>
            </w:tcBorders>
          </w:tcPr>
          <w:p>
            <w:pPr>
              <w:pStyle w:val="TableParagraph"/>
              <w:spacing w:before="24"/>
              <w:ind w:right="67"/>
              <w:jc w:val="right"/>
              <w:rPr>
                <w:sz w:val="12"/>
              </w:rPr>
            </w:pPr>
            <w:r>
              <w:rPr>
                <w:color w:val="231F20"/>
                <w:spacing w:val="-2"/>
                <w:sz w:val="12"/>
              </w:rPr>
              <w:t>0.4582</w:t>
            </w:r>
          </w:p>
        </w:tc>
        <w:tc>
          <w:tcPr>
            <w:tcW w:w="540" w:type="dxa"/>
            <w:tcBorders>
              <w:top w:val="nil"/>
              <w:bottom w:val="nil"/>
            </w:tcBorders>
          </w:tcPr>
          <w:p>
            <w:pPr>
              <w:pStyle w:val="TableParagraph"/>
              <w:spacing w:before="24"/>
              <w:ind w:right="67"/>
              <w:jc w:val="right"/>
              <w:rPr>
                <w:sz w:val="12"/>
              </w:rPr>
            </w:pPr>
            <w:r>
              <w:rPr>
                <w:color w:val="231F20"/>
                <w:spacing w:val="-2"/>
                <w:sz w:val="12"/>
              </w:rPr>
              <w:t>0.4591</w:t>
            </w:r>
          </w:p>
        </w:tc>
        <w:tc>
          <w:tcPr>
            <w:tcW w:w="540" w:type="dxa"/>
            <w:tcBorders>
              <w:top w:val="nil"/>
              <w:bottom w:val="nil"/>
            </w:tcBorders>
          </w:tcPr>
          <w:p>
            <w:pPr>
              <w:pStyle w:val="TableParagraph"/>
              <w:spacing w:before="24"/>
              <w:ind w:right="67"/>
              <w:jc w:val="right"/>
              <w:rPr>
                <w:sz w:val="12"/>
              </w:rPr>
            </w:pPr>
            <w:r>
              <w:rPr>
                <w:color w:val="231F20"/>
                <w:spacing w:val="-2"/>
                <w:sz w:val="12"/>
              </w:rPr>
              <w:t>0.4599</w:t>
            </w:r>
          </w:p>
        </w:tc>
        <w:tc>
          <w:tcPr>
            <w:tcW w:w="540" w:type="dxa"/>
            <w:tcBorders>
              <w:top w:val="nil"/>
              <w:bottom w:val="nil"/>
            </w:tcBorders>
          </w:tcPr>
          <w:p>
            <w:pPr>
              <w:pStyle w:val="TableParagraph"/>
              <w:spacing w:before="24"/>
              <w:ind w:right="67"/>
              <w:jc w:val="right"/>
              <w:rPr>
                <w:sz w:val="12"/>
              </w:rPr>
            </w:pPr>
            <w:r>
              <w:rPr>
                <w:color w:val="231F20"/>
                <w:spacing w:val="-2"/>
                <w:sz w:val="12"/>
              </w:rPr>
              <w:t>0.4608</w:t>
            </w:r>
          </w:p>
        </w:tc>
        <w:tc>
          <w:tcPr>
            <w:tcW w:w="540" w:type="dxa"/>
            <w:tcBorders>
              <w:top w:val="nil"/>
              <w:bottom w:val="nil"/>
            </w:tcBorders>
          </w:tcPr>
          <w:p>
            <w:pPr>
              <w:pStyle w:val="TableParagraph"/>
              <w:spacing w:before="24"/>
              <w:ind w:right="67"/>
              <w:jc w:val="right"/>
              <w:rPr>
                <w:sz w:val="12"/>
              </w:rPr>
            </w:pPr>
            <w:r>
              <w:rPr>
                <w:color w:val="231F20"/>
                <w:spacing w:val="-2"/>
                <w:sz w:val="12"/>
              </w:rPr>
              <w:t>0.4616</w:t>
            </w:r>
          </w:p>
        </w:tc>
        <w:tc>
          <w:tcPr>
            <w:tcW w:w="540" w:type="dxa"/>
            <w:tcBorders>
              <w:top w:val="nil"/>
              <w:bottom w:val="nil"/>
            </w:tcBorders>
          </w:tcPr>
          <w:p>
            <w:pPr>
              <w:pStyle w:val="TableParagraph"/>
              <w:spacing w:before="24"/>
              <w:ind w:right="67"/>
              <w:jc w:val="right"/>
              <w:rPr>
                <w:sz w:val="12"/>
              </w:rPr>
            </w:pPr>
            <w:r>
              <w:rPr>
                <w:color w:val="231F20"/>
                <w:spacing w:val="-2"/>
                <w:sz w:val="12"/>
              </w:rPr>
              <w:t>0.4625</w:t>
            </w:r>
          </w:p>
        </w:tc>
        <w:tc>
          <w:tcPr>
            <w:tcW w:w="580" w:type="dxa"/>
            <w:tcBorders>
              <w:top w:val="nil"/>
              <w:bottom w:val="nil"/>
            </w:tcBorders>
          </w:tcPr>
          <w:p>
            <w:pPr>
              <w:pStyle w:val="TableParagraph"/>
              <w:spacing w:before="24"/>
              <w:ind w:right="107"/>
              <w:jc w:val="right"/>
              <w:rPr>
                <w:sz w:val="12"/>
              </w:rPr>
            </w:pPr>
            <w:r>
              <w:rPr>
                <w:color w:val="231F20"/>
                <w:spacing w:val="-2"/>
                <w:sz w:val="12"/>
              </w:rPr>
              <w:t>0.4633</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1.8</w:t>
            </w:r>
          </w:p>
        </w:tc>
        <w:tc>
          <w:tcPr>
            <w:tcW w:w="940" w:type="dxa"/>
            <w:tcBorders>
              <w:top w:val="nil"/>
              <w:bottom w:val="nil"/>
            </w:tcBorders>
          </w:tcPr>
          <w:p>
            <w:pPr>
              <w:pStyle w:val="TableParagraph"/>
              <w:spacing w:before="24"/>
              <w:ind w:right="67"/>
              <w:jc w:val="right"/>
              <w:rPr>
                <w:sz w:val="12"/>
              </w:rPr>
            </w:pPr>
            <w:r>
              <w:rPr>
                <w:color w:val="231F20"/>
                <w:spacing w:val="-2"/>
                <w:sz w:val="12"/>
              </w:rPr>
              <w:t>0.4641</w:t>
            </w:r>
          </w:p>
        </w:tc>
        <w:tc>
          <w:tcPr>
            <w:tcW w:w="540" w:type="dxa"/>
            <w:tcBorders>
              <w:top w:val="nil"/>
              <w:bottom w:val="nil"/>
            </w:tcBorders>
          </w:tcPr>
          <w:p>
            <w:pPr>
              <w:pStyle w:val="TableParagraph"/>
              <w:spacing w:before="24"/>
              <w:ind w:right="67"/>
              <w:jc w:val="right"/>
              <w:rPr>
                <w:sz w:val="12"/>
              </w:rPr>
            </w:pPr>
            <w:r>
              <w:rPr>
                <w:color w:val="231F20"/>
                <w:spacing w:val="-2"/>
                <w:sz w:val="12"/>
              </w:rPr>
              <w:t>0.4649</w:t>
            </w:r>
          </w:p>
        </w:tc>
        <w:tc>
          <w:tcPr>
            <w:tcW w:w="540" w:type="dxa"/>
            <w:tcBorders>
              <w:top w:val="nil"/>
              <w:bottom w:val="nil"/>
            </w:tcBorders>
          </w:tcPr>
          <w:p>
            <w:pPr>
              <w:pStyle w:val="TableParagraph"/>
              <w:spacing w:before="24"/>
              <w:ind w:right="67"/>
              <w:jc w:val="right"/>
              <w:rPr>
                <w:sz w:val="12"/>
              </w:rPr>
            </w:pPr>
            <w:r>
              <w:rPr>
                <w:color w:val="231F20"/>
                <w:spacing w:val="-2"/>
                <w:sz w:val="12"/>
              </w:rPr>
              <w:t>0.4656</w:t>
            </w:r>
          </w:p>
        </w:tc>
        <w:tc>
          <w:tcPr>
            <w:tcW w:w="540" w:type="dxa"/>
            <w:tcBorders>
              <w:top w:val="nil"/>
              <w:bottom w:val="nil"/>
            </w:tcBorders>
          </w:tcPr>
          <w:p>
            <w:pPr>
              <w:pStyle w:val="TableParagraph"/>
              <w:spacing w:before="24"/>
              <w:ind w:right="67"/>
              <w:jc w:val="right"/>
              <w:rPr>
                <w:sz w:val="12"/>
              </w:rPr>
            </w:pPr>
            <w:r>
              <w:rPr>
                <w:color w:val="231F20"/>
                <w:spacing w:val="-2"/>
                <w:sz w:val="12"/>
              </w:rPr>
              <w:t>0.4664</w:t>
            </w:r>
          </w:p>
        </w:tc>
        <w:tc>
          <w:tcPr>
            <w:tcW w:w="540" w:type="dxa"/>
            <w:tcBorders>
              <w:top w:val="nil"/>
              <w:bottom w:val="nil"/>
            </w:tcBorders>
          </w:tcPr>
          <w:p>
            <w:pPr>
              <w:pStyle w:val="TableParagraph"/>
              <w:spacing w:before="24"/>
              <w:ind w:right="67"/>
              <w:jc w:val="right"/>
              <w:rPr>
                <w:sz w:val="12"/>
              </w:rPr>
            </w:pPr>
            <w:r>
              <w:rPr>
                <w:color w:val="231F20"/>
                <w:spacing w:val="-2"/>
                <w:sz w:val="12"/>
              </w:rPr>
              <w:t>0.4671</w:t>
            </w:r>
          </w:p>
        </w:tc>
        <w:tc>
          <w:tcPr>
            <w:tcW w:w="540" w:type="dxa"/>
            <w:tcBorders>
              <w:top w:val="nil"/>
              <w:bottom w:val="nil"/>
            </w:tcBorders>
          </w:tcPr>
          <w:p>
            <w:pPr>
              <w:pStyle w:val="TableParagraph"/>
              <w:spacing w:before="24"/>
              <w:ind w:right="67"/>
              <w:jc w:val="right"/>
              <w:rPr>
                <w:sz w:val="12"/>
              </w:rPr>
            </w:pPr>
            <w:r>
              <w:rPr>
                <w:color w:val="231F20"/>
                <w:spacing w:val="-2"/>
                <w:sz w:val="12"/>
              </w:rPr>
              <w:t>0.4673</w:t>
            </w:r>
          </w:p>
        </w:tc>
        <w:tc>
          <w:tcPr>
            <w:tcW w:w="540" w:type="dxa"/>
            <w:tcBorders>
              <w:top w:val="nil"/>
              <w:bottom w:val="nil"/>
            </w:tcBorders>
          </w:tcPr>
          <w:p>
            <w:pPr>
              <w:pStyle w:val="TableParagraph"/>
              <w:spacing w:before="24"/>
              <w:ind w:right="67"/>
              <w:jc w:val="right"/>
              <w:rPr>
                <w:sz w:val="12"/>
              </w:rPr>
            </w:pPr>
            <w:r>
              <w:rPr>
                <w:color w:val="231F20"/>
                <w:spacing w:val="-2"/>
                <w:sz w:val="12"/>
              </w:rPr>
              <w:t>0.4686</w:t>
            </w:r>
          </w:p>
        </w:tc>
        <w:tc>
          <w:tcPr>
            <w:tcW w:w="540" w:type="dxa"/>
            <w:tcBorders>
              <w:top w:val="nil"/>
              <w:bottom w:val="nil"/>
            </w:tcBorders>
          </w:tcPr>
          <w:p>
            <w:pPr>
              <w:pStyle w:val="TableParagraph"/>
              <w:spacing w:before="24"/>
              <w:ind w:right="67"/>
              <w:jc w:val="right"/>
              <w:rPr>
                <w:sz w:val="12"/>
              </w:rPr>
            </w:pPr>
            <w:r>
              <w:rPr>
                <w:color w:val="231F20"/>
                <w:spacing w:val="-2"/>
                <w:sz w:val="12"/>
              </w:rPr>
              <w:t>0.4693</w:t>
            </w:r>
          </w:p>
        </w:tc>
        <w:tc>
          <w:tcPr>
            <w:tcW w:w="540" w:type="dxa"/>
            <w:tcBorders>
              <w:top w:val="nil"/>
              <w:bottom w:val="nil"/>
            </w:tcBorders>
          </w:tcPr>
          <w:p>
            <w:pPr>
              <w:pStyle w:val="TableParagraph"/>
              <w:spacing w:before="24"/>
              <w:ind w:right="67"/>
              <w:jc w:val="right"/>
              <w:rPr>
                <w:sz w:val="12"/>
              </w:rPr>
            </w:pPr>
            <w:r>
              <w:rPr>
                <w:color w:val="231F20"/>
                <w:spacing w:val="-2"/>
                <w:sz w:val="12"/>
              </w:rPr>
              <w:t>0.4699</w:t>
            </w:r>
          </w:p>
        </w:tc>
        <w:tc>
          <w:tcPr>
            <w:tcW w:w="580" w:type="dxa"/>
            <w:tcBorders>
              <w:top w:val="nil"/>
              <w:bottom w:val="nil"/>
            </w:tcBorders>
          </w:tcPr>
          <w:p>
            <w:pPr>
              <w:pStyle w:val="TableParagraph"/>
              <w:spacing w:before="24"/>
              <w:ind w:right="107"/>
              <w:jc w:val="right"/>
              <w:rPr>
                <w:sz w:val="12"/>
              </w:rPr>
            </w:pPr>
            <w:r>
              <w:rPr>
                <w:color w:val="231F20"/>
                <w:spacing w:val="-2"/>
                <w:sz w:val="12"/>
              </w:rPr>
              <w:t>0.4706</w:t>
            </w:r>
          </w:p>
        </w:tc>
      </w:tr>
      <w:tr>
        <w:trPr>
          <w:trHeight w:val="237"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1.9</w:t>
            </w:r>
          </w:p>
        </w:tc>
        <w:tc>
          <w:tcPr>
            <w:tcW w:w="940" w:type="dxa"/>
            <w:tcBorders>
              <w:top w:val="nil"/>
              <w:bottom w:val="nil"/>
            </w:tcBorders>
          </w:tcPr>
          <w:p>
            <w:pPr>
              <w:pStyle w:val="TableParagraph"/>
              <w:spacing w:before="24"/>
              <w:ind w:right="67"/>
              <w:jc w:val="right"/>
              <w:rPr>
                <w:sz w:val="12"/>
              </w:rPr>
            </w:pPr>
            <w:r>
              <w:rPr>
                <w:color w:val="231F20"/>
                <w:spacing w:val="-2"/>
                <w:sz w:val="12"/>
              </w:rPr>
              <w:t>0.4713</w:t>
            </w:r>
          </w:p>
        </w:tc>
        <w:tc>
          <w:tcPr>
            <w:tcW w:w="540" w:type="dxa"/>
            <w:tcBorders>
              <w:top w:val="nil"/>
              <w:bottom w:val="nil"/>
            </w:tcBorders>
          </w:tcPr>
          <w:p>
            <w:pPr>
              <w:pStyle w:val="TableParagraph"/>
              <w:spacing w:before="24"/>
              <w:ind w:right="67"/>
              <w:jc w:val="right"/>
              <w:rPr>
                <w:sz w:val="12"/>
              </w:rPr>
            </w:pPr>
            <w:r>
              <w:rPr>
                <w:color w:val="231F20"/>
                <w:spacing w:val="-2"/>
                <w:sz w:val="12"/>
              </w:rPr>
              <w:t>0.4719</w:t>
            </w:r>
          </w:p>
        </w:tc>
        <w:tc>
          <w:tcPr>
            <w:tcW w:w="540" w:type="dxa"/>
            <w:tcBorders>
              <w:top w:val="nil"/>
              <w:bottom w:val="nil"/>
            </w:tcBorders>
          </w:tcPr>
          <w:p>
            <w:pPr>
              <w:pStyle w:val="TableParagraph"/>
              <w:spacing w:before="24"/>
              <w:ind w:right="67"/>
              <w:jc w:val="right"/>
              <w:rPr>
                <w:sz w:val="12"/>
              </w:rPr>
            </w:pPr>
            <w:r>
              <w:rPr>
                <w:color w:val="231F20"/>
                <w:spacing w:val="-2"/>
                <w:sz w:val="12"/>
              </w:rPr>
              <w:t>0.4726</w:t>
            </w:r>
          </w:p>
        </w:tc>
        <w:tc>
          <w:tcPr>
            <w:tcW w:w="540" w:type="dxa"/>
            <w:tcBorders>
              <w:top w:val="nil"/>
              <w:bottom w:val="nil"/>
            </w:tcBorders>
          </w:tcPr>
          <w:p>
            <w:pPr>
              <w:pStyle w:val="TableParagraph"/>
              <w:spacing w:before="24"/>
              <w:ind w:right="67"/>
              <w:jc w:val="right"/>
              <w:rPr>
                <w:sz w:val="12"/>
              </w:rPr>
            </w:pPr>
            <w:r>
              <w:rPr>
                <w:color w:val="231F20"/>
                <w:spacing w:val="-2"/>
                <w:sz w:val="12"/>
              </w:rPr>
              <w:t>0.4732</w:t>
            </w:r>
          </w:p>
        </w:tc>
        <w:tc>
          <w:tcPr>
            <w:tcW w:w="540" w:type="dxa"/>
            <w:tcBorders>
              <w:top w:val="nil"/>
              <w:bottom w:val="nil"/>
            </w:tcBorders>
          </w:tcPr>
          <w:p>
            <w:pPr>
              <w:pStyle w:val="TableParagraph"/>
              <w:spacing w:before="24"/>
              <w:ind w:right="67"/>
              <w:jc w:val="right"/>
              <w:rPr>
                <w:sz w:val="12"/>
              </w:rPr>
            </w:pPr>
            <w:r>
              <w:rPr>
                <w:color w:val="231F20"/>
                <w:spacing w:val="-2"/>
                <w:sz w:val="12"/>
              </w:rPr>
              <w:t>0.4738</w:t>
            </w:r>
          </w:p>
        </w:tc>
        <w:tc>
          <w:tcPr>
            <w:tcW w:w="540" w:type="dxa"/>
            <w:tcBorders>
              <w:top w:val="nil"/>
              <w:bottom w:val="nil"/>
            </w:tcBorders>
          </w:tcPr>
          <w:p>
            <w:pPr>
              <w:pStyle w:val="TableParagraph"/>
              <w:spacing w:before="24"/>
              <w:ind w:right="67"/>
              <w:jc w:val="right"/>
              <w:rPr>
                <w:sz w:val="12"/>
              </w:rPr>
            </w:pPr>
            <w:r>
              <w:rPr>
                <w:color w:val="231F20"/>
                <w:spacing w:val="-2"/>
                <w:sz w:val="12"/>
              </w:rPr>
              <w:t>0.4744</w:t>
            </w:r>
          </w:p>
        </w:tc>
        <w:tc>
          <w:tcPr>
            <w:tcW w:w="540" w:type="dxa"/>
            <w:tcBorders>
              <w:top w:val="nil"/>
              <w:bottom w:val="nil"/>
            </w:tcBorders>
          </w:tcPr>
          <w:p>
            <w:pPr>
              <w:pStyle w:val="TableParagraph"/>
              <w:spacing w:before="24"/>
              <w:ind w:right="67"/>
              <w:jc w:val="right"/>
              <w:rPr>
                <w:sz w:val="12"/>
              </w:rPr>
            </w:pPr>
            <w:r>
              <w:rPr>
                <w:color w:val="231F20"/>
                <w:spacing w:val="-2"/>
                <w:sz w:val="12"/>
              </w:rPr>
              <w:t>0.4750</w:t>
            </w:r>
          </w:p>
        </w:tc>
        <w:tc>
          <w:tcPr>
            <w:tcW w:w="540" w:type="dxa"/>
            <w:tcBorders>
              <w:top w:val="nil"/>
              <w:bottom w:val="nil"/>
            </w:tcBorders>
          </w:tcPr>
          <w:p>
            <w:pPr>
              <w:pStyle w:val="TableParagraph"/>
              <w:spacing w:before="24"/>
              <w:ind w:right="67"/>
              <w:jc w:val="right"/>
              <w:rPr>
                <w:sz w:val="12"/>
              </w:rPr>
            </w:pPr>
            <w:r>
              <w:rPr>
                <w:color w:val="231F20"/>
                <w:spacing w:val="-2"/>
                <w:sz w:val="12"/>
              </w:rPr>
              <w:t>0.4756</w:t>
            </w:r>
          </w:p>
        </w:tc>
        <w:tc>
          <w:tcPr>
            <w:tcW w:w="540" w:type="dxa"/>
            <w:tcBorders>
              <w:top w:val="nil"/>
              <w:bottom w:val="nil"/>
            </w:tcBorders>
          </w:tcPr>
          <w:p>
            <w:pPr>
              <w:pStyle w:val="TableParagraph"/>
              <w:spacing w:before="24"/>
              <w:ind w:right="67"/>
              <w:jc w:val="right"/>
              <w:rPr>
                <w:sz w:val="12"/>
              </w:rPr>
            </w:pPr>
            <w:r>
              <w:rPr>
                <w:color w:val="231F20"/>
                <w:spacing w:val="-2"/>
                <w:sz w:val="12"/>
              </w:rPr>
              <w:t>0.4761</w:t>
            </w:r>
          </w:p>
        </w:tc>
        <w:tc>
          <w:tcPr>
            <w:tcW w:w="580" w:type="dxa"/>
            <w:tcBorders>
              <w:top w:val="nil"/>
              <w:bottom w:val="nil"/>
            </w:tcBorders>
          </w:tcPr>
          <w:p>
            <w:pPr>
              <w:pStyle w:val="TableParagraph"/>
              <w:spacing w:before="24"/>
              <w:ind w:right="107"/>
              <w:jc w:val="right"/>
              <w:rPr>
                <w:sz w:val="12"/>
              </w:rPr>
            </w:pPr>
            <w:r>
              <w:rPr>
                <w:color w:val="231F20"/>
                <w:spacing w:val="-2"/>
                <w:sz w:val="12"/>
              </w:rPr>
              <w:t>0.4767</w:t>
            </w:r>
          </w:p>
        </w:tc>
      </w:tr>
      <w:tr>
        <w:trPr>
          <w:trHeight w:val="237" w:hRule="atLeast"/>
        </w:trPr>
        <w:tc>
          <w:tcPr>
            <w:tcW w:w="370" w:type="dxa"/>
            <w:tcBorders>
              <w:top w:val="nil"/>
              <w:bottom w:val="nil"/>
            </w:tcBorders>
          </w:tcPr>
          <w:p>
            <w:pPr>
              <w:pStyle w:val="TableParagraph"/>
              <w:spacing w:before="71"/>
              <w:ind w:left="107" w:right="61"/>
              <w:rPr>
                <w:sz w:val="12"/>
              </w:rPr>
            </w:pPr>
            <w:r>
              <w:rPr>
                <w:color w:val="231F20"/>
                <w:spacing w:val="-5"/>
                <w:w w:val="105"/>
                <w:sz w:val="12"/>
              </w:rPr>
              <w:t>2.0</w:t>
            </w:r>
          </w:p>
        </w:tc>
        <w:tc>
          <w:tcPr>
            <w:tcW w:w="940" w:type="dxa"/>
            <w:tcBorders>
              <w:top w:val="nil"/>
              <w:bottom w:val="nil"/>
            </w:tcBorders>
          </w:tcPr>
          <w:p>
            <w:pPr>
              <w:pStyle w:val="TableParagraph"/>
              <w:spacing w:before="71"/>
              <w:ind w:right="67"/>
              <w:jc w:val="right"/>
              <w:rPr>
                <w:sz w:val="12"/>
              </w:rPr>
            </w:pPr>
            <w:r>
              <w:rPr>
                <w:color w:val="231F20"/>
                <w:spacing w:val="-2"/>
                <w:sz w:val="12"/>
              </w:rPr>
              <w:t>0.4772</w:t>
            </w:r>
          </w:p>
        </w:tc>
        <w:tc>
          <w:tcPr>
            <w:tcW w:w="540" w:type="dxa"/>
            <w:tcBorders>
              <w:top w:val="nil"/>
              <w:bottom w:val="nil"/>
            </w:tcBorders>
          </w:tcPr>
          <w:p>
            <w:pPr>
              <w:pStyle w:val="TableParagraph"/>
              <w:spacing w:before="71"/>
              <w:ind w:right="67"/>
              <w:jc w:val="right"/>
              <w:rPr>
                <w:sz w:val="12"/>
              </w:rPr>
            </w:pPr>
            <w:r>
              <w:rPr>
                <w:color w:val="231F20"/>
                <w:spacing w:val="-2"/>
                <w:sz w:val="12"/>
              </w:rPr>
              <w:t>0.4778</w:t>
            </w:r>
          </w:p>
        </w:tc>
        <w:tc>
          <w:tcPr>
            <w:tcW w:w="540" w:type="dxa"/>
            <w:tcBorders>
              <w:top w:val="nil"/>
              <w:bottom w:val="nil"/>
            </w:tcBorders>
          </w:tcPr>
          <w:p>
            <w:pPr>
              <w:pStyle w:val="TableParagraph"/>
              <w:spacing w:before="71"/>
              <w:ind w:right="67"/>
              <w:jc w:val="right"/>
              <w:rPr>
                <w:sz w:val="12"/>
              </w:rPr>
            </w:pPr>
            <w:r>
              <w:rPr>
                <w:color w:val="231F20"/>
                <w:spacing w:val="-2"/>
                <w:sz w:val="12"/>
              </w:rPr>
              <w:t>0.4783</w:t>
            </w:r>
          </w:p>
        </w:tc>
        <w:tc>
          <w:tcPr>
            <w:tcW w:w="540" w:type="dxa"/>
            <w:tcBorders>
              <w:top w:val="nil"/>
              <w:bottom w:val="nil"/>
            </w:tcBorders>
          </w:tcPr>
          <w:p>
            <w:pPr>
              <w:pStyle w:val="TableParagraph"/>
              <w:spacing w:before="71"/>
              <w:ind w:right="67"/>
              <w:jc w:val="right"/>
              <w:rPr>
                <w:sz w:val="12"/>
              </w:rPr>
            </w:pPr>
            <w:r>
              <w:rPr>
                <w:color w:val="231F20"/>
                <w:spacing w:val="-2"/>
                <w:sz w:val="12"/>
              </w:rPr>
              <w:t>0.4788</w:t>
            </w:r>
          </w:p>
        </w:tc>
        <w:tc>
          <w:tcPr>
            <w:tcW w:w="540" w:type="dxa"/>
            <w:tcBorders>
              <w:top w:val="nil"/>
              <w:bottom w:val="nil"/>
            </w:tcBorders>
          </w:tcPr>
          <w:p>
            <w:pPr>
              <w:pStyle w:val="TableParagraph"/>
              <w:spacing w:before="71"/>
              <w:ind w:right="67"/>
              <w:jc w:val="right"/>
              <w:rPr>
                <w:sz w:val="12"/>
              </w:rPr>
            </w:pPr>
            <w:r>
              <w:rPr>
                <w:color w:val="231F20"/>
                <w:spacing w:val="-2"/>
                <w:sz w:val="12"/>
              </w:rPr>
              <w:t>0.4793</w:t>
            </w:r>
          </w:p>
        </w:tc>
        <w:tc>
          <w:tcPr>
            <w:tcW w:w="540" w:type="dxa"/>
            <w:tcBorders>
              <w:top w:val="nil"/>
              <w:bottom w:val="nil"/>
            </w:tcBorders>
          </w:tcPr>
          <w:p>
            <w:pPr>
              <w:pStyle w:val="TableParagraph"/>
              <w:spacing w:before="71"/>
              <w:ind w:right="67"/>
              <w:jc w:val="right"/>
              <w:rPr>
                <w:sz w:val="12"/>
              </w:rPr>
            </w:pPr>
            <w:r>
              <w:rPr>
                <w:color w:val="231F20"/>
                <w:spacing w:val="-2"/>
                <w:sz w:val="12"/>
              </w:rPr>
              <w:t>0.4798</w:t>
            </w:r>
          </w:p>
        </w:tc>
        <w:tc>
          <w:tcPr>
            <w:tcW w:w="540" w:type="dxa"/>
            <w:tcBorders>
              <w:top w:val="nil"/>
              <w:bottom w:val="nil"/>
            </w:tcBorders>
          </w:tcPr>
          <w:p>
            <w:pPr>
              <w:pStyle w:val="TableParagraph"/>
              <w:spacing w:before="71"/>
              <w:ind w:right="67"/>
              <w:jc w:val="right"/>
              <w:rPr>
                <w:sz w:val="12"/>
              </w:rPr>
            </w:pPr>
            <w:r>
              <w:rPr>
                <w:color w:val="231F20"/>
                <w:spacing w:val="-2"/>
                <w:sz w:val="12"/>
              </w:rPr>
              <w:t>0.4803</w:t>
            </w:r>
          </w:p>
        </w:tc>
        <w:tc>
          <w:tcPr>
            <w:tcW w:w="540" w:type="dxa"/>
            <w:tcBorders>
              <w:top w:val="nil"/>
              <w:bottom w:val="nil"/>
            </w:tcBorders>
          </w:tcPr>
          <w:p>
            <w:pPr>
              <w:pStyle w:val="TableParagraph"/>
              <w:spacing w:before="71"/>
              <w:ind w:right="67"/>
              <w:jc w:val="right"/>
              <w:rPr>
                <w:sz w:val="12"/>
              </w:rPr>
            </w:pPr>
            <w:r>
              <w:rPr>
                <w:color w:val="231F20"/>
                <w:spacing w:val="-2"/>
                <w:sz w:val="12"/>
              </w:rPr>
              <w:t>0.4808</w:t>
            </w:r>
          </w:p>
        </w:tc>
        <w:tc>
          <w:tcPr>
            <w:tcW w:w="540" w:type="dxa"/>
            <w:tcBorders>
              <w:top w:val="nil"/>
              <w:bottom w:val="nil"/>
            </w:tcBorders>
          </w:tcPr>
          <w:p>
            <w:pPr>
              <w:pStyle w:val="TableParagraph"/>
              <w:spacing w:before="71"/>
              <w:ind w:right="67"/>
              <w:jc w:val="right"/>
              <w:rPr>
                <w:sz w:val="12"/>
              </w:rPr>
            </w:pPr>
            <w:r>
              <w:rPr>
                <w:color w:val="231F20"/>
                <w:spacing w:val="-2"/>
                <w:sz w:val="12"/>
              </w:rPr>
              <w:t>0.4812</w:t>
            </w:r>
          </w:p>
        </w:tc>
        <w:tc>
          <w:tcPr>
            <w:tcW w:w="580" w:type="dxa"/>
            <w:tcBorders>
              <w:top w:val="nil"/>
              <w:bottom w:val="nil"/>
            </w:tcBorders>
          </w:tcPr>
          <w:p>
            <w:pPr>
              <w:pStyle w:val="TableParagraph"/>
              <w:spacing w:before="71"/>
              <w:ind w:right="107"/>
              <w:jc w:val="right"/>
              <w:rPr>
                <w:sz w:val="12"/>
              </w:rPr>
            </w:pPr>
            <w:r>
              <w:rPr>
                <w:color w:val="231F20"/>
                <w:spacing w:val="-2"/>
                <w:sz w:val="12"/>
              </w:rPr>
              <w:t>0.4817</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2.1</w:t>
            </w:r>
          </w:p>
        </w:tc>
        <w:tc>
          <w:tcPr>
            <w:tcW w:w="940" w:type="dxa"/>
            <w:tcBorders>
              <w:top w:val="nil"/>
              <w:bottom w:val="nil"/>
            </w:tcBorders>
          </w:tcPr>
          <w:p>
            <w:pPr>
              <w:pStyle w:val="TableParagraph"/>
              <w:spacing w:before="24"/>
              <w:ind w:right="67"/>
              <w:jc w:val="right"/>
              <w:rPr>
                <w:sz w:val="12"/>
              </w:rPr>
            </w:pPr>
            <w:r>
              <w:rPr>
                <w:color w:val="231F20"/>
                <w:spacing w:val="-2"/>
                <w:sz w:val="12"/>
              </w:rPr>
              <w:t>0.4821</w:t>
            </w:r>
          </w:p>
        </w:tc>
        <w:tc>
          <w:tcPr>
            <w:tcW w:w="540" w:type="dxa"/>
            <w:tcBorders>
              <w:top w:val="nil"/>
              <w:bottom w:val="nil"/>
            </w:tcBorders>
          </w:tcPr>
          <w:p>
            <w:pPr>
              <w:pStyle w:val="TableParagraph"/>
              <w:spacing w:before="24"/>
              <w:ind w:right="67"/>
              <w:jc w:val="right"/>
              <w:rPr>
                <w:sz w:val="12"/>
              </w:rPr>
            </w:pPr>
            <w:r>
              <w:rPr>
                <w:color w:val="231F20"/>
                <w:spacing w:val="-2"/>
                <w:sz w:val="12"/>
              </w:rPr>
              <w:t>0.4826</w:t>
            </w:r>
          </w:p>
        </w:tc>
        <w:tc>
          <w:tcPr>
            <w:tcW w:w="540" w:type="dxa"/>
            <w:tcBorders>
              <w:top w:val="nil"/>
              <w:bottom w:val="nil"/>
            </w:tcBorders>
          </w:tcPr>
          <w:p>
            <w:pPr>
              <w:pStyle w:val="TableParagraph"/>
              <w:spacing w:before="24"/>
              <w:ind w:right="67"/>
              <w:jc w:val="right"/>
              <w:rPr>
                <w:sz w:val="12"/>
              </w:rPr>
            </w:pPr>
            <w:r>
              <w:rPr>
                <w:color w:val="231F20"/>
                <w:spacing w:val="-2"/>
                <w:sz w:val="12"/>
              </w:rPr>
              <w:t>0.4830</w:t>
            </w:r>
          </w:p>
        </w:tc>
        <w:tc>
          <w:tcPr>
            <w:tcW w:w="540" w:type="dxa"/>
            <w:tcBorders>
              <w:top w:val="nil"/>
              <w:bottom w:val="nil"/>
            </w:tcBorders>
          </w:tcPr>
          <w:p>
            <w:pPr>
              <w:pStyle w:val="TableParagraph"/>
              <w:spacing w:before="24"/>
              <w:ind w:right="67"/>
              <w:jc w:val="right"/>
              <w:rPr>
                <w:sz w:val="12"/>
              </w:rPr>
            </w:pPr>
            <w:r>
              <w:rPr>
                <w:color w:val="231F20"/>
                <w:spacing w:val="-2"/>
                <w:sz w:val="12"/>
              </w:rPr>
              <w:t>0.4834</w:t>
            </w:r>
          </w:p>
        </w:tc>
        <w:tc>
          <w:tcPr>
            <w:tcW w:w="540" w:type="dxa"/>
            <w:tcBorders>
              <w:top w:val="nil"/>
              <w:bottom w:val="nil"/>
            </w:tcBorders>
          </w:tcPr>
          <w:p>
            <w:pPr>
              <w:pStyle w:val="TableParagraph"/>
              <w:spacing w:before="24"/>
              <w:ind w:right="67"/>
              <w:jc w:val="right"/>
              <w:rPr>
                <w:sz w:val="12"/>
              </w:rPr>
            </w:pPr>
            <w:r>
              <w:rPr>
                <w:color w:val="231F20"/>
                <w:spacing w:val="-2"/>
                <w:sz w:val="12"/>
              </w:rPr>
              <w:t>0.4838</w:t>
            </w:r>
          </w:p>
        </w:tc>
        <w:tc>
          <w:tcPr>
            <w:tcW w:w="540" w:type="dxa"/>
            <w:tcBorders>
              <w:top w:val="nil"/>
              <w:bottom w:val="nil"/>
            </w:tcBorders>
          </w:tcPr>
          <w:p>
            <w:pPr>
              <w:pStyle w:val="TableParagraph"/>
              <w:spacing w:before="24"/>
              <w:ind w:right="67"/>
              <w:jc w:val="right"/>
              <w:rPr>
                <w:sz w:val="12"/>
              </w:rPr>
            </w:pPr>
            <w:r>
              <w:rPr>
                <w:color w:val="231F20"/>
                <w:spacing w:val="-2"/>
                <w:sz w:val="12"/>
              </w:rPr>
              <w:t>0.4842</w:t>
            </w:r>
          </w:p>
        </w:tc>
        <w:tc>
          <w:tcPr>
            <w:tcW w:w="540" w:type="dxa"/>
            <w:tcBorders>
              <w:top w:val="nil"/>
              <w:bottom w:val="nil"/>
            </w:tcBorders>
          </w:tcPr>
          <w:p>
            <w:pPr>
              <w:pStyle w:val="TableParagraph"/>
              <w:spacing w:before="24"/>
              <w:ind w:right="67"/>
              <w:jc w:val="right"/>
              <w:rPr>
                <w:sz w:val="12"/>
              </w:rPr>
            </w:pPr>
            <w:r>
              <w:rPr>
                <w:color w:val="231F20"/>
                <w:spacing w:val="-2"/>
                <w:sz w:val="12"/>
              </w:rPr>
              <w:t>0.4846</w:t>
            </w:r>
          </w:p>
        </w:tc>
        <w:tc>
          <w:tcPr>
            <w:tcW w:w="540" w:type="dxa"/>
            <w:tcBorders>
              <w:top w:val="nil"/>
              <w:bottom w:val="nil"/>
            </w:tcBorders>
          </w:tcPr>
          <w:p>
            <w:pPr>
              <w:pStyle w:val="TableParagraph"/>
              <w:spacing w:before="24"/>
              <w:ind w:right="67"/>
              <w:jc w:val="right"/>
              <w:rPr>
                <w:sz w:val="12"/>
              </w:rPr>
            </w:pPr>
            <w:r>
              <w:rPr>
                <w:color w:val="231F20"/>
                <w:spacing w:val="-2"/>
                <w:sz w:val="12"/>
              </w:rPr>
              <w:t>0.4850</w:t>
            </w:r>
          </w:p>
        </w:tc>
        <w:tc>
          <w:tcPr>
            <w:tcW w:w="540" w:type="dxa"/>
            <w:tcBorders>
              <w:top w:val="nil"/>
              <w:bottom w:val="nil"/>
            </w:tcBorders>
          </w:tcPr>
          <w:p>
            <w:pPr>
              <w:pStyle w:val="TableParagraph"/>
              <w:spacing w:before="24"/>
              <w:ind w:right="67"/>
              <w:jc w:val="right"/>
              <w:rPr>
                <w:sz w:val="12"/>
              </w:rPr>
            </w:pPr>
            <w:r>
              <w:rPr>
                <w:color w:val="231F20"/>
                <w:spacing w:val="-2"/>
                <w:sz w:val="12"/>
              </w:rPr>
              <w:t>0.4854</w:t>
            </w:r>
          </w:p>
        </w:tc>
        <w:tc>
          <w:tcPr>
            <w:tcW w:w="580" w:type="dxa"/>
            <w:tcBorders>
              <w:top w:val="nil"/>
              <w:bottom w:val="nil"/>
            </w:tcBorders>
          </w:tcPr>
          <w:p>
            <w:pPr>
              <w:pStyle w:val="TableParagraph"/>
              <w:spacing w:before="24"/>
              <w:ind w:right="107"/>
              <w:jc w:val="right"/>
              <w:rPr>
                <w:sz w:val="12"/>
              </w:rPr>
            </w:pPr>
            <w:r>
              <w:rPr>
                <w:color w:val="231F20"/>
                <w:spacing w:val="-2"/>
                <w:sz w:val="12"/>
              </w:rPr>
              <w:t>0.4857</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2.2</w:t>
            </w:r>
          </w:p>
        </w:tc>
        <w:tc>
          <w:tcPr>
            <w:tcW w:w="940" w:type="dxa"/>
            <w:tcBorders>
              <w:top w:val="nil"/>
              <w:bottom w:val="nil"/>
            </w:tcBorders>
          </w:tcPr>
          <w:p>
            <w:pPr>
              <w:pStyle w:val="TableParagraph"/>
              <w:spacing w:before="24"/>
              <w:ind w:right="67"/>
              <w:jc w:val="right"/>
              <w:rPr>
                <w:sz w:val="12"/>
              </w:rPr>
            </w:pPr>
            <w:r>
              <w:rPr>
                <w:color w:val="231F20"/>
                <w:spacing w:val="-2"/>
                <w:sz w:val="12"/>
              </w:rPr>
              <w:t>0.4861</w:t>
            </w:r>
          </w:p>
        </w:tc>
        <w:tc>
          <w:tcPr>
            <w:tcW w:w="540" w:type="dxa"/>
            <w:tcBorders>
              <w:top w:val="nil"/>
              <w:bottom w:val="nil"/>
            </w:tcBorders>
          </w:tcPr>
          <w:p>
            <w:pPr>
              <w:pStyle w:val="TableParagraph"/>
              <w:spacing w:before="24"/>
              <w:ind w:right="67"/>
              <w:jc w:val="right"/>
              <w:rPr>
                <w:sz w:val="12"/>
              </w:rPr>
            </w:pPr>
            <w:r>
              <w:rPr>
                <w:color w:val="231F20"/>
                <w:spacing w:val="-2"/>
                <w:sz w:val="12"/>
              </w:rPr>
              <w:t>0.4864</w:t>
            </w:r>
          </w:p>
        </w:tc>
        <w:tc>
          <w:tcPr>
            <w:tcW w:w="540" w:type="dxa"/>
            <w:tcBorders>
              <w:top w:val="nil"/>
              <w:bottom w:val="nil"/>
            </w:tcBorders>
          </w:tcPr>
          <w:p>
            <w:pPr>
              <w:pStyle w:val="TableParagraph"/>
              <w:spacing w:before="24"/>
              <w:ind w:right="67"/>
              <w:jc w:val="right"/>
              <w:rPr>
                <w:sz w:val="12"/>
              </w:rPr>
            </w:pPr>
            <w:r>
              <w:rPr>
                <w:color w:val="231F20"/>
                <w:spacing w:val="-2"/>
                <w:sz w:val="12"/>
              </w:rPr>
              <w:t>0.4868</w:t>
            </w:r>
          </w:p>
        </w:tc>
        <w:tc>
          <w:tcPr>
            <w:tcW w:w="540" w:type="dxa"/>
            <w:tcBorders>
              <w:top w:val="nil"/>
              <w:bottom w:val="nil"/>
            </w:tcBorders>
          </w:tcPr>
          <w:p>
            <w:pPr>
              <w:pStyle w:val="TableParagraph"/>
              <w:spacing w:before="24"/>
              <w:ind w:right="67"/>
              <w:jc w:val="right"/>
              <w:rPr>
                <w:sz w:val="12"/>
              </w:rPr>
            </w:pPr>
            <w:r>
              <w:rPr>
                <w:color w:val="231F20"/>
                <w:spacing w:val="-2"/>
                <w:sz w:val="12"/>
              </w:rPr>
              <w:t>0.4871</w:t>
            </w:r>
          </w:p>
        </w:tc>
        <w:tc>
          <w:tcPr>
            <w:tcW w:w="540" w:type="dxa"/>
            <w:tcBorders>
              <w:top w:val="nil"/>
              <w:bottom w:val="nil"/>
            </w:tcBorders>
          </w:tcPr>
          <w:p>
            <w:pPr>
              <w:pStyle w:val="TableParagraph"/>
              <w:spacing w:before="24"/>
              <w:ind w:right="67"/>
              <w:jc w:val="right"/>
              <w:rPr>
                <w:sz w:val="12"/>
              </w:rPr>
            </w:pPr>
            <w:r>
              <w:rPr>
                <w:color w:val="231F20"/>
                <w:spacing w:val="-2"/>
                <w:sz w:val="12"/>
              </w:rPr>
              <w:t>0.4875</w:t>
            </w:r>
          </w:p>
        </w:tc>
        <w:tc>
          <w:tcPr>
            <w:tcW w:w="540" w:type="dxa"/>
            <w:tcBorders>
              <w:top w:val="nil"/>
              <w:bottom w:val="nil"/>
            </w:tcBorders>
          </w:tcPr>
          <w:p>
            <w:pPr>
              <w:pStyle w:val="TableParagraph"/>
              <w:spacing w:before="24"/>
              <w:ind w:right="67"/>
              <w:jc w:val="right"/>
              <w:rPr>
                <w:sz w:val="12"/>
              </w:rPr>
            </w:pPr>
            <w:r>
              <w:rPr>
                <w:color w:val="231F20"/>
                <w:spacing w:val="-2"/>
                <w:sz w:val="12"/>
              </w:rPr>
              <w:t>0.4878</w:t>
            </w:r>
          </w:p>
        </w:tc>
        <w:tc>
          <w:tcPr>
            <w:tcW w:w="540" w:type="dxa"/>
            <w:tcBorders>
              <w:top w:val="nil"/>
              <w:bottom w:val="nil"/>
            </w:tcBorders>
          </w:tcPr>
          <w:p>
            <w:pPr>
              <w:pStyle w:val="TableParagraph"/>
              <w:spacing w:before="24"/>
              <w:ind w:right="67"/>
              <w:jc w:val="right"/>
              <w:rPr>
                <w:sz w:val="12"/>
              </w:rPr>
            </w:pPr>
            <w:r>
              <w:rPr>
                <w:color w:val="231F20"/>
                <w:spacing w:val="-2"/>
                <w:sz w:val="12"/>
              </w:rPr>
              <w:t>0.4881</w:t>
            </w:r>
          </w:p>
        </w:tc>
        <w:tc>
          <w:tcPr>
            <w:tcW w:w="540" w:type="dxa"/>
            <w:tcBorders>
              <w:top w:val="nil"/>
              <w:bottom w:val="nil"/>
            </w:tcBorders>
          </w:tcPr>
          <w:p>
            <w:pPr>
              <w:pStyle w:val="TableParagraph"/>
              <w:spacing w:before="24"/>
              <w:ind w:right="67"/>
              <w:jc w:val="right"/>
              <w:rPr>
                <w:sz w:val="12"/>
              </w:rPr>
            </w:pPr>
            <w:r>
              <w:rPr>
                <w:color w:val="231F20"/>
                <w:spacing w:val="-2"/>
                <w:sz w:val="12"/>
              </w:rPr>
              <w:t>0.4884</w:t>
            </w:r>
          </w:p>
        </w:tc>
        <w:tc>
          <w:tcPr>
            <w:tcW w:w="540" w:type="dxa"/>
            <w:tcBorders>
              <w:top w:val="nil"/>
              <w:bottom w:val="nil"/>
            </w:tcBorders>
          </w:tcPr>
          <w:p>
            <w:pPr>
              <w:pStyle w:val="TableParagraph"/>
              <w:spacing w:before="24"/>
              <w:ind w:right="67"/>
              <w:jc w:val="right"/>
              <w:rPr>
                <w:sz w:val="12"/>
              </w:rPr>
            </w:pPr>
            <w:r>
              <w:rPr>
                <w:color w:val="231F20"/>
                <w:spacing w:val="-2"/>
                <w:sz w:val="12"/>
              </w:rPr>
              <w:t>0.4887</w:t>
            </w:r>
          </w:p>
        </w:tc>
        <w:tc>
          <w:tcPr>
            <w:tcW w:w="580" w:type="dxa"/>
            <w:tcBorders>
              <w:top w:val="nil"/>
              <w:bottom w:val="nil"/>
            </w:tcBorders>
          </w:tcPr>
          <w:p>
            <w:pPr>
              <w:pStyle w:val="TableParagraph"/>
              <w:spacing w:before="24"/>
              <w:ind w:right="107"/>
              <w:jc w:val="right"/>
              <w:rPr>
                <w:sz w:val="12"/>
              </w:rPr>
            </w:pPr>
            <w:r>
              <w:rPr>
                <w:color w:val="231F20"/>
                <w:spacing w:val="-2"/>
                <w:sz w:val="12"/>
              </w:rPr>
              <w:t>0.4890</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2.3</w:t>
            </w:r>
          </w:p>
        </w:tc>
        <w:tc>
          <w:tcPr>
            <w:tcW w:w="940" w:type="dxa"/>
            <w:tcBorders>
              <w:top w:val="nil"/>
              <w:bottom w:val="nil"/>
            </w:tcBorders>
          </w:tcPr>
          <w:p>
            <w:pPr>
              <w:pStyle w:val="TableParagraph"/>
              <w:spacing w:before="24"/>
              <w:ind w:right="67"/>
              <w:jc w:val="right"/>
              <w:rPr>
                <w:sz w:val="12"/>
              </w:rPr>
            </w:pPr>
            <w:r>
              <w:rPr>
                <w:color w:val="231F20"/>
                <w:spacing w:val="-2"/>
                <w:sz w:val="12"/>
              </w:rPr>
              <w:t>0.4893</w:t>
            </w:r>
          </w:p>
        </w:tc>
        <w:tc>
          <w:tcPr>
            <w:tcW w:w="540" w:type="dxa"/>
            <w:tcBorders>
              <w:top w:val="nil"/>
              <w:bottom w:val="nil"/>
            </w:tcBorders>
          </w:tcPr>
          <w:p>
            <w:pPr>
              <w:pStyle w:val="TableParagraph"/>
              <w:spacing w:before="24"/>
              <w:ind w:right="67"/>
              <w:jc w:val="right"/>
              <w:rPr>
                <w:sz w:val="12"/>
              </w:rPr>
            </w:pPr>
            <w:r>
              <w:rPr>
                <w:color w:val="231F20"/>
                <w:spacing w:val="-2"/>
                <w:sz w:val="12"/>
              </w:rPr>
              <w:t>0.4896</w:t>
            </w:r>
          </w:p>
        </w:tc>
        <w:tc>
          <w:tcPr>
            <w:tcW w:w="540" w:type="dxa"/>
            <w:tcBorders>
              <w:top w:val="nil"/>
              <w:bottom w:val="nil"/>
            </w:tcBorders>
          </w:tcPr>
          <w:p>
            <w:pPr>
              <w:pStyle w:val="TableParagraph"/>
              <w:spacing w:before="24"/>
              <w:ind w:right="67"/>
              <w:jc w:val="right"/>
              <w:rPr>
                <w:sz w:val="12"/>
              </w:rPr>
            </w:pPr>
            <w:r>
              <w:rPr>
                <w:color w:val="231F20"/>
                <w:spacing w:val="-2"/>
                <w:sz w:val="12"/>
              </w:rPr>
              <w:t>0.4898</w:t>
            </w:r>
          </w:p>
        </w:tc>
        <w:tc>
          <w:tcPr>
            <w:tcW w:w="540" w:type="dxa"/>
            <w:tcBorders>
              <w:top w:val="nil"/>
              <w:bottom w:val="nil"/>
            </w:tcBorders>
          </w:tcPr>
          <w:p>
            <w:pPr>
              <w:pStyle w:val="TableParagraph"/>
              <w:spacing w:before="24"/>
              <w:ind w:right="67"/>
              <w:jc w:val="right"/>
              <w:rPr>
                <w:sz w:val="12"/>
              </w:rPr>
            </w:pPr>
            <w:r>
              <w:rPr>
                <w:color w:val="231F20"/>
                <w:spacing w:val="-2"/>
                <w:sz w:val="12"/>
              </w:rPr>
              <w:t>0.4901</w:t>
            </w:r>
          </w:p>
        </w:tc>
        <w:tc>
          <w:tcPr>
            <w:tcW w:w="540" w:type="dxa"/>
            <w:tcBorders>
              <w:top w:val="nil"/>
              <w:bottom w:val="nil"/>
            </w:tcBorders>
          </w:tcPr>
          <w:p>
            <w:pPr>
              <w:pStyle w:val="TableParagraph"/>
              <w:spacing w:before="24"/>
              <w:ind w:right="67"/>
              <w:jc w:val="right"/>
              <w:rPr>
                <w:sz w:val="12"/>
              </w:rPr>
            </w:pPr>
            <w:r>
              <w:rPr>
                <w:color w:val="231F20"/>
                <w:spacing w:val="-2"/>
                <w:sz w:val="12"/>
              </w:rPr>
              <w:t>0.4904</w:t>
            </w:r>
          </w:p>
        </w:tc>
        <w:tc>
          <w:tcPr>
            <w:tcW w:w="540" w:type="dxa"/>
            <w:tcBorders>
              <w:top w:val="nil"/>
              <w:bottom w:val="nil"/>
            </w:tcBorders>
          </w:tcPr>
          <w:p>
            <w:pPr>
              <w:pStyle w:val="TableParagraph"/>
              <w:spacing w:before="24"/>
              <w:ind w:right="67"/>
              <w:jc w:val="right"/>
              <w:rPr>
                <w:sz w:val="12"/>
              </w:rPr>
            </w:pPr>
            <w:r>
              <w:rPr>
                <w:color w:val="231F20"/>
                <w:spacing w:val="-2"/>
                <w:sz w:val="12"/>
              </w:rPr>
              <w:t>0.4906</w:t>
            </w:r>
          </w:p>
        </w:tc>
        <w:tc>
          <w:tcPr>
            <w:tcW w:w="540" w:type="dxa"/>
            <w:tcBorders>
              <w:top w:val="nil"/>
              <w:bottom w:val="nil"/>
            </w:tcBorders>
          </w:tcPr>
          <w:p>
            <w:pPr>
              <w:pStyle w:val="TableParagraph"/>
              <w:spacing w:before="24"/>
              <w:ind w:right="67"/>
              <w:jc w:val="right"/>
              <w:rPr>
                <w:sz w:val="12"/>
              </w:rPr>
            </w:pPr>
            <w:r>
              <w:rPr>
                <w:color w:val="231F20"/>
                <w:spacing w:val="-2"/>
                <w:sz w:val="12"/>
              </w:rPr>
              <w:t>0.4909</w:t>
            </w:r>
          </w:p>
        </w:tc>
        <w:tc>
          <w:tcPr>
            <w:tcW w:w="540" w:type="dxa"/>
            <w:tcBorders>
              <w:top w:val="nil"/>
              <w:bottom w:val="nil"/>
            </w:tcBorders>
          </w:tcPr>
          <w:p>
            <w:pPr>
              <w:pStyle w:val="TableParagraph"/>
              <w:spacing w:before="24"/>
              <w:ind w:right="67"/>
              <w:jc w:val="right"/>
              <w:rPr>
                <w:sz w:val="12"/>
              </w:rPr>
            </w:pPr>
            <w:r>
              <w:rPr>
                <w:color w:val="231F20"/>
                <w:spacing w:val="-2"/>
                <w:sz w:val="12"/>
              </w:rPr>
              <w:t>0.4911</w:t>
            </w:r>
          </w:p>
        </w:tc>
        <w:tc>
          <w:tcPr>
            <w:tcW w:w="540" w:type="dxa"/>
            <w:tcBorders>
              <w:top w:val="nil"/>
              <w:bottom w:val="nil"/>
            </w:tcBorders>
          </w:tcPr>
          <w:p>
            <w:pPr>
              <w:pStyle w:val="TableParagraph"/>
              <w:spacing w:before="24"/>
              <w:ind w:right="67"/>
              <w:jc w:val="right"/>
              <w:rPr>
                <w:sz w:val="12"/>
              </w:rPr>
            </w:pPr>
            <w:r>
              <w:rPr>
                <w:color w:val="231F20"/>
                <w:spacing w:val="-2"/>
                <w:sz w:val="12"/>
              </w:rPr>
              <w:t>0.4913</w:t>
            </w:r>
          </w:p>
        </w:tc>
        <w:tc>
          <w:tcPr>
            <w:tcW w:w="580" w:type="dxa"/>
            <w:tcBorders>
              <w:top w:val="nil"/>
              <w:bottom w:val="nil"/>
            </w:tcBorders>
          </w:tcPr>
          <w:p>
            <w:pPr>
              <w:pStyle w:val="TableParagraph"/>
              <w:spacing w:before="24"/>
              <w:ind w:right="107"/>
              <w:jc w:val="right"/>
              <w:rPr>
                <w:sz w:val="12"/>
              </w:rPr>
            </w:pPr>
            <w:r>
              <w:rPr>
                <w:color w:val="231F20"/>
                <w:spacing w:val="-2"/>
                <w:sz w:val="12"/>
              </w:rPr>
              <w:t>0.4916</w:t>
            </w:r>
          </w:p>
        </w:tc>
      </w:tr>
      <w:tr>
        <w:trPr>
          <w:trHeight w:val="237"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2.4</w:t>
            </w:r>
          </w:p>
        </w:tc>
        <w:tc>
          <w:tcPr>
            <w:tcW w:w="940" w:type="dxa"/>
            <w:tcBorders>
              <w:top w:val="nil"/>
              <w:bottom w:val="nil"/>
            </w:tcBorders>
          </w:tcPr>
          <w:p>
            <w:pPr>
              <w:pStyle w:val="TableParagraph"/>
              <w:spacing w:before="24"/>
              <w:ind w:right="67"/>
              <w:jc w:val="right"/>
              <w:rPr>
                <w:sz w:val="12"/>
              </w:rPr>
            </w:pPr>
            <w:r>
              <w:rPr>
                <w:color w:val="231F20"/>
                <w:spacing w:val="-2"/>
                <w:sz w:val="12"/>
              </w:rPr>
              <w:t>0.4918</w:t>
            </w:r>
          </w:p>
        </w:tc>
        <w:tc>
          <w:tcPr>
            <w:tcW w:w="540" w:type="dxa"/>
            <w:tcBorders>
              <w:top w:val="nil"/>
              <w:bottom w:val="nil"/>
            </w:tcBorders>
          </w:tcPr>
          <w:p>
            <w:pPr>
              <w:pStyle w:val="TableParagraph"/>
              <w:spacing w:before="24"/>
              <w:ind w:right="67"/>
              <w:jc w:val="right"/>
              <w:rPr>
                <w:sz w:val="12"/>
              </w:rPr>
            </w:pPr>
            <w:r>
              <w:rPr>
                <w:color w:val="231F20"/>
                <w:spacing w:val="-2"/>
                <w:sz w:val="12"/>
              </w:rPr>
              <w:t>0.4920</w:t>
            </w:r>
          </w:p>
        </w:tc>
        <w:tc>
          <w:tcPr>
            <w:tcW w:w="540" w:type="dxa"/>
            <w:tcBorders>
              <w:top w:val="nil"/>
              <w:bottom w:val="nil"/>
            </w:tcBorders>
          </w:tcPr>
          <w:p>
            <w:pPr>
              <w:pStyle w:val="TableParagraph"/>
              <w:spacing w:before="24"/>
              <w:ind w:right="67"/>
              <w:jc w:val="right"/>
              <w:rPr>
                <w:sz w:val="12"/>
              </w:rPr>
            </w:pPr>
            <w:r>
              <w:rPr>
                <w:color w:val="231F20"/>
                <w:spacing w:val="-2"/>
                <w:sz w:val="12"/>
              </w:rPr>
              <w:t>0.4922</w:t>
            </w:r>
          </w:p>
        </w:tc>
        <w:tc>
          <w:tcPr>
            <w:tcW w:w="540" w:type="dxa"/>
            <w:tcBorders>
              <w:top w:val="nil"/>
              <w:bottom w:val="nil"/>
            </w:tcBorders>
          </w:tcPr>
          <w:p>
            <w:pPr>
              <w:pStyle w:val="TableParagraph"/>
              <w:spacing w:before="24"/>
              <w:ind w:right="67"/>
              <w:jc w:val="right"/>
              <w:rPr>
                <w:sz w:val="12"/>
              </w:rPr>
            </w:pPr>
            <w:r>
              <w:rPr>
                <w:color w:val="231F20"/>
                <w:spacing w:val="-2"/>
                <w:sz w:val="12"/>
              </w:rPr>
              <w:t>0.4925</w:t>
            </w:r>
          </w:p>
        </w:tc>
        <w:tc>
          <w:tcPr>
            <w:tcW w:w="540" w:type="dxa"/>
            <w:tcBorders>
              <w:top w:val="nil"/>
              <w:bottom w:val="nil"/>
            </w:tcBorders>
          </w:tcPr>
          <w:p>
            <w:pPr>
              <w:pStyle w:val="TableParagraph"/>
              <w:spacing w:before="24"/>
              <w:ind w:right="67"/>
              <w:jc w:val="right"/>
              <w:rPr>
                <w:sz w:val="12"/>
              </w:rPr>
            </w:pPr>
            <w:r>
              <w:rPr>
                <w:color w:val="231F20"/>
                <w:spacing w:val="-2"/>
                <w:sz w:val="12"/>
              </w:rPr>
              <w:t>0.4927</w:t>
            </w:r>
          </w:p>
        </w:tc>
        <w:tc>
          <w:tcPr>
            <w:tcW w:w="540" w:type="dxa"/>
            <w:tcBorders>
              <w:top w:val="nil"/>
              <w:bottom w:val="nil"/>
            </w:tcBorders>
          </w:tcPr>
          <w:p>
            <w:pPr>
              <w:pStyle w:val="TableParagraph"/>
              <w:spacing w:before="24"/>
              <w:ind w:right="67"/>
              <w:jc w:val="right"/>
              <w:rPr>
                <w:sz w:val="12"/>
              </w:rPr>
            </w:pPr>
            <w:r>
              <w:rPr>
                <w:color w:val="231F20"/>
                <w:spacing w:val="-2"/>
                <w:sz w:val="12"/>
              </w:rPr>
              <w:t>0.4929</w:t>
            </w:r>
          </w:p>
        </w:tc>
        <w:tc>
          <w:tcPr>
            <w:tcW w:w="540" w:type="dxa"/>
            <w:tcBorders>
              <w:top w:val="nil"/>
              <w:bottom w:val="nil"/>
            </w:tcBorders>
          </w:tcPr>
          <w:p>
            <w:pPr>
              <w:pStyle w:val="TableParagraph"/>
              <w:spacing w:before="24"/>
              <w:ind w:right="67"/>
              <w:jc w:val="right"/>
              <w:rPr>
                <w:sz w:val="12"/>
              </w:rPr>
            </w:pPr>
            <w:r>
              <w:rPr>
                <w:color w:val="231F20"/>
                <w:spacing w:val="-2"/>
                <w:sz w:val="12"/>
              </w:rPr>
              <w:t>0.4931</w:t>
            </w:r>
          </w:p>
        </w:tc>
        <w:tc>
          <w:tcPr>
            <w:tcW w:w="540" w:type="dxa"/>
            <w:tcBorders>
              <w:top w:val="nil"/>
              <w:bottom w:val="nil"/>
            </w:tcBorders>
          </w:tcPr>
          <w:p>
            <w:pPr>
              <w:pStyle w:val="TableParagraph"/>
              <w:spacing w:before="24"/>
              <w:ind w:right="67"/>
              <w:jc w:val="right"/>
              <w:rPr>
                <w:sz w:val="12"/>
              </w:rPr>
            </w:pPr>
            <w:r>
              <w:rPr>
                <w:color w:val="231F20"/>
                <w:spacing w:val="-2"/>
                <w:sz w:val="12"/>
              </w:rPr>
              <w:t>0.4932</w:t>
            </w:r>
          </w:p>
        </w:tc>
        <w:tc>
          <w:tcPr>
            <w:tcW w:w="540" w:type="dxa"/>
            <w:tcBorders>
              <w:top w:val="nil"/>
              <w:bottom w:val="nil"/>
            </w:tcBorders>
          </w:tcPr>
          <w:p>
            <w:pPr>
              <w:pStyle w:val="TableParagraph"/>
              <w:spacing w:before="24"/>
              <w:ind w:right="67"/>
              <w:jc w:val="right"/>
              <w:rPr>
                <w:sz w:val="12"/>
              </w:rPr>
            </w:pPr>
            <w:r>
              <w:rPr>
                <w:color w:val="231F20"/>
                <w:spacing w:val="-2"/>
                <w:sz w:val="12"/>
              </w:rPr>
              <w:t>0.4934</w:t>
            </w:r>
          </w:p>
        </w:tc>
        <w:tc>
          <w:tcPr>
            <w:tcW w:w="580" w:type="dxa"/>
            <w:tcBorders>
              <w:top w:val="nil"/>
              <w:bottom w:val="nil"/>
            </w:tcBorders>
          </w:tcPr>
          <w:p>
            <w:pPr>
              <w:pStyle w:val="TableParagraph"/>
              <w:spacing w:before="24"/>
              <w:ind w:right="107"/>
              <w:jc w:val="right"/>
              <w:rPr>
                <w:sz w:val="12"/>
              </w:rPr>
            </w:pPr>
            <w:r>
              <w:rPr>
                <w:color w:val="231F20"/>
                <w:spacing w:val="-2"/>
                <w:sz w:val="12"/>
              </w:rPr>
              <w:t>0.4936</w:t>
            </w:r>
          </w:p>
        </w:tc>
      </w:tr>
      <w:tr>
        <w:trPr>
          <w:trHeight w:val="237" w:hRule="atLeast"/>
        </w:trPr>
        <w:tc>
          <w:tcPr>
            <w:tcW w:w="370" w:type="dxa"/>
            <w:tcBorders>
              <w:top w:val="nil"/>
              <w:bottom w:val="nil"/>
            </w:tcBorders>
          </w:tcPr>
          <w:p>
            <w:pPr>
              <w:pStyle w:val="TableParagraph"/>
              <w:spacing w:before="71"/>
              <w:ind w:left="107" w:right="61"/>
              <w:rPr>
                <w:sz w:val="12"/>
              </w:rPr>
            </w:pPr>
            <w:r>
              <w:rPr>
                <w:color w:val="231F20"/>
                <w:spacing w:val="-5"/>
                <w:w w:val="105"/>
                <w:sz w:val="12"/>
              </w:rPr>
              <w:t>2.5</w:t>
            </w:r>
          </w:p>
        </w:tc>
        <w:tc>
          <w:tcPr>
            <w:tcW w:w="940" w:type="dxa"/>
            <w:tcBorders>
              <w:top w:val="nil"/>
              <w:bottom w:val="nil"/>
            </w:tcBorders>
          </w:tcPr>
          <w:p>
            <w:pPr>
              <w:pStyle w:val="TableParagraph"/>
              <w:spacing w:before="71"/>
              <w:ind w:right="67"/>
              <w:jc w:val="right"/>
              <w:rPr>
                <w:sz w:val="12"/>
              </w:rPr>
            </w:pPr>
            <w:r>
              <w:rPr>
                <w:color w:val="231F20"/>
                <w:spacing w:val="-2"/>
                <w:sz w:val="12"/>
              </w:rPr>
              <w:t>0.4938</w:t>
            </w:r>
          </w:p>
        </w:tc>
        <w:tc>
          <w:tcPr>
            <w:tcW w:w="540" w:type="dxa"/>
            <w:tcBorders>
              <w:top w:val="nil"/>
              <w:bottom w:val="nil"/>
            </w:tcBorders>
          </w:tcPr>
          <w:p>
            <w:pPr>
              <w:pStyle w:val="TableParagraph"/>
              <w:spacing w:before="71"/>
              <w:ind w:right="67"/>
              <w:jc w:val="right"/>
              <w:rPr>
                <w:sz w:val="12"/>
              </w:rPr>
            </w:pPr>
            <w:r>
              <w:rPr>
                <w:color w:val="231F20"/>
                <w:spacing w:val="-2"/>
                <w:sz w:val="12"/>
              </w:rPr>
              <w:t>0.4940</w:t>
            </w:r>
          </w:p>
        </w:tc>
        <w:tc>
          <w:tcPr>
            <w:tcW w:w="540" w:type="dxa"/>
            <w:tcBorders>
              <w:top w:val="nil"/>
              <w:bottom w:val="nil"/>
            </w:tcBorders>
          </w:tcPr>
          <w:p>
            <w:pPr>
              <w:pStyle w:val="TableParagraph"/>
              <w:spacing w:before="71"/>
              <w:ind w:right="67"/>
              <w:jc w:val="right"/>
              <w:rPr>
                <w:sz w:val="12"/>
              </w:rPr>
            </w:pPr>
            <w:r>
              <w:rPr>
                <w:color w:val="231F20"/>
                <w:spacing w:val="-2"/>
                <w:sz w:val="12"/>
              </w:rPr>
              <w:t>0.4941</w:t>
            </w:r>
          </w:p>
        </w:tc>
        <w:tc>
          <w:tcPr>
            <w:tcW w:w="540" w:type="dxa"/>
            <w:tcBorders>
              <w:top w:val="nil"/>
              <w:bottom w:val="nil"/>
            </w:tcBorders>
          </w:tcPr>
          <w:p>
            <w:pPr>
              <w:pStyle w:val="TableParagraph"/>
              <w:spacing w:before="71"/>
              <w:ind w:right="67"/>
              <w:jc w:val="right"/>
              <w:rPr>
                <w:sz w:val="12"/>
              </w:rPr>
            </w:pPr>
            <w:r>
              <w:rPr>
                <w:color w:val="231F20"/>
                <w:spacing w:val="-2"/>
                <w:sz w:val="12"/>
              </w:rPr>
              <w:t>0.4943</w:t>
            </w:r>
          </w:p>
        </w:tc>
        <w:tc>
          <w:tcPr>
            <w:tcW w:w="540" w:type="dxa"/>
            <w:tcBorders>
              <w:top w:val="nil"/>
              <w:bottom w:val="nil"/>
            </w:tcBorders>
          </w:tcPr>
          <w:p>
            <w:pPr>
              <w:pStyle w:val="TableParagraph"/>
              <w:spacing w:before="71"/>
              <w:ind w:right="67"/>
              <w:jc w:val="right"/>
              <w:rPr>
                <w:sz w:val="12"/>
              </w:rPr>
            </w:pPr>
            <w:r>
              <w:rPr>
                <w:color w:val="231F20"/>
                <w:spacing w:val="-2"/>
                <w:sz w:val="12"/>
              </w:rPr>
              <w:t>0.4945</w:t>
            </w:r>
          </w:p>
        </w:tc>
        <w:tc>
          <w:tcPr>
            <w:tcW w:w="540" w:type="dxa"/>
            <w:tcBorders>
              <w:top w:val="nil"/>
              <w:bottom w:val="nil"/>
            </w:tcBorders>
          </w:tcPr>
          <w:p>
            <w:pPr>
              <w:pStyle w:val="TableParagraph"/>
              <w:spacing w:before="71"/>
              <w:ind w:right="67"/>
              <w:jc w:val="right"/>
              <w:rPr>
                <w:sz w:val="12"/>
              </w:rPr>
            </w:pPr>
            <w:r>
              <w:rPr>
                <w:color w:val="231F20"/>
                <w:spacing w:val="-2"/>
                <w:sz w:val="12"/>
              </w:rPr>
              <w:t>0.4946</w:t>
            </w:r>
          </w:p>
        </w:tc>
        <w:tc>
          <w:tcPr>
            <w:tcW w:w="540" w:type="dxa"/>
            <w:tcBorders>
              <w:top w:val="nil"/>
              <w:bottom w:val="nil"/>
            </w:tcBorders>
          </w:tcPr>
          <w:p>
            <w:pPr>
              <w:pStyle w:val="TableParagraph"/>
              <w:spacing w:before="71"/>
              <w:ind w:right="67"/>
              <w:jc w:val="right"/>
              <w:rPr>
                <w:sz w:val="12"/>
              </w:rPr>
            </w:pPr>
            <w:r>
              <w:rPr>
                <w:color w:val="231F20"/>
                <w:spacing w:val="-2"/>
                <w:sz w:val="12"/>
              </w:rPr>
              <w:t>0.4948</w:t>
            </w:r>
          </w:p>
        </w:tc>
        <w:tc>
          <w:tcPr>
            <w:tcW w:w="540" w:type="dxa"/>
            <w:tcBorders>
              <w:top w:val="nil"/>
              <w:bottom w:val="nil"/>
            </w:tcBorders>
          </w:tcPr>
          <w:p>
            <w:pPr>
              <w:pStyle w:val="TableParagraph"/>
              <w:spacing w:before="71"/>
              <w:ind w:right="67"/>
              <w:jc w:val="right"/>
              <w:rPr>
                <w:sz w:val="12"/>
              </w:rPr>
            </w:pPr>
            <w:r>
              <w:rPr>
                <w:color w:val="231F20"/>
                <w:spacing w:val="-2"/>
                <w:sz w:val="12"/>
              </w:rPr>
              <w:t>0.4949</w:t>
            </w:r>
          </w:p>
        </w:tc>
        <w:tc>
          <w:tcPr>
            <w:tcW w:w="540" w:type="dxa"/>
            <w:tcBorders>
              <w:top w:val="nil"/>
              <w:bottom w:val="nil"/>
            </w:tcBorders>
          </w:tcPr>
          <w:p>
            <w:pPr>
              <w:pStyle w:val="TableParagraph"/>
              <w:spacing w:before="71"/>
              <w:ind w:right="67"/>
              <w:jc w:val="right"/>
              <w:rPr>
                <w:sz w:val="12"/>
              </w:rPr>
            </w:pPr>
            <w:r>
              <w:rPr>
                <w:color w:val="231F20"/>
                <w:spacing w:val="-2"/>
                <w:sz w:val="12"/>
              </w:rPr>
              <w:t>0.4951</w:t>
            </w:r>
          </w:p>
        </w:tc>
        <w:tc>
          <w:tcPr>
            <w:tcW w:w="580" w:type="dxa"/>
            <w:tcBorders>
              <w:top w:val="nil"/>
              <w:bottom w:val="nil"/>
            </w:tcBorders>
          </w:tcPr>
          <w:p>
            <w:pPr>
              <w:pStyle w:val="TableParagraph"/>
              <w:spacing w:before="71"/>
              <w:ind w:right="107"/>
              <w:jc w:val="right"/>
              <w:rPr>
                <w:sz w:val="12"/>
              </w:rPr>
            </w:pPr>
            <w:r>
              <w:rPr>
                <w:color w:val="231F20"/>
                <w:spacing w:val="-2"/>
                <w:sz w:val="12"/>
              </w:rPr>
              <w:t>0.4952</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2.6</w:t>
            </w:r>
          </w:p>
        </w:tc>
        <w:tc>
          <w:tcPr>
            <w:tcW w:w="940" w:type="dxa"/>
            <w:tcBorders>
              <w:top w:val="nil"/>
              <w:bottom w:val="nil"/>
            </w:tcBorders>
          </w:tcPr>
          <w:p>
            <w:pPr>
              <w:pStyle w:val="TableParagraph"/>
              <w:spacing w:before="24"/>
              <w:ind w:right="67"/>
              <w:jc w:val="right"/>
              <w:rPr>
                <w:sz w:val="12"/>
              </w:rPr>
            </w:pPr>
            <w:r>
              <w:rPr>
                <w:color w:val="231F20"/>
                <w:spacing w:val="-2"/>
                <w:sz w:val="12"/>
              </w:rPr>
              <w:t>0.4953</w:t>
            </w:r>
          </w:p>
        </w:tc>
        <w:tc>
          <w:tcPr>
            <w:tcW w:w="540" w:type="dxa"/>
            <w:tcBorders>
              <w:top w:val="nil"/>
              <w:bottom w:val="nil"/>
            </w:tcBorders>
          </w:tcPr>
          <w:p>
            <w:pPr>
              <w:pStyle w:val="TableParagraph"/>
              <w:spacing w:before="24"/>
              <w:ind w:right="67"/>
              <w:jc w:val="right"/>
              <w:rPr>
                <w:sz w:val="12"/>
              </w:rPr>
            </w:pPr>
            <w:r>
              <w:rPr>
                <w:color w:val="231F20"/>
                <w:spacing w:val="-2"/>
                <w:sz w:val="12"/>
              </w:rPr>
              <w:t>0.4955</w:t>
            </w:r>
          </w:p>
        </w:tc>
        <w:tc>
          <w:tcPr>
            <w:tcW w:w="540" w:type="dxa"/>
            <w:tcBorders>
              <w:top w:val="nil"/>
              <w:bottom w:val="nil"/>
            </w:tcBorders>
          </w:tcPr>
          <w:p>
            <w:pPr>
              <w:pStyle w:val="TableParagraph"/>
              <w:spacing w:before="24"/>
              <w:ind w:right="67"/>
              <w:jc w:val="right"/>
              <w:rPr>
                <w:sz w:val="12"/>
              </w:rPr>
            </w:pPr>
            <w:r>
              <w:rPr>
                <w:color w:val="231F20"/>
                <w:spacing w:val="-2"/>
                <w:sz w:val="12"/>
              </w:rPr>
              <w:t>0.4956</w:t>
            </w:r>
          </w:p>
        </w:tc>
        <w:tc>
          <w:tcPr>
            <w:tcW w:w="540" w:type="dxa"/>
            <w:tcBorders>
              <w:top w:val="nil"/>
              <w:bottom w:val="nil"/>
            </w:tcBorders>
          </w:tcPr>
          <w:p>
            <w:pPr>
              <w:pStyle w:val="TableParagraph"/>
              <w:spacing w:before="24"/>
              <w:ind w:right="67"/>
              <w:jc w:val="right"/>
              <w:rPr>
                <w:sz w:val="12"/>
              </w:rPr>
            </w:pPr>
            <w:r>
              <w:rPr>
                <w:color w:val="231F20"/>
                <w:spacing w:val="-2"/>
                <w:sz w:val="12"/>
              </w:rPr>
              <w:t>0.4957</w:t>
            </w:r>
          </w:p>
        </w:tc>
        <w:tc>
          <w:tcPr>
            <w:tcW w:w="540" w:type="dxa"/>
            <w:tcBorders>
              <w:top w:val="nil"/>
              <w:bottom w:val="nil"/>
            </w:tcBorders>
          </w:tcPr>
          <w:p>
            <w:pPr>
              <w:pStyle w:val="TableParagraph"/>
              <w:spacing w:before="24"/>
              <w:ind w:right="67"/>
              <w:jc w:val="right"/>
              <w:rPr>
                <w:sz w:val="12"/>
              </w:rPr>
            </w:pPr>
            <w:r>
              <w:rPr>
                <w:color w:val="231F20"/>
                <w:spacing w:val="-2"/>
                <w:sz w:val="12"/>
              </w:rPr>
              <w:t>0.4959</w:t>
            </w:r>
          </w:p>
        </w:tc>
        <w:tc>
          <w:tcPr>
            <w:tcW w:w="540" w:type="dxa"/>
            <w:tcBorders>
              <w:top w:val="nil"/>
              <w:bottom w:val="nil"/>
            </w:tcBorders>
          </w:tcPr>
          <w:p>
            <w:pPr>
              <w:pStyle w:val="TableParagraph"/>
              <w:spacing w:before="24"/>
              <w:ind w:right="67"/>
              <w:jc w:val="right"/>
              <w:rPr>
                <w:sz w:val="12"/>
              </w:rPr>
            </w:pPr>
            <w:r>
              <w:rPr>
                <w:color w:val="231F20"/>
                <w:spacing w:val="-2"/>
                <w:sz w:val="12"/>
              </w:rPr>
              <w:t>0.4960</w:t>
            </w:r>
          </w:p>
        </w:tc>
        <w:tc>
          <w:tcPr>
            <w:tcW w:w="540" w:type="dxa"/>
            <w:tcBorders>
              <w:top w:val="nil"/>
              <w:bottom w:val="nil"/>
            </w:tcBorders>
          </w:tcPr>
          <w:p>
            <w:pPr>
              <w:pStyle w:val="TableParagraph"/>
              <w:spacing w:before="24"/>
              <w:ind w:right="67"/>
              <w:jc w:val="right"/>
              <w:rPr>
                <w:sz w:val="12"/>
              </w:rPr>
            </w:pPr>
            <w:r>
              <w:rPr>
                <w:color w:val="231F20"/>
                <w:spacing w:val="-2"/>
                <w:sz w:val="12"/>
              </w:rPr>
              <w:t>0.4961</w:t>
            </w:r>
          </w:p>
        </w:tc>
        <w:tc>
          <w:tcPr>
            <w:tcW w:w="540" w:type="dxa"/>
            <w:tcBorders>
              <w:top w:val="nil"/>
              <w:bottom w:val="nil"/>
            </w:tcBorders>
          </w:tcPr>
          <w:p>
            <w:pPr>
              <w:pStyle w:val="TableParagraph"/>
              <w:spacing w:before="24"/>
              <w:ind w:right="67"/>
              <w:jc w:val="right"/>
              <w:rPr>
                <w:sz w:val="12"/>
              </w:rPr>
            </w:pPr>
            <w:r>
              <w:rPr>
                <w:color w:val="231F20"/>
                <w:spacing w:val="-2"/>
                <w:sz w:val="12"/>
              </w:rPr>
              <w:t>0.4962</w:t>
            </w:r>
          </w:p>
        </w:tc>
        <w:tc>
          <w:tcPr>
            <w:tcW w:w="540" w:type="dxa"/>
            <w:tcBorders>
              <w:top w:val="nil"/>
              <w:bottom w:val="nil"/>
            </w:tcBorders>
          </w:tcPr>
          <w:p>
            <w:pPr>
              <w:pStyle w:val="TableParagraph"/>
              <w:spacing w:before="24"/>
              <w:ind w:right="67"/>
              <w:jc w:val="right"/>
              <w:rPr>
                <w:sz w:val="12"/>
              </w:rPr>
            </w:pPr>
            <w:r>
              <w:rPr>
                <w:color w:val="231F20"/>
                <w:spacing w:val="-2"/>
                <w:sz w:val="12"/>
              </w:rPr>
              <w:t>0.4963</w:t>
            </w:r>
          </w:p>
        </w:tc>
        <w:tc>
          <w:tcPr>
            <w:tcW w:w="580" w:type="dxa"/>
            <w:tcBorders>
              <w:top w:val="nil"/>
              <w:bottom w:val="nil"/>
            </w:tcBorders>
          </w:tcPr>
          <w:p>
            <w:pPr>
              <w:pStyle w:val="TableParagraph"/>
              <w:spacing w:before="24"/>
              <w:ind w:right="107"/>
              <w:jc w:val="right"/>
              <w:rPr>
                <w:sz w:val="12"/>
              </w:rPr>
            </w:pPr>
            <w:r>
              <w:rPr>
                <w:color w:val="231F20"/>
                <w:spacing w:val="-2"/>
                <w:sz w:val="12"/>
              </w:rPr>
              <w:t>0.4964</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2.7</w:t>
            </w:r>
          </w:p>
        </w:tc>
        <w:tc>
          <w:tcPr>
            <w:tcW w:w="940" w:type="dxa"/>
            <w:tcBorders>
              <w:top w:val="nil"/>
              <w:bottom w:val="nil"/>
            </w:tcBorders>
          </w:tcPr>
          <w:p>
            <w:pPr>
              <w:pStyle w:val="TableParagraph"/>
              <w:spacing w:before="24"/>
              <w:ind w:right="67"/>
              <w:jc w:val="right"/>
              <w:rPr>
                <w:sz w:val="12"/>
              </w:rPr>
            </w:pPr>
            <w:r>
              <w:rPr>
                <w:color w:val="231F20"/>
                <w:spacing w:val="-2"/>
                <w:sz w:val="12"/>
              </w:rPr>
              <w:t>0.4965</w:t>
            </w:r>
          </w:p>
        </w:tc>
        <w:tc>
          <w:tcPr>
            <w:tcW w:w="540" w:type="dxa"/>
            <w:tcBorders>
              <w:top w:val="nil"/>
              <w:bottom w:val="nil"/>
            </w:tcBorders>
          </w:tcPr>
          <w:p>
            <w:pPr>
              <w:pStyle w:val="TableParagraph"/>
              <w:spacing w:before="24"/>
              <w:ind w:right="67"/>
              <w:jc w:val="right"/>
              <w:rPr>
                <w:sz w:val="12"/>
              </w:rPr>
            </w:pPr>
            <w:r>
              <w:rPr>
                <w:color w:val="231F20"/>
                <w:spacing w:val="-2"/>
                <w:sz w:val="12"/>
              </w:rPr>
              <w:t>0.4966</w:t>
            </w:r>
          </w:p>
        </w:tc>
        <w:tc>
          <w:tcPr>
            <w:tcW w:w="540" w:type="dxa"/>
            <w:tcBorders>
              <w:top w:val="nil"/>
              <w:bottom w:val="nil"/>
            </w:tcBorders>
          </w:tcPr>
          <w:p>
            <w:pPr>
              <w:pStyle w:val="TableParagraph"/>
              <w:spacing w:before="24"/>
              <w:ind w:right="67"/>
              <w:jc w:val="right"/>
              <w:rPr>
                <w:sz w:val="12"/>
              </w:rPr>
            </w:pPr>
            <w:r>
              <w:rPr>
                <w:color w:val="231F20"/>
                <w:spacing w:val="-2"/>
                <w:sz w:val="12"/>
              </w:rPr>
              <w:t>0.4967</w:t>
            </w:r>
          </w:p>
        </w:tc>
        <w:tc>
          <w:tcPr>
            <w:tcW w:w="540" w:type="dxa"/>
            <w:tcBorders>
              <w:top w:val="nil"/>
              <w:bottom w:val="nil"/>
            </w:tcBorders>
          </w:tcPr>
          <w:p>
            <w:pPr>
              <w:pStyle w:val="TableParagraph"/>
              <w:spacing w:before="24"/>
              <w:ind w:right="67"/>
              <w:jc w:val="right"/>
              <w:rPr>
                <w:sz w:val="12"/>
              </w:rPr>
            </w:pPr>
            <w:r>
              <w:rPr>
                <w:color w:val="231F20"/>
                <w:spacing w:val="-2"/>
                <w:sz w:val="12"/>
              </w:rPr>
              <w:t>0.4968</w:t>
            </w:r>
          </w:p>
        </w:tc>
        <w:tc>
          <w:tcPr>
            <w:tcW w:w="540" w:type="dxa"/>
            <w:tcBorders>
              <w:top w:val="nil"/>
              <w:bottom w:val="nil"/>
            </w:tcBorders>
          </w:tcPr>
          <w:p>
            <w:pPr>
              <w:pStyle w:val="TableParagraph"/>
              <w:spacing w:before="24"/>
              <w:ind w:right="67"/>
              <w:jc w:val="right"/>
              <w:rPr>
                <w:sz w:val="12"/>
              </w:rPr>
            </w:pPr>
            <w:r>
              <w:rPr>
                <w:color w:val="231F20"/>
                <w:spacing w:val="-2"/>
                <w:sz w:val="12"/>
              </w:rPr>
              <w:t>0.4969</w:t>
            </w:r>
          </w:p>
        </w:tc>
        <w:tc>
          <w:tcPr>
            <w:tcW w:w="540" w:type="dxa"/>
            <w:tcBorders>
              <w:top w:val="nil"/>
              <w:bottom w:val="nil"/>
            </w:tcBorders>
          </w:tcPr>
          <w:p>
            <w:pPr>
              <w:pStyle w:val="TableParagraph"/>
              <w:spacing w:before="24"/>
              <w:ind w:right="67"/>
              <w:jc w:val="right"/>
              <w:rPr>
                <w:sz w:val="12"/>
              </w:rPr>
            </w:pPr>
            <w:r>
              <w:rPr>
                <w:color w:val="231F20"/>
                <w:spacing w:val="-2"/>
                <w:sz w:val="12"/>
              </w:rPr>
              <w:t>0.4970</w:t>
            </w:r>
          </w:p>
        </w:tc>
        <w:tc>
          <w:tcPr>
            <w:tcW w:w="540" w:type="dxa"/>
            <w:tcBorders>
              <w:top w:val="nil"/>
              <w:bottom w:val="nil"/>
            </w:tcBorders>
          </w:tcPr>
          <w:p>
            <w:pPr>
              <w:pStyle w:val="TableParagraph"/>
              <w:spacing w:before="24"/>
              <w:ind w:right="67"/>
              <w:jc w:val="right"/>
              <w:rPr>
                <w:sz w:val="12"/>
              </w:rPr>
            </w:pPr>
            <w:r>
              <w:rPr>
                <w:color w:val="231F20"/>
                <w:spacing w:val="-2"/>
                <w:sz w:val="12"/>
              </w:rPr>
              <w:t>0.4971</w:t>
            </w:r>
          </w:p>
        </w:tc>
        <w:tc>
          <w:tcPr>
            <w:tcW w:w="540" w:type="dxa"/>
            <w:tcBorders>
              <w:top w:val="nil"/>
              <w:bottom w:val="nil"/>
            </w:tcBorders>
          </w:tcPr>
          <w:p>
            <w:pPr>
              <w:pStyle w:val="TableParagraph"/>
              <w:spacing w:before="24"/>
              <w:ind w:right="67"/>
              <w:jc w:val="right"/>
              <w:rPr>
                <w:sz w:val="12"/>
              </w:rPr>
            </w:pPr>
            <w:r>
              <w:rPr>
                <w:color w:val="231F20"/>
                <w:spacing w:val="-2"/>
                <w:sz w:val="12"/>
              </w:rPr>
              <w:t>0.4972</w:t>
            </w:r>
          </w:p>
        </w:tc>
        <w:tc>
          <w:tcPr>
            <w:tcW w:w="540" w:type="dxa"/>
            <w:tcBorders>
              <w:top w:val="nil"/>
              <w:bottom w:val="nil"/>
            </w:tcBorders>
          </w:tcPr>
          <w:p>
            <w:pPr>
              <w:pStyle w:val="TableParagraph"/>
              <w:spacing w:before="24"/>
              <w:ind w:right="67"/>
              <w:jc w:val="right"/>
              <w:rPr>
                <w:sz w:val="12"/>
              </w:rPr>
            </w:pPr>
            <w:r>
              <w:rPr>
                <w:color w:val="231F20"/>
                <w:spacing w:val="-2"/>
                <w:sz w:val="12"/>
              </w:rPr>
              <w:t>0.4973</w:t>
            </w:r>
          </w:p>
        </w:tc>
        <w:tc>
          <w:tcPr>
            <w:tcW w:w="580" w:type="dxa"/>
            <w:tcBorders>
              <w:top w:val="nil"/>
              <w:bottom w:val="nil"/>
            </w:tcBorders>
          </w:tcPr>
          <w:p>
            <w:pPr>
              <w:pStyle w:val="TableParagraph"/>
              <w:spacing w:before="24"/>
              <w:ind w:right="107"/>
              <w:jc w:val="right"/>
              <w:rPr>
                <w:sz w:val="12"/>
              </w:rPr>
            </w:pPr>
            <w:r>
              <w:rPr>
                <w:color w:val="231F20"/>
                <w:spacing w:val="-2"/>
                <w:sz w:val="12"/>
              </w:rPr>
              <w:t>0.4974</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2.8</w:t>
            </w:r>
          </w:p>
        </w:tc>
        <w:tc>
          <w:tcPr>
            <w:tcW w:w="940" w:type="dxa"/>
            <w:tcBorders>
              <w:top w:val="nil"/>
              <w:bottom w:val="nil"/>
            </w:tcBorders>
          </w:tcPr>
          <w:p>
            <w:pPr>
              <w:pStyle w:val="TableParagraph"/>
              <w:spacing w:before="24"/>
              <w:ind w:right="67"/>
              <w:jc w:val="right"/>
              <w:rPr>
                <w:sz w:val="12"/>
              </w:rPr>
            </w:pPr>
            <w:r>
              <w:rPr>
                <w:color w:val="231F20"/>
                <w:spacing w:val="-2"/>
                <w:sz w:val="12"/>
              </w:rPr>
              <w:t>0.4974</w:t>
            </w:r>
          </w:p>
        </w:tc>
        <w:tc>
          <w:tcPr>
            <w:tcW w:w="540" w:type="dxa"/>
            <w:tcBorders>
              <w:top w:val="nil"/>
              <w:bottom w:val="nil"/>
            </w:tcBorders>
          </w:tcPr>
          <w:p>
            <w:pPr>
              <w:pStyle w:val="TableParagraph"/>
              <w:spacing w:before="24"/>
              <w:ind w:right="67"/>
              <w:jc w:val="right"/>
              <w:rPr>
                <w:sz w:val="12"/>
              </w:rPr>
            </w:pPr>
            <w:r>
              <w:rPr>
                <w:color w:val="231F20"/>
                <w:spacing w:val="-2"/>
                <w:sz w:val="12"/>
              </w:rPr>
              <w:t>0.4975</w:t>
            </w:r>
          </w:p>
        </w:tc>
        <w:tc>
          <w:tcPr>
            <w:tcW w:w="540" w:type="dxa"/>
            <w:tcBorders>
              <w:top w:val="nil"/>
              <w:bottom w:val="nil"/>
            </w:tcBorders>
          </w:tcPr>
          <w:p>
            <w:pPr>
              <w:pStyle w:val="TableParagraph"/>
              <w:spacing w:before="24"/>
              <w:ind w:right="67"/>
              <w:jc w:val="right"/>
              <w:rPr>
                <w:sz w:val="12"/>
              </w:rPr>
            </w:pPr>
            <w:r>
              <w:rPr>
                <w:color w:val="231F20"/>
                <w:spacing w:val="-2"/>
                <w:sz w:val="12"/>
              </w:rPr>
              <w:t>0.4976</w:t>
            </w:r>
          </w:p>
        </w:tc>
        <w:tc>
          <w:tcPr>
            <w:tcW w:w="540" w:type="dxa"/>
            <w:tcBorders>
              <w:top w:val="nil"/>
              <w:bottom w:val="nil"/>
            </w:tcBorders>
          </w:tcPr>
          <w:p>
            <w:pPr>
              <w:pStyle w:val="TableParagraph"/>
              <w:spacing w:before="24"/>
              <w:ind w:right="67"/>
              <w:jc w:val="right"/>
              <w:rPr>
                <w:sz w:val="12"/>
              </w:rPr>
            </w:pPr>
            <w:r>
              <w:rPr>
                <w:color w:val="231F20"/>
                <w:spacing w:val="-2"/>
                <w:sz w:val="12"/>
              </w:rPr>
              <w:t>0.4977</w:t>
            </w:r>
          </w:p>
        </w:tc>
        <w:tc>
          <w:tcPr>
            <w:tcW w:w="540" w:type="dxa"/>
            <w:tcBorders>
              <w:top w:val="nil"/>
              <w:bottom w:val="nil"/>
            </w:tcBorders>
          </w:tcPr>
          <w:p>
            <w:pPr>
              <w:pStyle w:val="TableParagraph"/>
              <w:spacing w:before="24"/>
              <w:ind w:right="67"/>
              <w:jc w:val="right"/>
              <w:rPr>
                <w:sz w:val="12"/>
              </w:rPr>
            </w:pPr>
            <w:r>
              <w:rPr>
                <w:color w:val="231F20"/>
                <w:spacing w:val="-2"/>
                <w:sz w:val="12"/>
              </w:rPr>
              <w:t>0.4977</w:t>
            </w:r>
          </w:p>
        </w:tc>
        <w:tc>
          <w:tcPr>
            <w:tcW w:w="540" w:type="dxa"/>
            <w:tcBorders>
              <w:top w:val="nil"/>
              <w:bottom w:val="nil"/>
            </w:tcBorders>
          </w:tcPr>
          <w:p>
            <w:pPr>
              <w:pStyle w:val="TableParagraph"/>
              <w:spacing w:before="24"/>
              <w:ind w:right="67"/>
              <w:jc w:val="right"/>
              <w:rPr>
                <w:sz w:val="12"/>
              </w:rPr>
            </w:pPr>
            <w:r>
              <w:rPr>
                <w:color w:val="231F20"/>
                <w:spacing w:val="-2"/>
                <w:sz w:val="12"/>
              </w:rPr>
              <w:t>0.4978</w:t>
            </w:r>
          </w:p>
        </w:tc>
        <w:tc>
          <w:tcPr>
            <w:tcW w:w="540" w:type="dxa"/>
            <w:tcBorders>
              <w:top w:val="nil"/>
              <w:bottom w:val="nil"/>
            </w:tcBorders>
          </w:tcPr>
          <w:p>
            <w:pPr>
              <w:pStyle w:val="TableParagraph"/>
              <w:spacing w:before="24"/>
              <w:ind w:right="67"/>
              <w:jc w:val="right"/>
              <w:rPr>
                <w:sz w:val="12"/>
              </w:rPr>
            </w:pPr>
            <w:r>
              <w:rPr>
                <w:color w:val="231F20"/>
                <w:spacing w:val="-2"/>
                <w:sz w:val="12"/>
              </w:rPr>
              <w:t>0.4979</w:t>
            </w:r>
          </w:p>
        </w:tc>
        <w:tc>
          <w:tcPr>
            <w:tcW w:w="540" w:type="dxa"/>
            <w:tcBorders>
              <w:top w:val="nil"/>
              <w:bottom w:val="nil"/>
            </w:tcBorders>
          </w:tcPr>
          <w:p>
            <w:pPr>
              <w:pStyle w:val="TableParagraph"/>
              <w:spacing w:before="24"/>
              <w:ind w:right="67"/>
              <w:jc w:val="right"/>
              <w:rPr>
                <w:sz w:val="12"/>
              </w:rPr>
            </w:pPr>
            <w:r>
              <w:rPr>
                <w:color w:val="231F20"/>
                <w:spacing w:val="-2"/>
                <w:sz w:val="12"/>
              </w:rPr>
              <w:t>0.4979</w:t>
            </w:r>
          </w:p>
        </w:tc>
        <w:tc>
          <w:tcPr>
            <w:tcW w:w="540" w:type="dxa"/>
            <w:tcBorders>
              <w:top w:val="nil"/>
              <w:bottom w:val="nil"/>
            </w:tcBorders>
          </w:tcPr>
          <w:p>
            <w:pPr>
              <w:pStyle w:val="TableParagraph"/>
              <w:spacing w:before="24"/>
              <w:ind w:right="67"/>
              <w:jc w:val="right"/>
              <w:rPr>
                <w:sz w:val="12"/>
              </w:rPr>
            </w:pPr>
            <w:r>
              <w:rPr>
                <w:color w:val="231F20"/>
                <w:spacing w:val="-2"/>
                <w:sz w:val="12"/>
              </w:rPr>
              <w:t>0.4980</w:t>
            </w:r>
          </w:p>
        </w:tc>
        <w:tc>
          <w:tcPr>
            <w:tcW w:w="580" w:type="dxa"/>
            <w:tcBorders>
              <w:top w:val="nil"/>
              <w:bottom w:val="nil"/>
            </w:tcBorders>
          </w:tcPr>
          <w:p>
            <w:pPr>
              <w:pStyle w:val="TableParagraph"/>
              <w:spacing w:before="24"/>
              <w:ind w:right="107"/>
              <w:jc w:val="right"/>
              <w:rPr>
                <w:sz w:val="12"/>
              </w:rPr>
            </w:pPr>
            <w:r>
              <w:rPr>
                <w:color w:val="231F20"/>
                <w:spacing w:val="-2"/>
                <w:sz w:val="12"/>
              </w:rPr>
              <w:t>0.4981</w:t>
            </w:r>
          </w:p>
        </w:tc>
      </w:tr>
      <w:tr>
        <w:trPr>
          <w:trHeight w:val="237"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2.9</w:t>
            </w:r>
          </w:p>
        </w:tc>
        <w:tc>
          <w:tcPr>
            <w:tcW w:w="940" w:type="dxa"/>
            <w:tcBorders>
              <w:top w:val="nil"/>
              <w:bottom w:val="nil"/>
            </w:tcBorders>
          </w:tcPr>
          <w:p>
            <w:pPr>
              <w:pStyle w:val="TableParagraph"/>
              <w:spacing w:before="24"/>
              <w:ind w:right="67"/>
              <w:jc w:val="right"/>
              <w:rPr>
                <w:sz w:val="12"/>
              </w:rPr>
            </w:pPr>
            <w:r>
              <w:rPr>
                <w:color w:val="231F20"/>
                <w:spacing w:val="-2"/>
                <w:sz w:val="12"/>
              </w:rPr>
              <w:t>0.4981</w:t>
            </w:r>
          </w:p>
        </w:tc>
        <w:tc>
          <w:tcPr>
            <w:tcW w:w="540" w:type="dxa"/>
            <w:tcBorders>
              <w:top w:val="nil"/>
              <w:bottom w:val="nil"/>
            </w:tcBorders>
          </w:tcPr>
          <w:p>
            <w:pPr>
              <w:pStyle w:val="TableParagraph"/>
              <w:spacing w:before="24"/>
              <w:ind w:right="67"/>
              <w:jc w:val="right"/>
              <w:rPr>
                <w:sz w:val="12"/>
              </w:rPr>
            </w:pPr>
            <w:r>
              <w:rPr>
                <w:color w:val="231F20"/>
                <w:spacing w:val="-2"/>
                <w:sz w:val="12"/>
              </w:rPr>
              <w:t>0.4982</w:t>
            </w:r>
          </w:p>
        </w:tc>
        <w:tc>
          <w:tcPr>
            <w:tcW w:w="540" w:type="dxa"/>
            <w:tcBorders>
              <w:top w:val="nil"/>
              <w:bottom w:val="nil"/>
            </w:tcBorders>
          </w:tcPr>
          <w:p>
            <w:pPr>
              <w:pStyle w:val="TableParagraph"/>
              <w:spacing w:before="24"/>
              <w:ind w:right="67"/>
              <w:jc w:val="right"/>
              <w:rPr>
                <w:sz w:val="12"/>
              </w:rPr>
            </w:pPr>
            <w:r>
              <w:rPr>
                <w:color w:val="231F20"/>
                <w:spacing w:val="-2"/>
                <w:sz w:val="12"/>
              </w:rPr>
              <w:t>0.4982</w:t>
            </w:r>
          </w:p>
        </w:tc>
        <w:tc>
          <w:tcPr>
            <w:tcW w:w="540" w:type="dxa"/>
            <w:tcBorders>
              <w:top w:val="nil"/>
              <w:bottom w:val="nil"/>
            </w:tcBorders>
          </w:tcPr>
          <w:p>
            <w:pPr>
              <w:pStyle w:val="TableParagraph"/>
              <w:spacing w:before="24"/>
              <w:ind w:right="67"/>
              <w:jc w:val="right"/>
              <w:rPr>
                <w:sz w:val="12"/>
              </w:rPr>
            </w:pPr>
            <w:r>
              <w:rPr>
                <w:color w:val="231F20"/>
                <w:spacing w:val="-2"/>
                <w:sz w:val="12"/>
              </w:rPr>
              <w:t>0.4983</w:t>
            </w:r>
          </w:p>
        </w:tc>
        <w:tc>
          <w:tcPr>
            <w:tcW w:w="540" w:type="dxa"/>
            <w:tcBorders>
              <w:top w:val="nil"/>
              <w:bottom w:val="nil"/>
            </w:tcBorders>
          </w:tcPr>
          <w:p>
            <w:pPr>
              <w:pStyle w:val="TableParagraph"/>
              <w:spacing w:before="24"/>
              <w:ind w:right="67"/>
              <w:jc w:val="right"/>
              <w:rPr>
                <w:sz w:val="12"/>
              </w:rPr>
            </w:pPr>
            <w:r>
              <w:rPr>
                <w:color w:val="231F20"/>
                <w:spacing w:val="-2"/>
                <w:sz w:val="12"/>
              </w:rPr>
              <w:t>0.4983</w:t>
            </w:r>
          </w:p>
        </w:tc>
        <w:tc>
          <w:tcPr>
            <w:tcW w:w="540" w:type="dxa"/>
            <w:tcBorders>
              <w:top w:val="nil"/>
              <w:bottom w:val="nil"/>
            </w:tcBorders>
          </w:tcPr>
          <w:p>
            <w:pPr>
              <w:pStyle w:val="TableParagraph"/>
              <w:spacing w:before="24"/>
              <w:ind w:right="67"/>
              <w:jc w:val="right"/>
              <w:rPr>
                <w:sz w:val="12"/>
              </w:rPr>
            </w:pPr>
            <w:r>
              <w:rPr>
                <w:color w:val="231F20"/>
                <w:spacing w:val="-2"/>
                <w:sz w:val="12"/>
              </w:rPr>
              <w:t>0.4984</w:t>
            </w:r>
          </w:p>
        </w:tc>
        <w:tc>
          <w:tcPr>
            <w:tcW w:w="540" w:type="dxa"/>
            <w:tcBorders>
              <w:top w:val="nil"/>
              <w:bottom w:val="nil"/>
            </w:tcBorders>
          </w:tcPr>
          <w:p>
            <w:pPr>
              <w:pStyle w:val="TableParagraph"/>
              <w:spacing w:before="24"/>
              <w:ind w:right="67"/>
              <w:jc w:val="right"/>
              <w:rPr>
                <w:sz w:val="12"/>
              </w:rPr>
            </w:pPr>
            <w:r>
              <w:rPr>
                <w:color w:val="231F20"/>
                <w:spacing w:val="-2"/>
                <w:sz w:val="12"/>
              </w:rPr>
              <w:t>0.4985</w:t>
            </w:r>
          </w:p>
        </w:tc>
        <w:tc>
          <w:tcPr>
            <w:tcW w:w="540" w:type="dxa"/>
            <w:tcBorders>
              <w:top w:val="nil"/>
              <w:bottom w:val="nil"/>
            </w:tcBorders>
          </w:tcPr>
          <w:p>
            <w:pPr>
              <w:pStyle w:val="TableParagraph"/>
              <w:spacing w:before="24"/>
              <w:ind w:right="67"/>
              <w:jc w:val="right"/>
              <w:rPr>
                <w:sz w:val="12"/>
              </w:rPr>
            </w:pPr>
            <w:r>
              <w:rPr>
                <w:color w:val="231F20"/>
                <w:spacing w:val="-2"/>
                <w:sz w:val="12"/>
              </w:rPr>
              <w:t>0.4985</w:t>
            </w:r>
          </w:p>
        </w:tc>
        <w:tc>
          <w:tcPr>
            <w:tcW w:w="540" w:type="dxa"/>
            <w:tcBorders>
              <w:top w:val="nil"/>
              <w:bottom w:val="nil"/>
            </w:tcBorders>
          </w:tcPr>
          <w:p>
            <w:pPr>
              <w:pStyle w:val="TableParagraph"/>
              <w:spacing w:before="24"/>
              <w:ind w:right="67"/>
              <w:jc w:val="right"/>
              <w:rPr>
                <w:sz w:val="12"/>
              </w:rPr>
            </w:pPr>
            <w:r>
              <w:rPr>
                <w:color w:val="231F20"/>
                <w:spacing w:val="-2"/>
                <w:sz w:val="12"/>
              </w:rPr>
              <w:t>0.4986</w:t>
            </w:r>
          </w:p>
        </w:tc>
        <w:tc>
          <w:tcPr>
            <w:tcW w:w="580" w:type="dxa"/>
            <w:tcBorders>
              <w:top w:val="nil"/>
              <w:bottom w:val="nil"/>
            </w:tcBorders>
          </w:tcPr>
          <w:p>
            <w:pPr>
              <w:pStyle w:val="TableParagraph"/>
              <w:spacing w:before="24"/>
              <w:ind w:right="107"/>
              <w:jc w:val="right"/>
              <w:rPr>
                <w:sz w:val="12"/>
              </w:rPr>
            </w:pPr>
            <w:r>
              <w:rPr>
                <w:color w:val="231F20"/>
                <w:spacing w:val="-2"/>
                <w:sz w:val="12"/>
              </w:rPr>
              <w:t>0.4986</w:t>
            </w:r>
          </w:p>
        </w:tc>
      </w:tr>
      <w:tr>
        <w:trPr>
          <w:trHeight w:val="237" w:hRule="atLeast"/>
        </w:trPr>
        <w:tc>
          <w:tcPr>
            <w:tcW w:w="370" w:type="dxa"/>
            <w:tcBorders>
              <w:top w:val="nil"/>
              <w:bottom w:val="nil"/>
            </w:tcBorders>
          </w:tcPr>
          <w:p>
            <w:pPr>
              <w:pStyle w:val="TableParagraph"/>
              <w:spacing w:before="71"/>
              <w:ind w:left="107" w:right="61"/>
              <w:rPr>
                <w:sz w:val="12"/>
              </w:rPr>
            </w:pPr>
            <w:r>
              <w:rPr>
                <w:color w:val="231F20"/>
                <w:spacing w:val="-5"/>
                <w:w w:val="105"/>
                <w:sz w:val="12"/>
              </w:rPr>
              <w:t>3.0</w:t>
            </w:r>
          </w:p>
        </w:tc>
        <w:tc>
          <w:tcPr>
            <w:tcW w:w="940" w:type="dxa"/>
            <w:tcBorders>
              <w:top w:val="nil"/>
              <w:bottom w:val="nil"/>
            </w:tcBorders>
          </w:tcPr>
          <w:p>
            <w:pPr>
              <w:pStyle w:val="TableParagraph"/>
              <w:spacing w:before="71"/>
              <w:ind w:right="67"/>
              <w:jc w:val="right"/>
              <w:rPr>
                <w:sz w:val="12"/>
              </w:rPr>
            </w:pPr>
            <w:r>
              <w:rPr>
                <w:color w:val="231F20"/>
                <w:spacing w:val="-2"/>
                <w:sz w:val="12"/>
              </w:rPr>
              <w:t>0.49865</w:t>
            </w:r>
          </w:p>
        </w:tc>
        <w:tc>
          <w:tcPr>
            <w:tcW w:w="540" w:type="dxa"/>
            <w:tcBorders>
              <w:top w:val="nil"/>
              <w:bottom w:val="nil"/>
            </w:tcBorders>
          </w:tcPr>
          <w:p>
            <w:pPr>
              <w:pStyle w:val="TableParagraph"/>
              <w:spacing w:before="71"/>
              <w:ind w:right="67"/>
              <w:jc w:val="right"/>
              <w:rPr>
                <w:sz w:val="12"/>
              </w:rPr>
            </w:pPr>
            <w:r>
              <w:rPr>
                <w:color w:val="231F20"/>
                <w:spacing w:val="-2"/>
                <w:sz w:val="12"/>
              </w:rPr>
              <w:t>0.4987</w:t>
            </w:r>
          </w:p>
        </w:tc>
        <w:tc>
          <w:tcPr>
            <w:tcW w:w="540" w:type="dxa"/>
            <w:tcBorders>
              <w:top w:val="nil"/>
              <w:bottom w:val="nil"/>
            </w:tcBorders>
          </w:tcPr>
          <w:p>
            <w:pPr>
              <w:pStyle w:val="TableParagraph"/>
              <w:spacing w:before="71"/>
              <w:ind w:right="67"/>
              <w:jc w:val="right"/>
              <w:rPr>
                <w:sz w:val="12"/>
              </w:rPr>
            </w:pPr>
            <w:r>
              <w:rPr>
                <w:color w:val="231F20"/>
                <w:spacing w:val="-2"/>
                <w:sz w:val="12"/>
              </w:rPr>
              <w:t>0.4987</w:t>
            </w:r>
          </w:p>
        </w:tc>
        <w:tc>
          <w:tcPr>
            <w:tcW w:w="540" w:type="dxa"/>
            <w:tcBorders>
              <w:top w:val="nil"/>
              <w:bottom w:val="nil"/>
            </w:tcBorders>
          </w:tcPr>
          <w:p>
            <w:pPr>
              <w:pStyle w:val="TableParagraph"/>
              <w:spacing w:before="71"/>
              <w:ind w:right="67"/>
              <w:jc w:val="right"/>
              <w:rPr>
                <w:sz w:val="12"/>
              </w:rPr>
            </w:pPr>
            <w:r>
              <w:rPr>
                <w:color w:val="231F20"/>
                <w:spacing w:val="-2"/>
                <w:sz w:val="12"/>
              </w:rPr>
              <w:t>0.4988</w:t>
            </w:r>
          </w:p>
        </w:tc>
        <w:tc>
          <w:tcPr>
            <w:tcW w:w="540" w:type="dxa"/>
            <w:tcBorders>
              <w:top w:val="nil"/>
              <w:bottom w:val="nil"/>
            </w:tcBorders>
          </w:tcPr>
          <w:p>
            <w:pPr>
              <w:pStyle w:val="TableParagraph"/>
              <w:spacing w:before="71"/>
              <w:ind w:right="67"/>
              <w:jc w:val="right"/>
              <w:rPr>
                <w:sz w:val="12"/>
              </w:rPr>
            </w:pPr>
            <w:r>
              <w:rPr>
                <w:color w:val="231F20"/>
                <w:spacing w:val="-2"/>
                <w:sz w:val="12"/>
              </w:rPr>
              <w:t>0.4988</w:t>
            </w:r>
          </w:p>
        </w:tc>
        <w:tc>
          <w:tcPr>
            <w:tcW w:w="540" w:type="dxa"/>
            <w:tcBorders>
              <w:top w:val="nil"/>
              <w:bottom w:val="nil"/>
            </w:tcBorders>
          </w:tcPr>
          <w:p>
            <w:pPr>
              <w:pStyle w:val="TableParagraph"/>
              <w:spacing w:before="71"/>
              <w:ind w:right="67"/>
              <w:jc w:val="right"/>
              <w:rPr>
                <w:sz w:val="12"/>
              </w:rPr>
            </w:pPr>
            <w:r>
              <w:rPr>
                <w:color w:val="231F20"/>
                <w:spacing w:val="-2"/>
                <w:sz w:val="12"/>
              </w:rPr>
              <w:t>0.4989</w:t>
            </w:r>
          </w:p>
        </w:tc>
        <w:tc>
          <w:tcPr>
            <w:tcW w:w="540" w:type="dxa"/>
            <w:tcBorders>
              <w:top w:val="nil"/>
              <w:bottom w:val="nil"/>
            </w:tcBorders>
          </w:tcPr>
          <w:p>
            <w:pPr>
              <w:pStyle w:val="TableParagraph"/>
              <w:spacing w:before="71"/>
              <w:ind w:right="67"/>
              <w:jc w:val="right"/>
              <w:rPr>
                <w:sz w:val="12"/>
              </w:rPr>
            </w:pPr>
            <w:r>
              <w:rPr>
                <w:color w:val="231F20"/>
                <w:spacing w:val="-2"/>
                <w:sz w:val="12"/>
              </w:rPr>
              <w:t>0.4989</w:t>
            </w:r>
          </w:p>
        </w:tc>
        <w:tc>
          <w:tcPr>
            <w:tcW w:w="540" w:type="dxa"/>
            <w:tcBorders>
              <w:top w:val="nil"/>
              <w:bottom w:val="nil"/>
            </w:tcBorders>
          </w:tcPr>
          <w:p>
            <w:pPr>
              <w:pStyle w:val="TableParagraph"/>
              <w:spacing w:before="71"/>
              <w:ind w:right="67"/>
              <w:jc w:val="right"/>
              <w:rPr>
                <w:sz w:val="12"/>
              </w:rPr>
            </w:pPr>
            <w:r>
              <w:rPr>
                <w:color w:val="231F20"/>
                <w:spacing w:val="-2"/>
                <w:sz w:val="12"/>
              </w:rPr>
              <w:t>0.4989</w:t>
            </w:r>
          </w:p>
        </w:tc>
        <w:tc>
          <w:tcPr>
            <w:tcW w:w="540" w:type="dxa"/>
            <w:tcBorders>
              <w:top w:val="nil"/>
              <w:bottom w:val="nil"/>
            </w:tcBorders>
          </w:tcPr>
          <w:p>
            <w:pPr>
              <w:pStyle w:val="TableParagraph"/>
              <w:spacing w:before="71"/>
              <w:ind w:right="67"/>
              <w:jc w:val="right"/>
              <w:rPr>
                <w:sz w:val="12"/>
              </w:rPr>
            </w:pPr>
            <w:r>
              <w:rPr>
                <w:color w:val="231F20"/>
                <w:spacing w:val="-2"/>
                <w:sz w:val="12"/>
              </w:rPr>
              <w:t>0.4990</w:t>
            </w:r>
          </w:p>
        </w:tc>
        <w:tc>
          <w:tcPr>
            <w:tcW w:w="580" w:type="dxa"/>
            <w:tcBorders>
              <w:top w:val="nil"/>
              <w:bottom w:val="nil"/>
            </w:tcBorders>
          </w:tcPr>
          <w:p>
            <w:pPr>
              <w:pStyle w:val="TableParagraph"/>
              <w:spacing w:before="71"/>
              <w:ind w:right="107"/>
              <w:jc w:val="right"/>
              <w:rPr>
                <w:sz w:val="12"/>
              </w:rPr>
            </w:pPr>
            <w:r>
              <w:rPr>
                <w:color w:val="231F20"/>
                <w:spacing w:val="-2"/>
                <w:sz w:val="12"/>
              </w:rPr>
              <w:t>0.4990</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3.1</w:t>
            </w:r>
          </w:p>
        </w:tc>
        <w:tc>
          <w:tcPr>
            <w:tcW w:w="940" w:type="dxa"/>
            <w:tcBorders>
              <w:top w:val="nil"/>
              <w:bottom w:val="nil"/>
            </w:tcBorders>
          </w:tcPr>
          <w:p>
            <w:pPr>
              <w:pStyle w:val="TableParagraph"/>
              <w:spacing w:before="24"/>
              <w:ind w:right="67"/>
              <w:jc w:val="right"/>
              <w:rPr>
                <w:sz w:val="12"/>
              </w:rPr>
            </w:pPr>
            <w:r>
              <w:rPr>
                <w:color w:val="231F20"/>
                <w:spacing w:val="-2"/>
                <w:sz w:val="12"/>
              </w:rPr>
              <w:t>0.49903</w:t>
            </w:r>
          </w:p>
        </w:tc>
        <w:tc>
          <w:tcPr>
            <w:tcW w:w="540" w:type="dxa"/>
            <w:tcBorders>
              <w:top w:val="nil"/>
              <w:bottom w:val="nil"/>
            </w:tcBorders>
          </w:tcPr>
          <w:p>
            <w:pPr>
              <w:pStyle w:val="TableParagraph"/>
              <w:spacing w:before="24"/>
              <w:ind w:right="67"/>
              <w:jc w:val="right"/>
              <w:rPr>
                <w:sz w:val="12"/>
              </w:rPr>
            </w:pPr>
            <w:r>
              <w:rPr>
                <w:color w:val="231F20"/>
                <w:spacing w:val="-2"/>
                <w:sz w:val="12"/>
              </w:rPr>
              <w:t>0.4991</w:t>
            </w:r>
          </w:p>
        </w:tc>
        <w:tc>
          <w:tcPr>
            <w:tcW w:w="540" w:type="dxa"/>
            <w:tcBorders>
              <w:top w:val="nil"/>
              <w:bottom w:val="nil"/>
            </w:tcBorders>
          </w:tcPr>
          <w:p>
            <w:pPr>
              <w:pStyle w:val="TableParagraph"/>
              <w:spacing w:before="24"/>
              <w:ind w:right="67"/>
              <w:jc w:val="right"/>
              <w:rPr>
                <w:sz w:val="12"/>
              </w:rPr>
            </w:pPr>
            <w:r>
              <w:rPr>
                <w:color w:val="231F20"/>
                <w:spacing w:val="-2"/>
                <w:sz w:val="12"/>
              </w:rPr>
              <w:t>0.4991</w:t>
            </w:r>
          </w:p>
        </w:tc>
        <w:tc>
          <w:tcPr>
            <w:tcW w:w="540" w:type="dxa"/>
            <w:tcBorders>
              <w:top w:val="nil"/>
              <w:bottom w:val="nil"/>
            </w:tcBorders>
          </w:tcPr>
          <w:p>
            <w:pPr>
              <w:pStyle w:val="TableParagraph"/>
              <w:spacing w:before="24"/>
              <w:ind w:right="67"/>
              <w:jc w:val="right"/>
              <w:rPr>
                <w:sz w:val="12"/>
              </w:rPr>
            </w:pPr>
            <w:r>
              <w:rPr>
                <w:color w:val="231F20"/>
                <w:spacing w:val="-2"/>
                <w:sz w:val="12"/>
              </w:rPr>
              <w:t>0.4991</w:t>
            </w:r>
          </w:p>
        </w:tc>
        <w:tc>
          <w:tcPr>
            <w:tcW w:w="540" w:type="dxa"/>
            <w:tcBorders>
              <w:top w:val="nil"/>
              <w:bottom w:val="nil"/>
            </w:tcBorders>
          </w:tcPr>
          <w:p>
            <w:pPr>
              <w:pStyle w:val="TableParagraph"/>
              <w:spacing w:before="24"/>
              <w:ind w:right="67"/>
              <w:jc w:val="right"/>
              <w:rPr>
                <w:sz w:val="12"/>
              </w:rPr>
            </w:pPr>
            <w:r>
              <w:rPr>
                <w:color w:val="231F20"/>
                <w:spacing w:val="-2"/>
                <w:sz w:val="12"/>
              </w:rPr>
              <w:t>0.4992</w:t>
            </w:r>
          </w:p>
        </w:tc>
        <w:tc>
          <w:tcPr>
            <w:tcW w:w="540" w:type="dxa"/>
            <w:tcBorders>
              <w:top w:val="nil"/>
              <w:bottom w:val="nil"/>
            </w:tcBorders>
          </w:tcPr>
          <w:p>
            <w:pPr>
              <w:pStyle w:val="TableParagraph"/>
              <w:spacing w:before="24"/>
              <w:ind w:right="67"/>
              <w:jc w:val="right"/>
              <w:rPr>
                <w:sz w:val="12"/>
              </w:rPr>
            </w:pPr>
            <w:r>
              <w:rPr>
                <w:color w:val="231F20"/>
                <w:spacing w:val="-2"/>
                <w:sz w:val="12"/>
              </w:rPr>
              <w:t>0.4992</w:t>
            </w:r>
          </w:p>
        </w:tc>
        <w:tc>
          <w:tcPr>
            <w:tcW w:w="540" w:type="dxa"/>
            <w:tcBorders>
              <w:top w:val="nil"/>
              <w:bottom w:val="nil"/>
            </w:tcBorders>
          </w:tcPr>
          <w:p>
            <w:pPr>
              <w:pStyle w:val="TableParagraph"/>
              <w:spacing w:before="24"/>
              <w:ind w:right="67"/>
              <w:jc w:val="right"/>
              <w:rPr>
                <w:sz w:val="12"/>
              </w:rPr>
            </w:pPr>
            <w:r>
              <w:rPr>
                <w:color w:val="231F20"/>
                <w:spacing w:val="-2"/>
                <w:sz w:val="12"/>
              </w:rPr>
              <w:t>0.4992</w:t>
            </w:r>
          </w:p>
        </w:tc>
        <w:tc>
          <w:tcPr>
            <w:tcW w:w="540" w:type="dxa"/>
            <w:tcBorders>
              <w:top w:val="nil"/>
              <w:bottom w:val="nil"/>
            </w:tcBorders>
          </w:tcPr>
          <w:p>
            <w:pPr>
              <w:pStyle w:val="TableParagraph"/>
              <w:spacing w:before="24"/>
              <w:ind w:right="67"/>
              <w:jc w:val="right"/>
              <w:rPr>
                <w:sz w:val="12"/>
              </w:rPr>
            </w:pPr>
            <w:r>
              <w:rPr>
                <w:color w:val="231F20"/>
                <w:spacing w:val="-2"/>
                <w:sz w:val="12"/>
              </w:rPr>
              <w:t>0.4992</w:t>
            </w:r>
          </w:p>
        </w:tc>
        <w:tc>
          <w:tcPr>
            <w:tcW w:w="540" w:type="dxa"/>
            <w:tcBorders>
              <w:top w:val="nil"/>
              <w:bottom w:val="nil"/>
            </w:tcBorders>
          </w:tcPr>
          <w:p>
            <w:pPr>
              <w:pStyle w:val="TableParagraph"/>
              <w:spacing w:before="24"/>
              <w:ind w:right="67"/>
              <w:jc w:val="right"/>
              <w:rPr>
                <w:sz w:val="12"/>
              </w:rPr>
            </w:pPr>
            <w:r>
              <w:rPr>
                <w:color w:val="231F20"/>
                <w:spacing w:val="-2"/>
                <w:sz w:val="12"/>
              </w:rPr>
              <w:t>0.4993</w:t>
            </w:r>
          </w:p>
        </w:tc>
        <w:tc>
          <w:tcPr>
            <w:tcW w:w="580" w:type="dxa"/>
            <w:tcBorders>
              <w:top w:val="nil"/>
              <w:bottom w:val="nil"/>
            </w:tcBorders>
          </w:tcPr>
          <w:p>
            <w:pPr>
              <w:pStyle w:val="TableParagraph"/>
              <w:spacing w:before="24"/>
              <w:ind w:right="107"/>
              <w:jc w:val="right"/>
              <w:rPr>
                <w:sz w:val="12"/>
              </w:rPr>
            </w:pPr>
            <w:r>
              <w:rPr>
                <w:color w:val="231F20"/>
                <w:spacing w:val="-2"/>
                <w:sz w:val="12"/>
              </w:rPr>
              <w:t>0.4993</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3.2</w:t>
            </w:r>
          </w:p>
        </w:tc>
        <w:tc>
          <w:tcPr>
            <w:tcW w:w="940" w:type="dxa"/>
            <w:tcBorders>
              <w:top w:val="nil"/>
              <w:bottom w:val="nil"/>
            </w:tcBorders>
          </w:tcPr>
          <w:p>
            <w:pPr>
              <w:pStyle w:val="TableParagraph"/>
              <w:spacing w:before="24"/>
              <w:ind w:right="67"/>
              <w:jc w:val="right"/>
              <w:rPr>
                <w:sz w:val="12"/>
              </w:rPr>
            </w:pPr>
            <w:r>
              <w:rPr>
                <w:color w:val="231F20"/>
                <w:spacing w:val="-2"/>
                <w:sz w:val="12"/>
              </w:rPr>
              <w:t>0.4993129</w:t>
            </w:r>
          </w:p>
        </w:tc>
        <w:tc>
          <w:tcPr>
            <w:tcW w:w="540" w:type="dxa"/>
            <w:tcBorders>
              <w:top w:val="nil"/>
              <w:bottom w:val="nil"/>
            </w:tcBorders>
          </w:tcPr>
          <w:p>
            <w:pPr>
              <w:pStyle w:val="TableParagraph"/>
              <w:spacing w:before="24"/>
              <w:ind w:right="67"/>
              <w:jc w:val="right"/>
              <w:rPr>
                <w:sz w:val="12"/>
              </w:rPr>
            </w:pPr>
            <w:r>
              <w:rPr>
                <w:color w:val="231F20"/>
                <w:spacing w:val="-2"/>
                <w:sz w:val="12"/>
              </w:rPr>
              <w:t>0.4993</w:t>
            </w:r>
          </w:p>
        </w:tc>
        <w:tc>
          <w:tcPr>
            <w:tcW w:w="540" w:type="dxa"/>
            <w:tcBorders>
              <w:top w:val="nil"/>
              <w:bottom w:val="nil"/>
            </w:tcBorders>
          </w:tcPr>
          <w:p>
            <w:pPr>
              <w:pStyle w:val="TableParagraph"/>
              <w:spacing w:before="24"/>
              <w:ind w:right="67"/>
              <w:jc w:val="right"/>
              <w:rPr>
                <w:sz w:val="12"/>
              </w:rPr>
            </w:pPr>
            <w:r>
              <w:rPr>
                <w:color w:val="231F20"/>
                <w:spacing w:val="-2"/>
                <w:sz w:val="12"/>
              </w:rPr>
              <w:t>0.4994</w:t>
            </w:r>
          </w:p>
        </w:tc>
        <w:tc>
          <w:tcPr>
            <w:tcW w:w="540" w:type="dxa"/>
            <w:tcBorders>
              <w:top w:val="nil"/>
              <w:bottom w:val="nil"/>
            </w:tcBorders>
          </w:tcPr>
          <w:p>
            <w:pPr>
              <w:pStyle w:val="TableParagraph"/>
              <w:spacing w:before="24"/>
              <w:ind w:right="67"/>
              <w:jc w:val="right"/>
              <w:rPr>
                <w:sz w:val="12"/>
              </w:rPr>
            </w:pPr>
            <w:r>
              <w:rPr>
                <w:color w:val="231F20"/>
                <w:spacing w:val="-2"/>
                <w:sz w:val="12"/>
              </w:rPr>
              <w:t>0.4994</w:t>
            </w:r>
          </w:p>
        </w:tc>
        <w:tc>
          <w:tcPr>
            <w:tcW w:w="540" w:type="dxa"/>
            <w:tcBorders>
              <w:top w:val="nil"/>
              <w:bottom w:val="nil"/>
            </w:tcBorders>
          </w:tcPr>
          <w:p>
            <w:pPr>
              <w:pStyle w:val="TableParagraph"/>
              <w:spacing w:before="24"/>
              <w:ind w:right="67"/>
              <w:jc w:val="right"/>
              <w:rPr>
                <w:sz w:val="12"/>
              </w:rPr>
            </w:pPr>
            <w:r>
              <w:rPr>
                <w:color w:val="231F20"/>
                <w:spacing w:val="-2"/>
                <w:sz w:val="12"/>
              </w:rPr>
              <w:t>0.4994</w:t>
            </w:r>
          </w:p>
        </w:tc>
        <w:tc>
          <w:tcPr>
            <w:tcW w:w="540" w:type="dxa"/>
            <w:tcBorders>
              <w:top w:val="nil"/>
              <w:bottom w:val="nil"/>
            </w:tcBorders>
          </w:tcPr>
          <w:p>
            <w:pPr>
              <w:pStyle w:val="TableParagraph"/>
              <w:spacing w:before="24"/>
              <w:ind w:right="67"/>
              <w:jc w:val="right"/>
              <w:rPr>
                <w:sz w:val="12"/>
              </w:rPr>
            </w:pPr>
            <w:r>
              <w:rPr>
                <w:color w:val="231F20"/>
                <w:spacing w:val="-2"/>
                <w:sz w:val="12"/>
              </w:rPr>
              <w:t>0.4994</w:t>
            </w:r>
          </w:p>
        </w:tc>
        <w:tc>
          <w:tcPr>
            <w:tcW w:w="540" w:type="dxa"/>
            <w:tcBorders>
              <w:top w:val="nil"/>
              <w:bottom w:val="nil"/>
            </w:tcBorders>
          </w:tcPr>
          <w:p>
            <w:pPr>
              <w:pStyle w:val="TableParagraph"/>
              <w:spacing w:before="24"/>
              <w:ind w:right="67"/>
              <w:jc w:val="right"/>
              <w:rPr>
                <w:sz w:val="12"/>
              </w:rPr>
            </w:pPr>
            <w:r>
              <w:rPr>
                <w:color w:val="231F20"/>
                <w:spacing w:val="-2"/>
                <w:sz w:val="12"/>
              </w:rPr>
              <w:t>0.4994</w:t>
            </w:r>
          </w:p>
        </w:tc>
        <w:tc>
          <w:tcPr>
            <w:tcW w:w="540" w:type="dxa"/>
            <w:tcBorders>
              <w:top w:val="nil"/>
              <w:bottom w:val="nil"/>
            </w:tcBorders>
          </w:tcPr>
          <w:p>
            <w:pPr>
              <w:pStyle w:val="TableParagraph"/>
              <w:spacing w:before="24"/>
              <w:ind w:right="67"/>
              <w:jc w:val="right"/>
              <w:rPr>
                <w:sz w:val="12"/>
              </w:rPr>
            </w:pPr>
            <w:r>
              <w:rPr>
                <w:color w:val="231F20"/>
                <w:spacing w:val="-2"/>
                <w:sz w:val="12"/>
              </w:rPr>
              <w:t>0.4995</w:t>
            </w:r>
          </w:p>
        </w:tc>
        <w:tc>
          <w:tcPr>
            <w:tcW w:w="540" w:type="dxa"/>
            <w:tcBorders>
              <w:top w:val="nil"/>
              <w:bottom w:val="nil"/>
            </w:tcBorders>
          </w:tcPr>
          <w:p>
            <w:pPr>
              <w:pStyle w:val="TableParagraph"/>
              <w:spacing w:before="24"/>
              <w:ind w:right="67"/>
              <w:jc w:val="right"/>
              <w:rPr>
                <w:sz w:val="12"/>
              </w:rPr>
            </w:pPr>
            <w:r>
              <w:rPr>
                <w:color w:val="231F20"/>
                <w:spacing w:val="-2"/>
                <w:sz w:val="12"/>
              </w:rPr>
              <w:t>0.4995</w:t>
            </w:r>
          </w:p>
        </w:tc>
        <w:tc>
          <w:tcPr>
            <w:tcW w:w="580" w:type="dxa"/>
            <w:tcBorders>
              <w:top w:val="nil"/>
              <w:bottom w:val="nil"/>
            </w:tcBorders>
          </w:tcPr>
          <w:p>
            <w:pPr>
              <w:pStyle w:val="TableParagraph"/>
              <w:spacing w:before="24"/>
              <w:ind w:right="107"/>
              <w:jc w:val="right"/>
              <w:rPr>
                <w:sz w:val="12"/>
              </w:rPr>
            </w:pPr>
            <w:r>
              <w:rPr>
                <w:color w:val="231F20"/>
                <w:spacing w:val="-2"/>
                <w:sz w:val="12"/>
              </w:rPr>
              <w:t>0.4995</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3.3</w:t>
            </w:r>
          </w:p>
        </w:tc>
        <w:tc>
          <w:tcPr>
            <w:tcW w:w="940" w:type="dxa"/>
            <w:tcBorders>
              <w:top w:val="nil"/>
              <w:bottom w:val="nil"/>
            </w:tcBorders>
          </w:tcPr>
          <w:p>
            <w:pPr>
              <w:pStyle w:val="TableParagraph"/>
              <w:spacing w:before="24"/>
              <w:ind w:right="67"/>
              <w:jc w:val="right"/>
              <w:rPr>
                <w:sz w:val="12"/>
              </w:rPr>
            </w:pPr>
            <w:r>
              <w:rPr>
                <w:color w:val="231F20"/>
                <w:spacing w:val="-2"/>
                <w:sz w:val="12"/>
              </w:rPr>
              <w:t>0.4995166</w:t>
            </w:r>
          </w:p>
        </w:tc>
        <w:tc>
          <w:tcPr>
            <w:tcW w:w="540" w:type="dxa"/>
            <w:tcBorders>
              <w:top w:val="nil"/>
              <w:bottom w:val="nil"/>
            </w:tcBorders>
          </w:tcPr>
          <w:p>
            <w:pPr>
              <w:pStyle w:val="TableParagraph"/>
              <w:spacing w:before="24"/>
              <w:ind w:right="67"/>
              <w:jc w:val="right"/>
              <w:rPr>
                <w:sz w:val="12"/>
              </w:rPr>
            </w:pPr>
            <w:r>
              <w:rPr>
                <w:color w:val="231F20"/>
                <w:spacing w:val="-2"/>
                <w:sz w:val="12"/>
              </w:rPr>
              <w:t>0.4995</w:t>
            </w:r>
          </w:p>
        </w:tc>
        <w:tc>
          <w:tcPr>
            <w:tcW w:w="540" w:type="dxa"/>
            <w:tcBorders>
              <w:top w:val="nil"/>
              <w:bottom w:val="nil"/>
            </w:tcBorders>
          </w:tcPr>
          <w:p>
            <w:pPr>
              <w:pStyle w:val="TableParagraph"/>
              <w:spacing w:before="24"/>
              <w:ind w:right="67"/>
              <w:jc w:val="right"/>
              <w:rPr>
                <w:sz w:val="12"/>
              </w:rPr>
            </w:pPr>
            <w:r>
              <w:rPr>
                <w:color w:val="231F20"/>
                <w:spacing w:val="-2"/>
                <w:sz w:val="12"/>
              </w:rPr>
              <w:t>0.4995</w:t>
            </w:r>
          </w:p>
        </w:tc>
        <w:tc>
          <w:tcPr>
            <w:tcW w:w="540" w:type="dxa"/>
            <w:tcBorders>
              <w:top w:val="nil"/>
              <w:bottom w:val="nil"/>
            </w:tcBorders>
          </w:tcPr>
          <w:p>
            <w:pPr>
              <w:pStyle w:val="TableParagraph"/>
              <w:spacing w:before="24"/>
              <w:ind w:right="67"/>
              <w:jc w:val="right"/>
              <w:rPr>
                <w:sz w:val="12"/>
              </w:rPr>
            </w:pPr>
            <w:r>
              <w:rPr>
                <w:color w:val="231F20"/>
                <w:spacing w:val="-2"/>
                <w:sz w:val="12"/>
              </w:rPr>
              <w:t>0.4996</w:t>
            </w:r>
          </w:p>
        </w:tc>
        <w:tc>
          <w:tcPr>
            <w:tcW w:w="540" w:type="dxa"/>
            <w:tcBorders>
              <w:top w:val="nil"/>
              <w:bottom w:val="nil"/>
            </w:tcBorders>
          </w:tcPr>
          <w:p>
            <w:pPr>
              <w:pStyle w:val="TableParagraph"/>
              <w:spacing w:before="24"/>
              <w:ind w:right="67"/>
              <w:jc w:val="right"/>
              <w:rPr>
                <w:sz w:val="12"/>
              </w:rPr>
            </w:pPr>
            <w:r>
              <w:rPr>
                <w:color w:val="231F20"/>
                <w:spacing w:val="-2"/>
                <w:sz w:val="12"/>
              </w:rPr>
              <w:t>0.4996</w:t>
            </w:r>
          </w:p>
        </w:tc>
        <w:tc>
          <w:tcPr>
            <w:tcW w:w="540" w:type="dxa"/>
            <w:tcBorders>
              <w:top w:val="nil"/>
              <w:bottom w:val="nil"/>
            </w:tcBorders>
          </w:tcPr>
          <w:p>
            <w:pPr>
              <w:pStyle w:val="TableParagraph"/>
              <w:spacing w:before="24"/>
              <w:ind w:right="67"/>
              <w:jc w:val="right"/>
              <w:rPr>
                <w:sz w:val="12"/>
              </w:rPr>
            </w:pPr>
            <w:r>
              <w:rPr>
                <w:color w:val="231F20"/>
                <w:spacing w:val="-2"/>
                <w:sz w:val="12"/>
              </w:rPr>
              <w:t>0.4996</w:t>
            </w:r>
          </w:p>
        </w:tc>
        <w:tc>
          <w:tcPr>
            <w:tcW w:w="540" w:type="dxa"/>
            <w:tcBorders>
              <w:top w:val="nil"/>
              <w:bottom w:val="nil"/>
            </w:tcBorders>
          </w:tcPr>
          <w:p>
            <w:pPr>
              <w:pStyle w:val="TableParagraph"/>
              <w:spacing w:before="24"/>
              <w:ind w:right="67"/>
              <w:jc w:val="right"/>
              <w:rPr>
                <w:sz w:val="12"/>
              </w:rPr>
            </w:pPr>
            <w:r>
              <w:rPr>
                <w:color w:val="231F20"/>
                <w:spacing w:val="-2"/>
                <w:sz w:val="12"/>
              </w:rPr>
              <w:t>0.4996</w:t>
            </w:r>
          </w:p>
        </w:tc>
        <w:tc>
          <w:tcPr>
            <w:tcW w:w="540" w:type="dxa"/>
            <w:tcBorders>
              <w:top w:val="nil"/>
              <w:bottom w:val="nil"/>
            </w:tcBorders>
          </w:tcPr>
          <w:p>
            <w:pPr>
              <w:pStyle w:val="TableParagraph"/>
              <w:spacing w:before="24"/>
              <w:ind w:right="67"/>
              <w:jc w:val="right"/>
              <w:rPr>
                <w:sz w:val="12"/>
              </w:rPr>
            </w:pPr>
            <w:r>
              <w:rPr>
                <w:color w:val="231F20"/>
                <w:spacing w:val="-2"/>
                <w:sz w:val="12"/>
              </w:rPr>
              <w:t>0.4996</w:t>
            </w:r>
          </w:p>
        </w:tc>
        <w:tc>
          <w:tcPr>
            <w:tcW w:w="540" w:type="dxa"/>
            <w:tcBorders>
              <w:top w:val="nil"/>
              <w:bottom w:val="nil"/>
            </w:tcBorders>
          </w:tcPr>
          <w:p>
            <w:pPr>
              <w:pStyle w:val="TableParagraph"/>
              <w:spacing w:before="24"/>
              <w:ind w:right="67"/>
              <w:jc w:val="right"/>
              <w:rPr>
                <w:sz w:val="12"/>
              </w:rPr>
            </w:pPr>
            <w:r>
              <w:rPr>
                <w:color w:val="231F20"/>
                <w:spacing w:val="-2"/>
                <w:sz w:val="12"/>
              </w:rPr>
              <w:t>0.4996</w:t>
            </w:r>
          </w:p>
        </w:tc>
        <w:tc>
          <w:tcPr>
            <w:tcW w:w="580" w:type="dxa"/>
            <w:tcBorders>
              <w:top w:val="nil"/>
              <w:bottom w:val="nil"/>
            </w:tcBorders>
          </w:tcPr>
          <w:p>
            <w:pPr>
              <w:pStyle w:val="TableParagraph"/>
              <w:spacing w:before="24"/>
              <w:ind w:right="107"/>
              <w:jc w:val="right"/>
              <w:rPr>
                <w:sz w:val="12"/>
              </w:rPr>
            </w:pPr>
            <w:r>
              <w:rPr>
                <w:color w:val="231F20"/>
                <w:spacing w:val="-2"/>
                <w:sz w:val="12"/>
              </w:rPr>
              <w:t>0.4997</w:t>
            </w:r>
          </w:p>
        </w:tc>
      </w:tr>
      <w:tr>
        <w:trPr>
          <w:trHeight w:val="237"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3.4</w:t>
            </w:r>
          </w:p>
        </w:tc>
        <w:tc>
          <w:tcPr>
            <w:tcW w:w="940" w:type="dxa"/>
            <w:tcBorders>
              <w:top w:val="nil"/>
              <w:bottom w:val="nil"/>
            </w:tcBorders>
          </w:tcPr>
          <w:p>
            <w:pPr>
              <w:pStyle w:val="TableParagraph"/>
              <w:spacing w:before="24"/>
              <w:ind w:right="67"/>
              <w:jc w:val="right"/>
              <w:rPr>
                <w:sz w:val="12"/>
              </w:rPr>
            </w:pPr>
            <w:r>
              <w:rPr>
                <w:color w:val="231F20"/>
                <w:spacing w:val="-2"/>
                <w:sz w:val="12"/>
              </w:rPr>
              <w:t>0.4996631</w:t>
            </w:r>
          </w:p>
        </w:tc>
        <w:tc>
          <w:tcPr>
            <w:tcW w:w="540" w:type="dxa"/>
            <w:tcBorders>
              <w:top w:val="nil"/>
              <w:bottom w:val="nil"/>
            </w:tcBorders>
          </w:tcPr>
          <w:p>
            <w:pPr>
              <w:pStyle w:val="TableParagraph"/>
              <w:spacing w:before="24"/>
              <w:ind w:right="67"/>
              <w:jc w:val="right"/>
              <w:rPr>
                <w:sz w:val="12"/>
              </w:rPr>
            </w:pPr>
            <w:r>
              <w:rPr>
                <w:color w:val="231F20"/>
                <w:spacing w:val="-2"/>
                <w:sz w:val="12"/>
              </w:rPr>
              <w:t>0.4997</w:t>
            </w:r>
          </w:p>
        </w:tc>
        <w:tc>
          <w:tcPr>
            <w:tcW w:w="540" w:type="dxa"/>
            <w:tcBorders>
              <w:top w:val="nil"/>
              <w:bottom w:val="nil"/>
            </w:tcBorders>
          </w:tcPr>
          <w:p>
            <w:pPr>
              <w:pStyle w:val="TableParagraph"/>
              <w:spacing w:before="24"/>
              <w:ind w:right="67"/>
              <w:jc w:val="right"/>
              <w:rPr>
                <w:sz w:val="12"/>
              </w:rPr>
            </w:pPr>
            <w:r>
              <w:rPr>
                <w:color w:val="231F20"/>
                <w:spacing w:val="-2"/>
                <w:sz w:val="12"/>
              </w:rPr>
              <w:t>0.4997</w:t>
            </w:r>
          </w:p>
        </w:tc>
        <w:tc>
          <w:tcPr>
            <w:tcW w:w="540" w:type="dxa"/>
            <w:tcBorders>
              <w:top w:val="nil"/>
              <w:bottom w:val="nil"/>
            </w:tcBorders>
          </w:tcPr>
          <w:p>
            <w:pPr>
              <w:pStyle w:val="TableParagraph"/>
              <w:spacing w:before="24"/>
              <w:ind w:right="67"/>
              <w:jc w:val="right"/>
              <w:rPr>
                <w:sz w:val="12"/>
              </w:rPr>
            </w:pPr>
            <w:r>
              <w:rPr>
                <w:color w:val="231F20"/>
                <w:spacing w:val="-2"/>
                <w:sz w:val="12"/>
              </w:rPr>
              <w:t>0.4997</w:t>
            </w:r>
          </w:p>
        </w:tc>
        <w:tc>
          <w:tcPr>
            <w:tcW w:w="540" w:type="dxa"/>
            <w:tcBorders>
              <w:top w:val="nil"/>
              <w:bottom w:val="nil"/>
            </w:tcBorders>
          </w:tcPr>
          <w:p>
            <w:pPr>
              <w:pStyle w:val="TableParagraph"/>
              <w:spacing w:before="24"/>
              <w:ind w:right="67"/>
              <w:jc w:val="right"/>
              <w:rPr>
                <w:sz w:val="12"/>
              </w:rPr>
            </w:pPr>
            <w:r>
              <w:rPr>
                <w:color w:val="231F20"/>
                <w:spacing w:val="-2"/>
                <w:sz w:val="12"/>
              </w:rPr>
              <w:t>0.4997</w:t>
            </w:r>
          </w:p>
        </w:tc>
        <w:tc>
          <w:tcPr>
            <w:tcW w:w="540" w:type="dxa"/>
            <w:tcBorders>
              <w:top w:val="nil"/>
              <w:bottom w:val="nil"/>
            </w:tcBorders>
          </w:tcPr>
          <w:p>
            <w:pPr>
              <w:pStyle w:val="TableParagraph"/>
              <w:spacing w:before="24"/>
              <w:ind w:right="67"/>
              <w:jc w:val="right"/>
              <w:rPr>
                <w:sz w:val="12"/>
              </w:rPr>
            </w:pPr>
            <w:r>
              <w:rPr>
                <w:color w:val="231F20"/>
                <w:spacing w:val="-2"/>
                <w:sz w:val="12"/>
              </w:rPr>
              <w:t>0.4997</w:t>
            </w:r>
          </w:p>
        </w:tc>
        <w:tc>
          <w:tcPr>
            <w:tcW w:w="540" w:type="dxa"/>
            <w:tcBorders>
              <w:top w:val="nil"/>
              <w:bottom w:val="nil"/>
            </w:tcBorders>
          </w:tcPr>
          <w:p>
            <w:pPr>
              <w:pStyle w:val="TableParagraph"/>
              <w:spacing w:before="24"/>
              <w:ind w:right="67"/>
              <w:jc w:val="right"/>
              <w:rPr>
                <w:sz w:val="12"/>
              </w:rPr>
            </w:pPr>
            <w:r>
              <w:rPr>
                <w:color w:val="231F20"/>
                <w:spacing w:val="-2"/>
                <w:sz w:val="12"/>
              </w:rPr>
              <w:t>0.4997</w:t>
            </w:r>
          </w:p>
        </w:tc>
        <w:tc>
          <w:tcPr>
            <w:tcW w:w="540" w:type="dxa"/>
            <w:tcBorders>
              <w:top w:val="nil"/>
              <w:bottom w:val="nil"/>
            </w:tcBorders>
          </w:tcPr>
          <w:p>
            <w:pPr>
              <w:pStyle w:val="TableParagraph"/>
              <w:spacing w:before="24"/>
              <w:ind w:right="67"/>
              <w:jc w:val="right"/>
              <w:rPr>
                <w:sz w:val="12"/>
              </w:rPr>
            </w:pPr>
            <w:r>
              <w:rPr>
                <w:color w:val="231F20"/>
                <w:spacing w:val="-2"/>
                <w:sz w:val="12"/>
              </w:rPr>
              <w:t>0.4997</w:t>
            </w:r>
          </w:p>
        </w:tc>
        <w:tc>
          <w:tcPr>
            <w:tcW w:w="540" w:type="dxa"/>
            <w:tcBorders>
              <w:top w:val="nil"/>
              <w:bottom w:val="nil"/>
            </w:tcBorders>
          </w:tcPr>
          <w:p>
            <w:pPr>
              <w:pStyle w:val="TableParagraph"/>
              <w:spacing w:before="24"/>
              <w:ind w:right="67"/>
              <w:jc w:val="right"/>
              <w:rPr>
                <w:sz w:val="12"/>
              </w:rPr>
            </w:pPr>
            <w:r>
              <w:rPr>
                <w:color w:val="231F20"/>
                <w:spacing w:val="-2"/>
                <w:sz w:val="12"/>
              </w:rPr>
              <w:t>0.4998</w:t>
            </w:r>
          </w:p>
        </w:tc>
        <w:tc>
          <w:tcPr>
            <w:tcW w:w="580" w:type="dxa"/>
            <w:tcBorders>
              <w:top w:val="nil"/>
              <w:bottom w:val="nil"/>
            </w:tcBorders>
          </w:tcPr>
          <w:p>
            <w:pPr>
              <w:pStyle w:val="TableParagraph"/>
              <w:spacing w:before="24"/>
              <w:ind w:right="107"/>
              <w:jc w:val="right"/>
              <w:rPr>
                <w:sz w:val="12"/>
              </w:rPr>
            </w:pPr>
            <w:r>
              <w:rPr>
                <w:color w:val="231F20"/>
                <w:spacing w:val="-2"/>
                <w:sz w:val="12"/>
              </w:rPr>
              <w:t>0.4998</w:t>
            </w:r>
          </w:p>
        </w:tc>
      </w:tr>
      <w:tr>
        <w:trPr>
          <w:trHeight w:val="237" w:hRule="atLeast"/>
        </w:trPr>
        <w:tc>
          <w:tcPr>
            <w:tcW w:w="370" w:type="dxa"/>
            <w:tcBorders>
              <w:top w:val="nil"/>
              <w:bottom w:val="nil"/>
            </w:tcBorders>
          </w:tcPr>
          <w:p>
            <w:pPr>
              <w:pStyle w:val="TableParagraph"/>
              <w:spacing w:before="71"/>
              <w:ind w:left="107" w:right="61"/>
              <w:rPr>
                <w:sz w:val="12"/>
              </w:rPr>
            </w:pPr>
            <w:r>
              <w:rPr>
                <w:color w:val="231F20"/>
                <w:spacing w:val="-5"/>
                <w:w w:val="105"/>
                <w:sz w:val="12"/>
              </w:rPr>
              <w:t>3.5</w:t>
            </w:r>
          </w:p>
        </w:tc>
        <w:tc>
          <w:tcPr>
            <w:tcW w:w="940" w:type="dxa"/>
            <w:tcBorders>
              <w:top w:val="nil"/>
              <w:bottom w:val="nil"/>
            </w:tcBorders>
          </w:tcPr>
          <w:p>
            <w:pPr>
              <w:pStyle w:val="TableParagraph"/>
              <w:spacing w:before="71"/>
              <w:ind w:right="67"/>
              <w:jc w:val="right"/>
              <w:rPr>
                <w:sz w:val="12"/>
              </w:rPr>
            </w:pPr>
            <w:r>
              <w:rPr>
                <w:color w:val="231F20"/>
                <w:spacing w:val="-2"/>
                <w:sz w:val="12"/>
              </w:rPr>
              <w:t>0.4997674</w:t>
            </w:r>
          </w:p>
        </w:tc>
        <w:tc>
          <w:tcPr>
            <w:tcW w:w="540" w:type="dxa"/>
            <w:tcBorders>
              <w:top w:val="nil"/>
              <w:bottom w:val="nil"/>
            </w:tcBorders>
          </w:tcPr>
          <w:p>
            <w:pPr>
              <w:pStyle w:val="TableParagraph"/>
              <w:spacing w:before="71"/>
              <w:ind w:right="67"/>
              <w:jc w:val="right"/>
              <w:rPr>
                <w:sz w:val="12"/>
              </w:rPr>
            </w:pPr>
            <w:r>
              <w:rPr>
                <w:color w:val="231F20"/>
                <w:spacing w:val="-2"/>
                <w:sz w:val="12"/>
              </w:rPr>
              <w:t>0.4998</w:t>
            </w:r>
          </w:p>
        </w:tc>
        <w:tc>
          <w:tcPr>
            <w:tcW w:w="540" w:type="dxa"/>
            <w:tcBorders>
              <w:top w:val="nil"/>
              <w:bottom w:val="nil"/>
            </w:tcBorders>
          </w:tcPr>
          <w:p>
            <w:pPr>
              <w:pStyle w:val="TableParagraph"/>
              <w:spacing w:before="71"/>
              <w:ind w:right="67"/>
              <w:jc w:val="right"/>
              <w:rPr>
                <w:sz w:val="12"/>
              </w:rPr>
            </w:pPr>
            <w:r>
              <w:rPr>
                <w:color w:val="231F20"/>
                <w:spacing w:val="-2"/>
                <w:sz w:val="12"/>
              </w:rPr>
              <w:t>0.4998</w:t>
            </w:r>
          </w:p>
        </w:tc>
        <w:tc>
          <w:tcPr>
            <w:tcW w:w="540" w:type="dxa"/>
            <w:tcBorders>
              <w:top w:val="nil"/>
              <w:bottom w:val="nil"/>
            </w:tcBorders>
          </w:tcPr>
          <w:p>
            <w:pPr>
              <w:pStyle w:val="TableParagraph"/>
              <w:spacing w:before="71"/>
              <w:ind w:right="67"/>
              <w:jc w:val="right"/>
              <w:rPr>
                <w:sz w:val="12"/>
              </w:rPr>
            </w:pPr>
            <w:r>
              <w:rPr>
                <w:color w:val="231F20"/>
                <w:spacing w:val="-2"/>
                <w:sz w:val="12"/>
              </w:rPr>
              <w:t>0.4998</w:t>
            </w:r>
          </w:p>
        </w:tc>
        <w:tc>
          <w:tcPr>
            <w:tcW w:w="540" w:type="dxa"/>
            <w:tcBorders>
              <w:top w:val="nil"/>
              <w:bottom w:val="nil"/>
            </w:tcBorders>
          </w:tcPr>
          <w:p>
            <w:pPr>
              <w:pStyle w:val="TableParagraph"/>
              <w:spacing w:before="71"/>
              <w:ind w:right="67"/>
              <w:jc w:val="right"/>
              <w:rPr>
                <w:sz w:val="12"/>
              </w:rPr>
            </w:pPr>
            <w:r>
              <w:rPr>
                <w:color w:val="231F20"/>
                <w:spacing w:val="-2"/>
                <w:sz w:val="12"/>
              </w:rPr>
              <w:t>0.4998</w:t>
            </w:r>
          </w:p>
        </w:tc>
        <w:tc>
          <w:tcPr>
            <w:tcW w:w="540" w:type="dxa"/>
            <w:tcBorders>
              <w:top w:val="nil"/>
              <w:bottom w:val="nil"/>
            </w:tcBorders>
          </w:tcPr>
          <w:p>
            <w:pPr>
              <w:pStyle w:val="TableParagraph"/>
              <w:spacing w:before="71"/>
              <w:ind w:right="67"/>
              <w:jc w:val="right"/>
              <w:rPr>
                <w:sz w:val="12"/>
              </w:rPr>
            </w:pPr>
            <w:r>
              <w:rPr>
                <w:color w:val="231F20"/>
                <w:spacing w:val="-2"/>
                <w:sz w:val="12"/>
              </w:rPr>
              <w:t>0.4998</w:t>
            </w:r>
          </w:p>
        </w:tc>
        <w:tc>
          <w:tcPr>
            <w:tcW w:w="540" w:type="dxa"/>
            <w:tcBorders>
              <w:top w:val="nil"/>
              <w:bottom w:val="nil"/>
            </w:tcBorders>
          </w:tcPr>
          <w:p>
            <w:pPr>
              <w:pStyle w:val="TableParagraph"/>
              <w:spacing w:before="71"/>
              <w:ind w:right="67"/>
              <w:jc w:val="right"/>
              <w:rPr>
                <w:sz w:val="12"/>
              </w:rPr>
            </w:pPr>
            <w:r>
              <w:rPr>
                <w:color w:val="231F20"/>
                <w:spacing w:val="-2"/>
                <w:sz w:val="12"/>
              </w:rPr>
              <w:t>0.4998</w:t>
            </w:r>
          </w:p>
        </w:tc>
        <w:tc>
          <w:tcPr>
            <w:tcW w:w="540" w:type="dxa"/>
            <w:tcBorders>
              <w:top w:val="nil"/>
              <w:bottom w:val="nil"/>
            </w:tcBorders>
          </w:tcPr>
          <w:p>
            <w:pPr>
              <w:pStyle w:val="TableParagraph"/>
              <w:spacing w:before="71"/>
              <w:ind w:right="67"/>
              <w:jc w:val="right"/>
              <w:rPr>
                <w:sz w:val="12"/>
              </w:rPr>
            </w:pPr>
            <w:r>
              <w:rPr>
                <w:color w:val="231F20"/>
                <w:spacing w:val="-2"/>
                <w:sz w:val="12"/>
              </w:rPr>
              <w:t>0.4998</w:t>
            </w:r>
          </w:p>
        </w:tc>
        <w:tc>
          <w:tcPr>
            <w:tcW w:w="540" w:type="dxa"/>
            <w:tcBorders>
              <w:top w:val="nil"/>
              <w:bottom w:val="nil"/>
            </w:tcBorders>
          </w:tcPr>
          <w:p>
            <w:pPr>
              <w:pStyle w:val="TableParagraph"/>
              <w:spacing w:before="71"/>
              <w:ind w:right="67"/>
              <w:jc w:val="right"/>
              <w:rPr>
                <w:sz w:val="12"/>
              </w:rPr>
            </w:pPr>
            <w:r>
              <w:rPr>
                <w:color w:val="231F20"/>
                <w:spacing w:val="-2"/>
                <w:sz w:val="12"/>
              </w:rPr>
              <w:t>0.4998</w:t>
            </w:r>
          </w:p>
        </w:tc>
        <w:tc>
          <w:tcPr>
            <w:tcW w:w="580" w:type="dxa"/>
            <w:tcBorders>
              <w:top w:val="nil"/>
              <w:bottom w:val="nil"/>
            </w:tcBorders>
          </w:tcPr>
          <w:p>
            <w:pPr>
              <w:pStyle w:val="TableParagraph"/>
              <w:spacing w:before="71"/>
              <w:ind w:right="107"/>
              <w:jc w:val="right"/>
              <w:rPr>
                <w:sz w:val="12"/>
              </w:rPr>
            </w:pPr>
            <w:r>
              <w:rPr>
                <w:color w:val="231F20"/>
                <w:spacing w:val="-2"/>
                <w:sz w:val="12"/>
              </w:rPr>
              <w:t>0.4998</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3.6</w:t>
            </w:r>
          </w:p>
        </w:tc>
        <w:tc>
          <w:tcPr>
            <w:tcW w:w="940" w:type="dxa"/>
            <w:tcBorders>
              <w:top w:val="nil"/>
              <w:bottom w:val="nil"/>
            </w:tcBorders>
          </w:tcPr>
          <w:p>
            <w:pPr>
              <w:pStyle w:val="TableParagraph"/>
              <w:spacing w:before="24"/>
              <w:ind w:right="67"/>
              <w:jc w:val="right"/>
              <w:rPr>
                <w:sz w:val="12"/>
              </w:rPr>
            </w:pPr>
            <w:r>
              <w:rPr>
                <w:color w:val="231F20"/>
                <w:spacing w:val="-2"/>
                <w:sz w:val="12"/>
              </w:rPr>
              <w:t>0.4998409</w:t>
            </w:r>
          </w:p>
        </w:tc>
        <w:tc>
          <w:tcPr>
            <w:tcW w:w="540" w:type="dxa"/>
            <w:tcBorders>
              <w:top w:val="nil"/>
              <w:bottom w:val="nil"/>
            </w:tcBorders>
          </w:tcPr>
          <w:p>
            <w:pPr>
              <w:pStyle w:val="TableParagraph"/>
              <w:spacing w:before="24"/>
              <w:ind w:right="67"/>
              <w:jc w:val="right"/>
              <w:rPr>
                <w:sz w:val="12"/>
              </w:rPr>
            </w:pPr>
            <w:r>
              <w:rPr>
                <w:color w:val="231F20"/>
                <w:spacing w:val="-2"/>
                <w:sz w:val="12"/>
              </w:rPr>
              <w:t>0.4998</w:t>
            </w:r>
          </w:p>
        </w:tc>
        <w:tc>
          <w:tcPr>
            <w:tcW w:w="540" w:type="dxa"/>
            <w:tcBorders>
              <w:top w:val="nil"/>
              <w:bottom w:val="nil"/>
            </w:tcBorders>
          </w:tcPr>
          <w:p>
            <w:pPr>
              <w:pStyle w:val="TableParagraph"/>
              <w:spacing w:before="24"/>
              <w:ind w:right="67"/>
              <w:jc w:val="right"/>
              <w:rPr>
                <w:sz w:val="12"/>
              </w:rPr>
            </w:pPr>
            <w:r>
              <w:rPr>
                <w:color w:val="231F20"/>
                <w:spacing w:val="-2"/>
                <w:sz w:val="12"/>
              </w:rPr>
              <w:t>0.4999</w:t>
            </w:r>
          </w:p>
        </w:tc>
        <w:tc>
          <w:tcPr>
            <w:tcW w:w="540" w:type="dxa"/>
            <w:tcBorders>
              <w:top w:val="nil"/>
              <w:bottom w:val="nil"/>
            </w:tcBorders>
          </w:tcPr>
          <w:p>
            <w:pPr>
              <w:pStyle w:val="TableParagraph"/>
              <w:spacing w:before="24"/>
              <w:ind w:right="67"/>
              <w:jc w:val="right"/>
              <w:rPr>
                <w:sz w:val="12"/>
              </w:rPr>
            </w:pPr>
            <w:r>
              <w:rPr>
                <w:color w:val="231F20"/>
                <w:spacing w:val="-2"/>
                <w:sz w:val="12"/>
              </w:rPr>
              <w:t>0.4999</w:t>
            </w:r>
          </w:p>
        </w:tc>
        <w:tc>
          <w:tcPr>
            <w:tcW w:w="540" w:type="dxa"/>
            <w:tcBorders>
              <w:top w:val="nil"/>
              <w:bottom w:val="nil"/>
            </w:tcBorders>
          </w:tcPr>
          <w:p>
            <w:pPr>
              <w:pStyle w:val="TableParagraph"/>
              <w:spacing w:before="24"/>
              <w:ind w:right="67"/>
              <w:jc w:val="right"/>
              <w:rPr>
                <w:sz w:val="12"/>
              </w:rPr>
            </w:pPr>
            <w:r>
              <w:rPr>
                <w:color w:val="231F20"/>
                <w:spacing w:val="-2"/>
                <w:sz w:val="12"/>
              </w:rPr>
              <w:t>0.4999</w:t>
            </w:r>
          </w:p>
        </w:tc>
        <w:tc>
          <w:tcPr>
            <w:tcW w:w="540" w:type="dxa"/>
            <w:tcBorders>
              <w:top w:val="nil"/>
              <w:bottom w:val="nil"/>
            </w:tcBorders>
          </w:tcPr>
          <w:p>
            <w:pPr>
              <w:pStyle w:val="TableParagraph"/>
              <w:spacing w:before="24"/>
              <w:ind w:right="67"/>
              <w:jc w:val="right"/>
              <w:rPr>
                <w:sz w:val="12"/>
              </w:rPr>
            </w:pPr>
            <w:r>
              <w:rPr>
                <w:color w:val="231F20"/>
                <w:spacing w:val="-2"/>
                <w:sz w:val="12"/>
              </w:rPr>
              <w:t>0.4999</w:t>
            </w:r>
          </w:p>
        </w:tc>
        <w:tc>
          <w:tcPr>
            <w:tcW w:w="540" w:type="dxa"/>
            <w:tcBorders>
              <w:top w:val="nil"/>
              <w:bottom w:val="nil"/>
            </w:tcBorders>
          </w:tcPr>
          <w:p>
            <w:pPr>
              <w:pStyle w:val="TableParagraph"/>
              <w:spacing w:before="24"/>
              <w:ind w:right="67"/>
              <w:jc w:val="right"/>
              <w:rPr>
                <w:sz w:val="12"/>
              </w:rPr>
            </w:pPr>
            <w:r>
              <w:rPr>
                <w:color w:val="231F20"/>
                <w:spacing w:val="-2"/>
                <w:sz w:val="12"/>
              </w:rPr>
              <w:t>0.4999</w:t>
            </w:r>
          </w:p>
        </w:tc>
        <w:tc>
          <w:tcPr>
            <w:tcW w:w="540" w:type="dxa"/>
            <w:tcBorders>
              <w:top w:val="nil"/>
              <w:bottom w:val="nil"/>
            </w:tcBorders>
          </w:tcPr>
          <w:p>
            <w:pPr>
              <w:pStyle w:val="TableParagraph"/>
              <w:spacing w:before="24"/>
              <w:ind w:right="67"/>
              <w:jc w:val="right"/>
              <w:rPr>
                <w:sz w:val="12"/>
              </w:rPr>
            </w:pPr>
            <w:r>
              <w:rPr>
                <w:color w:val="231F20"/>
                <w:spacing w:val="-2"/>
                <w:sz w:val="12"/>
              </w:rPr>
              <w:t>0.4999</w:t>
            </w:r>
          </w:p>
        </w:tc>
        <w:tc>
          <w:tcPr>
            <w:tcW w:w="540" w:type="dxa"/>
            <w:tcBorders>
              <w:top w:val="nil"/>
              <w:bottom w:val="nil"/>
            </w:tcBorders>
          </w:tcPr>
          <w:p>
            <w:pPr>
              <w:pStyle w:val="TableParagraph"/>
              <w:spacing w:before="24"/>
              <w:ind w:right="67"/>
              <w:jc w:val="right"/>
              <w:rPr>
                <w:sz w:val="12"/>
              </w:rPr>
            </w:pPr>
            <w:r>
              <w:rPr>
                <w:color w:val="231F20"/>
                <w:spacing w:val="-2"/>
                <w:sz w:val="12"/>
              </w:rPr>
              <w:t>0.4999</w:t>
            </w:r>
          </w:p>
        </w:tc>
        <w:tc>
          <w:tcPr>
            <w:tcW w:w="580" w:type="dxa"/>
            <w:tcBorders>
              <w:top w:val="nil"/>
              <w:bottom w:val="nil"/>
            </w:tcBorders>
          </w:tcPr>
          <w:p>
            <w:pPr>
              <w:pStyle w:val="TableParagraph"/>
              <w:spacing w:before="24"/>
              <w:ind w:right="107"/>
              <w:jc w:val="right"/>
              <w:rPr>
                <w:sz w:val="12"/>
              </w:rPr>
            </w:pPr>
            <w:r>
              <w:rPr>
                <w:color w:val="231F20"/>
                <w:spacing w:val="-2"/>
                <w:sz w:val="12"/>
              </w:rPr>
              <w:t>0.4999</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3.7</w:t>
            </w:r>
          </w:p>
        </w:tc>
        <w:tc>
          <w:tcPr>
            <w:tcW w:w="940" w:type="dxa"/>
            <w:tcBorders>
              <w:top w:val="nil"/>
              <w:bottom w:val="nil"/>
            </w:tcBorders>
          </w:tcPr>
          <w:p>
            <w:pPr>
              <w:pStyle w:val="TableParagraph"/>
              <w:spacing w:before="24"/>
              <w:ind w:right="67"/>
              <w:jc w:val="right"/>
              <w:rPr>
                <w:sz w:val="12"/>
              </w:rPr>
            </w:pPr>
            <w:r>
              <w:rPr>
                <w:color w:val="231F20"/>
                <w:spacing w:val="-2"/>
                <w:sz w:val="12"/>
              </w:rPr>
              <w:t>0.4998922</w:t>
            </w:r>
          </w:p>
        </w:tc>
        <w:tc>
          <w:tcPr>
            <w:tcW w:w="540" w:type="dxa"/>
            <w:tcBorders>
              <w:top w:val="nil"/>
              <w:bottom w:val="nil"/>
            </w:tcBorders>
          </w:tcPr>
          <w:p>
            <w:pPr>
              <w:pStyle w:val="TableParagraph"/>
              <w:spacing w:before="24"/>
              <w:ind w:right="67"/>
              <w:jc w:val="right"/>
              <w:rPr>
                <w:sz w:val="12"/>
              </w:rPr>
            </w:pPr>
            <w:r>
              <w:rPr>
                <w:color w:val="231F20"/>
                <w:spacing w:val="-2"/>
                <w:sz w:val="12"/>
              </w:rPr>
              <w:t>0.4999</w:t>
            </w:r>
          </w:p>
        </w:tc>
        <w:tc>
          <w:tcPr>
            <w:tcW w:w="540" w:type="dxa"/>
            <w:tcBorders>
              <w:top w:val="nil"/>
              <w:bottom w:val="nil"/>
            </w:tcBorders>
          </w:tcPr>
          <w:p>
            <w:pPr>
              <w:pStyle w:val="TableParagraph"/>
              <w:spacing w:before="24"/>
              <w:ind w:right="67"/>
              <w:jc w:val="right"/>
              <w:rPr>
                <w:sz w:val="12"/>
              </w:rPr>
            </w:pPr>
            <w:r>
              <w:rPr>
                <w:color w:val="231F20"/>
                <w:spacing w:val="-2"/>
                <w:sz w:val="12"/>
              </w:rPr>
              <w:t>0.4999</w:t>
            </w:r>
          </w:p>
        </w:tc>
        <w:tc>
          <w:tcPr>
            <w:tcW w:w="540" w:type="dxa"/>
            <w:tcBorders>
              <w:top w:val="nil"/>
              <w:bottom w:val="nil"/>
            </w:tcBorders>
          </w:tcPr>
          <w:p>
            <w:pPr>
              <w:pStyle w:val="TableParagraph"/>
              <w:spacing w:before="24"/>
              <w:ind w:right="67"/>
              <w:jc w:val="right"/>
              <w:rPr>
                <w:sz w:val="12"/>
              </w:rPr>
            </w:pPr>
            <w:r>
              <w:rPr>
                <w:color w:val="231F20"/>
                <w:spacing w:val="-2"/>
                <w:sz w:val="12"/>
              </w:rPr>
              <w:t>0.4999</w:t>
            </w:r>
          </w:p>
        </w:tc>
        <w:tc>
          <w:tcPr>
            <w:tcW w:w="540" w:type="dxa"/>
            <w:tcBorders>
              <w:top w:val="nil"/>
              <w:bottom w:val="nil"/>
            </w:tcBorders>
          </w:tcPr>
          <w:p>
            <w:pPr>
              <w:pStyle w:val="TableParagraph"/>
              <w:spacing w:before="24"/>
              <w:ind w:right="67"/>
              <w:jc w:val="right"/>
              <w:rPr>
                <w:sz w:val="12"/>
              </w:rPr>
            </w:pPr>
            <w:r>
              <w:rPr>
                <w:color w:val="231F20"/>
                <w:spacing w:val="-2"/>
                <w:sz w:val="12"/>
              </w:rPr>
              <w:t>0.4999</w:t>
            </w:r>
          </w:p>
        </w:tc>
        <w:tc>
          <w:tcPr>
            <w:tcW w:w="540" w:type="dxa"/>
            <w:tcBorders>
              <w:top w:val="nil"/>
              <w:bottom w:val="nil"/>
            </w:tcBorders>
          </w:tcPr>
          <w:p>
            <w:pPr>
              <w:pStyle w:val="TableParagraph"/>
              <w:spacing w:before="24"/>
              <w:ind w:right="67"/>
              <w:jc w:val="right"/>
              <w:rPr>
                <w:sz w:val="12"/>
              </w:rPr>
            </w:pPr>
            <w:r>
              <w:rPr>
                <w:color w:val="231F20"/>
                <w:spacing w:val="-2"/>
                <w:sz w:val="12"/>
              </w:rPr>
              <w:t>0.4999</w:t>
            </w:r>
          </w:p>
        </w:tc>
        <w:tc>
          <w:tcPr>
            <w:tcW w:w="540" w:type="dxa"/>
            <w:tcBorders>
              <w:top w:val="nil"/>
              <w:bottom w:val="nil"/>
            </w:tcBorders>
          </w:tcPr>
          <w:p>
            <w:pPr>
              <w:pStyle w:val="TableParagraph"/>
              <w:spacing w:before="24"/>
              <w:ind w:right="67"/>
              <w:jc w:val="right"/>
              <w:rPr>
                <w:sz w:val="12"/>
              </w:rPr>
            </w:pPr>
            <w:r>
              <w:rPr>
                <w:color w:val="231F20"/>
                <w:spacing w:val="-2"/>
                <w:sz w:val="12"/>
              </w:rPr>
              <w:t>0.4999</w:t>
            </w:r>
          </w:p>
        </w:tc>
        <w:tc>
          <w:tcPr>
            <w:tcW w:w="540" w:type="dxa"/>
            <w:tcBorders>
              <w:top w:val="nil"/>
              <w:bottom w:val="nil"/>
            </w:tcBorders>
          </w:tcPr>
          <w:p>
            <w:pPr>
              <w:pStyle w:val="TableParagraph"/>
              <w:spacing w:before="24"/>
              <w:ind w:right="67"/>
              <w:jc w:val="right"/>
              <w:rPr>
                <w:sz w:val="12"/>
              </w:rPr>
            </w:pPr>
            <w:r>
              <w:rPr>
                <w:color w:val="231F20"/>
                <w:spacing w:val="-2"/>
                <w:sz w:val="12"/>
              </w:rPr>
              <w:t>0.4999</w:t>
            </w:r>
          </w:p>
        </w:tc>
        <w:tc>
          <w:tcPr>
            <w:tcW w:w="540" w:type="dxa"/>
            <w:tcBorders>
              <w:top w:val="nil"/>
              <w:bottom w:val="nil"/>
            </w:tcBorders>
          </w:tcPr>
          <w:p>
            <w:pPr>
              <w:pStyle w:val="TableParagraph"/>
              <w:spacing w:before="24"/>
              <w:ind w:right="67"/>
              <w:jc w:val="right"/>
              <w:rPr>
                <w:sz w:val="12"/>
              </w:rPr>
            </w:pPr>
            <w:r>
              <w:rPr>
                <w:color w:val="231F20"/>
                <w:spacing w:val="-2"/>
                <w:sz w:val="12"/>
              </w:rPr>
              <w:t>0.4999</w:t>
            </w:r>
          </w:p>
        </w:tc>
        <w:tc>
          <w:tcPr>
            <w:tcW w:w="580" w:type="dxa"/>
            <w:tcBorders>
              <w:top w:val="nil"/>
              <w:bottom w:val="nil"/>
            </w:tcBorders>
          </w:tcPr>
          <w:p>
            <w:pPr>
              <w:pStyle w:val="TableParagraph"/>
              <w:spacing w:before="24"/>
              <w:ind w:right="107"/>
              <w:jc w:val="right"/>
              <w:rPr>
                <w:sz w:val="12"/>
              </w:rPr>
            </w:pPr>
            <w:r>
              <w:rPr>
                <w:color w:val="231F20"/>
                <w:spacing w:val="-2"/>
                <w:sz w:val="12"/>
              </w:rPr>
              <w:t>0.4999</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3.8</w:t>
            </w:r>
          </w:p>
        </w:tc>
        <w:tc>
          <w:tcPr>
            <w:tcW w:w="940" w:type="dxa"/>
            <w:tcBorders>
              <w:top w:val="nil"/>
              <w:bottom w:val="nil"/>
            </w:tcBorders>
          </w:tcPr>
          <w:p>
            <w:pPr>
              <w:pStyle w:val="TableParagraph"/>
              <w:spacing w:before="24"/>
              <w:ind w:right="67"/>
              <w:jc w:val="right"/>
              <w:rPr>
                <w:sz w:val="12"/>
              </w:rPr>
            </w:pPr>
            <w:r>
              <w:rPr>
                <w:color w:val="231F20"/>
                <w:spacing w:val="-2"/>
                <w:sz w:val="12"/>
              </w:rPr>
              <w:t>0.4999277</w:t>
            </w:r>
          </w:p>
        </w:tc>
        <w:tc>
          <w:tcPr>
            <w:tcW w:w="540" w:type="dxa"/>
            <w:tcBorders>
              <w:top w:val="nil"/>
              <w:bottom w:val="nil"/>
            </w:tcBorders>
          </w:tcPr>
          <w:p>
            <w:pPr>
              <w:pStyle w:val="TableParagraph"/>
              <w:spacing w:before="24"/>
              <w:ind w:right="67"/>
              <w:jc w:val="right"/>
              <w:rPr>
                <w:sz w:val="12"/>
              </w:rPr>
            </w:pPr>
            <w:r>
              <w:rPr>
                <w:color w:val="231F20"/>
                <w:spacing w:val="-2"/>
                <w:sz w:val="12"/>
              </w:rPr>
              <w:t>0.4999</w:t>
            </w:r>
          </w:p>
        </w:tc>
        <w:tc>
          <w:tcPr>
            <w:tcW w:w="540" w:type="dxa"/>
            <w:tcBorders>
              <w:top w:val="nil"/>
              <w:bottom w:val="nil"/>
            </w:tcBorders>
          </w:tcPr>
          <w:p>
            <w:pPr>
              <w:pStyle w:val="TableParagraph"/>
              <w:spacing w:before="24"/>
              <w:ind w:right="67"/>
              <w:jc w:val="right"/>
              <w:rPr>
                <w:sz w:val="12"/>
              </w:rPr>
            </w:pPr>
            <w:r>
              <w:rPr>
                <w:color w:val="231F20"/>
                <w:spacing w:val="-2"/>
                <w:sz w:val="12"/>
              </w:rPr>
              <w:t>0.4999</w:t>
            </w:r>
          </w:p>
        </w:tc>
        <w:tc>
          <w:tcPr>
            <w:tcW w:w="540" w:type="dxa"/>
            <w:tcBorders>
              <w:top w:val="nil"/>
              <w:bottom w:val="nil"/>
            </w:tcBorders>
          </w:tcPr>
          <w:p>
            <w:pPr>
              <w:pStyle w:val="TableParagraph"/>
              <w:spacing w:before="24"/>
              <w:ind w:right="67"/>
              <w:jc w:val="right"/>
              <w:rPr>
                <w:sz w:val="12"/>
              </w:rPr>
            </w:pPr>
            <w:r>
              <w:rPr>
                <w:color w:val="231F20"/>
                <w:spacing w:val="-2"/>
                <w:sz w:val="12"/>
              </w:rPr>
              <w:t>0.4999</w:t>
            </w:r>
          </w:p>
        </w:tc>
        <w:tc>
          <w:tcPr>
            <w:tcW w:w="540" w:type="dxa"/>
            <w:tcBorders>
              <w:top w:val="nil"/>
              <w:bottom w:val="nil"/>
            </w:tcBorders>
          </w:tcPr>
          <w:p>
            <w:pPr>
              <w:pStyle w:val="TableParagraph"/>
              <w:spacing w:before="24"/>
              <w:ind w:right="67"/>
              <w:jc w:val="right"/>
              <w:rPr>
                <w:sz w:val="12"/>
              </w:rPr>
            </w:pPr>
            <w:r>
              <w:rPr>
                <w:color w:val="231F20"/>
                <w:spacing w:val="-2"/>
                <w:sz w:val="12"/>
              </w:rPr>
              <w:t>0.4999</w:t>
            </w:r>
          </w:p>
        </w:tc>
        <w:tc>
          <w:tcPr>
            <w:tcW w:w="540" w:type="dxa"/>
            <w:tcBorders>
              <w:top w:val="nil"/>
              <w:bottom w:val="nil"/>
            </w:tcBorders>
          </w:tcPr>
          <w:p>
            <w:pPr>
              <w:pStyle w:val="TableParagraph"/>
              <w:spacing w:before="24"/>
              <w:ind w:right="67"/>
              <w:jc w:val="right"/>
              <w:rPr>
                <w:sz w:val="12"/>
              </w:rPr>
            </w:pPr>
            <w:r>
              <w:rPr>
                <w:color w:val="231F20"/>
                <w:spacing w:val="-2"/>
                <w:sz w:val="12"/>
              </w:rPr>
              <w:t>0.4999</w:t>
            </w:r>
          </w:p>
        </w:tc>
        <w:tc>
          <w:tcPr>
            <w:tcW w:w="540" w:type="dxa"/>
            <w:tcBorders>
              <w:top w:val="nil"/>
              <w:bottom w:val="nil"/>
            </w:tcBorders>
          </w:tcPr>
          <w:p>
            <w:pPr>
              <w:pStyle w:val="TableParagraph"/>
              <w:spacing w:before="24"/>
              <w:ind w:right="67"/>
              <w:jc w:val="right"/>
              <w:rPr>
                <w:sz w:val="12"/>
              </w:rPr>
            </w:pPr>
            <w:r>
              <w:rPr>
                <w:color w:val="231F20"/>
                <w:spacing w:val="-2"/>
                <w:sz w:val="12"/>
              </w:rPr>
              <w:t>0.4999</w:t>
            </w:r>
          </w:p>
        </w:tc>
        <w:tc>
          <w:tcPr>
            <w:tcW w:w="540" w:type="dxa"/>
            <w:tcBorders>
              <w:top w:val="nil"/>
              <w:bottom w:val="nil"/>
            </w:tcBorders>
          </w:tcPr>
          <w:p>
            <w:pPr>
              <w:pStyle w:val="TableParagraph"/>
              <w:spacing w:before="24"/>
              <w:ind w:right="67"/>
              <w:jc w:val="right"/>
              <w:rPr>
                <w:sz w:val="12"/>
              </w:rPr>
            </w:pPr>
            <w:r>
              <w:rPr>
                <w:color w:val="231F20"/>
                <w:spacing w:val="-5"/>
                <w:w w:val="105"/>
                <w:sz w:val="12"/>
              </w:rPr>
              <w:t>0.5</w:t>
            </w:r>
          </w:p>
        </w:tc>
        <w:tc>
          <w:tcPr>
            <w:tcW w:w="540" w:type="dxa"/>
            <w:tcBorders>
              <w:top w:val="nil"/>
              <w:bottom w:val="nil"/>
            </w:tcBorders>
          </w:tcPr>
          <w:p>
            <w:pPr>
              <w:pStyle w:val="TableParagraph"/>
              <w:spacing w:before="24"/>
              <w:ind w:right="67"/>
              <w:jc w:val="right"/>
              <w:rPr>
                <w:sz w:val="12"/>
              </w:rPr>
            </w:pPr>
            <w:r>
              <w:rPr>
                <w:color w:val="231F20"/>
                <w:spacing w:val="-5"/>
                <w:w w:val="105"/>
                <w:sz w:val="12"/>
              </w:rPr>
              <w:t>0.5</w:t>
            </w:r>
          </w:p>
        </w:tc>
        <w:tc>
          <w:tcPr>
            <w:tcW w:w="580" w:type="dxa"/>
            <w:tcBorders>
              <w:top w:val="nil"/>
              <w:bottom w:val="nil"/>
            </w:tcBorders>
          </w:tcPr>
          <w:p>
            <w:pPr>
              <w:pStyle w:val="TableParagraph"/>
              <w:spacing w:before="24"/>
              <w:ind w:right="107"/>
              <w:jc w:val="right"/>
              <w:rPr>
                <w:sz w:val="12"/>
              </w:rPr>
            </w:pPr>
            <w:r>
              <w:rPr>
                <w:color w:val="231F20"/>
                <w:spacing w:val="-5"/>
                <w:w w:val="105"/>
                <w:sz w:val="12"/>
              </w:rPr>
              <w:t>0.5</w:t>
            </w:r>
          </w:p>
        </w:tc>
      </w:tr>
      <w:tr>
        <w:trPr>
          <w:trHeight w:val="237"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3.9</w:t>
            </w:r>
          </w:p>
        </w:tc>
        <w:tc>
          <w:tcPr>
            <w:tcW w:w="940" w:type="dxa"/>
            <w:tcBorders>
              <w:top w:val="nil"/>
              <w:bottom w:val="nil"/>
            </w:tcBorders>
          </w:tcPr>
          <w:p>
            <w:pPr>
              <w:pStyle w:val="TableParagraph"/>
              <w:spacing w:before="24"/>
              <w:ind w:right="67"/>
              <w:jc w:val="right"/>
              <w:rPr>
                <w:sz w:val="12"/>
              </w:rPr>
            </w:pPr>
            <w:r>
              <w:rPr>
                <w:color w:val="231F20"/>
                <w:spacing w:val="-2"/>
                <w:sz w:val="12"/>
              </w:rPr>
              <w:t>0.4999519</w:t>
            </w:r>
          </w:p>
        </w:tc>
        <w:tc>
          <w:tcPr>
            <w:tcW w:w="540" w:type="dxa"/>
            <w:tcBorders>
              <w:top w:val="nil"/>
              <w:bottom w:val="nil"/>
            </w:tcBorders>
          </w:tcPr>
          <w:p>
            <w:pPr>
              <w:pStyle w:val="TableParagraph"/>
              <w:spacing w:before="24"/>
              <w:ind w:right="67"/>
              <w:jc w:val="right"/>
              <w:rPr>
                <w:sz w:val="12"/>
              </w:rPr>
            </w:pPr>
            <w:r>
              <w:rPr>
                <w:color w:val="231F20"/>
                <w:spacing w:val="-5"/>
                <w:w w:val="105"/>
                <w:sz w:val="12"/>
              </w:rPr>
              <w:t>0.5</w:t>
            </w:r>
          </w:p>
        </w:tc>
        <w:tc>
          <w:tcPr>
            <w:tcW w:w="540" w:type="dxa"/>
            <w:tcBorders>
              <w:top w:val="nil"/>
              <w:bottom w:val="nil"/>
            </w:tcBorders>
          </w:tcPr>
          <w:p>
            <w:pPr>
              <w:pStyle w:val="TableParagraph"/>
              <w:spacing w:before="24"/>
              <w:ind w:right="67"/>
              <w:jc w:val="right"/>
              <w:rPr>
                <w:sz w:val="12"/>
              </w:rPr>
            </w:pPr>
            <w:r>
              <w:rPr>
                <w:color w:val="231F20"/>
                <w:spacing w:val="-5"/>
                <w:w w:val="105"/>
                <w:sz w:val="12"/>
              </w:rPr>
              <w:t>0.5</w:t>
            </w:r>
          </w:p>
        </w:tc>
        <w:tc>
          <w:tcPr>
            <w:tcW w:w="540" w:type="dxa"/>
            <w:tcBorders>
              <w:top w:val="nil"/>
              <w:bottom w:val="nil"/>
            </w:tcBorders>
          </w:tcPr>
          <w:p>
            <w:pPr>
              <w:pStyle w:val="TableParagraph"/>
              <w:spacing w:before="24"/>
              <w:ind w:right="67"/>
              <w:jc w:val="right"/>
              <w:rPr>
                <w:sz w:val="12"/>
              </w:rPr>
            </w:pPr>
            <w:r>
              <w:rPr>
                <w:color w:val="231F20"/>
                <w:spacing w:val="-5"/>
                <w:w w:val="105"/>
                <w:sz w:val="12"/>
              </w:rPr>
              <w:t>0.5</w:t>
            </w:r>
          </w:p>
        </w:tc>
        <w:tc>
          <w:tcPr>
            <w:tcW w:w="540" w:type="dxa"/>
            <w:tcBorders>
              <w:top w:val="nil"/>
              <w:bottom w:val="nil"/>
            </w:tcBorders>
          </w:tcPr>
          <w:p>
            <w:pPr>
              <w:pStyle w:val="TableParagraph"/>
              <w:spacing w:before="24"/>
              <w:ind w:right="67"/>
              <w:jc w:val="right"/>
              <w:rPr>
                <w:sz w:val="12"/>
              </w:rPr>
            </w:pPr>
            <w:r>
              <w:rPr>
                <w:color w:val="231F20"/>
                <w:spacing w:val="-5"/>
                <w:w w:val="105"/>
                <w:sz w:val="12"/>
              </w:rPr>
              <w:t>0.5</w:t>
            </w:r>
          </w:p>
        </w:tc>
        <w:tc>
          <w:tcPr>
            <w:tcW w:w="540" w:type="dxa"/>
            <w:tcBorders>
              <w:top w:val="nil"/>
              <w:bottom w:val="nil"/>
            </w:tcBorders>
          </w:tcPr>
          <w:p>
            <w:pPr>
              <w:pStyle w:val="TableParagraph"/>
              <w:spacing w:before="24"/>
              <w:ind w:right="67"/>
              <w:jc w:val="right"/>
              <w:rPr>
                <w:sz w:val="12"/>
              </w:rPr>
            </w:pPr>
            <w:r>
              <w:rPr>
                <w:color w:val="231F20"/>
                <w:spacing w:val="-5"/>
                <w:w w:val="105"/>
                <w:sz w:val="12"/>
              </w:rPr>
              <w:t>0.5</w:t>
            </w:r>
          </w:p>
        </w:tc>
        <w:tc>
          <w:tcPr>
            <w:tcW w:w="540" w:type="dxa"/>
            <w:tcBorders>
              <w:top w:val="nil"/>
              <w:bottom w:val="nil"/>
            </w:tcBorders>
          </w:tcPr>
          <w:p>
            <w:pPr>
              <w:pStyle w:val="TableParagraph"/>
              <w:spacing w:before="24"/>
              <w:ind w:right="67"/>
              <w:jc w:val="right"/>
              <w:rPr>
                <w:sz w:val="12"/>
              </w:rPr>
            </w:pPr>
            <w:r>
              <w:rPr>
                <w:color w:val="231F20"/>
                <w:spacing w:val="-5"/>
                <w:w w:val="105"/>
                <w:sz w:val="12"/>
              </w:rPr>
              <w:t>0.5</w:t>
            </w:r>
          </w:p>
        </w:tc>
        <w:tc>
          <w:tcPr>
            <w:tcW w:w="540" w:type="dxa"/>
            <w:tcBorders>
              <w:top w:val="nil"/>
              <w:bottom w:val="nil"/>
            </w:tcBorders>
          </w:tcPr>
          <w:p>
            <w:pPr>
              <w:pStyle w:val="TableParagraph"/>
              <w:spacing w:before="24"/>
              <w:ind w:right="67"/>
              <w:jc w:val="right"/>
              <w:rPr>
                <w:sz w:val="12"/>
              </w:rPr>
            </w:pPr>
            <w:r>
              <w:rPr>
                <w:color w:val="231F20"/>
                <w:spacing w:val="-5"/>
                <w:w w:val="105"/>
                <w:sz w:val="12"/>
              </w:rPr>
              <w:t>0.5</w:t>
            </w:r>
          </w:p>
        </w:tc>
        <w:tc>
          <w:tcPr>
            <w:tcW w:w="540" w:type="dxa"/>
            <w:tcBorders>
              <w:top w:val="nil"/>
              <w:bottom w:val="nil"/>
            </w:tcBorders>
          </w:tcPr>
          <w:p>
            <w:pPr>
              <w:pStyle w:val="TableParagraph"/>
              <w:spacing w:before="24"/>
              <w:ind w:right="67"/>
              <w:jc w:val="right"/>
              <w:rPr>
                <w:sz w:val="12"/>
              </w:rPr>
            </w:pPr>
            <w:r>
              <w:rPr>
                <w:color w:val="231F20"/>
                <w:spacing w:val="-5"/>
                <w:w w:val="105"/>
                <w:sz w:val="12"/>
              </w:rPr>
              <w:t>0.5</w:t>
            </w:r>
          </w:p>
        </w:tc>
        <w:tc>
          <w:tcPr>
            <w:tcW w:w="580" w:type="dxa"/>
            <w:tcBorders>
              <w:top w:val="nil"/>
              <w:bottom w:val="nil"/>
            </w:tcBorders>
          </w:tcPr>
          <w:p>
            <w:pPr>
              <w:pStyle w:val="TableParagraph"/>
              <w:spacing w:before="24"/>
              <w:ind w:right="107"/>
              <w:jc w:val="right"/>
              <w:rPr>
                <w:sz w:val="12"/>
              </w:rPr>
            </w:pPr>
            <w:r>
              <w:rPr>
                <w:color w:val="231F20"/>
                <w:spacing w:val="-5"/>
                <w:w w:val="105"/>
                <w:sz w:val="12"/>
              </w:rPr>
              <w:t>0.5</w:t>
            </w:r>
          </w:p>
        </w:tc>
      </w:tr>
      <w:tr>
        <w:trPr>
          <w:trHeight w:val="237" w:hRule="atLeast"/>
        </w:trPr>
        <w:tc>
          <w:tcPr>
            <w:tcW w:w="370" w:type="dxa"/>
            <w:tcBorders>
              <w:top w:val="nil"/>
              <w:bottom w:val="nil"/>
            </w:tcBorders>
          </w:tcPr>
          <w:p>
            <w:pPr>
              <w:pStyle w:val="TableParagraph"/>
              <w:spacing w:before="71"/>
              <w:ind w:left="107" w:right="61"/>
              <w:rPr>
                <w:sz w:val="12"/>
              </w:rPr>
            </w:pPr>
            <w:r>
              <w:rPr>
                <w:color w:val="231F20"/>
                <w:spacing w:val="-5"/>
                <w:w w:val="105"/>
                <w:sz w:val="12"/>
              </w:rPr>
              <w:t>4.0</w:t>
            </w:r>
          </w:p>
        </w:tc>
        <w:tc>
          <w:tcPr>
            <w:tcW w:w="940" w:type="dxa"/>
            <w:tcBorders>
              <w:top w:val="nil"/>
              <w:bottom w:val="nil"/>
            </w:tcBorders>
          </w:tcPr>
          <w:p>
            <w:pPr>
              <w:pStyle w:val="TableParagraph"/>
              <w:spacing w:before="71"/>
              <w:ind w:right="67"/>
              <w:jc w:val="right"/>
              <w:rPr>
                <w:sz w:val="12"/>
              </w:rPr>
            </w:pPr>
            <w:r>
              <w:rPr>
                <w:color w:val="231F20"/>
                <w:spacing w:val="-2"/>
                <w:sz w:val="12"/>
              </w:rPr>
              <w:t>0.4999683</w:t>
            </w:r>
          </w:p>
        </w:tc>
        <w:tc>
          <w:tcPr>
            <w:tcW w:w="540" w:type="dxa"/>
            <w:tcBorders>
              <w:top w:val="nil"/>
              <w:bottom w:val="nil"/>
            </w:tcBorders>
          </w:tcPr>
          <w:p>
            <w:pPr>
              <w:pStyle w:val="TableParagraph"/>
              <w:spacing w:before="71"/>
              <w:ind w:right="67"/>
              <w:jc w:val="right"/>
              <w:rPr>
                <w:sz w:val="12"/>
              </w:rPr>
            </w:pPr>
            <w:r>
              <w:rPr>
                <w:color w:val="231F20"/>
                <w:spacing w:val="-5"/>
                <w:w w:val="105"/>
                <w:sz w:val="12"/>
              </w:rPr>
              <w:t>0.5</w:t>
            </w:r>
          </w:p>
        </w:tc>
        <w:tc>
          <w:tcPr>
            <w:tcW w:w="540" w:type="dxa"/>
            <w:tcBorders>
              <w:top w:val="nil"/>
              <w:bottom w:val="nil"/>
            </w:tcBorders>
          </w:tcPr>
          <w:p>
            <w:pPr>
              <w:pStyle w:val="TableParagraph"/>
              <w:spacing w:before="71"/>
              <w:ind w:right="67"/>
              <w:jc w:val="right"/>
              <w:rPr>
                <w:sz w:val="12"/>
              </w:rPr>
            </w:pPr>
            <w:r>
              <w:rPr>
                <w:color w:val="231F20"/>
                <w:spacing w:val="-5"/>
                <w:w w:val="105"/>
                <w:sz w:val="12"/>
              </w:rPr>
              <w:t>0.5</w:t>
            </w:r>
          </w:p>
        </w:tc>
        <w:tc>
          <w:tcPr>
            <w:tcW w:w="540" w:type="dxa"/>
            <w:tcBorders>
              <w:top w:val="nil"/>
              <w:bottom w:val="nil"/>
            </w:tcBorders>
          </w:tcPr>
          <w:p>
            <w:pPr>
              <w:pStyle w:val="TableParagraph"/>
              <w:spacing w:before="71"/>
              <w:ind w:right="67"/>
              <w:jc w:val="right"/>
              <w:rPr>
                <w:sz w:val="12"/>
              </w:rPr>
            </w:pPr>
            <w:r>
              <w:rPr>
                <w:color w:val="231F20"/>
                <w:spacing w:val="-5"/>
                <w:w w:val="105"/>
                <w:sz w:val="12"/>
              </w:rPr>
              <w:t>0.5</w:t>
            </w:r>
          </w:p>
        </w:tc>
        <w:tc>
          <w:tcPr>
            <w:tcW w:w="540" w:type="dxa"/>
            <w:tcBorders>
              <w:top w:val="nil"/>
              <w:bottom w:val="nil"/>
            </w:tcBorders>
          </w:tcPr>
          <w:p>
            <w:pPr>
              <w:pStyle w:val="TableParagraph"/>
              <w:spacing w:before="71"/>
              <w:ind w:right="67"/>
              <w:jc w:val="right"/>
              <w:rPr>
                <w:sz w:val="12"/>
              </w:rPr>
            </w:pPr>
            <w:r>
              <w:rPr>
                <w:color w:val="231F20"/>
                <w:spacing w:val="-5"/>
                <w:w w:val="105"/>
                <w:sz w:val="12"/>
              </w:rPr>
              <w:t>0.5</w:t>
            </w:r>
          </w:p>
        </w:tc>
        <w:tc>
          <w:tcPr>
            <w:tcW w:w="540" w:type="dxa"/>
            <w:tcBorders>
              <w:top w:val="nil"/>
              <w:bottom w:val="nil"/>
            </w:tcBorders>
          </w:tcPr>
          <w:p>
            <w:pPr>
              <w:pStyle w:val="TableParagraph"/>
              <w:spacing w:before="71"/>
              <w:ind w:right="67"/>
              <w:jc w:val="right"/>
              <w:rPr>
                <w:sz w:val="12"/>
              </w:rPr>
            </w:pPr>
            <w:r>
              <w:rPr>
                <w:color w:val="231F20"/>
                <w:spacing w:val="-5"/>
                <w:w w:val="105"/>
                <w:sz w:val="12"/>
              </w:rPr>
              <w:t>0.5</w:t>
            </w:r>
          </w:p>
        </w:tc>
        <w:tc>
          <w:tcPr>
            <w:tcW w:w="540" w:type="dxa"/>
            <w:tcBorders>
              <w:top w:val="nil"/>
              <w:bottom w:val="nil"/>
            </w:tcBorders>
          </w:tcPr>
          <w:p>
            <w:pPr>
              <w:pStyle w:val="TableParagraph"/>
              <w:spacing w:before="71"/>
              <w:ind w:right="67"/>
              <w:jc w:val="right"/>
              <w:rPr>
                <w:sz w:val="12"/>
              </w:rPr>
            </w:pPr>
            <w:r>
              <w:rPr>
                <w:color w:val="231F20"/>
                <w:spacing w:val="-5"/>
                <w:w w:val="105"/>
                <w:sz w:val="12"/>
              </w:rPr>
              <w:t>0.5</w:t>
            </w:r>
          </w:p>
        </w:tc>
        <w:tc>
          <w:tcPr>
            <w:tcW w:w="540" w:type="dxa"/>
            <w:tcBorders>
              <w:top w:val="nil"/>
              <w:bottom w:val="nil"/>
            </w:tcBorders>
          </w:tcPr>
          <w:p>
            <w:pPr>
              <w:pStyle w:val="TableParagraph"/>
              <w:spacing w:before="71"/>
              <w:ind w:right="67"/>
              <w:jc w:val="right"/>
              <w:rPr>
                <w:sz w:val="12"/>
              </w:rPr>
            </w:pPr>
            <w:r>
              <w:rPr>
                <w:color w:val="231F20"/>
                <w:spacing w:val="-5"/>
                <w:w w:val="105"/>
                <w:sz w:val="12"/>
              </w:rPr>
              <w:t>0.5</w:t>
            </w:r>
          </w:p>
        </w:tc>
        <w:tc>
          <w:tcPr>
            <w:tcW w:w="540" w:type="dxa"/>
            <w:tcBorders>
              <w:top w:val="nil"/>
              <w:bottom w:val="nil"/>
            </w:tcBorders>
          </w:tcPr>
          <w:p>
            <w:pPr>
              <w:pStyle w:val="TableParagraph"/>
              <w:spacing w:before="71"/>
              <w:ind w:right="67"/>
              <w:jc w:val="right"/>
              <w:rPr>
                <w:sz w:val="12"/>
              </w:rPr>
            </w:pPr>
            <w:r>
              <w:rPr>
                <w:color w:val="231F20"/>
                <w:spacing w:val="-5"/>
                <w:w w:val="105"/>
                <w:sz w:val="12"/>
              </w:rPr>
              <w:t>0.5</w:t>
            </w:r>
          </w:p>
        </w:tc>
        <w:tc>
          <w:tcPr>
            <w:tcW w:w="580" w:type="dxa"/>
            <w:tcBorders>
              <w:top w:val="nil"/>
              <w:bottom w:val="nil"/>
            </w:tcBorders>
          </w:tcPr>
          <w:p>
            <w:pPr>
              <w:pStyle w:val="TableParagraph"/>
              <w:spacing w:before="71"/>
              <w:ind w:right="107"/>
              <w:jc w:val="right"/>
              <w:rPr>
                <w:sz w:val="12"/>
              </w:rPr>
            </w:pPr>
            <w:r>
              <w:rPr>
                <w:color w:val="231F20"/>
                <w:spacing w:val="-5"/>
                <w:w w:val="105"/>
                <w:sz w:val="12"/>
              </w:rPr>
              <w:t>0.5</w:t>
            </w:r>
          </w:p>
        </w:tc>
      </w:tr>
      <w:tr>
        <w:trPr>
          <w:trHeight w:val="189" w:hRule="atLeast"/>
        </w:trPr>
        <w:tc>
          <w:tcPr>
            <w:tcW w:w="370" w:type="dxa"/>
            <w:tcBorders>
              <w:top w:val="nil"/>
              <w:bottom w:val="nil"/>
            </w:tcBorders>
          </w:tcPr>
          <w:p>
            <w:pPr>
              <w:pStyle w:val="TableParagraph"/>
              <w:spacing w:before="24"/>
              <w:ind w:left="107" w:right="61"/>
              <w:rPr>
                <w:sz w:val="12"/>
              </w:rPr>
            </w:pPr>
            <w:r>
              <w:rPr>
                <w:color w:val="231F20"/>
                <w:spacing w:val="-5"/>
                <w:w w:val="105"/>
                <w:sz w:val="12"/>
              </w:rPr>
              <w:t>4.5</w:t>
            </w:r>
          </w:p>
        </w:tc>
        <w:tc>
          <w:tcPr>
            <w:tcW w:w="940" w:type="dxa"/>
            <w:tcBorders>
              <w:top w:val="nil"/>
              <w:bottom w:val="nil"/>
            </w:tcBorders>
          </w:tcPr>
          <w:p>
            <w:pPr>
              <w:pStyle w:val="TableParagraph"/>
              <w:spacing w:before="24"/>
              <w:ind w:right="67"/>
              <w:jc w:val="right"/>
              <w:rPr>
                <w:sz w:val="12"/>
              </w:rPr>
            </w:pPr>
            <w:r>
              <w:rPr>
                <w:color w:val="231F20"/>
                <w:spacing w:val="-2"/>
                <w:sz w:val="12"/>
              </w:rPr>
              <w:t>0.4999966</w:t>
            </w:r>
          </w:p>
        </w:tc>
        <w:tc>
          <w:tcPr>
            <w:tcW w:w="540" w:type="dxa"/>
            <w:tcBorders>
              <w:top w:val="nil"/>
              <w:bottom w:val="nil"/>
            </w:tcBorders>
          </w:tcPr>
          <w:p>
            <w:pPr>
              <w:pStyle w:val="TableParagraph"/>
              <w:spacing w:before="24"/>
              <w:ind w:right="67"/>
              <w:jc w:val="right"/>
              <w:rPr>
                <w:sz w:val="12"/>
              </w:rPr>
            </w:pPr>
            <w:r>
              <w:rPr>
                <w:color w:val="231F20"/>
                <w:spacing w:val="-5"/>
                <w:w w:val="105"/>
                <w:sz w:val="12"/>
              </w:rPr>
              <w:t>0.5</w:t>
            </w:r>
          </w:p>
        </w:tc>
        <w:tc>
          <w:tcPr>
            <w:tcW w:w="540" w:type="dxa"/>
            <w:tcBorders>
              <w:top w:val="nil"/>
              <w:bottom w:val="nil"/>
            </w:tcBorders>
          </w:tcPr>
          <w:p>
            <w:pPr>
              <w:pStyle w:val="TableParagraph"/>
              <w:spacing w:before="24"/>
              <w:ind w:right="67"/>
              <w:jc w:val="right"/>
              <w:rPr>
                <w:sz w:val="12"/>
              </w:rPr>
            </w:pPr>
            <w:r>
              <w:rPr>
                <w:color w:val="231F20"/>
                <w:spacing w:val="-5"/>
                <w:w w:val="105"/>
                <w:sz w:val="12"/>
              </w:rPr>
              <w:t>0.5</w:t>
            </w:r>
          </w:p>
        </w:tc>
        <w:tc>
          <w:tcPr>
            <w:tcW w:w="540" w:type="dxa"/>
            <w:tcBorders>
              <w:top w:val="nil"/>
              <w:bottom w:val="nil"/>
            </w:tcBorders>
          </w:tcPr>
          <w:p>
            <w:pPr>
              <w:pStyle w:val="TableParagraph"/>
              <w:spacing w:before="24"/>
              <w:ind w:right="67"/>
              <w:jc w:val="right"/>
              <w:rPr>
                <w:sz w:val="12"/>
              </w:rPr>
            </w:pPr>
            <w:r>
              <w:rPr>
                <w:color w:val="231F20"/>
                <w:spacing w:val="-5"/>
                <w:w w:val="105"/>
                <w:sz w:val="12"/>
              </w:rPr>
              <w:t>0.5</w:t>
            </w:r>
          </w:p>
        </w:tc>
        <w:tc>
          <w:tcPr>
            <w:tcW w:w="540" w:type="dxa"/>
            <w:tcBorders>
              <w:top w:val="nil"/>
              <w:bottom w:val="nil"/>
            </w:tcBorders>
          </w:tcPr>
          <w:p>
            <w:pPr>
              <w:pStyle w:val="TableParagraph"/>
              <w:spacing w:before="24"/>
              <w:ind w:right="67"/>
              <w:jc w:val="right"/>
              <w:rPr>
                <w:sz w:val="12"/>
              </w:rPr>
            </w:pPr>
            <w:r>
              <w:rPr>
                <w:color w:val="231F20"/>
                <w:spacing w:val="-5"/>
                <w:w w:val="105"/>
                <w:sz w:val="12"/>
              </w:rPr>
              <w:t>0.5</w:t>
            </w:r>
          </w:p>
        </w:tc>
        <w:tc>
          <w:tcPr>
            <w:tcW w:w="540" w:type="dxa"/>
            <w:tcBorders>
              <w:top w:val="nil"/>
              <w:bottom w:val="nil"/>
            </w:tcBorders>
          </w:tcPr>
          <w:p>
            <w:pPr>
              <w:pStyle w:val="TableParagraph"/>
              <w:spacing w:before="24"/>
              <w:ind w:right="67"/>
              <w:jc w:val="right"/>
              <w:rPr>
                <w:sz w:val="12"/>
              </w:rPr>
            </w:pPr>
            <w:r>
              <w:rPr>
                <w:color w:val="231F20"/>
                <w:spacing w:val="-5"/>
                <w:w w:val="105"/>
                <w:sz w:val="12"/>
              </w:rPr>
              <w:t>0.5</w:t>
            </w:r>
          </w:p>
        </w:tc>
        <w:tc>
          <w:tcPr>
            <w:tcW w:w="540" w:type="dxa"/>
            <w:tcBorders>
              <w:top w:val="nil"/>
              <w:bottom w:val="nil"/>
            </w:tcBorders>
          </w:tcPr>
          <w:p>
            <w:pPr>
              <w:pStyle w:val="TableParagraph"/>
              <w:spacing w:before="24"/>
              <w:ind w:right="67"/>
              <w:jc w:val="right"/>
              <w:rPr>
                <w:sz w:val="12"/>
              </w:rPr>
            </w:pPr>
            <w:r>
              <w:rPr>
                <w:color w:val="231F20"/>
                <w:spacing w:val="-5"/>
                <w:w w:val="105"/>
                <w:sz w:val="12"/>
              </w:rPr>
              <w:t>0.5</w:t>
            </w:r>
          </w:p>
        </w:tc>
        <w:tc>
          <w:tcPr>
            <w:tcW w:w="540" w:type="dxa"/>
            <w:tcBorders>
              <w:top w:val="nil"/>
              <w:bottom w:val="nil"/>
            </w:tcBorders>
          </w:tcPr>
          <w:p>
            <w:pPr>
              <w:pStyle w:val="TableParagraph"/>
              <w:spacing w:before="24"/>
              <w:ind w:right="67"/>
              <w:jc w:val="right"/>
              <w:rPr>
                <w:sz w:val="12"/>
              </w:rPr>
            </w:pPr>
            <w:r>
              <w:rPr>
                <w:color w:val="231F20"/>
                <w:spacing w:val="-5"/>
                <w:w w:val="105"/>
                <w:sz w:val="12"/>
              </w:rPr>
              <w:t>0.5</w:t>
            </w:r>
          </w:p>
        </w:tc>
        <w:tc>
          <w:tcPr>
            <w:tcW w:w="540" w:type="dxa"/>
            <w:tcBorders>
              <w:top w:val="nil"/>
              <w:bottom w:val="nil"/>
            </w:tcBorders>
          </w:tcPr>
          <w:p>
            <w:pPr>
              <w:pStyle w:val="TableParagraph"/>
              <w:spacing w:before="24"/>
              <w:ind w:right="67"/>
              <w:jc w:val="right"/>
              <w:rPr>
                <w:sz w:val="12"/>
              </w:rPr>
            </w:pPr>
            <w:r>
              <w:rPr>
                <w:color w:val="231F20"/>
                <w:spacing w:val="-5"/>
                <w:w w:val="105"/>
                <w:sz w:val="12"/>
              </w:rPr>
              <w:t>0.5</w:t>
            </w:r>
          </w:p>
        </w:tc>
        <w:tc>
          <w:tcPr>
            <w:tcW w:w="580" w:type="dxa"/>
            <w:tcBorders>
              <w:top w:val="nil"/>
              <w:bottom w:val="nil"/>
            </w:tcBorders>
          </w:tcPr>
          <w:p>
            <w:pPr>
              <w:pStyle w:val="TableParagraph"/>
              <w:spacing w:before="24"/>
              <w:ind w:right="107"/>
              <w:jc w:val="right"/>
              <w:rPr>
                <w:sz w:val="12"/>
              </w:rPr>
            </w:pPr>
            <w:r>
              <w:rPr>
                <w:color w:val="231F20"/>
                <w:spacing w:val="-5"/>
                <w:w w:val="105"/>
                <w:sz w:val="12"/>
              </w:rPr>
              <w:t>0.5</w:t>
            </w:r>
          </w:p>
        </w:tc>
      </w:tr>
      <w:tr>
        <w:trPr>
          <w:trHeight w:val="210" w:hRule="atLeast"/>
        </w:trPr>
        <w:tc>
          <w:tcPr>
            <w:tcW w:w="370" w:type="dxa"/>
            <w:tcBorders>
              <w:top w:val="nil"/>
            </w:tcBorders>
          </w:tcPr>
          <w:p>
            <w:pPr>
              <w:pStyle w:val="TableParagraph"/>
              <w:spacing w:before="24"/>
              <w:ind w:left="107" w:right="61"/>
              <w:rPr>
                <w:sz w:val="12"/>
              </w:rPr>
            </w:pPr>
            <w:r>
              <w:rPr>
                <w:color w:val="231F20"/>
                <w:spacing w:val="-5"/>
                <w:w w:val="105"/>
                <w:sz w:val="12"/>
              </w:rPr>
              <w:t>5.0</w:t>
            </w:r>
          </w:p>
        </w:tc>
        <w:tc>
          <w:tcPr>
            <w:tcW w:w="940" w:type="dxa"/>
            <w:tcBorders>
              <w:top w:val="nil"/>
            </w:tcBorders>
          </w:tcPr>
          <w:p>
            <w:pPr>
              <w:pStyle w:val="TableParagraph"/>
              <w:spacing w:before="24"/>
              <w:ind w:right="67"/>
              <w:jc w:val="right"/>
              <w:rPr>
                <w:sz w:val="12"/>
              </w:rPr>
            </w:pPr>
            <w:r>
              <w:rPr>
                <w:color w:val="231F20"/>
                <w:spacing w:val="-2"/>
                <w:sz w:val="12"/>
              </w:rPr>
              <w:t>0.4999997133</w:t>
            </w:r>
          </w:p>
        </w:tc>
        <w:tc>
          <w:tcPr>
            <w:tcW w:w="540" w:type="dxa"/>
            <w:tcBorders>
              <w:top w:val="nil"/>
            </w:tcBorders>
          </w:tcPr>
          <w:p>
            <w:pPr>
              <w:pStyle w:val="TableParagraph"/>
              <w:spacing w:before="24"/>
              <w:ind w:right="67"/>
              <w:jc w:val="right"/>
              <w:rPr>
                <w:sz w:val="12"/>
              </w:rPr>
            </w:pPr>
            <w:r>
              <w:rPr>
                <w:color w:val="231F20"/>
                <w:spacing w:val="-5"/>
                <w:w w:val="105"/>
                <w:sz w:val="12"/>
              </w:rPr>
              <w:t>0.5</w:t>
            </w:r>
          </w:p>
        </w:tc>
        <w:tc>
          <w:tcPr>
            <w:tcW w:w="540" w:type="dxa"/>
            <w:tcBorders>
              <w:top w:val="nil"/>
            </w:tcBorders>
          </w:tcPr>
          <w:p>
            <w:pPr>
              <w:pStyle w:val="TableParagraph"/>
              <w:spacing w:before="24"/>
              <w:ind w:right="67"/>
              <w:jc w:val="right"/>
              <w:rPr>
                <w:sz w:val="12"/>
              </w:rPr>
            </w:pPr>
            <w:r>
              <w:rPr>
                <w:color w:val="231F20"/>
                <w:spacing w:val="-5"/>
                <w:w w:val="105"/>
                <w:sz w:val="12"/>
              </w:rPr>
              <w:t>0.5</w:t>
            </w:r>
          </w:p>
        </w:tc>
        <w:tc>
          <w:tcPr>
            <w:tcW w:w="540" w:type="dxa"/>
            <w:tcBorders>
              <w:top w:val="nil"/>
            </w:tcBorders>
          </w:tcPr>
          <w:p>
            <w:pPr>
              <w:pStyle w:val="TableParagraph"/>
              <w:spacing w:before="24"/>
              <w:ind w:right="67"/>
              <w:jc w:val="right"/>
              <w:rPr>
                <w:sz w:val="12"/>
              </w:rPr>
            </w:pPr>
            <w:r>
              <w:rPr>
                <w:color w:val="231F20"/>
                <w:spacing w:val="-5"/>
                <w:w w:val="105"/>
                <w:sz w:val="12"/>
              </w:rPr>
              <w:t>0.5</w:t>
            </w:r>
          </w:p>
        </w:tc>
        <w:tc>
          <w:tcPr>
            <w:tcW w:w="540" w:type="dxa"/>
            <w:tcBorders>
              <w:top w:val="nil"/>
            </w:tcBorders>
          </w:tcPr>
          <w:p>
            <w:pPr>
              <w:pStyle w:val="TableParagraph"/>
              <w:spacing w:before="24"/>
              <w:ind w:right="67"/>
              <w:jc w:val="right"/>
              <w:rPr>
                <w:sz w:val="12"/>
              </w:rPr>
            </w:pPr>
            <w:r>
              <w:rPr>
                <w:color w:val="231F20"/>
                <w:spacing w:val="-5"/>
                <w:w w:val="105"/>
                <w:sz w:val="12"/>
              </w:rPr>
              <w:t>0.5</w:t>
            </w:r>
          </w:p>
        </w:tc>
        <w:tc>
          <w:tcPr>
            <w:tcW w:w="540" w:type="dxa"/>
            <w:tcBorders>
              <w:top w:val="nil"/>
            </w:tcBorders>
          </w:tcPr>
          <w:p>
            <w:pPr>
              <w:pStyle w:val="TableParagraph"/>
              <w:spacing w:before="24"/>
              <w:ind w:right="67"/>
              <w:jc w:val="right"/>
              <w:rPr>
                <w:sz w:val="12"/>
              </w:rPr>
            </w:pPr>
            <w:r>
              <w:rPr>
                <w:color w:val="231F20"/>
                <w:spacing w:val="-5"/>
                <w:w w:val="105"/>
                <w:sz w:val="12"/>
              </w:rPr>
              <w:t>0.5</w:t>
            </w:r>
          </w:p>
        </w:tc>
        <w:tc>
          <w:tcPr>
            <w:tcW w:w="540" w:type="dxa"/>
            <w:tcBorders>
              <w:top w:val="nil"/>
            </w:tcBorders>
          </w:tcPr>
          <w:p>
            <w:pPr>
              <w:pStyle w:val="TableParagraph"/>
              <w:spacing w:before="24"/>
              <w:ind w:right="67"/>
              <w:jc w:val="right"/>
              <w:rPr>
                <w:sz w:val="12"/>
              </w:rPr>
            </w:pPr>
            <w:r>
              <w:rPr>
                <w:color w:val="231F20"/>
                <w:spacing w:val="-5"/>
                <w:w w:val="105"/>
                <w:sz w:val="12"/>
              </w:rPr>
              <w:t>0.5</w:t>
            </w:r>
          </w:p>
        </w:tc>
        <w:tc>
          <w:tcPr>
            <w:tcW w:w="540" w:type="dxa"/>
            <w:tcBorders>
              <w:top w:val="nil"/>
            </w:tcBorders>
          </w:tcPr>
          <w:p>
            <w:pPr>
              <w:pStyle w:val="TableParagraph"/>
              <w:spacing w:before="24"/>
              <w:ind w:right="67"/>
              <w:jc w:val="right"/>
              <w:rPr>
                <w:sz w:val="12"/>
              </w:rPr>
            </w:pPr>
            <w:r>
              <w:rPr>
                <w:color w:val="231F20"/>
                <w:spacing w:val="-5"/>
                <w:w w:val="105"/>
                <w:sz w:val="12"/>
              </w:rPr>
              <w:t>0.5</w:t>
            </w:r>
          </w:p>
        </w:tc>
        <w:tc>
          <w:tcPr>
            <w:tcW w:w="540" w:type="dxa"/>
            <w:tcBorders>
              <w:top w:val="nil"/>
            </w:tcBorders>
          </w:tcPr>
          <w:p>
            <w:pPr>
              <w:pStyle w:val="TableParagraph"/>
              <w:spacing w:before="24"/>
              <w:ind w:right="67"/>
              <w:jc w:val="right"/>
              <w:rPr>
                <w:sz w:val="12"/>
              </w:rPr>
            </w:pPr>
            <w:r>
              <w:rPr>
                <w:color w:val="231F20"/>
                <w:spacing w:val="-5"/>
                <w:w w:val="105"/>
                <w:sz w:val="12"/>
              </w:rPr>
              <w:t>0.5</w:t>
            </w:r>
          </w:p>
        </w:tc>
        <w:tc>
          <w:tcPr>
            <w:tcW w:w="580" w:type="dxa"/>
            <w:tcBorders>
              <w:top w:val="nil"/>
            </w:tcBorders>
          </w:tcPr>
          <w:p>
            <w:pPr>
              <w:pStyle w:val="TableParagraph"/>
              <w:spacing w:before="24"/>
              <w:ind w:right="107"/>
              <w:jc w:val="right"/>
              <w:rPr>
                <w:sz w:val="12"/>
              </w:rPr>
            </w:pPr>
            <w:r>
              <w:rPr>
                <w:color w:val="231F20"/>
                <w:spacing w:val="-5"/>
                <w:w w:val="105"/>
                <w:sz w:val="12"/>
              </w:rPr>
              <w:t>0.5</w:t>
            </w:r>
          </w:p>
        </w:tc>
      </w:tr>
    </w:tbl>
    <w:p>
      <w:pPr>
        <w:spacing w:after="0"/>
        <w:jc w:val="right"/>
        <w:rPr>
          <w:sz w:val="12"/>
        </w:rPr>
        <w:sectPr>
          <w:headerReference w:type="even" r:id="rId151"/>
          <w:pgSz w:w="8640" w:h="12960"/>
          <w:pgMar w:header="732" w:footer="0" w:top="920" w:bottom="280" w:left="740" w:right="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Heading2"/>
        <w:spacing w:before="83"/>
        <w:ind w:right="1556"/>
        <w:jc w:val="center"/>
        <w:rPr>
          <w:i/>
        </w:rPr>
      </w:pPr>
      <w:bookmarkStart w:name="Bibliography" w:id="49"/>
      <w:bookmarkEnd w:id="49"/>
      <w:r>
        <w:rPr>
          <w:b w:val="0"/>
          <w:i w:val="0"/>
        </w:rPr>
      </w:r>
      <w:bookmarkStart w:name="_bookmark23" w:id="50"/>
      <w:bookmarkEnd w:id="50"/>
      <w:r>
        <w:rPr>
          <w:b w:val="0"/>
          <w:i w:val="0"/>
        </w:rPr>
      </w:r>
      <w:hyperlink w:history="true" w:anchor="_bookmark2">
        <w:r>
          <w:rPr>
            <w:i/>
            <w:color w:val="0000FF"/>
            <w:spacing w:val="21"/>
            <w:w w:val="95"/>
          </w:rPr>
          <w:t>Bibliography</w:t>
        </w:r>
      </w:hyperlink>
    </w:p>
    <w:p>
      <w:pPr>
        <w:pStyle w:val="BodyText"/>
        <w:spacing w:before="4"/>
        <w:rPr>
          <w:b/>
          <w:i/>
          <w:sz w:val="9"/>
        </w:rPr>
      </w:pPr>
      <w:r>
        <w:rPr/>
        <w:pict>
          <v:shape style="position:absolute;margin-left:180.25pt;margin-top:6.695117pt;width:76pt;height:.1pt;mso-position-horizontal-relative:page;mso-position-vertical-relative:paragraph;z-index:-15508480;mso-wrap-distance-left:0;mso-wrap-distance-right:0" id="docshape567" coordorigin="3605,134" coordsize="1520,0" path="m3605,134l5125,134e" filled="false" stroked="true" strokeweight="6pt" strokecolor="#d1d3d4">
            <v:path arrowok="t"/>
            <v:stroke dashstyle="solid"/>
            <w10:wrap type="topAndBottom"/>
          </v:shape>
        </w:pict>
      </w:r>
    </w:p>
    <w:p>
      <w:pPr>
        <w:pStyle w:val="BodyText"/>
        <w:rPr>
          <w:b/>
          <w:i/>
          <w:sz w:val="20"/>
        </w:rPr>
      </w:pPr>
    </w:p>
    <w:p>
      <w:pPr>
        <w:pStyle w:val="BodyText"/>
        <w:rPr>
          <w:b/>
          <w:i/>
          <w:sz w:val="20"/>
        </w:rPr>
      </w:pPr>
    </w:p>
    <w:p>
      <w:pPr>
        <w:pStyle w:val="BodyText"/>
        <w:rPr>
          <w:b/>
          <w:i/>
          <w:sz w:val="20"/>
        </w:rPr>
      </w:pPr>
    </w:p>
    <w:p>
      <w:pPr>
        <w:pStyle w:val="BodyText"/>
        <w:spacing w:before="10"/>
        <w:rPr>
          <w:b/>
          <w:i/>
          <w:sz w:val="22"/>
        </w:rPr>
      </w:pPr>
    </w:p>
    <w:p>
      <w:pPr>
        <w:spacing w:before="1"/>
        <w:ind w:left="520" w:right="0" w:firstLine="0"/>
        <w:jc w:val="both"/>
        <w:rPr>
          <w:rFonts w:ascii="Trebuchet MS"/>
          <w:sz w:val="20"/>
        </w:rPr>
      </w:pPr>
      <w:r>
        <w:rPr>
          <w:rFonts w:ascii="Trebuchet MS"/>
          <w:color w:val="231F20"/>
          <w:w w:val="85"/>
          <w:sz w:val="20"/>
        </w:rPr>
        <w:t>DAY</w:t>
      </w:r>
      <w:r>
        <w:rPr>
          <w:rFonts w:ascii="Trebuchet MS"/>
          <w:color w:val="231F20"/>
          <w:spacing w:val="3"/>
          <w:sz w:val="20"/>
        </w:rPr>
        <w:t> </w:t>
      </w:r>
      <w:r>
        <w:rPr>
          <w:rFonts w:ascii="Trebuchet MS"/>
          <w:color w:val="231F20"/>
          <w:w w:val="85"/>
          <w:sz w:val="20"/>
        </w:rPr>
        <w:t>1:</w:t>
      </w:r>
      <w:r>
        <w:rPr>
          <w:rFonts w:ascii="Trebuchet MS"/>
          <w:color w:val="231F20"/>
          <w:spacing w:val="3"/>
          <w:sz w:val="20"/>
        </w:rPr>
        <w:t> </w:t>
      </w:r>
      <w:r>
        <w:rPr>
          <w:rFonts w:ascii="Trebuchet MS"/>
          <w:color w:val="231F20"/>
          <w:spacing w:val="-2"/>
          <w:w w:val="85"/>
          <w:sz w:val="20"/>
        </w:rPr>
        <w:t>MARKETING</w:t>
      </w:r>
    </w:p>
    <w:p>
      <w:pPr>
        <w:pStyle w:val="BodyText"/>
        <w:spacing w:before="4"/>
        <w:rPr>
          <w:rFonts w:ascii="Trebuchet MS"/>
          <w:sz w:val="25"/>
        </w:rPr>
      </w:pPr>
    </w:p>
    <w:p>
      <w:pPr>
        <w:spacing w:line="280" w:lineRule="auto" w:before="0"/>
        <w:ind w:left="860" w:right="687" w:hanging="340"/>
        <w:jc w:val="both"/>
        <w:rPr>
          <w:sz w:val="19"/>
        </w:rPr>
      </w:pPr>
      <w:r>
        <w:rPr>
          <w:color w:val="231F20"/>
          <w:w w:val="105"/>
          <w:sz w:val="19"/>
        </w:rPr>
        <w:t>Assael, Henry, </w:t>
      </w:r>
      <w:r>
        <w:rPr>
          <w:i/>
          <w:color w:val="231F20"/>
          <w:w w:val="105"/>
          <w:sz w:val="19"/>
        </w:rPr>
        <w:t>Consumer Behavior </w:t>
      </w:r>
      <w:r>
        <w:rPr>
          <w:i/>
          <w:color w:val="231F20"/>
          <w:w w:val="115"/>
          <w:sz w:val="19"/>
        </w:rPr>
        <w:t>&amp;</w:t>
      </w:r>
      <w:r>
        <w:rPr>
          <w:i/>
          <w:color w:val="231F20"/>
          <w:spacing w:val="-4"/>
          <w:w w:val="115"/>
          <w:sz w:val="19"/>
        </w:rPr>
        <w:t> </w:t>
      </w:r>
      <w:r>
        <w:rPr>
          <w:i/>
          <w:color w:val="231F20"/>
          <w:w w:val="105"/>
          <w:sz w:val="19"/>
        </w:rPr>
        <w:t>Marketing Action. </w:t>
      </w:r>
      <w:r>
        <w:rPr>
          <w:color w:val="231F20"/>
          <w:w w:val="105"/>
          <w:sz w:val="19"/>
        </w:rPr>
        <w:t>Boston: Kent Pub- lishing,</w:t>
      </w:r>
      <w:r>
        <w:rPr>
          <w:color w:val="231F20"/>
          <w:spacing w:val="-4"/>
          <w:w w:val="105"/>
          <w:sz w:val="19"/>
        </w:rPr>
        <w:t> </w:t>
      </w:r>
      <w:r>
        <w:rPr>
          <w:color w:val="231F20"/>
          <w:w w:val="105"/>
          <w:sz w:val="19"/>
        </w:rPr>
        <w:t>1981,</w:t>
      </w:r>
      <w:r>
        <w:rPr>
          <w:color w:val="231F20"/>
          <w:spacing w:val="-4"/>
          <w:w w:val="105"/>
          <w:sz w:val="19"/>
        </w:rPr>
        <w:t> </w:t>
      </w:r>
      <w:r>
        <w:rPr>
          <w:color w:val="231F20"/>
          <w:w w:val="105"/>
          <w:sz w:val="19"/>
        </w:rPr>
        <w:t>p.</w:t>
      </w:r>
      <w:r>
        <w:rPr>
          <w:color w:val="231F20"/>
          <w:spacing w:val="-4"/>
          <w:w w:val="105"/>
          <w:sz w:val="19"/>
        </w:rPr>
        <w:t> </w:t>
      </w:r>
      <w:r>
        <w:rPr>
          <w:color w:val="231F20"/>
          <w:w w:val="105"/>
          <w:sz w:val="19"/>
        </w:rPr>
        <w:t>471</w:t>
      </w:r>
      <w:r>
        <w:rPr>
          <w:color w:val="231F20"/>
          <w:spacing w:val="-4"/>
          <w:w w:val="105"/>
          <w:sz w:val="19"/>
        </w:rPr>
        <w:t> </w:t>
      </w:r>
      <w:r>
        <w:rPr>
          <w:color w:val="231F20"/>
          <w:w w:val="105"/>
          <w:sz w:val="19"/>
        </w:rPr>
        <w:t>(paper</w:t>
      </w:r>
      <w:r>
        <w:rPr>
          <w:color w:val="231F20"/>
          <w:spacing w:val="-4"/>
          <w:w w:val="105"/>
          <w:sz w:val="19"/>
        </w:rPr>
        <w:t> </w:t>
      </w:r>
      <w:r>
        <w:rPr>
          <w:color w:val="231F20"/>
          <w:w w:val="105"/>
          <w:sz w:val="19"/>
        </w:rPr>
        <w:t>towel</w:t>
      </w:r>
      <w:r>
        <w:rPr>
          <w:color w:val="231F20"/>
          <w:spacing w:val="-4"/>
          <w:w w:val="105"/>
          <w:sz w:val="19"/>
        </w:rPr>
        <w:t> </w:t>
      </w:r>
      <w:r>
        <w:rPr>
          <w:color w:val="231F20"/>
          <w:w w:val="105"/>
          <w:sz w:val="19"/>
        </w:rPr>
        <w:t>perceptual</w:t>
      </w:r>
      <w:r>
        <w:rPr>
          <w:color w:val="231F20"/>
          <w:spacing w:val="-4"/>
          <w:w w:val="105"/>
          <w:sz w:val="19"/>
        </w:rPr>
        <w:t> </w:t>
      </w:r>
      <w:r>
        <w:rPr>
          <w:color w:val="231F20"/>
          <w:w w:val="105"/>
          <w:sz w:val="19"/>
        </w:rPr>
        <w:t>mapping).</w:t>
      </w:r>
    </w:p>
    <w:p>
      <w:pPr>
        <w:spacing w:line="280" w:lineRule="auto" w:before="0"/>
        <w:ind w:left="860" w:right="687" w:hanging="340"/>
        <w:jc w:val="both"/>
        <w:rPr>
          <w:sz w:val="19"/>
        </w:rPr>
      </w:pPr>
      <w:r>
        <w:rPr>
          <w:color w:val="231F20"/>
          <w:w w:val="105"/>
          <w:sz w:val="19"/>
        </w:rPr>
        <w:t>Koselka, Rita. “How to Print Money.” </w:t>
      </w:r>
      <w:r>
        <w:rPr>
          <w:i/>
          <w:color w:val="231F20"/>
          <w:w w:val="105"/>
          <w:sz w:val="19"/>
        </w:rPr>
        <w:t>Forbes, </w:t>
      </w:r>
      <w:r>
        <w:rPr>
          <w:color w:val="231F20"/>
          <w:w w:val="105"/>
          <w:sz w:val="19"/>
        </w:rPr>
        <w:t>December 24, 1990, p. </w:t>
      </w:r>
      <w:r>
        <w:rPr>
          <w:color w:val="231F20"/>
          <w:w w:val="105"/>
          <w:sz w:val="19"/>
        </w:rPr>
        <w:t>118 </w:t>
      </w:r>
      <w:r>
        <w:rPr>
          <w:color w:val="231F20"/>
          <w:spacing w:val="-2"/>
          <w:w w:val="105"/>
          <w:sz w:val="19"/>
        </w:rPr>
        <w:t>(Vlassis).</w:t>
      </w:r>
    </w:p>
    <w:p>
      <w:pPr>
        <w:spacing w:line="280" w:lineRule="auto" w:before="0"/>
        <w:ind w:left="860" w:right="687" w:hanging="340"/>
        <w:jc w:val="both"/>
        <w:rPr>
          <w:sz w:val="19"/>
        </w:rPr>
      </w:pPr>
      <w:r>
        <w:rPr>
          <w:color w:val="231F20"/>
          <w:w w:val="105"/>
          <w:sz w:val="19"/>
        </w:rPr>
        <w:t>Kotler,</w:t>
      </w:r>
      <w:r>
        <w:rPr>
          <w:color w:val="231F20"/>
          <w:w w:val="105"/>
          <w:sz w:val="19"/>
        </w:rPr>
        <w:t> Philip</w:t>
      </w:r>
      <w:r>
        <w:rPr>
          <w:color w:val="231F20"/>
          <w:w w:val="105"/>
          <w:sz w:val="19"/>
        </w:rPr>
        <w:t> (Northwestern).</w:t>
      </w:r>
      <w:r>
        <w:rPr>
          <w:color w:val="231F20"/>
          <w:w w:val="105"/>
          <w:sz w:val="19"/>
        </w:rPr>
        <w:t> </w:t>
      </w:r>
      <w:r>
        <w:rPr>
          <w:i/>
          <w:color w:val="231F20"/>
          <w:w w:val="105"/>
          <w:sz w:val="19"/>
        </w:rPr>
        <w:t>Marketing</w:t>
      </w:r>
      <w:r>
        <w:rPr>
          <w:i/>
          <w:color w:val="231F20"/>
          <w:w w:val="105"/>
          <w:sz w:val="19"/>
        </w:rPr>
        <w:t> Management</w:t>
      </w:r>
      <w:r>
        <w:rPr>
          <w:i/>
          <w:color w:val="231F20"/>
          <w:w w:val="105"/>
          <w:sz w:val="19"/>
        </w:rPr>
        <w:t> Analysis,</w:t>
      </w:r>
      <w:r>
        <w:rPr>
          <w:i/>
          <w:color w:val="231F20"/>
          <w:w w:val="105"/>
          <w:sz w:val="19"/>
        </w:rPr>
        <w:t> Planning</w:t>
      </w:r>
      <w:r>
        <w:rPr>
          <w:i/>
          <w:color w:val="231F20"/>
          <w:w w:val="105"/>
          <w:sz w:val="19"/>
        </w:rPr>
        <w:t> and Control. </w:t>
      </w:r>
      <w:r>
        <w:rPr>
          <w:color w:val="231F20"/>
          <w:w w:val="105"/>
          <w:sz w:val="19"/>
        </w:rPr>
        <w:t>Englewood Cliffs, N.J.: Prentice-Hall, 1984.</w:t>
      </w:r>
    </w:p>
    <w:p>
      <w:pPr>
        <w:spacing w:line="280" w:lineRule="auto" w:before="0"/>
        <w:ind w:left="860" w:right="687" w:hanging="340"/>
        <w:jc w:val="both"/>
        <w:rPr>
          <w:sz w:val="19"/>
        </w:rPr>
      </w:pPr>
      <w:r>
        <w:rPr>
          <w:color w:val="231F20"/>
          <w:w w:val="105"/>
          <w:sz w:val="19"/>
        </w:rPr>
        <w:t>Maxwell,</w:t>
      </w:r>
      <w:r>
        <w:rPr>
          <w:color w:val="231F20"/>
          <w:spacing w:val="31"/>
          <w:w w:val="105"/>
          <w:sz w:val="19"/>
        </w:rPr>
        <w:t> </w:t>
      </w:r>
      <w:r>
        <w:rPr>
          <w:color w:val="231F20"/>
          <w:w w:val="105"/>
          <w:sz w:val="19"/>
        </w:rPr>
        <w:t>John</w:t>
      </w:r>
      <w:r>
        <w:rPr>
          <w:color w:val="231F20"/>
          <w:spacing w:val="31"/>
          <w:w w:val="105"/>
          <w:sz w:val="19"/>
        </w:rPr>
        <w:t> </w:t>
      </w:r>
      <w:r>
        <w:rPr>
          <w:color w:val="231F20"/>
          <w:w w:val="105"/>
          <w:sz w:val="19"/>
        </w:rPr>
        <w:t>C.,</w:t>
      </w:r>
      <w:r>
        <w:rPr>
          <w:color w:val="231F20"/>
          <w:spacing w:val="31"/>
          <w:w w:val="105"/>
          <w:sz w:val="19"/>
        </w:rPr>
        <w:t> </w:t>
      </w:r>
      <w:r>
        <w:rPr>
          <w:color w:val="231F20"/>
          <w:w w:val="105"/>
          <w:sz w:val="19"/>
        </w:rPr>
        <w:t>Jr.</w:t>
      </w:r>
      <w:r>
        <w:rPr>
          <w:color w:val="231F20"/>
          <w:spacing w:val="31"/>
          <w:w w:val="105"/>
          <w:sz w:val="19"/>
        </w:rPr>
        <w:t> </w:t>
      </w:r>
      <w:r>
        <w:rPr>
          <w:color w:val="231F20"/>
          <w:w w:val="105"/>
          <w:sz w:val="19"/>
        </w:rPr>
        <w:t>“Coffee</w:t>
      </w:r>
      <w:r>
        <w:rPr>
          <w:color w:val="231F20"/>
          <w:spacing w:val="31"/>
          <w:w w:val="105"/>
          <w:sz w:val="19"/>
        </w:rPr>
        <w:t> </w:t>
      </w:r>
      <w:r>
        <w:rPr>
          <w:color w:val="231F20"/>
          <w:w w:val="105"/>
          <w:sz w:val="19"/>
        </w:rPr>
        <w:t>Sales</w:t>
      </w:r>
      <w:r>
        <w:rPr>
          <w:color w:val="231F20"/>
          <w:spacing w:val="31"/>
          <w:w w:val="105"/>
          <w:sz w:val="19"/>
        </w:rPr>
        <w:t> </w:t>
      </w:r>
      <w:r>
        <w:rPr>
          <w:color w:val="231F20"/>
          <w:w w:val="105"/>
          <w:sz w:val="19"/>
        </w:rPr>
        <w:t>Climb</w:t>
      </w:r>
      <w:r>
        <w:rPr>
          <w:color w:val="231F20"/>
          <w:spacing w:val="31"/>
          <w:w w:val="105"/>
          <w:sz w:val="19"/>
        </w:rPr>
        <w:t> </w:t>
      </w:r>
      <w:r>
        <w:rPr>
          <w:color w:val="231F20"/>
          <w:w w:val="105"/>
          <w:sz w:val="19"/>
        </w:rPr>
        <w:t>in</w:t>
      </w:r>
      <w:r>
        <w:rPr>
          <w:color w:val="231F20"/>
          <w:spacing w:val="31"/>
          <w:w w:val="105"/>
          <w:sz w:val="19"/>
        </w:rPr>
        <w:t> </w:t>
      </w:r>
      <w:r>
        <w:rPr>
          <w:color w:val="231F20"/>
          <w:w w:val="105"/>
          <w:sz w:val="19"/>
        </w:rPr>
        <w:t>’89.”</w:t>
      </w:r>
      <w:r>
        <w:rPr>
          <w:color w:val="231F20"/>
          <w:spacing w:val="30"/>
          <w:w w:val="105"/>
          <w:sz w:val="19"/>
        </w:rPr>
        <w:t> </w:t>
      </w:r>
      <w:r>
        <w:rPr>
          <w:i/>
          <w:color w:val="231F20"/>
          <w:w w:val="105"/>
          <w:sz w:val="19"/>
        </w:rPr>
        <w:t>Advertising</w:t>
      </w:r>
      <w:r>
        <w:rPr>
          <w:i/>
          <w:color w:val="231F20"/>
          <w:spacing w:val="31"/>
          <w:w w:val="105"/>
          <w:sz w:val="19"/>
        </w:rPr>
        <w:t> </w:t>
      </w:r>
      <w:r>
        <w:rPr>
          <w:i/>
          <w:color w:val="231F20"/>
          <w:w w:val="105"/>
          <w:sz w:val="19"/>
        </w:rPr>
        <w:t>Age,</w:t>
      </w:r>
      <w:r>
        <w:rPr>
          <w:i/>
          <w:color w:val="231F20"/>
          <w:spacing w:val="31"/>
          <w:w w:val="105"/>
          <w:sz w:val="19"/>
        </w:rPr>
        <w:t> </w:t>
      </w:r>
      <w:r>
        <w:rPr>
          <w:color w:val="231F20"/>
          <w:w w:val="105"/>
          <w:sz w:val="19"/>
        </w:rPr>
        <w:t>April 16, 1990, p. 64 (coffee market shares).</w:t>
      </w:r>
    </w:p>
    <w:p>
      <w:pPr>
        <w:spacing w:line="280" w:lineRule="auto" w:before="0"/>
        <w:ind w:left="860" w:right="687" w:hanging="340"/>
        <w:jc w:val="both"/>
        <w:rPr>
          <w:sz w:val="19"/>
        </w:rPr>
      </w:pPr>
      <w:r>
        <w:rPr>
          <w:color w:val="231F20"/>
          <w:w w:val="105"/>
          <w:sz w:val="19"/>
        </w:rPr>
        <w:t>Morgensen,</w:t>
      </w:r>
      <w:r>
        <w:rPr>
          <w:color w:val="231F20"/>
          <w:spacing w:val="-10"/>
          <w:w w:val="105"/>
          <w:sz w:val="19"/>
        </w:rPr>
        <w:t> </w:t>
      </w:r>
      <w:r>
        <w:rPr>
          <w:color w:val="231F20"/>
          <w:w w:val="105"/>
          <w:sz w:val="19"/>
        </w:rPr>
        <w:t>Gretchen.</w:t>
      </w:r>
      <w:r>
        <w:rPr>
          <w:color w:val="231F20"/>
          <w:spacing w:val="-10"/>
          <w:w w:val="105"/>
          <w:sz w:val="19"/>
        </w:rPr>
        <w:t> </w:t>
      </w:r>
      <w:r>
        <w:rPr>
          <w:color w:val="231F20"/>
          <w:w w:val="105"/>
          <w:sz w:val="19"/>
        </w:rPr>
        <w:t>“The</w:t>
      </w:r>
      <w:r>
        <w:rPr>
          <w:color w:val="231F20"/>
          <w:spacing w:val="-10"/>
          <w:w w:val="105"/>
          <w:sz w:val="19"/>
        </w:rPr>
        <w:t> </w:t>
      </w:r>
      <w:r>
        <w:rPr>
          <w:color w:val="231F20"/>
          <w:w w:val="105"/>
          <w:sz w:val="19"/>
        </w:rPr>
        <w:t>Trend</w:t>
      </w:r>
      <w:r>
        <w:rPr>
          <w:color w:val="231F20"/>
          <w:spacing w:val="-10"/>
          <w:w w:val="105"/>
          <w:sz w:val="19"/>
        </w:rPr>
        <w:t> </w:t>
      </w:r>
      <w:r>
        <w:rPr>
          <w:color w:val="231F20"/>
          <w:w w:val="105"/>
          <w:sz w:val="19"/>
        </w:rPr>
        <w:t>Is</w:t>
      </w:r>
      <w:r>
        <w:rPr>
          <w:color w:val="231F20"/>
          <w:spacing w:val="-10"/>
          <w:w w:val="105"/>
          <w:sz w:val="19"/>
        </w:rPr>
        <w:t> </w:t>
      </w:r>
      <w:r>
        <w:rPr>
          <w:color w:val="231F20"/>
          <w:w w:val="105"/>
          <w:sz w:val="19"/>
        </w:rPr>
        <w:t>Not</w:t>
      </w:r>
      <w:r>
        <w:rPr>
          <w:color w:val="231F20"/>
          <w:spacing w:val="-10"/>
          <w:w w:val="105"/>
          <w:sz w:val="19"/>
        </w:rPr>
        <w:t> </w:t>
      </w:r>
      <w:r>
        <w:rPr>
          <w:color w:val="231F20"/>
          <w:w w:val="105"/>
          <w:sz w:val="19"/>
        </w:rPr>
        <w:t>Their</w:t>
      </w:r>
      <w:r>
        <w:rPr>
          <w:color w:val="231F20"/>
          <w:spacing w:val="-10"/>
          <w:w w:val="105"/>
          <w:sz w:val="19"/>
        </w:rPr>
        <w:t> </w:t>
      </w:r>
      <w:r>
        <w:rPr>
          <w:color w:val="231F20"/>
          <w:w w:val="105"/>
          <w:sz w:val="19"/>
        </w:rPr>
        <w:t>Friend.”</w:t>
      </w:r>
      <w:r>
        <w:rPr>
          <w:color w:val="231F20"/>
          <w:spacing w:val="-10"/>
          <w:w w:val="105"/>
          <w:sz w:val="19"/>
        </w:rPr>
        <w:t> </w:t>
      </w:r>
      <w:r>
        <w:rPr>
          <w:i/>
          <w:color w:val="231F20"/>
          <w:w w:val="105"/>
          <w:sz w:val="19"/>
        </w:rPr>
        <w:t>Forbes,</w:t>
      </w:r>
      <w:r>
        <w:rPr>
          <w:i/>
          <w:color w:val="231F20"/>
          <w:spacing w:val="-10"/>
          <w:w w:val="105"/>
          <w:sz w:val="19"/>
        </w:rPr>
        <w:t> </w:t>
      </w:r>
      <w:r>
        <w:rPr>
          <w:color w:val="231F20"/>
          <w:w w:val="105"/>
          <w:sz w:val="19"/>
        </w:rPr>
        <w:t>September 16, 1991, p. 118 (brand extensions).</w:t>
      </w:r>
    </w:p>
    <w:p>
      <w:pPr>
        <w:spacing w:line="280" w:lineRule="auto" w:before="0"/>
        <w:ind w:left="859" w:right="687" w:hanging="340"/>
        <w:jc w:val="both"/>
        <w:rPr>
          <w:sz w:val="19"/>
        </w:rPr>
      </w:pPr>
      <w:r>
        <w:rPr>
          <w:color w:val="231F20"/>
          <w:sz w:val="19"/>
        </w:rPr>
        <w:t>Newton, Derek A. </w:t>
      </w:r>
      <w:r>
        <w:rPr>
          <w:i/>
          <w:color w:val="231F20"/>
          <w:sz w:val="19"/>
        </w:rPr>
        <w:t>Sales Force Management: Text and Cases. </w:t>
      </w:r>
      <w:r>
        <w:rPr>
          <w:color w:val="231F20"/>
          <w:sz w:val="19"/>
        </w:rPr>
        <w:t>Boston: Irwin, 1990, pp. 7</w:t>
      </w:r>
      <w:r>
        <w:rPr>
          <w:color w:val="231F20"/>
          <w:spacing w:val="-13"/>
          <w:sz w:val="19"/>
        </w:rPr>
        <w:t> </w:t>
      </w:r>
      <w:r>
        <w:rPr>
          <w:color w:val="231F20"/>
          <w:sz w:val="19"/>
        </w:rPr>
        <w:t>–</w:t>
      </w:r>
      <w:r>
        <w:rPr>
          <w:color w:val="231F20"/>
          <w:spacing w:val="-13"/>
          <w:sz w:val="19"/>
        </w:rPr>
        <w:t> </w:t>
      </w:r>
      <w:r>
        <w:rPr>
          <w:color w:val="231F20"/>
          <w:sz w:val="19"/>
        </w:rPr>
        <w:t>9 (salesman historical periods).</w:t>
      </w:r>
    </w:p>
    <w:p>
      <w:pPr>
        <w:spacing w:line="280" w:lineRule="auto" w:before="0"/>
        <w:ind w:left="859" w:right="686" w:hanging="340"/>
        <w:jc w:val="both"/>
        <w:rPr>
          <w:sz w:val="19"/>
        </w:rPr>
      </w:pPr>
      <w:r>
        <w:rPr>
          <w:color w:val="231F20"/>
          <w:sz w:val="19"/>
        </w:rPr>
        <w:t>Paley, Norton. </w:t>
      </w:r>
      <w:r>
        <w:rPr>
          <w:i/>
          <w:color w:val="231F20"/>
          <w:sz w:val="19"/>
        </w:rPr>
        <w:t>Manager’s Guide to Competitive Marketing Strategies. </w:t>
      </w:r>
      <w:r>
        <w:rPr>
          <w:color w:val="231F20"/>
          <w:sz w:val="19"/>
        </w:rPr>
        <w:t>New York:</w:t>
      </w:r>
      <w:r>
        <w:rPr>
          <w:color w:val="231F20"/>
          <w:spacing w:val="20"/>
          <w:sz w:val="19"/>
        </w:rPr>
        <w:t> </w:t>
      </w:r>
      <w:r>
        <w:rPr>
          <w:color w:val="231F20"/>
          <w:sz w:val="19"/>
        </w:rPr>
        <w:t>American</w:t>
      </w:r>
      <w:r>
        <w:rPr>
          <w:color w:val="231F20"/>
          <w:spacing w:val="36"/>
          <w:sz w:val="19"/>
        </w:rPr>
        <w:t> </w:t>
      </w:r>
      <w:r>
        <w:rPr>
          <w:color w:val="231F20"/>
          <w:sz w:val="19"/>
        </w:rPr>
        <w:t>Marketing</w:t>
      </w:r>
      <w:r>
        <w:rPr>
          <w:color w:val="231F20"/>
          <w:spacing w:val="36"/>
          <w:sz w:val="19"/>
        </w:rPr>
        <w:t> </w:t>
      </w:r>
      <w:r>
        <w:rPr>
          <w:color w:val="231F20"/>
          <w:sz w:val="19"/>
        </w:rPr>
        <w:t>Association,</w:t>
      </w:r>
      <w:r>
        <w:rPr>
          <w:color w:val="231F20"/>
          <w:spacing w:val="36"/>
          <w:sz w:val="19"/>
        </w:rPr>
        <w:t> </w:t>
      </w:r>
      <w:r>
        <w:rPr>
          <w:color w:val="231F20"/>
          <w:sz w:val="19"/>
        </w:rPr>
        <w:t>1989,</w:t>
      </w:r>
      <w:r>
        <w:rPr>
          <w:color w:val="231F20"/>
          <w:spacing w:val="36"/>
          <w:sz w:val="19"/>
        </w:rPr>
        <w:t> </w:t>
      </w:r>
      <w:r>
        <w:rPr>
          <w:color w:val="231F20"/>
          <w:sz w:val="19"/>
        </w:rPr>
        <w:t>pp.</w:t>
      </w:r>
      <w:r>
        <w:rPr>
          <w:color w:val="231F20"/>
          <w:spacing w:val="36"/>
          <w:sz w:val="19"/>
        </w:rPr>
        <w:t> </w:t>
      </w:r>
      <w:r>
        <w:rPr>
          <w:color w:val="231F20"/>
          <w:sz w:val="19"/>
        </w:rPr>
        <w:t>18</w:t>
      </w:r>
      <w:r>
        <w:rPr>
          <w:color w:val="231F20"/>
          <w:spacing w:val="-11"/>
          <w:sz w:val="19"/>
        </w:rPr>
        <w:t> </w:t>
      </w:r>
      <w:r>
        <w:rPr>
          <w:color w:val="231F20"/>
          <w:sz w:val="19"/>
        </w:rPr>
        <w:t>–</w:t>
      </w:r>
      <w:r>
        <w:rPr>
          <w:color w:val="231F20"/>
          <w:spacing w:val="-10"/>
          <w:sz w:val="19"/>
        </w:rPr>
        <w:t> </w:t>
      </w:r>
      <w:r>
        <w:rPr>
          <w:color w:val="231F20"/>
          <w:sz w:val="19"/>
        </w:rPr>
        <w:t>19</w:t>
      </w:r>
      <w:r>
        <w:rPr>
          <w:color w:val="231F20"/>
          <w:spacing w:val="36"/>
          <w:sz w:val="19"/>
        </w:rPr>
        <w:t> </w:t>
      </w:r>
      <w:r>
        <w:rPr>
          <w:color w:val="231F20"/>
          <w:sz w:val="19"/>
        </w:rPr>
        <w:t>(Xerox),</w:t>
      </w:r>
      <w:r>
        <w:rPr>
          <w:color w:val="231F20"/>
          <w:spacing w:val="36"/>
          <w:sz w:val="19"/>
        </w:rPr>
        <w:t> </w:t>
      </w:r>
      <w:r>
        <w:rPr>
          <w:color w:val="231F20"/>
          <w:sz w:val="19"/>
        </w:rPr>
        <w:t>pp. 46</w:t>
      </w:r>
      <w:r>
        <w:rPr>
          <w:color w:val="231F20"/>
          <w:spacing w:val="-10"/>
          <w:sz w:val="19"/>
        </w:rPr>
        <w:t> </w:t>
      </w:r>
      <w:r>
        <w:rPr>
          <w:color w:val="231F20"/>
          <w:sz w:val="19"/>
        </w:rPr>
        <w:t>–</w:t>
      </w:r>
      <w:r>
        <w:rPr>
          <w:color w:val="231F20"/>
          <w:spacing w:val="-10"/>
          <w:sz w:val="19"/>
        </w:rPr>
        <w:t> </w:t>
      </w:r>
      <w:r>
        <w:rPr>
          <w:color w:val="231F20"/>
          <w:sz w:val="19"/>
        </w:rPr>
        <w:t>47 (segmentation selection).</w:t>
      </w:r>
    </w:p>
    <w:p>
      <w:pPr>
        <w:spacing w:line="280" w:lineRule="auto" w:before="0"/>
        <w:ind w:left="859" w:right="686" w:hanging="340"/>
        <w:jc w:val="both"/>
        <w:rPr>
          <w:sz w:val="19"/>
        </w:rPr>
      </w:pPr>
      <w:r>
        <w:rPr>
          <w:color w:val="231F20"/>
          <w:spacing w:val="-2"/>
          <w:w w:val="105"/>
          <w:sz w:val="19"/>
        </w:rPr>
        <w:t>Silbiger, Steven. “Study of the General and Gourmet Coffee Markets.” Spon- </w:t>
      </w:r>
      <w:r>
        <w:rPr>
          <w:color w:val="231F20"/>
          <w:w w:val="105"/>
          <w:sz w:val="19"/>
        </w:rPr>
        <w:t>sored by Westway Merkuria, Inc., Englewood Cliffs, N.J., July 1989.</w:t>
      </w:r>
    </w:p>
    <w:p>
      <w:pPr>
        <w:spacing w:line="222" w:lineRule="exact" w:before="0"/>
        <w:ind w:left="519" w:right="0" w:firstLine="0"/>
        <w:jc w:val="both"/>
        <w:rPr>
          <w:sz w:val="19"/>
        </w:rPr>
      </w:pPr>
      <w:r>
        <w:rPr>
          <w:color w:val="231F20"/>
          <w:w w:val="105"/>
          <w:sz w:val="19"/>
        </w:rPr>
        <w:t>———,</w:t>
      </w:r>
      <w:r>
        <w:rPr>
          <w:color w:val="231F20"/>
          <w:spacing w:val="62"/>
          <w:w w:val="105"/>
          <w:sz w:val="19"/>
        </w:rPr>
        <w:t> </w:t>
      </w:r>
      <w:r>
        <w:rPr>
          <w:color w:val="231F20"/>
          <w:w w:val="105"/>
          <w:sz w:val="19"/>
        </w:rPr>
        <w:t>and</w:t>
      </w:r>
      <w:r>
        <w:rPr>
          <w:color w:val="231F20"/>
          <w:spacing w:val="63"/>
          <w:w w:val="105"/>
          <w:sz w:val="19"/>
        </w:rPr>
        <w:t> </w:t>
      </w:r>
      <w:r>
        <w:rPr>
          <w:color w:val="231F20"/>
          <w:w w:val="105"/>
          <w:sz w:val="19"/>
        </w:rPr>
        <w:t>Mark</w:t>
      </w:r>
      <w:r>
        <w:rPr>
          <w:color w:val="231F20"/>
          <w:spacing w:val="63"/>
          <w:w w:val="105"/>
          <w:sz w:val="19"/>
        </w:rPr>
        <w:t> </w:t>
      </w:r>
      <w:r>
        <w:rPr>
          <w:color w:val="231F20"/>
          <w:w w:val="105"/>
          <w:sz w:val="19"/>
        </w:rPr>
        <w:t>Parry.</w:t>
      </w:r>
      <w:r>
        <w:rPr>
          <w:color w:val="231F20"/>
          <w:spacing w:val="63"/>
          <w:w w:val="105"/>
          <w:sz w:val="19"/>
        </w:rPr>
        <w:t> </w:t>
      </w:r>
      <w:r>
        <w:rPr>
          <w:color w:val="231F20"/>
          <w:w w:val="105"/>
          <w:sz w:val="19"/>
        </w:rPr>
        <w:t>“Cafe</w:t>
      </w:r>
      <w:r>
        <w:rPr>
          <w:color w:val="231F20"/>
          <w:spacing w:val="63"/>
          <w:w w:val="105"/>
          <w:sz w:val="19"/>
        </w:rPr>
        <w:t> </w:t>
      </w:r>
      <w:r>
        <w:rPr>
          <w:color w:val="231F20"/>
          <w:w w:val="105"/>
          <w:sz w:val="19"/>
        </w:rPr>
        <w:t>Blason,”</w:t>
      </w:r>
      <w:r>
        <w:rPr>
          <w:color w:val="231F20"/>
          <w:spacing w:val="63"/>
          <w:w w:val="105"/>
          <w:sz w:val="19"/>
        </w:rPr>
        <w:t> </w:t>
      </w:r>
      <w:r>
        <w:rPr>
          <w:color w:val="231F20"/>
          <w:w w:val="105"/>
          <w:sz w:val="19"/>
        </w:rPr>
        <w:t>Case</w:t>
      </w:r>
      <w:r>
        <w:rPr>
          <w:color w:val="231F20"/>
          <w:spacing w:val="62"/>
          <w:w w:val="105"/>
          <w:sz w:val="19"/>
        </w:rPr>
        <w:t> </w:t>
      </w:r>
      <w:r>
        <w:rPr>
          <w:color w:val="231F20"/>
          <w:w w:val="105"/>
          <w:sz w:val="19"/>
        </w:rPr>
        <w:t>UVA-M-369,</w:t>
      </w:r>
      <w:r>
        <w:rPr>
          <w:color w:val="231F20"/>
          <w:spacing w:val="63"/>
          <w:w w:val="105"/>
          <w:sz w:val="19"/>
        </w:rPr>
        <w:t> </w:t>
      </w:r>
      <w:r>
        <w:rPr>
          <w:color w:val="231F20"/>
          <w:spacing w:val="-2"/>
          <w:w w:val="105"/>
          <w:sz w:val="19"/>
        </w:rPr>
        <w:t>copyright</w:t>
      </w:r>
    </w:p>
    <w:p>
      <w:pPr>
        <w:spacing w:line="280" w:lineRule="auto" w:before="28"/>
        <w:ind w:left="859" w:right="689" w:firstLine="0"/>
        <w:jc w:val="both"/>
        <w:rPr>
          <w:sz w:val="19"/>
        </w:rPr>
      </w:pPr>
      <w:r>
        <w:rPr>
          <w:color w:val="231F20"/>
          <w:sz w:val="19"/>
        </w:rPr>
        <w:t>© 1990 by the Darden Graduate Business School Foundation, Char- lottesville, Virginia.</w:t>
      </w:r>
    </w:p>
    <w:p>
      <w:pPr>
        <w:spacing w:line="280" w:lineRule="auto" w:before="0"/>
        <w:ind w:left="859" w:right="687" w:hanging="340"/>
        <w:jc w:val="both"/>
        <w:rPr>
          <w:sz w:val="19"/>
        </w:rPr>
      </w:pPr>
      <w:r>
        <w:rPr>
          <w:color w:val="231F20"/>
          <w:w w:val="105"/>
          <w:sz w:val="19"/>
        </w:rPr>
        <w:t>Willoughby,</w:t>
      </w:r>
      <w:r>
        <w:rPr>
          <w:color w:val="231F20"/>
          <w:w w:val="105"/>
          <w:sz w:val="19"/>
        </w:rPr>
        <w:t> Jack.</w:t>
      </w:r>
      <w:r>
        <w:rPr>
          <w:color w:val="231F20"/>
          <w:w w:val="105"/>
          <w:sz w:val="19"/>
        </w:rPr>
        <w:t> “The</w:t>
      </w:r>
      <w:r>
        <w:rPr>
          <w:color w:val="231F20"/>
          <w:w w:val="105"/>
          <w:sz w:val="19"/>
        </w:rPr>
        <w:t> Last</w:t>
      </w:r>
      <w:r>
        <w:rPr>
          <w:color w:val="231F20"/>
          <w:w w:val="105"/>
          <w:sz w:val="19"/>
        </w:rPr>
        <w:t> Iceman.”</w:t>
      </w:r>
      <w:r>
        <w:rPr>
          <w:color w:val="231F20"/>
          <w:w w:val="105"/>
          <w:sz w:val="19"/>
        </w:rPr>
        <w:t> </w:t>
      </w:r>
      <w:r>
        <w:rPr>
          <w:i/>
          <w:color w:val="231F20"/>
          <w:w w:val="105"/>
          <w:sz w:val="19"/>
        </w:rPr>
        <w:t>Forbes,</w:t>
      </w:r>
      <w:r>
        <w:rPr>
          <w:i/>
          <w:color w:val="231F20"/>
          <w:w w:val="105"/>
          <w:sz w:val="19"/>
        </w:rPr>
        <w:t> </w:t>
      </w:r>
      <w:r>
        <w:rPr>
          <w:color w:val="231F20"/>
          <w:w w:val="105"/>
          <w:sz w:val="19"/>
        </w:rPr>
        <w:t>July</w:t>
      </w:r>
      <w:r>
        <w:rPr>
          <w:color w:val="231F20"/>
          <w:w w:val="105"/>
          <w:sz w:val="19"/>
        </w:rPr>
        <w:t> 13,</w:t>
      </w:r>
      <w:r>
        <w:rPr>
          <w:color w:val="231F20"/>
          <w:w w:val="105"/>
          <w:sz w:val="19"/>
        </w:rPr>
        <w:t> 1987,</w:t>
      </w:r>
      <w:r>
        <w:rPr>
          <w:color w:val="231F20"/>
          <w:w w:val="105"/>
          <w:sz w:val="19"/>
        </w:rPr>
        <w:t> p.</w:t>
      </w:r>
      <w:r>
        <w:rPr>
          <w:color w:val="231F20"/>
          <w:w w:val="105"/>
          <w:sz w:val="19"/>
        </w:rPr>
        <w:t> 196</w:t>
      </w:r>
      <w:r>
        <w:rPr>
          <w:color w:val="231F20"/>
          <w:w w:val="105"/>
          <w:sz w:val="19"/>
        </w:rPr>
        <w:t> (vac- uum tubes).</w:t>
      </w:r>
    </w:p>
    <w:p>
      <w:pPr>
        <w:pStyle w:val="BodyText"/>
        <w:rPr>
          <w:sz w:val="22"/>
        </w:rPr>
      </w:pPr>
    </w:p>
    <w:p>
      <w:pPr>
        <w:pStyle w:val="BodyText"/>
        <w:spacing w:before="6"/>
      </w:pPr>
    </w:p>
    <w:p>
      <w:pPr>
        <w:spacing w:before="0"/>
        <w:ind w:left="520" w:right="0" w:firstLine="0"/>
        <w:jc w:val="both"/>
        <w:rPr>
          <w:rFonts w:ascii="Trebuchet MS"/>
          <w:sz w:val="20"/>
        </w:rPr>
      </w:pPr>
      <w:r>
        <w:rPr>
          <w:rFonts w:ascii="Trebuchet MS"/>
          <w:color w:val="231F20"/>
          <w:w w:val="85"/>
          <w:sz w:val="20"/>
        </w:rPr>
        <w:t>DAY</w:t>
      </w:r>
      <w:r>
        <w:rPr>
          <w:rFonts w:ascii="Trebuchet MS"/>
          <w:color w:val="231F20"/>
          <w:spacing w:val="3"/>
          <w:sz w:val="20"/>
        </w:rPr>
        <w:t> </w:t>
      </w:r>
      <w:r>
        <w:rPr>
          <w:rFonts w:ascii="Trebuchet MS"/>
          <w:color w:val="231F20"/>
          <w:w w:val="85"/>
          <w:sz w:val="20"/>
        </w:rPr>
        <w:t>2:</w:t>
      </w:r>
      <w:r>
        <w:rPr>
          <w:rFonts w:ascii="Trebuchet MS"/>
          <w:color w:val="231F20"/>
          <w:spacing w:val="3"/>
          <w:sz w:val="20"/>
        </w:rPr>
        <w:t> </w:t>
      </w:r>
      <w:r>
        <w:rPr>
          <w:rFonts w:ascii="Trebuchet MS"/>
          <w:color w:val="231F20"/>
          <w:spacing w:val="-2"/>
          <w:w w:val="85"/>
          <w:sz w:val="20"/>
        </w:rPr>
        <w:t>ETHICS</w:t>
      </w:r>
    </w:p>
    <w:p>
      <w:pPr>
        <w:pStyle w:val="BodyText"/>
        <w:spacing w:before="5"/>
        <w:rPr>
          <w:rFonts w:ascii="Trebuchet MS"/>
          <w:sz w:val="25"/>
        </w:rPr>
      </w:pPr>
    </w:p>
    <w:p>
      <w:pPr>
        <w:spacing w:line="280" w:lineRule="auto" w:before="0"/>
        <w:ind w:left="860" w:right="686" w:hanging="340"/>
        <w:jc w:val="both"/>
        <w:rPr>
          <w:i/>
          <w:sz w:val="19"/>
        </w:rPr>
      </w:pPr>
      <w:r>
        <w:rPr>
          <w:color w:val="231F20"/>
          <w:w w:val="105"/>
          <w:sz w:val="19"/>
        </w:rPr>
        <w:t>Freeman,</w:t>
      </w:r>
      <w:r>
        <w:rPr>
          <w:color w:val="231F20"/>
          <w:spacing w:val="-8"/>
          <w:w w:val="105"/>
          <w:sz w:val="19"/>
        </w:rPr>
        <w:t> </w:t>
      </w:r>
      <w:r>
        <w:rPr>
          <w:color w:val="231F20"/>
          <w:w w:val="105"/>
          <w:sz w:val="19"/>
        </w:rPr>
        <w:t>R.</w:t>
      </w:r>
      <w:r>
        <w:rPr>
          <w:color w:val="231F20"/>
          <w:spacing w:val="-8"/>
          <w:w w:val="105"/>
          <w:sz w:val="19"/>
        </w:rPr>
        <w:t> </w:t>
      </w:r>
      <w:r>
        <w:rPr>
          <w:color w:val="231F20"/>
          <w:w w:val="105"/>
          <w:sz w:val="19"/>
        </w:rPr>
        <w:t>Edward,</w:t>
      </w:r>
      <w:r>
        <w:rPr>
          <w:color w:val="231F20"/>
          <w:spacing w:val="-8"/>
          <w:w w:val="105"/>
          <w:sz w:val="19"/>
        </w:rPr>
        <w:t> </w:t>
      </w:r>
      <w:r>
        <w:rPr>
          <w:color w:val="231F20"/>
          <w:w w:val="105"/>
          <w:sz w:val="19"/>
        </w:rPr>
        <w:t>and</w:t>
      </w:r>
      <w:r>
        <w:rPr>
          <w:color w:val="231F20"/>
          <w:spacing w:val="-8"/>
          <w:w w:val="105"/>
          <w:sz w:val="19"/>
        </w:rPr>
        <w:t> </w:t>
      </w:r>
      <w:r>
        <w:rPr>
          <w:color w:val="231F20"/>
          <w:w w:val="105"/>
          <w:sz w:val="19"/>
        </w:rPr>
        <w:t>Daniel</w:t>
      </w:r>
      <w:r>
        <w:rPr>
          <w:color w:val="231F20"/>
          <w:spacing w:val="-8"/>
          <w:w w:val="105"/>
          <w:sz w:val="19"/>
        </w:rPr>
        <w:t> </w:t>
      </w:r>
      <w:r>
        <w:rPr>
          <w:color w:val="231F20"/>
          <w:w w:val="105"/>
          <w:sz w:val="19"/>
        </w:rPr>
        <w:t>R.</w:t>
      </w:r>
      <w:r>
        <w:rPr>
          <w:color w:val="231F20"/>
          <w:spacing w:val="-8"/>
          <w:w w:val="105"/>
          <w:sz w:val="19"/>
        </w:rPr>
        <w:t> </w:t>
      </w:r>
      <w:r>
        <w:rPr>
          <w:color w:val="231F20"/>
          <w:w w:val="105"/>
          <w:sz w:val="19"/>
        </w:rPr>
        <w:t>Gilbert,</w:t>
      </w:r>
      <w:r>
        <w:rPr>
          <w:color w:val="231F20"/>
          <w:spacing w:val="-8"/>
          <w:w w:val="105"/>
          <w:sz w:val="19"/>
        </w:rPr>
        <w:t> </w:t>
      </w:r>
      <w:r>
        <w:rPr>
          <w:color w:val="231F20"/>
          <w:w w:val="105"/>
          <w:sz w:val="19"/>
        </w:rPr>
        <w:t>Jr.</w:t>
      </w:r>
      <w:r>
        <w:rPr>
          <w:color w:val="231F20"/>
          <w:spacing w:val="-8"/>
          <w:w w:val="105"/>
          <w:sz w:val="19"/>
        </w:rPr>
        <w:t> </w:t>
      </w:r>
      <w:r>
        <w:rPr>
          <w:color w:val="231F20"/>
          <w:w w:val="105"/>
          <w:sz w:val="19"/>
        </w:rPr>
        <w:t>“The</w:t>
      </w:r>
      <w:r>
        <w:rPr>
          <w:color w:val="231F20"/>
          <w:spacing w:val="-8"/>
          <w:w w:val="105"/>
          <w:sz w:val="19"/>
        </w:rPr>
        <w:t> </w:t>
      </w:r>
      <w:r>
        <w:rPr>
          <w:color w:val="231F20"/>
          <w:w w:val="105"/>
          <w:sz w:val="19"/>
        </w:rPr>
        <w:t>Problem</w:t>
      </w:r>
      <w:r>
        <w:rPr>
          <w:color w:val="231F20"/>
          <w:spacing w:val="-8"/>
          <w:w w:val="105"/>
          <w:sz w:val="19"/>
        </w:rPr>
        <w:t> </w:t>
      </w:r>
      <w:r>
        <w:rPr>
          <w:color w:val="231F20"/>
          <w:w w:val="105"/>
          <w:sz w:val="19"/>
        </w:rPr>
        <w:t>of</w:t>
      </w:r>
      <w:r>
        <w:rPr>
          <w:color w:val="231F20"/>
          <w:spacing w:val="-8"/>
          <w:w w:val="105"/>
          <w:sz w:val="19"/>
        </w:rPr>
        <w:t> </w:t>
      </w:r>
      <w:r>
        <w:rPr>
          <w:color w:val="231F20"/>
          <w:w w:val="105"/>
          <w:sz w:val="19"/>
        </w:rPr>
        <w:t>Relativism: When</w:t>
      </w:r>
      <w:r>
        <w:rPr>
          <w:color w:val="231F20"/>
          <w:spacing w:val="11"/>
          <w:w w:val="105"/>
          <w:sz w:val="19"/>
        </w:rPr>
        <w:t> </w:t>
      </w:r>
      <w:r>
        <w:rPr>
          <w:color w:val="231F20"/>
          <w:w w:val="105"/>
          <w:sz w:val="19"/>
        </w:rPr>
        <w:t>in</w:t>
      </w:r>
      <w:r>
        <w:rPr>
          <w:color w:val="231F20"/>
          <w:spacing w:val="12"/>
          <w:w w:val="105"/>
          <w:sz w:val="19"/>
        </w:rPr>
        <w:t> </w:t>
      </w:r>
      <w:r>
        <w:rPr>
          <w:color w:val="231F20"/>
          <w:w w:val="105"/>
          <w:sz w:val="19"/>
        </w:rPr>
        <w:t>Rome</w:t>
      </w:r>
      <w:r>
        <w:rPr>
          <w:color w:val="231F20"/>
          <w:spacing w:val="-3"/>
          <w:w w:val="105"/>
          <w:sz w:val="19"/>
        </w:rPr>
        <w:t> </w:t>
      </w:r>
      <w:r>
        <w:rPr>
          <w:color w:val="231F20"/>
          <w:w w:val="115"/>
          <w:sz w:val="19"/>
        </w:rPr>
        <w:t>.</w:t>
      </w:r>
      <w:r>
        <w:rPr>
          <w:color w:val="231F20"/>
          <w:spacing w:val="-8"/>
          <w:w w:val="115"/>
          <w:sz w:val="19"/>
        </w:rPr>
        <w:t> </w:t>
      </w:r>
      <w:r>
        <w:rPr>
          <w:color w:val="231F20"/>
          <w:w w:val="115"/>
          <w:sz w:val="19"/>
        </w:rPr>
        <w:t>.</w:t>
      </w:r>
      <w:r>
        <w:rPr>
          <w:color w:val="231F20"/>
          <w:spacing w:val="-8"/>
          <w:w w:val="115"/>
          <w:sz w:val="19"/>
        </w:rPr>
        <w:t> </w:t>
      </w:r>
      <w:r>
        <w:rPr>
          <w:color w:val="231F20"/>
          <w:w w:val="115"/>
          <w:sz w:val="19"/>
        </w:rPr>
        <w:t>.”</w:t>
      </w:r>
      <w:r>
        <w:rPr>
          <w:color w:val="231F20"/>
          <w:spacing w:val="8"/>
          <w:w w:val="115"/>
          <w:sz w:val="19"/>
        </w:rPr>
        <w:t> </w:t>
      </w:r>
      <w:r>
        <w:rPr>
          <w:color w:val="231F20"/>
          <w:w w:val="105"/>
          <w:sz w:val="19"/>
        </w:rPr>
        <w:t>Chapter</w:t>
      </w:r>
      <w:r>
        <w:rPr>
          <w:color w:val="231F20"/>
          <w:spacing w:val="12"/>
          <w:w w:val="105"/>
          <w:sz w:val="19"/>
        </w:rPr>
        <w:t> </w:t>
      </w:r>
      <w:r>
        <w:rPr>
          <w:color w:val="231F20"/>
          <w:w w:val="105"/>
          <w:sz w:val="19"/>
        </w:rPr>
        <w:t>2,</w:t>
      </w:r>
      <w:r>
        <w:rPr>
          <w:color w:val="231F20"/>
          <w:spacing w:val="12"/>
          <w:w w:val="105"/>
          <w:sz w:val="19"/>
        </w:rPr>
        <w:t> </w:t>
      </w:r>
      <w:r>
        <w:rPr>
          <w:i/>
          <w:color w:val="231F20"/>
          <w:w w:val="105"/>
          <w:sz w:val="19"/>
        </w:rPr>
        <w:t>Corporate</w:t>
      </w:r>
      <w:r>
        <w:rPr>
          <w:i/>
          <w:color w:val="231F20"/>
          <w:spacing w:val="12"/>
          <w:w w:val="105"/>
          <w:sz w:val="19"/>
        </w:rPr>
        <w:t> </w:t>
      </w:r>
      <w:r>
        <w:rPr>
          <w:i/>
          <w:color w:val="231F20"/>
          <w:w w:val="105"/>
          <w:sz w:val="19"/>
        </w:rPr>
        <w:t>Strategy</w:t>
      </w:r>
      <w:r>
        <w:rPr>
          <w:i/>
          <w:color w:val="231F20"/>
          <w:spacing w:val="12"/>
          <w:w w:val="105"/>
          <w:sz w:val="19"/>
        </w:rPr>
        <w:t> </w:t>
      </w:r>
      <w:r>
        <w:rPr>
          <w:i/>
          <w:color w:val="231F20"/>
          <w:w w:val="105"/>
          <w:sz w:val="19"/>
        </w:rPr>
        <w:t>and</w:t>
      </w:r>
      <w:r>
        <w:rPr>
          <w:i/>
          <w:color w:val="231F20"/>
          <w:spacing w:val="12"/>
          <w:w w:val="105"/>
          <w:sz w:val="19"/>
        </w:rPr>
        <w:t> </w:t>
      </w:r>
      <w:r>
        <w:rPr>
          <w:i/>
          <w:color w:val="231F20"/>
          <w:w w:val="105"/>
          <w:sz w:val="19"/>
        </w:rPr>
        <w:t>the</w:t>
      </w:r>
      <w:r>
        <w:rPr>
          <w:i/>
          <w:color w:val="231F20"/>
          <w:spacing w:val="11"/>
          <w:w w:val="105"/>
          <w:sz w:val="19"/>
        </w:rPr>
        <w:t> </w:t>
      </w:r>
      <w:r>
        <w:rPr>
          <w:i/>
          <w:color w:val="231F20"/>
          <w:w w:val="105"/>
          <w:sz w:val="19"/>
        </w:rPr>
        <w:t>Search</w:t>
      </w:r>
      <w:r>
        <w:rPr>
          <w:i/>
          <w:color w:val="231F20"/>
          <w:spacing w:val="12"/>
          <w:w w:val="105"/>
          <w:sz w:val="19"/>
        </w:rPr>
        <w:t> </w:t>
      </w:r>
      <w:r>
        <w:rPr>
          <w:i/>
          <w:color w:val="231F20"/>
          <w:spacing w:val="-5"/>
          <w:w w:val="105"/>
          <w:sz w:val="19"/>
        </w:rPr>
        <w:t>for</w:t>
      </w:r>
    </w:p>
    <w:p>
      <w:pPr>
        <w:spacing w:after="0" w:line="280" w:lineRule="auto"/>
        <w:jc w:val="both"/>
        <w:rPr>
          <w:sz w:val="19"/>
        </w:rPr>
        <w:sectPr>
          <w:headerReference w:type="default" r:id="rId152"/>
          <w:pgSz w:w="8640" w:h="12960"/>
          <w:pgMar w:header="0" w:footer="0" w:top="1220" w:bottom="280" w:left="740" w:right="480"/>
        </w:sectPr>
      </w:pPr>
    </w:p>
    <w:p>
      <w:pPr>
        <w:pStyle w:val="BodyText"/>
        <w:spacing w:before="2"/>
        <w:rPr>
          <w:i/>
          <w:sz w:val="18"/>
        </w:rPr>
      </w:pPr>
    </w:p>
    <w:p>
      <w:pPr>
        <w:spacing w:line="280" w:lineRule="auto" w:before="99"/>
        <w:ind w:left="770" w:right="759" w:firstLine="0"/>
        <w:jc w:val="left"/>
        <w:rPr>
          <w:sz w:val="19"/>
        </w:rPr>
      </w:pPr>
      <w:r>
        <w:rPr>
          <w:i/>
          <w:color w:val="231F20"/>
          <w:sz w:val="19"/>
        </w:rPr>
        <w:t>Ethics.</w:t>
      </w:r>
      <w:r>
        <w:rPr>
          <w:i/>
          <w:color w:val="231F20"/>
          <w:spacing w:val="80"/>
          <w:w w:val="150"/>
          <w:sz w:val="19"/>
        </w:rPr>
        <w:t> </w:t>
      </w:r>
      <w:r>
        <w:rPr>
          <w:color w:val="231F20"/>
          <w:sz w:val="19"/>
        </w:rPr>
        <w:t>Englewood</w:t>
      </w:r>
      <w:r>
        <w:rPr>
          <w:color w:val="231F20"/>
          <w:spacing w:val="80"/>
          <w:w w:val="150"/>
          <w:sz w:val="19"/>
        </w:rPr>
        <w:t> </w:t>
      </w:r>
      <w:r>
        <w:rPr>
          <w:color w:val="231F20"/>
          <w:sz w:val="19"/>
        </w:rPr>
        <w:t>Cliffs,</w:t>
      </w:r>
      <w:r>
        <w:rPr>
          <w:color w:val="231F20"/>
          <w:spacing w:val="80"/>
          <w:w w:val="150"/>
          <w:sz w:val="19"/>
        </w:rPr>
        <w:t> </w:t>
      </w:r>
      <w:r>
        <w:rPr>
          <w:color w:val="231F20"/>
          <w:sz w:val="19"/>
        </w:rPr>
        <w:t>N.J.:</w:t>
      </w:r>
      <w:r>
        <w:rPr>
          <w:color w:val="231F20"/>
          <w:spacing w:val="80"/>
          <w:w w:val="150"/>
          <w:sz w:val="19"/>
        </w:rPr>
        <w:t> </w:t>
      </w:r>
      <w:r>
        <w:rPr>
          <w:color w:val="231F20"/>
          <w:sz w:val="19"/>
        </w:rPr>
        <w:t>Prentice-Hall,</w:t>
      </w:r>
      <w:r>
        <w:rPr>
          <w:color w:val="231F20"/>
          <w:spacing w:val="80"/>
          <w:w w:val="150"/>
          <w:sz w:val="19"/>
        </w:rPr>
        <w:t> </w:t>
      </w:r>
      <w:r>
        <w:rPr>
          <w:color w:val="231F20"/>
          <w:sz w:val="19"/>
        </w:rPr>
        <w:t>1988,</w:t>
      </w:r>
      <w:r>
        <w:rPr>
          <w:color w:val="231F20"/>
          <w:spacing w:val="80"/>
          <w:w w:val="150"/>
          <w:sz w:val="19"/>
        </w:rPr>
        <w:t> </w:t>
      </w:r>
      <w:r>
        <w:rPr>
          <w:color w:val="231F20"/>
          <w:sz w:val="19"/>
        </w:rPr>
        <w:t>pp.</w:t>
      </w:r>
      <w:r>
        <w:rPr>
          <w:color w:val="231F20"/>
          <w:spacing w:val="80"/>
          <w:w w:val="150"/>
          <w:sz w:val="19"/>
        </w:rPr>
        <w:t> </w:t>
      </w:r>
      <w:r>
        <w:rPr>
          <w:color w:val="231F20"/>
          <w:sz w:val="19"/>
        </w:rPr>
        <w:t>24</w:t>
      </w:r>
      <w:r>
        <w:rPr>
          <w:color w:val="231F20"/>
          <w:spacing w:val="-11"/>
          <w:sz w:val="19"/>
        </w:rPr>
        <w:t> </w:t>
      </w:r>
      <w:r>
        <w:rPr>
          <w:color w:val="231F20"/>
          <w:sz w:val="19"/>
        </w:rPr>
        <w:t>–</w:t>
      </w:r>
      <w:r>
        <w:rPr>
          <w:color w:val="231F20"/>
          <w:spacing w:val="-11"/>
          <w:sz w:val="19"/>
        </w:rPr>
        <w:t> </w:t>
      </w:r>
      <w:r>
        <w:rPr>
          <w:color w:val="231F20"/>
          <w:sz w:val="19"/>
        </w:rPr>
        <w:t>41.</w:t>
      </w:r>
      <w:r>
        <w:rPr>
          <w:color w:val="231F20"/>
          <w:spacing w:val="40"/>
          <w:sz w:val="19"/>
        </w:rPr>
        <w:t> </w:t>
      </w:r>
      <w:r>
        <w:rPr>
          <w:color w:val="231F20"/>
          <w:sz w:val="19"/>
        </w:rPr>
        <w:t>Adapted by permission of Prentice-Hall.</w:t>
      </w:r>
    </w:p>
    <w:p>
      <w:pPr>
        <w:spacing w:line="280" w:lineRule="auto" w:before="0"/>
        <w:ind w:left="770" w:right="773" w:hanging="340"/>
        <w:jc w:val="both"/>
        <w:rPr>
          <w:sz w:val="19"/>
        </w:rPr>
      </w:pPr>
      <w:r>
        <w:rPr>
          <w:color w:val="231F20"/>
          <w:sz w:val="19"/>
        </w:rPr>
        <w:t>Friedman, Milton (Chicago). “The Social Responsibility Is to Increase</w:t>
      </w:r>
      <w:r>
        <w:rPr>
          <w:color w:val="231F20"/>
          <w:spacing w:val="40"/>
          <w:sz w:val="19"/>
        </w:rPr>
        <w:t> </w:t>
      </w:r>
      <w:r>
        <w:rPr>
          <w:color w:val="231F20"/>
          <w:sz w:val="19"/>
        </w:rPr>
        <w:t>Profits.” </w:t>
      </w:r>
      <w:r>
        <w:rPr>
          <w:i/>
          <w:color w:val="231F20"/>
          <w:sz w:val="19"/>
        </w:rPr>
        <w:t>The New York Times, </w:t>
      </w:r>
      <w:r>
        <w:rPr>
          <w:color w:val="231F20"/>
          <w:sz w:val="19"/>
        </w:rPr>
        <w:t>September 13, 1970.</w:t>
      </w:r>
    </w:p>
    <w:p>
      <w:pPr>
        <w:pStyle w:val="BodyText"/>
        <w:rPr>
          <w:sz w:val="22"/>
        </w:rPr>
      </w:pPr>
    </w:p>
    <w:p>
      <w:pPr>
        <w:pStyle w:val="BodyText"/>
        <w:spacing w:before="7"/>
        <w:rPr>
          <w:sz w:val="32"/>
        </w:rPr>
      </w:pPr>
    </w:p>
    <w:p>
      <w:pPr>
        <w:spacing w:before="1"/>
        <w:ind w:left="430" w:right="0" w:firstLine="0"/>
        <w:jc w:val="left"/>
        <w:rPr>
          <w:rFonts w:ascii="Trebuchet MS"/>
          <w:sz w:val="20"/>
        </w:rPr>
      </w:pPr>
      <w:r>
        <w:rPr>
          <w:rFonts w:ascii="Trebuchet MS"/>
          <w:color w:val="231F20"/>
          <w:w w:val="85"/>
          <w:sz w:val="20"/>
        </w:rPr>
        <w:t>DAY</w:t>
      </w:r>
      <w:r>
        <w:rPr>
          <w:rFonts w:ascii="Trebuchet MS"/>
          <w:color w:val="231F20"/>
          <w:spacing w:val="3"/>
          <w:sz w:val="20"/>
        </w:rPr>
        <w:t> </w:t>
      </w:r>
      <w:r>
        <w:rPr>
          <w:rFonts w:ascii="Trebuchet MS"/>
          <w:color w:val="231F20"/>
          <w:w w:val="85"/>
          <w:sz w:val="20"/>
        </w:rPr>
        <w:t>3:</w:t>
      </w:r>
      <w:r>
        <w:rPr>
          <w:rFonts w:ascii="Trebuchet MS"/>
          <w:color w:val="231F20"/>
          <w:spacing w:val="3"/>
          <w:sz w:val="20"/>
        </w:rPr>
        <w:t> </w:t>
      </w:r>
      <w:r>
        <w:rPr>
          <w:rFonts w:ascii="Trebuchet MS"/>
          <w:color w:val="231F20"/>
          <w:spacing w:val="-2"/>
          <w:w w:val="85"/>
          <w:sz w:val="20"/>
        </w:rPr>
        <w:t>ACCOUNTING</w:t>
      </w:r>
    </w:p>
    <w:p>
      <w:pPr>
        <w:pStyle w:val="BodyText"/>
        <w:spacing w:before="4"/>
        <w:rPr>
          <w:rFonts w:ascii="Trebuchet MS"/>
          <w:sz w:val="25"/>
        </w:rPr>
      </w:pPr>
    </w:p>
    <w:p>
      <w:pPr>
        <w:spacing w:line="280" w:lineRule="auto" w:before="0"/>
        <w:ind w:left="770" w:right="777" w:hanging="340"/>
        <w:jc w:val="both"/>
        <w:rPr>
          <w:sz w:val="19"/>
        </w:rPr>
      </w:pPr>
      <w:r>
        <w:rPr>
          <w:color w:val="231F20"/>
          <w:w w:val="105"/>
          <w:sz w:val="19"/>
        </w:rPr>
        <w:t>Rao, Srikumar. “Overhead Can Kill You.” </w:t>
      </w:r>
      <w:r>
        <w:rPr>
          <w:i/>
          <w:color w:val="231F20"/>
          <w:w w:val="105"/>
          <w:sz w:val="19"/>
        </w:rPr>
        <w:t>Forbes, </w:t>
      </w:r>
      <w:r>
        <w:rPr>
          <w:color w:val="231F20"/>
          <w:w w:val="105"/>
          <w:sz w:val="19"/>
        </w:rPr>
        <w:t>February 10, 1997, p. 97 (activity-based accounting).</w:t>
      </w:r>
    </w:p>
    <w:p>
      <w:pPr>
        <w:spacing w:line="280" w:lineRule="auto" w:before="0"/>
        <w:ind w:left="770" w:right="777" w:hanging="340"/>
        <w:jc w:val="both"/>
        <w:rPr>
          <w:sz w:val="19"/>
        </w:rPr>
      </w:pPr>
      <w:r>
        <w:rPr>
          <w:color w:val="231F20"/>
          <w:w w:val="105"/>
          <w:sz w:val="19"/>
        </w:rPr>
        <w:t>Stern,</w:t>
      </w:r>
      <w:r>
        <w:rPr>
          <w:color w:val="231F20"/>
          <w:spacing w:val="-2"/>
          <w:w w:val="105"/>
          <w:sz w:val="19"/>
        </w:rPr>
        <w:t> </w:t>
      </w:r>
      <w:r>
        <w:rPr>
          <w:color w:val="231F20"/>
          <w:w w:val="105"/>
          <w:sz w:val="19"/>
        </w:rPr>
        <w:t>Richard</w:t>
      </w:r>
      <w:r>
        <w:rPr>
          <w:color w:val="231F20"/>
          <w:spacing w:val="-2"/>
          <w:w w:val="105"/>
          <w:sz w:val="19"/>
        </w:rPr>
        <w:t> </w:t>
      </w:r>
      <w:r>
        <w:rPr>
          <w:color w:val="231F20"/>
          <w:w w:val="105"/>
          <w:sz w:val="19"/>
        </w:rPr>
        <w:t>I.</w:t>
      </w:r>
      <w:r>
        <w:rPr>
          <w:color w:val="231F20"/>
          <w:spacing w:val="-2"/>
          <w:w w:val="105"/>
          <w:sz w:val="19"/>
        </w:rPr>
        <w:t> </w:t>
      </w:r>
      <w:r>
        <w:rPr>
          <w:color w:val="231F20"/>
          <w:w w:val="105"/>
          <w:sz w:val="19"/>
        </w:rPr>
        <w:t>“McDonnell</w:t>
      </w:r>
      <w:r>
        <w:rPr>
          <w:color w:val="231F20"/>
          <w:spacing w:val="-2"/>
          <w:w w:val="105"/>
          <w:sz w:val="19"/>
        </w:rPr>
        <w:t> </w:t>
      </w:r>
      <w:r>
        <w:rPr>
          <w:color w:val="231F20"/>
          <w:w w:val="105"/>
          <w:sz w:val="19"/>
        </w:rPr>
        <w:t>Douglas’</w:t>
      </w:r>
      <w:r>
        <w:rPr>
          <w:color w:val="231F20"/>
          <w:spacing w:val="-2"/>
          <w:w w:val="105"/>
          <w:sz w:val="19"/>
        </w:rPr>
        <w:t> </w:t>
      </w:r>
      <w:r>
        <w:rPr>
          <w:color w:val="231F20"/>
          <w:w w:val="105"/>
          <w:sz w:val="19"/>
        </w:rPr>
        <w:t>Make-or-Break</w:t>
      </w:r>
      <w:r>
        <w:rPr>
          <w:color w:val="231F20"/>
          <w:spacing w:val="-2"/>
          <w:w w:val="105"/>
          <w:sz w:val="19"/>
        </w:rPr>
        <w:t> </w:t>
      </w:r>
      <w:r>
        <w:rPr>
          <w:color w:val="231F20"/>
          <w:w w:val="105"/>
          <w:sz w:val="19"/>
        </w:rPr>
        <w:t>Year.”</w:t>
      </w:r>
      <w:r>
        <w:rPr>
          <w:color w:val="231F20"/>
          <w:spacing w:val="-2"/>
          <w:w w:val="105"/>
          <w:sz w:val="19"/>
        </w:rPr>
        <w:t> </w:t>
      </w:r>
      <w:r>
        <w:rPr>
          <w:i/>
          <w:color w:val="231F20"/>
          <w:w w:val="105"/>
          <w:sz w:val="19"/>
        </w:rPr>
        <w:t>Forbes,</w:t>
      </w:r>
      <w:r>
        <w:rPr>
          <w:i/>
          <w:color w:val="231F20"/>
          <w:spacing w:val="-2"/>
          <w:w w:val="105"/>
          <w:sz w:val="19"/>
        </w:rPr>
        <w:t> </w:t>
      </w:r>
      <w:r>
        <w:rPr>
          <w:color w:val="231F20"/>
          <w:w w:val="105"/>
          <w:sz w:val="19"/>
        </w:rPr>
        <w:t>Janu- ary 7, 1991, p. 37 (McDonnell Douglas income statement).</w:t>
      </w:r>
    </w:p>
    <w:p>
      <w:pPr>
        <w:pStyle w:val="BodyText"/>
        <w:rPr>
          <w:sz w:val="22"/>
        </w:rPr>
      </w:pPr>
    </w:p>
    <w:p>
      <w:pPr>
        <w:pStyle w:val="BodyText"/>
        <w:spacing w:before="7"/>
        <w:rPr>
          <w:sz w:val="32"/>
        </w:rPr>
      </w:pPr>
    </w:p>
    <w:p>
      <w:pPr>
        <w:spacing w:before="0"/>
        <w:ind w:left="430" w:right="0" w:firstLine="0"/>
        <w:jc w:val="left"/>
        <w:rPr>
          <w:rFonts w:ascii="Trebuchet MS"/>
          <w:sz w:val="20"/>
        </w:rPr>
      </w:pPr>
      <w:r>
        <w:rPr>
          <w:rFonts w:ascii="Trebuchet MS"/>
          <w:color w:val="231F20"/>
          <w:w w:val="85"/>
          <w:sz w:val="20"/>
        </w:rPr>
        <w:t>DAY</w:t>
      </w:r>
      <w:r>
        <w:rPr>
          <w:rFonts w:ascii="Trebuchet MS"/>
          <w:color w:val="231F20"/>
          <w:spacing w:val="26"/>
          <w:sz w:val="20"/>
        </w:rPr>
        <w:t> </w:t>
      </w:r>
      <w:r>
        <w:rPr>
          <w:rFonts w:ascii="Trebuchet MS"/>
          <w:color w:val="231F20"/>
          <w:w w:val="85"/>
          <w:sz w:val="20"/>
        </w:rPr>
        <w:t>4:</w:t>
      </w:r>
      <w:r>
        <w:rPr>
          <w:rFonts w:ascii="Trebuchet MS"/>
          <w:color w:val="231F20"/>
          <w:spacing w:val="26"/>
          <w:sz w:val="20"/>
        </w:rPr>
        <w:t> </w:t>
      </w:r>
      <w:r>
        <w:rPr>
          <w:rFonts w:ascii="Trebuchet MS"/>
          <w:color w:val="231F20"/>
          <w:w w:val="85"/>
          <w:sz w:val="20"/>
        </w:rPr>
        <w:t>ORGANIZATIONAL</w:t>
      </w:r>
      <w:r>
        <w:rPr>
          <w:rFonts w:ascii="Trebuchet MS"/>
          <w:color w:val="231F20"/>
          <w:spacing w:val="27"/>
          <w:sz w:val="20"/>
        </w:rPr>
        <w:t> </w:t>
      </w:r>
      <w:r>
        <w:rPr>
          <w:rFonts w:ascii="Trebuchet MS"/>
          <w:color w:val="231F20"/>
          <w:spacing w:val="-2"/>
          <w:w w:val="85"/>
          <w:sz w:val="20"/>
        </w:rPr>
        <w:t>BEHAVIOR</w:t>
      </w:r>
    </w:p>
    <w:p>
      <w:pPr>
        <w:pStyle w:val="BodyText"/>
        <w:spacing w:before="5"/>
        <w:rPr>
          <w:rFonts w:ascii="Trebuchet MS"/>
          <w:sz w:val="25"/>
        </w:rPr>
      </w:pPr>
    </w:p>
    <w:p>
      <w:pPr>
        <w:spacing w:line="280" w:lineRule="auto" w:before="0"/>
        <w:ind w:left="770" w:right="776" w:hanging="340"/>
        <w:jc w:val="both"/>
        <w:rPr>
          <w:sz w:val="19"/>
        </w:rPr>
      </w:pPr>
      <w:r>
        <w:rPr>
          <w:color w:val="231F20"/>
          <w:sz w:val="19"/>
        </w:rPr>
        <w:t>“Active Listening,” Case UVA-OB-341, copyright © 1986 by the Darden Graduate Business School Foundation, Charlottesville, Virginia.</w:t>
      </w:r>
    </w:p>
    <w:p>
      <w:pPr>
        <w:spacing w:line="280" w:lineRule="auto" w:before="0"/>
        <w:ind w:left="770" w:right="776" w:hanging="340"/>
        <w:jc w:val="both"/>
        <w:rPr>
          <w:sz w:val="19"/>
        </w:rPr>
      </w:pPr>
      <w:r>
        <w:rPr>
          <w:color w:val="231F20"/>
          <w:sz w:val="19"/>
        </w:rPr>
        <w:t>Beer, Michael. “Note on Performance Appraisal,” Case 478-019, College, copyright © 1977 by the President and Fellows of Harvard College; </w:t>
      </w:r>
      <w:r>
        <w:rPr>
          <w:color w:val="231F20"/>
          <w:sz w:val="19"/>
        </w:rPr>
        <w:t>all rights reserved.</w:t>
      </w:r>
    </w:p>
    <w:p>
      <w:pPr>
        <w:spacing w:line="280" w:lineRule="auto" w:before="0"/>
        <w:ind w:left="770" w:right="777" w:hanging="340"/>
        <w:jc w:val="both"/>
        <w:rPr>
          <w:sz w:val="19"/>
        </w:rPr>
      </w:pPr>
      <w:r>
        <w:rPr>
          <w:color w:val="231F20"/>
          <w:w w:val="105"/>
          <w:sz w:val="19"/>
        </w:rPr>
        <w:t>Byrne,</w:t>
      </w:r>
      <w:r>
        <w:rPr>
          <w:color w:val="231F20"/>
          <w:spacing w:val="-11"/>
          <w:w w:val="105"/>
          <w:sz w:val="19"/>
        </w:rPr>
        <w:t> </w:t>
      </w:r>
      <w:r>
        <w:rPr>
          <w:color w:val="231F20"/>
          <w:w w:val="105"/>
          <w:sz w:val="19"/>
        </w:rPr>
        <w:t>John</w:t>
      </w:r>
      <w:r>
        <w:rPr>
          <w:color w:val="231F20"/>
          <w:spacing w:val="-11"/>
          <w:w w:val="105"/>
          <w:sz w:val="19"/>
        </w:rPr>
        <w:t> </w:t>
      </w:r>
      <w:r>
        <w:rPr>
          <w:color w:val="231F20"/>
          <w:w w:val="105"/>
          <w:sz w:val="19"/>
        </w:rPr>
        <w:t>A.</w:t>
      </w:r>
      <w:r>
        <w:rPr>
          <w:color w:val="231F20"/>
          <w:spacing w:val="-5"/>
          <w:w w:val="105"/>
          <w:sz w:val="19"/>
        </w:rPr>
        <w:t> </w:t>
      </w:r>
      <w:r>
        <w:rPr>
          <w:color w:val="231F20"/>
          <w:w w:val="105"/>
          <w:sz w:val="19"/>
        </w:rPr>
        <w:t>“Business</w:t>
      </w:r>
      <w:r>
        <w:rPr>
          <w:color w:val="231F20"/>
          <w:spacing w:val="-4"/>
          <w:w w:val="105"/>
          <w:sz w:val="19"/>
        </w:rPr>
        <w:t> </w:t>
      </w:r>
      <w:r>
        <w:rPr>
          <w:color w:val="231F20"/>
          <w:w w:val="105"/>
          <w:sz w:val="19"/>
        </w:rPr>
        <w:t>Fads:</w:t>
      </w:r>
      <w:r>
        <w:rPr>
          <w:color w:val="231F20"/>
          <w:spacing w:val="-4"/>
          <w:w w:val="105"/>
          <w:sz w:val="19"/>
        </w:rPr>
        <w:t> </w:t>
      </w:r>
      <w:r>
        <w:rPr>
          <w:color w:val="231F20"/>
          <w:w w:val="105"/>
          <w:sz w:val="19"/>
        </w:rPr>
        <w:t>What’s</w:t>
      </w:r>
      <w:r>
        <w:rPr>
          <w:color w:val="231F20"/>
          <w:spacing w:val="-4"/>
          <w:w w:val="105"/>
          <w:sz w:val="19"/>
        </w:rPr>
        <w:t> </w:t>
      </w:r>
      <w:r>
        <w:rPr>
          <w:color w:val="231F20"/>
          <w:w w:val="105"/>
          <w:sz w:val="19"/>
        </w:rPr>
        <w:t>In—</w:t>
      </w:r>
      <w:r>
        <w:rPr>
          <w:color w:val="231F20"/>
          <w:spacing w:val="-11"/>
          <w:w w:val="105"/>
          <w:sz w:val="19"/>
        </w:rPr>
        <w:t> </w:t>
      </w:r>
      <w:r>
        <w:rPr>
          <w:color w:val="231F20"/>
          <w:w w:val="105"/>
          <w:sz w:val="19"/>
        </w:rPr>
        <w:t>and</w:t>
      </w:r>
      <w:r>
        <w:rPr>
          <w:color w:val="231F20"/>
          <w:spacing w:val="-4"/>
          <w:w w:val="105"/>
          <w:sz w:val="19"/>
        </w:rPr>
        <w:t> </w:t>
      </w:r>
      <w:r>
        <w:rPr>
          <w:color w:val="231F20"/>
          <w:w w:val="105"/>
          <w:sz w:val="19"/>
        </w:rPr>
        <w:t>Out.”</w:t>
      </w:r>
      <w:r>
        <w:rPr>
          <w:color w:val="231F20"/>
          <w:spacing w:val="-5"/>
          <w:w w:val="105"/>
          <w:sz w:val="19"/>
        </w:rPr>
        <w:t> </w:t>
      </w:r>
      <w:r>
        <w:rPr>
          <w:i/>
          <w:color w:val="231F20"/>
          <w:w w:val="105"/>
          <w:sz w:val="19"/>
        </w:rPr>
        <w:t>Business</w:t>
      </w:r>
      <w:r>
        <w:rPr>
          <w:i/>
          <w:color w:val="231F20"/>
          <w:spacing w:val="-4"/>
          <w:w w:val="105"/>
          <w:sz w:val="19"/>
        </w:rPr>
        <w:t> </w:t>
      </w:r>
      <w:r>
        <w:rPr>
          <w:i/>
          <w:color w:val="231F20"/>
          <w:w w:val="105"/>
          <w:sz w:val="19"/>
        </w:rPr>
        <w:t>Week,</w:t>
      </w:r>
      <w:r>
        <w:rPr>
          <w:i/>
          <w:color w:val="231F20"/>
          <w:spacing w:val="-4"/>
          <w:w w:val="105"/>
          <w:sz w:val="19"/>
        </w:rPr>
        <w:t> </w:t>
      </w:r>
      <w:r>
        <w:rPr>
          <w:color w:val="231F20"/>
          <w:w w:val="105"/>
          <w:sz w:val="19"/>
        </w:rPr>
        <w:t>Janu- ary 20, 1986, p. 55 (MBA buzzwords).</w:t>
      </w:r>
    </w:p>
    <w:p>
      <w:pPr>
        <w:spacing w:line="280" w:lineRule="auto" w:before="0"/>
        <w:ind w:left="770" w:right="776" w:hanging="340"/>
        <w:jc w:val="both"/>
        <w:rPr>
          <w:sz w:val="19"/>
        </w:rPr>
      </w:pPr>
      <w:r>
        <w:rPr>
          <w:color w:val="231F20"/>
          <w:sz w:val="19"/>
        </w:rPr>
        <w:t>Edwards, Jeffrey R. “Assessing Your Behavior Pattern,” Case </w:t>
      </w:r>
      <w:r>
        <w:rPr>
          <w:color w:val="231F20"/>
          <w:sz w:val="19"/>
        </w:rPr>
        <w:t>UVA-OB-360, copyright © 1987 by the Darden Graduate Business School Foundation, Charlottesville, Virginia, p. 3 (types A and B).</w:t>
      </w:r>
    </w:p>
    <w:p>
      <w:pPr>
        <w:spacing w:line="280" w:lineRule="auto" w:before="0"/>
        <w:ind w:left="770" w:right="776" w:hanging="340"/>
        <w:jc w:val="both"/>
        <w:rPr>
          <w:sz w:val="19"/>
        </w:rPr>
      </w:pPr>
      <w:r>
        <w:rPr>
          <w:color w:val="231F20"/>
          <w:w w:val="105"/>
          <w:sz w:val="19"/>
        </w:rPr>
        <w:t>French,</w:t>
      </w:r>
      <w:r>
        <w:rPr>
          <w:color w:val="231F20"/>
          <w:spacing w:val="-7"/>
          <w:w w:val="105"/>
          <w:sz w:val="19"/>
        </w:rPr>
        <w:t> </w:t>
      </w:r>
      <w:r>
        <w:rPr>
          <w:color w:val="231F20"/>
          <w:w w:val="105"/>
          <w:sz w:val="19"/>
        </w:rPr>
        <w:t>John</w:t>
      </w:r>
      <w:r>
        <w:rPr>
          <w:color w:val="231F20"/>
          <w:spacing w:val="-7"/>
          <w:w w:val="105"/>
          <w:sz w:val="19"/>
        </w:rPr>
        <w:t> </w:t>
      </w:r>
      <w:r>
        <w:rPr>
          <w:color w:val="231F20"/>
          <w:w w:val="105"/>
          <w:sz w:val="19"/>
        </w:rPr>
        <w:t>R.</w:t>
      </w:r>
      <w:r>
        <w:rPr>
          <w:color w:val="231F20"/>
          <w:spacing w:val="-7"/>
          <w:w w:val="105"/>
          <w:sz w:val="19"/>
        </w:rPr>
        <w:t> </w:t>
      </w:r>
      <w:r>
        <w:rPr>
          <w:color w:val="231F20"/>
          <w:w w:val="105"/>
          <w:sz w:val="19"/>
        </w:rPr>
        <w:t>P.,</w:t>
      </w:r>
      <w:r>
        <w:rPr>
          <w:color w:val="231F20"/>
          <w:spacing w:val="-7"/>
          <w:w w:val="105"/>
          <w:sz w:val="19"/>
        </w:rPr>
        <w:t> </w:t>
      </w:r>
      <w:r>
        <w:rPr>
          <w:color w:val="231F20"/>
          <w:w w:val="105"/>
          <w:sz w:val="19"/>
        </w:rPr>
        <w:t>and</w:t>
      </w:r>
      <w:r>
        <w:rPr>
          <w:color w:val="231F20"/>
          <w:spacing w:val="-7"/>
          <w:w w:val="105"/>
          <w:sz w:val="19"/>
        </w:rPr>
        <w:t> </w:t>
      </w:r>
      <w:r>
        <w:rPr>
          <w:color w:val="231F20"/>
          <w:w w:val="105"/>
          <w:sz w:val="19"/>
        </w:rPr>
        <w:t>Bertram</w:t>
      </w:r>
      <w:r>
        <w:rPr>
          <w:color w:val="231F20"/>
          <w:spacing w:val="-7"/>
          <w:w w:val="105"/>
          <w:sz w:val="19"/>
        </w:rPr>
        <w:t> </w:t>
      </w:r>
      <w:r>
        <w:rPr>
          <w:color w:val="231F20"/>
          <w:w w:val="105"/>
          <w:sz w:val="19"/>
        </w:rPr>
        <w:t>Raven.</w:t>
      </w:r>
      <w:r>
        <w:rPr>
          <w:color w:val="231F20"/>
          <w:spacing w:val="-7"/>
          <w:w w:val="105"/>
          <w:sz w:val="19"/>
        </w:rPr>
        <w:t> </w:t>
      </w:r>
      <w:r>
        <w:rPr>
          <w:color w:val="231F20"/>
          <w:w w:val="105"/>
          <w:sz w:val="19"/>
        </w:rPr>
        <w:t>“The</w:t>
      </w:r>
      <w:r>
        <w:rPr>
          <w:color w:val="231F20"/>
          <w:spacing w:val="-7"/>
          <w:w w:val="105"/>
          <w:sz w:val="19"/>
        </w:rPr>
        <w:t> </w:t>
      </w:r>
      <w:r>
        <w:rPr>
          <w:color w:val="231F20"/>
          <w:w w:val="105"/>
          <w:sz w:val="19"/>
        </w:rPr>
        <w:t>Bases</w:t>
      </w:r>
      <w:r>
        <w:rPr>
          <w:color w:val="231F20"/>
          <w:spacing w:val="-7"/>
          <w:w w:val="105"/>
          <w:sz w:val="19"/>
        </w:rPr>
        <w:t> </w:t>
      </w:r>
      <w:r>
        <w:rPr>
          <w:color w:val="231F20"/>
          <w:w w:val="105"/>
          <w:sz w:val="19"/>
        </w:rPr>
        <w:t>of</w:t>
      </w:r>
      <w:r>
        <w:rPr>
          <w:color w:val="231F20"/>
          <w:spacing w:val="-7"/>
          <w:w w:val="105"/>
          <w:sz w:val="19"/>
        </w:rPr>
        <w:t> </w:t>
      </w:r>
      <w:r>
        <w:rPr>
          <w:color w:val="231F20"/>
          <w:w w:val="105"/>
          <w:sz w:val="19"/>
        </w:rPr>
        <w:t>Social</w:t>
      </w:r>
      <w:r>
        <w:rPr>
          <w:color w:val="231F20"/>
          <w:spacing w:val="-7"/>
          <w:w w:val="105"/>
          <w:sz w:val="19"/>
        </w:rPr>
        <w:t> </w:t>
      </w:r>
      <w:r>
        <w:rPr>
          <w:color w:val="231F20"/>
          <w:w w:val="105"/>
          <w:sz w:val="19"/>
        </w:rPr>
        <w:t>Power,”</w:t>
      </w:r>
      <w:r>
        <w:rPr>
          <w:color w:val="231F20"/>
          <w:spacing w:val="-8"/>
          <w:w w:val="105"/>
          <w:sz w:val="19"/>
        </w:rPr>
        <w:t> </w:t>
      </w:r>
      <w:r>
        <w:rPr>
          <w:i/>
          <w:color w:val="231F20"/>
          <w:w w:val="105"/>
          <w:sz w:val="19"/>
        </w:rPr>
        <w:t>Group</w:t>
      </w:r>
      <w:r>
        <w:rPr>
          <w:i/>
          <w:color w:val="231F20"/>
          <w:w w:val="105"/>
          <w:sz w:val="19"/>
        </w:rPr>
        <w:t> Dynamics,</w:t>
      </w:r>
      <w:r>
        <w:rPr>
          <w:i/>
          <w:color w:val="231F20"/>
          <w:spacing w:val="-4"/>
          <w:w w:val="105"/>
          <w:sz w:val="19"/>
        </w:rPr>
        <w:t> </w:t>
      </w:r>
      <w:r>
        <w:rPr>
          <w:color w:val="231F20"/>
          <w:w w:val="105"/>
          <w:sz w:val="19"/>
        </w:rPr>
        <w:t>ed.</w:t>
      </w:r>
      <w:r>
        <w:rPr>
          <w:color w:val="231F20"/>
          <w:spacing w:val="-4"/>
          <w:w w:val="105"/>
          <w:sz w:val="19"/>
        </w:rPr>
        <w:t> </w:t>
      </w:r>
      <w:r>
        <w:rPr>
          <w:color w:val="231F20"/>
          <w:w w:val="105"/>
          <w:sz w:val="19"/>
        </w:rPr>
        <w:t>Darwin</w:t>
      </w:r>
      <w:r>
        <w:rPr>
          <w:color w:val="231F20"/>
          <w:spacing w:val="-4"/>
          <w:w w:val="105"/>
          <w:sz w:val="19"/>
        </w:rPr>
        <w:t> </w:t>
      </w:r>
      <w:r>
        <w:rPr>
          <w:color w:val="231F20"/>
          <w:w w:val="105"/>
          <w:sz w:val="19"/>
        </w:rPr>
        <w:t>Cartwright.</w:t>
      </w:r>
      <w:r>
        <w:rPr>
          <w:color w:val="231F20"/>
          <w:spacing w:val="-4"/>
          <w:w w:val="105"/>
          <w:sz w:val="19"/>
        </w:rPr>
        <w:t> </w:t>
      </w:r>
      <w:r>
        <w:rPr>
          <w:color w:val="231F20"/>
          <w:w w:val="105"/>
          <w:sz w:val="19"/>
        </w:rPr>
        <w:t>Evanston,</w:t>
      </w:r>
      <w:r>
        <w:rPr>
          <w:color w:val="231F20"/>
          <w:spacing w:val="-4"/>
          <w:w w:val="105"/>
          <w:sz w:val="19"/>
        </w:rPr>
        <w:t> </w:t>
      </w:r>
      <w:r>
        <w:rPr>
          <w:color w:val="231F20"/>
          <w:w w:val="105"/>
          <w:sz w:val="19"/>
        </w:rPr>
        <w:t>Ill.:</w:t>
      </w:r>
      <w:r>
        <w:rPr>
          <w:color w:val="231F20"/>
          <w:spacing w:val="-4"/>
          <w:w w:val="105"/>
          <w:sz w:val="19"/>
        </w:rPr>
        <w:t> </w:t>
      </w:r>
      <w:r>
        <w:rPr>
          <w:color w:val="231F20"/>
          <w:w w:val="105"/>
          <w:sz w:val="19"/>
        </w:rPr>
        <w:t>Row,</w:t>
      </w:r>
      <w:r>
        <w:rPr>
          <w:color w:val="231F20"/>
          <w:spacing w:val="-4"/>
          <w:w w:val="105"/>
          <w:sz w:val="19"/>
        </w:rPr>
        <w:t> </w:t>
      </w:r>
      <w:r>
        <w:rPr>
          <w:color w:val="231F20"/>
          <w:w w:val="105"/>
          <w:sz w:val="19"/>
        </w:rPr>
        <w:t>Peterson,</w:t>
      </w:r>
      <w:r>
        <w:rPr>
          <w:color w:val="231F20"/>
          <w:spacing w:val="-4"/>
          <w:w w:val="105"/>
          <w:sz w:val="19"/>
        </w:rPr>
        <w:t> </w:t>
      </w:r>
      <w:r>
        <w:rPr>
          <w:color w:val="231F20"/>
          <w:w w:val="105"/>
          <w:sz w:val="19"/>
        </w:rPr>
        <w:t>1960, pp. 607</w:t>
      </w:r>
      <w:r>
        <w:rPr>
          <w:color w:val="231F20"/>
          <w:spacing w:val="-13"/>
          <w:w w:val="105"/>
          <w:sz w:val="19"/>
        </w:rPr>
        <w:t> </w:t>
      </w:r>
      <w:r>
        <w:rPr>
          <w:color w:val="231F20"/>
          <w:w w:val="105"/>
          <w:sz w:val="19"/>
        </w:rPr>
        <w:t>–</w:t>
      </w:r>
      <w:r>
        <w:rPr>
          <w:color w:val="231F20"/>
          <w:spacing w:val="-13"/>
          <w:w w:val="105"/>
          <w:sz w:val="19"/>
        </w:rPr>
        <w:t> </w:t>
      </w:r>
      <w:r>
        <w:rPr>
          <w:color w:val="231F20"/>
          <w:w w:val="105"/>
          <w:sz w:val="19"/>
        </w:rPr>
        <w:t>23 (power).</w:t>
      </w:r>
    </w:p>
    <w:p>
      <w:pPr>
        <w:spacing w:line="280" w:lineRule="auto" w:before="0"/>
        <w:ind w:left="770" w:right="774" w:hanging="340"/>
        <w:jc w:val="both"/>
        <w:rPr>
          <w:sz w:val="19"/>
        </w:rPr>
      </w:pPr>
      <w:r>
        <w:rPr>
          <w:color w:val="231F20"/>
          <w:w w:val="105"/>
          <w:sz w:val="19"/>
        </w:rPr>
        <w:t>Gabarro, John J., and John P. Kotter. “Managing Your Boss.” </w:t>
      </w:r>
      <w:r>
        <w:rPr>
          <w:i/>
          <w:color w:val="231F20"/>
          <w:w w:val="105"/>
          <w:sz w:val="19"/>
        </w:rPr>
        <w:t>Harvard Busi-</w:t>
      </w:r>
      <w:r>
        <w:rPr>
          <w:i/>
          <w:color w:val="231F20"/>
          <w:w w:val="105"/>
          <w:sz w:val="19"/>
        </w:rPr>
        <w:t> ness</w:t>
      </w:r>
      <w:r>
        <w:rPr>
          <w:i/>
          <w:color w:val="231F20"/>
          <w:w w:val="105"/>
          <w:sz w:val="19"/>
        </w:rPr>
        <w:t> Review,</w:t>
      </w:r>
      <w:r>
        <w:rPr>
          <w:i/>
          <w:color w:val="231F20"/>
          <w:w w:val="105"/>
          <w:sz w:val="19"/>
        </w:rPr>
        <w:t> </w:t>
      </w:r>
      <w:r>
        <w:rPr>
          <w:color w:val="231F20"/>
          <w:w w:val="105"/>
          <w:sz w:val="19"/>
        </w:rPr>
        <w:t>Vol.</w:t>
      </w:r>
      <w:r>
        <w:rPr>
          <w:color w:val="231F20"/>
          <w:w w:val="105"/>
          <w:sz w:val="19"/>
        </w:rPr>
        <w:t> 57,</w:t>
      </w:r>
      <w:r>
        <w:rPr>
          <w:color w:val="231F20"/>
          <w:w w:val="105"/>
          <w:sz w:val="19"/>
        </w:rPr>
        <w:t> No.</w:t>
      </w:r>
      <w:r>
        <w:rPr>
          <w:color w:val="231F20"/>
          <w:w w:val="105"/>
          <w:sz w:val="19"/>
        </w:rPr>
        <w:t> 1</w:t>
      </w:r>
      <w:r>
        <w:rPr>
          <w:color w:val="231F20"/>
          <w:w w:val="105"/>
          <w:sz w:val="19"/>
        </w:rPr>
        <w:t> (January/February</w:t>
      </w:r>
      <w:r>
        <w:rPr>
          <w:color w:val="231F20"/>
          <w:w w:val="105"/>
          <w:sz w:val="19"/>
        </w:rPr>
        <w:t> 1980),</w:t>
      </w:r>
      <w:r>
        <w:rPr>
          <w:color w:val="231F20"/>
          <w:w w:val="105"/>
          <w:sz w:val="19"/>
        </w:rPr>
        <w:t> pp.</w:t>
      </w:r>
      <w:r>
        <w:rPr>
          <w:color w:val="231F20"/>
          <w:w w:val="105"/>
          <w:sz w:val="19"/>
        </w:rPr>
        <w:t> 92</w:t>
      </w:r>
      <w:r>
        <w:rPr>
          <w:color w:val="231F20"/>
          <w:spacing w:val="-11"/>
          <w:w w:val="105"/>
          <w:sz w:val="19"/>
        </w:rPr>
        <w:t> </w:t>
      </w:r>
      <w:r>
        <w:rPr>
          <w:color w:val="231F20"/>
          <w:w w:val="105"/>
          <w:sz w:val="19"/>
        </w:rPr>
        <w:t>–</w:t>
      </w:r>
      <w:r>
        <w:rPr>
          <w:color w:val="231F20"/>
          <w:spacing w:val="-11"/>
          <w:w w:val="105"/>
          <w:sz w:val="19"/>
        </w:rPr>
        <w:t> </w:t>
      </w:r>
      <w:r>
        <w:rPr>
          <w:color w:val="231F20"/>
          <w:w w:val="105"/>
          <w:sz w:val="19"/>
        </w:rPr>
        <w:t>100. Copyright</w:t>
      </w:r>
      <w:r>
        <w:rPr>
          <w:color w:val="231F20"/>
          <w:spacing w:val="-11"/>
          <w:w w:val="105"/>
          <w:sz w:val="19"/>
        </w:rPr>
        <w:t> </w:t>
      </w:r>
      <w:r>
        <w:rPr>
          <w:color w:val="231F20"/>
          <w:w w:val="105"/>
          <w:sz w:val="19"/>
        </w:rPr>
        <w:t>©</w:t>
      </w:r>
      <w:r>
        <w:rPr>
          <w:color w:val="231F20"/>
          <w:spacing w:val="-11"/>
          <w:w w:val="105"/>
          <w:sz w:val="19"/>
        </w:rPr>
        <w:t> </w:t>
      </w:r>
      <w:r>
        <w:rPr>
          <w:color w:val="231F20"/>
          <w:w w:val="105"/>
          <w:sz w:val="19"/>
        </w:rPr>
        <w:t>1980</w:t>
      </w:r>
      <w:r>
        <w:rPr>
          <w:color w:val="231F20"/>
          <w:spacing w:val="-11"/>
          <w:w w:val="105"/>
          <w:sz w:val="19"/>
        </w:rPr>
        <w:t> </w:t>
      </w:r>
      <w:r>
        <w:rPr>
          <w:color w:val="231F20"/>
          <w:w w:val="105"/>
          <w:sz w:val="19"/>
        </w:rPr>
        <w:t>by</w:t>
      </w:r>
      <w:r>
        <w:rPr>
          <w:color w:val="231F20"/>
          <w:spacing w:val="-11"/>
          <w:w w:val="105"/>
          <w:sz w:val="19"/>
        </w:rPr>
        <w:t> </w:t>
      </w:r>
      <w:r>
        <w:rPr>
          <w:color w:val="231F20"/>
          <w:w w:val="105"/>
          <w:sz w:val="19"/>
        </w:rPr>
        <w:t>the</w:t>
      </w:r>
      <w:r>
        <w:rPr>
          <w:color w:val="231F20"/>
          <w:spacing w:val="-11"/>
          <w:w w:val="105"/>
          <w:sz w:val="19"/>
        </w:rPr>
        <w:t> </w:t>
      </w:r>
      <w:r>
        <w:rPr>
          <w:color w:val="231F20"/>
          <w:w w:val="105"/>
          <w:sz w:val="19"/>
        </w:rPr>
        <w:t>President</w:t>
      </w:r>
      <w:r>
        <w:rPr>
          <w:color w:val="231F20"/>
          <w:spacing w:val="-11"/>
          <w:w w:val="105"/>
          <w:sz w:val="19"/>
        </w:rPr>
        <w:t> </w:t>
      </w:r>
      <w:r>
        <w:rPr>
          <w:color w:val="231F20"/>
          <w:w w:val="105"/>
          <w:sz w:val="19"/>
        </w:rPr>
        <w:t>and</w:t>
      </w:r>
      <w:r>
        <w:rPr>
          <w:color w:val="231F20"/>
          <w:spacing w:val="-11"/>
          <w:w w:val="105"/>
          <w:sz w:val="19"/>
        </w:rPr>
        <w:t> </w:t>
      </w:r>
      <w:r>
        <w:rPr>
          <w:color w:val="231F20"/>
          <w:w w:val="105"/>
          <w:sz w:val="19"/>
        </w:rPr>
        <w:t>Fellows</w:t>
      </w:r>
      <w:r>
        <w:rPr>
          <w:color w:val="231F20"/>
          <w:spacing w:val="-11"/>
          <w:w w:val="105"/>
          <w:sz w:val="19"/>
        </w:rPr>
        <w:t> </w:t>
      </w:r>
      <w:r>
        <w:rPr>
          <w:color w:val="231F20"/>
          <w:w w:val="105"/>
          <w:sz w:val="19"/>
        </w:rPr>
        <w:t>of</w:t>
      </w:r>
      <w:r>
        <w:rPr>
          <w:color w:val="231F20"/>
          <w:spacing w:val="-11"/>
          <w:w w:val="105"/>
          <w:sz w:val="19"/>
        </w:rPr>
        <w:t> </w:t>
      </w:r>
      <w:r>
        <w:rPr>
          <w:color w:val="231F20"/>
          <w:w w:val="105"/>
          <w:sz w:val="19"/>
        </w:rPr>
        <w:t>Harvard</w:t>
      </w:r>
      <w:r>
        <w:rPr>
          <w:color w:val="231F20"/>
          <w:spacing w:val="-11"/>
          <w:w w:val="105"/>
          <w:sz w:val="19"/>
        </w:rPr>
        <w:t> </w:t>
      </w:r>
      <w:r>
        <w:rPr>
          <w:color w:val="231F20"/>
          <w:w w:val="105"/>
          <w:sz w:val="19"/>
        </w:rPr>
        <w:t>College;</w:t>
      </w:r>
      <w:r>
        <w:rPr>
          <w:color w:val="231F20"/>
          <w:spacing w:val="-11"/>
          <w:w w:val="105"/>
          <w:sz w:val="19"/>
        </w:rPr>
        <w:t> </w:t>
      </w:r>
      <w:r>
        <w:rPr>
          <w:color w:val="231F20"/>
          <w:w w:val="105"/>
          <w:sz w:val="19"/>
        </w:rPr>
        <w:t>all rights reserved.</w:t>
      </w:r>
    </w:p>
    <w:p>
      <w:pPr>
        <w:spacing w:line="280" w:lineRule="auto" w:before="0"/>
        <w:ind w:left="770" w:right="774" w:hanging="340"/>
        <w:jc w:val="both"/>
        <w:rPr>
          <w:sz w:val="19"/>
        </w:rPr>
      </w:pPr>
      <w:r>
        <w:rPr>
          <w:color w:val="231F20"/>
          <w:w w:val="105"/>
          <w:sz w:val="19"/>
        </w:rPr>
        <w:t>Hackman, J. Richard, and Greg R. Oldham. “Development of Job </w:t>
      </w:r>
      <w:r>
        <w:rPr>
          <w:color w:val="231F20"/>
          <w:w w:val="105"/>
          <w:sz w:val="19"/>
        </w:rPr>
        <w:t>Diagnos- tic</w:t>
      </w:r>
      <w:r>
        <w:rPr>
          <w:color w:val="231F20"/>
          <w:spacing w:val="40"/>
          <w:w w:val="105"/>
          <w:sz w:val="19"/>
        </w:rPr>
        <w:t> </w:t>
      </w:r>
      <w:r>
        <w:rPr>
          <w:color w:val="231F20"/>
          <w:w w:val="105"/>
          <w:sz w:val="19"/>
        </w:rPr>
        <w:t>Surveys.”</w:t>
      </w:r>
      <w:r>
        <w:rPr>
          <w:color w:val="231F20"/>
          <w:spacing w:val="40"/>
          <w:w w:val="105"/>
          <w:sz w:val="19"/>
        </w:rPr>
        <w:t> </w:t>
      </w:r>
      <w:r>
        <w:rPr>
          <w:i/>
          <w:color w:val="231F20"/>
          <w:w w:val="105"/>
          <w:sz w:val="19"/>
        </w:rPr>
        <w:t>Journal</w:t>
      </w:r>
      <w:r>
        <w:rPr>
          <w:i/>
          <w:color w:val="231F20"/>
          <w:spacing w:val="40"/>
          <w:w w:val="105"/>
          <w:sz w:val="19"/>
        </w:rPr>
        <w:t> </w:t>
      </w:r>
      <w:r>
        <w:rPr>
          <w:i/>
          <w:color w:val="231F20"/>
          <w:w w:val="105"/>
          <w:sz w:val="19"/>
        </w:rPr>
        <w:t>of</w:t>
      </w:r>
      <w:r>
        <w:rPr>
          <w:i/>
          <w:color w:val="231F20"/>
          <w:spacing w:val="40"/>
          <w:w w:val="105"/>
          <w:sz w:val="19"/>
        </w:rPr>
        <w:t> </w:t>
      </w:r>
      <w:r>
        <w:rPr>
          <w:i/>
          <w:color w:val="231F20"/>
          <w:w w:val="105"/>
          <w:sz w:val="19"/>
        </w:rPr>
        <w:t>Applied</w:t>
      </w:r>
      <w:r>
        <w:rPr>
          <w:i/>
          <w:color w:val="231F20"/>
          <w:spacing w:val="40"/>
          <w:w w:val="105"/>
          <w:sz w:val="19"/>
        </w:rPr>
        <w:t> </w:t>
      </w:r>
      <w:r>
        <w:rPr>
          <w:i/>
          <w:color w:val="231F20"/>
          <w:w w:val="105"/>
          <w:sz w:val="19"/>
        </w:rPr>
        <w:t>Psychology,</w:t>
      </w:r>
      <w:r>
        <w:rPr>
          <w:i/>
          <w:color w:val="231F20"/>
          <w:spacing w:val="40"/>
          <w:w w:val="105"/>
          <w:sz w:val="19"/>
        </w:rPr>
        <w:t> </w:t>
      </w:r>
      <w:r>
        <w:rPr>
          <w:color w:val="231F20"/>
          <w:w w:val="105"/>
          <w:sz w:val="19"/>
        </w:rPr>
        <w:t>Vol.</w:t>
      </w:r>
      <w:r>
        <w:rPr>
          <w:color w:val="231F20"/>
          <w:spacing w:val="40"/>
          <w:w w:val="105"/>
          <w:sz w:val="19"/>
        </w:rPr>
        <w:t> </w:t>
      </w:r>
      <w:r>
        <w:rPr>
          <w:color w:val="231F20"/>
          <w:w w:val="105"/>
          <w:sz w:val="19"/>
        </w:rPr>
        <w:t>60</w:t>
      </w:r>
      <w:r>
        <w:rPr>
          <w:color w:val="231F20"/>
          <w:spacing w:val="40"/>
          <w:w w:val="105"/>
          <w:sz w:val="19"/>
        </w:rPr>
        <w:t> </w:t>
      </w:r>
      <w:r>
        <w:rPr>
          <w:color w:val="231F20"/>
          <w:w w:val="105"/>
          <w:sz w:val="19"/>
        </w:rPr>
        <w:t>(1975),</w:t>
      </w:r>
      <w:r>
        <w:rPr>
          <w:color w:val="231F20"/>
          <w:spacing w:val="40"/>
          <w:w w:val="105"/>
          <w:sz w:val="19"/>
        </w:rPr>
        <w:t> </w:t>
      </w:r>
      <w:r>
        <w:rPr>
          <w:color w:val="231F20"/>
          <w:w w:val="105"/>
          <w:sz w:val="19"/>
        </w:rPr>
        <w:t>pp. 159</w:t>
      </w:r>
      <w:r>
        <w:rPr>
          <w:color w:val="231F20"/>
          <w:spacing w:val="-26"/>
          <w:w w:val="105"/>
          <w:sz w:val="19"/>
        </w:rPr>
        <w:t> </w:t>
      </w:r>
      <w:r>
        <w:rPr>
          <w:color w:val="231F20"/>
          <w:w w:val="105"/>
          <w:sz w:val="19"/>
        </w:rPr>
        <w:t>–</w:t>
      </w:r>
      <w:r>
        <w:rPr>
          <w:color w:val="231F20"/>
          <w:spacing w:val="-25"/>
          <w:w w:val="105"/>
          <w:sz w:val="19"/>
        </w:rPr>
        <w:t> </w:t>
      </w:r>
      <w:r>
        <w:rPr>
          <w:color w:val="231F20"/>
          <w:w w:val="105"/>
          <w:sz w:val="19"/>
        </w:rPr>
        <w:t>70.</w:t>
      </w:r>
    </w:p>
    <w:p>
      <w:pPr>
        <w:spacing w:line="280" w:lineRule="auto" w:before="0"/>
        <w:ind w:left="770" w:right="776" w:hanging="340"/>
        <w:jc w:val="both"/>
        <w:rPr>
          <w:sz w:val="19"/>
        </w:rPr>
      </w:pPr>
      <w:r>
        <w:rPr>
          <w:color w:val="231F20"/>
          <w:sz w:val="19"/>
        </w:rPr>
        <w:t>Hogan, Eileen A. “One Model for Action Planning,” Case </w:t>
      </w:r>
      <w:r>
        <w:rPr>
          <w:color w:val="231F20"/>
          <w:sz w:val="19"/>
        </w:rPr>
        <w:t>UVA-OB-261R, copyright © 1983 by the Darden Graduate Business School Foundation, Charlottesville, Virginia.</w:t>
      </w:r>
    </w:p>
    <w:p>
      <w:pPr>
        <w:spacing w:line="221" w:lineRule="exact" w:before="0"/>
        <w:ind w:left="430" w:right="0" w:firstLine="0"/>
        <w:jc w:val="both"/>
        <w:rPr>
          <w:i/>
          <w:sz w:val="19"/>
        </w:rPr>
      </w:pPr>
      <w:r>
        <w:rPr>
          <w:color w:val="231F20"/>
          <w:w w:val="105"/>
          <w:sz w:val="19"/>
        </w:rPr>
        <w:t>Kepner,</w:t>
      </w:r>
      <w:r>
        <w:rPr>
          <w:color w:val="231F20"/>
          <w:spacing w:val="-3"/>
          <w:w w:val="105"/>
          <w:sz w:val="19"/>
        </w:rPr>
        <w:t> </w:t>
      </w:r>
      <w:r>
        <w:rPr>
          <w:color w:val="231F20"/>
          <w:w w:val="105"/>
          <w:sz w:val="19"/>
        </w:rPr>
        <w:t>Charles</w:t>
      </w:r>
      <w:r>
        <w:rPr>
          <w:color w:val="231F20"/>
          <w:spacing w:val="-3"/>
          <w:w w:val="105"/>
          <w:sz w:val="19"/>
        </w:rPr>
        <w:t> </w:t>
      </w:r>
      <w:r>
        <w:rPr>
          <w:color w:val="231F20"/>
          <w:w w:val="105"/>
          <w:sz w:val="19"/>
        </w:rPr>
        <w:t>H.,</w:t>
      </w:r>
      <w:r>
        <w:rPr>
          <w:color w:val="231F20"/>
          <w:spacing w:val="-3"/>
          <w:w w:val="105"/>
          <w:sz w:val="19"/>
        </w:rPr>
        <w:t> </w:t>
      </w:r>
      <w:r>
        <w:rPr>
          <w:color w:val="231F20"/>
          <w:w w:val="105"/>
          <w:sz w:val="19"/>
        </w:rPr>
        <w:t>and</w:t>
      </w:r>
      <w:r>
        <w:rPr>
          <w:color w:val="231F20"/>
          <w:spacing w:val="-3"/>
          <w:w w:val="105"/>
          <w:sz w:val="19"/>
        </w:rPr>
        <w:t> </w:t>
      </w:r>
      <w:r>
        <w:rPr>
          <w:color w:val="231F20"/>
          <w:w w:val="105"/>
          <w:sz w:val="19"/>
        </w:rPr>
        <w:t>Benjamin</w:t>
      </w:r>
      <w:r>
        <w:rPr>
          <w:color w:val="231F20"/>
          <w:spacing w:val="-3"/>
          <w:w w:val="105"/>
          <w:sz w:val="19"/>
        </w:rPr>
        <w:t> </w:t>
      </w:r>
      <w:r>
        <w:rPr>
          <w:color w:val="231F20"/>
          <w:w w:val="105"/>
          <w:sz w:val="19"/>
        </w:rPr>
        <w:t>B.</w:t>
      </w:r>
      <w:r>
        <w:rPr>
          <w:color w:val="231F20"/>
          <w:spacing w:val="-3"/>
          <w:w w:val="105"/>
          <w:sz w:val="19"/>
        </w:rPr>
        <w:t> </w:t>
      </w:r>
      <w:r>
        <w:rPr>
          <w:color w:val="231F20"/>
          <w:w w:val="105"/>
          <w:sz w:val="19"/>
        </w:rPr>
        <w:t>Tregoe.</w:t>
      </w:r>
      <w:r>
        <w:rPr>
          <w:color w:val="231F20"/>
          <w:spacing w:val="-4"/>
          <w:w w:val="105"/>
          <w:sz w:val="19"/>
        </w:rPr>
        <w:t> </w:t>
      </w:r>
      <w:r>
        <w:rPr>
          <w:i/>
          <w:color w:val="231F20"/>
          <w:w w:val="105"/>
          <w:sz w:val="19"/>
        </w:rPr>
        <w:t>The</w:t>
      </w:r>
      <w:r>
        <w:rPr>
          <w:i/>
          <w:color w:val="231F20"/>
          <w:spacing w:val="-3"/>
          <w:w w:val="105"/>
          <w:sz w:val="19"/>
        </w:rPr>
        <w:t> </w:t>
      </w:r>
      <w:r>
        <w:rPr>
          <w:i/>
          <w:color w:val="231F20"/>
          <w:w w:val="105"/>
          <w:sz w:val="19"/>
        </w:rPr>
        <w:t>Rational</w:t>
      </w:r>
      <w:r>
        <w:rPr>
          <w:i/>
          <w:color w:val="231F20"/>
          <w:spacing w:val="-3"/>
          <w:w w:val="105"/>
          <w:sz w:val="19"/>
        </w:rPr>
        <w:t> </w:t>
      </w:r>
      <w:r>
        <w:rPr>
          <w:i/>
          <w:color w:val="231F20"/>
          <w:w w:val="105"/>
          <w:sz w:val="19"/>
        </w:rPr>
        <w:t>Manager:</w:t>
      </w:r>
      <w:r>
        <w:rPr>
          <w:i/>
          <w:color w:val="231F20"/>
          <w:spacing w:val="-3"/>
          <w:w w:val="105"/>
          <w:sz w:val="19"/>
        </w:rPr>
        <w:t> </w:t>
      </w:r>
      <w:r>
        <w:rPr>
          <w:i/>
          <w:color w:val="231F20"/>
          <w:w w:val="105"/>
          <w:sz w:val="19"/>
        </w:rPr>
        <w:t>A</w:t>
      </w:r>
      <w:r>
        <w:rPr>
          <w:i/>
          <w:color w:val="231F20"/>
          <w:spacing w:val="-3"/>
          <w:w w:val="105"/>
          <w:sz w:val="19"/>
        </w:rPr>
        <w:t> </w:t>
      </w:r>
      <w:r>
        <w:rPr>
          <w:i/>
          <w:color w:val="231F20"/>
          <w:spacing w:val="-4"/>
          <w:w w:val="105"/>
          <w:sz w:val="19"/>
        </w:rPr>
        <w:t>Sys-</w:t>
      </w:r>
    </w:p>
    <w:p>
      <w:pPr>
        <w:spacing w:after="0" w:line="221" w:lineRule="exact"/>
        <w:jc w:val="both"/>
        <w:rPr>
          <w:sz w:val="19"/>
        </w:rPr>
        <w:sectPr>
          <w:headerReference w:type="even" r:id="rId153"/>
          <w:headerReference w:type="default" r:id="rId154"/>
          <w:pgSz w:w="8640" w:h="12960"/>
          <w:pgMar w:header="732" w:footer="0" w:top="920" w:bottom="280" w:left="740" w:right="480"/>
          <w:pgNumType w:start="400"/>
        </w:sectPr>
      </w:pPr>
    </w:p>
    <w:p>
      <w:pPr>
        <w:pStyle w:val="BodyText"/>
        <w:rPr>
          <w:i/>
          <w:sz w:val="18"/>
        </w:rPr>
      </w:pPr>
    </w:p>
    <w:p>
      <w:pPr>
        <w:spacing w:line="280" w:lineRule="auto" w:before="99"/>
        <w:ind w:left="859" w:right="687" w:firstLine="0"/>
        <w:jc w:val="both"/>
        <w:rPr>
          <w:sz w:val="19"/>
        </w:rPr>
      </w:pPr>
      <w:r>
        <w:rPr>
          <w:i/>
          <w:color w:val="231F20"/>
          <w:w w:val="105"/>
          <w:sz w:val="19"/>
        </w:rPr>
        <w:t>tematic</w:t>
      </w:r>
      <w:r>
        <w:rPr>
          <w:i/>
          <w:color w:val="231F20"/>
          <w:spacing w:val="-1"/>
          <w:w w:val="105"/>
          <w:sz w:val="19"/>
        </w:rPr>
        <w:t> </w:t>
      </w:r>
      <w:r>
        <w:rPr>
          <w:i/>
          <w:color w:val="231F20"/>
          <w:w w:val="105"/>
          <w:sz w:val="19"/>
        </w:rPr>
        <w:t>Approach</w:t>
      </w:r>
      <w:r>
        <w:rPr>
          <w:i/>
          <w:color w:val="231F20"/>
          <w:spacing w:val="-1"/>
          <w:w w:val="105"/>
          <w:sz w:val="19"/>
        </w:rPr>
        <w:t> </w:t>
      </w:r>
      <w:r>
        <w:rPr>
          <w:i/>
          <w:color w:val="231F20"/>
          <w:w w:val="105"/>
          <w:sz w:val="19"/>
        </w:rPr>
        <w:t>to</w:t>
      </w:r>
      <w:r>
        <w:rPr>
          <w:i/>
          <w:color w:val="231F20"/>
          <w:spacing w:val="-1"/>
          <w:w w:val="105"/>
          <w:sz w:val="19"/>
        </w:rPr>
        <w:t> </w:t>
      </w:r>
      <w:r>
        <w:rPr>
          <w:i/>
          <w:color w:val="231F20"/>
          <w:w w:val="105"/>
          <w:sz w:val="19"/>
        </w:rPr>
        <w:t>Problem</w:t>
      </w:r>
      <w:r>
        <w:rPr>
          <w:i/>
          <w:color w:val="231F20"/>
          <w:spacing w:val="-1"/>
          <w:w w:val="105"/>
          <w:sz w:val="19"/>
        </w:rPr>
        <w:t> </w:t>
      </w:r>
      <w:r>
        <w:rPr>
          <w:i/>
          <w:color w:val="231F20"/>
          <w:w w:val="105"/>
          <w:sz w:val="19"/>
        </w:rPr>
        <w:t>Solving</w:t>
      </w:r>
      <w:r>
        <w:rPr>
          <w:i/>
          <w:color w:val="231F20"/>
          <w:spacing w:val="-1"/>
          <w:w w:val="105"/>
          <w:sz w:val="19"/>
        </w:rPr>
        <w:t> </w:t>
      </w:r>
      <w:r>
        <w:rPr>
          <w:i/>
          <w:color w:val="231F20"/>
          <w:w w:val="105"/>
          <w:sz w:val="19"/>
        </w:rPr>
        <w:t>and</w:t>
      </w:r>
      <w:r>
        <w:rPr>
          <w:i/>
          <w:color w:val="231F20"/>
          <w:spacing w:val="-1"/>
          <w:w w:val="105"/>
          <w:sz w:val="19"/>
        </w:rPr>
        <w:t> </w:t>
      </w:r>
      <w:r>
        <w:rPr>
          <w:i/>
          <w:color w:val="231F20"/>
          <w:w w:val="105"/>
          <w:sz w:val="19"/>
        </w:rPr>
        <w:t>Decision</w:t>
      </w:r>
      <w:r>
        <w:rPr>
          <w:i/>
          <w:color w:val="231F20"/>
          <w:spacing w:val="-1"/>
          <w:w w:val="105"/>
          <w:sz w:val="19"/>
        </w:rPr>
        <w:t> </w:t>
      </w:r>
      <w:r>
        <w:rPr>
          <w:i/>
          <w:color w:val="231F20"/>
          <w:w w:val="105"/>
          <w:sz w:val="19"/>
        </w:rPr>
        <w:t>Making.</w:t>
      </w:r>
      <w:r>
        <w:rPr>
          <w:i/>
          <w:color w:val="231F20"/>
          <w:spacing w:val="-2"/>
          <w:w w:val="105"/>
          <w:sz w:val="19"/>
        </w:rPr>
        <w:t> </w:t>
      </w:r>
      <w:r>
        <w:rPr>
          <w:color w:val="231F20"/>
          <w:w w:val="105"/>
          <w:sz w:val="19"/>
        </w:rPr>
        <w:t>New</w:t>
      </w:r>
      <w:r>
        <w:rPr>
          <w:color w:val="231F20"/>
          <w:spacing w:val="-1"/>
          <w:w w:val="105"/>
          <w:sz w:val="19"/>
        </w:rPr>
        <w:t> </w:t>
      </w:r>
      <w:r>
        <w:rPr>
          <w:color w:val="231F20"/>
          <w:w w:val="105"/>
          <w:sz w:val="19"/>
        </w:rPr>
        <w:t>York: McGraw-Hill, 1965, p. 55 (deviations, want got gaps).</w:t>
      </w:r>
    </w:p>
    <w:p>
      <w:pPr>
        <w:spacing w:line="280" w:lineRule="auto" w:before="0"/>
        <w:ind w:left="860" w:right="684" w:hanging="340"/>
        <w:jc w:val="both"/>
        <w:rPr>
          <w:sz w:val="19"/>
        </w:rPr>
      </w:pPr>
      <w:r>
        <w:rPr>
          <w:color w:val="231F20"/>
          <w:sz w:val="19"/>
        </w:rPr>
        <w:t>Kotter, John P., and Leonard A. Schlesinger. “Choosing Strategies for</w:t>
      </w:r>
      <w:r>
        <w:rPr>
          <w:color w:val="231F20"/>
          <w:spacing w:val="40"/>
          <w:sz w:val="19"/>
        </w:rPr>
        <w:t> </w:t>
      </w:r>
      <w:r>
        <w:rPr>
          <w:color w:val="231F20"/>
          <w:sz w:val="19"/>
        </w:rPr>
        <w:t>Change.” </w:t>
      </w:r>
      <w:r>
        <w:rPr>
          <w:i/>
          <w:color w:val="231F20"/>
          <w:sz w:val="19"/>
        </w:rPr>
        <w:t>Harvard Business Review, </w:t>
      </w:r>
      <w:r>
        <w:rPr>
          <w:color w:val="231F20"/>
          <w:sz w:val="19"/>
        </w:rPr>
        <w:t>Vol. 57, No. 2 (March/April </w:t>
      </w:r>
      <w:r>
        <w:rPr>
          <w:color w:val="231F20"/>
          <w:sz w:val="19"/>
        </w:rPr>
        <w:t>1980),</w:t>
      </w:r>
      <w:r>
        <w:rPr>
          <w:color w:val="231F20"/>
          <w:spacing w:val="80"/>
          <w:sz w:val="19"/>
        </w:rPr>
        <w:t> </w:t>
      </w:r>
      <w:r>
        <w:rPr>
          <w:color w:val="231F20"/>
          <w:sz w:val="19"/>
        </w:rPr>
        <w:t>pp.</w:t>
      </w:r>
      <w:r>
        <w:rPr>
          <w:color w:val="231F20"/>
          <w:spacing w:val="-11"/>
          <w:sz w:val="19"/>
        </w:rPr>
        <w:t> </w:t>
      </w:r>
      <w:r>
        <w:rPr>
          <w:color w:val="231F20"/>
          <w:sz w:val="19"/>
        </w:rPr>
        <w:t>106</w:t>
      </w:r>
      <w:r>
        <w:rPr>
          <w:color w:val="231F20"/>
          <w:spacing w:val="-10"/>
          <w:sz w:val="19"/>
        </w:rPr>
        <w:t> </w:t>
      </w:r>
      <w:r>
        <w:rPr>
          <w:color w:val="231F20"/>
          <w:sz w:val="19"/>
        </w:rPr>
        <w:t>–</w:t>
      </w:r>
      <w:r>
        <w:rPr>
          <w:color w:val="231F20"/>
          <w:spacing w:val="-11"/>
          <w:sz w:val="19"/>
        </w:rPr>
        <w:t> </w:t>
      </w:r>
      <w:r>
        <w:rPr>
          <w:color w:val="231F20"/>
          <w:sz w:val="19"/>
        </w:rPr>
        <w:t>14.</w:t>
      </w:r>
      <w:r>
        <w:rPr>
          <w:color w:val="231F20"/>
          <w:spacing w:val="-8"/>
          <w:sz w:val="19"/>
        </w:rPr>
        <w:t> </w:t>
      </w:r>
      <w:r>
        <w:rPr>
          <w:color w:val="231F20"/>
          <w:sz w:val="19"/>
        </w:rPr>
        <w:t>Copyright © 1980 by the President and Fellows of Harvard College; all rights reserved (strategies for change).</w:t>
      </w:r>
    </w:p>
    <w:p>
      <w:pPr>
        <w:spacing w:line="280" w:lineRule="auto" w:before="0"/>
        <w:ind w:left="860" w:right="687" w:hanging="340"/>
        <w:jc w:val="both"/>
        <w:rPr>
          <w:sz w:val="19"/>
        </w:rPr>
      </w:pPr>
      <w:r>
        <w:rPr>
          <w:color w:val="231F20"/>
          <w:sz w:val="19"/>
        </w:rPr>
        <w:t>Levine, Joshua. </w:t>
      </w:r>
      <w:r>
        <w:rPr>
          <w:i/>
          <w:color w:val="231F20"/>
          <w:sz w:val="19"/>
        </w:rPr>
        <w:t>“Dare e togliere </w:t>
      </w:r>
      <w:r>
        <w:rPr>
          <w:color w:val="231F20"/>
          <w:sz w:val="19"/>
        </w:rPr>
        <w:t>(give and take away).” </w:t>
      </w:r>
      <w:r>
        <w:rPr>
          <w:i/>
          <w:color w:val="231F20"/>
          <w:sz w:val="19"/>
        </w:rPr>
        <w:t>Forbes, </w:t>
      </w:r>
      <w:r>
        <w:rPr>
          <w:color w:val="231F20"/>
          <w:sz w:val="19"/>
        </w:rPr>
        <w:t>October </w:t>
      </w:r>
      <w:r>
        <w:rPr>
          <w:color w:val="231F20"/>
          <w:sz w:val="19"/>
        </w:rPr>
        <w:t>28, 1991, p. 115 (Armani).</w:t>
      </w:r>
    </w:p>
    <w:p>
      <w:pPr>
        <w:spacing w:line="280" w:lineRule="auto" w:before="0"/>
        <w:ind w:left="860" w:right="684" w:hanging="340"/>
        <w:jc w:val="both"/>
        <w:rPr>
          <w:sz w:val="19"/>
        </w:rPr>
      </w:pPr>
      <w:r>
        <w:rPr>
          <w:color w:val="231F20"/>
          <w:sz w:val="19"/>
        </w:rPr>
        <w:t>Tannenbaum, Robert, and Warren H. Schmidt. “How to Choose a Leader-</w:t>
      </w:r>
      <w:r>
        <w:rPr>
          <w:color w:val="231F20"/>
          <w:spacing w:val="40"/>
          <w:sz w:val="19"/>
        </w:rPr>
        <w:t> </w:t>
      </w:r>
      <w:r>
        <w:rPr>
          <w:color w:val="231F20"/>
          <w:sz w:val="19"/>
        </w:rPr>
        <w:t>ship</w:t>
      </w:r>
      <w:r>
        <w:rPr>
          <w:color w:val="231F20"/>
          <w:spacing w:val="40"/>
          <w:sz w:val="19"/>
        </w:rPr>
        <w:t> </w:t>
      </w:r>
      <w:r>
        <w:rPr>
          <w:color w:val="231F20"/>
          <w:sz w:val="19"/>
        </w:rPr>
        <w:t>Pattern.”</w:t>
      </w:r>
      <w:r>
        <w:rPr>
          <w:color w:val="231F20"/>
          <w:spacing w:val="40"/>
          <w:sz w:val="19"/>
        </w:rPr>
        <w:t> </w:t>
      </w:r>
      <w:r>
        <w:rPr>
          <w:i/>
          <w:color w:val="231F20"/>
          <w:sz w:val="19"/>
        </w:rPr>
        <w:t>Harvard</w:t>
      </w:r>
      <w:r>
        <w:rPr>
          <w:i/>
          <w:color w:val="231F20"/>
          <w:spacing w:val="40"/>
          <w:sz w:val="19"/>
        </w:rPr>
        <w:t> </w:t>
      </w:r>
      <w:r>
        <w:rPr>
          <w:i/>
          <w:color w:val="231F20"/>
          <w:sz w:val="19"/>
        </w:rPr>
        <w:t>Business</w:t>
      </w:r>
      <w:r>
        <w:rPr>
          <w:i/>
          <w:color w:val="231F20"/>
          <w:spacing w:val="40"/>
          <w:sz w:val="19"/>
        </w:rPr>
        <w:t> </w:t>
      </w:r>
      <w:r>
        <w:rPr>
          <w:i/>
          <w:color w:val="231F20"/>
          <w:sz w:val="19"/>
        </w:rPr>
        <w:t>Review,</w:t>
      </w:r>
      <w:r>
        <w:rPr>
          <w:i/>
          <w:color w:val="231F20"/>
          <w:spacing w:val="40"/>
          <w:sz w:val="19"/>
        </w:rPr>
        <w:t> </w:t>
      </w:r>
      <w:r>
        <w:rPr>
          <w:color w:val="231F20"/>
          <w:sz w:val="19"/>
        </w:rPr>
        <w:t>Vol.</w:t>
      </w:r>
      <w:r>
        <w:rPr>
          <w:color w:val="231F20"/>
          <w:spacing w:val="40"/>
          <w:sz w:val="19"/>
        </w:rPr>
        <w:t> </w:t>
      </w:r>
      <w:r>
        <w:rPr>
          <w:color w:val="231F20"/>
          <w:sz w:val="19"/>
        </w:rPr>
        <w:t>51,</w:t>
      </w:r>
      <w:r>
        <w:rPr>
          <w:color w:val="231F20"/>
          <w:spacing w:val="40"/>
          <w:sz w:val="19"/>
        </w:rPr>
        <w:t> </w:t>
      </w:r>
      <w:r>
        <w:rPr>
          <w:color w:val="231F20"/>
          <w:sz w:val="19"/>
        </w:rPr>
        <w:t>No.</w:t>
      </w:r>
      <w:r>
        <w:rPr>
          <w:color w:val="231F20"/>
          <w:spacing w:val="40"/>
          <w:sz w:val="19"/>
        </w:rPr>
        <w:t> </w:t>
      </w:r>
      <w:r>
        <w:rPr>
          <w:color w:val="231F20"/>
          <w:sz w:val="19"/>
        </w:rPr>
        <w:t>3</w:t>
      </w:r>
      <w:r>
        <w:rPr>
          <w:color w:val="231F20"/>
          <w:spacing w:val="40"/>
          <w:sz w:val="19"/>
        </w:rPr>
        <w:t> </w:t>
      </w:r>
      <w:r>
        <w:rPr>
          <w:color w:val="231F20"/>
          <w:sz w:val="19"/>
        </w:rPr>
        <w:t>(May/June 1973),</w:t>
      </w:r>
      <w:r>
        <w:rPr>
          <w:color w:val="231F20"/>
          <w:spacing w:val="-10"/>
          <w:sz w:val="19"/>
        </w:rPr>
        <w:t> </w:t>
      </w:r>
      <w:r>
        <w:rPr>
          <w:color w:val="231F20"/>
          <w:sz w:val="19"/>
        </w:rPr>
        <w:t>pp. 162</w:t>
      </w:r>
      <w:r>
        <w:rPr>
          <w:color w:val="231F20"/>
          <w:spacing w:val="-11"/>
          <w:sz w:val="19"/>
        </w:rPr>
        <w:t> </w:t>
      </w:r>
      <w:r>
        <w:rPr>
          <w:color w:val="231F20"/>
          <w:sz w:val="19"/>
        </w:rPr>
        <w:t>–</w:t>
      </w:r>
      <w:r>
        <w:rPr>
          <w:color w:val="231F20"/>
          <w:spacing w:val="-10"/>
          <w:sz w:val="19"/>
        </w:rPr>
        <w:t> </w:t>
      </w:r>
      <w:r>
        <w:rPr>
          <w:color w:val="231F20"/>
          <w:sz w:val="19"/>
        </w:rPr>
        <w:t>73. Copyright © 1973 by the President and Fellows of Harvard College; all rights reserved.</w:t>
      </w:r>
    </w:p>
    <w:p>
      <w:pPr>
        <w:spacing w:line="280" w:lineRule="auto" w:before="0"/>
        <w:ind w:left="860" w:right="683" w:hanging="340"/>
        <w:jc w:val="both"/>
        <w:rPr>
          <w:sz w:val="19"/>
        </w:rPr>
      </w:pPr>
      <w:r>
        <w:rPr>
          <w:color w:val="231F20"/>
          <w:sz w:val="19"/>
        </w:rPr>
        <w:t>Zierden, William E. “A Framework for Understanding Organizations,” Dar- den School Case UVA-OB-187, copyright © 1982 by the Darden </w:t>
      </w:r>
      <w:r>
        <w:rPr>
          <w:color w:val="231F20"/>
          <w:sz w:val="19"/>
        </w:rPr>
        <w:t>Gradu- ate Business School Foundation, Charlottesville, Virginia (the basic organization model).</w:t>
      </w:r>
    </w:p>
    <w:p>
      <w:pPr>
        <w:pStyle w:val="BodyText"/>
        <w:rPr>
          <w:sz w:val="22"/>
        </w:rPr>
      </w:pPr>
    </w:p>
    <w:p>
      <w:pPr>
        <w:pStyle w:val="BodyText"/>
        <w:spacing w:before="11"/>
        <w:rPr>
          <w:sz w:val="20"/>
        </w:rPr>
      </w:pPr>
    </w:p>
    <w:p>
      <w:pPr>
        <w:spacing w:before="0"/>
        <w:ind w:left="520" w:right="0" w:firstLine="0"/>
        <w:jc w:val="both"/>
        <w:rPr>
          <w:rFonts w:ascii="Trebuchet MS"/>
          <w:sz w:val="20"/>
        </w:rPr>
      </w:pPr>
      <w:r>
        <w:rPr>
          <w:rFonts w:ascii="Trebuchet MS"/>
          <w:color w:val="231F20"/>
          <w:w w:val="85"/>
          <w:sz w:val="20"/>
        </w:rPr>
        <w:t>DAY</w:t>
      </w:r>
      <w:r>
        <w:rPr>
          <w:rFonts w:ascii="Trebuchet MS"/>
          <w:color w:val="231F20"/>
          <w:spacing w:val="16"/>
          <w:sz w:val="20"/>
        </w:rPr>
        <w:t> </w:t>
      </w:r>
      <w:r>
        <w:rPr>
          <w:rFonts w:ascii="Trebuchet MS"/>
          <w:color w:val="231F20"/>
          <w:w w:val="85"/>
          <w:sz w:val="20"/>
        </w:rPr>
        <w:t>5:</w:t>
      </w:r>
      <w:r>
        <w:rPr>
          <w:rFonts w:ascii="Trebuchet MS"/>
          <w:color w:val="231F20"/>
          <w:spacing w:val="17"/>
          <w:sz w:val="20"/>
        </w:rPr>
        <w:t> </w:t>
      </w:r>
      <w:r>
        <w:rPr>
          <w:rFonts w:ascii="Trebuchet MS"/>
          <w:color w:val="231F20"/>
          <w:w w:val="85"/>
          <w:sz w:val="20"/>
        </w:rPr>
        <w:t>QUANTITATIVE</w:t>
      </w:r>
      <w:r>
        <w:rPr>
          <w:rFonts w:ascii="Trebuchet MS"/>
          <w:color w:val="231F20"/>
          <w:spacing w:val="17"/>
          <w:sz w:val="20"/>
        </w:rPr>
        <w:t> </w:t>
      </w:r>
      <w:r>
        <w:rPr>
          <w:rFonts w:ascii="Trebuchet MS"/>
          <w:color w:val="231F20"/>
          <w:spacing w:val="-2"/>
          <w:w w:val="85"/>
          <w:sz w:val="20"/>
        </w:rPr>
        <w:t>ANALYSIS</w:t>
      </w:r>
    </w:p>
    <w:p>
      <w:pPr>
        <w:pStyle w:val="BodyText"/>
        <w:spacing w:before="4"/>
        <w:rPr>
          <w:rFonts w:ascii="Trebuchet MS"/>
          <w:sz w:val="25"/>
        </w:rPr>
      </w:pPr>
    </w:p>
    <w:p>
      <w:pPr>
        <w:spacing w:before="0"/>
        <w:ind w:left="520" w:right="0" w:firstLine="0"/>
        <w:jc w:val="both"/>
        <w:rPr>
          <w:sz w:val="19"/>
        </w:rPr>
      </w:pPr>
      <w:r>
        <w:rPr>
          <w:color w:val="231F20"/>
          <w:sz w:val="19"/>
        </w:rPr>
        <w:t>“Cash</w:t>
      </w:r>
      <w:r>
        <w:rPr>
          <w:color w:val="231F20"/>
          <w:spacing w:val="54"/>
          <w:sz w:val="19"/>
        </w:rPr>
        <w:t> </w:t>
      </w:r>
      <w:r>
        <w:rPr>
          <w:color w:val="231F20"/>
          <w:sz w:val="19"/>
        </w:rPr>
        <w:t>Flow</w:t>
      </w:r>
      <w:r>
        <w:rPr>
          <w:color w:val="231F20"/>
          <w:spacing w:val="54"/>
          <w:sz w:val="19"/>
        </w:rPr>
        <w:t> </w:t>
      </w:r>
      <w:r>
        <w:rPr>
          <w:color w:val="231F20"/>
          <w:sz w:val="19"/>
        </w:rPr>
        <w:t>and</w:t>
      </w:r>
      <w:r>
        <w:rPr>
          <w:color w:val="231F20"/>
          <w:spacing w:val="55"/>
          <w:sz w:val="19"/>
        </w:rPr>
        <w:t> </w:t>
      </w:r>
      <w:r>
        <w:rPr>
          <w:color w:val="231F20"/>
          <w:sz w:val="19"/>
        </w:rPr>
        <w:t>the</w:t>
      </w:r>
      <w:r>
        <w:rPr>
          <w:color w:val="231F20"/>
          <w:spacing w:val="54"/>
          <w:sz w:val="19"/>
        </w:rPr>
        <w:t> </w:t>
      </w:r>
      <w:r>
        <w:rPr>
          <w:color w:val="231F20"/>
          <w:sz w:val="19"/>
        </w:rPr>
        <w:t>Time</w:t>
      </w:r>
      <w:r>
        <w:rPr>
          <w:color w:val="231F20"/>
          <w:spacing w:val="54"/>
          <w:sz w:val="19"/>
        </w:rPr>
        <w:t> </w:t>
      </w:r>
      <w:r>
        <w:rPr>
          <w:color w:val="231F20"/>
          <w:sz w:val="19"/>
        </w:rPr>
        <w:t>Value</w:t>
      </w:r>
      <w:r>
        <w:rPr>
          <w:color w:val="231F20"/>
          <w:spacing w:val="55"/>
          <w:sz w:val="19"/>
        </w:rPr>
        <w:t> </w:t>
      </w:r>
      <w:r>
        <w:rPr>
          <w:color w:val="231F20"/>
          <w:sz w:val="19"/>
        </w:rPr>
        <w:t>of</w:t>
      </w:r>
      <w:r>
        <w:rPr>
          <w:color w:val="231F20"/>
          <w:spacing w:val="54"/>
          <w:sz w:val="19"/>
        </w:rPr>
        <w:t> </w:t>
      </w:r>
      <w:r>
        <w:rPr>
          <w:color w:val="231F20"/>
          <w:sz w:val="19"/>
        </w:rPr>
        <w:t>Money,”</w:t>
      </w:r>
      <w:r>
        <w:rPr>
          <w:color w:val="231F20"/>
          <w:spacing w:val="55"/>
          <w:sz w:val="19"/>
        </w:rPr>
        <w:t> </w:t>
      </w:r>
      <w:r>
        <w:rPr>
          <w:color w:val="231F20"/>
          <w:sz w:val="19"/>
        </w:rPr>
        <w:t>Case</w:t>
      </w:r>
      <w:r>
        <w:rPr>
          <w:color w:val="231F20"/>
          <w:spacing w:val="54"/>
          <w:sz w:val="19"/>
        </w:rPr>
        <w:t> </w:t>
      </w:r>
      <w:r>
        <w:rPr>
          <w:color w:val="231F20"/>
          <w:sz w:val="19"/>
        </w:rPr>
        <w:t>9-177-012,</w:t>
      </w:r>
      <w:r>
        <w:rPr>
          <w:color w:val="231F20"/>
          <w:spacing w:val="54"/>
          <w:sz w:val="19"/>
        </w:rPr>
        <w:t> </w:t>
      </w:r>
      <w:r>
        <w:rPr>
          <w:color w:val="231F20"/>
          <w:spacing w:val="-2"/>
          <w:sz w:val="19"/>
        </w:rPr>
        <w:t>copyright</w:t>
      </w:r>
    </w:p>
    <w:p>
      <w:pPr>
        <w:spacing w:line="280" w:lineRule="auto" w:before="38"/>
        <w:ind w:left="860" w:right="684" w:firstLine="0"/>
        <w:jc w:val="both"/>
        <w:rPr>
          <w:sz w:val="19"/>
        </w:rPr>
      </w:pPr>
      <w:r>
        <w:rPr>
          <w:color w:val="231F20"/>
          <w:sz w:val="19"/>
        </w:rPr>
        <w:t>© 1976 by the President and Fellows of Harvard College; all rights </w:t>
      </w:r>
      <w:r>
        <w:rPr>
          <w:color w:val="231F20"/>
          <w:spacing w:val="-2"/>
          <w:sz w:val="19"/>
        </w:rPr>
        <w:t>reserved.</w:t>
      </w:r>
    </w:p>
    <w:p>
      <w:pPr>
        <w:spacing w:line="280" w:lineRule="auto" w:before="0"/>
        <w:ind w:left="860" w:right="686" w:hanging="340"/>
        <w:jc w:val="both"/>
        <w:rPr>
          <w:sz w:val="19"/>
        </w:rPr>
      </w:pPr>
      <w:r>
        <w:rPr>
          <w:color w:val="231F20"/>
          <w:sz w:val="19"/>
        </w:rPr>
        <w:t>Frey, Sherwood C. “Assessment and Use of Probability Distributions,” Case UVA-Q-294, copyright © 1983 by the Darden Graduate Business </w:t>
      </w:r>
      <w:r>
        <w:rPr>
          <w:color w:val="231F20"/>
          <w:sz w:val="19"/>
        </w:rPr>
        <w:t>School Foundation, Charlottesville, Virginia.</w:t>
      </w:r>
    </w:p>
    <w:p>
      <w:pPr>
        <w:spacing w:line="280" w:lineRule="auto" w:before="0"/>
        <w:ind w:left="860" w:right="684" w:hanging="340"/>
        <w:jc w:val="both"/>
        <w:rPr>
          <w:sz w:val="19"/>
        </w:rPr>
      </w:pPr>
      <w:r>
        <w:rPr>
          <w:color w:val="231F20"/>
          <w:sz w:val="19"/>
        </w:rPr>
        <w:t>———.</w:t>
      </w:r>
      <w:r>
        <w:rPr>
          <w:color w:val="231F20"/>
          <w:spacing w:val="40"/>
          <w:sz w:val="19"/>
        </w:rPr>
        <w:t> </w:t>
      </w:r>
      <w:r>
        <w:rPr>
          <w:color w:val="231F20"/>
          <w:sz w:val="19"/>
        </w:rPr>
        <w:t>“Probability</w:t>
      </w:r>
      <w:r>
        <w:rPr>
          <w:color w:val="231F20"/>
          <w:spacing w:val="40"/>
          <w:sz w:val="19"/>
        </w:rPr>
        <w:t> </w:t>
      </w:r>
      <w:r>
        <w:rPr>
          <w:color w:val="231F20"/>
          <w:sz w:val="19"/>
        </w:rPr>
        <w:t>Assessment</w:t>
      </w:r>
      <w:r>
        <w:rPr>
          <w:color w:val="231F20"/>
          <w:spacing w:val="40"/>
          <w:sz w:val="19"/>
        </w:rPr>
        <w:t> </w:t>
      </w:r>
      <w:r>
        <w:rPr>
          <w:color w:val="231F20"/>
          <w:sz w:val="19"/>
        </w:rPr>
        <w:t>with</w:t>
      </w:r>
      <w:r>
        <w:rPr>
          <w:color w:val="231F20"/>
          <w:spacing w:val="40"/>
          <w:sz w:val="19"/>
        </w:rPr>
        <w:t> </w:t>
      </w:r>
      <w:r>
        <w:rPr>
          <w:color w:val="231F20"/>
          <w:sz w:val="19"/>
        </w:rPr>
        <w:t>the</w:t>
      </w:r>
      <w:r>
        <w:rPr>
          <w:color w:val="231F20"/>
          <w:spacing w:val="40"/>
          <w:sz w:val="19"/>
        </w:rPr>
        <w:t> </w:t>
      </w:r>
      <w:r>
        <w:rPr>
          <w:color w:val="231F20"/>
          <w:sz w:val="19"/>
        </w:rPr>
        <w:t>Aid</w:t>
      </w:r>
      <w:r>
        <w:rPr>
          <w:color w:val="231F20"/>
          <w:spacing w:val="40"/>
          <w:sz w:val="19"/>
        </w:rPr>
        <w:t> </w:t>
      </w:r>
      <w:r>
        <w:rPr>
          <w:color w:val="231F20"/>
          <w:sz w:val="19"/>
        </w:rPr>
        <w:t>of</w:t>
      </w:r>
      <w:r>
        <w:rPr>
          <w:color w:val="231F20"/>
          <w:spacing w:val="40"/>
          <w:sz w:val="19"/>
        </w:rPr>
        <w:t> </w:t>
      </w:r>
      <w:r>
        <w:rPr>
          <w:color w:val="231F20"/>
          <w:sz w:val="19"/>
        </w:rPr>
        <w:t>Historical</w:t>
      </w:r>
      <w:r>
        <w:rPr>
          <w:color w:val="231F20"/>
          <w:spacing w:val="40"/>
          <w:sz w:val="19"/>
        </w:rPr>
        <w:t> </w:t>
      </w:r>
      <w:r>
        <w:rPr>
          <w:color w:val="231F20"/>
          <w:sz w:val="19"/>
        </w:rPr>
        <w:t>Data,”</w:t>
      </w:r>
      <w:r>
        <w:rPr>
          <w:color w:val="231F20"/>
          <w:spacing w:val="40"/>
          <w:sz w:val="19"/>
        </w:rPr>
        <w:t> </w:t>
      </w:r>
      <w:r>
        <w:rPr>
          <w:color w:val="231F20"/>
          <w:sz w:val="19"/>
        </w:rPr>
        <w:t>Case UVA-Q-288, copyright © 1983 by the Darden Graduate Business School Foundation, Charlottesville, Virginia.</w:t>
      </w:r>
    </w:p>
    <w:p>
      <w:pPr>
        <w:spacing w:line="280" w:lineRule="auto" w:before="0"/>
        <w:ind w:left="860" w:right="686" w:hanging="340"/>
        <w:jc w:val="both"/>
        <w:rPr>
          <w:sz w:val="19"/>
        </w:rPr>
      </w:pPr>
      <w:r>
        <w:rPr>
          <w:color w:val="231F20"/>
          <w:sz w:val="19"/>
        </w:rPr>
        <w:t>“An</w:t>
      </w:r>
      <w:r>
        <w:rPr>
          <w:color w:val="231F20"/>
          <w:spacing w:val="38"/>
          <w:sz w:val="19"/>
        </w:rPr>
        <w:t> </w:t>
      </w:r>
      <w:r>
        <w:rPr>
          <w:color w:val="231F20"/>
          <w:sz w:val="19"/>
        </w:rPr>
        <w:t>Introduction</w:t>
      </w:r>
      <w:r>
        <w:rPr>
          <w:color w:val="231F20"/>
          <w:spacing w:val="38"/>
          <w:sz w:val="19"/>
        </w:rPr>
        <w:t> </w:t>
      </w:r>
      <w:r>
        <w:rPr>
          <w:color w:val="231F20"/>
          <w:sz w:val="19"/>
        </w:rPr>
        <w:t>to</w:t>
      </w:r>
      <w:r>
        <w:rPr>
          <w:color w:val="231F20"/>
          <w:spacing w:val="38"/>
          <w:sz w:val="19"/>
        </w:rPr>
        <w:t> </w:t>
      </w:r>
      <w:r>
        <w:rPr>
          <w:color w:val="231F20"/>
          <w:sz w:val="19"/>
        </w:rPr>
        <w:t>Decision</w:t>
      </w:r>
      <w:r>
        <w:rPr>
          <w:color w:val="231F20"/>
          <w:spacing w:val="38"/>
          <w:sz w:val="19"/>
        </w:rPr>
        <w:t> </w:t>
      </w:r>
      <w:r>
        <w:rPr>
          <w:color w:val="231F20"/>
          <w:sz w:val="19"/>
        </w:rPr>
        <w:t>Analysis,”</w:t>
      </w:r>
      <w:r>
        <w:rPr>
          <w:color w:val="231F20"/>
          <w:spacing w:val="38"/>
          <w:sz w:val="19"/>
        </w:rPr>
        <w:t> </w:t>
      </w:r>
      <w:r>
        <w:rPr>
          <w:color w:val="231F20"/>
          <w:sz w:val="19"/>
        </w:rPr>
        <w:t>Case</w:t>
      </w:r>
      <w:r>
        <w:rPr>
          <w:color w:val="231F20"/>
          <w:spacing w:val="38"/>
          <w:sz w:val="19"/>
        </w:rPr>
        <w:t> </w:t>
      </w:r>
      <w:r>
        <w:rPr>
          <w:color w:val="231F20"/>
          <w:sz w:val="19"/>
        </w:rPr>
        <w:t>181-046,</w:t>
      </w:r>
      <w:r>
        <w:rPr>
          <w:color w:val="231F20"/>
          <w:spacing w:val="38"/>
          <w:sz w:val="19"/>
        </w:rPr>
        <w:t> </w:t>
      </w:r>
      <w:r>
        <w:rPr>
          <w:color w:val="231F20"/>
          <w:sz w:val="19"/>
        </w:rPr>
        <w:t>copyright</w:t>
      </w:r>
      <w:r>
        <w:rPr>
          <w:color w:val="231F20"/>
          <w:spacing w:val="38"/>
          <w:sz w:val="19"/>
        </w:rPr>
        <w:t> </w:t>
      </w:r>
      <w:r>
        <w:rPr>
          <w:color w:val="231F20"/>
          <w:sz w:val="19"/>
        </w:rPr>
        <w:t>©</w:t>
      </w:r>
      <w:r>
        <w:rPr>
          <w:color w:val="231F20"/>
          <w:spacing w:val="38"/>
          <w:sz w:val="19"/>
        </w:rPr>
        <w:t> </w:t>
      </w:r>
      <w:r>
        <w:rPr>
          <w:color w:val="231F20"/>
          <w:sz w:val="19"/>
        </w:rPr>
        <w:t>1980 by the President and Fellows of Harvard College; all rights reserved.</w:t>
      </w:r>
    </w:p>
    <w:p>
      <w:pPr>
        <w:spacing w:line="280" w:lineRule="auto" w:before="0"/>
        <w:ind w:left="860" w:right="686" w:hanging="340"/>
        <w:jc w:val="both"/>
        <w:rPr>
          <w:sz w:val="19"/>
        </w:rPr>
      </w:pPr>
      <w:r>
        <w:rPr>
          <w:color w:val="231F20"/>
          <w:sz w:val="19"/>
        </w:rPr>
        <w:t>“Notes on Decision Diagrams,” Case 9-171-035, copyright © 1970 by </w:t>
      </w:r>
      <w:r>
        <w:rPr>
          <w:color w:val="231F20"/>
          <w:sz w:val="19"/>
        </w:rPr>
        <w:t>the President and Fellows of Harvard College; all rights reserved.</w:t>
      </w:r>
    </w:p>
    <w:p>
      <w:pPr>
        <w:spacing w:line="280" w:lineRule="auto" w:before="0"/>
        <w:ind w:left="860" w:right="686" w:hanging="340"/>
        <w:jc w:val="both"/>
        <w:rPr>
          <w:sz w:val="19"/>
        </w:rPr>
      </w:pPr>
      <w:r>
        <w:rPr>
          <w:color w:val="231F20"/>
          <w:sz w:val="19"/>
        </w:rPr>
        <w:t>Oksman, Warren, and Sherwood C. Frey. “Introduction to Analytical </w:t>
      </w:r>
      <w:r>
        <w:rPr>
          <w:color w:val="231F20"/>
          <w:sz w:val="19"/>
        </w:rPr>
        <w:t>Proba- bility Distributions,” Case UVA-Q-205, copyright © 1980 by the Dar-</w:t>
      </w:r>
      <w:r>
        <w:rPr>
          <w:color w:val="231F20"/>
          <w:spacing w:val="80"/>
          <w:sz w:val="19"/>
        </w:rPr>
        <w:t> </w:t>
      </w:r>
      <w:r>
        <w:rPr>
          <w:color w:val="231F20"/>
          <w:sz w:val="19"/>
        </w:rPr>
        <w:t>den Graduate Business School Foundation, Charlottesville, Virginia.</w:t>
      </w:r>
    </w:p>
    <w:p>
      <w:pPr>
        <w:spacing w:line="221" w:lineRule="exact" w:before="0"/>
        <w:ind w:left="520" w:right="0" w:firstLine="0"/>
        <w:jc w:val="both"/>
        <w:rPr>
          <w:sz w:val="19"/>
        </w:rPr>
      </w:pPr>
      <w:r>
        <w:rPr>
          <w:color w:val="231F20"/>
          <w:w w:val="105"/>
          <w:sz w:val="19"/>
        </w:rPr>
        <w:t>Pfeifer,</w:t>
      </w:r>
      <w:r>
        <w:rPr>
          <w:color w:val="231F20"/>
          <w:spacing w:val="17"/>
          <w:w w:val="105"/>
          <w:sz w:val="19"/>
        </w:rPr>
        <w:t> </w:t>
      </w:r>
      <w:r>
        <w:rPr>
          <w:color w:val="231F20"/>
          <w:w w:val="105"/>
          <w:sz w:val="19"/>
        </w:rPr>
        <w:t>Phillip</w:t>
      </w:r>
      <w:r>
        <w:rPr>
          <w:color w:val="231F20"/>
          <w:spacing w:val="18"/>
          <w:w w:val="105"/>
          <w:sz w:val="19"/>
        </w:rPr>
        <w:t> </w:t>
      </w:r>
      <w:r>
        <w:rPr>
          <w:color w:val="231F20"/>
          <w:w w:val="105"/>
          <w:sz w:val="19"/>
        </w:rPr>
        <w:t>E.</w:t>
      </w:r>
      <w:r>
        <w:rPr>
          <w:color w:val="231F20"/>
          <w:spacing w:val="18"/>
          <w:w w:val="105"/>
          <w:sz w:val="19"/>
        </w:rPr>
        <w:t> </w:t>
      </w:r>
      <w:r>
        <w:rPr>
          <w:color w:val="231F20"/>
          <w:w w:val="105"/>
          <w:sz w:val="19"/>
        </w:rPr>
        <w:t>“Forecasting</w:t>
      </w:r>
      <w:r>
        <w:rPr>
          <w:color w:val="231F20"/>
          <w:spacing w:val="18"/>
          <w:w w:val="105"/>
          <w:sz w:val="19"/>
        </w:rPr>
        <w:t> </w:t>
      </w:r>
      <w:r>
        <w:rPr>
          <w:color w:val="231F20"/>
          <w:w w:val="105"/>
          <w:sz w:val="19"/>
        </w:rPr>
        <w:t>Using</w:t>
      </w:r>
      <w:r>
        <w:rPr>
          <w:color w:val="231F20"/>
          <w:spacing w:val="18"/>
          <w:w w:val="105"/>
          <w:sz w:val="19"/>
        </w:rPr>
        <w:t> </w:t>
      </w:r>
      <w:r>
        <w:rPr>
          <w:color w:val="231F20"/>
          <w:w w:val="105"/>
          <w:sz w:val="19"/>
        </w:rPr>
        <w:t>Data,”</w:t>
      </w:r>
      <w:r>
        <w:rPr>
          <w:color w:val="231F20"/>
          <w:spacing w:val="18"/>
          <w:w w:val="105"/>
          <w:sz w:val="19"/>
        </w:rPr>
        <w:t> </w:t>
      </w:r>
      <w:r>
        <w:rPr>
          <w:color w:val="231F20"/>
          <w:w w:val="105"/>
          <w:sz w:val="19"/>
        </w:rPr>
        <w:t>Case</w:t>
      </w:r>
      <w:r>
        <w:rPr>
          <w:color w:val="231F20"/>
          <w:spacing w:val="18"/>
          <w:w w:val="105"/>
          <w:sz w:val="19"/>
        </w:rPr>
        <w:t> </w:t>
      </w:r>
      <w:r>
        <w:rPr>
          <w:color w:val="231F20"/>
          <w:w w:val="105"/>
          <w:sz w:val="19"/>
        </w:rPr>
        <w:t>UVA-QA-381,</w:t>
      </w:r>
      <w:r>
        <w:rPr>
          <w:color w:val="231F20"/>
          <w:spacing w:val="18"/>
          <w:w w:val="105"/>
          <w:sz w:val="19"/>
        </w:rPr>
        <w:t> </w:t>
      </w:r>
      <w:r>
        <w:rPr>
          <w:color w:val="231F20"/>
          <w:spacing w:val="-2"/>
          <w:w w:val="105"/>
          <w:sz w:val="19"/>
        </w:rPr>
        <w:t>copyright</w:t>
      </w:r>
    </w:p>
    <w:p>
      <w:pPr>
        <w:spacing w:line="280" w:lineRule="auto" w:before="29"/>
        <w:ind w:left="860" w:right="687" w:firstLine="0"/>
        <w:jc w:val="both"/>
        <w:rPr>
          <w:sz w:val="19"/>
        </w:rPr>
      </w:pPr>
      <w:r>
        <w:rPr>
          <w:color w:val="231F20"/>
          <w:sz w:val="19"/>
        </w:rPr>
        <w:t>© 1988 by the Darden Graduate Business School Foundation, Char- lottesville, Virginia.</w:t>
      </w:r>
    </w:p>
    <w:p>
      <w:pPr>
        <w:spacing w:after="0" w:line="280" w:lineRule="auto"/>
        <w:jc w:val="both"/>
        <w:rPr>
          <w:sz w:val="19"/>
        </w:rPr>
        <w:sectPr>
          <w:pgSz w:w="8640" w:h="12960"/>
          <w:pgMar w:header="734" w:footer="0" w:top="920" w:bottom="280" w:left="740" w:right="480"/>
        </w:sectPr>
      </w:pPr>
    </w:p>
    <w:p>
      <w:pPr>
        <w:pStyle w:val="BodyText"/>
        <w:spacing w:before="8"/>
        <w:rPr>
          <w:sz w:val="17"/>
        </w:rPr>
      </w:pPr>
    </w:p>
    <w:p>
      <w:pPr>
        <w:spacing w:before="103"/>
        <w:ind w:left="430" w:right="0" w:firstLine="0"/>
        <w:jc w:val="left"/>
        <w:rPr>
          <w:rFonts w:ascii="Trebuchet MS"/>
          <w:sz w:val="20"/>
        </w:rPr>
      </w:pPr>
      <w:r>
        <w:rPr>
          <w:rFonts w:ascii="Trebuchet MS"/>
          <w:color w:val="231F20"/>
          <w:w w:val="85"/>
          <w:sz w:val="20"/>
        </w:rPr>
        <w:t>DAY</w:t>
      </w:r>
      <w:r>
        <w:rPr>
          <w:rFonts w:ascii="Trebuchet MS"/>
          <w:color w:val="231F20"/>
          <w:spacing w:val="3"/>
          <w:sz w:val="20"/>
        </w:rPr>
        <w:t> </w:t>
      </w:r>
      <w:r>
        <w:rPr>
          <w:rFonts w:ascii="Trebuchet MS"/>
          <w:color w:val="231F20"/>
          <w:w w:val="85"/>
          <w:sz w:val="20"/>
        </w:rPr>
        <w:t>6:</w:t>
      </w:r>
      <w:r>
        <w:rPr>
          <w:rFonts w:ascii="Trebuchet MS"/>
          <w:color w:val="231F20"/>
          <w:spacing w:val="3"/>
          <w:sz w:val="20"/>
        </w:rPr>
        <w:t> </w:t>
      </w:r>
      <w:r>
        <w:rPr>
          <w:rFonts w:ascii="Trebuchet MS"/>
          <w:color w:val="231F20"/>
          <w:spacing w:val="-2"/>
          <w:w w:val="85"/>
          <w:sz w:val="20"/>
        </w:rPr>
        <w:t>FINANCE</w:t>
      </w:r>
    </w:p>
    <w:p>
      <w:pPr>
        <w:pStyle w:val="BodyText"/>
        <w:spacing w:before="4"/>
        <w:rPr>
          <w:rFonts w:ascii="Trebuchet MS"/>
          <w:sz w:val="25"/>
        </w:rPr>
      </w:pPr>
    </w:p>
    <w:p>
      <w:pPr>
        <w:spacing w:line="280" w:lineRule="auto" w:before="0"/>
        <w:ind w:left="430" w:right="759" w:firstLine="0"/>
        <w:jc w:val="left"/>
        <w:rPr>
          <w:i/>
          <w:sz w:val="19"/>
        </w:rPr>
      </w:pPr>
      <w:r>
        <w:rPr>
          <w:color w:val="231F20"/>
          <w:w w:val="105"/>
          <w:sz w:val="19"/>
        </w:rPr>
        <w:t>Dreman, David. “Bye-bye to Beta.” </w:t>
      </w:r>
      <w:r>
        <w:rPr>
          <w:i/>
          <w:color w:val="231F20"/>
          <w:w w:val="105"/>
          <w:sz w:val="19"/>
        </w:rPr>
        <w:t>Forbes, </w:t>
      </w:r>
      <w:r>
        <w:rPr>
          <w:color w:val="231F20"/>
          <w:w w:val="105"/>
          <w:sz w:val="19"/>
        </w:rPr>
        <w:t>March 30, 1992, p. 148 (beta). “Japanese</w:t>
      </w:r>
      <w:r>
        <w:rPr>
          <w:color w:val="231F20"/>
          <w:spacing w:val="40"/>
          <w:w w:val="105"/>
          <w:sz w:val="19"/>
        </w:rPr>
        <w:t> </w:t>
      </w:r>
      <w:r>
        <w:rPr>
          <w:color w:val="231F20"/>
          <w:w w:val="105"/>
          <w:sz w:val="19"/>
        </w:rPr>
        <w:t>Firms</w:t>
      </w:r>
      <w:r>
        <w:rPr>
          <w:color w:val="231F20"/>
          <w:spacing w:val="40"/>
          <w:w w:val="105"/>
          <w:sz w:val="19"/>
        </w:rPr>
        <w:t> </w:t>
      </w:r>
      <w:r>
        <w:rPr>
          <w:color w:val="231F20"/>
          <w:w w:val="105"/>
          <w:sz w:val="19"/>
        </w:rPr>
        <w:t>Pull</w:t>
      </w:r>
      <w:r>
        <w:rPr>
          <w:color w:val="231F20"/>
          <w:spacing w:val="40"/>
          <w:w w:val="105"/>
          <w:sz w:val="19"/>
        </w:rPr>
        <w:t> </w:t>
      </w:r>
      <w:r>
        <w:rPr>
          <w:color w:val="231F20"/>
          <w:w w:val="105"/>
          <w:sz w:val="19"/>
        </w:rPr>
        <w:t>Southland</w:t>
      </w:r>
      <w:r>
        <w:rPr>
          <w:color w:val="231F20"/>
          <w:spacing w:val="40"/>
          <w:w w:val="105"/>
          <w:sz w:val="19"/>
        </w:rPr>
        <w:t> </w:t>
      </w:r>
      <w:r>
        <w:rPr>
          <w:color w:val="231F20"/>
          <w:w w:val="105"/>
          <w:sz w:val="19"/>
        </w:rPr>
        <w:t>Corp.</w:t>
      </w:r>
      <w:r>
        <w:rPr>
          <w:color w:val="231F20"/>
          <w:spacing w:val="40"/>
          <w:w w:val="105"/>
          <w:sz w:val="19"/>
        </w:rPr>
        <w:t> </w:t>
      </w:r>
      <w:r>
        <w:rPr>
          <w:color w:val="231F20"/>
          <w:w w:val="105"/>
          <w:sz w:val="19"/>
        </w:rPr>
        <w:t>from</w:t>
      </w:r>
      <w:r>
        <w:rPr>
          <w:color w:val="231F20"/>
          <w:spacing w:val="40"/>
          <w:w w:val="105"/>
          <w:sz w:val="19"/>
        </w:rPr>
        <w:t> </w:t>
      </w:r>
      <w:r>
        <w:rPr>
          <w:color w:val="231F20"/>
          <w:w w:val="105"/>
          <w:sz w:val="19"/>
        </w:rPr>
        <w:t>Chapter</w:t>
      </w:r>
      <w:r>
        <w:rPr>
          <w:color w:val="231F20"/>
          <w:spacing w:val="40"/>
          <w:w w:val="105"/>
          <w:sz w:val="19"/>
        </w:rPr>
        <w:t> </w:t>
      </w:r>
      <w:r>
        <w:rPr>
          <w:color w:val="231F20"/>
          <w:w w:val="105"/>
          <w:sz w:val="19"/>
        </w:rPr>
        <w:t>11.”</w:t>
      </w:r>
      <w:r>
        <w:rPr>
          <w:color w:val="231F20"/>
          <w:spacing w:val="40"/>
          <w:w w:val="105"/>
          <w:sz w:val="19"/>
        </w:rPr>
        <w:t> </w:t>
      </w:r>
      <w:r>
        <w:rPr>
          <w:i/>
          <w:color w:val="231F20"/>
          <w:w w:val="105"/>
          <w:sz w:val="19"/>
        </w:rPr>
        <w:t>Los</w:t>
      </w:r>
      <w:r>
        <w:rPr>
          <w:i/>
          <w:color w:val="231F20"/>
          <w:spacing w:val="40"/>
          <w:w w:val="105"/>
          <w:sz w:val="19"/>
        </w:rPr>
        <w:t> </w:t>
      </w:r>
      <w:r>
        <w:rPr>
          <w:i/>
          <w:color w:val="231F20"/>
          <w:w w:val="105"/>
          <w:sz w:val="19"/>
        </w:rPr>
        <w:t>Angeles</w:t>
      </w:r>
    </w:p>
    <w:p>
      <w:pPr>
        <w:spacing w:line="222" w:lineRule="exact" w:before="0"/>
        <w:ind w:left="770" w:right="0" w:firstLine="0"/>
        <w:jc w:val="left"/>
        <w:rPr>
          <w:sz w:val="19"/>
        </w:rPr>
      </w:pPr>
      <w:r>
        <w:rPr>
          <w:i/>
          <w:color w:val="231F20"/>
          <w:w w:val="105"/>
          <w:sz w:val="19"/>
        </w:rPr>
        <w:t>Times,</w:t>
      </w:r>
      <w:r>
        <w:rPr>
          <w:i/>
          <w:color w:val="231F20"/>
          <w:spacing w:val="-2"/>
          <w:w w:val="105"/>
          <w:sz w:val="19"/>
        </w:rPr>
        <w:t> </w:t>
      </w:r>
      <w:r>
        <w:rPr>
          <w:color w:val="231F20"/>
          <w:w w:val="105"/>
          <w:sz w:val="19"/>
        </w:rPr>
        <w:t>March</w:t>
      </w:r>
      <w:r>
        <w:rPr>
          <w:color w:val="231F20"/>
          <w:spacing w:val="-1"/>
          <w:w w:val="105"/>
          <w:sz w:val="19"/>
        </w:rPr>
        <w:t> </w:t>
      </w:r>
      <w:r>
        <w:rPr>
          <w:color w:val="231F20"/>
          <w:w w:val="105"/>
          <w:sz w:val="19"/>
        </w:rPr>
        <w:t>6,</w:t>
      </w:r>
      <w:r>
        <w:rPr>
          <w:color w:val="231F20"/>
          <w:spacing w:val="-2"/>
          <w:w w:val="105"/>
          <w:sz w:val="19"/>
        </w:rPr>
        <w:t> </w:t>
      </w:r>
      <w:r>
        <w:rPr>
          <w:color w:val="231F20"/>
          <w:w w:val="105"/>
          <w:sz w:val="19"/>
        </w:rPr>
        <w:t>1991,</w:t>
      </w:r>
      <w:r>
        <w:rPr>
          <w:color w:val="231F20"/>
          <w:spacing w:val="-1"/>
          <w:w w:val="105"/>
          <w:sz w:val="19"/>
        </w:rPr>
        <w:t> </w:t>
      </w:r>
      <w:r>
        <w:rPr>
          <w:color w:val="231F20"/>
          <w:w w:val="105"/>
          <w:sz w:val="19"/>
        </w:rPr>
        <w:t>p.</w:t>
      </w:r>
      <w:r>
        <w:rPr>
          <w:color w:val="231F20"/>
          <w:spacing w:val="-1"/>
          <w:w w:val="105"/>
          <w:sz w:val="19"/>
        </w:rPr>
        <w:t> </w:t>
      </w:r>
      <w:r>
        <w:rPr>
          <w:color w:val="231F20"/>
          <w:w w:val="105"/>
          <w:sz w:val="19"/>
        </w:rPr>
        <w:t>D2</w:t>
      </w:r>
      <w:r>
        <w:rPr>
          <w:color w:val="231F20"/>
          <w:spacing w:val="-2"/>
          <w:w w:val="105"/>
          <w:sz w:val="19"/>
        </w:rPr>
        <w:t> </w:t>
      </w:r>
      <w:r>
        <w:rPr>
          <w:color w:val="231F20"/>
          <w:w w:val="105"/>
          <w:sz w:val="19"/>
        </w:rPr>
        <w:t>(Ito-Yokado</w:t>
      </w:r>
      <w:r>
        <w:rPr>
          <w:color w:val="231F20"/>
          <w:spacing w:val="-1"/>
          <w:w w:val="105"/>
          <w:sz w:val="19"/>
        </w:rPr>
        <w:t> </w:t>
      </w:r>
      <w:r>
        <w:rPr>
          <w:color w:val="231F20"/>
          <w:w w:val="105"/>
          <w:sz w:val="19"/>
        </w:rPr>
        <w:t>Group</w:t>
      </w:r>
      <w:r>
        <w:rPr>
          <w:color w:val="231F20"/>
          <w:spacing w:val="-1"/>
          <w:w w:val="105"/>
          <w:sz w:val="19"/>
        </w:rPr>
        <w:t> </w:t>
      </w:r>
      <w:r>
        <w:rPr>
          <w:color w:val="231F20"/>
          <w:w w:val="105"/>
          <w:sz w:val="19"/>
        </w:rPr>
        <w:t>buys</w:t>
      </w:r>
      <w:r>
        <w:rPr>
          <w:color w:val="231F20"/>
          <w:spacing w:val="-2"/>
          <w:w w:val="105"/>
          <w:sz w:val="19"/>
        </w:rPr>
        <w:t> </w:t>
      </w:r>
      <w:r>
        <w:rPr>
          <w:color w:val="231F20"/>
          <w:w w:val="105"/>
          <w:sz w:val="19"/>
        </w:rPr>
        <w:t>7-</w:t>
      </w:r>
      <w:r>
        <w:rPr>
          <w:color w:val="231F20"/>
          <w:spacing w:val="-2"/>
          <w:w w:val="105"/>
          <w:sz w:val="19"/>
        </w:rPr>
        <w:t>Eleven).</w:t>
      </w:r>
    </w:p>
    <w:p>
      <w:pPr>
        <w:spacing w:line="280" w:lineRule="auto" w:before="38"/>
        <w:ind w:left="770" w:right="759" w:hanging="340"/>
        <w:jc w:val="left"/>
        <w:rPr>
          <w:sz w:val="19"/>
        </w:rPr>
      </w:pPr>
      <w:r>
        <w:rPr>
          <w:color w:val="231F20"/>
          <w:sz w:val="19"/>
        </w:rPr>
        <w:t>Ross, Stephen A. (Yale), and Randolph W. Westerfield (Wharton). </w:t>
      </w:r>
      <w:r>
        <w:rPr>
          <w:i/>
          <w:color w:val="231F20"/>
          <w:sz w:val="19"/>
        </w:rPr>
        <w:t>Corporate</w:t>
      </w:r>
      <w:r>
        <w:rPr>
          <w:i/>
          <w:color w:val="231F20"/>
          <w:sz w:val="19"/>
        </w:rPr>
        <w:t> Finance. </w:t>
      </w:r>
      <w:r>
        <w:rPr>
          <w:color w:val="231F20"/>
          <w:sz w:val="19"/>
        </w:rPr>
        <w:t>St. Louis: Times Mirror/Mosby College Publishing, 1988.</w:t>
      </w:r>
    </w:p>
    <w:p>
      <w:pPr>
        <w:spacing w:line="222" w:lineRule="exact" w:before="0"/>
        <w:ind w:left="430" w:right="0" w:firstLine="0"/>
        <w:jc w:val="left"/>
        <w:rPr>
          <w:sz w:val="19"/>
        </w:rPr>
      </w:pPr>
      <w:r>
        <w:rPr>
          <w:i/>
          <w:color w:val="231F20"/>
          <w:w w:val="105"/>
          <w:sz w:val="19"/>
        </w:rPr>
        <w:t>The</w:t>
      </w:r>
      <w:r>
        <w:rPr>
          <w:i/>
          <w:color w:val="231F20"/>
          <w:spacing w:val="5"/>
          <w:w w:val="105"/>
          <w:sz w:val="19"/>
        </w:rPr>
        <w:t> </w:t>
      </w:r>
      <w:r>
        <w:rPr>
          <w:i/>
          <w:color w:val="231F20"/>
          <w:w w:val="105"/>
          <w:sz w:val="19"/>
        </w:rPr>
        <w:t>Value</w:t>
      </w:r>
      <w:r>
        <w:rPr>
          <w:i/>
          <w:color w:val="231F20"/>
          <w:spacing w:val="6"/>
          <w:w w:val="105"/>
          <w:sz w:val="19"/>
        </w:rPr>
        <w:t> </w:t>
      </w:r>
      <w:r>
        <w:rPr>
          <w:i/>
          <w:color w:val="231F20"/>
          <w:w w:val="105"/>
          <w:sz w:val="19"/>
        </w:rPr>
        <w:t>Line</w:t>
      </w:r>
      <w:r>
        <w:rPr>
          <w:i/>
          <w:color w:val="231F20"/>
          <w:spacing w:val="5"/>
          <w:w w:val="105"/>
          <w:sz w:val="19"/>
        </w:rPr>
        <w:t> </w:t>
      </w:r>
      <w:r>
        <w:rPr>
          <w:i/>
          <w:color w:val="231F20"/>
          <w:w w:val="105"/>
          <w:sz w:val="19"/>
        </w:rPr>
        <w:t>Survey.</w:t>
      </w:r>
      <w:r>
        <w:rPr>
          <w:i/>
          <w:color w:val="231F20"/>
          <w:spacing w:val="6"/>
          <w:w w:val="105"/>
          <w:sz w:val="19"/>
        </w:rPr>
        <w:t> </w:t>
      </w:r>
      <w:r>
        <w:rPr>
          <w:color w:val="231F20"/>
          <w:w w:val="105"/>
          <w:sz w:val="19"/>
        </w:rPr>
        <w:t>“Caterpillar</w:t>
      </w:r>
      <w:r>
        <w:rPr>
          <w:color w:val="231F20"/>
          <w:spacing w:val="5"/>
          <w:w w:val="105"/>
          <w:sz w:val="19"/>
        </w:rPr>
        <w:t> </w:t>
      </w:r>
      <w:r>
        <w:rPr>
          <w:color w:val="231F20"/>
          <w:w w:val="105"/>
          <w:sz w:val="19"/>
        </w:rPr>
        <w:t>Inc.”</w:t>
      </w:r>
      <w:r>
        <w:rPr>
          <w:color w:val="231F20"/>
          <w:spacing w:val="6"/>
          <w:w w:val="105"/>
          <w:sz w:val="19"/>
        </w:rPr>
        <w:t> </w:t>
      </w:r>
      <w:r>
        <w:rPr>
          <w:color w:val="231F20"/>
          <w:w w:val="105"/>
          <w:sz w:val="19"/>
        </w:rPr>
        <w:t>May</w:t>
      </w:r>
      <w:r>
        <w:rPr>
          <w:color w:val="231F20"/>
          <w:spacing w:val="5"/>
          <w:w w:val="105"/>
          <w:sz w:val="19"/>
        </w:rPr>
        <w:t> </w:t>
      </w:r>
      <w:r>
        <w:rPr>
          <w:color w:val="231F20"/>
          <w:w w:val="105"/>
          <w:sz w:val="19"/>
        </w:rPr>
        <w:t>15,</w:t>
      </w:r>
      <w:r>
        <w:rPr>
          <w:color w:val="231F20"/>
          <w:spacing w:val="6"/>
          <w:w w:val="105"/>
          <w:sz w:val="19"/>
        </w:rPr>
        <w:t> </w:t>
      </w:r>
      <w:r>
        <w:rPr>
          <w:color w:val="231F20"/>
          <w:w w:val="105"/>
          <w:sz w:val="19"/>
        </w:rPr>
        <w:t>1992,</w:t>
      </w:r>
      <w:r>
        <w:rPr>
          <w:color w:val="231F20"/>
          <w:spacing w:val="6"/>
          <w:w w:val="105"/>
          <w:sz w:val="19"/>
        </w:rPr>
        <w:t> </w:t>
      </w:r>
      <w:r>
        <w:rPr>
          <w:color w:val="231F20"/>
          <w:w w:val="105"/>
          <w:sz w:val="19"/>
        </w:rPr>
        <w:t>p.</w:t>
      </w:r>
      <w:r>
        <w:rPr>
          <w:color w:val="231F20"/>
          <w:spacing w:val="5"/>
          <w:w w:val="105"/>
          <w:sz w:val="19"/>
        </w:rPr>
        <w:t> </w:t>
      </w:r>
      <w:r>
        <w:rPr>
          <w:color w:val="231F20"/>
          <w:spacing w:val="-4"/>
          <w:w w:val="105"/>
          <w:sz w:val="19"/>
        </w:rPr>
        <w:t>1346.</w:t>
      </w:r>
    </w:p>
    <w:p>
      <w:pPr>
        <w:pStyle w:val="BodyText"/>
        <w:rPr>
          <w:sz w:val="22"/>
        </w:rPr>
      </w:pPr>
    </w:p>
    <w:p>
      <w:pPr>
        <w:pStyle w:val="BodyText"/>
        <w:spacing w:before="10"/>
        <w:rPr>
          <w:sz w:val="24"/>
        </w:rPr>
      </w:pPr>
    </w:p>
    <w:p>
      <w:pPr>
        <w:spacing w:before="0"/>
        <w:ind w:left="430" w:right="0" w:firstLine="0"/>
        <w:jc w:val="left"/>
        <w:rPr>
          <w:rFonts w:ascii="Trebuchet MS"/>
          <w:sz w:val="20"/>
        </w:rPr>
      </w:pPr>
      <w:r>
        <w:rPr>
          <w:rFonts w:ascii="Trebuchet MS"/>
          <w:color w:val="231F20"/>
          <w:w w:val="85"/>
          <w:sz w:val="20"/>
        </w:rPr>
        <w:t>DAY</w:t>
      </w:r>
      <w:r>
        <w:rPr>
          <w:rFonts w:ascii="Trebuchet MS"/>
          <w:color w:val="231F20"/>
          <w:spacing w:val="3"/>
          <w:sz w:val="20"/>
        </w:rPr>
        <w:t> </w:t>
      </w:r>
      <w:r>
        <w:rPr>
          <w:rFonts w:ascii="Trebuchet MS"/>
          <w:color w:val="231F20"/>
          <w:w w:val="85"/>
          <w:sz w:val="20"/>
        </w:rPr>
        <w:t>7:</w:t>
      </w:r>
      <w:r>
        <w:rPr>
          <w:rFonts w:ascii="Trebuchet MS"/>
          <w:color w:val="231F20"/>
          <w:spacing w:val="3"/>
          <w:sz w:val="20"/>
        </w:rPr>
        <w:t> </w:t>
      </w:r>
      <w:r>
        <w:rPr>
          <w:rFonts w:ascii="Trebuchet MS"/>
          <w:color w:val="231F20"/>
          <w:spacing w:val="-2"/>
          <w:w w:val="85"/>
          <w:sz w:val="20"/>
        </w:rPr>
        <w:t>OPERATIONS</w:t>
      </w:r>
    </w:p>
    <w:p>
      <w:pPr>
        <w:pStyle w:val="BodyText"/>
        <w:spacing w:before="5"/>
        <w:rPr>
          <w:rFonts w:ascii="Trebuchet MS"/>
          <w:sz w:val="25"/>
        </w:rPr>
      </w:pPr>
    </w:p>
    <w:p>
      <w:pPr>
        <w:spacing w:line="280" w:lineRule="auto" w:before="0"/>
        <w:ind w:left="770" w:right="777" w:hanging="340"/>
        <w:jc w:val="both"/>
        <w:rPr>
          <w:sz w:val="19"/>
        </w:rPr>
      </w:pPr>
      <w:r>
        <w:rPr>
          <w:color w:val="231F20"/>
          <w:w w:val="105"/>
          <w:sz w:val="19"/>
        </w:rPr>
        <w:t>Byrne,</w:t>
      </w:r>
      <w:r>
        <w:rPr>
          <w:color w:val="231F20"/>
          <w:spacing w:val="-11"/>
          <w:w w:val="105"/>
          <w:sz w:val="19"/>
        </w:rPr>
        <w:t> </w:t>
      </w:r>
      <w:r>
        <w:rPr>
          <w:color w:val="231F20"/>
          <w:w w:val="105"/>
          <w:sz w:val="19"/>
        </w:rPr>
        <w:t>John</w:t>
      </w:r>
      <w:r>
        <w:rPr>
          <w:color w:val="231F20"/>
          <w:spacing w:val="-11"/>
          <w:w w:val="105"/>
          <w:sz w:val="19"/>
        </w:rPr>
        <w:t> </w:t>
      </w:r>
      <w:r>
        <w:rPr>
          <w:color w:val="231F20"/>
          <w:w w:val="105"/>
          <w:sz w:val="19"/>
        </w:rPr>
        <w:t>A.</w:t>
      </w:r>
      <w:r>
        <w:rPr>
          <w:color w:val="231F20"/>
          <w:spacing w:val="-5"/>
          <w:w w:val="105"/>
          <w:sz w:val="19"/>
        </w:rPr>
        <w:t> </w:t>
      </w:r>
      <w:r>
        <w:rPr>
          <w:color w:val="231F20"/>
          <w:w w:val="105"/>
          <w:sz w:val="19"/>
        </w:rPr>
        <w:t>“Business</w:t>
      </w:r>
      <w:r>
        <w:rPr>
          <w:color w:val="231F20"/>
          <w:spacing w:val="-4"/>
          <w:w w:val="105"/>
          <w:sz w:val="19"/>
        </w:rPr>
        <w:t> </w:t>
      </w:r>
      <w:r>
        <w:rPr>
          <w:color w:val="231F20"/>
          <w:w w:val="105"/>
          <w:sz w:val="19"/>
        </w:rPr>
        <w:t>Fads:</w:t>
      </w:r>
      <w:r>
        <w:rPr>
          <w:color w:val="231F20"/>
          <w:spacing w:val="-4"/>
          <w:w w:val="105"/>
          <w:sz w:val="19"/>
        </w:rPr>
        <w:t> </w:t>
      </w:r>
      <w:r>
        <w:rPr>
          <w:color w:val="231F20"/>
          <w:w w:val="105"/>
          <w:sz w:val="19"/>
        </w:rPr>
        <w:t>What’s</w:t>
      </w:r>
      <w:r>
        <w:rPr>
          <w:color w:val="231F20"/>
          <w:spacing w:val="-4"/>
          <w:w w:val="105"/>
          <w:sz w:val="19"/>
        </w:rPr>
        <w:t> </w:t>
      </w:r>
      <w:r>
        <w:rPr>
          <w:color w:val="231F20"/>
          <w:w w:val="105"/>
          <w:sz w:val="19"/>
        </w:rPr>
        <w:t>In—</w:t>
      </w:r>
      <w:r>
        <w:rPr>
          <w:color w:val="231F20"/>
          <w:spacing w:val="-11"/>
          <w:w w:val="105"/>
          <w:sz w:val="19"/>
        </w:rPr>
        <w:t> </w:t>
      </w:r>
      <w:r>
        <w:rPr>
          <w:color w:val="231F20"/>
          <w:w w:val="105"/>
          <w:sz w:val="19"/>
        </w:rPr>
        <w:t>and</w:t>
      </w:r>
      <w:r>
        <w:rPr>
          <w:color w:val="231F20"/>
          <w:spacing w:val="-4"/>
          <w:w w:val="105"/>
          <w:sz w:val="19"/>
        </w:rPr>
        <w:t> </w:t>
      </w:r>
      <w:r>
        <w:rPr>
          <w:color w:val="231F20"/>
          <w:w w:val="105"/>
          <w:sz w:val="19"/>
        </w:rPr>
        <w:t>Out.”</w:t>
      </w:r>
      <w:r>
        <w:rPr>
          <w:color w:val="231F20"/>
          <w:spacing w:val="-5"/>
          <w:w w:val="105"/>
          <w:sz w:val="19"/>
        </w:rPr>
        <w:t> </w:t>
      </w:r>
      <w:r>
        <w:rPr>
          <w:i/>
          <w:color w:val="231F20"/>
          <w:w w:val="105"/>
          <w:sz w:val="19"/>
        </w:rPr>
        <w:t>Business</w:t>
      </w:r>
      <w:r>
        <w:rPr>
          <w:i/>
          <w:color w:val="231F20"/>
          <w:spacing w:val="-4"/>
          <w:w w:val="105"/>
          <w:sz w:val="19"/>
        </w:rPr>
        <w:t> </w:t>
      </w:r>
      <w:r>
        <w:rPr>
          <w:i/>
          <w:color w:val="231F20"/>
          <w:w w:val="105"/>
          <w:sz w:val="19"/>
        </w:rPr>
        <w:t>Week,</w:t>
      </w:r>
      <w:r>
        <w:rPr>
          <w:i/>
          <w:color w:val="231F20"/>
          <w:spacing w:val="-4"/>
          <w:w w:val="105"/>
          <w:sz w:val="19"/>
        </w:rPr>
        <w:t> </w:t>
      </w:r>
      <w:r>
        <w:rPr>
          <w:color w:val="231F20"/>
          <w:w w:val="105"/>
          <w:sz w:val="19"/>
        </w:rPr>
        <w:t>Janu- ary 20, 1986, p. 54 (CPM).</w:t>
      </w:r>
    </w:p>
    <w:p>
      <w:pPr>
        <w:spacing w:line="280" w:lineRule="auto" w:before="0"/>
        <w:ind w:left="770" w:right="776" w:hanging="340"/>
        <w:jc w:val="both"/>
        <w:rPr>
          <w:sz w:val="19"/>
        </w:rPr>
      </w:pPr>
      <w:r>
        <w:rPr>
          <w:color w:val="231F20"/>
          <w:w w:val="105"/>
          <w:sz w:val="19"/>
        </w:rPr>
        <w:t>“Constructing</w:t>
      </w:r>
      <w:r>
        <w:rPr>
          <w:color w:val="231F20"/>
          <w:w w:val="105"/>
          <w:sz w:val="19"/>
        </w:rPr>
        <w:t> and</w:t>
      </w:r>
      <w:r>
        <w:rPr>
          <w:color w:val="231F20"/>
          <w:w w:val="105"/>
          <w:sz w:val="19"/>
        </w:rPr>
        <w:t> Using</w:t>
      </w:r>
      <w:r>
        <w:rPr>
          <w:color w:val="231F20"/>
          <w:w w:val="105"/>
          <w:sz w:val="19"/>
        </w:rPr>
        <w:t> Process</w:t>
      </w:r>
      <w:r>
        <w:rPr>
          <w:color w:val="231F20"/>
          <w:w w:val="105"/>
          <w:sz w:val="19"/>
        </w:rPr>
        <w:t> Control</w:t>
      </w:r>
      <w:r>
        <w:rPr>
          <w:color w:val="231F20"/>
          <w:w w:val="105"/>
          <w:sz w:val="19"/>
        </w:rPr>
        <w:t> Charts,”</w:t>
      </w:r>
      <w:r>
        <w:rPr>
          <w:color w:val="231F20"/>
          <w:w w:val="105"/>
          <w:sz w:val="19"/>
        </w:rPr>
        <w:t> Case</w:t>
      </w:r>
      <w:r>
        <w:rPr>
          <w:color w:val="231F20"/>
          <w:w w:val="105"/>
          <w:sz w:val="19"/>
        </w:rPr>
        <w:t> 9-686-118,</w:t>
      </w:r>
      <w:r>
        <w:rPr>
          <w:color w:val="231F20"/>
          <w:w w:val="105"/>
          <w:sz w:val="19"/>
        </w:rPr>
        <w:t> copy- </w:t>
      </w:r>
      <w:r>
        <w:rPr>
          <w:color w:val="231F20"/>
          <w:sz w:val="19"/>
        </w:rPr>
        <w:t>right © 1986 by the President and Fellows of Harvard College; all </w:t>
      </w:r>
      <w:r>
        <w:rPr>
          <w:color w:val="231F20"/>
          <w:sz w:val="19"/>
        </w:rPr>
        <w:t>rights </w:t>
      </w:r>
      <w:r>
        <w:rPr>
          <w:color w:val="231F20"/>
          <w:w w:val="105"/>
          <w:sz w:val="19"/>
        </w:rPr>
        <w:t>reserved (SPC).</w:t>
      </w:r>
    </w:p>
    <w:p>
      <w:pPr>
        <w:spacing w:line="280" w:lineRule="auto" w:before="0"/>
        <w:ind w:left="770" w:right="776" w:hanging="340"/>
        <w:jc w:val="both"/>
        <w:rPr>
          <w:sz w:val="19"/>
        </w:rPr>
      </w:pPr>
      <w:r>
        <w:rPr>
          <w:color w:val="231F20"/>
          <w:sz w:val="19"/>
        </w:rPr>
        <w:t>Davis, Edward W. “Material Requirements Planning,” Case </w:t>
      </w:r>
      <w:r>
        <w:rPr>
          <w:color w:val="231F20"/>
          <w:sz w:val="19"/>
        </w:rPr>
        <w:t>UVA-OM-279, copyright © 1980 by the Darden Graduate Business School Foundation, Charlottesville, Virginia.</w:t>
      </w:r>
    </w:p>
    <w:p>
      <w:pPr>
        <w:spacing w:line="221" w:lineRule="exact" w:before="0"/>
        <w:ind w:left="430" w:right="0" w:firstLine="0"/>
        <w:jc w:val="both"/>
        <w:rPr>
          <w:sz w:val="19"/>
        </w:rPr>
      </w:pPr>
      <w:r>
        <w:rPr>
          <w:color w:val="231F20"/>
          <w:w w:val="105"/>
          <w:sz w:val="19"/>
        </w:rPr>
        <w:t>Freeland,</w:t>
      </w:r>
      <w:r>
        <w:rPr>
          <w:color w:val="231F20"/>
          <w:spacing w:val="7"/>
          <w:w w:val="105"/>
          <w:sz w:val="19"/>
        </w:rPr>
        <w:t> </w:t>
      </w:r>
      <w:r>
        <w:rPr>
          <w:color w:val="231F20"/>
          <w:w w:val="105"/>
          <w:sz w:val="19"/>
        </w:rPr>
        <w:t>James</w:t>
      </w:r>
      <w:r>
        <w:rPr>
          <w:color w:val="231F20"/>
          <w:spacing w:val="7"/>
          <w:w w:val="105"/>
          <w:sz w:val="19"/>
        </w:rPr>
        <w:t> </w:t>
      </w:r>
      <w:r>
        <w:rPr>
          <w:color w:val="231F20"/>
          <w:w w:val="105"/>
          <w:sz w:val="19"/>
        </w:rPr>
        <w:t>R.</w:t>
      </w:r>
      <w:r>
        <w:rPr>
          <w:color w:val="231F20"/>
          <w:spacing w:val="7"/>
          <w:w w:val="105"/>
          <w:sz w:val="19"/>
        </w:rPr>
        <w:t> </w:t>
      </w:r>
      <w:r>
        <w:rPr>
          <w:color w:val="231F20"/>
          <w:w w:val="105"/>
          <w:sz w:val="19"/>
        </w:rPr>
        <w:t>“Managing</w:t>
      </w:r>
      <w:r>
        <w:rPr>
          <w:color w:val="231F20"/>
          <w:spacing w:val="8"/>
          <w:w w:val="105"/>
          <w:sz w:val="19"/>
        </w:rPr>
        <w:t> </w:t>
      </w:r>
      <w:r>
        <w:rPr>
          <w:color w:val="231F20"/>
          <w:w w:val="105"/>
          <w:sz w:val="19"/>
        </w:rPr>
        <w:t>Inventories,”</w:t>
      </w:r>
      <w:r>
        <w:rPr>
          <w:color w:val="231F20"/>
          <w:spacing w:val="7"/>
          <w:w w:val="105"/>
          <w:sz w:val="19"/>
        </w:rPr>
        <w:t> </w:t>
      </w:r>
      <w:r>
        <w:rPr>
          <w:color w:val="231F20"/>
          <w:w w:val="105"/>
          <w:sz w:val="19"/>
        </w:rPr>
        <w:t>Case</w:t>
      </w:r>
      <w:r>
        <w:rPr>
          <w:color w:val="231F20"/>
          <w:spacing w:val="7"/>
          <w:w w:val="105"/>
          <w:sz w:val="19"/>
        </w:rPr>
        <w:t> </w:t>
      </w:r>
      <w:r>
        <w:rPr>
          <w:color w:val="231F20"/>
          <w:w w:val="105"/>
          <w:sz w:val="19"/>
        </w:rPr>
        <w:t>UVA-OM-623,</w:t>
      </w:r>
      <w:r>
        <w:rPr>
          <w:color w:val="231F20"/>
          <w:spacing w:val="8"/>
          <w:w w:val="105"/>
          <w:sz w:val="19"/>
        </w:rPr>
        <w:t> </w:t>
      </w:r>
      <w:r>
        <w:rPr>
          <w:color w:val="231F20"/>
          <w:spacing w:val="-2"/>
          <w:w w:val="105"/>
          <w:sz w:val="19"/>
        </w:rPr>
        <w:t>copyright</w:t>
      </w:r>
    </w:p>
    <w:p>
      <w:pPr>
        <w:spacing w:line="280" w:lineRule="auto" w:before="34"/>
        <w:ind w:left="770" w:right="777" w:firstLine="0"/>
        <w:jc w:val="both"/>
        <w:rPr>
          <w:sz w:val="19"/>
        </w:rPr>
      </w:pPr>
      <w:r>
        <w:rPr>
          <w:color w:val="231F20"/>
          <w:sz w:val="19"/>
        </w:rPr>
        <w:t>© 1987 by the Darden Graduate Business School Foundation, Char- lottesville, Virginia.</w:t>
      </w:r>
    </w:p>
    <w:p>
      <w:pPr>
        <w:spacing w:line="280" w:lineRule="auto" w:before="0"/>
        <w:ind w:left="770" w:right="776" w:hanging="340"/>
        <w:jc w:val="both"/>
        <w:rPr>
          <w:sz w:val="19"/>
        </w:rPr>
      </w:pPr>
      <w:r>
        <w:rPr>
          <w:color w:val="231F20"/>
          <w:w w:val="105"/>
          <w:sz w:val="19"/>
        </w:rPr>
        <w:t>Landel, Robert D. </w:t>
      </w:r>
      <w:r>
        <w:rPr>
          <w:i/>
          <w:color w:val="231F20"/>
          <w:w w:val="105"/>
          <w:sz w:val="19"/>
        </w:rPr>
        <w:t>Managing Productivity Through People: An </w:t>
      </w:r>
      <w:r>
        <w:rPr>
          <w:i/>
          <w:color w:val="231F20"/>
          <w:w w:val="105"/>
          <w:sz w:val="19"/>
        </w:rPr>
        <w:t>Operations</w:t>
      </w:r>
      <w:r>
        <w:rPr>
          <w:i/>
          <w:color w:val="231F20"/>
          <w:w w:val="105"/>
          <w:sz w:val="19"/>
        </w:rPr>
        <w:t> Perspective,</w:t>
      </w:r>
      <w:r>
        <w:rPr>
          <w:i/>
          <w:color w:val="231F20"/>
          <w:spacing w:val="-9"/>
          <w:w w:val="105"/>
          <w:sz w:val="19"/>
        </w:rPr>
        <w:t> </w:t>
      </w:r>
      <w:r>
        <w:rPr>
          <w:color w:val="231F20"/>
          <w:w w:val="105"/>
          <w:sz w:val="19"/>
        </w:rPr>
        <w:t>Chapter</w:t>
      </w:r>
      <w:r>
        <w:rPr>
          <w:color w:val="231F20"/>
          <w:spacing w:val="-8"/>
          <w:w w:val="105"/>
          <w:sz w:val="19"/>
        </w:rPr>
        <w:t> </w:t>
      </w:r>
      <w:r>
        <w:rPr>
          <w:color w:val="231F20"/>
          <w:w w:val="105"/>
          <w:sz w:val="19"/>
        </w:rPr>
        <w:t>3.</w:t>
      </w:r>
      <w:r>
        <w:rPr>
          <w:color w:val="231F20"/>
          <w:spacing w:val="-8"/>
          <w:w w:val="105"/>
          <w:sz w:val="19"/>
        </w:rPr>
        <w:t> </w:t>
      </w:r>
      <w:r>
        <w:rPr>
          <w:color w:val="231F20"/>
          <w:w w:val="105"/>
          <w:sz w:val="19"/>
        </w:rPr>
        <w:t>Englewood</w:t>
      </w:r>
      <w:r>
        <w:rPr>
          <w:color w:val="231F20"/>
          <w:spacing w:val="-8"/>
          <w:w w:val="105"/>
          <w:sz w:val="19"/>
        </w:rPr>
        <w:t> </w:t>
      </w:r>
      <w:r>
        <w:rPr>
          <w:color w:val="231F20"/>
          <w:w w:val="105"/>
          <w:sz w:val="19"/>
        </w:rPr>
        <w:t>Cliffs,</w:t>
      </w:r>
      <w:r>
        <w:rPr>
          <w:color w:val="231F20"/>
          <w:spacing w:val="-8"/>
          <w:w w:val="105"/>
          <w:sz w:val="19"/>
        </w:rPr>
        <w:t> </w:t>
      </w:r>
      <w:r>
        <w:rPr>
          <w:color w:val="231F20"/>
          <w:w w:val="105"/>
          <w:sz w:val="19"/>
        </w:rPr>
        <w:t>N.J.:</w:t>
      </w:r>
      <w:r>
        <w:rPr>
          <w:color w:val="231F20"/>
          <w:spacing w:val="-8"/>
          <w:w w:val="105"/>
          <w:sz w:val="19"/>
        </w:rPr>
        <w:t> </w:t>
      </w:r>
      <w:r>
        <w:rPr>
          <w:color w:val="231F20"/>
          <w:w w:val="105"/>
          <w:sz w:val="19"/>
        </w:rPr>
        <w:t>Prentice-Hall,</w:t>
      </w:r>
      <w:r>
        <w:rPr>
          <w:color w:val="231F20"/>
          <w:spacing w:val="-8"/>
          <w:w w:val="105"/>
          <w:sz w:val="19"/>
        </w:rPr>
        <w:t> </w:t>
      </w:r>
      <w:r>
        <w:rPr>
          <w:color w:val="231F20"/>
          <w:w w:val="105"/>
          <w:sz w:val="19"/>
        </w:rPr>
        <w:t>1986;</w:t>
      </w:r>
      <w:r>
        <w:rPr>
          <w:color w:val="231F20"/>
          <w:spacing w:val="-8"/>
          <w:w w:val="105"/>
          <w:sz w:val="19"/>
        </w:rPr>
        <w:t> </w:t>
      </w:r>
      <w:r>
        <w:rPr>
          <w:color w:val="231F20"/>
          <w:w w:val="105"/>
          <w:sz w:val="19"/>
        </w:rPr>
        <w:t>and Case</w:t>
      </w:r>
      <w:r>
        <w:rPr>
          <w:color w:val="231F20"/>
          <w:w w:val="105"/>
          <w:sz w:val="19"/>
        </w:rPr>
        <w:t> UVA-OM-528,</w:t>
      </w:r>
      <w:r>
        <w:rPr>
          <w:color w:val="231F20"/>
          <w:w w:val="105"/>
          <w:sz w:val="19"/>
        </w:rPr>
        <w:t> copyright</w:t>
      </w:r>
      <w:r>
        <w:rPr>
          <w:color w:val="231F20"/>
          <w:w w:val="105"/>
          <w:sz w:val="19"/>
        </w:rPr>
        <w:t> ©</w:t>
      </w:r>
      <w:r>
        <w:rPr>
          <w:color w:val="231F20"/>
          <w:w w:val="105"/>
          <w:sz w:val="19"/>
        </w:rPr>
        <w:t> 1984</w:t>
      </w:r>
      <w:r>
        <w:rPr>
          <w:color w:val="231F20"/>
          <w:w w:val="105"/>
          <w:sz w:val="19"/>
        </w:rPr>
        <w:t> by</w:t>
      </w:r>
      <w:r>
        <w:rPr>
          <w:color w:val="231F20"/>
          <w:w w:val="105"/>
          <w:sz w:val="19"/>
        </w:rPr>
        <w:t> the</w:t>
      </w:r>
      <w:r>
        <w:rPr>
          <w:color w:val="231F20"/>
          <w:w w:val="105"/>
          <w:sz w:val="19"/>
        </w:rPr>
        <w:t> Darden</w:t>
      </w:r>
      <w:r>
        <w:rPr>
          <w:color w:val="231F20"/>
          <w:w w:val="105"/>
          <w:sz w:val="19"/>
        </w:rPr>
        <w:t> Graduate</w:t>
      </w:r>
      <w:r>
        <w:rPr>
          <w:color w:val="231F20"/>
          <w:w w:val="105"/>
          <w:sz w:val="19"/>
        </w:rPr>
        <w:t> Busi- ness</w:t>
      </w:r>
      <w:r>
        <w:rPr>
          <w:color w:val="231F20"/>
          <w:spacing w:val="-8"/>
          <w:w w:val="105"/>
          <w:sz w:val="19"/>
        </w:rPr>
        <w:t> </w:t>
      </w:r>
      <w:r>
        <w:rPr>
          <w:color w:val="231F20"/>
          <w:w w:val="105"/>
          <w:sz w:val="19"/>
        </w:rPr>
        <w:t>School</w:t>
      </w:r>
      <w:r>
        <w:rPr>
          <w:color w:val="231F20"/>
          <w:spacing w:val="-8"/>
          <w:w w:val="105"/>
          <w:sz w:val="19"/>
        </w:rPr>
        <w:t> </w:t>
      </w:r>
      <w:r>
        <w:rPr>
          <w:color w:val="231F20"/>
          <w:w w:val="105"/>
          <w:sz w:val="19"/>
        </w:rPr>
        <w:t>Foundation,</w:t>
      </w:r>
      <w:r>
        <w:rPr>
          <w:color w:val="231F20"/>
          <w:spacing w:val="-8"/>
          <w:w w:val="105"/>
          <w:sz w:val="19"/>
        </w:rPr>
        <w:t> </w:t>
      </w:r>
      <w:r>
        <w:rPr>
          <w:color w:val="231F20"/>
          <w:w w:val="105"/>
          <w:sz w:val="19"/>
        </w:rPr>
        <w:t>Charlottesville,</w:t>
      </w:r>
      <w:r>
        <w:rPr>
          <w:color w:val="231F20"/>
          <w:spacing w:val="-8"/>
          <w:w w:val="105"/>
          <w:sz w:val="19"/>
        </w:rPr>
        <w:t> </w:t>
      </w:r>
      <w:r>
        <w:rPr>
          <w:color w:val="231F20"/>
          <w:w w:val="105"/>
          <w:sz w:val="19"/>
        </w:rPr>
        <w:t>Virginia</w:t>
      </w:r>
      <w:r>
        <w:rPr>
          <w:color w:val="231F20"/>
          <w:spacing w:val="-8"/>
          <w:w w:val="105"/>
          <w:sz w:val="19"/>
        </w:rPr>
        <w:t> </w:t>
      </w:r>
      <w:r>
        <w:rPr>
          <w:color w:val="231F20"/>
          <w:w w:val="105"/>
          <w:sz w:val="19"/>
        </w:rPr>
        <w:t>(queuing</w:t>
      </w:r>
      <w:r>
        <w:rPr>
          <w:color w:val="231F20"/>
          <w:spacing w:val="-8"/>
          <w:w w:val="105"/>
          <w:sz w:val="19"/>
        </w:rPr>
        <w:t> </w:t>
      </w:r>
      <w:r>
        <w:rPr>
          <w:color w:val="231F20"/>
          <w:w w:val="105"/>
          <w:sz w:val="19"/>
        </w:rPr>
        <w:t>theory).</w:t>
      </w:r>
    </w:p>
    <w:p>
      <w:pPr>
        <w:spacing w:line="280" w:lineRule="auto" w:before="0"/>
        <w:ind w:left="770" w:right="776" w:hanging="340"/>
        <w:jc w:val="both"/>
        <w:rPr>
          <w:sz w:val="19"/>
        </w:rPr>
      </w:pPr>
      <w:r>
        <w:rPr>
          <w:color w:val="231F20"/>
          <w:sz w:val="19"/>
        </w:rPr>
        <w:t>“A Note on Quality: The Views of Deming, Juran and Crosby,” Case </w:t>
      </w:r>
      <w:r>
        <w:rPr>
          <w:color w:val="231F20"/>
          <w:sz w:val="19"/>
        </w:rPr>
        <w:t>9-687- 011, copyright © 1986 by the President and Fellows of Harvard College; all rights reserved.</w:t>
      </w:r>
    </w:p>
    <w:p>
      <w:pPr>
        <w:spacing w:line="280" w:lineRule="auto" w:before="0"/>
        <w:ind w:left="770" w:right="776" w:hanging="340"/>
        <w:jc w:val="both"/>
        <w:rPr>
          <w:sz w:val="19"/>
        </w:rPr>
      </w:pPr>
      <w:r>
        <w:rPr>
          <w:color w:val="231F20"/>
          <w:w w:val="105"/>
          <w:sz w:val="19"/>
        </w:rPr>
        <w:t>Savage,</w:t>
      </w:r>
      <w:r>
        <w:rPr>
          <w:color w:val="231F20"/>
          <w:w w:val="105"/>
          <w:sz w:val="19"/>
        </w:rPr>
        <w:t> Sam</w:t>
      </w:r>
      <w:r>
        <w:rPr>
          <w:color w:val="231F20"/>
          <w:w w:val="105"/>
          <w:sz w:val="19"/>
        </w:rPr>
        <w:t> L.</w:t>
      </w:r>
      <w:r>
        <w:rPr>
          <w:color w:val="231F20"/>
          <w:w w:val="105"/>
          <w:sz w:val="19"/>
        </w:rPr>
        <w:t> </w:t>
      </w:r>
      <w:r>
        <w:rPr>
          <w:i/>
          <w:color w:val="231F20"/>
          <w:w w:val="105"/>
          <w:sz w:val="19"/>
        </w:rPr>
        <w:t>The</w:t>
      </w:r>
      <w:r>
        <w:rPr>
          <w:i/>
          <w:color w:val="231F20"/>
          <w:w w:val="105"/>
          <w:sz w:val="19"/>
        </w:rPr>
        <w:t> ABC’s</w:t>
      </w:r>
      <w:r>
        <w:rPr>
          <w:i/>
          <w:color w:val="231F20"/>
          <w:w w:val="105"/>
          <w:sz w:val="19"/>
        </w:rPr>
        <w:t> of</w:t>
      </w:r>
      <w:r>
        <w:rPr>
          <w:i/>
          <w:color w:val="231F20"/>
          <w:w w:val="105"/>
          <w:sz w:val="19"/>
        </w:rPr>
        <w:t> Optimization</w:t>
      </w:r>
      <w:r>
        <w:rPr>
          <w:i/>
          <w:color w:val="231F20"/>
          <w:w w:val="105"/>
          <w:sz w:val="19"/>
        </w:rPr>
        <w:t> Using</w:t>
      </w:r>
      <w:r>
        <w:rPr>
          <w:i/>
          <w:color w:val="231F20"/>
          <w:w w:val="105"/>
          <w:sz w:val="19"/>
        </w:rPr>
        <w:t> What’s</w:t>
      </w:r>
      <w:r>
        <w:rPr>
          <w:i/>
          <w:color w:val="231F20"/>
          <w:w w:val="105"/>
          <w:sz w:val="19"/>
        </w:rPr>
        <w:t> Best!</w:t>
      </w:r>
      <w:r>
        <w:rPr>
          <w:i/>
          <w:color w:val="231F20"/>
          <w:w w:val="105"/>
          <w:sz w:val="19"/>
        </w:rPr>
        <w:t> </w:t>
      </w:r>
      <w:r>
        <w:rPr>
          <w:color w:val="231F20"/>
          <w:w w:val="105"/>
          <w:sz w:val="19"/>
        </w:rPr>
        <w:t>Oakland, Calif.: Holden-Day, Inc., 1986, p. I-17 (linear programming example).</w:t>
      </w:r>
    </w:p>
    <w:p>
      <w:pPr>
        <w:spacing w:line="280" w:lineRule="auto" w:before="0"/>
        <w:ind w:left="770" w:right="776" w:hanging="340"/>
        <w:jc w:val="both"/>
        <w:rPr>
          <w:sz w:val="19"/>
        </w:rPr>
      </w:pPr>
      <w:r>
        <w:rPr>
          <w:color w:val="231F20"/>
          <w:sz w:val="19"/>
        </w:rPr>
        <w:t>Smitka, Michael J. </w:t>
      </w:r>
      <w:r>
        <w:rPr>
          <w:i/>
          <w:color w:val="231F20"/>
          <w:sz w:val="19"/>
        </w:rPr>
        <w:t>Competitive Ties: Subcontracting in the Japanese Auto-</w:t>
      </w:r>
      <w:r>
        <w:rPr>
          <w:i/>
          <w:color w:val="231F20"/>
          <w:sz w:val="19"/>
        </w:rPr>
        <w:t> motive</w:t>
      </w:r>
      <w:r>
        <w:rPr>
          <w:i/>
          <w:color w:val="231F20"/>
          <w:spacing w:val="40"/>
          <w:sz w:val="19"/>
        </w:rPr>
        <w:t> </w:t>
      </w:r>
      <w:r>
        <w:rPr>
          <w:i/>
          <w:color w:val="231F20"/>
          <w:sz w:val="19"/>
        </w:rPr>
        <w:t>Industry.</w:t>
      </w:r>
      <w:r>
        <w:rPr>
          <w:i/>
          <w:color w:val="231F20"/>
          <w:spacing w:val="40"/>
          <w:sz w:val="19"/>
        </w:rPr>
        <w:t> </w:t>
      </w:r>
      <w:r>
        <w:rPr>
          <w:color w:val="231F20"/>
          <w:sz w:val="19"/>
        </w:rPr>
        <w:t>New</w:t>
      </w:r>
      <w:r>
        <w:rPr>
          <w:color w:val="231F20"/>
          <w:spacing w:val="40"/>
          <w:sz w:val="19"/>
        </w:rPr>
        <w:t> </w:t>
      </w:r>
      <w:r>
        <w:rPr>
          <w:color w:val="231F20"/>
          <w:sz w:val="19"/>
        </w:rPr>
        <w:t>York:</w:t>
      </w:r>
      <w:r>
        <w:rPr>
          <w:color w:val="231F20"/>
          <w:spacing w:val="40"/>
          <w:sz w:val="19"/>
        </w:rPr>
        <w:t> </w:t>
      </w:r>
      <w:r>
        <w:rPr>
          <w:color w:val="231F20"/>
          <w:sz w:val="19"/>
        </w:rPr>
        <w:t>Columbia</w:t>
      </w:r>
      <w:r>
        <w:rPr>
          <w:color w:val="231F20"/>
          <w:spacing w:val="40"/>
          <w:sz w:val="19"/>
        </w:rPr>
        <w:t> </w:t>
      </w:r>
      <w:r>
        <w:rPr>
          <w:color w:val="231F20"/>
          <w:sz w:val="19"/>
        </w:rPr>
        <w:t>University</w:t>
      </w:r>
      <w:r>
        <w:rPr>
          <w:color w:val="231F20"/>
          <w:spacing w:val="40"/>
          <w:sz w:val="19"/>
        </w:rPr>
        <w:t> </w:t>
      </w:r>
      <w:r>
        <w:rPr>
          <w:color w:val="231F20"/>
          <w:sz w:val="19"/>
        </w:rPr>
        <w:t>Press,</w:t>
      </w:r>
      <w:r>
        <w:rPr>
          <w:color w:val="231F20"/>
          <w:spacing w:val="40"/>
          <w:sz w:val="19"/>
        </w:rPr>
        <w:t> </w:t>
      </w:r>
      <w:r>
        <w:rPr>
          <w:color w:val="231F20"/>
          <w:sz w:val="19"/>
        </w:rPr>
        <w:t>1991,</w:t>
      </w:r>
      <w:r>
        <w:rPr>
          <w:color w:val="231F20"/>
          <w:spacing w:val="40"/>
          <w:sz w:val="19"/>
        </w:rPr>
        <w:t> </w:t>
      </w:r>
      <w:r>
        <w:rPr>
          <w:color w:val="231F20"/>
          <w:sz w:val="19"/>
        </w:rPr>
        <w:t>p.</w:t>
      </w:r>
      <w:r>
        <w:rPr>
          <w:color w:val="231F20"/>
          <w:spacing w:val="40"/>
          <w:sz w:val="19"/>
        </w:rPr>
        <w:t> </w:t>
      </w:r>
      <w:r>
        <w:rPr>
          <w:color w:val="231F20"/>
          <w:sz w:val="19"/>
        </w:rPr>
        <w:t>145 (JIT in Japan).</w:t>
      </w:r>
    </w:p>
    <w:p>
      <w:pPr>
        <w:pStyle w:val="BodyText"/>
        <w:rPr>
          <w:sz w:val="22"/>
        </w:rPr>
      </w:pPr>
    </w:p>
    <w:p>
      <w:pPr>
        <w:pStyle w:val="BodyText"/>
      </w:pPr>
    </w:p>
    <w:p>
      <w:pPr>
        <w:spacing w:before="0"/>
        <w:ind w:left="430" w:right="0" w:firstLine="0"/>
        <w:jc w:val="left"/>
        <w:rPr>
          <w:rFonts w:ascii="Trebuchet MS"/>
          <w:sz w:val="20"/>
        </w:rPr>
      </w:pPr>
      <w:r>
        <w:rPr>
          <w:rFonts w:ascii="Trebuchet MS"/>
          <w:color w:val="231F20"/>
          <w:w w:val="85"/>
          <w:sz w:val="20"/>
        </w:rPr>
        <w:t>DAY</w:t>
      </w:r>
      <w:r>
        <w:rPr>
          <w:rFonts w:ascii="Trebuchet MS"/>
          <w:color w:val="231F20"/>
          <w:spacing w:val="3"/>
          <w:sz w:val="20"/>
        </w:rPr>
        <w:t> </w:t>
      </w:r>
      <w:r>
        <w:rPr>
          <w:rFonts w:ascii="Trebuchet MS"/>
          <w:color w:val="231F20"/>
          <w:w w:val="85"/>
          <w:sz w:val="20"/>
        </w:rPr>
        <w:t>8:</w:t>
      </w:r>
      <w:r>
        <w:rPr>
          <w:rFonts w:ascii="Trebuchet MS"/>
          <w:color w:val="231F20"/>
          <w:spacing w:val="3"/>
          <w:sz w:val="20"/>
        </w:rPr>
        <w:t> </w:t>
      </w:r>
      <w:r>
        <w:rPr>
          <w:rFonts w:ascii="Trebuchet MS"/>
          <w:color w:val="231F20"/>
          <w:spacing w:val="-2"/>
          <w:w w:val="85"/>
          <w:sz w:val="20"/>
        </w:rPr>
        <w:t>ECONOMICS</w:t>
      </w:r>
    </w:p>
    <w:p>
      <w:pPr>
        <w:pStyle w:val="BodyText"/>
        <w:spacing w:before="5"/>
        <w:rPr>
          <w:rFonts w:ascii="Trebuchet MS"/>
          <w:sz w:val="25"/>
        </w:rPr>
      </w:pPr>
    </w:p>
    <w:p>
      <w:pPr>
        <w:spacing w:line="280" w:lineRule="auto" w:before="0"/>
        <w:ind w:left="770" w:right="759" w:hanging="340"/>
        <w:jc w:val="left"/>
        <w:rPr>
          <w:sz w:val="19"/>
        </w:rPr>
      </w:pPr>
      <w:r>
        <w:rPr>
          <w:color w:val="231F20"/>
          <w:w w:val="105"/>
          <w:sz w:val="19"/>
        </w:rPr>
        <w:t>Baldwin,</w:t>
      </w:r>
      <w:r>
        <w:rPr>
          <w:color w:val="231F20"/>
          <w:spacing w:val="40"/>
          <w:w w:val="105"/>
          <w:sz w:val="19"/>
        </w:rPr>
        <w:t> </w:t>
      </w:r>
      <w:r>
        <w:rPr>
          <w:color w:val="231F20"/>
          <w:w w:val="105"/>
          <w:sz w:val="19"/>
        </w:rPr>
        <w:t>William.</w:t>
      </w:r>
      <w:r>
        <w:rPr>
          <w:color w:val="231F20"/>
          <w:spacing w:val="40"/>
          <w:w w:val="105"/>
          <w:sz w:val="19"/>
        </w:rPr>
        <w:t> </w:t>
      </w:r>
      <w:r>
        <w:rPr>
          <w:color w:val="231F20"/>
          <w:w w:val="105"/>
          <w:sz w:val="19"/>
        </w:rPr>
        <w:t>“Creative</w:t>
      </w:r>
      <w:r>
        <w:rPr>
          <w:color w:val="231F20"/>
          <w:spacing w:val="40"/>
          <w:w w:val="105"/>
          <w:sz w:val="19"/>
        </w:rPr>
        <w:t> </w:t>
      </w:r>
      <w:r>
        <w:rPr>
          <w:color w:val="231F20"/>
          <w:w w:val="105"/>
          <w:sz w:val="19"/>
        </w:rPr>
        <w:t>Destruction.”</w:t>
      </w:r>
      <w:r>
        <w:rPr>
          <w:color w:val="231F20"/>
          <w:spacing w:val="40"/>
          <w:w w:val="105"/>
          <w:sz w:val="19"/>
        </w:rPr>
        <w:t> </w:t>
      </w:r>
      <w:r>
        <w:rPr>
          <w:i/>
          <w:color w:val="231F20"/>
          <w:w w:val="105"/>
          <w:sz w:val="19"/>
        </w:rPr>
        <w:t>Forbes,</w:t>
      </w:r>
      <w:r>
        <w:rPr>
          <w:i/>
          <w:color w:val="231F20"/>
          <w:spacing w:val="40"/>
          <w:w w:val="105"/>
          <w:sz w:val="19"/>
        </w:rPr>
        <w:t> </w:t>
      </w:r>
      <w:r>
        <w:rPr>
          <w:color w:val="231F20"/>
          <w:w w:val="105"/>
          <w:sz w:val="19"/>
        </w:rPr>
        <w:t>July</w:t>
      </w:r>
      <w:r>
        <w:rPr>
          <w:color w:val="231F20"/>
          <w:spacing w:val="40"/>
          <w:w w:val="105"/>
          <w:sz w:val="19"/>
        </w:rPr>
        <w:t> </w:t>
      </w:r>
      <w:r>
        <w:rPr>
          <w:color w:val="231F20"/>
          <w:w w:val="105"/>
          <w:sz w:val="19"/>
        </w:rPr>
        <w:t>13,</w:t>
      </w:r>
      <w:r>
        <w:rPr>
          <w:color w:val="231F20"/>
          <w:spacing w:val="40"/>
          <w:w w:val="105"/>
          <w:sz w:val="19"/>
        </w:rPr>
        <w:t> </w:t>
      </w:r>
      <w:r>
        <w:rPr>
          <w:color w:val="231F20"/>
          <w:w w:val="105"/>
          <w:sz w:val="19"/>
        </w:rPr>
        <w:t>1987,</w:t>
      </w:r>
      <w:r>
        <w:rPr>
          <w:color w:val="231F20"/>
          <w:spacing w:val="40"/>
          <w:w w:val="105"/>
          <w:sz w:val="19"/>
        </w:rPr>
        <w:t> </w:t>
      </w:r>
      <w:r>
        <w:rPr>
          <w:color w:val="231F20"/>
          <w:w w:val="105"/>
          <w:sz w:val="19"/>
        </w:rPr>
        <w:t>p.</w:t>
      </w:r>
      <w:r>
        <w:rPr>
          <w:color w:val="231F20"/>
          <w:spacing w:val="40"/>
          <w:w w:val="105"/>
          <w:sz w:val="19"/>
        </w:rPr>
        <w:t> </w:t>
      </w:r>
      <w:r>
        <w:rPr>
          <w:color w:val="231F20"/>
          <w:w w:val="105"/>
          <w:sz w:val="19"/>
        </w:rPr>
        <w:t>49 </w:t>
      </w:r>
      <w:r>
        <w:rPr>
          <w:color w:val="231F20"/>
          <w:spacing w:val="-2"/>
          <w:w w:val="105"/>
          <w:sz w:val="19"/>
        </w:rPr>
        <w:t>(Schumpeter).</w:t>
      </w:r>
    </w:p>
    <w:p>
      <w:pPr>
        <w:spacing w:after="0" w:line="280" w:lineRule="auto"/>
        <w:jc w:val="left"/>
        <w:rPr>
          <w:sz w:val="19"/>
        </w:rPr>
        <w:sectPr>
          <w:pgSz w:w="8640" w:h="12960"/>
          <w:pgMar w:header="732" w:footer="0" w:top="920" w:bottom="280" w:left="740" w:right="480"/>
        </w:sectPr>
      </w:pPr>
    </w:p>
    <w:p>
      <w:pPr>
        <w:pStyle w:val="BodyText"/>
        <w:rPr>
          <w:sz w:val="18"/>
        </w:rPr>
      </w:pPr>
    </w:p>
    <w:p>
      <w:pPr>
        <w:spacing w:line="280" w:lineRule="auto" w:before="99"/>
        <w:ind w:left="859" w:right="759" w:hanging="340"/>
        <w:jc w:val="left"/>
        <w:rPr>
          <w:sz w:val="19"/>
        </w:rPr>
      </w:pPr>
      <w:r>
        <w:rPr>
          <w:color w:val="231F20"/>
          <w:sz w:val="19"/>
        </w:rPr>
        <w:t>Banks, Howard. “The World’s Most Competitive Economy.” </w:t>
      </w:r>
      <w:r>
        <w:rPr>
          <w:i/>
          <w:color w:val="231F20"/>
          <w:sz w:val="19"/>
        </w:rPr>
        <w:t>Forbes, </w:t>
      </w:r>
      <w:r>
        <w:rPr>
          <w:color w:val="231F20"/>
          <w:sz w:val="19"/>
        </w:rPr>
        <w:t>March</w:t>
      </w:r>
      <w:r>
        <w:rPr>
          <w:color w:val="231F20"/>
          <w:spacing w:val="80"/>
          <w:sz w:val="19"/>
        </w:rPr>
        <w:t> </w:t>
      </w:r>
      <w:r>
        <w:rPr>
          <w:color w:val="231F20"/>
          <w:sz w:val="19"/>
        </w:rPr>
        <w:t>30, 1992, pp. 84, 85 (U.S. trade deficits and productivity).</w:t>
      </w:r>
    </w:p>
    <w:p>
      <w:pPr>
        <w:spacing w:line="280" w:lineRule="auto" w:before="0"/>
        <w:ind w:left="859" w:right="759" w:hanging="340"/>
        <w:jc w:val="left"/>
        <w:rPr>
          <w:sz w:val="19"/>
        </w:rPr>
      </w:pPr>
      <w:r>
        <w:rPr>
          <w:i/>
          <w:color w:val="231F20"/>
          <w:sz w:val="19"/>
        </w:rPr>
        <w:t>Country Profiles 1991</w:t>
      </w:r>
      <w:r>
        <w:rPr>
          <w:i/>
          <w:color w:val="231F20"/>
          <w:spacing w:val="-14"/>
          <w:sz w:val="19"/>
        </w:rPr>
        <w:t> </w:t>
      </w:r>
      <w:r>
        <w:rPr>
          <w:i/>
          <w:color w:val="231F20"/>
          <w:sz w:val="19"/>
        </w:rPr>
        <w:t>–</w:t>
      </w:r>
      <w:r>
        <w:rPr>
          <w:i/>
          <w:color w:val="231F20"/>
          <w:spacing w:val="-14"/>
          <w:sz w:val="19"/>
        </w:rPr>
        <w:t> </w:t>
      </w:r>
      <w:r>
        <w:rPr>
          <w:i/>
          <w:color w:val="231F20"/>
          <w:sz w:val="19"/>
        </w:rPr>
        <w:t>1992, United States and Lebanon. </w:t>
      </w:r>
      <w:r>
        <w:rPr>
          <w:color w:val="231F20"/>
          <w:sz w:val="19"/>
        </w:rPr>
        <w:t>The Economic </w:t>
      </w:r>
      <w:r>
        <w:rPr>
          <w:color w:val="231F20"/>
          <w:sz w:val="19"/>
        </w:rPr>
        <w:t>In-</w:t>
      </w:r>
      <w:r>
        <w:rPr>
          <w:color w:val="231F20"/>
          <w:spacing w:val="40"/>
          <w:sz w:val="19"/>
        </w:rPr>
        <w:t> </w:t>
      </w:r>
      <w:r>
        <w:rPr>
          <w:color w:val="231F20"/>
          <w:sz w:val="19"/>
        </w:rPr>
        <w:t>telligence Unit, London (economic statistics).</w:t>
      </w:r>
    </w:p>
    <w:p>
      <w:pPr>
        <w:spacing w:line="222" w:lineRule="exact" w:before="0"/>
        <w:ind w:left="519" w:right="0" w:firstLine="0"/>
        <w:jc w:val="left"/>
        <w:rPr>
          <w:sz w:val="19"/>
        </w:rPr>
      </w:pPr>
      <w:r>
        <w:rPr>
          <w:color w:val="231F20"/>
          <w:sz w:val="19"/>
        </w:rPr>
        <w:t>Dornbusch,</w:t>
      </w:r>
      <w:r>
        <w:rPr>
          <w:color w:val="231F20"/>
          <w:spacing w:val="48"/>
          <w:sz w:val="19"/>
        </w:rPr>
        <w:t> </w:t>
      </w:r>
      <w:r>
        <w:rPr>
          <w:color w:val="231F20"/>
          <w:sz w:val="19"/>
        </w:rPr>
        <w:t>Rudiger</w:t>
      </w:r>
      <w:r>
        <w:rPr>
          <w:color w:val="231F20"/>
          <w:spacing w:val="49"/>
          <w:sz w:val="19"/>
        </w:rPr>
        <w:t> </w:t>
      </w:r>
      <w:r>
        <w:rPr>
          <w:color w:val="231F20"/>
          <w:sz w:val="19"/>
        </w:rPr>
        <w:t>(MIT/Chicago),</w:t>
      </w:r>
      <w:r>
        <w:rPr>
          <w:color w:val="231F20"/>
          <w:spacing w:val="49"/>
          <w:sz w:val="19"/>
        </w:rPr>
        <w:t> </w:t>
      </w:r>
      <w:r>
        <w:rPr>
          <w:color w:val="231F20"/>
          <w:sz w:val="19"/>
        </w:rPr>
        <w:t>and</w:t>
      </w:r>
      <w:r>
        <w:rPr>
          <w:color w:val="231F20"/>
          <w:spacing w:val="49"/>
          <w:sz w:val="19"/>
        </w:rPr>
        <w:t> </w:t>
      </w:r>
      <w:r>
        <w:rPr>
          <w:color w:val="231F20"/>
          <w:sz w:val="19"/>
        </w:rPr>
        <w:t>Stanley</w:t>
      </w:r>
      <w:r>
        <w:rPr>
          <w:color w:val="231F20"/>
          <w:spacing w:val="49"/>
          <w:sz w:val="19"/>
        </w:rPr>
        <w:t> </w:t>
      </w:r>
      <w:r>
        <w:rPr>
          <w:color w:val="231F20"/>
          <w:sz w:val="19"/>
        </w:rPr>
        <w:t>Fischer</w:t>
      </w:r>
      <w:r>
        <w:rPr>
          <w:color w:val="231F20"/>
          <w:spacing w:val="49"/>
          <w:sz w:val="19"/>
        </w:rPr>
        <w:t> </w:t>
      </w:r>
      <w:r>
        <w:rPr>
          <w:color w:val="231F20"/>
          <w:spacing w:val="-2"/>
          <w:sz w:val="19"/>
        </w:rPr>
        <w:t>(MIT/Chicago).</w:t>
      </w:r>
    </w:p>
    <w:p>
      <w:pPr>
        <w:spacing w:before="36"/>
        <w:ind w:left="859" w:right="0" w:firstLine="0"/>
        <w:jc w:val="left"/>
        <w:rPr>
          <w:sz w:val="19"/>
        </w:rPr>
      </w:pPr>
      <w:r>
        <w:rPr>
          <w:i/>
          <w:color w:val="231F20"/>
          <w:w w:val="105"/>
          <w:sz w:val="19"/>
        </w:rPr>
        <w:t>Macroeconomics.</w:t>
      </w:r>
      <w:r>
        <w:rPr>
          <w:i/>
          <w:color w:val="231F20"/>
          <w:spacing w:val="15"/>
          <w:w w:val="105"/>
          <w:sz w:val="19"/>
        </w:rPr>
        <w:t> </w:t>
      </w:r>
      <w:r>
        <w:rPr>
          <w:color w:val="231F20"/>
          <w:w w:val="105"/>
          <w:sz w:val="19"/>
        </w:rPr>
        <w:t>New</w:t>
      </w:r>
      <w:r>
        <w:rPr>
          <w:color w:val="231F20"/>
          <w:spacing w:val="15"/>
          <w:w w:val="105"/>
          <w:sz w:val="19"/>
        </w:rPr>
        <w:t> </w:t>
      </w:r>
      <w:r>
        <w:rPr>
          <w:color w:val="231F20"/>
          <w:w w:val="105"/>
          <w:sz w:val="19"/>
        </w:rPr>
        <w:t>York:</w:t>
      </w:r>
      <w:r>
        <w:rPr>
          <w:color w:val="231F20"/>
          <w:spacing w:val="15"/>
          <w:w w:val="105"/>
          <w:sz w:val="19"/>
        </w:rPr>
        <w:t> </w:t>
      </w:r>
      <w:r>
        <w:rPr>
          <w:color w:val="231F20"/>
          <w:w w:val="105"/>
          <w:sz w:val="19"/>
        </w:rPr>
        <w:t>McGraw-Hill,</w:t>
      </w:r>
      <w:r>
        <w:rPr>
          <w:color w:val="231F20"/>
          <w:spacing w:val="15"/>
          <w:w w:val="105"/>
          <w:sz w:val="19"/>
        </w:rPr>
        <w:t> </w:t>
      </w:r>
      <w:r>
        <w:rPr>
          <w:color w:val="231F20"/>
          <w:spacing w:val="-2"/>
          <w:w w:val="105"/>
          <w:sz w:val="19"/>
        </w:rPr>
        <w:t>1987.</w:t>
      </w:r>
    </w:p>
    <w:p>
      <w:pPr>
        <w:spacing w:line="280" w:lineRule="auto" w:before="37"/>
        <w:ind w:left="859" w:right="687" w:hanging="340"/>
        <w:jc w:val="both"/>
        <w:rPr>
          <w:sz w:val="19"/>
        </w:rPr>
      </w:pPr>
      <w:r>
        <w:rPr>
          <w:color w:val="231F20"/>
          <w:sz w:val="19"/>
        </w:rPr>
        <w:t>Linden, Dana Wechsler. “Dreary Days in the Dismal Science.” </w:t>
      </w:r>
      <w:r>
        <w:rPr>
          <w:i/>
          <w:color w:val="231F20"/>
          <w:sz w:val="19"/>
        </w:rPr>
        <w:t>Forbes, </w:t>
      </w:r>
      <w:r>
        <w:rPr>
          <w:color w:val="231F20"/>
          <w:sz w:val="19"/>
        </w:rPr>
        <w:t>Janu- ary 21, 1991, p. 68 (chapter lead).</w:t>
      </w:r>
    </w:p>
    <w:p>
      <w:pPr>
        <w:spacing w:line="280" w:lineRule="auto" w:before="0"/>
        <w:ind w:left="859" w:right="684" w:hanging="340"/>
        <w:jc w:val="both"/>
        <w:rPr>
          <w:sz w:val="19"/>
        </w:rPr>
      </w:pPr>
      <w:r>
        <w:rPr>
          <w:color w:val="231F20"/>
          <w:w w:val="105"/>
          <w:sz w:val="19"/>
        </w:rPr>
        <w:t>McConnell,</w:t>
      </w:r>
      <w:r>
        <w:rPr>
          <w:color w:val="231F20"/>
          <w:spacing w:val="40"/>
          <w:w w:val="105"/>
          <w:sz w:val="19"/>
        </w:rPr>
        <w:t> </w:t>
      </w:r>
      <w:r>
        <w:rPr>
          <w:color w:val="231F20"/>
          <w:w w:val="105"/>
          <w:sz w:val="19"/>
        </w:rPr>
        <w:t>Campbell</w:t>
      </w:r>
      <w:r>
        <w:rPr>
          <w:color w:val="231F20"/>
          <w:spacing w:val="40"/>
          <w:w w:val="105"/>
          <w:sz w:val="19"/>
        </w:rPr>
        <w:t> </w:t>
      </w:r>
      <w:r>
        <w:rPr>
          <w:color w:val="231F20"/>
          <w:w w:val="105"/>
          <w:sz w:val="19"/>
        </w:rPr>
        <w:t>R.</w:t>
      </w:r>
      <w:r>
        <w:rPr>
          <w:color w:val="231F20"/>
          <w:spacing w:val="40"/>
          <w:w w:val="105"/>
          <w:sz w:val="19"/>
        </w:rPr>
        <w:t> </w:t>
      </w:r>
      <w:r>
        <w:rPr>
          <w:i/>
          <w:color w:val="231F20"/>
          <w:w w:val="105"/>
          <w:sz w:val="19"/>
        </w:rPr>
        <w:t>Economics.</w:t>
      </w:r>
      <w:r>
        <w:rPr>
          <w:i/>
          <w:color w:val="231F20"/>
          <w:spacing w:val="40"/>
          <w:w w:val="105"/>
          <w:sz w:val="19"/>
        </w:rPr>
        <w:t> </w:t>
      </w:r>
      <w:r>
        <w:rPr>
          <w:color w:val="231F20"/>
          <w:w w:val="105"/>
          <w:sz w:val="19"/>
        </w:rPr>
        <w:t>New</w:t>
      </w:r>
      <w:r>
        <w:rPr>
          <w:color w:val="231F20"/>
          <w:spacing w:val="40"/>
          <w:w w:val="105"/>
          <w:sz w:val="19"/>
        </w:rPr>
        <w:t> </w:t>
      </w:r>
      <w:r>
        <w:rPr>
          <w:color w:val="231F20"/>
          <w:w w:val="105"/>
          <w:sz w:val="19"/>
        </w:rPr>
        <w:t>York:</w:t>
      </w:r>
      <w:r>
        <w:rPr>
          <w:color w:val="231F20"/>
          <w:spacing w:val="40"/>
          <w:w w:val="105"/>
          <w:sz w:val="19"/>
        </w:rPr>
        <w:t> </w:t>
      </w:r>
      <w:r>
        <w:rPr>
          <w:color w:val="231F20"/>
          <w:w w:val="105"/>
          <w:sz w:val="19"/>
        </w:rPr>
        <w:t>McGraw-Hill,</w:t>
      </w:r>
      <w:r>
        <w:rPr>
          <w:color w:val="231F20"/>
          <w:spacing w:val="40"/>
          <w:w w:val="105"/>
          <w:sz w:val="19"/>
        </w:rPr>
        <w:t> </w:t>
      </w:r>
      <w:r>
        <w:rPr>
          <w:color w:val="231F20"/>
          <w:w w:val="105"/>
          <w:sz w:val="19"/>
        </w:rPr>
        <w:t>1981,</w:t>
      </w:r>
      <w:r>
        <w:rPr>
          <w:color w:val="231F20"/>
          <w:spacing w:val="80"/>
          <w:w w:val="150"/>
          <w:sz w:val="19"/>
        </w:rPr>
        <w:t> </w:t>
      </w:r>
      <w:r>
        <w:rPr>
          <w:color w:val="231F20"/>
          <w:w w:val="105"/>
          <w:sz w:val="19"/>
        </w:rPr>
        <w:t>pp. 453</w:t>
      </w:r>
      <w:r>
        <w:rPr>
          <w:color w:val="231F20"/>
          <w:spacing w:val="-16"/>
          <w:w w:val="105"/>
          <w:sz w:val="19"/>
        </w:rPr>
        <w:t> </w:t>
      </w:r>
      <w:r>
        <w:rPr>
          <w:color w:val="231F20"/>
          <w:w w:val="105"/>
          <w:sz w:val="19"/>
        </w:rPr>
        <w:t>–</w:t>
      </w:r>
      <w:r>
        <w:rPr>
          <w:color w:val="231F20"/>
          <w:spacing w:val="-16"/>
          <w:w w:val="105"/>
          <w:sz w:val="19"/>
        </w:rPr>
        <w:t> </w:t>
      </w:r>
      <w:r>
        <w:rPr>
          <w:color w:val="231F20"/>
          <w:w w:val="105"/>
          <w:sz w:val="19"/>
        </w:rPr>
        <w:t>55 (elasticity).</w:t>
      </w:r>
    </w:p>
    <w:p>
      <w:pPr>
        <w:spacing w:line="280" w:lineRule="auto" w:before="0"/>
        <w:ind w:left="859" w:right="686" w:hanging="340"/>
        <w:jc w:val="both"/>
        <w:rPr>
          <w:sz w:val="19"/>
        </w:rPr>
      </w:pPr>
      <w:r>
        <w:rPr>
          <w:color w:val="231F20"/>
          <w:sz w:val="19"/>
        </w:rPr>
        <w:t>Rosenblum, John. “Country Analysis and General Managers,” Case </w:t>
      </w:r>
      <w:r>
        <w:rPr>
          <w:color w:val="231F20"/>
          <w:sz w:val="19"/>
        </w:rPr>
        <w:t>9-379- 050, copyright © 1987 by the President and Fellows of Harvard College; all rights reserved.</w:t>
      </w:r>
    </w:p>
    <w:p>
      <w:pPr>
        <w:spacing w:line="280" w:lineRule="auto" w:before="0"/>
        <w:ind w:left="519" w:right="684" w:firstLine="0"/>
        <w:jc w:val="both"/>
        <w:rPr>
          <w:sz w:val="19"/>
        </w:rPr>
      </w:pPr>
      <w:r>
        <w:rPr>
          <w:color w:val="231F20"/>
          <w:w w:val="105"/>
          <w:sz w:val="19"/>
        </w:rPr>
        <w:t>Samuelson, Paul A. (MIT). </w:t>
      </w:r>
      <w:r>
        <w:rPr>
          <w:i/>
          <w:color w:val="231F20"/>
          <w:w w:val="105"/>
          <w:sz w:val="19"/>
        </w:rPr>
        <w:t>Economics. </w:t>
      </w:r>
      <w:r>
        <w:rPr>
          <w:color w:val="231F20"/>
          <w:w w:val="105"/>
          <w:sz w:val="19"/>
        </w:rPr>
        <w:t>New York: McGraw-Hill, 1980. Sowell,</w:t>
      </w:r>
      <w:r>
        <w:rPr>
          <w:color w:val="231F20"/>
          <w:spacing w:val="40"/>
          <w:w w:val="105"/>
          <w:sz w:val="19"/>
        </w:rPr>
        <w:t> </w:t>
      </w:r>
      <w:r>
        <w:rPr>
          <w:color w:val="231F20"/>
          <w:w w:val="105"/>
          <w:sz w:val="19"/>
        </w:rPr>
        <w:t>Dr.</w:t>
      </w:r>
      <w:r>
        <w:rPr>
          <w:color w:val="231F20"/>
          <w:spacing w:val="40"/>
          <w:w w:val="105"/>
          <w:sz w:val="19"/>
        </w:rPr>
        <w:t> </w:t>
      </w:r>
      <w:r>
        <w:rPr>
          <w:color w:val="231F20"/>
          <w:w w:val="105"/>
          <w:sz w:val="19"/>
        </w:rPr>
        <w:t>Thomas.</w:t>
      </w:r>
      <w:r>
        <w:rPr>
          <w:color w:val="231F20"/>
          <w:spacing w:val="40"/>
          <w:w w:val="105"/>
          <w:sz w:val="19"/>
        </w:rPr>
        <w:t> </w:t>
      </w:r>
      <w:r>
        <w:rPr>
          <w:color w:val="231F20"/>
          <w:w w:val="105"/>
          <w:sz w:val="19"/>
        </w:rPr>
        <w:t>“Galbraith</w:t>
      </w:r>
      <w:r>
        <w:rPr>
          <w:color w:val="231F20"/>
          <w:spacing w:val="40"/>
          <w:w w:val="105"/>
          <w:sz w:val="19"/>
        </w:rPr>
        <w:t> </w:t>
      </w:r>
      <w:r>
        <w:rPr>
          <w:color w:val="231F20"/>
          <w:w w:val="105"/>
          <w:sz w:val="19"/>
        </w:rPr>
        <w:t>Strikes</w:t>
      </w:r>
      <w:r>
        <w:rPr>
          <w:color w:val="231F20"/>
          <w:spacing w:val="40"/>
          <w:w w:val="105"/>
          <w:sz w:val="19"/>
        </w:rPr>
        <w:t> </w:t>
      </w:r>
      <w:r>
        <w:rPr>
          <w:color w:val="231F20"/>
          <w:w w:val="105"/>
          <w:sz w:val="19"/>
        </w:rPr>
        <w:t>Again.”</w:t>
      </w:r>
      <w:r>
        <w:rPr>
          <w:color w:val="231F20"/>
          <w:spacing w:val="40"/>
          <w:w w:val="105"/>
          <w:sz w:val="19"/>
        </w:rPr>
        <w:t> </w:t>
      </w:r>
      <w:r>
        <w:rPr>
          <w:i/>
          <w:color w:val="231F20"/>
          <w:w w:val="105"/>
          <w:sz w:val="19"/>
        </w:rPr>
        <w:t>Forbes,</w:t>
      </w:r>
      <w:r>
        <w:rPr>
          <w:i/>
          <w:color w:val="231F20"/>
          <w:spacing w:val="40"/>
          <w:w w:val="105"/>
          <w:sz w:val="19"/>
        </w:rPr>
        <w:t> </w:t>
      </w:r>
      <w:r>
        <w:rPr>
          <w:color w:val="231F20"/>
          <w:w w:val="105"/>
          <w:sz w:val="19"/>
        </w:rPr>
        <w:t>May</w:t>
      </w:r>
      <w:r>
        <w:rPr>
          <w:color w:val="231F20"/>
          <w:spacing w:val="40"/>
          <w:w w:val="105"/>
          <w:sz w:val="19"/>
        </w:rPr>
        <w:t> </w:t>
      </w:r>
      <w:r>
        <w:rPr>
          <w:color w:val="231F20"/>
          <w:w w:val="105"/>
          <w:sz w:val="19"/>
        </w:rPr>
        <w:t>25,</w:t>
      </w:r>
      <w:r>
        <w:rPr>
          <w:color w:val="231F20"/>
          <w:spacing w:val="40"/>
          <w:w w:val="105"/>
          <w:sz w:val="19"/>
        </w:rPr>
        <w:t> </w:t>
      </w:r>
      <w:r>
        <w:rPr>
          <w:color w:val="231F20"/>
          <w:w w:val="105"/>
          <w:sz w:val="19"/>
        </w:rPr>
        <w:t>1992,</w:t>
      </w:r>
    </w:p>
    <w:p>
      <w:pPr>
        <w:spacing w:line="222" w:lineRule="exact" w:before="0"/>
        <w:ind w:left="859" w:right="0" w:firstLine="0"/>
        <w:jc w:val="both"/>
        <w:rPr>
          <w:sz w:val="19"/>
        </w:rPr>
      </w:pPr>
      <w:r>
        <w:rPr>
          <w:color w:val="231F20"/>
          <w:w w:val="105"/>
          <w:sz w:val="19"/>
        </w:rPr>
        <w:t>p.</w:t>
      </w:r>
      <w:r>
        <w:rPr>
          <w:color w:val="231F20"/>
          <w:spacing w:val="8"/>
          <w:w w:val="105"/>
          <w:sz w:val="19"/>
        </w:rPr>
        <w:t> </w:t>
      </w:r>
      <w:r>
        <w:rPr>
          <w:color w:val="231F20"/>
          <w:spacing w:val="-4"/>
          <w:w w:val="105"/>
          <w:sz w:val="19"/>
        </w:rPr>
        <w:t>140.</w:t>
      </w:r>
    </w:p>
    <w:p>
      <w:pPr>
        <w:spacing w:line="280" w:lineRule="auto" w:before="33"/>
        <w:ind w:left="859" w:right="687" w:hanging="340"/>
        <w:jc w:val="both"/>
        <w:rPr>
          <w:sz w:val="19"/>
        </w:rPr>
      </w:pPr>
      <w:r>
        <w:rPr>
          <w:color w:val="231F20"/>
          <w:w w:val="105"/>
          <w:sz w:val="19"/>
        </w:rPr>
        <w:t>Stern, Richard L. “The Graying Wild Ones.” </w:t>
      </w:r>
      <w:r>
        <w:rPr>
          <w:i/>
          <w:color w:val="231F20"/>
          <w:w w:val="105"/>
          <w:sz w:val="19"/>
        </w:rPr>
        <w:t>Forbes, </w:t>
      </w:r>
      <w:r>
        <w:rPr>
          <w:color w:val="231F20"/>
          <w:w w:val="105"/>
          <w:sz w:val="19"/>
        </w:rPr>
        <w:t>January 6, 1992, p. 40 </w:t>
      </w:r>
      <w:r>
        <w:rPr>
          <w:color w:val="231F20"/>
          <w:spacing w:val="-2"/>
          <w:w w:val="105"/>
          <w:sz w:val="19"/>
        </w:rPr>
        <w:t>(Harley-Davidson).</w:t>
      </w:r>
    </w:p>
    <w:p>
      <w:pPr>
        <w:pStyle w:val="BodyText"/>
        <w:rPr>
          <w:sz w:val="22"/>
        </w:rPr>
      </w:pPr>
    </w:p>
    <w:p>
      <w:pPr>
        <w:pStyle w:val="BodyText"/>
        <w:spacing w:before="8"/>
      </w:pPr>
    </w:p>
    <w:p>
      <w:pPr>
        <w:spacing w:before="0"/>
        <w:ind w:left="520" w:right="0" w:firstLine="0"/>
        <w:jc w:val="both"/>
        <w:rPr>
          <w:rFonts w:ascii="Trebuchet MS"/>
          <w:sz w:val="20"/>
        </w:rPr>
      </w:pPr>
      <w:r>
        <w:rPr>
          <w:rFonts w:ascii="Trebuchet MS"/>
          <w:color w:val="231F20"/>
          <w:w w:val="85"/>
          <w:sz w:val="20"/>
        </w:rPr>
        <w:t>DAY</w:t>
      </w:r>
      <w:r>
        <w:rPr>
          <w:rFonts w:ascii="Trebuchet MS"/>
          <w:color w:val="231F20"/>
          <w:spacing w:val="3"/>
          <w:sz w:val="20"/>
        </w:rPr>
        <w:t> </w:t>
      </w:r>
      <w:r>
        <w:rPr>
          <w:rFonts w:ascii="Trebuchet MS"/>
          <w:color w:val="231F20"/>
          <w:w w:val="85"/>
          <w:sz w:val="20"/>
        </w:rPr>
        <w:t>9:</w:t>
      </w:r>
      <w:r>
        <w:rPr>
          <w:rFonts w:ascii="Trebuchet MS"/>
          <w:color w:val="231F20"/>
          <w:spacing w:val="3"/>
          <w:sz w:val="20"/>
        </w:rPr>
        <w:t> </w:t>
      </w:r>
      <w:r>
        <w:rPr>
          <w:rFonts w:ascii="Trebuchet MS"/>
          <w:color w:val="231F20"/>
          <w:spacing w:val="-2"/>
          <w:w w:val="85"/>
          <w:sz w:val="20"/>
        </w:rPr>
        <w:t>STRATEGY</w:t>
      </w:r>
    </w:p>
    <w:p>
      <w:pPr>
        <w:pStyle w:val="BodyText"/>
        <w:spacing w:before="4"/>
        <w:rPr>
          <w:rFonts w:ascii="Trebuchet MS"/>
          <w:sz w:val="25"/>
        </w:rPr>
      </w:pPr>
    </w:p>
    <w:p>
      <w:pPr>
        <w:spacing w:line="280" w:lineRule="auto" w:before="1"/>
        <w:ind w:left="520" w:right="686" w:firstLine="0"/>
        <w:jc w:val="right"/>
        <w:rPr>
          <w:sz w:val="19"/>
        </w:rPr>
      </w:pPr>
      <w:r>
        <w:rPr>
          <w:color w:val="231F20"/>
          <w:sz w:val="19"/>
        </w:rPr>
        <w:t>Allan, Gerald B., and John S. Hammond III. “Note on the Use of Experience</w:t>
      </w:r>
      <w:r>
        <w:rPr>
          <w:color w:val="231F20"/>
          <w:spacing w:val="80"/>
          <w:w w:val="150"/>
          <w:sz w:val="19"/>
        </w:rPr>
        <w:t> </w:t>
      </w:r>
      <w:r>
        <w:rPr>
          <w:color w:val="231F20"/>
          <w:sz w:val="19"/>
        </w:rPr>
        <w:t>Curves</w:t>
      </w:r>
      <w:r>
        <w:rPr>
          <w:color w:val="231F20"/>
          <w:spacing w:val="40"/>
          <w:sz w:val="19"/>
        </w:rPr>
        <w:t> </w:t>
      </w:r>
      <w:r>
        <w:rPr>
          <w:color w:val="231F20"/>
          <w:sz w:val="19"/>
        </w:rPr>
        <w:t>in</w:t>
      </w:r>
      <w:r>
        <w:rPr>
          <w:color w:val="231F20"/>
          <w:spacing w:val="40"/>
          <w:sz w:val="19"/>
        </w:rPr>
        <w:t> </w:t>
      </w:r>
      <w:r>
        <w:rPr>
          <w:color w:val="231F20"/>
          <w:sz w:val="19"/>
        </w:rPr>
        <w:t>Competitive</w:t>
      </w:r>
      <w:r>
        <w:rPr>
          <w:color w:val="231F20"/>
          <w:spacing w:val="40"/>
          <w:sz w:val="19"/>
        </w:rPr>
        <w:t> </w:t>
      </w:r>
      <w:r>
        <w:rPr>
          <w:color w:val="231F20"/>
          <w:sz w:val="19"/>
        </w:rPr>
        <w:t>Decision</w:t>
      </w:r>
      <w:r>
        <w:rPr>
          <w:color w:val="231F20"/>
          <w:spacing w:val="40"/>
          <w:sz w:val="19"/>
        </w:rPr>
        <w:t> </w:t>
      </w:r>
      <w:r>
        <w:rPr>
          <w:color w:val="231F20"/>
          <w:sz w:val="19"/>
        </w:rPr>
        <w:t>Making,”</w:t>
      </w:r>
      <w:r>
        <w:rPr>
          <w:color w:val="231F20"/>
          <w:spacing w:val="40"/>
          <w:sz w:val="19"/>
        </w:rPr>
        <w:t> </w:t>
      </w:r>
      <w:r>
        <w:rPr>
          <w:color w:val="231F20"/>
          <w:sz w:val="19"/>
        </w:rPr>
        <w:t>Case</w:t>
      </w:r>
      <w:r>
        <w:rPr>
          <w:color w:val="231F20"/>
          <w:spacing w:val="40"/>
          <w:sz w:val="19"/>
        </w:rPr>
        <w:t> </w:t>
      </w:r>
      <w:r>
        <w:rPr>
          <w:color w:val="231F20"/>
          <w:sz w:val="19"/>
        </w:rPr>
        <w:t>175-174,</w:t>
      </w:r>
      <w:r>
        <w:rPr>
          <w:color w:val="231F20"/>
          <w:spacing w:val="40"/>
          <w:sz w:val="19"/>
        </w:rPr>
        <w:t> </w:t>
      </w:r>
      <w:r>
        <w:rPr>
          <w:color w:val="231F20"/>
          <w:sz w:val="19"/>
        </w:rPr>
        <w:t>copyright</w:t>
      </w:r>
      <w:r>
        <w:rPr>
          <w:color w:val="231F20"/>
          <w:spacing w:val="40"/>
          <w:sz w:val="19"/>
        </w:rPr>
        <w:t> </w:t>
      </w:r>
      <w:r>
        <w:rPr>
          <w:color w:val="231F20"/>
          <w:sz w:val="19"/>
        </w:rPr>
        <w:t>© 1975 by the President and Fellows of Harvard College; all rights reserved. Bartlett,</w:t>
      </w:r>
      <w:r>
        <w:rPr>
          <w:color w:val="231F20"/>
          <w:spacing w:val="40"/>
          <w:sz w:val="19"/>
        </w:rPr>
        <w:t> </w:t>
      </w:r>
      <w:r>
        <w:rPr>
          <w:color w:val="231F20"/>
          <w:sz w:val="19"/>
        </w:rPr>
        <w:t>Christopher</w:t>
      </w:r>
      <w:r>
        <w:rPr>
          <w:color w:val="231F20"/>
          <w:spacing w:val="40"/>
          <w:sz w:val="19"/>
        </w:rPr>
        <w:t> </w:t>
      </w:r>
      <w:r>
        <w:rPr>
          <w:color w:val="231F20"/>
          <w:sz w:val="19"/>
        </w:rPr>
        <w:t>A.</w:t>
      </w:r>
      <w:r>
        <w:rPr>
          <w:color w:val="231F20"/>
          <w:spacing w:val="40"/>
          <w:sz w:val="19"/>
        </w:rPr>
        <w:t> </w:t>
      </w:r>
      <w:r>
        <w:rPr>
          <w:color w:val="231F20"/>
          <w:sz w:val="19"/>
        </w:rPr>
        <w:t>“Global</w:t>
      </w:r>
      <w:r>
        <w:rPr>
          <w:color w:val="231F20"/>
          <w:spacing w:val="40"/>
          <w:sz w:val="19"/>
        </w:rPr>
        <w:t> </w:t>
      </w:r>
      <w:r>
        <w:rPr>
          <w:color w:val="231F20"/>
          <w:sz w:val="19"/>
        </w:rPr>
        <w:t>Competition</w:t>
      </w:r>
      <w:r>
        <w:rPr>
          <w:color w:val="231F20"/>
          <w:spacing w:val="40"/>
          <w:sz w:val="19"/>
        </w:rPr>
        <w:t> </w:t>
      </w:r>
      <w:r>
        <w:rPr>
          <w:color w:val="231F20"/>
          <w:sz w:val="19"/>
        </w:rPr>
        <w:t>and</w:t>
      </w:r>
      <w:r>
        <w:rPr>
          <w:color w:val="231F20"/>
          <w:spacing w:val="40"/>
          <w:sz w:val="19"/>
        </w:rPr>
        <w:t> </w:t>
      </w:r>
      <w:r>
        <w:rPr>
          <w:color w:val="231F20"/>
          <w:sz w:val="19"/>
        </w:rPr>
        <w:t>MNC</w:t>
      </w:r>
      <w:r>
        <w:rPr>
          <w:color w:val="231F20"/>
          <w:spacing w:val="40"/>
          <w:sz w:val="19"/>
        </w:rPr>
        <w:t> </w:t>
      </w:r>
      <w:r>
        <w:rPr>
          <w:color w:val="231F20"/>
          <w:sz w:val="19"/>
        </w:rPr>
        <w:t>Managers,”</w:t>
      </w:r>
      <w:r>
        <w:rPr>
          <w:color w:val="231F20"/>
          <w:spacing w:val="40"/>
          <w:sz w:val="19"/>
        </w:rPr>
        <w:t> </w:t>
      </w:r>
      <w:r>
        <w:rPr>
          <w:color w:val="231F20"/>
          <w:sz w:val="19"/>
        </w:rPr>
        <w:t>Case</w:t>
      </w:r>
      <w:r>
        <w:rPr>
          <w:color w:val="231F20"/>
          <w:spacing w:val="40"/>
          <w:sz w:val="19"/>
        </w:rPr>
        <w:t> </w:t>
      </w:r>
      <w:r>
        <w:rPr>
          <w:color w:val="231F20"/>
          <w:sz w:val="19"/>
        </w:rPr>
        <w:t>9-385-287, copyright © 1985 by the President and Fellows of Harvard</w:t>
      </w:r>
    </w:p>
    <w:p>
      <w:pPr>
        <w:spacing w:line="220" w:lineRule="exact" w:before="0"/>
        <w:ind w:left="860" w:right="0" w:firstLine="0"/>
        <w:jc w:val="both"/>
        <w:rPr>
          <w:sz w:val="19"/>
        </w:rPr>
      </w:pPr>
      <w:r>
        <w:rPr>
          <w:color w:val="231F20"/>
          <w:sz w:val="19"/>
        </w:rPr>
        <w:t>College;</w:t>
      </w:r>
      <w:r>
        <w:rPr>
          <w:color w:val="231F20"/>
          <w:spacing w:val="7"/>
          <w:sz w:val="19"/>
        </w:rPr>
        <w:t> </w:t>
      </w:r>
      <w:r>
        <w:rPr>
          <w:color w:val="231F20"/>
          <w:sz w:val="19"/>
        </w:rPr>
        <w:t>all</w:t>
      </w:r>
      <w:r>
        <w:rPr>
          <w:color w:val="231F20"/>
          <w:spacing w:val="8"/>
          <w:sz w:val="19"/>
        </w:rPr>
        <w:t> </w:t>
      </w:r>
      <w:r>
        <w:rPr>
          <w:color w:val="231F20"/>
          <w:sz w:val="19"/>
        </w:rPr>
        <w:t>rights</w:t>
      </w:r>
      <w:r>
        <w:rPr>
          <w:color w:val="231F20"/>
          <w:spacing w:val="8"/>
          <w:sz w:val="19"/>
        </w:rPr>
        <w:t> </w:t>
      </w:r>
      <w:r>
        <w:rPr>
          <w:color w:val="231F20"/>
          <w:spacing w:val="-2"/>
          <w:sz w:val="19"/>
        </w:rPr>
        <w:t>reserved.</w:t>
      </w:r>
    </w:p>
    <w:p>
      <w:pPr>
        <w:spacing w:line="280" w:lineRule="auto" w:before="37"/>
        <w:ind w:left="860" w:right="686" w:hanging="340"/>
        <w:jc w:val="both"/>
        <w:rPr>
          <w:sz w:val="19"/>
        </w:rPr>
      </w:pPr>
      <w:r>
        <w:rPr>
          <w:color w:val="231F20"/>
          <w:sz w:val="19"/>
        </w:rPr>
        <w:t>Bourgeois, L. J. “Note on Portfolio Techniques for Corporate Strategic </w:t>
      </w:r>
      <w:r>
        <w:rPr>
          <w:color w:val="231F20"/>
          <w:sz w:val="19"/>
        </w:rPr>
        <w:t>Plan- ning,” Case UVA-BP-292, copyright © 1988 by the Darden Graduate Business School Foundation, Charlottesville, Virginia.</w:t>
      </w:r>
    </w:p>
    <w:p>
      <w:pPr>
        <w:spacing w:line="280" w:lineRule="auto" w:before="0"/>
        <w:ind w:left="859" w:right="685" w:hanging="340"/>
        <w:jc w:val="both"/>
        <w:rPr>
          <w:sz w:val="19"/>
        </w:rPr>
      </w:pPr>
      <w:r>
        <w:rPr>
          <w:color w:val="231F20"/>
          <w:sz w:val="19"/>
        </w:rPr>
        <w:t>Germane, Gayton E. (Stanford). </w:t>
      </w:r>
      <w:r>
        <w:rPr>
          <w:i/>
          <w:color w:val="231F20"/>
          <w:sz w:val="19"/>
        </w:rPr>
        <w:t>The Executive Course. </w:t>
      </w:r>
      <w:r>
        <w:rPr>
          <w:color w:val="231F20"/>
          <w:sz w:val="19"/>
        </w:rPr>
        <w:t>Reading, Mass.: Addison-Wesley Publishing, 1987, pp. 367</w:t>
      </w:r>
      <w:r>
        <w:rPr>
          <w:color w:val="231F20"/>
          <w:spacing w:val="-11"/>
          <w:sz w:val="19"/>
        </w:rPr>
        <w:t> </w:t>
      </w:r>
      <w:r>
        <w:rPr>
          <w:color w:val="231F20"/>
          <w:sz w:val="19"/>
        </w:rPr>
        <w:t>–</w:t>
      </w:r>
      <w:r>
        <w:rPr>
          <w:color w:val="231F20"/>
          <w:spacing w:val="-11"/>
          <w:sz w:val="19"/>
        </w:rPr>
        <w:t> </w:t>
      </w:r>
      <w:r>
        <w:rPr>
          <w:color w:val="231F20"/>
          <w:sz w:val="19"/>
        </w:rPr>
        <w:t>70 (linkages).</w:t>
      </w:r>
    </w:p>
    <w:p>
      <w:pPr>
        <w:spacing w:line="222" w:lineRule="exact" w:before="0"/>
        <w:ind w:left="519" w:right="0" w:firstLine="0"/>
        <w:jc w:val="both"/>
        <w:rPr>
          <w:sz w:val="19"/>
        </w:rPr>
      </w:pPr>
      <w:r>
        <w:rPr>
          <w:color w:val="231F20"/>
          <w:w w:val="105"/>
          <w:sz w:val="19"/>
        </w:rPr>
        <w:t>Koselka,</w:t>
      </w:r>
      <w:r>
        <w:rPr>
          <w:color w:val="231F20"/>
          <w:spacing w:val="26"/>
          <w:w w:val="105"/>
          <w:sz w:val="19"/>
        </w:rPr>
        <w:t> </w:t>
      </w:r>
      <w:r>
        <w:rPr>
          <w:color w:val="231F20"/>
          <w:w w:val="105"/>
          <w:sz w:val="19"/>
        </w:rPr>
        <w:t>Rita.</w:t>
      </w:r>
      <w:r>
        <w:rPr>
          <w:color w:val="231F20"/>
          <w:spacing w:val="27"/>
          <w:w w:val="105"/>
          <w:sz w:val="19"/>
        </w:rPr>
        <w:t> </w:t>
      </w:r>
      <w:r>
        <w:rPr>
          <w:color w:val="231F20"/>
          <w:w w:val="105"/>
          <w:sz w:val="19"/>
        </w:rPr>
        <w:t>“Playing</w:t>
      </w:r>
      <w:r>
        <w:rPr>
          <w:color w:val="231F20"/>
          <w:spacing w:val="27"/>
          <w:w w:val="105"/>
          <w:sz w:val="19"/>
        </w:rPr>
        <w:t> </w:t>
      </w:r>
      <w:r>
        <w:rPr>
          <w:color w:val="231F20"/>
          <w:w w:val="105"/>
          <w:sz w:val="19"/>
        </w:rPr>
        <w:t>Poker</w:t>
      </w:r>
      <w:r>
        <w:rPr>
          <w:color w:val="231F20"/>
          <w:spacing w:val="27"/>
          <w:w w:val="105"/>
          <w:sz w:val="19"/>
        </w:rPr>
        <w:t> </w:t>
      </w:r>
      <w:r>
        <w:rPr>
          <w:color w:val="231F20"/>
          <w:w w:val="105"/>
          <w:sz w:val="19"/>
        </w:rPr>
        <w:t>with</w:t>
      </w:r>
      <w:r>
        <w:rPr>
          <w:color w:val="231F20"/>
          <w:spacing w:val="27"/>
          <w:w w:val="105"/>
          <w:sz w:val="19"/>
        </w:rPr>
        <w:t> </w:t>
      </w:r>
      <w:r>
        <w:rPr>
          <w:color w:val="231F20"/>
          <w:w w:val="105"/>
          <w:sz w:val="19"/>
        </w:rPr>
        <w:t>Craig</w:t>
      </w:r>
      <w:r>
        <w:rPr>
          <w:color w:val="231F20"/>
          <w:spacing w:val="27"/>
          <w:w w:val="105"/>
          <w:sz w:val="19"/>
        </w:rPr>
        <w:t> </w:t>
      </w:r>
      <w:r>
        <w:rPr>
          <w:color w:val="231F20"/>
          <w:w w:val="105"/>
          <w:sz w:val="19"/>
        </w:rPr>
        <w:t>McCaw.”</w:t>
      </w:r>
      <w:r>
        <w:rPr>
          <w:color w:val="231F20"/>
          <w:spacing w:val="27"/>
          <w:w w:val="105"/>
          <w:sz w:val="19"/>
        </w:rPr>
        <w:t> </w:t>
      </w:r>
      <w:r>
        <w:rPr>
          <w:i/>
          <w:color w:val="231F20"/>
          <w:w w:val="105"/>
          <w:sz w:val="19"/>
        </w:rPr>
        <w:t>Forbes,</w:t>
      </w:r>
      <w:r>
        <w:rPr>
          <w:i/>
          <w:color w:val="231F20"/>
          <w:spacing w:val="27"/>
          <w:w w:val="105"/>
          <w:sz w:val="19"/>
        </w:rPr>
        <w:t> </w:t>
      </w:r>
      <w:r>
        <w:rPr>
          <w:color w:val="231F20"/>
          <w:w w:val="105"/>
          <w:sz w:val="19"/>
        </w:rPr>
        <w:t>July</w:t>
      </w:r>
      <w:r>
        <w:rPr>
          <w:color w:val="231F20"/>
          <w:spacing w:val="27"/>
          <w:w w:val="105"/>
          <w:sz w:val="19"/>
        </w:rPr>
        <w:t> </w:t>
      </w:r>
      <w:r>
        <w:rPr>
          <w:color w:val="231F20"/>
          <w:w w:val="105"/>
          <w:sz w:val="19"/>
        </w:rPr>
        <w:t>3,</w:t>
      </w:r>
      <w:r>
        <w:rPr>
          <w:color w:val="231F20"/>
          <w:spacing w:val="27"/>
          <w:w w:val="105"/>
          <w:sz w:val="19"/>
        </w:rPr>
        <w:t> </w:t>
      </w:r>
      <w:r>
        <w:rPr>
          <w:color w:val="231F20"/>
          <w:spacing w:val="-2"/>
          <w:w w:val="105"/>
          <w:sz w:val="19"/>
        </w:rPr>
        <w:t>1995,</w:t>
      </w:r>
    </w:p>
    <w:p>
      <w:pPr>
        <w:spacing w:before="35"/>
        <w:ind w:left="859" w:right="0" w:firstLine="0"/>
        <w:jc w:val="both"/>
        <w:rPr>
          <w:sz w:val="19"/>
        </w:rPr>
      </w:pPr>
      <w:r>
        <w:rPr>
          <w:color w:val="231F20"/>
          <w:sz w:val="19"/>
        </w:rPr>
        <w:t>p.</w:t>
      </w:r>
      <w:r>
        <w:rPr>
          <w:color w:val="231F20"/>
          <w:spacing w:val="4"/>
          <w:sz w:val="19"/>
        </w:rPr>
        <w:t> </w:t>
      </w:r>
      <w:r>
        <w:rPr>
          <w:color w:val="231F20"/>
          <w:sz w:val="19"/>
        </w:rPr>
        <w:t>62</w:t>
      </w:r>
      <w:r>
        <w:rPr>
          <w:color w:val="231F20"/>
          <w:spacing w:val="4"/>
          <w:sz w:val="19"/>
        </w:rPr>
        <w:t> </w:t>
      </w:r>
      <w:r>
        <w:rPr>
          <w:color w:val="231F20"/>
          <w:sz w:val="19"/>
        </w:rPr>
        <w:t>(game</w:t>
      </w:r>
      <w:r>
        <w:rPr>
          <w:color w:val="231F20"/>
          <w:spacing w:val="4"/>
          <w:sz w:val="19"/>
        </w:rPr>
        <w:t> </w:t>
      </w:r>
      <w:r>
        <w:rPr>
          <w:color w:val="231F20"/>
          <w:spacing w:val="-2"/>
          <w:sz w:val="19"/>
        </w:rPr>
        <w:t>theory).</w:t>
      </w:r>
    </w:p>
    <w:p>
      <w:pPr>
        <w:spacing w:line="280" w:lineRule="auto" w:before="37"/>
        <w:ind w:left="859" w:right="685" w:hanging="340"/>
        <w:jc w:val="left"/>
        <w:rPr>
          <w:sz w:val="19"/>
        </w:rPr>
      </w:pPr>
      <w:r>
        <w:rPr>
          <w:color w:val="231F20"/>
          <w:w w:val="105"/>
          <w:sz w:val="19"/>
        </w:rPr>
        <w:t>McCarthy,</w:t>
      </w:r>
      <w:r>
        <w:rPr>
          <w:color w:val="231F20"/>
          <w:spacing w:val="39"/>
          <w:w w:val="105"/>
          <w:sz w:val="19"/>
        </w:rPr>
        <w:t> </w:t>
      </w:r>
      <w:r>
        <w:rPr>
          <w:color w:val="231F20"/>
          <w:w w:val="105"/>
          <w:sz w:val="19"/>
        </w:rPr>
        <w:t>Michael</w:t>
      </w:r>
      <w:r>
        <w:rPr>
          <w:color w:val="231F20"/>
          <w:spacing w:val="39"/>
          <w:w w:val="105"/>
          <w:sz w:val="19"/>
        </w:rPr>
        <w:t> </w:t>
      </w:r>
      <w:r>
        <w:rPr>
          <w:color w:val="231F20"/>
          <w:w w:val="105"/>
          <w:sz w:val="19"/>
        </w:rPr>
        <w:t>J.</w:t>
      </w:r>
      <w:r>
        <w:rPr>
          <w:color w:val="231F20"/>
          <w:spacing w:val="39"/>
          <w:w w:val="105"/>
          <w:sz w:val="19"/>
        </w:rPr>
        <w:t> </w:t>
      </w:r>
      <w:r>
        <w:rPr>
          <w:color w:val="231F20"/>
          <w:w w:val="105"/>
          <w:sz w:val="19"/>
        </w:rPr>
        <w:t>“Quaker</w:t>
      </w:r>
      <w:r>
        <w:rPr>
          <w:color w:val="231F20"/>
          <w:spacing w:val="39"/>
          <w:w w:val="105"/>
          <w:sz w:val="19"/>
        </w:rPr>
        <w:t> </w:t>
      </w:r>
      <w:r>
        <w:rPr>
          <w:color w:val="231F20"/>
          <w:w w:val="105"/>
          <w:sz w:val="19"/>
        </w:rPr>
        <w:t>Oats</w:t>
      </w:r>
      <w:r>
        <w:rPr>
          <w:color w:val="231F20"/>
          <w:spacing w:val="39"/>
          <w:w w:val="105"/>
          <w:sz w:val="19"/>
        </w:rPr>
        <w:t> </w:t>
      </w:r>
      <w:r>
        <w:rPr>
          <w:color w:val="231F20"/>
          <w:w w:val="105"/>
          <w:sz w:val="19"/>
        </w:rPr>
        <w:t>to</w:t>
      </w:r>
      <w:r>
        <w:rPr>
          <w:color w:val="231F20"/>
          <w:spacing w:val="39"/>
          <w:w w:val="105"/>
          <w:sz w:val="19"/>
        </w:rPr>
        <w:t> </w:t>
      </w:r>
      <w:r>
        <w:rPr>
          <w:color w:val="231F20"/>
          <w:w w:val="105"/>
          <w:sz w:val="19"/>
        </w:rPr>
        <w:t>Sell</w:t>
      </w:r>
      <w:r>
        <w:rPr>
          <w:color w:val="231F20"/>
          <w:spacing w:val="39"/>
          <w:w w:val="105"/>
          <w:sz w:val="19"/>
        </w:rPr>
        <w:t> </w:t>
      </w:r>
      <w:r>
        <w:rPr>
          <w:color w:val="231F20"/>
          <w:w w:val="105"/>
          <w:sz w:val="19"/>
        </w:rPr>
        <w:t>Its</w:t>
      </w:r>
      <w:r>
        <w:rPr>
          <w:color w:val="231F20"/>
          <w:spacing w:val="39"/>
          <w:w w:val="105"/>
          <w:sz w:val="19"/>
        </w:rPr>
        <w:t> </w:t>
      </w:r>
      <w:r>
        <w:rPr>
          <w:color w:val="231F20"/>
          <w:w w:val="105"/>
          <w:sz w:val="19"/>
        </w:rPr>
        <w:t>Snapple</w:t>
      </w:r>
      <w:r>
        <w:rPr>
          <w:color w:val="231F20"/>
          <w:spacing w:val="39"/>
          <w:w w:val="105"/>
          <w:sz w:val="19"/>
        </w:rPr>
        <w:t> </w:t>
      </w:r>
      <w:r>
        <w:rPr>
          <w:color w:val="231F20"/>
          <w:w w:val="105"/>
          <w:sz w:val="19"/>
        </w:rPr>
        <w:t>Business.”</w:t>
      </w:r>
      <w:r>
        <w:rPr>
          <w:color w:val="231F20"/>
          <w:spacing w:val="39"/>
          <w:w w:val="105"/>
          <w:sz w:val="19"/>
        </w:rPr>
        <w:t> </w:t>
      </w:r>
      <w:r>
        <w:rPr>
          <w:i/>
          <w:color w:val="231F20"/>
          <w:w w:val="105"/>
          <w:sz w:val="19"/>
        </w:rPr>
        <w:t>Wall</w:t>
      </w:r>
      <w:r>
        <w:rPr>
          <w:i/>
          <w:color w:val="231F20"/>
          <w:w w:val="105"/>
          <w:sz w:val="19"/>
        </w:rPr>
        <w:t> Street Journal, </w:t>
      </w:r>
      <w:r>
        <w:rPr>
          <w:color w:val="231F20"/>
          <w:w w:val="105"/>
          <w:sz w:val="19"/>
        </w:rPr>
        <w:t>March 28, 1997, p. 43 (Snapple).</w:t>
      </w:r>
    </w:p>
    <w:p>
      <w:pPr>
        <w:spacing w:line="280" w:lineRule="auto" w:before="0"/>
        <w:ind w:left="859" w:right="685" w:hanging="340"/>
        <w:jc w:val="left"/>
        <w:rPr>
          <w:sz w:val="19"/>
        </w:rPr>
      </w:pPr>
      <w:r>
        <w:rPr>
          <w:color w:val="231F20"/>
          <w:w w:val="105"/>
          <w:sz w:val="19"/>
        </w:rPr>
        <w:t>Montana,</w:t>
      </w:r>
      <w:r>
        <w:rPr>
          <w:color w:val="231F20"/>
          <w:w w:val="105"/>
          <w:sz w:val="19"/>
        </w:rPr>
        <w:t> Patrick,</w:t>
      </w:r>
      <w:r>
        <w:rPr>
          <w:color w:val="231F20"/>
          <w:w w:val="105"/>
          <w:sz w:val="19"/>
        </w:rPr>
        <w:t> and</w:t>
      </w:r>
      <w:r>
        <w:rPr>
          <w:color w:val="231F20"/>
          <w:w w:val="105"/>
          <w:sz w:val="19"/>
        </w:rPr>
        <w:t> Bruce</w:t>
      </w:r>
      <w:r>
        <w:rPr>
          <w:color w:val="231F20"/>
          <w:w w:val="105"/>
          <w:sz w:val="19"/>
        </w:rPr>
        <w:t> Charnov.</w:t>
      </w:r>
      <w:r>
        <w:rPr>
          <w:color w:val="231F20"/>
          <w:w w:val="105"/>
          <w:sz w:val="19"/>
        </w:rPr>
        <w:t> </w:t>
      </w:r>
      <w:r>
        <w:rPr>
          <w:i/>
          <w:color w:val="231F20"/>
          <w:w w:val="105"/>
          <w:sz w:val="19"/>
        </w:rPr>
        <w:t>Management.</w:t>
      </w:r>
      <w:r>
        <w:rPr>
          <w:i/>
          <w:color w:val="231F20"/>
          <w:w w:val="105"/>
          <w:sz w:val="19"/>
        </w:rPr>
        <w:t> </w:t>
      </w:r>
      <w:r>
        <w:rPr>
          <w:color w:val="231F20"/>
          <w:w w:val="105"/>
          <w:sz w:val="19"/>
        </w:rPr>
        <w:t>New</w:t>
      </w:r>
      <w:r>
        <w:rPr>
          <w:color w:val="231F20"/>
          <w:w w:val="105"/>
          <w:sz w:val="19"/>
        </w:rPr>
        <w:t> York:</w:t>
      </w:r>
      <w:r>
        <w:rPr>
          <w:color w:val="231F20"/>
          <w:w w:val="105"/>
          <w:sz w:val="19"/>
        </w:rPr>
        <w:t> </w:t>
      </w:r>
      <w:r>
        <w:rPr>
          <w:color w:val="231F20"/>
          <w:w w:val="105"/>
          <w:sz w:val="19"/>
        </w:rPr>
        <w:t>Barron’s, 1987, p. 97 (Alice).</w:t>
      </w:r>
    </w:p>
    <w:p>
      <w:pPr>
        <w:spacing w:line="280" w:lineRule="auto" w:before="0"/>
        <w:ind w:left="859" w:right="685" w:hanging="340"/>
        <w:jc w:val="left"/>
        <w:rPr>
          <w:sz w:val="19"/>
        </w:rPr>
      </w:pPr>
      <w:r>
        <w:rPr>
          <w:color w:val="231F20"/>
          <w:w w:val="105"/>
          <w:sz w:val="19"/>
        </w:rPr>
        <w:t>Paley, Norton. </w:t>
      </w:r>
      <w:r>
        <w:rPr>
          <w:i/>
          <w:color w:val="231F20"/>
          <w:w w:val="105"/>
          <w:sz w:val="19"/>
        </w:rPr>
        <w:t>Manager’s Guide to Competitive Marketing Strategies. </w:t>
      </w:r>
      <w:r>
        <w:rPr>
          <w:color w:val="231F20"/>
          <w:w w:val="105"/>
          <w:sz w:val="19"/>
        </w:rPr>
        <w:t>New York: American Management Association, 1989, p. 6 (P&amp;G Bounce).</w:t>
      </w:r>
    </w:p>
    <w:p>
      <w:pPr>
        <w:spacing w:after="0" w:line="280" w:lineRule="auto"/>
        <w:jc w:val="left"/>
        <w:rPr>
          <w:sz w:val="19"/>
        </w:rPr>
        <w:sectPr>
          <w:pgSz w:w="8640" w:h="12960"/>
          <w:pgMar w:header="734" w:footer="0" w:top="920" w:bottom="280" w:left="740" w:right="480"/>
        </w:sectPr>
      </w:pPr>
    </w:p>
    <w:p>
      <w:pPr>
        <w:pStyle w:val="BodyText"/>
        <w:spacing w:before="2"/>
        <w:rPr>
          <w:sz w:val="18"/>
        </w:rPr>
      </w:pPr>
    </w:p>
    <w:p>
      <w:pPr>
        <w:spacing w:line="280" w:lineRule="auto" w:before="99"/>
        <w:ind w:left="770" w:right="776" w:hanging="340"/>
        <w:jc w:val="both"/>
        <w:rPr>
          <w:sz w:val="19"/>
        </w:rPr>
      </w:pPr>
      <w:r>
        <w:rPr>
          <w:color w:val="231F20"/>
          <w:sz w:val="19"/>
        </w:rPr>
        <w:t>Pascale, Richard T., and E. Tatum Christiansen. “Honda (A), (B),” Cases 9- 384-049, 050, copyright © 1983 by the President and Fellows of </w:t>
      </w:r>
      <w:r>
        <w:rPr>
          <w:color w:val="231F20"/>
          <w:sz w:val="19"/>
        </w:rPr>
        <w:t>Har- vard College; all rights reserved (two versions of Honda).</w:t>
      </w:r>
    </w:p>
    <w:p>
      <w:pPr>
        <w:spacing w:line="280" w:lineRule="auto" w:before="0"/>
        <w:ind w:left="769" w:right="777" w:hanging="340"/>
        <w:jc w:val="both"/>
        <w:rPr>
          <w:sz w:val="19"/>
        </w:rPr>
      </w:pPr>
      <w:r>
        <w:rPr>
          <w:color w:val="231F20"/>
          <w:w w:val="105"/>
          <w:sz w:val="19"/>
        </w:rPr>
        <w:t>Porter,</w:t>
      </w:r>
      <w:r>
        <w:rPr>
          <w:color w:val="231F20"/>
          <w:w w:val="105"/>
          <w:sz w:val="19"/>
        </w:rPr>
        <w:t> Michael</w:t>
      </w:r>
      <w:r>
        <w:rPr>
          <w:color w:val="231F20"/>
          <w:w w:val="105"/>
          <w:sz w:val="19"/>
        </w:rPr>
        <w:t> E.</w:t>
      </w:r>
      <w:r>
        <w:rPr>
          <w:color w:val="231F20"/>
          <w:w w:val="105"/>
          <w:sz w:val="19"/>
        </w:rPr>
        <w:t> </w:t>
      </w:r>
      <w:r>
        <w:rPr>
          <w:i/>
          <w:color w:val="231F20"/>
          <w:w w:val="105"/>
          <w:sz w:val="19"/>
        </w:rPr>
        <w:t>Competitive</w:t>
      </w:r>
      <w:r>
        <w:rPr>
          <w:i/>
          <w:color w:val="231F20"/>
          <w:w w:val="105"/>
          <w:sz w:val="19"/>
        </w:rPr>
        <w:t> Strategy:</w:t>
      </w:r>
      <w:r>
        <w:rPr>
          <w:i/>
          <w:color w:val="231F20"/>
          <w:w w:val="105"/>
          <w:sz w:val="19"/>
        </w:rPr>
        <w:t> Techniques</w:t>
      </w:r>
      <w:r>
        <w:rPr>
          <w:i/>
          <w:color w:val="231F20"/>
          <w:w w:val="105"/>
          <w:sz w:val="19"/>
        </w:rPr>
        <w:t> for</w:t>
      </w:r>
      <w:r>
        <w:rPr>
          <w:i/>
          <w:color w:val="231F20"/>
          <w:w w:val="105"/>
          <w:sz w:val="19"/>
        </w:rPr>
        <w:t> Analyzing</w:t>
      </w:r>
      <w:r>
        <w:rPr>
          <w:i/>
          <w:color w:val="231F20"/>
          <w:w w:val="105"/>
          <w:sz w:val="19"/>
        </w:rPr>
        <w:t> Indus-</w:t>
      </w:r>
      <w:r>
        <w:rPr>
          <w:i/>
          <w:color w:val="231F20"/>
          <w:w w:val="105"/>
          <w:sz w:val="19"/>
        </w:rPr>
        <w:t> tries</w:t>
      </w:r>
      <w:r>
        <w:rPr>
          <w:i/>
          <w:color w:val="231F20"/>
          <w:spacing w:val="-11"/>
          <w:w w:val="105"/>
          <w:sz w:val="19"/>
        </w:rPr>
        <w:t> </w:t>
      </w:r>
      <w:r>
        <w:rPr>
          <w:i/>
          <w:color w:val="231F20"/>
          <w:w w:val="105"/>
          <w:sz w:val="19"/>
        </w:rPr>
        <w:t>and</w:t>
      </w:r>
      <w:r>
        <w:rPr>
          <w:i/>
          <w:color w:val="231F20"/>
          <w:spacing w:val="-11"/>
          <w:w w:val="105"/>
          <w:sz w:val="19"/>
        </w:rPr>
        <w:t> </w:t>
      </w:r>
      <w:r>
        <w:rPr>
          <w:i/>
          <w:color w:val="231F20"/>
          <w:w w:val="105"/>
          <w:sz w:val="19"/>
        </w:rPr>
        <w:t>Competitors.</w:t>
      </w:r>
      <w:r>
        <w:rPr>
          <w:i/>
          <w:color w:val="231F20"/>
          <w:spacing w:val="-11"/>
          <w:w w:val="105"/>
          <w:sz w:val="19"/>
        </w:rPr>
        <w:t> </w:t>
      </w:r>
      <w:r>
        <w:rPr>
          <w:color w:val="231F20"/>
          <w:w w:val="105"/>
          <w:sz w:val="19"/>
        </w:rPr>
        <w:t>New</w:t>
      </w:r>
      <w:r>
        <w:rPr>
          <w:color w:val="231F20"/>
          <w:spacing w:val="-11"/>
          <w:w w:val="105"/>
          <w:sz w:val="19"/>
        </w:rPr>
        <w:t> </w:t>
      </w:r>
      <w:r>
        <w:rPr>
          <w:color w:val="231F20"/>
          <w:w w:val="105"/>
          <w:sz w:val="19"/>
        </w:rPr>
        <w:t>York:</w:t>
      </w:r>
      <w:r>
        <w:rPr>
          <w:color w:val="231F20"/>
          <w:spacing w:val="-8"/>
          <w:w w:val="105"/>
          <w:sz w:val="19"/>
        </w:rPr>
        <w:t> </w:t>
      </w:r>
      <w:r>
        <w:rPr>
          <w:color w:val="231F20"/>
          <w:w w:val="105"/>
          <w:sz w:val="19"/>
        </w:rPr>
        <w:t>The</w:t>
      </w:r>
      <w:r>
        <w:rPr>
          <w:color w:val="231F20"/>
          <w:spacing w:val="-3"/>
          <w:w w:val="105"/>
          <w:sz w:val="19"/>
        </w:rPr>
        <w:t> </w:t>
      </w:r>
      <w:r>
        <w:rPr>
          <w:color w:val="231F20"/>
          <w:w w:val="105"/>
          <w:sz w:val="19"/>
        </w:rPr>
        <w:t>Free</w:t>
      </w:r>
      <w:r>
        <w:rPr>
          <w:color w:val="231F20"/>
          <w:spacing w:val="-3"/>
          <w:w w:val="105"/>
          <w:sz w:val="19"/>
        </w:rPr>
        <w:t> </w:t>
      </w:r>
      <w:r>
        <w:rPr>
          <w:color w:val="231F20"/>
          <w:w w:val="105"/>
          <w:sz w:val="19"/>
        </w:rPr>
        <w:t>Press,</w:t>
      </w:r>
      <w:r>
        <w:rPr>
          <w:color w:val="231F20"/>
          <w:spacing w:val="-3"/>
          <w:w w:val="105"/>
          <w:sz w:val="19"/>
        </w:rPr>
        <w:t> </w:t>
      </w:r>
      <w:r>
        <w:rPr>
          <w:color w:val="231F20"/>
          <w:w w:val="105"/>
          <w:sz w:val="19"/>
        </w:rPr>
        <w:t>1980,</w:t>
      </w:r>
      <w:r>
        <w:rPr>
          <w:color w:val="231F20"/>
          <w:spacing w:val="-3"/>
          <w:w w:val="105"/>
          <w:sz w:val="19"/>
        </w:rPr>
        <w:t> </w:t>
      </w:r>
      <w:r>
        <w:rPr>
          <w:color w:val="231F20"/>
          <w:w w:val="105"/>
          <w:sz w:val="19"/>
        </w:rPr>
        <w:t>pp.</w:t>
      </w:r>
      <w:r>
        <w:rPr>
          <w:color w:val="231F20"/>
          <w:spacing w:val="-3"/>
          <w:w w:val="105"/>
          <w:sz w:val="19"/>
        </w:rPr>
        <w:t> </w:t>
      </w:r>
      <w:r>
        <w:rPr>
          <w:color w:val="231F20"/>
          <w:w w:val="105"/>
          <w:sz w:val="19"/>
        </w:rPr>
        <w:t>39,</w:t>
      </w:r>
      <w:r>
        <w:rPr>
          <w:color w:val="231F20"/>
          <w:spacing w:val="-3"/>
          <w:w w:val="105"/>
          <w:sz w:val="19"/>
        </w:rPr>
        <w:t> </w:t>
      </w:r>
      <w:r>
        <w:rPr>
          <w:color w:val="231F20"/>
          <w:w w:val="105"/>
          <w:sz w:val="19"/>
        </w:rPr>
        <w:t>75</w:t>
      </w:r>
      <w:r>
        <w:rPr>
          <w:color w:val="231F20"/>
          <w:spacing w:val="-11"/>
          <w:w w:val="105"/>
          <w:sz w:val="19"/>
        </w:rPr>
        <w:t> </w:t>
      </w:r>
      <w:r>
        <w:rPr>
          <w:color w:val="231F20"/>
          <w:w w:val="105"/>
          <w:sz w:val="19"/>
        </w:rPr>
        <w:t>–</w:t>
      </w:r>
      <w:r>
        <w:rPr>
          <w:color w:val="231F20"/>
          <w:spacing w:val="-11"/>
          <w:w w:val="105"/>
          <w:sz w:val="19"/>
        </w:rPr>
        <w:t> </w:t>
      </w:r>
      <w:r>
        <w:rPr>
          <w:color w:val="231F20"/>
          <w:w w:val="105"/>
          <w:sz w:val="19"/>
        </w:rPr>
        <w:t>82 </w:t>
      </w:r>
      <w:r>
        <w:rPr>
          <w:color w:val="231F20"/>
          <w:spacing w:val="-2"/>
          <w:w w:val="105"/>
          <w:sz w:val="19"/>
        </w:rPr>
        <w:t>(signaling).</w:t>
      </w:r>
    </w:p>
    <w:p>
      <w:pPr>
        <w:spacing w:line="280" w:lineRule="auto" w:before="0"/>
        <w:ind w:left="769" w:right="774" w:hanging="340"/>
        <w:jc w:val="both"/>
        <w:rPr>
          <w:sz w:val="19"/>
        </w:rPr>
      </w:pPr>
      <w:r>
        <w:rPr>
          <w:color w:val="231F20"/>
          <w:sz w:val="19"/>
        </w:rPr>
        <w:t>Quinn, James Brian. “Strategic Change: Logical Incrementalism.” </w:t>
      </w:r>
      <w:r>
        <w:rPr>
          <w:i/>
          <w:color w:val="231F20"/>
          <w:sz w:val="19"/>
        </w:rPr>
        <w:t>Sloan</w:t>
      </w:r>
      <w:r>
        <w:rPr>
          <w:i/>
          <w:color w:val="231F20"/>
          <w:sz w:val="19"/>
        </w:rPr>
        <w:t> Management Review, </w:t>
      </w:r>
      <w:r>
        <w:rPr>
          <w:color w:val="231F20"/>
          <w:sz w:val="19"/>
        </w:rPr>
        <w:t>MIT, Fall 1978, pp. 7</w:t>
      </w:r>
      <w:r>
        <w:rPr>
          <w:color w:val="231F20"/>
          <w:spacing w:val="-7"/>
          <w:sz w:val="19"/>
        </w:rPr>
        <w:t> </w:t>
      </w:r>
      <w:r>
        <w:rPr>
          <w:color w:val="231F20"/>
          <w:sz w:val="19"/>
        </w:rPr>
        <w:t>–</w:t>
      </w:r>
      <w:r>
        <w:rPr>
          <w:color w:val="231F20"/>
          <w:spacing w:val="-7"/>
          <w:sz w:val="19"/>
        </w:rPr>
        <w:t> </w:t>
      </w:r>
      <w:r>
        <w:rPr>
          <w:color w:val="231F20"/>
          <w:sz w:val="19"/>
        </w:rPr>
        <w:t>22.</w:t>
      </w:r>
    </w:p>
    <w:p>
      <w:pPr>
        <w:spacing w:line="280" w:lineRule="auto" w:before="0"/>
        <w:ind w:left="769" w:right="777" w:hanging="340"/>
        <w:jc w:val="both"/>
        <w:rPr>
          <w:sz w:val="19"/>
        </w:rPr>
      </w:pPr>
      <w:r>
        <w:rPr>
          <w:color w:val="231F20"/>
          <w:w w:val="105"/>
          <w:sz w:val="19"/>
        </w:rPr>
        <w:t>Romm, Joseph J. “The Gospel According to Sun Tzu.” </w:t>
      </w:r>
      <w:r>
        <w:rPr>
          <w:i/>
          <w:color w:val="231F20"/>
          <w:w w:val="105"/>
          <w:sz w:val="19"/>
        </w:rPr>
        <w:t>Forbes, </w:t>
      </w:r>
      <w:r>
        <w:rPr>
          <w:color w:val="231F20"/>
          <w:w w:val="105"/>
          <w:sz w:val="19"/>
        </w:rPr>
        <w:t>December </w:t>
      </w:r>
      <w:r>
        <w:rPr>
          <w:color w:val="231F20"/>
          <w:w w:val="105"/>
          <w:sz w:val="19"/>
        </w:rPr>
        <w:t>9, 1991, p. 162.</w:t>
      </w:r>
    </w:p>
    <w:p>
      <w:pPr>
        <w:spacing w:line="280" w:lineRule="auto" w:before="0"/>
        <w:ind w:left="769" w:right="774" w:hanging="340"/>
        <w:jc w:val="both"/>
        <w:rPr>
          <w:sz w:val="19"/>
        </w:rPr>
      </w:pPr>
      <w:r>
        <w:rPr>
          <w:color w:val="231F20"/>
          <w:w w:val="105"/>
          <w:sz w:val="19"/>
        </w:rPr>
        <w:t>“The</w:t>
      </w:r>
      <w:r>
        <w:rPr>
          <w:color w:val="231F20"/>
          <w:w w:val="105"/>
          <w:sz w:val="19"/>
        </w:rPr>
        <w:t> World’s</w:t>
      </w:r>
      <w:r>
        <w:rPr>
          <w:color w:val="231F20"/>
          <w:w w:val="105"/>
          <w:sz w:val="19"/>
        </w:rPr>
        <w:t> Billionaires.”</w:t>
      </w:r>
      <w:r>
        <w:rPr>
          <w:color w:val="231F20"/>
          <w:w w:val="105"/>
          <w:sz w:val="19"/>
        </w:rPr>
        <w:t> </w:t>
      </w:r>
      <w:r>
        <w:rPr>
          <w:i/>
          <w:color w:val="231F20"/>
          <w:w w:val="105"/>
          <w:sz w:val="19"/>
        </w:rPr>
        <w:t>Forbes,</w:t>
      </w:r>
      <w:r>
        <w:rPr>
          <w:i/>
          <w:color w:val="231F20"/>
          <w:w w:val="105"/>
          <w:sz w:val="19"/>
        </w:rPr>
        <w:t> </w:t>
      </w:r>
      <w:r>
        <w:rPr>
          <w:color w:val="231F20"/>
          <w:w w:val="105"/>
          <w:sz w:val="19"/>
        </w:rPr>
        <w:t>July</w:t>
      </w:r>
      <w:r>
        <w:rPr>
          <w:color w:val="231F20"/>
          <w:w w:val="105"/>
          <w:sz w:val="19"/>
        </w:rPr>
        <w:t> 22,</w:t>
      </w:r>
      <w:r>
        <w:rPr>
          <w:color w:val="231F20"/>
          <w:w w:val="105"/>
          <w:sz w:val="19"/>
        </w:rPr>
        <w:t> 1991,</w:t>
      </w:r>
      <w:r>
        <w:rPr>
          <w:color w:val="231F20"/>
          <w:w w:val="105"/>
          <w:sz w:val="19"/>
        </w:rPr>
        <w:t> pp.</w:t>
      </w:r>
      <w:r>
        <w:rPr>
          <w:color w:val="231F20"/>
          <w:w w:val="105"/>
          <w:sz w:val="19"/>
        </w:rPr>
        <w:t> 138</w:t>
      </w:r>
      <w:r>
        <w:rPr>
          <w:color w:val="231F20"/>
          <w:spacing w:val="-11"/>
          <w:w w:val="105"/>
          <w:sz w:val="19"/>
        </w:rPr>
        <w:t> </w:t>
      </w:r>
      <w:r>
        <w:rPr>
          <w:color w:val="231F20"/>
          <w:w w:val="105"/>
          <w:sz w:val="19"/>
        </w:rPr>
        <w:t>–</w:t>
      </w:r>
      <w:r>
        <w:rPr>
          <w:color w:val="231F20"/>
          <w:spacing w:val="-11"/>
          <w:w w:val="105"/>
          <w:sz w:val="19"/>
        </w:rPr>
        <w:t> </w:t>
      </w:r>
      <w:r>
        <w:rPr>
          <w:color w:val="231F20"/>
          <w:w w:val="105"/>
          <w:sz w:val="19"/>
        </w:rPr>
        <w:t>39</w:t>
      </w:r>
      <w:r>
        <w:rPr>
          <w:color w:val="231F20"/>
          <w:w w:val="105"/>
          <w:sz w:val="19"/>
        </w:rPr>
        <w:t> (Sony </w:t>
      </w:r>
      <w:r>
        <w:rPr>
          <w:color w:val="231F20"/>
          <w:spacing w:val="-2"/>
          <w:w w:val="105"/>
          <w:sz w:val="19"/>
        </w:rPr>
        <w:t>rivalry).</w:t>
      </w:r>
    </w:p>
    <w:p>
      <w:pPr>
        <w:pStyle w:val="BodyText"/>
        <w:rPr>
          <w:sz w:val="22"/>
        </w:rPr>
      </w:pPr>
    </w:p>
    <w:p>
      <w:pPr>
        <w:pStyle w:val="BodyText"/>
        <w:spacing w:before="1"/>
      </w:pPr>
    </w:p>
    <w:p>
      <w:pPr>
        <w:spacing w:before="1"/>
        <w:ind w:left="430" w:right="0" w:firstLine="0"/>
        <w:jc w:val="left"/>
        <w:rPr>
          <w:rFonts w:ascii="Trebuchet MS"/>
          <w:sz w:val="20"/>
        </w:rPr>
      </w:pPr>
      <w:r>
        <w:rPr>
          <w:rFonts w:ascii="Trebuchet MS"/>
          <w:color w:val="231F20"/>
          <w:w w:val="90"/>
          <w:sz w:val="20"/>
        </w:rPr>
        <w:t>CASE</w:t>
      </w:r>
      <w:r>
        <w:rPr>
          <w:rFonts w:ascii="Trebuchet MS"/>
          <w:color w:val="231F20"/>
          <w:spacing w:val="29"/>
          <w:sz w:val="20"/>
        </w:rPr>
        <w:t> </w:t>
      </w:r>
      <w:r>
        <w:rPr>
          <w:rFonts w:ascii="Trebuchet MS"/>
          <w:color w:val="231F20"/>
          <w:spacing w:val="-2"/>
          <w:sz w:val="20"/>
        </w:rPr>
        <w:t>SOURCES</w:t>
      </w:r>
    </w:p>
    <w:p>
      <w:pPr>
        <w:pStyle w:val="BodyText"/>
        <w:spacing w:before="4"/>
        <w:rPr>
          <w:rFonts w:ascii="Trebuchet MS"/>
          <w:sz w:val="25"/>
        </w:rPr>
      </w:pPr>
    </w:p>
    <w:p>
      <w:pPr>
        <w:spacing w:line="280" w:lineRule="auto" w:before="0"/>
        <w:ind w:left="430" w:right="3994" w:firstLine="0"/>
        <w:jc w:val="left"/>
        <w:rPr>
          <w:sz w:val="19"/>
        </w:rPr>
      </w:pPr>
      <w:r>
        <w:rPr>
          <w:color w:val="231F20"/>
          <w:sz w:val="19"/>
        </w:rPr>
        <w:t>Darden Graduate School of </w:t>
      </w:r>
      <w:r>
        <w:rPr>
          <w:color w:val="231F20"/>
          <w:sz w:val="19"/>
        </w:rPr>
        <w:t>Business Educational Materials Service University of Virginia, Box 6550 Charlottesville, VA 22906-6550 </w:t>
      </w:r>
      <w:hyperlink r:id="rId155">
        <w:r>
          <w:rPr>
            <w:color w:val="231F20"/>
            <w:spacing w:val="-2"/>
            <w:sz w:val="19"/>
          </w:rPr>
          <w:t>www.darden.virginia.edu</w:t>
        </w:r>
      </w:hyperlink>
    </w:p>
    <w:p>
      <w:pPr>
        <w:pStyle w:val="BodyText"/>
        <w:spacing w:before="11"/>
      </w:pPr>
    </w:p>
    <w:p>
      <w:pPr>
        <w:spacing w:before="0"/>
        <w:ind w:left="430" w:right="0" w:firstLine="0"/>
        <w:jc w:val="left"/>
        <w:rPr>
          <w:sz w:val="19"/>
        </w:rPr>
      </w:pPr>
      <w:r>
        <w:rPr>
          <w:color w:val="231F20"/>
          <w:sz w:val="19"/>
        </w:rPr>
        <w:t>Harvard</w:t>
      </w:r>
      <w:r>
        <w:rPr>
          <w:color w:val="231F20"/>
          <w:spacing w:val="7"/>
          <w:sz w:val="19"/>
        </w:rPr>
        <w:t> </w:t>
      </w:r>
      <w:r>
        <w:rPr>
          <w:color w:val="231F20"/>
          <w:sz w:val="19"/>
        </w:rPr>
        <w:t>Business</w:t>
      </w:r>
      <w:r>
        <w:rPr>
          <w:color w:val="231F20"/>
          <w:spacing w:val="8"/>
          <w:sz w:val="19"/>
        </w:rPr>
        <w:t> </w:t>
      </w:r>
      <w:r>
        <w:rPr>
          <w:color w:val="231F20"/>
          <w:sz w:val="19"/>
        </w:rPr>
        <w:t>School</w:t>
      </w:r>
      <w:r>
        <w:rPr>
          <w:color w:val="231F20"/>
          <w:spacing w:val="7"/>
          <w:sz w:val="19"/>
        </w:rPr>
        <w:t> </w:t>
      </w:r>
      <w:r>
        <w:rPr>
          <w:color w:val="231F20"/>
          <w:sz w:val="19"/>
        </w:rPr>
        <w:t>Case</w:t>
      </w:r>
      <w:r>
        <w:rPr>
          <w:color w:val="231F20"/>
          <w:spacing w:val="8"/>
          <w:sz w:val="19"/>
        </w:rPr>
        <w:t> </w:t>
      </w:r>
      <w:r>
        <w:rPr>
          <w:color w:val="231F20"/>
          <w:spacing w:val="-2"/>
          <w:sz w:val="19"/>
        </w:rPr>
        <w:t>Services</w:t>
      </w:r>
    </w:p>
    <w:p>
      <w:pPr>
        <w:spacing w:line="280" w:lineRule="auto" w:before="37"/>
        <w:ind w:left="430" w:right="4830" w:firstLine="0"/>
        <w:jc w:val="left"/>
        <w:rPr>
          <w:sz w:val="19"/>
        </w:rPr>
      </w:pPr>
      <w:r>
        <w:rPr>
          <w:i/>
          <w:color w:val="231F20"/>
          <w:sz w:val="19"/>
        </w:rPr>
        <w:t>Harvard Business </w:t>
      </w:r>
      <w:r>
        <w:rPr>
          <w:i/>
          <w:color w:val="231F20"/>
          <w:sz w:val="19"/>
        </w:rPr>
        <w:t>Review</w:t>
      </w:r>
      <w:r>
        <w:rPr>
          <w:i/>
          <w:color w:val="231F20"/>
          <w:sz w:val="19"/>
        </w:rPr>
        <w:t> </w:t>
      </w:r>
      <w:r>
        <w:rPr>
          <w:color w:val="231F20"/>
          <w:sz w:val="19"/>
        </w:rPr>
        <w:t>Publishing Division Boston, MA 02163 </w:t>
      </w:r>
      <w:hyperlink r:id="rId156">
        <w:r>
          <w:rPr>
            <w:color w:val="231F20"/>
            <w:spacing w:val="-2"/>
            <w:sz w:val="19"/>
          </w:rPr>
          <w:t>www.hbsp.harvard.edu</w:t>
        </w:r>
      </w:hyperlink>
    </w:p>
    <w:p>
      <w:pPr>
        <w:spacing w:after="0" w:line="280" w:lineRule="auto"/>
        <w:jc w:val="left"/>
        <w:rPr>
          <w:sz w:val="19"/>
        </w:rPr>
        <w:sectPr>
          <w:pgSz w:w="8640" w:h="12960"/>
          <w:pgMar w:header="732" w:footer="0" w:top="920" w:bottom="280" w:left="740" w:right="480"/>
        </w:sectPr>
      </w:pPr>
    </w:p>
    <w:p>
      <w:pPr>
        <w:pStyle w:val="Heading2"/>
        <w:spacing w:line="193" w:lineRule="exact"/>
        <w:ind w:left="733"/>
        <w:rPr>
          <w:i/>
        </w:rPr>
      </w:pPr>
      <w:bookmarkStart w:name="MBA Abbreviation Lexicon" w:id="51"/>
      <w:bookmarkEnd w:id="51"/>
      <w:r>
        <w:rPr>
          <w:b w:val="0"/>
          <w:i w:val="0"/>
        </w:rPr>
      </w:r>
      <w:bookmarkStart w:name="_bookmark24" w:id="52"/>
      <w:bookmarkEnd w:id="52"/>
      <w:r>
        <w:rPr>
          <w:b w:val="0"/>
          <w:i w:val="0"/>
        </w:rPr>
      </w:r>
      <w:hyperlink w:history="true" w:anchor="_bookmark2">
        <w:r>
          <w:rPr>
            <w:i/>
            <w:color w:val="0000FF"/>
            <w:spacing w:val="15"/>
            <w:w w:val="90"/>
          </w:rPr>
          <w:t>MBA</w:t>
        </w:r>
        <w:r>
          <w:rPr>
            <w:i/>
            <w:color w:val="0000FF"/>
            <w:spacing w:val="71"/>
          </w:rPr>
          <w:t> </w:t>
        </w:r>
        <w:r>
          <w:rPr>
            <w:i/>
            <w:color w:val="0000FF"/>
            <w:spacing w:val="21"/>
            <w:w w:val="90"/>
          </w:rPr>
          <w:t>Abbreviation</w:t>
        </w:r>
        <w:r>
          <w:rPr>
            <w:i/>
            <w:color w:val="0000FF"/>
            <w:spacing w:val="71"/>
          </w:rPr>
          <w:t> </w:t>
        </w:r>
        <w:r>
          <w:rPr>
            <w:i/>
            <w:color w:val="0000FF"/>
            <w:spacing w:val="21"/>
            <w:w w:val="90"/>
          </w:rPr>
          <w:t>Lexicon</w:t>
        </w:r>
      </w:hyperlink>
    </w:p>
    <w:p>
      <w:pPr>
        <w:pStyle w:val="BodyText"/>
        <w:rPr>
          <w:b/>
          <w:i/>
          <w:sz w:val="20"/>
        </w:rPr>
      </w:pPr>
    </w:p>
    <w:p>
      <w:pPr>
        <w:pStyle w:val="BodyText"/>
        <w:rPr>
          <w:b/>
          <w:i/>
          <w:sz w:val="20"/>
        </w:rPr>
      </w:pPr>
    </w:p>
    <w:p>
      <w:pPr>
        <w:pStyle w:val="BodyText"/>
        <w:spacing w:before="8" w:after="1"/>
        <w:rPr>
          <w:b/>
          <w:i/>
          <w:sz w:val="26"/>
        </w:rPr>
      </w:pPr>
    </w:p>
    <w:tbl>
      <w:tblPr>
        <w:tblW w:w="0" w:type="auto"/>
        <w:jc w:val="left"/>
        <w:tblInd w:w="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3"/>
        <w:gridCol w:w="3605"/>
        <w:gridCol w:w="908"/>
        <w:gridCol w:w="551"/>
      </w:tblGrid>
      <w:tr>
        <w:trPr>
          <w:trHeight w:val="243" w:hRule="atLeast"/>
        </w:trPr>
        <w:tc>
          <w:tcPr>
            <w:tcW w:w="1243" w:type="dxa"/>
          </w:tcPr>
          <w:p>
            <w:pPr>
              <w:pStyle w:val="TableParagraph"/>
              <w:spacing w:line="220" w:lineRule="exact" w:before="3"/>
              <w:ind w:left="50"/>
              <w:jc w:val="left"/>
              <w:rPr>
                <w:b/>
                <w:sz w:val="19"/>
              </w:rPr>
            </w:pPr>
            <w:r>
              <w:rPr>
                <w:b/>
                <w:color w:val="231F20"/>
                <w:spacing w:val="-2"/>
                <w:sz w:val="19"/>
              </w:rPr>
              <w:t>Abbreviation</w:t>
            </w:r>
          </w:p>
        </w:tc>
        <w:tc>
          <w:tcPr>
            <w:tcW w:w="3605" w:type="dxa"/>
          </w:tcPr>
          <w:p>
            <w:pPr>
              <w:pStyle w:val="TableParagraph"/>
              <w:spacing w:line="220" w:lineRule="exact" w:before="3"/>
              <w:ind w:left="117"/>
              <w:jc w:val="left"/>
              <w:rPr>
                <w:b/>
                <w:sz w:val="19"/>
              </w:rPr>
            </w:pPr>
            <w:r>
              <w:rPr>
                <w:b/>
                <w:color w:val="231F20"/>
                <w:spacing w:val="-2"/>
                <w:sz w:val="19"/>
              </w:rPr>
              <w:t>Translation</w:t>
            </w:r>
          </w:p>
        </w:tc>
        <w:tc>
          <w:tcPr>
            <w:tcW w:w="908" w:type="dxa"/>
          </w:tcPr>
          <w:p>
            <w:pPr>
              <w:pStyle w:val="TableParagraph"/>
              <w:spacing w:line="220" w:lineRule="exact" w:before="3"/>
              <w:ind w:left="159" w:right="82"/>
              <w:rPr>
                <w:b/>
                <w:sz w:val="19"/>
              </w:rPr>
            </w:pPr>
            <w:r>
              <w:rPr>
                <w:b/>
                <w:color w:val="231F20"/>
                <w:spacing w:val="-2"/>
                <w:sz w:val="19"/>
              </w:rPr>
              <w:t>Subject</w:t>
            </w:r>
          </w:p>
        </w:tc>
        <w:tc>
          <w:tcPr>
            <w:tcW w:w="551" w:type="dxa"/>
          </w:tcPr>
          <w:p>
            <w:pPr>
              <w:pStyle w:val="TableParagraph"/>
              <w:spacing w:line="220" w:lineRule="exact" w:before="3"/>
              <w:ind w:right="44"/>
              <w:jc w:val="right"/>
              <w:rPr>
                <w:b/>
                <w:sz w:val="19"/>
              </w:rPr>
            </w:pPr>
            <w:r>
              <w:rPr>
                <w:b/>
                <w:color w:val="231F20"/>
                <w:spacing w:val="-4"/>
                <w:sz w:val="19"/>
              </w:rPr>
              <w:t>Page</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10"/>
                <w:sz w:val="19"/>
              </w:rPr>
              <w:t>ABC</w:t>
            </w:r>
          </w:p>
        </w:tc>
        <w:tc>
          <w:tcPr>
            <w:tcW w:w="3605" w:type="dxa"/>
          </w:tcPr>
          <w:p>
            <w:pPr>
              <w:pStyle w:val="TableParagraph"/>
              <w:spacing w:line="220" w:lineRule="exact" w:before="19"/>
              <w:ind w:left="116"/>
              <w:jc w:val="left"/>
              <w:rPr>
                <w:sz w:val="19"/>
              </w:rPr>
            </w:pPr>
            <w:r>
              <w:rPr>
                <w:color w:val="231F20"/>
                <w:w w:val="95"/>
                <w:sz w:val="19"/>
              </w:rPr>
              <w:t>activity-based</w:t>
            </w:r>
            <w:r>
              <w:rPr>
                <w:color w:val="231F20"/>
                <w:spacing w:val="44"/>
                <w:sz w:val="19"/>
              </w:rPr>
              <w:t> </w:t>
            </w:r>
            <w:r>
              <w:rPr>
                <w:color w:val="231F20"/>
                <w:spacing w:val="-2"/>
                <w:w w:val="95"/>
                <w:sz w:val="19"/>
              </w:rPr>
              <w:t>costing</w:t>
            </w:r>
          </w:p>
        </w:tc>
        <w:tc>
          <w:tcPr>
            <w:tcW w:w="908" w:type="dxa"/>
          </w:tcPr>
          <w:p>
            <w:pPr>
              <w:pStyle w:val="TableParagraph"/>
              <w:spacing w:line="220" w:lineRule="exact" w:before="19"/>
              <w:ind w:left="76"/>
              <w:rPr>
                <w:sz w:val="19"/>
              </w:rPr>
            </w:pPr>
            <w:r>
              <w:rPr>
                <w:color w:val="231F20"/>
                <w:w w:val="115"/>
                <w:sz w:val="19"/>
              </w:rPr>
              <w:t>A</w:t>
            </w:r>
          </w:p>
        </w:tc>
        <w:tc>
          <w:tcPr>
            <w:tcW w:w="551" w:type="dxa"/>
          </w:tcPr>
          <w:p>
            <w:pPr>
              <w:pStyle w:val="TableParagraph"/>
              <w:spacing w:line="220" w:lineRule="exact" w:before="19"/>
              <w:ind w:right="74"/>
              <w:jc w:val="right"/>
              <w:rPr>
                <w:sz w:val="19"/>
              </w:rPr>
            </w:pPr>
            <w:r>
              <w:rPr>
                <w:color w:val="231F20"/>
                <w:spacing w:val="-5"/>
                <w:sz w:val="19"/>
              </w:rPr>
              <w:t>114</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10"/>
                <w:sz w:val="19"/>
              </w:rPr>
              <w:t>ADL</w:t>
            </w:r>
          </w:p>
        </w:tc>
        <w:tc>
          <w:tcPr>
            <w:tcW w:w="3605" w:type="dxa"/>
          </w:tcPr>
          <w:p>
            <w:pPr>
              <w:pStyle w:val="TableParagraph"/>
              <w:spacing w:line="220" w:lineRule="exact" w:before="19"/>
              <w:ind w:left="116"/>
              <w:jc w:val="left"/>
              <w:rPr>
                <w:sz w:val="19"/>
              </w:rPr>
            </w:pPr>
            <w:r>
              <w:rPr>
                <w:color w:val="231F20"/>
                <w:sz w:val="19"/>
              </w:rPr>
              <w:t>Arthur</w:t>
            </w:r>
            <w:r>
              <w:rPr>
                <w:color w:val="231F20"/>
                <w:spacing w:val="18"/>
                <w:sz w:val="19"/>
              </w:rPr>
              <w:t> </w:t>
            </w:r>
            <w:r>
              <w:rPr>
                <w:color w:val="231F20"/>
                <w:sz w:val="19"/>
              </w:rPr>
              <w:t>D.</w:t>
            </w:r>
            <w:r>
              <w:rPr>
                <w:color w:val="231F20"/>
                <w:spacing w:val="19"/>
                <w:sz w:val="19"/>
              </w:rPr>
              <w:t> </w:t>
            </w:r>
            <w:r>
              <w:rPr>
                <w:color w:val="231F20"/>
                <w:sz w:val="19"/>
              </w:rPr>
              <w:t>Little</w:t>
            </w:r>
            <w:r>
              <w:rPr>
                <w:color w:val="231F20"/>
                <w:spacing w:val="19"/>
                <w:sz w:val="19"/>
              </w:rPr>
              <w:t> </w:t>
            </w:r>
            <w:r>
              <w:rPr>
                <w:color w:val="231F20"/>
                <w:sz w:val="19"/>
              </w:rPr>
              <w:t>consulting</w:t>
            </w:r>
            <w:r>
              <w:rPr>
                <w:color w:val="231F20"/>
                <w:spacing w:val="19"/>
                <w:sz w:val="19"/>
              </w:rPr>
              <w:t> </w:t>
            </w:r>
            <w:r>
              <w:rPr>
                <w:color w:val="231F20"/>
                <w:spacing w:val="-2"/>
                <w:sz w:val="19"/>
              </w:rPr>
              <w:t>group</w:t>
            </w:r>
          </w:p>
        </w:tc>
        <w:tc>
          <w:tcPr>
            <w:tcW w:w="908" w:type="dxa"/>
          </w:tcPr>
          <w:p>
            <w:pPr>
              <w:pStyle w:val="TableParagraph"/>
              <w:spacing w:line="220" w:lineRule="exact" w:before="19"/>
              <w:ind w:left="77"/>
              <w:rPr>
                <w:sz w:val="19"/>
              </w:rPr>
            </w:pPr>
            <w:r>
              <w:rPr>
                <w:color w:val="231F20"/>
                <w:w w:val="100"/>
                <w:sz w:val="19"/>
              </w:rPr>
              <w:t>S</w:t>
            </w:r>
          </w:p>
        </w:tc>
        <w:tc>
          <w:tcPr>
            <w:tcW w:w="551" w:type="dxa"/>
          </w:tcPr>
          <w:p>
            <w:pPr>
              <w:pStyle w:val="TableParagraph"/>
              <w:spacing w:line="220" w:lineRule="exact" w:before="19"/>
              <w:ind w:right="74"/>
              <w:jc w:val="right"/>
              <w:rPr>
                <w:sz w:val="19"/>
              </w:rPr>
            </w:pPr>
            <w:r>
              <w:rPr>
                <w:color w:val="231F20"/>
                <w:spacing w:val="-5"/>
                <w:sz w:val="19"/>
              </w:rPr>
              <w:t>353</w:t>
            </w:r>
          </w:p>
        </w:tc>
      </w:tr>
      <w:tr>
        <w:trPr>
          <w:trHeight w:val="259" w:hRule="atLeast"/>
        </w:trPr>
        <w:tc>
          <w:tcPr>
            <w:tcW w:w="1243" w:type="dxa"/>
          </w:tcPr>
          <w:p>
            <w:pPr>
              <w:pStyle w:val="TableParagraph"/>
              <w:spacing w:line="220" w:lineRule="exact" w:before="19"/>
              <w:ind w:left="50"/>
              <w:jc w:val="left"/>
              <w:rPr>
                <w:b/>
                <w:sz w:val="19"/>
              </w:rPr>
            </w:pPr>
            <w:r>
              <w:rPr>
                <w:b/>
                <w:color w:val="231F20"/>
                <w:spacing w:val="-4"/>
                <w:w w:val="110"/>
                <w:sz w:val="19"/>
              </w:rPr>
              <w:t>AIDA</w:t>
            </w:r>
          </w:p>
        </w:tc>
        <w:tc>
          <w:tcPr>
            <w:tcW w:w="3605" w:type="dxa"/>
          </w:tcPr>
          <w:p>
            <w:pPr>
              <w:pStyle w:val="TableParagraph"/>
              <w:spacing w:line="220" w:lineRule="exact" w:before="19"/>
              <w:ind w:left="116"/>
              <w:jc w:val="left"/>
              <w:rPr>
                <w:sz w:val="19"/>
              </w:rPr>
            </w:pPr>
            <w:r>
              <w:rPr>
                <w:color w:val="231F20"/>
                <w:spacing w:val="-2"/>
                <w:sz w:val="19"/>
              </w:rPr>
              <w:t>attention/interest/desire/action</w:t>
            </w:r>
          </w:p>
        </w:tc>
        <w:tc>
          <w:tcPr>
            <w:tcW w:w="908" w:type="dxa"/>
          </w:tcPr>
          <w:p>
            <w:pPr>
              <w:pStyle w:val="TableParagraph"/>
              <w:spacing w:line="220" w:lineRule="exact" w:before="19"/>
              <w:ind w:left="77"/>
              <w:rPr>
                <w:sz w:val="19"/>
              </w:rPr>
            </w:pPr>
            <w:r>
              <w:rPr>
                <w:color w:val="231F20"/>
                <w:w w:val="122"/>
                <w:sz w:val="19"/>
              </w:rPr>
              <w:t>M</w:t>
            </w:r>
          </w:p>
        </w:tc>
        <w:tc>
          <w:tcPr>
            <w:tcW w:w="551" w:type="dxa"/>
          </w:tcPr>
          <w:p>
            <w:pPr>
              <w:pStyle w:val="TableParagraph"/>
              <w:spacing w:line="220" w:lineRule="exact" w:before="19"/>
              <w:ind w:right="74"/>
              <w:jc w:val="right"/>
              <w:rPr>
                <w:sz w:val="19"/>
              </w:rPr>
            </w:pPr>
            <w:r>
              <w:rPr>
                <w:color w:val="231F20"/>
                <w:w w:val="100"/>
                <w:sz w:val="19"/>
              </w:rPr>
              <w:t>6</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15"/>
                <w:sz w:val="19"/>
              </w:rPr>
              <w:t>BCG</w:t>
            </w:r>
          </w:p>
        </w:tc>
        <w:tc>
          <w:tcPr>
            <w:tcW w:w="3605" w:type="dxa"/>
          </w:tcPr>
          <w:p>
            <w:pPr>
              <w:pStyle w:val="TableParagraph"/>
              <w:spacing w:line="220" w:lineRule="exact" w:before="19"/>
              <w:ind w:left="116"/>
              <w:jc w:val="left"/>
              <w:rPr>
                <w:sz w:val="19"/>
              </w:rPr>
            </w:pPr>
            <w:r>
              <w:rPr>
                <w:color w:val="231F20"/>
                <w:sz w:val="19"/>
              </w:rPr>
              <w:t>Boston</w:t>
            </w:r>
            <w:r>
              <w:rPr>
                <w:color w:val="231F20"/>
                <w:spacing w:val="23"/>
                <w:sz w:val="19"/>
              </w:rPr>
              <w:t> </w:t>
            </w:r>
            <w:r>
              <w:rPr>
                <w:color w:val="231F20"/>
                <w:sz w:val="19"/>
              </w:rPr>
              <w:t>Consulting</w:t>
            </w:r>
            <w:r>
              <w:rPr>
                <w:color w:val="231F20"/>
                <w:spacing w:val="23"/>
                <w:sz w:val="19"/>
              </w:rPr>
              <w:t> </w:t>
            </w:r>
            <w:r>
              <w:rPr>
                <w:color w:val="231F20"/>
                <w:spacing w:val="-2"/>
                <w:sz w:val="19"/>
              </w:rPr>
              <w:t>Group</w:t>
            </w:r>
          </w:p>
        </w:tc>
        <w:tc>
          <w:tcPr>
            <w:tcW w:w="908" w:type="dxa"/>
          </w:tcPr>
          <w:p>
            <w:pPr>
              <w:pStyle w:val="TableParagraph"/>
              <w:spacing w:line="220" w:lineRule="exact" w:before="19"/>
              <w:ind w:left="77"/>
              <w:rPr>
                <w:sz w:val="19"/>
              </w:rPr>
            </w:pPr>
            <w:r>
              <w:rPr>
                <w:color w:val="231F20"/>
                <w:w w:val="100"/>
                <w:sz w:val="19"/>
              </w:rPr>
              <w:t>S</w:t>
            </w:r>
          </w:p>
        </w:tc>
        <w:tc>
          <w:tcPr>
            <w:tcW w:w="551" w:type="dxa"/>
          </w:tcPr>
          <w:p>
            <w:pPr>
              <w:pStyle w:val="TableParagraph"/>
              <w:spacing w:line="220" w:lineRule="exact" w:before="19"/>
              <w:ind w:right="74"/>
              <w:jc w:val="right"/>
              <w:rPr>
                <w:sz w:val="19"/>
              </w:rPr>
            </w:pPr>
            <w:r>
              <w:rPr>
                <w:color w:val="231F20"/>
                <w:spacing w:val="-5"/>
                <w:sz w:val="19"/>
              </w:rPr>
              <w:t>350</w:t>
            </w:r>
          </w:p>
        </w:tc>
      </w:tr>
      <w:tr>
        <w:trPr>
          <w:trHeight w:val="259" w:hRule="atLeast"/>
        </w:trPr>
        <w:tc>
          <w:tcPr>
            <w:tcW w:w="1243" w:type="dxa"/>
          </w:tcPr>
          <w:p>
            <w:pPr>
              <w:pStyle w:val="TableParagraph"/>
              <w:spacing w:line="220" w:lineRule="exact" w:before="19"/>
              <w:ind w:left="50"/>
              <w:jc w:val="left"/>
              <w:rPr>
                <w:b/>
                <w:sz w:val="19"/>
              </w:rPr>
            </w:pPr>
            <w:r>
              <w:rPr>
                <w:b/>
                <w:color w:val="231F20"/>
                <w:spacing w:val="-4"/>
                <w:w w:val="110"/>
                <w:sz w:val="19"/>
              </w:rPr>
              <w:t>CAPM</w:t>
            </w:r>
          </w:p>
        </w:tc>
        <w:tc>
          <w:tcPr>
            <w:tcW w:w="3605" w:type="dxa"/>
          </w:tcPr>
          <w:p>
            <w:pPr>
              <w:pStyle w:val="TableParagraph"/>
              <w:spacing w:line="220" w:lineRule="exact" w:before="19"/>
              <w:ind w:left="116"/>
              <w:jc w:val="left"/>
              <w:rPr>
                <w:sz w:val="19"/>
              </w:rPr>
            </w:pPr>
            <w:r>
              <w:rPr>
                <w:color w:val="231F20"/>
                <w:sz w:val="19"/>
              </w:rPr>
              <w:t>capital</w:t>
            </w:r>
            <w:r>
              <w:rPr>
                <w:color w:val="231F20"/>
                <w:spacing w:val="-1"/>
                <w:sz w:val="19"/>
              </w:rPr>
              <w:t> </w:t>
            </w:r>
            <w:r>
              <w:rPr>
                <w:color w:val="231F20"/>
                <w:sz w:val="19"/>
              </w:rPr>
              <w:t>asset pricing </w:t>
            </w:r>
            <w:r>
              <w:rPr>
                <w:color w:val="231F20"/>
                <w:spacing w:val="-2"/>
                <w:sz w:val="19"/>
              </w:rPr>
              <w:t>model</w:t>
            </w:r>
          </w:p>
        </w:tc>
        <w:tc>
          <w:tcPr>
            <w:tcW w:w="908" w:type="dxa"/>
          </w:tcPr>
          <w:p>
            <w:pPr>
              <w:pStyle w:val="TableParagraph"/>
              <w:spacing w:line="220" w:lineRule="exact" w:before="19"/>
              <w:ind w:left="77"/>
              <w:rPr>
                <w:sz w:val="19"/>
              </w:rPr>
            </w:pPr>
            <w:r>
              <w:rPr>
                <w:color w:val="231F20"/>
                <w:w w:val="103"/>
                <w:sz w:val="19"/>
              </w:rPr>
              <w:t>F</w:t>
            </w:r>
          </w:p>
        </w:tc>
        <w:tc>
          <w:tcPr>
            <w:tcW w:w="551" w:type="dxa"/>
          </w:tcPr>
          <w:p>
            <w:pPr>
              <w:pStyle w:val="TableParagraph"/>
              <w:spacing w:line="220" w:lineRule="exact" w:before="19"/>
              <w:ind w:right="74"/>
              <w:jc w:val="right"/>
              <w:rPr>
                <w:sz w:val="19"/>
              </w:rPr>
            </w:pPr>
            <w:r>
              <w:rPr>
                <w:color w:val="231F20"/>
                <w:spacing w:val="-5"/>
                <w:sz w:val="19"/>
              </w:rPr>
              <w:t>207</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10"/>
                <w:sz w:val="19"/>
              </w:rPr>
              <w:t>CDF</w:t>
            </w:r>
          </w:p>
        </w:tc>
        <w:tc>
          <w:tcPr>
            <w:tcW w:w="3605" w:type="dxa"/>
          </w:tcPr>
          <w:p>
            <w:pPr>
              <w:pStyle w:val="TableParagraph"/>
              <w:spacing w:line="220" w:lineRule="exact" w:before="19"/>
              <w:ind w:left="116"/>
              <w:jc w:val="left"/>
              <w:rPr>
                <w:sz w:val="19"/>
              </w:rPr>
            </w:pPr>
            <w:r>
              <w:rPr>
                <w:color w:val="231F20"/>
                <w:sz w:val="19"/>
              </w:rPr>
              <w:t>cumulative distribution</w:t>
            </w:r>
            <w:r>
              <w:rPr>
                <w:color w:val="231F20"/>
                <w:spacing w:val="1"/>
                <w:sz w:val="19"/>
              </w:rPr>
              <w:t> </w:t>
            </w:r>
            <w:r>
              <w:rPr>
                <w:color w:val="231F20"/>
                <w:spacing w:val="-2"/>
                <w:sz w:val="19"/>
              </w:rPr>
              <w:t>function</w:t>
            </w:r>
          </w:p>
        </w:tc>
        <w:tc>
          <w:tcPr>
            <w:tcW w:w="908" w:type="dxa"/>
          </w:tcPr>
          <w:p>
            <w:pPr>
              <w:pStyle w:val="TableParagraph"/>
              <w:spacing w:line="220" w:lineRule="exact" w:before="19"/>
              <w:ind w:left="77"/>
              <w:rPr>
                <w:sz w:val="19"/>
              </w:rPr>
            </w:pPr>
            <w:r>
              <w:rPr>
                <w:color w:val="231F20"/>
                <w:w w:val="127"/>
                <w:sz w:val="19"/>
              </w:rPr>
              <w:t>Q</w:t>
            </w:r>
          </w:p>
        </w:tc>
        <w:tc>
          <w:tcPr>
            <w:tcW w:w="551" w:type="dxa"/>
          </w:tcPr>
          <w:p>
            <w:pPr>
              <w:pStyle w:val="TableParagraph"/>
              <w:spacing w:line="220" w:lineRule="exact" w:before="19"/>
              <w:ind w:right="74"/>
              <w:jc w:val="right"/>
              <w:rPr>
                <w:sz w:val="19"/>
              </w:rPr>
            </w:pPr>
            <w:r>
              <w:rPr>
                <w:color w:val="231F20"/>
                <w:spacing w:val="-5"/>
                <w:sz w:val="19"/>
              </w:rPr>
              <w:t>185</w:t>
            </w:r>
          </w:p>
        </w:tc>
      </w:tr>
      <w:tr>
        <w:trPr>
          <w:trHeight w:val="259" w:hRule="atLeast"/>
        </w:trPr>
        <w:tc>
          <w:tcPr>
            <w:tcW w:w="1243" w:type="dxa"/>
          </w:tcPr>
          <w:p>
            <w:pPr>
              <w:pStyle w:val="TableParagraph"/>
              <w:spacing w:line="220" w:lineRule="exact" w:before="19"/>
              <w:ind w:left="50"/>
              <w:jc w:val="left"/>
              <w:rPr>
                <w:b/>
                <w:sz w:val="19"/>
              </w:rPr>
            </w:pPr>
            <w:r>
              <w:rPr>
                <w:b/>
                <w:color w:val="231F20"/>
                <w:spacing w:val="-4"/>
                <w:w w:val="115"/>
                <w:sz w:val="19"/>
              </w:rPr>
              <w:t>COGS</w:t>
            </w:r>
          </w:p>
        </w:tc>
        <w:tc>
          <w:tcPr>
            <w:tcW w:w="3605" w:type="dxa"/>
          </w:tcPr>
          <w:p>
            <w:pPr>
              <w:pStyle w:val="TableParagraph"/>
              <w:spacing w:line="220" w:lineRule="exact" w:before="19"/>
              <w:ind w:left="116"/>
              <w:jc w:val="left"/>
              <w:rPr>
                <w:sz w:val="19"/>
              </w:rPr>
            </w:pPr>
            <w:r>
              <w:rPr>
                <w:color w:val="231F20"/>
                <w:sz w:val="19"/>
              </w:rPr>
              <w:t>cost</w:t>
            </w:r>
            <w:r>
              <w:rPr>
                <w:color w:val="231F20"/>
                <w:spacing w:val="10"/>
                <w:sz w:val="19"/>
              </w:rPr>
              <w:t> </w:t>
            </w:r>
            <w:r>
              <w:rPr>
                <w:color w:val="231F20"/>
                <w:sz w:val="19"/>
              </w:rPr>
              <w:t>of</w:t>
            </w:r>
            <w:r>
              <w:rPr>
                <w:color w:val="231F20"/>
                <w:spacing w:val="11"/>
                <w:sz w:val="19"/>
              </w:rPr>
              <w:t> </w:t>
            </w:r>
            <w:r>
              <w:rPr>
                <w:color w:val="231F20"/>
                <w:sz w:val="19"/>
              </w:rPr>
              <w:t>goods</w:t>
            </w:r>
            <w:r>
              <w:rPr>
                <w:color w:val="231F20"/>
                <w:spacing w:val="11"/>
                <w:sz w:val="19"/>
              </w:rPr>
              <w:t> </w:t>
            </w:r>
            <w:r>
              <w:rPr>
                <w:color w:val="231F20"/>
                <w:spacing w:val="-4"/>
                <w:sz w:val="19"/>
              </w:rPr>
              <w:t>sold</w:t>
            </w:r>
          </w:p>
        </w:tc>
        <w:tc>
          <w:tcPr>
            <w:tcW w:w="908" w:type="dxa"/>
          </w:tcPr>
          <w:p>
            <w:pPr>
              <w:pStyle w:val="TableParagraph"/>
              <w:spacing w:line="220" w:lineRule="exact" w:before="19"/>
              <w:ind w:left="76"/>
              <w:rPr>
                <w:sz w:val="19"/>
              </w:rPr>
            </w:pPr>
            <w:r>
              <w:rPr>
                <w:color w:val="231F20"/>
                <w:w w:val="115"/>
                <w:sz w:val="19"/>
              </w:rPr>
              <w:t>A</w:t>
            </w:r>
          </w:p>
        </w:tc>
        <w:tc>
          <w:tcPr>
            <w:tcW w:w="551" w:type="dxa"/>
          </w:tcPr>
          <w:p>
            <w:pPr>
              <w:pStyle w:val="TableParagraph"/>
              <w:spacing w:line="220" w:lineRule="exact" w:before="19"/>
              <w:ind w:right="74"/>
              <w:jc w:val="right"/>
              <w:rPr>
                <w:sz w:val="19"/>
              </w:rPr>
            </w:pPr>
            <w:r>
              <w:rPr>
                <w:color w:val="231F20"/>
                <w:spacing w:val="-5"/>
                <w:sz w:val="19"/>
              </w:rPr>
              <w:t>90</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10"/>
                <w:sz w:val="19"/>
              </w:rPr>
              <w:t>CPM</w:t>
            </w:r>
          </w:p>
        </w:tc>
        <w:tc>
          <w:tcPr>
            <w:tcW w:w="3605" w:type="dxa"/>
          </w:tcPr>
          <w:p>
            <w:pPr>
              <w:pStyle w:val="TableParagraph"/>
              <w:spacing w:line="220" w:lineRule="exact" w:before="19"/>
              <w:ind w:left="116"/>
              <w:jc w:val="left"/>
              <w:rPr>
                <w:sz w:val="19"/>
              </w:rPr>
            </w:pPr>
            <w:r>
              <w:rPr>
                <w:color w:val="231F20"/>
                <w:sz w:val="19"/>
              </w:rPr>
              <w:t>critical</w:t>
            </w:r>
            <w:r>
              <w:rPr>
                <w:color w:val="231F20"/>
                <w:spacing w:val="9"/>
                <w:sz w:val="19"/>
              </w:rPr>
              <w:t> </w:t>
            </w:r>
            <w:r>
              <w:rPr>
                <w:color w:val="231F20"/>
                <w:sz w:val="19"/>
              </w:rPr>
              <w:t>path</w:t>
            </w:r>
            <w:r>
              <w:rPr>
                <w:color w:val="231F20"/>
                <w:spacing w:val="9"/>
                <w:sz w:val="19"/>
              </w:rPr>
              <w:t> </w:t>
            </w:r>
            <w:r>
              <w:rPr>
                <w:color w:val="231F20"/>
                <w:sz w:val="19"/>
              </w:rPr>
              <w:t>method</w:t>
            </w:r>
            <w:r>
              <w:rPr>
                <w:color w:val="231F20"/>
                <w:spacing w:val="10"/>
                <w:sz w:val="19"/>
              </w:rPr>
              <w:t> </w:t>
            </w:r>
            <w:r>
              <w:rPr>
                <w:color w:val="231F20"/>
                <w:sz w:val="19"/>
              </w:rPr>
              <w:t>of</w:t>
            </w:r>
            <w:r>
              <w:rPr>
                <w:color w:val="231F20"/>
                <w:spacing w:val="9"/>
                <w:sz w:val="19"/>
              </w:rPr>
              <w:t> </w:t>
            </w:r>
            <w:r>
              <w:rPr>
                <w:color w:val="231F20"/>
                <w:spacing w:val="-2"/>
                <w:sz w:val="19"/>
              </w:rPr>
              <w:t>scheduling</w:t>
            </w:r>
          </w:p>
        </w:tc>
        <w:tc>
          <w:tcPr>
            <w:tcW w:w="908" w:type="dxa"/>
          </w:tcPr>
          <w:p>
            <w:pPr>
              <w:pStyle w:val="TableParagraph"/>
              <w:spacing w:line="220" w:lineRule="exact" w:before="19"/>
              <w:ind w:left="159" w:right="82"/>
              <w:rPr>
                <w:sz w:val="19"/>
              </w:rPr>
            </w:pPr>
            <w:r>
              <w:rPr>
                <w:color w:val="231F20"/>
                <w:spacing w:val="-5"/>
                <w:w w:val="115"/>
                <w:sz w:val="19"/>
              </w:rPr>
              <w:t>OP</w:t>
            </w:r>
          </w:p>
        </w:tc>
        <w:tc>
          <w:tcPr>
            <w:tcW w:w="551" w:type="dxa"/>
          </w:tcPr>
          <w:p>
            <w:pPr>
              <w:pStyle w:val="TableParagraph"/>
              <w:spacing w:line="220" w:lineRule="exact" w:before="19"/>
              <w:ind w:right="74"/>
              <w:jc w:val="right"/>
              <w:rPr>
                <w:sz w:val="19"/>
              </w:rPr>
            </w:pPr>
            <w:r>
              <w:rPr>
                <w:color w:val="231F20"/>
                <w:spacing w:val="-5"/>
                <w:sz w:val="19"/>
              </w:rPr>
              <w:t>264</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10"/>
                <w:sz w:val="19"/>
              </w:rPr>
              <w:t>CPM</w:t>
            </w:r>
          </w:p>
        </w:tc>
        <w:tc>
          <w:tcPr>
            <w:tcW w:w="3605" w:type="dxa"/>
          </w:tcPr>
          <w:p>
            <w:pPr>
              <w:pStyle w:val="TableParagraph"/>
              <w:spacing w:line="220" w:lineRule="exact" w:before="19"/>
              <w:ind w:left="116"/>
              <w:jc w:val="left"/>
              <w:rPr>
                <w:sz w:val="19"/>
              </w:rPr>
            </w:pPr>
            <w:r>
              <w:rPr>
                <w:color w:val="231F20"/>
                <w:sz w:val="19"/>
              </w:rPr>
              <w:t>cost</w:t>
            </w:r>
            <w:r>
              <w:rPr>
                <w:color w:val="231F20"/>
                <w:spacing w:val="-1"/>
                <w:sz w:val="19"/>
              </w:rPr>
              <w:t> </w:t>
            </w:r>
            <w:r>
              <w:rPr>
                <w:color w:val="231F20"/>
                <w:sz w:val="19"/>
              </w:rPr>
              <w:t>per </w:t>
            </w:r>
            <w:r>
              <w:rPr>
                <w:color w:val="231F20"/>
                <w:spacing w:val="-2"/>
                <w:sz w:val="19"/>
              </w:rPr>
              <w:t>thousand</w:t>
            </w:r>
          </w:p>
        </w:tc>
        <w:tc>
          <w:tcPr>
            <w:tcW w:w="908" w:type="dxa"/>
          </w:tcPr>
          <w:p>
            <w:pPr>
              <w:pStyle w:val="TableParagraph"/>
              <w:spacing w:line="220" w:lineRule="exact" w:before="19"/>
              <w:ind w:left="76"/>
              <w:rPr>
                <w:sz w:val="19"/>
              </w:rPr>
            </w:pPr>
            <w:r>
              <w:rPr>
                <w:color w:val="231F20"/>
                <w:w w:val="122"/>
                <w:sz w:val="19"/>
              </w:rPr>
              <w:t>M</w:t>
            </w:r>
          </w:p>
        </w:tc>
        <w:tc>
          <w:tcPr>
            <w:tcW w:w="551" w:type="dxa"/>
          </w:tcPr>
          <w:p>
            <w:pPr>
              <w:pStyle w:val="TableParagraph"/>
              <w:spacing w:line="220" w:lineRule="exact" w:before="19"/>
              <w:ind w:right="74"/>
              <w:jc w:val="right"/>
              <w:rPr>
                <w:sz w:val="19"/>
              </w:rPr>
            </w:pPr>
            <w:r>
              <w:rPr>
                <w:color w:val="231F20"/>
                <w:spacing w:val="-5"/>
                <w:sz w:val="19"/>
              </w:rPr>
              <w:t>40</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15"/>
                <w:sz w:val="19"/>
              </w:rPr>
              <w:t>CRM</w:t>
            </w:r>
          </w:p>
        </w:tc>
        <w:tc>
          <w:tcPr>
            <w:tcW w:w="3605" w:type="dxa"/>
          </w:tcPr>
          <w:p>
            <w:pPr>
              <w:pStyle w:val="TableParagraph"/>
              <w:spacing w:line="220" w:lineRule="exact" w:before="19"/>
              <w:ind w:left="116"/>
              <w:jc w:val="left"/>
              <w:rPr>
                <w:sz w:val="19"/>
              </w:rPr>
            </w:pPr>
            <w:r>
              <w:rPr>
                <w:color w:val="231F20"/>
                <w:w w:val="95"/>
                <w:sz w:val="19"/>
              </w:rPr>
              <w:t>customer</w:t>
            </w:r>
            <w:r>
              <w:rPr>
                <w:color w:val="231F20"/>
                <w:spacing w:val="32"/>
                <w:sz w:val="19"/>
              </w:rPr>
              <w:t> </w:t>
            </w:r>
            <w:r>
              <w:rPr>
                <w:color w:val="231F20"/>
                <w:w w:val="95"/>
                <w:sz w:val="19"/>
              </w:rPr>
              <w:t>relationship</w:t>
            </w:r>
            <w:r>
              <w:rPr>
                <w:color w:val="231F20"/>
                <w:spacing w:val="32"/>
                <w:sz w:val="19"/>
              </w:rPr>
              <w:t> </w:t>
            </w:r>
            <w:r>
              <w:rPr>
                <w:color w:val="231F20"/>
                <w:spacing w:val="-2"/>
                <w:w w:val="95"/>
                <w:sz w:val="19"/>
              </w:rPr>
              <w:t>management</w:t>
            </w:r>
          </w:p>
        </w:tc>
        <w:tc>
          <w:tcPr>
            <w:tcW w:w="908" w:type="dxa"/>
          </w:tcPr>
          <w:p>
            <w:pPr>
              <w:pStyle w:val="TableParagraph"/>
              <w:spacing w:line="220" w:lineRule="exact" w:before="19"/>
              <w:ind w:left="159" w:right="82"/>
              <w:rPr>
                <w:sz w:val="19"/>
              </w:rPr>
            </w:pPr>
            <w:r>
              <w:rPr>
                <w:color w:val="231F20"/>
                <w:spacing w:val="-5"/>
                <w:w w:val="115"/>
                <w:sz w:val="19"/>
              </w:rPr>
              <w:t>OP</w:t>
            </w:r>
          </w:p>
        </w:tc>
        <w:tc>
          <w:tcPr>
            <w:tcW w:w="551" w:type="dxa"/>
          </w:tcPr>
          <w:p>
            <w:pPr>
              <w:pStyle w:val="TableParagraph"/>
              <w:spacing w:line="220" w:lineRule="exact" w:before="19"/>
              <w:ind w:right="74"/>
              <w:jc w:val="right"/>
              <w:rPr>
                <w:sz w:val="19"/>
              </w:rPr>
            </w:pPr>
            <w:r>
              <w:rPr>
                <w:color w:val="231F20"/>
                <w:spacing w:val="-5"/>
                <w:sz w:val="19"/>
              </w:rPr>
              <w:t>282</w:t>
            </w:r>
          </w:p>
        </w:tc>
      </w:tr>
      <w:tr>
        <w:trPr>
          <w:trHeight w:val="259" w:hRule="atLeast"/>
        </w:trPr>
        <w:tc>
          <w:tcPr>
            <w:tcW w:w="1243" w:type="dxa"/>
          </w:tcPr>
          <w:p>
            <w:pPr>
              <w:pStyle w:val="TableParagraph"/>
              <w:spacing w:line="220" w:lineRule="exact" w:before="19"/>
              <w:ind w:left="50"/>
              <w:jc w:val="left"/>
              <w:rPr>
                <w:b/>
                <w:sz w:val="19"/>
              </w:rPr>
            </w:pPr>
            <w:r>
              <w:rPr>
                <w:b/>
                <w:color w:val="231F20"/>
                <w:spacing w:val="-4"/>
                <w:w w:val="105"/>
                <w:sz w:val="19"/>
              </w:rPr>
              <w:t>EBIT</w:t>
            </w:r>
          </w:p>
        </w:tc>
        <w:tc>
          <w:tcPr>
            <w:tcW w:w="3605" w:type="dxa"/>
          </w:tcPr>
          <w:p>
            <w:pPr>
              <w:pStyle w:val="TableParagraph"/>
              <w:spacing w:line="220" w:lineRule="exact" w:before="19"/>
              <w:ind w:left="116"/>
              <w:jc w:val="left"/>
              <w:rPr>
                <w:sz w:val="19"/>
              </w:rPr>
            </w:pPr>
            <w:r>
              <w:rPr>
                <w:color w:val="231F20"/>
                <w:sz w:val="19"/>
              </w:rPr>
              <w:t>earnings</w:t>
            </w:r>
            <w:r>
              <w:rPr>
                <w:color w:val="231F20"/>
                <w:spacing w:val="-6"/>
                <w:sz w:val="19"/>
              </w:rPr>
              <w:t> </w:t>
            </w:r>
            <w:r>
              <w:rPr>
                <w:color w:val="231F20"/>
                <w:sz w:val="19"/>
              </w:rPr>
              <w:t>before</w:t>
            </w:r>
            <w:r>
              <w:rPr>
                <w:color w:val="231F20"/>
                <w:spacing w:val="-6"/>
                <w:sz w:val="19"/>
              </w:rPr>
              <w:t> </w:t>
            </w:r>
            <w:r>
              <w:rPr>
                <w:color w:val="231F20"/>
                <w:sz w:val="19"/>
              </w:rPr>
              <w:t>interest</w:t>
            </w:r>
            <w:r>
              <w:rPr>
                <w:color w:val="231F20"/>
                <w:spacing w:val="-6"/>
                <w:sz w:val="19"/>
              </w:rPr>
              <w:t> </w:t>
            </w:r>
            <w:r>
              <w:rPr>
                <w:color w:val="231F20"/>
                <w:sz w:val="19"/>
              </w:rPr>
              <w:t>and</w:t>
            </w:r>
            <w:r>
              <w:rPr>
                <w:color w:val="231F20"/>
                <w:spacing w:val="-6"/>
                <w:sz w:val="19"/>
              </w:rPr>
              <w:t> </w:t>
            </w:r>
            <w:r>
              <w:rPr>
                <w:color w:val="231F20"/>
                <w:spacing w:val="-2"/>
                <w:sz w:val="19"/>
              </w:rPr>
              <w:t>taxes</w:t>
            </w:r>
          </w:p>
        </w:tc>
        <w:tc>
          <w:tcPr>
            <w:tcW w:w="908" w:type="dxa"/>
          </w:tcPr>
          <w:p>
            <w:pPr>
              <w:pStyle w:val="TableParagraph"/>
              <w:spacing w:line="220" w:lineRule="exact" w:before="19"/>
              <w:ind w:left="77"/>
              <w:rPr>
                <w:sz w:val="19"/>
              </w:rPr>
            </w:pPr>
            <w:r>
              <w:rPr>
                <w:color w:val="231F20"/>
                <w:w w:val="103"/>
                <w:sz w:val="19"/>
              </w:rPr>
              <w:t>F</w:t>
            </w:r>
          </w:p>
        </w:tc>
        <w:tc>
          <w:tcPr>
            <w:tcW w:w="551" w:type="dxa"/>
          </w:tcPr>
          <w:p>
            <w:pPr>
              <w:pStyle w:val="TableParagraph"/>
              <w:spacing w:line="220" w:lineRule="exact" w:before="19"/>
              <w:ind w:right="74"/>
              <w:jc w:val="right"/>
              <w:rPr>
                <w:sz w:val="19"/>
              </w:rPr>
            </w:pPr>
            <w:r>
              <w:rPr>
                <w:color w:val="231F20"/>
                <w:spacing w:val="-5"/>
                <w:sz w:val="19"/>
              </w:rPr>
              <w:t>246</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15"/>
                <w:sz w:val="19"/>
              </w:rPr>
              <w:t>EMV</w:t>
            </w:r>
          </w:p>
        </w:tc>
        <w:tc>
          <w:tcPr>
            <w:tcW w:w="3605" w:type="dxa"/>
          </w:tcPr>
          <w:p>
            <w:pPr>
              <w:pStyle w:val="TableParagraph"/>
              <w:spacing w:line="220" w:lineRule="exact" w:before="19"/>
              <w:ind w:left="116"/>
              <w:jc w:val="left"/>
              <w:rPr>
                <w:sz w:val="19"/>
              </w:rPr>
            </w:pPr>
            <w:r>
              <w:rPr>
                <w:color w:val="231F20"/>
                <w:sz w:val="19"/>
              </w:rPr>
              <w:t>expected</w:t>
            </w:r>
            <w:r>
              <w:rPr>
                <w:color w:val="231F20"/>
                <w:spacing w:val="-6"/>
                <w:sz w:val="19"/>
              </w:rPr>
              <w:t> </w:t>
            </w:r>
            <w:r>
              <w:rPr>
                <w:color w:val="231F20"/>
                <w:sz w:val="19"/>
              </w:rPr>
              <w:t>monetary</w:t>
            </w:r>
            <w:r>
              <w:rPr>
                <w:color w:val="231F20"/>
                <w:spacing w:val="-5"/>
                <w:sz w:val="19"/>
              </w:rPr>
              <w:t> </w:t>
            </w:r>
            <w:r>
              <w:rPr>
                <w:color w:val="231F20"/>
                <w:spacing w:val="-2"/>
                <w:sz w:val="19"/>
              </w:rPr>
              <w:t>value</w:t>
            </w:r>
          </w:p>
        </w:tc>
        <w:tc>
          <w:tcPr>
            <w:tcW w:w="908" w:type="dxa"/>
          </w:tcPr>
          <w:p>
            <w:pPr>
              <w:pStyle w:val="TableParagraph"/>
              <w:spacing w:line="220" w:lineRule="exact" w:before="19"/>
              <w:ind w:left="77"/>
              <w:rPr>
                <w:sz w:val="19"/>
              </w:rPr>
            </w:pPr>
            <w:r>
              <w:rPr>
                <w:color w:val="231F20"/>
                <w:w w:val="127"/>
                <w:sz w:val="19"/>
              </w:rPr>
              <w:t>Q</w:t>
            </w:r>
          </w:p>
        </w:tc>
        <w:tc>
          <w:tcPr>
            <w:tcW w:w="551" w:type="dxa"/>
          </w:tcPr>
          <w:p>
            <w:pPr>
              <w:pStyle w:val="TableParagraph"/>
              <w:spacing w:line="220" w:lineRule="exact" w:before="19"/>
              <w:ind w:right="74"/>
              <w:jc w:val="right"/>
              <w:rPr>
                <w:sz w:val="19"/>
              </w:rPr>
            </w:pPr>
            <w:r>
              <w:rPr>
                <w:color w:val="231F20"/>
                <w:spacing w:val="-5"/>
                <w:sz w:val="19"/>
              </w:rPr>
              <w:t>165</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15"/>
                <w:sz w:val="19"/>
              </w:rPr>
              <w:t>EOQ</w:t>
            </w:r>
          </w:p>
        </w:tc>
        <w:tc>
          <w:tcPr>
            <w:tcW w:w="3605" w:type="dxa"/>
          </w:tcPr>
          <w:p>
            <w:pPr>
              <w:pStyle w:val="TableParagraph"/>
              <w:spacing w:line="220" w:lineRule="exact" w:before="19"/>
              <w:ind w:left="116"/>
              <w:jc w:val="left"/>
              <w:rPr>
                <w:sz w:val="19"/>
              </w:rPr>
            </w:pPr>
            <w:r>
              <w:rPr>
                <w:color w:val="231F20"/>
                <w:sz w:val="19"/>
              </w:rPr>
              <w:t>economic</w:t>
            </w:r>
            <w:r>
              <w:rPr>
                <w:color w:val="231F20"/>
                <w:spacing w:val="3"/>
                <w:sz w:val="19"/>
              </w:rPr>
              <w:t> </w:t>
            </w:r>
            <w:r>
              <w:rPr>
                <w:color w:val="231F20"/>
                <w:sz w:val="19"/>
              </w:rPr>
              <w:t>order</w:t>
            </w:r>
            <w:r>
              <w:rPr>
                <w:color w:val="231F20"/>
                <w:spacing w:val="3"/>
                <w:sz w:val="19"/>
              </w:rPr>
              <w:t> </w:t>
            </w:r>
            <w:r>
              <w:rPr>
                <w:color w:val="231F20"/>
                <w:spacing w:val="-2"/>
                <w:sz w:val="19"/>
              </w:rPr>
              <w:t>quantity</w:t>
            </w:r>
          </w:p>
        </w:tc>
        <w:tc>
          <w:tcPr>
            <w:tcW w:w="908" w:type="dxa"/>
          </w:tcPr>
          <w:p>
            <w:pPr>
              <w:pStyle w:val="TableParagraph"/>
              <w:spacing w:line="220" w:lineRule="exact" w:before="19"/>
              <w:ind w:left="159" w:right="82"/>
              <w:rPr>
                <w:sz w:val="19"/>
              </w:rPr>
            </w:pPr>
            <w:r>
              <w:rPr>
                <w:color w:val="231F20"/>
                <w:spacing w:val="-5"/>
                <w:w w:val="115"/>
                <w:sz w:val="19"/>
              </w:rPr>
              <w:t>OP</w:t>
            </w:r>
          </w:p>
        </w:tc>
        <w:tc>
          <w:tcPr>
            <w:tcW w:w="551" w:type="dxa"/>
          </w:tcPr>
          <w:p>
            <w:pPr>
              <w:pStyle w:val="TableParagraph"/>
              <w:spacing w:line="220" w:lineRule="exact" w:before="19"/>
              <w:ind w:right="74"/>
              <w:jc w:val="right"/>
              <w:rPr>
                <w:sz w:val="19"/>
              </w:rPr>
            </w:pPr>
            <w:r>
              <w:rPr>
                <w:color w:val="231F20"/>
                <w:spacing w:val="-5"/>
                <w:sz w:val="19"/>
              </w:rPr>
              <w:t>271</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10"/>
                <w:sz w:val="19"/>
              </w:rPr>
              <w:t>EVA</w:t>
            </w:r>
          </w:p>
        </w:tc>
        <w:tc>
          <w:tcPr>
            <w:tcW w:w="3605" w:type="dxa"/>
          </w:tcPr>
          <w:p>
            <w:pPr>
              <w:pStyle w:val="TableParagraph"/>
              <w:spacing w:line="220" w:lineRule="exact" w:before="19"/>
              <w:ind w:left="116"/>
              <w:jc w:val="left"/>
              <w:rPr>
                <w:sz w:val="19"/>
              </w:rPr>
            </w:pPr>
            <w:r>
              <w:rPr>
                <w:color w:val="231F20"/>
                <w:sz w:val="19"/>
              </w:rPr>
              <w:t>economic</w:t>
            </w:r>
            <w:r>
              <w:rPr>
                <w:color w:val="231F20"/>
                <w:spacing w:val="5"/>
                <w:sz w:val="19"/>
              </w:rPr>
              <w:t> </w:t>
            </w:r>
            <w:r>
              <w:rPr>
                <w:color w:val="231F20"/>
                <w:sz w:val="19"/>
              </w:rPr>
              <w:t>value</w:t>
            </w:r>
            <w:r>
              <w:rPr>
                <w:color w:val="231F20"/>
                <w:spacing w:val="6"/>
                <w:sz w:val="19"/>
              </w:rPr>
              <w:t> </w:t>
            </w:r>
            <w:r>
              <w:rPr>
                <w:color w:val="231F20"/>
                <w:spacing w:val="-2"/>
                <w:sz w:val="19"/>
              </w:rPr>
              <w:t>added</w:t>
            </w:r>
          </w:p>
        </w:tc>
        <w:tc>
          <w:tcPr>
            <w:tcW w:w="908" w:type="dxa"/>
          </w:tcPr>
          <w:p>
            <w:pPr>
              <w:pStyle w:val="TableParagraph"/>
              <w:spacing w:line="220" w:lineRule="exact" w:before="19"/>
              <w:ind w:left="76"/>
              <w:rPr>
                <w:sz w:val="19"/>
              </w:rPr>
            </w:pPr>
            <w:r>
              <w:rPr>
                <w:color w:val="231F20"/>
                <w:w w:val="100"/>
                <w:sz w:val="19"/>
              </w:rPr>
              <w:t>S</w:t>
            </w:r>
          </w:p>
        </w:tc>
        <w:tc>
          <w:tcPr>
            <w:tcW w:w="551" w:type="dxa"/>
          </w:tcPr>
          <w:p>
            <w:pPr>
              <w:pStyle w:val="TableParagraph"/>
              <w:spacing w:line="220" w:lineRule="exact" w:before="19"/>
              <w:ind w:right="74"/>
              <w:jc w:val="right"/>
              <w:rPr>
                <w:sz w:val="19"/>
              </w:rPr>
            </w:pPr>
            <w:r>
              <w:rPr>
                <w:color w:val="231F20"/>
                <w:spacing w:val="-5"/>
                <w:sz w:val="19"/>
              </w:rPr>
              <w:t>356</w:t>
            </w:r>
          </w:p>
        </w:tc>
      </w:tr>
      <w:tr>
        <w:trPr>
          <w:trHeight w:val="259" w:hRule="atLeast"/>
        </w:trPr>
        <w:tc>
          <w:tcPr>
            <w:tcW w:w="1243" w:type="dxa"/>
          </w:tcPr>
          <w:p>
            <w:pPr>
              <w:pStyle w:val="TableParagraph"/>
              <w:spacing w:line="220" w:lineRule="exact" w:before="19"/>
              <w:ind w:left="50"/>
              <w:jc w:val="left"/>
              <w:rPr>
                <w:b/>
                <w:sz w:val="19"/>
              </w:rPr>
            </w:pPr>
            <w:r>
              <w:rPr>
                <w:b/>
                <w:color w:val="231F20"/>
                <w:spacing w:val="-4"/>
                <w:sz w:val="19"/>
              </w:rPr>
              <w:t>FASB</w:t>
            </w:r>
          </w:p>
        </w:tc>
        <w:tc>
          <w:tcPr>
            <w:tcW w:w="3605" w:type="dxa"/>
          </w:tcPr>
          <w:p>
            <w:pPr>
              <w:pStyle w:val="TableParagraph"/>
              <w:spacing w:line="220" w:lineRule="exact" w:before="19"/>
              <w:ind w:left="116"/>
              <w:jc w:val="left"/>
              <w:rPr>
                <w:sz w:val="19"/>
              </w:rPr>
            </w:pPr>
            <w:r>
              <w:rPr>
                <w:color w:val="231F20"/>
                <w:sz w:val="19"/>
              </w:rPr>
              <w:t>Financial</w:t>
            </w:r>
            <w:r>
              <w:rPr>
                <w:color w:val="231F20"/>
                <w:spacing w:val="15"/>
                <w:sz w:val="19"/>
              </w:rPr>
              <w:t> </w:t>
            </w:r>
            <w:r>
              <w:rPr>
                <w:color w:val="231F20"/>
                <w:sz w:val="19"/>
              </w:rPr>
              <w:t>Accounting</w:t>
            </w:r>
            <w:r>
              <w:rPr>
                <w:color w:val="231F20"/>
                <w:spacing w:val="16"/>
                <w:sz w:val="19"/>
              </w:rPr>
              <w:t> </w:t>
            </w:r>
            <w:r>
              <w:rPr>
                <w:color w:val="231F20"/>
                <w:sz w:val="19"/>
              </w:rPr>
              <w:t>Standards</w:t>
            </w:r>
            <w:r>
              <w:rPr>
                <w:color w:val="231F20"/>
                <w:spacing w:val="16"/>
                <w:sz w:val="19"/>
              </w:rPr>
              <w:t> </w:t>
            </w:r>
            <w:r>
              <w:rPr>
                <w:color w:val="231F20"/>
                <w:spacing w:val="-2"/>
                <w:sz w:val="19"/>
              </w:rPr>
              <w:t>Board</w:t>
            </w:r>
          </w:p>
        </w:tc>
        <w:tc>
          <w:tcPr>
            <w:tcW w:w="908" w:type="dxa"/>
          </w:tcPr>
          <w:p>
            <w:pPr>
              <w:pStyle w:val="TableParagraph"/>
              <w:spacing w:line="220" w:lineRule="exact" w:before="19"/>
              <w:ind w:left="77"/>
              <w:rPr>
                <w:sz w:val="19"/>
              </w:rPr>
            </w:pPr>
            <w:r>
              <w:rPr>
                <w:color w:val="231F20"/>
                <w:w w:val="115"/>
                <w:sz w:val="19"/>
              </w:rPr>
              <w:t>A</w:t>
            </w:r>
          </w:p>
        </w:tc>
        <w:tc>
          <w:tcPr>
            <w:tcW w:w="551" w:type="dxa"/>
          </w:tcPr>
          <w:p>
            <w:pPr>
              <w:pStyle w:val="TableParagraph"/>
              <w:spacing w:line="220" w:lineRule="exact" w:before="19"/>
              <w:ind w:right="74"/>
              <w:jc w:val="right"/>
              <w:rPr>
                <w:sz w:val="19"/>
              </w:rPr>
            </w:pPr>
            <w:r>
              <w:rPr>
                <w:color w:val="231F20"/>
                <w:spacing w:val="-5"/>
                <w:sz w:val="19"/>
              </w:rPr>
              <w:t>73</w:t>
            </w:r>
          </w:p>
        </w:tc>
      </w:tr>
      <w:tr>
        <w:trPr>
          <w:trHeight w:val="259" w:hRule="atLeast"/>
        </w:trPr>
        <w:tc>
          <w:tcPr>
            <w:tcW w:w="1243" w:type="dxa"/>
          </w:tcPr>
          <w:p>
            <w:pPr>
              <w:pStyle w:val="TableParagraph"/>
              <w:spacing w:line="220" w:lineRule="exact" w:before="19"/>
              <w:ind w:left="50"/>
              <w:jc w:val="left"/>
              <w:rPr>
                <w:b/>
                <w:sz w:val="19"/>
              </w:rPr>
            </w:pPr>
            <w:r>
              <w:rPr>
                <w:b/>
                <w:color w:val="231F20"/>
                <w:spacing w:val="-4"/>
                <w:w w:val="105"/>
                <w:sz w:val="19"/>
              </w:rPr>
              <w:t>FIFO</w:t>
            </w:r>
          </w:p>
        </w:tc>
        <w:tc>
          <w:tcPr>
            <w:tcW w:w="3605" w:type="dxa"/>
          </w:tcPr>
          <w:p>
            <w:pPr>
              <w:pStyle w:val="TableParagraph"/>
              <w:spacing w:line="220" w:lineRule="exact" w:before="19"/>
              <w:ind w:left="116"/>
              <w:jc w:val="left"/>
              <w:rPr>
                <w:sz w:val="19"/>
              </w:rPr>
            </w:pPr>
            <w:r>
              <w:rPr>
                <w:color w:val="231F20"/>
                <w:sz w:val="19"/>
              </w:rPr>
              <w:t>first</w:t>
            </w:r>
            <w:r>
              <w:rPr>
                <w:color w:val="231F20"/>
                <w:spacing w:val="-4"/>
                <w:sz w:val="19"/>
              </w:rPr>
              <w:t> </w:t>
            </w:r>
            <w:r>
              <w:rPr>
                <w:color w:val="231F20"/>
                <w:sz w:val="19"/>
              </w:rPr>
              <w:t>in</w:t>
            </w:r>
            <w:r>
              <w:rPr>
                <w:color w:val="231F20"/>
                <w:spacing w:val="-4"/>
                <w:sz w:val="19"/>
              </w:rPr>
              <w:t> </w:t>
            </w:r>
            <w:r>
              <w:rPr>
                <w:color w:val="231F20"/>
                <w:sz w:val="19"/>
              </w:rPr>
              <w:t>first</w:t>
            </w:r>
            <w:r>
              <w:rPr>
                <w:color w:val="231F20"/>
                <w:spacing w:val="-4"/>
                <w:sz w:val="19"/>
              </w:rPr>
              <w:t> </w:t>
            </w:r>
            <w:r>
              <w:rPr>
                <w:color w:val="231F20"/>
                <w:spacing w:val="-5"/>
                <w:sz w:val="19"/>
              </w:rPr>
              <w:t>out</w:t>
            </w:r>
          </w:p>
        </w:tc>
        <w:tc>
          <w:tcPr>
            <w:tcW w:w="908" w:type="dxa"/>
          </w:tcPr>
          <w:p>
            <w:pPr>
              <w:pStyle w:val="TableParagraph"/>
              <w:spacing w:line="220" w:lineRule="exact" w:before="19"/>
              <w:ind w:left="76"/>
              <w:rPr>
                <w:sz w:val="19"/>
              </w:rPr>
            </w:pPr>
            <w:r>
              <w:rPr>
                <w:color w:val="231F20"/>
                <w:w w:val="115"/>
                <w:sz w:val="19"/>
              </w:rPr>
              <w:t>A</w:t>
            </w:r>
          </w:p>
        </w:tc>
        <w:tc>
          <w:tcPr>
            <w:tcW w:w="551" w:type="dxa"/>
          </w:tcPr>
          <w:p>
            <w:pPr>
              <w:pStyle w:val="TableParagraph"/>
              <w:spacing w:line="220" w:lineRule="exact" w:before="19"/>
              <w:ind w:right="74"/>
              <w:jc w:val="right"/>
              <w:rPr>
                <w:sz w:val="19"/>
              </w:rPr>
            </w:pPr>
            <w:r>
              <w:rPr>
                <w:color w:val="231F20"/>
                <w:spacing w:val="-5"/>
                <w:sz w:val="19"/>
              </w:rPr>
              <w:t>79</w:t>
            </w:r>
          </w:p>
        </w:tc>
      </w:tr>
      <w:tr>
        <w:trPr>
          <w:trHeight w:val="262" w:hRule="atLeast"/>
        </w:trPr>
        <w:tc>
          <w:tcPr>
            <w:tcW w:w="1243" w:type="dxa"/>
          </w:tcPr>
          <w:p>
            <w:pPr>
              <w:pStyle w:val="TableParagraph"/>
              <w:spacing w:line="223" w:lineRule="exact" w:before="19"/>
              <w:ind w:left="50"/>
              <w:jc w:val="left"/>
              <w:rPr>
                <w:b/>
                <w:sz w:val="19"/>
              </w:rPr>
            </w:pPr>
            <w:r>
              <w:rPr>
                <w:b/>
                <w:color w:val="231F20"/>
                <w:spacing w:val="-2"/>
                <w:w w:val="110"/>
                <w:sz w:val="19"/>
              </w:rPr>
              <w:t>FRICTO</w:t>
            </w:r>
          </w:p>
        </w:tc>
        <w:tc>
          <w:tcPr>
            <w:tcW w:w="3605" w:type="dxa"/>
          </w:tcPr>
          <w:p>
            <w:pPr>
              <w:pStyle w:val="TableParagraph"/>
              <w:spacing w:line="223" w:lineRule="exact" w:before="19"/>
              <w:ind w:left="116"/>
              <w:jc w:val="left"/>
              <w:rPr>
                <w:sz w:val="19"/>
              </w:rPr>
            </w:pPr>
            <w:r>
              <w:rPr>
                <w:color w:val="231F20"/>
                <w:sz w:val="19"/>
              </w:rPr>
              <w:t>flexibility,</w:t>
            </w:r>
            <w:r>
              <w:rPr>
                <w:color w:val="231F20"/>
                <w:spacing w:val="16"/>
                <w:sz w:val="19"/>
              </w:rPr>
              <w:t> </w:t>
            </w:r>
            <w:r>
              <w:rPr>
                <w:color w:val="231F20"/>
                <w:sz w:val="19"/>
              </w:rPr>
              <w:t>risk,</w:t>
            </w:r>
            <w:r>
              <w:rPr>
                <w:color w:val="231F20"/>
                <w:spacing w:val="17"/>
                <w:sz w:val="19"/>
              </w:rPr>
              <w:t> </w:t>
            </w:r>
            <w:r>
              <w:rPr>
                <w:color w:val="231F20"/>
                <w:sz w:val="19"/>
              </w:rPr>
              <w:t>income,</w:t>
            </w:r>
            <w:r>
              <w:rPr>
                <w:color w:val="231F20"/>
                <w:spacing w:val="17"/>
                <w:sz w:val="19"/>
              </w:rPr>
              <w:t> </w:t>
            </w:r>
            <w:r>
              <w:rPr>
                <w:color w:val="231F20"/>
                <w:sz w:val="19"/>
              </w:rPr>
              <w:t>control,</w:t>
            </w:r>
            <w:r>
              <w:rPr>
                <w:color w:val="231F20"/>
                <w:spacing w:val="17"/>
                <w:sz w:val="19"/>
              </w:rPr>
              <w:t> </w:t>
            </w:r>
            <w:r>
              <w:rPr>
                <w:color w:val="231F20"/>
                <w:spacing w:val="-2"/>
                <w:sz w:val="19"/>
              </w:rPr>
              <w:t>timing,</w:t>
            </w:r>
          </w:p>
        </w:tc>
        <w:tc>
          <w:tcPr>
            <w:tcW w:w="908" w:type="dxa"/>
          </w:tcPr>
          <w:p>
            <w:pPr>
              <w:pStyle w:val="TableParagraph"/>
              <w:spacing w:line="223" w:lineRule="exact" w:before="19"/>
              <w:ind w:left="78"/>
              <w:rPr>
                <w:sz w:val="19"/>
              </w:rPr>
            </w:pPr>
            <w:r>
              <w:rPr>
                <w:color w:val="231F20"/>
                <w:w w:val="103"/>
                <w:sz w:val="19"/>
              </w:rPr>
              <w:t>F</w:t>
            </w:r>
          </w:p>
        </w:tc>
        <w:tc>
          <w:tcPr>
            <w:tcW w:w="551" w:type="dxa"/>
          </w:tcPr>
          <w:p>
            <w:pPr>
              <w:pStyle w:val="TableParagraph"/>
              <w:spacing w:line="223" w:lineRule="exact" w:before="19"/>
              <w:ind w:right="73"/>
              <w:jc w:val="right"/>
              <w:rPr>
                <w:sz w:val="19"/>
              </w:rPr>
            </w:pPr>
            <w:r>
              <w:rPr>
                <w:color w:val="231F20"/>
                <w:spacing w:val="-5"/>
                <w:sz w:val="19"/>
              </w:rPr>
              <w:t>234</w:t>
            </w:r>
          </w:p>
        </w:tc>
      </w:tr>
      <w:tr>
        <w:trPr>
          <w:trHeight w:val="257" w:hRule="atLeast"/>
        </w:trPr>
        <w:tc>
          <w:tcPr>
            <w:tcW w:w="1243" w:type="dxa"/>
          </w:tcPr>
          <w:p>
            <w:pPr>
              <w:pStyle w:val="TableParagraph"/>
              <w:spacing w:before="0"/>
              <w:jc w:val="left"/>
              <w:rPr>
                <w:rFonts w:ascii="Times New Roman"/>
                <w:sz w:val="18"/>
              </w:rPr>
            </w:pPr>
          </w:p>
        </w:tc>
        <w:tc>
          <w:tcPr>
            <w:tcW w:w="3605" w:type="dxa"/>
          </w:tcPr>
          <w:p>
            <w:pPr>
              <w:pStyle w:val="TableParagraph"/>
              <w:spacing w:line="220" w:lineRule="exact" w:before="17"/>
              <w:ind w:left="116"/>
              <w:jc w:val="left"/>
              <w:rPr>
                <w:sz w:val="19"/>
              </w:rPr>
            </w:pPr>
            <w:r>
              <w:rPr>
                <w:color w:val="231F20"/>
                <w:spacing w:val="-2"/>
                <w:sz w:val="19"/>
              </w:rPr>
              <w:t>other</w:t>
            </w:r>
          </w:p>
        </w:tc>
        <w:tc>
          <w:tcPr>
            <w:tcW w:w="908" w:type="dxa"/>
          </w:tcPr>
          <w:p>
            <w:pPr>
              <w:pStyle w:val="TableParagraph"/>
              <w:spacing w:before="0"/>
              <w:jc w:val="left"/>
              <w:rPr>
                <w:rFonts w:ascii="Times New Roman"/>
                <w:sz w:val="18"/>
              </w:rPr>
            </w:pPr>
          </w:p>
        </w:tc>
        <w:tc>
          <w:tcPr>
            <w:tcW w:w="551" w:type="dxa"/>
          </w:tcPr>
          <w:p>
            <w:pPr>
              <w:pStyle w:val="TableParagraph"/>
              <w:spacing w:before="0"/>
              <w:jc w:val="left"/>
              <w:rPr>
                <w:rFonts w:ascii="Times New Roman"/>
                <w:sz w:val="18"/>
              </w:rPr>
            </w:pPr>
          </w:p>
        </w:tc>
      </w:tr>
      <w:tr>
        <w:trPr>
          <w:trHeight w:val="259" w:hRule="atLeast"/>
        </w:trPr>
        <w:tc>
          <w:tcPr>
            <w:tcW w:w="1243" w:type="dxa"/>
          </w:tcPr>
          <w:p>
            <w:pPr>
              <w:pStyle w:val="TableParagraph"/>
              <w:spacing w:line="220" w:lineRule="exact" w:before="19"/>
              <w:ind w:left="50"/>
              <w:jc w:val="left"/>
              <w:rPr>
                <w:b/>
                <w:sz w:val="19"/>
              </w:rPr>
            </w:pPr>
            <w:r>
              <w:rPr>
                <w:b/>
                <w:color w:val="231F20"/>
                <w:spacing w:val="-5"/>
                <w:sz w:val="19"/>
              </w:rPr>
              <w:t>FSI</w:t>
            </w:r>
          </w:p>
        </w:tc>
        <w:tc>
          <w:tcPr>
            <w:tcW w:w="3605" w:type="dxa"/>
          </w:tcPr>
          <w:p>
            <w:pPr>
              <w:pStyle w:val="TableParagraph"/>
              <w:spacing w:line="220" w:lineRule="exact" w:before="19"/>
              <w:ind w:left="116"/>
              <w:jc w:val="left"/>
              <w:rPr>
                <w:sz w:val="19"/>
              </w:rPr>
            </w:pPr>
            <w:r>
              <w:rPr>
                <w:color w:val="231F20"/>
                <w:w w:val="95"/>
                <w:sz w:val="19"/>
              </w:rPr>
              <w:t>freestanding</w:t>
            </w:r>
            <w:r>
              <w:rPr>
                <w:color w:val="231F20"/>
                <w:spacing w:val="30"/>
                <w:sz w:val="19"/>
              </w:rPr>
              <w:t> </w:t>
            </w:r>
            <w:r>
              <w:rPr>
                <w:color w:val="231F20"/>
                <w:spacing w:val="-2"/>
                <w:sz w:val="19"/>
              </w:rPr>
              <w:t>insert</w:t>
            </w:r>
          </w:p>
        </w:tc>
        <w:tc>
          <w:tcPr>
            <w:tcW w:w="908" w:type="dxa"/>
          </w:tcPr>
          <w:p>
            <w:pPr>
              <w:pStyle w:val="TableParagraph"/>
              <w:spacing w:line="220" w:lineRule="exact" w:before="19"/>
              <w:ind w:left="76"/>
              <w:rPr>
                <w:sz w:val="19"/>
              </w:rPr>
            </w:pPr>
            <w:r>
              <w:rPr>
                <w:color w:val="231F20"/>
                <w:w w:val="122"/>
                <w:sz w:val="19"/>
              </w:rPr>
              <w:t>M</w:t>
            </w:r>
          </w:p>
        </w:tc>
        <w:tc>
          <w:tcPr>
            <w:tcW w:w="551" w:type="dxa"/>
          </w:tcPr>
          <w:p>
            <w:pPr>
              <w:pStyle w:val="TableParagraph"/>
              <w:spacing w:line="220" w:lineRule="exact" w:before="19"/>
              <w:ind w:right="74"/>
              <w:jc w:val="right"/>
              <w:rPr>
                <w:sz w:val="19"/>
              </w:rPr>
            </w:pPr>
            <w:r>
              <w:rPr>
                <w:color w:val="231F20"/>
                <w:spacing w:val="-5"/>
                <w:sz w:val="19"/>
              </w:rPr>
              <w:t>42</w:t>
            </w:r>
          </w:p>
        </w:tc>
      </w:tr>
      <w:tr>
        <w:trPr>
          <w:trHeight w:val="259" w:hRule="atLeast"/>
        </w:trPr>
        <w:tc>
          <w:tcPr>
            <w:tcW w:w="1243" w:type="dxa"/>
          </w:tcPr>
          <w:p>
            <w:pPr>
              <w:pStyle w:val="TableParagraph"/>
              <w:spacing w:line="220" w:lineRule="exact" w:before="19"/>
              <w:ind w:left="50"/>
              <w:jc w:val="left"/>
              <w:rPr>
                <w:b/>
                <w:sz w:val="19"/>
              </w:rPr>
            </w:pPr>
            <w:r>
              <w:rPr>
                <w:b/>
                <w:color w:val="231F20"/>
                <w:spacing w:val="-4"/>
                <w:w w:val="110"/>
                <w:sz w:val="19"/>
              </w:rPr>
              <w:t>GAAP</w:t>
            </w:r>
          </w:p>
        </w:tc>
        <w:tc>
          <w:tcPr>
            <w:tcW w:w="3605" w:type="dxa"/>
          </w:tcPr>
          <w:p>
            <w:pPr>
              <w:pStyle w:val="TableParagraph"/>
              <w:spacing w:line="220" w:lineRule="exact" w:before="19"/>
              <w:ind w:left="116"/>
              <w:jc w:val="left"/>
              <w:rPr>
                <w:sz w:val="19"/>
              </w:rPr>
            </w:pPr>
            <w:r>
              <w:rPr>
                <w:color w:val="231F20"/>
                <w:sz w:val="19"/>
              </w:rPr>
              <w:t>generally</w:t>
            </w:r>
            <w:r>
              <w:rPr>
                <w:color w:val="231F20"/>
                <w:spacing w:val="-3"/>
                <w:sz w:val="19"/>
              </w:rPr>
              <w:t> </w:t>
            </w:r>
            <w:r>
              <w:rPr>
                <w:color w:val="231F20"/>
                <w:sz w:val="19"/>
              </w:rPr>
              <w:t>accepted</w:t>
            </w:r>
            <w:r>
              <w:rPr>
                <w:color w:val="231F20"/>
                <w:spacing w:val="-2"/>
                <w:sz w:val="19"/>
              </w:rPr>
              <w:t> </w:t>
            </w:r>
            <w:r>
              <w:rPr>
                <w:color w:val="231F20"/>
                <w:sz w:val="19"/>
              </w:rPr>
              <w:t>accounting</w:t>
            </w:r>
            <w:r>
              <w:rPr>
                <w:color w:val="231F20"/>
                <w:spacing w:val="-3"/>
                <w:sz w:val="19"/>
              </w:rPr>
              <w:t> </w:t>
            </w:r>
            <w:r>
              <w:rPr>
                <w:color w:val="231F20"/>
                <w:spacing w:val="-2"/>
                <w:sz w:val="19"/>
              </w:rPr>
              <w:t>principles</w:t>
            </w:r>
          </w:p>
        </w:tc>
        <w:tc>
          <w:tcPr>
            <w:tcW w:w="908" w:type="dxa"/>
          </w:tcPr>
          <w:p>
            <w:pPr>
              <w:pStyle w:val="TableParagraph"/>
              <w:spacing w:line="220" w:lineRule="exact" w:before="19"/>
              <w:ind w:left="77"/>
              <w:rPr>
                <w:sz w:val="19"/>
              </w:rPr>
            </w:pPr>
            <w:r>
              <w:rPr>
                <w:color w:val="231F20"/>
                <w:w w:val="115"/>
                <w:sz w:val="19"/>
              </w:rPr>
              <w:t>A</w:t>
            </w:r>
          </w:p>
        </w:tc>
        <w:tc>
          <w:tcPr>
            <w:tcW w:w="551" w:type="dxa"/>
          </w:tcPr>
          <w:p>
            <w:pPr>
              <w:pStyle w:val="TableParagraph"/>
              <w:spacing w:line="220" w:lineRule="exact" w:before="19"/>
              <w:ind w:right="74"/>
              <w:jc w:val="right"/>
              <w:rPr>
                <w:sz w:val="19"/>
              </w:rPr>
            </w:pPr>
            <w:r>
              <w:rPr>
                <w:color w:val="231F20"/>
                <w:spacing w:val="-5"/>
                <w:sz w:val="19"/>
              </w:rPr>
              <w:t>73</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05"/>
                <w:sz w:val="19"/>
              </w:rPr>
              <w:t>GDP</w:t>
            </w:r>
          </w:p>
        </w:tc>
        <w:tc>
          <w:tcPr>
            <w:tcW w:w="3605" w:type="dxa"/>
          </w:tcPr>
          <w:p>
            <w:pPr>
              <w:pStyle w:val="TableParagraph"/>
              <w:spacing w:line="220" w:lineRule="exact" w:before="19"/>
              <w:ind w:left="116"/>
              <w:jc w:val="left"/>
              <w:rPr>
                <w:sz w:val="19"/>
              </w:rPr>
            </w:pPr>
            <w:r>
              <w:rPr>
                <w:color w:val="231F20"/>
                <w:sz w:val="19"/>
              </w:rPr>
              <w:t>gross</w:t>
            </w:r>
            <w:r>
              <w:rPr>
                <w:color w:val="231F20"/>
                <w:spacing w:val="-7"/>
                <w:sz w:val="19"/>
              </w:rPr>
              <w:t> </w:t>
            </w:r>
            <w:r>
              <w:rPr>
                <w:color w:val="231F20"/>
                <w:sz w:val="19"/>
              </w:rPr>
              <w:t>domestic</w:t>
            </w:r>
            <w:r>
              <w:rPr>
                <w:color w:val="231F20"/>
                <w:spacing w:val="-6"/>
                <w:sz w:val="19"/>
              </w:rPr>
              <w:t> </w:t>
            </w:r>
            <w:r>
              <w:rPr>
                <w:color w:val="231F20"/>
                <w:spacing w:val="-2"/>
                <w:sz w:val="19"/>
              </w:rPr>
              <w:t>product</w:t>
            </w:r>
          </w:p>
        </w:tc>
        <w:tc>
          <w:tcPr>
            <w:tcW w:w="908" w:type="dxa"/>
          </w:tcPr>
          <w:p>
            <w:pPr>
              <w:pStyle w:val="TableParagraph"/>
              <w:spacing w:line="220" w:lineRule="exact" w:before="19"/>
              <w:ind w:left="77"/>
              <w:rPr>
                <w:sz w:val="19"/>
              </w:rPr>
            </w:pPr>
            <w:r>
              <w:rPr>
                <w:color w:val="231F20"/>
                <w:w w:val="106"/>
                <w:sz w:val="19"/>
              </w:rPr>
              <w:t>E</w:t>
            </w:r>
          </w:p>
        </w:tc>
        <w:tc>
          <w:tcPr>
            <w:tcW w:w="551" w:type="dxa"/>
          </w:tcPr>
          <w:p>
            <w:pPr>
              <w:pStyle w:val="TableParagraph"/>
              <w:spacing w:line="220" w:lineRule="exact" w:before="19"/>
              <w:ind w:right="74"/>
              <w:jc w:val="right"/>
              <w:rPr>
                <w:sz w:val="19"/>
              </w:rPr>
            </w:pPr>
            <w:r>
              <w:rPr>
                <w:color w:val="231F20"/>
                <w:spacing w:val="-5"/>
                <w:sz w:val="19"/>
              </w:rPr>
              <w:t>301</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10"/>
                <w:sz w:val="19"/>
              </w:rPr>
              <w:t>GNP</w:t>
            </w:r>
          </w:p>
        </w:tc>
        <w:tc>
          <w:tcPr>
            <w:tcW w:w="3605" w:type="dxa"/>
          </w:tcPr>
          <w:p>
            <w:pPr>
              <w:pStyle w:val="TableParagraph"/>
              <w:spacing w:line="220" w:lineRule="exact" w:before="19"/>
              <w:ind w:left="116"/>
              <w:jc w:val="left"/>
              <w:rPr>
                <w:sz w:val="19"/>
              </w:rPr>
            </w:pPr>
            <w:r>
              <w:rPr>
                <w:color w:val="231F20"/>
                <w:sz w:val="19"/>
              </w:rPr>
              <w:t>gross</w:t>
            </w:r>
            <w:r>
              <w:rPr>
                <w:color w:val="231F20"/>
                <w:spacing w:val="4"/>
                <w:sz w:val="19"/>
              </w:rPr>
              <w:t> </w:t>
            </w:r>
            <w:r>
              <w:rPr>
                <w:color w:val="231F20"/>
                <w:sz w:val="19"/>
              </w:rPr>
              <w:t>national</w:t>
            </w:r>
            <w:r>
              <w:rPr>
                <w:color w:val="231F20"/>
                <w:spacing w:val="5"/>
                <w:sz w:val="19"/>
              </w:rPr>
              <w:t> </w:t>
            </w:r>
            <w:r>
              <w:rPr>
                <w:color w:val="231F20"/>
                <w:spacing w:val="-2"/>
                <w:sz w:val="19"/>
              </w:rPr>
              <w:t>product</w:t>
            </w:r>
          </w:p>
        </w:tc>
        <w:tc>
          <w:tcPr>
            <w:tcW w:w="908" w:type="dxa"/>
          </w:tcPr>
          <w:p>
            <w:pPr>
              <w:pStyle w:val="TableParagraph"/>
              <w:spacing w:line="220" w:lineRule="exact" w:before="19"/>
              <w:ind w:left="76"/>
              <w:rPr>
                <w:sz w:val="19"/>
              </w:rPr>
            </w:pPr>
            <w:r>
              <w:rPr>
                <w:color w:val="231F20"/>
                <w:w w:val="106"/>
                <w:sz w:val="19"/>
              </w:rPr>
              <w:t>E</w:t>
            </w:r>
          </w:p>
        </w:tc>
        <w:tc>
          <w:tcPr>
            <w:tcW w:w="551" w:type="dxa"/>
          </w:tcPr>
          <w:p>
            <w:pPr>
              <w:pStyle w:val="TableParagraph"/>
              <w:spacing w:line="220" w:lineRule="exact" w:before="19"/>
              <w:ind w:right="74"/>
              <w:jc w:val="right"/>
              <w:rPr>
                <w:sz w:val="19"/>
              </w:rPr>
            </w:pPr>
            <w:r>
              <w:rPr>
                <w:color w:val="231F20"/>
                <w:spacing w:val="-5"/>
                <w:sz w:val="19"/>
              </w:rPr>
              <w:t>300</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05"/>
                <w:sz w:val="19"/>
              </w:rPr>
              <w:t>GRP</w:t>
            </w:r>
          </w:p>
        </w:tc>
        <w:tc>
          <w:tcPr>
            <w:tcW w:w="3605" w:type="dxa"/>
          </w:tcPr>
          <w:p>
            <w:pPr>
              <w:pStyle w:val="TableParagraph"/>
              <w:spacing w:line="220" w:lineRule="exact" w:before="19"/>
              <w:ind w:left="116"/>
              <w:jc w:val="left"/>
              <w:rPr>
                <w:sz w:val="19"/>
              </w:rPr>
            </w:pPr>
            <w:r>
              <w:rPr>
                <w:color w:val="231F20"/>
                <w:sz w:val="19"/>
              </w:rPr>
              <w:t>gross</w:t>
            </w:r>
            <w:r>
              <w:rPr>
                <w:color w:val="231F20"/>
                <w:spacing w:val="-2"/>
                <w:sz w:val="19"/>
              </w:rPr>
              <w:t> </w:t>
            </w:r>
            <w:r>
              <w:rPr>
                <w:color w:val="231F20"/>
                <w:sz w:val="19"/>
              </w:rPr>
              <w:t>rating</w:t>
            </w:r>
            <w:r>
              <w:rPr>
                <w:color w:val="231F20"/>
                <w:spacing w:val="-1"/>
                <w:sz w:val="19"/>
              </w:rPr>
              <w:t> </w:t>
            </w:r>
            <w:r>
              <w:rPr>
                <w:color w:val="231F20"/>
                <w:spacing w:val="-2"/>
                <w:sz w:val="19"/>
              </w:rPr>
              <w:t>points</w:t>
            </w:r>
          </w:p>
        </w:tc>
        <w:tc>
          <w:tcPr>
            <w:tcW w:w="908" w:type="dxa"/>
          </w:tcPr>
          <w:p>
            <w:pPr>
              <w:pStyle w:val="TableParagraph"/>
              <w:spacing w:line="220" w:lineRule="exact" w:before="19"/>
              <w:ind w:left="76"/>
              <w:rPr>
                <w:sz w:val="19"/>
              </w:rPr>
            </w:pPr>
            <w:r>
              <w:rPr>
                <w:color w:val="231F20"/>
                <w:w w:val="122"/>
                <w:sz w:val="19"/>
              </w:rPr>
              <w:t>M</w:t>
            </w:r>
          </w:p>
        </w:tc>
        <w:tc>
          <w:tcPr>
            <w:tcW w:w="551" w:type="dxa"/>
          </w:tcPr>
          <w:p>
            <w:pPr>
              <w:pStyle w:val="TableParagraph"/>
              <w:spacing w:line="220" w:lineRule="exact" w:before="19"/>
              <w:ind w:right="74"/>
              <w:jc w:val="right"/>
              <w:rPr>
                <w:sz w:val="19"/>
              </w:rPr>
            </w:pPr>
            <w:r>
              <w:rPr>
                <w:color w:val="231F20"/>
                <w:spacing w:val="-5"/>
                <w:sz w:val="19"/>
              </w:rPr>
              <w:t>39</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05"/>
                <w:sz w:val="19"/>
              </w:rPr>
              <w:t>IPO</w:t>
            </w:r>
          </w:p>
        </w:tc>
        <w:tc>
          <w:tcPr>
            <w:tcW w:w="3605" w:type="dxa"/>
          </w:tcPr>
          <w:p>
            <w:pPr>
              <w:pStyle w:val="TableParagraph"/>
              <w:spacing w:line="220" w:lineRule="exact" w:before="19"/>
              <w:ind w:left="116"/>
              <w:jc w:val="left"/>
              <w:rPr>
                <w:sz w:val="19"/>
              </w:rPr>
            </w:pPr>
            <w:r>
              <w:rPr>
                <w:color w:val="231F20"/>
                <w:sz w:val="19"/>
              </w:rPr>
              <w:t>initial</w:t>
            </w:r>
            <w:r>
              <w:rPr>
                <w:color w:val="231F20"/>
                <w:spacing w:val="10"/>
                <w:sz w:val="19"/>
              </w:rPr>
              <w:t> </w:t>
            </w:r>
            <w:r>
              <w:rPr>
                <w:color w:val="231F20"/>
                <w:sz w:val="19"/>
              </w:rPr>
              <w:t>public</w:t>
            </w:r>
            <w:r>
              <w:rPr>
                <w:color w:val="231F20"/>
                <w:spacing w:val="10"/>
                <w:sz w:val="19"/>
              </w:rPr>
              <w:t> </w:t>
            </w:r>
            <w:r>
              <w:rPr>
                <w:color w:val="231F20"/>
                <w:spacing w:val="-2"/>
                <w:sz w:val="19"/>
              </w:rPr>
              <w:t>offering</w:t>
            </w:r>
          </w:p>
        </w:tc>
        <w:tc>
          <w:tcPr>
            <w:tcW w:w="908" w:type="dxa"/>
          </w:tcPr>
          <w:p>
            <w:pPr>
              <w:pStyle w:val="TableParagraph"/>
              <w:spacing w:line="220" w:lineRule="exact" w:before="19"/>
              <w:ind w:left="77"/>
              <w:rPr>
                <w:sz w:val="19"/>
              </w:rPr>
            </w:pPr>
            <w:r>
              <w:rPr>
                <w:color w:val="231F20"/>
                <w:w w:val="103"/>
                <w:sz w:val="19"/>
              </w:rPr>
              <w:t>F</w:t>
            </w:r>
          </w:p>
        </w:tc>
        <w:tc>
          <w:tcPr>
            <w:tcW w:w="551" w:type="dxa"/>
          </w:tcPr>
          <w:p>
            <w:pPr>
              <w:pStyle w:val="TableParagraph"/>
              <w:spacing w:line="220" w:lineRule="exact" w:before="19"/>
              <w:ind w:right="74"/>
              <w:jc w:val="right"/>
              <w:rPr>
                <w:sz w:val="19"/>
              </w:rPr>
            </w:pPr>
            <w:r>
              <w:rPr>
                <w:color w:val="231F20"/>
                <w:spacing w:val="-5"/>
                <w:sz w:val="19"/>
              </w:rPr>
              <w:t>234</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05"/>
                <w:sz w:val="19"/>
              </w:rPr>
              <w:t>IRR</w:t>
            </w:r>
          </w:p>
        </w:tc>
        <w:tc>
          <w:tcPr>
            <w:tcW w:w="3605" w:type="dxa"/>
          </w:tcPr>
          <w:p>
            <w:pPr>
              <w:pStyle w:val="TableParagraph"/>
              <w:spacing w:line="220" w:lineRule="exact" w:before="19"/>
              <w:ind w:left="116"/>
              <w:jc w:val="left"/>
              <w:rPr>
                <w:sz w:val="19"/>
              </w:rPr>
            </w:pPr>
            <w:r>
              <w:rPr>
                <w:color w:val="231F20"/>
                <w:sz w:val="19"/>
              </w:rPr>
              <w:t>internal</w:t>
            </w:r>
            <w:r>
              <w:rPr>
                <w:color w:val="231F20"/>
                <w:spacing w:val="4"/>
                <w:sz w:val="19"/>
              </w:rPr>
              <w:t> </w:t>
            </w:r>
            <w:r>
              <w:rPr>
                <w:color w:val="231F20"/>
                <w:sz w:val="19"/>
              </w:rPr>
              <w:t>rate</w:t>
            </w:r>
            <w:r>
              <w:rPr>
                <w:color w:val="231F20"/>
                <w:spacing w:val="4"/>
                <w:sz w:val="19"/>
              </w:rPr>
              <w:t> </w:t>
            </w:r>
            <w:r>
              <w:rPr>
                <w:color w:val="231F20"/>
                <w:sz w:val="19"/>
              </w:rPr>
              <w:t>of</w:t>
            </w:r>
            <w:r>
              <w:rPr>
                <w:color w:val="231F20"/>
                <w:spacing w:val="5"/>
                <w:sz w:val="19"/>
              </w:rPr>
              <w:t> </w:t>
            </w:r>
            <w:r>
              <w:rPr>
                <w:color w:val="231F20"/>
                <w:spacing w:val="-2"/>
                <w:sz w:val="19"/>
              </w:rPr>
              <w:t>return</w:t>
            </w:r>
          </w:p>
        </w:tc>
        <w:tc>
          <w:tcPr>
            <w:tcW w:w="908" w:type="dxa"/>
          </w:tcPr>
          <w:p>
            <w:pPr>
              <w:pStyle w:val="TableParagraph"/>
              <w:spacing w:line="220" w:lineRule="exact" w:before="19"/>
              <w:ind w:left="77"/>
              <w:rPr>
                <w:sz w:val="19"/>
              </w:rPr>
            </w:pPr>
            <w:r>
              <w:rPr>
                <w:color w:val="231F20"/>
                <w:w w:val="127"/>
                <w:sz w:val="19"/>
              </w:rPr>
              <w:t>Q</w:t>
            </w:r>
          </w:p>
        </w:tc>
        <w:tc>
          <w:tcPr>
            <w:tcW w:w="551" w:type="dxa"/>
          </w:tcPr>
          <w:p>
            <w:pPr>
              <w:pStyle w:val="TableParagraph"/>
              <w:spacing w:line="220" w:lineRule="exact" w:before="19"/>
              <w:ind w:right="74"/>
              <w:jc w:val="right"/>
              <w:rPr>
                <w:sz w:val="19"/>
              </w:rPr>
            </w:pPr>
            <w:r>
              <w:rPr>
                <w:color w:val="231F20"/>
                <w:spacing w:val="-5"/>
                <w:sz w:val="19"/>
              </w:rPr>
              <w:t>175</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05"/>
                <w:sz w:val="19"/>
              </w:rPr>
              <w:t>IT</w:t>
            </w:r>
          </w:p>
        </w:tc>
        <w:tc>
          <w:tcPr>
            <w:tcW w:w="3605" w:type="dxa"/>
          </w:tcPr>
          <w:p>
            <w:pPr>
              <w:pStyle w:val="TableParagraph"/>
              <w:spacing w:line="220" w:lineRule="exact" w:before="19"/>
              <w:ind w:left="116"/>
              <w:jc w:val="left"/>
              <w:rPr>
                <w:sz w:val="19"/>
              </w:rPr>
            </w:pPr>
            <w:r>
              <w:rPr>
                <w:color w:val="231F20"/>
                <w:sz w:val="19"/>
              </w:rPr>
              <w:t>information</w:t>
            </w:r>
            <w:r>
              <w:rPr>
                <w:color w:val="231F20"/>
                <w:spacing w:val="19"/>
                <w:sz w:val="19"/>
              </w:rPr>
              <w:t> </w:t>
            </w:r>
            <w:r>
              <w:rPr>
                <w:color w:val="231F20"/>
                <w:spacing w:val="-2"/>
                <w:sz w:val="19"/>
              </w:rPr>
              <w:t>technology</w:t>
            </w:r>
          </w:p>
        </w:tc>
        <w:tc>
          <w:tcPr>
            <w:tcW w:w="908" w:type="dxa"/>
          </w:tcPr>
          <w:p>
            <w:pPr>
              <w:pStyle w:val="TableParagraph"/>
              <w:spacing w:line="220" w:lineRule="exact" w:before="19"/>
              <w:ind w:left="159" w:right="82"/>
              <w:rPr>
                <w:sz w:val="19"/>
              </w:rPr>
            </w:pPr>
            <w:r>
              <w:rPr>
                <w:color w:val="231F20"/>
                <w:spacing w:val="-5"/>
                <w:w w:val="115"/>
                <w:sz w:val="19"/>
              </w:rPr>
              <w:t>OP</w:t>
            </w:r>
          </w:p>
        </w:tc>
        <w:tc>
          <w:tcPr>
            <w:tcW w:w="551" w:type="dxa"/>
          </w:tcPr>
          <w:p>
            <w:pPr>
              <w:pStyle w:val="TableParagraph"/>
              <w:spacing w:line="220" w:lineRule="exact" w:before="19"/>
              <w:ind w:right="74"/>
              <w:jc w:val="right"/>
              <w:rPr>
                <w:sz w:val="19"/>
              </w:rPr>
            </w:pPr>
            <w:r>
              <w:rPr>
                <w:color w:val="231F20"/>
                <w:spacing w:val="-5"/>
                <w:sz w:val="19"/>
              </w:rPr>
              <w:t>282</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10"/>
                <w:sz w:val="19"/>
              </w:rPr>
              <w:t>JIT</w:t>
            </w:r>
          </w:p>
        </w:tc>
        <w:tc>
          <w:tcPr>
            <w:tcW w:w="3605" w:type="dxa"/>
          </w:tcPr>
          <w:p>
            <w:pPr>
              <w:pStyle w:val="TableParagraph"/>
              <w:spacing w:line="220" w:lineRule="exact" w:before="19"/>
              <w:ind w:left="116"/>
              <w:jc w:val="left"/>
              <w:rPr>
                <w:sz w:val="19"/>
              </w:rPr>
            </w:pPr>
            <w:r>
              <w:rPr>
                <w:color w:val="231F20"/>
                <w:w w:val="95"/>
                <w:sz w:val="19"/>
              </w:rPr>
              <w:t>just-in-time</w:t>
            </w:r>
            <w:r>
              <w:rPr>
                <w:color w:val="231F20"/>
                <w:spacing w:val="38"/>
                <w:sz w:val="19"/>
              </w:rPr>
              <w:t> </w:t>
            </w:r>
            <w:r>
              <w:rPr>
                <w:color w:val="231F20"/>
                <w:spacing w:val="-2"/>
                <w:w w:val="95"/>
                <w:sz w:val="19"/>
              </w:rPr>
              <w:t>inventory</w:t>
            </w:r>
          </w:p>
        </w:tc>
        <w:tc>
          <w:tcPr>
            <w:tcW w:w="908" w:type="dxa"/>
          </w:tcPr>
          <w:p>
            <w:pPr>
              <w:pStyle w:val="TableParagraph"/>
              <w:spacing w:line="220" w:lineRule="exact" w:before="19"/>
              <w:ind w:left="159" w:right="82"/>
              <w:rPr>
                <w:sz w:val="19"/>
              </w:rPr>
            </w:pPr>
            <w:r>
              <w:rPr>
                <w:color w:val="231F20"/>
                <w:spacing w:val="-5"/>
                <w:w w:val="115"/>
                <w:sz w:val="19"/>
              </w:rPr>
              <w:t>OP</w:t>
            </w:r>
          </w:p>
        </w:tc>
        <w:tc>
          <w:tcPr>
            <w:tcW w:w="551" w:type="dxa"/>
          </w:tcPr>
          <w:p>
            <w:pPr>
              <w:pStyle w:val="TableParagraph"/>
              <w:spacing w:line="220" w:lineRule="exact" w:before="19"/>
              <w:ind w:right="74"/>
              <w:jc w:val="right"/>
              <w:rPr>
                <w:sz w:val="19"/>
              </w:rPr>
            </w:pPr>
            <w:r>
              <w:rPr>
                <w:color w:val="231F20"/>
                <w:spacing w:val="-5"/>
                <w:sz w:val="19"/>
              </w:rPr>
              <w:t>270</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10"/>
                <w:sz w:val="19"/>
              </w:rPr>
              <w:t>LBO</w:t>
            </w:r>
          </w:p>
        </w:tc>
        <w:tc>
          <w:tcPr>
            <w:tcW w:w="3605" w:type="dxa"/>
          </w:tcPr>
          <w:p>
            <w:pPr>
              <w:pStyle w:val="TableParagraph"/>
              <w:spacing w:line="220" w:lineRule="exact" w:before="19"/>
              <w:ind w:left="116"/>
              <w:jc w:val="left"/>
              <w:rPr>
                <w:sz w:val="19"/>
              </w:rPr>
            </w:pPr>
            <w:r>
              <w:rPr>
                <w:color w:val="231F20"/>
                <w:w w:val="95"/>
                <w:sz w:val="19"/>
              </w:rPr>
              <w:t>leveraged</w:t>
            </w:r>
            <w:r>
              <w:rPr>
                <w:color w:val="231F20"/>
                <w:spacing w:val="17"/>
                <w:sz w:val="19"/>
              </w:rPr>
              <w:t> </w:t>
            </w:r>
            <w:r>
              <w:rPr>
                <w:color w:val="231F20"/>
                <w:spacing w:val="-2"/>
                <w:sz w:val="19"/>
              </w:rPr>
              <w:t>buyout</w:t>
            </w:r>
          </w:p>
        </w:tc>
        <w:tc>
          <w:tcPr>
            <w:tcW w:w="908" w:type="dxa"/>
          </w:tcPr>
          <w:p>
            <w:pPr>
              <w:pStyle w:val="TableParagraph"/>
              <w:spacing w:line="220" w:lineRule="exact" w:before="19"/>
              <w:ind w:left="76"/>
              <w:rPr>
                <w:sz w:val="19"/>
              </w:rPr>
            </w:pPr>
            <w:r>
              <w:rPr>
                <w:color w:val="231F20"/>
                <w:w w:val="103"/>
                <w:sz w:val="19"/>
              </w:rPr>
              <w:t>F</w:t>
            </w:r>
          </w:p>
        </w:tc>
        <w:tc>
          <w:tcPr>
            <w:tcW w:w="551" w:type="dxa"/>
          </w:tcPr>
          <w:p>
            <w:pPr>
              <w:pStyle w:val="TableParagraph"/>
              <w:spacing w:line="220" w:lineRule="exact" w:before="19"/>
              <w:ind w:right="74"/>
              <w:jc w:val="right"/>
              <w:rPr>
                <w:sz w:val="19"/>
              </w:rPr>
            </w:pPr>
            <w:r>
              <w:rPr>
                <w:color w:val="231F20"/>
                <w:spacing w:val="-5"/>
                <w:sz w:val="19"/>
              </w:rPr>
              <w:t>244</w:t>
            </w:r>
          </w:p>
        </w:tc>
      </w:tr>
      <w:tr>
        <w:trPr>
          <w:trHeight w:val="243" w:hRule="atLeast"/>
        </w:trPr>
        <w:tc>
          <w:tcPr>
            <w:tcW w:w="1243" w:type="dxa"/>
          </w:tcPr>
          <w:p>
            <w:pPr>
              <w:pStyle w:val="TableParagraph"/>
              <w:spacing w:line="204" w:lineRule="exact" w:before="19"/>
              <w:ind w:left="50"/>
              <w:jc w:val="left"/>
              <w:rPr>
                <w:b/>
                <w:sz w:val="19"/>
              </w:rPr>
            </w:pPr>
            <w:r>
              <w:rPr>
                <w:b/>
                <w:color w:val="231F20"/>
                <w:spacing w:val="-5"/>
                <w:w w:val="110"/>
                <w:sz w:val="19"/>
              </w:rPr>
              <w:t>LCP</w:t>
            </w:r>
          </w:p>
        </w:tc>
        <w:tc>
          <w:tcPr>
            <w:tcW w:w="3605" w:type="dxa"/>
          </w:tcPr>
          <w:p>
            <w:pPr>
              <w:pStyle w:val="TableParagraph"/>
              <w:spacing w:line="204" w:lineRule="exact" w:before="19"/>
              <w:ind w:left="116"/>
              <w:jc w:val="left"/>
              <w:rPr>
                <w:sz w:val="19"/>
              </w:rPr>
            </w:pPr>
            <w:r>
              <w:rPr>
                <w:color w:val="231F20"/>
                <w:sz w:val="19"/>
              </w:rPr>
              <w:t>low-cost</w:t>
            </w:r>
            <w:r>
              <w:rPr>
                <w:color w:val="231F20"/>
                <w:spacing w:val="10"/>
                <w:sz w:val="19"/>
              </w:rPr>
              <w:t> </w:t>
            </w:r>
            <w:r>
              <w:rPr>
                <w:color w:val="231F20"/>
                <w:spacing w:val="-2"/>
                <w:sz w:val="19"/>
              </w:rPr>
              <w:t>producer</w:t>
            </w:r>
          </w:p>
        </w:tc>
        <w:tc>
          <w:tcPr>
            <w:tcW w:w="908" w:type="dxa"/>
          </w:tcPr>
          <w:p>
            <w:pPr>
              <w:pStyle w:val="TableParagraph"/>
              <w:spacing w:line="204" w:lineRule="exact" w:before="19"/>
              <w:ind w:left="76"/>
              <w:rPr>
                <w:sz w:val="19"/>
              </w:rPr>
            </w:pPr>
            <w:r>
              <w:rPr>
                <w:color w:val="231F20"/>
                <w:w w:val="100"/>
                <w:sz w:val="19"/>
              </w:rPr>
              <w:t>S</w:t>
            </w:r>
          </w:p>
        </w:tc>
        <w:tc>
          <w:tcPr>
            <w:tcW w:w="551" w:type="dxa"/>
          </w:tcPr>
          <w:p>
            <w:pPr>
              <w:pStyle w:val="TableParagraph"/>
              <w:spacing w:line="204" w:lineRule="exact" w:before="19"/>
              <w:ind w:right="74"/>
              <w:jc w:val="right"/>
              <w:rPr>
                <w:sz w:val="19"/>
              </w:rPr>
            </w:pPr>
            <w:r>
              <w:rPr>
                <w:color w:val="231F20"/>
                <w:spacing w:val="-5"/>
                <w:sz w:val="19"/>
              </w:rPr>
              <w:t>342</w:t>
            </w:r>
          </w:p>
        </w:tc>
      </w:tr>
    </w:tbl>
    <w:p>
      <w:pPr>
        <w:spacing w:after="0" w:line="204" w:lineRule="exact"/>
        <w:jc w:val="right"/>
        <w:rPr>
          <w:sz w:val="19"/>
        </w:rPr>
        <w:sectPr>
          <w:headerReference w:type="default" r:id="rId157"/>
          <w:headerReference w:type="even" r:id="rId158"/>
          <w:pgSz w:w="8640" w:h="12960"/>
          <w:pgMar w:header="3040" w:footer="0" w:top="3240" w:bottom="280" w:left="740" w:right="480"/>
        </w:sectPr>
      </w:pPr>
    </w:p>
    <w:p>
      <w:pPr>
        <w:pStyle w:val="BodyText"/>
        <w:spacing w:before="4"/>
        <w:rPr>
          <w:b/>
          <w:i/>
          <w:sz w:val="26"/>
        </w:rPr>
      </w:pPr>
    </w:p>
    <w:tbl>
      <w:tblPr>
        <w:tblW w:w="0" w:type="auto"/>
        <w:jc w:val="left"/>
        <w:tblInd w:w="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3"/>
        <w:gridCol w:w="3547"/>
        <w:gridCol w:w="966"/>
        <w:gridCol w:w="551"/>
      </w:tblGrid>
      <w:tr>
        <w:trPr>
          <w:trHeight w:val="243" w:hRule="atLeast"/>
        </w:trPr>
        <w:tc>
          <w:tcPr>
            <w:tcW w:w="1243" w:type="dxa"/>
          </w:tcPr>
          <w:p>
            <w:pPr>
              <w:pStyle w:val="TableParagraph"/>
              <w:spacing w:line="220" w:lineRule="exact" w:before="3"/>
              <w:ind w:left="50"/>
              <w:jc w:val="left"/>
              <w:rPr>
                <w:b/>
                <w:sz w:val="19"/>
              </w:rPr>
            </w:pPr>
            <w:r>
              <w:rPr>
                <w:b/>
                <w:color w:val="231F20"/>
                <w:spacing w:val="-2"/>
                <w:sz w:val="19"/>
              </w:rPr>
              <w:t>Abbreviation</w:t>
            </w:r>
          </w:p>
        </w:tc>
        <w:tc>
          <w:tcPr>
            <w:tcW w:w="3547" w:type="dxa"/>
          </w:tcPr>
          <w:p>
            <w:pPr>
              <w:pStyle w:val="TableParagraph"/>
              <w:spacing w:line="220" w:lineRule="exact" w:before="3"/>
              <w:ind w:left="117"/>
              <w:jc w:val="left"/>
              <w:rPr>
                <w:b/>
                <w:sz w:val="19"/>
              </w:rPr>
            </w:pPr>
            <w:r>
              <w:rPr>
                <w:b/>
                <w:color w:val="231F20"/>
                <w:spacing w:val="-2"/>
                <w:sz w:val="19"/>
              </w:rPr>
              <w:t>Translation</w:t>
            </w:r>
          </w:p>
        </w:tc>
        <w:tc>
          <w:tcPr>
            <w:tcW w:w="966" w:type="dxa"/>
          </w:tcPr>
          <w:p>
            <w:pPr>
              <w:pStyle w:val="TableParagraph"/>
              <w:spacing w:line="220" w:lineRule="exact" w:before="3"/>
              <w:ind w:left="217" w:right="82"/>
              <w:rPr>
                <w:b/>
                <w:sz w:val="19"/>
              </w:rPr>
            </w:pPr>
            <w:r>
              <w:rPr>
                <w:b/>
                <w:color w:val="231F20"/>
                <w:spacing w:val="-2"/>
                <w:sz w:val="19"/>
              </w:rPr>
              <w:t>Subject</w:t>
            </w:r>
          </w:p>
        </w:tc>
        <w:tc>
          <w:tcPr>
            <w:tcW w:w="551" w:type="dxa"/>
          </w:tcPr>
          <w:p>
            <w:pPr>
              <w:pStyle w:val="TableParagraph"/>
              <w:spacing w:line="220" w:lineRule="exact" w:before="3"/>
              <w:ind w:right="44"/>
              <w:jc w:val="right"/>
              <w:rPr>
                <w:b/>
                <w:sz w:val="19"/>
              </w:rPr>
            </w:pPr>
            <w:r>
              <w:rPr>
                <w:b/>
                <w:color w:val="231F20"/>
                <w:spacing w:val="-4"/>
                <w:sz w:val="19"/>
              </w:rPr>
              <w:t>Page</w:t>
            </w:r>
          </w:p>
        </w:tc>
      </w:tr>
      <w:tr>
        <w:trPr>
          <w:trHeight w:val="259" w:hRule="atLeast"/>
        </w:trPr>
        <w:tc>
          <w:tcPr>
            <w:tcW w:w="1243" w:type="dxa"/>
          </w:tcPr>
          <w:p>
            <w:pPr>
              <w:pStyle w:val="TableParagraph"/>
              <w:spacing w:line="220" w:lineRule="exact" w:before="19"/>
              <w:ind w:left="50"/>
              <w:jc w:val="left"/>
              <w:rPr>
                <w:b/>
                <w:sz w:val="19"/>
              </w:rPr>
            </w:pPr>
            <w:r>
              <w:rPr>
                <w:b/>
                <w:color w:val="231F20"/>
                <w:spacing w:val="-4"/>
                <w:w w:val="110"/>
                <w:sz w:val="19"/>
              </w:rPr>
              <w:t>LIFO</w:t>
            </w:r>
          </w:p>
        </w:tc>
        <w:tc>
          <w:tcPr>
            <w:tcW w:w="3547" w:type="dxa"/>
          </w:tcPr>
          <w:p>
            <w:pPr>
              <w:pStyle w:val="TableParagraph"/>
              <w:spacing w:line="220" w:lineRule="exact" w:before="19"/>
              <w:ind w:left="116"/>
              <w:jc w:val="left"/>
              <w:rPr>
                <w:sz w:val="19"/>
              </w:rPr>
            </w:pPr>
            <w:r>
              <w:rPr>
                <w:color w:val="231F20"/>
                <w:sz w:val="19"/>
              </w:rPr>
              <w:t>last in</w:t>
            </w:r>
            <w:r>
              <w:rPr>
                <w:color w:val="231F20"/>
                <w:spacing w:val="1"/>
                <w:sz w:val="19"/>
              </w:rPr>
              <w:t> </w:t>
            </w:r>
            <w:r>
              <w:rPr>
                <w:color w:val="231F20"/>
                <w:sz w:val="19"/>
              </w:rPr>
              <w:t>first</w:t>
            </w:r>
            <w:r>
              <w:rPr>
                <w:color w:val="231F20"/>
                <w:spacing w:val="1"/>
                <w:sz w:val="19"/>
              </w:rPr>
              <w:t> </w:t>
            </w:r>
            <w:r>
              <w:rPr>
                <w:color w:val="231F20"/>
                <w:spacing w:val="-5"/>
                <w:sz w:val="19"/>
              </w:rPr>
              <w:t>out</w:t>
            </w:r>
          </w:p>
        </w:tc>
        <w:tc>
          <w:tcPr>
            <w:tcW w:w="966" w:type="dxa"/>
          </w:tcPr>
          <w:p>
            <w:pPr>
              <w:pStyle w:val="TableParagraph"/>
              <w:spacing w:line="220" w:lineRule="exact" w:before="19"/>
              <w:ind w:left="134"/>
              <w:rPr>
                <w:sz w:val="19"/>
              </w:rPr>
            </w:pPr>
            <w:r>
              <w:rPr>
                <w:color w:val="231F20"/>
                <w:w w:val="115"/>
                <w:sz w:val="19"/>
              </w:rPr>
              <w:t>A</w:t>
            </w:r>
          </w:p>
        </w:tc>
        <w:tc>
          <w:tcPr>
            <w:tcW w:w="551" w:type="dxa"/>
          </w:tcPr>
          <w:p>
            <w:pPr>
              <w:pStyle w:val="TableParagraph"/>
              <w:spacing w:line="220" w:lineRule="exact" w:before="19"/>
              <w:ind w:right="74"/>
              <w:jc w:val="right"/>
              <w:rPr>
                <w:sz w:val="19"/>
              </w:rPr>
            </w:pPr>
            <w:r>
              <w:rPr>
                <w:color w:val="231F20"/>
                <w:spacing w:val="-5"/>
                <w:sz w:val="19"/>
              </w:rPr>
              <w:t>79</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20"/>
                <w:sz w:val="19"/>
              </w:rPr>
              <w:t>M&amp;A</w:t>
            </w:r>
          </w:p>
        </w:tc>
        <w:tc>
          <w:tcPr>
            <w:tcW w:w="3547" w:type="dxa"/>
          </w:tcPr>
          <w:p>
            <w:pPr>
              <w:pStyle w:val="TableParagraph"/>
              <w:spacing w:line="220" w:lineRule="exact" w:before="19"/>
              <w:ind w:left="116"/>
              <w:jc w:val="left"/>
              <w:rPr>
                <w:sz w:val="19"/>
              </w:rPr>
            </w:pPr>
            <w:r>
              <w:rPr>
                <w:color w:val="231F20"/>
                <w:sz w:val="19"/>
              </w:rPr>
              <w:t>mergers</w:t>
            </w:r>
            <w:r>
              <w:rPr>
                <w:color w:val="231F20"/>
                <w:spacing w:val="-7"/>
                <w:sz w:val="19"/>
              </w:rPr>
              <w:t> </w:t>
            </w:r>
            <w:r>
              <w:rPr>
                <w:color w:val="231F20"/>
                <w:sz w:val="19"/>
              </w:rPr>
              <w:t>and</w:t>
            </w:r>
            <w:r>
              <w:rPr>
                <w:color w:val="231F20"/>
                <w:spacing w:val="-7"/>
                <w:sz w:val="19"/>
              </w:rPr>
              <w:t> </w:t>
            </w:r>
            <w:r>
              <w:rPr>
                <w:color w:val="231F20"/>
                <w:spacing w:val="-2"/>
                <w:sz w:val="19"/>
              </w:rPr>
              <w:t>acquisitions</w:t>
            </w:r>
          </w:p>
        </w:tc>
        <w:tc>
          <w:tcPr>
            <w:tcW w:w="966" w:type="dxa"/>
          </w:tcPr>
          <w:p>
            <w:pPr>
              <w:pStyle w:val="TableParagraph"/>
              <w:spacing w:line="220" w:lineRule="exact" w:before="19"/>
              <w:ind w:left="135"/>
              <w:rPr>
                <w:sz w:val="19"/>
              </w:rPr>
            </w:pPr>
            <w:r>
              <w:rPr>
                <w:color w:val="231F20"/>
                <w:w w:val="103"/>
                <w:sz w:val="19"/>
              </w:rPr>
              <w:t>F</w:t>
            </w:r>
          </w:p>
        </w:tc>
        <w:tc>
          <w:tcPr>
            <w:tcW w:w="551" w:type="dxa"/>
          </w:tcPr>
          <w:p>
            <w:pPr>
              <w:pStyle w:val="TableParagraph"/>
              <w:spacing w:line="220" w:lineRule="exact" w:before="19"/>
              <w:ind w:right="74"/>
              <w:jc w:val="right"/>
              <w:rPr>
                <w:sz w:val="19"/>
              </w:rPr>
            </w:pPr>
            <w:r>
              <w:rPr>
                <w:color w:val="231F20"/>
                <w:spacing w:val="-5"/>
                <w:sz w:val="19"/>
              </w:rPr>
              <w:t>243</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15"/>
                <w:sz w:val="19"/>
              </w:rPr>
              <w:t>MBO</w:t>
            </w:r>
          </w:p>
        </w:tc>
        <w:tc>
          <w:tcPr>
            <w:tcW w:w="3547" w:type="dxa"/>
          </w:tcPr>
          <w:p>
            <w:pPr>
              <w:pStyle w:val="TableParagraph"/>
              <w:spacing w:line="220" w:lineRule="exact" w:before="19"/>
              <w:ind w:left="116"/>
              <w:jc w:val="left"/>
              <w:rPr>
                <w:sz w:val="19"/>
              </w:rPr>
            </w:pPr>
            <w:r>
              <w:rPr>
                <w:color w:val="231F20"/>
                <w:sz w:val="19"/>
              </w:rPr>
              <w:t>management</w:t>
            </w:r>
            <w:r>
              <w:rPr>
                <w:color w:val="231F20"/>
                <w:spacing w:val="-1"/>
                <w:sz w:val="19"/>
              </w:rPr>
              <w:t> </w:t>
            </w:r>
            <w:r>
              <w:rPr>
                <w:color w:val="231F20"/>
                <w:sz w:val="19"/>
              </w:rPr>
              <w:t>by</w:t>
            </w:r>
            <w:r>
              <w:rPr>
                <w:color w:val="231F20"/>
                <w:spacing w:val="-1"/>
                <w:sz w:val="19"/>
              </w:rPr>
              <w:t> </w:t>
            </w:r>
            <w:r>
              <w:rPr>
                <w:color w:val="231F20"/>
                <w:spacing w:val="-2"/>
                <w:sz w:val="19"/>
              </w:rPr>
              <w:t>objective</w:t>
            </w:r>
          </w:p>
        </w:tc>
        <w:tc>
          <w:tcPr>
            <w:tcW w:w="966" w:type="dxa"/>
          </w:tcPr>
          <w:p>
            <w:pPr>
              <w:pStyle w:val="TableParagraph"/>
              <w:spacing w:line="220" w:lineRule="exact" w:before="19"/>
              <w:ind w:left="217" w:right="82"/>
              <w:rPr>
                <w:sz w:val="19"/>
              </w:rPr>
            </w:pPr>
            <w:r>
              <w:rPr>
                <w:color w:val="231F20"/>
                <w:spacing w:val="-5"/>
                <w:w w:val="115"/>
                <w:sz w:val="19"/>
              </w:rPr>
              <w:t>OB</w:t>
            </w:r>
          </w:p>
        </w:tc>
        <w:tc>
          <w:tcPr>
            <w:tcW w:w="551" w:type="dxa"/>
          </w:tcPr>
          <w:p>
            <w:pPr>
              <w:pStyle w:val="TableParagraph"/>
              <w:spacing w:line="220" w:lineRule="exact" w:before="19"/>
              <w:ind w:right="74"/>
              <w:jc w:val="right"/>
              <w:rPr>
                <w:sz w:val="19"/>
              </w:rPr>
            </w:pPr>
            <w:r>
              <w:rPr>
                <w:color w:val="231F20"/>
                <w:spacing w:val="-5"/>
                <w:sz w:val="19"/>
              </w:rPr>
              <w:t>138</w:t>
            </w:r>
          </w:p>
        </w:tc>
      </w:tr>
      <w:tr>
        <w:trPr>
          <w:trHeight w:val="259" w:hRule="atLeast"/>
        </w:trPr>
        <w:tc>
          <w:tcPr>
            <w:tcW w:w="1243" w:type="dxa"/>
          </w:tcPr>
          <w:p>
            <w:pPr>
              <w:pStyle w:val="TableParagraph"/>
              <w:spacing w:line="220" w:lineRule="exact" w:before="19"/>
              <w:ind w:left="50"/>
              <w:jc w:val="left"/>
              <w:rPr>
                <w:b/>
                <w:sz w:val="19"/>
              </w:rPr>
            </w:pPr>
            <w:r>
              <w:rPr>
                <w:b/>
                <w:color w:val="231F20"/>
                <w:spacing w:val="-4"/>
                <w:w w:val="110"/>
                <w:sz w:val="19"/>
              </w:rPr>
              <w:t>MBWA</w:t>
            </w:r>
          </w:p>
        </w:tc>
        <w:tc>
          <w:tcPr>
            <w:tcW w:w="3547" w:type="dxa"/>
          </w:tcPr>
          <w:p>
            <w:pPr>
              <w:pStyle w:val="TableParagraph"/>
              <w:spacing w:line="220" w:lineRule="exact" w:before="19"/>
              <w:ind w:left="116"/>
              <w:jc w:val="left"/>
              <w:rPr>
                <w:sz w:val="19"/>
              </w:rPr>
            </w:pPr>
            <w:r>
              <w:rPr>
                <w:color w:val="231F20"/>
                <w:sz w:val="19"/>
              </w:rPr>
              <w:t>management</w:t>
            </w:r>
            <w:r>
              <w:rPr>
                <w:color w:val="231F20"/>
                <w:spacing w:val="5"/>
                <w:sz w:val="19"/>
              </w:rPr>
              <w:t> </w:t>
            </w:r>
            <w:r>
              <w:rPr>
                <w:color w:val="231F20"/>
                <w:sz w:val="19"/>
              </w:rPr>
              <w:t>by</w:t>
            </w:r>
            <w:r>
              <w:rPr>
                <w:color w:val="231F20"/>
                <w:spacing w:val="5"/>
                <w:sz w:val="19"/>
              </w:rPr>
              <w:t> </w:t>
            </w:r>
            <w:r>
              <w:rPr>
                <w:color w:val="231F20"/>
                <w:sz w:val="19"/>
              </w:rPr>
              <w:t>walking</w:t>
            </w:r>
            <w:r>
              <w:rPr>
                <w:color w:val="231F20"/>
                <w:spacing w:val="5"/>
                <w:sz w:val="19"/>
              </w:rPr>
              <w:t> </w:t>
            </w:r>
            <w:r>
              <w:rPr>
                <w:color w:val="231F20"/>
                <w:spacing w:val="-2"/>
                <w:sz w:val="19"/>
              </w:rPr>
              <w:t>around</w:t>
            </w:r>
          </w:p>
        </w:tc>
        <w:tc>
          <w:tcPr>
            <w:tcW w:w="966" w:type="dxa"/>
          </w:tcPr>
          <w:p>
            <w:pPr>
              <w:pStyle w:val="TableParagraph"/>
              <w:spacing w:line="220" w:lineRule="exact" w:before="19"/>
              <w:ind w:left="217" w:right="82"/>
              <w:rPr>
                <w:sz w:val="19"/>
              </w:rPr>
            </w:pPr>
            <w:r>
              <w:rPr>
                <w:color w:val="231F20"/>
                <w:spacing w:val="-5"/>
                <w:w w:val="115"/>
                <w:sz w:val="19"/>
              </w:rPr>
              <w:t>OB</w:t>
            </w:r>
          </w:p>
        </w:tc>
        <w:tc>
          <w:tcPr>
            <w:tcW w:w="551" w:type="dxa"/>
          </w:tcPr>
          <w:p>
            <w:pPr>
              <w:pStyle w:val="TableParagraph"/>
              <w:spacing w:line="220" w:lineRule="exact" w:before="19"/>
              <w:ind w:right="74"/>
              <w:jc w:val="right"/>
              <w:rPr>
                <w:sz w:val="19"/>
              </w:rPr>
            </w:pPr>
            <w:r>
              <w:rPr>
                <w:color w:val="231F20"/>
                <w:spacing w:val="-5"/>
                <w:sz w:val="19"/>
              </w:rPr>
              <w:t>138</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20"/>
                <w:sz w:val="19"/>
              </w:rPr>
              <w:t>MNC</w:t>
            </w:r>
          </w:p>
        </w:tc>
        <w:tc>
          <w:tcPr>
            <w:tcW w:w="3547" w:type="dxa"/>
          </w:tcPr>
          <w:p>
            <w:pPr>
              <w:pStyle w:val="TableParagraph"/>
              <w:spacing w:line="220" w:lineRule="exact" w:before="19"/>
              <w:ind w:left="116"/>
              <w:jc w:val="left"/>
              <w:rPr>
                <w:sz w:val="19"/>
              </w:rPr>
            </w:pPr>
            <w:r>
              <w:rPr>
                <w:color w:val="231F20"/>
                <w:sz w:val="19"/>
              </w:rPr>
              <w:t>multinational</w:t>
            </w:r>
            <w:r>
              <w:rPr>
                <w:color w:val="231F20"/>
                <w:spacing w:val="10"/>
                <w:sz w:val="19"/>
              </w:rPr>
              <w:t> </w:t>
            </w:r>
            <w:r>
              <w:rPr>
                <w:color w:val="231F20"/>
                <w:spacing w:val="-2"/>
                <w:sz w:val="19"/>
              </w:rPr>
              <w:t>corporation</w:t>
            </w:r>
          </w:p>
        </w:tc>
        <w:tc>
          <w:tcPr>
            <w:tcW w:w="966" w:type="dxa"/>
          </w:tcPr>
          <w:p>
            <w:pPr>
              <w:pStyle w:val="TableParagraph"/>
              <w:spacing w:line="220" w:lineRule="exact" w:before="19"/>
              <w:ind w:left="135"/>
              <w:rPr>
                <w:sz w:val="19"/>
              </w:rPr>
            </w:pPr>
            <w:r>
              <w:rPr>
                <w:color w:val="231F20"/>
                <w:w w:val="100"/>
                <w:sz w:val="19"/>
              </w:rPr>
              <w:t>S</w:t>
            </w:r>
          </w:p>
        </w:tc>
        <w:tc>
          <w:tcPr>
            <w:tcW w:w="551" w:type="dxa"/>
          </w:tcPr>
          <w:p>
            <w:pPr>
              <w:pStyle w:val="TableParagraph"/>
              <w:spacing w:line="220" w:lineRule="exact" w:before="19"/>
              <w:ind w:right="74"/>
              <w:jc w:val="right"/>
              <w:rPr>
                <w:sz w:val="19"/>
              </w:rPr>
            </w:pPr>
            <w:r>
              <w:rPr>
                <w:color w:val="231F20"/>
                <w:spacing w:val="-5"/>
                <w:sz w:val="19"/>
              </w:rPr>
              <w:t>357</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05"/>
                <w:sz w:val="19"/>
              </w:rPr>
              <w:t>MRP</w:t>
            </w:r>
          </w:p>
        </w:tc>
        <w:tc>
          <w:tcPr>
            <w:tcW w:w="3547" w:type="dxa"/>
          </w:tcPr>
          <w:p>
            <w:pPr>
              <w:pStyle w:val="TableParagraph"/>
              <w:spacing w:line="220" w:lineRule="exact" w:before="19"/>
              <w:ind w:left="116"/>
              <w:jc w:val="left"/>
              <w:rPr>
                <w:sz w:val="19"/>
              </w:rPr>
            </w:pPr>
            <w:r>
              <w:rPr>
                <w:color w:val="231F20"/>
                <w:w w:val="95"/>
                <w:sz w:val="19"/>
              </w:rPr>
              <w:t>material</w:t>
            </w:r>
            <w:r>
              <w:rPr>
                <w:color w:val="231F20"/>
                <w:spacing w:val="25"/>
                <w:sz w:val="19"/>
              </w:rPr>
              <w:t> </w:t>
            </w:r>
            <w:r>
              <w:rPr>
                <w:color w:val="231F20"/>
                <w:w w:val="95"/>
                <w:sz w:val="19"/>
              </w:rPr>
              <w:t>requirements</w:t>
            </w:r>
            <w:r>
              <w:rPr>
                <w:color w:val="231F20"/>
                <w:spacing w:val="26"/>
                <w:sz w:val="19"/>
              </w:rPr>
              <w:t> </w:t>
            </w:r>
            <w:r>
              <w:rPr>
                <w:color w:val="231F20"/>
                <w:spacing w:val="-2"/>
                <w:w w:val="95"/>
                <w:sz w:val="19"/>
              </w:rPr>
              <w:t>planning</w:t>
            </w:r>
          </w:p>
        </w:tc>
        <w:tc>
          <w:tcPr>
            <w:tcW w:w="966" w:type="dxa"/>
          </w:tcPr>
          <w:p>
            <w:pPr>
              <w:pStyle w:val="TableParagraph"/>
              <w:spacing w:line="220" w:lineRule="exact" w:before="19"/>
              <w:ind w:left="217" w:right="82"/>
              <w:rPr>
                <w:sz w:val="19"/>
              </w:rPr>
            </w:pPr>
            <w:r>
              <w:rPr>
                <w:color w:val="231F20"/>
                <w:spacing w:val="-5"/>
                <w:w w:val="115"/>
                <w:sz w:val="19"/>
              </w:rPr>
              <w:t>OP</w:t>
            </w:r>
          </w:p>
        </w:tc>
        <w:tc>
          <w:tcPr>
            <w:tcW w:w="551" w:type="dxa"/>
          </w:tcPr>
          <w:p>
            <w:pPr>
              <w:pStyle w:val="TableParagraph"/>
              <w:spacing w:line="220" w:lineRule="exact" w:before="19"/>
              <w:ind w:right="74"/>
              <w:jc w:val="right"/>
              <w:rPr>
                <w:sz w:val="19"/>
              </w:rPr>
            </w:pPr>
            <w:r>
              <w:rPr>
                <w:color w:val="231F20"/>
                <w:spacing w:val="-5"/>
                <w:sz w:val="19"/>
              </w:rPr>
              <w:t>273</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10"/>
                <w:sz w:val="19"/>
              </w:rPr>
              <w:t>NNP</w:t>
            </w:r>
          </w:p>
        </w:tc>
        <w:tc>
          <w:tcPr>
            <w:tcW w:w="3547" w:type="dxa"/>
          </w:tcPr>
          <w:p>
            <w:pPr>
              <w:pStyle w:val="TableParagraph"/>
              <w:spacing w:line="220" w:lineRule="exact" w:before="19"/>
              <w:ind w:left="116"/>
              <w:jc w:val="left"/>
              <w:rPr>
                <w:sz w:val="19"/>
              </w:rPr>
            </w:pPr>
            <w:r>
              <w:rPr>
                <w:color w:val="231F20"/>
                <w:sz w:val="19"/>
              </w:rPr>
              <w:t>net</w:t>
            </w:r>
            <w:r>
              <w:rPr>
                <w:color w:val="231F20"/>
                <w:spacing w:val="8"/>
                <w:sz w:val="19"/>
              </w:rPr>
              <w:t> </w:t>
            </w:r>
            <w:r>
              <w:rPr>
                <w:color w:val="231F20"/>
                <w:sz w:val="19"/>
              </w:rPr>
              <w:t>national</w:t>
            </w:r>
            <w:r>
              <w:rPr>
                <w:color w:val="231F20"/>
                <w:spacing w:val="8"/>
                <w:sz w:val="19"/>
              </w:rPr>
              <w:t> </w:t>
            </w:r>
            <w:r>
              <w:rPr>
                <w:color w:val="231F20"/>
                <w:spacing w:val="-2"/>
                <w:sz w:val="19"/>
              </w:rPr>
              <w:t>product</w:t>
            </w:r>
          </w:p>
        </w:tc>
        <w:tc>
          <w:tcPr>
            <w:tcW w:w="966" w:type="dxa"/>
          </w:tcPr>
          <w:p>
            <w:pPr>
              <w:pStyle w:val="TableParagraph"/>
              <w:spacing w:line="220" w:lineRule="exact" w:before="19"/>
              <w:ind w:left="134"/>
              <w:rPr>
                <w:sz w:val="19"/>
              </w:rPr>
            </w:pPr>
            <w:r>
              <w:rPr>
                <w:color w:val="231F20"/>
                <w:w w:val="106"/>
                <w:sz w:val="19"/>
              </w:rPr>
              <w:t>E</w:t>
            </w:r>
          </w:p>
        </w:tc>
        <w:tc>
          <w:tcPr>
            <w:tcW w:w="551" w:type="dxa"/>
          </w:tcPr>
          <w:p>
            <w:pPr>
              <w:pStyle w:val="TableParagraph"/>
              <w:spacing w:line="220" w:lineRule="exact" w:before="19"/>
              <w:ind w:right="74"/>
              <w:jc w:val="right"/>
              <w:rPr>
                <w:sz w:val="19"/>
              </w:rPr>
            </w:pPr>
            <w:r>
              <w:rPr>
                <w:color w:val="231F20"/>
                <w:spacing w:val="-5"/>
                <w:sz w:val="19"/>
              </w:rPr>
              <w:t>301</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10"/>
                <w:sz w:val="19"/>
              </w:rPr>
              <w:t>NPV</w:t>
            </w:r>
          </w:p>
        </w:tc>
        <w:tc>
          <w:tcPr>
            <w:tcW w:w="3547" w:type="dxa"/>
          </w:tcPr>
          <w:p>
            <w:pPr>
              <w:pStyle w:val="TableParagraph"/>
              <w:spacing w:line="220" w:lineRule="exact" w:before="19"/>
              <w:ind w:left="116"/>
              <w:jc w:val="left"/>
              <w:rPr>
                <w:sz w:val="19"/>
              </w:rPr>
            </w:pPr>
            <w:r>
              <w:rPr>
                <w:color w:val="231F20"/>
                <w:w w:val="95"/>
                <w:sz w:val="19"/>
              </w:rPr>
              <w:t>net</w:t>
            </w:r>
            <w:r>
              <w:rPr>
                <w:color w:val="231F20"/>
                <w:spacing w:val="11"/>
                <w:sz w:val="19"/>
              </w:rPr>
              <w:t> </w:t>
            </w:r>
            <w:r>
              <w:rPr>
                <w:color w:val="231F20"/>
                <w:w w:val="95"/>
                <w:sz w:val="19"/>
              </w:rPr>
              <w:t>present</w:t>
            </w:r>
            <w:r>
              <w:rPr>
                <w:color w:val="231F20"/>
                <w:spacing w:val="11"/>
                <w:sz w:val="19"/>
              </w:rPr>
              <w:t> </w:t>
            </w:r>
            <w:r>
              <w:rPr>
                <w:color w:val="231F20"/>
                <w:spacing w:val="-2"/>
                <w:w w:val="95"/>
                <w:sz w:val="19"/>
              </w:rPr>
              <w:t>value</w:t>
            </w:r>
          </w:p>
        </w:tc>
        <w:tc>
          <w:tcPr>
            <w:tcW w:w="966" w:type="dxa"/>
          </w:tcPr>
          <w:p>
            <w:pPr>
              <w:pStyle w:val="TableParagraph"/>
              <w:spacing w:line="220" w:lineRule="exact" w:before="19"/>
              <w:ind w:left="134"/>
              <w:rPr>
                <w:sz w:val="19"/>
              </w:rPr>
            </w:pPr>
            <w:r>
              <w:rPr>
                <w:color w:val="231F20"/>
                <w:w w:val="127"/>
                <w:sz w:val="19"/>
              </w:rPr>
              <w:t>Q</w:t>
            </w:r>
          </w:p>
        </w:tc>
        <w:tc>
          <w:tcPr>
            <w:tcW w:w="551" w:type="dxa"/>
          </w:tcPr>
          <w:p>
            <w:pPr>
              <w:pStyle w:val="TableParagraph"/>
              <w:spacing w:line="220" w:lineRule="exact" w:before="19"/>
              <w:ind w:right="74"/>
              <w:jc w:val="right"/>
              <w:rPr>
                <w:sz w:val="19"/>
              </w:rPr>
            </w:pPr>
            <w:r>
              <w:rPr>
                <w:color w:val="231F20"/>
                <w:spacing w:val="-5"/>
                <w:sz w:val="19"/>
              </w:rPr>
              <w:t>172</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sz w:val="19"/>
              </w:rPr>
              <w:t>PE</w:t>
            </w:r>
          </w:p>
        </w:tc>
        <w:tc>
          <w:tcPr>
            <w:tcW w:w="3547" w:type="dxa"/>
          </w:tcPr>
          <w:p>
            <w:pPr>
              <w:pStyle w:val="TableParagraph"/>
              <w:spacing w:line="220" w:lineRule="exact" w:before="19"/>
              <w:ind w:left="116"/>
              <w:jc w:val="left"/>
              <w:rPr>
                <w:sz w:val="19"/>
              </w:rPr>
            </w:pPr>
            <w:r>
              <w:rPr>
                <w:color w:val="231F20"/>
                <w:w w:val="95"/>
                <w:sz w:val="19"/>
              </w:rPr>
              <w:t>price-earnings</w:t>
            </w:r>
            <w:r>
              <w:rPr>
                <w:color w:val="231F20"/>
                <w:spacing w:val="33"/>
                <w:sz w:val="19"/>
              </w:rPr>
              <w:t> </w:t>
            </w:r>
            <w:r>
              <w:rPr>
                <w:color w:val="231F20"/>
                <w:spacing w:val="-2"/>
                <w:w w:val="95"/>
                <w:sz w:val="19"/>
              </w:rPr>
              <w:t>ratio</w:t>
            </w:r>
          </w:p>
        </w:tc>
        <w:tc>
          <w:tcPr>
            <w:tcW w:w="966" w:type="dxa"/>
          </w:tcPr>
          <w:p>
            <w:pPr>
              <w:pStyle w:val="TableParagraph"/>
              <w:spacing w:line="220" w:lineRule="exact" w:before="19"/>
              <w:ind w:left="134"/>
              <w:rPr>
                <w:sz w:val="19"/>
              </w:rPr>
            </w:pPr>
            <w:r>
              <w:rPr>
                <w:color w:val="231F20"/>
                <w:w w:val="103"/>
                <w:sz w:val="19"/>
              </w:rPr>
              <w:t>F</w:t>
            </w:r>
          </w:p>
        </w:tc>
        <w:tc>
          <w:tcPr>
            <w:tcW w:w="551" w:type="dxa"/>
          </w:tcPr>
          <w:p>
            <w:pPr>
              <w:pStyle w:val="TableParagraph"/>
              <w:spacing w:line="220" w:lineRule="exact" w:before="19"/>
              <w:ind w:right="74"/>
              <w:jc w:val="right"/>
              <w:rPr>
                <w:sz w:val="19"/>
              </w:rPr>
            </w:pPr>
            <w:r>
              <w:rPr>
                <w:color w:val="231F20"/>
                <w:spacing w:val="-5"/>
                <w:sz w:val="19"/>
              </w:rPr>
              <w:t>218</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10"/>
                <w:sz w:val="19"/>
              </w:rPr>
              <w:t>PLC</w:t>
            </w:r>
          </w:p>
        </w:tc>
        <w:tc>
          <w:tcPr>
            <w:tcW w:w="3547" w:type="dxa"/>
          </w:tcPr>
          <w:p>
            <w:pPr>
              <w:pStyle w:val="TableParagraph"/>
              <w:spacing w:line="220" w:lineRule="exact" w:before="19"/>
              <w:ind w:left="116"/>
              <w:jc w:val="left"/>
              <w:rPr>
                <w:sz w:val="19"/>
              </w:rPr>
            </w:pPr>
            <w:r>
              <w:rPr>
                <w:color w:val="231F20"/>
                <w:sz w:val="19"/>
              </w:rPr>
              <w:t>product</w:t>
            </w:r>
            <w:r>
              <w:rPr>
                <w:color w:val="231F20"/>
                <w:spacing w:val="8"/>
                <w:sz w:val="19"/>
              </w:rPr>
              <w:t> </w:t>
            </w:r>
            <w:r>
              <w:rPr>
                <w:color w:val="231F20"/>
                <w:sz w:val="19"/>
              </w:rPr>
              <w:t>life</w:t>
            </w:r>
            <w:r>
              <w:rPr>
                <w:color w:val="231F20"/>
                <w:spacing w:val="9"/>
                <w:sz w:val="19"/>
              </w:rPr>
              <w:t> </w:t>
            </w:r>
            <w:r>
              <w:rPr>
                <w:color w:val="231F20"/>
                <w:spacing w:val="-2"/>
                <w:sz w:val="19"/>
              </w:rPr>
              <w:t>cycle</w:t>
            </w:r>
          </w:p>
        </w:tc>
        <w:tc>
          <w:tcPr>
            <w:tcW w:w="966" w:type="dxa"/>
          </w:tcPr>
          <w:p>
            <w:pPr>
              <w:pStyle w:val="TableParagraph"/>
              <w:spacing w:line="220" w:lineRule="exact" w:before="19"/>
              <w:ind w:left="134"/>
              <w:rPr>
                <w:sz w:val="19"/>
              </w:rPr>
            </w:pPr>
            <w:r>
              <w:rPr>
                <w:color w:val="231F20"/>
                <w:w w:val="122"/>
                <w:sz w:val="19"/>
              </w:rPr>
              <w:t>M</w:t>
            </w:r>
          </w:p>
        </w:tc>
        <w:tc>
          <w:tcPr>
            <w:tcW w:w="551" w:type="dxa"/>
          </w:tcPr>
          <w:p>
            <w:pPr>
              <w:pStyle w:val="TableParagraph"/>
              <w:spacing w:line="220" w:lineRule="exact" w:before="19"/>
              <w:ind w:right="74"/>
              <w:jc w:val="right"/>
              <w:rPr>
                <w:sz w:val="19"/>
              </w:rPr>
            </w:pPr>
            <w:r>
              <w:rPr>
                <w:color w:val="231F20"/>
                <w:spacing w:val="-5"/>
                <w:sz w:val="19"/>
              </w:rPr>
              <w:t>17</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sz w:val="19"/>
              </w:rPr>
              <w:t>POP</w:t>
            </w:r>
          </w:p>
        </w:tc>
        <w:tc>
          <w:tcPr>
            <w:tcW w:w="3547" w:type="dxa"/>
          </w:tcPr>
          <w:p>
            <w:pPr>
              <w:pStyle w:val="TableParagraph"/>
              <w:spacing w:line="220" w:lineRule="exact" w:before="19"/>
              <w:ind w:left="116"/>
              <w:jc w:val="left"/>
              <w:rPr>
                <w:sz w:val="19"/>
              </w:rPr>
            </w:pPr>
            <w:r>
              <w:rPr>
                <w:color w:val="231F20"/>
                <w:sz w:val="19"/>
              </w:rPr>
              <w:t>point</w:t>
            </w:r>
            <w:r>
              <w:rPr>
                <w:color w:val="231F20"/>
                <w:spacing w:val="14"/>
                <w:sz w:val="19"/>
              </w:rPr>
              <w:t> </w:t>
            </w:r>
            <w:r>
              <w:rPr>
                <w:color w:val="231F20"/>
                <w:sz w:val="19"/>
              </w:rPr>
              <w:t>of</w:t>
            </w:r>
            <w:r>
              <w:rPr>
                <w:color w:val="231F20"/>
                <w:spacing w:val="15"/>
                <w:sz w:val="19"/>
              </w:rPr>
              <w:t> </w:t>
            </w:r>
            <w:r>
              <w:rPr>
                <w:color w:val="231F20"/>
                <w:spacing w:val="-2"/>
                <w:sz w:val="19"/>
              </w:rPr>
              <w:t>purchase</w:t>
            </w:r>
          </w:p>
        </w:tc>
        <w:tc>
          <w:tcPr>
            <w:tcW w:w="966" w:type="dxa"/>
          </w:tcPr>
          <w:p>
            <w:pPr>
              <w:pStyle w:val="TableParagraph"/>
              <w:spacing w:line="220" w:lineRule="exact" w:before="19"/>
              <w:ind w:left="134"/>
              <w:rPr>
                <w:sz w:val="19"/>
              </w:rPr>
            </w:pPr>
            <w:r>
              <w:rPr>
                <w:color w:val="231F20"/>
                <w:w w:val="122"/>
                <w:sz w:val="19"/>
              </w:rPr>
              <w:t>M</w:t>
            </w:r>
          </w:p>
        </w:tc>
        <w:tc>
          <w:tcPr>
            <w:tcW w:w="551" w:type="dxa"/>
          </w:tcPr>
          <w:p>
            <w:pPr>
              <w:pStyle w:val="TableParagraph"/>
              <w:spacing w:line="220" w:lineRule="exact" w:before="19"/>
              <w:ind w:right="74"/>
              <w:jc w:val="right"/>
              <w:rPr>
                <w:sz w:val="19"/>
              </w:rPr>
            </w:pPr>
            <w:r>
              <w:rPr>
                <w:color w:val="231F20"/>
                <w:spacing w:val="-5"/>
                <w:sz w:val="19"/>
              </w:rPr>
              <w:t>43</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10"/>
                <w:sz w:val="19"/>
              </w:rPr>
              <w:t>QWL</w:t>
            </w:r>
          </w:p>
        </w:tc>
        <w:tc>
          <w:tcPr>
            <w:tcW w:w="3547" w:type="dxa"/>
          </w:tcPr>
          <w:p>
            <w:pPr>
              <w:pStyle w:val="TableParagraph"/>
              <w:spacing w:line="220" w:lineRule="exact" w:before="19"/>
              <w:ind w:left="116"/>
              <w:jc w:val="left"/>
              <w:rPr>
                <w:sz w:val="19"/>
              </w:rPr>
            </w:pPr>
            <w:r>
              <w:rPr>
                <w:color w:val="231F20"/>
                <w:sz w:val="19"/>
              </w:rPr>
              <w:t>quality</w:t>
            </w:r>
            <w:r>
              <w:rPr>
                <w:color w:val="231F20"/>
                <w:spacing w:val="14"/>
                <w:sz w:val="19"/>
              </w:rPr>
              <w:t> </w:t>
            </w:r>
            <w:r>
              <w:rPr>
                <w:color w:val="231F20"/>
                <w:sz w:val="19"/>
              </w:rPr>
              <w:t>of</w:t>
            </w:r>
            <w:r>
              <w:rPr>
                <w:color w:val="231F20"/>
                <w:spacing w:val="15"/>
                <w:sz w:val="19"/>
              </w:rPr>
              <w:t> </w:t>
            </w:r>
            <w:r>
              <w:rPr>
                <w:color w:val="231F20"/>
                <w:sz w:val="19"/>
              </w:rPr>
              <w:t>work</w:t>
            </w:r>
            <w:r>
              <w:rPr>
                <w:color w:val="231F20"/>
                <w:spacing w:val="14"/>
                <w:sz w:val="19"/>
              </w:rPr>
              <w:t> </w:t>
            </w:r>
            <w:r>
              <w:rPr>
                <w:color w:val="231F20"/>
                <w:spacing w:val="-4"/>
                <w:sz w:val="19"/>
              </w:rPr>
              <w:t>life</w:t>
            </w:r>
          </w:p>
        </w:tc>
        <w:tc>
          <w:tcPr>
            <w:tcW w:w="966" w:type="dxa"/>
          </w:tcPr>
          <w:p>
            <w:pPr>
              <w:pStyle w:val="TableParagraph"/>
              <w:spacing w:line="220" w:lineRule="exact" w:before="19"/>
              <w:ind w:left="217" w:right="82"/>
              <w:rPr>
                <w:sz w:val="19"/>
              </w:rPr>
            </w:pPr>
            <w:r>
              <w:rPr>
                <w:color w:val="231F20"/>
                <w:spacing w:val="-5"/>
                <w:w w:val="115"/>
                <w:sz w:val="19"/>
              </w:rPr>
              <w:t>OB</w:t>
            </w:r>
          </w:p>
        </w:tc>
        <w:tc>
          <w:tcPr>
            <w:tcW w:w="551" w:type="dxa"/>
          </w:tcPr>
          <w:p>
            <w:pPr>
              <w:pStyle w:val="TableParagraph"/>
              <w:spacing w:line="220" w:lineRule="exact" w:before="19"/>
              <w:ind w:right="74"/>
              <w:jc w:val="right"/>
              <w:rPr>
                <w:sz w:val="19"/>
              </w:rPr>
            </w:pPr>
            <w:r>
              <w:rPr>
                <w:color w:val="231F20"/>
                <w:spacing w:val="-5"/>
                <w:sz w:val="19"/>
              </w:rPr>
              <w:t>129</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05"/>
                <w:sz w:val="19"/>
              </w:rPr>
              <w:t>RIF</w:t>
            </w:r>
          </w:p>
        </w:tc>
        <w:tc>
          <w:tcPr>
            <w:tcW w:w="3547" w:type="dxa"/>
          </w:tcPr>
          <w:p>
            <w:pPr>
              <w:pStyle w:val="TableParagraph"/>
              <w:spacing w:line="220" w:lineRule="exact" w:before="19"/>
              <w:ind w:left="116"/>
              <w:jc w:val="left"/>
              <w:rPr>
                <w:sz w:val="19"/>
              </w:rPr>
            </w:pPr>
            <w:r>
              <w:rPr>
                <w:color w:val="231F20"/>
                <w:sz w:val="19"/>
              </w:rPr>
              <w:t>reduction</w:t>
            </w:r>
            <w:r>
              <w:rPr>
                <w:color w:val="231F20"/>
                <w:spacing w:val="2"/>
                <w:sz w:val="19"/>
              </w:rPr>
              <w:t> </w:t>
            </w:r>
            <w:r>
              <w:rPr>
                <w:color w:val="231F20"/>
                <w:sz w:val="19"/>
              </w:rPr>
              <w:t>in</w:t>
            </w:r>
            <w:r>
              <w:rPr>
                <w:color w:val="231F20"/>
                <w:spacing w:val="3"/>
                <w:sz w:val="19"/>
              </w:rPr>
              <w:t> </w:t>
            </w:r>
            <w:r>
              <w:rPr>
                <w:color w:val="231F20"/>
                <w:sz w:val="19"/>
              </w:rPr>
              <w:t>force</w:t>
            </w:r>
            <w:r>
              <w:rPr>
                <w:color w:val="231F20"/>
                <w:spacing w:val="3"/>
                <w:sz w:val="19"/>
              </w:rPr>
              <w:t> </w:t>
            </w:r>
            <w:r>
              <w:rPr>
                <w:color w:val="231F20"/>
                <w:spacing w:val="-2"/>
                <w:sz w:val="19"/>
              </w:rPr>
              <w:t>(layoff)</w:t>
            </w:r>
          </w:p>
        </w:tc>
        <w:tc>
          <w:tcPr>
            <w:tcW w:w="966" w:type="dxa"/>
          </w:tcPr>
          <w:p>
            <w:pPr>
              <w:pStyle w:val="TableParagraph"/>
              <w:spacing w:line="220" w:lineRule="exact" w:before="19"/>
              <w:ind w:left="217" w:right="82"/>
              <w:rPr>
                <w:sz w:val="19"/>
              </w:rPr>
            </w:pPr>
            <w:r>
              <w:rPr>
                <w:color w:val="231F20"/>
                <w:spacing w:val="-5"/>
                <w:w w:val="115"/>
                <w:sz w:val="19"/>
              </w:rPr>
              <w:t>OB</w:t>
            </w:r>
          </w:p>
        </w:tc>
        <w:tc>
          <w:tcPr>
            <w:tcW w:w="551" w:type="dxa"/>
          </w:tcPr>
          <w:p>
            <w:pPr>
              <w:pStyle w:val="TableParagraph"/>
              <w:spacing w:line="220" w:lineRule="exact" w:before="19"/>
              <w:ind w:right="74"/>
              <w:jc w:val="right"/>
              <w:rPr>
                <w:sz w:val="19"/>
              </w:rPr>
            </w:pPr>
            <w:r>
              <w:rPr>
                <w:color w:val="231F20"/>
                <w:spacing w:val="-5"/>
                <w:sz w:val="19"/>
              </w:rPr>
              <w:t>134</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10"/>
                <w:sz w:val="19"/>
              </w:rPr>
              <w:t>ROE</w:t>
            </w:r>
          </w:p>
        </w:tc>
        <w:tc>
          <w:tcPr>
            <w:tcW w:w="3547" w:type="dxa"/>
          </w:tcPr>
          <w:p>
            <w:pPr>
              <w:pStyle w:val="TableParagraph"/>
              <w:spacing w:line="220" w:lineRule="exact" w:before="19"/>
              <w:ind w:left="116"/>
              <w:jc w:val="left"/>
              <w:rPr>
                <w:sz w:val="19"/>
              </w:rPr>
            </w:pPr>
            <w:r>
              <w:rPr>
                <w:color w:val="231F20"/>
                <w:sz w:val="19"/>
              </w:rPr>
              <w:t>return</w:t>
            </w:r>
            <w:r>
              <w:rPr>
                <w:color w:val="231F20"/>
                <w:spacing w:val="1"/>
                <w:sz w:val="19"/>
              </w:rPr>
              <w:t> </w:t>
            </w:r>
            <w:r>
              <w:rPr>
                <w:color w:val="231F20"/>
                <w:sz w:val="19"/>
              </w:rPr>
              <w:t>on</w:t>
            </w:r>
            <w:r>
              <w:rPr>
                <w:color w:val="231F20"/>
                <w:spacing w:val="2"/>
                <w:sz w:val="19"/>
              </w:rPr>
              <w:t> </w:t>
            </w:r>
            <w:r>
              <w:rPr>
                <w:color w:val="231F20"/>
                <w:spacing w:val="-2"/>
                <w:sz w:val="19"/>
              </w:rPr>
              <w:t>equity</w:t>
            </w:r>
          </w:p>
        </w:tc>
        <w:tc>
          <w:tcPr>
            <w:tcW w:w="966" w:type="dxa"/>
          </w:tcPr>
          <w:p>
            <w:pPr>
              <w:pStyle w:val="TableParagraph"/>
              <w:spacing w:line="220" w:lineRule="exact" w:before="19"/>
              <w:ind w:left="134"/>
              <w:rPr>
                <w:sz w:val="19"/>
              </w:rPr>
            </w:pPr>
            <w:r>
              <w:rPr>
                <w:color w:val="231F20"/>
                <w:w w:val="115"/>
                <w:sz w:val="19"/>
              </w:rPr>
              <w:t>A</w:t>
            </w:r>
          </w:p>
        </w:tc>
        <w:tc>
          <w:tcPr>
            <w:tcW w:w="551" w:type="dxa"/>
          </w:tcPr>
          <w:p>
            <w:pPr>
              <w:pStyle w:val="TableParagraph"/>
              <w:spacing w:line="220" w:lineRule="exact" w:before="19"/>
              <w:ind w:right="74"/>
              <w:jc w:val="right"/>
              <w:rPr>
                <w:sz w:val="19"/>
              </w:rPr>
            </w:pPr>
            <w:r>
              <w:rPr>
                <w:color w:val="231F20"/>
                <w:spacing w:val="-5"/>
                <w:sz w:val="19"/>
              </w:rPr>
              <w:t>108</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05"/>
                <w:sz w:val="19"/>
              </w:rPr>
              <w:t>SBU</w:t>
            </w:r>
          </w:p>
        </w:tc>
        <w:tc>
          <w:tcPr>
            <w:tcW w:w="3547" w:type="dxa"/>
          </w:tcPr>
          <w:p>
            <w:pPr>
              <w:pStyle w:val="TableParagraph"/>
              <w:spacing w:line="220" w:lineRule="exact" w:before="19"/>
              <w:ind w:left="116"/>
              <w:jc w:val="left"/>
              <w:rPr>
                <w:sz w:val="19"/>
              </w:rPr>
            </w:pPr>
            <w:r>
              <w:rPr>
                <w:color w:val="231F20"/>
                <w:w w:val="95"/>
                <w:sz w:val="19"/>
              </w:rPr>
              <w:t>strategic</w:t>
            </w:r>
            <w:r>
              <w:rPr>
                <w:color w:val="231F20"/>
                <w:spacing w:val="17"/>
                <w:sz w:val="19"/>
              </w:rPr>
              <w:t> </w:t>
            </w:r>
            <w:r>
              <w:rPr>
                <w:color w:val="231F20"/>
                <w:w w:val="95"/>
                <w:sz w:val="19"/>
              </w:rPr>
              <w:t>business</w:t>
            </w:r>
            <w:r>
              <w:rPr>
                <w:color w:val="231F20"/>
                <w:spacing w:val="17"/>
                <w:sz w:val="19"/>
              </w:rPr>
              <w:t> </w:t>
            </w:r>
            <w:r>
              <w:rPr>
                <w:color w:val="231F20"/>
                <w:spacing w:val="-4"/>
                <w:w w:val="95"/>
                <w:sz w:val="19"/>
              </w:rPr>
              <w:t>unit</w:t>
            </w:r>
          </w:p>
        </w:tc>
        <w:tc>
          <w:tcPr>
            <w:tcW w:w="966" w:type="dxa"/>
          </w:tcPr>
          <w:p>
            <w:pPr>
              <w:pStyle w:val="TableParagraph"/>
              <w:spacing w:line="220" w:lineRule="exact" w:before="19"/>
              <w:ind w:left="135"/>
              <w:rPr>
                <w:sz w:val="19"/>
              </w:rPr>
            </w:pPr>
            <w:r>
              <w:rPr>
                <w:color w:val="231F20"/>
                <w:w w:val="100"/>
                <w:sz w:val="19"/>
              </w:rPr>
              <w:t>S</w:t>
            </w:r>
          </w:p>
        </w:tc>
        <w:tc>
          <w:tcPr>
            <w:tcW w:w="551" w:type="dxa"/>
          </w:tcPr>
          <w:p>
            <w:pPr>
              <w:pStyle w:val="TableParagraph"/>
              <w:spacing w:line="220" w:lineRule="exact" w:before="19"/>
              <w:ind w:right="74"/>
              <w:jc w:val="right"/>
              <w:rPr>
                <w:sz w:val="19"/>
              </w:rPr>
            </w:pPr>
            <w:r>
              <w:rPr>
                <w:color w:val="231F20"/>
                <w:spacing w:val="-5"/>
                <w:sz w:val="19"/>
              </w:rPr>
              <w:t>353</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10"/>
                <w:sz w:val="19"/>
              </w:rPr>
              <w:t>SEC</w:t>
            </w:r>
          </w:p>
        </w:tc>
        <w:tc>
          <w:tcPr>
            <w:tcW w:w="3547" w:type="dxa"/>
          </w:tcPr>
          <w:p>
            <w:pPr>
              <w:pStyle w:val="TableParagraph"/>
              <w:spacing w:line="220" w:lineRule="exact" w:before="19"/>
              <w:ind w:left="116"/>
              <w:jc w:val="left"/>
              <w:rPr>
                <w:sz w:val="19"/>
              </w:rPr>
            </w:pPr>
            <w:r>
              <w:rPr>
                <w:color w:val="231F20"/>
                <w:sz w:val="19"/>
              </w:rPr>
              <w:t>Securities</w:t>
            </w:r>
            <w:r>
              <w:rPr>
                <w:color w:val="231F20"/>
                <w:spacing w:val="4"/>
                <w:sz w:val="19"/>
              </w:rPr>
              <w:t> </w:t>
            </w:r>
            <w:r>
              <w:rPr>
                <w:color w:val="231F20"/>
                <w:sz w:val="19"/>
              </w:rPr>
              <w:t>and</w:t>
            </w:r>
            <w:r>
              <w:rPr>
                <w:color w:val="231F20"/>
                <w:spacing w:val="5"/>
                <w:sz w:val="19"/>
              </w:rPr>
              <w:t> </w:t>
            </w:r>
            <w:r>
              <w:rPr>
                <w:color w:val="231F20"/>
                <w:sz w:val="19"/>
              </w:rPr>
              <w:t>Exchange</w:t>
            </w:r>
            <w:r>
              <w:rPr>
                <w:color w:val="231F20"/>
                <w:spacing w:val="4"/>
                <w:sz w:val="19"/>
              </w:rPr>
              <w:t> </w:t>
            </w:r>
            <w:r>
              <w:rPr>
                <w:color w:val="231F20"/>
                <w:spacing w:val="-2"/>
                <w:sz w:val="19"/>
              </w:rPr>
              <w:t>Commission</w:t>
            </w:r>
          </w:p>
        </w:tc>
        <w:tc>
          <w:tcPr>
            <w:tcW w:w="966" w:type="dxa"/>
          </w:tcPr>
          <w:p>
            <w:pPr>
              <w:pStyle w:val="TableParagraph"/>
              <w:spacing w:line="220" w:lineRule="exact" w:before="19"/>
              <w:ind w:left="135"/>
              <w:rPr>
                <w:sz w:val="19"/>
              </w:rPr>
            </w:pPr>
            <w:r>
              <w:rPr>
                <w:color w:val="231F20"/>
                <w:w w:val="103"/>
                <w:sz w:val="19"/>
              </w:rPr>
              <w:t>F</w:t>
            </w:r>
          </w:p>
        </w:tc>
        <w:tc>
          <w:tcPr>
            <w:tcW w:w="551" w:type="dxa"/>
          </w:tcPr>
          <w:p>
            <w:pPr>
              <w:pStyle w:val="TableParagraph"/>
              <w:spacing w:line="220" w:lineRule="exact" w:before="19"/>
              <w:ind w:right="74"/>
              <w:jc w:val="right"/>
              <w:rPr>
                <w:sz w:val="19"/>
              </w:rPr>
            </w:pPr>
            <w:r>
              <w:rPr>
                <w:color w:val="231F20"/>
                <w:spacing w:val="-5"/>
                <w:sz w:val="19"/>
              </w:rPr>
              <w:t>210</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05"/>
                <w:sz w:val="19"/>
              </w:rPr>
              <w:t>SKU</w:t>
            </w:r>
          </w:p>
        </w:tc>
        <w:tc>
          <w:tcPr>
            <w:tcW w:w="3547" w:type="dxa"/>
          </w:tcPr>
          <w:p>
            <w:pPr>
              <w:pStyle w:val="TableParagraph"/>
              <w:spacing w:line="220" w:lineRule="exact" w:before="19"/>
              <w:ind w:left="116"/>
              <w:jc w:val="left"/>
              <w:rPr>
                <w:sz w:val="19"/>
              </w:rPr>
            </w:pPr>
            <w:r>
              <w:rPr>
                <w:color w:val="231F20"/>
                <w:sz w:val="19"/>
              </w:rPr>
              <w:t>stock</w:t>
            </w:r>
            <w:r>
              <w:rPr>
                <w:color w:val="231F20"/>
                <w:spacing w:val="3"/>
                <w:sz w:val="19"/>
              </w:rPr>
              <w:t> </w:t>
            </w:r>
            <w:r>
              <w:rPr>
                <w:color w:val="231F20"/>
                <w:sz w:val="19"/>
              </w:rPr>
              <w:t>keeping</w:t>
            </w:r>
            <w:r>
              <w:rPr>
                <w:color w:val="231F20"/>
                <w:spacing w:val="4"/>
                <w:sz w:val="19"/>
              </w:rPr>
              <w:t> </w:t>
            </w:r>
            <w:r>
              <w:rPr>
                <w:color w:val="231F20"/>
                <w:spacing w:val="-4"/>
                <w:sz w:val="19"/>
              </w:rPr>
              <w:t>unit</w:t>
            </w:r>
          </w:p>
        </w:tc>
        <w:tc>
          <w:tcPr>
            <w:tcW w:w="966" w:type="dxa"/>
          </w:tcPr>
          <w:p>
            <w:pPr>
              <w:pStyle w:val="TableParagraph"/>
              <w:spacing w:line="220" w:lineRule="exact" w:before="19"/>
              <w:ind w:left="134"/>
              <w:rPr>
                <w:sz w:val="19"/>
              </w:rPr>
            </w:pPr>
            <w:r>
              <w:rPr>
                <w:color w:val="231F20"/>
                <w:w w:val="122"/>
                <w:sz w:val="19"/>
              </w:rPr>
              <w:t>M</w:t>
            </w:r>
          </w:p>
        </w:tc>
        <w:tc>
          <w:tcPr>
            <w:tcW w:w="551" w:type="dxa"/>
          </w:tcPr>
          <w:p>
            <w:pPr>
              <w:pStyle w:val="TableParagraph"/>
              <w:spacing w:line="220" w:lineRule="exact" w:before="19"/>
              <w:ind w:right="74"/>
              <w:jc w:val="right"/>
              <w:rPr>
                <w:sz w:val="19"/>
              </w:rPr>
            </w:pPr>
            <w:r>
              <w:rPr>
                <w:color w:val="231F20"/>
                <w:spacing w:val="-5"/>
                <w:sz w:val="19"/>
              </w:rPr>
              <w:t>31</w:t>
            </w:r>
          </w:p>
        </w:tc>
      </w:tr>
      <w:tr>
        <w:trPr>
          <w:trHeight w:val="259" w:hRule="atLeast"/>
        </w:trPr>
        <w:tc>
          <w:tcPr>
            <w:tcW w:w="1243" w:type="dxa"/>
          </w:tcPr>
          <w:p>
            <w:pPr>
              <w:pStyle w:val="TableParagraph"/>
              <w:spacing w:line="220" w:lineRule="exact" w:before="19"/>
              <w:ind w:left="50"/>
              <w:jc w:val="left"/>
              <w:rPr>
                <w:b/>
                <w:sz w:val="19"/>
              </w:rPr>
            </w:pPr>
            <w:r>
              <w:rPr>
                <w:b/>
                <w:color w:val="231F20"/>
                <w:spacing w:val="-4"/>
                <w:w w:val="105"/>
                <w:sz w:val="19"/>
              </w:rPr>
              <w:t>SMSA</w:t>
            </w:r>
          </w:p>
        </w:tc>
        <w:tc>
          <w:tcPr>
            <w:tcW w:w="3547" w:type="dxa"/>
          </w:tcPr>
          <w:p>
            <w:pPr>
              <w:pStyle w:val="TableParagraph"/>
              <w:spacing w:line="220" w:lineRule="exact" w:before="19"/>
              <w:ind w:left="116"/>
              <w:jc w:val="left"/>
              <w:rPr>
                <w:sz w:val="19"/>
              </w:rPr>
            </w:pPr>
            <w:r>
              <w:rPr>
                <w:color w:val="231F20"/>
                <w:sz w:val="19"/>
              </w:rPr>
              <w:t>Standard</w:t>
            </w:r>
            <w:r>
              <w:rPr>
                <w:color w:val="231F20"/>
                <w:spacing w:val="15"/>
                <w:sz w:val="19"/>
              </w:rPr>
              <w:t> </w:t>
            </w:r>
            <w:r>
              <w:rPr>
                <w:color w:val="231F20"/>
                <w:sz w:val="19"/>
              </w:rPr>
              <w:t>Metropolitan</w:t>
            </w:r>
            <w:r>
              <w:rPr>
                <w:color w:val="231F20"/>
                <w:spacing w:val="16"/>
                <w:sz w:val="19"/>
              </w:rPr>
              <w:t> </w:t>
            </w:r>
            <w:r>
              <w:rPr>
                <w:color w:val="231F20"/>
                <w:sz w:val="19"/>
              </w:rPr>
              <w:t>Statistical</w:t>
            </w:r>
            <w:r>
              <w:rPr>
                <w:color w:val="231F20"/>
                <w:spacing w:val="15"/>
                <w:sz w:val="19"/>
              </w:rPr>
              <w:t> </w:t>
            </w:r>
            <w:r>
              <w:rPr>
                <w:color w:val="231F20"/>
                <w:spacing w:val="-4"/>
                <w:sz w:val="19"/>
              </w:rPr>
              <w:t>Area</w:t>
            </w:r>
          </w:p>
        </w:tc>
        <w:tc>
          <w:tcPr>
            <w:tcW w:w="966" w:type="dxa"/>
          </w:tcPr>
          <w:p>
            <w:pPr>
              <w:pStyle w:val="TableParagraph"/>
              <w:spacing w:line="220" w:lineRule="exact" w:before="19"/>
              <w:ind w:left="135"/>
              <w:rPr>
                <w:sz w:val="19"/>
              </w:rPr>
            </w:pPr>
            <w:r>
              <w:rPr>
                <w:color w:val="231F20"/>
                <w:w w:val="122"/>
                <w:sz w:val="19"/>
              </w:rPr>
              <w:t>M</w:t>
            </w:r>
          </w:p>
        </w:tc>
        <w:tc>
          <w:tcPr>
            <w:tcW w:w="551" w:type="dxa"/>
          </w:tcPr>
          <w:p>
            <w:pPr>
              <w:pStyle w:val="TableParagraph"/>
              <w:spacing w:line="220" w:lineRule="exact" w:before="19"/>
              <w:ind w:right="74"/>
              <w:jc w:val="right"/>
              <w:rPr>
                <w:sz w:val="19"/>
              </w:rPr>
            </w:pPr>
            <w:r>
              <w:rPr>
                <w:color w:val="231F20"/>
                <w:spacing w:val="-5"/>
                <w:sz w:val="19"/>
              </w:rPr>
              <w:t>13</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05"/>
                <w:sz w:val="19"/>
              </w:rPr>
              <w:t>SPC</w:t>
            </w:r>
          </w:p>
        </w:tc>
        <w:tc>
          <w:tcPr>
            <w:tcW w:w="3547" w:type="dxa"/>
          </w:tcPr>
          <w:p>
            <w:pPr>
              <w:pStyle w:val="TableParagraph"/>
              <w:spacing w:line="220" w:lineRule="exact" w:before="19"/>
              <w:ind w:left="116"/>
              <w:jc w:val="left"/>
              <w:rPr>
                <w:sz w:val="19"/>
              </w:rPr>
            </w:pPr>
            <w:r>
              <w:rPr>
                <w:color w:val="231F20"/>
                <w:w w:val="95"/>
                <w:sz w:val="19"/>
              </w:rPr>
              <w:t>statistical</w:t>
            </w:r>
            <w:r>
              <w:rPr>
                <w:color w:val="231F20"/>
                <w:spacing w:val="24"/>
                <w:sz w:val="19"/>
              </w:rPr>
              <w:t> </w:t>
            </w:r>
            <w:r>
              <w:rPr>
                <w:color w:val="231F20"/>
                <w:w w:val="95"/>
                <w:sz w:val="19"/>
              </w:rPr>
              <w:t>process</w:t>
            </w:r>
            <w:r>
              <w:rPr>
                <w:color w:val="231F20"/>
                <w:spacing w:val="25"/>
                <w:sz w:val="19"/>
              </w:rPr>
              <w:t> </w:t>
            </w:r>
            <w:r>
              <w:rPr>
                <w:color w:val="231F20"/>
                <w:spacing w:val="-2"/>
                <w:w w:val="95"/>
                <w:sz w:val="19"/>
              </w:rPr>
              <w:t>control</w:t>
            </w:r>
          </w:p>
        </w:tc>
        <w:tc>
          <w:tcPr>
            <w:tcW w:w="966" w:type="dxa"/>
          </w:tcPr>
          <w:p>
            <w:pPr>
              <w:pStyle w:val="TableParagraph"/>
              <w:spacing w:line="220" w:lineRule="exact" w:before="19"/>
              <w:ind w:left="217" w:right="82"/>
              <w:rPr>
                <w:sz w:val="19"/>
              </w:rPr>
            </w:pPr>
            <w:r>
              <w:rPr>
                <w:color w:val="231F20"/>
                <w:spacing w:val="-5"/>
                <w:w w:val="115"/>
                <w:sz w:val="19"/>
              </w:rPr>
              <w:t>OP</w:t>
            </w:r>
          </w:p>
        </w:tc>
        <w:tc>
          <w:tcPr>
            <w:tcW w:w="551" w:type="dxa"/>
          </w:tcPr>
          <w:p>
            <w:pPr>
              <w:pStyle w:val="TableParagraph"/>
              <w:spacing w:line="220" w:lineRule="exact" w:before="19"/>
              <w:ind w:right="74"/>
              <w:jc w:val="right"/>
              <w:rPr>
                <w:sz w:val="19"/>
              </w:rPr>
            </w:pPr>
            <w:r>
              <w:rPr>
                <w:color w:val="231F20"/>
                <w:spacing w:val="-5"/>
                <w:sz w:val="19"/>
              </w:rPr>
              <w:t>277</w:t>
            </w:r>
          </w:p>
        </w:tc>
      </w:tr>
      <w:tr>
        <w:trPr>
          <w:trHeight w:val="262" w:hRule="atLeast"/>
        </w:trPr>
        <w:tc>
          <w:tcPr>
            <w:tcW w:w="1243" w:type="dxa"/>
          </w:tcPr>
          <w:p>
            <w:pPr>
              <w:pStyle w:val="TableParagraph"/>
              <w:spacing w:line="223" w:lineRule="exact" w:before="19"/>
              <w:ind w:left="50"/>
              <w:jc w:val="left"/>
              <w:rPr>
                <w:b/>
                <w:sz w:val="19"/>
              </w:rPr>
            </w:pPr>
            <w:r>
              <w:rPr>
                <w:b/>
                <w:color w:val="231F20"/>
                <w:spacing w:val="-4"/>
                <w:w w:val="110"/>
                <w:sz w:val="19"/>
              </w:rPr>
              <w:t>SWOT</w:t>
            </w:r>
          </w:p>
        </w:tc>
        <w:tc>
          <w:tcPr>
            <w:tcW w:w="3547" w:type="dxa"/>
          </w:tcPr>
          <w:p>
            <w:pPr>
              <w:pStyle w:val="TableParagraph"/>
              <w:spacing w:line="223" w:lineRule="exact" w:before="19"/>
              <w:ind w:left="116"/>
              <w:jc w:val="left"/>
              <w:rPr>
                <w:sz w:val="19"/>
              </w:rPr>
            </w:pPr>
            <w:r>
              <w:rPr>
                <w:color w:val="231F20"/>
                <w:w w:val="95"/>
                <w:sz w:val="19"/>
              </w:rPr>
              <w:t>strengths,</w:t>
            </w:r>
            <w:r>
              <w:rPr>
                <w:color w:val="231F20"/>
                <w:spacing w:val="32"/>
                <w:sz w:val="19"/>
              </w:rPr>
              <w:t> </w:t>
            </w:r>
            <w:r>
              <w:rPr>
                <w:color w:val="231F20"/>
                <w:w w:val="95"/>
                <w:sz w:val="19"/>
              </w:rPr>
              <w:t>weaknesses,</w:t>
            </w:r>
            <w:r>
              <w:rPr>
                <w:color w:val="231F20"/>
                <w:spacing w:val="32"/>
                <w:sz w:val="19"/>
              </w:rPr>
              <w:t> </w:t>
            </w:r>
            <w:r>
              <w:rPr>
                <w:color w:val="231F20"/>
                <w:spacing w:val="-2"/>
                <w:w w:val="95"/>
                <w:sz w:val="19"/>
              </w:rPr>
              <w:t>opportunities,</w:t>
            </w:r>
          </w:p>
        </w:tc>
        <w:tc>
          <w:tcPr>
            <w:tcW w:w="966" w:type="dxa"/>
          </w:tcPr>
          <w:p>
            <w:pPr>
              <w:pStyle w:val="TableParagraph"/>
              <w:spacing w:line="223" w:lineRule="exact" w:before="19"/>
              <w:ind w:left="135"/>
              <w:rPr>
                <w:sz w:val="19"/>
              </w:rPr>
            </w:pPr>
            <w:r>
              <w:rPr>
                <w:color w:val="231F20"/>
                <w:w w:val="122"/>
                <w:sz w:val="19"/>
              </w:rPr>
              <w:t>M</w:t>
            </w:r>
          </w:p>
        </w:tc>
        <w:tc>
          <w:tcPr>
            <w:tcW w:w="551" w:type="dxa"/>
          </w:tcPr>
          <w:p>
            <w:pPr>
              <w:pStyle w:val="TableParagraph"/>
              <w:spacing w:line="223" w:lineRule="exact" w:before="19"/>
              <w:ind w:right="74"/>
              <w:jc w:val="right"/>
              <w:rPr>
                <w:sz w:val="19"/>
              </w:rPr>
            </w:pPr>
            <w:r>
              <w:rPr>
                <w:color w:val="231F20"/>
                <w:spacing w:val="-5"/>
                <w:sz w:val="19"/>
              </w:rPr>
              <w:t>21</w:t>
            </w:r>
          </w:p>
        </w:tc>
      </w:tr>
      <w:tr>
        <w:trPr>
          <w:trHeight w:val="257" w:hRule="atLeast"/>
        </w:trPr>
        <w:tc>
          <w:tcPr>
            <w:tcW w:w="1243" w:type="dxa"/>
          </w:tcPr>
          <w:p>
            <w:pPr>
              <w:pStyle w:val="TableParagraph"/>
              <w:spacing w:before="0"/>
              <w:jc w:val="left"/>
              <w:rPr>
                <w:rFonts w:ascii="Times New Roman"/>
                <w:sz w:val="18"/>
              </w:rPr>
            </w:pPr>
          </w:p>
        </w:tc>
        <w:tc>
          <w:tcPr>
            <w:tcW w:w="3547" w:type="dxa"/>
          </w:tcPr>
          <w:p>
            <w:pPr>
              <w:pStyle w:val="TableParagraph"/>
              <w:spacing w:line="220" w:lineRule="exact" w:before="17"/>
              <w:ind w:left="116"/>
              <w:jc w:val="left"/>
              <w:rPr>
                <w:sz w:val="19"/>
              </w:rPr>
            </w:pPr>
            <w:r>
              <w:rPr>
                <w:color w:val="231F20"/>
                <w:spacing w:val="-2"/>
                <w:sz w:val="19"/>
              </w:rPr>
              <w:t>threats</w:t>
            </w:r>
          </w:p>
        </w:tc>
        <w:tc>
          <w:tcPr>
            <w:tcW w:w="966" w:type="dxa"/>
          </w:tcPr>
          <w:p>
            <w:pPr>
              <w:pStyle w:val="TableParagraph"/>
              <w:spacing w:before="0"/>
              <w:jc w:val="left"/>
              <w:rPr>
                <w:rFonts w:ascii="Times New Roman"/>
                <w:sz w:val="18"/>
              </w:rPr>
            </w:pPr>
          </w:p>
        </w:tc>
        <w:tc>
          <w:tcPr>
            <w:tcW w:w="551" w:type="dxa"/>
          </w:tcPr>
          <w:p>
            <w:pPr>
              <w:pStyle w:val="TableParagraph"/>
              <w:spacing w:before="0"/>
              <w:jc w:val="left"/>
              <w:rPr>
                <w:rFonts w:ascii="Times New Roman"/>
                <w:sz w:val="18"/>
              </w:rPr>
            </w:pP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05"/>
                <w:sz w:val="19"/>
              </w:rPr>
              <w:t>TRP</w:t>
            </w:r>
          </w:p>
        </w:tc>
        <w:tc>
          <w:tcPr>
            <w:tcW w:w="3547" w:type="dxa"/>
          </w:tcPr>
          <w:p>
            <w:pPr>
              <w:pStyle w:val="TableParagraph"/>
              <w:spacing w:line="220" w:lineRule="exact" w:before="19"/>
              <w:ind w:left="116"/>
              <w:jc w:val="left"/>
              <w:rPr>
                <w:sz w:val="19"/>
              </w:rPr>
            </w:pPr>
            <w:r>
              <w:rPr>
                <w:color w:val="231F20"/>
                <w:sz w:val="19"/>
              </w:rPr>
              <w:t>total</w:t>
            </w:r>
            <w:r>
              <w:rPr>
                <w:color w:val="231F20"/>
                <w:spacing w:val="9"/>
                <w:sz w:val="19"/>
              </w:rPr>
              <w:t> </w:t>
            </w:r>
            <w:r>
              <w:rPr>
                <w:color w:val="231F20"/>
                <w:sz w:val="19"/>
              </w:rPr>
              <w:t>rating</w:t>
            </w:r>
            <w:r>
              <w:rPr>
                <w:color w:val="231F20"/>
                <w:spacing w:val="9"/>
                <w:sz w:val="19"/>
              </w:rPr>
              <w:t> </w:t>
            </w:r>
            <w:r>
              <w:rPr>
                <w:color w:val="231F20"/>
                <w:spacing w:val="-2"/>
                <w:sz w:val="19"/>
              </w:rPr>
              <w:t>points</w:t>
            </w:r>
          </w:p>
        </w:tc>
        <w:tc>
          <w:tcPr>
            <w:tcW w:w="966" w:type="dxa"/>
          </w:tcPr>
          <w:p>
            <w:pPr>
              <w:pStyle w:val="TableParagraph"/>
              <w:spacing w:line="220" w:lineRule="exact" w:before="19"/>
              <w:ind w:left="134"/>
              <w:rPr>
                <w:sz w:val="19"/>
              </w:rPr>
            </w:pPr>
            <w:r>
              <w:rPr>
                <w:color w:val="231F20"/>
                <w:w w:val="122"/>
                <w:sz w:val="19"/>
              </w:rPr>
              <w:t>M</w:t>
            </w:r>
          </w:p>
        </w:tc>
        <w:tc>
          <w:tcPr>
            <w:tcW w:w="551" w:type="dxa"/>
          </w:tcPr>
          <w:p>
            <w:pPr>
              <w:pStyle w:val="TableParagraph"/>
              <w:spacing w:line="220" w:lineRule="exact" w:before="19"/>
              <w:ind w:right="74"/>
              <w:jc w:val="right"/>
              <w:rPr>
                <w:sz w:val="19"/>
              </w:rPr>
            </w:pPr>
            <w:r>
              <w:rPr>
                <w:color w:val="231F20"/>
                <w:spacing w:val="-5"/>
                <w:sz w:val="19"/>
              </w:rPr>
              <w:t>39</w:t>
            </w:r>
          </w:p>
        </w:tc>
      </w:tr>
      <w:tr>
        <w:trPr>
          <w:trHeight w:val="259" w:hRule="atLeast"/>
        </w:trPr>
        <w:tc>
          <w:tcPr>
            <w:tcW w:w="1243" w:type="dxa"/>
          </w:tcPr>
          <w:p>
            <w:pPr>
              <w:pStyle w:val="TableParagraph"/>
              <w:spacing w:line="220" w:lineRule="exact" w:before="19"/>
              <w:ind w:left="50"/>
              <w:jc w:val="left"/>
              <w:rPr>
                <w:b/>
                <w:sz w:val="19"/>
              </w:rPr>
            </w:pPr>
            <w:r>
              <w:rPr>
                <w:b/>
                <w:color w:val="231F20"/>
                <w:spacing w:val="-5"/>
                <w:w w:val="115"/>
                <w:sz w:val="19"/>
              </w:rPr>
              <w:t>TQM</w:t>
            </w:r>
          </w:p>
        </w:tc>
        <w:tc>
          <w:tcPr>
            <w:tcW w:w="3547" w:type="dxa"/>
          </w:tcPr>
          <w:p>
            <w:pPr>
              <w:pStyle w:val="TableParagraph"/>
              <w:spacing w:line="220" w:lineRule="exact" w:before="19"/>
              <w:ind w:left="116"/>
              <w:jc w:val="left"/>
              <w:rPr>
                <w:sz w:val="19"/>
              </w:rPr>
            </w:pPr>
            <w:r>
              <w:rPr>
                <w:color w:val="231F20"/>
                <w:sz w:val="19"/>
              </w:rPr>
              <w:t>total</w:t>
            </w:r>
            <w:r>
              <w:rPr>
                <w:color w:val="231F20"/>
                <w:spacing w:val="11"/>
                <w:sz w:val="19"/>
              </w:rPr>
              <w:t> </w:t>
            </w:r>
            <w:r>
              <w:rPr>
                <w:color w:val="231F20"/>
                <w:sz w:val="19"/>
              </w:rPr>
              <w:t>quality</w:t>
            </w:r>
            <w:r>
              <w:rPr>
                <w:color w:val="231F20"/>
                <w:spacing w:val="12"/>
                <w:sz w:val="19"/>
              </w:rPr>
              <w:t> </w:t>
            </w:r>
            <w:r>
              <w:rPr>
                <w:color w:val="231F20"/>
                <w:spacing w:val="-2"/>
                <w:sz w:val="19"/>
              </w:rPr>
              <w:t>management</w:t>
            </w:r>
          </w:p>
        </w:tc>
        <w:tc>
          <w:tcPr>
            <w:tcW w:w="966" w:type="dxa"/>
          </w:tcPr>
          <w:p>
            <w:pPr>
              <w:pStyle w:val="TableParagraph"/>
              <w:spacing w:line="220" w:lineRule="exact" w:before="19"/>
              <w:ind w:left="217" w:right="82"/>
              <w:rPr>
                <w:sz w:val="19"/>
              </w:rPr>
            </w:pPr>
            <w:r>
              <w:rPr>
                <w:color w:val="231F20"/>
                <w:spacing w:val="-5"/>
                <w:w w:val="115"/>
                <w:sz w:val="19"/>
              </w:rPr>
              <w:t>OP</w:t>
            </w:r>
          </w:p>
        </w:tc>
        <w:tc>
          <w:tcPr>
            <w:tcW w:w="551" w:type="dxa"/>
          </w:tcPr>
          <w:p>
            <w:pPr>
              <w:pStyle w:val="TableParagraph"/>
              <w:spacing w:line="220" w:lineRule="exact" w:before="19"/>
              <w:ind w:right="74"/>
              <w:jc w:val="right"/>
              <w:rPr>
                <w:sz w:val="19"/>
              </w:rPr>
            </w:pPr>
            <w:r>
              <w:rPr>
                <w:color w:val="231F20"/>
                <w:spacing w:val="-5"/>
                <w:sz w:val="19"/>
              </w:rPr>
              <w:t>276</w:t>
            </w:r>
          </w:p>
        </w:tc>
      </w:tr>
      <w:tr>
        <w:trPr>
          <w:trHeight w:val="259" w:hRule="atLeast"/>
        </w:trPr>
        <w:tc>
          <w:tcPr>
            <w:tcW w:w="1243" w:type="dxa"/>
          </w:tcPr>
          <w:p>
            <w:pPr>
              <w:pStyle w:val="TableParagraph"/>
              <w:spacing w:line="220" w:lineRule="exact" w:before="19"/>
              <w:ind w:left="50"/>
              <w:jc w:val="left"/>
              <w:rPr>
                <w:b/>
                <w:sz w:val="19"/>
              </w:rPr>
            </w:pPr>
            <w:r>
              <w:rPr>
                <w:b/>
                <w:color w:val="231F20"/>
                <w:spacing w:val="-4"/>
                <w:w w:val="115"/>
                <w:sz w:val="19"/>
              </w:rPr>
              <w:t>WACC</w:t>
            </w:r>
          </w:p>
        </w:tc>
        <w:tc>
          <w:tcPr>
            <w:tcW w:w="3547" w:type="dxa"/>
          </w:tcPr>
          <w:p>
            <w:pPr>
              <w:pStyle w:val="TableParagraph"/>
              <w:spacing w:line="220" w:lineRule="exact" w:before="19"/>
              <w:ind w:left="116"/>
              <w:jc w:val="left"/>
              <w:rPr>
                <w:sz w:val="19"/>
              </w:rPr>
            </w:pPr>
            <w:r>
              <w:rPr>
                <w:color w:val="231F20"/>
                <w:sz w:val="19"/>
              </w:rPr>
              <w:t>weighted</w:t>
            </w:r>
            <w:r>
              <w:rPr>
                <w:color w:val="231F20"/>
                <w:spacing w:val="2"/>
                <w:sz w:val="19"/>
              </w:rPr>
              <w:t> </w:t>
            </w:r>
            <w:r>
              <w:rPr>
                <w:color w:val="231F20"/>
                <w:sz w:val="19"/>
              </w:rPr>
              <w:t>average</w:t>
            </w:r>
            <w:r>
              <w:rPr>
                <w:color w:val="231F20"/>
                <w:spacing w:val="2"/>
                <w:sz w:val="19"/>
              </w:rPr>
              <w:t> </w:t>
            </w:r>
            <w:r>
              <w:rPr>
                <w:color w:val="231F20"/>
                <w:sz w:val="19"/>
              </w:rPr>
              <w:t>cost</w:t>
            </w:r>
            <w:r>
              <w:rPr>
                <w:color w:val="231F20"/>
                <w:spacing w:val="2"/>
                <w:sz w:val="19"/>
              </w:rPr>
              <w:t> </w:t>
            </w:r>
            <w:r>
              <w:rPr>
                <w:color w:val="231F20"/>
                <w:sz w:val="19"/>
              </w:rPr>
              <w:t>of</w:t>
            </w:r>
            <w:r>
              <w:rPr>
                <w:color w:val="231F20"/>
                <w:spacing w:val="2"/>
                <w:sz w:val="19"/>
              </w:rPr>
              <w:t> </w:t>
            </w:r>
            <w:r>
              <w:rPr>
                <w:color w:val="231F20"/>
                <w:spacing w:val="-2"/>
                <w:sz w:val="19"/>
              </w:rPr>
              <w:t>capital</w:t>
            </w:r>
          </w:p>
        </w:tc>
        <w:tc>
          <w:tcPr>
            <w:tcW w:w="966" w:type="dxa"/>
          </w:tcPr>
          <w:p>
            <w:pPr>
              <w:pStyle w:val="TableParagraph"/>
              <w:spacing w:line="220" w:lineRule="exact" w:before="19"/>
              <w:ind w:left="135"/>
              <w:rPr>
                <w:sz w:val="19"/>
              </w:rPr>
            </w:pPr>
            <w:r>
              <w:rPr>
                <w:color w:val="231F20"/>
                <w:w w:val="103"/>
                <w:sz w:val="19"/>
              </w:rPr>
              <w:t>F</w:t>
            </w:r>
          </w:p>
        </w:tc>
        <w:tc>
          <w:tcPr>
            <w:tcW w:w="551" w:type="dxa"/>
          </w:tcPr>
          <w:p>
            <w:pPr>
              <w:pStyle w:val="TableParagraph"/>
              <w:spacing w:line="220" w:lineRule="exact" w:before="19"/>
              <w:ind w:right="74"/>
              <w:jc w:val="right"/>
              <w:rPr>
                <w:sz w:val="19"/>
              </w:rPr>
            </w:pPr>
            <w:r>
              <w:rPr>
                <w:color w:val="231F20"/>
                <w:spacing w:val="-5"/>
                <w:sz w:val="19"/>
              </w:rPr>
              <w:t>237</w:t>
            </w:r>
          </w:p>
        </w:tc>
      </w:tr>
      <w:tr>
        <w:trPr>
          <w:trHeight w:val="243" w:hRule="atLeast"/>
        </w:trPr>
        <w:tc>
          <w:tcPr>
            <w:tcW w:w="1243" w:type="dxa"/>
          </w:tcPr>
          <w:p>
            <w:pPr>
              <w:pStyle w:val="TableParagraph"/>
              <w:spacing w:line="204" w:lineRule="exact" w:before="19"/>
              <w:ind w:left="50"/>
              <w:jc w:val="left"/>
              <w:rPr>
                <w:b/>
                <w:sz w:val="19"/>
              </w:rPr>
            </w:pPr>
            <w:r>
              <w:rPr>
                <w:b/>
                <w:color w:val="231F20"/>
                <w:spacing w:val="-5"/>
                <w:w w:val="115"/>
                <w:sz w:val="19"/>
              </w:rPr>
              <w:t>YTM</w:t>
            </w:r>
          </w:p>
        </w:tc>
        <w:tc>
          <w:tcPr>
            <w:tcW w:w="3547" w:type="dxa"/>
          </w:tcPr>
          <w:p>
            <w:pPr>
              <w:pStyle w:val="TableParagraph"/>
              <w:spacing w:line="204" w:lineRule="exact" w:before="19"/>
              <w:ind w:left="116"/>
              <w:jc w:val="left"/>
              <w:rPr>
                <w:sz w:val="19"/>
              </w:rPr>
            </w:pPr>
            <w:r>
              <w:rPr>
                <w:color w:val="231F20"/>
                <w:sz w:val="19"/>
              </w:rPr>
              <w:t>yield</w:t>
            </w:r>
            <w:r>
              <w:rPr>
                <w:color w:val="231F20"/>
                <w:spacing w:val="7"/>
                <w:sz w:val="19"/>
              </w:rPr>
              <w:t> </w:t>
            </w:r>
            <w:r>
              <w:rPr>
                <w:color w:val="231F20"/>
                <w:sz w:val="19"/>
              </w:rPr>
              <w:t>to</w:t>
            </w:r>
            <w:r>
              <w:rPr>
                <w:color w:val="231F20"/>
                <w:spacing w:val="8"/>
                <w:sz w:val="19"/>
              </w:rPr>
              <w:t> </w:t>
            </w:r>
            <w:r>
              <w:rPr>
                <w:color w:val="231F20"/>
                <w:spacing w:val="-2"/>
                <w:sz w:val="19"/>
              </w:rPr>
              <w:t>maturity</w:t>
            </w:r>
          </w:p>
        </w:tc>
        <w:tc>
          <w:tcPr>
            <w:tcW w:w="966" w:type="dxa"/>
          </w:tcPr>
          <w:p>
            <w:pPr>
              <w:pStyle w:val="TableParagraph"/>
              <w:spacing w:line="204" w:lineRule="exact" w:before="19"/>
              <w:ind w:left="134"/>
              <w:rPr>
                <w:sz w:val="19"/>
              </w:rPr>
            </w:pPr>
            <w:r>
              <w:rPr>
                <w:color w:val="231F20"/>
                <w:w w:val="103"/>
                <w:sz w:val="19"/>
              </w:rPr>
              <w:t>F</w:t>
            </w:r>
          </w:p>
        </w:tc>
        <w:tc>
          <w:tcPr>
            <w:tcW w:w="551" w:type="dxa"/>
          </w:tcPr>
          <w:p>
            <w:pPr>
              <w:pStyle w:val="TableParagraph"/>
              <w:spacing w:line="204" w:lineRule="exact" w:before="19"/>
              <w:ind w:right="74"/>
              <w:jc w:val="right"/>
              <w:rPr>
                <w:sz w:val="19"/>
              </w:rPr>
            </w:pPr>
            <w:r>
              <w:rPr>
                <w:color w:val="231F20"/>
                <w:spacing w:val="-5"/>
                <w:sz w:val="19"/>
              </w:rPr>
              <w:t>213</w:t>
            </w:r>
          </w:p>
        </w:tc>
      </w:tr>
    </w:tbl>
    <w:p>
      <w:pPr>
        <w:pStyle w:val="BodyText"/>
        <w:spacing w:before="2"/>
        <w:rPr>
          <w:b/>
          <w:i/>
          <w:sz w:val="20"/>
        </w:rPr>
      </w:pPr>
    </w:p>
    <w:p>
      <w:pPr>
        <w:spacing w:line="223" w:lineRule="auto" w:before="88"/>
        <w:ind w:left="429" w:right="777" w:firstLine="0"/>
        <w:jc w:val="both"/>
        <w:rPr>
          <w:sz w:val="19"/>
        </w:rPr>
      </w:pPr>
      <w:r>
        <w:rPr>
          <w:color w:val="231F20"/>
          <w:w w:val="110"/>
          <w:sz w:val="19"/>
        </w:rPr>
        <w:t>SUBJECT</w:t>
      </w:r>
      <w:r>
        <w:rPr>
          <w:color w:val="231F20"/>
          <w:spacing w:val="19"/>
          <w:w w:val="110"/>
          <w:sz w:val="19"/>
        </w:rPr>
        <w:t> </w:t>
      </w:r>
      <w:r>
        <w:rPr>
          <w:color w:val="231F20"/>
          <w:w w:val="110"/>
          <w:sz w:val="19"/>
        </w:rPr>
        <w:t>KEY: A </w:t>
      </w:r>
      <w:r>
        <w:rPr>
          <w:rFonts w:ascii="Symbol" w:hAnsi="Symbol"/>
          <w:color w:val="231F20"/>
          <w:w w:val="110"/>
          <w:sz w:val="21"/>
        </w:rPr>
        <w:t></w:t>
      </w:r>
      <w:r>
        <w:rPr>
          <w:rFonts w:ascii="Times New Roman" w:hAnsi="Times New Roman"/>
          <w:color w:val="231F20"/>
          <w:spacing w:val="-10"/>
          <w:w w:val="110"/>
          <w:sz w:val="21"/>
        </w:rPr>
        <w:t> </w:t>
      </w:r>
      <w:r>
        <w:rPr>
          <w:color w:val="231F20"/>
          <w:w w:val="110"/>
          <w:sz w:val="19"/>
        </w:rPr>
        <w:t>Accounting; E </w:t>
      </w:r>
      <w:r>
        <w:rPr>
          <w:rFonts w:ascii="Symbol" w:hAnsi="Symbol"/>
          <w:color w:val="231F20"/>
          <w:w w:val="110"/>
          <w:sz w:val="21"/>
        </w:rPr>
        <w:t></w:t>
      </w:r>
      <w:r>
        <w:rPr>
          <w:rFonts w:ascii="Times New Roman" w:hAnsi="Times New Roman"/>
          <w:color w:val="231F20"/>
          <w:spacing w:val="-10"/>
          <w:w w:val="110"/>
          <w:sz w:val="21"/>
        </w:rPr>
        <w:t> </w:t>
      </w:r>
      <w:r>
        <w:rPr>
          <w:color w:val="231F20"/>
          <w:w w:val="110"/>
          <w:sz w:val="19"/>
        </w:rPr>
        <w:t>Economics; F </w:t>
      </w:r>
      <w:r>
        <w:rPr>
          <w:rFonts w:ascii="Symbol" w:hAnsi="Symbol"/>
          <w:color w:val="231F20"/>
          <w:w w:val="110"/>
          <w:sz w:val="21"/>
        </w:rPr>
        <w:t></w:t>
      </w:r>
      <w:r>
        <w:rPr>
          <w:rFonts w:ascii="Times New Roman" w:hAnsi="Times New Roman"/>
          <w:color w:val="231F20"/>
          <w:spacing w:val="-10"/>
          <w:w w:val="110"/>
          <w:sz w:val="21"/>
        </w:rPr>
        <w:t> </w:t>
      </w:r>
      <w:r>
        <w:rPr>
          <w:color w:val="231F20"/>
          <w:w w:val="110"/>
          <w:sz w:val="19"/>
        </w:rPr>
        <w:t>Finance; M </w:t>
      </w:r>
      <w:r>
        <w:rPr>
          <w:rFonts w:ascii="Symbol" w:hAnsi="Symbol"/>
          <w:color w:val="231F20"/>
          <w:w w:val="110"/>
          <w:sz w:val="21"/>
        </w:rPr>
        <w:t></w:t>
      </w:r>
      <w:r>
        <w:rPr>
          <w:rFonts w:ascii="Times New Roman" w:hAnsi="Times New Roman"/>
          <w:color w:val="231F20"/>
          <w:spacing w:val="-10"/>
          <w:w w:val="110"/>
          <w:sz w:val="21"/>
        </w:rPr>
        <w:t> </w:t>
      </w:r>
      <w:r>
        <w:rPr>
          <w:color w:val="231F20"/>
          <w:w w:val="110"/>
          <w:sz w:val="19"/>
        </w:rPr>
        <w:t>Mar- </w:t>
      </w:r>
      <w:r>
        <w:rPr>
          <w:color w:val="231F20"/>
          <w:w w:val="105"/>
          <w:sz w:val="19"/>
        </w:rPr>
        <w:t>keting; OB </w:t>
      </w:r>
      <w:r>
        <w:rPr>
          <w:rFonts w:ascii="Symbol" w:hAnsi="Symbol"/>
          <w:color w:val="231F20"/>
          <w:w w:val="105"/>
          <w:sz w:val="21"/>
        </w:rPr>
        <w:t></w:t>
      </w:r>
      <w:r>
        <w:rPr>
          <w:rFonts w:ascii="Times New Roman" w:hAnsi="Times New Roman"/>
          <w:color w:val="231F20"/>
          <w:spacing w:val="-9"/>
          <w:w w:val="105"/>
          <w:sz w:val="21"/>
        </w:rPr>
        <w:t> </w:t>
      </w:r>
      <w:r>
        <w:rPr>
          <w:color w:val="231F20"/>
          <w:w w:val="105"/>
          <w:sz w:val="19"/>
        </w:rPr>
        <w:t>Organizational Behavior; OP </w:t>
      </w:r>
      <w:r>
        <w:rPr>
          <w:rFonts w:ascii="Symbol" w:hAnsi="Symbol"/>
          <w:color w:val="231F20"/>
          <w:w w:val="105"/>
          <w:sz w:val="21"/>
        </w:rPr>
        <w:t></w:t>
      </w:r>
      <w:r>
        <w:rPr>
          <w:rFonts w:ascii="Times New Roman" w:hAnsi="Times New Roman"/>
          <w:color w:val="231F20"/>
          <w:spacing w:val="-9"/>
          <w:w w:val="105"/>
          <w:sz w:val="21"/>
        </w:rPr>
        <w:t> </w:t>
      </w:r>
      <w:r>
        <w:rPr>
          <w:color w:val="231F20"/>
          <w:w w:val="105"/>
          <w:sz w:val="19"/>
        </w:rPr>
        <w:t>Operations; Q </w:t>
      </w:r>
      <w:r>
        <w:rPr>
          <w:rFonts w:ascii="Symbol" w:hAnsi="Symbol"/>
          <w:color w:val="231F20"/>
          <w:w w:val="105"/>
          <w:sz w:val="21"/>
        </w:rPr>
        <w:t></w:t>
      </w:r>
      <w:r>
        <w:rPr>
          <w:rFonts w:ascii="Times New Roman" w:hAnsi="Times New Roman"/>
          <w:color w:val="231F20"/>
          <w:spacing w:val="-9"/>
          <w:w w:val="105"/>
          <w:sz w:val="21"/>
        </w:rPr>
        <w:t> </w:t>
      </w:r>
      <w:r>
        <w:rPr>
          <w:color w:val="231F20"/>
          <w:w w:val="105"/>
          <w:sz w:val="19"/>
        </w:rPr>
        <w:t>Quantitative </w:t>
      </w:r>
      <w:r>
        <w:rPr>
          <w:color w:val="231F20"/>
          <w:w w:val="110"/>
          <w:sz w:val="19"/>
        </w:rPr>
        <w:t>Analysis; S </w:t>
      </w:r>
      <w:r>
        <w:rPr>
          <w:rFonts w:ascii="Symbol" w:hAnsi="Symbol"/>
          <w:color w:val="231F20"/>
          <w:w w:val="110"/>
          <w:sz w:val="21"/>
        </w:rPr>
        <w:t></w:t>
      </w:r>
      <w:r>
        <w:rPr>
          <w:rFonts w:ascii="Times New Roman" w:hAnsi="Times New Roman"/>
          <w:color w:val="231F20"/>
          <w:w w:val="110"/>
          <w:sz w:val="21"/>
        </w:rPr>
        <w:t> </w:t>
      </w:r>
      <w:r>
        <w:rPr>
          <w:color w:val="231F20"/>
          <w:w w:val="110"/>
          <w:sz w:val="19"/>
        </w:rPr>
        <w:t>Strategy</w:t>
      </w:r>
    </w:p>
    <w:p>
      <w:pPr>
        <w:spacing w:after="0" w:line="223" w:lineRule="auto"/>
        <w:jc w:val="both"/>
        <w:rPr>
          <w:sz w:val="19"/>
        </w:rPr>
        <w:sectPr>
          <w:pgSz w:w="8640" w:h="12960"/>
          <w:pgMar w:header="732" w:footer="0" w:top="920" w:bottom="280" w:left="740" w:right="480"/>
        </w:sectPr>
      </w:pPr>
    </w:p>
    <w:p>
      <w:pPr>
        <w:pStyle w:val="Heading2"/>
        <w:spacing w:line="193" w:lineRule="exact"/>
        <w:ind w:right="1555"/>
        <w:jc w:val="center"/>
        <w:rPr>
          <w:i/>
        </w:rPr>
      </w:pPr>
      <w:bookmarkStart w:name="Permissions" w:id="53"/>
      <w:bookmarkEnd w:id="53"/>
      <w:r>
        <w:rPr>
          <w:b w:val="0"/>
          <w:i w:val="0"/>
        </w:rPr>
      </w:r>
      <w:bookmarkStart w:name="_bookmark25" w:id="54"/>
      <w:bookmarkEnd w:id="54"/>
      <w:r>
        <w:rPr>
          <w:b w:val="0"/>
          <w:i w:val="0"/>
        </w:rPr>
      </w:r>
      <w:hyperlink w:history="true" w:anchor="_bookmark2">
        <w:r>
          <w:rPr>
            <w:i/>
            <w:color w:val="0000FF"/>
            <w:spacing w:val="21"/>
            <w:w w:val="95"/>
          </w:rPr>
          <w:t>Permissions</w:t>
        </w:r>
      </w:hyperlink>
    </w:p>
    <w:p>
      <w:pPr>
        <w:pStyle w:val="BodyText"/>
        <w:rPr>
          <w:b/>
          <w:i/>
          <w:sz w:val="67"/>
        </w:rPr>
      </w:pPr>
    </w:p>
    <w:p>
      <w:pPr>
        <w:spacing w:line="280" w:lineRule="auto" w:before="0"/>
        <w:ind w:left="520" w:right="0" w:firstLine="0"/>
        <w:jc w:val="left"/>
        <w:rPr>
          <w:sz w:val="19"/>
        </w:rPr>
      </w:pPr>
      <w:r>
        <w:rPr>
          <w:color w:val="231F20"/>
          <w:sz w:val="19"/>
        </w:rPr>
        <w:t>Grateful</w:t>
      </w:r>
      <w:r>
        <w:rPr>
          <w:color w:val="231F20"/>
          <w:spacing w:val="18"/>
          <w:sz w:val="19"/>
        </w:rPr>
        <w:t> </w:t>
      </w:r>
      <w:r>
        <w:rPr>
          <w:color w:val="231F20"/>
          <w:sz w:val="19"/>
        </w:rPr>
        <w:t>acknowledgment</w:t>
      </w:r>
      <w:r>
        <w:rPr>
          <w:color w:val="231F20"/>
          <w:spacing w:val="18"/>
          <w:sz w:val="19"/>
        </w:rPr>
        <w:t> </w:t>
      </w:r>
      <w:r>
        <w:rPr>
          <w:color w:val="231F20"/>
          <w:sz w:val="19"/>
        </w:rPr>
        <w:t>is</w:t>
      </w:r>
      <w:r>
        <w:rPr>
          <w:color w:val="231F20"/>
          <w:spacing w:val="18"/>
          <w:sz w:val="19"/>
        </w:rPr>
        <w:t> </w:t>
      </w:r>
      <w:r>
        <w:rPr>
          <w:color w:val="231F20"/>
          <w:sz w:val="19"/>
        </w:rPr>
        <w:t>made</w:t>
      </w:r>
      <w:r>
        <w:rPr>
          <w:color w:val="231F20"/>
          <w:spacing w:val="18"/>
          <w:sz w:val="19"/>
        </w:rPr>
        <w:t> </w:t>
      </w:r>
      <w:r>
        <w:rPr>
          <w:color w:val="231F20"/>
          <w:sz w:val="19"/>
        </w:rPr>
        <w:t>for</w:t>
      </w:r>
      <w:r>
        <w:rPr>
          <w:color w:val="231F20"/>
          <w:spacing w:val="18"/>
          <w:sz w:val="19"/>
        </w:rPr>
        <w:t> </w:t>
      </w:r>
      <w:r>
        <w:rPr>
          <w:color w:val="231F20"/>
          <w:sz w:val="19"/>
        </w:rPr>
        <w:t>permission</w:t>
      </w:r>
      <w:r>
        <w:rPr>
          <w:color w:val="231F20"/>
          <w:spacing w:val="18"/>
          <w:sz w:val="19"/>
        </w:rPr>
        <w:t> </w:t>
      </w:r>
      <w:r>
        <w:rPr>
          <w:color w:val="231F20"/>
          <w:sz w:val="19"/>
        </w:rPr>
        <w:t>to</w:t>
      </w:r>
      <w:r>
        <w:rPr>
          <w:color w:val="231F20"/>
          <w:spacing w:val="18"/>
          <w:sz w:val="19"/>
        </w:rPr>
        <w:t> </w:t>
      </w:r>
      <w:r>
        <w:rPr>
          <w:color w:val="231F20"/>
          <w:sz w:val="19"/>
        </w:rPr>
        <w:t>use</w:t>
      </w:r>
      <w:r>
        <w:rPr>
          <w:color w:val="231F20"/>
          <w:spacing w:val="18"/>
          <w:sz w:val="19"/>
        </w:rPr>
        <w:t> </w:t>
      </w:r>
      <w:r>
        <w:rPr>
          <w:color w:val="231F20"/>
          <w:sz w:val="19"/>
        </w:rPr>
        <w:t>material</w:t>
      </w:r>
      <w:r>
        <w:rPr>
          <w:color w:val="231F20"/>
          <w:spacing w:val="18"/>
          <w:sz w:val="19"/>
        </w:rPr>
        <w:t> </w:t>
      </w:r>
      <w:r>
        <w:rPr>
          <w:color w:val="231F20"/>
          <w:sz w:val="19"/>
        </w:rPr>
        <w:t>from</w:t>
      </w:r>
      <w:r>
        <w:rPr>
          <w:color w:val="231F20"/>
          <w:spacing w:val="18"/>
          <w:sz w:val="19"/>
        </w:rPr>
        <w:t> </w:t>
      </w:r>
      <w:r>
        <w:rPr>
          <w:color w:val="231F20"/>
          <w:sz w:val="19"/>
        </w:rPr>
        <w:t>the </w:t>
      </w:r>
      <w:r>
        <w:rPr>
          <w:color w:val="231F20"/>
          <w:spacing w:val="-2"/>
          <w:sz w:val="19"/>
        </w:rPr>
        <w:t>following:</w:t>
      </w:r>
    </w:p>
    <w:p>
      <w:pPr>
        <w:pStyle w:val="BodyText"/>
        <w:rPr>
          <w:sz w:val="22"/>
        </w:rPr>
      </w:pPr>
    </w:p>
    <w:p>
      <w:pPr>
        <w:pStyle w:val="BodyText"/>
        <w:spacing w:before="8"/>
      </w:pPr>
    </w:p>
    <w:p>
      <w:pPr>
        <w:spacing w:before="0"/>
        <w:ind w:left="520" w:right="0" w:firstLine="0"/>
        <w:jc w:val="left"/>
        <w:rPr>
          <w:rFonts w:ascii="Trebuchet MS"/>
          <w:sz w:val="20"/>
        </w:rPr>
      </w:pPr>
      <w:r>
        <w:rPr>
          <w:rFonts w:ascii="Trebuchet MS"/>
          <w:color w:val="231F20"/>
          <w:w w:val="85"/>
          <w:sz w:val="20"/>
        </w:rPr>
        <w:t>DAY</w:t>
      </w:r>
      <w:r>
        <w:rPr>
          <w:rFonts w:ascii="Trebuchet MS"/>
          <w:color w:val="231F20"/>
          <w:spacing w:val="3"/>
          <w:sz w:val="20"/>
        </w:rPr>
        <w:t> </w:t>
      </w:r>
      <w:r>
        <w:rPr>
          <w:rFonts w:ascii="Trebuchet MS"/>
          <w:color w:val="231F20"/>
          <w:w w:val="85"/>
          <w:sz w:val="20"/>
        </w:rPr>
        <w:t>1:</w:t>
      </w:r>
      <w:r>
        <w:rPr>
          <w:rFonts w:ascii="Trebuchet MS"/>
          <w:color w:val="231F20"/>
          <w:spacing w:val="3"/>
          <w:sz w:val="20"/>
        </w:rPr>
        <w:t> </w:t>
      </w:r>
      <w:r>
        <w:rPr>
          <w:rFonts w:ascii="Trebuchet MS"/>
          <w:color w:val="231F20"/>
          <w:spacing w:val="-2"/>
          <w:w w:val="85"/>
          <w:sz w:val="20"/>
        </w:rPr>
        <w:t>MARKETING</w:t>
      </w:r>
    </w:p>
    <w:p>
      <w:pPr>
        <w:pStyle w:val="BodyText"/>
        <w:spacing w:before="4"/>
        <w:rPr>
          <w:rFonts w:ascii="Trebuchet MS"/>
          <w:sz w:val="25"/>
        </w:rPr>
      </w:pPr>
    </w:p>
    <w:p>
      <w:pPr>
        <w:spacing w:line="280" w:lineRule="auto" w:before="0"/>
        <w:ind w:left="860" w:right="685" w:hanging="340"/>
        <w:jc w:val="left"/>
        <w:rPr>
          <w:sz w:val="19"/>
        </w:rPr>
      </w:pPr>
      <w:r>
        <w:rPr>
          <w:color w:val="231F20"/>
          <w:w w:val="105"/>
          <w:sz w:val="19"/>
        </w:rPr>
        <w:t>Assael,</w:t>
      </w:r>
      <w:r>
        <w:rPr>
          <w:color w:val="231F20"/>
          <w:spacing w:val="30"/>
          <w:w w:val="105"/>
          <w:sz w:val="19"/>
        </w:rPr>
        <w:t> </w:t>
      </w:r>
      <w:r>
        <w:rPr>
          <w:color w:val="231F20"/>
          <w:w w:val="105"/>
          <w:sz w:val="19"/>
        </w:rPr>
        <w:t>Henry.</w:t>
      </w:r>
      <w:r>
        <w:rPr>
          <w:color w:val="231F20"/>
          <w:spacing w:val="30"/>
          <w:w w:val="105"/>
          <w:sz w:val="19"/>
        </w:rPr>
        <w:t> </w:t>
      </w:r>
      <w:r>
        <w:rPr>
          <w:i/>
          <w:color w:val="231F20"/>
          <w:w w:val="105"/>
          <w:sz w:val="19"/>
        </w:rPr>
        <w:t>Consumer</w:t>
      </w:r>
      <w:r>
        <w:rPr>
          <w:i/>
          <w:color w:val="231F20"/>
          <w:spacing w:val="30"/>
          <w:w w:val="105"/>
          <w:sz w:val="19"/>
        </w:rPr>
        <w:t> </w:t>
      </w:r>
      <w:r>
        <w:rPr>
          <w:i/>
          <w:color w:val="231F20"/>
          <w:w w:val="105"/>
          <w:sz w:val="19"/>
        </w:rPr>
        <w:t>Behavior</w:t>
      </w:r>
      <w:r>
        <w:rPr>
          <w:i/>
          <w:color w:val="231F20"/>
          <w:w w:val="115"/>
          <w:sz w:val="19"/>
        </w:rPr>
        <w:t> &amp;</w:t>
      </w:r>
      <w:r>
        <w:rPr>
          <w:i/>
          <w:color w:val="231F20"/>
          <w:w w:val="115"/>
          <w:sz w:val="19"/>
        </w:rPr>
        <w:t> </w:t>
      </w:r>
      <w:r>
        <w:rPr>
          <w:i/>
          <w:color w:val="231F20"/>
          <w:w w:val="105"/>
          <w:sz w:val="19"/>
        </w:rPr>
        <w:t>Marketing</w:t>
      </w:r>
      <w:r>
        <w:rPr>
          <w:i/>
          <w:color w:val="231F20"/>
          <w:spacing w:val="30"/>
          <w:w w:val="105"/>
          <w:sz w:val="19"/>
        </w:rPr>
        <w:t> </w:t>
      </w:r>
      <w:r>
        <w:rPr>
          <w:i/>
          <w:color w:val="231F20"/>
          <w:w w:val="105"/>
          <w:sz w:val="19"/>
        </w:rPr>
        <w:t>Action,</w:t>
      </w:r>
      <w:r>
        <w:rPr>
          <w:i/>
          <w:color w:val="231F20"/>
          <w:spacing w:val="30"/>
          <w:w w:val="105"/>
          <w:sz w:val="19"/>
        </w:rPr>
        <w:t> </w:t>
      </w:r>
      <w:r>
        <w:rPr>
          <w:color w:val="231F20"/>
          <w:w w:val="105"/>
          <w:sz w:val="19"/>
        </w:rPr>
        <w:t>4th</w:t>
      </w:r>
      <w:r>
        <w:rPr>
          <w:color w:val="231F20"/>
          <w:spacing w:val="30"/>
          <w:w w:val="105"/>
          <w:sz w:val="19"/>
        </w:rPr>
        <w:t> </w:t>
      </w:r>
      <w:r>
        <w:rPr>
          <w:color w:val="231F20"/>
          <w:w w:val="105"/>
          <w:sz w:val="19"/>
        </w:rPr>
        <w:t>ed.</w:t>
      </w:r>
      <w:r>
        <w:rPr>
          <w:color w:val="231F20"/>
          <w:spacing w:val="30"/>
          <w:w w:val="105"/>
          <w:sz w:val="19"/>
        </w:rPr>
        <w:t> </w:t>
      </w:r>
      <w:r>
        <w:rPr>
          <w:color w:val="231F20"/>
          <w:w w:val="105"/>
          <w:sz w:val="19"/>
        </w:rPr>
        <w:t>Boston: PWS-Kent Publishing Company, 1992, p. 100.</w:t>
      </w:r>
    </w:p>
    <w:p>
      <w:pPr>
        <w:spacing w:line="222" w:lineRule="exact" w:before="0"/>
        <w:ind w:left="519" w:right="0" w:firstLine="0"/>
        <w:jc w:val="left"/>
        <w:rPr>
          <w:sz w:val="19"/>
        </w:rPr>
      </w:pPr>
      <w:r>
        <w:rPr>
          <w:color w:val="231F20"/>
          <w:w w:val="105"/>
          <w:sz w:val="19"/>
        </w:rPr>
        <w:t>Newton,</w:t>
      </w:r>
      <w:r>
        <w:rPr>
          <w:color w:val="231F20"/>
          <w:spacing w:val="23"/>
          <w:w w:val="105"/>
          <w:sz w:val="19"/>
        </w:rPr>
        <w:t> </w:t>
      </w:r>
      <w:r>
        <w:rPr>
          <w:color w:val="231F20"/>
          <w:w w:val="105"/>
          <w:sz w:val="19"/>
        </w:rPr>
        <w:t>Derek</w:t>
      </w:r>
      <w:r>
        <w:rPr>
          <w:color w:val="231F20"/>
          <w:spacing w:val="24"/>
          <w:w w:val="105"/>
          <w:sz w:val="19"/>
        </w:rPr>
        <w:t> </w:t>
      </w:r>
      <w:r>
        <w:rPr>
          <w:color w:val="231F20"/>
          <w:w w:val="105"/>
          <w:sz w:val="19"/>
        </w:rPr>
        <w:t>A.</w:t>
      </w:r>
      <w:r>
        <w:rPr>
          <w:color w:val="231F20"/>
          <w:spacing w:val="24"/>
          <w:w w:val="105"/>
          <w:sz w:val="19"/>
        </w:rPr>
        <w:t> </w:t>
      </w:r>
      <w:r>
        <w:rPr>
          <w:i/>
          <w:color w:val="231F20"/>
          <w:w w:val="105"/>
          <w:sz w:val="19"/>
        </w:rPr>
        <w:t>Sales</w:t>
      </w:r>
      <w:r>
        <w:rPr>
          <w:i/>
          <w:color w:val="231F20"/>
          <w:spacing w:val="24"/>
          <w:w w:val="105"/>
          <w:sz w:val="19"/>
        </w:rPr>
        <w:t> </w:t>
      </w:r>
      <w:r>
        <w:rPr>
          <w:i/>
          <w:color w:val="231F20"/>
          <w:w w:val="105"/>
          <w:sz w:val="19"/>
        </w:rPr>
        <w:t>Force</w:t>
      </w:r>
      <w:r>
        <w:rPr>
          <w:i/>
          <w:color w:val="231F20"/>
          <w:spacing w:val="23"/>
          <w:w w:val="105"/>
          <w:sz w:val="19"/>
        </w:rPr>
        <w:t> </w:t>
      </w:r>
      <w:r>
        <w:rPr>
          <w:i/>
          <w:color w:val="231F20"/>
          <w:w w:val="105"/>
          <w:sz w:val="19"/>
        </w:rPr>
        <w:t>Management—</w:t>
      </w:r>
      <w:r>
        <w:rPr>
          <w:i/>
          <w:color w:val="231F20"/>
          <w:spacing w:val="-24"/>
          <w:w w:val="105"/>
          <w:sz w:val="19"/>
        </w:rPr>
        <w:t> </w:t>
      </w:r>
      <w:r>
        <w:rPr>
          <w:i/>
          <w:color w:val="231F20"/>
          <w:w w:val="105"/>
          <w:sz w:val="19"/>
        </w:rPr>
        <w:t>Text</w:t>
      </w:r>
      <w:r>
        <w:rPr>
          <w:i/>
          <w:color w:val="231F20"/>
          <w:spacing w:val="24"/>
          <w:w w:val="105"/>
          <w:sz w:val="19"/>
        </w:rPr>
        <w:t> </w:t>
      </w:r>
      <w:r>
        <w:rPr>
          <w:i/>
          <w:color w:val="231F20"/>
          <w:w w:val="105"/>
          <w:sz w:val="19"/>
        </w:rPr>
        <w:t>and</w:t>
      </w:r>
      <w:r>
        <w:rPr>
          <w:i/>
          <w:color w:val="231F20"/>
          <w:spacing w:val="24"/>
          <w:w w:val="105"/>
          <w:sz w:val="19"/>
        </w:rPr>
        <w:t> </w:t>
      </w:r>
      <w:r>
        <w:rPr>
          <w:i/>
          <w:color w:val="231F20"/>
          <w:w w:val="105"/>
          <w:sz w:val="19"/>
        </w:rPr>
        <w:t>Cases.</w:t>
      </w:r>
      <w:r>
        <w:rPr>
          <w:i/>
          <w:color w:val="231F20"/>
          <w:spacing w:val="24"/>
          <w:w w:val="105"/>
          <w:sz w:val="19"/>
        </w:rPr>
        <w:t> </w:t>
      </w:r>
      <w:r>
        <w:rPr>
          <w:color w:val="231F20"/>
          <w:spacing w:val="-2"/>
          <w:w w:val="105"/>
          <w:sz w:val="19"/>
        </w:rPr>
        <w:t>Copyright</w:t>
      </w:r>
    </w:p>
    <w:p>
      <w:pPr>
        <w:spacing w:before="38"/>
        <w:ind w:left="860" w:right="0" w:firstLine="0"/>
        <w:jc w:val="left"/>
        <w:rPr>
          <w:sz w:val="19"/>
        </w:rPr>
      </w:pPr>
      <w:r>
        <w:rPr>
          <w:color w:val="231F20"/>
          <w:sz w:val="19"/>
        </w:rPr>
        <w:t>©</w:t>
      </w:r>
      <w:r>
        <w:rPr>
          <w:color w:val="231F20"/>
          <w:spacing w:val="14"/>
          <w:sz w:val="19"/>
        </w:rPr>
        <w:t> </w:t>
      </w:r>
      <w:r>
        <w:rPr>
          <w:color w:val="231F20"/>
          <w:sz w:val="19"/>
        </w:rPr>
        <w:t>1990</w:t>
      </w:r>
      <w:r>
        <w:rPr>
          <w:color w:val="231F20"/>
          <w:spacing w:val="15"/>
          <w:sz w:val="19"/>
        </w:rPr>
        <w:t> </w:t>
      </w:r>
      <w:r>
        <w:rPr>
          <w:color w:val="231F20"/>
          <w:sz w:val="19"/>
        </w:rPr>
        <w:t>by</w:t>
      </w:r>
      <w:r>
        <w:rPr>
          <w:color w:val="231F20"/>
          <w:spacing w:val="15"/>
          <w:sz w:val="19"/>
        </w:rPr>
        <w:t> </w:t>
      </w:r>
      <w:r>
        <w:rPr>
          <w:color w:val="231F20"/>
          <w:sz w:val="19"/>
        </w:rPr>
        <w:t>Richard</w:t>
      </w:r>
      <w:r>
        <w:rPr>
          <w:color w:val="231F20"/>
          <w:spacing w:val="15"/>
          <w:sz w:val="19"/>
        </w:rPr>
        <w:t> </w:t>
      </w:r>
      <w:r>
        <w:rPr>
          <w:color w:val="231F20"/>
          <w:sz w:val="19"/>
        </w:rPr>
        <w:t>D.</w:t>
      </w:r>
      <w:r>
        <w:rPr>
          <w:color w:val="231F20"/>
          <w:spacing w:val="14"/>
          <w:sz w:val="19"/>
        </w:rPr>
        <w:t> </w:t>
      </w:r>
      <w:r>
        <w:rPr>
          <w:color w:val="231F20"/>
          <w:sz w:val="19"/>
        </w:rPr>
        <w:t>Irwin,</w:t>
      </w:r>
      <w:r>
        <w:rPr>
          <w:color w:val="231F20"/>
          <w:spacing w:val="15"/>
          <w:sz w:val="19"/>
        </w:rPr>
        <w:t> </w:t>
      </w:r>
      <w:r>
        <w:rPr>
          <w:color w:val="231F20"/>
          <w:sz w:val="19"/>
        </w:rPr>
        <w:t>Inc.,</w:t>
      </w:r>
      <w:r>
        <w:rPr>
          <w:color w:val="231F20"/>
          <w:spacing w:val="15"/>
          <w:sz w:val="19"/>
        </w:rPr>
        <w:t> </w:t>
      </w:r>
      <w:r>
        <w:rPr>
          <w:color w:val="231F20"/>
          <w:sz w:val="19"/>
        </w:rPr>
        <w:t>pp.</w:t>
      </w:r>
      <w:r>
        <w:rPr>
          <w:color w:val="231F20"/>
          <w:spacing w:val="15"/>
          <w:sz w:val="19"/>
        </w:rPr>
        <w:t> </w:t>
      </w:r>
      <w:r>
        <w:rPr>
          <w:color w:val="231F20"/>
          <w:sz w:val="19"/>
        </w:rPr>
        <w:t>7</w:t>
      </w:r>
      <w:r>
        <w:rPr>
          <w:color w:val="231F20"/>
          <w:spacing w:val="-19"/>
          <w:sz w:val="19"/>
        </w:rPr>
        <w:t> </w:t>
      </w:r>
      <w:r>
        <w:rPr>
          <w:color w:val="231F20"/>
          <w:sz w:val="19"/>
        </w:rPr>
        <w:t>–</w:t>
      </w:r>
      <w:r>
        <w:rPr>
          <w:color w:val="231F20"/>
          <w:spacing w:val="-19"/>
          <w:sz w:val="19"/>
        </w:rPr>
        <w:t> </w:t>
      </w:r>
      <w:r>
        <w:rPr>
          <w:color w:val="231F20"/>
          <w:spacing w:val="-5"/>
          <w:sz w:val="19"/>
        </w:rPr>
        <w:t>9.</w:t>
      </w:r>
    </w:p>
    <w:p>
      <w:pPr>
        <w:pStyle w:val="BodyText"/>
        <w:rPr>
          <w:sz w:val="22"/>
        </w:rPr>
      </w:pPr>
    </w:p>
    <w:p>
      <w:pPr>
        <w:pStyle w:val="BodyText"/>
        <w:spacing w:before="10"/>
        <w:rPr>
          <w:sz w:val="24"/>
        </w:rPr>
      </w:pPr>
    </w:p>
    <w:p>
      <w:pPr>
        <w:spacing w:before="0"/>
        <w:ind w:left="520" w:right="0" w:firstLine="0"/>
        <w:jc w:val="left"/>
        <w:rPr>
          <w:rFonts w:ascii="Trebuchet MS"/>
          <w:sz w:val="20"/>
        </w:rPr>
      </w:pPr>
      <w:r>
        <w:rPr>
          <w:rFonts w:ascii="Trebuchet MS"/>
          <w:color w:val="231F20"/>
          <w:w w:val="85"/>
          <w:sz w:val="20"/>
        </w:rPr>
        <w:t>DAY</w:t>
      </w:r>
      <w:r>
        <w:rPr>
          <w:rFonts w:ascii="Trebuchet MS"/>
          <w:color w:val="231F20"/>
          <w:spacing w:val="3"/>
          <w:sz w:val="20"/>
        </w:rPr>
        <w:t> </w:t>
      </w:r>
      <w:r>
        <w:rPr>
          <w:rFonts w:ascii="Trebuchet MS"/>
          <w:color w:val="231F20"/>
          <w:w w:val="85"/>
          <w:sz w:val="20"/>
        </w:rPr>
        <w:t>2:</w:t>
      </w:r>
      <w:r>
        <w:rPr>
          <w:rFonts w:ascii="Trebuchet MS"/>
          <w:color w:val="231F20"/>
          <w:spacing w:val="3"/>
          <w:sz w:val="20"/>
        </w:rPr>
        <w:t> </w:t>
      </w:r>
      <w:r>
        <w:rPr>
          <w:rFonts w:ascii="Trebuchet MS"/>
          <w:color w:val="231F20"/>
          <w:spacing w:val="-2"/>
          <w:w w:val="85"/>
          <w:sz w:val="20"/>
        </w:rPr>
        <w:t>ETHICS</w:t>
      </w:r>
    </w:p>
    <w:p>
      <w:pPr>
        <w:pStyle w:val="BodyText"/>
        <w:spacing w:before="5"/>
        <w:rPr>
          <w:rFonts w:ascii="Trebuchet MS"/>
          <w:sz w:val="25"/>
        </w:rPr>
      </w:pPr>
    </w:p>
    <w:p>
      <w:pPr>
        <w:spacing w:line="280" w:lineRule="auto" w:before="0"/>
        <w:ind w:left="860" w:right="685" w:hanging="340"/>
        <w:jc w:val="both"/>
        <w:rPr>
          <w:sz w:val="19"/>
        </w:rPr>
      </w:pPr>
      <w:r>
        <w:rPr>
          <w:color w:val="231F20"/>
          <w:w w:val="105"/>
          <w:sz w:val="19"/>
        </w:rPr>
        <w:t>Freeman,</w:t>
      </w:r>
      <w:r>
        <w:rPr>
          <w:color w:val="231F20"/>
          <w:w w:val="105"/>
          <w:sz w:val="19"/>
        </w:rPr>
        <w:t> R.</w:t>
      </w:r>
      <w:r>
        <w:rPr>
          <w:color w:val="231F20"/>
          <w:w w:val="105"/>
          <w:sz w:val="19"/>
        </w:rPr>
        <w:t> Edward,</w:t>
      </w:r>
      <w:r>
        <w:rPr>
          <w:color w:val="231F20"/>
          <w:w w:val="105"/>
          <w:sz w:val="19"/>
        </w:rPr>
        <w:t> and</w:t>
      </w:r>
      <w:r>
        <w:rPr>
          <w:color w:val="231F20"/>
          <w:w w:val="105"/>
          <w:sz w:val="19"/>
        </w:rPr>
        <w:t> Daniel</w:t>
      </w:r>
      <w:r>
        <w:rPr>
          <w:color w:val="231F20"/>
          <w:w w:val="105"/>
          <w:sz w:val="19"/>
        </w:rPr>
        <w:t> R.</w:t>
      </w:r>
      <w:r>
        <w:rPr>
          <w:color w:val="231F20"/>
          <w:w w:val="105"/>
          <w:sz w:val="19"/>
        </w:rPr>
        <w:t> Gilbert.</w:t>
      </w:r>
      <w:r>
        <w:rPr>
          <w:color w:val="231F20"/>
          <w:w w:val="105"/>
          <w:sz w:val="19"/>
        </w:rPr>
        <w:t> </w:t>
      </w:r>
      <w:r>
        <w:rPr>
          <w:i/>
          <w:color w:val="231F20"/>
          <w:w w:val="105"/>
          <w:sz w:val="19"/>
        </w:rPr>
        <w:t>Corporate</w:t>
      </w:r>
      <w:r>
        <w:rPr>
          <w:i/>
          <w:color w:val="231F20"/>
          <w:w w:val="105"/>
          <w:sz w:val="19"/>
        </w:rPr>
        <w:t> Strategy</w:t>
      </w:r>
      <w:r>
        <w:rPr>
          <w:i/>
          <w:color w:val="231F20"/>
          <w:w w:val="105"/>
          <w:sz w:val="19"/>
        </w:rPr>
        <w:t> and</w:t>
      </w:r>
      <w:r>
        <w:rPr>
          <w:i/>
          <w:color w:val="231F20"/>
          <w:w w:val="105"/>
          <w:sz w:val="19"/>
        </w:rPr>
        <w:t> the</w:t>
      </w:r>
      <w:r>
        <w:rPr>
          <w:i/>
          <w:color w:val="231F20"/>
          <w:w w:val="105"/>
          <w:sz w:val="19"/>
        </w:rPr>
        <w:t> Search</w:t>
      </w:r>
      <w:r>
        <w:rPr>
          <w:i/>
          <w:color w:val="231F20"/>
          <w:spacing w:val="-11"/>
          <w:w w:val="105"/>
          <w:sz w:val="19"/>
        </w:rPr>
        <w:t> </w:t>
      </w:r>
      <w:r>
        <w:rPr>
          <w:i/>
          <w:color w:val="231F20"/>
          <w:w w:val="105"/>
          <w:sz w:val="19"/>
        </w:rPr>
        <w:t>for</w:t>
      </w:r>
      <w:r>
        <w:rPr>
          <w:i/>
          <w:color w:val="231F20"/>
          <w:spacing w:val="-10"/>
          <w:w w:val="105"/>
          <w:sz w:val="19"/>
        </w:rPr>
        <w:t> </w:t>
      </w:r>
      <w:r>
        <w:rPr>
          <w:i/>
          <w:color w:val="231F20"/>
          <w:w w:val="105"/>
          <w:sz w:val="19"/>
        </w:rPr>
        <w:t>Ethics.</w:t>
      </w:r>
      <w:r>
        <w:rPr>
          <w:i/>
          <w:color w:val="231F20"/>
          <w:w w:val="105"/>
          <w:sz w:val="19"/>
        </w:rPr>
        <w:t> </w:t>
      </w:r>
      <w:r>
        <w:rPr>
          <w:color w:val="231F20"/>
          <w:w w:val="105"/>
          <w:sz w:val="19"/>
        </w:rPr>
        <w:t>Copyright</w:t>
      </w:r>
      <w:r>
        <w:rPr>
          <w:color w:val="231F20"/>
          <w:w w:val="105"/>
          <w:sz w:val="19"/>
        </w:rPr>
        <w:t> ©</w:t>
      </w:r>
      <w:r>
        <w:rPr>
          <w:color w:val="231F20"/>
          <w:w w:val="105"/>
          <w:sz w:val="19"/>
        </w:rPr>
        <w:t> 1988,</w:t>
      </w:r>
      <w:r>
        <w:rPr>
          <w:color w:val="231F20"/>
          <w:w w:val="105"/>
          <w:sz w:val="19"/>
        </w:rPr>
        <w:t> pp.</w:t>
      </w:r>
      <w:r>
        <w:rPr>
          <w:color w:val="231F20"/>
          <w:w w:val="105"/>
          <w:sz w:val="19"/>
        </w:rPr>
        <w:t> 24</w:t>
      </w:r>
      <w:r>
        <w:rPr>
          <w:color w:val="231F20"/>
          <w:spacing w:val="-11"/>
          <w:w w:val="105"/>
          <w:sz w:val="19"/>
        </w:rPr>
        <w:t> </w:t>
      </w:r>
      <w:r>
        <w:rPr>
          <w:color w:val="231F20"/>
          <w:w w:val="105"/>
          <w:sz w:val="19"/>
        </w:rPr>
        <w:t>–</w:t>
      </w:r>
      <w:r>
        <w:rPr>
          <w:color w:val="231F20"/>
          <w:spacing w:val="-11"/>
          <w:w w:val="105"/>
          <w:sz w:val="19"/>
        </w:rPr>
        <w:t> </w:t>
      </w:r>
      <w:r>
        <w:rPr>
          <w:color w:val="231F20"/>
          <w:w w:val="105"/>
          <w:sz w:val="19"/>
        </w:rPr>
        <w:t>41.</w:t>
      </w:r>
      <w:r>
        <w:rPr>
          <w:color w:val="231F20"/>
          <w:w w:val="105"/>
          <w:sz w:val="19"/>
        </w:rPr>
        <w:t> Adapted</w:t>
      </w:r>
      <w:r>
        <w:rPr>
          <w:color w:val="231F20"/>
          <w:w w:val="105"/>
          <w:sz w:val="19"/>
        </w:rPr>
        <w:t> by</w:t>
      </w:r>
      <w:r>
        <w:rPr>
          <w:color w:val="231F20"/>
          <w:w w:val="105"/>
          <w:sz w:val="19"/>
        </w:rPr>
        <w:t> permis- sion of Prentice Hall, Englewood Cliffs, N.J.</w:t>
      </w:r>
    </w:p>
    <w:p>
      <w:pPr>
        <w:pStyle w:val="BodyText"/>
        <w:spacing w:before="3"/>
        <w:rPr>
          <w:sz w:val="28"/>
        </w:rPr>
      </w:pPr>
    </w:p>
    <w:p>
      <w:pPr>
        <w:spacing w:before="0"/>
        <w:ind w:left="495" w:right="0" w:firstLine="0"/>
        <w:jc w:val="left"/>
        <w:rPr>
          <w:rFonts w:ascii="Trebuchet MS"/>
          <w:sz w:val="20"/>
        </w:rPr>
      </w:pPr>
      <w:r>
        <w:rPr>
          <w:rFonts w:ascii="Trebuchet MS"/>
          <w:w w:val="85"/>
          <w:sz w:val="20"/>
        </w:rPr>
        <w:t>DAY</w:t>
      </w:r>
      <w:r>
        <w:rPr>
          <w:rFonts w:ascii="Trebuchet MS"/>
          <w:spacing w:val="3"/>
          <w:sz w:val="20"/>
        </w:rPr>
        <w:t> </w:t>
      </w:r>
      <w:r>
        <w:rPr>
          <w:rFonts w:ascii="Trebuchet MS"/>
          <w:w w:val="85"/>
          <w:sz w:val="20"/>
        </w:rPr>
        <w:t>3:</w:t>
      </w:r>
      <w:r>
        <w:rPr>
          <w:rFonts w:ascii="Trebuchet MS"/>
          <w:spacing w:val="3"/>
          <w:sz w:val="20"/>
        </w:rPr>
        <w:t> </w:t>
      </w:r>
      <w:r>
        <w:rPr>
          <w:rFonts w:ascii="Trebuchet MS"/>
          <w:spacing w:val="-2"/>
          <w:w w:val="85"/>
          <w:sz w:val="20"/>
        </w:rPr>
        <w:t>ACCOUNTING</w:t>
      </w:r>
    </w:p>
    <w:p>
      <w:pPr>
        <w:pStyle w:val="BodyText"/>
        <w:spacing w:before="6"/>
        <w:rPr>
          <w:rFonts w:ascii="Trebuchet MS"/>
          <w:sz w:val="28"/>
        </w:rPr>
      </w:pPr>
    </w:p>
    <w:p>
      <w:pPr>
        <w:spacing w:before="0"/>
        <w:ind w:left="508" w:right="0" w:firstLine="0"/>
        <w:jc w:val="left"/>
        <w:rPr>
          <w:rFonts w:ascii="Trebuchet MS"/>
          <w:sz w:val="20"/>
        </w:rPr>
      </w:pPr>
      <w:r>
        <w:rPr>
          <w:rFonts w:ascii="Trebuchet MS"/>
          <w:color w:val="231F20"/>
          <w:w w:val="85"/>
          <w:sz w:val="20"/>
        </w:rPr>
        <w:t>DAY</w:t>
      </w:r>
      <w:r>
        <w:rPr>
          <w:rFonts w:ascii="Trebuchet MS"/>
          <w:color w:val="231F20"/>
          <w:spacing w:val="26"/>
          <w:sz w:val="20"/>
        </w:rPr>
        <w:t> </w:t>
      </w:r>
      <w:r>
        <w:rPr>
          <w:rFonts w:ascii="Trebuchet MS"/>
          <w:color w:val="231F20"/>
          <w:w w:val="85"/>
          <w:sz w:val="20"/>
        </w:rPr>
        <w:t>4:</w:t>
      </w:r>
      <w:r>
        <w:rPr>
          <w:rFonts w:ascii="Trebuchet MS"/>
          <w:color w:val="231F20"/>
          <w:spacing w:val="26"/>
          <w:sz w:val="20"/>
        </w:rPr>
        <w:t> </w:t>
      </w:r>
      <w:r>
        <w:rPr>
          <w:rFonts w:ascii="Trebuchet MS"/>
          <w:color w:val="231F20"/>
          <w:w w:val="85"/>
          <w:sz w:val="20"/>
        </w:rPr>
        <w:t>ORGANIZATIONAL</w:t>
      </w:r>
      <w:r>
        <w:rPr>
          <w:rFonts w:ascii="Trebuchet MS"/>
          <w:color w:val="231F20"/>
          <w:spacing w:val="27"/>
          <w:sz w:val="20"/>
        </w:rPr>
        <w:t> </w:t>
      </w:r>
      <w:r>
        <w:rPr>
          <w:rFonts w:ascii="Trebuchet MS"/>
          <w:color w:val="231F20"/>
          <w:spacing w:val="-2"/>
          <w:w w:val="85"/>
          <w:sz w:val="20"/>
        </w:rPr>
        <w:t>BEHAVIOR</w:t>
      </w:r>
    </w:p>
    <w:p>
      <w:pPr>
        <w:pStyle w:val="BodyText"/>
        <w:spacing w:before="5"/>
        <w:rPr>
          <w:rFonts w:ascii="Trebuchet MS"/>
          <w:sz w:val="25"/>
        </w:rPr>
      </w:pPr>
    </w:p>
    <w:p>
      <w:pPr>
        <w:spacing w:line="280" w:lineRule="auto" w:before="0"/>
        <w:ind w:left="848" w:right="698" w:hanging="340"/>
        <w:jc w:val="both"/>
        <w:rPr>
          <w:sz w:val="19"/>
        </w:rPr>
      </w:pPr>
      <w:r>
        <w:rPr>
          <w:color w:val="231F20"/>
          <w:sz w:val="19"/>
        </w:rPr>
        <w:t>Clawson, James. “Organizational Structure,” Darden School Case </w:t>
      </w:r>
      <w:r>
        <w:rPr>
          <w:color w:val="231F20"/>
          <w:sz w:val="19"/>
        </w:rPr>
        <w:t>UVA-OB- 361,</w:t>
      </w:r>
      <w:r>
        <w:rPr>
          <w:color w:val="231F20"/>
          <w:spacing w:val="-11"/>
          <w:sz w:val="19"/>
        </w:rPr>
        <w:t> </w:t>
      </w:r>
      <w:r>
        <w:rPr>
          <w:color w:val="231F20"/>
          <w:sz w:val="19"/>
        </w:rPr>
        <w:t>Figure</w:t>
      </w:r>
      <w:r>
        <w:rPr>
          <w:color w:val="231F20"/>
          <w:spacing w:val="-10"/>
          <w:sz w:val="19"/>
        </w:rPr>
        <w:t> </w:t>
      </w:r>
      <w:r>
        <w:rPr>
          <w:color w:val="231F20"/>
          <w:sz w:val="19"/>
        </w:rPr>
        <w:t>1</w:t>
      </w:r>
      <w:r>
        <w:rPr>
          <w:color w:val="231F20"/>
          <w:spacing w:val="-11"/>
          <w:sz w:val="19"/>
        </w:rPr>
        <w:t> </w:t>
      </w:r>
      <w:r>
        <w:rPr>
          <w:color w:val="231F20"/>
          <w:sz w:val="19"/>
        </w:rPr>
        <w:t>–</w:t>
      </w:r>
      <w:r>
        <w:rPr>
          <w:color w:val="231F20"/>
          <w:spacing w:val="-10"/>
          <w:sz w:val="19"/>
        </w:rPr>
        <w:t> </w:t>
      </w:r>
      <w:r>
        <w:rPr>
          <w:color w:val="231F20"/>
          <w:sz w:val="19"/>
        </w:rPr>
        <w:t>8,</w:t>
      </w:r>
      <w:r>
        <w:rPr>
          <w:color w:val="231F20"/>
          <w:spacing w:val="-2"/>
          <w:sz w:val="19"/>
        </w:rPr>
        <w:t> </w:t>
      </w:r>
      <w:r>
        <w:rPr>
          <w:color w:val="231F20"/>
          <w:sz w:val="19"/>
        </w:rPr>
        <w:t>pp. 11</w:t>
      </w:r>
      <w:r>
        <w:rPr>
          <w:color w:val="231F20"/>
          <w:spacing w:val="-11"/>
          <w:sz w:val="19"/>
        </w:rPr>
        <w:t> </w:t>
      </w:r>
      <w:r>
        <w:rPr>
          <w:color w:val="231F20"/>
          <w:sz w:val="19"/>
        </w:rPr>
        <w:t>–</w:t>
      </w:r>
      <w:r>
        <w:rPr>
          <w:color w:val="231F20"/>
          <w:spacing w:val="-10"/>
          <w:sz w:val="19"/>
        </w:rPr>
        <w:t> </w:t>
      </w:r>
      <w:r>
        <w:rPr>
          <w:color w:val="231F20"/>
          <w:sz w:val="19"/>
        </w:rPr>
        <w:t>18. Copyright © 1988 by the Darden Graduate Business School Foundation, Charlottesville, Virginia.</w:t>
      </w:r>
    </w:p>
    <w:p>
      <w:pPr>
        <w:spacing w:line="280" w:lineRule="auto" w:before="0"/>
        <w:ind w:left="848" w:right="696" w:hanging="340"/>
        <w:jc w:val="both"/>
        <w:rPr>
          <w:sz w:val="19"/>
        </w:rPr>
      </w:pPr>
      <w:r>
        <w:rPr>
          <w:color w:val="231F20"/>
          <w:sz w:val="19"/>
        </w:rPr>
        <w:t>Clawson,</w:t>
      </w:r>
      <w:r>
        <w:rPr>
          <w:color w:val="231F20"/>
          <w:spacing w:val="80"/>
          <w:sz w:val="19"/>
        </w:rPr>
        <w:t> </w:t>
      </w:r>
      <w:r>
        <w:rPr>
          <w:color w:val="231F20"/>
          <w:sz w:val="19"/>
        </w:rPr>
        <w:t>James.</w:t>
      </w:r>
      <w:r>
        <w:rPr>
          <w:color w:val="231F20"/>
          <w:spacing w:val="80"/>
          <w:sz w:val="19"/>
        </w:rPr>
        <w:t> </w:t>
      </w:r>
      <w:r>
        <w:rPr>
          <w:color w:val="231F20"/>
          <w:sz w:val="19"/>
        </w:rPr>
        <w:t>“Survey</w:t>
      </w:r>
      <w:r>
        <w:rPr>
          <w:color w:val="231F20"/>
          <w:spacing w:val="80"/>
          <w:sz w:val="19"/>
        </w:rPr>
        <w:t> </w:t>
      </w:r>
      <w:r>
        <w:rPr>
          <w:color w:val="231F20"/>
          <w:sz w:val="19"/>
        </w:rPr>
        <w:t>of</w:t>
      </w:r>
      <w:r>
        <w:rPr>
          <w:color w:val="231F20"/>
          <w:spacing w:val="80"/>
          <w:sz w:val="19"/>
        </w:rPr>
        <w:t> </w:t>
      </w:r>
      <w:r>
        <w:rPr>
          <w:color w:val="231F20"/>
          <w:sz w:val="19"/>
        </w:rPr>
        <w:t>Managerial</w:t>
      </w:r>
      <w:r>
        <w:rPr>
          <w:color w:val="231F20"/>
          <w:spacing w:val="80"/>
          <w:sz w:val="19"/>
        </w:rPr>
        <w:t> </w:t>
      </w:r>
      <w:r>
        <w:rPr>
          <w:color w:val="231F20"/>
          <w:sz w:val="19"/>
        </w:rPr>
        <w:t>Style,”</w:t>
      </w:r>
      <w:r>
        <w:rPr>
          <w:color w:val="231F20"/>
          <w:spacing w:val="80"/>
          <w:sz w:val="19"/>
        </w:rPr>
        <w:t> </w:t>
      </w:r>
      <w:r>
        <w:rPr>
          <w:color w:val="231F20"/>
          <w:sz w:val="19"/>
        </w:rPr>
        <w:t>Darden</w:t>
      </w:r>
      <w:r>
        <w:rPr>
          <w:color w:val="231F20"/>
          <w:spacing w:val="80"/>
          <w:sz w:val="19"/>
        </w:rPr>
        <w:t> </w:t>
      </w:r>
      <w:r>
        <w:rPr>
          <w:color w:val="231F20"/>
          <w:sz w:val="19"/>
        </w:rPr>
        <w:t>School</w:t>
      </w:r>
      <w:r>
        <w:rPr>
          <w:color w:val="231F20"/>
          <w:spacing w:val="80"/>
          <w:sz w:val="19"/>
        </w:rPr>
        <w:t> </w:t>
      </w:r>
      <w:r>
        <w:rPr>
          <w:color w:val="231F20"/>
          <w:sz w:val="19"/>
        </w:rPr>
        <w:t>Case UVA-OB-358, Figure, p. 14. Copyright © 1988 by the Darden </w:t>
      </w:r>
      <w:r>
        <w:rPr>
          <w:color w:val="231F20"/>
          <w:sz w:val="19"/>
        </w:rPr>
        <w:t>Graduate Business School Foundation, Charlottesville, Virginia.</w:t>
      </w:r>
    </w:p>
    <w:p>
      <w:pPr>
        <w:spacing w:after="0" w:line="280" w:lineRule="auto"/>
        <w:jc w:val="both"/>
        <w:rPr>
          <w:sz w:val="19"/>
        </w:rPr>
        <w:sectPr>
          <w:pgSz w:w="8640" w:h="12960"/>
          <w:pgMar w:header="3040" w:footer="0" w:top="3240" w:bottom="280" w:left="740" w:right="480"/>
        </w:sectPr>
      </w:pPr>
    </w:p>
    <w:p>
      <w:pPr>
        <w:pStyle w:val="BodyText"/>
        <w:spacing w:before="4"/>
        <w:rPr>
          <w:sz w:val="17"/>
        </w:rPr>
      </w:pPr>
    </w:p>
    <w:p>
      <w:pPr>
        <w:spacing w:line="280" w:lineRule="auto" w:before="99"/>
        <w:ind w:left="454" w:right="774" w:firstLine="0"/>
        <w:jc w:val="right"/>
        <w:rPr>
          <w:sz w:val="19"/>
        </w:rPr>
      </w:pPr>
      <w:r>
        <w:rPr>
          <w:color w:val="231F20"/>
          <w:sz w:val="19"/>
        </w:rPr>
        <w:t>Clawson,</w:t>
      </w:r>
      <w:r>
        <w:rPr>
          <w:color w:val="231F20"/>
          <w:spacing w:val="40"/>
          <w:sz w:val="19"/>
        </w:rPr>
        <w:t> </w:t>
      </w:r>
      <w:r>
        <w:rPr>
          <w:color w:val="231F20"/>
          <w:sz w:val="19"/>
        </w:rPr>
        <w:t>James.</w:t>
      </w:r>
      <w:r>
        <w:rPr>
          <w:color w:val="231F20"/>
          <w:spacing w:val="40"/>
          <w:sz w:val="19"/>
        </w:rPr>
        <w:t> </w:t>
      </w:r>
      <w:r>
        <w:rPr>
          <w:color w:val="231F20"/>
          <w:sz w:val="19"/>
        </w:rPr>
        <w:t>“Systems</w:t>
      </w:r>
      <w:r>
        <w:rPr>
          <w:color w:val="231F20"/>
          <w:spacing w:val="40"/>
          <w:sz w:val="19"/>
        </w:rPr>
        <w:t> </w:t>
      </w:r>
      <w:r>
        <w:rPr>
          <w:color w:val="231F20"/>
          <w:sz w:val="19"/>
        </w:rPr>
        <w:t>Theory</w:t>
      </w:r>
      <w:r>
        <w:rPr>
          <w:color w:val="231F20"/>
          <w:spacing w:val="40"/>
          <w:sz w:val="19"/>
        </w:rPr>
        <w:t> </w:t>
      </w:r>
      <w:r>
        <w:rPr>
          <w:color w:val="231F20"/>
          <w:sz w:val="19"/>
        </w:rPr>
        <w:t>and</w:t>
      </w:r>
      <w:r>
        <w:rPr>
          <w:color w:val="231F20"/>
          <w:spacing w:val="40"/>
          <w:sz w:val="19"/>
        </w:rPr>
        <w:t> </w:t>
      </w:r>
      <w:r>
        <w:rPr>
          <w:color w:val="231F20"/>
          <w:sz w:val="19"/>
        </w:rPr>
        <w:t>Organizational</w:t>
      </w:r>
      <w:r>
        <w:rPr>
          <w:color w:val="231F20"/>
          <w:spacing w:val="40"/>
          <w:sz w:val="19"/>
        </w:rPr>
        <w:t> </w:t>
      </w:r>
      <w:r>
        <w:rPr>
          <w:color w:val="231F20"/>
          <w:sz w:val="19"/>
        </w:rPr>
        <w:t>Analysis,”</w:t>
      </w:r>
      <w:r>
        <w:rPr>
          <w:color w:val="231F20"/>
          <w:spacing w:val="40"/>
          <w:sz w:val="19"/>
        </w:rPr>
        <w:t> </w:t>
      </w:r>
      <w:r>
        <w:rPr>
          <w:color w:val="231F20"/>
          <w:sz w:val="19"/>
        </w:rPr>
        <w:t>Darden School</w:t>
      </w:r>
      <w:r>
        <w:rPr>
          <w:color w:val="231F20"/>
          <w:spacing w:val="40"/>
          <w:sz w:val="19"/>
        </w:rPr>
        <w:t> </w:t>
      </w:r>
      <w:r>
        <w:rPr>
          <w:color w:val="231F20"/>
          <w:sz w:val="19"/>
        </w:rPr>
        <w:t>Case</w:t>
      </w:r>
      <w:r>
        <w:rPr>
          <w:color w:val="231F20"/>
          <w:spacing w:val="40"/>
          <w:sz w:val="19"/>
        </w:rPr>
        <w:t> </w:t>
      </w:r>
      <w:r>
        <w:rPr>
          <w:color w:val="231F20"/>
          <w:sz w:val="19"/>
        </w:rPr>
        <w:t>UVA-OB-214,</w:t>
      </w:r>
      <w:r>
        <w:rPr>
          <w:color w:val="231F20"/>
          <w:spacing w:val="40"/>
          <w:sz w:val="19"/>
        </w:rPr>
        <w:t> </w:t>
      </w:r>
      <w:r>
        <w:rPr>
          <w:color w:val="231F20"/>
          <w:sz w:val="19"/>
        </w:rPr>
        <w:t>Figure</w:t>
      </w:r>
      <w:r>
        <w:rPr>
          <w:color w:val="231F20"/>
          <w:spacing w:val="40"/>
          <w:sz w:val="19"/>
        </w:rPr>
        <w:t> </w:t>
      </w:r>
      <w:r>
        <w:rPr>
          <w:color w:val="231F20"/>
          <w:sz w:val="19"/>
        </w:rPr>
        <w:t>1,</w:t>
      </w:r>
      <w:r>
        <w:rPr>
          <w:color w:val="231F20"/>
          <w:spacing w:val="40"/>
          <w:sz w:val="19"/>
        </w:rPr>
        <w:t> </w:t>
      </w:r>
      <w:r>
        <w:rPr>
          <w:color w:val="231F20"/>
          <w:sz w:val="19"/>
        </w:rPr>
        <w:t>p.</w:t>
      </w:r>
      <w:r>
        <w:rPr>
          <w:color w:val="231F20"/>
          <w:spacing w:val="40"/>
          <w:sz w:val="19"/>
        </w:rPr>
        <w:t> </w:t>
      </w:r>
      <w:r>
        <w:rPr>
          <w:color w:val="231F20"/>
          <w:sz w:val="19"/>
        </w:rPr>
        <w:t>9.</w:t>
      </w:r>
      <w:r>
        <w:rPr>
          <w:color w:val="231F20"/>
          <w:spacing w:val="40"/>
          <w:sz w:val="19"/>
        </w:rPr>
        <w:t> </w:t>
      </w:r>
      <w:r>
        <w:rPr>
          <w:color w:val="231F20"/>
          <w:sz w:val="19"/>
        </w:rPr>
        <w:t>Copyright</w:t>
      </w:r>
      <w:r>
        <w:rPr>
          <w:color w:val="231F20"/>
          <w:spacing w:val="40"/>
          <w:sz w:val="19"/>
        </w:rPr>
        <w:t> </w:t>
      </w:r>
      <w:r>
        <w:rPr>
          <w:color w:val="231F20"/>
          <w:sz w:val="19"/>
        </w:rPr>
        <w:t>©</w:t>
      </w:r>
      <w:r>
        <w:rPr>
          <w:color w:val="231F20"/>
          <w:spacing w:val="40"/>
          <w:sz w:val="19"/>
        </w:rPr>
        <w:t> </w:t>
      </w:r>
      <w:r>
        <w:rPr>
          <w:color w:val="231F20"/>
          <w:sz w:val="19"/>
        </w:rPr>
        <w:t>1983</w:t>
      </w:r>
      <w:r>
        <w:rPr>
          <w:color w:val="231F20"/>
          <w:spacing w:val="40"/>
          <w:sz w:val="19"/>
        </w:rPr>
        <w:t> </w:t>
      </w:r>
      <w:r>
        <w:rPr>
          <w:color w:val="231F20"/>
          <w:sz w:val="19"/>
        </w:rPr>
        <w:t>by</w:t>
      </w:r>
      <w:r>
        <w:rPr>
          <w:color w:val="231F20"/>
          <w:spacing w:val="40"/>
          <w:sz w:val="19"/>
        </w:rPr>
        <w:t> </w:t>
      </w:r>
      <w:r>
        <w:rPr>
          <w:color w:val="231F20"/>
          <w:sz w:val="19"/>
        </w:rPr>
        <w:t>the Darden Graduate Business School Foundation, Charlottesville, Virginia. Gabarro,</w:t>
      </w:r>
      <w:r>
        <w:rPr>
          <w:color w:val="231F20"/>
          <w:spacing w:val="28"/>
          <w:sz w:val="19"/>
        </w:rPr>
        <w:t> </w:t>
      </w:r>
      <w:r>
        <w:rPr>
          <w:color w:val="231F20"/>
          <w:sz w:val="19"/>
        </w:rPr>
        <w:t>John</w:t>
      </w:r>
      <w:r>
        <w:rPr>
          <w:color w:val="231F20"/>
          <w:spacing w:val="28"/>
          <w:sz w:val="19"/>
        </w:rPr>
        <w:t> </w:t>
      </w:r>
      <w:r>
        <w:rPr>
          <w:color w:val="231F20"/>
          <w:sz w:val="19"/>
        </w:rPr>
        <w:t>J.,</w:t>
      </w:r>
      <w:r>
        <w:rPr>
          <w:color w:val="231F20"/>
          <w:spacing w:val="28"/>
          <w:sz w:val="19"/>
        </w:rPr>
        <w:t> </w:t>
      </w:r>
      <w:r>
        <w:rPr>
          <w:color w:val="231F20"/>
          <w:sz w:val="19"/>
        </w:rPr>
        <w:t>and</w:t>
      </w:r>
      <w:r>
        <w:rPr>
          <w:color w:val="231F20"/>
          <w:spacing w:val="28"/>
          <w:sz w:val="19"/>
        </w:rPr>
        <w:t> </w:t>
      </w:r>
      <w:r>
        <w:rPr>
          <w:color w:val="231F20"/>
          <w:sz w:val="19"/>
        </w:rPr>
        <w:t>John</w:t>
      </w:r>
      <w:r>
        <w:rPr>
          <w:color w:val="231F20"/>
          <w:spacing w:val="28"/>
          <w:sz w:val="19"/>
        </w:rPr>
        <w:t> </w:t>
      </w:r>
      <w:r>
        <w:rPr>
          <w:color w:val="231F20"/>
          <w:sz w:val="19"/>
        </w:rPr>
        <w:t>P.</w:t>
      </w:r>
      <w:r>
        <w:rPr>
          <w:color w:val="231F20"/>
          <w:spacing w:val="28"/>
          <w:sz w:val="19"/>
        </w:rPr>
        <w:t> </w:t>
      </w:r>
      <w:r>
        <w:rPr>
          <w:color w:val="231F20"/>
          <w:sz w:val="19"/>
        </w:rPr>
        <w:t>Kotter.</w:t>
      </w:r>
      <w:r>
        <w:rPr>
          <w:color w:val="231F20"/>
          <w:spacing w:val="28"/>
          <w:sz w:val="19"/>
        </w:rPr>
        <w:t> </w:t>
      </w:r>
      <w:r>
        <w:rPr>
          <w:color w:val="231F20"/>
          <w:sz w:val="19"/>
        </w:rPr>
        <w:t>“Managing</w:t>
      </w:r>
      <w:r>
        <w:rPr>
          <w:color w:val="231F20"/>
          <w:spacing w:val="28"/>
          <w:sz w:val="19"/>
        </w:rPr>
        <w:t> </w:t>
      </w:r>
      <w:r>
        <w:rPr>
          <w:color w:val="231F20"/>
          <w:sz w:val="19"/>
        </w:rPr>
        <w:t>Your</w:t>
      </w:r>
      <w:r>
        <w:rPr>
          <w:color w:val="231F20"/>
          <w:spacing w:val="28"/>
          <w:sz w:val="19"/>
        </w:rPr>
        <w:t> </w:t>
      </w:r>
      <w:r>
        <w:rPr>
          <w:color w:val="231F20"/>
          <w:sz w:val="19"/>
        </w:rPr>
        <w:t>Boss.”</w:t>
      </w:r>
      <w:r>
        <w:rPr>
          <w:color w:val="231F20"/>
          <w:spacing w:val="26"/>
          <w:sz w:val="19"/>
        </w:rPr>
        <w:t> </w:t>
      </w:r>
      <w:r>
        <w:rPr>
          <w:i/>
          <w:color w:val="231F20"/>
          <w:sz w:val="19"/>
        </w:rPr>
        <w:t>Harvard</w:t>
      </w:r>
      <w:r>
        <w:rPr>
          <w:i/>
          <w:color w:val="231F20"/>
          <w:spacing w:val="28"/>
          <w:sz w:val="19"/>
        </w:rPr>
        <w:t> </w:t>
      </w:r>
      <w:r>
        <w:rPr>
          <w:i/>
          <w:color w:val="231F20"/>
          <w:sz w:val="19"/>
        </w:rPr>
        <w:t>Busi-</w:t>
      </w:r>
      <w:r>
        <w:rPr>
          <w:i/>
          <w:color w:val="231F20"/>
          <w:sz w:val="19"/>
        </w:rPr>
        <w:t> ness</w:t>
      </w:r>
      <w:r>
        <w:rPr>
          <w:i/>
          <w:color w:val="231F20"/>
          <w:spacing w:val="40"/>
          <w:sz w:val="19"/>
        </w:rPr>
        <w:t> </w:t>
      </w:r>
      <w:r>
        <w:rPr>
          <w:i/>
          <w:color w:val="231F20"/>
          <w:sz w:val="19"/>
        </w:rPr>
        <w:t>Review</w:t>
      </w:r>
      <w:r>
        <w:rPr>
          <w:i/>
          <w:color w:val="231F20"/>
          <w:spacing w:val="40"/>
          <w:sz w:val="19"/>
        </w:rPr>
        <w:t> </w:t>
      </w:r>
      <w:r>
        <w:rPr>
          <w:color w:val="231F20"/>
          <w:sz w:val="19"/>
        </w:rPr>
        <w:t>(January/February</w:t>
      </w:r>
      <w:r>
        <w:rPr>
          <w:color w:val="231F20"/>
          <w:spacing w:val="40"/>
          <w:sz w:val="19"/>
        </w:rPr>
        <w:t> </w:t>
      </w:r>
      <w:r>
        <w:rPr>
          <w:color w:val="231F20"/>
          <w:sz w:val="19"/>
        </w:rPr>
        <w:t>1980),</w:t>
      </w:r>
      <w:r>
        <w:rPr>
          <w:color w:val="231F20"/>
          <w:spacing w:val="40"/>
          <w:sz w:val="19"/>
        </w:rPr>
        <w:t> </w:t>
      </w:r>
      <w:r>
        <w:rPr>
          <w:color w:val="231F20"/>
          <w:sz w:val="19"/>
        </w:rPr>
        <w:t>Exhibit,</w:t>
      </w:r>
      <w:r>
        <w:rPr>
          <w:color w:val="231F20"/>
          <w:spacing w:val="40"/>
          <w:sz w:val="19"/>
        </w:rPr>
        <w:t> </w:t>
      </w:r>
      <w:r>
        <w:rPr>
          <w:color w:val="231F20"/>
          <w:sz w:val="19"/>
        </w:rPr>
        <w:t>“Managing</w:t>
      </w:r>
      <w:r>
        <w:rPr>
          <w:color w:val="231F20"/>
          <w:spacing w:val="40"/>
          <w:sz w:val="19"/>
        </w:rPr>
        <w:t> </w:t>
      </w:r>
      <w:r>
        <w:rPr>
          <w:color w:val="231F20"/>
          <w:sz w:val="19"/>
        </w:rPr>
        <w:t>the</w:t>
      </w:r>
      <w:r>
        <w:rPr>
          <w:color w:val="231F20"/>
          <w:spacing w:val="40"/>
          <w:sz w:val="19"/>
        </w:rPr>
        <w:t> </w:t>
      </w:r>
      <w:r>
        <w:rPr>
          <w:color w:val="231F20"/>
          <w:sz w:val="19"/>
        </w:rPr>
        <w:t>Rela- tionship</w:t>
      </w:r>
      <w:r>
        <w:rPr>
          <w:color w:val="231F20"/>
          <w:spacing w:val="40"/>
          <w:sz w:val="19"/>
        </w:rPr>
        <w:t> </w:t>
      </w:r>
      <w:r>
        <w:rPr>
          <w:color w:val="231F20"/>
          <w:sz w:val="19"/>
        </w:rPr>
        <w:t>with</w:t>
      </w:r>
      <w:r>
        <w:rPr>
          <w:color w:val="231F20"/>
          <w:spacing w:val="40"/>
          <w:sz w:val="19"/>
        </w:rPr>
        <w:t> </w:t>
      </w:r>
      <w:r>
        <w:rPr>
          <w:color w:val="231F20"/>
          <w:sz w:val="19"/>
        </w:rPr>
        <w:t>Your</w:t>
      </w:r>
      <w:r>
        <w:rPr>
          <w:color w:val="231F20"/>
          <w:spacing w:val="40"/>
          <w:sz w:val="19"/>
        </w:rPr>
        <w:t> </w:t>
      </w:r>
      <w:r>
        <w:rPr>
          <w:color w:val="231F20"/>
          <w:sz w:val="19"/>
        </w:rPr>
        <w:t>Boss,”</w:t>
      </w:r>
      <w:r>
        <w:rPr>
          <w:color w:val="231F20"/>
          <w:spacing w:val="40"/>
          <w:sz w:val="19"/>
        </w:rPr>
        <w:t> </w:t>
      </w:r>
      <w:r>
        <w:rPr>
          <w:color w:val="231F20"/>
          <w:sz w:val="19"/>
        </w:rPr>
        <w:t>p.</w:t>
      </w:r>
      <w:r>
        <w:rPr>
          <w:color w:val="231F20"/>
          <w:spacing w:val="40"/>
          <w:sz w:val="19"/>
        </w:rPr>
        <w:t> </w:t>
      </w:r>
      <w:r>
        <w:rPr>
          <w:color w:val="231F20"/>
          <w:sz w:val="19"/>
        </w:rPr>
        <w:t>99.</w:t>
      </w:r>
      <w:r>
        <w:rPr>
          <w:color w:val="231F20"/>
          <w:spacing w:val="40"/>
          <w:sz w:val="19"/>
        </w:rPr>
        <w:t> </w:t>
      </w:r>
      <w:r>
        <w:rPr>
          <w:color w:val="231F20"/>
          <w:sz w:val="19"/>
        </w:rPr>
        <w:t>Copyright</w:t>
      </w:r>
      <w:r>
        <w:rPr>
          <w:color w:val="231F20"/>
          <w:spacing w:val="40"/>
          <w:sz w:val="19"/>
        </w:rPr>
        <w:t> </w:t>
      </w:r>
      <w:r>
        <w:rPr>
          <w:color w:val="231F20"/>
          <w:sz w:val="19"/>
        </w:rPr>
        <w:t>©</w:t>
      </w:r>
      <w:r>
        <w:rPr>
          <w:color w:val="231F20"/>
          <w:spacing w:val="40"/>
          <w:sz w:val="19"/>
        </w:rPr>
        <w:t> </w:t>
      </w:r>
      <w:r>
        <w:rPr>
          <w:color w:val="231F20"/>
          <w:sz w:val="19"/>
        </w:rPr>
        <w:t>1979</w:t>
      </w:r>
      <w:r>
        <w:rPr>
          <w:color w:val="231F20"/>
          <w:spacing w:val="40"/>
          <w:sz w:val="19"/>
        </w:rPr>
        <w:t> </w:t>
      </w:r>
      <w:r>
        <w:rPr>
          <w:color w:val="231F20"/>
          <w:sz w:val="19"/>
        </w:rPr>
        <w:t>by</w:t>
      </w:r>
      <w:r>
        <w:rPr>
          <w:color w:val="231F20"/>
          <w:spacing w:val="40"/>
          <w:sz w:val="19"/>
        </w:rPr>
        <w:t> </w:t>
      </w:r>
      <w:r>
        <w:rPr>
          <w:color w:val="231F20"/>
          <w:sz w:val="19"/>
        </w:rPr>
        <w:t>the</w:t>
      </w:r>
      <w:r>
        <w:rPr>
          <w:color w:val="231F20"/>
          <w:spacing w:val="40"/>
          <w:sz w:val="19"/>
        </w:rPr>
        <w:t> </w:t>
      </w:r>
      <w:r>
        <w:rPr>
          <w:color w:val="231F20"/>
          <w:sz w:val="19"/>
        </w:rPr>
        <w:t>President</w:t>
      </w:r>
      <w:r>
        <w:rPr>
          <w:color w:val="231F20"/>
          <w:spacing w:val="80"/>
          <w:sz w:val="19"/>
        </w:rPr>
        <w:t> </w:t>
      </w:r>
      <w:r>
        <w:rPr>
          <w:color w:val="231F20"/>
          <w:sz w:val="19"/>
        </w:rPr>
        <w:t>and</w:t>
      </w:r>
      <w:r>
        <w:rPr>
          <w:color w:val="231F20"/>
          <w:spacing w:val="80"/>
          <w:sz w:val="19"/>
        </w:rPr>
        <w:t> </w:t>
      </w:r>
      <w:r>
        <w:rPr>
          <w:color w:val="231F20"/>
          <w:sz w:val="19"/>
        </w:rPr>
        <w:t>Fellows</w:t>
      </w:r>
      <w:r>
        <w:rPr>
          <w:color w:val="231F20"/>
          <w:spacing w:val="80"/>
          <w:sz w:val="19"/>
        </w:rPr>
        <w:t> </w:t>
      </w:r>
      <w:r>
        <w:rPr>
          <w:color w:val="231F20"/>
          <w:sz w:val="19"/>
        </w:rPr>
        <w:t>of</w:t>
      </w:r>
      <w:r>
        <w:rPr>
          <w:color w:val="231F20"/>
          <w:spacing w:val="80"/>
          <w:sz w:val="19"/>
        </w:rPr>
        <w:t> </w:t>
      </w:r>
      <w:r>
        <w:rPr>
          <w:color w:val="231F20"/>
          <w:sz w:val="19"/>
        </w:rPr>
        <w:t>Harvard</w:t>
      </w:r>
      <w:r>
        <w:rPr>
          <w:color w:val="231F20"/>
          <w:spacing w:val="80"/>
          <w:sz w:val="19"/>
        </w:rPr>
        <w:t> </w:t>
      </w:r>
      <w:r>
        <w:rPr>
          <w:color w:val="231F20"/>
          <w:sz w:val="19"/>
        </w:rPr>
        <w:t>College;</w:t>
      </w:r>
      <w:r>
        <w:rPr>
          <w:color w:val="231F20"/>
          <w:spacing w:val="80"/>
          <w:sz w:val="19"/>
        </w:rPr>
        <w:t> </w:t>
      </w:r>
      <w:r>
        <w:rPr>
          <w:color w:val="231F20"/>
          <w:sz w:val="19"/>
        </w:rPr>
        <w:t>all</w:t>
      </w:r>
      <w:r>
        <w:rPr>
          <w:color w:val="231F20"/>
          <w:spacing w:val="80"/>
          <w:sz w:val="19"/>
        </w:rPr>
        <w:t> </w:t>
      </w:r>
      <w:r>
        <w:rPr>
          <w:color w:val="231F20"/>
          <w:sz w:val="19"/>
        </w:rPr>
        <w:t>rights</w:t>
      </w:r>
      <w:r>
        <w:rPr>
          <w:color w:val="231F20"/>
          <w:spacing w:val="80"/>
          <w:sz w:val="19"/>
        </w:rPr>
        <w:t> </w:t>
      </w:r>
      <w:r>
        <w:rPr>
          <w:color w:val="231F20"/>
          <w:sz w:val="19"/>
        </w:rPr>
        <w:t>reserved.</w:t>
      </w:r>
      <w:r>
        <w:rPr>
          <w:color w:val="231F20"/>
          <w:spacing w:val="80"/>
          <w:sz w:val="19"/>
        </w:rPr>
        <w:t> </w:t>
      </w:r>
      <w:r>
        <w:rPr>
          <w:color w:val="231F20"/>
          <w:sz w:val="19"/>
        </w:rPr>
        <w:t>Reprinted</w:t>
      </w:r>
      <w:r>
        <w:rPr>
          <w:color w:val="231F20"/>
          <w:spacing w:val="80"/>
          <w:sz w:val="19"/>
        </w:rPr>
        <w:t> </w:t>
      </w:r>
      <w:r>
        <w:rPr>
          <w:color w:val="231F20"/>
          <w:sz w:val="19"/>
        </w:rPr>
        <w:t>by</w:t>
      </w:r>
    </w:p>
    <w:p>
      <w:pPr>
        <w:spacing w:line="218" w:lineRule="exact" w:before="0"/>
        <w:ind w:left="770" w:right="0" w:firstLine="0"/>
        <w:jc w:val="left"/>
        <w:rPr>
          <w:sz w:val="19"/>
        </w:rPr>
      </w:pPr>
      <w:r>
        <w:rPr>
          <w:color w:val="231F20"/>
          <w:spacing w:val="-2"/>
          <w:sz w:val="19"/>
        </w:rPr>
        <w:t>permission.</w:t>
      </w:r>
    </w:p>
    <w:p>
      <w:pPr>
        <w:spacing w:line="280" w:lineRule="auto" w:before="37"/>
        <w:ind w:left="770" w:right="773" w:hanging="340"/>
        <w:jc w:val="both"/>
        <w:rPr>
          <w:sz w:val="19"/>
        </w:rPr>
      </w:pPr>
      <w:r>
        <w:rPr>
          <w:color w:val="231F20"/>
          <w:sz w:val="19"/>
        </w:rPr>
        <w:t>Greiner, Larry E. “Evolution and Revolution as Organizations Grow.”</w:t>
      </w:r>
      <w:r>
        <w:rPr>
          <w:color w:val="231F20"/>
          <w:spacing w:val="80"/>
          <w:sz w:val="19"/>
        </w:rPr>
        <w:t> </w:t>
      </w:r>
      <w:r>
        <w:rPr>
          <w:i/>
          <w:color w:val="231F20"/>
          <w:sz w:val="19"/>
        </w:rPr>
        <w:t>Harvard Business Review </w:t>
      </w:r>
      <w:r>
        <w:rPr>
          <w:color w:val="231F20"/>
          <w:sz w:val="19"/>
        </w:rPr>
        <w:t>(July/August 1972), Exhibit II, “The Five</w:t>
      </w:r>
      <w:r>
        <w:rPr>
          <w:color w:val="231F20"/>
          <w:spacing w:val="40"/>
          <w:sz w:val="19"/>
        </w:rPr>
        <w:t> </w:t>
      </w:r>
      <w:r>
        <w:rPr>
          <w:color w:val="231F20"/>
          <w:sz w:val="19"/>
        </w:rPr>
        <w:t>Phases of Growth,” p. 41. Copyright © 1972 by the President and Fel- lows of Harvard College; all rights reserved. Reprinted by permission.</w:t>
      </w:r>
    </w:p>
    <w:p>
      <w:pPr>
        <w:spacing w:line="280" w:lineRule="auto" w:before="0"/>
        <w:ind w:left="770" w:right="776" w:hanging="340"/>
        <w:jc w:val="both"/>
        <w:rPr>
          <w:sz w:val="19"/>
        </w:rPr>
      </w:pPr>
      <w:r>
        <w:rPr>
          <w:color w:val="231F20"/>
          <w:sz w:val="19"/>
        </w:rPr>
        <w:t>“Why People Behave the Way They Do,” Darden School Case </w:t>
      </w:r>
      <w:r>
        <w:rPr>
          <w:color w:val="231F20"/>
          <w:sz w:val="19"/>
        </w:rPr>
        <w:t>UVA-OB-183, Figure 5, p. 16. Copyright © 1986 by the Darden Graduate Business School Foundation, Charlottesville, Virginia.</w:t>
      </w:r>
    </w:p>
    <w:p>
      <w:pPr>
        <w:spacing w:line="280" w:lineRule="auto" w:before="0"/>
        <w:ind w:left="770" w:right="773" w:hanging="340"/>
        <w:jc w:val="both"/>
        <w:rPr>
          <w:sz w:val="19"/>
        </w:rPr>
      </w:pPr>
      <w:r>
        <w:rPr>
          <w:color w:val="231F20"/>
          <w:w w:val="105"/>
          <w:sz w:val="19"/>
        </w:rPr>
        <w:t>Zierden,</w:t>
      </w:r>
      <w:r>
        <w:rPr>
          <w:color w:val="231F20"/>
          <w:w w:val="105"/>
          <w:sz w:val="19"/>
        </w:rPr>
        <w:t> William</w:t>
      </w:r>
      <w:r>
        <w:rPr>
          <w:color w:val="231F20"/>
          <w:w w:val="105"/>
          <w:sz w:val="19"/>
        </w:rPr>
        <w:t> E.</w:t>
      </w:r>
      <w:r>
        <w:rPr>
          <w:color w:val="231F20"/>
          <w:w w:val="105"/>
          <w:sz w:val="19"/>
        </w:rPr>
        <w:t> “A</w:t>
      </w:r>
      <w:r>
        <w:rPr>
          <w:color w:val="231F20"/>
          <w:w w:val="105"/>
          <w:sz w:val="19"/>
        </w:rPr>
        <w:t> Framework</w:t>
      </w:r>
      <w:r>
        <w:rPr>
          <w:color w:val="231F20"/>
          <w:w w:val="105"/>
          <w:sz w:val="19"/>
        </w:rPr>
        <w:t> for</w:t>
      </w:r>
      <w:r>
        <w:rPr>
          <w:color w:val="231F20"/>
          <w:w w:val="105"/>
          <w:sz w:val="19"/>
        </w:rPr>
        <w:t> Understanding</w:t>
      </w:r>
      <w:r>
        <w:rPr>
          <w:color w:val="231F20"/>
          <w:w w:val="105"/>
          <w:sz w:val="19"/>
        </w:rPr>
        <w:t> Organizations,” Darden</w:t>
      </w:r>
      <w:r>
        <w:rPr>
          <w:color w:val="231F20"/>
          <w:w w:val="105"/>
          <w:sz w:val="19"/>
        </w:rPr>
        <w:t> School</w:t>
      </w:r>
      <w:r>
        <w:rPr>
          <w:color w:val="231F20"/>
          <w:w w:val="105"/>
          <w:sz w:val="19"/>
        </w:rPr>
        <w:t> Case</w:t>
      </w:r>
      <w:r>
        <w:rPr>
          <w:color w:val="231F20"/>
          <w:w w:val="105"/>
          <w:sz w:val="19"/>
        </w:rPr>
        <w:t> UVA-OB-183,</w:t>
      </w:r>
      <w:r>
        <w:rPr>
          <w:color w:val="231F20"/>
          <w:w w:val="105"/>
          <w:sz w:val="19"/>
        </w:rPr>
        <w:t> Figure</w:t>
      </w:r>
      <w:r>
        <w:rPr>
          <w:color w:val="231F20"/>
          <w:w w:val="105"/>
          <w:sz w:val="19"/>
        </w:rPr>
        <w:t> 5,</w:t>
      </w:r>
      <w:r>
        <w:rPr>
          <w:color w:val="231F20"/>
          <w:w w:val="105"/>
          <w:sz w:val="19"/>
        </w:rPr>
        <w:t> p.</w:t>
      </w:r>
      <w:r>
        <w:rPr>
          <w:color w:val="231F20"/>
          <w:w w:val="105"/>
          <w:sz w:val="19"/>
        </w:rPr>
        <w:t> 16.</w:t>
      </w:r>
      <w:r>
        <w:rPr>
          <w:color w:val="231F20"/>
          <w:w w:val="105"/>
          <w:sz w:val="19"/>
        </w:rPr>
        <w:t> Copyright</w:t>
      </w:r>
      <w:r>
        <w:rPr>
          <w:color w:val="231F20"/>
          <w:w w:val="105"/>
          <w:sz w:val="19"/>
        </w:rPr>
        <w:t> ©</w:t>
      </w:r>
      <w:r>
        <w:rPr>
          <w:color w:val="231F20"/>
          <w:w w:val="105"/>
          <w:sz w:val="19"/>
        </w:rPr>
        <w:t> </w:t>
      </w:r>
      <w:r>
        <w:rPr>
          <w:color w:val="231F20"/>
          <w:w w:val="105"/>
          <w:sz w:val="19"/>
        </w:rPr>
        <w:t>1986 by</w:t>
      </w:r>
      <w:r>
        <w:rPr>
          <w:color w:val="231F20"/>
          <w:w w:val="105"/>
          <w:sz w:val="19"/>
        </w:rPr>
        <w:t> the</w:t>
      </w:r>
      <w:r>
        <w:rPr>
          <w:color w:val="231F20"/>
          <w:w w:val="105"/>
          <w:sz w:val="19"/>
        </w:rPr>
        <w:t> Darden</w:t>
      </w:r>
      <w:r>
        <w:rPr>
          <w:color w:val="231F20"/>
          <w:w w:val="105"/>
          <w:sz w:val="19"/>
        </w:rPr>
        <w:t> Graduate</w:t>
      </w:r>
      <w:r>
        <w:rPr>
          <w:color w:val="231F20"/>
          <w:w w:val="105"/>
          <w:sz w:val="19"/>
        </w:rPr>
        <w:t> Business</w:t>
      </w:r>
      <w:r>
        <w:rPr>
          <w:color w:val="231F20"/>
          <w:w w:val="105"/>
          <w:sz w:val="19"/>
        </w:rPr>
        <w:t> School</w:t>
      </w:r>
      <w:r>
        <w:rPr>
          <w:color w:val="231F20"/>
          <w:w w:val="105"/>
          <w:sz w:val="19"/>
        </w:rPr>
        <w:t> Foundation,</w:t>
      </w:r>
      <w:r>
        <w:rPr>
          <w:color w:val="231F20"/>
          <w:w w:val="105"/>
          <w:sz w:val="19"/>
        </w:rPr>
        <w:t> Charlottesville, </w:t>
      </w:r>
      <w:r>
        <w:rPr>
          <w:color w:val="231F20"/>
          <w:spacing w:val="-2"/>
          <w:w w:val="105"/>
          <w:sz w:val="19"/>
        </w:rPr>
        <w:t>Virginia.</w:t>
      </w:r>
    </w:p>
    <w:p>
      <w:pPr>
        <w:spacing w:line="280" w:lineRule="auto" w:before="0"/>
        <w:ind w:left="770" w:right="774" w:hanging="340"/>
        <w:jc w:val="both"/>
        <w:rPr>
          <w:sz w:val="19"/>
        </w:rPr>
      </w:pPr>
      <w:r>
        <w:rPr>
          <w:color w:val="231F20"/>
          <w:sz w:val="19"/>
        </w:rPr>
        <w:t>Zierden,</w:t>
      </w:r>
      <w:r>
        <w:rPr>
          <w:color w:val="231F20"/>
          <w:spacing w:val="40"/>
          <w:sz w:val="19"/>
        </w:rPr>
        <w:t> </w:t>
      </w:r>
      <w:r>
        <w:rPr>
          <w:color w:val="231F20"/>
          <w:sz w:val="19"/>
        </w:rPr>
        <w:t>William</w:t>
      </w:r>
      <w:r>
        <w:rPr>
          <w:color w:val="231F20"/>
          <w:spacing w:val="40"/>
          <w:sz w:val="19"/>
        </w:rPr>
        <w:t> </w:t>
      </w:r>
      <w:r>
        <w:rPr>
          <w:color w:val="231F20"/>
          <w:sz w:val="19"/>
        </w:rPr>
        <w:t>E.</w:t>
      </w:r>
      <w:r>
        <w:rPr>
          <w:color w:val="231F20"/>
          <w:spacing w:val="40"/>
          <w:sz w:val="19"/>
        </w:rPr>
        <w:t> </w:t>
      </w:r>
      <w:r>
        <w:rPr>
          <w:color w:val="231F20"/>
          <w:sz w:val="19"/>
        </w:rPr>
        <w:t>“Introduction</w:t>
      </w:r>
      <w:r>
        <w:rPr>
          <w:color w:val="231F20"/>
          <w:spacing w:val="40"/>
          <w:sz w:val="19"/>
        </w:rPr>
        <w:t> </w:t>
      </w:r>
      <w:r>
        <w:rPr>
          <w:color w:val="231F20"/>
          <w:sz w:val="19"/>
        </w:rPr>
        <w:t>to</w:t>
      </w:r>
      <w:r>
        <w:rPr>
          <w:color w:val="231F20"/>
          <w:spacing w:val="40"/>
          <w:sz w:val="19"/>
        </w:rPr>
        <w:t> </w:t>
      </w:r>
      <w:r>
        <w:rPr>
          <w:color w:val="231F20"/>
          <w:sz w:val="19"/>
        </w:rPr>
        <w:t>Job</w:t>
      </w:r>
      <w:r>
        <w:rPr>
          <w:color w:val="231F20"/>
          <w:spacing w:val="40"/>
          <w:sz w:val="19"/>
        </w:rPr>
        <w:t> </w:t>
      </w:r>
      <w:r>
        <w:rPr>
          <w:color w:val="231F20"/>
          <w:sz w:val="19"/>
        </w:rPr>
        <w:t>Design,”</w:t>
      </w:r>
      <w:r>
        <w:rPr>
          <w:color w:val="231F20"/>
          <w:spacing w:val="40"/>
          <w:sz w:val="19"/>
        </w:rPr>
        <w:t> </w:t>
      </w:r>
      <w:r>
        <w:rPr>
          <w:color w:val="231F20"/>
          <w:sz w:val="19"/>
        </w:rPr>
        <w:t>Darden</w:t>
      </w:r>
      <w:r>
        <w:rPr>
          <w:color w:val="231F20"/>
          <w:spacing w:val="40"/>
          <w:sz w:val="19"/>
        </w:rPr>
        <w:t> </w:t>
      </w:r>
      <w:r>
        <w:rPr>
          <w:color w:val="231F20"/>
          <w:sz w:val="19"/>
        </w:rPr>
        <w:t>School</w:t>
      </w:r>
      <w:r>
        <w:rPr>
          <w:color w:val="231F20"/>
          <w:spacing w:val="40"/>
          <w:sz w:val="19"/>
        </w:rPr>
        <w:t> </w:t>
      </w:r>
      <w:r>
        <w:rPr>
          <w:color w:val="231F20"/>
          <w:sz w:val="19"/>
        </w:rPr>
        <w:t>Case UVA-OB-91R,</w:t>
      </w:r>
      <w:r>
        <w:rPr>
          <w:color w:val="231F20"/>
          <w:spacing w:val="28"/>
          <w:sz w:val="19"/>
        </w:rPr>
        <w:t> </w:t>
      </w:r>
      <w:r>
        <w:rPr>
          <w:color w:val="231F20"/>
          <w:sz w:val="19"/>
        </w:rPr>
        <w:t>Figure</w:t>
      </w:r>
      <w:r>
        <w:rPr>
          <w:color w:val="231F20"/>
          <w:spacing w:val="28"/>
          <w:sz w:val="19"/>
        </w:rPr>
        <w:t> </w:t>
      </w:r>
      <w:r>
        <w:rPr>
          <w:color w:val="231F20"/>
          <w:sz w:val="19"/>
        </w:rPr>
        <w:t>1,</w:t>
      </w:r>
      <w:r>
        <w:rPr>
          <w:color w:val="231F20"/>
          <w:spacing w:val="28"/>
          <w:sz w:val="19"/>
        </w:rPr>
        <w:t> </w:t>
      </w:r>
      <w:r>
        <w:rPr>
          <w:color w:val="231F20"/>
          <w:sz w:val="19"/>
        </w:rPr>
        <w:t>p.</w:t>
      </w:r>
      <w:r>
        <w:rPr>
          <w:color w:val="231F20"/>
          <w:spacing w:val="28"/>
          <w:sz w:val="19"/>
        </w:rPr>
        <w:t> </w:t>
      </w:r>
      <w:r>
        <w:rPr>
          <w:color w:val="231F20"/>
          <w:sz w:val="19"/>
        </w:rPr>
        <w:t>2.</w:t>
      </w:r>
      <w:r>
        <w:rPr>
          <w:color w:val="231F20"/>
          <w:spacing w:val="28"/>
          <w:sz w:val="19"/>
        </w:rPr>
        <w:t> </w:t>
      </w:r>
      <w:r>
        <w:rPr>
          <w:color w:val="231F20"/>
          <w:sz w:val="19"/>
        </w:rPr>
        <w:t>Copyright</w:t>
      </w:r>
      <w:r>
        <w:rPr>
          <w:color w:val="231F20"/>
          <w:spacing w:val="28"/>
          <w:sz w:val="19"/>
        </w:rPr>
        <w:t> </w:t>
      </w:r>
      <w:r>
        <w:rPr>
          <w:color w:val="231F20"/>
          <w:sz w:val="19"/>
        </w:rPr>
        <w:t>©</w:t>
      </w:r>
      <w:r>
        <w:rPr>
          <w:color w:val="231F20"/>
          <w:spacing w:val="28"/>
          <w:sz w:val="19"/>
        </w:rPr>
        <w:t> </w:t>
      </w:r>
      <w:r>
        <w:rPr>
          <w:color w:val="231F20"/>
          <w:sz w:val="19"/>
        </w:rPr>
        <w:t>1975</w:t>
      </w:r>
      <w:r>
        <w:rPr>
          <w:color w:val="231F20"/>
          <w:spacing w:val="28"/>
          <w:sz w:val="19"/>
        </w:rPr>
        <w:t> </w:t>
      </w:r>
      <w:r>
        <w:rPr>
          <w:color w:val="231F20"/>
          <w:sz w:val="19"/>
        </w:rPr>
        <w:t>by</w:t>
      </w:r>
      <w:r>
        <w:rPr>
          <w:color w:val="231F20"/>
          <w:spacing w:val="28"/>
          <w:sz w:val="19"/>
        </w:rPr>
        <w:t> </w:t>
      </w:r>
      <w:r>
        <w:rPr>
          <w:color w:val="231F20"/>
          <w:sz w:val="19"/>
        </w:rPr>
        <w:t>the</w:t>
      </w:r>
      <w:r>
        <w:rPr>
          <w:color w:val="231F20"/>
          <w:spacing w:val="28"/>
          <w:sz w:val="19"/>
        </w:rPr>
        <w:t> </w:t>
      </w:r>
      <w:r>
        <w:rPr>
          <w:color w:val="231F20"/>
          <w:sz w:val="19"/>
        </w:rPr>
        <w:t>Darden</w:t>
      </w:r>
      <w:r>
        <w:rPr>
          <w:color w:val="231F20"/>
          <w:spacing w:val="28"/>
          <w:sz w:val="19"/>
        </w:rPr>
        <w:t> </w:t>
      </w:r>
      <w:r>
        <w:rPr>
          <w:color w:val="231F20"/>
          <w:sz w:val="19"/>
        </w:rPr>
        <w:t>Gradu- ate Business School Foundation, Charlottesville, Virginia.</w:t>
      </w:r>
    </w:p>
    <w:p>
      <w:pPr>
        <w:pStyle w:val="BodyText"/>
        <w:rPr>
          <w:sz w:val="22"/>
        </w:rPr>
      </w:pPr>
    </w:p>
    <w:p>
      <w:pPr>
        <w:pStyle w:val="BodyText"/>
      </w:pPr>
    </w:p>
    <w:p>
      <w:pPr>
        <w:spacing w:before="0"/>
        <w:ind w:left="430" w:right="0" w:firstLine="0"/>
        <w:jc w:val="left"/>
        <w:rPr>
          <w:rFonts w:ascii="Trebuchet MS"/>
          <w:sz w:val="20"/>
        </w:rPr>
      </w:pPr>
      <w:r>
        <w:rPr>
          <w:rFonts w:ascii="Trebuchet MS"/>
          <w:color w:val="231F20"/>
          <w:w w:val="85"/>
          <w:sz w:val="20"/>
        </w:rPr>
        <w:t>DAY</w:t>
      </w:r>
      <w:r>
        <w:rPr>
          <w:rFonts w:ascii="Trebuchet MS"/>
          <w:color w:val="231F20"/>
          <w:spacing w:val="16"/>
          <w:sz w:val="20"/>
        </w:rPr>
        <w:t> </w:t>
      </w:r>
      <w:r>
        <w:rPr>
          <w:rFonts w:ascii="Trebuchet MS"/>
          <w:color w:val="231F20"/>
          <w:w w:val="85"/>
          <w:sz w:val="20"/>
        </w:rPr>
        <w:t>5:</w:t>
      </w:r>
      <w:r>
        <w:rPr>
          <w:rFonts w:ascii="Trebuchet MS"/>
          <w:color w:val="231F20"/>
          <w:spacing w:val="17"/>
          <w:sz w:val="20"/>
        </w:rPr>
        <w:t> </w:t>
      </w:r>
      <w:r>
        <w:rPr>
          <w:rFonts w:ascii="Trebuchet MS"/>
          <w:color w:val="231F20"/>
          <w:w w:val="85"/>
          <w:sz w:val="20"/>
        </w:rPr>
        <w:t>QUANTITATIVE</w:t>
      </w:r>
      <w:r>
        <w:rPr>
          <w:rFonts w:ascii="Trebuchet MS"/>
          <w:color w:val="231F20"/>
          <w:spacing w:val="17"/>
          <w:sz w:val="20"/>
        </w:rPr>
        <w:t> </w:t>
      </w:r>
      <w:r>
        <w:rPr>
          <w:rFonts w:ascii="Trebuchet MS"/>
          <w:color w:val="231F20"/>
          <w:spacing w:val="-2"/>
          <w:w w:val="85"/>
          <w:sz w:val="20"/>
        </w:rPr>
        <w:t>ANALYSIS</w:t>
      </w:r>
    </w:p>
    <w:p>
      <w:pPr>
        <w:pStyle w:val="BodyText"/>
        <w:spacing w:before="5"/>
        <w:rPr>
          <w:rFonts w:ascii="Trebuchet MS"/>
          <w:sz w:val="25"/>
        </w:rPr>
      </w:pPr>
    </w:p>
    <w:p>
      <w:pPr>
        <w:spacing w:line="280" w:lineRule="auto" w:before="0"/>
        <w:ind w:left="770" w:right="776" w:hanging="340"/>
        <w:jc w:val="both"/>
        <w:rPr>
          <w:sz w:val="19"/>
        </w:rPr>
      </w:pPr>
      <w:r>
        <w:rPr>
          <w:color w:val="231F20"/>
          <w:sz w:val="19"/>
        </w:rPr>
        <w:t>Oksman, Warren, and Sherwood C. Frey. “Introduction to Analytical </w:t>
      </w:r>
      <w:r>
        <w:rPr>
          <w:color w:val="231F20"/>
          <w:sz w:val="19"/>
        </w:rPr>
        <w:t>Proba- bility</w:t>
      </w:r>
      <w:r>
        <w:rPr>
          <w:color w:val="231F20"/>
          <w:spacing w:val="30"/>
          <w:sz w:val="19"/>
        </w:rPr>
        <w:t> </w:t>
      </w:r>
      <w:r>
        <w:rPr>
          <w:color w:val="231F20"/>
          <w:sz w:val="19"/>
        </w:rPr>
        <w:t>Distributions,”</w:t>
      </w:r>
      <w:r>
        <w:rPr>
          <w:color w:val="231F20"/>
          <w:spacing w:val="30"/>
          <w:sz w:val="19"/>
        </w:rPr>
        <w:t> </w:t>
      </w:r>
      <w:r>
        <w:rPr>
          <w:color w:val="231F20"/>
          <w:sz w:val="19"/>
        </w:rPr>
        <w:t>Case</w:t>
      </w:r>
      <w:r>
        <w:rPr>
          <w:color w:val="231F20"/>
          <w:spacing w:val="30"/>
          <w:sz w:val="19"/>
        </w:rPr>
        <w:t> </w:t>
      </w:r>
      <w:r>
        <w:rPr>
          <w:color w:val="231F20"/>
          <w:sz w:val="19"/>
        </w:rPr>
        <w:t>UVA-Q-205,</w:t>
      </w:r>
      <w:r>
        <w:rPr>
          <w:color w:val="231F20"/>
          <w:spacing w:val="30"/>
          <w:sz w:val="19"/>
        </w:rPr>
        <w:t> </w:t>
      </w:r>
      <w:r>
        <w:rPr>
          <w:color w:val="231F20"/>
          <w:sz w:val="19"/>
        </w:rPr>
        <w:t>pp.</w:t>
      </w:r>
      <w:r>
        <w:rPr>
          <w:color w:val="231F20"/>
          <w:spacing w:val="30"/>
          <w:sz w:val="19"/>
        </w:rPr>
        <w:t> </w:t>
      </w:r>
      <w:r>
        <w:rPr>
          <w:color w:val="231F20"/>
          <w:sz w:val="19"/>
        </w:rPr>
        <w:t>5,</w:t>
      </w:r>
      <w:r>
        <w:rPr>
          <w:color w:val="231F20"/>
          <w:spacing w:val="30"/>
          <w:sz w:val="19"/>
        </w:rPr>
        <w:t> </w:t>
      </w:r>
      <w:r>
        <w:rPr>
          <w:color w:val="231F20"/>
          <w:sz w:val="19"/>
        </w:rPr>
        <w:t>6,</w:t>
      </w:r>
      <w:r>
        <w:rPr>
          <w:color w:val="231F20"/>
          <w:spacing w:val="30"/>
          <w:sz w:val="19"/>
        </w:rPr>
        <w:t> </w:t>
      </w:r>
      <w:r>
        <w:rPr>
          <w:color w:val="231F20"/>
          <w:sz w:val="19"/>
        </w:rPr>
        <w:t>14.</w:t>
      </w:r>
      <w:r>
        <w:rPr>
          <w:color w:val="231F20"/>
          <w:spacing w:val="30"/>
          <w:sz w:val="19"/>
        </w:rPr>
        <w:t> </w:t>
      </w:r>
      <w:r>
        <w:rPr>
          <w:color w:val="231F20"/>
          <w:sz w:val="19"/>
        </w:rPr>
        <w:t>Copyright</w:t>
      </w:r>
      <w:r>
        <w:rPr>
          <w:color w:val="231F20"/>
          <w:spacing w:val="30"/>
          <w:sz w:val="19"/>
        </w:rPr>
        <w:t> </w:t>
      </w:r>
      <w:r>
        <w:rPr>
          <w:color w:val="231F20"/>
          <w:sz w:val="19"/>
        </w:rPr>
        <w:t>©</w:t>
      </w:r>
      <w:r>
        <w:rPr>
          <w:color w:val="231F20"/>
          <w:spacing w:val="30"/>
          <w:sz w:val="19"/>
        </w:rPr>
        <w:t> </w:t>
      </w:r>
      <w:r>
        <w:rPr>
          <w:color w:val="231F20"/>
          <w:sz w:val="19"/>
        </w:rPr>
        <w:t>1980 by the Darden Graduate Business School Foundation, Charlottesville, </w:t>
      </w:r>
      <w:r>
        <w:rPr>
          <w:color w:val="231F20"/>
          <w:spacing w:val="-2"/>
          <w:sz w:val="19"/>
        </w:rPr>
        <w:t>Virginia.</w:t>
      </w:r>
    </w:p>
    <w:p>
      <w:pPr>
        <w:pStyle w:val="BodyText"/>
        <w:rPr>
          <w:sz w:val="22"/>
        </w:rPr>
      </w:pPr>
    </w:p>
    <w:p>
      <w:pPr>
        <w:pStyle w:val="BodyText"/>
        <w:spacing w:before="6"/>
      </w:pPr>
    </w:p>
    <w:p>
      <w:pPr>
        <w:spacing w:before="0"/>
        <w:ind w:left="430" w:right="0" w:firstLine="0"/>
        <w:jc w:val="left"/>
        <w:rPr>
          <w:rFonts w:ascii="Trebuchet MS"/>
          <w:sz w:val="20"/>
        </w:rPr>
      </w:pPr>
      <w:r>
        <w:rPr>
          <w:rFonts w:ascii="Trebuchet MS"/>
          <w:color w:val="231F20"/>
          <w:w w:val="85"/>
          <w:sz w:val="20"/>
        </w:rPr>
        <w:t>DAY</w:t>
      </w:r>
      <w:r>
        <w:rPr>
          <w:rFonts w:ascii="Trebuchet MS"/>
          <w:color w:val="231F20"/>
          <w:spacing w:val="3"/>
          <w:sz w:val="20"/>
        </w:rPr>
        <w:t> </w:t>
      </w:r>
      <w:r>
        <w:rPr>
          <w:rFonts w:ascii="Trebuchet MS"/>
          <w:color w:val="231F20"/>
          <w:w w:val="85"/>
          <w:sz w:val="20"/>
        </w:rPr>
        <w:t>6:</w:t>
      </w:r>
      <w:r>
        <w:rPr>
          <w:rFonts w:ascii="Trebuchet MS"/>
          <w:color w:val="231F20"/>
          <w:spacing w:val="3"/>
          <w:sz w:val="20"/>
        </w:rPr>
        <w:t> </w:t>
      </w:r>
      <w:r>
        <w:rPr>
          <w:rFonts w:ascii="Trebuchet MS"/>
          <w:color w:val="231F20"/>
          <w:spacing w:val="-2"/>
          <w:w w:val="85"/>
          <w:sz w:val="20"/>
        </w:rPr>
        <w:t>FINANCE</w:t>
      </w:r>
    </w:p>
    <w:p>
      <w:pPr>
        <w:pStyle w:val="BodyText"/>
        <w:spacing w:before="5"/>
        <w:rPr>
          <w:rFonts w:ascii="Trebuchet MS"/>
          <w:sz w:val="25"/>
        </w:rPr>
      </w:pPr>
    </w:p>
    <w:p>
      <w:pPr>
        <w:spacing w:line="280" w:lineRule="auto" w:before="0"/>
        <w:ind w:left="770" w:right="773" w:hanging="340"/>
        <w:jc w:val="both"/>
        <w:rPr>
          <w:sz w:val="19"/>
        </w:rPr>
      </w:pPr>
      <w:r>
        <w:rPr>
          <w:color w:val="231F20"/>
          <w:sz w:val="19"/>
        </w:rPr>
        <w:t>“An Introduction to Debt Policy and Value,” Case UVA-F-811, p. 1. Copy-</w:t>
      </w:r>
      <w:r>
        <w:rPr>
          <w:color w:val="231F20"/>
          <w:spacing w:val="80"/>
          <w:sz w:val="19"/>
        </w:rPr>
        <w:t> </w:t>
      </w:r>
      <w:r>
        <w:rPr>
          <w:color w:val="231F20"/>
          <w:sz w:val="19"/>
        </w:rPr>
        <w:t>right © 1989 by the Darden Graduate Business School Foundation, Charlottesville, Virginia.</w:t>
      </w:r>
    </w:p>
    <w:p>
      <w:pPr>
        <w:spacing w:after="0" w:line="280" w:lineRule="auto"/>
        <w:jc w:val="both"/>
        <w:rPr>
          <w:sz w:val="19"/>
        </w:rPr>
        <w:sectPr>
          <w:headerReference w:type="even" r:id="rId159"/>
          <w:pgSz w:w="8640" w:h="12960"/>
          <w:pgMar w:header="732" w:footer="0" w:top="920" w:bottom="280" w:left="740" w:right="480"/>
          <w:pgNumType w:start="408"/>
        </w:sectPr>
      </w:pPr>
    </w:p>
    <w:p>
      <w:pPr>
        <w:spacing w:before="88"/>
        <w:ind w:left="2676" w:right="0" w:firstLine="0"/>
        <w:jc w:val="left"/>
        <w:rPr>
          <w:rFonts w:ascii="Arial"/>
          <w:sz w:val="16"/>
        </w:rPr>
      </w:pPr>
      <w:r>
        <w:rPr>
          <w:rFonts w:ascii="Arial"/>
          <w:color w:val="231F20"/>
          <w:spacing w:val="19"/>
          <w:sz w:val="16"/>
        </w:rPr>
        <w:t>PERMIS</w:t>
      </w:r>
      <w:r>
        <w:rPr>
          <w:rFonts w:ascii="Arial"/>
          <w:color w:val="231F20"/>
          <w:spacing w:val="-16"/>
          <w:sz w:val="16"/>
        </w:rPr>
        <w:t> </w:t>
      </w:r>
      <w:r>
        <w:rPr>
          <w:rFonts w:ascii="Arial"/>
          <w:color w:val="231F20"/>
          <w:spacing w:val="16"/>
          <w:w w:val="105"/>
          <w:sz w:val="16"/>
        </w:rPr>
        <w:t>SIONS </w:t>
      </w:r>
    </w:p>
    <w:p>
      <w:pPr>
        <w:spacing w:before="69"/>
        <w:ind w:left="402" w:right="0" w:firstLine="0"/>
        <w:jc w:val="left"/>
        <w:rPr>
          <w:rFonts w:ascii="Arial"/>
          <w:i/>
          <w:sz w:val="18"/>
        </w:rPr>
      </w:pPr>
      <w:r>
        <w:rPr/>
        <w:br w:type="column"/>
      </w:r>
      <w:r>
        <w:rPr>
          <w:rFonts w:ascii="Arial"/>
          <w:i/>
          <w:color w:val="231F20"/>
          <w:spacing w:val="-5"/>
          <w:w w:val="120"/>
          <w:sz w:val="18"/>
        </w:rPr>
        <w:t>409</w:t>
      </w:r>
    </w:p>
    <w:p>
      <w:pPr>
        <w:spacing w:after="0"/>
        <w:jc w:val="left"/>
        <w:rPr>
          <w:rFonts w:ascii="Arial"/>
          <w:sz w:val="18"/>
        </w:rPr>
        <w:sectPr>
          <w:headerReference w:type="default" r:id="rId160"/>
          <w:pgSz w:w="8640" w:h="12960"/>
          <w:pgMar w:header="0" w:footer="0" w:top="660" w:bottom="280" w:left="740" w:right="480"/>
          <w:cols w:num="2" w:equalWidth="0">
            <w:col w:w="4079" w:space="40"/>
            <w:col w:w="3301"/>
          </w:cols>
        </w:sectPr>
      </w:pPr>
    </w:p>
    <w:p>
      <w:pPr>
        <w:pStyle w:val="BodyText"/>
        <w:rPr>
          <w:rFonts w:ascii="Arial"/>
          <w:i/>
          <w:sz w:val="20"/>
        </w:rPr>
      </w:pPr>
    </w:p>
    <w:p>
      <w:pPr>
        <w:pStyle w:val="BodyText"/>
        <w:rPr>
          <w:rFonts w:ascii="Arial"/>
          <w:i/>
          <w:sz w:val="20"/>
        </w:rPr>
      </w:pPr>
    </w:p>
    <w:p>
      <w:pPr>
        <w:pStyle w:val="BodyText"/>
        <w:spacing w:before="2"/>
        <w:rPr>
          <w:rFonts w:ascii="Arial"/>
          <w:i/>
          <w:sz w:val="18"/>
        </w:rPr>
      </w:pPr>
    </w:p>
    <w:p>
      <w:pPr>
        <w:spacing w:before="102"/>
        <w:ind w:left="524" w:right="0" w:firstLine="0"/>
        <w:jc w:val="left"/>
        <w:rPr>
          <w:rFonts w:ascii="Trebuchet MS"/>
          <w:sz w:val="20"/>
        </w:rPr>
      </w:pPr>
      <w:r>
        <w:rPr>
          <w:rFonts w:ascii="Trebuchet MS"/>
          <w:color w:val="231F20"/>
          <w:w w:val="85"/>
          <w:sz w:val="20"/>
        </w:rPr>
        <w:t>DAY</w:t>
      </w:r>
      <w:r>
        <w:rPr>
          <w:rFonts w:ascii="Trebuchet MS"/>
          <w:color w:val="231F20"/>
          <w:spacing w:val="3"/>
          <w:sz w:val="20"/>
        </w:rPr>
        <w:t> </w:t>
      </w:r>
      <w:r>
        <w:rPr>
          <w:rFonts w:ascii="Trebuchet MS"/>
          <w:color w:val="231F20"/>
          <w:w w:val="85"/>
          <w:sz w:val="20"/>
        </w:rPr>
        <w:t>7:</w:t>
      </w:r>
      <w:r>
        <w:rPr>
          <w:rFonts w:ascii="Trebuchet MS"/>
          <w:color w:val="231F20"/>
          <w:spacing w:val="3"/>
          <w:sz w:val="20"/>
        </w:rPr>
        <w:t> </w:t>
      </w:r>
      <w:r>
        <w:rPr>
          <w:rFonts w:ascii="Trebuchet MS"/>
          <w:color w:val="231F20"/>
          <w:spacing w:val="-2"/>
          <w:w w:val="85"/>
          <w:sz w:val="20"/>
        </w:rPr>
        <w:t>OPERATIONS</w:t>
      </w:r>
    </w:p>
    <w:p>
      <w:pPr>
        <w:pStyle w:val="BodyText"/>
        <w:rPr>
          <w:rFonts w:ascii="Trebuchet MS"/>
          <w:sz w:val="22"/>
        </w:rPr>
      </w:pPr>
    </w:p>
    <w:p>
      <w:pPr>
        <w:spacing w:before="137"/>
        <w:ind w:left="524" w:right="0" w:firstLine="0"/>
        <w:jc w:val="left"/>
        <w:rPr>
          <w:rFonts w:ascii="Trebuchet MS"/>
          <w:sz w:val="20"/>
        </w:rPr>
      </w:pPr>
      <w:r>
        <w:rPr>
          <w:rFonts w:ascii="Trebuchet MS"/>
          <w:color w:val="231F20"/>
          <w:w w:val="85"/>
          <w:sz w:val="20"/>
        </w:rPr>
        <w:t>DAY</w:t>
      </w:r>
      <w:r>
        <w:rPr>
          <w:rFonts w:ascii="Trebuchet MS"/>
          <w:color w:val="231F20"/>
          <w:spacing w:val="3"/>
          <w:sz w:val="20"/>
        </w:rPr>
        <w:t> </w:t>
      </w:r>
      <w:r>
        <w:rPr>
          <w:rFonts w:ascii="Trebuchet MS"/>
          <w:color w:val="231F20"/>
          <w:w w:val="85"/>
          <w:sz w:val="20"/>
        </w:rPr>
        <w:t>8:</w:t>
      </w:r>
      <w:r>
        <w:rPr>
          <w:rFonts w:ascii="Trebuchet MS"/>
          <w:color w:val="231F20"/>
          <w:spacing w:val="3"/>
          <w:sz w:val="20"/>
        </w:rPr>
        <w:t> </w:t>
      </w:r>
      <w:r>
        <w:rPr>
          <w:rFonts w:ascii="Trebuchet MS"/>
          <w:color w:val="231F20"/>
          <w:spacing w:val="-2"/>
          <w:w w:val="85"/>
          <w:sz w:val="20"/>
        </w:rPr>
        <w:t>ECONOMICS</w:t>
      </w:r>
    </w:p>
    <w:p>
      <w:pPr>
        <w:pStyle w:val="BodyText"/>
        <w:rPr>
          <w:rFonts w:ascii="Trebuchet MS"/>
          <w:sz w:val="22"/>
        </w:rPr>
      </w:pPr>
    </w:p>
    <w:p>
      <w:pPr>
        <w:pStyle w:val="BodyText"/>
        <w:spacing w:before="6"/>
        <w:rPr>
          <w:rFonts w:ascii="Trebuchet MS"/>
          <w:sz w:val="20"/>
        </w:rPr>
      </w:pPr>
    </w:p>
    <w:p>
      <w:pPr>
        <w:spacing w:before="0"/>
        <w:ind w:left="520" w:right="0" w:firstLine="0"/>
        <w:jc w:val="left"/>
        <w:rPr>
          <w:rFonts w:ascii="Trebuchet MS"/>
          <w:sz w:val="20"/>
        </w:rPr>
      </w:pPr>
      <w:r>
        <w:rPr>
          <w:rFonts w:ascii="Trebuchet MS"/>
          <w:color w:val="231F20"/>
          <w:w w:val="85"/>
          <w:sz w:val="20"/>
        </w:rPr>
        <w:t>DAY</w:t>
      </w:r>
      <w:r>
        <w:rPr>
          <w:rFonts w:ascii="Trebuchet MS"/>
          <w:color w:val="231F20"/>
          <w:spacing w:val="3"/>
          <w:sz w:val="20"/>
        </w:rPr>
        <w:t> </w:t>
      </w:r>
      <w:r>
        <w:rPr>
          <w:rFonts w:ascii="Trebuchet MS"/>
          <w:color w:val="231F20"/>
          <w:w w:val="85"/>
          <w:sz w:val="20"/>
        </w:rPr>
        <w:t>9:</w:t>
      </w:r>
      <w:r>
        <w:rPr>
          <w:rFonts w:ascii="Trebuchet MS"/>
          <w:color w:val="231F20"/>
          <w:spacing w:val="3"/>
          <w:sz w:val="20"/>
        </w:rPr>
        <w:t> </w:t>
      </w:r>
      <w:r>
        <w:rPr>
          <w:rFonts w:ascii="Trebuchet MS"/>
          <w:color w:val="231F20"/>
          <w:spacing w:val="-2"/>
          <w:w w:val="85"/>
          <w:sz w:val="20"/>
        </w:rPr>
        <w:t>STRATEGY</w:t>
      </w:r>
    </w:p>
    <w:p>
      <w:pPr>
        <w:pStyle w:val="BodyText"/>
        <w:spacing w:before="5"/>
        <w:rPr>
          <w:rFonts w:ascii="Trebuchet MS"/>
          <w:sz w:val="25"/>
        </w:rPr>
      </w:pPr>
    </w:p>
    <w:p>
      <w:pPr>
        <w:spacing w:line="280" w:lineRule="auto" w:before="0"/>
        <w:ind w:left="859" w:right="686" w:hanging="340"/>
        <w:jc w:val="both"/>
        <w:rPr>
          <w:sz w:val="19"/>
        </w:rPr>
      </w:pPr>
      <w:r>
        <w:rPr>
          <w:color w:val="231F20"/>
          <w:sz w:val="19"/>
        </w:rPr>
        <w:t>Ansoff, H. Igor. “Strategies for Diversification.” </w:t>
      </w:r>
      <w:r>
        <w:rPr>
          <w:i/>
          <w:color w:val="231F20"/>
          <w:sz w:val="19"/>
        </w:rPr>
        <w:t>Harvard Business Review</w:t>
      </w:r>
      <w:r>
        <w:rPr>
          <w:i/>
          <w:color w:val="231F20"/>
          <w:sz w:val="19"/>
        </w:rPr>
        <w:t> </w:t>
      </w:r>
      <w:r>
        <w:rPr>
          <w:color w:val="231F20"/>
          <w:sz w:val="19"/>
        </w:rPr>
        <w:t>(September/October 1957), Exhibit I, “Product Market Strategies for Business Growth Alternatives,” p. 114. Copyright © 1957 by the Presi- dent and Fellows of Harvard College; all rights reserved. Reprinted by </w:t>
      </w:r>
      <w:r>
        <w:rPr>
          <w:color w:val="231F20"/>
          <w:spacing w:val="-2"/>
          <w:sz w:val="19"/>
        </w:rPr>
        <w:t>permission.</w:t>
      </w:r>
    </w:p>
    <w:p>
      <w:pPr>
        <w:spacing w:line="280" w:lineRule="auto" w:before="0"/>
        <w:ind w:left="859" w:right="686" w:hanging="340"/>
        <w:jc w:val="both"/>
        <w:rPr>
          <w:sz w:val="19"/>
        </w:rPr>
      </w:pPr>
      <w:r>
        <w:rPr>
          <w:color w:val="231F20"/>
          <w:spacing w:val="-2"/>
          <w:w w:val="110"/>
          <w:sz w:val="19"/>
        </w:rPr>
        <w:t>Porter,</w:t>
      </w:r>
      <w:r>
        <w:rPr>
          <w:color w:val="231F20"/>
          <w:spacing w:val="-4"/>
          <w:w w:val="110"/>
          <w:sz w:val="19"/>
        </w:rPr>
        <w:t> </w:t>
      </w:r>
      <w:r>
        <w:rPr>
          <w:color w:val="231F20"/>
          <w:spacing w:val="-2"/>
          <w:w w:val="110"/>
          <w:sz w:val="19"/>
        </w:rPr>
        <w:t>Michael</w:t>
      </w:r>
      <w:r>
        <w:rPr>
          <w:color w:val="231F20"/>
          <w:spacing w:val="-4"/>
          <w:w w:val="110"/>
          <w:sz w:val="19"/>
        </w:rPr>
        <w:t> </w:t>
      </w:r>
      <w:r>
        <w:rPr>
          <w:color w:val="231F20"/>
          <w:spacing w:val="-2"/>
          <w:w w:val="110"/>
          <w:sz w:val="19"/>
        </w:rPr>
        <w:t>E.</w:t>
      </w:r>
      <w:r>
        <w:rPr>
          <w:color w:val="231F20"/>
          <w:spacing w:val="-4"/>
          <w:w w:val="110"/>
          <w:sz w:val="19"/>
        </w:rPr>
        <w:t> </w:t>
      </w:r>
      <w:r>
        <w:rPr>
          <w:i/>
          <w:color w:val="231F20"/>
          <w:spacing w:val="-2"/>
          <w:w w:val="110"/>
          <w:sz w:val="19"/>
        </w:rPr>
        <w:t>Competitive</w:t>
      </w:r>
      <w:r>
        <w:rPr>
          <w:i/>
          <w:color w:val="231F20"/>
          <w:spacing w:val="-4"/>
          <w:w w:val="110"/>
          <w:sz w:val="19"/>
        </w:rPr>
        <w:t> </w:t>
      </w:r>
      <w:r>
        <w:rPr>
          <w:i/>
          <w:color w:val="231F20"/>
          <w:spacing w:val="-2"/>
          <w:w w:val="110"/>
          <w:sz w:val="19"/>
        </w:rPr>
        <w:t>Strategy:</w:t>
      </w:r>
      <w:r>
        <w:rPr>
          <w:i/>
          <w:color w:val="231F20"/>
          <w:spacing w:val="-4"/>
          <w:w w:val="110"/>
          <w:sz w:val="19"/>
        </w:rPr>
        <w:t> </w:t>
      </w:r>
      <w:r>
        <w:rPr>
          <w:i/>
          <w:color w:val="231F20"/>
          <w:spacing w:val="-2"/>
          <w:w w:val="110"/>
          <w:sz w:val="19"/>
        </w:rPr>
        <w:t>Techniques</w:t>
      </w:r>
      <w:r>
        <w:rPr>
          <w:i/>
          <w:color w:val="231F20"/>
          <w:spacing w:val="-4"/>
          <w:w w:val="110"/>
          <w:sz w:val="19"/>
        </w:rPr>
        <w:t> </w:t>
      </w:r>
      <w:r>
        <w:rPr>
          <w:i/>
          <w:color w:val="231F20"/>
          <w:spacing w:val="-2"/>
          <w:w w:val="110"/>
          <w:sz w:val="19"/>
        </w:rPr>
        <w:t>for</w:t>
      </w:r>
      <w:r>
        <w:rPr>
          <w:i/>
          <w:color w:val="231F20"/>
          <w:spacing w:val="-4"/>
          <w:w w:val="110"/>
          <w:sz w:val="19"/>
        </w:rPr>
        <w:t> </w:t>
      </w:r>
      <w:r>
        <w:rPr>
          <w:i/>
          <w:color w:val="231F20"/>
          <w:spacing w:val="-2"/>
          <w:w w:val="110"/>
          <w:sz w:val="19"/>
        </w:rPr>
        <w:t>Analyzing</w:t>
      </w:r>
      <w:r>
        <w:rPr>
          <w:i/>
          <w:color w:val="231F20"/>
          <w:spacing w:val="-4"/>
          <w:w w:val="110"/>
          <w:sz w:val="19"/>
        </w:rPr>
        <w:t> </w:t>
      </w:r>
      <w:r>
        <w:rPr>
          <w:i/>
          <w:color w:val="231F20"/>
          <w:spacing w:val="-2"/>
          <w:w w:val="110"/>
          <w:sz w:val="19"/>
        </w:rPr>
        <w:t>Indus-</w:t>
      </w:r>
      <w:r>
        <w:rPr>
          <w:i/>
          <w:color w:val="231F20"/>
          <w:spacing w:val="-2"/>
          <w:w w:val="110"/>
          <w:sz w:val="19"/>
        </w:rPr>
        <w:t> </w:t>
      </w:r>
      <w:r>
        <w:rPr>
          <w:i/>
          <w:color w:val="231F20"/>
          <w:sz w:val="19"/>
        </w:rPr>
        <w:t>tries</w:t>
      </w:r>
      <w:r>
        <w:rPr>
          <w:i/>
          <w:color w:val="231F20"/>
          <w:spacing w:val="-11"/>
          <w:sz w:val="19"/>
        </w:rPr>
        <w:t> </w:t>
      </w:r>
      <w:r>
        <w:rPr>
          <w:i/>
          <w:color w:val="231F20"/>
          <w:sz w:val="19"/>
        </w:rPr>
        <w:t>and Competitors, </w:t>
      </w:r>
      <w:r>
        <w:rPr>
          <w:color w:val="231F20"/>
          <w:sz w:val="19"/>
        </w:rPr>
        <w:t>Figure 2</w:t>
      </w:r>
      <w:r>
        <w:rPr>
          <w:color w:val="231F20"/>
          <w:spacing w:val="-11"/>
          <w:sz w:val="19"/>
        </w:rPr>
        <w:t> </w:t>
      </w:r>
      <w:r>
        <w:rPr>
          <w:color w:val="231F20"/>
          <w:sz w:val="19"/>
        </w:rPr>
        <w:t>–</w:t>
      </w:r>
      <w:r>
        <w:rPr>
          <w:color w:val="231F20"/>
          <w:spacing w:val="-10"/>
          <w:sz w:val="19"/>
        </w:rPr>
        <w:t> </w:t>
      </w:r>
      <w:r>
        <w:rPr>
          <w:color w:val="231F20"/>
          <w:sz w:val="19"/>
        </w:rPr>
        <w:t>1, p. 39. Reprinted with the </w:t>
      </w:r>
      <w:r>
        <w:rPr>
          <w:color w:val="231F20"/>
          <w:sz w:val="19"/>
        </w:rPr>
        <w:t>permission </w:t>
      </w:r>
      <w:r>
        <w:rPr>
          <w:color w:val="231F20"/>
          <w:w w:val="105"/>
          <w:sz w:val="19"/>
        </w:rPr>
        <w:t>of The Free Press, a Division of Simon &amp; Schuster. Copyright © 1980, </w:t>
      </w:r>
      <w:r>
        <w:rPr>
          <w:color w:val="231F20"/>
          <w:w w:val="110"/>
          <w:sz w:val="19"/>
        </w:rPr>
        <w:t>1998</w:t>
      </w:r>
      <w:r>
        <w:rPr>
          <w:color w:val="231F20"/>
          <w:spacing w:val="-10"/>
          <w:w w:val="110"/>
          <w:sz w:val="19"/>
        </w:rPr>
        <w:t> </w:t>
      </w:r>
      <w:r>
        <w:rPr>
          <w:color w:val="231F20"/>
          <w:w w:val="110"/>
          <w:sz w:val="19"/>
        </w:rPr>
        <w:t>by</w:t>
      </w:r>
      <w:r>
        <w:rPr>
          <w:color w:val="231F20"/>
          <w:spacing w:val="-10"/>
          <w:w w:val="110"/>
          <w:sz w:val="19"/>
        </w:rPr>
        <w:t> </w:t>
      </w:r>
      <w:r>
        <w:rPr>
          <w:color w:val="231F20"/>
          <w:w w:val="110"/>
          <w:sz w:val="19"/>
        </w:rPr>
        <w:t>The</w:t>
      </w:r>
      <w:r>
        <w:rPr>
          <w:color w:val="231F20"/>
          <w:spacing w:val="-10"/>
          <w:w w:val="110"/>
          <w:sz w:val="19"/>
        </w:rPr>
        <w:t> </w:t>
      </w:r>
      <w:r>
        <w:rPr>
          <w:color w:val="231F20"/>
          <w:w w:val="110"/>
          <w:sz w:val="19"/>
        </w:rPr>
        <w:t>Free</w:t>
      </w:r>
      <w:r>
        <w:rPr>
          <w:color w:val="231F20"/>
          <w:spacing w:val="-10"/>
          <w:w w:val="110"/>
          <w:sz w:val="19"/>
        </w:rPr>
        <w:t> </w:t>
      </w:r>
      <w:r>
        <w:rPr>
          <w:color w:val="231F20"/>
          <w:w w:val="110"/>
          <w:sz w:val="19"/>
        </w:rPr>
        <w:t>Press.</w:t>
      </w:r>
    </w:p>
    <w:p>
      <w:pPr>
        <w:spacing w:line="280" w:lineRule="auto" w:before="0"/>
        <w:ind w:left="859" w:right="686" w:hanging="340"/>
        <w:jc w:val="both"/>
        <w:rPr>
          <w:sz w:val="19"/>
        </w:rPr>
      </w:pPr>
      <w:r>
        <w:rPr>
          <w:color w:val="231F20"/>
          <w:spacing w:val="-2"/>
          <w:w w:val="105"/>
          <w:sz w:val="19"/>
        </w:rPr>
        <w:t>Porter,</w:t>
      </w:r>
      <w:r>
        <w:rPr>
          <w:color w:val="231F20"/>
          <w:spacing w:val="-4"/>
          <w:w w:val="105"/>
          <w:sz w:val="19"/>
        </w:rPr>
        <w:t> </w:t>
      </w:r>
      <w:r>
        <w:rPr>
          <w:color w:val="231F20"/>
          <w:spacing w:val="-2"/>
          <w:w w:val="105"/>
          <w:sz w:val="19"/>
        </w:rPr>
        <w:t>Michael</w:t>
      </w:r>
      <w:r>
        <w:rPr>
          <w:color w:val="231F20"/>
          <w:spacing w:val="-4"/>
          <w:w w:val="105"/>
          <w:sz w:val="19"/>
        </w:rPr>
        <w:t> </w:t>
      </w:r>
      <w:r>
        <w:rPr>
          <w:color w:val="231F20"/>
          <w:spacing w:val="-2"/>
          <w:w w:val="105"/>
          <w:sz w:val="19"/>
        </w:rPr>
        <w:t>E.</w:t>
      </w:r>
      <w:r>
        <w:rPr>
          <w:color w:val="231F20"/>
          <w:spacing w:val="-4"/>
          <w:w w:val="105"/>
          <w:sz w:val="19"/>
        </w:rPr>
        <w:t> </w:t>
      </w:r>
      <w:r>
        <w:rPr>
          <w:i/>
          <w:color w:val="231F20"/>
          <w:spacing w:val="-2"/>
          <w:w w:val="105"/>
          <w:sz w:val="19"/>
        </w:rPr>
        <w:t>Competitive</w:t>
      </w:r>
      <w:r>
        <w:rPr>
          <w:i/>
          <w:color w:val="231F20"/>
          <w:spacing w:val="-4"/>
          <w:w w:val="105"/>
          <w:sz w:val="19"/>
        </w:rPr>
        <w:t> </w:t>
      </w:r>
      <w:r>
        <w:rPr>
          <w:i/>
          <w:color w:val="231F20"/>
          <w:spacing w:val="-2"/>
          <w:w w:val="105"/>
          <w:sz w:val="19"/>
        </w:rPr>
        <w:t>Advantage:</w:t>
      </w:r>
      <w:r>
        <w:rPr>
          <w:i/>
          <w:color w:val="231F20"/>
          <w:spacing w:val="-4"/>
          <w:w w:val="105"/>
          <w:sz w:val="19"/>
        </w:rPr>
        <w:t> </w:t>
      </w:r>
      <w:r>
        <w:rPr>
          <w:i/>
          <w:color w:val="231F20"/>
          <w:spacing w:val="-2"/>
          <w:w w:val="105"/>
          <w:sz w:val="19"/>
        </w:rPr>
        <w:t>Creating</w:t>
      </w:r>
      <w:r>
        <w:rPr>
          <w:i/>
          <w:color w:val="231F20"/>
          <w:spacing w:val="-4"/>
          <w:w w:val="105"/>
          <w:sz w:val="19"/>
        </w:rPr>
        <w:t> </w:t>
      </w:r>
      <w:r>
        <w:rPr>
          <w:i/>
          <w:color w:val="231F20"/>
          <w:spacing w:val="-2"/>
          <w:w w:val="105"/>
          <w:sz w:val="19"/>
        </w:rPr>
        <w:t>and</w:t>
      </w:r>
      <w:r>
        <w:rPr>
          <w:i/>
          <w:color w:val="231F20"/>
          <w:spacing w:val="-4"/>
          <w:w w:val="105"/>
          <w:sz w:val="19"/>
        </w:rPr>
        <w:t> </w:t>
      </w:r>
      <w:r>
        <w:rPr>
          <w:i/>
          <w:color w:val="231F20"/>
          <w:spacing w:val="-2"/>
          <w:w w:val="105"/>
          <w:sz w:val="19"/>
        </w:rPr>
        <w:t>Sustaining</w:t>
      </w:r>
      <w:r>
        <w:rPr>
          <w:i/>
          <w:color w:val="231F20"/>
          <w:spacing w:val="-4"/>
          <w:w w:val="105"/>
          <w:sz w:val="19"/>
        </w:rPr>
        <w:t> </w:t>
      </w:r>
      <w:r>
        <w:rPr>
          <w:i/>
          <w:color w:val="231F20"/>
          <w:spacing w:val="-2"/>
          <w:w w:val="105"/>
          <w:sz w:val="19"/>
        </w:rPr>
        <w:t>Superior</w:t>
      </w:r>
      <w:r>
        <w:rPr>
          <w:i/>
          <w:color w:val="231F20"/>
          <w:spacing w:val="-2"/>
          <w:w w:val="105"/>
          <w:sz w:val="19"/>
        </w:rPr>
        <w:t> </w:t>
      </w:r>
      <w:r>
        <w:rPr>
          <w:i/>
          <w:color w:val="231F20"/>
          <w:sz w:val="19"/>
        </w:rPr>
        <w:t>Performance,</w:t>
      </w:r>
      <w:r>
        <w:rPr>
          <w:i/>
          <w:color w:val="231F20"/>
          <w:spacing w:val="-11"/>
          <w:sz w:val="19"/>
        </w:rPr>
        <w:t> </w:t>
      </w:r>
      <w:r>
        <w:rPr>
          <w:color w:val="231F20"/>
          <w:sz w:val="19"/>
        </w:rPr>
        <w:t>Figure</w:t>
      </w:r>
      <w:r>
        <w:rPr>
          <w:color w:val="231F20"/>
          <w:spacing w:val="-10"/>
          <w:sz w:val="19"/>
        </w:rPr>
        <w:t> </w:t>
      </w:r>
      <w:r>
        <w:rPr>
          <w:color w:val="231F20"/>
          <w:sz w:val="19"/>
        </w:rPr>
        <w:t>1</w:t>
      </w:r>
      <w:r>
        <w:rPr>
          <w:color w:val="231F20"/>
          <w:spacing w:val="-11"/>
          <w:sz w:val="19"/>
        </w:rPr>
        <w:t> </w:t>
      </w:r>
      <w:r>
        <w:rPr>
          <w:color w:val="231F20"/>
          <w:sz w:val="19"/>
        </w:rPr>
        <w:t>–</w:t>
      </w:r>
      <w:r>
        <w:rPr>
          <w:color w:val="231F20"/>
          <w:spacing w:val="-10"/>
          <w:sz w:val="19"/>
        </w:rPr>
        <w:t> </w:t>
      </w:r>
      <w:r>
        <w:rPr>
          <w:color w:val="231F20"/>
          <w:sz w:val="19"/>
        </w:rPr>
        <w:t>1, p. 5, Figure 1</w:t>
      </w:r>
      <w:r>
        <w:rPr>
          <w:color w:val="231F20"/>
          <w:spacing w:val="-11"/>
          <w:sz w:val="19"/>
        </w:rPr>
        <w:t> </w:t>
      </w:r>
      <w:r>
        <w:rPr>
          <w:color w:val="231F20"/>
          <w:sz w:val="19"/>
        </w:rPr>
        <w:t>–</w:t>
      </w:r>
      <w:r>
        <w:rPr>
          <w:color w:val="231F20"/>
          <w:spacing w:val="-10"/>
          <w:sz w:val="19"/>
        </w:rPr>
        <w:t> </w:t>
      </w:r>
      <w:r>
        <w:rPr>
          <w:color w:val="231F20"/>
          <w:sz w:val="19"/>
        </w:rPr>
        <w:t>2, p. 6. Reprinted with the per- </w:t>
      </w:r>
      <w:r>
        <w:rPr>
          <w:color w:val="231F20"/>
          <w:w w:val="105"/>
          <w:sz w:val="19"/>
        </w:rPr>
        <w:t>mission</w:t>
      </w:r>
      <w:r>
        <w:rPr>
          <w:color w:val="231F20"/>
          <w:spacing w:val="4"/>
          <w:w w:val="105"/>
          <w:sz w:val="19"/>
        </w:rPr>
        <w:t> </w:t>
      </w:r>
      <w:r>
        <w:rPr>
          <w:color w:val="231F20"/>
          <w:w w:val="105"/>
          <w:sz w:val="19"/>
        </w:rPr>
        <w:t>of</w:t>
      </w:r>
      <w:r>
        <w:rPr>
          <w:color w:val="231F20"/>
          <w:spacing w:val="5"/>
          <w:w w:val="105"/>
          <w:sz w:val="19"/>
        </w:rPr>
        <w:t> </w:t>
      </w:r>
      <w:r>
        <w:rPr>
          <w:color w:val="231F20"/>
          <w:w w:val="105"/>
          <w:sz w:val="19"/>
        </w:rPr>
        <w:t>The</w:t>
      </w:r>
      <w:r>
        <w:rPr>
          <w:color w:val="231F20"/>
          <w:spacing w:val="4"/>
          <w:w w:val="105"/>
          <w:sz w:val="19"/>
        </w:rPr>
        <w:t> </w:t>
      </w:r>
      <w:r>
        <w:rPr>
          <w:color w:val="231F20"/>
          <w:w w:val="105"/>
          <w:sz w:val="19"/>
        </w:rPr>
        <w:t>Free</w:t>
      </w:r>
      <w:r>
        <w:rPr>
          <w:color w:val="231F20"/>
          <w:spacing w:val="5"/>
          <w:w w:val="105"/>
          <w:sz w:val="19"/>
        </w:rPr>
        <w:t> </w:t>
      </w:r>
      <w:r>
        <w:rPr>
          <w:color w:val="231F20"/>
          <w:w w:val="105"/>
          <w:sz w:val="19"/>
        </w:rPr>
        <w:t>Press,</w:t>
      </w:r>
      <w:r>
        <w:rPr>
          <w:color w:val="231F20"/>
          <w:spacing w:val="5"/>
          <w:w w:val="105"/>
          <w:sz w:val="19"/>
        </w:rPr>
        <w:t> </w:t>
      </w:r>
      <w:r>
        <w:rPr>
          <w:color w:val="231F20"/>
          <w:w w:val="105"/>
          <w:sz w:val="19"/>
        </w:rPr>
        <w:t>a</w:t>
      </w:r>
      <w:r>
        <w:rPr>
          <w:color w:val="231F20"/>
          <w:spacing w:val="4"/>
          <w:w w:val="105"/>
          <w:sz w:val="19"/>
        </w:rPr>
        <w:t> </w:t>
      </w:r>
      <w:r>
        <w:rPr>
          <w:color w:val="231F20"/>
          <w:w w:val="105"/>
          <w:sz w:val="19"/>
        </w:rPr>
        <w:t>Division</w:t>
      </w:r>
      <w:r>
        <w:rPr>
          <w:color w:val="231F20"/>
          <w:spacing w:val="5"/>
          <w:w w:val="105"/>
          <w:sz w:val="19"/>
        </w:rPr>
        <w:t> </w:t>
      </w:r>
      <w:r>
        <w:rPr>
          <w:color w:val="231F20"/>
          <w:w w:val="105"/>
          <w:sz w:val="19"/>
        </w:rPr>
        <w:t>of</w:t>
      </w:r>
      <w:r>
        <w:rPr>
          <w:color w:val="231F20"/>
          <w:spacing w:val="5"/>
          <w:w w:val="105"/>
          <w:sz w:val="19"/>
        </w:rPr>
        <w:t> </w:t>
      </w:r>
      <w:r>
        <w:rPr>
          <w:color w:val="231F20"/>
          <w:w w:val="105"/>
          <w:sz w:val="19"/>
        </w:rPr>
        <w:t>Simon</w:t>
      </w:r>
      <w:r>
        <w:rPr>
          <w:color w:val="231F20"/>
          <w:spacing w:val="4"/>
          <w:w w:val="105"/>
          <w:sz w:val="19"/>
        </w:rPr>
        <w:t> </w:t>
      </w:r>
      <w:r>
        <w:rPr>
          <w:color w:val="231F20"/>
          <w:w w:val="105"/>
          <w:sz w:val="19"/>
        </w:rPr>
        <w:t>&amp;</w:t>
      </w:r>
      <w:r>
        <w:rPr>
          <w:color w:val="231F20"/>
          <w:spacing w:val="5"/>
          <w:w w:val="105"/>
          <w:sz w:val="19"/>
        </w:rPr>
        <w:t> </w:t>
      </w:r>
      <w:r>
        <w:rPr>
          <w:color w:val="231F20"/>
          <w:w w:val="105"/>
          <w:sz w:val="19"/>
        </w:rPr>
        <w:t>Schuster.</w:t>
      </w:r>
      <w:r>
        <w:rPr>
          <w:color w:val="231F20"/>
          <w:spacing w:val="4"/>
          <w:w w:val="105"/>
          <w:sz w:val="19"/>
        </w:rPr>
        <w:t> </w:t>
      </w:r>
      <w:r>
        <w:rPr>
          <w:color w:val="231F20"/>
          <w:spacing w:val="-2"/>
          <w:w w:val="105"/>
          <w:sz w:val="19"/>
        </w:rPr>
        <w:t>Copyright</w:t>
      </w:r>
    </w:p>
    <w:p>
      <w:pPr>
        <w:spacing w:line="221" w:lineRule="exact" w:before="0"/>
        <w:ind w:left="859" w:right="0" w:firstLine="0"/>
        <w:jc w:val="both"/>
        <w:rPr>
          <w:sz w:val="19"/>
        </w:rPr>
      </w:pPr>
      <w:r>
        <w:rPr>
          <w:color w:val="231F20"/>
          <w:w w:val="105"/>
          <w:sz w:val="19"/>
        </w:rPr>
        <w:t>©</w:t>
      </w:r>
      <w:r>
        <w:rPr>
          <w:color w:val="231F20"/>
          <w:spacing w:val="-6"/>
          <w:w w:val="105"/>
          <w:sz w:val="19"/>
        </w:rPr>
        <w:t> </w:t>
      </w:r>
      <w:r>
        <w:rPr>
          <w:color w:val="231F20"/>
          <w:w w:val="105"/>
          <w:sz w:val="19"/>
        </w:rPr>
        <w:t>1985,</w:t>
      </w:r>
      <w:r>
        <w:rPr>
          <w:color w:val="231F20"/>
          <w:spacing w:val="-6"/>
          <w:w w:val="105"/>
          <w:sz w:val="19"/>
        </w:rPr>
        <w:t> </w:t>
      </w:r>
      <w:r>
        <w:rPr>
          <w:color w:val="231F20"/>
          <w:w w:val="105"/>
          <w:sz w:val="19"/>
        </w:rPr>
        <w:t>1998</w:t>
      </w:r>
      <w:r>
        <w:rPr>
          <w:color w:val="231F20"/>
          <w:spacing w:val="-6"/>
          <w:w w:val="105"/>
          <w:sz w:val="19"/>
        </w:rPr>
        <w:t> </w:t>
      </w:r>
      <w:r>
        <w:rPr>
          <w:color w:val="231F20"/>
          <w:w w:val="105"/>
          <w:sz w:val="19"/>
        </w:rPr>
        <w:t>by</w:t>
      </w:r>
      <w:r>
        <w:rPr>
          <w:color w:val="231F20"/>
          <w:spacing w:val="-6"/>
          <w:w w:val="105"/>
          <w:sz w:val="19"/>
        </w:rPr>
        <w:t> </w:t>
      </w:r>
      <w:r>
        <w:rPr>
          <w:color w:val="231F20"/>
          <w:w w:val="105"/>
          <w:sz w:val="19"/>
        </w:rPr>
        <w:t>Michael</w:t>
      </w:r>
      <w:r>
        <w:rPr>
          <w:color w:val="231F20"/>
          <w:spacing w:val="-6"/>
          <w:w w:val="105"/>
          <w:sz w:val="19"/>
        </w:rPr>
        <w:t> </w:t>
      </w:r>
      <w:r>
        <w:rPr>
          <w:color w:val="231F20"/>
          <w:w w:val="105"/>
          <w:sz w:val="19"/>
        </w:rPr>
        <w:t>E.</w:t>
      </w:r>
      <w:r>
        <w:rPr>
          <w:color w:val="231F20"/>
          <w:spacing w:val="-6"/>
          <w:w w:val="105"/>
          <w:sz w:val="19"/>
        </w:rPr>
        <w:t> </w:t>
      </w:r>
      <w:r>
        <w:rPr>
          <w:color w:val="231F20"/>
          <w:spacing w:val="-2"/>
          <w:w w:val="105"/>
          <w:sz w:val="19"/>
        </w:rPr>
        <w:t>Porter.</w:t>
      </w:r>
    </w:p>
    <w:p>
      <w:pPr>
        <w:spacing w:line="280" w:lineRule="auto" w:before="32"/>
        <w:ind w:left="859" w:right="686" w:hanging="340"/>
        <w:jc w:val="both"/>
        <w:rPr>
          <w:sz w:val="19"/>
        </w:rPr>
      </w:pPr>
      <w:r>
        <w:rPr>
          <w:color w:val="231F20"/>
          <w:w w:val="105"/>
          <w:sz w:val="19"/>
        </w:rPr>
        <w:t>Waterman,</w:t>
      </w:r>
      <w:r>
        <w:rPr>
          <w:color w:val="231F20"/>
          <w:spacing w:val="-11"/>
          <w:w w:val="105"/>
          <w:sz w:val="19"/>
        </w:rPr>
        <w:t> </w:t>
      </w:r>
      <w:r>
        <w:rPr>
          <w:color w:val="231F20"/>
          <w:w w:val="105"/>
          <w:sz w:val="19"/>
        </w:rPr>
        <w:t>Robert</w:t>
      </w:r>
      <w:r>
        <w:rPr>
          <w:color w:val="231F20"/>
          <w:spacing w:val="-11"/>
          <w:w w:val="105"/>
          <w:sz w:val="19"/>
        </w:rPr>
        <w:t> </w:t>
      </w:r>
      <w:r>
        <w:rPr>
          <w:color w:val="231F20"/>
          <w:w w:val="105"/>
          <w:sz w:val="19"/>
        </w:rPr>
        <w:t>H.,</w:t>
      </w:r>
      <w:r>
        <w:rPr>
          <w:color w:val="231F20"/>
          <w:spacing w:val="-11"/>
          <w:w w:val="105"/>
          <w:sz w:val="19"/>
        </w:rPr>
        <w:t> </w:t>
      </w:r>
      <w:r>
        <w:rPr>
          <w:color w:val="231F20"/>
          <w:w w:val="105"/>
          <w:sz w:val="19"/>
        </w:rPr>
        <w:t>Thomas</w:t>
      </w:r>
      <w:r>
        <w:rPr>
          <w:color w:val="231F20"/>
          <w:spacing w:val="-11"/>
          <w:w w:val="105"/>
          <w:sz w:val="19"/>
        </w:rPr>
        <w:t> </w:t>
      </w:r>
      <w:r>
        <w:rPr>
          <w:color w:val="231F20"/>
          <w:w w:val="105"/>
          <w:sz w:val="19"/>
        </w:rPr>
        <w:t>J.</w:t>
      </w:r>
      <w:r>
        <w:rPr>
          <w:color w:val="231F20"/>
          <w:spacing w:val="-11"/>
          <w:w w:val="105"/>
          <w:sz w:val="19"/>
        </w:rPr>
        <w:t> </w:t>
      </w:r>
      <w:r>
        <w:rPr>
          <w:color w:val="231F20"/>
          <w:w w:val="105"/>
          <w:sz w:val="19"/>
        </w:rPr>
        <w:t>Peters,</w:t>
      </w:r>
      <w:r>
        <w:rPr>
          <w:color w:val="231F20"/>
          <w:spacing w:val="-11"/>
          <w:w w:val="105"/>
          <w:sz w:val="19"/>
        </w:rPr>
        <w:t> </w:t>
      </w:r>
      <w:r>
        <w:rPr>
          <w:color w:val="231F20"/>
          <w:w w:val="105"/>
          <w:sz w:val="19"/>
        </w:rPr>
        <w:t>and</w:t>
      </w:r>
      <w:r>
        <w:rPr>
          <w:color w:val="231F20"/>
          <w:spacing w:val="-11"/>
          <w:w w:val="105"/>
          <w:sz w:val="19"/>
        </w:rPr>
        <w:t> </w:t>
      </w:r>
      <w:r>
        <w:rPr>
          <w:color w:val="231F20"/>
          <w:w w:val="105"/>
          <w:sz w:val="19"/>
        </w:rPr>
        <w:t>Julien</w:t>
      </w:r>
      <w:r>
        <w:rPr>
          <w:color w:val="231F20"/>
          <w:spacing w:val="-11"/>
          <w:w w:val="105"/>
          <w:sz w:val="19"/>
        </w:rPr>
        <w:t> </w:t>
      </w:r>
      <w:r>
        <w:rPr>
          <w:color w:val="231F20"/>
          <w:w w:val="105"/>
          <w:sz w:val="19"/>
        </w:rPr>
        <w:t>R.</w:t>
      </w:r>
      <w:r>
        <w:rPr>
          <w:color w:val="231F20"/>
          <w:spacing w:val="-11"/>
          <w:w w:val="105"/>
          <w:sz w:val="19"/>
        </w:rPr>
        <w:t> </w:t>
      </w:r>
      <w:r>
        <w:rPr>
          <w:color w:val="231F20"/>
          <w:w w:val="105"/>
          <w:sz w:val="19"/>
        </w:rPr>
        <w:t>Phillips.</w:t>
      </w:r>
      <w:r>
        <w:rPr>
          <w:color w:val="231F20"/>
          <w:spacing w:val="-10"/>
          <w:w w:val="105"/>
          <w:sz w:val="19"/>
        </w:rPr>
        <w:t> </w:t>
      </w:r>
      <w:r>
        <w:rPr>
          <w:color w:val="231F20"/>
          <w:w w:val="105"/>
          <w:sz w:val="19"/>
        </w:rPr>
        <w:t>“Structure</w:t>
      </w:r>
      <w:r>
        <w:rPr>
          <w:color w:val="231F20"/>
          <w:spacing w:val="-11"/>
          <w:w w:val="105"/>
          <w:sz w:val="19"/>
        </w:rPr>
        <w:t> </w:t>
      </w:r>
      <w:r>
        <w:rPr>
          <w:color w:val="231F20"/>
          <w:w w:val="105"/>
          <w:sz w:val="19"/>
        </w:rPr>
        <w:t>Is Not Organization.” </w:t>
      </w:r>
      <w:r>
        <w:rPr>
          <w:i/>
          <w:color w:val="231F20"/>
          <w:w w:val="105"/>
          <w:sz w:val="19"/>
        </w:rPr>
        <w:t>Business Horizons, </w:t>
      </w:r>
      <w:r>
        <w:rPr>
          <w:color w:val="231F20"/>
          <w:w w:val="105"/>
          <w:sz w:val="19"/>
        </w:rPr>
        <w:t>June 1980, Figure, p. 18. Copy- right</w:t>
      </w:r>
      <w:r>
        <w:rPr>
          <w:color w:val="231F20"/>
          <w:spacing w:val="-1"/>
          <w:w w:val="105"/>
          <w:sz w:val="19"/>
        </w:rPr>
        <w:t> </w:t>
      </w:r>
      <w:r>
        <w:rPr>
          <w:color w:val="231F20"/>
          <w:w w:val="105"/>
          <w:sz w:val="19"/>
        </w:rPr>
        <w:t>©</w:t>
      </w:r>
      <w:r>
        <w:rPr>
          <w:color w:val="231F20"/>
          <w:spacing w:val="-1"/>
          <w:w w:val="105"/>
          <w:sz w:val="19"/>
        </w:rPr>
        <w:t> </w:t>
      </w:r>
      <w:r>
        <w:rPr>
          <w:color w:val="231F20"/>
          <w:w w:val="105"/>
          <w:sz w:val="19"/>
        </w:rPr>
        <w:t>1980</w:t>
      </w:r>
      <w:r>
        <w:rPr>
          <w:color w:val="231F20"/>
          <w:spacing w:val="-1"/>
          <w:w w:val="105"/>
          <w:sz w:val="19"/>
        </w:rPr>
        <w:t> </w:t>
      </w:r>
      <w:r>
        <w:rPr>
          <w:color w:val="231F20"/>
          <w:w w:val="105"/>
          <w:sz w:val="19"/>
        </w:rPr>
        <w:t>by</w:t>
      </w:r>
      <w:r>
        <w:rPr>
          <w:color w:val="231F20"/>
          <w:spacing w:val="-1"/>
          <w:w w:val="105"/>
          <w:sz w:val="19"/>
        </w:rPr>
        <w:t> </w:t>
      </w:r>
      <w:r>
        <w:rPr>
          <w:color w:val="231F20"/>
          <w:w w:val="105"/>
          <w:sz w:val="19"/>
        </w:rPr>
        <w:t>the</w:t>
      </w:r>
      <w:r>
        <w:rPr>
          <w:color w:val="231F20"/>
          <w:spacing w:val="-1"/>
          <w:w w:val="105"/>
          <w:sz w:val="19"/>
        </w:rPr>
        <w:t> </w:t>
      </w:r>
      <w:r>
        <w:rPr>
          <w:color w:val="231F20"/>
          <w:w w:val="105"/>
          <w:sz w:val="19"/>
        </w:rPr>
        <w:t>Foundation</w:t>
      </w:r>
      <w:r>
        <w:rPr>
          <w:color w:val="231F20"/>
          <w:spacing w:val="-1"/>
          <w:w w:val="105"/>
          <w:sz w:val="19"/>
        </w:rPr>
        <w:t> </w:t>
      </w:r>
      <w:r>
        <w:rPr>
          <w:color w:val="231F20"/>
          <w:w w:val="105"/>
          <w:sz w:val="19"/>
        </w:rPr>
        <w:t>for</w:t>
      </w:r>
      <w:r>
        <w:rPr>
          <w:color w:val="231F20"/>
          <w:spacing w:val="-1"/>
          <w:w w:val="105"/>
          <w:sz w:val="19"/>
        </w:rPr>
        <w:t> </w:t>
      </w:r>
      <w:r>
        <w:rPr>
          <w:color w:val="231F20"/>
          <w:w w:val="105"/>
          <w:sz w:val="19"/>
        </w:rPr>
        <w:t>the</w:t>
      </w:r>
      <w:r>
        <w:rPr>
          <w:color w:val="231F20"/>
          <w:spacing w:val="-1"/>
          <w:w w:val="105"/>
          <w:sz w:val="19"/>
        </w:rPr>
        <w:t> </w:t>
      </w:r>
      <w:r>
        <w:rPr>
          <w:color w:val="231F20"/>
          <w:w w:val="105"/>
          <w:sz w:val="19"/>
        </w:rPr>
        <w:t>School</w:t>
      </w:r>
      <w:r>
        <w:rPr>
          <w:color w:val="231F20"/>
          <w:spacing w:val="-1"/>
          <w:w w:val="105"/>
          <w:sz w:val="19"/>
        </w:rPr>
        <w:t> </w:t>
      </w:r>
      <w:r>
        <w:rPr>
          <w:color w:val="231F20"/>
          <w:w w:val="105"/>
          <w:sz w:val="19"/>
        </w:rPr>
        <w:t>of</w:t>
      </w:r>
      <w:r>
        <w:rPr>
          <w:color w:val="231F20"/>
          <w:spacing w:val="-1"/>
          <w:w w:val="105"/>
          <w:sz w:val="19"/>
        </w:rPr>
        <w:t> </w:t>
      </w:r>
      <w:r>
        <w:rPr>
          <w:color w:val="231F20"/>
          <w:w w:val="105"/>
          <w:sz w:val="19"/>
        </w:rPr>
        <w:t>Business</w:t>
      </w:r>
      <w:r>
        <w:rPr>
          <w:color w:val="231F20"/>
          <w:spacing w:val="-1"/>
          <w:w w:val="105"/>
          <w:sz w:val="19"/>
        </w:rPr>
        <w:t> </w:t>
      </w:r>
      <w:r>
        <w:rPr>
          <w:color w:val="231F20"/>
          <w:w w:val="105"/>
          <w:sz w:val="19"/>
        </w:rPr>
        <w:t>at</w:t>
      </w:r>
      <w:r>
        <w:rPr>
          <w:color w:val="231F20"/>
          <w:spacing w:val="-1"/>
          <w:w w:val="105"/>
          <w:sz w:val="19"/>
        </w:rPr>
        <w:t> </w:t>
      </w:r>
      <w:r>
        <w:rPr>
          <w:color w:val="231F20"/>
          <w:w w:val="105"/>
          <w:sz w:val="19"/>
        </w:rPr>
        <w:t>Indiana University. Used with permission.</w:t>
      </w:r>
    </w:p>
    <w:p>
      <w:pPr>
        <w:pStyle w:val="BodyText"/>
        <w:rPr>
          <w:sz w:val="22"/>
        </w:rPr>
      </w:pPr>
    </w:p>
    <w:p>
      <w:pPr>
        <w:pStyle w:val="BodyText"/>
        <w:spacing w:before="6"/>
      </w:pPr>
    </w:p>
    <w:p>
      <w:pPr>
        <w:spacing w:before="0"/>
        <w:ind w:left="520" w:right="0" w:firstLine="0"/>
        <w:jc w:val="left"/>
        <w:rPr>
          <w:rFonts w:ascii="Trebuchet MS"/>
          <w:sz w:val="20"/>
        </w:rPr>
      </w:pPr>
      <w:r>
        <w:rPr>
          <w:rFonts w:ascii="Trebuchet MS"/>
          <w:color w:val="231F20"/>
          <w:w w:val="90"/>
          <w:sz w:val="20"/>
        </w:rPr>
        <w:t>DAY</w:t>
      </w:r>
      <w:r>
        <w:rPr>
          <w:rFonts w:ascii="Trebuchet MS"/>
          <w:color w:val="231F20"/>
          <w:sz w:val="20"/>
        </w:rPr>
        <w:t> </w:t>
      </w:r>
      <w:r>
        <w:rPr>
          <w:rFonts w:ascii="Trebuchet MS"/>
          <w:color w:val="231F20"/>
          <w:w w:val="90"/>
          <w:sz w:val="20"/>
        </w:rPr>
        <w:t>10:</w:t>
      </w:r>
      <w:r>
        <w:rPr>
          <w:rFonts w:ascii="Trebuchet MS"/>
          <w:color w:val="231F20"/>
          <w:sz w:val="20"/>
        </w:rPr>
        <w:t> </w:t>
      </w:r>
      <w:r>
        <w:rPr>
          <w:rFonts w:ascii="Trebuchet MS"/>
          <w:color w:val="231F20"/>
          <w:w w:val="90"/>
          <w:sz w:val="20"/>
        </w:rPr>
        <w:t>MBA</w:t>
      </w:r>
      <w:r>
        <w:rPr>
          <w:rFonts w:ascii="Trebuchet MS"/>
          <w:color w:val="231F20"/>
          <w:sz w:val="20"/>
        </w:rPr>
        <w:t> </w:t>
      </w:r>
      <w:r>
        <w:rPr>
          <w:rFonts w:ascii="Trebuchet MS"/>
          <w:color w:val="231F20"/>
          <w:spacing w:val="-2"/>
          <w:w w:val="90"/>
          <w:sz w:val="20"/>
        </w:rPr>
        <w:t>MINICOURSES</w:t>
      </w:r>
    </w:p>
    <w:p>
      <w:pPr>
        <w:pStyle w:val="BodyText"/>
        <w:spacing w:before="4"/>
        <w:rPr>
          <w:rFonts w:ascii="Trebuchet MS"/>
          <w:sz w:val="25"/>
        </w:rPr>
      </w:pPr>
    </w:p>
    <w:p>
      <w:pPr>
        <w:spacing w:line="280" w:lineRule="auto" w:before="1"/>
        <w:ind w:left="860" w:right="683" w:hanging="340"/>
        <w:jc w:val="both"/>
        <w:rPr>
          <w:sz w:val="19"/>
        </w:rPr>
      </w:pPr>
      <w:r>
        <w:rPr>
          <w:color w:val="231F20"/>
          <w:sz w:val="19"/>
        </w:rPr>
        <w:t>Borden, Neil H., Jr. “Class Notes on Conducting International Business,” Darden</w:t>
      </w:r>
      <w:r>
        <w:rPr>
          <w:color w:val="231F20"/>
          <w:spacing w:val="40"/>
          <w:sz w:val="19"/>
        </w:rPr>
        <w:t> </w:t>
      </w:r>
      <w:r>
        <w:rPr>
          <w:color w:val="231F20"/>
          <w:sz w:val="19"/>
        </w:rPr>
        <w:t>Graduate</w:t>
      </w:r>
      <w:r>
        <w:rPr>
          <w:color w:val="231F20"/>
          <w:spacing w:val="40"/>
          <w:sz w:val="19"/>
        </w:rPr>
        <w:t> </w:t>
      </w:r>
      <w:r>
        <w:rPr>
          <w:color w:val="231F20"/>
          <w:sz w:val="19"/>
        </w:rPr>
        <w:t>School</w:t>
      </w:r>
      <w:r>
        <w:rPr>
          <w:color w:val="231F20"/>
          <w:spacing w:val="40"/>
          <w:sz w:val="19"/>
        </w:rPr>
        <w:t> </w:t>
      </w:r>
      <w:r>
        <w:rPr>
          <w:color w:val="231F20"/>
          <w:sz w:val="19"/>
        </w:rPr>
        <w:t>of</w:t>
      </w:r>
      <w:r>
        <w:rPr>
          <w:color w:val="231F20"/>
          <w:spacing w:val="40"/>
          <w:sz w:val="19"/>
        </w:rPr>
        <w:t> </w:t>
      </w:r>
      <w:r>
        <w:rPr>
          <w:color w:val="231F20"/>
          <w:sz w:val="19"/>
        </w:rPr>
        <w:t>Business,</w:t>
      </w:r>
      <w:r>
        <w:rPr>
          <w:color w:val="231F20"/>
          <w:spacing w:val="40"/>
          <w:sz w:val="19"/>
        </w:rPr>
        <w:t> </w:t>
      </w:r>
      <w:r>
        <w:rPr>
          <w:color w:val="231F20"/>
          <w:sz w:val="19"/>
        </w:rPr>
        <w:t>Charlottesville,</w:t>
      </w:r>
      <w:r>
        <w:rPr>
          <w:color w:val="231F20"/>
          <w:spacing w:val="40"/>
          <w:sz w:val="19"/>
        </w:rPr>
        <w:t> </w:t>
      </w:r>
      <w:r>
        <w:rPr>
          <w:color w:val="231F20"/>
          <w:sz w:val="19"/>
        </w:rPr>
        <w:t>Virginia,</w:t>
      </w:r>
      <w:r>
        <w:rPr>
          <w:color w:val="231F20"/>
          <w:spacing w:val="40"/>
          <w:sz w:val="19"/>
        </w:rPr>
        <w:t> </w:t>
      </w:r>
      <w:r>
        <w:rPr>
          <w:color w:val="231F20"/>
          <w:sz w:val="19"/>
        </w:rPr>
        <w:t>used with permission.</w:t>
      </w:r>
    </w:p>
    <w:p>
      <w:pPr>
        <w:spacing w:after="0" w:line="280" w:lineRule="auto"/>
        <w:jc w:val="both"/>
        <w:rPr>
          <w:sz w:val="19"/>
        </w:rPr>
        <w:sectPr>
          <w:type w:val="continuous"/>
          <w:pgSz w:w="8640" w:h="12960"/>
          <w:pgMar w:header="0" w:footer="0" w:top="1220" w:bottom="280" w:left="740" w:right="480"/>
        </w:sectPr>
      </w:pPr>
    </w:p>
    <w:p>
      <w:pPr>
        <w:pStyle w:val="BodyText"/>
        <w:rPr>
          <w:sz w:val="17"/>
        </w:rPr>
      </w:pPr>
    </w:p>
    <w:p>
      <w:pPr>
        <w:spacing w:after="0"/>
        <w:rPr>
          <w:sz w:val="17"/>
        </w:rPr>
        <w:sectPr>
          <w:headerReference w:type="even" r:id="rId161"/>
          <w:pgSz w:w="8640" w:h="12960"/>
          <w:pgMar w:header="0" w:footer="0" w:top="1220" w:bottom="280" w:left="740" w:right="480"/>
        </w:sectPr>
      </w:pPr>
    </w:p>
    <w:p>
      <w:pPr>
        <w:pStyle w:val="Heading2"/>
        <w:spacing w:before="71"/>
        <w:ind w:right="1555"/>
        <w:jc w:val="center"/>
        <w:rPr>
          <w:i/>
        </w:rPr>
      </w:pPr>
      <w:bookmarkStart w:name="Index" w:id="55"/>
      <w:bookmarkEnd w:id="55"/>
      <w:r>
        <w:rPr>
          <w:b w:val="0"/>
          <w:i w:val="0"/>
        </w:rPr>
      </w:r>
      <w:bookmarkStart w:name="_bookmark26" w:id="56"/>
      <w:bookmarkEnd w:id="56"/>
      <w:r>
        <w:rPr>
          <w:b w:val="0"/>
          <w:i w:val="0"/>
        </w:rPr>
      </w:r>
      <w:hyperlink w:history="true" w:anchor="_bookmark2">
        <w:r>
          <w:rPr>
            <w:i/>
            <w:color w:val="0000FF"/>
            <w:spacing w:val="21"/>
          </w:rPr>
          <w:t>Index</w:t>
        </w:r>
      </w:hyperlink>
    </w:p>
    <w:p>
      <w:pPr>
        <w:pStyle w:val="BodyText"/>
        <w:spacing w:before="4"/>
        <w:rPr>
          <w:b/>
          <w:i/>
          <w:sz w:val="9"/>
        </w:rPr>
      </w:pPr>
      <w:r>
        <w:rPr/>
        <w:pict>
          <v:shape style="position:absolute;margin-left:180.25pt;margin-top:6.680221pt;width:76pt;height:.1pt;mso-position-horizontal-relative:page;mso-position-vertical-relative:paragraph;z-index:-15507968;mso-wrap-distance-left:0;mso-wrap-distance-right:0" id="docshape576" coordorigin="3605,134" coordsize="1520,0" path="m3605,134l5125,134e" filled="false" stroked="true" strokeweight="6pt" strokecolor="#d1d3d4">
            <v:path arrowok="t"/>
            <v:stroke dashstyle="solid"/>
            <w10:wrap type="topAndBottom"/>
          </v:shape>
        </w:pict>
      </w:r>
    </w:p>
    <w:p>
      <w:pPr>
        <w:pStyle w:val="BodyText"/>
        <w:rPr>
          <w:b/>
          <w:i/>
          <w:sz w:val="54"/>
        </w:rPr>
      </w:pPr>
    </w:p>
    <w:p>
      <w:pPr>
        <w:spacing w:before="390"/>
        <w:ind w:left="116" w:right="99" w:firstLine="0"/>
        <w:jc w:val="both"/>
        <w:rPr>
          <w:rFonts w:ascii="Times New Roman"/>
          <w:sz w:val="24"/>
        </w:rPr>
      </w:pPr>
      <w:r>
        <w:rPr>
          <w:rFonts w:ascii="Times New Roman"/>
          <w:sz w:val="24"/>
        </w:rPr>
        <w:t>Note: Entries in this index, carried over verbatim from the print edition of this title, are unlikely to correspond to the pagination of any given e-book reader. However, entries in this index, and other terms, may be easily located by using the search feature of your e-book reader.</w:t>
      </w:r>
    </w:p>
    <w:p>
      <w:pPr>
        <w:pStyle w:val="BodyText"/>
        <w:rPr>
          <w:rFonts w:ascii="Times New Roman"/>
          <w:sz w:val="20"/>
        </w:rPr>
      </w:pPr>
    </w:p>
    <w:p>
      <w:pPr>
        <w:pStyle w:val="BodyText"/>
        <w:rPr>
          <w:rFonts w:ascii="Times New Roman"/>
          <w:sz w:val="20"/>
        </w:rPr>
      </w:pPr>
    </w:p>
    <w:p>
      <w:pPr>
        <w:pStyle w:val="BodyText"/>
        <w:spacing w:before="7"/>
        <w:rPr>
          <w:rFonts w:ascii="Times New Roman"/>
          <w:sz w:val="16"/>
        </w:rPr>
      </w:pPr>
    </w:p>
    <w:p>
      <w:pPr>
        <w:spacing w:after="0"/>
        <w:rPr>
          <w:rFonts w:ascii="Times New Roman"/>
          <w:sz w:val="16"/>
        </w:rPr>
        <w:sectPr>
          <w:headerReference w:type="default" r:id="rId162"/>
          <w:pgSz w:w="8640" w:h="12960"/>
          <w:pgMar w:header="0" w:footer="0" w:top="660" w:bottom="280" w:left="740" w:right="480"/>
        </w:sectPr>
      </w:pPr>
    </w:p>
    <w:p>
      <w:pPr>
        <w:spacing w:before="99"/>
        <w:ind w:left="520" w:right="0" w:firstLine="0"/>
        <w:jc w:val="left"/>
        <w:rPr>
          <w:sz w:val="19"/>
        </w:rPr>
      </w:pPr>
      <w:r>
        <w:rPr>
          <w:color w:val="231F20"/>
          <w:sz w:val="19"/>
        </w:rPr>
        <w:t>accrual</w:t>
      </w:r>
      <w:r>
        <w:rPr>
          <w:color w:val="231F20"/>
          <w:spacing w:val="10"/>
          <w:sz w:val="19"/>
        </w:rPr>
        <w:t> </w:t>
      </w:r>
      <w:r>
        <w:rPr>
          <w:color w:val="231F20"/>
          <w:sz w:val="19"/>
        </w:rPr>
        <w:t>basis,</w:t>
      </w:r>
      <w:r>
        <w:rPr>
          <w:color w:val="231F20"/>
          <w:spacing w:val="10"/>
          <w:sz w:val="19"/>
        </w:rPr>
        <w:t> </w:t>
      </w:r>
      <w:r>
        <w:rPr>
          <w:color w:val="231F20"/>
          <w:sz w:val="19"/>
        </w:rPr>
        <w:t>75</w:t>
      </w:r>
      <w:r>
        <w:rPr>
          <w:color w:val="231F20"/>
          <w:spacing w:val="-23"/>
          <w:sz w:val="19"/>
        </w:rPr>
        <w:t> </w:t>
      </w:r>
      <w:r>
        <w:rPr>
          <w:color w:val="231F20"/>
          <w:sz w:val="19"/>
        </w:rPr>
        <w:t>–</w:t>
      </w:r>
      <w:r>
        <w:rPr>
          <w:color w:val="231F20"/>
          <w:spacing w:val="-23"/>
          <w:sz w:val="19"/>
        </w:rPr>
        <w:t> </w:t>
      </w:r>
      <w:r>
        <w:rPr>
          <w:color w:val="231F20"/>
          <w:spacing w:val="-5"/>
          <w:sz w:val="19"/>
        </w:rPr>
        <w:t>76</w:t>
      </w:r>
    </w:p>
    <w:p>
      <w:pPr>
        <w:spacing w:before="17"/>
        <w:ind w:left="520" w:right="0" w:firstLine="0"/>
        <w:jc w:val="left"/>
        <w:rPr>
          <w:sz w:val="19"/>
        </w:rPr>
      </w:pPr>
      <w:r>
        <w:rPr>
          <w:color w:val="231F20"/>
          <w:sz w:val="19"/>
        </w:rPr>
        <w:t>accumulated</w:t>
      </w:r>
      <w:r>
        <w:rPr>
          <w:color w:val="231F20"/>
          <w:spacing w:val="6"/>
          <w:sz w:val="19"/>
        </w:rPr>
        <w:t> </w:t>
      </w:r>
      <w:r>
        <w:rPr>
          <w:color w:val="231F20"/>
          <w:sz w:val="19"/>
        </w:rPr>
        <w:t>value,</w:t>
      </w:r>
      <w:r>
        <w:rPr>
          <w:color w:val="231F20"/>
          <w:spacing w:val="8"/>
          <w:sz w:val="19"/>
        </w:rPr>
        <w:t> </w:t>
      </w:r>
      <w:r>
        <w:rPr>
          <w:color w:val="231F20"/>
          <w:sz w:val="19"/>
        </w:rPr>
        <w:t>171</w:t>
      </w:r>
      <w:r>
        <w:rPr>
          <w:color w:val="231F20"/>
          <w:spacing w:val="-23"/>
          <w:sz w:val="19"/>
        </w:rPr>
        <w:t> </w:t>
      </w:r>
      <w:r>
        <w:rPr>
          <w:color w:val="231F20"/>
          <w:sz w:val="19"/>
        </w:rPr>
        <w:t>–</w:t>
      </w:r>
      <w:r>
        <w:rPr>
          <w:color w:val="231F20"/>
          <w:spacing w:val="-23"/>
          <w:sz w:val="19"/>
        </w:rPr>
        <w:t> </w:t>
      </w:r>
      <w:r>
        <w:rPr>
          <w:color w:val="231F20"/>
          <w:spacing w:val="-5"/>
          <w:sz w:val="19"/>
        </w:rPr>
        <w:t>72</w:t>
      </w:r>
    </w:p>
    <w:p>
      <w:pPr>
        <w:spacing w:before="18"/>
        <w:ind w:left="520" w:right="0" w:firstLine="0"/>
        <w:jc w:val="left"/>
        <w:rPr>
          <w:sz w:val="19"/>
        </w:rPr>
      </w:pPr>
      <w:r>
        <w:rPr>
          <w:color w:val="231F20"/>
          <w:sz w:val="19"/>
        </w:rPr>
        <w:t>action</w:t>
      </w:r>
      <w:r>
        <w:rPr>
          <w:color w:val="231F20"/>
          <w:spacing w:val="17"/>
          <w:sz w:val="19"/>
        </w:rPr>
        <w:t> </w:t>
      </w:r>
      <w:r>
        <w:rPr>
          <w:color w:val="231F20"/>
          <w:sz w:val="19"/>
        </w:rPr>
        <w:t>planning,</w:t>
      </w:r>
      <w:r>
        <w:rPr>
          <w:color w:val="231F20"/>
          <w:spacing w:val="17"/>
          <w:sz w:val="19"/>
        </w:rPr>
        <w:t> </w:t>
      </w:r>
      <w:r>
        <w:rPr>
          <w:color w:val="231F20"/>
          <w:sz w:val="19"/>
        </w:rPr>
        <w:t>123</w:t>
      </w:r>
      <w:r>
        <w:rPr>
          <w:color w:val="231F20"/>
          <w:spacing w:val="-20"/>
          <w:sz w:val="19"/>
        </w:rPr>
        <w:t> </w:t>
      </w:r>
      <w:r>
        <w:rPr>
          <w:color w:val="231F20"/>
          <w:sz w:val="19"/>
        </w:rPr>
        <w:t>–</w:t>
      </w:r>
      <w:r>
        <w:rPr>
          <w:color w:val="231F20"/>
          <w:spacing w:val="-20"/>
          <w:sz w:val="19"/>
        </w:rPr>
        <w:t> </w:t>
      </w:r>
      <w:r>
        <w:rPr>
          <w:color w:val="231F20"/>
          <w:spacing w:val="-5"/>
          <w:sz w:val="19"/>
        </w:rPr>
        <w:t>24</w:t>
      </w:r>
    </w:p>
    <w:p>
      <w:pPr>
        <w:spacing w:line="259" w:lineRule="auto" w:before="17"/>
        <w:ind w:left="520" w:right="483" w:firstLine="0"/>
        <w:jc w:val="left"/>
        <w:rPr>
          <w:sz w:val="19"/>
        </w:rPr>
      </w:pPr>
      <w:r>
        <w:rPr>
          <w:color w:val="231F20"/>
          <w:sz w:val="19"/>
        </w:rPr>
        <w:t>active listening, 134</w:t>
      </w:r>
      <w:r>
        <w:rPr>
          <w:color w:val="231F20"/>
          <w:spacing w:val="-10"/>
          <w:sz w:val="19"/>
        </w:rPr>
        <w:t> </w:t>
      </w:r>
      <w:r>
        <w:rPr>
          <w:color w:val="231F20"/>
          <w:sz w:val="19"/>
        </w:rPr>
        <w:t>–</w:t>
      </w:r>
      <w:r>
        <w:rPr>
          <w:color w:val="231F20"/>
          <w:spacing w:val="-10"/>
          <w:sz w:val="19"/>
        </w:rPr>
        <w:t> </w:t>
      </w:r>
      <w:r>
        <w:rPr>
          <w:color w:val="231F20"/>
          <w:sz w:val="19"/>
        </w:rPr>
        <w:t>35 activity-based costing </w:t>
      </w:r>
      <w:r>
        <w:rPr>
          <w:color w:val="231F20"/>
          <w:sz w:val="19"/>
        </w:rPr>
        <w:t>(ABC),</w:t>
      </w:r>
    </w:p>
    <w:p>
      <w:pPr>
        <w:spacing w:line="222" w:lineRule="exact" w:before="0"/>
        <w:ind w:left="760" w:right="0" w:firstLine="0"/>
        <w:jc w:val="left"/>
        <w:rPr>
          <w:sz w:val="19"/>
        </w:rPr>
      </w:pPr>
      <w:r>
        <w:rPr>
          <w:color w:val="231F20"/>
          <w:spacing w:val="-2"/>
          <w:sz w:val="19"/>
        </w:rPr>
        <w:t>114–15</w:t>
      </w:r>
    </w:p>
    <w:p>
      <w:pPr>
        <w:spacing w:line="259" w:lineRule="auto" w:before="17"/>
        <w:ind w:left="520" w:right="0" w:firstLine="0"/>
        <w:jc w:val="left"/>
        <w:rPr>
          <w:sz w:val="19"/>
        </w:rPr>
      </w:pPr>
      <w:r>
        <w:rPr>
          <w:color w:val="231F20"/>
          <w:sz w:val="19"/>
        </w:rPr>
        <w:t>additional paid-in capital, </w:t>
      </w:r>
      <w:r>
        <w:rPr>
          <w:color w:val="231F20"/>
          <w:sz w:val="19"/>
        </w:rPr>
        <w:t>82 adoption process, 6</w:t>
      </w:r>
      <w:r>
        <w:rPr>
          <w:color w:val="231F20"/>
          <w:spacing w:val="-10"/>
          <w:sz w:val="19"/>
        </w:rPr>
        <w:t> </w:t>
      </w:r>
      <w:r>
        <w:rPr>
          <w:color w:val="231F20"/>
          <w:sz w:val="19"/>
        </w:rPr>
        <w:t>–</w:t>
      </w:r>
      <w:r>
        <w:rPr>
          <w:color w:val="231F20"/>
          <w:spacing w:val="-10"/>
          <w:sz w:val="19"/>
        </w:rPr>
        <w:t> </w:t>
      </w:r>
      <w:r>
        <w:rPr>
          <w:color w:val="231F20"/>
          <w:sz w:val="19"/>
        </w:rPr>
        <w:t>9</w:t>
      </w:r>
    </w:p>
    <w:p>
      <w:pPr>
        <w:spacing w:line="222" w:lineRule="exact" w:before="0"/>
        <w:ind w:left="520" w:right="0" w:firstLine="0"/>
        <w:jc w:val="left"/>
        <w:rPr>
          <w:sz w:val="19"/>
        </w:rPr>
      </w:pPr>
      <w:r>
        <w:rPr>
          <w:color w:val="231F20"/>
          <w:sz w:val="19"/>
        </w:rPr>
        <w:t>after-tax</w:t>
      </w:r>
      <w:r>
        <w:rPr>
          <w:color w:val="231F20"/>
          <w:spacing w:val="10"/>
          <w:sz w:val="19"/>
        </w:rPr>
        <w:t> </w:t>
      </w:r>
      <w:r>
        <w:rPr>
          <w:color w:val="231F20"/>
          <w:sz w:val="19"/>
        </w:rPr>
        <w:t>cost,</w:t>
      </w:r>
      <w:r>
        <w:rPr>
          <w:color w:val="231F20"/>
          <w:spacing w:val="10"/>
          <w:sz w:val="19"/>
        </w:rPr>
        <w:t> </w:t>
      </w:r>
      <w:r>
        <w:rPr>
          <w:color w:val="231F20"/>
          <w:sz w:val="19"/>
        </w:rPr>
        <w:t>232</w:t>
      </w:r>
      <w:r>
        <w:rPr>
          <w:color w:val="231F20"/>
          <w:spacing w:val="-22"/>
          <w:sz w:val="19"/>
        </w:rPr>
        <w:t> </w:t>
      </w:r>
      <w:r>
        <w:rPr>
          <w:color w:val="231F20"/>
          <w:sz w:val="19"/>
        </w:rPr>
        <w:t>–</w:t>
      </w:r>
      <w:r>
        <w:rPr>
          <w:color w:val="231F20"/>
          <w:spacing w:val="-23"/>
          <w:sz w:val="19"/>
        </w:rPr>
        <w:t> </w:t>
      </w:r>
      <w:r>
        <w:rPr>
          <w:color w:val="231F20"/>
          <w:spacing w:val="-5"/>
          <w:sz w:val="19"/>
        </w:rPr>
        <w:t>33</w:t>
      </w:r>
    </w:p>
    <w:p>
      <w:pPr>
        <w:spacing w:before="17"/>
        <w:ind w:left="520" w:right="0" w:firstLine="0"/>
        <w:jc w:val="left"/>
        <w:rPr>
          <w:sz w:val="19"/>
        </w:rPr>
      </w:pPr>
      <w:r>
        <w:rPr>
          <w:color w:val="231F20"/>
          <w:sz w:val="19"/>
        </w:rPr>
        <w:t>AIDA</w:t>
      </w:r>
      <w:r>
        <w:rPr>
          <w:color w:val="231F20"/>
          <w:spacing w:val="22"/>
          <w:sz w:val="19"/>
        </w:rPr>
        <w:t> </w:t>
      </w:r>
      <w:r>
        <w:rPr>
          <w:color w:val="231F20"/>
          <w:sz w:val="19"/>
        </w:rPr>
        <w:t>buying</w:t>
      </w:r>
      <w:r>
        <w:rPr>
          <w:color w:val="231F20"/>
          <w:spacing w:val="22"/>
          <w:sz w:val="19"/>
        </w:rPr>
        <w:t> </w:t>
      </w:r>
      <w:r>
        <w:rPr>
          <w:color w:val="231F20"/>
          <w:sz w:val="19"/>
        </w:rPr>
        <w:t>process,</w:t>
      </w:r>
      <w:r>
        <w:rPr>
          <w:color w:val="231F20"/>
          <w:spacing w:val="23"/>
          <w:sz w:val="19"/>
        </w:rPr>
        <w:t> </w:t>
      </w:r>
      <w:r>
        <w:rPr>
          <w:color w:val="231F20"/>
          <w:sz w:val="19"/>
        </w:rPr>
        <w:t>6</w:t>
      </w:r>
      <w:r>
        <w:rPr>
          <w:color w:val="231F20"/>
          <w:spacing w:val="-19"/>
          <w:sz w:val="19"/>
        </w:rPr>
        <w:t> </w:t>
      </w:r>
      <w:r>
        <w:rPr>
          <w:color w:val="231F20"/>
          <w:sz w:val="19"/>
        </w:rPr>
        <w:t>–</w:t>
      </w:r>
      <w:r>
        <w:rPr>
          <w:color w:val="231F20"/>
          <w:spacing w:val="-18"/>
          <w:sz w:val="19"/>
        </w:rPr>
        <w:t> </w:t>
      </w:r>
      <w:r>
        <w:rPr>
          <w:color w:val="231F20"/>
          <w:spacing w:val="-10"/>
          <w:sz w:val="19"/>
        </w:rPr>
        <w:t>9</w:t>
      </w:r>
    </w:p>
    <w:p>
      <w:pPr>
        <w:spacing w:before="18"/>
        <w:ind w:left="520" w:right="0" w:firstLine="0"/>
        <w:jc w:val="left"/>
        <w:rPr>
          <w:sz w:val="19"/>
        </w:rPr>
      </w:pPr>
      <w:r>
        <w:rPr>
          <w:color w:val="231F20"/>
          <w:w w:val="105"/>
          <w:sz w:val="19"/>
        </w:rPr>
        <w:t>Ansoff</w:t>
      </w:r>
      <w:r>
        <w:rPr>
          <w:color w:val="231F20"/>
          <w:spacing w:val="10"/>
          <w:w w:val="105"/>
          <w:sz w:val="19"/>
        </w:rPr>
        <w:t> </w:t>
      </w:r>
      <w:r>
        <w:rPr>
          <w:color w:val="231F20"/>
          <w:w w:val="105"/>
          <w:sz w:val="19"/>
        </w:rPr>
        <w:t>Matrix,</w:t>
      </w:r>
      <w:r>
        <w:rPr>
          <w:color w:val="231F20"/>
          <w:spacing w:val="11"/>
          <w:w w:val="105"/>
          <w:sz w:val="19"/>
        </w:rPr>
        <w:t> </w:t>
      </w:r>
      <w:r>
        <w:rPr>
          <w:color w:val="231F20"/>
          <w:w w:val="105"/>
          <w:sz w:val="19"/>
        </w:rPr>
        <w:t>335</w:t>
      </w:r>
      <w:r>
        <w:rPr>
          <w:color w:val="231F20"/>
          <w:spacing w:val="-24"/>
          <w:w w:val="105"/>
          <w:sz w:val="19"/>
        </w:rPr>
        <w:t> </w:t>
      </w:r>
      <w:r>
        <w:rPr>
          <w:color w:val="231F20"/>
          <w:w w:val="105"/>
          <w:sz w:val="19"/>
        </w:rPr>
        <w:t>–</w:t>
      </w:r>
      <w:r>
        <w:rPr>
          <w:color w:val="231F20"/>
          <w:spacing w:val="-24"/>
          <w:w w:val="105"/>
          <w:sz w:val="19"/>
        </w:rPr>
        <w:t> </w:t>
      </w:r>
      <w:r>
        <w:rPr>
          <w:color w:val="231F20"/>
          <w:spacing w:val="-5"/>
          <w:w w:val="105"/>
          <w:sz w:val="19"/>
        </w:rPr>
        <w:t>36</w:t>
      </w:r>
    </w:p>
    <w:p>
      <w:pPr>
        <w:spacing w:before="17"/>
        <w:ind w:left="520" w:right="0" w:firstLine="0"/>
        <w:jc w:val="left"/>
        <w:rPr>
          <w:sz w:val="19"/>
        </w:rPr>
      </w:pPr>
      <w:r>
        <w:rPr>
          <w:color w:val="231F20"/>
          <w:sz w:val="19"/>
        </w:rPr>
        <w:t>APCFP</w:t>
      </w:r>
      <w:r>
        <w:rPr>
          <w:color w:val="231F20"/>
          <w:spacing w:val="29"/>
          <w:sz w:val="19"/>
        </w:rPr>
        <w:t> </w:t>
      </w:r>
      <w:r>
        <w:rPr>
          <w:color w:val="231F20"/>
          <w:sz w:val="19"/>
        </w:rPr>
        <w:t>model,</w:t>
      </w:r>
      <w:r>
        <w:rPr>
          <w:color w:val="231F20"/>
          <w:spacing w:val="30"/>
          <w:sz w:val="19"/>
        </w:rPr>
        <w:t> </w:t>
      </w:r>
      <w:r>
        <w:rPr>
          <w:color w:val="231F20"/>
          <w:sz w:val="19"/>
        </w:rPr>
        <w:t>124</w:t>
      </w:r>
      <w:r>
        <w:rPr>
          <w:color w:val="231F20"/>
          <w:spacing w:val="-15"/>
          <w:sz w:val="19"/>
        </w:rPr>
        <w:t> </w:t>
      </w:r>
      <w:r>
        <w:rPr>
          <w:color w:val="231F20"/>
          <w:sz w:val="19"/>
        </w:rPr>
        <w:t>–</w:t>
      </w:r>
      <w:r>
        <w:rPr>
          <w:color w:val="231F20"/>
          <w:spacing w:val="-16"/>
          <w:sz w:val="19"/>
        </w:rPr>
        <w:t> </w:t>
      </w:r>
      <w:r>
        <w:rPr>
          <w:color w:val="231F20"/>
          <w:spacing w:val="-5"/>
          <w:sz w:val="19"/>
        </w:rPr>
        <w:t>26</w:t>
      </w:r>
    </w:p>
    <w:p>
      <w:pPr>
        <w:spacing w:line="259" w:lineRule="auto" w:before="17"/>
        <w:ind w:left="760" w:right="-8" w:hanging="240"/>
        <w:jc w:val="left"/>
        <w:rPr>
          <w:sz w:val="19"/>
        </w:rPr>
      </w:pPr>
      <w:r>
        <w:rPr>
          <w:color w:val="231F20"/>
          <w:w w:val="105"/>
          <w:sz w:val="19"/>
        </w:rPr>
        <w:t>Area</w:t>
      </w:r>
      <w:r>
        <w:rPr>
          <w:color w:val="231F20"/>
          <w:spacing w:val="-11"/>
          <w:w w:val="105"/>
          <w:sz w:val="19"/>
        </w:rPr>
        <w:t> </w:t>
      </w:r>
      <w:r>
        <w:rPr>
          <w:color w:val="231F20"/>
          <w:w w:val="105"/>
          <w:sz w:val="19"/>
        </w:rPr>
        <w:t>of</w:t>
      </w:r>
      <w:r>
        <w:rPr>
          <w:color w:val="231F20"/>
          <w:spacing w:val="-10"/>
          <w:w w:val="105"/>
          <w:sz w:val="19"/>
        </w:rPr>
        <w:t> </w:t>
      </w:r>
      <w:r>
        <w:rPr>
          <w:color w:val="231F20"/>
          <w:w w:val="105"/>
          <w:sz w:val="19"/>
        </w:rPr>
        <w:t>Dominant</w:t>
      </w:r>
      <w:r>
        <w:rPr>
          <w:color w:val="231F20"/>
          <w:spacing w:val="-10"/>
          <w:w w:val="105"/>
          <w:sz w:val="19"/>
        </w:rPr>
        <w:t> </w:t>
      </w:r>
      <w:r>
        <w:rPr>
          <w:color w:val="231F20"/>
          <w:w w:val="105"/>
          <w:sz w:val="19"/>
        </w:rPr>
        <w:t>Influence</w:t>
      </w:r>
      <w:r>
        <w:rPr>
          <w:color w:val="231F20"/>
          <w:spacing w:val="-10"/>
          <w:w w:val="105"/>
          <w:sz w:val="19"/>
        </w:rPr>
        <w:t> </w:t>
      </w:r>
      <w:r>
        <w:rPr>
          <w:color w:val="231F20"/>
          <w:w w:val="105"/>
          <w:sz w:val="19"/>
        </w:rPr>
        <w:t>(ADI), </w:t>
      </w:r>
      <w:r>
        <w:rPr>
          <w:color w:val="231F20"/>
          <w:spacing w:val="-6"/>
          <w:w w:val="105"/>
          <w:sz w:val="19"/>
        </w:rPr>
        <w:t>13</w:t>
      </w:r>
    </w:p>
    <w:p>
      <w:pPr>
        <w:spacing w:line="259" w:lineRule="auto" w:before="0"/>
        <w:ind w:left="520" w:right="0" w:firstLine="0"/>
        <w:jc w:val="left"/>
        <w:rPr>
          <w:sz w:val="19"/>
        </w:rPr>
      </w:pPr>
      <w:r>
        <w:rPr>
          <w:color w:val="231F20"/>
          <w:sz w:val="19"/>
        </w:rPr>
        <w:t>Arthur D. Little (ADL), 354</w:t>
      </w:r>
      <w:r>
        <w:rPr>
          <w:color w:val="231F20"/>
          <w:spacing w:val="-18"/>
          <w:sz w:val="19"/>
        </w:rPr>
        <w:t> </w:t>
      </w:r>
      <w:r>
        <w:rPr>
          <w:color w:val="231F20"/>
          <w:sz w:val="19"/>
        </w:rPr>
        <w:t>–</w:t>
      </w:r>
      <w:r>
        <w:rPr>
          <w:color w:val="231F20"/>
          <w:spacing w:val="-18"/>
          <w:sz w:val="19"/>
        </w:rPr>
        <w:t> </w:t>
      </w:r>
      <w:r>
        <w:rPr>
          <w:color w:val="231F20"/>
          <w:sz w:val="19"/>
        </w:rPr>
        <w:t>55 assets and liabilities, 82</w:t>
      </w:r>
    </w:p>
    <w:p>
      <w:pPr>
        <w:pStyle w:val="BodyText"/>
        <w:spacing w:before="3"/>
        <w:rPr>
          <w:sz w:val="20"/>
        </w:rPr>
      </w:pPr>
    </w:p>
    <w:p>
      <w:pPr>
        <w:spacing w:before="0"/>
        <w:ind w:left="520" w:right="0" w:firstLine="0"/>
        <w:jc w:val="left"/>
        <w:rPr>
          <w:sz w:val="19"/>
        </w:rPr>
      </w:pPr>
      <w:r>
        <w:rPr>
          <w:color w:val="231F20"/>
          <w:sz w:val="19"/>
        </w:rPr>
        <w:t>Balance</w:t>
      </w:r>
      <w:r>
        <w:rPr>
          <w:color w:val="231F20"/>
          <w:spacing w:val="7"/>
          <w:sz w:val="19"/>
        </w:rPr>
        <w:t> </w:t>
      </w:r>
      <w:r>
        <w:rPr>
          <w:color w:val="231F20"/>
          <w:sz w:val="19"/>
        </w:rPr>
        <w:t>of</w:t>
      </w:r>
      <w:r>
        <w:rPr>
          <w:color w:val="231F20"/>
          <w:spacing w:val="9"/>
          <w:sz w:val="19"/>
        </w:rPr>
        <w:t> </w:t>
      </w:r>
      <w:r>
        <w:rPr>
          <w:color w:val="231F20"/>
          <w:sz w:val="19"/>
        </w:rPr>
        <w:t>Payments,</w:t>
      </w:r>
      <w:r>
        <w:rPr>
          <w:color w:val="231F20"/>
          <w:spacing w:val="8"/>
          <w:sz w:val="19"/>
        </w:rPr>
        <w:t> </w:t>
      </w:r>
      <w:r>
        <w:rPr>
          <w:color w:val="231F20"/>
          <w:sz w:val="19"/>
        </w:rPr>
        <w:t>314</w:t>
      </w:r>
      <w:r>
        <w:rPr>
          <w:color w:val="231F20"/>
          <w:spacing w:val="-23"/>
          <w:sz w:val="19"/>
        </w:rPr>
        <w:t> </w:t>
      </w:r>
      <w:r>
        <w:rPr>
          <w:color w:val="231F20"/>
          <w:sz w:val="19"/>
        </w:rPr>
        <w:t>–</w:t>
      </w:r>
      <w:r>
        <w:rPr>
          <w:color w:val="231F20"/>
          <w:spacing w:val="-23"/>
          <w:sz w:val="19"/>
        </w:rPr>
        <w:t> </w:t>
      </w:r>
      <w:r>
        <w:rPr>
          <w:color w:val="231F20"/>
          <w:spacing w:val="-5"/>
          <w:sz w:val="19"/>
        </w:rPr>
        <w:t>15</w:t>
      </w:r>
    </w:p>
    <w:p>
      <w:pPr>
        <w:spacing w:before="18"/>
        <w:ind w:left="520" w:right="0" w:firstLine="0"/>
        <w:jc w:val="left"/>
        <w:rPr>
          <w:sz w:val="19"/>
        </w:rPr>
      </w:pPr>
      <w:r>
        <w:rPr>
          <w:color w:val="231F20"/>
          <w:sz w:val="19"/>
        </w:rPr>
        <w:t>balance</w:t>
      </w:r>
      <w:r>
        <w:rPr>
          <w:color w:val="231F20"/>
          <w:spacing w:val="-3"/>
          <w:sz w:val="19"/>
        </w:rPr>
        <w:t> </w:t>
      </w:r>
      <w:r>
        <w:rPr>
          <w:color w:val="231F20"/>
          <w:sz w:val="19"/>
        </w:rPr>
        <w:t>sheet,</w:t>
      </w:r>
      <w:r>
        <w:rPr>
          <w:color w:val="231F20"/>
          <w:spacing w:val="2"/>
          <w:sz w:val="19"/>
        </w:rPr>
        <w:t> </w:t>
      </w:r>
      <w:r>
        <w:rPr>
          <w:color w:val="231F20"/>
          <w:sz w:val="19"/>
        </w:rPr>
        <w:t>85</w:t>
      </w:r>
      <w:r>
        <w:rPr>
          <w:color w:val="231F20"/>
          <w:spacing w:val="-23"/>
          <w:sz w:val="19"/>
        </w:rPr>
        <w:t> </w:t>
      </w:r>
      <w:r>
        <w:rPr>
          <w:color w:val="231F20"/>
          <w:sz w:val="19"/>
        </w:rPr>
        <w:t>–</w:t>
      </w:r>
      <w:r>
        <w:rPr>
          <w:color w:val="231F20"/>
          <w:spacing w:val="-23"/>
          <w:sz w:val="19"/>
        </w:rPr>
        <w:t> </w:t>
      </w:r>
      <w:r>
        <w:rPr>
          <w:color w:val="231F20"/>
          <w:spacing w:val="-5"/>
          <w:sz w:val="19"/>
        </w:rPr>
        <w:t>86</w:t>
      </w:r>
    </w:p>
    <w:p>
      <w:pPr>
        <w:spacing w:before="17"/>
        <w:ind w:left="520" w:right="0" w:firstLine="0"/>
        <w:jc w:val="left"/>
        <w:rPr>
          <w:sz w:val="19"/>
        </w:rPr>
      </w:pPr>
      <w:r>
        <w:rPr>
          <w:color w:val="231F20"/>
          <w:sz w:val="19"/>
        </w:rPr>
        <w:t>barriers</w:t>
      </w:r>
      <w:r>
        <w:rPr>
          <w:color w:val="231F20"/>
          <w:spacing w:val="-9"/>
          <w:sz w:val="19"/>
        </w:rPr>
        <w:t> </w:t>
      </w:r>
      <w:r>
        <w:rPr>
          <w:color w:val="231F20"/>
          <w:sz w:val="19"/>
        </w:rPr>
        <w:t>to</w:t>
      </w:r>
      <w:r>
        <w:rPr>
          <w:color w:val="231F20"/>
          <w:spacing w:val="-4"/>
          <w:sz w:val="19"/>
        </w:rPr>
        <w:t> </w:t>
      </w:r>
      <w:r>
        <w:rPr>
          <w:color w:val="231F20"/>
          <w:sz w:val="19"/>
        </w:rPr>
        <w:t>entry,</w:t>
      </w:r>
      <w:r>
        <w:rPr>
          <w:color w:val="231F20"/>
          <w:spacing w:val="-2"/>
          <w:sz w:val="19"/>
        </w:rPr>
        <w:t> </w:t>
      </w:r>
      <w:r>
        <w:rPr>
          <w:color w:val="231F20"/>
          <w:sz w:val="19"/>
        </w:rPr>
        <w:t>22</w:t>
      </w:r>
      <w:r>
        <w:rPr>
          <w:color w:val="231F20"/>
          <w:spacing w:val="-23"/>
          <w:sz w:val="19"/>
        </w:rPr>
        <w:t> </w:t>
      </w:r>
      <w:r>
        <w:rPr>
          <w:color w:val="231F20"/>
          <w:sz w:val="19"/>
        </w:rPr>
        <w:t>–</w:t>
      </w:r>
      <w:r>
        <w:rPr>
          <w:color w:val="231F20"/>
          <w:spacing w:val="-23"/>
          <w:sz w:val="19"/>
        </w:rPr>
        <w:t> </w:t>
      </w:r>
      <w:r>
        <w:rPr>
          <w:color w:val="231F20"/>
          <w:spacing w:val="-5"/>
          <w:sz w:val="19"/>
        </w:rPr>
        <w:t>23</w:t>
      </w:r>
    </w:p>
    <w:p>
      <w:pPr>
        <w:spacing w:before="17"/>
        <w:ind w:left="520" w:right="0" w:firstLine="0"/>
        <w:jc w:val="left"/>
        <w:rPr>
          <w:sz w:val="19"/>
        </w:rPr>
      </w:pPr>
      <w:r>
        <w:rPr>
          <w:color w:val="231F20"/>
          <w:sz w:val="19"/>
        </w:rPr>
        <w:t>behavioral</w:t>
      </w:r>
      <w:r>
        <w:rPr>
          <w:color w:val="231F20"/>
          <w:spacing w:val="-1"/>
          <w:sz w:val="19"/>
        </w:rPr>
        <w:t> </w:t>
      </w:r>
      <w:r>
        <w:rPr>
          <w:color w:val="231F20"/>
          <w:sz w:val="19"/>
        </w:rPr>
        <w:t>segmentation, </w:t>
      </w:r>
      <w:r>
        <w:rPr>
          <w:color w:val="231F20"/>
          <w:spacing w:val="-5"/>
          <w:sz w:val="19"/>
        </w:rPr>
        <w:t>14</w:t>
      </w:r>
    </w:p>
    <w:p>
      <w:pPr>
        <w:spacing w:before="17"/>
        <w:ind w:left="520" w:right="0" w:firstLine="0"/>
        <w:jc w:val="left"/>
        <w:rPr>
          <w:sz w:val="19"/>
        </w:rPr>
      </w:pPr>
      <w:r>
        <w:rPr>
          <w:color w:val="231F20"/>
          <w:sz w:val="19"/>
        </w:rPr>
        <w:t>bell</w:t>
      </w:r>
      <w:r>
        <w:rPr>
          <w:color w:val="231F20"/>
          <w:spacing w:val="6"/>
          <w:sz w:val="19"/>
        </w:rPr>
        <w:t> </w:t>
      </w:r>
      <w:r>
        <w:rPr>
          <w:color w:val="231F20"/>
          <w:sz w:val="19"/>
        </w:rPr>
        <w:t>curve,</w:t>
      </w:r>
      <w:r>
        <w:rPr>
          <w:color w:val="231F20"/>
          <w:spacing w:val="8"/>
          <w:sz w:val="19"/>
        </w:rPr>
        <w:t> </w:t>
      </w:r>
      <w:r>
        <w:rPr>
          <w:color w:val="231F20"/>
          <w:sz w:val="19"/>
        </w:rPr>
        <w:t>180</w:t>
      </w:r>
      <w:r>
        <w:rPr>
          <w:color w:val="231F20"/>
          <w:spacing w:val="-23"/>
          <w:sz w:val="19"/>
        </w:rPr>
        <w:t> </w:t>
      </w:r>
      <w:r>
        <w:rPr>
          <w:color w:val="231F20"/>
          <w:sz w:val="19"/>
        </w:rPr>
        <w:t>–</w:t>
      </w:r>
      <w:r>
        <w:rPr>
          <w:color w:val="231F20"/>
          <w:spacing w:val="-23"/>
          <w:sz w:val="19"/>
        </w:rPr>
        <w:t> </w:t>
      </w:r>
      <w:r>
        <w:rPr>
          <w:color w:val="231F20"/>
          <w:spacing w:val="-5"/>
          <w:sz w:val="19"/>
        </w:rPr>
        <w:t>84</w:t>
      </w:r>
    </w:p>
    <w:p>
      <w:pPr>
        <w:spacing w:before="18"/>
        <w:ind w:left="520" w:right="0" w:firstLine="0"/>
        <w:jc w:val="left"/>
        <w:rPr>
          <w:sz w:val="19"/>
        </w:rPr>
      </w:pPr>
      <w:r>
        <w:rPr>
          <w:color w:val="231F20"/>
          <w:sz w:val="19"/>
        </w:rPr>
        <w:t>benchmarking,</w:t>
      </w:r>
      <w:r>
        <w:rPr>
          <w:color w:val="231F20"/>
          <w:spacing w:val="22"/>
          <w:sz w:val="19"/>
        </w:rPr>
        <w:t> </w:t>
      </w:r>
      <w:r>
        <w:rPr>
          <w:color w:val="231F20"/>
          <w:spacing w:val="-5"/>
          <w:sz w:val="19"/>
        </w:rPr>
        <w:t>275</w:t>
      </w:r>
    </w:p>
    <w:p>
      <w:pPr>
        <w:spacing w:before="17"/>
        <w:ind w:left="520" w:right="0" w:firstLine="0"/>
        <w:jc w:val="left"/>
        <w:rPr>
          <w:sz w:val="19"/>
        </w:rPr>
      </w:pPr>
      <w:r>
        <w:rPr>
          <w:color w:val="231F20"/>
          <w:sz w:val="19"/>
        </w:rPr>
        <w:t>beta</w:t>
      </w:r>
      <w:r>
        <w:rPr>
          <w:color w:val="231F20"/>
          <w:spacing w:val="9"/>
          <w:sz w:val="19"/>
        </w:rPr>
        <w:t> </w:t>
      </w:r>
      <w:r>
        <w:rPr>
          <w:color w:val="231F20"/>
          <w:sz w:val="19"/>
        </w:rPr>
        <w:t>risk,</w:t>
      </w:r>
      <w:r>
        <w:rPr>
          <w:color w:val="231F20"/>
          <w:spacing w:val="10"/>
          <w:sz w:val="19"/>
        </w:rPr>
        <w:t> </w:t>
      </w:r>
      <w:r>
        <w:rPr>
          <w:color w:val="231F20"/>
          <w:sz w:val="19"/>
        </w:rPr>
        <w:t>204</w:t>
      </w:r>
      <w:r>
        <w:rPr>
          <w:color w:val="231F20"/>
          <w:spacing w:val="-23"/>
          <w:sz w:val="19"/>
        </w:rPr>
        <w:t> </w:t>
      </w:r>
      <w:r>
        <w:rPr>
          <w:color w:val="231F20"/>
          <w:sz w:val="19"/>
        </w:rPr>
        <w:t>–</w:t>
      </w:r>
      <w:r>
        <w:rPr>
          <w:color w:val="231F20"/>
          <w:spacing w:val="-23"/>
          <w:sz w:val="19"/>
        </w:rPr>
        <w:t> </w:t>
      </w:r>
      <w:r>
        <w:rPr>
          <w:color w:val="231F20"/>
          <w:spacing w:val="-10"/>
          <w:sz w:val="19"/>
        </w:rPr>
        <w:t>7</w:t>
      </w:r>
    </w:p>
    <w:p>
      <w:pPr>
        <w:spacing w:before="17"/>
        <w:ind w:left="520" w:right="0" w:firstLine="0"/>
        <w:jc w:val="left"/>
        <w:rPr>
          <w:sz w:val="19"/>
        </w:rPr>
      </w:pPr>
      <w:r>
        <w:rPr>
          <w:color w:val="231F20"/>
          <w:sz w:val="19"/>
        </w:rPr>
        <w:t>binomial</w:t>
      </w:r>
      <w:r>
        <w:rPr>
          <w:color w:val="231F20"/>
          <w:spacing w:val="12"/>
          <w:sz w:val="19"/>
        </w:rPr>
        <w:t> </w:t>
      </w:r>
      <w:r>
        <w:rPr>
          <w:color w:val="231F20"/>
          <w:sz w:val="19"/>
        </w:rPr>
        <w:t>distribution,</w:t>
      </w:r>
      <w:r>
        <w:rPr>
          <w:color w:val="231F20"/>
          <w:spacing w:val="13"/>
          <w:sz w:val="19"/>
        </w:rPr>
        <w:t> </w:t>
      </w:r>
      <w:r>
        <w:rPr>
          <w:color w:val="231F20"/>
          <w:sz w:val="19"/>
        </w:rPr>
        <w:t>177</w:t>
      </w:r>
      <w:r>
        <w:rPr>
          <w:color w:val="231F20"/>
          <w:spacing w:val="-22"/>
          <w:sz w:val="19"/>
        </w:rPr>
        <w:t> </w:t>
      </w:r>
      <w:r>
        <w:rPr>
          <w:color w:val="231F20"/>
          <w:sz w:val="19"/>
        </w:rPr>
        <w:t>–</w:t>
      </w:r>
      <w:r>
        <w:rPr>
          <w:color w:val="231F20"/>
          <w:spacing w:val="-22"/>
          <w:sz w:val="19"/>
        </w:rPr>
        <w:t> </w:t>
      </w:r>
      <w:r>
        <w:rPr>
          <w:color w:val="231F20"/>
          <w:spacing w:val="-5"/>
          <w:sz w:val="19"/>
        </w:rPr>
        <w:t>79</w:t>
      </w:r>
    </w:p>
    <w:p>
      <w:pPr>
        <w:spacing w:before="17"/>
        <w:ind w:left="520" w:right="0" w:firstLine="0"/>
        <w:jc w:val="left"/>
        <w:rPr>
          <w:sz w:val="19"/>
        </w:rPr>
      </w:pPr>
      <w:r>
        <w:rPr>
          <w:color w:val="231F20"/>
          <w:sz w:val="19"/>
        </w:rPr>
        <w:t>Black-Scholes,</w:t>
      </w:r>
      <w:r>
        <w:rPr>
          <w:color w:val="231F20"/>
          <w:spacing w:val="16"/>
          <w:sz w:val="19"/>
        </w:rPr>
        <w:t> </w:t>
      </w:r>
      <w:r>
        <w:rPr>
          <w:color w:val="231F20"/>
          <w:sz w:val="19"/>
        </w:rPr>
        <w:t>224</w:t>
      </w:r>
      <w:r>
        <w:rPr>
          <w:color w:val="231F20"/>
          <w:spacing w:val="-20"/>
          <w:sz w:val="19"/>
        </w:rPr>
        <w:t> </w:t>
      </w:r>
      <w:r>
        <w:rPr>
          <w:color w:val="231F20"/>
          <w:sz w:val="19"/>
        </w:rPr>
        <w:t>–</w:t>
      </w:r>
      <w:r>
        <w:rPr>
          <w:color w:val="231F20"/>
          <w:spacing w:val="-21"/>
          <w:sz w:val="19"/>
        </w:rPr>
        <w:t> </w:t>
      </w:r>
      <w:r>
        <w:rPr>
          <w:color w:val="231F20"/>
          <w:spacing w:val="-5"/>
          <w:sz w:val="19"/>
        </w:rPr>
        <w:t>24</w:t>
      </w:r>
    </w:p>
    <w:p>
      <w:pPr>
        <w:spacing w:before="18"/>
        <w:ind w:left="520" w:right="0" w:firstLine="0"/>
        <w:jc w:val="left"/>
        <w:rPr>
          <w:sz w:val="19"/>
        </w:rPr>
      </w:pPr>
      <w:r>
        <w:rPr>
          <w:color w:val="231F20"/>
          <w:sz w:val="19"/>
        </w:rPr>
        <w:t>blocking</w:t>
      </w:r>
      <w:r>
        <w:rPr>
          <w:color w:val="231F20"/>
          <w:spacing w:val="1"/>
          <w:sz w:val="19"/>
        </w:rPr>
        <w:t> </w:t>
      </w:r>
      <w:r>
        <w:rPr>
          <w:color w:val="231F20"/>
          <w:sz w:val="19"/>
        </w:rPr>
        <w:t>strategy,</w:t>
      </w:r>
      <w:r>
        <w:rPr>
          <w:color w:val="231F20"/>
          <w:spacing w:val="1"/>
          <w:sz w:val="19"/>
        </w:rPr>
        <w:t> </w:t>
      </w:r>
      <w:r>
        <w:rPr>
          <w:color w:val="231F20"/>
          <w:spacing w:val="-5"/>
          <w:sz w:val="19"/>
        </w:rPr>
        <w:t>25</w:t>
      </w:r>
    </w:p>
    <w:p>
      <w:pPr>
        <w:spacing w:before="17"/>
        <w:ind w:left="520" w:right="0" w:firstLine="0"/>
        <w:jc w:val="left"/>
        <w:rPr>
          <w:sz w:val="19"/>
        </w:rPr>
      </w:pPr>
      <w:r>
        <w:rPr>
          <w:color w:val="231F20"/>
          <w:sz w:val="19"/>
        </w:rPr>
        <w:t>bond</w:t>
      </w:r>
      <w:r>
        <w:rPr>
          <w:color w:val="231F20"/>
          <w:spacing w:val="14"/>
          <w:sz w:val="19"/>
        </w:rPr>
        <w:t> </w:t>
      </w:r>
      <w:r>
        <w:rPr>
          <w:color w:val="231F20"/>
          <w:sz w:val="19"/>
        </w:rPr>
        <w:t>valuations,</w:t>
      </w:r>
      <w:r>
        <w:rPr>
          <w:color w:val="231F20"/>
          <w:spacing w:val="15"/>
          <w:sz w:val="19"/>
        </w:rPr>
        <w:t> </w:t>
      </w:r>
      <w:r>
        <w:rPr>
          <w:color w:val="231F20"/>
          <w:sz w:val="19"/>
        </w:rPr>
        <w:t>211</w:t>
      </w:r>
      <w:r>
        <w:rPr>
          <w:color w:val="231F20"/>
          <w:spacing w:val="-21"/>
          <w:sz w:val="19"/>
        </w:rPr>
        <w:t> </w:t>
      </w:r>
      <w:r>
        <w:rPr>
          <w:color w:val="231F20"/>
          <w:sz w:val="19"/>
        </w:rPr>
        <w:t>–</w:t>
      </w:r>
      <w:r>
        <w:rPr>
          <w:color w:val="231F20"/>
          <w:spacing w:val="-22"/>
          <w:sz w:val="19"/>
        </w:rPr>
        <w:t> </w:t>
      </w:r>
      <w:r>
        <w:rPr>
          <w:color w:val="231F20"/>
          <w:spacing w:val="-5"/>
          <w:sz w:val="19"/>
        </w:rPr>
        <w:t>14</w:t>
      </w:r>
    </w:p>
    <w:p>
      <w:pPr>
        <w:spacing w:before="17"/>
        <w:ind w:left="520" w:right="0" w:firstLine="0"/>
        <w:jc w:val="left"/>
        <w:rPr>
          <w:sz w:val="19"/>
        </w:rPr>
      </w:pPr>
      <w:r>
        <w:rPr>
          <w:color w:val="231F20"/>
          <w:sz w:val="19"/>
        </w:rPr>
        <w:t>bonds,</w:t>
      </w:r>
      <w:r>
        <w:rPr>
          <w:color w:val="231F20"/>
          <w:spacing w:val="16"/>
          <w:sz w:val="19"/>
        </w:rPr>
        <w:t> </w:t>
      </w:r>
      <w:r>
        <w:rPr>
          <w:color w:val="231F20"/>
          <w:sz w:val="19"/>
        </w:rPr>
        <w:t>211</w:t>
      </w:r>
      <w:r>
        <w:rPr>
          <w:color w:val="231F20"/>
          <w:spacing w:val="-21"/>
          <w:sz w:val="19"/>
        </w:rPr>
        <w:t> </w:t>
      </w:r>
      <w:r>
        <w:rPr>
          <w:color w:val="231F20"/>
          <w:sz w:val="19"/>
        </w:rPr>
        <w:t>–</w:t>
      </w:r>
      <w:r>
        <w:rPr>
          <w:color w:val="231F20"/>
          <w:spacing w:val="-21"/>
          <w:sz w:val="19"/>
        </w:rPr>
        <w:t> </w:t>
      </w:r>
      <w:r>
        <w:rPr>
          <w:color w:val="231F20"/>
          <w:spacing w:val="-5"/>
          <w:sz w:val="19"/>
        </w:rPr>
        <w:t>16</w:t>
      </w:r>
    </w:p>
    <w:p>
      <w:pPr>
        <w:spacing w:line="259" w:lineRule="auto" w:before="17"/>
        <w:ind w:left="760" w:right="0" w:hanging="240"/>
        <w:jc w:val="left"/>
        <w:rPr>
          <w:sz w:val="19"/>
        </w:rPr>
      </w:pPr>
      <w:r>
        <w:rPr>
          <w:color w:val="231F20"/>
          <w:w w:val="105"/>
          <w:sz w:val="19"/>
        </w:rPr>
        <w:t>Boston</w:t>
      </w:r>
      <w:r>
        <w:rPr>
          <w:color w:val="231F20"/>
          <w:spacing w:val="-6"/>
          <w:w w:val="105"/>
          <w:sz w:val="19"/>
        </w:rPr>
        <w:t> </w:t>
      </w:r>
      <w:r>
        <w:rPr>
          <w:color w:val="231F20"/>
          <w:w w:val="105"/>
          <w:sz w:val="19"/>
        </w:rPr>
        <w:t>Consulting</w:t>
      </w:r>
      <w:r>
        <w:rPr>
          <w:color w:val="231F20"/>
          <w:spacing w:val="-6"/>
          <w:w w:val="105"/>
          <w:sz w:val="19"/>
        </w:rPr>
        <w:t> </w:t>
      </w:r>
      <w:r>
        <w:rPr>
          <w:color w:val="231F20"/>
          <w:w w:val="105"/>
          <w:sz w:val="19"/>
        </w:rPr>
        <w:t>Group</w:t>
      </w:r>
      <w:r>
        <w:rPr>
          <w:color w:val="231F20"/>
          <w:spacing w:val="-6"/>
          <w:w w:val="105"/>
          <w:sz w:val="19"/>
        </w:rPr>
        <w:t> </w:t>
      </w:r>
      <w:r>
        <w:rPr>
          <w:color w:val="231F20"/>
          <w:w w:val="105"/>
          <w:sz w:val="19"/>
        </w:rPr>
        <w:t>(BCG), </w:t>
      </w:r>
      <w:r>
        <w:rPr>
          <w:color w:val="231F20"/>
          <w:spacing w:val="-2"/>
          <w:w w:val="105"/>
          <w:sz w:val="19"/>
        </w:rPr>
        <w:t>350–52</w:t>
      </w:r>
    </w:p>
    <w:p>
      <w:pPr>
        <w:spacing w:line="222" w:lineRule="exact" w:before="0"/>
        <w:ind w:left="520" w:right="0" w:firstLine="0"/>
        <w:jc w:val="left"/>
        <w:rPr>
          <w:sz w:val="19"/>
        </w:rPr>
      </w:pPr>
      <w:r>
        <w:rPr>
          <w:color w:val="231F20"/>
          <w:sz w:val="19"/>
        </w:rPr>
        <w:t>brand equity, </w:t>
      </w:r>
      <w:r>
        <w:rPr>
          <w:color w:val="231F20"/>
          <w:spacing w:val="-5"/>
          <w:sz w:val="19"/>
        </w:rPr>
        <w:t>34</w:t>
      </w:r>
    </w:p>
    <w:p>
      <w:pPr>
        <w:spacing w:before="99"/>
        <w:ind w:left="319" w:right="0" w:firstLine="0"/>
        <w:jc w:val="left"/>
        <w:rPr>
          <w:sz w:val="19"/>
        </w:rPr>
      </w:pPr>
      <w:r>
        <w:rPr/>
        <w:br w:type="column"/>
      </w:r>
      <w:r>
        <w:rPr>
          <w:color w:val="231F20"/>
          <w:sz w:val="19"/>
        </w:rPr>
        <w:t>break-even</w:t>
      </w:r>
      <w:r>
        <w:rPr>
          <w:color w:val="231F20"/>
          <w:spacing w:val="1"/>
          <w:sz w:val="19"/>
        </w:rPr>
        <w:t> </w:t>
      </w:r>
      <w:r>
        <w:rPr>
          <w:color w:val="231F20"/>
          <w:sz w:val="19"/>
        </w:rPr>
        <w:t>point,</w:t>
      </w:r>
      <w:r>
        <w:rPr>
          <w:color w:val="231F20"/>
          <w:spacing w:val="5"/>
          <w:sz w:val="19"/>
        </w:rPr>
        <w:t> </w:t>
      </w:r>
      <w:r>
        <w:rPr>
          <w:color w:val="231F20"/>
          <w:sz w:val="19"/>
        </w:rPr>
        <w:t>51</w:t>
      </w:r>
      <w:r>
        <w:rPr>
          <w:color w:val="231F20"/>
          <w:spacing w:val="-23"/>
          <w:sz w:val="19"/>
        </w:rPr>
        <w:t> </w:t>
      </w:r>
      <w:r>
        <w:rPr>
          <w:color w:val="231F20"/>
          <w:sz w:val="19"/>
        </w:rPr>
        <w:t>–</w:t>
      </w:r>
      <w:r>
        <w:rPr>
          <w:color w:val="231F20"/>
          <w:spacing w:val="-23"/>
          <w:sz w:val="19"/>
        </w:rPr>
        <w:t> </w:t>
      </w:r>
      <w:r>
        <w:rPr>
          <w:color w:val="231F20"/>
          <w:spacing w:val="-5"/>
          <w:sz w:val="19"/>
        </w:rPr>
        <w:t>55</w:t>
      </w:r>
    </w:p>
    <w:p>
      <w:pPr>
        <w:spacing w:before="18"/>
        <w:ind w:left="319" w:right="0" w:firstLine="0"/>
        <w:jc w:val="left"/>
        <w:rPr>
          <w:sz w:val="19"/>
        </w:rPr>
      </w:pPr>
      <w:r>
        <w:rPr>
          <w:color w:val="231F20"/>
          <w:sz w:val="19"/>
        </w:rPr>
        <w:t>business</w:t>
      </w:r>
      <w:r>
        <w:rPr>
          <w:color w:val="231F20"/>
          <w:spacing w:val="-8"/>
          <w:sz w:val="19"/>
        </w:rPr>
        <w:t> </w:t>
      </w:r>
      <w:r>
        <w:rPr>
          <w:color w:val="231F20"/>
          <w:sz w:val="19"/>
        </w:rPr>
        <w:t>financing, 231</w:t>
      </w:r>
      <w:r>
        <w:rPr>
          <w:color w:val="231F20"/>
          <w:spacing w:val="-23"/>
          <w:sz w:val="19"/>
        </w:rPr>
        <w:t> </w:t>
      </w:r>
      <w:r>
        <w:rPr>
          <w:color w:val="231F20"/>
          <w:sz w:val="19"/>
        </w:rPr>
        <w:t>–</w:t>
      </w:r>
      <w:r>
        <w:rPr>
          <w:color w:val="231F20"/>
          <w:spacing w:val="-23"/>
          <w:sz w:val="19"/>
        </w:rPr>
        <w:t> </w:t>
      </w:r>
      <w:r>
        <w:rPr>
          <w:color w:val="231F20"/>
          <w:spacing w:val="-5"/>
          <w:sz w:val="19"/>
        </w:rPr>
        <w:t>43</w:t>
      </w:r>
    </w:p>
    <w:p>
      <w:pPr>
        <w:spacing w:before="17"/>
        <w:ind w:left="319" w:right="0" w:firstLine="0"/>
        <w:jc w:val="left"/>
        <w:rPr>
          <w:sz w:val="19"/>
        </w:rPr>
      </w:pPr>
      <w:r>
        <w:rPr>
          <w:color w:val="231F20"/>
          <w:w w:val="95"/>
          <w:sz w:val="19"/>
        </w:rPr>
        <w:t>business</w:t>
      </w:r>
      <w:r>
        <w:rPr>
          <w:color w:val="231F20"/>
          <w:spacing w:val="25"/>
          <w:sz w:val="19"/>
        </w:rPr>
        <w:t> </w:t>
      </w:r>
      <w:r>
        <w:rPr>
          <w:color w:val="231F20"/>
          <w:w w:val="95"/>
          <w:sz w:val="19"/>
        </w:rPr>
        <w:t>investments,</w:t>
      </w:r>
      <w:r>
        <w:rPr>
          <w:color w:val="231F20"/>
          <w:spacing w:val="25"/>
          <w:sz w:val="19"/>
        </w:rPr>
        <w:t> </w:t>
      </w:r>
      <w:r>
        <w:rPr>
          <w:color w:val="231F20"/>
          <w:w w:val="95"/>
          <w:sz w:val="19"/>
        </w:rPr>
        <w:t>227</w:t>
      </w:r>
      <w:r>
        <w:rPr>
          <w:color w:val="231F20"/>
          <w:spacing w:val="-16"/>
          <w:w w:val="95"/>
          <w:sz w:val="19"/>
        </w:rPr>
        <w:t> </w:t>
      </w:r>
      <w:r>
        <w:rPr>
          <w:color w:val="231F20"/>
          <w:w w:val="95"/>
          <w:sz w:val="19"/>
        </w:rPr>
        <w:t>–</w:t>
      </w:r>
      <w:r>
        <w:rPr>
          <w:color w:val="231F20"/>
          <w:spacing w:val="-15"/>
          <w:w w:val="95"/>
          <w:sz w:val="19"/>
        </w:rPr>
        <w:t> </w:t>
      </w:r>
      <w:r>
        <w:rPr>
          <w:color w:val="231F20"/>
          <w:spacing w:val="-5"/>
          <w:w w:val="95"/>
          <w:sz w:val="19"/>
        </w:rPr>
        <w:t>31</w:t>
      </w:r>
    </w:p>
    <w:p>
      <w:pPr>
        <w:spacing w:before="17"/>
        <w:ind w:left="319" w:right="0" w:firstLine="0"/>
        <w:jc w:val="left"/>
        <w:rPr>
          <w:sz w:val="19"/>
        </w:rPr>
      </w:pPr>
      <w:r>
        <w:rPr>
          <w:color w:val="231F20"/>
          <w:w w:val="95"/>
          <w:sz w:val="19"/>
        </w:rPr>
        <w:t>business</w:t>
      </w:r>
      <w:r>
        <w:rPr>
          <w:color w:val="231F20"/>
          <w:spacing w:val="19"/>
          <w:sz w:val="19"/>
        </w:rPr>
        <w:t> </w:t>
      </w:r>
      <w:r>
        <w:rPr>
          <w:color w:val="231F20"/>
          <w:w w:val="95"/>
          <w:sz w:val="19"/>
        </w:rPr>
        <w:t>strategy,</w:t>
      </w:r>
      <w:r>
        <w:rPr>
          <w:color w:val="231F20"/>
          <w:spacing w:val="19"/>
          <w:sz w:val="19"/>
        </w:rPr>
        <w:t> </w:t>
      </w:r>
      <w:r>
        <w:rPr>
          <w:color w:val="231F20"/>
          <w:w w:val="95"/>
          <w:sz w:val="19"/>
        </w:rPr>
        <w:t>334</w:t>
      </w:r>
      <w:r>
        <w:rPr>
          <w:color w:val="231F20"/>
          <w:spacing w:val="-18"/>
          <w:w w:val="95"/>
          <w:sz w:val="19"/>
        </w:rPr>
        <w:t> </w:t>
      </w:r>
      <w:r>
        <w:rPr>
          <w:color w:val="231F20"/>
          <w:w w:val="95"/>
          <w:sz w:val="19"/>
        </w:rPr>
        <w:t>–</w:t>
      </w:r>
      <w:r>
        <w:rPr>
          <w:color w:val="231F20"/>
          <w:spacing w:val="-18"/>
          <w:w w:val="95"/>
          <w:sz w:val="19"/>
        </w:rPr>
        <w:t> </w:t>
      </w:r>
      <w:r>
        <w:rPr>
          <w:color w:val="231F20"/>
          <w:spacing w:val="-5"/>
          <w:w w:val="95"/>
          <w:sz w:val="19"/>
        </w:rPr>
        <w:t>35</w:t>
      </w:r>
    </w:p>
    <w:p>
      <w:pPr>
        <w:spacing w:before="17"/>
        <w:ind w:left="319" w:right="0" w:firstLine="0"/>
        <w:jc w:val="left"/>
        <w:rPr>
          <w:sz w:val="19"/>
        </w:rPr>
      </w:pPr>
      <w:r>
        <w:rPr>
          <w:color w:val="231F20"/>
          <w:sz w:val="19"/>
        </w:rPr>
        <w:t>business</w:t>
      </w:r>
      <w:r>
        <w:rPr>
          <w:color w:val="231F20"/>
          <w:spacing w:val="-9"/>
          <w:sz w:val="19"/>
        </w:rPr>
        <w:t> </w:t>
      </w:r>
      <w:r>
        <w:rPr>
          <w:color w:val="231F20"/>
          <w:sz w:val="19"/>
        </w:rPr>
        <w:t>structures,</w:t>
      </w:r>
      <w:r>
        <w:rPr>
          <w:color w:val="231F20"/>
          <w:spacing w:val="-6"/>
          <w:sz w:val="19"/>
        </w:rPr>
        <w:t> </w:t>
      </w:r>
      <w:r>
        <w:rPr>
          <w:color w:val="231F20"/>
          <w:sz w:val="19"/>
        </w:rPr>
        <w:t>141,</w:t>
      </w:r>
      <w:r>
        <w:rPr>
          <w:color w:val="231F20"/>
          <w:spacing w:val="-3"/>
          <w:sz w:val="19"/>
        </w:rPr>
        <w:t> </w:t>
      </w:r>
      <w:r>
        <w:rPr>
          <w:color w:val="231F20"/>
          <w:sz w:val="19"/>
        </w:rPr>
        <w:t>200</w:t>
      </w:r>
      <w:r>
        <w:rPr>
          <w:color w:val="231F20"/>
          <w:spacing w:val="-23"/>
          <w:sz w:val="19"/>
        </w:rPr>
        <w:t> </w:t>
      </w:r>
      <w:r>
        <w:rPr>
          <w:color w:val="231F20"/>
          <w:sz w:val="19"/>
        </w:rPr>
        <w:t>–</w:t>
      </w:r>
      <w:r>
        <w:rPr>
          <w:color w:val="231F20"/>
          <w:spacing w:val="-23"/>
          <w:sz w:val="19"/>
        </w:rPr>
        <w:t> </w:t>
      </w:r>
      <w:r>
        <w:rPr>
          <w:color w:val="231F20"/>
          <w:spacing w:val="-5"/>
          <w:sz w:val="19"/>
        </w:rPr>
        <w:t>203</w:t>
      </w:r>
    </w:p>
    <w:p>
      <w:pPr>
        <w:spacing w:before="18"/>
        <w:ind w:left="319" w:right="0" w:firstLine="0"/>
        <w:jc w:val="left"/>
        <w:rPr>
          <w:sz w:val="19"/>
        </w:rPr>
      </w:pPr>
      <w:r>
        <w:rPr>
          <w:color w:val="231F20"/>
          <w:spacing w:val="-2"/>
          <w:sz w:val="19"/>
        </w:rPr>
        <w:t>buyer’s remorse,</w:t>
      </w:r>
      <w:r>
        <w:rPr>
          <w:color w:val="231F20"/>
          <w:sz w:val="19"/>
        </w:rPr>
        <w:t> </w:t>
      </w:r>
      <w:r>
        <w:rPr>
          <w:color w:val="231F20"/>
          <w:spacing w:val="-10"/>
          <w:sz w:val="19"/>
        </w:rPr>
        <w:t>8</w:t>
      </w:r>
    </w:p>
    <w:p>
      <w:pPr>
        <w:spacing w:before="17"/>
        <w:ind w:left="319" w:right="0" w:firstLine="0"/>
        <w:jc w:val="left"/>
        <w:rPr>
          <w:sz w:val="19"/>
        </w:rPr>
      </w:pPr>
      <w:r>
        <w:rPr>
          <w:color w:val="231F20"/>
          <w:sz w:val="19"/>
        </w:rPr>
        <w:t>buying</w:t>
      </w:r>
      <w:r>
        <w:rPr>
          <w:color w:val="231F20"/>
          <w:spacing w:val="1"/>
          <w:sz w:val="19"/>
        </w:rPr>
        <w:t> </w:t>
      </w:r>
      <w:r>
        <w:rPr>
          <w:color w:val="231F20"/>
          <w:sz w:val="19"/>
        </w:rPr>
        <w:t>process,</w:t>
      </w:r>
      <w:r>
        <w:rPr>
          <w:color w:val="231F20"/>
          <w:spacing w:val="5"/>
          <w:sz w:val="19"/>
        </w:rPr>
        <w:t> </w:t>
      </w:r>
      <w:r>
        <w:rPr>
          <w:color w:val="231F20"/>
          <w:sz w:val="19"/>
        </w:rPr>
        <w:t>6</w:t>
      </w:r>
      <w:r>
        <w:rPr>
          <w:color w:val="231F20"/>
          <w:spacing w:val="-23"/>
          <w:sz w:val="19"/>
        </w:rPr>
        <w:t> </w:t>
      </w:r>
      <w:r>
        <w:rPr>
          <w:color w:val="231F20"/>
          <w:sz w:val="19"/>
        </w:rPr>
        <w:t>–</w:t>
      </w:r>
      <w:r>
        <w:rPr>
          <w:color w:val="231F20"/>
          <w:spacing w:val="-23"/>
          <w:sz w:val="19"/>
        </w:rPr>
        <w:t> </w:t>
      </w:r>
      <w:r>
        <w:rPr>
          <w:color w:val="231F20"/>
          <w:spacing w:val="-10"/>
          <w:sz w:val="19"/>
        </w:rPr>
        <w:t>9</w:t>
      </w:r>
    </w:p>
    <w:p>
      <w:pPr>
        <w:pStyle w:val="BodyText"/>
        <w:spacing w:before="11"/>
      </w:pPr>
    </w:p>
    <w:p>
      <w:pPr>
        <w:spacing w:before="0"/>
        <w:ind w:left="319" w:right="0" w:firstLine="0"/>
        <w:jc w:val="left"/>
        <w:rPr>
          <w:sz w:val="19"/>
        </w:rPr>
      </w:pPr>
      <w:r>
        <w:rPr>
          <w:color w:val="231F20"/>
          <w:sz w:val="19"/>
        </w:rPr>
        <w:t>callable</w:t>
      </w:r>
      <w:r>
        <w:rPr>
          <w:color w:val="231F20"/>
          <w:spacing w:val="13"/>
          <w:sz w:val="19"/>
        </w:rPr>
        <w:t> </w:t>
      </w:r>
      <w:r>
        <w:rPr>
          <w:color w:val="231F20"/>
          <w:sz w:val="19"/>
        </w:rPr>
        <w:t>bonds,</w:t>
      </w:r>
      <w:r>
        <w:rPr>
          <w:color w:val="231F20"/>
          <w:spacing w:val="14"/>
          <w:sz w:val="19"/>
        </w:rPr>
        <w:t> </w:t>
      </w:r>
      <w:r>
        <w:rPr>
          <w:color w:val="231F20"/>
          <w:sz w:val="19"/>
        </w:rPr>
        <w:t>215</w:t>
      </w:r>
      <w:r>
        <w:rPr>
          <w:color w:val="231F20"/>
          <w:spacing w:val="-21"/>
          <w:sz w:val="19"/>
        </w:rPr>
        <w:t> </w:t>
      </w:r>
      <w:r>
        <w:rPr>
          <w:color w:val="231F20"/>
          <w:sz w:val="19"/>
        </w:rPr>
        <w:t>–</w:t>
      </w:r>
      <w:r>
        <w:rPr>
          <w:color w:val="231F20"/>
          <w:spacing w:val="-22"/>
          <w:sz w:val="19"/>
        </w:rPr>
        <w:t> </w:t>
      </w:r>
      <w:r>
        <w:rPr>
          <w:color w:val="231F20"/>
          <w:spacing w:val="-5"/>
          <w:sz w:val="19"/>
        </w:rPr>
        <w:t>16</w:t>
      </w:r>
    </w:p>
    <w:p>
      <w:pPr>
        <w:spacing w:before="17"/>
        <w:ind w:left="319" w:right="0" w:firstLine="0"/>
        <w:jc w:val="left"/>
        <w:rPr>
          <w:sz w:val="19"/>
        </w:rPr>
      </w:pPr>
      <w:r>
        <w:rPr>
          <w:color w:val="231F20"/>
          <w:sz w:val="19"/>
        </w:rPr>
        <w:t>calls,</w:t>
      </w:r>
      <w:r>
        <w:rPr>
          <w:color w:val="231F20"/>
          <w:spacing w:val="18"/>
          <w:sz w:val="19"/>
        </w:rPr>
        <w:t> </w:t>
      </w:r>
      <w:r>
        <w:rPr>
          <w:color w:val="231F20"/>
          <w:spacing w:val="-5"/>
          <w:sz w:val="19"/>
        </w:rPr>
        <w:t>222</w:t>
      </w:r>
    </w:p>
    <w:p>
      <w:pPr>
        <w:spacing w:before="17"/>
        <w:ind w:left="319" w:right="0" w:firstLine="0"/>
        <w:jc w:val="left"/>
        <w:rPr>
          <w:sz w:val="19"/>
        </w:rPr>
      </w:pPr>
      <w:r>
        <w:rPr>
          <w:color w:val="231F20"/>
          <w:sz w:val="19"/>
        </w:rPr>
        <w:t>capacity,</w:t>
      </w:r>
      <w:r>
        <w:rPr>
          <w:color w:val="231F20"/>
          <w:spacing w:val="13"/>
          <w:sz w:val="19"/>
        </w:rPr>
        <w:t> </w:t>
      </w:r>
      <w:r>
        <w:rPr>
          <w:color w:val="231F20"/>
          <w:sz w:val="19"/>
        </w:rPr>
        <w:t>259,</w:t>
      </w:r>
      <w:r>
        <w:rPr>
          <w:color w:val="231F20"/>
          <w:spacing w:val="14"/>
          <w:sz w:val="19"/>
        </w:rPr>
        <w:t> </w:t>
      </w:r>
      <w:r>
        <w:rPr>
          <w:color w:val="231F20"/>
          <w:sz w:val="19"/>
        </w:rPr>
        <w:t>260</w:t>
      </w:r>
      <w:r>
        <w:rPr>
          <w:color w:val="231F20"/>
          <w:spacing w:val="-22"/>
          <w:sz w:val="19"/>
        </w:rPr>
        <w:t> </w:t>
      </w:r>
      <w:r>
        <w:rPr>
          <w:color w:val="231F20"/>
          <w:sz w:val="19"/>
        </w:rPr>
        <w:t>–</w:t>
      </w:r>
      <w:r>
        <w:rPr>
          <w:color w:val="231F20"/>
          <w:spacing w:val="-22"/>
          <w:sz w:val="19"/>
        </w:rPr>
        <w:t> </w:t>
      </w:r>
      <w:r>
        <w:rPr>
          <w:color w:val="231F20"/>
          <w:spacing w:val="-5"/>
          <w:sz w:val="19"/>
        </w:rPr>
        <w:t>64</w:t>
      </w:r>
    </w:p>
    <w:p>
      <w:pPr>
        <w:spacing w:line="259" w:lineRule="auto" w:before="18"/>
        <w:ind w:left="559" w:right="305" w:hanging="240"/>
        <w:jc w:val="left"/>
        <w:rPr>
          <w:sz w:val="19"/>
        </w:rPr>
      </w:pPr>
      <w:r>
        <w:rPr>
          <w:color w:val="231F20"/>
          <w:sz w:val="19"/>
        </w:rPr>
        <w:t>capital asset pricing model </w:t>
      </w:r>
      <w:r>
        <w:rPr>
          <w:color w:val="231F20"/>
          <w:sz w:val="19"/>
        </w:rPr>
        <w:t>(CAPM), </w:t>
      </w:r>
      <w:r>
        <w:rPr>
          <w:color w:val="231F20"/>
          <w:spacing w:val="-2"/>
          <w:sz w:val="19"/>
        </w:rPr>
        <w:t>207–9</w:t>
      </w:r>
      <w:r>
        <w:rPr>
          <w:color w:val="231F20"/>
          <w:sz w:val="19"/>
        </w:rPr>
        <w:t> </w:t>
      </w:r>
    </w:p>
    <w:p>
      <w:pPr>
        <w:spacing w:line="222" w:lineRule="exact" w:before="0"/>
        <w:ind w:left="319" w:right="0" w:firstLine="0"/>
        <w:jc w:val="left"/>
        <w:rPr>
          <w:sz w:val="19"/>
        </w:rPr>
      </w:pPr>
      <w:r>
        <w:rPr>
          <w:color w:val="231F20"/>
          <w:sz w:val="19"/>
        </w:rPr>
        <w:t>capital</w:t>
      </w:r>
      <w:r>
        <w:rPr>
          <w:color w:val="231F20"/>
          <w:spacing w:val="13"/>
          <w:sz w:val="19"/>
        </w:rPr>
        <w:t> </w:t>
      </w:r>
      <w:r>
        <w:rPr>
          <w:color w:val="231F20"/>
          <w:sz w:val="19"/>
        </w:rPr>
        <w:t>budgeting,</w:t>
      </w:r>
      <w:r>
        <w:rPr>
          <w:color w:val="231F20"/>
          <w:spacing w:val="13"/>
          <w:sz w:val="19"/>
        </w:rPr>
        <w:t> </w:t>
      </w:r>
      <w:r>
        <w:rPr>
          <w:color w:val="231F20"/>
          <w:sz w:val="19"/>
        </w:rPr>
        <w:t>227</w:t>
      </w:r>
      <w:r>
        <w:rPr>
          <w:color w:val="231F20"/>
          <w:spacing w:val="-22"/>
          <w:sz w:val="19"/>
        </w:rPr>
        <w:t> </w:t>
      </w:r>
      <w:r>
        <w:rPr>
          <w:color w:val="231F20"/>
          <w:sz w:val="19"/>
        </w:rPr>
        <w:t>–</w:t>
      </w:r>
      <w:r>
        <w:rPr>
          <w:color w:val="231F20"/>
          <w:spacing w:val="-22"/>
          <w:sz w:val="19"/>
        </w:rPr>
        <w:t> </w:t>
      </w:r>
      <w:r>
        <w:rPr>
          <w:color w:val="231F20"/>
          <w:spacing w:val="-5"/>
          <w:sz w:val="19"/>
        </w:rPr>
        <w:t>31</w:t>
      </w:r>
    </w:p>
    <w:p>
      <w:pPr>
        <w:spacing w:line="259" w:lineRule="auto" w:before="17"/>
        <w:ind w:left="319" w:right="1873" w:firstLine="0"/>
        <w:jc w:val="both"/>
        <w:rPr>
          <w:sz w:val="19"/>
        </w:rPr>
      </w:pPr>
      <w:r>
        <w:rPr>
          <w:color w:val="231F20"/>
          <w:sz w:val="19"/>
        </w:rPr>
        <w:t>capital structure, 234 captive</w:t>
      </w:r>
      <w:r>
        <w:rPr>
          <w:color w:val="231F20"/>
          <w:spacing w:val="-7"/>
          <w:sz w:val="19"/>
        </w:rPr>
        <w:t> </w:t>
      </w:r>
      <w:r>
        <w:rPr>
          <w:color w:val="231F20"/>
          <w:sz w:val="19"/>
        </w:rPr>
        <w:t>sales</w:t>
      </w:r>
      <w:r>
        <w:rPr>
          <w:color w:val="231F20"/>
          <w:spacing w:val="-7"/>
          <w:sz w:val="19"/>
        </w:rPr>
        <w:t> </w:t>
      </w:r>
      <w:r>
        <w:rPr>
          <w:color w:val="231F20"/>
          <w:sz w:val="19"/>
        </w:rPr>
        <w:t>force,</w:t>
      </w:r>
      <w:r>
        <w:rPr>
          <w:color w:val="231F20"/>
          <w:spacing w:val="-7"/>
          <w:sz w:val="19"/>
        </w:rPr>
        <w:t> </w:t>
      </w:r>
      <w:r>
        <w:rPr>
          <w:color w:val="231F20"/>
          <w:sz w:val="19"/>
        </w:rPr>
        <w:t>37 cash basis, 75</w:t>
      </w:r>
      <w:r>
        <w:rPr>
          <w:color w:val="231F20"/>
          <w:spacing w:val="-10"/>
          <w:sz w:val="19"/>
        </w:rPr>
        <w:t> </w:t>
      </w:r>
      <w:r>
        <w:rPr>
          <w:color w:val="231F20"/>
          <w:sz w:val="19"/>
        </w:rPr>
        <w:t>–</w:t>
      </w:r>
      <w:r>
        <w:rPr>
          <w:color w:val="231F20"/>
          <w:spacing w:val="-10"/>
          <w:sz w:val="19"/>
        </w:rPr>
        <w:t> </w:t>
      </w:r>
      <w:r>
        <w:rPr>
          <w:color w:val="231F20"/>
          <w:sz w:val="19"/>
        </w:rPr>
        <w:t>76</w:t>
      </w:r>
    </w:p>
    <w:p>
      <w:pPr>
        <w:spacing w:line="221" w:lineRule="exact" w:before="0"/>
        <w:ind w:left="319" w:right="0" w:firstLine="0"/>
        <w:jc w:val="left"/>
        <w:rPr>
          <w:sz w:val="19"/>
        </w:rPr>
      </w:pPr>
      <w:r>
        <w:rPr>
          <w:color w:val="231F20"/>
          <w:sz w:val="19"/>
        </w:rPr>
        <w:t>cash</w:t>
      </w:r>
      <w:r>
        <w:rPr>
          <w:color w:val="231F20"/>
          <w:spacing w:val="6"/>
          <w:sz w:val="19"/>
        </w:rPr>
        <w:t> </w:t>
      </w:r>
      <w:r>
        <w:rPr>
          <w:color w:val="231F20"/>
          <w:sz w:val="19"/>
        </w:rPr>
        <w:t>flow</w:t>
      </w:r>
      <w:r>
        <w:rPr>
          <w:color w:val="231F20"/>
          <w:spacing w:val="8"/>
          <w:sz w:val="19"/>
        </w:rPr>
        <w:t> </w:t>
      </w:r>
      <w:r>
        <w:rPr>
          <w:color w:val="231F20"/>
          <w:sz w:val="19"/>
        </w:rPr>
        <w:t>analysis,</w:t>
      </w:r>
      <w:r>
        <w:rPr>
          <w:color w:val="231F20"/>
          <w:spacing w:val="8"/>
          <w:sz w:val="19"/>
        </w:rPr>
        <w:t> </w:t>
      </w:r>
      <w:r>
        <w:rPr>
          <w:color w:val="231F20"/>
          <w:sz w:val="19"/>
        </w:rPr>
        <w:t>166</w:t>
      </w:r>
      <w:r>
        <w:rPr>
          <w:color w:val="231F20"/>
          <w:spacing w:val="-23"/>
          <w:sz w:val="19"/>
        </w:rPr>
        <w:t> </w:t>
      </w:r>
      <w:r>
        <w:rPr>
          <w:color w:val="231F20"/>
          <w:sz w:val="19"/>
        </w:rPr>
        <w:t>–</w:t>
      </w:r>
      <w:r>
        <w:rPr>
          <w:color w:val="231F20"/>
          <w:spacing w:val="-23"/>
          <w:sz w:val="19"/>
        </w:rPr>
        <w:t> </w:t>
      </w:r>
      <w:r>
        <w:rPr>
          <w:color w:val="231F20"/>
          <w:spacing w:val="-5"/>
          <w:sz w:val="19"/>
        </w:rPr>
        <w:t>76</w:t>
      </w:r>
    </w:p>
    <w:p>
      <w:pPr>
        <w:spacing w:before="17"/>
        <w:ind w:left="319" w:right="0" w:firstLine="0"/>
        <w:jc w:val="left"/>
        <w:rPr>
          <w:sz w:val="19"/>
        </w:rPr>
      </w:pPr>
      <w:r>
        <w:rPr>
          <w:color w:val="231F20"/>
          <w:sz w:val="19"/>
        </w:rPr>
        <w:t>cash</w:t>
      </w:r>
      <w:r>
        <w:rPr>
          <w:color w:val="231F20"/>
          <w:spacing w:val="-2"/>
          <w:sz w:val="19"/>
        </w:rPr>
        <w:t> </w:t>
      </w:r>
      <w:r>
        <w:rPr>
          <w:color w:val="231F20"/>
          <w:sz w:val="19"/>
        </w:rPr>
        <w:t>flow</w:t>
      </w:r>
      <w:r>
        <w:rPr>
          <w:color w:val="231F20"/>
          <w:spacing w:val="4"/>
          <w:sz w:val="19"/>
        </w:rPr>
        <w:t> </w:t>
      </w:r>
      <w:r>
        <w:rPr>
          <w:color w:val="231F20"/>
          <w:sz w:val="19"/>
        </w:rPr>
        <w:t>statement,</w:t>
      </w:r>
      <w:r>
        <w:rPr>
          <w:color w:val="231F20"/>
          <w:spacing w:val="3"/>
          <w:sz w:val="19"/>
        </w:rPr>
        <w:t> </w:t>
      </w:r>
      <w:r>
        <w:rPr>
          <w:color w:val="231F20"/>
          <w:sz w:val="19"/>
        </w:rPr>
        <w:t>98</w:t>
      </w:r>
      <w:r>
        <w:rPr>
          <w:color w:val="231F20"/>
          <w:spacing w:val="-23"/>
          <w:sz w:val="19"/>
        </w:rPr>
        <w:t> </w:t>
      </w:r>
      <w:r>
        <w:rPr>
          <w:color w:val="231F20"/>
          <w:sz w:val="19"/>
        </w:rPr>
        <w:t>–</w:t>
      </w:r>
      <w:r>
        <w:rPr>
          <w:color w:val="231F20"/>
          <w:spacing w:val="-23"/>
          <w:sz w:val="19"/>
        </w:rPr>
        <w:t> </w:t>
      </w:r>
      <w:r>
        <w:rPr>
          <w:color w:val="231F20"/>
          <w:spacing w:val="-5"/>
          <w:sz w:val="19"/>
        </w:rPr>
        <w:t>100</w:t>
      </w:r>
    </w:p>
    <w:p>
      <w:pPr>
        <w:spacing w:before="17"/>
        <w:ind w:left="319" w:right="0" w:firstLine="0"/>
        <w:jc w:val="left"/>
        <w:rPr>
          <w:sz w:val="19"/>
        </w:rPr>
      </w:pPr>
      <w:r>
        <w:rPr>
          <w:color w:val="231F20"/>
          <w:sz w:val="19"/>
        </w:rPr>
        <w:t>causal</w:t>
      </w:r>
      <w:r>
        <w:rPr>
          <w:color w:val="231F20"/>
          <w:spacing w:val="10"/>
          <w:sz w:val="19"/>
        </w:rPr>
        <w:t> </w:t>
      </w:r>
      <w:r>
        <w:rPr>
          <w:color w:val="231F20"/>
          <w:sz w:val="19"/>
        </w:rPr>
        <w:t>chains,</w:t>
      </w:r>
      <w:r>
        <w:rPr>
          <w:color w:val="231F20"/>
          <w:spacing w:val="10"/>
          <w:sz w:val="19"/>
        </w:rPr>
        <w:t> </w:t>
      </w:r>
      <w:r>
        <w:rPr>
          <w:color w:val="231F20"/>
          <w:spacing w:val="-5"/>
          <w:sz w:val="19"/>
        </w:rPr>
        <w:t>122</w:t>
      </w:r>
    </w:p>
    <w:p>
      <w:pPr>
        <w:spacing w:line="259" w:lineRule="auto" w:before="18"/>
        <w:ind w:left="319" w:right="872" w:firstLine="0"/>
        <w:jc w:val="left"/>
        <w:rPr>
          <w:sz w:val="19"/>
        </w:rPr>
      </w:pPr>
      <w:r>
        <w:rPr>
          <w:color w:val="231F20"/>
          <w:sz w:val="19"/>
        </w:rPr>
        <w:t>Central Limit Theorem, 180 change</w:t>
      </w:r>
      <w:r>
        <w:rPr>
          <w:color w:val="231F20"/>
          <w:spacing w:val="-9"/>
          <w:sz w:val="19"/>
        </w:rPr>
        <w:t> </w:t>
      </w:r>
      <w:r>
        <w:rPr>
          <w:color w:val="231F20"/>
          <w:sz w:val="19"/>
        </w:rPr>
        <w:t>management,</w:t>
      </w:r>
      <w:r>
        <w:rPr>
          <w:color w:val="231F20"/>
          <w:spacing w:val="-7"/>
          <w:sz w:val="19"/>
        </w:rPr>
        <w:t> </w:t>
      </w:r>
      <w:r>
        <w:rPr>
          <w:color w:val="231F20"/>
          <w:sz w:val="19"/>
        </w:rPr>
        <w:t>154</w:t>
      </w:r>
      <w:r>
        <w:rPr>
          <w:color w:val="231F20"/>
          <w:spacing w:val="-23"/>
          <w:sz w:val="19"/>
        </w:rPr>
        <w:t> </w:t>
      </w:r>
      <w:r>
        <w:rPr>
          <w:color w:val="231F20"/>
          <w:sz w:val="19"/>
        </w:rPr>
        <w:t>–</w:t>
      </w:r>
      <w:r>
        <w:rPr>
          <w:color w:val="231F20"/>
          <w:spacing w:val="-23"/>
          <w:sz w:val="19"/>
        </w:rPr>
        <w:t> </w:t>
      </w:r>
      <w:r>
        <w:rPr>
          <w:color w:val="231F20"/>
          <w:sz w:val="19"/>
        </w:rPr>
        <w:t>57</w:t>
      </w:r>
    </w:p>
    <w:p>
      <w:pPr>
        <w:spacing w:line="222" w:lineRule="exact" w:before="0"/>
        <w:ind w:left="319" w:right="0" w:firstLine="0"/>
        <w:jc w:val="left"/>
        <w:rPr>
          <w:sz w:val="19"/>
        </w:rPr>
      </w:pPr>
      <w:r>
        <w:rPr>
          <w:color w:val="231F20"/>
          <w:w w:val="95"/>
          <w:sz w:val="19"/>
        </w:rPr>
        <w:t>channel</w:t>
      </w:r>
      <w:r>
        <w:rPr>
          <w:color w:val="231F20"/>
          <w:spacing w:val="35"/>
          <w:sz w:val="19"/>
        </w:rPr>
        <w:t> </w:t>
      </w:r>
      <w:r>
        <w:rPr>
          <w:color w:val="231F20"/>
          <w:w w:val="95"/>
          <w:sz w:val="19"/>
        </w:rPr>
        <w:t>intermediaries,</w:t>
      </w:r>
      <w:r>
        <w:rPr>
          <w:color w:val="231F20"/>
          <w:spacing w:val="35"/>
          <w:sz w:val="19"/>
        </w:rPr>
        <w:t> </w:t>
      </w:r>
      <w:r>
        <w:rPr>
          <w:color w:val="231F20"/>
          <w:spacing w:val="-5"/>
          <w:w w:val="95"/>
          <w:sz w:val="19"/>
        </w:rPr>
        <w:t>27</w:t>
      </w:r>
    </w:p>
    <w:p>
      <w:pPr>
        <w:spacing w:before="17"/>
        <w:ind w:left="319" w:right="0" w:firstLine="0"/>
        <w:jc w:val="left"/>
        <w:rPr>
          <w:sz w:val="19"/>
        </w:rPr>
      </w:pPr>
      <w:r>
        <w:rPr>
          <w:color w:val="231F20"/>
          <w:sz w:val="19"/>
        </w:rPr>
        <w:t>channels</w:t>
      </w:r>
      <w:r>
        <w:rPr>
          <w:color w:val="231F20"/>
          <w:spacing w:val="7"/>
          <w:sz w:val="19"/>
        </w:rPr>
        <w:t> </w:t>
      </w:r>
      <w:r>
        <w:rPr>
          <w:color w:val="231F20"/>
          <w:sz w:val="19"/>
        </w:rPr>
        <w:t>of</w:t>
      </w:r>
      <w:r>
        <w:rPr>
          <w:color w:val="231F20"/>
          <w:spacing w:val="9"/>
          <w:sz w:val="19"/>
        </w:rPr>
        <w:t> </w:t>
      </w:r>
      <w:r>
        <w:rPr>
          <w:color w:val="231F20"/>
          <w:sz w:val="19"/>
        </w:rPr>
        <w:t>distribution,</w:t>
      </w:r>
      <w:r>
        <w:rPr>
          <w:color w:val="231F20"/>
          <w:spacing w:val="9"/>
          <w:sz w:val="19"/>
        </w:rPr>
        <w:t> </w:t>
      </w:r>
      <w:r>
        <w:rPr>
          <w:color w:val="231F20"/>
          <w:sz w:val="19"/>
        </w:rPr>
        <w:t>27</w:t>
      </w:r>
      <w:r>
        <w:rPr>
          <w:color w:val="231F20"/>
          <w:spacing w:val="-23"/>
          <w:sz w:val="19"/>
        </w:rPr>
        <w:t> </w:t>
      </w:r>
      <w:r>
        <w:rPr>
          <w:color w:val="231F20"/>
          <w:sz w:val="19"/>
        </w:rPr>
        <w:t>–</w:t>
      </w:r>
      <w:r>
        <w:rPr>
          <w:color w:val="231F20"/>
          <w:spacing w:val="-23"/>
          <w:sz w:val="19"/>
        </w:rPr>
        <w:t> </w:t>
      </w:r>
      <w:r>
        <w:rPr>
          <w:color w:val="231F20"/>
          <w:spacing w:val="-5"/>
          <w:sz w:val="19"/>
        </w:rPr>
        <w:t>32</w:t>
      </w:r>
    </w:p>
    <w:p>
      <w:pPr>
        <w:spacing w:before="17"/>
        <w:ind w:left="319" w:right="0" w:firstLine="0"/>
        <w:jc w:val="left"/>
        <w:rPr>
          <w:sz w:val="19"/>
        </w:rPr>
      </w:pPr>
      <w:r>
        <w:rPr>
          <w:color w:val="231F20"/>
          <w:sz w:val="19"/>
        </w:rPr>
        <w:t>chartists,</w:t>
      </w:r>
      <w:r>
        <w:rPr>
          <w:color w:val="231F20"/>
          <w:spacing w:val="2"/>
          <w:sz w:val="19"/>
        </w:rPr>
        <w:t> </w:t>
      </w:r>
      <w:r>
        <w:rPr>
          <w:color w:val="231F20"/>
          <w:spacing w:val="-5"/>
          <w:sz w:val="19"/>
        </w:rPr>
        <w:t>210</w:t>
      </w:r>
    </w:p>
    <w:p>
      <w:pPr>
        <w:spacing w:before="17"/>
        <w:ind w:left="319" w:right="0" w:firstLine="0"/>
        <w:jc w:val="left"/>
        <w:rPr>
          <w:sz w:val="19"/>
        </w:rPr>
      </w:pPr>
      <w:r>
        <w:rPr>
          <w:color w:val="231F20"/>
          <w:sz w:val="19"/>
        </w:rPr>
        <w:t>comparative</w:t>
      </w:r>
      <w:r>
        <w:rPr>
          <w:color w:val="231F20"/>
          <w:spacing w:val="9"/>
          <w:sz w:val="19"/>
        </w:rPr>
        <w:t> </w:t>
      </w:r>
      <w:r>
        <w:rPr>
          <w:color w:val="231F20"/>
          <w:sz w:val="19"/>
        </w:rPr>
        <w:t>advantage,</w:t>
      </w:r>
      <w:r>
        <w:rPr>
          <w:color w:val="231F20"/>
          <w:spacing w:val="9"/>
          <w:sz w:val="19"/>
        </w:rPr>
        <w:t> </w:t>
      </w:r>
      <w:r>
        <w:rPr>
          <w:color w:val="231F20"/>
          <w:spacing w:val="-5"/>
          <w:sz w:val="19"/>
        </w:rPr>
        <w:t>313</w:t>
      </w:r>
    </w:p>
    <w:p>
      <w:pPr>
        <w:spacing w:before="18"/>
        <w:ind w:left="319" w:right="0" w:firstLine="0"/>
        <w:jc w:val="left"/>
        <w:rPr>
          <w:sz w:val="19"/>
        </w:rPr>
      </w:pPr>
      <w:r>
        <w:rPr>
          <w:color w:val="231F20"/>
          <w:sz w:val="19"/>
        </w:rPr>
        <w:t>competitive</w:t>
      </w:r>
      <w:r>
        <w:rPr>
          <w:color w:val="231F20"/>
          <w:spacing w:val="6"/>
          <w:sz w:val="19"/>
        </w:rPr>
        <w:t> </w:t>
      </w:r>
      <w:r>
        <w:rPr>
          <w:color w:val="231F20"/>
          <w:sz w:val="19"/>
        </w:rPr>
        <w:t>analysis,</w:t>
      </w:r>
      <w:r>
        <w:rPr>
          <w:color w:val="231F20"/>
          <w:spacing w:val="9"/>
          <w:sz w:val="19"/>
        </w:rPr>
        <w:t> </w:t>
      </w:r>
      <w:r>
        <w:rPr>
          <w:color w:val="231F20"/>
          <w:sz w:val="19"/>
        </w:rPr>
        <w:t>24</w:t>
      </w:r>
      <w:r>
        <w:rPr>
          <w:color w:val="231F20"/>
          <w:spacing w:val="-23"/>
          <w:sz w:val="19"/>
        </w:rPr>
        <w:t> </w:t>
      </w:r>
      <w:r>
        <w:rPr>
          <w:color w:val="231F20"/>
          <w:sz w:val="19"/>
        </w:rPr>
        <w:t>–</w:t>
      </w:r>
      <w:r>
        <w:rPr>
          <w:color w:val="231F20"/>
          <w:spacing w:val="-23"/>
          <w:sz w:val="19"/>
        </w:rPr>
        <w:t> </w:t>
      </w:r>
      <w:r>
        <w:rPr>
          <w:color w:val="231F20"/>
          <w:sz w:val="19"/>
        </w:rPr>
        <w:t>25,</w:t>
      </w:r>
      <w:r>
        <w:rPr>
          <w:color w:val="231F20"/>
          <w:spacing w:val="8"/>
          <w:sz w:val="19"/>
        </w:rPr>
        <w:t> </w:t>
      </w:r>
      <w:r>
        <w:rPr>
          <w:color w:val="231F20"/>
          <w:spacing w:val="-4"/>
          <w:sz w:val="19"/>
        </w:rPr>
        <w:t>337,</w:t>
      </w:r>
    </w:p>
    <w:p>
      <w:pPr>
        <w:spacing w:before="17"/>
        <w:ind w:left="559" w:right="0" w:firstLine="0"/>
        <w:jc w:val="left"/>
        <w:rPr>
          <w:sz w:val="19"/>
        </w:rPr>
      </w:pPr>
      <w:r>
        <w:rPr>
          <w:color w:val="231F20"/>
          <w:spacing w:val="-5"/>
          <w:sz w:val="19"/>
        </w:rPr>
        <w:t>361</w:t>
      </w:r>
    </w:p>
    <w:p>
      <w:pPr>
        <w:spacing w:before="17"/>
        <w:ind w:left="319" w:right="0" w:firstLine="0"/>
        <w:jc w:val="left"/>
        <w:rPr>
          <w:sz w:val="19"/>
        </w:rPr>
      </w:pPr>
      <w:r>
        <w:rPr>
          <w:color w:val="231F20"/>
          <w:sz w:val="19"/>
        </w:rPr>
        <w:t>conservatism,</w:t>
      </w:r>
      <w:r>
        <w:rPr>
          <w:color w:val="231F20"/>
          <w:spacing w:val="-2"/>
          <w:sz w:val="19"/>
        </w:rPr>
        <w:t> </w:t>
      </w:r>
      <w:r>
        <w:rPr>
          <w:color w:val="231F20"/>
          <w:sz w:val="19"/>
        </w:rPr>
        <w:t>77</w:t>
      </w:r>
      <w:r>
        <w:rPr>
          <w:color w:val="231F20"/>
          <w:spacing w:val="-23"/>
          <w:sz w:val="19"/>
        </w:rPr>
        <w:t> </w:t>
      </w:r>
      <w:r>
        <w:rPr>
          <w:color w:val="231F20"/>
          <w:sz w:val="19"/>
        </w:rPr>
        <w:t>–</w:t>
      </w:r>
      <w:r>
        <w:rPr>
          <w:color w:val="231F20"/>
          <w:spacing w:val="-23"/>
          <w:sz w:val="19"/>
        </w:rPr>
        <w:t> </w:t>
      </w:r>
      <w:r>
        <w:rPr>
          <w:color w:val="231F20"/>
          <w:spacing w:val="-5"/>
          <w:sz w:val="19"/>
        </w:rPr>
        <w:t>78</w:t>
      </w:r>
    </w:p>
    <w:p>
      <w:pPr>
        <w:spacing w:before="17"/>
        <w:ind w:left="319" w:right="0" w:firstLine="0"/>
        <w:jc w:val="left"/>
        <w:rPr>
          <w:sz w:val="19"/>
        </w:rPr>
      </w:pPr>
      <w:r>
        <w:rPr>
          <w:color w:val="231F20"/>
          <w:spacing w:val="-2"/>
          <w:sz w:val="19"/>
        </w:rPr>
        <w:t>consistency,</w:t>
      </w:r>
      <w:r>
        <w:rPr>
          <w:color w:val="231F20"/>
          <w:spacing w:val="7"/>
          <w:sz w:val="19"/>
        </w:rPr>
        <w:t> </w:t>
      </w:r>
      <w:r>
        <w:rPr>
          <w:color w:val="231F20"/>
          <w:spacing w:val="-2"/>
          <w:sz w:val="19"/>
        </w:rPr>
        <w:t>79</w:t>
      </w:r>
      <w:r>
        <w:rPr>
          <w:color w:val="231F20"/>
          <w:spacing w:val="-23"/>
          <w:sz w:val="19"/>
        </w:rPr>
        <w:t> </w:t>
      </w:r>
      <w:r>
        <w:rPr>
          <w:color w:val="231F20"/>
          <w:spacing w:val="-2"/>
          <w:sz w:val="19"/>
        </w:rPr>
        <w:t>–</w:t>
      </w:r>
      <w:r>
        <w:rPr>
          <w:color w:val="231F20"/>
          <w:spacing w:val="-23"/>
          <w:sz w:val="19"/>
        </w:rPr>
        <w:t> </w:t>
      </w:r>
      <w:r>
        <w:rPr>
          <w:color w:val="231F20"/>
          <w:spacing w:val="-5"/>
          <w:sz w:val="19"/>
        </w:rPr>
        <w:t>80</w:t>
      </w:r>
    </w:p>
    <w:p>
      <w:pPr>
        <w:spacing w:line="259" w:lineRule="auto" w:before="18"/>
        <w:ind w:left="319" w:right="824" w:firstLine="0"/>
        <w:jc w:val="left"/>
        <w:rPr>
          <w:sz w:val="19"/>
        </w:rPr>
      </w:pPr>
      <w:r>
        <w:rPr>
          <w:color w:val="231F20"/>
          <w:sz w:val="19"/>
        </w:rPr>
        <w:t>consumer analysis, 4</w:t>
      </w:r>
      <w:r>
        <w:rPr>
          <w:color w:val="231F20"/>
          <w:spacing w:val="-10"/>
          <w:sz w:val="19"/>
        </w:rPr>
        <w:t> </w:t>
      </w:r>
      <w:r>
        <w:rPr>
          <w:color w:val="231F20"/>
          <w:sz w:val="19"/>
        </w:rPr>
        <w:t>–</w:t>
      </w:r>
      <w:r>
        <w:rPr>
          <w:color w:val="231F20"/>
          <w:spacing w:val="-10"/>
          <w:sz w:val="19"/>
        </w:rPr>
        <w:t> </w:t>
      </w:r>
      <w:r>
        <w:rPr>
          <w:color w:val="231F20"/>
          <w:sz w:val="19"/>
        </w:rPr>
        <w:t>16 consumer price index (CPI), </w:t>
      </w:r>
      <w:r>
        <w:rPr>
          <w:color w:val="231F20"/>
          <w:sz w:val="19"/>
        </w:rPr>
        <w:t>301</w:t>
      </w:r>
    </w:p>
    <w:p>
      <w:pPr>
        <w:spacing w:after="0" w:line="259" w:lineRule="auto"/>
        <w:jc w:val="left"/>
        <w:rPr>
          <w:sz w:val="19"/>
        </w:rPr>
        <w:sectPr>
          <w:type w:val="continuous"/>
          <w:pgSz w:w="8640" w:h="12960"/>
          <w:pgMar w:header="0" w:footer="0" w:top="1220" w:bottom="280" w:left="740" w:right="480"/>
          <w:cols w:num="2" w:equalWidth="0">
            <w:col w:w="3391" w:space="40"/>
            <w:col w:w="3989"/>
          </w:cols>
        </w:sectPr>
      </w:pPr>
    </w:p>
    <w:p>
      <w:pPr>
        <w:pStyle w:val="BodyText"/>
        <w:spacing w:before="2"/>
        <w:rPr>
          <w:sz w:val="18"/>
        </w:rPr>
      </w:pPr>
    </w:p>
    <w:p>
      <w:pPr>
        <w:spacing w:after="0"/>
        <w:rPr>
          <w:sz w:val="18"/>
        </w:rPr>
        <w:sectPr>
          <w:headerReference w:type="even" r:id="rId163"/>
          <w:headerReference w:type="default" r:id="rId164"/>
          <w:pgSz w:w="8640" w:h="12960"/>
          <w:pgMar w:header="732" w:footer="0" w:top="920" w:bottom="280" w:left="740" w:right="480"/>
          <w:pgNumType w:start="412"/>
        </w:sectPr>
      </w:pPr>
    </w:p>
    <w:p>
      <w:pPr>
        <w:spacing w:line="259" w:lineRule="auto" w:before="99"/>
        <w:ind w:left="430" w:right="0" w:firstLine="0"/>
        <w:jc w:val="left"/>
        <w:rPr>
          <w:sz w:val="19"/>
        </w:rPr>
      </w:pPr>
      <w:r>
        <w:rPr>
          <w:color w:val="231F20"/>
          <w:sz w:val="19"/>
        </w:rPr>
        <w:t>contingency approach, 259 continuous</w:t>
      </w:r>
      <w:r>
        <w:rPr>
          <w:color w:val="231F20"/>
          <w:spacing w:val="-9"/>
          <w:sz w:val="19"/>
        </w:rPr>
        <w:t> </w:t>
      </w:r>
      <w:r>
        <w:rPr>
          <w:color w:val="231F20"/>
          <w:sz w:val="19"/>
        </w:rPr>
        <w:t>quality</w:t>
      </w:r>
      <w:r>
        <w:rPr>
          <w:color w:val="231F20"/>
          <w:spacing w:val="-8"/>
          <w:sz w:val="19"/>
        </w:rPr>
        <w:t> </w:t>
      </w:r>
      <w:r>
        <w:rPr>
          <w:color w:val="231F20"/>
          <w:sz w:val="19"/>
        </w:rPr>
        <w:t>improvement</w:t>
      </w:r>
    </w:p>
    <w:p>
      <w:pPr>
        <w:spacing w:line="222" w:lineRule="exact" w:before="0"/>
        <w:ind w:left="670" w:right="0" w:firstLine="0"/>
        <w:jc w:val="left"/>
        <w:rPr>
          <w:sz w:val="19"/>
        </w:rPr>
      </w:pPr>
      <w:r>
        <w:rPr>
          <w:color w:val="231F20"/>
          <w:w w:val="110"/>
          <w:sz w:val="19"/>
        </w:rPr>
        <w:t>(CQI),</w:t>
      </w:r>
      <w:r>
        <w:rPr>
          <w:color w:val="231F20"/>
          <w:spacing w:val="15"/>
          <w:w w:val="110"/>
          <w:sz w:val="19"/>
        </w:rPr>
        <w:t> </w:t>
      </w:r>
      <w:r>
        <w:rPr>
          <w:color w:val="231F20"/>
          <w:spacing w:val="-5"/>
          <w:w w:val="110"/>
          <w:sz w:val="19"/>
        </w:rPr>
        <w:t>259</w:t>
      </w:r>
    </w:p>
    <w:p>
      <w:pPr>
        <w:spacing w:before="18"/>
        <w:ind w:left="430" w:right="0" w:firstLine="0"/>
        <w:jc w:val="left"/>
        <w:rPr>
          <w:sz w:val="19"/>
        </w:rPr>
      </w:pPr>
      <w:r>
        <w:rPr>
          <w:color w:val="231F20"/>
          <w:sz w:val="19"/>
        </w:rPr>
        <w:t>convertible</w:t>
      </w:r>
      <w:r>
        <w:rPr>
          <w:color w:val="231F20"/>
          <w:spacing w:val="6"/>
          <w:sz w:val="19"/>
        </w:rPr>
        <w:t> </w:t>
      </w:r>
      <w:r>
        <w:rPr>
          <w:color w:val="231F20"/>
          <w:sz w:val="19"/>
        </w:rPr>
        <w:t>bonds,</w:t>
      </w:r>
      <w:r>
        <w:rPr>
          <w:color w:val="231F20"/>
          <w:spacing w:val="6"/>
          <w:sz w:val="19"/>
        </w:rPr>
        <w:t> </w:t>
      </w:r>
      <w:r>
        <w:rPr>
          <w:color w:val="231F20"/>
          <w:spacing w:val="-5"/>
          <w:sz w:val="19"/>
        </w:rPr>
        <w:t>215</w:t>
      </w:r>
    </w:p>
    <w:p>
      <w:pPr>
        <w:spacing w:before="17"/>
        <w:ind w:left="430" w:right="0" w:firstLine="0"/>
        <w:jc w:val="left"/>
        <w:rPr>
          <w:sz w:val="19"/>
        </w:rPr>
      </w:pPr>
      <w:r>
        <w:rPr>
          <w:color w:val="231F20"/>
          <w:sz w:val="19"/>
        </w:rPr>
        <w:t>cooperative</w:t>
      </w:r>
      <w:r>
        <w:rPr>
          <w:color w:val="231F20"/>
          <w:spacing w:val="-5"/>
          <w:sz w:val="19"/>
        </w:rPr>
        <w:t> </w:t>
      </w:r>
      <w:r>
        <w:rPr>
          <w:color w:val="231F20"/>
          <w:sz w:val="19"/>
        </w:rPr>
        <w:t>advertising,</w:t>
      </w:r>
      <w:r>
        <w:rPr>
          <w:color w:val="231F20"/>
          <w:spacing w:val="-4"/>
          <w:sz w:val="19"/>
        </w:rPr>
        <w:t> </w:t>
      </w:r>
      <w:r>
        <w:rPr>
          <w:color w:val="231F20"/>
          <w:spacing w:val="-5"/>
          <w:sz w:val="19"/>
        </w:rPr>
        <w:t>36</w:t>
      </w:r>
    </w:p>
    <w:p>
      <w:pPr>
        <w:spacing w:before="17"/>
        <w:ind w:left="430" w:right="0" w:firstLine="0"/>
        <w:jc w:val="left"/>
        <w:rPr>
          <w:sz w:val="19"/>
        </w:rPr>
      </w:pPr>
      <w:r>
        <w:rPr>
          <w:color w:val="231F20"/>
          <w:sz w:val="19"/>
        </w:rPr>
        <w:t>core</w:t>
      </w:r>
      <w:r>
        <w:rPr>
          <w:color w:val="231F20"/>
          <w:spacing w:val="2"/>
          <w:sz w:val="19"/>
        </w:rPr>
        <w:t> </w:t>
      </w:r>
      <w:r>
        <w:rPr>
          <w:color w:val="231F20"/>
          <w:sz w:val="19"/>
        </w:rPr>
        <w:t>competencies,</w:t>
      </w:r>
      <w:r>
        <w:rPr>
          <w:color w:val="231F20"/>
          <w:spacing w:val="3"/>
          <w:sz w:val="19"/>
        </w:rPr>
        <w:t> </w:t>
      </w:r>
      <w:r>
        <w:rPr>
          <w:color w:val="231F20"/>
          <w:sz w:val="19"/>
        </w:rPr>
        <w:t>21,</w:t>
      </w:r>
      <w:r>
        <w:rPr>
          <w:color w:val="231F20"/>
          <w:spacing w:val="3"/>
          <w:sz w:val="19"/>
        </w:rPr>
        <w:t> </w:t>
      </w:r>
      <w:r>
        <w:rPr>
          <w:color w:val="231F20"/>
          <w:spacing w:val="-5"/>
          <w:sz w:val="19"/>
        </w:rPr>
        <w:t>355</w:t>
      </w:r>
    </w:p>
    <w:p>
      <w:pPr>
        <w:spacing w:before="17"/>
        <w:ind w:left="430" w:right="0" w:firstLine="0"/>
        <w:jc w:val="left"/>
        <w:rPr>
          <w:sz w:val="19"/>
        </w:rPr>
      </w:pPr>
      <w:r>
        <w:rPr>
          <w:color w:val="231F20"/>
          <w:spacing w:val="-2"/>
          <w:sz w:val="19"/>
        </w:rPr>
        <w:t>corporate</w:t>
      </w:r>
      <w:r>
        <w:rPr>
          <w:color w:val="231F20"/>
          <w:spacing w:val="8"/>
          <w:sz w:val="19"/>
        </w:rPr>
        <w:t> </w:t>
      </w:r>
      <w:r>
        <w:rPr>
          <w:color w:val="231F20"/>
          <w:spacing w:val="-2"/>
          <w:sz w:val="19"/>
        </w:rPr>
        <w:t>strategy,</w:t>
      </w:r>
      <w:r>
        <w:rPr>
          <w:color w:val="231F20"/>
          <w:spacing w:val="9"/>
          <w:sz w:val="19"/>
        </w:rPr>
        <w:t> </w:t>
      </w:r>
      <w:r>
        <w:rPr>
          <w:color w:val="231F20"/>
          <w:spacing w:val="-5"/>
          <w:sz w:val="19"/>
        </w:rPr>
        <w:t>335</w:t>
      </w:r>
    </w:p>
    <w:p>
      <w:pPr>
        <w:spacing w:before="18"/>
        <w:ind w:left="430" w:right="0" w:firstLine="0"/>
        <w:jc w:val="left"/>
        <w:rPr>
          <w:sz w:val="19"/>
        </w:rPr>
      </w:pPr>
      <w:r>
        <w:rPr>
          <w:color w:val="231F20"/>
          <w:sz w:val="19"/>
        </w:rPr>
        <w:t>corporations,</w:t>
      </w:r>
      <w:r>
        <w:rPr>
          <w:color w:val="231F20"/>
          <w:spacing w:val="16"/>
          <w:sz w:val="19"/>
        </w:rPr>
        <w:t> </w:t>
      </w:r>
      <w:r>
        <w:rPr>
          <w:color w:val="231F20"/>
          <w:sz w:val="19"/>
        </w:rPr>
        <w:t>201</w:t>
      </w:r>
      <w:r>
        <w:rPr>
          <w:color w:val="231F20"/>
          <w:spacing w:val="-21"/>
          <w:sz w:val="19"/>
        </w:rPr>
        <w:t> </w:t>
      </w:r>
      <w:r>
        <w:rPr>
          <w:color w:val="231F20"/>
          <w:sz w:val="19"/>
        </w:rPr>
        <w:t>–</w:t>
      </w:r>
      <w:r>
        <w:rPr>
          <w:color w:val="231F20"/>
          <w:spacing w:val="-21"/>
          <w:sz w:val="19"/>
        </w:rPr>
        <w:t> </w:t>
      </w:r>
      <w:r>
        <w:rPr>
          <w:color w:val="231F20"/>
          <w:spacing w:val="-10"/>
          <w:sz w:val="19"/>
        </w:rPr>
        <w:t>3</w:t>
      </w:r>
    </w:p>
    <w:p>
      <w:pPr>
        <w:spacing w:before="17"/>
        <w:ind w:left="430" w:right="0" w:firstLine="0"/>
        <w:jc w:val="left"/>
        <w:rPr>
          <w:sz w:val="19"/>
        </w:rPr>
      </w:pPr>
      <w:r>
        <w:rPr>
          <w:color w:val="231F20"/>
          <w:sz w:val="19"/>
        </w:rPr>
        <w:t>cost</w:t>
      </w:r>
      <w:r>
        <w:rPr>
          <w:color w:val="231F20"/>
          <w:spacing w:val="14"/>
          <w:sz w:val="19"/>
        </w:rPr>
        <w:t> </w:t>
      </w:r>
      <w:r>
        <w:rPr>
          <w:color w:val="231F20"/>
          <w:sz w:val="19"/>
        </w:rPr>
        <w:t>accounting,</w:t>
      </w:r>
      <w:r>
        <w:rPr>
          <w:color w:val="231F20"/>
          <w:spacing w:val="14"/>
          <w:sz w:val="19"/>
        </w:rPr>
        <w:t> </w:t>
      </w:r>
      <w:r>
        <w:rPr>
          <w:color w:val="231F20"/>
          <w:sz w:val="19"/>
        </w:rPr>
        <w:t>114</w:t>
      </w:r>
      <w:r>
        <w:rPr>
          <w:color w:val="231F20"/>
          <w:spacing w:val="-21"/>
          <w:sz w:val="19"/>
        </w:rPr>
        <w:t> </w:t>
      </w:r>
      <w:r>
        <w:rPr>
          <w:color w:val="231F20"/>
          <w:sz w:val="19"/>
        </w:rPr>
        <w:t>–</w:t>
      </w:r>
      <w:r>
        <w:rPr>
          <w:color w:val="231F20"/>
          <w:spacing w:val="-22"/>
          <w:sz w:val="19"/>
        </w:rPr>
        <w:t> </w:t>
      </w:r>
      <w:r>
        <w:rPr>
          <w:color w:val="231F20"/>
          <w:spacing w:val="-5"/>
          <w:sz w:val="19"/>
        </w:rPr>
        <w:t>15</w:t>
      </w:r>
    </w:p>
    <w:p>
      <w:pPr>
        <w:spacing w:line="259" w:lineRule="auto" w:before="17"/>
        <w:ind w:left="670" w:right="342" w:hanging="240"/>
        <w:jc w:val="left"/>
        <w:rPr>
          <w:sz w:val="19"/>
        </w:rPr>
      </w:pPr>
      <w:r>
        <w:rPr>
          <w:color w:val="231F20"/>
          <w:sz w:val="19"/>
        </w:rPr>
        <w:t>cost of goods sold (COGS), </w:t>
      </w:r>
      <w:r>
        <w:rPr>
          <w:color w:val="231F20"/>
          <w:sz w:val="19"/>
        </w:rPr>
        <w:t>76, 90</w:t>
      </w:r>
      <w:r>
        <w:rPr>
          <w:color w:val="231F20"/>
          <w:spacing w:val="-23"/>
          <w:sz w:val="19"/>
        </w:rPr>
        <w:t> </w:t>
      </w:r>
      <w:r>
        <w:rPr>
          <w:color w:val="231F20"/>
          <w:sz w:val="19"/>
        </w:rPr>
        <w:t>–</w:t>
      </w:r>
      <w:r>
        <w:rPr>
          <w:color w:val="231F20"/>
          <w:spacing w:val="-23"/>
          <w:sz w:val="19"/>
        </w:rPr>
        <w:t> </w:t>
      </w:r>
      <w:r>
        <w:rPr>
          <w:color w:val="231F20"/>
          <w:sz w:val="19"/>
        </w:rPr>
        <w:t>91</w:t>
      </w:r>
    </w:p>
    <w:p>
      <w:pPr>
        <w:spacing w:line="259" w:lineRule="auto" w:before="0"/>
        <w:ind w:left="430" w:right="0" w:firstLine="0"/>
        <w:jc w:val="left"/>
        <w:rPr>
          <w:sz w:val="19"/>
        </w:rPr>
      </w:pPr>
      <w:r>
        <w:rPr>
          <w:color w:val="231F20"/>
          <w:sz w:val="19"/>
        </w:rPr>
        <w:t>cost per thousand (CPM), </w:t>
      </w:r>
      <w:r>
        <w:rPr>
          <w:color w:val="231F20"/>
          <w:sz w:val="19"/>
        </w:rPr>
        <w:t>40 country analysis, 318</w:t>
      </w:r>
      <w:r>
        <w:rPr>
          <w:color w:val="231F20"/>
          <w:spacing w:val="-10"/>
          <w:sz w:val="19"/>
        </w:rPr>
        <w:t> </w:t>
      </w:r>
      <w:r>
        <w:rPr>
          <w:color w:val="231F20"/>
          <w:sz w:val="19"/>
        </w:rPr>
        <w:t>–</w:t>
      </w:r>
      <w:r>
        <w:rPr>
          <w:color w:val="231F20"/>
          <w:spacing w:val="-10"/>
          <w:sz w:val="19"/>
        </w:rPr>
        <w:t> </w:t>
      </w:r>
      <w:r>
        <w:rPr>
          <w:color w:val="231F20"/>
          <w:sz w:val="19"/>
        </w:rPr>
        <w:t>21</w:t>
      </w:r>
    </w:p>
    <w:p>
      <w:pPr>
        <w:spacing w:line="222" w:lineRule="exact" w:before="0"/>
        <w:ind w:left="430" w:right="0" w:firstLine="0"/>
        <w:jc w:val="left"/>
        <w:rPr>
          <w:sz w:val="19"/>
        </w:rPr>
      </w:pPr>
      <w:r>
        <w:rPr>
          <w:color w:val="231F20"/>
          <w:sz w:val="19"/>
        </w:rPr>
        <w:t>couponing,</w:t>
      </w:r>
      <w:r>
        <w:rPr>
          <w:color w:val="231F20"/>
          <w:spacing w:val="27"/>
          <w:sz w:val="19"/>
        </w:rPr>
        <w:t> </w:t>
      </w:r>
      <w:r>
        <w:rPr>
          <w:color w:val="231F20"/>
          <w:spacing w:val="-5"/>
          <w:sz w:val="19"/>
        </w:rPr>
        <w:t>42</w:t>
      </w:r>
    </w:p>
    <w:p>
      <w:pPr>
        <w:spacing w:before="16"/>
        <w:ind w:left="430" w:right="0" w:firstLine="0"/>
        <w:jc w:val="left"/>
        <w:rPr>
          <w:sz w:val="19"/>
        </w:rPr>
      </w:pPr>
      <w:r>
        <w:rPr>
          <w:color w:val="231F20"/>
          <w:spacing w:val="-2"/>
          <w:sz w:val="19"/>
        </w:rPr>
        <w:t>creativity,</w:t>
      </w:r>
      <w:r>
        <w:rPr>
          <w:color w:val="231F20"/>
          <w:spacing w:val="15"/>
          <w:sz w:val="19"/>
        </w:rPr>
        <w:t> </w:t>
      </w:r>
      <w:r>
        <w:rPr>
          <w:color w:val="231F20"/>
          <w:spacing w:val="-2"/>
          <w:sz w:val="19"/>
        </w:rPr>
        <w:t>131</w:t>
      </w:r>
      <w:r>
        <w:rPr>
          <w:color w:val="231F20"/>
          <w:spacing w:val="-20"/>
          <w:sz w:val="19"/>
        </w:rPr>
        <w:t> </w:t>
      </w:r>
      <w:r>
        <w:rPr>
          <w:color w:val="231F20"/>
          <w:spacing w:val="-2"/>
          <w:sz w:val="19"/>
        </w:rPr>
        <w:t>–</w:t>
      </w:r>
      <w:r>
        <w:rPr>
          <w:color w:val="231F20"/>
          <w:spacing w:val="-21"/>
          <w:sz w:val="19"/>
        </w:rPr>
        <w:t> </w:t>
      </w:r>
      <w:r>
        <w:rPr>
          <w:color w:val="231F20"/>
          <w:spacing w:val="-5"/>
          <w:sz w:val="19"/>
        </w:rPr>
        <w:t>32</w:t>
      </w:r>
    </w:p>
    <w:p>
      <w:pPr>
        <w:spacing w:line="259" w:lineRule="auto" w:before="18"/>
        <w:ind w:left="670" w:right="342" w:hanging="240"/>
        <w:jc w:val="left"/>
        <w:rPr>
          <w:sz w:val="19"/>
        </w:rPr>
      </w:pPr>
      <w:r>
        <w:rPr>
          <w:color w:val="231F20"/>
          <w:sz w:val="19"/>
        </w:rPr>
        <w:t>critical path method </w:t>
      </w:r>
      <w:r>
        <w:rPr>
          <w:color w:val="231F20"/>
          <w:sz w:val="19"/>
        </w:rPr>
        <w:t>(CPM), 264</w:t>
      </w:r>
      <w:r>
        <w:rPr>
          <w:color w:val="231F20"/>
          <w:spacing w:val="-23"/>
          <w:sz w:val="19"/>
        </w:rPr>
        <w:t> </w:t>
      </w:r>
      <w:r>
        <w:rPr>
          <w:color w:val="231F20"/>
          <w:sz w:val="19"/>
        </w:rPr>
        <w:t>–</w:t>
      </w:r>
      <w:r>
        <w:rPr>
          <w:color w:val="231F20"/>
          <w:spacing w:val="-23"/>
          <w:sz w:val="19"/>
        </w:rPr>
        <w:t> </w:t>
      </w:r>
      <w:r>
        <w:rPr>
          <w:color w:val="231F20"/>
          <w:sz w:val="19"/>
        </w:rPr>
        <w:t>67</w:t>
      </w:r>
    </w:p>
    <w:p>
      <w:pPr>
        <w:spacing w:line="222" w:lineRule="exact" w:before="0"/>
        <w:ind w:left="430" w:right="0" w:firstLine="0"/>
        <w:jc w:val="left"/>
        <w:rPr>
          <w:sz w:val="19"/>
        </w:rPr>
      </w:pPr>
      <w:r>
        <w:rPr>
          <w:color w:val="231F20"/>
          <w:w w:val="105"/>
          <w:sz w:val="19"/>
        </w:rPr>
        <w:t>Crosby,</w:t>
      </w:r>
      <w:r>
        <w:rPr>
          <w:color w:val="231F20"/>
          <w:spacing w:val="-6"/>
          <w:w w:val="105"/>
          <w:sz w:val="19"/>
        </w:rPr>
        <w:t> </w:t>
      </w:r>
      <w:r>
        <w:rPr>
          <w:color w:val="231F20"/>
          <w:w w:val="105"/>
          <w:sz w:val="19"/>
        </w:rPr>
        <w:t>Philip,</w:t>
      </w:r>
      <w:r>
        <w:rPr>
          <w:color w:val="231F20"/>
          <w:spacing w:val="-6"/>
          <w:w w:val="105"/>
          <w:sz w:val="19"/>
        </w:rPr>
        <w:t> </w:t>
      </w:r>
      <w:r>
        <w:rPr>
          <w:color w:val="231F20"/>
          <w:spacing w:val="-5"/>
          <w:w w:val="105"/>
          <w:sz w:val="19"/>
        </w:rPr>
        <w:t>279</w:t>
      </w:r>
    </w:p>
    <w:p>
      <w:pPr>
        <w:spacing w:before="17"/>
        <w:ind w:left="430" w:right="0" w:firstLine="0"/>
        <w:jc w:val="left"/>
        <w:rPr>
          <w:sz w:val="19"/>
        </w:rPr>
      </w:pPr>
      <w:r>
        <w:rPr>
          <w:color w:val="231F20"/>
          <w:sz w:val="19"/>
        </w:rPr>
        <w:t>culture,</w:t>
      </w:r>
      <w:r>
        <w:rPr>
          <w:color w:val="231F20"/>
          <w:spacing w:val="10"/>
          <w:sz w:val="19"/>
        </w:rPr>
        <w:t> </w:t>
      </w:r>
      <w:r>
        <w:rPr>
          <w:color w:val="231F20"/>
          <w:sz w:val="19"/>
        </w:rPr>
        <w:t>327</w:t>
      </w:r>
      <w:r>
        <w:rPr>
          <w:color w:val="231F20"/>
          <w:spacing w:val="-23"/>
          <w:sz w:val="19"/>
        </w:rPr>
        <w:t> </w:t>
      </w:r>
      <w:r>
        <w:rPr>
          <w:color w:val="231F20"/>
          <w:sz w:val="19"/>
        </w:rPr>
        <w:t>–</w:t>
      </w:r>
      <w:r>
        <w:rPr>
          <w:color w:val="231F20"/>
          <w:spacing w:val="-23"/>
          <w:sz w:val="19"/>
        </w:rPr>
        <w:t> </w:t>
      </w:r>
      <w:r>
        <w:rPr>
          <w:color w:val="231F20"/>
          <w:spacing w:val="-5"/>
          <w:sz w:val="19"/>
        </w:rPr>
        <w:t>28</w:t>
      </w:r>
    </w:p>
    <w:p>
      <w:pPr>
        <w:spacing w:line="259" w:lineRule="auto" w:before="17"/>
        <w:ind w:left="670" w:right="0" w:hanging="240"/>
        <w:jc w:val="left"/>
        <w:rPr>
          <w:sz w:val="19"/>
        </w:rPr>
      </w:pPr>
      <w:r>
        <w:rPr>
          <w:color w:val="231F20"/>
          <w:sz w:val="19"/>
        </w:rPr>
        <w:t>cumulative</w:t>
      </w:r>
      <w:r>
        <w:rPr>
          <w:color w:val="231F20"/>
          <w:spacing w:val="-9"/>
          <w:sz w:val="19"/>
        </w:rPr>
        <w:t> </w:t>
      </w:r>
      <w:r>
        <w:rPr>
          <w:color w:val="231F20"/>
          <w:sz w:val="19"/>
        </w:rPr>
        <w:t>distribution</w:t>
      </w:r>
      <w:r>
        <w:rPr>
          <w:color w:val="231F20"/>
          <w:spacing w:val="-8"/>
          <w:sz w:val="19"/>
        </w:rPr>
        <w:t> </w:t>
      </w:r>
      <w:r>
        <w:rPr>
          <w:color w:val="231F20"/>
          <w:sz w:val="19"/>
        </w:rPr>
        <w:t>function (CDF), 185</w:t>
      </w:r>
      <w:r>
        <w:rPr>
          <w:color w:val="231F20"/>
          <w:spacing w:val="-13"/>
          <w:sz w:val="19"/>
        </w:rPr>
        <w:t> </w:t>
      </w:r>
      <w:r>
        <w:rPr>
          <w:color w:val="231F20"/>
          <w:sz w:val="19"/>
        </w:rPr>
        <w:t>–</w:t>
      </w:r>
      <w:r>
        <w:rPr>
          <w:color w:val="231F20"/>
          <w:spacing w:val="-13"/>
          <w:sz w:val="19"/>
        </w:rPr>
        <w:t> </w:t>
      </w:r>
      <w:r>
        <w:rPr>
          <w:color w:val="231F20"/>
          <w:sz w:val="19"/>
        </w:rPr>
        <w:t>89</w:t>
      </w:r>
    </w:p>
    <w:p>
      <w:pPr>
        <w:spacing w:line="259" w:lineRule="auto" w:before="0"/>
        <w:ind w:left="430" w:right="0" w:firstLine="0"/>
        <w:jc w:val="left"/>
        <w:rPr>
          <w:sz w:val="19"/>
        </w:rPr>
      </w:pPr>
      <w:r>
        <w:rPr>
          <w:color w:val="231F20"/>
          <w:sz w:val="19"/>
        </w:rPr>
        <w:t>current and noncurrent, 87 </w:t>
      </w:r>
      <w:r>
        <w:rPr>
          <w:color w:val="231F20"/>
          <w:spacing w:val="-2"/>
          <w:sz w:val="19"/>
        </w:rPr>
        <w:t>customer relationship </w:t>
      </w:r>
      <w:r>
        <w:rPr>
          <w:color w:val="231F20"/>
          <w:spacing w:val="-2"/>
          <w:sz w:val="19"/>
        </w:rPr>
        <w:t>management</w:t>
      </w:r>
    </w:p>
    <w:p>
      <w:pPr>
        <w:spacing w:line="222" w:lineRule="exact" w:before="0"/>
        <w:ind w:left="670" w:right="0" w:firstLine="0"/>
        <w:jc w:val="left"/>
        <w:rPr>
          <w:sz w:val="19"/>
        </w:rPr>
      </w:pPr>
      <w:r>
        <w:rPr>
          <w:color w:val="231F20"/>
          <w:w w:val="105"/>
          <w:sz w:val="19"/>
        </w:rPr>
        <w:t>(CRM),</w:t>
      </w:r>
      <w:r>
        <w:rPr>
          <w:color w:val="231F20"/>
          <w:spacing w:val="25"/>
          <w:w w:val="105"/>
          <w:sz w:val="19"/>
        </w:rPr>
        <w:t> </w:t>
      </w:r>
      <w:r>
        <w:rPr>
          <w:color w:val="231F20"/>
          <w:w w:val="105"/>
          <w:sz w:val="19"/>
        </w:rPr>
        <w:t>282</w:t>
      </w:r>
      <w:r>
        <w:rPr>
          <w:color w:val="231F20"/>
          <w:spacing w:val="-19"/>
          <w:w w:val="105"/>
          <w:sz w:val="19"/>
        </w:rPr>
        <w:t> </w:t>
      </w:r>
      <w:r>
        <w:rPr>
          <w:color w:val="231F20"/>
          <w:w w:val="105"/>
          <w:sz w:val="19"/>
        </w:rPr>
        <w:t>–</w:t>
      </w:r>
      <w:r>
        <w:rPr>
          <w:color w:val="231F20"/>
          <w:spacing w:val="-19"/>
          <w:w w:val="105"/>
          <w:sz w:val="19"/>
        </w:rPr>
        <w:t> </w:t>
      </w:r>
      <w:r>
        <w:rPr>
          <w:color w:val="231F20"/>
          <w:spacing w:val="-5"/>
          <w:w w:val="105"/>
          <w:sz w:val="19"/>
        </w:rPr>
        <w:t>84</w:t>
      </w:r>
    </w:p>
    <w:p>
      <w:pPr>
        <w:spacing w:before="16"/>
        <w:ind w:left="430" w:right="0" w:firstLine="0"/>
        <w:jc w:val="left"/>
        <w:rPr>
          <w:sz w:val="19"/>
        </w:rPr>
      </w:pPr>
      <w:r>
        <w:rPr>
          <w:color w:val="231F20"/>
          <w:sz w:val="19"/>
        </w:rPr>
        <w:t>customer</w:t>
      </w:r>
      <w:r>
        <w:rPr>
          <w:color w:val="231F20"/>
          <w:spacing w:val="-6"/>
          <w:sz w:val="19"/>
        </w:rPr>
        <w:t> </w:t>
      </w:r>
      <w:r>
        <w:rPr>
          <w:color w:val="231F20"/>
          <w:sz w:val="19"/>
        </w:rPr>
        <w:t>retention,</w:t>
      </w:r>
      <w:r>
        <w:rPr>
          <w:color w:val="231F20"/>
          <w:spacing w:val="-5"/>
          <w:sz w:val="19"/>
        </w:rPr>
        <w:t> 355</w:t>
      </w:r>
    </w:p>
    <w:p>
      <w:pPr>
        <w:spacing w:before="17"/>
        <w:ind w:left="430" w:right="0" w:firstLine="0"/>
        <w:jc w:val="left"/>
        <w:rPr>
          <w:sz w:val="19"/>
        </w:rPr>
      </w:pPr>
      <w:r>
        <w:rPr>
          <w:color w:val="231F20"/>
          <w:sz w:val="19"/>
        </w:rPr>
        <w:t>cycle</w:t>
      </w:r>
      <w:r>
        <w:rPr>
          <w:color w:val="231F20"/>
          <w:spacing w:val="7"/>
          <w:sz w:val="19"/>
        </w:rPr>
        <w:t> </w:t>
      </w:r>
      <w:r>
        <w:rPr>
          <w:color w:val="231F20"/>
          <w:sz w:val="19"/>
        </w:rPr>
        <w:t>time,</w:t>
      </w:r>
      <w:r>
        <w:rPr>
          <w:color w:val="231F20"/>
          <w:spacing w:val="8"/>
          <w:sz w:val="19"/>
        </w:rPr>
        <w:t> </w:t>
      </w:r>
      <w:r>
        <w:rPr>
          <w:color w:val="231F20"/>
          <w:spacing w:val="-5"/>
          <w:sz w:val="19"/>
        </w:rPr>
        <w:t>281</w:t>
      </w:r>
    </w:p>
    <w:p>
      <w:pPr>
        <w:pStyle w:val="BodyText"/>
        <w:rPr>
          <w:sz w:val="22"/>
        </w:rPr>
      </w:pPr>
    </w:p>
    <w:p>
      <w:pPr>
        <w:spacing w:line="259" w:lineRule="auto" w:before="0"/>
        <w:ind w:left="430" w:right="1000" w:firstLine="0"/>
        <w:jc w:val="left"/>
        <w:rPr>
          <w:sz w:val="19"/>
        </w:rPr>
      </w:pPr>
      <w:r>
        <w:rPr>
          <w:color w:val="231F20"/>
          <w:sz w:val="19"/>
        </w:rPr>
        <w:t>debit and credit, 84 decision</w:t>
      </w:r>
      <w:r>
        <w:rPr>
          <w:color w:val="231F20"/>
          <w:spacing w:val="-9"/>
          <w:sz w:val="19"/>
        </w:rPr>
        <w:t> </w:t>
      </w:r>
      <w:r>
        <w:rPr>
          <w:color w:val="231F20"/>
          <w:sz w:val="19"/>
        </w:rPr>
        <w:t>trees,</w:t>
      </w:r>
      <w:r>
        <w:rPr>
          <w:color w:val="231F20"/>
          <w:spacing w:val="-8"/>
          <w:sz w:val="19"/>
        </w:rPr>
        <w:t> </w:t>
      </w:r>
      <w:r>
        <w:rPr>
          <w:color w:val="231F20"/>
          <w:sz w:val="19"/>
        </w:rPr>
        <w:t>161</w:t>
      </w:r>
      <w:r>
        <w:rPr>
          <w:color w:val="231F20"/>
          <w:spacing w:val="-23"/>
          <w:sz w:val="19"/>
        </w:rPr>
        <w:t> </w:t>
      </w:r>
      <w:r>
        <w:rPr>
          <w:color w:val="231F20"/>
          <w:sz w:val="19"/>
        </w:rPr>
        <w:t>–</w:t>
      </w:r>
      <w:r>
        <w:rPr>
          <w:color w:val="231F20"/>
          <w:spacing w:val="-23"/>
          <w:sz w:val="19"/>
        </w:rPr>
        <w:t> </w:t>
      </w:r>
      <w:r>
        <w:rPr>
          <w:color w:val="231F20"/>
          <w:sz w:val="19"/>
        </w:rPr>
        <w:t>66</w:t>
      </w:r>
    </w:p>
    <w:p>
      <w:pPr>
        <w:spacing w:line="222" w:lineRule="exact" w:before="0"/>
        <w:ind w:left="430" w:right="0" w:firstLine="0"/>
        <w:jc w:val="left"/>
        <w:rPr>
          <w:sz w:val="19"/>
        </w:rPr>
      </w:pPr>
      <w:r>
        <w:rPr>
          <w:color w:val="231F20"/>
          <w:sz w:val="19"/>
        </w:rPr>
        <w:t>demassing, </w:t>
      </w:r>
      <w:r>
        <w:rPr>
          <w:color w:val="231F20"/>
          <w:spacing w:val="-5"/>
          <w:sz w:val="19"/>
        </w:rPr>
        <w:t>148</w:t>
      </w:r>
    </w:p>
    <w:p>
      <w:pPr>
        <w:spacing w:before="17"/>
        <w:ind w:left="430" w:right="0" w:firstLine="0"/>
        <w:jc w:val="left"/>
        <w:rPr>
          <w:sz w:val="19"/>
        </w:rPr>
      </w:pPr>
      <w:r>
        <w:rPr>
          <w:color w:val="231F20"/>
          <w:spacing w:val="-2"/>
          <w:w w:val="105"/>
          <w:sz w:val="19"/>
        </w:rPr>
        <w:t>Deming,</w:t>
      </w:r>
      <w:r>
        <w:rPr>
          <w:color w:val="231F20"/>
          <w:spacing w:val="-4"/>
          <w:w w:val="105"/>
          <w:sz w:val="19"/>
        </w:rPr>
        <w:t> </w:t>
      </w:r>
      <w:r>
        <w:rPr>
          <w:color w:val="231F20"/>
          <w:spacing w:val="-2"/>
          <w:w w:val="105"/>
          <w:sz w:val="19"/>
        </w:rPr>
        <w:t>W.</w:t>
      </w:r>
      <w:r>
        <w:rPr>
          <w:color w:val="231F20"/>
          <w:spacing w:val="2"/>
          <w:w w:val="105"/>
          <w:sz w:val="19"/>
        </w:rPr>
        <w:t> </w:t>
      </w:r>
      <w:r>
        <w:rPr>
          <w:color w:val="231F20"/>
          <w:spacing w:val="-2"/>
          <w:w w:val="105"/>
          <w:sz w:val="19"/>
        </w:rPr>
        <w:t>Edwards,</w:t>
      </w:r>
      <w:r>
        <w:rPr>
          <w:color w:val="231F20"/>
          <w:spacing w:val="2"/>
          <w:w w:val="105"/>
          <w:sz w:val="19"/>
        </w:rPr>
        <w:t> </w:t>
      </w:r>
      <w:r>
        <w:rPr>
          <w:color w:val="231F20"/>
          <w:spacing w:val="-2"/>
          <w:w w:val="105"/>
          <w:sz w:val="19"/>
        </w:rPr>
        <w:t>276</w:t>
      </w:r>
      <w:r>
        <w:rPr>
          <w:color w:val="231F20"/>
          <w:spacing w:val="-25"/>
          <w:w w:val="105"/>
          <w:sz w:val="19"/>
        </w:rPr>
        <w:t> </w:t>
      </w:r>
      <w:r>
        <w:rPr>
          <w:color w:val="231F20"/>
          <w:spacing w:val="-2"/>
          <w:w w:val="105"/>
          <w:sz w:val="19"/>
        </w:rPr>
        <w:t>–</w:t>
      </w:r>
      <w:r>
        <w:rPr>
          <w:color w:val="231F20"/>
          <w:spacing w:val="-26"/>
          <w:w w:val="105"/>
          <w:sz w:val="19"/>
        </w:rPr>
        <w:t> </w:t>
      </w:r>
      <w:r>
        <w:rPr>
          <w:color w:val="231F20"/>
          <w:spacing w:val="-5"/>
          <w:w w:val="105"/>
          <w:sz w:val="19"/>
        </w:rPr>
        <w:t>78</w:t>
      </w:r>
    </w:p>
    <w:p>
      <w:pPr>
        <w:spacing w:before="17"/>
        <w:ind w:left="430" w:right="0" w:firstLine="0"/>
        <w:jc w:val="left"/>
        <w:rPr>
          <w:sz w:val="19"/>
        </w:rPr>
      </w:pPr>
      <w:r>
        <w:rPr>
          <w:color w:val="231F20"/>
          <w:sz w:val="19"/>
        </w:rPr>
        <w:t>demographics,</w:t>
      </w:r>
      <w:r>
        <w:rPr>
          <w:color w:val="231F20"/>
          <w:spacing w:val="16"/>
          <w:sz w:val="19"/>
        </w:rPr>
        <w:t> </w:t>
      </w:r>
      <w:r>
        <w:rPr>
          <w:color w:val="231F20"/>
          <w:sz w:val="19"/>
        </w:rPr>
        <w:t>13,</w:t>
      </w:r>
      <w:r>
        <w:rPr>
          <w:color w:val="231F20"/>
          <w:spacing w:val="16"/>
          <w:sz w:val="19"/>
        </w:rPr>
        <w:t> </w:t>
      </w:r>
      <w:r>
        <w:rPr>
          <w:color w:val="231F20"/>
          <w:spacing w:val="-5"/>
          <w:sz w:val="19"/>
        </w:rPr>
        <w:t>15</w:t>
      </w:r>
    </w:p>
    <w:p>
      <w:pPr>
        <w:spacing w:before="18"/>
        <w:ind w:left="430" w:right="0" w:firstLine="0"/>
        <w:jc w:val="left"/>
        <w:rPr>
          <w:sz w:val="19"/>
        </w:rPr>
      </w:pPr>
      <w:r>
        <w:rPr>
          <w:color w:val="231F20"/>
          <w:sz w:val="19"/>
        </w:rPr>
        <w:t>dependent</w:t>
      </w:r>
      <w:r>
        <w:rPr>
          <w:color w:val="231F20"/>
          <w:spacing w:val="-4"/>
          <w:sz w:val="19"/>
        </w:rPr>
        <w:t> </w:t>
      </w:r>
      <w:r>
        <w:rPr>
          <w:color w:val="231F20"/>
          <w:sz w:val="19"/>
        </w:rPr>
        <w:t>variable,</w:t>
      </w:r>
      <w:r>
        <w:rPr>
          <w:color w:val="231F20"/>
          <w:spacing w:val="-4"/>
          <w:sz w:val="19"/>
        </w:rPr>
        <w:t> </w:t>
      </w:r>
      <w:r>
        <w:rPr>
          <w:color w:val="231F20"/>
          <w:spacing w:val="-5"/>
          <w:sz w:val="19"/>
        </w:rPr>
        <w:t>190</w:t>
      </w:r>
    </w:p>
    <w:p>
      <w:pPr>
        <w:spacing w:before="17"/>
        <w:ind w:left="430" w:right="0" w:firstLine="0"/>
        <w:jc w:val="left"/>
        <w:rPr>
          <w:sz w:val="19"/>
        </w:rPr>
      </w:pPr>
      <w:r>
        <w:rPr>
          <w:color w:val="231F20"/>
          <w:sz w:val="19"/>
        </w:rPr>
        <w:t>depreciation,</w:t>
      </w:r>
      <w:r>
        <w:rPr>
          <w:color w:val="231F20"/>
          <w:spacing w:val="-1"/>
          <w:sz w:val="19"/>
        </w:rPr>
        <w:t> </w:t>
      </w:r>
      <w:r>
        <w:rPr>
          <w:color w:val="231F20"/>
          <w:spacing w:val="-5"/>
          <w:sz w:val="19"/>
        </w:rPr>
        <w:t>91</w:t>
      </w:r>
    </w:p>
    <w:p>
      <w:pPr>
        <w:spacing w:before="17"/>
        <w:ind w:left="430" w:right="0" w:firstLine="0"/>
        <w:jc w:val="left"/>
        <w:rPr>
          <w:sz w:val="19"/>
        </w:rPr>
      </w:pPr>
      <w:r>
        <w:rPr>
          <w:color w:val="231F20"/>
          <w:sz w:val="19"/>
        </w:rPr>
        <w:t>depth</w:t>
      </w:r>
      <w:r>
        <w:rPr>
          <w:color w:val="231F20"/>
          <w:spacing w:val="5"/>
          <w:sz w:val="19"/>
        </w:rPr>
        <w:t> </w:t>
      </w:r>
      <w:r>
        <w:rPr>
          <w:color w:val="231F20"/>
          <w:sz w:val="19"/>
        </w:rPr>
        <w:t>and</w:t>
      </w:r>
      <w:r>
        <w:rPr>
          <w:color w:val="231F20"/>
          <w:spacing w:val="8"/>
          <w:sz w:val="19"/>
        </w:rPr>
        <w:t> </w:t>
      </w:r>
      <w:r>
        <w:rPr>
          <w:color w:val="231F20"/>
          <w:sz w:val="19"/>
        </w:rPr>
        <w:t>breadth,</w:t>
      </w:r>
      <w:r>
        <w:rPr>
          <w:color w:val="231F20"/>
          <w:spacing w:val="7"/>
          <w:sz w:val="19"/>
        </w:rPr>
        <w:t> </w:t>
      </w:r>
      <w:r>
        <w:rPr>
          <w:color w:val="231F20"/>
          <w:sz w:val="19"/>
        </w:rPr>
        <w:t>24</w:t>
      </w:r>
      <w:r>
        <w:rPr>
          <w:color w:val="231F20"/>
          <w:spacing w:val="-23"/>
          <w:sz w:val="19"/>
        </w:rPr>
        <w:t> </w:t>
      </w:r>
      <w:r>
        <w:rPr>
          <w:color w:val="231F20"/>
          <w:sz w:val="19"/>
        </w:rPr>
        <w:t>–</w:t>
      </w:r>
      <w:r>
        <w:rPr>
          <w:color w:val="231F20"/>
          <w:spacing w:val="-23"/>
          <w:sz w:val="19"/>
        </w:rPr>
        <w:t> </w:t>
      </w:r>
      <w:r>
        <w:rPr>
          <w:color w:val="231F20"/>
          <w:spacing w:val="-5"/>
          <w:sz w:val="19"/>
        </w:rPr>
        <w:t>25</w:t>
      </w:r>
    </w:p>
    <w:p>
      <w:pPr>
        <w:spacing w:before="17"/>
        <w:ind w:left="430" w:right="0" w:firstLine="0"/>
        <w:jc w:val="left"/>
        <w:rPr>
          <w:sz w:val="19"/>
        </w:rPr>
      </w:pPr>
      <w:r>
        <w:rPr>
          <w:color w:val="231F20"/>
          <w:w w:val="95"/>
          <w:sz w:val="19"/>
        </w:rPr>
        <w:t>derivatives,</w:t>
      </w:r>
      <w:r>
        <w:rPr>
          <w:color w:val="231F20"/>
          <w:spacing w:val="38"/>
          <w:sz w:val="19"/>
        </w:rPr>
        <w:t> </w:t>
      </w:r>
      <w:r>
        <w:rPr>
          <w:color w:val="231F20"/>
          <w:spacing w:val="-5"/>
          <w:sz w:val="19"/>
        </w:rPr>
        <w:t>221</w:t>
      </w:r>
    </w:p>
    <w:p>
      <w:pPr>
        <w:spacing w:before="18"/>
        <w:ind w:left="430" w:right="0" w:firstLine="0"/>
        <w:jc w:val="left"/>
        <w:rPr>
          <w:sz w:val="19"/>
        </w:rPr>
      </w:pPr>
      <w:r>
        <w:rPr>
          <w:color w:val="231F20"/>
          <w:sz w:val="19"/>
        </w:rPr>
        <w:t>differentiation,</w:t>
      </w:r>
      <w:r>
        <w:rPr>
          <w:color w:val="231F20"/>
          <w:spacing w:val="10"/>
          <w:sz w:val="19"/>
        </w:rPr>
        <w:t> </w:t>
      </w:r>
      <w:r>
        <w:rPr>
          <w:color w:val="231F20"/>
          <w:sz w:val="19"/>
        </w:rPr>
        <w:t>34</w:t>
      </w:r>
      <w:r>
        <w:rPr>
          <w:color w:val="231F20"/>
          <w:spacing w:val="-23"/>
          <w:sz w:val="19"/>
        </w:rPr>
        <w:t> </w:t>
      </w:r>
      <w:r>
        <w:rPr>
          <w:color w:val="231F20"/>
          <w:sz w:val="19"/>
        </w:rPr>
        <w:t>–</w:t>
      </w:r>
      <w:r>
        <w:rPr>
          <w:color w:val="231F20"/>
          <w:spacing w:val="-23"/>
          <w:sz w:val="19"/>
        </w:rPr>
        <w:t> </w:t>
      </w:r>
      <w:r>
        <w:rPr>
          <w:color w:val="231F20"/>
          <w:spacing w:val="-5"/>
          <w:sz w:val="19"/>
        </w:rPr>
        <w:t>34</w:t>
      </w:r>
    </w:p>
    <w:p>
      <w:pPr>
        <w:spacing w:before="17"/>
        <w:ind w:left="430" w:right="0" w:firstLine="0"/>
        <w:jc w:val="left"/>
        <w:rPr>
          <w:sz w:val="19"/>
        </w:rPr>
      </w:pPr>
      <w:r>
        <w:rPr>
          <w:color w:val="231F20"/>
          <w:sz w:val="19"/>
        </w:rPr>
        <w:t>diffusion</w:t>
      </w:r>
      <w:r>
        <w:rPr>
          <w:color w:val="231F20"/>
          <w:spacing w:val="6"/>
          <w:sz w:val="19"/>
        </w:rPr>
        <w:t> </w:t>
      </w:r>
      <w:r>
        <w:rPr>
          <w:color w:val="231F20"/>
          <w:sz w:val="19"/>
        </w:rPr>
        <w:t>process,</w:t>
      </w:r>
      <w:r>
        <w:rPr>
          <w:color w:val="231F20"/>
          <w:spacing w:val="7"/>
          <w:sz w:val="19"/>
        </w:rPr>
        <w:t> </w:t>
      </w:r>
      <w:r>
        <w:rPr>
          <w:color w:val="231F20"/>
          <w:sz w:val="19"/>
        </w:rPr>
        <w:t>17</w:t>
      </w:r>
      <w:r>
        <w:rPr>
          <w:color w:val="231F20"/>
          <w:spacing w:val="-23"/>
          <w:sz w:val="19"/>
        </w:rPr>
        <w:t> </w:t>
      </w:r>
      <w:r>
        <w:rPr>
          <w:color w:val="231F20"/>
          <w:sz w:val="19"/>
        </w:rPr>
        <w:t>–</w:t>
      </w:r>
      <w:r>
        <w:rPr>
          <w:color w:val="231F20"/>
          <w:spacing w:val="-23"/>
          <w:sz w:val="19"/>
        </w:rPr>
        <w:t> </w:t>
      </w:r>
      <w:r>
        <w:rPr>
          <w:color w:val="231F20"/>
          <w:spacing w:val="-5"/>
          <w:sz w:val="19"/>
        </w:rPr>
        <w:t>18</w:t>
      </w:r>
    </w:p>
    <w:p>
      <w:pPr>
        <w:spacing w:before="17"/>
        <w:ind w:left="430" w:right="0" w:firstLine="0"/>
        <w:jc w:val="left"/>
        <w:rPr>
          <w:sz w:val="19"/>
        </w:rPr>
      </w:pPr>
      <w:r>
        <w:rPr>
          <w:color w:val="231F20"/>
          <w:sz w:val="19"/>
        </w:rPr>
        <w:t>dilution,</w:t>
      </w:r>
      <w:r>
        <w:rPr>
          <w:color w:val="231F20"/>
          <w:spacing w:val="23"/>
          <w:sz w:val="19"/>
        </w:rPr>
        <w:t> </w:t>
      </w:r>
      <w:r>
        <w:rPr>
          <w:color w:val="231F20"/>
          <w:spacing w:val="-5"/>
          <w:sz w:val="19"/>
        </w:rPr>
        <w:t>233</w:t>
      </w:r>
    </w:p>
    <w:p>
      <w:pPr>
        <w:spacing w:before="17"/>
        <w:ind w:left="430" w:right="0" w:firstLine="0"/>
        <w:jc w:val="left"/>
        <w:rPr>
          <w:sz w:val="19"/>
        </w:rPr>
      </w:pPr>
      <w:r>
        <w:rPr>
          <w:color w:val="231F20"/>
          <w:sz w:val="19"/>
        </w:rPr>
        <w:t>direct</w:t>
      </w:r>
      <w:r>
        <w:rPr>
          <w:color w:val="231F20"/>
          <w:spacing w:val="-5"/>
          <w:sz w:val="19"/>
        </w:rPr>
        <w:t> </w:t>
      </w:r>
      <w:r>
        <w:rPr>
          <w:color w:val="231F20"/>
          <w:sz w:val="19"/>
        </w:rPr>
        <w:t>sales,</w:t>
      </w:r>
      <w:r>
        <w:rPr>
          <w:color w:val="231F20"/>
          <w:spacing w:val="1"/>
          <w:sz w:val="19"/>
        </w:rPr>
        <w:t> </w:t>
      </w:r>
      <w:r>
        <w:rPr>
          <w:color w:val="231F20"/>
          <w:sz w:val="19"/>
        </w:rPr>
        <w:t>46</w:t>
      </w:r>
      <w:r>
        <w:rPr>
          <w:color w:val="231F20"/>
          <w:spacing w:val="-23"/>
          <w:sz w:val="19"/>
        </w:rPr>
        <w:t> </w:t>
      </w:r>
      <w:r>
        <w:rPr>
          <w:color w:val="231F20"/>
          <w:sz w:val="19"/>
        </w:rPr>
        <w:t>–</w:t>
      </w:r>
      <w:r>
        <w:rPr>
          <w:color w:val="231F20"/>
          <w:spacing w:val="-23"/>
          <w:sz w:val="19"/>
        </w:rPr>
        <w:t> </w:t>
      </w:r>
      <w:r>
        <w:rPr>
          <w:color w:val="231F20"/>
          <w:spacing w:val="-5"/>
          <w:sz w:val="19"/>
        </w:rPr>
        <w:t>47</w:t>
      </w:r>
    </w:p>
    <w:p>
      <w:pPr>
        <w:spacing w:before="18"/>
        <w:ind w:left="430" w:right="0" w:firstLine="0"/>
        <w:jc w:val="left"/>
        <w:rPr>
          <w:sz w:val="19"/>
        </w:rPr>
      </w:pPr>
      <w:r>
        <w:rPr>
          <w:color w:val="231F20"/>
          <w:sz w:val="19"/>
        </w:rPr>
        <w:t>distribution</w:t>
      </w:r>
      <w:r>
        <w:rPr>
          <w:color w:val="231F20"/>
          <w:spacing w:val="3"/>
          <w:sz w:val="19"/>
        </w:rPr>
        <w:t> </w:t>
      </w:r>
      <w:r>
        <w:rPr>
          <w:color w:val="231F20"/>
          <w:sz w:val="19"/>
        </w:rPr>
        <w:t>channels,</w:t>
      </w:r>
      <w:r>
        <w:rPr>
          <w:color w:val="231F20"/>
          <w:spacing w:val="7"/>
          <w:sz w:val="19"/>
        </w:rPr>
        <w:t> </w:t>
      </w:r>
      <w:r>
        <w:rPr>
          <w:color w:val="231F20"/>
          <w:sz w:val="19"/>
        </w:rPr>
        <w:t>27</w:t>
      </w:r>
      <w:r>
        <w:rPr>
          <w:color w:val="231F20"/>
          <w:spacing w:val="-23"/>
          <w:sz w:val="19"/>
        </w:rPr>
        <w:t> </w:t>
      </w:r>
      <w:r>
        <w:rPr>
          <w:color w:val="231F20"/>
          <w:sz w:val="19"/>
        </w:rPr>
        <w:t>–</w:t>
      </w:r>
      <w:r>
        <w:rPr>
          <w:color w:val="231F20"/>
          <w:spacing w:val="-23"/>
          <w:sz w:val="19"/>
        </w:rPr>
        <w:t> </w:t>
      </w:r>
      <w:r>
        <w:rPr>
          <w:color w:val="231F20"/>
          <w:spacing w:val="-5"/>
          <w:sz w:val="19"/>
        </w:rPr>
        <w:t>32</w:t>
      </w:r>
    </w:p>
    <w:p>
      <w:pPr>
        <w:spacing w:before="17"/>
        <w:ind w:left="430" w:right="0" w:firstLine="0"/>
        <w:jc w:val="left"/>
        <w:rPr>
          <w:sz w:val="19"/>
        </w:rPr>
      </w:pPr>
      <w:r>
        <w:rPr>
          <w:color w:val="231F20"/>
          <w:sz w:val="19"/>
        </w:rPr>
        <w:t>distribution</w:t>
      </w:r>
      <w:r>
        <w:rPr>
          <w:color w:val="231F20"/>
          <w:spacing w:val="-9"/>
          <w:sz w:val="19"/>
        </w:rPr>
        <w:t> </w:t>
      </w:r>
      <w:r>
        <w:rPr>
          <w:color w:val="231F20"/>
          <w:sz w:val="19"/>
        </w:rPr>
        <w:t>strategies,</w:t>
      </w:r>
      <w:r>
        <w:rPr>
          <w:color w:val="231F20"/>
          <w:spacing w:val="-6"/>
          <w:sz w:val="19"/>
        </w:rPr>
        <w:t> </w:t>
      </w:r>
      <w:r>
        <w:rPr>
          <w:color w:val="231F20"/>
          <w:sz w:val="19"/>
        </w:rPr>
        <w:t>35</w:t>
      </w:r>
      <w:r>
        <w:rPr>
          <w:color w:val="231F20"/>
          <w:spacing w:val="-23"/>
          <w:sz w:val="19"/>
        </w:rPr>
        <w:t> </w:t>
      </w:r>
      <w:r>
        <w:rPr>
          <w:color w:val="231F20"/>
          <w:sz w:val="19"/>
        </w:rPr>
        <w:t>–</w:t>
      </w:r>
      <w:r>
        <w:rPr>
          <w:color w:val="231F20"/>
          <w:spacing w:val="-23"/>
          <w:sz w:val="19"/>
        </w:rPr>
        <w:t> </w:t>
      </w:r>
      <w:r>
        <w:rPr>
          <w:color w:val="231F20"/>
          <w:spacing w:val="-5"/>
          <w:sz w:val="19"/>
        </w:rPr>
        <w:t>37</w:t>
      </w:r>
    </w:p>
    <w:p>
      <w:pPr>
        <w:spacing w:before="17"/>
        <w:ind w:left="430" w:right="0" w:firstLine="0"/>
        <w:jc w:val="left"/>
        <w:rPr>
          <w:sz w:val="19"/>
        </w:rPr>
      </w:pPr>
      <w:r>
        <w:rPr>
          <w:color w:val="231F20"/>
          <w:sz w:val="19"/>
        </w:rPr>
        <w:t>diversification,</w:t>
      </w:r>
      <w:r>
        <w:rPr>
          <w:color w:val="231F20"/>
          <w:spacing w:val="11"/>
          <w:sz w:val="19"/>
        </w:rPr>
        <w:t> </w:t>
      </w:r>
      <w:r>
        <w:rPr>
          <w:color w:val="231F20"/>
          <w:sz w:val="19"/>
        </w:rPr>
        <w:t>204,</w:t>
      </w:r>
      <w:r>
        <w:rPr>
          <w:color w:val="231F20"/>
          <w:spacing w:val="11"/>
          <w:sz w:val="19"/>
        </w:rPr>
        <w:t> </w:t>
      </w:r>
      <w:r>
        <w:rPr>
          <w:color w:val="231F20"/>
          <w:spacing w:val="-5"/>
          <w:sz w:val="19"/>
        </w:rPr>
        <w:t>206</w:t>
      </w:r>
    </w:p>
    <w:p>
      <w:pPr>
        <w:spacing w:before="17"/>
        <w:ind w:left="430" w:right="0" w:firstLine="0"/>
        <w:jc w:val="left"/>
        <w:rPr>
          <w:sz w:val="19"/>
        </w:rPr>
      </w:pPr>
      <w:r>
        <w:rPr>
          <w:color w:val="231F20"/>
          <w:sz w:val="19"/>
        </w:rPr>
        <w:t>Dividend</w:t>
      </w:r>
      <w:r>
        <w:rPr>
          <w:color w:val="231F20"/>
          <w:spacing w:val="31"/>
          <w:sz w:val="19"/>
        </w:rPr>
        <w:t> </w:t>
      </w:r>
      <w:r>
        <w:rPr>
          <w:color w:val="231F20"/>
          <w:sz w:val="19"/>
        </w:rPr>
        <w:t>Growth</w:t>
      </w:r>
      <w:r>
        <w:rPr>
          <w:color w:val="231F20"/>
          <w:spacing w:val="32"/>
          <w:sz w:val="19"/>
        </w:rPr>
        <w:t> </w:t>
      </w:r>
      <w:r>
        <w:rPr>
          <w:color w:val="231F20"/>
          <w:sz w:val="19"/>
        </w:rPr>
        <w:t>Model,</w:t>
      </w:r>
      <w:r>
        <w:rPr>
          <w:color w:val="231F20"/>
          <w:spacing w:val="32"/>
          <w:sz w:val="19"/>
        </w:rPr>
        <w:t> </w:t>
      </w:r>
      <w:r>
        <w:rPr>
          <w:color w:val="231F20"/>
          <w:sz w:val="19"/>
        </w:rPr>
        <w:t>217</w:t>
      </w:r>
      <w:r>
        <w:rPr>
          <w:color w:val="231F20"/>
          <w:spacing w:val="-15"/>
          <w:sz w:val="19"/>
        </w:rPr>
        <w:t> </w:t>
      </w:r>
      <w:r>
        <w:rPr>
          <w:color w:val="231F20"/>
          <w:sz w:val="19"/>
        </w:rPr>
        <w:t>–</w:t>
      </w:r>
      <w:r>
        <w:rPr>
          <w:color w:val="231F20"/>
          <w:spacing w:val="-15"/>
          <w:sz w:val="19"/>
        </w:rPr>
        <w:t> </w:t>
      </w:r>
      <w:r>
        <w:rPr>
          <w:color w:val="231F20"/>
          <w:spacing w:val="-5"/>
          <w:sz w:val="19"/>
        </w:rPr>
        <w:t>18</w:t>
      </w:r>
    </w:p>
    <w:p>
      <w:pPr>
        <w:spacing w:before="18"/>
        <w:ind w:left="430" w:right="0" w:firstLine="0"/>
        <w:jc w:val="left"/>
        <w:rPr>
          <w:sz w:val="19"/>
        </w:rPr>
      </w:pPr>
      <w:r>
        <w:rPr>
          <w:color w:val="231F20"/>
          <w:sz w:val="19"/>
        </w:rPr>
        <w:t>dividend</w:t>
      </w:r>
      <w:r>
        <w:rPr>
          <w:color w:val="231F20"/>
          <w:spacing w:val="1"/>
          <w:sz w:val="19"/>
        </w:rPr>
        <w:t> </w:t>
      </w:r>
      <w:r>
        <w:rPr>
          <w:color w:val="231F20"/>
          <w:sz w:val="19"/>
        </w:rPr>
        <w:t>policy,</w:t>
      </w:r>
      <w:r>
        <w:rPr>
          <w:color w:val="231F20"/>
          <w:spacing w:val="5"/>
          <w:sz w:val="19"/>
        </w:rPr>
        <w:t> </w:t>
      </w:r>
      <w:r>
        <w:rPr>
          <w:color w:val="231F20"/>
          <w:sz w:val="19"/>
        </w:rPr>
        <w:t>241</w:t>
      </w:r>
      <w:r>
        <w:rPr>
          <w:color w:val="231F20"/>
          <w:spacing w:val="-23"/>
          <w:sz w:val="19"/>
        </w:rPr>
        <w:t> </w:t>
      </w:r>
      <w:r>
        <w:rPr>
          <w:color w:val="231F20"/>
          <w:sz w:val="19"/>
        </w:rPr>
        <w:t>–</w:t>
      </w:r>
      <w:r>
        <w:rPr>
          <w:color w:val="231F20"/>
          <w:spacing w:val="-23"/>
          <w:sz w:val="19"/>
        </w:rPr>
        <w:t> </w:t>
      </w:r>
      <w:r>
        <w:rPr>
          <w:color w:val="231F20"/>
          <w:spacing w:val="-5"/>
          <w:sz w:val="19"/>
        </w:rPr>
        <w:t>43</w:t>
      </w:r>
    </w:p>
    <w:p>
      <w:pPr>
        <w:spacing w:before="100"/>
        <w:ind w:left="314" w:right="0" w:firstLine="0"/>
        <w:jc w:val="left"/>
        <w:rPr>
          <w:sz w:val="19"/>
        </w:rPr>
      </w:pPr>
      <w:r>
        <w:rPr/>
        <w:br w:type="column"/>
      </w:r>
      <w:r>
        <w:rPr>
          <w:color w:val="231F20"/>
          <w:sz w:val="19"/>
        </w:rPr>
        <w:t>double</w:t>
      </w:r>
      <w:r>
        <w:rPr>
          <w:color w:val="231F20"/>
          <w:spacing w:val="-4"/>
          <w:sz w:val="19"/>
        </w:rPr>
        <w:t> </w:t>
      </w:r>
      <w:r>
        <w:rPr>
          <w:color w:val="231F20"/>
          <w:sz w:val="19"/>
        </w:rPr>
        <w:t>entry</w:t>
      </w:r>
      <w:r>
        <w:rPr>
          <w:color w:val="231F20"/>
          <w:spacing w:val="2"/>
          <w:sz w:val="19"/>
        </w:rPr>
        <w:t> </w:t>
      </w:r>
      <w:r>
        <w:rPr>
          <w:color w:val="231F20"/>
          <w:sz w:val="19"/>
        </w:rPr>
        <w:t>system,</w:t>
      </w:r>
      <w:r>
        <w:rPr>
          <w:color w:val="231F20"/>
          <w:spacing w:val="2"/>
          <w:sz w:val="19"/>
        </w:rPr>
        <w:t> </w:t>
      </w:r>
      <w:r>
        <w:rPr>
          <w:color w:val="231F20"/>
          <w:sz w:val="19"/>
        </w:rPr>
        <w:t>84</w:t>
      </w:r>
      <w:r>
        <w:rPr>
          <w:color w:val="231F20"/>
          <w:spacing w:val="-23"/>
          <w:sz w:val="19"/>
        </w:rPr>
        <w:t> </w:t>
      </w:r>
      <w:r>
        <w:rPr>
          <w:color w:val="231F20"/>
          <w:sz w:val="19"/>
        </w:rPr>
        <w:t>–</w:t>
      </w:r>
      <w:r>
        <w:rPr>
          <w:color w:val="231F20"/>
          <w:spacing w:val="-23"/>
          <w:sz w:val="19"/>
        </w:rPr>
        <w:t> </w:t>
      </w:r>
      <w:r>
        <w:rPr>
          <w:color w:val="231F20"/>
          <w:spacing w:val="-5"/>
          <w:sz w:val="19"/>
        </w:rPr>
        <w:t>85</w:t>
      </w:r>
    </w:p>
    <w:p>
      <w:pPr>
        <w:spacing w:before="17"/>
        <w:ind w:left="314" w:right="0" w:firstLine="0"/>
        <w:jc w:val="left"/>
        <w:rPr>
          <w:sz w:val="19"/>
        </w:rPr>
      </w:pPr>
      <w:r>
        <w:rPr>
          <w:color w:val="231F20"/>
          <w:sz w:val="19"/>
        </w:rPr>
        <w:t>double</w:t>
      </w:r>
      <w:r>
        <w:rPr>
          <w:color w:val="231F20"/>
          <w:spacing w:val="24"/>
          <w:sz w:val="19"/>
        </w:rPr>
        <w:t> </w:t>
      </w:r>
      <w:r>
        <w:rPr>
          <w:color w:val="231F20"/>
          <w:sz w:val="19"/>
        </w:rPr>
        <w:t>taxation,</w:t>
      </w:r>
      <w:r>
        <w:rPr>
          <w:color w:val="231F20"/>
          <w:spacing w:val="24"/>
          <w:sz w:val="19"/>
        </w:rPr>
        <w:t> </w:t>
      </w:r>
      <w:r>
        <w:rPr>
          <w:color w:val="231F20"/>
          <w:spacing w:val="-5"/>
          <w:sz w:val="19"/>
        </w:rPr>
        <w:t>202</w:t>
      </w:r>
    </w:p>
    <w:p>
      <w:pPr>
        <w:spacing w:line="259" w:lineRule="auto" w:before="17"/>
        <w:ind w:left="314" w:right="822" w:firstLine="0"/>
        <w:jc w:val="left"/>
        <w:rPr>
          <w:sz w:val="19"/>
        </w:rPr>
      </w:pPr>
      <w:r>
        <w:rPr>
          <w:color w:val="231F20"/>
          <w:sz w:val="19"/>
        </w:rPr>
        <w:t>Dow Jones Industrial Average, </w:t>
      </w:r>
      <w:r>
        <w:rPr>
          <w:color w:val="231F20"/>
          <w:sz w:val="19"/>
        </w:rPr>
        <w:t>205 dummy variables, 195</w:t>
      </w:r>
      <w:r>
        <w:rPr>
          <w:color w:val="231F20"/>
          <w:spacing w:val="-10"/>
          <w:sz w:val="19"/>
        </w:rPr>
        <w:t> </w:t>
      </w:r>
      <w:r>
        <w:rPr>
          <w:color w:val="231F20"/>
          <w:sz w:val="19"/>
        </w:rPr>
        <w:t>–</w:t>
      </w:r>
      <w:r>
        <w:rPr>
          <w:color w:val="231F20"/>
          <w:spacing w:val="-10"/>
          <w:sz w:val="19"/>
        </w:rPr>
        <w:t> </w:t>
      </w:r>
      <w:r>
        <w:rPr>
          <w:color w:val="231F20"/>
          <w:sz w:val="19"/>
        </w:rPr>
        <w:t>96</w:t>
      </w:r>
    </w:p>
    <w:p>
      <w:pPr>
        <w:spacing w:line="222" w:lineRule="exact" w:before="0"/>
        <w:ind w:left="314" w:right="0" w:firstLine="0"/>
        <w:jc w:val="left"/>
        <w:rPr>
          <w:sz w:val="19"/>
        </w:rPr>
      </w:pPr>
      <w:r>
        <w:rPr>
          <w:color w:val="231F20"/>
          <w:sz w:val="19"/>
        </w:rPr>
        <w:t>Du</w:t>
      </w:r>
      <w:r>
        <w:rPr>
          <w:color w:val="231F20"/>
          <w:spacing w:val="18"/>
          <w:sz w:val="19"/>
        </w:rPr>
        <w:t> </w:t>
      </w:r>
      <w:r>
        <w:rPr>
          <w:color w:val="231F20"/>
          <w:sz w:val="19"/>
        </w:rPr>
        <w:t>Pont</w:t>
      </w:r>
      <w:r>
        <w:rPr>
          <w:color w:val="231F20"/>
          <w:spacing w:val="18"/>
          <w:sz w:val="19"/>
        </w:rPr>
        <w:t> </w:t>
      </w:r>
      <w:r>
        <w:rPr>
          <w:color w:val="231F20"/>
          <w:sz w:val="19"/>
        </w:rPr>
        <w:t>chart,</w:t>
      </w:r>
      <w:r>
        <w:rPr>
          <w:color w:val="231F20"/>
          <w:spacing w:val="18"/>
          <w:sz w:val="19"/>
        </w:rPr>
        <w:t> </w:t>
      </w:r>
      <w:r>
        <w:rPr>
          <w:color w:val="231F20"/>
          <w:sz w:val="19"/>
        </w:rPr>
        <w:t>109</w:t>
      </w:r>
      <w:r>
        <w:rPr>
          <w:color w:val="231F20"/>
          <w:spacing w:val="-20"/>
          <w:sz w:val="19"/>
        </w:rPr>
        <w:t> </w:t>
      </w:r>
      <w:r>
        <w:rPr>
          <w:color w:val="231F20"/>
          <w:sz w:val="19"/>
        </w:rPr>
        <w:t>–</w:t>
      </w:r>
      <w:r>
        <w:rPr>
          <w:color w:val="231F20"/>
          <w:spacing w:val="-20"/>
          <w:sz w:val="19"/>
        </w:rPr>
        <w:t> </w:t>
      </w:r>
      <w:r>
        <w:rPr>
          <w:color w:val="231F20"/>
          <w:spacing w:val="-5"/>
          <w:sz w:val="19"/>
        </w:rPr>
        <w:t>10</w:t>
      </w:r>
    </w:p>
    <w:p>
      <w:pPr>
        <w:spacing w:before="17"/>
        <w:ind w:left="314" w:right="0" w:firstLine="0"/>
        <w:jc w:val="left"/>
        <w:rPr>
          <w:sz w:val="19"/>
        </w:rPr>
      </w:pPr>
      <w:r>
        <w:rPr>
          <w:color w:val="231F20"/>
          <w:sz w:val="19"/>
        </w:rPr>
        <w:t>duration,</w:t>
      </w:r>
      <w:r>
        <w:rPr>
          <w:color w:val="231F20"/>
          <w:spacing w:val="24"/>
          <w:sz w:val="19"/>
        </w:rPr>
        <w:t> </w:t>
      </w:r>
      <w:r>
        <w:rPr>
          <w:color w:val="231F20"/>
          <w:spacing w:val="-5"/>
          <w:sz w:val="19"/>
        </w:rPr>
        <w:t>228</w:t>
      </w:r>
    </w:p>
    <w:p>
      <w:pPr>
        <w:pStyle w:val="BodyText"/>
        <w:rPr>
          <w:sz w:val="22"/>
        </w:rPr>
      </w:pPr>
    </w:p>
    <w:p>
      <w:pPr>
        <w:spacing w:before="0"/>
        <w:ind w:left="314" w:right="0" w:firstLine="0"/>
        <w:jc w:val="left"/>
        <w:rPr>
          <w:sz w:val="19"/>
        </w:rPr>
      </w:pPr>
      <w:r>
        <w:rPr>
          <w:color w:val="231F20"/>
          <w:w w:val="105"/>
          <w:sz w:val="19"/>
        </w:rPr>
        <w:t>EBIT,</w:t>
      </w:r>
      <w:r>
        <w:rPr>
          <w:color w:val="231F20"/>
          <w:spacing w:val="2"/>
          <w:w w:val="105"/>
          <w:sz w:val="19"/>
        </w:rPr>
        <w:t> </w:t>
      </w:r>
      <w:r>
        <w:rPr>
          <w:color w:val="231F20"/>
          <w:w w:val="105"/>
          <w:sz w:val="19"/>
        </w:rPr>
        <w:t>91,</w:t>
      </w:r>
      <w:r>
        <w:rPr>
          <w:color w:val="231F20"/>
          <w:spacing w:val="2"/>
          <w:w w:val="105"/>
          <w:sz w:val="19"/>
        </w:rPr>
        <w:t> </w:t>
      </w:r>
      <w:r>
        <w:rPr>
          <w:color w:val="231F20"/>
          <w:spacing w:val="-5"/>
          <w:w w:val="105"/>
          <w:sz w:val="19"/>
        </w:rPr>
        <w:t>246</w:t>
      </w:r>
    </w:p>
    <w:p>
      <w:pPr>
        <w:spacing w:line="259" w:lineRule="auto" w:before="17"/>
        <w:ind w:left="554" w:right="822" w:hanging="240"/>
        <w:jc w:val="left"/>
        <w:rPr>
          <w:sz w:val="19"/>
        </w:rPr>
      </w:pPr>
      <w:r>
        <w:rPr>
          <w:color w:val="231F20"/>
          <w:sz w:val="19"/>
        </w:rPr>
        <w:t>Economic Order Quantity </w:t>
      </w:r>
      <w:r>
        <w:rPr>
          <w:color w:val="231F20"/>
          <w:sz w:val="19"/>
        </w:rPr>
        <w:t>(EOQ), 271</w:t>
      </w:r>
      <w:r>
        <w:rPr>
          <w:color w:val="231F20"/>
          <w:spacing w:val="-23"/>
          <w:sz w:val="19"/>
        </w:rPr>
        <w:t> </w:t>
      </w:r>
      <w:r>
        <w:rPr>
          <w:color w:val="231F20"/>
          <w:sz w:val="19"/>
        </w:rPr>
        <w:t>–</w:t>
      </w:r>
      <w:r>
        <w:rPr>
          <w:color w:val="231F20"/>
          <w:spacing w:val="-23"/>
          <w:sz w:val="19"/>
        </w:rPr>
        <w:t> </w:t>
      </w:r>
      <w:r>
        <w:rPr>
          <w:color w:val="231F20"/>
          <w:sz w:val="19"/>
        </w:rPr>
        <w:t>73</w:t>
      </w:r>
    </w:p>
    <w:p>
      <w:pPr>
        <w:spacing w:line="259" w:lineRule="auto" w:before="0"/>
        <w:ind w:left="314" w:right="822" w:firstLine="0"/>
        <w:jc w:val="left"/>
        <w:rPr>
          <w:sz w:val="19"/>
        </w:rPr>
      </w:pPr>
      <w:r>
        <w:rPr>
          <w:color w:val="231F20"/>
          <w:sz w:val="19"/>
        </w:rPr>
        <w:t>Economic Value Added (EVA), </w:t>
      </w:r>
      <w:r>
        <w:rPr>
          <w:color w:val="231F20"/>
          <w:sz w:val="19"/>
        </w:rPr>
        <w:t>356 efficient frontier, 207</w:t>
      </w:r>
    </w:p>
    <w:p>
      <w:pPr>
        <w:spacing w:line="259" w:lineRule="auto" w:before="0"/>
        <w:ind w:left="554" w:right="822" w:hanging="240"/>
        <w:jc w:val="left"/>
        <w:rPr>
          <w:sz w:val="19"/>
        </w:rPr>
      </w:pPr>
      <w:r>
        <w:rPr>
          <w:color w:val="231F20"/>
          <w:sz w:val="19"/>
        </w:rPr>
        <w:t>efficient</w:t>
      </w:r>
      <w:r>
        <w:rPr>
          <w:color w:val="231F20"/>
          <w:spacing w:val="-9"/>
          <w:sz w:val="19"/>
        </w:rPr>
        <w:t> </w:t>
      </w:r>
      <w:r>
        <w:rPr>
          <w:color w:val="231F20"/>
          <w:sz w:val="19"/>
        </w:rPr>
        <w:t>market</w:t>
      </w:r>
      <w:r>
        <w:rPr>
          <w:color w:val="231F20"/>
          <w:spacing w:val="-8"/>
          <w:sz w:val="19"/>
        </w:rPr>
        <w:t> </w:t>
      </w:r>
      <w:r>
        <w:rPr>
          <w:color w:val="231F20"/>
          <w:sz w:val="19"/>
        </w:rPr>
        <w:t>hypothesis,</w:t>
      </w:r>
      <w:r>
        <w:rPr>
          <w:color w:val="231F20"/>
          <w:spacing w:val="-8"/>
          <w:sz w:val="19"/>
        </w:rPr>
        <w:t> </w:t>
      </w:r>
      <w:r>
        <w:rPr>
          <w:color w:val="231F20"/>
          <w:sz w:val="19"/>
        </w:rPr>
        <w:t>209</w:t>
      </w:r>
      <w:r>
        <w:rPr>
          <w:color w:val="231F20"/>
          <w:spacing w:val="-23"/>
          <w:sz w:val="19"/>
        </w:rPr>
        <w:t> </w:t>
      </w:r>
      <w:r>
        <w:rPr>
          <w:color w:val="231F20"/>
          <w:sz w:val="19"/>
        </w:rPr>
        <w:t>– </w:t>
      </w:r>
      <w:r>
        <w:rPr>
          <w:color w:val="231F20"/>
          <w:spacing w:val="-4"/>
          <w:sz w:val="19"/>
        </w:rPr>
        <w:t>210</w:t>
      </w:r>
    </w:p>
    <w:p>
      <w:pPr>
        <w:spacing w:line="222" w:lineRule="exact" w:before="0"/>
        <w:ind w:left="314" w:right="0" w:firstLine="0"/>
        <w:jc w:val="left"/>
        <w:rPr>
          <w:sz w:val="19"/>
        </w:rPr>
      </w:pPr>
      <w:r>
        <w:rPr>
          <w:color w:val="231F20"/>
          <w:sz w:val="19"/>
        </w:rPr>
        <w:t>elasticity</w:t>
      </w:r>
      <w:r>
        <w:rPr>
          <w:color w:val="231F20"/>
          <w:spacing w:val="7"/>
          <w:sz w:val="19"/>
        </w:rPr>
        <w:t> </w:t>
      </w:r>
      <w:r>
        <w:rPr>
          <w:color w:val="231F20"/>
          <w:sz w:val="19"/>
        </w:rPr>
        <w:t>of</w:t>
      </w:r>
      <w:r>
        <w:rPr>
          <w:color w:val="231F20"/>
          <w:spacing w:val="9"/>
          <w:sz w:val="19"/>
        </w:rPr>
        <w:t> </w:t>
      </w:r>
      <w:r>
        <w:rPr>
          <w:color w:val="231F20"/>
          <w:sz w:val="19"/>
        </w:rPr>
        <w:t>demand,</w:t>
      </w:r>
      <w:r>
        <w:rPr>
          <w:color w:val="231F20"/>
          <w:spacing w:val="8"/>
          <w:sz w:val="19"/>
        </w:rPr>
        <w:t> </w:t>
      </w:r>
      <w:r>
        <w:rPr>
          <w:color w:val="231F20"/>
          <w:sz w:val="19"/>
        </w:rPr>
        <w:t>294</w:t>
      </w:r>
      <w:r>
        <w:rPr>
          <w:color w:val="231F20"/>
          <w:spacing w:val="-23"/>
          <w:sz w:val="19"/>
        </w:rPr>
        <w:t> </w:t>
      </w:r>
      <w:r>
        <w:rPr>
          <w:color w:val="231F20"/>
          <w:sz w:val="19"/>
        </w:rPr>
        <w:t>–</w:t>
      </w:r>
      <w:r>
        <w:rPr>
          <w:color w:val="231F20"/>
          <w:spacing w:val="-23"/>
          <w:sz w:val="19"/>
        </w:rPr>
        <w:t> </w:t>
      </w:r>
      <w:r>
        <w:rPr>
          <w:color w:val="231F20"/>
          <w:spacing w:val="-5"/>
          <w:sz w:val="19"/>
        </w:rPr>
        <w:t>96</w:t>
      </w:r>
    </w:p>
    <w:p>
      <w:pPr>
        <w:spacing w:before="15"/>
        <w:ind w:left="314" w:right="0" w:firstLine="0"/>
        <w:jc w:val="left"/>
        <w:rPr>
          <w:sz w:val="19"/>
        </w:rPr>
      </w:pPr>
      <w:r>
        <w:rPr>
          <w:color w:val="231F20"/>
          <w:sz w:val="19"/>
        </w:rPr>
        <w:t>empowerment,</w:t>
      </w:r>
      <w:r>
        <w:rPr>
          <w:color w:val="231F20"/>
          <w:spacing w:val="-3"/>
          <w:sz w:val="19"/>
        </w:rPr>
        <w:t> </w:t>
      </w:r>
      <w:r>
        <w:rPr>
          <w:color w:val="231F20"/>
          <w:spacing w:val="-5"/>
          <w:sz w:val="19"/>
        </w:rPr>
        <w:t>129</w:t>
      </w:r>
    </w:p>
    <w:p>
      <w:pPr>
        <w:spacing w:before="17"/>
        <w:ind w:left="314" w:right="0" w:firstLine="0"/>
        <w:jc w:val="left"/>
        <w:rPr>
          <w:sz w:val="19"/>
        </w:rPr>
      </w:pPr>
      <w:r>
        <w:rPr>
          <w:color w:val="231F20"/>
          <w:sz w:val="19"/>
        </w:rPr>
        <w:t>end</w:t>
      </w:r>
      <w:r>
        <w:rPr>
          <w:color w:val="231F20"/>
          <w:spacing w:val="13"/>
          <w:sz w:val="19"/>
        </w:rPr>
        <w:t> </w:t>
      </w:r>
      <w:r>
        <w:rPr>
          <w:color w:val="231F20"/>
          <w:sz w:val="19"/>
        </w:rPr>
        <w:t>cap,</w:t>
      </w:r>
      <w:r>
        <w:rPr>
          <w:color w:val="231F20"/>
          <w:spacing w:val="13"/>
          <w:sz w:val="19"/>
        </w:rPr>
        <w:t> </w:t>
      </w:r>
      <w:r>
        <w:rPr>
          <w:color w:val="231F20"/>
          <w:spacing w:val="-5"/>
          <w:sz w:val="19"/>
        </w:rPr>
        <w:t>44</w:t>
      </w:r>
    </w:p>
    <w:p>
      <w:pPr>
        <w:spacing w:line="259" w:lineRule="auto" w:before="18"/>
        <w:ind w:left="314" w:right="1162" w:firstLine="0"/>
        <w:jc w:val="left"/>
        <w:rPr>
          <w:sz w:val="19"/>
        </w:rPr>
      </w:pPr>
      <w:r>
        <w:rPr>
          <w:color w:val="231F20"/>
          <w:sz w:val="19"/>
        </w:rPr>
        <w:t>end game strategy, 20 enterprise software, 275 enterprise</w:t>
      </w:r>
      <w:r>
        <w:rPr>
          <w:color w:val="231F20"/>
          <w:spacing w:val="-9"/>
          <w:sz w:val="19"/>
        </w:rPr>
        <w:t> </w:t>
      </w:r>
      <w:r>
        <w:rPr>
          <w:color w:val="231F20"/>
          <w:sz w:val="19"/>
        </w:rPr>
        <w:t>value</w:t>
      </w:r>
      <w:r>
        <w:rPr>
          <w:color w:val="231F20"/>
          <w:spacing w:val="-8"/>
          <w:sz w:val="19"/>
        </w:rPr>
        <w:t> </w:t>
      </w:r>
      <w:r>
        <w:rPr>
          <w:color w:val="231F20"/>
          <w:sz w:val="19"/>
        </w:rPr>
        <w:t>(EV),</w:t>
      </w:r>
      <w:r>
        <w:rPr>
          <w:color w:val="231F20"/>
          <w:spacing w:val="-8"/>
          <w:sz w:val="19"/>
        </w:rPr>
        <w:t> </w:t>
      </w:r>
      <w:r>
        <w:rPr>
          <w:color w:val="231F20"/>
          <w:sz w:val="19"/>
        </w:rPr>
        <w:t>245 entity, 74</w:t>
      </w:r>
    </w:p>
    <w:p>
      <w:pPr>
        <w:spacing w:line="221" w:lineRule="exact" w:before="0"/>
        <w:ind w:left="314" w:right="0" w:firstLine="0"/>
        <w:jc w:val="left"/>
        <w:rPr>
          <w:sz w:val="19"/>
        </w:rPr>
      </w:pPr>
      <w:r>
        <w:rPr>
          <w:color w:val="231F20"/>
          <w:sz w:val="19"/>
        </w:rPr>
        <w:t>equilibrium,</w:t>
      </w:r>
      <w:r>
        <w:rPr>
          <w:color w:val="231F20"/>
          <w:spacing w:val="10"/>
          <w:sz w:val="19"/>
        </w:rPr>
        <w:t> </w:t>
      </w:r>
      <w:r>
        <w:rPr>
          <w:color w:val="231F20"/>
          <w:spacing w:val="-5"/>
          <w:sz w:val="19"/>
        </w:rPr>
        <w:t>289</w:t>
      </w:r>
    </w:p>
    <w:p>
      <w:pPr>
        <w:spacing w:before="17"/>
        <w:ind w:left="314" w:right="0" w:firstLine="0"/>
        <w:jc w:val="left"/>
        <w:rPr>
          <w:sz w:val="19"/>
        </w:rPr>
      </w:pPr>
      <w:r>
        <w:rPr>
          <w:color w:val="231F20"/>
          <w:sz w:val="19"/>
        </w:rPr>
        <w:t>event</w:t>
      </w:r>
      <w:r>
        <w:rPr>
          <w:color w:val="231F20"/>
          <w:spacing w:val="9"/>
          <w:sz w:val="19"/>
        </w:rPr>
        <w:t> </w:t>
      </w:r>
      <w:r>
        <w:rPr>
          <w:color w:val="231F20"/>
          <w:sz w:val="19"/>
        </w:rPr>
        <w:t>fan,</w:t>
      </w:r>
      <w:r>
        <w:rPr>
          <w:color w:val="231F20"/>
          <w:spacing w:val="9"/>
          <w:sz w:val="19"/>
        </w:rPr>
        <w:t> </w:t>
      </w:r>
      <w:r>
        <w:rPr>
          <w:color w:val="231F20"/>
          <w:spacing w:val="-5"/>
          <w:sz w:val="19"/>
        </w:rPr>
        <w:t>188</w:t>
      </w:r>
    </w:p>
    <w:p>
      <w:pPr>
        <w:spacing w:line="259" w:lineRule="auto" w:before="17"/>
        <w:ind w:left="554" w:right="1162" w:hanging="240"/>
        <w:jc w:val="left"/>
        <w:rPr>
          <w:sz w:val="19"/>
        </w:rPr>
      </w:pPr>
      <w:r>
        <w:rPr>
          <w:color w:val="231F20"/>
          <w:w w:val="105"/>
          <w:sz w:val="19"/>
        </w:rPr>
        <w:t>“Evolution</w:t>
      </w:r>
      <w:r>
        <w:rPr>
          <w:color w:val="231F20"/>
          <w:spacing w:val="-4"/>
          <w:w w:val="105"/>
          <w:sz w:val="19"/>
        </w:rPr>
        <w:t> </w:t>
      </w:r>
      <w:r>
        <w:rPr>
          <w:color w:val="231F20"/>
          <w:w w:val="105"/>
          <w:sz w:val="19"/>
        </w:rPr>
        <w:t>and</w:t>
      </w:r>
      <w:r>
        <w:rPr>
          <w:color w:val="231F20"/>
          <w:spacing w:val="-4"/>
          <w:w w:val="105"/>
          <w:sz w:val="19"/>
        </w:rPr>
        <w:t> </w:t>
      </w:r>
      <w:r>
        <w:rPr>
          <w:color w:val="231F20"/>
          <w:w w:val="105"/>
          <w:sz w:val="19"/>
        </w:rPr>
        <w:t>Revolution,” 154</w:t>
      </w:r>
      <w:r>
        <w:rPr>
          <w:color w:val="231F20"/>
          <w:spacing w:val="-26"/>
          <w:w w:val="105"/>
          <w:sz w:val="19"/>
        </w:rPr>
        <w:t> </w:t>
      </w:r>
      <w:r>
        <w:rPr>
          <w:color w:val="231F20"/>
          <w:w w:val="105"/>
          <w:sz w:val="19"/>
        </w:rPr>
        <w:t>–</w:t>
      </w:r>
      <w:r>
        <w:rPr>
          <w:color w:val="231F20"/>
          <w:spacing w:val="-25"/>
          <w:w w:val="105"/>
          <w:sz w:val="19"/>
        </w:rPr>
        <w:t> </w:t>
      </w:r>
      <w:r>
        <w:rPr>
          <w:color w:val="231F20"/>
          <w:w w:val="105"/>
          <w:sz w:val="19"/>
        </w:rPr>
        <w:t>54</w:t>
      </w:r>
    </w:p>
    <w:p>
      <w:pPr>
        <w:spacing w:line="222" w:lineRule="exact" w:before="0"/>
        <w:ind w:left="314" w:right="0" w:firstLine="0"/>
        <w:jc w:val="left"/>
        <w:rPr>
          <w:sz w:val="19"/>
        </w:rPr>
      </w:pPr>
      <w:r>
        <w:rPr>
          <w:color w:val="231F20"/>
          <w:sz w:val="19"/>
        </w:rPr>
        <w:t>exchange</w:t>
      </w:r>
      <w:r>
        <w:rPr>
          <w:color w:val="231F20"/>
          <w:spacing w:val="4"/>
          <w:sz w:val="19"/>
        </w:rPr>
        <w:t> </w:t>
      </w:r>
      <w:r>
        <w:rPr>
          <w:color w:val="231F20"/>
          <w:sz w:val="19"/>
        </w:rPr>
        <w:t>rates,</w:t>
      </w:r>
      <w:r>
        <w:rPr>
          <w:color w:val="231F20"/>
          <w:spacing w:val="7"/>
          <w:sz w:val="19"/>
        </w:rPr>
        <w:t> </w:t>
      </w:r>
      <w:r>
        <w:rPr>
          <w:color w:val="231F20"/>
          <w:sz w:val="19"/>
        </w:rPr>
        <w:t>315</w:t>
      </w:r>
      <w:r>
        <w:rPr>
          <w:color w:val="231F20"/>
          <w:spacing w:val="-23"/>
          <w:sz w:val="19"/>
        </w:rPr>
        <w:t> </w:t>
      </w:r>
      <w:r>
        <w:rPr>
          <w:color w:val="231F20"/>
          <w:sz w:val="19"/>
        </w:rPr>
        <w:t>–</w:t>
      </w:r>
      <w:r>
        <w:rPr>
          <w:color w:val="231F20"/>
          <w:spacing w:val="-23"/>
          <w:sz w:val="19"/>
        </w:rPr>
        <w:t> </w:t>
      </w:r>
      <w:r>
        <w:rPr>
          <w:color w:val="231F20"/>
          <w:spacing w:val="-5"/>
          <w:sz w:val="19"/>
        </w:rPr>
        <w:t>17</w:t>
      </w:r>
    </w:p>
    <w:p>
      <w:pPr>
        <w:spacing w:line="259" w:lineRule="auto" w:before="17"/>
        <w:ind w:left="314" w:right="822" w:firstLine="0"/>
        <w:jc w:val="left"/>
        <w:rPr>
          <w:sz w:val="19"/>
        </w:rPr>
      </w:pPr>
      <w:r>
        <w:rPr>
          <w:color w:val="231F20"/>
          <w:sz w:val="19"/>
        </w:rPr>
        <w:t>Expectancy Theory, 126</w:t>
      </w:r>
      <w:r>
        <w:rPr>
          <w:color w:val="231F20"/>
          <w:spacing w:val="-10"/>
          <w:sz w:val="19"/>
        </w:rPr>
        <w:t> </w:t>
      </w:r>
      <w:r>
        <w:rPr>
          <w:color w:val="231F20"/>
          <w:sz w:val="19"/>
        </w:rPr>
        <w:t>–</w:t>
      </w:r>
      <w:r>
        <w:rPr>
          <w:color w:val="231F20"/>
          <w:spacing w:val="-10"/>
          <w:sz w:val="19"/>
        </w:rPr>
        <w:t> </w:t>
      </w:r>
      <w:r>
        <w:rPr>
          <w:color w:val="231F20"/>
          <w:sz w:val="19"/>
        </w:rPr>
        <w:t>27 expected monetary value </w:t>
      </w:r>
      <w:r>
        <w:rPr>
          <w:color w:val="231F20"/>
          <w:sz w:val="19"/>
        </w:rPr>
        <w:t>(EMV),</w:t>
      </w:r>
    </w:p>
    <w:p>
      <w:pPr>
        <w:spacing w:line="222" w:lineRule="exact" w:before="0"/>
        <w:ind w:left="554" w:right="0" w:firstLine="0"/>
        <w:jc w:val="left"/>
        <w:rPr>
          <w:sz w:val="19"/>
        </w:rPr>
      </w:pPr>
      <w:r>
        <w:rPr>
          <w:color w:val="231F20"/>
          <w:spacing w:val="-5"/>
          <w:sz w:val="19"/>
        </w:rPr>
        <w:t>163</w:t>
      </w:r>
    </w:p>
    <w:p>
      <w:pPr>
        <w:pStyle w:val="BodyText"/>
        <w:spacing w:before="11"/>
      </w:pPr>
    </w:p>
    <w:p>
      <w:pPr>
        <w:spacing w:before="0"/>
        <w:ind w:left="314" w:right="0" w:firstLine="0"/>
        <w:jc w:val="left"/>
        <w:rPr>
          <w:sz w:val="19"/>
        </w:rPr>
      </w:pPr>
      <w:r>
        <w:rPr>
          <w:color w:val="231F20"/>
          <w:w w:val="105"/>
          <w:sz w:val="19"/>
        </w:rPr>
        <w:t>FASB,</w:t>
      </w:r>
      <w:r>
        <w:rPr>
          <w:color w:val="231F20"/>
          <w:spacing w:val="9"/>
          <w:w w:val="105"/>
          <w:sz w:val="19"/>
        </w:rPr>
        <w:t> </w:t>
      </w:r>
      <w:r>
        <w:rPr>
          <w:color w:val="231F20"/>
          <w:spacing w:val="-5"/>
          <w:w w:val="105"/>
          <w:sz w:val="19"/>
        </w:rPr>
        <w:t>73</w:t>
      </w:r>
    </w:p>
    <w:p>
      <w:pPr>
        <w:spacing w:before="18"/>
        <w:ind w:left="314" w:right="0" w:firstLine="0"/>
        <w:jc w:val="left"/>
        <w:rPr>
          <w:sz w:val="19"/>
        </w:rPr>
      </w:pPr>
      <w:r>
        <w:rPr>
          <w:color w:val="231F20"/>
          <w:sz w:val="19"/>
        </w:rPr>
        <w:t>Federal</w:t>
      </w:r>
      <w:r>
        <w:rPr>
          <w:color w:val="231F20"/>
          <w:spacing w:val="-7"/>
          <w:sz w:val="19"/>
        </w:rPr>
        <w:t> </w:t>
      </w:r>
      <w:r>
        <w:rPr>
          <w:color w:val="231F20"/>
          <w:sz w:val="19"/>
        </w:rPr>
        <w:t>Reserve,</w:t>
      </w:r>
      <w:r>
        <w:rPr>
          <w:color w:val="231F20"/>
          <w:spacing w:val="1"/>
          <w:sz w:val="19"/>
        </w:rPr>
        <w:t> </w:t>
      </w:r>
      <w:r>
        <w:rPr>
          <w:color w:val="231F20"/>
          <w:sz w:val="19"/>
        </w:rPr>
        <w:t>308</w:t>
      </w:r>
      <w:r>
        <w:rPr>
          <w:color w:val="231F20"/>
          <w:spacing w:val="-23"/>
          <w:sz w:val="19"/>
        </w:rPr>
        <w:t> </w:t>
      </w:r>
      <w:r>
        <w:rPr>
          <w:color w:val="231F20"/>
          <w:sz w:val="19"/>
        </w:rPr>
        <w:t>–</w:t>
      </w:r>
      <w:r>
        <w:rPr>
          <w:color w:val="231F20"/>
          <w:spacing w:val="-23"/>
          <w:sz w:val="19"/>
        </w:rPr>
        <w:t> </w:t>
      </w:r>
      <w:r>
        <w:rPr>
          <w:color w:val="231F20"/>
          <w:spacing w:val="-10"/>
          <w:sz w:val="19"/>
        </w:rPr>
        <w:t>9</w:t>
      </w:r>
    </w:p>
    <w:p>
      <w:pPr>
        <w:spacing w:before="17"/>
        <w:ind w:left="314" w:right="0" w:firstLine="0"/>
        <w:jc w:val="left"/>
        <w:rPr>
          <w:sz w:val="19"/>
        </w:rPr>
      </w:pPr>
      <w:r>
        <w:rPr>
          <w:color w:val="231F20"/>
          <w:sz w:val="19"/>
        </w:rPr>
        <w:t>FIFO</w:t>
      </w:r>
      <w:r>
        <w:rPr>
          <w:color w:val="231F20"/>
          <w:spacing w:val="28"/>
          <w:sz w:val="19"/>
        </w:rPr>
        <w:t> </w:t>
      </w:r>
      <w:r>
        <w:rPr>
          <w:color w:val="231F20"/>
          <w:sz w:val="19"/>
        </w:rPr>
        <w:t>method,</w:t>
      </w:r>
      <w:r>
        <w:rPr>
          <w:color w:val="231F20"/>
          <w:spacing w:val="28"/>
          <w:sz w:val="19"/>
        </w:rPr>
        <w:t> </w:t>
      </w:r>
      <w:r>
        <w:rPr>
          <w:color w:val="231F20"/>
          <w:sz w:val="19"/>
        </w:rPr>
        <w:t>79</w:t>
      </w:r>
      <w:r>
        <w:rPr>
          <w:color w:val="231F20"/>
          <w:spacing w:val="-17"/>
          <w:sz w:val="19"/>
        </w:rPr>
        <w:t> </w:t>
      </w:r>
      <w:r>
        <w:rPr>
          <w:color w:val="231F20"/>
          <w:sz w:val="19"/>
        </w:rPr>
        <w:t>–</w:t>
      </w:r>
      <w:r>
        <w:rPr>
          <w:color w:val="231F20"/>
          <w:spacing w:val="-16"/>
          <w:sz w:val="19"/>
        </w:rPr>
        <w:t> </w:t>
      </w:r>
      <w:r>
        <w:rPr>
          <w:color w:val="231F20"/>
          <w:spacing w:val="-5"/>
          <w:sz w:val="19"/>
        </w:rPr>
        <w:t>80</w:t>
      </w:r>
    </w:p>
    <w:p>
      <w:pPr>
        <w:spacing w:before="17"/>
        <w:ind w:left="314" w:right="0" w:firstLine="0"/>
        <w:jc w:val="left"/>
        <w:rPr>
          <w:sz w:val="19"/>
        </w:rPr>
      </w:pPr>
      <w:r>
        <w:rPr>
          <w:color w:val="231F20"/>
          <w:sz w:val="19"/>
        </w:rPr>
        <w:t>financial leverage,</w:t>
      </w:r>
      <w:r>
        <w:rPr>
          <w:color w:val="231F20"/>
          <w:spacing w:val="5"/>
          <w:sz w:val="19"/>
        </w:rPr>
        <w:t> </w:t>
      </w:r>
      <w:r>
        <w:rPr>
          <w:color w:val="231F20"/>
          <w:sz w:val="19"/>
        </w:rPr>
        <w:t>108</w:t>
      </w:r>
      <w:r>
        <w:rPr>
          <w:color w:val="231F20"/>
          <w:spacing w:val="-23"/>
          <w:sz w:val="19"/>
        </w:rPr>
        <w:t> </w:t>
      </w:r>
      <w:r>
        <w:rPr>
          <w:color w:val="231F20"/>
          <w:sz w:val="19"/>
        </w:rPr>
        <w:t>–</w:t>
      </w:r>
      <w:r>
        <w:rPr>
          <w:color w:val="231F20"/>
          <w:spacing w:val="-23"/>
          <w:sz w:val="19"/>
        </w:rPr>
        <w:t> </w:t>
      </w:r>
      <w:r>
        <w:rPr>
          <w:color w:val="231F20"/>
          <w:spacing w:val="-10"/>
          <w:sz w:val="19"/>
        </w:rPr>
        <w:t>9</w:t>
      </w:r>
    </w:p>
    <w:p>
      <w:pPr>
        <w:spacing w:before="17"/>
        <w:ind w:left="314" w:right="0" w:firstLine="0"/>
        <w:jc w:val="left"/>
        <w:rPr>
          <w:sz w:val="19"/>
        </w:rPr>
      </w:pPr>
      <w:r>
        <w:rPr>
          <w:color w:val="231F20"/>
          <w:sz w:val="19"/>
        </w:rPr>
        <w:t>financial</w:t>
      </w:r>
      <w:r>
        <w:rPr>
          <w:color w:val="231F20"/>
          <w:spacing w:val="10"/>
          <w:sz w:val="19"/>
        </w:rPr>
        <w:t> </w:t>
      </w:r>
      <w:r>
        <w:rPr>
          <w:color w:val="231F20"/>
          <w:sz w:val="19"/>
        </w:rPr>
        <w:t>management,</w:t>
      </w:r>
      <w:r>
        <w:rPr>
          <w:color w:val="231F20"/>
          <w:spacing w:val="10"/>
          <w:sz w:val="19"/>
        </w:rPr>
        <w:t> </w:t>
      </w:r>
      <w:r>
        <w:rPr>
          <w:color w:val="231F20"/>
          <w:sz w:val="19"/>
        </w:rPr>
        <w:t>226</w:t>
      </w:r>
      <w:r>
        <w:rPr>
          <w:color w:val="231F20"/>
          <w:spacing w:val="-23"/>
          <w:sz w:val="19"/>
        </w:rPr>
        <w:t> </w:t>
      </w:r>
      <w:r>
        <w:rPr>
          <w:color w:val="231F20"/>
          <w:sz w:val="19"/>
        </w:rPr>
        <w:t>–</w:t>
      </w:r>
      <w:r>
        <w:rPr>
          <w:color w:val="231F20"/>
          <w:spacing w:val="-23"/>
          <w:sz w:val="19"/>
        </w:rPr>
        <w:t> </w:t>
      </w:r>
      <w:r>
        <w:rPr>
          <w:color w:val="231F20"/>
          <w:spacing w:val="-5"/>
          <w:sz w:val="19"/>
        </w:rPr>
        <w:t>43</w:t>
      </w:r>
    </w:p>
    <w:p>
      <w:pPr>
        <w:spacing w:before="18"/>
        <w:ind w:left="314" w:right="0" w:firstLine="0"/>
        <w:jc w:val="left"/>
        <w:rPr>
          <w:sz w:val="19"/>
        </w:rPr>
      </w:pPr>
      <w:r>
        <w:rPr>
          <w:color w:val="231F20"/>
          <w:sz w:val="19"/>
        </w:rPr>
        <w:t>fiscal</w:t>
      </w:r>
      <w:r>
        <w:rPr>
          <w:color w:val="231F20"/>
          <w:spacing w:val="5"/>
          <w:sz w:val="19"/>
        </w:rPr>
        <w:t> </w:t>
      </w:r>
      <w:r>
        <w:rPr>
          <w:color w:val="231F20"/>
          <w:sz w:val="19"/>
        </w:rPr>
        <w:t>policy,</w:t>
      </w:r>
      <w:r>
        <w:rPr>
          <w:color w:val="231F20"/>
          <w:spacing w:val="7"/>
          <w:sz w:val="19"/>
        </w:rPr>
        <w:t> </w:t>
      </w:r>
      <w:r>
        <w:rPr>
          <w:color w:val="231F20"/>
          <w:sz w:val="19"/>
        </w:rPr>
        <w:t>304</w:t>
      </w:r>
      <w:r>
        <w:rPr>
          <w:color w:val="231F20"/>
          <w:spacing w:val="-23"/>
          <w:sz w:val="19"/>
        </w:rPr>
        <w:t> </w:t>
      </w:r>
      <w:r>
        <w:rPr>
          <w:color w:val="231F20"/>
          <w:sz w:val="19"/>
        </w:rPr>
        <w:t>–</w:t>
      </w:r>
      <w:r>
        <w:rPr>
          <w:color w:val="231F20"/>
          <w:spacing w:val="-23"/>
          <w:sz w:val="19"/>
        </w:rPr>
        <w:t> </w:t>
      </w:r>
      <w:r>
        <w:rPr>
          <w:color w:val="231F20"/>
          <w:spacing w:val="-10"/>
          <w:sz w:val="19"/>
        </w:rPr>
        <w:t>4</w:t>
      </w:r>
    </w:p>
    <w:p>
      <w:pPr>
        <w:spacing w:before="17"/>
        <w:ind w:left="314" w:right="0" w:firstLine="0"/>
        <w:jc w:val="left"/>
        <w:rPr>
          <w:sz w:val="19"/>
        </w:rPr>
      </w:pPr>
      <w:r>
        <w:rPr>
          <w:color w:val="231F20"/>
          <w:sz w:val="19"/>
        </w:rPr>
        <w:t>Five</w:t>
      </w:r>
      <w:r>
        <w:rPr>
          <w:color w:val="231F20"/>
          <w:spacing w:val="-3"/>
          <w:sz w:val="19"/>
        </w:rPr>
        <w:t> </w:t>
      </w:r>
      <w:r>
        <w:rPr>
          <w:color w:val="231F20"/>
          <w:sz w:val="19"/>
        </w:rPr>
        <w:t>Forces</w:t>
      </w:r>
      <w:r>
        <w:rPr>
          <w:color w:val="231F20"/>
          <w:spacing w:val="2"/>
          <w:sz w:val="19"/>
        </w:rPr>
        <w:t> </w:t>
      </w:r>
      <w:r>
        <w:rPr>
          <w:color w:val="231F20"/>
          <w:sz w:val="19"/>
        </w:rPr>
        <w:t>Theory,</w:t>
      </w:r>
      <w:r>
        <w:rPr>
          <w:color w:val="231F20"/>
          <w:spacing w:val="3"/>
          <w:sz w:val="19"/>
        </w:rPr>
        <w:t> </w:t>
      </w:r>
      <w:r>
        <w:rPr>
          <w:color w:val="231F20"/>
          <w:sz w:val="19"/>
        </w:rPr>
        <w:t>337</w:t>
      </w:r>
      <w:r>
        <w:rPr>
          <w:color w:val="231F20"/>
          <w:spacing w:val="-23"/>
          <w:sz w:val="19"/>
        </w:rPr>
        <w:t> </w:t>
      </w:r>
      <w:r>
        <w:rPr>
          <w:color w:val="231F20"/>
          <w:sz w:val="19"/>
        </w:rPr>
        <w:t>–</w:t>
      </w:r>
      <w:r>
        <w:rPr>
          <w:color w:val="231F20"/>
          <w:spacing w:val="-23"/>
          <w:sz w:val="19"/>
        </w:rPr>
        <w:t> </w:t>
      </w:r>
      <w:r>
        <w:rPr>
          <w:color w:val="231F20"/>
          <w:spacing w:val="-5"/>
          <w:sz w:val="19"/>
        </w:rPr>
        <w:t>40</w:t>
      </w:r>
    </w:p>
    <w:p>
      <w:pPr>
        <w:spacing w:before="17"/>
        <w:ind w:left="314" w:right="0" w:firstLine="0"/>
        <w:jc w:val="left"/>
        <w:rPr>
          <w:sz w:val="19"/>
        </w:rPr>
      </w:pPr>
      <w:r>
        <w:rPr>
          <w:color w:val="231F20"/>
          <w:sz w:val="19"/>
        </w:rPr>
        <w:t>fixed</w:t>
      </w:r>
      <w:r>
        <w:rPr>
          <w:color w:val="231F20"/>
          <w:spacing w:val="10"/>
          <w:sz w:val="19"/>
        </w:rPr>
        <w:t> </w:t>
      </w:r>
      <w:r>
        <w:rPr>
          <w:color w:val="231F20"/>
          <w:sz w:val="19"/>
        </w:rPr>
        <w:t>costs,</w:t>
      </w:r>
      <w:r>
        <w:rPr>
          <w:color w:val="231F20"/>
          <w:spacing w:val="10"/>
          <w:sz w:val="19"/>
        </w:rPr>
        <w:t> </w:t>
      </w:r>
      <w:r>
        <w:rPr>
          <w:color w:val="231F20"/>
          <w:spacing w:val="-5"/>
          <w:sz w:val="19"/>
        </w:rPr>
        <w:t>51</w:t>
      </w:r>
    </w:p>
    <w:p>
      <w:pPr>
        <w:spacing w:before="17"/>
        <w:ind w:left="314" w:right="0" w:firstLine="0"/>
        <w:jc w:val="left"/>
        <w:rPr>
          <w:sz w:val="19"/>
        </w:rPr>
      </w:pPr>
      <w:r>
        <w:rPr>
          <w:color w:val="231F20"/>
          <w:sz w:val="19"/>
        </w:rPr>
        <w:t>flow</w:t>
      </w:r>
      <w:r>
        <w:rPr>
          <w:color w:val="231F20"/>
          <w:spacing w:val="10"/>
          <w:sz w:val="19"/>
        </w:rPr>
        <w:t> </w:t>
      </w:r>
      <w:r>
        <w:rPr>
          <w:color w:val="231F20"/>
          <w:sz w:val="19"/>
        </w:rPr>
        <w:t>diagrams,</w:t>
      </w:r>
      <w:r>
        <w:rPr>
          <w:color w:val="231F20"/>
          <w:spacing w:val="10"/>
          <w:sz w:val="19"/>
        </w:rPr>
        <w:t> </w:t>
      </w:r>
      <w:r>
        <w:rPr>
          <w:color w:val="231F20"/>
          <w:spacing w:val="-5"/>
          <w:sz w:val="19"/>
        </w:rPr>
        <w:t>262</w:t>
      </w:r>
    </w:p>
    <w:p>
      <w:pPr>
        <w:spacing w:line="259" w:lineRule="auto" w:before="18"/>
        <w:ind w:left="314" w:right="1928" w:firstLine="0"/>
        <w:jc w:val="left"/>
        <w:rPr>
          <w:sz w:val="19"/>
        </w:rPr>
      </w:pPr>
      <w:r>
        <w:rPr>
          <w:color w:val="231F20"/>
          <w:sz w:val="19"/>
        </w:rPr>
        <w:t>focus strategy, 345 free cash flow, 240 freestanding</w:t>
      </w:r>
      <w:r>
        <w:rPr>
          <w:color w:val="231F20"/>
          <w:spacing w:val="-9"/>
          <w:sz w:val="19"/>
        </w:rPr>
        <w:t> </w:t>
      </w:r>
      <w:r>
        <w:rPr>
          <w:color w:val="231F20"/>
          <w:sz w:val="19"/>
        </w:rPr>
        <w:t>insert,</w:t>
      </w:r>
      <w:r>
        <w:rPr>
          <w:color w:val="231F20"/>
          <w:spacing w:val="-8"/>
          <w:sz w:val="19"/>
        </w:rPr>
        <w:t> </w:t>
      </w:r>
      <w:r>
        <w:rPr>
          <w:color w:val="231F20"/>
          <w:sz w:val="19"/>
        </w:rPr>
        <w:t>42</w:t>
      </w:r>
    </w:p>
    <w:p>
      <w:pPr>
        <w:spacing w:line="221" w:lineRule="exact" w:before="0"/>
        <w:ind w:left="314" w:right="0" w:firstLine="0"/>
        <w:jc w:val="left"/>
        <w:rPr>
          <w:sz w:val="19"/>
        </w:rPr>
      </w:pPr>
      <w:r>
        <w:rPr>
          <w:color w:val="231F20"/>
          <w:w w:val="110"/>
          <w:sz w:val="19"/>
        </w:rPr>
        <w:t>FRICTO,</w:t>
      </w:r>
      <w:r>
        <w:rPr>
          <w:color w:val="231F20"/>
          <w:spacing w:val="52"/>
          <w:w w:val="110"/>
          <w:sz w:val="19"/>
        </w:rPr>
        <w:t> </w:t>
      </w:r>
      <w:r>
        <w:rPr>
          <w:color w:val="231F20"/>
          <w:spacing w:val="-5"/>
          <w:w w:val="110"/>
          <w:sz w:val="19"/>
        </w:rPr>
        <w:t>234</w:t>
      </w:r>
    </w:p>
    <w:p>
      <w:pPr>
        <w:spacing w:before="17"/>
        <w:ind w:left="314" w:right="0" w:firstLine="0"/>
        <w:jc w:val="left"/>
        <w:rPr>
          <w:sz w:val="19"/>
        </w:rPr>
      </w:pPr>
      <w:r>
        <w:rPr>
          <w:color w:val="231F20"/>
          <w:sz w:val="19"/>
        </w:rPr>
        <w:t>Friedman,</w:t>
      </w:r>
      <w:r>
        <w:rPr>
          <w:color w:val="231F20"/>
          <w:spacing w:val="31"/>
          <w:sz w:val="19"/>
        </w:rPr>
        <w:t> </w:t>
      </w:r>
      <w:r>
        <w:rPr>
          <w:color w:val="231F20"/>
          <w:sz w:val="19"/>
        </w:rPr>
        <w:t>Milton,</w:t>
      </w:r>
      <w:r>
        <w:rPr>
          <w:color w:val="231F20"/>
          <w:spacing w:val="31"/>
          <w:sz w:val="19"/>
        </w:rPr>
        <w:t> </w:t>
      </w:r>
      <w:r>
        <w:rPr>
          <w:color w:val="231F20"/>
          <w:sz w:val="19"/>
        </w:rPr>
        <w:t>62,</w:t>
      </w:r>
      <w:r>
        <w:rPr>
          <w:color w:val="231F20"/>
          <w:spacing w:val="31"/>
          <w:sz w:val="19"/>
        </w:rPr>
        <w:t> </w:t>
      </w:r>
      <w:r>
        <w:rPr>
          <w:color w:val="231F20"/>
          <w:spacing w:val="-5"/>
          <w:sz w:val="19"/>
        </w:rPr>
        <w:t>299</w:t>
      </w:r>
    </w:p>
    <w:p>
      <w:pPr>
        <w:spacing w:before="17"/>
        <w:ind w:left="314" w:right="0" w:firstLine="0"/>
        <w:jc w:val="left"/>
        <w:rPr>
          <w:sz w:val="19"/>
        </w:rPr>
      </w:pPr>
      <w:r>
        <w:rPr>
          <w:color w:val="231F20"/>
          <w:sz w:val="19"/>
        </w:rPr>
        <w:t>fulfillment,</w:t>
      </w:r>
      <w:r>
        <w:rPr>
          <w:color w:val="231F20"/>
          <w:spacing w:val="18"/>
          <w:sz w:val="19"/>
        </w:rPr>
        <w:t> </w:t>
      </w:r>
      <w:r>
        <w:rPr>
          <w:color w:val="231F20"/>
          <w:spacing w:val="-5"/>
          <w:sz w:val="19"/>
        </w:rPr>
        <w:t>47</w:t>
      </w:r>
    </w:p>
    <w:p>
      <w:pPr>
        <w:spacing w:after="0"/>
        <w:jc w:val="left"/>
        <w:rPr>
          <w:sz w:val="19"/>
        </w:rPr>
        <w:sectPr>
          <w:type w:val="continuous"/>
          <w:pgSz w:w="8640" w:h="12960"/>
          <w:pgMar w:header="734" w:footer="0" w:top="1220" w:bottom="280" w:left="740" w:right="480"/>
          <w:cols w:num="2" w:equalWidth="0">
            <w:col w:w="3301" w:space="40"/>
            <w:col w:w="4079"/>
          </w:cols>
        </w:sectPr>
      </w:pPr>
    </w:p>
    <w:p>
      <w:pPr>
        <w:pStyle w:val="BodyText"/>
        <w:rPr>
          <w:sz w:val="18"/>
        </w:rPr>
      </w:pPr>
    </w:p>
    <w:p>
      <w:pPr>
        <w:spacing w:after="0"/>
        <w:rPr>
          <w:sz w:val="18"/>
        </w:rPr>
        <w:sectPr>
          <w:pgSz w:w="8640" w:h="12960"/>
          <w:pgMar w:header="734" w:footer="0" w:top="920" w:bottom="280" w:left="740" w:right="480"/>
        </w:sectPr>
      </w:pPr>
    </w:p>
    <w:p>
      <w:pPr>
        <w:spacing w:line="259" w:lineRule="auto" w:before="99"/>
        <w:ind w:left="520" w:right="0" w:firstLine="0"/>
        <w:jc w:val="left"/>
        <w:rPr>
          <w:sz w:val="19"/>
        </w:rPr>
      </w:pPr>
      <w:r>
        <w:rPr>
          <w:color w:val="231F20"/>
          <w:sz w:val="19"/>
        </w:rPr>
        <w:t>functional strategy, 334 fundamental accounting </w:t>
      </w:r>
      <w:r>
        <w:rPr>
          <w:color w:val="231F20"/>
          <w:sz w:val="19"/>
        </w:rPr>
        <w:t>equation,</w:t>
      </w:r>
    </w:p>
    <w:p>
      <w:pPr>
        <w:spacing w:line="222" w:lineRule="exact" w:before="0"/>
        <w:ind w:left="760" w:right="0" w:firstLine="0"/>
        <w:jc w:val="left"/>
        <w:rPr>
          <w:sz w:val="19"/>
        </w:rPr>
      </w:pPr>
      <w:r>
        <w:rPr>
          <w:color w:val="231F20"/>
          <w:spacing w:val="-5"/>
          <w:sz w:val="19"/>
        </w:rPr>
        <w:t>83</w:t>
      </w:r>
    </w:p>
    <w:p>
      <w:pPr>
        <w:spacing w:before="17"/>
        <w:ind w:left="520" w:right="0" w:firstLine="0"/>
        <w:jc w:val="left"/>
        <w:rPr>
          <w:sz w:val="19"/>
        </w:rPr>
      </w:pPr>
      <w:r>
        <w:rPr>
          <w:color w:val="231F20"/>
          <w:sz w:val="19"/>
        </w:rPr>
        <w:t>fundamental</w:t>
      </w:r>
      <w:r>
        <w:rPr>
          <w:color w:val="231F20"/>
          <w:spacing w:val="10"/>
          <w:sz w:val="19"/>
        </w:rPr>
        <w:t> </w:t>
      </w:r>
      <w:r>
        <w:rPr>
          <w:color w:val="231F20"/>
          <w:sz w:val="19"/>
        </w:rPr>
        <w:t>analysis,</w:t>
      </w:r>
      <w:r>
        <w:rPr>
          <w:color w:val="231F20"/>
          <w:spacing w:val="10"/>
          <w:sz w:val="19"/>
        </w:rPr>
        <w:t> </w:t>
      </w:r>
      <w:r>
        <w:rPr>
          <w:color w:val="231F20"/>
          <w:spacing w:val="-5"/>
          <w:sz w:val="19"/>
        </w:rPr>
        <w:t>210</w:t>
      </w:r>
    </w:p>
    <w:p>
      <w:pPr>
        <w:pStyle w:val="BodyText"/>
        <w:rPr>
          <w:sz w:val="22"/>
        </w:rPr>
      </w:pPr>
    </w:p>
    <w:p>
      <w:pPr>
        <w:spacing w:before="0"/>
        <w:ind w:left="520" w:right="0" w:firstLine="0"/>
        <w:jc w:val="left"/>
        <w:rPr>
          <w:sz w:val="19"/>
        </w:rPr>
      </w:pPr>
      <w:r>
        <w:rPr>
          <w:color w:val="231F20"/>
          <w:w w:val="110"/>
          <w:sz w:val="19"/>
        </w:rPr>
        <w:t>GAAP,</w:t>
      </w:r>
      <w:r>
        <w:rPr>
          <w:color w:val="231F20"/>
          <w:spacing w:val="8"/>
          <w:w w:val="110"/>
          <w:sz w:val="19"/>
        </w:rPr>
        <w:t> </w:t>
      </w:r>
      <w:r>
        <w:rPr>
          <w:color w:val="231F20"/>
          <w:spacing w:val="-5"/>
          <w:w w:val="110"/>
          <w:sz w:val="19"/>
        </w:rPr>
        <w:t>73</w:t>
      </w:r>
    </w:p>
    <w:p>
      <w:pPr>
        <w:spacing w:before="17"/>
        <w:ind w:left="520" w:right="0" w:firstLine="0"/>
        <w:jc w:val="left"/>
        <w:rPr>
          <w:sz w:val="19"/>
        </w:rPr>
      </w:pPr>
      <w:r>
        <w:rPr>
          <w:color w:val="231F20"/>
          <w:w w:val="105"/>
          <w:sz w:val="19"/>
        </w:rPr>
        <w:t>Galbraith,</w:t>
      </w:r>
      <w:r>
        <w:rPr>
          <w:color w:val="231F20"/>
          <w:spacing w:val="-11"/>
          <w:w w:val="105"/>
          <w:sz w:val="19"/>
        </w:rPr>
        <w:t> </w:t>
      </w:r>
      <w:r>
        <w:rPr>
          <w:color w:val="231F20"/>
          <w:w w:val="105"/>
          <w:sz w:val="19"/>
        </w:rPr>
        <w:t>John</w:t>
      </w:r>
      <w:r>
        <w:rPr>
          <w:color w:val="231F20"/>
          <w:spacing w:val="-4"/>
          <w:w w:val="105"/>
          <w:sz w:val="19"/>
        </w:rPr>
        <w:t> </w:t>
      </w:r>
      <w:r>
        <w:rPr>
          <w:color w:val="231F20"/>
          <w:w w:val="105"/>
          <w:sz w:val="19"/>
        </w:rPr>
        <w:t>Kenneth,</w:t>
      </w:r>
      <w:r>
        <w:rPr>
          <w:color w:val="231F20"/>
          <w:spacing w:val="-3"/>
          <w:w w:val="105"/>
          <w:sz w:val="19"/>
        </w:rPr>
        <w:t> </w:t>
      </w:r>
      <w:r>
        <w:rPr>
          <w:color w:val="231F20"/>
          <w:w w:val="105"/>
          <w:sz w:val="19"/>
        </w:rPr>
        <w:t>310</w:t>
      </w:r>
      <w:r>
        <w:rPr>
          <w:color w:val="231F20"/>
          <w:spacing w:val="-25"/>
          <w:w w:val="105"/>
          <w:sz w:val="19"/>
        </w:rPr>
        <w:t> </w:t>
      </w:r>
      <w:r>
        <w:rPr>
          <w:color w:val="231F20"/>
          <w:w w:val="105"/>
          <w:sz w:val="19"/>
        </w:rPr>
        <w:t>–</w:t>
      </w:r>
      <w:r>
        <w:rPr>
          <w:color w:val="231F20"/>
          <w:spacing w:val="-26"/>
          <w:w w:val="105"/>
          <w:sz w:val="19"/>
        </w:rPr>
        <w:t> </w:t>
      </w:r>
      <w:r>
        <w:rPr>
          <w:color w:val="231F20"/>
          <w:spacing w:val="-7"/>
          <w:w w:val="105"/>
          <w:sz w:val="19"/>
        </w:rPr>
        <w:t>11</w:t>
      </w:r>
    </w:p>
    <w:p>
      <w:pPr>
        <w:spacing w:before="17"/>
        <w:ind w:left="520" w:right="0" w:firstLine="0"/>
        <w:jc w:val="left"/>
        <w:rPr>
          <w:sz w:val="19"/>
        </w:rPr>
      </w:pPr>
      <w:r>
        <w:rPr>
          <w:color w:val="231F20"/>
          <w:sz w:val="19"/>
        </w:rPr>
        <w:t>game</w:t>
      </w:r>
      <w:r>
        <w:rPr>
          <w:color w:val="231F20"/>
          <w:spacing w:val="-6"/>
          <w:sz w:val="19"/>
        </w:rPr>
        <w:t> </w:t>
      </w:r>
      <w:r>
        <w:rPr>
          <w:color w:val="231F20"/>
          <w:sz w:val="19"/>
        </w:rPr>
        <w:t>theory,</w:t>
      </w:r>
      <w:r>
        <w:rPr>
          <w:color w:val="231F20"/>
          <w:spacing w:val="2"/>
          <w:sz w:val="19"/>
        </w:rPr>
        <w:t> </w:t>
      </w:r>
      <w:r>
        <w:rPr>
          <w:color w:val="231F20"/>
          <w:sz w:val="19"/>
        </w:rPr>
        <w:t>348</w:t>
      </w:r>
      <w:r>
        <w:rPr>
          <w:color w:val="231F20"/>
          <w:spacing w:val="-23"/>
          <w:sz w:val="19"/>
        </w:rPr>
        <w:t> </w:t>
      </w:r>
      <w:r>
        <w:rPr>
          <w:color w:val="231F20"/>
          <w:sz w:val="19"/>
        </w:rPr>
        <w:t>–</w:t>
      </w:r>
      <w:r>
        <w:rPr>
          <w:color w:val="231F20"/>
          <w:spacing w:val="-23"/>
          <w:sz w:val="19"/>
        </w:rPr>
        <w:t> </w:t>
      </w:r>
      <w:r>
        <w:rPr>
          <w:color w:val="231F20"/>
          <w:spacing w:val="-5"/>
          <w:sz w:val="19"/>
        </w:rPr>
        <w:t>49</w:t>
      </w:r>
    </w:p>
    <w:p>
      <w:pPr>
        <w:spacing w:before="18"/>
        <w:ind w:left="520" w:right="0" w:firstLine="0"/>
        <w:jc w:val="left"/>
        <w:rPr>
          <w:sz w:val="19"/>
        </w:rPr>
      </w:pPr>
      <w:r>
        <w:rPr>
          <w:color w:val="231F20"/>
          <w:w w:val="105"/>
          <w:sz w:val="19"/>
        </w:rPr>
        <w:t>Gantt</w:t>
      </w:r>
      <w:r>
        <w:rPr>
          <w:color w:val="231F20"/>
          <w:spacing w:val="5"/>
          <w:w w:val="105"/>
          <w:sz w:val="19"/>
        </w:rPr>
        <w:t> </w:t>
      </w:r>
      <w:r>
        <w:rPr>
          <w:color w:val="231F20"/>
          <w:w w:val="105"/>
          <w:sz w:val="19"/>
        </w:rPr>
        <w:t>chart,</w:t>
      </w:r>
      <w:r>
        <w:rPr>
          <w:color w:val="231F20"/>
          <w:spacing w:val="5"/>
          <w:w w:val="105"/>
          <w:sz w:val="19"/>
        </w:rPr>
        <w:t> </w:t>
      </w:r>
      <w:r>
        <w:rPr>
          <w:color w:val="231F20"/>
          <w:spacing w:val="-5"/>
          <w:w w:val="105"/>
          <w:sz w:val="19"/>
        </w:rPr>
        <w:t>264</w:t>
      </w:r>
    </w:p>
    <w:p>
      <w:pPr>
        <w:spacing w:before="17"/>
        <w:ind w:left="520" w:right="0" w:firstLine="0"/>
        <w:jc w:val="left"/>
        <w:rPr>
          <w:sz w:val="19"/>
        </w:rPr>
      </w:pPr>
      <w:r>
        <w:rPr>
          <w:color w:val="231F20"/>
          <w:w w:val="95"/>
          <w:sz w:val="19"/>
        </w:rPr>
        <w:t>generic</w:t>
      </w:r>
      <w:r>
        <w:rPr>
          <w:color w:val="231F20"/>
          <w:spacing w:val="25"/>
          <w:sz w:val="19"/>
        </w:rPr>
        <w:t> </w:t>
      </w:r>
      <w:r>
        <w:rPr>
          <w:color w:val="231F20"/>
          <w:w w:val="95"/>
          <w:sz w:val="19"/>
        </w:rPr>
        <w:t>strategies,</w:t>
      </w:r>
      <w:r>
        <w:rPr>
          <w:color w:val="231F20"/>
          <w:spacing w:val="26"/>
          <w:sz w:val="19"/>
        </w:rPr>
        <w:t> </w:t>
      </w:r>
      <w:r>
        <w:rPr>
          <w:color w:val="231F20"/>
          <w:w w:val="95"/>
          <w:sz w:val="19"/>
        </w:rPr>
        <w:t>340</w:t>
      </w:r>
      <w:r>
        <w:rPr>
          <w:color w:val="231F20"/>
          <w:spacing w:val="-15"/>
          <w:w w:val="95"/>
          <w:sz w:val="19"/>
        </w:rPr>
        <w:t> </w:t>
      </w:r>
      <w:r>
        <w:rPr>
          <w:color w:val="231F20"/>
          <w:w w:val="95"/>
          <w:sz w:val="19"/>
        </w:rPr>
        <w:t>–</w:t>
      </w:r>
      <w:r>
        <w:rPr>
          <w:color w:val="231F20"/>
          <w:spacing w:val="-15"/>
          <w:w w:val="95"/>
          <w:sz w:val="19"/>
        </w:rPr>
        <w:t> </w:t>
      </w:r>
      <w:r>
        <w:rPr>
          <w:color w:val="231F20"/>
          <w:spacing w:val="-5"/>
          <w:w w:val="95"/>
          <w:sz w:val="19"/>
        </w:rPr>
        <w:t>45</w:t>
      </w:r>
    </w:p>
    <w:p>
      <w:pPr>
        <w:spacing w:line="259" w:lineRule="auto" w:before="17"/>
        <w:ind w:left="520" w:right="0" w:firstLine="0"/>
        <w:jc w:val="left"/>
        <w:rPr>
          <w:sz w:val="19"/>
        </w:rPr>
      </w:pPr>
      <w:r>
        <w:rPr>
          <w:color w:val="231F20"/>
          <w:sz w:val="19"/>
        </w:rPr>
        <w:t>geographic segmentation, 13 Gilbreth, Frank and Lillian, </w:t>
      </w:r>
      <w:r>
        <w:rPr>
          <w:color w:val="231F20"/>
          <w:sz w:val="19"/>
        </w:rPr>
        <w:t>257 globalization, 356</w:t>
      </w:r>
      <w:r>
        <w:rPr>
          <w:color w:val="231F20"/>
          <w:spacing w:val="-13"/>
          <w:sz w:val="19"/>
        </w:rPr>
        <w:t> </w:t>
      </w:r>
      <w:r>
        <w:rPr>
          <w:color w:val="231F20"/>
          <w:sz w:val="19"/>
        </w:rPr>
        <w:t>–</w:t>
      </w:r>
      <w:r>
        <w:rPr>
          <w:color w:val="231F20"/>
          <w:spacing w:val="-13"/>
          <w:sz w:val="19"/>
        </w:rPr>
        <w:t> </w:t>
      </w:r>
      <w:r>
        <w:rPr>
          <w:color w:val="231F20"/>
          <w:sz w:val="19"/>
        </w:rPr>
        <w:t>58</w:t>
      </w:r>
    </w:p>
    <w:p>
      <w:pPr>
        <w:spacing w:line="221" w:lineRule="exact" w:before="0"/>
        <w:ind w:left="520" w:right="0" w:firstLine="0"/>
        <w:jc w:val="left"/>
        <w:rPr>
          <w:sz w:val="19"/>
        </w:rPr>
      </w:pPr>
      <w:r>
        <w:rPr>
          <w:color w:val="231F20"/>
          <w:sz w:val="19"/>
        </w:rPr>
        <w:t>goal</w:t>
      </w:r>
      <w:r>
        <w:rPr>
          <w:color w:val="231F20"/>
          <w:spacing w:val="8"/>
          <w:sz w:val="19"/>
        </w:rPr>
        <w:t> </w:t>
      </w:r>
      <w:r>
        <w:rPr>
          <w:color w:val="231F20"/>
          <w:sz w:val="19"/>
        </w:rPr>
        <w:t>congruence,</w:t>
      </w:r>
      <w:r>
        <w:rPr>
          <w:color w:val="231F20"/>
          <w:spacing w:val="8"/>
          <w:sz w:val="19"/>
        </w:rPr>
        <w:t> </w:t>
      </w:r>
      <w:r>
        <w:rPr>
          <w:color w:val="231F20"/>
          <w:spacing w:val="-5"/>
          <w:sz w:val="19"/>
        </w:rPr>
        <w:t>126</w:t>
      </w:r>
    </w:p>
    <w:p>
      <w:pPr>
        <w:spacing w:before="17"/>
        <w:ind w:left="520" w:right="0" w:firstLine="0"/>
        <w:jc w:val="left"/>
        <w:rPr>
          <w:sz w:val="19"/>
        </w:rPr>
      </w:pPr>
      <w:r>
        <w:rPr>
          <w:color w:val="231F20"/>
          <w:sz w:val="19"/>
        </w:rPr>
        <w:t>going</w:t>
      </w:r>
      <w:r>
        <w:rPr>
          <w:color w:val="231F20"/>
          <w:spacing w:val="11"/>
          <w:sz w:val="19"/>
        </w:rPr>
        <w:t> </w:t>
      </w:r>
      <w:r>
        <w:rPr>
          <w:color w:val="231F20"/>
          <w:sz w:val="19"/>
        </w:rPr>
        <w:t>concern,</w:t>
      </w:r>
      <w:r>
        <w:rPr>
          <w:color w:val="231F20"/>
          <w:spacing w:val="12"/>
          <w:sz w:val="19"/>
        </w:rPr>
        <w:t> </w:t>
      </w:r>
      <w:r>
        <w:rPr>
          <w:color w:val="231F20"/>
          <w:sz w:val="19"/>
        </w:rPr>
        <w:t>78</w:t>
      </w:r>
      <w:r>
        <w:rPr>
          <w:color w:val="231F20"/>
          <w:spacing w:val="-23"/>
          <w:sz w:val="19"/>
        </w:rPr>
        <w:t> </w:t>
      </w:r>
      <w:r>
        <w:rPr>
          <w:color w:val="231F20"/>
          <w:sz w:val="19"/>
        </w:rPr>
        <w:t>–</w:t>
      </w:r>
      <w:r>
        <w:rPr>
          <w:color w:val="231F20"/>
          <w:spacing w:val="-22"/>
          <w:sz w:val="19"/>
        </w:rPr>
        <w:t> </w:t>
      </w:r>
      <w:r>
        <w:rPr>
          <w:color w:val="231F20"/>
          <w:spacing w:val="-5"/>
          <w:sz w:val="19"/>
        </w:rPr>
        <w:t>79</w:t>
      </w:r>
    </w:p>
    <w:p>
      <w:pPr>
        <w:spacing w:before="18"/>
        <w:ind w:left="520" w:right="0" w:firstLine="0"/>
        <w:jc w:val="left"/>
        <w:rPr>
          <w:sz w:val="19"/>
        </w:rPr>
      </w:pPr>
      <w:r>
        <w:rPr>
          <w:color w:val="231F20"/>
          <w:sz w:val="19"/>
        </w:rPr>
        <w:t>gross</w:t>
      </w:r>
      <w:r>
        <w:rPr>
          <w:color w:val="231F20"/>
          <w:spacing w:val="2"/>
          <w:sz w:val="19"/>
        </w:rPr>
        <w:t> </w:t>
      </w:r>
      <w:r>
        <w:rPr>
          <w:color w:val="231F20"/>
          <w:sz w:val="19"/>
        </w:rPr>
        <w:t>margin,</w:t>
      </w:r>
      <w:r>
        <w:rPr>
          <w:color w:val="231F20"/>
          <w:spacing w:val="6"/>
          <w:sz w:val="19"/>
        </w:rPr>
        <w:t> </w:t>
      </w:r>
      <w:r>
        <w:rPr>
          <w:color w:val="231F20"/>
          <w:sz w:val="19"/>
        </w:rPr>
        <w:t>89</w:t>
      </w:r>
      <w:r>
        <w:rPr>
          <w:color w:val="231F20"/>
          <w:spacing w:val="-23"/>
          <w:sz w:val="19"/>
        </w:rPr>
        <w:t> </w:t>
      </w:r>
      <w:r>
        <w:rPr>
          <w:color w:val="231F20"/>
          <w:sz w:val="19"/>
        </w:rPr>
        <w:t>–</w:t>
      </w:r>
      <w:r>
        <w:rPr>
          <w:color w:val="231F20"/>
          <w:spacing w:val="-23"/>
          <w:sz w:val="19"/>
        </w:rPr>
        <w:t> </w:t>
      </w:r>
      <w:r>
        <w:rPr>
          <w:color w:val="231F20"/>
          <w:spacing w:val="-5"/>
          <w:sz w:val="19"/>
        </w:rPr>
        <w:t>91</w:t>
      </w:r>
    </w:p>
    <w:p>
      <w:pPr>
        <w:spacing w:line="259" w:lineRule="auto" w:before="17"/>
        <w:ind w:left="760" w:right="296" w:hanging="240"/>
        <w:jc w:val="left"/>
        <w:rPr>
          <w:sz w:val="19"/>
        </w:rPr>
      </w:pPr>
      <w:r>
        <w:rPr>
          <w:color w:val="231F20"/>
          <w:sz w:val="19"/>
        </w:rPr>
        <w:t>gross national product </w:t>
      </w:r>
      <w:r>
        <w:rPr>
          <w:color w:val="231F20"/>
          <w:sz w:val="19"/>
        </w:rPr>
        <w:t>(GNP), 300</w:t>
      </w:r>
      <w:r>
        <w:rPr>
          <w:color w:val="231F20"/>
          <w:spacing w:val="-23"/>
          <w:sz w:val="19"/>
        </w:rPr>
        <w:t> </w:t>
      </w:r>
      <w:r>
        <w:rPr>
          <w:color w:val="231F20"/>
          <w:sz w:val="19"/>
        </w:rPr>
        <w:t>–</w:t>
      </w:r>
      <w:r>
        <w:rPr>
          <w:color w:val="231F20"/>
          <w:spacing w:val="-23"/>
          <w:sz w:val="19"/>
        </w:rPr>
        <w:t> </w:t>
      </w:r>
      <w:r>
        <w:rPr>
          <w:color w:val="231F20"/>
          <w:sz w:val="19"/>
        </w:rPr>
        <w:t>306</w:t>
      </w:r>
    </w:p>
    <w:p>
      <w:pPr>
        <w:spacing w:line="222" w:lineRule="exact" w:before="0"/>
        <w:ind w:left="520" w:right="0" w:firstLine="0"/>
        <w:jc w:val="left"/>
        <w:rPr>
          <w:sz w:val="19"/>
        </w:rPr>
      </w:pPr>
      <w:r>
        <w:rPr>
          <w:color w:val="231F20"/>
          <w:sz w:val="19"/>
        </w:rPr>
        <w:t>gross</w:t>
      </w:r>
      <w:r>
        <w:rPr>
          <w:color w:val="231F20"/>
          <w:spacing w:val="13"/>
          <w:sz w:val="19"/>
        </w:rPr>
        <w:t> </w:t>
      </w:r>
      <w:r>
        <w:rPr>
          <w:color w:val="231F20"/>
          <w:sz w:val="19"/>
        </w:rPr>
        <w:t>rating</w:t>
      </w:r>
      <w:r>
        <w:rPr>
          <w:color w:val="231F20"/>
          <w:spacing w:val="14"/>
          <w:sz w:val="19"/>
        </w:rPr>
        <w:t> </w:t>
      </w:r>
      <w:r>
        <w:rPr>
          <w:color w:val="231F20"/>
          <w:sz w:val="19"/>
        </w:rPr>
        <w:t>points</w:t>
      </w:r>
      <w:r>
        <w:rPr>
          <w:color w:val="231F20"/>
          <w:spacing w:val="13"/>
          <w:sz w:val="19"/>
        </w:rPr>
        <w:t> </w:t>
      </w:r>
      <w:r>
        <w:rPr>
          <w:color w:val="231F20"/>
          <w:sz w:val="19"/>
        </w:rPr>
        <w:t>(GRP),</w:t>
      </w:r>
      <w:r>
        <w:rPr>
          <w:color w:val="231F20"/>
          <w:spacing w:val="14"/>
          <w:sz w:val="19"/>
        </w:rPr>
        <w:t> </w:t>
      </w:r>
      <w:r>
        <w:rPr>
          <w:color w:val="231F20"/>
          <w:spacing w:val="-5"/>
          <w:sz w:val="19"/>
        </w:rPr>
        <w:t>39</w:t>
      </w:r>
    </w:p>
    <w:p>
      <w:pPr>
        <w:pStyle w:val="BodyText"/>
        <w:spacing w:before="11"/>
      </w:pPr>
    </w:p>
    <w:p>
      <w:pPr>
        <w:spacing w:before="0"/>
        <w:ind w:left="520" w:right="0" w:firstLine="0"/>
        <w:jc w:val="left"/>
        <w:rPr>
          <w:sz w:val="19"/>
        </w:rPr>
      </w:pPr>
      <w:r>
        <w:rPr>
          <w:color w:val="231F20"/>
          <w:sz w:val="19"/>
        </w:rPr>
        <w:t>halo</w:t>
      </w:r>
      <w:r>
        <w:rPr>
          <w:color w:val="231F20"/>
          <w:spacing w:val="15"/>
          <w:sz w:val="19"/>
        </w:rPr>
        <w:t> </w:t>
      </w:r>
      <w:r>
        <w:rPr>
          <w:color w:val="231F20"/>
          <w:sz w:val="19"/>
        </w:rPr>
        <w:t>effect,</w:t>
      </w:r>
      <w:r>
        <w:rPr>
          <w:color w:val="231F20"/>
          <w:spacing w:val="16"/>
          <w:sz w:val="19"/>
        </w:rPr>
        <w:t> </w:t>
      </w:r>
      <w:r>
        <w:rPr>
          <w:color w:val="231F20"/>
          <w:spacing w:val="-5"/>
          <w:sz w:val="19"/>
        </w:rPr>
        <w:t>45</w:t>
      </w:r>
    </w:p>
    <w:p>
      <w:pPr>
        <w:spacing w:before="17"/>
        <w:ind w:left="520" w:right="0" w:firstLine="0"/>
        <w:jc w:val="left"/>
        <w:rPr>
          <w:sz w:val="19"/>
        </w:rPr>
      </w:pPr>
      <w:r>
        <w:rPr>
          <w:color w:val="231F20"/>
          <w:sz w:val="19"/>
        </w:rPr>
        <w:t>Hawthorne</w:t>
      </w:r>
      <w:r>
        <w:rPr>
          <w:color w:val="231F20"/>
          <w:spacing w:val="21"/>
          <w:sz w:val="19"/>
        </w:rPr>
        <w:t> </w:t>
      </w:r>
      <w:r>
        <w:rPr>
          <w:color w:val="231F20"/>
          <w:sz w:val="19"/>
        </w:rPr>
        <w:t>effect,</w:t>
      </w:r>
      <w:r>
        <w:rPr>
          <w:color w:val="231F20"/>
          <w:spacing w:val="22"/>
          <w:sz w:val="19"/>
        </w:rPr>
        <w:t> </w:t>
      </w:r>
      <w:r>
        <w:rPr>
          <w:color w:val="231F20"/>
          <w:spacing w:val="-5"/>
          <w:sz w:val="19"/>
        </w:rPr>
        <w:t>257</w:t>
      </w:r>
    </w:p>
    <w:p>
      <w:pPr>
        <w:spacing w:before="17"/>
        <w:ind w:left="520" w:right="0" w:firstLine="0"/>
        <w:jc w:val="left"/>
        <w:rPr>
          <w:sz w:val="19"/>
        </w:rPr>
      </w:pPr>
      <w:r>
        <w:rPr>
          <w:color w:val="231F20"/>
          <w:sz w:val="19"/>
        </w:rPr>
        <w:t>hedging,</w:t>
      </w:r>
      <w:r>
        <w:rPr>
          <w:color w:val="231F20"/>
          <w:spacing w:val="16"/>
          <w:sz w:val="19"/>
        </w:rPr>
        <w:t> </w:t>
      </w:r>
      <w:r>
        <w:rPr>
          <w:color w:val="231F20"/>
          <w:spacing w:val="-5"/>
          <w:sz w:val="19"/>
        </w:rPr>
        <w:t>226</w:t>
      </w:r>
    </w:p>
    <w:p>
      <w:pPr>
        <w:spacing w:before="18"/>
        <w:ind w:left="520" w:right="0" w:firstLine="0"/>
        <w:jc w:val="left"/>
        <w:rPr>
          <w:sz w:val="19"/>
        </w:rPr>
      </w:pPr>
      <w:r>
        <w:rPr>
          <w:color w:val="231F20"/>
          <w:sz w:val="19"/>
        </w:rPr>
        <w:t>Hertzberg,</w:t>
      </w:r>
      <w:r>
        <w:rPr>
          <w:color w:val="231F20"/>
          <w:spacing w:val="16"/>
          <w:sz w:val="19"/>
        </w:rPr>
        <w:t> </w:t>
      </w:r>
      <w:r>
        <w:rPr>
          <w:color w:val="231F20"/>
          <w:sz w:val="19"/>
        </w:rPr>
        <w:t>Fred,</w:t>
      </w:r>
      <w:r>
        <w:rPr>
          <w:color w:val="231F20"/>
          <w:spacing w:val="16"/>
          <w:sz w:val="19"/>
        </w:rPr>
        <w:t> </w:t>
      </w:r>
      <w:r>
        <w:rPr>
          <w:color w:val="231F20"/>
          <w:spacing w:val="-5"/>
          <w:sz w:val="19"/>
        </w:rPr>
        <w:t>127</w:t>
      </w:r>
    </w:p>
    <w:p>
      <w:pPr>
        <w:spacing w:before="17"/>
        <w:ind w:left="520" w:right="0" w:firstLine="0"/>
        <w:jc w:val="left"/>
        <w:rPr>
          <w:sz w:val="19"/>
        </w:rPr>
      </w:pPr>
      <w:r>
        <w:rPr>
          <w:color w:val="231F20"/>
          <w:sz w:val="19"/>
        </w:rPr>
        <w:t>historical</w:t>
      </w:r>
      <w:r>
        <w:rPr>
          <w:color w:val="231F20"/>
          <w:spacing w:val="9"/>
          <w:sz w:val="19"/>
        </w:rPr>
        <w:t> </w:t>
      </w:r>
      <w:r>
        <w:rPr>
          <w:color w:val="231F20"/>
          <w:sz w:val="19"/>
        </w:rPr>
        <w:t>cost,</w:t>
      </w:r>
      <w:r>
        <w:rPr>
          <w:color w:val="231F20"/>
          <w:spacing w:val="10"/>
          <w:sz w:val="19"/>
        </w:rPr>
        <w:t> </w:t>
      </w:r>
      <w:r>
        <w:rPr>
          <w:color w:val="231F20"/>
          <w:spacing w:val="-5"/>
          <w:sz w:val="19"/>
        </w:rPr>
        <w:t>78</w:t>
      </w:r>
    </w:p>
    <w:p>
      <w:pPr>
        <w:spacing w:line="259" w:lineRule="auto" w:before="17"/>
        <w:ind w:left="520" w:right="296" w:firstLine="0"/>
        <w:jc w:val="left"/>
        <w:rPr>
          <w:sz w:val="19"/>
        </w:rPr>
      </w:pPr>
      <w:r>
        <w:rPr>
          <w:color w:val="231F20"/>
          <w:sz w:val="19"/>
        </w:rPr>
        <w:t>Honda motorcycles, 361 human talent flow </w:t>
      </w:r>
      <w:r>
        <w:rPr>
          <w:color w:val="231F20"/>
          <w:sz w:val="19"/>
        </w:rPr>
        <w:t>pyramid,</w:t>
      </w:r>
    </w:p>
    <w:p>
      <w:pPr>
        <w:spacing w:line="222" w:lineRule="exact" w:before="0"/>
        <w:ind w:left="760" w:right="0" w:firstLine="0"/>
        <w:jc w:val="left"/>
        <w:rPr>
          <w:sz w:val="19"/>
        </w:rPr>
      </w:pPr>
      <w:r>
        <w:rPr>
          <w:color w:val="231F20"/>
          <w:sz w:val="19"/>
        </w:rPr>
        <w:t>150</w:t>
      </w:r>
      <w:r>
        <w:rPr>
          <w:color w:val="231F20"/>
          <w:spacing w:val="-23"/>
          <w:sz w:val="19"/>
        </w:rPr>
        <w:t> </w:t>
      </w:r>
      <w:r>
        <w:rPr>
          <w:color w:val="231F20"/>
          <w:sz w:val="19"/>
        </w:rPr>
        <w:t>–</w:t>
      </w:r>
      <w:r>
        <w:rPr>
          <w:color w:val="231F20"/>
          <w:spacing w:val="-23"/>
          <w:sz w:val="19"/>
        </w:rPr>
        <w:t> </w:t>
      </w:r>
      <w:r>
        <w:rPr>
          <w:color w:val="231F20"/>
          <w:spacing w:val="-5"/>
          <w:sz w:val="19"/>
        </w:rPr>
        <w:t>51</w:t>
      </w:r>
    </w:p>
    <w:p>
      <w:pPr>
        <w:pStyle w:val="BodyText"/>
        <w:spacing w:before="11"/>
      </w:pPr>
    </w:p>
    <w:p>
      <w:pPr>
        <w:spacing w:before="0"/>
        <w:ind w:left="520" w:right="0" w:firstLine="0"/>
        <w:jc w:val="left"/>
        <w:rPr>
          <w:sz w:val="19"/>
        </w:rPr>
      </w:pPr>
      <w:r>
        <w:rPr>
          <w:color w:val="231F20"/>
          <w:sz w:val="19"/>
        </w:rPr>
        <w:t>impossible</w:t>
      </w:r>
      <w:r>
        <w:rPr>
          <w:color w:val="231F20"/>
          <w:spacing w:val="-1"/>
          <w:sz w:val="19"/>
        </w:rPr>
        <w:t> </w:t>
      </w:r>
      <w:r>
        <w:rPr>
          <w:color w:val="231F20"/>
          <w:sz w:val="19"/>
        </w:rPr>
        <w:t>trilogy,</w:t>
      </w:r>
      <w:r>
        <w:rPr>
          <w:color w:val="231F20"/>
          <w:spacing w:val="-1"/>
          <w:sz w:val="19"/>
        </w:rPr>
        <w:t> </w:t>
      </w:r>
      <w:r>
        <w:rPr>
          <w:color w:val="231F20"/>
          <w:spacing w:val="-5"/>
          <w:sz w:val="19"/>
        </w:rPr>
        <w:t>317</w:t>
      </w:r>
    </w:p>
    <w:p>
      <w:pPr>
        <w:spacing w:before="18"/>
        <w:ind w:left="520" w:right="0" w:firstLine="0"/>
        <w:jc w:val="left"/>
        <w:rPr>
          <w:sz w:val="19"/>
        </w:rPr>
      </w:pPr>
      <w:r>
        <w:rPr>
          <w:color w:val="231F20"/>
          <w:sz w:val="19"/>
        </w:rPr>
        <w:t>income</w:t>
      </w:r>
      <w:r>
        <w:rPr>
          <w:color w:val="231F20"/>
          <w:spacing w:val="-5"/>
          <w:sz w:val="19"/>
        </w:rPr>
        <w:t> </w:t>
      </w:r>
      <w:r>
        <w:rPr>
          <w:color w:val="231F20"/>
          <w:sz w:val="19"/>
        </w:rPr>
        <w:t>statement,</w:t>
      </w:r>
      <w:r>
        <w:rPr>
          <w:color w:val="231F20"/>
          <w:spacing w:val="1"/>
          <w:sz w:val="19"/>
        </w:rPr>
        <w:t> </w:t>
      </w:r>
      <w:r>
        <w:rPr>
          <w:color w:val="231F20"/>
          <w:sz w:val="19"/>
        </w:rPr>
        <w:t>89</w:t>
      </w:r>
      <w:r>
        <w:rPr>
          <w:color w:val="231F20"/>
          <w:spacing w:val="-23"/>
          <w:sz w:val="19"/>
        </w:rPr>
        <w:t> </w:t>
      </w:r>
      <w:r>
        <w:rPr>
          <w:color w:val="231F20"/>
          <w:sz w:val="19"/>
        </w:rPr>
        <w:t>–</w:t>
      </w:r>
      <w:r>
        <w:rPr>
          <w:color w:val="231F20"/>
          <w:spacing w:val="-23"/>
          <w:sz w:val="19"/>
        </w:rPr>
        <w:t> </w:t>
      </w:r>
      <w:r>
        <w:rPr>
          <w:color w:val="231F20"/>
          <w:spacing w:val="-5"/>
          <w:sz w:val="19"/>
        </w:rPr>
        <w:t>95</w:t>
      </w:r>
    </w:p>
    <w:p>
      <w:pPr>
        <w:spacing w:before="17"/>
        <w:ind w:left="520" w:right="0" w:firstLine="0"/>
        <w:jc w:val="left"/>
        <w:rPr>
          <w:sz w:val="19"/>
        </w:rPr>
      </w:pPr>
      <w:r>
        <w:rPr>
          <w:color w:val="231F20"/>
          <w:w w:val="95"/>
          <w:sz w:val="19"/>
        </w:rPr>
        <w:t>independent</w:t>
      </w:r>
      <w:r>
        <w:rPr>
          <w:color w:val="231F20"/>
          <w:spacing w:val="36"/>
          <w:sz w:val="19"/>
        </w:rPr>
        <w:t> </w:t>
      </w:r>
      <w:r>
        <w:rPr>
          <w:color w:val="231F20"/>
          <w:w w:val="95"/>
          <w:sz w:val="19"/>
        </w:rPr>
        <w:t>variables,</w:t>
      </w:r>
      <w:r>
        <w:rPr>
          <w:color w:val="231F20"/>
          <w:spacing w:val="37"/>
          <w:sz w:val="19"/>
        </w:rPr>
        <w:t> </w:t>
      </w:r>
      <w:r>
        <w:rPr>
          <w:color w:val="231F20"/>
          <w:w w:val="95"/>
          <w:sz w:val="19"/>
        </w:rPr>
        <w:t>189</w:t>
      </w:r>
      <w:r>
        <w:rPr>
          <w:color w:val="231F20"/>
          <w:spacing w:val="-12"/>
          <w:w w:val="95"/>
          <w:sz w:val="19"/>
        </w:rPr>
        <w:t> </w:t>
      </w:r>
      <w:r>
        <w:rPr>
          <w:color w:val="231F20"/>
          <w:w w:val="95"/>
          <w:sz w:val="19"/>
        </w:rPr>
        <w:t>–</w:t>
      </w:r>
      <w:r>
        <w:rPr>
          <w:color w:val="231F20"/>
          <w:spacing w:val="-11"/>
          <w:w w:val="95"/>
          <w:sz w:val="19"/>
        </w:rPr>
        <w:t> </w:t>
      </w:r>
      <w:r>
        <w:rPr>
          <w:color w:val="231F20"/>
          <w:spacing w:val="-7"/>
          <w:w w:val="95"/>
          <w:sz w:val="19"/>
        </w:rPr>
        <w:t>90</w:t>
      </w:r>
    </w:p>
    <w:p>
      <w:pPr>
        <w:spacing w:before="17"/>
        <w:ind w:left="520" w:right="0" w:firstLine="0"/>
        <w:jc w:val="left"/>
        <w:rPr>
          <w:sz w:val="19"/>
        </w:rPr>
      </w:pPr>
      <w:r>
        <w:rPr>
          <w:color w:val="231F20"/>
          <w:sz w:val="19"/>
        </w:rPr>
        <w:t>industry</w:t>
      </w:r>
      <w:r>
        <w:rPr>
          <w:color w:val="231F20"/>
          <w:spacing w:val="1"/>
          <w:sz w:val="19"/>
        </w:rPr>
        <w:t> </w:t>
      </w:r>
      <w:r>
        <w:rPr>
          <w:color w:val="231F20"/>
          <w:sz w:val="19"/>
        </w:rPr>
        <w:t>analysis,</w:t>
      </w:r>
      <w:r>
        <w:rPr>
          <w:color w:val="231F20"/>
          <w:spacing w:val="5"/>
          <w:sz w:val="19"/>
        </w:rPr>
        <w:t> </w:t>
      </w:r>
      <w:r>
        <w:rPr>
          <w:color w:val="231F20"/>
          <w:sz w:val="19"/>
        </w:rPr>
        <w:t>337</w:t>
      </w:r>
      <w:r>
        <w:rPr>
          <w:color w:val="231F20"/>
          <w:spacing w:val="-23"/>
          <w:sz w:val="19"/>
        </w:rPr>
        <w:t> </w:t>
      </w:r>
      <w:r>
        <w:rPr>
          <w:color w:val="231F20"/>
          <w:sz w:val="19"/>
        </w:rPr>
        <w:t>–</w:t>
      </w:r>
      <w:r>
        <w:rPr>
          <w:color w:val="231F20"/>
          <w:spacing w:val="-23"/>
          <w:sz w:val="19"/>
        </w:rPr>
        <w:t> </w:t>
      </w:r>
      <w:r>
        <w:rPr>
          <w:color w:val="231F20"/>
          <w:spacing w:val="-5"/>
          <w:sz w:val="19"/>
        </w:rPr>
        <w:t>40</w:t>
      </w:r>
    </w:p>
    <w:p>
      <w:pPr>
        <w:spacing w:before="17"/>
        <w:ind w:left="520" w:right="0" w:firstLine="0"/>
        <w:jc w:val="left"/>
        <w:rPr>
          <w:sz w:val="19"/>
        </w:rPr>
      </w:pPr>
      <w:r>
        <w:rPr>
          <w:color w:val="231F20"/>
          <w:sz w:val="19"/>
        </w:rPr>
        <w:t>inflation,</w:t>
      </w:r>
      <w:r>
        <w:rPr>
          <w:color w:val="231F20"/>
          <w:spacing w:val="24"/>
          <w:sz w:val="19"/>
        </w:rPr>
        <w:t> </w:t>
      </w:r>
      <w:r>
        <w:rPr>
          <w:color w:val="231F20"/>
          <w:spacing w:val="-5"/>
          <w:sz w:val="19"/>
        </w:rPr>
        <w:t>301</w:t>
      </w:r>
    </w:p>
    <w:p>
      <w:pPr>
        <w:spacing w:line="259" w:lineRule="auto" w:before="18"/>
        <w:ind w:left="520" w:right="452" w:firstLine="0"/>
        <w:jc w:val="left"/>
        <w:rPr>
          <w:sz w:val="19"/>
        </w:rPr>
      </w:pPr>
      <w:r>
        <w:rPr>
          <w:color w:val="231F20"/>
          <w:sz w:val="19"/>
        </w:rPr>
        <w:t>infomercials, 46</w:t>
      </w:r>
      <w:r>
        <w:rPr>
          <w:color w:val="231F20"/>
          <w:spacing w:val="80"/>
          <w:w w:val="150"/>
          <w:sz w:val="19"/>
        </w:rPr>
        <w:t> </w:t>
      </w:r>
      <w:r>
        <w:rPr>
          <w:color w:val="231F20"/>
          <w:sz w:val="19"/>
        </w:rPr>
        <w:t>information technology (IT),</w:t>
      </w:r>
    </w:p>
    <w:p>
      <w:pPr>
        <w:spacing w:line="222" w:lineRule="exact" w:before="0"/>
        <w:ind w:left="760" w:right="0" w:firstLine="0"/>
        <w:jc w:val="left"/>
        <w:rPr>
          <w:sz w:val="19"/>
        </w:rPr>
      </w:pPr>
      <w:r>
        <w:rPr>
          <w:color w:val="231F20"/>
          <w:sz w:val="19"/>
        </w:rPr>
        <w:t>282</w:t>
      </w:r>
      <w:r>
        <w:rPr>
          <w:color w:val="231F20"/>
          <w:spacing w:val="-23"/>
          <w:sz w:val="19"/>
        </w:rPr>
        <w:t> </w:t>
      </w:r>
      <w:r>
        <w:rPr>
          <w:color w:val="231F20"/>
          <w:sz w:val="19"/>
        </w:rPr>
        <w:t>–</w:t>
      </w:r>
      <w:r>
        <w:rPr>
          <w:color w:val="231F20"/>
          <w:spacing w:val="-23"/>
          <w:sz w:val="19"/>
        </w:rPr>
        <w:t> </w:t>
      </w:r>
      <w:r>
        <w:rPr>
          <w:color w:val="231F20"/>
          <w:spacing w:val="-5"/>
          <w:sz w:val="19"/>
        </w:rPr>
        <w:t>84</w:t>
      </w:r>
    </w:p>
    <w:p>
      <w:pPr>
        <w:spacing w:line="259" w:lineRule="auto" w:before="17"/>
        <w:ind w:left="520" w:right="0" w:firstLine="0"/>
        <w:jc w:val="left"/>
        <w:rPr>
          <w:sz w:val="19"/>
        </w:rPr>
      </w:pPr>
      <w:r>
        <w:rPr>
          <w:color w:val="231F20"/>
          <w:sz w:val="19"/>
        </w:rPr>
        <w:t>initial public offering (IPO), </w:t>
      </w:r>
      <w:r>
        <w:rPr>
          <w:color w:val="231F20"/>
          <w:sz w:val="19"/>
        </w:rPr>
        <w:t>234 innovators, 18</w:t>
      </w:r>
    </w:p>
    <w:p>
      <w:pPr>
        <w:spacing w:line="222" w:lineRule="exact" w:before="0"/>
        <w:ind w:left="520" w:right="0" w:firstLine="0"/>
        <w:jc w:val="left"/>
        <w:rPr>
          <w:sz w:val="19"/>
        </w:rPr>
      </w:pPr>
      <w:r>
        <w:rPr>
          <w:color w:val="231F20"/>
          <w:sz w:val="19"/>
        </w:rPr>
        <w:t>integration,</w:t>
      </w:r>
      <w:r>
        <w:rPr>
          <w:color w:val="231F20"/>
          <w:spacing w:val="10"/>
          <w:sz w:val="19"/>
        </w:rPr>
        <w:t> </w:t>
      </w:r>
      <w:r>
        <w:rPr>
          <w:color w:val="231F20"/>
          <w:sz w:val="19"/>
        </w:rPr>
        <w:t>281</w:t>
      </w:r>
      <w:r>
        <w:rPr>
          <w:color w:val="231F20"/>
          <w:spacing w:val="-23"/>
          <w:sz w:val="19"/>
        </w:rPr>
        <w:t> </w:t>
      </w:r>
      <w:r>
        <w:rPr>
          <w:color w:val="231F20"/>
          <w:sz w:val="19"/>
        </w:rPr>
        <w:t>–</w:t>
      </w:r>
      <w:r>
        <w:rPr>
          <w:color w:val="231F20"/>
          <w:spacing w:val="-23"/>
          <w:sz w:val="19"/>
        </w:rPr>
        <w:t> </w:t>
      </w:r>
      <w:r>
        <w:rPr>
          <w:color w:val="231F20"/>
          <w:spacing w:val="-5"/>
          <w:sz w:val="19"/>
        </w:rPr>
        <w:t>82</w:t>
      </w:r>
    </w:p>
    <w:p>
      <w:pPr>
        <w:spacing w:line="259" w:lineRule="auto" w:before="17"/>
        <w:ind w:left="760" w:right="296" w:hanging="240"/>
        <w:jc w:val="left"/>
        <w:rPr>
          <w:sz w:val="19"/>
        </w:rPr>
      </w:pPr>
      <w:r>
        <w:rPr>
          <w:color w:val="231F20"/>
          <w:sz w:val="19"/>
        </w:rPr>
        <w:t>internal rate of return </w:t>
      </w:r>
      <w:r>
        <w:rPr>
          <w:color w:val="231F20"/>
          <w:sz w:val="19"/>
        </w:rPr>
        <w:t>(IRR), 175</w:t>
      </w:r>
      <w:r>
        <w:rPr>
          <w:color w:val="231F20"/>
          <w:spacing w:val="-23"/>
          <w:sz w:val="19"/>
        </w:rPr>
        <w:t> </w:t>
      </w:r>
      <w:r>
        <w:rPr>
          <w:color w:val="231F20"/>
          <w:sz w:val="19"/>
        </w:rPr>
        <w:t>–</w:t>
      </w:r>
      <w:r>
        <w:rPr>
          <w:color w:val="231F20"/>
          <w:spacing w:val="-23"/>
          <w:sz w:val="19"/>
        </w:rPr>
        <w:t> </w:t>
      </w:r>
      <w:r>
        <w:rPr>
          <w:color w:val="231F20"/>
          <w:sz w:val="19"/>
        </w:rPr>
        <w:t>76</w:t>
      </w:r>
    </w:p>
    <w:p>
      <w:pPr>
        <w:spacing w:line="222" w:lineRule="exact" w:before="0"/>
        <w:ind w:left="520" w:right="0" w:firstLine="0"/>
        <w:jc w:val="left"/>
        <w:rPr>
          <w:sz w:val="19"/>
        </w:rPr>
      </w:pPr>
      <w:r>
        <w:rPr>
          <w:color w:val="231F20"/>
          <w:sz w:val="19"/>
        </w:rPr>
        <w:t>Internet,</w:t>
      </w:r>
      <w:r>
        <w:rPr>
          <w:color w:val="231F20"/>
          <w:spacing w:val="10"/>
          <w:sz w:val="19"/>
        </w:rPr>
        <w:t> </w:t>
      </w:r>
      <w:r>
        <w:rPr>
          <w:color w:val="231F20"/>
          <w:sz w:val="19"/>
        </w:rPr>
        <w:t>282,</w:t>
      </w:r>
      <w:r>
        <w:rPr>
          <w:color w:val="231F20"/>
          <w:spacing w:val="10"/>
          <w:sz w:val="19"/>
        </w:rPr>
        <w:t> </w:t>
      </w:r>
      <w:r>
        <w:rPr>
          <w:color w:val="231F20"/>
          <w:sz w:val="19"/>
        </w:rPr>
        <w:t>365</w:t>
      </w:r>
      <w:r>
        <w:rPr>
          <w:color w:val="231F20"/>
          <w:spacing w:val="-23"/>
          <w:sz w:val="19"/>
        </w:rPr>
        <w:t> </w:t>
      </w:r>
      <w:r>
        <w:rPr>
          <w:color w:val="231F20"/>
          <w:sz w:val="19"/>
        </w:rPr>
        <w:t>–</w:t>
      </w:r>
      <w:r>
        <w:rPr>
          <w:color w:val="231F20"/>
          <w:spacing w:val="-23"/>
          <w:sz w:val="19"/>
        </w:rPr>
        <w:t> </w:t>
      </w:r>
      <w:r>
        <w:rPr>
          <w:color w:val="231F20"/>
          <w:spacing w:val="-5"/>
          <w:sz w:val="19"/>
        </w:rPr>
        <w:t>66</w:t>
      </w:r>
    </w:p>
    <w:p>
      <w:pPr>
        <w:spacing w:before="17"/>
        <w:ind w:left="520" w:right="0" w:firstLine="0"/>
        <w:jc w:val="left"/>
        <w:rPr>
          <w:sz w:val="19"/>
        </w:rPr>
      </w:pPr>
      <w:r>
        <w:rPr>
          <w:color w:val="231F20"/>
          <w:sz w:val="19"/>
        </w:rPr>
        <w:t>Internet</w:t>
      </w:r>
      <w:r>
        <w:rPr>
          <w:color w:val="231F20"/>
          <w:spacing w:val="7"/>
          <w:sz w:val="19"/>
        </w:rPr>
        <w:t> </w:t>
      </w:r>
      <w:r>
        <w:rPr>
          <w:color w:val="231F20"/>
          <w:sz w:val="19"/>
        </w:rPr>
        <w:t>marketing,</w:t>
      </w:r>
      <w:r>
        <w:rPr>
          <w:color w:val="231F20"/>
          <w:spacing w:val="9"/>
          <w:sz w:val="19"/>
        </w:rPr>
        <w:t> </w:t>
      </w:r>
      <w:r>
        <w:rPr>
          <w:color w:val="231F20"/>
          <w:sz w:val="19"/>
        </w:rPr>
        <w:t>31</w:t>
      </w:r>
      <w:r>
        <w:rPr>
          <w:color w:val="231F20"/>
          <w:spacing w:val="-23"/>
          <w:sz w:val="19"/>
        </w:rPr>
        <w:t> </w:t>
      </w:r>
      <w:r>
        <w:rPr>
          <w:color w:val="231F20"/>
          <w:sz w:val="19"/>
        </w:rPr>
        <w:t>–</w:t>
      </w:r>
      <w:r>
        <w:rPr>
          <w:color w:val="231F20"/>
          <w:spacing w:val="-23"/>
          <w:sz w:val="19"/>
        </w:rPr>
        <w:t> </w:t>
      </w:r>
      <w:r>
        <w:rPr>
          <w:color w:val="231F20"/>
          <w:sz w:val="19"/>
        </w:rPr>
        <w:t>32,</w:t>
      </w:r>
      <w:r>
        <w:rPr>
          <w:color w:val="231F20"/>
          <w:spacing w:val="8"/>
          <w:sz w:val="19"/>
        </w:rPr>
        <w:t> </w:t>
      </w:r>
      <w:r>
        <w:rPr>
          <w:color w:val="231F20"/>
          <w:spacing w:val="-5"/>
          <w:sz w:val="19"/>
        </w:rPr>
        <w:t>47</w:t>
      </w:r>
    </w:p>
    <w:p>
      <w:pPr>
        <w:spacing w:before="18"/>
        <w:ind w:left="520" w:right="0" w:firstLine="0"/>
        <w:jc w:val="left"/>
        <w:rPr>
          <w:sz w:val="19"/>
        </w:rPr>
      </w:pPr>
      <w:r>
        <w:rPr>
          <w:color w:val="231F20"/>
          <w:sz w:val="19"/>
        </w:rPr>
        <w:t>inventory</w:t>
      </w:r>
      <w:r>
        <w:rPr>
          <w:color w:val="231F20"/>
          <w:spacing w:val="-1"/>
          <w:sz w:val="19"/>
        </w:rPr>
        <w:t> </w:t>
      </w:r>
      <w:r>
        <w:rPr>
          <w:color w:val="231F20"/>
          <w:sz w:val="19"/>
        </w:rPr>
        <w:t>management,</w:t>
      </w:r>
      <w:r>
        <w:rPr>
          <w:color w:val="231F20"/>
          <w:spacing w:val="5"/>
          <w:sz w:val="19"/>
        </w:rPr>
        <w:t> </w:t>
      </w:r>
      <w:r>
        <w:rPr>
          <w:color w:val="231F20"/>
          <w:sz w:val="19"/>
        </w:rPr>
        <w:t>269</w:t>
      </w:r>
      <w:r>
        <w:rPr>
          <w:color w:val="231F20"/>
          <w:spacing w:val="-23"/>
          <w:sz w:val="19"/>
        </w:rPr>
        <w:t> </w:t>
      </w:r>
      <w:r>
        <w:rPr>
          <w:color w:val="231F20"/>
          <w:sz w:val="19"/>
        </w:rPr>
        <w:t>–</w:t>
      </w:r>
      <w:r>
        <w:rPr>
          <w:color w:val="231F20"/>
          <w:spacing w:val="-23"/>
          <w:sz w:val="19"/>
        </w:rPr>
        <w:t> </w:t>
      </w:r>
      <w:r>
        <w:rPr>
          <w:color w:val="231F20"/>
          <w:spacing w:val="-5"/>
          <w:sz w:val="19"/>
        </w:rPr>
        <w:t>75</w:t>
      </w:r>
    </w:p>
    <w:p>
      <w:pPr>
        <w:spacing w:before="100"/>
        <w:ind w:left="376" w:right="0" w:firstLine="0"/>
        <w:jc w:val="left"/>
        <w:rPr>
          <w:sz w:val="19"/>
        </w:rPr>
      </w:pPr>
      <w:r>
        <w:rPr/>
        <w:br w:type="column"/>
      </w:r>
      <w:r>
        <w:rPr>
          <w:color w:val="231F20"/>
          <w:w w:val="95"/>
          <w:sz w:val="19"/>
        </w:rPr>
        <w:t>investment</w:t>
      </w:r>
      <w:r>
        <w:rPr>
          <w:color w:val="231F20"/>
          <w:spacing w:val="33"/>
          <w:sz w:val="19"/>
        </w:rPr>
        <w:t> </w:t>
      </w:r>
      <w:r>
        <w:rPr>
          <w:color w:val="231F20"/>
          <w:w w:val="95"/>
          <w:sz w:val="19"/>
        </w:rPr>
        <w:t>bankers,</w:t>
      </w:r>
      <w:r>
        <w:rPr>
          <w:color w:val="231F20"/>
          <w:spacing w:val="34"/>
          <w:sz w:val="19"/>
        </w:rPr>
        <w:t> </w:t>
      </w:r>
      <w:r>
        <w:rPr>
          <w:color w:val="231F20"/>
          <w:w w:val="95"/>
          <w:sz w:val="19"/>
        </w:rPr>
        <w:t>234</w:t>
      </w:r>
      <w:r>
        <w:rPr>
          <w:color w:val="231F20"/>
          <w:spacing w:val="-13"/>
          <w:w w:val="95"/>
          <w:sz w:val="19"/>
        </w:rPr>
        <w:t> </w:t>
      </w:r>
      <w:r>
        <w:rPr>
          <w:color w:val="231F20"/>
          <w:w w:val="95"/>
          <w:sz w:val="19"/>
        </w:rPr>
        <w:t>–</w:t>
      </w:r>
      <w:r>
        <w:rPr>
          <w:color w:val="231F20"/>
          <w:spacing w:val="-12"/>
          <w:w w:val="95"/>
          <w:sz w:val="19"/>
        </w:rPr>
        <w:t> </w:t>
      </w:r>
      <w:r>
        <w:rPr>
          <w:color w:val="231F20"/>
          <w:spacing w:val="-5"/>
          <w:w w:val="95"/>
          <w:sz w:val="19"/>
        </w:rPr>
        <w:t>34</w:t>
      </w:r>
    </w:p>
    <w:p>
      <w:pPr>
        <w:spacing w:before="17"/>
        <w:ind w:left="376" w:right="0" w:firstLine="0"/>
        <w:jc w:val="left"/>
        <w:rPr>
          <w:sz w:val="19"/>
        </w:rPr>
      </w:pPr>
      <w:r>
        <w:rPr>
          <w:color w:val="231F20"/>
          <w:sz w:val="19"/>
        </w:rPr>
        <w:t>involvement</w:t>
      </w:r>
      <w:r>
        <w:rPr>
          <w:color w:val="231F20"/>
          <w:spacing w:val="1"/>
          <w:sz w:val="19"/>
        </w:rPr>
        <w:t> </w:t>
      </w:r>
      <w:r>
        <w:rPr>
          <w:color w:val="231F20"/>
          <w:sz w:val="19"/>
        </w:rPr>
        <w:t>of</w:t>
      </w:r>
      <w:r>
        <w:rPr>
          <w:color w:val="231F20"/>
          <w:spacing w:val="5"/>
          <w:sz w:val="19"/>
        </w:rPr>
        <w:t> </w:t>
      </w:r>
      <w:r>
        <w:rPr>
          <w:color w:val="231F20"/>
          <w:sz w:val="19"/>
        </w:rPr>
        <w:t>purchase,</w:t>
      </w:r>
      <w:r>
        <w:rPr>
          <w:color w:val="231F20"/>
          <w:spacing w:val="5"/>
          <w:sz w:val="19"/>
        </w:rPr>
        <w:t> </w:t>
      </w:r>
      <w:r>
        <w:rPr>
          <w:color w:val="231F20"/>
          <w:sz w:val="19"/>
        </w:rPr>
        <w:t>9</w:t>
      </w:r>
      <w:r>
        <w:rPr>
          <w:color w:val="231F20"/>
          <w:spacing w:val="-23"/>
          <w:sz w:val="19"/>
        </w:rPr>
        <w:t> </w:t>
      </w:r>
      <w:r>
        <w:rPr>
          <w:color w:val="231F20"/>
          <w:sz w:val="19"/>
        </w:rPr>
        <w:t>–</w:t>
      </w:r>
      <w:r>
        <w:rPr>
          <w:color w:val="231F20"/>
          <w:spacing w:val="-23"/>
          <w:sz w:val="19"/>
        </w:rPr>
        <w:t> </w:t>
      </w:r>
      <w:r>
        <w:rPr>
          <w:color w:val="231F20"/>
          <w:spacing w:val="-5"/>
          <w:sz w:val="19"/>
        </w:rPr>
        <w:t>12</w:t>
      </w:r>
    </w:p>
    <w:p>
      <w:pPr>
        <w:spacing w:before="17"/>
        <w:ind w:left="376" w:right="0" w:firstLine="0"/>
        <w:jc w:val="left"/>
        <w:rPr>
          <w:sz w:val="19"/>
        </w:rPr>
      </w:pPr>
      <w:r>
        <w:rPr>
          <w:color w:val="231F20"/>
          <w:sz w:val="19"/>
        </w:rPr>
        <w:t>IS/LM</w:t>
      </w:r>
      <w:r>
        <w:rPr>
          <w:color w:val="231F20"/>
          <w:spacing w:val="13"/>
          <w:sz w:val="19"/>
        </w:rPr>
        <w:t> </w:t>
      </w:r>
      <w:r>
        <w:rPr>
          <w:color w:val="231F20"/>
          <w:sz w:val="19"/>
        </w:rPr>
        <w:t>curve,</w:t>
      </w:r>
      <w:r>
        <w:rPr>
          <w:color w:val="231F20"/>
          <w:spacing w:val="14"/>
          <w:sz w:val="19"/>
        </w:rPr>
        <w:t> </w:t>
      </w:r>
      <w:r>
        <w:rPr>
          <w:color w:val="231F20"/>
          <w:sz w:val="19"/>
        </w:rPr>
        <w:t>304</w:t>
      </w:r>
      <w:r>
        <w:rPr>
          <w:color w:val="231F20"/>
          <w:spacing w:val="-22"/>
          <w:sz w:val="19"/>
        </w:rPr>
        <w:t> </w:t>
      </w:r>
      <w:r>
        <w:rPr>
          <w:color w:val="231F20"/>
          <w:sz w:val="19"/>
        </w:rPr>
        <w:t>–</w:t>
      </w:r>
      <w:r>
        <w:rPr>
          <w:color w:val="231F20"/>
          <w:spacing w:val="-21"/>
          <w:sz w:val="19"/>
        </w:rPr>
        <w:t> </w:t>
      </w:r>
      <w:r>
        <w:rPr>
          <w:color w:val="231F20"/>
          <w:spacing w:val="-10"/>
          <w:sz w:val="19"/>
        </w:rPr>
        <w:t>6</w:t>
      </w:r>
    </w:p>
    <w:p>
      <w:pPr>
        <w:pStyle w:val="BodyText"/>
        <w:spacing w:before="11"/>
      </w:pPr>
    </w:p>
    <w:p>
      <w:pPr>
        <w:spacing w:before="0"/>
        <w:ind w:left="376" w:right="0" w:firstLine="0"/>
        <w:jc w:val="left"/>
        <w:rPr>
          <w:sz w:val="19"/>
        </w:rPr>
      </w:pPr>
      <w:r>
        <w:rPr>
          <w:color w:val="231F20"/>
          <w:sz w:val="19"/>
        </w:rPr>
        <w:t>job</w:t>
      </w:r>
      <w:r>
        <w:rPr>
          <w:color w:val="231F20"/>
          <w:spacing w:val="10"/>
          <w:sz w:val="19"/>
        </w:rPr>
        <w:t> </w:t>
      </w:r>
      <w:r>
        <w:rPr>
          <w:color w:val="231F20"/>
          <w:sz w:val="19"/>
        </w:rPr>
        <w:t>design,</w:t>
      </w:r>
      <w:r>
        <w:rPr>
          <w:color w:val="231F20"/>
          <w:spacing w:val="11"/>
          <w:sz w:val="19"/>
        </w:rPr>
        <w:t> </w:t>
      </w:r>
      <w:r>
        <w:rPr>
          <w:color w:val="231F20"/>
          <w:sz w:val="19"/>
        </w:rPr>
        <w:t>128</w:t>
      </w:r>
      <w:r>
        <w:rPr>
          <w:color w:val="231F20"/>
          <w:spacing w:val="-23"/>
          <w:sz w:val="19"/>
        </w:rPr>
        <w:t> </w:t>
      </w:r>
      <w:r>
        <w:rPr>
          <w:color w:val="231F20"/>
          <w:sz w:val="19"/>
        </w:rPr>
        <w:t>–</w:t>
      </w:r>
      <w:r>
        <w:rPr>
          <w:color w:val="231F20"/>
          <w:spacing w:val="-23"/>
          <w:sz w:val="19"/>
        </w:rPr>
        <w:t> </w:t>
      </w:r>
      <w:r>
        <w:rPr>
          <w:color w:val="231F20"/>
          <w:spacing w:val="-5"/>
          <w:sz w:val="19"/>
        </w:rPr>
        <w:t>29</w:t>
      </w:r>
    </w:p>
    <w:p>
      <w:pPr>
        <w:spacing w:before="17"/>
        <w:ind w:left="376" w:right="0" w:firstLine="0"/>
        <w:jc w:val="left"/>
        <w:rPr>
          <w:sz w:val="19"/>
        </w:rPr>
      </w:pPr>
      <w:r>
        <w:rPr>
          <w:color w:val="231F20"/>
          <w:sz w:val="19"/>
        </w:rPr>
        <w:t>journal</w:t>
      </w:r>
      <w:r>
        <w:rPr>
          <w:color w:val="231F20"/>
          <w:spacing w:val="2"/>
          <w:sz w:val="19"/>
        </w:rPr>
        <w:t> </w:t>
      </w:r>
      <w:r>
        <w:rPr>
          <w:color w:val="231F20"/>
          <w:sz w:val="19"/>
        </w:rPr>
        <w:t>entries,</w:t>
      </w:r>
      <w:r>
        <w:rPr>
          <w:color w:val="231F20"/>
          <w:spacing w:val="5"/>
          <w:sz w:val="19"/>
        </w:rPr>
        <w:t> </w:t>
      </w:r>
      <w:r>
        <w:rPr>
          <w:color w:val="231F20"/>
          <w:sz w:val="19"/>
        </w:rPr>
        <w:t>84</w:t>
      </w:r>
      <w:r>
        <w:rPr>
          <w:color w:val="231F20"/>
          <w:spacing w:val="-23"/>
          <w:sz w:val="19"/>
        </w:rPr>
        <w:t> </w:t>
      </w:r>
      <w:r>
        <w:rPr>
          <w:color w:val="231F20"/>
          <w:sz w:val="19"/>
        </w:rPr>
        <w:t>–</w:t>
      </w:r>
      <w:r>
        <w:rPr>
          <w:color w:val="231F20"/>
          <w:spacing w:val="-23"/>
          <w:sz w:val="19"/>
        </w:rPr>
        <w:t> </w:t>
      </w:r>
      <w:r>
        <w:rPr>
          <w:color w:val="231F20"/>
          <w:spacing w:val="-5"/>
          <w:sz w:val="19"/>
        </w:rPr>
        <w:t>85</w:t>
      </w:r>
    </w:p>
    <w:p>
      <w:pPr>
        <w:spacing w:before="18"/>
        <w:ind w:left="376" w:right="0" w:firstLine="0"/>
        <w:jc w:val="left"/>
        <w:rPr>
          <w:sz w:val="19"/>
        </w:rPr>
      </w:pPr>
      <w:r>
        <w:rPr>
          <w:color w:val="231F20"/>
          <w:sz w:val="19"/>
        </w:rPr>
        <w:t>junk</w:t>
      </w:r>
      <w:r>
        <w:rPr>
          <w:color w:val="231F20"/>
          <w:spacing w:val="18"/>
          <w:sz w:val="19"/>
        </w:rPr>
        <w:t> </w:t>
      </w:r>
      <w:r>
        <w:rPr>
          <w:color w:val="231F20"/>
          <w:sz w:val="19"/>
        </w:rPr>
        <w:t>bonds,</w:t>
      </w:r>
      <w:r>
        <w:rPr>
          <w:color w:val="231F20"/>
          <w:spacing w:val="19"/>
          <w:sz w:val="19"/>
        </w:rPr>
        <w:t> </w:t>
      </w:r>
      <w:r>
        <w:rPr>
          <w:color w:val="231F20"/>
          <w:spacing w:val="-5"/>
          <w:sz w:val="19"/>
        </w:rPr>
        <w:t>216</w:t>
      </w:r>
    </w:p>
    <w:p>
      <w:pPr>
        <w:spacing w:before="17"/>
        <w:ind w:left="376" w:right="0" w:firstLine="0"/>
        <w:jc w:val="left"/>
        <w:rPr>
          <w:sz w:val="19"/>
        </w:rPr>
      </w:pPr>
      <w:r>
        <w:rPr>
          <w:color w:val="231F20"/>
          <w:w w:val="105"/>
          <w:sz w:val="19"/>
        </w:rPr>
        <w:t>Juran,</w:t>
      </w:r>
      <w:r>
        <w:rPr>
          <w:color w:val="231F20"/>
          <w:spacing w:val="2"/>
          <w:w w:val="105"/>
          <w:sz w:val="19"/>
        </w:rPr>
        <w:t> </w:t>
      </w:r>
      <w:r>
        <w:rPr>
          <w:color w:val="231F20"/>
          <w:w w:val="105"/>
          <w:sz w:val="19"/>
        </w:rPr>
        <w:t>Joseph,</w:t>
      </w:r>
      <w:r>
        <w:rPr>
          <w:color w:val="231F20"/>
          <w:spacing w:val="2"/>
          <w:w w:val="105"/>
          <w:sz w:val="19"/>
        </w:rPr>
        <w:t> </w:t>
      </w:r>
      <w:r>
        <w:rPr>
          <w:color w:val="231F20"/>
          <w:spacing w:val="-5"/>
          <w:w w:val="105"/>
          <w:sz w:val="19"/>
        </w:rPr>
        <w:t>276</w:t>
      </w:r>
    </w:p>
    <w:p>
      <w:pPr>
        <w:spacing w:before="17"/>
        <w:ind w:left="376" w:right="0" w:firstLine="0"/>
        <w:jc w:val="left"/>
        <w:rPr>
          <w:sz w:val="19"/>
        </w:rPr>
      </w:pPr>
      <w:r>
        <w:rPr>
          <w:color w:val="231F20"/>
          <w:sz w:val="19"/>
        </w:rPr>
        <w:t>just</w:t>
      </w:r>
      <w:r>
        <w:rPr>
          <w:color w:val="231F20"/>
          <w:spacing w:val="11"/>
          <w:sz w:val="19"/>
        </w:rPr>
        <w:t> </w:t>
      </w:r>
      <w:r>
        <w:rPr>
          <w:color w:val="231F20"/>
          <w:sz w:val="19"/>
        </w:rPr>
        <w:t>in</w:t>
      </w:r>
      <w:r>
        <w:rPr>
          <w:color w:val="231F20"/>
          <w:spacing w:val="11"/>
          <w:sz w:val="19"/>
        </w:rPr>
        <w:t> </w:t>
      </w:r>
      <w:r>
        <w:rPr>
          <w:color w:val="231F20"/>
          <w:sz w:val="19"/>
        </w:rPr>
        <w:t>time</w:t>
      </w:r>
      <w:r>
        <w:rPr>
          <w:color w:val="231F20"/>
          <w:spacing w:val="12"/>
          <w:sz w:val="19"/>
        </w:rPr>
        <w:t> </w:t>
      </w:r>
      <w:r>
        <w:rPr>
          <w:color w:val="231F20"/>
          <w:sz w:val="19"/>
        </w:rPr>
        <w:t>(JIT),</w:t>
      </w:r>
      <w:r>
        <w:rPr>
          <w:color w:val="231F20"/>
          <w:spacing w:val="11"/>
          <w:sz w:val="19"/>
        </w:rPr>
        <w:t> </w:t>
      </w:r>
      <w:r>
        <w:rPr>
          <w:color w:val="231F20"/>
          <w:sz w:val="19"/>
        </w:rPr>
        <w:t>270</w:t>
      </w:r>
      <w:r>
        <w:rPr>
          <w:color w:val="231F20"/>
          <w:spacing w:val="-23"/>
          <w:sz w:val="19"/>
        </w:rPr>
        <w:t> </w:t>
      </w:r>
      <w:r>
        <w:rPr>
          <w:color w:val="231F20"/>
          <w:sz w:val="19"/>
        </w:rPr>
        <w:t>–</w:t>
      </w:r>
      <w:r>
        <w:rPr>
          <w:color w:val="231F20"/>
          <w:spacing w:val="-22"/>
          <w:sz w:val="19"/>
        </w:rPr>
        <w:t> </w:t>
      </w:r>
      <w:r>
        <w:rPr>
          <w:color w:val="231F20"/>
          <w:spacing w:val="-5"/>
          <w:sz w:val="19"/>
        </w:rPr>
        <w:t>71</w:t>
      </w:r>
    </w:p>
    <w:p>
      <w:pPr>
        <w:pStyle w:val="BodyText"/>
        <w:spacing w:before="11"/>
      </w:pPr>
    </w:p>
    <w:p>
      <w:pPr>
        <w:spacing w:before="0"/>
        <w:ind w:left="376" w:right="0" w:firstLine="0"/>
        <w:jc w:val="left"/>
        <w:rPr>
          <w:sz w:val="19"/>
        </w:rPr>
      </w:pPr>
      <w:r>
        <w:rPr>
          <w:i/>
          <w:color w:val="231F20"/>
          <w:sz w:val="19"/>
        </w:rPr>
        <w:t>kaizen,</w:t>
      </w:r>
      <w:r>
        <w:rPr>
          <w:i/>
          <w:color w:val="231F20"/>
          <w:spacing w:val="32"/>
          <w:sz w:val="19"/>
        </w:rPr>
        <w:t> </w:t>
      </w:r>
      <w:r>
        <w:rPr>
          <w:color w:val="231F20"/>
          <w:spacing w:val="-5"/>
          <w:sz w:val="19"/>
        </w:rPr>
        <w:t>259</w:t>
      </w:r>
    </w:p>
    <w:p>
      <w:pPr>
        <w:spacing w:before="17"/>
        <w:ind w:left="376" w:right="0" w:firstLine="0"/>
        <w:jc w:val="left"/>
        <w:rPr>
          <w:sz w:val="19"/>
        </w:rPr>
      </w:pPr>
      <w:r>
        <w:rPr>
          <w:i/>
          <w:color w:val="231F20"/>
          <w:sz w:val="19"/>
        </w:rPr>
        <w:t>kanban,</w:t>
      </w:r>
      <w:r>
        <w:rPr>
          <w:i/>
          <w:color w:val="231F20"/>
          <w:spacing w:val="35"/>
          <w:sz w:val="19"/>
        </w:rPr>
        <w:t> </w:t>
      </w:r>
      <w:r>
        <w:rPr>
          <w:color w:val="231F20"/>
          <w:spacing w:val="-5"/>
          <w:sz w:val="19"/>
        </w:rPr>
        <w:t>271</w:t>
      </w:r>
    </w:p>
    <w:p>
      <w:pPr>
        <w:spacing w:line="259" w:lineRule="auto" w:before="18"/>
        <w:ind w:left="376" w:right="881" w:firstLine="0"/>
        <w:jc w:val="left"/>
        <w:rPr>
          <w:sz w:val="19"/>
        </w:rPr>
      </w:pPr>
      <w:r>
        <w:rPr>
          <w:color w:val="231F20"/>
          <w:sz w:val="19"/>
        </w:rPr>
        <w:t>key competitive factors, 20 Keynes, John Maynard, 299 Keynesian</w:t>
      </w:r>
      <w:r>
        <w:rPr>
          <w:color w:val="231F20"/>
          <w:spacing w:val="-1"/>
          <w:sz w:val="19"/>
        </w:rPr>
        <w:t> </w:t>
      </w:r>
      <w:r>
        <w:rPr>
          <w:color w:val="231F20"/>
          <w:sz w:val="19"/>
        </w:rPr>
        <w:t>economics, 299</w:t>
      </w:r>
      <w:r>
        <w:rPr>
          <w:color w:val="231F20"/>
          <w:spacing w:val="-23"/>
          <w:sz w:val="19"/>
        </w:rPr>
        <w:t> </w:t>
      </w:r>
      <w:r>
        <w:rPr>
          <w:color w:val="231F20"/>
          <w:sz w:val="19"/>
        </w:rPr>
        <w:t>–</w:t>
      </w:r>
      <w:r>
        <w:rPr>
          <w:color w:val="231F20"/>
          <w:spacing w:val="-23"/>
          <w:sz w:val="19"/>
        </w:rPr>
        <w:t> </w:t>
      </w:r>
      <w:r>
        <w:rPr>
          <w:color w:val="231F20"/>
          <w:sz w:val="19"/>
        </w:rPr>
        <w:t>306,</w:t>
      </w:r>
    </w:p>
    <w:p>
      <w:pPr>
        <w:spacing w:line="221" w:lineRule="exact" w:before="0"/>
        <w:ind w:left="616" w:right="0" w:firstLine="0"/>
        <w:jc w:val="left"/>
        <w:rPr>
          <w:sz w:val="19"/>
        </w:rPr>
      </w:pPr>
      <w:r>
        <w:rPr>
          <w:color w:val="231F20"/>
          <w:spacing w:val="-5"/>
          <w:sz w:val="19"/>
        </w:rPr>
        <w:t>309</w:t>
      </w:r>
    </w:p>
    <w:p>
      <w:pPr>
        <w:spacing w:before="17"/>
        <w:ind w:left="376" w:right="0" w:firstLine="0"/>
        <w:jc w:val="left"/>
        <w:rPr>
          <w:sz w:val="19"/>
        </w:rPr>
      </w:pPr>
      <w:r>
        <w:rPr>
          <w:color w:val="231F20"/>
          <w:spacing w:val="-2"/>
          <w:w w:val="105"/>
          <w:sz w:val="19"/>
        </w:rPr>
        <w:t>Kotler,</w:t>
      </w:r>
      <w:r>
        <w:rPr>
          <w:color w:val="231F20"/>
          <w:w w:val="105"/>
          <w:sz w:val="19"/>
        </w:rPr>
        <w:t> </w:t>
      </w:r>
      <w:r>
        <w:rPr>
          <w:color w:val="231F20"/>
          <w:spacing w:val="-2"/>
          <w:w w:val="105"/>
          <w:sz w:val="19"/>
        </w:rPr>
        <w:t>Philip,</w:t>
      </w:r>
      <w:r>
        <w:rPr>
          <w:color w:val="231F20"/>
          <w:w w:val="105"/>
          <w:sz w:val="19"/>
        </w:rPr>
        <w:t> </w:t>
      </w:r>
      <w:r>
        <w:rPr>
          <w:color w:val="231F20"/>
          <w:spacing w:val="-10"/>
          <w:w w:val="105"/>
          <w:sz w:val="19"/>
        </w:rPr>
        <w:t>2</w:t>
      </w:r>
    </w:p>
    <w:p>
      <w:pPr>
        <w:pStyle w:val="BodyText"/>
        <w:spacing w:before="11"/>
      </w:pPr>
    </w:p>
    <w:p>
      <w:pPr>
        <w:spacing w:before="0"/>
        <w:ind w:left="376" w:right="0" w:firstLine="0"/>
        <w:jc w:val="left"/>
        <w:rPr>
          <w:sz w:val="19"/>
        </w:rPr>
      </w:pPr>
      <w:r>
        <w:rPr>
          <w:color w:val="231F20"/>
          <w:sz w:val="19"/>
        </w:rPr>
        <w:t>Laffer</w:t>
      </w:r>
      <w:r>
        <w:rPr>
          <w:color w:val="231F20"/>
          <w:spacing w:val="15"/>
          <w:sz w:val="19"/>
        </w:rPr>
        <w:t> </w:t>
      </w:r>
      <w:r>
        <w:rPr>
          <w:color w:val="231F20"/>
          <w:sz w:val="19"/>
        </w:rPr>
        <w:t>curve,</w:t>
      </w:r>
      <w:r>
        <w:rPr>
          <w:color w:val="231F20"/>
          <w:spacing w:val="15"/>
          <w:sz w:val="19"/>
        </w:rPr>
        <w:t> </w:t>
      </w:r>
      <w:r>
        <w:rPr>
          <w:color w:val="231F20"/>
          <w:sz w:val="19"/>
        </w:rPr>
        <w:t>311</w:t>
      </w:r>
      <w:r>
        <w:rPr>
          <w:color w:val="231F20"/>
          <w:spacing w:val="-21"/>
          <w:sz w:val="19"/>
        </w:rPr>
        <w:t> </w:t>
      </w:r>
      <w:r>
        <w:rPr>
          <w:color w:val="231F20"/>
          <w:sz w:val="19"/>
        </w:rPr>
        <w:t>–</w:t>
      </w:r>
      <w:r>
        <w:rPr>
          <w:color w:val="231F20"/>
          <w:spacing w:val="-21"/>
          <w:sz w:val="19"/>
        </w:rPr>
        <w:t> </w:t>
      </w:r>
      <w:r>
        <w:rPr>
          <w:color w:val="231F20"/>
          <w:spacing w:val="-5"/>
          <w:sz w:val="19"/>
        </w:rPr>
        <w:t>12</w:t>
      </w:r>
    </w:p>
    <w:p>
      <w:pPr>
        <w:spacing w:before="17"/>
        <w:ind w:left="376" w:right="0" w:firstLine="0"/>
        <w:jc w:val="left"/>
        <w:rPr>
          <w:sz w:val="19"/>
        </w:rPr>
      </w:pPr>
      <w:r>
        <w:rPr>
          <w:color w:val="231F20"/>
          <w:sz w:val="19"/>
        </w:rPr>
        <w:t>laggard,</w:t>
      </w:r>
      <w:r>
        <w:rPr>
          <w:color w:val="231F20"/>
          <w:spacing w:val="22"/>
          <w:sz w:val="19"/>
        </w:rPr>
        <w:t> </w:t>
      </w:r>
      <w:r>
        <w:rPr>
          <w:color w:val="231F20"/>
          <w:spacing w:val="-5"/>
          <w:sz w:val="19"/>
        </w:rPr>
        <w:t>19</w:t>
      </w:r>
    </w:p>
    <w:p>
      <w:pPr>
        <w:spacing w:before="18"/>
        <w:ind w:left="376" w:right="0" w:firstLine="0"/>
        <w:jc w:val="left"/>
        <w:rPr>
          <w:sz w:val="19"/>
        </w:rPr>
      </w:pPr>
      <w:r>
        <w:rPr>
          <w:color w:val="231F20"/>
          <w:sz w:val="19"/>
        </w:rPr>
        <w:t>leadership,</w:t>
      </w:r>
      <w:r>
        <w:rPr>
          <w:color w:val="231F20"/>
          <w:spacing w:val="-8"/>
          <w:sz w:val="19"/>
        </w:rPr>
        <w:t> </w:t>
      </w:r>
      <w:r>
        <w:rPr>
          <w:color w:val="231F20"/>
          <w:sz w:val="19"/>
        </w:rPr>
        <w:t>129</w:t>
      </w:r>
      <w:r>
        <w:rPr>
          <w:color w:val="231F20"/>
          <w:spacing w:val="-23"/>
          <w:sz w:val="19"/>
        </w:rPr>
        <w:t> </w:t>
      </w:r>
      <w:r>
        <w:rPr>
          <w:color w:val="231F20"/>
          <w:sz w:val="19"/>
        </w:rPr>
        <w:t>–</w:t>
      </w:r>
      <w:r>
        <w:rPr>
          <w:color w:val="231F20"/>
          <w:spacing w:val="-23"/>
          <w:sz w:val="19"/>
        </w:rPr>
        <w:t> </w:t>
      </w:r>
      <w:r>
        <w:rPr>
          <w:color w:val="231F20"/>
          <w:spacing w:val="-5"/>
          <w:sz w:val="19"/>
        </w:rPr>
        <w:t>31</w:t>
      </w:r>
    </w:p>
    <w:p>
      <w:pPr>
        <w:spacing w:before="17"/>
        <w:ind w:left="376" w:right="0" w:firstLine="0"/>
        <w:jc w:val="left"/>
        <w:rPr>
          <w:sz w:val="19"/>
        </w:rPr>
      </w:pPr>
      <w:r>
        <w:rPr>
          <w:color w:val="231F20"/>
          <w:sz w:val="19"/>
        </w:rPr>
        <w:t>learning</w:t>
      </w:r>
      <w:r>
        <w:rPr>
          <w:color w:val="231F20"/>
          <w:spacing w:val="-6"/>
          <w:sz w:val="19"/>
        </w:rPr>
        <w:t> </w:t>
      </w:r>
      <w:r>
        <w:rPr>
          <w:color w:val="231F20"/>
          <w:sz w:val="19"/>
        </w:rPr>
        <w:t>curves, 342</w:t>
      </w:r>
      <w:r>
        <w:rPr>
          <w:color w:val="231F20"/>
          <w:spacing w:val="-23"/>
          <w:sz w:val="19"/>
        </w:rPr>
        <w:t> </w:t>
      </w:r>
      <w:r>
        <w:rPr>
          <w:color w:val="231F20"/>
          <w:sz w:val="19"/>
        </w:rPr>
        <w:t>–</w:t>
      </w:r>
      <w:r>
        <w:rPr>
          <w:color w:val="231F20"/>
          <w:spacing w:val="-23"/>
          <w:sz w:val="19"/>
        </w:rPr>
        <w:t> </w:t>
      </w:r>
      <w:r>
        <w:rPr>
          <w:color w:val="231F20"/>
          <w:spacing w:val="-5"/>
          <w:sz w:val="19"/>
        </w:rPr>
        <w:t>44</w:t>
      </w:r>
    </w:p>
    <w:p>
      <w:pPr>
        <w:spacing w:before="17"/>
        <w:ind w:left="376" w:right="0" w:firstLine="0"/>
        <w:jc w:val="left"/>
        <w:rPr>
          <w:sz w:val="19"/>
        </w:rPr>
      </w:pPr>
      <w:r>
        <w:rPr>
          <w:color w:val="231F20"/>
          <w:sz w:val="19"/>
        </w:rPr>
        <w:t>learning</w:t>
      </w:r>
      <w:r>
        <w:rPr>
          <w:color w:val="231F20"/>
          <w:spacing w:val="7"/>
          <w:sz w:val="19"/>
        </w:rPr>
        <w:t> </w:t>
      </w:r>
      <w:r>
        <w:rPr>
          <w:color w:val="231F20"/>
          <w:sz w:val="19"/>
        </w:rPr>
        <w:t>organizations,</w:t>
      </w:r>
      <w:r>
        <w:rPr>
          <w:color w:val="231F20"/>
          <w:spacing w:val="9"/>
          <w:sz w:val="19"/>
        </w:rPr>
        <w:t> </w:t>
      </w:r>
      <w:r>
        <w:rPr>
          <w:color w:val="231F20"/>
          <w:spacing w:val="-5"/>
          <w:sz w:val="19"/>
        </w:rPr>
        <w:t>150</w:t>
      </w:r>
    </w:p>
    <w:p>
      <w:pPr>
        <w:spacing w:before="17"/>
        <w:ind w:left="376" w:right="0" w:firstLine="0"/>
        <w:jc w:val="left"/>
        <w:rPr>
          <w:sz w:val="19"/>
        </w:rPr>
      </w:pPr>
      <w:r>
        <w:rPr>
          <w:color w:val="231F20"/>
          <w:sz w:val="19"/>
        </w:rPr>
        <w:t>lease</w:t>
      </w:r>
      <w:r>
        <w:rPr>
          <w:color w:val="231F20"/>
          <w:spacing w:val="-1"/>
          <w:sz w:val="19"/>
        </w:rPr>
        <w:t> </w:t>
      </w:r>
      <w:r>
        <w:rPr>
          <w:color w:val="231F20"/>
          <w:sz w:val="19"/>
        </w:rPr>
        <w:t>financing,</w:t>
      </w:r>
      <w:r>
        <w:rPr>
          <w:color w:val="231F20"/>
          <w:spacing w:val="4"/>
          <w:sz w:val="19"/>
        </w:rPr>
        <w:t> </w:t>
      </w:r>
      <w:r>
        <w:rPr>
          <w:color w:val="231F20"/>
          <w:sz w:val="19"/>
        </w:rPr>
        <w:t>231</w:t>
      </w:r>
      <w:r>
        <w:rPr>
          <w:color w:val="231F20"/>
          <w:spacing w:val="-23"/>
          <w:sz w:val="19"/>
        </w:rPr>
        <w:t> </w:t>
      </w:r>
      <w:r>
        <w:rPr>
          <w:color w:val="231F20"/>
          <w:sz w:val="19"/>
        </w:rPr>
        <w:t>–</w:t>
      </w:r>
      <w:r>
        <w:rPr>
          <w:color w:val="231F20"/>
          <w:spacing w:val="-23"/>
          <w:sz w:val="19"/>
        </w:rPr>
        <w:t> </w:t>
      </w:r>
      <w:r>
        <w:rPr>
          <w:color w:val="231F20"/>
          <w:spacing w:val="-5"/>
          <w:sz w:val="19"/>
        </w:rPr>
        <w:t>32</w:t>
      </w:r>
    </w:p>
    <w:p>
      <w:pPr>
        <w:spacing w:before="18"/>
        <w:ind w:left="376" w:right="0" w:firstLine="0"/>
        <w:jc w:val="left"/>
        <w:rPr>
          <w:sz w:val="19"/>
        </w:rPr>
      </w:pPr>
      <w:r>
        <w:rPr>
          <w:color w:val="231F20"/>
          <w:sz w:val="19"/>
        </w:rPr>
        <w:t>leveraged</w:t>
      </w:r>
      <w:r>
        <w:rPr>
          <w:color w:val="231F20"/>
          <w:spacing w:val="14"/>
          <w:sz w:val="19"/>
        </w:rPr>
        <w:t> </w:t>
      </w:r>
      <w:r>
        <w:rPr>
          <w:color w:val="231F20"/>
          <w:sz w:val="19"/>
        </w:rPr>
        <w:t>buyout</w:t>
      </w:r>
      <w:r>
        <w:rPr>
          <w:color w:val="231F20"/>
          <w:spacing w:val="14"/>
          <w:sz w:val="19"/>
        </w:rPr>
        <w:t> </w:t>
      </w:r>
      <w:r>
        <w:rPr>
          <w:color w:val="231F20"/>
          <w:sz w:val="19"/>
        </w:rPr>
        <w:t>(LBO),</w:t>
      </w:r>
      <w:r>
        <w:rPr>
          <w:color w:val="231F20"/>
          <w:spacing w:val="14"/>
          <w:sz w:val="19"/>
        </w:rPr>
        <w:t> </w:t>
      </w:r>
      <w:r>
        <w:rPr>
          <w:color w:val="231F20"/>
          <w:sz w:val="19"/>
        </w:rPr>
        <w:t>244</w:t>
      </w:r>
      <w:r>
        <w:rPr>
          <w:color w:val="231F20"/>
          <w:spacing w:val="-21"/>
          <w:sz w:val="19"/>
        </w:rPr>
        <w:t> </w:t>
      </w:r>
      <w:r>
        <w:rPr>
          <w:color w:val="231F20"/>
          <w:sz w:val="19"/>
        </w:rPr>
        <w:t>–</w:t>
      </w:r>
      <w:r>
        <w:rPr>
          <w:color w:val="231F20"/>
          <w:spacing w:val="-21"/>
          <w:sz w:val="19"/>
        </w:rPr>
        <w:t> </w:t>
      </w:r>
      <w:r>
        <w:rPr>
          <w:color w:val="231F20"/>
          <w:spacing w:val="-5"/>
          <w:sz w:val="19"/>
        </w:rPr>
        <w:t>45</w:t>
      </w:r>
    </w:p>
    <w:p>
      <w:pPr>
        <w:spacing w:before="17"/>
        <w:ind w:left="376" w:right="0" w:firstLine="0"/>
        <w:jc w:val="left"/>
        <w:rPr>
          <w:sz w:val="19"/>
        </w:rPr>
      </w:pPr>
      <w:r>
        <w:rPr>
          <w:color w:val="231F20"/>
          <w:sz w:val="19"/>
        </w:rPr>
        <w:t>levered</w:t>
      </w:r>
      <w:r>
        <w:rPr>
          <w:color w:val="231F20"/>
          <w:spacing w:val="-5"/>
          <w:sz w:val="19"/>
        </w:rPr>
        <w:t> </w:t>
      </w:r>
      <w:r>
        <w:rPr>
          <w:color w:val="231F20"/>
          <w:sz w:val="19"/>
        </w:rPr>
        <w:t>beta,</w:t>
      </w:r>
      <w:r>
        <w:rPr>
          <w:color w:val="231F20"/>
          <w:spacing w:val="2"/>
          <w:sz w:val="19"/>
        </w:rPr>
        <w:t> </w:t>
      </w:r>
      <w:r>
        <w:rPr>
          <w:color w:val="231F20"/>
          <w:sz w:val="19"/>
        </w:rPr>
        <w:t>238</w:t>
      </w:r>
      <w:r>
        <w:rPr>
          <w:color w:val="231F20"/>
          <w:spacing w:val="-23"/>
          <w:sz w:val="19"/>
        </w:rPr>
        <w:t> </w:t>
      </w:r>
      <w:r>
        <w:rPr>
          <w:color w:val="231F20"/>
          <w:sz w:val="19"/>
        </w:rPr>
        <w:t>–</w:t>
      </w:r>
      <w:r>
        <w:rPr>
          <w:color w:val="231F20"/>
          <w:spacing w:val="-23"/>
          <w:sz w:val="19"/>
        </w:rPr>
        <w:t> </w:t>
      </w:r>
      <w:r>
        <w:rPr>
          <w:color w:val="231F20"/>
          <w:spacing w:val="-5"/>
          <w:sz w:val="19"/>
        </w:rPr>
        <w:t>39</w:t>
      </w:r>
    </w:p>
    <w:p>
      <w:pPr>
        <w:spacing w:before="17"/>
        <w:ind w:left="376" w:right="0" w:firstLine="0"/>
        <w:jc w:val="left"/>
        <w:rPr>
          <w:sz w:val="19"/>
        </w:rPr>
      </w:pPr>
      <w:r>
        <w:rPr>
          <w:color w:val="231F20"/>
          <w:sz w:val="19"/>
        </w:rPr>
        <w:t>LIFO</w:t>
      </w:r>
      <w:r>
        <w:rPr>
          <w:color w:val="231F20"/>
          <w:spacing w:val="31"/>
          <w:sz w:val="19"/>
        </w:rPr>
        <w:t> </w:t>
      </w:r>
      <w:r>
        <w:rPr>
          <w:color w:val="231F20"/>
          <w:sz w:val="19"/>
        </w:rPr>
        <w:t>method,</w:t>
      </w:r>
      <w:r>
        <w:rPr>
          <w:color w:val="231F20"/>
          <w:spacing w:val="31"/>
          <w:sz w:val="19"/>
        </w:rPr>
        <w:t> </w:t>
      </w:r>
      <w:r>
        <w:rPr>
          <w:color w:val="231F20"/>
          <w:sz w:val="19"/>
        </w:rPr>
        <w:t>79</w:t>
      </w:r>
      <w:r>
        <w:rPr>
          <w:color w:val="231F20"/>
          <w:spacing w:val="-16"/>
          <w:sz w:val="19"/>
        </w:rPr>
        <w:t> </w:t>
      </w:r>
      <w:r>
        <w:rPr>
          <w:color w:val="231F20"/>
          <w:sz w:val="19"/>
        </w:rPr>
        <w:t>–</w:t>
      </w:r>
      <w:r>
        <w:rPr>
          <w:color w:val="231F20"/>
          <w:spacing w:val="-15"/>
          <w:sz w:val="19"/>
        </w:rPr>
        <w:t> </w:t>
      </w:r>
      <w:r>
        <w:rPr>
          <w:color w:val="231F20"/>
          <w:spacing w:val="-5"/>
          <w:sz w:val="19"/>
        </w:rPr>
        <w:t>80</w:t>
      </w:r>
    </w:p>
    <w:p>
      <w:pPr>
        <w:spacing w:before="17"/>
        <w:ind w:left="376" w:right="0" w:firstLine="0"/>
        <w:jc w:val="left"/>
        <w:rPr>
          <w:sz w:val="19"/>
        </w:rPr>
      </w:pPr>
      <w:r>
        <w:rPr>
          <w:color w:val="231F20"/>
          <w:sz w:val="19"/>
        </w:rPr>
        <w:t>line</w:t>
      </w:r>
      <w:r>
        <w:rPr>
          <w:color w:val="231F20"/>
          <w:spacing w:val="11"/>
          <w:sz w:val="19"/>
        </w:rPr>
        <w:t> </w:t>
      </w:r>
      <w:r>
        <w:rPr>
          <w:color w:val="231F20"/>
          <w:sz w:val="19"/>
        </w:rPr>
        <w:t>extension,</w:t>
      </w:r>
      <w:r>
        <w:rPr>
          <w:color w:val="231F20"/>
          <w:spacing w:val="11"/>
          <w:sz w:val="19"/>
        </w:rPr>
        <w:t> </w:t>
      </w:r>
      <w:r>
        <w:rPr>
          <w:color w:val="231F20"/>
          <w:sz w:val="19"/>
        </w:rPr>
        <w:t>33,</w:t>
      </w:r>
      <w:r>
        <w:rPr>
          <w:color w:val="231F20"/>
          <w:spacing w:val="11"/>
          <w:sz w:val="19"/>
        </w:rPr>
        <w:t> </w:t>
      </w:r>
      <w:r>
        <w:rPr>
          <w:color w:val="231F20"/>
          <w:spacing w:val="-5"/>
          <w:sz w:val="19"/>
        </w:rPr>
        <w:t>34</w:t>
      </w:r>
    </w:p>
    <w:p>
      <w:pPr>
        <w:spacing w:before="18"/>
        <w:ind w:left="376" w:right="0" w:firstLine="0"/>
        <w:jc w:val="left"/>
        <w:rPr>
          <w:sz w:val="19"/>
        </w:rPr>
      </w:pPr>
      <w:r>
        <w:rPr>
          <w:color w:val="231F20"/>
          <w:sz w:val="19"/>
        </w:rPr>
        <w:t>linear</w:t>
      </w:r>
      <w:r>
        <w:rPr>
          <w:color w:val="231F20"/>
          <w:spacing w:val="8"/>
          <w:sz w:val="19"/>
        </w:rPr>
        <w:t> </w:t>
      </w:r>
      <w:r>
        <w:rPr>
          <w:color w:val="231F20"/>
          <w:sz w:val="19"/>
        </w:rPr>
        <w:t>programming,</w:t>
      </w:r>
      <w:r>
        <w:rPr>
          <w:color w:val="231F20"/>
          <w:spacing w:val="9"/>
          <w:sz w:val="19"/>
        </w:rPr>
        <w:t> </w:t>
      </w:r>
      <w:r>
        <w:rPr>
          <w:color w:val="231F20"/>
          <w:sz w:val="19"/>
        </w:rPr>
        <w:t>262</w:t>
      </w:r>
      <w:r>
        <w:rPr>
          <w:color w:val="231F20"/>
          <w:spacing w:val="-23"/>
          <w:sz w:val="19"/>
        </w:rPr>
        <w:t> </w:t>
      </w:r>
      <w:r>
        <w:rPr>
          <w:color w:val="231F20"/>
          <w:sz w:val="19"/>
        </w:rPr>
        <w:t>–</w:t>
      </w:r>
      <w:r>
        <w:rPr>
          <w:color w:val="231F20"/>
          <w:spacing w:val="-23"/>
          <w:sz w:val="19"/>
        </w:rPr>
        <w:t> </w:t>
      </w:r>
      <w:r>
        <w:rPr>
          <w:color w:val="231F20"/>
          <w:spacing w:val="-5"/>
          <w:sz w:val="19"/>
        </w:rPr>
        <w:t>64</w:t>
      </w:r>
    </w:p>
    <w:p>
      <w:pPr>
        <w:spacing w:before="17"/>
        <w:ind w:left="376" w:right="0" w:firstLine="0"/>
        <w:jc w:val="left"/>
        <w:rPr>
          <w:sz w:val="19"/>
        </w:rPr>
      </w:pPr>
      <w:r>
        <w:rPr>
          <w:color w:val="231F20"/>
          <w:w w:val="95"/>
          <w:sz w:val="19"/>
        </w:rPr>
        <w:t>linear</w:t>
      </w:r>
      <w:r>
        <w:rPr>
          <w:color w:val="231F20"/>
          <w:spacing w:val="27"/>
          <w:sz w:val="19"/>
        </w:rPr>
        <w:t> </w:t>
      </w:r>
      <w:r>
        <w:rPr>
          <w:color w:val="231F20"/>
          <w:w w:val="95"/>
          <w:sz w:val="19"/>
        </w:rPr>
        <w:t>regression,</w:t>
      </w:r>
      <w:r>
        <w:rPr>
          <w:color w:val="231F20"/>
          <w:spacing w:val="28"/>
          <w:sz w:val="19"/>
        </w:rPr>
        <w:t> </w:t>
      </w:r>
      <w:r>
        <w:rPr>
          <w:color w:val="231F20"/>
          <w:w w:val="95"/>
          <w:sz w:val="19"/>
        </w:rPr>
        <w:t>189</w:t>
      </w:r>
      <w:r>
        <w:rPr>
          <w:color w:val="231F20"/>
          <w:spacing w:val="-15"/>
          <w:w w:val="95"/>
          <w:sz w:val="19"/>
        </w:rPr>
        <w:t> </w:t>
      </w:r>
      <w:r>
        <w:rPr>
          <w:color w:val="231F20"/>
          <w:w w:val="95"/>
          <w:sz w:val="19"/>
        </w:rPr>
        <w:t>–</w:t>
      </w:r>
      <w:r>
        <w:rPr>
          <w:color w:val="231F20"/>
          <w:spacing w:val="-14"/>
          <w:w w:val="95"/>
          <w:sz w:val="19"/>
        </w:rPr>
        <w:t> </w:t>
      </w:r>
      <w:r>
        <w:rPr>
          <w:color w:val="231F20"/>
          <w:spacing w:val="-5"/>
          <w:w w:val="95"/>
          <w:sz w:val="19"/>
        </w:rPr>
        <w:t>90</w:t>
      </w:r>
    </w:p>
    <w:p>
      <w:pPr>
        <w:spacing w:before="17"/>
        <w:ind w:left="376" w:right="0" w:firstLine="0"/>
        <w:jc w:val="left"/>
        <w:rPr>
          <w:sz w:val="19"/>
        </w:rPr>
      </w:pPr>
      <w:r>
        <w:rPr>
          <w:color w:val="231F20"/>
          <w:sz w:val="19"/>
        </w:rPr>
        <w:t>linkages,</w:t>
      </w:r>
      <w:r>
        <w:rPr>
          <w:color w:val="231F20"/>
          <w:spacing w:val="14"/>
          <w:sz w:val="19"/>
        </w:rPr>
        <w:t> </w:t>
      </w:r>
      <w:r>
        <w:rPr>
          <w:color w:val="231F20"/>
          <w:sz w:val="19"/>
        </w:rPr>
        <w:t>358</w:t>
      </w:r>
      <w:r>
        <w:rPr>
          <w:color w:val="231F20"/>
          <w:spacing w:val="-22"/>
          <w:sz w:val="19"/>
        </w:rPr>
        <w:t> </w:t>
      </w:r>
      <w:r>
        <w:rPr>
          <w:color w:val="231F20"/>
          <w:sz w:val="19"/>
        </w:rPr>
        <w:t>–</w:t>
      </w:r>
      <w:r>
        <w:rPr>
          <w:color w:val="231F20"/>
          <w:spacing w:val="-21"/>
          <w:sz w:val="19"/>
        </w:rPr>
        <w:t> </w:t>
      </w:r>
      <w:r>
        <w:rPr>
          <w:color w:val="231F20"/>
          <w:spacing w:val="-5"/>
          <w:sz w:val="19"/>
        </w:rPr>
        <w:t>59</w:t>
      </w:r>
    </w:p>
    <w:p>
      <w:pPr>
        <w:spacing w:before="17"/>
        <w:ind w:left="376" w:right="0" w:firstLine="0"/>
        <w:jc w:val="left"/>
        <w:rPr>
          <w:sz w:val="19"/>
        </w:rPr>
      </w:pPr>
      <w:r>
        <w:rPr>
          <w:color w:val="231F20"/>
          <w:sz w:val="19"/>
        </w:rPr>
        <w:t>liquidity,</w:t>
      </w:r>
      <w:r>
        <w:rPr>
          <w:color w:val="231F20"/>
          <w:spacing w:val="5"/>
          <w:sz w:val="19"/>
        </w:rPr>
        <w:t> </w:t>
      </w:r>
      <w:r>
        <w:rPr>
          <w:color w:val="231F20"/>
          <w:sz w:val="19"/>
        </w:rPr>
        <w:t>86</w:t>
      </w:r>
      <w:r>
        <w:rPr>
          <w:color w:val="231F20"/>
          <w:spacing w:val="-23"/>
          <w:sz w:val="19"/>
        </w:rPr>
        <w:t> </w:t>
      </w:r>
      <w:r>
        <w:rPr>
          <w:color w:val="231F20"/>
          <w:sz w:val="19"/>
        </w:rPr>
        <w:t>–</w:t>
      </w:r>
      <w:r>
        <w:rPr>
          <w:color w:val="231F20"/>
          <w:spacing w:val="-23"/>
          <w:sz w:val="19"/>
        </w:rPr>
        <w:t> </w:t>
      </w:r>
      <w:r>
        <w:rPr>
          <w:color w:val="231F20"/>
          <w:spacing w:val="-5"/>
          <w:sz w:val="19"/>
        </w:rPr>
        <w:t>87</w:t>
      </w:r>
    </w:p>
    <w:p>
      <w:pPr>
        <w:spacing w:line="259" w:lineRule="auto" w:before="18"/>
        <w:ind w:left="376" w:right="1075" w:firstLine="0"/>
        <w:jc w:val="left"/>
        <w:rPr>
          <w:sz w:val="19"/>
        </w:rPr>
      </w:pPr>
      <w:r>
        <w:rPr>
          <w:color w:val="231F20"/>
          <w:sz w:val="19"/>
        </w:rPr>
        <w:t>logical incrementalism, 360 low-cost producers (LCPs), </w:t>
      </w:r>
      <w:r>
        <w:rPr>
          <w:color w:val="231F20"/>
          <w:sz w:val="19"/>
        </w:rPr>
        <w:t>342</w:t>
      </w:r>
    </w:p>
    <w:p>
      <w:pPr>
        <w:pStyle w:val="BodyText"/>
        <w:spacing w:before="4"/>
        <w:rPr>
          <w:sz w:val="20"/>
        </w:rPr>
      </w:pPr>
    </w:p>
    <w:p>
      <w:pPr>
        <w:spacing w:before="0"/>
        <w:ind w:left="376" w:right="0" w:firstLine="0"/>
        <w:jc w:val="left"/>
        <w:rPr>
          <w:sz w:val="19"/>
        </w:rPr>
      </w:pPr>
      <w:r>
        <w:rPr>
          <w:color w:val="231F20"/>
          <w:sz w:val="19"/>
        </w:rPr>
        <w:t>M’s</w:t>
      </w:r>
      <w:r>
        <w:rPr>
          <w:color w:val="231F20"/>
          <w:spacing w:val="15"/>
          <w:sz w:val="19"/>
        </w:rPr>
        <w:t> </w:t>
      </w:r>
      <w:r>
        <w:rPr>
          <w:color w:val="231F20"/>
          <w:sz w:val="19"/>
        </w:rPr>
        <w:t>of</w:t>
      </w:r>
      <w:r>
        <w:rPr>
          <w:color w:val="231F20"/>
          <w:spacing w:val="15"/>
          <w:sz w:val="19"/>
        </w:rPr>
        <w:t> </w:t>
      </w:r>
      <w:r>
        <w:rPr>
          <w:color w:val="231F20"/>
          <w:sz w:val="19"/>
        </w:rPr>
        <w:t>capacity</w:t>
      </w:r>
      <w:r>
        <w:rPr>
          <w:color w:val="231F20"/>
          <w:spacing w:val="16"/>
          <w:sz w:val="19"/>
        </w:rPr>
        <w:t> </w:t>
      </w:r>
      <w:r>
        <w:rPr>
          <w:color w:val="231F20"/>
          <w:sz w:val="19"/>
        </w:rPr>
        <w:t>(6),</w:t>
      </w:r>
      <w:r>
        <w:rPr>
          <w:color w:val="231F20"/>
          <w:spacing w:val="15"/>
          <w:sz w:val="19"/>
        </w:rPr>
        <w:t> </w:t>
      </w:r>
      <w:r>
        <w:rPr>
          <w:color w:val="231F20"/>
          <w:sz w:val="19"/>
        </w:rPr>
        <w:t>260</w:t>
      </w:r>
      <w:r>
        <w:rPr>
          <w:color w:val="231F20"/>
          <w:spacing w:val="-21"/>
          <w:sz w:val="19"/>
        </w:rPr>
        <w:t> </w:t>
      </w:r>
      <w:r>
        <w:rPr>
          <w:color w:val="231F20"/>
          <w:sz w:val="19"/>
        </w:rPr>
        <w:t>–</w:t>
      </w:r>
      <w:r>
        <w:rPr>
          <w:color w:val="231F20"/>
          <w:spacing w:val="-21"/>
          <w:sz w:val="19"/>
        </w:rPr>
        <w:t> </w:t>
      </w:r>
      <w:r>
        <w:rPr>
          <w:color w:val="231F20"/>
          <w:spacing w:val="-5"/>
          <w:sz w:val="19"/>
        </w:rPr>
        <w:t>64</w:t>
      </w:r>
    </w:p>
    <w:p>
      <w:pPr>
        <w:spacing w:before="17"/>
        <w:ind w:left="376" w:right="0" w:firstLine="0"/>
        <w:jc w:val="left"/>
        <w:rPr>
          <w:sz w:val="19"/>
        </w:rPr>
      </w:pPr>
      <w:r>
        <w:rPr>
          <w:color w:val="231F20"/>
          <w:w w:val="105"/>
          <w:sz w:val="19"/>
        </w:rPr>
        <w:t>McClelland,</w:t>
      </w:r>
      <w:r>
        <w:rPr>
          <w:color w:val="231F20"/>
          <w:spacing w:val="27"/>
          <w:w w:val="105"/>
          <w:sz w:val="19"/>
        </w:rPr>
        <w:t> </w:t>
      </w:r>
      <w:r>
        <w:rPr>
          <w:color w:val="231F20"/>
          <w:w w:val="105"/>
          <w:sz w:val="19"/>
        </w:rPr>
        <w:t>David,</w:t>
      </w:r>
      <w:r>
        <w:rPr>
          <w:color w:val="231F20"/>
          <w:spacing w:val="27"/>
          <w:w w:val="105"/>
          <w:sz w:val="19"/>
        </w:rPr>
        <w:t> </w:t>
      </w:r>
      <w:r>
        <w:rPr>
          <w:color w:val="231F20"/>
          <w:spacing w:val="-5"/>
          <w:w w:val="105"/>
          <w:sz w:val="19"/>
        </w:rPr>
        <w:t>127</w:t>
      </w:r>
    </w:p>
    <w:p>
      <w:pPr>
        <w:spacing w:before="18"/>
        <w:ind w:left="376" w:right="0" w:firstLine="0"/>
        <w:jc w:val="left"/>
        <w:rPr>
          <w:sz w:val="19"/>
        </w:rPr>
      </w:pPr>
      <w:r>
        <w:rPr>
          <w:color w:val="231F20"/>
          <w:w w:val="110"/>
          <w:sz w:val="19"/>
        </w:rPr>
        <w:t>McKinsey</w:t>
      </w:r>
      <w:r>
        <w:rPr>
          <w:color w:val="231F20"/>
          <w:spacing w:val="-5"/>
          <w:w w:val="110"/>
          <w:sz w:val="19"/>
        </w:rPr>
        <w:t> </w:t>
      </w:r>
      <w:r>
        <w:rPr>
          <w:color w:val="231F20"/>
          <w:w w:val="110"/>
          <w:sz w:val="19"/>
        </w:rPr>
        <w:t>&amp; Co., 352</w:t>
      </w:r>
      <w:r>
        <w:rPr>
          <w:color w:val="231F20"/>
          <w:spacing w:val="-27"/>
          <w:w w:val="110"/>
          <w:sz w:val="19"/>
        </w:rPr>
        <w:t> </w:t>
      </w:r>
      <w:r>
        <w:rPr>
          <w:color w:val="231F20"/>
          <w:w w:val="110"/>
          <w:sz w:val="19"/>
        </w:rPr>
        <w:t>–</w:t>
      </w:r>
      <w:r>
        <w:rPr>
          <w:color w:val="231F20"/>
          <w:spacing w:val="-27"/>
          <w:w w:val="110"/>
          <w:sz w:val="19"/>
        </w:rPr>
        <w:t> </w:t>
      </w:r>
      <w:r>
        <w:rPr>
          <w:color w:val="231F20"/>
          <w:spacing w:val="-5"/>
          <w:w w:val="110"/>
          <w:sz w:val="19"/>
        </w:rPr>
        <w:t>53</w:t>
      </w:r>
    </w:p>
    <w:p>
      <w:pPr>
        <w:spacing w:line="259" w:lineRule="auto" w:before="17"/>
        <w:ind w:left="376" w:right="398" w:firstLine="0"/>
        <w:jc w:val="left"/>
        <w:rPr>
          <w:sz w:val="19"/>
        </w:rPr>
      </w:pPr>
      <w:r>
        <w:rPr>
          <w:color w:val="231F20"/>
          <w:sz w:val="19"/>
        </w:rPr>
        <w:t>macroeconomics, 298</w:t>
      </w:r>
      <w:r>
        <w:rPr>
          <w:color w:val="231F20"/>
          <w:spacing w:val="-13"/>
          <w:sz w:val="19"/>
        </w:rPr>
        <w:t> </w:t>
      </w:r>
      <w:r>
        <w:rPr>
          <w:color w:val="231F20"/>
          <w:sz w:val="19"/>
        </w:rPr>
        <w:t>–</w:t>
      </w:r>
      <w:r>
        <w:rPr>
          <w:color w:val="231F20"/>
          <w:spacing w:val="-13"/>
          <w:sz w:val="19"/>
        </w:rPr>
        <w:t> </w:t>
      </w:r>
      <w:r>
        <w:rPr>
          <w:color w:val="231F20"/>
          <w:sz w:val="19"/>
        </w:rPr>
        <w:t>321 management by objective </w:t>
      </w:r>
      <w:r>
        <w:rPr>
          <w:color w:val="231F20"/>
          <w:sz w:val="19"/>
        </w:rPr>
        <w:t>(MBO),</w:t>
      </w:r>
    </w:p>
    <w:p>
      <w:pPr>
        <w:spacing w:line="222" w:lineRule="exact" w:before="0"/>
        <w:ind w:left="616" w:right="0" w:firstLine="0"/>
        <w:jc w:val="left"/>
        <w:rPr>
          <w:sz w:val="19"/>
        </w:rPr>
      </w:pPr>
      <w:r>
        <w:rPr>
          <w:color w:val="231F20"/>
          <w:sz w:val="19"/>
        </w:rPr>
        <w:t>138</w:t>
      </w:r>
      <w:r>
        <w:rPr>
          <w:color w:val="231F20"/>
          <w:spacing w:val="-23"/>
          <w:sz w:val="19"/>
        </w:rPr>
        <w:t> </w:t>
      </w:r>
      <w:r>
        <w:rPr>
          <w:color w:val="231F20"/>
          <w:sz w:val="19"/>
        </w:rPr>
        <w:t>–</w:t>
      </w:r>
      <w:r>
        <w:rPr>
          <w:color w:val="231F20"/>
          <w:spacing w:val="-23"/>
          <w:sz w:val="19"/>
        </w:rPr>
        <w:t> </w:t>
      </w:r>
      <w:r>
        <w:rPr>
          <w:color w:val="231F20"/>
          <w:spacing w:val="-5"/>
          <w:sz w:val="19"/>
        </w:rPr>
        <w:t>39</w:t>
      </w:r>
    </w:p>
    <w:p>
      <w:pPr>
        <w:spacing w:before="17"/>
        <w:ind w:left="376" w:right="0" w:firstLine="0"/>
        <w:jc w:val="left"/>
        <w:rPr>
          <w:sz w:val="19"/>
        </w:rPr>
      </w:pPr>
      <w:r>
        <w:rPr>
          <w:color w:val="231F20"/>
          <w:sz w:val="19"/>
        </w:rPr>
        <w:t>management</w:t>
      </w:r>
      <w:r>
        <w:rPr>
          <w:color w:val="231F20"/>
          <w:spacing w:val="-7"/>
          <w:sz w:val="19"/>
        </w:rPr>
        <w:t> </w:t>
      </w:r>
      <w:r>
        <w:rPr>
          <w:color w:val="231F20"/>
          <w:sz w:val="19"/>
        </w:rPr>
        <w:t>science,</w:t>
      </w:r>
      <w:r>
        <w:rPr>
          <w:color w:val="231F20"/>
          <w:spacing w:val="-7"/>
          <w:sz w:val="19"/>
        </w:rPr>
        <w:t> </w:t>
      </w:r>
      <w:r>
        <w:rPr>
          <w:color w:val="231F20"/>
          <w:spacing w:val="-5"/>
          <w:sz w:val="19"/>
        </w:rPr>
        <w:t>258</w:t>
      </w:r>
    </w:p>
    <w:p>
      <w:pPr>
        <w:spacing w:before="17"/>
        <w:ind w:left="376" w:right="0" w:firstLine="0"/>
        <w:jc w:val="left"/>
        <w:rPr>
          <w:sz w:val="19"/>
        </w:rPr>
      </w:pPr>
      <w:r>
        <w:rPr>
          <w:color w:val="231F20"/>
          <w:sz w:val="19"/>
        </w:rPr>
        <w:t>managerial</w:t>
      </w:r>
      <w:r>
        <w:rPr>
          <w:color w:val="231F20"/>
          <w:spacing w:val="13"/>
          <w:sz w:val="19"/>
        </w:rPr>
        <w:t> </w:t>
      </w:r>
      <w:r>
        <w:rPr>
          <w:color w:val="231F20"/>
          <w:sz w:val="19"/>
        </w:rPr>
        <w:t>accounting,</w:t>
      </w:r>
      <w:r>
        <w:rPr>
          <w:color w:val="231F20"/>
          <w:spacing w:val="13"/>
          <w:sz w:val="19"/>
        </w:rPr>
        <w:t> </w:t>
      </w:r>
      <w:r>
        <w:rPr>
          <w:color w:val="231F20"/>
          <w:sz w:val="19"/>
        </w:rPr>
        <w:t>111</w:t>
      </w:r>
      <w:r>
        <w:rPr>
          <w:color w:val="231F20"/>
          <w:spacing w:val="-21"/>
          <w:sz w:val="19"/>
        </w:rPr>
        <w:t> </w:t>
      </w:r>
      <w:r>
        <w:rPr>
          <w:color w:val="231F20"/>
          <w:sz w:val="19"/>
        </w:rPr>
        <w:t>–</w:t>
      </w:r>
      <w:r>
        <w:rPr>
          <w:color w:val="231F20"/>
          <w:spacing w:val="-22"/>
          <w:sz w:val="19"/>
        </w:rPr>
        <w:t> </w:t>
      </w:r>
      <w:r>
        <w:rPr>
          <w:color w:val="231F20"/>
          <w:spacing w:val="-5"/>
          <w:sz w:val="19"/>
        </w:rPr>
        <w:t>14</w:t>
      </w:r>
    </w:p>
    <w:p>
      <w:pPr>
        <w:spacing w:before="18"/>
        <w:ind w:left="376" w:right="0" w:firstLine="0"/>
        <w:jc w:val="left"/>
        <w:rPr>
          <w:sz w:val="19"/>
        </w:rPr>
      </w:pPr>
      <w:r>
        <w:rPr>
          <w:color w:val="231F20"/>
          <w:sz w:val="19"/>
        </w:rPr>
        <w:t>managerial</w:t>
      </w:r>
      <w:r>
        <w:rPr>
          <w:color w:val="231F20"/>
          <w:spacing w:val="9"/>
          <w:sz w:val="19"/>
        </w:rPr>
        <w:t> </w:t>
      </w:r>
      <w:r>
        <w:rPr>
          <w:color w:val="231F20"/>
          <w:sz w:val="19"/>
        </w:rPr>
        <w:t>grid,</w:t>
      </w:r>
      <w:r>
        <w:rPr>
          <w:color w:val="231F20"/>
          <w:spacing w:val="9"/>
          <w:sz w:val="19"/>
        </w:rPr>
        <w:t> </w:t>
      </w:r>
      <w:r>
        <w:rPr>
          <w:color w:val="231F20"/>
          <w:spacing w:val="-5"/>
          <w:sz w:val="19"/>
        </w:rPr>
        <w:t>130</w:t>
      </w:r>
    </w:p>
    <w:p>
      <w:pPr>
        <w:spacing w:before="17"/>
        <w:ind w:left="376" w:right="0" w:firstLine="0"/>
        <w:jc w:val="left"/>
        <w:rPr>
          <w:sz w:val="19"/>
        </w:rPr>
      </w:pPr>
      <w:r>
        <w:rPr>
          <w:color w:val="231F20"/>
          <w:w w:val="105"/>
          <w:sz w:val="19"/>
        </w:rPr>
        <w:t>“Managing</w:t>
      </w:r>
      <w:r>
        <w:rPr>
          <w:color w:val="231F20"/>
          <w:spacing w:val="9"/>
          <w:w w:val="105"/>
          <w:sz w:val="19"/>
        </w:rPr>
        <w:t> </w:t>
      </w:r>
      <w:r>
        <w:rPr>
          <w:color w:val="231F20"/>
          <w:w w:val="105"/>
          <w:sz w:val="19"/>
        </w:rPr>
        <w:t>Your</w:t>
      </w:r>
      <w:r>
        <w:rPr>
          <w:color w:val="231F20"/>
          <w:spacing w:val="10"/>
          <w:w w:val="105"/>
          <w:sz w:val="19"/>
        </w:rPr>
        <w:t> </w:t>
      </w:r>
      <w:r>
        <w:rPr>
          <w:color w:val="231F20"/>
          <w:w w:val="105"/>
          <w:sz w:val="19"/>
        </w:rPr>
        <w:t>Boss,”</w:t>
      </w:r>
      <w:r>
        <w:rPr>
          <w:color w:val="231F20"/>
          <w:spacing w:val="10"/>
          <w:w w:val="105"/>
          <w:sz w:val="19"/>
        </w:rPr>
        <w:t> </w:t>
      </w:r>
      <w:r>
        <w:rPr>
          <w:color w:val="231F20"/>
          <w:w w:val="105"/>
          <w:sz w:val="19"/>
        </w:rPr>
        <w:t>136</w:t>
      </w:r>
      <w:r>
        <w:rPr>
          <w:color w:val="231F20"/>
          <w:spacing w:val="-25"/>
          <w:w w:val="105"/>
          <w:sz w:val="19"/>
        </w:rPr>
        <w:t> </w:t>
      </w:r>
      <w:r>
        <w:rPr>
          <w:color w:val="231F20"/>
          <w:w w:val="105"/>
          <w:sz w:val="19"/>
        </w:rPr>
        <w:t>–</w:t>
      </w:r>
      <w:r>
        <w:rPr>
          <w:color w:val="231F20"/>
          <w:spacing w:val="-24"/>
          <w:w w:val="105"/>
          <w:sz w:val="19"/>
        </w:rPr>
        <w:t> </w:t>
      </w:r>
      <w:r>
        <w:rPr>
          <w:color w:val="231F20"/>
          <w:spacing w:val="-7"/>
          <w:w w:val="105"/>
          <w:sz w:val="19"/>
        </w:rPr>
        <w:t>37</w:t>
      </w:r>
    </w:p>
    <w:p>
      <w:pPr>
        <w:spacing w:after="0"/>
        <w:jc w:val="left"/>
        <w:rPr>
          <w:sz w:val="19"/>
        </w:rPr>
        <w:sectPr>
          <w:type w:val="continuous"/>
          <w:pgSz w:w="8640" w:h="12960"/>
          <w:pgMar w:header="732" w:footer="0" w:top="1220" w:bottom="280" w:left="740" w:right="480"/>
          <w:cols w:num="2" w:equalWidth="0">
            <w:col w:w="3329" w:space="40"/>
            <w:col w:w="4051"/>
          </w:cols>
        </w:sectPr>
      </w:pPr>
    </w:p>
    <w:p>
      <w:pPr>
        <w:pStyle w:val="BodyText"/>
        <w:spacing w:before="2"/>
        <w:rPr>
          <w:sz w:val="18"/>
        </w:rPr>
      </w:pPr>
    </w:p>
    <w:p>
      <w:pPr>
        <w:spacing w:after="0"/>
        <w:rPr>
          <w:sz w:val="18"/>
        </w:rPr>
        <w:sectPr>
          <w:pgSz w:w="8640" w:h="12960"/>
          <w:pgMar w:header="732" w:footer="0" w:top="920" w:bottom="280" w:left="740" w:right="480"/>
        </w:sectPr>
      </w:pPr>
    </w:p>
    <w:p>
      <w:pPr>
        <w:spacing w:line="259" w:lineRule="auto" w:before="99"/>
        <w:ind w:left="670" w:right="0" w:hanging="240"/>
        <w:jc w:val="left"/>
        <w:rPr>
          <w:sz w:val="19"/>
        </w:rPr>
      </w:pPr>
      <w:r>
        <w:rPr>
          <w:color w:val="231F20"/>
          <w:sz w:val="19"/>
        </w:rPr>
        <w:t>marginal</w:t>
      </w:r>
      <w:r>
        <w:rPr>
          <w:color w:val="231F20"/>
          <w:spacing w:val="-9"/>
          <w:sz w:val="19"/>
        </w:rPr>
        <w:t> </w:t>
      </w:r>
      <w:r>
        <w:rPr>
          <w:color w:val="231F20"/>
          <w:sz w:val="19"/>
        </w:rPr>
        <w:t>propensity</w:t>
      </w:r>
      <w:r>
        <w:rPr>
          <w:color w:val="231F20"/>
          <w:spacing w:val="-8"/>
          <w:sz w:val="19"/>
        </w:rPr>
        <w:t> </w:t>
      </w:r>
      <w:r>
        <w:rPr>
          <w:color w:val="231F20"/>
          <w:sz w:val="19"/>
        </w:rPr>
        <w:t>to</w:t>
      </w:r>
      <w:r>
        <w:rPr>
          <w:color w:val="231F20"/>
          <w:spacing w:val="-8"/>
          <w:sz w:val="19"/>
        </w:rPr>
        <w:t> </w:t>
      </w:r>
      <w:r>
        <w:rPr>
          <w:color w:val="231F20"/>
          <w:sz w:val="19"/>
        </w:rPr>
        <w:t>consume (MPC), 304</w:t>
      </w:r>
      <w:r>
        <w:rPr>
          <w:color w:val="231F20"/>
          <w:spacing w:val="-13"/>
          <w:sz w:val="19"/>
        </w:rPr>
        <w:t> </w:t>
      </w:r>
      <w:r>
        <w:rPr>
          <w:color w:val="231F20"/>
          <w:sz w:val="19"/>
        </w:rPr>
        <w:t>–</w:t>
      </w:r>
      <w:r>
        <w:rPr>
          <w:color w:val="231F20"/>
          <w:spacing w:val="-13"/>
          <w:sz w:val="19"/>
        </w:rPr>
        <w:t> </w:t>
      </w:r>
      <w:r>
        <w:rPr>
          <w:color w:val="231F20"/>
          <w:sz w:val="19"/>
        </w:rPr>
        <w:t>4</w:t>
      </w:r>
    </w:p>
    <w:p>
      <w:pPr>
        <w:spacing w:line="259" w:lineRule="auto" w:before="0"/>
        <w:ind w:left="670" w:right="0" w:hanging="240"/>
        <w:jc w:val="left"/>
        <w:rPr>
          <w:sz w:val="19"/>
        </w:rPr>
      </w:pPr>
      <w:r>
        <w:rPr>
          <w:color w:val="231F20"/>
          <w:sz w:val="19"/>
        </w:rPr>
        <w:t>marginal</w:t>
      </w:r>
      <w:r>
        <w:rPr>
          <w:color w:val="231F20"/>
          <w:spacing w:val="-5"/>
          <w:sz w:val="19"/>
        </w:rPr>
        <w:t> </w:t>
      </w:r>
      <w:r>
        <w:rPr>
          <w:color w:val="231F20"/>
          <w:sz w:val="19"/>
        </w:rPr>
        <w:t>revenue</w:t>
      </w:r>
      <w:r>
        <w:rPr>
          <w:color w:val="231F20"/>
          <w:spacing w:val="-1"/>
          <w:sz w:val="19"/>
        </w:rPr>
        <w:t> </w:t>
      </w:r>
      <w:r>
        <w:rPr>
          <w:color w:val="231F20"/>
          <w:sz w:val="19"/>
        </w:rPr>
        <w:t>and</w:t>
      </w:r>
      <w:r>
        <w:rPr>
          <w:color w:val="231F20"/>
          <w:spacing w:val="-1"/>
          <w:sz w:val="19"/>
        </w:rPr>
        <w:t> </w:t>
      </w:r>
      <w:r>
        <w:rPr>
          <w:color w:val="231F20"/>
          <w:sz w:val="19"/>
        </w:rPr>
        <w:t>cost,</w:t>
      </w:r>
      <w:r>
        <w:rPr>
          <w:color w:val="231F20"/>
          <w:spacing w:val="-1"/>
          <w:sz w:val="19"/>
        </w:rPr>
        <w:t> </w:t>
      </w:r>
      <w:r>
        <w:rPr>
          <w:color w:val="231F20"/>
          <w:sz w:val="19"/>
        </w:rPr>
        <w:t>291</w:t>
      </w:r>
      <w:r>
        <w:rPr>
          <w:color w:val="231F20"/>
          <w:spacing w:val="-23"/>
          <w:sz w:val="19"/>
        </w:rPr>
        <w:t> </w:t>
      </w:r>
      <w:r>
        <w:rPr>
          <w:color w:val="231F20"/>
          <w:sz w:val="19"/>
        </w:rPr>
        <w:t>– </w:t>
      </w:r>
      <w:r>
        <w:rPr>
          <w:color w:val="231F20"/>
          <w:spacing w:val="-4"/>
          <w:sz w:val="19"/>
        </w:rPr>
        <w:t>294</w:t>
      </w:r>
    </w:p>
    <w:p>
      <w:pPr>
        <w:spacing w:line="222" w:lineRule="exact" w:before="0"/>
        <w:ind w:left="430" w:right="0" w:firstLine="0"/>
        <w:jc w:val="left"/>
        <w:rPr>
          <w:sz w:val="19"/>
        </w:rPr>
      </w:pPr>
      <w:r>
        <w:rPr>
          <w:color w:val="231F20"/>
          <w:sz w:val="19"/>
        </w:rPr>
        <w:t>marginal</w:t>
      </w:r>
      <w:r>
        <w:rPr>
          <w:color w:val="231F20"/>
          <w:spacing w:val="5"/>
          <w:sz w:val="19"/>
        </w:rPr>
        <w:t> </w:t>
      </w:r>
      <w:r>
        <w:rPr>
          <w:color w:val="231F20"/>
          <w:sz w:val="19"/>
        </w:rPr>
        <w:t>utility,</w:t>
      </w:r>
      <w:r>
        <w:rPr>
          <w:color w:val="231F20"/>
          <w:spacing w:val="5"/>
          <w:sz w:val="19"/>
        </w:rPr>
        <w:t> </w:t>
      </w:r>
      <w:r>
        <w:rPr>
          <w:color w:val="231F20"/>
          <w:spacing w:val="-5"/>
          <w:sz w:val="19"/>
        </w:rPr>
        <w:t>294</w:t>
      </w:r>
    </w:p>
    <w:p>
      <w:pPr>
        <w:spacing w:line="259" w:lineRule="auto" w:before="16"/>
        <w:ind w:left="430" w:right="534" w:firstLine="0"/>
        <w:jc w:val="left"/>
        <w:rPr>
          <w:sz w:val="19"/>
        </w:rPr>
      </w:pPr>
      <w:r>
        <w:rPr>
          <w:color w:val="231F20"/>
          <w:sz w:val="19"/>
        </w:rPr>
        <w:t>market analysis, 16</w:t>
      </w:r>
      <w:r>
        <w:rPr>
          <w:color w:val="231F20"/>
          <w:spacing w:val="-10"/>
          <w:sz w:val="19"/>
        </w:rPr>
        <w:t> </w:t>
      </w:r>
      <w:r>
        <w:rPr>
          <w:color w:val="231F20"/>
          <w:sz w:val="19"/>
        </w:rPr>
        <w:t>–</w:t>
      </w:r>
      <w:r>
        <w:rPr>
          <w:color w:val="231F20"/>
          <w:spacing w:val="-10"/>
          <w:sz w:val="19"/>
        </w:rPr>
        <w:t> </w:t>
      </w:r>
      <w:r>
        <w:rPr>
          <w:color w:val="231F20"/>
          <w:sz w:val="19"/>
        </w:rPr>
        <w:t>20 market share leverage, 23 market</w:t>
      </w:r>
      <w:r>
        <w:rPr>
          <w:color w:val="231F20"/>
          <w:spacing w:val="-9"/>
          <w:sz w:val="19"/>
        </w:rPr>
        <w:t> </w:t>
      </w:r>
      <w:r>
        <w:rPr>
          <w:color w:val="231F20"/>
          <w:sz w:val="19"/>
        </w:rPr>
        <w:t>structures,</w:t>
      </w:r>
      <w:r>
        <w:rPr>
          <w:color w:val="231F20"/>
          <w:spacing w:val="-4"/>
          <w:sz w:val="19"/>
        </w:rPr>
        <w:t> </w:t>
      </w:r>
      <w:r>
        <w:rPr>
          <w:color w:val="231F20"/>
          <w:sz w:val="19"/>
        </w:rPr>
        <w:t>297</w:t>
      </w:r>
      <w:r>
        <w:rPr>
          <w:color w:val="231F20"/>
          <w:spacing w:val="-23"/>
          <w:sz w:val="19"/>
        </w:rPr>
        <w:t> </w:t>
      </w:r>
      <w:r>
        <w:rPr>
          <w:color w:val="231F20"/>
          <w:sz w:val="19"/>
        </w:rPr>
        <w:t>–</w:t>
      </w:r>
      <w:r>
        <w:rPr>
          <w:color w:val="231F20"/>
          <w:spacing w:val="-23"/>
          <w:sz w:val="19"/>
        </w:rPr>
        <w:t> </w:t>
      </w:r>
      <w:r>
        <w:rPr>
          <w:color w:val="231F20"/>
          <w:spacing w:val="-5"/>
          <w:sz w:val="19"/>
        </w:rPr>
        <w:t>98</w:t>
      </w:r>
    </w:p>
    <w:p>
      <w:pPr>
        <w:spacing w:line="221" w:lineRule="exact" w:before="0"/>
        <w:ind w:left="430" w:right="0" w:firstLine="0"/>
        <w:jc w:val="left"/>
        <w:rPr>
          <w:sz w:val="19"/>
        </w:rPr>
      </w:pPr>
      <w:r>
        <w:rPr>
          <w:color w:val="231F20"/>
          <w:sz w:val="19"/>
        </w:rPr>
        <w:t>marketing</w:t>
      </w:r>
      <w:r>
        <w:rPr>
          <w:color w:val="231F20"/>
          <w:spacing w:val="16"/>
          <w:sz w:val="19"/>
        </w:rPr>
        <w:t> </w:t>
      </w:r>
      <w:r>
        <w:rPr>
          <w:color w:val="231F20"/>
          <w:sz w:val="19"/>
        </w:rPr>
        <w:t>mix,</w:t>
      </w:r>
      <w:r>
        <w:rPr>
          <w:color w:val="231F20"/>
          <w:spacing w:val="17"/>
          <w:sz w:val="19"/>
        </w:rPr>
        <w:t> </w:t>
      </w:r>
      <w:r>
        <w:rPr>
          <w:color w:val="231F20"/>
          <w:sz w:val="19"/>
        </w:rPr>
        <w:t>32</w:t>
      </w:r>
      <w:r>
        <w:rPr>
          <w:color w:val="231F20"/>
          <w:spacing w:val="-20"/>
          <w:sz w:val="19"/>
        </w:rPr>
        <w:t> </w:t>
      </w:r>
      <w:r>
        <w:rPr>
          <w:color w:val="231F20"/>
          <w:sz w:val="19"/>
        </w:rPr>
        <w:t>–</w:t>
      </w:r>
      <w:r>
        <w:rPr>
          <w:color w:val="231F20"/>
          <w:spacing w:val="-21"/>
          <w:sz w:val="19"/>
        </w:rPr>
        <w:t> </w:t>
      </w:r>
      <w:r>
        <w:rPr>
          <w:color w:val="231F20"/>
          <w:spacing w:val="-5"/>
          <w:sz w:val="19"/>
        </w:rPr>
        <w:t>50</w:t>
      </w:r>
    </w:p>
    <w:p>
      <w:pPr>
        <w:spacing w:before="18"/>
        <w:ind w:left="430" w:right="0" w:firstLine="0"/>
        <w:jc w:val="left"/>
        <w:rPr>
          <w:sz w:val="19"/>
        </w:rPr>
      </w:pPr>
      <w:r>
        <w:rPr>
          <w:color w:val="231F20"/>
          <w:sz w:val="19"/>
        </w:rPr>
        <w:t>marketing</w:t>
      </w:r>
      <w:r>
        <w:rPr>
          <w:color w:val="231F20"/>
          <w:spacing w:val="6"/>
          <w:sz w:val="19"/>
        </w:rPr>
        <w:t> </w:t>
      </w:r>
      <w:r>
        <w:rPr>
          <w:color w:val="231F20"/>
          <w:sz w:val="19"/>
        </w:rPr>
        <w:t>plan</w:t>
      </w:r>
      <w:r>
        <w:rPr>
          <w:color w:val="231F20"/>
          <w:spacing w:val="7"/>
          <w:sz w:val="19"/>
        </w:rPr>
        <w:t> </w:t>
      </w:r>
      <w:r>
        <w:rPr>
          <w:color w:val="231F20"/>
          <w:sz w:val="19"/>
        </w:rPr>
        <w:t>economics,</w:t>
      </w:r>
      <w:r>
        <w:rPr>
          <w:color w:val="231F20"/>
          <w:spacing w:val="8"/>
          <w:sz w:val="19"/>
        </w:rPr>
        <w:t> </w:t>
      </w:r>
      <w:r>
        <w:rPr>
          <w:color w:val="231F20"/>
          <w:sz w:val="19"/>
        </w:rPr>
        <w:t>50</w:t>
      </w:r>
      <w:r>
        <w:rPr>
          <w:color w:val="231F20"/>
          <w:spacing w:val="-23"/>
          <w:sz w:val="19"/>
        </w:rPr>
        <w:t> </w:t>
      </w:r>
      <w:r>
        <w:rPr>
          <w:color w:val="231F20"/>
          <w:sz w:val="19"/>
        </w:rPr>
        <w:t>–</w:t>
      </w:r>
      <w:r>
        <w:rPr>
          <w:color w:val="231F20"/>
          <w:spacing w:val="-23"/>
          <w:sz w:val="19"/>
        </w:rPr>
        <w:t> </w:t>
      </w:r>
      <w:r>
        <w:rPr>
          <w:color w:val="231F20"/>
          <w:spacing w:val="-5"/>
          <w:sz w:val="19"/>
        </w:rPr>
        <w:t>55</w:t>
      </w:r>
    </w:p>
    <w:p>
      <w:pPr>
        <w:spacing w:before="17"/>
        <w:ind w:left="430" w:right="0" w:firstLine="0"/>
        <w:jc w:val="left"/>
        <w:rPr>
          <w:sz w:val="19"/>
        </w:rPr>
      </w:pPr>
      <w:r>
        <w:rPr>
          <w:color w:val="231F20"/>
          <w:sz w:val="19"/>
        </w:rPr>
        <w:t>markups,</w:t>
      </w:r>
      <w:r>
        <w:rPr>
          <w:color w:val="231F20"/>
          <w:spacing w:val="17"/>
          <w:sz w:val="19"/>
        </w:rPr>
        <w:t> </w:t>
      </w:r>
      <w:r>
        <w:rPr>
          <w:color w:val="231F20"/>
          <w:spacing w:val="-5"/>
          <w:sz w:val="19"/>
        </w:rPr>
        <w:t>28</w:t>
      </w:r>
    </w:p>
    <w:p>
      <w:pPr>
        <w:spacing w:before="17"/>
        <w:ind w:left="430" w:right="0" w:firstLine="0"/>
        <w:jc w:val="left"/>
        <w:rPr>
          <w:sz w:val="19"/>
        </w:rPr>
      </w:pPr>
      <w:r>
        <w:rPr>
          <w:color w:val="231F20"/>
          <w:w w:val="105"/>
          <w:sz w:val="19"/>
        </w:rPr>
        <w:t>Maslow, Abraham,</w:t>
      </w:r>
      <w:r>
        <w:rPr>
          <w:color w:val="231F20"/>
          <w:spacing w:val="1"/>
          <w:w w:val="105"/>
          <w:sz w:val="19"/>
        </w:rPr>
        <w:t> </w:t>
      </w:r>
      <w:r>
        <w:rPr>
          <w:color w:val="231F20"/>
          <w:spacing w:val="-5"/>
          <w:w w:val="105"/>
          <w:sz w:val="19"/>
        </w:rPr>
        <w:t>127</w:t>
      </w:r>
    </w:p>
    <w:p>
      <w:pPr>
        <w:spacing w:before="17"/>
        <w:ind w:left="430" w:right="0" w:firstLine="0"/>
        <w:jc w:val="left"/>
        <w:rPr>
          <w:sz w:val="19"/>
        </w:rPr>
      </w:pPr>
      <w:r>
        <w:rPr>
          <w:color w:val="231F20"/>
          <w:sz w:val="19"/>
        </w:rPr>
        <w:t>mass</w:t>
      </w:r>
      <w:r>
        <w:rPr>
          <w:color w:val="231F20"/>
          <w:spacing w:val="7"/>
          <w:sz w:val="19"/>
        </w:rPr>
        <w:t> </w:t>
      </w:r>
      <w:r>
        <w:rPr>
          <w:color w:val="231F20"/>
          <w:sz w:val="19"/>
        </w:rPr>
        <w:t>customization,</w:t>
      </w:r>
      <w:r>
        <w:rPr>
          <w:color w:val="231F20"/>
          <w:spacing w:val="8"/>
          <w:sz w:val="19"/>
        </w:rPr>
        <w:t> </w:t>
      </w:r>
      <w:r>
        <w:rPr>
          <w:color w:val="231F20"/>
          <w:sz w:val="19"/>
        </w:rPr>
        <w:t>281</w:t>
      </w:r>
      <w:r>
        <w:rPr>
          <w:color w:val="231F20"/>
          <w:spacing w:val="-23"/>
          <w:sz w:val="19"/>
        </w:rPr>
        <w:t> </w:t>
      </w:r>
      <w:r>
        <w:rPr>
          <w:color w:val="231F20"/>
          <w:sz w:val="19"/>
        </w:rPr>
        <w:t>–</w:t>
      </w:r>
      <w:r>
        <w:rPr>
          <w:color w:val="231F20"/>
          <w:spacing w:val="-23"/>
          <w:sz w:val="19"/>
        </w:rPr>
        <w:t> </w:t>
      </w:r>
      <w:r>
        <w:rPr>
          <w:color w:val="231F20"/>
          <w:spacing w:val="-5"/>
          <w:sz w:val="19"/>
        </w:rPr>
        <w:t>82</w:t>
      </w:r>
    </w:p>
    <w:p>
      <w:pPr>
        <w:spacing w:before="18"/>
        <w:ind w:left="430" w:right="0" w:firstLine="0"/>
        <w:jc w:val="left"/>
        <w:rPr>
          <w:sz w:val="19"/>
        </w:rPr>
      </w:pPr>
      <w:r>
        <w:rPr>
          <w:color w:val="231F20"/>
          <w:sz w:val="19"/>
        </w:rPr>
        <w:t>mass</w:t>
      </w:r>
      <w:r>
        <w:rPr>
          <w:color w:val="231F20"/>
          <w:spacing w:val="1"/>
          <w:sz w:val="19"/>
        </w:rPr>
        <w:t> </w:t>
      </w:r>
      <w:r>
        <w:rPr>
          <w:color w:val="231F20"/>
          <w:sz w:val="19"/>
        </w:rPr>
        <w:t>distribution,</w:t>
      </w:r>
      <w:r>
        <w:rPr>
          <w:color w:val="231F20"/>
          <w:spacing w:val="2"/>
          <w:sz w:val="19"/>
        </w:rPr>
        <w:t> </w:t>
      </w:r>
      <w:r>
        <w:rPr>
          <w:color w:val="231F20"/>
          <w:spacing w:val="-5"/>
          <w:sz w:val="19"/>
        </w:rPr>
        <w:t>19</w:t>
      </w:r>
    </w:p>
    <w:p>
      <w:pPr>
        <w:spacing w:line="259" w:lineRule="auto" w:before="17"/>
        <w:ind w:left="670" w:right="0" w:hanging="240"/>
        <w:jc w:val="left"/>
        <w:rPr>
          <w:sz w:val="19"/>
        </w:rPr>
      </w:pPr>
      <w:r>
        <w:rPr>
          <w:color w:val="231F20"/>
          <w:spacing w:val="-2"/>
          <w:sz w:val="19"/>
        </w:rPr>
        <w:t>material</w:t>
      </w:r>
      <w:r>
        <w:rPr>
          <w:color w:val="231F20"/>
          <w:spacing w:val="-3"/>
          <w:sz w:val="19"/>
        </w:rPr>
        <w:t> </w:t>
      </w:r>
      <w:r>
        <w:rPr>
          <w:color w:val="231F20"/>
          <w:spacing w:val="-2"/>
          <w:sz w:val="19"/>
        </w:rPr>
        <w:t>requirements</w:t>
      </w:r>
      <w:r>
        <w:rPr>
          <w:color w:val="231F20"/>
          <w:spacing w:val="-3"/>
          <w:sz w:val="19"/>
        </w:rPr>
        <w:t> </w:t>
      </w:r>
      <w:r>
        <w:rPr>
          <w:color w:val="231F20"/>
          <w:spacing w:val="-2"/>
          <w:sz w:val="19"/>
        </w:rPr>
        <w:t>planning</w:t>
      </w:r>
      <w:r>
        <w:rPr>
          <w:color w:val="231F20"/>
          <w:sz w:val="19"/>
        </w:rPr>
        <w:t> (MRP), 274</w:t>
      </w:r>
      <w:r>
        <w:rPr>
          <w:color w:val="231F20"/>
          <w:spacing w:val="-13"/>
          <w:sz w:val="19"/>
        </w:rPr>
        <w:t> </w:t>
      </w:r>
      <w:r>
        <w:rPr>
          <w:color w:val="231F20"/>
          <w:sz w:val="19"/>
        </w:rPr>
        <w:t>–</w:t>
      </w:r>
      <w:r>
        <w:rPr>
          <w:color w:val="231F20"/>
          <w:spacing w:val="-13"/>
          <w:sz w:val="19"/>
        </w:rPr>
        <w:t> </w:t>
      </w:r>
      <w:r>
        <w:rPr>
          <w:color w:val="231F20"/>
          <w:sz w:val="19"/>
        </w:rPr>
        <w:t>75</w:t>
      </w:r>
    </w:p>
    <w:p>
      <w:pPr>
        <w:spacing w:line="222" w:lineRule="exact" w:before="0"/>
        <w:ind w:left="430" w:right="0" w:firstLine="0"/>
        <w:jc w:val="left"/>
        <w:rPr>
          <w:sz w:val="19"/>
        </w:rPr>
      </w:pPr>
      <w:r>
        <w:rPr>
          <w:color w:val="231F20"/>
          <w:spacing w:val="-2"/>
          <w:sz w:val="19"/>
        </w:rPr>
        <w:t>materiality,</w:t>
      </w:r>
      <w:r>
        <w:rPr>
          <w:color w:val="231F20"/>
          <w:spacing w:val="14"/>
          <w:sz w:val="19"/>
        </w:rPr>
        <w:t> </w:t>
      </w:r>
      <w:r>
        <w:rPr>
          <w:color w:val="231F20"/>
          <w:spacing w:val="-2"/>
          <w:sz w:val="19"/>
        </w:rPr>
        <w:t>80</w:t>
      </w:r>
      <w:r>
        <w:rPr>
          <w:color w:val="231F20"/>
          <w:spacing w:val="-21"/>
          <w:sz w:val="19"/>
        </w:rPr>
        <w:t> </w:t>
      </w:r>
      <w:r>
        <w:rPr>
          <w:color w:val="231F20"/>
          <w:spacing w:val="-2"/>
          <w:sz w:val="19"/>
        </w:rPr>
        <w:t>–</w:t>
      </w:r>
      <w:r>
        <w:rPr>
          <w:color w:val="231F20"/>
          <w:spacing w:val="-22"/>
          <w:sz w:val="19"/>
        </w:rPr>
        <w:t> </w:t>
      </w:r>
      <w:r>
        <w:rPr>
          <w:color w:val="231F20"/>
          <w:spacing w:val="-5"/>
          <w:sz w:val="19"/>
        </w:rPr>
        <w:t>81</w:t>
      </w:r>
    </w:p>
    <w:p>
      <w:pPr>
        <w:spacing w:before="17"/>
        <w:ind w:left="430" w:right="0" w:firstLine="0"/>
        <w:jc w:val="left"/>
        <w:rPr>
          <w:sz w:val="19"/>
        </w:rPr>
      </w:pPr>
      <w:r>
        <w:rPr>
          <w:color w:val="231F20"/>
          <w:w w:val="105"/>
          <w:sz w:val="19"/>
        </w:rPr>
        <w:t>Mayo,</w:t>
      </w:r>
      <w:r>
        <w:rPr>
          <w:color w:val="231F20"/>
          <w:spacing w:val="11"/>
          <w:w w:val="105"/>
          <w:sz w:val="19"/>
        </w:rPr>
        <w:t> </w:t>
      </w:r>
      <w:r>
        <w:rPr>
          <w:color w:val="231F20"/>
          <w:w w:val="105"/>
          <w:sz w:val="19"/>
        </w:rPr>
        <w:t>Elton,</w:t>
      </w:r>
      <w:r>
        <w:rPr>
          <w:color w:val="231F20"/>
          <w:spacing w:val="11"/>
          <w:w w:val="105"/>
          <w:sz w:val="19"/>
        </w:rPr>
        <w:t> </w:t>
      </w:r>
      <w:r>
        <w:rPr>
          <w:color w:val="231F20"/>
          <w:w w:val="105"/>
          <w:sz w:val="19"/>
        </w:rPr>
        <w:t>257</w:t>
      </w:r>
      <w:r>
        <w:rPr>
          <w:color w:val="231F20"/>
          <w:spacing w:val="-24"/>
          <w:w w:val="105"/>
          <w:sz w:val="19"/>
        </w:rPr>
        <w:t> </w:t>
      </w:r>
      <w:r>
        <w:rPr>
          <w:color w:val="231F20"/>
          <w:w w:val="105"/>
          <w:sz w:val="19"/>
        </w:rPr>
        <w:t>–</w:t>
      </w:r>
      <w:r>
        <w:rPr>
          <w:color w:val="231F20"/>
          <w:spacing w:val="-24"/>
          <w:w w:val="105"/>
          <w:sz w:val="19"/>
        </w:rPr>
        <w:t> </w:t>
      </w:r>
      <w:r>
        <w:rPr>
          <w:color w:val="231F20"/>
          <w:spacing w:val="-5"/>
          <w:w w:val="105"/>
          <w:sz w:val="19"/>
        </w:rPr>
        <w:t>58</w:t>
      </w:r>
    </w:p>
    <w:p>
      <w:pPr>
        <w:spacing w:before="18"/>
        <w:ind w:left="430" w:right="0" w:firstLine="0"/>
        <w:jc w:val="left"/>
        <w:rPr>
          <w:sz w:val="19"/>
        </w:rPr>
      </w:pPr>
      <w:r>
        <w:rPr>
          <w:color w:val="231F20"/>
          <w:sz w:val="19"/>
        </w:rPr>
        <w:t>mean,</w:t>
      </w:r>
      <w:r>
        <w:rPr>
          <w:color w:val="231F20"/>
          <w:spacing w:val="15"/>
          <w:sz w:val="19"/>
        </w:rPr>
        <w:t> </w:t>
      </w:r>
      <w:r>
        <w:rPr>
          <w:color w:val="231F20"/>
          <w:sz w:val="19"/>
        </w:rPr>
        <w:t>median,</w:t>
      </w:r>
      <w:r>
        <w:rPr>
          <w:color w:val="231F20"/>
          <w:spacing w:val="16"/>
          <w:sz w:val="19"/>
        </w:rPr>
        <w:t> </w:t>
      </w:r>
      <w:r>
        <w:rPr>
          <w:color w:val="231F20"/>
          <w:sz w:val="19"/>
        </w:rPr>
        <w:t>mode,</w:t>
      </w:r>
      <w:r>
        <w:rPr>
          <w:color w:val="231F20"/>
          <w:spacing w:val="16"/>
          <w:sz w:val="19"/>
        </w:rPr>
        <w:t> </w:t>
      </w:r>
      <w:r>
        <w:rPr>
          <w:color w:val="231F20"/>
          <w:sz w:val="19"/>
        </w:rPr>
        <w:t>181</w:t>
      </w:r>
      <w:r>
        <w:rPr>
          <w:color w:val="231F20"/>
          <w:spacing w:val="-21"/>
          <w:sz w:val="19"/>
        </w:rPr>
        <w:t> </w:t>
      </w:r>
      <w:r>
        <w:rPr>
          <w:color w:val="231F20"/>
          <w:sz w:val="19"/>
        </w:rPr>
        <w:t>–</w:t>
      </w:r>
      <w:r>
        <w:rPr>
          <w:color w:val="231F20"/>
          <w:spacing w:val="-21"/>
          <w:sz w:val="19"/>
        </w:rPr>
        <w:t> </w:t>
      </w:r>
      <w:r>
        <w:rPr>
          <w:color w:val="231F20"/>
          <w:spacing w:val="-5"/>
          <w:sz w:val="19"/>
        </w:rPr>
        <w:t>82</w:t>
      </w:r>
    </w:p>
    <w:p>
      <w:pPr>
        <w:spacing w:before="17"/>
        <w:ind w:left="430" w:right="0" w:firstLine="0"/>
        <w:jc w:val="left"/>
        <w:rPr>
          <w:sz w:val="19"/>
        </w:rPr>
      </w:pPr>
      <w:r>
        <w:rPr>
          <w:color w:val="231F20"/>
          <w:sz w:val="19"/>
        </w:rPr>
        <w:t>media</w:t>
      </w:r>
      <w:r>
        <w:rPr>
          <w:color w:val="231F20"/>
          <w:spacing w:val="-7"/>
          <w:sz w:val="19"/>
        </w:rPr>
        <w:t> </w:t>
      </w:r>
      <w:r>
        <w:rPr>
          <w:color w:val="231F20"/>
          <w:sz w:val="19"/>
        </w:rPr>
        <w:t>clutter,</w:t>
      </w:r>
      <w:r>
        <w:rPr>
          <w:color w:val="231F20"/>
          <w:spacing w:val="-6"/>
          <w:sz w:val="19"/>
        </w:rPr>
        <w:t> </w:t>
      </w:r>
      <w:r>
        <w:rPr>
          <w:color w:val="231F20"/>
          <w:spacing w:val="-5"/>
          <w:sz w:val="19"/>
        </w:rPr>
        <w:t>40</w:t>
      </w:r>
    </w:p>
    <w:p>
      <w:pPr>
        <w:spacing w:line="259" w:lineRule="auto" w:before="17"/>
        <w:ind w:left="670" w:right="0" w:hanging="240"/>
        <w:jc w:val="left"/>
        <w:rPr>
          <w:sz w:val="19"/>
        </w:rPr>
      </w:pPr>
      <w:r>
        <w:rPr>
          <w:color w:val="231F20"/>
          <w:sz w:val="19"/>
        </w:rPr>
        <w:t>mergers and acquisitions </w:t>
      </w:r>
      <w:r>
        <w:rPr>
          <w:color w:val="231F20"/>
          <w:sz w:val="19"/>
        </w:rPr>
        <w:t>(M&amp;A), 244</w:t>
      </w:r>
      <w:r>
        <w:rPr>
          <w:color w:val="231F20"/>
          <w:spacing w:val="-23"/>
          <w:sz w:val="19"/>
        </w:rPr>
        <w:t> </w:t>
      </w:r>
      <w:r>
        <w:rPr>
          <w:color w:val="231F20"/>
          <w:sz w:val="19"/>
        </w:rPr>
        <w:t>–</w:t>
      </w:r>
      <w:r>
        <w:rPr>
          <w:color w:val="231F20"/>
          <w:spacing w:val="-23"/>
          <w:sz w:val="19"/>
        </w:rPr>
        <w:t> </w:t>
      </w:r>
      <w:r>
        <w:rPr>
          <w:color w:val="231F20"/>
          <w:sz w:val="19"/>
        </w:rPr>
        <w:t>53</w:t>
      </w:r>
    </w:p>
    <w:p>
      <w:pPr>
        <w:spacing w:line="222" w:lineRule="exact" w:before="0"/>
        <w:ind w:left="430" w:right="0" w:firstLine="0"/>
        <w:jc w:val="left"/>
        <w:rPr>
          <w:sz w:val="19"/>
        </w:rPr>
      </w:pPr>
      <w:r>
        <w:rPr>
          <w:color w:val="231F20"/>
          <w:sz w:val="19"/>
        </w:rPr>
        <w:t>microeconomics,</w:t>
      </w:r>
      <w:r>
        <w:rPr>
          <w:color w:val="231F20"/>
          <w:spacing w:val="10"/>
          <w:sz w:val="19"/>
        </w:rPr>
        <w:t> </w:t>
      </w:r>
      <w:r>
        <w:rPr>
          <w:color w:val="231F20"/>
          <w:sz w:val="19"/>
        </w:rPr>
        <w:t>290</w:t>
      </w:r>
      <w:r>
        <w:rPr>
          <w:color w:val="231F20"/>
          <w:spacing w:val="-23"/>
          <w:sz w:val="19"/>
        </w:rPr>
        <w:t> </w:t>
      </w:r>
      <w:r>
        <w:rPr>
          <w:color w:val="231F20"/>
          <w:sz w:val="19"/>
        </w:rPr>
        <w:t>–</w:t>
      </w:r>
      <w:r>
        <w:rPr>
          <w:color w:val="231F20"/>
          <w:spacing w:val="-23"/>
          <w:sz w:val="19"/>
        </w:rPr>
        <w:t> </w:t>
      </w:r>
      <w:r>
        <w:rPr>
          <w:color w:val="231F20"/>
          <w:spacing w:val="-5"/>
          <w:sz w:val="19"/>
        </w:rPr>
        <w:t>98</w:t>
      </w:r>
    </w:p>
    <w:p>
      <w:pPr>
        <w:spacing w:before="17"/>
        <w:ind w:left="430" w:right="0" w:firstLine="0"/>
        <w:jc w:val="left"/>
        <w:rPr>
          <w:sz w:val="19"/>
        </w:rPr>
      </w:pPr>
      <w:r>
        <w:rPr>
          <w:color w:val="231F20"/>
          <w:sz w:val="19"/>
        </w:rPr>
        <w:t>mind</w:t>
      </w:r>
      <w:r>
        <w:rPr>
          <w:color w:val="231F20"/>
          <w:spacing w:val="15"/>
          <w:sz w:val="19"/>
        </w:rPr>
        <w:t> </w:t>
      </w:r>
      <w:r>
        <w:rPr>
          <w:color w:val="231F20"/>
          <w:sz w:val="19"/>
        </w:rPr>
        <w:t>mapping,</w:t>
      </w:r>
      <w:r>
        <w:rPr>
          <w:color w:val="231F20"/>
          <w:spacing w:val="15"/>
          <w:sz w:val="19"/>
        </w:rPr>
        <w:t> </w:t>
      </w:r>
      <w:r>
        <w:rPr>
          <w:color w:val="231F20"/>
          <w:spacing w:val="-5"/>
          <w:sz w:val="19"/>
        </w:rPr>
        <w:t>133</w:t>
      </w:r>
    </w:p>
    <w:p>
      <w:pPr>
        <w:spacing w:line="259" w:lineRule="auto" w:before="18"/>
        <w:ind w:left="430" w:right="534" w:firstLine="0"/>
        <w:jc w:val="left"/>
        <w:rPr>
          <w:sz w:val="19"/>
        </w:rPr>
      </w:pPr>
      <w:r>
        <w:rPr>
          <w:color w:val="231F20"/>
          <w:sz w:val="19"/>
        </w:rPr>
        <w:t>mission</w:t>
      </w:r>
      <w:r>
        <w:rPr>
          <w:color w:val="231F20"/>
          <w:spacing w:val="-9"/>
          <w:sz w:val="19"/>
        </w:rPr>
        <w:t> </w:t>
      </w:r>
      <w:r>
        <w:rPr>
          <w:color w:val="231F20"/>
          <w:sz w:val="19"/>
        </w:rPr>
        <w:t>statements,</w:t>
      </w:r>
      <w:r>
        <w:rPr>
          <w:color w:val="231F20"/>
          <w:spacing w:val="-8"/>
          <w:sz w:val="19"/>
        </w:rPr>
        <w:t> </w:t>
      </w:r>
      <w:r>
        <w:rPr>
          <w:color w:val="231F20"/>
          <w:sz w:val="19"/>
        </w:rPr>
        <w:t>329</w:t>
      </w:r>
      <w:r>
        <w:rPr>
          <w:color w:val="231F20"/>
          <w:spacing w:val="-23"/>
          <w:sz w:val="19"/>
        </w:rPr>
        <w:t> </w:t>
      </w:r>
      <w:r>
        <w:rPr>
          <w:color w:val="231F20"/>
          <w:sz w:val="19"/>
        </w:rPr>
        <w:t>–</w:t>
      </w:r>
      <w:r>
        <w:rPr>
          <w:color w:val="231F20"/>
          <w:spacing w:val="-23"/>
          <w:sz w:val="19"/>
        </w:rPr>
        <w:t> </w:t>
      </w:r>
      <w:r>
        <w:rPr>
          <w:color w:val="231F20"/>
          <w:sz w:val="19"/>
        </w:rPr>
        <w:t>30 </w:t>
      </w:r>
      <w:r>
        <w:rPr>
          <w:color w:val="231F20"/>
          <w:w w:val="110"/>
          <w:sz w:val="19"/>
        </w:rPr>
        <w:t>Modigliani &amp; Miller, 236 M1, M2, 306</w:t>
      </w:r>
    </w:p>
    <w:p>
      <w:pPr>
        <w:spacing w:line="221" w:lineRule="exact" w:before="0"/>
        <w:ind w:left="430" w:right="0" w:firstLine="0"/>
        <w:jc w:val="left"/>
        <w:rPr>
          <w:sz w:val="19"/>
        </w:rPr>
      </w:pPr>
      <w:r>
        <w:rPr>
          <w:color w:val="231F20"/>
          <w:sz w:val="19"/>
        </w:rPr>
        <w:t>Monetarism,</w:t>
      </w:r>
      <w:r>
        <w:rPr>
          <w:color w:val="231F20"/>
          <w:spacing w:val="22"/>
          <w:sz w:val="19"/>
        </w:rPr>
        <w:t> </w:t>
      </w:r>
      <w:r>
        <w:rPr>
          <w:color w:val="231F20"/>
          <w:sz w:val="19"/>
        </w:rPr>
        <w:t>299</w:t>
      </w:r>
      <w:r>
        <w:rPr>
          <w:color w:val="231F20"/>
          <w:spacing w:val="-18"/>
          <w:sz w:val="19"/>
        </w:rPr>
        <w:t> </w:t>
      </w:r>
      <w:r>
        <w:rPr>
          <w:color w:val="231F20"/>
          <w:sz w:val="19"/>
        </w:rPr>
        <w:t>–</w:t>
      </w:r>
      <w:r>
        <w:rPr>
          <w:color w:val="231F20"/>
          <w:spacing w:val="-18"/>
          <w:sz w:val="19"/>
        </w:rPr>
        <w:t> </w:t>
      </w:r>
      <w:r>
        <w:rPr>
          <w:color w:val="231F20"/>
          <w:sz w:val="19"/>
        </w:rPr>
        <w:t>300,</w:t>
      </w:r>
      <w:r>
        <w:rPr>
          <w:color w:val="231F20"/>
          <w:spacing w:val="23"/>
          <w:sz w:val="19"/>
        </w:rPr>
        <w:t> </w:t>
      </w:r>
      <w:r>
        <w:rPr>
          <w:color w:val="231F20"/>
          <w:sz w:val="19"/>
        </w:rPr>
        <w:t>306</w:t>
      </w:r>
      <w:r>
        <w:rPr>
          <w:color w:val="231F20"/>
          <w:spacing w:val="-18"/>
          <w:sz w:val="19"/>
        </w:rPr>
        <w:t> </w:t>
      </w:r>
      <w:r>
        <w:rPr>
          <w:color w:val="231F20"/>
          <w:sz w:val="19"/>
        </w:rPr>
        <w:t>–</w:t>
      </w:r>
      <w:r>
        <w:rPr>
          <w:color w:val="231F20"/>
          <w:spacing w:val="-19"/>
          <w:sz w:val="19"/>
        </w:rPr>
        <w:t> </w:t>
      </w:r>
      <w:r>
        <w:rPr>
          <w:color w:val="231F20"/>
          <w:spacing w:val="-10"/>
          <w:sz w:val="19"/>
        </w:rPr>
        <w:t>9</w:t>
      </w:r>
    </w:p>
    <w:p>
      <w:pPr>
        <w:spacing w:before="17"/>
        <w:ind w:left="430" w:right="0" w:firstLine="0"/>
        <w:jc w:val="left"/>
        <w:rPr>
          <w:sz w:val="19"/>
        </w:rPr>
      </w:pPr>
      <w:r>
        <w:rPr>
          <w:color w:val="231F20"/>
          <w:sz w:val="19"/>
        </w:rPr>
        <w:t>monetary</w:t>
      </w:r>
      <w:r>
        <w:rPr>
          <w:color w:val="231F20"/>
          <w:spacing w:val="10"/>
          <w:sz w:val="19"/>
        </w:rPr>
        <w:t> </w:t>
      </w:r>
      <w:r>
        <w:rPr>
          <w:color w:val="231F20"/>
          <w:sz w:val="19"/>
        </w:rPr>
        <w:t>policy</w:t>
      </w:r>
      <w:r>
        <w:rPr>
          <w:color w:val="231F20"/>
          <w:spacing w:val="11"/>
          <w:sz w:val="19"/>
        </w:rPr>
        <w:t> </w:t>
      </w:r>
      <w:r>
        <w:rPr>
          <w:color w:val="231F20"/>
          <w:sz w:val="19"/>
        </w:rPr>
        <w:t>tools,</w:t>
      </w:r>
      <w:r>
        <w:rPr>
          <w:color w:val="231F20"/>
          <w:spacing w:val="10"/>
          <w:sz w:val="19"/>
        </w:rPr>
        <w:t> </w:t>
      </w:r>
      <w:r>
        <w:rPr>
          <w:color w:val="231F20"/>
          <w:sz w:val="19"/>
        </w:rPr>
        <w:t>308</w:t>
      </w:r>
      <w:r>
        <w:rPr>
          <w:color w:val="231F20"/>
          <w:spacing w:val="-22"/>
          <w:sz w:val="19"/>
        </w:rPr>
        <w:t> </w:t>
      </w:r>
      <w:r>
        <w:rPr>
          <w:color w:val="231F20"/>
          <w:sz w:val="19"/>
        </w:rPr>
        <w:t>–</w:t>
      </w:r>
      <w:r>
        <w:rPr>
          <w:color w:val="231F20"/>
          <w:spacing w:val="-23"/>
          <w:sz w:val="19"/>
        </w:rPr>
        <w:t> </w:t>
      </w:r>
      <w:r>
        <w:rPr>
          <w:color w:val="231F20"/>
          <w:spacing w:val="-10"/>
          <w:sz w:val="19"/>
        </w:rPr>
        <w:t>9</w:t>
      </w:r>
    </w:p>
    <w:p>
      <w:pPr>
        <w:spacing w:before="17"/>
        <w:ind w:left="430" w:right="0" w:firstLine="0"/>
        <w:jc w:val="left"/>
        <w:rPr>
          <w:sz w:val="19"/>
        </w:rPr>
      </w:pPr>
      <w:r>
        <w:rPr>
          <w:color w:val="231F20"/>
          <w:sz w:val="19"/>
        </w:rPr>
        <w:t>money</w:t>
      </w:r>
      <w:r>
        <w:rPr>
          <w:color w:val="231F20"/>
          <w:spacing w:val="-1"/>
          <w:sz w:val="19"/>
        </w:rPr>
        <w:t> </w:t>
      </w:r>
      <w:r>
        <w:rPr>
          <w:color w:val="231F20"/>
          <w:sz w:val="19"/>
        </w:rPr>
        <w:t>supply, </w:t>
      </w:r>
      <w:r>
        <w:rPr>
          <w:color w:val="231F20"/>
          <w:spacing w:val="-5"/>
          <w:sz w:val="19"/>
        </w:rPr>
        <w:t>306</w:t>
      </w:r>
    </w:p>
    <w:p>
      <w:pPr>
        <w:spacing w:before="17"/>
        <w:ind w:left="430" w:right="0" w:firstLine="0"/>
        <w:jc w:val="left"/>
        <w:rPr>
          <w:sz w:val="19"/>
        </w:rPr>
      </w:pPr>
      <w:r>
        <w:rPr>
          <w:color w:val="231F20"/>
          <w:sz w:val="19"/>
        </w:rPr>
        <w:t>monopoly,</w:t>
      </w:r>
      <w:r>
        <w:rPr>
          <w:color w:val="231F20"/>
          <w:spacing w:val="12"/>
          <w:sz w:val="19"/>
        </w:rPr>
        <w:t> </w:t>
      </w:r>
      <w:r>
        <w:rPr>
          <w:color w:val="231F20"/>
          <w:sz w:val="19"/>
        </w:rPr>
        <w:t>297</w:t>
      </w:r>
      <w:r>
        <w:rPr>
          <w:color w:val="231F20"/>
          <w:spacing w:val="-22"/>
          <w:sz w:val="19"/>
        </w:rPr>
        <w:t> </w:t>
      </w:r>
      <w:r>
        <w:rPr>
          <w:color w:val="231F20"/>
          <w:sz w:val="19"/>
        </w:rPr>
        <w:t>–</w:t>
      </w:r>
      <w:r>
        <w:rPr>
          <w:color w:val="231F20"/>
          <w:spacing w:val="-23"/>
          <w:sz w:val="19"/>
        </w:rPr>
        <w:t> </w:t>
      </w:r>
      <w:r>
        <w:rPr>
          <w:color w:val="231F20"/>
          <w:spacing w:val="-5"/>
          <w:sz w:val="19"/>
        </w:rPr>
        <w:t>98</w:t>
      </w:r>
    </w:p>
    <w:p>
      <w:pPr>
        <w:spacing w:line="259" w:lineRule="auto" w:before="18"/>
        <w:ind w:left="430" w:right="0" w:firstLine="0"/>
        <w:jc w:val="left"/>
        <w:rPr>
          <w:sz w:val="19"/>
        </w:rPr>
      </w:pPr>
      <w:r>
        <w:rPr>
          <w:color w:val="231F20"/>
          <w:sz w:val="19"/>
        </w:rPr>
        <w:t>Monte Carlo simulations, </w:t>
      </w:r>
      <w:r>
        <w:rPr>
          <w:color w:val="231F20"/>
          <w:sz w:val="19"/>
        </w:rPr>
        <w:t>188 Moore’s Law, 284</w:t>
      </w:r>
    </w:p>
    <w:p>
      <w:pPr>
        <w:spacing w:line="259" w:lineRule="auto" w:before="0"/>
        <w:ind w:left="670" w:right="-7" w:hanging="240"/>
        <w:jc w:val="left"/>
        <w:rPr>
          <w:sz w:val="19"/>
        </w:rPr>
      </w:pPr>
      <w:r>
        <w:rPr>
          <w:color w:val="231F20"/>
          <w:w w:val="105"/>
          <w:sz w:val="19"/>
        </w:rPr>
        <w:t>multinational</w:t>
      </w:r>
      <w:r>
        <w:rPr>
          <w:color w:val="231F20"/>
          <w:spacing w:val="-11"/>
          <w:w w:val="105"/>
          <w:sz w:val="19"/>
        </w:rPr>
        <w:t> </w:t>
      </w:r>
      <w:r>
        <w:rPr>
          <w:color w:val="231F20"/>
          <w:w w:val="105"/>
          <w:sz w:val="19"/>
        </w:rPr>
        <w:t>corporation</w:t>
      </w:r>
      <w:r>
        <w:rPr>
          <w:color w:val="231F20"/>
          <w:spacing w:val="-10"/>
          <w:w w:val="105"/>
          <w:sz w:val="19"/>
        </w:rPr>
        <w:t> </w:t>
      </w:r>
      <w:r>
        <w:rPr>
          <w:color w:val="231F20"/>
          <w:w w:val="105"/>
          <w:sz w:val="19"/>
        </w:rPr>
        <w:t>(MNC), </w:t>
      </w:r>
      <w:r>
        <w:rPr>
          <w:color w:val="231F20"/>
          <w:spacing w:val="-4"/>
          <w:w w:val="105"/>
          <w:sz w:val="19"/>
        </w:rPr>
        <w:t>357</w:t>
      </w:r>
    </w:p>
    <w:p>
      <w:pPr>
        <w:spacing w:line="222" w:lineRule="exact" w:before="0"/>
        <w:ind w:left="430" w:right="0" w:firstLine="0"/>
        <w:jc w:val="left"/>
        <w:rPr>
          <w:sz w:val="19"/>
        </w:rPr>
      </w:pPr>
      <w:r>
        <w:rPr>
          <w:color w:val="231F20"/>
          <w:sz w:val="19"/>
        </w:rPr>
        <w:t>multiplier</w:t>
      </w:r>
      <w:r>
        <w:rPr>
          <w:color w:val="231F20"/>
          <w:spacing w:val="2"/>
          <w:sz w:val="19"/>
        </w:rPr>
        <w:t> </w:t>
      </w:r>
      <w:r>
        <w:rPr>
          <w:color w:val="231F20"/>
          <w:sz w:val="19"/>
        </w:rPr>
        <w:t>effect,</w:t>
      </w:r>
      <w:r>
        <w:rPr>
          <w:color w:val="231F20"/>
          <w:spacing w:val="6"/>
          <w:sz w:val="19"/>
        </w:rPr>
        <w:t> </w:t>
      </w:r>
      <w:r>
        <w:rPr>
          <w:color w:val="231F20"/>
          <w:sz w:val="19"/>
        </w:rPr>
        <w:t>304</w:t>
      </w:r>
      <w:r>
        <w:rPr>
          <w:color w:val="231F20"/>
          <w:spacing w:val="-23"/>
          <w:sz w:val="19"/>
        </w:rPr>
        <w:t> </w:t>
      </w:r>
      <w:r>
        <w:rPr>
          <w:color w:val="231F20"/>
          <w:sz w:val="19"/>
        </w:rPr>
        <w:t>–</w:t>
      </w:r>
      <w:r>
        <w:rPr>
          <w:color w:val="231F20"/>
          <w:spacing w:val="-23"/>
          <w:sz w:val="19"/>
        </w:rPr>
        <w:t> </w:t>
      </w:r>
      <w:r>
        <w:rPr>
          <w:color w:val="231F20"/>
          <w:spacing w:val="-10"/>
          <w:sz w:val="19"/>
        </w:rPr>
        <w:t>4</w:t>
      </w:r>
    </w:p>
    <w:p>
      <w:pPr>
        <w:pStyle w:val="BodyText"/>
        <w:spacing w:before="9"/>
      </w:pPr>
    </w:p>
    <w:p>
      <w:pPr>
        <w:spacing w:before="1"/>
        <w:ind w:left="430" w:right="0" w:firstLine="0"/>
        <w:jc w:val="left"/>
        <w:rPr>
          <w:sz w:val="19"/>
        </w:rPr>
      </w:pPr>
      <w:r>
        <w:rPr>
          <w:color w:val="231F20"/>
          <w:w w:val="110"/>
          <w:sz w:val="19"/>
        </w:rPr>
        <w:t>NASDAQ,</w:t>
      </w:r>
      <w:r>
        <w:rPr>
          <w:color w:val="231F20"/>
          <w:spacing w:val="65"/>
          <w:w w:val="110"/>
          <w:sz w:val="19"/>
        </w:rPr>
        <w:t> </w:t>
      </w:r>
      <w:r>
        <w:rPr>
          <w:color w:val="231F20"/>
          <w:spacing w:val="-5"/>
          <w:w w:val="110"/>
          <w:sz w:val="19"/>
        </w:rPr>
        <w:t>233</w:t>
      </w:r>
    </w:p>
    <w:p>
      <w:pPr>
        <w:spacing w:before="17"/>
        <w:ind w:left="430" w:right="0" w:firstLine="0"/>
        <w:jc w:val="left"/>
        <w:rPr>
          <w:sz w:val="19"/>
        </w:rPr>
      </w:pPr>
      <w:r>
        <w:rPr>
          <w:color w:val="231F20"/>
          <w:sz w:val="19"/>
        </w:rPr>
        <w:t>natural</w:t>
      </w:r>
      <w:r>
        <w:rPr>
          <w:color w:val="231F20"/>
          <w:spacing w:val="9"/>
          <w:sz w:val="19"/>
        </w:rPr>
        <w:t> </w:t>
      </w:r>
      <w:r>
        <w:rPr>
          <w:color w:val="231F20"/>
          <w:sz w:val="19"/>
        </w:rPr>
        <w:t>law,</w:t>
      </w:r>
      <w:r>
        <w:rPr>
          <w:color w:val="231F20"/>
          <w:spacing w:val="9"/>
          <w:sz w:val="19"/>
        </w:rPr>
        <w:t> </w:t>
      </w:r>
      <w:r>
        <w:rPr>
          <w:color w:val="231F20"/>
          <w:spacing w:val="-5"/>
          <w:sz w:val="19"/>
        </w:rPr>
        <w:t>64</w:t>
      </w:r>
    </w:p>
    <w:p>
      <w:pPr>
        <w:spacing w:before="17"/>
        <w:ind w:left="430" w:right="0" w:firstLine="0"/>
        <w:jc w:val="left"/>
        <w:rPr>
          <w:sz w:val="19"/>
        </w:rPr>
      </w:pPr>
      <w:r>
        <w:rPr>
          <w:color w:val="231F20"/>
          <w:sz w:val="19"/>
        </w:rPr>
        <w:t>need</w:t>
      </w:r>
      <w:r>
        <w:rPr>
          <w:color w:val="231F20"/>
          <w:spacing w:val="-9"/>
          <w:sz w:val="19"/>
        </w:rPr>
        <w:t> </w:t>
      </w:r>
      <w:r>
        <w:rPr>
          <w:color w:val="231F20"/>
          <w:sz w:val="19"/>
        </w:rPr>
        <w:t>category,</w:t>
      </w:r>
      <w:r>
        <w:rPr>
          <w:color w:val="231F20"/>
          <w:spacing w:val="-3"/>
          <w:sz w:val="19"/>
        </w:rPr>
        <w:t> </w:t>
      </w:r>
      <w:r>
        <w:rPr>
          <w:color w:val="231F20"/>
          <w:sz w:val="19"/>
        </w:rPr>
        <w:t>5</w:t>
      </w:r>
      <w:r>
        <w:rPr>
          <w:color w:val="231F20"/>
          <w:spacing w:val="-23"/>
          <w:sz w:val="19"/>
        </w:rPr>
        <w:t> </w:t>
      </w:r>
      <w:r>
        <w:rPr>
          <w:color w:val="231F20"/>
          <w:sz w:val="19"/>
        </w:rPr>
        <w:t>–</w:t>
      </w:r>
      <w:r>
        <w:rPr>
          <w:color w:val="231F20"/>
          <w:spacing w:val="-23"/>
          <w:sz w:val="19"/>
        </w:rPr>
        <w:t> </w:t>
      </w:r>
      <w:r>
        <w:rPr>
          <w:color w:val="231F20"/>
          <w:spacing w:val="-10"/>
          <w:sz w:val="19"/>
        </w:rPr>
        <w:t>6</w:t>
      </w:r>
    </w:p>
    <w:p>
      <w:pPr>
        <w:spacing w:before="17"/>
        <w:ind w:left="430" w:right="0" w:firstLine="0"/>
        <w:jc w:val="left"/>
        <w:rPr>
          <w:sz w:val="19"/>
        </w:rPr>
      </w:pPr>
      <w:r>
        <w:rPr>
          <w:color w:val="231F20"/>
          <w:sz w:val="19"/>
        </w:rPr>
        <w:t>negotiating,</w:t>
      </w:r>
      <w:r>
        <w:rPr>
          <w:color w:val="231F20"/>
          <w:spacing w:val="15"/>
          <w:sz w:val="19"/>
        </w:rPr>
        <w:t> </w:t>
      </w:r>
      <w:r>
        <w:rPr>
          <w:color w:val="231F20"/>
          <w:sz w:val="19"/>
        </w:rPr>
        <w:t>369</w:t>
      </w:r>
      <w:r>
        <w:rPr>
          <w:color w:val="231F20"/>
          <w:spacing w:val="-21"/>
          <w:sz w:val="19"/>
        </w:rPr>
        <w:t> </w:t>
      </w:r>
      <w:r>
        <w:rPr>
          <w:color w:val="231F20"/>
          <w:sz w:val="19"/>
        </w:rPr>
        <w:t>–</w:t>
      </w:r>
      <w:r>
        <w:rPr>
          <w:color w:val="231F20"/>
          <w:spacing w:val="-21"/>
          <w:sz w:val="19"/>
        </w:rPr>
        <w:t> </w:t>
      </w:r>
      <w:r>
        <w:rPr>
          <w:color w:val="231F20"/>
          <w:spacing w:val="-5"/>
          <w:sz w:val="19"/>
        </w:rPr>
        <w:t>70</w:t>
      </w:r>
    </w:p>
    <w:p>
      <w:pPr>
        <w:spacing w:line="259" w:lineRule="auto" w:before="18"/>
        <w:ind w:left="670" w:right="0" w:hanging="240"/>
        <w:jc w:val="left"/>
        <w:rPr>
          <w:sz w:val="19"/>
        </w:rPr>
      </w:pPr>
      <w:r>
        <w:rPr>
          <w:color w:val="231F20"/>
          <w:sz w:val="19"/>
        </w:rPr>
        <w:t>net present value (NPV), 172</w:t>
      </w:r>
      <w:r>
        <w:rPr>
          <w:color w:val="231F20"/>
          <w:spacing w:val="-23"/>
          <w:sz w:val="19"/>
        </w:rPr>
        <w:t> </w:t>
      </w:r>
      <w:r>
        <w:rPr>
          <w:color w:val="231F20"/>
          <w:sz w:val="19"/>
        </w:rPr>
        <w:t>–</w:t>
      </w:r>
      <w:r>
        <w:rPr>
          <w:color w:val="231F20"/>
          <w:spacing w:val="-23"/>
          <w:sz w:val="19"/>
        </w:rPr>
        <w:t> </w:t>
      </w:r>
      <w:r>
        <w:rPr>
          <w:color w:val="231F20"/>
          <w:sz w:val="19"/>
        </w:rPr>
        <w:t>75, 228</w:t>
      </w:r>
      <w:r>
        <w:rPr>
          <w:color w:val="231F20"/>
          <w:spacing w:val="-23"/>
          <w:sz w:val="19"/>
        </w:rPr>
        <w:t> </w:t>
      </w:r>
      <w:r>
        <w:rPr>
          <w:color w:val="231F20"/>
          <w:sz w:val="19"/>
        </w:rPr>
        <w:t>–</w:t>
      </w:r>
      <w:r>
        <w:rPr>
          <w:color w:val="231F20"/>
          <w:spacing w:val="-23"/>
          <w:sz w:val="19"/>
        </w:rPr>
        <w:t> </w:t>
      </w:r>
      <w:r>
        <w:rPr>
          <w:color w:val="231F20"/>
          <w:sz w:val="19"/>
        </w:rPr>
        <w:t>31</w:t>
      </w:r>
    </w:p>
    <w:p>
      <w:pPr>
        <w:spacing w:line="222" w:lineRule="exact" w:before="0"/>
        <w:ind w:left="430" w:right="0" w:firstLine="0"/>
        <w:jc w:val="left"/>
        <w:rPr>
          <w:sz w:val="19"/>
        </w:rPr>
      </w:pPr>
      <w:r>
        <w:rPr>
          <w:color w:val="231F20"/>
          <w:sz w:val="19"/>
        </w:rPr>
        <w:t>niche,</w:t>
      </w:r>
      <w:r>
        <w:rPr>
          <w:color w:val="231F20"/>
          <w:spacing w:val="14"/>
          <w:sz w:val="19"/>
        </w:rPr>
        <w:t> </w:t>
      </w:r>
      <w:r>
        <w:rPr>
          <w:color w:val="231F20"/>
          <w:spacing w:val="-5"/>
          <w:sz w:val="19"/>
        </w:rPr>
        <w:t>34</w:t>
      </w:r>
    </w:p>
    <w:p>
      <w:pPr>
        <w:spacing w:before="17"/>
        <w:ind w:left="430" w:right="0" w:firstLine="0"/>
        <w:jc w:val="left"/>
        <w:rPr>
          <w:sz w:val="19"/>
        </w:rPr>
      </w:pPr>
      <w:r>
        <w:rPr>
          <w:color w:val="231F20"/>
          <w:sz w:val="19"/>
        </w:rPr>
        <w:t>normal</w:t>
      </w:r>
      <w:r>
        <w:rPr>
          <w:color w:val="231F20"/>
          <w:spacing w:val="10"/>
          <w:sz w:val="19"/>
        </w:rPr>
        <w:t> </w:t>
      </w:r>
      <w:r>
        <w:rPr>
          <w:color w:val="231F20"/>
          <w:sz w:val="19"/>
        </w:rPr>
        <w:t>distribution,</w:t>
      </w:r>
      <w:r>
        <w:rPr>
          <w:color w:val="231F20"/>
          <w:spacing w:val="10"/>
          <w:sz w:val="19"/>
        </w:rPr>
        <w:t> </w:t>
      </w:r>
      <w:r>
        <w:rPr>
          <w:color w:val="231F20"/>
          <w:sz w:val="19"/>
        </w:rPr>
        <w:t>180</w:t>
      </w:r>
      <w:r>
        <w:rPr>
          <w:color w:val="231F20"/>
          <w:spacing w:val="-23"/>
          <w:sz w:val="19"/>
        </w:rPr>
        <w:t> </w:t>
      </w:r>
      <w:r>
        <w:rPr>
          <w:color w:val="231F20"/>
          <w:sz w:val="19"/>
        </w:rPr>
        <w:t>–</w:t>
      </w:r>
      <w:r>
        <w:rPr>
          <w:color w:val="231F20"/>
          <w:spacing w:val="-23"/>
          <w:sz w:val="19"/>
        </w:rPr>
        <w:t> </w:t>
      </w:r>
      <w:r>
        <w:rPr>
          <w:color w:val="231F20"/>
          <w:spacing w:val="-5"/>
          <w:sz w:val="19"/>
        </w:rPr>
        <w:t>84</w:t>
      </w:r>
    </w:p>
    <w:p>
      <w:pPr>
        <w:spacing w:before="100"/>
        <w:ind w:left="334" w:right="0" w:firstLine="0"/>
        <w:jc w:val="left"/>
        <w:rPr>
          <w:sz w:val="19"/>
        </w:rPr>
      </w:pPr>
      <w:r>
        <w:rPr/>
        <w:br w:type="column"/>
      </w:r>
      <w:r>
        <w:rPr>
          <w:color w:val="231F20"/>
          <w:w w:val="105"/>
          <w:sz w:val="19"/>
        </w:rPr>
        <w:t>Okun’s</w:t>
      </w:r>
      <w:r>
        <w:rPr>
          <w:color w:val="231F20"/>
          <w:spacing w:val="1"/>
          <w:w w:val="105"/>
          <w:sz w:val="19"/>
        </w:rPr>
        <w:t> </w:t>
      </w:r>
      <w:r>
        <w:rPr>
          <w:color w:val="231F20"/>
          <w:w w:val="105"/>
          <w:sz w:val="19"/>
        </w:rPr>
        <w:t>Law,</w:t>
      </w:r>
      <w:r>
        <w:rPr>
          <w:color w:val="231F20"/>
          <w:spacing w:val="1"/>
          <w:w w:val="105"/>
          <w:sz w:val="19"/>
        </w:rPr>
        <w:t> </w:t>
      </w:r>
      <w:r>
        <w:rPr>
          <w:color w:val="231F20"/>
          <w:spacing w:val="-5"/>
          <w:w w:val="105"/>
          <w:sz w:val="19"/>
        </w:rPr>
        <w:t>311</w:t>
      </w:r>
    </w:p>
    <w:p>
      <w:pPr>
        <w:spacing w:before="17"/>
        <w:ind w:left="334" w:right="0" w:firstLine="0"/>
        <w:jc w:val="left"/>
        <w:rPr>
          <w:sz w:val="19"/>
        </w:rPr>
      </w:pPr>
      <w:r>
        <w:rPr>
          <w:color w:val="231F20"/>
          <w:spacing w:val="-2"/>
          <w:w w:val="105"/>
          <w:sz w:val="19"/>
        </w:rPr>
        <w:t>oligopoly, </w:t>
      </w:r>
      <w:r>
        <w:rPr>
          <w:color w:val="231F20"/>
          <w:spacing w:val="-5"/>
          <w:w w:val="105"/>
          <w:sz w:val="19"/>
        </w:rPr>
        <w:t>297</w:t>
      </w:r>
    </w:p>
    <w:p>
      <w:pPr>
        <w:spacing w:line="259" w:lineRule="auto" w:before="17"/>
        <w:ind w:left="334" w:right="1288" w:firstLine="0"/>
        <w:jc w:val="left"/>
        <w:rPr>
          <w:sz w:val="19"/>
        </w:rPr>
      </w:pPr>
      <w:r>
        <w:rPr>
          <w:color w:val="231F20"/>
          <w:sz w:val="19"/>
        </w:rPr>
        <w:t>operations research (OR), </w:t>
      </w:r>
      <w:r>
        <w:rPr>
          <w:color w:val="231F20"/>
          <w:sz w:val="19"/>
        </w:rPr>
        <w:t>258 opportunity costs, 291</w:t>
      </w:r>
      <w:r>
        <w:rPr>
          <w:color w:val="231F20"/>
          <w:spacing w:val="40"/>
          <w:sz w:val="19"/>
        </w:rPr>
        <w:t> </w:t>
      </w:r>
      <w:r>
        <w:rPr>
          <w:color w:val="231F20"/>
          <w:sz w:val="19"/>
        </w:rPr>
        <w:t>optimal capital structure, 238 options, 221</w:t>
      </w:r>
      <w:r>
        <w:rPr>
          <w:color w:val="231F20"/>
          <w:spacing w:val="-13"/>
          <w:sz w:val="19"/>
        </w:rPr>
        <w:t> </w:t>
      </w:r>
      <w:r>
        <w:rPr>
          <w:color w:val="231F20"/>
          <w:sz w:val="19"/>
        </w:rPr>
        <w:t>–</w:t>
      </w:r>
      <w:r>
        <w:rPr>
          <w:color w:val="231F20"/>
          <w:spacing w:val="-13"/>
          <w:sz w:val="19"/>
        </w:rPr>
        <w:t> </w:t>
      </w:r>
      <w:r>
        <w:rPr>
          <w:color w:val="231F20"/>
          <w:sz w:val="19"/>
        </w:rPr>
        <w:t>26</w:t>
      </w:r>
    </w:p>
    <w:p>
      <w:pPr>
        <w:spacing w:line="221" w:lineRule="exact" w:before="0"/>
        <w:ind w:left="334" w:right="0" w:firstLine="0"/>
        <w:jc w:val="left"/>
        <w:rPr>
          <w:sz w:val="19"/>
        </w:rPr>
      </w:pPr>
      <w:r>
        <w:rPr>
          <w:color w:val="231F20"/>
          <w:sz w:val="19"/>
        </w:rPr>
        <w:t>organization</w:t>
      </w:r>
      <w:r>
        <w:rPr>
          <w:color w:val="231F20"/>
          <w:spacing w:val="14"/>
          <w:sz w:val="19"/>
        </w:rPr>
        <w:t> </w:t>
      </w:r>
      <w:r>
        <w:rPr>
          <w:color w:val="231F20"/>
          <w:sz w:val="19"/>
        </w:rPr>
        <w:t>model,</w:t>
      </w:r>
      <w:r>
        <w:rPr>
          <w:color w:val="231F20"/>
          <w:spacing w:val="14"/>
          <w:sz w:val="19"/>
        </w:rPr>
        <w:t> </w:t>
      </w:r>
      <w:r>
        <w:rPr>
          <w:color w:val="231F20"/>
          <w:sz w:val="19"/>
        </w:rPr>
        <w:t>139</w:t>
      </w:r>
      <w:r>
        <w:rPr>
          <w:color w:val="231F20"/>
          <w:spacing w:val="-22"/>
          <w:sz w:val="19"/>
        </w:rPr>
        <w:t> </w:t>
      </w:r>
      <w:r>
        <w:rPr>
          <w:color w:val="231F20"/>
          <w:sz w:val="19"/>
        </w:rPr>
        <w:t>–</w:t>
      </w:r>
      <w:r>
        <w:rPr>
          <w:color w:val="231F20"/>
          <w:spacing w:val="-22"/>
          <w:sz w:val="19"/>
        </w:rPr>
        <w:t> </w:t>
      </w:r>
      <w:r>
        <w:rPr>
          <w:color w:val="231F20"/>
          <w:spacing w:val="-5"/>
          <w:sz w:val="19"/>
        </w:rPr>
        <w:t>50</w:t>
      </w:r>
    </w:p>
    <w:p>
      <w:pPr>
        <w:spacing w:before="17"/>
        <w:ind w:left="334" w:right="0" w:firstLine="0"/>
        <w:jc w:val="left"/>
        <w:rPr>
          <w:sz w:val="19"/>
        </w:rPr>
      </w:pPr>
      <w:r>
        <w:rPr>
          <w:color w:val="231F20"/>
          <w:sz w:val="19"/>
        </w:rPr>
        <w:t>organizational</w:t>
      </w:r>
      <w:r>
        <w:rPr>
          <w:color w:val="231F20"/>
          <w:spacing w:val="4"/>
          <w:sz w:val="19"/>
        </w:rPr>
        <w:t> </w:t>
      </w:r>
      <w:r>
        <w:rPr>
          <w:color w:val="231F20"/>
          <w:sz w:val="19"/>
        </w:rPr>
        <w:t>architecture,</w:t>
      </w:r>
      <w:r>
        <w:rPr>
          <w:color w:val="231F20"/>
          <w:spacing w:val="5"/>
          <w:sz w:val="19"/>
        </w:rPr>
        <w:t> </w:t>
      </w:r>
      <w:r>
        <w:rPr>
          <w:color w:val="231F20"/>
          <w:spacing w:val="-5"/>
          <w:sz w:val="19"/>
        </w:rPr>
        <w:t>140</w:t>
      </w:r>
    </w:p>
    <w:p>
      <w:pPr>
        <w:spacing w:before="18"/>
        <w:ind w:left="334" w:right="0" w:firstLine="0"/>
        <w:jc w:val="left"/>
        <w:rPr>
          <w:sz w:val="19"/>
        </w:rPr>
      </w:pPr>
      <w:r>
        <w:rPr>
          <w:color w:val="231F20"/>
          <w:sz w:val="19"/>
        </w:rPr>
        <w:t>organizational</w:t>
      </w:r>
      <w:r>
        <w:rPr>
          <w:color w:val="231F20"/>
          <w:spacing w:val="-4"/>
          <w:sz w:val="19"/>
        </w:rPr>
        <w:t> </w:t>
      </w:r>
      <w:r>
        <w:rPr>
          <w:color w:val="231F20"/>
          <w:sz w:val="19"/>
        </w:rPr>
        <w:t>structures,</w:t>
      </w:r>
      <w:r>
        <w:rPr>
          <w:color w:val="231F20"/>
          <w:spacing w:val="-3"/>
          <w:sz w:val="19"/>
        </w:rPr>
        <w:t> </w:t>
      </w:r>
      <w:r>
        <w:rPr>
          <w:color w:val="231F20"/>
          <w:spacing w:val="-5"/>
          <w:sz w:val="19"/>
        </w:rPr>
        <w:t>141</w:t>
      </w:r>
    </w:p>
    <w:p>
      <w:pPr>
        <w:spacing w:before="17"/>
        <w:ind w:left="334" w:right="0" w:firstLine="0"/>
        <w:jc w:val="left"/>
        <w:rPr>
          <w:sz w:val="19"/>
        </w:rPr>
      </w:pPr>
      <w:r>
        <w:rPr>
          <w:color w:val="231F20"/>
          <w:sz w:val="19"/>
        </w:rPr>
        <w:t>owners’</w:t>
      </w:r>
      <w:r>
        <w:rPr>
          <w:color w:val="231F20"/>
          <w:spacing w:val="-4"/>
          <w:sz w:val="19"/>
        </w:rPr>
        <w:t> </w:t>
      </w:r>
      <w:r>
        <w:rPr>
          <w:color w:val="231F20"/>
          <w:sz w:val="19"/>
        </w:rPr>
        <w:t>equity,</w:t>
      </w:r>
      <w:r>
        <w:rPr>
          <w:color w:val="231F20"/>
          <w:spacing w:val="2"/>
          <w:sz w:val="19"/>
        </w:rPr>
        <w:t> </w:t>
      </w:r>
      <w:r>
        <w:rPr>
          <w:color w:val="231F20"/>
          <w:sz w:val="19"/>
        </w:rPr>
        <w:t>88</w:t>
      </w:r>
      <w:r>
        <w:rPr>
          <w:color w:val="231F20"/>
          <w:spacing w:val="-23"/>
          <w:sz w:val="19"/>
        </w:rPr>
        <w:t> </w:t>
      </w:r>
      <w:r>
        <w:rPr>
          <w:color w:val="231F20"/>
          <w:sz w:val="19"/>
        </w:rPr>
        <w:t>–</w:t>
      </w:r>
      <w:r>
        <w:rPr>
          <w:color w:val="231F20"/>
          <w:spacing w:val="-23"/>
          <w:sz w:val="19"/>
        </w:rPr>
        <w:t> </w:t>
      </w:r>
      <w:r>
        <w:rPr>
          <w:color w:val="231F20"/>
          <w:spacing w:val="-5"/>
          <w:sz w:val="19"/>
        </w:rPr>
        <w:t>89</w:t>
      </w:r>
    </w:p>
    <w:p>
      <w:pPr>
        <w:pStyle w:val="BodyText"/>
        <w:spacing w:before="11"/>
      </w:pPr>
    </w:p>
    <w:p>
      <w:pPr>
        <w:spacing w:before="0"/>
        <w:ind w:left="334" w:right="0" w:firstLine="0"/>
        <w:jc w:val="left"/>
        <w:rPr>
          <w:sz w:val="19"/>
        </w:rPr>
      </w:pPr>
      <w:r>
        <w:rPr>
          <w:color w:val="231F20"/>
          <w:sz w:val="19"/>
        </w:rPr>
        <w:t>P’s</w:t>
      </w:r>
      <w:r>
        <w:rPr>
          <w:color w:val="231F20"/>
          <w:spacing w:val="10"/>
          <w:sz w:val="19"/>
        </w:rPr>
        <w:t> </w:t>
      </w:r>
      <w:r>
        <w:rPr>
          <w:color w:val="231F20"/>
          <w:sz w:val="19"/>
        </w:rPr>
        <w:t>of</w:t>
      </w:r>
      <w:r>
        <w:rPr>
          <w:color w:val="231F20"/>
          <w:spacing w:val="11"/>
          <w:sz w:val="19"/>
        </w:rPr>
        <w:t> </w:t>
      </w:r>
      <w:r>
        <w:rPr>
          <w:color w:val="231F20"/>
          <w:sz w:val="19"/>
        </w:rPr>
        <w:t>marketing,</w:t>
      </w:r>
      <w:r>
        <w:rPr>
          <w:color w:val="231F20"/>
          <w:spacing w:val="11"/>
          <w:sz w:val="19"/>
        </w:rPr>
        <w:t> </w:t>
      </w:r>
      <w:r>
        <w:rPr>
          <w:color w:val="231F20"/>
          <w:sz w:val="19"/>
        </w:rPr>
        <w:t>32</w:t>
      </w:r>
      <w:r>
        <w:rPr>
          <w:color w:val="231F20"/>
          <w:spacing w:val="-23"/>
          <w:sz w:val="19"/>
        </w:rPr>
        <w:t> </w:t>
      </w:r>
      <w:r>
        <w:rPr>
          <w:color w:val="231F20"/>
          <w:sz w:val="19"/>
        </w:rPr>
        <w:t>–</w:t>
      </w:r>
      <w:r>
        <w:rPr>
          <w:color w:val="231F20"/>
          <w:spacing w:val="-23"/>
          <w:sz w:val="19"/>
        </w:rPr>
        <w:t> </w:t>
      </w:r>
      <w:r>
        <w:rPr>
          <w:color w:val="231F20"/>
          <w:spacing w:val="-5"/>
          <w:sz w:val="19"/>
        </w:rPr>
        <w:t>50</w:t>
      </w:r>
    </w:p>
    <w:p>
      <w:pPr>
        <w:spacing w:before="17"/>
        <w:ind w:left="334" w:right="0" w:firstLine="0"/>
        <w:jc w:val="left"/>
        <w:rPr>
          <w:sz w:val="19"/>
        </w:rPr>
      </w:pPr>
      <w:r>
        <w:rPr>
          <w:color w:val="231F20"/>
          <w:sz w:val="19"/>
        </w:rPr>
        <w:t>paradigm,</w:t>
      </w:r>
      <w:r>
        <w:rPr>
          <w:color w:val="231F20"/>
          <w:spacing w:val="18"/>
          <w:sz w:val="19"/>
        </w:rPr>
        <w:t> </w:t>
      </w:r>
      <w:r>
        <w:rPr>
          <w:color w:val="231F20"/>
          <w:spacing w:val="-5"/>
          <w:sz w:val="19"/>
        </w:rPr>
        <w:t>150</w:t>
      </w:r>
    </w:p>
    <w:p>
      <w:pPr>
        <w:spacing w:before="18"/>
        <w:ind w:left="334" w:right="0" w:firstLine="0"/>
        <w:jc w:val="left"/>
        <w:rPr>
          <w:sz w:val="19"/>
        </w:rPr>
      </w:pPr>
      <w:r>
        <w:rPr>
          <w:color w:val="231F20"/>
          <w:w w:val="95"/>
          <w:sz w:val="19"/>
        </w:rPr>
        <w:t>partnerships,</w:t>
      </w:r>
      <w:r>
        <w:rPr>
          <w:color w:val="231F20"/>
          <w:spacing w:val="42"/>
          <w:sz w:val="19"/>
        </w:rPr>
        <w:t> </w:t>
      </w:r>
      <w:r>
        <w:rPr>
          <w:color w:val="231F20"/>
          <w:spacing w:val="-5"/>
          <w:sz w:val="19"/>
        </w:rPr>
        <w:t>201</w:t>
      </w:r>
    </w:p>
    <w:p>
      <w:pPr>
        <w:spacing w:line="259" w:lineRule="auto" w:before="17"/>
        <w:ind w:left="334" w:right="1455" w:firstLine="0"/>
        <w:jc w:val="left"/>
        <w:rPr>
          <w:sz w:val="19"/>
        </w:rPr>
      </w:pPr>
      <w:r>
        <w:rPr>
          <w:color w:val="231F20"/>
          <w:sz w:val="19"/>
        </w:rPr>
        <w:t>payback period, 228</w:t>
      </w:r>
      <w:r>
        <w:rPr>
          <w:color w:val="231F20"/>
          <w:spacing w:val="40"/>
          <w:sz w:val="19"/>
        </w:rPr>
        <w:t> </w:t>
      </w:r>
      <w:r>
        <w:rPr>
          <w:color w:val="231F20"/>
          <w:sz w:val="19"/>
        </w:rPr>
        <w:t>Pearson Tukey Method, </w:t>
      </w:r>
      <w:r>
        <w:rPr>
          <w:color w:val="231F20"/>
          <w:sz w:val="19"/>
        </w:rPr>
        <w:t>188 PEG ratio, 219</w:t>
      </w:r>
    </w:p>
    <w:p>
      <w:pPr>
        <w:spacing w:line="221" w:lineRule="exact" w:before="0"/>
        <w:ind w:left="334" w:right="0" w:firstLine="0"/>
        <w:jc w:val="left"/>
        <w:rPr>
          <w:sz w:val="19"/>
        </w:rPr>
      </w:pPr>
      <w:r>
        <w:rPr>
          <w:color w:val="231F20"/>
          <w:sz w:val="19"/>
        </w:rPr>
        <w:t>penetration</w:t>
      </w:r>
      <w:r>
        <w:rPr>
          <w:color w:val="231F20"/>
          <w:spacing w:val="1"/>
          <w:sz w:val="19"/>
        </w:rPr>
        <w:t> </w:t>
      </w:r>
      <w:r>
        <w:rPr>
          <w:color w:val="231F20"/>
          <w:sz w:val="19"/>
        </w:rPr>
        <w:t>pricing,</w:t>
      </w:r>
      <w:r>
        <w:rPr>
          <w:color w:val="231F20"/>
          <w:spacing w:val="4"/>
          <w:sz w:val="19"/>
        </w:rPr>
        <w:t> </w:t>
      </w:r>
      <w:r>
        <w:rPr>
          <w:color w:val="231F20"/>
          <w:spacing w:val="-5"/>
          <w:sz w:val="19"/>
        </w:rPr>
        <w:t>49</w:t>
      </w:r>
    </w:p>
    <w:p>
      <w:pPr>
        <w:spacing w:before="17"/>
        <w:ind w:left="334" w:right="0" w:firstLine="0"/>
        <w:jc w:val="left"/>
        <w:rPr>
          <w:sz w:val="19"/>
        </w:rPr>
      </w:pPr>
      <w:r>
        <w:rPr>
          <w:color w:val="231F20"/>
          <w:sz w:val="19"/>
        </w:rPr>
        <w:t>perceptual</w:t>
      </w:r>
      <w:r>
        <w:rPr>
          <w:color w:val="231F20"/>
          <w:spacing w:val="4"/>
          <w:sz w:val="19"/>
        </w:rPr>
        <w:t> </w:t>
      </w:r>
      <w:r>
        <w:rPr>
          <w:color w:val="231F20"/>
          <w:sz w:val="19"/>
        </w:rPr>
        <w:t>mapping,</w:t>
      </w:r>
      <w:r>
        <w:rPr>
          <w:color w:val="231F20"/>
          <w:spacing w:val="4"/>
          <w:sz w:val="19"/>
        </w:rPr>
        <w:t> </w:t>
      </w:r>
      <w:r>
        <w:rPr>
          <w:color w:val="231F20"/>
          <w:spacing w:val="-5"/>
          <w:sz w:val="19"/>
        </w:rPr>
        <w:t>34</w:t>
      </w:r>
    </w:p>
    <w:p>
      <w:pPr>
        <w:spacing w:before="17"/>
        <w:ind w:left="334" w:right="0" w:firstLine="0"/>
        <w:jc w:val="left"/>
        <w:rPr>
          <w:sz w:val="19"/>
        </w:rPr>
      </w:pPr>
      <w:r>
        <w:rPr>
          <w:color w:val="231F20"/>
          <w:sz w:val="19"/>
        </w:rPr>
        <w:t>performance</w:t>
      </w:r>
      <w:r>
        <w:rPr>
          <w:color w:val="231F20"/>
          <w:spacing w:val="-4"/>
          <w:sz w:val="19"/>
        </w:rPr>
        <w:t> </w:t>
      </w:r>
      <w:r>
        <w:rPr>
          <w:color w:val="231F20"/>
          <w:sz w:val="19"/>
        </w:rPr>
        <w:t>appraisals,</w:t>
      </w:r>
      <w:r>
        <w:rPr>
          <w:color w:val="231F20"/>
          <w:spacing w:val="3"/>
          <w:sz w:val="19"/>
        </w:rPr>
        <w:t> </w:t>
      </w:r>
      <w:r>
        <w:rPr>
          <w:color w:val="231F20"/>
          <w:sz w:val="19"/>
        </w:rPr>
        <w:t>135</w:t>
      </w:r>
      <w:r>
        <w:rPr>
          <w:color w:val="231F20"/>
          <w:spacing w:val="-23"/>
          <w:sz w:val="19"/>
        </w:rPr>
        <w:t> </w:t>
      </w:r>
      <w:r>
        <w:rPr>
          <w:color w:val="231F20"/>
          <w:sz w:val="19"/>
        </w:rPr>
        <w:t>–</w:t>
      </w:r>
      <w:r>
        <w:rPr>
          <w:color w:val="231F20"/>
          <w:spacing w:val="-23"/>
          <w:sz w:val="19"/>
        </w:rPr>
        <w:t> </w:t>
      </w:r>
      <w:r>
        <w:rPr>
          <w:color w:val="231F20"/>
          <w:spacing w:val="-5"/>
          <w:sz w:val="19"/>
        </w:rPr>
        <w:t>36</w:t>
      </w:r>
    </w:p>
    <w:p>
      <w:pPr>
        <w:spacing w:before="18"/>
        <w:ind w:left="334" w:right="0" w:firstLine="0"/>
        <w:jc w:val="left"/>
        <w:rPr>
          <w:sz w:val="19"/>
        </w:rPr>
      </w:pPr>
      <w:r>
        <w:rPr>
          <w:color w:val="231F20"/>
          <w:sz w:val="19"/>
        </w:rPr>
        <w:t>personal</w:t>
      </w:r>
      <w:r>
        <w:rPr>
          <w:color w:val="231F20"/>
          <w:spacing w:val="2"/>
          <w:sz w:val="19"/>
        </w:rPr>
        <w:t> </w:t>
      </w:r>
      <w:r>
        <w:rPr>
          <w:color w:val="231F20"/>
          <w:sz w:val="19"/>
        </w:rPr>
        <w:t>selling,</w:t>
      </w:r>
      <w:r>
        <w:rPr>
          <w:color w:val="231F20"/>
          <w:spacing w:val="3"/>
          <w:sz w:val="19"/>
        </w:rPr>
        <w:t> </w:t>
      </w:r>
      <w:r>
        <w:rPr>
          <w:color w:val="231F20"/>
          <w:spacing w:val="-5"/>
          <w:sz w:val="19"/>
        </w:rPr>
        <w:t>41</w:t>
      </w:r>
    </w:p>
    <w:p>
      <w:pPr>
        <w:spacing w:before="17"/>
        <w:ind w:left="334" w:right="0" w:firstLine="0"/>
        <w:jc w:val="left"/>
        <w:rPr>
          <w:sz w:val="19"/>
        </w:rPr>
      </w:pPr>
      <w:r>
        <w:rPr>
          <w:color w:val="231F20"/>
          <w:sz w:val="19"/>
        </w:rPr>
        <w:t>Peters,</w:t>
      </w:r>
      <w:r>
        <w:rPr>
          <w:color w:val="231F20"/>
          <w:spacing w:val="11"/>
          <w:sz w:val="19"/>
        </w:rPr>
        <w:t> </w:t>
      </w:r>
      <w:r>
        <w:rPr>
          <w:color w:val="231F20"/>
          <w:sz w:val="19"/>
        </w:rPr>
        <w:t>Tom,</w:t>
      </w:r>
      <w:r>
        <w:rPr>
          <w:color w:val="231F20"/>
          <w:spacing w:val="11"/>
          <w:sz w:val="19"/>
        </w:rPr>
        <w:t> </w:t>
      </w:r>
      <w:r>
        <w:rPr>
          <w:color w:val="231F20"/>
          <w:sz w:val="19"/>
        </w:rPr>
        <w:t>325,</w:t>
      </w:r>
      <w:r>
        <w:rPr>
          <w:color w:val="231F20"/>
          <w:spacing w:val="11"/>
          <w:sz w:val="19"/>
        </w:rPr>
        <w:t> </w:t>
      </w:r>
      <w:r>
        <w:rPr>
          <w:color w:val="231F20"/>
          <w:sz w:val="19"/>
        </w:rPr>
        <w:t>328</w:t>
      </w:r>
      <w:r>
        <w:rPr>
          <w:color w:val="231F20"/>
          <w:spacing w:val="-23"/>
          <w:sz w:val="19"/>
        </w:rPr>
        <w:t> </w:t>
      </w:r>
      <w:r>
        <w:rPr>
          <w:color w:val="231F20"/>
          <w:sz w:val="19"/>
        </w:rPr>
        <w:t>–</w:t>
      </w:r>
      <w:r>
        <w:rPr>
          <w:color w:val="231F20"/>
          <w:spacing w:val="-22"/>
          <w:sz w:val="19"/>
        </w:rPr>
        <w:t> </w:t>
      </w:r>
      <w:r>
        <w:rPr>
          <w:color w:val="231F20"/>
          <w:spacing w:val="-5"/>
          <w:sz w:val="19"/>
        </w:rPr>
        <w:t>29</w:t>
      </w:r>
    </w:p>
    <w:p>
      <w:pPr>
        <w:spacing w:before="17"/>
        <w:ind w:left="334" w:right="0" w:firstLine="0"/>
        <w:jc w:val="left"/>
        <w:rPr>
          <w:sz w:val="19"/>
        </w:rPr>
      </w:pPr>
      <w:r>
        <w:rPr>
          <w:color w:val="231F20"/>
          <w:sz w:val="19"/>
        </w:rPr>
        <w:t>Philips</w:t>
      </w:r>
      <w:r>
        <w:rPr>
          <w:color w:val="231F20"/>
          <w:spacing w:val="4"/>
          <w:sz w:val="19"/>
        </w:rPr>
        <w:t> </w:t>
      </w:r>
      <w:r>
        <w:rPr>
          <w:color w:val="231F20"/>
          <w:sz w:val="19"/>
        </w:rPr>
        <w:t>curve,</w:t>
      </w:r>
      <w:r>
        <w:rPr>
          <w:color w:val="231F20"/>
          <w:spacing w:val="4"/>
          <w:sz w:val="19"/>
        </w:rPr>
        <w:t> </w:t>
      </w:r>
      <w:r>
        <w:rPr>
          <w:color w:val="231F20"/>
          <w:spacing w:val="-5"/>
          <w:sz w:val="19"/>
        </w:rPr>
        <w:t>308</w:t>
      </w:r>
    </w:p>
    <w:p>
      <w:pPr>
        <w:spacing w:before="17"/>
        <w:ind w:left="334" w:right="0" w:firstLine="0"/>
        <w:jc w:val="left"/>
        <w:rPr>
          <w:sz w:val="19"/>
        </w:rPr>
      </w:pPr>
      <w:r>
        <w:rPr>
          <w:color w:val="231F20"/>
          <w:sz w:val="19"/>
        </w:rPr>
        <w:t>planogram,</w:t>
      </w:r>
      <w:r>
        <w:rPr>
          <w:color w:val="231F20"/>
          <w:spacing w:val="28"/>
          <w:sz w:val="19"/>
        </w:rPr>
        <w:t> </w:t>
      </w:r>
      <w:r>
        <w:rPr>
          <w:color w:val="231F20"/>
          <w:spacing w:val="-5"/>
          <w:sz w:val="19"/>
        </w:rPr>
        <w:t>31</w:t>
      </w:r>
    </w:p>
    <w:p>
      <w:pPr>
        <w:spacing w:line="259" w:lineRule="auto" w:before="18"/>
        <w:ind w:left="334" w:right="1059" w:firstLine="0"/>
        <w:jc w:val="left"/>
        <w:rPr>
          <w:sz w:val="19"/>
        </w:rPr>
      </w:pPr>
      <w:r>
        <w:rPr>
          <w:color w:val="231F20"/>
          <w:sz w:val="19"/>
        </w:rPr>
        <w:t>point of purchase (POP), 44</w:t>
      </w:r>
      <w:r>
        <w:rPr>
          <w:color w:val="231F20"/>
          <w:spacing w:val="-23"/>
          <w:sz w:val="19"/>
        </w:rPr>
        <w:t> </w:t>
      </w:r>
      <w:r>
        <w:rPr>
          <w:color w:val="231F20"/>
          <w:sz w:val="19"/>
        </w:rPr>
        <w:t>–</w:t>
      </w:r>
      <w:r>
        <w:rPr>
          <w:color w:val="231F20"/>
          <w:spacing w:val="-23"/>
          <w:sz w:val="19"/>
        </w:rPr>
        <w:t> </w:t>
      </w:r>
      <w:r>
        <w:rPr>
          <w:color w:val="231F20"/>
          <w:sz w:val="19"/>
        </w:rPr>
        <w:t>44 </w:t>
      </w:r>
      <w:r>
        <w:rPr>
          <w:color w:val="231F20"/>
          <w:w w:val="105"/>
          <w:sz w:val="19"/>
        </w:rPr>
        <w:t>Porter, Michael, 337</w:t>
      </w:r>
    </w:p>
    <w:p>
      <w:pPr>
        <w:spacing w:line="222" w:lineRule="exact" w:before="0"/>
        <w:ind w:left="334" w:right="0" w:firstLine="0"/>
        <w:jc w:val="left"/>
        <w:rPr>
          <w:sz w:val="19"/>
        </w:rPr>
      </w:pPr>
      <w:r>
        <w:rPr>
          <w:color w:val="231F20"/>
          <w:sz w:val="19"/>
        </w:rPr>
        <w:t>portfolio</w:t>
      </w:r>
      <w:r>
        <w:rPr>
          <w:color w:val="231F20"/>
          <w:spacing w:val="-1"/>
          <w:sz w:val="19"/>
        </w:rPr>
        <w:t> </w:t>
      </w:r>
      <w:r>
        <w:rPr>
          <w:color w:val="231F20"/>
          <w:sz w:val="19"/>
        </w:rPr>
        <w:t>strategy,</w:t>
      </w:r>
      <w:r>
        <w:rPr>
          <w:color w:val="231F20"/>
          <w:spacing w:val="4"/>
          <w:sz w:val="19"/>
        </w:rPr>
        <w:t> </w:t>
      </w:r>
      <w:r>
        <w:rPr>
          <w:color w:val="231F20"/>
          <w:sz w:val="19"/>
        </w:rPr>
        <w:t>349</w:t>
      </w:r>
      <w:r>
        <w:rPr>
          <w:color w:val="231F20"/>
          <w:spacing w:val="-23"/>
          <w:sz w:val="19"/>
        </w:rPr>
        <w:t> </w:t>
      </w:r>
      <w:r>
        <w:rPr>
          <w:color w:val="231F20"/>
          <w:sz w:val="19"/>
        </w:rPr>
        <w:t>–</w:t>
      </w:r>
      <w:r>
        <w:rPr>
          <w:color w:val="231F20"/>
          <w:spacing w:val="-23"/>
          <w:sz w:val="19"/>
        </w:rPr>
        <w:t> </w:t>
      </w:r>
      <w:r>
        <w:rPr>
          <w:color w:val="231F20"/>
          <w:spacing w:val="-5"/>
          <w:sz w:val="19"/>
        </w:rPr>
        <w:t>55</w:t>
      </w:r>
    </w:p>
    <w:p>
      <w:pPr>
        <w:spacing w:before="17"/>
        <w:ind w:left="334" w:right="0" w:firstLine="0"/>
        <w:jc w:val="left"/>
        <w:rPr>
          <w:sz w:val="19"/>
        </w:rPr>
      </w:pPr>
      <w:r>
        <w:rPr>
          <w:color w:val="231F20"/>
          <w:sz w:val="19"/>
        </w:rPr>
        <w:t>positioning,</w:t>
      </w:r>
      <w:r>
        <w:rPr>
          <w:color w:val="231F20"/>
          <w:spacing w:val="15"/>
          <w:sz w:val="19"/>
        </w:rPr>
        <w:t> </w:t>
      </w:r>
      <w:r>
        <w:rPr>
          <w:color w:val="231F20"/>
          <w:sz w:val="19"/>
        </w:rPr>
        <w:t>25</w:t>
      </w:r>
      <w:r>
        <w:rPr>
          <w:color w:val="231F20"/>
          <w:spacing w:val="-21"/>
          <w:sz w:val="19"/>
        </w:rPr>
        <w:t> </w:t>
      </w:r>
      <w:r>
        <w:rPr>
          <w:color w:val="231F20"/>
          <w:sz w:val="19"/>
        </w:rPr>
        <w:t>–</w:t>
      </w:r>
      <w:r>
        <w:rPr>
          <w:color w:val="231F20"/>
          <w:spacing w:val="-21"/>
          <w:sz w:val="19"/>
        </w:rPr>
        <w:t> </w:t>
      </w:r>
      <w:r>
        <w:rPr>
          <w:color w:val="231F20"/>
          <w:spacing w:val="-5"/>
          <w:sz w:val="19"/>
        </w:rPr>
        <w:t>26</w:t>
      </w:r>
    </w:p>
    <w:p>
      <w:pPr>
        <w:spacing w:before="17"/>
        <w:ind w:left="334" w:right="0" w:firstLine="0"/>
        <w:jc w:val="left"/>
        <w:rPr>
          <w:sz w:val="19"/>
        </w:rPr>
      </w:pPr>
      <w:r>
        <w:rPr>
          <w:color w:val="231F20"/>
          <w:sz w:val="19"/>
        </w:rPr>
        <w:t>postpurchase</w:t>
      </w:r>
      <w:r>
        <w:rPr>
          <w:color w:val="231F20"/>
          <w:spacing w:val="-6"/>
          <w:sz w:val="19"/>
        </w:rPr>
        <w:t> </w:t>
      </w:r>
      <w:r>
        <w:rPr>
          <w:color w:val="231F20"/>
          <w:sz w:val="19"/>
        </w:rPr>
        <w:t>dissonance,</w:t>
      </w:r>
      <w:r>
        <w:rPr>
          <w:color w:val="231F20"/>
          <w:spacing w:val="-6"/>
          <w:sz w:val="19"/>
        </w:rPr>
        <w:t> </w:t>
      </w:r>
      <w:r>
        <w:rPr>
          <w:color w:val="231F20"/>
          <w:spacing w:val="-10"/>
          <w:sz w:val="19"/>
        </w:rPr>
        <w:t>8</w:t>
      </w:r>
    </w:p>
    <w:p>
      <w:pPr>
        <w:spacing w:before="17"/>
        <w:ind w:left="334" w:right="0" w:firstLine="0"/>
        <w:jc w:val="left"/>
        <w:rPr>
          <w:sz w:val="19"/>
        </w:rPr>
      </w:pPr>
      <w:r>
        <w:rPr>
          <w:color w:val="231F20"/>
          <w:sz w:val="19"/>
        </w:rPr>
        <w:t>power,</w:t>
      </w:r>
      <w:r>
        <w:rPr>
          <w:color w:val="231F20"/>
          <w:spacing w:val="-8"/>
          <w:sz w:val="19"/>
        </w:rPr>
        <w:t> </w:t>
      </w:r>
      <w:r>
        <w:rPr>
          <w:color w:val="231F20"/>
          <w:sz w:val="19"/>
        </w:rPr>
        <w:t>137</w:t>
      </w:r>
      <w:r>
        <w:rPr>
          <w:color w:val="231F20"/>
          <w:spacing w:val="-23"/>
          <w:sz w:val="19"/>
        </w:rPr>
        <w:t> </w:t>
      </w:r>
      <w:r>
        <w:rPr>
          <w:color w:val="231F20"/>
          <w:sz w:val="19"/>
        </w:rPr>
        <w:t>–</w:t>
      </w:r>
      <w:r>
        <w:rPr>
          <w:color w:val="231F20"/>
          <w:spacing w:val="-23"/>
          <w:sz w:val="19"/>
        </w:rPr>
        <w:t> </w:t>
      </w:r>
      <w:r>
        <w:rPr>
          <w:color w:val="231F20"/>
          <w:spacing w:val="-5"/>
          <w:sz w:val="19"/>
        </w:rPr>
        <w:t>38</w:t>
      </w:r>
    </w:p>
    <w:p>
      <w:pPr>
        <w:spacing w:before="18"/>
        <w:ind w:left="334" w:right="0" w:firstLine="0"/>
        <w:jc w:val="left"/>
        <w:rPr>
          <w:sz w:val="19"/>
        </w:rPr>
      </w:pPr>
      <w:r>
        <w:rPr>
          <w:color w:val="231F20"/>
          <w:sz w:val="19"/>
        </w:rPr>
        <w:t>preferred</w:t>
      </w:r>
      <w:r>
        <w:rPr>
          <w:color w:val="231F20"/>
          <w:spacing w:val="-9"/>
          <w:sz w:val="19"/>
        </w:rPr>
        <w:t> </w:t>
      </w:r>
      <w:r>
        <w:rPr>
          <w:color w:val="231F20"/>
          <w:sz w:val="19"/>
        </w:rPr>
        <w:t>stocks,</w:t>
      </w:r>
      <w:r>
        <w:rPr>
          <w:color w:val="231F20"/>
          <w:spacing w:val="-5"/>
          <w:sz w:val="19"/>
        </w:rPr>
        <w:t> </w:t>
      </w:r>
      <w:r>
        <w:rPr>
          <w:color w:val="231F20"/>
          <w:sz w:val="19"/>
        </w:rPr>
        <w:t>220</w:t>
      </w:r>
      <w:r>
        <w:rPr>
          <w:color w:val="231F20"/>
          <w:spacing w:val="-23"/>
          <w:sz w:val="19"/>
        </w:rPr>
        <w:t> </w:t>
      </w:r>
      <w:r>
        <w:rPr>
          <w:color w:val="231F20"/>
          <w:sz w:val="19"/>
        </w:rPr>
        <w:t>–</w:t>
      </w:r>
      <w:r>
        <w:rPr>
          <w:color w:val="231F20"/>
          <w:spacing w:val="-23"/>
          <w:sz w:val="19"/>
        </w:rPr>
        <w:t> </w:t>
      </w:r>
      <w:r>
        <w:rPr>
          <w:color w:val="231F20"/>
          <w:spacing w:val="-5"/>
          <w:sz w:val="19"/>
        </w:rPr>
        <w:t>21</w:t>
      </w:r>
    </w:p>
    <w:p>
      <w:pPr>
        <w:spacing w:before="17"/>
        <w:ind w:left="334" w:right="0" w:firstLine="0"/>
        <w:jc w:val="left"/>
        <w:rPr>
          <w:sz w:val="19"/>
        </w:rPr>
      </w:pPr>
      <w:r>
        <w:rPr>
          <w:color w:val="231F20"/>
          <w:sz w:val="19"/>
        </w:rPr>
        <w:t>premiums,</w:t>
      </w:r>
      <w:r>
        <w:rPr>
          <w:color w:val="231F20"/>
          <w:spacing w:val="1"/>
          <w:sz w:val="19"/>
        </w:rPr>
        <w:t> </w:t>
      </w:r>
      <w:r>
        <w:rPr>
          <w:color w:val="231F20"/>
          <w:spacing w:val="-5"/>
          <w:sz w:val="19"/>
        </w:rPr>
        <w:t>43</w:t>
      </w:r>
    </w:p>
    <w:p>
      <w:pPr>
        <w:spacing w:before="17"/>
        <w:ind w:left="334" w:right="0" w:firstLine="0"/>
        <w:jc w:val="left"/>
        <w:rPr>
          <w:sz w:val="19"/>
        </w:rPr>
      </w:pPr>
      <w:r>
        <w:rPr>
          <w:color w:val="231F20"/>
          <w:sz w:val="19"/>
        </w:rPr>
        <w:t>price-earnings</w:t>
      </w:r>
      <w:r>
        <w:rPr>
          <w:color w:val="231F20"/>
          <w:spacing w:val="-9"/>
          <w:sz w:val="19"/>
        </w:rPr>
        <w:t> </w:t>
      </w:r>
      <w:r>
        <w:rPr>
          <w:color w:val="231F20"/>
          <w:sz w:val="19"/>
        </w:rPr>
        <w:t>ratio (PE),</w:t>
      </w:r>
      <w:r>
        <w:rPr>
          <w:color w:val="231F20"/>
          <w:spacing w:val="-1"/>
          <w:sz w:val="19"/>
        </w:rPr>
        <w:t> </w:t>
      </w:r>
      <w:r>
        <w:rPr>
          <w:color w:val="231F20"/>
          <w:sz w:val="19"/>
        </w:rPr>
        <w:t>218</w:t>
      </w:r>
      <w:r>
        <w:rPr>
          <w:color w:val="231F20"/>
          <w:spacing w:val="-23"/>
          <w:sz w:val="19"/>
        </w:rPr>
        <w:t> </w:t>
      </w:r>
      <w:r>
        <w:rPr>
          <w:color w:val="231F20"/>
          <w:sz w:val="19"/>
        </w:rPr>
        <w:t>–</w:t>
      </w:r>
      <w:r>
        <w:rPr>
          <w:color w:val="231F20"/>
          <w:spacing w:val="-23"/>
          <w:sz w:val="19"/>
        </w:rPr>
        <w:t> </w:t>
      </w:r>
      <w:r>
        <w:rPr>
          <w:color w:val="231F20"/>
          <w:spacing w:val="-5"/>
          <w:sz w:val="19"/>
        </w:rPr>
        <w:t>19</w:t>
      </w:r>
    </w:p>
    <w:p>
      <w:pPr>
        <w:spacing w:before="17"/>
        <w:ind w:left="334" w:right="0" w:firstLine="0"/>
        <w:jc w:val="left"/>
        <w:rPr>
          <w:sz w:val="19"/>
        </w:rPr>
      </w:pPr>
      <w:r>
        <w:rPr>
          <w:color w:val="231F20"/>
          <w:spacing w:val="-2"/>
          <w:sz w:val="19"/>
        </w:rPr>
        <w:t>price</w:t>
      </w:r>
      <w:r>
        <w:rPr>
          <w:color w:val="231F20"/>
          <w:spacing w:val="10"/>
          <w:sz w:val="19"/>
        </w:rPr>
        <w:t> </w:t>
      </w:r>
      <w:r>
        <w:rPr>
          <w:color w:val="231F20"/>
          <w:spacing w:val="-2"/>
          <w:sz w:val="19"/>
        </w:rPr>
        <w:t>elasticity,</w:t>
      </w:r>
      <w:r>
        <w:rPr>
          <w:color w:val="231F20"/>
          <w:spacing w:val="10"/>
          <w:sz w:val="19"/>
        </w:rPr>
        <w:t> </w:t>
      </w:r>
      <w:r>
        <w:rPr>
          <w:color w:val="231F20"/>
          <w:spacing w:val="-2"/>
          <w:sz w:val="19"/>
        </w:rPr>
        <w:t>294</w:t>
      </w:r>
      <w:r>
        <w:rPr>
          <w:color w:val="231F20"/>
          <w:spacing w:val="-22"/>
          <w:sz w:val="19"/>
        </w:rPr>
        <w:t> </w:t>
      </w:r>
      <w:r>
        <w:rPr>
          <w:color w:val="231F20"/>
          <w:spacing w:val="-2"/>
          <w:sz w:val="19"/>
        </w:rPr>
        <w:t>–</w:t>
      </w:r>
      <w:r>
        <w:rPr>
          <w:color w:val="231F20"/>
          <w:spacing w:val="-23"/>
          <w:sz w:val="19"/>
        </w:rPr>
        <w:t> </w:t>
      </w:r>
      <w:r>
        <w:rPr>
          <w:color w:val="231F20"/>
          <w:spacing w:val="-5"/>
          <w:sz w:val="19"/>
        </w:rPr>
        <w:t>96</w:t>
      </w:r>
    </w:p>
    <w:p>
      <w:pPr>
        <w:spacing w:before="18"/>
        <w:ind w:left="334" w:right="0" w:firstLine="0"/>
        <w:jc w:val="left"/>
        <w:rPr>
          <w:sz w:val="19"/>
        </w:rPr>
      </w:pPr>
      <w:r>
        <w:rPr>
          <w:color w:val="231F20"/>
          <w:sz w:val="19"/>
        </w:rPr>
        <w:t>pricing</w:t>
      </w:r>
      <w:r>
        <w:rPr>
          <w:color w:val="231F20"/>
          <w:spacing w:val="1"/>
          <w:sz w:val="19"/>
        </w:rPr>
        <w:t> </w:t>
      </w:r>
      <w:r>
        <w:rPr>
          <w:color w:val="231F20"/>
          <w:sz w:val="19"/>
        </w:rPr>
        <w:t>decisions,</w:t>
      </w:r>
      <w:r>
        <w:rPr>
          <w:color w:val="231F20"/>
          <w:spacing w:val="5"/>
          <w:sz w:val="19"/>
        </w:rPr>
        <w:t> </w:t>
      </w:r>
      <w:r>
        <w:rPr>
          <w:color w:val="231F20"/>
          <w:sz w:val="19"/>
        </w:rPr>
        <w:t>48</w:t>
      </w:r>
      <w:r>
        <w:rPr>
          <w:color w:val="231F20"/>
          <w:spacing w:val="-23"/>
          <w:sz w:val="19"/>
        </w:rPr>
        <w:t> </w:t>
      </w:r>
      <w:r>
        <w:rPr>
          <w:color w:val="231F20"/>
          <w:sz w:val="19"/>
        </w:rPr>
        <w:t>–</w:t>
      </w:r>
      <w:r>
        <w:rPr>
          <w:color w:val="231F20"/>
          <w:spacing w:val="-23"/>
          <w:sz w:val="19"/>
        </w:rPr>
        <w:t> </w:t>
      </w:r>
      <w:r>
        <w:rPr>
          <w:color w:val="231F20"/>
          <w:spacing w:val="-5"/>
          <w:sz w:val="19"/>
        </w:rPr>
        <w:t>50</w:t>
      </w:r>
    </w:p>
    <w:p>
      <w:pPr>
        <w:spacing w:before="17"/>
        <w:ind w:left="334" w:right="0" w:firstLine="0"/>
        <w:jc w:val="left"/>
        <w:rPr>
          <w:sz w:val="19"/>
        </w:rPr>
      </w:pPr>
      <w:r>
        <w:rPr>
          <w:color w:val="231F20"/>
          <w:sz w:val="19"/>
        </w:rPr>
        <w:t>prime</w:t>
      </w:r>
      <w:r>
        <w:rPr>
          <w:color w:val="231F20"/>
          <w:spacing w:val="2"/>
          <w:sz w:val="19"/>
        </w:rPr>
        <w:t> </w:t>
      </w:r>
      <w:r>
        <w:rPr>
          <w:color w:val="231F20"/>
          <w:sz w:val="19"/>
        </w:rPr>
        <w:t>rate,</w:t>
      </w:r>
      <w:r>
        <w:rPr>
          <w:color w:val="231F20"/>
          <w:spacing w:val="3"/>
          <w:sz w:val="19"/>
        </w:rPr>
        <w:t> </w:t>
      </w:r>
      <w:r>
        <w:rPr>
          <w:color w:val="231F20"/>
          <w:spacing w:val="-5"/>
          <w:sz w:val="19"/>
        </w:rPr>
        <w:t>308</w:t>
      </w:r>
    </w:p>
    <w:p>
      <w:pPr>
        <w:spacing w:before="17"/>
        <w:ind w:left="334" w:right="0" w:firstLine="0"/>
        <w:jc w:val="left"/>
        <w:rPr>
          <w:sz w:val="19"/>
        </w:rPr>
      </w:pPr>
      <w:r>
        <w:rPr>
          <w:color w:val="231F20"/>
          <w:sz w:val="19"/>
        </w:rPr>
        <w:t>prisoner’s</w:t>
      </w:r>
      <w:r>
        <w:rPr>
          <w:color w:val="231F20"/>
          <w:spacing w:val="-9"/>
          <w:sz w:val="19"/>
        </w:rPr>
        <w:t> </w:t>
      </w:r>
      <w:r>
        <w:rPr>
          <w:color w:val="231F20"/>
          <w:sz w:val="19"/>
        </w:rPr>
        <w:t>dilemma,</w:t>
      </w:r>
      <w:r>
        <w:rPr>
          <w:color w:val="231F20"/>
          <w:spacing w:val="-2"/>
          <w:sz w:val="19"/>
        </w:rPr>
        <w:t> </w:t>
      </w:r>
      <w:r>
        <w:rPr>
          <w:color w:val="231F20"/>
          <w:sz w:val="19"/>
        </w:rPr>
        <w:t>347</w:t>
      </w:r>
      <w:r>
        <w:rPr>
          <w:color w:val="231F20"/>
          <w:spacing w:val="-23"/>
          <w:sz w:val="19"/>
        </w:rPr>
        <w:t> </w:t>
      </w:r>
      <w:r>
        <w:rPr>
          <w:color w:val="231F20"/>
          <w:sz w:val="19"/>
        </w:rPr>
        <w:t>–</w:t>
      </w:r>
      <w:r>
        <w:rPr>
          <w:color w:val="231F20"/>
          <w:spacing w:val="-23"/>
          <w:sz w:val="19"/>
        </w:rPr>
        <w:t> </w:t>
      </w:r>
      <w:r>
        <w:rPr>
          <w:color w:val="231F20"/>
          <w:spacing w:val="-5"/>
          <w:sz w:val="19"/>
        </w:rPr>
        <w:t>48</w:t>
      </w:r>
    </w:p>
    <w:p>
      <w:pPr>
        <w:spacing w:line="259" w:lineRule="auto" w:before="17"/>
        <w:ind w:left="334" w:right="1059" w:firstLine="0"/>
        <w:jc w:val="left"/>
        <w:rPr>
          <w:sz w:val="19"/>
        </w:rPr>
      </w:pPr>
      <w:r>
        <w:rPr>
          <w:color w:val="231F20"/>
          <w:sz w:val="19"/>
        </w:rPr>
        <w:t>private company, 233</w:t>
      </w:r>
      <w:r>
        <w:rPr>
          <w:color w:val="231F20"/>
          <w:spacing w:val="40"/>
          <w:sz w:val="19"/>
        </w:rPr>
        <w:t> </w:t>
      </w:r>
      <w:r>
        <w:rPr>
          <w:color w:val="231F20"/>
          <w:sz w:val="19"/>
        </w:rPr>
        <w:t>probability</w:t>
      </w:r>
      <w:r>
        <w:rPr>
          <w:color w:val="231F20"/>
          <w:spacing w:val="11"/>
          <w:sz w:val="19"/>
        </w:rPr>
        <w:t> </w:t>
      </w:r>
      <w:r>
        <w:rPr>
          <w:color w:val="231F20"/>
          <w:sz w:val="19"/>
        </w:rPr>
        <w:t>density</w:t>
      </w:r>
      <w:r>
        <w:rPr>
          <w:color w:val="231F20"/>
          <w:spacing w:val="11"/>
          <w:sz w:val="19"/>
        </w:rPr>
        <w:t> </w:t>
      </w:r>
      <w:r>
        <w:rPr>
          <w:color w:val="231F20"/>
          <w:sz w:val="19"/>
        </w:rPr>
        <w:t>function,</w:t>
      </w:r>
      <w:r>
        <w:rPr>
          <w:color w:val="231F20"/>
          <w:spacing w:val="11"/>
          <w:sz w:val="19"/>
        </w:rPr>
        <w:t> </w:t>
      </w:r>
      <w:r>
        <w:rPr>
          <w:color w:val="231F20"/>
          <w:spacing w:val="-5"/>
          <w:sz w:val="19"/>
        </w:rPr>
        <w:t>177</w:t>
      </w:r>
    </w:p>
    <w:p>
      <w:pPr>
        <w:spacing w:line="259" w:lineRule="auto" w:before="0"/>
        <w:ind w:left="334" w:right="1000" w:firstLine="0"/>
        <w:jc w:val="left"/>
        <w:rPr>
          <w:sz w:val="19"/>
        </w:rPr>
      </w:pPr>
      <w:r>
        <w:rPr>
          <w:color w:val="231F20"/>
          <w:sz w:val="19"/>
        </w:rPr>
        <w:t>probability</w:t>
      </w:r>
      <w:r>
        <w:rPr>
          <w:color w:val="231F20"/>
          <w:spacing w:val="-9"/>
          <w:sz w:val="19"/>
        </w:rPr>
        <w:t> </w:t>
      </w:r>
      <w:r>
        <w:rPr>
          <w:color w:val="231F20"/>
          <w:sz w:val="19"/>
        </w:rPr>
        <w:t>distributions,</w:t>
      </w:r>
      <w:r>
        <w:rPr>
          <w:color w:val="231F20"/>
          <w:spacing w:val="-1"/>
          <w:sz w:val="19"/>
        </w:rPr>
        <w:t> </w:t>
      </w:r>
      <w:r>
        <w:rPr>
          <w:color w:val="231F20"/>
          <w:sz w:val="19"/>
        </w:rPr>
        <w:t>176</w:t>
      </w:r>
      <w:r>
        <w:rPr>
          <w:color w:val="231F20"/>
          <w:spacing w:val="-23"/>
          <w:sz w:val="19"/>
        </w:rPr>
        <w:t> </w:t>
      </w:r>
      <w:r>
        <w:rPr>
          <w:color w:val="231F20"/>
          <w:sz w:val="19"/>
        </w:rPr>
        <w:t>–</w:t>
      </w:r>
      <w:r>
        <w:rPr>
          <w:color w:val="231F20"/>
          <w:spacing w:val="-23"/>
          <w:sz w:val="19"/>
        </w:rPr>
        <w:t> </w:t>
      </w:r>
      <w:r>
        <w:rPr>
          <w:color w:val="231F20"/>
          <w:sz w:val="19"/>
        </w:rPr>
        <w:t>77 probability mass function, 177 problem-solving model, 41 producer price index (PPI), 301 product life cycle (PLC), 17</w:t>
      </w:r>
      <w:r>
        <w:rPr>
          <w:color w:val="231F20"/>
          <w:spacing w:val="-14"/>
          <w:sz w:val="19"/>
        </w:rPr>
        <w:t> </w:t>
      </w:r>
      <w:r>
        <w:rPr>
          <w:color w:val="231F20"/>
          <w:sz w:val="19"/>
        </w:rPr>
        <w:t>–</w:t>
      </w:r>
      <w:r>
        <w:rPr>
          <w:color w:val="231F20"/>
          <w:spacing w:val="-14"/>
          <w:sz w:val="19"/>
        </w:rPr>
        <w:t> </w:t>
      </w:r>
      <w:r>
        <w:rPr>
          <w:color w:val="231F20"/>
          <w:sz w:val="19"/>
        </w:rPr>
        <w:t>20,</w:t>
      </w:r>
    </w:p>
    <w:p>
      <w:pPr>
        <w:spacing w:line="220" w:lineRule="exact" w:before="0"/>
        <w:ind w:left="574" w:right="0" w:firstLine="0"/>
        <w:jc w:val="left"/>
        <w:rPr>
          <w:sz w:val="19"/>
        </w:rPr>
      </w:pPr>
      <w:r>
        <w:rPr>
          <w:color w:val="231F20"/>
          <w:spacing w:val="-5"/>
          <w:sz w:val="19"/>
        </w:rPr>
        <w:t>35</w:t>
      </w:r>
    </w:p>
    <w:p>
      <w:pPr>
        <w:spacing w:after="0" w:line="220" w:lineRule="exact"/>
        <w:jc w:val="left"/>
        <w:rPr>
          <w:sz w:val="19"/>
        </w:rPr>
        <w:sectPr>
          <w:type w:val="continuous"/>
          <w:pgSz w:w="8640" w:h="12960"/>
          <w:pgMar w:header="734" w:footer="0" w:top="1220" w:bottom="280" w:left="740" w:right="480"/>
          <w:cols w:num="2" w:equalWidth="0">
            <w:col w:w="3281" w:space="40"/>
            <w:col w:w="4099"/>
          </w:cols>
        </w:sectPr>
      </w:pPr>
    </w:p>
    <w:p>
      <w:pPr>
        <w:pStyle w:val="BodyText"/>
        <w:rPr>
          <w:sz w:val="18"/>
        </w:rPr>
      </w:pPr>
    </w:p>
    <w:p>
      <w:pPr>
        <w:spacing w:after="0"/>
        <w:rPr>
          <w:sz w:val="18"/>
        </w:rPr>
        <w:sectPr>
          <w:pgSz w:w="8640" w:h="12960"/>
          <w:pgMar w:header="734" w:footer="0" w:top="920" w:bottom="280" w:left="740" w:right="480"/>
        </w:sectPr>
      </w:pPr>
    </w:p>
    <w:p>
      <w:pPr>
        <w:spacing w:before="99"/>
        <w:ind w:left="520" w:right="0" w:firstLine="0"/>
        <w:jc w:val="left"/>
        <w:rPr>
          <w:sz w:val="19"/>
        </w:rPr>
      </w:pPr>
      <w:r>
        <w:rPr>
          <w:color w:val="231F20"/>
          <w:sz w:val="19"/>
        </w:rPr>
        <w:t>production</w:t>
      </w:r>
      <w:r>
        <w:rPr>
          <w:color w:val="231F20"/>
          <w:spacing w:val="10"/>
          <w:sz w:val="19"/>
        </w:rPr>
        <w:t> </w:t>
      </w:r>
      <w:r>
        <w:rPr>
          <w:color w:val="231F20"/>
          <w:sz w:val="19"/>
        </w:rPr>
        <w:t>methods,</w:t>
      </w:r>
      <w:r>
        <w:rPr>
          <w:color w:val="231F20"/>
          <w:spacing w:val="10"/>
          <w:sz w:val="19"/>
        </w:rPr>
        <w:t> </w:t>
      </w:r>
      <w:r>
        <w:rPr>
          <w:color w:val="231F20"/>
          <w:spacing w:val="-5"/>
          <w:sz w:val="19"/>
        </w:rPr>
        <w:t>261</w:t>
      </w:r>
    </w:p>
    <w:p>
      <w:pPr>
        <w:spacing w:before="17"/>
        <w:ind w:left="520" w:right="0" w:firstLine="0"/>
        <w:jc w:val="left"/>
        <w:rPr>
          <w:sz w:val="19"/>
        </w:rPr>
      </w:pPr>
      <w:r>
        <w:rPr>
          <w:color w:val="231F20"/>
          <w:w w:val="95"/>
          <w:sz w:val="19"/>
        </w:rPr>
        <w:t>proprietorships,</w:t>
      </w:r>
      <w:r>
        <w:rPr>
          <w:color w:val="231F20"/>
          <w:spacing w:val="44"/>
          <w:sz w:val="19"/>
        </w:rPr>
        <w:t> </w:t>
      </w:r>
      <w:r>
        <w:rPr>
          <w:color w:val="231F20"/>
          <w:w w:val="95"/>
          <w:sz w:val="19"/>
        </w:rPr>
        <w:t>200</w:t>
      </w:r>
      <w:r>
        <w:rPr>
          <w:color w:val="231F20"/>
          <w:spacing w:val="-8"/>
          <w:w w:val="95"/>
          <w:sz w:val="19"/>
        </w:rPr>
        <w:t> </w:t>
      </w:r>
      <w:r>
        <w:rPr>
          <w:color w:val="231F20"/>
          <w:w w:val="95"/>
          <w:sz w:val="19"/>
        </w:rPr>
        <w:t>–</w:t>
      </w:r>
      <w:r>
        <w:rPr>
          <w:color w:val="231F20"/>
          <w:spacing w:val="-8"/>
          <w:w w:val="95"/>
          <w:sz w:val="19"/>
        </w:rPr>
        <w:t> </w:t>
      </w:r>
      <w:r>
        <w:rPr>
          <w:color w:val="231F20"/>
          <w:spacing w:val="-5"/>
          <w:w w:val="95"/>
          <w:sz w:val="19"/>
        </w:rPr>
        <w:t>201</w:t>
      </w:r>
    </w:p>
    <w:p>
      <w:pPr>
        <w:spacing w:before="18"/>
        <w:ind w:left="520" w:right="0" w:firstLine="0"/>
        <w:jc w:val="left"/>
        <w:rPr>
          <w:sz w:val="19"/>
        </w:rPr>
      </w:pPr>
      <w:r>
        <w:rPr>
          <w:color w:val="231F20"/>
          <w:sz w:val="19"/>
        </w:rPr>
        <w:t>psychographic</w:t>
      </w:r>
      <w:r>
        <w:rPr>
          <w:color w:val="231F20"/>
          <w:spacing w:val="-2"/>
          <w:sz w:val="19"/>
        </w:rPr>
        <w:t> </w:t>
      </w:r>
      <w:r>
        <w:rPr>
          <w:color w:val="231F20"/>
          <w:sz w:val="19"/>
        </w:rPr>
        <w:t>segmentation,</w:t>
      </w:r>
      <w:r>
        <w:rPr>
          <w:color w:val="231F20"/>
          <w:spacing w:val="-2"/>
          <w:sz w:val="19"/>
        </w:rPr>
        <w:t> </w:t>
      </w:r>
      <w:r>
        <w:rPr>
          <w:color w:val="231F20"/>
          <w:spacing w:val="-5"/>
          <w:sz w:val="19"/>
        </w:rPr>
        <w:t>13</w:t>
      </w:r>
    </w:p>
    <w:p>
      <w:pPr>
        <w:spacing w:before="17"/>
        <w:ind w:left="520" w:right="0" w:firstLine="0"/>
        <w:jc w:val="left"/>
        <w:rPr>
          <w:sz w:val="19"/>
        </w:rPr>
      </w:pPr>
      <w:r>
        <w:rPr>
          <w:color w:val="231F20"/>
          <w:sz w:val="19"/>
        </w:rPr>
        <w:t>psychology</w:t>
      </w:r>
      <w:r>
        <w:rPr>
          <w:color w:val="231F20"/>
          <w:spacing w:val="6"/>
          <w:sz w:val="19"/>
        </w:rPr>
        <w:t> </w:t>
      </w:r>
      <w:r>
        <w:rPr>
          <w:color w:val="231F20"/>
          <w:sz w:val="19"/>
        </w:rPr>
        <w:t>lesson,</w:t>
      </w:r>
      <w:r>
        <w:rPr>
          <w:color w:val="231F20"/>
          <w:spacing w:val="8"/>
          <w:sz w:val="19"/>
        </w:rPr>
        <w:t> </w:t>
      </w:r>
      <w:r>
        <w:rPr>
          <w:color w:val="231F20"/>
          <w:sz w:val="19"/>
        </w:rPr>
        <w:t>124</w:t>
      </w:r>
      <w:r>
        <w:rPr>
          <w:color w:val="231F20"/>
          <w:spacing w:val="-23"/>
          <w:sz w:val="19"/>
        </w:rPr>
        <w:t> </w:t>
      </w:r>
      <w:r>
        <w:rPr>
          <w:color w:val="231F20"/>
          <w:sz w:val="19"/>
        </w:rPr>
        <w:t>–</w:t>
      </w:r>
      <w:r>
        <w:rPr>
          <w:color w:val="231F20"/>
          <w:spacing w:val="-23"/>
          <w:sz w:val="19"/>
        </w:rPr>
        <w:t> </w:t>
      </w:r>
      <w:r>
        <w:rPr>
          <w:color w:val="231F20"/>
          <w:spacing w:val="-5"/>
          <w:sz w:val="19"/>
        </w:rPr>
        <w:t>26</w:t>
      </w:r>
    </w:p>
    <w:p>
      <w:pPr>
        <w:spacing w:before="17"/>
        <w:ind w:left="520" w:right="0" w:firstLine="0"/>
        <w:jc w:val="left"/>
        <w:rPr>
          <w:sz w:val="19"/>
        </w:rPr>
      </w:pPr>
      <w:r>
        <w:rPr>
          <w:color w:val="231F20"/>
          <w:sz w:val="19"/>
        </w:rPr>
        <w:t>public</w:t>
      </w:r>
      <w:r>
        <w:rPr>
          <w:color w:val="231F20"/>
          <w:spacing w:val="7"/>
          <w:sz w:val="19"/>
        </w:rPr>
        <w:t> </w:t>
      </w:r>
      <w:r>
        <w:rPr>
          <w:color w:val="231F20"/>
          <w:sz w:val="19"/>
        </w:rPr>
        <w:t>company,</w:t>
      </w:r>
      <w:r>
        <w:rPr>
          <w:color w:val="231F20"/>
          <w:spacing w:val="8"/>
          <w:sz w:val="19"/>
        </w:rPr>
        <w:t> </w:t>
      </w:r>
      <w:r>
        <w:rPr>
          <w:color w:val="231F20"/>
          <w:spacing w:val="-5"/>
          <w:sz w:val="19"/>
        </w:rPr>
        <w:t>233</w:t>
      </w:r>
    </w:p>
    <w:p>
      <w:pPr>
        <w:spacing w:before="18"/>
        <w:ind w:left="520" w:right="0" w:firstLine="0"/>
        <w:jc w:val="left"/>
        <w:rPr>
          <w:sz w:val="19"/>
        </w:rPr>
      </w:pPr>
      <w:r>
        <w:rPr>
          <w:color w:val="231F20"/>
          <w:sz w:val="19"/>
        </w:rPr>
        <w:t>public</w:t>
      </w:r>
      <w:r>
        <w:rPr>
          <w:color w:val="231F20"/>
          <w:spacing w:val="7"/>
          <w:sz w:val="19"/>
        </w:rPr>
        <w:t> </w:t>
      </w:r>
      <w:r>
        <w:rPr>
          <w:color w:val="231F20"/>
          <w:sz w:val="19"/>
        </w:rPr>
        <w:t>relations</w:t>
      </w:r>
      <w:r>
        <w:rPr>
          <w:color w:val="231F20"/>
          <w:spacing w:val="8"/>
          <w:sz w:val="19"/>
        </w:rPr>
        <w:t> </w:t>
      </w:r>
      <w:r>
        <w:rPr>
          <w:color w:val="231F20"/>
          <w:sz w:val="19"/>
        </w:rPr>
        <w:t>(PR),</w:t>
      </w:r>
      <w:r>
        <w:rPr>
          <w:color w:val="231F20"/>
          <w:spacing w:val="8"/>
          <w:sz w:val="19"/>
        </w:rPr>
        <w:t> </w:t>
      </w:r>
      <w:r>
        <w:rPr>
          <w:color w:val="231F20"/>
          <w:sz w:val="19"/>
        </w:rPr>
        <w:t>44</w:t>
      </w:r>
      <w:r>
        <w:rPr>
          <w:color w:val="231F20"/>
          <w:spacing w:val="-23"/>
          <w:sz w:val="19"/>
        </w:rPr>
        <w:t> </w:t>
      </w:r>
      <w:r>
        <w:rPr>
          <w:color w:val="231F20"/>
          <w:sz w:val="19"/>
        </w:rPr>
        <w:t>–</w:t>
      </w:r>
      <w:r>
        <w:rPr>
          <w:color w:val="231F20"/>
          <w:spacing w:val="-23"/>
          <w:sz w:val="19"/>
        </w:rPr>
        <w:t> </w:t>
      </w:r>
      <w:r>
        <w:rPr>
          <w:color w:val="231F20"/>
          <w:spacing w:val="-5"/>
          <w:sz w:val="19"/>
        </w:rPr>
        <w:t>45</w:t>
      </w:r>
    </w:p>
    <w:p>
      <w:pPr>
        <w:spacing w:before="17"/>
        <w:ind w:left="520" w:right="0" w:firstLine="0"/>
        <w:jc w:val="left"/>
        <w:rPr>
          <w:sz w:val="19"/>
        </w:rPr>
      </w:pPr>
      <w:r>
        <w:rPr>
          <w:color w:val="231F20"/>
          <w:sz w:val="19"/>
        </w:rPr>
        <w:t>public</w:t>
      </w:r>
      <w:r>
        <w:rPr>
          <w:color w:val="231F20"/>
          <w:spacing w:val="10"/>
          <w:sz w:val="19"/>
        </w:rPr>
        <w:t> </w:t>
      </w:r>
      <w:r>
        <w:rPr>
          <w:color w:val="231F20"/>
          <w:sz w:val="19"/>
        </w:rPr>
        <w:t>speaking,</w:t>
      </w:r>
      <w:r>
        <w:rPr>
          <w:color w:val="231F20"/>
          <w:spacing w:val="10"/>
          <w:sz w:val="19"/>
        </w:rPr>
        <w:t> </w:t>
      </w:r>
      <w:r>
        <w:rPr>
          <w:color w:val="231F20"/>
          <w:spacing w:val="-5"/>
          <w:sz w:val="19"/>
        </w:rPr>
        <w:t>369</w:t>
      </w:r>
    </w:p>
    <w:p>
      <w:pPr>
        <w:spacing w:before="17"/>
        <w:ind w:left="520" w:right="0" w:firstLine="0"/>
        <w:jc w:val="left"/>
        <w:rPr>
          <w:sz w:val="19"/>
        </w:rPr>
      </w:pPr>
      <w:r>
        <w:rPr>
          <w:color w:val="231F20"/>
          <w:sz w:val="19"/>
        </w:rPr>
        <w:t>publicity,</w:t>
      </w:r>
      <w:r>
        <w:rPr>
          <w:color w:val="231F20"/>
          <w:spacing w:val="5"/>
          <w:sz w:val="19"/>
        </w:rPr>
        <w:t> </w:t>
      </w:r>
      <w:r>
        <w:rPr>
          <w:color w:val="231F20"/>
          <w:spacing w:val="-5"/>
          <w:sz w:val="19"/>
        </w:rPr>
        <w:t>46</w:t>
      </w:r>
    </w:p>
    <w:p>
      <w:pPr>
        <w:spacing w:line="259" w:lineRule="auto" w:before="17"/>
        <w:ind w:left="520" w:right="161" w:firstLine="0"/>
        <w:jc w:val="left"/>
        <w:rPr>
          <w:sz w:val="19"/>
        </w:rPr>
      </w:pPr>
      <w:r>
        <w:rPr>
          <w:color w:val="231F20"/>
          <w:sz w:val="19"/>
        </w:rPr>
        <w:t>pull</w:t>
      </w:r>
      <w:r>
        <w:rPr>
          <w:color w:val="231F20"/>
          <w:spacing w:val="-9"/>
          <w:sz w:val="19"/>
        </w:rPr>
        <w:t> </w:t>
      </w:r>
      <w:r>
        <w:rPr>
          <w:color w:val="231F20"/>
          <w:sz w:val="19"/>
        </w:rPr>
        <w:t>and</w:t>
      </w:r>
      <w:r>
        <w:rPr>
          <w:color w:val="231F20"/>
          <w:spacing w:val="-2"/>
          <w:sz w:val="19"/>
        </w:rPr>
        <w:t> </w:t>
      </w:r>
      <w:r>
        <w:rPr>
          <w:color w:val="231F20"/>
          <w:sz w:val="19"/>
        </w:rPr>
        <w:t>push</w:t>
      </w:r>
      <w:r>
        <w:rPr>
          <w:color w:val="231F20"/>
          <w:spacing w:val="-2"/>
          <w:sz w:val="19"/>
        </w:rPr>
        <w:t> </w:t>
      </w:r>
      <w:r>
        <w:rPr>
          <w:color w:val="231F20"/>
          <w:sz w:val="19"/>
        </w:rPr>
        <w:t>strategies,</w:t>
      </w:r>
      <w:r>
        <w:rPr>
          <w:color w:val="231F20"/>
          <w:spacing w:val="-2"/>
          <w:sz w:val="19"/>
        </w:rPr>
        <w:t> </w:t>
      </w:r>
      <w:r>
        <w:rPr>
          <w:color w:val="231F20"/>
          <w:sz w:val="19"/>
        </w:rPr>
        <w:t>38</w:t>
      </w:r>
      <w:r>
        <w:rPr>
          <w:color w:val="231F20"/>
          <w:spacing w:val="-23"/>
          <w:sz w:val="19"/>
        </w:rPr>
        <w:t> </w:t>
      </w:r>
      <w:r>
        <w:rPr>
          <w:color w:val="231F20"/>
          <w:sz w:val="19"/>
        </w:rPr>
        <w:t>–</w:t>
      </w:r>
      <w:r>
        <w:rPr>
          <w:color w:val="231F20"/>
          <w:spacing w:val="-23"/>
          <w:sz w:val="19"/>
        </w:rPr>
        <w:t> </w:t>
      </w:r>
      <w:r>
        <w:rPr>
          <w:color w:val="231F20"/>
          <w:sz w:val="19"/>
        </w:rPr>
        <w:t>39 purchasing-power parity, 316</w:t>
      </w:r>
    </w:p>
    <w:p>
      <w:pPr>
        <w:spacing w:line="222" w:lineRule="exact" w:before="0"/>
        <w:ind w:left="520" w:right="0" w:firstLine="0"/>
        <w:jc w:val="left"/>
        <w:rPr>
          <w:sz w:val="19"/>
        </w:rPr>
      </w:pPr>
      <w:r>
        <w:rPr>
          <w:color w:val="231F20"/>
          <w:sz w:val="19"/>
        </w:rPr>
        <w:t>puts,</w:t>
      </w:r>
      <w:r>
        <w:rPr>
          <w:color w:val="231F20"/>
          <w:spacing w:val="13"/>
          <w:sz w:val="19"/>
        </w:rPr>
        <w:t> </w:t>
      </w:r>
      <w:r>
        <w:rPr>
          <w:color w:val="231F20"/>
          <w:spacing w:val="-5"/>
          <w:sz w:val="19"/>
        </w:rPr>
        <w:t>222</w:t>
      </w:r>
    </w:p>
    <w:p>
      <w:pPr>
        <w:pStyle w:val="BodyText"/>
        <w:spacing w:before="11"/>
      </w:pPr>
    </w:p>
    <w:p>
      <w:pPr>
        <w:spacing w:before="0"/>
        <w:ind w:left="520" w:right="0" w:firstLine="0"/>
        <w:jc w:val="left"/>
        <w:rPr>
          <w:sz w:val="19"/>
        </w:rPr>
      </w:pPr>
      <w:r>
        <w:rPr>
          <w:color w:val="231F20"/>
          <w:sz w:val="19"/>
        </w:rPr>
        <w:t>quality</w:t>
      </w:r>
      <w:r>
        <w:rPr>
          <w:color w:val="231F20"/>
          <w:spacing w:val="7"/>
          <w:sz w:val="19"/>
        </w:rPr>
        <w:t> </w:t>
      </w:r>
      <w:r>
        <w:rPr>
          <w:color w:val="231F20"/>
          <w:sz w:val="19"/>
        </w:rPr>
        <w:t>circles,</w:t>
      </w:r>
      <w:r>
        <w:rPr>
          <w:color w:val="231F20"/>
          <w:spacing w:val="7"/>
          <w:sz w:val="19"/>
        </w:rPr>
        <w:t> </w:t>
      </w:r>
      <w:r>
        <w:rPr>
          <w:color w:val="231F20"/>
          <w:spacing w:val="-5"/>
          <w:sz w:val="19"/>
        </w:rPr>
        <w:t>259</w:t>
      </w:r>
    </w:p>
    <w:p>
      <w:pPr>
        <w:spacing w:line="259" w:lineRule="auto" w:before="18"/>
        <w:ind w:left="520" w:right="0" w:firstLine="0"/>
        <w:jc w:val="left"/>
        <w:rPr>
          <w:sz w:val="19"/>
        </w:rPr>
      </w:pPr>
      <w:r>
        <w:rPr>
          <w:color w:val="231F20"/>
          <w:sz w:val="19"/>
        </w:rPr>
        <w:t>quality management, 276</w:t>
      </w:r>
      <w:r>
        <w:rPr>
          <w:color w:val="231F20"/>
          <w:spacing w:val="-10"/>
          <w:sz w:val="19"/>
        </w:rPr>
        <w:t> </w:t>
      </w:r>
      <w:r>
        <w:rPr>
          <w:color w:val="231F20"/>
          <w:sz w:val="19"/>
        </w:rPr>
        <w:t>–</w:t>
      </w:r>
      <w:r>
        <w:rPr>
          <w:color w:val="231F20"/>
          <w:spacing w:val="-10"/>
          <w:sz w:val="19"/>
        </w:rPr>
        <w:t> </w:t>
      </w:r>
      <w:r>
        <w:rPr>
          <w:color w:val="231F20"/>
          <w:sz w:val="19"/>
        </w:rPr>
        <w:t>78 quality of work life (QWL), 129 Quantity</w:t>
      </w:r>
      <w:r>
        <w:rPr>
          <w:color w:val="231F20"/>
          <w:spacing w:val="23"/>
          <w:sz w:val="19"/>
        </w:rPr>
        <w:t> </w:t>
      </w:r>
      <w:r>
        <w:rPr>
          <w:color w:val="231F20"/>
          <w:sz w:val="19"/>
        </w:rPr>
        <w:t>Theory</w:t>
      </w:r>
      <w:r>
        <w:rPr>
          <w:color w:val="231F20"/>
          <w:spacing w:val="24"/>
          <w:sz w:val="19"/>
        </w:rPr>
        <w:t> </w:t>
      </w:r>
      <w:r>
        <w:rPr>
          <w:color w:val="231F20"/>
          <w:sz w:val="19"/>
        </w:rPr>
        <w:t>of</w:t>
      </w:r>
      <w:r>
        <w:rPr>
          <w:color w:val="231F20"/>
          <w:spacing w:val="24"/>
          <w:sz w:val="19"/>
        </w:rPr>
        <w:t> </w:t>
      </w:r>
      <w:r>
        <w:rPr>
          <w:color w:val="231F20"/>
          <w:sz w:val="19"/>
        </w:rPr>
        <w:t>Money,</w:t>
      </w:r>
      <w:r>
        <w:rPr>
          <w:color w:val="231F20"/>
          <w:spacing w:val="24"/>
          <w:sz w:val="19"/>
        </w:rPr>
        <w:t> </w:t>
      </w:r>
      <w:r>
        <w:rPr>
          <w:color w:val="231F20"/>
          <w:sz w:val="19"/>
        </w:rPr>
        <w:t>306</w:t>
      </w:r>
      <w:r>
        <w:rPr>
          <w:color w:val="231F20"/>
          <w:spacing w:val="-18"/>
          <w:sz w:val="19"/>
        </w:rPr>
        <w:t> </w:t>
      </w:r>
      <w:r>
        <w:rPr>
          <w:color w:val="231F20"/>
          <w:spacing w:val="-10"/>
          <w:sz w:val="19"/>
        </w:rPr>
        <w:t>–</w:t>
      </w:r>
    </w:p>
    <w:p>
      <w:pPr>
        <w:spacing w:line="221" w:lineRule="exact" w:before="0"/>
        <w:ind w:left="760" w:right="0" w:firstLine="0"/>
        <w:jc w:val="left"/>
        <w:rPr>
          <w:sz w:val="19"/>
        </w:rPr>
      </w:pPr>
      <w:r>
        <w:rPr>
          <w:color w:val="231F20"/>
          <w:spacing w:val="-5"/>
          <w:sz w:val="19"/>
        </w:rPr>
        <w:t>308</w:t>
      </w:r>
    </w:p>
    <w:p>
      <w:pPr>
        <w:spacing w:before="17"/>
        <w:ind w:left="520" w:right="0" w:firstLine="0"/>
        <w:jc w:val="left"/>
        <w:rPr>
          <w:sz w:val="19"/>
        </w:rPr>
      </w:pPr>
      <w:r>
        <w:rPr>
          <w:color w:val="231F20"/>
          <w:sz w:val="19"/>
        </w:rPr>
        <w:t>queuing</w:t>
      </w:r>
      <w:r>
        <w:rPr>
          <w:color w:val="231F20"/>
          <w:spacing w:val="-4"/>
          <w:sz w:val="19"/>
        </w:rPr>
        <w:t> </w:t>
      </w:r>
      <w:r>
        <w:rPr>
          <w:color w:val="231F20"/>
          <w:sz w:val="19"/>
        </w:rPr>
        <w:t>theory,</w:t>
      </w:r>
      <w:r>
        <w:rPr>
          <w:color w:val="231F20"/>
          <w:spacing w:val="2"/>
          <w:sz w:val="19"/>
        </w:rPr>
        <w:t> </w:t>
      </w:r>
      <w:r>
        <w:rPr>
          <w:color w:val="231F20"/>
          <w:sz w:val="19"/>
        </w:rPr>
        <w:t>267</w:t>
      </w:r>
      <w:r>
        <w:rPr>
          <w:color w:val="231F20"/>
          <w:spacing w:val="-23"/>
          <w:sz w:val="19"/>
        </w:rPr>
        <w:t> </w:t>
      </w:r>
      <w:r>
        <w:rPr>
          <w:color w:val="231F20"/>
          <w:sz w:val="19"/>
        </w:rPr>
        <w:t>–</w:t>
      </w:r>
      <w:r>
        <w:rPr>
          <w:color w:val="231F20"/>
          <w:spacing w:val="-23"/>
          <w:sz w:val="19"/>
        </w:rPr>
        <w:t> </w:t>
      </w:r>
      <w:r>
        <w:rPr>
          <w:color w:val="231F20"/>
          <w:spacing w:val="-5"/>
          <w:sz w:val="19"/>
        </w:rPr>
        <w:t>69</w:t>
      </w:r>
    </w:p>
    <w:p>
      <w:pPr>
        <w:pStyle w:val="BodyText"/>
        <w:spacing w:before="11"/>
      </w:pPr>
    </w:p>
    <w:p>
      <w:pPr>
        <w:spacing w:line="259" w:lineRule="auto" w:before="0"/>
        <w:ind w:left="520" w:right="481" w:firstLine="0"/>
        <w:jc w:val="left"/>
        <w:rPr>
          <w:sz w:val="19"/>
        </w:rPr>
      </w:pPr>
      <w:r>
        <w:rPr>
          <w:color w:val="231F20"/>
          <w:sz w:val="19"/>
        </w:rPr>
        <w:t>ratio analysis, 104</w:t>
      </w:r>
      <w:r>
        <w:rPr>
          <w:color w:val="231F20"/>
          <w:spacing w:val="-14"/>
          <w:sz w:val="19"/>
        </w:rPr>
        <w:t> </w:t>
      </w:r>
      <w:r>
        <w:rPr>
          <w:color w:val="231F20"/>
          <w:sz w:val="19"/>
        </w:rPr>
        <w:t>–</w:t>
      </w:r>
      <w:r>
        <w:rPr>
          <w:color w:val="231F20"/>
          <w:spacing w:val="-14"/>
          <w:sz w:val="19"/>
        </w:rPr>
        <w:t> </w:t>
      </w:r>
      <w:r>
        <w:rPr>
          <w:color w:val="231F20"/>
          <w:sz w:val="19"/>
        </w:rPr>
        <w:t>11 reach</w:t>
      </w:r>
      <w:r>
        <w:rPr>
          <w:color w:val="231F20"/>
          <w:spacing w:val="-2"/>
          <w:sz w:val="19"/>
        </w:rPr>
        <w:t> </w:t>
      </w:r>
      <w:r>
        <w:rPr>
          <w:color w:val="231F20"/>
          <w:sz w:val="19"/>
        </w:rPr>
        <w:t>and</w:t>
      </w:r>
      <w:r>
        <w:rPr>
          <w:color w:val="231F20"/>
          <w:spacing w:val="-1"/>
          <w:sz w:val="19"/>
        </w:rPr>
        <w:t> </w:t>
      </w:r>
      <w:r>
        <w:rPr>
          <w:color w:val="231F20"/>
          <w:sz w:val="19"/>
        </w:rPr>
        <w:t>frequency,</w:t>
      </w:r>
      <w:r>
        <w:rPr>
          <w:color w:val="231F20"/>
          <w:spacing w:val="-2"/>
          <w:sz w:val="19"/>
        </w:rPr>
        <w:t> </w:t>
      </w:r>
      <w:r>
        <w:rPr>
          <w:color w:val="231F20"/>
          <w:spacing w:val="-5"/>
          <w:sz w:val="19"/>
        </w:rPr>
        <w:t>39</w:t>
      </w:r>
    </w:p>
    <w:p>
      <w:pPr>
        <w:spacing w:line="259" w:lineRule="auto" w:before="0"/>
        <w:ind w:left="520" w:right="0" w:firstLine="0"/>
        <w:jc w:val="left"/>
        <w:rPr>
          <w:sz w:val="19"/>
        </w:rPr>
      </w:pPr>
      <w:r>
        <w:rPr>
          <w:color w:val="231F20"/>
          <w:sz w:val="19"/>
        </w:rPr>
        <w:t>reduction in force (RIF), </w:t>
      </w:r>
      <w:r>
        <w:rPr>
          <w:color w:val="231F20"/>
          <w:sz w:val="19"/>
        </w:rPr>
        <w:t>148 reengineering, 355</w:t>
      </w:r>
      <w:r>
        <w:rPr>
          <w:color w:val="231F20"/>
          <w:spacing w:val="-13"/>
          <w:sz w:val="19"/>
        </w:rPr>
        <w:t> </w:t>
      </w:r>
      <w:r>
        <w:rPr>
          <w:color w:val="231F20"/>
          <w:sz w:val="19"/>
        </w:rPr>
        <w:t>–</w:t>
      </w:r>
      <w:r>
        <w:rPr>
          <w:color w:val="231F20"/>
          <w:spacing w:val="-13"/>
          <w:sz w:val="19"/>
        </w:rPr>
        <w:t> </w:t>
      </w:r>
      <w:r>
        <w:rPr>
          <w:color w:val="231F20"/>
          <w:sz w:val="19"/>
        </w:rPr>
        <w:t>56</w:t>
      </w:r>
    </w:p>
    <w:p>
      <w:pPr>
        <w:spacing w:line="222" w:lineRule="exact" w:before="0"/>
        <w:ind w:left="520" w:right="0" w:firstLine="0"/>
        <w:jc w:val="left"/>
        <w:rPr>
          <w:sz w:val="19"/>
        </w:rPr>
      </w:pPr>
      <w:r>
        <w:rPr>
          <w:color w:val="231F20"/>
          <w:w w:val="95"/>
          <w:sz w:val="19"/>
        </w:rPr>
        <w:t>regression,</w:t>
      </w:r>
      <w:r>
        <w:rPr>
          <w:color w:val="231F20"/>
          <w:spacing w:val="32"/>
          <w:sz w:val="19"/>
        </w:rPr>
        <w:t> </w:t>
      </w:r>
      <w:r>
        <w:rPr>
          <w:color w:val="231F20"/>
          <w:w w:val="95"/>
          <w:sz w:val="19"/>
        </w:rPr>
        <w:t>189</w:t>
      </w:r>
      <w:r>
        <w:rPr>
          <w:color w:val="231F20"/>
          <w:spacing w:val="-13"/>
          <w:w w:val="95"/>
          <w:sz w:val="19"/>
        </w:rPr>
        <w:t> </w:t>
      </w:r>
      <w:r>
        <w:rPr>
          <w:color w:val="231F20"/>
          <w:w w:val="95"/>
          <w:sz w:val="19"/>
        </w:rPr>
        <w:t>–</w:t>
      </w:r>
      <w:r>
        <w:rPr>
          <w:color w:val="231F20"/>
          <w:spacing w:val="-13"/>
          <w:w w:val="95"/>
          <w:sz w:val="19"/>
        </w:rPr>
        <w:t> </w:t>
      </w:r>
      <w:r>
        <w:rPr>
          <w:color w:val="231F20"/>
          <w:spacing w:val="-5"/>
          <w:w w:val="95"/>
          <w:sz w:val="19"/>
        </w:rPr>
        <w:t>96</w:t>
      </w:r>
    </w:p>
    <w:p>
      <w:pPr>
        <w:spacing w:before="16"/>
        <w:ind w:left="520" w:right="0" w:firstLine="0"/>
        <w:jc w:val="left"/>
        <w:rPr>
          <w:sz w:val="19"/>
        </w:rPr>
      </w:pPr>
      <w:r>
        <w:rPr>
          <w:color w:val="231F20"/>
          <w:sz w:val="19"/>
        </w:rPr>
        <w:t>relationship</w:t>
      </w:r>
      <w:r>
        <w:rPr>
          <w:color w:val="231F20"/>
          <w:spacing w:val="4"/>
          <w:sz w:val="19"/>
        </w:rPr>
        <w:t> </w:t>
      </w:r>
      <w:r>
        <w:rPr>
          <w:color w:val="231F20"/>
          <w:sz w:val="19"/>
        </w:rPr>
        <w:t>marketing,</w:t>
      </w:r>
      <w:r>
        <w:rPr>
          <w:color w:val="231F20"/>
          <w:spacing w:val="5"/>
          <w:sz w:val="19"/>
        </w:rPr>
        <w:t> </w:t>
      </w:r>
      <w:r>
        <w:rPr>
          <w:color w:val="231F20"/>
          <w:spacing w:val="-5"/>
          <w:sz w:val="19"/>
        </w:rPr>
        <w:t>20</w:t>
      </w:r>
    </w:p>
    <w:p>
      <w:pPr>
        <w:spacing w:before="17"/>
        <w:ind w:left="520" w:right="0" w:firstLine="0"/>
        <w:jc w:val="left"/>
        <w:rPr>
          <w:sz w:val="19"/>
        </w:rPr>
      </w:pPr>
      <w:r>
        <w:rPr>
          <w:color w:val="231F20"/>
          <w:sz w:val="19"/>
        </w:rPr>
        <w:t>relativism,</w:t>
      </w:r>
      <w:r>
        <w:rPr>
          <w:color w:val="231F20"/>
          <w:spacing w:val="1"/>
          <w:sz w:val="19"/>
        </w:rPr>
        <w:t> </w:t>
      </w:r>
      <w:r>
        <w:rPr>
          <w:color w:val="231F20"/>
          <w:sz w:val="19"/>
        </w:rPr>
        <w:t>64</w:t>
      </w:r>
      <w:r>
        <w:rPr>
          <w:color w:val="231F20"/>
          <w:spacing w:val="-23"/>
          <w:sz w:val="19"/>
        </w:rPr>
        <w:t> </w:t>
      </w:r>
      <w:r>
        <w:rPr>
          <w:color w:val="231F20"/>
          <w:sz w:val="19"/>
        </w:rPr>
        <w:t>–</w:t>
      </w:r>
      <w:r>
        <w:rPr>
          <w:color w:val="231F20"/>
          <w:spacing w:val="-23"/>
          <w:sz w:val="19"/>
        </w:rPr>
        <w:t> </w:t>
      </w:r>
      <w:r>
        <w:rPr>
          <w:color w:val="231F20"/>
          <w:spacing w:val="-5"/>
          <w:sz w:val="19"/>
        </w:rPr>
        <w:t>64</w:t>
      </w:r>
    </w:p>
    <w:p>
      <w:pPr>
        <w:spacing w:before="18"/>
        <w:ind w:left="520" w:right="0" w:firstLine="0"/>
        <w:jc w:val="left"/>
        <w:rPr>
          <w:sz w:val="19"/>
        </w:rPr>
      </w:pPr>
      <w:r>
        <w:rPr>
          <w:color w:val="231F20"/>
          <w:sz w:val="19"/>
        </w:rPr>
        <w:t>relevant</w:t>
      </w:r>
      <w:r>
        <w:rPr>
          <w:color w:val="231F20"/>
          <w:spacing w:val="1"/>
          <w:sz w:val="19"/>
        </w:rPr>
        <w:t> </w:t>
      </w:r>
      <w:r>
        <w:rPr>
          <w:color w:val="231F20"/>
          <w:sz w:val="19"/>
        </w:rPr>
        <w:t>market,</w:t>
      </w:r>
      <w:r>
        <w:rPr>
          <w:color w:val="231F20"/>
          <w:spacing w:val="5"/>
          <w:sz w:val="19"/>
        </w:rPr>
        <w:t> </w:t>
      </w:r>
      <w:r>
        <w:rPr>
          <w:color w:val="231F20"/>
          <w:sz w:val="19"/>
        </w:rPr>
        <w:t>16</w:t>
      </w:r>
      <w:r>
        <w:rPr>
          <w:color w:val="231F20"/>
          <w:spacing w:val="-23"/>
          <w:sz w:val="19"/>
        </w:rPr>
        <w:t> </w:t>
      </w:r>
      <w:r>
        <w:rPr>
          <w:color w:val="231F20"/>
          <w:sz w:val="19"/>
        </w:rPr>
        <w:t>–</w:t>
      </w:r>
      <w:r>
        <w:rPr>
          <w:color w:val="231F20"/>
          <w:spacing w:val="-23"/>
          <w:sz w:val="19"/>
        </w:rPr>
        <w:t> </w:t>
      </w:r>
      <w:r>
        <w:rPr>
          <w:color w:val="231F20"/>
          <w:spacing w:val="-5"/>
          <w:sz w:val="19"/>
        </w:rPr>
        <w:t>17</w:t>
      </w:r>
    </w:p>
    <w:p>
      <w:pPr>
        <w:spacing w:before="17"/>
        <w:ind w:left="520" w:right="0" w:firstLine="0"/>
        <w:jc w:val="left"/>
        <w:rPr>
          <w:sz w:val="19"/>
        </w:rPr>
      </w:pPr>
      <w:r>
        <w:rPr>
          <w:color w:val="231F20"/>
          <w:sz w:val="19"/>
        </w:rPr>
        <w:t>reprimands, </w:t>
      </w:r>
      <w:r>
        <w:rPr>
          <w:color w:val="231F20"/>
          <w:spacing w:val="-5"/>
          <w:sz w:val="19"/>
        </w:rPr>
        <w:t>136</w:t>
      </w:r>
    </w:p>
    <w:p>
      <w:pPr>
        <w:spacing w:before="17"/>
        <w:ind w:left="520" w:right="0" w:firstLine="0"/>
        <w:jc w:val="left"/>
        <w:rPr>
          <w:sz w:val="19"/>
        </w:rPr>
      </w:pPr>
      <w:r>
        <w:rPr>
          <w:color w:val="231F20"/>
          <w:w w:val="95"/>
          <w:sz w:val="19"/>
        </w:rPr>
        <w:t>research,</w:t>
      </w:r>
      <w:r>
        <w:rPr>
          <w:color w:val="231F20"/>
          <w:spacing w:val="30"/>
          <w:sz w:val="19"/>
        </w:rPr>
        <w:t> </w:t>
      </w:r>
      <w:r>
        <w:rPr>
          <w:color w:val="231F20"/>
          <w:w w:val="95"/>
          <w:sz w:val="19"/>
        </w:rPr>
        <w:t>364</w:t>
      </w:r>
      <w:r>
        <w:rPr>
          <w:color w:val="231F20"/>
          <w:spacing w:val="-13"/>
          <w:w w:val="95"/>
          <w:sz w:val="19"/>
        </w:rPr>
        <w:t> </w:t>
      </w:r>
      <w:r>
        <w:rPr>
          <w:color w:val="231F20"/>
          <w:w w:val="95"/>
          <w:sz w:val="19"/>
        </w:rPr>
        <w:t>–</w:t>
      </w:r>
      <w:r>
        <w:rPr>
          <w:color w:val="231F20"/>
          <w:spacing w:val="-14"/>
          <w:w w:val="95"/>
          <w:sz w:val="19"/>
        </w:rPr>
        <w:t> </w:t>
      </w:r>
      <w:r>
        <w:rPr>
          <w:color w:val="231F20"/>
          <w:spacing w:val="-5"/>
          <w:w w:val="95"/>
          <w:sz w:val="19"/>
        </w:rPr>
        <w:t>69</w:t>
      </w:r>
    </w:p>
    <w:p>
      <w:pPr>
        <w:spacing w:before="17"/>
        <w:ind w:left="520" w:right="0" w:firstLine="0"/>
        <w:jc w:val="left"/>
        <w:rPr>
          <w:sz w:val="19"/>
        </w:rPr>
      </w:pPr>
      <w:r>
        <w:rPr>
          <w:color w:val="231F20"/>
          <w:sz w:val="19"/>
        </w:rPr>
        <w:t>retained</w:t>
      </w:r>
      <w:r>
        <w:rPr>
          <w:color w:val="231F20"/>
          <w:spacing w:val="-4"/>
          <w:sz w:val="19"/>
        </w:rPr>
        <w:t> </w:t>
      </w:r>
      <w:r>
        <w:rPr>
          <w:color w:val="231F20"/>
          <w:sz w:val="19"/>
        </w:rPr>
        <w:t>earnings,</w:t>
      </w:r>
      <w:r>
        <w:rPr>
          <w:color w:val="231F20"/>
          <w:spacing w:val="-4"/>
          <w:sz w:val="19"/>
        </w:rPr>
        <w:t> </w:t>
      </w:r>
      <w:r>
        <w:rPr>
          <w:color w:val="231F20"/>
          <w:spacing w:val="-5"/>
          <w:sz w:val="19"/>
        </w:rPr>
        <w:t>82</w:t>
      </w:r>
    </w:p>
    <w:p>
      <w:pPr>
        <w:spacing w:line="259" w:lineRule="auto" w:before="18"/>
        <w:ind w:left="520" w:right="0" w:firstLine="0"/>
        <w:jc w:val="left"/>
        <w:rPr>
          <w:sz w:val="19"/>
        </w:rPr>
      </w:pPr>
      <w:r>
        <w:rPr>
          <w:color w:val="231F20"/>
          <w:sz w:val="19"/>
        </w:rPr>
        <w:t>return on assets (ROA), 108 return on equity (ROE), 108</w:t>
      </w:r>
      <w:r>
        <w:rPr>
          <w:color w:val="231F20"/>
          <w:spacing w:val="-23"/>
          <w:sz w:val="19"/>
        </w:rPr>
        <w:t> </w:t>
      </w:r>
      <w:r>
        <w:rPr>
          <w:color w:val="231F20"/>
          <w:sz w:val="19"/>
        </w:rPr>
        <w:t>–</w:t>
      </w:r>
      <w:r>
        <w:rPr>
          <w:color w:val="231F20"/>
          <w:spacing w:val="-23"/>
          <w:sz w:val="19"/>
        </w:rPr>
        <w:t> </w:t>
      </w:r>
      <w:r>
        <w:rPr>
          <w:color w:val="231F20"/>
          <w:sz w:val="19"/>
        </w:rPr>
        <w:t>9 return on sales (ROS), 108 revolver financing, 232</w:t>
      </w:r>
    </w:p>
    <w:p>
      <w:pPr>
        <w:spacing w:line="221" w:lineRule="exact" w:before="0"/>
        <w:ind w:left="520" w:right="0" w:firstLine="0"/>
        <w:jc w:val="left"/>
        <w:rPr>
          <w:sz w:val="19"/>
        </w:rPr>
      </w:pPr>
      <w:r>
        <w:rPr>
          <w:color w:val="231F20"/>
          <w:w w:val="105"/>
          <w:sz w:val="19"/>
        </w:rPr>
        <w:t>Ricardo,</w:t>
      </w:r>
      <w:r>
        <w:rPr>
          <w:color w:val="231F20"/>
          <w:spacing w:val="13"/>
          <w:w w:val="105"/>
          <w:sz w:val="19"/>
        </w:rPr>
        <w:t> </w:t>
      </w:r>
      <w:r>
        <w:rPr>
          <w:color w:val="231F20"/>
          <w:w w:val="105"/>
          <w:sz w:val="19"/>
        </w:rPr>
        <w:t>David,</w:t>
      </w:r>
      <w:r>
        <w:rPr>
          <w:color w:val="231F20"/>
          <w:spacing w:val="13"/>
          <w:w w:val="105"/>
          <w:sz w:val="19"/>
        </w:rPr>
        <w:t> </w:t>
      </w:r>
      <w:r>
        <w:rPr>
          <w:color w:val="231F20"/>
          <w:spacing w:val="-5"/>
          <w:w w:val="105"/>
          <w:sz w:val="19"/>
        </w:rPr>
        <w:t>313</w:t>
      </w:r>
    </w:p>
    <w:p>
      <w:pPr>
        <w:spacing w:line="259" w:lineRule="auto" w:before="17"/>
        <w:ind w:left="520" w:right="0" w:firstLine="0"/>
        <w:jc w:val="left"/>
        <w:rPr>
          <w:sz w:val="19"/>
        </w:rPr>
      </w:pPr>
      <w:r>
        <w:rPr>
          <w:color w:val="231F20"/>
          <w:sz w:val="19"/>
        </w:rPr>
        <w:t>Robert Morris Associates, </w:t>
      </w:r>
      <w:r>
        <w:rPr>
          <w:color w:val="231F20"/>
          <w:sz w:val="19"/>
        </w:rPr>
        <w:t>110 rolling up, 244</w:t>
      </w:r>
    </w:p>
    <w:p>
      <w:pPr>
        <w:spacing w:line="222" w:lineRule="exact" w:before="0"/>
        <w:ind w:left="520" w:right="0" w:firstLine="0"/>
        <w:jc w:val="left"/>
        <w:rPr>
          <w:sz w:val="19"/>
        </w:rPr>
      </w:pPr>
      <w:r>
        <w:rPr>
          <w:color w:val="231F20"/>
          <w:sz w:val="19"/>
        </w:rPr>
        <w:t>R</w:t>
      </w:r>
      <w:r>
        <w:rPr>
          <w:color w:val="231F20"/>
          <w:spacing w:val="19"/>
          <w:sz w:val="19"/>
        </w:rPr>
        <w:t> </w:t>
      </w:r>
      <w:r>
        <w:rPr>
          <w:color w:val="231F20"/>
          <w:sz w:val="19"/>
        </w:rPr>
        <w:t>Square,</w:t>
      </w:r>
      <w:r>
        <w:rPr>
          <w:color w:val="231F20"/>
          <w:spacing w:val="19"/>
          <w:sz w:val="19"/>
        </w:rPr>
        <w:t> </w:t>
      </w:r>
      <w:r>
        <w:rPr>
          <w:color w:val="231F20"/>
          <w:sz w:val="19"/>
        </w:rPr>
        <w:t>194</w:t>
      </w:r>
      <w:r>
        <w:rPr>
          <w:color w:val="231F20"/>
          <w:spacing w:val="-20"/>
          <w:sz w:val="19"/>
        </w:rPr>
        <w:t> </w:t>
      </w:r>
      <w:r>
        <w:rPr>
          <w:color w:val="231F20"/>
          <w:sz w:val="19"/>
        </w:rPr>
        <w:t>–</w:t>
      </w:r>
      <w:r>
        <w:rPr>
          <w:color w:val="231F20"/>
          <w:spacing w:val="-20"/>
          <w:sz w:val="19"/>
        </w:rPr>
        <w:t> </w:t>
      </w:r>
      <w:r>
        <w:rPr>
          <w:color w:val="231F20"/>
          <w:spacing w:val="-5"/>
          <w:sz w:val="19"/>
        </w:rPr>
        <w:t>94</w:t>
      </w:r>
    </w:p>
    <w:p>
      <w:pPr>
        <w:pStyle w:val="BodyText"/>
        <w:spacing w:before="11"/>
      </w:pPr>
    </w:p>
    <w:p>
      <w:pPr>
        <w:spacing w:before="0"/>
        <w:ind w:left="520" w:right="0" w:firstLine="0"/>
        <w:jc w:val="left"/>
        <w:rPr>
          <w:sz w:val="19"/>
        </w:rPr>
      </w:pPr>
      <w:r>
        <w:rPr>
          <w:color w:val="231F20"/>
          <w:sz w:val="19"/>
        </w:rPr>
        <w:t>Sarbanes-Oxley</w:t>
      </w:r>
      <w:r>
        <w:rPr>
          <w:color w:val="231F20"/>
          <w:spacing w:val="30"/>
          <w:sz w:val="19"/>
        </w:rPr>
        <w:t> </w:t>
      </w:r>
      <w:r>
        <w:rPr>
          <w:color w:val="231F20"/>
          <w:sz w:val="19"/>
        </w:rPr>
        <w:t>Act,</w:t>
      </w:r>
      <w:r>
        <w:rPr>
          <w:color w:val="231F20"/>
          <w:spacing w:val="30"/>
          <w:sz w:val="19"/>
        </w:rPr>
        <w:t> </w:t>
      </w:r>
      <w:r>
        <w:rPr>
          <w:color w:val="231F20"/>
          <w:sz w:val="19"/>
        </w:rPr>
        <w:t>66</w:t>
      </w:r>
      <w:r>
        <w:rPr>
          <w:color w:val="231F20"/>
          <w:spacing w:val="-15"/>
          <w:sz w:val="19"/>
        </w:rPr>
        <w:t> </w:t>
      </w:r>
      <w:r>
        <w:rPr>
          <w:color w:val="231F20"/>
          <w:sz w:val="19"/>
        </w:rPr>
        <w:t>–</w:t>
      </w:r>
      <w:r>
        <w:rPr>
          <w:color w:val="231F20"/>
          <w:spacing w:val="-16"/>
          <w:sz w:val="19"/>
        </w:rPr>
        <w:t> </w:t>
      </w:r>
      <w:r>
        <w:rPr>
          <w:color w:val="231F20"/>
          <w:spacing w:val="-5"/>
          <w:sz w:val="19"/>
        </w:rPr>
        <w:t>69</w:t>
      </w:r>
    </w:p>
    <w:p>
      <w:pPr>
        <w:spacing w:before="17"/>
        <w:ind w:left="520" w:right="0" w:firstLine="0"/>
        <w:jc w:val="left"/>
        <w:rPr>
          <w:sz w:val="19"/>
        </w:rPr>
      </w:pPr>
      <w:r>
        <w:rPr>
          <w:color w:val="231F20"/>
          <w:sz w:val="19"/>
        </w:rPr>
        <w:t>scheduling,</w:t>
      </w:r>
      <w:r>
        <w:rPr>
          <w:color w:val="231F20"/>
          <w:spacing w:val="10"/>
          <w:sz w:val="19"/>
        </w:rPr>
        <w:t> </w:t>
      </w:r>
      <w:r>
        <w:rPr>
          <w:color w:val="231F20"/>
          <w:sz w:val="19"/>
        </w:rPr>
        <w:t>264</w:t>
      </w:r>
      <w:r>
        <w:rPr>
          <w:color w:val="231F20"/>
          <w:spacing w:val="-23"/>
          <w:sz w:val="19"/>
        </w:rPr>
        <w:t> </w:t>
      </w:r>
      <w:r>
        <w:rPr>
          <w:color w:val="231F20"/>
          <w:sz w:val="19"/>
        </w:rPr>
        <w:t>–</w:t>
      </w:r>
      <w:r>
        <w:rPr>
          <w:color w:val="231F20"/>
          <w:spacing w:val="-23"/>
          <w:sz w:val="19"/>
        </w:rPr>
        <w:t> </w:t>
      </w:r>
      <w:r>
        <w:rPr>
          <w:color w:val="231F20"/>
          <w:spacing w:val="-5"/>
          <w:sz w:val="19"/>
        </w:rPr>
        <w:t>69</w:t>
      </w:r>
    </w:p>
    <w:p>
      <w:pPr>
        <w:spacing w:line="259" w:lineRule="auto" w:before="17"/>
        <w:ind w:left="520" w:right="0" w:firstLine="0"/>
        <w:jc w:val="left"/>
        <w:rPr>
          <w:sz w:val="19"/>
        </w:rPr>
      </w:pPr>
      <w:r>
        <w:rPr>
          <w:color w:val="231F20"/>
          <w:sz w:val="19"/>
        </w:rPr>
        <w:t>Schumpeter,</w:t>
      </w:r>
      <w:r>
        <w:rPr>
          <w:color w:val="231F20"/>
          <w:spacing w:val="-9"/>
          <w:sz w:val="19"/>
        </w:rPr>
        <w:t> </w:t>
      </w:r>
      <w:r>
        <w:rPr>
          <w:color w:val="231F20"/>
          <w:sz w:val="19"/>
        </w:rPr>
        <w:t>Joseph,</w:t>
      </w:r>
      <w:r>
        <w:rPr>
          <w:color w:val="231F20"/>
          <w:spacing w:val="-8"/>
          <w:sz w:val="19"/>
        </w:rPr>
        <w:t> </w:t>
      </w:r>
      <w:r>
        <w:rPr>
          <w:color w:val="231F20"/>
          <w:sz w:val="19"/>
        </w:rPr>
        <w:t>310 Securities</w:t>
      </w:r>
      <w:r>
        <w:rPr>
          <w:color w:val="231F20"/>
          <w:spacing w:val="-6"/>
          <w:sz w:val="19"/>
        </w:rPr>
        <w:t> </w:t>
      </w:r>
      <w:r>
        <w:rPr>
          <w:color w:val="231F20"/>
          <w:sz w:val="19"/>
        </w:rPr>
        <w:t>and</w:t>
      </w:r>
      <w:r>
        <w:rPr>
          <w:color w:val="231F20"/>
          <w:spacing w:val="-6"/>
          <w:sz w:val="19"/>
        </w:rPr>
        <w:t> </w:t>
      </w:r>
      <w:r>
        <w:rPr>
          <w:color w:val="231F20"/>
          <w:spacing w:val="-2"/>
          <w:sz w:val="19"/>
        </w:rPr>
        <w:t>Exchange</w:t>
      </w:r>
    </w:p>
    <w:p>
      <w:pPr>
        <w:spacing w:line="259" w:lineRule="auto" w:before="0"/>
        <w:ind w:left="520" w:right="0" w:firstLine="240"/>
        <w:jc w:val="left"/>
        <w:rPr>
          <w:sz w:val="19"/>
        </w:rPr>
      </w:pPr>
      <w:r>
        <w:rPr>
          <w:color w:val="231F20"/>
          <w:sz w:val="19"/>
        </w:rPr>
        <w:t>Commission (SEC), 210 security market line (SML), </w:t>
      </w:r>
      <w:r>
        <w:rPr>
          <w:color w:val="231F20"/>
          <w:sz w:val="19"/>
        </w:rPr>
        <w:t>208</w:t>
      </w:r>
    </w:p>
    <w:p>
      <w:pPr>
        <w:spacing w:before="100"/>
        <w:ind w:left="427" w:right="0" w:firstLine="0"/>
        <w:jc w:val="left"/>
        <w:rPr>
          <w:sz w:val="19"/>
        </w:rPr>
      </w:pPr>
      <w:r>
        <w:rPr/>
        <w:br w:type="column"/>
      </w:r>
      <w:r>
        <w:rPr>
          <w:color w:val="231F20"/>
          <w:sz w:val="19"/>
        </w:rPr>
        <w:t>segmentation,</w:t>
      </w:r>
      <w:r>
        <w:rPr>
          <w:color w:val="231F20"/>
          <w:spacing w:val="-2"/>
          <w:sz w:val="19"/>
        </w:rPr>
        <w:t> </w:t>
      </w:r>
      <w:r>
        <w:rPr>
          <w:color w:val="231F20"/>
          <w:sz w:val="19"/>
        </w:rPr>
        <w:t>12</w:t>
      </w:r>
      <w:r>
        <w:rPr>
          <w:color w:val="231F20"/>
          <w:spacing w:val="-23"/>
          <w:sz w:val="19"/>
        </w:rPr>
        <w:t> </w:t>
      </w:r>
      <w:r>
        <w:rPr>
          <w:color w:val="231F20"/>
          <w:sz w:val="19"/>
        </w:rPr>
        <w:t>–</w:t>
      </w:r>
      <w:r>
        <w:rPr>
          <w:color w:val="231F20"/>
          <w:spacing w:val="-23"/>
          <w:sz w:val="19"/>
        </w:rPr>
        <w:t> </w:t>
      </w:r>
      <w:r>
        <w:rPr>
          <w:color w:val="231F20"/>
          <w:spacing w:val="-5"/>
          <w:sz w:val="19"/>
        </w:rPr>
        <w:t>16</w:t>
      </w:r>
    </w:p>
    <w:p>
      <w:pPr>
        <w:spacing w:before="17"/>
        <w:ind w:left="427" w:right="0" w:firstLine="0"/>
        <w:jc w:val="left"/>
        <w:rPr>
          <w:sz w:val="19"/>
        </w:rPr>
      </w:pPr>
      <w:r>
        <w:rPr>
          <w:color w:val="231F20"/>
          <w:sz w:val="19"/>
        </w:rPr>
        <w:t>sensitivity</w:t>
      </w:r>
      <w:r>
        <w:rPr>
          <w:color w:val="231F20"/>
          <w:spacing w:val="-7"/>
          <w:sz w:val="19"/>
        </w:rPr>
        <w:t> </w:t>
      </w:r>
      <w:r>
        <w:rPr>
          <w:color w:val="231F20"/>
          <w:sz w:val="19"/>
        </w:rPr>
        <w:t>analysis,</w:t>
      </w:r>
      <w:r>
        <w:rPr>
          <w:color w:val="231F20"/>
          <w:spacing w:val="-7"/>
          <w:sz w:val="19"/>
        </w:rPr>
        <w:t> </w:t>
      </w:r>
      <w:r>
        <w:rPr>
          <w:color w:val="231F20"/>
          <w:spacing w:val="-5"/>
          <w:sz w:val="19"/>
        </w:rPr>
        <w:t>252</w:t>
      </w:r>
    </w:p>
    <w:p>
      <w:pPr>
        <w:spacing w:line="259" w:lineRule="auto" w:before="17"/>
        <w:ind w:left="427" w:right="1344" w:firstLine="0"/>
        <w:jc w:val="left"/>
        <w:rPr>
          <w:sz w:val="19"/>
        </w:rPr>
      </w:pPr>
      <w:r>
        <w:rPr>
          <w:color w:val="231F20"/>
          <w:sz w:val="19"/>
        </w:rPr>
        <w:t>Seven</w:t>
      </w:r>
      <w:r>
        <w:rPr>
          <w:color w:val="231F20"/>
          <w:spacing w:val="-7"/>
          <w:sz w:val="19"/>
        </w:rPr>
        <w:t> </w:t>
      </w:r>
      <w:r>
        <w:rPr>
          <w:color w:val="231F20"/>
          <w:sz w:val="19"/>
        </w:rPr>
        <w:t>S model, 325</w:t>
      </w:r>
      <w:r>
        <w:rPr>
          <w:color w:val="231F20"/>
          <w:spacing w:val="-23"/>
          <w:sz w:val="19"/>
        </w:rPr>
        <w:t> </w:t>
      </w:r>
      <w:r>
        <w:rPr>
          <w:color w:val="231F20"/>
          <w:sz w:val="19"/>
        </w:rPr>
        <w:t>–</w:t>
      </w:r>
      <w:r>
        <w:rPr>
          <w:color w:val="231F20"/>
          <w:spacing w:val="-23"/>
          <w:sz w:val="19"/>
        </w:rPr>
        <w:t> </w:t>
      </w:r>
      <w:r>
        <w:rPr>
          <w:color w:val="231F20"/>
          <w:sz w:val="19"/>
        </w:rPr>
        <w:t>31 share of voice, 40</w:t>
      </w:r>
    </w:p>
    <w:p>
      <w:pPr>
        <w:spacing w:line="222" w:lineRule="exact" w:before="0"/>
        <w:ind w:left="427" w:right="0" w:firstLine="0"/>
        <w:jc w:val="left"/>
        <w:rPr>
          <w:sz w:val="19"/>
        </w:rPr>
      </w:pPr>
      <w:r>
        <w:rPr>
          <w:color w:val="231F20"/>
          <w:sz w:val="19"/>
        </w:rPr>
        <w:t>shelf</w:t>
      </w:r>
      <w:r>
        <w:rPr>
          <w:color w:val="231F20"/>
          <w:spacing w:val="-6"/>
          <w:sz w:val="19"/>
        </w:rPr>
        <w:t> </w:t>
      </w:r>
      <w:r>
        <w:rPr>
          <w:color w:val="231F20"/>
          <w:sz w:val="19"/>
        </w:rPr>
        <w:t>talker,</w:t>
      </w:r>
      <w:r>
        <w:rPr>
          <w:color w:val="231F20"/>
          <w:spacing w:val="1"/>
          <w:sz w:val="19"/>
        </w:rPr>
        <w:t> </w:t>
      </w:r>
      <w:r>
        <w:rPr>
          <w:color w:val="231F20"/>
          <w:sz w:val="19"/>
        </w:rPr>
        <w:t>44</w:t>
      </w:r>
      <w:r>
        <w:rPr>
          <w:color w:val="231F20"/>
          <w:spacing w:val="-23"/>
          <w:sz w:val="19"/>
        </w:rPr>
        <w:t> </w:t>
      </w:r>
      <w:r>
        <w:rPr>
          <w:color w:val="231F20"/>
          <w:sz w:val="19"/>
        </w:rPr>
        <w:t>–</w:t>
      </w:r>
      <w:r>
        <w:rPr>
          <w:color w:val="231F20"/>
          <w:spacing w:val="-23"/>
          <w:sz w:val="19"/>
        </w:rPr>
        <w:t> </w:t>
      </w:r>
      <w:r>
        <w:rPr>
          <w:color w:val="231F20"/>
          <w:spacing w:val="-5"/>
          <w:sz w:val="19"/>
        </w:rPr>
        <w:t>44</w:t>
      </w:r>
    </w:p>
    <w:p>
      <w:pPr>
        <w:spacing w:before="17"/>
        <w:ind w:left="427" w:right="0" w:firstLine="0"/>
        <w:jc w:val="left"/>
        <w:rPr>
          <w:sz w:val="19"/>
        </w:rPr>
      </w:pPr>
      <w:r>
        <w:rPr>
          <w:color w:val="231F20"/>
          <w:sz w:val="19"/>
        </w:rPr>
        <w:t>short</w:t>
      </w:r>
      <w:r>
        <w:rPr>
          <w:color w:val="231F20"/>
          <w:spacing w:val="5"/>
          <w:sz w:val="19"/>
        </w:rPr>
        <w:t> </w:t>
      </w:r>
      <w:r>
        <w:rPr>
          <w:color w:val="231F20"/>
          <w:sz w:val="19"/>
        </w:rPr>
        <w:t>selling,</w:t>
      </w:r>
      <w:r>
        <w:rPr>
          <w:color w:val="231F20"/>
          <w:spacing w:val="6"/>
          <w:sz w:val="19"/>
        </w:rPr>
        <w:t> </w:t>
      </w:r>
      <w:r>
        <w:rPr>
          <w:color w:val="231F20"/>
          <w:spacing w:val="-5"/>
          <w:sz w:val="19"/>
        </w:rPr>
        <w:t>226</w:t>
      </w:r>
    </w:p>
    <w:p>
      <w:pPr>
        <w:spacing w:before="18"/>
        <w:ind w:left="427" w:right="0" w:firstLine="0"/>
        <w:jc w:val="left"/>
        <w:rPr>
          <w:sz w:val="19"/>
        </w:rPr>
      </w:pPr>
      <w:r>
        <w:rPr>
          <w:color w:val="231F20"/>
          <w:sz w:val="19"/>
        </w:rPr>
        <w:t>signaling,</w:t>
      </w:r>
      <w:r>
        <w:rPr>
          <w:color w:val="231F20"/>
          <w:spacing w:val="14"/>
          <w:sz w:val="19"/>
        </w:rPr>
        <w:t> </w:t>
      </w:r>
      <w:r>
        <w:rPr>
          <w:color w:val="231F20"/>
          <w:sz w:val="19"/>
        </w:rPr>
        <w:t>347</w:t>
      </w:r>
      <w:r>
        <w:rPr>
          <w:color w:val="231F20"/>
          <w:spacing w:val="-21"/>
          <w:sz w:val="19"/>
        </w:rPr>
        <w:t> </w:t>
      </w:r>
      <w:r>
        <w:rPr>
          <w:color w:val="231F20"/>
          <w:sz w:val="19"/>
        </w:rPr>
        <w:t>–</w:t>
      </w:r>
      <w:r>
        <w:rPr>
          <w:color w:val="231F20"/>
          <w:spacing w:val="-22"/>
          <w:sz w:val="19"/>
        </w:rPr>
        <w:t> </w:t>
      </w:r>
      <w:r>
        <w:rPr>
          <w:color w:val="231F20"/>
          <w:spacing w:val="-5"/>
          <w:sz w:val="19"/>
        </w:rPr>
        <w:t>48</w:t>
      </w:r>
    </w:p>
    <w:p>
      <w:pPr>
        <w:spacing w:before="17"/>
        <w:ind w:left="427" w:right="0" w:firstLine="0"/>
        <w:jc w:val="left"/>
        <w:rPr>
          <w:sz w:val="19"/>
        </w:rPr>
      </w:pPr>
      <w:r>
        <w:rPr>
          <w:color w:val="231F20"/>
          <w:sz w:val="19"/>
        </w:rPr>
        <w:t>simplex</w:t>
      </w:r>
      <w:r>
        <w:rPr>
          <w:color w:val="231F20"/>
          <w:spacing w:val="10"/>
          <w:sz w:val="19"/>
        </w:rPr>
        <w:t> </w:t>
      </w:r>
      <w:r>
        <w:rPr>
          <w:color w:val="231F20"/>
          <w:sz w:val="19"/>
        </w:rPr>
        <w:t>method,</w:t>
      </w:r>
      <w:r>
        <w:rPr>
          <w:color w:val="231F20"/>
          <w:spacing w:val="10"/>
          <w:sz w:val="19"/>
        </w:rPr>
        <w:t> </w:t>
      </w:r>
      <w:r>
        <w:rPr>
          <w:color w:val="231F20"/>
          <w:spacing w:val="-5"/>
          <w:sz w:val="19"/>
        </w:rPr>
        <w:t>262</w:t>
      </w:r>
    </w:p>
    <w:p>
      <w:pPr>
        <w:spacing w:before="17"/>
        <w:ind w:left="427" w:right="0" w:firstLine="0"/>
        <w:jc w:val="left"/>
        <w:rPr>
          <w:sz w:val="19"/>
        </w:rPr>
      </w:pPr>
      <w:r>
        <w:rPr>
          <w:color w:val="231F20"/>
          <w:sz w:val="19"/>
        </w:rPr>
        <w:t>skimming,</w:t>
      </w:r>
      <w:r>
        <w:rPr>
          <w:color w:val="231F20"/>
          <w:spacing w:val="18"/>
          <w:sz w:val="19"/>
        </w:rPr>
        <w:t> </w:t>
      </w:r>
      <w:r>
        <w:rPr>
          <w:color w:val="231F20"/>
          <w:spacing w:val="-5"/>
          <w:sz w:val="19"/>
        </w:rPr>
        <w:t>49</w:t>
      </w:r>
    </w:p>
    <w:p>
      <w:pPr>
        <w:spacing w:before="17"/>
        <w:ind w:left="427" w:right="0" w:firstLine="0"/>
        <w:jc w:val="left"/>
        <w:rPr>
          <w:sz w:val="19"/>
        </w:rPr>
      </w:pPr>
      <w:r>
        <w:rPr>
          <w:color w:val="231F20"/>
          <w:sz w:val="19"/>
        </w:rPr>
        <w:t>slotting</w:t>
      </w:r>
      <w:r>
        <w:rPr>
          <w:color w:val="231F20"/>
          <w:spacing w:val="3"/>
          <w:sz w:val="19"/>
        </w:rPr>
        <w:t> </w:t>
      </w:r>
      <w:r>
        <w:rPr>
          <w:color w:val="231F20"/>
          <w:sz w:val="19"/>
        </w:rPr>
        <w:t>fees,</w:t>
      </w:r>
      <w:r>
        <w:rPr>
          <w:color w:val="231F20"/>
          <w:spacing w:val="3"/>
          <w:sz w:val="19"/>
        </w:rPr>
        <w:t> </w:t>
      </w:r>
      <w:r>
        <w:rPr>
          <w:color w:val="231F20"/>
          <w:spacing w:val="-5"/>
          <w:sz w:val="19"/>
        </w:rPr>
        <w:t>31</w:t>
      </w:r>
    </w:p>
    <w:p>
      <w:pPr>
        <w:spacing w:before="18"/>
        <w:ind w:left="427" w:right="0" w:firstLine="0"/>
        <w:jc w:val="left"/>
        <w:rPr>
          <w:sz w:val="19"/>
        </w:rPr>
      </w:pPr>
      <w:r>
        <w:rPr>
          <w:color w:val="231F20"/>
          <w:w w:val="105"/>
          <w:sz w:val="19"/>
        </w:rPr>
        <w:t>Smith,</w:t>
      </w:r>
      <w:r>
        <w:rPr>
          <w:color w:val="231F20"/>
          <w:spacing w:val="2"/>
          <w:w w:val="105"/>
          <w:sz w:val="19"/>
        </w:rPr>
        <w:t> </w:t>
      </w:r>
      <w:r>
        <w:rPr>
          <w:color w:val="231F20"/>
          <w:w w:val="105"/>
          <w:sz w:val="19"/>
        </w:rPr>
        <w:t>Adam,</w:t>
      </w:r>
      <w:r>
        <w:rPr>
          <w:color w:val="231F20"/>
          <w:spacing w:val="3"/>
          <w:w w:val="105"/>
          <w:sz w:val="19"/>
        </w:rPr>
        <w:t> </w:t>
      </w:r>
      <w:r>
        <w:rPr>
          <w:color w:val="231F20"/>
          <w:spacing w:val="-5"/>
          <w:w w:val="105"/>
          <w:sz w:val="19"/>
        </w:rPr>
        <w:t>310</w:t>
      </w:r>
    </w:p>
    <w:p>
      <w:pPr>
        <w:spacing w:line="259" w:lineRule="auto" w:before="17"/>
        <w:ind w:left="667" w:right="1079" w:hanging="240"/>
        <w:jc w:val="left"/>
        <w:rPr>
          <w:sz w:val="19"/>
        </w:rPr>
      </w:pPr>
      <w:r>
        <w:rPr>
          <w:color w:val="231F20"/>
          <w:sz w:val="19"/>
        </w:rPr>
        <w:t>social</w:t>
      </w:r>
      <w:r>
        <w:rPr>
          <w:color w:val="231F20"/>
          <w:spacing w:val="-9"/>
          <w:sz w:val="19"/>
        </w:rPr>
        <w:t> </w:t>
      </w:r>
      <w:r>
        <w:rPr>
          <w:color w:val="231F20"/>
          <w:sz w:val="19"/>
        </w:rPr>
        <w:t>responsibility</w:t>
      </w:r>
      <w:r>
        <w:rPr>
          <w:color w:val="231F20"/>
          <w:spacing w:val="-8"/>
          <w:sz w:val="19"/>
        </w:rPr>
        <w:t> </w:t>
      </w:r>
      <w:r>
        <w:rPr>
          <w:color w:val="231F20"/>
          <w:sz w:val="19"/>
        </w:rPr>
        <w:t>approach, </w:t>
      </w:r>
      <w:r>
        <w:rPr>
          <w:color w:val="231F20"/>
          <w:spacing w:val="-6"/>
          <w:sz w:val="19"/>
        </w:rPr>
        <w:t>62</w:t>
      </w:r>
    </w:p>
    <w:p>
      <w:pPr>
        <w:spacing w:line="222" w:lineRule="exact" w:before="0"/>
        <w:ind w:left="427" w:right="0" w:firstLine="0"/>
        <w:jc w:val="left"/>
        <w:rPr>
          <w:sz w:val="19"/>
        </w:rPr>
      </w:pPr>
      <w:r>
        <w:rPr>
          <w:color w:val="231F20"/>
          <w:sz w:val="19"/>
        </w:rPr>
        <w:t>span</w:t>
      </w:r>
      <w:r>
        <w:rPr>
          <w:color w:val="231F20"/>
          <w:spacing w:val="15"/>
          <w:sz w:val="19"/>
        </w:rPr>
        <w:t> </w:t>
      </w:r>
      <w:r>
        <w:rPr>
          <w:color w:val="231F20"/>
          <w:sz w:val="19"/>
        </w:rPr>
        <w:t>of</w:t>
      </w:r>
      <w:r>
        <w:rPr>
          <w:color w:val="231F20"/>
          <w:spacing w:val="16"/>
          <w:sz w:val="19"/>
        </w:rPr>
        <w:t> </w:t>
      </w:r>
      <w:r>
        <w:rPr>
          <w:color w:val="231F20"/>
          <w:sz w:val="19"/>
        </w:rPr>
        <w:t>control,</w:t>
      </w:r>
      <w:r>
        <w:rPr>
          <w:color w:val="231F20"/>
          <w:spacing w:val="15"/>
          <w:sz w:val="19"/>
        </w:rPr>
        <w:t> </w:t>
      </w:r>
      <w:r>
        <w:rPr>
          <w:color w:val="231F20"/>
          <w:sz w:val="19"/>
        </w:rPr>
        <w:t>147</w:t>
      </w:r>
      <w:r>
        <w:rPr>
          <w:color w:val="231F20"/>
          <w:spacing w:val="-21"/>
          <w:sz w:val="19"/>
        </w:rPr>
        <w:t> </w:t>
      </w:r>
      <w:r>
        <w:rPr>
          <w:color w:val="231F20"/>
          <w:sz w:val="19"/>
        </w:rPr>
        <w:t>–</w:t>
      </w:r>
      <w:r>
        <w:rPr>
          <w:color w:val="231F20"/>
          <w:spacing w:val="-21"/>
          <w:sz w:val="19"/>
        </w:rPr>
        <w:t> </w:t>
      </w:r>
      <w:r>
        <w:rPr>
          <w:color w:val="231F20"/>
          <w:spacing w:val="-5"/>
          <w:sz w:val="19"/>
        </w:rPr>
        <w:t>48</w:t>
      </w:r>
    </w:p>
    <w:p>
      <w:pPr>
        <w:spacing w:before="17"/>
        <w:ind w:left="427" w:right="0" w:firstLine="0"/>
        <w:jc w:val="left"/>
        <w:rPr>
          <w:sz w:val="19"/>
        </w:rPr>
      </w:pPr>
      <w:r>
        <w:rPr>
          <w:color w:val="231F20"/>
          <w:sz w:val="19"/>
        </w:rPr>
        <w:t>spiffs,</w:t>
      </w:r>
      <w:r>
        <w:rPr>
          <w:color w:val="231F20"/>
          <w:spacing w:val="19"/>
          <w:sz w:val="19"/>
        </w:rPr>
        <w:t> </w:t>
      </w:r>
      <w:r>
        <w:rPr>
          <w:color w:val="231F20"/>
          <w:spacing w:val="-5"/>
          <w:sz w:val="19"/>
        </w:rPr>
        <w:t>44</w:t>
      </w:r>
    </w:p>
    <w:p>
      <w:pPr>
        <w:spacing w:line="259" w:lineRule="auto" w:before="17"/>
        <w:ind w:left="427" w:right="1088" w:firstLine="0"/>
        <w:jc w:val="left"/>
        <w:rPr>
          <w:sz w:val="19"/>
        </w:rPr>
      </w:pPr>
      <w:r>
        <w:rPr>
          <w:color w:val="231F20"/>
          <w:sz w:val="19"/>
        </w:rPr>
        <w:t>staff</w:t>
      </w:r>
      <w:r>
        <w:rPr>
          <w:color w:val="231F20"/>
          <w:spacing w:val="-2"/>
          <w:sz w:val="19"/>
        </w:rPr>
        <w:t> </w:t>
      </w:r>
      <w:r>
        <w:rPr>
          <w:color w:val="231F20"/>
          <w:sz w:val="19"/>
        </w:rPr>
        <w:t>and</w:t>
      </w:r>
      <w:r>
        <w:rPr>
          <w:color w:val="231F20"/>
          <w:spacing w:val="-2"/>
          <w:sz w:val="19"/>
        </w:rPr>
        <w:t> </w:t>
      </w:r>
      <w:r>
        <w:rPr>
          <w:color w:val="231F20"/>
          <w:sz w:val="19"/>
        </w:rPr>
        <w:t>line</w:t>
      </w:r>
      <w:r>
        <w:rPr>
          <w:color w:val="231F20"/>
          <w:spacing w:val="-2"/>
          <w:sz w:val="19"/>
        </w:rPr>
        <w:t> </w:t>
      </w:r>
      <w:r>
        <w:rPr>
          <w:color w:val="231F20"/>
          <w:sz w:val="19"/>
        </w:rPr>
        <w:t>employees,</w:t>
      </w:r>
      <w:r>
        <w:rPr>
          <w:color w:val="231F20"/>
          <w:spacing w:val="-2"/>
          <w:sz w:val="19"/>
        </w:rPr>
        <w:t> </w:t>
      </w:r>
      <w:r>
        <w:rPr>
          <w:color w:val="231F20"/>
          <w:sz w:val="19"/>
        </w:rPr>
        <w:t>141 stakeholder analysis, 65</w:t>
      </w:r>
      <w:r>
        <w:rPr>
          <w:color w:val="231F20"/>
          <w:spacing w:val="-19"/>
          <w:sz w:val="19"/>
        </w:rPr>
        <w:t> </w:t>
      </w:r>
      <w:r>
        <w:rPr>
          <w:color w:val="231F20"/>
          <w:sz w:val="19"/>
        </w:rPr>
        <w:t>–</w:t>
      </w:r>
      <w:r>
        <w:rPr>
          <w:color w:val="231F20"/>
          <w:spacing w:val="-19"/>
          <w:sz w:val="19"/>
        </w:rPr>
        <w:t> </w:t>
      </w:r>
      <w:r>
        <w:rPr>
          <w:color w:val="231F20"/>
          <w:sz w:val="19"/>
        </w:rPr>
        <w:t>66</w:t>
      </w:r>
    </w:p>
    <w:p>
      <w:pPr>
        <w:spacing w:line="259" w:lineRule="auto" w:before="0"/>
        <w:ind w:left="427" w:right="938" w:firstLine="0"/>
        <w:jc w:val="left"/>
        <w:rPr>
          <w:sz w:val="19"/>
        </w:rPr>
      </w:pPr>
      <w:r>
        <w:rPr>
          <w:color w:val="231F20"/>
          <w:sz w:val="19"/>
        </w:rPr>
        <w:t>standard deviation, 181</w:t>
      </w:r>
      <w:r>
        <w:rPr>
          <w:color w:val="231F20"/>
          <w:spacing w:val="80"/>
          <w:sz w:val="19"/>
        </w:rPr>
        <w:t> </w:t>
      </w:r>
      <w:r>
        <w:rPr>
          <w:color w:val="231F20"/>
          <w:sz w:val="19"/>
        </w:rPr>
        <w:t>Standard Metropolitan Statistical</w:t>
      </w:r>
    </w:p>
    <w:p>
      <w:pPr>
        <w:spacing w:line="222" w:lineRule="exact" w:before="0"/>
        <w:ind w:left="667" w:right="0" w:firstLine="0"/>
        <w:jc w:val="left"/>
        <w:rPr>
          <w:sz w:val="19"/>
        </w:rPr>
      </w:pPr>
      <w:r>
        <w:rPr>
          <w:color w:val="231F20"/>
          <w:w w:val="105"/>
          <w:sz w:val="19"/>
        </w:rPr>
        <w:t>Area</w:t>
      </w:r>
      <w:r>
        <w:rPr>
          <w:color w:val="231F20"/>
          <w:spacing w:val="8"/>
          <w:w w:val="105"/>
          <w:sz w:val="19"/>
        </w:rPr>
        <w:t> </w:t>
      </w:r>
      <w:r>
        <w:rPr>
          <w:color w:val="231F20"/>
          <w:w w:val="105"/>
          <w:sz w:val="19"/>
        </w:rPr>
        <w:t>(SMSA),</w:t>
      </w:r>
      <w:r>
        <w:rPr>
          <w:color w:val="231F20"/>
          <w:spacing w:val="9"/>
          <w:w w:val="105"/>
          <w:sz w:val="19"/>
        </w:rPr>
        <w:t> </w:t>
      </w:r>
      <w:r>
        <w:rPr>
          <w:color w:val="231F20"/>
          <w:spacing w:val="-7"/>
          <w:w w:val="105"/>
          <w:sz w:val="19"/>
        </w:rPr>
        <w:t>13</w:t>
      </w:r>
    </w:p>
    <w:p>
      <w:pPr>
        <w:spacing w:line="259" w:lineRule="auto" w:before="16"/>
        <w:ind w:left="427" w:right="1088" w:firstLine="0"/>
        <w:jc w:val="left"/>
        <w:rPr>
          <w:sz w:val="19"/>
        </w:rPr>
      </w:pPr>
      <w:r>
        <w:rPr>
          <w:color w:val="231F20"/>
          <w:w w:val="110"/>
          <w:sz w:val="19"/>
        </w:rPr>
        <w:t>Standard &amp; Poor’s 500, 205 </w:t>
      </w:r>
      <w:r>
        <w:rPr>
          <w:color w:val="231F20"/>
          <w:w w:val="105"/>
          <w:sz w:val="19"/>
        </w:rPr>
        <w:t>Standard</w:t>
      </w:r>
      <w:r>
        <w:rPr>
          <w:color w:val="231F20"/>
          <w:spacing w:val="-11"/>
          <w:w w:val="105"/>
          <w:sz w:val="19"/>
        </w:rPr>
        <w:t> </w:t>
      </w:r>
      <w:r>
        <w:rPr>
          <w:color w:val="231F20"/>
          <w:w w:val="105"/>
          <w:sz w:val="19"/>
        </w:rPr>
        <w:t>Rate</w:t>
      </w:r>
      <w:r>
        <w:rPr>
          <w:color w:val="231F20"/>
          <w:spacing w:val="-10"/>
          <w:w w:val="105"/>
          <w:sz w:val="19"/>
        </w:rPr>
        <w:t> </w:t>
      </w:r>
      <w:r>
        <w:rPr>
          <w:color w:val="231F20"/>
          <w:w w:val="105"/>
          <w:sz w:val="19"/>
        </w:rPr>
        <w:t>&amp;</w:t>
      </w:r>
      <w:r>
        <w:rPr>
          <w:color w:val="231F20"/>
          <w:spacing w:val="-10"/>
          <w:w w:val="105"/>
          <w:sz w:val="19"/>
        </w:rPr>
        <w:t> </w:t>
      </w:r>
      <w:r>
        <w:rPr>
          <w:color w:val="231F20"/>
          <w:w w:val="105"/>
          <w:sz w:val="19"/>
        </w:rPr>
        <w:t>Data</w:t>
      </w:r>
      <w:r>
        <w:rPr>
          <w:color w:val="231F20"/>
          <w:spacing w:val="-10"/>
          <w:w w:val="105"/>
          <w:sz w:val="19"/>
        </w:rPr>
        <w:t> </w:t>
      </w:r>
      <w:r>
        <w:rPr>
          <w:color w:val="231F20"/>
          <w:w w:val="105"/>
          <w:sz w:val="19"/>
        </w:rPr>
        <w:t>Service</w:t>
      </w:r>
    </w:p>
    <w:p>
      <w:pPr>
        <w:spacing w:line="222" w:lineRule="exact" w:before="0"/>
        <w:ind w:left="667" w:right="0" w:firstLine="0"/>
        <w:jc w:val="left"/>
        <w:rPr>
          <w:sz w:val="19"/>
        </w:rPr>
      </w:pPr>
      <w:r>
        <w:rPr>
          <w:color w:val="231F20"/>
          <w:w w:val="105"/>
          <w:sz w:val="19"/>
        </w:rPr>
        <w:t>(SRDS),</w:t>
      </w:r>
      <w:r>
        <w:rPr>
          <w:color w:val="231F20"/>
          <w:spacing w:val="14"/>
          <w:w w:val="105"/>
          <w:sz w:val="19"/>
        </w:rPr>
        <w:t> </w:t>
      </w:r>
      <w:r>
        <w:rPr>
          <w:color w:val="231F20"/>
          <w:spacing w:val="-5"/>
          <w:w w:val="105"/>
          <w:sz w:val="19"/>
        </w:rPr>
        <w:t>40</w:t>
      </w:r>
    </w:p>
    <w:p>
      <w:pPr>
        <w:spacing w:line="259" w:lineRule="auto" w:before="18"/>
        <w:ind w:left="667" w:right="1088" w:hanging="240"/>
        <w:jc w:val="left"/>
        <w:rPr>
          <w:sz w:val="19"/>
        </w:rPr>
      </w:pPr>
      <w:r>
        <w:rPr>
          <w:color w:val="231F20"/>
          <w:sz w:val="19"/>
        </w:rPr>
        <w:t>statement</w:t>
      </w:r>
      <w:r>
        <w:rPr>
          <w:color w:val="231F20"/>
          <w:spacing w:val="-4"/>
          <w:sz w:val="19"/>
        </w:rPr>
        <w:t> </w:t>
      </w:r>
      <w:r>
        <w:rPr>
          <w:color w:val="231F20"/>
          <w:sz w:val="19"/>
        </w:rPr>
        <w:t>of cash</w:t>
      </w:r>
      <w:r>
        <w:rPr>
          <w:color w:val="231F20"/>
          <w:spacing w:val="-1"/>
          <w:sz w:val="19"/>
        </w:rPr>
        <w:t> </w:t>
      </w:r>
      <w:r>
        <w:rPr>
          <w:color w:val="231F20"/>
          <w:sz w:val="19"/>
        </w:rPr>
        <w:t>flows, 95</w:t>
      </w:r>
      <w:r>
        <w:rPr>
          <w:color w:val="231F20"/>
          <w:spacing w:val="-23"/>
          <w:sz w:val="19"/>
        </w:rPr>
        <w:t> </w:t>
      </w:r>
      <w:r>
        <w:rPr>
          <w:color w:val="231F20"/>
          <w:sz w:val="19"/>
        </w:rPr>
        <w:t>– </w:t>
      </w:r>
      <w:r>
        <w:rPr>
          <w:color w:val="231F20"/>
          <w:spacing w:val="-4"/>
          <w:sz w:val="19"/>
        </w:rPr>
        <w:t>103</w:t>
      </w:r>
    </w:p>
    <w:p>
      <w:pPr>
        <w:spacing w:line="259" w:lineRule="auto" w:before="0"/>
        <w:ind w:left="667" w:right="938" w:hanging="240"/>
        <w:jc w:val="left"/>
        <w:rPr>
          <w:sz w:val="19"/>
        </w:rPr>
      </w:pPr>
      <w:r>
        <w:rPr>
          <w:color w:val="231F20"/>
          <w:sz w:val="19"/>
        </w:rPr>
        <w:t>statistical</w:t>
      </w:r>
      <w:r>
        <w:rPr>
          <w:color w:val="231F20"/>
          <w:spacing w:val="-4"/>
          <w:sz w:val="19"/>
        </w:rPr>
        <w:t> </w:t>
      </w:r>
      <w:r>
        <w:rPr>
          <w:color w:val="231F20"/>
          <w:sz w:val="19"/>
        </w:rPr>
        <w:t>process</w:t>
      </w:r>
      <w:r>
        <w:rPr>
          <w:color w:val="231F20"/>
          <w:spacing w:val="-4"/>
          <w:sz w:val="19"/>
        </w:rPr>
        <w:t> </w:t>
      </w:r>
      <w:r>
        <w:rPr>
          <w:color w:val="231F20"/>
          <w:sz w:val="19"/>
        </w:rPr>
        <w:t>control</w:t>
      </w:r>
      <w:r>
        <w:rPr>
          <w:color w:val="231F20"/>
          <w:spacing w:val="-4"/>
          <w:sz w:val="19"/>
        </w:rPr>
        <w:t> </w:t>
      </w:r>
      <w:r>
        <w:rPr>
          <w:color w:val="231F20"/>
          <w:sz w:val="19"/>
        </w:rPr>
        <w:t>(SPC), 276</w:t>
      </w:r>
      <w:r>
        <w:rPr>
          <w:color w:val="231F20"/>
          <w:spacing w:val="-23"/>
          <w:sz w:val="19"/>
        </w:rPr>
        <w:t> </w:t>
      </w:r>
      <w:r>
        <w:rPr>
          <w:color w:val="231F20"/>
          <w:sz w:val="19"/>
        </w:rPr>
        <w:t>–</w:t>
      </w:r>
      <w:r>
        <w:rPr>
          <w:color w:val="231F20"/>
          <w:spacing w:val="-23"/>
          <w:sz w:val="19"/>
        </w:rPr>
        <w:t> </w:t>
      </w:r>
      <w:r>
        <w:rPr>
          <w:color w:val="231F20"/>
          <w:sz w:val="19"/>
        </w:rPr>
        <w:t>78</w:t>
      </w:r>
    </w:p>
    <w:p>
      <w:pPr>
        <w:spacing w:line="259" w:lineRule="auto" w:before="0"/>
        <w:ind w:left="427" w:right="1079" w:firstLine="0"/>
        <w:jc w:val="left"/>
        <w:rPr>
          <w:sz w:val="19"/>
        </w:rPr>
      </w:pPr>
      <w:r>
        <w:rPr>
          <w:color w:val="231F20"/>
          <w:sz w:val="19"/>
        </w:rPr>
        <w:t>stock keeping unit (SKU), </w:t>
      </w:r>
      <w:r>
        <w:rPr>
          <w:color w:val="231F20"/>
          <w:sz w:val="19"/>
        </w:rPr>
        <w:t>31 stocks, 217</w:t>
      </w:r>
      <w:r>
        <w:rPr>
          <w:color w:val="231F20"/>
          <w:spacing w:val="-13"/>
          <w:sz w:val="19"/>
        </w:rPr>
        <w:t> </w:t>
      </w:r>
      <w:r>
        <w:rPr>
          <w:color w:val="231F20"/>
          <w:sz w:val="19"/>
        </w:rPr>
        <w:t>–</w:t>
      </w:r>
      <w:r>
        <w:rPr>
          <w:color w:val="231F20"/>
          <w:spacing w:val="-13"/>
          <w:sz w:val="19"/>
        </w:rPr>
        <w:t> </w:t>
      </w:r>
      <w:r>
        <w:rPr>
          <w:color w:val="231F20"/>
          <w:sz w:val="19"/>
        </w:rPr>
        <w:t>21</w:t>
      </w:r>
    </w:p>
    <w:p>
      <w:pPr>
        <w:spacing w:line="222" w:lineRule="exact" w:before="0"/>
        <w:ind w:left="427" w:right="0" w:firstLine="0"/>
        <w:jc w:val="left"/>
        <w:rPr>
          <w:sz w:val="19"/>
        </w:rPr>
      </w:pPr>
      <w:r>
        <w:rPr>
          <w:color w:val="231F20"/>
          <w:spacing w:val="-8"/>
          <w:w w:val="110"/>
          <w:sz w:val="19"/>
        </w:rPr>
        <w:t>STP,</w:t>
      </w:r>
      <w:r>
        <w:rPr>
          <w:color w:val="231F20"/>
          <w:spacing w:val="2"/>
          <w:w w:val="110"/>
          <w:sz w:val="19"/>
        </w:rPr>
        <w:t> </w:t>
      </w:r>
      <w:r>
        <w:rPr>
          <w:color w:val="231F20"/>
          <w:spacing w:val="-10"/>
          <w:w w:val="110"/>
          <w:sz w:val="19"/>
        </w:rPr>
        <w:t>4</w:t>
      </w:r>
    </w:p>
    <w:p>
      <w:pPr>
        <w:spacing w:line="259" w:lineRule="auto" w:before="15"/>
        <w:ind w:left="667" w:right="1088" w:hanging="240"/>
        <w:jc w:val="left"/>
        <w:rPr>
          <w:sz w:val="19"/>
        </w:rPr>
      </w:pPr>
      <w:r>
        <w:rPr>
          <w:color w:val="231F20"/>
          <w:sz w:val="19"/>
        </w:rPr>
        <w:t>strategic</w:t>
      </w:r>
      <w:r>
        <w:rPr>
          <w:color w:val="231F20"/>
          <w:spacing w:val="-9"/>
          <w:sz w:val="19"/>
        </w:rPr>
        <w:t> </w:t>
      </w:r>
      <w:r>
        <w:rPr>
          <w:color w:val="231F20"/>
          <w:sz w:val="19"/>
        </w:rPr>
        <w:t>business</w:t>
      </w:r>
      <w:r>
        <w:rPr>
          <w:color w:val="231F20"/>
          <w:spacing w:val="-8"/>
          <w:sz w:val="19"/>
        </w:rPr>
        <w:t> </w:t>
      </w:r>
      <w:r>
        <w:rPr>
          <w:color w:val="231F20"/>
          <w:sz w:val="19"/>
        </w:rPr>
        <w:t>unit</w:t>
      </w:r>
      <w:r>
        <w:rPr>
          <w:color w:val="231F20"/>
          <w:spacing w:val="-8"/>
          <w:sz w:val="19"/>
        </w:rPr>
        <w:t> </w:t>
      </w:r>
      <w:r>
        <w:rPr>
          <w:color w:val="231F20"/>
          <w:sz w:val="19"/>
        </w:rPr>
        <w:t>(SBU), 353</w:t>
      </w:r>
      <w:r>
        <w:rPr>
          <w:color w:val="231F20"/>
          <w:spacing w:val="-23"/>
          <w:sz w:val="19"/>
        </w:rPr>
        <w:t> </w:t>
      </w:r>
      <w:r>
        <w:rPr>
          <w:color w:val="231F20"/>
          <w:sz w:val="19"/>
        </w:rPr>
        <w:t>–</w:t>
      </w:r>
      <w:r>
        <w:rPr>
          <w:color w:val="231F20"/>
          <w:spacing w:val="-23"/>
          <w:sz w:val="19"/>
        </w:rPr>
        <w:t> </w:t>
      </w:r>
      <w:r>
        <w:rPr>
          <w:color w:val="231F20"/>
          <w:sz w:val="19"/>
        </w:rPr>
        <w:t>55</w:t>
      </w:r>
    </w:p>
    <w:p>
      <w:pPr>
        <w:spacing w:line="259" w:lineRule="auto" w:before="0"/>
        <w:ind w:left="427" w:right="1088" w:firstLine="0"/>
        <w:jc w:val="left"/>
        <w:rPr>
          <w:sz w:val="19"/>
        </w:rPr>
      </w:pPr>
      <w:r>
        <w:rPr>
          <w:color w:val="231F20"/>
          <w:sz w:val="19"/>
        </w:rPr>
        <w:t>strategic skepticism, 360</w:t>
      </w:r>
      <w:r>
        <w:rPr>
          <w:color w:val="231F20"/>
          <w:spacing w:val="-10"/>
          <w:sz w:val="19"/>
        </w:rPr>
        <w:t> </w:t>
      </w:r>
      <w:r>
        <w:rPr>
          <w:color w:val="231F20"/>
          <w:sz w:val="19"/>
        </w:rPr>
        <w:t>–</w:t>
      </w:r>
      <w:r>
        <w:rPr>
          <w:color w:val="231F20"/>
          <w:spacing w:val="-10"/>
          <w:sz w:val="19"/>
        </w:rPr>
        <w:t> </w:t>
      </w:r>
      <w:r>
        <w:rPr>
          <w:color w:val="231F20"/>
          <w:sz w:val="19"/>
        </w:rPr>
        <w:t>61 Subchapter S Corporation, </w:t>
      </w:r>
      <w:r>
        <w:rPr>
          <w:color w:val="231F20"/>
          <w:sz w:val="19"/>
        </w:rPr>
        <w:t>203 subordinated debt, 216</w:t>
      </w:r>
    </w:p>
    <w:p>
      <w:pPr>
        <w:spacing w:line="221" w:lineRule="exact" w:before="0"/>
        <w:ind w:left="427" w:right="0" w:firstLine="0"/>
        <w:jc w:val="left"/>
        <w:rPr>
          <w:sz w:val="19"/>
        </w:rPr>
      </w:pPr>
      <w:r>
        <w:rPr>
          <w:color w:val="231F20"/>
          <w:sz w:val="19"/>
        </w:rPr>
        <w:t>sunk</w:t>
      </w:r>
      <w:r>
        <w:rPr>
          <w:color w:val="231F20"/>
          <w:spacing w:val="11"/>
          <w:sz w:val="19"/>
        </w:rPr>
        <w:t> </w:t>
      </w:r>
      <w:r>
        <w:rPr>
          <w:color w:val="231F20"/>
          <w:sz w:val="19"/>
        </w:rPr>
        <w:t>cost,</w:t>
      </w:r>
      <w:r>
        <w:rPr>
          <w:color w:val="231F20"/>
          <w:spacing w:val="12"/>
          <w:sz w:val="19"/>
        </w:rPr>
        <w:t> </w:t>
      </w:r>
      <w:r>
        <w:rPr>
          <w:color w:val="231F20"/>
          <w:spacing w:val="-5"/>
          <w:sz w:val="19"/>
        </w:rPr>
        <w:t>51</w:t>
      </w:r>
    </w:p>
    <w:p>
      <w:pPr>
        <w:spacing w:before="16"/>
        <w:ind w:left="427" w:right="0" w:firstLine="0"/>
        <w:jc w:val="left"/>
        <w:rPr>
          <w:sz w:val="19"/>
        </w:rPr>
      </w:pPr>
      <w:r>
        <w:rPr>
          <w:color w:val="231F20"/>
          <w:sz w:val="19"/>
        </w:rPr>
        <w:t>Sun-tzu,</w:t>
      </w:r>
      <w:r>
        <w:rPr>
          <w:color w:val="231F20"/>
          <w:spacing w:val="13"/>
          <w:sz w:val="19"/>
        </w:rPr>
        <w:t> </w:t>
      </w:r>
      <w:r>
        <w:rPr>
          <w:color w:val="231F20"/>
          <w:sz w:val="19"/>
        </w:rPr>
        <w:t>361</w:t>
      </w:r>
      <w:r>
        <w:rPr>
          <w:color w:val="231F20"/>
          <w:spacing w:val="-21"/>
          <w:sz w:val="19"/>
        </w:rPr>
        <w:t> </w:t>
      </w:r>
      <w:r>
        <w:rPr>
          <w:color w:val="231F20"/>
          <w:sz w:val="19"/>
        </w:rPr>
        <w:t>–</w:t>
      </w:r>
      <w:r>
        <w:rPr>
          <w:color w:val="231F20"/>
          <w:spacing w:val="-22"/>
          <w:sz w:val="19"/>
        </w:rPr>
        <w:t> </w:t>
      </w:r>
      <w:r>
        <w:rPr>
          <w:color w:val="231F20"/>
          <w:spacing w:val="-5"/>
          <w:sz w:val="19"/>
        </w:rPr>
        <w:t>62</w:t>
      </w:r>
    </w:p>
    <w:p>
      <w:pPr>
        <w:spacing w:before="17"/>
        <w:ind w:left="427" w:right="0" w:firstLine="0"/>
        <w:jc w:val="left"/>
        <w:rPr>
          <w:sz w:val="19"/>
        </w:rPr>
      </w:pPr>
      <w:r>
        <w:rPr>
          <w:color w:val="231F20"/>
          <w:sz w:val="19"/>
        </w:rPr>
        <w:t>superordinate</w:t>
      </w:r>
      <w:r>
        <w:rPr>
          <w:color w:val="231F20"/>
          <w:spacing w:val="3"/>
          <w:sz w:val="19"/>
        </w:rPr>
        <w:t> </w:t>
      </w:r>
      <w:r>
        <w:rPr>
          <w:color w:val="231F20"/>
          <w:sz w:val="19"/>
        </w:rPr>
        <w:t>goal,</w:t>
      </w:r>
      <w:r>
        <w:rPr>
          <w:color w:val="231F20"/>
          <w:spacing w:val="4"/>
          <w:sz w:val="19"/>
        </w:rPr>
        <w:t> </w:t>
      </w:r>
      <w:r>
        <w:rPr>
          <w:color w:val="231F20"/>
          <w:spacing w:val="-5"/>
          <w:sz w:val="19"/>
        </w:rPr>
        <w:t>329</w:t>
      </w:r>
    </w:p>
    <w:p>
      <w:pPr>
        <w:spacing w:line="259" w:lineRule="auto" w:before="17"/>
        <w:ind w:left="427" w:right="1079" w:firstLine="0"/>
        <w:jc w:val="left"/>
        <w:rPr>
          <w:sz w:val="19"/>
        </w:rPr>
      </w:pPr>
      <w:r>
        <w:rPr>
          <w:color w:val="231F20"/>
          <w:sz w:val="19"/>
        </w:rPr>
        <w:t>supply and demand, 289</w:t>
      </w:r>
      <w:r>
        <w:rPr>
          <w:color w:val="231F20"/>
          <w:spacing w:val="-9"/>
          <w:sz w:val="19"/>
        </w:rPr>
        <w:t> </w:t>
      </w:r>
      <w:r>
        <w:rPr>
          <w:color w:val="231F20"/>
          <w:sz w:val="19"/>
        </w:rPr>
        <w:t>–</w:t>
      </w:r>
      <w:r>
        <w:rPr>
          <w:color w:val="231F20"/>
          <w:spacing w:val="-9"/>
          <w:sz w:val="19"/>
        </w:rPr>
        <w:t> </w:t>
      </w:r>
      <w:r>
        <w:rPr>
          <w:color w:val="231F20"/>
          <w:sz w:val="19"/>
        </w:rPr>
        <w:t>90 supply chain management, 269 supply-side</w:t>
      </w:r>
      <w:r>
        <w:rPr>
          <w:color w:val="231F20"/>
          <w:spacing w:val="-8"/>
          <w:sz w:val="19"/>
        </w:rPr>
        <w:t> </w:t>
      </w:r>
      <w:r>
        <w:rPr>
          <w:color w:val="231F20"/>
          <w:sz w:val="19"/>
        </w:rPr>
        <w:t>economics,</w:t>
      </w:r>
      <w:r>
        <w:rPr>
          <w:color w:val="231F20"/>
          <w:spacing w:val="-1"/>
          <w:sz w:val="19"/>
        </w:rPr>
        <w:t> </w:t>
      </w:r>
      <w:r>
        <w:rPr>
          <w:color w:val="231F20"/>
          <w:sz w:val="19"/>
        </w:rPr>
        <w:t>311</w:t>
      </w:r>
      <w:r>
        <w:rPr>
          <w:color w:val="231F20"/>
          <w:spacing w:val="-23"/>
          <w:sz w:val="19"/>
        </w:rPr>
        <w:t> </w:t>
      </w:r>
      <w:r>
        <w:rPr>
          <w:color w:val="231F20"/>
          <w:sz w:val="19"/>
        </w:rPr>
        <w:t>–</w:t>
      </w:r>
      <w:r>
        <w:rPr>
          <w:color w:val="231F20"/>
          <w:spacing w:val="-23"/>
          <w:sz w:val="19"/>
        </w:rPr>
        <w:t> </w:t>
      </w:r>
      <w:r>
        <w:rPr>
          <w:color w:val="231F20"/>
          <w:spacing w:val="-5"/>
          <w:sz w:val="19"/>
        </w:rPr>
        <w:t>12</w:t>
      </w:r>
    </w:p>
    <w:p>
      <w:pPr>
        <w:spacing w:line="221" w:lineRule="exact" w:before="0"/>
        <w:ind w:left="427" w:right="0" w:firstLine="0"/>
        <w:jc w:val="left"/>
        <w:rPr>
          <w:sz w:val="19"/>
        </w:rPr>
      </w:pPr>
      <w:r>
        <w:rPr>
          <w:color w:val="231F20"/>
          <w:sz w:val="19"/>
        </w:rPr>
        <w:t>SWOT</w:t>
      </w:r>
      <w:r>
        <w:rPr>
          <w:color w:val="231F20"/>
          <w:spacing w:val="32"/>
          <w:sz w:val="19"/>
        </w:rPr>
        <w:t> </w:t>
      </w:r>
      <w:r>
        <w:rPr>
          <w:color w:val="231F20"/>
          <w:sz w:val="19"/>
        </w:rPr>
        <w:t>analysis,</w:t>
      </w:r>
      <w:r>
        <w:rPr>
          <w:color w:val="231F20"/>
          <w:spacing w:val="32"/>
          <w:sz w:val="19"/>
        </w:rPr>
        <w:t> </w:t>
      </w:r>
      <w:r>
        <w:rPr>
          <w:color w:val="231F20"/>
          <w:sz w:val="19"/>
        </w:rPr>
        <w:t>21</w:t>
      </w:r>
      <w:r>
        <w:rPr>
          <w:color w:val="231F20"/>
          <w:spacing w:val="-15"/>
          <w:sz w:val="19"/>
        </w:rPr>
        <w:t> </w:t>
      </w:r>
      <w:r>
        <w:rPr>
          <w:color w:val="231F20"/>
          <w:sz w:val="19"/>
        </w:rPr>
        <w:t>–</w:t>
      </w:r>
      <w:r>
        <w:rPr>
          <w:color w:val="231F20"/>
          <w:spacing w:val="-15"/>
          <w:sz w:val="19"/>
        </w:rPr>
        <w:t> </w:t>
      </w:r>
      <w:r>
        <w:rPr>
          <w:color w:val="231F20"/>
          <w:spacing w:val="-5"/>
          <w:sz w:val="19"/>
        </w:rPr>
        <w:t>22</w:t>
      </w:r>
    </w:p>
    <w:p>
      <w:pPr>
        <w:spacing w:before="18"/>
        <w:ind w:left="427" w:right="0" w:firstLine="0"/>
        <w:jc w:val="left"/>
        <w:rPr>
          <w:sz w:val="19"/>
        </w:rPr>
      </w:pPr>
      <w:r>
        <w:rPr>
          <w:color w:val="231F20"/>
          <w:spacing w:val="-2"/>
          <w:sz w:val="19"/>
        </w:rPr>
        <w:t>synergy,</w:t>
      </w:r>
      <w:r>
        <w:rPr>
          <w:color w:val="231F20"/>
          <w:spacing w:val="3"/>
          <w:sz w:val="19"/>
        </w:rPr>
        <w:t> </w:t>
      </w:r>
      <w:r>
        <w:rPr>
          <w:color w:val="231F20"/>
          <w:spacing w:val="-2"/>
          <w:sz w:val="19"/>
        </w:rPr>
        <w:t>358</w:t>
      </w:r>
      <w:r>
        <w:rPr>
          <w:color w:val="231F20"/>
          <w:spacing w:val="-23"/>
          <w:sz w:val="19"/>
        </w:rPr>
        <w:t> </w:t>
      </w:r>
      <w:r>
        <w:rPr>
          <w:color w:val="231F20"/>
          <w:spacing w:val="-2"/>
          <w:sz w:val="19"/>
        </w:rPr>
        <w:t>–</w:t>
      </w:r>
      <w:r>
        <w:rPr>
          <w:color w:val="231F20"/>
          <w:spacing w:val="-23"/>
          <w:sz w:val="19"/>
        </w:rPr>
        <w:t> </w:t>
      </w:r>
      <w:r>
        <w:rPr>
          <w:color w:val="231F20"/>
          <w:spacing w:val="-5"/>
          <w:sz w:val="19"/>
        </w:rPr>
        <w:t>60</w:t>
      </w:r>
    </w:p>
    <w:p>
      <w:pPr>
        <w:spacing w:before="17"/>
        <w:ind w:left="427" w:right="0" w:firstLine="0"/>
        <w:jc w:val="left"/>
        <w:rPr>
          <w:sz w:val="19"/>
        </w:rPr>
      </w:pPr>
      <w:r>
        <w:rPr>
          <w:color w:val="231F20"/>
          <w:sz w:val="19"/>
        </w:rPr>
        <w:t>systematic risk,</w:t>
      </w:r>
      <w:r>
        <w:rPr>
          <w:color w:val="231F20"/>
          <w:spacing w:val="1"/>
          <w:sz w:val="19"/>
        </w:rPr>
        <w:t> </w:t>
      </w:r>
      <w:r>
        <w:rPr>
          <w:color w:val="231F20"/>
          <w:spacing w:val="-5"/>
          <w:sz w:val="19"/>
        </w:rPr>
        <w:t>204</w:t>
      </w:r>
    </w:p>
    <w:p>
      <w:pPr>
        <w:spacing w:before="17"/>
        <w:ind w:left="427" w:right="0" w:firstLine="0"/>
        <w:jc w:val="left"/>
        <w:rPr>
          <w:sz w:val="19"/>
        </w:rPr>
      </w:pPr>
      <w:r>
        <w:rPr>
          <w:color w:val="231F20"/>
          <w:w w:val="95"/>
          <w:sz w:val="19"/>
        </w:rPr>
        <w:t>systems</w:t>
      </w:r>
      <w:r>
        <w:rPr>
          <w:color w:val="231F20"/>
          <w:spacing w:val="20"/>
          <w:sz w:val="19"/>
        </w:rPr>
        <w:t> </w:t>
      </w:r>
      <w:r>
        <w:rPr>
          <w:color w:val="231F20"/>
          <w:w w:val="95"/>
          <w:sz w:val="19"/>
        </w:rPr>
        <w:t>theory,</w:t>
      </w:r>
      <w:r>
        <w:rPr>
          <w:color w:val="231F20"/>
          <w:spacing w:val="20"/>
          <w:sz w:val="19"/>
        </w:rPr>
        <w:t> </w:t>
      </w:r>
      <w:r>
        <w:rPr>
          <w:color w:val="231F20"/>
          <w:w w:val="95"/>
          <w:sz w:val="19"/>
        </w:rPr>
        <w:t>151</w:t>
      </w:r>
      <w:r>
        <w:rPr>
          <w:color w:val="231F20"/>
          <w:spacing w:val="-17"/>
          <w:w w:val="95"/>
          <w:sz w:val="19"/>
        </w:rPr>
        <w:t> </w:t>
      </w:r>
      <w:r>
        <w:rPr>
          <w:color w:val="231F20"/>
          <w:w w:val="95"/>
          <w:sz w:val="19"/>
        </w:rPr>
        <w:t>–</w:t>
      </w:r>
      <w:r>
        <w:rPr>
          <w:color w:val="231F20"/>
          <w:spacing w:val="-18"/>
          <w:w w:val="95"/>
          <w:sz w:val="19"/>
        </w:rPr>
        <w:t> </w:t>
      </w:r>
      <w:r>
        <w:rPr>
          <w:color w:val="231F20"/>
          <w:spacing w:val="-5"/>
          <w:w w:val="95"/>
          <w:sz w:val="19"/>
        </w:rPr>
        <w:t>53</w:t>
      </w:r>
    </w:p>
    <w:p>
      <w:pPr>
        <w:spacing w:after="0"/>
        <w:jc w:val="left"/>
        <w:rPr>
          <w:sz w:val="19"/>
        </w:rPr>
        <w:sectPr>
          <w:type w:val="continuous"/>
          <w:pgSz w:w="8640" w:h="12960"/>
          <w:pgMar w:header="732" w:footer="0" w:top="1220" w:bottom="280" w:left="740" w:right="480"/>
          <w:cols w:num="2" w:equalWidth="0">
            <w:col w:w="3278" w:space="40"/>
            <w:col w:w="4102"/>
          </w:cols>
        </w:sectPr>
      </w:pPr>
    </w:p>
    <w:p>
      <w:pPr>
        <w:pStyle w:val="BodyText"/>
        <w:spacing w:before="9"/>
        <w:rPr>
          <w:sz w:val="26"/>
        </w:rPr>
      </w:pPr>
    </w:p>
    <w:tbl>
      <w:tblPr>
        <w:tblW w:w="0" w:type="auto"/>
        <w:jc w:val="left"/>
        <w:tblInd w:w="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39"/>
        <w:gridCol w:w="2804"/>
      </w:tblGrid>
      <w:tr>
        <w:trPr>
          <w:trHeight w:val="231" w:hRule="atLeast"/>
        </w:trPr>
        <w:tc>
          <w:tcPr>
            <w:tcW w:w="3139" w:type="dxa"/>
          </w:tcPr>
          <w:p>
            <w:pPr>
              <w:pStyle w:val="TableParagraph"/>
              <w:spacing w:line="211" w:lineRule="exact" w:before="0"/>
              <w:ind w:left="50"/>
              <w:jc w:val="left"/>
              <w:rPr>
                <w:sz w:val="19"/>
              </w:rPr>
            </w:pPr>
            <w:r>
              <w:rPr>
                <w:color w:val="231F20"/>
                <w:w w:val="105"/>
                <w:sz w:val="19"/>
              </w:rPr>
              <w:t>Taguchi,</w:t>
            </w:r>
            <w:r>
              <w:rPr>
                <w:color w:val="231F20"/>
                <w:spacing w:val="-3"/>
                <w:w w:val="105"/>
                <w:sz w:val="19"/>
              </w:rPr>
              <w:t> </w:t>
            </w:r>
            <w:r>
              <w:rPr>
                <w:color w:val="231F20"/>
                <w:w w:val="105"/>
                <w:sz w:val="19"/>
              </w:rPr>
              <w:t>Genichi,</w:t>
            </w:r>
            <w:r>
              <w:rPr>
                <w:color w:val="231F20"/>
                <w:spacing w:val="-2"/>
                <w:w w:val="105"/>
                <w:sz w:val="19"/>
              </w:rPr>
              <w:t> </w:t>
            </w:r>
            <w:r>
              <w:rPr>
                <w:color w:val="231F20"/>
                <w:spacing w:val="-5"/>
                <w:w w:val="105"/>
                <w:sz w:val="19"/>
              </w:rPr>
              <w:t>279</w:t>
            </w:r>
          </w:p>
        </w:tc>
        <w:tc>
          <w:tcPr>
            <w:tcW w:w="2804" w:type="dxa"/>
          </w:tcPr>
          <w:p>
            <w:pPr>
              <w:pStyle w:val="TableParagraph"/>
              <w:spacing w:line="211" w:lineRule="exact" w:before="0"/>
              <w:ind w:left="136"/>
              <w:jc w:val="left"/>
              <w:rPr>
                <w:sz w:val="19"/>
              </w:rPr>
            </w:pPr>
            <w:r>
              <w:rPr>
                <w:color w:val="231F20"/>
                <w:sz w:val="19"/>
              </w:rPr>
              <w:t>value</w:t>
            </w:r>
            <w:r>
              <w:rPr>
                <w:color w:val="231F20"/>
                <w:spacing w:val="12"/>
                <w:sz w:val="19"/>
              </w:rPr>
              <w:t> </w:t>
            </w:r>
            <w:r>
              <w:rPr>
                <w:color w:val="231F20"/>
                <w:sz w:val="19"/>
              </w:rPr>
              <w:t>chain,</w:t>
            </w:r>
            <w:r>
              <w:rPr>
                <w:color w:val="231F20"/>
                <w:spacing w:val="12"/>
                <w:sz w:val="19"/>
              </w:rPr>
              <w:t> </w:t>
            </w:r>
            <w:r>
              <w:rPr>
                <w:color w:val="231F20"/>
                <w:sz w:val="19"/>
              </w:rPr>
              <w:t>331</w:t>
            </w:r>
            <w:r>
              <w:rPr>
                <w:color w:val="231F20"/>
                <w:spacing w:val="-23"/>
                <w:sz w:val="19"/>
              </w:rPr>
              <w:t> </w:t>
            </w:r>
            <w:r>
              <w:rPr>
                <w:color w:val="231F20"/>
                <w:sz w:val="19"/>
              </w:rPr>
              <w:t>–</w:t>
            </w:r>
            <w:r>
              <w:rPr>
                <w:color w:val="231F20"/>
                <w:spacing w:val="-22"/>
                <w:sz w:val="19"/>
              </w:rPr>
              <w:t> </w:t>
            </w:r>
            <w:r>
              <w:rPr>
                <w:color w:val="231F20"/>
                <w:spacing w:val="-5"/>
                <w:sz w:val="19"/>
              </w:rPr>
              <w:t>33</w:t>
            </w:r>
          </w:p>
        </w:tc>
      </w:tr>
      <w:tr>
        <w:trPr>
          <w:trHeight w:val="240" w:hRule="atLeast"/>
        </w:trPr>
        <w:tc>
          <w:tcPr>
            <w:tcW w:w="3139" w:type="dxa"/>
          </w:tcPr>
          <w:p>
            <w:pPr>
              <w:pStyle w:val="TableParagraph"/>
              <w:spacing w:line="213" w:lineRule="exact" w:before="7"/>
              <w:ind w:left="50"/>
              <w:jc w:val="left"/>
              <w:rPr>
                <w:sz w:val="19"/>
              </w:rPr>
            </w:pPr>
            <w:r>
              <w:rPr>
                <w:color w:val="231F20"/>
                <w:sz w:val="19"/>
              </w:rPr>
              <w:t>takeovers,</w:t>
            </w:r>
            <w:r>
              <w:rPr>
                <w:color w:val="231F20"/>
                <w:spacing w:val="1"/>
                <w:sz w:val="19"/>
              </w:rPr>
              <w:t> </w:t>
            </w:r>
            <w:r>
              <w:rPr>
                <w:color w:val="231F20"/>
                <w:spacing w:val="-5"/>
                <w:sz w:val="19"/>
              </w:rPr>
              <w:t>244</w:t>
            </w:r>
          </w:p>
        </w:tc>
        <w:tc>
          <w:tcPr>
            <w:tcW w:w="2804" w:type="dxa"/>
          </w:tcPr>
          <w:p>
            <w:pPr>
              <w:pStyle w:val="TableParagraph"/>
              <w:spacing w:line="212" w:lineRule="exact" w:before="7"/>
              <w:ind w:left="136"/>
              <w:jc w:val="left"/>
              <w:rPr>
                <w:sz w:val="19"/>
              </w:rPr>
            </w:pPr>
            <w:r>
              <w:rPr>
                <w:color w:val="231F20"/>
                <w:sz w:val="19"/>
              </w:rPr>
              <w:t>Value</w:t>
            </w:r>
            <w:r>
              <w:rPr>
                <w:color w:val="231F20"/>
                <w:spacing w:val="16"/>
                <w:sz w:val="19"/>
              </w:rPr>
              <w:t> </w:t>
            </w:r>
            <w:r>
              <w:rPr>
                <w:color w:val="231F20"/>
                <w:sz w:val="19"/>
              </w:rPr>
              <w:t>Line,</w:t>
            </w:r>
            <w:r>
              <w:rPr>
                <w:color w:val="231F20"/>
                <w:spacing w:val="17"/>
                <w:sz w:val="19"/>
              </w:rPr>
              <w:t> </w:t>
            </w:r>
            <w:r>
              <w:rPr>
                <w:color w:val="231F20"/>
                <w:spacing w:val="-5"/>
                <w:sz w:val="19"/>
              </w:rPr>
              <w:t>207</w:t>
            </w:r>
          </w:p>
        </w:tc>
      </w:tr>
      <w:tr>
        <w:trPr>
          <w:trHeight w:val="240" w:hRule="atLeast"/>
        </w:trPr>
        <w:tc>
          <w:tcPr>
            <w:tcW w:w="3139" w:type="dxa"/>
          </w:tcPr>
          <w:p>
            <w:pPr>
              <w:pStyle w:val="TableParagraph"/>
              <w:spacing w:line="213" w:lineRule="exact" w:before="7"/>
              <w:ind w:left="50"/>
              <w:jc w:val="left"/>
              <w:rPr>
                <w:sz w:val="19"/>
              </w:rPr>
            </w:pPr>
            <w:r>
              <w:rPr>
                <w:color w:val="231F20"/>
                <w:sz w:val="19"/>
              </w:rPr>
              <w:t>tax</w:t>
            </w:r>
            <w:r>
              <w:rPr>
                <w:color w:val="231F20"/>
                <w:spacing w:val="17"/>
                <w:sz w:val="19"/>
              </w:rPr>
              <w:t> </w:t>
            </w:r>
            <w:r>
              <w:rPr>
                <w:color w:val="231F20"/>
                <w:sz w:val="19"/>
              </w:rPr>
              <w:t>shield,</w:t>
            </w:r>
            <w:r>
              <w:rPr>
                <w:color w:val="231F20"/>
                <w:spacing w:val="17"/>
                <w:sz w:val="19"/>
              </w:rPr>
              <w:t> </w:t>
            </w:r>
            <w:r>
              <w:rPr>
                <w:color w:val="231F20"/>
                <w:spacing w:val="-5"/>
                <w:sz w:val="19"/>
              </w:rPr>
              <w:t>233</w:t>
            </w:r>
          </w:p>
        </w:tc>
        <w:tc>
          <w:tcPr>
            <w:tcW w:w="2804" w:type="dxa"/>
          </w:tcPr>
          <w:p>
            <w:pPr>
              <w:pStyle w:val="TableParagraph"/>
              <w:spacing w:line="212" w:lineRule="exact" w:before="7"/>
              <w:ind w:left="136"/>
              <w:jc w:val="left"/>
              <w:rPr>
                <w:sz w:val="19"/>
              </w:rPr>
            </w:pPr>
            <w:r>
              <w:rPr>
                <w:color w:val="231F20"/>
                <w:sz w:val="19"/>
              </w:rPr>
              <w:t>variable</w:t>
            </w:r>
            <w:r>
              <w:rPr>
                <w:color w:val="231F20"/>
                <w:spacing w:val="6"/>
                <w:sz w:val="19"/>
              </w:rPr>
              <w:t> </w:t>
            </w:r>
            <w:r>
              <w:rPr>
                <w:color w:val="231F20"/>
                <w:sz w:val="19"/>
              </w:rPr>
              <w:t>costs,</w:t>
            </w:r>
            <w:r>
              <w:rPr>
                <w:color w:val="231F20"/>
                <w:spacing w:val="7"/>
                <w:sz w:val="19"/>
              </w:rPr>
              <w:t> </w:t>
            </w:r>
            <w:r>
              <w:rPr>
                <w:color w:val="231F20"/>
                <w:spacing w:val="-5"/>
                <w:sz w:val="19"/>
              </w:rPr>
              <w:t>51</w:t>
            </w:r>
          </w:p>
        </w:tc>
      </w:tr>
      <w:tr>
        <w:trPr>
          <w:trHeight w:val="240" w:hRule="atLeast"/>
        </w:trPr>
        <w:tc>
          <w:tcPr>
            <w:tcW w:w="3139" w:type="dxa"/>
          </w:tcPr>
          <w:p>
            <w:pPr>
              <w:pStyle w:val="TableParagraph"/>
              <w:spacing w:line="213" w:lineRule="exact" w:before="7"/>
              <w:ind w:left="50"/>
              <w:jc w:val="left"/>
              <w:rPr>
                <w:sz w:val="19"/>
              </w:rPr>
            </w:pPr>
            <w:r>
              <w:rPr>
                <w:color w:val="231F20"/>
                <w:sz w:val="19"/>
              </w:rPr>
              <w:t>Taylor,</w:t>
            </w:r>
            <w:r>
              <w:rPr>
                <w:color w:val="231F20"/>
                <w:spacing w:val="-2"/>
                <w:sz w:val="19"/>
              </w:rPr>
              <w:t> </w:t>
            </w:r>
            <w:r>
              <w:rPr>
                <w:color w:val="231F20"/>
                <w:sz w:val="19"/>
              </w:rPr>
              <w:t>Frederick,</w:t>
            </w:r>
            <w:r>
              <w:rPr>
                <w:color w:val="231F20"/>
                <w:spacing w:val="4"/>
                <w:sz w:val="19"/>
              </w:rPr>
              <w:t> </w:t>
            </w:r>
            <w:r>
              <w:rPr>
                <w:color w:val="231F20"/>
                <w:sz w:val="19"/>
              </w:rPr>
              <w:t>256</w:t>
            </w:r>
            <w:r>
              <w:rPr>
                <w:color w:val="231F20"/>
                <w:spacing w:val="-23"/>
                <w:sz w:val="19"/>
              </w:rPr>
              <w:t> </w:t>
            </w:r>
            <w:r>
              <w:rPr>
                <w:color w:val="231F20"/>
                <w:sz w:val="19"/>
              </w:rPr>
              <w:t>–</w:t>
            </w:r>
            <w:r>
              <w:rPr>
                <w:color w:val="231F20"/>
                <w:spacing w:val="-23"/>
                <w:sz w:val="19"/>
              </w:rPr>
              <w:t> </w:t>
            </w:r>
            <w:r>
              <w:rPr>
                <w:color w:val="231F20"/>
                <w:spacing w:val="-5"/>
                <w:sz w:val="19"/>
              </w:rPr>
              <w:t>57</w:t>
            </w:r>
          </w:p>
        </w:tc>
        <w:tc>
          <w:tcPr>
            <w:tcW w:w="2804" w:type="dxa"/>
          </w:tcPr>
          <w:p>
            <w:pPr>
              <w:pStyle w:val="TableParagraph"/>
              <w:spacing w:line="212" w:lineRule="exact" w:before="7"/>
              <w:ind w:left="136"/>
              <w:jc w:val="left"/>
              <w:rPr>
                <w:sz w:val="19"/>
              </w:rPr>
            </w:pPr>
            <w:r>
              <w:rPr>
                <w:color w:val="231F20"/>
                <w:sz w:val="19"/>
              </w:rPr>
              <w:t>variance</w:t>
            </w:r>
            <w:r>
              <w:rPr>
                <w:color w:val="231F20"/>
                <w:spacing w:val="1"/>
                <w:sz w:val="19"/>
              </w:rPr>
              <w:t> </w:t>
            </w:r>
            <w:r>
              <w:rPr>
                <w:color w:val="231F20"/>
                <w:sz w:val="19"/>
              </w:rPr>
              <w:t>analysis,</w:t>
            </w:r>
            <w:r>
              <w:rPr>
                <w:color w:val="231F20"/>
                <w:spacing w:val="5"/>
                <w:sz w:val="19"/>
              </w:rPr>
              <w:t> </w:t>
            </w:r>
            <w:r>
              <w:rPr>
                <w:color w:val="231F20"/>
                <w:sz w:val="19"/>
              </w:rPr>
              <w:t>111</w:t>
            </w:r>
            <w:r>
              <w:rPr>
                <w:color w:val="231F20"/>
                <w:spacing w:val="-23"/>
                <w:sz w:val="19"/>
              </w:rPr>
              <w:t> </w:t>
            </w:r>
            <w:r>
              <w:rPr>
                <w:color w:val="231F20"/>
                <w:sz w:val="19"/>
              </w:rPr>
              <w:t>–</w:t>
            </w:r>
            <w:r>
              <w:rPr>
                <w:color w:val="231F20"/>
                <w:spacing w:val="-23"/>
                <w:sz w:val="19"/>
              </w:rPr>
              <w:t> </w:t>
            </w:r>
            <w:r>
              <w:rPr>
                <w:color w:val="231F20"/>
                <w:spacing w:val="-5"/>
                <w:sz w:val="19"/>
              </w:rPr>
              <w:t>14</w:t>
            </w:r>
          </w:p>
        </w:tc>
      </w:tr>
      <w:tr>
        <w:trPr>
          <w:trHeight w:val="240" w:hRule="atLeast"/>
        </w:trPr>
        <w:tc>
          <w:tcPr>
            <w:tcW w:w="3139" w:type="dxa"/>
          </w:tcPr>
          <w:p>
            <w:pPr>
              <w:pStyle w:val="TableParagraph"/>
              <w:spacing w:line="213" w:lineRule="exact" w:before="7"/>
              <w:ind w:left="50"/>
              <w:jc w:val="left"/>
              <w:rPr>
                <w:sz w:val="19"/>
              </w:rPr>
            </w:pPr>
            <w:r>
              <w:rPr>
                <w:color w:val="231F20"/>
                <w:sz w:val="19"/>
              </w:rPr>
              <w:t>technical</w:t>
            </w:r>
            <w:r>
              <w:rPr>
                <w:color w:val="231F20"/>
                <w:spacing w:val="6"/>
                <w:sz w:val="19"/>
              </w:rPr>
              <w:t> </w:t>
            </w:r>
            <w:r>
              <w:rPr>
                <w:color w:val="231F20"/>
                <w:sz w:val="19"/>
              </w:rPr>
              <w:t>analysis,</w:t>
            </w:r>
            <w:r>
              <w:rPr>
                <w:color w:val="231F20"/>
                <w:spacing w:val="6"/>
                <w:sz w:val="19"/>
              </w:rPr>
              <w:t> </w:t>
            </w:r>
            <w:r>
              <w:rPr>
                <w:color w:val="231F20"/>
                <w:spacing w:val="-5"/>
                <w:sz w:val="19"/>
              </w:rPr>
              <w:t>210</w:t>
            </w:r>
          </w:p>
        </w:tc>
        <w:tc>
          <w:tcPr>
            <w:tcW w:w="2804" w:type="dxa"/>
          </w:tcPr>
          <w:p>
            <w:pPr>
              <w:pStyle w:val="TableParagraph"/>
              <w:spacing w:line="212" w:lineRule="exact" w:before="7"/>
              <w:ind w:left="136"/>
              <w:jc w:val="left"/>
              <w:rPr>
                <w:sz w:val="19"/>
              </w:rPr>
            </w:pPr>
            <w:r>
              <w:rPr>
                <w:color w:val="231F20"/>
                <w:w w:val="110"/>
                <w:sz w:val="19"/>
              </w:rPr>
              <w:t>VCM</w:t>
            </w:r>
            <w:r>
              <w:rPr>
                <w:color w:val="231F20"/>
                <w:spacing w:val="24"/>
                <w:w w:val="110"/>
                <w:sz w:val="19"/>
              </w:rPr>
              <w:t> </w:t>
            </w:r>
            <w:r>
              <w:rPr>
                <w:color w:val="231F20"/>
                <w:w w:val="110"/>
                <w:sz w:val="19"/>
              </w:rPr>
              <w:t>Model,</w:t>
            </w:r>
            <w:r>
              <w:rPr>
                <w:color w:val="231F20"/>
                <w:spacing w:val="25"/>
                <w:w w:val="110"/>
                <w:sz w:val="19"/>
              </w:rPr>
              <w:t> </w:t>
            </w:r>
            <w:r>
              <w:rPr>
                <w:color w:val="231F20"/>
                <w:spacing w:val="-5"/>
                <w:w w:val="110"/>
                <w:sz w:val="19"/>
              </w:rPr>
              <w:t>130</w:t>
            </w:r>
          </w:p>
        </w:tc>
      </w:tr>
      <w:tr>
        <w:trPr>
          <w:trHeight w:val="240" w:hRule="atLeast"/>
        </w:trPr>
        <w:tc>
          <w:tcPr>
            <w:tcW w:w="3139" w:type="dxa"/>
          </w:tcPr>
          <w:p>
            <w:pPr>
              <w:pStyle w:val="TableParagraph"/>
              <w:spacing w:line="213" w:lineRule="exact" w:before="7"/>
              <w:ind w:left="50"/>
              <w:jc w:val="left"/>
              <w:rPr>
                <w:sz w:val="19"/>
              </w:rPr>
            </w:pPr>
            <w:r>
              <w:rPr>
                <w:color w:val="231F20"/>
                <w:sz w:val="19"/>
              </w:rPr>
              <w:t>terminal</w:t>
            </w:r>
            <w:r>
              <w:rPr>
                <w:color w:val="231F20"/>
                <w:spacing w:val="1"/>
                <w:sz w:val="19"/>
              </w:rPr>
              <w:t> </w:t>
            </w:r>
            <w:r>
              <w:rPr>
                <w:color w:val="231F20"/>
                <w:sz w:val="19"/>
              </w:rPr>
              <w:t>values,</w:t>
            </w:r>
            <w:r>
              <w:rPr>
                <w:color w:val="231F20"/>
                <w:spacing w:val="5"/>
                <w:sz w:val="19"/>
              </w:rPr>
              <w:t> </w:t>
            </w:r>
            <w:r>
              <w:rPr>
                <w:color w:val="231F20"/>
                <w:sz w:val="19"/>
              </w:rPr>
              <w:t>248</w:t>
            </w:r>
            <w:r>
              <w:rPr>
                <w:color w:val="231F20"/>
                <w:spacing w:val="-23"/>
                <w:sz w:val="19"/>
              </w:rPr>
              <w:t> </w:t>
            </w:r>
            <w:r>
              <w:rPr>
                <w:color w:val="231F20"/>
                <w:sz w:val="19"/>
              </w:rPr>
              <w:t>–</w:t>
            </w:r>
            <w:r>
              <w:rPr>
                <w:color w:val="231F20"/>
                <w:spacing w:val="-23"/>
                <w:sz w:val="19"/>
              </w:rPr>
              <w:t> </w:t>
            </w:r>
            <w:r>
              <w:rPr>
                <w:color w:val="231F20"/>
                <w:spacing w:val="-5"/>
                <w:sz w:val="19"/>
              </w:rPr>
              <w:t>49</w:t>
            </w:r>
          </w:p>
        </w:tc>
        <w:tc>
          <w:tcPr>
            <w:tcW w:w="2804" w:type="dxa"/>
          </w:tcPr>
          <w:p>
            <w:pPr>
              <w:pStyle w:val="TableParagraph"/>
              <w:spacing w:line="212" w:lineRule="exact" w:before="7"/>
              <w:ind w:left="136"/>
              <w:jc w:val="left"/>
              <w:rPr>
                <w:sz w:val="19"/>
              </w:rPr>
            </w:pPr>
            <w:r>
              <w:rPr>
                <w:color w:val="231F20"/>
                <w:sz w:val="19"/>
              </w:rPr>
              <w:t>viral</w:t>
            </w:r>
            <w:r>
              <w:rPr>
                <w:color w:val="231F20"/>
                <w:spacing w:val="12"/>
                <w:sz w:val="19"/>
              </w:rPr>
              <w:t> </w:t>
            </w:r>
            <w:r>
              <w:rPr>
                <w:color w:val="231F20"/>
                <w:sz w:val="19"/>
              </w:rPr>
              <w:t>marketing,</w:t>
            </w:r>
            <w:r>
              <w:rPr>
                <w:color w:val="231F20"/>
                <w:spacing w:val="13"/>
                <w:sz w:val="19"/>
              </w:rPr>
              <w:t> </w:t>
            </w:r>
            <w:r>
              <w:rPr>
                <w:color w:val="231F20"/>
                <w:spacing w:val="-5"/>
                <w:sz w:val="19"/>
              </w:rPr>
              <w:t>45</w:t>
            </w:r>
          </w:p>
        </w:tc>
      </w:tr>
      <w:tr>
        <w:trPr>
          <w:trHeight w:val="240" w:hRule="atLeast"/>
        </w:trPr>
        <w:tc>
          <w:tcPr>
            <w:tcW w:w="3139" w:type="dxa"/>
          </w:tcPr>
          <w:p>
            <w:pPr>
              <w:pStyle w:val="TableParagraph"/>
              <w:spacing w:line="213" w:lineRule="exact" w:before="7"/>
              <w:ind w:left="50"/>
              <w:jc w:val="left"/>
              <w:rPr>
                <w:sz w:val="19"/>
              </w:rPr>
            </w:pPr>
            <w:r>
              <w:rPr>
                <w:color w:val="231F20"/>
                <w:w w:val="105"/>
                <w:sz w:val="19"/>
              </w:rPr>
              <w:t>Theory</w:t>
            </w:r>
            <w:r>
              <w:rPr>
                <w:color w:val="231F20"/>
                <w:spacing w:val="-1"/>
                <w:w w:val="105"/>
                <w:sz w:val="19"/>
              </w:rPr>
              <w:t> </w:t>
            </w:r>
            <w:r>
              <w:rPr>
                <w:color w:val="231F20"/>
                <w:w w:val="105"/>
                <w:sz w:val="19"/>
              </w:rPr>
              <w:t>X, Theory Y, and Theory </w:t>
            </w:r>
            <w:r>
              <w:rPr>
                <w:color w:val="231F20"/>
                <w:spacing w:val="-5"/>
                <w:w w:val="105"/>
                <w:sz w:val="19"/>
              </w:rPr>
              <w:t>Z,</w:t>
            </w:r>
          </w:p>
        </w:tc>
        <w:tc>
          <w:tcPr>
            <w:tcW w:w="2804" w:type="dxa"/>
          </w:tcPr>
          <w:p>
            <w:pPr>
              <w:pStyle w:val="TableParagraph"/>
              <w:spacing w:line="212" w:lineRule="exact" w:before="7"/>
              <w:ind w:left="136"/>
              <w:jc w:val="left"/>
              <w:rPr>
                <w:sz w:val="19"/>
              </w:rPr>
            </w:pPr>
            <w:r>
              <w:rPr>
                <w:color w:val="231F20"/>
                <w:sz w:val="19"/>
              </w:rPr>
              <w:t>volatility,</w:t>
            </w:r>
            <w:r>
              <w:rPr>
                <w:color w:val="231F20"/>
                <w:spacing w:val="5"/>
                <w:sz w:val="19"/>
              </w:rPr>
              <w:t> </w:t>
            </w:r>
            <w:r>
              <w:rPr>
                <w:color w:val="231F20"/>
                <w:spacing w:val="-5"/>
                <w:sz w:val="19"/>
              </w:rPr>
              <w:t>204</w:t>
            </w:r>
          </w:p>
        </w:tc>
      </w:tr>
      <w:tr>
        <w:trPr>
          <w:trHeight w:val="240" w:hRule="atLeast"/>
        </w:trPr>
        <w:tc>
          <w:tcPr>
            <w:tcW w:w="3139" w:type="dxa"/>
          </w:tcPr>
          <w:p>
            <w:pPr>
              <w:pStyle w:val="TableParagraph"/>
              <w:spacing w:line="213" w:lineRule="exact" w:before="7"/>
              <w:ind w:left="290"/>
              <w:jc w:val="left"/>
              <w:rPr>
                <w:sz w:val="19"/>
              </w:rPr>
            </w:pPr>
            <w:r>
              <w:rPr>
                <w:color w:val="231F20"/>
                <w:sz w:val="19"/>
              </w:rPr>
              <w:t>258</w:t>
            </w:r>
            <w:r>
              <w:rPr>
                <w:color w:val="231F20"/>
                <w:spacing w:val="-23"/>
                <w:sz w:val="19"/>
              </w:rPr>
              <w:t> </w:t>
            </w:r>
            <w:r>
              <w:rPr>
                <w:color w:val="231F20"/>
                <w:sz w:val="19"/>
              </w:rPr>
              <w:t>–</w:t>
            </w:r>
            <w:r>
              <w:rPr>
                <w:color w:val="231F20"/>
                <w:spacing w:val="-23"/>
                <w:sz w:val="19"/>
              </w:rPr>
              <w:t> </w:t>
            </w:r>
            <w:r>
              <w:rPr>
                <w:color w:val="231F20"/>
                <w:spacing w:val="-5"/>
                <w:sz w:val="19"/>
              </w:rPr>
              <w:t>59</w:t>
            </w:r>
          </w:p>
        </w:tc>
        <w:tc>
          <w:tcPr>
            <w:tcW w:w="2804" w:type="dxa"/>
          </w:tcPr>
          <w:p>
            <w:pPr>
              <w:pStyle w:val="TableParagraph"/>
              <w:spacing w:before="0"/>
              <w:jc w:val="left"/>
              <w:rPr>
                <w:rFonts w:ascii="Times New Roman"/>
                <w:sz w:val="16"/>
              </w:rPr>
            </w:pPr>
          </w:p>
        </w:tc>
      </w:tr>
      <w:tr>
        <w:trPr>
          <w:trHeight w:val="240" w:hRule="atLeast"/>
        </w:trPr>
        <w:tc>
          <w:tcPr>
            <w:tcW w:w="3139" w:type="dxa"/>
          </w:tcPr>
          <w:p>
            <w:pPr>
              <w:pStyle w:val="TableParagraph"/>
              <w:spacing w:line="213" w:lineRule="exact" w:before="7"/>
              <w:ind w:left="50"/>
              <w:jc w:val="left"/>
              <w:rPr>
                <w:sz w:val="19"/>
              </w:rPr>
            </w:pPr>
            <w:r>
              <w:rPr>
                <w:color w:val="231F20"/>
                <w:sz w:val="19"/>
              </w:rPr>
              <w:t>therblig,</w:t>
            </w:r>
            <w:r>
              <w:rPr>
                <w:color w:val="231F20"/>
                <w:spacing w:val="10"/>
                <w:sz w:val="19"/>
              </w:rPr>
              <w:t> </w:t>
            </w:r>
            <w:r>
              <w:rPr>
                <w:color w:val="231F20"/>
                <w:spacing w:val="-5"/>
                <w:sz w:val="19"/>
              </w:rPr>
              <w:t>257</w:t>
            </w:r>
          </w:p>
        </w:tc>
        <w:tc>
          <w:tcPr>
            <w:tcW w:w="2804" w:type="dxa"/>
          </w:tcPr>
          <w:p>
            <w:pPr>
              <w:pStyle w:val="TableParagraph"/>
              <w:spacing w:line="212" w:lineRule="exact" w:before="7"/>
              <w:ind w:left="136"/>
              <w:jc w:val="left"/>
              <w:rPr>
                <w:sz w:val="19"/>
              </w:rPr>
            </w:pPr>
            <w:r>
              <w:rPr>
                <w:color w:val="231F20"/>
                <w:w w:val="105"/>
                <w:sz w:val="19"/>
              </w:rPr>
              <w:t>Want</w:t>
            </w:r>
            <w:r>
              <w:rPr>
                <w:color w:val="231F20"/>
                <w:spacing w:val="4"/>
                <w:w w:val="105"/>
                <w:sz w:val="19"/>
              </w:rPr>
              <w:t> </w:t>
            </w:r>
            <w:r>
              <w:rPr>
                <w:color w:val="231F20"/>
                <w:w w:val="105"/>
                <w:sz w:val="19"/>
              </w:rPr>
              <w:t>Got</w:t>
            </w:r>
            <w:r>
              <w:rPr>
                <w:color w:val="231F20"/>
                <w:spacing w:val="5"/>
                <w:w w:val="105"/>
                <w:sz w:val="19"/>
              </w:rPr>
              <w:t> </w:t>
            </w:r>
            <w:r>
              <w:rPr>
                <w:color w:val="231F20"/>
                <w:w w:val="105"/>
                <w:sz w:val="19"/>
              </w:rPr>
              <w:t>Gaps,</w:t>
            </w:r>
            <w:r>
              <w:rPr>
                <w:color w:val="231F20"/>
                <w:spacing w:val="6"/>
                <w:w w:val="105"/>
                <w:sz w:val="19"/>
              </w:rPr>
              <w:t> </w:t>
            </w:r>
            <w:r>
              <w:rPr>
                <w:color w:val="231F20"/>
                <w:w w:val="105"/>
                <w:sz w:val="19"/>
              </w:rPr>
              <w:t>121</w:t>
            </w:r>
            <w:r>
              <w:rPr>
                <w:color w:val="231F20"/>
                <w:spacing w:val="-25"/>
                <w:w w:val="105"/>
                <w:sz w:val="19"/>
              </w:rPr>
              <w:t> </w:t>
            </w:r>
            <w:r>
              <w:rPr>
                <w:color w:val="231F20"/>
                <w:w w:val="105"/>
                <w:sz w:val="19"/>
              </w:rPr>
              <w:t>–</w:t>
            </w:r>
            <w:r>
              <w:rPr>
                <w:color w:val="231F20"/>
                <w:spacing w:val="-25"/>
                <w:w w:val="105"/>
                <w:sz w:val="19"/>
              </w:rPr>
              <w:t> </w:t>
            </w:r>
            <w:r>
              <w:rPr>
                <w:color w:val="231F20"/>
                <w:spacing w:val="-5"/>
                <w:w w:val="105"/>
                <w:sz w:val="19"/>
              </w:rPr>
              <w:t>22</w:t>
            </w:r>
          </w:p>
        </w:tc>
      </w:tr>
      <w:tr>
        <w:trPr>
          <w:trHeight w:val="240" w:hRule="atLeast"/>
        </w:trPr>
        <w:tc>
          <w:tcPr>
            <w:tcW w:w="3139" w:type="dxa"/>
          </w:tcPr>
          <w:p>
            <w:pPr>
              <w:pStyle w:val="TableParagraph"/>
              <w:spacing w:line="213" w:lineRule="exact" w:before="7"/>
              <w:ind w:left="50"/>
              <w:jc w:val="left"/>
              <w:rPr>
                <w:sz w:val="19"/>
              </w:rPr>
            </w:pPr>
            <w:r>
              <w:rPr>
                <w:color w:val="231F20"/>
                <w:sz w:val="19"/>
              </w:rPr>
              <w:t>time</w:t>
            </w:r>
            <w:r>
              <w:rPr>
                <w:color w:val="231F20"/>
                <w:spacing w:val="5"/>
                <w:sz w:val="19"/>
              </w:rPr>
              <w:t> </w:t>
            </w:r>
            <w:r>
              <w:rPr>
                <w:color w:val="231F20"/>
                <w:sz w:val="19"/>
              </w:rPr>
              <w:t>and</w:t>
            </w:r>
            <w:r>
              <w:rPr>
                <w:color w:val="231F20"/>
                <w:spacing w:val="6"/>
                <w:sz w:val="19"/>
              </w:rPr>
              <w:t> </w:t>
            </w:r>
            <w:r>
              <w:rPr>
                <w:color w:val="231F20"/>
                <w:sz w:val="19"/>
              </w:rPr>
              <w:t>motion</w:t>
            </w:r>
            <w:r>
              <w:rPr>
                <w:color w:val="231F20"/>
                <w:spacing w:val="5"/>
                <w:sz w:val="19"/>
              </w:rPr>
              <w:t> </w:t>
            </w:r>
            <w:r>
              <w:rPr>
                <w:color w:val="231F20"/>
                <w:sz w:val="19"/>
              </w:rPr>
              <w:t>studies,</w:t>
            </w:r>
            <w:r>
              <w:rPr>
                <w:color w:val="231F20"/>
                <w:spacing w:val="6"/>
                <w:sz w:val="19"/>
              </w:rPr>
              <w:t> </w:t>
            </w:r>
            <w:r>
              <w:rPr>
                <w:color w:val="231F20"/>
                <w:spacing w:val="-5"/>
                <w:sz w:val="19"/>
              </w:rPr>
              <w:t>256</w:t>
            </w:r>
          </w:p>
        </w:tc>
        <w:tc>
          <w:tcPr>
            <w:tcW w:w="2804" w:type="dxa"/>
          </w:tcPr>
          <w:p>
            <w:pPr>
              <w:pStyle w:val="TableParagraph"/>
              <w:spacing w:line="212" w:lineRule="exact" w:before="7"/>
              <w:ind w:left="136"/>
              <w:jc w:val="left"/>
              <w:rPr>
                <w:sz w:val="19"/>
              </w:rPr>
            </w:pPr>
            <w:r>
              <w:rPr>
                <w:color w:val="231F20"/>
                <w:sz w:val="19"/>
              </w:rPr>
              <w:t>weighted</w:t>
            </w:r>
            <w:r>
              <w:rPr>
                <w:color w:val="231F20"/>
                <w:spacing w:val="2"/>
                <w:sz w:val="19"/>
              </w:rPr>
              <w:t> </w:t>
            </w:r>
            <w:r>
              <w:rPr>
                <w:color w:val="231F20"/>
                <w:sz w:val="19"/>
              </w:rPr>
              <w:t>average</w:t>
            </w:r>
            <w:r>
              <w:rPr>
                <w:color w:val="231F20"/>
                <w:spacing w:val="2"/>
                <w:sz w:val="19"/>
              </w:rPr>
              <w:t> </w:t>
            </w:r>
            <w:r>
              <w:rPr>
                <w:color w:val="231F20"/>
                <w:sz w:val="19"/>
              </w:rPr>
              <w:t>cost</w:t>
            </w:r>
            <w:r>
              <w:rPr>
                <w:color w:val="231F20"/>
                <w:spacing w:val="2"/>
                <w:sz w:val="19"/>
              </w:rPr>
              <w:t> </w:t>
            </w:r>
            <w:r>
              <w:rPr>
                <w:color w:val="231F20"/>
                <w:sz w:val="19"/>
              </w:rPr>
              <w:t>of</w:t>
            </w:r>
            <w:r>
              <w:rPr>
                <w:color w:val="231F20"/>
                <w:spacing w:val="2"/>
                <w:sz w:val="19"/>
              </w:rPr>
              <w:t> </w:t>
            </w:r>
            <w:r>
              <w:rPr>
                <w:color w:val="231F20"/>
                <w:spacing w:val="-2"/>
                <w:sz w:val="19"/>
              </w:rPr>
              <w:t>capital</w:t>
            </w:r>
          </w:p>
        </w:tc>
      </w:tr>
      <w:tr>
        <w:trPr>
          <w:trHeight w:val="240" w:hRule="atLeast"/>
        </w:trPr>
        <w:tc>
          <w:tcPr>
            <w:tcW w:w="3139" w:type="dxa"/>
          </w:tcPr>
          <w:p>
            <w:pPr>
              <w:pStyle w:val="TableParagraph"/>
              <w:spacing w:line="213" w:lineRule="exact" w:before="7"/>
              <w:ind w:left="50"/>
              <w:jc w:val="left"/>
              <w:rPr>
                <w:sz w:val="19"/>
              </w:rPr>
            </w:pPr>
            <w:r>
              <w:rPr>
                <w:color w:val="231F20"/>
                <w:w w:val="105"/>
                <w:sz w:val="19"/>
              </w:rPr>
              <w:t>Total</w:t>
            </w:r>
            <w:r>
              <w:rPr>
                <w:color w:val="231F20"/>
                <w:spacing w:val="-8"/>
                <w:w w:val="105"/>
                <w:sz w:val="19"/>
              </w:rPr>
              <w:t> </w:t>
            </w:r>
            <w:r>
              <w:rPr>
                <w:color w:val="231F20"/>
                <w:w w:val="105"/>
                <w:sz w:val="19"/>
              </w:rPr>
              <w:t>Quality</w:t>
            </w:r>
            <w:r>
              <w:rPr>
                <w:color w:val="231F20"/>
                <w:spacing w:val="-7"/>
                <w:w w:val="105"/>
                <w:sz w:val="19"/>
              </w:rPr>
              <w:t> </w:t>
            </w:r>
            <w:r>
              <w:rPr>
                <w:color w:val="231F20"/>
                <w:w w:val="105"/>
                <w:sz w:val="19"/>
              </w:rPr>
              <w:t>Management</w:t>
            </w:r>
            <w:r>
              <w:rPr>
                <w:color w:val="231F20"/>
                <w:spacing w:val="-8"/>
                <w:w w:val="105"/>
                <w:sz w:val="19"/>
              </w:rPr>
              <w:t> </w:t>
            </w:r>
            <w:r>
              <w:rPr>
                <w:color w:val="231F20"/>
                <w:spacing w:val="-2"/>
                <w:w w:val="105"/>
                <w:sz w:val="19"/>
              </w:rPr>
              <w:t>(TQM),</w:t>
            </w:r>
          </w:p>
        </w:tc>
        <w:tc>
          <w:tcPr>
            <w:tcW w:w="2804" w:type="dxa"/>
          </w:tcPr>
          <w:p>
            <w:pPr>
              <w:pStyle w:val="TableParagraph"/>
              <w:spacing w:line="212" w:lineRule="exact" w:before="7"/>
              <w:ind w:left="376"/>
              <w:jc w:val="left"/>
              <w:rPr>
                <w:sz w:val="19"/>
              </w:rPr>
            </w:pPr>
            <w:r>
              <w:rPr>
                <w:color w:val="231F20"/>
                <w:w w:val="110"/>
                <w:sz w:val="19"/>
              </w:rPr>
              <w:t>(WACC),</w:t>
            </w:r>
            <w:r>
              <w:rPr>
                <w:color w:val="231F20"/>
                <w:spacing w:val="2"/>
                <w:w w:val="110"/>
                <w:sz w:val="19"/>
              </w:rPr>
              <w:t> </w:t>
            </w:r>
            <w:r>
              <w:rPr>
                <w:color w:val="231F20"/>
                <w:spacing w:val="-5"/>
                <w:w w:val="110"/>
                <w:sz w:val="19"/>
              </w:rPr>
              <w:t>238</w:t>
            </w:r>
          </w:p>
        </w:tc>
      </w:tr>
      <w:tr>
        <w:trPr>
          <w:trHeight w:val="240" w:hRule="atLeast"/>
        </w:trPr>
        <w:tc>
          <w:tcPr>
            <w:tcW w:w="3139" w:type="dxa"/>
          </w:tcPr>
          <w:p>
            <w:pPr>
              <w:pStyle w:val="TableParagraph"/>
              <w:spacing w:line="213" w:lineRule="exact" w:before="7"/>
              <w:ind w:left="290"/>
              <w:jc w:val="left"/>
              <w:rPr>
                <w:sz w:val="19"/>
              </w:rPr>
            </w:pPr>
            <w:r>
              <w:rPr>
                <w:color w:val="231F20"/>
                <w:sz w:val="19"/>
              </w:rPr>
              <w:t>276</w:t>
            </w:r>
            <w:r>
              <w:rPr>
                <w:color w:val="231F20"/>
                <w:spacing w:val="-23"/>
                <w:sz w:val="19"/>
              </w:rPr>
              <w:t> </w:t>
            </w:r>
            <w:r>
              <w:rPr>
                <w:color w:val="231F20"/>
                <w:sz w:val="19"/>
              </w:rPr>
              <w:t>–</w:t>
            </w:r>
            <w:r>
              <w:rPr>
                <w:color w:val="231F20"/>
                <w:spacing w:val="-23"/>
                <w:sz w:val="19"/>
              </w:rPr>
              <w:t> </w:t>
            </w:r>
            <w:r>
              <w:rPr>
                <w:color w:val="231F20"/>
                <w:spacing w:val="-5"/>
                <w:sz w:val="19"/>
              </w:rPr>
              <w:t>78</w:t>
            </w:r>
          </w:p>
        </w:tc>
        <w:tc>
          <w:tcPr>
            <w:tcW w:w="2804" w:type="dxa"/>
          </w:tcPr>
          <w:p>
            <w:pPr>
              <w:pStyle w:val="TableParagraph"/>
              <w:spacing w:line="212" w:lineRule="exact" w:before="7"/>
              <w:ind w:left="136"/>
              <w:jc w:val="left"/>
              <w:rPr>
                <w:sz w:val="19"/>
              </w:rPr>
            </w:pPr>
            <w:r>
              <w:rPr>
                <w:color w:val="231F20"/>
                <w:sz w:val="19"/>
              </w:rPr>
              <w:t>Wilshire</w:t>
            </w:r>
            <w:r>
              <w:rPr>
                <w:color w:val="231F20"/>
                <w:spacing w:val="11"/>
                <w:sz w:val="19"/>
              </w:rPr>
              <w:t> </w:t>
            </w:r>
            <w:r>
              <w:rPr>
                <w:color w:val="231F20"/>
                <w:sz w:val="19"/>
              </w:rPr>
              <w:t>5000,</w:t>
            </w:r>
            <w:r>
              <w:rPr>
                <w:color w:val="231F20"/>
                <w:spacing w:val="12"/>
                <w:sz w:val="19"/>
              </w:rPr>
              <w:t> </w:t>
            </w:r>
            <w:r>
              <w:rPr>
                <w:color w:val="231F20"/>
                <w:spacing w:val="-5"/>
                <w:sz w:val="19"/>
              </w:rPr>
              <w:t>205</w:t>
            </w:r>
          </w:p>
        </w:tc>
      </w:tr>
      <w:tr>
        <w:trPr>
          <w:trHeight w:val="240" w:hRule="atLeast"/>
        </w:trPr>
        <w:tc>
          <w:tcPr>
            <w:tcW w:w="3139" w:type="dxa"/>
          </w:tcPr>
          <w:p>
            <w:pPr>
              <w:pStyle w:val="TableParagraph"/>
              <w:spacing w:line="213" w:lineRule="exact" w:before="7"/>
              <w:ind w:left="50"/>
              <w:jc w:val="left"/>
              <w:rPr>
                <w:sz w:val="19"/>
              </w:rPr>
            </w:pPr>
            <w:r>
              <w:rPr>
                <w:color w:val="231F20"/>
                <w:sz w:val="19"/>
              </w:rPr>
              <w:t>T</w:t>
            </w:r>
            <w:r>
              <w:rPr>
                <w:color w:val="231F20"/>
                <w:spacing w:val="13"/>
                <w:sz w:val="19"/>
              </w:rPr>
              <w:t> </w:t>
            </w:r>
            <w:r>
              <w:rPr>
                <w:color w:val="231F20"/>
                <w:sz w:val="19"/>
              </w:rPr>
              <w:t>statistic,</w:t>
            </w:r>
            <w:r>
              <w:rPr>
                <w:color w:val="231F20"/>
                <w:spacing w:val="13"/>
                <w:sz w:val="19"/>
              </w:rPr>
              <w:t> </w:t>
            </w:r>
            <w:r>
              <w:rPr>
                <w:color w:val="231F20"/>
                <w:spacing w:val="-5"/>
                <w:sz w:val="19"/>
              </w:rPr>
              <w:t>194</w:t>
            </w:r>
          </w:p>
        </w:tc>
        <w:tc>
          <w:tcPr>
            <w:tcW w:w="2804" w:type="dxa"/>
          </w:tcPr>
          <w:p>
            <w:pPr>
              <w:pStyle w:val="TableParagraph"/>
              <w:spacing w:line="212" w:lineRule="exact" w:before="7"/>
              <w:ind w:left="136"/>
              <w:jc w:val="left"/>
              <w:rPr>
                <w:sz w:val="19"/>
              </w:rPr>
            </w:pPr>
            <w:r>
              <w:rPr>
                <w:color w:val="231F20"/>
                <w:w w:val="105"/>
                <w:sz w:val="19"/>
              </w:rPr>
              <w:t>word</w:t>
            </w:r>
            <w:r>
              <w:rPr>
                <w:color w:val="231F20"/>
                <w:spacing w:val="7"/>
                <w:w w:val="105"/>
                <w:sz w:val="19"/>
              </w:rPr>
              <w:t> </w:t>
            </w:r>
            <w:r>
              <w:rPr>
                <w:color w:val="231F20"/>
                <w:w w:val="105"/>
                <w:sz w:val="19"/>
              </w:rPr>
              <w:t>of</w:t>
            </w:r>
            <w:r>
              <w:rPr>
                <w:color w:val="231F20"/>
                <w:spacing w:val="7"/>
                <w:w w:val="105"/>
                <w:sz w:val="19"/>
              </w:rPr>
              <w:t> </w:t>
            </w:r>
            <w:r>
              <w:rPr>
                <w:color w:val="231F20"/>
                <w:w w:val="105"/>
                <w:sz w:val="19"/>
              </w:rPr>
              <w:t>mouth</w:t>
            </w:r>
            <w:r>
              <w:rPr>
                <w:color w:val="231F20"/>
                <w:spacing w:val="8"/>
                <w:w w:val="105"/>
                <w:sz w:val="19"/>
              </w:rPr>
              <w:t> </w:t>
            </w:r>
            <w:r>
              <w:rPr>
                <w:color w:val="231F20"/>
                <w:w w:val="105"/>
                <w:sz w:val="19"/>
              </w:rPr>
              <w:t>(WOM),</w:t>
            </w:r>
            <w:r>
              <w:rPr>
                <w:color w:val="231F20"/>
                <w:spacing w:val="7"/>
                <w:w w:val="105"/>
                <w:sz w:val="19"/>
              </w:rPr>
              <w:t> </w:t>
            </w:r>
            <w:r>
              <w:rPr>
                <w:color w:val="231F20"/>
                <w:spacing w:val="-5"/>
                <w:w w:val="105"/>
                <w:sz w:val="19"/>
              </w:rPr>
              <w:t>43</w:t>
            </w:r>
          </w:p>
        </w:tc>
      </w:tr>
      <w:tr>
        <w:trPr>
          <w:trHeight w:val="360" w:hRule="atLeast"/>
        </w:trPr>
        <w:tc>
          <w:tcPr>
            <w:tcW w:w="3139" w:type="dxa"/>
          </w:tcPr>
          <w:p>
            <w:pPr>
              <w:pStyle w:val="TableParagraph"/>
              <w:spacing w:before="7"/>
              <w:ind w:left="50"/>
              <w:jc w:val="left"/>
              <w:rPr>
                <w:sz w:val="19"/>
              </w:rPr>
            </w:pPr>
            <w:r>
              <w:rPr>
                <w:color w:val="231F20"/>
                <w:sz w:val="19"/>
              </w:rPr>
              <w:t>type</w:t>
            </w:r>
            <w:r>
              <w:rPr>
                <w:color w:val="231F20"/>
                <w:spacing w:val="11"/>
                <w:sz w:val="19"/>
              </w:rPr>
              <w:t> </w:t>
            </w:r>
            <w:r>
              <w:rPr>
                <w:color w:val="231F20"/>
                <w:sz w:val="19"/>
              </w:rPr>
              <w:t>A</w:t>
            </w:r>
            <w:r>
              <w:rPr>
                <w:color w:val="231F20"/>
                <w:spacing w:val="11"/>
                <w:sz w:val="19"/>
              </w:rPr>
              <w:t> </w:t>
            </w:r>
            <w:r>
              <w:rPr>
                <w:color w:val="231F20"/>
                <w:sz w:val="19"/>
              </w:rPr>
              <w:t>and</w:t>
            </w:r>
            <w:r>
              <w:rPr>
                <w:color w:val="231F20"/>
                <w:spacing w:val="11"/>
                <w:sz w:val="19"/>
              </w:rPr>
              <w:t> </w:t>
            </w:r>
            <w:r>
              <w:rPr>
                <w:color w:val="231F20"/>
                <w:sz w:val="19"/>
              </w:rPr>
              <w:t>B</w:t>
            </w:r>
            <w:r>
              <w:rPr>
                <w:color w:val="231F20"/>
                <w:spacing w:val="11"/>
                <w:sz w:val="19"/>
              </w:rPr>
              <w:t> </w:t>
            </w:r>
            <w:r>
              <w:rPr>
                <w:color w:val="231F20"/>
                <w:sz w:val="19"/>
              </w:rPr>
              <w:t>behaviors,</w:t>
            </w:r>
            <w:r>
              <w:rPr>
                <w:color w:val="231F20"/>
                <w:spacing w:val="11"/>
                <w:sz w:val="19"/>
              </w:rPr>
              <w:t> </w:t>
            </w:r>
            <w:r>
              <w:rPr>
                <w:color w:val="231F20"/>
                <w:sz w:val="19"/>
              </w:rPr>
              <w:t>132</w:t>
            </w:r>
            <w:r>
              <w:rPr>
                <w:color w:val="231F20"/>
                <w:spacing w:val="-23"/>
                <w:sz w:val="19"/>
              </w:rPr>
              <w:t> </w:t>
            </w:r>
            <w:r>
              <w:rPr>
                <w:color w:val="231F20"/>
                <w:sz w:val="19"/>
              </w:rPr>
              <w:t>–</w:t>
            </w:r>
            <w:r>
              <w:rPr>
                <w:color w:val="231F20"/>
                <w:spacing w:val="-23"/>
                <w:sz w:val="19"/>
              </w:rPr>
              <w:t> </w:t>
            </w:r>
            <w:r>
              <w:rPr>
                <w:color w:val="231F20"/>
                <w:spacing w:val="-5"/>
                <w:sz w:val="19"/>
              </w:rPr>
              <w:t>34</w:t>
            </w:r>
          </w:p>
        </w:tc>
        <w:tc>
          <w:tcPr>
            <w:tcW w:w="2804" w:type="dxa"/>
          </w:tcPr>
          <w:p>
            <w:pPr>
              <w:pStyle w:val="TableParagraph"/>
              <w:spacing w:before="7"/>
              <w:ind w:left="136"/>
              <w:jc w:val="left"/>
              <w:rPr>
                <w:sz w:val="19"/>
              </w:rPr>
            </w:pPr>
            <w:r>
              <w:rPr>
                <w:color w:val="231F20"/>
                <w:sz w:val="19"/>
              </w:rPr>
              <w:t>working</w:t>
            </w:r>
            <w:r>
              <w:rPr>
                <w:color w:val="231F20"/>
                <w:spacing w:val="22"/>
                <w:sz w:val="19"/>
              </w:rPr>
              <w:t> </w:t>
            </w:r>
            <w:r>
              <w:rPr>
                <w:color w:val="231F20"/>
                <w:sz w:val="19"/>
              </w:rPr>
              <w:t>capital,</w:t>
            </w:r>
            <w:r>
              <w:rPr>
                <w:color w:val="231F20"/>
                <w:spacing w:val="22"/>
                <w:sz w:val="19"/>
              </w:rPr>
              <w:t> </w:t>
            </w:r>
            <w:r>
              <w:rPr>
                <w:color w:val="231F20"/>
                <w:spacing w:val="-5"/>
                <w:sz w:val="19"/>
              </w:rPr>
              <w:t>87</w:t>
            </w:r>
          </w:p>
        </w:tc>
      </w:tr>
      <w:tr>
        <w:trPr>
          <w:trHeight w:val="360" w:hRule="atLeast"/>
        </w:trPr>
        <w:tc>
          <w:tcPr>
            <w:tcW w:w="3139" w:type="dxa"/>
          </w:tcPr>
          <w:p>
            <w:pPr>
              <w:pStyle w:val="TableParagraph"/>
              <w:spacing w:line="213" w:lineRule="exact" w:before="127"/>
              <w:ind w:left="50"/>
              <w:jc w:val="left"/>
              <w:rPr>
                <w:sz w:val="19"/>
              </w:rPr>
            </w:pPr>
            <w:r>
              <w:rPr>
                <w:color w:val="231F20"/>
                <w:sz w:val="19"/>
              </w:rPr>
              <w:t>unique</w:t>
            </w:r>
            <w:r>
              <w:rPr>
                <w:color w:val="231F20"/>
                <w:spacing w:val="2"/>
                <w:sz w:val="19"/>
              </w:rPr>
              <w:t> </w:t>
            </w:r>
            <w:r>
              <w:rPr>
                <w:color w:val="231F20"/>
                <w:sz w:val="19"/>
              </w:rPr>
              <w:t>selling</w:t>
            </w:r>
            <w:r>
              <w:rPr>
                <w:color w:val="231F20"/>
                <w:spacing w:val="3"/>
                <w:sz w:val="19"/>
              </w:rPr>
              <w:t> </w:t>
            </w:r>
            <w:r>
              <w:rPr>
                <w:color w:val="231F20"/>
                <w:sz w:val="19"/>
              </w:rPr>
              <w:t>proposition</w:t>
            </w:r>
            <w:r>
              <w:rPr>
                <w:color w:val="231F20"/>
                <w:spacing w:val="3"/>
                <w:sz w:val="19"/>
              </w:rPr>
              <w:t> </w:t>
            </w:r>
            <w:r>
              <w:rPr>
                <w:color w:val="231F20"/>
                <w:spacing w:val="-2"/>
                <w:sz w:val="19"/>
              </w:rPr>
              <w:t>(USP),</w:t>
            </w:r>
          </w:p>
        </w:tc>
        <w:tc>
          <w:tcPr>
            <w:tcW w:w="2804" w:type="dxa"/>
          </w:tcPr>
          <w:p>
            <w:pPr>
              <w:pStyle w:val="TableParagraph"/>
              <w:spacing w:line="212" w:lineRule="exact" w:before="127"/>
              <w:ind w:left="136"/>
              <w:jc w:val="left"/>
              <w:rPr>
                <w:sz w:val="19"/>
              </w:rPr>
            </w:pPr>
            <w:r>
              <w:rPr>
                <w:color w:val="231F20"/>
                <w:sz w:val="19"/>
              </w:rPr>
              <w:t>yield</w:t>
            </w:r>
            <w:r>
              <w:rPr>
                <w:color w:val="231F20"/>
                <w:spacing w:val="6"/>
                <w:sz w:val="19"/>
              </w:rPr>
              <w:t> </w:t>
            </w:r>
            <w:r>
              <w:rPr>
                <w:color w:val="231F20"/>
                <w:sz w:val="19"/>
              </w:rPr>
              <w:t>curve,</w:t>
            </w:r>
            <w:r>
              <w:rPr>
                <w:color w:val="231F20"/>
                <w:spacing w:val="6"/>
                <w:sz w:val="19"/>
              </w:rPr>
              <w:t> </w:t>
            </w:r>
            <w:r>
              <w:rPr>
                <w:color w:val="231F20"/>
                <w:spacing w:val="-5"/>
                <w:sz w:val="19"/>
              </w:rPr>
              <w:t>211</w:t>
            </w:r>
          </w:p>
        </w:tc>
      </w:tr>
      <w:tr>
        <w:trPr>
          <w:trHeight w:val="240" w:hRule="atLeast"/>
        </w:trPr>
        <w:tc>
          <w:tcPr>
            <w:tcW w:w="3139" w:type="dxa"/>
          </w:tcPr>
          <w:p>
            <w:pPr>
              <w:pStyle w:val="TableParagraph"/>
              <w:spacing w:line="213" w:lineRule="exact" w:before="7"/>
              <w:ind w:left="290"/>
              <w:jc w:val="left"/>
              <w:rPr>
                <w:sz w:val="19"/>
              </w:rPr>
            </w:pPr>
            <w:r>
              <w:rPr>
                <w:color w:val="231F20"/>
                <w:spacing w:val="-5"/>
                <w:sz w:val="19"/>
              </w:rPr>
              <w:t>25</w:t>
            </w:r>
          </w:p>
        </w:tc>
        <w:tc>
          <w:tcPr>
            <w:tcW w:w="2804" w:type="dxa"/>
          </w:tcPr>
          <w:p>
            <w:pPr>
              <w:pStyle w:val="TableParagraph"/>
              <w:spacing w:line="212" w:lineRule="exact" w:before="7"/>
              <w:ind w:left="136"/>
              <w:jc w:val="left"/>
              <w:rPr>
                <w:sz w:val="19"/>
              </w:rPr>
            </w:pPr>
            <w:r>
              <w:rPr>
                <w:color w:val="231F20"/>
                <w:sz w:val="19"/>
              </w:rPr>
              <w:t>yield</w:t>
            </w:r>
            <w:r>
              <w:rPr>
                <w:color w:val="231F20"/>
                <w:spacing w:val="25"/>
                <w:sz w:val="19"/>
              </w:rPr>
              <w:t> </w:t>
            </w:r>
            <w:r>
              <w:rPr>
                <w:color w:val="231F20"/>
                <w:sz w:val="19"/>
              </w:rPr>
              <w:t>to</w:t>
            </w:r>
            <w:r>
              <w:rPr>
                <w:color w:val="231F20"/>
                <w:spacing w:val="25"/>
                <w:sz w:val="19"/>
              </w:rPr>
              <w:t> </w:t>
            </w:r>
            <w:r>
              <w:rPr>
                <w:color w:val="231F20"/>
                <w:sz w:val="19"/>
              </w:rPr>
              <w:t>maturity</w:t>
            </w:r>
            <w:r>
              <w:rPr>
                <w:color w:val="231F20"/>
                <w:spacing w:val="25"/>
                <w:sz w:val="19"/>
              </w:rPr>
              <w:t> </w:t>
            </w:r>
            <w:r>
              <w:rPr>
                <w:color w:val="231F20"/>
                <w:sz w:val="19"/>
              </w:rPr>
              <w:t>(YTM),</w:t>
            </w:r>
            <w:r>
              <w:rPr>
                <w:color w:val="231F20"/>
                <w:spacing w:val="26"/>
                <w:sz w:val="19"/>
              </w:rPr>
              <w:t> </w:t>
            </w:r>
            <w:r>
              <w:rPr>
                <w:color w:val="231F20"/>
                <w:spacing w:val="-5"/>
                <w:sz w:val="19"/>
              </w:rPr>
              <w:t>213</w:t>
            </w:r>
          </w:p>
        </w:tc>
      </w:tr>
      <w:tr>
        <w:trPr>
          <w:trHeight w:val="240" w:hRule="atLeast"/>
        </w:trPr>
        <w:tc>
          <w:tcPr>
            <w:tcW w:w="3139" w:type="dxa"/>
          </w:tcPr>
          <w:p>
            <w:pPr>
              <w:pStyle w:val="TableParagraph"/>
              <w:spacing w:line="213" w:lineRule="exact" w:before="7"/>
              <w:ind w:left="50"/>
              <w:jc w:val="left"/>
              <w:rPr>
                <w:sz w:val="19"/>
              </w:rPr>
            </w:pPr>
            <w:r>
              <w:rPr>
                <w:color w:val="231F20"/>
                <w:w w:val="95"/>
                <w:sz w:val="19"/>
              </w:rPr>
              <w:t>universalism,</w:t>
            </w:r>
            <w:r>
              <w:rPr>
                <w:color w:val="231F20"/>
                <w:spacing w:val="42"/>
                <w:sz w:val="19"/>
              </w:rPr>
              <w:t> </w:t>
            </w:r>
            <w:r>
              <w:rPr>
                <w:color w:val="231F20"/>
                <w:spacing w:val="-5"/>
                <w:sz w:val="19"/>
              </w:rPr>
              <w:t>64</w:t>
            </w:r>
          </w:p>
        </w:tc>
        <w:tc>
          <w:tcPr>
            <w:tcW w:w="2804" w:type="dxa"/>
          </w:tcPr>
          <w:p>
            <w:pPr>
              <w:pStyle w:val="TableParagraph"/>
              <w:spacing w:before="0"/>
              <w:jc w:val="left"/>
              <w:rPr>
                <w:rFonts w:ascii="Times New Roman"/>
                <w:sz w:val="16"/>
              </w:rPr>
            </w:pPr>
          </w:p>
        </w:tc>
      </w:tr>
      <w:tr>
        <w:trPr>
          <w:trHeight w:val="231" w:hRule="atLeast"/>
        </w:trPr>
        <w:tc>
          <w:tcPr>
            <w:tcW w:w="3139" w:type="dxa"/>
          </w:tcPr>
          <w:p>
            <w:pPr>
              <w:pStyle w:val="TableParagraph"/>
              <w:spacing w:line="204" w:lineRule="exact" w:before="7"/>
              <w:ind w:left="50"/>
              <w:jc w:val="left"/>
              <w:rPr>
                <w:sz w:val="19"/>
              </w:rPr>
            </w:pPr>
            <w:r>
              <w:rPr>
                <w:color w:val="231F20"/>
                <w:sz w:val="19"/>
              </w:rPr>
              <w:t>utilitarianism,</w:t>
            </w:r>
            <w:r>
              <w:rPr>
                <w:color w:val="231F20"/>
                <w:spacing w:val="10"/>
                <w:sz w:val="19"/>
              </w:rPr>
              <w:t> </w:t>
            </w:r>
            <w:r>
              <w:rPr>
                <w:color w:val="231F20"/>
                <w:spacing w:val="-5"/>
                <w:sz w:val="19"/>
              </w:rPr>
              <w:t>64</w:t>
            </w:r>
          </w:p>
        </w:tc>
        <w:tc>
          <w:tcPr>
            <w:tcW w:w="2804" w:type="dxa"/>
          </w:tcPr>
          <w:p>
            <w:pPr>
              <w:pStyle w:val="TableParagraph"/>
              <w:spacing w:line="204" w:lineRule="exact" w:before="7"/>
              <w:ind w:left="136"/>
              <w:jc w:val="left"/>
              <w:rPr>
                <w:sz w:val="19"/>
              </w:rPr>
            </w:pPr>
            <w:r>
              <w:rPr>
                <w:color w:val="231F20"/>
                <w:sz w:val="19"/>
              </w:rPr>
              <w:t>zero</w:t>
            </w:r>
            <w:r>
              <w:rPr>
                <w:color w:val="231F20"/>
                <w:spacing w:val="12"/>
                <w:sz w:val="19"/>
              </w:rPr>
              <w:t> </w:t>
            </w:r>
            <w:r>
              <w:rPr>
                <w:color w:val="231F20"/>
                <w:sz w:val="19"/>
              </w:rPr>
              <w:t>coupon</w:t>
            </w:r>
            <w:r>
              <w:rPr>
                <w:color w:val="231F20"/>
                <w:spacing w:val="12"/>
                <w:sz w:val="19"/>
              </w:rPr>
              <w:t> </w:t>
            </w:r>
            <w:r>
              <w:rPr>
                <w:color w:val="231F20"/>
                <w:sz w:val="19"/>
              </w:rPr>
              <w:t>bonds,</w:t>
            </w:r>
            <w:r>
              <w:rPr>
                <w:color w:val="231F20"/>
                <w:spacing w:val="12"/>
                <w:sz w:val="19"/>
              </w:rPr>
              <w:t> </w:t>
            </w:r>
            <w:r>
              <w:rPr>
                <w:color w:val="231F20"/>
                <w:spacing w:val="-5"/>
                <w:sz w:val="19"/>
              </w:rPr>
              <w:t>215</w:t>
            </w:r>
          </w:p>
        </w:tc>
      </w:tr>
    </w:tbl>
    <w:p>
      <w:pPr>
        <w:spacing w:after="0" w:line="204" w:lineRule="exact"/>
        <w:jc w:val="left"/>
        <w:rPr>
          <w:sz w:val="19"/>
        </w:rPr>
        <w:sectPr>
          <w:pgSz w:w="8640" w:h="12960"/>
          <w:pgMar w:header="732" w:footer="0" w:top="920" w:bottom="280" w:left="740" w:right="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Heading2"/>
        <w:spacing w:before="83"/>
        <w:ind w:left="1759"/>
        <w:rPr>
          <w:i/>
        </w:rPr>
      </w:pPr>
      <w:bookmarkStart w:name="Acknowledgments" w:id="57"/>
      <w:bookmarkEnd w:id="57"/>
      <w:r>
        <w:rPr>
          <w:b w:val="0"/>
          <w:i w:val="0"/>
        </w:rPr>
      </w:r>
      <w:bookmarkStart w:name="_bookmark27" w:id="58"/>
      <w:bookmarkEnd w:id="58"/>
      <w:r>
        <w:rPr>
          <w:b w:val="0"/>
          <w:i w:val="0"/>
        </w:rPr>
      </w:r>
      <w:hyperlink w:history="true" w:anchor="_bookmark2">
        <w:r>
          <w:rPr>
            <w:i/>
            <w:color w:val="0000FF"/>
            <w:spacing w:val="21"/>
            <w:w w:val="90"/>
          </w:rPr>
          <w:t>Acknowledgments</w:t>
        </w:r>
      </w:hyperlink>
    </w:p>
    <w:p>
      <w:pPr>
        <w:pStyle w:val="BodyText"/>
        <w:spacing w:before="4"/>
        <w:rPr>
          <w:b/>
          <w:i/>
          <w:sz w:val="9"/>
        </w:rPr>
      </w:pPr>
      <w:r>
        <w:rPr/>
        <w:pict>
          <v:shape style="position:absolute;margin-left:180.25pt;margin-top:6.695117pt;width:76pt;height:.1pt;mso-position-horizontal-relative:page;mso-position-vertical-relative:paragraph;z-index:-15507456;mso-wrap-distance-left:0;mso-wrap-distance-right:0" id="docshape579" coordorigin="3605,134" coordsize="1520,0" path="m3605,134l5125,134e" filled="false" stroked="true" strokeweight="6pt" strokecolor="#cdcdcd">
            <v:path arrowok="t"/>
            <v:stroke dashstyle="solid"/>
            <w10:wrap type="topAndBottom"/>
          </v:shape>
        </w:pict>
      </w:r>
    </w:p>
    <w:p>
      <w:pPr>
        <w:pStyle w:val="BodyText"/>
        <w:rPr>
          <w:b/>
          <w:i/>
          <w:sz w:val="54"/>
        </w:rPr>
      </w:pPr>
    </w:p>
    <w:p>
      <w:pPr>
        <w:pStyle w:val="BodyText"/>
        <w:spacing w:line="292" w:lineRule="auto" w:before="367"/>
        <w:ind w:left="519" w:right="683"/>
        <w:jc w:val="both"/>
      </w:pPr>
      <w:r>
        <w:rPr>
          <w:w w:val="105"/>
        </w:rPr>
        <w:t>I</w:t>
      </w:r>
      <w:r>
        <w:rPr>
          <w:w w:val="105"/>
        </w:rPr>
        <w:t> gratefully</w:t>
      </w:r>
      <w:r>
        <w:rPr>
          <w:w w:val="105"/>
        </w:rPr>
        <w:t> thank</w:t>
      </w:r>
      <w:r>
        <w:rPr>
          <w:w w:val="105"/>
        </w:rPr>
        <w:t> Rose</w:t>
      </w:r>
      <w:r>
        <w:rPr>
          <w:w w:val="105"/>
        </w:rPr>
        <w:t> Marie</w:t>
      </w:r>
      <w:r>
        <w:rPr>
          <w:w w:val="105"/>
        </w:rPr>
        <w:t> Morse</w:t>
      </w:r>
      <w:r>
        <w:rPr>
          <w:w w:val="105"/>
        </w:rPr>
        <w:t> and</w:t>
      </w:r>
      <w:r>
        <w:rPr>
          <w:w w:val="105"/>
        </w:rPr>
        <w:t> Sarah</w:t>
      </w:r>
      <w:r>
        <w:rPr>
          <w:w w:val="105"/>
        </w:rPr>
        <w:t> Zimmerman</w:t>
      </w:r>
      <w:r>
        <w:rPr>
          <w:w w:val="105"/>
        </w:rPr>
        <w:t> of William Morrow for all their diligent efforts to transform my MBA drafts into the original book. Thanks to Toni Sciarra at Quill, </w:t>
      </w:r>
      <w:r>
        <w:rPr>
          <w:w w:val="105"/>
        </w:rPr>
        <w:t>who </w:t>
      </w:r>
      <w:r>
        <w:rPr>
          <w:spacing w:val="-2"/>
          <w:w w:val="105"/>
        </w:rPr>
        <w:t>championed the first revision, and Herb Schaffner at HarperCollins, </w:t>
      </w:r>
      <w:r>
        <w:rPr>
          <w:w w:val="105"/>
        </w:rPr>
        <w:t>who led the second.</w:t>
      </w:r>
    </w:p>
    <w:p>
      <w:pPr>
        <w:pStyle w:val="BodyText"/>
        <w:spacing w:line="292" w:lineRule="auto"/>
        <w:ind w:left="519" w:right="686" w:firstLine="340"/>
        <w:jc w:val="both"/>
      </w:pPr>
      <w:r>
        <w:rPr/>
        <w:t>I also thank Rafe Sagalyn at the Sagalyn Agency for his </w:t>
      </w:r>
      <w:r>
        <w:rPr/>
        <w:t>extraor- dinary ability to see my book’s potential and to place it with publish- ers around the world. The best always make it look easy.</w:t>
      </w:r>
    </w:p>
    <w:p>
      <w:pPr>
        <w:pStyle w:val="BodyText"/>
        <w:spacing w:before="4"/>
        <w:rPr>
          <w:sz w:val="16"/>
        </w:rPr>
      </w:pPr>
      <w:r>
        <w:rPr/>
        <w:pict>
          <v:shape style="position:absolute;margin-left:63.119999pt;margin-top:10.928906pt;width:310.25pt;height:37.25pt;mso-position-horizontal-relative:page;mso-position-vertical-relative:paragraph;z-index:-15506944;mso-wrap-distance-left:0;mso-wrap-distance-right:0" type="#_x0000_t202" id="docshape580" filled="false" stroked="true" strokeweight=".25pt" strokecolor="#231f20">
            <v:textbox inset="0,0,0,0">
              <w:txbxContent>
                <w:p>
                  <w:pPr>
                    <w:pStyle w:val="BodyText"/>
                    <w:spacing w:before="75"/>
                    <w:ind w:left="114"/>
                  </w:pPr>
                  <w:r>
                    <w:rPr/>
                    <w:t>Questions,</w:t>
                  </w:r>
                  <w:r>
                    <w:rPr>
                      <w:spacing w:val="65"/>
                    </w:rPr>
                    <w:t> </w:t>
                  </w:r>
                  <w:r>
                    <w:rPr/>
                    <w:t>comments?</w:t>
                  </w:r>
                  <w:r>
                    <w:rPr>
                      <w:spacing w:val="66"/>
                    </w:rPr>
                    <w:t> </w:t>
                  </w:r>
                  <w:r>
                    <w:rPr/>
                    <w:t>E-mail</w:t>
                  </w:r>
                  <w:r>
                    <w:rPr>
                      <w:spacing w:val="65"/>
                    </w:rPr>
                    <w:t> </w:t>
                  </w:r>
                  <w:r>
                    <w:rPr/>
                    <w:t>the</w:t>
                  </w:r>
                  <w:r>
                    <w:rPr>
                      <w:spacing w:val="66"/>
                    </w:rPr>
                    <w:t> </w:t>
                  </w:r>
                  <w:r>
                    <w:rPr/>
                    <w:t>author</w:t>
                  </w:r>
                  <w:r>
                    <w:rPr>
                      <w:spacing w:val="65"/>
                    </w:rPr>
                    <w:t> </w:t>
                  </w:r>
                  <w:r>
                    <w:rPr/>
                    <w:t>at</w:t>
                  </w:r>
                  <w:r>
                    <w:rPr>
                      <w:spacing w:val="66"/>
                    </w:rPr>
                    <w:t> </w:t>
                  </w:r>
                  <w:r>
                    <w:rPr>
                      <w:spacing w:val="-2"/>
                    </w:rPr>
                    <w:t>tendaymba@juno</w:t>
                  </w:r>
                </w:p>
                <w:p>
                  <w:pPr>
                    <w:pStyle w:val="BodyText"/>
                    <w:spacing w:before="54"/>
                    <w:ind w:left="114"/>
                  </w:pPr>
                  <w:r>
                    <w:rPr>
                      <w:w w:val="105"/>
                    </w:rPr>
                    <w:t>.com</w:t>
                  </w:r>
                  <w:r>
                    <w:rPr>
                      <w:spacing w:val="-11"/>
                      <w:w w:val="105"/>
                    </w:rPr>
                    <w:t> </w:t>
                  </w:r>
                  <w:r>
                    <w:rPr>
                      <w:w w:val="105"/>
                    </w:rPr>
                    <w:t>or</w:t>
                  </w:r>
                  <w:r>
                    <w:rPr>
                      <w:spacing w:val="-10"/>
                      <w:w w:val="105"/>
                    </w:rPr>
                    <w:t> </w:t>
                  </w:r>
                  <w:r>
                    <w:rPr>
                      <w:w w:val="105"/>
                    </w:rPr>
                    <w:t>visit</w:t>
                  </w:r>
                  <w:r>
                    <w:rPr>
                      <w:spacing w:val="-10"/>
                      <w:w w:val="105"/>
                    </w:rPr>
                    <w:t> </w:t>
                  </w:r>
                  <w:r>
                    <w:rPr>
                      <w:w w:val="105"/>
                    </w:rPr>
                    <w:t>our</w:t>
                  </w:r>
                  <w:r>
                    <w:rPr>
                      <w:spacing w:val="-10"/>
                      <w:w w:val="105"/>
                    </w:rPr>
                    <w:t> </w:t>
                  </w:r>
                  <w:r>
                    <w:rPr>
                      <w:w w:val="105"/>
                    </w:rPr>
                    <w:t>Web</w:t>
                  </w:r>
                  <w:r>
                    <w:rPr>
                      <w:spacing w:val="-10"/>
                      <w:w w:val="105"/>
                    </w:rPr>
                    <w:t> </w:t>
                  </w:r>
                  <w:r>
                    <w:rPr>
                      <w:w w:val="105"/>
                    </w:rPr>
                    <w:t>site</w:t>
                  </w:r>
                  <w:r>
                    <w:rPr>
                      <w:spacing w:val="-10"/>
                      <w:w w:val="105"/>
                    </w:rPr>
                    <w:t> </w:t>
                  </w:r>
                  <w:r>
                    <w:rPr>
                      <w:w w:val="105"/>
                    </w:rPr>
                    <w:t>at</w:t>
                  </w:r>
                  <w:r>
                    <w:rPr>
                      <w:spacing w:val="-11"/>
                      <w:w w:val="105"/>
                    </w:rPr>
                    <w:t> </w:t>
                  </w:r>
                  <w:hyperlink r:id="rId166">
                    <w:r>
                      <w:rPr>
                        <w:spacing w:val="-2"/>
                        <w:w w:val="105"/>
                      </w:rPr>
                      <w:t>www.tendaymba.com.</w:t>
                    </w:r>
                  </w:hyperlink>
                </w:p>
              </w:txbxContent>
            </v:textbox>
            <v:stroke dashstyle="solid"/>
            <w10:wrap type="topAndBottom"/>
          </v:shape>
        </w:pict>
      </w:r>
    </w:p>
    <w:p>
      <w:pPr>
        <w:spacing w:after="0"/>
        <w:rPr>
          <w:sz w:val="16"/>
        </w:rPr>
        <w:sectPr>
          <w:headerReference w:type="default" r:id="rId165"/>
          <w:pgSz w:w="8640" w:h="12960"/>
          <w:pgMar w:header="0" w:footer="0" w:top="1220" w:bottom="280" w:left="740" w:right="480"/>
        </w:sectPr>
      </w:pPr>
    </w:p>
    <w:p>
      <w:pPr>
        <w:pStyle w:val="BodyText"/>
        <w:spacing w:before="2"/>
        <w:rPr>
          <w:sz w:val="16"/>
        </w:rPr>
      </w:pPr>
    </w:p>
    <w:p>
      <w:pPr>
        <w:spacing w:before="30"/>
        <w:ind w:left="1412" w:right="1671" w:firstLine="0"/>
        <w:jc w:val="center"/>
        <w:rPr>
          <w:rFonts w:ascii="Times New Roman"/>
          <w:b/>
          <w:sz w:val="40"/>
        </w:rPr>
      </w:pPr>
      <w:bookmarkStart w:name="About the Author" w:id="59"/>
      <w:bookmarkEnd w:id="59"/>
      <w:r>
        <w:rPr/>
      </w:r>
      <w:bookmarkStart w:name="_bookmark28" w:id="60"/>
      <w:bookmarkEnd w:id="60"/>
      <w:r>
        <w:rPr/>
      </w:r>
      <w:hyperlink w:history="true" w:anchor="_bookmark2">
        <w:r>
          <w:rPr>
            <w:rFonts w:ascii="Times New Roman"/>
            <w:b/>
            <w:color w:val="0000FF"/>
            <w:sz w:val="40"/>
          </w:rPr>
          <w:t>About</w:t>
        </w:r>
        <w:r>
          <w:rPr>
            <w:rFonts w:ascii="Times New Roman"/>
            <w:b/>
            <w:color w:val="0000FF"/>
            <w:spacing w:val="-10"/>
            <w:sz w:val="40"/>
          </w:rPr>
          <w:t> </w:t>
        </w:r>
        <w:r>
          <w:rPr>
            <w:rFonts w:ascii="Times New Roman"/>
            <w:b/>
            <w:color w:val="0000FF"/>
            <w:sz w:val="40"/>
          </w:rPr>
          <w:t>the</w:t>
        </w:r>
        <w:r>
          <w:rPr>
            <w:rFonts w:ascii="Times New Roman"/>
            <w:b/>
            <w:color w:val="0000FF"/>
            <w:spacing w:val="-8"/>
            <w:sz w:val="40"/>
          </w:rPr>
          <w:t> </w:t>
        </w:r>
        <w:r>
          <w:rPr>
            <w:rFonts w:ascii="Times New Roman"/>
            <w:b/>
            <w:color w:val="0000FF"/>
            <w:spacing w:val="-2"/>
            <w:sz w:val="40"/>
          </w:rPr>
          <w:t>Author</w:t>
        </w:r>
      </w:hyperlink>
    </w:p>
    <w:p>
      <w:pPr>
        <w:pStyle w:val="BodyText"/>
        <w:spacing w:before="8"/>
        <w:rPr>
          <w:rFonts w:ascii="Times New Roman"/>
          <w:b/>
          <w:sz w:val="47"/>
        </w:rPr>
      </w:pPr>
    </w:p>
    <w:p>
      <w:pPr>
        <w:spacing w:before="0"/>
        <w:ind w:left="123" w:right="759" w:firstLine="0"/>
        <w:jc w:val="left"/>
        <w:rPr>
          <w:rFonts w:ascii="Times New Roman"/>
          <w:sz w:val="24"/>
        </w:rPr>
      </w:pPr>
      <w:r>
        <w:rPr>
          <w:rFonts w:ascii="Times New Roman"/>
          <w:b/>
          <w:sz w:val="24"/>
        </w:rPr>
        <w:t>STEVEN SILBIGER </w:t>
      </w:r>
      <w:r>
        <w:rPr>
          <w:rFonts w:ascii="Times New Roman"/>
          <w:sz w:val="24"/>
        </w:rPr>
        <w:t>graduated in the Top Ten of his class at the Darden Graduate School of Business at the University of Virginia. Before</w:t>
      </w:r>
      <w:r>
        <w:rPr>
          <w:rFonts w:ascii="Times New Roman"/>
          <w:spacing w:val="-4"/>
          <w:sz w:val="24"/>
        </w:rPr>
        <w:t> </w:t>
      </w:r>
      <w:r>
        <w:rPr>
          <w:rFonts w:ascii="Times New Roman"/>
          <w:sz w:val="24"/>
        </w:rPr>
        <w:t>attending</w:t>
      </w:r>
      <w:r>
        <w:rPr>
          <w:rFonts w:ascii="Times New Roman"/>
          <w:spacing w:val="-4"/>
          <w:sz w:val="24"/>
        </w:rPr>
        <w:t> </w:t>
      </w:r>
      <w:r>
        <w:rPr>
          <w:rFonts w:ascii="Times New Roman"/>
          <w:sz w:val="24"/>
        </w:rPr>
        <w:t>Darden,</w:t>
      </w:r>
      <w:r>
        <w:rPr>
          <w:rFonts w:ascii="Times New Roman"/>
          <w:spacing w:val="-4"/>
          <w:sz w:val="24"/>
        </w:rPr>
        <w:t> </w:t>
      </w:r>
      <w:r>
        <w:rPr>
          <w:rFonts w:ascii="Times New Roman"/>
          <w:sz w:val="24"/>
        </w:rPr>
        <w:t>he</w:t>
      </w:r>
      <w:r>
        <w:rPr>
          <w:rFonts w:ascii="Times New Roman"/>
          <w:spacing w:val="-4"/>
          <w:sz w:val="24"/>
        </w:rPr>
        <w:t> </w:t>
      </w:r>
      <w:r>
        <w:rPr>
          <w:rFonts w:ascii="Times New Roman"/>
          <w:sz w:val="24"/>
        </w:rPr>
        <w:t>worked</w:t>
      </w:r>
      <w:r>
        <w:rPr>
          <w:rFonts w:ascii="Times New Roman"/>
          <w:spacing w:val="-4"/>
          <w:sz w:val="24"/>
        </w:rPr>
        <w:t> </w:t>
      </w:r>
      <w:r>
        <w:rPr>
          <w:rFonts w:ascii="Times New Roman"/>
          <w:sz w:val="24"/>
        </w:rPr>
        <w:t>as</w:t>
      </w:r>
      <w:r>
        <w:rPr>
          <w:rFonts w:ascii="Times New Roman"/>
          <w:spacing w:val="-4"/>
          <w:sz w:val="24"/>
        </w:rPr>
        <w:t> </w:t>
      </w:r>
      <w:r>
        <w:rPr>
          <w:rFonts w:ascii="Times New Roman"/>
          <w:sz w:val="24"/>
        </w:rPr>
        <w:t>a</w:t>
      </w:r>
      <w:r>
        <w:rPr>
          <w:rFonts w:ascii="Times New Roman"/>
          <w:spacing w:val="-4"/>
          <w:sz w:val="24"/>
        </w:rPr>
        <w:t> </w:t>
      </w:r>
      <w:r>
        <w:rPr>
          <w:rFonts w:ascii="Times New Roman"/>
          <w:sz w:val="24"/>
        </w:rPr>
        <w:t>CPA</w:t>
      </w:r>
      <w:r>
        <w:rPr>
          <w:rFonts w:ascii="Times New Roman"/>
          <w:spacing w:val="-4"/>
          <w:sz w:val="24"/>
        </w:rPr>
        <w:t> </w:t>
      </w:r>
      <w:r>
        <w:rPr>
          <w:rFonts w:ascii="Times New Roman"/>
          <w:sz w:val="24"/>
        </w:rPr>
        <w:t>for</w:t>
      </w:r>
      <w:r>
        <w:rPr>
          <w:rFonts w:ascii="Times New Roman"/>
          <w:spacing w:val="-4"/>
          <w:sz w:val="24"/>
        </w:rPr>
        <w:t> </w:t>
      </w:r>
      <w:r>
        <w:rPr>
          <w:rFonts w:ascii="Times New Roman"/>
          <w:sz w:val="24"/>
        </w:rPr>
        <w:t>Arthur</w:t>
      </w:r>
      <w:r>
        <w:rPr>
          <w:rFonts w:ascii="Times New Roman"/>
          <w:spacing w:val="-4"/>
          <w:sz w:val="24"/>
        </w:rPr>
        <w:t> </w:t>
      </w:r>
      <w:r>
        <w:rPr>
          <w:rFonts w:ascii="Times New Roman"/>
          <w:sz w:val="24"/>
        </w:rPr>
        <w:t>Andersen LLP. Presently he is senior director of marketing at HCTV, Inc.</w:t>
      </w:r>
    </w:p>
    <w:p>
      <w:pPr>
        <w:spacing w:before="0"/>
        <w:ind w:left="123" w:right="404" w:firstLine="0"/>
        <w:jc w:val="left"/>
        <w:rPr>
          <w:rFonts w:ascii="Times New Roman"/>
          <w:i/>
          <w:sz w:val="24"/>
        </w:rPr>
      </w:pPr>
      <w:r>
        <w:rPr>
          <w:rFonts w:ascii="Times New Roman"/>
          <w:sz w:val="24"/>
        </w:rPr>
        <w:t>Silbiger</w:t>
      </w:r>
      <w:r>
        <w:rPr>
          <w:rFonts w:ascii="Times New Roman"/>
          <w:spacing w:val="-4"/>
          <w:sz w:val="24"/>
        </w:rPr>
        <w:t> </w:t>
      </w:r>
      <w:r>
        <w:rPr>
          <w:rFonts w:ascii="Times New Roman"/>
          <w:sz w:val="24"/>
        </w:rPr>
        <w:t>lives</w:t>
      </w:r>
      <w:r>
        <w:rPr>
          <w:rFonts w:ascii="Times New Roman"/>
          <w:spacing w:val="-4"/>
          <w:sz w:val="24"/>
        </w:rPr>
        <w:t> </w:t>
      </w:r>
      <w:r>
        <w:rPr>
          <w:rFonts w:ascii="Times New Roman"/>
          <w:sz w:val="24"/>
        </w:rPr>
        <w:t>with</w:t>
      </w:r>
      <w:r>
        <w:rPr>
          <w:rFonts w:ascii="Times New Roman"/>
          <w:spacing w:val="-4"/>
          <w:sz w:val="24"/>
        </w:rPr>
        <w:t> </w:t>
      </w:r>
      <w:r>
        <w:rPr>
          <w:rFonts w:ascii="Times New Roman"/>
          <w:sz w:val="24"/>
        </w:rPr>
        <w:t>his</w:t>
      </w:r>
      <w:r>
        <w:rPr>
          <w:rFonts w:ascii="Times New Roman"/>
          <w:spacing w:val="-4"/>
          <w:sz w:val="24"/>
        </w:rPr>
        <w:t> </w:t>
      </w:r>
      <w:r>
        <w:rPr>
          <w:rFonts w:ascii="Times New Roman"/>
          <w:sz w:val="24"/>
        </w:rPr>
        <w:t>family</w:t>
      </w:r>
      <w:r>
        <w:rPr>
          <w:rFonts w:ascii="Times New Roman"/>
          <w:spacing w:val="-4"/>
          <w:sz w:val="24"/>
        </w:rPr>
        <w:t> </w:t>
      </w:r>
      <w:r>
        <w:rPr>
          <w:rFonts w:ascii="Times New Roman"/>
          <w:sz w:val="24"/>
        </w:rPr>
        <w:t>near</w:t>
      </w:r>
      <w:r>
        <w:rPr>
          <w:rFonts w:ascii="Times New Roman"/>
          <w:spacing w:val="-4"/>
          <w:sz w:val="24"/>
        </w:rPr>
        <w:t> </w:t>
      </w:r>
      <w:r>
        <w:rPr>
          <w:rFonts w:ascii="Times New Roman"/>
          <w:sz w:val="24"/>
        </w:rPr>
        <w:t>Philadelphia,</w:t>
      </w:r>
      <w:r>
        <w:rPr>
          <w:rFonts w:ascii="Times New Roman"/>
          <w:spacing w:val="-4"/>
          <w:sz w:val="24"/>
        </w:rPr>
        <w:t> </w:t>
      </w:r>
      <w:r>
        <w:rPr>
          <w:rFonts w:ascii="Times New Roman"/>
          <w:sz w:val="24"/>
        </w:rPr>
        <w:t>Pennsylvania.</w:t>
      </w:r>
      <w:r>
        <w:rPr>
          <w:rFonts w:ascii="Times New Roman"/>
          <w:spacing w:val="-6"/>
          <w:sz w:val="24"/>
        </w:rPr>
        <w:t> </w:t>
      </w:r>
      <w:r>
        <w:rPr>
          <w:rFonts w:ascii="Times New Roman"/>
          <w:sz w:val="24"/>
        </w:rPr>
        <w:t>He</w:t>
      </w:r>
      <w:r>
        <w:rPr>
          <w:rFonts w:ascii="Times New Roman"/>
          <w:spacing w:val="-4"/>
          <w:sz w:val="24"/>
        </w:rPr>
        <w:t> </w:t>
      </w:r>
      <w:r>
        <w:rPr>
          <w:rFonts w:ascii="Times New Roman"/>
          <w:sz w:val="24"/>
        </w:rPr>
        <w:t>is</w:t>
      </w:r>
      <w:r>
        <w:rPr>
          <w:rFonts w:ascii="Times New Roman"/>
          <w:spacing w:val="-4"/>
          <w:sz w:val="24"/>
        </w:rPr>
        <w:t> </w:t>
      </w:r>
      <w:r>
        <w:rPr>
          <w:rFonts w:ascii="Times New Roman"/>
          <w:sz w:val="24"/>
        </w:rPr>
        <w:t>the author of the new Collins book </w:t>
      </w:r>
      <w:r>
        <w:rPr>
          <w:rFonts w:ascii="Times New Roman"/>
          <w:i/>
          <w:sz w:val="24"/>
        </w:rPr>
        <w:t>Retire Early? Make the SMART</w:t>
      </w:r>
      <w:r>
        <w:rPr>
          <w:rFonts w:ascii="Times New Roman"/>
          <w:i/>
          <w:sz w:val="24"/>
        </w:rPr>
        <w:t> </w:t>
      </w:r>
      <w:r>
        <w:rPr>
          <w:rFonts w:ascii="Times New Roman"/>
          <w:i/>
          <w:spacing w:val="-2"/>
          <w:sz w:val="24"/>
        </w:rPr>
        <w:t>Choices.</w:t>
      </w:r>
    </w:p>
    <w:p>
      <w:pPr>
        <w:pStyle w:val="BodyText"/>
        <w:spacing w:before="2"/>
        <w:rPr>
          <w:rFonts w:ascii="Times New Roman"/>
          <w:i/>
          <w:sz w:val="24"/>
        </w:rPr>
      </w:pPr>
    </w:p>
    <w:p>
      <w:pPr>
        <w:spacing w:before="1"/>
        <w:ind w:left="123" w:right="0" w:firstLine="0"/>
        <w:jc w:val="left"/>
        <w:rPr>
          <w:rFonts w:ascii="Times New Roman"/>
          <w:b/>
          <w:sz w:val="24"/>
        </w:rPr>
      </w:pPr>
      <w:hyperlink r:id="rId166">
        <w:r>
          <w:rPr>
            <w:rFonts w:ascii="Times New Roman"/>
            <w:b/>
            <w:spacing w:val="-2"/>
            <w:sz w:val="24"/>
          </w:rPr>
          <w:t>www.tendaymba.com</w:t>
        </w:r>
      </w:hyperlink>
    </w:p>
    <w:p>
      <w:pPr>
        <w:pStyle w:val="BodyText"/>
        <w:spacing w:before="9"/>
        <w:rPr>
          <w:rFonts w:ascii="Times New Roman"/>
          <w:b/>
          <w:sz w:val="23"/>
        </w:rPr>
      </w:pPr>
    </w:p>
    <w:p>
      <w:pPr>
        <w:spacing w:before="0"/>
        <w:ind w:left="123" w:right="759" w:firstLine="0"/>
        <w:jc w:val="left"/>
        <w:rPr>
          <w:rFonts w:ascii="Times New Roman"/>
          <w:sz w:val="24"/>
        </w:rPr>
      </w:pPr>
      <w:r>
        <w:rPr>
          <w:rFonts w:ascii="Times New Roman"/>
          <w:sz w:val="24"/>
        </w:rPr>
        <w:t>Visit</w:t>
      </w:r>
      <w:r>
        <w:rPr>
          <w:rFonts w:ascii="Times New Roman"/>
          <w:spacing w:val="-6"/>
          <w:sz w:val="24"/>
        </w:rPr>
        <w:t> </w:t>
      </w:r>
      <w:hyperlink r:id="rId168">
        <w:r>
          <w:rPr>
            <w:rFonts w:ascii="Times New Roman"/>
            <w:sz w:val="24"/>
          </w:rPr>
          <w:t>www.AuthorTracker.com</w:t>
        </w:r>
        <w:r>
          <w:rPr>
            <w:rFonts w:ascii="Times New Roman"/>
            <w:spacing w:val="-8"/>
            <w:sz w:val="24"/>
          </w:rPr>
          <w:t> </w:t>
        </w:r>
      </w:hyperlink>
      <w:r>
        <w:rPr>
          <w:rFonts w:ascii="Times New Roman"/>
          <w:sz w:val="24"/>
        </w:rPr>
        <w:t>for</w:t>
      </w:r>
      <w:r>
        <w:rPr>
          <w:rFonts w:ascii="Times New Roman"/>
          <w:spacing w:val="-6"/>
          <w:sz w:val="24"/>
        </w:rPr>
        <w:t> </w:t>
      </w:r>
      <w:r>
        <w:rPr>
          <w:rFonts w:ascii="Times New Roman"/>
          <w:sz w:val="24"/>
        </w:rPr>
        <w:t>exclusive</w:t>
      </w:r>
      <w:r>
        <w:rPr>
          <w:rFonts w:ascii="Times New Roman"/>
          <w:spacing w:val="-6"/>
          <w:sz w:val="24"/>
        </w:rPr>
        <w:t> </w:t>
      </w:r>
      <w:r>
        <w:rPr>
          <w:rFonts w:ascii="Times New Roman"/>
          <w:sz w:val="24"/>
        </w:rPr>
        <w:t>information</w:t>
      </w:r>
      <w:r>
        <w:rPr>
          <w:rFonts w:ascii="Times New Roman"/>
          <w:spacing w:val="-6"/>
          <w:sz w:val="24"/>
        </w:rPr>
        <w:t> </w:t>
      </w:r>
      <w:r>
        <w:rPr>
          <w:rFonts w:ascii="Times New Roman"/>
          <w:sz w:val="24"/>
        </w:rPr>
        <w:t>on</w:t>
      </w:r>
      <w:r>
        <w:rPr>
          <w:rFonts w:ascii="Times New Roman"/>
          <w:spacing w:val="-6"/>
          <w:sz w:val="24"/>
        </w:rPr>
        <w:t> </w:t>
      </w:r>
      <w:r>
        <w:rPr>
          <w:rFonts w:ascii="Times New Roman"/>
          <w:sz w:val="24"/>
        </w:rPr>
        <w:t>your favorite HarperCollins author.</w:t>
      </w:r>
    </w:p>
    <w:p>
      <w:pPr>
        <w:spacing w:after="0"/>
        <w:jc w:val="left"/>
        <w:rPr>
          <w:rFonts w:ascii="Times New Roman"/>
          <w:sz w:val="24"/>
        </w:rPr>
        <w:sectPr>
          <w:headerReference w:type="even" r:id="rId167"/>
          <w:pgSz w:w="8640" w:h="12960"/>
          <w:pgMar w:header="0" w:footer="0" w:top="1220" w:bottom="280" w:left="740" w:right="480"/>
        </w:sectPr>
      </w:pPr>
    </w:p>
    <w:p>
      <w:pPr>
        <w:spacing w:before="69"/>
        <w:ind w:left="1412" w:right="1580" w:firstLine="0"/>
        <w:jc w:val="center"/>
        <w:rPr>
          <w:rFonts w:ascii="Arial"/>
          <w:sz w:val="22"/>
        </w:rPr>
      </w:pPr>
      <w:bookmarkStart w:name="Praise" w:id="61"/>
      <w:bookmarkEnd w:id="61"/>
      <w:r>
        <w:rPr/>
      </w:r>
      <w:bookmarkStart w:name="_bookmark29" w:id="62"/>
      <w:bookmarkEnd w:id="62"/>
      <w:r>
        <w:rPr/>
      </w:r>
      <w:hyperlink w:history="true" w:anchor="_bookmark2">
        <w:r>
          <w:rPr>
            <w:rFonts w:ascii="Arial"/>
            <w:color w:val="0000FF"/>
            <w:w w:val="105"/>
            <w:sz w:val="22"/>
          </w:rPr>
          <w:t>PRAISE</w:t>
        </w:r>
        <w:r>
          <w:rPr>
            <w:rFonts w:ascii="Arial"/>
            <w:color w:val="0000FF"/>
            <w:spacing w:val="50"/>
            <w:w w:val="105"/>
            <w:sz w:val="22"/>
          </w:rPr>
          <w:t> </w:t>
        </w:r>
      </w:hyperlink>
      <w:r>
        <w:rPr>
          <w:rFonts w:ascii="Arial"/>
          <w:color w:val="231F20"/>
          <w:spacing w:val="-5"/>
          <w:w w:val="105"/>
          <w:sz w:val="22"/>
        </w:rPr>
        <w:t>FOR</w:t>
      </w:r>
    </w:p>
    <w:p>
      <w:pPr>
        <w:spacing w:before="47"/>
        <w:ind w:left="1412" w:right="1569" w:firstLine="0"/>
        <w:jc w:val="center"/>
        <w:rPr>
          <w:rFonts w:ascii="Arial"/>
          <w:i/>
          <w:sz w:val="22"/>
        </w:rPr>
      </w:pPr>
      <w:r>
        <w:rPr>
          <w:rFonts w:ascii="Arial"/>
          <w:i/>
          <w:color w:val="231F20"/>
          <w:w w:val="105"/>
          <w:sz w:val="22"/>
        </w:rPr>
        <w:t>THE</w:t>
      </w:r>
      <w:r>
        <w:rPr>
          <w:rFonts w:ascii="Arial"/>
          <w:i/>
          <w:color w:val="231F20"/>
          <w:spacing w:val="22"/>
          <w:w w:val="105"/>
          <w:sz w:val="22"/>
        </w:rPr>
        <w:t> </w:t>
      </w:r>
      <w:r>
        <w:rPr>
          <w:rFonts w:ascii="Arial"/>
          <w:i/>
          <w:color w:val="231F20"/>
          <w:spacing w:val="10"/>
          <w:w w:val="105"/>
          <w:sz w:val="22"/>
        </w:rPr>
        <w:t>TEN-</w:t>
      </w:r>
      <w:r>
        <w:rPr>
          <w:rFonts w:ascii="Arial"/>
          <w:i/>
          <w:color w:val="231F20"/>
          <w:w w:val="105"/>
          <w:sz w:val="22"/>
        </w:rPr>
        <w:t>DAY</w:t>
      </w:r>
      <w:r>
        <w:rPr>
          <w:rFonts w:ascii="Arial"/>
          <w:i/>
          <w:color w:val="231F20"/>
          <w:spacing w:val="22"/>
          <w:w w:val="105"/>
          <w:sz w:val="22"/>
        </w:rPr>
        <w:t> </w:t>
      </w:r>
      <w:r>
        <w:rPr>
          <w:rFonts w:ascii="Arial"/>
          <w:i/>
          <w:color w:val="231F20"/>
          <w:spacing w:val="5"/>
          <w:w w:val="105"/>
          <w:sz w:val="22"/>
        </w:rPr>
        <w:t>MBA</w:t>
      </w:r>
    </w:p>
    <w:p>
      <w:pPr>
        <w:pStyle w:val="BodyText"/>
        <w:spacing w:before="8"/>
        <w:rPr>
          <w:rFonts w:ascii="Arial"/>
          <w:i/>
          <w:sz w:val="24"/>
        </w:rPr>
      </w:pPr>
    </w:p>
    <w:p>
      <w:pPr>
        <w:pStyle w:val="BodyText"/>
        <w:spacing w:line="292" w:lineRule="auto"/>
        <w:ind w:left="637" w:right="685" w:hanging="118"/>
        <w:jc w:val="both"/>
      </w:pPr>
      <w:r>
        <w:rPr>
          <w:color w:val="231F20"/>
        </w:rPr>
        <w:t>“Anyone who has ever wished they attended a Top Ten MBA school now has an alternative: Silbiger’s </w:t>
      </w:r>
      <w:r>
        <w:rPr>
          <w:i/>
          <w:color w:val="231F20"/>
        </w:rPr>
        <w:t>The Ten-Day MBA. </w:t>
      </w:r>
      <w:r>
        <w:rPr>
          <w:color w:val="231F20"/>
        </w:rPr>
        <w:t>It distills the basics of a top MBA program. It’s interesting, informative, and cer- tainly cheaper. I recommend it.”</w:t>
      </w:r>
    </w:p>
    <w:p>
      <w:pPr>
        <w:spacing w:before="18"/>
        <w:ind w:left="1380" w:right="0" w:firstLine="0"/>
        <w:jc w:val="left"/>
        <w:rPr>
          <w:rFonts w:ascii="Arial" w:hAnsi="Arial"/>
          <w:sz w:val="14"/>
        </w:rPr>
      </w:pPr>
      <w:r>
        <w:rPr>
          <w:color w:val="231F20"/>
          <w:w w:val="105"/>
          <w:sz w:val="19"/>
        </w:rPr>
        <w:t>—</w:t>
      </w:r>
      <w:r>
        <w:rPr>
          <w:color w:val="231F20"/>
          <w:spacing w:val="-27"/>
          <w:w w:val="105"/>
          <w:sz w:val="19"/>
        </w:rPr>
        <w:t> </w:t>
      </w:r>
      <w:r>
        <w:rPr>
          <w:rFonts w:ascii="Arial" w:hAnsi="Arial"/>
          <w:color w:val="231F20"/>
          <w:w w:val="105"/>
          <w:sz w:val="14"/>
        </w:rPr>
        <w:t>TOM</w:t>
      </w:r>
      <w:r>
        <w:rPr>
          <w:rFonts w:ascii="Arial" w:hAnsi="Arial"/>
          <w:color w:val="231F20"/>
          <w:spacing w:val="18"/>
          <w:w w:val="105"/>
          <w:sz w:val="14"/>
        </w:rPr>
        <w:t> </w:t>
      </w:r>
      <w:r>
        <w:rPr>
          <w:rFonts w:ascii="Arial" w:hAnsi="Arial"/>
          <w:color w:val="231F20"/>
          <w:spacing w:val="-2"/>
          <w:w w:val="105"/>
          <w:sz w:val="14"/>
        </w:rPr>
        <w:t>FISCHGRUND</w:t>
      </w:r>
    </w:p>
    <w:p>
      <w:pPr>
        <w:spacing w:before="77"/>
        <w:ind w:left="1592" w:right="0" w:firstLine="0"/>
        <w:jc w:val="left"/>
        <w:rPr>
          <w:i/>
          <w:sz w:val="19"/>
        </w:rPr>
      </w:pPr>
      <w:r>
        <w:rPr>
          <w:color w:val="231F20"/>
          <w:w w:val="110"/>
          <w:sz w:val="19"/>
        </w:rPr>
        <w:t>Author,</w:t>
      </w:r>
      <w:r>
        <w:rPr>
          <w:color w:val="231F20"/>
          <w:spacing w:val="-7"/>
          <w:w w:val="110"/>
          <w:sz w:val="19"/>
        </w:rPr>
        <w:t> </w:t>
      </w:r>
      <w:r>
        <w:rPr>
          <w:i/>
          <w:color w:val="231F20"/>
          <w:w w:val="110"/>
          <w:sz w:val="19"/>
        </w:rPr>
        <w:t>The</w:t>
      </w:r>
      <w:r>
        <w:rPr>
          <w:i/>
          <w:color w:val="231F20"/>
          <w:spacing w:val="-6"/>
          <w:w w:val="110"/>
          <w:sz w:val="19"/>
        </w:rPr>
        <w:t> </w:t>
      </w:r>
      <w:r>
        <w:rPr>
          <w:i/>
          <w:color w:val="231F20"/>
          <w:w w:val="110"/>
          <w:sz w:val="19"/>
        </w:rPr>
        <w:t>Insider’s</w:t>
      </w:r>
      <w:r>
        <w:rPr>
          <w:i/>
          <w:color w:val="231F20"/>
          <w:spacing w:val="-6"/>
          <w:w w:val="110"/>
          <w:sz w:val="19"/>
        </w:rPr>
        <w:t> </w:t>
      </w:r>
      <w:r>
        <w:rPr>
          <w:i/>
          <w:color w:val="231F20"/>
          <w:w w:val="110"/>
          <w:sz w:val="19"/>
        </w:rPr>
        <w:t>Guide</w:t>
      </w:r>
      <w:r>
        <w:rPr>
          <w:i/>
          <w:color w:val="231F20"/>
          <w:spacing w:val="-6"/>
          <w:w w:val="110"/>
          <w:sz w:val="19"/>
        </w:rPr>
        <w:t> </w:t>
      </w:r>
      <w:r>
        <w:rPr>
          <w:i/>
          <w:color w:val="231F20"/>
          <w:w w:val="110"/>
          <w:sz w:val="19"/>
        </w:rPr>
        <w:t>to</w:t>
      </w:r>
      <w:r>
        <w:rPr>
          <w:i/>
          <w:color w:val="231F20"/>
          <w:spacing w:val="-6"/>
          <w:w w:val="110"/>
          <w:sz w:val="19"/>
        </w:rPr>
        <w:t> </w:t>
      </w:r>
      <w:r>
        <w:rPr>
          <w:i/>
          <w:color w:val="231F20"/>
          <w:w w:val="110"/>
          <w:sz w:val="19"/>
        </w:rPr>
        <w:t>the</w:t>
      </w:r>
      <w:r>
        <w:rPr>
          <w:i/>
          <w:color w:val="231F20"/>
          <w:spacing w:val="-6"/>
          <w:w w:val="110"/>
          <w:sz w:val="19"/>
        </w:rPr>
        <w:t> </w:t>
      </w:r>
      <w:r>
        <w:rPr>
          <w:i/>
          <w:color w:val="231F20"/>
          <w:w w:val="110"/>
          <w:sz w:val="19"/>
        </w:rPr>
        <w:t>Top</w:t>
      </w:r>
      <w:r>
        <w:rPr>
          <w:i/>
          <w:color w:val="231F20"/>
          <w:spacing w:val="-7"/>
          <w:w w:val="110"/>
          <w:sz w:val="19"/>
        </w:rPr>
        <w:t> </w:t>
      </w:r>
      <w:r>
        <w:rPr>
          <w:i/>
          <w:color w:val="231F20"/>
          <w:w w:val="110"/>
          <w:sz w:val="19"/>
        </w:rPr>
        <w:t>Ten</w:t>
      </w:r>
      <w:r>
        <w:rPr>
          <w:i/>
          <w:color w:val="231F20"/>
          <w:spacing w:val="-6"/>
          <w:w w:val="110"/>
          <w:sz w:val="19"/>
        </w:rPr>
        <w:t> </w:t>
      </w:r>
      <w:r>
        <w:rPr>
          <w:i/>
          <w:color w:val="231F20"/>
          <w:w w:val="110"/>
          <w:sz w:val="19"/>
        </w:rPr>
        <w:t>Business</w:t>
      </w:r>
      <w:r>
        <w:rPr>
          <w:i/>
          <w:color w:val="231F20"/>
          <w:spacing w:val="-6"/>
          <w:w w:val="110"/>
          <w:sz w:val="19"/>
        </w:rPr>
        <w:t> </w:t>
      </w:r>
      <w:r>
        <w:rPr>
          <w:i/>
          <w:color w:val="231F20"/>
          <w:spacing w:val="-2"/>
          <w:w w:val="110"/>
          <w:sz w:val="19"/>
        </w:rPr>
        <w:t>Schools</w:t>
      </w:r>
    </w:p>
    <w:p>
      <w:pPr>
        <w:spacing w:before="77"/>
        <w:ind w:left="1592" w:right="0" w:firstLine="0"/>
        <w:jc w:val="left"/>
        <w:rPr>
          <w:sz w:val="19"/>
        </w:rPr>
      </w:pPr>
      <w:r>
        <w:rPr>
          <w:color w:val="231F20"/>
          <w:w w:val="110"/>
          <w:sz w:val="19"/>
        </w:rPr>
        <w:t>Harvard</w:t>
      </w:r>
      <w:r>
        <w:rPr>
          <w:color w:val="231F20"/>
          <w:spacing w:val="11"/>
          <w:w w:val="110"/>
          <w:sz w:val="19"/>
        </w:rPr>
        <w:t> </w:t>
      </w:r>
      <w:r>
        <w:rPr>
          <w:color w:val="231F20"/>
          <w:w w:val="110"/>
          <w:sz w:val="19"/>
        </w:rPr>
        <w:t>MBA,</w:t>
      </w:r>
      <w:r>
        <w:rPr>
          <w:color w:val="231F20"/>
          <w:spacing w:val="11"/>
          <w:w w:val="110"/>
          <w:sz w:val="19"/>
        </w:rPr>
        <w:t> </w:t>
      </w:r>
      <w:r>
        <w:rPr>
          <w:color w:val="231F20"/>
          <w:spacing w:val="-5"/>
          <w:w w:val="110"/>
          <w:sz w:val="19"/>
        </w:rPr>
        <w:t>’80</w:t>
      </w:r>
    </w:p>
    <w:p>
      <w:pPr>
        <w:spacing w:before="77"/>
        <w:ind w:left="1592" w:right="0" w:firstLine="0"/>
        <w:jc w:val="left"/>
        <w:rPr>
          <w:sz w:val="19"/>
        </w:rPr>
      </w:pPr>
      <w:r>
        <w:rPr>
          <w:color w:val="231F20"/>
          <w:spacing w:val="-2"/>
          <w:w w:val="105"/>
          <w:sz w:val="19"/>
        </w:rPr>
        <w:t>Senior</w:t>
      </w:r>
      <w:r>
        <w:rPr>
          <w:color w:val="231F20"/>
          <w:spacing w:val="7"/>
          <w:w w:val="105"/>
          <w:sz w:val="19"/>
        </w:rPr>
        <w:t> </w:t>
      </w:r>
      <w:r>
        <w:rPr>
          <w:color w:val="231F20"/>
          <w:spacing w:val="-2"/>
          <w:w w:val="105"/>
          <w:sz w:val="19"/>
        </w:rPr>
        <w:t>marketing</w:t>
      </w:r>
      <w:r>
        <w:rPr>
          <w:color w:val="231F20"/>
          <w:spacing w:val="8"/>
          <w:w w:val="105"/>
          <w:sz w:val="19"/>
        </w:rPr>
        <w:t> </w:t>
      </w:r>
      <w:r>
        <w:rPr>
          <w:color w:val="231F20"/>
          <w:spacing w:val="-2"/>
          <w:w w:val="105"/>
          <w:sz w:val="19"/>
        </w:rPr>
        <w:t>manager,</w:t>
      </w:r>
      <w:r>
        <w:rPr>
          <w:color w:val="231F20"/>
          <w:spacing w:val="8"/>
          <w:w w:val="105"/>
          <w:sz w:val="19"/>
        </w:rPr>
        <w:t> </w:t>
      </w:r>
      <w:r>
        <w:rPr>
          <w:color w:val="231F20"/>
          <w:spacing w:val="-2"/>
          <w:w w:val="105"/>
          <w:sz w:val="19"/>
        </w:rPr>
        <w:t>Coca-</w:t>
      </w:r>
      <w:r>
        <w:rPr>
          <w:color w:val="231F20"/>
          <w:spacing w:val="-4"/>
          <w:w w:val="105"/>
          <w:sz w:val="19"/>
        </w:rPr>
        <w:t>Cola</w:t>
      </w:r>
    </w:p>
    <w:p>
      <w:pPr>
        <w:pStyle w:val="BodyText"/>
        <w:spacing w:before="6"/>
        <w:rPr>
          <w:sz w:val="23"/>
        </w:rPr>
      </w:pPr>
    </w:p>
    <w:p>
      <w:pPr>
        <w:pStyle w:val="BodyText"/>
        <w:spacing w:line="292" w:lineRule="auto"/>
        <w:ind w:left="637" w:right="686" w:hanging="118"/>
        <w:jc w:val="both"/>
      </w:pPr>
      <w:r>
        <w:rPr>
          <w:color w:val="231F20"/>
        </w:rPr>
        <w:t>“Reading the book brought back vivid memories of the two most difficult and painful years of my life. With an undergraduate </w:t>
      </w:r>
      <w:r>
        <w:rPr>
          <w:color w:val="231F20"/>
        </w:rPr>
        <w:t>degree in philosophy, I wish I had prepared and read this </w:t>
      </w:r>
      <w:r>
        <w:rPr>
          <w:i/>
          <w:color w:val="231F20"/>
        </w:rPr>
        <w:t>before </w:t>
      </w:r>
      <w:r>
        <w:rPr>
          <w:color w:val="231F20"/>
        </w:rPr>
        <w:t>I went to</w:t>
      </w:r>
      <w:r>
        <w:rPr>
          <w:color w:val="231F20"/>
          <w:spacing w:val="40"/>
        </w:rPr>
        <w:t> </w:t>
      </w:r>
      <w:r>
        <w:rPr>
          <w:color w:val="231F20"/>
          <w:spacing w:val="-2"/>
        </w:rPr>
        <w:t>B-school.”</w:t>
      </w:r>
    </w:p>
    <w:p>
      <w:pPr>
        <w:spacing w:before="17"/>
        <w:ind w:left="1380" w:right="0" w:firstLine="0"/>
        <w:jc w:val="left"/>
        <w:rPr>
          <w:rFonts w:ascii="Arial" w:hAnsi="Arial"/>
          <w:sz w:val="14"/>
        </w:rPr>
      </w:pPr>
      <w:r>
        <w:rPr>
          <w:color w:val="231F20"/>
          <w:w w:val="105"/>
          <w:sz w:val="19"/>
        </w:rPr>
        <w:t>—</w:t>
      </w:r>
      <w:r>
        <w:rPr>
          <w:color w:val="231F20"/>
          <w:spacing w:val="-25"/>
          <w:w w:val="105"/>
          <w:sz w:val="19"/>
        </w:rPr>
        <w:t> </w:t>
      </w:r>
      <w:r>
        <w:rPr>
          <w:rFonts w:ascii="Arial" w:hAnsi="Arial"/>
          <w:color w:val="231F20"/>
          <w:w w:val="105"/>
          <w:sz w:val="14"/>
        </w:rPr>
        <w:t>PAUL</w:t>
      </w:r>
      <w:r>
        <w:rPr>
          <w:rFonts w:ascii="Arial" w:hAnsi="Arial"/>
          <w:color w:val="231F20"/>
          <w:spacing w:val="23"/>
          <w:w w:val="105"/>
          <w:sz w:val="14"/>
        </w:rPr>
        <w:t> </w:t>
      </w:r>
      <w:r>
        <w:rPr>
          <w:rFonts w:ascii="Arial" w:hAnsi="Arial"/>
          <w:color w:val="231F20"/>
          <w:spacing w:val="-2"/>
          <w:w w:val="105"/>
          <w:sz w:val="14"/>
        </w:rPr>
        <w:t>PLIAKAS</w:t>
      </w:r>
    </w:p>
    <w:p>
      <w:pPr>
        <w:spacing w:before="78"/>
        <w:ind w:left="1592" w:right="0" w:firstLine="0"/>
        <w:jc w:val="left"/>
        <w:rPr>
          <w:sz w:val="19"/>
        </w:rPr>
      </w:pPr>
      <w:r>
        <w:rPr>
          <w:color w:val="231F20"/>
          <w:w w:val="110"/>
          <w:sz w:val="19"/>
        </w:rPr>
        <w:t>Virginia</w:t>
      </w:r>
      <w:r>
        <w:rPr>
          <w:color w:val="231F20"/>
          <w:spacing w:val="6"/>
          <w:w w:val="110"/>
          <w:sz w:val="19"/>
        </w:rPr>
        <w:t> </w:t>
      </w:r>
      <w:r>
        <w:rPr>
          <w:color w:val="231F20"/>
          <w:w w:val="110"/>
          <w:sz w:val="19"/>
        </w:rPr>
        <w:t>MBA,</w:t>
      </w:r>
      <w:r>
        <w:rPr>
          <w:color w:val="231F20"/>
          <w:spacing w:val="6"/>
          <w:w w:val="110"/>
          <w:sz w:val="19"/>
        </w:rPr>
        <w:t> </w:t>
      </w:r>
      <w:r>
        <w:rPr>
          <w:color w:val="231F20"/>
          <w:spacing w:val="-5"/>
          <w:w w:val="110"/>
          <w:sz w:val="19"/>
        </w:rPr>
        <w:t>’90</w:t>
      </w:r>
    </w:p>
    <w:p>
      <w:pPr>
        <w:spacing w:before="77"/>
        <w:ind w:left="1592" w:right="0" w:firstLine="0"/>
        <w:jc w:val="left"/>
        <w:rPr>
          <w:sz w:val="19"/>
        </w:rPr>
      </w:pPr>
      <w:r>
        <w:rPr>
          <w:color w:val="231F20"/>
          <w:sz w:val="19"/>
        </w:rPr>
        <w:t>Assistant</w:t>
      </w:r>
      <w:r>
        <w:rPr>
          <w:color w:val="231F20"/>
          <w:spacing w:val="35"/>
          <w:sz w:val="19"/>
        </w:rPr>
        <w:t> </w:t>
      </w:r>
      <w:r>
        <w:rPr>
          <w:color w:val="231F20"/>
          <w:sz w:val="19"/>
        </w:rPr>
        <w:t>product</w:t>
      </w:r>
      <w:r>
        <w:rPr>
          <w:color w:val="231F20"/>
          <w:spacing w:val="35"/>
          <w:sz w:val="19"/>
        </w:rPr>
        <w:t> </w:t>
      </w:r>
      <w:r>
        <w:rPr>
          <w:color w:val="231F20"/>
          <w:sz w:val="19"/>
        </w:rPr>
        <w:t>manager,</w:t>
      </w:r>
      <w:r>
        <w:rPr>
          <w:color w:val="231F20"/>
          <w:spacing w:val="35"/>
          <w:sz w:val="19"/>
        </w:rPr>
        <w:t> </w:t>
      </w:r>
      <w:r>
        <w:rPr>
          <w:color w:val="231F20"/>
          <w:sz w:val="19"/>
        </w:rPr>
        <w:t>Kimberly-</w:t>
      </w:r>
      <w:r>
        <w:rPr>
          <w:color w:val="231F20"/>
          <w:spacing w:val="-2"/>
          <w:sz w:val="19"/>
        </w:rPr>
        <w:t>Clark</w:t>
      </w:r>
    </w:p>
    <w:p>
      <w:pPr>
        <w:pStyle w:val="BodyText"/>
        <w:spacing w:before="5"/>
        <w:rPr>
          <w:sz w:val="23"/>
        </w:rPr>
      </w:pPr>
    </w:p>
    <w:p>
      <w:pPr>
        <w:pStyle w:val="BodyText"/>
        <w:spacing w:line="292" w:lineRule="auto"/>
        <w:ind w:left="637" w:right="685" w:hanging="118"/>
        <w:jc w:val="both"/>
      </w:pPr>
      <w:r>
        <w:rPr>
          <w:i/>
          <w:color w:val="231F20"/>
          <w:w w:val="105"/>
        </w:rPr>
        <w:t>“The</w:t>
      </w:r>
      <w:r>
        <w:rPr>
          <w:i/>
          <w:color w:val="231F20"/>
          <w:w w:val="105"/>
        </w:rPr>
        <w:t> Ten-Day</w:t>
      </w:r>
      <w:r>
        <w:rPr>
          <w:i/>
          <w:color w:val="231F20"/>
          <w:w w:val="105"/>
        </w:rPr>
        <w:t> MBA</w:t>
      </w:r>
      <w:r>
        <w:rPr>
          <w:i/>
          <w:color w:val="231F20"/>
          <w:w w:val="105"/>
        </w:rPr>
        <w:t> </w:t>
      </w:r>
      <w:r>
        <w:rPr>
          <w:color w:val="231F20"/>
          <w:w w:val="105"/>
        </w:rPr>
        <w:t>is</w:t>
      </w:r>
      <w:r>
        <w:rPr>
          <w:color w:val="231F20"/>
          <w:w w:val="105"/>
        </w:rPr>
        <w:t> a</w:t>
      </w:r>
      <w:r>
        <w:rPr>
          <w:color w:val="231F20"/>
          <w:w w:val="105"/>
        </w:rPr>
        <w:t> great</w:t>
      </w:r>
      <w:r>
        <w:rPr>
          <w:color w:val="231F20"/>
          <w:w w:val="105"/>
        </w:rPr>
        <w:t> refresher</w:t>
      </w:r>
      <w:r>
        <w:rPr>
          <w:color w:val="231F20"/>
          <w:w w:val="105"/>
        </w:rPr>
        <w:t> course</w:t>
      </w:r>
      <w:r>
        <w:rPr>
          <w:color w:val="231F20"/>
          <w:w w:val="105"/>
        </w:rPr>
        <w:t> because</w:t>
      </w:r>
      <w:r>
        <w:rPr>
          <w:color w:val="231F20"/>
          <w:w w:val="105"/>
        </w:rPr>
        <w:t> it</w:t>
      </w:r>
      <w:r>
        <w:rPr>
          <w:color w:val="231F20"/>
          <w:w w:val="105"/>
        </w:rPr>
        <w:t> summa- rizes</w:t>
      </w:r>
      <w:r>
        <w:rPr>
          <w:color w:val="231F20"/>
          <w:spacing w:val="-5"/>
          <w:w w:val="105"/>
        </w:rPr>
        <w:t> </w:t>
      </w:r>
      <w:r>
        <w:rPr>
          <w:color w:val="231F20"/>
          <w:w w:val="105"/>
        </w:rPr>
        <w:t>all</w:t>
      </w:r>
      <w:r>
        <w:rPr>
          <w:color w:val="231F20"/>
          <w:spacing w:val="-5"/>
          <w:w w:val="105"/>
        </w:rPr>
        <w:t> </w:t>
      </w:r>
      <w:r>
        <w:rPr>
          <w:color w:val="231F20"/>
          <w:w w:val="105"/>
        </w:rPr>
        <w:t>the</w:t>
      </w:r>
      <w:r>
        <w:rPr>
          <w:color w:val="231F20"/>
          <w:spacing w:val="-5"/>
          <w:w w:val="105"/>
        </w:rPr>
        <w:t> </w:t>
      </w:r>
      <w:r>
        <w:rPr>
          <w:color w:val="231F20"/>
          <w:w w:val="105"/>
        </w:rPr>
        <w:t>key</w:t>
      </w:r>
      <w:r>
        <w:rPr>
          <w:color w:val="231F20"/>
          <w:spacing w:val="-5"/>
          <w:w w:val="105"/>
        </w:rPr>
        <w:t> </w:t>
      </w:r>
      <w:r>
        <w:rPr>
          <w:color w:val="231F20"/>
          <w:w w:val="105"/>
        </w:rPr>
        <w:t>areas</w:t>
      </w:r>
      <w:r>
        <w:rPr>
          <w:color w:val="231F20"/>
          <w:spacing w:val="-5"/>
          <w:w w:val="105"/>
        </w:rPr>
        <w:t> </w:t>
      </w:r>
      <w:r>
        <w:rPr>
          <w:color w:val="231F20"/>
          <w:w w:val="105"/>
        </w:rPr>
        <w:t>that</w:t>
      </w:r>
      <w:r>
        <w:rPr>
          <w:color w:val="231F20"/>
          <w:spacing w:val="-5"/>
          <w:w w:val="105"/>
        </w:rPr>
        <w:t> </w:t>
      </w:r>
      <w:r>
        <w:rPr>
          <w:color w:val="231F20"/>
          <w:w w:val="105"/>
        </w:rPr>
        <w:t>my</w:t>
      </w:r>
      <w:r>
        <w:rPr>
          <w:color w:val="231F20"/>
          <w:spacing w:val="-5"/>
          <w:w w:val="105"/>
        </w:rPr>
        <w:t> </w:t>
      </w:r>
      <w:r>
        <w:rPr>
          <w:color w:val="231F20"/>
          <w:w w:val="105"/>
        </w:rPr>
        <w:t>Ivy</w:t>
      </w:r>
      <w:r>
        <w:rPr>
          <w:color w:val="231F20"/>
          <w:spacing w:val="-5"/>
          <w:w w:val="105"/>
        </w:rPr>
        <w:t> </w:t>
      </w:r>
      <w:r>
        <w:rPr>
          <w:color w:val="231F20"/>
          <w:w w:val="105"/>
        </w:rPr>
        <w:t>League</w:t>
      </w:r>
      <w:r>
        <w:rPr>
          <w:color w:val="231F20"/>
          <w:spacing w:val="-5"/>
          <w:w w:val="105"/>
        </w:rPr>
        <w:t> </w:t>
      </w:r>
      <w:r>
        <w:rPr>
          <w:color w:val="231F20"/>
          <w:w w:val="105"/>
        </w:rPr>
        <w:t>MBA</w:t>
      </w:r>
      <w:r>
        <w:rPr>
          <w:color w:val="231F20"/>
          <w:spacing w:val="-5"/>
          <w:w w:val="105"/>
        </w:rPr>
        <w:t> </w:t>
      </w:r>
      <w:r>
        <w:rPr>
          <w:color w:val="231F20"/>
          <w:w w:val="105"/>
        </w:rPr>
        <w:t>covered.</w:t>
      </w:r>
      <w:r>
        <w:rPr>
          <w:color w:val="231F20"/>
          <w:spacing w:val="-5"/>
          <w:w w:val="105"/>
        </w:rPr>
        <w:t> </w:t>
      </w:r>
      <w:r>
        <w:rPr>
          <w:color w:val="231F20"/>
          <w:w w:val="105"/>
        </w:rPr>
        <w:t>More</w:t>
      </w:r>
      <w:r>
        <w:rPr>
          <w:color w:val="231F20"/>
          <w:spacing w:val="-5"/>
          <w:w w:val="105"/>
        </w:rPr>
        <w:t> </w:t>
      </w:r>
      <w:r>
        <w:rPr>
          <w:color w:val="231F20"/>
          <w:w w:val="105"/>
        </w:rPr>
        <w:t>im- portant,</w:t>
      </w:r>
      <w:r>
        <w:rPr>
          <w:color w:val="231F20"/>
          <w:w w:val="105"/>
        </w:rPr>
        <w:t> </w:t>
      </w:r>
      <w:r>
        <w:rPr>
          <w:i/>
          <w:color w:val="231F20"/>
          <w:w w:val="105"/>
        </w:rPr>
        <w:t>The</w:t>
      </w:r>
      <w:r>
        <w:rPr>
          <w:i/>
          <w:color w:val="231F20"/>
          <w:w w:val="105"/>
        </w:rPr>
        <w:t> Ten-Day</w:t>
      </w:r>
      <w:r>
        <w:rPr>
          <w:i/>
          <w:color w:val="231F20"/>
          <w:w w:val="105"/>
        </w:rPr>
        <w:t> MBA</w:t>
      </w:r>
      <w:r>
        <w:rPr>
          <w:i/>
          <w:color w:val="231F20"/>
          <w:w w:val="105"/>
        </w:rPr>
        <w:t> </w:t>
      </w:r>
      <w:r>
        <w:rPr>
          <w:color w:val="231F20"/>
          <w:w w:val="105"/>
        </w:rPr>
        <w:t>has</w:t>
      </w:r>
      <w:r>
        <w:rPr>
          <w:color w:val="231F20"/>
          <w:w w:val="105"/>
        </w:rPr>
        <w:t> actually</w:t>
      </w:r>
      <w:r>
        <w:rPr>
          <w:color w:val="231F20"/>
          <w:w w:val="105"/>
        </w:rPr>
        <w:t> helped</w:t>
      </w:r>
      <w:r>
        <w:rPr>
          <w:color w:val="231F20"/>
          <w:w w:val="105"/>
        </w:rPr>
        <w:t> me</w:t>
      </w:r>
      <w:r>
        <w:rPr>
          <w:color w:val="231F20"/>
          <w:w w:val="105"/>
        </w:rPr>
        <w:t> understand </w:t>
      </w:r>
      <w:r>
        <w:rPr>
          <w:color w:val="231F20"/>
        </w:rPr>
        <w:t>many business concepts better now than I did during the mad two- </w:t>
      </w:r>
      <w:r>
        <w:rPr>
          <w:color w:val="231F20"/>
          <w:w w:val="105"/>
        </w:rPr>
        <w:t>year rush that was my MBA experience.”</w:t>
      </w:r>
    </w:p>
    <w:p>
      <w:pPr>
        <w:spacing w:before="17"/>
        <w:ind w:left="1380" w:right="0" w:firstLine="0"/>
        <w:jc w:val="left"/>
        <w:rPr>
          <w:rFonts w:ascii="Arial" w:hAnsi="Arial"/>
          <w:sz w:val="14"/>
        </w:rPr>
      </w:pPr>
      <w:r>
        <w:rPr>
          <w:color w:val="231F20"/>
          <w:w w:val="105"/>
          <w:sz w:val="19"/>
        </w:rPr>
        <w:t>—</w:t>
      </w:r>
      <w:r>
        <w:rPr>
          <w:color w:val="231F20"/>
          <w:spacing w:val="-24"/>
          <w:w w:val="105"/>
          <w:sz w:val="19"/>
        </w:rPr>
        <w:t> </w:t>
      </w:r>
      <w:r>
        <w:rPr>
          <w:rFonts w:ascii="Arial" w:hAnsi="Arial"/>
          <w:color w:val="231F20"/>
          <w:w w:val="105"/>
          <w:sz w:val="14"/>
        </w:rPr>
        <w:t>THOMAS</w:t>
      </w:r>
      <w:r>
        <w:rPr>
          <w:rFonts w:ascii="Arial" w:hAnsi="Arial"/>
          <w:color w:val="231F20"/>
          <w:spacing w:val="26"/>
          <w:w w:val="105"/>
          <w:sz w:val="14"/>
        </w:rPr>
        <w:t> </w:t>
      </w:r>
      <w:r>
        <w:rPr>
          <w:rFonts w:ascii="Arial" w:hAnsi="Arial"/>
          <w:color w:val="231F20"/>
          <w:w w:val="105"/>
          <w:sz w:val="14"/>
        </w:rPr>
        <w:t>C.</w:t>
      </w:r>
      <w:r>
        <w:rPr>
          <w:rFonts w:ascii="Arial" w:hAnsi="Arial"/>
          <w:color w:val="231F20"/>
          <w:spacing w:val="26"/>
          <w:w w:val="105"/>
          <w:sz w:val="14"/>
        </w:rPr>
        <w:t> </w:t>
      </w:r>
      <w:r>
        <w:rPr>
          <w:rFonts w:ascii="Arial" w:hAnsi="Arial"/>
          <w:color w:val="231F20"/>
          <w:spacing w:val="-2"/>
          <w:w w:val="105"/>
          <w:sz w:val="14"/>
        </w:rPr>
        <w:t>PORTH</w:t>
      </w:r>
    </w:p>
    <w:p>
      <w:pPr>
        <w:spacing w:line="324" w:lineRule="auto" w:before="78"/>
        <w:ind w:left="1592" w:right="3382" w:firstLine="0"/>
        <w:jc w:val="left"/>
        <w:rPr>
          <w:sz w:val="19"/>
        </w:rPr>
      </w:pPr>
      <w:r>
        <w:rPr>
          <w:color w:val="231F20"/>
          <w:w w:val="105"/>
          <w:sz w:val="19"/>
        </w:rPr>
        <w:t>Columbia MBA, ’86 </w:t>
      </w:r>
      <w:r>
        <w:rPr>
          <w:color w:val="231F20"/>
          <w:sz w:val="19"/>
        </w:rPr>
        <w:t>Treasurer, Nutri/System, </w:t>
      </w:r>
      <w:r>
        <w:rPr>
          <w:color w:val="231F20"/>
          <w:sz w:val="19"/>
        </w:rPr>
        <w:t>Inc.</w:t>
      </w:r>
    </w:p>
    <w:p>
      <w:pPr>
        <w:pStyle w:val="BodyText"/>
        <w:spacing w:line="292" w:lineRule="auto" w:before="196"/>
        <w:ind w:left="637" w:right="685" w:hanging="118"/>
        <w:jc w:val="both"/>
      </w:pPr>
      <w:r>
        <w:rPr>
          <w:color w:val="231F20"/>
        </w:rPr>
        <w:t>“I couldn’t put my career on hold for two years, but I knew that </w:t>
      </w:r>
      <w:r>
        <w:rPr>
          <w:color w:val="231F20"/>
        </w:rPr>
        <w:t>an MBA would permit me to serve my clients more effectively. Steve Silbiger has placed these necessary skills within reach of all profes- sionals in large and small firms. </w:t>
      </w:r>
      <w:r>
        <w:rPr>
          <w:i/>
          <w:color w:val="231F20"/>
        </w:rPr>
        <w:t>The Ten-Day MBA </w:t>
      </w:r>
      <w:r>
        <w:rPr>
          <w:color w:val="231F20"/>
        </w:rPr>
        <w:t>gave me the competitive edge many professionals seek.”</w:t>
      </w:r>
    </w:p>
    <w:p>
      <w:pPr>
        <w:spacing w:before="17"/>
        <w:ind w:left="1380" w:right="0" w:firstLine="0"/>
        <w:jc w:val="left"/>
        <w:rPr>
          <w:rFonts w:ascii="Arial" w:hAnsi="Arial"/>
          <w:sz w:val="14"/>
        </w:rPr>
      </w:pPr>
      <w:r>
        <w:rPr>
          <w:color w:val="231F20"/>
          <w:w w:val="105"/>
          <w:sz w:val="19"/>
        </w:rPr>
        <w:t>—</w:t>
      </w:r>
      <w:r>
        <w:rPr>
          <w:color w:val="231F20"/>
          <w:spacing w:val="-25"/>
          <w:w w:val="105"/>
          <w:sz w:val="19"/>
        </w:rPr>
        <w:t> </w:t>
      </w:r>
      <w:r>
        <w:rPr>
          <w:rFonts w:ascii="Arial" w:hAnsi="Arial"/>
          <w:color w:val="231F20"/>
          <w:w w:val="105"/>
          <w:sz w:val="14"/>
        </w:rPr>
        <w:t>GARY</w:t>
      </w:r>
      <w:r>
        <w:rPr>
          <w:rFonts w:ascii="Arial" w:hAnsi="Arial"/>
          <w:color w:val="231F20"/>
          <w:spacing w:val="24"/>
          <w:w w:val="105"/>
          <w:sz w:val="14"/>
        </w:rPr>
        <w:t> </w:t>
      </w:r>
      <w:r>
        <w:rPr>
          <w:rFonts w:ascii="Arial" w:hAnsi="Arial"/>
          <w:color w:val="231F20"/>
          <w:spacing w:val="-2"/>
          <w:w w:val="105"/>
          <w:sz w:val="14"/>
        </w:rPr>
        <w:t>BLEIBERG</w:t>
      </w:r>
    </w:p>
    <w:p>
      <w:pPr>
        <w:spacing w:before="77"/>
        <w:ind w:left="1592" w:right="0" w:firstLine="0"/>
        <w:jc w:val="left"/>
        <w:rPr>
          <w:sz w:val="19"/>
        </w:rPr>
      </w:pPr>
      <w:r>
        <w:rPr>
          <w:color w:val="231F20"/>
          <w:w w:val="110"/>
          <w:sz w:val="19"/>
        </w:rPr>
        <w:t>Ten-Day</w:t>
      </w:r>
      <w:r>
        <w:rPr>
          <w:color w:val="231F20"/>
          <w:spacing w:val="4"/>
          <w:w w:val="110"/>
          <w:sz w:val="19"/>
        </w:rPr>
        <w:t> </w:t>
      </w:r>
      <w:r>
        <w:rPr>
          <w:color w:val="231F20"/>
          <w:w w:val="110"/>
          <w:sz w:val="19"/>
        </w:rPr>
        <w:t>MBA,</w:t>
      </w:r>
      <w:r>
        <w:rPr>
          <w:color w:val="231F20"/>
          <w:spacing w:val="5"/>
          <w:w w:val="110"/>
          <w:sz w:val="19"/>
        </w:rPr>
        <w:t> </w:t>
      </w:r>
      <w:r>
        <w:rPr>
          <w:color w:val="231F20"/>
          <w:spacing w:val="-5"/>
          <w:w w:val="110"/>
          <w:sz w:val="19"/>
        </w:rPr>
        <w:t>’05</w:t>
      </w:r>
    </w:p>
    <w:p>
      <w:pPr>
        <w:spacing w:before="77"/>
        <w:ind w:left="1592" w:right="0" w:firstLine="0"/>
        <w:jc w:val="left"/>
        <w:rPr>
          <w:sz w:val="19"/>
        </w:rPr>
      </w:pPr>
      <w:r>
        <w:rPr>
          <w:color w:val="231F20"/>
          <w:w w:val="105"/>
          <w:sz w:val="19"/>
        </w:rPr>
        <w:t>Chief</w:t>
      </w:r>
      <w:r>
        <w:rPr>
          <w:color w:val="231F20"/>
          <w:spacing w:val="12"/>
          <w:w w:val="105"/>
          <w:sz w:val="19"/>
        </w:rPr>
        <w:t> </w:t>
      </w:r>
      <w:r>
        <w:rPr>
          <w:color w:val="231F20"/>
          <w:w w:val="105"/>
          <w:sz w:val="19"/>
        </w:rPr>
        <w:t>financial</w:t>
      </w:r>
      <w:r>
        <w:rPr>
          <w:color w:val="231F20"/>
          <w:spacing w:val="12"/>
          <w:w w:val="105"/>
          <w:sz w:val="19"/>
        </w:rPr>
        <w:t> </w:t>
      </w:r>
      <w:r>
        <w:rPr>
          <w:color w:val="231F20"/>
          <w:w w:val="105"/>
          <w:sz w:val="19"/>
        </w:rPr>
        <w:t>officer—High</w:t>
      </w:r>
      <w:r>
        <w:rPr>
          <w:color w:val="231F20"/>
          <w:spacing w:val="12"/>
          <w:w w:val="105"/>
          <w:sz w:val="19"/>
        </w:rPr>
        <w:t> </w:t>
      </w:r>
      <w:r>
        <w:rPr>
          <w:color w:val="231F20"/>
          <w:w w:val="105"/>
          <w:sz w:val="19"/>
        </w:rPr>
        <w:t>Yield,</w:t>
      </w:r>
      <w:r>
        <w:rPr>
          <w:color w:val="231F20"/>
          <w:spacing w:val="12"/>
          <w:w w:val="105"/>
          <w:sz w:val="19"/>
        </w:rPr>
        <w:t> </w:t>
      </w:r>
      <w:r>
        <w:rPr>
          <w:color w:val="231F20"/>
          <w:w w:val="105"/>
          <w:sz w:val="19"/>
        </w:rPr>
        <w:t>The</w:t>
      </w:r>
      <w:r>
        <w:rPr>
          <w:color w:val="231F20"/>
          <w:spacing w:val="12"/>
          <w:w w:val="105"/>
          <w:sz w:val="19"/>
        </w:rPr>
        <w:t> </w:t>
      </w:r>
      <w:r>
        <w:rPr>
          <w:color w:val="231F20"/>
          <w:w w:val="105"/>
          <w:sz w:val="19"/>
        </w:rPr>
        <w:t>Carlyle</w:t>
      </w:r>
      <w:r>
        <w:rPr>
          <w:color w:val="231F20"/>
          <w:spacing w:val="12"/>
          <w:w w:val="105"/>
          <w:sz w:val="19"/>
        </w:rPr>
        <w:t> </w:t>
      </w:r>
      <w:r>
        <w:rPr>
          <w:color w:val="231F20"/>
          <w:spacing w:val="-2"/>
          <w:w w:val="105"/>
          <w:sz w:val="19"/>
        </w:rPr>
        <w:t>Group</w:t>
      </w:r>
    </w:p>
    <w:p>
      <w:pPr>
        <w:spacing w:after="0"/>
        <w:jc w:val="left"/>
        <w:rPr>
          <w:sz w:val="19"/>
        </w:rPr>
        <w:sectPr>
          <w:headerReference w:type="default" r:id="rId169"/>
          <w:pgSz w:w="8640" w:h="12960"/>
          <w:pgMar w:header="0" w:footer="0" w:top="1180" w:bottom="280" w:left="740" w:right="480"/>
        </w:sectPr>
      </w:pPr>
    </w:p>
    <w:p>
      <w:pPr>
        <w:pStyle w:val="BodyText"/>
        <w:spacing w:line="292" w:lineRule="auto" w:before="83"/>
        <w:ind w:left="547" w:right="775" w:hanging="118"/>
        <w:jc w:val="both"/>
      </w:pPr>
      <w:r>
        <w:rPr>
          <w:color w:val="231F20"/>
        </w:rPr>
        <w:t>“For professionals like me who frequently travel, plowing </w:t>
      </w:r>
      <w:r>
        <w:rPr>
          <w:color w:val="231F20"/>
        </w:rPr>
        <w:t>through night school was out of the question. Now I no longer feel like an outsider when my MBA friends talk. Someday I may need to get my MBA diploma; in the meantime, however, I feel more secure about my business knowledge with only this minimal investment of time and money.”</w:t>
      </w:r>
    </w:p>
    <w:p>
      <w:pPr>
        <w:spacing w:before="17"/>
        <w:ind w:left="1290" w:right="0" w:firstLine="0"/>
        <w:jc w:val="left"/>
        <w:rPr>
          <w:rFonts w:ascii="Arial" w:hAnsi="Arial"/>
          <w:sz w:val="14"/>
        </w:rPr>
      </w:pPr>
      <w:r>
        <w:rPr>
          <w:color w:val="231F20"/>
          <w:sz w:val="19"/>
        </w:rPr>
        <w:t>—</w:t>
      </w:r>
      <w:r>
        <w:rPr>
          <w:color w:val="231F20"/>
          <w:spacing w:val="-18"/>
          <w:sz w:val="19"/>
        </w:rPr>
        <w:t> </w:t>
      </w:r>
      <w:r>
        <w:rPr>
          <w:rFonts w:ascii="Arial" w:hAnsi="Arial"/>
          <w:color w:val="231F20"/>
          <w:sz w:val="14"/>
        </w:rPr>
        <w:t>GREGORY</w:t>
      </w:r>
      <w:r>
        <w:rPr>
          <w:rFonts w:ascii="Arial" w:hAnsi="Arial"/>
          <w:color w:val="231F20"/>
          <w:spacing w:val="41"/>
          <w:sz w:val="14"/>
        </w:rPr>
        <w:t> </w:t>
      </w:r>
      <w:r>
        <w:rPr>
          <w:rFonts w:ascii="Arial" w:hAnsi="Arial"/>
          <w:color w:val="231F20"/>
          <w:sz w:val="14"/>
        </w:rPr>
        <w:t>R.</w:t>
      </w:r>
      <w:r>
        <w:rPr>
          <w:rFonts w:ascii="Arial" w:hAnsi="Arial"/>
          <w:color w:val="231F20"/>
          <w:spacing w:val="42"/>
          <w:sz w:val="14"/>
        </w:rPr>
        <w:t> </w:t>
      </w:r>
      <w:r>
        <w:rPr>
          <w:rFonts w:ascii="Arial" w:hAnsi="Arial"/>
          <w:color w:val="231F20"/>
          <w:spacing w:val="-2"/>
          <w:sz w:val="14"/>
        </w:rPr>
        <w:t>RINGEL</w:t>
      </w:r>
    </w:p>
    <w:p>
      <w:pPr>
        <w:spacing w:before="77"/>
        <w:ind w:left="1502" w:right="0" w:firstLine="0"/>
        <w:jc w:val="left"/>
        <w:rPr>
          <w:sz w:val="19"/>
        </w:rPr>
      </w:pPr>
      <w:r>
        <w:rPr>
          <w:color w:val="231F20"/>
          <w:w w:val="110"/>
          <w:sz w:val="19"/>
        </w:rPr>
        <w:t>Ten-Day</w:t>
      </w:r>
      <w:r>
        <w:rPr>
          <w:color w:val="231F20"/>
          <w:spacing w:val="4"/>
          <w:w w:val="110"/>
          <w:sz w:val="19"/>
        </w:rPr>
        <w:t> </w:t>
      </w:r>
      <w:r>
        <w:rPr>
          <w:color w:val="231F20"/>
          <w:w w:val="110"/>
          <w:sz w:val="19"/>
        </w:rPr>
        <w:t>MBA,</w:t>
      </w:r>
      <w:r>
        <w:rPr>
          <w:color w:val="231F20"/>
          <w:spacing w:val="5"/>
          <w:w w:val="110"/>
          <w:sz w:val="19"/>
        </w:rPr>
        <w:t> </w:t>
      </w:r>
      <w:r>
        <w:rPr>
          <w:color w:val="231F20"/>
          <w:spacing w:val="-5"/>
          <w:w w:val="110"/>
          <w:sz w:val="19"/>
        </w:rPr>
        <w:t>’92</w:t>
      </w:r>
    </w:p>
    <w:p>
      <w:pPr>
        <w:spacing w:before="77"/>
        <w:ind w:left="1502" w:right="0" w:firstLine="0"/>
        <w:jc w:val="left"/>
        <w:rPr>
          <w:sz w:val="19"/>
        </w:rPr>
      </w:pPr>
      <w:r>
        <w:rPr>
          <w:color w:val="231F20"/>
          <w:w w:val="105"/>
          <w:sz w:val="19"/>
        </w:rPr>
        <w:t>Program</w:t>
      </w:r>
      <w:r>
        <w:rPr>
          <w:color w:val="231F20"/>
          <w:spacing w:val="-1"/>
          <w:w w:val="105"/>
          <w:sz w:val="19"/>
        </w:rPr>
        <w:t> </w:t>
      </w:r>
      <w:r>
        <w:rPr>
          <w:color w:val="231F20"/>
          <w:w w:val="105"/>
          <w:sz w:val="19"/>
        </w:rPr>
        <w:t>manager,</w:t>
      </w:r>
      <w:r>
        <w:rPr>
          <w:color w:val="231F20"/>
          <w:spacing w:val="-1"/>
          <w:w w:val="105"/>
          <w:sz w:val="19"/>
        </w:rPr>
        <w:t> </w:t>
      </w:r>
      <w:r>
        <w:rPr>
          <w:color w:val="231F20"/>
          <w:w w:val="105"/>
          <w:sz w:val="19"/>
        </w:rPr>
        <w:t>U.S.</w:t>
      </w:r>
      <w:r>
        <w:rPr>
          <w:color w:val="231F20"/>
          <w:spacing w:val="-1"/>
          <w:w w:val="105"/>
          <w:sz w:val="19"/>
        </w:rPr>
        <w:t> </w:t>
      </w:r>
      <w:r>
        <w:rPr>
          <w:color w:val="231F20"/>
          <w:w w:val="105"/>
          <w:sz w:val="19"/>
        </w:rPr>
        <w:t>Department of</w:t>
      </w:r>
      <w:r>
        <w:rPr>
          <w:color w:val="231F20"/>
          <w:spacing w:val="-1"/>
          <w:w w:val="105"/>
          <w:sz w:val="19"/>
        </w:rPr>
        <w:t> </w:t>
      </w:r>
      <w:r>
        <w:rPr>
          <w:color w:val="231F20"/>
          <w:spacing w:val="-2"/>
          <w:w w:val="105"/>
          <w:sz w:val="19"/>
        </w:rPr>
        <w:t>Commerce</w:t>
      </w:r>
    </w:p>
    <w:p>
      <w:pPr>
        <w:pStyle w:val="BodyText"/>
        <w:spacing w:before="7"/>
        <w:rPr>
          <w:sz w:val="30"/>
        </w:rPr>
      </w:pPr>
    </w:p>
    <w:p>
      <w:pPr>
        <w:pStyle w:val="BodyText"/>
        <w:spacing w:line="292" w:lineRule="auto"/>
        <w:ind w:left="547" w:right="775" w:hanging="118"/>
        <w:jc w:val="both"/>
      </w:pPr>
      <w:r>
        <w:rPr>
          <w:color w:val="231F20"/>
        </w:rPr>
        <w:t>“After graduating I never took the time to go back over my notes,</w:t>
      </w:r>
      <w:r>
        <w:rPr>
          <w:color w:val="231F20"/>
          <w:spacing w:val="40"/>
        </w:rPr>
        <w:t> </w:t>
      </w:r>
      <w:r>
        <w:rPr>
          <w:color w:val="231F20"/>
        </w:rPr>
        <w:t>case studies, and texts to ‘pull together’ all that I learned during those two whirlwind years to give the entire experience some sub- stance. </w:t>
      </w:r>
      <w:r>
        <w:rPr>
          <w:i/>
          <w:color w:val="231F20"/>
        </w:rPr>
        <w:t>The Ten-Day MBA </w:t>
      </w:r>
      <w:r>
        <w:rPr>
          <w:color w:val="231F20"/>
        </w:rPr>
        <w:t>did just that </w:t>
      </w:r>
      <w:r>
        <w:rPr>
          <w:color w:val="231F20"/>
          <w:w w:val="110"/>
        </w:rPr>
        <w:t>. . . </w:t>
      </w:r>
      <w:r>
        <w:rPr>
          <w:color w:val="231F20"/>
        </w:rPr>
        <w:t>well done! The con- densed knowledge and fact-filled summaries make this book an excellent refresher course. This should be a must reading for MBAs every year.”</w:t>
      </w:r>
    </w:p>
    <w:p>
      <w:pPr>
        <w:spacing w:before="16"/>
        <w:ind w:left="1290" w:right="0" w:firstLine="0"/>
        <w:jc w:val="left"/>
        <w:rPr>
          <w:rFonts w:ascii="Arial" w:hAnsi="Arial"/>
          <w:sz w:val="14"/>
        </w:rPr>
      </w:pPr>
      <w:r>
        <w:rPr>
          <w:color w:val="231F20"/>
          <w:w w:val="105"/>
          <w:sz w:val="19"/>
        </w:rPr>
        <w:t>—</w:t>
      </w:r>
      <w:r>
        <w:rPr>
          <w:color w:val="231F20"/>
          <w:spacing w:val="-26"/>
          <w:w w:val="105"/>
          <w:sz w:val="19"/>
        </w:rPr>
        <w:t> </w:t>
      </w:r>
      <w:r>
        <w:rPr>
          <w:rFonts w:ascii="Arial" w:hAnsi="Arial"/>
          <w:color w:val="231F20"/>
          <w:w w:val="105"/>
          <w:sz w:val="14"/>
        </w:rPr>
        <w:t>JIM</w:t>
      </w:r>
      <w:r>
        <w:rPr>
          <w:rFonts w:ascii="Arial" w:hAnsi="Arial"/>
          <w:color w:val="231F20"/>
          <w:spacing w:val="22"/>
          <w:w w:val="105"/>
          <w:sz w:val="14"/>
        </w:rPr>
        <w:t> </w:t>
      </w:r>
      <w:r>
        <w:rPr>
          <w:rFonts w:ascii="Arial" w:hAnsi="Arial"/>
          <w:color w:val="231F20"/>
          <w:spacing w:val="-2"/>
          <w:w w:val="105"/>
          <w:sz w:val="14"/>
        </w:rPr>
        <w:t>ERNST</w:t>
      </w:r>
    </w:p>
    <w:p>
      <w:pPr>
        <w:spacing w:before="77"/>
        <w:ind w:left="1502" w:right="0" w:firstLine="0"/>
        <w:jc w:val="left"/>
        <w:rPr>
          <w:sz w:val="19"/>
        </w:rPr>
      </w:pPr>
      <w:r>
        <w:rPr>
          <w:color w:val="231F20"/>
          <w:w w:val="105"/>
          <w:sz w:val="19"/>
        </w:rPr>
        <w:t>Northwestern</w:t>
      </w:r>
      <w:r>
        <w:rPr>
          <w:color w:val="231F20"/>
          <w:spacing w:val="20"/>
          <w:w w:val="105"/>
          <w:sz w:val="19"/>
        </w:rPr>
        <w:t> </w:t>
      </w:r>
      <w:r>
        <w:rPr>
          <w:color w:val="231F20"/>
          <w:w w:val="105"/>
          <w:sz w:val="19"/>
        </w:rPr>
        <w:t>MBA,</w:t>
      </w:r>
      <w:r>
        <w:rPr>
          <w:color w:val="231F20"/>
          <w:spacing w:val="21"/>
          <w:w w:val="105"/>
          <w:sz w:val="19"/>
        </w:rPr>
        <w:t> </w:t>
      </w:r>
      <w:r>
        <w:rPr>
          <w:color w:val="231F20"/>
          <w:spacing w:val="-5"/>
          <w:w w:val="105"/>
          <w:sz w:val="19"/>
        </w:rPr>
        <w:t>’76</w:t>
      </w:r>
    </w:p>
    <w:p>
      <w:pPr>
        <w:spacing w:before="78"/>
        <w:ind w:left="1502" w:right="0" w:firstLine="0"/>
        <w:jc w:val="left"/>
        <w:rPr>
          <w:sz w:val="19"/>
        </w:rPr>
      </w:pPr>
      <w:r>
        <w:rPr>
          <w:color w:val="231F20"/>
          <w:sz w:val="19"/>
        </w:rPr>
        <w:t>Project</w:t>
      </w:r>
      <w:r>
        <w:rPr>
          <w:color w:val="231F20"/>
          <w:spacing w:val="10"/>
          <w:sz w:val="19"/>
        </w:rPr>
        <w:t> </w:t>
      </w:r>
      <w:r>
        <w:rPr>
          <w:color w:val="231F20"/>
          <w:sz w:val="19"/>
        </w:rPr>
        <w:t>engineer,</w:t>
      </w:r>
      <w:r>
        <w:rPr>
          <w:color w:val="231F20"/>
          <w:spacing w:val="10"/>
          <w:sz w:val="19"/>
        </w:rPr>
        <w:t> </w:t>
      </w:r>
      <w:r>
        <w:rPr>
          <w:color w:val="231F20"/>
          <w:sz w:val="19"/>
        </w:rPr>
        <w:t>United</w:t>
      </w:r>
      <w:r>
        <w:rPr>
          <w:color w:val="231F20"/>
          <w:spacing w:val="10"/>
          <w:sz w:val="19"/>
        </w:rPr>
        <w:t> </w:t>
      </w:r>
      <w:r>
        <w:rPr>
          <w:color w:val="231F20"/>
          <w:spacing w:val="-2"/>
          <w:sz w:val="19"/>
        </w:rPr>
        <w:t>Engineers</w:t>
      </w:r>
    </w:p>
    <w:p>
      <w:pPr>
        <w:pStyle w:val="BodyText"/>
        <w:spacing w:before="6"/>
        <w:rPr>
          <w:sz w:val="30"/>
        </w:rPr>
      </w:pPr>
    </w:p>
    <w:p>
      <w:pPr>
        <w:pStyle w:val="BodyText"/>
        <w:spacing w:line="292" w:lineRule="auto"/>
        <w:ind w:left="547" w:right="775" w:hanging="118"/>
        <w:jc w:val="both"/>
      </w:pPr>
      <w:r>
        <w:rPr>
          <w:color w:val="231F20"/>
          <w:w w:val="105"/>
        </w:rPr>
        <w:t>“Let’s</w:t>
      </w:r>
      <w:r>
        <w:rPr>
          <w:color w:val="231F20"/>
          <w:w w:val="105"/>
        </w:rPr>
        <w:t> face</w:t>
      </w:r>
      <w:r>
        <w:rPr>
          <w:color w:val="231F20"/>
          <w:w w:val="105"/>
        </w:rPr>
        <w:t> it.</w:t>
      </w:r>
      <w:r>
        <w:rPr>
          <w:color w:val="231F20"/>
          <w:w w:val="105"/>
        </w:rPr>
        <w:t> If</w:t>
      </w:r>
      <w:r>
        <w:rPr>
          <w:color w:val="231F20"/>
          <w:w w:val="105"/>
        </w:rPr>
        <w:t> you</w:t>
      </w:r>
      <w:r>
        <w:rPr>
          <w:color w:val="231F20"/>
          <w:w w:val="105"/>
        </w:rPr>
        <w:t> are</w:t>
      </w:r>
      <w:r>
        <w:rPr>
          <w:color w:val="231F20"/>
          <w:w w:val="105"/>
        </w:rPr>
        <w:t> lucky,</w:t>
      </w:r>
      <w:r>
        <w:rPr>
          <w:color w:val="231F20"/>
          <w:w w:val="105"/>
        </w:rPr>
        <w:t> you</w:t>
      </w:r>
      <w:r>
        <w:rPr>
          <w:color w:val="231F20"/>
          <w:w w:val="105"/>
        </w:rPr>
        <w:t> remember</w:t>
      </w:r>
      <w:r>
        <w:rPr>
          <w:color w:val="231F20"/>
          <w:w w:val="105"/>
        </w:rPr>
        <w:t> about</w:t>
      </w:r>
      <w:r>
        <w:rPr>
          <w:color w:val="231F20"/>
          <w:w w:val="105"/>
        </w:rPr>
        <w:t> 5</w:t>
      </w:r>
      <w:r>
        <w:rPr>
          <w:color w:val="231F20"/>
          <w:w w:val="105"/>
        </w:rPr>
        <w:t> percent</w:t>
      </w:r>
      <w:r>
        <w:rPr>
          <w:color w:val="231F20"/>
          <w:w w:val="105"/>
        </w:rPr>
        <w:t> of what</w:t>
      </w:r>
      <w:r>
        <w:rPr>
          <w:color w:val="231F20"/>
          <w:spacing w:val="-13"/>
          <w:w w:val="105"/>
        </w:rPr>
        <w:t> </w:t>
      </w:r>
      <w:r>
        <w:rPr>
          <w:color w:val="231F20"/>
          <w:w w:val="105"/>
        </w:rPr>
        <w:t>you</w:t>
      </w:r>
      <w:r>
        <w:rPr>
          <w:color w:val="231F20"/>
          <w:spacing w:val="-12"/>
          <w:w w:val="105"/>
        </w:rPr>
        <w:t> </w:t>
      </w:r>
      <w:r>
        <w:rPr>
          <w:color w:val="231F20"/>
          <w:w w:val="105"/>
        </w:rPr>
        <w:t>learn</w:t>
      </w:r>
      <w:r>
        <w:rPr>
          <w:color w:val="231F20"/>
          <w:spacing w:val="-12"/>
          <w:w w:val="105"/>
        </w:rPr>
        <w:t> </w:t>
      </w:r>
      <w:r>
        <w:rPr>
          <w:color w:val="231F20"/>
          <w:w w:val="105"/>
        </w:rPr>
        <w:t>at</w:t>
      </w:r>
      <w:r>
        <w:rPr>
          <w:color w:val="231F20"/>
          <w:spacing w:val="-12"/>
          <w:w w:val="105"/>
        </w:rPr>
        <w:t> </w:t>
      </w:r>
      <w:r>
        <w:rPr>
          <w:color w:val="231F20"/>
          <w:w w:val="105"/>
        </w:rPr>
        <w:t>a</w:t>
      </w:r>
      <w:r>
        <w:rPr>
          <w:color w:val="231F20"/>
          <w:spacing w:val="-12"/>
          <w:w w:val="105"/>
        </w:rPr>
        <w:t> </w:t>
      </w:r>
      <w:r>
        <w:rPr>
          <w:color w:val="231F20"/>
          <w:w w:val="105"/>
        </w:rPr>
        <w:t>top</w:t>
      </w:r>
      <w:r>
        <w:rPr>
          <w:color w:val="231F20"/>
          <w:spacing w:val="-12"/>
          <w:w w:val="105"/>
        </w:rPr>
        <w:t> </w:t>
      </w:r>
      <w:r>
        <w:rPr>
          <w:color w:val="231F20"/>
          <w:w w:val="105"/>
        </w:rPr>
        <w:t>business</w:t>
      </w:r>
      <w:r>
        <w:rPr>
          <w:color w:val="231F20"/>
          <w:spacing w:val="-12"/>
          <w:w w:val="105"/>
        </w:rPr>
        <w:t> </w:t>
      </w:r>
      <w:r>
        <w:rPr>
          <w:color w:val="231F20"/>
          <w:w w:val="105"/>
        </w:rPr>
        <w:t>school.</w:t>
      </w:r>
      <w:r>
        <w:rPr>
          <w:color w:val="231F20"/>
          <w:spacing w:val="-13"/>
          <w:w w:val="105"/>
        </w:rPr>
        <w:t> </w:t>
      </w:r>
      <w:r>
        <w:rPr>
          <w:color w:val="231F20"/>
          <w:w w:val="105"/>
        </w:rPr>
        <w:t>That’s</w:t>
      </w:r>
      <w:r>
        <w:rPr>
          <w:color w:val="231F20"/>
          <w:spacing w:val="-12"/>
          <w:w w:val="105"/>
        </w:rPr>
        <w:t> </w:t>
      </w:r>
      <w:r>
        <w:rPr>
          <w:color w:val="231F20"/>
          <w:w w:val="105"/>
        </w:rPr>
        <w:t>where</w:t>
      </w:r>
      <w:r>
        <w:rPr>
          <w:color w:val="231F20"/>
          <w:spacing w:val="-12"/>
          <w:w w:val="105"/>
        </w:rPr>
        <w:t> </w:t>
      </w:r>
      <w:r>
        <w:rPr>
          <w:i/>
          <w:color w:val="231F20"/>
          <w:w w:val="105"/>
        </w:rPr>
        <w:t>The</w:t>
      </w:r>
      <w:r>
        <w:rPr>
          <w:i/>
          <w:color w:val="231F20"/>
          <w:spacing w:val="-12"/>
          <w:w w:val="105"/>
        </w:rPr>
        <w:t> </w:t>
      </w:r>
      <w:r>
        <w:rPr>
          <w:i/>
          <w:color w:val="231F20"/>
          <w:w w:val="105"/>
        </w:rPr>
        <w:t>Ten-Day</w:t>
      </w:r>
      <w:r>
        <w:rPr>
          <w:i/>
          <w:color w:val="231F20"/>
          <w:w w:val="105"/>
        </w:rPr>
        <w:t> </w:t>
      </w:r>
      <w:r>
        <w:rPr>
          <w:i/>
          <w:color w:val="231F20"/>
        </w:rPr>
        <w:t>MBA </w:t>
      </w:r>
      <w:r>
        <w:rPr>
          <w:color w:val="231F20"/>
        </w:rPr>
        <w:t>comes in. Silbiger provides an intensive, efficient review of </w:t>
      </w:r>
      <w:r>
        <w:rPr>
          <w:color w:val="231F20"/>
        </w:rPr>
        <w:t>all the important stuff that you’ve probably already forgotten, but fre- </w:t>
      </w:r>
      <w:r>
        <w:rPr>
          <w:color w:val="231F20"/>
          <w:w w:val="105"/>
        </w:rPr>
        <w:t>quently need to know.”</w:t>
      </w:r>
    </w:p>
    <w:p>
      <w:pPr>
        <w:spacing w:before="17"/>
        <w:ind w:left="1290" w:right="0" w:firstLine="0"/>
        <w:jc w:val="left"/>
        <w:rPr>
          <w:rFonts w:ascii="Arial" w:hAnsi="Arial"/>
          <w:sz w:val="14"/>
        </w:rPr>
      </w:pPr>
      <w:r>
        <w:rPr>
          <w:color w:val="231F20"/>
          <w:w w:val="105"/>
          <w:sz w:val="19"/>
        </w:rPr>
        <w:t>—</w:t>
      </w:r>
      <w:r>
        <w:rPr>
          <w:color w:val="231F20"/>
          <w:spacing w:val="-24"/>
          <w:w w:val="105"/>
          <w:sz w:val="19"/>
        </w:rPr>
        <w:t> </w:t>
      </w:r>
      <w:r>
        <w:rPr>
          <w:rFonts w:ascii="Arial" w:hAnsi="Arial"/>
          <w:color w:val="231F20"/>
          <w:w w:val="105"/>
          <w:sz w:val="14"/>
        </w:rPr>
        <w:t>MISHO</w:t>
      </w:r>
      <w:r>
        <w:rPr>
          <w:rFonts w:ascii="Arial" w:hAnsi="Arial"/>
          <w:color w:val="231F20"/>
          <w:spacing w:val="25"/>
          <w:w w:val="105"/>
          <w:sz w:val="14"/>
        </w:rPr>
        <w:t> </w:t>
      </w:r>
      <w:r>
        <w:rPr>
          <w:rFonts w:ascii="Arial" w:hAnsi="Arial"/>
          <w:color w:val="231F20"/>
          <w:spacing w:val="-2"/>
          <w:w w:val="105"/>
          <w:sz w:val="14"/>
        </w:rPr>
        <w:t>PROTIC</w:t>
      </w:r>
    </w:p>
    <w:p>
      <w:pPr>
        <w:spacing w:before="78"/>
        <w:ind w:left="1502" w:right="0" w:firstLine="0"/>
        <w:jc w:val="left"/>
        <w:rPr>
          <w:sz w:val="19"/>
        </w:rPr>
      </w:pPr>
      <w:r>
        <w:rPr>
          <w:color w:val="231F20"/>
          <w:w w:val="110"/>
          <w:sz w:val="19"/>
        </w:rPr>
        <w:t>Wharton</w:t>
      </w:r>
      <w:r>
        <w:rPr>
          <w:color w:val="231F20"/>
          <w:spacing w:val="6"/>
          <w:w w:val="110"/>
          <w:sz w:val="19"/>
        </w:rPr>
        <w:t> </w:t>
      </w:r>
      <w:r>
        <w:rPr>
          <w:color w:val="231F20"/>
          <w:w w:val="110"/>
          <w:sz w:val="19"/>
        </w:rPr>
        <w:t>MBA,</w:t>
      </w:r>
      <w:r>
        <w:rPr>
          <w:color w:val="231F20"/>
          <w:spacing w:val="7"/>
          <w:w w:val="110"/>
          <w:sz w:val="19"/>
        </w:rPr>
        <w:t> </w:t>
      </w:r>
      <w:r>
        <w:rPr>
          <w:color w:val="231F20"/>
          <w:spacing w:val="-5"/>
          <w:w w:val="110"/>
          <w:sz w:val="19"/>
        </w:rPr>
        <w:t>’97</w:t>
      </w:r>
    </w:p>
    <w:p>
      <w:pPr>
        <w:spacing w:before="77"/>
        <w:ind w:left="1502" w:right="0" w:firstLine="0"/>
        <w:jc w:val="left"/>
        <w:rPr>
          <w:sz w:val="19"/>
        </w:rPr>
      </w:pPr>
      <w:r>
        <w:rPr>
          <w:color w:val="231F20"/>
          <w:spacing w:val="-2"/>
          <w:w w:val="110"/>
          <w:sz w:val="19"/>
        </w:rPr>
        <w:t>Equity trader,</w:t>
      </w:r>
      <w:r>
        <w:rPr>
          <w:color w:val="231F20"/>
          <w:spacing w:val="-1"/>
          <w:w w:val="110"/>
          <w:sz w:val="19"/>
        </w:rPr>
        <w:t> </w:t>
      </w:r>
      <w:r>
        <w:rPr>
          <w:color w:val="231F20"/>
          <w:spacing w:val="-2"/>
          <w:w w:val="110"/>
          <w:sz w:val="19"/>
        </w:rPr>
        <w:t>Donaldson,</w:t>
      </w:r>
      <w:r>
        <w:rPr>
          <w:color w:val="231F20"/>
          <w:spacing w:val="-1"/>
          <w:w w:val="110"/>
          <w:sz w:val="19"/>
        </w:rPr>
        <w:t> </w:t>
      </w:r>
      <w:r>
        <w:rPr>
          <w:color w:val="231F20"/>
          <w:spacing w:val="-2"/>
          <w:w w:val="110"/>
          <w:sz w:val="19"/>
        </w:rPr>
        <w:t>Lufkin</w:t>
      </w:r>
      <w:r>
        <w:rPr>
          <w:color w:val="231F20"/>
          <w:spacing w:val="-1"/>
          <w:w w:val="110"/>
          <w:sz w:val="19"/>
        </w:rPr>
        <w:t> </w:t>
      </w:r>
      <w:r>
        <w:rPr>
          <w:color w:val="231F20"/>
          <w:spacing w:val="-2"/>
          <w:w w:val="110"/>
          <w:sz w:val="19"/>
        </w:rPr>
        <w:t>&amp;</w:t>
      </w:r>
      <w:r>
        <w:rPr>
          <w:color w:val="231F20"/>
          <w:spacing w:val="-1"/>
          <w:w w:val="110"/>
          <w:sz w:val="19"/>
        </w:rPr>
        <w:t> </w:t>
      </w:r>
      <w:r>
        <w:rPr>
          <w:color w:val="231F20"/>
          <w:spacing w:val="-2"/>
          <w:w w:val="110"/>
          <w:sz w:val="19"/>
        </w:rPr>
        <w:t>Jenrette</w:t>
      </w:r>
    </w:p>
    <w:p>
      <w:pPr>
        <w:pStyle w:val="BodyText"/>
        <w:spacing w:before="6"/>
        <w:rPr>
          <w:sz w:val="30"/>
        </w:rPr>
      </w:pPr>
    </w:p>
    <w:p>
      <w:pPr>
        <w:pStyle w:val="BodyText"/>
        <w:spacing w:line="292" w:lineRule="auto" w:before="1"/>
        <w:ind w:left="547" w:right="775" w:hanging="118"/>
        <w:jc w:val="both"/>
      </w:pPr>
      <w:r>
        <w:rPr>
          <w:color w:val="231F20"/>
          <w:w w:val="105"/>
        </w:rPr>
        <w:t>“The conventional two-year MBA is like drinking from a fire hose; </w:t>
      </w:r>
      <w:r>
        <w:rPr>
          <w:i/>
          <w:color w:val="231F20"/>
          <w:w w:val="105"/>
        </w:rPr>
        <w:t>The Ten-Day MBA </w:t>
      </w:r>
      <w:r>
        <w:rPr>
          <w:color w:val="231F20"/>
          <w:w w:val="105"/>
        </w:rPr>
        <w:t>is like sipping from a water fountain. You </w:t>
      </w:r>
      <w:r>
        <w:rPr>
          <w:color w:val="231F20"/>
          <w:w w:val="105"/>
        </w:rPr>
        <w:t>can sip at your own speed until your thirst is quenched.”</w:t>
      </w:r>
    </w:p>
    <w:p>
      <w:pPr>
        <w:spacing w:before="17"/>
        <w:ind w:left="1290" w:right="0" w:firstLine="0"/>
        <w:jc w:val="left"/>
        <w:rPr>
          <w:rFonts w:ascii="Arial" w:hAnsi="Arial"/>
          <w:sz w:val="14"/>
        </w:rPr>
      </w:pPr>
      <w:r>
        <w:rPr>
          <w:color w:val="231F20"/>
          <w:w w:val="105"/>
          <w:sz w:val="19"/>
        </w:rPr>
        <w:t>—</w:t>
      </w:r>
      <w:r>
        <w:rPr>
          <w:color w:val="231F20"/>
          <w:spacing w:val="-22"/>
          <w:w w:val="105"/>
          <w:sz w:val="19"/>
        </w:rPr>
        <w:t> </w:t>
      </w:r>
      <w:r>
        <w:rPr>
          <w:rFonts w:ascii="Arial" w:hAnsi="Arial"/>
          <w:color w:val="231F20"/>
          <w:w w:val="105"/>
          <w:sz w:val="14"/>
        </w:rPr>
        <w:t>ARTHUR</w:t>
      </w:r>
      <w:r>
        <w:rPr>
          <w:rFonts w:ascii="Arial" w:hAnsi="Arial"/>
          <w:color w:val="231F20"/>
          <w:spacing w:val="36"/>
          <w:w w:val="105"/>
          <w:sz w:val="14"/>
        </w:rPr>
        <w:t> </w:t>
      </w:r>
      <w:r>
        <w:rPr>
          <w:rFonts w:ascii="Arial" w:hAnsi="Arial"/>
          <w:color w:val="231F20"/>
          <w:spacing w:val="-2"/>
          <w:w w:val="105"/>
          <w:sz w:val="14"/>
        </w:rPr>
        <w:t>KLAUSNER</w:t>
      </w:r>
    </w:p>
    <w:p>
      <w:pPr>
        <w:spacing w:before="78"/>
        <w:ind w:left="1502" w:right="0" w:firstLine="0"/>
        <w:jc w:val="left"/>
        <w:rPr>
          <w:sz w:val="19"/>
        </w:rPr>
      </w:pPr>
      <w:r>
        <w:rPr>
          <w:color w:val="231F20"/>
          <w:w w:val="110"/>
          <w:sz w:val="19"/>
        </w:rPr>
        <w:t>Stanford MBA, </w:t>
      </w:r>
      <w:r>
        <w:rPr>
          <w:color w:val="231F20"/>
          <w:spacing w:val="-5"/>
          <w:w w:val="110"/>
          <w:sz w:val="19"/>
        </w:rPr>
        <w:t>’90</w:t>
      </w:r>
    </w:p>
    <w:p>
      <w:pPr>
        <w:spacing w:before="77"/>
        <w:ind w:left="1502" w:right="0" w:firstLine="0"/>
        <w:jc w:val="left"/>
        <w:rPr>
          <w:sz w:val="19"/>
        </w:rPr>
      </w:pPr>
      <w:r>
        <w:rPr>
          <w:color w:val="231F20"/>
          <w:w w:val="105"/>
          <w:sz w:val="19"/>
        </w:rPr>
        <w:t>Director</w:t>
      </w:r>
      <w:r>
        <w:rPr>
          <w:color w:val="231F20"/>
          <w:spacing w:val="-8"/>
          <w:w w:val="105"/>
          <w:sz w:val="19"/>
        </w:rPr>
        <w:t> </w:t>
      </w:r>
      <w:r>
        <w:rPr>
          <w:color w:val="231F20"/>
          <w:w w:val="105"/>
          <w:sz w:val="19"/>
        </w:rPr>
        <w:t>of</w:t>
      </w:r>
      <w:r>
        <w:rPr>
          <w:color w:val="231F20"/>
          <w:spacing w:val="-8"/>
          <w:w w:val="105"/>
          <w:sz w:val="19"/>
        </w:rPr>
        <w:t> </w:t>
      </w:r>
      <w:r>
        <w:rPr>
          <w:color w:val="231F20"/>
          <w:w w:val="105"/>
          <w:sz w:val="19"/>
        </w:rPr>
        <w:t>research,</w:t>
      </w:r>
      <w:r>
        <w:rPr>
          <w:color w:val="231F20"/>
          <w:spacing w:val="-8"/>
          <w:w w:val="105"/>
          <w:sz w:val="19"/>
        </w:rPr>
        <w:t> </w:t>
      </w:r>
      <w:r>
        <w:rPr>
          <w:color w:val="231F20"/>
          <w:w w:val="105"/>
          <w:sz w:val="19"/>
        </w:rPr>
        <w:t>Domain</w:t>
      </w:r>
      <w:r>
        <w:rPr>
          <w:color w:val="231F20"/>
          <w:spacing w:val="-8"/>
          <w:w w:val="105"/>
          <w:sz w:val="19"/>
        </w:rPr>
        <w:t> </w:t>
      </w:r>
      <w:r>
        <w:rPr>
          <w:color w:val="231F20"/>
          <w:w w:val="105"/>
          <w:sz w:val="19"/>
        </w:rPr>
        <w:t>Associates</w:t>
      </w:r>
      <w:r>
        <w:rPr>
          <w:color w:val="231F20"/>
          <w:spacing w:val="-8"/>
          <w:w w:val="105"/>
          <w:sz w:val="19"/>
        </w:rPr>
        <w:t> </w:t>
      </w:r>
      <w:r>
        <w:rPr>
          <w:color w:val="231F20"/>
          <w:w w:val="105"/>
          <w:sz w:val="19"/>
        </w:rPr>
        <w:t>(Venture</w:t>
      </w:r>
      <w:r>
        <w:rPr>
          <w:color w:val="231F20"/>
          <w:spacing w:val="-8"/>
          <w:w w:val="105"/>
          <w:sz w:val="19"/>
        </w:rPr>
        <w:t> </w:t>
      </w:r>
      <w:r>
        <w:rPr>
          <w:color w:val="231F20"/>
          <w:spacing w:val="-2"/>
          <w:w w:val="105"/>
          <w:sz w:val="19"/>
        </w:rPr>
        <w:t>Capital)</w:t>
      </w:r>
    </w:p>
    <w:p>
      <w:pPr>
        <w:spacing w:after="0"/>
        <w:jc w:val="left"/>
        <w:rPr>
          <w:sz w:val="19"/>
        </w:rPr>
        <w:sectPr>
          <w:headerReference w:type="even" r:id="rId170"/>
          <w:pgSz w:w="8640" w:h="12960"/>
          <w:pgMar w:header="0" w:footer="0" w:top="1160" w:bottom="280" w:left="740" w:right="480"/>
        </w:sectPr>
      </w:pPr>
    </w:p>
    <w:p>
      <w:pPr>
        <w:pStyle w:val="BodyText"/>
        <w:spacing w:line="292" w:lineRule="auto" w:before="83"/>
        <w:ind w:left="637" w:right="686" w:hanging="118"/>
        <w:jc w:val="both"/>
      </w:pPr>
      <w:r>
        <w:rPr>
          <w:color w:val="231F20"/>
        </w:rPr>
        <w:t>“Just like the case method used at most top schools, </w:t>
      </w:r>
      <w:r>
        <w:rPr>
          <w:i/>
          <w:color w:val="231F20"/>
        </w:rPr>
        <w:t>The </w:t>
      </w:r>
      <w:r>
        <w:rPr>
          <w:i/>
          <w:color w:val="231F20"/>
        </w:rPr>
        <w:t>Ten-Day</w:t>
      </w:r>
      <w:r>
        <w:rPr>
          <w:i/>
          <w:color w:val="231F20"/>
          <w:spacing w:val="80"/>
        </w:rPr>
        <w:t> </w:t>
      </w:r>
      <w:r>
        <w:rPr>
          <w:i/>
          <w:color w:val="231F20"/>
        </w:rPr>
        <w:t>MBA </w:t>
      </w:r>
      <w:r>
        <w:rPr>
          <w:color w:val="231F20"/>
        </w:rPr>
        <w:t>helps the reader internalize the lessons by using the subject material to solve real-life business situations. The book is a must as a</w:t>
      </w:r>
      <w:r>
        <w:rPr>
          <w:color w:val="231F20"/>
          <w:spacing w:val="40"/>
        </w:rPr>
        <w:t> </w:t>
      </w:r>
      <w:r>
        <w:rPr>
          <w:color w:val="231F20"/>
        </w:rPr>
        <w:t>B-school</w:t>
      </w:r>
      <w:r>
        <w:rPr>
          <w:color w:val="231F20"/>
          <w:spacing w:val="40"/>
        </w:rPr>
        <w:t> </w:t>
      </w:r>
      <w:r>
        <w:rPr>
          <w:color w:val="231F20"/>
        </w:rPr>
        <w:t>primer</w:t>
      </w:r>
      <w:r>
        <w:rPr>
          <w:color w:val="231F20"/>
          <w:spacing w:val="40"/>
        </w:rPr>
        <w:t> </w:t>
      </w:r>
      <w:r>
        <w:rPr>
          <w:color w:val="231F20"/>
        </w:rPr>
        <w:t>or</w:t>
      </w:r>
      <w:r>
        <w:rPr>
          <w:color w:val="231F20"/>
          <w:spacing w:val="40"/>
        </w:rPr>
        <w:t> </w:t>
      </w:r>
      <w:r>
        <w:rPr>
          <w:color w:val="231F20"/>
        </w:rPr>
        <w:t>as</w:t>
      </w:r>
      <w:r>
        <w:rPr>
          <w:color w:val="231F20"/>
          <w:spacing w:val="40"/>
        </w:rPr>
        <w:t> </w:t>
      </w:r>
      <w:r>
        <w:rPr>
          <w:color w:val="231F20"/>
        </w:rPr>
        <w:t>a</w:t>
      </w:r>
      <w:r>
        <w:rPr>
          <w:color w:val="231F20"/>
          <w:spacing w:val="40"/>
        </w:rPr>
        <w:t> </w:t>
      </w:r>
      <w:r>
        <w:rPr>
          <w:color w:val="231F20"/>
        </w:rPr>
        <w:t>stand-alone</w:t>
      </w:r>
      <w:r>
        <w:rPr>
          <w:color w:val="231F20"/>
          <w:spacing w:val="40"/>
        </w:rPr>
        <w:t> </w:t>
      </w:r>
      <w:r>
        <w:rPr>
          <w:color w:val="231F20"/>
        </w:rPr>
        <w:t>mini-MBA</w:t>
      </w:r>
      <w:r>
        <w:rPr>
          <w:color w:val="231F20"/>
          <w:spacing w:val="40"/>
        </w:rPr>
        <w:t> </w:t>
      </w:r>
      <w:r>
        <w:rPr>
          <w:color w:val="231F20"/>
        </w:rPr>
        <w:t>education.”</w:t>
      </w:r>
    </w:p>
    <w:p>
      <w:pPr>
        <w:spacing w:before="17"/>
        <w:ind w:left="1380" w:right="0" w:firstLine="0"/>
        <w:jc w:val="left"/>
        <w:rPr>
          <w:rFonts w:ascii="Arial" w:hAnsi="Arial"/>
          <w:sz w:val="14"/>
        </w:rPr>
      </w:pPr>
      <w:r>
        <w:rPr>
          <w:color w:val="231F20"/>
          <w:w w:val="105"/>
          <w:sz w:val="19"/>
        </w:rPr>
        <w:t>—</w:t>
      </w:r>
      <w:r>
        <w:rPr>
          <w:color w:val="231F20"/>
          <w:spacing w:val="-27"/>
          <w:w w:val="105"/>
          <w:sz w:val="19"/>
        </w:rPr>
        <w:t> </w:t>
      </w:r>
      <w:r>
        <w:rPr>
          <w:rFonts w:ascii="Arial" w:hAnsi="Arial"/>
          <w:color w:val="231F20"/>
          <w:w w:val="105"/>
          <w:sz w:val="14"/>
        </w:rPr>
        <w:t>GREGORY</w:t>
      </w:r>
      <w:r>
        <w:rPr>
          <w:rFonts w:ascii="Arial" w:hAnsi="Arial"/>
          <w:color w:val="231F20"/>
          <w:spacing w:val="19"/>
          <w:w w:val="105"/>
          <w:sz w:val="14"/>
        </w:rPr>
        <w:t> </w:t>
      </w:r>
      <w:r>
        <w:rPr>
          <w:rFonts w:ascii="Arial" w:hAnsi="Arial"/>
          <w:color w:val="231F20"/>
          <w:w w:val="105"/>
          <w:sz w:val="14"/>
        </w:rPr>
        <w:t>D.</w:t>
      </w:r>
      <w:r>
        <w:rPr>
          <w:rFonts w:ascii="Arial" w:hAnsi="Arial"/>
          <w:color w:val="231F20"/>
          <w:spacing w:val="18"/>
          <w:w w:val="105"/>
          <w:sz w:val="14"/>
        </w:rPr>
        <w:t> </w:t>
      </w:r>
      <w:r>
        <w:rPr>
          <w:rFonts w:ascii="Arial" w:hAnsi="Arial"/>
          <w:color w:val="231F20"/>
          <w:spacing w:val="-2"/>
          <w:w w:val="105"/>
          <w:sz w:val="14"/>
        </w:rPr>
        <w:t>SCHWARTZ</w:t>
      </w:r>
    </w:p>
    <w:p>
      <w:pPr>
        <w:spacing w:before="78"/>
        <w:ind w:left="1592" w:right="0" w:firstLine="0"/>
        <w:jc w:val="left"/>
        <w:rPr>
          <w:sz w:val="19"/>
        </w:rPr>
      </w:pPr>
      <w:r>
        <w:rPr>
          <w:color w:val="231F20"/>
          <w:w w:val="110"/>
          <w:sz w:val="19"/>
        </w:rPr>
        <w:t>Harvard</w:t>
      </w:r>
      <w:r>
        <w:rPr>
          <w:color w:val="231F20"/>
          <w:spacing w:val="11"/>
          <w:w w:val="110"/>
          <w:sz w:val="19"/>
        </w:rPr>
        <w:t> </w:t>
      </w:r>
      <w:r>
        <w:rPr>
          <w:color w:val="231F20"/>
          <w:w w:val="110"/>
          <w:sz w:val="19"/>
        </w:rPr>
        <w:t>MBA,</w:t>
      </w:r>
      <w:r>
        <w:rPr>
          <w:color w:val="231F20"/>
          <w:spacing w:val="11"/>
          <w:w w:val="110"/>
          <w:sz w:val="19"/>
        </w:rPr>
        <w:t> </w:t>
      </w:r>
      <w:r>
        <w:rPr>
          <w:color w:val="231F20"/>
          <w:spacing w:val="-5"/>
          <w:w w:val="110"/>
          <w:sz w:val="19"/>
        </w:rPr>
        <w:t>’91</w:t>
      </w:r>
    </w:p>
    <w:p>
      <w:pPr>
        <w:spacing w:before="77"/>
        <w:ind w:left="1592" w:right="0" w:firstLine="0"/>
        <w:jc w:val="left"/>
        <w:rPr>
          <w:sz w:val="19"/>
        </w:rPr>
      </w:pPr>
      <w:r>
        <w:rPr>
          <w:color w:val="231F20"/>
          <w:w w:val="105"/>
          <w:sz w:val="19"/>
        </w:rPr>
        <w:t>Senior</w:t>
      </w:r>
      <w:r>
        <w:rPr>
          <w:color w:val="231F20"/>
          <w:spacing w:val="10"/>
          <w:w w:val="105"/>
          <w:sz w:val="19"/>
        </w:rPr>
        <w:t> </w:t>
      </w:r>
      <w:r>
        <w:rPr>
          <w:color w:val="231F20"/>
          <w:w w:val="105"/>
          <w:sz w:val="19"/>
        </w:rPr>
        <w:t>consultant,</w:t>
      </w:r>
      <w:r>
        <w:rPr>
          <w:color w:val="231F20"/>
          <w:spacing w:val="11"/>
          <w:w w:val="105"/>
          <w:sz w:val="19"/>
        </w:rPr>
        <w:t> </w:t>
      </w:r>
      <w:r>
        <w:rPr>
          <w:color w:val="231F20"/>
          <w:w w:val="105"/>
          <w:sz w:val="19"/>
        </w:rPr>
        <w:t>Deloitte</w:t>
      </w:r>
      <w:r>
        <w:rPr>
          <w:color w:val="231F20"/>
          <w:spacing w:val="11"/>
          <w:w w:val="105"/>
          <w:sz w:val="19"/>
        </w:rPr>
        <w:t> </w:t>
      </w:r>
      <w:r>
        <w:rPr>
          <w:color w:val="231F20"/>
          <w:w w:val="105"/>
          <w:sz w:val="19"/>
        </w:rPr>
        <w:t>&amp;</w:t>
      </w:r>
      <w:r>
        <w:rPr>
          <w:color w:val="231F20"/>
          <w:spacing w:val="11"/>
          <w:w w:val="105"/>
          <w:sz w:val="19"/>
        </w:rPr>
        <w:t> </w:t>
      </w:r>
      <w:r>
        <w:rPr>
          <w:color w:val="231F20"/>
          <w:spacing w:val="-2"/>
          <w:w w:val="105"/>
          <w:sz w:val="19"/>
        </w:rPr>
        <w:t>Touche</w:t>
      </w:r>
    </w:p>
    <w:p>
      <w:pPr>
        <w:pStyle w:val="BodyText"/>
        <w:spacing w:before="2"/>
        <w:rPr>
          <w:sz w:val="24"/>
        </w:rPr>
      </w:pPr>
    </w:p>
    <w:p>
      <w:pPr>
        <w:pStyle w:val="BodyText"/>
        <w:spacing w:line="292" w:lineRule="auto"/>
        <w:ind w:left="637" w:right="685" w:hanging="118"/>
        <w:jc w:val="both"/>
      </w:pPr>
      <w:r>
        <w:rPr>
          <w:color w:val="231F20"/>
          <w:w w:val="105"/>
        </w:rPr>
        <w:t>“Possessing both a law degree and an MBA has been invaluable </w:t>
      </w:r>
      <w:r>
        <w:rPr>
          <w:color w:val="231F20"/>
          <w:w w:val="105"/>
        </w:rPr>
        <w:t>to me</w:t>
      </w:r>
      <w:r>
        <w:rPr>
          <w:color w:val="231F20"/>
          <w:w w:val="105"/>
        </w:rPr>
        <w:t> and</w:t>
      </w:r>
      <w:r>
        <w:rPr>
          <w:color w:val="231F20"/>
          <w:w w:val="105"/>
        </w:rPr>
        <w:t> my</w:t>
      </w:r>
      <w:r>
        <w:rPr>
          <w:color w:val="231F20"/>
          <w:w w:val="105"/>
        </w:rPr>
        <w:t> clients.</w:t>
      </w:r>
      <w:r>
        <w:rPr>
          <w:color w:val="231F20"/>
          <w:w w:val="105"/>
        </w:rPr>
        <w:t> Every</w:t>
      </w:r>
      <w:r>
        <w:rPr>
          <w:color w:val="231F20"/>
          <w:w w:val="105"/>
        </w:rPr>
        <w:t> attorney</w:t>
      </w:r>
      <w:r>
        <w:rPr>
          <w:color w:val="231F20"/>
          <w:w w:val="105"/>
        </w:rPr>
        <w:t> without</w:t>
      </w:r>
      <w:r>
        <w:rPr>
          <w:color w:val="231F20"/>
          <w:w w:val="105"/>
        </w:rPr>
        <w:t> an</w:t>
      </w:r>
      <w:r>
        <w:rPr>
          <w:color w:val="231F20"/>
          <w:w w:val="105"/>
        </w:rPr>
        <w:t> MBA</w:t>
      </w:r>
      <w:r>
        <w:rPr>
          <w:color w:val="231F20"/>
          <w:w w:val="105"/>
        </w:rPr>
        <w:t> should</w:t>
      </w:r>
      <w:r>
        <w:rPr>
          <w:color w:val="231F20"/>
          <w:w w:val="105"/>
        </w:rPr>
        <w:t> arm themselves with </w:t>
      </w:r>
      <w:r>
        <w:rPr>
          <w:i/>
          <w:color w:val="231F20"/>
          <w:w w:val="105"/>
        </w:rPr>
        <w:t>The Ten-Day MBA.</w:t>
      </w:r>
      <w:r>
        <w:rPr>
          <w:color w:val="231F20"/>
          <w:w w:val="105"/>
        </w:rPr>
        <w:t>”</w:t>
      </w:r>
    </w:p>
    <w:p>
      <w:pPr>
        <w:spacing w:before="18"/>
        <w:ind w:left="1380" w:right="0" w:firstLine="0"/>
        <w:jc w:val="left"/>
        <w:rPr>
          <w:rFonts w:ascii="Arial" w:hAnsi="Arial"/>
          <w:sz w:val="14"/>
        </w:rPr>
      </w:pPr>
      <w:r>
        <w:rPr>
          <w:color w:val="231F20"/>
          <w:w w:val="105"/>
          <w:sz w:val="19"/>
        </w:rPr>
        <w:t>—</w:t>
      </w:r>
      <w:r>
        <w:rPr>
          <w:color w:val="231F20"/>
          <w:spacing w:val="-18"/>
          <w:w w:val="105"/>
          <w:sz w:val="19"/>
        </w:rPr>
        <w:t> </w:t>
      </w:r>
      <w:r>
        <w:rPr>
          <w:rFonts w:ascii="Arial" w:hAnsi="Arial"/>
          <w:color w:val="231F20"/>
          <w:w w:val="105"/>
          <w:sz w:val="14"/>
        </w:rPr>
        <w:t>LAWRENCE</w:t>
      </w:r>
      <w:r>
        <w:rPr>
          <w:rFonts w:ascii="Arial" w:hAnsi="Arial"/>
          <w:color w:val="231F20"/>
          <w:spacing w:val="47"/>
          <w:w w:val="105"/>
          <w:sz w:val="14"/>
        </w:rPr>
        <w:t> </w:t>
      </w:r>
      <w:r>
        <w:rPr>
          <w:rFonts w:ascii="Arial" w:hAnsi="Arial"/>
          <w:color w:val="231F20"/>
          <w:spacing w:val="-2"/>
          <w:w w:val="105"/>
          <w:sz w:val="14"/>
        </w:rPr>
        <w:t>BROWN</w:t>
      </w:r>
    </w:p>
    <w:p>
      <w:pPr>
        <w:spacing w:before="77"/>
        <w:ind w:left="1592" w:right="0" w:firstLine="0"/>
        <w:jc w:val="left"/>
        <w:rPr>
          <w:sz w:val="19"/>
        </w:rPr>
      </w:pPr>
      <w:r>
        <w:rPr>
          <w:color w:val="231F20"/>
          <w:w w:val="110"/>
          <w:sz w:val="19"/>
        </w:rPr>
        <w:t>Chicago</w:t>
      </w:r>
      <w:r>
        <w:rPr>
          <w:color w:val="231F20"/>
          <w:spacing w:val="20"/>
          <w:w w:val="110"/>
          <w:sz w:val="19"/>
        </w:rPr>
        <w:t> </w:t>
      </w:r>
      <w:r>
        <w:rPr>
          <w:color w:val="231F20"/>
          <w:w w:val="110"/>
          <w:sz w:val="19"/>
        </w:rPr>
        <w:t>MBA,</w:t>
      </w:r>
      <w:r>
        <w:rPr>
          <w:color w:val="231F20"/>
          <w:spacing w:val="21"/>
          <w:w w:val="110"/>
          <w:sz w:val="19"/>
        </w:rPr>
        <w:t> </w:t>
      </w:r>
      <w:r>
        <w:rPr>
          <w:color w:val="231F20"/>
          <w:spacing w:val="-5"/>
          <w:w w:val="110"/>
          <w:sz w:val="19"/>
        </w:rPr>
        <w:t>’86</w:t>
      </w:r>
    </w:p>
    <w:p>
      <w:pPr>
        <w:spacing w:before="77"/>
        <w:ind w:left="1592" w:right="0" w:firstLine="0"/>
        <w:jc w:val="left"/>
        <w:rPr>
          <w:sz w:val="19"/>
        </w:rPr>
      </w:pPr>
      <w:r>
        <w:rPr>
          <w:color w:val="231F20"/>
          <w:w w:val="105"/>
          <w:sz w:val="19"/>
        </w:rPr>
        <w:t>Corporate</w:t>
      </w:r>
      <w:r>
        <w:rPr>
          <w:color w:val="231F20"/>
          <w:spacing w:val="-1"/>
          <w:w w:val="105"/>
          <w:sz w:val="19"/>
        </w:rPr>
        <w:t> </w:t>
      </w:r>
      <w:r>
        <w:rPr>
          <w:color w:val="231F20"/>
          <w:w w:val="105"/>
          <w:sz w:val="19"/>
        </w:rPr>
        <w:t>attorney, Centecor, Inc. </w:t>
      </w:r>
      <w:r>
        <w:rPr>
          <w:color w:val="231F20"/>
          <w:spacing w:val="-2"/>
          <w:w w:val="105"/>
          <w:sz w:val="19"/>
        </w:rPr>
        <w:t>(Biotechnology)</w:t>
      </w:r>
    </w:p>
    <w:p>
      <w:pPr>
        <w:pStyle w:val="BodyText"/>
        <w:spacing w:before="2"/>
        <w:rPr>
          <w:sz w:val="24"/>
        </w:rPr>
      </w:pPr>
    </w:p>
    <w:p>
      <w:pPr>
        <w:pStyle w:val="BodyText"/>
        <w:spacing w:line="292" w:lineRule="auto"/>
        <w:ind w:left="637" w:right="685" w:hanging="118"/>
        <w:jc w:val="both"/>
      </w:pPr>
      <w:r>
        <w:rPr>
          <w:color w:val="231F20"/>
        </w:rPr>
        <w:t>“My medical education provided me substantial earning potential,</w:t>
      </w:r>
      <w:r>
        <w:rPr>
          <w:color w:val="231F20"/>
          <w:spacing w:val="40"/>
        </w:rPr>
        <w:t> </w:t>
      </w:r>
      <w:r>
        <w:rPr>
          <w:color w:val="231F20"/>
        </w:rPr>
        <w:t>but none of the necessary business skills. </w:t>
      </w:r>
      <w:r>
        <w:rPr>
          <w:i/>
          <w:color w:val="231F20"/>
        </w:rPr>
        <w:t>The Ten-Day MBA </w:t>
      </w:r>
      <w:r>
        <w:rPr>
          <w:color w:val="231F20"/>
        </w:rPr>
        <w:t>has quickly given me the detailed understanding of business that I </w:t>
      </w:r>
      <w:r>
        <w:rPr>
          <w:color w:val="231F20"/>
        </w:rPr>
        <w:t>re- </w:t>
      </w:r>
      <w:r>
        <w:rPr>
          <w:color w:val="231F20"/>
          <w:spacing w:val="-2"/>
        </w:rPr>
        <w:t>quire.”</w:t>
      </w:r>
    </w:p>
    <w:p>
      <w:pPr>
        <w:spacing w:line="324" w:lineRule="auto" w:before="18"/>
        <w:ind w:left="1592" w:right="4076" w:hanging="213"/>
        <w:jc w:val="left"/>
        <w:rPr>
          <w:sz w:val="19"/>
        </w:rPr>
      </w:pPr>
      <w:r>
        <w:rPr>
          <w:color w:val="231F20"/>
          <w:w w:val="105"/>
          <w:sz w:val="19"/>
        </w:rPr>
        <w:t>—</w:t>
      </w:r>
      <w:r>
        <w:rPr>
          <w:color w:val="231F20"/>
          <w:spacing w:val="-24"/>
          <w:w w:val="105"/>
          <w:sz w:val="19"/>
        </w:rPr>
        <w:t> </w:t>
      </w:r>
      <w:r>
        <w:rPr>
          <w:rFonts w:ascii="Arial" w:hAnsi="Arial"/>
          <w:color w:val="231F20"/>
          <w:w w:val="105"/>
          <w:sz w:val="14"/>
        </w:rPr>
        <w:t>DANIEL E. FLYNN, M.D. </w:t>
      </w:r>
      <w:r>
        <w:rPr>
          <w:color w:val="231F20"/>
          <w:w w:val="105"/>
          <w:sz w:val="19"/>
        </w:rPr>
        <w:t>Ten-Day MBA, ’05 </w:t>
      </w:r>
      <w:r>
        <w:rPr>
          <w:color w:val="231F20"/>
          <w:spacing w:val="-2"/>
          <w:w w:val="105"/>
          <w:sz w:val="19"/>
        </w:rPr>
        <w:t>Radiologist</w:t>
      </w:r>
    </w:p>
    <w:p>
      <w:pPr>
        <w:pStyle w:val="BodyText"/>
        <w:spacing w:before="4"/>
        <w:rPr>
          <w:sz w:val="17"/>
        </w:rPr>
      </w:pPr>
    </w:p>
    <w:p>
      <w:pPr>
        <w:pStyle w:val="BodyText"/>
        <w:spacing w:line="292" w:lineRule="auto"/>
        <w:ind w:left="520" w:right="686"/>
        <w:jc w:val="both"/>
      </w:pPr>
      <w:r>
        <w:rPr>
          <w:color w:val="231F20"/>
          <w:w w:val="105"/>
        </w:rPr>
        <w:t>“An</w:t>
      </w:r>
      <w:r>
        <w:rPr>
          <w:color w:val="231F20"/>
          <w:w w:val="105"/>
        </w:rPr>
        <w:t> attorney</w:t>
      </w:r>
      <w:r>
        <w:rPr>
          <w:color w:val="231F20"/>
          <w:w w:val="105"/>
        </w:rPr>
        <w:t> needs</w:t>
      </w:r>
      <w:r>
        <w:rPr>
          <w:color w:val="231F20"/>
          <w:w w:val="105"/>
        </w:rPr>
        <w:t> to</w:t>
      </w:r>
      <w:r>
        <w:rPr>
          <w:color w:val="231F20"/>
          <w:w w:val="105"/>
        </w:rPr>
        <w:t> have</w:t>
      </w:r>
      <w:r>
        <w:rPr>
          <w:color w:val="231F20"/>
          <w:w w:val="105"/>
        </w:rPr>
        <w:t> a</w:t>
      </w:r>
      <w:r>
        <w:rPr>
          <w:color w:val="231F20"/>
          <w:w w:val="105"/>
        </w:rPr>
        <w:t> working</w:t>
      </w:r>
      <w:r>
        <w:rPr>
          <w:color w:val="231F20"/>
          <w:w w:val="105"/>
        </w:rPr>
        <w:t> knowledge</w:t>
      </w:r>
      <w:r>
        <w:rPr>
          <w:color w:val="231F20"/>
          <w:w w:val="105"/>
        </w:rPr>
        <w:t> of</w:t>
      </w:r>
      <w:r>
        <w:rPr>
          <w:color w:val="231F20"/>
          <w:w w:val="105"/>
        </w:rPr>
        <w:t> both</w:t>
      </w:r>
      <w:r>
        <w:rPr>
          <w:color w:val="231F20"/>
          <w:w w:val="105"/>
        </w:rPr>
        <w:t> law</w:t>
      </w:r>
      <w:r>
        <w:rPr>
          <w:color w:val="231F20"/>
          <w:w w:val="105"/>
        </w:rPr>
        <w:t> </w:t>
      </w:r>
      <w:r>
        <w:rPr>
          <w:color w:val="231F20"/>
          <w:w w:val="105"/>
        </w:rPr>
        <w:t>and business.</w:t>
      </w:r>
      <w:r>
        <w:rPr>
          <w:color w:val="231F20"/>
          <w:spacing w:val="-9"/>
          <w:w w:val="105"/>
        </w:rPr>
        <w:t> </w:t>
      </w:r>
      <w:r>
        <w:rPr>
          <w:i/>
          <w:color w:val="231F20"/>
          <w:w w:val="105"/>
        </w:rPr>
        <w:t>The</w:t>
      </w:r>
      <w:r>
        <w:rPr>
          <w:i/>
          <w:color w:val="231F20"/>
          <w:spacing w:val="-8"/>
          <w:w w:val="105"/>
        </w:rPr>
        <w:t> </w:t>
      </w:r>
      <w:r>
        <w:rPr>
          <w:i/>
          <w:color w:val="231F20"/>
          <w:w w:val="105"/>
        </w:rPr>
        <w:t>Ten-Day</w:t>
      </w:r>
      <w:r>
        <w:rPr>
          <w:i/>
          <w:color w:val="231F20"/>
          <w:spacing w:val="-8"/>
          <w:w w:val="105"/>
        </w:rPr>
        <w:t> </w:t>
      </w:r>
      <w:r>
        <w:rPr>
          <w:i/>
          <w:color w:val="231F20"/>
          <w:w w:val="105"/>
        </w:rPr>
        <w:t>MBA</w:t>
      </w:r>
      <w:r>
        <w:rPr>
          <w:i/>
          <w:color w:val="231F20"/>
          <w:spacing w:val="-9"/>
          <w:w w:val="105"/>
        </w:rPr>
        <w:t> </w:t>
      </w:r>
      <w:r>
        <w:rPr>
          <w:color w:val="231F20"/>
          <w:w w:val="105"/>
        </w:rPr>
        <w:t>has</w:t>
      </w:r>
      <w:r>
        <w:rPr>
          <w:color w:val="231F20"/>
          <w:spacing w:val="-8"/>
          <w:w w:val="105"/>
        </w:rPr>
        <w:t> </w:t>
      </w:r>
      <w:r>
        <w:rPr>
          <w:color w:val="231F20"/>
          <w:w w:val="105"/>
        </w:rPr>
        <w:t>given</w:t>
      </w:r>
      <w:r>
        <w:rPr>
          <w:color w:val="231F20"/>
          <w:spacing w:val="-8"/>
          <w:w w:val="105"/>
        </w:rPr>
        <w:t> </w:t>
      </w:r>
      <w:r>
        <w:rPr>
          <w:color w:val="231F20"/>
          <w:w w:val="105"/>
        </w:rPr>
        <w:t>me</w:t>
      </w:r>
      <w:r>
        <w:rPr>
          <w:color w:val="231F20"/>
          <w:spacing w:val="-8"/>
          <w:w w:val="105"/>
        </w:rPr>
        <w:t> </w:t>
      </w:r>
      <w:r>
        <w:rPr>
          <w:color w:val="231F20"/>
          <w:w w:val="105"/>
        </w:rPr>
        <w:t>the</w:t>
      </w:r>
      <w:r>
        <w:rPr>
          <w:color w:val="231F20"/>
          <w:spacing w:val="-8"/>
          <w:w w:val="105"/>
        </w:rPr>
        <w:t> </w:t>
      </w:r>
      <w:r>
        <w:rPr>
          <w:color w:val="231F20"/>
          <w:w w:val="105"/>
        </w:rPr>
        <w:t>business</w:t>
      </w:r>
      <w:r>
        <w:rPr>
          <w:color w:val="231F20"/>
          <w:spacing w:val="-8"/>
          <w:w w:val="105"/>
        </w:rPr>
        <w:t> </w:t>
      </w:r>
      <w:r>
        <w:rPr>
          <w:color w:val="231F20"/>
          <w:w w:val="105"/>
        </w:rPr>
        <w:t>tools</w:t>
      </w:r>
      <w:r>
        <w:rPr>
          <w:color w:val="231F20"/>
          <w:spacing w:val="-8"/>
          <w:w w:val="105"/>
        </w:rPr>
        <w:t> </w:t>
      </w:r>
      <w:r>
        <w:rPr>
          <w:color w:val="231F20"/>
          <w:w w:val="105"/>
        </w:rPr>
        <w:t>to</w:t>
      </w:r>
      <w:r>
        <w:rPr>
          <w:color w:val="231F20"/>
          <w:spacing w:val="-8"/>
          <w:w w:val="105"/>
        </w:rPr>
        <w:t> </w:t>
      </w:r>
      <w:r>
        <w:rPr>
          <w:color w:val="231F20"/>
          <w:w w:val="105"/>
        </w:rPr>
        <w:t>best manage</w:t>
      </w:r>
      <w:r>
        <w:rPr>
          <w:color w:val="231F20"/>
          <w:spacing w:val="-13"/>
          <w:w w:val="105"/>
        </w:rPr>
        <w:t> </w:t>
      </w:r>
      <w:r>
        <w:rPr>
          <w:color w:val="231F20"/>
          <w:w w:val="105"/>
        </w:rPr>
        <w:t>my</w:t>
      </w:r>
      <w:r>
        <w:rPr>
          <w:color w:val="231F20"/>
          <w:spacing w:val="-12"/>
          <w:w w:val="105"/>
        </w:rPr>
        <w:t> </w:t>
      </w:r>
      <w:r>
        <w:rPr>
          <w:color w:val="231F20"/>
          <w:w w:val="105"/>
        </w:rPr>
        <w:t>practice</w:t>
      </w:r>
      <w:r>
        <w:rPr>
          <w:color w:val="231F20"/>
          <w:spacing w:val="-12"/>
          <w:w w:val="105"/>
        </w:rPr>
        <w:t> </w:t>
      </w:r>
      <w:r>
        <w:rPr>
          <w:color w:val="231F20"/>
          <w:w w:val="105"/>
        </w:rPr>
        <w:t>and</w:t>
      </w:r>
      <w:r>
        <w:rPr>
          <w:color w:val="231F20"/>
          <w:spacing w:val="-12"/>
          <w:w w:val="105"/>
        </w:rPr>
        <w:t> </w:t>
      </w:r>
      <w:r>
        <w:rPr>
          <w:color w:val="231F20"/>
          <w:w w:val="105"/>
        </w:rPr>
        <w:t>represent</w:t>
      </w:r>
      <w:r>
        <w:rPr>
          <w:color w:val="231F20"/>
          <w:spacing w:val="-12"/>
          <w:w w:val="105"/>
        </w:rPr>
        <w:t> </w:t>
      </w:r>
      <w:r>
        <w:rPr>
          <w:color w:val="231F20"/>
          <w:w w:val="105"/>
        </w:rPr>
        <w:t>my</w:t>
      </w:r>
      <w:r>
        <w:rPr>
          <w:color w:val="231F20"/>
          <w:spacing w:val="-12"/>
          <w:w w:val="105"/>
        </w:rPr>
        <w:t> </w:t>
      </w:r>
      <w:r>
        <w:rPr>
          <w:color w:val="231F20"/>
          <w:w w:val="105"/>
        </w:rPr>
        <w:t>clients.</w:t>
      </w:r>
      <w:r>
        <w:rPr>
          <w:color w:val="231F20"/>
          <w:spacing w:val="-12"/>
          <w:w w:val="105"/>
        </w:rPr>
        <w:t> </w:t>
      </w:r>
      <w:r>
        <w:rPr>
          <w:color w:val="231F20"/>
          <w:w w:val="105"/>
        </w:rPr>
        <w:t>Every</w:t>
      </w:r>
      <w:r>
        <w:rPr>
          <w:color w:val="231F20"/>
          <w:spacing w:val="-13"/>
          <w:w w:val="105"/>
        </w:rPr>
        <w:t> </w:t>
      </w:r>
      <w:r>
        <w:rPr>
          <w:color w:val="231F20"/>
          <w:w w:val="105"/>
        </w:rPr>
        <w:t>lawyer</w:t>
      </w:r>
      <w:r>
        <w:rPr>
          <w:color w:val="231F20"/>
          <w:spacing w:val="-12"/>
          <w:w w:val="105"/>
        </w:rPr>
        <w:t> </w:t>
      </w:r>
      <w:r>
        <w:rPr>
          <w:color w:val="231F20"/>
          <w:w w:val="105"/>
        </w:rPr>
        <w:t>should read </w:t>
      </w:r>
      <w:r>
        <w:rPr>
          <w:i/>
          <w:color w:val="231F20"/>
          <w:w w:val="105"/>
        </w:rPr>
        <w:t>The Ten-Day MBA.</w:t>
      </w:r>
      <w:r>
        <w:rPr>
          <w:color w:val="231F20"/>
          <w:w w:val="105"/>
        </w:rPr>
        <w:t>”</w:t>
      </w:r>
    </w:p>
    <w:p>
      <w:pPr>
        <w:spacing w:before="18"/>
        <w:ind w:left="1380" w:right="0" w:firstLine="0"/>
        <w:jc w:val="left"/>
        <w:rPr>
          <w:rFonts w:ascii="Arial" w:hAnsi="Arial"/>
          <w:sz w:val="14"/>
        </w:rPr>
      </w:pPr>
      <w:r>
        <w:rPr>
          <w:color w:val="231F20"/>
          <w:w w:val="105"/>
          <w:sz w:val="19"/>
        </w:rPr>
        <w:t>—</w:t>
      </w:r>
      <w:r>
        <w:rPr>
          <w:color w:val="231F20"/>
          <w:spacing w:val="-22"/>
          <w:w w:val="105"/>
          <w:sz w:val="19"/>
        </w:rPr>
        <w:t> </w:t>
      </w:r>
      <w:r>
        <w:rPr>
          <w:rFonts w:ascii="Arial" w:hAnsi="Arial"/>
          <w:color w:val="231F20"/>
          <w:w w:val="105"/>
          <w:sz w:val="14"/>
        </w:rPr>
        <w:t>CAROL</w:t>
      </w:r>
      <w:r>
        <w:rPr>
          <w:rFonts w:ascii="Arial" w:hAnsi="Arial"/>
          <w:color w:val="231F20"/>
          <w:spacing w:val="32"/>
          <w:w w:val="105"/>
          <w:sz w:val="14"/>
        </w:rPr>
        <w:t> </w:t>
      </w:r>
      <w:r>
        <w:rPr>
          <w:rFonts w:ascii="Arial" w:hAnsi="Arial"/>
          <w:color w:val="231F20"/>
          <w:w w:val="105"/>
          <w:sz w:val="14"/>
        </w:rPr>
        <w:t>A.</w:t>
      </w:r>
      <w:r>
        <w:rPr>
          <w:rFonts w:ascii="Arial" w:hAnsi="Arial"/>
          <w:color w:val="231F20"/>
          <w:spacing w:val="32"/>
          <w:w w:val="105"/>
          <w:sz w:val="14"/>
        </w:rPr>
        <w:t> </w:t>
      </w:r>
      <w:r>
        <w:rPr>
          <w:rFonts w:ascii="Arial" w:hAnsi="Arial"/>
          <w:color w:val="231F20"/>
          <w:spacing w:val="-2"/>
          <w:w w:val="105"/>
          <w:sz w:val="14"/>
        </w:rPr>
        <w:t>CINOTTI</w:t>
      </w:r>
    </w:p>
    <w:p>
      <w:pPr>
        <w:spacing w:before="77"/>
        <w:ind w:left="1592" w:right="0" w:firstLine="0"/>
        <w:jc w:val="left"/>
        <w:rPr>
          <w:sz w:val="19"/>
        </w:rPr>
      </w:pPr>
      <w:r>
        <w:rPr>
          <w:color w:val="231F20"/>
          <w:w w:val="110"/>
          <w:sz w:val="19"/>
        </w:rPr>
        <w:t>Ten-Day</w:t>
      </w:r>
      <w:r>
        <w:rPr>
          <w:color w:val="231F20"/>
          <w:spacing w:val="4"/>
          <w:w w:val="110"/>
          <w:sz w:val="19"/>
        </w:rPr>
        <w:t> </w:t>
      </w:r>
      <w:r>
        <w:rPr>
          <w:color w:val="231F20"/>
          <w:w w:val="110"/>
          <w:sz w:val="19"/>
        </w:rPr>
        <w:t>MBA,</w:t>
      </w:r>
      <w:r>
        <w:rPr>
          <w:color w:val="231F20"/>
          <w:spacing w:val="5"/>
          <w:w w:val="110"/>
          <w:sz w:val="19"/>
        </w:rPr>
        <w:t> </w:t>
      </w:r>
      <w:r>
        <w:rPr>
          <w:color w:val="231F20"/>
          <w:spacing w:val="-5"/>
          <w:w w:val="110"/>
          <w:sz w:val="19"/>
        </w:rPr>
        <w:t>’93</w:t>
      </w:r>
    </w:p>
    <w:p>
      <w:pPr>
        <w:spacing w:before="77"/>
        <w:ind w:left="1592" w:right="0" w:firstLine="0"/>
        <w:jc w:val="left"/>
        <w:rPr>
          <w:sz w:val="19"/>
        </w:rPr>
      </w:pPr>
      <w:r>
        <w:rPr>
          <w:color w:val="231F20"/>
          <w:w w:val="110"/>
          <w:sz w:val="19"/>
        </w:rPr>
        <w:t>Partner,</w:t>
      </w:r>
      <w:r>
        <w:rPr>
          <w:color w:val="231F20"/>
          <w:spacing w:val="-11"/>
          <w:w w:val="110"/>
          <w:sz w:val="19"/>
        </w:rPr>
        <w:t> </w:t>
      </w:r>
      <w:r>
        <w:rPr>
          <w:color w:val="231F20"/>
          <w:w w:val="110"/>
          <w:sz w:val="19"/>
        </w:rPr>
        <w:t>McCausland,</w:t>
      </w:r>
      <w:r>
        <w:rPr>
          <w:color w:val="231F20"/>
          <w:spacing w:val="-11"/>
          <w:w w:val="110"/>
          <w:sz w:val="19"/>
        </w:rPr>
        <w:t> </w:t>
      </w:r>
      <w:r>
        <w:rPr>
          <w:color w:val="231F20"/>
          <w:w w:val="110"/>
          <w:sz w:val="19"/>
        </w:rPr>
        <w:t>Keen</w:t>
      </w:r>
      <w:r>
        <w:rPr>
          <w:color w:val="231F20"/>
          <w:spacing w:val="-11"/>
          <w:w w:val="110"/>
          <w:sz w:val="19"/>
        </w:rPr>
        <w:t> </w:t>
      </w:r>
      <w:r>
        <w:rPr>
          <w:color w:val="231F20"/>
          <w:w w:val="110"/>
          <w:sz w:val="19"/>
        </w:rPr>
        <w:t>&amp;</w:t>
      </w:r>
      <w:r>
        <w:rPr>
          <w:color w:val="231F20"/>
          <w:spacing w:val="-11"/>
          <w:w w:val="110"/>
          <w:sz w:val="19"/>
        </w:rPr>
        <w:t> </w:t>
      </w:r>
      <w:r>
        <w:rPr>
          <w:color w:val="231F20"/>
          <w:spacing w:val="-2"/>
          <w:w w:val="110"/>
          <w:sz w:val="19"/>
        </w:rPr>
        <w:t>Buckman</w:t>
      </w:r>
    </w:p>
    <w:p>
      <w:pPr>
        <w:pStyle w:val="BodyText"/>
        <w:spacing w:before="2"/>
        <w:rPr>
          <w:sz w:val="24"/>
        </w:rPr>
      </w:pPr>
    </w:p>
    <w:p>
      <w:pPr>
        <w:pStyle w:val="BodyText"/>
        <w:spacing w:line="292" w:lineRule="auto"/>
        <w:ind w:left="637" w:right="685" w:hanging="118"/>
        <w:jc w:val="both"/>
      </w:pPr>
      <w:r>
        <w:rPr>
          <w:color w:val="231F20"/>
        </w:rPr>
        <w:t>“The book reminded me of the notes I took in school. It was </w:t>
      </w:r>
      <w:r>
        <w:rPr>
          <w:color w:val="231F20"/>
        </w:rPr>
        <w:t>com- fortable to read and poked the appropriate amount of fun when </w:t>
      </w:r>
      <w:r>
        <w:rPr>
          <w:color w:val="231F20"/>
          <w:spacing w:val="-2"/>
        </w:rPr>
        <w:t>needed.”</w:t>
      </w:r>
    </w:p>
    <w:p>
      <w:pPr>
        <w:spacing w:line="324" w:lineRule="auto" w:before="18"/>
        <w:ind w:left="1592" w:right="3994" w:hanging="213"/>
        <w:jc w:val="left"/>
        <w:rPr>
          <w:sz w:val="19"/>
        </w:rPr>
      </w:pPr>
      <w:r>
        <w:rPr>
          <w:color w:val="231F20"/>
          <w:w w:val="105"/>
          <w:sz w:val="19"/>
        </w:rPr>
        <w:t>—</w:t>
      </w:r>
      <w:r>
        <w:rPr>
          <w:color w:val="231F20"/>
          <w:spacing w:val="-16"/>
          <w:w w:val="105"/>
          <w:sz w:val="19"/>
        </w:rPr>
        <w:t> </w:t>
      </w:r>
      <w:r>
        <w:rPr>
          <w:rFonts w:ascii="Arial" w:hAnsi="Arial"/>
          <w:color w:val="231F20"/>
          <w:w w:val="105"/>
          <w:sz w:val="14"/>
        </w:rPr>
        <w:t>KEITH J. DAY </w:t>
      </w:r>
      <w:r>
        <w:rPr>
          <w:color w:val="231F20"/>
          <w:w w:val="105"/>
          <w:sz w:val="19"/>
        </w:rPr>
        <w:t>Dartmouth MBA, </w:t>
      </w:r>
      <w:r>
        <w:rPr>
          <w:color w:val="231F20"/>
          <w:w w:val="105"/>
          <w:sz w:val="19"/>
        </w:rPr>
        <w:t>’83 Real-estate</w:t>
      </w:r>
      <w:r>
        <w:rPr>
          <w:color w:val="231F20"/>
          <w:spacing w:val="-9"/>
          <w:w w:val="105"/>
          <w:sz w:val="19"/>
        </w:rPr>
        <w:t> </w:t>
      </w:r>
      <w:r>
        <w:rPr>
          <w:color w:val="231F20"/>
          <w:w w:val="105"/>
          <w:sz w:val="19"/>
        </w:rPr>
        <w:t>executive</w:t>
      </w:r>
    </w:p>
    <w:p>
      <w:pPr>
        <w:spacing w:after="0" w:line="324" w:lineRule="auto"/>
        <w:jc w:val="left"/>
        <w:rPr>
          <w:sz w:val="19"/>
        </w:rPr>
        <w:sectPr>
          <w:headerReference w:type="default" r:id="rId171"/>
          <w:pgSz w:w="8640" w:h="12960"/>
          <w:pgMar w:header="0" w:footer="0" w:top="1160" w:bottom="280" w:left="740" w:right="480"/>
        </w:sectPr>
      </w:pPr>
    </w:p>
    <w:p>
      <w:pPr>
        <w:pStyle w:val="BodyText"/>
        <w:spacing w:line="292" w:lineRule="auto" w:before="83"/>
        <w:ind w:left="547" w:right="776" w:hanging="118"/>
        <w:jc w:val="both"/>
      </w:pPr>
      <w:r>
        <w:rPr>
          <w:i/>
          <w:color w:val="231F20"/>
        </w:rPr>
        <w:t>“The Ten-Day MBA </w:t>
      </w:r>
      <w:r>
        <w:rPr>
          <w:color w:val="231F20"/>
        </w:rPr>
        <w:t>offers both a comprehensive review for those of</w:t>
      </w:r>
      <w:r>
        <w:rPr>
          <w:color w:val="231F20"/>
          <w:spacing w:val="40"/>
        </w:rPr>
        <w:t> </w:t>
      </w:r>
      <w:r>
        <w:rPr>
          <w:color w:val="231F20"/>
        </w:rPr>
        <w:t>us who have completed business school and a great sneak </w:t>
      </w:r>
      <w:r>
        <w:rPr>
          <w:color w:val="231F20"/>
        </w:rPr>
        <w:t>preview for those readers who are contemplating the challenge. The only thing missing from the book is the all-nighters.”</w:t>
      </w:r>
    </w:p>
    <w:p>
      <w:pPr>
        <w:spacing w:before="17"/>
        <w:ind w:left="1290" w:right="0" w:firstLine="0"/>
        <w:jc w:val="left"/>
        <w:rPr>
          <w:rFonts w:ascii="Arial" w:hAnsi="Arial"/>
          <w:sz w:val="14"/>
        </w:rPr>
      </w:pPr>
      <w:r>
        <w:rPr>
          <w:color w:val="231F20"/>
          <w:w w:val="105"/>
          <w:sz w:val="19"/>
        </w:rPr>
        <w:t>—</w:t>
      </w:r>
      <w:r>
        <w:rPr>
          <w:color w:val="231F20"/>
          <w:spacing w:val="-23"/>
          <w:w w:val="105"/>
          <w:sz w:val="19"/>
        </w:rPr>
        <w:t> </w:t>
      </w:r>
      <w:r>
        <w:rPr>
          <w:rFonts w:ascii="Arial" w:hAnsi="Arial"/>
          <w:color w:val="231F20"/>
          <w:w w:val="105"/>
          <w:sz w:val="14"/>
        </w:rPr>
        <w:t>TIMOTHY</w:t>
      </w:r>
      <w:r>
        <w:rPr>
          <w:rFonts w:ascii="Arial" w:hAnsi="Arial"/>
          <w:color w:val="231F20"/>
          <w:spacing w:val="30"/>
          <w:w w:val="105"/>
          <w:sz w:val="14"/>
        </w:rPr>
        <w:t> </w:t>
      </w:r>
      <w:r>
        <w:rPr>
          <w:rFonts w:ascii="Arial" w:hAnsi="Arial"/>
          <w:color w:val="231F20"/>
          <w:w w:val="105"/>
          <w:sz w:val="14"/>
        </w:rPr>
        <w:t>L.</w:t>
      </w:r>
      <w:r>
        <w:rPr>
          <w:rFonts w:ascii="Arial" w:hAnsi="Arial"/>
          <w:color w:val="231F20"/>
          <w:spacing w:val="30"/>
          <w:w w:val="105"/>
          <w:sz w:val="14"/>
        </w:rPr>
        <w:t> </w:t>
      </w:r>
      <w:r>
        <w:rPr>
          <w:rFonts w:ascii="Arial" w:hAnsi="Arial"/>
          <w:color w:val="231F20"/>
          <w:spacing w:val="-2"/>
          <w:w w:val="105"/>
          <w:sz w:val="14"/>
        </w:rPr>
        <w:t>KRONGARD</w:t>
      </w:r>
    </w:p>
    <w:p>
      <w:pPr>
        <w:spacing w:before="78"/>
        <w:ind w:left="1502" w:right="0" w:firstLine="0"/>
        <w:jc w:val="left"/>
        <w:rPr>
          <w:sz w:val="19"/>
        </w:rPr>
      </w:pPr>
      <w:r>
        <w:rPr>
          <w:color w:val="231F20"/>
          <w:w w:val="110"/>
          <w:sz w:val="19"/>
        </w:rPr>
        <w:t>Virginia</w:t>
      </w:r>
      <w:r>
        <w:rPr>
          <w:color w:val="231F20"/>
          <w:spacing w:val="6"/>
          <w:w w:val="110"/>
          <w:sz w:val="19"/>
        </w:rPr>
        <w:t> </w:t>
      </w:r>
      <w:r>
        <w:rPr>
          <w:color w:val="231F20"/>
          <w:w w:val="110"/>
          <w:sz w:val="19"/>
        </w:rPr>
        <w:t>MBA,</w:t>
      </w:r>
      <w:r>
        <w:rPr>
          <w:color w:val="231F20"/>
          <w:spacing w:val="6"/>
          <w:w w:val="110"/>
          <w:sz w:val="19"/>
        </w:rPr>
        <w:t> </w:t>
      </w:r>
      <w:r>
        <w:rPr>
          <w:color w:val="231F20"/>
          <w:spacing w:val="-5"/>
          <w:w w:val="110"/>
          <w:sz w:val="19"/>
        </w:rPr>
        <w:t>’90</w:t>
      </w:r>
    </w:p>
    <w:p>
      <w:pPr>
        <w:spacing w:before="77"/>
        <w:ind w:left="1502" w:right="0" w:firstLine="0"/>
        <w:jc w:val="left"/>
        <w:rPr>
          <w:sz w:val="19"/>
        </w:rPr>
      </w:pPr>
      <w:r>
        <w:rPr>
          <w:color w:val="231F20"/>
          <w:w w:val="105"/>
          <w:sz w:val="19"/>
        </w:rPr>
        <w:t>Chief</w:t>
      </w:r>
      <w:r>
        <w:rPr>
          <w:color w:val="231F20"/>
          <w:spacing w:val="-5"/>
          <w:w w:val="105"/>
          <w:sz w:val="19"/>
        </w:rPr>
        <w:t> </w:t>
      </w:r>
      <w:r>
        <w:rPr>
          <w:color w:val="231F20"/>
          <w:w w:val="105"/>
          <w:sz w:val="19"/>
        </w:rPr>
        <w:t>financial</w:t>
      </w:r>
      <w:r>
        <w:rPr>
          <w:color w:val="231F20"/>
          <w:spacing w:val="-4"/>
          <w:w w:val="105"/>
          <w:sz w:val="19"/>
        </w:rPr>
        <w:t> </w:t>
      </w:r>
      <w:r>
        <w:rPr>
          <w:color w:val="231F20"/>
          <w:w w:val="105"/>
          <w:sz w:val="19"/>
        </w:rPr>
        <w:t>officer,</w:t>
      </w:r>
      <w:r>
        <w:rPr>
          <w:color w:val="231F20"/>
          <w:spacing w:val="-4"/>
          <w:w w:val="105"/>
          <w:sz w:val="19"/>
        </w:rPr>
        <w:t> </w:t>
      </w:r>
      <w:r>
        <w:rPr>
          <w:color w:val="231F20"/>
          <w:w w:val="105"/>
          <w:sz w:val="19"/>
        </w:rPr>
        <w:t>Princeton</w:t>
      </w:r>
      <w:r>
        <w:rPr>
          <w:color w:val="231F20"/>
          <w:spacing w:val="-4"/>
          <w:w w:val="105"/>
          <w:sz w:val="19"/>
        </w:rPr>
        <w:t> </w:t>
      </w:r>
      <w:r>
        <w:rPr>
          <w:color w:val="231F20"/>
          <w:w w:val="105"/>
          <w:sz w:val="19"/>
        </w:rPr>
        <w:t>Computer</w:t>
      </w:r>
      <w:r>
        <w:rPr>
          <w:color w:val="231F20"/>
          <w:spacing w:val="-4"/>
          <w:w w:val="105"/>
          <w:sz w:val="19"/>
        </w:rPr>
        <w:t> </w:t>
      </w:r>
      <w:r>
        <w:rPr>
          <w:color w:val="231F20"/>
          <w:w w:val="105"/>
          <w:sz w:val="19"/>
        </w:rPr>
        <w:t>Products,</w:t>
      </w:r>
      <w:r>
        <w:rPr>
          <w:color w:val="231F20"/>
          <w:spacing w:val="-4"/>
          <w:w w:val="105"/>
          <w:sz w:val="19"/>
        </w:rPr>
        <w:t> Inc.</w:t>
      </w:r>
    </w:p>
    <w:p>
      <w:pPr>
        <w:pStyle w:val="BodyText"/>
        <w:spacing w:before="7"/>
        <w:rPr>
          <w:sz w:val="24"/>
        </w:rPr>
      </w:pPr>
    </w:p>
    <w:p>
      <w:pPr>
        <w:pStyle w:val="BodyText"/>
        <w:spacing w:line="292" w:lineRule="auto"/>
        <w:ind w:left="547" w:right="776" w:hanging="118"/>
        <w:jc w:val="both"/>
      </w:pPr>
      <w:r>
        <w:rPr>
          <w:i/>
          <w:color w:val="231F20"/>
        </w:rPr>
        <w:t>“The Ten-Day MBA </w:t>
      </w:r>
      <w:r>
        <w:rPr>
          <w:color w:val="231F20"/>
        </w:rPr>
        <w:t>has taken my business knowledge a quantum</w:t>
      </w:r>
      <w:r>
        <w:rPr>
          <w:color w:val="231F20"/>
          <w:spacing w:val="80"/>
          <w:w w:val="150"/>
        </w:rPr>
        <w:t> </w:t>
      </w:r>
      <w:r>
        <w:rPr>
          <w:color w:val="231F20"/>
        </w:rPr>
        <w:t>leap</w:t>
      </w:r>
      <w:r>
        <w:rPr>
          <w:color w:val="231F20"/>
          <w:spacing w:val="40"/>
        </w:rPr>
        <w:t> </w:t>
      </w:r>
      <w:r>
        <w:rPr>
          <w:color w:val="231F20"/>
        </w:rPr>
        <w:t>forward</w:t>
      </w:r>
      <w:r>
        <w:rPr>
          <w:color w:val="231F20"/>
          <w:spacing w:val="40"/>
        </w:rPr>
        <w:t> </w:t>
      </w:r>
      <w:r>
        <w:rPr>
          <w:color w:val="231F20"/>
        </w:rPr>
        <w:t>so</w:t>
      </w:r>
      <w:r>
        <w:rPr>
          <w:color w:val="231F20"/>
          <w:spacing w:val="40"/>
        </w:rPr>
        <w:t> </w:t>
      </w:r>
      <w:r>
        <w:rPr>
          <w:color w:val="231F20"/>
        </w:rPr>
        <w:t>easily.</w:t>
      </w:r>
      <w:r>
        <w:rPr>
          <w:color w:val="231F20"/>
          <w:spacing w:val="40"/>
        </w:rPr>
        <w:t> </w:t>
      </w:r>
      <w:r>
        <w:rPr>
          <w:color w:val="231F20"/>
        </w:rPr>
        <w:t>Best</w:t>
      </w:r>
      <w:r>
        <w:rPr>
          <w:color w:val="231F20"/>
          <w:spacing w:val="40"/>
        </w:rPr>
        <w:t> </w:t>
      </w:r>
      <w:r>
        <w:rPr>
          <w:color w:val="231F20"/>
        </w:rPr>
        <w:t>of</w:t>
      </w:r>
      <w:r>
        <w:rPr>
          <w:color w:val="231F20"/>
          <w:spacing w:val="40"/>
        </w:rPr>
        <w:t> </w:t>
      </w:r>
      <w:r>
        <w:rPr>
          <w:color w:val="231F20"/>
        </w:rPr>
        <w:t>all,</w:t>
      </w:r>
      <w:r>
        <w:rPr>
          <w:color w:val="231F20"/>
          <w:spacing w:val="40"/>
        </w:rPr>
        <w:t> </w:t>
      </w:r>
      <w:r>
        <w:rPr>
          <w:color w:val="231F20"/>
        </w:rPr>
        <w:t>knowing</w:t>
      </w:r>
      <w:r>
        <w:rPr>
          <w:color w:val="231F20"/>
          <w:spacing w:val="40"/>
        </w:rPr>
        <w:t> </w:t>
      </w:r>
      <w:r>
        <w:rPr>
          <w:color w:val="231F20"/>
        </w:rPr>
        <w:t>the</w:t>
      </w:r>
      <w:r>
        <w:rPr>
          <w:color w:val="231F20"/>
          <w:spacing w:val="40"/>
        </w:rPr>
        <w:t> </w:t>
      </w:r>
      <w:r>
        <w:rPr>
          <w:color w:val="231F20"/>
        </w:rPr>
        <w:t>MBA</w:t>
      </w:r>
      <w:r>
        <w:rPr>
          <w:color w:val="231F20"/>
          <w:spacing w:val="40"/>
        </w:rPr>
        <w:t> </w:t>
      </w:r>
      <w:r>
        <w:rPr>
          <w:color w:val="231F20"/>
        </w:rPr>
        <w:t>vocabulary and concepts has built my self-confidence to tackle real business </w:t>
      </w:r>
      <w:r>
        <w:rPr>
          <w:color w:val="231F20"/>
        </w:rPr>
        <w:t>is- sues, my understanding of the business press, and most impor- tantly, my sales performance.”</w:t>
      </w:r>
    </w:p>
    <w:p>
      <w:pPr>
        <w:spacing w:before="17"/>
        <w:ind w:left="1290" w:right="0" w:firstLine="0"/>
        <w:jc w:val="left"/>
        <w:rPr>
          <w:rFonts w:ascii="Arial" w:hAnsi="Arial"/>
          <w:sz w:val="14"/>
        </w:rPr>
      </w:pPr>
      <w:r>
        <w:rPr>
          <w:color w:val="231F20"/>
          <w:w w:val="105"/>
          <w:sz w:val="19"/>
        </w:rPr>
        <w:t>—</w:t>
      </w:r>
      <w:r>
        <w:rPr>
          <w:color w:val="231F20"/>
          <w:spacing w:val="-24"/>
          <w:w w:val="105"/>
          <w:sz w:val="19"/>
        </w:rPr>
        <w:t> </w:t>
      </w:r>
      <w:r>
        <w:rPr>
          <w:rFonts w:ascii="Arial" w:hAnsi="Arial"/>
          <w:color w:val="231F20"/>
          <w:w w:val="105"/>
          <w:sz w:val="14"/>
        </w:rPr>
        <w:t>HEIDI</w:t>
      </w:r>
      <w:r>
        <w:rPr>
          <w:rFonts w:ascii="Arial" w:hAnsi="Arial"/>
          <w:color w:val="231F20"/>
          <w:spacing w:val="26"/>
          <w:w w:val="105"/>
          <w:sz w:val="14"/>
        </w:rPr>
        <w:t> </w:t>
      </w:r>
      <w:r>
        <w:rPr>
          <w:rFonts w:ascii="Arial" w:hAnsi="Arial"/>
          <w:color w:val="231F20"/>
          <w:spacing w:val="-2"/>
          <w:w w:val="105"/>
          <w:sz w:val="14"/>
        </w:rPr>
        <w:t>NISTOK</w:t>
      </w:r>
    </w:p>
    <w:p>
      <w:pPr>
        <w:spacing w:before="77"/>
        <w:ind w:left="1502" w:right="0" w:firstLine="0"/>
        <w:jc w:val="left"/>
        <w:rPr>
          <w:sz w:val="19"/>
        </w:rPr>
      </w:pPr>
      <w:r>
        <w:rPr>
          <w:color w:val="231F20"/>
          <w:w w:val="110"/>
          <w:sz w:val="19"/>
        </w:rPr>
        <w:t>Ten-Day</w:t>
      </w:r>
      <w:r>
        <w:rPr>
          <w:color w:val="231F20"/>
          <w:spacing w:val="4"/>
          <w:w w:val="110"/>
          <w:sz w:val="19"/>
        </w:rPr>
        <w:t> </w:t>
      </w:r>
      <w:r>
        <w:rPr>
          <w:color w:val="231F20"/>
          <w:w w:val="110"/>
          <w:sz w:val="19"/>
        </w:rPr>
        <w:t>MBA,</w:t>
      </w:r>
      <w:r>
        <w:rPr>
          <w:color w:val="231F20"/>
          <w:spacing w:val="5"/>
          <w:w w:val="110"/>
          <w:sz w:val="19"/>
        </w:rPr>
        <w:t> </w:t>
      </w:r>
      <w:r>
        <w:rPr>
          <w:color w:val="231F20"/>
          <w:spacing w:val="-5"/>
          <w:w w:val="110"/>
          <w:sz w:val="19"/>
        </w:rPr>
        <w:t>’93</w:t>
      </w:r>
    </w:p>
    <w:p>
      <w:pPr>
        <w:spacing w:before="77"/>
        <w:ind w:left="1502" w:right="0" w:firstLine="0"/>
        <w:jc w:val="left"/>
        <w:rPr>
          <w:sz w:val="19"/>
        </w:rPr>
      </w:pPr>
      <w:r>
        <w:rPr>
          <w:color w:val="231F20"/>
          <w:sz w:val="19"/>
        </w:rPr>
        <w:t>Medical</w:t>
      </w:r>
      <w:r>
        <w:rPr>
          <w:color w:val="231F20"/>
          <w:spacing w:val="28"/>
          <w:sz w:val="19"/>
        </w:rPr>
        <w:t> </w:t>
      </w:r>
      <w:r>
        <w:rPr>
          <w:color w:val="231F20"/>
          <w:sz w:val="19"/>
        </w:rPr>
        <w:t>sales</w:t>
      </w:r>
      <w:r>
        <w:rPr>
          <w:color w:val="231F20"/>
          <w:spacing w:val="29"/>
          <w:sz w:val="19"/>
        </w:rPr>
        <w:t> </w:t>
      </w:r>
      <w:r>
        <w:rPr>
          <w:color w:val="231F20"/>
          <w:spacing w:val="-2"/>
          <w:sz w:val="19"/>
        </w:rPr>
        <w:t>representative</w:t>
      </w:r>
    </w:p>
    <w:p>
      <w:pPr>
        <w:pStyle w:val="BodyText"/>
        <w:spacing w:before="7"/>
        <w:rPr>
          <w:sz w:val="24"/>
        </w:rPr>
      </w:pPr>
    </w:p>
    <w:p>
      <w:pPr>
        <w:pStyle w:val="BodyText"/>
        <w:spacing w:line="292" w:lineRule="auto"/>
        <w:ind w:left="547" w:right="775" w:hanging="118"/>
        <w:jc w:val="both"/>
      </w:pPr>
      <w:r>
        <w:rPr>
          <w:color w:val="231F20"/>
          <w:w w:val="105"/>
        </w:rPr>
        <w:t>“How could you sell out our ‘MBA Secrets’ so cheaply? If just any- one</w:t>
      </w:r>
      <w:r>
        <w:rPr>
          <w:color w:val="231F20"/>
          <w:w w:val="105"/>
        </w:rPr>
        <w:t> can</w:t>
      </w:r>
      <w:r>
        <w:rPr>
          <w:color w:val="231F20"/>
          <w:w w:val="105"/>
        </w:rPr>
        <w:t> sling</w:t>
      </w:r>
      <w:r>
        <w:rPr>
          <w:color w:val="231F20"/>
          <w:w w:val="105"/>
        </w:rPr>
        <w:t> the</w:t>
      </w:r>
      <w:r>
        <w:rPr>
          <w:color w:val="231F20"/>
          <w:w w:val="105"/>
        </w:rPr>
        <w:t> jargon</w:t>
      </w:r>
      <w:r>
        <w:rPr>
          <w:color w:val="231F20"/>
          <w:w w:val="105"/>
        </w:rPr>
        <w:t> around,</w:t>
      </w:r>
      <w:r>
        <w:rPr>
          <w:color w:val="231F20"/>
          <w:w w:val="105"/>
        </w:rPr>
        <w:t> we</w:t>
      </w:r>
      <w:r>
        <w:rPr>
          <w:color w:val="231F20"/>
          <w:w w:val="105"/>
        </w:rPr>
        <w:t> won’t</w:t>
      </w:r>
      <w:r>
        <w:rPr>
          <w:color w:val="231F20"/>
          <w:w w:val="105"/>
        </w:rPr>
        <w:t> be</w:t>
      </w:r>
      <w:r>
        <w:rPr>
          <w:color w:val="231F20"/>
          <w:w w:val="105"/>
        </w:rPr>
        <w:t> ‘special’</w:t>
      </w:r>
      <w:r>
        <w:rPr>
          <w:color w:val="231F20"/>
          <w:w w:val="105"/>
        </w:rPr>
        <w:t> anymore. How will I pay off my student loans?”</w:t>
      </w:r>
    </w:p>
    <w:p>
      <w:pPr>
        <w:spacing w:before="18"/>
        <w:ind w:left="1290" w:right="0" w:firstLine="0"/>
        <w:jc w:val="left"/>
        <w:rPr>
          <w:rFonts w:ascii="Arial" w:hAnsi="Arial"/>
          <w:sz w:val="14"/>
        </w:rPr>
      </w:pPr>
      <w:r>
        <w:rPr>
          <w:color w:val="231F20"/>
          <w:w w:val="105"/>
          <w:sz w:val="19"/>
        </w:rPr>
        <w:t>—</w:t>
      </w:r>
      <w:r>
        <w:rPr>
          <w:color w:val="231F20"/>
          <w:spacing w:val="-10"/>
          <w:w w:val="105"/>
          <w:sz w:val="19"/>
        </w:rPr>
        <w:t> </w:t>
      </w:r>
      <w:r>
        <w:rPr>
          <w:rFonts w:ascii="Arial" w:hAnsi="Arial"/>
          <w:color w:val="231F20"/>
          <w:w w:val="105"/>
          <w:sz w:val="14"/>
        </w:rPr>
        <w:t>JOHN</w:t>
      </w:r>
      <w:r>
        <w:rPr>
          <w:rFonts w:ascii="Arial" w:hAnsi="Arial"/>
          <w:color w:val="231F20"/>
          <w:spacing w:val="31"/>
          <w:w w:val="105"/>
          <w:sz w:val="14"/>
        </w:rPr>
        <w:t> </w:t>
      </w:r>
      <w:r>
        <w:rPr>
          <w:rFonts w:ascii="Arial" w:hAnsi="Arial"/>
          <w:color w:val="231F20"/>
          <w:spacing w:val="-2"/>
          <w:w w:val="105"/>
          <w:sz w:val="14"/>
        </w:rPr>
        <w:t>LEONARD</w:t>
      </w:r>
    </w:p>
    <w:p>
      <w:pPr>
        <w:spacing w:before="78"/>
        <w:ind w:left="1512" w:right="0" w:firstLine="0"/>
        <w:jc w:val="left"/>
        <w:rPr>
          <w:sz w:val="19"/>
        </w:rPr>
      </w:pPr>
      <w:r>
        <w:rPr>
          <w:color w:val="231F20"/>
          <w:w w:val="110"/>
          <w:sz w:val="19"/>
        </w:rPr>
        <w:t>Virginia</w:t>
      </w:r>
      <w:r>
        <w:rPr>
          <w:color w:val="231F20"/>
          <w:spacing w:val="6"/>
          <w:w w:val="110"/>
          <w:sz w:val="19"/>
        </w:rPr>
        <w:t> </w:t>
      </w:r>
      <w:r>
        <w:rPr>
          <w:color w:val="231F20"/>
          <w:w w:val="110"/>
          <w:sz w:val="19"/>
        </w:rPr>
        <w:t>MBA,</w:t>
      </w:r>
      <w:r>
        <w:rPr>
          <w:color w:val="231F20"/>
          <w:spacing w:val="6"/>
          <w:w w:val="110"/>
          <w:sz w:val="19"/>
        </w:rPr>
        <w:t> </w:t>
      </w:r>
      <w:r>
        <w:rPr>
          <w:color w:val="231F20"/>
          <w:spacing w:val="-5"/>
          <w:w w:val="110"/>
          <w:sz w:val="19"/>
        </w:rPr>
        <w:t>’90</w:t>
      </w:r>
    </w:p>
    <w:p>
      <w:pPr>
        <w:spacing w:line="324" w:lineRule="auto" w:before="77"/>
        <w:ind w:left="1512" w:right="759" w:firstLine="0"/>
        <w:jc w:val="left"/>
        <w:rPr>
          <w:sz w:val="19"/>
        </w:rPr>
      </w:pPr>
      <w:r>
        <w:rPr>
          <w:color w:val="231F20"/>
          <w:sz w:val="19"/>
        </w:rPr>
        <w:t>District sales manager, Engineered Assemblies </w:t>
      </w:r>
      <w:r>
        <w:rPr>
          <w:color w:val="231F20"/>
          <w:sz w:val="19"/>
        </w:rPr>
        <w:t>and </w:t>
      </w:r>
      <w:r>
        <w:rPr>
          <w:color w:val="231F20"/>
          <w:w w:val="105"/>
          <w:sz w:val="19"/>
        </w:rPr>
        <w:t>Components Corp.</w:t>
      </w:r>
    </w:p>
    <w:p>
      <w:pPr>
        <w:pStyle w:val="BodyText"/>
        <w:spacing w:before="10"/>
        <w:rPr>
          <w:sz w:val="17"/>
        </w:rPr>
      </w:pPr>
    </w:p>
    <w:p>
      <w:pPr>
        <w:pStyle w:val="BodyText"/>
        <w:spacing w:line="292" w:lineRule="auto"/>
        <w:ind w:left="547" w:right="776" w:hanging="118"/>
        <w:jc w:val="both"/>
      </w:pPr>
      <w:r>
        <w:rPr>
          <w:i/>
          <w:color w:val="231F20"/>
        </w:rPr>
        <w:t>“The</w:t>
      </w:r>
      <w:r>
        <w:rPr>
          <w:i/>
          <w:color w:val="231F20"/>
          <w:spacing w:val="30"/>
        </w:rPr>
        <w:t> </w:t>
      </w:r>
      <w:r>
        <w:rPr>
          <w:i/>
          <w:color w:val="231F20"/>
        </w:rPr>
        <w:t>Ten-Day</w:t>
      </w:r>
      <w:r>
        <w:rPr>
          <w:i/>
          <w:color w:val="231F20"/>
          <w:spacing w:val="30"/>
        </w:rPr>
        <w:t> </w:t>
      </w:r>
      <w:r>
        <w:rPr>
          <w:i/>
          <w:color w:val="231F20"/>
        </w:rPr>
        <w:t>MBA</w:t>
      </w:r>
      <w:r>
        <w:rPr>
          <w:i/>
          <w:color w:val="231F20"/>
          <w:spacing w:val="30"/>
        </w:rPr>
        <w:t> </w:t>
      </w:r>
      <w:r>
        <w:rPr>
          <w:color w:val="231F20"/>
        </w:rPr>
        <w:t>has</w:t>
      </w:r>
      <w:r>
        <w:rPr>
          <w:color w:val="231F20"/>
          <w:spacing w:val="31"/>
        </w:rPr>
        <w:t> </w:t>
      </w:r>
      <w:r>
        <w:rPr>
          <w:color w:val="231F20"/>
        </w:rPr>
        <w:t>helped</w:t>
      </w:r>
      <w:r>
        <w:rPr>
          <w:color w:val="231F20"/>
          <w:spacing w:val="31"/>
        </w:rPr>
        <w:t> </w:t>
      </w:r>
      <w:r>
        <w:rPr>
          <w:color w:val="231F20"/>
        </w:rPr>
        <w:t>me</w:t>
      </w:r>
      <w:r>
        <w:rPr>
          <w:color w:val="231F20"/>
          <w:spacing w:val="31"/>
        </w:rPr>
        <w:t> </w:t>
      </w:r>
      <w:r>
        <w:rPr>
          <w:color w:val="231F20"/>
        </w:rPr>
        <w:t>in</w:t>
      </w:r>
      <w:r>
        <w:rPr>
          <w:color w:val="231F20"/>
          <w:spacing w:val="31"/>
        </w:rPr>
        <w:t> </w:t>
      </w:r>
      <w:r>
        <w:rPr>
          <w:color w:val="231F20"/>
        </w:rPr>
        <w:t>countless</w:t>
      </w:r>
      <w:r>
        <w:rPr>
          <w:color w:val="231F20"/>
          <w:spacing w:val="31"/>
        </w:rPr>
        <w:t> </w:t>
      </w:r>
      <w:r>
        <w:rPr>
          <w:color w:val="231F20"/>
        </w:rPr>
        <w:t>situations,</w:t>
      </w:r>
      <w:r>
        <w:rPr>
          <w:color w:val="231F20"/>
          <w:spacing w:val="31"/>
        </w:rPr>
        <w:t> </w:t>
      </w:r>
      <w:r>
        <w:rPr>
          <w:color w:val="231F20"/>
        </w:rPr>
        <w:t>not</w:t>
      </w:r>
      <w:r>
        <w:rPr>
          <w:color w:val="231F20"/>
          <w:spacing w:val="31"/>
        </w:rPr>
        <w:t> </w:t>
      </w:r>
      <w:r>
        <w:rPr>
          <w:color w:val="231F20"/>
        </w:rPr>
        <w:t>only on the job but also in my personal life. Silbiger’s tenacious and </w:t>
      </w:r>
      <w:r>
        <w:rPr>
          <w:color w:val="231F20"/>
        </w:rPr>
        <w:t>dili- gent coverage of all the core MBA courses has given me a more</w:t>
      </w:r>
      <w:r>
        <w:rPr>
          <w:color w:val="231F20"/>
          <w:spacing w:val="40"/>
        </w:rPr>
        <w:t> </w:t>
      </w:r>
      <w:r>
        <w:rPr>
          <w:color w:val="231F20"/>
        </w:rPr>
        <w:t>well-rounded understanding of the business world.”</w:t>
      </w:r>
    </w:p>
    <w:p>
      <w:pPr>
        <w:spacing w:before="18"/>
        <w:ind w:left="1290" w:right="0" w:firstLine="0"/>
        <w:jc w:val="left"/>
        <w:rPr>
          <w:rFonts w:ascii="Arial" w:hAnsi="Arial"/>
          <w:sz w:val="14"/>
        </w:rPr>
      </w:pPr>
      <w:r>
        <w:rPr>
          <w:color w:val="231F20"/>
          <w:w w:val="105"/>
          <w:sz w:val="19"/>
        </w:rPr>
        <w:t>—</w:t>
      </w:r>
      <w:r>
        <w:rPr>
          <w:color w:val="231F20"/>
          <w:spacing w:val="-27"/>
          <w:w w:val="105"/>
          <w:sz w:val="19"/>
        </w:rPr>
        <w:t> </w:t>
      </w:r>
      <w:r>
        <w:rPr>
          <w:rFonts w:ascii="Arial" w:hAnsi="Arial"/>
          <w:color w:val="231F20"/>
          <w:w w:val="105"/>
          <w:sz w:val="14"/>
        </w:rPr>
        <w:t>JAMES</w:t>
      </w:r>
      <w:r>
        <w:rPr>
          <w:rFonts w:ascii="Arial" w:hAnsi="Arial"/>
          <w:color w:val="231F20"/>
          <w:spacing w:val="15"/>
          <w:w w:val="105"/>
          <w:sz w:val="14"/>
        </w:rPr>
        <w:t> </w:t>
      </w:r>
      <w:r>
        <w:rPr>
          <w:rFonts w:ascii="Arial" w:hAnsi="Arial"/>
          <w:color w:val="231F20"/>
          <w:w w:val="105"/>
          <w:sz w:val="14"/>
        </w:rPr>
        <w:t>T.</w:t>
      </w:r>
      <w:r>
        <w:rPr>
          <w:rFonts w:ascii="Arial" w:hAnsi="Arial"/>
          <w:color w:val="231F20"/>
          <w:spacing w:val="16"/>
          <w:w w:val="105"/>
          <w:sz w:val="14"/>
        </w:rPr>
        <w:t> </w:t>
      </w:r>
      <w:r>
        <w:rPr>
          <w:rFonts w:ascii="Arial" w:hAnsi="Arial"/>
          <w:color w:val="231F20"/>
          <w:spacing w:val="-2"/>
          <w:w w:val="105"/>
          <w:sz w:val="14"/>
        </w:rPr>
        <w:t>MOONEY</w:t>
      </w:r>
    </w:p>
    <w:p>
      <w:pPr>
        <w:spacing w:before="77"/>
        <w:ind w:left="1502" w:right="0" w:firstLine="0"/>
        <w:jc w:val="left"/>
        <w:rPr>
          <w:sz w:val="19"/>
        </w:rPr>
      </w:pPr>
      <w:r>
        <w:rPr>
          <w:color w:val="231F20"/>
          <w:w w:val="110"/>
          <w:sz w:val="19"/>
        </w:rPr>
        <w:t>Ten-Day</w:t>
      </w:r>
      <w:r>
        <w:rPr>
          <w:color w:val="231F20"/>
          <w:spacing w:val="4"/>
          <w:w w:val="110"/>
          <w:sz w:val="19"/>
        </w:rPr>
        <w:t> </w:t>
      </w:r>
      <w:r>
        <w:rPr>
          <w:color w:val="231F20"/>
          <w:w w:val="110"/>
          <w:sz w:val="19"/>
        </w:rPr>
        <w:t>MBA,</w:t>
      </w:r>
      <w:r>
        <w:rPr>
          <w:color w:val="231F20"/>
          <w:spacing w:val="5"/>
          <w:w w:val="110"/>
          <w:sz w:val="19"/>
        </w:rPr>
        <w:t> </w:t>
      </w:r>
      <w:r>
        <w:rPr>
          <w:color w:val="231F20"/>
          <w:spacing w:val="-5"/>
          <w:w w:val="110"/>
          <w:sz w:val="19"/>
        </w:rPr>
        <w:t>’03</w:t>
      </w:r>
    </w:p>
    <w:p>
      <w:pPr>
        <w:spacing w:before="77"/>
        <w:ind w:left="1502" w:right="0" w:firstLine="0"/>
        <w:jc w:val="left"/>
        <w:rPr>
          <w:sz w:val="19"/>
        </w:rPr>
      </w:pPr>
      <w:r>
        <w:rPr>
          <w:color w:val="231F20"/>
          <w:w w:val="105"/>
          <w:sz w:val="19"/>
        </w:rPr>
        <w:t>Advertising</w:t>
      </w:r>
      <w:r>
        <w:rPr>
          <w:color w:val="231F20"/>
          <w:spacing w:val="16"/>
          <w:w w:val="105"/>
          <w:sz w:val="19"/>
        </w:rPr>
        <w:t> </w:t>
      </w:r>
      <w:r>
        <w:rPr>
          <w:color w:val="231F20"/>
          <w:w w:val="105"/>
          <w:sz w:val="19"/>
        </w:rPr>
        <w:t>program</w:t>
      </w:r>
      <w:r>
        <w:rPr>
          <w:color w:val="231F20"/>
          <w:spacing w:val="16"/>
          <w:w w:val="105"/>
          <w:sz w:val="19"/>
        </w:rPr>
        <w:t> </w:t>
      </w:r>
      <w:r>
        <w:rPr>
          <w:color w:val="231F20"/>
          <w:w w:val="105"/>
          <w:sz w:val="19"/>
        </w:rPr>
        <w:t>manager,</w:t>
      </w:r>
      <w:r>
        <w:rPr>
          <w:color w:val="231F20"/>
          <w:spacing w:val="17"/>
          <w:w w:val="105"/>
          <w:sz w:val="19"/>
        </w:rPr>
        <w:t> </w:t>
      </w:r>
      <w:r>
        <w:rPr>
          <w:color w:val="231F20"/>
          <w:w w:val="105"/>
          <w:sz w:val="19"/>
        </w:rPr>
        <w:t>E*TRADE</w:t>
      </w:r>
      <w:r>
        <w:rPr>
          <w:color w:val="231F20"/>
          <w:spacing w:val="16"/>
          <w:w w:val="105"/>
          <w:sz w:val="19"/>
        </w:rPr>
        <w:t> </w:t>
      </w:r>
      <w:r>
        <w:rPr>
          <w:color w:val="231F20"/>
          <w:w w:val="105"/>
          <w:sz w:val="19"/>
        </w:rPr>
        <w:t>Group,</w:t>
      </w:r>
      <w:r>
        <w:rPr>
          <w:color w:val="231F20"/>
          <w:spacing w:val="16"/>
          <w:w w:val="105"/>
          <w:sz w:val="19"/>
        </w:rPr>
        <w:t> </w:t>
      </w:r>
      <w:r>
        <w:rPr>
          <w:color w:val="231F20"/>
          <w:spacing w:val="-4"/>
          <w:w w:val="105"/>
          <w:sz w:val="19"/>
        </w:rPr>
        <w:t>Inc.</w:t>
      </w:r>
    </w:p>
    <w:p>
      <w:pPr>
        <w:spacing w:after="0"/>
        <w:jc w:val="left"/>
        <w:rPr>
          <w:sz w:val="19"/>
        </w:rPr>
        <w:sectPr>
          <w:headerReference w:type="even" r:id="rId172"/>
          <w:pgSz w:w="8640" w:h="12960"/>
          <w:pgMar w:header="0" w:footer="0" w:top="1160" w:bottom="280" w:left="740" w:right="480"/>
        </w:sectPr>
      </w:pPr>
    </w:p>
    <w:p>
      <w:pPr>
        <w:pStyle w:val="BodyText"/>
        <w:spacing w:before="5"/>
        <w:rPr>
          <w:sz w:val="15"/>
        </w:rPr>
      </w:pPr>
    </w:p>
    <w:p>
      <w:pPr>
        <w:pStyle w:val="Heading3"/>
        <w:spacing w:before="38"/>
      </w:pPr>
      <w:bookmarkStart w:name="Credits" w:id="63"/>
      <w:bookmarkEnd w:id="63"/>
      <w:r>
        <w:rPr>
          <w:b w:val="0"/>
        </w:rPr>
      </w:r>
      <w:bookmarkStart w:name="_bookmark30" w:id="64"/>
      <w:bookmarkEnd w:id="64"/>
      <w:r>
        <w:rPr>
          <w:b w:val="0"/>
        </w:rPr>
      </w:r>
      <w:hyperlink w:history="true" w:anchor="_bookmark2">
        <w:r>
          <w:rPr>
            <w:color w:val="0000FF"/>
            <w:spacing w:val="-2"/>
          </w:rPr>
          <w:t>Credits</w:t>
        </w:r>
      </w:hyperlink>
    </w:p>
    <w:p>
      <w:pPr>
        <w:pStyle w:val="BodyText"/>
        <w:rPr>
          <w:rFonts w:ascii="Times New Roman"/>
          <w:b/>
          <w:sz w:val="20"/>
        </w:rPr>
      </w:pPr>
    </w:p>
    <w:p>
      <w:pPr>
        <w:pStyle w:val="BodyText"/>
        <w:spacing w:before="7"/>
        <w:rPr>
          <w:rFonts w:ascii="Times New Roman"/>
          <w:b/>
          <w:sz w:val="22"/>
        </w:rPr>
      </w:pPr>
    </w:p>
    <w:p>
      <w:pPr>
        <w:spacing w:before="60"/>
        <w:ind w:left="123" w:right="0" w:firstLine="0"/>
        <w:jc w:val="left"/>
        <w:rPr>
          <w:rFonts w:ascii="Times New Roman"/>
          <w:sz w:val="24"/>
        </w:rPr>
      </w:pPr>
      <w:r>
        <w:rPr>
          <w:rFonts w:ascii="Times New Roman"/>
          <w:sz w:val="24"/>
        </w:rPr>
        <w:t>Designed</w:t>
      </w:r>
      <w:r>
        <w:rPr>
          <w:rFonts w:ascii="Times New Roman"/>
          <w:spacing w:val="-6"/>
          <w:sz w:val="24"/>
        </w:rPr>
        <w:t> </w:t>
      </w:r>
      <w:r>
        <w:rPr>
          <w:rFonts w:ascii="Times New Roman"/>
          <w:sz w:val="24"/>
        </w:rPr>
        <w:t>by</w:t>
      </w:r>
      <w:r>
        <w:rPr>
          <w:rFonts w:ascii="Times New Roman"/>
          <w:spacing w:val="-6"/>
          <w:sz w:val="24"/>
        </w:rPr>
        <w:t> </w:t>
      </w:r>
      <w:r>
        <w:rPr>
          <w:rFonts w:ascii="Times New Roman"/>
          <w:sz w:val="24"/>
        </w:rPr>
        <w:t>Nicola</w:t>
      </w:r>
      <w:r>
        <w:rPr>
          <w:rFonts w:ascii="Times New Roman"/>
          <w:spacing w:val="-6"/>
          <w:sz w:val="24"/>
        </w:rPr>
        <w:t> </w:t>
      </w:r>
      <w:r>
        <w:rPr>
          <w:rFonts w:ascii="Times New Roman"/>
          <w:spacing w:val="-2"/>
          <w:sz w:val="24"/>
        </w:rPr>
        <w:t>Ferguson</w:t>
      </w:r>
    </w:p>
    <w:p>
      <w:pPr>
        <w:spacing w:after="0"/>
        <w:jc w:val="left"/>
        <w:rPr>
          <w:rFonts w:ascii="Times New Roman"/>
          <w:sz w:val="24"/>
        </w:rPr>
        <w:sectPr>
          <w:headerReference w:type="default" r:id="rId173"/>
          <w:pgSz w:w="8640" w:h="12960"/>
          <w:pgMar w:header="0" w:footer="0" w:top="1220" w:bottom="280" w:left="740" w:right="480"/>
        </w:sectPr>
      </w:pPr>
    </w:p>
    <w:p>
      <w:pPr>
        <w:pStyle w:val="BodyText"/>
        <w:spacing w:before="9"/>
        <w:rPr>
          <w:rFonts w:ascii="Times New Roman"/>
          <w:sz w:val="15"/>
        </w:rPr>
      </w:pPr>
    </w:p>
    <w:p>
      <w:pPr>
        <w:pStyle w:val="Heading3"/>
        <w:ind w:right="1671"/>
      </w:pPr>
      <w:bookmarkStart w:name="Copyright Notice" w:id="65"/>
      <w:bookmarkEnd w:id="65"/>
      <w:r>
        <w:rPr>
          <w:b w:val="0"/>
        </w:rPr>
      </w:r>
      <w:bookmarkStart w:name="_bookmark31" w:id="66"/>
      <w:bookmarkEnd w:id="66"/>
      <w:r>
        <w:rPr>
          <w:b w:val="0"/>
        </w:rPr>
      </w:r>
      <w:hyperlink w:history="true" w:anchor="_bookmark2">
        <w:r>
          <w:rPr>
            <w:color w:val="0000FF"/>
            <w:spacing w:val="-2"/>
          </w:rPr>
          <w:t>Copyright</w:t>
        </w:r>
      </w:hyperlink>
    </w:p>
    <w:p>
      <w:pPr>
        <w:pStyle w:val="BodyText"/>
        <w:rPr>
          <w:rFonts w:ascii="Times New Roman"/>
          <w:b/>
          <w:sz w:val="36"/>
        </w:rPr>
      </w:pPr>
    </w:p>
    <w:p>
      <w:pPr>
        <w:pStyle w:val="BodyText"/>
        <w:spacing w:before="2"/>
        <w:rPr>
          <w:rFonts w:ascii="Times New Roman"/>
          <w:b/>
          <w:sz w:val="50"/>
        </w:rPr>
      </w:pPr>
    </w:p>
    <w:p>
      <w:pPr>
        <w:spacing w:before="0"/>
        <w:ind w:left="150" w:right="0" w:firstLine="0"/>
        <w:jc w:val="both"/>
        <w:rPr>
          <w:rFonts w:ascii="Times New Roman"/>
          <w:sz w:val="24"/>
        </w:rPr>
      </w:pPr>
      <w:r>
        <w:rPr>
          <w:rFonts w:ascii="Times New Roman"/>
          <w:sz w:val="24"/>
        </w:rPr>
        <w:t>Some</w:t>
      </w:r>
      <w:r>
        <w:rPr>
          <w:rFonts w:ascii="Times New Roman"/>
          <w:spacing w:val="-8"/>
          <w:sz w:val="24"/>
        </w:rPr>
        <w:t> </w:t>
      </w:r>
      <w:r>
        <w:rPr>
          <w:rFonts w:ascii="Times New Roman"/>
          <w:sz w:val="24"/>
        </w:rPr>
        <w:t>Images</w:t>
      </w:r>
      <w:r>
        <w:rPr>
          <w:rFonts w:ascii="Times New Roman"/>
          <w:spacing w:val="-7"/>
          <w:sz w:val="24"/>
        </w:rPr>
        <w:t> </w:t>
      </w:r>
      <w:r>
        <w:rPr>
          <w:rFonts w:ascii="Times New Roman"/>
          <w:sz w:val="24"/>
        </w:rPr>
        <w:t>not</w:t>
      </w:r>
      <w:r>
        <w:rPr>
          <w:rFonts w:ascii="Times New Roman"/>
          <w:spacing w:val="-7"/>
          <w:sz w:val="24"/>
        </w:rPr>
        <w:t> </w:t>
      </w:r>
      <w:r>
        <w:rPr>
          <w:rFonts w:ascii="Times New Roman"/>
          <w:sz w:val="24"/>
        </w:rPr>
        <w:t>available</w:t>
      </w:r>
      <w:r>
        <w:rPr>
          <w:rFonts w:ascii="Times New Roman"/>
          <w:spacing w:val="-7"/>
          <w:sz w:val="24"/>
        </w:rPr>
        <w:t> </w:t>
      </w:r>
      <w:r>
        <w:rPr>
          <w:rFonts w:ascii="Times New Roman"/>
          <w:sz w:val="24"/>
        </w:rPr>
        <w:t>for</w:t>
      </w:r>
      <w:r>
        <w:rPr>
          <w:rFonts w:ascii="Times New Roman"/>
          <w:spacing w:val="-7"/>
          <w:sz w:val="24"/>
        </w:rPr>
        <w:t> </w:t>
      </w:r>
      <w:r>
        <w:rPr>
          <w:rFonts w:ascii="Times New Roman"/>
          <w:sz w:val="24"/>
        </w:rPr>
        <w:t>electronic</w:t>
      </w:r>
      <w:r>
        <w:rPr>
          <w:rFonts w:ascii="Times New Roman"/>
          <w:spacing w:val="-7"/>
          <w:sz w:val="24"/>
        </w:rPr>
        <w:t> </w:t>
      </w:r>
      <w:r>
        <w:rPr>
          <w:rFonts w:ascii="Times New Roman"/>
          <w:spacing w:val="-2"/>
          <w:sz w:val="24"/>
        </w:rPr>
        <w:t>edition.</w:t>
      </w:r>
    </w:p>
    <w:p>
      <w:pPr>
        <w:pStyle w:val="BodyText"/>
        <w:rPr>
          <w:rFonts w:ascii="Times New Roman"/>
          <w:sz w:val="24"/>
        </w:rPr>
      </w:pPr>
    </w:p>
    <w:p>
      <w:pPr>
        <w:spacing w:before="191"/>
        <w:ind w:left="124" w:right="0" w:firstLine="0"/>
        <w:jc w:val="both"/>
        <w:rPr>
          <w:rFonts w:ascii="Times New Roman" w:hAnsi="Times New Roman"/>
          <w:sz w:val="24"/>
        </w:rPr>
      </w:pPr>
      <w:r>
        <w:rPr>
          <w:rFonts w:ascii="Times New Roman" w:hAnsi="Times New Roman"/>
          <w:sz w:val="19"/>
        </w:rPr>
        <w:t>THE</w:t>
      </w:r>
      <w:r>
        <w:rPr>
          <w:rFonts w:ascii="Times New Roman" w:hAnsi="Times New Roman"/>
          <w:spacing w:val="41"/>
          <w:sz w:val="19"/>
        </w:rPr>
        <w:t> </w:t>
      </w:r>
      <w:r>
        <w:rPr>
          <w:rFonts w:ascii="Times New Roman" w:hAnsi="Times New Roman"/>
          <w:sz w:val="19"/>
        </w:rPr>
        <w:t>TEN</w:t>
      </w:r>
      <w:r>
        <w:rPr>
          <w:rFonts w:ascii="Times New Roman" w:hAnsi="Times New Roman"/>
          <w:sz w:val="24"/>
        </w:rPr>
        <w:t>-</w:t>
      </w:r>
      <w:r>
        <w:rPr>
          <w:rFonts w:ascii="Times New Roman" w:hAnsi="Times New Roman"/>
          <w:sz w:val="19"/>
        </w:rPr>
        <w:t>DAY</w:t>
      </w:r>
      <w:r>
        <w:rPr>
          <w:rFonts w:ascii="Times New Roman" w:hAnsi="Times New Roman"/>
          <w:spacing w:val="42"/>
          <w:sz w:val="19"/>
        </w:rPr>
        <w:t> </w:t>
      </w:r>
      <w:r>
        <w:rPr>
          <w:rFonts w:ascii="Times New Roman" w:hAnsi="Times New Roman"/>
          <w:sz w:val="19"/>
        </w:rPr>
        <w:t>MBA</w:t>
      </w:r>
      <w:r>
        <w:rPr>
          <w:rFonts w:ascii="Times New Roman" w:hAnsi="Times New Roman"/>
          <w:sz w:val="24"/>
        </w:rPr>
        <w:t>,</w:t>
      </w:r>
      <w:r>
        <w:rPr>
          <w:rFonts w:ascii="Times New Roman" w:hAnsi="Times New Roman"/>
          <w:spacing w:val="29"/>
          <w:sz w:val="24"/>
        </w:rPr>
        <w:t> </w:t>
      </w:r>
      <w:r>
        <w:rPr>
          <w:rFonts w:ascii="Times New Roman" w:hAnsi="Times New Roman"/>
          <w:sz w:val="24"/>
        </w:rPr>
        <w:t>3</w:t>
      </w:r>
      <w:r>
        <w:rPr>
          <w:rFonts w:ascii="Times New Roman" w:hAnsi="Times New Roman"/>
          <w:sz w:val="19"/>
        </w:rPr>
        <w:t>RD</w:t>
      </w:r>
      <w:r>
        <w:rPr>
          <w:rFonts w:ascii="Times New Roman" w:hAnsi="Times New Roman"/>
          <w:spacing w:val="42"/>
          <w:sz w:val="19"/>
        </w:rPr>
        <w:t> </w:t>
      </w:r>
      <w:r>
        <w:rPr>
          <w:rFonts w:ascii="Times New Roman" w:hAnsi="Times New Roman"/>
          <w:sz w:val="19"/>
        </w:rPr>
        <w:t>EDITION</w:t>
      </w:r>
      <w:r>
        <w:rPr>
          <w:rFonts w:ascii="Times New Roman" w:hAnsi="Times New Roman"/>
          <w:sz w:val="24"/>
        </w:rPr>
        <w:t>.</w:t>
      </w:r>
      <w:r>
        <w:rPr>
          <w:rFonts w:ascii="Times New Roman" w:hAnsi="Times New Roman"/>
          <w:spacing w:val="40"/>
          <w:sz w:val="24"/>
        </w:rPr>
        <w:t> </w:t>
      </w:r>
      <w:r>
        <w:rPr>
          <w:rFonts w:ascii="Times New Roman" w:hAnsi="Times New Roman"/>
          <w:sz w:val="24"/>
        </w:rPr>
        <w:t>Copyright</w:t>
      </w:r>
      <w:r>
        <w:rPr>
          <w:rFonts w:ascii="Times New Roman" w:hAnsi="Times New Roman"/>
          <w:spacing w:val="39"/>
          <w:sz w:val="24"/>
        </w:rPr>
        <w:t> </w:t>
      </w:r>
      <w:r>
        <w:rPr>
          <w:rFonts w:ascii="Times New Roman" w:hAnsi="Times New Roman"/>
          <w:sz w:val="24"/>
        </w:rPr>
        <w:t>©</w:t>
      </w:r>
      <w:r>
        <w:rPr>
          <w:rFonts w:ascii="Times New Roman" w:hAnsi="Times New Roman"/>
          <w:spacing w:val="40"/>
          <w:sz w:val="24"/>
        </w:rPr>
        <w:t> </w:t>
      </w:r>
      <w:r>
        <w:rPr>
          <w:rFonts w:ascii="Times New Roman" w:hAnsi="Times New Roman"/>
          <w:sz w:val="24"/>
        </w:rPr>
        <w:t>1993,</w:t>
      </w:r>
      <w:r>
        <w:rPr>
          <w:rFonts w:ascii="Times New Roman" w:hAnsi="Times New Roman"/>
          <w:spacing w:val="40"/>
          <w:sz w:val="24"/>
        </w:rPr>
        <w:t> </w:t>
      </w:r>
      <w:r>
        <w:rPr>
          <w:rFonts w:ascii="Times New Roman" w:hAnsi="Times New Roman"/>
          <w:sz w:val="24"/>
        </w:rPr>
        <w:t>1999,</w:t>
      </w:r>
      <w:r>
        <w:rPr>
          <w:rFonts w:ascii="Times New Roman" w:hAnsi="Times New Roman"/>
          <w:spacing w:val="40"/>
          <w:sz w:val="24"/>
        </w:rPr>
        <w:t> </w:t>
      </w:r>
      <w:r>
        <w:rPr>
          <w:rFonts w:ascii="Times New Roman" w:hAnsi="Times New Roman"/>
          <w:sz w:val="24"/>
        </w:rPr>
        <w:t>2005</w:t>
      </w:r>
      <w:r>
        <w:rPr>
          <w:rFonts w:ascii="Times New Roman" w:hAnsi="Times New Roman"/>
          <w:spacing w:val="39"/>
          <w:sz w:val="24"/>
        </w:rPr>
        <w:t> </w:t>
      </w:r>
      <w:r>
        <w:rPr>
          <w:rFonts w:ascii="Times New Roman" w:hAnsi="Times New Roman"/>
          <w:spacing w:val="-5"/>
          <w:sz w:val="24"/>
        </w:rPr>
        <w:t>by</w:t>
      </w:r>
    </w:p>
    <w:p>
      <w:pPr>
        <w:spacing w:before="0"/>
        <w:ind w:left="123" w:right="380" w:firstLine="0"/>
        <w:jc w:val="both"/>
        <w:rPr>
          <w:rFonts w:ascii="Times New Roman"/>
          <w:sz w:val="24"/>
        </w:rPr>
      </w:pPr>
      <w:r>
        <w:rPr>
          <w:rFonts w:ascii="Times New Roman"/>
          <w:sz w:val="24"/>
        </w:rPr>
        <w:t>Steven Alan Silbiger. All rights reserved under International and Pan- American Copyright Conventions. By payment of the required fees,</w:t>
      </w:r>
      <w:r>
        <w:rPr>
          <w:rFonts w:ascii="Times New Roman"/>
          <w:spacing w:val="40"/>
          <w:sz w:val="24"/>
        </w:rPr>
        <w:t> </w:t>
      </w:r>
      <w:r>
        <w:rPr>
          <w:rFonts w:ascii="Times New Roman"/>
          <w:sz w:val="24"/>
        </w:rPr>
        <w:t>you have been granted the non-exclusive, non-transferable right to access and read the text of this e-book on-screen. No part of this text may be reproduced, transmitted, down-loaded, decompiled, reverse engineered, or stored in or introduced into any information storage and retrieval system, in any form or by any means, whether electronic or mechanical, now known or hereinafter invented, without the express written permission of HarperCollins e-books.</w:t>
      </w:r>
    </w:p>
    <w:p>
      <w:pPr>
        <w:pStyle w:val="BodyText"/>
        <w:rPr>
          <w:rFonts w:ascii="Times New Roman"/>
          <w:sz w:val="24"/>
        </w:rPr>
      </w:pPr>
    </w:p>
    <w:p>
      <w:pPr>
        <w:spacing w:before="1"/>
        <w:ind w:left="124" w:right="2803" w:firstLine="0"/>
        <w:jc w:val="left"/>
        <w:rPr>
          <w:rFonts w:ascii="Times New Roman"/>
          <w:sz w:val="24"/>
        </w:rPr>
      </w:pPr>
      <w:r>
        <w:rPr>
          <w:rFonts w:ascii="Times New Roman"/>
          <w:sz w:val="24"/>
        </w:rPr>
        <w:t>Adobe</w:t>
      </w:r>
      <w:r>
        <w:rPr>
          <w:rFonts w:ascii="Times New Roman"/>
          <w:spacing w:val="-8"/>
          <w:sz w:val="24"/>
        </w:rPr>
        <w:t> </w:t>
      </w:r>
      <w:r>
        <w:rPr>
          <w:rFonts w:ascii="Times New Roman"/>
          <w:sz w:val="24"/>
        </w:rPr>
        <w:t>Acrobat</w:t>
      </w:r>
      <w:r>
        <w:rPr>
          <w:rFonts w:ascii="Times New Roman"/>
          <w:spacing w:val="-8"/>
          <w:sz w:val="24"/>
        </w:rPr>
        <w:t> </w:t>
      </w:r>
      <w:r>
        <w:rPr>
          <w:rFonts w:ascii="Times New Roman"/>
          <w:sz w:val="24"/>
        </w:rPr>
        <w:t>eBook</w:t>
      </w:r>
      <w:r>
        <w:rPr>
          <w:rFonts w:ascii="Times New Roman"/>
          <w:spacing w:val="-8"/>
          <w:sz w:val="24"/>
        </w:rPr>
        <w:t> </w:t>
      </w:r>
      <w:r>
        <w:rPr>
          <w:rFonts w:ascii="Times New Roman"/>
          <w:sz w:val="24"/>
        </w:rPr>
        <w:t>Reader</w:t>
      </w:r>
      <w:r>
        <w:rPr>
          <w:rFonts w:ascii="Times New Roman"/>
          <w:spacing w:val="-8"/>
          <w:sz w:val="24"/>
        </w:rPr>
        <w:t> </w:t>
      </w:r>
      <w:r>
        <w:rPr>
          <w:rFonts w:ascii="Times New Roman"/>
          <w:sz w:val="24"/>
        </w:rPr>
        <w:t>April</w:t>
      </w:r>
      <w:r>
        <w:rPr>
          <w:rFonts w:ascii="Times New Roman"/>
          <w:spacing w:val="-8"/>
          <w:sz w:val="24"/>
        </w:rPr>
        <w:t> </w:t>
      </w:r>
      <w:r>
        <w:rPr>
          <w:rFonts w:ascii="Times New Roman"/>
          <w:sz w:val="24"/>
        </w:rPr>
        <w:t>2009 ISBN 978-0-06-058591-4</w:t>
      </w:r>
    </w:p>
    <w:p>
      <w:pPr>
        <w:pStyle w:val="BodyText"/>
        <w:spacing w:before="11"/>
        <w:rPr>
          <w:rFonts w:ascii="Times New Roman"/>
          <w:sz w:val="23"/>
        </w:rPr>
      </w:pPr>
    </w:p>
    <w:p>
      <w:pPr>
        <w:spacing w:before="0"/>
        <w:ind w:left="124" w:right="0" w:firstLine="0"/>
        <w:jc w:val="left"/>
        <w:rPr>
          <w:rFonts w:ascii="Times New Roman"/>
          <w:sz w:val="24"/>
        </w:rPr>
      </w:pPr>
      <w:r>
        <w:rPr>
          <w:rFonts w:ascii="Times New Roman"/>
          <w:sz w:val="24"/>
        </w:rPr>
        <w:t>10</w:t>
      </w:r>
      <w:r>
        <w:rPr>
          <w:rFonts w:ascii="Times New Roman"/>
          <w:spacing w:val="-4"/>
          <w:sz w:val="24"/>
        </w:rPr>
        <w:t> </w:t>
      </w:r>
      <w:r>
        <w:rPr>
          <w:rFonts w:ascii="Times New Roman"/>
          <w:sz w:val="24"/>
        </w:rPr>
        <w:t>9</w:t>
      </w:r>
      <w:r>
        <w:rPr>
          <w:rFonts w:ascii="Times New Roman"/>
          <w:spacing w:val="-1"/>
          <w:sz w:val="24"/>
        </w:rPr>
        <w:t> </w:t>
      </w:r>
      <w:r>
        <w:rPr>
          <w:rFonts w:ascii="Times New Roman"/>
          <w:sz w:val="24"/>
        </w:rPr>
        <w:t>8</w:t>
      </w:r>
      <w:r>
        <w:rPr>
          <w:rFonts w:ascii="Times New Roman"/>
          <w:spacing w:val="-1"/>
          <w:sz w:val="24"/>
        </w:rPr>
        <w:t> </w:t>
      </w:r>
      <w:r>
        <w:rPr>
          <w:rFonts w:ascii="Times New Roman"/>
          <w:sz w:val="24"/>
        </w:rPr>
        <w:t>7</w:t>
      </w:r>
      <w:r>
        <w:rPr>
          <w:rFonts w:ascii="Times New Roman"/>
          <w:spacing w:val="-2"/>
          <w:sz w:val="24"/>
        </w:rPr>
        <w:t> </w:t>
      </w:r>
      <w:r>
        <w:rPr>
          <w:rFonts w:ascii="Times New Roman"/>
          <w:sz w:val="24"/>
        </w:rPr>
        <w:t>6</w:t>
      </w:r>
      <w:r>
        <w:rPr>
          <w:rFonts w:ascii="Times New Roman"/>
          <w:spacing w:val="-1"/>
          <w:sz w:val="24"/>
        </w:rPr>
        <w:t> </w:t>
      </w:r>
      <w:r>
        <w:rPr>
          <w:rFonts w:ascii="Times New Roman"/>
          <w:sz w:val="24"/>
        </w:rPr>
        <w:t>5</w:t>
      </w:r>
      <w:r>
        <w:rPr>
          <w:rFonts w:ascii="Times New Roman"/>
          <w:spacing w:val="-1"/>
          <w:sz w:val="24"/>
        </w:rPr>
        <w:t> </w:t>
      </w:r>
      <w:r>
        <w:rPr>
          <w:rFonts w:ascii="Times New Roman"/>
          <w:sz w:val="24"/>
        </w:rPr>
        <w:t>4</w:t>
      </w:r>
      <w:r>
        <w:rPr>
          <w:rFonts w:ascii="Times New Roman"/>
          <w:spacing w:val="-2"/>
          <w:sz w:val="24"/>
        </w:rPr>
        <w:t> </w:t>
      </w:r>
      <w:r>
        <w:rPr>
          <w:rFonts w:ascii="Times New Roman"/>
          <w:sz w:val="24"/>
        </w:rPr>
        <w:t>3</w:t>
      </w:r>
      <w:r>
        <w:rPr>
          <w:rFonts w:ascii="Times New Roman"/>
          <w:spacing w:val="-1"/>
          <w:sz w:val="24"/>
        </w:rPr>
        <w:t> </w:t>
      </w:r>
      <w:r>
        <w:rPr>
          <w:rFonts w:ascii="Times New Roman"/>
          <w:sz w:val="24"/>
        </w:rPr>
        <w:t>2</w:t>
      </w:r>
      <w:r>
        <w:rPr>
          <w:rFonts w:ascii="Times New Roman"/>
          <w:spacing w:val="-1"/>
          <w:sz w:val="24"/>
        </w:rPr>
        <w:t> </w:t>
      </w:r>
      <w:r>
        <w:rPr>
          <w:rFonts w:ascii="Times New Roman"/>
          <w:spacing w:val="-10"/>
          <w:sz w:val="24"/>
        </w:rPr>
        <w:t>1</w:t>
      </w:r>
    </w:p>
    <w:p>
      <w:pPr>
        <w:spacing w:after="0"/>
        <w:jc w:val="left"/>
        <w:rPr>
          <w:rFonts w:ascii="Times New Roman"/>
          <w:sz w:val="24"/>
        </w:rPr>
        <w:sectPr>
          <w:headerReference w:type="even" r:id="rId174"/>
          <w:pgSz w:w="8640" w:h="12960"/>
          <w:pgMar w:header="0" w:footer="0" w:top="1220" w:bottom="280" w:left="740" w:right="480"/>
        </w:sectPr>
      </w:pPr>
    </w:p>
    <w:p>
      <w:pPr>
        <w:pStyle w:val="BodyText"/>
        <w:ind w:left="903"/>
        <w:rPr>
          <w:rFonts w:ascii="Times New Roman"/>
          <w:sz w:val="20"/>
        </w:rPr>
      </w:pPr>
      <w:r>
        <w:rPr>
          <w:rFonts w:ascii="Times New Roman"/>
          <w:sz w:val="20"/>
        </w:rPr>
        <w:drawing>
          <wp:inline distT="0" distB="0" distL="0" distR="0">
            <wp:extent cx="2544711" cy="286511"/>
            <wp:effectExtent l="0" t="0" r="0" b="0"/>
            <wp:docPr id="159" name="image90.jpeg"/>
            <wp:cNvGraphicFramePr>
              <a:graphicFrameLocks noChangeAspect="1"/>
            </wp:cNvGraphicFramePr>
            <a:graphic>
              <a:graphicData uri="http://schemas.openxmlformats.org/drawingml/2006/picture">
                <pic:pic>
                  <pic:nvPicPr>
                    <pic:cNvPr id="160" name="image90.jpeg"/>
                    <pic:cNvPicPr/>
                  </pic:nvPicPr>
                  <pic:blipFill>
                    <a:blip r:embed="rId176" cstate="print"/>
                    <a:stretch>
                      <a:fillRect/>
                    </a:stretch>
                  </pic:blipFill>
                  <pic:spPr>
                    <a:xfrm>
                      <a:off x="0" y="0"/>
                      <a:ext cx="2544711" cy="286511"/>
                    </a:xfrm>
                    <a:prstGeom prst="rect">
                      <a:avLst/>
                    </a:prstGeom>
                  </pic:spPr>
                </pic:pic>
              </a:graphicData>
            </a:graphic>
          </wp:inline>
        </w:drawing>
      </w:r>
      <w:r>
        <w:rPr>
          <w:rFonts w:ascii="Times New Roman"/>
          <w:sz w:val="20"/>
        </w:rPr>
      </w:r>
    </w:p>
    <w:p>
      <w:pPr>
        <w:pStyle w:val="BodyText"/>
        <w:rPr>
          <w:rFonts w:ascii="Times New Roman"/>
          <w:sz w:val="20"/>
        </w:rPr>
      </w:pPr>
    </w:p>
    <w:p>
      <w:pPr>
        <w:spacing w:before="174"/>
        <w:ind w:left="924" w:right="0" w:firstLine="0"/>
        <w:jc w:val="left"/>
        <w:rPr>
          <w:rFonts w:ascii="Segoe UI Symbol"/>
          <w:sz w:val="24"/>
        </w:rPr>
      </w:pPr>
      <w:bookmarkStart w:name="About the Publisher" w:id="67"/>
      <w:bookmarkEnd w:id="67"/>
      <w:r>
        <w:rPr/>
      </w:r>
      <w:bookmarkStart w:name="_bookmark32" w:id="68"/>
      <w:bookmarkEnd w:id="68"/>
      <w:r>
        <w:rPr/>
      </w:r>
      <w:hyperlink w:history="true" w:anchor="_bookmark2">
        <w:r>
          <w:rPr>
            <w:rFonts w:ascii="Segoe UI Symbol"/>
            <w:color w:val="0000FF"/>
            <w:sz w:val="24"/>
          </w:rPr>
          <w:t>About</w:t>
        </w:r>
        <w:r>
          <w:rPr>
            <w:rFonts w:ascii="Segoe UI Symbol"/>
            <w:color w:val="0000FF"/>
            <w:spacing w:val="-2"/>
            <w:sz w:val="24"/>
          </w:rPr>
          <w:t> </w:t>
        </w:r>
        <w:r>
          <w:rPr>
            <w:rFonts w:ascii="Segoe UI Symbol"/>
            <w:color w:val="0000FF"/>
            <w:sz w:val="24"/>
          </w:rPr>
          <w:t>the</w:t>
        </w:r>
        <w:r>
          <w:rPr>
            <w:rFonts w:ascii="Segoe UI Symbol"/>
            <w:color w:val="0000FF"/>
            <w:spacing w:val="-1"/>
            <w:sz w:val="24"/>
          </w:rPr>
          <w:t> </w:t>
        </w:r>
        <w:r>
          <w:rPr>
            <w:rFonts w:ascii="Segoe UI Symbol"/>
            <w:color w:val="0000FF"/>
            <w:spacing w:val="-2"/>
            <w:sz w:val="24"/>
          </w:rPr>
          <w:t>Publisher</w:t>
        </w:r>
      </w:hyperlink>
    </w:p>
    <w:p>
      <w:pPr>
        <w:pStyle w:val="BodyText"/>
        <w:spacing w:before="8"/>
        <w:rPr>
          <w:rFonts w:ascii="Segoe UI Symbol"/>
          <w:sz w:val="18"/>
        </w:rPr>
      </w:pPr>
    </w:p>
    <w:p>
      <w:pPr>
        <w:spacing w:before="103"/>
        <w:ind w:left="924" w:right="0" w:firstLine="0"/>
        <w:jc w:val="left"/>
        <w:rPr>
          <w:b/>
          <w:sz w:val="20"/>
        </w:rPr>
      </w:pPr>
      <w:r>
        <w:rPr>
          <w:b/>
          <w:spacing w:val="-2"/>
          <w:sz w:val="20"/>
        </w:rPr>
        <w:t>Australia</w:t>
      </w:r>
    </w:p>
    <w:p>
      <w:pPr>
        <w:spacing w:line="307" w:lineRule="auto" w:before="65"/>
        <w:ind w:left="924" w:right="2443" w:firstLine="0"/>
        <w:jc w:val="left"/>
        <w:rPr>
          <w:sz w:val="20"/>
        </w:rPr>
      </w:pPr>
      <w:r>
        <w:rPr>
          <w:sz w:val="20"/>
        </w:rPr>
        <w:t>HarperCollins Publishers (Australia) Pty. </w:t>
      </w:r>
      <w:r>
        <w:rPr>
          <w:sz w:val="20"/>
        </w:rPr>
        <w:t>Ltd. 25 Ryde Road (PO Box 321)</w:t>
      </w:r>
    </w:p>
    <w:p>
      <w:pPr>
        <w:spacing w:line="307" w:lineRule="auto" w:before="0"/>
        <w:ind w:left="924" w:right="759" w:firstLine="0"/>
        <w:jc w:val="left"/>
        <w:rPr>
          <w:sz w:val="20"/>
        </w:rPr>
      </w:pPr>
      <w:r>
        <w:rPr>
          <w:sz w:val="20"/>
        </w:rPr>
        <w:t>Pymble, NSW 2073, Australia </w:t>
      </w:r>
      <w:hyperlink r:id="rId177">
        <w:r>
          <w:rPr>
            <w:spacing w:val="-2"/>
            <w:w w:val="95"/>
            <w:sz w:val="20"/>
          </w:rPr>
          <w:t>http://www.harpercollinsebooks.com.au</w:t>
        </w:r>
      </w:hyperlink>
    </w:p>
    <w:p>
      <w:pPr>
        <w:pStyle w:val="BodyText"/>
        <w:spacing w:before="9"/>
        <w:rPr>
          <w:sz w:val="16"/>
        </w:rPr>
      </w:pPr>
    </w:p>
    <w:p>
      <w:pPr>
        <w:spacing w:before="103"/>
        <w:ind w:left="924" w:right="0" w:firstLine="0"/>
        <w:jc w:val="left"/>
        <w:rPr>
          <w:b/>
          <w:sz w:val="20"/>
        </w:rPr>
      </w:pPr>
      <w:r>
        <w:rPr>
          <w:b/>
          <w:spacing w:val="-2"/>
          <w:sz w:val="20"/>
        </w:rPr>
        <w:t>Canada</w:t>
      </w:r>
    </w:p>
    <w:p>
      <w:pPr>
        <w:spacing w:line="307" w:lineRule="auto" w:before="66"/>
        <w:ind w:left="924" w:right="3887" w:firstLine="0"/>
        <w:jc w:val="left"/>
        <w:rPr>
          <w:sz w:val="20"/>
        </w:rPr>
      </w:pPr>
      <w:r>
        <w:rPr>
          <w:spacing w:val="-2"/>
          <w:w w:val="105"/>
          <w:sz w:val="20"/>
        </w:rPr>
        <w:t>HarperCollins</w:t>
      </w:r>
      <w:r>
        <w:rPr>
          <w:spacing w:val="-7"/>
          <w:w w:val="105"/>
          <w:sz w:val="20"/>
        </w:rPr>
        <w:t> </w:t>
      </w:r>
      <w:r>
        <w:rPr>
          <w:spacing w:val="-2"/>
          <w:w w:val="105"/>
          <w:sz w:val="20"/>
        </w:rPr>
        <w:t>Publishers</w:t>
      </w:r>
      <w:r>
        <w:rPr>
          <w:spacing w:val="-7"/>
          <w:w w:val="105"/>
          <w:sz w:val="20"/>
        </w:rPr>
        <w:t> </w:t>
      </w:r>
      <w:r>
        <w:rPr>
          <w:spacing w:val="-2"/>
          <w:w w:val="105"/>
          <w:sz w:val="20"/>
        </w:rPr>
        <w:t>Ltd. </w:t>
      </w:r>
      <w:r>
        <w:rPr>
          <w:w w:val="105"/>
          <w:sz w:val="20"/>
        </w:rPr>
        <w:t>55 Avenue Road, Suite 2900</w:t>
      </w:r>
    </w:p>
    <w:p>
      <w:pPr>
        <w:spacing w:line="307" w:lineRule="auto" w:before="0"/>
        <w:ind w:left="924" w:right="3382" w:firstLine="0"/>
        <w:jc w:val="left"/>
        <w:rPr>
          <w:sz w:val="20"/>
        </w:rPr>
      </w:pPr>
      <w:r>
        <w:rPr>
          <w:w w:val="105"/>
          <w:sz w:val="20"/>
        </w:rPr>
        <w:t>Toronto, ON, M5R, 3L2, Canada </w:t>
      </w:r>
      <w:hyperlink r:id="rId178">
        <w:r>
          <w:rPr>
            <w:spacing w:val="-2"/>
            <w:w w:val="95"/>
            <w:sz w:val="20"/>
          </w:rPr>
          <w:t>http://www.harpercollinsebooks.ca</w:t>
        </w:r>
      </w:hyperlink>
    </w:p>
    <w:p>
      <w:pPr>
        <w:pStyle w:val="BodyText"/>
        <w:spacing w:before="9"/>
        <w:rPr>
          <w:sz w:val="16"/>
        </w:rPr>
      </w:pPr>
    </w:p>
    <w:p>
      <w:pPr>
        <w:spacing w:before="102"/>
        <w:ind w:left="924" w:right="0" w:firstLine="0"/>
        <w:jc w:val="left"/>
        <w:rPr>
          <w:b/>
          <w:sz w:val="20"/>
        </w:rPr>
      </w:pPr>
      <w:r>
        <w:rPr>
          <w:b/>
          <w:sz w:val="20"/>
        </w:rPr>
        <w:t>New</w:t>
      </w:r>
      <w:r>
        <w:rPr>
          <w:b/>
          <w:spacing w:val="30"/>
          <w:sz w:val="20"/>
        </w:rPr>
        <w:t> </w:t>
      </w:r>
      <w:r>
        <w:rPr>
          <w:b/>
          <w:spacing w:val="-2"/>
          <w:sz w:val="20"/>
        </w:rPr>
        <w:t>Zealand</w:t>
      </w:r>
    </w:p>
    <w:p>
      <w:pPr>
        <w:spacing w:before="66"/>
        <w:ind w:left="924" w:right="0" w:firstLine="0"/>
        <w:jc w:val="left"/>
        <w:rPr>
          <w:sz w:val="20"/>
        </w:rPr>
      </w:pPr>
      <w:r>
        <w:rPr>
          <w:sz w:val="20"/>
        </w:rPr>
        <w:t>HarperCollinsPublishers</w:t>
      </w:r>
      <w:r>
        <w:rPr>
          <w:spacing w:val="19"/>
          <w:sz w:val="20"/>
        </w:rPr>
        <w:t> </w:t>
      </w:r>
      <w:r>
        <w:rPr>
          <w:sz w:val="20"/>
        </w:rPr>
        <w:t>(New</w:t>
      </w:r>
      <w:r>
        <w:rPr>
          <w:spacing w:val="20"/>
          <w:sz w:val="20"/>
        </w:rPr>
        <w:t> </w:t>
      </w:r>
      <w:r>
        <w:rPr>
          <w:sz w:val="20"/>
        </w:rPr>
        <w:t>Zealand)</w:t>
      </w:r>
      <w:r>
        <w:rPr>
          <w:spacing w:val="20"/>
          <w:sz w:val="20"/>
        </w:rPr>
        <w:t> </w:t>
      </w:r>
      <w:r>
        <w:rPr>
          <w:spacing w:val="-2"/>
          <w:sz w:val="20"/>
        </w:rPr>
        <w:t>Limited</w:t>
      </w:r>
    </w:p>
    <w:p>
      <w:pPr>
        <w:spacing w:before="66"/>
        <w:ind w:left="924" w:right="0" w:firstLine="0"/>
        <w:jc w:val="left"/>
        <w:rPr>
          <w:sz w:val="20"/>
        </w:rPr>
      </w:pPr>
      <w:r>
        <w:rPr>
          <w:w w:val="110"/>
          <w:sz w:val="20"/>
        </w:rPr>
        <w:t>P.O.</w:t>
      </w:r>
      <w:r>
        <w:rPr>
          <w:spacing w:val="4"/>
          <w:w w:val="110"/>
          <w:sz w:val="20"/>
        </w:rPr>
        <w:t> </w:t>
      </w:r>
      <w:r>
        <w:rPr>
          <w:w w:val="110"/>
          <w:sz w:val="20"/>
        </w:rPr>
        <w:t>Box</w:t>
      </w:r>
      <w:r>
        <w:rPr>
          <w:spacing w:val="4"/>
          <w:w w:val="110"/>
          <w:sz w:val="20"/>
        </w:rPr>
        <w:t> </w:t>
      </w:r>
      <w:r>
        <w:rPr>
          <w:spacing w:val="-10"/>
          <w:w w:val="110"/>
          <w:sz w:val="20"/>
        </w:rPr>
        <w:t>1</w:t>
      </w:r>
    </w:p>
    <w:p>
      <w:pPr>
        <w:spacing w:line="307" w:lineRule="auto" w:before="65"/>
        <w:ind w:left="924" w:right="3382" w:firstLine="0"/>
        <w:jc w:val="left"/>
        <w:rPr>
          <w:sz w:val="20"/>
        </w:rPr>
      </w:pPr>
      <w:r>
        <w:rPr>
          <w:sz w:val="20"/>
        </w:rPr>
        <w:t>Auckland, New Zealand </w:t>
      </w:r>
      <w:hyperlink r:id="rId179">
        <w:r>
          <w:rPr>
            <w:spacing w:val="-2"/>
            <w:w w:val="95"/>
            <w:sz w:val="20"/>
          </w:rPr>
          <w:t>http://www.harpercollins.co.nz</w:t>
        </w:r>
      </w:hyperlink>
    </w:p>
    <w:p>
      <w:pPr>
        <w:pStyle w:val="BodyText"/>
        <w:spacing w:before="10"/>
        <w:rPr>
          <w:sz w:val="16"/>
        </w:rPr>
      </w:pPr>
    </w:p>
    <w:p>
      <w:pPr>
        <w:spacing w:line="307" w:lineRule="auto" w:before="102"/>
        <w:ind w:left="924" w:right="3887" w:firstLine="0"/>
        <w:jc w:val="left"/>
        <w:rPr>
          <w:sz w:val="20"/>
        </w:rPr>
      </w:pPr>
      <w:r>
        <w:rPr>
          <w:b/>
          <w:w w:val="105"/>
          <w:sz w:val="20"/>
        </w:rPr>
        <w:t>United Kingdom </w:t>
      </w:r>
      <w:r>
        <w:rPr>
          <w:spacing w:val="-2"/>
          <w:w w:val="105"/>
          <w:sz w:val="20"/>
        </w:rPr>
        <w:t>HarperCollins</w:t>
      </w:r>
      <w:r>
        <w:rPr>
          <w:spacing w:val="-7"/>
          <w:w w:val="105"/>
          <w:sz w:val="20"/>
        </w:rPr>
        <w:t> </w:t>
      </w:r>
      <w:r>
        <w:rPr>
          <w:spacing w:val="-2"/>
          <w:w w:val="105"/>
          <w:sz w:val="20"/>
        </w:rPr>
        <w:t>Publishers</w:t>
      </w:r>
      <w:r>
        <w:rPr>
          <w:spacing w:val="-7"/>
          <w:w w:val="105"/>
          <w:sz w:val="20"/>
        </w:rPr>
        <w:t> </w:t>
      </w:r>
      <w:r>
        <w:rPr>
          <w:spacing w:val="-2"/>
          <w:w w:val="105"/>
          <w:sz w:val="20"/>
        </w:rPr>
        <w:t>Ltd. </w:t>
      </w:r>
      <w:r>
        <w:rPr>
          <w:w w:val="105"/>
          <w:sz w:val="20"/>
        </w:rPr>
        <w:t>77-85 Fulham Palace Road London, W6 8JB, UK</w:t>
      </w:r>
    </w:p>
    <w:p>
      <w:pPr>
        <w:spacing w:line="234" w:lineRule="exact" w:before="0"/>
        <w:ind w:left="924" w:right="0" w:firstLine="0"/>
        <w:jc w:val="left"/>
        <w:rPr>
          <w:sz w:val="20"/>
        </w:rPr>
      </w:pPr>
      <w:hyperlink r:id="rId180">
        <w:r>
          <w:rPr>
            <w:spacing w:val="-2"/>
            <w:sz w:val="20"/>
          </w:rPr>
          <w:t>http://www.harpercollinsebooks.co.uk</w:t>
        </w:r>
      </w:hyperlink>
    </w:p>
    <w:p>
      <w:pPr>
        <w:pStyle w:val="BodyText"/>
        <w:spacing w:before="5"/>
        <w:rPr>
          <w:sz w:val="22"/>
        </w:rPr>
      </w:pPr>
    </w:p>
    <w:p>
      <w:pPr>
        <w:spacing w:before="103"/>
        <w:ind w:left="924" w:right="0" w:firstLine="0"/>
        <w:jc w:val="left"/>
        <w:rPr>
          <w:b/>
          <w:sz w:val="20"/>
        </w:rPr>
      </w:pPr>
      <w:r>
        <w:rPr>
          <w:b/>
          <w:sz w:val="20"/>
        </w:rPr>
        <w:t>United</w:t>
      </w:r>
      <w:r>
        <w:rPr>
          <w:b/>
          <w:spacing w:val="10"/>
          <w:sz w:val="20"/>
        </w:rPr>
        <w:t> </w:t>
      </w:r>
      <w:r>
        <w:rPr>
          <w:b/>
          <w:spacing w:val="-2"/>
          <w:sz w:val="20"/>
        </w:rPr>
        <w:t>States</w:t>
      </w:r>
    </w:p>
    <w:p>
      <w:pPr>
        <w:spacing w:line="307" w:lineRule="auto" w:before="65"/>
        <w:ind w:left="924" w:right="3887" w:firstLine="0"/>
        <w:jc w:val="left"/>
        <w:rPr>
          <w:sz w:val="20"/>
        </w:rPr>
      </w:pPr>
      <w:r>
        <w:rPr>
          <w:sz w:val="20"/>
        </w:rPr>
        <w:t>HarperCollins Publishers </w:t>
      </w:r>
      <w:r>
        <w:rPr>
          <w:sz w:val="20"/>
        </w:rPr>
        <w:t>Inc. 10 East 53rd Street</w:t>
      </w:r>
    </w:p>
    <w:p>
      <w:pPr>
        <w:spacing w:line="307" w:lineRule="auto" w:before="0"/>
        <w:ind w:left="924" w:right="3382" w:firstLine="0"/>
        <w:jc w:val="left"/>
        <w:rPr>
          <w:sz w:val="20"/>
        </w:rPr>
      </w:pPr>
      <w:r>
        <w:rPr>
          <w:w w:val="105"/>
          <w:sz w:val="20"/>
        </w:rPr>
        <w:t>New York, NY 10022 </w:t>
      </w:r>
      <w:hyperlink r:id="rId181">
        <w:r>
          <w:rPr>
            <w:spacing w:val="-2"/>
            <w:w w:val="95"/>
            <w:sz w:val="20"/>
          </w:rPr>
          <w:t>http://www.harpercollinsebooks.com</w:t>
        </w:r>
      </w:hyperlink>
    </w:p>
    <w:sectPr>
      <w:headerReference w:type="default" r:id="rId175"/>
      <w:pgSz w:w="8640" w:h="12960"/>
      <w:pgMar w:header="0" w:footer="0" w:top="1220" w:bottom="280" w:left="74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Arial">
    <w:altName w:val="Arial"/>
    <w:charset w:val="0"/>
    <w:family w:val="swiss"/>
    <w:pitch w:val="variable"/>
  </w:font>
  <w:font w:name="Trebuchet MS">
    <w:altName w:val="Trebuchet MS"/>
    <w:charset w:val="0"/>
    <w:family w:val="swiss"/>
    <w:pitch w:val="variable"/>
  </w:font>
  <w:font w:name="Symbol">
    <w:altName w:val="Symbol"/>
    <w:charset w:val="2"/>
    <w:family w:val="roman"/>
    <w:pitch w:val="variable"/>
  </w:font>
  <w:font w:name="Tahoma">
    <w:altName w:val="Tahoma"/>
    <w:charset w:val="0"/>
    <w:family w:val="swiss"/>
    <w:pitch w:val="variable"/>
  </w:font>
  <w:font w:name="Calibri">
    <w:altName w:val="Calibri"/>
    <w:charset w:val="0"/>
    <w:family w:val="swiss"/>
    <w:pitch w:val="variable"/>
  </w:font>
  <w:font w:name="Segoe UI Symbol">
    <w:altName w:val="Segoe UI Symbo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1.833099pt;margin-top:35.715729pt;width:9.75pt;height:11.9pt;mso-position-horizontal-relative:page;mso-position-vertical-relative:page;z-index:-25229312" type="#_x0000_t202" id="docshape9" filled="false" stroked="false">
          <v:textbox inset="0,0,0,0">
            <w:txbxContent>
              <w:p>
                <w:pPr>
                  <w:spacing w:before="13"/>
                  <w:ind w:left="20" w:right="0" w:firstLine="0"/>
                  <w:jc w:val="left"/>
                  <w:rPr>
                    <w:rFonts w:ascii="Arial"/>
                    <w:i/>
                    <w:sz w:val="18"/>
                  </w:rPr>
                </w:pPr>
                <w:r>
                  <w:rPr>
                    <w:rFonts w:ascii="Arial"/>
                    <w:i/>
                    <w:color w:val="231F20"/>
                    <w:spacing w:val="-5"/>
                    <w:w w:val="110"/>
                    <w:sz w:val="18"/>
                  </w:rPr>
                  <w:t>vi</w:t>
                </w:r>
              </w:p>
            </w:txbxContent>
          </v:textbox>
          <w10:wrap type="none"/>
        </v:shape>
      </w:pict>
    </w:r>
    <w:r>
      <w:rPr/>
      <w:pict>
        <v:shape style="position:absolute;margin-left:184.799393pt;margin-top:36.421730pt;width:82.1pt;height:10.7pt;mso-position-horizontal-relative:page;mso-position-vertical-relative:page;z-index:-25228800" type="#_x0000_t202" id="docshape10" filled="false" stroked="false">
          <v:textbox inset="0,0,0,0">
            <w:txbxContent>
              <w:p>
                <w:pPr>
                  <w:spacing w:before="17"/>
                  <w:ind w:left="20" w:right="0" w:firstLine="0"/>
                  <w:jc w:val="left"/>
                  <w:rPr>
                    <w:rFonts w:ascii="Arial"/>
                    <w:sz w:val="16"/>
                  </w:rPr>
                </w:pPr>
                <w:r>
                  <w:rPr>
                    <w:rFonts w:ascii="Arial"/>
                    <w:color w:val="231F20"/>
                    <w:spacing w:val="19"/>
                    <w:w w:val="105"/>
                    <w:sz w:val="16"/>
                  </w:rPr>
                  <w:t>INTRODUCTION </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7.842499pt;margin-top:35.82114pt;width:64.05pt;height:11.9pt;mso-position-horizontal-relative:page;mso-position-vertical-relative:page;z-index:-25225728" type="#_x0000_t202" id="docshape85" filled="false" stroked="false">
          <v:textbox inset="0,0,0,0">
            <w:txbxContent>
              <w:p>
                <w:pPr>
                  <w:tabs>
                    <w:tab w:pos="967" w:val="left" w:leader="none"/>
                  </w:tabs>
                  <w:spacing w:before="13"/>
                  <w:ind w:left="20" w:right="0" w:firstLine="0"/>
                  <w:jc w:val="left"/>
                  <w:rPr>
                    <w:rFonts w:ascii="Arial"/>
                    <w:i/>
                    <w:sz w:val="18"/>
                  </w:rPr>
                </w:pPr>
                <w:r>
                  <w:rPr>
                    <w:rFonts w:ascii="Arial"/>
                    <w:color w:val="231F20"/>
                    <w:spacing w:val="17"/>
                    <w:w w:val="105"/>
                    <w:sz w:val="16"/>
                  </w:rPr>
                  <w:t>ETHICS</w:t>
                </w:r>
                <w:r>
                  <w:rPr>
                    <w:rFonts w:ascii="Arial"/>
                    <w:color w:val="231F20"/>
                    <w:sz w:val="16"/>
                  </w:rPr>
                  <w:tab/>
                </w:r>
                <w:r>
                  <w:rPr>
                    <w:rFonts w:ascii="Arial"/>
                    <w:i/>
                    <w:color w:val="231F20"/>
                    <w:spacing w:val="-5"/>
                    <w:w w:val="105"/>
                    <w:sz w:val="18"/>
                  </w:rPr>
                  <w:fldChar w:fldCharType="begin"/>
                </w:r>
                <w:r>
                  <w:rPr>
                    <w:rFonts w:ascii="Arial"/>
                    <w:i/>
                    <w:color w:val="231F20"/>
                    <w:spacing w:val="-5"/>
                    <w:w w:val="105"/>
                    <w:sz w:val="18"/>
                  </w:rPr>
                  <w:instrText> PAGE </w:instrText>
                </w:r>
                <w:r>
                  <w:rPr>
                    <w:rFonts w:ascii="Arial"/>
                    <w:i/>
                    <w:color w:val="231F20"/>
                    <w:spacing w:val="-5"/>
                    <w:w w:val="105"/>
                    <w:sz w:val="18"/>
                  </w:rPr>
                  <w:fldChar w:fldCharType="separate"/>
                </w:r>
                <w:r>
                  <w:rPr>
                    <w:rFonts w:ascii="Arial"/>
                    <w:i/>
                    <w:color w:val="231F20"/>
                    <w:spacing w:val="-5"/>
                    <w:w w:val="105"/>
                    <w:sz w:val="18"/>
                  </w:rPr>
                  <w:t>63</w:t>
                </w:r>
                <w:r>
                  <w:rPr>
                    <w:rFonts w:ascii="Arial"/>
                    <w:i/>
                    <w:color w:val="231F20"/>
                    <w:spacing w:val="-5"/>
                    <w:w w:val="105"/>
                    <w:sz w:val="18"/>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2.296890pt;margin-top:35.715729pt;width:122.15pt;height:11.9pt;mso-position-horizontal-relative:page;mso-position-vertical-relative:page;z-index:-25225216" type="#_x0000_t202" id="docshape86" filled="false" stroked="false">
          <v:textbox inset="0,0,0,0">
            <w:txbxContent>
              <w:p>
                <w:pPr>
                  <w:tabs>
                    <w:tab w:pos="500" w:val="left" w:leader="none"/>
                  </w:tabs>
                  <w:spacing w:before="13"/>
                  <w:ind w:left="60" w:right="0" w:firstLine="0"/>
                  <w:jc w:val="left"/>
                  <w:rPr>
                    <w:rFonts w:ascii="Arial"/>
                    <w:sz w:val="16"/>
                  </w:rPr>
                </w:pPr>
                <w:r>
                  <w:rPr>
                    <w:rFonts w:ascii="Arial"/>
                    <w:i/>
                    <w:color w:val="231F20"/>
                    <w:spacing w:val="-5"/>
                    <w:w w:val="110"/>
                    <w:sz w:val="18"/>
                  </w:rPr>
                  <w:fldChar w:fldCharType="begin"/>
                </w:r>
                <w:r>
                  <w:rPr>
                    <w:rFonts w:ascii="Arial"/>
                    <w:i/>
                    <w:color w:val="231F20"/>
                    <w:spacing w:val="-5"/>
                    <w:w w:val="110"/>
                    <w:sz w:val="18"/>
                  </w:rPr>
                  <w:instrText> PAGE </w:instrText>
                </w:r>
                <w:r>
                  <w:rPr>
                    <w:rFonts w:ascii="Arial"/>
                    <w:i/>
                    <w:color w:val="231F20"/>
                    <w:spacing w:val="-5"/>
                    <w:w w:val="110"/>
                    <w:sz w:val="18"/>
                  </w:rPr>
                  <w:fldChar w:fldCharType="separate"/>
                </w:r>
                <w:r>
                  <w:rPr>
                    <w:rFonts w:ascii="Arial"/>
                    <w:i/>
                    <w:color w:val="231F20"/>
                    <w:spacing w:val="-5"/>
                    <w:w w:val="110"/>
                    <w:sz w:val="18"/>
                  </w:rPr>
                  <w:t>64</w:t>
                </w:r>
                <w:r>
                  <w:rPr>
                    <w:rFonts w:ascii="Arial"/>
                    <w:i/>
                    <w:color w:val="231F20"/>
                    <w:spacing w:val="-5"/>
                    <w:w w:val="110"/>
                    <w:sz w:val="18"/>
                  </w:rPr>
                  <w:fldChar w:fldCharType="end"/>
                </w:r>
                <w:r>
                  <w:rPr>
                    <w:rFonts w:ascii="Arial"/>
                    <w:i/>
                    <w:color w:val="231F20"/>
                    <w:sz w:val="18"/>
                  </w:rPr>
                  <w:tab/>
                </w:r>
                <w:r>
                  <w:rPr>
                    <w:rFonts w:ascii="Arial"/>
                    <w:color w:val="231F20"/>
                    <w:spacing w:val="15"/>
                    <w:w w:val="110"/>
                    <w:sz w:val="16"/>
                  </w:rPr>
                  <w:t>THE</w:t>
                </w:r>
                <w:r>
                  <w:rPr>
                    <w:rFonts w:ascii="Arial"/>
                    <w:color w:val="231F20"/>
                    <w:spacing w:val="46"/>
                    <w:w w:val="110"/>
                    <w:sz w:val="16"/>
                  </w:rPr>
                  <w:t> </w:t>
                </w:r>
                <w:r>
                  <w:rPr>
                    <w:rFonts w:ascii="Arial"/>
                    <w:color w:val="231F20"/>
                    <w:spacing w:val="23"/>
                    <w:w w:val="110"/>
                    <w:sz w:val="16"/>
                  </w:rPr>
                  <w:t>TEN-</w:t>
                </w:r>
                <w:r>
                  <w:rPr>
                    <w:rFonts w:ascii="Arial"/>
                    <w:color w:val="231F20"/>
                    <w:w w:val="110"/>
                    <w:sz w:val="16"/>
                  </w:rPr>
                  <w:t>DAY</w:t>
                </w:r>
                <w:r>
                  <w:rPr>
                    <w:rFonts w:ascii="Arial"/>
                    <w:color w:val="231F20"/>
                    <w:spacing w:val="46"/>
                    <w:w w:val="110"/>
                    <w:sz w:val="16"/>
                  </w:rPr>
                  <w:t> </w:t>
                </w:r>
                <w:r>
                  <w:rPr>
                    <w:rFonts w:ascii="Arial"/>
                    <w:color w:val="231F20"/>
                    <w:spacing w:val="10"/>
                    <w:w w:val="110"/>
                    <w:sz w:val="16"/>
                  </w:rPr>
                  <w:t>MBA </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0.135391pt;margin-top:35.82114pt;width:99.5pt;height:11.9pt;mso-position-horizontal-relative:page;mso-position-vertical-relative:page;z-index:-25224704" type="#_x0000_t202" id="docshape89" filled="false" stroked="false">
          <v:textbox inset="0,0,0,0">
            <w:txbxContent>
              <w:p>
                <w:pPr>
                  <w:tabs>
                    <w:tab w:pos="1598" w:val="left" w:leader="none"/>
                  </w:tabs>
                  <w:spacing w:before="13"/>
                  <w:ind w:left="20" w:right="0" w:firstLine="0"/>
                  <w:jc w:val="left"/>
                  <w:rPr>
                    <w:rFonts w:ascii="Arial"/>
                    <w:i/>
                    <w:sz w:val="18"/>
                  </w:rPr>
                </w:pPr>
                <w:r>
                  <w:rPr>
                    <w:rFonts w:ascii="Arial"/>
                    <w:color w:val="231F20"/>
                    <w:w w:val="105"/>
                    <w:sz w:val="16"/>
                  </w:rPr>
                  <w:t>AC</w:t>
                </w:r>
                <w:r>
                  <w:rPr>
                    <w:rFonts w:ascii="Arial"/>
                    <w:color w:val="231F20"/>
                    <w:spacing w:val="-15"/>
                    <w:w w:val="105"/>
                    <w:sz w:val="16"/>
                  </w:rPr>
                  <w:t> </w:t>
                </w:r>
                <w:r>
                  <w:rPr>
                    <w:rFonts w:ascii="Arial"/>
                    <w:color w:val="231F20"/>
                    <w:w w:val="105"/>
                    <w:sz w:val="16"/>
                  </w:rPr>
                  <w:t>C</w:t>
                </w:r>
                <w:r>
                  <w:rPr>
                    <w:rFonts w:ascii="Arial"/>
                    <w:color w:val="231F20"/>
                    <w:spacing w:val="-14"/>
                    <w:w w:val="105"/>
                    <w:sz w:val="16"/>
                  </w:rPr>
                  <w:t> </w:t>
                </w:r>
                <w:r>
                  <w:rPr>
                    <w:rFonts w:ascii="Arial"/>
                    <w:color w:val="231F20"/>
                    <w:spacing w:val="17"/>
                    <w:w w:val="105"/>
                    <w:sz w:val="16"/>
                  </w:rPr>
                  <w:t>OUNTING</w:t>
                </w:r>
                <w:r>
                  <w:rPr>
                    <w:rFonts w:ascii="Arial"/>
                    <w:color w:val="231F20"/>
                    <w:sz w:val="16"/>
                  </w:rPr>
                  <w:tab/>
                </w:r>
                <w:r>
                  <w:rPr>
                    <w:rFonts w:ascii="Arial"/>
                    <w:i/>
                    <w:color w:val="231F20"/>
                    <w:spacing w:val="-5"/>
                    <w:w w:val="105"/>
                    <w:sz w:val="18"/>
                  </w:rPr>
                  <w:fldChar w:fldCharType="begin"/>
                </w:r>
                <w:r>
                  <w:rPr>
                    <w:rFonts w:ascii="Arial"/>
                    <w:i/>
                    <w:color w:val="231F20"/>
                    <w:spacing w:val="-5"/>
                    <w:w w:val="105"/>
                    <w:sz w:val="18"/>
                  </w:rPr>
                  <w:instrText> PAGE </w:instrText>
                </w:r>
                <w:r>
                  <w:rPr>
                    <w:rFonts w:ascii="Arial"/>
                    <w:i/>
                    <w:color w:val="231F20"/>
                    <w:spacing w:val="-5"/>
                    <w:w w:val="105"/>
                    <w:sz w:val="18"/>
                  </w:rPr>
                  <w:fldChar w:fldCharType="separate"/>
                </w:r>
                <w:r>
                  <w:rPr>
                    <w:rFonts w:ascii="Arial"/>
                    <w:i/>
                    <w:color w:val="231F20"/>
                    <w:spacing w:val="-5"/>
                    <w:w w:val="105"/>
                    <w:sz w:val="18"/>
                  </w:rPr>
                  <w:t>103</w:t>
                </w:r>
                <w:r>
                  <w:rPr>
                    <w:rFonts w:ascii="Arial"/>
                    <w:i/>
                    <w:color w:val="231F20"/>
                    <w:spacing w:val="-5"/>
                    <w:w w:val="105"/>
                    <w:sz w:val="18"/>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0.081696pt;margin-top:35.715729pt;width:126.55pt;height:11.9pt;mso-position-horizontal-relative:page;mso-position-vertical-relative:page;z-index:-25224192" type="#_x0000_t202" id="docshape90" filled="false" stroked="false">
          <v:textbox inset="0,0,0,0">
            <w:txbxContent>
              <w:p>
                <w:pPr>
                  <w:tabs>
                    <w:tab w:pos="588" w:val="left" w:leader="none"/>
                  </w:tabs>
                  <w:spacing w:before="13"/>
                  <w:ind w:left="60" w:right="0" w:firstLine="0"/>
                  <w:jc w:val="left"/>
                  <w:rPr>
                    <w:rFonts w:ascii="Arial"/>
                    <w:sz w:val="16"/>
                  </w:rPr>
                </w:pPr>
                <w:r>
                  <w:rPr>
                    <w:rFonts w:ascii="Arial"/>
                    <w:i/>
                    <w:color w:val="231F20"/>
                    <w:spacing w:val="-5"/>
                    <w:w w:val="105"/>
                    <w:sz w:val="18"/>
                  </w:rPr>
                  <w:fldChar w:fldCharType="begin"/>
                </w:r>
                <w:r>
                  <w:rPr>
                    <w:rFonts w:ascii="Arial"/>
                    <w:i/>
                    <w:color w:val="231F20"/>
                    <w:spacing w:val="-5"/>
                    <w:w w:val="105"/>
                    <w:sz w:val="18"/>
                  </w:rPr>
                  <w:instrText> PAGE </w:instrText>
                </w:r>
                <w:r>
                  <w:rPr>
                    <w:rFonts w:ascii="Arial"/>
                    <w:i/>
                    <w:color w:val="231F20"/>
                    <w:spacing w:val="-5"/>
                    <w:w w:val="105"/>
                    <w:sz w:val="18"/>
                  </w:rPr>
                  <w:fldChar w:fldCharType="separate"/>
                </w:r>
                <w:r>
                  <w:rPr>
                    <w:rFonts w:ascii="Arial"/>
                    <w:i/>
                    <w:color w:val="231F20"/>
                    <w:spacing w:val="-5"/>
                    <w:w w:val="105"/>
                    <w:sz w:val="18"/>
                  </w:rPr>
                  <w:t>100</w:t>
                </w:r>
                <w:r>
                  <w:rPr>
                    <w:rFonts w:ascii="Arial"/>
                    <w:i/>
                    <w:color w:val="231F20"/>
                    <w:spacing w:val="-5"/>
                    <w:w w:val="105"/>
                    <w:sz w:val="18"/>
                  </w:rPr>
                  <w:fldChar w:fldCharType="end"/>
                </w:r>
                <w:r>
                  <w:rPr>
                    <w:rFonts w:ascii="Arial"/>
                    <w:i/>
                    <w:color w:val="231F20"/>
                    <w:sz w:val="18"/>
                  </w:rPr>
                  <w:tab/>
                </w:r>
                <w:r>
                  <w:rPr>
                    <w:rFonts w:ascii="Arial"/>
                    <w:color w:val="231F20"/>
                    <w:spacing w:val="15"/>
                    <w:w w:val="105"/>
                    <w:sz w:val="16"/>
                  </w:rPr>
                  <w:t>THE</w:t>
                </w:r>
                <w:r>
                  <w:rPr>
                    <w:rFonts w:ascii="Arial"/>
                    <w:color w:val="231F20"/>
                    <w:spacing w:val="73"/>
                    <w:w w:val="105"/>
                    <w:sz w:val="16"/>
                  </w:rPr>
                  <w:t> </w:t>
                </w:r>
                <w:r>
                  <w:rPr>
                    <w:rFonts w:ascii="Arial"/>
                    <w:color w:val="231F20"/>
                    <w:spacing w:val="23"/>
                    <w:w w:val="105"/>
                    <w:sz w:val="16"/>
                  </w:rPr>
                  <w:t>TEN-</w:t>
                </w:r>
                <w:r>
                  <w:rPr>
                    <w:rFonts w:ascii="Arial"/>
                    <w:color w:val="231F20"/>
                    <w:w w:val="105"/>
                    <w:sz w:val="16"/>
                  </w:rPr>
                  <w:t>DAY</w:t>
                </w:r>
                <w:r>
                  <w:rPr>
                    <w:rFonts w:ascii="Arial"/>
                    <w:color w:val="231F20"/>
                    <w:spacing w:val="74"/>
                    <w:w w:val="105"/>
                    <w:sz w:val="16"/>
                  </w:rPr>
                  <w:t> </w:t>
                </w:r>
                <w:r>
                  <w:rPr>
                    <w:rFonts w:ascii="Arial"/>
                    <w:color w:val="231F20"/>
                    <w:spacing w:val="10"/>
                    <w:w w:val="105"/>
                    <w:sz w:val="16"/>
                  </w:rPr>
                  <w:t>MBA </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2.075699pt;margin-top:35.715729pt;width:122.6pt;height:11.9pt;mso-position-horizontal-relative:page;mso-position-vertical-relative:page;z-index:-25223680" type="#_x0000_t202" id="docshape140" filled="false" stroked="false">
          <v:textbox inset="0,0,0,0">
            <w:txbxContent>
              <w:p>
                <w:pPr>
                  <w:tabs>
                    <w:tab w:pos="508" w:val="left" w:leader="none"/>
                  </w:tabs>
                  <w:spacing w:before="13"/>
                  <w:ind w:left="60" w:right="0" w:firstLine="0"/>
                  <w:jc w:val="left"/>
                  <w:rPr>
                    <w:rFonts w:ascii="Arial"/>
                    <w:sz w:val="16"/>
                  </w:rPr>
                </w:pPr>
                <w:r>
                  <w:rPr>
                    <w:rFonts w:ascii="Arial"/>
                    <w:i/>
                    <w:color w:val="231F20"/>
                    <w:spacing w:val="-5"/>
                    <w:sz w:val="18"/>
                  </w:rPr>
                  <w:fldChar w:fldCharType="begin"/>
                </w:r>
                <w:r>
                  <w:rPr>
                    <w:rFonts w:ascii="Arial"/>
                    <w:i/>
                    <w:color w:val="231F20"/>
                    <w:spacing w:val="-5"/>
                    <w:sz w:val="18"/>
                  </w:rPr>
                  <w:instrText> PAGE </w:instrText>
                </w:r>
                <w:r>
                  <w:rPr>
                    <w:rFonts w:ascii="Arial"/>
                    <w:i/>
                    <w:color w:val="231F20"/>
                    <w:spacing w:val="-5"/>
                    <w:sz w:val="18"/>
                  </w:rPr>
                  <w:fldChar w:fldCharType="separate"/>
                </w:r>
                <w:r>
                  <w:rPr>
                    <w:rFonts w:ascii="Arial"/>
                    <w:i/>
                    <w:color w:val="231F20"/>
                    <w:spacing w:val="-5"/>
                    <w:sz w:val="18"/>
                  </w:rPr>
                  <w:t>118</w:t>
                </w:r>
                <w:r>
                  <w:rPr>
                    <w:rFonts w:ascii="Arial"/>
                    <w:i/>
                    <w:color w:val="231F20"/>
                    <w:spacing w:val="-5"/>
                    <w:sz w:val="18"/>
                  </w:rPr>
                  <w:fldChar w:fldCharType="end"/>
                </w:r>
                <w:r>
                  <w:rPr>
                    <w:rFonts w:ascii="Arial"/>
                    <w:i/>
                    <w:color w:val="231F20"/>
                    <w:sz w:val="18"/>
                  </w:rPr>
                  <w:tab/>
                </w:r>
                <w:r>
                  <w:rPr>
                    <w:rFonts w:ascii="Arial"/>
                    <w:color w:val="231F20"/>
                    <w:spacing w:val="15"/>
                    <w:sz w:val="16"/>
                  </w:rPr>
                  <w:t>THE</w:t>
                </w:r>
                <w:r>
                  <w:rPr>
                    <w:rFonts w:ascii="Arial"/>
                    <w:color w:val="231F20"/>
                    <w:spacing w:val="79"/>
                    <w:w w:val="150"/>
                    <w:sz w:val="16"/>
                  </w:rPr>
                  <w:t> </w:t>
                </w:r>
                <w:r>
                  <w:rPr>
                    <w:rFonts w:ascii="Arial"/>
                    <w:color w:val="231F20"/>
                    <w:spacing w:val="23"/>
                    <w:sz w:val="16"/>
                  </w:rPr>
                  <w:t>TEN-</w:t>
                </w:r>
                <w:r>
                  <w:rPr>
                    <w:rFonts w:ascii="Arial"/>
                    <w:color w:val="231F20"/>
                    <w:sz w:val="16"/>
                  </w:rPr>
                  <w:t>DAY</w:t>
                </w:r>
                <w:r>
                  <w:rPr>
                    <w:rFonts w:ascii="Arial"/>
                    <w:color w:val="231F20"/>
                    <w:spacing w:val="28"/>
                    <w:sz w:val="16"/>
                  </w:rPr>
                  <w:t>  </w:t>
                </w:r>
                <w:r>
                  <w:rPr>
                    <w:rFonts w:ascii="Arial"/>
                    <w:color w:val="231F20"/>
                    <w:spacing w:val="10"/>
                    <w:sz w:val="16"/>
                  </w:rPr>
                  <w:t>MBA </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179489pt;margin-top:35.82114pt;width:181.4pt;height:11.9pt;mso-position-horizontal-relative:page;mso-position-vertical-relative:page;z-index:-25223168" type="#_x0000_t202" id="docshape141" filled="false" stroked="false">
          <v:textbox inset="0,0,0,0">
            <w:txbxContent>
              <w:p>
                <w:pPr>
                  <w:tabs>
                    <w:tab w:pos="3248" w:val="left" w:leader="none"/>
                  </w:tabs>
                  <w:spacing w:before="13"/>
                  <w:ind w:left="20" w:right="0" w:firstLine="0"/>
                  <w:jc w:val="left"/>
                  <w:rPr>
                    <w:rFonts w:ascii="Arial"/>
                    <w:i/>
                    <w:sz w:val="18"/>
                  </w:rPr>
                </w:pPr>
                <w:r>
                  <w:rPr>
                    <w:rFonts w:ascii="Arial"/>
                    <w:color w:val="231F20"/>
                    <w:spacing w:val="20"/>
                    <w:w w:val="110"/>
                    <w:sz w:val="16"/>
                  </w:rPr>
                  <w:t>ORGANIZATIONAL</w:t>
                </w:r>
                <w:r>
                  <w:rPr>
                    <w:rFonts w:ascii="Arial"/>
                    <w:color w:val="231F20"/>
                    <w:spacing w:val="61"/>
                    <w:w w:val="110"/>
                    <w:sz w:val="16"/>
                  </w:rPr>
                  <w:t> </w:t>
                </w:r>
                <w:r>
                  <w:rPr>
                    <w:rFonts w:ascii="Arial"/>
                    <w:color w:val="231F20"/>
                    <w:spacing w:val="16"/>
                    <w:w w:val="110"/>
                    <w:sz w:val="16"/>
                  </w:rPr>
                  <w:t>BEHAVIOR</w:t>
                </w:r>
                <w:r>
                  <w:rPr>
                    <w:rFonts w:ascii="Arial"/>
                    <w:color w:val="231F20"/>
                    <w:sz w:val="16"/>
                  </w:rPr>
                  <w:tab/>
                </w:r>
                <w:r>
                  <w:rPr>
                    <w:rFonts w:ascii="Arial"/>
                    <w:i/>
                    <w:color w:val="231F20"/>
                    <w:spacing w:val="-5"/>
                    <w:w w:val="110"/>
                    <w:sz w:val="18"/>
                  </w:rPr>
                  <w:fldChar w:fldCharType="begin"/>
                </w:r>
                <w:r>
                  <w:rPr>
                    <w:rFonts w:ascii="Arial"/>
                    <w:i/>
                    <w:color w:val="231F20"/>
                    <w:spacing w:val="-5"/>
                    <w:w w:val="110"/>
                    <w:sz w:val="18"/>
                  </w:rPr>
                  <w:instrText> PAGE </w:instrText>
                </w:r>
                <w:r>
                  <w:rPr>
                    <w:rFonts w:ascii="Arial"/>
                    <w:i/>
                    <w:color w:val="231F20"/>
                    <w:spacing w:val="-5"/>
                    <w:w w:val="110"/>
                    <w:sz w:val="18"/>
                  </w:rPr>
                  <w:fldChar w:fldCharType="separate"/>
                </w:r>
                <w:r>
                  <w:rPr>
                    <w:rFonts w:ascii="Arial"/>
                    <w:i/>
                    <w:color w:val="231F20"/>
                    <w:spacing w:val="-5"/>
                    <w:w w:val="110"/>
                    <w:sz w:val="18"/>
                  </w:rPr>
                  <w:t>143</w:t>
                </w:r>
                <w:r>
                  <w:rPr>
                    <w:rFonts w:ascii="Arial"/>
                    <w:i/>
                    <w:color w:val="231F20"/>
                    <w:spacing w:val="-5"/>
                    <w:w w:val="110"/>
                    <w:sz w:val="18"/>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9.4021pt;margin-top:35.82114pt;width:160.950pt;height:11.9pt;mso-position-horizontal-relative:page;mso-position-vertical-relative:page;z-index:-25222656" type="#_x0000_t202" id="docshape240" filled="false" stroked="false">
          <v:textbox inset="0,0,0,0">
            <w:txbxContent>
              <w:p>
                <w:pPr>
                  <w:tabs>
                    <w:tab w:pos="2841" w:val="left" w:leader="none"/>
                  </w:tabs>
                  <w:spacing w:before="13"/>
                  <w:ind w:left="20" w:right="0" w:firstLine="0"/>
                  <w:jc w:val="left"/>
                  <w:rPr>
                    <w:rFonts w:ascii="Arial"/>
                    <w:i/>
                    <w:sz w:val="18"/>
                  </w:rPr>
                </w:pPr>
                <w:r>
                  <w:rPr>
                    <w:rFonts w:ascii="Arial"/>
                    <w:color w:val="231F20"/>
                    <w:spacing w:val="18"/>
                    <w:w w:val="110"/>
                    <w:sz w:val="16"/>
                  </w:rPr>
                  <w:t>QUANTITATIVE</w:t>
                </w:r>
                <w:r>
                  <w:rPr>
                    <w:rFonts w:ascii="Arial"/>
                    <w:color w:val="231F20"/>
                    <w:spacing w:val="61"/>
                    <w:w w:val="110"/>
                    <w:sz w:val="16"/>
                  </w:rPr>
                  <w:t> </w:t>
                </w:r>
                <w:r>
                  <w:rPr>
                    <w:rFonts w:ascii="Arial"/>
                    <w:color w:val="231F20"/>
                    <w:spacing w:val="15"/>
                    <w:w w:val="110"/>
                    <w:sz w:val="16"/>
                  </w:rPr>
                  <w:t>ANA</w:t>
                </w:r>
                <w:r>
                  <w:rPr>
                    <w:rFonts w:ascii="Arial"/>
                    <w:color w:val="231F20"/>
                    <w:spacing w:val="-23"/>
                    <w:w w:val="110"/>
                    <w:sz w:val="16"/>
                  </w:rPr>
                  <w:t> </w:t>
                </w:r>
                <w:r>
                  <w:rPr>
                    <w:rFonts w:ascii="Arial"/>
                    <w:color w:val="231F20"/>
                    <w:spacing w:val="9"/>
                    <w:w w:val="110"/>
                    <w:sz w:val="16"/>
                  </w:rPr>
                  <w:t>LYSIS</w:t>
                </w:r>
                <w:r>
                  <w:rPr>
                    <w:rFonts w:ascii="Arial"/>
                    <w:color w:val="231F20"/>
                    <w:sz w:val="16"/>
                  </w:rPr>
                  <w:tab/>
                </w:r>
                <w:r>
                  <w:rPr>
                    <w:rFonts w:ascii="Arial"/>
                    <w:i/>
                    <w:color w:val="231F20"/>
                    <w:spacing w:val="-5"/>
                    <w:w w:val="110"/>
                    <w:sz w:val="18"/>
                  </w:rPr>
                  <w:fldChar w:fldCharType="begin"/>
                </w:r>
                <w:r>
                  <w:rPr>
                    <w:rFonts w:ascii="Arial"/>
                    <w:i/>
                    <w:color w:val="231F20"/>
                    <w:spacing w:val="-5"/>
                    <w:w w:val="110"/>
                    <w:sz w:val="18"/>
                  </w:rPr>
                  <w:instrText> PAGE </w:instrText>
                </w:r>
                <w:r>
                  <w:rPr>
                    <w:rFonts w:ascii="Arial"/>
                    <w:i/>
                    <w:color w:val="231F20"/>
                    <w:spacing w:val="-5"/>
                    <w:w w:val="110"/>
                    <w:sz w:val="18"/>
                  </w:rPr>
                  <w:fldChar w:fldCharType="separate"/>
                </w:r>
                <w:r>
                  <w:rPr>
                    <w:rFonts w:ascii="Arial"/>
                    <w:i/>
                    <w:color w:val="231F20"/>
                    <w:spacing w:val="-5"/>
                    <w:w w:val="110"/>
                    <w:sz w:val="18"/>
                  </w:rPr>
                  <w:t>159</w:t>
                </w:r>
                <w:r>
                  <w:rPr>
                    <w:rFonts w:ascii="Arial"/>
                    <w:i/>
                    <w:color w:val="231F20"/>
                    <w:spacing w:val="-5"/>
                    <w:w w:val="110"/>
                    <w:sz w:val="18"/>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5.836792pt;margin-top:35.82114pt;width:107.75pt;height:11.9pt;mso-position-horizontal-relative:page;mso-position-vertical-relative:page;z-index:-25228288" type="#_x0000_t202" id="docshape11" filled="false" stroked="false">
          <v:textbox inset="0,0,0,0">
            <w:txbxContent>
              <w:p>
                <w:pPr>
                  <w:tabs>
                    <w:tab w:pos="1821" w:val="left" w:leader="none"/>
                  </w:tabs>
                  <w:spacing w:before="13"/>
                  <w:ind w:left="20" w:right="0" w:firstLine="0"/>
                  <w:jc w:val="left"/>
                  <w:rPr>
                    <w:rFonts w:ascii="Arial"/>
                    <w:i/>
                    <w:sz w:val="18"/>
                  </w:rPr>
                </w:pPr>
                <w:r>
                  <w:rPr>
                    <w:rFonts w:ascii="Arial"/>
                    <w:color w:val="231F20"/>
                    <w:spacing w:val="19"/>
                    <w:w w:val="110"/>
                    <w:sz w:val="16"/>
                  </w:rPr>
                  <w:t>INTRODUCTION</w:t>
                </w:r>
                <w:r>
                  <w:rPr>
                    <w:rFonts w:ascii="Arial"/>
                    <w:color w:val="231F20"/>
                    <w:sz w:val="16"/>
                  </w:rPr>
                  <w:tab/>
                </w:r>
                <w:r>
                  <w:rPr>
                    <w:rFonts w:ascii="Arial"/>
                    <w:i/>
                    <w:color w:val="231F20"/>
                    <w:spacing w:val="-4"/>
                    <w:w w:val="110"/>
                    <w:sz w:val="18"/>
                  </w:rPr>
                  <w:t>xiii</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0.392593pt;margin-top:35.715729pt;width:125.95pt;height:11.9pt;mso-position-horizontal-relative:page;mso-position-vertical-relative:page;z-index:-25222144" type="#_x0000_t202" id="docshape241" filled="false" stroked="false">
          <v:textbox inset="0,0,0,0">
            <w:txbxContent>
              <w:p>
                <w:pPr>
                  <w:tabs>
                    <w:tab w:pos="576" w:val="left" w:leader="none"/>
                  </w:tabs>
                  <w:spacing w:before="13"/>
                  <w:ind w:left="60" w:right="0" w:firstLine="0"/>
                  <w:jc w:val="left"/>
                  <w:rPr>
                    <w:rFonts w:ascii="Arial"/>
                    <w:sz w:val="16"/>
                  </w:rPr>
                </w:pPr>
                <w:r>
                  <w:rPr>
                    <w:rFonts w:ascii="Arial"/>
                    <w:i/>
                    <w:color w:val="231F20"/>
                    <w:spacing w:val="-5"/>
                    <w:w w:val="105"/>
                    <w:sz w:val="18"/>
                  </w:rPr>
                  <w:fldChar w:fldCharType="begin"/>
                </w:r>
                <w:r>
                  <w:rPr>
                    <w:rFonts w:ascii="Arial"/>
                    <w:i/>
                    <w:color w:val="231F20"/>
                    <w:spacing w:val="-5"/>
                    <w:w w:val="105"/>
                    <w:sz w:val="18"/>
                  </w:rPr>
                  <w:instrText> PAGE </w:instrText>
                </w:r>
                <w:r>
                  <w:rPr>
                    <w:rFonts w:ascii="Arial"/>
                    <w:i/>
                    <w:color w:val="231F20"/>
                    <w:spacing w:val="-5"/>
                    <w:w w:val="105"/>
                    <w:sz w:val="18"/>
                  </w:rPr>
                  <w:fldChar w:fldCharType="separate"/>
                </w:r>
                <w:r>
                  <w:rPr>
                    <w:rFonts w:ascii="Arial"/>
                    <w:i/>
                    <w:color w:val="231F20"/>
                    <w:spacing w:val="-5"/>
                    <w:w w:val="105"/>
                    <w:sz w:val="18"/>
                  </w:rPr>
                  <w:t>160</w:t>
                </w:r>
                <w:r>
                  <w:rPr>
                    <w:rFonts w:ascii="Arial"/>
                    <w:i/>
                    <w:color w:val="231F20"/>
                    <w:spacing w:val="-5"/>
                    <w:w w:val="105"/>
                    <w:sz w:val="18"/>
                  </w:rPr>
                  <w:fldChar w:fldCharType="end"/>
                </w:r>
                <w:r>
                  <w:rPr>
                    <w:rFonts w:ascii="Arial"/>
                    <w:i/>
                    <w:color w:val="231F20"/>
                    <w:sz w:val="18"/>
                  </w:rPr>
                  <w:tab/>
                </w:r>
                <w:r>
                  <w:rPr>
                    <w:rFonts w:ascii="Arial"/>
                    <w:color w:val="231F20"/>
                    <w:spacing w:val="15"/>
                    <w:w w:val="105"/>
                    <w:sz w:val="16"/>
                  </w:rPr>
                  <w:t>THE</w:t>
                </w:r>
                <w:r>
                  <w:rPr>
                    <w:rFonts w:ascii="Arial"/>
                    <w:color w:val="231F20"/>
                    <w:spacing w:val="73"/>
                    <w:w w:val="105"/>
                    <w:sz w:val="16"/>
                  </w:rPr>
                  <w:t> </w:t>
                </w:r>
                <w:r>
                  <w:rPr>
                    <w:rFonts w:ascii="Arial"/>
                    <w:color w:val="231F20"/>
                    <w:spacing w:val="23"/>
                    <w:w w:val="105"/>
                    <w:sz w:val="16"/>
                  </w:rPr>
                  <w:t>TEN-</w:t>
                </w:r>
                <w:r>
                  <w:rPr>
                    <w:rFonts w:ascii="Arial"/>
                    <w:color w:val="231F20"/>
                    <w:w w:val="105"/>
                    <w:sz w:val="16"/>
                  </w:rPr>
                  <w:t>DAY</w:t>
                </w:r>
                <w:r>
                  <w:rPr>
                    <w:rFonts w:ascii="Arial"/>
                    <w:color w:val="231F20"/>
                    <w:spacing w:val="74"/>
                    <w:w w:val="105"/>
                    <w:sz w:val="16"/>
                  </w:rPr>
                  <w:t> </w:t>
                </w:r>
                <w:r>
                  <w:rPr>
                    <w:rFonts w:ascii="Arial"/>
                    <w:color w:val="231F20"/>
                    <w:spacing w:val="10"/>
                    <w:w w:val="105"/>
                    <w:sz w:val="16"/>
                  </w:rPr>
                  <w:t>MBA </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0.263489pt;margin-top:35.82114pt;width:79.2pt;height:11.9pt;mso-position-horizontal-relative:page;mso-position-vertical-relative:page;z-index:-25221632" type="#_x0000_t202" id="docshape343" filled="false" stroked="false">
          <v:textbox inset="0,0,0,0">
            <w:txbxContent>
              <w:p>
                <w:pPr>
                  <w:tabs>
                    <w:tab w:pos="1147" w:val="left" w:leader="none"/>
                  </w:tabs>
                  <w:spacing w:before="13"/>
                  <w:ind w:left="20" w:right="0" w:firstLine="0"/>
                  <w:jc w:val="left"/>
                  <w:rPr>
                    <w:rFonts w:ascii="Arial"/>
                    <w:i/>
                    <w:sz w:val="18"/>
                  </w:rPr>
                </w:pPr>
                <w:r>
                  <w:rPr>
                    <w:rFonts w:ascii="Arial"/>
                    <w:color w:val="231F20"/>
                    <w:spacing w:val="17"/>
                    <w:w w:val="110"/>
                    <w:sz w:val="16"/>
                  </w:rPr>
                  <w:t>FINANCE</w:t>
                </w:r>
                <w:r>
                  <w:rPr>
                    <w:rFonts w:ascii="Arial"/>
                    <w:color w:val="231F20"/>
                    <w:sz w:val="16"/>
                  </w:rPr>
                  <w:tab/>
                </w:r>
                <w:r>
                  <w:rPr>
                    <w:rFonts w:ascii="Arial"/>
                    <w:i/>
                    <w:color w:val="231F20"/>
                    <w:spacing w:val="-5"/>
                    <w:w w:val="110"/>
                    <w:sz w:val="18"/>
                  </w:rPr>
                  <w:fldChar w:fldCharType="begin"/>
                </w:r>
                <w:r>
                  <w:rPr>
                    <w:rFonts w:ascii="Arial"/>
                    <w:i/>
                    <w:color w:val="231F20"/>
                    <w:spacing w:val="-5"/>
                    <w:w w:val="110"/>
                    <w:sz w:val="18"/>
                  </w:rPr>
                  <w:instrText> PAGE </w:instrText>
                </w:r>
                <w:r>
                  <w:rPr>
                    <w:rFonts w:ascii="Arial"/>
                    <w:i/>
                    <w:color w:val="231F20"/>
                    <w:spacing w:val="-5"/>
                    <w:w w:val="110"/>
                    <w:sz w:val="18"/>
                  </w:rPr>
                  <w:fldChar w:fldCharType="separate"/>
                </w:r>
                <w:r>
                  <w:rPr>
                    <w:rFonts w:ascii="Arial"/>
                    <w:i/>
                    <w:color w:val="231F20"/>
                    <w:spacing w:val="-5"/>
                    <w:w w:val="110"/>
                    <w:sz w:val="18"/>
                  </w:rPr>
                  <w:t>203</w:t>
                </w:r>
                <w:r>
                  <w:rPr>
                    <w:rFonts w:ascii="Arial"/>
                    <w:i/>
                    <w:color w:val="231F20"/>
                    <w:spacing w:val="-5"/>
                    <w:w w:val="110"/>
                    <w:sz w:val="18"/>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8.939102pt;margin-top:35.715729pt;width:128.85pt;height:11.9pt;mso-position-horizontal-relative:page;mso-position-vertical-relative:page;z-index:-25221120" type="#_x0000_t202" id="docshape344" filled="false" stroked="false">
          <v:textbox inset="0,0,0,0">
            <w:txbxContent>
              <w:p>
                <w:pPr>
                  <w:tabs>
                    <w:tab w:pos="634" w:val="left" w:leader="none"/>
                  </w:tabs>
                  <w:spacing w:before="13"/>
                  <w:ind w:left="60" w:right="0" w:firstLine="0"/>
                  <w:jc w:val="left"/>
                  <w:rPr>
                    <w:rFonts w:ascii="Arial"/>
                    <w:sz w:val="16"/>
                  </w:rPr>
                </w:pPr>
                <w:r>
                  <w:rPr>
                    <w:rFonts w:ascii="Arial"/>
                    <w:i/>
                    <w:color w:val="231F20"/>
                    <w:spacing w:val="-5"/>
                    <w:w w:val="110"/>
                    <w:sz w:val="18"/>
                  </w:rPr>
                  <w:fldChar w:fldCharType="begin"/>
                </w:r>
                <w:r>
                  <w:rPr>
                    <w:rFonts w:ascii="Arial"/>
                    <w:i/>
                    <w:color w:val="231F20"/>
                    <w:spacing w:val="-5"/>
                    <w:w w:val="110"/>
                    <w:sz w:val="18"/>
                  </w:rPr>
                  <w:instrText> PAGE </w:instrText>
                </w:r>
                <w:r>
                  <w:rPr>
                    <w:rFonts w:ascii="Arial"/>
                    <w:i/>
                    <w:color w:val="231F20"/>
                    <w:spacing w:val="-5"/>
                    <w:w w:val="110"/>
                    <w:sz w:val="18"/>
                  </w:rPr>
                  <w:fldChar w:fldCharType="separate"/>
                </w:r>
                <w:r>
                  <w:rPr>
                    <w:rFonts w:ascii="Arial"/>
                    <w:i/>
                    <w:color w:val="231F20"/>
                    <w:spacing w:val="-5"/>
                    <w:w w:val="110"/>
                    <w:sz w:val="18"/>
                  </w:rPr>
                  <w:t>200</w:t>
                </w:r>
                <w:r>
                  <w:rPr>
                    <w:rFonts w:ascii="Arial"/>
                    <w:i/>
                    <w:color w:val="231F20"/>
                    <w:spacing w:val="-5"/>
                    <w:w w:val="110"/>
                    <w:sz w:val="18"/>
                  </w:rPr>
                  <w:fldChar w:fldCharType="end"/>
                </w:r>
                <w:r>
                  <w:rPr>
                    <w:rFonts w:ascii="Arial"/>
                    <w:i/>
                    <w:color w:val="231F20"/>
                    <w:sz w:val="18"/>
                  </w:rPr>
                  <w:tab/>
                </w:r>
                <w:r>
                  <w:rPr>
                    <w:rFonts w:ascii="Arial"/>
                    <w:color w:val="231F20"/>
                    <w:spacing w:val="15"/>
                    <w:w w:val="110"/>
                    <w:sz w:val="16"/>
                  </w:rPr>
                  <w:t>THE</w:t>
                </w:r>
                <w:r>
                  <w:rPr>
                    <w:rFonts w:ascii="Arial"/>
                    <w:color w:val="231F20"/>
                    <w:spacing w:val="46"/>
                    <w:w w:val="110"/>
                    <w:sz w:val="16"/>
                  </w:rPr>
                  <w:t> </w:t>
                </w:r>
                <w:r>
                  <w:rPr>
                    <w:rFonts w:ascii="Arial"/>
                    <w:color w:val="231F20"/>
                    <w:spacing w:val="23"/>
                    <w:w w:val="110"/>
                    <w:sz w:val="16"/>
                  </w:rPr>
                  <w:t>TEN-</w:t>
                </w:r>
                <w:r>
                  <w:rPr>
                    <w:rFonts w:ascii="Arial"/>
                    <w:color w:val="231F20"/>
                    <w:w w:val="110"/>
                    <w:sz w:val="16"/>
                  </w:rPr>
                  <w:t>DAY</w:t>
                </w:r>
                <w:r>
                  <w:rPr>
                    <w:rFonts w:ascii="Arial"/>
                    <w:color w:val="231F20"/>
                    <w:spacing w:val="46"/>
                    <w:w w:val="110"/>
                    <w:sz w:val="16"/>
                  </w:rPr>
                  <w:t> </w:t>
                </w:r>
                <w:r>
                  <w:rPr>
                    <w:rFonts w:ascii="Arial"/>
                    <w:color w:val="231F20"/>
                    <w:spacing w:val="10"/>
                    <w:w w:val="110"/>
                    <w:sz w:val="16"/>
                  </w:rPr>
                  <w:t>MBA </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9.5345pt;margin-top:35.715729pt;width:127.65pt;height:11.9pt;mso-position-horizontal-relative:page;mso-position-vertical-relative:page;z-index:-25220608" type="#_x0000_t202" id="docshape410" filled="false" stroked="false">
          <v:textbox inset="0,0,0,0">
            <w:txbxContent>
              <w:p>
                <w:pPr>
                  <w:tabs>
                    <w:tab w:pos="610" w:val="left" w:leader="none"/>
                  </w:tabs>
                  <w:spacing w:before="13"/>
                  <w:ind w:left="60" w:right="0" w:firstLine="0"/>
                  <w:jc w:val="left"/>
                  <w:rPr>
                    <w:rFonts w:ascii="Arial"/>
                    <w:sz w:val="16"/>
                  </w:rPr>
                </w:pPr>
                <w:r>
                  <w:rPr>
                    <w:rFonts w:ascii="Arial"/>
                    <w:i/>
                    <w:color w:val="231F20"/>
                    <w:spacing w:val="-5"/>
                    <w:w w:val="110"/>
                    <w:sz w:val="18"/>
                  </w:rPr>
                  <w:fldChar w:fldCharType="begin"/>
                </w:r>
                <w:r>
                  <w:rPr>
                    <w:rFonts w:ascii="Arial"/>
                    <w:i/>
                    <w:color w:val="231F20"/>
                    <w:spacing w:val="-5"/>
                    <w:w w:val="110"/>
                    <w:sz w:val="18"/>
                  </w:rPr>
                  <w:instrText> PAGE </w:instrText>
                </w:r>
                <w:r>
                  <w:rPr>
                    <w:rFonts w:ascii="Arial"/>
                    <w:i/>
                    <w:color w:val="231F20"/>
                    <w:spacing w:val="-5"/>
                    <w:w w:val="110"/>
                    <w:sz w:val="18"/>
                  </w:rPr>
                  <w:fldChar w:fldCharType="separate"/>
                </w:r>
                <w:r>
                  <w:rPr>
                    <w:rFonts w:ascii="Arial"/>
                    <w:i/>
                    <w:color w:val="231F20"/>
                    <w:spacing w:val="-5"/>
                    <w:w w:val="110"/>
                    <w:sz w:val="18"/>
                  </w:rPr>
                  <w:t>248</w:t>
                </w:r>
                <w:r>
                  <w:rPr>
                    <w:rFonts w:ascii="Arial"/>
                    <w:i/>
                    <w:color w:val="231F20"/>
                    <w:spacing w:val="-5"/>
                    <w:w w:val="110"/>
                    <w:sz w:val="18"/>
                  </w:rPr>
                  <w:fldChar w:fldCharType="end"/>
                </w:r>
                <w:r>
                  <w:rPr>
                    <w:rFonts w:ascii="Arial"/>
                    <w:i/>
                    <w:color w:val="231F20"/>
                    <w:sz w:val="18"/>
                  </w:rPr>
                  <w:tab/>
                </w:r>
                <w:r>
                  <w:rPr>
                    <w:rFonts w:ascii="Arial"/>
                    <w:color w:val="231F20"/>
                    <w:spacing w:val="15"/>
                    <w:w w:val="110"/>
                    <w:sz w:val="16"/>
                  </w:rPr>
                  <w:t>THE</w:t>
                </w:r>
                <w:r>
                  <w:rPr>
                    <w:rFonts w:ascii="Arial"/>
                    <w:color w:val="231F20"/>
                    <w:spacing w:val="46"/>
                    <w:w w:val="110"/>
                    <w:sz w:val="16"/>
                  </w:rPr>
                  <w:t> </w:t>
                </w:r>
                <w:r>
                  <w:rPr>
                    <w:rFonts w:ascii="Arial"/>
                    <w:color w:val="231F20"/>
                    <w:spacing w:val="23"/>
                    <w:w w:val="110"/>
                    <w:sz w:val="16"/>
                  </w:rPr>
                  <w:t>TEN-</w:t>
                </w:r>
                <w:r>
                  <w:rPr>
                    <w:rFonts w:ascii="Arial"/>
                    <w:color w:val="231F20"/>
                    <w:w w:val="110"/>
                    <w:sz w:val="16"/>
                  </w:rPr>
                  <w:t>DAY</w:t>
                </w:r>
                <w:r>
                  <w:rPr>
                    <w:rFonts w:ascii="Arial"/>
                    <w:color w:val="231F20"/>
                    <w:spacing w:val="46"/>
                    <w:w w:val="110"/>
                    <w:sz w:val="16"/>
                  </w:rPr>
                  <w:t> </w:t>
                </w:r>
                <w:r>
                  <w:rPr>
                    <w:rFonts w:ascii="Arial"/>
                    <w:color w:val="231F20"/>
                    <w:spacing w:val="10"/>
                    <w:w w:val="110"/>
                    <w:sz w:val="16"/>
                  </w:rPr>
                  <w:t>MBA </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9.425797pt;margin-top:35.715729pt;width:127.9pt;height:11.9pt;mso-position-horizontal-relative:page;mso-position-vertical-relative:page;z-index:-25220096" type="#_x0000_t202" id="docshape412" filled="false" stroked="false">
          <v:textbox inset="0,0,0,0">
            <w:txbxContent>
              <w:p>
                <w:pPr>
                  <w:tabs>
                    <w:tab w:pos="614" w:val="left" w:leader="none"/>
                  </w:tabs>
                  <w:spacing w:before="13"/>
                  <w:ind w:left="60" w:right="0" w:firstLine="0"/>
                  <w:jc w:val="left"/>
                  <w:rPr>
                    <w:rFonts w:ascii="Arial"/>
                    <w:sz w:val="16"/>
                  </w:rPr>
                </w:pPr>
                <w:r>
                  <w:rPr>
                    <w:rFonts w:ascii="Arial"/>
                    <w:i/>
                    <w:color w:val="231F20"/>
                    <w:spacing w:val="-5"/>
                    <w:w w:val="110"/>
                    <w:sz w:val="18"/>
                  </w:rPr>
                  <w:fldChar w:fldCharType="begin"/>
                </w:r>
                <w:r>
                  <w:rPr>
                    <w:rFonts w:ascii="Arial"/>
                    <w:i/>
                    <w:color w:val="231F20"/>
                    <w:spacing w:val="-5"/>
                    <w:w w:val="110"/>
                    <w:sz w:val="18"/>
                  </w:rPr>
                  <w:instrText> PAGE </w:instrText>
                </w:r>
                <w:r>
                  <w:rPr>
                    <w:rFonts w:ascii="Arial"/>
                    <w:i/>
                    <w:color w:val="231F20"/>
                    <w:spacing w:val="-5"/>
                    <w:w w:val="110"/>
                    <w:sz w:val="18"/>
                  </w:rPr>
                  <w:fldChar w:fldCharType="separate"/>
                </w:r>
                <w:r>
                  <w:rPr>
                    <w:rFonts w:ascii="Arial"/>
                    <w:i/>
                    <w:color w:val="231F20"/>
                    <w:spacing w:val="-5"/>
                    <w:w w:val="110"/>
                    <w:sz w:val="18"/>
                  </w:rPr>
                  <w:t>250</w:t>
                </w:r>
                <w:r>
                  <w:rPr>
                    <w:rFonts w:ascii="Arial"/>
                    <w:i/>
                    <w:color w:val="231F20"/>
                    <w:spacing w:val="-5"/>
                    <w:w w:val="110"/>
                    <w:sz w:val="18"/>
                  </w:rPr>
                  <w:fldChar w:fldCharType="end"/>
                </w:r>
                <w:r>
                  <w:rPr>
                    <w:rFonts w:ascii="Arial"/>
                    <w:i/>
                    <w:color w:val="231F20"/>
                    <w:sz w:val="18"/>
                  </w:rPr>
                  <w:tab/>
                </w:r>
                <w:r>
                  <w:rPr>
                    <w:rFonts w:ascii="Arial"/>
                    <w:color w:val="231F20"/>
                    <w:spacing w:val="15"/>
                    <w:w w:val="110"/>
                    <w:sz w:val="16"/>
                  </w:rPr>
                  <w:t>THE</w:t>
                </w:r>
                <w:r>
                  <w:rPr>
                    <w:rFonts w:ascii="Arial"/>
                    <w:color w:val="231F20"/>
                    <w:spacing w:val="46"/>
                    <w:w w:val="110"/>
                    <w:sz w:val="16"/>
                  </w:rPr>
                  <w:t> </w:t>
                </w:r>
                <w:r>
                  <w:rPr>
                    <w:rFonts w:ascii="Arial"/>
                    <w:color w:val="231F20"/>
                    <w:spacing w:val="23"/>
                    <w:w w:val="110"/>
                    <w:sz w:val="16"/>
                  </w:rPr>
                  <w:t>TEN-</w:t>
                </w:r>
                <w:r>
                  <w:rPr>
                    <w:rFonts w:ascii="Arial"/>
                    <w:color w:val="231F20"/>
                    <w:w w:val="110"/>
                    <w:sz w:val="16"/>
                  </w:rPr>
                  <w:t>DAY</w:t>
                </w:r>
                <w:r>
                  <w:rPr>
                    <w:rFonts w:ascii="Arial"/>
                    <w:color w:val="231F20"/>
                    <w:spacing w:val="46"/>
                    <w:w w:val="110"/>
                    <w:sz w:val="16"/>
                  </w:rPr>
                  <w:t> </w:t>
                </w:r>
                <w:r>
                  <w:rPr>
                    <w:rFonts w:ascii="Arial"/>
                    <w:color w:val="231F20"/>
                    <w:spacing w:val="10"/>
                    <w:w w:val="110"/>
                    <w:sz w:val="16"/>
                  </w:rPr>
                  <w:t>MBA </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9.970703pt;margin-top:35.715729pt;width:126.8pt;height:11.9pt;mso-position-horizontal-relative:page;mso-position-vertical-relative:page;z-index:-25219584" type="#_x0000_t202" id="docshape418" filled="false" stroked="false">
          <v:textbox inset="0,0,0,0">
            <w:txbxContent>
              <w:p>
                <w:pPr>
                  <w:tabs>
                    <w:tab w:pos="593" w:val="left" w:leader="none"/>
                  </w:tabs>
                  <w:spacing w:before="13"/>
                  <w:ind w:left="60" w:right="0" w:firstLine="0"/>
                  <w:jc w:val="left"/>
                  <w:rPr>
                    <w:rFonts w:ascii="Arial"/>
                    <w:sz w:val="16"/>
                  </w:rPr>
                </w:pPr>
                <w:r>
                  <w:rPr>
                    <w:rFonts w:ascii="Arial"/>
                    <w:i/>
                    <w:color w:val="231F20"/>
                    <w:spacing w:val="-5"/>
                    <w:w w:val="105"/>
                    <w:sz w:val="18"/>
                  </w:rPr>
                  <w:fldChar w:fldCharType="begin"/>
                </w:r>
                <w:r>
                  <w:rPr>
                    <w:rFonts w:ascii="Arial"/>
                    <w:i/>
                    <w:color w:val="231F20"/>
                    <w:spacing w:val="-5"/>
                    <w:w w:val="105"/>
                    <w:sz w:val="18"/>
                  </w:rPr>
                  <w:instrText> PAGE </w:instrText>
                </w:r>
                <w:r>
                  <w:rPr>
                    <w:rFonts w:ascii="Arial"/>
                    <w:i/>
                    <w:color w:val="231F20"/>
                    <w:spacing w:val="-5"/>
                    <w:w w:val="105"/>
                    <w:sz w:val="18"/>
                  </w:rPr>
                  <w:fldChar w:fldCharType="separate"/>
                </w:r>
                <w:r>
                  <w:rPr>
                    <w:rFonts w:ascii="Arial"/>
                    <w:i/>
                    <w:color w:val="231F20"/>
                    <w:spacing w:val="-5"/>
                    <w:w w:val="105"/>
                    <w:sz w:val="18"/>
                  </w:rPr>
                  <w:t>252</w:t>
                </w:r>
                <w:r>
                  <w:rPr>
                    <w:rFonts w:ascii="Arial"/>
                    <w:i/>
                    <w:color w:val="231F20"/>
                    <w:spacing w:val="-5"/>
                    <w:w w:val="105"/>
                    <w:sz w:val="18"/>
                  </w:rPr>
                  <w:fldChar w:fldCharType="end"/>
                </w:r>
                <w:r>
                  <w:rPr>
                    <w:rFonts w:ascii="Arial"/>
                    <w:i/>
                    <w:color w:val="231F20"/>
                    <w:sz w:val="18"/>
                  </w:rPr>
                  <w:tab/>
                </w:r>
                <w:r>
                  <w:rPr>
                    <w:rFonts w:ascii="Arial"/>
                    <w:color w:val="231F20"/>
                    <w:spacing w:val="15"/>
                    <w:w w:val="105"/>
                    <w:sz w:val="16"/>
                  </w:rPr>
                  <w:t>THE</w:t>
                </w:r>
                <w:r>
                  <w:rPr>
                    <w:rFonts w:ascii="Arial"/>
                    <w:color w:val="231F20"/>
                    <w:spacing w:val="73"/>
                    <w:w w:val="105"/>
                    <w:sz w:val="16"/>
                  </w:rPr>
                  <w:t> </w:t>
                </w:r>
                <w:r>
                  <w:rPr>
                    <w:rFonts w:ascii="Arial"/>
                    <w:color w:val="231F20"/>
                    <w:spacing w:val="23"/>
                    <w:w w:val="105"/>
                    <w:sz w:val="16"/>
                  </w:rPr>
                  <w:t>TEN-</w:t>
                </w:r>
                <w:r>
                  <w:rPr>
                    <w:rFonts w:ascii="Arial"/>
                    <w:color w:val="231F20"/>
                    <w:w w:val="105"/>
                    <w:sz w:val="16"/>
                  </w:rPr>
                  <w:t>DAY</w:t>
                </w:r>
                <w:r>
                  <w:rPr>
                    <w:rFonts w:ascii="Arial"/>
                    <w:color w:val="231F20"/>
                    <w:spacing w:val="74"/>
                    <w:w w:val="105"/>
                    <w:sz w:val="16"/>
                  </w:rPr>
                  <w:t> </w:t>
                </w:r>
                <w:r>
                  <w:rPr>
                    <w:rFonts w:ascii="Arial"/>
                    <w:color w:val="231F20"/>
                    <w:spacing w:val="10"/>
                    <w:w w:val="105"/>
                    <w:sz w:val="16"/>
                  </w:rPr>
                  <w:t>MBA </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9.833099pt;margin-top:35.715729pt;width:107.05pt;height:11.9pt;mso-position-horizontal-relative:page;mso-position-vertical-relative:page;z-index:-25227776" type="#_x0000_t202" id="docshape12" filled="false" stroked="false">
          <v:textbox inset="0,0,0,0">
            <w:txbxContent>
              <w:p>
                <w:pPr>
                  <w:tabs>
                    <w:tab w:pos="519" w:val="left" w:leader="none"/>
                  </w:tabs>
                  <w:spacing w:before="13"/>
                  <w:ind w:left="60" w:right="0" w:firstLine="0"/>
                  <w:jc w:val="left"/>
                  <w:rPr>
                    <w:rFonts w:ascii="Arial"/>
                    <w:sz w:val="16"/>
                  </w:rPr>
                </w:pPr>
                <w:r>
                  <w:rPr>
                    <w:rFonts w:ascii="Arial"/>
                    <w:i/>
                    <w:color w:val="231F20"/>
                    <w:spacing w:val="-4"/>
                    <w:w w:val="110"/>
                    <w:sz w:val="18"/>
                  </w:rPr>
                  <w:fldChar w:fldCharType="begin"/>
                </w:r>
                <w:r>
                  <w:rPr>
                    <w:rFonts w:ascii="Arial"/>
                    <w:i/>
                    <w:color w:val="231F20"/>
                    <w:spacing w:val="-4"/>
                    <w:w w:val="110"/>
                    <w:sz w:val="18"/>
                  </w:rPr>
                  <w:instrText> PAGE  \* roman </w:instrText>
                </w:r>
                <w:r>
                  <w:rPr>
                    <w:rFonts w:ascii="Arial"/>
                    <w:i/>
                    <w:color w:val="231F20"/>
                    <w:spacing w:val="-4"/>
                    <w:w w:val="110"/>
                    <w:sz w:val="18"/>
                  </w:rPr>
                  <w:fldChar w:fldCharType="separate"/>
                </w:r>
                <w:r>
                  <w:rPr>
                    <w:rFonts w:ascii="Arial"/>
                    <w:i/>
                    <w:color w:val="231F20"/>
                    <w:spacing w:val="-4"/>
                    <w:w w:val="110"/>
                    <w:sz w:val="18"/>
                  </w:rPr>
                  <w:t>viii</w:t>
                </w:r>
                <w:r>
                  <w:rPr>
                    <w:rFonts w:ascii="Arial"/>
                    <w:i/>
                    <w:color w:val="231F20"/>
                    <w:spacing w:val="-4"/>
                    <w:w w:val="110"/>
                    <w:sz w:val="18"/>
                  </w:rPr>
                  <w:fldChar w:fldCharType="end"/>
                </w:r>
                <w:r>
                  <w:rPr>
                    <w:rFonts w:ascii="Arial"/>
                    <w:i/>
                    <w:color w:val="231F20"/>
                    <w:sz w:val="18"/>
                  </w:rPr>
                  <w:tab/>
                </w:r>
                <w:r>
                  <w:rPr>
                    <w:rFonts w:ascii="Arial"/>
                    <w:color w:val="231F20"/>
                    <w:spacing w:val="19"/>
                    <w:w w:val="110"/>
                    <w:sz w:val="16"/>
                  </w:rPr>
                  <w:t>INTRODUCTION </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0.201797pt;margin-top:35.82114pt;width:99.35pt;height:11.9pt;mso-position-horizontal-relative:page;mso-position-vertical-relative:page;z-index:-25219072" type="#_x0000_t202" id="docshape419" filled="false" stroked="false">
          <v:textbox inset="0,0,0,0">
            <w:txbxContent>
              <w:p>
                <w:pPr>
                  <w:tabs>
                    <w:tab w:pos="1556" w:val="left" w:leader="none"/>
                  </w:tabs>
                  <w:spacing w:before="13"/>
                  <w:ind w:left="20" w:right="0" w:firstLine="0"/>
                  <w:jc w:val="left"/>
                  <w:rPr>
                    <w:rFonts w:ascii="Arial"/>
                    <w:i/>
                    <w:sz w:val="18"/>
                  </w:rPr>
                </w:pPr>
                <w:r>
                  <w:rPr>
                    <w:rFonts w:ascii="Arial"/>
                    <w:color w:val="231F20"/>
                    <w:spacing w:val="17"/>
                    <w:w w:val="110"/>
                    <w:sz w:val="16"/>
                  </w:rPr>
                  <w:t>OPERATIONS</w:t>
                </w:r>
                <w:r>
                  <w:rPr>
                    <w:rFonts w:ascii="Arial"/>
                    <w:color w:val="231F20"/>
                    <w:sz w:val="16"/>
                  </w:rPr>
                  <w:tab/>
                </w:r>
                <w:r>
                  <w:rPr>
                    <w:rFonts w:ascii="Arial"/>
                    <w:i/>
                    <w:color w:val="231F20"/>
                    <w:spacing w:val="-5"/>
                    <w:w w:val="110"/>
                    <w:sz w:val="18"/>
                  </w:rPr>
                  <w:fldChar w:fldCharType="begin"/>
                </w:r>
                <w:r>
                  <w:rPr>
                    <w:rFonts w:ascii="Arial"/>
                    <w:i/>
                    <w:color w:val="231F20"/>
                    <w:spacing w:val="-5"/>
                    <w:w w:val="110"/>
                    <w:sz w:val="18"/>
                  </w:rPr>
                  <w:instrText> PAGE </w:instrText>
                </w:r>
                <w:r>
                  <w:rPr>
                    <w:rFonts w:ascii="Arial"/>
                    <w:i/>
                    <w:color w:val="231F20"/>
                    <w:spacing w:val="-5"/>
                    <w:w w:val="110"/>
                    <w:sz w:val="18"/>
                  </w:rPr>
                  <w:fldChar w:fldCharType="separate"/>
                </w:r>
                <w:r>
                  <w:rPr>
                    <w:rFonts w:ascii="Arial"/>
                    <w:i/>
                    <w:color w:val="231F20"/>
                    <w:spacing w:val="-5"/>
                    <w:w w:val="110"/>
                    <w:sz w:val="18"/>
                  </w:rPr>
                  <w:t>269</w:t>
                </w:r>
                <w:r>
                  <w:rPr>
                    <w:rFonts w:ascii="Arial"/>
                    <w:i/>
                    <w:color w:val="231F20"/>
                    <w:spacing w:val="-5"/>
                    <w:w w:val="110"/>
                    <w:sz w:val="18"/>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9.5345pt;margin-top:35.715729pt;width:127.65pt;height:11.9pt;mso-position-horizontal-relative:page;mso-position-vertical-relative:page;z-index:-25218560" type="#_x0000_t202" id="docshape457" filled="false" stroked="false">
          <v:textbox inset="0,0,0,0">
            <w:txbxContent>
              <w:p>
                <w:pPr>
                  <w:tabs>
                    <w:tab w:pos="610" w:val="left" w:leader="none"/>
                  </w:tabs>
                  <w:spacing w:before="13"/>
                  <w:ind w:left="60" w:right="0" w:firstLine="0"/>
                  <w:jc w:val="left"/>
                  <w:rPr>
                    <w:rFonts w:ascii="Arial"/>
                    <w:sz w:val="16"/>
                  </w:rPr>
                </w:pPr>
                <w:r>
                  <w:rPr>
                    <w:rFonts w:ascii="Arial"/>
                    <w:i/>
                    <w:color w:val="231F20"/>
                    <w:spacing w:val="-5"/>
                    <w:w w:val="110"/>
                    <w:sz w:val="18"/>
                  </w:rPr>
                  <w:fldChar w:fldCharType="begin"/>
                </w:r>
                <w:r>
                  <w:rPr>
                    <w:rFonts w:ascii="Arial"/>
                    <w:i/>
                    <w:color w:val="231F20"/>
                    <w:spacing w:val="-5"/>
                    <w:w w:val="110"/>
                    <w:sz w:val="18"/>
                  </w:rPr>
                  <w:instrText> PAGE </w:instrText>
                </w:r>
                <w:r>
                  <w:rPr>
                    <w:rFonts w:ascii="Arial"/>
                    <w:i/>
                    <w:color w:val="231F20"/>
                    <w:spacing w:val="-5"/>
                    <w:w w:val="110"/>
                    <w:sz w:val="18"/>
                  </w:rPr>
                  <w:fldChar w:fldCharType="separate"/>
                </w:r>
                <w:r>
                  <w:rPr>
                    <w:rFonts w:ascii="Arial"/>
                    <w:i/>
                    <w:color w:val="231F20"/>
                    <w:spacing w:val="-5"/>
                    <w:w w:val="110"/>
                    <w:sz w:val="18"/>
                  </w:rPr>
                  <w:t>284</w:t>
                </w:r>
                <w:r>
                  <w:rPr>
                    <w:rFonts w:ascii="Arial"/>
                    <w:i/>
                    <w:color w:val="231F20"/>
                    <w:spacing w:val="-5"/>
                    <w:w w:val="110"/>
                    <w:sz w:val="18"/>
                  </w:rPr>
                  <w:fldChar w:fldCharType="end"/>
                </w:r>
                <w:r>
                  <w:rPr>
                    <w:rFonts w:ascii="Arial"/>
                    <w:i/>
                    <w:color w:val="231F20"/>
                    <w:sz w:val="18"/>
                  </w:rPr>
                  <w:tab/>
                </w:r>
                <w:r>
                  <w:rPr>
                    <w:rFonts w:ascii="Arial"/>
                    <w:color w:val="231F20"/>
                    <w:spacing w:val="15"/>
                    <w:w w:val="110"/>
                    <w:sz w:val="16"/>
                  </w:rPr>
                  <w:t>THE</w:t>
                </w:r>
                <w:r>
                  <w:rPr>
                    <w:rFonts w:ascii="Arial"/>
                    <w:color w:val="231F20"/>
                    <w:spacing w:val="46"/>
                    <w:w w:val="110"/>
                    <w:sz w:val="16"/>
                  </w:rPr>
                  <w:t> </w:t>
                </w:r>
                <w:r>
                  <w:rPr>
                    <w:rFonts w:ascii="Arial"/>
                    <w:color w:val="231F20"/>
                    <w:spacing w:val="23"/>
                    <w:w w:val="110"/>
                    <w:sz w:val="16"/>
                  </w:rPr>
                  <w:t>TEN-</w:t>
                </w:r>
                <w:r>
                  <w:rPr>
                    <w:rFonts w:ascii="Arial"/>
                    <w:color w:val="231F20"/>
                    <w:w w:val="110"/>
                    <w:sz w:val="16"/>
                  </w:rPr>
                  <w:t>DAY</w:t>
                </w:r>
                <w:r>
                  <w:rPr>
                    <w:rFonts w:ascii="Arial"/>
                    <w:color w:val="231F20"/>
                    <w:spacing w:val="46"/>
                    <w:w w:val="110"/>
                    <w:sz w:val="16"/>
                  </w:rPr>
                  <w:t> </w:t>
                </w:r>
                <w:r>
                  <w:rPr>
                    <w:rFonts w:ascii="Arial"/>
                    <w:color w:val="231F20"/>
                    <w:spacing w:val="10"/>
                    <w:w w:val="110"/>
                    <w:sz w:val="16"/>
                  </w:rPr>
                  <w:t>MBA </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2.222397pt;margin-top:35.82114pt;width:95.3pt;height:11.9pt;mso-position-horizontal-relative:page;mso-position-vertical-relative:page;z-index:-25218048" type="#_x0000_t202" id="docshape458" filled="false" stroked="false">
          <v:textbox inset="0,0,0,0">
            <w:txbxContent>
              <w:p>
                <w:pPr>
                  <w:tabs>
                    <w:tab w:pos="1466" w:val="left" w:leader="none"/>
                  </w:tabs>
                  <w:spacing w:before="13"/>
                  <w:ind w:left="20" w:right="0" w:firstLine="0"/>
                  <w:jc w:val="left"/>
                  <w:rPr>
                    <w:rFonts w:ascii="Arial"/>
                    <w:i/>
                    <w:sz w:val="18"/>
                  </w:rPr>
                </w:pPr>
                <w:r>
                  <w:rPr>
                    <w:rFonts w:ascii="Arial"/>
                    <w:color w:val="231F20"/>
                    <w:spacing w:val="11"/>
                    <w:sz w:val="16"/>
                  </w:rPr>
                  <w:t>EC</w:t>
                </w:r>
                <w:r>
                  <w:rPr>
                    <w:rFonts w:ascii="Arial"/>
                    <w:color w:val="231F20"/>
                    <w:spacing w:val="-21"/>
                    <w:sz w:val="16"/>
                  </w:rPr>
                  <w:t> </w:t>
                </w:r>
                <w:r>
                  <w:rPr>
                    <w:rFonts w:ascii="Arial"/>
                    <w:color w:val="231F20"/>
                    <w:spacing w:val="17"/>
                    <w:w w:val="105"/>
                    <w:sz w:val="16"/>
                  </w:rPr>
                  <w:t>ONOMICS</w:t>
                </w:r>
                <w:r>
                  <w:rPr>
                    <w:rFonts w:ascii="Arial"/>
                    <w:color w:val="231F20"/>
                    <w:sz w:val="16"/>
                  </w:rPr>
                  <w:tab/>
                </w:r>
                <w:r>
                  <w:rPr>
                    <w:rFonts w:ascii="Arial"/>
                    <w:i/>
                    <w:color w:val="231F20"/>
                    <w:spacing w:val="-5"/>
                    <w:w w:val="105"/>
                    <w:sz w:val="18"/>
                  </w:rPr>
                  <w:fldChar w:fldCharType="begin"/>
                </w:r>
                <w:r>
                  <w:rPr>
                    <w:rFonts w:ascii="Arial"/>
                    <w:i/>
                    <w:color w:val="231F20"/>
                    <w:spacing w:val="-5"/>
                    <w:w w:val="105"/>
                    <w:sz w:val="18"/>
                  </w:rPr>
                  <w:instrText> PAGE </w:instrText>
                </w:r>
                <w:r>
                  <w:rPr>
                    <w:rFonts w:ascii="Arial"/>
                    <w:i/>
                    <w:color w:val="231F20"/>
                    <w:spacing w:val="-5"/>
                    <w:w w:val="105"/>
                    <w:sz w:val="18"/>
                  </w:rPr>
                  <w:fldChar w:fldCharType="separate"/>
                </w:r>
                <w:r>
                  <w:rPr>
                    <w:rFonts w:ascii="Arial"/>
                    <w:i/>
                    <w:color w:val="231F20"/>
                    <w:spacing w:val="-5"/>
                    <w:w w:val="105"/>
                    <w:sz w:val="18"/>
                  </w:rPr>
                  <w:t>303</w:t>
                </w:r>
                <w:r>
                  <w:rPr>
                    <w:rFonts w:ascii="Arial"/>
                    <w:i/>
                    <w:color w:val="231F20"/>
                    <w:spacing w:val="-5"/>
                    <w:w w:val="105"/>
                    <w:sz w:val="18"/>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6.9375pt;margin-top:35.82114pt;width:85.85pt;height:11.9pt;mso-position-horizontal-relative:page;mso-position-vertical-relative:page;z-index:-25217536" type="#_x0000_t202" id="docshape464" filled="false" stroked="false">
          <v:textbox inset="0,0,0,0">
            <w:txbxContent>
              <w:p>
                <w:pPr>
                  <w:tabs>
                    <w:tab w:pos="1289" w:val="left" w:leader="none"/>
                  </w:tabs>
                  <w:spacing w:before="13"/>
                  <w:ind w:left="20" w:right="0" w:firstLine="0"/>
                  <w:jc w:val="left"/>
                  <w:rPr>
                    <w:rFonts w:ascii="Arial"/>
                    <w:i/>
                    <w:sz w:val="18"/>
                  </w:rPr>
                </w:pPr>
                <w:r>
                  <w:rPr>
                    <w:rFonts w:ascii="Arial"/>
                    <w:color w:val="231F20"/>
                    <w:w w:val="95"/>
                    <w:sz w:val="16"/>
                  </w:rPr>
                  <w:t>S</w:t>
                </w:r>
                <w:r>
                  <w:rPr>
                    <w:rFonts w:ascii="Arial"/>
                    <w:color w:val="231F20"/>
                    <w:spacing w:val="-21"/>
                    <w:w w:val="95"/>
                    <w:sz w:val="16"/>
                  </w:rPr>
                  <w:t> </w:t>
                </w:r>
                <w:r>
                  <w:rPr>
                    <w:rFonts w:ascii="Arial"/>
                    <w:color w:val="231F20"/>
                    <w:spacing w:val="15"/>
                    <w:sz w:val="16"/>
                  </w:rPr>
                  <w:t>TRATEGY</w:t>
                </w:r>
                <w:r>
                  <w:rPr>
                    <w:rFonts w:ascii="Arial"/>
                    <w:color w:val="231F20"/>
                    <w:sz w:val="16"/>
                  </w:rPr>
                  <w:tab/>
                </w:r>
                <w:r>
                  <w:rPr>
                    <w:rFonts w:ascii="Arial"/>
                    <w:i/>
                    <w:color w:val="231F20"/>
                    <w:spacing w:val="-5"/>
                    <w:w w:val="105"/>
                    <w:sz w:val="18"/>
                  </w:rPr>
                  <w:fldChar w:fldCharType="begin"/>
                </w:r>
                <w:r>
                  <w:rPr>
                    <w:rFonts w:ascii="Arial"/>
                    <w:i/>
                    <w:color w:val="231F20"/>
                    <w:spacing w:val="-5"/>
                    <w:w w:val="105"/>
                    <w:sz w:val="18"/>
                  </w:rPr>
                  <w:instrText> PAGE </w:instrText>
                </w:r>
                <w:r>
                  <w:rPr>
                    <w:rFonts w:ascii="Arial"/>
                    <w:i/>
                    <w:color w:val="231F20"/>
                    <w:spacing w:val="-5"/>
                    <w:w w:val="105"/>
                    <w:sz w:val="18"/>
                  </w:rPr>
                  <w:fldChar w:fldCharType="separate"/>
                </w:r>
                <w:r>
                  <w:rPr>
                    <w:rFonts w:ascii="Arial"/>
                    <w:i/>
                    <w:color w:val="231F20"/>
                    <w:spacing w:val="-5"/>
                    <w:w w:val="105"/>
                    <w:sz w:val="18"/>
                  </w:rPr>
                  <w:t>343</w:t>
                </w:r>
                <w:r>
                  <w:rPr>
                    <w:rFonts w:ascii="Arial"/>
                    <w:i/>
                    <w:color w:val="231F20"/>
                    <w:spacing w:val="-5"/>
                    <w:w w:val="105"/>
                    <w:sz w:val="18"/>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9.321396pt;margin-top:35.715729pt;width:128.1pt;height:11.9pt;mso-position-horizontal-relative:page;mso-position-vertical-relative:page;z-index:-25217024" type="#_x0000_t202" id="docshape465" filled="false" stroked="false">
          <v:textbox inset="0,0,0,0">
            <w:txbxContent>
              <w:p>
                <w:pPr>
                  <w:tabs>
                    <w:tab w:pos="619" w:val="left" w:leader="none"/>
                  </w:tabs>
                  <w:spacing w:before="13"/>
                  <w:ind w:left="60" w:right="0" w:firstLine="0"/>
                  <w:jc w:val="left"/>
                  <w:rPr>
                    <w:rFonts w:ascii="Arial"/>
                    <w:sz w:val="16"/>
                  </w:rPr>
                </w:pPr>
                <w:r>
                  <w:rPr>
                    <w:rFonts w:ascii="Arial"/>
                    <w:i/>
                    <w:color w:val="231F20"/>
                    <w:spacing w:val="-5"/>
                    <w:w w:val="110"/>
                    <w:sz w:val="18"/>
                  </w:rPr>
                  <w:fldChar w:fldCharType="begin"/>
                </w:r>
                <w:r>
                  <w:rPr>
                    <w:rFonts w:ascii="Arial"/>
                    <w:i/>
                    <w:color w:val="231F20"/>
                    <w:spacing w:val="-5"/>
                    <w:w w:val="110"/>
                    <w:sz w:val="18"/>
                  </w:rPr>
                  <w:instrText> PAGE </w:instrText>
                </w:r>
                <w:r>
                  <w:rPr>
                    <w:rFonts w:ascii="Arial"/>
                    <w:i/>
                    <w:color w:val="231F20"/>
                    <w:spacing w:val="-5"/>
                    <w:w w:val="110"/>
                    <w:sz w:val="18"/>
                  </w:rPr>
                  <w:fldChar w:fldCharType="separate"/>
                </w:r>
                <w:r>
                  <w:rPr>
                    <w:rFonts w:ascii="Arial"/>
                    <w:i/>
                    <w:color w:val="231F20"/>
                    <w:spacing w:val="-5"/>
                    <w:w w:val="110"/>
                    <w:sz w:val="18"/>
                  </w:rPr>
                  <w:t>330</w:t>
                </w:r>
                <w:r>
                  <w:rPr>
                    <w:rFonts w:ascii="Arial"/>
                    <w:i/>
                    <w:color w:val="231F20"/>
                    <w:spacing w:val="-5"/>
                    <w:w w:val="110"/>
                    <w:sz w:val="18"/>
                  </w:rPr>
                  <w:fldChar w:fldCharType="end"/>
                </w:r>
                <w:r>
                  <w:rPr>
                    <w:rFonts w:ascii="Arial"/>
                    <w:i/>
                    <w:color w:val="231F20"/>
                    <w:sz w:val="18"/>
                  </w:rPr>
                  <w:tab/>
                </w:r>
                <w:r>
                  <w:rPr>
                    <w:rFonts w:ascii="Arial"/>
                    <w:color w:val="231F20"/>
                    <w:spacing w:val="15"/>
                    <w:w w:val="110"/>
                    <w:sz w:val="16"/>
                  </w:rPr>
                  <w:t>THE</w:t>
                </w:r>
                <w:r>
                  <w:rPr>
                    <w:rFonts w:ascii="Arial"/>
                    <w:color w:val="231F20"/>
                    <w:spacing w:val="46"/>
                    <w:w w:val="110"/>
                    <w:sz w:val="16"/>
                  </w:rPr>
                  <w:t> </w:t>
                </w:r>
                <w:r>
                  <w:rPr>
                    <w:rFonts w:ascii="Arial"/>
                    <w:color w:val="231F20"/>
                    <w:spacing w:val="23"/>
                    <w:w w:val="110"/>
                    <w:sz w:val="16"/>
                  </w:rPr>
                  <w:t>TEN-</w:t>
                </w:r>
                <w:r>
                  <w:rPr>
                    <w:rFonts w:ascii="Arial"/>
                    <w:color w:val="231F20"/>
                    <w:w w:val="110"/>
                    <w:sz w:val="16"/>
                  </w:rPr>
                  <w:t>DAY</w:t>
                </w:r>
                <w:r>
                  <w:rPr>
                    <w:rFonts w:ascii="Arial"/>
                    <w:color w:val="231F20"/>
                    <w:spacing w:val="46"/>
                    <w:w w:val="110"/>
                    <w:sz w:val="16"/>
                  </w:rPr>
                  <w:t> </w:t>
                </w:r>
                <w:r>
                  <w:rPr>
                    <w:rFonts w:ascii="Arial"/>
                    <w:color w:val="231F20"/>
                    <w:spacing w:val="10"/>
                    <w:w w:val="110"/>
                    <w:sz w:val="16"/>
                  </w:rPr>
                  <w:t>MBA </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4.826599pt;margin-top:35.82114pt;width:130.2pt;height:11.9pt;mso-position-horizontal-relative:page;mso-position-vertical-relative:page;z-index:-25216512" type="#_x0000_t202" id="docshape536" filled="false" stroked="false">
          <v:textbox inset="0,0,0,0">
            <w:txbxContent>
              <w:p>
                <w:pPr>
                  <w:tabs>
                    <w:tab w:pos="2177" w:val="left" w:leader="none"/>
                  </w:tabs>
                  <w:spacing w:before="13"/>
                  <w:ind w:left="20" w:right="0" w:firstLine="0"/>
                  <w:jc w:val="left"/>
                  <w:rPr>
                    <w:rFonts w:ascii="Arial"/>
                    <w:i/>
                    <w:sz w:val="18"/>
                  </w:rPr>
                </w:pPr>
                <w:r>
                  <w:rPr>
                    <w:rFonts w:ascii="Arial"/>
                    <w:color w:val="231F20"/>
                    <w:spacing w:val="15"/>
                    <w:w w:val="105"/>
                    <w:sz w:val="16"/>
                  </w:rPr>
                  <w:t>MBA</w:t>
                </w:r>
                <w:r>
                  <w:rPr>
                    <w:rFonts w:ascii="Arial"/>
                    <w:color w:val="231F20"/>
                    <w:spacing w:val="67"/>
                    <w:w w:val="105"/>
                    <w:sz w:val="16"/>
                  </w:rPr>
                  <w:t> </w:t>
                </w:r>
                <w:r>
                  <w:rPr>
                    <w:rFonts w:ascii="Arial"/>
                    <w:color w:val="231F20"/>
                    <w:spacing w:val="18"/>
                    <w:w w:val="105"/>
                    <w:sz w:val="16"/>
                  </w:rPr>
                  <w:t>MINICOURSES</w:t>
                </w:r>
                <w:r>
                  <w:rPr>
                    <w:rFonts w:ascii="Arial"/>
                    <w:color w:val="231F20"/>
                    <w:sz w:val="16"/>
                  </w:rPr>
                  <w:tab/>
                </w:r>
                <w:r>
                  <w:rPr>
                    <w:rFonts w:ascii="Arial"/>
                    <w:i/>
                    <w:color w:val="231F20"/>
                    <w:spacing w:val="-5"/>
                    <w:w w:val="105"/>
                    <w:sz w:val="18"/>
                  </w:rPr>
                  <w:fldChar w:fldCharType="begin"/>
                </w:r>
                <w:r>
                  <w:rPr>
                    <w:rFonts w:ascii="Arial"/>
                    <w:i/>
                    <w:color w:val="231F20"/>
                    <w:spacing w:val="-5"/>
                    <w:w w:val="105"/>
                    <w:sz w:val="18"/>
                  </w:rPr>
                  <w:instrText> PAGE </w:instrText>
                </w:r>
                <w:r>
                  <w:rPr>
                    <w:rFonts w:ascii="Arial"/>
                    <w:i/>
                    <w:color w:val="231F20"/>
                    <w:spacing w:val="-5"/>
                    <w:w w:val="105"/>
                    <w:sz w:val="18"/>
                  </w:rPr>
                  <w:fldChar w:fldCharType="separate"/>
                </w:r>
                <w:r>
                  <w:rPr>
                    <w:rFonts w:ascii="Arial"/>
                    <w:i/>
                    <w:color w:val="231F20"/>
                    <w:spacing w:val="-5"/>
                    <w:w w:val="105"/>
                    <w:sz w:val="18"/>
                  </w:rPr>
                  <w:t>363</w:t>
                </w:r>
                <w:r>
                  <w:rPr>
                    <w:rFonts w:ascii="Arial"/>
                    <w:i/>
                    <w:color w:val="231F20"/>
                    <w:spacing w:val="-5"/>
                    <w:w w:val="105"/>
                    <w:sz w:val="18"/>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9.164642pt;margin-top:35.715729pt;width:128.1pt;height:11.9pt;mso-position-horizontal-relative:page;mso-position-vertical-relative:page;z-index:-25216000" type="#_x0000_t202" id="docshape537" filled="false" stroked="false">
          <v:textbox inset="0,0,0,0">
            <w:txbxContent>
              <w:p>
                <w:pPr>
                  <w:spacing w:before="13"/>
                  <w:ind w:left="60" w:right="0" w:firstLine="0"/>
                  <w:jc w:val="left"/>
                  <w:rPr>
                    <w:rFonts w:ascii="Arial"/>
                    <w:sz w:val="16"/>
                  </w:rPr>
                </w:pPr>
                <w:r>
                  <w:rPr>
                    <w:rFonts w:ascii="Arial"/>
                    <w:i/>
                    <w:color w:val="231F20"/>
                    <w:w w:val="110"/>
                    <w:sz w:val="18"/>
                  </w:rPr>
                  <w:fldChar w:fldCharType="begin"/>
                </w:r>
                <w:r>
                  <w:rPr>
                    <w:rFonts w:ascii="Arial"/>
                    <w:i/>
                    <w:color w:val="231F20"/>
                    <w:w w:val="110"/>
                    <w:sz w:val="18"/>
                  </w:rPr>
                  <w:instrText> PAGE </w:instrText>
                </w:r>
                <w:r>
                  <w:rPr>
                    <w:rFonts w:ascii="Arial"/>
                    <w:i/>
                    <w:color w:val="231F20"/>
                    <w:w w:val="110"/>
                    <w:sz w:val="18"/>
                  </w:rPr>
                  <w:fldChar w:fldCharType="separate"/>
                </w:r>
                <w:r>
                  <w:rPr>
                    <w:rFonts w:ascii="Arial"/>
                    <w:i/>
                    <w:color w:val="231F20"/>
                    <w:w w:val="110"/>
                    <w:sz w:val="18"/>
                  </w:rPr>
                  <w:t>380</w:t>
                </w:r>
                <w:r>
                  <w:rPr>
                    <w:rFonts w:ascii="Arial"/>
                    <w:i/>
                    <w:color w:val="231F20"/>
                    <w:w w:val="110"/>
                    <w:sz w:val="18"/>
                  </w:rPr>
                  <w:fldChar w:fldCharType="end"/>
                </w:r>
                <w:r>
                  <w:rPr>
                    <w:rFonts w:ascii="Arial"/>
                    <w:i/>
                    <w:color w:val="231F20"/>
                    <w:spacing w:val="47"/>
                    <w:w w:val="110"/>
                    <w:sz w:val="18"/>
                  </w:rPr>
                  <w:t>  </w:t>
                </w:r>
                <w:r>
                  <w:rPr>
                    <w:rFonts w:ascii="Arial"/>
                    <w:color w:val="231F20"/>
                    <w:spacing w:val="15"/>
                    <w:w w:val="110"/>
                    <w:sz w:val="16"/>
                  </w:rPr>
                  <w:t>THE</w:t>
                </w:r>
                <w:r>
                  <w:rPr>
                    <w:rFonts w:ascii="Arial"/>
                    <w:color w:val="231F20"/>
                    <w:spacing w:val="53"/>
                    <w:w w:val="110"/>
                    <w:sz w:val="16"/>
                  </w:rPr>
                  <w:t> </w:t>
                </w:r>
                <w:r>
                  <w:rPr>
                    <w:rFonts w:ascii="Arial"/>
                    <w:color w:val="231F20"/>
                    <w:spacing w:val="23"/>
                    <w:w w:val="110"/>
                    <w:sz w:val="16"/>
                  </w:rPr>
                  <w:t>TEN-</w:t>
                </w:r>
                <w:r>
                  <w:rPr>
                    <w:rFonts w:ascii="Arial"/>
                    <w:color w:val="231F20"/>
                    <w:w w:val="110"/>
                    <w:sz w:val="16"/>
                  </w:rPr>
                  <w:t>DAY</w:t>
                </w:r>
                <w:r>
                  <w:rPr>
                    <w:rFonts w:ascii="Arial"/>
                    <w:color w:val="231F20"/>
                    <w:spacing w:val="54"/>
                    <w:w w:val="110"/>
                    <w:sz w:val="16"/>
                  </w:rPr>
                  <w:t> </w:t>
                </w:r>
                <w:r>
                  <w:rPr>
                    <w:rFonts w:ascii="Arial"/>
                    <w:color w:val="231F20"/>
                    <w:spacing w:val="10"/>
                    <w:w w:val="110"/>
                    <w:sz w:val="16"/>
                  </w:rPr>
                  <w:t>MBA </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608093pt;margin-top:35.82114pt;width:102.8pt;height:11.9pt;mso-position-horizontal-relative:page;mso-position-vertical-relative:page;z-index:-25227264" type="#_x0000_t202" id="docshape13" filled="false" stroked="false">
          <v:textbox inset="0,0,0,0">
            <w:txbxContent>
              <w:p>
                <w:pPr>
                  <w:tabs>
                    <w:tab w:pos="1821" w:val="left" w:leader="none"/>
                  </w:tabs>
                  <w:spacing w:before="13"/>
                  <w:ind w:left="20" w:right="0" w:firstLine="0"/>
                  <w:jc w:val="left"/>
                  <w:rPr>
                    <w:rFonts w:ascii="Arial"/>
                    <w:i/>
                    <w:sz w:val="18"/>
                  </w:rPr>
                </w:pPr>
                <w:r>
                  <w:rPr>
                    <w:rFonts w:ascii="Arial"/>
                    <w:color w:val="231F20"/>
                    <w:spacing w:val="19"/>
                    <w:w w:val="110"/>
                    <w:sz w:val="16"/>
                  </w:rPr>
                  <w:t>INTRODUCTION</w:t>
                </w:r>
                <w:r>
                  <w:rPr>
                    <w:rFonts w:ascii="Arial"/>
                    <w:color w:val="231F20"/>
                    <w:sz w:val="16"/>
                  </w:rPr>
                  <w:tab/>
                </w:r>
                <w:r>
                  <w:rPr>
                    <w:rFonts w:ascii="Arial"/>
                    <w:i/>
                    <w:color w:val="231F20"/>
                    <w:spacing w:val="-5"/>
                    <w:w w:val="110"/>
                    <w:sz w:val="18"/>
                  </w:rPr>
                  <w:fldChar w:fldCharType="begin"/>
                </w:r>
                <w:r>
                  <w:rPr>
                    <w:rFonts w:ascii="Arial"/>
                    <w:i/>
                    <w:color w:val="231F20"/>
                    <w:spacing w:val="-5"/>
                    <w:w w:val="110"/>
                    <w:sz w:val="18"/>
                  </w:rPr>
                  <w:instrText> PAGE  \* roman </w:instrText>
                </w:r>
                <w:r>
                  <w:rPr>
                    <w:rFonts w:ascii="Arial"/>
                    <w:i/>
                    <w:color w:val="231F20"/>
                    <w:spacing w:val="-5"/>
                    <w:w w:val="110"/>
                    <w:sz w:val="18"/>
                  </w:rPr>
                  <w:fldChar w:fldCharType="separate"/>
                </w:r>
                <w:r>
                  <w:rPr>
                    <w:rFonts w:ascii="Arial"/>
                    <w:i/>
                    <w:color w:val="231F20"/>
                    <w:spacing w:val="-5"/>
                    <w:w w:val="110"/>
                    <w:sz w:val="18"/>
                  </w:rPr>
                  <w:t>ix</w:t>
                </w:r>
                <w:r>
                  <w:rPr>
                    <w:rFonts w:ascii="Arial"/>
                    <w:i/>
                    <w:color w:val="231F20"/>
                    <w:spacing w:val="-5"/>
                    <w:w w:val="110"/>
                    <w:sz w:val="18"/>
                  </w:rPr>
                  <w:fldChar w:fldCharType="end"/>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0.810089pt;margin-top:35.82114pt;width:24.1pt;height:11.9pt;mso-position-horizontal-relative:page;mso-position-vertical-relative:page;z-index:-25215488" type="#_x0000_t202" id="docshape538" filled="false" stroked="false">
          <v:textbox inset="0,0,0,0">
            <w:txbxContent>
              <w:p>
                <w:pPr>
                  <w:spacing w:before="13"/>
                  <w:ind w:left="60" w:right="0" w:firstLine="0"/>
                  <w:jc w:val="left"/>
                  <w:rPr>
                    <w:rFonts w:ascii="Arial"/>
                    <w:i/>
                    <w:sz w:val="18"/>
                  </w:rPr>
                </w:pPr>
                <w:r>
                  <w:rPr>
                    <w:rFonts w:ascii="Arial"/>
                    <w:i/>
                    <w:color w:val="231F20"/>
                    <w:spacing w:val="-5"/>
                    <w:w w:val="110"/>
                    <w:sz w:val="18"/>
                  </w:rPr>
                  <w:fldChar w:fldCharType="begin"/>
                </w:r>
                <w:r>
                  <w:rPr>
                    <w:rFonts w:ascii="Arial"/>
                    <w:i/>
                    <w:color w:val="231F20"/>
                    <w:spacing w:val="-5"/>
                    <w:w w:val="110"/>
                    <w:sz w:val="18"/>
                  </w:rPr>
                  <w:instrText> PAGE </w:instrText>
                </w:r>
                <w:r>
                  <w:rPr>
                    <w:rFonts w:ascii="Arial"/>
                    <w:i/>
                    <w:color w:val="231F20"/>
                    <w:spacing w:val="-5"/>
                    <w:w w:val="110"/>
                    <w:sz w:val="18"/>
                  </w:rPr>
                  <w:fldChar w:fldCharType="separate"/>
                </w:r>
                <w:r>
                  <w:rPr>
                    <w:rFonts w:ascii="Arial"/>
                    <w:i/>
                    <w:color w:val="231F20"/>
                    <w:spacing w:val="-5"/>
                    <w:w w:val="110"/>
                    <w:sz w:val="18"/>
                  </w:rPr>
                  <w:t>367</w:t>
                </w:r>
                <w:r>
                  <w:rPr>
                    <w:rFonts w:ascii="Arial"/>
                    <w:i/>
                    <w:color w:val="231F20"/>
                    <w:spacing w:val="-5"/>
                    <w:w w:val="110"/>
                    <w:sz w:val="18"/>
                  </w:rPr>
                  <w:fldChar w:fldCharType="end"/>
                </w:r>
              </w:p>
            </w:txbxContent>
          </v:textbox>
          <w10:wrap type="none"/>
        </v:shape>
      </w:pict>
    </w:r>
    <w:r>
      <w:rPr/>
      <w:pict>
        <v:shape style="position:absolute;margin-left:156.203201pt;margin-top:36.527142pt;width:58.75pt;height:10.7pt;mso-position-horizontal-relative:page;mso-position-vertical-relative:page;z-index:-25214976" type="#_x0000_t202" id="docshape539" filled="false" stroked="false">
          <v:textbox inset="0,0,0,0">
            <w:txbxContent>
              <w:p>
                <w:pPr>
                  <w:spacing w:before="17"/>
                  <w:ind w:left="20" w:right="0" w:firstLine="0"/>
                  <w:jc w:val="left"/>
                  <w:rPr>
                    <w:rFonts w:ascii="Arial"/>
                    <w:sz w:val="16"/>
                  </w:rPr>
                </w:pPr>
                <w:r>
                  <w:rPr>
                    <w:rFonts w:ascii="Arial"/>
                    <w:color w:val="231F20"/>
                    <w:spacing w:val="15"/>
                    <w:w w:val="110"/>
                    <w:sz w:val="16"/>
                  </w:rPr>
                  <w:t>MBA</w:t>
                </w:r>
                <w:r>
                  <w:rPr>
                    <w:rFonts w:ascii="Arial"/>
                    <w:color w:val="231F20"/>
                    <w:spacing w:val="48"/>
                    <w:w w:val="110"/>
                    <w:sz w:val="16"/>
                  </w:rPr>
                  <w:t> </w:t>
                </w:r>
                <w:r>
                  <w:rPr>
                    <w:rFonts w:ascii="Arial"/>
                    <w:color w:val="231F20"/>
                    <w:spacing w:val="14"/>
                    <w:w w:val="110"/>
                    <w:sz w:val="16"/>
                  </w:rPr>
                  <w:t>MINIC </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9.475143pt;margin-top:35.715729pt;width:127.25pt;height:11.9pt;mso-position-horizontal-relative:page;mso-position-vertical-relative:page;z-index:-25214464" type="#_x0000_t202" id="docshape540" filled="false" stroked="false">
          <v:textbox inset="0,0,0,0">
            <w:txbxContent>
              <w:p>
                <w:pPr>
                  <w:spacing w:before="13"/>
                  <w:ind w:left="60" w:right="0" w:firstLine="0"/>
                  <w:jc w:val="left"/>
                  <w:rPr>
                    <w:rFonts w:ascii="Arial"/>
                    <w:sz w:val="16"/>
                  </w:rPr>
                </w:pPr>
                <w:r>
                  <w:rPr>
                    <w:rFonts w:ascii="Arial"/>
                    <w:i/>
                    <w:color w:val="231F20"/>
                    <w:w w:val="110"/>
                    <w:sz w:val="18"/>
                  </w:rPr>
                  <w:fldChar w:fldCharType="begin"/>
                </w:r>
                <w:r>
                  <w:rPr>
                    <w:rFonts w:ascii="Arial"/>
                    <w:i/>
                    <w:color w:val="231F20"/>
                    <w:w w:val="110"/>
                    <w:sz w:val="18"/>
                  </w:rPr>
                  <w:instrText> PAGE </w:instrText>
                </w:r>
                <w:r>
                  <w:rPr>
                    <w:rFonts w:ascii="Arial"/>
                    <w:i/>
                    <w:color w:val="231F20"/>
                    <w:w w:val="110"/>
                    <w:sz w:val="18"/>
                  </w:rPr>
                  <w:fldChar w:fldCharType="separate"/>
                </w:r>
                <w:r>
                  <w:rPr>
                    <w:rFonts w:ascii="Arial"/>
                    <w:i/>
                    <w:color w:val="231F20"/>
                    <w:w w:val="110"/>
                    <w:sz w:val="18"/>
                  </w:rPr>
                  <w:t>368</w:t>
                </w:r>
                <w:r>
                  <w:rPr>
                    <w:rFonts w:ascii="Arial"/>
                    <w:i/>
                    <w:color w:val="231F20"/>
                    <w:w w:val="110"/>
                    <w:sz w:val="18"/>
                  </w:rPr>
                  <w:fldChar w:fldCharType="end"/>
                </w:r>
                <w:r>
                  <w:rPr>
                    <w:rFonts w:ascii="Arial"/>
                    <w:i/>
                    <w:color w:val="231F20"/>
                    <w:spacing w:val="42"/>
                    <w:w w:val="110"/>
                    <w:sz w:val="18"/>
                  </w:rPr>
                  <w:t>  </w:t>
                </w:r>
                <w:r>
                  <w:rPr>
                    <w:rFonts w:ascii="Arial"/>
                    <w:color w:val="231F20"/>
                    <w:spacing w:val="15"/>
                    <w:w w:val="110"/>
                    <w:sz w:val="16"/>
                  </w:rPr>
                  <w:t>THE</w:t>
                </w:r>
                <w:r>
                  <w:rPr>
                    <w:rFonts w:ascii="Arial"/>
                    <w:color w:val="231F20"/>
                    <w:spacing w:val="50"/>
                    <w:w w:val="110"/>
                    <w:sz w:val="16"/>
                  </w:rPr>
                  <w:t> </w:t>
                </w:r>
                <w:r>
                  <w:rPr>
                    <w:rFonts w:ascii="Arial"/>
                    <w:color w:val="231F20"/>
                    <w:spacing w:val="23"/>
                    <w:w w:val="110"/>
                    <w:sz w:val="16"/>
                  </w:rPr>
                  <w:t>TEN-</w:t>
                </w:r>
                <w:r>
                  <w:rPr>
                    <w:rFonts w:ascii="Arial"/>
                    <w:color w:val="231F20"/>
                    <w:w w:val="110"/>
                    <w:sz w:val="16"/>
                  </w:rPr>
                  <w:t>DAY</w:t>
                </w:r>
                <w:r>
                  <w:rPr>
                    <w:rFonts w:ascii="Arial"/>
                    <w:color w:val="231F20"/>
                    <w:spacing w:val="51"/>
                    <w:w w:val="110"/>
                    <w:sz w:val="16"/>
                  </w:rPr>
                  <w:t> </w:t>
                </w:r>
                <w:r>
                  <w:rPr>
                    <w:rFonts w:ascii="Arial"/>
                    <w:color w:val="231F20"/>
                    <w:spacing w:val="10"/>
                    <w:w w:val="110"/>
                    <w:sz w:val="16"/>
                  </w:rPr>
                  <w:t>MBA </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4.979279pt;margin-top:35.82114pt;width:130.2pt;height:11.9pt;mso-position-horizontal-relative:page;mso-position-vertical-relative:page;z-index:-25213952" type="#_x0000_t202" id="docshape542" filled="false" stroked="false">
          <v:textbox inset="0,0,0,0">
            <w:txbxContent>
              <w:p>
                <w:pPr>
                  <w:tabs>
                    <w:tab w:pos="2170" w:val="left" w:leader="none"/>
                  </w:tabs>
                  <w:spacing w:before="13"/>
                  <w:ind w:left="20" w:right="0" w:firstLine="0"/>
                  <w:jc w:val="left"/>
                  <w:rPr>
                    <w:rFonts w:ascii="Arial"/>
                    <w:i/>
                    <w:sz w:val="18"/>
                  </w:rPr>
                </w:pPr>
                <w:r>
                  <w:rPr>
                    <w:rFonts w:ascii="Arial"/>
                    <w:color w:val="231F20"/>
                    <w:spacing w:val="15"/>
                    <w:w w:val="105"/>
                    <w:sz w:val="16"/>
                  </w:rPr>
                  <w:t>MBA</w:t>
                </w:r>
                <w:r>
                  <w:rPr>
                    <w:rFonts w:ascii="Arial"/>
                    <w:color w:val="231F20"/>
                    <w:spacing w:val="67"/>
                    <w:w w:val="105"/>
                    <w:sz w:val="16"/>
                  </w:rPr>
                  <w:t> </w:t>
                </w:r>
                <w:r>
                  <w:rPr>
                    <w:rFonts w:ascii="Arial"/>
                    <w:color w:val="231F20"/>
                    <w:spacing w:val="18"/>
                    <w:w w:val="105"/>
                    <w:sz w:val="16"/>
                  </w:rPr>
                  <w:t>MINICOURSES</w:t>
                </w:r>
                <w:r>
                  <w:rPr>
                    <w:rFonts w:ascii="Arial"/>
                    <w:color w:val="231F20"/>
                    <w:sz w:val="16"/>
                  </w:rPr>
                  <w:tab/>
                </w:r>
                <w:r>
                  <w:rPr>
                    <w:rFonts w:ascii="Arial"/>
                    <w:i/>
                    <w:color w:val="231F20"/>
                    <w:spacing w:val="-5"/>
                    <w:w w:val="105"/>
                    <w:sz w:val="18"/>
                  </w:rPr>
                  <w:fldChar w:fldCharType="begin"/>
                </w:r>
                <w:r>
                  <w:rPr>
                    <w:rFonts w:ascii="Arial"/>
                    <w:i/>
                    <w:color w:val="231F20"/>
                    <w:spacing w:val="-5"/>
                    <w:w w:val="105"/>
                    <w:sz w:val="18"/>
                  </w:rPr>
                  <w:instrText> PAGE </w:instrText>
                </w:r>
                <w:r>
                  <w:rPr>
                    <w:rFonts w:ascii="Arial"/>
                    <w:i/>
                    <w:color w:val="231F20"/>
                    <w:spacing w:val="-5"/>
                    <w:w w:val="105"/>
                    <w:sz w:val="18"/>
                  </w:rPr>
                  <w:fldChar w:fldCharType="separate"/>
                </w:r>
                <w:r>
                  <w:rPr>
                    <w:rFonts w:ascii="Arial"/>
                    <w:i/>
                    <w:color w:val="231F20"/>
                    <w:spacing w:val="-5"/>
                    <w:w w:val="105"/>
                    <w:sz w:val="18"/>
                  </w:rPr>
                  <w:t>369</w:t>
                </w:r>
                <w:r>
                  <w:rPr>
                    <w:rFonts w:ascii="Arial"/>
                    <w:i/>
                    <w:color w:val="231F20"/>
                    <w:spacing w:val="-5"/>
                    <w:w w:val="105"/>
                    <w:sz w:val="18"/>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9.44809pt;margin-top:35.715729pt;width:127.55pt;height:11.9pt;mso-position-horizontal-relative:page;mso-position-vertical-relative:page;z-index:-25213440" type="#_x0000_t202" id="docshape543" filled="false" stroked="false">
          <v:textbox inset="0,0,0,0">
            <w:txbxContent>
              <w:p>
                <w:pPr>
                  <w:spacing w:before="13"/>
                  <w:ind w:left="60" w:right="0" w:firstLine="0"/>
                  <w:jc w:val="left"/>
                  <w:rPr>
                    <w:rFonts w:ascii="Arial"/>
                    <w:sz w:val="16"/>
                  </w:rPr>
                </w:pPr>
                <w:r>
                  <w:rPr>
                    <w:rFonts w:ascii="Arial"/>
                    <w:i/>
                    <w:color w:val="231F20"/>
                    <w:w w:val="110"/>
                    <w:sz w:val="18"/>
                  </w:rPr>
                  <w:fldChar w:fldCharType="begin"/>
                </w:r>
                <w:r>
                  <w:rPr>
                    <w:rFonts w:ascii="Arial"/>
                    <w:i/>
                    <w:color w:val="231F20"/>
                    <w:w w:val="110"/>
                    <w:sz w:val="18"/>
                  </w:rPr>
                  <w:instrText> PAGE </w:instrText>
                </w:r>
                <w:r>
                  <w:rPr>
                    <w:rFonts w:ascii="Arial"/>
                    <w:i/>
                    <w:color w:val="231F20"/>
                    <w:w w:val="110"/>
                    <w:sz w:val="18"/>
                  </w:rPr>
                  <w:fldChar w:fldCharType="separate"/>
                </w:r>
                <w:r>
                  <w:rPr>
                    <w:rFonts w:ascii="Arial"/>
                    <w:i/>
                    <w:color w:val="231F20"/>
                    <w:w w:val="110"/>
                    <w:sz w:val="18"/>
                  </w:rPr>
                  <w:t>370</w:t>
                </w:r>
                <w:r>
                  <w:rPr>
                    <w:rFonts w:ascii="Arial"/>
                    <w:i/>
                    <w:color w:val="231F20"/>
                    <w:w w:val="110"/>
                    <w:sz w:val="18"/>
                  </w:rPr>
                  <w:fldChar w:fldCharType="end"/>
                </w:r>
                <w:r>
                  <w:rPr>
                    <w:rFonts w:ascii="Arial"/>
                    <w:i/>
                    <w:color w:val="231F20"/>
                    <w:spacing w:val="44"/>
                    <w:w w:val="110"/>
                    <w:sz w:val="18"/>
                  </w:rPr>
                  <w:t>  </w:t>
                </w:r>
                <w:r>
                  <w:rPr>
                    <w:rFonts w:ascii="Arial"/>
                    <w:color w:val="231F20"/>
                    <w:spacing w:val="15"/>
                    <w:w w:val="110"/>
                    <w:sz w:val="16"/>
                  </w:rPr>
                  <w:t>THE</w:t>
                </w:r>
                <w:r>
                  <w:rPr>
                    <w:rFonts w:ascii="Arial"/>
                    <w:color w:val="231F20"/>
                    <w:spacing w:val="50"/>
                    <w:w w:val="110"/>
                    <w:sz w:val="16"/>
                  </w:rPr>
                  <w:t> </w:t>
                </w:r>
                <w:r>
                  <w:rPr>
                    <w:rFonts w:ascii="Arial"/>
                    <w:color w:val="231F20"/>
                    <w:spacing w:val="23"/>
                    <w:w w:val="110"/>
                    <w:sz w:val="16"/>
                  </w:rPr>
                  <w:t>TEN-</w:t>
                </w:r>
                <w:r>
                  <w:rPr>
                    <w:rFonts w:ascii="Arial"/>
                    <w:color w:val="231F20"/>
                    <w:w w:val="110"/>
                    <w:sz w:val="16"/>
                  </w:rPr>
                  <w:t>DAY</w:t>
                </w:r>
                <w:r>
                  <w:rPr>
                    <w:rFonts w:ascii="Arial"/>
                    <w:color w:val="231F20"/>
                    <w:spacing w:val="51"/>
                    <w:w w:val="110"/>
                    <w:sz w:val="16"/>
                  </w:rPr>
                  <w:t> </w:t>
                </w:r>
                <w:r>
                  <w:rPr>
                    <w:rFonts w:ascii="Arial"/>
                    <w:color w:val="231F20"/>
                    <w:spacing w:val="10"/>
                    <w:w w:val="110"/>
                    <w:sz w:val="16"/>
                  </w:rPr>
                  <w:t>MBA </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1.089142pt;margin-top:35.82114pt;width:23.55pt;height:11.9pt;mso-position-horizontal-relative:page;mso-position-vertical-relative:page;z-index:-25212928" type="#_x0000_t202" id="docshape544" filled="false" stroked="false">
          <v:textbox inset="0,0,0,0">
            <w:txbxContent>
              <w:p>
                <w:pPr>
                  <w:spacing w:before="13"/>
                  <w:ind w:left="60" w:right="0" w:firstLine="0"/>
                  <w:jc w:val="left"/>
                  <w:rPr>
                    <w:rFonts w:ascii="Arial"/>
                    <w:i/>
                    <w:sz w:val="18"/>
                  </w:rPr>
                </w:pPr>
                <w:r>
                  <w:rPr>
                    <w:rFonts w:ascii="Arial"/>
                    <w:i/>
                    <w:color w:val="231F20"/>
                    <w:spacing w:val="-5"/>
                    <w:w w:val="105"/>
                    <w:sz w:val="18"/>
                  </w:rPr>
                  <w:fldChar w:fldCharType="begin"/>
                </w:r>
                <w:r>
                  <w:rPr>
                    <w:rFonts w:ascii="Arial"/>
                    <w:i/>
                    <w:color w:val="231F20"/>
                    <w:spacing w:val="-5"/>
                    <w:w w:val="105"/>
                    <w:sz w:val="18"/>
                  </w:rPr>
                  <w:instrText> PAGE </w:instrText>
                </w:r>
                <w:r>
                  <w:rPr>
                    <w:rFonts w:ascii="Arial"/>
                    <w:i/>
                    <w:color w:val="231F20"/>
                    <w:spacing w:val="-5"/>
                    <w:w w:val="105"/>
                    <w:sz w:val="18"/>
                  </w:rPr>
                  <w:fldChar w:fldCharType="separate"/>
                </w:r>
                <w:r>
                  <w:rPr>
                    <w:rFonts w:ascii="Arial"/>
                    <w:i/>
                    <w:color w:val="231F20"/>
                    <w:spacing w:val="-5"/>
                    <w:w w:val="105"/>
                    <w:sz w:val="18"/>
                  </w:rPr>
                  <w:t>377</w:t>
                </w:r>
                <w:r>
                  <w:rPr>
                    <w:rFonts w:ascii="Arial"/>
                    <w:i/>
                    <w:color w:val="231F20"/>
                    <w:spacing w:val="-5"/>
                    <w:w w:val="105"/>
                    <w:sz w:val="18"/>
                  </w:rPr>
                  <w:fldChar w:fldCharType="end"/>
                </w:r>
              </w:p>
            </w:txbxContent>
          </v:textbox>
          <w10:wrap type="none"/>
        </v:shape>
      </w:pict>
    </w:r>
    <w:r>
      <w:rPr/>
      <w:pict>
        <v:shape style="position:absolute;margin-left:155.9198pt;margin-top:36.527142pt;width:58.75pt;height:10.7pt;mso-position-horizontal-relative:page;mso-position-vertical-relative:page;z-index:-25212416" type="#_x0000_t202" id="docshape545" filled="false" stroked="false">
          <v:textbox inset="0,0,0,0">
            <w:txbxContent>
              <w:p>
                <w:pPr>
                  <w:spacing w:before="17"/>
                  <w:ind w:left="20" w:right="0" w:firstLine="0"/>
                  <w:jc w:val="left"/>
                  <w:rPr>
                    <w:rFonts w:ascii="Arial"/>
                    <w:sz w:val="16"/>
                  </w:rPr>
                </w:pPr>
                <w:r>
                  <w:rPr>
                    <w:rFonts w:ascii="Arial"/>
                    <w:color w:val="231F20"/>
                    <w:spacing w:val="15"/>
                    <w:w w:val="110"/>
                    <w:sz w:val="16"/>
                  </w:rPr>
                  <w:t>MBA</w:t>
                </w:r>
                <w:r>
                  <w:rPr>
                    <w:rFonts w:ascii="Arial"/>
                    <w:color w:val="231F20"/>
                    <w:spacing w:val="48"/>
                    <w:w w:val="110"/>
                    <w:sz w:val="16"/>
                  </w:rPr>
                  <w:t> </w:t>
                </w:r>
                <w:r>
                  <w:rPr>
                    <w:rFonts w:ascii="Arial"/>
                    <w:color w:val="231F20"/>
                    <w:spacing w:val="14"/>
                    <w:w w:val="110"/>
                    <w:sz w:val="16"/>
                  </w:rPr>
                  <w:t>MINIC </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9.754135pt;margin-top:35.715729pt;width:127.25pt;height:11.9pt;mso-position-horizontal-relative:page;mso-position-vertical-relative:page;z-index:-25211904" type="#_x0000_t202" id="docshape546" filled="false" stroked="false">
          <v:textbox inset="0,0,0,0">
            <w:txbxContent>
              <w:p>
                <w:pPr>
                  <w:tabs>
                    <w:tab w:pos="602" w:val="left" w:leader="none"/>
                  </w:tabs>
                  <w:spacing w:before="13"/>
                  <w:ind w:left="60" w:right="0" w:firstLine="0"/>
                  <w:jc w:val="left"/>
                  <w:rPr>
                    <w:rFonts w:ascii="Arial"/>
                    <w:sz w:val="16"/>
                  </w:rPr>
                </w:pPr>
                <w:r>
                  <w:rPr>
                    <w:rFonts w:ascii="Arial"/>
                    <w:i/>
                    <w:color w:val="231F20"/>
                    <w:spacing w:val="-5"/>
                    <w:w w:val="110"/>
                    <w:sz w:val="18"/>
                  </w:rPr>
                  <w:fldChar w:fldCharType="begin"/>
                </w:r>
                <w:r>
                  <w:rPr>
                    <w:rFonts w:ascii="Arial"/>
                    <w:i/>
                    <w:color w:val="231F20"/>
                    <w:spacing w:val="-5"/>
                    <w:w w:val="110"/>
                    <w:sz w:val="18"/>
                  </w:rPr>
                  <w:instrText> PAGE </w:instrText>
                </w:r>
                <w:r>
                  <w:rPr>
                    <w:rFonts w:ascii="Arial"/>
                    <w:i/>
                    <w:color w:val="231F20"/>
                    <w:spacing w:val="-5"/>
                    <w:w w:val="110"/>
                    <w:sz w:val="18"/>
                  </w:rPr>
                  <w:fldChar w:fldCharType="separate"/>
                </w:r>
                <w:r>
                  <w:rPr>
                    <w:rFonts w:ascii="Arial"/>
                    <w:i/>
                    <w:color w:val="231F20"/>
                    <w:spacing w:val="-5"/>
                    <w:w w:val="110"/>
                    <w:sz w:val="18"/>
                  </w:rPr>
                  <w:t>378</w:t>
                </w:r>
                <w:r>
                  <w:rPr>
                    <w:rFonts w:ascii="Arial"/>
                    <w:i/>
                    <w:color w:val="231F20"/>
                    <w:spacing w:val="-5"/>
                    <w:w w:val="110"/>
                    <w:sz w:val="18"/>
                  </w:rPr>
                  <w:fldChar w:fldCharType="end"/>
                </w:r>
                <w:r>
                  <w:rPr>
                    <w:rFonts w:ascii="Arial"/>
                    <w:i/>
                    <w:color w:val="231F20"/>
                    <w:sz w:val="18"/>
                  </w:rPr>
                  <w:tab/>
                </w:r>
                <w:r>
                  <w:rPr>
                    <w:rFonts w:ascii="Arial"/>
                    <w:color w:val="231F20"/>
                    <w:spacing w:val="15"/>
                    <w:w w:val="110"/>
                    <w:sz w:val="16"/>
                  </w:rPr>
                  <w:t>THE</w:t>
                </w:r>
                <w:r>
                  <w:rPr>
                    <w:rFonts w:ascii="Arial"/>
                    <w:color w:val="231F20"/>
                    <w:spacing w:val="46"/>
                    <w:w w:val="110"/>
                    <w:sz w:val="16"/>
                  </w:rPr>
                  <w:t> </w:t>
                </w:r>
                <w:r>
                  <w:rPr>
                    <w:rFonts w:ascii="Arial"/>
                    <w:color w:val="231F20"/>
                    <w:spacing w:val="23"/>
                    <w:w w:val="110"/>
                    <w:sz w:val="16"/>
                  </w:rPr>
                  <w:t>TEN-</w:t>
                </w:r>
                <w:r>
                  <w:rPr>
                    <w:rFonts w:ascii="Arial"/>
                    <w:color w:val="231F20"/>
                    <w:w w:val="110"/>
                    <w:sz w:val="16"/>
                  </w:rPr>
                  <w:t>DAY</w:t>
                </w:r>
                <w:r>
                  <w:rPr>
                    <w:rFonts w:ascii="Arial"/>
                    <w:color w:val="231F20"/>
                    <w:spacing w:val="46"/>
                    <w:w w:val="110"/>
                    <w:sz w:val="16"/>
                  </w:rPr>
                  <w:t> </w:t>
                </w:r>
                <w:r>
                  <w:rPr>
                    <w:rFonts w:ascii="Arial"/>
                    <w:color w:val="231F20"/>
                    <w:spacing w:val="10"/>
                    <w:w w:val="110"/>
                    <w:sz w:val="16"/>
                  </w:rPr>
                  <w:t>MBA </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4.695892pt;margin-top:35.82114pt;width:130.2pt;height:11.9pt;mso-position-horizontal-relative:page;mso-position-vertical-relative:page;z-index:-25211392" type="#_x0000_t202" id="docshape547" filled="false" stroked="false">
          <v:textbox inset="0,0,0,0">
            <w:txbxContent>
              <w:p>
                <w:pPr>
                  <w:tabs>
                    <w:tab w:pos="2182" w:val="left" w:leader="none"/>
                  </w:tabs>
                  <w:spacing w:before="13"/>
                  <w:ind w:left="20" w:right="0" w:firstLine="0"/>
                  <w:jc w:val="left"/>
                  <w:rPr>
                    <w:rFonts w:ascii="Arial"/>
                    <w:i/>
                    <w:sz w:val="18"/>
                  </w:rPr>
                </w:pPr>
                <w:r>
                  <w:rPr>
                    <w:rFonts w:ascii="Arial"/>
                    <w:color w:val="231F20"/>
                    <w:spacing w:val="15"/>
                    <w:w w:val="105"/>
                    <w:sz w:val="16"/>
                  </w:rPr>
                  <w:t>MBA</w:t>
                </w:r>
                <w:r>
                  <w:rPr>
                    <w:rFonts w:ascii="Arial"/>
                    <w:color w:val="231F20"/>
                    <w:spacing w:val="67"/>
                    <w:w w:val="105"/>
                    <w:sz w:val="16"/>
                  </w:rPr>
                  <w:t> </w:t>
                </w:r>
                <w:r>
                  <w:rPr>
                    <w:rFonts w:ascii="Arial"/>
                    <w:color w:val="231F20"/>
                    <w:spacing w:val="18"/>
                    <w:w w:val="105"/>
                    <w:sz w:val="16"/>
                  </w:rPr>
                  <w:t>MINICOURSES</w:t>
                </w:r>
                <w:r>
                  <w:rPr>
                    <w:rFonts w:ascii="Arial"/>
                    <w:color w:val="231F20"/>
                    <w:sz w:val="16"/>
                  </w:rPr>
                  <w:tab/>
                </w:r>
                <w:r>
                  <w:rPr>
                    <w:rFonts w:ascii="Arial"/>
                    <w:i/>
                    <w:color w:val="231F20"/>
                    <w:spacing w:val="-5"/>
                    <w:w w:val="105"/>
                    <w:sz w:val="18"/>
                  </w:rPr>
                  <w:fldChar w:fldCharType="begin"/>
                </w:r>
                <w:r>
                  <w:rPr>
                    <w:rFonts w:ascii="Arial"/>
                    <w:i/>
                    <w:color w:val="231F20"/>
                    <w:spacing w:val="-5"/>
                    <w:w w:val="105"/>
                    <w:sz w:val="18"/>
                  </w:rPr>
                  <w:instrText> PAGE </w:instrText>
                </w:r>
                <w:r>
                  <w:rPr>
                    <w:rFonts w:ascii="Arial"/>
                    <w:i/>
                    <w:color w:val="231F20"/>
                    <w:spacing w:val="-5"/>
                    <w:w w:val="105"/>
                    <w:sz w:val="18"/>
                  </w:rPr>
                  <w:fldChar w:fldCharType="separate"/>
                </w:r>
                <w:r>
                  <w:rPr>
                    <w:rFonts w:ascii="Arial"/>
                    <w:i/>
                    <w:color w:val="231F20"/>
                    <w:spacing w:val="-5"/>
                    <w:w w:val="105"/>
                    <w:sz w:val="18"/>
                  </w:rPr>
                  <w:t>379</w:t>
                </w:r>
                <w:r>
                  <w:rPr>
                    <w:rFonts w:ascii="Arial"/>
                    <w:i/>
                    <w:color w:val="231F20"/>
                    <w:spacing w:val="-5"/>
                    <w:w w:val="105"/>
                    <w:sz w:val="18"/>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9.164642pt;margin-top:35.715729pt;width:128.1pt;height:11.9pt;mso-position-horizontal-relative:page;mso-position-vertical-relative:page;z-index:-25210880" type="#_x0000_t202" id="docshape548" filled="false" stroked="false">
          <v:textbox inset="0,0,0,0">
            <w:txbxContent>
              <w:p>
                <w:pPr>
                  <w:spacing w:before="13"/>
                  <w:ind w:left="60" w:right="0" w:firstLine="0"/>
                  <w:jc w:val="left"/>
                  <w:rPr>
                    <w:rFonts w:ascii="Arial"/>
                    <w:sz w:val="16"/>
                  </w:rPr>
                </w:pPr>
                <w:r>
                  <w:rPr>
                    <w:rFonts w:ascii="Arial"/>
                    <w:i/>
                    <w:color w:val="231F20"/>
                    <w:w w:val="110"/>
                    <w:sz w:val="18"/>
                  </w:rPr>
                  <w:fldChar w:fldCharType="begin"/>
                </w:r>
                <w:r>
                  <w:rPr>
                    <w:rFonts w:ascii="Arial"/>
                    <w:i/>
                    <w:color w:val="231F20"/>
                    <w:w w:val="110"/>
                    <w:sz w:val="18"/>
                  </w:rPr>
                  <w:instrText> PAGE </w:instrText>
                </w:r>
                <w:r>
                  <w:rPr>
                    <w:rFonts w:ascii="Arial"/>
                    <w:i/>
                    <w:color w:val="231F20"/>
                    <w:w w:val="110"/>
                    <w:sz w:val="18"/>
                  </w:rPr>
                  <w:fldChar w:fldCharType="separate"/>
                </w:r>
                <w:r>
                  <w:rPr>
                    <w:rFonts w:ascii="Arial"/>
                    <w:i/>
                    <w:color w:val="231F20"/>
                    <w:w w:val="110"/>
                    <w:sz w:val="18"/>
                  </w:rPr>
                  <w:t>380</w:t>
                </w:r>
                <w:r>
                  <w:rPr>
                    <w:rFonts w:ascii="Arial"/>
                    <w:i/>
                    <w:color w:val="231F20"/>
                    <w:w w:val="110"/>
                    <w:sz w:val="18"/>
                  </w:rPr>
                  <w:fldChar w:fldCharType="end"/>
                </w:r>
                <w:r>
                  <w:rPr>
                    <w:rFonts w:ascii="Arial"/>
                    <w:i/>
                    <w:color w:val="231F20"/>
                    <w:spacing w:val="47"/>
                    <w:w w:val="110"/>
                    <w:sz w:val="18"/>
                  </w:rPr>
                  <w:t>  </w:t>
                </w:r>
                <w:r>
                  <w:rPr>
                    <w:rFonts w:ascii="Arial"/>
                    <w:color w:val="231F20"/>
                    <w:spacing w:val="15"/>
                    <w:w w:val="110"/>
                    <w:sz w:val="16"/>
                  </w:rPr>
                  <w:t>THE</w:t>
                </w:r>
                <w:r>
                  <w:rPr>
                    <w:rFonts w:ascii="Arial"/>
                    <w:color w:val="231F20"/>
                    <w:spacing w:val="53"/>
                    <w:w w:val="110"/>
                    <w:sz w:val="16"/>
                  </w:rPr>
                  <w:t> </w:t>
                </w:r>
                <w:r>
                  <w:rPr>
                    <w:rFonts w:ascii="Arial"/>
                    <w:color w:val="231F20"/>
                    <w:spacing w:val="23"/>
                    <w:w w:val="110"/>
                    <w:sz w:val="16"/>
                  </w:rPr>
                  <w:t>TEN-</w:t>
                </w:r>
                <w:r>
                  <w:rPr>
                    <w:rFonts w:ascii="Arial"/>
                    <w:color w:val="231F20"/>
                    <w:w w:val="110"/>
                    <w:sz w:val="16"/>
                  </w:rPr>
                  <w:t>DAY</w:t>
                </w:r>
                <w:r>
                  <w:rPr>
                    <w:rFonts w:ascii="Arial"/>
                    <w:color w:val="231F20"/>
                    <w:spacing w:val="54"/>
                    <w:w w:val="110"/>
                    <w:sz w:val="16"/>
                  </w:rPr>
                  <w:t> </w:t>
                </w:r>
                <w:r>
                  <w:rPr>
                    <w:rFonts w:ascii="Arial"/>
                    <w:color w:val="231F20"/>
                    <w:spacing w:val="10"/>
                    <w:w w:val="110"/>
                    <w:sz w:val="16"/>
                  </w:rPr>
                  <w:t>MBA </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0.805634pt;margin-top:35.82114pt;width:24.1pt;height:11.9pt;mso-position-horizontal-relative:page;mso-position-vertical-relative:page;z-index:-25210368" type="#_x0000_t202" id="docshape557" filled="false" stroked="false">
          <v:textbox inset="0,0,0,0">
            <w:txbxContent>
              <w:p>
                <w:pPr>
                  <w:spacing w:before="13"/>
                  <w:ind w:left="60" w:right="0" w:firstLine="0"/>
                  <w:jc w:val="left"/>
                  <w:rPr>
                    <w:rFonts w:ascii="Arial"/>
                    <w:i/>
                    <w:sz w:val="18"/>
                  </w:rPr>
                </w:pPr>
                <w:r>
                  <w:rPr>
                    <w:rFonts w:ascii="Arial"/>
                    <w:i/>
                    <w:color w:val="231F20"/>
                    <w:spacing w:val="-5"/>
                    <w:w w:val="110"/>
                    <w:sz w:val="18"/>
                  </w:rPr>
                  <w:fldChar w:fldCharType="begin"/>
                </w:r>
                <w:r>
                  <w:rPr>
                    <w:rFonts w:ascii="Arial"/>
                    <w:i/>
                    <w:color w:val="231F20"/>
                    <w:spacing w:val="-5"/>
                    <w:w w:val="110"/>
                    <w:sz w:val="18"/>
                  </w:rPr>
                  <w:instrText> PAGE </w:instrText>
                </w:r>
                <w:r>
                  <w:rPr>
                    <w:rFonts w:ascii="Arial"/>
                    <w:i/>
                    <w:color w:val="231F20"/>
                    <w:spacing w:val="-5"/>
                    <w:w w:val="110"/>
                    <w:sz w:val="18"/>
                  </w:rPr>
                  <w:fldChar w:fldCharType="separate"/>
                </w:r>
                <w:r>
                  <w:rPr>
                    <w:rFonts w:ascii="Arial"/>
                    <w:i/>
                    <w:color w:val="231F20"/>
                    <w:spacing w:val="-5"/>
                    <w:w w:val="110"/>
                    <w:sz w:val="18"/>
                  </w:rPr>
                  <w:t>387</w:t>
                </w:r>
                <w:r>
                  <w:rPr>
                    <w:rFonts w:ascii="Arial"/>
                    <w:i/>
                    <w:color w:val="231F20"/>
                    <w:spacing w:val="-5"/>
                    <w:w w:val="110"/>
                    <w:sz w:val="18"/>
                  </w:rPr>
                  <w:fldChar w:fldCharType="end"/>
                </w:r>
              </w:p>
            </w:txbxContent>
          </v:textbox>
          <w10:wrap type="none"/>
        </v:shape>
      </w:pict>
    </w:r>
    <w:r>
      <w:rPr/>
      <w:pict>
        <v:shape style="position:absolute;margin-left:155.924179pt;margin-top:36.527142pt;width:58.75pt;height:10.7pt;mso-position-horizontal-relative:page;mso-position-vertical-relative:page;z-index:-25209856" type="#_x0000_t202" id="docshape558" filled="false" stroked="false">
          <v:textbox inset="0,0,0,0">
            <w:txbxContent>
              <w:p>
                <w:pPr>
                  <w:spacing w:before="17"/>
                  <w:ind w:left="20" w:right="0" w:firstLine="0"/>
                  <w:jc w:val="left"/>
                  <w:rPr>
                    <w:rFonts w:ascii="Arial"/>
                    <w:sz w:val="16"/>
                  </w:rPr>
                </w:pPr>
                <w:r>
                  <w:rPr>
                    <w:rFonts w:ascii="Arial"/>
                    <w:color w:val="231F20"/>
                    <w:spacing w:val="15"/>
                    <w:w w:val="110"/>
                    <w:sz w:val="16"/>
                  </w:rPr>
                  <w:t>MBA</w:t>
                </w:r>
                <w:r>
                  <w:rPr>
                    <w:rFonts w:ascii="Arial"/>
                    <w:color w:val="231F20"/>
                    <w:spacing w:val="48"/>
                    <w:w w:val="110"/>
                    <w:sz w:val="16"/>
                  </w:rPr>
                  <w:t> </w:t>
                </w:r>
                <w:r>
                  <w:rPr>
                    <w:rFonts w:ascii="Arial"/>
                    <w:color w:val="231F20"/>
                    <w:spacing w:val="14"/>
                    <w:w w:val="110"/>
                    <w:sz w:val="16"/>
                  </w:rPr>
                  <w:t>MINIC </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9.470612pt;margin-top:35.715729pt;width:127.55pt;height:11.9pt;mso-position-horizontal-relative:page;mso-position-vertical-relative:page;z-index:-25209344" type="#_x0000_t202" id="docshape559" filled="false" stroked="false">
          <v:textbox inset="0,0,0,0">
            <w:txbxContent>
              <w:p>
                <w:pPr>
                  <w:spacing w:before="13"/>
                  <w:ind w:left="60" w:right="0" w:firstLine="0"/>
                  <w:jc w:val="left"/>
                  <w:rPr>
                    <w:rFonts w:ascii="Arial"/>
                    <w:sz w:val="16"/>
                  </w:rPr>
                </w:pPr>
                <w:r>
                  <w:rPr>
                    <w:rFonts w:ascii="Arial"/>
                    <w:i/>
                    <w:color w:val="231F20"/>
                    <w:w w:val="110"/>
                    <w:sz w:val="18"/>
                  </w:rPr>
                  <w:fldChar w:fldCharType="begin"/>
                </w:r>
                <w:r>
                  <w:rPr>
                    <w:rFonts w:ascii="Arial"/>
                    <w:i/>
                    <w:color w:val="231F20"/>
                    <w:w w:val="110"/>
                    <w:sz w:val="18"/>
                  </w:rPr>
                  <w:instrText> PAGE </w:instrText>
                </w:r>
                <w:r>
                  <w:rPr>
                    <w:rFonts w:ascii="Arial"/>
                    <w:i/>
                    <w:color w:val="231F20"/>
                    <w:w w:val="110"/>
                    <w:sz w:val="18"/>
                  </w:rPr>
                  <w:fldChar w:fldCharType="separate"/>
                </w:r>
                <w:r>
                  <w:rPr>
                    <w:rFonts w:ascii="Arial"/>
                    <w:i/>
                    <w:color w:val="231F20"/>
                    <w:w w:val="110"/>
                    <w:sz w:val="18"/>
                  </w:rPr>
                  <w:t>388</w:t>
                </w:r>
                <w:r>
                  <w:rPr>
                    <w:rFonts w:ascii="Arial"/>
                    <w:i/>
                    <w:color w:val="231F20"/>
                    <w:w w:val="110"/>
                    <w:sz w:val="18"/>
                  </w:rPr>
                  <w:fldChar w:fldCharType="end"/>
                </w:r>
                <w:r>
                  <w:rPr>
                    <w:rFonts w:ascii="Arial"/>
                    <w:i/>
                    <w:color w:val="231F20"/>
                    <w:spacing w:val="44"/>
                    <w:w w:val="110"/>
                    <w:sz w:val="18"/>
                  </w:rPr>
                  <w:t>  </w:t>
                </w:r>
                <w:r>
                  <w:rPr>
                    <w:rFonts w:ascii="Arial"/>
                    <w:color w:val="231F20"/>
                    <w:spacing w:val="15"/>
                    <w:w w:val="110"/>
                    <w:sz w:val="16"/>
                  </w:rPr>
                  <w:t>THE</w:t>
                </w:r>
                <w:r>
                  <w:rPr>
                    <w:rFonts w:ascii="Arial"/>
                    <w:color w:val="231F20"/>
                    <w:spacing w:val="51"/>
                    <w:w w:val="110"/>
                    <w:sz w:val="16"/>
                  </w:rPr>
                  <w:t> </w:t>
                </w:r>
                <w:r>
                  <w:rPr>
                    <w:rFonts w:ascii="Arial"/>
                    <w:color w:val="231F20"/>
                    <w:spacing w:val="23"/>
                    <w:w w:val="110"/>
                    <w:sz w:val="16"/>
                  </w:rPr>
                  <w:t>TEN-</w:t>
                </w:r>
                <w:r>
                  <w:rPr>
                    <w:rFonts w:ascii="Arial"/>
                    <w:color w:val="231F20"/>
                    <w:w w:val="110"/>
                    <w:sz w:val="16"/>
                  </w:rPr>
                  <w:t>DAY</w:t>
                </w:r>
                <w:r>
                  <w:rPr>
                    <w:rFonts w:ascii="Arial"/>
                    <w:color w:val="231F20"/>
                    <w:spacing w:val="51"/>
                    <w:w w:val="110"/>
                    <w:sz w:val="16"/>
                  </w:rPr>
                  <w:t> </w:t>
                </w:r>
                <w:r>
                  <w:rPr>
                    <w:rFonts w:ascii="Arial"/>
                    <w:color w:val="231F20"/>
                    <w:spacing w:val="10"/>
                    <w:w w:val="110"/>
                    <w:sz w:val="16"/>
                  </w:rPr>
                  <w:t>MBA </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4.700302pt;margin-top:35.82114pt;width:130.5pt;height:11.9pt;mso-position-horizontal-relative:page;mso-position-vertical-relative:page;z-index:-25208832" type="#_x0000_t202" id="docshape560" filled="false" stroked="false">
          <v:textbox inset="0,0,0,0">
            <w:txbxContent>
              <w:p>
                <w:pPr>
                  <w:tabs>
                    <w:tab w:pos="2176" w:val="left" w:leader="none"/>
                  </w:tabs>
                  <w:spacing w:before="13"/>
                  <w:ind w:left="20" w:right="0" w:firstLine="0"/>
                  <w:jc w:val="left"/>
                  <w:rPr>
                    <w:rFonts w:ascii="Arial"/>
                    <w:i/>
                    <w:sz w:val="18"/>
                  </w:rPr>
                </w:pPr>
                <w:r>
                  <w:rPr>
                    <w:rFonts w:ascii="Arial"/>
                    <w:color w:val="231F20"/>
                    <w:spacing w:val="15"/>
                    <w:w w:val="105"/>
                    <w:sz w:val="16"/>
                  </w:rPr>
                  <w:t>MBA</w:t>
                </w:r>
                <w:r>
                  <w:rPr>
                    <w:rFonts w:ascii="Arial"/>
                    <w:color w:val="231F20"/>
                    <w:spacing w:val="67"/>
                    <w:w w:val="105"/>
                    <w:sz w:val="16"/>
                  </w:rPr>
                  <w:t> </w:t>
                </w:r>
                <w:r>
                  <w:rPr>
                    <w:rFonts w:ascii="Arial"/>
                    <w:color w:val="231F20"/>
                    <w:spacing w:val="18"/>
                    <w:w w:val="105"/>
                    <w:sz w:val="16"/>
                  </w:rPr>
                  <w:t>MINICOURSES</w:t>
                </w:r>
                <w:r>
                  <w:rPr>
                    <w:rFonts w:ascii="Arial"/>
                    <w:color w:val="231F20"/>
                    <w:sz w:val="16"/>
                  </w:rPr>
                  <w:tab/>
                </w:r>
                <w:r>
                  <w:rPr>
                    <w:rFonts w:ascii="Arial"/>
                    <w:i/>
                    <w:color w:val="231F20"/>
                    <w:spacing w:val="-5"/>
                    <w:w w:val="105"/>
                    <w:sz w:val="18"/>
                  </w:rPr>
                  <w:fldChar w:fldCharType="begin"/>
                </w:r>
                <w:r>
                  <w:rPr>
                    <w:rFonts w:ascii="Arial"/>
                    <w:i/>
                    <w:color w:val="231F20"/>
                    <w:spacing w:val="-5"/>
                    <w:w w:val="105"/>
                    <w:sz w:val="18"/>
                  </w:rPr>
                  <w:instrText> PAGE </w:instrText>
                </w:r>
                <w:r>
                  <w:rPr>
                    <w:rFonts w:ascii="Arial"/>
                    <w:i/>
                    <w:color w:val="231F20"/>
                    <w:spacing w:val="-5"/>
                    <w:w w:val="105"/>
                    <w:sz w:val="18"/>
                  </w:rPr>
                  <w:fldChar w:fldCharType="separate"/>
                </w:r>
                <w:r>
                  <w:rPr>
                    <w:rFonts w:ascii="Arial"/>
                    <w:i/>
                    <w:color w:val="231F20"/>
                    <w:spacing w:val="-5"/>
                    <w:w w:val="105"/>
                    <w:sz w:val="18"/>
                  </w:rPr>
                  <w:t>389</w:t>
                </w:r>
                <w:r>
                  <w:rPr>
                    <w:rFonts w:ascii="Arial"/>
                    <w:i/>
                    <w:color w:val="231F20"/>
                    <w:spacing w:val="-5"/>
                    <w:w w:val="105"/>
                    <w:sz w:val="18"/>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9.169113pt;margin-top:35.715729pt;width:128.1pt;height:11.9pt;mso-position-horizontal-relative:page;mso-position-vertical-relative:page;z-index:-25208320" type="#_x0000_t202" id="docshape561" filled="false" stroked="false">
          <v:textbox inset="0,0,0,0">
            <w:txbxContent>
              <w:p>
                <w:pPr>
                  <w:spacing w:before="13"/>
                  <w:ind w:left="60" w:right="0" w:firstLine="0"/>
                  <w:jc w:val="left"/>
                  <w:rPr>
                    <w:rFonts w:ascii="Arial"/>
                    <w:sz w:val="16"/>
                  </w:rPr>
                </w:pPr>
                <w:r>
                  <w:rPr>
                    <w:rFonts w:ascii="Arial"/>
                    <w:i/>
                    <w:color w:val="231F20"/>
                    <w:w w:val="110"/>
                    <w:sz w:val="18"/>
                  </w:rPr>
                  <w:fldChar w:fldCharType="begin"/>
                </w:r>
                <w:r>
                  <w:rPr>
                    <w:rFonts w:ascii="Arial"/>
                    <w:i/>
                    <w:color w:val="231F20"/>
                    <w:w w:val="110"/>
                    <w:sz w:val="18"/>
                  </w:rPr>
                  <w:instrText> PAGE </w:instrText>
                </w:r>
                <w:r>
                  <w:rPr>
                    <w:rFonts w:ascii="Arial"/>
                    <w:i/>
                    <w:color w:val="231F20"/>
                    <w:w w:val="110"/>
                    <w:sz w:val="18"/>
                  </w:rPr>
                  <w:fldChar w:fldCharType="separate"/>
                </w:r>
                <w:r>
                  <w:rPr>
                    <w:rFonts w:ascii="Arial"/>
                    <w:i/>
                    <w:color w:val="231F20"/>
                    <w:w w:val="110"/>
                    <w:sz w:val="18"/>
                  </w:rPr>
                  <w:t>390</w:t>
                </w:r>
                <w:r>
                  <w:rPr>
                    <w:rFonts w:ascii="Arial"/>
                    <w:i/>
                    <w:color w:val="231F20"/>
                    <w:w w:val="110"/>
                    <w:sz w:val="18"/>
                  </w:rPr>
                  <w:fldChar w:fldCharType="end"/>
                </w:r>
                <w:r>
                  <w:rPr>
                    <w:rFonts w:ascii="Arial"/>
                    <w:i/>
                    <w:color w:val="231F20"/>
                    <w:spacing w:val="47"/>
                    <w:w w:val="110"/>
                    <w:sz w:val="18"/>
                  </w:rPr>
                  <w:t>  </w:t>
                </w:r>
                <w:r>
                  <w:rPr>
                    <w:rFonts w:ascii="Arial"/>
                    <w:color w:val="231F20"/>
                    <w:spacing w:val="15"/>
                    <w:w w:val="110"/>
                    <w:sz w:val="16"/>
                  </w:rPr>
                  <w:t>THE</w:t>
                </w:r>
                <w:r>
                  <w:rPr>
                    <w:rFonts w:ascii="Arial"/>
                    <w:color w:val="231F20"/>
                    <w:spacing w:val="53"/>
                    <w:w w:val="110"/>
                    <w:sz w:val="16"/>
                  </w:rPr>
                  <w:t> </w:t>
                </w:r>
                <w:r>
                  <w:rPr>
                    <w:rFonts w:ascii="Arial"/>
                    <w:color w:val="231F20"/>
                    <w:spacing w:val="23"/>
                    <w:w w:val="110"/>
                    <w:sz w:val="16"/>
                  </w:rPr>
                  <w:t>TEN-</w:t>
                </w:r>
                <w:r>
                  <w:rPr>
                    <w:rFonts w:ascii="Arial"/>
                    <w:color w:val="231F20"/>
                    <w:w w:val="110"/>
                    <w:sz w:val="16"/>
                  </w:rPr>
                  <w:t>DAY</w:t>
                </w:r>
                <w:r>
                  <w:rPr>
                    <w:rFonts w:ascii="Arial"/>
                    <w:color w:val="231F20"/>
                    <w:spacing w:val="54"/>
                    <w:w w:val="110"/>
                    <w:sz w:val="16"/>
                  </w:rPr>
                  <w:t> </w:t>
                </w:r>
                <w:r>
                  <w:rPr>
                    <w:rFonts w:ascii="Arial"/>
                    <w:color w:val="231F20"/>
                    <w:spacing w:val="10"/>
                    <w:w w:val="110"/>
                    <w:sz w:val="16"/>
                  </w:rPr>
                  <w:t>MBA </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2.823013pt;margin-top:35.715912pt;width:83.1pt;height:11.9pt;mso-position-horizontal-relative:page;mso-position-vertical-relative:page;z-index:-25207808" type="#_x0000_t202" id="docshape565" filled="false" stroked="false">
          <v:textbox inset="0,0,0,0">
            <w:txbxContent>
              <w:p>
                <w:pPr>
                  <w:tabs>
                    <w:tab w:pos="582" w:val="left" w:leader="none"/>
                  </w:tabs>
                  <w:spacing w:before="13"/>
                  <w:ind w:left="20" w:right="0" w:firstLine="0"/>
                  <w:jc w:val="left"/>
                  <w:rPr>
                    <w:rFonts w:ascii="Arial"/>
                    <w:sz w:val="16"/>
                  </w:rPr>
                </w:pPr>
                <w:r>
                  <w:rPr>
                    <w:rFonts w:ascii="Arial"/>
                    <w:i/>
                    <w:color w:val="231F20"/>
                    <w:spacing w:val="-5"/>
                    <w:w w:val="110"/>
                    <w:sz w:val="18"/>
                  </w:rPr>
                  <w:t>398</w:t>
                </w:r>
                <w:r>
                  <w:rPr>
                    <w:rFonts w:ascii="Arial"/>
                    <w:i/>
                    <w:color w:val="231F20"/>
                    <w:sz w:val="18"/>
                  </w:rPr>
                  <w:tab/>
                </w:r>
                <w:r>
                  <w:rPr>
                    <w:rFonts w:ascii="Arial"/>
                    <w:color w:val="231F20"/>
                    <w:spacing w:val="18"/>
                    <w:w w:val="110"/>
                    <w:sz w:val="16"/>
                  </w:rPr>
                  <w:t>APPENDIX </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8.683105pt;margin-top:35.715729pt;width:26.25pt;height:11.9pt;mso-position-horizontal-relative:page;mso-position-vertical-relative:page;z-index:-25207296" type="#_x0000_t202" id="docshape568" filled="false" stroked="false">
          <v:textbox inset="0,0,0,0">
            <w:txbxContent>
              <w:p>
                <w:pPr>
                  <w:spacing w:before="13"/>
                  <w:ind w:left="60" w:right="0" w:firstLine="0"/>
                  <w:jc w:val="left"/>
                  <w:rPr>
                    <w:rFonts w:ascii="Arial"/>
                    <w:i/>
                    <w:sz w:val="18"/>
                  </w:rPr>
                </w:pPr>
                <w:r>
                  <w:rPr>
                    <w:rFonts w:ascii="Arial"/>
                    <w:i/>
                    <w:color w:val="231F20"/>
                    <w:spacing w:val="-5"/>
                    <w:w w:val="125"/>
                    <w:sz w:val="18"/>
                  </w:rPr>
                  <w:fldChar w:fldCharType="begin"/>
                </w:r>
                <w:r>
                  <w:rPr>
                    <w:rFonts w:ascii="Arial"/>
                    <w:i/>
                    <w:color w:val="231F20"/>
                    <w:spacing w:val="-5"/>
                    <w:w w:val="125"/>
                    <w:sz w:val="18"/>
                  </w:rPr>
                  <w:instrText> PAGE </w:instrText>
                </w:r>
                <w:r>
                  <w:rPr>
                    <w:rFonts w:ascii="Arial"/>
                    <w:i/>
                    <w:color w:val="231F20"/>
                    <w:spacing w:val="-5"/>
                    <w:w w:val="125"/>
                    <w:sz w:val="18"/>
                  </w:rPr>
                  <w:fldChar w:fldCharType="separate"/>
                </w:r>
                <w:r>
                  <w:rPr>
                    <w:rFonts w:ascii="Arial"/>
                    <w:i/>
                    <w:color w:val="231F20"/>
                    <w:spacing w:val="-5"/>
                    <w:w w:val="125"/>
                    <w:sz w:val="18"/>
                  </w:rPr>
                  <w:t>400</w:t>
                </w:r>
                <w:r>
                  <w:rPr>
                    <w:rFonts w:ascii="Arial"/>
                    <w:i/>
                    <w:color w:val="231F20"/>
                    <w:spacing w:val="-5"/>
                    <w:w w:val="125"/>
                    <w:sz w:val="18"/>
                  </w:rPr>
                  <w:fldChar w:fldCharType="end"/>
                </w:r>
              </w:p>
            </w:txbxContent>
          </v:textbox>
          <w10:wrap type="none"/>
        </v:shape>
      </w:pict>
    </w:r>
    <w:r>
      <w:rPr/>
      <w:pict>
        <v:shape style="position:absolute;margin-left:188.53479pt;margin-top:36.421730pt;width:80.3pt;height:10.7pt;mso-position-horizontal-relative:page;mso-position-vertical-relative:page;z-index:-25206784" type="#_x0000_t202" id="docshape569" filled="false" stroked="false">
          <v:textbox inset="0,0,0,0">
            <w:txbxContent>
              <w:p>
                <w:pPr>
                  <w:spacing w:before="17"/>
                  <w:ind w:left="20" w:right="0" w:firstLine="0"/>
                  <w:jc w:val="left"/>
                  <w:rPr>
                    <w:rFonts w:ascii="Arial"/>
                    <w:sz w:val="16"/>
                  </w:rPr>
                </w:pPr>
                <w:r>
                  <w:rPr>
                    <w:rFonts w:ascii="Arial"/>
                    <w:color w:val="231F20"/>
                    <w:spacing w:val="19"/>
                    <w:w w:val="105"/>
                    <w:sz w:val="16"/>
                  </w:rPr>
                  <w:t>BIBLIOGRAPHY </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4.186691pt;margin-top:35.82114pt;width:121.35pt;height:11.9pt;mso-position-horizontal-relative:page;mso-position-vertical-relative:page;z-index:-25206272" type="#_x0000_t202" id="docshape570" filled="false" stroked="false">
          <v:textbox inset="0,0,0,0">
            <w:txbxContent>
              <w:p>
                <w:pPr>
                  <w:tabs>
                    <w:tab w:pos="2346" w:val="right" w:leader="none"/>
                  </w:tabs>
                  <w:spacing w:before="13"/>
                  <w:ind w:left="20" w:right="0" w:firstLine="0"/>
                  <w:jc w:val="left"/>
                  <w:rPr>
                    <w:rFonts w:ascii="Arial"/>
                    <w:i/>
                    <w:sz w:val="18"/>
                  </w:rPr>
                </w:pPr>
                <w:r>
                  <w:rPr>
                    <w:rFonts w:ascii="Arial"/>
                    <w:color w:val="231F20"/>
                    <w:spacing w:val="19"/>
                    <w:w w:val="110"/>
                    <w:sz w:val="16"/>
                  </w:rPr>
                  <w:t>BIBLIOGRAPHY</w:t>
                </w:r>
                <w:r>
                  <w:rPr>
                    <w:rFonts w:ascii="Arial"/>
                    <w:color w:val="231F20"/>
                    <w:sz w:val="16"/>
                  </w:rPr>
                  <w:tab/>
                </w:r>
                <w:r>
                  <w:rPr>
                    <w:rFonts w:ascii="Arial"/>
                    <w:i/>
                    <w:color w:val="231F20"/>
                    <w:spacing w:val="-5"/>
                    <w:w w:val="110"/>
                    <w:sz w:val="18"/>
                  </w:rPr>
                  <w:fldChar w:fldCharType="begin"/>
                </w:r>
                <w:r>
                  <w:rPr>
                    <w:rFonts w:ascii="Arial"/>
                    <w:i/>
                    <w:color w:val="231F20"/>
                    <w:spacing w:val="-5"/>
                    <w:w w:val="110"/>
                    <w:sz w:val="18"/>
                  </w:rPr>
                  <w:instrText> PAGE </w:instrText>
                </w:r>
                <w:r>
                  <w:rPr>
                    <w:rFonts w:ascii="Arial"/>
                    <w:i/>
                    <w:color w:val="231F20"/>
                    <w:spacing w:val="-5"/>
                    <w:w w:val="110"/>
                    <w:sz w:val="18"/>
                  </w:rPr>
                  <w:fldChar w:fldCharType="separate"/>
                </w:r>
                <w:r>
                  <w:rPr>
                    <w:rFonts w:ascii="Arial"/>
                    <w:i/>
                    <w:color w:val="231F20"/>
                    <w:spacing w:val="-5"/>
                    <w:w w:val="110"/>
                    <w:sz w:val="18"/>
                  </w:rPr>
                  <w:t>403</w:t>
                </w:r>
                <w:r>
                  <w:rPr>
                    <w:rFonts w:ascii="Arial"/>
                    <w:i/>
                    <w:color w:val="231F20"/>
                    <w:spacing w:val="-5"/>
                    <w:w w:val="110"/>
                    <w:sz w:val="18"/>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205760" from="180.25pt,159pt" to="256.25pt,159pt" stroked="true" strokeweight="6pt" strokecolor="#d1d3d4">
          <v:stroke dashstyle="solid"/>
          <w10:wrap type="none"/>
        </v:lin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3.103607pt;margin-top:35.715729pt;width:17.9pt;height:11.9pt;mso-position-horizontal-relative:page;mso-position-vertical-relative:page;z-index:-25205248" type="#_x0000_t202" id="docshape571" filled="false" stroked="false">
          <v:textbox inset="0,0,0,0">
            <w:txbxContent>
              <w:p>
                <w:pPr>
                  <w:spacing w:before="13"/>
                  <w:ind w:left="20" w:right="0" w:firstLine="0"/>
                  <w:jc w:val="left"/>
                  <w:rPr>
                    <w:rFonts w:ascii="Arial"/>
                    <w:i/>
                    <w:sz w:val="18"/>
                  </w:rPr>
                </w:pPr>
                <w:r>
                  <w:rPr>
                    <w:rFonts w:ascii="Arial"/>
                    <w:i/>
                    <w:color w:val="231F20"/>
                    <w:spacing w:val="-5"/>
                    <w:sz w:val="18"/>
                  </w:rPr>
                  <w:t>410</w:t>
                </w:r>
              </w:p>
            </w:txbxContent>
          </v:textbox>
          <w10:wrap type="none"/>
        </v:shape>
      </w:pict>
    </w:r>
    <w:r>
      <w:rPr/>
      <w:pict>
        <v:shape style="position:absolute;margin-left:148.993607pt;margin-top:35.715729pt;width:25.65pt;height:11.9pt;mso-position-horizontal-relative:page;mso-position-vertical-relative:page;z-index:-25204736" type="#_x0000_t202" id="docshape572" filled="false" stroked="false">
          <v:textbox inset="0,0,0,0">
            <w:txbxContent>
              <w:p>
                <w:pPr>
                  <w:spacing w:before="13"/>
                  <w:ind w:left="60" w:right="0" w:firstLine="0"/>
                  <w:jc w:val="left"/>
                  <w:rPr>
                    <w:rFonts w:ascii="Arial"/>
                    <w:i/>
                    <w:sz w:val="18"/>
                  </w:rPr>
                </w:pPr>
                <w:r>
                  <w:rPr>
                    <w:rFonts w:ascii="Arial"/>
                    <w:i/>
                    <w:color w:val="231F20"/>
                    <w:spacing w:val="-5"/>
                    <w:w w:val="120"/>
                    <w:sz w:val="18"/>
                  </w:rPr>
                  <w:t>406</w:t>
                </w:r>
              </w:p>
            </w:txbxContent>
          </v:textbox>
          <w10:wrap type="none"/>
        </v:shape>
      </w:pict>
    </w:r>
    <w:r>
      <w:rPr/>
      <w:pict>
        <v:shape style="position:absolute;margin-left:228.180603pt;margin-top:36.421730pt;width:77.45pt;height:10.7pt;mso-position-horizontal-relative:page;mso-position-vertical-relative:page;z-index:-25204224" type="#_x0000_t202" id="docshape573" filled="false" stroked="false">
          <v:textbox inset="0,0,0,0">
            <w:txbxContent>
              <w:p>
                <w:pPr>
                  <w:spacing w:before="17"/>
                  <w:ind w:left="20" w:right="0" w:firstLine="0"/>
                  <w:jc w:val="left"/>
                  <w:rPr>
                    <w:rFonts w:ascii="Arial"/>
                    <w:sz w:val="16"/>
                  </w:rPr>
                </w:pPr>
                <w:r>
                  <w:rPr>
                    <w:rFonts w:ascii="Arial"/>
                    <w:color w:val="231F20"/>
                    <w:spacing w:val="17"/>
                    <w:w w:val="110"/>
                    <w:sz w:val="16"/>
                  </w:rPr>
                  <w:t>TION</w:t>
                </w:r>
                <w:r>
                  <w:rPr>
                    <w:rFonts w:ascii="Arial"/>
                    <w:color w:val="231F20"/>
                    <w:spacing w:val="47"/>
                    <w:w w:val="110"/>
                    <w:sz w:val="16"/>
                  </w:rPr>
                  <w:t> </w:t>
                </w:r>
                <w:r>
                  <w:rPr>
                    <w:rFonts w:ascii="Arial"/>
                    <w:color w:val="231F20"/>
                    <w:spacing w:val="17"/>
                    <w:w w:val="110"/>
                    <w:sz w:val="16"/>
                  </w:rPr>
                  <w:t>LEXICON </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8.989136pt;margin-top:35.715729pt;width:25.65pt;height:11.9pt;mso-position-horizontal-relative:page;mso-position-vertical-relative:page;z-index:-25203712" type="#_x0000_t202" id="docshape574" filled="false" stroked="false">
          <v:textbox inset="0,0,0,0">
            <w:txbxContent>
              <w:p>
                <w:pPr>
                  <w:spacing w:before="13"/>
                  <w:ind w:left="60" w:right="0" w:firstLine="0"/>
                  <w:jc w:val="left"/>
                  <w:rPr>
                    <w:rFonts w:ascii="Arial"/>
                    <w:i/>
                    <w:sz w:val="18"/>
                  </w:rPr>
                </w:pPr>
                <w:r>
                  <w:rPr>
                    <w:rFonts w:ascii="Arial"/>
                    <w:i/>
                    <w:color w:val="231F20"/>
                    <w:spacing w:val="-5"/>
                    <w:w w:val="120"/>
                    <w:sz w:val="18"/>
                  </w:rPr>
                  <w:fldChar w:fldCharType="begin"/>
                </w:r>
                <w:r>
                  <w:rPr>
                    <w:rFonts w:ascii="Arial"/>
                    <w:i/>
                    <w:color w:val="231F20"/>
                    <w:spacing w:val="-5"/>
                    <w:w w:val="120"/>
                    <w:sz w:val="18"/>
                  </w:rPr>
                  <w:instrText> PAGE </w:instrText>
                </w:r>
                <w:r>
                  <w:rPr>
                    <w:rFonts w:ascii="Arial"/>
                    <w:i/>
                    <w:color w:val="231F20"/>
                    <w:spacing w:val="-5"/>
                    <w:w w:val="120"/>
                    <w:sz w:val="18"/>
                  </w:rPr>
                  <w:fldChar w:fldCharType="separate"/>
                </w:r>
                <w:r>
                  <w:rPr>
                    <w:rFonts w:ascii="Arial"/>
                    <w:i/>
                    <w:color w:val="231F20"/>
                    <w:spacing w:val="-5"/>
                    <w:w w:val="120"/>
                    <w:sz w:val="18"/>
                  </w:rPr>
                  <w:t>408</w:t>
                </w:r>
                <w:r>
                  <w:rPr>
                    <w:rFonts w:ascii="Arial"/>
                    <w:i/>
                    <w:color w:val="231F20"/>
                    <w:spacing w:val="-5"/>
                    <w:w w:val="120"/>
                    <w:sz w:val="18"/>
                  </w:rPr>
                  <w:fldChar w:fldCharType="end"/>
                </w:r>
              </w:p>
            </w:txbxContent>
          </v:textbox>
          <w10:wrap type="none"/>
        </v:shape>
      </w:pict>
    </w:r>
    <w:r>
      <w:rPr/>
      <w:pict>
        <v:shape style="position:absolute;margin-left:190.690292pt;margin-top:36.421730pt;width:72.1pt;height:10.7pt;mso-position-horizontal-relative:page;mso-position-vertical-relative:page;z-index:-25203200" type="#_x0000_t202" id="docshape575" filled="false" stroked="false">
          <v:textbox inset="0,0,0,0">
            <w:txbxContent>
              <w:p>
                <w:pPr>
                  <w:spacing w:before="17"/>
                  <w:ind w:left="20" w:right="0" w:firstLine="0"/>
                  <w:jc w:val="left"/>
                  <w:rPr>
                    <w:rFonts w:ascii="Arial"/>
                    <w:sz w:val="16"/>
                  </w:rPr>
                </w:pPr>
                <w:r>
                  <w:rPr>
                    <w:rFonts w:ascii="Arial"/>
                    <w:color w:val="231F20"/>
                    <w:spacing w:val="19"/>
                    <w:sz w:val="16"/>
                  </w:rPr>
                  <w:t>PERMIS</w:t>
                </w:r>
                <w:r>
                  <w:rPr>
                    <w:rFonts w:ascii="Arial"/>
                    <w:color w:val="231F20"/>
                    <w:spacing w:val="-16"/>
                    <w:sz w:val="16"/>
                  </w:rPr>
                  <w:t> </w:t>
                </w:r>
                <w:r>
                  <w:rPr>
                    <w:rFonts w:ascii="Arial"/>
                    <w:color w:val="231F20"/>
                    <w:spacing w:val="16"/>
                    <w:w w:val="105"/>
                    <w:sz w:val="16"/>
                  </w:rPr>
                  <w:t>SIONS </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2.57489pt;margin-top:35.715729pt;width:61.55pt;height:11.9pt;mso-position-horizontal-relative:page;mso-position-vertical-relative:page;z-index:-25202688" type="#_x0000_t202" id="docshape577" filled="false" stroked="false">
          <v:textbox inset="0,0,0,0">
            <w:txbxContent>
              <w:p>
                <w:pPr>
                  <w:tabs>
                    <w:tab w:pos="564" w:val="left" w:leader="none"/>
                  </w:tabs>
                  <w:spacing w:before="13"/>
                  <w:ind w:left="60" w:right="0" w:firstLine="0"/>
                  <w:jc w:val="left"/>
                  <w:rPr>
                    <w:rFonts w:ascii="Arial"/>
                    <w:sz w:val="16"/>
                  </w:rPr>
                </w:pPr>
                <w:r>
                  <w:rPr>
                    <w:rFonts w:ascii="Arial"/>
                    <w:i/>
                    <w:color w:val="231F20"/>
                    <w:spacing w:val="-5"/>
                    <w:w w:val="105"/>
                    <w:sz w:val="18"/>
                  </w:rPr>
                  <w:fldChar w:fldCharType="begin"/>
                </w:r>
                <w:r>
                  <w:rPr>
                    <w:rFonts w:ascii="Arial"/>
                    <w:i/>
                    <w:color w:val="231F20"/>
                    <w:spacing w:val="-5"/>
                    <w:w w:val="105"/>
                    <w:sz w:val="18"/>
                  </w:rPr>
                  <w:instrText> PAGE </w:instrText>
                </w:r>
                <w:r>
                  <w:rPr>
                    <w:rFonts w:ascii="Arial"/>
                    <w:i/>
                    <w:color w:val="231F20"/>
                    <w:spacing w:val="-5"/>
                    <w:w w:val="105"/>
                    <w:sz w:val="18"/>
                  </w:rPr>
                  <w:fldChar w:fldCharType="separate"/>
                </w:r>
                <w:r>
                  <w:rPr>
                    <w:rFonts w:ascii="Arial"/>
                    <w:i/>
                    <w:color w:val="231F20"/>
                    <w:spacing w:val="-5"/>
                    <w:w w:val="105"/>
                    <w:sz w:val="18"/>
                  </w:rPr>
                  <w:t>414</w:t>
                </w:r>
                <w:r>
                  <w:rPr>
                    <w:rFonts w:ascii="Arial"/>
                    <w:i/>
                    <w:color w:val="231F20"/>
                    <w:spacing w:val="-5"/>
                    <w:w w:val="105"/>
                    <w:sz w:val="18"/>
                  </w:rPr>
                  <w:fldChar w:fldCharType="end"/>
                </w:r>
                <w:r>
                  <w:rPr>
                    <w:rFonts w:ascii="Arial"/>
                    <w:i/>
                    <w:color w:val="231F20"/>
                    <w:sz w:val="18"/>
                  </w:rPr>
                  <w:tab/>
                </w:r>
                <w:r>
                  <w:rPr>
                    <w:rFonts w:ascii="Arial"/>
                    <w:color w:val="231F20"/>
                    <w:spacing w:val="16"/>
                    <w:w w:val="105"/>
                    <w:sz w:val="16"/>
                  </w:rPr>
                  <w:t>INDEX </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8.870895pt;margin-top:35.82114pt;width:62.25pt;height:11.9pt;mso-position-horizontal-relative:page;mso-position-vertical-relative:page;z-index:-25202176" type="#_x0000_t202" id="docshape578" filled="false" stroked="false">
          <v:textbox inset="0,0,0,0">
            <w:txbxContent>
              <w:p>
                <w:pPr>
                  <w:tabs>
                    <w:tab w:pos="865" w:val="left" w:leader="none"/>
                  </w:tabs>
                  <w:spacing w:before="13"/>
                  <w:ind w:left="20" w:right="0" w:firstLine="0"/>
                  <w:jc w:val="left"/>
                  <w:rPr>
                    <w:rFonts w:ascii="Arial"/>
                    <w:i/>
                    <w:sz w:val="18"/>
                  </w:rPr>
                </w:pPr>
                <w:r>
                  <w:rPr>
                    <w:rFonts w:ascii="Arial"/>
                    <w:color w:val="231F20"/>
                    <w:spacing w:val="14"/>
                    <w:w w:val="105"/>
                    <w:sz w:val="16"/>
                  </w:rPr>
                  <w:t>INDEX</w:t>
                </w:r>
                <w:r>
                  <w:rPr>
                    <w:rFonts w:ascii="Arial"/>
                    <w:color w:val="231F20"/>
                    <w:sz w:val="16"/>
                  </w:rPr>
                  <w:tab/>
                </w:r>
                <w:r>
                  <w:rPr>
                    <w:rFonts w:ascii="Arial"/>
                    <w:i/>
                    <w:color w:val="231F20"/>
                    <w:spacing w:val="-5"/>
                    <w:w w:val="105"/>
                    <w:sz w:val="18"/>
                  </w:rPr>
                  <w:fldChar w:fldCharType="begin"/>
                </w:r>
                <w:r>
                  <w:rPr>
                    <w:rFonts w:ascii="Arial"/>
                    <w:i/>
                    <w:color w:val="231F20"/>
                    <w:spacing w:val="-5"/>
                    <w:w w:val="105"/>
                    <w:sz w:val="18"/>
                  </w:rPr>
                  <w:instrText> PAGE </w:instrText>
                </w:r>
                <w:r>
                  <w:rPr>
                    <w:rFonts w:ascii="Arial"/>
                    <w:i/>
                    <w:color w:val="231F20"/>
                    <w:spacing w:val="-5"/>
                    <w:w w:val="105"/>
                    <w:sz w:val="18"/>
                  </w:rPr>
                  <w:fldChar w:fldCharType="separate"/>
                </w:r>
                <w:r>
                  <w:rPr>
                    <w:rFonts w:ascii="Arial"/>
                    <w:i/>
                    <w:color w:val="231F20"/>
                    <w:spacing w:val="-5"/>
                    <w:w w:val="105"/>
                    <w:sz w:val="18"/>
                  </w:rPr>
                  <w:t>413</w:t>
                </w:r>
                <w:r>
                  <w:rPr>
                    <w:rFonts w:ascii="Arial"/>
                    <w:i/>
                    <w:color w:val="231F20"/>
                    <w:spacing w:val="-5"/>
                    <w:w w:val="105"/>
                    <w:sz w:val="18"/>
                  </w:rPr>
                  <w:fldChar w:fldCharType="end"/>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1.986008pt;margin-top:35.715729pt;width:122.75pt;height:11.9pt;mso-position-horizontal-relative:page;mso-position-vertical-relative:page;z-index:-25226752" type="#_x0000_t202" id="docshape15" filled="false" stroked="false">
          <v:textbox inset="0,0,0,0">
            <w:txbxContent>
              <w:p>
                <w:pPr>
                  <w:tabs>
                    <w:tab w:pos="512" w:val="left" w:leader="none"/>
                  </w:tabs>
                  <w:spacing w:before="13"/>
                  <w:ind w:left="60" w:right="0" w:firstLine="0"/>
                  <w:jc w:val="left"/>
                  <w:rPr>
                    <w:rFonts w:ascii="Arial"/>
                    <w:sz w:val="16"/>
                  </w:rPr>
                </w:pPr>
                <w:r>
                  <w:rPr>
                    <w:rFonts w:ascii="Arial"/>
                    <w:i/>
                    <w:color w:val="231F20"/>
                    <w:spacing w:val="-5"/>
                    <w:w w:val="110"/>
                    <w:sz w:val="18"/>
                  </w:rPr>
                  <w:fldChar w:fldCharType="begin"/>
                </w:r>
                <w:r>
                  <w:rPr>
                    <w:rFonts w:ascii="Arial"/>
                    <w:i/>
                    <w:color w:val="231F20"/>
                    <w:spacing w:val="-5"/>
                    <w:w w:val="110"/>
                    <w:sz w:val="18"/>
                  </w:rPr>
                  <w:instrText> PAGE </w:instrText>
                </w:r>
                <w:r>
                  <w:rPr>
                    <w:rFonts w:ascii="Arial"/>
                    <w:i/>
                    <w:color w:val="231F20"/>
                    <w:spacing w:val="-5"/>
                    <w:w w:val="110"/>
                    <w:sz w:val="18"/>
                  </w:rPr>
                  <w:fldChar w:fldCharType="separate"/>
                </w:r>
                <w:r>
                  <w:rPr>
                    <w:rFonts w:ascii="Arial"/>
                    <w:i/>
                    <w:color w:val="231F20"/>
                    <w:spacing w:val="-5"/>
                    <w:w w:val="110"/>
                    <w:sz w:val="18"/>
                  </w:rPr>
                  <w:t>40</w:t>
                </w:r>
                <w:r>
                  <w:rPr>
                    <w:rFonts w:ascii="Arial"/>
                    <w:i/>
                    <w:color w:val="231F20"/>
                    <w:spacing w:val="-5"/>
                    <w:w w:val="110"/>
                    <w:sz w:val="18"/>
                  </w:rPr>
                  <w:fldChar w:fldCharType="end"/>
                </w:r>
                <w:r>
                  <w:rPr>
                    <w:rFonts w:ascii="Arial"/>
                    <w:i/>
                    <w:color w:val="231F20"/>
                    <w:sz w:val="18"/>
                  </w:rPr>
                  <w:tab/>
                </w:r>
                <w:r>
                  <w:rPr>
                    <w:rFonts w:ascii="Arial"/>
                    <w:color w:val="231F20"/>
                    <w:spacing w:val="15"/>
                    <w:w w:val="110"/>
                    <w:sz w:val="16"/>
                  </w:rPr>
                  <w:t>THE</w:t>
                </w:r>
                <w:r>
                  <w:rPr>
                    <w:rFonts w:ascii="Arial"/>
                    <w:color w:val="231F20"/>
                    <w:spacing w:val="46"/>
                    <w:w w:val="110"/>
                    <w:sz w:val="16"/>
                  </w:rPr>
                  <w:t> </w:t>
                </w:r>
                <w:r>
                  <w:rPr>
                    <w:rFonts w:ascii="Arial"/>
                    <w:color w:val="231F20"/>
                    <w:spacing w:val="23"/>
                    <w:w w:val="110"/>
                    <w:sz w:val="16"/>
                  </w:rPr>
                  <w:t>TEN-</w:t>
                </w:r>
                <w:r>
                  <w:rPr>
                    <w:rFonts w:ascii="Arial"/>
                    <w:color w:val="231F20"/>
                    <w:w w:val="110"/>
                    <w:sz w:val="16"/>
                  </w:rPr>
                  <w:t>DAY</w:t>
                </w:r>
                <w:r>
                  <w:rPr>
                    <w:rFonts w:ascii="Arial"/>
                    <w:color w:val="231F20"/>
                    <w:spacing w:val="46"/>
                    <w:w w:val="110"/>
                    <w:sz w:val="16"/>
                  </w:rPr>
                  <w:t> </w:t>
                </w:r>
                <w:r>
                  <w:rPr>
                    <w:rFonts w:ascii="Arial"/>
                    <w:color w:val="231F20"/>
                    <w:spacing w:val="10"/>
                    <w:w w:val="110"/>
                    <w:sz w:val="16"/>
                  </w:rPr>
                  <w:t>MBA </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5.853592pt;margin-top:35.82114pt;width:88.05pt;height:11.9pt;mso-position-horizontal-relative:page;mso-position-vertical-relative:page;z-index:-25226240" type="#_x0000_t202" id="docshape16" filled="false" stroked="false">
          <v:textbox inset="0,0,0,0">
            <w:txbxContent>
              <w:p>
                <w:pPr>
                  <w:tabs>
                    <w:tab w:pos="1446" w:val="left" w:leader="none"/>
                  </w:tabs>
                  <w:spacing w:before="13"/>
                  <w:ind w:left="20" w:right="0" w:firstLine="0"/>
                  <w:jc w:val="left"/>
                  <w:rPr>
                    <w:rFonts w:ascii="Arial"/>
                    <w:i/>
                    <w:sz w:val="18"/>
                  </w:rPr>
                </w:pPr>
                <w:r>
                  <w:rPr>
                    <w:rFonts w:ascii="Arial"/>
                    <w:color w:val="231F20"/>
                    <w:spacing w:val="18"/>
                    <w:w w:val="110"/>
                    <w:sz w:val="16"/>
                  </w:rPr>
                  <w:t>MARKETING</w:t>
                </w:r>
                <w:r>
                  <w:rPr>
                    <w:rFonts w:ascii="Arial"/>
                    <w:color w:val="231F20"/>
                    <w:sz w:val="16"/>
                  </w:rPr>
                  <w:tab/>
                </w:r>
                <w:r>
                  <w:rPr>
                    <w:rFonts w:ascii="Arial"/>
                    <w:i/>
                    <w:color w:val="231F20"/>
                    <w:spacing w:val="-5"/>
                    <w:w w:val="110"/>
                    <w:sz w:val="18"/>
                  </w:rPr>
                  <w:fldChar w:fldCharType="begin"/>
                </w:r>
                <w:r>
                  <w:rPr>
                    <w:rFonts w:ascii="Arial"/>
                    <w:i/>
                    <w:color w:val="231F20"/>
                    <w:spacing w:val="-5"/>
                    <w:w w:val="110"/>
                    <w:sz w:val="18"/>
                  </w:rPr>
                  <w:instrText> PAGE </w:instrText>
                </w:r>
                <w:r>
                  <w:rPr>
                    <w:rFonts w:ascii="Arial"/>
                    <w:i/>
                    <w:color w:val="231F20"/>
                    <w:spacing w:val="-5"/>
                    <w:w w:val="110"/>
                    <w:sz w:val="18"/>
                  </w:rPr>
                  <w:fldChar w:fldCharType="separate"/>
                </w:r>
                <w:r>
                  <w:rPr>
                    <w:rFonts w:ascii="Arial"/>
                    <w:i/>
                    <w:color w:val="231F20"/>
                    <w:spacing w:val="-5"/>
                    <w:w w:val="110"/>
                    <w:sz w:val="18"/>
                  </w:rPr>
                  <w:t>43</w:t>
                </w:r>
                <w:r>
                  <w:rPr>
                    <w:rFonts w:ascii="Arial"/>
                    <w:i/>
                    <w:color w:val="231F20"/>
                    <w:spacing w:val="-5"/>
                    <w:w w:val="110"/>
                    <w:sz w:val="18"/>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1">
    <w:multiLevelType w:val="hybridMultilevel"/>
    <w:lvl w:ilvl="0">
      <w:start w:val="1"/>
      <w:numFmt w:val="decimal"/>
      <w:lvlText w:val="%1."/>
      <w:lvlJc w:val="left"/>
      <w:pPr>
        <w:ind w:left="1609" w:hanging="177"/>
        <w:jc w:val="right"/>
      </w:pPr>
      <w:rPr>
        <w:rFonts w:hint="default" w:ascii="Arial" w:hAnsi="Arial" w:eastAsia="Arial" w:cs="Arial"/>
        <w:b w:val="0"/>
        <w:bCs w:val="0"/>
        <w:i w:val="0"/>
        <w:iCs w:val="0"/>
        <w:color w:val="231F20"/>
        <w:spacing w:val="-1"/>
        <w:w w:val="73"/>
        <w:sz w:val="19"/>
        <w:szCs w:val="19"/>
        <w:lang w:val="en-US" w:eastAsia="en-US" w:bidi="ar-SA"/>
      </w:rPr>
    </w:lvl>
    <w:lvl w:ilvl="1">
      <w:start w:val="0"/>
      <w:numFmt w:val="bullet"/>
      <w:lvlText w:val="•"/>
      <w:lvlJc w:val="left"/>
      <w:pPr>
        <w:ind w:left="2220" w:hanging="177"/>
      </w:pPr>
      <w:rPr>
        <w:rFonts w:hint="default"/>
        <w:lang w:val="en-US" w:eastAsia="en-US" w:bidi="ar-SA"/>
      </w:rPr>
    </w:lvl>
    <w:lvl w:ilvl="2">
      <w:start w:val="0"/>
      <w:numFmt w:val="bullet"/>
      <w:lvlText w:val="•"/>
      <w:lvlJc w:val="left"/>
      <w:pPr>
        <w:ind w:left="2840" w:hanging="177"/>
      </w:pPr>
      <w:rPr>
        <w:rFonts w:hint="default"/>
        <w:lang w:val="en-US" w:eastAsia="en-US" w:bidi="ar-SA"/>
      </w:rPr>
    </w:lvl>
    <w:lvl w:ilvl="3">
      <w:start w:val="0"/>
      <w:numFmt w:val="bullet"/>
      <w:lvlText w:val="•"/>
      <w:lvlJc w:val="left"/>
      <w:pPr>
        <w:ind w:left="3460" w:hanging="177"/>
      </w:pPr>
      <w:rPr>
        <w:rFonts w:hint="default"/>
        <w:lang w:val="en-US" w:eastAsia="en-US" w:bidi="ar-SA"/>
      </w:rPr>
    </w:lvl>
    <w:lvl w:ilvl="4">
      <w:start w:val="0"/>
      <w:numFmt w:val="bullet"/>
      <w:lvlText w:val="•"/>
      <w:lvlJc w:val="left"/>
      <w:pPr>
        <w:ind w:left="4080" w:hanging="177"/>
      </w:pPr>
      <w:rPr>
        <w:rFonts w:hint="default"/>
        <w:lang w:val="en-US" w:eastAsia="en-US" w:bidi="ar-SA"/>
      </w:rPr>
    </w:lvl>
    <w:lvl w:ilvl="5">
      <w:start w:val="0"/>
      <w:numFmt w:val="bullet"/>
      <w:lvlText w:val="•"/>
      <w:lvlJc w:val="left"/>
      <w:pPr>
        <w:ind w:left="4700" w:hanging="177"/>
      </w:pPr>
      <w:rPr>
        <w:rFonts w:hint="default"/>
        <w:lang w:val="en-US" w:eastAsia="en-US" w:bidi="ar-SA"/>
      </w:rPr>
    </w:lvl>
    <w:lvl w:ilvl="6">
      <w:start w:val="0"/>
      <w:numFmt w:val="bullet"/>
      <w:lvlText w:val="•"/>
      <w:lvlJc w:val="left"/>
      <w:pPr>
        <w:ind w:left="5320" w:hanging="177"/>
      </w:pPr>
      <w:rPr>
        <w:rFonts w:hint="default"/>
        <w:lang w:val="en-US" w:eastAsia="en-US" w:bidi="ar-SA"/>
      </w:rPr>
    </w:lvl>
    <w:lvl w:ilvl="7">
      <w:start w:val="0"/>
      <w:numFmt w:val="bullet"/>
      <w:lvlText w:val="•"/>
      <w:lvlJc w:val="left"/>
      <w:pPr>
        <w:ind w:left="5940" w:hanging="177"/>
      </w:pPr>
      <w:rPr>
        <w:rFonts w:hint="default"/>
        <w:lang w:val="en-US" w:eastAsia="en-US" w:bidi="ar-SA"/>
      </w:rPr>
    </w:lvl>
    <w:lvl w:ilvl="8">
      <w:start w:val="0"/>
      <w:numFmt w:val="bullet"/>
      <w:lvlText w:val="•"/>
      <w:lvlJc w:val="left"/>
      <w:pPr>
        <w:ind w:left="6560" w:hanging="177"/>
      </w:pPr>
      <w:rPr>
        <w:rFonts w:hint="default"/>
        <w:lang w:val="en-US" w:eastAsia="en-US" w:bidi="ar-SA"/>
      </w:rPr>
    </w:lvl>
  </w:abstractNum>
  <w:abstractNum w:abstractNumId="56">
    <w:multiLevelType w:val="hybridMultilevel"/>
    <w:lvl w:ilvl="0">
      <w:start w:val="1"/>
      <w:numFmt w:val="decimal"/>
      <w:lvlText w:val="%1."/>
      <w:lvlJc w:val="left"/>
      <w:pPr>
        <w:ind w:left="1520" w:hanging="170"/>
        <w:jc w:val="right"/>
      </w:pPr>
      <w:rPr>
        <w:rFonts w:hint="default" w:ascii="Arial" w:hAnsi="Arial" w:eastAsia="Arial" w:cs="Arial"/>
        <w:b w:val="0"/>
        <w:bCs w:val="0"/>
        <w:i w:val="0"/>
        <w:iCs w:val="0"/>
        <w:color w:val="231F20"/>
        <w:w w:val="63"/>
        <w:sz w:val="19"/>
        <w:szCs w:val="19"/>
        <w:lang w:val="en-US" w:eastAsia="en-US" w:bidi="ar-SA"/>
      </w:rPr>
    </w:lvl>
    <w:lvl w:ilvl="1">
      <w:start w:val="0"/>
      <w:numFmt w:val="bullet"/>
      <w:lvlText w:val="•"/>
      <w:lvlJc w:val="left"/>
      <w:pPr>
        <w:ind w:left="2148" w:hanging="170"/>
      </w:pPr>
      <w:rPr>
        <w:rFonts w:hint="default"/>
        <w:lang w:val="en-US" w:eastAsia="en-US" w:bidi="ar-SA"/>
      </w:rPr>
    </w:lvl>
    <w:lvl w:ilvl="2">
      <w:start w:val="0"/>
      <w:numFmt w:val="bullet"/>
      <w:lvlText w:val="•"/>
      <w:lvlJc w:val="left"/>
      <w:pPr>
        <w:ind w:left="2776" w:hanging="170"/>
      </w:pPr>
      <w:rPr>
        <w:rFonts w:hint="default"/>
        <w:lang w:val="en-US" w:eastAsia="en-US" w:bidi="ar-SA"/>
      </w:rPr>
    </w:lvl>
    <w:lvl w:ilvl="3">
      <w:start w:val="0"/>
      <w:numFmt w:val="bullet"/>
      <w:lvlText w:val="•"/>
      <w:lvlJc w:val="left"/>
      <w:pPr>
        <w:ind w:left="3404" w:hanging="170"/>
      </w:pPr>
      <w:rPr>
        <w:rFonts w:hint="default"/>
        <w:lang w:val="en-US" w:eastAsia="en-US" w:bidi="ar-SA"/>
      </w:rPr>
    </w:lvl>
    <w:lvl w:ilvl="4">
      <w:start w:val="0"/>
      <w:numFmt w:val="bullet"/>
      <w:lvlText w:val="•"/>
      <w:lvlJc w:val="left"/>
      <w:pPr>
        <w:ind w:left="4032" w:hanging="170"/>
      </w:pPr>
      <w:rPr>
        <w:rFonts w:hint="default"/>
        <w:lang w:val="en-US" w:eastAsia="en-US" w:bidi="ar-SA"/>
      </w:rPr>
    </w:lvl>
    <w:lvl w:ilvl="5">
      <w:start w:val="0"/>
      <w:numFmt w:val="bullet"/>
      <w:lvlText w:val="•"/>
      <w:lvlJc w:val="left"/>
      <w:pPr>
        <w:ind w:left="4660" w:hanging="170"/>
      </w:pPr>
      <w:rPr>
        <w:rFonts w:hint="default"/>
        <w:lang w:val="en-US" w:eastAsia="en-US" w:bidi="ar-SA"/>
      </w:rPr>
    </w:lvl>
    <w:lvl w:ilvl="6">
      <w:start w:val="0"/>
      <w:numFmt w:val="bullet"/>
      <w:lvlText w:val="•"/>
      <w:lvlJc w:val="left"/>
      <w:pPr>
        <w:ind w:left="5288" w:hanging="170"/>
      </w:pPr>
      <w:rPr>
        <w:rFonts w:hint="default"/>
        <w:lang w:val="en-US" w:eastAsia="en-US" w:bidi="ar-SA"/>
      </w:rPr>
    </w:lvl>
    <w:lvl w:ilvl="7">
      <w:start w:val="0"/>
      <w:numFmt w:val="bullet"/>
      <w:lvlText w:val="•"/>
      <w:lvlJc w:val="left"/>
      <w:pPr>
        <w:ind w:left="5916" w:hanging="170"/>
      </w:pPr>
      <w:rPr>
        <w:rFonts w:hint="default"/>
        <w:lang w:val="en-US" w:eastAsia="en-US" w:bidi="ar-SA"/>
      </w:rPr>
    </w:lvl>
    <w:lvl w:ilvl="8">
      <w:start w:val="0"/>
      <w:numFmt w:val="bullet"/>
      <w:lvlText w:val="•"/>
      <w:lvlJc w:val="left"/>
      <w:pPr>
        <w:ind w:left="6544" w:hanging="170"/>
      </w:pPr>
      <w:rPr>
        <w:rFonts w:hint="default"/>
        <w:lang w:val="en-US" w:eastAsia="en-US" w:bidi="ar-SA"/>
      </w:rPr>
    </w:lvl>
  </w:abstractNum>
  <w:abstractNum w:abstractNumId="55">
    <w:multiLevelType w:val="hybridMultilevel"/>
    <w:lvl w:ilvl="0">
      <w:start w:val="0"/>
      <w:numFmt w:val="bullet"/>
      <w:lvlText w:val="*"/>
      <w:lvlJc w:val="left"/>
      <w:pPr>
        <w:ind w:left="830" w:hanging="137"/>
      </w:pPr>
      <w:rPr>
        <w:rFonts w:hint="default" w:ascii="Cambria" w:hAnsi="Cambria" w:eastAsia="Cambria" w:cs="Cambria"/>
        <w:b w:val="0"/>
        <w:bCs w:val="0"/>
        <w:i w:val="0"/>
        <w:iCs w:val="0"/>
        <w:color w:val="231F20"/>
        <w:w w:val="130"/>
        <w:sz w:val="17"/>
        <w:szCs w:val="17"/>
        <w:lang w:val="en-US" w:eastAsia="en-US" w:bidi="ar-SA"/>
      </w:rPr>
    </w:lvl>
    <w:lvl w:ilvl="1">
      <w:start w:val="0"/>
      <w:numFmt w:val="bullet"/>
      <w:lvlText w:val="•"/>
      <w:lvlJc w:val="left"/>
      <w:pPr>
        <w:ind w:left="1445" w:hanging="185"/>
      </w:pPr>
      <w:rPr>
        <w:rFonts w:hint="default" w:ascii="Arial" w:hAnsi="Arial" w:eastAsia="Arial" w:cs="Arial"/>
        <w:b w:val="0"/>
        <w:bCs w:val="0"/>
        <w:i w:val="0"/>
        <w:iCs w:val="0"/>
        <w:color w:val="231F20"/>
        <w:w w:val="136"/>
        <w:sz w:val="19"/>
        <w:szCs w:val="19"/>
        <w:lang w:val="en-US" w:eastAsia="en-US" w:bidi="ar-SA"/>
      </w:rPr>
    </w:lvl>
    <w:lvl w:ilvl="2">
      <w:start w:val="0"/>
      <w:numFmt w:val="bullet"/>
      <w:lvlText w:val="•"/>
      <w:lvlJc w:val="left"/>
      <w:pPr>
        <w:ind w:left="2146" w:hanging="185"/>
      </w:pPr>
      <w:rPr>
        <w:rFonts w:hint="default"/>
        <w:lang w:val="en-US" w:eastAsia="en-US" w:bidi="ar-SA"/>
      </w:rPr>
    </w:lvl>
    <w:lvl w:ilvl="3">
      <w:start w:val="0"/>
      <w:numFmt w:val="bullet"/>
      <w:lvlText w:val="•"/>
      <w:lvlJc w:val="left"/>
      <w:pPr>
        <w:ind w:left="2853" w:hanging="185"/>
      </w:pPr>
      <w:rPr>
        <w:rFonts w:hint="default"/>
        <w:lang w:val="en-US" w:eastAsia="en-US" w:bidi="ar-SA"/>
      </w:rPr>
    </w:lvl>
    <w:lvl w:ilvl="4">
      <w:start w:val="0"/>
      <w:numFmt w:val="bullet"/>
      <w:lvlText w:val="•"/>
      <w:lvlJc w:val="left"/>
      <w:pPr>
        <w:ind w:left="3560" w:hanging="185"/>
      </w:pPr>
      <w:rPr>
        <w:rFonts w:hint="default"/>
        <w:lang w:val="en-US" w:eastAsia="en-US" w:bidi="ar-SA"/>
      </w:rPr>
    </w:lvl>
    <w:lvl w:ilvl="5">
      <w:start w:val="0"/>
      <w:numFmt w:val="bullet"/>
      <w:lvlText w:val="•"/>
      <w:lvlJc w:val="left"/>
      <w:pPr>
        <w:ind w:left="4266" w:hanging="185"/>
      </w:pPr>
      <w:rPr>
        <w:rFonts w:hint="default"/>
        <w:lang w:val="en-US" w:eastAsia="en-US" w:bidi="ar-SA"/>
      </w:rPr>
    </w:lvl>
    <w:lvl w:ilvl="6">
      <w:start w:val="0"/>
      <w:numFmt w:val="bullet"/>
      <w:lvlText w:val="•"/>
      <w:lvlJc w:val="left"/>
      <w:pPr>
        <w:ind w:left="4973" w:hanging="185"/>
      </w:pPr>
      <w:rPr>
        <w:rFonts w:hint="default"/>
        <w:lang w:val="en-US" w:eastAsia="en-US" w:bidi="ar-SA"/>
      </w:rPr>
    </w:lvl>
    <w:lvl w:ilvl="7">
      <w:start w:val="0"/>
      <w:numFmt w:val="bullet"/>
      <w:lvlText w:val="•"/>
      <w:lvlJc w:val="left"/>
      <w:pPr>
        <w:ind w:left="5680" w:hanging="185"/>
      </w:pPr>
      <w:rPr>
        <w:rFonts w:hint="default"/>
        <w:lang w:val="en-US" w:eastAsia="en-US" w:bidi="ar-SA"/>
      </w:rPr>
    </w:lvl>
    <w:lvl w:ilvl="8">
      <w:start w:val="0"/>
      <w:numFmt w:val="bullet"/>
      <w:lvlText w:val="•"/>
      <w:lvlJc w:val="left"/>
      <w:pPr>
        <w:ind w:left="6386" w:hanging="185"/>
      </w:pPr>
      <w:rPr>
        <w:rFonts w:hint="default"/>
        <w:lang w:val="en-US" w:eastAsia="en-US" w:bidi="ar-SA"/>
      </w:rPr>
    </w:lvl>
  </w:abstractNum>
  <w:abstractNum w:abstractNumId="54">
    <w:multiLevelType w:val="hybridMultilevel"/>
    <w:lvl w:ilvl="0">
      <w:start w:val="1"/>
      <w:numFmt w:val="decimal"/>
      <w:lvlText w:val="%1."/>
      <w:lvlJc w:val="left"/>
      <w:pPr>
        <w:ind w:left="1520" w:hanging="170"/>
        <w:jc w:val="left"/>
      </w:pPr>
      <w:rPr>
        <w:rFonts w:hint="default" w:ascii="Arial" w:hAnsi="Arial" w:eastAsia="Arial" w:cs="Arial"/>
        <w:b w:val="0"/>
        <w:bCs w:val="0"/>
        <w:i w:val="0"/>
        <w:iCs w:val="0"/>
        <w:color w:val="231F20"/>
        <w:w w:val="68"/>
        <w:sz w:val="19"/>
        <w:szCs w:val="19"/>
        <w:lang w:val="en-US" w:eastAsia="en-US" w:bidi="ar-SA"/>
      </w:rPr>
    </w:lvl>
    <w:lvl w:ilvl="1">
      <w:start w:val="1"/>
      <w:numFmt w:val="decimal"/>
      <w:lvlText w:val="%2."/>
      <w:lvlJc w:val="left"/>
      <w:pPr>
        <w:ind w:left="1610" w:hanging="170"/>
        <w:jc w:val="right"/>
      </w:pPr>
      <w:rPr>
        <w:rFonts w:hint="default" w:ascii="Arial" w:hAnsi="Arial" w:eastAsia="Arial" w:cs="Arial"/>
        <w:b w:val="0"/>
        <w:bCs w:val="0"/>
        <w:i w:val="0"/>
        <w:iCs w:val="0"/>
        <w:color w:val="231F20"/>
        <w:w w:val="61"/>
        <w:sz w:val="19"/>
        <w:szCs w:val="19"/>
        <w:lang w:val="en-US" w:eastAsia="en-US" w:bidi="ar-SA"/>
      </w:rPr>
    </w:lvl>
    <w:lvl w:ilvl="2">
      <w:start w:val="1"/>
      <w:numFmt w:val="decimal"/>
      <w:lvlText w:val="%3."/>
      <w:lvlJc w:val="left"/>
      <w:pPr>
        <w:ind w:left="1609" w:hanging="169"/>
        <w:jc w:val="right"/>
      </w:pPr>
      <w:rPr>
        <w:rFonts w:hint="default" w:ascii="Arial" w:hAnsi="Arial" w:eastAsia="Arial" w:cs="Arial"/>
        <w:b w:val="0"/>
        <w:bCs w:val="0"/>
        <w:i w:val="0"/>
        <w:iCs w:val="0"/>
        <w:color w:val="231F20"/>
        <w:spacing w:val="-1"/>
        <w:w w:val="68"/>
        <w:sz w:val="19"/>
        <w:szCs w:val="19"/>
        <w:lang w:val="en-US" w:eastAsia="en-US" w:bidi="ar-SA"/>
      </w:rPr>
    </w:lvl>
    <w:lvl w:ilvl="3">
      <w:start w:val="0"/>
      <w:numFmt w:val="bullet"/>
      <w:lvlText w:val="•"/>
      <w:lvlJc w:val="left"/>
      <w:pPr>
        <w:ind w:left="2977" w:hanging="169"/>
      </w:pPr>
      <w:rPr>
        <w:rFonts w:hint="default"/>
        <w:lang w:val="en-US" w:eastAsia="en-US" w:bidi="ar-SA"/>
      </w:rPr>
    </w:lvl>
    <w:lvl w:ilvl="4">
      <w:start w:val="0"/>
      <w:numFmt w:val="bullet"/>
      <w:lvlText w:val="•"/>
      <w:lvlJc w:val="left"/>
      <w:pPr>
        <w:ind w:left="3666" w:hanging="169"/>
      </w:pPr>
      <w:rPr>
        <w:rFonts w:hint="default"/>
        <w:lang w:val="en-US" w:eastAsia="en-US" w:bidi="ar-SA"/>
      </w:rPr>
    </w:lvl>
    <w:lvl w:ilvl="5">
      <w:start w:val="0"/>
      <w:numFmt w:val="bullet"/>
      <w:lvlText w:val="•"/>
      <w:lvlJc w:val="left"/>
      <w:pPr>
        <w:ind w:left="4355" w:hanging="169"/>
      </w:pPr>
      <w:rPr>
        <w:rFonts w:hint="default"/>
        <w:lang w:val="en-US" w:eastAsia="en-US" w:bidi="ar-SA"/>
      </w:rPr>
    </w:lvl>
    <w:lvl w:ilvl="6">
      <w:start w:val="0"/>
      <w:numFmt w:val="bullet"/>
      <w:lvlText w:val="•"/>
      <w:lvlJc w:val="left"/>
      <w:pPr>
        <w:ind w:left="5044" w:hanging="169"/>
      </w:pPr>
      <w:rPr>
        <w:rFonts w:hint="default"/>
        <w:lang w:val="en-US" w:eastAsia="en-US" w:bidi="ar-SA"/>
      </w:rPr>
    </w:lvl>
    <w:lvl w:ilvl="7">
      <w:start w:val="0"/>
      <w:numFmt w:val="bullet"/>
      <w:lvlText w:val="•"/>
      <w:lvlJc w:val="left"/>
      <w:pPr>
        <w:ind w:left="5733" w:hanging="169"/>
      </w:pPr>
      <w:rPr>
        <w:rFonts w:hint="default"/>
        <w:lang w:val="en-US" w:eastAsia="en-US" w:bidi="ar-SA"/>
      </w:rPr>
    </w:lvl>
    <w:lvl w:ilvl="8">
      <w:start w:val="0"/>
      <w:numFmt w:val="bullet"/>
      <w:lvlText w:val="•"/>
      <w:lvlJc w:val="left"/>
      <w:pPr>
        <w:ind w:left="6422" w:hanging="169"/>
      </w:pPr>
      <w:rPr>
        <w:rFonts w:hint="default"/>
        <w:lang w:val="en-US" w:eastAsia="en-US" w:bidi="ar-SA"/>
      </w:rPr>
    </w:lvl>
  </w:abstractNum>
  <w:abstractNum w:abstractNumId="53">
    <w:multiLevelType w:val="hybridMultilevel"/>
    <w:lvl w:ilvl="0">
      <w:start w:val="1"/>
      <w:numFmt w:val="decimal"/>
      <w:lvlText w:val="%1."/>
      <w:lvlJc w:val="left"/>
      <w:pPr>
        <w:ind w:left="1520" w:hanging="170"/>
        <w:jc w:val="right"/>
      </w:pPr>
      <w:rPr>
        <w:rFonts w:hint="default" w:ascii="Arial" w:hAnsi="Arial" w:eastAsia="Arial" w:cs="Arial"/>
        <w:b w:val="0"/>
        <w:bCs w:val="0"/>
        <w:i w:val="0"/>
        <w:iCs w:val="0"/>
        <w:color w:val="231F20"/>
        <w:w w:val="68"/>
        <w:sz w:val="19"/>
        <w:szCs w:val="19"/>
        <w:lang w:val="en-US" w:eastAsia="en-US" w:bidi="ar-SA"/>
      </w:rPr>
    </w:lvl>
    <w:lvl w:ilvl="1">
      <w:start w:val="0"/>
      <w:numFmt w:val="bullet"/>
      <w:lvlText w:val="•"/>
      <w:lvlJc w:val="left"/>
      <w:pPr>
        <w:ind w:left="2148" w:hanging="170"/>
      </w:pPr>
      <w:rPr>
        <w:rFonts w:hint="default"/>
        <w:lang w:val="en-US" w:eastAsia="en-US" w:bidi="ar-SA"/>
      </w:rPr>
    </w:lvl>
    <w:lvl w:ilvl="2">
      <w:start w:val="0"/>
      <w:numFmt w:val="bullet"/>
      <w:lvlText w:val="•"/>
      <w:lvlJc w:val="left"/>
      <w:pPr>
        <w:ind w:left="2776" w:hanging="170"/>
      </w:pPr>
      <w:rPr>
        <w:rFonts w:hint="default"/>
        <w:lang w:val="en-US" w:eastAsia="en-US" w:bidi="ar-SA"/>
      </w:rPr>
    </w:lvl>
    <w:lvl w:ilvl="3">
      <w:start w:val="0"/>
      <w:numFmt w:val="bullet"/>
      <w:lvlText w:val="•"/>
      <w:lvlJc w:val="left"/>
      <w:pPr>
        <w:ind w:left="3404" w:hanging="170"/>
      </w:pPr>
      <w:rPr>
        <w:rFonts w:hint="default"/>
        <w:lang w:val="en-US" w:eastAsia="en-US" w:bidi="ar-SA"/>
      </w:rPr>
    </w:lvl>
    <w:lvl w:ilvl="4">
      <w:start w:val="0"/>
      <w:numFmt w:val="bullet"/>
      <w:lvlText w:val="•"/>
      <w:lvlJc w:val="left"/>
      <w:pPr>
        <w:ind w:left="4032" w:hanging="170"/>
      </w:pPr>
      <w:rPr>
        <w:rFonts w:hint="default"/>
        <w:lang w:val="en-US" w:eastAsia="en-US" w:bidi="ar-SA"/>
      </w:rPr>
    </w:lvl>
    <w:lvl w:ilvl="5">
      <w:start w:val="0"/>
      <w:numFmt w:val="bullet"/>
      <w:lvlText w:val="•"/>
      <w:lvlJc w:val="left"/>
      <w:pPr>
        <w:ind w:left="4660" w:hanging="170"/>
      </w:pPr>
      <w:rPr>
        <w:rFonts w:hint="default"/>
        <w:lang w:val="en-US" w:eastAsia="en-US" w:bidi="ar-SA"/>
      </w:rPr>
    </w:lvl>
    <w:lvl w:ilvl="6">
      <w:start w:val="0"/>
      <w:numFmt w:val="bullet"/>
      <w:lvlText w:val="•"/>
      <w:lvlJc w:val="left"/>
      <w:pPr>
        <w:ind w:left="5288" w:hanging="170"/>
      </w:pPr>
      <w:rPr>
        <w:rFonts w:hint="default"/>
        <w:lang w:val="en-US" w:eastAsia="en-US" w:bidi="ar-SA"/>
      </w:rPr>
    </w:lvl>
    <w:lvl w:ilvl="7">
      <w:start w:val="0"/>
      <w:numFmt w:val="bullet"/>
      <w:lvlText w:val="•"/>
      <w:lvlJc w:val="left"/>
      <w:pPr>
        <w:ind w:left="5916" w:hanging="170"/>
      </w:pPr>
      <w:rPr>
        <w:rFonts w:hint="default"/>
        <w:lang w:val="en-US" w:eastAsia="en-US" w:bidi="ar-SA"/>
      </w:rPr>
    </w:lvl>
    <w:lvl w:ilvl="8">
      <w:start w:val="0"/>
      <w:numFmt w:val="bullet"/>
      <w:lvlText w:val="•"/>
      <w:lvlJc w:val="left"/>
      <w:pPr>
        <w:ind w:left="6544" w:hanging="170"/>
      </w:pPr>
      <w:rPr>
        <w:rFonts w:hint="default"/>
        <w:lang w:val="en-US" w:eastAsia="en-US" w:bidi="ar-SA"/>
      </w:rPr>
    </w:lvl>
  </w:abstractNum>
  <w:abstractNum w:abstractNumId="52">
    <w:multiLevelType w:val="hybridMultilevel"/>
    <w:lvl w:ilvl="0">
      <w:start w:val="1"/>
      <w:numFmt w:val="decimal"/>
      <w:lvlText w:val="%1."/>
      <w:lvlJc w:val="left"/>
      <w:pPr>
        <w:ind w:left="1610" w:hanging="170"/>
        <w:jc w:val="right"/>
      </w:pPr>
      <w:rPr>
        <w:rFonts w:hint="default" w:ascii="Arial" w:hAnsi="Arial" w:eastAsia="Arial" w:cs="Arial"/>
        <w:b w:val="0"/>
        <w:bCs w:val="0"/>
        <w:i w:val="0"/>
        <w:iCs w:val="0"/>
        <w:color w:val="231F20"/>
        <w:w w:val="68"/>
        <w:sz w:val="19"/>
        <w:szCs w:val="19"/>
        <w:lang w:val="en-US" w:eastAsia="en-US" w:bidi="ar-SA"/>
      </w:rPr>
    </w:lvl>
    <w:lvl w:ilvl="1">
      <w:start w:val="0"/>
      <w:numFmt w:val="bullet"/>
      <w:lvlText w:val="•"/>
      <w:lvlJc w:val="left"/>
      <w:pPr>
        <w:ind w:left="2238" w:hanging="170"/>
      </w:pPr>
      <w:rPr>
        <w:rFonts w:hint="default"/>
        <w:lang w:val="en-US" w:eastAsia="en-US" w:bidi="ar-SA"/>
      </w:rPr>
    </w:lvl>
    <w:lvl w:ilvl="2">
      <w:start w:val="0"/>
      <w:numFmt w:val="bullet"/>
      <w:lvlText w:val="•"/>
      <w:lvlJc w:val="left"/>
      <w:pPr>
        <w:ind w:left="2856" w:hanging="170"/>
      </w:pPr>
      <w:rPr>
        <w:rFonts w:hint="default"/>
        <w:lang w:val="en-US" w:eastAsia="en-US" w:bidi="ar-SA"/>
      </w:rPr>
    </w:lvl>
    <w:lvl w:ilvl="3">
      <w:start w:val="0"/>
      <w:numFmt w:val="bullet"/>
      <w:lvlText w:val="•"/>
      <w:lvlJc w:val="left"/>
      <w:pPr>
        <w:ind w:left="3474" w:hanging="170"/>
      </w:pPr>
      <w:rPr>
        <w:rFonts w:hint="default"/>
        <w:lang w:val="en-US" w:eastAsia="en-US" w:bidi="ar-SA"/>
      </w:rPr>
    </w:lvl>
    <w:lvl w:ilvl="4">
      <w:start w:val="0"/>
      <w:numFmt w:val="bullet"/>
      <w:lvlText w:val="•"/>
      <w:lvlJc w:val="left"/>
      <w:pPr>
        <w:ind w:left="4092" w:hanging="170"/>
      </w:pPr>
      <w:rPr>
        <w:rFonts w:hint="default"/>
        <w:lang w:val="en-US" w:eastAsia="en-US" w:bidi="ar-SA"/>
      </w:rPr>
    </w:lvl>
    <w:lvl w:ilvl="5">
      <w:start w:val="0"/>
      <w:numFmt w:val="bullet"/>
      <w:lvlText w:val="•"/>
      <w:lvlJc w:val="left"/>
      <w:pPr>
        <w:ind w:left="4710" w:hanging="170"/>
      </w:pPr>
      <w:rPr>
        <w:rFonts w:hint="default"/>
        <w:lang w:val="en-US" w:eastAsia="en-US" w:bidi="ar-SA"/>
      </w:rPr>
    </w:lvl>
    <w:lvl w:ilvl="6">
      <w:start w:val="0"/>
      <w:numFmt w:val="bullet"/>
      <w:lvlText w:val="•"/>
      <w:lvlJc w:val="left"/>
      <w:pPr>
        <w:ind w:left="5328" w:hanging="170"/>
      </w:pPr>
      <w:rPr>
        <w:rFonts w:hint="default"/>
        <w:lang w:val="en-US" w:eastAsia="en-US" w:bidi="ar-SA"/>
      </w:rPr>
    </w:lvl>
    <w:lvl w:ilvl="7">
      <w:start w:val="0"/>
      <w:numFmt w:val="bullet"/>
      <w:lvlText w:val="•"/>
      <w:lvlJc w:val="left"/>
      <w:pPr>
        <w:ind w:left="5946" w:hanging="170"/>
      </w:pPr>
      <w:rPr>
        <w:rFonts w:hint="default"/>
        <w:lang w:val="en-US" w:eastAsia="en-US" w:bidi="ar-SA"/>
      </w:rPr>
    </w:lvl>
    <w:lvl w:ilvl="8">
      <w:start w:val="0"/>
      <w:numFmt w:val="bullet"/>
      <w:lvlText w:val="•"/>
      <w:lvlJc w:val="left"/>
      <w:pPr>
        <w:ind w:left="6564" w:hanging="170"/>
      </w:pPr>
      <w:rPr>
        <w:rFonts w:hint="default"/>
        <w:lang w:val="en-US" w:eastAsia="en-US" w:bidi="ar-SA"/>
      </w:rPr>
    </w:lvl>
  </w:abstractNum>
  <w:abstractNum w:abstractNumId="51">
    <w:multiLevelType w:val="hybridMultilevel"/>
    <w:lvl w:ilvl="0">
      <w:start w:val="1"/>
      <w:numFmt w:val="decimal"/>
      <w:lvlText w:val="%1."/>
      <w:lvlJc w:val="left"/>
      <w:pPr>
        <w:ind w:left="1520" w:hanging="170"/>
        <w:jc w:val="right"/>
      </w:pPr>
      <w:rPr>
        <w:rFonts w:hint="default" w:ascii="Arial" w:hAnsi="Arial" w:eastAsia="Arial" w:cs="Arial"/>
        <w:b w:val="0"/>
        <w:bCs w:val="0"/>
        <w:i w:val="0"/>
        <w:iCs w:val="0"/>
        <w:color w:val="231F20"/>
        <w:w w:val="68"/>
        <w:sz w:val="19"/>
        <w:szCs w:val="19"/>
        <w:lang w:val="en-US" w:eastAsia="en-US" w:bidi="ar-SA"/>
      </w:rPr>
    </w:lvl>
    <w:lvl w:ilvl="1">
      <w:start w:val="1"/>
      <w:numFmt w:val="decimal"/>
      <w:lvlText w:val="%2."/>
      <w:lvlJc w:val="left"/>
      <w:pPr>
        <w:ind w:left="1609" w:hanging="169"/>
        <w:jc w:val="left"/>
      </w:pPr>
      <w:rPr>
        <w:rFonts w:hint="default" w:ascii="Arial" w:hAnsi="Arial" w:eastAsia="Arial" w:cs="Arial"/>
        <w:b w:val="0"/>
        <w:bCs w:val="0"/>
        <w:i w:val="0"/>
        <w:iCs w:val="0"/>
        <w:color w:val="231F20"/>
        <w:spacing w:val="-1"/>
        <w:w w:val="68"/>
        <w:sz w:val="19"/>
        <w:szCs w:val="19"/>
        <w:lang w:val="en-US" w:eastAsia="en-US" w:bidi="ar-SA"/>
      </w:rPr>
    </w:lvl>
    <w:lvl w:ilvl="2">
      <w:start w:val="0"/>
      <w:numFmt w:val="bullet"/>
      <w:lvlText w:val="•"/>
      <w:lvlJc w:val="left"/>
      <w:pPr>
        <w:ind w:left="2288" w:hanging="169"/>
      </w:pPr>
      <w:rPr>
        <w:rFonts w:hint="default"/>
        <w:lang w:val="en-US" w:eastAsia="en-US" w:bidi="ar-SA"/>
      </w:rPr>
    </w:lvl>
    <w:lvl w:ilvl="3">
      <w:start w:val="0"/>
      <w:numFmt w:val="bullet"/>
      <w:lvlText w:val="•"/>
      <w:lvlJc w:val="left"/>
      <w:pPr>
        <w:ind w:left="2977" w:hanging="169"/>
      </w:pPr>
      <w:rPr>
        <w:rFonts w:hint="default"/>
        <w:lang w:val="en-US" w:eastAsia="en-US" w:bidi="ar-SA"/>
      </w:rPr>
    </w:lvl>
    <w:lvl w:ilvl="4">
      <w:start w:val="0"/>
      <w:numFmt w:val="bullet"/>
      <w:lvlText w:val="•"/>
      <w:lvlJc w:val="left"/>
      <w:pPr>
        <w:ind w:left="3666" w:hanging="169"/>
      </w:pPr>
      <w:rPr>
        <w:rFonts w:hint="default"/>
        <w:lang w:val="en-US" w:eastAsia="en-US" w:bidi="ar-SA"/>
      </w:rPr>
    </w:lvl>
    <w:lvl w:ilvl="5">
      <w:start w:val="0"/>
      <w:numFmt w:val="bullet"/>
      <w:lvlText w:val="•"/>
      <w:lvlJc w:val="left"/>
      <w:pPr>
        <w:ind w:left="4355" w:hanging="169"/>
      </w:pPr>
      <w:rPr>
        <w:rFonts w:hint="default"/>
        <w:lang w:val="en-US" w:eastAsia="en-US" w:bidi="ar-SA"/>
      </w:rPr>
    </w:lvl>
    <w:lvl w:ilvl="6">
      <w:start w:val="0"/>
      <w:numFmt w:val="bullet"/>
      <w:lvlText w:val="•"/>
      <w:lvlJc w:val="left"/>
      <w:pPr>
        <w:ind w:left="5044" w:hanging="169"/>
      </w:pPr>
      <w:rPr>
        <w:rFonts w:hint="default"/>
        <w:lang w:val="en-US" w:eastAsia="en-US" w:bidi="ar-SA"/>
      </w:rPr>
    </w:lvl>
    <w:lvl w:ilvl="7">
      <w:start w:val="0"/>
      <w:numFmt w:val="bullet"/>
      <w:lvlText w:val="•"/>
      <w:lvlJc w:val="left"/>
      <w:pPr>
        <w:ind w:left="5733" w:hanging="169"/>
      </w:pPr>
      <w:rPr>
        <w:rFonts w:hint="default"/>
        <w:lang w:val="en-US" w:eastAsia="en-US" w:bidi="ar-SA"/>
      </w:rPr>
    </w:lvl>
    <w:lvl w:ilvl="8">
      <w:start w:val="0"/>
      <w:numFmt w:val="bullet"/>
      <w:lvlText w:val="•"/>
      <w:lvlJc w:val="left"/>
      <w:pPr>
        <w:ind w:left="6422" w:hanging="169"/>
      </w:pPr>
      <w:rPr>
        <w:rFonts w:hint="default"/>
        <w:lang w:val="en-US" w:eastAsia="en-US" w:bidi="ar-SA"/>
      </w:rPr>
    </w:lvl>
  </w:abstractNum>
  <w:abstractNum w:abstractNumId="50">
    <w:multiLevelType w:val="hybridMultilevel"/>
    <w:lvl w:ilvl="0">
      <w:start w:val="1"/>
      <w:numFmt w:val="decimal"/>
      <w:lvlText w:val="%1."/>
      <w:lvlJc w:val="left"/>
      <w:pPr>
        <w:ind w:left="1610" w:hanging="170"/>
        <w:jc w:val="left"/>
      </w:pPr>
      <w:rPr>
        <w:rFonts w:hint="default" w:ascii="Arial" w:hAnsi="Arial" w:eastAsia="Arial" w:cs="Arial"/>
        <w:b w:val="0"/>
        <w:bCs w:val="0"/>
        <w:i w:val="0"/>
        <w:iCs w:val="0"/>
        <w:color w:val="231F20"/>
        <w:spacing w:val="-1"/>
        <w:w w:val="61"/>
        <w:sz w:val="19"/>
        <w:szCs w:val="19"/>
        <w:lang w:val="en-US" w:eastAsia="en-US" w:bidi="ar-SA"/>
      </w:rPr>
    </w:lvl>
    <w:lvl w:ilvl="1">
      <w:start w:val="0"/>
      <w:numFmt w:val="bullet"/>
      <w:lvlText w:val="•"/>
      <w:lvlJc w:val="left"/>
      <w:pPr>
        <w:ind w:left="2220" w:hanging="170"/>
      </w:pPr>
      <w:rPr>
        <w:rFonts w:hint="default"/>
        <w:lang w:val="en-US" w:eastAsia="en-US" w:bidi="ar-SA"/>
      </w:rPr>
    </w:lvl>
    <w:lvl w:ilvl="2">
      <w:start w:val="0"/>
      <w:numFmt w:val="bullet"/>
      <w:lvlText w:val="•"/>
      <w:lvlJc w:val="left"/>
      <w:pPr>
        <w:ind w:left="2840" w:hanging="170"/>
      </w:pPr>
      <w:rPr>
        <w:rFonts w:hint="default"/>
        <w:lang w:val="en-US" w:eastAsia="en-US" w:bidi="ar-SA"/>
      </w:rPr>
    </w:lvl>
    <w:lvl w:ilvl="3">
      <w:start w:val="0"/>
      <w:numFmt w:val="bullet"/>
      <w:lvlText w:val="•"/>
      <w:lvlJc w:val="left"/>
      <w:pPr>
        <w:ind w:left="3460" w:hanging="170"/>
      </w:pPr>
      <w:rPr>
        <w:rFonts w:hint="default"/>
        <w:lang w:val="en-US" w:eastAsia="en-US" w:bidi="ar-SA"/>
      </w:rPr>
    </w:lvl>
    <w:lvl w:ilvl="4">
      <w:start w:val="0"/>
      <w:numFmt w:val="bullet"/>
      <w:lvlText w:val="•"/>
      <w:lvlJc w:val="left"/>
      <w:pPr>
        <w:ind w:left="4080" w:hanging="170"/>
      </w:pPr>
      <w:rPr>
        <w:rFonts w:hint="default"/>
        <w:lang w:val="en-US" w:eastAsia="en-US" w:bidi="ar-SA"/>
      </w:rPr>
    </w:lvl>
    <w:lvl w:ilvl="5">
      <w:start w:val="0"/>
      <w:numFmt w:val="bullet"/>
      <w:lvlText w:val="•"/>
      <w:lvlJc w:val="left"/>
      <w:pPr>
        <w:ind w:left="4700" w:hanging="170"/>
      </w:pPr>
      <w:rPr>
        <w:rFonts w:hint="default"/>
        <w:lang w:val="en-US" w:eastAsia="en-US" w:bidi="ar-SA"/>
      </w:rPr>
    </w:lvl>
    <w:lvl w:ilvl="6">
      <w:start w:val="0"/>
      <w:numFmt w:val="bullet"/>
      <w:lvlText w:val="•"/>
      <w:lvlJc w:val="left"/>
      <w:pPr>
        <w:ind w:left="5320" w:hanging="170"/>
      </w:pPr>
      <w:rPr>
        <w:rFonts w:hint="default"/>
        <w:lang w:val="en-US" w:eastAsia="en-US" w:bidi="ar-SA"/>
      </w:rPr>
    </w:lvl>
    <w:lvl w:ilvl="7">
      <w:start w:val="0"/>
      <w:numFmt w:val="bullet"/>
      <w:lvlText w:val="•"/>
      <w:lvlJc w:val="left"/>
      <w:pPr>
        <w:ind w:left="5940" w:hanging="170"/>
      </w:pPr>
      <w:rPr>
        <w:rFonts w:hint="default"/>
        <w:lang w:val="en-US" w:eastAsia="en-US" w:bidi="ar-SA"/>
      </w:rPr>
    </w:lvl>
    <w:lvl w:ilvl="8">
      <w:start w:val="0"/>
      <w:numFmt w:val="bullet"/>
      <w:lvlText w:val="•"/>
      <w:lvlJc w:val="left"/>
      <w:pPr>
        <w:ind w:left="6560" w:hanging="170"/>
      </w:pPr>
      <w:rPr>
        <w:rFonts w:hint="default"/>
        <w:lang w:val="en-US" w:eastAsia="en-US" w:bidi="ar-SA"/>
      </w:rPr>
    </w:lvl>
  </w:abstractNum>
  <w:abstractNum w:abstractNumId="49">
    <w:multiLevelType w:val="hybridMultilevel"/>
    <w:lvl w:ilvl="0">
      <w:start w:val="1"/>
      <w:numFmt w:val="decimal"/>
      <w:lvlText w:val="%1."/>
      <w:lvlJc w:val="left"/>
      <w:pPr>
        <w:ind w:left="1610" w:hanging="170"/>
        <w:jc w:val="right"/>
      </w:pPr>
      <w:rPr>
        <w:rFonts w:hint="default" w:ascii="Arial" w:hAnsi="Arial" w:eastAsia="Arial" w:cs="Arial"/>
        <w:b w:val="0"/>
        <w:bCs w:val="0"/>
        <w:i w:val="0"/>
        <w:iCs w:val="0"/>
        <w:color w:val="231F20"/>
        <w:w w:val="68"/>
        <w:sz w:val="19"/>
        <w:szCs w:val="19"/>
        <w:lang w:val="en-US" w:eastAsia="en-US" w:bidi="ar-SA"/>
      </w:rPr>
    </w:lvl>
    <w:lvl w:ilvl="1">
      <w:start w:val="0"/>
      <w:numFmt w:val="bullet"/>
      <w:lvlText w:val="•"/>
      <w:lvlJc w:val="left"/>
      <w:pPr>
        <w:ind w:left="2238" w:hanging="170"/>
      </w:pPr>
      <w:rPr>
        <w:rFonts w:hint="default"/>
        <w:lang w:val="en-US" w:eastAsia="en-US" w:bidi="ar-SA"/>
      </w:rPr>
    </w:lvl>
    <w:lvl w:ilvl="2">
      <w:start w:val="0"/>
      <w:numFmt w:val="bullet"/>
      <w:lvlText w:val="•"/>
      <w:lvlJc w:val="left"/>
      <w:pPr>
        <w:ind w:left="2856" w:hanging="170"/>
      </w:pPr>
      <w:rPr>
        <w:rFonts w:hint="default"/>
        <w:lang w:val="en-US" w:eastAsia="en-US" w:bidi="ar-SA"/>
      </w:rPr>
    </w:lvl>
    <w:lvl w:ilvl="3">
      <w:start w:val="0"/>
      <w:numFmt w:val="bullet"/>
      <w:lvlText w:val="•"/>
      <w:lvlJc w:val="left"/>
      <w:pPr>
        <w:ind w:left="3474" w:hanging="170"/>
      </w:pPr>
      <w:rPr>
        <w:rFonts w:hint="default"/>
        <w:lang w:val="en-US" w:eastAsia="en-US" w:bidi="ar-SA"/>
      </w:rPr>
    </w:lvl>
    <w:lvl w:ilvl="4">
      <w:start w:val="0"/>
      <w:numFmt w:val="bullet"/>
      <w:lvlText w:val="•"/>
      <w:lvlJc w:val="left"/>
      <w:pPr>
        <w:ind w:left="4092" w:hanging="170"/>
      </w:pPr>
      <w:rPr>
        <w:rFonts w:hint="default"/>
        <w:lang w:val="en-US" w:eastAsia="en-US" w:bidi="ar-SA"/>
      </w:rPr>
    </w:lvl>
    <w:lvl w:ilvl="5">
      <w:start w:val="0"/>
      <w:numFmt w:val="bullet"/>
      <w:lvlText w:val="•"/>
      <w:lvlJc w:val="left"/>
      <w:pPr>
        <w:ind w:left="4710" w:hanging="170"/>
      </w:pPr>
      <w:rPr>
        <w:rFonts w:hint="default"/>
        <w:lang w:val="en-US" w:eastAsia="en-US" w:bidi="ar-SA"/>
      </w:rPr>
    </w:lvl>
    <w:lvl w:ilvl="6">
      <w:start w:val="0"/>
      <w:numFmt w:val="bullet"/>
      <w:lvlText w:val="•"/>
      <w:lvlJc w:val="left"/>
      <w:pPr>
        <w:ind w:left="5328" w:hanging="170"/>
      </w:pPr>
      <w:rPr>
        <w:rFonts w:hint="default"/>
        <w:lang w:val="en-US" w:eastAsia="en-US" w:bidi="ar-SA"/>
      </w:rPr>
    </w:lvl>
    <w:lvl w:ilvl="7">
      <w:start w:val="0"/>
      <w:numFmt w:val="bullet"/>
      <w:lvlText w:val="•"/>
      <w:lvlJc w:val="left"/>
      <w:pPr>
        <w:ind w:left="5946" w:hanging="170"/>
      </w:pPr>
      <w:rPr>
        <w:rFonts w:hint="default"/>
        <w:lang w:val="en-US" w:eastAsia="en-US" w:bidi="ar-SA"/>
      </w:rPr>
    </w:lvl>
    <w:lvl w:ilvl="8">
      <w:start w:val="0"/>
      <w:numFmt w:val="bullet"/>
      <w:lvlText w:val="•"/>
      <w:lvlJc w:val="left"/>
      <w:pPr>
        <w:ind w:left="6564" w:hanging="170"/>
      </w:pPr>
      <w:rPr>
        <w:rFonts w:hint="default"/>
        <w:lang w:val="en-US" w:eastAsia="en-US" w:bidi="ar-SA"/>
      </w:rPr>
    </w:lvl>
  </w:abstractNum>
  <w:abstractNum w:abstractNumId="48">
    <w:multiLevelType w:val="hybridMultilevel"/>
    <w:lvl w:ilvl="0">
      <w:start w:val="1"/>
      <w:numFmt w:val="decimal"/>
      <w:lvlText w:val="%1."/>
      <w:lvlJc w:val="left"/>
      <w:pPr>
        <w:ind w:left="1520" w:hanging="170"/>
        <w:jc w:val="right"/>
      </w:pPr>
      <w:rPr>
        <w:rFonts w:hint="default" w:ascii="Arial" w:hAnsi="Arial" w:eastAsia="Arial" w:cs="Arial"/>
        <w:b w:val="0"/>
        <w:bCs w:val="0"/>
        <w:i w:val="0"/>
        <w:iCs w:val="0"/>
        <w:color w:val="231F20"/>
        <w:w w:val="68"/>
        <w:sz w:val="19"/>
        <w:szCs w:val="19"/>
        <w:lang w:val="en-US" w:eastAsia="en-US" w:bidi="ar-SA"/>
      </w:rPr>
    </w:lvl>
    <w:lvl w:ilvl="1">
      <w:start w:val="0"/>
      <w:numFmt w:val="bullet"/>
      <w:lvlText w:val="•"/>
      <w:lvlJc w:val="left"/>
      <w:pPr>
        <w:ind w:left="2148" w:hanging="170"/>
      </w:pPr>
      <w:rPr>
        <w:rFonts w:hint="default"/>
        <w:lang w:val="en-US" w:eastAsia="en-US" w:bidi="ar-SA"/>
      </w:rPr>
    </w:lvl>
    <w:lvl w:ilvl="2">
      <w:start w:val="0"/>
      <w:numFmt w:val="bullet"/>
      <w:lvlText w:val="•"/>
      <w:lvlJc w:val="left"/>
      <w:pPr>
        <w:ind w:left="2776" w:hanging="170"/>
      </w:pPr>
      <w:rPr>
        <w:rFonts w:hint="default"/>
        <w:lang w:val="en-US" w:eastAsia="en-US" w:bidi="ar-SA"/>
      </w:rPr>
    </w:lvl>
    <w:lvl w:ilvl="3">
      <w:start w:val="0"/>
      <w:numFmt w:val="bullet"/>
      <w:lvlText w:val="•"/>
      <w:lvlJc w:val="left"/>
      <w:pPr>
        <w:ind w:left="3404" w:hanging="170"/>
      </w:pPr>
      <w:rPr>
        <w:rFonts w:hint="default"/>
        <w:lang w:val="en-US" w:eastAsia="en-US" w:bidi="ar-SA"/>
      </w:rPr>
    </w:lvl>
    <w:lvl w:ilvl="4">
      <w:start w:val="0"/>
      <w:numFmt w:val="bullet"/>
      <w:lvlText w:val="•"/>
      <w:lvlJc w:val="left"/>
      <w:pPr>
        <w:ind w:left="4032" w:hanging="170"/>
      </w:pPr>
      <w:rPr>
        <w:rFonts w:hint="default"/>
        <w:lang w:val="en-US" w:eastAsia="en-US" w:bidi="ar-SA"/>
      </w:rPr>
    </w:lvl>
    <w:lvl w:ilvl="5">
      <w:start w:val="0"/>
      <w:numFmt w:val="bullet"/>
      <w:lvlText w:val="•"/>
      <w:lvlJc w:val="left"/>
      <w:pPr>
        <w:ind w:left="4660" w:hanging="170"/>
      </w:pPr>
      <w:rPr>
        <w:rFonts w:hint="default"/>
        <w:lang w:val="en-US" w:eastAsia="en-US" w:bidi="ar-SA"/>
      </w:rPr>
    </w:lvl>
    <w:lvl w:ilvl="6">
      <w:start w:val="0"/>
      <w:numFmt w:val="bullet"/>
      <w:lvlText w:val="•"/>
      <w:lvlJc w:val="left"/>
      <w:pPr>
        <w:ind w:left="5288" w:hanging="170"/>
      </w:pPr>
      <w:rPr>
        <w:rFonts w:hint="default"/>
        <w:lang w:val="en-US" w:eastAsia="en-US" w:bidi="ar-SA"/>
      </w:rPr>
    </w:lvl>
    <w:lvl w:ilvl="7">
      <w:start w:val="0"/>
      <w:numFmt w:val="bullet"/>
      <w:lvlText w:val="•"/>
      <w:lvlJc w:val="left"/>
      <w:pPr>
        <w:ind w:left="5916" w:hanging="170"/>
      </w:pPr>
      <w:rPr>
        <w:rFonts w:hint="default"/>
        <w:lang w:val="en-US" w:eastAsia="en-US" w:bidi="ar-SA"/>
      </w:rPr>
    </w:lvl>
    <w:lvl w:ilvl="8">
      <w:start w:val="0"/>
      <w:numFmt w:val="bullet"/>
      <w:lvlText w:val="•"/>
      <w:lvlJc w:val="left"/>
      <w:pPr>
        <w:ind w:left="6544" w:hanging="170"/>
      </w:pPr>
      <w:rPr>
        <w:rFonts w:hint="default"/>
        <w:lang w:val="en-US" w:eastAsia="en-US" w:bidi="ar-SA"/>
      </w:rPr>
    </w:lvl>
  </w:abstractNum>
  <w:abstractNum w:abstractNumId="47">
    <w:multiLevelType w:val="hybridMultilevel"/>
    <w:lvl w:ilvl="0">
      <w:start w:val="1"/>
      <w:numFmt w:val="decimal"/>
      <w:lvlText w:val="%1."/>
      <w:lvlJc w:val="left"/>
      <w:pPr>
        <w:ind w:left="1520" w:hanging="170"/>
        <w:jc w:val="right"/>
      </w:pPr>
      <w:rPr>
        <w:rFonts w:hint="default" w:ascii="Arial" w:hAnsi="Arial" w:eastAsia="Arial" w:cs="Arial"/>
        <w:b w:val="0"/>
        <w:bCs w:val="0"/>
        <w:i w:val="0"/>
        <w:iCs w:val="0"/>
        <w:color w:val="231F20"/>
        <w:w w:val="68"/>
        <w:sz w:val="19"/>
        <w:szCs w:val="19"/>
        <w:lang w:val="en-US" w:eastAsia="en-US" w:bidi="ar-SA"/>
      </w:rPr>
    </w:lvl>
    <w:lvl w:ilvl="1">
      <w:start w:val="0"/>
      <w:numFmt w:val="bullet"/>
      <w:lvlText w:val="•"/>
      <w:lvlJc w:val="left"/>
      <w:pPr>
        <w:ind w:left="2148" w:hanging="170"/>
      </w:pPr>
      <w:rPr>
        <w:rFonts w:hint="default"/>
        <w:lang w:val="en-US" w:eastAsia="en-US" w:bidi="ar-SA"/>
      </w:rPr>
    </w:lvl>
    <w:lvl w:ilvl="2">
      <w:start w:val="0"/>
      <w:numFmt w:val="bullet"/>
      <w:lvlText w:val="•"/>
      <w:lvlJc w:val="left"/>
      <w:pPr>
        <w:ind w:left="2776" w:hanging="170"/>
      </w:pPr>
      <w:rPr>
        <w:rFonts w:hint="default"/>
        <w:lang w:val="en-US" w:eastAsia="en-US" w:bidi="ar-SA"/>
      </w:rPr>
    </w:lvl>
    <w:lvl w:ilvl="3">
      <w:start w:val="0"/>
      <w:numFmt w:val="bullet"/>
      <w:lvlText w:val="•"/>
      <w:lvlJc w:val="left"/>
      <w:pPr>
        <w:ind w:left="3404" w:hanging="170"/>
      </w:pPr>
      <w:rPr>
        <w:rFonts w:hint="default"/>
        <w:lang w:val="en-US" w:eastAsia="en-US" w:bidi="ar-SA"/>
      </w:rPr>
    </w:lvl>
    <w:lvl w:ilvl="4">
      <w:start w:val="0"/>
      <w:numFmt w:val="bullet"/>
      <w:lvlText w:val="•"/>
      <w:lvlJc w:val="left"/>
      <w:pPr>
        <w:ind w:left="4032" w:hanging="170"/>
      </w:pPr>
      <w:rPr>
        <w:rFonts w:hint="default"/>
        <w:lang w:val="en-US" w:eastAsia="en-US" w:bidi="ar-SA"/>
      </w:rPr>
    </w:lvl>
    <w:lvl w:ilvl="5">
      <w:start w:val="0"/>
      <w:numFmt w:val="bullet"/>
      <w:lvlText w:val="•"/>
      <w:lvlJc w:val="left"/>
      <w:pPr>
        <w:ind w:left="4660" w:hanging="170"/>
      </w:pPr>
      <w:rPr>
        <w:rFonts w:hint="default"/>
        <w:lang w:val="en-US" w:eastAsia="en-US" w:bidi="ar-SA"/>
      </w:rPr>
    </w:lvl>
    <w:lvl w:ilvl="6">
      <w:start w:val="0"/>
      <w:numFmt w:val="bullet"/>
      <w:lvlText w:val="•"/>
      <w:lvlJc w:val="left"/>
      <w:pPr>
        <w:ind w:left="5288" w:hanging="170"/>
      </w:pPr>
      <w:rPr>
        <w:rFonts w:hint="default"/>
        <w:lang w:val="en-US" w:eastAsia="en-US" w:bidi="ar-SA"/>
      </w:rPr>
    </w:lvl>
    <w:lvl w:ilvl="7">
      <w:start w:val="0"/>
      <w:numFmt w:val="bullet"/>
      <w:lvlText w:val="•"/>
      <w:lvlJc w:val="left"/>
      <w:pPr>
        <w:ind w:left="5916" w:hanging="170"/>
      </w:pPr>
      <w:rPr>
        <w:rFonts w:hint="default"/>
        <w:lang w:val="en-US" w:eastAsia="en-US" w:bidi="ar-SA"/>
      </w:rPr>
    </w:lvl>
    <w:lvl w:ilvl="8">
      <w:start w:val="0"/>
      <w:numFmt w:val="bullet"/>
      <w:lvlText w:val="•"/>
      <w:lvlJc w:val="left"/>
      <w:pPr>
        <w:ind w:left="6544" w:hanging="170"/>
      </w:pPr>
      <w:rPr>
        <w:rFonts w:hint="default"/>
        <w:lang w:val="en-US" w:eastAsia="en-US" w:bidi="ar-SA"/>
      </w:rPr>
    </w:lvl>
  </w:abstractNum>
  <w:abstractNum w:abstractNumId="46">
    <w:multiLevelType w:val="hybridMultilevel"/>
    <w:lvl w:ilvl="0">
      <w:start w:val="1"/>
      <w:numFmt w:val="decimal"/>
      <w:lvlText w:val="%1."/>
      <w:lvlJc w:val="left"/>
      <w:pPr>
        <w:ind w:left="1610" w:hanging="170"/>
        <w:jc w:val="right"/>
      </w:pPr>
      <w:rPr>
        <w:rFonts w:hint="default" w:ascii="Arial" w:hAnsi="Arial" w:eastAsia="Arial" w:cs="Arial"/>
        <w:b w:val="0"/>
        <w:bCs w:val="0"/>
        <w:i w:val="0"/>
        <w:iCs w:val="0"/>
        <w:color w:val="231F20"/>
        <w:w w:val="68"/>
        <w:sz w:val="19"/>
        <w:szCs w:val="19"/>
        <w:lang w:val="en-US" w:eastAsia="en-US" w:bidi="ar-SA"/>
      </w:rPr>
    </w:lvl>
    <w:lvl w:ilvl="1">
      <w:start w:val="0"/>
      <w:numFmt w:val="bullet"/>
      <w:lvlText w:val="•"/>
      <w:lvlJc w:val="left"/>
      <w:pPr>
        <w:ind w:left="2238" w:hanging="170"/>
      </w:pPr>
      <w:rPr>
        <w:rFonts w:hint="default"/>
        <w:lang w:val="en-US" w:eastAsia="en-US" w:bidi="ar-SA"/>
      </w:rPr>
    </w:lvl>
    <w:lvl w:ilvl="2">
      <w:start w:val="0"/>
      <w:numFmt w:val="bullet"/>
      <w:lvlText w:val="•"/>
      <w:lvlJc w:val="left"/>
      <w:pPr>
        <w:ind w:left="2856" w:hanging="170"/>
      </w:pPr>
      <w:rPr>
        <w:rFonts w:hint="default"/>
        <w:lang w:val="en-US" w:eastAsia="en-US" w:bidi="ar-SA"/>
      </w:rPr>
    </w:lvl>
    <w:lvl w:ilvl="3">
      <w:start w:val="0"/>
      <w:numFmt w:val="bullet"/>
      <w:lvlText w:val="•"/>
      <w:lvlJc w:val="left"/>
      <w:pPr>
        <w:ind w:left="3474" w:hanging="170"/>
      </w:pPr>
      <w:rPr>
        <w:rFonts w:hint="default"/>
        <w:lang w:val="en-US" w:eastAsia="en-US" w:bidi="ar-SA"/>
      </w:rPr>
    </w:lvl>
    <w:lvl w:ilvl="4">
      <w:start w:val="0"/>
      <w:numFmt w:val="bullet"/>
      <w:lvlText w:val="•"/>
      <w:lvlJc w:val="left"/>
      <w:pPr>
        <w:ind w:left="4092" w:hanging="170"/>
      </w:pPr>
      <w:rPr>
        <w:rFonts w:hint="default"/>
        <w:lang w:val="en-US" w:eastAsia="en-US" w:bidi="ar-SA"/>
      </w:rPr>
    </w:lvl>
    <w:lvl w:ilvl="5">
      <w:start w:val="0"/>
      <w:numFmt w:val="bullet"/>
      <w:lvlText w:val="•"/>
      <w:lvlJc w:val="left"/>
      <w:pPr>
        <w:ind w:left="4710" w:hanging="170"/>
      </w:pPr>
      <w:rPr>
        <w:rFonts w:hint="default"/>
        <w:lang w:val="en-US" w:eastAsia="en-US" w:bidi="ar-SA"/>
      </w:rPr>
    </w:lvl>
    <w:lvl w:ilvl="6">
      <w:start w:val="0"/>
      <w:numFmt w:val="bullet"/>
      <w:lvlText w:val="•"/>
      <w:lvlJc w:val="left"/>
      <w:pPr>
        <w:ind w:left="5328" w:hanging="170"/>
      </w:pPr>
      <w:rPr>
        <w:rFonts w:hint="default"/>
        <w:lang w:val="en-US" w:eastAsia="en-US" w:bidi="ar-SA"/>
      </w:rPr>
    </w:lvl>
    <w:lvl w:ilvl="7">
      <w:start w:val="0"/>
      <w:numFmt w:val="bullet"/>
      <w:lvlText w:val="•"/>
      <w:lvlJc w:val="left"/>
      <w:pPr>
        <w:ind w:left="5946" w:hanging="170"/>
      </w:pPr>
      <w:rPr>
        <w:rFonts w:hint="default"/>
        <w:lang w:val="en-US" w:eastAsia="en-US" w:bidi="ar-SA"/>
      </w:rPr>
    </w:lvl>
    <w:lvl w:ilvl="8">
      <w:start w:val="0"/>
      <w:numFmt w:val="bullet"/>
      <w:lvlText w:val="•"/>
      <w:lvlJc w:val="left"/>
      <w:pPr>
        <w:ind w:left="6564" w:hanging="170"/>
      </w:pPr>
      <w:rPr>
        <w:rFonts w:hint="default"/>
        <w:lang w:val="en-US" w:eastAsia="en-US" w:bidi="ar-SA"/>
      </w:rPr>
    </w:lvl>
  </w:abstractNum>
  <w:abstractNum w:abstractNumId="45">
    <w:multiLevelType w:val="hybridMultilevel"/>
    <w:lvl w:ilvl="0">
      <w:start w:val="1"/>
      <w:numFmt w:val="decimal"/>
      <w:lvlText w:val="%1."/>
      <w:lvlJc w:val="left"/>
      <w:pPr>
        <w:ind w:left="1610" w:hanging="170"/>
        <w:jc w:val="left"/>
      </w:pPr>
      <w:rPr>
        <w:rFonts w:hint="default" w:ascii="Arial" w:hAnsi="Arial" w:eastAsia="Arial" w:cs="Arial"/>
        <w:b w:val="0"/>
        <w:bCs w:val="0"/>
        <w:i w:val="0"/>
        <w:iCs w:val="0"/>
        <w:color w:val="231F20"/>
        <w:w w:val="68"/>
        <w:sz w:val="19"/>
        <w:szCs w:val="19"/>
        <w:lang w:val="en-US" w:eastAsia="en-US" w:bidi="ar-SA"/>
      </w:rPr>
    </w:lvl>
    <w:lvl w:ilvl="1">
      <w:start w:val="0"/>
      <w:numFmt w:val="bullet"/>
      <w:lvlText w:val="•"/>
      <w:lvlJc w:val="left"/>
      <w:pPr>
        <w:ind w:left="2238" w:hanging="170"/>
      </w:pPr>
      <w:rPr>
        <w:rFonts w:hint="default"/>
        <w:lang w:val="en-US" w:eastAsia="en-US" w:bidi="ar-SA"/>
      </w:rPr>
    </w:lvl>
    <w:lvl w:ilvl="2">
      <w:start w:val="0"/>
      <w:numFmt w:val="bullet"/>
      <w:lvlText w:val="•"/>
      <w:lvlJc w:val="left"/>
      <w:pPr>
        <w:ind w:left="2856" w:hanging="170"/>
      </w:pPr>
      <w:rPr>
        <w:rFonts w:hint="default"/>
        <w:lang w:val="en-US" w:eastAsia="en-US" w:bidi="ar-SA"/>
      </w:rPr>
    </w:lvl>
    <w:lvl w:ilvl="3">
      <w:start w:val="0"/>
      <w:numFmt w:val="bullet"/>
      <w:lvlText w:val="•"/>
      <w:lvlJc w:val="left"/>
      <w:pPr>
        <w:ind w:left="3474" w:hanging="170"/>
      </w:pPr>
      <w:rPr>
        <w:rFonts w:hint="default"/>
        <w:lang w:val="en-US" w:eastAsia="en-US" w:bidi="ar-SA"/>
      </w:rPr>
    </w:lvl>
    <w:lvl w:ilvl="4">
      <w:start w:val="0"/>
      <w:numFmt w:val="bullet"/>
      <w:lvlText w:val="•"/>
      <w:lvlJc w:val="left"/>
      <w:pPr>
        <w:ind w:left="4092" w:hanging="170"/>
      </w:pPr>
      <w:rPr>
        <w:rFonts w:hint="default"/>
        <w:lang w:val="en-US" w:eastAsia="en-US" w:bidi="ar-SA"/>
      </w:rPr>
    </w:lvl>
    <w:lvl w:ilvl="5">
      <w:start w:val="0"/>
      <w:numFmt w:val="bullet"/>
      <w:lvlText w:val="•"/>
      <w:lvlJc w:val="left"/>
      <w:pPr>
        <w:ind w:left="4710" w:hanging="170"/>
      </w:pPr>
      <w:rPr>
        <w:rFonts w:hint="default"/>
        <w:lang w:val="en-US" w:eastAsia="en-US" w:bidi="ar-SA"/>
      </w:rPr>
    </w:lvl>
    <w:lvl w:ilvl="6">
      <w:start w:val="0"/>
      <w:numFmt w:val="bullet"/>
      <w:lvlText w:val="•"/>
      <w:lvlJc w:val="left"/>
      <w:pPr>
        <w:ind w:left="5328" w:hanging="170"/>
      </w:pPr>
      <w:rPr>
        <w:rFonts w:hint="default"/>
        <w:lang w:val="en-US" w:eastAsia="en-US" w:bidi="ar-SA"/>
      </w:rPr>
    </w:lvl>
    <w:lvl w:ilvl="7">
      <w:start w:val="0"/>
      <w:numFmt w:val="bullet"/>
      <w:lvlText w:val="•"/>
      <w:lvlJc w:val="left"/>
      <w:pPr>
        <w:ind w:left="5946" w:hanging="170"/>
      </w:pPr>
      <w:rPr>
        <w:rFonts w:hint="default"/>
        <w:lang w:val="en-US" w:eastAsia="en-US" w:bidi="ar-SA"/>
      </w:rPr>
    </w:lvl>
    <w:lvl w:ilvl="8">
      <w:start w:val="0"/>
      <w:numFmt w:val="bullet"/>
      <w:lvlText w:val="•"/>
      <w:lvlJc w:val="left"/>
      <w:pPr>
        <w:ind w:left="6564" w:hanging="170"/>
      </w:pPr>
      <w:rPr>
        <w:rFonts w:hint="default"/>
        <w:lang w:val="en-US" w:eastAsia="en-US" w:bidi="ar-SA"/>
      </w:rPr>
    </w:lvl>
  </w:abstractNum>
  <w:abstractNum w:abstractNumId="44">
    <w:multiLevelType w:val="hybridMultilevel"/>
    <w:lvl w:ilvl="0">
      <w:start w:val="0"/>
      <w:numFmt w:val="bullet"/>
      <w:lvlText w:val="•"/>
      <w:lvlJc w:val="left"/>
      <w:pPr>
        <w:ind w:left="1354" w:hanging="186"/>
      </w:pPr>
      <w:rPr>
        <w:rFonts w:hint="default" w:ascii="Arial" w:hAnsi="Arial" w:eastAsia="Arial" w:cs="Arial"/>
        <w:b w:val="0"/>
        <w:bCs w:val="0"/>
        <w:i w:val="0"/>
        <w:iCs w:val="0"/>
        <w:color w:val="231F20"/>
        <w:w w:val="136"/>
        <w:sz w:val="19"/>
        <w:szCs w:val="19"/>
        <w:lang w:val="en-US" w:eastAsia="en-US" w:bidi="ar-SA"/>
      </w:rPr>
    </w:lvl>
    <w:lvl w:ilvl="1">
      <w:start w:val="0"/>
      <w:numFmt w:val="bullet"/>
      <w:lvlText w:val="•"/>
      <w:lvlJc w:val="left"/>
      <w:pPr>
        <w:ind w:left="1445" w:hanging="186"/>
      </w:pPr>
      <w:rPr>
        <w:rFonts w:hint="default" w:ascii="Arial" w:hAnsi="Arial" w:eastAsia="Arial" w:cs="Arial"/>
        <w:b w:val="0"/>
        <w:bCs w:val="0"/>
        <w:i w:val="0"/>
        <w:iCs w:val="0"/>
        <w:color w:val="231F20"/>
        <w:w w:val="136"/>
        <w:sz w:val="19"/>
        <w:szCs w:val="19"/>
        <w:lang w:val="en-US" w:eastAsia="en-US" w:bidi="ar-SA"/>
      </w:rPr>
    </w:lvl>
    <w:lvl w:ilvl="2">
      <w:start w:val="0"/>
      <w:numFmt w:val="bullet"/>
      <w:lvlText w:val="•"/>
      <w:lvlJc w:val="left"/>
      <w:pPr>
        <w:ind w:left="2146" w:hanging="186"/>
      </w:pPr>
      <w:rPr>
        <w:rFonts w:hint="default"/>
        <w:lang w:val="en-US" w:eastAsia="en-US" w:bidi="ar-SA"/>
      </w:rPr>
    </w:lvl>
    <w:lvl w:ilvl="3">
      <w:start w:val="0"/>
      <w:numFmt w:val="bullet"/>
      <w:lvlText w:val="•"/>
      <w:lvlJc w:val="left"/>
      <w:pPr>
        <w:ind w:left="2853" w:hanging="186"/>
      </w:pPr>
      <w:rPr>
        <w:rFonts w:hint="default"/>
        <w:lang w:val="en-US" w:eastAsia="en-US" w:bidi="ar-SA"/>
      </w:rPr>
    </w:lvl>
    <w:lvl w:ilvl="4">
      <w:start w:val="0"/>
      <w:numFmt w:val="bullet"/>
      <w:lvlText w:val="•"/>
      <w:lvlJc w:val="left"/>
      <w:pPr>
        <w:ind w:left="3560" w:hanging="186"/>
      </w:pPr>
      <w:rPr>
        <w:rFonts w:hint="default"/>
        <w:lang w:val="en-US" w:eastAsia="en-US" w:bidi="ar-SA"/>
      </w:rPr>
    </w:lvl>
    <w:lvl w:ilvl="5">
      <w:start w:val="0"/>
      <w:numFmt w:val="bullet"/>
      <w:lvlText w:val="•"/>
      <w:lvlJc w:val="left"/>
      <w:pPr>
        <w:ind w:left="4266" w:hanging="186"/>
      </w:pPr>
      <w:rPr>
        <w:rFonts w:hint="default"/>
        <w:lang w:val="en-US" w:eastAsia="en-US" w:bidi="ar-SA"/>
      </w:rPr>
    </w:lvl>
    <w:lvl w:ilvl="6">
      <w:start w:val="0"/>
      <w:numFmt w:val="bullet"/>
      <w:lvlText w:val="•"/>
      <w:lvlJc w:val="left"/>
      <w:pPr>
        <w:ind w:left="4973" w:hanging="186"/>
      </w:pPr>
      <w:rPr>
        <w:rFonts w:hint="default"/>
        <w:lang w:val="en-US" w:eastAsia="en-US" w:bidi="ar-SA"/>
      </w:rPr>
    </w:lvl>
    <w:lvl w:ilvl="7">
      <w:start w:val="0"/>
      <w:numFmt w:val="bullet"/>
      <w:lvlText w:val="•"/>
      <w:lvlJc w:val="left"/>
      <w:pPr>
        <w:ind w:left="5680" w:hanging="186"/>
      </w:pPr>
      <w:rPr>
        <w:rFonts w:hint="default"/>
        <w:lang w:val="en-US" w:eastAsia="en-US" w:bidi="ar-SA"/>
      </w:rPr>
    </w:lvl>
    <w:lvl w:ilvl="8">
      <w:start w:val="0"/>
      <w:numFmt w:val="bullet"/>
      <w:lvlText w:val="•"/>
      <w:lvlJc w:val="left"/>
      <w:pPr>
        <w:ind w:left="6386" w:hanging="186"/>
      </w:pPr>
      <w:rPr>
        <w:rFonts w:hint="default"/>
        <w:lang w:val="en-US" w:eastAsia="en-US" w:bidi="ar-SA"/>
      </w:rPr>
    </w:lvl>
  </w:abstractNum>
  <w:abstractNum w:abstractNumId="43">
    <w:multiLevelType w:val="hybridMultilevel"/>
    <w:lvl w:ilvl="0">
      <w:start w:val="0"/>
      <w:numFmt w:val="bullet"/>
      <w:lvlText w:val="•"/>
      <w:lvlJc w:val="left"/>
      <w:pPr>
        <w:ind w:left="1445" w:hanging="186"/>
      </w:pPr>
      <w:rPr>
        <w:rFonts w:hint="default" w:ascii="Arial" w:hAnsi="Arial" w:eastAsia="Arial" w:cs="Arial"/>
        <w:b w:val="0"/>
        <w:bCs w:val="0"/>
        <w:i w:val="0"/>
        <w:iCs w:val="0"/>
        <w:color w:val="231F20"/>
        <w:w w:val="136"/>
        <w:sz w:val="19"/>
        <w:szCs w:val="19"/>
        <w:lang w:val="en-US" w:eastAsia="en-US" w:bidi="ar-SA"/>
      </w:rPr>
    </w:lvl>
    <w:lvl w:ilvl="1">
      <w:start w:val="0"/>
      <w:numFmt w:val="bullet"/>
      <w:lvlText w:val="•"/>
      <w:lvlJc w:val="left"/>
      <w:pPr>
        <w:ind w:left="2076" w:hanging="186"/>
      </w:pPr>
      <w:rPr>
        <w:rFonts w:hint="default"/>
        <w:lang w:val="en-US" w:eastAsia="en-US" w:bidi="ar-SA"/>
      </w:rPr>
    </w:lvl>
    <w:lvl w:ilvl="2">
      <w:start w:val="0"/>
      <w:numFmt w:val="bullet"/>
      <w:lvlText w:val="•"/>
      <w:lvlJc w:val="left"/>
      <w:pPr>
        <w:ind w:left="2712" w:hanging="186"/>
      </w:pPr>
      <w:rPr>
        <w:rFonts w:hint="default"/>
        <w:lang w:val="en-US" w:eastAsia="en-US" w:bidi="ar-SA"/>
      </w:rPr>
    </w:lvl>
    <w:lvl w:ilvl="3">
      <w:start w:val="0"/>
      <w:numFmt w:val="bullet"/>
      <w:lvlText w:val="•"/>
      <w:lvlJc w:val="left"/>
      <w:pPr>
        <w:ind w:left="3348" w:hanging="186"/>
      </w:pPr>
      <w:rPr>
        <w:rFonts w:hint="default"/>
        <w:lang w:val="en-US" w:eastAsia="en-US" w:bidi="ar-SA"/>
      </w:rPr>
    </w:lvl>
    <w:lvl w:ilvl="4">
      <w:start w:val="0"/>
      <w:numFmt w:val="bullet"/>
      <w:lvlText w:val="•"/>
      <w:lvlJc w:val="left"/>
      <w:pPr>
        <w:ind w:left="3984" w:hanging="186"/>
      </w:pPr>
      <w:rPr>
        <w:rFonts w:hint="default"/>
        <w:lang w:val="en-US" w:eastAsia="en-US" w:bidi="ar-SA"/>
      </w:rPr>
    </w:lvl>
    <w:lvl w:ilvl="5">
      <w:start w:val="0"/>
      <w:numFmt w:val="bullet"/>
      <w:lvlText w:val="•"/>
      <w:lvlJc w:val="left"/>
      <w:pPr>
        <w:ind w:left="4620" w:hanging="186"/>
      </w:pPr>
      <w:rPr>
        <w:rFonts w:hint="default"/>
        <w:lang w:val="en-US" w:eastAsia="en-US" w:bidi="ar-SA"/>
      </w:rPr>
    </w:lvl>
    <w:lvl w:ilvl="6">
      <w:start w:val="0"/>
      <w:numFmt w:val="bullet"/>
      <w:lvlText w:val="•"/>
      <w:lvlJc w:val="left"/>
      <w:pPr>
        <w:ind w:left="5256" w:hanging="186"/>
      </w:pPr>
      <w:rPr>
        <w:rFonts w:hint="default"/>
        <w:lang w:val="en-US" w:eastAsia="en-US" w:bidi="ar-SA"/>
      </w:rPr>
    </w:lvl>
    <w:lvl w:ilvl="7">
      <w:start w:val="0"/>
      <w:numFmt w:val="bullet"/>
      <w:lvlText w:val="•"/>
      <w:lvlJc w:val="left"/>
      <w:pPr>
        <w:ind w:left="5892" w:hanging="186"/>
      </w:pPr>
      <w:rPr>
        <w:rFonts w:hint="default"/>
        <w:lang w:val="en-US" w:eastAsia="en-US" w:bidi="ar-SA"/>
      </w:rPr>
    </w:lvl>
    <w:lvl w:ilvl="8">
      <w:start w:val="0"/>
      <w:numFmt w:val="bullet"/>
      <w:lvlText w:val="•"/>
      <w:lvlJc w:val="left"/>
      <w:pPr>
        <w:ind w:left="6528" w:hanging="186"/>
      </w:pPr>
      <w:rPr>
        <w:rFonts w:hint="default"/>
        <w:lang w:val="en-US" w:eastAsia="en-US" w:bidi="ar-SA"/>
      </w:rPr>
    </w:lvl>
  </w:abstractNum>
  <w:abstractNum w:abstractNumId="42">
    <w:multiLevelType w:val="hybridMultilevel"/>
    <w:lvl w:ilvl="0">
      <w:start w:val="1"/>
      <w:numFmt w:val="decimal"/>
      <w:lvlText w:val="%1."/>
      <w:lvlJc w:val="left"/>
      <w:pPr>
        <w:ind w:left="1348" w:hanging="179"/>
        <w:jc w:val="right"/>
      </w:pPr>
      <w:rPr>
        <w:rFonts w:hint="default" w:ascii="Arial" w:hAnsi="Arial" w:eastAsia="Arial" w:cs="Arial"/>
        <w:b w:val="0"/>
        <w:bCs w:val="0"/>
        <w:i/>
        <w:iCs/>
        <w:color w:val="231F20"/>
        <w:spacing w:val="-1"/>
        <w:w w:val="75"/>
        <w:sz w:val="19"/>
        <w:szCs w:val="19"/>
        <w:lang w:val="en-US" w:eastAsia="en-US" w:bidi="ar-SA"/>
      </w:rPr>
    </w:lvl>
    <w:lvl w:ilvl="1">
      <w:start w:val="1"/>
      <w:numFmt w:val="decimal"/>
      <w:lvlText w:val="%2."/>
      <w:lvlJc w:val="left"/>
      <w:pPr>
        <w:ind w:left="1519" w:hanging="169"/>
        <w:jc w:val="right"/>
      </w:pPr>
      <w:rPr>
        <w:rFonts w:hint="default" w:ascii="Arial" w:hAnsi="Arial" w:eastAsia="Arial" w:cs="Arial"/>
        <w:b w:val="0"/>
        <w:bCs w:val="0"/>
        <w:i w:val="0"/>
        <w:iCs w:val="0"/>
        <w:color w:val="231F20"/>
        <w:spacing w:val="-1"/>
        <w:w w:val="68"/>
        <w:sz w:val="19"/>
        <w:szCs w:val="19"/>
        <w:lang w:val="en-US" w:eastAsia="en-US" w:bidi="ar-SA"/>
      </w:rPr>
    </w:lvl>
    <w:lvl w:ilvl="2">
      <w:start w:val="0"/>
      <w:numFmt w:val="bullet"/>
      <w:lvlText w:val="•"/>
      <w:lvlJc w:val="left"/>
      <w:pPr>
        <w:ind w:left="2217" w:hanging="169"/>
      </w:pPr>
      <w:rPr>
        <w:rFonts w:hint="default"/>
        <w:lang w:val="en-US" w:eastAsia="en-US" w:bidi="ar-SA"/>
      </w:rPr>
    </w:lvl>
    <w:lvl w:ilvl="3">
      <w:start w:val="0"/>
      <w:numFmt w:val="bullet"/>
      <w:lvlText w:val="•"/>
      <w:lvlJc w:val="left"/>
      <w:pPr>
        <w:ind w:left="2915" w:hanging="169"/>
      </w:pPr>
      <w:rPr>
        <w:rFonts w:hint="default"/>
        <w:lang w:val="en-US" w:eastAsia="en-US" w:bidi="ar-SA"/>
      </w:rPr>
    </w:lvl>
    <w:lvl w:ilvl="4">
      <w:start w:val="0"/>
      <w:numFmt w:val="bullet"/>
      <w:lvlText w:val="•"/>
      <w:lvlJc w:val="left"/>
      <w:pPr>
        <w:ind w:left="3613" w:hanging="169"/>
      </w:pPr>
      <w:rPr>
        <w:rFonts w:hint="default"/>
        <w:lang w:val="en-US" w:eastAsia="en-US" w:bidi="ar-SA"/>
      </w:rPr>
    </w:lvl>
    <w:lvl w:ilvl="5">
      <w:start w:val="0"/>
      <w:numFmt w:val="bullet"/>
      <w:lvlText w:val="•"/>
      <w:lvlJc w:val="left"/>
      <w:pPr>
        <w:ind w:left="4311" w:hanging="169"/>
      </w:pPr>
      <w:rPr>
        <w:rFonts w:hint="default"/>
        <w:lang w:val="en-US" w:eastAsia="en-US" w:bidi="ar-SA"/>
      </w:rPr>
    </w:lvl>
    <w:lvl w:ilvl="6">
      <w:start w:val="0"/>
      <w:numFmt w:val="bullet"/>
      <w:lvlText w:val="•"/>
      <w:lvlJc w:val="left"/>
      <w:pPr>
        <w:ind w:left="5008" w:hanging="169"/>
      </w:pPr>
      <w:rPr>
        <w:rFonts w:hint="default"/>
        <w:lang w:val="en-US" w:eastAsia="en-US" w:bidi="ar-SA"/>
      </w:rPr>
    </w:lvl>
    <w:lvl w:ilvl="7">
      <w:start w:val="0"/>
      <w:numFmt w:val="bullet"/>
      <w:lvlText w:val="•"/>
      <w:lvlJc w:val="left"/>
      <w:pPr>
        <w:ind w:left="5706" w:hanging="169"/>
      </w:pPr>
      <w:rPr>
        <w:rFonts w:hint="default"/>
        <w:lang w:val="en-US" w:eastAsia="en-US" w:bidi="ar-SA"/>
      </w:rPr>
    </w:lvl>
    <w:lvl w:ilvl="8">
      <w:start w:val="0"/>
      <w:numFmt w:val="bullet"/>
      <w:lvlText w:val="•"/>
      <w:lvlJc w:val="left"/>
      <w:pPr>
        <w:ind w:left="6404" w:hanging="169"/>
      </w:pPr>
      <w:rPr>
        <w:rFonts w:hint="default"/>
        <w:lang w:val="en-US" w:eastAsia="en-US" w:bidi="ar-SA"/>
      </w:rPr>
    </w:lvl>
  </w:abstractNum>
  <w:abstractNum w:abstractNumId="40">
    <w:multiLevelType w:val="hybridMultilevel"/>
    <w:lvl w:ilvl="0">
      <w:start w:val="0"/>
      <w:numFmt w:val="bullet"/>
      <w:lvlText w:val="•"/>
      <w:lvlJc w:val="left"/>
      <w:pPr>
        <w:ind w:left="1445" w:hanging="186"/>
      </w:pPr>
      <w:rPr>
        <w:rFonts w:hint="default" w:ascii="Arial" w:hAnsi="Arial" w:eastAsia="Arial" w:cs="Arial"/>
        <w:b w:val="0"/>
        <w:bCs w:val="0"/>
        <w:i w:val="0"/>
        <w:iCs w:val="0"/>
        <w:color w:val="231F20"/>
        <w:w w:val="136"/>
        <w:sz w:val="19"/>
        <w:szCs w:val="19"/>
        <w:lang w:val="en-US" w:eastAsia="en-US" w:bidi="ar-SA"/>
      </w:rPr>
    </w:lvl>
    <w:lvl w:ilvl="1">
      <w:start w:val="0"/>
      <w:numFmt w:val="bullet"/>
      <w:lvlText w:val="•"/>
      <w:lvlJc w:val="left"/>
      <w:pPr>
        <w:ind w:left="2076" w:hanging="186"/>
      </w:pPr>
      <w:rPr>
        <w:rFonts w:hint="default"/>
        <w:lang w:val="en-US" w:eastAsia="en-US" w:bidi="ar-SA"/>
      </w:rPr>
    </w:lvl>
    <w:lvl w:ilvl="2">
      <w:start w:val="0"/>
      <w:numFmt w:val="bullet"/>
      <w:lvlText w:val="•"/>
      <w:lvlJc w:val="left"/>
      <w:pPr>
        <w:ind w:left="2712" w:hanging="186"/>
      </w:pPr>
      <w:rPr>
        <w:rFonts w:hint="default"/>
        <w:lang w:val="en-US" w:eastAsia="en-US" w:bidi="ar-SA"/>
      </w:rPr>
    </w:lvl>
    <w:lvl w:ilvl="3">
      <w:start w:val="0"/>
      <w:numFmt w:val="bullet"/>
      <w:lvlText w:val="•"/>
      <w:lvlJc w:val="left"/>
      <w:pPr>
        <w:ind w:left="3348" w:hanging="186"/>
      </w:pPr>
      <w:rPr>
        <w:rFonts w:hint="default"/>
        <w:lang w:val="en-US" w:eastAsia="en-US" w:bidi="ar-SA"/>
      </w:rPr>
    </w:lvl>
    <w:lvl w:ilvl="4">
      <w:start w:val="0"/>
      <w:numFmt w:val="bullet"/>
      <w:lvlText w:val="•"/>
      <w:lvlJc w:val="left"/>
      <w:pPr>
        <w:ind w:left="3984" w:hanging="186"/>
      </w:pPr>
      <w:rPr>
        <w:rFonts w:hint="default"/>
        <w:lang w:val="en-US" w:eastAsia="en-US" w:bidi="ar-SA"/>
      </w:rPr>
    </w:lvl>
    <w:lvl w:ilvl="5">
      <w:start w:val="0"/>
      <w:numFmt w:val="bullet"/>
      <w:lvlText w:val="•"/>
      <w:lvlJc w:val="left"/>
      <w:pPr>
        <w:ind w:left="4620" w:hanging="186"/>
      </w:pPr>
      <w:rPr>
        <w:rFonts w:hint="default"/>
        <w:lang w:val="en-US" w:eastAsia="en-US" w:bidi="ar-SA"/>
      </w:rPr>
    </w:lvl>
    <w:lvl w:ilvl="6">
      <w:start w:val="0"/>
      <w:numFmt w:val="bullet"/>
      <w:lvlText w:val="•"/>
      <w:lvlJc w:val="left"/>
      <w:pPr>
        <w:ind w:left="5256" w:hanging="186"/>
      </w:pPr>
      <w:rPr>
        <w:rFonts w:hint="default"/>
        <w:lang w:val="en-US" w:eastAsia="en-US" w:bidi="ar-SA"/>
      </w:rPr>
    </w:lvl>
    <w:lvl w:ilvl="7">
      <w:start w:val="0"/>
      <w:numFmt w:val="bullet"/>
      <w:lvlText w:val="•"/>
      <w:lvlJc w:val="left"/>
      <w:pPr>
        <w:ind w:left="5892" w:hanging="186"/>
      </w:pPr>
      <w:rPr>
        <w:rFonts w:hint="default"/>
        <w:lang w:val="en-US" w:eastAsia="en-US" w:bidi="ar-SA"/>
      </w:rPr>
    </w:lvl>
    <w:lvl w:ilvl="8">
      <w:start w:val="0"/>
      <w:numFmt w:val="bullet"/>
      <w:lvlText w:val="•"/>
      <w:lvlJc w:val="left"/>
      <w:pPr>
        <w:ind w:left="6528" w:hanging="186"/>
      </w:pPr>
      <w:rPr>
        <w:rFonts w:hint="default"/>
        <w:lang w:val="en-US" w:eastAsia="en-US" w:bidi="ar-SA"/>
      </w:rPr>
    </w:lvl>
  </w:abstractNum>
  <w:abstractNum w:abstractNumId="39">
    <w:multiLevelType w:val="hybridMultilevel"/>
    <w:lvl w:ilvl="0">
      <w:start w:val="0"/>
      <w:numFmt w:val="bullet"/>
      <w:lvlText w:val="•"/>
      <w:lvlJc w:val="left"/>
      <w:pPr>
        <w:ind w:left="1630" w:hanging="186"/>
      </w:pPr>
      <w:rPr>
        <w:rFonts w:hint="default" w:ascii="Arial" w:hAnsi="Arial" w:eastAsia="Arial" w:cs="Arial"/>
        <w:b w:val="0"/>
        <w:bCs w:val="0"/>
        <w:i w:val="0"/>
        <w:iCs w:val="0"/>
        <w:color w:val="231F20"/>
        <w:w w:val="136"/>
        <w:sz w:val="19"/>
        <w:szCs w:val="19"/>
        <w:lang w:val="en-US" w:eastAsia="en-US" w:bidi="ar-SA"/>
      </w:rPr>
    </w:lvl>
    <w:lvl w:ilvl="1">
      <w:start w:val="0"/>
      <w:numFmt w:val="bullet"/>
      <w:lvlText w:val="•"/>
      <w:lvlJc w:val="left"/>
      <w:pPr>
        <w:ind w:left="2256" w:hanging="186"/>
      </w:pPr>
      <w:rPr>
        <w:rFonts w:hint="default"/>
        <w:lang w:val="en-US" w:eastAsia="en-US" w:bidi="ar-SA"/>
      </w:rPr>
    </w:lvl>
    <w:lvl w:ilvl="2">
      <w:start w:val="0"/>
      <w:numFmt w:val="bullet"/>
      <w:lvlText w:val="•"/>
      <w:lvlJc w:val="left"/>
      <w:pPr>
        <w:ind w:left="2872" w:hanging="186"/>
      </w:pPr>
      <w:rPr>
        <w:rFonts w:hint="default"/>
        <w:lang w:val="en-US" w:eastAsia="en-US" w:bidi="ar-SA"/>
      </w:rPr>
    </w:lvl>
    <w:lvl w:ilvl="3">
      <w:start w:val="0"/>
      <w:numFmt w:val="bullet"/>
      <w:lvlText w:val="•"/>
      <w:lvlJc w:val="left"/>
      <w:pPr>
        <w:ind w:left="3488" w:hanging="186"/>
      </w:pPr>
      <w:rPr>
        <w:rFonts w:hint="default"/>
        <w:lang w:val="en-US" w:eastAsia="en-US" w:bidi="ar-SA"/>
      </w:rPr>
    </w:lvl>
    <w:lvl w:ilvl="4">
      <w:start w:val="0"/>
      <w:numFmt w:val="bullet"/>
      <w:lvlText w:val="•"/>
      <w:lvlJc w:val="left"/>
      <w:pPr>
        <w:ind w:left="4104" w:hanging="186"/>
      </w:pPr>
      <w:rPr>
        <w:rFonts w:hint="default"/>
        <w:lang w:val="en-US" w:eastAsia="en-US" w:bidi="ar-SA"/>
      </w:rPr>
    </w:lvl>
    <w:lvl w:ilvl="5">
      <w:start w:val="0"/>
      <w:numFmt w:val="bullet"/>
      <w:lvlText w:val="•"/>
      <w:lvlJc w:val="left"/>
      <w:pPr>
        <w:ind w:left="4720" w:hanging="186"/>
      </w:pPr>
      <w:rPr>
        <w:rFonts w:hint="default"/>
        <w:lang w:val="en-US" w:eastAsia="en-US" w:bidi="ar-SA"/>
      </w:rPr>
    </w:lvl>
    <w:lvl w:ilvl="6">
      <w:start w:val="0"/>
      <w:numFmt w:val="bullet"/>
      <w:lvlText w:val="•"/>
      <w:lvlJc w:val="left"/>
      <w:pPr>
        <w:ind w:left="5336" w:hanging="186"/>
      </w:pPr>
      <w:rPr>
        <w:rFonts w:hint="default"/>
        <w:lang w:val="en-US" w:eastAsia="en-US" w:bidi="ar-SA"/>
      </w:rPr>
    </w:lvl>
    <w:lvl w:ilvl="7">
      <w:start w:val="0"/>
      <w:numFmt w:val="bullet"/>
      <w:lvlText w:val="•"/>
      <w:lvlJc w:val="left"/>
      <w:pPr>
        <w:ind w:left="5952" w:hanging="186"/>
      </w:pPr>
      <w:rPr>
        <w:rFonts w:hint="default"/>
        <w:lang w:val="en-US" w:eastAsia="en-US" w:bidi="ar-SA"/>
      </w:rPr>
    </w:lvl>
    <w:lvl w:ilvl="8">
      <w:start w:val="0"/>
      <w:numFmt w:val="bullet"/>
      <w:lvlText w:val="•"/>
      <w:lvlJc w:val="left"/>
      <w:pPr>
        <w:ind w:left="6568" w:hanging="186"/>
      </w:pPr>
      <w:rPr>
        <w:rFonts w:hint="default"/>
        <w:lang w:val="en-US" w:eastAsia="en-US" w:bidi="ar-SA"/>
      </w:rPr>
    </w:lvl>
  </w:abstractNum>
  <w:abstractNum w:abstractNumId="38">
    <w:multiLevelType w:val="hybridMultilevel"/>
    <w:lvl w:ilvl="0">
      <w:start w:val="0"/>
      <w:numFmt w:val="bullet"/>
      <w:lvlText w:val=""/>
      <w:lvlJc w:val="left"/>
      <w:pPr>
        <w:ind w:left="1606" w:hanging="177"/>
      </w:pPr>
      <w:rPr>
        <w:rFonts w:hint="default" w:ascii="Symbol" w:hAnsi="Symbol" w:eastAsia="Symbol" w:cs="Symbol"/>
        <w:b w:val="0"/>
        <w:bCs w:val="0"/>
        <w:i w:val="0"/>
        <w:iCs w:val="0"/>
        <w:color w:val="231F20"/>
        <w:w w:val="101"/>
        <w:sz w:val="21"/>
        <w:szCs w:val="21"/>
        <w:lang w:val="en-US" w:eastAsia="en-US" w:bidi="ar-SA"/>
      </w:rPr>
    </w:lvl>
    <w:lvl w:ilvl="1">
      <w:start w:val="0"/>
      <w:numFmt w:val="bullet"/>
      <w:lvlText w:val="•"/>
      <w:lvlJc w:val="left"/>
      <w:pPr>
        <w:ind w:left="1623" w:hanging="177"/>
      </w:pPr>
      <w:rPr>
        <w:rFonts w:hint="default"/>
        <w:lang w:val="en-US" w:eastAsia="en-US" w:bidi="ar-SA"/>
      </w:rPr>
    </w:lvl>
    <w:lvl w:ilvl="2">
      <w:start w:val="0"/>
      <w:numFmt w:val="bullet"/>
      <w:lvlText w:val="•"/>
      <w:lvlJc w:val="left"/>
      <w:pPr>
        <w:ind w:left="1647" w:hanging="177"/>
      </w:pPr>
      <w:rPr>
        <w:rFonts w:hint="default"/>
        <w:lang w:val="en-US" w:eastAsia="en-US" w:bidi="ar-SA"/>
      </w:rPr>
    </w:lvl>
    <w:lvl w:ilvl="3">
      <w:start w:val="0"/>
      <w:numFmt w:val="bullet"/>
      <w:lvlText w:val="•"/>
      <w:lvlJc w:val="left"/>
      <w:pPr>
        <w:ind w:left="1671" w:hanging="177"/>
      </w:pPr>
      <w:rPr>
        <w:rFonts w:hint="default"/>
        <w:lang w:val="en-US" w:eastAsia="en-US" w:bidi="ar-SA"/>
      </w:rPr>
    </w:lvl>
    <w:lvl w:ilvl="4">
      <w:start w:val="0"/>
      <w:numFmt w:val="bullet"/>
      <w:lvlText w:val="•"/>
      <w:lvlJc w:val="left"/>
      <w:pPr>
        <w:ind w:left="1695" w:hanging="177"/>
      </w:pPr>
      <w:rPr>
        <w:rFonts w:hint="default"/>
        <w:lang w:val="en-US" w:eastAsia="en-US" w:bidi="ar-SA"/>
      </w:rPr>
    </w:lvl>
    <w:lvl w:ilvl="5">
      <w:start w:val="0"/>
      <w:numFmt w:val="bullet"/>
      <w:lvlText w:val="•"/>
      <w:lvlJc w:val="left"/>
      <w:pPr>
        <w:ind w:left="1718" w:hanging="177"/>
      </w:pPr>
      <w:rPr>
        <w:rFonts w:hint="default"/>
        <w:lang w:val="en-US" w:eastAsia="en-US" w:bidi="ar-SA"/>
      </w:rPr>
    </w:lvl>
    <w:lvl w:ilvl="6">
      <w:start w:val="0"/>
      <w:numFmt w:val="bullet"/>
      <w:lvlText w:val="•"/>
      <w:lvlJc w:val="left"/>
      <w:pPr>
        <w:ind w:left="1742" w:hanging="177"/>
      </w:pPr>
      <w:rPr>
        <w:rFonts w:hint="default"/>
        <w:lang w:val="en-US" w:eastAsia="en-US" w:bidi="ar-SA"/>
      </w:rPr>
    </w:lvl>
    <w:lvl w:ilvl="7">
      <w:start w:val="0"/>
      <w:numFmt w:val="bullet"/>
      <w:lvlText w:val="•"/>
      <w:lvlJc w:val="left"/>
      <w:pPr>
        <w:ind w:left="1766" w:hanging="177"/>
      </w:pPr>
      <w:rPr>
        <w:rFonts w:hint="default"/>
        <w:lang w:val="en-US" w:eastAsia="en-US" w:bidi="ar-SA"/>
      </w:rPr>
    </w:lvl>
    <w:lvl w:ilvl="8">
      <w:start w:val="0"/>
      <w:numFmt w:val="bullet"/>
      <w:lvlText w:val="•"/>
      <w:lvlJc w:val="left"/>
      <w:pPr>
        <w:ind w:left="1790" w:hanging="177"/>
      </w:pPr>
      <w:rPr>
        <w:rFonts w:hint="default"/>
        <w:lang w:val="en-US" w:eastAsia="en-US" w:bidi="ar-SA"/>
      </w:rPr>
    </w:lvl>
  </w:abstractNum>
  <w:abstractNum w:abstractNumId="37">
    <w:multiLevelType w:val="hybridMultilevel"/>
    <w:lvl w:ilvl="0">
      <w:start w:val="1"/>
      <w:numFmt w:val="decimal"/>
      <w:lvlText w:val="%1."/>
      <w:lvlJc w:val="left"/>
      <w:pPr>
        <w:ind w:left="1260" w:hanging="179"/>
        <w:jc w:val="right"/>
      </w:pPr>
      <w:rPr>
        <w:rFonts w:hint="default" w:ascii="Arial" w:hAnsi="Arial" w:eastAsia="Arial" w:cs="Arial"/>
        <w:b w:val="0"/>
        <w:bCs w:val="0"/>
        <w:i/>
        <w:iCs/>
        <w:color w:val="231F20"/>
        <w:w w:val="75"/>
        <w:sz w:val="19"/>
        <w:szCs w:val="19"/>
        <w:lang w:val="en-US" w:eastAsia="en-US" w:bidi="ar-SA"/>
      </w:rPr>
    </w:lvl>
    <w:lvl w:ilvl="1">
      <w:start w:val="0"/>
      <w:numFmt w:val="bullet"/>
      <w:lvlText w:val="•"/>
      <w:lvlJc w:val="left"/>
      <w:pPr>
        <w:ind w:left="1914" w:hanging="179"/>
      </w:pPr>
      <w:rPr>
        <w:rFonts w:hint="default"/>
        <w:lang w:val="en-US" w:eastAsia="en-US" w:bidi="ar-SA"/>
      </w:rPr>
    </w:lvl>
    <w:lvl w:ilvl="2">
      <w:start w:val="0"/>
      <w:numFmt w:val="bullet"/>
      <w:lvlText w:val="•"/>
      <w:lvlJc w:val="left"/>
      <w:pPr>
        <w:ind w:left="2568" w:hanging="179"/>
      </w:pPr>
      <w:rPr>
        <w:rFonts w:hint="default"/>
        <w:lang w:val="en-US" w:eastAsia="en-US" w:bidi="ar-SA"/>
      </w:rPr>
    </w:lvl>
    <w:lvl w:ilvl="3">
      <w:start w:val="0"/>
      <w:numFmt w:val="bullet"/>
      <w:lvlText w:val="•"/>
      <w:lvlJc w:val="left"/>
      <w:pPr>
        <w:ind w:left="3222" w:hanging="179"/>
      </w:pPr>
      <w:rPr>
        <w:rFonts w:hint="default"/>
        <w:lang w:val="en-US" w:eastAsia="en-US" w:bidi="ar-SA"/>
      </w:rPr>
    </w:lvl>
    <w:lvl w:ilvl="4">
      <w:start w:val="0"/>
      <w:numFmt w:val="bullet"/>
      <w:lvlText w:val="•"/>
      <w:lvlJc w:val="left"/>
      <w:pPr>
        <w:ind w:left="3876" w:hanging="179"/>
      </w:pPr>
      <w:rPr>
        <w:rFonts w:hint="default"/>
        <w:lang w:val="en-US" w:eastAsia="en-US" w:bidi="ar-SA"/>
      </w:rPr>
    </w:lvl>
    <w:lvl w:ilvl="5">
      <w:start w:val="0"/>
      <w:numFmt w:val="bullet"/>
      <w:lvlText w:val="•"/>
      <w:lvlJc w:val="left"/>
      <w:pPr>
        <w:ind w:left="4530" w:hanging="179"/>
      </w:pPr>
      <w:rPr>
        <w:rFonts w:hint="default"/>
        <w:lang w:val="en-US" w:eastAsia="en-US" w:bidi="ar-SA"/>
      </w:rPr>
    </w:lvl>
    <w:lvl w:ilvl="6">
      <w:start w:val="0"/>
      <w:numFmt w:val="bullet"/>
      <w:lvlText w:val="•"/>
      <w:lvlJc w:val="left"/>
      <w:pPr>
        <w:ind w:left="5184" w:hanging="179"/>
      </w:pPr>
      <w:rPr>
        <w:rFonts w:hint="default"/>
        <w:lang w:val="en-US" w:eastAsia="en-US" w:bidi="ar-SA"/>
      </w:rPr>
    </w:lvl>
    <w:lvl w:ilvl="7">
      <w:start w:val="0"/>
      <w:numFmt w:val="bullet"/>
      <w:lvlText w:val="•"/>
      <w:lvlJc w:val="left"/>
      <w:pPr>
        <w:ind w:left="5838" w:hanging="179"/>
      </w:pPr>
      <w:rPr>
        <w:rFonts w:hint="default"/>
        <w:lang w:val="en-US" w:eastAsia="en-US" w:bidi="ar-SA"/>
      </w:rPr>
    </w:lvl>
    <w:lvl w:ilvl="8">
      <w:start w:val="0"/>
      <w:numFmt w:val="bullet"/>
      <w:lvlText w:val="•"/>
      <w:lvlJc w:val="left"/>
      <w:pPr>
        <w:ind w:left="6492" w:hanging="179"/>
      </w:pPr>
      <w:rPr>
        <w:rFonts w:hint="default"/>
        <w:lang w:val="en-US" w:eastAsia="en-US" w:bidi="ar-SA"/>
      </w:rPr>
    </w:lvl>
  </w:abstractNum>
  <w:abstractNum w:abstractNumId="36">
    <w:multiLevelType w:val="hybridMultilevel"/>
    <w:lvl w:ilvl="0">
      <w:start w:val="1"/>
      <w:numFmt w:val="decimal"/>
      <w:lvlText w:val="%1."/>
      <w:lvlJc w:val="left"/>
      <w:pPr>
        <w:ind w:left="1519" w:hanging="177"/>
        <w:jc w:val="right"/>
      </w:pPr>
      <w:rPr>
        <w:rFonts w:hint="default" w:ascii="Arial" w:hAnsi="Arial" w:eastAsia="Arial" w:cs="Arial"/>
        <w:b w:val="0"/>
        <w:bCs w:val="0"/>
        <w:i w:val="0"/>
        <w:iCs w:val="0"/>
        <w:color w:val="231F20"/>
        <w:spacing w:val="-1"/>
        <w:w w:val="73"/>
        <w:sz w:val="19"/>
        <w:szCs w:val="19"/>
        <w:lang w:val="en-US" w:eastAsia="en-US" w:bidi="ar-SA"/>
      </w:rPr>
    </w:lvl>
    <w:lvl w:ilvl="1">
      <w:start w:val="0"/>
      <w:numFmt w:val="bullet"/>
      <w:lvlText w:val="•"/>
      <w:lvlJc w:val="left"/>
      <w:pPr>
        <w:ind w:left="2148" w:hanging="177"/>
      </w:pPr>
      <w:rPr>
        <w:rFonts w:hint="default"/>
        <w:lang w:val="en-US" w:eastAsia="en-US" w:bidi="ar-SA"/>
      </w:rPr>
    </w:lvl>
    <w:lvl w:ilvl="2">
      <w:start w:val="0"/>
      <w:numFmt w:val="bullet"/>
      <w:lvlText w:val="•"/>
      <w:lvlJc w:val="left"/>
      <w:pPr>
        <w:ind w:left="2776" w:hanging="177"/>
      </w:pPr>
      <w:rPr>
        <w:rFonts w:hint="default"/>
        <w:lang w:val="en-US" w:eastAsia="en-US" w:bidi="ar-SA"/>
      </w:rPr>
    </w:lvl>
    <w:lvl w:ilvl="3">
      <w:start w:val="0"/>
      <w:numFmt w:val="bullet"/>
      <w:lvlText w:val="•"/>
      <w:lvlJc w:val="left"/>
      <w:pPr>
        <w:ind w:left="3404" w:hanging="177"/>
      </w:pPr>
      <w:rPr>
        <w:rFonts w:hint="default"/>
        <w:lang w:val="en-US" w:eastAsia="en-US" w:bidi="ar-SA"/>
      </w:rPr>
    </w:lvl>
    <w:lvl w:ilvl="4">
      <w:start w:val="0"/>
      <w:numFmt w:val="bullet"/>
      <w:lvlText w:val="•"/>
      <w:lvlJc w:val="left"/>
      <w:pPr>
        <w:ind w:left="4032" w:hanging="177"/>
      </w:pPr>
      <w:rPr>
        <w:rFonts w:hint="default"/>
        <w:lang w:val="en-US" w:eastAsia="en-US" w:bidi="ar-SA"/>
      </w:rPr>
    </w:lvl>
    <w:lvl w:ilvl="5">
      <w:start w:val="0"/>
      <w:numFmt w:val="bullet"/>
      <w:lvlText w:val="•"/>
      <w:lvlJc w:val="left"/>
      <w:pPr>
        <w:ind w:left="4660" w:hanging="177"/>
      </w:pPr>
      <w:rPr>
        <w:rFonts w:hint="default"/>
        <w:lang w:val="en-US" w:eastAsia="en-US" w:bidi="ar-SA"/>
      </w:rPr>
    </w:lvl>
    <w:lvl w:ilvl="6">
      <w:start w:val="0"/>
      <w:numFmt w:val="bullet"/>
      <w:lvlText w:val="•"/>
      <w:lvlJc w:val="left"/>
      <w:pPr>
        <w:ind w:left="5288" w:hanging="177"/>
      </w:pPr>
      <w:rPr>
        <w:rFonts w:hint="default"/>
        <w:lang w:val="en-US" w:eastAsia="en-US" w:bidi="ar-SA"/>
      </w:rPr>
    </w:lvl>
    <w:lvl w:ilvl="7">
      <w:start w:val="0"/>
      <w:numFmt w:val="bullet"/>
      <w:lvlText w:val="•"/>
      <w:lvlJc w:val="left"/>
      <w:pPr>
        <w:ind w:left="5916" w:hanging="177"/>
      </w:pPr>
      <w:rPr>
        <w:rFonts w:hint="default"/>
        <w:lang w:val="en-US" w:eastAsia="en-US" w:bidi="ar-SA"/>
      </w:rPr>
    </w:lvl>
    <w:lvl w:ilvl="8">
      <w:start w:val="0"/>
      <w:numFmt w:val="bullet"/>
      <w:lvlText w:val="•"/>
      <w:lvlJc w:val="left"/>
      <w:pPr>
        <w:ind w:left="6544" w:hanging="177"/>
      </w:pPr>
      <w:rPr>
        <w:rFonts w:hint="default"/>
        <w:lang w:val="en-US" w:eastAsia="en-US" w:bidi="ar-SA"/>
      </w:rPr>
    </w:lvl>
  </w:abstractNum>
  <w:abstractNum w:abstractNumId="35">
    <w:multiLevelType w:val="hybridMultilevel"/>
    <w:lvl w:ilvl="0">
      <w:start w:val="0"/>
      <w:numFmt w:val="bullet"/>
      <w:lvlText w:val=""/>
      <w:lvlJc w:val="left"/>
      <w:pPr>
        <w:ind w:left="195" w:hanging="177"/>
      </w:pPr>
      <w:rPr>
        <w:rFonts w:hint="default" w:ascii="Symbol" w:hAnsi="Symbol" w:eastAsia="Symbol" w:cs="Symbol"/>
        <w:b w:val="0"/>
        <w:bCs w:val="0"/>
        <w:i w:val="0"/>
        <w:iCs w:val="0"/>
        <w:color w:val="231F20"/>
        <w:w w:val="101"/>
        <w:sz w:val="21"/>
        <w:szCs w:val="21"/>
        <w:lang w:val="en-US" w:eastAsia="en-US" w:bidi="ar-SA"/>
      </w:rPr>
    </w:lvl>
    <w:lvl w:ilvl="1">
      <w:start w:val="0"/>
      <w:numFmt w:val="bullet"/>
      <w:lvlText w:val="•"/>
      <w:lvlJc w:val="left"/>
      <w:pPr>
        <w:ind w:left="840" w:hanging="177"/>
      </w:pPr>
      <w:rPr>
        <w:rFonts w:hint="default"/>
        <w:lang w:val="en-US" w:eastAsia="en-US" w:bidi="ar-SA"/>
      </w:rPr>
    </w:lvl>
    <w:lvl w:ilvl="2">
      <w:start w:val="0"/>
      <w:numFmt w:val="bullet"/>
      <w:lvlText w:val="•"/>
      <w:lvlJc w:val="left"/>
      <w:pPr>
        <w:ind w:left="969" w:hanging="177"/>
      </w:pPr>
      <w:rPr>
        <w:rFonts w:hint="default"/>
        <w:lang w:val="en-US" w:eastAsia="en-US" w:bidi="ar-SA"/>
      </w:rPr>
    </w:lvl>
    <w:lvl w:ilvl="3">
      <w:start w:val="0"/>
      <w:numFmt w:val="bullet"/>
      <w:lvlText w:val="•"/>
      <w:lvlJc w:val="left"/>
      <w:pPr>
        <w:ind w:left="1098" w:hanging="177"/>
      </w:pPr>
      <w:rPr>
        <w:rFonts w:hint="default"/>
        <w:lang w:val="en-US" w:eastAsia="en-US" w:bidi="ar-SA"/>
      </w:rPr>
    </w:lvl>
    <w:lvl w:ilvl="4">
      <w:start w:val="0"/>
      <w:numFmt w:val="bullet"/>
      <w:lvlText w:val="•"/>
      <w:lvlJc w:val="left"/>
      <w:pPr>
        <w:ind w:left="1227" w:hanging="177"/>
      </w:pPr>
      <w:rPr>
        <w:rFonts w:hint="default"/>
        <w:lang w:val="en-US" w:eastAsia="en-US" w:bidi="ar-SA"/>
      </w:rPr>
    </w:lvl>
    <w:lvl w:ilvl="5">
      <w:start w:val="0"/>
      <w:numFmt w:val="bullet"/>
      <w:lvlText w:val="•"/>
      <w:lvlJc w:val="left"/>
      <w:pPr>
        <w:ind w:left="1356" w:hanging="177"/>
      </w:pPr>
      <w:rPr>
        <w:rFonts w:hint="default"/>
        <w:lang w:val="en-US" w:eastAsia="en-US" w:bidi="ar-SA"/>
      </w:rPr>
    </w:lvl>
    <w:lvl w:ilvl="6">
      <w:start w:val="0"/>
      <w:numFmt w:val="bullet"/>
      <w:lvlText w:val="•"/>
      <w:lvlJc w:val="left"/>
      <w:pPr>
        <w:ind w:left="1485" w:hanging="177"/>
      </w:pPr>
      <w:rPr>
        <w:rFonts w:hint="default"/>
        <w:lang w:val="en-US" w:eastAsia="en-US" w:bidi="ar-SA"/>
      </w:rPr>
    </w:lvl>
    <w:lvl w:ilvl="7">
      <w:start w:val="0"/>
      <w:numFmt w:val="bullet"/>
      <w:lvlText w:val="•"/>
      <w:lvlJc w:val="left"/>
      <w:pPr>
        <w:ind w:left="1614" w:hanging="177"/>
      </w:pPr>
      <w:rPr>
        <w:rFonts w:hint="default"/>
        <w:lang w:val="en-US" w:eastAsia="en-US" w:bidi="ar-SA"/>
      </w:rPr>
    </w:lvl>
    <w:lvl w:ilvl="8">
      <w:start w:val="0"/>
      <w:numFmt w:val="bullet"/>
      <w:lvlText w:val="•"/>
      <w:lvlJc w:val="left"/>
      <w:pPr>
        <w:ind w:left="1743" w:hanging="177"/>
      </w:pPr>
      <w:rPr>
        <w:rFonts w:hint="default"/>
        <w:lang w:val="en-US" w:eastAsia="en-US" w:bidi="ar-SA"/>
      </w:rPr>
    </w:lvl>
  </w:abstractNum>
  <w:abstractNum w:abstractNumId="34">
    <w:multiLevelType w:val="hybridMultilevel"/>
    <w:lvl w:ilvl="0">
      <w:start w:val="0"/>
      <w:numFmt w:val="bullet"/>
      <w:lvlText w:val=""/>
      <w:lvlJc w:val="left"/>
      <w:pPr>
        <w:ind w:left="1996" w:hanging="177"/>
      </w:pPr>
      <w:rPr>
        <w:rFonts w:hint="default" w:ascii="Symbol" w:hAnsi="Symbol" w:eastAsia="Symbol" w:cs="Symbol"/>
        <w:b w:val="0"/>
        <w:bCs w:val="0"/>
        <w:i w:val="0"/>
        <w:iCs w:val="0"/>
        <w:color w:val="231F20"/>
        <w:w w:val="101"/>
        <w:sz w:val="21"/>
        <w:szCs w:val="21"/>
        <w:lang w:val="en-US" w:eastAsia="en-US" w:bidi="ar-SA"/>
      </w:rPr>
    </w:lvl>
    <w:lvl w:ilvl="1">
      <w:start w:val="0"/>
      <w:numFmt w:val="bullet"/>
      <w:lvlText w:val="•"/>
      <w:lvlJc w:val="left"/>
      <w:pPr>
        <w:ind w:left="2022" w:hanging="177"/>
      </w:pPr>
      <w:rPr>
        <w:rFonts w:hint="default"/>
        <w:lang w:val="en-US" w:eastAsia="en-US" w:bidi="ar-SA"/>
      </w:rPr>
    </w:lvl>
    <w:lvl w:ilvl="2">
      <w:start w:val="0"/>
      <w:numFmt w:val="bullet"/>
      <w:lvlText w:val="•"/>
      <w:lvlJc w:val="left"/>
      <w:pPr>
        <w:ind w:left="2045" w:hanging="177"/>
      </w:pPr>
      <w:rPr>
        <w:rFonts w:hint="default"/>
        <w:lang w:val="en-US" w:eastAsia="en-US" w:bidi="ar-SA"/>
      </w:rPr>
    </w:lvl>
    <w:lvl w:ilvl="3">
      <w:start w:val="0"/>
      <w:numFmt w:val="bullet"/>
      <w:lvlText w:val="•"/>
      <w:lvlJc w:val="left"/>
      <w:pPr>
        <w:ind w:left="2068" w:hanging="177"/>
      </w:pPr>
      <w:rPr>
        <w:rFonts w:hint="default"/>
        <w:lang w:val="en-US" w:eastAsia="en-US" w:bidi="ar-SA"/>
      </w:rPr>
    </w:lvl>
    <w:lvl w:ilvl="4">
      <w:start w:val="0"/>
      <w:numFmt w:val="bullet"/>
      <w:lvlText w:val="•"/>
      <w:lvlJc w:val="left"/>
      <w:pPr>
        <w:ind w:left="2091" w:hanging="177"/>
      </w:pPr>
      <w:rPr>
        <w:rFonts w:hint="default"/>
        <w:lang w:val="en-US" w:eastAsia="en-US" w:bidi="ar-SA"/>
      </w:rPr>
    </w:lvl>
    <w:lvl w:ilvl="5">
      <w:start w:val="0"/>
      <w:numFmt w:val="bullet"/>
      <w:lvlText w:val="•"/>
      <w:lvlJc w:val="left"/>
      <w:pPr>
        <w:ind w:left="2113" w:hanging="177"/>
      </w:pPr>
      <w:rPr>
        <w:rFonts w:hint="default"/>
        <w:lang w:val="en-US" w:eastAsia="en-US" w:bidi="ar-SA"/>
      </w:rPr>
    </w:lvl>
    <w:lvl w:ilvl="6">
      <w:start w:val="0"/>
      <w:numFmt w:val="bullet"/>
      <w:lvlText w:val="•"/>
      <w:lvlJc w:val="left"/>
      <w:pPr>
        <w:ind w:left="2136" w:hanging="177"/>
      </w:pPr>
      <w:rPr>
        <w:rFonts w:hint="default"/>
        <w:lang w:val="en-US" w:eastAsia="en-US" w:bidi="ar-SA"/>
      </w:rPr>
    </w:lvl>
    <w:lvl w:ilvl="7">
      <w:start w:val="0"/>
      <w:numFmt w:val="bullet"/>
      <w:lvlText w:val="•"/>
      <w:lvlJc w:val="left"/>
      <w:pPr>
        <w:ind w:left="2159" w:hanging="177"/>
      </w:pPr>
      <w:rPr>
        <w:rFonts w:hint="default"/>
        <w:lang w:val="en-US" w:eastAsia="en-US" w:bidi="ar-SA"/>
      </w:rPr>
    </w:lvl>
    <w:lvl w:ilvl="8">
      <w:start w:val="0"/>
      <w:numFmt w:val="bullet"/>
      <w:lvlText w:val="•"/>
      <w:lvlJc w:val="left"/>
      <w:pPr>
        <w:ind w:left="2182" w:hanging="177"/>
      </w:pPr>
      <w:rPr>
        <w:rFonts w:hint="default"/>
        <w:lang w:val="en-US" w:eastAsia="en-US" w:bidi="ar-SA"/>
      </w:rPr>
    </w:lvl>
  </w:abstractNum>
  <w:abstractNum w:abstractNumId="33">
    <w:multiLevelType w:val="hybridMultilevel"/>
    <w:lvl w:ilvl="0">
      <w:start w:val="1"/>
      <w:numFmt w:val="decimal"/>
      <w:lvlText w:val="%1."/>
      <w:lvlJc w:val="left"/>
      <w:pPr>
        <w:ind w:left="1609" w:hanging="169"/>
        <w:jc w:val="right"/>
      </w:pPr>
      <w:rPr>
        <w:rFonts w:hint="default" w:ascii="Arial" w:hAnsi="Arial" w:eastAsia="Arial" w:cs="Arial"/>
        <w:b w:val="0"/>
        <w:bCs w:val="0"/>
        <w:i w:val="0"/>
        <w:iCs w:val="0"/>
        <w:color w:val="231F20"/>
        <w:spacing w:val="-1"/>
        <w:w w:val="68"/>
        <w:sz w:val="19"/>
        <w:szCs w:val="19"/>
        <w:lang w:val="en-US" w:eastAsia="en-US" w:bidi="ar-SA"/>
      </w:rPr>
    </w:lvl>
    <w:lvl w:ilvl="1">
      <w:start w:val="0"/>
      <w:numFmt w:val="bullet"/>
      <w:lvlText w:val="•"/>
      <w:lvlJc w:val="left"/>
      <w:pPr>
        <w:ind w:left="2220" w:hanging="169"/>
      </w:pPr>
      <w:rPr>
        <w:rFonts w:hint="default"/>
        <w:lang w:val="en-US" w:eastAsia="en-US" w:bidi="ar-SA"/>
      </w:rPr>
    </w:lvl>
    <w:lvl w:ilvl="2">
      <w:start w:val="0"/>
      <w:numFmt w:val="bullet"/>
      <w:lvlText w:val="•"/>
      <w:lvlJc w:val="left"/>
      <w:pPr>
        <w:ind w:left="2840" w:hanging="169"/>
      </w:pPr>
      <w:rPr>
        <w:rFonts w:hint="default"/>
        <w:lang w:val="en-US" w:eastAsia="en-US" w:bidi="ar-SA"/>
      </w:rPr>
    </w:lvl>
    <w:lvl w:ilvl="3">
      <w:start w:val="0"/>
      <w:numFmt w:val="bullet"/>
      <w:lvlText w:val="•"/>
      <w:lvlJc w:val="left"/>
      <w:pPr>
        <w:ind w:left="3460" w:hanging="169"/>
      </w:pPr>
      <w:rPr>
        <w:rFonts w:hint="default"/>
        <w:lang w:val="en-US" w:eastAsia="en-US" w:bidi="ar-SA"/>
      </w:rPr>
    </w:lvl>
    <w:lvl w:ilvl="4">
      <w:start w:val="0"/>
      <w:numFmt w:val="bullet"/>
      <w:lvlText w:val="•"/>
      <w:lvlJc w:val="left"/>
      <w:pPr>
        <w:ind w:left="4080" w:hanging="169"/>
      </w:pPr>
      <w:rPr>
        <w:rFonts w:hint="default"/>
        <w:lang w:val="en-US" w:eastAsia="en-US" w:bidi="ar-SA"/>
      </w:rPr>
    </w:lvl>
    <w:lvl w:ilvl="5">
      <w:start w:val="0"/>
      <w:numFmt w:val="bullet"/>
      <w:lvlText w:val="•"/>
      <w:lvlJc w:val="left"/>
      <w:pPr>
        <w:ind w:left="4700" w:hanging="169"/>
      </w:pPr>
      <w:rPr>
        <w:rFonts w:hint="default"/>
        <w:lang w:val="en-US" w:eastAsia="en-US" w:bidi="ar-SA"/>
      </w:rPr>
    </w:lvl>
    <w:lvl w:ilvl="6">
      <w:start w:val="0"/>
      <w:numFmt w:val="bullet"/>
      <w:lvlText w:val="•"/>
      <w:lvlJc w:val="left"/>
      <w:pPr>
        <w:ind w:left="5320" w:hanging="169"/>
      </w:pPr>
      <w:rPr>
        <w:rFonts w:hint="default"/>
        <w:lang w:val="en-US" w:eastAsia="en-US" w:bidi="ar-SA"/>
      </w:rPr>
    </w:lvl>
    <w:lvl w:ilvl="7">
      <w:start w:val="0"/>
      <w:numFmt w:val="bullet"/>
      <w:lvlText w:val="•"/>
      <w:lvlJc w:val="left"/>
      <w:pPr>
        <w:ind w:left="5940" w:hanging="169"/>
      </w:pPr>
      <w:rPr>
        <w:rFonts w:hint="default"/>
        <w:lang w:val="en-US" w:eastAsia="en-US" w:bidi="ar-SA"/>
      </w:rPr>
    </w:lvl>
    <w:lvl w:ilvl="8">
      <w:start w:val="0"/>
      <w:numFmt w:val="bullet"/>
      <w:lvlText w:val="•"/>
      <w:lvlJc w:val="left"/>
      <w:pPr>
        <w:ind w:left="6560" w:hanging="169"/>
      </w:pPr>
      <w:rPr>
        <w:rFonts w:hint="default"/>
        <w:lang w:val="en-US" w:eastAsia="en-US" w:bidi="ar-SA"/>
      </w:rPr>
    </w:lvl>
  </w:abstractNum>
  <w:abstractNum w:abstractNumId="32">
    <w:multiLevelType w:val="hybridMultilevel"/>
    <w:lvl w:ilvl="0">
      <w:start w:val="0"/>
      <w:numFmt w:val="bullet"/>
      <w:lvlText w:val=""/>
      <w:lvlJc w:val="left"/>
      <w:pPr>
        <w:ind w:left="1586" w:hanging="177"/>
      </w:pPr>
      <w:rPr>
        <w:rFonts w:hint="default" w:ascii="Symbol" w:hAnsi="Symbol" w:eastAsia="Symbol" w:cs="Symbol"/>
        <w:b w:val="0"/>
        <w:bCs w:val="0"/>
        <w:i w:val="0"/>
        <w:iCs w:val="0"/>
        <w:color w:val="231F20"/>
        <w:w w:val="101"/>
        <w:sz w:val="21"/>
        <w:szCs w:val="21"/>
        <w:lang w:val="en-US" w:eastAsia="en-US" w:bidi="ar-SA"/>
      </w:rPr>
    </w:lvl>
    <w:lvl w:ilvl="1">
      <w:start w:val="0"/>
      <w:numFmt w:val="bullet"/>
      <w:lvlText w:val="•"/>
      <w:lvlJc w:val="left"/>
      <w:pPr>
        <w:ind w:left="2202" w:hanging="177"/>
      </w:pPr>
      <w:rPr>
        <w:rFonts w:hint="default"/>
        <w:lang w:val="en-US" w:eastAsia="en-US" w:bidi="ar-SA"/>
      </w:rPr>
    </w:lvl>
    <w:lvl w:ilvl="2">
      <w:start w:val="0"/>
      <w:numFmt w:val="bullet"/>
      <w:lvlText w:val="•"/>
      <w:lvlJc w:val="left"/>
      <w:pPr>
        <w:ind w:left="2824" w:hanging="177"/>
      </w:pPr>
      <w:rPr>
        <w:rFonts w:hint="default"/>
        <w:lang w:val="en-US" w:eastAsia="en-US" w:bidi="ar-SA"/>
      </w:rPr>
    </w:lvl>
    <w:lvl w:ilvl="3">
      <w:start w:val="0"/>
      <w:numFmt w:val="bullet"/>
      <w:lvlText w:val="•"/>
      <w:lvlJc w:val="left"/>
      <w:pPr>
        <w:ind w:left="3446" w:hanging="177"/>
      </w:pPr>
      <w:rPr>
        <w:rFonts w:hint="default"/>
        <w:lang w:val="en-US" w:eastAsia="en-US" w:bidi="ar-SA"/>
      </w:rPr>
    </w:lvl>
    <w:lvl w:ilvl="4">
      <w:start w:val="0"/>
      <w:numFmt w:val="bullet"/>
      <w:lvlText w:val="•"/>
      <w:lvlJc w:val="left"/>
      <w:pPr>
        <w:ind w:left="4068" w:hanging="177"/>
      </w:pPr>
      <w:rPr>
        <w:rFonts w:hint="default"/>
        <w:lang w:val="en-US" w:eastAsia="en-US" w:bidi="ar-SA"/>
      </w:rPr>
    </w:lvl>
    <w:lvl w:ilvl="5">
      <w:start w:val="0"/>
      <w:numFmt w:val="bullet"/>
      <w:lvlText w:val="•"/>
      <w:lvlJc w:val="left"/>
      <w:pPr>
        <w:ind w:left="4690" w:hanging="177"/>
      </w:pPr>
      <w:rPr>
        <w:rFonts w:hint="default"/>
        <w:lang w:val="en-US" w:eastAsia="en-US" w:bidi="ar-SA"/>
      </w:rPr>
    </w:lvl>
    <w:lvl w:ilvl="6">
      <w:start w:val="0"/>
      <w:numFmt w:val="bullet"/>
      <w:lvlText w:val="•"/>
      <w:lvlJc w:val="left"/>
      <w:pPr>
        <w:ind w:left="5312" w:hanging="177"/>
      </w:pPr>
      <w:rPr>
        <w:rFonts w:hint="default"/>
        <w:lang w:val="en-US" w:eastAsia="en-US" w:bidi="ar-SA"/>
      </w:rPr>
    </w:lvl>
    <w:lvl w:ilvl="7">
      <w:start w:val="0"/>
      <w:numFmt w:val="bullet"/>
      <w:lvlText w:val="•"/>
      <w:lvlJc w:val="left"/>
      <w:pPr>
        <w:ind w:left="5934" w:hanging="177"/>
      </w:pPr>
      <w:rPr>
        <w:rFonts w:hint="default"/>
        <w:lang w:val="en-US" w:eastAsia="en-US" w:bidi="ar-SA"/>
      </w:rPr>
    </w:lvl>
    <w:lvl w:ilvl="8">
      <w:start w:val="0"/>
      <w:numFmt w:val="bullet"/>
      <w:lvlText w:val="•"/>
      <w:lvlJc w:val="left"/>
      <w:pPr>
        <w:ind w:left="6556" w:hanging="177"/>
      </w:pPr>
      <w:rPr>
        <w:rFonts w:hint="default"/>
        <w:lang w:val="en-US" w:eastAsia="en-US" w:bidi="ar-SA"/>
      </w:rPr>
    </w:lvl>
  </w:abstractNum>
  <w:abstractNum w:abstractNumId="31">
    <w:multiLevelType w:val="hybridMultilevel"/>
    <w:lvl w:ilvl="0">
      <w:start w:val="1"/>
      <w:numFmt w:val="decimal"/>
      <w:lvlText w:val=".%1"/>
      <w:lvlJc w:val="left"/>
      <w:pPr>
        <w:ind w:left="507" w:hanging="179"/>
        <w:jc w:val="left"/>
      </w:pPr>
      <w:rPr>
        <w:rFonts w:hint="default" w:ascii="Arial" w:hAnsi="Arial" w:eastAsia="Arial" w:cs="Arial"/>
        <w:b w:val="0"/>
        <w:bCs w:val="0"/>
        <w:i w:val="0"/>
        <w:iCs w:val="0"/>
        <w:color w:val="231F20"/>
        <w:w w:val="100"/>
        <w:sz w:val="16"/>
        <w:szCs w:val="16"/>
        <w:lang w:val="en-US" w:eastAsia="en-US" w:bidi="ar-SA"/>
      </w:rPr>
    </w:lvl>
    <w:lvl w:ilvl="1">
      <w:start w:val="0"/>
      <w:numFmt w:val="bullet"/>
      <w:lvlText w:val="•"/>
      <w:lvlJc w:val="left"/>
      <w:pPr>
        <w:ind w:left="1445" w:hanging="186"/>
      </w:pPr>
      <w:rPr>
        <w:rFonts w:hint="default" w:ascii="Arial" w:hAnsi="Arial" w:eastAsia="Arial" w:cs="Arial"/>
        <w:b w:val="0"/>
        <w:bCs w:val="0"/>
        <w:i w:val="0"/>
        <w:iCs w:val="0"/>
        <w:color w:val="231F20"/>
        <w:w w:val="136"/>
        <w:sz w:val="19"/>
        <w:szCs w:val="19"/>
        <w:lang w:val="en-US" w:eastAsia="en-US" w:bidi="ar-SA"/>
      </w:rPr>
    </w:lvl>
    <w:lvl w:ilvl="2">
      <w:start w:val="0"/>
      <w:numFmt w:val="bullet"/>
      <w:lvlText w:val="•"/>
      <w:lvlJc w:val="left"/>
      <w:pPr>
        <w:ind w:left="1480" w:hanging="186"/>
      </w:pPr>
      <w:rPr>
        <w:rFonts w:hint="default"/>
        <w:lang w:val="en-US" w:eastAsia="en-US" w:bidi="ar-SA"/>
      </w:rPr>
    </w:lvl>
    <w:lvl w:ilvl="3">
      <w:start w:val="0"/>
      <w:numFmt w:val="bullet"/>
      <w:lvlText w:val="•"/>
      <w:lvlJc w:val="left"/>
      <w:pPr>
        <w:ind w:left="1580" w:hanging="186"/>
      </w:pPr>
      <w:rPr>
        <w:rFonts w:hint="default"/>
        <w:lang w:val="en-US" w:eastAsia="en-US" w:bidi="ar-SA"/>
      </w:rPr>
    </w:lvl>
    <w:lvl w:ilvl="4">
      <w:start w:val="0"/>
      <w:numFmt w:val="bullet"/>
      <w:lvlText w:val="•"/>
      <w:lvlJc w:val="left"/>
      <w:pPr>
        <w:ind w:left="1680" w:hanging="186"/>
      </w:pPr>
      <w:rPr>
        <w:rFonts w:hint="default"/>
        <w:lang w:val="en-US" w:eastAsia="en-US" w:bidi="ar-SA"/>
      </w:rPr>
    </w:lvl>
    <w:lvl w:ilvl="5">
      <w:start w:val="0"/>
      <w:numFmt w:val="bullet"/>
      <w:lvlText w:val="•"/>
      <w:lvlJc w:val="left"/>
      <w:pPr>
        <w:ind w:left="1780" w:hanging="186"/>
      </w:pPr>
      <w:rPr>
        <w:rFonts w:hint="default"/>
        <w:lang w:val="en-US" w:eastAsia="en-US" w:bidi="ar-SA"/>
      </w:rPr>
    </w:lvl>
    <w:lvl w:ilvl="6">
      <w:start w:val="0"/>
      <w:numFmt w:val="bullet"/>
      <w:lvlText w:val="•"/>
      <w:lvlJc w:val="left"/>
      <w:pPr>
        <w:ind w:left="1881" w:hanging="186"/>
      </w:pPr>
      <w:rPr>
        <w:rFonts w:hint="default"/>
        <w:lang w:val="en-US" w:eastAsia="en-US" w:bidi="ar-SA"/>
      </w:rPr>
    </w:lvl>
    <w:lvl w:ilvl="7">
      <w:start w:val="0"/>
      <w:numFmt w:val="bullet"/>
      <w:lvlText w:val="•"/>
      <w:lvlJc w:val="left"/>
      <w:pPr>
        <w:ind w:left="1981" w:hanging="186"/>
      </w:pPr>
      <w:rPr>
        <w:rFonts w:hint="default"/>
        <w:lang w:val="en-US" w:eastAsia="en-US" w:bidi="ar-SA"/>
      </w:rPr>
    </w:lvl>
    <w:lvl w:ilvl="8">
      <w:start w:val="0"/>
      <w:numFmt w:val="bullet"/>
      <w:lvlText w:val="•"/>
      <w:lvlJc w:val="left"/>
      <w:pPr>
        <w:ind w:left="2081" w:hanging="186"/>
      </w:pPr>
      <w:rPr>
        <w:rFonts w:hint="default"/>
        <w:lang w:val="en-US" w:eastAsia="en-US" w:bidi="ar-SA"/>
      </w:rPr>
    </w:lvl>
  </w:abstractNum>
  <w:abstractNum w:abstractNumId="30">
    <w:multiLevelType w:val="hybridMultilevel"/>
    <w:lvl w:ilvl="0">
      <w:start w:val="0"/>
      <w:numFmt w:val="bullet"/>
      <w:lvlText w:val=""/>
      <w:lvlJc w:val="left"/>
      <w:pPr>
        <w:ind w:left="455" w:hanging="167"/>
      </w:pPr>
      <w:rPr>
        <w:rFonts w:hint="default" w:ascii="Symbol" w:hAnsi="Symbol" w:eastAsia="Symbol" w:cs="Symbol"/>
        <w:b w:val="0"/>
        <w:bCs w:val="0"/>
        <w:i w:val="0"/>
        <w:iCs w:val="0"/>
        <w:color w:val="231F20"/>
        <w:w w:val="101"/>
        <w:sz w:val="21"/>
        <w:szCs w:val="21"/>
        <w:lang w:val="en-US" w:eastAsia="en-US" w:bidi="ar-SA"/>
      </w:rPr>
    </w:lvl>
    <w:lvl w:ilvl="1">
      <w:start w:val="0"/>
      <w:numFmt w:val="bullet"/>
      <w:lvlText w:val="•"/>
      <w:lvlJc w:val="left"/>
      <w:pPr>
        <w:ind w:left="645" w:hanging="167"/>
      </w:pPr>
      <w:rPr>
        <w:rFonts w:hint="default"/>
        <w:lang w:val="en-US" w:eastAsia="en-US" w:bidi="ar-SA"/>
      </w:rPr>
    </w:lvl>
    <w:lvl w:ilvl="2">
      <w:start w:val="0"/>
      <w:numFmt w:val="bullet"/>
      <w:lvlText w:val="•"/>
      <w:lvlJc w:val="left"/>
      <w:pPr>
        <w:ind w:left="831" w:hanging="167"/>
      </w:pPr>
      <w:rPr>
        <w:rFonts w:hint="default"/>
        <w:lang w:val="en-US" w:eastAsia="en-US" w:bidi="ar-SA"/>
      </w:rPr>
    </w:lvl>
    <w:lvl w:ilvl="3">
      <w:start w:val="0"/>
      <w:numFmt w:val="bullet"/>
      <w:lvlText w:val="•"/>
      <w:lvlJc w:val="left"/>
      <w:pPr>
        <w:ind w:left="1016" w:hanging="167"/>
      </w:pPr>
      <w:rPr>
        <w:rFonts w:hint="default"/>
        <w:lang w:val="en-US" w:eastAsia="en-US" w:bidi="ar-SA"/>
      </w:rPr>
    </w:lvl>
    <w:lvl w:ilvl="4">
      <w:start w:val="0"/>
      <w:numFmt w:val="bullet"/>
      <w:lvlText w:val="•"/>
      <w:lvlJc w:val="left"/>
      <w:pPr>
        <w:ind w:left="1202" w:hanging="167"/>
      </w:pPr>
      <w:rPr>
        <w:rFonts w:hint="default"/>
        <w:lang w:val="en-US" w:eastAsia="en-US" w:bidi="ar-SA"/>
      </w:rPr>
    </w:lvl>
    <w:lvl w:ilvl="5">
      <w:start w:val="0"/>
      <w:numFmt w:val="bullet"/>
      <w:lvlText w:val="•"/>
      <w:lvlJc w:val="left"/>
      <w:pPr>
        <w:ind w:left="1387" w:hanging="167"/>
      </w:pPr>
      <w:rPr>
        <w:rFonts w:hint="default"/>
        <w:lang w:val="en-US" w:eastAsia="en-US" w:bidi="ar-SA"/>
      </w:rPr>
    </w:lvl>
    <w:lvl w:ilvl="6">
      <w:start w:val="0"/>
      <w:numFmt w:val="bullet"/>
      <w:lvlText w:val="•"/>
      <w:lvlJc w:val="left"/>
      <w:pPr>
        <w:ind w:left="1573" w:hanging="167"/>
      </w:pPr>
      <w:rPr>
        <w:rFonts w:hint="default"/>
        <w:lang w:val="en-US" w:eastAsia="en-US" w:bidi="ar-SA"/>
      </w:rPr>
    </w:lvl>
    <w:lvl w:ilvl="7">
      <w:start w:val="0"/>
      <w:numFmt w:val="bullet"/>
      <w:lvlText w:val="•"/>
      <w:lvlJc w:val="left"/>
      <w:pPr>
        <w:ind w:left="1758" w:hanging="167"/>
      </w:pPr>
      <w:rPr>
        <w:rFonts w:hint="default"/>
        <w:lang w:val="en-US" w:eastAsia="en-US" w:bidi="ar-SA"/>
      </w:rPr>
    </w:lvl>
    <w:lvl w:ilvl="8">
      <w:start w:val="0"/>
      <w:numFmt w:val="bullet"/>
      <w:lvlText w:val="•"/>
      <w:lvlJc w:val="left"/>
      <w:pPr>
        <w:ind w:left="1944" w:hanging="167"/>
      </w:pPr>
      <w:rPr>
        <w:rFonts w:hint="default"/>
        <w:lang w:val="en-US" w:eastAsia="en-US" w:bidi="ar-SA"/>
      </w:rPr>
    </w:lvl>
  </w:abstractNum>
  <w:abstractNum w:abstractNumId="29">
    <w:multiLevelType w:val="hybridMultilevel"/>
    <w:lvl w:ilvl="0">
      <w:start w:val="1"/>
      <w:numFmt w:val="decimal"/>
      <w:lvlText w:val="%1."/>
      <w:lvlJc w:val="left"/>
      <w:pPr>
        <w:ind w:left="1520" w:hanging="170"/>
        <w:jc w:val="right"/>
      </w:pPr>
      <w:rPr>
        <w:rFonts w:hint="default" w:ascii="Arial" w:hAnsi="Arial" w:eastAsia="Arial" w:cs="Arial"/>
        <w:b w:val="0"/>
        <w:bCs w:val="0"/>
        <w:i w:val="0"/>
        <w:iCs w:val="0"/>
        <w:color w:val="231F20"/>
        <w:w w:val="68"/>
        <w:sz w:val="19"/>
        <w:szCs w:val="19"/>
        <w:lang w:val="en-US" w:eastAsia="en-US" w:bidi="ar-SA"/>
      </w:rPr>
    </w:lvl>
    <w:lvl w:ilvl="1">
      <w:start w:val="1"/>
      <w:numFmt w:val="decimal"/>
      <w:lvlText w:val="%2."/>
      <w:lvlJc w:val="left"/>
      <w:pPr>
        <w:ind w:left="1610" w:hanging="170"/>
        <w:jc w:val="right"/>
      </w:pPr>
      <w:rPr>
        <w:rFonts w:hint="default" w:ascii="Arial" w:hAnsi="Arial" w:eastAsia="Arial" w:cs="Arial"/>
        <w:b w:val="0"/>
        <w:bCs w:val="0"/>
        <w:i w:val="0"/>
        <w:iCs w:val="0"/>
        <w:color w:val="231F20"/>
        <w:w w:val="68"/>
        <w:sz w:val="19"/>
        <w:szCs w:val="19"/>
        <w:lang w:val="en-US" w:eastAsia="en-US" w:bidi="ar-SA"/>
      </w:rPr>
    </w:lvl>
    <w:lvl w:ilvl="2">
      <w:start w:val="0"/>
      <w:numFmt w:val="bullet"/>
      <w:lvlText w:val="•"/>
      <w:lvlJc w:val="left"/>
      <w:pPr>
        <w:ind w:left="2306" w:hanging="170"/>
      </w:pPr>
      <w:rPr>
        <w:rFonts w:hint="default"/>
        <w:lang w:val="en-US" w:eastAsia="en-US" w:bidi="ar-SA"/>
      </w:rPr>
    </w:lvl>
    <w:lvl w:ilvl="3">
      <w:start w:val="0"/>
      <w:numFmt w:val="bullet"/>
      <w:lvlText w:val="•"/>
      <w:lvlJc w:val="left"/>
      <w:pPr>
        <w:ind w:left="2993" w:hanging="170"/>
      </w:pPr>
      <w:rPr>
        <w:rFonts w:hint="default"/>
        <w:lang w:val="en-US" w:eastAsia="en-US" w:bidi="ar-SA"/>
      </w:rPr>
    </w:lvl>
    <w:lvl w:ilvl="4">
      <w:start w:val="0"/>
      <w:numFmt w:val="bullet"/>
      <w:lvlText w:val="•"/>
      <w:lvlJc w:val="left"/>
      <w:pPr>
        <w:ind w:left="3680" w:hanging="170"/>
      </w:pPr>
      <w:rPr>
        <w:rFonts w:hint="default"/>
        <w:lang w:val="en-US" w:eastAsia="en-US" w:bidi="ar-SA"/>
      </w:rPr>
    </w:lvl>
    <w:lvl w:ilvl="5">
      <w:start w:val="0"/>
      <w:numFmt w:val="bullet"/>
      <w:lvlText w:val="•"/>
      <w:lvlJc w:val="left"/>
      <w:pPr>
        <w:ind w:left="4366" w:hanging="170"/>
      </w:pPr>
      <w:rPr>
        <w:rFonts w:hint="default"/>
        <w:lang w:val="en-US" w:eastAsia="en-US" w:bidi="ar-SA"/>
      </w:rPr>
    </w:lvl>
    <w:lvl w:ilvl="6">
      <w:start w:val="0"/>
      <w:numFmt w:val="bullet"/>
      <w:lvlText w:val="•"/>
      <w:lvlJc w:val="left"/>
      <w:pPr>
        <w:ind w:left="5053" w:hanging="170"/>
      </w:pPr>
      <w:rPr>
        <w:rFonts w:hint="default"/>
        <w:lang w:val="en-US" w:eastAsia="en-US" w:bidi="ar-SA"/>
      </w:rPr>
    </w:lvl>
    <w:lvl w:ilvl="7">
      <w:start w:val="0"/>
      <w:numFmt w:val="bullet"/>
      <w:lvlText w:val="•"/>
      <w:lvlJc w:val="left"/>
      <w:pPr>
        <w:ind w:left="5740" w:hanging="170"/>
      </w:pPr>
      <w:rPr>
        <w:rFonts w:hint="default"/>
        <w:lang w:val="en-US" w:eastAsia="en-US" w:bidi="ar-SA"/>
      </w:rPr>
    </w:lvl>
    <w:lvl w:ilvl="8">
      <w:start w:val="0"/>
      <w:numFmt w:val="bullet"/>
      <w:lvlText w:val="•"/>
      <w:lvlJc w:val="left"/>
      <w:pPr>
        <w:ind w:left="6426" w:hanging="170"/>
      </w:pPr>
      <w:rPr>
        <w:rFonts w:hint="default"/>
        <w:lang w:val="en-US" w:eastAsia="en-US" w:bidi="ar-SA"/>
      </w:rPr>
    </w:lvl>
  </w:abstractNum>
  <w:abstractNum w:abstractNumId="28">
    <w:multiLevelType w:val="hybridMultilevel"/>
    <w:lvl w:ilvl="0">
      <w:start w:val="1"/>
      <w:numFmt w:val="decimal"/>
      <w:lvlText w:val="%1."/>
      <w:lvlJc w:val="left"/>
      <w:pPr>
        <w:ind w:left="1610" w:hanging="170"/>
        <w:jc w:val="right"/>
      </w:pPr>
      <w:rPr>
        <w:rFonts w:hint="default" w:ascii="Arial" w:hAnsi="Arial" w:eastAsia="Arial" w:cs="Arial"/>
        <w:b w:val="0"/>
        <w:bCs w:val="0"/>
        <w:i w:val="0"/>
        <w:iCs w:val="0"/>
        <w:color w:val="231F20"/>
        <w:w w:val="68"/>
        <w:sz w:val="19"/>
        <w:szCs w:val="19"/>
        <w:lang w:val="en-US" w:eastAsia="en-US" w:bidi="ar-SA"/>
      </w:rPr>
    </w:lvl>
    <w:lvl w:ilvl="1">
      <w:start w:val="0"/>
      <w:numFmt w:val="bullet"/>
      <w:lvlText w:val="•"/>
      <w:lvlJc w:val="left"/>
      <w:pPr>
        <w:ind w:left="2220" w:hanging="170"/>
      </w:pPr>
      <w:rPr>
        <w:rFonts w:hint="default"/>
        <w:lang w:val="en-US" w:eastAsia="en-US" w:bidi="ar-SA"/>
      </w:rPr>
    </w:lvl>
    <w:lvl w:ilvl="2">
      <w:start w:val="0"/>
      <w:numFmt w:val="bullet"/>
      <w:lvlText w:val="•"/>
      <w:lvlJc w:val="left"/>
      <w:pPr>
        <w:ind w:left="2840" w:hanging="170"/>
      </w:pPr>
      <w:rPr>
        <w:rFonts w:hint="default"/>
        <w:lang w:val="en-US" w:eastAsia="en-US" w:bidi="ar-SA"/>
      </w:rPr>
    </w:lvl>
    <w:lvl w:ilvl="3">
      <w:start w:val="0"/>
      <w:numFmt w:val="bullet"/>
      <w:lvlText w:val="•"/>
      <w:lvlJc w:val="left"/>
      <w:pPr>
        <w:ind w:left="3460" w:hanging="170"/>
      </w:pPr>
      <w:rPr>
        <w:rFonts w:hint="default"/>
        <w:lang w:val="en-US" w:eastAsia="en-US" w:bidi="ar-SA"/>
      </w:rPr>
    </w:lvl>
    <w:lvl w:ilvl="4">
      <w:start w:val="0"/>
      <w:numFmt w:val="bullet"/>
      <w:lvlText w:val="•"/>
      <w:lvlJc w:val="left"/>
      <w:pPr>
        <w:ind w:left="4080" w:hanging="170"/>
      </w:pPr>
      <w:rPr>
        <w:rFonts w:hint="default"/>
        <w:lang w:val="en-US" w:eastAsia="en-US" w:bidi="ar-SA"/>
      </w:rPr>
    </w:lvl>
    <w:lvl w:ilvl="5">
      <w:start w:val="0"/>
      <w:numFmt w:val="bullet"/>
      <w:lvlText w:val="•"/>
      <w:lvlJc w:val="left"/>
      <w:pPr>
        <w:ind w:left="4700" w:hanging="170"/>
      </w:pPr>
      <w:rPr>
        <w:rFonts w:hint="default"/>
        <w:lang w:val="en-US" w:eastAsia="en-US" w:bidi="ar-SA"/>
      </w:rPr>
    </w:lvl>
    <w:lvl w:ilvl="6">
      <w:start w:val="0"/>
      <w:numFmt w:val="bullet"/>
      <w:lvlText w:val="•"/>
      <w:lvlJc w:val="left"/>
      <w:pPr>
        <w:ind w:left="5320" w:hanging="170"/>
      </w:pPr>
      <w:rPr>
        <w:rFonts w:hint="default"/>
        <w:lang w:val="en-US" w:eastAsia="en-US" w:bidi="ar-SA"/>
      </w:rPr>
    </w:lvl>
    <w:lvl w:ilvl="7">
      <w:start w:val="0"/>
      <w:numFmt w:val="bullet"/>
      <w:lvlText w:val="•"/>
      <w:lvlJc w:val="left"/>
      <w:pPr>
        <w:ind w:left="5940" w:hanging="170"/>
      </w:pPr>
      <w:rPr>
        <w:rFonts w:hint="default"/>
        <w:lang w:val="en-US" w:eastAsia="en-US" w:bidi="ar-SA"/>
      </w:rPr>
    </w:lvl>
    <w:lvl w:ilvl="8">
      <w:start w:val="0"/>
      <w:numFmt w:val="bullet"/>
      <w:lvlText w:val="•"/>
      <w:lvlJc w:val="left"/>
      <w:pPr>
        <w:ind w:left="6560" w:hanging="170"/>
      </w:pPr>
      <w:rPr>
        <w:rFonts w:hint="default"/>
        <w:lang w:val="en-US" w:eastAsia="en-US" w:bidi="ar-SA"/>
      </w:rPr>
    </w:lvl>
  </w:abstractNum>
  <w:abstractNum w:abstractNumId="27">
    <w:multiLevelType w:val="hybridMultilevel"/>
    <w:lvl w:ilvl="0">
      <w:start w:val="0"/>
      <w:numFmt w:val="bullet"/>
      <w:lvlText w:val="*"/>
      <w:lvlJc w:val="left"/>
      <w:pPr>
        <w:ind w:left="920" w:hanging="158"/>
      </w:pPr>
      <w:rPr>
        <w:rFonts w:hint="default" w:ascii="Cambria" w:hAnsi="Cambria" w:eastAsia="Cambria" w:cs="Cambria"/>
        <w:b w:val="0"/>
        <w:bCs w:val="0"/>
        <w:i w:val="0"/>
        <w:iCs w:val="0"/>
        <w:color w:val="231F20"/>
        <w:w w:val="133"/>
        <w:sz w:val="19"/>
        <w:szCs w:val="19"/>
        <w:lang w:val="en-US" w:eastAsia="en-US" w:bidi="ar-SA"/>
      </w:rPr>
    </w:lvl>
    <w:lvl w:ilvl="1">
      <w:start w:val="0"/>
      <w:numFmt w:val="bullet"/>
      <w:lvlText w:val="•"/>
      <w:lvlJc w:val="left"/>
      <w:pPr>
        <w:ind w:left="1355" w:hanging="186"/>
      </w:pPr>
      <w:rPr>
        <w:rFonts w:hint="default" w:ascii="Arial" w:hAnsi="Arial" w:eastAsia="Arial" w:cs="Arial"/>
        <w:b w:val="0"/>
        <w:bCs w:val="0"/>
        <w:i w:val="0"/>
        <w:iCs w:val="0"/>
        <w:color w:val="231F20"/>
        <w:w w:val="136"/>
        <w:sz w:val="19"/>
        <w:szCs w:val="19"/>
        <w:lang w:val="en-US" w:eastAsia="en-US" w:bidi="ar-SA"/>
      </w:rPr>
    </w:lvl>
    <w:lvl w:ilvl="2">
      <w:start w:val="0"/>
      <w:numFmt w:val="bullet"/>
      <w:lvlText w:val="•"/>
      <w:lvlJc w:val="left"/>
      <w:pPr>
        <w:ind w:left="2075" w:hanging="186"/>
      </w:pPr>
      <w:rPr>
        <w:rFonts w:hint="default"/>
        <w:lang w:val="en-US" w:eastAsia="en-US" w:bidi="ar-SA"/>
      </w:rPr>
    </w:lvl>
    <w:lvl w:ilvl="3">
      <w:start w:val="0"/>
      <w:numFmt w:val="bullet"/>
      <w:lvlText w:val="•"/>
      <w:lvlJc w:val="left"/>
      <w:pPr>
        <w:ind w:left="2791" w:hanging="186"/>
      </w:pPr>
      <w:rPr>
        <w:rFonts w:hint="default"/>
        <w:lang w:val="en-US" w:eastAsia="en-US" w:bidi="ar-SA"/>
      </w:rPr>
    </w:lvl>
    <w:lvl w:ilvl="4">
      <w:start w:val="0"/>
      <w:numFmt w:val="bullet"/>
      <w:lvlText w:val="•"/>
      <w:lvlJc w:val="left"/>
      <w:pPr>
        <w:ind w:left="3506" w:hanging="186"/>
      </w:pPr>
      <w:rPr>
        <w:rFonts w:hint="default"/>
        <w:lang w:val="en-US" w:eastAsia="en-US" w:bidi="ar-SA"/>
      </w:rPr>
    </w:lvl>
    <w:lvl w:ilvl="5">
      <w:start w:val="0"/>
      <w:numFmt w:val="bullet"/>
      <w:lvlText w:val="•"/>
      <w:lvlJc w:val="left"/>
      <w:pPr>
        <w:ind w:left="4222" w:hanging="186"/>
      </w:pPr>
      <w:rPr>
        <w:rFonts w:hint="default"/>
        <w:lang w:val="en-US" w:eastAsia="en-US" w:bidi="ar-SA"/>
      </w:rPr>
    </w:lvl>
    <w:lvl w:ilvl="6">
      <w:start w:val="0"/>
      <w:numFmt w:val="bullet"/>
      <w:lvlText w:val="•"/>
      <w:lvlJc w:val="left"/>
      <w:pPr>
        <w:ind w:left="4937" w:hanging="186"/>
      </w:pPr>
      <w:rPr>
        <w:rFonts w:hint="default"/>
        <w:lang w:val="en-US" w:eastAsia="en-US" w:bidi="ar-SA"/>
      </w:rPr>
    </w:lvl>
    <w:lvl w:ilvl="7">
      <w:start w:val="0"/>
      <w:numFmt w:val="bullet"/>
      <w:lvlText w:val="•"/>
      <w:lvlJc w:val="left"/>
      <w:pPr>
        <w:ind w:left="5653" w:hanging="186"/>
      </w:pPr>
      <w:rPr>
        <w:rFonts w:hint="default"/>
        <w:lang w:val="en-US" w:eastAsia="en-US" w:bidi="ar-SA"/>
      </w:rPr>
    </w:lvl>
    <w:lvl w:ilvl="8">
      <w:start w:val="0"/>
      <w:numFmt w:val="bullet"/>
      <w:lvlText w:val="•"/>
      <w:lvlJc w:val="left"/>
      <w:pPr>
        <w:ind w:left="6368" w:hanging="186"/>
      </w:pPr>
      <w:rPr>
        <w:rFonts w:hint="default"/>
        <w:lang w:val="en-US" w:eastAsia="en-US" w:bidi="ar-SA"/>
      </w:rPr>
    </w:lvl>
  </w:abstractNum>
  <w:abstractNum w:abstractNumId="26">
    <w:multiLevelType w:val="hybridMultilevel"/>
    <w:lvl w:ilvl="0">
      <w:start w:val="1"/>
      <w:numFmt w:val="decimal"/>
      <w:lvlText w:val="%1."/>
      <w:lvlJc w:val="left"/>
      <w:pPr>
        <w:ind w:left="1610" w:hanging="177"/>
        <w:jc w:val="right"/>
      </w:pPr>
      <w:rPr>
        <w:rFonts w:hint="default" w:ascii="Arial" w:hAnsi="Arial" w:eastAsia="Arial" w:cs="Arial"/>
        <w:b w:val="0"/>
        <w:bCs w:val="0"/>
        <w:i w:val="0"/>
        <w:iCs w:val="0"/>
        <w:color w:val="231F20"/>
        <w:w w:val="65"/>
        <w:sz w:val="19"/>
        <w:szCs w:val="19"/>
        <w:lang w:val="en-US" w:eastAsia="en-US" w:bidi="ar-SA"/>
      </w:rPr>
    </w:lvl>
    <w:lvl w:ilvl="1">
      <w:start w:val="0"/>
      <w:numFmt w:val="bullet"/>
      <w:lvlText w:val="•"/>
      <w:lvlJc w:val="left"/>
      <w:pPr>
        <w:ind w:left="2238" w:hanging="177"/>
      </w:pPr>
      <w:rPr>
        <w:rFonts w:hint="default"/>
        <w:lang w:val="en-US" w:eastAsia="en-US" w:bidi="ar-SA"/>
      </w:rPr>
    </w:lvl>
    <w:lvl w:ilvl="2">
      <w:start w:val="0"/>
      <w:numFmt w:val="bullet"/>
      <w:lvlText w:val="•"/>
      <w:lvlJc w:val="left"/>
      <w:pPr>
        <w:ind w:left="2856" w:hanging="177"/>
      </w:pPr>
      <w:rPr>
        <w:rFonts w:hint="default"/>
        <w:lang w:val="en-US" w:eastAsia="en-US" w:bidi="ar-SA"/>
      </w:rPr>
    </w:lvl>
    <w:lvl w:ilvl="3">
      <w:start w:val="0"/>
      <w:numFmt w:val="bullet"/>
      <w:lvlText w:val="•"/>
      <w:lvlJc w:val="left"/>
      <w:pPr>
        <w:ind w:left="3474" w:hanging="177"/>
      </w:pPr>
      <w:rPr>
        <w:rFonts w:hint="default"/>
        <w:lang w:val="en-US" w:eastAsia="en-US" w:bidi="ar-SA"/>
      </w:rPr>
    </w:lvl>
    <w:lvl w:ilvl="4">
      <w:start w:val="0"/>
      <w:numFmt w:val="bullet"/>
      <w:lvlText w:val="•"/>
      <w:lvlJc w:val="left"/>
      <w:pPr>
        <w:ind w:left="4092" w:hanging="177"/>
      </w:pPr>
      <w:rPr>
        <w:rFonts w:hint="default"/>
        <w:lang w:val="en-US" w:eastAsia="en-US" w:bidi="ar-SA"/>
      </w:rPr>
    </w:lvl>
    <w:lvl w:ilvl="5">
      <w:start w:val="0"/>
      <w:numFmt w:val="bullet"/>
      <w:lvlText w:val="•"/>
      <w:lvlJc w:val="left"/>
      <w:pPr>
        <w:ind w:left="4710" w:hanging="177"/>
      </w:pPr>
      <w:rPr>
        <w:rFonts w:hint="default"/>
        <w:lang w:val="en-US" w:eastAsia="en-US" w:bidi="ar-SA"/>
      </w:rPr>
    </w:lvl>
    <w:lvl w:ilvl="6">
      <w:start w:val="0"/>
      <w:numFmt w:val="bullet"/>
      <w:lvlText w:val="•"/>
      <w:lvlJc w:val="left"/>
      <w:pPr>
        <w:ind w:left="5328" w:hanging="177"/>
      </w:pPr>
      <w:rPr>
        <w:rFonts w:hint="default"/>
        <w:lang w:val="en-US" w:eastAsia="en-US" w:bidi="ar-SA"/>
      </w:rPr>
    </w:lvl>
    <w:lvl w:ilvl="7">
      <w:start w:val="0"/>
      <w:numFmt w:val="bullet"/>
      <w:lvlText w:val="•"/>
      <w:lvlJc w:val="left"/>
      <w:pPr>
        <w:ind w:left="5946" w:hanging="177"/>
      </w:pPr>
      <w:rPr>
        <w:rFonts w:hint="default"/>
        <w:lang w:val="en-US" w:eastAsia="en-US" w:bidi="ar-SA"/>
      </w:rPr>
    </w:lvl>
    <w:lvl w:ilvl="8">
      <w:start w:val="0"/>
      <w:numFmt w:val="bullet"/>
      <w:lvlText w:val="•"/>
      <w:lvlJc w:val="left"/>
      <w:pPr>
        <w:ind w:left="6564" w:hanging="177"/>
      </w:pPr>
      <w:rPr>
        <w:rFonts w:hint="default"/>
        <w:lang w:val="en-US" w:eastAsia="en-US" w:bidi="ar-SA"/>
      </w:rPr>
    </w:lvl>
  </w:abstractNum>
  <w:abstractNum w:abstractNumId="25">
    <w:multiLevelType w:val="hybridMultilevel"/>
    <w:lvl w:ilvl="0">
      <w:start w:val="0"/>
      <w:numFmt w:val="bullet"/>
      <w:lvlText w:val=""/>
      <w:lvlJc w:val="left"/>
      <w:pPr>
        <w:ind w:left="2535" w:hanging="177"/>
      </w:pPr>
      <w:rPr>
        <w:rFonts w:hint="default" w:ascii="Symbol" w:hAnsi="Symbol" w:eastAsia="Symbol" w:cs="Symbol"/>
        <w:b w:val="0"/>
        <w:bCs w:val="0"/>
        <w:i w:val="0"/>
        <w:iCs w:val="0"/>
        <w:color w:val="231F20"/>
        <w:w w:val="101"/>
        <w:sz w:val="21"/>
        <w:szCs w:val="21"/>
        <w:lang w:val="en-US" w:eastAsia="en-US" w:bidi="ar-SA"/>
      </w:rPr>
    </w:lvl>
    <w:lvl w:ilvl="1">
      <w:start w:val="0"/>
      <w:numFmt w:val="bullet"/>
      <w:lvlText w:val="•"/>
      <w:lvlJc w:val="left"/>
      <w:pPr>
        <w:ind w:left="3066" w:hanging="177"/>
      </w:pPr>
      <w:rPr>
        <w:rFonts w:hint="default"/>
        <w:lang w:val="en-US" w:eastAsia="en-US" w:bidi="ar-SA"/>
      </w:rPr>
    </w:lvl>
    <w:lvl w:ilvl="2">
      <w:start w:val="0"/>
      <w:numFmt w:val="bullet"/>
      <w:lvlText w:val="•"/>
      <w:lvlJc w:val="left"/>
      <w:pPr>
        <w:ind w:left="3592" w:hanging="177"/>
      </w:pPr>
      <w:rPr>
        <w:rFonts w:hint="default"/>
        <w:lang w:val="en-US" w:eastAsia="en-US" w:bidi="ar-SA"/>
      </w:rPr>
    </w:lvl>
    <w:lvl w:ilvl="3">
      <w:start w:val="0"/>
      <w:numFmt w:val="bullet"/>
      <w:lvlText w:val="•"/>
      <w:lvlJc w:val="left"/>
      <w:pPr>
        <w:ind w:left="4118" w:hanging="177"/>
      </w:pPr>
      <w:rPr>
        <w:rFonts w:hint="default"/>
        <w:lang w:val="en-US" w:eastAsia="en-US" w:bidi="ar-SA"/>
      </w:rPr>
    </w:lvl>
    <w:lvl w:ilvl="4">
      <w:start w:val="0"/>
      <w:numFmt w:val="bullet"/>
      <w:lvlText w:val="•"/>
      <w:lvlJc w:val="left"/>
      <w:pPr>
        <w:ind w:left="4644" w:hanging="177"/>
      </w:pPr>
      <w:rPr>
        <w:rFonts w:hint="default"/>
        <w:lang w:val="en-US" w:eastAsia="en-US" w:bidi="ar-SA"/>
      </w:rPr>
    </w:lvl>
    <w:lvl w:ilvl="5">
      <w:start w:val="0"/>
      <w:numFmt w:val="bullet"/>
      <w:lvlText w:val="•"/>
      <w:lvlJc w:val="left"/>
      <w:pPr>
        <w:ind w:left="5170" w:hanging="177"/>
      </w:pPr>
      <w:rPr>
        <w:rFonts w:hint="default"/>
        <w:lang w:val="en-US" w:eastAsia="en-US" w:bidi="ar-SA"/>
      </w:rPr>
    </w:lvl>
    <w:lvl w:ilvl="6">
      <w:start w:val="0"/>
      <w:numFmt w:val="bullet"/>
      <w:lvlText w:val="•"/>
      <w:lvlJc w:val="left"/>
      <w:pPr>
        <w:ind w:left="5696" w:hanging="177"/>
      </w:pPr>
      <w:rPr>
        <w:rFonts w:hint="default"/>
        <w:lang w:val="en-US" w:eastAsia="en-US" w:bidi="ar-SA"/>
      </w:rPr>
    </w:lvl>
    <w:lvl w:ilvl="7">
      <w:start w:val="0"/>
      <w:numFmt w:val="bullet"/>
      <w:lvlText w:val="•"/>
      <w:lvlJc w:val="left"/>
      <w:pPr>
        <w:ind w:left="6222" w:hanging="177"/>
      </w:pPr>
      <w:rPr>
        <w:rFonts w:hint="default"/>
        <w:lang w:val="en-US" w:eastAsia="en-US" w:bidi="ar-SA"/>
      </w:rPr>
    </w:lvl>
    <w:lvl w:ilvl="8">
      <w:start w:val="0"/>
      <w:numFmt w:val="bullet"/>
      <w:lvlText w:val="•"/>
      <w:lvlJc w:val="left"/>
      <w:pPr>
        <w:ind w:left="6748" w:hanging="177"/>
      </w:pPr>
      <w:rPr>
        <w:rFonts w:hint="default"/>
        <w:lang w:val="en-US" w:eastAsia="en-US" w:bidi="ar-SA"/>
      </w:rPr>
    </w:lvl>
  </w:abstractNum>
  <w:abstractNum w:abstractNumId="24">
    <w:multiLevelType w:val="hybridMultilevel"/>
    <w:lvl w:ilvl="0">
      <w:start w:val="1"/>
      <w:numFmt w:val="decimal"/>
      <w:lvlText w:val="%1."/>
      <w:lvlJc w:val="left"/>
      <w:pPr>
        <w:ind w:left="1610" w:hanging="170"/>
        <w:jc w:val="right"/>
      </w:pPr>
      <w:rPr>
        <w:rFonts w:hint="default" w:ascii="Arial" w:hAnsi="Arial" w:eastAsia="Arial" w:cs="Arial"/>
        <w:b w:val="0"/>
        <w:bCs w:val="0"/>
        <w:i w:val="0"/>
        <w:iCs w:val="0"/>
        <w:color w:val="231F20"/>
        <w:w w:val="68"/>
        <w:sz w:val="19"/>
        <w:szCs w:val="19"/>
        <w:lang w:val="en-US" w:eastAsia="en-US" w:bidi="ar-SA"/>
      </w:rPr>
    </w:lvl>
    <w:lvl w:ilvl="1">
      <w:start w:val="0"/>
      <w:numFmt w:val="bullet"/>
      <w:lvlText w:val="•"/>
      <w:lvlJc w:val="left"/>
      <w:pPr>
        <w:ind w:left="2238" w:hanging="170"/>
      </w:pPr>
      <w:rPr>
        <w:rFonts w:hint="default"/>
        <w:lang w:val="en-US" w:eastAsia="en-US" w:bidi="ar-SA"/>
      </w:rPr>
    </w:lvl>
    <w:lvl w:ilvl="2">
      <w:start w:val="0"/>
      <w:numFmt w:val="bullet"/>
      <w:lvlText w:val="•"/>
      <w:lvlJc w:val="left"/>
      <w:pPr>
        <w:ind w:left="2856" w:hanging="170"/>
      </w:pPr>
      <w:rPr>
        <w:rFonts w:hint="default"/>
        <w:lang w:val="en-US" w:eastAsia="en-US" w:bidi="ar-SA"/>
      </w:rPr>
    </w:lvl>
    <w:lvl w:ilvl="3">
      <w:start w:val="0"/>
      <w:numFmt w:val="bullet"/>
      <w:lvlText w:val="•"/>
      <w:lvlJc w:val="left"/>
      <w:pPr>
        <w:ind w:left="3474" w:hanging="170"/>
      </w:pPr>
      <w:rPr>
        <w:rFonts w:hint="default"/>
        <w:lang w:val="en-US" w:eastAsia="en-US" w:bidi="ar-SA"/>
      </w:rPr>
    </w:lvl>
    <w:lvl w:ilvl="4">
      <w:start w:val="0"/>
      <w:numFmt w:val="bullet"/>
      <w:lvlText w:val="•"/>
      <w:lvlJc w:val="left"/>
      <w:pPr>
        <w:ind w:left="4092" w:hanging="170"/>
      </w:pPr>
      <w:rPr>
        <w:rFonts w:hint="default"/>
        <w:lang w:val="en-US" w:eastAsia="en-US" w:bidi="ar-SA"/>
      </w:rPr>
    </w:lvl>
    <w:lvl w:ilvl="5">
      <w:start w:val="0"/>
      <w:numFmt w:val="bullet"/>
      <w:lvlText w:val="•"/>
      <w:lvlJc w:val="left"/>
      <w:pPr>
        <w:ind w:left="4710" w:hanging="170"/>
      </w:pPr>
      <w:rPr>
        <w:rFonts w:hint="default"/>
        <w:lang w:val="en-US" w:eastAsia="en-US" w:bidi="ar-SA"/>
      </w:rPr>
    </w:lvl>
    <w:lvl w:ilvl="6">
      <w:start w:val="0"/>
      <w:numFmt w:val="bullet"/>
      <w:lvlText w:val="•"/>
      <w:lvlJc w:val="left"/>
      <w:pPr>
        <w:ind w:left="5328" w:hanging="170"/>
      </w:pPr>
      <w:rPr>
        <w:rFonts w:hint="default"/>
        <w:lang w:val="en-US" w:eastAsia="en-US" w:bidi="ar-SA"/>
      </w:rPr>
    </w:lvl>
    <w:lvl w:ilvl="7">
      <w:start w:val="0"/>
      <w:numFmt w:val="bullet"/>
      <w:lvlText w:val="•"/>
      <w:lvlJc w:val="left"/>
      <w:pPr>
        <w:ind w:left="5946" w:hanging="170"/>
      </w:pPr>
      <w:rPr>
        <w:rFonts w:hint="default"/>
        <w:lang w:val="en-US" w:eastAsia="en-US" w:bidi="ar-SA"/>
      </w:rPr>
    </w:lvl>
    <w:lvl w:ilvl="8">
      <w:start w:val="0"/>
      <w:numFmt w:val="bullet"/>
      <w:lvlText w:val="•"/>
      <w:lvlJc w:val="left"/>
      <w:pPr>
        <w:ind w:left="6564" w:hanging="170"/>
      </w:pPr>
      <w:rPr>
        <w:rFonts w:hint="default"/>
        <w:lang w:val="en-US" w:eastAsia="en-US" w:bidi="ar-SA"/>
      </w:rPr>
    </w:lvl>
  </w:abstractNum>
  <w:abstractNum w:abstractNumId="23">
    <w:multiLevelType w:val="hybridMultilevel"/>
    <w:lvl w:ilvl="0">
      <w:start w:val="0"/>
      <w:numFmt w:val="bullet"/>
      <w:lvlText w:val="•"/>
      <w:lvlJc w:val="left"/>
      <w:pPr>
        <w:ind w:left="1355" w:hanging="186"/>
      </w:pPr>
      <w:rPr>
        <w:rFonts w:hint="default" w:ascii="Arial" w:hAnsi="Arial" w:eastAsia="Arial" w:cs="Arial"/>
        <w:b w:val="0"/>
        <w:bCs w:val="0"/>
        <w:i w:val="0"/>
        <w:iCs w:val="0"/>
        <w:color w:val="231F20"/>
        <w:w w:val="136"/>
        <w:sz w:val="19"/>
        <w:szCs w:val="19"/>
        <w:lang w:val="en-US" w:eastAsia="en-US" w:bidi="ar-SA"/>
      </w:rPr>
    </w:lvl>
    <w:lvl w:ilvl="1">
      <w:start w:val="0"/>
      <w:numFmt w:val="bullet"/>
      <w:lvlText w:val="•"/>
      <w:lvlJc w:val="left"/>
      <w:pPr>
        <w:ind w:left="1445" w:hanging="186"/>
      </w:pPr>
      <w:rPr>
        <w:rFonts w:hint="default" w:ascii="Arial" w:hAnsi="Arial" w:eastAsia="Arial" w:cs="Arial"/>
        <w:b w:val="0"/>
        <w:bCs w:val="0"/>
        <w:i w:val="0"/>
        <w:iCs w:val="0"/>
        <w:color w:val="231F20"/>
        <w:w w:val="136"/>
        <w:sz w:val="19"/>
        <w:szCs w:val="19"/>
        <w:lang w:val="en-US" w:eastAsia="en-US" w:bidi="ar-SA"/>
      </w:rPr>
    </w:lvl>
    <w:lvl w:ilvl="2">
      <w:start w:val="0"/>
      <w:numFmt w:val="bullet"/>
      <w:lvlText w:val="•"/>
      <w:lvlJc w:val="left"/>
      <w:pPr>
        <w:ind w:left="2146" w:hanging="186"/>
      </w:pPr>
      <w:rPr>
        <w:rFonts w:hint="default"/>
        <w:lang w:val="en-US" w:eastAsia="en-US" w:bidi="ar-SA"/>
      </w:rPr>
    </w:lvl>
    <w:lvl w:ilvl="3">
      <w:start w:val="0"/>
      <w:numFmt w:val="bullet"/>
      <w:lvlText w:val="•"/>
      <w:lvlJc w:val="left"/>
      <w:pPr>
        <w:ind w:left="2853" w:hanging="186"/>
      </w:pPr>
      <w:rPr>
        <w:rFonts w:hint="default"/>
        <w:lang w:val="en-US" w:eastAsia="en-US" w:bidi="ar-SA"/>
      </w:rPr>
    </w:lvl>
    <w:lvl w:ilvl="4">
      <w:start w:val="0"/>
      <w:numFmt w:val="bullet"/>
      <w:lvlText w:val="•"/>
      <w:lvlJc w:val="left"/>
      <w:pPr>
        <w:ind w:left="3560" w:hanging="186"/>
      </w:pPr>
      <w:rPr>
        <w:rFonts w:hint="default"/>
        <w:lang w:val="en-US" w:eastAsia="en-US" w:bidi="ar-SA"/>
      </w:rPr>
    </w:lvl>
    <w:lvl w:ilvl="5">
      <w:start w:val="0"/>
      <w:numFmt w:val="bullet"/>
      <w:lvlText w:val="•"/>
      <w:lvlJc w:val="left"/>
      <w:pPr>
        <w:ind w:left="4266" w:hanging="186"/>
      </w:pPr>
      <w:rPr>
        <w:rFonts w:hint="default"/>
        <w:lang w:val="en-US" w:eastAsia="en-US" w:bidi="ar-SA"/>
      </w:rPr>
    </w:lvl>
    <w:lvl w:ilvl="6">
      <w:start w:val="0"/>
      <w:numFmt w:val="bullet"/>
      <w:lvlText w:val="•"/>
      <w:lvlJc w:val="left"/>
      <w:pPr>
        <w:ind w:left="4973" w:hanging="186"/>
      </w:pPr>
      <w:rPr>
        <w:rFonts w:hint="default"/>
        <w:lang w:val="en-US" w:eastAsia="en-US" w:bidi="ar-SA"/>
      </w:rPr>
    </w:lvl>
    <w:lvl w:ilvl="7">
      <w:start w:val="0"/>
      <w:numFmt w:val="bullet"/>
      <w:lvlText w:val="•"/>
      <w:lvlJc w:val="left"/>
      <w:pPr>
        <w:ind w:left="5680" w:hanging="186"/>
      </w:pPr>
      <w:rPr>
        <w:rFonts w:hint="default"/>
        <w:lang w:val="en-US" w:eastAsia="en-US" w:bidi="ar-SA"/>
      </w:rPr>
    </w:lvl>
    <w:lvl w:ilvl="8">
      <w:start w:val="0"/>
      <w:numFmt w:val="bullet"/>
      <w:lvlText w:val="•"/>
      <w:lvlJc w:val="left"/>
      <w:pPr>
        <w:ind w:left="6386" w:hanging="186"/>
      </w:pPr>
      <w:rPr>
        <w:rFonts w:hint="default"/>
        <w:lang w:val="en-US" w:eastAsia="en-US" w:bidi="ar-SA"/>
      </w:rPr>
    </w:lvl>
  </w:abstractNum>
  <w:abstractNum w:abstractNumId="22">
    <w:multiLevelType w:val="hybridMultilevel"/>
    <w:lvl w:ilvl="0">
      <w:start w:val="0"/>
      <w:numFmt w:val="bullet"/>
      <w:lvlText w:val=""/>
      <w:lvlJc w:val="left"/>
      <w:pPr>
        <w:ind w:left="1684" w:hanging="175"/>
      </w:pPr>
      <w:rPr>
        <w:rFonts w:hint="default" w:ascii="Symbol" w:hAnsi="Symbol" w:eastAsia="Symbol" w:cs="Symbol"/>
        <w:b w:val="0"/>
        <w:bCs w:val="0"/>
        <w:i w:val="0"/>
        <w:iCs w:val="0"/>
        <w:color w:val="231F20"/>
        <w:w w:val="101"/>
        <w:sz w:val="21"/>
        <w:szCs w:val="21"/>
        <w:lang w:val="en-US" w:eastAsia="en-US" w:bidi="ar-SA"/>
      </w:rPr>
    </w:lvl>
    <w:lvl w:ilvl="1">
      <w:start w:val="0"/>
      <w:numFmt w:val="bullet"/>
      <w:lvlText w:val="•"/>
      <w:lvlJc w:val="left"/>
      <w:pPr>
        <w:ind w:left="2292" w:hanging="175"/>
      </w:pPr>
      <w:rPr>
        <w:rFonts w:hint="default"/>
        <w:lang w:val="en-US" w:eastAsia="en-US" w:bidi="ar-SA"/>
      </w:rPr>
    </w:lvl>
    <w:lvl w:ilvl="2">
      <w:start w:val="0"/>
      <w:numFmt w:val="bullet"/>
      <w:lvlText w:val="•"/>
      <w:lvlJc w:val="left"/>
      <w:pPr>
        <w:ind w:left="2904" w:hanging="175"/>
      </w:pPr>
      <w:rPr>
        <w:rFonts w:hint="default"/>
        <w:lang w:val="en-US" w:eastAsia="en-US" w:bidi="ar-SA"/>
      </w:rPr>
    </w:lvl>
    <w:lvl w:ilvl="3">
      <w:start w:val="0"/>
      <w:numFmt w:val="bullet"/>
      <w:lvlText w:val="•"/>
      <w:lvlJc w:val="left"/>
      <w:pPr>
        <w:ind w:left="3516" w:hanging="175"/>
      </w:pPr>
      <w:rPr>
        <w:rFonts w:hint="default"/>
        <w:lang w:val="en-US" w:eastAsia="en-US" w:bidi="ar-SA"/>
      </w:rPr>
    </w:lvl>
    <w:lvl w:ilvl="4">
      <w:start w:val="0"/>
      <w:numFmt w:val="bullet"/>
      <w:lvlText w:val="•"/>
      <w:lvlJc w:val="left"/>
      <w:pPr>
        <w:ind w:left="4128" w:hanging="175"/>
      </w:pPr>
      <w:rPr>
        <w:rFonts w:hint="default"/>
        <w:lang w:val="en-US" w:eastAsia="en-US" w:bidi="ar-SA"/>
      </w:rPr>
    </w:lvl>
    <w:lvl w:ilvl="5">
      <w:start w:val="0"/>
      <w:numFmt w:val="bullet"/>
      <w:lvlText w:val="•"/>
      <w:lvlJc w:val="left"/>
      <w:pPr>
        <w:ind w:left="4740" w:hanging="175"/>
      </w:pPr>
      <w:rPr>
        <w:rFonts w:hint="default"/>
        <w:lang w:val="en-US" w:eastAsia="en-US" w:bidi="ar-SA"/>
      </w:rPr>
    </w:lvl>
    <w:lvl w:ilvl="6">
      <w:start w:val="0"/>
      <w:numFmt w:val="bullet"/>
      <w:lvlText w:val="•"/>
      <w:lvlJc w:val="left"/>
      <w:pPr>
        <w:ind w:left="5352" w:hanging="175"/>
      </w:pPr>
      <w:rPr>
        <w:rFonts w:hint="default"/>
        <w:lang w:val="en-US" w:eastAsia="en-US" w:bidi="ar-SA"/>
      </w:rPr>
    </w:lvl>
    <w:lvl w:ilvl="7">
      <w:start w:val="0"/>
      <w:numFmt w:val="bullet"/>
      <w:lvlText w:val="•"/>
      <w:lvlJc w:val="left"/>
      <w:pPr>
        <w:ind w:left="5964" w:hanging="175"/>
      </w:pPr>
      <w:rPr>
        <w:rFonts w:hint="default"/>
        <w:lang w:val="en-US" w:eastAsia="en-US" w:bidi="ar-SA"/>
      </w:rPr>
    </w:lvl>
    <w:lvl w:ilvl="8">
      <w:start w:val="0"/>
      <w:numFmt w:val="bullet"/>
      <w:lvlText w:val="•"/>
      <w:lvlJc w:val="left"/>
      <w:pPr>
        <w:ind w:left="6576" w:hanging="175"/>
      </w:pPr>
      <w:rPr>
        <w:rFonts w:hint="default"/>
        <w:lang w:val="en-US" w:eastAsia="en-US" w:bidi="ar-SA"/>
      </w:rPr>
    </w:lvl>
  </w:abstractNum>
  <w:abstractNum w:abstractNumId="21">
    <w:multiLevelType w:val="hybridMultilevel"/>
    <w:lvl w:ilvl="0">
      <w:start w:val="0"/>
      <w:numFmt w:val="bullet"/>
      <w:lvlText w:val=""/>
      <w:lvlJc w:val="left"/>
      <w:pPr>
        <w:ind w:left="1650" w:hanging="177"/>
      </w:pPr>
      <w:rPr>
        <w:rFonts w:hint="default" w:ascii="Symbol" w:hAnsi="Symbol" w:eastAsia="Symbol" w:cs="Symbol"/>
        <w:b w:val="0"/>
        <w:bCs w:val="0"/>
        <w:i w:val="0"/>
        <w:iCs w:val="0"/>
        <w:color w:val="231F20"/>
        <w:w w:val="101"/>
        <w:sz w:val="21"/>
        <w:szCs w:val="21"/>
        <w:lang w:val="en-US" w:eastAsia="en-US" w:bidi="ar-SA"/>
      </w:rPr>
    </w:lvl>
    <w:lvl w:ilvl="1">
      <w:start w:val="0"/>
      <w:numFmt w:val="bullet"/>
      <w:lvlText w:val="•"/>
      <w:lvlJc w:val="left"/>
      <w:pPr>
        <w:ind w:left="2274" w:hanging="177"/>
      </w:pPr>
      <w:rPr>
        <w:rFonts w:hint="default"/>
        <w:lang w:val="en-US" w:eastAsia="en-US" w:bidi="ar-SA"/>
      </w:rPr>
    </w:lvl>
    <w:lvl w:ilvl="2">
      <w:start w:val="0"/>
      <w:numFmt w:val="bullet"/>
      <w:lvlText w:val="•"/>
      <w:lvlJc w:val="left"/>
      <w:pPr>
        <w:ind w:left="2888" w:hanging="177"/>
      </w:pPr>
      <w:rPr>
        <w:rFonts w:hint="default"/>
        <w:lang w:val="en-US" w:eastAsia="en-US" w:bidi="ar-SA"/>
      </w:rPr>
    </w:lvl>
    <w:lvl w:ilvl="3">
      <w:start w:val="0"/>
      <w:numFmt w:val="bullet"/>
      <w:lvlText w:val="•"/>
      <w:lvlJc w:val="left"/>
      <w:pPr>
        <w:ind w:left="3502" w:hanging="177"/>
      </w:pPr>
      <w:rPr>
        <w:rFonts w:hint="default"/>
        <w:lang w:val="en-US" w:eastAsia="en-US" w:bidi="ar-SA"/>
      </w:rPr>
    </w:lvl>
    <w:lvl w:ilvl="4">
      <w:start w:val="0"/>
      <w:numFmt w:val="bullet"/>
      <w:lvlText w:val="•"/>
      <w:lvlJc w:val="left"/>
      <w:pPr>
        <w:ind w:left="4116" w:hanging="177"/>
      </w:pPr>
      <w:rPr>
        <w:rFonts w:hint="default"/>
        <w:lang w:val="en-US" w:eastAsia="en-US" w:bidi="ar-SA"/>
      </w:rPr>
    </w:lvl>
    <w:lvl w:ilvl="5">
      <w:start w:val="0"/>
      <w:numFmt w:val="bullet"/>
      <w:lvlText w:val="•"/>
      <w:lvlJc w:val="left"/>
      <w:pPr>
        <w:ind w:left="4730" w:hanging="177"/>
      </w:pPr>
      <w:rPr>
        <w:rFonts w:hint="default"/>
        <w:lang w:val="en-US" w:eastAsia="en-US" w:bidi="ar-SA"/>
      </w:rPr>
    </w:lvl>
    <w:lvl w:ilvl="6">
      <w:start w:val="0"/>
      <w:numFmt w:val="bullet"/>
      <w:lvlText w:val="•"/>
      <w:lvlJc w:val="left"/>
      <w:pPr>
        <w:ind w:left="5344" w:hanging="177"/>
      </w:pPr>
      <w:rPr>
        <w:rFonts w:hint="default"/>
        <w:lang w:val="en-US" w:eastAsia="en-US" w:bidi="ar-SA"/>
      </w:rPr>
    </w:lvl>
    <w:lvl w:ilvl="7">
      <w:start w:val="0"/>
      <w:numFmt w:val="bullet"/>
      <w:lvlText w:val="•"/>
      <w:lvlJc w:val="left"/>
      <w:pPr>
        <w:ind w:left="5958" w:hanging="177"/>
      </w:pPr>
      <w:rPr>
        <w:rFonts w:hint="default"/>
        <w:lang w:val="en-US" w:eastAsia="en-US" w:bidi="ar-SA"/>
      </w:rPr>
    </w:lvl>
    <w:lvl w:ilvl="8">
      <w:start w:val="0"/>
      <w:numFmt w:val="bullet"/>
      <w:lvlText w:val="•"/>
      <w:lvlJc w:val="left"/>
      <w:pPr>
        <w:ind w:left="6572" w:hanging="177"/>
      </w:pPr>
      <w:rPr>
        <w:rFonts w:hint="default"/>
        <w:lang w:val="en-US" w:eastAsia="en-US" w:bidi="ar-SA"/>
      </w:rPr>
    </w:lvl>
  </w:abstractNum>
  <w:abstractNum w:abstractNumId="20">
    <w:multiLevelType w:val="hybridMultilevel"/>
    <w:lvl w:ilvl="0">
      <w:start w:val="1"/>
      <w:numFmt w:val="decimal"/>
      <w:lvlText w:val="%1."/>
      <w:lvlJc w:val="left"/>
      <w:pPr>
        <w:ind w:left="1438" w:hanging="179"/>
        <w:jc w:val="right"/>
      </w:pPr>
      <w:rPr>
        <w:rFonts w:hint="default" w:ascii="Arial" w:hAnsi="Arial" w:eastAsia="Arial" w:cs="Arial"/>
        <w:b w:val="0"/>
        <w:bCs w:val="0"/>
        <w:i/>
        <w:iCs/>
        <w:color w:val="231F20"/>
        <w:spacing w:val="-1"/>
        <w:w w:val="75"/>
        <w:sz w:val="19"/>
        <w:szCs w:val="19"/>
        <w:lang w:val="en-US" w:eastAsia="en-US" w:bidi="ar-SA"/>
      </w:rPr>
    </w:lvl>
    <w:lvl w:ilvl="1">
      <w:start w:val="1"/>
      <w:numFmt w:val="decimal"/>
      <w:lvlText w:val="%2."/>
      <w:lvlJc w:val="left"/>
      <w:pPr>
        <w:ind w:left="1610" w:hanging="170"/>
        <w:jc w:val="right"/>
      </w:pPr>
      <w:rPr>
        <w:rFonts w:hint="default" w:ascii="Arial" w:hAnsi="Arial" w:eastAsia="Arial" w:cs="Arial"/>
        <w:b w:val="0"/>
        <w:bCs w:val="0"/>
        <w:i w:val="0"/>
        <w:iCs w:val="0"/>
        <w:color w:val="231F20"/>
        <w:spacing w:val="-1"/>
        <w:w w:val="61"/>
        <w:sz w:val="19"/>
        <w:szCs w:val="19"/>
        <w:lang w:val="en-US" w:eastAsia="en-US" w:bidi="ar-SA"/>
      </w:rPr>
    </w:lvl>
    <w:lvl w:ilvl="2">
      <w:start w:val="0"/>
      <w:numFmt w:val="bullet"/>
      <w:lvlText w:val="•"/>
      <w:lvlJc w:val="left"/>
      <w:pPr>
        <w:ind w:left="2306" w:hanging="170"/>
      </w:pPr>
      <w:rPr>
        <w:rFonts w:hint="default"/>
        <w:lang w:val="en-US" w:eastAsia="en-US" w:bidi="ar-SA"/>
      </w:rPr>
    </w:lvl>
    <w:lvl w:ilvl="3">
      <w:start w:val="0"/>
      <w:numFmt w:val="bullet"/>
      <w:lvlText w:val="•"/>
      <w:lvlJc w:val="left"/>
      <w:pPr>
        <w:ind w:left="2993" w:hanging="170"/>
      </w:pPr>
      <w:rPr>
        <w:rFonts w:hint="default"/>
        <w:lang w:val="en-US" w:eastAsia="en-US" w:bidi="ar-SA"/>
      </w:rPr>
    </w:lvl>
    <w:lvl w:ilvl="4">
      <w:start w:val="0"/>
      <w:numFmt w:val="bullet"/>
      <w:lvlText w:val="•"/>
      <w:lvlJc w:val="left"/>
      <w:pPr>
        <w:ind w:left="3680" w:hanging="170"/>
      </w:pPr>
      <w:rPr>
        <w:rFonts w:hint="default"/>
        <w:lang w:val="en-US" w:eastAsia="en-US" w:bidi="ar-SA"/>
      </w:rPr>
    </w:lvl>
    <w:lvl w:ilvl="5">
      <w:start w:val="0"/>
      <w:numFmt w:val="bullet"/>
      <w:lvlText w:val="•"/>
      <w:lvlJc w:val="left"/>
      <w:pPr>
        <w:ind w:left="4366" w:hanging="170"/>
      </w:pPr>
      <w:rPr>
        <w:rFonts w:hint="default"/>
        <w:lang w:val="en-US" w:eastAsia="en-US" w:bidi="ar-SA"/>
      </w:rPr>
    </w:lvl>
    <w:lvl w:ilvl="6">
      <w:start w:val="0"/>
      <w:numFmt w:val="bullet"/>
      <w:lvlText w:val="•"/>
      <w:lvlJc w:val="left"/>
      <w:pPr>
        <w:ind w:left="5053" w:hanging="170"/>
      </w:pPr>
      <w:rPr>
        <w:rFonts w:hint="default"/>
        <w:lang w:val="en-US" w:eastAsia="en-US" w:bidi="ar-SA"/>
      </w:rPr>
    </w:lvl>
    <w:lvl w:ilvl="7">
      <w:start w:val="0"/>
      <w:numFmt w:val="bullet"/>
      <w:lvlText w:val="•"/>
      <w:lvlJc w:val="left"/>
      <w:pPr>
        <w:ind w:left="5740" w:hanging="170"/>
      </w:pPr>
      <w:rPr>
        <w:rFonts w:hint="default"/>
        <w:lang w:val="en-US" w:eastAsia="en-US" w:bidi="ar-SA"/>
      </w:rPr>
    </w:lvl>
    <w:lvl w:ilvl="8">
      <w:start w:val="0"/>
      <w:numFmt w:val="bullet"/>
      <w:lvlText w:val="•"/>
      <w:lvlJc w:val="left"/>
      <w:pPr>
        <w:ind w:left="6426" w:hanging="170"/>
      </w:pPr>
      <w:rPr>
        <w:rFonts w:hint="default"/>
        <w:lang w:val="en-US" w:eastAsia="en-US" w:bidi="ar-SA"/>
      </w:rPr>
    </w:lvl>
  </w:abstractNum>
  <w:abstractNum w:abstractNumId="19">
    <w:multiLevelType w:val="hybridMultilevel"/>
    <w:lvl w:ilvl="0">
      <w:start w:val="0"/>
      <w:numFmt w:val="bullet"/>
      <w:lvlText w:val=""/>
      <w:lvlJc w:val="left"/>
      <w:pPr>
        <w:ind w:left="920" w:hanging="168"/>
      </w:pPr>
      <w:rPr>
        <w:rFonts w:hint="default" w:ascii="Symbol" w:hAnsi="Symbol" w:eastAsia="Symbol" w:cs="Symbol"/>
        <w:b w:val="0"/>
        <w:bCs w:val="0"/>
        <w:i w:val="0"/>
        <w:iCs w:val="0"/>
        <w:color w:val="231F20"/>
        <w:w w:val="101"/>
        <w:sz w:val="21"/>
        <w:szCs w:val="21"/>
        <w:lang w:val="en-US" w:eastAsia="en-US" w:bidi="ar-SA"/>
      </w:rPr>
    </w:lvl>
    <w:lvl w:ilvl="1">
      <w:start w:val="0"/>
      <w:numFmt w:val="bullet"/>
      <w:lvlText w:val="•"/>
      <w:lvlJc w:val="left"/>
      <w:pPr>
        <w:ind w:left="1445" w:hanging="186"/>
      </w:pPr>
      <w:rPr>
        <w:rFonts w:hint="default" w:ascii="Arial" w:hAnsi="Arial" w:eastAsia="Arial" w:cs="Arial"/>
        <w:b w:val="0"/>
        <w:bCs w:val="0"/>
        <w:i w:val="0"/>
        <w:iCs w:val="0"/>
        <w:color w:val="231F20"/>
        <w:w w:val="136"/>
        <w:sz w:val="19"/>
        <w:szCs w:val="19"/>
        <w:lang w:val="en-US" w:eastAsia="en-US" w:bidi="ar-SA"/>
      </w:rPr>
    </w:lvl>
    <w:lvl w:ilvl="2">
      <w:start w:val="0"/>
      <w:numFmt w:val="bullet"/>
      <w:lvlText w:val="•"/>
      <w:lvlJc w:val="left"/>
      <w:pPr>
        <w:ind w:left="2146" w:hanging="186"/>
      </w:pPr>
      <w:rPr>
        <w:rFonts w:hint="default"/>
        <w:lang w:val="en-US" w:eastAsia="en-US" w:bidi="ar-SA"/>
      </w:rPr>
    </w:lvl>
    <w:lvl w:ilvl="3">
      <w:start w:val="0"/>
      <w:numFmt w:val="bullet"/>
      <w:lvlText w:val="•"/>
      <w:lvlJc w:val="left"/>
      <w:pPr>
        <w:ind w:left="2853" w:hanging="186"/>
      </w:pPr>
      <w:rPr>
        <w:rFonts w:hint="default"/>
        <w:lang w:val="en-US" w:eastAsia="en-US" w:bidi="ar-SA"/>
      </w:rPr>
    </w:lvl>
    <w:lvl w:ilvl="4">
      <w:start w:val="0"/>
      <w:numFmt w:val="bullet"/>
      <w:lvlText w:val="•"/>
      <w:lvlJc w:val="left"/>
      <w:pPr>
        <w:ind w:left="3560" w:hanging="186"/>
      </w:pPr>
      <w:rPr>
        <w:rFonts w:hint="default"/>
        <w:lang w:val="en-US" w:eastAsia="en-US" w:bidi="ar-SA"/>
      </w:rPr>
    </w:lvl>
    <w:lvl w:ilvl="5">
      <w:start w:val="0"/>
      <w:numFmt w:val="bullet"/>
      <w:lvlText w:val="•"/>
      <w:lvlJc w:val="left"/>
      <w:pPr>
        <w:ind w:left="4266" w:hanging="186"/>
      </w:pPr>
      <w:rPr>
        <w:rFonts w:hint="default"/>
        <w:lang w:val="en-US" w:eastAsia="en-US" w:bidi="ar-SA"/>
      </w:rPr>
    </w:lvl>
    <w:lvl w:ilvl="6">
      <w:start w:val="0"/>
      <w:numFmt w:val="bullet"/>
      <w:lvlText w:val="•"/>
      <w:lvlJc w:val="left"/>
      <w:pPr>
        <w:ind w:left="4973" w:hanging="186"/>
      </w:pPr>
      <w:rPr>
        <w:rFonts w:hint="default"/>
        <w:lang w:val="en-US" w:eastAsia="en-US" w:bidi="ar-SA"/>
      </w:rPr>
    </w:lvl>
    <w:lvl w:ilvl="7">
      <w:start w:val="0"/>
      <w:numFmt w:val="bullet"/>
      <w:lvlText w:val="•"/>
      <w:lvlJc w:val="left"/>
      <w:pPr>
        <w:ind w:left="5680" w:hanging="186"/>
      </w:pPr>
      <w:rPr>
        <w:rFonts w:hint="default"/>
        <w:lang w:val="en-US" w:eastAsia="en-US" w:bidi="ar-SA"/>
      </w:rPr>
    </w:lvl>
    <w:lvl w:ilvl="8">
      <w:start w:val="0"/>
      <w:numFmt w:val="bullet"/>
      <w:lvlText w:val="•"/>
      <w:lvlJc w:val="left"/>
      <w:pPr>
        <w:ind w:left="6386" w:hanging="186"/>
      </w:pPr>
      <w:rPr>
        <w:rFonts w:hint="default"/>
        <w:lang w:val="en-US" w:eastAsia="en-US" w:bidi="ar-SA"/>
      </w:rPr>
    </w:lvl>
  </w:abstractNum>
  <w:abstractNum w:abstractNumId="18">
    <w:multiLevelType w:val="hybridMultilevel"/>
    <w:lvl w:ilvl="0">
      <w:start w:val="1"/>
      <w:numFmt w:val="decimal"/>
      <w:lvlText w:val="%1."/>
      <w:lvlJc w:val="left"/>
      <w:pPr>
        <w:ind w:left="1610" w:hanging="170"/>
        <w:jc w:val="left"/>
      </w:pPr>
      <w:rPr>
        <w:rFonts w:hint="default" w:ascii="Arial" w:hAnsi="Arial" w:eastAsia="Arial" w:cs="Arial"/>
        <w:b w:val="0"/>
        <w:bCs w:val="0"/>
        <w:i w:val="0"/>
        <w:iCs w:val="0"/>
        <w:color w:val="231F20"/>
        <w:w w:val="68"/>
        <w:sz w:val="19"/>
        <w:szCs w:val="19"/>
        <w:lang w:val="en-US" w:eastAsia="en-US" w:bidi="ar-SA"/>
      </w:rPr>
    </w:lvl>
    <w:lvl w:ilvl="1">
      <w:start w:val="0"/>
      <w:numFmt w:val="bullet"/>
      <w:lvlText w:val="•"/>
      <w:lvlJc w:val="left"/>
      <w:pPr>
        <w:ind w:left="2220" w:hanging="170"/>
      </w:pPr>
      <w:rPr>
        <w:rFonts w:hint="default"/>
        <w:lang w:val="en-US" w:eastAsia="en-US" w:bidi="ar-SA"/>
      </w:rPr>
    </w:lvl>
    <w:lvl w:ilvl="2">
      <w:start w:val="0"/>
      <w:numFmt w:val="bullet"/>
      <w:lvlText w:val="•"/>
      <w:lvlJc w:val="left"/>
      <w:pPr>
        <w:ind w:left="2840" w:hanging="170"/>
      </w:pPr>
      <w:rPr>
        <w:rFonts w:hint="default"/>
        <w:lang w:val="en-US" w:eastAsia="en-US" w:bidi="ar-SA"/>
      </w:rPr>
    </w:lvl>
    <w:lvl w:ilvl="3">
      <w:start w:val="0"/>
      <w:numFmt w:val="bullet"/>
      <w:lvlText w:val="•"/>
      <w:lvlJc w:val="left"/>
      <w:pPr>
        <w:ind w:left="3460" w:hanging="170"/>
      </w:pPr>
      <w:rPr>
        <w:rFonts w:hint="default"/>
        <w:lang w:val="en-US" w:eastAsia="en-US" w:bidi="ar-SA"/>
      </w:rPr>
    </w:lvl>
    <w:lvl w:ilvl="4">
      <w:start w:val="0"/>
      <w:numFmt w:val="bullet"/>
      <w:lvlText w:val="•"/>
      <w:lvlJc w:val="left"/>
      <w:pPr>
        <w:ind w:left="4080" w:hanging="170"/>
      </w:pPr>
      <w:rPr>
        <w:rFonts w:hint="default"/>
        <w:lang w:val="en-US" w:eastAsia="en-US" w:bidi="ar-SA"/>
      </w:rPr>
    </w:lvl>
    <w:lvl w:ilvl="5">
      <w:start w:val="0"/>
      <w:numFmt w:val="bullet"/>
      <w:lvlText w:val="•"/>
      <w:lvlJc w:val="left"/>
      <w:pPr>
        <w:ind w:left="4700" w:hanging="170"/>
      </w:pPr>
      <w:rPr>
        <w:rFonts w:hint="default"/>
        <w:lang w:val="en-US" w:eastAsia="en-US" w:bidi="ar-SA"/>
      </w:rPr>
    </w:lvl>
    <w:lvl w:ilvl="6">
      <w:start w:val="0"/>
      <w:numFmt w:val="bullet"/>
      <w:lvlText w:val="•"/>
      <w:lvlJc w:val="left"/>
      <w:pPr>
        <w:ind w:left="5320" w:hanging="170"/>
      </w:pPr>
      <w:rPr>
        <w:rFonts w:hint="default"/>
        <w:lang w:val="en-US" w:eastAsia="en-US" w:bidi="ar-SA"/>
      </w:rPr>
    </w:lvl>
    <w:lvl w:ilvl="7">
      <w:start w:val="0"/>
      <w:numFmt w:val="bullet"/>
      <w:lvlText w:val="•"/>
      <w:lvlJc w:val="left"/>
      <w:pPr>
        <w:ind w:left="5940" w:hanging="170"/>
      </w:pPr>
      <w:rPr>
        <w:rFonts w:hint="default"/>
        <w:lang w:val="en-US" w:eastAsia="en-US" w:bidi="ar-SA"/>
      </w:rPr>
    </w:lvl>
    <w:lvl w:ilvl="8">
      <w:start w:val="0"/>
      <w:numFmt w:val="bullet"/>
      <w:lvlText w:val="•"/>
      <w:lvlJc w:val="left"/>
      <w:pPr>
        <w:ind w:left="6560" w:hanging="170"/>
      </w:pPr>
      <w:rPr>
        <w:rFonts w:hint="default"/>
        <w:lang w:val="en-US" w:eastAsia="en-US" w:bidi="ar-SA"/>
      </w:rPr>
    </w:lvl>
  </w:abstractNum>
  <w:abstractNum w:abstractNumId="17">
    <w:multiLevelType w:val="hybridMultilevel"/>
    <w:lvl w:ilvl="0">
      <w:start w:val="1"/>
      <w:numFmt w:val="decimal"/>
      <w:lvlText w:val="%1."/>
      <w:lvlJc w:val="left"/>
      <w:pPr>
        <w:ind w:left="1610" w:hanging="170"/>
        <w:jc w:val="right"/>
      </w:pPr>
      <w:rPr>
        <w:rFonts w:hint="default" w:ascii="Arial" w:hAnsi="Arial" w:eastAsia="Arial" w:cs="Arial"/>
        <w:b w:val="0"/>
        <w:bCs w:val="0"/>
        <w:i w:val="0"/>
        <w:iCs w:val="0"/>
        <w:color w:val="231F20"/>
        <w:w w:val="61"/>
        <w:sz w:val="19"/>
        <w:szCs w:val="19"/>
        <w:lang w:val="en-US" w:eastAsia="en-US" w:bidi="ar-SA"/>
      </w:rPr>
    </w:lvl>
    <w:lvl w:ilvl="1">
      <w:start w:val="0"/>
      <w:numFmt w:val="bullet"/>
      <w:lvlText w:val="•"/>
      <w:lvlJc w:val="left"/>
      <w:pPr>
        <w:ind w:left="2220" w:hanging="170"/>
      </w:pPr>
      <w:rPr>
        <w:rFonts w:hint="default"/>
        <w:lang w:val="en-US" w:eastAsia="en-US" w:bidi="ar-SA"/>
      </w:rPr>
    </w:lvl>
    <w:lvl w:ilvl="2">
      <w:start w:val="0"/>
      <w:numFmt w:val="bullet"/>
      <w:lvlText w:val="•"/>
      <w:lvlJc w:val="left"/>
      <w:pPr>
        <w:ind w:left="2840" w:hanging="170"/>
      </w:pPr>
      <w:rPr>
        <w:rFonts w:hint="default"/>
        <w:lang w:val="en-US" w:eastAsia="en-US" w:bidi="ar-SA"/>
      </w:rPr>
    </w:lvl>
    <w:lvl w:ilvl="3">
      <w:start w:val="0"/>
      <w:numFmt w:val="bullet"/>
      <w:lvlText w:val="•"/>
      <w:lvlJc w:val="left"/>
      <w:pPr>
        <w:ind w:left="3460" w:hanging="170"/>
      </w:pPr>
      <w:rPr>
        <w:rFonts w:hint="default"/>
        <w:lang w:val="en-US" w:eastAsia="en-US" w:bidi="ar-SA"/>
      </w:rPr>
    </w:lvl>
    <w:lvl w:ilvl="4">
      <w:start w:val="0"/>
      <w:numFmt w:val="bullet"/>
      <w:lvlText w:val="•"/>
      <w:lvlJc w:val="left"/>
      <w:pPr>
        <w:ind w:left="4080" w:hanging="170"/>
      </w:pPr>
      <w:rPr>
        <w:rFonts w:hint="default"/>
        <w:lang w:val="en-US" w:eastAsia="en-US" w:bidi="ar-SA"/>
      </w:rPr>
    </w:lvl>
    <w:lvl w:ilvl="5">
      <w:start w:val="0"/>
      <w:numFmt w:val="bullet"/>
      <w:lvlText w:val="•"/>
      <w:lvlJc w:val="left"/>
      <w:pPr>
        <w:ind w:left="4700" w:hanging="170"/>
      </w:pPr>
      <w:rPr>
        <w:rFonts w:hint="default"/>
        <w:lang w:val="en-US" w:eastAsia="en-US" w:bidi="ar-SA"/>
      </w:rPr>
    </w:lvl>
    <w:lvl w:ilvl="6">
      <w:start w:val="0"/>
      <w:numFmt w:val="bullet"/>
      <w:lvlText w:val="•"/>
      <w:lvlJc w:val="left"/>
      <w:pPr>
        <w:ind w:left="5320" w:hanging="170"/>
      </w:pPr>
      <w:rPr>
        <w:rFonts w:hint="default"/>
        <w:lang w:val="en-US" w:eastAsia="en-US" w:bidi="ar-SA"/>
      </w:rPr>
    </w:lvl>
    <w:lvl w:ilvl="7">
      <w:start w:val="0"/>
      <w:numFmt w:val="bullet"/>
      <w:lvlText w:val="•"/>
      <w:lvlJc w:val="left"/>
      <w:pPr>
        <w:ind w:left="5940" w:hanging="170"/>
      </w:pPr>
      <w:rPr>
        <w:rFonts w:hint="default"/>
        <w:lang w:val="en-US" w:eastAsia="en-US" w:bidi="ar-SA"/>
      </w:rPr>
    </w:lvl>
    <w:lvl w:ilvl="8">
      <w:start w:val="0"/>
      <w:numFmt w:val="bullet"/>
      <w:lvlText w:val="•"/>
      <w:lvlJc w:val="left"/>
      <w:pPr>
        <w:ind w:left="6560" w:hanging="170"/>
      </w:pPr>
      <w:rPr>
        <w:rFonts w:hint="default"/>
        <w:lang w:val="en-US" w:eastAsia="en-US" w:bidi="ar-SA"/>
      </w:rPr>
    </w:lvl>
  </w:abstractNum>
  <w:abstractNum w:abstractNumId="16">
    <w:multiLevelType w:val="hybridMultilevel"/>
    <w:lvl w:ilvl="0">
      <w:start w:val="0"/>
      <w:numFmt w:val="bullet"/>
      <w:lvlText w:val="•"/>
      <w:lvlJc w:val="left"/>
      <w:pPr>
        <w:ind w:left="1445" w:hanging="185"/>
      </w:pPr>
      <w:rPr>
        <w:rFonts w:hint="default" w:ascii="Arial" w:hAnsi="Arial" w:eastAsia="Arial" w:cs="Arial"/>
        <w:b w:val="0"/>
        <w:bCs w:val="0"/>
        <w:i w:val="0"/>
        <w:iCs w:val="0"/>
        <w:color w:val="231F20"/>
        <w:w w:val="136"/>
        <w:sz w:val="19"/>
        <w:szCs w:val="19"/>
        <w:lang w:val="en-US" w:eastAsia="en-US" w:bidi="ar-SA"/>
      </w:rPr>
    </w:lvl>
    <w:lvl w:ilvl="1">
      <w:start w:val="0"/>
      <w:numFmt w:val="bullet"/>
      <w:lvlText w:val="•"/>
      <w:lvlJc w:val="left"/>
      <w:pPr>
        <w:ind w:left="2076" w:hanging="185"/>
      </w:pPr>
      <w:rPr>
        <w:rFonts w:hint="default"/>
        <w:lang w:val="en-US" w:eastAsia="en-US" w:bidi="ar-SA"/>
      </w:rPr>
    </w:lvl>
    <w:lvl w:ilvl="2">
      <w:start w:val="0"/>
      <w:numFmt w:val="bullet"/>
      <w:lvlText w:val="•"/>
      <w:lvlJc w:val="left"/>
      <w:pPr>
        <w:ind w:left="2712" w:hanging="185"/>
      </w:pPr>
      <w:rPr>
        <w:rFonts w:hint="default"/>
        <w:lang w:val="en-US" w:eastAsia="en-US" w:bidi="ar-SA"/>
      </w:rPr>
    </w:lvl>
    <w:lvl w:ilvl="3">
      <w:start w:val="0"/>
      <w:numFmt w:val="bullet"/>
      <w:lvlText w:val="•"/>
      <w:lvlJc w:val="left"/>
      <w:pPr>
        <w:ind w:left="3348" w:hanging="185"/>
      </w:pPr>
      <w:rPr>
        <w:rFonts w:hint="default"/>
        <w:lang w:val="en-US" w:eastAsia="en-US" w:bidi="ar-SA"/>
      </w:rPr>
    </w:lvl>
    <w:lvl w:ilvl="4">
      <w:start w:val="0"/>
      <w:numFmt w:val="bullet"/>
      <w:lvlText w:val="•"/>
      <w:lvlJc w:val="left"/>
      <w:pPr>
        <w:ind w:left="3984" w:hanging="185"/>
      </w:pPr>
      <w:rPr>
        <w:rFonts w:hint="default"/>
        <w:lang w:val="en-US" w:eastAsia="en-US" w:bidi="ar-SA"/>
      </w:rPr>
    </w:lvl>
    <w:lvl w:ilvl="5">
      <w:start w:val="0"/>
      <w:numFmt w:val="bullet"/>
      <w:lvlText w:val="•"/>
      <w:lvlJc w:val="left"/>
      <w:pPr>
        <w:ind w:left="4620" w:hanging="185"/>
      </w:pPr>
      <w:rPr>
        <w:rFonts w:hint="default"/>
        <w:lang w:val="en-US" w:eastAsia="en-US" w:bidi="ar-SA"/>
      </w:rPr>
    </w:lvl>
    <w:lvl w:ilvl="6">
      <w:start w:val="0"/>
      <w:numFmt w:val="bullet"/>
      <w:lvlText w:val="•"/>
      <w:lvlJc w:val="left"/>
      <w:pPr>
        <w:ind w:left="5256" w:hanging="185"/>
      </w:pPr>
      <w:rPr>
        <w:rFonts w:hint="default"/>
        <w:lang w:val="en-US" w:eastAsia="en-US" w:bidi="ar-SA"/>
      </w:rPr>
    </w:lvl>
    <w:lvl w:ilvl="7">
      <w:start w:val="0"/>
      <w:numFmt w:val="bullet"/>
      <w:lvlText w:val="•"/>
      <w:lvlJc w:val="left"/>
      <w:pPr>
        <w:ind w:left="5892" w:hanging="185"/>
      </w:pPr>
      <w:rPr>
        <w:rFonts w:hint="default"/>
        <w:lang w:val="en-US" w:eastAsia="en-US" w:bidi="ar-SA"/>
      </w:rPr>
    </w:lvl>
    <w:lvl w:ilvl="8">
      <w:start w:val="0"/>
      <w:numFmt w:val="bullet"/>
      <w:lvlText w:val="•"/>
      <w:lvlJc w:val="left"/>
      <w:pPr>
        <w:ind w:left="6528" w:hanging="185"/>
      </w:pPr>
      <w:rPr>
        <w:rFonts w:hint="default"/>
        <w:lang w:val="en-US" w:eastAsia="en-US" w:bidi="ar-SA"/>
      </w:rPr>
    </w:lvl>
  </w:abstractNum>
  <w:abstractNum w:abstractNumId="15">
    <w:multiLevelType w:val="hybridMultilevel"/>
    <w:lvl w:ilvl="0">
      <w:start w:val="0"/>
      <w:numFmt w:val="bullet"/>
      <w:lvlText w:val="•"/>
      <w:lvlJc w:val="left"/>
      <w:pPr>
        <w:ind w:left="1445" w:hanging="185"/>
      </w:pPr>
      <w:rPr>
        <w:rFonts w:hint="default" w:ascii="Arial" w:hAnsi="Arial" w:eastAsia="Arial" w:cs="Arial"/>
        <w:b w:val="0"/>
        <w:bCs w:val="0"/>
        <w:i w:val="0"/>
        <w:iCs w:val="0"/>
        <w:color w:val="231F20"/>
        <w:w w:val="136"/>
        <w:sz w:val="19"/>
        <w:szCs w:val="19"/>
        <w:lang w:val="en-US" w:eastAsia="en-US" w:bidi="ar-SA"/>
      </w:rPr>
    </w:lvl>
    <w:lvl w:ilvl="1">
      <w:start w:val="0"/>
      <w:numFmt w:val="bullet"/>
      <w:lvlText w:val="•"/>
      <w:lvlJc w:val="left"/>
      <w:pPr>
        <w:ind w:left="2076" w:hanging="185"/>
      </w:pPr>
      <w:rPr>
        <w:rFonts w:hint="default"/>
        <w:lang w:val="en-US" w:eastAsia="en-US" w:bidi="ar-SA"/>
      </w:rPr>
    </w:lvl>
    <w:lvl w:ilvl="2">
      <w:start w:val="0"/>
      <w:numFmt w:val="bullet"/>
      <w:lvlText w:val="•"/>
      <w:lvlJc w:val="left"/>
      <w:pPr>
        <w:ind w:left="2712" w:hanging="185"/>
      </w:pPr>
      <w:rPr>
        <w:rFonts w:hint="default"/>
        <w:lang w:val="en-US" w:eastAsia="en-US" w:bidi="ar-SA"/>
      </w:rPr>
    </w:lvl>
    <w:lvl w:ilvl="3">
      <w:start w:val="0"/>
      <w:numFmt w:val="bullet"/>
      <w:lvlText w:val="•"/>
      <w:lvlJc w:val="left"/>
      <w:pPr>
        <w:ind w:left="3348" w:hanging="185"/>
      </w:pPr>
      <w:rPr>
        <w:rFonts w:hint="default"/>
        <w:lang w:val="en-US" w:eastAsia="en-US" w:bidi="ar-SA"/>
      </w:rPr>
    </w:lvl>
    <w:lvl w:ilvl="4">
      <w:start w:val="0"/>
      <w:numFmt w:val="bullet"/>
      <w:lvlText w:val="•"/>
      <w:lvlJc w:val="left"/>
      <w:pPr>
        <w:ind w:left="3984" w:hanging="185"/>
      </w:pPr>
      <w:rPr>
        <w:rFonts w:hint="default"/>
        <w:lang w:val="en-US" w:eastAsia="en-US" w:bidi="ar-SA"/>
      </w:rPr>
    </w:lvl>
    <w:lvl w:ilvl="5">
      <w:start w:val="0"/>
      <w:numFmt w:val="bullet"/>
      <w:lvlText w:val="•"/>
      <w:lvlJc w:val="left"/>
      <w:pPr>
        <w:ind w:left="4620" w:hanging="185"/>
      </w:pPr>
      <w:rPr>
        <w:rFonts w:hint="default"/>
        <w:lang w:val="en-US" w:eastAsia="en-US" w:bidi="ar-SA"/>
      </w:rPr>
    </w:lvl>
    <w:lvl w:ilvl="6">
      <w:start w:val="0"/>
      <w:numFmt w:val="bullet"/>
      <w:lvlText w:val="•"/>
      <w:lvlJc w:val="left"/>
      <w:pPr>
        <w:ind w:left="5256" w:hanging="185"/>
      </w:pPr>
      <w:rPr>
        <w:rFonts w:hint="default"/>
        <w:lang w:val="en-US" w:eastAsia="en-US" w:bidi="ar-SA"/>
      </w:rPr>
    </w:lvl>
    <w:lvl w:ilvl="7">
      <w:start w:val="0"/>
      <w:numFmt w:val="bullet"/>
      <w:lvlText w:val="•"/>
      <w:lvlJc w:val="left"/>
      <w:pPr>
        <w:ind w:left="5892" w:hanging="185"/>
      </w:pPr>
      <w:rPr>
        <w:rFonts w:hint="default"/>
        <w:lang w:val="en-US" w:eastAsia="en-US" w:bidi="ar-SA"/>
      </w:rPr>
    </w:lvl>
    <w:lvl w:ilvl="8">
      <w:start w:val="0"/>
      <w:numFmt w:val="bullet"/>
      <w:lvlText w:val="•"/>
      <w:lvlJc w:val="left"/>
      <w:pPr>
        <w:ind w:left="6528" w:hanging="185"/>
      </w:pPr>
      <w:rPr>
        <w:rFonts w:hint="default"/>
        <w:lang w:val="en-US" w:eastAsia="en-US" w:bidi="ar-SA"/>
      </w:rPr>
    </w:lvl>
  </w:abstractNum>
  <w:abstractNum w:abstractNumId="14">
    <w:multiLevelType w:val="hybridMultilevel"/>
    <w:lvl w:ilvl="0">
      <w:start w:val="1"/>
      <w:numFmt w:val="decimal"/>
      <w:lvlText w:val="%1."/>
      <w:lvlJc w:val="left"/>
      <w:pPr>
        <w:ind w:left="1411" w:hanging="242"/>
        <w:jc w:val="right"/>
      </w:pPr>
      <w:rPr>
        <w:rFonts w:hint="default" w:ascii="Cambria" w:hAnsi="Cambria" w:eastAsia="Cambria" w:cs="Cambria"/>
        <w:b/>
        <w:bCs/>
        <w:i/>
        <w:iCs/>
        <w:color w:val="231F20"/>
        <w:w w:val="108"/>
        <w:sz w:val="21"/>
        <w:szCs w:val="21"/>
        <w:lang w:val="en-US" w:eastAsia="en-US" w:bidi="ar-SA"/>
      </w:rPr>
    </w:lvl>
    <w:lvl w:ilvl="1">
      <w:start w:val="1"/>
      <w:numFmt w:val="decimal"/>
      <w:lvlText w:val="%2."/>
      <w:lvlJc w:val="left"/>
      <w:pPr>
        <w:ind w:left="1520" w:hanging="170"/>
        <w:jc w:val="right"/>
      </w:pPr>
      <w:rPr>
        <w:rFonts w:hint="default" w:ascii="Arial" w:hAnsi="Arial" w:eastAsia="Arial" w:cs="Arial"/>
        <w:b w:val="0"/>
        <w:bCs w:val="0"/>
        <w:i w:val="0"/>
        <w:iCs w:val="0"/>
        <w:color w:val="231F20"/>
        <w:w w:val="68"/>
        <w:sz w:val="19"/>
        <w:szCs w:val="19"/>
        <w:lang w:val="en-US" w:eastAsia="en-US" w:bidi="ar-SA"/>
      </w:rPr>
    </w:lvl>
    <w:lvl w:ilvl="2">
      <w:start w:val="1"/>
      <w:numFmt w:val="decimal"/>
      <w:lvlText w:val="%3."/>
      <w:lvlJc w:val="left"/>
      <w:pPr>
        <w:ind w:left="1610" w:hanging="170"/>
        <w:jc w:val="right"/>
      </w:pPr>
      <w:rPr>
        <w:rFonts w:hint="default" w:ascii="Arial" w:hAnsi="Arial" w:eastAsia="Arial" w:cs="Arial"/>
        <w:b w:val="0"/>
        <w:bCs w:val="0"/>
        <w:i w:val="0"/>
        <w:iCs w:val="0"/>
        <w:color w:val="231F20"/>
        <w:w w:val="68"/>
        <w:sz w:val="19"/>
        <w:szCs w:val="19"/>
        <w:lang w:val="en-US" w:eastAsia="en-US" w:bidi="ar-SA"/>
      </w:rPr>
    </w:lvl>
    <w:lvl w:ilvl="3">
      <w:start w:val="0"/>
      <w:numFmt w:val="bullet"/>
      <w:lvlText w:val="•"/>
      <w:lvlJc w:val="left"/>
      <w:pPr>
        <w:ind w:left="2392" w:hanging="170"/>
      </w:pPr>
      <w:rPr>
        <w:rFonts w:hint="default"/>
        <w:lang w:val="en-US" w:eastAsia="en-US" w:bidi="ar-SA"/>
      </w:rPr>
    </w:lvl>
    <w:lvl w:ilvl="4">
      <w:start w:val="0"/>
      <w:numFmt w:val="bullet"/>
      <w:lvlText w:val="•"/>
      <w:lvlJc w:val="left"/>
      <w:pPr>
        <w:ind w:left="3165" w:hanging="170"/>
      </w:pPr>
      <w:rPr>
        <w:rFonts w:hint="default"/>
        <w:lang w:val="en-US" w:eastAsia="en-US" w:bidi="ar-SA"/>
      </w:rPr>
    </w:lvl>
    <w:lvl w:ilvl="5">
      <w:start w:val="0"/>
      <w:numFmt w:val="bullet"/>
      <w:lvlText w:val="•"/>
      <w:lvlJc w:val="left"/>
      <w:pPr>
        <w:ind w:left="3937" w:hanging="170"/>
      </w:pPr>
      <w:rPr>
        <w:rFonts w:hint="default"/>
        <w:lang w:val="en-US" w:eastAsia="en-US" w:bidi="ar-SA"/>
      </w:rPr>
    </w:lvl>
    <w:lvl w:ilvl="6">
      <w:start w:val="0"/>
      <w:numFmt w:val="bullet"/>
      <w:lvlText w:val="•"/>
      <w:lvlJc w:val="left"/>
      <w:pPr>
        <w:ind w:left="4710" w:hanging="170"/>
      </w:pPr>
      <w:rPr>
        <w:rFonts w:hint="default"/>
        <w:lang w:val="en-US" w:eastAsia="en-US" w:bidi="ar-SA"/>
      </w:rPr>
    </w:lvl>
    <w:lvl w:ilvl="7">
      <w:start w:val="0"/>
      <w:numFmt w:val="bullet"/>
      <w:lvlText w:val="•"/>
      <w:lvlJc w:val="left"/>
      <w:pPr>
        <w:ind w:left="5482" w:hanging="170"/>
      </w:pPr>
      <w:rPr>
        <w:rFonts w:hint="default"/>
        <w:lang w:val="en-US" w:eastAsia="en-US" w:bidi="ar-SA"/>
      </w:rPr>
    </w:lvl>
    <w:lvl w:ilvl="8">
      <w:start w:val="0"/>
      <w:numFmt w:val="bullet"/>
      <w:lvlText w:val="•"/>
      <w:lvlJc w:val="left"/>
      <w:pPr>
        <w:ind w:left="6255" w:hanging="170"/>
      </w:pPr>
      <w:rPr>
        <w:rFonts w:hint="default"/>
        <w:lang w:val="en-US" w:eastAsia="en-US" w:bidi="ar-SA"/>
      </w:rPr>
    </w:lvl>
  </w:abstractNum>
  <w:abstractNum w:abstractNumId="13">
    <w:multiLevelType w:val="hybridMultilevel"/>
    <w:lvl w:ilvl="0">
      <w:start w:val="0"/>
      <w:numFmt w:val="bullet"/>
      <w:lvlText w:val=""/>
      <w:lvlJc w:val="left"/>
      <w:pPr>
        <w:ind w:left="1796" w:hanging="177"/>
      </w:pPr>
      <w:rPr>
        <w:rFonts w:hint="default" w:ascii="Symbol" w:hAnsi="Symbol" w:eastAsia="Symbol" w:cs="Symbol"/>
        <w:b w:val="0"/>
        <w:bCs w:val="0"/>
        <w:i w:val="0"/>
        <w:iCs w:val="0"/>
        <w:color w:val="231F20"/>
        <w:w w:val="101"/>
        <w:sz w:val="21"/>
        <w:szCs w:val="21"/>
        <w:lang w:val="en-US" w:eastAsia="en-US" w:bidi="ar-SA"/>
      </w:rPr>
    </w:lvl>
    <w:lvl w:ilvl="1">
      <w:start w:val="0"/>
      <w:numFmt w:val="bullet"/>
      <w:lvlText w:val="•"/>
      <w:lvlJc w:val="left"/>
      <w:pPr>
        <w:ind w:left="2400" w:hanging="177"/>
      </w:pPr>
      <w:rPr>
        <w:rFonts w:hint="default"/>
        <w:lang w:val="en-US" w:eastAsia="en-US" w:bidi="ar-SA"/>
      </w:rPr>
    </w:lvl>
    <w:lvl w:ilvl="2">
      <w:start w:val="0"/>
      <w:numFmt w:val="bullet"/>
      <w:lvlText w:val="•"/>
      <w:lvlJc w:val="left"/>
      <w:pPr>
        <w:ind w:left="3000" w:hanging="177"/>
      </w:pPr>
      <w:rPr>
        <w:rFonts w:hint="default"/>
        <w:lang w:val="en-US" w:eastAsia="en-US" w:bidi="ar-SA"/>
      </w:rPr>
    </w:lvl>
    <w:lvl w:ilvl="3">
      <w:start w:val="0"/>
      <w:numFmt w:val="bullet"/>
      <w:lvlText w:val="•"/>
      <w:lvlJc w:val="left"/>
      <w:pPr>
        <w:ind w:left="3600" w:hanging="177"/>
      </w:pPr>
      <w:rPr>
        <w:rFonts w:hint="default"/>
        <w:lang w:val="en-US" w:eastAsia="en-US" w:bidi="ar-SA"/>
      </w:rPr>
    </w:lvl>
    <w:lvl w:ilvl="4">
      <w:start w:val="0"/>
      <w:numFmt w:val="bullet"/>
      <w:lvlText w:val="•"/>
      <w:lvlJc w:val="left"/>
      <w:pPr>
        <w:ind w:left="4200" w:hanging="177"/>
      </w:pPr>
      <w:rPr>
        <w:rFonts w:hint="default"/>
        <w:lang w:val="en-US" w:eastAsia="en-US" w:bidi="ar-SA"/>
      </w:rPr>
    </w:lvl>
    <w:lvl w:ilvl="5">
      <w:start w:val="0"/>
      <w:numFmt w:val="bullet"/>
      <w:lvlText w:val="•"/>
      <w:lvlJc w:val="left"/>
      <w:pPr>
        <w:ind w:left="4800" w:hanging="177"/>
      </w:pPr>
      <w:rPr>
        <w:rFonts w:hint="default"/>
        <w:lang w:val="en-US" w:eastAsia="en-US" w:bidi="ar-SA"/>
      </w:rPr>
    </w:lvl>
    <w:lvl w:ilvl="6">
      <w:start w:val="0"/>
      <w:numFmt w:val="bullet"/>
      <w:lvlText w:val="•"/>
      <w:lvlJc w:val="left"/>
      <w:pPr>
        <w:ind w:left="5400" w:hanging="177"/>
      </w:pPr>
      <w:rPr>
        <w:rFonts w:hint="default"/>
        <w:lang w:val="en-US" w:eastAsia="en-US" w:bidi="ar-SA"/>
      </w:rPr>
    </w:lvl>
    <w:lvl w:ilvl="7">
      <w:start w:val="0"/>
      <w:numFmt w:val="bullet"/>
      <w:lvlText w:val="•"/>
      <w:lvlJc w:val="left"/>
      <w:pPr>
        <w:ind w:left="6000" w:hanging="177"/>
      </w:pPr>
      <w:rPr>
        <w:rFonts w:hint="default"/>
        <w:lang w:val="en-US" w:eastAsia="en-US" w:bidi="ar-SA"/>
      </w:rPr>
    </w:lvl>
    <w:lvl w:ilvl="8">
      <w:start w:val="0"/>
      <w:numFmt w:val="bullet"/>
      <w:lvlText w:val="•"/>
      <w:lvlJc w:val="left"/>
      <w:pPr>
        <w:ind w:left="6600" w:hanging="177"/>
      </w:pPr>
      <w:rPr>
        <w:rFonts w:hint="default"/>
        <w:lang w:val="en-US" w:eastAsia="en-US" w:bidi="ar-SA"/>
      </w:rPr>
    </w:lvl>
  </w:abstractNum>
  <w:abstractNum w:abstractNumId="12">
    <w:multiLevelType w:val="hybridMultilevel"/>
    <w:lvl w:ilvl="0">
      <w:start w:val="0"/>
      <w:numFmt w:val="bullet"/>
      <w:lvlText w:val="•"/>
      <w:lvlJc w:val="left"/>
      <w:pPr>
        <w:ind w:left="1355" w:hanging="186"/>
      </w:pPr>
      <w:rPr>
        <w:rFonts w:hint="default" w:ascii="Arial" w:hAnsi="Arial" w:eastAsia="Arial" w:cs="Arial"/>
        <w:b w:val="0"/>
        <w:bCs w:val="0"/>
        <w:i w:val="0"/>
        <w:iCs w:val="0"/>
        <w:color w:val="231F20"/>
        <w:w w:val="136"/>
        <w:sz w:val="19"/>
        <w:szCs w:val="19"/>
        <w:lang w:val="en-US" w:eastAsia="en-US" w:bidi="ar-SA"/>
      </w:rPr>
    </w:lvl>
    <w:lvl w:ilvl="1">
      <w:start w:val="0"/>
      <w:numFmt w:val="bullet"/>
      <w:lvlText w:val="•"/>
      <w:lvlJc w:val="left"/>
      <w:pPr>
        <w:ind w:left="1445" w:hanging="186"/>
      </w:pPr>
      <w:rPr>
        <w:rFonts w:hint="default" w:ascii="Arial" w:hAnsi="Arial" w:eastAsia="Arial" w:cs="Arial"/>
        <w:b w:val="0"/>
        <w:bCs w:val="0"/>
        <w:i w:val="0"/>
        <w:iCs w:val="0"/>
        <w:color w:val="231F20"/>
        <w:w w:val="136"/>
        <w:sz w:val="19"/>
        <w:szCs w:val="19"/>
        <w:lang w:val="en-US" w:eastAsia="en-US" w:bidi="ar-SA"/>
      </w:rPr>
    </w:lvl>
    <w:lvl w:ilvl="2">
      <w:start w:val="0"/>
      <w:numFmt w:val="bullet"/>
      <w:lvlText w:val="•"/>
      <w:lvlJc w:val="left"/>
      <w:pPr>
        <w:ind w:left="2146" w:hanging="186"/>
      </w:pPr>
      <w:rPr>
        <w:rFonts w:hint="default"/>
        <w:lang w:val="en-US" w:eastAsia="en-US" w:bidi="ar-SA"/>
      </w:rPr>
    </w:lvl>
    <w:lvl w:ilvl="3">
      <w:start w:val="0"/>
      <w:numFmt w:val="bullet"/>
      <w:lvlText w:val="•"/>
      <w:lvlJc w:val="left"/>
      <w:pPr>
        <w:ind w:left="2853" w:hanging="186"/>
      </w:pPr>
      <w:rPr>
        <w:rFonts w:hint="default"/>
        <w:lang w:val="en-US" w:eastAsia="en-US" w:bidi="ar-SA"/>
      </w:rPr>
    </w:lvl>
    <w:lvl w:ilvl="4">
      <w:start w:val="0"/>
      <w:numFmt w:val="bullet"/>
      <w:lvlText w:val="•"/>
      <w:lvlJc w:val="left"/>
      <w:pPr>
        <w:ind w:left="3560" w:hanging="186"/>
      </w:pPr>
      <w:rPr>
        <w:rFonts w:hint="default"/>
        <w:lang w:val="en-US" w:eastAsia="en-US" w:bidi="ar-SA"/>
      </w:rPr>
    </w:lvl>
    <w:lvl w:ilvl="5">
      <w:start w:val="0"/>
      <w:numFmt w:val="bullet"/>
      <w:lvlText w:val="•"/>
      <w:lvlJc w:val="left"/>
      <w:pPr>
        <w:ind w:left="4266" w:hanging="186"/>
      </w:pPr>
      <w:rPr>
        <w:rFonts w:hint="default"/>
        <w:lang w:val="en-US" w:eastAsia="en-US" w:bidi="ar-SA"/>
      </w:rPr>
    </w:lvl>
    <w:lvl w:ilvl="6">
      <w:start w:val="0"/>
      <w:numFmt w:val="bullet"/>
      <w:lvlText w:val="•"/>
      <w:lvlJc w:val="left"/>
      <w:pPr>
        <w:ind w:left="4973" w:hanging="186"/>
      </w:pPr>
      <w:rPr>
        <w:rFonts w:hint="default"/>
        <w:lang w:val="en-US" w:eastAsia="en-US" w:bidi="ar-SA"/>
      </w:rPr>
    </w:lvl>
    <w:lvl w:ilvl="7">
      <w:start w:val="0"/>
      <w:numFmt w:val="bullet"/>
      <w:lvlText w:val="•"/>
      <w:lvlJc w:val="left"/>
      <w:pPr>
        <w:ind w:left="5680" w:hanging="186"/>
      </w:pPr>
      <w:rPr>
        <w:rFonts w:hint="default"/>
        <w:lang w:val="en-US" w:eastAsia="en-US" w:bidi="ar-SA"/>
      </w:rPr>
    </w:lvl>
    <w:lvl w:ilvl="8">
      <w:start w:val="0"/>
      <w:numFmt w:val="bullet"/>
      <w:lvlText w:val="•"/>
      <w:lvlJc w:val="left"/>
      <w:pPr>
        <w:ind w:left="6386" w:hanging="186"/>
      </w:pPr>
      <w:rPr>
        <w:rFonts w:hint="default"/>
        <w:lang w:val="en-US" w:eastAsia="en-US" w:bidi="ar-SA"/>
      </w:rPr>
    </w:lvl>
  </w:abstractNum>
  <w:abstractNum w:abstractNumId="11">
    <w:multiLevelType w:val="hybridMultilevel"/>
    <w:lvl w:ilvl="0">
      <w:start w:val="1"/>
      <w:numFmt w:val="decimal"/>
      <w:lvlText w:val="%1."/>
      <w:lvlJc w:val="left"/>
      <w:pPr>
        <w:ind w:left="1610" w:hanging="170"/>
        <w:jc w:val="right"/>
      </w:pPr>
      <w:rPr>
        <w:rFonts w:hint="default" w:ascii="Arial" w:hAnsi="Arial" w:eastAsia="Arial" w:cs="Arial"/>
        <w:b w:val="0"/>
        <w:bCs w:val="0"/>
        <w:i w:val="0"/>
        <w:iCs w:val="0"/>
        <w:color w:val="231F20"/>
        <w:w w:val="68"/>
        <w:sz w:val="19"/>
        <w:szCs w:val="19"/>
        <w:lang w:val="en-US" w:eastAsia="en-US" w:bidi="ar-SA"/>
      </w:rPr>
    </w:lvl>
    <w:lvl w:ilvl="1">
      <w:start w:val="1"/>
      <w:numFmt w:val="decimal"/>
      <w:lvlText w:val="%2."/>
      <w:lvlJc w:val="left"/>
      <w:pPr>
        <w:ind w:left="3001" w:hanging="268"/>
        <w:jc w:val="right"/>
      </w:pPr>
      <w:rPr>
        <w:rFonts w:hint="default" w:ascii="Trebuchet MS" w:hAnsi="Trebuchet MS" w:eastAsia="Trebuchet MS" w:cs="Trebuchet MS"/>
        <w:b w:val="0"/>
        <w:bCs w:val="0"/>
        <w:i w:val="0"/>
        <w:iCs w:val="0"/>
        <w:color w:val="231F20"/>
        <w:spacing w:val="0"/>
        <w:w w:val="80"/>
        <w:sz w:val="24"/>
        <w:szCs w:val="24"/>
        <w:lang w:val="en-US" w:eastAsia="en-US" w:bidi="ar-SA"/>
      </w:rPr>
    </w:lvl>
    <w:lvl w:ilvl="2">
      <w:start w:val="1"/>
      <w:numFmt w:val="decimal"/>
      <w:lvlText w:val="%3."/>
      <w:lvlJc w:val="left"/>
      <w:pPr>
        <w:ind w:left="1610" w:hanging="170"/>
        <w:jc w:val="right"/>
      </w:pPr>
      <w:rPr>
        <w:rFonts w:hint="default" w:ascii="Arial" w:hAnsi="Arial" w:eastAsia="Arial" w:cs="Arial"/>
        <w:b w:val="0"/>
        <w:bCs w:val="0"/>
        <w:i w:val="0"/>
        <w:iCs w:val="0"/>
        <w:color w:val="231F20"/>
        <w:w w:val="68"/>
        <w:sz w:val="19"/>
        <w:szCs w:val="19"/>
        <w:lang w:val="en-US" w:eastAsia="en-US" w:bidi="ar-SA"/>
      </w:rPr>
    </w:lvl>
    <w:lvl w:ilvl="3">
      <w:start w:val="4"/>
      <w:numFmt w:val="decimal"/>
      <w:lvlText w:val="%4."/>
      <w:lvlJc w:val="left"/>
      <w:pPr>
        <w:ind w:left="1977" w:hanging="268"/>
        <w:jc w:val="right"/>
      </w:pPr>
      <w:rPr>
        <w:rFonts w:hint="default" w:ascii="Trebuchet MS" w:hAnsi="Trebuchet MS" w:eastAsia="Trebuchet MS" w:cs="Trebuchet MS"/>
        <w:b w:val="0"/>
        <w:bCs w:val="0"/>
        <w:i w:val="0"/>
        <w:iCs w:val="0"/>
        <w:color w:val="231F20"/>
        <w:spacing w:val="0"/>
        <w:w w:val="80"/>
        <w:sz w:val="24"/>
        <w:szCs w:val="24"/>
        <w:lang w:val="en-US" w:eastAsia="en-US" w:bidi="ar-SA"/>
      </w:rPr>
    </w:lvl>
    <w:lvl w:ilvl="4">
      <w:start w:val="0"/>
      <w:numFmt w:val="bullet"/>
      <w:lvlText w:val="•"/>
      <w:lvlJc w:val="left"/>
      <w:pPr>
        <w:ind w:left="3685" w:hanging="268"/>
      </w:pPr>
      <w:rPr>
        <w:rFonts w:hint="default"/>
        <w:lang w:val="en-US" w:eastAsia="en-US" w:bidi="ar-SA"/>
      </w:rPr>
    </w:lvl>
    <w:lvl w:ilvl="5">
      <w:start w:val="0"/>
      <w:numFmt w:val="bullet"/>
      <w:lvlText w:val="•"/>
      <w:lvlJc w:val="left"/>
      <w:pPr>
        <w:ind w:left="4371" w:hanging="268"/>
      </w:pPr>
      <w:rPr>
        <w:rFonts w:hint="default"/>
        <w:lang w:val="en-US" w:eastAsia="en-US" w:bidi="ar-SA"/>
      </w:rPr>
    </w:lvl>
    <w:lvl w:ilvl="6">
      <w:start w:val="0"/>
      <w:numFmt w:val="bullet"/>
      <w:lvlText w:val="•"/>
      <w:lvlJc w:val="left"/>
      <w:pPr>
        <w:ind w:left="5057" w:hanging="268"/>
      </w:pPr>
      <w:rPr>
        <w:rFonts w:hint="default"/>
        <w:lang w:val="en-US" w:eastAsia="en-US" w:bidi="ar-SA"/>
      </w:rPr>
    </w:lvl>
    <w:lvl w:ilvl="7">
      <w:start w:val="0"/>
      <w:numFmt w:val="bullet"/>
      <w:lvlText w:val="•"/>
      <w:lvlJc w:val="left"/>
      <w:pPr>
        <w:ind w:left="5742" w:hanging="268"/>
      </w:pPr>
      <w:rPr>
        <w:rFonts w:hint="default"/>
        <w:lang w:val="en-US" w:eastAsia="en-US" w:bidi="ar-SA"/>
      </w:rPr>
    </w:lvl>
    <w:lvl w:ilvl="8">
      <w:start w:val="0"/>
      <w:numFmt w:val="bullet"/>
      <w:lvlText w:val="•"/>
      <w:lvlJc w:val="left"/>
      <w:pPr>
        <w:ind w:left="6428" w:hanging="268"/>
      </w:pPr>
      <w:rPr>
        <w:rFonts w:hint="default"/>
        <w:lang w:val="en-US" w:eastAsia="en-US" w:bidi="ar-SA"/>
      </w:rPr>
    </w:lvl>
  </w:abstractNum>
  <w:abstractNum w:abstractNumId="10">
    <w:multiLevelType w:val="hybridMultilevel"/>
    <w:lvl w:ilvl="0">
      <w:start w:val="1"/>
      <w:numFmt w:val="decimal"/>
      <w:lvlText w:val="%1."/>
      <w:lvlJc w:val="left"/>
      <w:pPr>
        <w:ind w:left="1520" w:hanging="177"/>
        <w:jc w:val="right"/>
      </w:pPr>
      <w:rPr>
        <w:rFonts w:hint="default" w:ascii="Arial" w:hAnsi="Arial" w:eastAsia="Arial" w:cs="Arial"/>
        <w:b w:val="0"/>
        <w:bCs w:val="0"/>
        <w:i w:val="0"/>
        <w:iCs w:val="0"/>
        <w:color w:val="231F20"/>
        <w:w w:val="73"/>
        <w:sz w:val="19"/>
        <w:szCs w:val="19"/>
        <w:lang w:val="en-US" w:eastAsia="en-US" w:bidi="ar-SA"/>
      </w:rPr>
    </w:lvl>
    <w:lvl w:ilvl="1">
      <w:start w:val="1"/>
      <w:numFmt w:val="decimal"/>
      <w:lvlText w:val="%2."/>
      <w:lvlJc w:val="left"/>
      <w:pPr>
        <w:ind w:left="1609" w:hanging="170"/>
        <w:jc w:val="right"/>
      </w:pPr>
      <w:rPr>
        <w:rFonts w:hint="default" w:ascii="Arial" w:hAnsi="Arial" w:eastAsia="Arial" w:cs="Arial"/>
        <w:b w:val="0"/>
        <w:bCs w:val="0"/>
        <w:i w:val="0"/>
        <w:iCs w:val="0"/>
        <w:color w:val="231F20"/>
        <w:w w:val="68"/>
        <w:sz w:val="19"/>
        <w:szCs w:val="19"/>
        <w:lang w:val="en-US" w:eastAsia="en-US" w:bidi="ar-SA"/>
      </w:rPr>
    </w:lvl>
    <w:lvl w:ilvl="2">
      <w:start w:val="0"/>
      <w:numFmt w:val="bullet"/>
      <w:lvlText w:val="•"/>
      <w:lvlJc w:val="left"/>
      <w:pPr>
        <w:ind w:left="2288" w:hanging="170"/>
      </w:pPr>
      <w:rPr>
        <w:rFonts w:hint="default"/>
        <w:lang w:val="en-US" w:eastAsia="en-US" w:bidi="ar-SA"/>
      </w:rPr>
    </w:lvl>
    <w:lvl w:ilvl="3">
      <w:start w:val="0"/>
      <w:numFmt w:val="bullet"/>
      <w:lvlText w:val="•"/>
      <w:lvlJc w:val="left"/>
      <w:pPr>
        <w:ind w:left="2977" w:hanging="170"/>
      </w:pPr>
      <w:rPr>
        <w:rFonts w:hint="default"/>
        <w:lang w:val="en-US" w:eastAsia="en-US" w:bidi="ar-SA"/>
      </w:rPr>
    </w:lvl>
    <w:lvl w:ilvl="4">
      <w:start w:val="0"/>
      <w:numFmt w:val="bullet"/>
      <w:lvlText w:val="•"/>
      <w:lvlJc w:val="left"/>
      <w:pPr>
        <w:ind w:left="3666" w:hanging="170"/>
      </w:pPr>
      <w:rPr>
        <w:rFonts w:hint="default"/>
        <w:lang w:val="en-US" w:eastAsia="en-US" w:bidi="ar-SA"/>
      </w:rPr>
    </w:lvl>
    <w:lvl w:ilvl="5">
      <w:start w:val="0"/>
      <w:numFmt w:val="bullet"/>
      <w:lvlText w:val="•"/>
      <w:lvlJc w:val="left"/>
      <w:pPr>
        <w:ind w:left="4355" w:hanging="170"/>
      </w:pPr>
      <w:rPr>
        <w:rFonts w:hint="default"/>
        <w:lang w:val="en-US" w:eastAsia="en-US" w:bidi="ar-SA"/>
      </w:rPr>
    </w:lvl>
    <w:lvl w:ilvl="6">
      <w:start w:val="0"/>
      <w:numFmt w:val="bullet"/>
      <w:lvlText w:val="•"/>
      <w:lvlJc w:val="left"/>
      <w:pPr>
        <w:ind w:left="5044" w:hanging="170"/>
      </w:pPr>
      <w:rPr>
        <w:rFonts w:hint="default"/>
        <w:lang w:val="en-US" w:eastAsia="en-US" w:bidi="ar-SA"/>
      </w:rPr>
    </w:lvl>
    <w:lvl w:ilvl="7">
      <w:start w:val="0"/>
      <w:numFmt w:val="bullet"/>
      <w:lvlText w:val="•"/>
      <w:lvlJc w:val="left"/>
      <w:pPr>
        <w:ind w:left="5733" w:hanging="170"/>
      </w:pPr>
      <w:rPr>
        <w:rFonts w:hint="default"/>
        <w:lang w:val="en-US" w:eastAsia="en-US" w:bidi="ar-SA"/>
      </w:rPr>
    </w:lvl>
    <w:lvl w:ilvl="8">
      <w:start w:val="0"/>
      <w:numFmt w:val="bullet"/>
      <w:lvlText w:val="•"/>
      <w:lvlJc w:val="left"/>
      <w:pPr>
        <w:ind w:left="6422" w:hanging="170"/>
      </w:pPr>
      <w:rPr>
        <w:rFonts w:hint="default"/>
        <w:lang w:val="en-US" w:eastAsia="en-US" w:bidi="ar-SA"/>
      </w:rPr>
    </w:lvl>
  </w:abstractNum>
  <w:abstractNum w:abstractNumId="9">
    <w:multiLevelType w:val="hybridMultilevel"/>
    <w:lvl w:ilvl="0">
      <w:start w:val="1"/>
      <w:numFmt w:val="decimal"/>
      <w:lvlText w:val="%1."/>
      <w:lvlJc w:val="left"/>
      <w:pPr>
        <w:ind w:left="1520" w:hanging="177"/>
        <w:jc w:val="right"/>
      </w:pPr>
      <w:rPr>
        <w:rFonts w:hint="default" w:ascii="Arial" w:hAnsi="Arial" w:eastAsia="Arial" w:cs="Arial"/>
        <w:b w:val="0"/>
        <w:bCs w:val="0"/>
        <w:i w:val="0"/>
        <w:iCs w:val="0"/>
        <w:color w:val="231F20"/>
        <w:w w:val="73"/>
        <w:sz w:val="19"/>
        <w:szCs w:val="19"/>
        <w:lang w:val="en-US" w:eastAsia="en-US" w:bidi="ar-SA"/>
      </w:rPr>
    </w:lvl>
    <w:lvl w:ilvl="1">
      <w:start w:val="0"/>
      <w:numFmt w:val="bullet"/>
      <w:lvlText w:val="•"/>
      <w:lvlJc w:val="left"/>
      <w:pPr>
        <w:ind w:left="2148" w:hanging="177"/>
      </w:pPr>
      <w:rPr>
        <w:rFonts w:hint="default"/>
        <w:lang w:val="en-US" w:eastAsia="en-US" w:bidi="ar-SA"/>
      </w:rPr>
    </w:lvl>
    <w:lvl w:ilvl="2">
      <w:start w:val="0"/>
      <w:numFmt w:val="bullet"/>
      <w:lvlText w:val="•"/>
      <w:lvlJc w:val="left"/>
      <w:pPr>
        <w:ind w:left="2776" w:hanging="177"/>
      </w:pPr>
      <w:rPr>
        <w:rFonts w:hint="default"/>
        <w:lang w:val="en-US" w:eastAsia="en-US" w:bidi="ar-SA"/>
      </w:rPr>
    </w:lvl>
    <w:lvl w:ilvl="3">
      <w:start w:val="0"/>
      <w:numFmt w:val="bullet"/>
      <w:lvlText w:val="•"/>
      <w:lvlJc w:val="left"/>
      <w:pPr>
        <w:ind w:left="3404" w:hanging="177"/>
      </w:pPr>
      <w:rPr>
        <w:rFonts w:hint="default"/>
        <w:lang w:val="en-US" w:eastAsia="en-US" w:bidi="ar-SA"/>
      </w:rPr>
    </w:lvl>
    <w:lvl w:ilvl="4">
      <w:start w:val="0"/>
      <w:numFmt w:val="bullet"/>
      <w:lvlText w:val="•"/>
      <w:lvlJc w:val="left"/>
      <w:pPr>
        <w:ind w:left="4032" w:hanging="177"/>
      </w:pPr>
      <w:rPr>
        <w:rFonts w:hint="default"/>
        <w:lang w:val="en-US" w:eastAsia="en-US" w:bidi="ar-SA"/>
      </w:rPr>
    </w:lvl>
    <w:lvl w:ilvl="5">
      <w:start w:val="0"/>
      <w:numFmt w:val="bullet"/>
      <w:lvlText w:val="•"/>
      <w:lvlJc w:val="left"/>
      <w:pPr>
        <w:ind w:left="4660" w:hanging="177"/>
      </w:pPr>
      <w:rPr>
        <w:rFonts w:hint="default"/>
        <w:lang w:val="en-US" w:eastAsia="en-US" w:bidi="ar-SA"/>
      </w:rPr>
    </w:lvl>
    <w:lvl w:ilvl="6">
      <w:start w:val="0"/>
      <w:numFmt w:val="bullet"/>
      <w:lvlText w:val="•"/>
      <w:lvlJc w:val="left"/>
      <w:pPr>
        <w:ind w:left="5288" w:hanging="177"/>
      </w:pPr>
      <w:rPr>
        <w:rFonts w:hint="default"/>
        <w:lang w:val="en-US" w:eastAsia="en-US" w:bidi="ar-SA"/>
      </w:rPr>
    </w:lvl>
    <w:lvl w:ilvl="7">
      <w:start w:val="0"/>
      <w:numFmt w:val="bullet"/>
      <w:lvlText w:val="•"/>
      <w:lvlJc w:val="left"/>
      <w:pPr>
        <w:ind w:left="5916" w:hanging="177"/>
      </w:pPr>
      <w:rPr>
        <w:rFonts w:hint="default"/>
        <w:lang w:val="en-US" w:eastAsia="en-US" w:bidi="ar-SA"/>
      </w:rPr>
    </w:lvl>
    <w:lvl w:ilvl="8">
      <w:start w:val="0"/>
      <w:numFmt w:val="bullet"/>
      <w:lvlText w:val="•"/>
      <w:lvlJc w:val="left"/>
      <w:pPr>
        <w:ind w:left="6544" w:hanging="177"/>
      </w:pPr>
      <w:rPr>
        <w:rFonts w:hint="default"/>
        <w:lang w:val="en-US" w:eastAsia="en-US" w:bidi="ar-SA"/>
      </w:rPr>
    </w:lvl>
  </w:abstractNum>
  <w:abstractNum w:abstractNumId="8">
    <w:multiLevelType w:val="hybridMultilevel"/>
    <w:lvl w:ilvl="0">
      <w:start w:val="1"/>
      <w:numFmt w:val="decimal"/>
      <w:lvlText w:val="%1."/>
      <w:lvlJc w:val="left"/>
      <w:pPr>
        <w:ind w:left="1610" w:hanging="177"/>
        <w:jc w:val="right"/>
      </w:pPr>
      <w:rPr>
        <w:rFonts w:hint="default" w:ascii="Arial" w:hAnsi="Arial" w:eastAsia="Arial" w:cs="Arial"/>
        <w:b w:val="0"/>
        <w:bCs w:val="0"/>
        <w:i w:val="0"/>
        <w:iCs w:val="0"/>
        <w:color w:val="231F20"/>
        <w:spacing w:val="-1"/>
        <w:w w:val="73"/>
        <w:sz w:val="19"/>
        <w:szCs w:val="19"/>
        <w:lang w:val="en-US" w:eastAsia="en-US" w:bidi="ar-SA"/>
      </w:rPr>
    </w:lvl>
    <w:lvl w:ilvl="1">
      <w:start w:val="0"/>
      <w:numFmt w:val="bullet"/>
      <w:lvlText w:val="•"/>
      <w:lvlJc w:val="left"/>
      <w:pPr>
        <w:ind w:left="2238" w:hanging="177"/>
      </w:pPr>
      <w:rPr>
        <w:rFonts w:hint="default"/>
        <w:lang w:val="en-US" w:eastAsia="en-US" w:bidi="ar-SA"/>
      </w:rPr>
    </w:lvl>
    <w:lvl w:ilvl="2">
      <w:start w:val="0"/>
      <w:numFmt w:val="bullet"/>
      <w:lvlText w:val="•"/>
      <w:lvlJc w:val="left"/>
      <w:pPr>
        <w:ind w:left="2856" w:hanging="177"/>
      </w:pPr>
      <w:rPr>
        <w:rFonts w:hint="default"/>
        <w:lang w:val="en-US" w:eastAsia="en-US" w:bidi="ar-SA"/>
      </w:rPr>
    </w:lvl>
    <w:lvl w:ilvl="3">
      <w:start w:val="0"/>
      <w:numFmt w:val="bullet"/>
      <w:lvlText w:val="•"/>
      <w:lvlJc w:val="left"/>
      <w:pPr>
        <w:ind w:left="3474" w:hanging="177"/>
      </w:pPr>
      <w:rPr>
        <w:rFonts w:hint="default"/>
        <w:lang w:val="en-US" w:eastAsia="en-US" w:bidi="ar-SA"/>
      </w:rPr>
    </w:lvl>
    <w:lvl w:ilvl="4">
      <w:start w:val="0"/>
      <w:numFmt w:val="bullet"/>
      <w:lvlText w:val="•"/>
      <w:lvlJc w:val="left"/>
      <w:pPr>
        <w:ind w:left="4092" w:hanging="177"/>
      </w:pPr>
      <w:rPr>
        <w:rFonts w:hint="default"/>
        <w:lang w:val="en-US" w:eastAsia="en-US" w:bidi="ar-SA"/>
      </w:rPr>
    </w:lvl>
    <w:lvl w:ilvl="5">
      <w:start w:val="0"/>
      <w:numFmt w:val="bullet"/>
      <w:lvlText w:val="•"/>
      <w:lvlJc w:val="left"/>
      <w:pPr>
        <w:ind w:left="4710" w:hanging="177"/>
      </w:pPr>
      <w:rPr>
        <w:rFonts w:hint="default"/>
        <w:lang w:val="en-US" w:eastAsia="en-US" w:bidi="ar-SA"/>
      </w:rPr>
    </w:lvl>
    <w:lvl w:ilvl="6">
      <w:start w:val="0"/>
      <w:numFmt w:val="bullet"/>
      <w:lvlText w:val="•"/>
      <w:lvlJc w:val="left"/>
      <w:pPr>
        <w:ind w:left="5328" w:hanging="177"/>
      </w:pPr>
      <w:rPr>
        <w:rFonts w:hint="default"/>
        <w:lang w:val="en-US" w:eastAsia="en-US" w:bidi="ar-SA"/>
      </w:rPr>
    </w:lvl>
    <w:lvl w:ilvl="7">
      <w:start w:val="0"/>
      <w:numFmt w:val="bullet"/>
      <w:lvlText w:val="•"/>
      <w:lvlJc w:val="left"/>
      <w:pPr>
        <w:ind w:left="5946" w:hanging="177"/>
      </w:pPr>
      <w:rPr>
        <w:rFonts w:hint="default"/>
        <w:lang w:val="en-US" w:eastAsia="en-US" w:bidi="ar-SA"/>
      </w:rPr>
    </w:lvl>
    <w:lvl w:ilvl="8">
      <w:start w:val="0"/>
      <w:numFmt w:val="bullet"/>
      <w:lvlText w:val="•"/>
      <w:lvlJc w:val="left"/>
      <w:pPr>
        <w:ind w:left="6564" w:hanging="177"/>
      </w:pPr>
      <w:rPr>
        <w:rFonts w:hint="default"/>
        <w:lang w:val="en-US" w:eastAsia="en-US" w:bidi="ar-SA"/>
      </w:rPr>
    </w:lvl>
  </w:abstractNum>
  <w:abstractNum w:abstractNumId="7">
    <w:multiLevelType w:val="hybridMultilevel"/>
    <w:lvl w:ilvl="0">
      <w:start w:val="1"/>
      <w:numFmt w:val="decimal"/>
      <w:lvlText w:val="%1."/>
      <w:lvlJc w:val="left"/>
      <w:pPr>
        <w:ind w:left="1610" w:hanging="177"/>
        <w:jc w:val="right"/>
      </w:pPr>
      <w:rPr>
        <w:rFonts w:hint="default" w:ascii="Arial" w:hAnsi="Arial" w:eastAsia="Arial" w:cs="Arial"/>
        <w:b w:val="0"/>
        <w:bCs w:val="0"/>
        <w:i w:val="0"/>
        <w:iCs w:val="0"/>
        <w:color w:val="231F20"/>
        <w:w w:val="73"/>
        <w:sz w:val="19"/>
        <w:szCs w:val="19"/>
        <w:lang w:val="en-US" w:eastAsia="en-US" w:bidi="ar-SA"/>
      </w:rPr>
    </w:lvl>
    <w:lvl w:ilvl="1">
      <w:start w:val="0"/>
      <w:numFmt w:val="bullet"/>
      <w:lvlText w:val="•"/>
      <w:lvlJc w:val="left"/>
      <w:pPr>
        <w:ind w:left="2238" w:hanging="177"/>
      </w:pPr>
      <w:rPr>
        <w:rFonts w:hint="default"/>
        <w:lang w:val="en-US" w:eastAsia="en-US" w:bidi="ar-SA"/>
      </w:rPr>
    </w:lvl>
    <w:lvl w:ilvl="2">
      <w:start w:val="0"/>
      <w:numFmt w:val="bullet"/>
      <w:lvlText w:val="•"/>
      <w:lvlJc w:val="left"/>
      <w:pPr>
        <w:ind w:left="2856" w:hanging="177"/>
      </w:pPr>
      <w:rPr>
        <w:rFonts w:hint="default"/>
        <w:lang w:val="en-US" w:eastAsia="en-US" w:bidi="ar-SA"/>
      </w:rPr>
    </w:lvl>
    <w:lvl w:ilvl="3">
      <w:start w:val="0"/>
      <w:numFmt w:val="bullet"/>
      <w:lvlText w:val="•"/>
      <w:lvlJc w:val="left"/>
      <w:pPr>
        <w:ind w:left="3474" w:hanging="177"/>
      </w:pPr>
      <w:rPr>
        <w:rFonts w:hint="default"/>
        <w:lang w:val="en-US" w:eastAsia="en-US" w:bidi="ar-SA"/>
      </w:rPr>
    </w:lvl>
    <w:lvl w:ilvl="4">
      <w:start w:val="0"/>
      <w:numFmt w:val="bullet"/>
      <w:lvlText w:val="•"/>
      <w:lvlJc w:val="left"/>
      <w:pPr>
        <w:ind w:left="4092" w:hanging="177"/>
      </w:pPr>
      <w:rPr>
        <w:rFonts w:hint="default"/>
        <w:lang w:val="en-US" w:eastAsia="en-US" w:bidi="ar-SA"/>
      </w:rPr>
    </w:lvl>
    <w:lvl w:ilvl="5">
      <w:start w:val="0"/>
      <w:numFmt w:val="bullet"/>
      <w:lvlText w:val="•"/>
      <w:lvlJc w:val="left"/>
      <w:pPr>
        <w:ind w:left="4710" w:hanging="177"/>
      </w:pPr>
      <w:rPr>
        <w:rFonts w:hint="default"/>
        <w:lang w:val="en-US" w:eastAsia="en-US" w:bidi="ar-SA"/>
      </w:rPr>
    </w:lvl>
    <w:lvl w:ilvl="6">
      <w:start w:val="0"/>
      <w:numFmt w:val="bullet"/>
      <w:lvlText w:val="•"/>
      <w:lvlJc w:val="left"/>
      <w:pPr>
        <w:ind w:left="5328" w:hanging="177"/>
      </w:pPr>
      <w:rPr>
        <w:rFonts w:hint="default"/>
        <w:lang w:val="en-US" w:eastAsia="en-US" w:bidi="ar-SA"/>
      </w:rPr>
    </w:lvl>
    <w:lvl w:ilvl="7">
      <w:start w:val="0"/>
      <w:numFmt w:val="bullet"/>
      <w:lvlText w:val="•"/>
      <w:lvlJc w:val="left"/>
      <w:pPr>
        <w:ind w:left="5946" w:hanging="177"/>
      </w:pPr>
      <w:rPr>
        <w:rFonts w:hint="default"/>
        <w:lang w:val="en-US" w:eastAsia="en-US" w:bidi="ar-SA"/>
      </w:rPr>
    </w:lvl>
    <w:lvl w:ilvl="8">
      <w:start w:val="0"/>
      <w:numFmt w:val="bullet"/>
      <w:lvlText w:val="•"/>
      <w:lvlJc w:val="left"/>
      <w:pPr>
        <w:ind w:left="6564" w:hanging="177"/>
      </w:pPr>
      <w:rPr>
        <w:rFonts w:hint="default"/>
        <w:lang w:val="en-US" w:eastAsia="en-US" w:bidi="ar-SA"/>
      </w:rPr>
    </w:lvl>
  </w:abstractNum>
  <w:abstractNum w:abstractNumId="6">
    <w:multiLevelType w:val="hybridMultilevel"/>
    <w:lvl w:ilvl="0">
      <w:start w:val="1"/>
      <w:numFmt w:val="decimal"/>
      <w:lvlText w:val="%1."/>
      <w:lvlJc w:val="left"/>
      <w:pPr>
        <w:ind w:left="1520" w:hanging="177"/>
        <w:jc w:val="right"/>
      </w:pPr>
      <w:rPr>
        <w:rFonts w:hint="default" w:ascii="Arial" w:hAnsi="Arial" w:eastAsia="Arial" w:cs="Arial"/>
        <w:b w:val="0"/>
        <w:bCs w:val="0"/>
        <w:i w:val="0"/>
        <w:iCs w:val="0"/>
        <w:color w:val="231F20"/>
        <w:w w:val="73"/>
        <w:sz w:val="19"/>
        <w:szCs w:val="19"/>
        <w:lang w:val="en-US" w:eastAsia="en-US" w:bidi="ar-SA"/>
      </w:rPr>
    </w:lvl>
    <w:lvl w:ilvl="1">
      <w:start w:val="1"/>
      <w:numFmt w:val="decimal"/>
      <w:lvlText w:val="%2."/>
      <w:lvlJc w:val="left"/>
      <w:pPr>
        <w:ind w:left="1610" w:hanging="177"/>
        <w:jc w:val="right"/>
      </w:pPr>
      <w:rPr>
        <w:rFonts w:hint="default" w:ascii="Arial" w:hAnsi="Arial" w:eastAsia="Arial" w:cs="Arial"/>
        <w:b w:val="0"/>
        <w:bCs w:val="0"/>
        <w:i w:val="0"/>
        <w:iCs w:val="0"/>
        <w:color w:val="231F20"/>
        <w:w w:val="66"/>
        <w:sz w:val="19"/>
        <w:szCs w:val="19"/>
        <w:lang w:val="en-US" w:eastAsia="en-US" w:bidi="ar-SA"/>
      </w:rPr>
    </w:lvl>
    <w:lvl w:ilvl="2">
      <w:start w:val="0"/>
      <w:numFmt w:val="bullet"/>
      <w:lvlText w:val="•"/>
      <w:lvlJc w:val="left"/>
      <w:pPr>
        <w:ind w:left="2306" w:hanging="177"/>
      </w:pPr>
      <w:rPr>
        <w:rFonts w:hint="default"/>
        <w:lang w:val="en-US" w:eastAsia="en-US" w:bidi="ar-SA"/>
      </w:rPr>
    </w:lvl>
    <w:lvl w:ilvl="3">
      <w:start w:val="0"/>
      <w:numFmt w:val="bullet"/>
      <w:lvlText w:val="•"/>
      <w:lvlJc w:val="left"/>
      <w:pPr>
        <w:ind w:left="2993" w:hanging="177"/>
      </w:pPr>
      <w:rPr>
        <w:rFonts w:hint="default"/>
        <w:lang w:val="en-US" w:eastAsia="en-US" w:bidi="ar-SA"/>
      </w:rPr>
    </w:lvl>
    <w:lvl w:ilvl="4">
      <w:start w:val="0"/>
      <w:numFmt w:val="bullet"/>
      <w:lvlText w:val="•"/>
      <w:lvlJc w:val="left"/>
      <w:pPr>
        <w:ind w:left="3680" w:hanging="177"/>
      </w:pPr>
      <w:rPr>
        <w:rFonts w:hint="default"/>
        <w:lang w:val="en-US" w:eastAsia="en-US" w:bidi="ar-SA"/>
      </w:rPr>
    </w:lvl>
    <w:lvl w:ilvl="5">
      <w:start w:val="0"/>
      <w:numFmt w:val="bullet"/>
      <w:lvlText w:val="•"/>
      <w:lvlJc w:val="left"/>
      <w:pPr>
        <w:ind w:left="4366" w:hanging="177"/>
      </w:pPr>
      <w:rPr>
        <w:rFonts w:hint="default"/>
        <w:lang w:val="en-US" w:eastAsia="en-US" w:bidi="ar-SA"/>
      </w:rPr>
    </w:lvl>
    <w:lvl w:ilvl="6">
      <w:start w:val="0"/>
      <w:numFmt w:val="bullet"/>
      <w:lvlText w:val="•"/>
      <w:lvlJc w:val="left"/>
      <w:pPr>
        <w:ind w:left="5053" w:hanging="177"/>
      </w:pPr>
      <w:rPr>
        <w:rFonts w:hint="default"/>
        <w:lang w:val="en-US" w:eastAsia="en-US" w:bidi="ar-SA"/>
      </w:rPr>
    </w:lvl>
    <w:lvl w:ilvl="7">
      <w:start w:val="0"/>
      <w:numFmt w:val="bullet"/>
      <w:lvlText w:val="•"/>
      <w:lvlJc w:val="left"/>
      <w:pPr>
        <w:ind w:left="5740" w:hanging="177"/>
      </w:pPr>
      <w:rPr>
        <w:rFonts w:hint="default"/>
        <w:lang w:val="en-US" w:eastAsia="en-US" w:bidi="ar-SA"/>
      </w:rPr>
    </w:lvl>
    <w:lvl w:ilvl="8">
      <w:start w:val="0"/>
      <w:numFmt w:val="bullet"/>
      <w:lvlText w:val="•"/>
      <w:lvlJc w:val="left"/>
      <w:pPr>
        <w:ind w:left="6426" w:hanging="177"/>
      </w:pPr>
      <w:rPr>
        <w:rFonts w:hint="default"/>
        <w:lang w:val="en-US" w:eastAsia="en-US" w:bidi="ar-SA"/>
      </w:rPr>
    </w:lvl>
  </w:abstractNum>
  <w:abstractNum w:abstractNumId="5">
    <w:multiLevelType w:val="hybridMultilevel"/>
    <w:lvl w:ilvl="0">
      <w:start w:val="1"/>
      <w:numFmt w:val="decimal"/>
      <w:lvlText w:val="%1."/>
      <w:lvlJc w:val="left"/>
      <w:pPr>
        <w:ind w:left="1519" w:hanging="177"/>
        <w:jc w:val="right"/>
      </w:pPr>
      <w:rPr>
        <w:rFonts w:hint="default" w:ascii="Arial" w:hAnsi="Arial" w:eastAsia="Arial" w:cs="Arial"/>
        <w:b w:val="0"/>
        <w:bCs w:val="0"/>
        <w:i w:val="0"/>
        <w:iCs w:val="0"/>
        <w:color w:val="231F20"/>
        <w:spacing w:val="-1"/>
        <w:w w:val="73"/>
        <w:sz w:val="19"/>
        <w:szCs w:val="19"/>
        <w:lang w:val="en-US" w:eastAsia="en-US" w:bidi="ar-SA"/>
      </w:rPr>
    </w:lvl>
    <w:lvl w:ilvl="1">
      <w:start w:val="0"/>
      <w:numFmt w:val="bullet"/>
      <w:lvlText w:val="•"/>
      <w:lvlJc w:val="left"/>
      <w:pPr>
        <w:ind w:left="2148" w:hanging="177"/>
      </w:pPr>
      <w:rPr>
        <w:rFonts w:hint="default"/>
        <w:lang w:val="en-US" w:eastAsia="en-US" w:bidi="ar-SA"/>
      </w:rPr>
    </w:lvl>
    <w:lvl w:ilvl="2">
      <w:start w:val="0"/>
      <w:numFmt w:val="bullet"/>
      <w:lvlText w:val="•"/>
      <w:lvlJc w:val="left"/>
      <w:pPr>
        <w:ind w:left="2776" w:hanging="177"/>
      </w:pPr>
      <w:rPr>
        <w:rFonts w:hint="default"/>
        <w:lang w:val="en-US" w:eastAsia="en-US" w:bidi="ar-SA"/>
      </w:rPr>
    </w:lvl>
    <w:lvl w:ilvl="3">
      <w:start w:val="0"/>
      <w:numFmt w:val="bullet"/>
      <w:lvlText w:val="•"/>
      <w:lvlJc w:val="left"/>
      <w:pPr>
        <w:ind w:left="3404" w:hanging="177"/>
      </w:pPr>
      <w:rPr>
        <w:rFonts w:hint="default"/>
        <w:lang w:val="en-US" w:eastAsia="en-US" w:bidi="ar-SA"/>
      </w:rPr>
    </w:lvl>
    <w:lvl w:ilvl="4">
      <w:start w:val="0"/>
      <w:numFmt w:val="bullet"/>
      <w:lvlText w:val="•"/>
      <w:lvlJc w:val="left"/>
      <w:pPr>
        <w:ind w:left="4032" w:hanging="177"/>
      </w:pPr>
      <w:rPr>
        <w:rFonts w:hint="default"/>
        <w:lang w:val="en-US" w:eastAsia="en-US" w:bidi="ar-SA"/>
      </w:rPr>
    </w:lvl>
    <w:lvl w:ilvl="5">
      <w:start w:val="0"/>
      <w:numFmt w:val="bullet"/>
      <w:lvlText w:val="•"/>
      <w:lvlJc w:val="left"/>
      <w:pPr>
        <w:ind w:left="4660" w:hanging="177"/>
      </w:pPr>
      <w:rPr>
        <w:rFonts w:hint="default"/>
        <w:lang w:val="en-US" w:eastAsia="en-US" w:bidi="ar-SA"/>
      </w:rPr>
    </w:lvl>
    <w:lvl w:ilvl="6">
      <w:start w:val="0"/>
      <w:numFmt w:val="bullet"/>
      <w:lvlText w:val="•"/>
      <w:lvlJc w:val="left"/>
      <w:pPr>
        <w:ind w:left="5288" w:hanging="177"/>
      </w:pPr>
      <w:rPr>
        <w:rFonts w:hint="default"/>
        <w:lang w:val="en-US" w:eastAsia="en-US" w:bidi="ar-SA"/>
      </w:rPr>
    </w:lvl>
    <w:lvl w:ilvl="7">
      <w:start w:val="0"/>
      <w:numFmt w:val="bullet"/>
      <w:lvlText w:val="•"/>
      <w:lvlJc w:val="left"/>
      <w:pPr>
        <w:ind w:left="5916" w:hanging="177"/>
      </w:pPr>
      <w:rPr>
        <w:rFonts w:hint="default"/>
        <w:lang w:val="en-US" w:eastAsia="en-US" w:bidi="ar-SA"/>
      </w:rPr>
    </w:lvl>
    <w:lvl w:ilvl="8">
      <w:start w:val="0"/>
      <w:numFmt w:val="bullet"/>
      <w:lvlText w:val="•"/>
      <w:lvlJc w:val="left"/>
      <w:pPr>
        <w:ind w:left="6544" w:hanging="177"/>
      </w:pPr>
      <w:rPr>
        <w:rFonts w:hint="default"/>
        <w:lang w:val="en-US" w:eastAsia="en-US" w:bidi="ar-SA"/>
      </w:rPr>
    </w:lvl>
  </w:abstractNum>
  <w:abstractNum w:abstractNumId="4">
    <w:multiLevelType w:val="hybridMultilevel"/>
    <w:lvl w:ilvl="0">
      <w:start w:val="1"/>
      <w:numFmt w:val="decimal"/>
      <w:lvlText w:val="%1."/>
      <w:lvlJc w:val="left"/>
      <w:pPr>
        <w:ind w:left="1610" w:hanging="177"/>
        <w:jc w:val="right"/>
      </w:pPr>
      <w:rPr>
        <w:rFonts w:hint="default" w:ascii="Arial" w:hAnsi="Arial" w:eastAsia="Arial" w:cs="Arial"/>
        <w:b w:val="0"/>
        <w:bCs w:val="0"/>
        <w:i w:val="0"/>
        <w:iCs w:val="0"/>
        <w:color w:val="231F20"/>
        <w:w w:val="73"/>
        <w:sz w:val="19"/>
        <w:szCs w:val="19"/>
        <w:lang w:val="en-US" w:eastAsia="en-US" w:bidi="ar-SA"/>
      </w:rPr>
    </w:lvl>
    <w:lvl w:ilvl="1">
      <w:start w:val="0"/>
      <w:numFmt w:val="bullet"/>
      <w:lvlText w:val="•"/>
      <w:lvlJc w:val="left"/>
      <w:pPr>
        <w:ind w:left="2238" w:hanging="177"/>
      </w:pPr>
      <w:rPr>
        <w:rFonts w:hint="default"/>
        <w:lang w:val="en-US" w:eastAsia="en-US" w:bidi="ar-SA"/>
      </w:rPr>
    </w:lvl>
    <w:lvl w:ilvl="2">
      <w:start w:val="0"/>
      <w:numFmt w:val="bullet"/>
      <w:lvlText w:val="•"/>
      <w:lvlJc w:val="left"/>
      <w:pPr>
        <w:ind w:left="2856" w:hanging="177"/>
      </w:pPr>
      <w:rPr>
        <w:rFonts w:hint="default"/>
        <w:lang w:val="en-US" w:eastAsia="en-US" w:bidi="ar-SA"/>
      </w:rPr>
    </w:lvl>
    <w:lvl w:ilvl="3">
      <w:start w:val="0"/>
      <w:numFmt w:val="bullet"/>
      <w:lvlText w:val="•"/>
      <w:lvlJc w:val="left"/>
      <w:pPr>
        <w:ind w:left="3474" w:hanging="177"/>
      </w:pPr>
      <w:rPr>
        <w:rFonts w:hint="default"/>
        <w:lang w:val="en-US" w:eastAsia="en-US" w:bidi="ar-SA"/>
      </w:rPr>
    </w:lvl>
    <w:lvl w:ilvl="4">
      <w:start w:val="0"/>
      <w:numFmt w:val="bullet"/>
      <w:lvlText w:val="•"/>
      <w:lvlJc w:val="left"/>
      <w:pPr>
        <w:ind w:left="4092" w:hanging="177"/>
      </w:pPr>
      <w:rPr>
        <w:rFonts w:hint="default"/>
        <w:lang w:val="en-US" w:eastAsia="en-US" w:bidi="ar-SA"/>
      </w:rPr>
    </w:lvl>
    <w:lvl w:ilvl="5">
      <w:start w:val="0"/>
      <w:numFmt w:val="bullet"/>
      <w:lvlText w:val="•"/>
      <w:lvlJc w:val="left"/>
      <w:pPr>
        <w:ind w:left="4710" w:hanging="177"/>
      </w:pPr>
      <w:rPr>
        <w:rFonts w:hint="default"/>
        <w:lang w:val="en-US" w:eastAsia="en-US" w:bidi="ar-SA"/>
      </w:rPr>
    </w:lvl>
    <w:lvl w:ilvl="6">
      <w:start w:val="0"/>
      <w:numFmt w:val="bullet"/>
      <w:lvlText w:val="•"/>
      <w:lvlJc w:val="left"/>
      <w:pPr>
        <w:ind w:left="5328" w:hanging="177"/>
      </w:pPr>
      <w:rPr>
        <w:rFonts w:hint="default"/>
        <w:lang w:val="en-US" w:eastAsia="en-US" w:bidi="ar-SA"/>
      </w:rPr>
    </w:lvl>
    <w:lvl w:ilvl="7">
      <w:start w:val="0"/>
      <w:numFmt w:val="bullet"/>
      <w:lvlText w:val="•"/>
      <w:lvlJc w:val="left"/>
      <w:pPr>
        <w:ind w:left="5946" w:hanging="177"/>
      </w:pPr>
      <w:rPr>
        <w:rFonts w:hint="default"/>
        <w:lang w:val="en-US" w:eastAsia="en-US" w:bidi="ar-SA"/>
      </w:rPr>
    </w:lvl>
    <w:lvl w:ilvl="8">
      <w:start w:val="0"/>
      <w:numFmt w:val="bullet"/>
      <w:lvlText w:val="•"/>
      <w:lvlJc w:val="left"/>
      <w:pPr>
        <w:ind w:left="6564" w:hanging="177"/>
      </w:pPr>
      <w:rPr>
        <w:rFonts w:hint="default"/>
        <w:lang w:val="en-US" w:eastAsia="en-US" w:bidi="ar-SA"/>
      </w:rPr>
    </w:lvl>
  </w:abstractNum>
  <w:abstractNum w:abstractNumId="3">
    <w:multiLevelType w:val="hybridMultilevel"/>
    <w:lvl w:ilvl="0">
      <w:start w:val="1"/>
      <w:numFmt w:val="decimal"/>
      <w:lvlText w:val="%1."/>
      <w:lvlJc w:val="left"/>
      <w:pPr>
        <w:ind w:left="1610" w:hanging="177"/>
        <w:jc w:val="right"/>
      </w:pPr>
      <w:rPr>
        <w:rFonts w:hint="default" w:ascii="Arial" w:hAnsi="Arial" w:eastAsia="Arial" w:cs="Arial"/>
        <w:b w:val="0"/>
        <w:bCs w:val="0"/>
        <w:i w:val="0"/>
        <w:iCs w:val="0"/>
        <w:color w:val="231F20"/>
        <w:w w:val="66"/>
        <w:sz w:val="19"/>
        <w:szCs w:val="19"/>
        <w:lang w:val="en-US" w:eastAsia="en-US" w:bidi="ar-SA"/>
      </w:rPr>
    </w:lvl>
    <w:lvl w:ilvl="1">
      <w:start w:val="0"/>
      <w:numFmt w:val="bullet"/>
      <w:lvlText w:val="•"/>
      <w:lvlJc w:val="left"/>
      <w:pPr>
        <w:ind w:left="2238" w:hanging="177"/>
      </w:pPr>
      <w:rPr>
        <w:rFonts w:hint="default"/>
        <w:lang w:val="en-US" w:eastAsia="en-US" w:bidi="ar-SA"/>
      </w:rPr>
    </w:lvl>
    <w:lvl w:ilvl="2">
      <w:start w:val="0"/>
      <w:numFmt w:val="bullet"/>
      <w:lvlText w:val="•"/>
      <w:lvlJc w:val="left"/>
      <w:pPr>
        <w:ind w:left="2856" w:hanging="177"/>
      </w:pPr>
      <w:rPr>
        <w:rFonts w:hint="default"/>
        <w:lang w:val="en-US" w:eastAsia="en-US" w:bidi="ar-SA"/>
      </w:rPr>
    </w:lvl>
    <w:lvl w:ilvl="3">
      <w:start w:val="0"/>
      <w:numFmt w:val="bullet"/>
      <w:lvlText w:val="•"/>
      <w:lvlJc w:val="left"/>
      <w:pPr>
        <w:ind w:left="3474" w:hanging="177"/>
      </w:pPr>
      <w:rPr>
        <w:rFonts w:hint="default"/>
        <w:lang w:val="en-US" w:eastAsia="en-US" w:bidi="ar-SA"/>
      </w:rPr>
    </w:lvl>
    <w:lvl w:ilvl="4">
      <w:start w:val="0"/>
      <w:numFmt w:val="bullet"/>
      <w:lvlText w:val="•"/>
      <w:lvlJc w:val="left"/>
      <w:pPr>
        <w:ind w:left="4092" w:hanging="177"/>
      </w:pPr>
      <w:rPr>
        <w:rFonts w:hint="default"/>
        <w:lang w:val="en-US" w:eastAsia="en-US" w:bidi="ar-SA"/>
      </w:rPr>
    </w:lvl>
    <w:lvl w:ilvl="5">
      <w:start w:val="0"/>
      <w:numFmt w:val="bullet"/>
      <w:lvlText w:val="•"/>
      <w:lvlJc w:val="left"/>
      <w:pPr>
        <w:ind w:left="4710" w:hanging="177"/>
      </w:pPr>
      <w:rPr>
        <w:rFonts w:hint="default"/>
        <w:lang w:val="en-US" w:eastAsia="en-US" w:bidi="ar-SA"/>
      </w:rPr>
    </w:lvl>
    <w:lvl w:ilvl="6">
      <w:start w:val="0"/>
      <w:numFmt w:val="bullet"/>
      <w:lvlText w:val="•"/>
      <w:lvlJc w:val="left"/>
      <w:pPr>
        <w:ind w:left="5328" w:hanging="177"/>
      </w:pPr>
      <w:rPr>
        <w:rFonts w:hint="default"/>
        <w:lang w:val="en-US" w:eastAsia="en-US" w:bidi="ar-SA"/>
      </w:rPr>
    </w:lvl>
    <w:lvl w:ilvl="7">
      <w:start w:val="0"/>
      <w:numFmt w:val="bullet"/>
      <w:lvlText w:val="•"/>
      <w:lvlJc w:val="left"/>
      <w:pPr>
        <w:ind w:left="5946" w:hanging="177"/>
      </w:pPr>
      <w:rPr>
        <w:rFonts w:hint="default"/>
        <w:lang w:val="en-US" w:eastAsia="en-US" w:bidi="ar-SA"/>
      </w:rPr>
    </w:lvl>
    <w:lvl w:ilvl="8">
      <w:start w:val="0"/>
      <w:numFmt w:val="bullet"/>
      <w:lvlText w:val="•"/>
      <w:lvlJc w:val="left"/>
      <w:pPr>
        <w:ind w:left="6564" w:hanging="177"/>
      </w:pPr>
      <w:rPr>
        <w:rFonts w:hint="default"/>
        <w:lang w:val="en-US" w:eastAsia="en-US" w:bidi="ar-SA"/>
      </w:rPr>
    </w:lvl>
  </w:abstractNum>
  <w:abstractNum w:abstractNumId="2">
    <w:multiLevelType w:val="hybridMultilevel"/>
    <w:lvl w:ilvl="0">
      <w:start w:val="14"/>
      <w:numFmt w:val="decimal"/>
      <w:lvlText w:val="%1."/>
      <w:lvlJc w:val="left"/>
      <w:pPr>
        <w:ind w:left="1610" w:hanging="306"/>
        <w:jc w:val="left"/>
      </w:pPr>
      <w:rPr>
        <w:rFonts w:hint="default" w:ascii="Arial" w:hAnsi="Arial" w:eastAsia="Arial" w:cs="Arial"/>
        <w:b w:val="0"/>
        <w:bCs w:val="0"/>
        <w:i w:val="0"/>
        <w:iCs w:val="0"/>
        <w:color w:val="231F20"/>
        <w:w w:val="93"/>
        <w:sz w:val="19"/>
        <w:szCs w:val="19"/>
        <w:lang w:val="en-US" w:eastAsia="en-US" w:bidi="ar-SA"/>
      </w:rPr>
    </w:lvl>
    <w:lvl w:ilvl="1">
      <w:start w:val="0"/>
      <w:numFmt w:val="bullet"/>
      <w:lvlText w:val="•"/>
      <w:lvlJc w:val="left"/>
      <w:pPr>
        <w:ind w:left="2238" w:hanging="306"/>
      </w:pPr>
      <w:rPr>
        <w:rFonts w:hint="default"/>
        <w:lang w:val="en-US" w:eastAsia="en-US" w:bidi="ar-SA"/>
      </w:rPr>
    </w:lvl>
    <w:lvl w:ilvl="2">
      <w:start w:val="0"/>
      <w:numFmt w:val="bullet"/>
      <w:lvlText w:val="•"/>
      <w:lvlJc w:val="left"/>
      <w:pPr>
        <w:ind w:left="2856" w:hanging="306"/>
      </w:pPr>
      <w:rPr>
        <w:rFonts w:hint="default"/>
        <w:lang w:val="en-US" w:eastAsia="en-US" w:bidi="ar-SA"/>
      </w:rPr>
    </w:lvl>
    <w:lvl w:ilvl="3">
      <w:start w:val="0"/>
      <w:numFmt w:val="bullet"/>
      <w:lvlText w:val="•"/>
      <w:lvlJc w:val="left"/>
      <w:pPr>
        <w:ind w:left="3474" w:hanging="306"/>
      </w:pPr>
      <w:rPr>
        <w:rFonts w:hint="default"/>
        <w:lang w:val="en-US" w:eastAsia="en-US" w:bidi="ar-SA"/>
      </w:rPr>
    </w:lvl>
    <w:lvl w:ilvl="4">
      <w:start w:val="0"/>
      <w:numFmt w:val="bullet"/>
      <w:lvlText w:val="•"/>
      <w:lvlJc w:val="left"/>
      <w:pPr>
        <w:ind w:left="4092" w:hanging="306"/>
      </w:pPr>
      <w:rPr>
        <w:rFonts w:hint="default"/>
        <w:lang w:val="en-US" w:eastAsia="en-US" w:bidi="ar-SA"/>
      </w:rPr>
    </w:lvl>
    <w:lvl w:ilvl="5">
      <w:start w:val="0"/>
      <w:numFmt w:val="bullet"/>
      <w:lvlText w:val="•"/>
      <w:lvlJc w:val="left"/>
      <w:pPr>
        <w:ind w:left="4710" w:hanging="306"/>
      </w:pPr>
      <w:rPr>
        <w:rFonts w:hint="default"/>
        <w:lang w:val="en-US" w:eastAsia="en-US" w:bidi="ar-SA"/>
      </w:rPr>
    </w:lvl>
    <w:lvl w:ilvl="6">
      <w:start w:val="0"/>
      <w:numFmt w:val="bullet"/>
      <w:lvlText w:val="•"/>
      <w:lvlJc w:val="left"/>
      <w:pPr>
        <w:ind w:left="5328" w:hanging="306"/>
      </w:pPr>
      <w:rPr>
        <w:rFonts w:hint="default"/>
        <w:lang w:val="en-US" w:eastAsia="en-US" w:bidi="ar-SA"/>
      </w:rPr>
    </w:lvl>
    <w:lvl w:ilvl="7">
      <w:start w:val="0"/>
      <w:numFmt w:val="bullet"/>
      <w:lvlText w:val="•"/>
      <w:lvlJc w:val="left"/>
      <w:pPr>
        <w:ind w:left="5946" w:hanging="306"/>
      </w:pPr>
      <w:rPr>
        <w:rFonts w:hint="default"/>
        <w:lang w:val="en-US" w:eastAsia="en-US" w:bidi="ar-SA"/>
      </w:rPr>
    </w:lvl>
    <w:lvl w:ilvl="8">
      <w:start w:val="0"/>
      <w:numFmt w:val="bullet"/>
      <w:lvlText w:val="•"/>
      <w:lvlJc w:val="left"/>
      <w:pPr>
        <w:ind w:left="6564" w:hanging="306"/>
      </w:pPr>
      <w:rPr>
        <w:rFonts w:hint="default"/>
        <w:lang w:val="en-US" w:eastAsia="en-US" w:bidi="ar-SA"/>
      </w:rPr>
    </w:lvl>
  </w:abstractNum>
  <w:abstractNum w:abstractNumId="1">
    <w:multiLevelType w:val="hybridMultilevel"/>
    <w:lvl w:ilvl="0">
      <w:start w:val="8"/>
      <w:numFmt w:val="decimal"/>
      <w:lvlText w:val="%1."/>
      <w:lvlJc w:val="left"/>
      <w:pPr>
        <w:ind w:left="1520" w:hanging="229"/>
        <w:jc w:val="right"/>
      </w:pPr>
      <w:rPr>
        <w:rFonts w:hint="default" w:ascii="Arial" w:hAnsi="Arial" w:eastAsia="Arial" w:cs="Arial"/>
        <w:b w:val="0"/>
        <w:bCs w:val="0"/>
        <w:i w:val="0"/>
        <w:iCs w:val="0"/>
        <w:color w:val="231F20"/>
        <w:w w:val="92"/>
        <w:sz w:val="19"/>
        <w:szCs w:val="19"/>
        <w:lang w:val="en-US" w:eastAsia="en-US" w:bidi="ar-SA"/>
      </w:rPr>
    </w:lvl>
    <w:lvl w:ilvl="1">
      <w:start w:val="0"/>
      <w:numFmt w:val="bullet"/>
      <w:lvlText w:val="•"/>
      <w:lvlJc w:val="left"/>
      <w:pPr>
        <w:ind w:left="2148" w:hanging="229"/>
      </w:pPr>
      <w:rPr>
        <w:rFonts w:hint="default"/>
        <w:lang w:val="en-US" w:eastAsia="en-US" w:bidi="ar-SA"/>
      </w:rPr>
    </w:lvl>
    <w:lvl w:ilvl="2">
      <w:start w:val="0"/>
      <w:numFmt w:val="bullet"/>
      <w:lvlText w:val="•"/>
      <w:lvlJc w:val="left"/>
      <w:pPr>
        <w:ind w:left="2776" w:hanging="229"/>
      </w:pPr>
      <w:rPr>
        <w:rFonts w:hint="default"/>
        <w:lang w:val="en-US" w:eastAsia="en-US" w:bidi="ar-SA"/>
      </w:rPr>
    </w:lvl>
    <w:lvl w:ilvl="3">
      <w:start w:val="0"/>
      <w:numFmt w:val="bullet"/>
      <w:lvlText w:val="•"/>
      <w:lvlJc w:val="left"/>
      <w:pPr>
        <w:ind w:left="3404" w:hanging="229"/>
      </w:pPr>
      <w:rPr>
        <w:rFonts w:hint="default"/>
        <w:lang w:val="en-US" w:eastAsia="en-US" w:bidi="ar-SA"/>
      </w:rPr>
    </w:lvl>
    <w:lvl w:ilvl="4">
      <w:start w:val="0"/>
      <w:numFmt w:val="bullet"/>
      <w:lvlText w:val="•"/>
      <w:lvlJc w:val="left"/>
      <w:pPr>
        <w:ind w:left="4032" w:hanging="229"/>
      </w:pPr>
      <w:rPr>
        <w:rFonts w:hint="default"/>
        <w:lang w:val="en-US" w:eastAsia="en-US" w:bidi="ar-SA"/>
      </w:rPr>
    </w:lvl>
    <w:lvl w:ilvl="5">
      <w:start w:val="0"/>
      <w:numFmt w:val="bullet"/>
      <w:lvlText w:val="•"/>
      <w:lvlJc w:val="left"/>
      <w:pPr>
        <w:ind w:left="4660" w:hanging="229"/>
      </w:pPr>
      <w:rPr>
        <w:rFonts w:hint="default"/>
        <w:lang w:val="en-US" w:eastAsia="en-US" w:bidi="ar-SA"/>
      </w:rPr>
    </w:lvl>
    <w:lvl w:ilvl="6">
      <w:start w:val="0"/>
      <w:numFmt w:val="bullet"/>
      <w:lvlText w:val="•"/>
      <w:lvlJc w:val="left"/>
      <w:pPr>
        <w:ind w:left="5288" w:hanging="229"/>
      </w:pPr>
      <w:rPr>
        <w:rFonts w:hint="default"/>
        <w:lang w:val="en-US" w:eastAsia="en-US" w:bidi="ar-SA"/>
      </w:rPr>
    </w:lvl>
    <w:lvl w:ilvl="7">
      <w:start w:val="0"/>
      <w:numFmt w:val="bullet"/>
      <w:lvlText w:val="•"/>
      <w:lvlJc w:val="left"/>
      <w:pPr>
        <w:ind w:left="5916" w:hanging="229"/>
      </w:pPr>
      <w:rPr>
        <w:rFonts w:hint="default"/>
        <w:lang w:val="en-US" w:eastAsia="en-US" w:bidi="ar-SA"/>
      </w:rPr>
    </w:lvl>
    <w:lvl w:ilvl="8">
      <w:start w:val="0"/>
      <w:numFmt w:val="bullet"/>
      <w:lvlText w:val="•"/>
      <w:lvlJc w:val="left"/>
      <w:pPr>
        <w:ind w:left="6544" w:hanging="229"/>
      </w:pPr>
      <w:rPr>
        <w:rFonts w:hint="default"/>
        <w:lang w:val="en-US" w:eastAsia="en-US" w:bidi="ar-SA"/>
      </w:rPr>
    </w:lvl>
  </w:abstractNum>
  <w:abstractNum w:abstractNumId="0">
    <w:multiLevelType w:val="hybridMultilevel"/>
    <w:lvl w:ilvl="0">
      <w:start w:val="1"/>
      <w:numFmt w:val="decimal"/>
      <w:lvlText w:val="%1."/>
      <w:lvlJc w:val="left"/>
      <w:pPr>
        <w:ind w:left="1519" w:hanging="177"/>
        <w:jc w:val="right"/>
      </w:pPr>
      <w:rPr>
        <w:rFonts w:hint="default" w:ascii="Arial" w:hAnsi="Arial" w:eastAsia="Arial" w:cs="Arial"/>
        <w:b w:val="0"/>
        <w:bCs w:val="0"/>
        <w:i w:val="0"/>
        <w:iCs w:val="0"/>
        <w:color w:val="231F20"/>
        <w:spacing w:val="-1"/>
        <w:w w:val="73"/>
        <w:sz w:val="19"/>
        <w:szCs w:val="19"/>
        <w:lang w:val="en-US" w:eastAsia="en-US" w:bidi="ar-SA"/>
      </w:rPr>
    </w:lvl>
    <w:lvl w:ilvl="1">
      <w:start w:val="0"/>
      <w:numFmt w:val="bullet"/>
      <w:lvlText w:val="•"/>
      <w:lvlJc w:val="left"/>
      <w:pPr>
        <w:ind w:left="2148" w:hanging="177"/>
      </w:pPr>
      <w:rPr>
        <w:rFonts w:hint="default"/>
        <w:lang w:val="en-US" w:eastAsia="en-US" w:bidi="ar-SA"/>
      </w:rPr>
    </w:lvl>
    <w:lvl w:ilvl="2">
      <w:start w:val="0"/>
      <w:numFmt w:val="bullet"/>
      <w:lvlText w:val="•"/>
      <w:lvlJc w:val="left"/>
      <w:pPr>
        <w:ind w:left="2776" w:hanging="177"/>
      </w:pPr>
      <w:rPr>
        <w:rFonts w:hint="default"/>
        <w:lang w:val="en-US" w:eastAsia="en-US" w:bidi="ar-SA"/>
      </w:rPr>
    </w:lvl>
    <w:lvl w:ilvl="3">
      <w:start w:val="0"/>
      <w:numFmt w:val="bullet"/>
      <w:lvlText w:val="•"/>
      <w:lvlJc w:val="left"/>
      <w:pPr>
        <w:ind w:left="3404" w:hanging="177"/>
      </w:pPr>
      <w:rPr>
        <w:rFonts w:hint="default"/>
        <w:lang w:val="en-US" w:eastAsia="en-US" w:bidi="ar-SA"/>
      </w:rPr>
    </w:lvl>
    <w:lvl w:ilvl="4">
      <w:start w:val="0"/>
      <w:numFmt w:val="bullet"/>
      <w:lvlText w:val="•"/>
      <w:lvlJc w:val="left"/>
      <w:pPr>
        <w:ind w:left="4032" w:hanging="177"/>
      </w:pPr>
      <w:rPr>
        <w:rFonts w:hint="default"/>
        <w:lang w:val="en-US" w:eastAsia="en-US" w:bidi="ar-SA"/>
      </w:rPr>
    </w:lvl>
    <w:lvl w:ilvl="5">
      <w:start w:val="0"/>
      <w:numFmt w:val="bullet"/>
      <w:lvlText w:val="•"/>
      <w:lvlJc w:val="left"/>
      <w:pPr>
        <w:ind w:left="4660" w:hanging="177"/>
      </w:pPr>
      <w:rPr>
        <w:rFonts w:hint="default"/>
        <w:lang w:val="en-US" w:eastAsia="en-US" w:bidi="ar-SA"/>
      </w:rPr>
    </w:lvl>
    <w:lvl w:ilvl="6">
      <w:start w:val="0"/>
      <w:numFmt w:val="bullet"/>
      <w:lvlText w:val="•"/>
      <w:lvlJc w:val="left"/>
      <w:pPr>
        <w:ind w:left="5288" w:hanging="177"/>
      </w:pPr>
      <w:rPr>
        <w:rFonts w:hint="default"/>
        <w:lang w:val="en-US" w:eastAsia="en-US" w:bidi="ar-SA"/>
      </w:rPr>
    </w:lvl>
    <w:lvl w:ilvl="7">
      <w:start w:val="0"/>
      <w:numFmt w:val="bullet"/>
      <w:lvlText w:val="•"/>
      <w:lvlJc w:val="left"/>
      <w:pPr>
        <w:ind w:left="5916" w:hanging="177"/>
      </w:pPr>
      <w:rPr>
        <w:rFonts w:hint="default"/>
        <w:lang w:val="en-US" w:eastAsia="en-US" w:bidi="ar-SA"/>
      </w:rPr>
    </w:lvl>
    <w:lvl w:ilvl="8">
      <w:start w:val="0"/>
      <w:numFmt w:val="bullet"/>
      <w:lvlText w:val="•"/>
      <w:lvlJc w:val="left"/>
      <w:pPr>
        <w:ind w:left="6544" w:hanging="177"/>
      </w:pPr>
      <w:rPr>
        <w:rFonts w:hint="default"/>
        <w:lang w:val="en-US" w:eastAsia="en-US" w:bidi="ar-SA"/>
      </w:rPr>
    </w:lvl>
  </w:abstractNum>
  <w:num w:numId="42">
    <w:abstractNumId w:val="41"/>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lang w:val="en-US" w:eastAsia="en-US" w:bidi="ar-SA"/>
    </w:rPr>
  </w:style>
  <w:style w:styleId="BodyText" w:type="paragraph">
    <w:name w:val="Body Text"/>
    <w:basedOn w:val="Normal"/>
    <w:uiPriority w:val="1"/>
    <w:qFormat/>
    <w:pPr/>
    <w:rPr>
      <w:rFonts w:ascii="Cambria" w:hAnsi="Cambria" w:eastAsia="Cambria" w:cs="Cambria"/>
      <w:sz w:val="21"/>
      <w:szCs w:val="21"/>
      <w:lang w:val="en-US" w:eastAsia="en-US" w:bidi="ar-SA"/>
    </w:rPr>
  </w:style>
  <w:style w:styleId="Heading1" w:type="paragraph">
    <w:name w:val="Heading 1"/>
    <w:basedOn w:val="Normal"/>
    <w:uiPriority w:val="1"/>
    <w:qFormat/>
    <w:pPr>
      <w:spacing w:before="314"/>
      <w:ind w:left="330" w:right="219"/>
      <w:jc w:val="center"/>
      <w:outlineLvl w:val="1"/>
    </w:pPr>
    <w:rPr>
      <w:rFonts w:ascii="Trebuchet MS" w:hAnsi="Trebuchet MS" w:eastAsia="Trebuchet MS" w:cs="Trebuchet MS"/>
      <w:sz w:val="56"/>
      <w:szCs w:val="56"/>
      <w:lang w:val="en-US" w:eastAsia="en-US" w:bidi="ar-SA"/>
    </w:rPr>
  </w:style>
  <w:style w:styleId="Heading2" w:type="paragraph">
    <w:name w:val="Heading 2"/>
    <w:basedOn w:val="Normal"/>
    <w:uiPriority w:val="1"/>
    <w:qFormat/>
    <w:pPr>
      <w:ind w:left="1412"/>
      <w:outlineLvl w:val="2"/>
    </w:pPr>
    <w:rPr>
      <w:rFonts w:ascii="Cambria" w:hAnsi="Cambria" w:eastAsia="Cambria" w:cs="Cambria"/>
      <w:b/>
      <w:bCs/>
      <w:i/>
      <w:iCs/>
      <w:sz w:val="48"/>
      <w:szCs w:val="48"/>
      <w:lang w:val="en-US" w:eastAsia="en-US" w:bidi="ar-SA"/>
    </w:rPr>
  </w:style>
  <w:style w:styleId="Heading3" w:type="paragraph">
    <w:name w:val="Heading 3"/>
    <w:basedOn w:val="Normal"/>
    <w:uiPriority w:val="1"/>
    <w:qFormat/>
    <w:pPr>
      <w:spacing w:before="37"/>
      <w:ind w:left="1412" w:right="1670"/>
      <w:jc w:val="center"/>
      <w:outlineLvl w:val="3"/>
    </w:pPr>
    <w:rPr>
      <w:rFonts w:ascii="Times New Roman" w:hAnsi="Times New Roman" w:eastAsia="Times New Roman" w:cs="Times New Roman"/>
      <w:b/>
      <w:bCs/>
      <w:sz w:val="36"/>
      <w:szCs w:val="36"/>
      <w:lang w:val="en-US" w:eastAsia="en-US" w:bidi="ar-SA"/>
    </w:rPr>
  </w:style>
  <w:style w:styleId="Heading4" w:type="paragraph">
    <w:name w:val="Heading 4"/>
    <w:basedOn w:val="Normal"/>
    <w:uiPriority w:val="1"/>
    <w:qFormat/>
    <w:pPr>
      <w:ind w:left="480" w:right="219"/>
      <w:jc w:val="center"/>
      <w:outlineLvl w:val="4"/>
    </w:pPr>
    <w:rPr>
      <w:rFonts w:ascii="Trebuchet MS" w:hAnsi="Trebuchet MS" w:eastAsia="Trebuchet MS" w:cs="Trebuchet MS"/>
      <w:sz w:val="24"/>
      <w:szCs w:val="24"/>
      <w:lang w:val="en-US" w:eastAsia="en-US" w:bidi="ar-SA"/>
    </w:rPr>
  </w:style>
  <w:style w:styleId="Heading5" w:type="paragraph">
    <w:name w:val="Heading 5"/>
    <w:basedOn w:val="Normal"/>
    <w:uiPriority w:val="1"/>
    <w:qFormat/>
    <w:pPr>
      <w:ind w:left="300" w:right="219"/>
      <w:jc w:val="center"/>
      <w:outlineLvl w:val="5"/>
    </w:pPr>
    <w:rPr>
      <w:rFonts w:ascii="Cambria" w:hAnsi="Cambria" w:eastAsia="Cambria" w:cs="Cambria"/>
      <w:b/>
      <w:bCs/>
      <w:i/>
      <w:iCs/>
      <w:sz w:val="23"/>
      <w:szCs w:val="23"/>
      <w:lang w:val="en-US" w:eastAsia="en-US" w:bidi="ar-SA"/>
    </w:rPr>
  </w:style>
  <w:style w:styleId="Heading6" w:type="paragraph">
    <w:name w:val="Heading 6"/>
    <w:basedOn w:val="Normal"/>
    <w:uiPriority w:val="1"/>
    <w:qFormat/>
    <w:pPr>
      <w:ind w:left="479" w:right="219"/>
      <w:jc w:val="center"/>
      <w:outlineLvl w:val="6"/>
    </w:pPr>
    <w:rPr>
      <w:rFonts w:ascii="Cambria" w:hAnsi="Cambria" w:eastAsia="Cambria" w:cs="Cambria"/>
      <w:b/>
      <w:bCs/>
      <w:i/>
      <w:iCs/>
      <w:sz w:val="21"/>
      <w:szCs w:val="21"/>
      <w:lang w:val="en-US" w:eastAsia="en-US" w:bidi="ar-SA"/>
    </w:rPr>
  </w:style>
  <w:style w:styleId="Title" w:type="paragraph">
    <w:name w:val="Title"/>
    <w:basedOn w:val="Normal"/>
    <w:uiPriority w:val="1"/>
    <w:qFormat/>
    <w:pPr>
      <w:spacing w:line="1356" w:lineRule="exact"/>
      <w:ind w:left="659" w:right="219"/>
      <w:jc w:val="center"/>
    </w:pPr>
    <w:rPr>
      <w:rFonts w:ascii="Cambria" w:hAnsi="Cambria" w:eastAsia="Cambria" w:cs="Cambria"/>
      <w:b/>
      <w:bCs/>
      <w:i/>
      <w:iCs/>
      <w:sz w:val="126"/>
      <w:szCs w:val="126"/>
      <w:lang w:val="en-US" w:eastAsia="en-US" w:bidi="ar-SA"/>
    </w:rPr>
  </w:style>
  <w:style w:styleId="ListParagraph" w:type="paragraph">
    <w:name w:val="List Paragraph"/>
    <w:basedOn w:val="Normal"/>
    <w:uiPriority w:val="1"/>
    <w:qFormat/>
    <w:pPr>
      <w:spacing w:before="82"/>
      <w:ind w:left="1355" w:hanging="186"/>
    </w:pPr>
    <w:rPr>
      <w:rFonts w:ascii="Arial" w:hAnsi="Arial" w:eastAsia="Arial" w:cs="Arial"/>
      <w:lang w:val="en-US" w:eastAsia="en-US" w:bidi="ar-SA"/>
    </w:rPr>
  </w:style>
  <w:style w:styleId="TableParagraph" w:type="paragraph">
    <w:name w:val="Table Paragraph"/>
    <w:basedOn w:val="Normal"/>
    <w:uiPriority w:val="1"/>
    <w:qFormat/>
    <w:pPr>
      <w:spacing w:before="18"/>
      <w:jc w:val="center"/>
    </w:pPr>
    <w:rPr>
      <w:rFonts w:ascii="Cambria" w:hAnsi="Cambria" w:eastAsia="Cambria" w:cs="Cambria"/>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header" Target="header5.xml"/><Relationship Id="rId14" Type="http://schemas.openxmlformats.org/officeDocument/2006/relationships/header" Target="header6.xml"/><Relationship Id="rId15" Type="http://schemas.openxmlformats.org/officeDocument/2006/relationships/header" Target="header7.xml"/><Relationship Id="rId16" Type="http://schemas.openxmlformats.org/officeDocument/2006/relationships/header" Target="header8.xm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header" Target="header9.xml"/><Relationship Id="rId27" Type="http://schemas.openxmlformats.org/officeDocument/2006/relationships/header" Target="header10.xml"/><Relationship Id="rId28" Type="http://schemas.openxmlformats.org/officeDocument/2006/relationships/header" Target="header11.xml"/><Relationship Id="rId29" Type="http://schemas.openxmlformats.org/officeDocument/2006/relationships/image" Target="media/image13.png"/><Relationship Id="rId30" Type="http://schemas.openxmlformats.org/officeDocument/2006/relationships/header" Target="header12.xml"/><Relationship Id="rId31" Type="http://schemas.openxmlformats.org/officeDocument/2006/relationships/header" Target="header13.xml"/><Relationship Id="rId32" Type="http://schemas.openxmlformats.org/officeDocument/2006/relationships/header" Target="header14.xml"/><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header" Target="header15.xml"/><Relationship Id="rId37" Type="http://schemas.openxmlformats.org/officeDocument/2006/relationships/header" Target="header16.xml"/><Relationship Id="rId38" Type="http://schemas.openxmlformats.org/officeDocument/2006/relationships/header" Target="header17.xml"/><Relationship Id="rId39" Type="http://schemas.openxmlformats.org/officeDocument/2006/relationships/image" Target="media/image17.png"/><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image" Target="media/image20.png"/><Relationship Id="rId43" Type="http://schemas.openxmlformats.org/officeDocument/2006/relationships/image" Target="media/image21.png"/><Relationship Id="rId44" Type="http://schemas.openxmlformats.org/officeDocument/2006/relationships/image" Target="media/image22.png"/><Relationship Id="rId45" Type="http://schemas.openxmlformats.org/officeDocument/2006/relationships/image" Target="media/image23.png"/><Relationship Id="rId46" Type="http://schemas.openxmlformats.org/officeDocument/2006/relationships/image" Target="media/image24.png"/><Relationship Id="rId47" Type="http://schemas.openxmlformats.org/officeDocument/2006/relationships/image" Target="media/image25.png"/><Relationship Id="rId48" Type="http://schemas.openxmlformats.org/officeDocument/2006/relationships/image" Target="media/image26.png"/><Relationship Id="rId49" Type="http://schemas.openxmlformats.org/officeDocument/2006/relationships/image" Target="media/image27.png"/><Relationship Id="rId50" Type="http://schemas.openxmlformats.org/officeDocument/2006/relationships/image" Target="media/image28.png"/><Relationship Id="rId51" Type="http://schemas.openxmlformats.org/officeDocument/2006/relationships/image" Target="media/image29.png"/><Relationship Id="rId52" Type="http://schemas.openxmlformats.org/officeDocument/2006/relationships/header" Target="header18.xml"/><Relationship Id="rId53" Type="http://schemas.openxmlformats.org/officeDocument/2006/relationships/header" Target="header19.xml"/><Relationship Id="rId54" Type="http://schemas.openxmlformats.org/officeDocument/2006/relationships/header" Target="header20.xml"/><Relationship Id="rId55" Type="http://schemas.openxmlformats.org/officeDocument/2006/relationships/image" Target="media/image30.png"/><Relationship Id="rId56" Type="http://schemas.openxmlformats.org/officeDocument/2006/relationships/image" Target="media/image31.png"/><Relationship Id="rId57" Type="http://schemas.openxmlformats.org/officeDocument/2006/relationships/image" Target="media/image32.png"/><Relationship Id="rId58" Type="http://schemas.openxmlformats.org/officeDocument/2006/relationships/image" Target="media/image33.png"/><Relationship Id="rId59" Type="http://schemas.openxmlformats.org/officeDocument/2006/relationships/image" Target="media/image34.png"/><Relationship Id="rId60" Type="http://schemas.openxmlformats.org/officeDocument/2006/relationships/image" Target="media/image35.png"/><Relationship Id="rId61" Type="http://schemas.openxmlformats.org/officeDocument/2006/relationships/image" Target="media/image36.png"/><Relationship Id="rId62" Type="http://schemas.openxmlformats.org/officeDocument/2006/relationships/image" Target="media/image37.png"/><Relationship Id="rId63" Type="http://schemas.openxmlformats.org/officeDocument/2006/relationships/image" Target="media/image38.png"/><Relationship Id="rId64" Type="http://schemas.openxmlformats.org/officeDocument/2006/relationships/image" Target="media/image39.png"/><Relationship Id="rId65" Type="http://schemas.openxmlformats.org/officeDocument/2006/relationships/image" Target="media/image40.png"/><Relationship Id="rId66" Type="http://schemas.openxmlformats.org/officeDocument/2006/relationships/image" Target="media/image41.png"/><Relationship Id="rId67" Type="http://schemas.openxmlformats.org/officeDocument/2006/relationships/image" Target="media/image42.png"/><Relationship Id="rId68" Type="http://schemas.openxmlformats.org/officeDocument/2006/relationships/image" Target="media/image43.png"/><Relationship Id="rId69" Type="http://schemas.openxmlformats.org/officeDocument/2006/relationships/image" Target="media/image44.png"/><Relationship Id="rId70" Type="http://schemas.openxmlformats.org/officeDocument/2006/relationships/image" Target="media/image45.png"/><Relationship Id="rId71" Type="http://schemas.openxmlformats.org/officeDocument/2006/relationships/image" Target="media/image46.png"/><Relationship Id="rId72" Type="http://schemas.openxmlformats.org/officeDocument/2006/relationships/image" Target="media/image47.png"/><Relationship Id="rId73" Type="http://schemas.openxmlformats.org/officeDocument/2006/relationships/image" Target="media/image48.png"/><Relationship Id="rId74" Type="http://schemas.openxmlformats.org/officeDocument/2006/relationships/image" Target="media/image49.png"/><Relationship Id="rId75" Type="http://schemas.openxmlformats.org/officeDocument/2006/relationships/image" Target="media/image50.png"/><Relationship Id="rId76" Type="http://schemas.openxmlformats.org/officeDocument/2006/relationships/image" Target="media/image51.png"/><Relationship Id="rId77" Type="http://schemas.openxmlformats.org/officeDocument/2006/relationships/image" Target="media/image52.png"/><Relationship Id="rId78" Type="http://schemas.openxmlformats.org/officeDocument/2006/relationships/image" Target="media/image53.png"/><Relationship Id="rId79" Type="http://schemas.openxmlformats.org/officeDocument/2006/relationships/image" Target="media/image54.png"/><Relationship Id="rId80" Type="http://schemas.openxmlformats.org/officeDocument/2006/relationships/header" Target="header21.xml"/><Relationship Id="rId81" Type="http://schemas.openxmlformats.org/officeDocument/2006/relationships/header" Target="header22.xml"/><Relationship Id="rId82" Type="http://schemas.openxmlformats.org/officeDocument/2006/relationships/header" Target="header23.xml"/><Relationship Id="rId83" Type="http://schemas.openxmlformats.org/officeDocument/2006/relationships/image" Target="media/image55.png"/><Relationship Id="rId84" Type="http://schemas.openxmlformats.org/officeDocument/2006/relationships/image" Target="media/image56.png"/><Relationship Id="rId85" Type="http://schemas.openxmlformats.org/officeDocument/2006/relationships/image" Target="media/image57.png"/><Relationship Id="rId86" Type="http://schemas.openxmlformats.org/officeDocument/2006/relationships/image" Target="media/image58.png"/><Relationship Id="rId87" Type="http://schemas.openxmlformats.org/officeDocument/2006/relationships/image" Target="media/image59.png"/><Relationship Id="rId88" Type="http://schemas.openxmlformats.org/officeDocument/2006/relationships/image" Target="media/image60.png"/><Relationship Id="rId89" Type="http://schemas.openxmlformats.org/officeDocument/2006/relationships/image" Target="media/image61.png"/><Relationship Id="rId90" Type="http://schemas.openxmlformats.org/officeDocument/2006/relationships/image" Target="media/image62.png"/><Relationship Id="rId91" Type="http://schemas.openxmlformats.org/officeDocument/2006/relationships/image" Target="media/image63.png"/><Relationship Id="rId92" Type="http://schemas.openxmlformats.org/officeDocument/2006/relationships/image" Target="media/image64.png"/><Relationship Id="rId93" Type="http://schemas.openxmlformats.org/officeDocument/2006/relationships/header" Target="header24.xml"/><Relationship Id="rId94" Type="http://schemas.openxmlformats.org/officeDocument/2006/relationships/header" Target="header25.xml"/><Relationship Id="rId95" Type="http://schemas.openxmlformats.org/officeDocument/2006/relationships/header" Target="header26.xml"/><Relationship Id="rId96" Type="http://schemas.openxmlformats.org/officeDocument/2006/relationships/header" Target="header27.xml"/><Relationship Id="rId97" Type="http://schemas.openxmlformats.org/officeDocument/2006/relationships/header" Target="header28.xml"/><Relationship Id="rId98" Type="http://schemas.openxmlformats.org/officeDocument/2006/relationships/header" Target="header29.xml"/><Relationship Id="rId99" Type="http://schemas.openxmlformats.org/officeDocument/2006/relationships/header" Target="header30.xml"/><Relationship Id="rId100" Type="http://schemas.openxmlformats.org/officeDocument/2006/relationships/image" Target="media/image65.png"/><Relationship Id="rId101" Type="http://schemas.openxmlformats.org/officeDocument/2006/relationships/image" Target="media/image66.png"/><Relationship Id="rId102" Type="http://schemas.openxmlformats.org/officeDocument/2006/relationships/image" Target="media/image67.png"/><Relationship Id="rId103" Type="http://schemas.openxmlformats.org/officeDocument/2006/relationships/image" Target="media/image68.png"/><Relationship Id="rId104" Type="http://schemas.openxmlformats.org/officeDocument/2006/relationships/image" Target="media/image69.png"/><Relationship Id="rId105" Type="http://schemas.openxmlformats.org/officeDocument/2006/relationships/image" Target="media/image70.png"/><Relationship Id="rId106" Type="http://schemas.openxmlformats.org/officeDocument/2006/relationships/image" Target="media/image71.png"/><Relationship Id="rId107" Type="http://schemas.openxmlformats.org/officeDocument/2006/relationships/header" Target="header31.xml"/><Relationship Id="rId108" Type="http://schemas.openxmlformats.org/officeDocument/2006/relationships/header" Target="header32.xml"/><Relationship Id="rId109" Type="http://schemas.openxmlformats.org/officeDocument/2006/relationships/header" Target="header33.xml"/><Relationship Id="rId110" Type="http://schemas.openxmlformats.org/officeDocument/2006/relationships/image" Target="media/image72.png"/><Relationship Id="rId111" Type="http://schemas.openxmlformats.org/officeDocument/2006/relationships/image" Target="media/image73.png"/><Relationship Id="rId112" Type="http://schemas.openxmlformats.org/officeDocument/2006/relationships/image" Target="media/image74.png"/><Relationship Id="rId113" Type="http://schemas.openxmlformats.org/officeDocument/2006/relationships/image" Target="media/image75.png"/><Relationship Id="rId114" Type="http://schemas.openxmlformats.org/officeDocument/2006/relationships/image" Target="media/image76.png"/><Relationship Id="rId115" Type="http://schemas.openxmlformats.org/officeDocument/2006/relationships/image" Target="media/image77.png"/><Relationship Id="rId116" Type="http://schemas.openxmlformats.org/officeDocument/2006/relationships/image" Target="media/image78.png"/><Relationship Id="rId117" Type="http://schemas.openxmlformats.org/officeDocument/2006/relationships/image" Target="media/image79.png"/><Relationship Id="rId118" Type="http://schemas.openxmlformats.org/officeDocument/2006/relationships/header" Target="header34.xml"/><Relationship Id="rId119" Type="http://schemas.openxmlformats.org/officeDocument/2006/relationships/header" Target="header35.xml"/><Relationship Id="rId120" Type="http://schemas.openxmlformats.org/officeDocument/2006/relationships/header" Target="header36.xml"/><Relationship Id="rId121" Type="http://schemas.openxmlformats.org/officeDocument/2006/relationships/image" Target="media/image80.png"/><Relationship Id="rId122" Type="http://schemas.openxmlformats.org/officeDocument/2006/relationships/image" Target="media/image81.png"/><Relationship Id="rId123" Type="http://schemas.openxmlformats.org/officeDocument/2006/relationships/image" Target="media/image82.png"/><Relationship Id="rId124" Type="http://schemas.openxmlformats.org/officeDocument/2006/relationships/image" Target="media/image83.png"/><Relationship Id="rId125" Type="http://schemas.openxmlformats.org/officeDocument/2006/relationships/image" Target="media/image84.png"/><Relationship Id="rId126" Type="http://schemas.openxmlformats.org/officeDocument/2006/relationships/image" Target="media/image85.png"/><Relationship Id="rId127" Type="http://schemas.openxmlformats.org/officeDocument/2006/relationships/image" Target="media/image86.png"/><Relationship Id="rId128" Type="http://schemas.openxmlformats.org/officeDocument/2006/relationships/image" Target="media/image87.png"/><Relationship Id="rId129" Type="http://schemas.openxmlformats.org/officeDocument/2006/relationships/header" Target="header37.xml"/><Relationship Id="rId130" Type="http://schemas.openxmlformats.org/officeDocument/2006/relationships/header" Target="header38.xml"/><Relationship Id="rId131" Type="http://schemas.openxmlformats.org/officeDocument/2006/relationships/header" Target="header39.xml"/><Relationship Id="rId132" Type="http://schemas.openxmlformats.org/officeDocument/2006/relationships/header" Target="header40.xml"/><Relationship Id="rId133" Type="http://schemas.openxmlformats.org/officeDocument/2006/relationships/header" Target="header41.xml"/><Relationship Id="rId134" Type="http://schemas.openxmlformats.org/officeDocument/2006/relationships/image" Target="media/image88.png"/><Relationship Id="rId135" Type="http://schemas.openxmlformats.org/officeDocument/2006/relationships/header" Target="header42.xml"/><Relationship Id="rId136" Type="http://schemas.openxmlformats.org/officeDocument/2006/relationships/header" Target="header43.xml"/><Relationship Id="rId137" Type="http://schemas.openxmlformats.org/officeDocument/2006/relationships/header" Target="header44.xml"/><Relationship Id="rId138" Type="http://schemas.openxmlformats.org/officeDocument/2006/relationships/header" Target="header45.xml"/><Relationship Id="rId139" Type="http://schemas.openxmlformats.org/officeDocument/2006/relationships/header" Target="header46.xml"/><Relationship Id="rId140" Type="http://schemas.openxmlformats.org/officeDocument/2006/relationships/header" Target="header47.xml"/><Relationship Id="rId141" Type="http://schemas.openxmlformats.org/officeDocument/2006/relationships/header" Target="header48.xml"/><Relationship Id="rId142" Type="http://schemas.openxmlformats.org/officeDocument/2006/relationships/header" Target="header49.xml"/><Relationship Id="rId143" Type="http://schemas.openxmlformats.org/officeDocument/2006/relationships/header" Target="header50.xml"/><Relationship Id="rId144" Type="http://schemas.openxmlformats.org/officeDocument/2006/relationships/header" Target="header51.xml"/><Relationship Id="rId145" Type="http://schemas.openxmlformats.org/officeDocument/2006/relationships/header" Target="header52.xml"/><Relationship Id="rId146" Type="http://schemas.openxmlformats.org/officeDocument/2006/relationships/image" Target="media/image89.png"/><Relationship Id="rId147" Type="http://schemas.openxmlformats.org/officeDocument/2006/relationships/header" Target="header53.xml"/><Relationship Id="rId148" Type="http://schemas.openxmlformats.org/officeDocument/2006/relationships/header" Target="header54.xml"/><Relationship Id="rId149" Type="http://schemas.openxmlformats.org/officeDocument/2006/relationships/header" Target="header55.xml"/><Relationship Id="rId150" Type="http://schemas.openxmlformats.org/officeDocument/2006/relationships/header" Target="header56.xml"/><Relationship Id="rId151" Type="http://schemas.openxmlformats.org/officeDocument/2006/relationships/header" Target="header57.xml"/><Relationship Id="rId152" Type="http://schemas.openxmlformats.org/officeDocument/2006/relationships/header" Target="header58.xml"/><Relationship Id="rId153" Type="http://schemas.openxmlformats.org/officeDocument/2006/relationships/header" Target="header59.xml"/><Relationship Id="rId154" Type="http://schemas.openxmlformats.org/officeDocument/2006/relationships/header" Target="header60.xml"/><Relationship Id="rId155" Type="http://schemas.openxmlformats.org/officeDocument/2006/relationships/hyperlink" Target="http://www.darden.virginia.edu/" TargetMode="External"/><Relationship Id="rId156" Type="http://schemas.openxmlformats.org/officeDocument/2006/relationships/hyperlink" Target="http://www.hbsp.harvard.edu/" TargetMode="External"/><Relationship Id="rId157" Type="http://schemas.openxmlformats.org/officeDocument/2006/relationships/header" Target="header61.xml"/><Relationship Id="rId158" Type="http://schemas.openxmlformats.org/officeDocument/2006/relationships/header" Target="header62.xml"/><Relationship Id="rId159" Type="http://schemas.openxmlformats.org/officeDocument/2006/relationships/header" Target="header63.xml"/><Relationship Id="rId160" Type="http://schemas.openxmlformats.org/officeDocument/2006/relationships/header" Target="header64.xml"/><Relationship Id="rId161" Type="http://schemas.openxmlformats.org/officeDocument/2006/relationships/header" Target="header65.xml"/><Relationship Id="rId162" Type="http://schemas.openxmlformats.org/officeDocument/2006/relationships/header" Target="header66.xml"/><Relationship Id="rId163" Type="http://schemas.openxmlformats.org/officeDocument/2006/relationships/header" Target="header67.xml"/><Relationship Id="rId164" Type="http://schemas.openxmlformats.org/officeDocument/2006/relationships/header" Target="header68.xml"/><Relationship Id="rId165" Type="http://schemas.openxmlformats.org/officeDocument/2006/relationships/header" Target="header69.xml"/><Relationship Id="rId166" Type="http://schemas.openxmlformats.org/officeDocument/2006/relationships/hyperlink" Target="http://www.tendaymba.com/" TargetMode="External"/><Relationship Id="rId167" Type="http://schemas.openxmlformats.org/officeDocument/2006/relationships/header" Target="header70.xml"/><Relationship Id="rId168" Type="http://schemas.openxmlformats.org/officeDocument/2006/relationships/hyperlink" Target="http://www.AuthorTracker.com/" TargetMode="External"/><Relationship Id="rId169" Type="http://schemas.openxmlformats.org/officeDocument/2006/relationships/header" Target="header71.xml"/><Relationship Id="rId170" Type="http://schemas.openxmlformats.org/officeDocument/2006/relationships/header" Target="header72.xml"/><Relationship Id="rId171" Type="http://schemas.openxmlformats.org/officeDocument/2006/relationships/header" Target="header73.xml"/><Relationship Id="rId172" Type="http://schemas.openxmlformats.org/officeDocument/2006/relationships/header" Target="header74.xml"/><Relationship Id="rId173" Type="http://schemas.openxmlformats.org/officeDocument/2006/relationships/header" Target="header75.xml"/><Relationship Id="rId174" Type="http://schemas.openxmlformats.org/officeDocument/2006/relationships/header" Target="header76.xml"/><Relationship Id="rId175" Type="http://schemas.openxmlformats.org/officeDocument/2006/relationships/header" Target="header77.xml"/><Relationship Id="rId176" Type="http://schemas.openxmlformats.org/officeDocument/2006/relationships/image" Target="media/image90.jpeg"/><Relationship Id="rId177" Type="http://schemas.openxmlformats.org/officeDocument/2006/relationships/hyperlink" Target="http://www.harpercollinsebooks.com.au/" TargetMode="External"/><Relationship Id="rId178" Type="http://schemas.openxmlformats.org/officeDocument/2006/relationships/hyperlink" Target="http://www.harpercollinsebooks.ca/" TargetMode="External"/><Relationship Id="rId179" Type="http://schemas.openxmlformats.org/officeDocument/2006/relationships/hyperlink" Target="http://www.harpercollins.co.nz/" TargetMode="External"/><Relationship Id="rId180" Type="http://schemas.openxmlformats.org/officeDocument/2006/relationships/hyperlink" Target="http://www.harpercollinsebooks.co.uk/" TargetMode="External"/><Relationship Id="rId181" Type="http://schemas.openxmlformats.org/officeDocument/2006/relationships/hyperlink" Target="http://www.harpercollinsebooks.com/" TargetMode="External"/><Relationship Id="rId18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Silbiger</dc:creator>
  <dc:title>The Ten-Day MBA 3rd Edition</dc:title>
  <dcterms:created xsi:type="dcterms:W3CDTF">2023-08-20T15:57:27Z</dcterms:created>
  <dcterms:modified xsi:type="dcterms:W3CDTF">2023-08-20T15:57:27Z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2009-05-12T00:00:00Z</vt:filetime>
  </property>
  <property fmtid="{D5CDD505-2E9C-101B-9397-08002B2CF9AE}" pid="3" name="Creator">
    <vt:lpwstr>PScript5.dll Version 5.2.2</vt:lpwstr>
  </property>
  <property fmtid="{D5CDD505-2E9C-101B-9397-08002B2CF9AE}" pid="4" name="LastSaved">
    <vt:filetime>2023-08-20T00:00:00Z</vt:filetime>
  </property>
</Properties>
</file>